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80.xml" ContentType="application/vnd.openxmlformats-officedocument.wordprocessingml.footer+xml"/>
  <Override PartName="/word/header9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282AC9" w:rsidRDefault="00893651" w:rsidP="00893651">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282AC9">
        <w:rPr>
          <w:noProof/>
        </w:rPr>
        <mc:AlternateContent>
          <mc:Choice Requires="wps">
            <w:drawing>
              <wp:anchor distT="0" distB="0" distL="114300" distR="114300" simplePos="0" relativeHeight="251666944" behindDoc="1" locked="0" layoutInCell="1" allowOverlap="1" wp14:anchorId="1628DB56" wp14:editId="387333BB">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C14EDE" w:rsidRPr="001B6341" w:rsidRDefault="00C14EDE" w:rsidP="00893651">
                            <w:pPr>
                              <w:spacing w:before="120"/>
                              <w:ind w:firstLine="17"/>
                              <w:jc w:val="center"/>
                              <w:rPr>
                                <w:rFonts w:ascii="Mosawi" w:hAnsi="Mosawi" w:cs="Mosawi"/>
                                <w:color w:val="000000"/>
                                <w:sz w:val="4"/>
                                <w:szCs w:val="2"/>
                                <w:rtl/>
                              </w:rPr>
                            </w:pPr>
                          </w:p>
                          <w:p w:rsidR="00C14EDE" w:rsidRPr="00273612" w:rsidRDefault="00C14EDE" w:rsidP="00254F20">
                            <w:pPr>
                              <w:spacing w:before="120" w:line="200" w:lineRule="exact"/>
                              <w:ind w:firstLine="17"/>
                              <w:jc w:val="center"/>
                              <w:rPr>
                                <w:rFonts w:cs="HeshamNormal"/>
                                <w:color w:val="FFFFFF" w:themeColor="background1"/>
                                <w:rtl/>
                              </w:rPr>
                            </w:pPr>
                          </w:p>
                          <w:p w:rsidR="00C14EDE" w:rsidRPr="001B6341" w:rsidRDefault="00C14EDE"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C14EDE" w:rsidRPr="00520213" w:rsidRDefault="00C14EDE" w:rsidP="00893651">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rsidR="00C14EDE" w:rsidRPr="002578B1" w:rsidRDefault="00C14EDE" w:rsidP="00893651">
                            <w:pPr>
                              <w:ind w:firstLine="18"/>
                              <w:jc w:val="center"/>
                              <w:rPr>
                                <w:rFonts w:cs="Abz-2 (Badr)"/>
                                <w:b/>
                                <w:bCs/>
                                <w:color w:val="000000"/>
                                <w:sz w:val="16"/>
                                <w:szCs w:val="16"/>
                                <w:rtl/>
                              </w:rPr>
                            </w:pPr>
                          </w:p>
                          <w:p w:rsidR="00C14EDE" w:rsidRPr="002578B1" w:rsidRDefault="00C14EDE" w:rsidP="00893651">
                            <w:pPr>
                              <w:ind w:firstLine="18"/>
                              <w:jc w:val="center"/>
                              <w:rPr>
                                <w:rFonts w:cs="Abz-2 (Badr)"/>
                                <w:b/>
                                <w:bCs/>
                                <w:color w:val="000000"/>
                                <w:sz w:val="16"/>
                                <w:szCs w:val="16"/>
                                <w:rtl/>
                              </w:rPr>
                            </w:pPr>
                          </w:p>
                          <w:p w:rsidR="00C14EDE" w:rsidRPr="002578B1" w:rsidRDefault="00C14EDE" w:rsidP="00893651">
                            <w:pPr>
                              <w:ind w:firstLine="18"/>
                              <w:jc w:val="center"/>
                              <w:rPr>
                                <w:rFonts w:cs="Taher"/>
                                <w:color w:val="000000"/>
                                <w:sz w:val="16"/>
                                <w:szCs w:val="16"/>
                                <w:rtl/>
                                <w:lang w:bidi="ar-LB"/>
                              </w:rPr>
                            </w:pPr>
                          </w:p>
                          <w:p w:rsidR="00C14EDE" w:rsidRPr="001B6341" w:rsidRDefault="00C14EDE"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C14EDE" w:rsidRPr="00BA2384" w:rsidRDefault="00C14EDE" w:rsidP="00893651">
                            <w:pPr>
                              <w:ind w:firstLine="18"/>
                              <w:jc w:val="center"/>
                              <w:rPr>
                                <w:rFonts w:cs="Abz-2 (Badr)"/>
                                <w:b/>
                                <w:bCs/>
                                <w:color w:val="000000"/>
                                <w:rtl/>
                              </w:rPr>
                            </w:pPr>
                            <w:r w:rsidRPr="00BA2384">
                              <w:rPr>
                                <w:rFonts w:cs="Abz-2 (Badr)" w:hint="cs"/>
                                <w:b/>
                                <w:bCs/>
                                <w:color w:val="000000"/>
                                <w:sz w:val="32"/>
                                <w:szCs w:val="32"/>
                                <w:rtl/>
                              </w:rPr>
                              <w:t>ربيع سويدان</w:t>
                            </w:r>
                          </w:p>
                          <w:p w:rsidR="00C14EDE" w:rsidRPr="001A72AA" w:rsidRDefault="00C14EDE" w:rsidP="00893651">
                            <w:pPr>
                              <w:ind w:firstLine="18"/>
                              <w:jc w:val="center"/>
                              <w:rPr>
                                <w:rFonts w:cs="Taher"/>
                                <w:color w:val="000000"/>
                                <w:sz w:val="26"/>
                                <w:szCs w:val="26"/>
                                <w:rtl/>
                              </w:rPr>
                            </w:pPr>
                          </w:p>
                          <w:p w:rsidR="00C14EDE" w:rsidRPr="001A72AA" w:rsidRDefault="00C14EDE" w:rsidP="00254F20">
                            <w:pPr>
                              <w:spacing w:line="240" w:lineRule="auto"/>
                              <w:ind w:firstLine="17"/>
                              <w:jc w:val="center"/>
                              <w:rPr>
                                <w:rFonts w:cs="Taher"/>
                                <w:color w:val="000000"/>
                                <w:sz w:val="26"/>
                                <w:szCs w:val="26"/>
                                <w:rtl/>
                              </w:rPr>
                            </w:pPr>
                          </w:p>
                          <w:p w:rsidR="00C14EDE" w:rsidRPr="00BA2384" w:rsidRDefault="00C14EDE" w:rsidP="00D1080C">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D1080C">
                              <w:rPr>
                                <w:rFonts w:hint="cs"/>
                                <w:color w:val="000000"/>
                                <w:rtl/>
                              </w:rPr>
                              <w:t>(</w:t>
                            </w:r>
                            <w:r w:rsidRPr="00BA2384">
                              <w:rPr>
                                <w:rFonts w:cs="HeshamNormal" w:hint="cs"/>
                                <w:color w:val="000000"/>
                                <w:rtl/>
                              </w:rPr>
                              <w:t>أبجدياً</w:t>
                            </w:r>
                            <w:r w:rsidRPr="00D1080C">
                              <w:rPr>
                                <w:rFonts w:hint="cs"/>
                                <w:color w:val="000000"/>
                                <w:rtl/>
                              </w:rPr>
                              <w:t>)</w:t>
                            </w:r>
                          </w:p>
                          <w:p w:rsidR="00C14EDE" w:rsidRDefault="00C14EDE" w:rsidP="00893651">
                            <w:pPr>
                              <w:ind w:firstLine="18"/>
                              <w:jc w:val="center"/>
                              <w:rPr>
                                <w:rFonts w:cs="HeshamNormal"/>
                                <w:color w:val="000000"/>
                              </w:rPr>
                            </w:pPr>
                          </w:p>
                          <w:p w:rsidR="00C14EDE" w:rsidRDefault="00C14EDE" w:rsidP="00893651">
                            <w:pPr>
                              <w:ind w:firstLine="18"/>
                              <w:jc w:val="center"/>
                              <w:rPr>
                                <w:rFonts w:cs="HeshamNormal"/>
                                <w:color w:val="000000"/>
                              </w:rPr>
                            </w:pPr>
                          </w:p>
                          <w:p w:rsidR="00C14EDE" w:rsidRDefault="00C14EDE" w:rsidP="00893651">
                            <w:pPr>
                              <w:ind w:firstLine="18"/>
                              <w:jc w:val="center"/>
                              <w:rPr>
                                <w:rFonts w:cs="HeshamNormal"/>
                                <w:color w:val="000000"/>
                              </w:rPr>
                            </w:pPr>
                          </w:p>
                          <w:p w:rsidR="00C14EDE" w:rsidRDefault="00C14EDE" w:rsidP="00893651">
                            <w:pPr>
                              <w:ind w:firstLine="18"/>
                              <w:jc w:val="center"/>
                              <w:rPr>
                                <w:rFonts w:cs="HeshamNormal"/>
                                <w:color w:val="000000"/>
                              </w:rPr>
                            </w:pPr>
                          </w:p>
                          <w:p w:rsidR="00C14EDE" w:rsidRDefault="00C14EDE" w:rsidP="00893651">
                            <w:pPr>
                              <w:ind w:firstLine="18"/>
                              <w:jc w:val="center"/>
                              <w:rPr>
                                <w:rFonts w:cs="HeshamNormal"/>
                                <w:color w:val="000000"/>
                              </w:rPr>
                            </w:pPr>
                          </w:p>
                          <w:p w:rsidR="00C14EDE" w:rsidRPr="001B6341" w:rsidRDefault="00C14EDE" w:rsidP="00893651">
                            <w:pPr>
                              <w:ind w:firstLine="17"/>
                              <w:jc w:val="center"/>
                              <w:rPr>
                                <w:rFonts w:ascii="Mosawi" w:hAnsi="Mosawi" w:cs="Mosawi"/>
                                <w:color w:val="000000"/>
                                <w:sz w:val="12"/>
                                <w:szCs w:val="8"/>
                                <w:rtl/>
                              </w:rPr>
                            </w:pPr>
                          </w:p>
                          <w:p w:rsidR="00C14EDE" w:rsidRPr="00C84560" w:rsidRDefault="00C14EDE" w:rsidP="00893651">
                            <w:pPr>
                              <w:ind w:firstLine="18"/>
                              <w:jc w:val="center"/>
                              <w:rPr>
                                <w:rFonts w:cs="Abz-3 (Yagut)"/>
                                <w:b/>
                                <w:bCs/>
                                <w:color w:val="000000"/>
                                <w:rtl/>
                              </w:rPr>
                            </w:pPr>
                          </w:p>
                          <w:p w:rsidR="00C14EDE" w:rsidRPr="00130951" w:rsidRDefault="00C14EDE"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C14EDE" w:rsidRPr="00B8317B" w:rsidRDefault="00C14EDE"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C14EDE" w:rsidRPr="00C84560" w:rsidRDefault="00C14EDE" w:rsidP="00893651">
                            <w:pPr>
                              <w:ind w:firstLine="18"/>
                              <w:jc w:val="center"/>
                              <w:rPr>
                                <w:rFonts w:cs="Abz-3 (Yagut)"/>
                                <w:b/>
                                <w:bCs/>
                                <w:color w:val="000000"/>
                                <w:rtl/>
                              </w:rPr>
                            </w:pPr>
                          </w:p>
                          <w:p w:rsidR="00C14EDE" w:rsidRPr="001B6341" w:rsidRDefault="00C14EDE"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C14EDE" w:rsidRPr="00130951" w:rsidRDefault="00C14EDE" w:rsidP="00893651">
                            <w:pPr>
                              <w:ind w:firstLine="18"/>
                              <w:jc w:val="center"/>
                              <w:rPr>
                                <w:rFonts w:cs="HeshamNormal"/>
                                <w:color w:val="000000"/>
                                <w:sz w:val="22"/>
                                <w:szCs w:val="22"/>
                              </w:rPr>
                            </w:pPr>
                            <w:r w:rsidRPr="00130951">
                              <w:rPr>
                                <w:rFonts w:cs="HeshamNormal"/>
                                <w:color w:val="000000"/>
                                <w:sz w:val="22"/>
                                <w:szCs w:val="22"/>
                              </w:rPr>
                              <w:t>Idea Creation</w:t>
                            </w:r>
                          </w:p>
                          <w:p w:rsidR="00C14EDE" w:rsidRPr="008F5476" w:rsidRDefault="00C14EDE" w:rsidP="00893651">
                            <w:pPr>
                              <w:spacing w:line="460" w:lineRule="exact"/>
                              <w:ind w:firstLine="18"/>
                              <w:jc w:val="center"/>
                              <w:rPr>
                                <w:rFonts w:cs="HeshamNormal"/>
                                <w:color w:val="000000"/>
                                <w:szCs w:val="20"/>
                              </w:rPr>
                            </w:pPr>
                          </w:p>
                          <w:p w:rsidR="00C14EDE" w:rsidRPr="00D1080C" w:rsidRDefault="00C14EDE" w:rsidP="00D1080C">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8B4A08" w:rsidRPr="001B6341" w:rsidRDefault="008B4A08" w:rsidP="00893651">
                      <w:pPr>
                        <w:spacing w:before="120"/>
                        <w:ind w:firstLine="17"/>
                        <w:jc w:val="center"/>
                        <w:rPr>
                          <w:rFonts w:ascii="Mosawi" w:hAnsi="Mosawi" w:cs="Mosawi"/>
                          <w:color w:val="000000"/>
                          <w:sz w:val="4"/>
                          <w:szCs w:val="2"/>
                          <w:rtl/>
                        </w:rPr>
                      </w:pPr>
                    </w:p>
                    <w:p w:rsidR="008B4A08" w:rsidRPr="00273612" w:rsidRDefault="008B4A08" w:rsidP="00254F20">
                      <w:pPr>
                        <w:spacing w:before="120" w:line="200" w:lineRule="exact"/>
                        <w:ind w:firstLine="17"/>
                        <w:jc w:val="center"/>
                        <w:rPr>
                          <w:rFonts w:cs="HeshamNormal"/>
                          <w:color w:val="FFFFFF" w:themeColor="background1"/>
                          <w:rtl/>
                        </w:rPr>
                      </w:pPr>
                    </w:p>
                    <w:p w:rsidR="008B4A08" w:rsidRPr="001B6341" w:rsidRDefault="008B4A08"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8B4A08" w:rsidRPr="00520213" w:rsidRDefault="008B4A08" w:rsidP="00893651">
                      <w:pPr>
                        <w:ind w:firstLine="18"/>
                        <w:jc w:val="center"/>
                        <w:rPr>
                          <w:rFonts w:cs="Abz-2 (Badr)"/>
                          <w:b/>
                          <w:bCs/>
                          <w:color w:val="000000"/>
                          <w:sz w:val="10"/>
                          <w:szCs w:val="10"/>
                          <w:rtl/>
                        </w:rPr>
                      </w:pPr>
                      <w:r w:rsidRPr="00766E35">
                        <w:rPr>
                          <w:rFonts w:cs="Abz-2 (Badr)" w:hint="cs"/>
                          <w:b/>
                          <w:bCs/>
                          <w:color w:val="000000"/>
                          <w:sz w:val="30"/>
                          <w:szCs w:val="30"/>
                          <w:rtl/>
                        </w:rPr>
                        <w:t>محمد عباس دهيني</w:t>
                      </w:r>
                    </w:p>
                    <w:p w:rsidR="008B4A08" w:rsidRPr="002578B1" w:rsidRDefault="008B4A08" w:rsidP="00893651">
                      <w:pPr>
                        <w:ind w:firstLine="18"/>
                        <w:jc w:val="center"/>
                        <w:rPr>
                          <w:rFonts w:cs="Abz-2 (Badr)"/>
                          <w:b/>
                          <w:bCs/>
                          <w:color w:val="000000"/>
                          <w:sz w:val="16"/>
                          <w:szCs w:val="16"/>
                          <w:rtl/>
                        </w:rPr>
                      </w:pPr>
                    </w:p>
                    <w:p w:rsidR="008B4A08" w:rsidRPr="002578B1" w:rsidRDefault="008B4A08" w:rsidP="00893651">
                      <w:pPr>
                        <w:ind w:firstLine="18"/>
                        <w:jc w:val="center"/>
                        <w:rPr>
                          <w:rFonts w:cs="Abz-2 (Badr)"/>
                          <w:b/>
                          <w:bCs/>
                          <w:color w:val="000000"/>
                          <w:sz w:val="16"/>
                          <w:szCs w:val="16"/>
                          <w:rtl/>
                        </w:rPr>
                      </w:pPr>
                    </w:p>
                    <w:p w:rsidR="008B4A08" w:rsidRPr="002578B1" w:rsidRDefault="008B4A08" w:rsidP="00893651">
                      <w:pPr>
                        <w:ind w:firstLine="18"/>
                        <w:jc w:val="center"/>
                        <w:rPr>
                          <w:rFonts w:cs="Taher"/>
                          <w:color w:val="000000"/>
                          <w:sz w:val="16"/>
                          <w:szCs w:val="16"/>
                          <w:rtl/>
                          <w:lang w:bidi="ar-LB"/>
                        </w:rPr>
                      </w:pPr>
                    </w:p>
                    <w:p w:rsidR="008B4A08" w:rsidRPr="001B6341" w:rsidRDefault="008B4A08"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8B4A08" w:rsidRPr="00BA2384" w:rsidRDefault="008B4A08" w:rsidP="00893651">
                      <w:pPr>
                        <w:ind w:firstLine="18"/>
                        <w:jc w:val="center"/>
                        <w:rPr>
                          <w:rFonts w:cs="Abz-2 (Badr)"/>
                          <w:b/>
                          <w:bCs/>
                          <w:color w:val="000000"/>
                          <w:rtl/>
                        </w:rPr>
                      </w:pPr>
                      <w:r w:rsidRPr="00BA2384">
                        <w:rPr>
                          <w:rFonts w:cs="Abz-2 (Badr)" w:hint="cs"/>
                          <w:b/>
                          <w:bCs/>
                          <w:color w:val="000000"/>
                          <w:sz w:val="32"/>
                          <w:szCs w:val="32"/>
                          <w:rtl/>
                        </w:rPr>
                        <w:t>ربيع سويدان</w:t>
                      </w:r>
                    </w:p>
                    <w:p w:rsidR="008B4A08" w:rsidRPr="001A72AA" w:rsidRDefault="008B4A08" w:rsidP="00893651">
                      <w:pPr>
                        <w:ind w:firstLine="18"/>
                        <w:jc w:val="center"/>
                        <w:rPr>
                          <w:rFonts w:cs="Taher"/>
                          <w:color w:val="000000"/>
                          <w:sz w:val="26"/>
                          <w:szCs w:val="26"/>
                          <w:rtl/>
                        </w:rPr>
                      </w:pPr>
                    </w:p>
                    <w:p w:rsidR="008B4A08" w:rsidRPr="001A72AA" w:rsidRDefault="008B4A08" w:rsidP="00254F20">
                      <w:pPr>
                        <w:spacing w:line="240" w:lineRule="auto"/>
                        <w:ind w:firstLine="17"/>
                        <w:jc w:val="center"/>
                        <w:rPr>
                          <w:rFonts w:cs="Taher"/>
                          <w:color w:val="000000"/>
                          <w:sz w:val="26"/>
                          <w:szCs w:val="26"/>
                          <w:rtl/>
                        </w:rPr>
                      </w:pPr>
                    </w:p>
                    <w:p w:rsidR="008B4A08" w:rsidRPr="00BA2384" w:rsidRDefault="008B4A08" w:rsidP="00D1080C">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D1080C">
                        <w:rPr>
                          <w:rFonts w:hint="cs"/>
                          <w:color w:val="000000"/>
                          <w:rtl/>
                        </w:rPr>
                        <w:t>(</w:t>
                      </w:r>
                      <w:r w:rsidRPr="00BA2384">
                        <w:rPr>
                          <w:rFonts w:cs="HeshamNormal" w:hint="cs"/>
                          <w:color w:val="000000"/>
                          <w:rtl/>
                        </w:rPr>
                        <w:t>أبجدياً</w:t>
                      </w:r>
                      <w:r w:rsidRPr="00D1080C">
                        <w:rPr>
                          <w:rFonts w:hint="cs"/>
                          <w:color w:val="000000"/>
                          <w:rtl/>
                        </w:rPr>
                        <w:t>)</w:t>
                      </w:r>
                    </w:p>
                    <w:p w:rsidR="008B4A08" w:rsidRDefault="008B4A08" w:rsidP="00893651">
                      <w:pPr>
                        <w:ind w:firstLine="18"/>
                        <w:jc w:val="center"/>
                        <w:rPr>
                          <w:rFonts w:cs="HeshamNormal"/>
                          <w:color w:val="000000"/>
                        </w:rPr>
                      </w:pPr>
                    </w:p>
                    <w:p w:rsidR="008B4A08" w:rsidRDefault="008B4A08" w:rsidP="00893651">
                      <w:pPr>
                        <w:ind w:firstLine="18"/>
                        <w:jc w:val="center"/>
                        <w:rPr>
                          <w:rFonts w:cs="HeshamNormal"/>
                          <w:color w:val="000000"/>
                        </w:rPr>
                      </w:pPr>
                    </w:p>
                    <w:p w:rsidR="008B4A08" w:rsidRDefault="008B4A08" w:rsidP="00893651">
                      <w:pPr>
                        <w:ind w:firstLine="18"/>
                        <w:jc w:val="center"/>
                        <w:rPr>
                          <w:rFonts w:cs="HeshamNormal"/>
                          <w:color w:val="000000"/>
                        </w:rPr>
                      </w:pPr>
                    </w:p>
                    <w:p w:rsidR="008B4A08" w:rsidRDefault="008B4A08" w:rsidP="00893651">
                      <w:pPr>
                        <w:ind w:firstLine="18"/>
                        <w:jc w:val="center"/>
                        <w:rPr>
                          <w:rFonts w:cs="HeshamNormal"/>
                          <w:color w:val="000000"/>
                        </w:rPr>
                      </w:pPr>
                    </w:p>
                    <w:p w:rsidR="008B4A08" w:rsidRDefault="008B4A08" w:rsidP="00893651">
                      <w:pPr>
                        <w:ind w:firstLine="18"/>
                        <w:jc w:val="center"/>
                        <w:rPr>
                          <w:rFonts w:cs="HeshamNormal"/>
                          <w:color w:val="000000"/>
                        </w:rPr>
                      </w:pPr>
                    </w:p>
                    <w:p w:rsidR="008B4A08" w:rsidRPr="001B6341" w:rsidRDefault="008B4A08" w:rsidP="00893651">
                      <w:pPr>
                        <w:ind w:firstLine="17"/>
                        <w:jc w:val="center"/>
                        <w:rPr>
                          <w:rFonts w:ascii="Mosawi" w:hAnsi="Mosawi" w:cs="Mosawi"/>
                          <w:color w:val="000000"/>
                          <w:sz w:val="12"/>
                          <w:szCs w:val="8"/>
                          <w:rtl/>
                        </w:rPr>
                      </w:pPr>
                    </w:p>
                    <w:p w:rsidR="008B4A08" w:rsidRPr="00C84560" w:rsidRDefault="008B4A08" w:rsidP="00893651">
                      <w:pPr>
                        <w:ind w:firstLine="18"/>
                        <w:jc w:val="center"/>
                        <w:rPr>
                          <w:rFonts w:cs="Abz-3 (Yagut)"/>
                          <w:b/>
                          <w:bCs/>
                          <w:color w:val="000000"/>
                          <w:rtl/>
                        </w:rPr>
                      </w:pPr>
                    </w:p>
                    <w:p w:rsidR="008B4A08" w:rsidRPr="00130951" w:rsidRDefault="008B4A08"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8B4A08" w:rsidRPr="00B8317B" w:rsidRDefault="008B4A08"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8B4A08" w:rsidRPr="00C84560" w:rsidRDefault="008B4A08" w:rsidP="00893651">
                      <w:pPr>
                        <w:ind w:firstLine="18"/>
                        <w:jc w:val="center"/>
                        <w:rPr>
                          <w:rFonts w:cs="Abz-3 (Yagut)"/>
                          <w:b/>
                          <w:bCs/>
                          <w:color w:val="000000"/>
                          <w:rtl/>
                        </w:rPr>
                      </w:pPr>
                    </w:p>
                    <w:p w:rsidR="008B4A08" w:rsidRPr="001B6341" w:rsidRDefault="008B4A08"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8B4A08" w:rsidRPr="00130951" w:rsidRDefault="008B4A08" w:rsidP="00893651">
                      <w:pPr>
                        <w:ind w:firstLine="18"/>
                        <w:jc w:val="center"/>
                        <w:rPr>
                          <w:rFonts w:cs="HeshamNormal"/>
                          <w:color w:val="000000"/>
                          <w:sz w:val="22"/>
                          <w:szCs w:val="22"/>
                        </w:rPr>
                      </w:pPr>
                      <w:r w:rsidRPr="00130951">
                        <w:rPr>
                          <w:rFonts w:cs="HeshamNormal"/>
                          <w:color w:val="000000"/>
                          <w:sz w:val="22"/>
                          <w:szCs w:val="22"/>
                        </w:rPr>
                        <w:t>Idea Creation</w:t>
                      </w:r>
                    </w:p>
                    <w:p w:rsidR="008B4A08" w:rsidRPr="008F5476" w:rsidRDefault="008B4A08" w:rsidP="00893651">
                      <w:pPr>
                        <w:spacing w:line="460" w:lineRule="exact"/>
                        <w:ind w:firstLine="18"/>
                        <w:jc w:val="center"/>
                        <w:rPr>
                          <w:rFonts w:cs="HeshamNormal"/>
                          <w:color w:val="000000"/>
                          <w:szCs w:val="20"/>
                        </w:rPr>
                      </w:pPr>
                    </w:p>
                    <w:p w:rsidR="008B4A08" w:rsidRPr="00D1080C" w:rsidRDefault="008B4A08" w:rsidP="00D1080C">
                      <w:pPr>
                        <w:ind w:firstLine="18"/>
                      </w:pPr>
                    </w:p>
                  </w:txbxContent>
                </v:textbox>
              </v:shape>
            </w:pict>
          </mc:Fallback>
        </mc:AlternateContent>
      </w:r>
      <w:r w:rsidRPr="00282AC9">
        <w:rPr>
          <w:rFonts w:ascii="Times New Roman" w:hAnsi="Times New Roman" w:cs="SKR HEAD1"/>
          <w:b/>
          <w:i/>
          <w:iCs/>
          <w:spacing w:val="-4"/>
          <w:sz w:val="78"/>
          <w:szCs w:val="78"/>
          <w:rtl/>
          <w:lang w:eastAsia="ar-SA"/>
        </w:rPr>
        <w:t>الاجتهاد والتجديد</w:t>
      </w:r>
    </w:p>
    <w:p w:rsidR="006E7EDE" w:rsidRPr="00282AC9" w:rsidRDefault="006E7EDE" w:rsidP="006E7EDE">
      <w:pPr>
        <w:spacing w:line="440" w:lineRule="exact"/>
        <w:ind w:left="2835" w:firstLine="0"/>
        <w:jc w:val="center"/>
        <w:rPr>
          <w:rFonts w:ascii="Arial" w:hAnsi="Arial" w:cs="Ya-Ali"/>
          <w:b/>
          <w:sz w:val="24"/>
          <w:szCs w:val="24"/>
          <w:rtl/>
          <w:lang w:eastAsia="ar-SA"/>
        </w:rPr>
      </w:pPr>
      <w:r w:rsidRPr="00282AC9">
        <w:rPr>
          <w:rFonts w:ascii="Arial" w:hAnsi="Arial" w:cs="Ya-Ali"/>
          <w:b/>
          <w:sz w:val="24"/>
          <w:szCs w:val="24"/>
          <w:rtl/>
          <w:lang w:eastAsia="ar-SA"/>
        </w:rPr>
        <w:t>فصلية</w:t>
      </w:r>
      <w:r w:rsidRPr="00282AC9">
        <w:rPr>
          <w:rFonts w:ascii="Arial" w:hAnsi="Arial" w:cs="Ya-Ali" w:hint="cs"/>
          <w:b/>
          <w:sz w:val="24"/>
          <w:szCs w:val="24"/>
          <w:rtl/>
          <w:lang w:eastAsia="ar-SA"/>
        </w:rPr>
        <w:t>ٌ</w:t>
      </w:r>
      <w:r w:rsidRPr="00282AC9">
        <w:rPr>
          <w:rFonts w:ascii="Arial" w:hAnsi="Arial" w:cs="Ya-Ali"/>
          <w:b/>
          <w:sz w:val="24"/>
          <w:szCs w:val="24"/>
          <w:rtl/>
          <w:lang w:eastAsia="ar-SA"/>
        </w:rPr>
        <w:t xml:space="preserve"> مختصة بقضـــايا الاجتهاد والفقــه الإسلامي</w:t>
      </w:r>
    </w:p>
    <w:p w:rsidR="006E7EDE" w:rsidRPr="00282AC9" w:rsidRDefault="006E7EDE" w:rsidP="004D1560">
      <w:pPr>
        <w:autoSpaceDE w:val="0"/>
        <w:autoSpaceDN w:val="0"/>
        <w:ind w:left="2835" w:firstLine="0"/>
        <w:jc w:val="center"/>
        <w:rPr>
          <w:rFonts w:ascii="Arial" w:hAnsi="Arial" w:cs="Ya-Ali"/>
          <w:b/>
          <w:sz w:val="23"/>
          <w:szCs w:val="23"/>
          <w:rtl/>
          <w:lang w:eastAsia="ar-SA"/>
        </w:rPr>
      </w:pPr>
      <w:r w:rsidRPr="00282AC9">
        <w:rPr>
          <w:rFonts w:ascii="Arial" w:hAnsi="Arial" w:cs="Ya-Ali"/>
          <w:b/>
          <w:sz w:val="23"/>
          <w:szCs w:val="23"/>
          <w:rtl/>
          <w:lang w:eastAsia="ar-SA"/>
        </w:rPr>
        <w:t>العدد</w:t>
      </w:r>
      <w:r w:rsidR="004D1560" w:rsidRPr="00282AC9">
        <w:rPr>
          <w:rFonts w:ascii="Arial" w:hAnsi="Arial" w:cs="Ya-Ali" w:hint="cs"/>
          <w:b/>
          <w:sz w:val="23"/>
          <w:szCs w:val="23"/>
          <w:rtl/>
          <w:lang w:eastAsia="ar-SA"/>
        </w:rPr>
        <w:t xml:space="preserve">ان السابع والثامن </w:t>
      </w:r>
      <w:r w:rsidRPr="00282AC9">
        <w:rPr>
          <w:rFonts w:ascii="Arial" w:hAnsi="Arial" w:cs="Ya-Ali" w:hint="cs"/>
          <w:b/>
          <w:sz w:val="23"/>
          <w:szCs w:val="23"/>
          <w:rtl/>
          <w:lang w:eastAsia="ar-SA" w:bidi="ar-LB"/>
        </w:rPr>
        <w:t>والخمسون</w:t>
      </w:r>
      <w:r w:rsidRPr="00282AC9">
        <w:rPr>
          <w:rFonts w:ascii="Arial" w:hAnsi="Arial" w:cs="Ya-Ali"/>
          <w:b/>
          <w:sz w:val="23"/>
          <w:szCs w:val="23"/>
          <w:rtl/>
          <w:lang w:eastAsia="ar-SA"/>
        </w:rPr>
        <w:t>، السـن</w:t>
      </w:r>
      <w:r w:rsidRPr="00282AC9">
        <w:rPr>
          <w:rFonts w:ascii="Arial" w:hAnsi="Arial" w:cs="Ya-Ali" w:hint="cs"/>
          <w:b/>
          <w:sz w:val="23"/>
          <w:szCs w:val="23"/>
          <w:rtl/>
          <w:lang w:eastAsia="ar-SA"/>
        </w:rPr>
        <w:t>ة</w:t>
      </w:r>
      <w:r w:rsidRPr="00282AC9">
        <w:rPr>
          <w:rFonts w:ascii="Arial" w:hAnsi="Arial" w:cs="Ya-Ali"/>
          <w:b/>
          <w:sz w:val="23"/>
          <w:szCs w:val="23"/>
          <w:rtl/>
          <w:lang w:eastAsia="ar-SA"/>
        </w:rPr>
        <w:t xml:space="preserve"> </w:t>
      </w:r>
      <w:r w:rsidRPr="00282AC9">
        <w:rPr>
          <w:rFonts w:ascii="Arial" w:hAnsi="Arial" w:cs="Ya-Ali" w:hint="cs"/>
          <w:b/>
          <w:sz w:val="23"/>
          <w:szCs w:val="23"/>
          <w:rtl/>
          <w:lang w:eastAsia="ar-SA"/>
        </w:rPr>
        <w:t>ال</w:t>
      </w:r>
      <w:r w:rsidR="004D1560" w:rsidRPr="00282AC9">
        <w:rPr>
          <w:rFonts w:ascii="Arial" w:hAnsi="Arial" w:cs="Ya-Ali" w:hint="cs"/>
          <w:b/>
          <w:sz w:val="23"/>
          <w:szCs w:val="23"/>
          <w:rtl/>
          <w:lang w:eastAsia="ar-SA"/>
        </w:rPr>
        <w:t>خامسة</w:t>
      </w:r>
      <w:r w:rsidRPr="00282AC9">
        <w:rPr>
          <w:rFonts w:ascii="Arial" w:hAnsi="Arial" w:cs="Ya-Ali" w:hint="cs"/>
          <w:b/>
          <w:sz w:val="23"/>
          <w:szCs w:val="23"/>
          <w:rtl/>
          <w:lang w:eastAsia="ar-SA"/>
        </w:rPr>
        <w:t xml:space="preserve"> عشرة،</w:t>
      </w:r>
    </w:p>
    <w:p w:rsidR="00893651" w:rsidRPr="00282AC9" w:rsidRDefault="002578B1" w:rsidP="002578B1">
      <w:pPr>
        <w:autoSpaceDE w:val="0"/>
        <w:autoSpaceDN w:val="0"/>
        <w:ind w:left="2835" w:firstLine="0"/>
        <w:jc w:val="center"/>
        <w:rPr>
          <w:rFonts w:ascii="Arial" w:hAnsi="Arial" w:cs="Ya-Ali"/>
          <w:b/>
          <w:sz w:val="23"/>
          <w:szCs w:val="23"/>
          <w:rtl/>
          <w:lang w:eastAsia="ar-SA"/>
        </w:rPr>
      </w:pPr>
      <w:r w:rsidRPr="00282AC9">
        <w:rPr>
          <w:rFonts w:ascii="Arial" w:hAnsi="Arial" w:cs="Ya-Ali" w:hint="cs"/>
          <w:b/>
          <w:sz w:val="23"/>
          <w:szCs w:val="23"/>
          <w:rtl/>
          <w:lang w:eastAsia="ar-SA"/>
        </w:rPr>
        <w:t>شتاء وربيع</w:t>
      </w:r>
      <w:r w:rsidR="006E7EDE" w:rsidRPr="00282AC9">
        <w:rPr>
          <w:rFonts w:ascii="Arial" w:hAnsi="Arial" w:cs="Ya-Ali" w:hint="cs"/>
          <w:b/>
          <w:sz w:val="23"/>
          <w:szCs w:val="23"/>
          <w:rtl/>
          <w:lang w:eastAsia="ar-SA"/>
        </w:rPr>
        <w:t xml:space="preserve"> 202</w:t>
      </w:r>
      <w:r w:rsidRPr="00282AC9">
        <w:rPr>
          <w:rFonts w:ascii="Arial" w:hAnsi="Arial" w:cs="Ya-Ali" w:hint="cs"/>
          <w:b/>
          <w:sz w:val="23"/>
          <w:szCs w:val="23"/>
          <w:rtl/>
          <w:lang w:eastAsia="ar-SA"/>
        </w:rPr>
        <w:t>1</w:t>
      </w:r>
      <w:r w:rsidR="006E7EDE" w:rsidRPr="00282AC9">
        <w:rPr>
          <w:rFonts w:ascii="Arial" w:hAnsi="Arial" w:cs="Ya-Ali" w:hint="cs"/>
          <w:b/>
          <w:sz w:val="23"/>
          <w:szCs w:val="23"/>
          <w:rtl/>
          <w:lang w:eastAsia="ar-SA"/>
        </w:rPr>
        <w:t>م ـ 1442هـ</w:t>
      </w:r>
    </w:p>
    <w:p w:rsidR="00893651" w:rsidRPr="00282AC9" w:rsidRDefault="00893651" w:rsidP="00D1080C">
      <w:pPr>
        <w:tabs>
          <w:tab w:val="left" w:pos="-289"/>
          <w:tab w:val="center" w:pos="1955"/>
        </w:tabs>
        <w:autoSpaceDE w:val="0"/>
        <w:autoSpaceDN w:val="0"/>
        <w:ind w:right="2835" w:firstLine="0"/>
        <w:jc w:val="center"/>
        <w:rPr>
          <w:rFonts w:ascii="Times New Roman" w:hAnsi="Times New Roman"/>
          <w:bCs/>
          <w:spacing w:val="-4"/>
          <w:sz w:val="26"/>
          <w:rtl/>
          <w:lang w:eastAsia="ar-SA"/>
        </w:rPr>
      </w:pPr>
      <w:r w:rsidRPr="00282AC9">
        <w:rPr>
          <w:noProof/>
        </w:rPr>
        <mc:AlternateContent>
          <mc:Choice Requires="wps">
            <w:drawing>
              <wp:anchor distT="0" distB="0" distL="114300" distR="114300" simplePos="0" relativeHeight="251663872" behindDoc="0" locked="0" layoutInCell="1" allowOverlap="1" wp14:anchorId="51BC7713" wp14:editId="4630E5A6">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14EDE" w:rsidRPr="00020833" w:rsidRDefault="00C14EDE"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C14EDE" w:rsidRPr="001B6341" w:rsidRDefault="00C14EDE"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C14EDE" w:rsidRPr="00020833" w:rsidRDefault="00C14ED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w:t>
                            </w:r>
                            <w:r>
                              <w:rPr>
                                <w:rFonts w:hint="cs"/>
                                <w:b/>
                                <w:sz w:val="26"/>
                                <w:szCs w:val="26"/>
                                <w:rtl/>
                              </w:rPr>
                              <w:t>دَوْر</w:t>
                            </w:r>
                            <w:r w:rsidRPr="00B42805">
                              <w:rPr>
                                <w:rFonts w:hint="cs"/>
                                <w:b/>
                                <w:sz w:val="26"/>
                                <w:szCs w:val="26"/>
                                <w:rtl/>
                              </w:rPr>
                              <w:t>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C14EDE" w:rsidRPr="00020833" w:rsidRDefault="00C14ED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C14EDE" w:rsidRPr="00020833" w:rsidRDefault="00C14ED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C14EDE" w:rsidRPr="00020833" w:rsidRDefault="00C14ED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C14EDE" w:rsidRPr="00020833" w:rsidRDefault="00C14ED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C14EDE" w:rsidRPr="00020833" w:rsidRDefault="00C14ED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8B4A08" w:rsidRPr="00020833" w:rsidRDefault="008B4A08"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8B4A08" w:rsidRPr="001B6341" w:rsidRDefault="008B4A08"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8B4A08" w:rsidRPr="00020833" w:rsidRDefault="008B4A0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w:t>
                      </w:r>
                      <w:r>
                        <w:rPr>
                          <w:rFonts w:hint="cs"/>
                          <w:b/>
                          <w:sz w:val="26"/>
                          <w:szCs w:val="26"/>
                          <w:rtl/>
                        </w:rPr>
                        <w:t>دَوْر</w:t>
                      </w:r>
                      <w:r w:rsidRPr="00B42805">
                        <w:rPr>
                          <w:rFonts w:hint="cs"/>
                          <w:b/>
                          <w:sz w:val="26"/>
                          <w:szCs w:val="26"/>
                          <w:rtl/>
                        </w:rPr>
                        <w:t>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8B4A08" w:rsidRPr="00020833" w:rsidRDefault="008B4A0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8B4A08" w:rsidRPr="00020833" w:rsidRDefault="008B4A0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8B4A08" w:rsidRPr="00020833" w:rsidRDefault="008B4A0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8B4A08" w:rsidRPr="00020833" w:rsidRDefault="008B4A0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8B4A08" w:rsidRPr="00020833" w:rsidRDefault="008B4A0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p>
    <w:p w:rsidR="00893651" w:rsidRPr="00282AC9" w:rsidRDefault="00893651" w:rsidP="00B70D78">
      <w:pPr>
        <w:widowControl/>
        <w:spacing w:line="320" w:lineRule="exact"/>
        <w:ind w:right="3052" w:firstLine="0"/>
        <w:jc w:val="center"/>
        <w:rPr>
          <w:rFonts w:ascii="Times New Roman" w:hAnsi="Times New Roman" w:cs="PT Bold Heading"/>
          <w:bCs/>
          <w:sz w:val="24"/>
          <w:szCs w:val="20"/>
          <w:rtl/>
          <w:lang w:eastAsia="ar-SA"/>
        </w:rPr>
      </w:pPr>
    </w:p>
    <w:p w:rsidR="00893651" w:rsidRPr="00282AC9" w:rsidRDefault="00E42EB4" w:rsidP="00893651">
      <w:pPr>
        <w:widowControl/>
        <w:ind w:right="2977" w:firstLine="0"/>
        <w:jc w:val="left"/>
        <w:rPr>
          <w:rFonts w:ascii="Times New Roman" w:hAnsi="Times New Roman" w:cs="PT Bold Heading"/>
          <w:bCs/>
          <w:sz w:val="24"/>
          <w:szCs w:val="20"/>
          <w:rtl/>
          <w:lang w:eastAsia="ar-SA"/>
        </w:rPr>
      </w:pPr>
      <w:r w:rsidRPr="00282AC9">
        <w:rPr>
          <w:noProof/>
        </w:rPr>
        <mc:AlternateContent>
          <mc:Choice Requires="wps">
            <w:drawing>
              <wp:anchor distT="0" distB="0" distL="114300" distR="114300" simplePos="0" relativeHeight="251665920" behindDoc="0" locked="0" layoutInCell="1" allowOverlap="1" wp14:anchorId="46B98F1E" wp14:editId="57B45C4C">
                <wp:simplePos x="0" y="0"/>
                <wp:positionH relativeFrom="column">
                  <wp:posOffset>3252470</wp:posOffset>
                </wp:positionH>
                <wp:positionV relativeFrom="paragraph">
                  <wp:posOffset>1659890</wp:posOffset>
                </wp:positionV>
                <wp:extent cx="1307465" cy="14668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EDE" w:rsidRPr="00BB6D9D" w:rsidRDefault="00C14EDE"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256.1pt;margin-top:130.7pt;width:102.95pt;height: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iQuAIAALg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" filled="f" stroked="f">
                <v:textbox>
                  <w:txbxContent>
                    <w:p w:rsidR="008B4A08" w:rsidRPr="00BB6D9D" w:rsidRDefault="008B4A08" w:rsidP="00E42EB4">
                      <w:pPr>
                        <w:tabs>
                          <w:tab w:val="right" w:pos="2712"/>
                        </w:tabs>
                        <w:ind w:firstLine="0"/>
                        <w:jc w:val="lowKashida"/>
                        <w:rPr>
                          <w:sz w:val="2"/>
                          <w:szCs w:val="2"/>
                        </w:rPr>
                      </w:pPr>
                      <w:r>
                        <w:rPr>
                          <w:rFonts w:cs="Abz-3 (Yagut)" w:hint="cs"/>
                          <w:b/>
                          <w:bCs/>
                          <w:color w:val="000000"/>
                          <w:sz w:val="19"/>
                          <w:szCs w:val="19"/>
                          <w:rtl/>
                        </w:rPr>
                        <w:t>الشيخ أحمد المبلِّغي</w:t>
                      </w:r>
                      <w:r>
                        <w:rPr>
                          <w:rFonts w:cs="Abz-3 (Yagut)" w:hint="cs"/>
                          <w:b/>
                          <w:bCs/>
                          <w:color w:val="000000"/>
                          <w:sz w:val="19"/>
                          <w:szCs w:val="19"/>
                          <w:rtl/>
                        </w:rPr>
                        <w:br/>
                      </w:r>
                      <w:r>
                        <w:rPr>
                          <w:rFonts w:cs="Abz-3 (Yagut)" w:hint="cs"/>
                          <w:b/>
                          <w:bCs/>
                          <w:color w:val="000000"/>
                          <w:sz w:val="18"/>
                          <w:szCs w:val="18"/>
                          <w:rtl/>
                        </w:rPr>
                        <w:t>الشيخ حسن الصفّار   الشيخ خميس العدوي         د. محمد خير قيرباش أوغلو</w:t>
                      </w:r>
                      <w:r>
                        <w:rPr>
                          <w:rFonts w:cs="Abz-3 (Yagut)" w:hint="cs"/>
                          <w:b/>
                          <w:bCs/>
                          <w:color w:val="000000"/>
                          <w:sz w:val="19"/>
                          <w:szCs w:val="19"/>
                          <w:rtl/>
                        </w:rPr>
                        <w:br/>
                        <w:t>د. محمد سليم العوّا</w:t>
                      </w:r>
                      <w:r>
                        <w:rPr>
                          <w:rFonts w:cs="Abz-3 (Yagut)" w:hint="cs"/>
                          <w:b/>
                          <w:bCs/>
                          <w:color w:val="000000"/>
                          <w:spacing w:val="-12"/>
                          <w:sz w:val="19"/>
                          <w:szCs w:val="19"/>
                          <w:rtl/>
                        </w:rPr>
                        <w:br/>
                      </w:r>
                    </w:p>
                  </w:txbxContent>
                </v:textbox>
              </v:rect>
            </w:pict>
          </mc:Fallback>
        </mc:AlternateContent>
      </w:r>
      <w:r w:rsidRPr="00282AC9">
        <w:rPr>
          <w:noProof/>
        </w:rPr>
        <mc:AlternateContent>
          <mc:Choice Requires="wps">
            <w:drawing>
              <wp:anchor distT="0" distB="0" distL="114300" distR="114300" simplePos="0" relativeHeight="251667968" behindDoc="0" locked="0" layoutInCell="1" allowOverlap="1" wp14:anchorId="0BF91B8D" wp14:editId="6EA2A14C">
                <wp:simplePos x="0" y="0"/>
                <wp:positionH relativeFrom="column">
                  <wp:posOffset>2655570</wp:posOffset>
                </wp:positionH>
                <wp:positionV relativeFrom="paragraph">
                  <wp:posOffset>1666240</wp:posOffset>
                </wp:positionV>
                <wp:extent cx="702945" cy="1460500"/>
                <wp:effectExtent l="0" t="0" r="0" b="635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EDE" w:rsidRPr="00BB6D9D" w:rsidRDefault="00C14EDE"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9" style="position:absolute;left:0;text-align:left;margin-left:209.1pt;margin-top:131.2pt;width:55.35pt;height: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" filled="f" stroked="f">
                <v:textbox>
                  <w:txbxContent>
                    <w:p w:rsidR="008B4A08" w:rsidRPr="00BB6D9D" w:rsidRDefault="008B4A08" w:rsidP="00C97A36">
                      <w:pPr>
                        <w:tabs>
                          <w:tab w:val="right" w:pos="2712"/>
                        </w:tabs>
                        <w:bidi w:val="0"/>
                        <w:ind w:firstLine="0"/>
                        <w:jc w:val="lowKashida"/>
                        <w:rPr>
                          <w:sz w:val="2"/>
                          <w:szCs w:val="2"/>
                        </w:rPr>
                      </w:pPr>
                      <w:r>
                        <w:rPr>
                          <w:rFonts w:cs="Abz-3 (Yagut)" w:hint="cs"/>
                          <w:b/>
                          <w:bCs/>
                          <w:color w:val="000000"/>
                          <w:sz w:val="19"/>
                          <w:szCs w:val="19"/>
                          <w:rtl/>
                        </w:rPr>
                        <w:t>إيران</w:t>
                      </w:r>
                      <w:r>
                        <w:rPr>
                          <w:rFonts w:cs="Abz-3 (Yagut)" w:hint="cs"/>
                          <w:b/>
                          <w:bCs/>
                          <w:color w:val="000000"/>
                          <w:sz w:val="19"/>
                          <w:szCs w:val="19"/>
                          <w:rtl/>
                        </w:rPr>
                        <w:br/>
                        <w:t>السعوديّة عُمان</w:t>
                      </w:r>
                      <w:r>
                        <w:rPr>
                          <w:rFonts w:cs="Abz-3 (Yagut)" w:hint="cs"/>
                          <w:b/>
                          <w:bCs/>
                          <w:color w:val="000000"/>
                          <w:sz w:val="19"/>
                          <w:szCs w:val="19"/>
                          <w:rtl/>
                        </w:rPr>
                        <w:br/>
                        <w:t>تركيا</w:t>
                      </w:r>
                      <w:r>
                        <w:rPr>
                          <w:rFonts w:cs="Abz-3 (Yagut)" w:hint="cs"/>
                          <w:b/>
                          <w:bCs/>
                          <w:color w:val="000000"/>
                          <w:sz w:val="19"/>
                          <w:szCs w:val="19"/>
                          <w:rtl/>
                        </w:rPr>
                        <w:br/>
                      </w:r>
                      <w:r>
                        <w:rPr>
                          <w:rFonts w:cs="Abz-3 (Yagut)" w:hint="cs"/>
                          <w:b/>
                          <w:bCs/>
                          <w:sz w:val="19"/>
                          <w:szCs w:val="19"/>
                          <w:rtl/>
                        </w:rPr>
                        <w:t>مصر</w:t>
                      </w:r>
                      <w:r>
                        <w:rPr>
                          <w:rFonts w:cs="Abz-3 (Yagut)" w:hint="cs"/>
                          <w:b/>
                          <w:bCs/>
                          <w:color w:val="000000"/>
                          <w:sz w:val="19"/>
                          <w:szCs w:val="19"/>
                          <w:rtl/>
                        </w:rPr>
                        <w:br/>
                      </w:r>
                    </w:p>
                  </w:txbxContent>
                </v:textbox>
              </v:rect>
            </w:pict>
          </mc:Fallback>
        </mc:AlternateContent>
      </w:r>
      <w:r w:rsidR="00893651" w:rsidRPr="00282AC9">
        <w:rPr>
          <w:rFonts w:ascii="Times New Roman" w:hAnsi="Times New Roman" w:cs="AGA Juhyna Regular"/>
          <w:sz w:val="90"/>
          <w:szCs w:val="90"/>
          <w:rtl/>
          <w:lang w:eastAsia="ar-SA"/>
        </w:rPr>
        <w:br w:type="page"/>
      </w:r>
    </w:p>
    <w:p w:rsidR="0046539E" w:rsidRPr="00282AC9" w:rsidRDefault="0046539E" w:rsidP="0046539E">
      <w:pPr>
        <w:widowControl/>
        <w:ind w:right="2977" w:firstLine="0"/>
        <w:jc w:val="left"/>
        <w:rPr>
          <w:rFonts w:ascii="Times New Roman" w:hAnsi="Times New Roman" w:cs="PT Bold Heading"/>
          <w:bCs/>
          <w:sz w:val="24"/>
          <w:szCs w:val="20"/>
          <w:lang w:eastAsia="ar-SA"/>
        </w:rPr>
      </w:pPr>
      <w:r w:rsidRPr="00282AC9">
        <w:rPr>
          <w:noProof/>
        </w:rPr>
        <w:lastRenderedPageBreak/>
        <mc:AlternateContent>
          <mc:Choice Requires="wps">
            <w:drawing>
              <wp:anchor distT="0" distB="0" distL="114300" distR="114300" simplePos="0" relativeHeight="251670016" behindDoc="0" locked="0" layoutInCell="1" allowOverlap="1" wp14:anchorId="34508284" wp14:editId="0FABE264">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EDE" w:rsidRDefault="00C14EDE"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C14EDE" w:rsidRDefault="00C14EDE"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8B4A08" w:rsidRDefault="008B4A08"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8B4A08" w:rsidRDefault="008B4A08"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282AC9">
        <w:rPr>
          <w:noProof/>
        </w:rPr>
        <mc:AlternateContent>
          <mc:Choice Requires="wps">
            <w:drawing>
              <wp:anchor distT="0" distB="0" distL="114300" distR="114300" simplePos="0" relativeHeight="251671040" behindDoc="0" locked="0" layoutInCell="1" allowOverlap="1" wp14:anchorId="53E49694" wp14:editId="03718289">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C14EDE" w:rsidRDefault="00C14EDE"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C14EDE" w:rsidRPr="00254F20" w:rsidRDefault="00C14EDE" w:rsidP="00A46BB1">
                            <w:pPr>
                              <w:widowControl/>
                              <w:spacing w:before="120" w:line="280" w:lineRule="exact"/>
                              <w:ind w:left="426" w:hanging="142"/>
                              <w:rPr>
                                <w:rFonts w:ascii="Times New Roman" w:hAnsi="Times New Roman" w:cs="DanaFajr"/>
                                <w:b/>
                                <w:bCs/>
                                <w:szCs w:val="28"/>
                                <w:rtl/>
                                <w:lang w:eastAsia="ar-SA"/>
                              </w:rPr>
                            </w:pPr>
                            <w:r w:rsidRPr="00254F20">
                              <w:rPr>
                                <w:rFonts w:ascii="Times New Roman" w:hAnsi="Times New Roman" w:cs="DanaFajr" w:hint="cs"/>
                                <w:b/>
                                <w:bCs/>
                                <w:sz w:val="30"/>
                                <w:szCs w:val="28"/>
                                <w:rtl/>
                                <w:lang w:eastAsia="ar-SA"/>
                              </w:rPr>
                              <w:t>٭</w:t>
                            </w:r>
                            <w:r w:rsidRPr="00254F20">
                              <w:rPr>
                                <w:rFonts w:ascii="Times New Roman" w:hAnsi="Times New Roman" w:cs="DanaFajr" w:hint="cs"/>
                                <w:szCs w:val="28"/>
                                <w:rtl/>
                                <w:lang w:eastAsia="ar-SA"/>
                              </w:rPr>
                              <w:t xml:space="preserve"> </w:t>
                            </w:r>
                            <w:r w:rsidRPr="00254F20">
                              <w:rPr>
                                <w:rFonts w:ascii="Times New Roman" w:hAnsi="Times New Roman" w:cs="DanaFajr" w:hint="cs"/>
                                <w:b/>
                                <w:bCs/>
                                <w:szCs w:val="28"/>
                                <w:rtl/>
                                <w:lang w:eastAsia="ar-SA"/>
                              </w:rPr>
                              <w:t>لبنان: دار المحجّة البيضاء للطباعة والنشر والتوزيع، بيروت، الرويس،</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خلف محفوظ ستورز، بناية رمّال، ص.ب: 5479</w:t>
                            </w:r>
                            <w:r w:rsidRPr="00254F20">
                              <w:rPr>
                                <w:rFonts w:ascii="Times New Roman" w:hAnsi="Times New Roman" w:cs="DanaFajr" w:hint="cs"/>
                                <w:b/>
                                <w:bCs/>
                                <w:sz w:val="20"/>
                                <w:szCs w:val="20"/>
                                <w:rtl/>
                                <w:lang w:eastAsia="ar-SA"/>
                              </w:rPr>
                              <w:t>/</w:t>
                            </w:r>
                            <w:r w:rsidRPr="00254F20">
                              <w:rPr>
                                <w:rFonts w:ascii="Times New Roman" w:hAnsi="Times New Roman" w:cs="DanaFajr" w:hint="cs"/>
                                <w:b/>
                                <w:bCs/>
                                <w:szCs w:val="28"/>
                                <w:rtl/>
                                <w:lang w:eastAsia="ar-SA"/>
                              </w:rPr>
                              <w:t>14، هاتف: 541211(9611+).</w:t>
                            </w:r>
                          </w:p>
                          <w:p w:rsidR="00C14EDE" w:rsidRPr="00254F20" w:rsidRDefault="00C14EDE" w:rsidP="0046539E">
                            <w:pPr>
                              <w:widowControl/>
                              <w:spacing w:line="280" w:lineRule="exact"/>
                              <w:ind w:left="283" w:firstLine="0"/>
                              <w:rPr>
                                <w:rFonts w:ascii="Times New Roman" w:hAnsi="Times New Roman" w:cs="DanaFajr"/>
                                <w:b/>
                                <w:bCs/>
                                <w:szCs w:val="28"/>
                                <w:rtl/>
                                <w:lang w:eastAsia="ar-SA"/>
                              </w:rPr>
                            </w:pPr>
                            <w:r w:rsidRPr="00254F20">
                              <w:rPr>
                                <w:rFonts w:ascii="Times New Roman" w:hAnsi="Times New Roman" w:cs="DanaFajr" w:hint="cs"/>
                                <w:b/>
                                <w:bCs/>
                                <w:szCs w:val="28"/>
                                <w:rtl/>
                                <w:lang w:eastAsia="ar-SA"/>
                              </w:rPr>
                              <w:t>٭ مملكة البحرين: شركة دار الوسط للنشر والتوزيع، هاتف: 17596969(973+).</w:t>
                            </w:r>
                          </w:p>
                          <w:p w:rsidR="00C14EDE" w:rsidRPr="00254F20" w:rsidRDefault="00C14EDE" w:rsidP="00D245C4">
                            <w:pPr>
                              <w:widowControl/>
                              <w:spacing w:line="280" w:lineRule="exact"/>
                              <w:ind w:left="283" w:firstLine="0"/>
                              <w:rPr>
                                <w:rFonts w:ascii="Times New Roman" w:hAnsi="Times New Roman" w:cs="DanaFajr"/>
                                <w:b/>
                                <w:bCs/>
                                <w:szCs w:val="28"/>
                                <w:rtl/>
                                <w:lang w:eastAsia="ar-SA"/>
                              </w:rPr>
                            </w:pPr>
                            <w:r w:rsidRPr="00254F20">
                              <w:rPr>
                                <w:rFonts w:ascii="Times New Roman" w:hAnsi="Times New Roman" w:cs="DanaFajr" w:hint="cs"/>
                                <w:b/>
                                <w:bCs/>
                                <w:szCs w:val="28"/>
                                <w:rtl/>
                                <w:lang w:eastAsia="ar-SA"/>
                              </w:rPr>
                              <w:t>٭ جمهورية مصر العربية: مؤسسة الأهرام، القاهرة، شارع الجلاء، هاتف: 7704365(202+).</w:t>
                            </w:r>
                          </w:p>
                          <w:p w:rsidR="00C14EDE" w:rsidRPr="00254F20" w:rsidRDefault="00C14EDE" w:rsidP="00EE48AD">
                            <w:pPr>
                              <w:widowControl/>
                              <w:spacing w:line="280" w:lineRule="exact"/>
                              <w:ind w:left="283" w:firstLine="0"/>
                              <w:rPr>
                                <w:rFonts w:ascii="Times New Roman" w:hAnsi="Times New Roman" w:cs="DanaFajr"/>
                                <w:b/>
                                <w:bCs/>
                                <w:szCs w:val="28"/>
                                <w:rtl/>
                                <w:lang w:eastAsia="ar-SA"/>
                              </w:rPr>
                            </w:pPr>
                            <w:r w:rsidRPr="00254F20">
                              <w:rPr>
                                <w:rFonts w:ascii="Times New Roman" w:hAnsi="Times New Roman" w:cs="DanaFajr" w:hint="cs"/>
                                <w:b/>
                                <w:bCs/>
                                <w:szCs w:val="28"/>
                                <w:rtl/>
                                <w:lang w:eastAsia="ar-SA"/>
                              </w:rPr>
                              <w:t>٭ الإمارات العربية المتحدة: دار الحكمة، دبي، هاتف: 2665394(9714+).</w:t>
                            </w:r>
                          </w:p>
                          <w:p w:rsidR="00C14EDE" w:rsidRPr="00254F20" w:rsidRDefault="00C14EDE" w:rsidP="00A46BB1">
                            <w:pPr>
                              <w:widowControl/>
                              <w:spacing w:line="280" w:lineRule="exact"/>
                              <w:ind w:left="426" w:hanging="142"/>
                              <w:rPr>
                                <w:rFonts w:ascii="Times New Roman" w:hAnsi="Times New Roman" w:cs="DanaFajr"/>
                                <w:b/>
                                <w:bCs/>
                                <w:szCs w:val="28"/>
                                <w:rtl/>
                                <w:lang w:eastAsia="ar-SA"/>
                              </w:rPr>
                            </w:pPr>
                            <w:r w:rsidRPr="00254F20">
                              <w:rPr>
                                <w:rFonts w:ascii="Times New Roman" w:hAnsi="Times New Roman" w:cs="DanaFajr" w:hint="cs"/>
                                <w:b/>
                                <w:bCs/>
                                <w:szCs w:val="28"/>
                                <w:rtl/>
                                <w:lang w:eastAsia="ar-SA"/>
                              </w:rPr>
                              <w:t>٭ المغرب: (سبريس) الشركة</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العربية</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الإفريقية</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للتوزيع</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والنشر</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والصحافة، الدار</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البيضاء، 70</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زنقة</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سجلماسة.</w:t>
                            </w:r>
                          </w:p>
                          <w:p w:rsidR="00C14EDE" w:rsidRPr="00254F20" w:rsidRDefault="00C14EDE" w:rsidP="00801BDE">
                            <w:pPr>
                              <w:spacing w:after="60" w:line="280" w:lineRule="exact"/>
                              <w:ind w:left="426" w:hanging="142"/>
                              <w:rPr>
                                <w:rFonts w:ascii="Times New Roman" w:hAnsi="Times New Roman" w:cs="DanaFajr"/>
                                <w:b/>
                                <w:bCs/>
                                <w:szCs w:val="28"/>
                                <w:rtl/>
                                <w:lang w:eastAsia="ar-SA"/>
                              </w:rPr>
                            </w:pPr>
                            <w:r w:rsidRPr="00254F20">
                              <w:rPr>
                                <w:rFonts w:ascii="Times New Roman" w:hAnsi="Times New Roman" w:cs="DanaFajr" w:hint="cs"/>
                                <w:b/>
                                <w:bCs/>
                                <w:szCs w:val="28"/>
                                <w:rtl/>
                                <w:lang w:eastAsia="ar-SA"/>
                              </w:rPr>
                              <w:t xml:space="preserve">٭ </w:t>
                            </w:r>
                            <w:r w:rsidRPr="00254F20">
                              <w:rPr>
                                <w:rFonts w:ascii="Times New Roman" w:hAnsi="Times New Roman" w:cs="DanaFajr" w:hint="cs"/>
                                <w:b/>
                                <w:bCs/>
                                <w:spacing w:val="-8"/>
                                <w:szCs w:val="28"/>
                                <w:rtl/>
                                <w:lang w:eastAsia="ar-SA"/>
                              </w:rPr>
                              <w:t xml:space="preserve">العراق: 1ـ </w:t>
                            </w:r>
                            <w:r w:rsidRPr="00254F20">
                              <w:rPr>
                                <w:rFonts w:cs="DanaFajr" w:hint="cs"/>
                                <w:b/>
                                <w:bCs/>
                                <w:noProof/>
                                <w:szCs w:val="28"/>
                                <w:rtl/>
                              </w:rPr>
                              <w:t>دار الكتاب العربي، بغداد، شارع المتنبي، هاتف:</w:t>
                            </w:r>
                            <w:r w:rsidRPr="00254F20">
                              <w:rPr>
                                <w:rFonts w:cs="DanaFajr" w:hint="cs"/>
                                <w:b/>
                                <w:bCs/>
                                <w:szCs w:val="28"/>
                                <w:rtl/>
                              </w:rPr>
                              <w:t xml:space="preserve"> </w:t>
                            </w:r>
                            <w:r w:rsidRPr="00254F20">
                              <w:rPr>
                                <w:rFonts w:cs="DanaFajr" w:hint="cs"/>
                                <w:b/>
                                <w:bCs/>
                                <w:noProof/>
                                <w:szCs w:val="28"/>
                                <w:rtl/>
                              </w:rPr>
                              <w:t>7901419375(964</w:t>
                            </w:r>
                            <w:r w:rsidRPr="00254F20">
                              <w:rPr>
                                <w:rFonts w:cs="DanaFajr" w:hint="cs"/>
                                <w:b/>
                                <w:bCs/>
                                <w:szCs w:val="28"/>
                                <w:rtl/>
                              </w:rPr>
                              <w:t>+</w:t>
                            </w:r>
                            <w:r w:rsidRPr="00254F20">
                              <w:rPr>
                                <w:rFonts w:cs="DanaFajr" w:hint="cs"/>
                                <w:b/>
                                <w:bCs/>
                                <w:noProof/>
                                <w:szCs w:val="28"/>
                                <w:rtl/>
                              </w:rPr>
                              <w:t xml:space="preserve">). 2ـ مكتبة العين، بغداد، شارع المتنبي، </w:t>
                            </w:r>
                            <w:r w:rsidRPr="00254F20">
                              <w:rPr>
                                <w:rFonts w:cs="DanaFajr" w:hint="cs"/>
                                <w:b/>
                                <w:bCs/>
                                <w:szCs w:val="28"/>
                                <w:rtl/>
                              </w:rPr>
                              <w:t xml:space="preserve">هاتف: 7700728816(964+). 3ـ مكتبة القائم، الكاظمية، باب المراد، خلف عمارة النواب. 4ـ </w:t>
                            </w:r>
                            <w:r w:rsidRPr="00254F20">
                              <w:rPr>
                                <w:rFonts w:cs="DanaFajr" w:hint="cs"/>
                                <w:b/>
                                <w:bCs/>
                                <w:noProof/>
                                <w:szCs w:val="28"/>
                                <w:rtl/>
                              </w:rPr>
                              <w:t>دار الغدير، النجف، سوق الحويش، هاتف: 7801752581(964</w:t>
                            </w:r>
                            <w:r w:rsidRPr="00254F20">
                              <w:rPr>
                                <w:rFonts w:ascii="Times New Roman" w:hAnsi="Times New Roman" w:cs="DanaFajr" w:hint="cs"/>
                                <w:b/>
                                <w:bCs/>
                                <w:szCs w:val="28"/>
                                <w:rtl/>
                                <w:lang w:eastAsia="ar-SA"/>
                              </w:rPr>
                              <w:t>+</w:t>
                            </w:r>
                            <w:r w:rsidRPr="00254F20">
                              <w:rPr>
                                <w:rFonts w:cs="DanaFajr" w:hint="cs"/>
                                <w:b/>
                                <w:bCs/>
                                <w:noProof/>
                                <w:szCs w:val="28"/>
                                <w:rtl/>
                              </w:rPr>
                              <w:t xml:space="preserve">). 5ـ مؤسّسة العطّار الثقافية، النجف، سوق الحويش، هاتف: </w:t>
                            </w:r>
                            <w:r w:rsidRPr="00254F20">
                              <w:rPr>
                                <w:rFonts w:cs="DanaFajr" w:hint="cs"/>
                                <w:b/>
                                <w:bCs/>
                                <w:szCs w:val="28"/>
                                <w:rtl/>
                              </w:rPr>
                              <w:t>7501608589(964+). 6ـ </w:t>
                            </w:r>
                            <w:r w:rsidRPr="00254F20">
                              <w:rPr>
                                <w:rFonts w:cs="DanaFajr" w:hint="cs"/>
                                <w:b/>
                                <w:bCs/>
                                <w:noProof/>
                                <w:szCs w:val="28"/>
                                <w:rtl/>
                              </w:rPr>
                              <w:t>دار الكتب للطباعة والنشر، كربلاء، شارع قبلة الإمام الحسين</w:t>
                            </w:r>
                            <w:r w:rsidRPr="00801BDE">
                              <w:rPr>
                                <w:rFonts w:ascii="Mosawi" w:hAnsi="Mosawi" w:cs="Mosawi"/>
                                <w:sz w:val="20"/>
                                <w:szCs w:val="20"/>
                                <w:rtl/>
                              </w:rPr>
                              <w:t>×</w:t>
                            </w:r>
                            <w:r w:rsidRPr="00254F20">
                              <w:rPr>
                                <w:rFonts w:cs="DanaFajr" w:hint="cs"/>
                                <w:b/>
                                <w:bCs/>
                                <w:noProof/>
                                <w:szCs w:val="28"/>
                                <w:rtl/>
                              </w:rPr>
                              <w:t xml:space="preserve">، الفرع المقابل لمرقد ابن فهد الحلي، </w:t>
                            </w:r>
                            <w:r w:rsidRPr="00254F20">
                              <w:rPr>
                                <w:rFonts w:cs="DanaFajr" w:hint="cs"/>
                                <w:b/>
                                <w:bCs/>
                                <w:szCs w:val="28"/>
                                <w:rtl/>
                              </w:rPr>
                              <w:t>هاتف: 7811110341(964+).</w:t>
                            </w:r>
                          </w:p>
                          <w:p w:rsidR="00C14EDE" w:rsidRPr="00254F20" w:rsidRDefault="00C14EDE" w:rsidP="0046539E">
                            <w:pPr>
                              <w:widowControl/>
                              <w:spacing w:line="280" w:lineRule="exact"/>
                              <w:ind w:left="283" w:firstLine="0"/>
                              <w:rPr>
                                <w:rFonts w:ascii="Times New Roman" w:hAnsi="Times New Roman" w:cs="DanaFajr"/>
                                <w:b/>
                                <w:bCs/>
                                <w:szCs w:val="28"/>
                                <w:rtl/>
                                <w:lang w:eastAsia="ar-SA"/>
                              </w:rPr>
                            </w:pPr>
                            <w:r w:rsidRPr="00254F20">
                              <w:rPr>
                                <w:rFonts w:ascii="Times New Roman" w:hAnsi="Times New Roman" w:cs="DanaFajr" w:hint="cs"/>
                                <w:b/>
                                <w:bCs/>
                                <w:szCs w:val="28"/>
                                <w:rtl/>
                                <w:lang w:eastAsia="ar-SA"/>
                              </w:rPr>
                              <w:t xml:space="preserve">٭ </w:t>
                            </w:r>
                            <w:r w:rsidRPr="00254F20">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254F20">
                              <w:rPr>
                                <w:rFonts w:ascii="Times New Roman" w:hAnsi="Times New Roman" w:cs="DanaFajr" w:hint="cs"/>
                                <w:b/>
                                <w:bCs/>
                                <w:szCs w:val="28"/>
                                <w:rtl/>
                                <w:lang w:eastAsia="ar-SA"/>
                              </w:rPr>
                              <w:t>+</w:t>
                            </w:r>
                            <w:r w:rsidRPr="00254F20">
                              <w:rPr>
                                <w:rFonts w:ascii="Times New Roman" w:hAnsi="Times New Roman" w:cs="DanaFajr" w:hint="cs"/>
                                <w:b/>
                                <w:bCs/>
                                <w:spacing w:val="-8"/>
                                <w:szCs w:val="28"/>
                                <w:rtl/>
                                <w:lang w:eastAsia="ar-SA"/>
                              </w:rPr>
                              <w:t>).</w:t>
                            </w:r>
                          </w:p>
                          <w:p w:rsidR="00C14EDE" w:rsidRPr="00254F20" w:rsidRDefault="00C14EDE" w:rsidP="00A46BB1">
                            <w:pPr>
                              <w:widowControl/>
                              <w:spacing w:line="280" w:lineRule="exact"/>
                              <w:ind w:left="426" w:hanging="142"/>
                              <w:rPr>
                                <w:rFonts w:ascii="Times New Roman" w:hAnsi="Times New Roman" w:cs="DanaFajr"/>
                                <w:b/>
                                <w:bCs/>
                                <w:szCs w:val="28"/>
                                <w:rtl/>
                                <w:lang w:eastAsia="ar-SA"/>
                              </w:rPr>
                            </w:pPr>
                            <w:r w:rsidRPr="00254F20">
                              <w:rPr>
                                <w:rFonts w:ascii="Times New Roman" w:hAnsi="Times New Roman" w:cs="DanaFajr" w:hint="cs"/>
                                <w:b/>
                                <w:bCs/>
                                <w:szCs w:val="28"/>
                                <w:rtl/>
                                <w:lang w:eastAsia="ar-SA"/>
                              </w:rPr>
                              <w:t>٭ إيران: 1ـ مكتبة الهاشمي، قم، كذرخان، هاتف: 7743543(9825</w:t>
                            </w:r>
                            <w:r w:rsidRPr="00254F20">
                              <w:rPr>
                                <w:rFonts w:ascii="Times New Roman" w:hAnsi="Times New Roman" w:cs="DanaFajr" w:hint="cs"/>
                                <w:b/>
                                <w:bCs/>
                                <w:szCs w:val="28"/>
                                <w:rtl/>
                                <w:lang w:eastAsia="ar-SA" w:bidi="ar-LB"/>
                              </w:rPr>
                              <w:t>3</w:t>
                            </w:r>
                            <w:r w:rsidRPr="00254F20">
                              <w:rPr>
                                <w:rFonts w:ascii="Times New Roman" w:hAnsi="Times New Roman" w:cs="DanaFajr" w:hint="cs"/>
                                <w:b/>
                                <w:bCs/>
                                <w:szCs w:val="28"/>
                                <w:rtl/>
                                <w:lang w:eastAsia="ar-SA"/>
                              </w:rPr>
                              <w:t xml:space="preserve">+). 2ـ </w:t>
                            </w:r>
                            <w:r w:rsidRPr="00254F20">
                              <w:rPr>
                                <w:rFonts w:cs="DanaFajr" w:hint="cs"/>
                                <w:b/>
                                <w:bCs/>
                                <w:noProof/>
                                <w:szCs w:val="28"/>
                                <w:rtl/>
                              </w:rPr>
                              <w:t>مؤسّسة البلاغ، قم، سوق القدس، الطابق الأوّل</w:t>
                            </w:r>
                            <w:r w:rsidRPr="00254F20">
                              <w:rPr>
                                <w:rFonts w:ascii="Times New Roman" w:hAnsi="Times New Roman" w:cs="DanaFajr" w:hint="cs"/>
                                <w:b/>
                                <w:bCs/>
                                <w:szCs w:val="28"/>
                                <w:rtl/>
                                <w:lang w:eastAsia="ar-SA"/>
                              </w:rPr>
                              <w:t xml:space="preserve">. 3ـ دفتر تبليغات </w:t>
                            </w:r>
                            <w:r w:rsidRPr="00801BDE">
                              <w:rPr>
                                <w:rFonts w:ascii="Times New Roman" w:hAnsi="Times New Roman" w:hint="cs"/>
                                <w:b/>
                                <w:bCs/>
                                <w:sz w:val="24"/>
                                <w:szCs w:val="24"/>
                                <w:rtl/>
                                <w:lang w:eastAsia="ar-SA"/>
                              </w:rPr>
                              <w:t>«</w:t>
                            </w:r>
                            <w:r w:rsidRPr="00254F20">
                              <w:rPr>
                                <w:rFonts w:ascii="Times New Roman" w:hAnsi="Times New Roman" w:cs="DanaFajr" w:hint="cs"/>
                                <w:b/>
                                <w:bCs/>
                                <w:szCs w:val="28"/>
                                <w:rtl/>
                                <w:lang w:eastAsia="ar-SA"/>
                              </w:rPr>
                              <w:t>بوستان كتاب</w:t>
                            </w:r>
                            <w:r w:rsidRPr="00801BDE">
                              <w:rPr>
                                <w:rFonts w:ascii="Times New Roman" w:hAnsi="Times New Roman" w:hint="cs"/>
                                <w:b/>
                                <w:bCs/>
                                <w:sz w:val="24"/>
                                <w:szCs w:val="24"/>
                                <w:rtl/>
                                <w:lang w:eastAsia="ar-SA"/>
                              </w:rPr>
                              <w:t>»</w:t>
                            </w:r>
                            <w:r w:rsidRPr="00254F20">
                              <w:rPr>
                                <w:rFonts w:ascii="Times New Roman" w:hAnsi="Times New Roman" w:cs="DanaFajr" w:hint="cs"/>
                                <w:b/>
                                <w:bCs/>
                                <w:szCs w:val="28"/>
                                <w:rtl/>
                                <w:lang w:eastAsia="ar-SA"/>
                              </w:rPr>
                              <w:t>، قم، چهار راه شهدا، هاتف: 7742155(98253+).</w:t>
                            </w:r>
                          </w:p>
                          <w:p w:rsidR="00C14EDE" w:rsidRPr="00254F20" w:rsidRDefault="00C14EDE" w:rsidP="0056035A">
                            <w:pPr>
                              <w:widowControl/>
                              <w:spacing w:line="280" w:lineRule="exact"/>
                              <w:ind w:left="283" w:firstLine="0"/>
                              <w:rPr>
                                <w:rFonts w:ascii="Times New Roman" w:hAnsi="Times New Roman" w:cs="DanaFajr"/>
                                <w:b/>
                                <w:bCs/>
                                <w:szCs w:val="28"/>
                                <w:lang w:eastAsia="ar-SA"/>
                              </w:rPr>
                            </w:pPr>
                            <w:r w:rsidRPr="00254F20">
                              <w:rPr>
                                <w:rFonts w:ascii="Times New Roman" w:hAnsi="Times New Roman" w:cs="DanaFajr" w:hint="cs"/>
                                <w:b/>
                                <w:bCs/>
                                <w:szCs w:val="28"/>
                                <w:rtl/>
                                <w:lang w:eastAsia="ar-SA"/>
                              </w:rPr>
                              <w:t xml:space="preserve">٭ </w:t>
                            </w:r>
                            <w:r w:rsidRPr="00254F20">
                              <w:rPr>
                                <w:rFonts w:ascii="Times New Roman" w:hAnsi="Times New Roman" w:cs="DanaFajr" w:hint="cs"/>
                                <w:b/>
                                <w:bCs/>
                                <w:spacing w:val="-8"/>
                                <w:szCs w:val="28"/>
                                <w:rtl/>
                                <w:lang w:eastAsia="ar-SA"/>
                              </w:rPr>
                              <w:t>تونس: دار الزهراء للتوزيع والنشر، تونس العاصمة، هاتف: 98343821(216</w:t>
                            </w:r>
                            <w:r w:rsidRPr="00254F20">
                              <w:rPr>
                                <w:rFonts w:ascii="Times New Roman" w:hAnsi="Times New Roman" w:cs="DanaFajr" w:hint="cs"/>
                                <w:b/>
                                <w:bCs/>
                                <w:szCs w:val="28"/>
                                <w:rtl/>
                                <w:lang w:eastAsia="ar-SA"/>
                              </w:rPr>
                              <w:t>+</w:t>
                            </w:r>
                            <w:r w:rsidRPr="00254F20">
                              <w:rPr>
                                <w:rFonts w:ascii="Times New Roman" w:hAnsi="Times New Roman" w:cs="DanaFajr" w:hint="cs"/>
                                <w:b/>
                                <w:bCs/>
                                <w:spacing w:val="-8"/>
                                <w:szCs w:val="28"/>
                                <w:rtl/>
                                <w:lang w:eastAsia="ar-SA"/>
                              </w:rPr>
                              <w:t>).</w:t>
                            </w:r>
                          </w:p>
                          <w:p w:rsidR="00C14EDE" w:rsidRPr="00254F20" w:rsidRDefault="00C14EDE" w:rsidP="0046539E">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254F20">
                              <w:rPr>
                                <w:rFonts w:ascii="Times New Roman" w:hAnsi="Times New Roman" w:cs="DanaFajr" w:hint="cs"/>
                                <w:b/>
                                <w:bCs/>
                                <w:szCs w:val="28"/>
                                <w:rtl/>
                                <w:lang w:eastAsia="ar-SA"/>
                              </w:rPr>
                              <w:t>٭ شبكة الإنترنت، مكتبة النيل والفرات:</w:t>
                            </w:r>
                            <w:r w:rsidRPr="00254F20">
                              <w:rPr>
                                <w:rFonts w:ascii="Times New Roman" w:hAnsi="Times New Roman" w:cs="DanaFajr" w:hint="cs"/>
                                <w:sz w:val="34"/>
                                <w:szCs w:val="32"/>
                                <w:rtl/>
                                <w:lang w:eastAsia="ar-SA"/>
                              </w:rPr>
                              <w:t xml:space="preserve">  </w:t>
                            </w:r>
                            <w:r w:rsidRPr="00254F20">
                              <w:rPr>
                                <w:rFonts w:ascii="Times New Roman" w:hAnsi="Times New Roman" w:cs="DanaFajr" w:hint="cs"/>
                                <w:sz w:val="34"/>
                                <w:szCs w:val="32"/>
                                <w:rtl/>
                                <w:lang w:eastAsia="ar-SA"/>
                              </w:rPr>
                              <w:tab/>
                            </w:r>
                            <w:r w:rsidRPr="00254F20">
                              <w:rPr>
                                <w:rFonts w:ascii="Times New Roman" w:hAnsi="Times New Roman" w:cs="Times New Roman"/>
                                <w:sz w:val="21"/>
                                <w:szCs w:val="21"/>
                                <w:u w:val="single"/>
                                <w:lang w:eastAsia="ar-SA"/>
                              </w:rPr>
                              <w:t>http://www.neelwafurat.com</w:t>
                            </w:r>
                          </w:p>
                          <w:p w:rsidR="00C14EDE" w:rsidRPr="00254F20" w:rsidRDefault="00C14EDE" w:rsidP="0046539E">
                            <w:pPr>
                              <w:widowControl/>
                              <w:tabs>
                                <w:tab w:val="right" w:pos="7030"/>
                              </w:tabs>
                              <w:spacing w:line="280" w:lineRule="exact"/>
                              <w:ind w:left="284" w:firstLine="0"/>
                              <w:jc w:val="left"/>
                              <w:rPr>
                                <w:rFonts w:ascii="Times New Roman" w:hAnsi="Times New Roman" w:cs="DanaFajr"/>
                                <w:sz w:val="34"/>
                                <w:szCs w:val="32"/>
                                <w:rtl/>
                                <w:lang w:eastAsia="ar-SA"/>
                              </w:rPr>
                            </w:pPr>
                            <w:r w:rsidRPr="00254F20">
                              <w:rPr>
                                <w:rFonts w:ascii="Times New Roman" w:hAnsi="Times New Roman" w:cs="DanaFajr" w:hint="cs"/>
                                <w:b/>
                                <w:bCs/>
                                <w:szCs w:val="28"/>
                                <w:rtl/>
                                <w:lang w:eastAsia="ar-SA"/>
                              </w:rPr>
                              <w:t xml:space="preserve">٭ المكتبة الإلكترونية العربية على الإنترنت: </w:t>
                            </w:r>
                            <w:r w:rsidRPr="00254F20">
                              <w:rPr>
                                <w:rFonts w:ascii="Times New Roman" w:hAnsi="Times New Roman" w:cs="DanaFajr" w:hint="cs"/>
                                <w:b/>
                                <w:bCs/>
                                <w:szCs w:val="28"/>
                                <w:rtl/>
                                <w:lang w:eastAsia="ar-SA"/>
                              </w:rPr>
                              <w:tab/>
                            </w:r>
                            <w:r w:rsidRPr="00254F20">
                              <w:rPr>
                                <w:rFonts w:ascii="Times New Roman" w:hAnsi="Times New Roman" w:cs="Times New Roman"/>
                                <w:sz w:val="21"/>
                                <w:szCs w:val="21"/>
                                <w:u w:val="single"/>
                                <w:lang w:eastAsia="ar-SA"/>
                              </w:rPr>
                              <w:t>http://www.arabicebook.com</w:t>
                            </w:r>
                          </w:p>
                          <w:p w:rsidR="00C14EDE" w:rsidRPr="00254F20" w:rsidRDefault="00C14EDE" w:rsidP="000334F4">
                            <w:pPr>
                              <w:widowControl/>
                              <w:tabs>
                                <w:tab w:val="right" w:pos="7030"/>
                              </w:tabs>
                              <w:spacing w:line="280" w:lineRule="exact"/>
                              <w:ind w:left="284" w:firstLine="0"/>
                              <w:jc w:val="left"/>
                              <w:rPr>
                                <w:rFonts w:ascii="Times New Roman" w:hAnsi="Times New Roman" w:cs="DanaFajr"/>
                                <w:sz w:val="22"/>
                                <w:szCs w:val="24"/>
                                <w:rtl/>
                                <w:lang w:eastAsia="ar-SA"/>
                              </w:rPr>
                            </w:pPr>
                            <w:r w:rsidRPr="00254F20">
                              <w:rPr>
                                <w:rFonts w:ascii="Times New Roman" w:hAnsi="Times New Roman" w:cs="DanaFajr" w:hint="cs"/>
                                <w:b/>
                                <w:bCs/>
                                <w:szCs w:val="28"/>
                                <w:rtl/>
                                <w:lang w:eastAsia="ar-SA"/>
                              </w:rPr>
                              <w:t>٭</w:t>
                            </w:r>
                            <w:r w:rsidRPr="00254F20">
                              <w:rPr>
                                <w:rFonts w:ascii="Times New Roman" w:hAnsi="Times New Roman" w:cs="DanaFajr" w:hint="cs"/>
                                <w:sz w:val="38"/>
                                <w:szCs w:val="36"/>
                                <w:rtl/>
                                <w:lang w:eastAsia="ar-SA"/>
                              </w:rPr>
                              <w:t xml:space="preserve"> </w:t>
                            </w:r>
                            <w:r w:rsidRPr="00254F20">
                              <w:rPr>
                                <w:rFonts w:ascii="Times New Roman" w:hAnsi="Times New Roman" w:cs="DanaFajr" w:hint="cs"/>
                                <w:b/>
                                <w:bCs/>
                                <w:szCs w:val="28"/>
                                <w:rtl/>
                                <w:lang w:eastAsia="ar-SA"/>
                              </w:rPr>
                              <w:t>بريطانيا وأوروپا، دار الحكمة للطباعة والنشر والتوزيع:</w:t>
                            </w:r>
                          </w:p>
                          <w:p w:rsidR="00C14EDE" w:rsidRDefault="00C14EDE" w:rsidP="000334F4">
                            <w:pPr>
                              <w:widowControl/>
                              <w:tabs>
                                <w:tab w:val="right" w:pos="7030"/>
                              </w:tabs>
                              <w:bidi w:val="0"/>
                              <w:spacing w:line="280" w:lineRule="exact"/>
                              <w:ind w:firstLine="0"/>
                              <w:jc w:val="left"/>
                              <w:rPr>
                                <w:rFonts w:ascii="Mosawi" w:hAnsi="Mosawi" w:cs="Mosawi"/>
                                <w:b/>
                                <w:bCs/>
                                <w:sz w:val="20"/>
                                <w:szCs w:val="21"/>
                              </w:rPr>
                            </w:pPr>
                            <w:r w:rsidRPr="00254F20">
                              <w:rPr>
                                <w:rFonts w:ascii="Times New Roman" w:hAnsi="Times New Roman" w:cs="DanaFajr"/>
                                <w:sz w:val="21"/>
                                <w:szCs w:val="21"/>
                                <w:lang w:eastAsia="ar-SA"/>
                              </w:rPr>
                              <w:t>United Kingdom</w:t>
                            </w:r>
                            <w:r w:rsidRPr="00254F20">
                              <w:rPr>
                                <w:rFonts w:ascii="Times New Roman" w:hAnsi="Times New Roman" w:cs="DanaFajr"/>
                                <w:b/>
                                <w:bCs/>
                                <w:sz w:val="21"/>
                                <w:szCs w:val="21"/>
                                <w:lang w:eastAsia="ar-SA"/>
                              </w:rPr>
                              <w:t xml:space="preserve">, </w:t>
                            </w:r>
                            <w:r w:rsidRPr="00254F20">
                              <w:rPr>
                                <w:rFonts w:ascii="Times New Roman" w:hAnsi="Times New Roman" w:cs="DanaFajr"/>
                                <w:sz w:val="21"/>
                                <w:szCs w:val="21"/>
                                <w:lang w:eastAsia="ar-SA"/>
                              </w:rPr>
                              <w:t>London</w:t>
                            </w:r>
                            <w:r w:rsidRPr="00254F20">
                              <w:rPr>
                                <w:rFonts w:ascii="Times New Roman" w:hAnsi="Times New Roman" w:cs="DanaFajr"/>
                                <w:b/>
                                <w:bCs/>
                                <w:sz w:val="21"/>
                                <w:szCs w:val="21"/>
                                <w:lang w:eastAsia="ar-SA"/>
                              </w:rPr>
                              <w:t xml:space="preserve">, </w:t>
                            </w:r>
                            <w:r w:rsidRPr="00254F20">
                              <w:rPr>
                                <w:rFonts w:ascii="Times New Roman" w:hAnsi="Times New Roman" w:cs="DanaFajr"/>
                                <w:sz w:val="21"/>
                                <w:szCs w:val="21"/>
                                <w:lang w:eastAsia="ar-SA"/>
                              </w:rPr>
                              <w:t>NW1</w:t>
                            </w:r>
                            <w:r w:rsidRPr="00254F20">
                              <w:rPr>
                                <w:rFonts w:ascii="Times New Roman" w:hAnsi="Times New Roman" w:cs="DanaFajr"/>
                                <w:b/>
                                <w:bCs/>
                                <w:sz w:val="21"/>
                                <w:szCs w:val="21"/>
                                <w:lang w:eastAsia="ar-SA"/>
                              </w:rPr>
                              <w:t xml:space="preserve">, </w:t>
                            </w:r>
                            <w:r w:rsidRPr="00254F20">
                              <w:rPr>
                                <w:rFonts w:ascii="Times New Roman" w:hAnsi="Times New Roman" w:cs="DanaFajr"/>
                                <w:sz w:val="21"/>
                                <w:szCs w:val="21"/>
                                <w:lang w:eastAsia="ar-SA"/>
                              </w:rPr>
                              <w:t xml:space="preserve">1HJ, Chalton Street </w:t>
                            </w:r>
                            <w:r w:rsidRPr="00DA55CE">
                              <w:rPr>
                                <w:rFonts w:ascii="Times New Roman" w:hAnsi="Times New Roman" w:cs="DanaFajr"/>
                                <w:sz w:val="21"/>
                                <w:szCs w:val="21"/>
                                <w:lang w:eastAsia="ar-SA"/>
                              </w:rPr>
                              <w:t>88, Tel: (+4420)</w:t>
                            </w:r>
                            <w:r>
                              <w:rPr>
                                <w:rFonts w:ascii="Times New Roman" w:hAnsi="Times New Roman" w:cs="DanaFajr"/>
                                <w:sz w:val="21"/>
                                <w:szCs w:val="21"/>
                                <w:lang w:eastAsia="ar-SA"/>
                              </w:rPr>
                              <w:t xml:space="preserve"> </w:t>
                            </w:r>
                            <w:r w:rsidRPr="00DA55CE">
                              <w:rPr>
                                <w:rFonts w:ascii="Times New Roman" w:hAnsi="Times New Roman" w:cs="DanaFajr"/>
                                <w:sz w:val="21"/>
                                <w:szCs w:val="21"/>
                                <w:lang w:eastAsia="ar-SA"/>
                              </w:rPr>
                              <w:t>73834037.</w:t>
                            </w:r>
                          </w:p>
                          <w:p w:rsidR="00C14EDE" w:rsidRDefault="00C14EDE"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8B4A08" w:rsidRDefault="008B4A08"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8B4A08" w:rsidRPr="00254F20" w:rsidRDefault="008B4A08" w:rsidP="00A46BB1">
                      <w:pPr>
                        <w:widowControl/>
                        <w:spacing w:before="120" w:line="280" w:lineRule="exact"/>
                        <w:ind w:left="426" w:hanging="142"/>
                        <w:rPr>
                          <w:rFonts w:ascii="Times New Roman" w:hAnsi="Times New Roman" w:cs="DanaFajr"/>
                          <w:b/>
                          <w:bCs/>
                          <w:szCs w:val="28"/>
                          <w:rtl/>
                          <w:lang w:eastAsia="ar-SA"/>
                        </w:rPr>
                      </w:pPr>
                      <w:r w:rsidRPr="00254F20">
                        <w:rPr>
                          <w:rFonts w:ascii="Times New Roman" w:hAnsi="Times New Roman" w:cs="DanaFajr" w:hint="cs"/>
                          <w:b/>
                          <w:bCs/>
                          <w:sz w:val="30"/>
                          <w:szCs w:val="28"/>
                          <w:rtl/>
                          <w:lang w:eastAsia="ar-SA"/>
                        </w:rPr>
                        <w:t>٭</w:t>
                      </w:r>
                      <w:r w:rsidRPr="00254F20">
                        <w:rPr>
                          <w:rFonts w:ascii="Times New Roman" w:hAnsi="Times New Roman" w:cs="DanaFajr" w:hint="cs"/>
                          <w:szCs w:val="28"/>
                          <w:rtl/>
                          <w:lang w:eastAsia="ar-SA"/>
                        </w:rPr>
                        <w:t xml:space="preserve"> </w:t>
                      </w:r>
                      <w:r w:rsidRPr="00254F20">
                        <w:rPr>
                          <w:rFonts w:ascii="Times New Roman" w:hAnsi="Times New Roman" w:cs="DanaFajr" w:hint="cs"/>
                          <w:b/>
                          <w:bCs/>
                          <w:szCs w:val="28"/>
                          <w:rtl/>
                          <w:lang w:eastAsia="ar-SA"/>
                        </w:rPr>
                        <w:t>لبنان: دار المحجّة البيضاء للطباعة والنشر والتوزيع، بيروت، الرويس،</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خلف محفوظ ستورز، بناية رمّال، ص.ب: 5479</w:t>
                      </w:r>
                      <w:r w:rsidRPr="00254F20">
                        <w:rPr>
                          <w:rFonts w:ascii="Times New Roman" w:hAnsi="Times New Roman" w:cs="DanaFajr" w:hint="cs"/>
                          <w:b/>
                          <w:bCs/>
                          <w:sz w:val="20"/>
                          <w:szCs w:val="20"/>
                          <w:rtl/>
                          <w:lang w:eastAsia="ar-SA"/>
                        </w:rPr>
                        <w:t>/</w:t>
                      </w:r>
                      <w:r w:rsidRPr="00254F20">
                        <w:rPr>
                          <w:rFonts w:ascii="Times New Roman" w:hAnsi="Times New Roman" w:cs="DanaFajr" w:hint="cs"/>
                          <w:b/>
                          <w:bCs/>
                          <w:szCs w:val="28"/>
                          <w:rtl/>
                          <w:lang w:eastAsia="ar-SA"/>
                        </w:rPr>
                        <w:t>14، هاتف: 541211(9611+).</w:t>
                      </w:r>
                    </w:p>
                    <w:p w:rsidR="008B4A08" w:rsidRPr="00254F20" w:rsidRDefault="008B4A08" w:rsidP="0046539E">
                      <w:pPr>
                        <w:widowControl/>
                        <w:spacing w:line="280" w:lineRule="exact"/>
                        <w:ind w:left="283" w:firstLine="0"/>
                        <w:rPr>
                          <w:rFonts w:ascii="Times New Roman" w:hAnsi="Times New Roman" w:cs="DanaFajr"/>
                          <w:b/>
                          <w:bCs/>
                          <w:szCs w:val="28"/>
                          <w:rtl/>
                          <w:lang w:eastAsia="ar-SA"/>
                        </w:rPr>
                      </w:pPr>
                      <w:r w:rsidRPr="00254F20">
                        <w:rPr>
                          <w:rFonts w:ascii="Times New Roman" w:hAnsi="Times New Roman" w:cs="DanaFajr" w:hint="cs"/>
                          <w:b/>
                          <w:bCs/>
                          <w:szCs w:val="28"/>
                          <w:rtl/>
                          <w:lang w:eastAsia="ar-SA"/>
                        </w:rPr>
                        <w:t>٭ مملكة البحرين: شركة دار الوسط للنشر والتوزيع، هاتف: 17596969(973+).</w:t>
                      </w:r>
                    </w:p>
                    <w:p w:rsidR="008B4A08" w:rsidRPr="00254F20" w:rsidRDefault="008B4A08" w:rsidP="00D245C4">
                      <w:pPr>
                        <w:widowControl/>
                        <w:spacing w:line="280" w:lineRule="exact"/>
                        <w:ind w:left="283" w:firstLine="0"/>
                        <w:rPr>
                          <w:rFonts w:ascii="Times New Roman" w:hAnsi="Times New Roman" w:cs="DanaFajr"/>
                          <w:b/>
                          <w:bCs/>
                          <w:szCs w:val="28"/>
                          <w:rtl/>
                          <w:lang w:eastAsia="ar-SA"/>
                        </w:rPr>
                      </w:pPr>
                      <w:r w:rsidRPr="00254F20">
                        <w:rPr>
                          <w:rFonts w:ascii="Times New Roman" w:hAnsi="Times New Roman" w:cs="DanaFajr" w:hint="cs"/>
                          <w:b/>
                          <w:bCs/>
                          <w:szCs w:val="28"/>
                          <w:rtl/>
                          <w:lang w:eastAsia="ar-SA"/>
                        </w:rPr>
                        <w:t>٭ جمهورية مصر العربية: مؤسسة الأهرام، القاهرة، شارع الجلاء، هاتف: 7704365(202+).</w:t>
                      </w:r>
                    </w:p>
                    <w:p w:rsidR="008B4A08" w:rsidRPr="00254F20" w:rsidRDefault="008B4A08" w:rsidP="00EE48AD">
                      <w:pPr>
                        <w:widowControl/>
                        <w:spacing w:line="280" w:lineRule="exact"/>
                        <w:ind w:left="283" w:firstLine="0"/>
                        <w:rPr>
                          <w:rFonts w:ascii="Times New Roman" w:hAnsi="Times New Roman" w:cs="DanaFajr"/>
                          <w:b/>
                          <w:bCs/>
                          <w:szCs w:val="28"/>
                          <w:rtl/>
                          <w:lang w:eastAsia="ar-SA"/>
                        </w:rPr>
                      </w:pPr>
                      <w:r w:rsidRPr="00254F20">
                        <w:rPr>
                          <w:rFonts w:ascii="Times New Roman" w:hAnsi="Times New Roman" w:cs="DanaFajr" w:hint="cs"/>
                          <w:b/>
                          <w:bCs/>
                          <w:szCs w:val="28"/>
                          <w:rtl/>
                          <w:lang w:eastAsia="ar-SA"/>
                        </w:rPr>
                        <w:t>٭ الإمارات العربية المتحدة: دار الحكمة، دبي، هاتف: 2665394(9714+).</w:t>
                      </w:r>
                    </w:p>
                    <w:p w:rsidR="008B4A08" w:rsidRPr="00254F20" w:rsidRDefault="008B4A08" w:rsidP="00A46BB1">
                      <w:pPr>
                        <w:widowControl/>
                        <w:spacing w:line="280" w:lineRule="exact"/>
                        <w:ind w:left="426" w:hanging="142"/>
                        <w:rPr>
                          <w:rFonts w:ascii="Times New Roman" w:hAnsi="Times New Roman" w:cs="DanaFajr"/>
                          <w:b/>
                          <w:bCs/>
                          <w:szCs w:val="28"/>
                          <w:rtl/>
                          <w:lang w:eastAsia="ar-SA"/>
                        </w:rPr>
                      </w:pPr>
                      <w:r w:rsidRPr="00254F20">
                        <w:rPr>
                          <w:rFonts w:ascii="Times New Roman" w:hAnsi="Times New Roman" w:cs="DanaFajr" w:hint="cs"/>
                          <w:b/>
                          <w:bCs/>
                          <w:szCs w:val="28"/>
                          <w:rtl/>
                          <w:lang w:eastAsia="ar-SA"/>
                        </w:rPr>
                        <w:t>٭ المغرب: (سبريس) الشركة</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العربية</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الإفريقية</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للتوزيع</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والنشر</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والصحافة، الدار</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البيضاء، 70</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زنقة</w:t>
                      </w:r>
                      <w:r w:rsidRPr="00254F20">
                        <w:rPr>
                          <w:rFonts w:ascii="Times New Roman" w:hAnsi="Times New Roman" w:cs="DanaFajr"/>
                          <w:b/>
                          <w:bCs/>
                          <w:szCs w:val="28"/>
                          <w:lang w:eastAsia="ar-SA"/>
                        </w:rPr>
                        <w:t xml:space="preserve"> </w:t>
                      </w:r>
                      <w:r w:rsidRPr="00254F20">
                        <w:rPr>
                          <w:rFonts w:ascii="Times New Roman" w:hAnsi="Times New Roman" w:cs="DanaFajr" w:hint="cs"/>
                          <w:b/>
                          <w:bCs/>
                          <w:szCs w:val="28"/>
                          <w:rtl/>
                          <w:lang w:eastAsia="ar-SA"/>
                        </w:rPr>
                        <w:t>سجلماسة.</w:t>
                      </w:r>
                    </w:p>
                    <w:p w:rsidR="008B4A08" w:rsidRPr="00254F20" w:rsidRDefault="008B4A08" w:rsidP="00801BDE">
                      <w:pPr>
                        <w:spacing w:after="60" w:line="280" w:lineRule="exact"/>
                        <w:ind w:left="426" w:hanging="142"/>
                        <w:rPr>
                          <w:rFonts w:ascii="Times New Roman" w:hAnsi="Times New Roman" w:cs="DanaFajr"/>
                          <w:b/>
                          <w:bCs/>
                          <w:szCs w:val="28"/>
                          <w:rtl/>
                          <w:lang w:eastAsia="ar-SA"/>
                        </w:rPr>
                      </w:pPr>
                      <w:r w:rsidRPr="00254F20">
                        <w:rPr>
                          <w:rFonts w:ascii="Times New Roman" w:hAnsi="Times New Roman" w:cs="DanaFajr" w:hint="cs"/>
                          <w:b/>
                          <w:bCs/>
                          <w:szCs w:val="28"/>
                          <w:rtl/>
                          <w:lang w:eastAsia="ar-SA"/>
                        </w:rPr>
                        <w:t xml:space="preserve">٭ </w:t>
                      </w:r>
                      <w:r w:rsidRPr="00254F20">
                        <w:rPr>
                          <w:rFonts w:ascii="Times New Roman" w:hAnsi="Times New Roman" w:cs="DanaFajr" w:hint="cs"/>
                          <w:b/>
                          <w:bCs/>
                          <w:spacing w:val="-8"/>
                          <w:szCs w:val="28"/>
                          <w:rtl/>
                          <w:lang w:eastAsia="ar-SA"/>
                        </w:rPr>
                        <w:t xml:space="preserve">العراق: 1ـ </w:t>
                      </w:r>
                      <w:r w:rsidRPr="00254F20">
                        <w:rPr>
                          <w:rFonts w:cs="DanaFajr" w:hint="cs"/>
                          <w:b/>
                          <w:bCs/>
                          <w:noProof/>
                          <w:szCs w:val="28"/>
                          <w:rtl/>
                        </w:rPr>
                        <w:t>دار الكتاب العربي، بغداد، شارع المتنبي، هاتف:</w:t>
                      </w:r>
                      <w:r w:rsidRPr="00254F20">
                        <w:rPr>
                          <w:rFonts w:cs="DanaFajr" w:hint="cs"/>
                          <w:b/>
                          <w:bCs/>
                          <w:szCs w:val="28"/>
                          <w:rtl/>
                        </w:rPr>
                        <w:t xml:space="preserve"> </w:t>
                      </w:r>
                      <w:r w:rsidRPr="00254F20">
                        <w:rPr>
                          <w:rFonts w:cs="DanaFajr" w:hint="cs"/>
                          <w:b/>
                          <w:bCs/>
                          <w:noProof/>
                          <w:szCs w:val="28"/>
                          <w:rtl/>
                        </w:rPr>
                        <w:t>7901419375(964</w:t>
                      </w:r>
                      <w:r w:rsidRPr="00254F20">
                        <w:rPr>
                          <w:rFonts w:cs="DanaFajr" w:hint="cs"/>
                          <w:b/>
                          <w:bCs/>
                          <w:szCs w:val="28"/>
                          <w:rtl/>
                        </w:rPr>
                        <w:t>+</w:t>
                      </w:r>
                      <w:r w:rsidRPr="00254F20">
                        <w:rPr>
                          <w:rFonts w:cs="DanaFajr" w:hint="cs"/>
                          <w:b/>
                          <w:bCs/>
                          <w:noProof/>
                          <w:szCs w:val="28"/>
                          <w:rtl/>
                        </w:rPr>
                        <w:t xml:space="preserve">). 2ـ مكتبة العين، بغداد، شارع المتنبي، </w:t>
                      </w:r>
                      <w:r w:rsidRPr="00254F20">
                        <w:rPr>
                          <w:rFonts w:cs="DanaFajr" w:hint="cs"/>
                          <w:b/>
                          <w:bCs/>
                          <w:szCs w:val="28"/>
                          <w:rtl/>
                        </w:rPr>
                        <w:t xml:space="preserve">هاتف: 7700728816(964+). 3ـ مكتبة القائم، الكاظمية، باب المراد، خلف عمارة النواب. 4ـ </w:t>
                      </w:r>
                      <w:r w:rsidRPr="00254F20">
                        <w:rPr>
                          <w:rFonts w:cs="DanaFajr" w:hint="cs"/>
                          <w:b/>
                          <w:bCs/>
                          <w:noProof/>
                          <w:szCs w:val="28"/>
                          <w:rtl/>
                        </w:rPr>
                        <w:t>دار الغدير، النجف، سوق الحويش، هاتف: 7801752581(964</w:t>
                      </w:r>
                      <w:r w:rsidRPr="00254F20">
                        <w:rPr>
                          <w:rFonts w:ascii="Times New Roman" w:hAnsi="Times New Roman" w:cs="DanaFajr" w:hint="cs"/>
                          <w:b/>
                          <w:bCs/>
                          <w:szCs w:val="28"/>
                          <w:rtl/>
                          <w:lang w:eastAsia="ar-SA"/>
                        </w:rPr>
                        <w:t>+</w:t>
                      </w:r>
                      <w:r w:rsidRPr="00254F20">
                        <w:rPr>
                          <w:rFonts w:cs="DanaFajr" w:hint="cs"/>
                          <w:b/>
                          <w:bCs/>
                          <w:noProof/>
                          <w:szCs w:val="28"/>
                          <w:rtl/>
                        </w:rPr>
                        <w:t xml:space="preserve">). 5ـ مؤسّسة العطّار الثقافية، النجف، سوق الحويش، هاتف: </w:t>
                      </w:r>
                      <w:r w:rsidRPr="00254F20">
                        <w:rPr>
                          <w:rFonts w:cs="DanaFajr" w:hint="cs"/>
                          <w:b/>
                          <w:bCs/>
                          <w:szCs w:val="28"/>
                          <w:rtl/>
                        </w:rPr>
                        <w:t>7501608589(964+). 6ـ </w:t>
                      </w:r>
                      <w:r w:rsidRPr="00254F20">
                        <w:rPr>
                          <w:rFonts w:cs="DanaFajr" w:hint="cs"/>
                          <w:b/>
                          <w:bCs/>
                          <w:noProof/>
                          <w:szCs w:val="28"/>
                          <w:rtl/>
                        </w:rPr>
                        <w:t>دار الكتب للطباعة والنشر، كربلاء، شارع قبلة الإمام الحسين</w:t>
                      </w:r>
                      <w:r w:rsidRPr="00801BDE">
                        <w:rPr>
                          <w:rFonts w:ascii="Mosawi" w:hAnsi="Mosawi" w:cs="Mosawi"/>
                          <w:sz w:val="20"/>
                          <w:szCs w:val="20"/>
                          <w:rtl/>
                        </w:rPr>
                        <w:t>×</w:t>
                      </w:r>
                      <w:r w:rsidRPr="00254F20">
                        <w:rPr>
                          <w:rFonts w:cs="DanaFajr" w:hint="cs"/>
                          <w:b/>
                          <w:bCs/>
                          <w:noProof/>
                          <w:szCs w:val="28"/>
                          <w:rtl/>
                        </w:rPr>
                        <w:t xml:space="preserve">، الفرع المقابل لمرقد ابن فهد الحلي، </w:t>
                      </w:r>
                      <w:r w:rsidRPr="00254F20">
                        <w:rPr>
                          <w:rFonts w:cs="DanaFajr" w:hint="cs"/>
                          <w:b/>
                          <w:bCs/>
                          <w:szCs w:val="28"/>
                          <w:rtl/>
                        </w:rPr>
                        <w:t>هاتف: 7811110341(964+).</w:t>
                      </w:r>
                    </w:p>
                    <w:p w:rsidR="008B4A08" w:rsidRPr="00254F20" w:rsidRDefault="008B4A08" w:rsidP="0046539E">
                      <w:pPr>
                        <w:widowControl/>
                        <w:spacing w:line="280" w:lineRule="exact"/>
                        <w:ind w:left="283" w:firstLine="0"/>
                        <w:rPr>
                          <w:rFonts w:ascii="Times New Roman" w:hAnsi="Times New Roman" w:cs="DanaFajr"/>
                          <w:b/>
                          <w:bCs/>
                          <w:szCs w:val="28"/>
                          <w:rtl/>
                          <w:lang w:eastAsia="ar-SA"/>
                        </w:rPr>
                      </w:pPr>
                      <w:r w:rsidRPr="00254F20">
                        <w:rPr>
                          <w:rFonts w:ascii="Times New Roman" w:hAnsi="Times New Roman" w:cs="DanaFajr" w:hint="cs"/>
                          <w:b/>
                          <w:bCs/>
                          <w:szCs w:val="28"/>
                          <w:rtl/>
                          <w:lang w:eastAsia="ar-SA"/>
                        </w:rPr>
                        <w:t xml:space="preserve">٭ </w:t>
                      </w:r>
                      <w:r w:rsidRPr="00254F20">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254F20">
                        <w:rPr>
                          <w:rFonts w:ascii="Times New Roman" w:hAnsi="Times New Roman" w:cs="DanaFajr" w:hint="cs"/>
                          <w:b/>
                          <w:bCs/>
                          <w:szCs w:val="28"/>
                          <w:rtl/>
                          <w:lang w:eastAsia="ar-SA"/>
                        </w:rPr>
                        <w:t>+</w:t>
                      </w:r>
                      <w:r w:rsidRPr="00254F20">
                        <w:rPr>
                          <w:rFonts w:ascii="Times New Roman" w:hAnsi="Times New Roman" w:cs="DanaFajr" w:hint="cs"/>
                          <w:b/>
                          <w:bCs/>
                          <w:spacing w:val="-8"/>
                          <w:szCs w:val="28"/>
                          <w:rtl/>
                          <w:lang w:eastAsia="ar-SA"/>
                        </w:rPr>
                        <w:t>).</w:t>
                      </w:r>
                    </w:p>
                    <w:p w:rsidR="008B4A08" w:rsidRPr="00254F20" w:rsidRDefault="008B4A08" w:rsidP="00A46BB1">
                      <w:pPr>
                        <w:widowControl/>
                        <w:spacing w:line="280" w:lineRule="exact"/>
                        <w:ind w:left="426" w:hanging="142"/>
                        <w:rPr>
                          <w:rFonts w:ascii="Times New Roman" w:hAnsi="Times New Roman" w:cs="DanaFajr"/>
                          <w:b/>
                          <w:bCs/>
                          <w:szCs w:val="28"/>
                          <w:rtl/>
                          <w:lang w:eastAsia="ar-SA"/>
                        </w:rPr>
                      </w:pPr>
                      <w:r w:rsidRPr="00254F20">
                        <w:rPr>
                          <w:rFonts w:ascii="Times New Roman" w:hAnsi="Times New Roman" w:cs="DanaFajr" w:hint="cs"/>
                          <w:b/>
                          <w:bCs/>
                          <w:szCs w:val="28"/>
                          <w:rtl/>
                          <w:lang w:eastAsia="ar-SA"/>
                        </w:rPr>
                        <w:t>٭ إيران: 1ـ مكتبة الهاشمي، قم، كذرخان، هاتف: 7743543(9825</w:t>
                      </w:r>
                      <w:r w:rsidRPr="00254F20">
                        <w:rPr>
                          <w:rFonts w:ascii="Times New Roman" w:hAnsi="Times New Roman" w:cs="DanaFajr" w:hint="cs"/>
                          <w:b/>
                          <w:bCs/>
                          <w:szCs w:val="28"/>
                          <w:rtl/>
                          <w:lang w:eastAsia="ar-SA" w:bidi="ar-LB"/>
                        </w:rPr>
                        <w:t>3</w:t>
                      </w:r>
                      <w:r w:rsidRPr="00254F20">
                        <w:rPr>
                          <w:rFonts w:ascii="Times New Roman" w:hAnsi="Times New Roman" w:cs="DanaFajr" w:hint="cs"/>
                          <w:b/>
                          <w:bCs/>
                          <w:szCs w:val="28"/>
                          <w:rtl/>
                          <w:lang w:eastAsia="ar-SA"/>
                        </w:rPr>
                        <w:t xml:space="preserve">+). 2ـ </w:t>
                      </w:r>
                      <w:r w:rsidRPr="00254F20">
                        <w:rPr>
                          <w:rFonts w:cs="DanaFajr" w:hint="cs"/>
                          <w:b/>
                          <w:bCs/>
                          <w:noProof/>
                          <w:szCs w:val="28"/>
                          <w:rtl/>
                        </w:rPr>
                        <w:t>مؤسّسة البلاغ، قم، سوق القدس، الطابق الأوّل</w:t>
                      </w:r>
                      <w:r w:rsidRPr="00254F20">
                        <w:rPr>
                          <w:rFonts w:ascii="Times New Roman" w:hAnsi="Times New Roman" w:cs="DanaFajr" w:hint="cs"/>
                          <w:b/>
                          <w:bCs/>
                          <w:szCs w:val="28"/>
                          <w:rtl/>
                          <w:lang w:eastAsia="ar-SA"/>
                        </w:rPr>
                        <w:t xml:space="preserve">. 3ـ دفتر تبليغات </w:t>
                      </w:r>
                      <w:r w:rsidRPr="00801BDE">
                        <w:rPr>
                          <w:rFonts w:ascii="Times New Roman" w:hAnsi="Times New Roman" w:hint="cs"/>
                          <w:b/>
                          <w:bCs/>
                          <w:sz w:val="24"/>
                          <w:szCs w:val="24"/>
                          <w:rtl/>
                          <w:lang w:eastAsia="ar-SA"/>
                        </w:rPr>
                        <w:t>«</w:t>
                      </w:r>
                      <w:r w:rsidRPr="00254F20">
                        <w:rPr>
                          <w:rFonts w:ascii="Times New Roman" w:hAnsi="Times New Roman" w:cs="DanaFajr" w:hint="cs"/>
                          <w:b/>
                          <w:bCs/>
                          <w:szCs w:val="28"/>
                          <w:rtl/>
                          <w:lang w:eastAsia="ar-SA"/>
                        </w:rPr>
                        <w:t>بوستان كتاب</w:t>
                      </w:r>
                      <w:r w:rsidRPr="00801BDE">
                        <w:rPr>
                          <w:rFonts w:ascii="Times New Roman" w:hAnsi="Times New Roman" w:hint="cs"/>
                          <w:b/>
                          <w:bCs/>
                          <w:sz w:val="24"/>
                          <w:szCs w:val="24"/>
                          <w:rtl/>
                          <w:lang w:eastAsia="ar-SA"/>
                        </w:rPr>
                        <w:t>»</w:t>
                      </w:r>
                      <w:r w:rsidRPr="00254F20">
                        <w:rPr>
                          <w:rFonts w:ascii="Times New Roman" w:hAnsi="Times New Roman" w:cs="DanaFajr" w:hint="cs"/>
                          <w:b/>
                          <w:bCs/>
                          <w:szCs w:val="28"/>
                          <w:rtl/>
                          <w:lang w:eastAsia="ar-SA"/>
                        </w:rPr>
                        <w:t>، قم، چهار راه شهدا، هاتف: 7742155(98253+).</w:t>
                      </w:r>
                    </w:p>
                    <w:p w:rsidR="008B4A08" w:rsidRPr="00254F20" w:rsidRDefault="008B4A08" w:rsidP="0056035A">
                      <w:pPr>
                        <w:widowControl/>
                        <w:spacing w:line="280" w:lineRule="exact"/>
                        <w:ind w:left="283" w:firstLine="0"/>
                        <w:rPr>
                          <w:rFonts w:ascii="Times New Roman" w:hAnsi="Times New Roman" w:cs="DanaFajr"/>
                          <w:b/>
                          <w:bCs/>
                          <w:szCs w:val="28"/>
                          <w:lang w:eastAsia="ar-SA"/>
                        </w:rPr>
                      </w:pPr>
                      <w:r w:rsidRPr="00254F20">
                        <w:rPr>
                          <w:rFonts w:ascii="Times New Roman" w:hAnsi="Times New Roman" w:cs="DanaFajr" w:hint="cs"/>
                          <w:b/>
                          <w:bCs/>
                          <w:szCs w:val="28"/>
                          <w:rtl/>
                          <w:lang w:eastAsia="ar-SA"/>
                        </w:rPr>
                        <w:t xml:space="preserve">٭ </w:t>
                      </w:r>
                      <w:r w:rsidRPr="00254F20">
                        <w:rPr>
                          <w:rFonts w:ascii="Times New Roman" w:hAnsi="Times New Roman" w:cs="DanaFajr" w:hint="cs"/>
                          <w:b/>
                          <w:bCs/>
                          <w:spacing w:val="-8"/>
                          <w:szCs w:val="28"/>
                          <w:rtl/>
                          <w:lang w:eastAsia="ar-SA"/>
                        </w:rPr>
                        <w:t>تونس: دار الزهراء للتوزيع والنشر، تونس العاصمة، هاتف: 98343821(216</w:t>
                      </w:r>
                      <w:r w:rsidRPr="00254F20">
                        <w:rPr>
                          <w:rFonts w:ascii="Times New Roman" w:hAnsi="Times New Roman" w:cs="DanaFajr" w:hint="cs"/>
                          <w:b/>
                          <w:bCs/>
                          <w:szCs w:val="28"/>
                          <w:rtl/>
                          <w:lang w:eastAsia="ar-SA"/>
                        </w:rPr>
                        <w:t>+</w:t>
                      </w:r>
                      <w:r w:rsidRPr="00254F20">
                        <w:rPr>
                          <w:rFonts w:ascii="Times New Roman" w:hAnsi="Times New Roman" w:cs="DanaFajr" w:hint="cs"/>
                          <w:b/>
                          <w:bCs/>
                          <w:spacing w:val="-8"/>
                          <w:szCs w:val="28"/>
                          <w:rtl/>
                          <w:lang w:eastAsia="ar-SA"/>
                        </w:rPr>
                        <w:t>).</w:t>
                      </w:r>
                    </w:p>
                    <w:p w:rsidR="008B4A08" w:rsidRPr="00254F20" w:rsidRDefault="008B4A08" w:rsidP="0046539E">
                      <w:pPr>
                        <w:widowControl/>
                        <w:tabs>
                          <w:tab w:val="right" w:pos="7030"/>
                        </w:tabs>
                        <w:spacing w:line="280" w:lineRule="exact"/>
                        <w:ind w:left="284" w:firstLine="0"/>
                        <w:jc w:val="left"/>
                        <w:rPr>
                          <w:rFonts w:ascii="Times New Roman" w:hAnsi="Times New Roman" w:cs="Times New Roman"/>
                          <w:b/>
                          <w:bCs/>
                          <w:sz w:val="27"/>
                          <w:szCs w:val="24"/>
                          <w:u w:val="single"/>
                          <w:rtl/>
                          <w:lang w:eastAsia="ar-SA"/>
                        </w:rPr>
                      </w:pPr>
                      <w:r w:rsidRPr="00254F20">
                        <w:rPr>
                          <w:rFonts w:ascii="Times New Roman" w:hAnsi="Times New Roman" w:cs="DanaFajr" w:hint="cs"/>
                          <w:b/>
                          <w:bCs/>
                          <w:szCs w:val="28"/>
                          <w:rtl/>
                          <w:lang w:eastAsia="ar-SA"/>
                        </w:rPr>
                        <w:t>٭ شبكة الإنترنت، مكتبة النيل والفرات:</w:t>
                      </w:r>
                      <w:r w:rsidRPr="00254F20">
                        <w:rPr>
                          <w:rFonts w:ascii="Times New Roman" w:hAnsi="Times New Roman" w:cs="DanaFajr" w:hint="cs"/>
                          <w:sz w:val="34"/>
                          <w:szCs w:val="32"/>
                          <w:rtl/>
                          <w:lang w:eastAsia="ar-SA"/>
                        </w:rPr>
                        <w:t xml:space="preserve">  </w:t>
                      </w:r>
                      <w:r w:rsidRPr="00254F20">
                        <w:rPr>
                          <w:rFonts w:ascii="Times New Roman" w:hAnsi="Times New Roman" w:cs="DanaFajr" w:hint="cs"/>
                          <w:sz w:val="34"/>
                          <w:szCs w:val="32"/>
                          <w:rtl/>
                          <w:lang w:eastAsia="ar-SA"/>
                        </w:rPr>
                        <w:tab/>
                      </w:r>
                      <w:r w:rsidRPr="00254F20">
                        <w:rPr>
                          <w:rFonts w:ascii="Times New Roman" w:hAnsi="Times New Roman" w:cs="Times New Roman"/>
                          <w:sz w:val="21"/>
                          <w:szCs w:val="21"/>
                          <w:u w:val="single"/>
                          <w:lang w:eastAsia="ar-SA"/>
                        </w:rPr>
                        <w:t>http://www.neelwafurat.com</w:t>
                      </w:r>
                    </w:p>
                    <w:p w:rsidR="008B4A08" w:rsidRPr="00254F20" w:rsidRDefault="008B4A08" w:rsidP="0046539E">
                      <w:pPr>
                        <w:widowControl/>
                        <w:tabs>
                          <w:tab w:val="right" w:pos="7030"/>
                        </w:tabs>
                        <w:spacing w:line="280" w:lineRule="exact"/>
                        <w:ind w:left="284" w:firstLine="0"/>
                        <w:jc w:val="left"/>
                        <w:rPr>
                          <w:rFonts w:ascii="Times New Roman" w:hAnsi="Times New Roman" w:cs="DanaFajr"/>
                          <w:sz w:val="34"/>
                          <w:szCs w:val="32"/>
                          <w:rtl/>
                          <w:lang w:eastAsia="ar-SA"/>
                        </w:rPr>
                      </w:pPr>
                      <w:r w:rsidRPr="00254F20">
                        <w:rPr>
                          <w:rFonts w:ascii="Times New Roman" w:hAnsi="Times New Roman" w:cs="DanaFajr" w:hint="cs"/>
                          <w:b/>
                          <w:bCs/>
                          <w:szCs w:val="28"/>
                          <w:rtl/>
                          <w:lang w:eastAsia="ar-SA"/>
                        </w:rPr>
                        <w:t xml:space="preserve">٭ المكتبة الإلكترونية العربية على الإنترنت: </w:t>
                      </w:r>
                      <w:r w:rsidRPr="00254F20">
                        <w:rPr>
                          <w:rFonts w:ascii="Times New Roman" w:hAnsi="Times New Roman" w:cs="DanaFajr" w:hint="cs"/>
                          <w:b/>
                          <w:bCs/>
                          <w:szCs w:val="28"/>
                          <w:rtl/>
                          <w:lang w:eastAsia="ar-SA"/>
                        </w:rPr>
                        <w:tab/>
                      </w:r>
                      <w:r w:rsidRPr="00254F20">
                        <w:rPr>
                          <w:rFonts w:ascii="Times New Roman" w:hAnsi="Times New Roman" w:cs="Times New Roman"/>
                          <w:sz w:val="21"/>
                          <w:szCs w:val="21"/>
                          <w:u w:val="single"/>
                          <w:lang w:eastAsia="ar-SA"/>
                        </w:rPr>
                        <w:t>http://www.arabicebook.com</w:t>
                      </w:r>
                    </w:p>
                    <w:p w:rsidR="008B4A08" w:rsidRPr="00254F20" w:rsidRDefault="008B4A08" w:rsidP="000334F4">
                      <w:pPr>
                        <w:widowControl/>
                        <w:tabs>
                          <w:tab w:val="right" w:pos="7030"/>
                        </w:tabs>
                        <w:spacing w:line="280" w:lineRule="exact"/>
                        <w:ind w:left="284" w:firstLine="0"/>
                        <w:jc w:val="left"/>
                        <w:rPr>
                          <w:rFonts w:ascii="Times New Roman" w:hAnsi="Times New Roman" w:cs="DanaFajr"/>
                          <w:sz w:val="22"/>
                          <w:szCs w:val="24"/>
                          <w:rtl/>
                          <w:lang w:eastAsia="ar-SA"/>
                        </w:rPr>
                      </w:pPr>
                      <w:r w:rsidRPr="00254F20">
                        <w:rPr>
                          <w:rFonts w:ascii="Times New Roman" w:hAnsi="Times New Roman" w:cs="DanaFajr" w:hint="cs"/>
                          <w:b/>
                          <w:bCs/>
                          <w:szCs w:val="28"/>
                          <w:rtl/>
                          <w:lang w:eastAsia="ar-SA"/>
                        </w:rPr>
                        <w:t>٭</w:t>
                      </w:r>
                      <w:r w:rsidRPr="00254F20">
                        <w:rPr>
                          <w:rFonts w:ascii="Times New Roman" w:hAnsi="Times New Roman" w:cs="DanaFajr" w:hint="cs"/>
                          <w:sz w:val="38"/>
                          <w:szCs w:val="36"/>
                          <w:rtl/>
                          <w:lang w:eastAsia="ar-SA"/>
                        </w:rPr>
                        <w:t xml:space="preserve"> </w:t>
                      </w:r>
                      <w:r w:rsidRPr="00254F20">
                        <w:rPr>
                          <w:rFonts w:ascii="Times New Roman" w:hAnsi="Times New Roman" w:cs="DanaFajr" w:hint="cs"/>
                          <w:b/>
                          <w:bCs/>
                          <w:szCs w:val="28"/>
                          <w:rtl/>
                          <w:lang w:eastAsia="ar-SA"/>
                        </w:rPr>
                        <w:t>بريطانيا وأوروپا، دار الحكمة للطباعة والنشر والتوزيع:</w:t>
                      </w:r>
                    </w:p>
                    <w:p w:rsidR="008B4A08" w:rsidRDefault="008B4A08" w:rsidP="000334F4">
                      <w:pPr>
                        <w:widowControl/>
                        <w:tabs>
                          <w:tab w:val="right" w:pos="7030"/>
                        </w:tabs>
                        <w:bidi w:val="0"/>
                        <w:spacing w:line="280" w:lineRule="exact"/>
                        <w:ind w:firstLine="0"/>
                        <w:jc w:val="left"/>
                        <w:rPr>
                          <w:rFonts w:ascii="Mosawi" w:hAnsi="Mosawi" w:cs="Mosawi"/>
                          <w:b/>
                          <w:bCs/>
                          <w:sz w:val="20"/>
                          <w:szCs w:val="21"/>
                        </w:rPr>
                      </w:pPr>
                      <w:r w:rsidRPr="00254F20">
                        <w:rPr>
                          <w:rFonts w:ascii="Times New Roman" w:hAnsi="Times New Roman" w:cs="DanaFajr"/>
                          <w:sz w:val="21"/>
                          <w:szCs w:val="21"/>
                          <w:lang w:eastAsia="ar-SA"/>
                        </w:rPr>
                        <w:t>United Kingdom</w:t>
                      </w:r>
                      <w:r w:rsidRPr="00254F20">
                        <w:rPr>
                          <w:rFonts w:ascii="Times New Roman" w:hAnsi="Times New Roman" w:cs="DanaFajr"/>
                          <w:b/>
                          <w:bCs/>
                          <w:sz w:val="21"/>
                          <w:szCs w:val="21"/>
                          <w:lang w:eastAsia="ar-SA"/>
                        </w:rPr>
                        <w:t xml:space="preserve">, </w:t>
                      </w:r>
                      <w:r w:rsidRPr="00254F20">
                        <w:rPr>
                          <w:rFonts w:ascii="Times New Roman" w:hAnsi="Times New Roman" w:cs="DanaFajr"/>
                          <w:sz w:val="21"/>
                          <w:szCs w:val="21"/>
                          <w:lang w:eastAsia="ar-SA"/>
                        </w:rPr>
                        <w:t>London</w:t>
                      </w:r>
                      <w:r w:rsidRPr="00254F20">
                        <w:rPr>
                          <w:rFonts w:ascii="Times New Roman" w:hAnsi="Times New Roman" w:cs="DanaFajr"/>
                          <w:b/>
                          <w:bCs/>
                          <w:sz w:val="21"/>
                          <w:szCs w:val="21"/>
                          <w:lang w:eastAsia="ar-SA"/>
                        </w:rPr>
                        <w:t xml:space="preserve">, </w:t>
                      </w:r>
                      <w:r w:rsidRPr="00254F20">
                        <w:rPr>
                          <w:rFonts w:ascii="Times New Roman" w:hAnsi="Times New Roman" w:cs="DanaFajr"/>
                          <w:sz w:val="21"/>
                          <w:szCs w:val="21"/>
                          <w:lang w:eastAsia="ar-SA"/>
                        </w:rPr>
                        <w:t>NW1</w:t>
                      </w:r>
                      <w:r w:rsidRPr="00254F20">
                        <w:rPr>
                          <w:rFonts w:ascii="Times New Roman" w:hAnsi="Times New Roman" w:cs="DanaFajr"/>
                          <w:b/>
                          <w:bCs/>
                          <w:sz w:val="21"/>
                          <w:szCs w:val="21"/>
                          <w:lang w:eastAsia="ar-SA"/>
                        </w:rPr>
                        <w:t xml:space="preserve">, </w:t>
                      </w:r>
                      <w:r w:rsidRPr="00254F20">
                        <w:rPr>
                          <w:rFonts w:ascii="Times New Roman" w:hAnsi="Times New Roman" w:cs="DanaFajr"/>
                          <w:sz w:val="21"/>
                          <w:szCs w:val="21"/>
                          <w:lang w:eastAsia="ar-SA"/>
                        </w:rPr>
                        <w:t xml:space="preserve">1HJ, Chalton Street </w:t>
                      </w:r>
                      <w:r w:rsidRPr="00DA55CE">
                        <w:rPr>
                          <w:rFonts w:ascii="Times New Roman" w:hAnsi="Times New Roman" w:cs="DanaFajr"/>
                          <w:sz w:val="21"/>
                          <w:szCs w:val="21"/>
                          <w:lang w:eastAsia="ar-SA"/>
                        </w:rPr>
                        <w:t>88, Tel: (+4420)</w:t>
                      </w:r>
                      <w:r>
                        <w:rPr>
                          <w:rFonts w:ascii="Times New Roman" w:hAnsi="Times New Roman" w:cs="DanaFajr"/>
                          <w:sz w:val="21"/>
                          <w:szCs w:val="21"/>
                          <w:lang w:eastAsia="ar-SA"/>
                        </w:rPr>
                        <w:t xml:space="preserve"> </w:t>
                      </w:r>
                      <w:r w:rsidRPr="00DA55CE">
                        <w:rPr>
                          <w:rFonts w:ascii="Times New Roman" w:hAnsi="Times New Roman" w:cs="DanaFajr"/>
                          <w:sz w:val="21"/>
                          <w:szCs w:val="21"/>
                          <w:lang w:eastAsia="ar-SA"/>
                        </w:rPr>
                        <w:t>73834037.</w:t>
                      </w:r>
                    </w:p>
                    <w:p w:rsidR="008B4A08" w:rsidRDefault="008B4A08" w:rsidP="0046539E">
                      <w:pPr>
                        <w:spacing w:line="300" w:lineRule="exact"/>
                        <w:ind w:firstLine="0"/>
                        <w:jc w:val="center"/>
                        <w:rPr>
                          <w:rFonts w:ascii="Mosawi" w:hAnsi="Mosawi" w:cs="Mosawi"/>
                          <w:b/>
                          <w:bCs/>
                          <w:sz w:val="20"/>
                          <w:szCs w:val="21"/>
                          <w:rtl/>
                        </w:rPr>
                      </w:pPr>
                    </w:p>
                  </w:txbxContent>
                </v:textbox>
              </v:shape>
            </w:pict>
          </mc:Fallback>
        </mc:AlternateContent>
      </w:r>
      <w:r w:rsidRPr="00282AC9">
        <w:rPr>
          <w:noProof/>
        </w:rPr>
        <w:drawing>
          <wp:anchor distT="0" distB="0" distL="114300" distR="114300" simplePos="0" relativeHeight="251672064" behindDoc="0" locked="0" layoutInCell="1" allowOverlap="1" wp14:anchorId="65F7ED0E" wp14:editId="734E1750">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282AC9" w:rsidRDefault="009B7EAD" w:rsidP="00D1080C">
      <w:pPr>
        <w:widowControl/>
        <w:spacing w:after="200"/>
        <w:ind w:firstLine="0"/>
        <w:jc w:val="left"/>
        <w:rPr>
          <w:rFonts w:cs="HeshamNormal"/>
          <w:sz w:val="2"/>
          <w:szCs w:val="2"/>
          <w:rtl/>
        </w:rPr>
        <w:sectPr w:rsidR="00597598" w:rsidRPr="00282AC9" w:rsidSect="00323BF4">
          <w:endnotePr>
            <w:numFmt w:val="decimal"/>
            <w:numRestart w:val="eachSect"/>
          </w:endnotePr>
          <w:pgSz w:w="11907" w:h="16840" w:code="9"/>
          <w:pgMar w:top="2637" w:right="2438" w:bottom="3686" w:left="2438" w:header="2268" w:footer="3119" w:gutter="0"/>
          <w:cols w:space="720"/>
          <w:titlePg/>
          <w:docGrid w:linePitch="360"/>
        </w:sectPr>
      </w:pPr>
      <w:r w:rsidRPr="00282AC9">
        <w:rPr>
          <w:noProof/>
        </w:rPr>
        <mc:AlternateContent>
          <mc:Choice Requires="wps">
            <w:drawing>
              <wp:anchor distT="0" distB="0" distL="114300" distR="114300" simplePos="0" relativeHeight="251674112" behindDoc="0" locked="0" layoutInCell="1" allowOverlap="1" wp14:anchorId="22752CFF" wp14:editId="044BFEB1">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C14EDE" w:rsidRDefault="00C14EDE"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C14EDE" w:rsidRPr="0044555F" w:rsidRDefault="00C14EDE"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C14EDE" w:rsidRPr="00943EC8" w:rsidRDefault="00C14EDE"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C14EDE" w:rsidRDefault="00C14EDE"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8B4A08" w:rsidRDefault="008B4A08"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8B4A08" w:rsidRPr="0044555F" w:rsidRDefault="008B4A08"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8B4A08" w:rsidRPr="00943EC8" w:rsidRDefault="008B4A08"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8B4A08" w:rsidRDefault="008B4A08" w:rsidP="0046539E">
                      <w:pPr>
                        <w:spacing w:line="360" w:lineRule="exact"/>
                        <w:ind w:firstLine="0"/>
                        <w:jc w:val="center"/>
                        <w:rPr>
                          <w:rFonts w:ascii="Arial" w:hAnsi="Arial" w:cs="Ya-Ali"/>
                          <w:b/>
                          <w:sz w:val="36"/>
                          <w:rtl/>
                        </w:rPr>
                      </w:pPr>
                    </w:p>
                  </w:txbxContent>
                </v:textbox>
              </v:shape>
            </w:pict>
          </mc:Fallback>
        </mc:AlternateContent>
      </w:r>
      <w:r w:rsidRPr="00282AC9">
        <w:rPr>
          <w:noProof/>
        </w:rPr>
        <mc:AlternateContent>
          <mc:Choice Requires="wps">
            <w:drawing>
              <wp:anchor distT="0" distB="0" distL="114300" distR="114300" simplePos="0" relativeHeight="251673088" behindDoc="0" locked="0" layoutInCell="1" allowOverlap="1" wp14:anchorId="3280A4ED" wp14:editId="0C43EAAC">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C14EDE" w:rsidRDefault="00C14EDE" w:rsidP="00B77DC5">
                            <w:pPr>
                              <w:widowControl/>
                              <w:spacing w:line="390" w:lineRule="exact"/>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C14EDE" w:rsidRDefault="00C14EDE"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C14EDE" w:rsidRPr="006E2B08" w:rsidRDefault="00C14EDE" w:rsidP="0046539E">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C14EDE" w:rsidRPr="00943EC8" w:rsidRDefault="00C14EDE"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C14EDE" w:rsidRPr="00D1080C" w:rsidRDefault="00C14EDE" w:rsidP="00E16069">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rsidR="00C14EDE" w:rsidRPr="00F93C6E" w:rsidRDefault="00C14EDE" w:rsidP="002C1BC1">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8B4A08" w:rsidRDefault="008B4A08" w:rsidP="00B77DC5">
                      <w:pPr>
                        <w:widowControl/>
                        <w:spacing w:line="390" w:lineRule="exact"/>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8B4A08" w:rsidRDefault="008B4A08"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8B4A08" w:rsidRPr="006E2B08" w:rsidRDefault="008B4A08" w:rsidP="0046539E">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8B4A08" w:rsidRPr="00943EC8" w:rsidRDefault="008B4A08"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8B4A08" w:rsidRPr="00D1080C" w:rsidRDefault="008B4A08" w:rsidP="00E16069">
                      <w:pPr>
                        <w:widowControl/>
                        <w:spacing w:line="300" w:lineRule="exact"/>
                        <w:ind w:firstLine="0"/>
                        <w:jc w:val="left"/>
                      </w:pPr>
                      <w:r>
                        <w:rPr>
                          <w:rFonts w:ascii="Times New Roman" w:hAnsi="Times New Roman" w:hint="cs"/>
                          <w:color w:val="000000" w:themeColor="text1"/>
                          <w:sz w:val="26"/>
                          <w:szCs w:val="26"/>
                          <w:rtl/>
                          <w:lang w:eastAsia="ar-SA"/>
                        </w:rPr>
                        <w:t>البريد الإلكتروني</w:t>
                      </w:r>
                    </w:p>
                    <w:p w:rsidR="008B4A08" w:rsidRPr="00F93C6E" w:rsidRDefault="008B4A08" w:rsidP="002C1BC1">
                      <w:pPr>
                        <w:widowControl/>
                        <w:spacing w:line="300" w:lineRule="exact"/>
                        <w:ind w:firstLine="0"/>
                        <w:jc w:val="left"/>
                        <w:rPr>
                          <w:rFonts w:ascii="Arial" w:hAnsi="Arial" w:cs="Ya-Ali"/>
                          <w:b/>
                          <w:sz w:val="24"/>
                          <w:szCs w:val="24"/>
                          <w:rtl/>
                        </w:rPr>
                      </w:pPr>
                      <w:r w:rsidRPr="00F93C6E">
                        <w:rPr>
                          <w:sz w:val="24"/>
                          <w:szCs w:val="24"/>
                        </w:rPr>
                        <w:t>mdohayni</w:t>
                      </w:r>
                      <w:r w:rsidRPr="00F93C6E">
                        <w:rPr>
                          <w:rFonts w:ascii="Times New Roman" w:hAnsi="Times New Roman"/>
                          <w:sz w:val="24"/>
                          <w:szCs w:val="24"/>
                          <w:lang w:eastAsia="ar-SA"/>
                        </w:rPr>
                        <w:t>@hotmail.com</w:t>
                      </w:r>
                    </w:p>
                  </w:txbxContent>
                </v:textbox>
              </v:shape>
            </w:pict>
          </mc:Fallback>
        </mc:AlternateContent>
      </w:r>
      <w:r w:rsidR="00597598" w:rsidRPr="00282AC9">
        <w:rPr>
          <w:rtl/>
        </w:rPr>
        <w:br w:type="page"/>
      </w:r>
    </w:p>
    <w:p w:rsidR="007D74CF" w:rsidRPr="00282AC9" w:rsidRDefault="007D74CF" w:rsidP="00EF326C">
      <w:pPr>
        <w:tabs>
          <w:tab w:val="right" w:leader="dot" w:pos="7030"/>
        </w:tabs>
        <w:spacing w:before="500" w:line="340" w:lineRule="exact"/>
        <w:ind w:firstLine="0"/>
        <w:rPr>
          <w:noProof/>
        </w:rPr>
      </w:pPr>
      <w:bookmarkStart w:id="0" w:name="_Toc52453116"/>
      <w:r w:rsidRPr="00282AC9">
        <w:rPr>
          <w:rFonts w:cstheme="majorBidi"/>
          <w:noProof/>
          <w:sz w:val="24"/>
          <w:szCs w:val="24"/>
        </w:rPr>
        <w:lastRenderedPageBreak/>
        <w:drawing>
          <wp:anchor distT="0" distB="0" distL="114300" distR="114300" simplePos="0" relativeHeight="251678208" behindDoc="0" locked="0" layoutInCell="1" allowOverlap="1" wp14:anchorId="37A66A57" wp14:editId="064A68AC">
            <wp:simplePos x="0" y="0"/>
            <wp:positionH relativeFrom="column">
              <wp:posOffset>1822612</wp:posOffset>
            </wp:positionH>
            <wp:positionV relativeFrom="paragraph">
              <wp:posOffset>-441325</wp:posOffset>
            </wp:positionV>
            <wp:extent cx="853440" cy="432435"/>
            <wp:effectExtent l="0" t="0" r="3810" b="5715"/>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AC9">
        <w:rPr>
          <w:rFonts w:cstheme="majorBidi"/>
          <w:bCs/>
          <w:sz w:val="24"/>
          <w:szCs w:val="24"/>
        </w:rPr>
        <w:sym w:font="Wingdings" w:char="F072"/>
      </w:r>
      <w:r w:rsidRPr="00282AC9">
        <w:rPr>
          <w:rFonts w:cs="PT Bold Heading"/>
          <w:bCs/>
          <w:rtl/>
        </w:rPr>
        <w:t xml:space="preserve"> </w:t>
      </w:r>
      <w:r w:rsidRPr="00282AC9">
        <w:rPr>
          <w:rFonts w:cs="PT Bold Heading"/>
          <w:bCs/>
          <w:szCs w:val="28"/>
          <w:rtl/>
        </w:rPr>
        <w:t>كلمة التحرير</w:t>
      </w:r>
      <w:r w:rsidRPr="00282AC9">
        <w:rPr>
          <w:rFonts w:cs="Abz-2 (Badr)"/>
          <w:rtl/>
        </w:rPr>
        <w:fldChar w:fldCharType="begin"/>
      </w:r>
      <w:r w:rsidRPr="00282AC9">
        <w:rPr>
          <w:rFonts w:cs="Abz-2 (Badr)"/>
          <w:rtl/>
        </w:rPr>
        <w:instrText xml:space="preserve"> </w:instrText>
      </w:r>
      <w:r w:rsidRPr="00282AC9">
        <w:rPr>
          <w:rFonts w:cs="Abz-2 (Badr)"/>
        </w:rPr>
        <w:instrText>TOC</w:instrText>
      </w:r>
      <w:r w:rsidRPr="00282AC9">
        <w:rPr>
          <w:rFonts w:cs="Abz-2 (Badr)"/>
          <w:rtl/>
        </w:rPr>
        <w:instrText xml:space="preserve"> \</w:instrText>
      </w:r>
      <w:r w:rsidRPr="00282AC9">
        <w:rPr>
          <w:rFonts w:cs="Abz-2 (Badr)"/>
        </w:rPr>
        <w:instrText>h \z \t "Heading 1,1,Author,2</w:instrText>
      </w:r>
      <w:r w:rsidRPr="00282AC9">
        <w:rPr>
          <w:rFonts w:cs="Abz-2 (Badr)"/>
          <w:rtl/>
        </w:rPr>
        <w:instrText xml:space="preserve">" </w:instrText>
      </w:r>
      <w:r w:rsidRPr="00282AC9">
        <w:rPr>
          <w:rFonts w:cs="Abz-2 (Badr)"/>
          <w:rtl/>
        </w:rPr>
        <w:fldChar w:fldCharType="separate"/>
      </w:r>
    </w:p>
    <w:p w:rsidR="007D74CF" w:rsidRPr="00282AC9" w:rsidRDefault="00487E34" w:rsidP="00E62865">
      <w:pPr>
        <w:pStyle w:val="1"/>
        <w:spacing w:before="140"/>
        <w:rPr>
          <w:rFonts w:asciiTheme="minorHAnsi" w:eastAsiaTheme="minorEastAsia" w:hAnsiTheme="minorHAnsi" w:cstheme="minorBidi"/>
          <w:sz w:val="22"/>
          <w:szCs w:val="22"/>
          <w:lang w:eastAsia="en-US"/>
        </w:rPr>
      </w:pPr>
      <w:hyperlink w:anchor="_Toc87011478" w:history="1">
        <w:r w:rsidR="00E62865">
          <w:rPr>
            <w:rStyle w:val="Hyperlink"/>
            <w:rFonts w:hint="cs"/>
            <w:color w:val="auto"/>
            <w:u w:val="none"/>
            <w:rtl/>
          </w:rPr>
          <w:t>الأحكام الشرعيّة بين مسؤوليّتين، إثارةٌ معرفيّة من وَحْي الواقع</w:t>
        </w:r>
      </w:hyperlink>
    </w:p>
    <w:p w:rsidR="007D74CF" w:rsidRPr="00282AC9" w:rsidRDefault="00487E34" w:rsidP="00BF2461">
      <w:pPr>
        <w:pStyle w:val="25"/>
        <w:rPr>
          <w:rFonts w:asciiTheme="minorHAnsi" w:eastAsiaTheme="minorEastAsia" w:hAnsiTheme="minorHAnsi" w:cstheme="minorBidi"/>
          <w:sz w:val="22"/>
          <w:szCs w:val="22"/>
          <w:lang w:eastAsia="en-US"/>
        </w:rPr>
      </w:pPr>
      <w:hyperlink w:anchor="_Toc87011480" w:history="1">
        <w:r w:rsidR="007D74CF" w:rsidRPr="00282AC9">
          <w:rPr>
            <w:rStyle w:val="Hyperlink"/>
            <w:color w:val="auto"/>
            <w:u w:val="none"/>
            <w:rtl/>
          </w:rPr>
          <w:t>محمد عب</w:t>
        </w:r>
        <w:r w:rsidR="0069438D">
          <w:rPr>
            <w:rStyle w:val="Hyperlink"/>
            <w:rFonts w:hint="cs"/>
            <w:color w:val="auto"/>
            <w:u w:val="none"/>
            <w:rtl/>
          </w:rPr>
          <w:t>ّ</w:t>
        </w:r>
        <w:r w:rsidR="007D74CF" w:rsidRPr="00282AC9">
          <w:rPr>
            <w:rStyle w:val="Hyperlink"/>
            <w:color w:val="auto"/>
            <w:u w:val="none"/>
            <w:rtl/>
          </w:rPr>
          <w:t>اس دهيني</w:t>
        </w:r>
        <w:r w:rsidR="007D74CF" w:rsidRPr="00282AC9">
          <w:rPr>
            <w:webHidden/>
          </w:rPr>
          <w:tab/>
        </w:r>
        <w:r w:rsidR="00BF2461">
          <w:rPr>
            <w:rFonts w:hint="cs"/>
            <w:webHidden/>
            <w:sz w:val="27"/>
            <w:rtl/>
          </w:rPr>
          <w:t>5</w:t>
        </w:r>
      </w:hyperlink>
      <w:r w:rsidR="00BF2461">
        <w:rPr>
          <w:rFonts w:hint="cs"/>
          <w:sz w:val="27"/>
          <w:rtl/>
        </w:rPr>
        <w:t xml:space="preserve"> </w:t>
      </w:r>
    </w:p>
    <w:p w:rsidR="003B2BFA" w:rsidRPr="00282AC9" w:rsidRDefault="003B2BFA" w:rsidP="00407671">
      <w:pPr>
        <w:spacing w:before="500" w:line="340" w:lineRule="exact"/>
        <w:ind w:firstLine="0"/>
        <w:rPr>
          <w:rFonts w:eastAsiaTheme="minorEastAsia"/>
          <w:noProof/>
          <w:lang w:eastAsia="ar-SA"/>
        </w:rPr>
      </w:pPr>
      <w:r w:rsidRPr="00282AC9">
        <w:rPr>
          <w:rFonts w:cs="PT Bold Heading"/>
          <w:bCs/>
          <w:noProof/>
          <w:sz w:val="24"/>
          <w:szCs w:val="24"/>
        </w:rPr>
        <w:sym w:font="Wingdings" w:char="F072"/>
      </w:r>
      <w:r w:rsidRPr="00282AC9">
        <w:rPr>
          <w:rFonts w:cs="PT Bold Heading"/>
          <w:bCs/>
          <w:noProof/>
          <w:rtl/>
        </w:rPr>
        <w:t xml:space="preserve"> </w:t>
      </w:r>
      <w:r w:rsidRPr="00282AC9">
        <w:rPr>
          <w:rFonts w:cs="PT Bold Heading" w:hint="cs"/>
          <w:bCs/>
          <w:noProof/>
          <w:szCs w:val="28"/>
          <w:rtl/>
        </w:rPr>
        <w:t>دراسات</w:t>
      </w:r>
    </w:p>
    <w:p w:rsidR="007D74CF" w:rsidRPr="00282AC9" w:rsidRDefault="00487E34" w:rsidP="00096E20">
      <w:pPr>
        <w:pStyle w:val="1"/>
        <w:spacing w:before="140"/>
        <w:rPr>
          <w:rFonts w:asciiTheme="minorHAnsi" w:eastAsiaTheme="minorEastAsia" w:hAnsiTheme="minorHAnsi" w:cstheme="minorBidi"/>
          <w:sz w:val="22"/>
          <w:szCs w:val="22"/>
          <w:lang w:eastAsia="en-US"/>
        </w:rPr>
      </w:pPr>
      <w:hyperlink w:anchor="_Toc87011481" w:history="1">
        <w:r w:rsidR="007D74CF" w:rsidRPr="00282AC9">
          <w:rPr>
            <w:rStyle w:val="Hyperlink"/>
            <w:color w:val="auto"/>
            <w:u w:val="none"/>
            <w:rtl/>
            <w:lang w:bidi="ar-LB"/>
          </w:rPr>
          <w:t>قاعدة نفي خلوّ الوقائع من الحكم الشرعي</w:t>
        </w:r>
      </w:hyperlink>
      <w:r w:rsidR="00BE5D6C" w:rsidRPr="00282AC9">
        <w:rPr>
          <w:rStyle w:val="Hyperlink"/>
          <w:rFonts w:hint="cs"/>
          <w:color w:val="auto"/>
          <w:u w:val="none"/>
          <w:rtl/>
        </w:rPr>
        <w:t>،</w:t>
      </w:r>
      <w:r w:rsidR="003B2BFA" w:rsidRPr="00282AC9">
        <w:rPr>
          <w:rStyle w:val="Hyperlink"/>
          <w:color w:val="auto"/>
          <w:u w:val="none"/>
        </w:rPr>
        <w:t xml:space="preserve"> </w:t>
      </w:r>
      <w:hyperlink w:anchor="_Toc87011482" w:history="1">
        <w:r w:rsidR="007D74CF" w:rsidRPr="00282AC9">
          <w:rPr>
            <w:rStyle w:val="Hyperlink"/>
            <w:color w:val="auto"/>
            <w:u w:val="none"/>
            <w:rtl/>
            <w:lang w:bidi="ar-LB"/>
          </w:rPr>
          <w:t>وأثرها في علم أصول الفقه</w:t>
        </w:r>
      </w:hyperlink>
      <w:r w:rsidR="00E14FEF" w:rsidRPr="00282AC9">
        <w:rPr>
          <w:rStyle w:val="Hyperlink"/>
          <w:rFonts w:hint="cs"/>
          <w:color w:val="auto"/>
          <w:u w:val="none"/>
          <w:rtl/>
        </w:rPr>
        <w:t xml:space="preserve"> / القسم الأوّل</w:t>
      </w:r>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483" w:history="1">
        <w:r w:rsidR="007D74CF" w:rsidRPr="00282AC9">
          <w:rPr>
            <w:rStyle w:val="Hyperlink"/>
            <w:color w:val="auto"/>
            <w:u w:val="none"/>
            <w:rtl/>
            <w:lang w:bidi="ar-LB"/>
          </w:rPr>
          <w:t>ا</w:t>
        </w:r>
        <w:r w:rsidR="00F26462">
          <w:rPr>
            <w:rStyle w:val="Hyperlink"/>
            <w:rFonts w:hint="cs"/>
            <w:color w:val="auto"/>
            <w:u w:val="none"/>
            <w:rtl/>
            <w:lang w:bidi="ar-LB"/>
          </w:rPr>
          <w:t>لشيخ صادق اللاريجاني، بقلم: ا</w:t>
        </w:r>
        <w:r w:rsidR="007D74CF" w:rsidRPr="00282AC9">
          <w:rPr>
            <w:rStyle w:val="Hyperlink"/>
            <w:color w:val="auto"/>
            <w:u w:val="none"/>
            <w:rtl/>
            <w:lang w:bidi="ar-LB"/>
          </w:rPr>
          <w:t>لشيخ محمد حسن القم</w:t>
        </w:r>
        <w:r w:rsidR="00DE7ED1">
          <w:rPr>
            <w:rStyle w:val="Hyperlink"/>
            <w:rFonts w:hint="cs"/>
            <w:color w:val="auto"/>
            <w:u w:val="none"/>
            <w:rtl/>
            <w:lang w:bidi="ar-LB"/>
          </w:rPr>
          <w:t>ّ</w:t>
        </w:r>
        <w:r w:rsidR="007D74CF" w:rsidRPr="00282AC9">
          <w:rPr>
            <w:rStyle w:val="Hyperlink"/>
            <w:color w:val="auto"/>
            <w:u w:val="none"/>
            <w:rtl/>
            <w:lang w:bidi="ar-LB"/>
          </w:rPr>
          <w:t>ي</w:t>
        </w:r>
        <w:r w:rsidR="007D74CF" w:rsidRPr="00282AC9">
          <w:rPr>
            <w:webHidden/>
          </w:rPr>
          <w:tab/>
        </w:r>
        <w:r w:rsidR="007D74CF" w:rsidRPr="00282AC9">
          <w:rPr>
            <w:webHidden/>
          </w:rPr>
          <w:fldChar w:fldCharType="begin"/>
        </w:r>
        <w:r w:rsidR="007D74CF" w:rsidRPr="00282AC9">
          <w:rPr>
            <w:webHidden/>
          </w:rPr>
          <w:instrText xml:space="preserve"> PAGEREF _Toc87011483 \h </w:instrText>
        </w:r>
        <w:r w:rsidR="007D74CF" w:rsidRPr="00282AC9">
          <w:rPr>
            <w:webHidden/>
          </w:rPr>
        </w:r>
        <w:r w:rsidR="007D74CF" w:rsidRPr="00282AC9">
          <w:rPr>
            <w:webHidden/>
          </w:rPr>
          <w:fldChar w:fldCharType="separate"/>
        </w:r>
        <w:r w:rsidR="009D54E6">
          <w:rPr>
            <w:webHidden/>
            <w:rtl/>
          </w:rPr>
          <w:t>13</w:t>
        </w:r>
        <w:r w:rsidR="007D74CF" w:rsidRPr="00282AC9">
          <w:rPr>
            <w:webHidden/>
          </w:rPr>
          <w:fldChar w:fldCharType="end"/>
        </w:r>
      </w:hyperlink>
    </w:p>
    <w:p w:rsidR="007D74CF" w:rsidRPr="00282AC9" w:rsidRDefault="00487E34" w:rsidP="00096E20">
      <w:pPr>
        <w:pStyle w:val="1"/>
        <w:spacing w:before="140"/>
        <w:rPr>
          <w:rFonts w:asciiTheme="minorHAnsi" w:eastAsiaTheme="minorEastAsia" w:hAnsiTheme="minorHAnsi" w:cstheme="minorBidi"/>
          <w:sz w:val="22"/>
          <w:szCs w:val="22"/>
          <w:lang w:eastAsia="en-US"/>
        </w:rPr>
      </w:pPr>
      <w:hyperlink w:anchor="_Toc87011484" w:history="1">
        <w:r w:rsidR="007D74CF" w:rsidRPr="00282AC9">
          <w:rPr>
            <w:rStyle w:val="Hyperlink"/>
            <w:color w:val="auto"/>
            <w:u w:val="none"/>
            <w:rtl/>
          </w:rPr>
          <w:t>منطقة</w:t>
        </w:r>
        <w:r w:rsidR="007D74CF" w:rsidRPr="00591DBF">
          <w:rPr>
            <w:rStyle w:val="Hyperlink"/>
            <w:color w:val="auto"/>
            <w:sz w:val="28"/>
            <w:u w:val="none"/>
            <w:rtl/>
          </w:rPr>
          <w:t xml:space="preserve"> </w:t>
        </w:r>
        <w:r w:rsidR="007D74CF" w:rsidRPr="00282AC9">
          <w:rPr>
            <w:rStyle w:val="Hyperlink"/>
            <w:color w:val="auto"/>
            <w:u w:val="none"/>
            <w:rtl/>
          </w:rPr>
          <w:t>الفراغ</w:t>
        </w:r>
        <w:r w:rsidR="007D74CF" w:rsidRPr="00591DBF">
          <w:rPr>
            <w:rStyle w:val="Hyperlink"/>
            <w:color w:val="auto"/>
            <w:sz w:val="28"/>
            <w:u w:val="none"/>
            <w:rtl/>
          </w:rPr>
          <w:t xml:space="preserve"> </w:t>
        </w:r>
        <w:r w:rsidR="007D74CF" w:rsidRPr="00282AC9">
          <w:rPr>
            <w:rStyle w:val="Hyperlink"/>
            <w:color w:val="auto"/>
            <w:u w:val="none"/>
            <w:rtl/>
          </w:rPr>
          <w:t>بين</w:t>
        </w:r>
        <w:r w:rsidR="007D74CF" w:rsidRPr="00591DBF">
          <w:rPr>
            <w:rStyle w:val="Hyperlink"/>
            <w:color w:val="auto"/>
            <w:sz w:val="28"/>
            <w:u w:val="none"/>
            <w:rtl/>
          </w:rPr>
          <w:t xml:space="preserve"> </w:t>
        </w:r>
        <w:r w:rsidR="007D74CF" w:rsidRPr="00282AC9">
          <w:rPr>
            <w:rStyle w:val="Hyperlink"/>
            <w:color w:val="auto"/>
            <w:u w:val="none"/>
            <w:rtl/>
          </w:rPr>
          <w:t>النفي</w:t>
        </w:r>
        <w:r w:rsidR="007D74CF" w:rsidRPr="00591DBF">
          <w:rPr>
            <w:rStyle w:val="Hyperlink"/>
            <w:color w:val="auto"/>
            <w:sz w:val="28"/>
            <w:u w:val="none"/>
            <w:rtl/>
          </w:rPr>
          <w:t xml:space="preserve"> </w:t>
        </w:r>
        <w:r w:rsidR="007D74CF" w:rsidRPr="00282AC9">
          <w:rPr>
            <w:rStyle w:val="Hyperlink"/>
            <w:color w:val="auto"/>
            <w:u w:val="none"/>
            <w:rtl/>
          </w:rPr>
          <w:t>والإثبات</w:t>
        </w:r>
      </w:hyperlink>
      <w:r w:rsidR="00E14FEF" w:rsidRPr="00282AC9">
        <w:rPr>
          <w:rStyle w:val="Hyperlink"/>
          <w:rFonts w:hint="cs"/>
          <w:color w:val="auto"/>
          <w:u w:val="none"/>
          <w:rtl/>
        </w:rPr>
        <w:t>،</w:t>
      </w:r>
      <w:r w:rsidR="00E14FEF" w:rsidRPr="00591DBF">
        <w:rPr>
          <w:rStyle w:val="Hyperlink"/>
          <w:rFonts w:hint="cs"/>
          <w:color w:val="auto"/>
          <w:sz w:val="28"/>
          <w:u w:val="none"/>
          <w:rtl/>
        </w:rPr>
        <w:t xml:space="preserve"> </w:t>
      </w:r>
      <w:hyperlink w:anchor="_Toc87011485" w:history="1">
        <w:r w:rsidR="007D74CF" w:rsidRPr="00282AC9">
          <w:rPr>
            <w:rStyle w:val="Hyperlink"/>
            <w:color w:val="auto"/>
            <w:u w:val="none"/>
            <w:rtl/>
          </w:rPr>
          <w:t>دراسةٌ</w:t>
        </w:r>
        <w:r w:rsidR="007D74CF" w:rsidRPr="00591DBF">
          <w:rPr>
            <w:rStyle w:val="Hyperlink"/>
            <w:color w:val="auto"/>
            <w:sz w:val="28"/>
            <w:u w:val="none"/>
            <w:rtl/>
          </w:rPr>
          <w:t xml:space="preserve"> </w:t>
        </w:r>
        <w:r w:rsidR="007D74CF" w:rsidRPr="00282AC9">
          <w:rPr>
            <w:rStyle w:val="Hyperlink"/>
            <w:color w:val="auto"/>
            <w:u w:val="none"/>
            <w:rtl/>
          </w:rPr>
          <w:t>مقارنة</w:t>
        </w:r>
        <w:r w:rsidR="007D74CF" w:rsidRPr="00591DBF">
          <w:rPr>
            <w:rStyle w:val="Hyperlink"/>
            <w:color w:val="auto"/>
            <w:sz w:val="28"/>
            <w:u w:val="none"/>
            <w:rtl/>
          </w:rPr>
          <w:t xml:space="preserve"> </w:t>
        </w:r>
        <w:r w:rsidR="007D74CF" w:rsidRPr="00282AC9">
          <w:rPr>
            <w:rStyle w:val="Hyperlink"/>
            <w:color w:val="auto"/>
            <w:u w:val="none"/>
            <w:rtl/>
          </w:rPr>
          <w:t>بين</w:t>
        </w:r>
        <w:r w:rsidR="007D74CF" w:rsidRPr="00591DBF">
          <w:rPr>
            <w:rStyle w:val="Hyperlink"/>
            <w:color w:val="auto"/>
            <w:sz w:val="28"/>
            <w:u w:val="none"/>
            <w:rtl/>
          </w:rPr>
          <w:t xml:space="preserve"> </w:t>
        </w:r>
        <w:r w:rsidR="007D74CF" w:rsidRPr="00282AC9">
          <w:rPr>
            <w:rStyle w:val="Hyperlink"/>
            <w:color w:val="auto"/>
            <w:u w:val="none"/>
            <w:rtl/>
          </w:rPr>
          <w:t>النظريّة</w:t>
        </w:r>
        <w:r w:rsidR="007D74CF" w:rsidRPr="00591DBF">
          <w:rPr>
            <w:rStyle w:val="Hyperlink"/>
            <w:color w:val="auto"/>
            <w:sz w:val="28"/>
            <w:u w:val="none"/>
            <w:rtl/>
          </w:rPr>
          <w:t xml:space="preserve"> </w:t>
        </w:r>
        <w:r w:rsidR="007D74CF" w:rsidRPr="00282AC9">
          <w:rPr>
            <w:rStyle w:val="Hyperlink"/>
            <w:color w:val="auto"/>
            <w:u w:val="none"/>
            <w:rtl/>
          </w:rPr>
          <w:t>والنموذج</w:t>
        </w:r>
        <w:r w:rsidR="007D74CF" w:rsidRPr="00591DBF">
          <w:rPr>
            <w:rStyle w:val="Hyperlink"/>
            <w:color w:val="auto"/>
            <w:sz w:val="28"/>
            <w:u w:val="none"/>
            <w:rtl/>
          </w:rPr>
          <w:t xml:space="preserve"> </w:t>
        </w:r>
        <w:r w:rsidR="007D74CF" w:rsidRPr="00282AC9">
          <w:rPr>
            <w:rStyle w:val="Hyperlink"/>
            <w:color w:val="auto"/>
            <w:u w:val="none"/>
            <w:rtl/>
          </w:rPr>
          <w:t>العمليّ</w:t>
        </w:r>
      </w:hyperlink>
    </w:p>
    <w:p w:rsidR="007D74CF" w:rsidRPr="00282AC9" w:rsidRDefault="00487E34" w:rsidP="003B2BFA">
      <w:pPr>
        <w:pStyle w:val="25"/>
        <w:rPr>
          <w:rFonts w:asciiTheme="minorHAnsi" w:eastAsiaTheme="minorEastAsia" w:hAnsiTheme="minorHAnsi" w:cstheme="minorBidi"/>
          <w:sz w:val="22"/>
          <w:szCs w:val="22"/>
          <w:lang w:eastAsia="en-US"/>
        </w:rPr>
      </w:pPr>
      <w:hyperlink w:anchor="_Toc87011486" w:history="1">
        <w:r w:rsidR="007D74CF" w:rsidRPr="00282AC9">
          <w:rPr>
            <w:rStyle w:val="Hyperlink"/>
            <w:color w:val="auto"/>
            <w:u w:val="none"/>
            <w:rtl/>
          </w:rPr>
          <w:t>د. الشيخ محمد رحماني</w:t>
        </w:r>
        <w:r w:rsidR="007D74CF" w:rsidRPr="00282AC9">
          <w:rPr>
            <w:webHidden/>
          </w:rPr>
          <w:tab/>
        </w:r>
        <w:r w:rsidR="007D74CF" w:rsidRPr="00282AC9">
          <w:rPr>
            <w:webHidden/>
          </w:rPr>
          <w:fldChar w:fldCharType="begin"/>
        </w:r>
        <w:r w:rsidR="007D74CF" w:rsidRPr="00282AC9">
          <w:rPr>
            <w:webHidden/>
          </w:rPr>
          <w:instrText xml:space="preserve"> PAGEREF _Toc87011486 \h </w:instrText>
        </w:r>
        <w:r w:rsidR="007D74CF" w:rsidRPr="00282AC9">
          <w:rPr>
            <w:webHidden/>
          </w:rPr>
        </w:r>
        <w:r w:rsidR="007D74CF" w:rsidRPr="00282AC9">
          <w:rPr>
            <w:webHidden/>
          </w:rPr>
          <w:fldChar w:fldCharType="separate"/>
        </w:r>
        <w:r w:rsidR="009D54E6">
          <w:rPr>
            <w:webHidden/>
            <w:rtl/>
          </w:rPr>
          <w:t>40</w:t>
        </w:r>
        <w:r w:rsidR="007D74CF" w:rsidRPr="00282AC9">
          <w:rPr>
            <w:webHidden/>
          </w:rPr>
          <w:fldChar w:fldCharType="end"/>
        </w:r>
      </w:hyperlink>
    </w:p>
    <w:p w:rsidR="007D74CF" w:rsidRPr="00282AC9" w:rsidRDefault="00487E34" w:rsidP="00096E20">
      <w:pPr>
        <w:pStyle w:val="1"/>
        <w:spacing w:before="140"/>
        <w:rPr>
          <w:rFonts w:asciiTheme="minorHAnsi" w:eastAsiaTheme="minorEastAsia" w:hAnsiTheme="minorHAnsi" w:cstheme="minorBidi"/>
          <w:sz w:val="22"/>
          <w:szCs w:val="22"/>
          <w:lang w:eastAsia="en-US"/>
        </w:rPr>
      </w:pPr>
      <w:hyperlink w:anchor="_Toc87011488" w:history="1">
        <w:r w:rsidR="007D74CF" w:rsidRPr="00282AC9">
          <w:rPr>
            <w:rStyle w:val="Hyperlink"/>
            <w:color w:val="auto"/>
            <w:u w:val="none"/>
            <w:rtl/>
            <w:lang w:bidi="ar-LB"/>
          </w:rPr>
          <w:t>قاعدة التسامح في أدلّة السُّنَن</w:t>
        </w:r>
      </w:hyperlink>
      <w:r w:rsidR="00E14FEF" w:rsidRPr="00282AC9">
        <w:rPr>
          <w:rStyle w:val="Hyperlink"/>
          <w:rFonts w:hint="cs"/>
          <w:color w:val="auto"/>
          <w:u w:val="none"/>
          <w:rtl/>
        </w:rPr>
        <w:t>،</w:t>
      </w:r>
      <w:r w:rsidR="003B2BFA" w:rsidRPr="00282AC9">
        <w:rPr>
          <w:rStyle w:val="Hyperlink"/>
          <w:rFonts w:hint="cs"/>
          <w:color w:val="auto"/>
          <w:u w:val="none"/>
          <w:rtl/>
        </w:rPr>
        <w:t xml:space="preserve"> </w:t>
      </w:r>
      <w:hyperlink w:anchor="_Toc87011489" w:history="1">
        <w:r w:rsidR="007D74CF" w:rsidRPr="00282AC9">
          <w:rPr>
            <w:rStyle w:val="Hyperlink"/>
            <w:color w:val="auto"/>
            <w:u w:val="none"/>
            <w:rtl/>
            <w:lang w:bidi="ar-LB"/>
          </w:rPr>
          <w:t>ودَوْرها في تسرُّب الموضوعات</w:t>
        </w:r>
      </w:hyperlink>
      <w:r w:rsidR="00E14FEF" w:rsidRPr="00282AC9">
        <w:rPr>
          <w:rStyle w:val="Hyperlink"/>
          <w:rFonts w:hint="cs"/>
          <w:color w:val="auto"/>
          <w:u w:val="none"/>
          <w:rtl/>
        </w:rPr>
        <w:t xml:space="preserve"> / القسم الأوّل</w:t>
      </w:r>
    </w:p>
    <w:p w:rsidR="007D74CF" w:rsidRPr="00282AC9" w:rsidRDefault="00487E34" w:rsidP="003B2BFA">
      <w:pPr>
        <w:pStyle w:val="25"/>
        <w:rPr>
          <w:rFonts w:asciiTheme="minorHAnsi" w:eastAsiaTheme="minorEastAsia" w:hAnsiTheme="minorHAnsi" w:cstheme="minorBidi"/>
          <w:sz w:val="22"/>
          <w:szCs w:val="22"/>
          <w:lang w:eastAsia="en-US"/>
        </w:rPr>
      </w:pPr>
      <w:hyperlink w:anchor="_Toc87011490" w:history="1">
        <w:r w:rsidR="007D74CF" w:rsidRPr="00282AC9">
          <w:rPr>
            <w:rStyle w:val="Hyperlink"/>
            <w:color w:val="auto"/>
            <w:u w:val="none"/>
            <w:rtl/>
            <w:lang w:bidi="ar-LB"/>
          </w:rPr>
          <w:t>د. الشيخ حسين الخشن</w:t>
        </w:r>
        <w:r w:rsidR="007D74CF" w:rsidRPr="00282AC9">
          <w:rPr>
            <w:webHidden/>
          </w:rPr>
          <w:tab/>
        </w:r>
        <w:r w:rsidR="007D74CF" w:rsidRPr="00282AC9">
          <w:rPr>
            <w:webHidden/>
          </w:rPr>
          <w:fldChar w:fldCharType="begin"/>
        </w:r>
        <w:r w:rsidR="007D74CF" w:rsidRPr="00282AC9">
          <w:rPr>
            <w:webHidden/>
          </w:rPr>
          <w:instrText xml:space="preserve"> PAGEREF _Toc87011490 \h </w:instrText>
        </w:r>
        <w:r w:rsidR="007D74CF" w:rsidRPr="00282AC9">
          <w:rPr>
            <w:webHidden/>
          </w:rPr>
        </w:r>
        <w:r w:rsidR="007D74CF" w:rsidRPr="00282AC9">
          <w:rPr>
            <w:webHidden/>
          </w:rPr>
          <w:fldChar w:fldCharType="separate"/>
        </w:r>
        <w:r w:rsidR="009D54E6">
          <w:rPr>
            <w:webHidden/>
            <w:rtl/>
          </w:rPr>
          <w:t>73</w:t>
        </w:r>
        <w:r w:rsidR="007D74CF" w:rsidRPr="00282AC9">
          <w:rPr>
            <w:webHidden/>
          </w:rPr>
          <w:fldChar w:fldCharType="end"/>
        </w:r>
      </w:hyperlink>
    </w:p>
    <w:p w:rsidR="007D74CF" w:rsidRPr="00282AC9" w:rsidRDefault="00487E34" w:rsidP="00096E20">
      <w:pPr>
        <w:pStyle w:val="1"/>
        <w:spacing w:before="140"/>
        <w:rPr>
          <w:rFonts w:asciiTheme="minorHAnsi" w:eastAsiaTheme="minorEastAsia" w:hAnsiTheme="minorHAnsi" w:cstheme="minorBidi"/>
          <w:sz w:val="22"/>
          <w:szCs w:val="22"/>
          <w:lang w:eastAsia="en-US"/>
        </w:rPr>
      </w:pPr>
      <w:hyperlink w:anchor="_Toc87011491" w:history="1">
        <w:r w:rsidR="007D74CF" w:rsidRPr="00282AC9">
          <w:rPr>
            <w:rStyle w:val="Hyperlink"/>
            <w:color w:val="auto"/>
            <w:u w:val="none"/>
            <w:rtl/>
          </w:rPr>
          <w:t>الهيمنة الذكوريّة</w:t>
        </w:r>
      </w:hyperlink>
      <w:r w:rsidR="00E14FEF" w:rsidRPr="00282AC9">
        <w:rPr>
          <w:rStyle w:val="Hyperlink"/>
          <w:rFonts w:hint="cs"/>
          <w:color w:val="auto"/>
          <w:u w:val="none"/>
          <w:rtl/>
        </w:rPr>
        <w:t>،</w:t>
      </w:r>
      <w:r w:rsidR="003B2BFA" w:rsidRPr="00282AC9">
        <w:rPr>
          <w:rStyle w:val="Hyperlink"/>
          <w:rFonts w:hint="cs"/>
          <w:color w:val="auto"/>
          <w:u w:val="none"/>
          <w:rtl/>
        </w:rPr>
        <w:t xml:space="preserve"> </w:t>
      </w:r>
      <w:hyperlink w:anchor="_Toc87011492" w:history="1">
        <w:r w:rsidR="007D74CF" w:rsidRPr="00282AC9">
          <w:rPr>
            <w:rStyle w:val="Hyperlink"/>
            <w:color w:val="auto"/>
            <w:u w:val="none"/>
            <w:rtl/>
          </w:rPr>
          <w:t>بين التشريع الدينيّ والأعراف الاجتماعيّة</w:t>
        </w:r>
      </w:hyperlink>
    </w:p>
    <w:p w:rsidR="007D74CF" w:rsidRPr="00282AC9" w:rsidRDefault="00487E34" w:rsidP="003B2BFA">
      <w:pPr>
        <w:pStyle w:val="25"/>
        <w:rPr>
          <w:rFonts w:asciiTheme="minorHAnsi" w:eastAsiaTheme="minorEastAsia" w:hAnsiTheme="minorHAnsi" w:cstheme="minorBidi"/>
          <w:sz w:val="22"/>
          <w:szCs w:val="22"/>
          <w:lang w:eastAsia="en-US"/>
        </w:rPr>
      </w:pPr>
      <w:hyperlink w:anchor="_Toc87011493" w:history="1">
        <w:r w:rsidR="007D74CF" w:rsidRPr="00282AC9">
          <w:rPr>
            <w:rStyle w:val="Hyperlink"/>
            <w:color w:val="auto"/>
            <w:u w:val="none"/>
            <w:rtl/>
            <w:lang w:bidi="ar-YE"/>
          </w:rPr>
          <w:t>الشيخ حسن الصف</w:t>
        </w:r>
        <w:r w:rsidR="00DE7ED1">
          <w:rPr>
            <w:rStyle w:val="Hyperlink"/>
            <w:rFonts w:hint="cs"/>
            <w:color w:val="auto"/>
            <w:u w:val="none"/>
            <w:rtl/>
            <w:lang w:bidi="ar-LB"/>
          </w:rPr>
          <w:t>ّ</w:t>
        </w:r>
        <w:r w:rsidR="007D74CF" w:rsidRPr="00282AC9">
          <w:rPr>
            <w:rStyle w:val="Hyperlink"/>
            <w:color w:val="auto"/>
            <w:u w:val="none"/>
            <w:rtl/>
            <w:lang w:bidi="ar-YE"/>
          </w:rPr>
          <w:t>ار</w:t>
        </w:r>
        <w:r w:rsidR="007D74CF" w:rsidRPr="00282AC9">
          <w:rPr>
            <w:webHidden/>
          </w:rPr>
          <w:tab/>
        </w:r>
        <w:r w:rsidR="007D74CF" w:rsidRPr="00282AC9">
          <w:rPr>
            <w:webHidden/>
          </w:rPr>
          <w:fldChar w:fldCharType="begin"/>
        </w:r>
        <w:r w:rsidR="007D74CF" w:rsidRPr="00282AC9">
          <w:rPr>
            <w:webHidden/>
          </w:rPr>
          <w:instrText xml:space="preserve"> PAGEREF _Toc87011493 \h </w:instrText>
        </w:r>
        <w:r w:rsidR="007D74CF" w:rsidRPr="00282AC9">
          <w:rPr>
            <w:webHidden/>
          </w:rPr>
        </w:r>
        <w:r w:rsidR="007D74CF" w:rsidRPr="00282AC9">
          <w:rPr>
            <w:webHidden/>
          </w:rPr>
          <w:fldChar w:fldCharType="separate"/>
        </w:r>
        <w:r w:rsidR="009D54E6">
          <w:rPr>
            <w:webHidden/>
            <w:rtl/>
          </w:rPr>
          <w:t>102</w:t>
        </w:r>
        <w:r w:rsidR="007D74CF" w:rsidRPr="00282AC9">
          <w:rPr>
            <w:webHidden/>
          </w:rPr>
          <w:fldChar w:fldCharType="end"/>
        </w:r>
      </w:hyperlink>
    </w:p>
    <w:p w:rsidR="007D74CF" w:rsidRPr="00282AC9" w:rsidRDefault="00487E34" w:rsidP="00096E20">
      <w:pPr>
        <w:pStyle w:val="1"/>
        <w:spacing w:before="140"/>
        <w:rPr>
          <w:rFonts w:asciiTheme="minorHAnsi" w:eastAsiaTheme="minorEastAsia" w:hAnsiTheme="minorHAnsi" w:cstheme="minorBidi"/>
          <w:sz w:val="22"/>
          <w:szCs w:val="22"/>
          <w:lang w:eastAsia="en-US"/>
        </w:rPr>
      </w:pPr>
      <w:hyperlink w:anchor="_Toc87011494" w:history="1">
        <w:r w:rsidR="007D74CF" w:rsidRPr="00282AC9">
          <w:rPr>
            <w:rStyle w:val="Hyperlink"/>
            <w:color w:val="auto"/>
            <w:u w:val="none"/>
            <w:rtl/>
          </w:rPr>
          <w:t>توبة المرتدّ الفطري</w:t>
        </w:r>
      </w:hyperlink>
      <w:r w:rsidR="00E14FEF" w:rsidRPr="00282AC9">
        <w:rPr>
          <w:rStyle w:val="Hyperlink"/>
          <w:rFonts w:hint="cs"/>
          <w:color w:val="auto"/>
          <w:u w:val="none"/>
          <w:rtl/>
        </w:rPr>
        <w:t xml:space="preserve">، </w:t>
      </w:r>
      <w:hyperlink w:anchor="_Toc87011495" w:history="1">
        <w:r w:rsidR="007D74CF" w:rsidRPr="00282AC9">
          <w:rPr>
            <w:rStyle w:val="Hyperlink"/>
            <w:color w:val="auto"/>
            <w:u w:val="none"/>
            <w:rtl/>
          </w:rPr>
          <w:t>قراءةٌ فقهيّة جديدة</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496" w:history="1">
        <w:r w:rsidR="007D74CF" w:rsidRPr="00282AC9">
          <w:rPr>
            <w:rStyle w:val="Hyperlink"/>
            <w:color w:val="auto"/>
            <w:u w:val="none"/>
            <w:rtl/>
          </w:rPr>
          <w:t>د. إبراهيم زارع</w:t>
        </w:r>
        <w:r w:rsidR="007D74CF" w:rsidRPr="00282AC9">
          <w:rPr>
            <w:webHidden/>
          </w:rPr>
          <w:tab/>
        </w:r>
        <w:r w:rsidR="007D74CF" w:rsidRPr="00282AC9">
          <w:rPr>
            <w:webHidden/>
          </w:rPr>
          <w:fldChar w:fldCharType="begin"/>
        </w:r>
        <w:r w:rsidR="007D74CF" w:rsidRPr="00282AC9">
          <w:rPr>
            <w:webHidden/>
          </w:rPr>
          <w:instrText xml:space="preserve"> PAGEREF _Toc87011496 \h </w:instrText>
        </w:r>
        <w:r w:rsidR="007D74CF" w:rsidRPr="00282AC9">
          <w:rPr>
            <w:webHidden/>
          </w:rPr>
        </w:r>
        <w:r w:rsidR="007D74CF" w:rsidRPr="00282AC9">
          <w:rPr>
            <w:webHidden/>
          </w:rPr>
          <w:fldChar w:fldCharType="separate"/>
        </w:r>
        <w:r w:rsidR="009D54E6">
          <w:rPr>
            <w:webHidden/>
            <w:rtl/>
          </w:rPr>
          <w:t>126</w:t>
        </w:r>
        <w:r w:rsidR="007D74CF" w:rsidRPr="00282AC9">
          <w:rPr>
            <w:webHidden/>
          </w:rPr>
          <w:fldChar w:fldCharType="end"/>
        </w:r>
      </w:hyperlink>
    </w:p>
    <w:p w:rsidR="007D74CF" w:rsidRPr="00282AC9" w:rsidRDefault="00487E34" w:rsidP="00096E20">
      <w:pPr>
        <w:pStyle w:val="1"/>
        <w:spacing w:before="140"/>
        <w:rPr>
          <w:rFonts w:asciiTheme="minorHAnsi" w:eastAsiaTheme="minorEastAsia" w:hAnsiTheme="minorHAnsi" w:cstheme="minorBidi"/>
          <w:sz w:val="22"/>
          <w:szCs w:val="22"/>
          <w:lang w:eastAsia="en-US"/>
        </w:rPr>
      </w:pPr>
      <w:hyperlink w:anchor="_Toc87011498" w:history="1">
        <w:r w:rsidR="007D74CF" w:rsidRPr="00282AC9">
          <w:rPr>
            <w:rStyle w:val="Hyperlink"/>
            <w:color w:val="auto"/>
            <w:u w:val="none"/>
            <w:rtl/>
          </w:rPr>
          <w:t>قاعدة اشتراك الرجال والنساء في الأحكام الشرعيّة</w:t>
        </w:r>
      </w:hyperlink>
      <w:r w:rsidR="00E14FEF" w:rsidRPr="00282AC9">
        <w:rPr>
          <w:rStyle w:val="Hyperlink"/>
          <w:rFonts w:hint="cs"/>
          <w:color w:val="auto"/>
          <w:u w:val="none"/>
          <w:rtl/>
        </w:rPr>
        <w:t xml:space="preserve">، </w:t>
      </w:r>
      <w:hyperlink w:anchor="_Toc87011499" w:history="1">
        <w:r w:rsidR="007D74CF" w:rsidRPr="00282AC9">
          <w:rPr>
            <w:rStyle w:val="Hyperlink"/>
            <w:color w:val="auto"/>
            <w:u w:val="none"/>
            <w:rtl/>
          </w:rPr>
          <w:t>المفاد والأدلّة عند المذاهب الإسلاميّة</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00" w:history="1">
        <w:r w:rsidR="007D74CF" w:rsidRPr="00282AC9">
          <w:rPr>
            <w:rStyle w:val="Hyperlink"/>
            <w:color w:val="auto"/>
            <w:u w:val="none"/>
            <w:rtl/>
          </w:rPr>
          <w:t>أ. شروق فقيه</w:t>
        </w:r>
        <w:r w:rsidR="007D74CF" w:rsidRPr="00282AC9">
          <w:rPr>
            <w:webHidden/>
          </w:rPr>
          <w:tab/>
        </w:r>
        <w:r w:rsidR="007D74CF" w:rsidRPr="00282AC9">
          <w:rPr>
            <w:webHidden/>
          </w:rPr>
          <w:fldChar w:fldCharType="begin"/>
        </w:r>
        <w:r w:rsidR="007D74CF" w:rsidRPr="00282AC9">
          <w:rPr>
            <w:webHidden/>
          </w:rPr>
          <w:instrText xml:space="preserve"> PAGEREF _Toc87011500 \h </w:instrText>
        </w:r>
        <w:r w:rsidR="007D74CF" w:rsidRPr="00282AC9">
          <w:rPr>
            <w:webHidden/>
          </w:rPr>
        </w:r>
        <w:r w:rsidR="007D74CF" w:rsidRPr="00282AC9">
          <w:rPr>
            <w:webHidden/>
          </w:rPr>
          <w:fldChar w:fldCharType="separate"/>
        </w:r>
        <w:r w:rsidR="009D54E6">
          <w:rPr>
            <w:webHidden/>
            <w:rtl/>
          </w:rPr>
          <w:t>152</w:t>
        </w:r>
        <w:r w:rsidR="007D74CF" w:rsidRPr="00282AC9">
          <w:rPr>
            <w:webHidden/>
          </w:rPr>
          <w:fldChar w:fldCharType="end"/>
        </w:r>
      </w:hyperlink>
    </w:p>
    <w:p w:rsidR="007D74CF" w:rsidRPr="00282AC9" w:rsidRDefault="00487E34" w:rsidP="00096E20">
      <w:pPr>
        <w:pStyle w:val="1"/>
        <w:spacing w:before="140"/>
        <w:rPr>
          <w:rFonts w:asciiTheme="minorHAnsi" w:eastAsiaTheme="minorEastAsia" w:hAnsiTheme="minorHAnsi" w:cstheme="minorBidi"/>
          <w:sz w:val="22"/>
          <w:szCs w:val="22"/>
          <w:lang w:eastAsia="en-US"/>
        </w:rPr>
      </w:pPr>
      <w:hyperlink w:anchor="_Toc87011501" w:history="1">
        <w:r w:rsidR="007D74CF" w:rsidRPr="00282AC9">
          <w:rPr>
            <w:rStyle w:val="Hyperlink"/>
            <w:color w:val="auto"/>
            <w:u w:val="none"/>
            <w:rtl/>
          </w:rPr>
          <w:t>مفهوم الغنيمة في التراث الفكريّ للمسلمين</w:t>
        </w:r>
      </w:hyperlink>
      <w:r w:rsidR="00E14FEF" w:rsidRPr="00282AC9">
        <w:rPr>
          <w:rStyle w:val="Hyperlink"/>
          <w:rFonts w:hint="cs"/>
          <w:color w:val="auto"/>
          <w:u w:val="none"/>
          <w:rtl/>
        </w:rPr>
        <w:t xml:space="preserve">، </w:t>
      </w:r>
      <w:hyperlink w:anchor="_Toc87011502" w:history="1">
        <w:r w:rsidR="007D74CF" w:rsidRPr="00282AC9">
          <w:rPr>
            <w:rStyle w:val="Hyperlink"/>
            <w:color w:val="auto"/>
            <w:u w:val="none"/>
            <w:rtl/>
            <w:lang w:bidi="ar-OM"/>
          </w:rPr>
          <w:t>عرضٌ وتحليل</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03" w:history="1">
        <w:r w:rsidR="007D74CF" w:rsidRPr="00282AC9">
          <w:rPr>
            <w:rStyle w:val="Hyperlink"/>
            <w:color w:val="auto"/>
            <w:u w:val="none"/>
            <w:rtl/>
          </w:rPr>
          <w:t>أ. مشتاق بن موسى اللواتي</w:t>
        </w:r>
        <w:r w:rsidR="007D74CF" w:rsidRPr="00282AC9">
          <w:rPr>
            <w:webHidden/>
          </w:rPr>
          <w:tab/>
        </w:r>
        <w:r w:rsidR="007D74CF" w:rsidRPr="00282AC9">
          <w:rPr>
            <w:webHidden/>
          </w:rPr>
          <w:fldChar w:fldCharType="begin"/>
        </w:r>
        <w:r w:rsidR="007D74CF" w:rsidRPr="00282AC9">
          <w:rPr>
            <w:webHidden/>
          </w:rPr>
          <w:instrText xml:space="preserve"> PAGEREF _Toc87011503 \h </w:instrText>
        </w:r>
        <w:r w:rsidR="007D74CF" w:rsidRPr="00282AC9">
          <w:rPr>
            <w:webHidden/>
          </w:rPr>
        </w:r>
        <w:r w:rsidR="007D74CF" w:rsidRPr="00282AC9">
          <w:rPr>
            <w:webHidden/>
          </w:rPr>
          <w:fldChar w:fldCharType="separate"/>
        </w:r>
        <w:r w:rsidR="009D54E6">
          <w:rPr>
            <w:webHidden/>
            <w:rtl/>
          </w:rPr>
          <w:t>185</w:t>
        </w:r>
        <w:r w:rsidR="007D74CF" w:rsidRPr="00282AC9">
          <w:rPr>
            <w:webHidden/>
          </w:rPr>
          <w:fldChar w:fldCharType="end"/>
        </w:r>
      </w:hyperlink>
    </w:p>
    <w:p w:rsidR="007D74CF" w:rsidRPr="00282AC9" w:rsidRDefault="00487E34" w:rsidP="00096E20">
      <w:pPr>
        <w:pStyle w:val="1"/>
        <w:spacing w:before="140"/>
        <w:rPr>
          <w:rFonts w:asciiTheme="minorHAnsi" w:eastAsiaTheme="minorEastAsia" w:hAnsiTheme="minorHAnsi" w:cstheme="minorBidi"/>
          <w:sz w:val="22"/>
          <w:szCs w:val="22"/>
          <w:lang w:eastAsia="en-US"/>
        </w:rPr>
      </w:pPr>
      <w:hyperlink w:anchor="_Toc87011504" w:history="1">
        <w:r w:rsidR="007D74CF" w:rsidRPr="00282AC9">
          <w:rPr>
            <w:rStyle w:val="Hyperlink"/>
            <w:color w:val="auto"/>
            <w:u w:val="none"/>
            <w:rtl/>
          </w:rPr>
          <w:t>«السُنَّة» ودلالاتها</w:t>
        </w:r>
      </w:hyperlink>
      <w:r w:rsidR="003B2BFA" w:rsidRPr="00282AC9">
        <w:rPr>
          <w:rStyle w:val="Hyperlink"/>
          <w:rFonts w:hint="cs"/>
          <w:color w:val="auto"/>
          <w:u w:val="none"/>
          <w:rtl/>
        </w:rPr>
        <w:t xml:space="preserve"> </w:t>
      </w:r>
      <w:hyperlink w:anchor="_Toc87011505" w:history="1">
        <w:r w:rsidR="007D74CF" w:rsidRPr="00282AC9">
          <w:rPr>
            <w:rStyle w:val="Hyperlink"/>
            <w:color w:val="auto"/>
            <w:u w:val="none"/>
            <w:rtl/>
          </w:rPr>
          <w:t>في التراثين الدينيّ والأدبيّ في القرون الهجريّة الأولى</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06" w:history="1">
        <w:r w:rsidR="007D74CF" w:rsidRPr="00282AC9">
          <w:rPr>
            <w:rStyle w:val="Hyperlink"/>
            <w:color w:val="auto"/>
            <w:u w:val="none"/>
            <w:rtl/>
            <w:lang w:bidi="fa-IR"/>
          </w:rPr>
          <w:t>الشيخ محمد عافي الخراساني</w:t>
        </w:r>
        <w:r w:rsidR="007D74CF" w:rsidRPr="00282AC9">
          <w:rPr>
            <w:webHidden/>
          </w:rPr>
          <w:tab/>
        </w:r>
        <w:r w:rsidR="007D74CF" w:rsidRPr="00282AC9">
          <w:rPr>
            <w:webHidden/>
          </w:rPr>
          <w:fldChar w:fldCharType="begin"/>
        </w:r>
        <w:r w:rsidR="007D74CF" w:rsidRPr="00282AC9">
          <w:rPr>
            <w:webHidden/>
          </w:rPr>
          <w:instrText xml:space="preserve"> PAGEREF _Toc87011506 \h </w:instrText>
        </w:r>
        <w:r w:rsidR="007D74CF" w:rsidRPr="00282AC9">
          <w:rPr>
            <w:webHidden/>
          </w:rPr>
        </w:r>
        <w:r w:rsidR="007D74CF" w:rsidRPr="00282AC9">
          <w:rPr>
            <w:webHidden/>
          </w:rPr>
          <w:fldChar w:fldCharType="separate"/>
        </w:r>
        <w:r w:rsidR="009D54E6">
          <w:rPr>
            <w:webHidden/>
            <w:rtl/>
          </w:rPr>
          <w:t>221</w:t>
        </w:r>
        <w:r w:rsidR="007D74CF" w:rsidRPr="00282AC9">
          <w:rPr>
            <w:webHidden/>
          </w:rPr>
          <w:fldChar w:fldCharType="end"/>
        </w:r>
      </w:hyperlink>
    </w:p>
    <w:p w:rsidR="007D74CF" w:rsidRPr="00282AC9" w:rsidRDefault="00487E34" w:rsidP="00883314">
      <w:pPr>
        <w:pStyle w:val="1"/>
        <w:spacing w:before="100"/>
        <w:rPr>
          <w:rFonts w:asciiTheme="minorHAnsi" w:eastAsiaTheme="minorEastAsia" w:hAnsiTheme="minorHAnsi" w:cstheme="minorBidi"/>
          <w:sz w:val="22"/>
          <w:szCs w:val="22"/>
          <w:lang w:eastAsia="en-US"/>
        </w:rPr>
      </w:pPr>
      <w:hyperlink w:anchor="_Toc87011507" w:history="1">
        <w:r w:rsidR="007D74CF" w:rsidRPr="00282AC9">
          <w:rPr>
            <w:rStyle w:val="Hyperlink"/>
            <w:color w:val="auto"/>
            <w:u w:val="none"/>
            <w:rtl/>
          </w:rPr>
          <w:t>إنكار قاعدة قبح العقاب بلا بيان</w:t>
        </w:r>
      </w:hyperlink>
      <w:r w:rsidR="00E14FEF" w:rsidRPr="00282AC9">
        <w:rPr>
          <w:rStyle w:val="Hyperlink"/>
          <w:rFonts w:hint="cs"/>
          <w:color w:val="auto"/>
          <w:u w:val="none"/>
          <w:rtl/>
        </w:rPr>
        <w:t xml:space="preserve">، </w:t>
      </w:r>
      <w:hyperlink w:anchor="_Toc87011508" w:history="1">
        <w:r w:rsidR="007D74CF" w:rsidRPr="00282AC9">
          <w:rPr>
            <w:rStyle w:val="Hyperlink"/>
            <w:color w:val="auto"/>
            <w:u w:val="none"/>
            <w:rtl/>
          </w:rPr>
          <w:t>دراسةٌ مقارنةٌ بين نظريّتَيْ الروحاني والصدر</w:t>
        </w:r>
      </w:hyperlink>
    </w:p>
    <w:p w:rsidR="007D74CF" w:rsidRPr="00282AC9" w:rsidRDefault="00487E34" w:rsidP="00CC79D2">
      <w:pPr>
        <w:pStyle w:val="25"/>
        <w:rPr>
          <w:rFonts w:asciiTheme="minorHAnsi" w:eastAsiaTheme="minorEastAsia" w:hAnsiTheme="minorHAnsi" w:cstheme="minorBidi"/>
          <w:sz w:val="22"/>
          <w:szCs w:val="22"/>
          <w:lang w:eastAsia="en-US"/>
        </w:rPr>
      </w:pPr>
      <w:hyperlink w:anchor="_Toc87011509" w:history="1">
        <w:r w:rsidR="007D74CF" w:rsidRPr="00282AC9">
          <w:rPr>
            <w:rStyle w:val="Hyperlink"/>
            <w:color w:val="auto"/>
            <w:u w:val="none"/>
            <w:rtl/>
          </w:rPr>
          <w:t>الشيخ</w:t>
        </w:r>
        <w:r w:rsidR="007D74CF" w:rsidRPr="00497804">
          <w:rPr>
            <w:rStyle w:val="Hyperlink"/>
            <w:color w:val="auto"/>
            <w:sz w:val="17"/>
            <w:szCs w:val="17"/>
            <w:u w:val="none"/>
            <w:rtl/>
          </w:rPr>
          <w:t xml:space="preserve"> </w:t>
        </w:r>
        <w:r w:rsidR="007D74CF" w:rsidRPr="00282AC9">
          <w:rPr>
            <w:rStyle w:val="Hyperlink"/>
            <w:color w:val="auto"/>
            <w:u w:val="none"/>
            <w:rtl/>
          </w:rPr>
          <w:t>محمد</w:t>
        </w:r>
        <w:r w:rsidR="007D74CF" w:rsidRPr="00497804">
          <w:rPr>
            <w:rStyle w:val="Hyperlink"/>
            <w:color w:val="auto"/>
            <w:sz w:val="17"/>
            <w:szCs w:val="17"/>
            <w:u w:val="none"/>
            <w:rtl/>
          </w:rPr>
          <w:t xml:space="preserve"> </w:t>
        </w:r>
        <w:r w:rsidR="007D74CF" w:rsidRPr="00282AC9">
          <w:rPr>
            <w:rStyle w:val="Hyperlink"/>
            <w:color w:val="auto"/>
            <w:u w:val="none"/>
            <w:rtl/>
          </w:rPr>
          <w:t>حسن</w:t>
        </w:r>
        <w:r w:rsidR="007D74CF" w:rsidRPr="00497804">
          <w:rPr>
            <w:rStyle w:val="Hyperlink"/>
            <w:color w:val="auto"/>
            <w:sz w:val="17"/>
            <w:szCs w:val="17"/>
            <w:u w:val="none"/>
            <w:rtl/>
          </w:rPr>
          <w:t xml:space="preserve"> </w:t>
        </w:r>
        <w:r w:rsidR="007D74CF" w:rsidRPr="00282AC9">
          <w:rPr>
            <w:rFonts w:ascii="Mosawi" w:eastAsiaTheme="minorHAnsi" w:hAnsi="Mosawi" w:cs="Abz-3 (Yagut)"/>
            <w:szCs w:val="24"/>
            <w:rtl/>
            <w:lang w:eastAsia="en-US"/>
          </w:rPr>
          <w:t>گُلي</w:t>
        </w:r>
        <w:r w:rsidR="007D74CF" w:rsidRPr="00497804">
          <w:rPr>
            <w:rStyle w:val="Hyperlink"/>
            <w:color w:val="auto"/>
            <w:sz w:val="17"/>
            <w:szCs w:val="17"/>
            <w:u w:val="none"/>
            <w:rtl/>
          </w:rPr>
          <w:t xml:space="preserve"> </w:t>
        </w:r>
        <w:r w:rsidR="007D74CF" w:rsidRPr="00282AC9">
          <w:rPr>
            <w:rStyle w:val="Hyperlink"/>
            <w:color w:val="auto"/>
            <w:u w:val="none"/>
            <w:rtl/>
          </w:rPr>
          <w:t>شير</w:t>
        </w:r>
        <w:r w:rsidR="007D74CF" w:rsidRPr="00497804">
          <w:rPr>
            <w:rStyle w:val="Hyperlink"/>
            <w:color w:val="auto"/>
            <w:sz w:val="17"/>
            <w:szCs w:val="17"/>
            <w:u w:val="none"/>
            <w:rtl/>
          </w:rPr>
          <w:t xml:space="preserve"> </w:t>
        </w:r>
        <w:r w:rsidR="007D74CF" w:rsidRPr="00282AC9">
          <w:rPr>
            <w:rStyle w:val="Hyperlink"/>
            <w:color w:val="auto"/>
            <w:u w:val="none"/>
            <w:rtl/>
          </w:rPr>
          <w:t>دار</w:t>
        </w:r>
      </w:hyperlink>
      <w:r w:rsidR="00980526" w:rsidRPr="00497804">
        <w:rPr>
          <w:rStyle w:val="Hyperlink"/>
          <w:rFonts w:hint="cs"/>
          <w:color w:val="auto"/>
          <w:sz w:val="17"/>
          <w:szCs w:val="17"/>
          <w:u w:val="none"/>
          <w:rtl/>
        </w:rPr>
        <w:t xml:space="preserve"> </w:t>
      </w:r>
      <w:r w:rsidR="00980526" w:rsidRPr="00282AC9">
        <w:rPr>
          <w:rStyle w:val="Hyperlink"/>
          <w:rFonts w:hint="cs"/>
          <w:color w:val="auto"/>
          <w:u w:val="none"/>
          <w:rtl/>
        </w:rPr>
        <w:t>/</w:t>
      </w:r>
      <w:r w:rsidR="00980526" w:rsidRPr="00497804">
        <w:rPr>
          <w:rStyle w:val="Hyperlink"/>
          <w:rFonts w:hint="cs"/>
          <w:color w:val="auto"/>
          <w:sz w:val="17"/>
          <w:szCs w:val="17"/>
          <w:u w:val="none"/>
          <w:rtl/>
        </w:rPr>
        <w:t xml:space="preserve"> </w:t>
      </w:r>
      <w:hyperlink w:anchor="_Toc87011510" w:history="1">
        <w:r w:rsidR="007D74CF" w:rsidRPr="00282AC9">
          <w:rPr>
            <w:rStyle w:val="Hyperlink"/>
            <w:color w:val="auto"/>
            <w:u w:val="none"/>
            <w:rtl/>
          </w:rPr>
          <w:t>أ.</w:t>
        </w:r>
        <w:r w:rsidR="007D74CF" w:rsidRPr="00497804">
          <w:rPr>
            <w:rStyle w:val="Hyperlink"/>
            <w:color w:val="auto"/>
            <w:sz w:val="17"/>
            <w:szCs w:val="17"/>
            <w:u w:val="none"/>
            <w:rtl/>
          </w:rPr>
          <w:t xml:space="preserve"> </w:t>
        </w:r>
        <w:r w:rsidR="007D74CF" w:rsidRPr="00282AC9">
          <w:rPr>
            <w:rStyle w:val="Hyperlink"/>
            <w:color w:val="auto"/>
            <w:u w:val="none"/>
            <w:rtl/>
          </w:rPr>
          <w:t>علي</w:t>
        </w:r>
        <w:r w:rsidR="007D74CF" w:rsidRPr="00497804">
          <w:rPr>
            <w:rStyle w:val="Hyperlink"/>
            <w:color w:val="auto"/>
            <w:sz w:val="17"/>
            <w:szCs w:val="17"/>
            <w:u w:val="none"/>
            <w:rtl/>
          </w:rPr>
          <w:t xml:space="preserve"> </w:t>
        </w:r>
        <w:r w:rsidR="007D74CF" w:rsidRPr="00282AC9">
          <w:rPr>
            <w:rStyle w:val="Hyperlink"/>
            <w:color w:val="auto"/>
            <w:u w:val="none"/>
            <w:rtl/>
          </w:rPr>
          <w:t>محمدي</w:t>
        </w:r>
        <w:r w:rsidR="007D74CF" w:rsidRPr="00497804">
          <w:rPr>
            <w:rStyle w:val="Hyperlink"/>
            <w:color w:val="auto"/>
            <w:sz w:val="17"/>
            <w:szCs w:val="17"/>
            <w:u w:val="none"/>
            <w:rtl/>
          </w:rPr>
          <w:t xml:space="preserve"> </w:t>
        </w:r>
        <w:r w:rsidR="007D74CF" w:rsidRPr="00282AC9">
          <w:rPr>
            <w:rStyle w:val="Hyperlink"/>
            <w:color w:val="auto"/>
            <w:u w:val="none"/>
            <w:rtl/>
          </w:rPr>
          <w:t>هويه</w:t>
        </w:r>
      </w:hyperlink>
      <w:r w:rsidR="00980526" w:rsidRPr="00497804">
        <w:rPr>
          <w:rStyle w:val="Hyperlink"/>
          <w:rFonts w:hint="cs"/>
          <w:color w:val="auto"/>
          <w:sz w:val="17"/>
          <w:szCs w:val="17"/>
          <w:u w:val="none"/>
          <w:rtl/>
        </w:rPr>
        <w:t xml:space="preserve"> </w:t>
      </w:r>
      <w:r w:rsidR="00980526" w:rsidRPr="00282AC9">
        <w:rPr>
          <w:rStyle w:val="Hyperlink"/>
          <w:rFonts w:hint="cs"/>
          <w:color w:val="auto"/>
          <w:u w:val="none"/>
          <w:rtl/>
        </w:rPr>
        <w:t>/</w:t>
      </w:r>
      <w:r w:rsidR="00980526" w:rsidRPr="00497804">
        <w:rPr>
          <w:rStyle w:val="Hyperlink"/>
          <w:rFonts w:hint="cs"/>
          <w:color w:val="auto"/>
          <w:sz w:val="17"/>
          <w:szCs w:val="17"/>
          <w:u w:val="none"/>
          <w:rtl/>
        </w:rPr>
        <w:t xml:space="preserve"> </w:t>
      </w:r>
      <w:hyperlink w:anchor="_Toc87011511" w:history="1">
        <w:r w:rsidR="00CC79D2">
          <w:rPr>
            <w:rStyle w:val="Hyperlink"/>
            <w:rFonts w:hint="cs"/>
            <w:color w:val="auto"/>
            <w:u w:val="none"/>
            <w:rtl/>
          </w:rPr>
          <w:t>الشيخ</w:t>
        </w:r>
        <w:r w:rsidR="007D74CF" w:rsidRPr="00497804">
          <w:rPr>
            <w:rStyle w:val="Hyperlink"/>
            <w:color w:val="auto"/>
            <w:sz w:val="17"/>
            <w:szCs w:val="17"/>
            <w:u w:val="none"/>
            <w:rtl/>
          </w:rPr>
          <w:t xml:space="preserve"> </w:t>
        </w:r>
        <w:r w:rsidR="007D74CF" w:rsidRPr="00282AC9">
          <w:rPr>
            <w:rFonts w:ascii="Mosawi" w:eastAsiaTheme="minorHAnsi" w:hAnsi="Mosawi" w:cs="Abz-3 (Yagut)"/>
            <w:szCs w:val="24"/>
            <w:rtl/>
            <w:lang w:eastAsia="en-US"/>
          </w:rPr>
          <w:t>سپهر</w:t>
        </w:r>
        <w:r w:rsidR="007D74CF" w:rsidRPr="00497804">
          <w:rPr>
            <w:rStyle w:val="Hyperlink"/>
            <w:color w:val="auto"/>
            <w:sz w:val="17"/>
            <w:szCs w:val="17"/>
            <w:u w:val="none"/>
            <w:rtl/>
          </w:rPr>
          <w:t xml:space="preserve"> </w:t>
        </w:r>
        <w:r w:rsidR="007D74CF" w:rsidRPr="00282AC9">
          <w:rPr>
            <w:rStyle w:val="Hyperlink"/>
            <w:color w:val="auto"/>
            <w:u w:val="none"/>
            <w:rtl/>
          </w:rPr>
          <w:t>كرد</w:t>
        </w:r>
        <w:r w:rsidR="007D74CF" w:rsidRPr="00282AC9">
          <w:rPr>
            <w:webHidden/>
          </w:rPr>
          <w:tab/>
        </w:r>
        <w:r w:rsidR="007D74CF" w:rsidRPr="00282AC9">
          <w:rPr>
            <w:webHidden/>
          </w:rPr>
          <w:fldChar w:fldCharType="begin"/>
        </w:r>
        <w:r w:rsidR="007D74CF" w:rsidRPr="00282AC9">
          <w:rPr>
            <w:webHidden/>
          </w:rPr>
          <w:instrText xml:space="preserve"> PAGEREF _Toc87011511 \h </w:instrText>
        </w:r>
        <w:r w:rsidR="007D74CF" w:rsidRPr="00282AC9">
          <w:rPr>
            <w:webHidden/>
          </w:rPr>
        </w:r>
        <w:r w:rsidR="007D74CF" w:rsidRPr="00282AC9">
          <w:rPr>
            <w:webHidden/>
          </w:rPr>
          <w:fldChar w:fldCharType="separate"/>
        </w:r>
        <w:r w:rsidR="009D54E6">
          <w:rPr>
            <w:webHidden/>
            <w:rtl/>
          </w:rPr>
          <w:t>243</w:t>
        </w:r>
        <w:r w:rsidR="007D74CF" w:rsidRPr="00282AC9">
          <w:rPr>
            <w:webHidden/>
          </w:rPr>
          <w:fldChar w:fldCharType="end"/>
        </w:r>
      </w:hyperlink>
    </w:p>
    <w:p w:rsidR="007D74CF" w:rsidRPr="00282AC9" w:rsidRDefault="00487E34" w:rsidP="00883314">
      <w:pPr>
        <w:pStyle w:val="1"/>
        <w:spacing w:before="100"/>
        <w:rPr>
          <w:rFonts w:asciiTheme="minorHAnsi" w:eastAsiaTheme="minorEastAsia" w:hAnsiTheme="minorHAnsi" w:cstheme="minorBidi"/>
          <w:sz w:val="22"/>
          <w:szCs w:val="22"/>
          <w:lang w:eastAsia="en-US"/>
        </w:rPr>
      </w:pPr>
      <w:hyperlink w:anchor="_Toc87011513" w:history="1">
        <w:r w:rsidR="007D74CF" w:rsidRPr="00282AC9">
          <w:rPr>
            <w:rStyle w:val="Hyperlink"/>
            <w:color w:val="auto"/>
            <w:u w:val="none"/>
            <w:rtl/>
          </w:rPr>
          <w:t>نظرة الإسلام إلى المرأة العقيم</w:t>
        </w:r>
      </w:hyperlink>
      <w:r w:rsidR="00980526" w:rsidRPr="00282AC9">
        <w:rPr>
          <w:rStyle w:val="Hyperlink"/>
          <w:rFonts w:hint="cs"/>
          <w:color w:val="auto"/>
          <w:u w:val="none"/>
          <w:rtl/>
        </w:rPr>
        <w:t xml:space="preserve">، </w:t>
      </w:r>
      <w:hyperlink w:anchor="_Toc87011514" w:history="1">
        <w:r w:rsidR="007D74CF" w:rsidRPr="00282AC9">
          <w:rPr>
            <w:rStyle w:val="Hyperlink"/>
            <w:color w:val="auto"/>
            <w:u w:val="none"/>
            <w:rtl/>
          </w:rPr>
          <w:t>قراءةٌ نقديّة في النصوص الدينيّة</w:t>
        </w:r>
      </w:hyperlink>
      <w:r w:rsidR="00980526" w:rsidRPr="00282AC9">
        <w:rPr>
          <w:rStyle w:val="Hyperlink"/>
          <w:rFonts w:hint="cs"/>
          <w:color w:val="auto"/>
          <w:u w:val="none"/>
          <w:rtl/>
        </w:rPr>
        <w:t xml:space="preserve"> (الزواج والتشنيع نموذجاً)</w:t>
      </w:r>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15" w:history="1">
        <w:r w:rsidR="007D74CF" w:rsidRPr="00282AC9">
          <w:rPr>
            <w:rStyle w:val="Hyperlink"/>
            <w:color w:val="auto"/>
            <w:u w:val="none"/>
            <w:rtl/>
          </w:rPr>
          <w:t>الشيخ سعيد نورا</w:t>
        </w:r>
        <w:r w:rsidR="00C13488" w:rsidRPr="00282AC9">
          <w:rPr>
            <w:rStyle w:val="Hyperlink"/>
            <w:rFonts w:hint="cs"/>
            <w:color w:val="auto"/>
            <w:u w:val="none"/>
            <w:rtl/>
          </w:rPr>
          <w:t xml:space="preserve"> / الشيخ مهدي قاسمي</w:t>
        </w:r>
        <w:r w:rsidR="007D74CF" w:rsidRPr="00282AC9">
          <w:rPr>
            <w:webHidden/>
          </w:rPr>
          <w:tab/>
        </w:r>
        <w:r w:rsidR="007D74CF" w:rsidRPr="00282AC9">
          <w:rPr>
            <w:webHidden/>
          </w:rPr>
          <w:fldChar w:fldCharType="begin"/>
        </w:r>
        <w:r w:rsidR="007D74CF" w:rsidRPr="00282AC9">
          <w:rPr>
            <w:webHidden/>
          </w:rPr>
          <w:instrText xml:space="preserve"> PAGEREF _Toc87011515 \h </w:instrText>
        </w:r>
        <w:r w:rsidR="007D74CF" w:rsidRPr="00282AC9">
          <w:rPr>
            <w:webHidden/>
          </w:rPr>
        </w:r>
        <w:r w:rsidR="007D74CF" w:rsidRPr="00282AC9">
          <w:rPr>
            <w:webHidden/>
          </w:rPr>
          <w:fldChar w:fldCharType="separate"/>
        </w:r>
        <w:r w:rsidR="009D54E6">
          <w:rPr>
            <w:webHidden/>
            <w:rtl/>
          </w:rPr>
          <w:t>260</w:t>
        </w:r>
        <w:r w:rsidR="007D74CF" w:rsidRPr="00282AC9">
          <w:rPr>
            <w:webHidden/>
          </w:rPr>
          <w:fldChar w:fldCharType="end"/>
        </w:r>
      </w:hyperlink>
    </w:p>
    <w:p w:rsidR="007D74CF" w:rsidRPr="00282AC9" w:rsidRDefault="00487E34" w:rsidP="00883314">
      <w:pPr>
        <w:pStyle w:val="1"/>
        <w:spacing w:before="100"/>
        <w:rPr>
          <w:rFonts w:asciiTheme="minorHAnsi" w:eastAsiaTheme="minorEastAsia" w:hAnsiTheme="minorHAnsi" w:cstheme="minorBidi"/>
          <w:sz w:val="22"/>
          <w:szCs w:val="22"/>
          <w:lang w:eastAsia="en-US"/>
        </w:rPr>
      </w:pPr>
      <w:hyperlink w:anchor="_Toc87011516" w:history="1">
        <w:r w:rsidR="007D74CF" w:rsidRPr="00282AC9">
          <w:rPr>
            <w:rStyle w:val="Hyperlink"/>
            <w:color w:val="auto"/>
            <w:u w:val="none"/>
            <w:rtl/>
            <w:lang w:bidi="ar-EG"/>
          </w:rPr>
          <w:t>الولاية التكوينية للنبيّ وأهل البيت</w:t>
        </w:r>
        <w:r w:rsidR="007D74CF" w:rsidRPr="00282AC9">
          <w:rPr>
            <w:rStyle w:val="Hyperlink"/>
            <w:rFonts w:cs="Mosawi"/>
            <w:color w:val="auto"/>
            <w:sz w:val="25"/>
            <w:szCs w:val="25"/>
            <w:u w:val="none"/>
            <w:rtl/>
          </w:rPr>
          <w:t>^</w:t>
        </w:r>
      </w:hyperlink>
      <w:r w:rsidR="00C13488" w:rsidRPr="00282AC9">
        <w:rPr>
          <w:rStyle w:val="Hyperlink"/>
          <w:rFonts w:hint="cs"/>
          <w:color w:val="auto"/>
          <w:u w:val="none"/>
          <w:rtl/>
        </w:rPr>
        <w:t xml:space="preserve">، </w:t>
      </w:r>
      <w:hyperlink w:anchor="_Toc87011517" w:history="1">
        <w:r w:rsidR="007D74CF" w:rsidRPr="00282AC9">
          <w:rPr>
            <w:rStyle w:val="Hyperlink"/>
            <w:color w:val="auto"/>
            <w:u w:val="none"/>
            <w:rtl/>
          </w:rPr>
          <w:t>محاولةٌ للتوفيق بين النفي والإثبات</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18" w:history="1">
        <w:r w:rsidR="007D74CF" w:rsidRPr="00282AC9">
          <w:rPr>
            <w:rStyle w:val="Hyperlink"/>
            <w:color w:val="auto"/>
            <w:u w:val="none"/>
            <w:rtl/>
          </w:rPr>
          <w:t>الشيخ محمد رضا الأحمدي البهسودي</w:t>
        </w:r>
        <w:r w:rsidR="007D74CF" w:rsidRPr="00282AC9">
          <w:rPr>
            <w:webHidden/>
          </w:rPr>
          <w:tab/>
        </w:r>
        <w:r w:rsidR="007D74CF" w:rsidRPr="00282AC9">
          <w:rPr>
            <w:webHidden/>
          </w:rPr>
          <w:fldChar w:fldCharType="begin"/>
        </w:r>
        <w:r w:rsidR="007D74CF" w:rsidRPr="00282AC9">
          <w:rPr>
            <w:webHidden/>
          </w:rPr>
          <w:instrText xml:space="preserve"> PAGEREF _Toc87011518 \h </w:instrText>
        </w:r>
        <w:r w:rsidR="007D74CF" w:rsidRPr="00282AC9">
          <w:rPr>
            <w:webHidden/>
          </w:rPr>
        </w:r>
        <w:r w:rsidR="007D74CF" w:rsidRPr="00282AC9">
          <w:rPr>
            <w:webHidden/>
          </w:rPr>
          <w:fldChar w:fldCharType="separate"/>
        </w:r>
        <w:r w:rsidR="009D54E6">
          <w:rPr>
            <w:webHidden/>
            <w:rtl/>
          </w:rPr>
          <w:t>294</w:t>
        </w:r>
        <w:r w:rsidR="007D74CF" w:rsidRPr="00282AC9">
          <w:rPr>
            <w:webHidden/>
          </w:rPr>
          <w:fldChar w:fldCharType="end"/>
        </w:r>
      </w:hyperlink>
    </w:p>
    <w:p w:rsidR="007D74CF" w:rsidRPr="00282AC9" w:rsidRDefault="00487E34" w:rsidP="00883314">
      <w:pPr>
        <w:pStyle w:val="1"/>
        <w:spacing w:before="100"/>
        <w:rPr>
          <w:rFonts w:asciiTheme="minorHAnsi" w:eastAsiaTheme="minorEastAsia" w:hAnsiTheme="minorHAnsi" w:cstheme="minorBidi"/>
          <w:sz w:val="22"/>
          <w:szCs w:val="22"/>
          <w:lang w:eastAsia="en-US"/>
        </w:rPr>
      </w:pPr>
      <w:hyperlink w:anchor="_Toc87011519" w:history="1">
        <w:r w:rsidR="007D74CF" w:rsidRPr="00282AC9">
          <w:rPr>
            <w:rStyle w:val="Hyperlink"/>
            <w:color w:val="auto"/>
            <w:u w:val="none"/>
            <w:rtl/>
            <w:lang w:bidi="ar-MA"/>
          </w:rPr>
          <w:t>المعنى ومستوياته</w:t>
        </w:r>
      </w:hyperlink>
      <w:r w:rsidR="003B2BFA" w:rsidRPr="00282AC9">
        <w:rPr>
          <w:rStyle w:val="Hyperlink"/>
          <w:rFonts w:hint="cs"/>
          <w:color w:val="auto"/>
          <w:u w:val="none"/>
          <w:rtl/>
        </w:rPr>
        <w:t xml:space="preserve"> </w:t>
      </w:r>
      <w:hyperlink w:anchor="_Toc87011520" w:history="1">
        <w:r w:rsidR="007D74CF" w:rsidRPr="00282AC9">
          <w:rPr>
            <w:rStyle w:val="Hyperlink"/>
            <w:color w:val="auto"/>
            <w:u w:val="none"/>
            <w:rtl/>
            <w:lang w:bidi="ar-MA"/>
          </w:rPr>
          <w:t>في علم أصول الفق</w:t>
        </w:r>
        <w:r w:rsidR="007D74CF" w:rsidRPr="00282AC9">
          <w:rPr>
            <w:rStyle w:val="Hyperlink"/>
            <w:color w:val="auto"/>
            <w:u w:val="none"/>
            <w:rtl/>
          </w:rPr>
          <w:t>ه</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21" w:history="1">
        <w:r w:rsidR="007D74CF" w:rsidRPr="00282AC9">
          <w:rPr>
            <w:rStyle w:val="Hyperlink"/>
            <w:color w:val="auto"/>
            <w:u w:val="none"/>
            <w:rtl/>
            <w:lang w:bidi="ar-MA"/>
          </w:rPr>
          <w:t>د. محمد بنعمر</w:t>
        </w:r>
        <w:r w:rsidR="007D74CF" w:rsidRPr="00282AC9">
          <w:rPr>
            <w:webHidden/>
          </w:rPr>
          <w:tab/>
        </w:r>
        <w:r w:rsidR="007D74CF" w:rsidRPr="00282AC9">
          <w:rPr>
            <w:webHidden/>
          </w:rPr>
          <w:fldChar w:fldCharType="begin"/>
        </w:r>
        <w:r w:rsidR="007D74CF" w:rsidRPr="00282AC9">
          <w:rPr>
            <w:webHidden/>
          </w:rPr>
          <w:instrText xml:space="preserve"> PAGEREF _Toc87011521 \h </w:instrText>
        </w:r>
        <w:r w:rsidR="007D74CF" w:rsidRPr="00282AC9">
          <w:rPr>
            <w:webHidden/>
          </w:rPr>
        </w:r>
        <w:r w:rsidR="007D74CF" w:rsidRPr="00282AC9">
          <w:rPr>
            <w:webHidden/>
          </w:rPr>
          <w:fldChar w:fldCharType="separate"/>
        </w:r>
        <w:r w:rsidR="009D54E6">
          <w:rPr>
            <w:webHidden/>
            <w:rtl/>
          </w:rPr>
          <w:t>318</w:t>
        </w:r>
        <w:r w:rsidR="007D74CF" w:rsidRPr="00282AC9">
          <w:rPr>
            <w:webHidden/>
          </w:rPr>
          <w:fldChar w:fldCharType="end"/>
        </w:r>
      </w:hyperlink>
    </w:p>
    <w:p w:rsidR="007D74CF" w:rsidRPr="00282AC9" w:rsidRDefault="00487E34" w:rsidP="00883314">
      <w:pPr>
        <w:pStyle w:val="1"/>
        <w:spacing w:before="100"/>
        <w:rPr>
          <w:rFonts w:asciiTheme="minorHAnsi" w:eastAsiaTheme="minorEastAsia" w:hAnsiTheme="minorHAnsi" w:cstheme="minorBidi"/>
          <w:sz w:val="22"/>
          <w:szCs w:val="22"/>
          <w:lang w:eastAsia="en-US"/>
        </w:rPr>
      </w:pPr>
      <w:hyperlink w:anchor="_Toc87011522" w:history="1">
        <w:r w:rsidR="007D74CF" w:rsidRPr="00282AC9">
          <w:rPr>
            <w:rStyle w:val="Hyperlink"/>
            <w:color w:val="auto"/>
            <w:u w:val="none"/>
            <w:rtl/>
          </w:rPr>
          <w:t>(انتصار الدم على السيف)</w:t>
        </w:r>
      </w:hyperlink>
      <w:r w:rsidR="00C13488" w:rsidRPr="00282AC9">
        <w:rPr>
          <w:rStyle w:val="Hyperlink"/>
          <w:rFonts w:hint="cs"/>
          <w:color w:val="auto"/>
          <w:u w:val="none"/>
          <w:rtl/>
        </w:rPr>
        <w:t xml:space="preserve">، </w:t>
      </w:r>
      <w:hyperlink w:anchor="_Toc87011523" w:history="1">
        <w:r w:rsidR="007D74CF" w:rsidRPr="00282AC9">
          <w:rPr>
            <w:rStyle w:val="Hyperlink"/>
            <w:color w:val="auto"/>
            <w:u w:val="none"/>
            <w:rtl/>
          </w:rPr>
          <w:t>قراءةٌ نقديّة في المفهوم</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24" w:history="1">
        <w:r w:rsidR="007D74CF" w:rsidRPr="00282AC9">
          <w:rPr>
            <w:rStyle w:val="Hyperlink"/>
            <w:color w:val="auto"/>
            <w:u w:val="none"/>
            <w:rtl/>
          </w:rPr>
          <w:t>د. الشيخ عصري الباني</w:t>
        </w:r>
        <w:r w:rsidR="007D74CF" w:rsidRPr="00282AC9">
          <w:rPr>
            <w:webHidden/>
          </w:rPr>
          <w:tab/>
        </w:r>
        <w:r w:rsidR="007D74CF" w:rsidRPr="00282AC9">
          <w:rPr>
            <w:webHidden/>
          </w:rPr>
          <w:fldChar w:fldCharType="begin"/>
        </w:r>
        <w:r w:rsidR="007D74CF" w:rsidRPr="00282AC9">
          <w:rPr>
            <w:webHidden/>
          </w:rPr>
          <w:instrText xml:space="preserve"> PAGEREF _Toc87011524 \h </w:instrText>
        </w:r>
        <w:r w:rsidR="007D74CF" w:rsidRPr="00282AC9">
          <w:rPr>
            <w:webHidden/>
          </w:rPr>
        </w:r>
        <w:r w:rsidR="007D74CF" w:rsidRPr="00282AC9">
          <w:rPr>
            <w:webHidden/>
          </w:rPr>
          <w:fldChar w:fldCharType="separate"/>
        </w:r>
        <w:r w:rsidR="009D54E6">
          <w:rPr>
            <w:webHidden/>
            <w:rtl/>
          </w:rPr>
          <w:t>339</w:t>
        </w:r>
        <w:r w:rsidR="007D74CF" w:rsidRPr="00282AC9">
          <w:rPr>
            <w:webHidden/>
          </w:rPr>
          <w:fldChar w:fldCharType="end"/>
        </w:r>
      </w:hyperlink>
    </w:p>
    <w:p w:rsidR="007D74CF" w:rsidRPr="00282AC9" w:rsidRDefault="00487E34" w:rsidP="00B1455E">
      <w:pPr>
        <w:pStyle w:val="1"/>
        <w:spacing w:before="100"/>
        <w:rPr>
          <w:rFonts w:asciiTheme="minorHAnsi" w:eastAsiaTheme="minorEastAsia" w:hAnsiTheme="minorHAnsi" w:cstheme="minorBidi"/>
          <w:sz w:val="22"/>
          <w:szCs w:val="22"/>
          <w:lang w:eastAsia="en-US"/>
        </w:rPr>
      </w:pPr>
      <w:hyperlink w:anchor="_Toc87011525" w:history="1">
        <w:r w:rsidR="007D74CF" w:rsidRPr="00282AC9">
          <w:rPr>
            <w:rStyle w:val="Hyperlink"/>
            <w:color w:val="auto"/>
            <w:u w:val="none"/>
            <w:rtl/>
            <w:lang w:bidi="ar-LB"/>
          </w:rPr>
          <w:t>تعدُّد الزوجات في الإسلام بين الر</w:t>
        </w:r>
        <w:r w:rsidR="00B1455E" w:rsidRPr="00282AC9">
          <w:rPr>
            <w:rStyle w:val="Hyperlink"/>
            <w:rFonts w:hint="cs"/>
            <w:color w:val="auto"/>
            <w:u w:val="none"/>
            <w:rtl/>
            <w:lang w:bidi="ar-LB"/>
          </w:rPr>
          <w:t>ا</w:t>
        </w:r>
        <w:r w:rsidR="007D74CF" w:rsidRPr="00282AC9">
          <w:rPr>
            <w:rStyle w:val="Hyperlink"/>
            <w:color w:val="auto"/>
            <w:u w:val="none"/>
            <w:rtl/>
            <w:lang w:bidi="ar-LB"/>
          </w:rPr>
          <w:t>جح والمرجوح</w:t>
        </w:r>
      </w:hyperlink>
      <w:r w:rsidR="00C13488" w:rsidRPr="00282AC9">
        <w:rPr>
          <w:rStyle w:val="Hyperlink"/>
          <w:rFonts w:hint="cs"/>
          <w:color w:val="auto"/>
          <w:u w:val="none"/>
          <w:rtl/>
        </w:rPr>
        <w:t xml:space="preserve">، </w:t>
      </w:r>
      <w:hyperlink w:anchor="_Toc87011526" w:history="1">
        <w:r w:rsidR="007D74CF" w:rsidRPr="00282AC9">
          <w:rPr>
            <w:rStyle w:val="Hyperlink"/>
            <w:color w:val="auto"/>
            <w:u w:val="none"/>
            <w:rtl/>
            <w:lang w:bidi="ar-LB"/>
          </w:rPr>
          <w:t>دراسةٌ فقهيّة استدلاليّة</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27" w:history="1">
        <w:r w:rsidR="007D74CF" w:rsidRPr="00282AC9">
          <w:rPr>
            <w:rStyle w:val="Hyperlink"/>
            <w:color w:val="auto"/>
            <w:u w:val="none"/>
            <w:rtl/>
            <w:lang w:bidi="ar-LB"/>
          </w:rPr>
          <w:t>الشيخ علي نذر</w:t>
        </w:r>
        <w:r w:rsidR="007D74CF" w:rsidRPr="00282AC9">
          <w:rPr>
            <w:webHidden/>
          </w:rPr>
          <w:tab/>
        </w:r>
        <w:r w:rsidR="007D74CF" w:rsidRPr="00282AC9">
          <w:rPr>
            <w:webHidden/>
          </w:rPr>
          <w:fldChar w:fldCharType="begin"/>
        </w:r>
        <w:r w:rsidR="007D74CF" w:rsidRPr="00282AC9">
          <w:rPr>
            <w:webHidden/>
          </w:rPr>
          <w:instrText xml:space="preserve"> PAGEREF _Toc87011527 \h </w:instrText>
        </w:r>
        <w:r w:rsidR="007D74CF" w:rsidRPr="00282AC9">
          <w:rPr>
            <w:webHidden/>
          </w:rPr>
        </w:r>
        <w:r w:rsidR="007D74CF" w:rsidRPr="00282AC9">
          <w:rPr>
            <w:webHidden/>
          </w:rPr>
          <w:fldChar w:fldCharType="separate"/>
        </w:r>
        <w:r w:rsidR="009D54E6">
          <w:rPr>
            <w:webHidden/>
            <w:rtl/>
          </w:rPr>
          <w:t>357</w:t>
        </w:r>
        <w:r w:rsidR="007D74CF" w:rsidRPr="00282AC9">
          <w:rPr>
            <w:webHidden/>
          </w:rPr>
          <w:fldChar w:fldCharType="end"/>
        </w:r>
      </w:hyperlink>
    </w:p>
    <w:p w:rsidR="007D74CF" w:rsidRPr="00282AC9" w:rsidRDefault="00487E34" w:rsidP="00883314">
      <w:pPr>
        <w:pStyle w:val="1"/>
        <w:spacing w:before="100"/>
        <w:rPr>
          <w:rFonts w:asciiTheme="minorHAnsi" w:eastAsiaTheme="minorEastAsia" w:hAnsiTheme="minorHAnsi" w:cstheme="minorBidi"/>
          <w:sz w:val="22"/>
          <w:szCs w:val="22"/>
          <w:lang w:eastAsia="en-US"/>
        </w:rPr>
      </w:pPr>
      <w:hyperlink w:anchor="_Toc87011528" w:history="1">
        <w:r w:rsidR="007D74CF" w:rsidRPr="00282AC9">
          <w:rPr>
            <w:rStyle w:val="Hyperlink"/>
            <w:color w:val="auto"/>
            <w:u w:val="none"/>
            <w:rtl/>
          </w:rPr>
          <w:t>التوقيفيّة في ترتيب الآيات القرآنيّة</w:t>
        </w:r>
      </w:hyperlink>
      <w:r w:rsidR="00C13488" w:rsidRPr="00282AC9">
        <w:rPr>
          <w:rStyle w:val="Hyperlink"/>
          <w:rFonts w:hint="cs"/>
          <w:color w:val="auto"/>
          <w:u w:val="none"/>
          <w:rtl/>
        </w:rPr>
        <w:t xml:space="preserve">، </w:t>
      </w:r>
      <w:hyperlink w:anchor="_Toc87011529" w:history="1">
        <w:r w:rsidR="007D74CF" w:rsidRPr="00282AC9">
          <w:rPr>
            <w:rStyle w:val="Hyperlink"/>
            <w:color w:val="auto"/>
            <w:u w:val="none"/>
            <w:rtl/>
          </w:rPr>
          <w:t>قراءةٌ نقديّة في نظريّة الطباطبائي</w:t>
        </w:r>
      </w:hyperlink>
    </w:p>
    <w:p w:rsidR="007D74CF" w:rsidRPr="00282AC9" w:rsidRDefault="00487E34" w:rsidP="003B2BFA">
      <w:pPr>
        <w:pStyle w:val="25"/>
        <w:rPr>
          <w:rFonts w:asciiTheme="minorHAnsi" w:eastAsiaTheme="minorEastAsia" w:hAnsiTheme="minorHAnsi" w:cstheme="minorBidi"/>
          <w:sz w:val="22"/>
          <w:szCs w:val="22"/>
          <w:lang w:eastAsia="en-US"/>
        </w:rPr>
      </w:pPr>
      <w:hyperlink w:anchor="_Toc87011530" w:history="1">
        <w:r w:rsidR="007D74CF" w:rsidRPr="00282AC9">
          <w:rPr>
            <w:rStyle w:val="Hyperlink"/>
            <w:color w:val="auto"/>
            <w:u w:val="none"/>
            <w:rtl/>
          </w:rPr>
          <w:t>الشيخ عيسى محسني</w:t>
        </w:r>
        <w:r w:rsidR="003B2BFA" w:rsidRPr="00282AC9">
          <w:rPr>
            <w:rStyle w:val="Hyperlink"/>
            <w:rFonts w:hint="cs"/>
            <w:color w:val="auto"/>
            <w:u w:val="none"/>
            <w:rtl/>
          </w:rPr>
          <w:t xml:space="preserve"> / </w:t>
        </w:r>
      </w:hyperlink>
      <w:hyperlink w:anchor="_Toc87011531" w:history="1">
        <w:r w:rsidR="007D74CF" w:rsidRPr="00282AC9">
          <w:rPr>
            <w:rStyle w:val="Hyperlink"/>
            <w:color w:val="auto"/>
            <w:u w:val="none"/>
            <w:rtl/>
          </w:rPr>
          <w:t xml:space="preserve">د. الشيخ محمد هادي </w:t>
        </w:r>
        <w:r w:rsidR="00C13488" w:rsidRPr="00282AC9">
          <w:rPr>
            <w:rStyle w:val="Hyperlink"/>
            <w:rFonts w:hint="cs"/>
            <w:color w:val="auto"/>
            <w:u w:val="none"/>
            <w:rtl/>
          </w:rPr>
          <w:t>ال</w:t>
        </w:r>
        <w:r w:rsidR="007D74CF" w:rsidRPr="00282AC9">
          <w:rPr>
            <w:rStyle w:val="Hyperlink"/>
            <w:color w:val="auto"/>
            <w:u w:val="none"/>
            <w:rtl/>
          </w:rPr>
          <w:t>منصوري</w:t>
        </w:r>
        <w:r w:rsidR="007D74CF" w:rsidRPr="00282AC9">
          <w:rPr>
            <w:webHidden/>
          </w:rPr>
          <w:tab/>
        </w:r>
        <w:r w:rsidR="007D74CF" w:rsidRPr="00282AC9">
          <w:rPr>
            <w:webHidden/>
          </w:rPr>
          <w:fldChar w:fldCharType="begin"/>
        </w:r>
        <w:r w:rsidR="007D74CF" w:rsidRPr="00282AC9">
          <w:rPr>
            <w:webHidden/>
          </w:rPr>
          <w:instrText xml:space="preserve"> PAGEREF _Toc87011531 \h </w:instrText>
        </w:r>
        <w:r w:rsidR="007D74CF" w:rsidRPr="00282AC9">
          <w:rPr>
            <w:webHidden/>
          </w:rPr>
        </w:r>
        <w:r w:rsidR="007D74CF" w:rsidRPr="00282AC9">
          <w:rPr>
            <w:webHidden/>
          </w:rPr>
          <w:fldChar w:fldCharType="separate"/>
        </w:r>
        <w:r w:rsidR="009D54E6">
          <w:rPr>
            <w:webHidden/>
            <w:rtl/>
          </w:rPr>
          <w:t>372</w:t>
        </w:r>
        <w:r w:rsidR="007D74CF" w:rsidRPr="00282AC9">
          <w:rPr>
            <w:webHidden/>
          </w:rPr>
          <w:fldChar w:fldCharType="end"/>
        </w:r>
      </w:hyperlink>
    </w:p>
    <w:p w:rsidR="007D74CF" w:rsidRPr="00282AC9" w:rsidRDefault="00487E34" w:rsidP="00883314">
      <w:pPr>
        <w:pStyle w:val="1"/>
        <w:spacing w:before="100"/>
        <w:rPr>
          <w:rFonts w:asciiTheme="minorHAnsi" w:eastAsiaTheme="minorEastAsia" w:hAnsiTheme="minorHAnsi" w:cstheme="minorBidi"/>
          <w:sz w:val="22"/>
          <w:szCs w:val="22"/>
          <w:lang w:eastAsia="en-US"/>
        </w:rPr>
      </w:pPr>
      <w:hyperlink w:anchor="_Toc87011532" w:history="1">
        <w:r w:rsidR="007D74CF" w:rsidRPr="00282AC9">
          <w:rPr>
            <w:rStyle w:val="Hyperlink"/>
            <w:color w:val="auto"/>
            <w:u w:val="none"/>
            <w:rtl/>
          </w:rPr>
          <w:t>الحضور العلميّ والتربويّ للإمام الرضا</w:t>
        </w:r>
        <w:r w:rsidR="007D74CF" w:rsidRPr="00282AC9">
          <w:rPr>
            <w:rStyle w:val="Hyperlink"/>
            <w:rFonts w:cs="Mosawi"/>
            <w:color w:val="auto"/>
            <w:sz w:val="25"/>
            <w:szCs w:val="25"/>
            <w:u w:val="none"/>
            <w:rtl/>
          </w:rPr>
          <w:t>×</w:t>
        </w:r>
      </w:hyperlink>
      <w:r w:rsidR="00C13488" w:rsidRPr="00282AC9">
        <w:rPr>
          <w:rStyle w:val="Hyperlink"/>
          <w:rFonts w:hint="cs"/>
          <w:color w:val="auto"/>
          <w:u w:val="none"/>
          <w:rtl/>
        </w:rPr>
        <w:t xml:space="preserve">، </w:t>
      </w:r>
      <w:hyperlink w:anchor="_Toc87011533" w:history="1">
        <w:r w:rsidR="007D74CF" w:rsidRPr="00282AC9">
          <w:rPr>
            <w:rStyle w:val="Hyperlink"/>
            <w:color w:val="auto"/>
            <w:u w:val="none"/>
            <w:rtl/>
          </w:rPr>
          <w:t>مقاربةٌ فكريّة في التاريخ والمعاصرة</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34" w:history="1">
        <w:r w:rsidR="007D74CF" w:rsidRPr="00282AC9">
          <w:rPr>
            <w:rStyle w:val="Hyperlink"/>
            <w:color w:val="auto"/>
            <w:u w:val="none"/>
            <w:rtl/>
          </w:rPr>
          <w:t>أ. نبيل علي صالح</w:t>
        </w:r>
        <w:r w:rsidR="007D74CF" w:rsidRPr="00282AC9">
          <w:rPr>
            <w:webHidden/>
          </w:rPr>
          <w:tab/>
        </w:r>
        <w:r w:rsidR="007D74CF" w:rsidRPr="00282AC9">
          <w:rPr>
            <w:webHidden/>
          </w:rPr>
          <w:fldChar w:fldCharType="begin"/>
        </w:r>
        <w:r w:rsidR="007D74CF" w:rsidRPr="00282AC9">
          <w:rPr>
            <w:webHidden/>
          </w:rPr>
          <w:instrText xml:space="preserve"> PAGEREF _Toc87011534 \h </w:instrText>
        </w:r>
        <w:r w:rsidR="007D74CF" w:rsidRPr="00282AC9">
          <w:rPr>
            <w:webHidden/>
          </w:rPr>
        </w:r>
        <w:r w:rsidR="007D74CF" w:rsidRPr="00282AC9">
          <w:rPr>
            <w:webHidden/>
          </w:rPr>
          <w:fldChar w:fldCharType="separate"/>
        </w:r>
        <w:r w:rsidR="009D54E6">
          <w:rPr>
            <w:webHidden/>
            <w:rtl/>
          </w:rPr>
          <w:t>394</w:t>
        </w:r>
        <w:r w:rsidR="007D74CF" w:rsidRPr="00282AC9">
          <w:rPr>
            <w:webHidden/>
          </w:rPr>
          <w:fldChar w:fldCharType="end"/>
        </w:r>
      </w:hyperlink>
    </w:p>
    <w:p w:rsidR="007D74CF" w:rsidRPr="00282AC9" w:rsidRDefault="00487E34" w:rsidP="00883314">
      <w:pPr>
        <w:pStyle w:val="1"/>
        <w:spacing w:before="100"/>
        <w:rPr>
          <w:rFonts w:asciiTheme="minorHAnsi" w:eastAsiaTheme="minorEastAsia" w:hAnsiTheme="minorHAnsi" w:cstheme="minorBidi"/>
          <w:sz w:val="22"/>
          <w:szCs w:val="22"/>
          <w:lang w:eastAsia="en-US"/>
        </w:rPr>
      </w:pPr>
      <w:hyperlink w:anchor="_Toc87011535" w:history="1">
        <w:r w:rsidR="007D74CF" w:rsidRPr="00282AC9">
          <w:rPr>
            <w:rStyle w:val="Hyperlink"/>
            <w:color w:val="auto"/>
            <w:u w:val="none"/>
            <w:rtl/>
          </w:rPr>
          <w:t>الملكيّة</w:t>
        </w:r>
        <w:r w:rsidR="007D74CF" w:rsidRPr="00282AC9">
          <w:rPr>
            <w:rStyle w:val="Hyperlink"/>
            <w:color w:val="auto"/>
            <w:u w:val="none"/>
            <w:rtl/>
            <w:lang w:bidi="ar-IQ"/>
          </w:rPr>
          <w:t xml:space="preserve"> وأسبابها </w:t>
        </w:r>
        <w:r w:rsidR="007D74CF" w:rsidRPr="00282AC9">
          <w:rPr>
            <w:rStyle w:val="Hyperlink"/>
            <w:color w:val="auto"/>
            <w:u w:val="none"/>
            <w:rtl/>
          </w:rPr>
          <w:t>في الفقه الإسلاميّ</w:t>
        </w:r>
      </w:hyperlink>
      <w:r w:rsidR="00C13488" w:rsidRPr="00282AC9">
        <w:rPr>
          <w:rStyle w:val="Hyperlink"/>
          <w:rFonts w:hint="cs"/>
          <w:color w:val="auto"/>
          <w:u w:val="none"/>
          <w:rtl/>
        </w:rPr>
        <w:t xml:space="preserve">، </w:t>
      </w:r>
      <w:hyperlink w:anchor="_Toc87011536" w:history="1">
        <w:r w:rsidR="007D74CF" w:rsidRPr="00282AC9">
          <w:rPr>
            <w:rStyle w:val="Hyperlink"/>
            <w:color w:val="auto"/>
            <w:u w:val="none"/>
            <w:rtl/>
            <w:lang w:bidi="ar-IQ"/>
          </w:rPr>
          <w:t>عرْضٌ وتحليل</w:t>
        </w:r>
      </w:hyperlink>
      <w:r w:rsidR="00C13488" w:rsidRPr="00282AC9">
        <w:rPr>
          <w:rStyle w:val="Hyperlink"/>
          <w:rFonts w:hint="cs"/>
          <w:color w:val="auto"/>
          <w:u w:val="none"/>
          <w:rtl/>
        </w:rPr>
        <w:t xml:space="preserve"> / القسم الثاني</w:t>
      </w:r>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37" w:history="1">
        <w:r w:rsidR="007D74CF" w:rsidRPr="00282AC9">
          <w:rPr>
            <w:rStyle w:val="Hyperlink"/>
            <w:color w:val="auto"/>
            <w:u w:val="none"/>
            <w:rtl/>
          </w:rPr>
          <w:t>د. الشيخ خالد الغفوري الحسني</w:t>
        </w:r>
        <w:r w:rsidR="007D74CF" w:rsidRPr="00282AC9">
          <w:rPr>
            <w:webHidden/>
          </w:rPr>
          <w:tab/>
        </w:r>
        <w:r w:rsidR="007D74CF" w:rsidRPr="00282AC9">
          <w:rPr>
            <w:webHidden/>
          </w:rPr>
          <w:fldChar w:fldCharType="begin"/>
        </w:r>
        <w:r w:rsidR="007D74CF" w:rsidRPr="00282AC9">
          <w:rPr>
            <w:webHidden/>
          </w:rPr>
          <w:instrText xml:space="preserve"> PAGEREF _Toc87011537 \h </w:instrText>
        </w:r>
        <w:r w:rsidR="007D74CF" w:rsidRPr="00282AC9">
          <w:rPr>
            <w:webHidden/>
          </w:rPr>
        </w:r>
        <w:r w:rsidR="007D74CF" w:rsidRPr="00282AC9">
          <w:rPr>
            <w:webHidden/>
          </w:rPr>
          <w:fldChar w:fldCharType="separate"/>
        </w:r>
        <w:r w:rsidR="009D54E6">
          <w:rPr>
            <w:webHidden/>
            <w:rtl/>
          </w:rPr>
          <w:t>427</w:t>
        </w:r>
        <w:r w:rsidR="007D74CF" w:rsidRPr="00282AC9">
          <w:rPr>
            <w:webHidden/>
          </w:rPr>
          <w:fldChar w:fldCharType="end"/>
        </w:r>
      </w:hyperlink>
    </w:p>
    <w:p w:rsidR="003B2BFA" w:rsidRPr="00282AC9" w:rsidRDefault="003B2BFA" w:rsidP="00883314">
      <w:pPr>
        <w:spacing w:before="440" w:line="540" w:lineRule="exact"/>
        <w:ind w:firstLine="0"/>
        <w:rPr>
          <w:rFonts w:eastAsiaTheme="minorEastAsia"/>
          <w:b/>
          <w:bCs/>
          <w:noProof/>
          <w:lang w:eastAsia="ar-SA"/>
        </w:rPr>
      </w:pPr>
      <w:r w:rsidRPr="00282AC9">
        <w:rPr>
          <w:b/>
          <w:bCs/>
          <w:noProof/>
          <w:sz w:val="24"/>
          <w:szCs w:val="24"/>
        </w:rPr>
        <w:sym w:font="Wingdings" w:char="F072"/>
      </w:r>
      <w:r w:rsidRPr="00282AC9">
        <w:rPr>
          <w:rFonts w:hint="cs"/>
          <w:b/>
          <w:bCs/>
          <w:noProof/>
          <w:rtl/>
        </w:rPr>
        <w:t xml:space="preserve"> </w:t>
      </w:r>
      <w:r w:rsidRPr="00282AC9">
        <w:rPr>
          <w:rFonts w:cs="PT Bold Heading" w:hint="cs"/>
          <w:b/>
          <w:bCs/>
          <w:noProof/>
          <w:szCs w:val="28"/>
          <w:rtl/>
        </w:rPr>
        <w:t>قراءات</w:t>
      </w:r>
    </w:p>
    <w:p w:rsidR="007D74CF" w:rsidRPr="00282AC9" w:rsidRDefault="00487E34" w:rsidP="00096E20">
      <w:pPr>
        <w:pStyle w:val="1"/>
        <w:spacing w:before="80"/>
        <w:rPr>
          <w:rFonts w:asciiTheme="minorHAnsi" w:eastAsiaTheme="minorEastAsia" w:hAnsiTheme="minorHAnsi" w:cstheme="minorBidi"/>
          <w:sz w:val="22"/>
          <w:szCs w:val="22"/>
          <w:lang w:eastAsia="en-US"/>
        </w:rPr>
      </w:pPr>
      <w:hyperlink w:anchor="_Toc87011538" w:history="1">
        <w:r w:rsidR="007D74CF" w:rsidRPr="00282AC9">
          <w:rPr>
            <w:rStyle w:val="Hyperlink"/>
            <w:color w:val="auto"/>
            <w:u w:val="none"/>
            <w:rtl/>
          </w:rPr>
          <w:t>(الأسس المنطقيّة للاستقراء) في الميزان</w:t>
        </w:r>
      </w:hyperlink>
      <w:r w:rsidR="00C13488" w:rsidRPr="00282AC9">
        <w:rPr>
          <w:rStyle w:val="Hyperlink"/>
          <w:rFonts w:hint="cs"/>
          <w:color w:val="auto"/>
          <w:u w:val="none"/>
          <w:rtl/>
        </w:rPr>
        <w:t xml:space="preserve">، </w:t>
      </w:r>
      <w:hyperlink w:anchor="_Toc87011539" w:history="1">
        <w:r w:rsidR="007D74CF" w:rsidRPr="00282AC9">
          <w:rPr>
            <w:rStyle w:val="Hyperlink"/>
            <w:color w:val="auto"/>
            <w:u w:val="none"/>
            <w:rtl/>
          </w:rPr>
          <w:t>عرضٌ ومناقشةٌ لنقد الشيخ أيمن المصري</w:t>
        </w:r>
      </w:hyperlink>
    </w:p>
    <w:p w:rsidR="007D74CF" w:rsidRPr="00282AC9" w:rsidRDefault="00487E34" w:rsidP="007D74CF">
      <w:pPr>
        <w:pStyle w:val="25"/>
        <w:rPr>
          <w:rFonts w:asciiTheme="minorHAnsi" w:eastAsiaTheme="minorEastAsia" w:hAnsiTheme="minorHAnsi" w:cstheme="minorBidi"/>
          <w:sz w:val="22"/>
          <w:szCs w:val="22"/>
          <w:lang w:eastAsia="en-US"/>
        </w:rPr>
      </w:pPr>
      <w:hyperlink w:anchor="_Toc87011540" w:history="1">
        <w:r w:rsidR="007D74CF" w:rsidRPr="00282AC9">
          <w:rPr>
            <w:rStyle w:val="Hyperlink"/>
            <w:color w:val="auto"/>
            <w:u w:val="none"/>
            <w:rtl/>
          </w:rPr>
          <w:t>أ. حسين هشام يعقوب</w:t>
        </w:r>
        <w:r w:rsidR="007D74CF" w:rsidRPr="00282AC9">
          <w:rPr>
            <w:webHidden/>
          </w:rPr>
          <w:tab/>
        </w:r>
        <w:r w:rsidR="007D74CF" w:rsidRPr="00282AC9">
          <w:rPr>
            <w:webHidden/>
          </w:rPr>
          <w:fldChar w:fldCharType="begin"/>
        </w:r>
        <w:r w:rsidR="007D74CF" w:rsidRPr="00282AC9">
          <w:rPr>
            <w:webHidden/>
          </w:rPr>
          <w:instrText xml:space="preserve"> PAGEREF _Toc87011540 \h </w:instrText>
        </w:r>
        <w:r w:rsidR="007D74CF" w:rsidRPr="00282AC9">
          <w:rPr>
            <w:webHidden/>
          </w:rPr>
        </w:r>
        <w:r w:rsidR="007D74CF" w:rsidRPr="00282AC9">
          <w:rPr>
            <w:webHidden/>
          </w:rPr>
          <w:fldChar w:fldCharType="separate"/>
        </w:r>
        <w:r w:rsidR="009D54E6">
          <w:rPr>
            <w:webHidden/>
            <w:rtl/>
          </w:rPr>
          <w:t>446</w:t>
        </w:r>
        <w:r w:rsidR="007D74CF" w:rsidRPr="00282AC9">
          <w:rPr>
            <w:webHidden/>
          </w:rPr>
          <w:fldChar w:fldCharType="end"/>
        </w:r>
      </w:hyperlink>
    </w:p>
    <w:p w:rsidR="00BD0DA9" w:rsidRPr="00282AC9" w:rsidRDefault="007D74CF" w:rsidP="00BD0DA9">
      <w:pPr>
        <w:rPr>
          <w:rtl/>
        </w:rPr>
        <w:sectPr w:rsidR="00BD0DA9" w:rsidRPr="00282AC9" w:rsidSect="00286E74">
          <w:headerReference w:type="even" r:id="rId11"/>
          <w:headerReference w:type="default" r:id="rId12"/>
          <w:footerReference w:type="even" r:id="rId13"/>
          <w:footerReference w:type="default" r:id="rId14"/>
          <w:endnotePr>
            <w:numFmt w:val="decimal"/>
            <w:numRestart w:val="eachSect"/>
          </w:endnotePr>
          <w:pgSz w:w="11907" w:h="16840" w:code="9"/>
          <w:pgMar w:top="2637" w:right="2438" w:bottom="3686" w:left="2438" w:header="2268" w:footer="3119" w:gutter="0"/>
          <w:cols w:space="720"/>
          <w:titlePg/>
          <w:docGrid w:linePitch="360"/>
        </w:sectPr>
      </w:pPr>
      <w:r w:rsidRPr="00282AC9">
        <w:rPr>
          <w:rFonts w:cs="Abz-2 (Badr)"/>
          <w:rtl/>
        </w:rPr>
        <w:fldChar w:fldCharType="end"/>
      </w:r>
    </w:p>
    <w:p w:rsidR="00BD0DA9" w:rsidRPr="00282AC9" w:rsidRDefault="00BD0DA9" w:rsidP="00BD0DA9">
      <w:pPr>
        <w:pStyle w:val="11"/>
        <w:spacing w:line="216" w:lineRule="auto"/>
        <w:jc w:val="both"/>
        <w:rPr>
          <w:rtl/>
        </w:rPr>
        <w:sectPr w:rsidR="00BD0DA9" w:rsidRPr="00282AC9" w:rsidSect="00E85587">
          <w:headerReference w:type="even" r:id="rId15"/>
          <w:headerReference w:type="default" r:id="rId16"/>
          <w:headerReference w:type="first" r:id="rId17"/>
          <w:footerReference w:type="first" r:id="rId18"/>
          <w:endnotePr>
            <w:numFmt w:val="decimal"/>
            <w:numRestart w:val="eachSect"/>
          </w:endnotePr>
          <w:type w:val="continuous"/>
          <w:pgSz w:w="11907" w:h="16840" w:code="9"/>
          <w:pgMar w:top="2637" w:right="2438" w:bottom="3686" w:left="2438" w:header="2268" w:footer="3119" w:gutter="0"/>
          <w:cols w:space="720"/>
          <w:titlePg/>
          <w:docGrid w:linePitch="360"/>
        </w:sectPr>
      </w:pPr>
      <w:bookmarkStart w:id="1" w:name="_Toc295112190"/>
      <w:bookmarkStart w:id="2" w:name="_Toc311796812"/>
    </w:p>
    <w:bookmarkEnd w:id="1"/>
    <w:bookmarkEnd w:id="2"/>
    <w:p w:rsidR="00BD0DA9" w:rsidRPr="00282AC9" w:rsidRDefault="00BD0DA9" w:rsidP="00E73CC4">
      <w:pPr>
        <w:spacing w:line="440" w:lineRule="exact"/>
        <w:rPr>
          <w:sz w:val="27"/>
        </w:rPr>
      </w:pPr>
    </w:p>
    <w:p w:rsidR="00336016" w:rsidRPr="00282AC9" w:rsidRDefault="00336016" w:rsidP="00E73CC4">
      <w:pPr>
        <w:spacing w:line="420" w:lineRule="exact"/>
        <w:rPr>
          <w:rtl/>
        </w:rPr>
      </w:pPr>
    </w:p>
    <w:bookmarkEnd w:id="0"/>
    <w:p w:rsidR="00EB4B77" w:rsidRPr="00E32786" w:rsidRDefault="00EB4B77" w:rsidP="00EB4B77">
      <w:pPr>
        <w:pStyle w:val="11"/>
        <w:keepNext w:val="0"/>
        <w:keepLines w:val="0"/>
        <w:spacing w:line="216" w:lineRule="auto"/>
        <w:rPr>
          <w:rtl/>
        </w:rPr>
      </w:pPr>
      <w:r>
        <w:rPr>
          <w:rFonts w:hint="cs"/>
          <w:rtl/>
          <w:lang w:bidi="ar-LB"/>
        </w:rPr>
        <w:t>الأحكام الشرعيّة بين مسؤوليّتين</w:t>
      </w:r>
    </w:p>
    <w:p w:rsidR="00EB4B77" w:rsidRPr="004B0FA6" w:rsidRDefault="00EB4B77" w:rsidP="00EB4B77">
      <w:pPr>
        <w:pStyle w:val="11"/>
        <w:keepNext w:val="0"/>
        <w:keepLines w:val="0"/>
        <w:spacing w:line="216" w:lineRule="auto"/>
        <w:rPr>
          <w:sz w:val="40"/>
          <w:szCs w:val="40"/>
          <w:rtl/>
          <w:lang w:bidi="ar-LB"/>
        </w:rPr>
      </w:pPr>
      <w:r>
        <w:rPr>
          <w:rFonts w:hint="cs"/>
          <w:sz w:val="40"/>
          <w:szCs w:val="40"/>
          <w:rtl/>
          <w:lang w:bidi="ar-LB"/>
        </w:rPr>
        <w:t>إثارةٌ معرفيّة من وَحْي الواقع</w:t>
      </w:r>
    </w:p>
    <w:p w:rsidR="00EB4B77" w:rsidRPr="00E32786" w:rsidRDefault="00EB4B77" w:rsidP="00E73CC4">
      <w:pPr>
        <w:spacing w:line="420" w:lineRule="exact"/>
        <w:rPr>
          <w:rtl/>
        </w:rPr>
      </w:pPr>
    </w:p>
    <w:p w:rsidR="00EB4B77" w:rsidRPr="00E32786" w:rsidRDefault="00EB4B77" w:rsidP="00EB4B77">
      <w:pPr>
        <w:pStyle w:val="Author"/>
        <w:rPr>
          <w:rtl/>
        </w:rPr>
      </w:pPr>
      <w:bookmarkStart w:id="3" w:name="_Toc74301887"/>
      <w:r>
        <w:rPr>
          <w:rFonts w:hint="cs"/>
          <w:rtl/>
        </w:rPr>
        <w:t>محمد عب</w:t>
      </w:r>
      <w:r w:rsidRPr="00E32786">
        <w:rPr>
          <w:rFonts w:hint="cs"/>
          <w:rtl/>
        </w:rPr>
        <w:t>اس دهيني</w:t>
      </w:r>
      <w:bookmarkEnd w:id="3"/>
    </w:p>
    <w:p w:rsidR="00EB4B77" w:rsidRPr="00E32786" w:rsidRDefault="00EB4B77" w:rsidP="00E73CC4">
      <w:pPr>
        <w:spacing w:line="420" w:lineRule="exact"/>
        <w:rPr>
          <w:rtl/>
        </w:rPr>
      </w:pPr>
    </w:p>
    <w:p w:rsidR="00966DD1" w:rsidRPr="00CF74C9" w:rsidRDefault="00966DD1" w:rsidP="00966DD1">
      <w:pPr>
        <w:spacing w:line="416" w:lineRule="exact"/>
        <w:rPr>
          <w:rFonts w:eastAsiaTheme="minorHAnsi"/>
          <w:sz w:val="27"/>
          <w:rtl/>
          <w:lang w:bidi="ar-LB"/>
        </w:rPr>
      </w:pPr>
      <w:r w:rsidRPr="00CF74C9">
        <w:rPr>
          <w:rFonts w:eastAsiaTheme="minorHAnsi" w:hint="cs"/>
          <w:sz w:val="27"/>
          <w:rtl/>
          <w:lang w:bidi="ar-LB"/>
        </w:rPr>
        <w:t>يقف المرءُ حائراً أمام هذا التفلُّت الجماهيريّ من ضوابط القانون الإلهيّ (الشريعة الإسلاميّة)، وهو ما يتبعه تحلُّلٌ خُلُقيّ، كفيلٌ بأن يقضي على كلّ إنجازٍ متصوَّرٍ لمجتمعٍ إيمانيّ هنا أو هناك.</w:t>
      </w:r>
    </w:p>
    <w:p w:rsidR="00966DD1" w:rsidRPr="00CF74C9" w:rsidRDefault="00966DD1" w:rsidP="00966DD1">
      <w:pPr>
        <w:spacing w:line="416" w:lineRule="exact"/>
        <w:rPr>
          <w:rFonts w:eastAsiaTheme="minorHAnsi"/>
          <w:sz w:val="27"/>
          <w:rtl/>
          <w:lang w:bidi="ar-LB"/>
        </w:rPr>
      </w:pPr>
      <w:r w:rsidRPr="00CF74C9">
        <w:rPr>
          <w:rFonts w:eastAsiaTheme="minorHAnsi" w:hint="cs"/>
          <w:sz w:val="27"/>
          <w:rtl/>
          <w:lang w:bidi="ar-LB"/>
        </w:rPr>
        <w:t xml:space="preserve">فعلى الرغم من وجود منظومة أحكامٍ متكاملةٍ وتشريعاتٍ شاملةٍ لكلّ شؤون الحياة ومتطلَّباتها ـ القديمة منها والجديدة، الثابتة منها والطارئة ـ مبثوثةٍ في كتب الفقه والرسائل العمليّة للفقهاء، وتصدح بها حناجر العلماء والمبلِّغين في خُطَب الجمعة والعيد وغيرهما طيلة أيّام السنة، نجد جفاءً ملحوظاً وهَجْراً مقصوداً بينها وبين المكلَّفين، الذين لا يفتؤون يعلنون إيمانهم بالله، وحبَّهم له، وارتباطَهم به، وبأنبيائه ورُسُله (وأوصيائهم)، بل تراهم على المستوى النظريّ يمدحون ويُقرُّون بالمصلحة الكامنة في هذه التشريعات، ويَدْعون إلى الالتزام بها، ما يعني أنهم مؤمنون بها، ومعترفون بخيريّتها، وملتزمون بها نظريّاً، لكنّ مانعاً حال دون التزامهم العمليّ، وهو وساوس الشيطان وهوى النفس الأمّارة بالسُّوء. </w:t>
      </w:r>
    </w:p>
    <w:p w:rsidR="00966DD1" w:rsidRPr="00CF74C9" w:rsidRDefault="00966DD1" w:rsidP="00966DD1">
      <w:pPr>
        <w:spacing w:line="416" w:lineRule="exact"/>
        <w:rPr>
          <w:rFonts w:eastAsiaTheme="minorHAnsi"/>
          <w:sz w:val="27"/>
          <w:rtl/>
          <w:lang w:bidi="ar-LB"/>
        </w:rPr>
      </w:pPr>
      <w:r w:rsidRPr="00CF74C9">
        <w:rPr>
          <w:rFonts w:eastAsiaTheme="minorHAnsi" w:hint="cs"/>
          <w:sz w:val="27"/>
          <w:rtl/>
          <w:lang w:bidi="ar-LB"/>
        </w:rPr>
        <w:t xml:space="preserve">ولَسْتُ أريد الخَوْض في بيان دواعي وأسباب هذا التناقض بين القول والعمل، وإنما أريد أن أعرض إثارةً تتعلَّق بمعقوليّة أن يكون الشارع الحكيم قد ترك الحُرِّية لأمثال هؤلاء ـ وهم كُثُرٌ ـ في أن يستجيبوا لشيطان الجنّ والإنس أو لهوى النفس؛ فيخرِّبوا المجتمعات البشريّة، ويحرموها من أبسط حقوقها؛ حيث تتجلَّى المشكلة الكبرى هاهنا في آثار ونتائج مثل هذه المخالفات على واقع الحياة الاجتماعيّة للناس؛ </w:t>
      </w:r>
      <w:r w:rsidRPr="00CF74C9">
        <w:rPr>
          <w:rFonts w:eastAsiaTheme="minorHAnsi" w:hint="cs"/>
          <w:sz w:val="27"/>
          <w:rtl/>
          <w:lang w:bidi="ar-LB"/>
        </w:rPr>
        <w:lastRenderedPageBreak/>
        <w:t>إذ في أغلب التشريعات ـ إذا لم نقُلْ: كلِّها ـ ما هو شديدُ التماسّ مع المجتمع ومصالح أبنائه.</w:t>
      </w:r>
    </w:p>
    <w:p w:rsidR="00966DD1" w:rsidRPr="00CF74C9" w:rsidRDefault="00966DD1" w:rsidP="00E73CC4">
      <w:pPr>
        <w:rPr>
          <w:rFonts w:eastAsiaTheme="minorHAnsi"/>
          <w:sz w:val="27"/>
          <w:rtl/>
          <w:lang w:bidi="ar-LB"/>
        </w:rPr>
      </w:pPr>
      <w:r w:rsidRPr="00CF74C9">
        <w:rPr>
          <w:rFonts w:eastAsiaTheme="minorHAnsi" w:hint="cs"/>
          <w:sz w:val="27"/>
          <w:rtl/>
          <w:lang w:bidi="ar-LB"/>
        </w:rPr>
        <w:t>فقد نتصوَّر أن الصلاة مثلاً عملٌ فرديٌّ مَحْضٌ، وخاصٌّ بمريدها والملتَزِم بها، ولكنْ لو التفَتْنا إلى أن وقت الصلاة ـ رغم سَعَته ـ قد يستوعب ويترافق مع عملٍ أو سَفَرٍ، فيحتاج مريدُ الصلاة إلى مكانٍ خاصّ يصلّي فيه (مساجد أو مصلَّيات)، وإلاّ فسيكون مضطرّاً للصلاة في أيّ مكانٍ يختاره، ما قد يعطِّل حياة الناس ومصالحهم، فحينئذٍ لا تعود الصلاة فعلاً فرديّاً بالمطلق، بل هي واجبٌ شخصيٌّ، وله انعكاساتٌ على الآخرين، فلا بُدَّ أن تكون تحت سقف قانونٍ ونظامٍ عامٍّ، يكفل الحقّ والراحة للجميع: مريد الصلاة؛ وغيره من أفراد المجتمع المحيطين به. هذا، وقد اخْتَرْنا الصلاة مثالاً لأنها أوضح الأمثلة على الفرديّة؛ وإلاّ فإن أمثلةً كثيرةً في البال، وقد نذكرها ـ أو بعضها ـ في ما يأتي.</w:t>
      </w:r>
    </w:p>
    <w:p w:rsidR="00966DD1" w:rsidRPr="00CF74C9" w:rsidRDefault="00966DD1" w:rsidP="00E73CC4">
      <w:pPr>
        <w:rPr>
          <w:rFonts w:eastAsiaTheme="minorHAnsi"/>
          <w:sz w:val="27"/>
          <w:rtl/>
          <w:lang w:bidi="ar-LB"/>
        </w:rPr>
      </w:pPr>
      <w:r w:rsidRPr="00CF74C9">
        <w:rPr>
          <w:rFonts w:eastAsiaTheme="minorHAnsi" w:hint="cs"/>
          <w:sz w:val="27"/>
          <w:rtl/>
          <w:lang w:bidi="ar-LB"/>
        </w:rPr>
        <w:t>ولا أريد هنا نفي الخصوصيّة الشخصيّة والصفة الفرديّة عن الصلاة ـ أو غيرها من التشريعات ـ بالمطلق، وإنّما أروم تسليط الضوء والتركيز على الجانب الاجتماعيّ للصلاة، بل لجميع الأفعال التي يقوم بها المكلَّف، وتشملها أحكام الشريعة، وهو ما يجعل الالتزام بها، وآليّة مقاربتها، بنحوٍ مختلفٍ تماماً.</w:t>
      </w:r>
    </w:p>
    <w:p w:rsidR="00966DD1" w:rsidRPr="00CF74C9" w:rsidRDefault="00966DD1" w:rsidP="00E73CC4">
      <w:pPr>
        <w:rPr>
          <w:rFonts w:eastAsiaTheme="minorHAnsi"/>
          <w:sz w:val="27"/>
          <w:rtl/>
          <w:lang w:bidi="ar-LB"/>
        </w:rPr>
      </w:pPr>
      <w:r w:rsidRPr="00CF74C9">
        <w:rPr>
          <w:rFonts w:eastAsiaTheme="minorHAnsi" w:hint="cs"/>
          <w:sz w:val="27"/>
          <w:rtl/>
          <w:lang w:bidi="ar-LB"/>
        </w:rPr>
        <w:t xml:space="preserve">ولستُ أعني بذلك الأحكام ذات الطابع الاجتماعيّ الواضح، والتي قد تكون محطَّ اهتمام الحاكم ووليّ الأمر بشكلٍ تلقائيٍّ؛ إذ هي أبرزُ مجالات عمله وولايته، وإنّما أحاول إثارة هذه الفكرة بالتحديد، وهي: لزوم أن يحضر الحسّ والشعور الجَمْعيّ في جميع عباداتنا ومعاملاتنا؛ فإلى جانب الحسّ الفرديّ والمسؤوليّة الشخصيّة تجاه أيّ حكمٍ شرعيّ ـ عبادةً كان أو معاملةً ـ لا مفرَّ؛ لكي تستقيم حياة المجتمع، ويكون في حركة تقدُّمٍ مستمرٍّ، وتطوُّرٍ دائم، وأمانٍ عامٍّ شاملٍ، لا مفرَّ من حضور الحسّ الاجتماعيّ والمسؤوليّة العامّة، المسؤوليّة عن النظام الاجتماعيّ العامّ، في مختلف الميادين.   </w:t>
      </w:r>
    </w:p>
    <w:p w:rsidR="00966DD1" w:rsidRPr="00CF74C9" w:rsidRDefault="00966DD1" w:rsidP="00E73CC4">
      <w:pPr>
        <w:spacing w:line="360" w:lineRule="exact"/>
        <w:rPr>
          <w:rFonts w:eastAsiaTheme="minorHAnsi"/>
          <w:sz w:val="27"/>
          <w:rtl/>
          <w:lang w:bidi="ar-LB"/>
        </w:rPr>
      </w:pPr>
    </w:p>
    <w:p w:rsidR="00966DD1" w:rsidRPr="00CF74C9" w:rsidRDefault="00966DD1" w:rsidP="00966DD1">
      <w:pPr>
        <w:pStyle w:val="31"/>
        <w:spacing w:line="400" w:lineRule="exact"/>
        <w:rPr>
          <w:rFonts w:eastAsiaTheme="minorHAnsi"/>
          <w:color w:val="auto"/>
          <w:rtl/>
          <w:lang w:bidi="ar-LB"/>
        </w:rPr>
      </w:pPr>
      <w:r w:rsidRPr="00CF74C9">
        <w:rPr>
          <w:rFonts w:eastAsiaTheme="minorHAnsi" w:hint="cs"/>
          <w:color w:val="auto"/>
          <w:rtl/>
          <w:lang w:bidi="ar-LB"/>
        </w:rPr>
        <w:t>نظريّتان في تحديد المسؤوليّة</w:t>
      </w:r>
    </w:p>
    <w:p w:rsidR="00966DD1" w:rsidRPr="00CF74C9" w:rsidRDefault="00966DD1" w:rsidP="00966DD1">
      <w:pPr>
        <w:spacing w:line="416" w:lineRule="exact"/>
        <w:rPr>
          <w:rFonts w:eastAsiaTheme="minorHAnsi"/>
          <w:sz w:val="27"/>
          <w:rtl/>
          <w:lang w:bidi="ar-LB"/>
        </w:rPr>
      </w:pPr>
      <w:r w:rsidRPr="00CF74C9">
        <w:rPr>
          <w:rFonts w:eastAsiaTheme="minorHAnsi" w:hint="cs"/>
          <w:sz w:val="27"/>
          <w:rtl/>
          <w:lang w:bidi="ar-LB"/>
        </w:rPr>
        <w:t xml:space="preserve">وما نلحظه في هذا المجال وجود نظريّتين حول طبيعة المسؤوليّة تجاه التكاليف </w:t>
      </w:r>
      <w:r w:rsidRPr="00CF74C9">
        <w:rPr>
          <w:rFonts w:eastAsiaTheme="minorHAnsi" w:hint="cs"/>
          <w:sz w:val="27"/>
          <w:rtl/>
          <w:lang w:bidi="ar-LB"/>
        </w:rPr>
        <w:lastRenderedPageBreak/>
        <w:t>والأحكام الشرعيّة:</w:t>
      </w:r>
    </w:p>
    <w:p w:rsidR="00966DD1" w:rsidRPr="00CF74C9" w:rsidRDefault="00966DD1" w:rsidP="00E73CC4">
      <w:pPr>
        <w:spacing w:line="420" w:lineRule="exact"/>
        <w:rPr>
          <w:rFonts w:eastAsiaTheme="minorHAnsi"/>
          <w:sz w:val="27"/>
          <w:rtl/>
          <w:lang w:bidi="ar-LB"/>
        </w:rPr>
      </w:pPr>
    </w:p>
    <w:p w:rsidR="00966DD1" w:rsidRPr="00CF74C9" w:rsidRDefault="00966DD1" w:rsidP="00966DD1">
      <w:pPr>
        <w:pStyle w:val="31"/>
        <w:spacing w:line="400" w:lineRule="exact"/>
        <w:rPr>
          <w:rFonts w:eastAsiaTheme="minorHAnsi"/>
          <w:color w:val="auto"/>
          <w:rtl/>
          <w:lang w:bidi="ar-LB"/>
        </w:rPr>
      </w:pPr>
      <w:r w:rsidRPr="00CF74C9">
        <w:rPr>
          <w:rFonts w:eastAsiaTheme="minorHAnsi" w:hint="cs"/>
          <w:color w:val="auto"/>
          <w:rtl/>
          <w:lang w:bidi="ar-LB"/>
        </w:rPr>
        <w:t>1ـ نظريّة المسؤوليّة الفرديّة</w:t>
      </w:r>
    </w:p>
    <w:p w:rsidR="00966DD1" w:rsidRPr="00CF74C9" w:rsidRDefault="00966DD1" w:rsidP="00966DD1">
      <w:pPr>
        <w:spacing w:line="416" w:lineRule="exact"/>
        <w:rPr>
          <w:rFonts w:eastAsiaTheme="minorHAnsi"/>
          <w:sz w:val="27"/>
          <w:rtl/>
          <w:lang w:bidi="ar-LB"/>
        </w:rPr>
      </w:pPr>
      <w:r w:rsidRPr="00CF74C9">
        <w:rPr>
          <w:rFonts w:eastAsiaTheme="minorHAnsi" w:hint="cs"/>
          <w:sz w:val="27"/>
          <w:rtl/>
          <w:lang w:bidi="ar-LB"/>
        </w:rPr>
        <w:t>فالمعروف بين المتشرِّعة ـ وتؤيِّده خطاباتُ الفقهاء ـ أنها أحكامٌ فقهيّةٌ ومسؤوليّاتٌ فرديّةٌ، وجهودٌ شخصيّةٌ، لا تخضع لنظامٍ عامٍّ يحكمها.</w:t>
      </w:r>
    </w:p>
    <w:p w:rsidR="00966DD1" w:rsidRPr="00CF74C9" w:rsidRDefault="00966DD1" w:rsidP="00966DD1">
      <w:pPr>
        <w:spacing w:line="416" w:lineRule="exact"/>
        <w:rPr>
          <w:rFonts w:eastAsiaTheme="minorHAnsi"/>
          <w:sz w:val="27"/>
          <w:rtl/>
          <w:lang w:bidi="ar-LB"/>
        </w:rPr>
      </w:pPr>
      <w:r w:rsidRPr="00CF74C9">
        <w:rPr>
          <w:rFonts w:eastAsiaTheme="minorHAnsi" w:hint="cs"/>
          <w:sz w:val="27"/>
          <w:rtl/>
          <w:lang w:bidi="ar-LB"/>
        </w:rPr>
        <w:t xml:space="preserve">فالزكاة واجبةٌ، وكذلك الخُمْس، ولكنّهما بنظر المتشرِّعة تكليفان فرديّان، يعتمد الالتزام بهما على مدى رهافة حسِّ المسؤوليّة في صاحب المال؛ فقد يعجِّلهما وقد يؤجِّلهما؛ وقد يخرجهما وقد يغضّ الطَّرْف عنهما ـ مؤقَّتاً أو نهائياً ـ، بعيداً عن أيّ قانونٍ عامٍّ مُلْزِمٍ له بالإخراج في الوقت المحدَّد، وبعيداً عن أيّ ضماناتٍ بأنه سيستفيد أو ذرِّيته منهما ـ كعنوانين للضريبة الاجتماعيّة الضامنة والناظمة لحياةٍ كريمة للإنسان الصالح والمُلتَزِم ـ. </w:t>
      </w:r>
    </w:p>
    <w:p w:rsidR="00966DD1" w:rsidRPr="00CF74C9" w:rsidRDefault="00966DD1" w:rsidP="00E73CC4">
      <w:pPr>
        <w:spacing w:line="440" w:lineRule="exact"/>
        <w:rPr>
          <w:rFonts w:eastAsiaTheme="minorHAnsi"/>
          <w:sz w:val="27"/>
          <w:rtl/>
          <w:lang w:bidi="ar-LB"/>
        </w:rPr>
      </w:pPr>
    </w:p>
    <w:p w:rsidR="00966DD1" w:rsidRPr="00CF74C9" w:rsidRDefault="00966DD1" w:rsidP="00966DD1">
      <w:pPr>
        <w:pStyle w:val="31"/>
        <w:spacing w:line="400" w:lineRule="exact"/>
        <w:rPr>
          <w:rFonts w:eastAsiaTheme="minorHAnsi"/>
          <w:color w:val="auto"/>
          <w:rtl/>
          <w:lang w:bidi="ar-LB"/>
        </w:rPr>
      </w:pPr>
      <w:r w:rsidRPr="00CF74C9">
        <w:rPr>
          <w:rFonts w:eastAsiaTheme="minorHAnsi" w:hint="cs"/>
          <w:color w:val="auto"/>
          <w:rtl/>
          <w:lang w:bidi="ar-LB"/>
        </w:rPr>
        <w:t>2ـ نظريّة مسؤوليّة النظام العامّ</w:t>
      </w:r>
    </w:p>
    <w:p w:rsidR="00966DD1" w:rsidRPr="00CF74C9" w:rsidRDefault="00966DD1" w:rsidP="00966DD1">
      <w:pPr>
        <w:spacing w:line="416" w:lineRule="exact"/>
        <w:rPr>
          <w:rFonts w:eastAsiaTheme="minorHAnsi"/>
          <w:sz w:val="27"/>
          <w:rtl/>
          <w:lang w:bidi="ar-LB"/>
        </w:rPr>
      </w:pPr>
      <w:r w:rsidRPr="00CF74C9">
        <w:rPr>
          <w:rFonts w:eastAsiaTheme="minorHAnsi" w:hint="cs"/>
          <w:sz w:val="27"/>
          <w:rtl/>
          <w:lang w:bidi="ar-LB"/>
        </w:rPr>
        <w:t>بينما تذهب نظريّةٌ أخرى إلى أن هذه الأحكام ـ أو بعضَها على الأقلّ ـ خاضعةٌ لسلطة</w:t>
      </w:r>
      <w:r w:rsidRPr="00CF74C9">
        <w:rPr>
          <w:rFonts w:eastAsiaTheme="minorHAnsi" w:hint="cs"/>
          <w:sz w:val="26"/>
          <w:szCs w:val="26"/>
          <w:rtl/>
          <w:lang w:bidi="ar-LB"/>
        </w:rPr>
        <w:t xml:space="preserve"> </w:t>
      </w:r>
      <w:r w:rsidRPr="00CF74C9">
        <w:rPr>
          <w:rFonts w:eastAsiaTheme="minorHAnsi" w:hint="cs"/>
          <w:sz w:val="27"/>
          <w:rtl/>
          <w:lang w:bidi="ar-LB"/>
        </w:rPr>
        <w:t>النظام</w:t>
      </w:r>
      <w:r w:rsidRPr="00CF74C9">
        <w:rPr>
          <w:rFonts w:eastAsiaTheme="minorHAnsi" w:hint="cs"/>
          <w:sz w:val="26"/>
          <w:szCs w:val="26"/>
          <w:rtl/>
          <w:lang w:bidi="ar-LB"/>
        </w:rPr>
        <w:t xml:space="preserve"> </w:t>
      </w:r>
      <w:r w:rsidRPr="00CF74C9">
        <w:rPr>
          <w:rFonts w:eastAsiaTheme="minorHAnsi" w:hint="cs"/>
          <w:sz w:val="27"/>
          <w:rtl/>
          <w:lang w:bidi="ar-LB"/>
        </w:rPr>
        <w:t>العامّ</w:t>
      </w:r>
      <w:r w:rsidRPr="00CF74C9">
        <w:rPr>
          <w:rFonts w:eastAsiaTheme="minorHAnsi" w:hint="cs"/>
          <w:sz w:val="26"/>
          <w:szCs w:val="26"/>
          <w:rtl/>
          <w:lang w:bidi="ar-LB"/>
        </w:rPr>
        <w:t xml:space="preserve"> </w:t>
      </w:r>
      <w:r w:rsidRPr="00CF74C9">
        <w:rPr>
          <w:rFonts w:eastAsiaTheme="minorHAnsi" w:hint="cs"/>
          <w:sz w:val="27"/>
          <w:rtl/>
          <w:lang w:bidi="ar-LB"/>
        </w:rPr>
        <w:t>ـ</w:t>
      </w:r>
      <w:r w:rsidRPr="00CF74C9">
        <w:rPr>
          <w:rFonts w:eastAsiaTheme="minorHAnsi" w:hint="cs"/>
          <w:sz w:val="26"/>
          <w:szCs w:val="26"/>
          <w:rtl/>
          <w:lang w:bidi="ar-LB"/>
        </w:rPr>
        <w:t xml:space="preserve"> </w:t>
      </w:r>
      <w:r w:rsidRPr="00CF74C9">
        <w:rPr>
          <w:rFonts w:eastAsiaTheme="minorHAnsi" w:hint="cs"/>
          <w:sz w:val="27"/>
          <w:rtl/>
          <w:lang w:bidi="ar-LB"/>
        </w:rPr>
        <w:t>الذي</w:t>
      </w:r>
      <w:r w:rsidRPr="00CF74C9">
        <w:rPr>
          <w:rFonts w:eastAsiaTheme="minorHAnsi" w:hint="cs"/>
          <w:sz w:val="26"/>
          <w:szCs w:val="26"/>
          <w:rtl/>
          <w:lang w:bidi="ar-LB"/>
        </w:rPr>
        <w:t xml:space="preserve"> </w:t>
      </w:r>
      <w:r w:rsidRPr="00CF74C9">
        <w:rPr>
          <w:rFonts w:eastAsiaTheme="minorHAnsi" w:hint="cs"/>
          <w:sz w:val="27"/>
          <w:rtl/>
          <w:lang w:bidi="ar-LB"/>
        </w:rPr>
        <w:t>قد</w:t>
      </w:r>
      <w:r w:rsidRPr="00CF74C9">
        <w:rPr>
          <w:rFonts w:eastAsiaTheme="minorHAnsi" w:hint="cs"/>
          <w:sz w:val="26"/>
          <w:szCs w:val="26"/>
          <w:rtl/>
          <w:lang w:bidi="ar-LB"/>
        </w:rPr>
        <w:t xml:space="preserve"> </w:t>
      </w:r>
      <w:r w:rsidRPr="00CF74C9">
        <w:rPr>
          <w:rFonts w:eastAsiaTheme="minorHAnsi" w:hint="cs"/>
          <w:sz w:val="27"/>
          <w:rtl/>
          <w:lang w:bidi="ar-LB"/>
        </w:rPr>
        <w:t>يتولاّه</w:t>
      </w:r>
      <w:r w:rsidRPr="00CF74C9">
        <w:rPr>
          <w:rFonts w:eastAsiaTheme="minorHAnsi" w:hint="cs"/>
          <w:sz w:val="26"/>
          <w:szCs w:val="26"/>
          <w:rtl/>
          <w:lang w:bidi="ar-LB"/>
        </w:rPr>
        <w:t xml:space="preserve"> </w:t>
      </w:r>
      <w:r w:rsidRPr="00CF74C9">
        <w:rPr>
          <w:rFonts w:eastAsiaTheme="minorHAnsi" w:hint="cs"/>
          <w:sz w:val="27"/>
          <w:rtl/>
          <w:lang w:bidi="ar-LB"/>
        </w:rPr>
        <w:t>الفقيه</w:t>
      </w:r>
      <w:r w:rsidRPr="00CF74C9">
        <w:rPr>
          <w:rFonts w:eastAsiaTheme="minorHAnsi" w:hint="cs"/>
          <w:sz w:val="26"/>
          <w:szCs w:val="26"/>
          <w:rtl/>
          <w:lang w:bidi="ar-LB"/>
        </w:rPr>
        <w:t xml:space="preserve"> </w:t>
      </w:r>
      <w:r w:rsidRPr="00CF74C9">
        <w:rPr>
          <w:rFonts w:eastAsiaTheme="minorHAnsi" w:hint="cs"/>
          <w:sz w:val="27"/>
          <w:rtl/>
          <w:lang w:bidi="ar-LB"/>
        </w:rPr>
        <w:t>أو</w:t>
      </w:r>
      <w:r w:rsidRPr="00CF74C9">
        <w:rPr>
          <w:rFonts w:eastAsiaTheme="minorHAnsi" w:hint="cs"/>
          <w:sz w:val="26"/>
          <w:szCs w:val="26"/>
          <w:rtl/>
          <w:lang w:bidi="ar-LB"/>
        </w:rPr>
        <w:t xml:space="preserve"> </w:t>
      </w:r>
      <w:r w:rsidRPr="00CF74C9">
        <w:rPr>
          <w:rFonts w:eastAsiaTheme="minorHAnsi" w:hint="cs"/>
          <w:sz w:val="27"/>
          <w:rtl/>
          <w:lang w:bidi="ar-LB"/>
        </w:rPr>
        <w:t>مطلق</w:t>
      </w:r>
      <w:r w:rsidRPr="00CF74C9">
        <w:rPr>
          <w:rFonts w:eastAsiaTheme="minorHAnsi" w:hint="cs"/>
          <w:sz w:val="26"/>
          <w:szCs w:val="26"/>
          <w:rtl/>
          <w:lang w:bidi="ar-LB"/>
        </w:rPr>
        <w:t xml:space="preserve"> </w:t>
      </w:r>
      <w:r w:rsidRPr="00CF74C9">
        <w:rPr>
          <w:rFonts w:eastAsiaTheme="minorHAnsi" w:hint="cs"/>
          <w:sz w:val="27"/>
          <w:rtl/>
          <w:lang w:bidi="ar-LB"/>
        </w:rPr>
        <w:t>الحاكم</w:t>
      </w:r>
      <w:r w:rsidRPr="00CF74C9">
        <w:rPr>
          <w:rFonts w:eastAsiaTheme="minorHAnsi" w:hint="cs"/>
          <w:sz w:val="26"/>
          <w:szCs w:val="26"/>
          <w:rtl/>
          <w:lang w:bidi="ar-LB"/>
        </w:rPr>
        <w:t xml:space="preserve"> </w:t>
      </w:r>
      <w:r w:rsidRPr="00CF74C9">
        <w:rPr>
          <w:rFonts w:eastAsiaTheme="minorHAnsi" w:hint="cs"/>
          <w:sz w:val="27"/>
          <w:rtl/>
          <w:lang w:bidi="ar-LB"/>
        </w:rPr>
        <w:t>الخبير</w:t>
      </w:r>
      <w:r w:rsidRPr="00CF74C9">
        <w:rPr>
          <w:rFonts w:eastAsiaTheme="minorHAnsi" w:hint="cs"/>
          <w:sz w:val="26"/>
          <w:szCs w:val="26"/>
          <w:rtl/>
          <w:lang w:bidi="ar-LB"/>
        </w:rPr>
        <w:t xml:space="preserve"> </w:t>
      </w:r>
      <w:r w:rsidRPr="00CF74C9">
        <w:rPr>
          <w:rFonts w:eastAsiaTheme="minorHAnsi" w:hint="cs"/>
          <w:sz w:val="27"/>
          <w:rtl/>
          <w:lang w:bidi="ar-LB"/>
        </w:rPr>
        <w:t>الحكيم</w:t>
      </w:r>
      <w:r w:rsidRPr="00CF74C9">
        <w:rPr>
          <w:rFonts w:eastAsiaTheme="minorHAnsi" w:hint="cs"/>
          <w:sz w:val="26"/>
          <w:szCs w:val="26"/>
          <w:rtl/>
          <w:lang w:bidi="ar-LB"/>
        </w:rPr>
        <w:t xml:space="preserve"> </w:t>
      </w:r>
      <w:r w:rsidRPr="00CF74C9">
        <w:rPr>
          <w:rFonts w:eastAsiaTheme="minorHAnsi" w:hint="cs"/>
          <w:sz w:val="27"/>
          <w:rtl/>
          <w:lang w:bidi="ar-LB"/>
        </w:rPr>
        <w:t>العادل</w:t>
      </w:r>
      <w:r w:rsidRPr="00CF74C9">
        <w:rPr>
          <w:rFonts w:eastAsiaTheme="minorHAnsi" w:hint="cs"/>
          <w:sz w:val="26"/>
          <w:szCs w:val="26"/>
          <w:rtl/>
          <w:lang w:bidi="ar-LB"/>
        </w:rPr>
        <w:t xml:space="preserve"> </w:t>
      </w:r>
      <w:r w:rsidRPr="00CF74C9">
        <w:rPr>
          <w:rFonts w:eastAsiaTheme="minorHAnsi" w:hint="cs"/>
          <w:sz w:val="27"/>
          <w:rtl/>
          <w:lang w:bidi="ar-LB"/>
        </w:rPr>
        <w:t>ـ، فيُجْبَر المكلَّف على الالتزام بهذه الأحكام والتشريعات، ولا يُترَك له أيُّ مجالٍ للتهرُّب منها، وتضييع منفعتها على نفسه والمجتمع.</w:t>
      </w:r>
    </w:p>
    <w:p w:rsidR="00966DD1" w:rsidRPr="00CF74C9" w:rsidRDefault="00966DD1" w:rsidP="00966DD1">
      <w:pPr>
        <w:spacing w:line="416" w:lineRule="exact"/>
        <w:rPr>
          <w:rFonts w:eastAsiaTheme="minorHAnsi"/>
          <w:sz w:val="27"/>
          <w:rtl/>
          <w:lang w:bidi="ar-LB"/>
        </w:rPr>
      </w:pPr>
      <w:r w:rsidRPr="00CF74C9">
        <w:rPr>
          <w:rFonts w:eastAsiaTheme="minorHAnsi" w:hint="cs"/>
          <w:sz w:val="27"/>
          <w:rtl/>
          <w:lang w:bidi="ar-LB"/>
        </w:rPr>
        <w:t xml:space="preserve">فإذا جُعلَتْ ضريبةٌ على المواطنين؛ لغايةٍ وهَدَفٍ معيَّن، ككفالة الفقراء والمحتاجين مثلاً، فلا يُتْرَك للمواطن أن يتعامل مع هذا التشريع بقريحته وأريحيّته، التي قد تكون ضعيفةً أو مفقودةً لدى بعضهم. وإنّما تُؤخَذ منهم الضريبة المقرَّرة فوراً، وعلى سبيل الاقتطاع من الراتب؛ فإنها فريضةٌ واجبةٌ، وقد تعلَّق بها حقُّ الآخرين، فلا بُدَّ من أدائه أو يتولّى ذلك الحاكم والسلطان والدولة المسؤولة عن كافّة أفراد المجتمع.   </w:t>
      </w:r>
    </w:p>
    <w:p w:rsidR="00966DD1" w:rsidRPr="00CF74C9" w:rsidRDefault="00966DD1" w:rsidP="00966DD1">
      <w:pPr>
        <w:spacing w:line="416" w:lineRule="exact"/>
        <w:rPr>
          <w:rFonts w:eastAsiaTheme="minorHAnsi"/>
          <w:sz w:val="27"/>
          <w:rtl/>
          <w:lang w:bidi="ar-LB"/>
        </w:rPr>
      </w:pPr>
      <w:r w:rsidRPr="00CF74C9">
        <w:rPr>
          <w:rFonts w:eastAsiaTheme="minorHAnsi" w:hint="cs"/>
          <w:sz w:val="27"/>
          <w:rtl/>
          <w:lang w:bidi="ar-LB"/>
        </w:rPr>
        <w:t xml:space="preserve">وإذا نزل الوباءُ ببلدٍ وجب على الناس أن لا يدخلوا إليه؛ دَفْعاً للخطر عن أنفسهم. وليس ذلك اختياراً لهم، بل تمنعهم السلطات المسؤولة عن حفظ النظام العامّ </w:t>
      </w:r>
      <w:r w:rsidRPr="00CF74C9">
        <w:rPr>
          <w:rFonts w:eastAsiaTheme="minorHAnsi" w:hint="cs"/>
          <w:sz w:val="27"/>
          <w:rtl/>
          <w:lang w:bidi="ar-LB"/>
        </w:rPr>
        <w:lastRenderedPageBreak/>
        <w:t>من الدخول. وكذلك عندما يُكتَشَف علاجٌ لذلك الوباء فإن وظيفة الناس أن تتلقّى ذلك العلاج، ويُجْبَر الممتنع عليه من قِبَل حَفَظة النظام العامّ.</w:t>
      </w:r>
    </w:p>
    <w:p w:rsidR="00966DD1" w:rsidRPr="00CF74C9" w:rsidRDefault="00966DD1" w:rsidP="00E73CC4">
      <w:pPr>
        <w:spacing w:line="440" w:lineRule="exact"/>
        <w:rPr>
          <w:rFonts w:eastAsiaTheme="minorHAnsi"/>
          <w:sz w:val="27"/>
          <w:rtl/>
          <w:lang w:bidi="ar-LB"/>
        </w:rPr>
      </w:pPr>
    </w:p>
    <w:p w:rsidR="00966DD1" w:rsidRPr="00CF74C9" w:rsidRDefault="00966DD1" w:rsidP="00966DD1">
      <w:pPr>
        <w:pStyle w:val="31"/>
        <w:spacing w:line="400" w:lineRule="exact"/>
        <w:rPr>
          <w:rFonts w:eastAsiaTheme="minorHAnsi"/>
          <w:color w:val="auto"/>
          <w:rtl/>
          <w:lang w:bidi="ar-LB"/>
        </w:rPr>
      </w:pPr>
      <w:r w:rsidRPr="00CF74C9">
        <w:rPr>
          <w:rFonts w:eastAsiaTheme="minorHAnsi" w:hint="cs"/>
          <w:color w:val="auto"/>
          <w:rtl/>
          <w:lang w:bidi="ar-LB"/>
        </w:rPr>
        <w:t>قراءةٌ عامّة في النظريّتين</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إذن هما نظريّتان تحدِّدان طبيعة المسؤوليّة في تطبيق الأحكام الشرعيّة: نظريّة المسؤوليّة الفرديّة؛ ونظريّة مسؤوليّة النظام العامّ.</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والمرتكِز في أذهان جمهور المسلمين، وعليه العمل في أغلب المجتمعات الإسلاميّة، هو النظريّة الأولى.</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فامرؤٌ وما اختار؛ يصلّي حيث يشاء؛ ويصوم إذا شاء؛ وتتستَّر إذا رغبَتْ؛ ويسافر إلى حيث يريد، ولو إلى بلدٍ قد انتشر فيه الوباء؛ ويدفع الضريبة (الزكاة والخُمْس والكفّارات و..)؛ ويتكفَّل المحتاجين إذا حلَّ الجوع والقَحْط والبلاء، كلُّ ذلك بدافعٍ فرديٍّ شخصيٍّ، وواعظٍ ذاتيٍّ، وإلحاحٍ نفسيٍّ، قد يضعف ويَقْصُر ويخبو في كثيرٍ من الأحيان، فنرى غياباً لكلّ ما تقدَّم، دون أن يكون لأحدٍ سلطةٌ على المطالبة به، والمنع من تركه.</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 xml:space="preserve">بل انطلاقاً من هذه النظرة والمقاربة كان الإصرار على بعض الأحكام التي رُبَما انتفى موضوعها اليوم، كما في تحريم سَفَر المرأة من دون مَحْرَمٍ لها. ففي السفر خَطَرٌ، وتعريض النفس للخَطَر حرامٌ، وعلى المرأة أن تجهد شخصيّاً في تأمين نفسها؛ باصطحاب مَحْرَمٍ لها، حتّى يكون سفرها مباحاً. وهذا حكمٌ معروفٌ قديماً، حيث السفر شاقٌّ وطويلٌ، وفيه تُقطَع الفيافي والصحاري والقفار، ويكون المسافر في معرض الخَطَر من قِبَل قُطّاع الطُّرُق واللصوص والأشرار، أمّا اليوم ففي ظلّ النظام العامّ، والأمن العامّ المستتبّ في جميع مرافق السياحة والسَّفَر (مطارات و..؛ نقليّات [طائرات، قطارات، تاكسيّات]؛ وفنادق)، لم يعُدْ لمثل هذا الخَوْف من مبرِّرٍ، وانتفى موضوع ذلك الحكم، وهو المرأة التي تخاف على نفسها. إذن كان ذلك الحكم بلحاظ أن الأمن كان ذاتيّاً، يؤمِّنه المسافر لنفسه، والمرأة عاجزةٌ عن ذلك بمفردها، أمّا اليوم فالأمن عامٌّ، في ظلّ مؤسّسات الدولة والهيئات الاجتماعيّة الناظمة، فالمرأة </w:t>
      </w:r>
      <w:r w:rsidRPr="00CF74C9">
        <w:rPr>
          <w:rFonts w:eastAsiaTheme="minorHAnsi" w:hint="cs"/>
          <w:sz w:val="27"/>
          <w:rtl/>
          <w:lang w:bidi="ar-LB"/>
        </w:rPr>
        <w:lastRenderedPageBreak/>
        <w:t>والرجل في ذلك سواءٌ.</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وأخال أن هذه النظريّة أعاقَتْ كثيراً من المجتمعات الإسلاميّة عن الالتحاق برَكْب الحضارة الحديثة، والأخذ بأسباب الرقيّ والازدهار؛ فالفردُ يسقط أمام المُغْرَيات، وتصرفه الأطماع عن التزاماته، التي يؤمن بها، ولكنّه يضعف عن أدائها؛ لأسبابٍ شتّى.</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إن مثل هذه العقليّة في مقاربة هذه الأحكام تقعد بالمجتمعات عن التقدُّم؛ فالمرأة ـ وهي نصف المجتمع ـ محرومةٌ من السفر، وما قد يوفِّره من علمٍ وعملٍ؛ بسببٍ بسيطٍ كهذا. فإباحة السفر مرتبطةٌ بالمسؤوليّة الفرديّة والجهد الشخصيّ في تأمين السلامة؛ بينما شكَّل الإحساس بالمسؤوليّة الاجتماعيّة العامّة عن تأمين الظروف المناسبة</w:t>
      </w:r>
      <w:r w:rsidRPr="00CF74C9">
        <w:rPr>
          <w:rFonts w:eastAsiaTheme="minorHAnsi" w:hint="cs"/>
          <w:sz w:val="23"/>
          <w:szCs w:val="23"/>
          <w:rtl/>
          <w:lang w:bidi="ar-LB"/>
        </w:rPr>
        <w:t xml:space="preserve"> </w:t>
      </w:r>
      <w:r w:rsidRPr="00CF74C9">
        <w:rPr>
          <w:rFonts w:eastAsiaTheme="minorHAnsi" w:hint="cs"/>
          <w:sz w:val="27"/>
          <w:rtl/>
          <w:lang w:bidi="ar-LB"/>
        </w:rPr>
        <w:t>لسفرٍ</w:t>
      </w:r>
      <w:r w:rsidRPr="00CF74C9">
        <w:rPr>
          <w:rFonts w:eastAsiaTheme="minorHAnsi" w:hint="cs"/>
          <w:sz w:val="23"/>
          <w:szCs w:val="23"/>
          <w:rtl/>
          <w:lang w:bidi="ar-LB"/>
        </w:rPr>
        <w:t xml:space="preserve"> </w:t>
      </w:r>
      <w:r w:rsidRPr="00CF74C9">
        <w:rPr>
          <w:rFonts w:eastAsiaTheme="minorHAnsi" w:hint="cs"/>
          <w:sz w:val="27"/>
          <w:rtl/>
          <w:lang w:bidi="ar-LB"/>
        </w:rPr>
        <w:t>آمِنٍ</w:t>
      </w:r>
      <w:r w:rsidRPr="00CF74C9">
        <w:rPr>
          <w:rFonts w:eastAsiaTheme="minorHAnsi" w:hint="cs"/>
          <w:sz w:val="23"/>
          <w:szCs w:val="23"/>
          <w:rtl/>
          <w:lang w:bidi="ar-LB"/>
        </w:rPr>
        <w:t xml:space="preserve"> </w:t>
      </w:r>
      <w:r w:rsidRPr="00CF74C9">
        <w:rPr>
          <w:rFonts w:eastAsiaTheme="minorHAnsi" w:hint="cs"/>
          <w:sz w:val="27"/>
          <w:rtl/>
          <w:lang w:bidi="ar-LB"/>
        </w:rPr>
        <w:t>للمرأة</w:t>
      </w:r>
      <w:r w:rsidRPr="00CF74C9">
        <w:rPr>
          <w:rFonts w:eastAsiaTheme="minorHAnsi" w:hint="cs"/>
          <w:sz w:val="23"/>
          <w:szCs w:val="23"/>
          <w:rtl/>
          <w:lang w:bidi="ar-LB"/>
        </w:rPr>
        <w:t xml:space="preserve"> </w:t>
      </w:r>
      <w:r w:rsidRPr="00CF74C9">
        <w:rPr>
          <w:rFonts w:eastAsiaTheme="minorHAnsi" w:hint="cs"/>
          <w:sz w:val="27"/>
          <w:rtl/>
          <w:lang w:bidi="ar-LB"/>
        </w:rPr>
        <w:t>ـ</w:t>
      </w:r>
      <w:r w:rsidRPr="00CF74C9">
        <w:rPr>
          <w:rFonts w:eastAsiaTheme="minorHAnsi" w:hint="cs"/>
          <w:sz w:val="23"/>
          <w:szCs w:val="23"/>
          <w:rtl/>
          <w:lang w:bidi="ar-LB"/>
        </w:rPr>
        <w:t xml:space="preserve"> </w:t>
      </w:r>
      <w:r w:rsidRPr="00CF74C9">
        <w:rPr>
          <w:rFonts w:eastAsiaTheme="minorHAnsi" w:hint="cs"/>
          <w:sz w:val="27"/>
          <w:rtl/>
          <w:lang w:bidi="ar-LB"/>
        </w:rPr>
        <w:t>وغيرها</w:t>
      </w:r>
      <w:r w:rsidRPr="00CF74C9">
        <w:rPr>
          <w:rFonts w:eastAsiaTheme="minorHAnsi" w:hint="cs"/>
          <w:sz w:val="23"/>
          <w:szCs w:val="23"/>
          <w:rtl/>
          <w:lang w:bidi="ar-LB"/>
        </w:rPr>
        <w:t xml:space="preserve"> </w:t>
      </w:r>
      <w:r w:rsidRPr="00CF74C9">
        <w:rPr>
          <w:rFonts w:eastAsiaTheme="minorHAnsi" w:hint="cs"/>
          <w:sz w:val="27"/>
          <w:rtl/>
          <w:lang w:bidi="ar-LB"/>
        </w:rPr>
        <w:t>من</w:t>
      </w:r>
      <w:r w:rsidRPr="00CF74C9">
        <w:rPr>
          <w:rFonts w:eastAsiaTheme="minorHAnsi" w:hint="cs"/>
          <w:sz w:val="23"/>
          <w:szCs w:val="23"/>
          <w:rtl/>
          <w:lang w:bidi="ar-LB"/>
        </w:rPr>
        <w:t xml:space="preserve"> </w:t>
      </w:r>
      <w:r w:rsidRPr="00CF74C9">
        <w:rPr>
          <w:rFonts w:eastAsiaTheme="minorHAnsi" w:hint="cs"/>
          <w:sz w:val="27"/>
          <w:rtl/>
          <w:lang w:bidi="ar-LB"/>
        </w:rPr>
        <w:t>المستضعفين</w:t>
      </w:r>
      <w:r w:rsidRPr="00CF74C9">
        <w:rPr>
          <w:rFonts w:eastAsiaTheme="minorHAnsi" w:hint="cs"/>
          <w:sz w:val="23"/>
          <w:szCs w:val="23"/>
          <w:rtl/>
          <w:lang w:bidi="ar-LB"/>
        </w:rPr>
        <w:t xml:space="preserve"> </w:t>
      </w:r>
      <w:r w:rsidRPr="00CF74C9">
        <w:rPr>
          <w:rFonts w:eastAsiaTheme="minorHAnsi" w:hint="cs"/>
          <w:sz w:val="27"/>
          <w:rtl/>
          <w:lang w:bidi="ar-LB"/>
        </w:rPr>
        <w:t>اجتماعيّاً،</w:t>
      </w:r>
      <w:r w:rsidRPr="00CF74C9">
        <w:rPr>
          <w:rFonts w:eastAsiaTheme="minorHAnsi" w:hint="cs"/>
          <w:sz w:val="23"/>
          <w:szCs w:val="23"/>
          <w:rtl/>
          <w:lang w:bidi="ar-LB"/>
        </w:rPr>
        <w:t xml:space="preserve"> </w:t>
      </w:r>
      <w:r w:rsidRPr="00CF74C9">
        <w:rPr>
          <w:rFonts w:eastAsiaTheme="minorHAnsi" w:hint="cs"/>
          <w:sz w:val="27"/>
          <w:rtl/>
          <w:lang w:bidi="ar-LB"/>
        </w:rPr>
        <w:t>كالأطفال</w:t>
      </w:r>
      <w:r w:rsidRPr="00CF74C9">
        <w:rPr>
          <w:rFonts w:eastAsiaTheme="minorHAnsi" w:hint="cs"/>
          <w:sz w:val="23"/>
          <w:szCs w:val="23"/>
          <w:rtl/>
          <w:lang w:bidi="ar-LB"/>
        </w:rPr>
        <w:t xml:space="preserve"> </w:t>
      </w:r>
      <w:r w:rsidRPr="00CF74C9">
        <w:rPr>
          <w:rFonts w:eastAsiaTheme="minorHAnsi" w:hint="cs"/>
          <w:sz w:val="27"/>
          <w:rtl/>
          <w:lang w:bidi="ar-LB"/>
        </w:rPr>
        <w:t>والمجانين</w:t>
      </w:r>
      <w:r w:rsidRPr="00CF74C9">
        <w:rPr>
          <w:rFonts w:eastAsiaTheme="minorHAnsi" w:hint="cs"/>
          <w:sz w:val="23"/>
          <w:szCs w:val="23"/>
          <w:rtl/>
          <w:lang w:bidi="ar-LB"/>
        </w:rPr>
        <w:t xml:space="preserve"> </w:t>
      </w:r>
      <w:r w:rsidRPr="00CF74C9">
        <w:rPr>
          <w:rFonts w:eastAsiaTheme="minorHAnsi" w:hint="cs"/>
          <w:sz w:val="27"/>
          <w:rtl/>
          <w:lang w:bidi="ar-LB"/>
        </w:rPr>
        <w:t>و...</w:t>
      </w:r>
      <w:r w:rsidRPr="00CF74C9">
        <w:rPr>
          <w:rFonts w:eastAsiaTheme="minorHAnsi" w:hint="cs"/>
          <w:sz w:val="23"/>
          <w:szCs w:val="23"/>
          <w:rtl/>
          <w:lang w:bidi="ar-LB"/>
        </w:rPr>
        <w:t xml:space="preserve"> </w:t>
      </w:r>
      <w:r w:rsidRPr="00CF74C9">
        <w:rPr>
          <w:rFonts w:eastAsiaTheme="minorHAnsi" w:hint="cs"/>
          <w:sz w:val="27"/>
          <w:rtl/>
          <w:lang w:bidi="ar-LB"/>
        </w:rPr>
        <w:t xml:space="preserve">ـ حافزاً ودافعاً لتشكيل شبكة مرافق آمنةٍ، تتنقَّل بينها المرأة، فتقطع المسافة من الشرق إلى الغرب دون أن تخاف على نفسها. </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هذا، وقد استطاعَتْ دولٌ أخرى (إسلاميّة وغيرها) ـ استناداً إلى النظريّة الثانية ـ من تأمين رفاهيةٍ تامّةٍ، وعيشٍ كريمٍ، وأمنٍ مستتبٍّ، وانتظامٍ دقيقٍ، لمواطنيها؛ حيث كان النظام العامّ هو ضابط الإيقاع لحركات المواطنين، فلا ننتظر جُهْده الفرديّ، والحسّ الذاتيّ الذي قد يتعطَّل لسببٍ وآخر، وإنما هو نظامٌ عامٌّ شاملٌ مُلْزِمٌ للجميع، وَفْق منظومةٍ قانونيّةٍ متكاملةٍ، تحفظ حقّ الصغير والكبير، والغنيّ والفقير، والحاكم والرعيّة...</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وليست هذه النظريّة بِدْعاً من القول والعمل في الإسلام، بل لها جذورها الضاربة فيه في أكثر من نطاقٍ.</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 xml:space="preserve">فعلى سبيل المثال: كانت فريضة الجهاد منوطةً بتأمين الحاكم السلاح والمراكب للمقاتلين، يقول تعالى: </w:t>
      </w:r>
      <w:r w:rsidRPr="00CF74C9">
        <w:rPr>
          <w:rFonts w:cs="Abz-1 (Lotus)"/>
          <w:sz w:val="24"/>
          <w:szCs w:val="24"/>
          <w:rtl/>
        </w:rPr>
        <w:t>﴿</w:t>
      </w:r>
      <w:r w:rsidRPr="00CF74C9">
        <w:rPr>
          <w:b/>
          <w:bCs/>
          <w:sz w:val="27"/>
          <w:rtl/>
        </w:rPr>
        <w:t>لَيْسَ عَلَى الضُّعَفَاءِ</w:t>
      </w:r>
      <w:r w:rsidRPr="00CF74C9">
        <w:rPr>
          <w:rFonts w:hint="cs"/>
          <w:b/>
          <w:bCs/>
          <w:sz w:val="27"/>
          <w:rtl/>
        </w:rPr>
        <w:t xml:space="preserve">... </w:t>
      </w:r>
      <w:r w:rsidRPr="00CF74C9">
        <w:rPr>
          <w:b/>
          <w:bCs/>
          <w:sz w:val="27"/>
          <w:rtl/>
        </w:rPr>
        <w:t>حَرَجٌ</w:t>
      </w:r>
      <w:r w:rsidRPr="00CF74C9">
        <w:rPr>
          <w:rFonts w:hint="cs"/>
          <w:b/>
          <w:bCs/>
          <w:sz w:val="27"/>
          <w:rtl/>
        </w:rPr>
        <w:t>...</w:t>
      </w:r>
      <w:r w:rsidRPr="00CF74C9">
        <w:rPr>
          <w:b/>
          <w:bCs/>
          <w:sz w:val="27"/>
          <w:rtl/>
        </w:rPr>
        <w:t xml:space="preserve"> </w:t>
      </w:r>
      <w:r w:rsidRPr="00CF74C9">
        <w:rPr>
          <w:rFonts w:hint="cs"/>
          <w:b/>
          <w:bCs/>
          <w:sz w:val="27"/>
          <w:rtl/>
        </w:rPr>
        <w:t xml:space="preserve">* </w:t>
      </w:r>
      <w:r w:rsidRPr="00CF74C9">
        <w:rPr>
          <w:b/>
          <w:bCs/>
          <w:sz w:val="27"/>
          <w:rtl/>
        </w:rPr>
        <w:t>وَلاَ عَلَى الَّذِينَ إِذَا مَا أَتَوْكَ لِتَحْمِلَهُمْ قُلْتَ لاَ أَجِدُ مَا أَحْمِلُكُمْ عَلَيْهِ تَوَلَّوا وَأَعْيُنُهُمْ تَفِيضُ مِنْ الدَّمْعِ حَزَناً أَلاَّ يَجِدُوا مَا يُنفِقُونَ</w:t>
      </w:r>
      <w:r w:rsidRPr="00CF74C9">
        <w:rPr>
          <w:rFonts w:cs="Abz-1 (Lotus)"/>
          <w:sz w:val="24"/>
          <w:szCs w:val="24"/>
          <w:rtl/>
        </w:rPr>
        <w:t>﴾</w:t>
      </w:r>
      <w:r w:rsidRPr="00CF74C9">
        <w:rPr>
          <w:rFonts w:eastAsiaTheme="minorHAnsi" w:hint="cs"/>
          <w:sz w:val="27"/>
          <w:rtl/>
          <w:lang w:bidi="ar-LB"/>
        </w:rPr>
        <w:t xml:space="preserve"> (التوبة: 91 ـ 92)؛ فإن الجهاد ممّا قد تضعف عنده العزائم، وتقصر النفوس؛ لما فيه من خَطَرٍ ومشقّةٍ، فلو تُرك للجُهْد الفرديّ لتعطَّل حَتْماً، فأُنيط </w:t>
      </w:r>
      <w:r w:rsidRPr="00CF74C9">
        <w:rPr>
          <w:rFonts w:eastAsiaTheme="minorHAnsi" w:hint="cs"/>
          <w:sz w:val="27"/>
          <w:rtl/>
          <w:lang w:bidi="ar-LB"/>
        </w:rPr>
        <w:lastRenderedPageBreak/>
        <w:t>أمرُه بتوفير الحاكم لمستلزماته؛ قَطْعاً للعُذْر.</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إذن لم يُغْلِق الإسلامُ الباب أمام النظريّة الثانية، بل لم يجعَلْها في موارد الاضطرار أو في موارد معيَّنة فقط لا غير، وإنما فتح الباب في تلك اللحظة التاريخيّة بالمُحتاج إليه والمقدور عليه في ذلك الزمان؛ حيث تنتفي الحاجة إلى سلطة النظام العامّ ما دام عدد المسلمين قليلاً، وما يقدِّمه بعضهم من خُمْسٍ وزكاةٍ وصدقاتٍ يكفي جميع المحتاجين؛ وحيث كان الناس حديثي عهدٍ بالإسلام، والقَهْرُ والجَبْرُ قد يؤثِّر فيهم، فيتركوا الإسلام، ويلتحقوا بالكفّار والمشركين، ويشكِّلوا نواةَ تخريبٍ للمجتمع الإسلاميّ؛ وحيث كانت الدولة الإسلاميّة عاجزةً، كما في صدر الإسلام، أو مُهمِلةً، كما في عهد الخلافات المتعاقبة (الأمويّة والعبّاسيّة و..)؛ إذ كان السلطان يهتمّ بنفسه ونسائه وحاشيته وعسكره و..، متناسياً أفراد الأمّة واحتياجاتهم...</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إذن فتح الإسلامُ الباب بمقدارٍ، ولم يغلقه عمّا عدا ذلك، وإنما يحتاج الأمر إلى فَهْمٍ مقاصديٍّ شاملٍ، وقراءةٍ تاريخيّةٍ دقيقةٍ، وتجاوزٍ لعَقَبات عُرْفيّة واجتهاديّة مصطَنَعةٍ؛ للوصول إلى نتائج مُرْضيةٍ ومحمودةٍ.</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فمثلاً: بَدَل أن نقف طويلاً لإثباتِ شرعيّة وَقْف الوقت</w:t>
      </w:r>
      <w:r w:rsidRPr="00CF74C9">
        <w:rPr>
          <w:rFonts w:hint="cs"/>
          <w:sz w:val="27"/>
          <w:vertAlign w:val="superscript"/>
          <w:rtl/>
          <w:lang w:bidi="ar-LB"/>
        </w:rPr>
        <w:t>(</w:t>
      </w:r>
      <w:r w:rsidRPr="00CF74C9">
        <w:rPr>
          <w:rStyle w:val="af9"/>
          <w:sz w:val="27"/>
          <w:rtl/>
          <w:lang w:bidi="ar-LB"/>
        </w:rPr>
        <w:endnoteReference w:id="1"/>
      </w:r>
      <w:r w:rsidRPr="00CF74C9">
        <w:rPr>
          <w:rFonts w:hint="cs"/>
          <w:sz w:val="27"/>
          <w:vertAlign w:val="superscript"/>
          <w:rtl/>
          <w:lang w:bidi="ar-LB"/>
        </w:rPr>
        <w:t>)</w:t>
      </w:r>
      <w:r w:rsidRPr="00CF74C9">
        <w:rPr>
          <w:rFonts w:eastAsiaTheme="minorHAnsi" w:hint="cs"/>
          <w:sz w:val="27"/>
          <w:rtl/>
          <w:lang w:bidi="ar-LB"/>
        </w:rPr>
        <w:t xml:space="preserve">؛ التزاماً بالتعريفات الحَرْفيّة للوَقْف، وشروطه المستَنْبَطة، </w:t>
      </w:r>
      <w:r w:rsidRPr="00CF74C9">
        <w:rPr>
          <w:rFonts w:eastAsiaTheme="minorHAnsi" w:hint="cs"/>
          <w:sz w:val="27"/>
          <w:rtl/>
        </w:rPr>
        <w:t xml:space="preserve">وتفصيلِ الكلام في </w:t>
      </w:r>
      <w:r w:rsidRPr="00CF74C9">
        <w:rPr>
          <w:rFonts w:eastAsiaTheme="minorHAnsi"/>
          <w:sz w:val="27"/>
          <w:rtl/>
        </w:rPr>
        <w:t>المعو</w:t>
      </w:r>
      <w:r w:rsidRPr="00CF74C9">
        <w:rPr>
          <w:rFonts w:eastAsiaTheme="minorHAnsi" w:hint="cs"/>
          <w:sz w:val="27"/>
          <w:rtl/>
        </w:rPr>
        <w:t>ِّ</w:t>
      </w:r>
      <w:r w:rsidRPr="00CF74C9">
        <w:rPr>
          <w:rFonts w:eastAsiaTheme="minorHAnsi"/>
          <w:sz w:val="27"/>
          <w:rtl/>
        </w:rPr>
        <w:t>قات الفقهيّة</w:t>
      </w:r>
      <w:r w:rsidRPr="00CF74C9">
        <w:rPr>
          <w:rFonts w:eastAsiaTheme="minorHAnsi" w:hint="cs"/>
          <w:sz w:val="27"/>
          <w:rtl/>
        </w:rPr>
        <w:t xml:space="preserve"> التي تقف في مقابله، من قبيل:</w:t>
      </w:r>
      <w:r w:rsidRPr="00CF74C9">
        <w:rPr>
          <w:rFonts w:eastAsiaTheme="minorHAnsi"/>
          <w:sz w:val="27"/>
          <w:rtl/>
        </w:rPr>
        <w:t xml:space="preserve"> المفارقة مع حقيقة الو</w:t>
      </w:r>
      <w:r w:rsidRPr="00CF74C9">
        <w:rPr>
          <w:rFonts w:eastAsiaTheme="minorHAnsi" w:hint="cs"/>
          <w:sz w:val="27"/>
          <w:rtl/>
        </w:rPr>
        <w:t>َ</w:t>
      </w:r>
      <w:r w:rsidRPr="00CF74C9">
        <w:rPr>
          <w:rFonts w:eastAsiaTheme="minorHAnsi"/>
          <w:sz w:val="27"/>
          <w:rtl/>
        </w:rPr>
        <w:t>ق</w:t>
      </w:r>
      <w:r w:rsidRPr="00CF74C9">
        <w:rPr>
          <w:rFonts w:eastAsiaTheme="minorHAnsi" w:hint="cs"/>
          <w:sz w:val="27"/>
          <w:rtl/>
        </w:rPr>
        <w:t>ْ</w:t>
      </w:r>
      <w:r w:rsidRPr="00CF74C9">
        <w:rPr>
          <w:rFonts w:eastAsiaTheme="minorHAnsi"/>
          <w:sz w:val="27"/>
          <w:rtl/>
        </w:rPr>
        <w:t>ف</w:t>
      </w:r>
      <w:r w:rsidRPr="00CF74C9">
        <w:rPr>
          <w:rFonts w:eastAsiaTheme="minorHAnsi" w:hint="cs"/>
          <w:sz w:val="27"/>
          <w:rtl/>
        </w:rPr>
        <w:t>؛ و</w:t>
      </w:r>
      <w:r w:rsidRPr="00CF74C9">
        <w:rPr>
          <w:rFonts w:eastAsiaTheme="minorHAnsi"/>
          <w:sz w:val="27"/>
          <w:rtl/>
        </w:rPr>
        <w:t>التنافي مع تأبيد الوقوف</w:t>
      </w:r>
      <w:r w:rsidRPr="00CF74C9">
        <w:rPr>
          <w:rFonts w:eastAsiaTheme="minorHAnsi" w:hint="cs"/>
          <w:sz w:val="27"/>
          <w:rtl/>
        </w:rPr>
        <w:t>؛ وا</w:t>
      </w:r>
      <w:r w:rsidRPr="00CF74C9">
        <w:rPr>
          <w:rFonts w:eastAsiaTheme="minorHAnsi"/>
          <w:sz w:val="27"/>
          <w:rtl/>
        </w:rPr>
        <w:t>لمفارقة بن</w:t>
      </w:r>
      <w:r w:rsidRPr="00CF74C9">
        <w:rPr>
          <w:rFonts w:eastAsiaTheme="minorHAnsi" w:hint="cs"/>
          <w:sz w:val="27"/>
          <w:rtl/>
        </w:rPr>
        <w:t>َ</w:t>
      </w:r>
      <w:r w:rsidRPr="00CF74C9">
        <w:rPr>
          <w:rFonts w:eastAsiaTheme="minorHAnsi"/>
          <w:sz w:val="27"/>
          <w:rtl/>
        </w:rPr>
        <w:t>ق</w:t>
      </w:r>
      <w:r w:rsidRPr="00CF74C9">
        <w:rPr>
          <w:rFonts w:eastAsiaTheme="minorHAnsi" w:hint="cs"/>
          <w:sz w:val="27"/>
          <w:rtl/>
        </w:rPr>
        <w:t>ْ</w:t>
      </w:r>
      <w:r w:rsidRPr="00CF74C9">
        <w:rPr>
          <w:rFonts w:eastAsiaTheme="minorHAnsi"/>
          <w:sz w:val="27"/>
          <w:rtl/>
        </w:rPr>
        <w:t>ض غ</w:t>
      </w:r>
      <w:r w:rsidRPr="00CF74C9">
        <w:rPr>
          <w:rFonts w:eastAsiaTheme="minorHAnsi" w:hint="cs"/>
          <w:sz w:val="27"/>
          <w:rtl/>
        </w:rPr>
        <w:t>َ</w:t>
      </w:r>
      <w:r w:rsidRPr="00CF74C9">
        <w:rPr>
          <w:rFonts w:eastAsiaTheme="minorHAnsi"/>
          <w:sz w:val="27"/>
          <w:rtl/>
        </w:rPr>
        <w:t>ر</w:t>
      </w:r>
      <w:r w:rsidRPr="00CF74C9">
        <w:rPr>
          <w:rFonts w:eastAsiaTheme="minorHAnsi" w:hint="cs"/>
          <w:sz w:val="27"/>
          <w:rtl/>
        </w:rPr>
        <w:t>َ</w:t>
      </w:r>
      <w:r w:rsidRPr="00CF74C9">
        <w:rPr>
          <w:rFonts w:eastAsiaTheme="minorHAnsi"/>
          <w:sz w:val="27"/>
          <w:rtl/>
        </w:rPr>
        <w:t>ض الوقف</w:t>
      </w:r>
      <w:r w:rsidRPr="00CF74C9">
        <w:rPr>
          <w:rFonts w:eastAsiaTheme="minorHAnsi" w:hint="cs"/>
          <w:sz w:val="27"/>
          <w:rtl/>
        </w:rPr>
        <w:t>؛ و</w:t>
      </w:r>
      <w:r w:rsidRPr="00CF74C9">
        <w:rPr>
          <w:rFonts w:eastAsiaTheme="minorHAnsi"/>
          <w:sz w:val="27"/>
          <w:rtl/>
        </w:rPr>
        <w:t>أصالة عدم المشروعيّة</w:t>
      </w:r>
      <w:r w:rsidRPr="00CF74C9">
        <w:rPr>
          <w:rFonts w:hint="cs"/>
          <w:sz w:val="27"/>
          <w:vertAlign w:val="superscript"/>
          <w:rtl/>
          <w:lang w:bidi="ar-LB"/>
        </w:rPr>
        <w:t>(</w:t>
      </w:r>
      <w:r w:rsidRPr="00CF74C9">
        <w:rPr>
          <w:rStyle w:val="af9"/>
          <w:sz w:val="27"/>
          <w:rtl/>
          <w:lang w:bidi="ar-LB"/>
        </w:rPr>
        <w:endnoteReference w:id="2"/>
      </w:r>
      <w:r w:rsidRPr="00CF74C9">
        <w:rPr>
          <w:rFonts w:hint="cs"/>
          <w:sz w:val="27"/>
          <w:vertAlign w:val="superscript"/>
          <w:rtl/>
          <w:lang w:bidi="ar-LB"/>
        </w:rPr>
        <w:t>)</w:t>
      </w:r>
      <w:r w:rsidRPr="00CF74C9">
        <w:rPr>
          <w:rFonts w:eastAsiaTheme="minorHAnsi" w:hint="cs"/>
          <w:sz w:val="27"/>
          <w:rtl/>
          <w:lang w:bidi="ar-LB"/>
        </w:rPr>
        <w:t>، نرى أن مجتمعاتٍ أخرى قد أقرَّتْ ذلك كلَّه، وبدأَتْ بالاستفادة منه، بل تعدَّتْه إلى غيره ممّا قد يفوق خيالنا، حيث اتَّخذوا ما نسمِّيه (بنك الوقت والعمل)، حيث يعمل الرجل أو المرأة مع الآخرين ـ من ذوي الاحتياجات وطالبي المعونة والمساعدة ـ ما يظنّ أنّه سيحتاج إلى مثله في المستقبل، يعمله تطوُّعاً وبلا أَجْرٍ، مع تسجيلٍ ورعايةٍ ورقابةٍ رسميّةٍ، فيُحفَظ له هذا العمل، فإذا احتاج إلى مثله في شيخوخته أو في مَرَضه أو.. أرسلوا إليه مَنْ يعمل له ما كان قد عمله لغيره؛ وفاءً لحقِّه، وسداداً لما ادَّخره من عملٍ سابقٍ في نفس المضمار.</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 xml:space="preserve">وهذا من تجلِّيات رهافة الحسّ ويَقَظة الشعور بالمسؤوليّة الاجتماعيّة العامّة، وأن المنافع ليست متوقِّفةً على مسؤوليّة الفَرْد؛ فمَنْ لا أرحام له، ولا جيران، ولا أصدقاء، </w:t>
      </w:r>
      <w:r w:rsidRPr="00CF74C9">
        <w:rPr>
          <w:rFonts w:eastAsiaTheme="minorHAnsi" w:hint="cs"/>
          <w:sz w:val="27"/>
          <w:rtl/>
          <w:lang w:bidi="ar-LB"/>
        </w:rPr>
        <w:lastRenderedPageBreak/>
        <w:t xml:space="preserve">يقومون بخدمته ومساعدته في محنته ووقت حاجته، وقد يتخلَّفون لو وُجدوا، لا يرى في ذلك غضاضةً؛ فإن مسؤوليّة النظام العامّ كفيلةٌ بحمايته؛ إذ هو فردٌ عاملٌ قد خدم غيره، فإذن سيكون هذا الغير ـ ولو بأشخاصٍ آخرين ـ مسؤولاً عن خدمته ورعايته.   </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لَسْتُ في مقام الدعوة إلى اجتهادٍ في مقابل نصٍّ، ولا إلى حكمٍ بغير ما أنزل الله، ولكنّها إثارةٌ معرفيّةٌ في فقهٍ تقليديٍّ راكدٍ، ودعوةٌ صادقةٌ لإعادة قراءةٍ وفَهْمٍ لما أنزل الله وما ورد في النصّ المقدَّس (القرآن الكريم؛ والسنّة القطعيّة الشريفة)، وَفْق منهجٍ يلحظ تاريخيّةَ الكثير من الأحكام، ومراعاتَها لظروفٍ خاصّةٍ، وملابساتٍ آنيّةٍ أحاطَتْ بها، ولم تُنْقَل إلينا في متن الآية أو الرواية على وجهٍ صريحٍ ودقيقٍ، فكان لا بُدَّ من اكتشافها بالسَّبْر والتحليل، وغيرها من وسائل التحقيق، التي توصل إلى الاطمئنان والوثوق، وتمثِّل حجّةً شرعيّةً في مقام الاستدلال والاستنباط.</w:t>
      </w:r>
    </w:p>
    <w:p w:rsidR="00966DD1" w:rsidRPr="00CF74C9" w:rsidRDefault="00966DD1" w:rsidP="00CF74C9">
      <w:pPr>
        <w:spacing w:line="416" w:lineRule="exact"/>
        <w:rPr>
          <w:rFonts w:eastAsiaTheme="minorHAnsi"/>
          <w:sz w:val="27"/>
          <w:rtl/>
          <w:lang w:bidi="ar-LB"/>
        </w:rPr>
      </w:pPr>
      <w:r w:rsidRPr="00CF74C9">
        <w:rPr>
          <w:rFonts w:eastAsiaTheme="minorHAnsi" w:hint="cs"/>
          <w:sz w:val="27"/>
          <w:rtl/>
          <w:lang w:bidi="ar-LB"/>
        </w:rPr>
        <w:t>كما أن كثيراً من المعاملات تقع ضمن منطقة الفراغ، وفيها متَّسَعٌ لرأيٍ عقلائيٍّ حكيمٍ، يلحظ المصلحة العامّة والنَّفْع الكبير، ولا يعوزنا سوى الجُرْأة وتحمُّل مشاقّ وعناء مثل هذا البحث والتحقيق، وهو ممّا نَذَر له الفقهاء والمجتهدون أنفسهم، فهل من باذلٍ جُهْده وعقله وراحته و.. في سبيل تجديدٍ حقيقيٍّ واقعيٍّ نافعٍ ومفيدٍ؟!</w:t>
      </w:r>
    </w:p>
    <w:p w:rsidR="00EB4B77" w:rsidRPr="00CF74C9" w:rsidRDefault="00966DD1" w:rsidP="00CF74C9">
      <w:pPr>
        <w:spacing w:line="416" w:lineRule="exact"/>
        <w:rPr>
          <w:rFonts w:eastAsiaTheme="minorHAnsi"/>
          <w:sz w:val="27"/>
          <w:rtl/>
          <w:lang w:bidi="ar-LB"/>
        </w:rPr>
      </w:pPr>
      <w:r w:rsidRPr="00CF74C9">
        <w:rPr>
          <w:rFonts w:eastAsiaTheme="minorHAnsi" w:hint="cs"/>
          <w:sz w:val="27"/>
          <w:rtl/>
          <w:lang w:bidi="ar-LB"/>
        </w:rPr>
        <w:t>هذا هو الأَمَل والرجاء؛ عسى أن نشهد أمّةً إسلاميّةً بحقٍّ، آخذةً بأسباب التقدُّم والرقيّ، متدرِّجةً في سُلَّم الحضارة الإنسانيّة، تستفيد ممّا أنعم الله به على الإنسان من وقتٍ وقوّةٍ وصحّةٍ وفكرٍ ووَعْيٍ ومواردَ طبيعيّةٍ وبشريّةٍ هائلةٍ.</w:t>
      </w:r>
      <w:r w:rsidR="00EB4B77" w:rsidRPr="00CF74C9">
        <w:rPr>
          <w:rFonts w:eastAsiaTheme="minorHAnsi" w:hint="cs"/>
          <w:sz w:val="27"/>
          <w:rtl/>
          <w:lang w:bidi="ar-LB"/>
        </w:rPr>
        <w:t xml:space="preserve"> </w:t>
      </w:r>
    </w:p>
    <w:p w:rsidR="00EB4B77" w:rsidRPr="00845E6F" w:rsidRDefault="00EB4B77" w:rsidP="00EB4B77">
      <w:pPr>
        <w:rPr>
          <w:rtl/>
          <w:lang w:bidi="ar-LB"/>
        </w:rPr>
      </w:pPr>
    </w:p>
    <w:p w:rsidR="00EB4B77" w:rsidRDefault="00EB4B77" w:rsidP="00EB4B77">
      <w:pPr>
        <w:rPr>
          <w:rtl/>
        </w:rPr>
      </w:pPr>
    </w:p>
    <w:p w:rsidR="00E73CC4" w:rsidRDefault="00E73CC4" w:rsidP="00EB4B77">
      <w:pPr>
        <w:rPr>
          <w:rtl/>
        </w:rPr>
      </w:pPr>
    </w:p>
    <w:p w:rsidR="00E73CC4" w:rsidRDefault="00E73CC4" w:rsidP="00EB4B77">
      <w:pPr>
        <w:rPr>
          <w:rtl/>
        </w:rPr>
      </w:pPr>
    </w:p>
    <w:p w:rsidR="00E73CC4" w:rsidRDefault="00E73CC4" w:rsidP="00EB4B77">
      <w:pPr>
        <w:rPr>
          <w:rtl/>
        </w:rPr>
      </w:pPr>
    </w:p>
    <w:p w:rsidR="00E73CC4" w:rsidRDefault="00E73CC4" w:rsidP="00EB4B77">
      <w:pPr>
        <w:rPr>
          <w:rtl/>
        </w:rPr>
      </w:pPr>
    </w:p>
    <w:p w:rsidR="00E73CC4" w:rsidRDefault="00E73CC4" w:rsidP="00EB4B77">
      <w:pPr>
        <w:rPr>
          <w:rtl/>
        </w:rPr>
      </w:pPr>
    </w:p>
    <w:p w:rsidR="00E73CC4" w:rsidRPr="00845E6F" w:rsidRDefault="00E73CC4" w:rsidP="00EB4B77">
      <w:pPr>
        <w:rPr>
          <w:rtl/>
        </w:rPr>
      </w:pPr>
    </w:p>
    <w:p w:rsidR="00EB4B77" w:rsidRPr="00E32786" w:rsidRDefault="00EB4B77" w:rsidP="00EB4B77">
      <w:pPr>
        <w:spacing w:line="380" w:lineRule="exact"/>
        <w:ind w:firstLine="0"/>
        <w:rPr>
          <w:rtl/>
        </w:rPr>
        <w:sectPr w:rsidR="00EB4B77" w:rsidRPr="00E32786" w:rsidSect="00E85587">
          <w:footerReference w:type="even" r:id="rId19"/>
          <w:footerReference w:type="default" r:id="rId20"/>
          <w:endnotePr>
            <w:numFmt w:val="decimal"/>
            <w:numRestart w:val="eachSect"/>
          </w:endnotePr>
          <w:type w:val="continuous"/>
          <w:pgSz w:w="11907" w:h="16840" w:code="9"/>
          <w:pgMar w:top="2637" w:right="2438" w:bottom="3686" w:left="2438" w:header="2268" w:footer="3119" w:gutter="0"/>
          <w:cols w:space="720"/>
          <w:titlePg/>
          <w:docGrid w:linePitch="360"/>
        </w:sectPr>
      </w:pPr>
      <w:r w:rsidRPr="002F02A9">
        <w:rPr>
          <w:rFonts w:cs="K Sina" w:hint="cs"/>
          <w:sz w:val="26"/>
          <w:rtl/>
          <w:lang w:eastAsia="ar-SA"/>
        </w:rPr>
        <w:lastRenderedPageBreak/>
        <w:t>الهوامش</w:t>
      </w:r>
    </w:p>
    <w:p w:rsidR="00975EA0" w:rsidRPr="00282AC9" w:rsidRDefault="00975EA0" w:rsidP="00975EA0">
      <w:pPr>
        <w:spacing w:line="380" w:lineRule="exact"/>
        <w:rPr>
          <w:rtl/>
        </w:rPr>
      </w:pPr>
    </w:p>
    <w:p w:rsidR="00975EA0" w:rsidRPr="00282AC9" w:rsidRDefault="00975EA0" w:rsidP="00975EA0">
      <w:pPr>
        <w:pStyle w:val="11"/>
        <w:spacing w:line="216" w:lineRule="auto"/>
        <w:rPr>
          <w:rtl/>
        </w:rPr>
        <w:sectPr w:rsidR="00975EA0" w:rsidRPr="00282AC9" w:rsidSect="00E85587">
          <w:footerReference w:type="even" r:id="rId21"/>
          <w:footerReference w:type="default" r:id="rId22"/>
          <w:endnotePr>
            <w:numFmt w:val="decimal"/>
            <w:numRestart w:val="eachSect"/>
          </w:endnotePr>
          <w:type w:val="continuous"/>
          <w:pgSz w:w="11907" w:h="16840" w:code="9"/>
          <w:pgMar w:top="2637" w:right="2438" w:bottom="3686" w:left="2438" w:header="2268" w:footer="3119" w:gutter="0"/>
          <w:cols w:space="720"/>
          <w:titlePg/>
          <w:docGrid w:linePitch="360"/>
        </w:sectPr>
      </w:pPr>
    </w:p>
    <w:p w:rsidR="00975EA0" w:rsidRPr="00282AC9" w:rsidRDefault="00975EA0" w:rsidP="00975EA0">
      <w:r w:rsidRPr="00282AC9">
        <w:rPr>
          <w:rtl/>
        </w:rPr>
        <w:lastRenderedPageBreak/>
        <w:br w:type="page"/>
      </w:r>
    </w:p>
    <w:p w:rsidR="00975EA0" w:rsidRPr="00282AC9" w:rsidRDefault="00975EA0" w:rsidP="00975EA0">
      <w:pPr>
        <w:rPr>
          <w:rtl/>
        </w:rPr>
        <w:sectPr w:rsidR="00975EA0" w:rsidRPr="00282AC9"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975EA0" w:rsidRPr="00282AC9" w:rsidRDefault="00975EA0" w:rsidP="00C7536F">
      <w:pPr>
        <w:spacing w:line="300" w:lineRule="exact"/>
        <w:rPr>
          <w:rtl/>
        </w:rPr>
      </w:pPr>
    </w:p>
    <w:p w:rsidR="0032309E" w:rsidRPr="00282AC9" w:rsidRDefault="0032309E" w:rsidP="00C7536F">
      <w:pPr>
        <w:spacing w:line="320" w:lineRule="exact"/>
        <w:rPr>
          <w:rtl/>
        </w:rPr>
      </w:pPr>
    </w:p>
    <w:p w:rsidR="00FA5A28" w:rsidRPr="00282AC9" w:rsidRDefault="00307133" w:rsidP="004D1780">
      <w:pPr>
        <w:pStyle w:val="11"/>
        <w:spacing w:line="216" w:lineRule="auto"/>
        <w:rPr>
          <w:rtl/>
          <w:lang w:bidi="ar-LB"/>
        </w:rPr>
      </w:pPr>
      <w:bookmarkStart w:id="5" w:name="_Toc87011481"/>
      <w:r w:rsidRPr="00282AC9">
        <w:rPr>
          <w:rFonts w:hint="cs"/>
          <w:rtl/>
          <w:lang w:bidi="ar-LB"/>
        </w:rPr>
        <w:t xml:space="preserve">قاعدة نفي </w:t>
      </w:r>
      <w:r w:rsidR="006B5676" w:rsidRPr="00282AC9">
        <w:rPr>
          <w:rFonts w:hint="cs"/>
          <w:rtl/>
          <w:lang w:bidi="ar-LB"/>
        </w:rPr>
        <w:t>خلوّ الوقا</w:t>
      </w:r>
      <w:r w:rsidR="004D1780" w:rsidRPr="00282AC9">
        <w:rPr>
          <w:rFonts w:hint="cs"/>
          <w:rtl/>
          <w:lang w:bidi="ar-LB"/>
        </w:rPr>
        <w:t>ئ</w:t>
      </w:r>
      <w:r w:rsidR="006B5676" w:rsidRPr="00282AC9">
        <w:rPr>
          <w:rFonts w:hint="cs"/>
          <w:rtl/>
          <w:lang w:bidi="ar-LB"/>
        </w:rPr>
        <w:t>ع من الحكم الشرعي</w:t>
      </w:r>
      <w:bookmarkEnd w:id="5"/>
    </w:p>
    <w:p w:rsidR="00FA5A28" w:rsidRPr="00282AC9" w:rsidRDefault="004D1780" w:rsidP="00292BB8">
      <w:pPr>
        <w:pStyle w:val="11"/>
        <w:spacing w:line="216" w:lineRule="auto"/>
        <w:rPr>
          <w:sz w:val="26"/>
          <w:szCs w:val="42"/>
          <w:rtl/>
        </w:rPr>
      </w:pPr>
      <w:bookmarkStart w:id="6" w:name="_Toc87011482"/>
      <w:r w:rsidRPr="00282AC9">
        <w:rPr>
          <w:rFonts w:hint="cs"/>
          <w:sz w:val="26"/>
          <w:szCs w:val="42"/>
          <w:rtl/>
          <w:lang w:bidi="ar-LB"/>
        </w:rPr>
        <w:t>وأثرها في علم أصول الفقه</w:t>
      </w:r>
      <w:bookmarkEnd w:id="6"/>
    </w:p>
    <w:p w:rsidR="00307133" w:rsidRPr="00282AC9" w:rsidRDefault="00307133" w:rsidP="000F4DC6">
      <w:pPr>
        <w:spacing w:line="240" w:lineRule="auto"/>
        <w:ind w:firstLine="0"/>
        <w:jc w:val="center"/>
        <w:rPr>
          <w:rFonts w:cs="Ya-Ali"/>
          <w:sz w:val="32"/>
          <w:szCs w:val="31"/>
          <w:rtl/>
        </w:rPr>
      </w:pPr>
      <w:r w:rsidRPr="00282AC9">
        <w:rPr>
          <w:rFonts w:cs="Ya-Ali" w:hint="cs"/>
          <w:sz w:val="32"/>
          <w:szCs w:val="31"/>
          <w:rtl/>
          <w:lang w:bidi="ar-LB"/>
        </w:rPr>
        <w:t>ـ القسم الأوّل ـ</w:t>
      </w:r>
    </w:p>
    <w:p w:rsidR="00FA5A28" w:rsidRPr="00282AC9" w:rsidRDefault="00FA5A28" w:rsidP="00C7536F">
      <w:pPr>
        <w:spacing w:line="300" w:lineRule="exact"/>
        <w:rPr>
          <w:rtl/>
        </w:rPr>
      </w:pPr>
    </w:p>
    <w:p w:rsidR="00E94E45" w:rsidRPr="00282AC9" w:rsidRDefault="00AF4F80" w:rsidP="00CF7496">
      <w:pPr>
        <w:pStyle w:val="Author"/>
        <w:rPr>
          <w:rtl/>
        </w:rPr>
      </w:pPr>
      <w:bookmarkStart w:id="7" w:name="_Toc87011483"/>
      <w:r w:rsidRPr="00AF4F80">
        <w:rPr>
          <w:rFonts w:hint="eastAsia"/>
          <w:rtl/>
          <w:lang w:bidi="ar-LB"/>
        </w:rPr>
        <w:t>الشيخ</w:t>
      </w:r>
      <w:r w:rsidRPr="00AF4F80">
        <w:rPr>
          <w:rtl/>
          <w:lang w:bidi="ar-LB"/>
        </w:rPr>
        <w:t xml:space="preserve"> </w:t>
      </w:r>
      <w:r w:rsidRPr="00AF4F80">
        <w:rPr>
          <w:rFonts w:hint="eastAsia"/>
          <w:rtl/>
          <w:lang w:bidi="ar-LB"/>
        </w:rPr>
        <w:t>صادق</w:t>
      </w:r>
      <w:r w:rsidRPr="00AF4F80">
        <w:rPr>
          <w:rtl/>
          <w:lang w:bidi="ar-LB"/>
        </w:rPr>
        <w:t xml:space="preserve"> </w:t>
      </w:r>
      <w:r w:rsidR="00CF7496">
        <w:rPr>
          <w:rFonts w:hint="cs"/>
          <w:rtl/>
          <w:lang w:bidi="ar-LB"/>
        </w:rPr>
        <w:t>الل</w:t>
      </w:r>
      <w:r w:rsidRPr="00AF4F80">
        <w:rPr>
          <w:rFonts w:hint="eastAsia"/>
          <w:rtl/>
          <w:lang w:bidi="ar-LB"/>
        </w:rPr>
        <w:t>اريجاني</w:t>
      </w:r>
      <w:r w:rsidR="00FA5A28" w:rsidRPr="00282AC9">
        <w:rPr>
          <w:rFonts w:cs="Taher" w:hint="cs"/>
          <w:vertAlign w:val="superscript"/>
          <w:rtl/>
        </w:rPr>
        <w:t>(</w:t>
      </w:r>
      <w:r w:rsidR="00E94E45" w:rsidRPr="00282AC9">
        <w:rPr>
          <w:rFonts w:cs="Taher"/>
          <w:vertAlign w:val="superscript"/>
          <w:rtl/>
        </w:rPr>
        <w:footnoteReference w:customMarkFollows="1" w:id="1"/>
        <w:t>*)</w:t>
      </w:r>
      <w:bookmarkEnd w:id="7"/>
    </w:p>
    <w:p w:rsidR="00AF4F80" w:rsidRPr="00282AC9" w:rsidRDefault="00AF4F80" w:rsidP="00292BB8">
      <w:pPr>
        <w:pStyle w:val="Author"/>
        <w:rPr>
          <w:rtl/>
        </w:rPr>
      </w:pPr>
      <w:r>
        <w:rPr>
          <w:rFonts w:hint="cs"/>
          <w:rtl/>
          <w:lang w:bidi="ar-LB"/>
        </w:rPr>
        <w:t xml:space="preserve">بقلم: </w:t>
      </w:r>
      <w:r w:rsidRPr="00282AC9">
        <w:rPr>
          <w:rFonts w:hint="cs"/>
          <w:rtl/>
          <w:lang w:bidi="ar-LB"/>
        </w:rPr>
        <w:t>الشيخ محمد حسن القمي</w:t>
      </w:r>
      <w:r w:rsidR="00292BB8" w:rsidRPr="00292BB8">
        <w:rPr>
          <w:rFonts w:hint="cs"/>
          <w:vertAlign w:val="superscript"/>
          <w:rtl/>
        </w:rPr>
        <w:t>(</w:t>
      </w:r>
      <w:r w:rsidR="00292BB8" w:rsidRPr="00292BB8">
        <w:rPr>
          <w:vertAlign w:val="superscript"/>
          <w:rtl/>
        </w:rPr>
        <w:endnoteReference w:id="3"/>
      </w:r>
      <w:r w:rsidR="00292BB8" w:rsidRPr="00292BB8">
        <w:rPr>
          <w:vertAlign w:val="superscript"/>
          <w:rtl/>
        </w:rPr>
        <w:t>)</w:t>
      </w:r>
    </w:p>
    <w:p w:rsidR="00C31A3E" w:rsidRPr="00282AC9" w:rsidRDefault="00C31A3E" w:rsidP="00C7536F">
      <w:pPr>
        <w:spacing w:line="300" w:lineRule="exact"/>
        <w:rPr>
          <w:rtl/>
        </w:rPr>
      </w:pPr>
    </w:p>
    <w:p w:rsidR="00A9019A" w:rsidRPr="00282AC9" w:rsidRDefault="00A9019A" w:rsidP="009E6E51">
      <w:pPr>
        <w:pStyle w:val="31"/>
        <w:rPr>
          <w:color w:val="auto"/>
          <w:rtl/>
          <w:lang w:bidi="ar-LB"/>
        </w:rPr>
      </w:pPr>
      <w:r w:rsidRPr="00282AC9">
        <w:rPr>
          <w:rFonts w:hint="cs"/>
          <w:color w:val="auto"/>
          <w:rtl/>
          <w:lang w:bidi="ar-LB"/>
        </w:rPr>
        <w:t>تمهيدٌ</w:t>
      </w:r>
    </w:p>
    <w:p w:rsidR="00A9019A" w:rsidRPr="00282AC9" w:rsidRDefault="00A9019A" w:rsidP="005B5255">
      <w:pPr>
        <w:tabs>
          <w:tab w:val="right" w:pos="6930"/>
        </w:tabs>
        <w:suppressAutoHyphens/>
        <w:spacing w:line="380" w:lineRule="exact"/>
        <w:rPr>
          <w:sz w:val="27"/>
          <w:rtl/>
          <w:lang w:bidi="ar-LB"/>
        </w:rPr>
      </w:pPr>
      <w:r w:rsidRPr="00282AC9">
        <w:rPr>
          <w:rFonts w:hint="cs"/>
          <w:sz w:val="27"/>
          <w:rtl/>
          <w:lang w:bidi="ar-LB"/>
        </w:rPr>
        <w:t>اشتهر في لسان الفقهاء والأصوليين (أن الواقعة لا تخلو من حكم</w:t>
      </w:r>
      <w:r w:rsidR="00515EE9" w:rsidRPr="00282AC9">
        <w:rPr>
          <w:rFonts w:hint="cs"/>
          <w:sz w:val="27"/>
          <w:rtl/>
          <w:lang w:bidi="ar-LB"/>
        </w:rPr>
        <w:t>ٍ</w:t>
      </w:r>
      <w:r w:rsidRPr="00282AC9">
        <w:rPr>
          <w:rFonts w:hint="cs"/>
          <w:sz w:val="27"/>
          <w:rtl/>
          <w:lang w:bidi="ar-LB"/>
        </w:rPr>
        <w:t>)</w:t>
      </w:r>
      <w:r w:rsidR="00515EE9" w:rsidRPr="00282AC9">
        <w:rPr>
          <w:rFonts w:hint="cs"/>
          <w:sz w:val="27"/>
          <w:rtl/>
          <w:lang w:bidi="ar-LB"/>
        </w:rPr>
        <w:t>،</w:t>
      </w:r>
      <w:r w:rsidRPr="00282AC9">
        <w:rPr>
          <w:rFonts w:hint="cs"/>
          <w:sz w:val="27"/>
          <w:rtl/>
          <w:lang w:bidi="ar-LB"/>
        </w:rPr>
        <w:t xml:space="preserve"> وأنّه ما من ظاهرة</w:t>
      </w:r>
      <w:r w:rsidR="00515EE9" w:rsidRPr="00282AC9">
        <w:rPr>
          <w:rFonts w:hint="cs"/>
          <w:sz w:val="27"/>
          <w:rtl/>
          <w:lang w:bidi="ar-LB"/>
        </w:rPr>
        <w:t>ٍ</w:t>
      </w:r>
      <w:r w:rsidRPr="00282AC9">
        <w:rPr>
          <w:rFonts w:hint="cs"/>
          <w:sz w:val="27"/>
          <w:rtl/>
          <w:lang w:bidi="ar-LB"/>
        </w:rPr>
        <w:t xml:space="preserve"> من ظواهر الحياة إلا</w:t>
      </w:r>
      <w:r w:rsidR="00515EE9" w:rsidRPr="00282AC9">
        <w:rPr>
          <w:rFonts w:hint="cs"/>
          <w:sz w:val="27"/>
          <w:rtl/>
          <w:lang w:bidi="ar-LB"/>
        </w:rPr>
        <w:t>ّ</w:t>
      </w:r>
      <w:r w:rsidRPr="00282AC9">
        <w:rPr>
          <w:rFonts w:hint="cs"/>
          <w:sz w:val="27"/>
          <w:rtl/>
          <w:lang w:bidi="ar-LB"/>
        </w:rPr>
        <w:t xml:space="preserve"> ول</w:t>
      </w:r>
      <w:r w:rsidR="00515EE9" w:rsidRPr="00282AC9">
        <w:rPr>
          <w:rFonts w:hint="cs"/>
          <w:sz w:val="27"/>
          <w:rtl/>
          <w:lang w:bidi="ar-LB"/>
        </w:rPr>
        <w:t>ه</w:t>
      </w:r>
      <w:r w:rsidRPr="00282AC9">
        <w:rPr>
          <w:rFonts w:hint="cs"/>
          <w:sz w:val="27"/>
          <w:rtl/>
          <w:lang w:bidi="ar-LB"/>
        </w:rPr>
        <w:t>ا حكم</w:t>
      </w:r>
      <w:r w:rsidR="00515EE9" w:rsidRPr="00282AC9">
        <w:rPr>
          <w:rFonts w:hint="cs"/>
          <w:sz w:val="27"/>
          <w:rtl/>
          <w:lang w:bidi="ar-LB"/>
        </w:rPr>
        <w:t>ٌ</w:t>
      </w:r>
      <w:r w:rsidRPr="00282AC9">
        <w:rPr>
          <w:rFonts w:hint="cs"/>
          <w:sz w:val="27"/>
          <w:rtl/>
          <w:lang w:bidi="ar-LB"/>
        </w:rPr>
        <w:t xml:space="preserve"> شرعي</w:t>
      </w:r>
      <w:r w:rsidR="00515EE9" w:rsidRPr="00282AC9">
        <w:rPr>
          <w:rFonts w:hint="cs"/>
          <w:sz w:val="27"/>
          <w:rtl/>
          <w:lang w:bidi="ar-LB"/>
        </w:rPr>
        <w:t>.</w:t>
      </w:r>
      <w:r w:rsidRPr="00282AC9">
        <w:rPr>
          <w:rFonts w:hint="cs"/>
          <w:sz w:val="27"/>
          <w:rtl/>
          <w:lang w:bidi="ar-LB"/>
        </w:rPr>
        <w:t xml:space="preserve"> وقد أرسلها بعض</w:t>
      </w:r>
      <w:r w:rsidR="00515EE9" w:rsidRPr="00282AC9">
        <w:rPr>
          <w:rFonts w:hint="cs"/>
          <w:sz w:val="27"/>
          <w:rtl/>
          <w:lang w:bidi="ar-LB"/>
        </w:rPr>
        <w:t>ُ</w:t>
      </w:r>
      <w:r w:rsidRPr="00282AC9">
        <w:rPr>
          <w:rFonts w:hint="cs"/>
          <w:sz w:val="27"/>
          <w:rtl/>
          <w:lang w:bidi="ar-LB"/>
        </w:rPr>
        <w:t>هم إرسال المسل</w:t>
      </w:r>
      <w:r w:rsidR="00515EE9" w:rsidRPr="00282AC9">
        <w:rPr>
          <w:rFonts w:hint="cs"/>
          <w:sz w:val="27"/>
          <w:rtl/>
          <w:lang w:bidi="ar-LB"/>
        </w:rPr>
        <w:t>َّ</w:t>
      </w:r>
      <w:r w:rsidRPr="00282AC9">
        <w:rPr>
          <w:rFonts w:hint="cs"/>
          <w:sz w:val="27"/>
          <w:rtl/>
          <w:lang w:bidi="ar-LB"/>
        </w:rPr>
        <w:t>مات</w:t>
      </w:r>
      <w:r w:rsidR="00515EE9" w:rsidRPr="00282AC9">
        <w:rPr>
          <w:rFonts w:hint="cs"/>
          <w:sz w:val="27"/>
          <w:rtl/>
          <w:lang w:bidi="ar-LB"/>
        </w:rPr>
        <w:t>؛</w:t>
      </w:r>
      <w:r w:rsidRPr="00282AC9">
        <w:rPr>
          <w:rFonts w:hint="cs"/>
          <w:sz w:val="27"/>
          <w:rtl/>
          <w:lang w:bidi="ar-LB"/>
        </w:rPr>
        <w:t xml:space="preserve"> بينما ناقش فيها بعض</w:t>
      </w:r>
      <w:r w:rsidR="00515EE9" w:rsidRPr="00282AC9">
        <w:rPr>
          <w:rFonts w:hint="cs"/>
          <w:sz w:val="27"/>
          <w:rtl/>
          <w:lang w:bidi="ar-LB"/>
        </w:rPr>
        <w:t>ٌ</w:t>
      </w:r>
      <w:r w:rsidRPr="00282AC9">
        <w:rPr>
          <w:rFonts w:hint="cs"/>
          <w:sz w:val="27"/>
          <w:rtl/>
          <w:lang w:bidi="ar-LB"/>
        </w:rPr>
        <w:t xml:space="preserve"> آخر</w:t>
      </w:r>
      <w:r w:rsidR="00515EE9" w:rsidRPr="00282AC9">
        <w:rPr>
          <w:rFonts w:hint="cs"/>
          <w:sz w:val="27"/>
          <w:rtl/>
          <w:lang w:bidi="ar-LB"/>
        </w:rPr>
        <w:t>.</w:t>
      </w:r>
      <w:r w:rsidRPr="00282AC9">
        <w:rPr>
          <w:rFonts w:hint="cs"/>
          <w:sz w:val="27"/>
          <w:rtl/>
          <w:lang w:bidi="ar-LB"/>
        </w:rPr>
        <w:t xml:space="preserve"> ولكنّهم </w:t>
      </w:r>
      <w:r w:rsidRPr="00282AC9">
        <w:rPr>
          <w:sz w:val="27"/>
          <w:rtl/>
          <w:lang w:bidi="ar-LB"/>
        </w:rPr>
        <w:t>ـ</w:t>
      </w:r>
      <w:r w:rsidRPr="00282AC9">
        <w:rPr>
          <w:rFonts w:hint="cs"/>
          <w:sz w:val="27"/>
          <w:rtl/>
          <w:lang w:bidi="ar-LB"/>
        </w:rPr>
        <w:t xml:space="preserve"> مع ذلك </w:t>
      </w:r>
      <w:r w:rsidRPr="00282AC9">
        <w:rPr>
          <w:sz w:val="27"/>
          <w:rtl/>
          <w:lang w:bidi="ar-LB"/>
        </w:rPr>
        <w:t>ـ</w:t>
      </w:r>
      <w:r w:rsidRPr="00282AC9">
        <w:rPr>
          <w:rFonts w:hint="cs"/>
          <w:sz w:val="27"/>
          <w:rtl/>
          <w:lang w:bidi="ar-LB"/>
        </w:rPr>
        <w:t xml:space="preserve"> لم يعقدوا لذلك بحثاً خاص</w:t>
      </w:r>
      <w:r w:rsidR="00515EE9" w:rsidRPr="00282AC9">
        <w:rPr>
          <w:rFonts w:hint="cs"/>
          <w:sz w:val="27"/>
          <w:rtl/>
          <w:lang w:bidi="ar-LB"/>
        </w:rPr>
        <w:t>ّ</w:t>
      </w:r>
      <w:r w:rsidRPr="00282AC9">
        <w:rPr>
          <w:rFonts w:hint="cs"/>
          <w:sz w:val="27"/>
          <w:rtl/>
          <w:lang w:bidi="ar-LB"/>
        </w:rPr>
        <w:t>اً على ح</w:t>
      </w:r>
      <w:r w:rsidR="00515EE9" w:rsidRPr="00282AC9">
        <w:rPr>
          <w:rFonts w:hint="cs"/>
          <w:sz w:val="27"/>
          <w:rtl/>
          <w:lang w:bidi="ar-LB"/>
        </w:rPr>
        <w:t>ِ</w:t>
      </w:r>
      <w:r w:rsidRPr="00282AC9">
        <w:rPr>
          <w:rFonts w:hint="cs"/>
          <w:sz w:val="27"/>
          <w:rtl/>
          <w:lang w:bidi="ar-LB"/>
        </w:rPr>
        <w:t>د</w:t>
      </w:r>
      <w:r w:rsidR="00515EE9" w:rsidRPr="00282AC9">
        <w:rPr>
          <w:rFonts w:hint="cs"/>
          <w:sz w:val="27"/>
          <w:rtl/>
          <w:lang w:bidi="ar-LB"/>
        </w:rPr>
        <w:t>َ</w:t>
      </w:r>
      <w:r w:rsidRPr="00282AC9">
        <w:rPr>
          <w:rFonts w:hint="cs"/>
          <w:sz w:val="27"/>
          <w:rtl/>
          <w:lang w:bidi="ar-LB"/>
        </w:rPr>
        <w:t>ة</w:t>
      </w:r>
      <w:r w:rsidR="00515EE9" w:rsidRPr="00282AC9">
        <w:rPr>
          <w:rFonts w:hint="cs"/>
          <w:sz w:val="27"/>
          <w:rtl/>
          <w:lang w:bidi="ar-LB"/>
        </w:rPr>
        <w:t>ٍ</w:t>
      </w:r>
      <w:r w:rsidRPr="00282AC9">
        <w:rPr>
          <w:rFonts w:hint="cs"/>
          <w:sz w:val="27"/>
          <w:rtl/>
          <w:lang w:bidi="ar-LB"/>
        </w:rPr>
        <w:t>، وإنّما تعرّضوا لها في أثناء البحوث الأصولية على وجه الإشارة والاختصار، عدا م</w:t>
      </w:r>
      <w:r w:rsidR="00515EE9" w:rsidRPr="00282AC9">
        <w:rPr>
          <w:rFonts w:hint="cs"/>
          <w:sz w:val="27"/>
          <w:rtl/>
          <w:lang w:bidi="ar-LB"/>
        </w:rPr>
        <w:t>َ</w:t>
      </w:r>
      <w:r w:rsidRPr="00282AC9">
        <w:rPr>
          <w:rFonts w:hint="cs"/>
          <w:sz w:val="27"/>
          <w:rtl/>
          <w:lang w:bidi="ar-LB"/>
        </w:rPr>
        <w:t>ن</w:t>
      </w:r>
      <w:r w:rsidR="00515EE9" w:rsidRPr="00282AC9">
        <w:rPr>
          <w:rFonts w:hint="cs"/>
          <w:sz w:val="27"/>
          <w:rtl/>
          <w:lang w:bidi="ar-LB"/>
        </w:rPr>
        <w:t>ْ</w:t>
      </w:r>
      <w:r w:rsidRPr="00282AC9">
        <w:rPr>
          <w:rFonts w:hint="cs"/>
          <w:sz w:val="27"/>
          <w:rtl/>
          <w:lang w:bidi="ar-LB"/>
        </w:rPr>
        <w:t xml:space="preserve"> شذّ</w:t>
      </w:r>
      <w:r w:rsidR="00515EE9" w:rsidRPr="00282AC9">
        <w:rPr>
          <w:rFonts w:hint="cs"/>
          <w:sz w:val="27"/>
          <w:rtl/>
          <w:lang w:bidi="ar-LB"/>
        </w:rPr>
        <w:t>َ</w:t>
      </w:r>
      <w:r w:rsidRPr="00282AC9">
        <w:rPr>
          <w:rFonts w:hint="cs"/>
          <w:sz w:val="27"/>
          <w:rtl/>
          <w:lang w:bidi="ar-LB"/>
        </w:rPr>
        <w:t xml:space="preserve"> منهم</w:t>
      </w:r>
      <w:r w:rsidR="00515EE9" w:rsidRPr="00282AC9">
        <w:rPr>
          <w:rFonts w:hint="cs"/>
          <w:sz w:val="27"/>
          <w:rtl/>
          <w:lang w:bidi="ar-LB"/>
        </w:rPr>
        <w:t>،</w:t>
      </w:r>
      <w:r w:rsidRPr="00282AC9">
        <w:rPr>
          <w:rFonts w:hint="cs"/>
          <w:sz w:val="27"/>
          <w:rtl/>
          <w:lang w:bidi="ar-LB"/>
        </w:rPr>
        <w:t xml:space="preserve"> كالمحق</w:t>
      </w:r>
      <w:r w:rsidR="00515EE9" w:rsidRPr="00282AC9">
        <w:rPr>
          <w:rFonts w:hint="cs"/>
          <w:sz w:val="27"/>
          <w:rtl/>
          <w:lang w:bidi="ar-LB"/>
        </w:rPr>
        <w:t>ِّ</w:t>
      </w:r>
      <w:r w:rsidRPr="00282AC9">
        <w:rPr>
          <w:rFonts w:hint="cs"/>
          <w:sz w:val="27"/>
          <w:rtl/>
          <w:lang w:bidi="ar-LB"/>
        </w:rPr>
        <w:t>ق الخراساني</w:t>
      </w:r>
      <w:r w:rsidR="009A2A04" w:rsidRPr="00282AC9">
        <w:rPr>
          <w:rFonts w:cs="Mosawi" w:hint="cs"/>
          <w:sz w:val="22"/>
          <w:szCs w:val="22"/>
          <w:rtl/>
          <w:lang w:bidi="ar-LB"/>
        </w:rPr>
        <w:t>&amp;</w:t>
      </w:r>
      <w:r w:rsidRPr="00282AC9">
        <w:rPr>
          <w:rFonts w:hint="cs"/>
          <w:sz w:val="27"/>
          <w:rtl/>
          <w:lang w:bidi="ar-LB"/>
        </w:rPr>
        <w:t xml:space="preserve"> في فوائده</w:t>
      </w:r>
      <w:r w:rsidR="00515EE9" w:rsidRPr="00282AC9">
        <w:rPr>
          <w:rFonts w:hint="cs"/>
          <w:sz w:val="27"/>
          <w:rtl/>
          <w:lang w:bidi="ar-LB"/>
        </w:rPr>
        <w:t>،</w:t>
      </w:r>
      <w:r w:rsidRPr="00282AC9">
        <w:rPr>
          <w:rFonts w:hint="cs"/>
          <w:sz w:val="27"/>
          <w:rtl/>
          <w:lang w:bidi="ar-LB"/>
        </w:rPr>
        <w:t xml:space="preserve"> على ما يأتي ذكره إن</w:t>
      </w:r>
      <w:r w:rsidR="00515EE9" w:rsidRPr="00282AC9">
        <w:rPr>
          <w:rFonts w:hint="cs"/>
          <w:sz w:val="27"/>
          <w:rtl/>
          <w:lang w:bidi="ar-LB"/>
        </w:rPr>
        <w:t>ْ</w:t>
      </w:r>
      <w:r w:rsidRPr="00282AC9">
        <w:rPr>
          <w:rFonts w:hint="cs"/>
          <w:sz w:val="27"/>
          <w:rtl/>
          <w:lang w:bidi="ar-LB"/>
        </w:rPr>
        <w:t xml:space="preserve"> شاء الله.</w:t>
      </w:r>
    </w:p>
    <w:p w:rsidR="00A9019A" w:rsidRPr="00282AC9" w:rsidRDefault="00A9019A" w:rsidP="005B5255">
      <w:pPr>
        <w:tabs>
          <w:tab w:val="right" w:pos="6930"/>
        </w:tabs>
        <w:suppressAutoHyphens/>
        <w:spacing w:line="380" w:lineRule="exact"/>
        <w:rPr>
          <w:sz w:val="27"/>
          <w:rtl/>
          <w:lang w:bidi="ar-LB"/>
        </w:rPr>
      </w:pPr>
      <w:r w:rsidRPr="00282AC9">
        <w:rPr>
          <w:rFonts w:hint="cs"/>
          <w:sz w:val="27"/>
          <w:rtl/>
          <w:lang w:bidi="ar-LB"/>
        </w:rPr>
        <w:t>ولا يخفى أنّ هذه المسألة من المبادئ التصديقية الأحكامية لعلم الأصول</w:t>
      </w:r>
      <w:r w:rsidR="00515EE9" w:rsidRPr="00282AC9">
        <w:rPr>
          <w:rFonts w:hint="cs"/>
          <w:sz w:val="27"/>
          <w:rtl/>
          <w:lang w:bidi="ar-LB"/>
        </w:rPr>
        <w:t>؛</w:t>
      </w:r>
      <w:r w:rsidRPr="00282AC9">
        <w:rPr>
          <w:rFonts w:hint="cs"/>
          <w:sz w:val="27"/>
          <w:rtl/>
          <w:lang w:bidi="ar-LB"/>
        </w:rPr>
        <w:t xml:space="preserve"> إذ قد ي</w:t>
      </w:r>
      <w:r w:rsidR="00515EE9" w:rsidRPr="00282AC9">
        <w:rPr>
          <w:rFonts w:hint="cs"/>
          <w:sz w:val="27"/>
          <w:rtl/>
          <w:lang w:bidi="ar-LB"/>
        </w:rPr>
        <w:t>ُ</w:t>
      </w:r>
      <w:r w:rsidRPr="00282AC9">
        <w:rPr>
          <w:rFonts w:hint="cs"/>
          <w:sz w:val="27"/>
          <w:rtl/>
          <w:lang w:bidi="ar-LB"/>
        </w:rPr>
        <w:t>ستعان بها في نطاق القياسات الأصولية، ويعتمد عليها في استحصال قواعدها، وهذا ما يفرض</w:t>
      </w:r>
      <w:r w:rsidR="00515EE9" w:rsidRPr="00282AC9">
        <w:rPr>
          <w:rFonts w:hint="cs"/>
          <w:sz w:val="27"/>
          <w:rtl/>
          <w:lang w:bidi="ar-LB"/>
        </w:rPr>
        <w:t xml:space="preserve"> علينا أن نفرد لها بحثاً مستقلاًّ</w:t>
      </w:r>
      <w:r w:rsidRPr="00282AC9">
        <w:rPr>
          <w:rFonts w:hint="cs"/>
          <w:sz w:val="27"/>
          <w:rtl/>
          <w:lang w:bidi="ar-LB"/>
        </w:rPr>
        <w:t>؛ لكي ندرس من خلال ذلك ما يت</w:t>
      </w:r>
      <w:r w:rsidR="005F3D84" w:rsidRPr="00282AC9">
        <w:rPr>
          <w:rFonts w:hint="cs"/>
          <w:sz w:val="27"/>
          <w:rtl/>
          <w:lang w:bidi="ar-LB"/>
        </w:rPr>
        <w:t>ّ</w:t>
      </w:r>
      <w:r w:rsidRPr="00282AC9">
        <w:rPr>
          <w:rFonts w:hint="cs"/>
          <w:sz w:val="27"/>
          <w:rtl/>
          <w:lang w:bidi="ar-LB"/>
        </w:rPr>
        <w:t>صل بهذه القاعدة من بحوث</w:t>
      </w:r>
      <w:r w:rsidR="005F3D84" w:rsidRPr="00282AC9">
        <w:rPr>
          <w:rFonts w:hint="cs"/>
          <w:sz w:val="27"/>
          <w:rtl/>
          <w:lang w:bidi="ar-LB"/>
        </w:rPr>
        <w:t>ٍ،</w:t>
      </w:r>
      <w:r w:rsidRPr="00282AC9">
        <w:rPr>
          <w:rFonts w:hint="cs"/>
          <w:sz w:val="27"/>
          <w:rtl/>
          <w:lang w:bidi="ar-LB"/>
        </w:rPr>
        <w:t xml:space="preserve"> في مختلف الجوانب وشتّى الجهات</w:t>
      </w:r>
      <w:r w:rsidR="005F3D84" w:rsidRPr="00282AC9">
        <w:rPr>
          <w:rFonts w:hint="cs"/>
          <w:sz w:val="27"/>
          <w:rtl/>
          <w:lang w:bidi="ar-LB"/>
        </w:rPr>
        <w:t>،</w:t>
      </w:r>
      <w:r w:rsidRPr="00282AC9">
        <w:rPr>
          <w:rFonts w:hint="cs"/>
          <w:sz w:val="27"/>
          <w:rtl/>
          <w:lang w:bidi="ar-LB"/>
        </w:rPr>
        <w:t xml:space="preserve"> على ما هو حقّ</w:t>
      </w:r>
      <w:r w:rsidR="00515EE9" w:rsidRPr="00282AC9">
        <w:rPr>
          <w:rFonts w:hint="cs"/>
          <w:sz w:val="27"/>
          <w:rtl/>
          <w:lang w:bidi="ar-LB"/>
        </w:rPr>
        <w:t>ُ</w:t>
      </w:r>
      <w:r w:rsidRPr="00282AC9">
        <w:rPr>
          <w:rFonts w:hint="cs"/>
          <w:sz w:val="27"/>
          <w:rtl/>
          <w:lang w:bidi="ar-LB"/>
        </w:rPr>
        <w:t>ها، فنقول</w:t>
      </w:r>
      <w:r w:rsidR="00515EE9" w:rsidRPr="00282AC9">
        <w:rPr>
          <w:rFonts w:hint="cs"/>
          <w:sz w:val="27"/>
          <w:rtl/>
          <w:lang w:bidi="ar-LB"/>
        </w:rPr>
        <w:t>،</w:t>
      </w:r>
      <w:r w:rsidRPr="00282AC9">
        <w:rPr>
          <w:rFonts w:hint="cs"/>
          <w:sz w:val="27"/>
          <w:rtl/>
          <w:lang w:bidi="ar-LB"/>
        </w:rPr>
        <w:t xml:space="preserve"> وبالله الاستعانة:</w:t>
      </w:r>
    </w:p>
    <w:p w:rsidR="00A9019A" w:rsidRPr="00282AC9" w:rsidRDefault="00A9019A" w:rsidP="005B5255">
      <w:pPr>
        <w:tabs>
          <w:tab w:val="right" w:pos="6930"/>
        </w:tabs>
        <w:suppressAutoHyphens/>
        <w:spacing w:line="380" w:lineRule="exact"/>
        <w:rPr>
          <w:sz w:val="27"/>
          <w:rtl/>
          <w:lang w:bidi="ar-LB"/>
        </w:rPr>
      </w:pPr>
      <w:r w:rsidRPr="00282AC9">
        <w:rPr>
          <w:rFonts w:hint="cs"/>
          <w:sz w:val="27"/>
          <w:rtl/>
          <w:lang w:bidi="ar-LB"/>
        </w:rPr>
        <w:t>الكلام على هذه القاعدة يقع في مقامين:</w:t>
      </w:r>
    </w:p>
    <w:p w:rsidR="00A9019A" w:rsidRPr="00282AC9" w:rsidRDefault="005F3D84" w:rsidP="005B5255">
      <w:pPr>
        <w:tabs>
          <w:tab w:val="right" w:pos="6930"/>
        </w:tabs>
        <w:suppressAutoHyphens/>
        <w:spacing w:line="380" w:lineRule="exact"/>
        <w:rPr>
          <w:sz w:val="27"/>
          <w:rtl/>
          <w:lang w:bidi="ar-LB"/>
        </w:rPr>
      </w:pPr>
      <w:r w:rsidRPr="00282AC9">
        <w:rPr>
          <w:rFonts w:hint="cs"/>
          <w:b/>
          <w:bCs/>
          <w:sz w:val="27"/>
          <w:rtl/>
          <w:lang w:bidi="ar-LB"/>
        </w:rPr>
        <w:t xml:space="preserve">المقام </w:t>
      </w:r>
      <w:r w:rsidR="00A9019A" w:rsidRPr="00282AC9">
        <w:rPr>
          <w:rFonts w:hint="cs"/>
          <w:b/>
          <w:bCs/>
          <w:sz w:val="27"/>
          <w:rtl/>
          <w:lang w:bidi="ar-LB"/>
        </w:rPr>
        <w:t>الأو</w:t>
      </w:r>
      <w:r w:rsidRPr="00282AC9">
        <w:rPr>
          <w:rFonts w:hint="cs"/>
          <w:b/>
          <w:bCs/>
          <w:sz w:val="27"/>
          <w:rtl/>
          <w:lang w:bidi="ar-LB"/>
        </w:rPr>
        <w:t>ّ</w:t>
      </w:r>
      <w:r w:rsidR="00A9019A" w:rsidRPr="00282AC9">
        <w:rPr>
          <w:rFonts w:hint="cs"/>
          <w:b/>
          <w:bCs/>
          <w:sz w:val="27"/>
          <w:rtl/>
          <w:lang w:bidi="ar-LB"/>
        </w:rPr>
        <w:t>ل</w:t>
      </w:r>
      <w:r w:rsidRPr="00282AC9">
        <w:rPr>
          <w:rFonts w:hint="cs"/>
          <w:sz w:val="27"/>
          <w:rtl/>
          <w:lang w:bidi="ar-LB"/>
        </w:rPr>
        <w:t>:</w:t>
      </w:r>
      <w:r w:rsidR="00A9019A" w:rsidRPr="00282AC9">
        <w:rPr>
          <w:rFonts w:hint="cs"/>
          <w:sz w:val="27"/>
          <w:rtl/>
          <w:lang w:bidi="ar-LB"/>
        </w:rPr>
        <w:t xml:space="preserve"> في بيان المراد بالقاعدة</w:t>
      </w:r>
      <w:r w:rsidRPr="00282AC9">
        <w:rPr>
          <w:rFonts w:hint="cs"/>
          <w:sz w:val="27"/>
          <w:rtl/>
          <w:lang w:bidi="ar-LB"/>
        </w:rPr>
        <w:t>،</w:t>
      </w:r>
      <w:r w:rsidR="00A9019A" w:rsidRPr="00282AC9">
        <w:rPr>
          <w:rFonts w:hint="cs"/>
          <w:sz w:val="27"/>
          <w:rtl/>
          <w:lang w:bidi="ar-LB"/>
        </w:rPr>
        <w:t xml:space="preserve"> وتحرير موضع النزاع فيها.</w:t>
      </w:r>
    </w:p>
    <w:p w:rsidR="00A9019A" w:rsidRPr="00282AC9" w:rsidRDefault="005F3D84" w:rsidP="005B5255">
      <w:pPr>
        <w:tabs>
          <w:tab w:val="right" w:pos="6930"/>
        </w:tabs>
        <w:suppressAutoHyphens/>
        <w:spacing w:line="380" w:lineRule="exact"/>
        <w:rPr>
          <w:sz w:val="27"/>
          <w:rtl/>
          <w:lang w:bidi="ar-LB"/>
        </w:rPr>
      </w:pPr>
      <w:r w:rsidRPr="00282AC9">
        <w:rPr>
          <w:rFonts w:hint="cs"/>
          <w:b/>
          <w:bCs/>
          <w:sz w:val="27"/>
          <w:rtl/>
          <w:lang w:bidi="ar-LB"/>
        </w:rPr>
        <w:t xml:space="preserve">المقام </w:t>
      </w:r>
      <w:r w:rsidR="00A9019A" w:rsidRPr="00282AC9">
        <w:rPr>
          <w:rFonts w:hint="cs"/>
          <w:b/>
          <w:bCs/>
          <w:sz w:val="27"/>
          <w:rtl/>
          <w:lang w:bidi="ar-LB"/>
        </w:rPr>
        <w:t>الثاني</w:t>
      </w:r>
      <w:r w:rsidRPr="00282AC9">
        <w:rPr>
          <w:rFonts w:hint="cs"/>
          <w:sz w:val="27"/>
          <w:rtl/>
          <w:lang w:bidi="ar-LB"/>
        </w:rPr>
        <w:t>:</w:t>
      </w:r>
      <w:r w:rsidR="00A9019A" w:rsidRPr="00282AC9">
        <w:rPr>
          <w:rFonts w:hint="cs"/>
          <w:sz w:val="27"/>
          <w:rtl/>
          <w:lang w:bidi="ar-LB"/>
        </w:rPr>
        <w:t xml:space="preserve"> في تحقيق المسألة</w:t>
      </w:r>
      <w:r w:rsidRPr="00282AC9">
        <w:rPr>
          <w:rFonts w:hint="cs"/>
          <w:sz w:val="27"/>
          <w:rtl/>
          <w:lang w:bidi="ar-LB"/>
        </w:rPr>
        <w:t>،</w:t>
      </w:r>
      <w:r w:rsidR="00A9019A" w:rsidRPr="00282AC9">
        <w:rPr>
          <w:rFonts w:hint="cs"/>
          <w:sz w:val="27"/>
          <w:rtl/>
          <w:lang w:bidi="ar-LB"/>
        </w:rPr>
        <w:t xml:space="preserve"> وبيان الرأي الصواب فيها</w:t>
      </w:r>
      <w:r w:rsidRPr="00282AC9">
        <w:rPr>
          <w:rFonts w:hint="cs"/>
          <w:sz w:val="27"/>
          <w:rtl/>
          <w:lang w:bidi="ar-LB"/>
        </w:rPr>
        <w:t>.</w:t>
      </w:r>
      <w:r w:rsidR="00A9019A" w:rsidRPr="00282AC9">
        <w:rPr>
          <w:rFonts w:hint="cs"/>
          <w:sz w:val="27"/>
          <w:rtl/>
          <w:lang w:bidi="ar-LB"/>
        </w:rPr>
        <w:t xml:space="preserve"> وتلحقهما:</w:t>
      </w:r>
    </w:p>
    <w:p w:rsidR="00A9019A" w:rsidRPr="00282AC9" w:rsidRDefault="00A9019A" w:rsidP="00B16272">
      <w:pPr>
        <w:tabs>
          <w:tab w:val="right" w:pos="6930"/>
        </w:tabs>
        <w:suppressAutoHyphens/>
        <w:rPr>
          <w:sz w:val="27"/>
          <w:rtl/>
          <w:lang w:bidi="ar-LB"/>
        </w:rPr>
      </w:pPr>
      <w:r w:rsidRPr="00282AC9">
        <w:rPr>
          <w:rFonts w:hint="cs"/>
          <w:b/>
          <w:bCs/>
          <w:sz w:val="27"/>
          <w:rtl/>
          <w:lang w:bidi="ar-LB"/>
        </w:rPr>
        <w:t>خاتمة</w:t>
      </w:r>
      <w:r w:rsidR="005F3D84" w:rsidRPr="00282AC9">
        <w:rPr>
          <w:rFonts w:hint="cs"/>
          <w:b/>
          <w:bCs/>
          <w:sz w:val="27"/>
          <w:rtl/>
          <w:lang w:bidi="ar-LB"/>
        </w:rPr>
        <w:t>ٌ</w:t>
      </w:r>
      <w:r w:rsidRPr="00282AC9">
        <w:rPr>
          <w:rFonts w:hint="cs"/>
          <w:sz w:val="27"/>
          <w:rtl/>
          <w:lang w:bidi="ar-LB"/>
        </w:rPr>
        <w:t>: في استعراض بعض ما يتوقّ</w:t>
      </w:r>
      <w:r w:rsidR="005F3D84" w:rsidRPr="00282AC9">
        <w:rPr>
          <w:rFonts w:hint="cs"/>
          <w:sz w:val="27"/>
          <w:rtl/>
          <w:lang w:bidi="ar-LB"/>
        </w:rPr>
        <w:t>َ</w:t>
      </w:r>
      <w:r w:rsidRPr="00282AC9">
        <w:rPr>
          <w:rFonts w:hint="cs"/>
          <w:sz w:val="27"/>
          <w:rtl/>
          <w:lang w:bidi="ar-LB"/>
        </w:rPr>
        <w:t xml:space="preserve">ف على هذا المبدأ من المباحث الأصولية؛ </w:t>
      </w:r>
      <w:r w:rsidRPr="00282AC9">
        <w:rPr>
          <w:rFonts w:hint="cs"/>
          <w:sz w:val="27"/>
          <w:rtl/>
          <w:lang w:bidi="ar-LB"/>
        </w:rPr>
        <w:lastRenderedPageBreak/>
        <w:t>لكي يتّ</w:t>
      </w:r>
      <w:r w:rsidR="005F3D84" w:rsidRPr="00282AC9">
        <w:rPr>
          <w:rFonts w:hint="cs"/>
          <w:sz w:val="27"/>
          <w:rtl/>
          <w:lang w:bidi="ar-LB"/>
        </w:rPr>
        <w:t>َ</w:t>
      </w:r>
      <w:r w:rsidRPr="00282AC9">
        <w:rPr>
          <w:rFonts w:hint="cs"/>
          <w:sz w:val="27"/>
          <w:rtl/>
          <w:lang w:bidi="ar-LB"/>
        </w:rPr>
        <w:t>ضح بذلك أثره في هذا العلم أكثر فأكثر.</w:t>
      </w:r>
    </w:p>
    <w:p w:rsidR="00A9019A" w:rsidRPr="00282AC9" w:rsidRDefault="00A9019A" w:rsidP="00B16272">
      <w:pPr>
        <w:tabs>
          <w:tab w:val="right" w:pos="6930"/>
        </w:tabs>
        <w:suppressAutoHyphens/>
        <w:spacing w:line="420" w:lineRule="exact"/>
        <w:rPr>
          <w:sz w:val="27"/>
          <w:rtl/>
          <w:lang w:bidi="ar-LB"/>
        </w:rPr>
      </w:pPr>
      <w:r w:rsidRPr="00282AC9">
        <w:rPr>
          <w:rFonts w:hint="cs"/>
          <w:sz w:val="27"/>
          <w:rtl/>
          <w:lang w:bidi="ar-LB"/>
        </w:rPr>
        <w:t>وإليك تفصيل هذا الإجمال:</w:t>
      </w:r>
    </w:p>
    <w:p w:rsidR="00A9019A" w:rsidRPr="00282AC9" w:rsidRDefault="00A9019A" w:rsidP="00B16272">
      <w:pPr>
        <w:tabs>
          <w:tab w:val="right" w:pos="6930"/>
        </w:tabs>
        <w:suppressAutoHyphens/>
        <w:spacing w:line="410" w:lineRule="exact"/>
        <w:rPr>
          <w:sz w:val="27"/>
          <w:rtl/>
          <w:lang w:bidi="ar-LB"/>
        </w:rPr>
      </w:pPr>
    </w:p>
    <w:p w:rsidR="00A9019A" w:rsidRPr="00282AC9" w:rsidRDefault="00A9019A" w:rsidP="00FF7EFE">
      <w:pPr>
        <w:pStyle w:val="31"/>
        <w:rPr>
          <w:color w:val="auto"/>
          <w:rtl/>
        </w:rPr>
      </w:pPr>
      <w:r w:rsidRPr="00282AC9">
        <w:rPr>
          <w:rFonts w:hint="cs"/>
          <w:color w:val="auto"/>
          <w:rtl/>
        </w:rPr>
        <w:t>المقام الأو</w:t>
      </w:r>
      <w:r w:rsidR="005F3D84" w:rsidRPr="00282AC9">
        <w:rPr>
          <w:rFonts w:hint="cs"/>
          <w:color w:val="auto"/>
          <w:rtl/>
        </w:rPr>
        <w:t>ّ</w:t>
      </w:r>
      <w:r w:rsidRPr="00282AC9">
        <w:rPr>
          <w:rFonts w:hint="cs"/>
          <w:color w:val="auto"/>
          <w:rtl/>
        </w:rPr>
        <w:t>ل</w:t>
      </w:r>
      <w:r w:rsidR="005F3D84" w:rsidRPr="00282AC9">
        <w:rPr>
          <w:rFonts w:hint="cs"/>
          <w:color w:val="auto"/>
          <w:rtl/>
        </w:rPr>
        <w:t xml:space="preserve">: </w:t>
      </w:r>
      <w:r w:rsidR="00684A64" w:rsidRPr="00282AC9">
        <w:rPr>
          <w:rFonts w:hint="cs"/>
          <w:color w:val="auto"/>
          <w:rtl/>
        </w:rPr>
        <w:t>بيان</w:t>
      </w:r>
      <w:r w:rsidRPr="00282AC9">
        <w:rPr>
          <w:rFonts w:hint="cs"/>
          <w:color w:val="auto"/>
          <w:rtl/>
        </w:rPr>
        <w:t xml:space="preserve"> المراد بالقاعدة وتحرير موضع النزاع فيها</w:t>
      </w:r>
    </w:p>
    <w:p w:rsidR="00A9019A" w:rsidRPr="00282AC9" w:rsidRDefault="00A9019A" w:rsidP="00B16272">
      <w:pPr>
        <w:tabs>
          <w:tab w:val="right" w:pos="6930"/>
        </w:tabs>
        <w:suppressAutoHyphens/>
        <w:spacing w:line="420" w:lineRule="exact"/>
        <w:rPr>
          <w:sz w:val="27"/>
          <w:rtl/>
          <w:lang w:bidi="ar-LB"/>
        </w:rPr>
      </w:pPr>
      <w:r w:rsidRPr="00282AC9">
        <w:rPr>
          <w:rFonts w:hint="cs"/>
          <w:sz w:val="27"/>
          <w:rtl/>
          <w:lang w:bidi="ar-LB"/>
        </w:rPr>
        <w:t>وينبغي من أجل ذلك استعراض الأمور التالية:</w:t>
      </w:r>
    </w:p>
    <w:p w:rsidR="00A9019A" w:rsidRPr="00282AC9" w:rsidRDefault="00A9019A" w:rsidP="00B16272">
      <w:pPr>
        <w:tabs>
          <w:tab w:val="right" w:pos="6930"/>
        </w:tabs>
        <w:suppressAutoHyphens/>
        <w:spacing w:line="410" w:lineRule="exact"/>
        <w:rPr>
          <w:sz w:val="27"/>
          <w:rtl/>
          <w:lang w:bidi="ar-LB"/>
        </w:rPr>
      </w:pPr>
    </w:p>
    <w:p w:rsidR="00A9019A" w:rsidRPr="00282AC9" w:rsidRDefault="00A9019A" w:rsidP="00FF7EFE">
      <w:pPr>
        <w:pStyle w:val="31"/>
        <w:rPr>
          <w:b/>
          <w:color w:val="auto"/>
          <w:rtl/>
          <w:lang w:bidi="ar-LB"/>
        </w:rPr>
      </w:pPr>
      <w:r w:rsidRPr="00282AC9">
        <w:rPr>
          <w:rFonts w:hint="cs"/>
          <w:b/>
          <w:color w:val="auto"/>
          <w:rtl/>
          <w:lang w:bidi="ar-LB"/>
        </w:rPr>
        <w:t xml:space="preserve">الأمر الأوّل: </w:t>
      </w:r>
      <w:r w:rsidRPr="00282AC9">
        <w:rPr>
          <w:rFonts w:hint="cs"/>
          <w:color w:val="auto"/>
          <w:rtl/>
          <w:lang w:bidi="ar-LB"/>
        </w:rPr>
        <w:t xml:space="preserve">الحكم </w:t>
      </w:r>
      <w:r w:rsidR="00684A64" w:rsidRPr="00282AC9">
        <w:rPr>
          <w:rFonts w:hint="cs"/>
          <w:color w:val="auto"/>
          <w:rtl/>
          <w:lang w:bidi="ar-LB"/>
        </w:rPr>
        <w:t>الشرعي</w:t>
      </w:r>
      <w:r w:rsidR="00200DD0" w:rsidRPr="00282AC9">
        <w:rPr>
          <w:rFonts w:hint="cs"/>
          <w:color w:val="auto"/>
          <w:rtl/>
          <w:lang w:bidi="ar-LB"/>
        </w:rPr>
        <w:t>ّ</w:t>
      </w:r>
      <w:r w:rsidR="00684A64" w:rsidRPr="00282AC9">
        <w:rPr>
          <w:rFonts w:hint="cs"/>
          <w:color w:val="auto"/>
          <w:rtl/>
          <w:lang w:bidi="ar-LB"/>
        </w:rPr>
        <w:t xml:space="preserve"> </w:t>
      </w:r>
      <w:r w:rsidRPr="00282AC9">
        <w:rPr>
          <w:rFonts w:hint="cs"/>
          <w:color w:val="auto"/>
          <w:rtl/>
          <w:lang w:bidi="ar-LB"/>
        </w:rPr>
        <w:t>في القاعدة</w:t>
      </w:r>
    </w:p>
    <w:p w:rsidR="00A9019A" w:rsidRPr="00282AC9" w:rsidRDefault="00A9019A" w:rsidP="00B16272">
      <w:pPr>
        <w:tabs>
          <w:tab w:val="right" w:pos="6930"/>
        </w:tabs>
        <w:suppressAutoHyphens/>
        <w:spacing w:line="420" w:lineRule="exact"/>
        <w:rPr>
          <w:sz w:val="27"/>
          <w:rtl/>
          <w:lang w:bidi="ar-LB"/>
        </w:rPr>
      </w:pPr>
      <w:r w:rsidRPr="00282AC9">
        <w:rPr>
          <w:rFonts w:hint="cs"/>
          <w:sz w:val="27"/>
          <w:rtl/>
          <w:lang w:bidi="ar-LB"/>
        </w:rPr>
        <w:t>والكلام على ذلك في جهتين:</w:t>
      </w:r>
    </w:p>
    <w:p w:rsidR="00DA4EE7" w:rsidRPr="00282AC9" w:rsidRDefault="00DA4EE7" w:rsidP="00B16272">
      <w:pPr>
        <w:tabs>
          <w:tab w:val="right" w:pos="6930"/>
        </w:tabs>
        <w:suppressAutoHyphens/>
        <w:spacing w:line="410" w:lineRule="exact"/>
        <w:rPr>
          <w:sz w:val="27"/>
          <w:rtl/>
          <w:lang w:bidi="ar-LB"/>
        </w:rPr>
      </w:pPr>
    </w:p>
    <w:p w:rsidR="00DA4EE7" w:rsidRPr="00282AC9" w:rsidRDefault="00A9019A" w:rsidP="00BE26DE">
      <w:pPr>
        <w:pStyle w:val="31"/>
        <w:rPr>
          <w:color w:val="auto"/>
          <w:rtl/>
          <w:lang w:bidi="ar-LB"/>
        </w:rPr>
      </w:pPr>
      <w:r w:rsidRPr="00282AC9">
        <w:rPr>
          <w:rFonts w:hint="cs"/>
          <w:b/>
          <w:color w:val="auto"/>
          <w:rtl/>
          <w:lang w:bidi="ar-LB"/>
        </w:rPr>
        <w:t>الجهة الأولى</w:t>
      </w:r>
      <w:r w:rsidRPr="00282AC9">
        <w:rPr>
          <w:rFonts w:hint="cs"/>
          <w:color w:val="auto"/>
          <w:rtl/>
          <w:lang w:bidi="ar-LB"/>
        </w:rPr>
        <w:t>: أقسام</w:t>
      </w:r>
      <w:r w:rsidR="00BE26DE" w:rsidRPr="00282AC9">
        <w:rPr>
          <w:rFonts w:hint="cs"/>
          <w:color w:val="auto"/>
          <w:rtl/>
          <w:lang w:bidi="ar-LB"/>
        </w:rPr>
        <w:t xml:space="preserve"> الحكم</w:t>
      </w:r>
      <w:r w:rsidRPr="00282AC9">
        <w:rPr>
          <w:rFonts w:hint="cs"/>
          <w:color w:val="auto"/>
          <w:rtl/>
          <w:lang w:bidi="ar-LB"/>
        </w:rPr>
        <w:t xml:space="preserve"> وأنواعه</w:t>
      </w:r>
    </w:p>
    <w:p w:rsidR="00A9019A" w:rsidRPr="00282AC9" w:rsidRDefault="00A9019A" w:rsidP="00B16272">
      <w:pPr>
        <w:tabs>
          <w:tab w:val="right" w:pos="6930"/>
        </w:tabs>
        <w:suppressAutoHyphens/>
        <w:rPr>
          <w:sz w:val="27"/>
          <w:rtl/>
          <w:lang w:bidi="ar-LB"/>
        </w:rPr>
      </w:pPr>
      <w:r w:rsidRPr="00282AC9">
        <w:rPr>
          <w:rFonts w:hint="cs"/>
          <w:sz w:val="27"/>
          <w:rtl/>
          <w:lang w:bidi="ar-LB"/>
        </w:rPr>
        <w:t>وبما أنّ للحكم انقسامات</w:t>
      </w:r>
      <w:r w:rsidR="005F3D84" w:rsidRPr="00282AC9">
        <w:rPr>
          <w:rFonts w:hint="cs"/>
          <w:sz w:val="27"/>
          <w:rtl/>
          <w:lang w:bidi="ar-LB"/>
        </w:rPr>
        <w:t>ٌ</w:t>
      </w:r>
      <w:r w:rsidRPr="00282AC9">
        <w:rPr>
          <w:rFonts w:hint="cs"/>
          <w:sz w:val="27"/>
          <w:rtl/>
          <w:lang w:bidi="ar-LB"/>
        </w:rPr>
        <w:t xml:space="preserve"> عديدة، فالكلام يقع ضمن عدّة نقاط:</w:t>
      </w:r>
    </w:p>
    <w:p w:rsidR="00A9019A" w:rsidRPr="00282AC9" w:rsidRDefault="00A9019A" w:rsidP="00CC0484">
      <w:pPr>
        <w:tabs>
          <w:tab w:val="right" w:pos="6930"/>
        </w:tabs>
        <w:suppressAutoHyphens/>
        <w:spacing w:line="410" w:lineRule="exact"/>
        <w:rPr>
          <w:sz w:val="27"/>
          <w:rtl/>
          <w:lang w:bidi="ar-LB"/>
        </w:rPr>
      </w:pPr>
    </w:p>
    <w:p w:rsidR="00A9019A" w:rsidRPr="00282AC9" w:rsidRDefault="00BE26DE" w:rsidP="007D5433">
      <w:pPr>
        <w:pStyle w:val="31"/>
        <w:rPr>
          <w:color w:val="auto"/>
          <w:rtl/>
          <w:lang w:bidi="ar-LB"/>
        </w:rPr>
      </w:pPr>
      <w:r w:rsidRPr="00282AC9">
        <w:rPr>
          <w:rFonts w:hint="cs"/>
          <w:color w:val="auto"/>
          <w:rtl/>
          <w:lang w:bidi="ar-LB"/>
        </w:rPr>
        <w:t>1ـ</w:t>
      </w:r>
      <w:r w:rsidR="00A9019A" w:rsidRPr="00282AC9">
        <w:rPr>
          <w:rFonts w:hint="cs"/>
          <w:color w:val="auto"/>
          <w:rtl/>
          <w:lang w:bidi="ar-LB"/>
        </w:rPr>
        <w:t xml:space="preserve"> الحكم التكليفي</w:t>
      </w:r>
      <w:r w:rsidR="007D5433" w:rsidRPr="00282AC9">
        <w:rPr>
          <w:rFonts w:hint="cs"/>
          <w:color w:val="auto"/>
          <w:rtl/>
          <w:lang w:bidi="ar-LB"/>
        </w:rPr>
        <w:t>ّ</w:t>
      </w:r>
      <w:r w:rsidR="00A9019A" w:rsidRPr="00282AC9">
        <w:rPr>
          <w:rFonts w:hint="cs"/>
          <w:color w:val="auto"/>
          <w:rtl/>
          <w:lang w:bidi="ar-LB"/>
        </w:rPr>
        <w:t xml:space="preserve"> والوضعي</w:t>
      </w:r>
      <w:r w:rsidR="007D5433" w:rsidRPr="00282AC9">
        <w:rPr>
          <w:rFonts w:hint="cs"/>
          <w:color w:val="auto"/>
          <w:rtl/>
          <w:lang w:bidi="ar-LB"/>
        </w:rPr>
        <w:t>ّ</w:t>
      </w:r>
    </w:p>
    <w:p w:rsidR="00A9019A" w:rsidRPr="00282AC9" w:rsidRDefault="00A9019A" w:rsidP="00B16272">
      <w:pPr>
        <w:tabs>
          <w:tab w:val="right" w:pos="6930"/>
        </w:tabs>
        <w:suppressAutoHyphens/>
        <w:rPr>
          <w:sz w:val="27"/>
          <w:rtl/>
          <w:lang w:bidi="ar-LB"/>
        </w:rPr>
      </w:pPr>
      <w:r w:rsidRPr="00282AC9">
        <w:rPr>
          <w:rFonts w:hint="cs"/>
          <w:sz w:val="27"/>
          <w:rtl/>
          <w:lang w:bidi="ar-LB"/>
        </w:rPr>
        <w:t>أمّا الأحكام التكليفية فالظاهر أنّ المراد بالحكم في موضوع القاعدة مطلق أقسامها الخمسة</w:t>
      </w:r>
      <w:r w:rsidR="00DA4EE7" w:rsidRPr="00282AC9">
        <w:rPr>
          <w:rFonts w:hint="cs"/>
          <w:sz w:val="27"/>
          <w:rtl/>
          <w:lang w:bidi="ar-LB"/>
        </w:rPr>
        <w:t>،</w:t>
      </w:r>
      <w:r w:rsidRPr="00282AC9">
        <w:rPr>
          <w:rFonts w:hint="cs"/>
          <w:sz w:val="27"/>
          <w:rtl/>
          <w:lang w:bidi="ar-LB"/>
        </w:rPr>
        <w:t xml:space="preserve"> حت</w:t>
      </w:r>
      <w:r w:rsidR="00DA4EE7" w:rsidRPr="00282AC9">
        <w:rPr>
          <w:rFonts w:hint="cs"/>
          <w:sz w:val="27"/>
          <w:rtl/>
          <w:lang w:bidi="ar-LB"/>
        </w:rPr>
        <w:t>ّ</w:t>
      </w:r>
      <w:r w:rsidRPr="00282AC9">
        <w:rPr>
          <w:rFonts w:hint="cs"/>
          <w:sz w:val="27"/>
          <w:rtl/>
          <w:lang w:bidi="ar-LB"/>
        </w:rPr>
        <w:t xml:space="preserve">ى الإباحة، فيكون المعنى: </w:t>
      </w:r>
      <w:r w:rsidR="00DA4EE7" w:rsidRPr="00282AC9">
        <w:rPr>
          <w:rFonts w:hint="cs"/>
          <w:sz w:val="27"/>
          <w:rtl/>
          <w:lang w:bidi="ar-LB"/>
        </w:rPr>
        <w:t>إ</w:t>
      </w:r>
      <w:r w:rsidRPr="00282AC9">
        <w:rPr>
          <w:rFonts w:hint="cs"/>
          <w:sz w:val="27"/>
          <w:rtl/>
          <w:lang w:bidi="ar-LB"/>
        </w:rPr>
        <w:t>نّ الواقعة لا تخلو عن حكم</w:t>
      </w:r>
      <w:r w:rsidR="00DA4EE7" w:rsidRPr="00282AC9">
        <w:rPr>
          <w:rFonts w:hint="cs"/>
          <w:sz w:val="27"/>
          <w:rtl/>
          <w:lang w:bidi="ar-LB"/>
        </w:rPr>
        <w:t>ٍ</w:t>
      </w:r>
      <w:r w:rsidRPr="00282AC9">
        <w:rPr>
          <w:rFonts w:hint="cs"/>
          <w:sz w:val="27"/>
          <w:rtl/>
          <w:lang w:bidi="ar-LB"/>
        </w:rPr>
        <w:t xml:space="preserve"> شرعيّ</w:t>
      </w:r>
      <w:r w:rsidR="00DA4EE7" w:rsidRPr="00282AC9">
        <w:rPr>
          <w:rFonts w:hint="cs"/>
          <w:sz w:val="27"/>
          <w:rtl/>
          <w:lang w:bidi="ar-LB"/>
        </w:rPr>
        <w:t>،</w:t>
      </w:r>
      <w:r w:rsidRPr="00282AC9">
        <w:rPr>
          <w:rFonts w:hint="cs"/>
          <w:sz w:val="27"/>
          <w:rtl/>
          <w:lang w:bidi="ar-LB"/>
        </w:rPr>
        <w:t xml:space="preserve"> حت</w:t>
      </w:r>
      <w:r w:rsidR="00DA4EE7" w:rsidRPr="00282AC9">
        <w:rPr>
          <w:rFonts w:hint="cs"/>
          <w:sz w:val="27"/>
          <w:rtl/>
          <w:lang w:bidi="ar-LB"/>
        </w:rPr>
        <w:t>ّ</w:t>
      </w:r>
      <w:r w:rsidRPr="00282AC9">
        <w:rPr>
          <w:rFonts w:hint="cs"/>
          <w:sz w:val="27"/>
          <w:rtl/>
          <w:lang w:bidi="ar-LB"/>
        </w:rPr>
        <w:t>ى لو كان ذلك الحكم الشرعيّ ه</w:t>
      </w:r>
      <w:r w:rsidR="00DA4EE7" w:rsidRPr="00282AC9">
        <w:rPr>
          <w:rFonts w:hint="cs"/>
          <w:sz w:val="27"/>
          <w:rtl/>
          <w:lang w:bidi="ar-LB"/>
        </w:rPr>
        <w:t>و</w:t>
      </w:r>
      <w:r w:rsidRPr="00282AC9">
        <w:rPr>
          <w:rFonts w:hint="cs"/>
          <w:sz w:val="27"/>
          <w:rtl/>
          <w:lang w:bidi="ar-LB"/>
        </w:rPr>
        <w:t xml:space="preserve"> الإباحة.</w:t>
      </w:r>
    </w:p>
    <w:p w:rsidR="00A9019A" w:rsidRPr="00282AC9" w:rsidRDefault="00A9019A" w:rsidP="00B16272">
      <w:pPr>
        <w:tabs>
          <w:tab w:val="right" w:pos="6930"/>
        </w:tabs>
        <w:suppressAutoHyphens/>
        <w:rPr>
          <w:sz w:val="27"/>
          <w:rtl/>
          <w:lang w:bidi="ar-LB"/>
        </w:rPr>
      </w:pPr>
      <w:r w:rsidRPr="00282AC9">
        <w:rPr>
          <w:rFonts w:hint="cs"/>
          <w:sz w:val="27"/>
          <w:rtl/>
          <w:lang w:bidi="ar-LB"/>
        </w:rPr>
        <w:t>والغرض</w:t>
      </w:r>
      <w:r w:rsidR="00DA4EE7" w:rsidRPr="00282AC9">
        <w:rPr>
          <w:rFonts w:hint="cs"/>
          <w:sz w:val="27"/>
          <w:rtl/>
          <w:lang w:bidi="ar-LB"/>
        </w:rPr>
        <w:t>ُ</w:t>
      </w:r>
      <w:r w:rsidRPr="00282AC9">
        <w:rPr>
          <w:rFonts w:hint="cs"/>
          <w:sz w:val="27"/>
          <w:rtl/>
          <w:lang w:bidi="ar-LB"/>
        </w:rPr>
        <w:t xml:space="preserve"> أنّ النزاع في هذه القاعدة إنّما هو بعد الفراغ عن كون الإباحة حكماً مجعولاً؛ إذ لو قيل: إنّ الإباحة بقسم</w:t>
      </w:r>
      <w:r w:rsidR="00DA4EE7" w:rsidRPr="00282AC9">
        <w:rPr>
          <w:rFonts w:hint="cs"/>
          <w:sz w:val="27"/>
          <w:rtl/>
          <w:lang w:bidi="ar-LB"/>
        </w:rPr>
        <w:t>َ</w:t>
      </w:r>
      <w:r w:rsidRPr="00282AC9">
        <w:rPr>
          <w:rFonts w:hint="cs"/>
          <w:sz w:val="27"/>
          <w:rtl/>
          <w:lang w:bidi="ar-LB"/>
        </w:rPr>
        <w:t>ي</w:t>
      </w:r>
      <w:r w:rsidR="00DA4EE7" w:rsidRPr="00282AC9">
        <w:rPr>
          <w:rFonts w:hint="cs"/>
          <w:sz w:val="27"/>
          <w:rtl/>
          <w:lang w:bidi="ar-LB"/>
        </w:rPr>
        <w:t>ْ</w:t>
      </w:r>
      <w:r w:rsidRPr="00282AC9">
        <w:rPr>
          <w:rFonts w:hint="cs"/>
          <w:sz w:val="27"/>
          <w:rtl/>
          <w:lang w:bidi="ar-LB"/>
        </w:rPr>
        <w:t>ها</w:t>
      </w:r>
      <w:r w:rsidR="00DA4EE7" w:rsidRPr="00282AC9">
        <w:rPr>
          <w:rFonts w:hint="cs"/>
          <w:sz w:val="27"/>
          <w:rtl/>
          <w:lang w:bidi="ar-LB"/>
        </w:rPr>
        <w:t>:</w:t>
      </w:r>
      <w:r w:rsidRPr="00282AC9">
        <w:rPr>
          <w:rFonts w:hint="cs"/>
          <w:sz w:val="27"/>
          <w:rtl/>
          <w:lang w:bidi="ar-LB"/>
        </w:rPr>
        <w:t xml:space="preserve"> ال</w:t>
      </w:r>
      <w:r w:rsidR="0021566B" w:rsidRPr="00282AC9">
        <w:rPr>
          <w:rFonts w:hint="cs"/>
          <w:sz w:val="27"/>
          <w:rtl/>
          <w:lang w:bidi="ar-LB"/>
        </w:rPr>
        <w:t>ا</w:t>
      </w:r>
      <w:r w:rsidRPr="00282AC9">
        <w:rPr>
          <w:rFonts w:hint="cs"/>
          <w:sz w:val="27"/>
          <w:rtl/>
          <w:lang w:bidi="ar-LB"/>
        </w:rPr>
        <w:t>قتضائية</w:t>
      </w:r>
      <w:r w:rsidR="00DA4EE7" w:rsidRPr="00282AC9">
        <w:rPr>
          <w:rFonts w:hint="cs"/>
          <w:sz w:val="27"/>
          <w:rtl/>
          <w:lang w:bidi="ar-LB"/>
        </w:rPr>
        <w:t>؛</w:t>
      </w:r>
      <w:r w:rsidRPr="00282AC9">
        <w:rPr>
          <w:rFonts w:hint="cs"/>
          <w:sz w:val="27"/>
          <w:rtl/>
          <w:lang w:bidi="ar-LB"/>
        </w:rPr>
        <w:t xml:space="preserve"> واللا</w:t>
      </w:r>
      <w:r w:rsidR="0021566B" w:rsidRPr="00282AC9">
        <w:rPr>
          <w:rFonts w:hint="cs"/>
          <w:sz w:val="27"/>
          <w:rtl/>
          <w:lang w:bidi="ar-LB"/>
        </w:rPr>
        <w:t>ا</w:t>
      </w:r>
      <w:r w:rsidRPr="00282AC9">
        <w:rPr>
          <w:rFonts w:hint="cs"/>
          <w:sz w:val="27"/>
          <w:rtl/>
          <w:lang w:bidi="ar-LB"/>
        </w:rPr>
        <w:t>قتضائية</w:t>
      </w:r>
      <w:r w:rsidR="00DA4EE7" w:rsidRPr="00282AC9">
        <w:rPr>
          <w:rFonts w:hint="cs"/>
          <w:sz w:val="27"/>
          <w:rtl/>
          <w:lang w:bidi="ar-LB"/>
        </w:rPr>
        <w:t>،</w:t>
      </w:r>
      <w:r w:rsidRPr="00282AC9">
        <w:rPr>
          <w:rFonts w:hint="cs"/>
          <w:sz w:val="27"/>
          <w:rtl/>
          <w:lang w:bidi="ar-LB"/>
        </w:rPr>
        <w:t xml:space="preserve"> ليست إلاّ عدم جعل الأحكام الأربعة لم يب</w:t>
      </w:r>
      <w:r w:rsidR="00DA4EE7" w:rsidRPr="00282AC9">
        <w:rPr>
          <w:rFonts w:hint="cs"/>
          <w:sz w:val="27"/>
          <w:rtl/>
          <w:lang w:bidi="ar-LB"/>
        </w:rPr>
        <w:t>ْ</w:t>
      </w:r>
      <w:r w:rsidRPr="00282AC9">
        <w:rPr>
          <w:rFonts w:hint="cs"/>
          <w:sz w:val="27"/>
          <w:rtl/>
          <w:lang w:bidi="ar-LB"/>
        </w:rPr>
        <w:t>ق</w:t>
      </w:r>
      <w:r w:rsidR="00DA4EE7" w:rsidRPr="00282AC9">
        <w:rPr>
          <w:rFonts w:hint="cs"/>
          <w:sz w:val="27"/>
          <w:rtl/>
          <w:lang w:bidi="ar-LB"/>
        </w:rPr>
        <w:t>َ</w:t>
      </w:r>
      <w:r w:rsidRPr="00282AC9">
        <w:rPr>
          <w:rFonts w:hint="cs"/>
          <w:sz w:val="27"/>
          <w:rtl/>
          <w:lang w:bidi="ar-LB"/>
        </w:rPr>
        <w:t xml:space="preserve"> لهذا النزاع معنىً محصّ</w:t>
      </w:r>
      <w:r w:rsidR="00DA4EE7" w:rsidRPr="00282AC9">
        <w:rPr>
          <w:rFonts w:hint="cs"/>
          <w:sz w:val="27"/>
          <w:rtl/>
          <w:lang w:bidi="ar-LB"/>
        </w:rPr>
        <w:t>َ</w:t>
      </w:r>
      <w:r w:rsidRPr="00282AC9">
        <w:rPr>
          <w:rFonts w:hint="cs"/>
          <w:sz w:val="27"/>
          <w:rtl/>
          <w:lang w:bidi="ar-LB"/>
        </w:rPr>
        <w:t>ل</w:t>
      </w:r>
      <w:r w:rsidR="00DA4EE7" w:rsidRPr="00282AC9">
        <w:rPr>
          <w:rFonts w:hint="cs"/>
          <w:sz w:val="27"/>
          <w:rtl/>
          <w:lang w:bidi="ar-LB"/>
        </w:rPr>
        <w:t>ٌ</w:t>
      </w:r>
      <w:r w:rsidR="0021566B" w:rsidRPr="00282AC9">
        <w:rPr>
          <w:rFonts w:hint="cs"/>
          <w:sz w:val="27"/>
          <w:rtl/>
          <w:lang w:bidi="ar-LB"/>
        </w:rPr>
        <w:t>؛ لوضوح إ</w:t>
      </w:r>
      <w:r w:rsidRPr="00282AC9">
        <w:rPr>
          <w:rFonts w:hint="cs"/>
          <w:sz w:val="27"/>
          <w:rtl/>
          <w:lang w:bidi="ar-LB"/>
        </w:rPr>
        <w:t>مكان خلوّ الواقعة حينئذٍ من الحكم، بل وقوعه؛ وذلك فيما إذا لم يكن هناك أيّ مصلحة</w:t>
      </w:r>
      <w:r w:rsidR="00DA4EE7" w:rsidRPr="00282AC9">
        <w:rPr>
          <w:rFonts w:hint="cs"/>
          <w:sz w:val="27"/>
          <w:rtl/>
          <w:lang w:bidi="ar-LB"/>
        </w:rPr>
        <w:t xml:space="preserve">ٍ أو مفسدة تدعو </w:t>
      </w:r>
      <w:r w:rsidR="0021566B" w:rsidRPr="00282AC9">
        <w:rPr>
          <w:rFonts w:hint="cs"/>
          <w:sz w:val="27"/>
          <w:rtl/>
          <w:lang w:bidi="ar-LB"/>
        </w:rPr>
        <w:t>إ</w:t>
      </w:r>
      <w:r w:rsidR="00DA4EE7" w:rsidRPr="00282AC9">
        <w:rPr>
          <w:rFonts w:hint="cs"/>
          <w:sz w:val="27"/>
          <w:rtl/>
          <w:lang w:bidi="ar-LB"/>
        </w:rPr>
        <w:t>لى البعث أو الز</w:t>
      </w:r>
      <w:r w:rsidRPr="00282AC9">
        <w:rPr>
          <w:rFonts w:hint="cs"/>
          <w:sz w:val="27"/>
          <w:rtl/>
          <w:lang w:bidi="ar-LB"/>
        </w:rPr>
        <w:t>جر</w:t>
      </w:r>
      <w:r w:rsidR="00DA4EE7" w:rsidRPr="00282AC9">
        <w:rPr>
          <w:rFonts w:hint="cs"/>
          <w:sz w:val="27"/>
          <w:rtl/>
          <w:lang w:bidi="ar-LB"/>
        </w:rPr>
        <w:t>،</w:t>
      </w:r>
      <w:r w:rsidRPr="00282AC9">
        <w:rPr>
          <w:rFonts w:hint="cs"/>
          <w:sz w:val="27"/>
          <w:rtl/>
          <w:lang w:bidi="ar-LB"/>
        </w:rPr>
        <w:t xml:space="preserve"> كما في الإباحة اللا</w:t>
      </w:r>
      <w:r w:rsidR="0021566B" w:rsidRPr="00282AC9">
        <w:rPr>
          <w:rFonts w:hint="cs"/>
          <w:sz w:val="27"/>
          <w:rtl/>
          <w:lang w:bidi="ar-LB"/>
        </w:rPr>
        <w:t>ا</w:t>
      </w:r>
      <w:r w:rsidRPr="00282AC9">
        <w:rPr>
          <w:rFonts w:hint="cs"/>
          <w:sz w:val="27"/>
          <w:rtl/>
          <w:lang w:bidi="ar-LB"/>
        </w:rPr>
        <w:t>قتضائية</w:t>
      </w:r>
      <w:r w:rsidR="00DA4EE7" w:rsidRPr="00282AC9">
        <w:rPr>
          <w:rFonts w:hint="cs"/>
          <w:sz w:val="27"/>
          <w:rtl/>
          <w:lang w:bidi="ar-LB"/>
        </w:rPr>
        <w:t>؛</w:t>
      </w:r>
      <w:r w:rsidR="0021566B" w:rsidRPr="00282AC9">
        <w:rPr>
          <w:rFonts w:hint="cs"/>
          <w:sz w:val="27"/>
          <w:rtl/>
          <w:lang w:bidi="ar-LB"/>
        </w:rPr>
        <w:t xml:space="preserve"> أو كانت المصلحة في إ</w:t>
      </w:r>
      <w:r w:rsidRPr="00282AC9">
        <w:rPr>
          <w:rFonts w:hint="cs"/>
          <w:sz w:val="27"/>
          <w:rtl/>
          <w:lang w:bidi="ar-LB"/>
        </w:rPr>
        <w:t>طلاق العنان والترخيص، كما في الإباحة الاقتضائية.</w:t>
      </w:r>
    </w:p>
    <w:p w:rsidR="00A9019A" w:rsidRPr="00282AC9" w:rsidRDefault="00DA4EE7" w:rsidP="00B16272">
      <w:pPr>
        <w:tabs>
          <w:tab w:val="right" w:pos="6930"/>
        </w:tabs>
        <w:suppressAutoHyphens/>
        <w:rPr>
          <w:sz w:val="27"/>
          <w:rtl/>
          <w:lang w:bidi="ar-LB"/>
        </w:rPr>
      </w:pPr>
      <w:r w:rsidRPr="00282AC9">
        <w:rPr>
          <w:rFonts w:hint="cs"/>
          <w:sz w:val="27"/>
          <w:rtl/>
          <w:lang w:bidi="ar-LB"/>
        </w:rPr>
        <w:t>وكذلك الأمر لو قيل: إن</w:t>
      </w:r>
      <w:r w:rsidR="00A9019A" w:rsidRPr="00282AC9">
        <w:rPr>
          <w:rFonts w:hint="cs"/>
          <w:sz w:val="27"/>
          <w:rtl/>
          <w:lang w:bidi="ar-LB"/>
        </w:rPr>
        <w:t xml:space="preserve"> خصوص الإباحة اللااقتضائية أمر</w:t>
      </w:r>
      <w:r w:rsidRPr="00282AC9">
        <w:rPr>
          <w:rFonts w:hint="cs"/>
          <w:sz w:val="27"/>
          <w:rtl/>
          <w:lang w:bidi="ar-LB"/>
        </w:rPr>
        <w:t>ٌ</w:t>
      </w:r>
      <w:r w:rsidR="00A9019A" w:rsidRPr="00282AC9">
        <w:rPr>
          <w:rFonts w:hint="cs"/>
          <w:sz w:val="27"/>
          <w:rtl/>
          <w:lang w:bidi="ar-LB"/>
        </w:rPr>
        <w:t xml:space="preserve"> عدميّ</w:t>
      </w:r>
      <w:r w:rsidRPr="00282AC9">
        <w:rPr>
          <w:rFonts w:hint="cs"/>
          <w:sz w:val="27"/>
          <w:rtl/>
          <w:lang w:bidi="ar-LB"/>
        </w:rPr>
        <w:t>،</w:t>
      </w:r>
      <w:r w:rsidR="00A9019A" w:rsidRPr="00282AC9">
        <w:rPr>
          <w:rFonts w:hint="cs"/>
          <w:sz w:val="27"/>
          <w:rtl/>
          <w:lang w:bidi="ar-LB"/>
        </w:rPr>
        <w:t xml:space="preserve"> دون الاقتضائيّة</w:t>
      </w:r>
      <w:r w:rsidRPr="00282AC9">
        <w:rPr>
          <w:rFonts w:hint="cs"/>
          <w:sz w:val="27"/>
          <w:rtl/>
          <w:lang w:bidi="ar-LB"/>
        </w:rPr>
        <w:t>.</w:t>
      </w:r>
      <w:r w:rsidR="00A9019A" w:rsidRPr="00282AC9">
        <w:rPr>
          <w:rFonts w:hint="cs"/>
          <w:sz w:val="27"/>
          <w:rtl/>
          <w:lang w:bidi="ar-LB"/>
        </w:rPr>
        <w:t xml:space="preserve"> اللهم</w:t>
      </w:r>
      <w:r w:rsidRPr="00282AC9">
        <w:rPr>
          <w:rFonts w:hint="cs"/>
          <w:sz w:val="27"/>
          <w:rtl/>
          <w:lang w:bidi="ar-LB"/>
        </w:rPr>
        <w:t>ّ</w:t>
      </w:r>
      <w:r w:rsidR="00A9019A" w:rsidRPr="00282AC9">
        <w:rPr>
          <w:rFonts w:hint="cs"/>
          <w:sz w:val="27"/>
          <w:rtl/>
          <w:lang w:bidi="ar-LB"/>
        </w:rPr>
        <w:t xml:space="preserve"> إلاّ أن يُبنى على ما بن</w:t>
      </w:r>
      <w:r w:rsidRPr="00282AC9">
        <w:rPr>
          <w:rFonts w:hint="cs"/>
          <w:sz w:val="27"/>
          <w:rtl/>
          <w:lang w:bidi="ar-LB"/>
        </w:rPr>
        <w:t>َ</w:t>
      </w:r>
      <w:r w:rsidR="00A9019A" w:rsidRPr="00282AC9">
        <w:rPr>
          <w:rFonts w:hint="cs"/>
          <w:sz w:val="27"/>
          <w:rtl/>
          <w:lang w:bidi="ar-LB"/>
        </w:rPr>
        <w:t>ي</w:t>
      </w:r>
      <w:r w:rsidRPr="00282AC9">
        <w:rPr>
          <w:rFonts w:hint="cs"/>
          <w:sz w:val="27"/>
          <w:rtl/>
          <w:lang w:bidi="ar-LB"/>
        </w:rPr>
        <w:t>ْ</w:t>
      </w:r>
      <w:r w:rsidR="00A9019A" w:rsidRPr="00282AC9">
        <w:rPr>
          <w:rFonts w:hint="cs"/>
          <w:sz w:val="27"/>
          <w:rtl/>
          <w:lang w:bidi="ar-LB"/>
        </w:rPr>
        <w:t xml:space="preserve">نا عليه من انحصار الإباحة في </w:t>
      </w:r>
      <w:r w:rsidRPr="00282AC9">
        <w:rPr>
          <w:rFonts w:hint="cs"/>
          <w:sz w:val="27"/>
          <w:rtl/>
          <w:lang w:bidi="ar-LB"/>
        </w:rPr>
        <w:t>الاقتضائية، كما سيأتي قريباً؛ إ</w:t>
      </w:r>
      <w:r w:rsidR="00A9019A" w:rsidRPr="00282AC9">
        <w:rPr>
          <w:rFonts w:hint="cs"/>
          <w:sz w:val="27"/>
          <w:rtl/>
          <w:lang w:bidi="ar-LB"/>
        </w:rPr>
        <w:t>ذ لا مجال بناءً عليه لدعو</w:t>
      </w:r>
      <w:r w:rsidRPr="00282AC9">
        <w:rPr>
          <w:rFonts w:hint="cs"/>
          <w:sz w:val="27"/>
          <w:rtl/>
          <w:lang w:bidi="ar-LB"/>
        </w:rPr>
        <w:t>ى خلوّ الواقعة عن الحكم، فيما إ</w:t>
      </w:r>
      <w:r w:rsidR="00A9019A" w:rsidRPr="00282AC9">
        <w:rPr>
          <w:rFonts w:hint="cs"/>
          <w:sz w:val="27"/>
          <w:rtl/>
          <w:lang w:bidi="ar-LB"/>
        </w:rPr>
        <w:t>ذا لم يكن فيها أيّ اقتضاء</w:t>
      </w:r>
      <w:r w:rsidRPr="00282AC9">
        <w:rPr>
          <w:rFonts w:hint="cs"/>
          <w:sz w:val="27"/>
          <w:rtl/>
          <w:lang w:bidi="ar-LB"/>
        </w:rPr>
        <w:t>ٍ</w:t>
      </w:r>
      <w:r w:rsidR="00A9019A" w:rsidRPr="00282AC9">
        <w:rPr>
          <w:rFonts w:hint="cs"/>
          <w:sz w:val="27"/>
          <w:rtl/>
          <w:lang w:bidi="ar-LB"/>
        </w:rPr>
        <w:t xml:space="preserve"> للترك أو الفعل</w:t>
      </w:r>
      <w:r w:rsidRPr="00282AC9">
        <w:rPr>
          <w:rFonts w:hint="cs"/>
          <w:sz w:val="27"/>
          <w:rtl/>
          <w:lang w:bidi="ar-LB"/>
        </w:rPr>
        <w:t>؛</w:t>
      </w:r>
      <w:r w:rsidR="00A9019A" w:rsidRPr="00282AC9">
        <w:rPr>
          <w:rFonts w:hint="cs"/>
          <w:sz w:val="27"/>
          <w:rtl/>
          <w:lang w:bidi="ar-LB"/>
        </w:rPr>
        <w:t xml:space="preserve"> إذ لا يوجد هناك واقعة</w:t>
      </w:r>
      <w:r w:rsidR="00751696" w:rsidRPr="00282AC9">
        <w:rPr>
          <w:rFonts w:hint="cs"/>
          <w:sz w:val="27"/>
          <w:rtl/>
          <w:lang w:bidi="ar-LB"/>
        </w:rPr>
        <w:t xml:space="preserve">ٌ كهذه، وسيأتي </w:t>
      </w:r>
      <w:r w:rsidR="00751696" w:rsidRPr="00282AC9">
        <w:rPr>
          <w:rFonts w:hint="cs"/>
          <w:sz w:val="27"/>
          <w:rtl/>
          <w:lang w:bidi="ar-LB"/>
        </w:rPr>
        <w:lastRenderedPageBreak/>
        <w:t>الكلام عن هذه إ</w:t>
      </w:r>
      <w:r w:rsidR="00A9019A" w:rsidRPr="00282AC9">
        <w:rPr>
          <w:rFonts w:hint="cs"/>
          <w:sz w:val="27"/>
          <w:rtl/>
          <w:lang w:bidi="ar-LB"/>
        </w:rPr>
        <w:t>ن</w:t>
      </w:r>
      <w:r w:rsidR="00751696" w:rsidRPr="00282AC9">
        <w:rPr>
          <w:rFonts w:hint="cs"/>
          <w:sz w:val="27"/>
          <w:rtl/>
          <w:lang w:bidi="ar-LB"/>
        </w:rPr>
        <w:t>ْ</w:t>
      </w:r>
      <w:r w:rsidR="00A9019A" w:rsidRPr="00282AC9">
        <w:rPr>
          <w:rFonts w:hint="cs"/>
          <w:sz w:val="27"/>
          <w:rtl/>
          <w:lang w:bidi="ar-LB"/>
        </w:rPr>
        <w:t xml:space="preserve"> شاء الله تعالى.</w:t>
      </w:r>
    </w:p>
    <w:p w:rsidR="00A9019A" w:rsidRPr="00282AC9" w:rsidRDefault="00A9019A" w:rsidP="00B16272">
      <w:pPr>
        <w:tabs>
          <w:tab w:val="right" w:pos="6930"/>
        </w:tabs>
        <w:suppressAutoHyphens/>
        <w:rPr>
          <w:sz w:val="27"/>
          <w:rtl/>
          <w:lang w:bidi="ar-LB"/>
        </w:rPr>
      </w:pPr>
      <w:r w:rsidRPr="00282AC9">
        <w:rPr>
          <w:rFonts w:hint="cs"/>
          <w:sz w:val="27"/>
          <w:rtl/>
          <w:lang w:bidi="ar-LB"/>
        </w:rPr>
        <w:t>وأمّا الأحكام الوضعية فالذي يقتضيه التتب</w:t>
      </w:r>
      <w:r w:rsidR="00751696" w:rsidRPr="00282AC9">
        <w:rPr>
          <w:rFonts w:hint="cs"/>
          <w:sz w:val="27"/>
          <w:rtl/>
          <w:lang w:bidi="ar-LB"/>
        </w:rPr>
        <w:t>ُّ</w:t>
      </w:r>
      <w:r w:rsidRPr="00282AC9">
        <w:rPr>
          <w:rFonts w:hint="cs"/>
          <w:sz w:val="27"/>
          <w:rtl/>
          <w:lang w:bidi="ar-LB"/>
        </w:rPr>
        <w:t>ع في كلماتهم، بل الرؤية العابرة لعباراتهم</w:t>
      </w:r>
      <w:r w:rsidR="00751696" w:rsidRPr="00282AC9">
        <w:rPr>
          <w:rFonts w:hint="cs"/>
          <w:sz w:val="27"/>
          <w:rtl/>
          <w:lang w:bidi="ar-LB"/>
        </w:rPr>
        <w:t>،</w:t>
      </w:r>
      <w:r w:rsidRPr="00282AC9">
        <w:rPr>
          <w:rFonts w:hint="cs"/>
          <w:sz w:val="27"/>
          <w:rtl/>
          <w:lang w:bidi="ar-LB"/>
        </w:rPr>
        <w:t xml:space="preserve"> هو القطع بأنها أجنبيّة عن مرامهم من حيث الأساس، </w:t>
      </w:r>
      <w:r w:rsidR="00751696" w:rsidRPr="00282AC9">
        <w:rPr>
          <w:rFonts w:hint="cs"/>
          <w:sz w:val="27"/>
          <w:rtl/>
          <w:lang w:bidi="ar-LB"/>
        </w:rPr>
        <w:t>كما سيظهر ممّا يأتي من النصوص إ</w:t>
      </w:r>
      <w:r w:rsidRPr="00282AC9">
        <w:rPr>
          <w:rFonts w:hint="cs"/>
          <w:sz w:val="27"/>
          <w:rtl/>
          <w:lang w:bidi="ar-LB"/>
        </w:rPr>
        <w:t>ن</w:t>
      </w:r>
      <w:r w:rsidR="00751696" w:rsidRPr="00282AC9">
        <w:rPr>
          <w:rFonts w:hint="cs"/>
          <w:sz w:val="27"/>
          <w:rtl/>
          <w:lang w:bidi="ar-LB"/>
        </w:rPr>
        <w:t>ْ</w:t>
      </w:r>
      <w:r w:rsidRPr="00282AC9">
        <w:rPr>
          <w:rFonts w:hint="cs"/>
          <w:sz w:val="27"/>
          <w:rtl/>
          <w:lang w:bidi="ar-LB"/>
        </w:rPr>
        <w:t xml:space="preserve"> شاء الله</w:t>
      </w:r>
      <w:r w:rsidR="00751696" w:rsidRPr="00282AC9">
        <w:rPr>
          <w:rFonts w:hint="cs"/>
          <w:sz w:val="27"/>
          <w:rtl/>
          <w:lang w:bidi="ar-LB"/>
        </w:rPr>
        <w:t xml:space="preserve"> تعالى. غير أن</w:t>
      </w:r>
      <w:r w:rsidRPr="00282AC9">
        <w:rPr>
          <w:rFonts w:hint="cs"/>
          <w:sz w:val="27"/>
          <w:rtl/>
          <w:lang w:bidi="ar-LB"/>
        </w:rPr>
        <w:t xml:space="preserve"> هذا المقدار لا يكفي ل</w:t>
      </w:r>
      <w:r w:rsidR="00751696" w:rsidRPr="00282AC9">
        <w:rPr>
          <w:rFonts w:hint="cs"/>
          <w:sz w:val="27"/>
          <w:rtl/>
          <w:lang w:bidi="ar-LB"/>
        </w:rPr>
        <w:t>قصر البحث على الحكم التكليفي، وإ</w:t>
      </w:r>
      <w:r w:rsidRPr="00282AC9">
        <w:rPr>
          <w:rFonts w:hint="cs"/>
          <w:sz w:val="27"/>
          <w:rtl/>
          <w:lang w:bidi="ar-LB"/>
        </w:rPr>
        <w:t>خراج الحكم الوضعي من موضوع القاعدة</w:t>
      </w:r>
      <w:r w:rsidR="00751696" w:rsidRPr="00282AC9">
        <w:rPr>
          <w:rFonts w:hint="cs"/>
          <w:sz w:val="27"/>
          <w:rtl/>
          <w:lang w:bidi="ar-LB"/>
        </w:rPr>
        <w:t>،</w:t>
      </w:r>
      <w:r w:rsidRPr="00282AC9">
        <w:rPr>
          <w:rFonts w:hint="cs"/>
          <w:sz w:val="27"/>
          <w:rtl/>
          <w:lang w:bidi="ar-LB"/>
        </w:rPr>
        <w:t xml:space="preserve"> كما هو واضح</w:t>
      </w:r>
      <w:r w:rsidR="00751696" w:rsidRPr="00282AC9">
        <w:rPr>
          <w:rFonts w:hint="cs"/>
          <w:sz w:val="27"/>
          <w:rtl/>
          <w:lang w:bidi="ar-LB"/>
        </w:rPr>
        <w:t>ٌ</w:t>
      </w:r>
      <w:r w:rsidRPr="00282AC9">
        <w:rPr>
          <w:rFonts w:hint="cs"/>
          <w:sz w:val="27"/>
          <w:rtl/>
          <w:lang w:bidi="ar-LB"/>
        </w:rPr>
        <w:t>، فمن الجدير بنا أن نتساءل: هل تخلو الواقعة من الحكم الوضعي</w:t>
      </w:r>
      <w:r w:rsidR="00751696" w:rsidRPr="00282AC9">
        <w:rPr>
          <w:rFonts w:hint="cs"/>
          <w:sz w:val="27"/>
          <w:rtl/>
          <w:lang w:bidi="ar-LB"/>
        </w:rPr>
        <w:t>ّ</w:t>
      </w:r>
      <w:r w:rsidRPr="00282AC9">
        <w:rPr>
          <w:rFonts w:hint="cs"/>
          <w:sz w:val="27"/>
          <w:rtl/>
          <w:lang w:bidi="ar-LB"/>
        </w:rPr>
        <w:t xml:space="preserve"> أم لا؟ </w:t>
      </w:r>
    </w:p>
    <w:p w:rsidR="00A9019A" w:rsidRPr="00282AC9" w:rsidRDefault="00A9019A" w:rsidP="00B16272">
      <w:pPr>
        <w:tabs>
          <w:tab w:val="right" w:pos="6930"/>
        </w:tabs>
        <w:suppressAutoHyphens/>
        <w:rPr>
          <w:sz w:val="27"/>
          <w:rtl/>
          <w:lang w:bidi="ar-LB"/>
        </w:rPr>
      </w:pPr>
      <w:r w:rsidRPr="00282AC9">
        <w:rPr>
          <w:rFonts w:hint="cs"/>
          <w:sz w:val="27"/>
          <w:rtl/>
          <w:lang w:bidi="ar-LB"/>
        </w:rPr>
        <w:t>ور</w:t>
      </w:r>
      <w:r w:rsidR="00751696" w:rsidRPr="00282AC9">
        <w:rPr>
          <w:rFonts w:hint="cs"/>
          <w:sz w:val="27"/>
          <w:rtl/>
          <w:lang w:bidi="ar-LB"/>
        </w:rPr>
        <w:t>ُ</w:t>
      </w:r>
      <w:r w:rsidRPr="00282AC9">
        <w:rPr>
          <w:rFonts w:hint="cs"/>
          <w:sz w:val="27"/>
          <w:rtl/>
          <w:lang w:bidi="ar-LB"/>
        </w:rPr>
        <w:t>ب</w:t>
      </w:r>
      <w:r w:rsidR="00751696" w:rsidRPr="00282AC9">
        <w:rPr>
          <w:rFonts w:hint="cs"/>
          <w:sz w:val="27"/>
          <w:rtl/>
          <w:lang w:bidi="ar-LB"/>
        </w:rPr>
        <w:t>َ</w:t>
      </w:r>
      <w:r w:rsidRPr="00282AC9">
        <w:rPr>
          <w:rFonts w:hint="cs"/>
          <w:sz w:val="27"/>
          <w:rtl/>
          <w:lang w:bidi="ar-LB"/>
        </w:rPr>
        <w:t xml:space="preserve">ما يسبق </w:t>
      </w:r>
      <w:r w:rsidR="00751696" w:rsidRPr="00282AC9">
        <w:rPr>
          <w:rFonts w:hint="cs"/>
          <w:sz w:val="27"/>
          <w:rtl/>
          <w:lang w:bidi="ar-LB"/>
        </w:rPr>
        <w:t>إ</w:t>
      </w:r>
      <w:r w:rsidRPr="00282AC9">
        <w:rPr>
          <w:rFonts w:hint="cs"/>
          <w:sz w:val="27"/>
          <w:rtl/>
          <w:lang w:bidi="ar-LB"/>
        </w:rPr>
        <w:t>لى الو</w:t>
      </w:r>
      <w:r w:rsidR="00751696" w:rsidRPr="00282AC9">
        <w:rPr>
          <w:rFonts w:hint="cs"/>
          <w:sz w:val="27"/>
          <w:rtl/>
          <w:lang w:bidi="ar-LB"/>
        </w:rPr>
        <w:t>َ</w:t>
      </w:r>
      <w:r w:rsidRPr="00282AC9">
        <w:rPr>
          <w:rFonts w:hint="cs"/>
          <w:sz w:val="27"/>
          <w:rtl/>
          <w:lang w:bidi="ar-LB"/>
        </w:rPr>
        <w:t>ه</w:t>
      </w:r>
      <w:r w:rsidR="00751696" w:rsidRPr="00282AC9">
        <w:rPr>
          <w:rFonts w:hint="cs"/>
          <w:sz w:val="27"/>
          <w:rtl/>
          <w:lang w:bidi="ar-LB"/>
        </w:rPr>
        <w:t>ْ</w:t>
      </w:r>
      <w:r w:rsidRPr="00282AC9">
        <w:rPr>
          <w:rFonts w:hint="cs"/>
          <w:sz w:val="27"/>
          <w:rtl/>
          <w:lang w:bidi="ar-LB"/>
        </w:rPr>
        <w:t>م</w:t>
      </w:r>
      <w:r w:rsidR="00751696" w:rsidRPr="00282AC9">
        <w:rPr>
          <w:rFonts w:hint="cs"/>
          <w:sz w:val="27"/>
          <w:rtl/>
          <w:lang w:bidi="ar-LB"/>
        </w:rPr>
        <w:t xml:space="preserve"> </w:t>
      </w:r>
      <w:r w:rsidRPr="00282AC9">
        <w:rPr>
          <w:rFonts w:hint="cs"/>
          <w:sz w:val="27"/>
          <w:rtl/>
          <w:lang w:bidi="ar-LB"/>
        </w:rPr>
        <w:t>أنّه لا مجال لهذا البحث في الأحكام الوضعي</w:t>
      </w:r>
      <w:r w:rsidR="00751696" w:rsidRPr="00282AC9">
        <w:rPr>
          <w:rFonts w:hint="cs"/>
          <w:sz w:val="27"/>
          <w:rtl/>
          <w:lang w:bidi="ar-LB"/>
        </w:rPr>
        <w:t>ّ</w:t>
      </w:r>
      <w:r w:rsidRPr="00282AC9">
        <w:rPr>
          <w:rFonts w:hint="cs"/>
          <w:sz w:val="27"/>
          <w:rtl/>
          <w:lang w:bidi="ar-LB"/>
        </w:rPr>
        <w:t>ة إذا اف</w:t>
      </w:r>
      <w:r w:rsidR="00751696" w:rsidRPr="00282AC9">
        <w:rPr>
          <w:rFonts w:hint="cs"/>
          <w:sz w:val="27"/>
          <w:rtl/>
          <w:lang w:bidi="ar-LB"/>
        </w:rPr>
        <w:t>ترضنا أن المقصود بالواقعة هو الفعل؛ لأن الأحكام الوضعية كثيراً م</w:t>
      </w:r>
      <w:r w:rsidRPr="00282AC9">
        <w:rPr>
          <w:rFonts w:hint="cs"/>
          <w:sz w:val="27"/>
          <w:rtl/>
          <w:lang w:bidi="ar-LB"/>
        </w:rPr>
        <w:t>ا لا تتعل</w:t>
      </w:r>
      <w:r w:rsidR="00751696" w:rsidRPr="00282AC9">
        <w:rPr>
          <w:rFonts w:hint="cs"/>
          <w:sz w:val="27"/>
          <w:rtl/>
          <w:lang w:bidi="ar-LB"/>
        </w:rPr>
        <w:t>َّ</w:t>
      </w:r>
      <w:r w:rsidRPr="00282AC9">
        <w:rPr>
          <w:rFonts w:hint="cs"/>
          <w:sz w:val="27"/>
          <w:rtl/>
          <w:lang w:bidi="ar-LB"/>
        </w:rPr>
        <w:t>ق بالأفعال، بل بالأشياء الخارجية أو ذوات المكلّ</w:t>
      </w:r>
      <w:r w:rsidR="00751696" w:rsidRPr="00282AC9">
        <w:rPr>
          <w:rFonts w:hint="cs"/>
          <w:sz w:val="27"/>
          <w:rtl/>
          <w:lang w:bidi="ar-LB"/>
        </w:rPr>
        <w:t>َ</w:t>
      </w:r>
      <w:r w:rsidRPr="00282AC9">
        <w:rPr>
          <w:rFonts w:hint="cs"/>
          <w:sz w:val="27"/>
          <w:rtl/>
          <w:lang w:bidi="ar-LB"/>
        </w:rPr>
        <w:t>فين، كما هو واضح</w:t>
      </w:r>
      <w:r w:rsidR="00751696" w:rsidRPr="00282AC9">
        <w:rPr>
          <w:rFonts w:hint="cs"/>
          <w:sz w:val="27"/>
          <w:rtl/>
          <w:lang w:bidi="ar-LB"/>
        </w:rPr>
        <w:t>ٌ</w:t>
      </w:r>
      <w:r w:rsidRPr="00282AC9">
        <w:rPr>
          <w:rFonts w:hint="cs"/>
          <w:sz w:val="27"/>
          <w:rtl/>
          <w:lang w:bidi="ar-LB"/>
        </w:rPr>
        <w:t xml:space="preserve">، وحينئذٍ فمن الطبيعي أن تخلو منها بعض الأفعال، ولا حاجة في ذلك </w:t>
      </w:r>
      <w:r w:rsidR="00751696" w:rsidRPr="00282AC9">
        <w:rPr>
          <w:rFonts w:hint="cs"/>
          <w:sz w:val="27"/>
          <w:rtl/>
          <w:lang w:bidi="ar-LB"/>
        </w:rPr>
        <w:t>إ</w:t>
      </w:r>
      <w:r w:rsidRPr="00282AC9">
        <w:rPr>
          <w:rFonts w:hint="cs"/>
          <w:sz w:val="27"/>
          <w:rtl/>
          <w:lang w:bidi="ar-LB"/>
        </w:rPr>
        <w:t>لى بحث</w:t>
      </w:r>
      <w:r w:rsidR="00751696" w:rsidRPr="00282AC9">
        <w:rPr>
          <w:rFonts w:hint="cs"/>
          <w:sz w:val="27"/>
          <w:rtl/>
          <w:lang w:bidi="ar-LB"/>
        </w:rPr>
        <w:t>ٍ</w:t>
      </w:r>
      <w:r w:rsidRPr="00282AC9">
        <w:rPr>
          <w:rFonts w:hint="cs"/>
          <w:sz w:val="27"/>
          <w:rtl/>
          <w:lang w:bidi="ar-LB"/>
        </w:rPr>
        <w:t xml:space="preserve"> ونظر.</w:t>
      </w:r>
    </w:p>
    <w:p w:rsidR="00A9019A" w:rsidRPr="00282AC9" w:rsidRDefault="00A9019A" w:rsidP="00B16272">
      <w:pPr>
        <w:tabs>
          <w:tab w:val="right" w:pos="6930"/>
        </w:tabs>
        <w:suppressAutoHyphens/>
        <w:rPr>
          <w:sz w:val="27"/>
          <w:rtl/>
          <w:lang w:bidi="ar-LB"/>
        </w:rPr>
      </w:pPr>
      <w:r w:rsidRPr="00282AC9">
        <w:rPr>
          <w:rFonts w:hint="cs"/>
          <w:sz w:val="27"/>
          <w:rtl/>
          <w:lang w:bidi="ar-LB"/>
        </w:rPr>
        <w:t>ولكن</w:t>
      </w:r>
      <w:r w:rsidR="00751696" w:rsidRPr="00282AC9">
        <w:rPr>
          <w:rFonts w:hint="cs"/>
          <w:sz w:val="27"/>
          <w:rtl/>
          <w:lang w:bidi="ar-LB"/>
        </w:rPr>
        <w:t>ّ</w:t>
      </w:r>
      <w:r w:rsidRPr="00282AC9">
        <w:rPr>
          <w:rFonts w:hint="cs"/>
          <w:sz w:val="27"/>
          <w:rtl/>
          <w:lang w:bidi="ar-LB"/>
        </w:rPr>
        <w:t>ك خبير</w:t>
      </w:r>
      <w:r w:rsidR="00751696" w:rsidRPr="00282AC9">
        <w:rPr>
          <w:rFonts w:hint="cs"/>
          <w:sz w:val="27"/>
          <w:rtl/>
          <w:lang w:bidi="ar-LB"/>
        </w:rPr>
        <w:t>ٌ</w:t>
      </w:r>
      <w:r w:rsidRPr="00282AC9">
        <w:rPr>
          <w:rFonts w:hint="cs"/>
          <w:sz w:val="27"/>
          <w:rtl/>
          <w:lang w:bidi="ar-LB"/>
        </w:rPr>
        <w:t xml:space="preserve"> بما فيه من الخ</w:t>
      </w:r>
      <w:r w:rsidR="00751696" w:rsidRPr="00282AC9">
        <w:rPr>
          <w:rFonts w:hint="cs"/>
          <w:sz w:val="27"/>
          <w:rtl/>
          <w:lang w:bidi="ar-LB"/>
        </w:rPr>
        <w:t>َ</w:t>
      </w:r>
      <w:r w:rsidRPr="00282AC9">
        <w:rPr>
          <w:rFonts w:hint="cs"/>
          <w:sz w:val="27"/>
          <w:rtl/>
          <w:lang w:bidi="ar-LB"/>
        </w:rPr>
        <w:t>ب</w:t>
      </w:r>
      <w:r w:rsidR="00751696" w:rsidRPr="00282AC9">
        <w:rPr>
          <w:rFonts w:hint="cs"/>
          <w:sz w:val="27"/>
          <w:rtl/>
          <w:lang w:bidi="ar-LB"/>
        </w:rPr>
        <w:t>ْ</w:t>
      </w:r>
      <w:r w:rsidRPr="00282AC9">
        <w:rPr>
          <w:rFonts w:hint="cs"/>
          <w:sz w:val="27"/>
          <w:rtl/>
          <w:lang w:bidi="ar-LB"/>
        </w:rPr>
        <w:t>ط الواضح، حت</w:t>
      </w:r>
      <w:r w:rsidR="00751696" w:rsidRPr="00282AC9">
        <w:rPr>
          <w:rFonts w:hint="cs"/>
          <w:sz w:val="27"/>
          <w:rtl/>
          <w:lang w:bidi="ar-LB"/>
        </w:rPr>
        <w:t>ّى لو ا</w:t>
      </w:r>
      <w:r w:rsidR="00652020" w:rsidRPr="00282AC9">
        <w:rPr>
          <w:rFonts w:hint="cs"/>
          <w:sz w:val="27"/>
          <w:rtl/>
          <w:lang w:bidi="ar-LB"/>
        </w:rPr>
        <w:t>ف</w:t>
      </w:r>
      <w:r w:rsidR="00751696" w:rsidRPr="00282AC9">
        <w:rPr>
          <w:rFonts w:hint="cs"/>
          <w:sz w:val="27"/>
          <w:rtl/>
          <w:lang w:bidi="ar-LB"/>
        </w:rPr>
        <w:t>ترضنا أن</w:t>
      </w:r>
      <w:r w:rsidRPr="00282AC9">
        <w:rPr>
          <w:rFonts w:hint="cs"/>
          <w:sz w:val="27"/>
          <w:rtl/>
          <w:lang w:bidi="ar-LB"/>
        </w:rPr>
        <w:t xml:space="preserve"> الم</w:t>
      </w:r>
      <w:r w:rsidR="00751696" w:rsidRPr="00282AC9">
        <w:rPr>
          <w:rFonts w:hint="cs"/>
          <w:sz w:val="27"/>
          <w:rtl/>
          <w:lang w:bidi="ar-LB"/>
        </w:rPr>
        <w:t>راد بالواقعة خصوص الأفعال؛ فإن</w:t>
      </w:r>
      <w:r w:rsidRPr="00282AC9">
        <w:rPr>
          <w:rFonts w:hint="cs"/>
          <w:sz w:val="27"/>
          <w:rtl/>
          <w:lang w:bidi="ar-LB"/>
        </w:rPr>
        <w:t xml:space="preserve"> جواز تعلّ</w:t>
      </w:r>
      <w:r w:rsidR="00751696" w:rsidRPr="00282AC9">
        <w:rPr>
          <w:rFonts w:hint="cs"/>
          <w:sz w:val="27"/>
          <w:rtl/>
          <w:lang w:bidi="ar-LB"/>
        </w:rPr>
        <w:t>ُ</w:t>
      </w:r>
      <w:r w:rsidRPr="00282AC9">
        <w:rPr>
          <w:rFonts w:hint="cs"/>
          <w:sz w:val="27"/>
          <w:rtl/>
          <w:lang w:bidi="ar-LB"/>
        </w:rPr>
        <w:t>ق الأحكام الوضعية بالذوات</w:t>
      </w:r>
      <w:r w:rsidR="00751696" w:rsidRPr="00282AC9">
        <w:rPr>
          <w:rFonts w:hint="cs"/>
          <w:sz w:val="27"/>
          <w:rtl/>
          <w:lang w:bidi="ar-LB"/>
        </w:rPr>
        <w:t>،</w:t>
      </w:r>
      <w:r w:rsidRPr="00282AC9">
        <w:rPr>
          <w:rFonts w:hint="cs"/>
          <w:sz w:val="27"/>
          <w:rtl/>
          <w:lang w:bidi="ar-LB"/>
        </w:rPr>
        <w:t xml:space="preserve"> وعدم انحصار متعلّقها بالأفعال</w:t>
      </w:r>
      <w:r w:rsidR="00751696" w:rsidRPr="00282AC9">
        <w:rPr>
          <w:rFonts w:hint="cs"/>
          <w:sz w:val="27"/>
          <w:rtl/>
          <w:lang w:bidi="ar-LB"/>
        </w:rPr>
        <w:t>،</w:t>
      </w:r>
      <w:r w:rsidRPr="00282AC9">
        <w:rPr>
          <w:rFonts w:hint="cs"/>
          <w:sz w:val="27"/>
          <w:rtl/>
          <w:lang w:bidi="ar-LB"/>
        </w:rPr>
        <w:t xml:space="preserve"> لا يلازم خلو</w:t>
      </w:r>
      <w:r w:rsidR="00751696" w:rsidRPr="00282AC9">
        <w:rPr>
          <w:rFonts w:hint="cs"/>
          <w:sz w:val="27"/>
          <w:rtl/>
          <w:lang w:bidi="ar-LB"/>
        </w:rPr>
        <w:t>ّ</w:t>
      </w:r>
      <w:r w:rsidRPr="00282AC9">
        <w:rPr>
          <w:rFonts w:hint="cs"/>
          <w:sz w:val="27"/>
          <w:rtl/>
          <w:lang w:bidi="ar-LB"/>
        </w:rPr>
        <w:t xml:space="preserve"> بعض الأفعال عن الحكم الوضعي</w:t>
      </w:r>
      <w:r w:rsidR="00751696" w:rsidRPr="00282AC9">
        <w:rPr>
          <w:rFonts w:hint="cs"/>
          <w:sz w:val="27"/>
          <w:rtl/>
          <w:lang w:bidi="ar-LB"/>
        </w:rPr>
        <w:t>ّ؛ بداهة أن</w:t>
      </w:r>
      <w:r w:rsidRPr="00282AC9">
        <w:rPr>
          <w:rFonts w:hint="cs"/>
          <w:sz w:val="27"/>
          <w:rtl/>
          <w:lang w:bidi="ar-LB"/>
        </w:rPr>
        <w:t xml:space="preserve"> بالإمكان أن لا يكون هناك فعل</w:t>
      </w:r>
      <w:r w:rsidR="00751696" w:rsidRPr="00282AC9">
        <w:rPr>
          <w:rFonts w:hint="cs"/>
          <w:sz w:val="27"/>
          <w:rtl/>
          <w:lang w:bidi="ar-LB"/>
        </w:rPr>
        <w:t>ٌ</w:t>
      </w:r>
      <w:r w:rsidRPr="00282AC9">
        <w:rPr>
          <w:rFonts w:hint="cs"/>
          <w:sz w:val="27"/>
          <w:rtl/>
          <w:lang w:bidi="ar-LB"/>
        </w:rPr>
        <w:t xml:space="preserve"> إلاّ وله حكم</w:t>
      </w:r>
      <w:r w:rsidR="00751696" w:rsidRPr="00282AC9">
        <w:rPr>
          <w:rFonts w:hint="cs"/>
          <w:sz w:val="27"/>
          <w:rtl/>
          <w:lang w:bidi="ar-LB"/>
        </w:rPr>
        <w:t>ٌ</w:t>
      </w:r>
      <w:r w:rsidRPr="00282AC9">
        <w:rPr>
          <w:rFonts w:hint="cs"/>
          <w:sz w:val="27"/>
          <w:rtl/>
          <w:lang w:bidi="ar-LB"/>
        </w:rPr>
        <w:t xml:space="preserve"> وضعيّ، ومع ذلك لا تكون الأحكام الوضعي</w:t>
      </w:r>
      <w:r w:rsidR="00751696" w:rsidRPr="00282AC9">
        <w:rPr>
          <w:rFonts w:hint="cs"/>
          <w:sz w:val="27"/>
          <w:rtl/>
          <w:lang w:bidi="ar-LB"/>
        </w:rPr>
        <w:t>ّ</w:t>
      </w:r>
      <w:r w:rsidRPr="00282AC9">
        <w:rPr>
          <w:rFonts w:hint="cs"/>
          <w:sz w:val="27"/>
          <w:rtl/>
          <w:lang w:bidi="ar-LB"/>
        </w:rPr>
        <w:t>ة خاص</w:t>
      </w:r>
      <w:r w:rsidR="00751696" w:rsidRPr="00282AC9">
        <w:rPr>
          <w:rFonts w:hint="cs"/>
          <w:sz w:val="27"/>
          <w:rtl/>
          <w:lang w:bidi="ar-LB"/>
        </w:rPr>
        <w:t>ّ</w:t>
      </w:r>
      <w:r w:rsidRPr="00282AC9">
        <w:rPr>
          <w:rFonts w:hint="cs"/>
          <w:sz w:val="27"/>
          <w:rtl/>
          <w:lang w:bidi="ar-LB"/>
        </w:rPr>
        <w:t>ة</w:t>
      </w:r>
      <w:r w:rsidR="00751696" w:rsidRPr="00282AC9">
        <w:rPr>
          <w:rFonts w:hint="cs"/>
          <w:sz w:val="27"/>
          <w:rtl/>
          <w:lang w:bidi="ar-LB"/>
        </w:rPr>
        <w:t>ً</w:t>
      </w:r>
      <w:r w:rsidRPr="00282AC9">
        <w:rPr>
          <w:rFonts w:hint="cs"/>
          <w:sz w:val="27"/>
          <w:rtl/>
          <w:lang w:bidi="ar-LB"/>
        </w:rPr>
        <w:t xml:space="preserve"> بالأفعال، بل تتعل</w:t>
      </w:r>
      <w:r w:rsidR="00751696" w:rsidRPr="00282AC9">
        <w:rPr>
          <w:rFonts w:hint="cs"/>
          <w:sz w:val="27"/>
          <w:rtl/>
          <w:lang w:bidi="ar-LB"/>
        </w:rPr>
        <w:t>َّ</w:t>
      </w:r>
      <w:r w:rsidRPr="00282AC9">
        <w:rPr>
          <w:rFonts w:hint="cs"/>
          <w:sz w:val="27"/>
          <w:rtl/>
          <w:lang w:bidi="ar-LB"/>
        </w:rPr>
        <w:t>ق بغيرها من الذوات والأشياء أيضاً، وهذا يعني</w:t>
      </w:r>
      <w:r w:rsidR="00751696" w:rsidRPr="00282AC9">
        <w:rPr>
          <w:rFonts w:hint="cs"/>
          <w:sz w:val="27"/>
          <w:rtl/>
          <w:lang w:bidi="ar-LB"/>
        </w:rPr>
        <w:t xml:space="preserve"> أنه</w:t>
      </w:r>
      <w:r w:rsidRPr="00282AC9">
        <w:rPr>
          <w:rFonts w:hint="cs"/>
          <w:sz w:val="27"/>
          <w:rtl/>
          <w:lang w:bidi="ar-LB"/>
        </w:rPr>
        <w:t xml:space="preserve"> بالإمكان تعميم النزاع بالنسبة </w:t>
      </w:r>
      <w:r w:rsidR="00751696" w:rsidRPr="00282AC9">
        <w:rPr>
          <w:rFonts w:hint="cs"/>
          <w:sz w:val="27"/>
          <w:rtl/>
          <w:lang w:bidi="ar-LB"/>
        </w:rPr>
        <w:t>إ</w:t>
      </w:r>
      <w:r w:rsidRPr="00282AC9">
        <w:rPr>
          <w:rFonts w:hint="cs"/>
          <w:sz w:val="27"/>
          <w:rtl/>
          <w:lang w:bidi="ar-LB"/>
        </w:rPr>
        <w:t>ليها</w:t>
      </w:r>
      <w:r w:rsidR="00751696" w:rsidRPr="00282AC9">
        <w:rPr>
          <w:rFonts w:hint="cs"/>
          <w:sz w:val="27"/>
          <w:rtl/>
          <w:lang w:bidi="ar-LB"/>
        </w:rPr>
        <w:t>،</w:t>
      </w:r>
      <w:r w:rsidR="00822D16" w:rsidRPr="00282AC9">
        <w:rPr>
          <w:rFonts w:hint="cs"/>
          <w:sz w:val="27"/>
          <w:rtl/>
          <w:lang w:bidi="ar-LB"/>
        </w:rPr>
        <w:t xml:space="preserve"> بتقريب أن</w:t>
      </w:r>
      <w:r w:rsidRPr="00282AC9">
        <w:rPr>
          <w:rFonts w:hint="cs"/>
          <w:sz w:val="27"/>
          <w:rtl/>
          <w:lang w:bidi="ar-LB"/>
        </w:rPr>
        <w:t xml:space="preserve">ه: هل </w:t>
      </w:r>
      <w:r w:rsidR="00652020" w:rsidRPr="00282AC9">
        <w:rPr>
          <w:rFonts w:hint="cs"/>
          <w:sz w:val="27"/>
          <w:rtl/>
          <w:lang w:bidi="ar-LB"/>
        </w:rPr>
        <w:t xml:space="preserve">يمكن أن تخلو </w:t>
      </w:r>
      <w:r w:rsidRPr="00282AC9">
        <w:rPr>
          <w:rFonts w:hint="cs"/>
          <w:sz w:val="27"/>
          <w:rtl/>
          <w:lang w:bidi="ar-LB"/>
        </w:rPr>
        <w:t>الواقعة من حكم</w:t>
      </w:r>
      <w:r w:rsidR="00751696" w:rsidRPr="00282AC9">
        <w:rPr>
          <w:rFonts w:hint="cs"/>
          <w:sz w:val="27"/>
          <w:rtl/>
          <w:lang w:bidi="ar-LB"/>
        </w:rPr>
        <w:t>ٍ</w:t>
      </w:r>
      <w:r w:rsidRPr="00282AC9">
        <w:rPr>
          <w:rFonts w:hint="cs"/>
          <w:sz w:val="27"/>
          <w:rtl/>
          <w:lang w:bidi="ar-LB"/>
        </w:rPr>
        <w:t xml:space="preserve"> وضعيّ أم يجب أن يكون لكلّ فعل</w:t>
      </w:r>
      <w:r w:rsidR="00751696" w:rsidRPr="00282AC9">
        <w:rPr>
          <w:rFonts w:hint="cs"/>
          <w:sz w:val="27"/>
          <w:rtl/>
          <w:lang w:bidi="ar-LB"/>
        </w:rPr>
        <w:t>ٍ</w:t>
      </w:r>
      <w:r w:rsidRPr="00282AC9">
        <w:rPr>
          <w:rFonts w:hint="cs"/>
          <w:sz w:val="27"/>
          <w:rtl/>
          <w:lang w:bidi="ar-LB"/>
        </w:rPr>
        <w:t xml:space="preserve"> وواقعة حكم</w:t>
      </w:r>
      <w:r w:rsidR="00822D16" w:rsidRPr="00282AC9">
        <w:rPr>
          <w:rFonts w:hint="cs"/>
          <w:sz w:val="27"/>
          <w:rtl/>
          <w:lang w:bidi="ar-LB"/>
        </w:rPr>
        <w:t>ٌ</w:t>
      </w:r>
      <w:r w:rsidRPr="00282AC9">
        <w:rPr>
          <w:rFonts w:hint="cs"/>
          <w:sz w:val="27"/>
          <w:rtl/>
          <w:lang w:bidi="ar-LB"/>
        </w:rPr>
        <w:t xml:space="preserve"> وضعيّ؟</w:t>
      </w:r>
    </w:p>
    <w:p w:rsidR="00A9019A" w:rsidRPr="00282AC9" w:rsidRDefault="00A9019A" w:rsidP="00B16272">
      <w:pPr>
        <w:tabs>
          <w:tab w:val="right" w:pos="6930"/>
        </w:tabs>
        <w:suppressAutoHyphens/>
        <w:rPr>
          <w:sz w:val="27"/>
          <w:rtl/>
          <w:lang w:bidi="ar-LB"/>
        </w:rPr>
      </w:pPr>
      <w:r w:rsidRPr="00282AC9">
        <w:rPr>
          <w:rFonts w:hint="cs"/>
          <w:sz w:val="27"/>
          <w:rtl/>
          <w:lang w:bidi="ar-LB"/>
        </w:rPr>
        <w:t>وتوهّ</w:t>
      </w:r>
      <w:r w:rsidR="00822D16" w:rsidRPr="00282AC9">
        <w:rPr>
          <w:rFonts w:hint="cs"/>
          <w:sz w:val="27"/>
          <w:rtl/>
          <w:lang w:bidi="ar-LB"/>
        </w:rPr>
        <w:t>ُ</w:t>
      </w:r>
      <w:r w:rsidRPr="00282AC9">
        <w:rPr>
          <w:rFonts w:hint="cs"/>
          <w:sz w:val="27"/>
          <w:rtl/>
          <w:lang w:bidi="ar-LB"/>
        </w:rPr>
        <w:t>م</w:t>
      </w:r>
      <w:r w:rsidR="00822D16" w:rsidRPr="00282AC9">
        <w:rPr>
          <w:rFonts w:hint="cs"/>
          <w:sz w:val="27"/>
          <w:rtl/>
          <w:lang w:bidi="ar-LB"/>
        </w:rPr>
        <w:t>ُ أن</w:t>
      </w:r>
      <w:r w:rsidRPr="00282AC9">
        <w:rPr>
          <w:rFonts w:hint="cs"/>
          <w:sz w:val="27"/>
          <w:rtl/>
          <w:lang w:bidi="ar-LB"/>
        </w:rPr>
        <w:t xml:space="preserve"> البحث عن الأحكام التكليفية سوف يغنينا عن الكلام على الأحكام الوضعية، بعد العلم بأنّه لا مجال لحكم</w:t>
      </w:r>
      <w:r w:rsidR="00822D16" w:rsidRPr="00282AC9">
        <w:rPr>
          <w:rFonts w:hint="cs"/>
          <w:sz w:val="27"/>
          <w:rtl/>
          <w:lang w:bidi="ar-LB"/>
        </w:rPr>
        <w:t>ٍ وضعيّ إ</w:t>
      </w:r>
      <w:r w:rsidRPr="00282AC9">
        <w:rPr>
          <w:rFonts w:hint="cs"/>
          <w:sz w:val="27"/>
          <w:rtl/>
          <w:lang w:bidi="ar-LB"/>
        </w:rPr>
        <w:t>ذا لم يكن هناك حكم</w:t>
      </w:r>
      <w:r w:rsidR="00822D16" w:rsidRPr="00282AC9">
        <w:rPr>
          <w:rFonts w:hint="cs"/>
          <w:sz w:val="27"/>
          <w:rtl/>
          <w:lang w:bidi="ar-LB"/>
        </w:rPr>
        <w:t xml:space="preserve">ٌ تكليفيّ، </w:t>
      </w:r>
      <w:r w:rsidRPr="00282AC9">
        <w:rPr>
          <w:rFonts w:hint="cs"/>
          <w:sz w:val="27"/>
          <w:rtl/>
          <w:lang w:bidi="ar-LB"/>
        </w:rPr>
        <w:t>مدفوع</w:t>
      </w:r>
      <w:r w:rsidR="00822D16" w:rsidRPr="00282AC9">
        <w:rPr>
          <w:rFonts w:hint="cs"/>
          <w:sz w:val="27"/>
          <w:rtl/>
          <w:lang w:bidi="ar-LB"/>
        </w:rPr>
        <w:t>ٌ بأنه</w:t>
      </w:r>
      <w:r w:rsidRPr="00282AC9">
        <w:rPr>
          <w:rFonts w:hint="cs"/>
          <w:sz w:val="27"/>
          <w:rtl/>
          <w:lang w:bidi="ar-LB"/>
        </w:rPr>
        <w:t xml:space="preserve"> سواءٌ ب</w:t>
      </w:r>
      <w:r w:rsidR="00822D16" w:rsidRPr="00282AC9">
        <w:rPr>
          <w:rFonts w:hint="cs"/>
          <w:sz w:val="27"/>
          <w:rtl/>
          <w:lang w:bidi="ar-LB"/>
        </w:rPr>
        <w:t>ن</w:t>
      </w:r>
      <w:r w:rsidR="00F15538" w:rsidRPr="00282AC9">
        <w:rPr>
          <w:rFonts w:hint="cs"/>
          <w:sz w:val="27"/>
          <w:rtl/>
          <w:lang w:bidi="ar-LB"/>
        </w:rPr>
        <w:t>َ</w:t>
      </w:r>
      <w:r w:rsidRPr="00282AC9">
        <w:rPr>
          <w:rFonts w:hint="cs"/>
          <w:sz w:val="27"/>
          <w:rtl/>
          <w:lang w:bidi="ar-LB"/>
        </w:rPr>
        <w:t>ي</w:t>
      </w:r>
      <w:r w:rsidR="00F15538" w:rsidRPr="00282AC9">
        <w:rPr>
          <w:rFonts w:hint="cs"/>
          <w:sz w:val="27"/>
          <w:rtl/>
          <w:lang w:bidi="ar-LB"/>
        </w:rPr>
        <w:t>ْ</w:t>
      </w:r>
      <w:r w:rsidRPr="00282AC9">
        <w:rPr>
          <w:rFonts w:hint="cs"/>
          <w:sz w:val="27"/>
          <w:rtl/>
          <w:lang w:bidi="ar-LB"/>
        </w:rPr>
        <w:t>نا على أنّ الأحكام الوضعي</w:t>
      </w:r>
      <w:r w:rsidR="00822D16" w:rsidRPr="00282AC9">
        <w:rPr>
          <w:rFonts w:hint="cs"/>
          <w:sz w:val="27"/>
          <w:rtl/>
          <w:lang w:bidi="ar-LB"/>
        </w:rPr>
        <w:t>ّ</w:t>
      </w:r>
      <w:r w:rsidRPr="00282AC9">
        <w:rPr>
          <w:rFonts w:hint="cs"/>
          <w:sz w:val="27"/>
          <w:rtl/>
          <w:lang w:bidi="ar-LB"/>
        </w:rPr>
        <w:t>ة بأ</w:t>
      </w:r>
      <w:r w:rsidR="00822D16" w:rsidRPr="00282AC9">
        <w:rPr>
          <w:rFonts w:hint="cs"/>
          <w:sz w:val="27"/>
          <w:rtl/>
          <w:lang w:bidi="ar-LB"/>
        </w:rPr>
        <w:t>َ</w:t>
      </w:r>
      <w:r w:rsidRPr="00282AC9">
        <w:rPr>
          <w:rFonts w:hint="cs"/>
          <w:sz w:val="27"/>
          <w:rtl/>
          <w:lang w:bidi="ar-LB"/>
        </w:rPr>
        <w:t>س</w:t>
      </w:r>
      <w:r w:rsidR="00822D16" w:rsidRPr="00282AC9">
        <w:rPr>
          <w:rFonts w:hint="cs"/>
          <w:sz w:val="27"/>
          <w:rtl/>
          <w:lang w:bidi="ar-LB"/>
        </w:rPr>
        <w:t>ْ</w:t>
      </w:r>
      <w:r w:rsidRPr="00282AC9">
        <w:rPr>
          <w:rFonts w:hint="cs"/>
          <w:sz w:val="27"/>
          <w:rtl/>
          <w:lang w:bidi="ar-LB"/>
        </w:rPr>
        <w:t>رها منتزعة</w:t>
      </w:r>
      <w:r w:rsidR="00822D16" w:rsidRPr="00282AC9">
        <w:rPr>
          <w:rFonts w:hint="cs"/>
          <w:sz w:val="27"/>
          <w:rtl/>
          <w:lang w:bidi="ar-LB"/>
        </w:rPr>
        <w:t>ٌ</w:t>
      </w:r>
      <w:r w:rsidRPr="00282AC9">
        <w:rPr>
          <w:rFonts w:hint="cs"/>
          <w:sz w:val="27"/>
          <w:rtl/>
          <w:lang w:bidi="ar-LB"/>
        </w:rPr>
        <w:t xml:space="preserve"> عن الأحكام التكليفية </w:t>
      </w:r>
      <w:r w:rsidR="00822D16" w:rsidRPr="00282AC9">
        <w:rPr>
          <w:rFonts w:hint="cs"/>
          <w:sz w:val="27"/>
          <w:rtl/>
          <w:lang w:bidi="ar-LB"/>
        </w:rPr>
        <w:t xml:space="preserve">ـ </w:t>
      </w:r>
      <w:r w:rsidRPr="00282AC9">
        <w:rPr>
          <w:rFonts w:hint="cs"/>
          <w:sz w:val="27"/>
          <w:rtl/>
          <w:lang w:bidi="ar-LB"/>
        </w:rPr>
        <w:t>كما عليه الشيخ الأعظم</w:t>
      </w:r>
      <w:r w:rsidR="009A2A04" w:rsidRPr="00282AC9">
        <w:rPr>
          <w:rFonts w:cs="Mosawi" w:hint="cs"/>
          <w:sz w:val="22"/>
          <w:szCs w:val="22"/>
          <w:rtl/>
          <w:lang w:bidi="ar-LB"/>
        </w:rPr>
        <w:t>&amp;</w:t>
      </w:r>
      <w:r w:rsidRPr="00282AC9">
        <w:rPr>
          <w:rFonts w:hint="cs"/>
          <w:sz w:val="27"/>
          <w:rtl/>
          <w:lang w:bidi="ar-LB"/>
        </w:rPr>
        <w:t xml:space="preserve"> ومَن</w:t>
      </w:r>
      <w:r w:rsidR="00822D16" w:rsidRPr="00282AC9">
        <w:rPr>
          <w:rFonts w:hint="cs"/>
          <w:sz w:val="27"/>
          <w:rtl/>
          <w:lang w:bidi="ar-LB"/>
        </w:rPr>
        <w:t>ْ</w:t>
      </w:r>
      <w:r w:rsidRPr="00282AC9">
        <w:rPr>
          <w:rFonts w:hint="cs"/>
          <w:sz w:val="27"/>
          <w:rtl/>
          <w:lang w:bidi="ar-LB"/>
        </w:rPr>
        <w:t xml:space="preserve"> تبعه</w:t>
      </w:r>
      <w:r w:rsidR="00822D16" w:rsidRPr="00282AC9">
        <w:rPr>
          <w:rFonts w:hint="cs"/>
          <w:sz w:val="27"/>
          <w:rtl/>
          <w:lang w:bidi="ar-LB"/>
        </w:rPr>
        <w:t xml:space="preserve"> ـ</w:t>
      </w:r>
      <w:r w:rsidR="00F15538" w:rsidRPr="00282AC9">
        <w:rPr>
          <w:rFonts w:hint="cs"/>
          <w:sz w:val="27"/>
          <w:rtl/>
          <w:lang w:bidi="ar-LB"/>
        </w:rPr>
        <w:t>،</w:t>
      </w:r>
      <w:r w:rsidR="00822D16" w:rsidRPr="00282AC9">
        <w:rPr>
          <w:rFonts w:hint="cs"/>
          <w:sz w:val="27"/>
          <w:rtl/>
          <w:lang w:bidi="ar-LB"/>
        </w:rPr>
        <w:t xml:space="preserve"> أو قلنا: إ</w:t>
      </w:r>
      <w:r w:rsidRPr="00282AC9">
        <w:rPr>
          <w:rFonts w:hint="cs"/>
          <w:sz w:val="27"/>
          <w:rtl/>
          <w:lang w:bidi="ar-LB"/>
        </w:rPr>
        <w:t>نها بأ</w:t>
      </w:r>
      <w:r w:rsidR="00822D16" w:rsidRPr="00282AC9">
        <w:rPr>
          <w:rFonts w:hint="cs"/>
          <w:sz w:val="27"/>
          <w:rtl/>
          <w:lang w:bidi="ar-LB"/>
        </w:rPr>
        <w:t>َ</w:t>
      </w:r>
      <w:r w:rsidRPr="00282AC9">
        <w:rPr>
          <w:rFonts w:hint="cs"/>
          <w:sz w:val="27"/>
          <w:rtl/>
          <w:lang w:bidi="ar-LB"/>
        </w:rPr>
        <w:t>س</w:t>
      </w:r>
      <w:r w:rsidR="00822D16" w:rsidRPr="00282AC9">
        <w:rPr>
          <w:rFonts w:hint="cs"/>
          <w:sz w:val="27"/>
          <w:rtl/>
          <w:lang w:bidi="ar-LB"/>
        </w:rPr>
        <w:t>ْ</w:t>
      </w:r>
      <w:r w:rsidRPr="00282AC9">
        <w:rPr>
          <w:rFonts w:hint="cs"/>
          <w:sz w:val="27"/>
          <w:rtl/>
          <w:lang w:bidi="ar-LB"/>
        </w:rPr>
        <w:t>رها مجعولات</w:t>
      </w:r>
      <w:r w:rsidR="00F15538" w:rsidRPr="00282AC9">
        <w:rPr>
          <w:rFonts w:hint="cs"/>
          <w:sz w:val="27"/>
          <w:rtl/>
          <w:lang w:bidi="ar-LB"/>
        </w:rPr>
        <w:t>ٌ</w:t>
      </w:r>
      <w:r w:rsidRPr="00282AC9">
        <w:rPr>
          <w:rFonts w:hint="cs"/>
          <w:sz w:val="27"/>
          <w:rtl/>
          <w:lang w:bidi="ar-LB"/>
        </w:rPr>
        <w:t xml:space="preserve"> مستقل</w:t>
      </w:r>
      <w:r w:rsidR="00F15538" w:rsidRPr="00282AC9">
        <w:rPr>
          <w:rFonts w:hint="cs"/>
          <w:sz w:val="27"/>
          <w:rtl/>
          <w:lang w:bidi="ar-LB"/>
        </w:rPr>
        <w:t>ّ</w:t>
      </w:r>
      <w:r w:rsidRPr="00282AC9">
        <w:rPr>
          <w:rFonts w:hint="cs"/>
          <w:sz w:val="27"/>
          <w:rtl/>
          <w:lang w:bidi="ar-LB"/>
        </w:rPr>
        <w:t>ة، أو قلنا بالتفصيل، وإنّها قد تكون منتزعةً عنها</w:t>
      </w:r>
      <w:r w:rsidR="00F15538" w:rsidRPr="00282AC9">
        <w:rPr>
          <w:rFonts w:hint="cs"/>
          <w:sz w:val="27"/>
          <w:rtl/>
          <w:lang w:bidi="ar-LB"/>
        </w:rPr>
        <w:t>؛</w:t>
      </w:r>
      <w:r w:rsidRPr="00282AC9">
        <w:rPr>
          <w:rFonts w:hint="cs"/>
          <w:sz w:val="27"/>
          <w:rtl/>
          <w:lang w:bidi="ar-LB"/>
        </w:rPr>
        <w:t xml:space="preserve"> وقد تكون مجعولاتٍ مستقلة</w:t>
      </w:r>
      <w:r w:rsidR="00F15538" w:rsidRPr="00282AC9">
        <w:rPr>
          <w:rFonts w:hint="cs"/>
          <w:sz w:val="27"/>
          <w:rtl/>
          <w:lang w:bidi="ar-LB"/>
        </w:rPr>
        <w:t>ً</w:t>
      </w:r>
      <w:r w:rsidRPr="00282AC9">
        <w:rPr>
          <w:rFonts w:hint="cs"/>
          <w:sz w:val="27"/>
          <w:rtl/>
          <w:lang w:bidi="ar-LB"/>
        </w:rPr>
        <w:t xml:space="preserve"> تقع في موضوعها، فلن نكون </w:t>
      </w:r>
      <w:r w:rsidRPr="00282AC9">
        <w:rPr>
          <w:sz w:val="27"/>
          <w:rtl/>
          <w:lang w:bidi="ar-LB"/>
        </w:rPr>
        <w:t>ـ</w:t>
      </w:r>
      <w:r w:rsidRPr="00282AC9">
        <w:rPr>
          <w:rFonts w:hint="cs"/>
          <w:sz w:val="27"/>
          <w:rtl/>
          <w:lang w:bidi="ar-LB"/>
        </w:rPr>
        <w:t xml:space="preserve"> على أيّ تقدير</w:t>
      </w:r>
      <w:r w:rsidR="00F15538" w:rsidRPr="00282AC9">
        <w:rPr>
          <w:rFonts w:hint="cs"/>
          <w:sz w:val="27"/>
          <w:rtl/>
          <w:lang w:bidi="ar-LB"/>
        </w:rPr>
        <w:t>ٍ</w:t>
      </w:r>
      <w:r w:rsidRPr="00282AC9">
        <w:rPr>
          <w:rFonts w:hint="cs"/>
          <w:sz w:val="27"/>
          <w:rtl/>
          <w:lang w:bidi="ar-LB"/>
        </w:rPr>
        <w:t xml:space="preserve"> </w:t>
      </w:r>
      <w:r w:rsidRPr="00282AC9">
        <w:rPr>
          <w:sz w:val="27"/>
          <w:rtl/>
          <w:lang w:bidi="ar-LB"/>
        </w:rPr>
        <w:t>ـ</w:t>
      </w:r>
      <w:r w:rsidRPr="00282AC9">
        <w:rPr>
          <w:rFonts w:hint="cs"/>
          <w:sz w:val="27"/>
          <w:rtl/>
          <w:lang w:bidi="ar-LB"/>
        </w:rPr>
        <w:t xml:space="preserve"> في غنىً عن هذا البحث بشأن الأحكام الوضعي</w:t>
      </w:r>
      <w:r w:rsidR="00F15538" w:rsidRPr="00282AC9">
        <w:rPr>
          <w:rFonts w:hint="cs"/>
          <w:sz w:val="27"/>
          <w:rtl/>
          <w:lang w:bidi="ar-LB"/>
        </w:rPr>
        <w:t>ّ</w:t>
      </w:r>
      <w:r w:rsidRPr="00282AC9">
        <w:rPr>
          <w:rFonts w:hint="cs"/>
          <w:sz w:val="27"/>
          <w:rtl/>
          <w:lang w:bidi="ar-LB"/>
        </w:rPr>
        <w:t>ة خاص</w:t>
      </w:r>
      <w:r w:rsidR="00F15538" w:rsidRPr="00282AC9">
        <w:rPr>
          <w:rFonts w:hint="cs"/>
          <w:sz w:val="27"/>
          <w:rtl/>
          <w:lang w:bidi="ar-LB"/>
        </w:rPr>
        <w:t>ّ</w:t>
      </w:r>
      <w:r w:rsidRPr="00282AC9">
        <w:rPr>
          <w:rFonts w:hint="cs"/>
          <w:sz w:val="27"/>
          <w:rtl/>
          <w:lang w:bidi="ar-LB"/>
        </w:rPr>
        <w:t>ة</w:t>
      </w:r>
      <w:r w:rsidR="00F15538" w:rsidRPr="00282AC9">
        <w:rPr>
          <w:rFonts w:hint="cs"/>
          <w:sz w:val="27"/>
          <w:rtl/>
          <w:lang w:bidi="ar-LB"/>
        </w:rPr>
        <w:t>ً</w:t>
      </w:r>
      <w:r w:rsidRPr="00282AC9">
        <w:rPr>
          <w:rFonts w:hint="cs"/>
          <w:sz w:val="27"/>
          <w:rtl/>
          <w:lang w:bidi="ar-LB"/>
        </w:rPr>
        <w:t>؛ حت</w:t>
      </w:r>
      <w:r w:rsidR="00F15538" w:rsidRPr="00282AC9">
        <w:rPr>
          <w:rFonts w:hint="cs"/>
          <w:sz w:val="27"/>
          <w:rtl/>
          <w:lang w:bidi="ar-LB"/>
        </w:rPr>
        <w:t>ّ</w:t>
      </w:r>
      <w:r w:rsidRPr="00282AC9">
        <w:rPr>
          <w:rFonts w:hint="cs"/>
          <w:sz w:val="27"/>
          <w:rtl/>
          <w:lang w:bidi="ar-LB"/>
        </w:rPr>
        <w:t>ى إذا افترضنا تماميّة القاعدة في الحكم التكليفي</w:t>
      </w:r>
      <w:r w:rsidR="00F15538" w:rsidRPr="00282AC9">
        <w:rPr>
          <w:rFonts w:hint="cs"/>
          <w:sz w:val="27"/>
          <w:rtl/>
          <w:lang w:bidi="ar-LB"/>
        </w:rPr>
        <w:t>ّ</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sz w:val="27"/>
          <w:rtl/>
          <w:lang w:bidi="ar-LB"/>
        </w:rPr>
        <w:t>وهذا واضح</w:t>
      </w:r>
      <w:r w:rsidR="00F15538" w:rsidRPr="00282AC9">
        <w:rPr>
          <w:rFonts w:hint="cs"/>
          <w:sz w:val="27"/>
          <w:rtl/>
          <w:lang w:bidi="ar-LB"/>
        </w:rPr>
        <w:t>ٌ</w:t>
      </w:r>
      <w:r w:rsidRPr="00282AC9">
        <w:rPr>
          <w:rFonts w:hint="cs"/>
          <w:sz w:val="27"/>
          <w:rtl/>
          <w:lang w:bidi="ar-LB"/>
        </w:rPr>
        <w:t xml:space="preserve"> على الوجهين الأخيرين، ولا مجال </w:t>
      </w:r>
      <w:r w:rsidRPr="00282AC9">
        <w:rPr>
          <w:sz w:val="27"/>
          <w:rtl/>
          <w:lang w:bidi="ar-LB"/>
        </w:rPr>
        <w:t>ـ</w:t>
      </w:r>
      <w:r w:rsidRPr="00282AC9">
        <w:rPr>
          <w:rFonts w:hint="cs"/>
          <w:sz w:val="27"/>
          <w:rtl/>
          <w:lang w:bidi="ar-LB"/>
        </w:rPr>
        <w:t xml:space="preserve"> بناءً عليهما </w:t>
      </w:r>
      <w:r w:rsidRPr="00282AC9">
        <w:rPr>
          <w:sz w:val="27"/>
          <w:rtl/>
          <w:lang w:bidi="ar-LB"/>
        </w:rPr>
        <w:t>ـ</w:t>
      </w:r>
      <w:r w:rsidRPr="00282AC9">
        <w:rPr>
          <w:rFonts w:hint="cs"/>
          <w:sz w:val="27"/>
          <w:rtl/>
          <w:lang w:bidi="ar-LB"/>
        </w:rPr>
        <w:t xml:space="preserve"> لتوهّ</w:t>
      </w:r>
      <w:r w:rsidR="00F15538" w:rsidRPr="00282AC9">
        <w:rPr>
          <w:rFonts w:hint="cs"/>
          <w:sz w:val="27"/>
          <w:rtl/>
          <w:lang w:bidi="ar-LB"/>
        </w:rPr>
        <w:t>ُ</w:t>
      </w:r>
      <w:r w:rsidRPr="00282AC9">
        <w:rPr>
          <w:rFonts w:hint="cs"/>
          <w:sz w:val="27"/>
          <w:rtl/>
          <w:lang w:bidi="ar-LB"/>
        </w:rPr>
        <w:t xml:space="preserve">م الملازمة </w:t>
      </w:r>
      <w:r w:rsidRPr="00282AC9">
        <w:rPr>
          <w:rFonts w:hint="cs"/>
          <w:sz w:val="27"/>
          <w:rtl/>
          <w:lang w:bidi="ar-LB"/>
        </w:rPr>
        <w:lastRenderedPageBreak/>
        <w:t>بينهما</w:t>
      </w:r>
      <w:r w:rsidR="00F15538" w:rsidRPr="00282AC9">
        <w:rPr>
          <w:rFonts w:hint="cs"/>
          <w:sz w:val="27"/>
          <w:rtl/>
          <w:lang w:bidi="ar-LB"/>
        </w:rPr>
        <w:t>؛</w:t>
      </w:r>
      <w:r w:rsidRPr="00282AC9">
        <w:rPr>
          <w:rFonts w:hint="cs"/>
          <w:sz w:val="27"/>
          <w:rtl/>
          <w:lang w:bidi="ar-LB"/>
        </w:rPr>
        <w:t xml:space="preserve"> لأنّ الأحكام الوضعي</w:t>
      </w:r>
      <w:r w:rsidR="00F15538" w:rsidRPr="00282AC9">
        <w:rPr>
          <w:rFonts w:hint="cs"/>
          <w:sz w:val="27"/>
          <w:rtl/>
          <w:lang w:bidi="ar-LB"/>
        </w:rPr>
        <w:t>ّ</w:t>
      </w:r>
      <w:r w:rsidRPr="00282AC9">
        <w:rPr>
          <w:rFonts w:hint="cs"/>
          <w:sz w:val="27"/>
          <w:rtl/>
          <w:lang w:bidi="ar-LB"/>
        </w:rPr>
        <w:t xml:space="preserve">ة حينئذٍ </w:t>
      </w:r>
      <w:r w:rsidRPr="00282AC9">
        <w:rPr>
          <w:sz w:val="27"/>
          <w:rtl/>
          <w:lang w:bidi="ar-LB"/>
        </w:rPr>
        <w:t>ـ</w:t>
      </w:r>
      <w:r w:rsidR="00F15538" w:rsidRPr="00282AC9">
        <w:rPr>
          <w:rFonts w:hint="cs"/>
          <w:sz w:val="27"/>
          <w:rtl/>
          <w:lang w:bidi="ar-LB"/>
        </w:rPr>
        <w:t xml:space="preserve"> إ</w:t>
      </w:r>
      <w:r w:rsidRPr="00282AC9">
        <w:rPr>
          <w:rFonts w:hint="cs"/>
          <w:sz w:val="27"/>
          <w:rtl/>
          <w:lang w:bidi="ar-LB"/>
        </w:rPr>
        <w:t xml:space="preserve">مّا كلّها أو بعضها </w:t>
      </w:r>
      <w:r w:rsidRPr="00282AC9">
        <w:rPr>
          <w:sz w:val="27"/>
          <w:rtl/>
          <w:lang w:bidi="ar-LB"/>
        </w:rPr>
        <w:t>ـ</w:t>
      </w:r>
      <w:r w:rsidRPr="00282AC9">
        <w:rPr>
          <w:rFonts w:hint="cs"/>
          <w:sz w:val="27"/>
          <w:rtl/>
          <w:lang w:bidi="ar-LB"/>
        </w:rPr>
        <w:t xml:space="preserve"> بحاجة</w:t>
      </w:r>
      <w:r w:rsidR="00F15538" w:rsidRPr="00282AC9">
        <w:rPr>
          <w:rFonts w:hint="cs"/>
          <w:sz w:val="27"/>
          <w:rtl/>
          <w:lang w:bidi="ar-LB"/>
        </w:rPr>
        <w:t>ٍ</w:t>
      </w:r>
      <w:r w:rsidRPr="00282AC9">
        <w:rPr>
          <w:rFonts w:hint="cs"/>
          <w:sz w:val="27"/>
          <w:rtl/>
          <w:lang w:bidi="ar-LB"/>
        </w:rPr>
        <w:t xml:space="preserve"> </w:t>
      </w:r>
      <w:r w:rsidR="00652020" w:rsidRPr="00282AC9">
        <w:rPr>
          <w:rFonts w:hint="cs"/>
          <w:sz w:val="27"/>
          <w:rtl/>
          <w:lang w:bidi="ar-LB"/>
        </w:rPr>
        <w:t>إ</w:t>
      </w:r>
      <w:r w:rsidRPr="00282AC9">
        <w:rPr>
          <w:rFonts w:hint="cs"/>
          <w:sz w:val="27"/>
          <w:rtl/>
          <w:lang w:bidi="ar-LB"/>
        </w:rPr>
        <w:t>لى جعل</w:t>
      </w:r>
      <w:r w:rsidR="00F15538" w:rsidRPr="00282AC9">
        <w:rPr>
          <w:rFonts w:hint="cs"/>
          <w:sz w:val="27"/>
          <w:rtl/>
          <w:lang w:bidi="ar-LB"/>
        </w:rPr>
        <w:t>ٍ</w:t>
      </w:r>
      <w:r w:rsidRPr="00282AC9">
        <w:rPr>
          <w:rFonts w:hint="cs"/>
          <w:sz w:val="27"/>
          <w:rtl/>
          <w:lang w:bidi="ar-LB"/>
        </w:rPr>
        <w:t xml:space="preserve"> مستقل</w:t>
      </w:r>
      <w:r w:rsidR="00F15538" w:rsidRPr="00282AC9">
        <w:rPr>
          <w:rFonts w:hint="cs"/>
          <w:sz w:val="27"/>
          <w:rtl/>
          <w:lang w:bidi="ar-LB"/>
        </w:rPr>
        <w:t>ّ</w:t>
      </w:r>
      <w:r w:rsidRPr="00282AC9">
        <w:rPr>
          <w:rFonts w:hint="cs"/>
          <w:sz w:val="27"/>
          <w:rtl/>
          <w:lang w:bidi="ar-LB"/>
        </w:rPr>
        <w:t>، ولا يكفي مجرّد جعل الأحكام التكليفية لحدوثها، وهذا يعني</w:t>
      </w:r>
      <w:r w:rsidR="00F15538" w:rsidRPr="00282AC9">
        <w:rPr>
          <w:rFonts w:hint="cs"/>
          <w:sz w:val="27"/>
          <w:rtl/>
          <w:lang w:bidi="ar-LB"/>
        </w:rPr>
        <w:t xml:space="preserve"> أنه</w:t>
      </w:r>
      <w:r w:rsidRPr="00282AC9">
        <w:rPr>
          <w:rFonts w:hint="cs"/>
          <w:sz w:val="27"/>
          <w:rtl/>
          <w:lang w:bidi="ar-LB"/>
        </w:rPr>
        <w:t xml:space="preserve"> بالإمكان أن يكون هناك واقعة</w:t>
      </w:r>
      <w:r w:rsidR="00F15538" w:rsidRPr="00282AC9">
        <w:rPr>
          <w:rFonts w:hint="cs"/>
          <w:sz w:val="27"/>
          <w:rtl/>
          <w:lang w:bidi="ar-LB"/>
        </w:rPr>
        <w:t>ٌ ب</w:t>
      </w:r>
      <w:r w:rsidRPr="00282AC9">
        <w:rPr>
          <w:rFonts w:hint="cs"/>
          <w:sz w:val="27"/>
          <w:rtl/>
          <w:lang w:bidi="ar-LB"/>
        </w:rPr>
        <w:t>لا حكمٍ وضعيّ</w:t>
      </w:r>
      <w:r w:rsidR="00F15538" w:rsidRPr="00282AC9">
        <w:rPr>
          <w:rFonts w:hint="cs"/>
          <w:sz w:val="27"/>
          <w:rtl/>
          <w:lang w:bidi="ar-LB"/>
        </w:rPr>
        <w:t>ٍ</w:t>
      </w:r>
      <w:r w:rsidRPr="00282AC9">
        <w:rPr>
          <w:rFonts w:hint="cs"/>
          <w:sz w:val="27"/>
          <w:rtl/>
          <w:lang w:bidi="ar-LB"/>
        </w:rPr>
        <w:t xml:space="preserve"> على الرغم من ثبوت حكم</w:t>
      </w:r>
      <w:r w:rsidR="00F15538" w:rsidRPr="00282AC9">
        <w:rPr>
          <w:rFonts w:hint="cs"/>
          <w:sz w:val="27"/>
          <w:rtl/>
          <w:lang w:bidi="ar-LB"/>
        </w:rPr>
        <w:t>ٍ</w:t>
      </w:r>
      <w:r w:rsidRPr="00282AC9">
        <w:rPr>
          <w:rFonts w:hint="cs"/>
          <w:sz w:val="27"/>
          <w:rtl/>
          <w:lang w:bidi="ar-LB"/>
        </w:rPr>
        <w:t xml:space="preserve"> تكليفي</w:t>
      </w:r>
      <w:r w:rsidR="00F15538" w:rsidRPr="00282AC9">
        <w:rPr>
          <w:rFonts w:hint="cs"/>
          <w:sz w:val="27"/>
          <w:rtl/>
          <w:lang w:bidi="ar-LB"/>
        </w:rPr>
        <w:t>ّ</w:t>
      </w:r>
      <w:r w:rsidRPr="00282AC9">
        <w:rPr>
          <w:rFonts w:hint="cs"/>
          <w:sz w:val="27"/>
          <w:rtl/>
          <w:lang w:bidi="ar-LB"/>
        </w:rPr>
        <w:t xml:space="preserve"> لها، ف</w:t>
      </w:r>
      <w:r w:rsidR="00674EF5" w:rsidRPr="00282AC9">
        <w:rPr>
          <w:rFonts w:hint="cs"/>
          <w:sz w:val="27"/>
          <w:rtl/>
          <w:lang w:bidi="ar-LB"/>
        </w:rPr>
        <w:t>لا بُدَّ</w:t>
      </w:r>
      <w:r w:rsidRPr="00282AC9">
        <w:rPr>
          <w:rFonts w:hint="cs"/>
          <w:sz w:val="27"/>
          <w:rtl/>
          <w:lang w:bidi="ar-LB"/>
        </w:rPr>
        <w:t xml:space="preserve"> من البحث عن خلوّ الواقعة عن الحكم الوضعي</w:t>
      </w:r>
      <w:r w:rsidR="00F15538" w:rsidRPr="00282AC9">
        <w:rPr>
          <w:rFonts w:hint="cs"/>
          <w:sz w:val="27"/>
          <w:rtl/>
          <w:lang w:bidi="ar-LB"/>
        </w:rPr>
        <w:t>ّ</w:t>
      </w:r>
      <w:r w:rsidRPr="00282AC9">
        <w:rPr>
          <w:rFonts w:hint="cs"/>
          <w:sz w:val="27"/>
          <w:rtl/>
          <w:lang w:bidi="ar-LB"/>
        </w:rPr>
        <w:t xml:space="preserve"> أيضاً.</w:t>
      </w:r>
    </w:p>
    <w:p w:rsidR="00A9019A" w:rsidRPr="00282AC9" w:rsidRDefault="00A9019A" w:rsidP="00B16272">
      <w:pPr>
        <w:tabs>
          <w:tab w:val="right" w:pos="6930"/>
        </w:tabs>
        <w:suppressAutoHyphens/>
        <w:rPr>
          <w:sz w:val="27"/>
          <w:rtl/>
          <w:lang w:bidi="ar-LB"/>
        </w:rPr>
      </w:pPr>
      <w:r w:rsidRPr="00282AC9">
        <w:rPr>
          <w:rFonts w:hint="cs"/>
          <w:sz w:val="27"/>
          <w:rtl/>
          <w:lang w:bidi="ar-LB"/>
        </w:rPr>
        <w:t>وأمّا على الوجه الأو</w:t>
      </w:r>
      <w:r w:rsidR="00F15538" w:rsidRPr="00282AC9">
        <w:rPr>
          <w:rFonts w:hint="cs"/>
          <w:sz w:val="27"/>
          <w:rtl/>
          <w:lang w:bidi="ar-LB"/>
        </w:rPr>
        <w:t>ّ</w:t>
      </w:r>
      <w:r w:rsidRPr="00282AC9">
        <w:rPr>
          <w:rFonts w:hint="cs"/>
          <w:sz w:val="27"/>
          <w:rtl/>
          <w:lang w:bidi="ar-LB"/>
        </w:rPr>
        <w:t>ل فكذ</w:t>
      </w:r>
      <w:r w:rsidR="00F15538" w:rsidRPr="00282AC9">
        <w:rPr>
          <w:rFonts w:hint="cs"/>
          <w:sz w:val="27"/>
          <w:rtl/>
          <w:lang w:bidi="ar-LB"/>
        </w:rPr>
        <w:t>ل</w:t>
      </w:r>
      <w:r w:rsidRPr="00282AC9">
        <w:rPr>
          <w:rFonts w:hint="cs"/>
          <w:sz w:val="27"/>
          <w:rtl/>
          <w:lang w:bidi="ar-LB"/>
        </w:rPr>
        <w:t>ك</w:t>
      </w:r>
      <w:r w:rsidR="00F15538" w:rsidRPr="00282AC9">
        <w:rPr>
          <w:rFonts w:hint="cs"/>
          <w:sz w:val="27"/>
          <w:rtl/>
          <w:lang w:bidi="ar-LB"/>
        </w:rPr>
        <w:t>؛ وذلك لأنّ الحكم الوضعيّ وإ</w:t>
      </w:r>
      <w:r w:rsidRPr="00282AC9">
        <w:rPr>
          <w:rFonts w:hint="cs"/>
          <w:sz w:val="27"/>
          <w:rtl/>
          <w:lang w:bidi="ar-LB"/>
        </w:rPr>
        <w:t>ن</w:t>
      </w:r>
      <w:r w:rsidR="00F15538" w:rsidRPr="00282AC9">
        <w:rPr>
          <w:rFonts w:hint="cs"/>
          <w:sz w:val="27"/>
          <w:rtl/>
          <w:lang w:bidi="ar-LB"/>
        </w:rPr>
        <w:t>ْ</w:t>
      </w:r>
      <w:r w:rsidRPr="00282AC9">
        <w:rPr>
          <w:rFonts w:hint="cs"/>
          <w:sz w:val="27"/>
          <w:rtl/>
          <w:lang w:bidi="ar-LB"/>
        </w:rPr>
        <w:t xml:space="preserve"> كان </w:t>
      </w:r>
      <w:r w:rsidRPr="00282AC9">
        <w:rPr>
          <w:sz w:val="27"/>
          <w:rtl/>
          <w:lang w:bidi="ar-LB"/>
        </w:rPr>
        <w:t>ـ</w:t>
      </w:r>
      <w:r w:rsidRPr="00282AC9">
        <w:rPr>
          <w:rFonts w:hint="cs"/>
          <w:sz w:val="27"/>
          <w:rtl/>
          <w:lang w:bidi="ar-LB"/>
        </w:rPr>
        <w:t xml:space="preserve"> بناءً عليه </w:t>
      </w:r>
      <w:r w:rsidRPr="00282AC9">
        <w:rPr>
          <w:sz w:val="27"/>
          <w:rtl/>
          <w:lang w:bidi="ar-LB"/>
        </w:rPr>
        <w:t>ـ</w:t>
      </w:r>
      <w:r w:rsidRPr="00282AC9">
        <w:rPr>
          <w:rFonts w:hint="cs"/>
          <w:sz w:val="27"/>
          <w:rtl/>
          <w:lang w:bidi="ar-LB"/>
        </w:rPr>
        <w:t xml:space="preserve"> ملاز</w:t>
      </w:r>
      <w:r w:rsidR="00F15538" w:rsidRPr="00282AC9">
        <w:rPr>
          <w:rFonts w:hint="cs"/>
          <w:sz w:val="27"/>
          <w:rtl/>
          <w:lang w:bidi="ar-LB"/>
        </w:rPr>
        <w:t>ِ</w:t>
      </w:r>
      <w:r w:rsidRPr="00282AC9">
        <w:rPr>
          <w:rFonts w:hint="cs"/>
          <w:sz w:val="27"/>
          <w:rtl/>
          <w:lang w:bidi="ar-LB"/>
        </w:rPr>
        <w:t>ماً للحكم التكليفي</w:t>
      </w:r>
      <w:r w:rsidR="00F15538" w:rsidRPr="00282AC9">
        <w:rPr>
          <w:rFonts w:hint="cs"/>
          <w:sz w:val="27"/>
          <w:rtl/>
          <w:lang w:bidi="ar-LB"/>
        </w:rPr>
        <w:t>ّ</w:t>
      </w:r>
      <w:r w:rsidRPr="00282AC9">
        <w:rPr>
          <w:rFonts w:hint="cs"/>
          <w:sz w:val="27"/>
          <w:rtl/>
          <w:lang w:bidi="ar-LB"/>
        </w:rPr>
        <w:t xml:space="preserve"> ملازمة المنتزع لمنشأ انتزاعه، إلاّ أنَّ الملازمة من طرف</w:t>
      </w:r>
      <w:r w:rsidR="00F15538" w:rsidRPr="00282AC9">
        <w:rPr>
          <w:rFonts w:hint="cs"/>
          <w:sz w:val="27"/>
          <w:rtl/>
          <w:lang w:bidi="ar-LB"/>
        </w:rPr>
        <w:t>ٍ</w:t>
      </w:r>
      <w:r w:rsidRPr="00282AC9">
        <w:rPr>
          <w:rFonts w:hint="cs"/>
          <w:sz w:val="27"/>
          <w:rtl/>
          <w:lang w:bidi="ar-LB"/>
        </w:rPr>
        <w:t xml:space="preserve"> واحد، وليس الحكم التكليفي ملازماً لانتزاع الحكم الوضعي</w:t>
      </w:r>
      <w:r w:rsidR="00F15538" w:rsidRPr="00282AC9">
        <w:rPr>
          <w:rFonts w:hint="cs"/>
          <w:sz w:val="27"/>
          <w:rtl/>
          <w:lang w:bidi="ar-LB"/>
        </w:rPr>
        <w:t>ّ</w:t>
      </w:r>
      <w:r w:rsidRPr="00282AC9">
        <w:rPr>
          <w:rFonts w:hint="cs"/>
          <w:sz w:val="27"/>
          <w:rtl/>
          <w:lang w:bidi="ar-LB"/>
        </w:rPr>
        <w:t xml:space="preserve"> منه</w:t>
      </w:r>
      <w:r w:rsidR="00F15538" w:rsidRPr="00282AC9">
        <w:rPr>
          <w:rFonts w:hint="cs"/>
          <w:sz w:val="27"/>
          <w:rtl/>
          <w:lang w:bidi="ar-LB"/>
        </w:rPr>
        <w:t>؛</w:t>
      </w:r>
      <w:r w:rsidRPr="00282AC9">
        <w:rPr>
          <w:rFonts w:hint="cs"/>
          <w:sz w:val="27"/>
          <w:rtl/>
          <w:lang w:bidi="ar-LB"/>
        </w:rPr>
        <w:t xml:space="preserve"> إذ ليس كلّ حكم</w:t>
      </w:r>
      <w:r w:rsidR="00F15538" w:rsidRPr="00282AC9">
        <w:rPr>
          <w:rFonts w:hint="cs"/>
          <w:sz w:val="27"/>
          <w:rtl/>
          <w:lang w:bidi="ar-LB"/>
        </w:rPr>
        <w:t>ٍ</w:t>
      </w:r>
      <w:r w:rsidRPr="00282AC9">
        <w:rPr>
          <w:rFonts w:hint="cs"/>
          <w:sz w:val="27"/>
          <w:rtl/>
          <w:lang w:bidi="ar-LB"/>
        </w:rPr>
        <w:t xml:space="preserve"> تكليفي</w:t>
      </w:r>
      <w:r w:rsidR="00F15538" w:rsidRPr="00282AC9">
        <w:rPr>
          <w:rFonts w:hint="cs"/>
          <w:sz w:val="27"/>
          <w:rtl/>
          <w:lang w:bidi="ar-LB"/>
        </w:rPr>
        <w:t>ّ</w:t>
      </w:r>
      <w:r w:rsidRPr="00282AC9">
        <w:rPr>
          <w:rFonts w:hint="cs"/>
          <w:sz w:val="27"/>
          <w:rtl/>
          <w:lang w:bidi="ar-LB"/>
        </w:rPr>
        <w:t xml:space="preserve"> ينتزع منه حكم</w:t>
      </w:r>
      <w:r w:rsidR="00F15538" w:rsidRPr="00282AC9">
        <w:rPr>
          <w:rFonts w:hint="cs"/>
          <w:sz w:val="27"/>
          <w:rtl/>
          <w:lang w:bidi="ar-LB"/>
        </w:rPr>
        <w:t>ٌ</w:t>
      </w:r>
      <w:r w:rsidRPr="00282AC9">
        <w:rPr>
          <w:rFonts w:hint="cs"/>
          <w:sz w:val="27"/>
          <w:rtl/>
          <w:lang w:bidi="ar-LB"/>
        </w:rPr>
        <w:t xml:space="preserve"> وضعيّ، وإن</w:t>
      </w:r>
      <w:r w:rsidR="00F15538" w:rsidRPr="00282AC9">
        <w:rPr>
          <w:rFonts w:hint="cs"/>
          <w:sz w:val="27"/>
          <w:rtl/>
          <w:lang w:bidi="ar-LB"/>
        </w:rPr>
        <w:t>ْ</w:t>
      </w:r>
      <w:r w:rsidRPr="00282AC9">
        <w:rPr>
          <w:rFonts w:hint="cs"/>
          <w:sz w:val="27"/>
          <w:rtl/>
          <w:lang w:bidi="ar-LB"/>
        </w:rPr>
        <w:t xml:space="preserve"> كان كلّ حكمٍ وضعيّ منتزعاً من حكم</w:t>
      </w:r>
      <w:r w:rsidR="00F15538" w:rsidRPr="00282AC9">
        <w:rPr>
          <w:rFonts w:hint="cs"/>
          <w:sz w:val="27"/>
          <w:rtl/>
          <w:lang w:bidi="ar-LB"/>
        </w:rPr>
        <w:t>ٍ</w:t>
      </w:r>
      <w:r w:rsidRPr="00282AC9">
        <w:rPr>
          <w:rFonts w:hint="cs"/>
          <w:sz w:val="27"/>
          <w:rtl/>
          <w:lang w:bidi="ar-LB"/>
        </w:rPr>
        <w:t xml:space="preserve"> تكليفي، وهذا واضح</w:t>
      </w:r>
      <w:r w:rsidR="00F15538" w:rsidRPr="00282AC9">
        <w:rPr>
          <w:rFonts w:hint="cs"/>
          <w:sz w:val="27"/>
          <w:rtl/>
          <w:lang w:bidi="ar-LB"/>
        </w:rPr>
        <w:t>ٌ</w:t>
      </w:r>
      <w:r w:rsidRPr="00282AC9">
        <w:rPr>
          <w:rFonts w:hint="cs"/>
          <w:sz w:val="27"/>
          <w:rtl/>
          <w:lang w:bidi="ar-LB"/>
        </w:rPr>
        <w:t xml:space="preserve"> بأدنى تأم</w:t>
      </w:r>
      <w:r w:rsidR="00F15538" w:rsidRPr="00282AC9">
        <w:rPr>
          <w:rFonts w:hint="cs"/>
          <w:sz w:val="27"/>
          <w:rtl/>
          <w:lang w:bidi="ar-LB"/>
        </w:rPr>
        <w:t>ُّ</w:t>
      </w:r>
      <w:r w:rsidRPr="00282AC9">
        <w:rPr>
          <w:rFonts w:hint="cs"/>
          <w:sz w:val="27"/>
          <w:rtl/>
          <w:lang w:bidi="ar-LB"/>
        </w:rPr>
        <w:t>ل</w:t>
      </w:r>
      <w:r w:rsidR="00F15538" w:rsidRPr="00282AC9">
        <w:rPr>
          <w:rFonts w:hint="cs"/>
          <w:sz w:val="27"/>
          <w:rtl/>
          <w:lang w:bidi="ar-LB"/>
        </w:rPr>
        <w:t>ٍ</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sz w:val="27"/>
          <w:rtl/>
          <w:lang w:bidi="ar-LB"/>
        </w:rPr>
        <w:t>وعليه فإثبات أنّ الواقعة لا تخلو من الحكم التكليفي</w:t>
      </w:r>
      <w:r w:rsidR="007D5433" w:rsidRPr="00282AC9">
        <w:rPr>
          <w:rFonts w:hint="cs"/>
          <w:sz w:val="27"/>
          <w:rtl/>
          <w:lang w:bidi="ar-LB"/>
        </w:rPr>
        <w:t>ّ</w:t>
      </w:r>
      <w:r w:rsidRPr="00282AC9">
        <w:rPr>
          <w:rFonts w:hint="cs"/>
          <w:sz w:val="27"/>
          <w:rtl/>
          <w:lang w:bidi="ar-LB"/>
        </w:rPr>
        <w:t xml:space="preserve"> لا يغنينا عن الكلام في خلوّ الواقعة عن الحكم الوضعي</w:t>
      </w:r>
      <w:r w:rsidR="007D5433" w:rsidRPr="00282AC9">
        <w:rPr>
          <w:rFonts w:hint="cs"/>
          <w:sz w:val="27"/>
          <w:rtl/>
          <w:lang w:bidi="ar-LB"/>
        </w:rPr>
        <w:t>ّ</w:t>
      </w:r>
      <w:r w:rsidRPr="00282AC9">
        <w:rPr>
          <w:rFonts w:hint="cs"/>
          <w:sz w:val="27"/>
          <w:rtl/>
          <w:lang w:bidi="ar-LB"/>
        </w:rPr>
        <w:t>، ف</w:t>
      </w:r>
      <w:r w:rsidR="00674EF5" w:rsidRPr="00282AC9">
        <w:rPr>
          <w:rFonts w:hint="cs"/>
          <w:sz w:val="27"/>
          <w:rtl/>
          <w:lang w:bidi="ar-LB"/>
        </w:rPr>
        <w:t>لا بُدَّ</w:t>
      </w:r>
      <w:r w:rsidRPr="00282AC9">
        <w:rPr>
          <w:rFonts w:hint="cs"/>
          <w:sz w:val="27"/>
          <w:rtl/>
          <w:lang w:bidi="ar-LB"/>
        </w:rPr>
        <w:t xml:space="preserve"> من عقد بحث</w:t>
      </w:r>
      <w:r w:rsidR="007D5433" w:rsidRPr="00282AC9">
        <w:rPr>
          <w:rFonts w:hint="cs"/>
          <w:sz w:val="27"/>
          <w:rtl/>
          <w:lang w:bidi="ar-LB"/>
        </w:rPr>
        <w:t>ٍ</w:t>
      </w:r>
      <w:r w:rsidRPr="00282AC9">
        <w:rPr>
          <w:rFonts w:hint="cs"/>
          <w:sz w:val="27"/>
          <w:rtl/>
          <w:lang w:bidi="ar-LB"/>
        </w:rPr>
        <w:t xml:space="preserve"> مستقلّ</w:t>
      </w:r>
      <w:r w:rsidR="007D5433" w:rsidRPr="00282AC9">
        <w:rPr>
          <w:rFonts w:hint="cs"/>
          <w:sz w:val="27"/>
          <w:rtl/>
          <w:lang w:bidi="ar-LB"/>
        </w:rPr>
        <w:t>ٍ</w:t>
      </w:r>
      <w:r w:rsidRPr="00282AC9">
        <w:rPr>
          <w:rFonts w:hint="cs"/>
          <w:sz w:val="27"/>
          <w:rtl/>
          <w:lang w:bidi="ar-LB"/>
        </w:rPr>
        <w:t xml:space="preserve"> عن خصوص الأحكام الوضعي</w:t>
      </w:r>
      <w:r w:rsidR="007D5433" w:rsidRPr="00282AC9">
        <w:rPr>
          <w:rFonts w:hint="cs"/>
          <w:sz w:val="27"/>
          <w:rtl/>
          <w:lang w:bidi="ar-LB"/>
        </w:rPr>
        <w:t>ّ</w:t>
      </w:r>
      <w:r w:rsidRPr="00282AC9">
        <w:rPr>
          <w:rFonts w:hint="cs"/>
          <w:sz w:val="27"/>
          <w:rtl/>
          <w:lang w:bidi="ar-LB"/>
        </w:rPr>
        <w:t>ة.</w:t>
      </w:r>
    </w:p>
    <w:p w:rsidR="00A9019A" w:rsidRPr="00282AC9" w:rsidRDefault="00A9019A" w:rsidP="00B16272">
      <w:pPr>
        <w:tabs>
          <w:tab w:val="right" w:pos="6930"/>
        </w:tabs>
        <w:suppressAutoHyphens/>
        <w:rPr>
          <w:sz w:val="27"/>
          <w:rtl/>
          <w:lang w:bidi="ar-LB"/>
        </w:rPr>
      </w:pPr>
      <w:r w:rsidRPr="00282AC9">
        <w:rPr>
          <w:rFonts w:hint="cs"/>
          <w:sz w:val="27"/>
          <w:rtl/>
          <w:lang w:bidi="ar-LB"/>
        </w:rPr>
        <w:t>إلاّ أنّ وجهة نظرنا في هذه الرسالة مقصورة</w:t>
      </w:r>
      <w:r w:rsidR="007D5433" w:rsidRPr="00282AC9">
        <w:rPr>
          <w:rFonts w:hint="cs"/>
          <w:sz w:val="27"/>
          <w:rtl/>
          <w:lang w:bidi="ar-LB"/>
        </w:rPr>
        <w:t>ٌ</w:t>
      </w:r>
      <w:r w:rsidRPr="00282AC9">
        <w:rPr>
          <w:rFonts w:hint="cs"/>
          <w:sz w:val="27"/>
          <w:rtl/>
          <w:lang w:bidi="ar-LB"/>
        </w:rPr>
        <w:t xml:space="preserve"> على الأحكام التكليفية، ولا نبحث عن خلوّ الأفعال وعدم خلوّها من الحكم الوضعي</w:t>
      </w:r>
      <w:r w:rsidR="007D5433" w:rsidRPr="00282AC9">
        <w:rPr>
          <w:rFonts w:hint="cs"/>
          <w:sz w:val="27"/>
          <w:rtl/>
          <w:lang w:bidi="ar-LB"/>
        </w:rPr>
        <w:t>ّ</w:t>
      </w:r>
      <w:r w:rsidRPr="00282AC9">
        <w:rPr>
          <w:rFonts w:hint="cs"/>
          <w:sz w:val="27"/>
          <w:rtl/>
          <w:lang w:bidi="ar-LB"/>
        </w:rPr>
        <w:t xml:space="preserve">؛ </w:t>
      </w:r>
      <w:r w:rsidR="007D5433" w:rsidRPr="00282AC9">
        <w:rPr>
          <w:rFonts w:hint="cs"/>
          <w:sz w:val="27"/>
          <w:rtl/>
          <w:lang w:bidi="ar-LB"/>
        </w:rPr>
        <w:t>فإنّ ذلك ممّا يتطلّب مجالاً آخر</w:t>
      </w:r>
      <w:r w:rsidRPr="00282AC9">
        <w:rPr>
          <w:rFonts w:hint="cs"/>
          <w:sz w:val="27"/>
          <w:rtl/>
          <w:lang w:bidi="ar-LB"/>
        </w:rPr>
        <w:t xml:space="preserve"> من البحث</w:t>
      </w:r>
      <w:r w:rsidR="007D5433" w:rsidRPr="00282AC9">
        <w:rPr>
          <w:rFonts w:hint="cs"/>
          <w:sz w:val="27"/>
          <w:rtl/>
          <w:lang w:bidi="ar-LB"/>
        </w:rPr>
        <w:t>،</w:t>
      </w:r>
      <w:r w:rsidRPr="00282AC9">
        <w:rPr>
          <w:rFonts w:hint="cs"/>
          <w:sz w:val="27"/>
          <w:rtl/>
          <w:lang w:bidi="ar-LB"/>
        </w:rPr>
        <w:t xml:space="preserve"> لعلّ التوفيق يساعدنا عليه فيما بعد إن</w:t>
      </w:r>
      <w:r w:rsidR="007D5433" w:rsidRPr="00282AC9">
        <w:rPr>
          <w:rFonts w:hint="cs"/>
          <w:sz w:val="27"/>
          <w:rtl/>
          <w:lang w:bidi="ar-LB"/>
        </w:rPr>
        <w:t>ْ</w:t>
      </w:r>
      <w:r w:rsidRPr="00282AC9">
        <w:rPr>
          <w:rFonts w:hint="cs"/>
          <w:sz w:val="27"/>
          <w:rtl/>
          <w:lang w:bidi="ar-LB"/>
        </w:rPr>
        <w:t xml:space="preserve"> شاء الله تعالى.</w:t>
      </w:r>
    </w:p>
    <w:p w:rsidR="00A9019A" w:rsidRPr="00282AC9" w:rsidRDefault="00A9019A" w:rsidP="00B16272">
      <w:pPr>
        <w:tabs>
          <w:tab w:val="right" w:pos="6930"/>
        </w:tabs>
        <w:suppressAutoHyphens/>
        <w:rPr>
          <w:sz w:val="27"/>
          <w:rtl/>
          <w:lang w:bidi="ar-LB"/>
        </w:rPr>
      </w:pPr>
      <w:r w:rsidRPr="00282AC9">
        <w:rPr>
          <w:rFonts w:hint="cs"/>
          <w:sz w:val="27"/>
          <w:rtl/>
          <w:lang w:bidi="ar-LB"/>
        </w:rPr>
        <w:t>وقد ي</w:t>
      </w:r>
      <w:r w:rsidR="007D5433" w:rsidRPr="00282AC9">
        <w:rPr>
          <w:rFonts w:hint="cs"/>
          <w:sz w:val="27"/>
          <w:rtl/>
          <w:lang w:bidi="ar-LB"/>
        </w:rPr>
        <w:t>ُ</w:t>
      </w:r>
      <w:r w:rsidRPr="00282AC9">
        <w:rPr>
          <w:rFonts w:hint="cs"/>
          <w:sz w:val="27"/>
          <w:rtl/>
          <w:lang w:bidi="ar-LB"/>
        </w:rPr>
        <w:t>قال: إنّه لا يبعد القول بعدم الخلوّ فيها أيضاً</w:t>
      </w:r>
      <w:r w:rsidR="007D5433" w:rsidRPr="00282AC9">
        <w:rPr>
          <w:rFonts w:hint="cs"/>
          <w:sz w:val="27"/>
          <w:rtl/>
          <w:lang w:bidi="ar-LB"/>
        </w:rPr>
        <w:t xml:space="preserve">، </w:t>
      </w:r>
      <w:r w:rsidRPr="00282AC9">
        <w:rPr>
          <w:rFonts w:hint="cs"/>
          <w:sz w:val="27"/>
          <w:rtl/>
          <w:lang w:bidi="ar-LB"/>
        </w:rPr>
        <w:t>على أساس أنّ أفعال المكلّ</w:t>
      </w:r>
      <w:r w:rsidR="007D5433" w:rsidRPr="00282AC9">
        <w:rPr>
          <w:rFonts w:hint="cs"/>
          <w:sz w:val="27"/>
          <w:rtl/>
          <w:lang w:bidi="ar-LB"/>
        </w:rPr>
        <w:t>َ</w:t>
      </w:r>
      <w:r w:rsidRPr="00282AC9">
        <w:rPr>
          <w:rFonts w:hint="cs"/>
          <w:sz w:val="27"/>
          <w:rtl/>
          <w:lang w:bidi="ar-LB"/>
        </w:rPr>
        <w:t>فين كلّها مملوكة</w:t>
      </w:r>
      <w:r w:rsidR="007D5433" w:rsidRPr="00282AC9">
        <w:rPr>
          <w:rFonts w:hint="cs"/>
          <w:sz w:val="27"/>
          <w:rtl/>
          <w:lang w:bidi="ar-LB"/>
        </w:rPr>
        <w:t>ٌ</w:t>
      </w:r>
      <w:r w:rsidRPr="00282AC9">
        <w:rPr>
          <w:rFonts w:hint="cs"/>
          <w:sz w:val="27"/>
          <w:rtl/>
          <w:lang w:bidi="ar-LB"/>
        </w:rPr>
        <w:t xml:space="preserve"> لهم ب</w:t>
      </w:r>
      <w:r w:rsidR="00EB1216" w:rsidRPr="00282AC9">
        <w:rPr>
          <w:rFonts w:hint="cs"/>
          <w:sz w:val="27"/>
          <w:rtl/>
          <w:lang w:bidi="ar-LB"/>
        </w:rPr>
        <w:t>المِلْكيّة</w:t>
      </w:r>
      <w:r w:rsidRPr="00282AC9">
        <w:rPr>
          <w:rFonts w:hint="cs"/>
          <w:sz w:val="27"/>
          <w:rtl/>
          <w:lang w:bidi="ar-LB"/>
        </w:rPr>
        <w:t xml:space="preserve"> الشرعية الذاتية. والم</w:t>
      </w:r>
      <w:r w:rsidR="007D5433" w:rsidRPr="00282AC9">
        <w:rPr>
          <w:rFonts w:hint="cs"/>
          <w:sz w:val="27"/>
          <w:rtl/>
          <w:lang w:bidi="ar-LB"/>
        </w:rPr>
        <w:t>ِ</w:t>
      </w:r>
      <w:r w:rsidRPr="00282AC9">
        <w:rPr>
          <w:rFonts w:hint="cs"/>
          <w:sz w:val="27"/>
          <w:rtl/>
          <w:lang w:bidi="ar-LB"/>
        </w:rPr>
        <w:t>ل</w:t>
      </w:r>
      <w:r w:rsidR="007D5433" w:rsidRPr="00282AC9">
        <w:rPr>
          <w:rFonts w:hint="cs"/>
          <w:sz w:val="27"/>
          <w:rtl/>
          <w:lang w:bidi="ar-LB"/>
        </w:rPr>
        <w:t>ْ</w:t>
      </w:r>
      <w:r w:rsidRPr="00282AC9">
        <w:rPr>
          <w:rFonts w:hint="cs"/>
          <w:sz w:val="27"/>
          <w:rtl/>
          <w:lang w:bidi="ar-LB"/>
        </w:rPr>
        <w:t>كي</w:t>
      </w:r>
      <w:r w:rsidR="007D5433" w:rsidRPr="00282AC9">
        <w:rPr>
          <w:rFonts w:hint="cs"/>
          <w:sz w:val="27"/>
          <w:rtl/>
          <w:lang w:bidi="ar-LB"/>
        </w:rPr>
        <w:t>ّ</w:t>
      </w:r>
      <w:r w:rsidRPr="00282AC9">
        <w:rPr>
          <w:rFonts w:hint="cs"/>
          <w:sz w:val="27"/>
          <w:rtl/>
          <w:lang w:bidi="ar-LB"/>
        </w:rPr>
        <w:t>ة حكم</w:t>
      </w:r>
      <w:r w:rsidR="007D5433" w:rsidRPr="00282AC9">
        <w:rPr>
          <w:rFonts w:hint="cs"/>
          <w:sz w:val="27"/>
          <w:rtl/>
          <w:lang w:bidi="ar-LB"/>
        </w:rPr>
        <w:t>ٌ</w:t>
      </w:r>
      <w:r w:rsidRPr="00282AC9">
        <w:rPr>
          <w:rFonts w:hint="cs"/>
          <w:sz w:val="27"/>
          <w:rtl/>
          <w:lang w:bidi="ar-LB"/>
        </w:rPr>
        <w:t xml:space="preserve"> وضعيّ، وهذا يعني: عدم خلوّ فعل</w:t>
      </w:r>
      <w:r w:rsidR="007D5433" w:rsidRPr="00282AC9">
        <w:rPr>
          <w:rFonts w:hint="cs"/>
          <w:sz w:val="27"/>
          <w:rtl/>
          <w:lang w:bidi="ar-LB"/>
        </w:rPr>
        <w:t>ٍ</w:t>
      </w:r>
      <w:r w:rsidRPr="00282AC9">
        <w:rPr>
          <w:rFonts w:hint="cs"/>
          <w:sz w:val="27"/>
          <w:rtl/>
          <w:lang w:bidi="ar-LB"/>
        </w:rPr>
        <w:t xml:space="preserve"> من الأفعال عن الحكم الوضعي</w:t>
      </w:r>
      <w:r w:rsidR="007D5433" w:rsidRPr="00282AC9">
        <w:rPr>
          <w:rFonts w:hint="cs"/>
          <w:sz w:val="27"/>
          <w:rtl/>
          <w:lang w:bidi="ar-LB"/>
        </w:rPr>
        <w:t>ّ</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sz w:val="27"/>
          <w:rtl/>
          <w:lang w:bidi="ar-LB"/>
        </w:rPr>
        <w:t>وكيف كان، فتحقيق القول في ذلك</w:t>
      </w:r>
      <w:r w:rsidR="007D5433" w:rsidRPr="00282AC9">
        <w:rPr>
          <w:rFonts w:hint="cs"/>
          <w:sz w:val="27"/>
          <w:rtl/>
          <w:lang w:bidi="ar-LB"/>
        </w:rPr>
        <w:t xml:space="preserve"> ـ</w:t>
      </w:r>
      <w:r w:rsidRPr="00282AC9">
        <w:rPr>
          <w:rFonts w:hint="cs"/>
          <w:sz w:val="27"/>
          <w:rtl/>
          <w:lang w:bidi="ar-LB"/>
        </w:rPr>
        <w:t xml:space="preserve"> إيجاباً وسلباً</w:t>
      </w:r>
      <w:r w:rsidR="007D5433" w:rsidRPr="00282AC9">
        <w:rPr>
          <w:rFonts w:hint="cs"/>
          <w:sz w:val="27"/>
          <w:rtl/>
          <w:lang w:bidi="ar-LB"/>
        </w:rPr>
        <w:t>، وما يترتّب عليه من الث</w:t>
      </w:r>
      <w:r w:rsidRPr="00282AC9">
        <w:rPr>
          <w:rFonts w:hint="cs"/>
          <w:sz w:val="27"/>
          <w:rtl/>
          <w:lang w:bidi="ar-LB"/>
        </w:rPr>
        <w:t>مار الأصولية أو الفقهية</w:t>
      </w:r>
      <w:r w:rsidR="007D5433" w:rsidRPr="00282AC9">
        <w:rPr>
          <w:rFonts w:hint="cs"/>
          <w:sz w:val="27"/>
          <w:rtl/>
          <w:lang w:bidi="ar-LB"/>
        </w:rPr>
        <w:t>،</w:t>
      </w:r>
      <w:r w:rsidRPr="00282AC9">
        <w:rPr>
          <w:rFonts w:hint="cs"/>
          <w:sz w:val="27"/>
          <w:rtl/>
          <w:lang w:bidi="ar-LB"/>
        </w:rPr>
        <w:t xml:space="preserve"> موكول</w:t>
      </w:r>
      <w:r w:rsidR="007D5433" w:rsidRPr="00282AC9">
        <w:rPr>
          <w:rFonts w:hint="cs"/>
          <w:sz w:val="27"/>
          <w:rtl/>
          <w:lang w:bidi="ar-LB"/>
        </w:rPr>
        <w:t>ٌ</w:t>
      </w:r>
      <w:r w:rsidRPr="00282AC9">
        <w:rPr>
          <w:rFonts w:hint="cs"/>
          <w:sz w:val="27"/>
          <w:rtl/>
          <w:lang w:bidi="ar-LB"/>
        </w:rPr>
        <w:t xml:space="preserve"> </w:t>
      </w:r>
      <w:r w:rsidR="007D5433" w:rsidRPr="00282AC9">
        <w:rPr>
          <w:rFonts w:hint="cs"/>
          <w:sz w:val="27"/>
          <w:rtl/>
          <w:lang w:bidi="ar-LB"/>
        </w:rPr>
        <w:t>إ</w:t>
      </w:r>
      <w:r w:rsidRPr="00282AC9">
        <w:rPr>
          <w:rFonts w:hint="cs"/>
          <w:sz w:val="27"/>
          <w:rtl/>
          <w:lang w:bidi="ar-LB"/>
        </w:rPr>
        <w:t>لى مجال</w:t>
      </w:r>
      <w:r w:rsidR="007D5433" w:rsidRPr="00282AC9">
        <w:rPr>
          <w:rFonts w:hint="cs"/>
          <w:sz w:val="27"/>
          <w:rtl/>
          <w:lang w:bidi="ar-LB"/>
        </w:rPr>
        <w:t>ٍ</w:t>
      </w:r>
      <w:r w:rsidRPr="00282AC9">
        <w:rPr>
          <w:rFonts w:hint="cs"/>
          <w:sz w:val="27"/>
          <w:rtl/>
          <w:lang w:bidi="ar-LB"/>
        </w:rPr>
        <w:t xml:space="preserve"> آخر.</w:t>
      </w:r>
    </w:p>
    <w:p w:rsidR="00A9019A" w:rsidRPr="00282AC9" w:rsidRDefault="00A9019A" w:rsidP="00CC0484">
      <w:pPr>
        <w:tabs>
          <w:tab w:val="right" w:pos="6930"/>
        </w:tabs>
        <w:suppressAutoHyphens/>
        <w:spacing w:line="420" w:lineRule="exact"/>
        <w:rPr>
          <w:sz w:val="27"/>
          <w:rtl/>
          <w:lang w:bidi="ar-LB"/>
        </w:rPr>
      </w:pPr>
    </w:p>
    <w:p w:rsidR="00A9019A" w:rsidRPr="00282AC9" w:rsidRDefault="00BE26DE" w:rsidP="007D5433">
      <w:pPr>
        <w:pStyle w:val="31"/>
        <w:rPr>
          <w:color w:val="auto"/>
          <w:rtl/>
          <w:lang w:bidi="ar-LB"/>
        </w:rPr>
      </w:pPr>
      <w:r w:rsidRPr="00282AC9">
        <w:rPr>
          <w:rFonts w:hint="cs"/>
          <w:color w:val="auto"/>
          <w:rtl/>
          <w:lang w:bidi="ar-LB"/>
        </w:rPr>
        <w:t>2ـ</w:t>
      </w:r>
      <w:r w:rsidR="00A9019A" w:rsidRPr="00282AC9">
        <w:rPr>
          <w:rFonts w:hint="cs"/>
          <w:color w:val="auto"/>
          <w:rtl/>
          <w:lang w:bidi="ar-LB"/>
        </w:rPr>
        <w:t xml:space="preserve"> </w:t>
      </w:r>
      <w:r w:rsidR="007D5433" w:rsidRPr="00282AC9">
        <w:rPr>
          <w:rFonts w:hint="cs"/>
          <w:color w:val="auto"/>
          <w:rtl/>
          <w:lang w:bidi="ar-LB"/>
        </w:rPr>
        <w:t xml:space="preserve">الحكم </w:t>
      </w:r>
      <w:r w:rsidR="00A9019A" w:rsidRPr="00282AC9">
        <w:rPr>
          <w:rFonts w:hint="cs"/>
          <w:color w:val="auto"/>
          <w:rtl/>
          <w:lang w:bidi="ar-LB"/>
        </w:rPr>
        <w:t>الواقعي</w:t>
      </w:r>
      <w:r w:rsidR="007D5433" w:rsidRPr="00282AC9">
        <w:rPr>
          <w:rFonts w:hint="cs"/>
          <w:color w:val="auto"/>
          <w:rtl/>
          <w:lang w:bidi="ar-LB"/>
        </w:rPr>
        <w:t>ّ</w:t>
      </w:r>
      <w:r w:rsidR="00A9019A" w:rsidRPr="00282AC9">
        <w:rPr>
          <w:rFonts w:hint="cs"/>
          <w:color w:val="auto"/>
          <w:rtl/>
          <w:lang w:bidi="ar-LB"/>
        </w:rPr>
        <w:t xml:space="preserve"> والظاهريّ</w:t>
      </w:r>
    </w:p>
    <w:p w:rsidR="00A9019A" w:rsidRPr="00282AC9" w:rsidRDefault="007D5433" w:rsidP="00B16272">
      <w:pPr>
        <w:tabs>
          <w:tab w:val="right" w:pos="6930"/>
        </w:tabs>
        <w:suppressAutoHyphens/>
        <w:rPr>
          <w:sz w:val="27"/>
          <w:rtl/>
          <w:lang w:bidi="ar-LB"/>
        </w:rPr>
      </w:pPr>
      <w:r w:rsidRPr="00282AC9">
        <w:rPr>
          <w:rFonts w:hint="cs"/>
          <w:sz w:val="27"/>
          <w:rtl/>
          <w:lang w:bidi="ar-LB"/>
        </w:rPr>
        <w:t>فإن</w:t>
      </w:r>
      <w:r w:rsidR="00A9019A" w:rsidRPr="00282AC9">
        <w:rPr>
          <w:rFonts w:hint="cs"/>
          <w:sz w:val="27"/>
          <w:rtl/>
          <w:lang w:bidi="ar-LB"/>
        </w:rPr>
        <w:t xml:space="preserve"> من الواجب علينا أيضاً </w:t>
      </w:r>
      <w:r w:rsidRPr="00282AC9">
        <w:rPr>
          <w:rFonts w:hint="cs"/>
          <w:sz w:val="27"/>
          <w:rtl/>
          <w:lang w:bidi="ar-LB"/>
        </w:rPr>
        <w:t>أن نتساءل عن موقعهما في هذا الن</w:t>
      </w:r>
      <w:r w:rsidR="00A9019A" w:rsidRPr="00282AC9">
        <w:rPr>
          <w:rFonts w:hint="cs"/>
          <w:sz w:val="27"/>
          <w:rtl/>
          <w:lang w:bidi="ar-LB"/>
        </w:rPr>
        <w:t>زاع، وأنه هل يشملهما معاً</w:t>
      </w:r>
      <w:r w:rsidRPr="00282AC9">
        <w:rPr>
          <w:rFonts w:hint="cs"/>
          <w:sz w:val="27"/>
          <w:rtl/>
          <w:lang w:bidi="ar-LB"/>
        </w:rPr>
        <w:t>،</w:t>
      </w:r>
      <w:r w:rsidR="00A9019A" w:rsidRPr="00282AC9">
        <w:rPr>
          <w:rFonts w:hint="cs"/>
          <w:sz w:val="27"/>
          <w:rtl/>
          <w:lang w:bidi="ar-LB"/>
        </w:rPr>
        <w:t xml:space="preserve"> </w:t>
      </w:r>
      <w:r w:rsidRPr="00282AC9">
        <w:rPr>
          <w:rFonts w:hint="cs"/>
          <w:sz w:val="27"/>
          <w:rtl/>
          <w:lang w:bidi="ar-LB"/>
        </w:rPr>
        <w:t>أ</w:t>
      </w:r>
      <w:r w:rsidR="00A9019A" w:rsidRPr="00282AC9">
        <w:rPr>
          <w:rFonts w:hint="cs"/>
          <w:sz w:val="27"/>
          <w:rtl/>
          <w:lang w:bidi="ar-LB"/>
        </w:rPr>
        <w:t>و</w:t>
      </w:r>
      <w:r w:rsidRPr="00282AC9">
        <w:rPr>
          <w:rFonts w:hint="cs"/>
          <w:sz w:val="27"/>
          <w:rtl/>
          <w:lang w:bidi="ar-LB"/>
        </w:rPr>
        <w:t xml:space="preserve"> </w:t>
      </w:r>
      <w:r w:rsidR="00A9019A" w:rsidRPr="00282AC9">
        <w:rPr>
          <w:rFonts w:hint="cs"/>
          <w:sz w:val="27"/>
          <w:rtl/>
          <w:lang w:bidi="ar-LB"/>
        </w:rPr>
        <w:t>يختص</w:t>
      </w:r>
      <w:r w:rsidRPr="00282AC9">
        <w:rPr>
          <w:rFonts w:hint="cs"/>
          <w:sz w:val="27"/>
          <w:rtl/>
          <w:lang w:bidi="ar-LB"/>
        </w:rPr>
        <w:t>ّ</w:t>
      </w:r>
      <w:r w:rsidR="00A9019A" w:rsidRPr="00282AC9">
        <w:rPr>
          <w:rFonts w:hint="cs"/>
          <w:sz w:val="27"/>
          <w:rtl/>
          <w:lang w:bidi="ar-LB"/>
        </w:rPr>
        <w:t xml:space="preserve"> بأحدهما دون الآخر؟ </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والجواب</w:t>
      </w:r>
      <w:r w:rsidRPr="00282AC9">
        <w:rPr>
          <w:rFonts w:hint="cs"/>
          <w:sz w:val="27"/>
          <w:rtl/>
          <w:lang w:bidi="ar-LB"/>
        </w:rPr>
        <w:t xml:space="preserve">: </w:t>
      </w:r>
      <w:r w:rsidR="007D5433" w:rsidRPr="00282AC9">
        <w:rPr>
          <w:rFonts w:hint="cs"/>
          <w:sz w:val="27"/>
          <w:rtl/>
          <w:lang w:bidi="ar-LB"/>
        </w:rPr>
        <w:t>إنه</w:t>
      </w:r>
      <w:r w:rsidRPr="00282AC9">
        <w:rPr>
          <w:rFonts w:hint="cs"/>
          <w:sz w:val="27"/>
          <w:rtl/>
          <w:lang w:bidi="ar-LB"/>
        </w:rPr>
        <w:t xml:space="preserve"> بالإمكان في بادئ النظر دخول القسمين في محلّ ال</w:t>
      </w:r>
      <w:r w:rsidR="007D5433" w:rsidRPr="00282AC9">
        <w:rPr>
          <w:rFonts w:hint="cs"/>
          <w:sz w:val="27"/>
          <w:rtl/>
          <w:lang w:bidi="ar-LB"/>
        </w:rPr>
        <w:t>نزاع، إلاّ أن</w:t>
      </w:r>
      <w:r w:rsidRPr="00282AC9">
        <w:rPr>
          <w:rFonts w:hint="cs"/>
          <w:sz w:val="27"/>
          <w:rtl/>
          <w:lang w:bidi="ar-LB"/>
        </w:rPr>
        <w:t xml:space="preserve"> المصرّ</w:t>
      </w:r>
      <w:r w:rsidR="007D5433" w:rsidRPr="00282AC9">
        <w:rPr>
          <w:rFonts w:hint="cs"/>
          <w:sz w:val="27"/>
          <w:rtl/>
          <w:lang w:bidi="ar-LB"/>
        </w:rPr>
        <w:t>َ</w:t>
      </w:r>
      <w:r w:rsidRPr="00282AC9">
        <w:rPr>
          <w:rFonts w:hint="cs"/>
          <w:sz w:val="27"/>
          <w:rtl/>
          <w:lang w:bidi="ar-LB"/>
        </w:rPr>
        <w:t xml:space="preserve">ح به في بعض الكلمات </w:t>
      </w:r>
      <w:r w:rsidRPr="00282AC9">
        <w:rPr>
          <w:sz w:val="27"/>
          <w:rtl/>
          <w:lang w:bidi="ar-LB"/>
        </w:rPr>
        <w:t>ـ</w:t>
      </w:r>
      <w:r w:rsidR="007D5433" w:rsidRPr="00282AC9">
        <w:rPr>
          <w:rFonts w:hint="cs"/>
          <w:sz w:val="27"/>
          <w:rtl/>
          <w:lang w:bidi="ar-LB"/>
        </w:rPr>
        <w:t xml:space="preserve"> على ما يأتي إ</w:t>
      </w:r>
      <w:r w:rsidRPr="00282AC9">
        <w:rPr>
          <w:rFonts w:hint="cs"/>
          <w:sz w:val="27"/>
          <w:rtl/>
          <w:lang w:bidi="ar-LB"/>
        </w:rPr>
        <w:t>ن</w:t>
      </w:r>
      <w:r w:rsidR="007D5433" w:rsidRPr="00282AC9">
        <w:rPr>
          <w:rFonts w:hint="cs"/>
          <w:sz w:val="27"/>
          <w:rtl/>
          <w:lang w:bidi="ar-LB"/>
        </w:rPr>
        <w:t xml:space="preserve">ْ </w:t>
      </w:r>
      <w:r w:rsidRPr="00282AC9">
        <w:rPr>
          <w:rFonts w:hint="cs"/>
          <w:sz w:val="27"/>
          <w:rtl/>
          <w:lang w:bidi="ar-LB"/>
        </w:rPr>
        <w:t xml:space="preserve">شاء الله تعالى </w:t>
      </w:r>
      <w:r w:rsidRPr="00282AC9">
        <w:rPr>
          <w:sz w:val="27"/>
          <w:rtl/>
          <w:lang w:bidi="ar-LB"/>
        </w:rPr>
        <w:t>ـ</w:t>
      </w:r>
      <w:r w:rsidRPr="00282AC9">
        <w:rPr>
          <w:rFonts w:hint="cs"/>
          <w:sz w:val="27"/>
          <w:rtl/>
          <w:lang w:bidi="ar-LB"/>
        </w:rPr>
        <w:t xml:space="preserve"> اختصاص ما سيأتي </w:t>
      </w:r>
      <w:r w:rsidRPr="00282AC9">
        <w:rPr>
          <w:rFonts w:hint="cs"/>
          <w:sz w:val="27"/>
          <w:rtl/>
          <w:lang w:bidi="ar-LB"/>
        </w:rPr>
        <w:lastRenderedPageBreak/>
        <w:t>من الأدل</w:t>
      </w:r>
      <w:r w:rsidR="007D5433" w:rsidRPr="00282AC9">
        <w:rPr>
          <w:rFonts w:hint="cs"/>
          <w:sz w:val="27"/>
          <w:rtl/>
          <w:lang w:bidi="ar-LB"/>
        </w:rPr>
        <w:t>ّ</w:t>
      </w:r>
      <w:r w:rsidRPr="00282AC9">
        <w:rPr>
          <w:rFonts w:hint="cs"/>
          <w:sz w:val="27"/>
          <w:rtl/>
          <w:lang w:bidi="ar-LB"/>
        </w:rPr>
        <w:t>ة بالحكم الواقعي</w:t>
      </w:r>
      <w:r w:rsidR="007D5433" w:rsidRPr="00282AC9">
        <w:rPr>
          <w:rFonts w:hint="cs"/>
          <w:sz w:val="27"/>
          <w:rtl/>
          <w:lang w:bidi="ar-LB"/>
        </w:rPr>
        <w:t>ّ</w:t>
      </w:r>
      <w:r w:rsidRPr="00282AC9">
        <w:rPr>
          <w:rFonts w:hint="cs"/>
          <w:sz w:val="27"/>
          <w:rtl/>
          <w:lang w:bidi="ar-LB"/>
        </w:rPr>
        <w:t>، وخروج الحكم الظاهري</w:t>
      </w:r>
      <w:r w:rsidR="007D5433" w:rsidRPr="00282AC9">
        <w:rPr>
          <w:rFonts w:hint="cs"/>
          <w:sz w:val="27"/>
          <w:rtl/>
          <w:lang w:bidi="ar-LB"/>
        </w:rPr>
        <w:t>ّ عن موضوع القاعدة، وهذا يعني إ</w:t>
      </w:r>
      <w:r w:rsidRPr="00282AC9">
        <w:rPr>
          <w:rFonts w:hint="cs"/>
          <w:sz w:val="27"/>
          <w:rtl/>
          <w:lang w:bidi="ar-LB"/>
        </w:rPr>
        <w:t>مكان خلوّ الواقعة من الحكم الظاهري</w:t>
      </w:r>
      <w:r w:rsidR="007D5433"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وقد ي</w:t>
      </w:r>
      <w:r w:rsidR="007D5433" w:rsidRPr="00282AC9">
        <w:rPr>
          <w:rFonts w:hint="cs"/>
          <w:b/>
          <w:bCs/>
          <w:sz w:val="27"/>
          <w:rtl/>
          <w:lang w:bidi="ar-LB"/>
        </w:rPr>
        <w:t>ُ</w:t>
      </w:r>
      <w:r w:rsidRPr="00282AC9">
        <w:rPr>
          <w:rFonts w:hint="cs"/>
          <w:b/>
          <w:bCs/>
          <w:sz w:val="27"/>
          <w:rtl/>
          <w:lang w:bidi="ar-LB"/>
        </w:rPr>
        <w:t>قال</w:t>
      </w:r>
      <w:r w:rsidRPr="00282AC9">
        <w:rPr>
          <w:rFonts w:hint="cs"/>
          <w:sz w:val="27"/>
          <w:rtl/>
          <w:lang w:bidi="ar-LB"/>
        </w:rPr>
        <w:t>: إنَّ الظاهر ممّا أفاده الشيخ الأعظم</w:t>
      </w:r>
      <w:r w:rsidR="009A2A04" w:rsidRPr="00282AC9">
        <w:rPr>
          <w:rFonts w:cs="Mosawi" w:hint="cs"/>
          <w:sz w:val="22"/>
          <w:szCs w:val="22"/>
          <w:rtl/>
          <w:lang w:bidi="ar-LB"/>
        </w:rPr>
        <w:t>&amp;</w:t>
      </w:r>
      <w:r w:rsidRPr="00282AC9">
        <w:rPr>
          <w:rFonts w:hint="cs"/>
          <w:sz w:val="27"/>
          <w:rtl/>
          <w:lang w:bidi="ar-LB"/>
        </w:rPr>
        <w:t xml:space="preserve"> في مجاري الأصول الع</w:t>
      </w:r>
      <w:r w:rsidR="00C56985" w:rsidRPr="00282AC9">
        <w:rPr>
          <w:rFonts w:hint="cs"/>
          <w:sz w:val="27"/>
          <w:rtl/>
          <w:lang w:bidi="ar-LB"/>
        </w:rPr>
        <w:t>مليّ</w:t>
      </w:r>
      <w:r w:rsidRPr="00282AC9">
        <w:rPr>
          <w:rFonts w:hint="cs"/>
          <w:sz w:val="27"/>
          <w:rtl/>
          <w:lang w:bidi="ar-LB"/>
        </w:rPr>
        <w:t>ة هو الحصر العقلي</w:t>
      </w:r>
      <w:r w:rsidRPr="00282AC9">
        <w:rPr>
          <w:rFonts w:hint="cs"/>
          <w:sz w:val="27"/>
          <w:vertAlign w:val="superscript"/>
          <w:rtl/>
          <w:lang w:bidi="ar-LB"/>
        </w:rPr>
        <w:t>(</w:t>
      </w:r>
      <w:r w:rsidRPr="00282AC9">
        <w:rPr>
          <w:rStyle w:val="af9"/>
          <w:sz w:val="27"/>
          <w:rtl/>
          <w:lang w:bidi="ar-LB"/>
        </w:rPr>
        <w:endnoteReference w:id="4"/>
      </w:r>
      <w:r w:rsidRPr="00282AC9">
        <w:rPr>
          <w:sz w:val="27"/>
          <w:vertAlign w:val="superscript"/>
          <w:rtl/>
          <w:lang w:bidi="ar-LB"/>
        </w:rPr>
        <w:t>)</w:t>
      </w:r>
      <w:r w:rsidR="001846EC" w:rsidRPr="00282AC9">
        <w:rPr>
          <w:rFonts w:hint="cs"/>
          <w:sz w:val="27"/>
          <w:rtl/>
          <w:lang w:bidi="ar-LB"/>
        </w:rPr>
        <w:t>،</w:t>
      </w:r>
      <w:r w:rsidRPr="00282AC9">
        <w:rPr>
          <w:rFonts w:hint="cs"/>
          <w:sz w:val="27"/>
          <w:rtl/>
          <w:lang w:bidi="ar-LB"/>
        </w:rPr>
        <w:t xml:space="preserve"> ومن الواضح أنّ معنى ذلك حكم العقل بعدم خلوّ الواقعة من الحكم الظاهري</w:t>
      </w:r>
      <w:r w:rsidR="001846EC" w:rsidRPr="00282AC9">
        <w:rPr>
          <w:rFonts w:hint="cs"/>
          <w:sz w:val="27"/>
          <w:rtl/>
          <w:lang w:bidi="ar-LB"/>
        </w:rPr>
        <w:t>ّ</w:t>
      </w:r>
      <w:r w:rsidRPr="00282AC9">
        <w:rPr>
          <w:rFonts w:hint="cs"/>
          <w:sz w:val="27"/>
          <w:rtl/>
          <w:lang w:bidi="ar-LB"/>
        </w:rPr>
        <w:t xml:space="preserve"> أيضاً.</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والجواب</w:t>
      </w:r>
      <w:r w:rsidRPr="00282AC9">
        <w:rPr>
          <w:rFonts w:hint="cs"/>
          <w:sz w:val="27"/>
          <w:rtl/>
          <w:lang w:bidi="ar-LB"/>
        </w:rPr>
        <w:t xml:space="preserve">: </w:t>
      </w:r>
      <w:r w:rsidR="00317F6E" w:rsidRPr="00282AC9">
        <w:rPr>
          <w:rFonts w:hint="cs"/>
          <w:sz w:val="27"/>
          <w:rtl/>
          <w:lang w:bidi="ar-LB"/>
        </w:rPr>
        <w:t>إن</w:t>
      </w:r>
      <w:r w:rsidRPr="00282AC9">
        <w:rPr>
          <w:rFonts w:hint="cs"/>
          <w:sz w:val="27"/>
          <w:rtl/>
          <w:lang w:bidi="ar-LB"/>
        </w:rPr>
        <w:t xml:space="preserve"> المقصود في المقام هو الحكم الشرعي، فلا يعمّ الاحتياط والتخيير العقلي</w:t>
      </w:r>
      <w:r w:rsidR="00317F6E" w:rsidRPr="00282AC9">
        <w:rPr>
          <w:rFonts w:hint="cs"/>
          <w:sz w:val="27"/>
          <w:rtl/>
          <w:lang w:bidi="ar-LB"/>
        </w:rPr>
        <w:t>ّ</w:t>
      </w:r>
      <w:r w:rsidRPr="00282AC9">
        <w:rPr>
          <w:rFonts w:hint="cs"/>
          <w:sz w:val="27"/>
          <w:rtl/>
          <w:lang w:bidi="ar-LB"/>
        </w:rPr>
        <w:t>ين المشتمل عليهما ما ذكره الشيخ الأعظم</w:t>
      </w:r>
      <w:r w:rsidR="009A2A04" w:rsidRPr="00282AC9">
        <w:rPr>
          <w:rFonts w:cs="Mosawi" w:hint="cs"/>
          <w:sz w:val="22"/>
          <w:szCs w:val="22"/>
          <w:rtl/>
          <w:lang w:bidi="ar-LB"/>
        </w:rPr>
        <w:t>&amp;</w:t>
      </w:r>
      <w:r w:rsidRPr="00282AC9">
        <w:rPr>
          <w:rFonts w:hint="cs"/>
          <w:sz w:val="27"/>
          <w:rtl/>
          <w:lang w:bidi="ar-LB"/>
        </w:rPr>
        <w:t xml:space="preserve"> بذاك الصدد.</w:t>
      </w:r>
    </w:p>
    <w:p w:rsidR="00A9019A" w:rsidRPr="00282AC9" w:rsidRDefault="00A9019A" w:rsidP="00B16272">
      <w:pPr>
        <w:tabs>
          <w:tab w:val="right" w:pos="6930"/>
        </w:tabs>
        <w:suppressAutoHyphens/>
        <w:rPr>
          <w:sz w:val="27"/>
          <w:rtl/>
          <w:lang w:bidi="ar-LB"/>
        </w:rPr>
      </w:pPr>
      <w:r w:rsidRPr="00282AC9">
        <w:rPr>
          <w:rFonts w:hint="cs"/>
          <w:sz w:val="27"/>
          <w:rtl/>
          <w:lang w:bidi="ar-LB"/>
        </w:rPr>
        <w:t>وكيف كان فالكلام في هذه الرسالة مقصور</w:t>
      </w:r>
      <w:r w:rsidR="00317F6E" w:rsidRPr="00282AC9">
        <w:rPr>
          <w:rFonts w:hint="cs"/>
          <w:sz w:val="27"/>
          <w:rtl/>
          <w:lang w:bidi="ar-LB"/>
        </w:rPr>
        <w:t>ٌ</w:t>
      </w:r>
      <w:r w:rsidRPr="00282AC9">
        <w:rPr>
          <w:rFonts w:hint="cs"/>
          <w:sz w:val="27"/>
          <w:rtl/>
          <w:lang w:bidi="ar-LB"/>
        </w:rPr>
        <w:t xml:space="preserve"> على الحكم الواقعي</w:t>
      </w:r>
      <w:r w:rsidR="00317F6E" w:rsidRPr="00282AC9">
        <w:rPr>
          <w:rFonts w:hint="cs"/>
          <w:sz w:val="27"/>
          <w:rtl/>
          <w:lang w:bidi="ar-LB"/>
        </w:rPr>
        <w:t>ّ</w:t>
      </w:r>
      <w:r w:rsidRPr="00282AC9">
        <w:rPr>
          <w:rFonts w:hint="cs"/>
          <w:sz w:val="27"/>
          <w:rtl/>
          <w:lang w:bidi="ar-LB"/>
        </w:rPr>
        <w:t>، ودراسة المسألة في الحكم الظاهري</w:t>
      </w:r>
      <w:r w:rsidR="00317F6E" w:rsidRPr="00282AC9">
        <w:rPr>
          <w:rFonts w:hint="cs"/>
          <w:sz w:val="27"/>
          <w:rtl/>
          <w:lang w:bidi="ar-LB"/>
        </w:rPr>
        <w:t>ّ ـ إ</w:t>
      </w:r>
      <w:r w:rsidRPr="00282AC9">
        <w:rPr>
          <w:rFonts w:hint="cs"/>
          <w:sz w:val="27"/>
          <w:rtl/>
          <w:lang w:bidi="ar-LB"/>
        </w:rPr>
        <w:t>يجاباً وسلباً، والبحث عمَّا يترتّ</w:t>
      </w:r>
      <w:r w:rsidR="00317F6E" w:rsidRPr="00282AC9">
        <w:rPr>
          <w:rFonts w:hint="cs"/>
          <w:sz w:val="27"/>
          <w:rtl/>
          <w:lang w:bidi="ar-LB"/>
        </w:rPr>
        <w:t>َ</w:t>
      </w:r>
      <w:r w:rsidRPr="00282AC9">
        <w:rPr>
          <w:rFonts w:hint="cs"/>
          <w:sz w:val="27"/>
          <w:rtl/>
          <w:lang w:bidi="ar-LB"/>
        </w:rPr>
        <w:t>ب عليه من الآثار</w:t>
      </w:r>
      <w:r w:rsidR="00317F6E" w:rsidRPr="00282AC9">
        <w:rPr>
          <w:rFonts w:hint="cs"/>
          <w:sz w:val="27"/>
          <w:rtl/>
          <w:lang w:bidi="ar-LB"/>
        </w:rPr>
        <w:t xml:space="preserve"> ـ</w:t>
      </w:r>
      <w:r w:rsidRPr="00282AC9">
        <w:rPr>
          <w:rFonts w:hint="cs"/>
          <w:sz w:val="27"/>
          <w:rtl/>
          <w:lang w:bidi="ar-LB"/>
        </w:rPr>
        <w:t xml:space="preserve"> موكول</w:t>
      </w:r>
      <w:r w:rsidR="00317F6E" w:rsidRPr="00282AC9">
        <w:rPr>
          <w:rFonts w:hint="cs"/>
          <w:sz w:val="27"/>
          <w:rtl/>
          <w:lang w:bidi="ar-LB"/>
        </w:rPr>
        <w:t>ٌ</w:t>
      </w:r>
      <w:r w:rsidRPr="00282AC9">
        <w:rPr>
          <w:rFonts w:hint="cs"/>
          <w:sz w:val="27"/>
          <w:rtl/>
          <w:lang w:bidi="ar-LB"/>
        </w:rPr>
        <w:t xml:space="preserve"> </w:t>
      </w:r>
      <w:r w:rsidR="00317F6E" w:rsidRPr="00282AC9">
        <w:rPr>
          <w:rFonts w:hint="cs"/>
          <w:sz w:val="27"/>
          <w:rtl/>
          <w:lang w:bidi="ar-LB"/>
        </w:rPr>
        <w:t>إ</w:t>
      </w:r>
      <w:r w:rsidRPr="00282AC9">
        <w:rPr>
          <w:rFonts w:hint="cs"/>
          <w:sz w:val="27"/>
          <w:rtl/>
          <w:lang w:bidi="ar-LB"/>
        </w:rPr>
        <w:t>لى مجال</w:t>
      </w:r>
      <w:r w:rsidR="00317F6E" w:rsidRPr="00282AC9">
        <w:rPr>
          <w:rFonts w:hint="cs"/>
          <w:sz w:val="27"/>
          <w:rtl/>
          <w:lang w:bidi="ar-LB"/>
        </w:rPr>
        <w:t>ٍ</w:t>
      </w:r>
      <w:r w:rsidRPr="00282AC9">
        <w:rPr>
          <w:rFonts w:hint="cs"/>
          <w:sz w:val="27"/>
          <w:rtl/>
          <w:lang w:bidi="ar-LB"/>
        </w:rPr>
        <w:t xml:space="preserve"> آخر.</w:t>
      </w:r>
    </w:p>
    <w:p w:rsidR="00317F6E" w:rsidRPr="00282AC9" w:rsidRDefault="00317F6E" w:rsidP="00CC0484">
      <w:pPr>
        <w:tabs>
          <w:tab w:val="right" w:pos="6930"/>
        </w:tabs>
        <w:suppressAutoHyphens/>
        <w:spacing w:line="420" w:lineRule="exact"/>
        <w:rPr>
          <w:sz w:val="27"/>
          <w:rtl/>
          <w:lang w:bidi="ar-LB"/>
        </w:rPr>
      </w:pPr>
    </w:p>
    <w:p w:rsidR="00317F6E" w:rsidRPr="00282AC9" w:rsidRDefault="00BE26DE" w:rsidP="00317F6E">
      <w:pPr>
        <w:pStyle w:val="31"/>
        <w:rPr>
          <w:color w:val="auto"/>
          <w:sz w:val="27"/>
          <w:rtl/>
          <w:lang w:bidi="ar-LB"/>
        </w:rPr>
      </w:pPr>
      <w:r w:rsidRPr="00282AC9">
        <w:rPr>
          <w:rFonts w:hint="cs"/>
          <w:color w:val="auto"/>
          <w:sz w:val="27"/>
          <w:rtl/>
          <w:lang w:bidi="ar-LB"/>
        </w:rPr>
        <w:t>3ـ</w:t>
      </w:r>
      <w:r w:rsidR="00317F6E" w:rsidRPr="00282AC9">
        <w:rPr>
          <w:rFonts w:hint="cs"/>
          <w:color w:val="auto"/>
          <w:rtl/>
          <w:lang w:bidi="ar-LB"/>
        </w:rPr>
        <w:t xml:space="preserve"> الحكم المولويّ والإرشاديّ</w:t>
      </w:r>
    </w:p>
    <w:p w:rsidR="00A9019A" w:rsidRPr="00282AC9" w:rsidRDefault="00A9019A" w:rsidP="00B16272">
      <w:pPr>
        <w:tabs>
          <w:tab w:val="right" w:pos="6930"/>
        </w:tabs>
        <w:suppressAutoHyphens/>
        <w:rPr>
          <w:sz w:val="27"/>
          <w:rtl/>
          <w:lang w:bidi="ar-LB"/>
        </w:rPr>
      </w:pPr>
      <w:r w:rsidRPr="00282AC9">
        <w:rPr>
          <w:rFonts w:hint="cs"/>
          <w:sz w:val="27"/>
          <w:rtl/>
          <w:lang w:bidi="ar-LB"/>
        </w:rPr>
        <w:t>لقد قسّ</w:t>
      </w:r>
      <w:r w:rsidR="00317F6E" w:rsidRPr="00282AC9">
        <w:rPr>
          <w:rFonts w:hint="cs"/>
          <w:sz w:val="27"/>
          <w:rtl/>
          <w:lang w:bidi="ar-LB"/>
        </w:rPr>
        <w:t>َ</w:t>
      </w:r>
      <w:r w:rsidRPr="00282AC9">
        <w:rPr>
          <w:rFonts w:hint="cs"/>
          <w:sz w:val="27"/>
          <w:rtl/>
          <w:lang w:bidi="ar-LB"/>
        </w:rPr>
        <w:t>م المحق</w:t>
      </w:r>
      <w:r w:rsidR="00317F6E" w:rsidRPr="00282AC9">
        <w:rPr>
          <w:rFonts w:hint="cs"/>
          <w:sz w:val="27"/>
          <w:rtl/>
          <w:lang w:bidi="ar-LB"/>
        </w:rPr>
        <w:t>ِّ</w:t>
      </w:r>
      <w:r w:rsidRPr="00282AC9">
        <w:rPr>
          <w:rFonts w:hint="cs"/>
          <w:sz w:val="27"/>
          <w:rtl/>
          <w:lang w:bidi="ar-LB"/>
        </w:rPr>
        <w:t xml:space="preserve">ق الشعراني الحكم الشرعيّ </w:t>
      </w:r>
      <w:r w:rsidR="00317F6E" w:rsidRPr="00282AC9">
        <w:rPr>
          <w:rFonts w:hint="cs"/>
          <w:sz w:val="27"/>
          <w:rtl/>
          <w:lang w:bidi="ar-LB"/>
        </w:rPr>
        <w:t>إ</w:t>
      </w:r>
      <w:r w:rsidRPr="00282AC9">
        <w:rPr>
          <w:rFonts w:hint="cs"/>
          <w:sz w:val="27"/>
          <w:rtl/>
          <w:lang w:bidi="ar-LB"/>
        </w:rPr>
        <w:t>لى</w:t>
      </w:r>
      <w:r w:rsidR="00317F6E" w:rsidRPr="00282AC9">
        <w:rPr>
          <w:rFonts w:hint="cs"/>
          <w:sz w:val="27"/>
          <w:rtl/>
          <w:lang w:bidi="ar-LB"/>
        </w:rPr>
        <w:t>:</w:t>
      </w:r>
      <w:r w:rsidRPr="00282AC9">
        <w:rPr>
          <w:rFonts w:hint="cs"/>
          <w:sz w:val="27"/>
          <w:rtl/>
          <w:lang w:bidi="ar-LB"/>
        </w:rPr>
        <w:t xml:space="preserve"> مولويّ</w:t>
      </w:r>
      <w:r w:rsidR="00317F6E" w:rsidRPr="00282AC9">
        <w:rPr>
          <w:rFonts w:hint="cs"/>
          <w:sz w:val="27"/>
          <w:rtl/>
          <w:lang w:bidi="ar-LB"/>
        </w:rPr>
        <w:t>؛ وإ</w:t>
      </w:r>
      <w:r w:rsidRPr="00282AC9">
        <w:rPr>
          <w:rFonts w:hint="cs"/>
          <w:sz w:val="27"/>
          <w:rtl/>
          <w:lang w:bidi="ar-LB"/>
        </w:rPr>
        <w:t>رشاديّ، ثم ادَّعى دخول القسمين في موضوع القاعدة</w:t>
      </w:r>
      <w:r w:rsidR="00317F6E" w:rsidRPr="00282AC9">
        <w:rPr>
          <w:rFonts w:hint="cs"/>
          <w:sz w:val="27"/>
          <w:rtl/>
          <w:lang w:bidi="ar-LB"/>
        </w:rPr>
        <w:t>.</w:t>
      </w:r>
      <w:r w:rsidR="00C56985" w:rsidRPr="00282AC9">
        <w:rPr>
          <w:rFonts w:hint="cs"/>
          <w:sz w:val="27"/>
          <w:rtl/>
          <w:lang w:bidi="ar-LB"/>
        </w:rPr>
        <w:t xml:space="preserve"> وإليك نصّ</w:t>
      </w:r>
      <w:r w:rsidRPr="00282AC9">
        <w:rPr>
          <w:rFonts w:hint="cs"/>
          <w:sz w:val="27"/>
          <w:rtl/>
          <w:lang w:bidi="ar-LB"/>
        </w:rPr>
        <w:t xml:space="preserve"> ما أفاده حول القاعدة:</w:t>
      </w:r>
    </w:p>
    <w:p w:rsidR="005853F7" w:rsidRPr="00282AC9" w:rsidRDefault="00A9019A" w:rsidP="00B16272">
      <w:pPr>
        <w:tabs>
          <w:tab w:val="right" w:pos="6930"/>
        </w:tabs>
        <w:suppressAutoHyphens/>
        <w:rPr>
          <w:sz w:val="27"/>
          <w:rtl/>
          <w:lang w:bidi="ar-LB"/>
        </w:rPr>
      </w:pPr>
      <w:r w:rsidRPr="00282AC9">
        <w:rPr>
          <w:rFonts w:hint="cs"/>
          <w:sz w:val="27"/>
          <w:rtl/>
          <w:lang w:bidi="ar-LB"/>
        </w:rPr>
        <w:t>لا يجوز خلوّ الواقعة عن حكم</w:t>
      </w:r>
      <w:r w:rsidR="00317F6E" w:rsidRPr="00282AC9">
        <w:rPr>
          <w:rFonts w:hint="cs"/>
          <w:sz w:val="27"/>
          <w:rtl/>
          <w:lang w:bidi="ar-LB"/>
        </w:rPr>
        <w:t>ٍ</w:t>
      </w:r>
      <w:r w:rsidRPr="00282AC9">
        <w:rPr>
          <w:rFonts w:hint="cs"/>
          <w:sz w:val="27"/>
          <w:rtl/>
          <w:lang w:bidi="ar-LB"/>
        </w:rPr>
        <w:t>، وهذا واضح</w:t>
      </w:r>
      <w:r w:rsidR="00317F6E" w:rsidRPr="00282AC9">
        <w:rPr>
          <w:rFonts w:hint="cs"/>
          <w:sz w:val="27"/>
          <w:rtl/>
          <w:lang w:bidi="ar-LB"/>
        </w:rPr>
        <w:t>ٌ بعد</w:t>
      </w:r>
      <w:r w:rsidRPr="00282AC9">
        <w:rPr>
          <w:rFonts w:hint="cs"/>
          <w:sz w:val="27"/>
          <w:rtl/>
          <w:lang w:bidi="ar-LB"/>
        </w:rPr>
        <w:t>ما ثبت تبعيّة الأحكام للح</w:t>
      </w:r>
      <w:r w:rsidR="00317F6E" w:rsidRPr="00282AC9">
        <w:rPr>
          <w:rFonts w:hint="cs"/>
          <w:sz w:val="27"/>
          <w:rtl/>
          <w:lang w:bidi="ar-LB"/>
        </w:rPr>
        <w:t>ُ</w:t>
      </w:r>
      <w:r w:rsidRPr="00282AC9">
        <w:rPr>
          <w:rFonts w:hint="cs"/>
          <w:sz w:val="27"/>
          <w:rtl/>
          <w:lang w:bidi="ar-LB"/>
        </w:rPr>
        <w:t>س</w:t>
      </w:r>
      <w:r w:rsidR="00317F6E" w:rsidRPr="00282AC9">
        <w:rPr>
          <w:rFonts w:hint="cs"/>
          <w:sz w:val="27"/>
          <w:rtl/>
          <w:lang w:bidi="ar-LB"/>
        </w:rPr>
        <w:t>ْ</w:t>
      </w:r>
      <w:r w:rsidRPr="00282AC9">
        <w:rPr>
          <w:rFonts w:hint="cs"/>
          <w:sz w:val="27"/>
          <w:rtl/>
          <w:lang w:bidi="ar-LB"/>
        </w:rPr>
        <w:t>ن والق</w:t>
      </w:r>
      <w:r w:rsidR="00317F6E" w:rsidRPr="00282AC9">
        <w:rPr>
          <w:rFonts w:hint="cs"/>
          <w:sz w:val="27"/>
          <w:rtl/>
          <w:lang w:bidi="ar-LB"/>
        </w:rPr>
        <w:t>ُ</w:t>
      </w:r>
      <w:r w:rsidRPr="00282AC9">
        <w:rPr>
          <w:rFonts w:hint="cs"/>
          <w:sz w:val="27"/>
          <w:rtl/>
          <w:lang w:bidi="ar-LB"/>
        </w:rPr>
        <w:t>ب</w:t>
      </w:r>
      <w:r w:rsidR="00317F6E" w:rsidRPr="00282AC9">
        <w:rPr>
          <w:rFonts w:hint="cs"/>
          <w:sz w:val="27"/>
          <w:rtl/>
          <w:lang w:bidi="ar-LB"/>
        </w:rPr>
        <w:t>ْ</w:t>
      </w:r>
      <w:r w:rsidRPr="00282AC9">
        <w:rPr>
          <w:rFonts w:hint="cs"/>
          <w:sz w:val="27"/>
          <w:rtl/>
          <w:lang w:bidi="ar-LB"/>
        </w:rPr>
        <w:t>ح الذاتي</w:t>
      </w:r>
      <w:r w:rsidR="00317F6E" w:rsidRPr="00282AC9">
        <w:rPr>
          <w:rFonts w:hint="cs"/>
          <w:sz w:val="27"/>
          <w:rtl/>
          <w:lang w:bidi="ar-LB"/>
        </w:rPr>
        <w:t>ّ</w:t>
      </w:r>
      <w:r w:rsidRPr="00282AC9">
        <w:rPr>
          <w:rFonts w:hint="cs"/>
          <w:sz w:val="27"/>
          <w:rtl/>
          <w:lang w:bidi="ar-LB"/>
        </w:rPr>
        <w:t>ين</w:t>
      </w:r>
      <w:r w:rsidR="00317F6E" w:rsidRPr="00282AC9">
        <w:rPr>
          <w:rFonts w:hint="cs"/>
          <w:sz w:val="27"/>
          <w:rtl/>
          <w:lang w:bidi="ar-LB"/>
        </w:rPr>
        <w:t>؛</w:t>
      </w:r>
      <w:r w:rsidRPr="00282AC9">
        <w:rPr>
          <w:rFonts w:hint="cs"/>
          <w:sz w:val="27"/>
          <w:rtl/>
          <w:lang w:bidi="ar-LB"/>
        </w:rPr>
        <w:t xml:space="preserve"> وأما بناء</w:t>
      </w:r>
      <w:r w:rsidR="00317F6E" w:rsidRPr="00282AC9">
        <w:rPr>
          <w:rFonts w:hint="cs"/>
          <w:sz w:val="27"/>
          <w:rtl/>
          <w:lang w:bidi="ar-LB"/>
        </w:rPr>
        <w:t>ً</w:t>
      </w:r>
      <w:r w:rsidRPr="00282AC9">
        <w:rPr>
          <w:rFonts w:hint="cs"/>
          <w:sz w:val="27"/>
          <w:rtl/>
          <w:lang w:bidi="ar-LB"/>
        </w:rPr>
        <w:t xml:space="preserve"> على مذهب الأشاعرة فيجوز أن لا يحكم الشارع في واقعة</w:t>
      </w:r>
      <w:r w:rsidR="00317F6E" w:rsidRPr="00282AC9">
        <w:rPr>
          <w:rFonts w:hint="cs"/>
          <w:sz w:val="27"/>
          <w:rtl/>
          <w:lang w:bidi="ar-LB"/>
        </w:rPr>
        <w:t>ٍ</w:t>
      </w:r>
      <w:r w:rsidRPr="00282AC9">
        <w:rPr>
          <w:rFonts w:hint="cs"/>
          <w:sz w:val="27"/>
          <w:rtl/>
          <w:lang w:bidi="ar-LB"/>
        </w:rPr>
        <w:t xml:space="preserve"> بشيء أصلاً</w:t>
      </w:r>
      <w:r w:rsidR="00317F6E" w:rsidRPr="00282AC9">
        <w:rPr>
          <w:rFonts w:hint="cs"/>
          <w:sz w:val="27"/>
          <w:rtl/>
          <w:lang w:bidi="ar-LB"/>
        </w:rPr>
        <w:t>.</w:t>
      </w:r>
      <w:r w:rsidRPr="00282AC9">
        <w:rPr>
          <w:rFonts w:hint="cs"/>
          <w:sz w:val="27"/>
          <w:rtl/>
          <w:lang w:bidi="ar-LB"/>
        </w:rPr>
        <w:t xml:space="preserve"> </w:t>
      </w:r>
      <w:r w:rsidR="00317F6E" w:rsidRPr="00282AC9">
        <w:rPr>
          <w:rFonts w:hint="cs"/>
          <w:sz w:val="27"/>
          <w:rtl/>
          <w:lang w:bidi="ar-LB"/>
        </w:rPr>
        <w:t>و</w:t>
      </w:r>
      <w:r w:rsidR="00674EF5" w:rsidRPr="00282AC9">
        <w:rPr>
          <w:rFonts w:hint="cs"/>
          <w:sz w:val="27"/>
          <w:rtl/>
          <w:lang w:bidi="ar-LB"/>
        </w:rPr>
        <w:t>لا بُدَّ</w:t>
      </w:r>
      <w:r w:rsidRPr="00282AC9">
        <w:rPr>
          <w:rFonts w:hint="cs"/>
          <w:sz w:val="27"/>
          <w:rtl/>
          <w:lang w:bidi="ar-LB"/>
        </w:rPr>
        <w:t xml:space="preserve"> أن يكون الحكم ه</w:t>
      </w:r>
      <w:r w:rsidR="00317F6E" w:rsidRPr="00282AC9">
        <w:rPr>
          <w:rFonts w:hint="cs"/>
          <w:sz w:val="27"/>
          <w:rtl/>
          <w:lang w:bidi="ar-LB"/>
        </w:rPr>
        <w:t>ا</w:t>
      </w:r>
      <w:r w:rsidRPr="00282AC9">
        <w:rPr>
          <w:rFonts w:hint="cs"/>
          <w:sz w:val="27"/>
          <w:rtl/>
          <w:lang w:bidi="ar-LB"/>
        </w:rPr>
        <w:t>هنا أعمّ من الحكم المولوي</w:t>
      </w:r>
      <w:r w:rsidR="00317F6E" w:rsidRPr="00282AC9">
        <w:rPr>
          <w:rFonts w:hint="cs"/>
          <w:sz w:val="27"/>
          <w:rtl/>
          <w:lang w:bidi="ar-LB"/>
        </w:rPr>
        <w:t>ّ</w:t>
      </w:r>
      <w:r w:rsidRPr="00282AC9">
        <w:rPr>
          <w:rFonts w:hint="cs"/>
          <w:sz w:val="27"/>
          <w:rtl/>
          <w:lang w:bidi="ar-LB"/>
        </w:rPr>
        <w:t xml:space="preserve"> والإرشادي</w:t>
      </w:r>
      <w:r w:rsidR="00317F6E" w:rsidRPr="00282AC9">
        <w:rPr>
          <w:rFonts w:hint="cs"/>
          <w:sz w:val="27"/>
          <w:rtl/>
          <w:lang w:bidi="ar-LB"/>
        </w:rPr>
        <w:t>ّ؛ فإن</w:t>
      </w:r>
      <w:r w:rsidRPr="00282AC9">
        <w:rPr>
          <w:rFonts w:hint="cs"/>
          <w:sz w:val="27"/>
          <w:rtl/>
          <w:lang w:bidi="ar-LB"/>
        </w:rPr>
        <w:t xml:space="preserve"> معرفة الله تعالى لها حكم</w:t>
      </w:r>
      <w:r w:rsidR="00317F6E" w:rsidRPr="00282AC9">
        <w:rPr>
          <w:rFonts w:hint="cs"/>
          <w:sz w:val="27"/>
          <w:rtl/>
          <w:lang w:bidi="ar-LB"/>
        </w:rPr>
        <w:t>ٌ،</w:t>
      </w:r>
      <w:r w:rsidRPr="00282AC9">
        <w:rPr>
          <w:rFonts w:hint="cs"/>
          <w:sz w:val="27"/>
          <w:rtl/>
          <w:lang w:bidi="ar-LB"/>
        </w:rPr>
        <w:t xml:space="preserve"> وهو الوجوب</w:t>
      </w:r>
      <w:r w:rsidR="00317F6E" w:rsidRPr="00282AC9">
        <w:rPr>
          <w:rFonts w:hint="cs"/>
          <w:sz w:val="27"/>
          <w:rtl/>
          <w:lang w:bidi="ar-LB"/>
        </w:rPr>
        <w:t>؛</w:t>
      </w:r>
      <w:r w:rsidRPr="00282AC9">
        <w:rPr>
          <w:rFonts w:hint="cs"/>
          <w:sz w:val="27"/>
          <w:rtl/>
          <w:lang w:bidi="ar-LB"/>
        </w:rPr>
        <w:t xml:space="preserve"> لح</w:t>
      </w:r>
      <w:r w:rsidR="00317F6E" w:rsidRPr="00282AC9">
        <w:rPr>
          <w:rFonts w:hint="cs"/>
          <w:sz w:val="27"/>
          <w:rtl/>
          <w:lang w:bidi="ar-LB"/>
        </w:rPr>
        <w:t>ُ</w:t>
      </w:r>
      <w:r w:rsidRPr="00282AC9">
        <w:rPr>
          <w:rFonts w:hint="cs"/>
          <w:sz w:val="27"/>
          <w:rtl/>
          <w:lang w:bidi="ar-LB"/>
        </w:rPr>
        <w:t>س</w:t>
      </w:r>
      <w:r w:rsidR="00317F6E" w:rsidRPr="00282AC9">
        <w:rPr>
          <w:rFonts w:hint="cs"/>
          <w:sz w:val="27"/>
          <w:rtl/>
          <w:lang w:bidi="ar-LB"/>
        </w:rPr>
        <w:t>ْ</w:t>
      </w:r>
      <w:r w:rsidRPr="00282AC9">
        <w:rPr>
          <w:rFonts w:hint="cs"/>
          <w:sz w:val="27"/>
          <w:rtl/>
          <w:lang w:bidi="ar-LB"/>
        </w:rPr>
        <w:t>نها الذاتي</w:t>
      </w:r>
      <w:r w:rsidR="00317F6E" w:rsidRPr="00282AC9">
        <w:rPr>
          <w:rFonts w:hint="cs"/>
          <w:sz w:val="27"/>
          <w:rtl/>
          <w:lang w:bidi="ar-LB"/>
        </w:rPr>
        <w:t>ّ</w:t>
      </w:r>
      <w:r w:rsidRPr="00282AC9">
        <w:rPr>
          <w:rFonts w:hint="cs"/>
          <w:sz w:val="27"/>
          <w:rtl/>
          <w:lang w:bidi="ar-LB"/>
        </w:rPr>
        <w:t>، لكن ليس وجوبه مولويّاً</w:t>
      </w:r>
      <w:r w:rsidR="005853F7" w:rsidRPr="00282AC9">
        <w:rPr>
          <w:rFonts w:hint="cs"/>
          <w:sz w:val="27"/>
          <w:rtl/>
          <w:lang w:bidi="ar-LB"/>
        </w:rPr>
        <w:t>.</w:t>
      </w:r>
      <w:r w:rsidRPr="00282AC9">
        <w:rPr>
          <w:rFonts w:hint="cs"/>
          <w:sz w:val="27"/>
          <w:rtl/>
          <w:lang w:bidi="ar-LB"/>
        </w:rPr>
        <w:t xml:space="preserve"> وكذلك ملازم المحرّ</w:t>
      </w:r>
      <w:r w:rsidR="00317F6E" w:rsidRPr="00282AC9">
        <w:rPr>
          <w:rFonts w:hint="cs"/>
          <w:sz w:val="27"/>
          <w:rtl/>
          <w:lang w:bidi="ar-LB"/>
        </w:rPr>
        <w:t>َ</w:t>
      </w:r>
      <w:r w:rsidRPr="00282AC9">
        <w:rPr>
          <w:rFonts w:hint="cs"/>
          <w:sz w:val="27"/>
          <w:rtl/>
          <w:lang w:bidi="ar-LB"/>
        </w:rPr>
        <w:t>م له حكم</w:t>
      </w:r>
      <w:r w:rsidR="00317F6E" w:rsidRPr="00282AC9">
        <w:rPr>
          <w:rFonts w:hint="cs"/>
          <w:sz w:val="27"/>
          <w:rtl/>
          <w:lang w:bidi="ar-LB"/>
        </w:rPr>
        <w:t>ٌ</w:t>
      </w:r>
      <w:r w:rsidRPr="00282AC9">
        <w:rPr>
          <w:rFonts w:hint="cs"/>
          <w:sz w:val="27"/>
          <w:rtl/>
          <w:lang w:bidi="ar-LB"/>
        </w:rPr>
        <w:t xml:space="preserve"> ألبت</w:t>
      </w:r>
      <w:r w:rsidR="00317F6E" w:rsidRPr="00282AC9">
        <w:rPr>
          <w:rFonts w:hint="cs"/>
          <w:sz w:val="27"/>
          <w:rtl/>
          <w:lang w:bidi="ar-LB"/>
        </w:rPr>
        <w:t>ّ</w:t>
      </w:r>
      <w:r w:rsidRPr="00282AC9">
        <w:rPr>
          <w:rFonts w:hint="cs"/>
          <w:sz w:val="27"/>
          <w:rtl/>
          <w:lang w:bidi="ar-LB"/>
        </w:rPr>
        <w:t>ة</w:t>
      </w:r>
      <w:r w:rsidR="00317F6E" w:rsidRPr="00282AC9">
        <w:rPr>
          <w:rFonts w:hint="cs"/>
          <w:sz w:val="27"/>
          <w:rtl/>
          <w:lang w:bidi="ar-LB"/>
        </w:rPr>
        <w:t>،</w:t>
      </w:r>
      <w:r w:rsidRPr="00282AC9">
        <w:rPr>
          <w:rFonts w:hint="cs"/>
          <w:sz w:val="27"/>
          <w:rtl/>
          <w:lang w:bidi="ar-LB"/>
        </w:rPr>
        <w:t xml:space="preserve"> وليس حكمه الوجوب والاستحباب وغيرهما</w:t>
      </w:r>
      <w:r w:rsidR="005853F7" w:rsidRPr="00282AC9">
        <w:rPr>
          <w:rFonts w:hint="cs"/>
          <w:sz w:val="27"/>
          <w:rtl/>
          <w:lang w:bidi="ar-LB"/>
        </w:rPr>
        <w:t>،</w:t>
      </w:r>
      <w:r w:rsidRPr="00282AC9">
        <w:rPr>
          <w:rFonts w:hint="cs"/>
          <w:sz w:val="27"/>
          <w:rtl/>
          <w:lang w:bidi="ar-LB"/>
        </w:rPr>
        <w:t xml:space="preserve"> إلا</w:t>
      </w:r>
      <w:r w:rsidR="005853F7" w:rsidRPr="00282AC9">
        <w:rPr>
          <w:rFonts w:hint="cs"/>
          <w:sz w:val="27"/>
          <w:rtl/>
          <w:lang w:bidi="ar-LB"/>
        </w:rPr>
        <w:t>ّ</w:t>
      </w:r>
      <w:r w:rsidRPr="00282AC9">
        <w:rPr>
          <w:rFonts w:hint="cs"/>
          <w:sz w:val="27"/>
          <w:rtl/>
          <w:lang w:bidi="ar-LB"/>
        </w:rPr>
        <w:t xml:space="preserve"> الحرمة</w:t>
      </w:r>
      <w:r w:rsidR="005853F7" w:rsidRPr="00282AC9">
        <w:rPr>
          <w:rFonts w:hint="cs"/>
          <w:sz w:val="27"/>
          <w:rtl/>
          <w:lang w:bidi="ar-LB"/>
        </w:rPr>
        <w:t>، ولكنّ حرمته إرشادي</w:t>
      </w:r>
      <w:r w:rsidRPr="00282AC9">
        <w:rPr>
          <w:rFonts w:hint="cs"/>
          <w:sz w:val="27"/>
          <w:rtl/>
          <w:lang w:bidi="ar-LB"/>
        </w:rPr>
        <w:t>ة</w:t>
      </w:r>
      <w:r w:rsidR="005853F7" w:rsidRPr="00282AC9">
        <w:rPr>
          <w:rFonts w:hint="cs"/>
          <w:sz w:val="27"/>
          <w:rtl/>
          <w:lang w:bidi="ar-LB"/>
        </w:rPr>
        <w:t>ٌ</w:t>
      </w:r>
      <w:r w:rsidRPr="00282AC9">
        <w:rPr>
          <w:rFonts w:hint="cs"/>
          <w:sz w:val="27"/>
          <w:rtl/>
          <w:lang w:bidi="ar-LB"/>
        </w:rPr>
        <w:t>، ومقدّمة الواجب واجبة</w:t>
      </w:r>
      <w:r w:rsidR="005853F7" w:rsidRPr="00282AC9">
        <w:rPr>
          <w:rFonts w:hint="cs"/>
          <w:sz w:val="27"/>
          <w:rtl/>
          <w:lang w:bidi="ar-LB"/>
        </w:rPr>
        <w:t>ٌ</w:t>
      </w:r>
      <w:r w:rsidRPr="00282AC9">
        <w:rPr>
          <w:rFonts w:hint="cs"/>
          <w:sz w:val="27"/>
          <w:rtl/>
          <w:lang w:bidi="ar-LB"/>
        </w:rPr>
        <w:t xml:space="preserve"> بالوجوب الإرشادي</w:t>
      </w:r>
      <w:r w:rsidR="005853F7" w:rsidRPr="00282AC9">
        <w:rPr>
          <w:rFonts w:hint="cs"/>
          <w:sz w:val="27"/>
          <w:rtl/>
          <w:lang w:bidi="ar-LB"/>
        </w:rPr>
        <w:t>ّ</w:t>
      </w:r>
      <w:r w:rsidRPr="00282AC9">
        <w:rPr>
          <w:rFonts w:hint="cs"/>
          <w:sz w:val="27"/>
          <w:rtl/>
          <w:lang w:bidi="ar-LB"/>
        </w:rPr>
        <w:t>، وكذلك الإطاعة واجبة إرشاداً</w:t>
      </w:r>
      <w:r w:rsidRPr="00282AC9">
        <w:rPr>
          <w:rFonts w:hint="cs"/>
          <w:sz w:val="27"/>
          <w:vertAlign w:val="superscript"/>
          <w:rtl/>
          <w:lang w:bidi="ar-LB"/>
        </w:rPr>
        <w:t>(</w:t>
      </w:r>
      <w:r w:rsidRPr="00282AC9">
        <w:rPr>
          <w:rStyle w:val="af9"/>
          <w:sz w:val="27"/>
          <w:rtl/>
          <w:lang w:bidi="ar-LB"/>
        </w:rPr>
        <w:endnoteReference w:id="5"/>
      </w:r>
      <w:r w:rsidRPr="00282AC9">
        <w:rPr>
          <w:sz w:val="27"/>
          <w:vertAlign w:val="superscript"/>
          <w:rtl/>
          <w:lang w:bidi="ar-LB"/>
        </w:rPr>
        <w:t>)</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وي</w:t>
      </w:r>
      <w:r w:rsidR="005853F7" w:rsidRPr="00282AC9">
        <w:rPr>
          <w:rFonts w:hint="cs"/>
          <w:b/>
          <w:bCs/>
          <w:sz w:val="27"/>
          <w:rtl/>
          <w:lang w:bidi="ar-LB"/>
        </w:rPr>
        <w:t>ُ</w:t>
      </w:r>
      <w:r w:rsidRPr="00282AC9">
        <w:rPr>
          <w:rFonts w:hint="cs"/>
          <w:b/>
          <w:bCs/>
          <w:sz w:val="27"/>
          <w:rtl/>
          <w:lang w:bidi="ar-LB"/>
        </w:rPr>
        <w:t>لاح</w:t>
      </w:r>
      <w:r w:rsidR="005853F7" w:rsidRPr="00282AC9">
        <w:rPr>
          <w:rFonts w:hint="cs"/>
          <w:b/>
          <w:bCs/>
          <w:sz w:val="27"/>
          <w:rtl/>
          <w:lang w:bidi="ar-LB"/>
        </w:rPr>
        <w:t>َ</w:t>
      </w:r>
      <w:r w:rsidRPr="00282AC9">
        <w:rPr>
          <w:rFonts w:hint="cs"/>
          <w:b/>
          <w:bCs/>
          <w:sz w:val="27"/>
          <w:rtl/>
          <w:lang w:bidi="ar-LB"/>
        </w:rPr>
        <w:t>ظ عليه</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b/>
          <w:bCs/>
          <w:sz w:val="27"/>
          <w:rtl/>
          <w:lang w:bidi="ar-LB"/>
        </w:rPr>
        <w:t>أو</w:t>
      </w:r>
      <w:r w:rsidR="005853F7" w:rsidRPr="00282AC9">
        <w:rPr>
          <w:rFonts w:hint="cs"/>
          <w:b/>
          <w:bCs/>
          <w:sz w:val="27"/>
          <w:rtl/>
          <w:lang w:bidi="ar-LB"/>
        </w:rPr>
        <w:t>ّ</w:t>
      </w:r>
      <w:r w:rsidRPr="00282AC9">
        <w:rPr>
          <w:rFonts w:hint="cs"/>
          <w:b/>
          <w:bCs/>
          <w:sz w:val="27"/>
          <w:rtl/>
          <w:lang w:bidi="ar-LB"/>
        </w:rPr>
        <w:t>لاً</w:t>
      </w:r>
      <w:r w:rsidRPr="00282AC9">
        <w:rPr>
          <w:rFonts w:hint="cs"/>
          <w:sz w:val="27"/>
          <w:rtl/>
          <w:lang w:bidi="ar-LB"/>
        </w:rPr>
        <w:t>: ما سيأتي من عدم ابتناء وتوق</w:t>
      </w:r>
      <w:r w:rsidR="005853F7" w:rsidRPr="00282AC9">
        <w:rPr>
          <w:rFonts w:hint="cs"/>
          <w:sz w:val="27"/>
          <w:rtl/>
          <w:lang w:bidi="ar-LB"/>
        </w:rPr>
        <w:t>ُّ</w:t>
      </w:r>
      <w:r w:rsidRPr="00282AC9">
        <w:rPr>
          <w:rFonts w:hint="cs"/>
          <w:sz w:val="27"/>
          <w:rtl/>
          <w:lang w:bidi="ar-LB"/>
        </w:rPr>
        <w:t>ف هذه القاعدة على القول بالح</w:t>
      </w:r>
      <w:r w:rsidR="005853F7" w:rsidRPr="00282AC9">
        <w:rPr>
          <w:rFonts w:hint="cs"/>
          <w:sz w:val="27"/>
          <w:rtl/>
          <w:lang w:bidi="ar-LB"/>
        </w:rPr>
        <w:t>ُ</w:t>
      </w:r>
      <w:r w:rsidRPr="00282AC9">
        <w:rPr>
          <w:rFonts w:hint="cs"/>
          <w:sz w:val="27"/>
          <w:rtl/>
          <w:lang w:bidi="ar-LB"/>
        </w:rPr>
        <w:t>س</w:t>
      </w:r>
      <w:r w:rsidR="005853F7" w:rsidRPr="00282AC9">
        <w:rPr>
          <w:rFonts w:hint="cs"/>
          <w:sz w:val="27"/>
          <w:rtl/>
          <w:lang w:bidi="ar-LB"/>
        </w:rPr>
        <w:t>ْ</w:t>
      </w:r>
      <w:r w:rsidRPr="00282AC9">
        <w:rPr>
          <w:rFonts w:hint="cs"/>
          <w:sz w:val="27"/>
          <w:rtl/>
          <w:lang w:bidi="ar-LB"/>
        </w:rPr>
        <w:t>ن والق</w:t>
      </w:r>
      <w:r w:rsidR="005853F7" w:rsidRPr="00282AC9">
        <w:rPr>
          <w:rFonts w:hint="cs"/>
          <w:sz w:val="27"/>
          <w:rtl/>
          <w:lang w:bidi="ar-LB"/>
        </w:rPr>
        <w:t>ُ</w:t>
      </w:r>
      <w:r w:rsidRPr="00282AC9">
        <w:rPr>
          <w:rFonts w:hint="cs"/>
          <w:sz w:val="27"/>
          <w:rtl/>
          <w:lang w:bidi="ar-LB"/>
        </w:rPr>
        <w:t>ب</w:t>
      </w:r>
      <w:r w:rsidR="005853F7" w:rsidRPr="00282AC9">
        <w:rPr>
          <w:rFonts w:hint="cs"/>
          <w:sz w:val="27"/>
          <w:rtl/>
          <w:lang w:bidi="ar-LB"/>
        </w:rPr>
        <w:t>ْ</w:t>
      </w:r>
      <w:r w:rsidRPr="00282AC9">
        <w:rPr>
          <w:rFonts w:hint="cs"/>
          <w:sz w:val="27"/>
          <w:rtl/>
          <w:lang w:bidi="ar-LB"/>
        </w:rPr>
        <w:t>ح الذاتيين للأشياء</w:t>
      </w:r>
      <w:r w:rsidR="005853F7" w:rsidRPr="00282AC9">
        <w:rPr>
          <w:rFonts w:hint="cs"/>
          <w:sz w:val="27"/>
          <w:rtl/>
          <w:lang w:bidi="ar-LB"/>
        </w:rPr>
        <w:t>،</w:t>
      </w:r>
      <w:r w:rsidRPr="00282AC9">
        <w:rPr>
          <w:rFonts w:hint="cs"/>
          <w:sz w:val="27"/>
          <w:rtl/>
          <w:lang w:bidi="ar-LB"/>
        </w:rPr>
        <w:t xml:space="preserve"> وأعمّية البحث عن المصالح والمفاسد والح</w:t>
      </w:r>
      <w:r w:rsidR="005853F7" w:rsidRPr="00282AC9">
        <w:rPr>
          <w:rFonts w:hint="cs"/>
          <w:sz w:val="27"/>
          <w:rtl/>
          <w:lang w:bidi="ar-LB"/>
        </w:rPr>
        <w:t>ُ</w:t>
      </w:r>
      <w:r w:rsidRPr="00282AC9">
        <w:rPr>
          <w:rFonts w:hint="cs"/>
          <w:sz w:val="27"/>
          <w:rtl/>
          <w:lang w:bidi="ar-LB"/>
        </w:rPr>
        <w:t>س</w:t>
      </w:r>
      <w:r w:rsidR="005853F7" w:rsidRPr="00282AC9">
        <w:rPr>
          <w:rFonts w:hint="cs"/>
          <w:sz w:val="27"/>
          <w:rtl/>
          <w:lang w:bidi="ar-LB"/>
        </w:rPr>
        <w:t>ْ</w:t>
      </w:r>
      <w:r w:rsidRPr="00282AC9">
        <w:rPr>
          <w:rFonts w:hint="cs"/>
          <w:sz w:val="27"/>
          <w:rtl/>
          <w:lang w:bidi="ar-LB"/>
        </w:rPr>
        <w:t>ن والق</w:t>
      </w:r>
      <w:r w:rsidR="005853F7" w:rsidRPr="00282AC9">
        <w:rPr>
          <w:rFonts w:hint="cs"/>
          <w:sz w:val="27"/>
          <w:rtl/>
          <w:lang w:bidi="ar-LB"/>
        </w:rPr>
        <w:t>ُ</w:t>
      </w:r>
      <w:r w:rsidRPr="00282AC9">
        <w:rPr>
          <w:rFonts w:hint="cs"/>
          <w:sz w:val="27"/>
          <w:rtl/>
          <w:lang w:bidi="ar-LB"/>
        </w:rPr>
        <w:t>ب</w:t>
      </w:r>
      <w:r w:rsidR="005853F7" w:rsidRPr="00282AC9">
        <w:rPr>
          <w:rFonts w:hint="cs"/>
          <w:sz w:val="27"/>
          <w:rtl/>
          <w:lang w:bidi="ar-LB"/>
        </w:rPr>
        <w:t>ْ</w:t>
      </w:r>
      <w:r w:rsidRPr="00282AC9">
        <w:rPr>
          <w:rFonts w:hint="cs"/>
          <w:sz w:val="27"/>
          <w:rtl/>
          <w:lang w:bidi="ar-LB"/>
        </w:rPr>
        <w:t>ح.</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وثانياً</w:t>
      </w:r>
      <w:r w:rsidR="005853F7" w:rsidRPr="00282AC9">
        <w:rPr>
          <w:rFonts w:hint="cs"/>
          <w:sz w:val="27"/>
          <w:rtl/>
          <w:lang w:bidi="ar-LB"/>
        </w:rPr>
        <w:t>: إنّ المقسَّم لما ذكره من الإ</w:t>
      </w:r>
      <w:r w:rsidRPr="00282AC9">
        <w:rPr>
          <w:rFonts w:hint="cs"/>
          <w:sz w:val="27"/>
          <w:rtl/>
          <w:lang w:bidi="ar-LB"/>
        </w:rPr>
        <w:t>رشادي والمولوي هو الأمر</w:t>
      </w:r>
      <w:r w:rsidR="005853F7" w:rsidRPr="00282AC9">
        <w:rPr>
          <w:rFonts w:hint="cs"/>
          <w:sz w:val="27"/>
          <w:rtl/>
          <w:lang w:bidi="ar-LB"/>
        </w:rPr>
        <w:t>،</w:t>
      </w:r>
      <w:r w:rsidRPr="00282AC9">
        <w:rPr>
          <w:rFonts w:hint="cs"/>
          <w:sz w:val="27"/>
          <w:rtl/>
          <w:lang w:bidi="ar-LB"/>
        </w:rPr>
        <w:t xml:space="preserve"> دون الحكم؛ وذلك لأنّ الحكم هو الإنشاء بداعي جعل الداعي المنت</w:t>
      </w:r>
      <w:r w:rsidR="005853F7" w:rsidRPr="00282AC9">
        <w:rPr>
          <w:rFonts w:hint="cs"/>
          <w:sz w:val="27"/>
          <w:rtl/>
          <w:lang w:bidi="ar-LB"/>
        </w:rPr>
        <w:t>َ</w:t>
      </w:r>
      <w:r w:rsidRPr="00282AC9">
        <w:rPr>
          <w:rFonts w:hint="cs"/>
          <w:sz w:val="27"/>
          <w:rtl/>
          <w:lang w:bidi="ar-LB"/>
        </w:rPr>
        <w:t>ز</w:t>
      </w:r>
      <w:r w:rsidR="005853F7" w:rsidRPr="00282AC9">
        <w:rPr>
          <w:rFonts w:hint="cs"/>
          <w:sz w:val="27"/>
          <w:rtl/>
          <w:lang w:bidi="ar-LB"/>
        </w:rPr>
        <w:t>َ</w:t>
      </w:r>
      <w:r w:rsidRPr="00282AC9">
        <w:rPr>
          <w:rFonts w:hint="cs"/>
          <w:sz w:val="27"/>
          <w:rtl/>
          <w:lang w:bidi="ar-LB"/>
        </w:rPr>
        <w:t xml:space="preserve">ع عنه البعث والزجر، وهذا </w:t>
      </w:r>
      <w:r w:rsidRPr="00282AC9">
        <w:rPr>
          <w:sz w:val="27"/>
          <w:rtl/>
          <w:lang w:bidi="ar-LB"/>
        </w:rPr>
        <w:t>ـ</w:t>
      </w:r>
      <w:r w:rsidRPr="00282AC9">
        <w:rPr>
          <w:rFonts w:hint="cs"/>
          <w:sz w:val="27"/>
          <w:rtl/>
          <w:lang w:bidi="ar-LB"/>
        </w:rPr>
        <w:t xml:space="preserve"> كما </w:t>
      </w:r>
      <w:r w:rsidRPr="00282AC9">
        <w:rPr>
          <w:rFonts w:hint="cs"/>
          <w:sz w:val="27"/>
          <w:rtl/>
          <w:lang w:bidi="ar-LB"/>
        </w:rPr>
        <w:lastRenderedPageBreak/>
        <w:t xml:space="preserve">ترى </w:t>
      </w:r>
      <w:r w:rsidRPr="00282AC9">
        <w:rPr>
          <w:sz w:val="27"/>
          <w:rtl/>
          <w:lang w:bidi="ar-LB"/>
        </w:rPr>
        <w:t>ـ</w:t>
      </w:r>
      <w:r w:rsidRPr="00282AC9">
        <w:rPr>
          <w:rFonts w:hint="cs"/>
          <w:sz w:val="27"/>
          <w:rtl/>
          <w:lang w:bidi="ar-LB"/>
        </w:rPr>
        <w:t xml:space="preserve"> لا يلائم إلاّ المولوي</w:t>
      </w:r>
      <w:r w:rsidR="005853F7" w:rsidRPr="00282AC9">
        <w:rPr>
          <w:rFonts w:hint="cs"/>
          <w:sz w:val="27"/>
          <w:rtl/>
          <w:lang w:bidi="ar-LB"/>
        </w:rPr>
        <w:t>ّ</w:t>
      </w:r>
      <w:r w:rsidRPr="00282AC9">
        <w:rPr>
          <w:rFonts w:hint="cs"/>
          <w:sz w:val="27"/>
          <w:rtl/>
          <w:lang w:bidi="ar-LB"/>
        </w:rPr>
        <w:t>ة، وأما الإرشاد فهو</w:t>
      </w:r>
      <w:r w:rsidR="005853F7" w:rsidRPr="00282AC9">
        <w:rPr>
          <w:rFonts w:hint="cs"/>
          <w:sz w:val="27"/>
          <w:rtl/>
          <w:lang w:bidi="ar-LB"/>
        </w:rPr>
        <w:t xml:space="preserve"> الإنشاء بداعي الإ</w:t>
      </w:r>
      <w:r w:rsidRPr="00282AC9">
        <w:rPr>
          <w:rFonts w:hint="cs"/>
          <w:sz w:val="27"/>
          <w:rtl/>
          <w:lang w:bidi="ar-LB"/>
        </w:rPr>
        <w:t xml:space="preserve">رشاد، </w:t>
      </w:r>
      <w:r w:rsidR="005853F7" w:rsidRPr="00282AC9">
        <w:rPr>
          <w:rFonts w:hint="cs"/>
          <w:sz w:val="27"/>
          <w:rtl/>
          <w:lang w:bidi="ar-LB"/>
        </w:rPr>
        <w:t>وهذا لا ينتزع عنه البعث ولا الز</w:t>
      </w:r>
      <w:r w:rsidRPr="00282AC9">
        <w:rPr>
          <w:rFonts w:hint="cs"/>
          <w:sz w:val="27"/>
          <w:rtl/>
          <w:lang w:bidi="ar-LB"/>
        </w:rPr>
        <w:t>جر</w:t>
      </w:r>
      <w:r w:rsidR="005853F7" w:rsidRPr="00282AC9">
        <w:rPr>
          <w:rFonts w:hint="cs"/>
          <w:sz w:val="27"/>
          <w:rtl/>
          <w:lang w:bidi="ar-LB"/>
        </w:rPr>
        <w:t>،</w:t>
      </w:r>
      <w:r w:rsidRPr="00282AC9">
        <w:rPr>
          <w:rFonts w:hint="cs"/>
          <w:sz w:val="27"/>
          <w:rtl/>
          <w:lang w:bidi="ar-LB"/>
        </w:rPr>
        <w:t xml:space="preserve"> ومن ث</w:t>
      </w:r>
      <w:r w:rsidR="005853F7" w:rsidRPr="00282AC9">
        <w:rPr>
          <w:rFonts w:hint="cs"/>
          <w:sz w:val="27"/>
          <w:rtl/>
          <w:lang w:bidi="ar-LB"/>
        </w:rPr>
        <w:t>َ</w:t>
      </w:r>
      <w:r w:rsidRPr="00282AC9">
        <w:rPr>
          <w:rFonts w:hint="cs"/>
          <w:sz w:val="27"/>
          <w:rtl/>
          <w:lang w:bidi="ar-LB"/>
        </w:rPr>
        <w:t>مَّ لا مجال للمولوي</w:t>
      </w:r>
      <w:r w:rsidR="005853F7" w:rsidRPr="00282AC9">
        <w:rPr>
          <w:rFonts w:hint="cs"/>
          <w:sz w:val="27"/>
          <w:rtl/>
          <w:lang w:bidi="ar-LB"/>
        </w:rPr>
        <w:t>ّ</w:t>
      </w:r>
      <w:r w:rsidRPr="00282AC9">
        <w:rPr>
          <w:rFonts w:hint="cs"/>
          <w:sz w:val="27"/>
          <w:rtl/>
          <w:lang w:bidi="ar-LB"/>
        </w:rPr>
        <w:t>ة فيه.</w:t>
      </w:r>
    </w:p>
    <w:p w:rsidR="00A9019A" w:rsidRPr="00282AC9" w:rsidRDefault="00A9019A" w:rsidP="00B16272">
      <w:pPr>
        <w:tabs>
          <w:tab w:val="right" w:pos="6930"/>
        </w:tabs>
        <w:suppressAutoHyphens/>
        <w:rPr>
          <w:sz w:val="27"/>
          <w:rtl/>
          <w:lang w:bidi="ar-LB"/>
        </w:rPr>
      </w:pPr>
      <w:r w:rsidRPr="00282AC9">
        <w:rPr>
          <w:rFonts w:hint="cs"/>
          <w:sz w:val="27"/>
          <w:rtl/>
          <w:lang w:bidi="ar-LB"/>
        </w:rPr>
        <w:t>وبالجملة الإنشاء في كل</w:t>
      </w:r>
      <w:r w:rsidR="005853F7" w:rsidRPr="00282AC9">
        <w:rPr>
          <w:rFonts w:hint="cs"/>
          <w:sz w:val="27"/>
          <w:rtl/>
          <w:lang w:bidi="ar-LB"/>
        </w:rPr>
        <w:t>ّ</w:t>
      </w:r>
      <w:r w:rsidRPr="00282AC9">
        <w:rPr>
          <w:rFonts w:hint="cs"/>
          <w:sz w:val="27"/>
          <w:rtl/>
          <w:lang w:bidi="ar-LB"/>
        </w:rPr>
        <w:t xml:space="preserve"> مورد</w:t>
      </w:r>
      <w:r w:rsidR="005853F7" w:rsidRPr="00282AC9">
        <w:rPr>
          <w:rFonts w:hint="cs"/>
          <w:sz w:val="27"/>
          <w:rtl/>
          <w:lang w:bidi="ar-LB"/>
        </w:rPr>
        <w:t>ٍ</w:t>
      </w:r>
      <w:r w:rsidRPr="00282AC9">
        <w:rPr>
          <w:rFonts w:hint="cs"/>
          <w:sz w:val="27"/>
          <w:rtl/>
          <w:lang w:bidi="ar-LB"/>
        </w:rPr>
        <w:t xml:space="preserve"> مصداق</w:t>
      </w:r>
      <w:r w:rsidR="005853F7" w:rsidRPr="00282AC9">
        <w:rPr>
          <w:rFonts w:hint="cs"/>
          <w:sz w:val="27"/>
          <w:rtl/>
          <w:lang w:bidi="ar-LB"/>
        </w:rPr>
        <w:t>ٌ</w:t>
      </w:r>
      <w:r w:rsidRPr="00282AC9">
        <w:rPr>
          <w:rFonts w:hint="cs"/>
          <w:sz w:val="27"/>
          <w:rtl/>
          <w:lang w:bidi="ar-LB"/>
        </w:rPr>
        <w:t xml:space="preserve"> للداعي الذي ينشأ لأجله، فإن</w:t>
      </w:r>
      <w:r w:rsidR="005853F7" w:rsidRPr="00282AC9">
        <w:rPr>
          <w:rFonts w:hint="cs"/>
          <w:sz w:val="27"/>
          <w:rtl/>
          <w:lang w:bidi="ar-LB"/>
        </w:rPr>
        <w:t>ْ</w:t>
      </w:r>
      <w:r w:rsidRPr="00282AC9">
        <w:rPr>
          <w:rFonts w:hint="cs"/>
          <w:sz w:val="27"/>
          <w:rtl/>
          <w:lang w:bidi="ar-LB"/>
        </w:rPr>
        <w:t xml:space="preserve"> كان بداعي البعث فهو بعث</w:t>
      </w:r>
      <w:r w:rsidR="005853F7" w:rsidRPr="00282AC9">
        <w:rPr>
          <w:rFonts w:hint="cs"/>
          <w:sz w:val="27"/>
          <w:rtl/>
          <w:lang w:bidi="ar-LB"/>
        </w:rPr>
        <w:t>ٌ، وإ</w:t>
      </w:r>
      <w:r w:rsidRPr="00282AC9">
        <w:rPr>
          <w:rFonts w:hint="cs"/>
          <w:sz w:val="27"/>
          <w:rtl/>
          <w:lang w:bidi="ar-LB"/>
        </w:rPr>
        <w:t>ن</w:t>
      </w:r>
      <w:r w:rsidR="005853F7" w:rsidRPr="00282AC9">
        <w:rPr>
          <w:rFonts w:hint="cs"/>
          <w:sz w:val="27"/>
          <w:rtl/>
          <w:lang w:bidi="ar-LB"/>
        </w:rPr>
        <w:t>ْ كان بداعي الز</w:t>
      </w:r>
      <w:r w:rsidRPr="00282AC9">
        <w:rPr>
          <w:rFonts w:hint="cs"/>
          <w:sz w:val="27"/>
          <w:rtl/>
          <w:lang w:bidi="ar-LB"/>
        </w:rPr>
        <w:t>جر فهو زجر</w:t>
      </w:r>
      <w:r w:rsidR="005853F7" w:rsidRPr="00282AC9">
        <w:rPr>
          <w:rFonts w:hint="cs"/>
          <w:sz w:val="27"/>
          <w:rtl/>
          <w:lang w:bidi="ar-LB"/>
        </w:rPr>
        <w:t>ٌ، وإ</w:t>
      </w:r>
      <w:r w:rsidRPr="00282AC9">
        <w:rPr>
          <w:rFonts w:hint="cs"/>
          <w:sz w:val="27"/>
          <w:rtl/>
          <w:lang w:bidi="ar-LB"/>
        </w:rPr>
        <w:t>ن</w:t>
      </w:r>
      <w:r w:rsidR="005853F7" w:rsidRPr="00282AC9">
        <w:rPr>
          <w:rFonts w:hint="cs"/>
          <w:sz w:val="27"/>
          <w:rtl/>
          <w:lang w:bidi="ar-LB"/>
        </w:rPr>
        <w:t>ْ كان بداعي الإ</w:t>
      </w:r>
      <w:r w:rsidRPr="00282AC9">
        <w:rPr>
          <w:rFonts w:hint="cs"/>
          <w:sz w:val="27"/>
          <w:rtl/>
          <w:lang w:bidi="ar-LB"/>
        </w:rPr>
        <w:t>رشاد</w:t>
      </w:r>
      <w:r w:rsidR="005853F7" w:rsidRPr="00282AC9">
        <w:rPr>
          <w:rFonts w:hint="cs"/>
          <w:sz w:val="27"/>
          <w:rtl/>
          <w:lang w:bidi="ar-LB"/>
        </w:rPr>
        <w:t xml:space="preserve"> فهو إ</w:t>
      </w:r>
      <w:r w:rsidRPr="00282AC9">
        <w:rPr>
          <w:rFonts w:hint="cs"/>
          <w:sz w:val="27"/>
          <w:rtl/>
          <w:lang w:bidi="ar-LB"/>
        </w:rPr>
        <w:t>رشاد</w:t>
      </w:r>
      <w:r w:rsidR="005853F7" w:rsidRPr="00282AC9">
        <w:rPr>
          <w:rFonts w:hint="cs"/>
          <w:sz w:val="27"/>
          <w:rtl/>
          <w:lang w:bidi="ar-LB"/>
        </w:rPr>
        <w:t xml:space="preserve">ٌ، </w:t>
      </w:r>
      <w:r w:rsidRPr="00282AC9">
        <w:rPr>
          <w:rFonts w:hint="cs"/>
          <w:sz w:val="27"/>
          <w:rtl/>
          <w:lang w:bidi="ar-LB"/>
        </w:rPr>
        <w:t>وإن</w:t>
      </w:r>
      <w:r w:rsidR="005853F7" w:rsidRPr="00282AC9">
        <w:rPr>
          <w:rFonts w:hint="cs"/>
          <w:sz w:val="27"/>
          <w:rtl/>
          <w:lang w:bidi="ar-LB"/>
        </w:rPr>
        <w:t>ْ</w:t>
      </w:r>
      <w:r w:rsidRPr="00282AC9">
        <w:rPr>
          <w:rFonts w:hint="cs"/>
          <w:sz w:val="27"/>
          <w:rtl/>
          <w:lang w:bidi="ar-LB"/>
        </w:rPr>
        <w:t xml:space="preserve"> كان بداعي الامتحان أو السخرة أو التعجيز أو غيرها فهو مصد</w:t>
      </w:r>
      <w:r w:rsidR="00C56985" w:rsidRPr="00282AC9">
        <w:rPr>
          <w:rFonts w:hint="cs"/>
          <w:sz w:val="27"/>
          <w:rtl/>
          <w:lang w:bidi="ar-LB"/>
        </w:rPr>
        <w:t>ا</w:t>
      </w:r>
      <w:r w:rsidRPr="00282AC9">
        <w:rPr>
          <w:rFonts w:hint="cs"/>
          <w:sz w:val="27"/>
          <w:rtl/>
          <w:lang w:bidi="ar-LB"/>
        </w:rPr>
        <w:t>ق</w:t>
      </w:r>
      <w:r w:rsidR="00C56985" w:rsidRPr="00282AC9">
        <w:rPr>
          <w:rFonts w:hint="cs"/>
          <w:sz w:val="27"/>
          <w:rtl/>
          <w:lang w:bidi="ar-LB"/>
        </w:rPr>
        <w:t>ٌ</w:t>
      </w:r>
      <w:r w:rsidRPr="00282AC9">
        <w:rPr>
          <w:rFonts w:hint="cs"/>
          <w:sz w:val="27"/>
          <w:rtl/>
          <w:lang w:bidi="ar-LB"/>
        </w:rPr>
        <w:t xml:space="preserve"> لها</w:t>
      </w:r>
      <w:r w:rsidR="005853F7" w:rsidRPr="00282AC9">
        <w:rPr>
          <w:rFonts w:hint="cs"/>
          <w:sz w:val="27"/>
          <w:rtl/>
          <w:lang w:bidi="ar-LB"/>
        </w:rPr>
        <w:t>.</w:t>
      </w:r>
      <w:r w:rsidRPr="00282AC9">
        <w:rPr>
          <w:rFonts w:hint="cs"/>
          <w:sz w:val="27"/>
          <w:rtl/>
          <w:lang w:bidi="ar-LB"/>
        </w:rPr>
        <w:t xml:space="preserve"> وليس الحكم إلاّ خصوص الإنشاء بداعي البعث والزجر.</w:t>
      </w:r>
    </w:p>
    <w:p w:rsidR="00A9019A" w:rsidRPr="00282AC9" w:rsidRDefault="00A9019A" w:rsidP="00B16272">
      <w:pPr>
        <w:tabs>
          <w:tab w:val="right" w:pos="6930"/>
        </w:tabs>
        <w:suppressAutoHyphens/>
        <w:rPr>
          <w:sz w:val="27"/>
          <w:rtl/>
          <w:lang w:bidi="ar-LB"/>
        </w:rPr>
      </w:pPr>
      <w:r w:rsidRPr="00282AC9">
        <w:rPr>
          <w:rFonts w:hint="cs"/>
          <w:sz w:val="27"/>
          <w:rtl/>
          <w:lang w:bidi="ar-LB"/>
        </w:rPr>
        <w:t>وأمّا الأمر فبما أنّه عبارة</w:t>
      </w:r>
      <w:r w:rsidR="005853F7" w:rsidRPr="00282AC9">
        <w:rPr>
          <w:rFonts w:hint="cs"/>
          <w:sz w:val="27"/>
          <w:rtl/>
          <w:lang w:bidi="ar-LB"/>
        </w:rPr>
        <w:t>ٌ</w:t>
      </w:r>
      <w:r w:rsidRPr="00282AC9">
        <w:rPr>
          <w:rFonts w:hint="cs"/>
          <w:sz w:val="27"/>
          <w:rtl/>
          <w:lang w:bidi="ar-LB"/>
        </w:rPr>
        <w:t xml:space="preserve"> عن الصيغة التي ينشأ بها البعث، من دون ملاحظة ما يدعو إليه، صحّ انقسامه </w:t>
      </w:r>
      <w:r w:rsidR="007867B0" w:rsidRPr="00282AC9">
        <w:rPr>
          <w:rFonts w:hint="cs"/>
          <w:sz w:val="27"/>
          <w:rtl/>
          <w:lang w:bidi="ar-LB"/>
        </w:rPr>
        <w:t>إ</w:t>
      </w:r>
      <w:r w:rsidRPr="00282AC9">
        <w:rPr>
          <w:rFonts w:hint="cs"/>
          <w:sz w:val="27"/>
          <w:rtl/>
          <w:lang w:bidi="ar-LB"/>
        </w:rPr>
        <w:t>لى</w:t>
      </w:r>
      <w:r w:rsidR="007867B0" w:rsidRPr="00282AC9">
        <w:rPr>
          <w:rFonts w:hint="cs"/>
          <w:sz w:val="27"/>
          <w:rtl/>
          <w:lang w:bidi="ar-LB"/>
        </w:rPr>
        <w:t>:</w:t>
      </w:r>
      <w:r w:rsidRPr="00282AC9">
        <w:rPr>
          <w:rFonts w:hint="cs"/>
          <w:sz w:val="27"/>
          <w:rtl/>
          <w:lang w:bidi="ar-LB"/>
        </w:rPr>
        <w:t xml:space="preserve"> مولوي</w:t>
      </w:r>
      <w:r w:rsidR="007867B0" w:rsidRPr="00282AC9">
        <w:rPr>
          <w:rFonts w:hint="cs"/>
          <w:sz w:val="27"/>
          <w:rtl/>
          <w:lang w:bidi="ar-LB"/>
        </w:rPr>
        <w:t>ّ؛ وإ</w:t>
      </w:r>
      <w:r w:rsidRPr="00282AC9">
        <w:rPr>
          <w:rFonts w:hint="cs"/>
          <w:sz w:val="27"/>
          <w:rtl/>
          <w:lang w:bidi="ar-LB"/>
        </w:rPr>
        <w:t>رشاديّ</w:t>
      </w:r>
      <w:r w:rsidR="007867B0" w:rsidRPr="00282AC9">
        <w:rPr>
          <w:rFonts w:hint="cs"/>
          <w:sz w:val="27"/>
          <w:rtl/>
          <w:lang w:bidi="ar-LB"/>
        </w:rPr>
        <w:t>.</w:t>
      </w:r>
      <w:r w:rsidRPr="00282AC9">
        <w:rPr>
          <w:rFonts w:hint="cs"/>
          <w:sz w:val="27"/>
          <w:rtl/>
          <w:lang w:bidi="ar-LB"/>
        </w:rPr>
        <w:t xml:space="preserve"> فالأمر المولوي</w:t>
      </w:r>
      <w:r w:rsidR="007867B0" w:rsidRPr="00282AC9">
        <w:rPr>
          <w:rFonts w:hint="cs"/>
          <w:sz w:val="27"/>
          <w:rtl/>
          <w:lang w:bidi="ar-LB"/>
        </w:rPr>
        <w:t>ّ</w:t>
      </w:r>
      <w:r w:rsidRPr="00282AC9">
        <w:rPr>
          <w:rFonts w:hint="cs"/>
          <w:sz w:val="27"/>
          <w:rtl/>
          <w:lang w:bidi="ar-LB"/>
        </w:rPr>
        <w:t xml:space="preserve"> ما كان بداعي البعث، والأمر الإرشادي</w:t>
      </w:r>
      <w:r w:rsidR="007867B0" w:rsidRPr="00282AC9">
        <w:rPr>
          <w:rFonts w:hint="cs"/>
          <w:sz w:val="27"/>
          <w:rtl/>
          <w:lang w:bidi="ar-LB"/>
        </w:rPr>
        <w:t>ّ</w:t>
      </w:r>
      <w:r w:rsidRPr="00282AC9">
        <w:rPr>
          <w:rFonts w:hint="cs"/>
          <w:sz w:val="27"/>
          <w:rtl/>
          <w:lang w:bidi="ar-LB"/>
        </w:rPr>
        <w:t xml:space="preserve"> ما كان بداعي الإرشاد</w:t>
      </w:r>
      <w:r w:rsidR="007867B0" w:rsidRPr="00282AC9">
        <w:rPr>
          <w:rFonts w:hint="cs"/>
          <w:sz w:val="27"/>
          <w:rtl/>
          <w:lang w:bidi="ar-LB"/>
        </w:rPr>
        <w:t>.</w:t>
      </w:r>
      <w:r w:rsidRPr="00282AC9">
        <w:rPr>
          <w:rFonts w:hint="cs"/>
          <w:sz w:val="27"/>
          <w:rtl/>
          <w:lang w:bidi="ar-LB"/>
        </w:rPr>
        <w:t xml:space="preserve"> وهكذا الكلام في النهي.</w:t>
      </w:r>
    </w:p>
    <w:p w:rsidR="00A9019A" w:rsidRPr="00282AC9" w:rsidRDefault="00A9019A" w:rsidP="00B16272">
      <w:pPr>
        <w:tabs>
          <w:tab w:val="right" w:pos="6930"/>
        </w:tabs>
        <w:suppressAutoHyphens/>
        <w:rPr>
          <w:sz w:val="27"/>
          <w:rtl/>
          <w:lang w:bidi="ar-LB"/>
        </w:rPr>
      </w:pPr>
      <w:r w:rsidRPr="00282AC9">
        <w:rPr>
          <w:rFonts w:hint="cs"/>
          <w:sz w:val="27"/>
          <w:rtl/>
          <w:lang w:bidi="ar-LB"/>
        </w:rPr>
        <w:t>نعم</w:t>
      </w:r>
      <w:r w:rsidR="007867B0" w:rsidRPr="00282AC9">
        <w:rPr>
          <w:rFonts w:hint="cs"/>
          <w:sz w:val="27"/>
          <w:rtl/>
          <w:lang w:bidi="ar-LB"/>
        </w:rPr>
        <w:t>، لو قيل: إن حقيقة الإ</w:t>
      </w:r>
      <w:r w:rsidRPr="00282AC9">
        <w:rPr>
          <w:rFonts w:hint="cs"/>
          <w:sz w:val="27"/>
          <w:rtl/>
          <w:lang w:bidi="ar-LB"/>
        </w:rPr>
        <w:t>رشاد تشتمل على نوع</w:t>
      </w:r>
      <w:r w:rsidR="007867B0" w:rsidRPr="00282AC9">
        <w:rPr>
          <w:rFonts w:hint="cs"/>
          <w:sz w:val="27"/>
          <w:rtl/>
          <w:lang w:bidi="ar-LB"/>
        </w:rPr>
        <w:t>ٍ</w:t>
      </w:r>
      <w:r w:rsidRPr="00282AC9">
        <w:rPr>
          <w:rFonts w:hint="cs"/>
          <w:sz w:val="27"/>
          <w:rtl/>
          <w:lang w:bidi="ar-LB"/>
        </w:rPr>
        <w:t xml:space="preserve"> من الإلزام</w:t>
      </w:r>
      <w:r w:rsidR="007867B0" w:rsidRPr="00282AC9">
        <w:rPr>
          <w:rFonts w:hint="cs"/>
          <w:sz w:val="27"/>
          <w:rtl/>
          <w:lang w:bidi="ar-LB"/>
        </w:rPr>
        <w:t>، كما هو المختار، صحّ</w:t>
      </w:r>
      <w:r w:rsidRPr="00282AC9">
        <w:rPr>
          <w:rFonts w:hint="cs"/>
          <w:sz w:val="27"/>
          <w:rtl/>
          <w:lang w:bidi="ar-LB"/>
        </w:rPr>
        <w:t xml:space="preserve"> ما ذكره في الجملة</w:t>
      </w:r>
      <w:r w:rsidR="007867B0" w:rsidRPr="00282AC9">
        <w:rPr>
          <w:rFonts w:hint="cs"/>
          <w:sz w:val="27"/>
          <w:rtl/>
          <w:lang w:bidi="ar-LB"/>
        </w:rPr>
        <w:t>،</w:t>
      </w:r>
      <w:r w:rsidRPr="00282AC9">
        <w:rPr>
          <w:rFonts w:hint="cs"/>
          <w:sz w:val="27"/>
          <w:rtl/>
          <w:lang w:bidi="ar-LB"/>
        </w:rPr>
        <w:t xml:space="preserve"> والتفصيل في محلّه.</w:t>
      </w:r>
    </w:p>
    <w:p w:rsidR="007867B0" w:rsidRPr="00282AC9" w:rsidRDefault="007867B0" w:rsidP="00CC0484">
      <w:pPr>
        <w:tabs>
          <w:tab w:val="right" w:pos="6930"/>
        </w:tabs>
        <w:suppressAutoHyphens/>
        <w:spacing w:line="420" w:lineRule="exact"/>
        <w:rPr>
          <w:sz w:val="27"/>
          <w:rtl/>
          <w:lang w:bidi="ar-LB"/>
        </w:rPr>
      </w:pPr>
    </w:p>
    <w:p w:rsidR="007867B0" w:rsidRPr="00282AC9" w:rsidRDefault="00A9019A" w:rsidP="00BE26DE">
      <w:pPr>
        <w:pStyle w:val="31"/>
        <w:rPr>
          <w:color w:val="auto"/>
          <w:rtl/>
          <w:lang w:bidi="ar-LB"/>
        </w:rPr>
      </w:pPr>
      <w:r w:rsidRPr="00282AC9">
        <w:rPr>
          <w:rFonts w:hint="cs"/>
          <w:color w:val="auto"/>
          <w:rtl/>
          <w:lang w:bidi="ar-LB"/>
        </w:rPr>
        <w:t>الجهة الثانية: مراتب</w:t>
      </w:r>
      <w:r w:rsidR="00BE26DE" w:rsidRPr="00282AC9">
        <w:rPr>
          <w:rFonts w:hint="cs"/>
          <w:color w:val="auto"/>
          <w:rtl/>
          <w:lang w:bidi="ar-LB"/>
        </w:rPr>
        <w:t xml:space="preserve"> الحكم</w:t>
      </w:r>
      <w:r w:rsidRPr="00282AC9">
        <w:rPr>
          <w:rFonts w:hint="cs"/>
          <w:color w:val="auto"/>
          <w:rtl/>
          <w:lang w:bidi="ar-LB"/>
        </w:rPr>
        <w:t xml:space="preserve"> ومراحله</w:t>
      </w:r>
    </w:p>
    <w:p w:rsidR="00A9019A" w:rsidRPr="00282AC9" w:rsidRDefault="007867B0" w:rsidP="00B16272">
      <w:pPr>
        <w:tabs>
          <w:tab w:val="right" w:pos="6930"/>
        </w:tabs>
        <w:suppressAutoHyphens/>
        <w:rPr>
          <w:sz w:val="27"/>
          <w:rtl/>
          <w:lang w:bidi="ar-LB"/>
        </w:rPr>
      </w:pPr>
      <w:r w:rsidRPr="00282AC9">
        <w:rPr>
          <w:rFonts w:hint="cs"/>
          <w:sz w:val="27"/>
          <w:rtl/>
          <w:lang w:bidi="ar-LB"/>
        </w:rPr>
        <w:t>فهل أن</w:t>
      </w:r>
      <w:r w:rsidR="00A9019A" w:rsidRPr="00282AC9">
        <w:rPr>
          <w:rFonts w:hint="cs"/>
          <w:sz w:val="27"/>
          <w:rtl/>
          <w:lang w:bidi="ar-LB"/>
        </w:rPr>
        <w:t xml:space="preserve"> الحكم التكليفي</w:t>
      </w:r>
      <w:r w:rsidRPr="00282AC9">
        <w:rPr>
          <w:rFonts w:hint="cs"/>
          <w:sz w:val="27"/>
          <w:rtl/>
          <w:lang w:bidi="ar-LB"/>
        </w:rPr>
        <w:t>ّ</w:t>
      </w:r>
      <w:r w:rsidR="00A9019A" w:rsidRPr="00282AC9">
        <w:rPr>
          <w:rFonts w:hint="cs"/>
          <w:sz w:val="27"/>
          <w:rtl/>
          <w:lang w:bidi="ar-LB"/>
        </w:rPr>
        <w:t xml:space="preserve"> داخل</w:t>
      </w:r>
      <w:r w:rsidRPr="00282AC9">
        <w:rPr>
          <w:rFonts w:hint="cs"/>
          <w:sz w:val="27"/>
          <w:rtl/>
          <w:lang w:bidi="ar-LB"/>
        </w:rPr>
        <w:t>ٌ</w:t>
      </w:r>
      <w:r w:rsidR="00A9019A" w:rsidRPr="00282AC9">
        <w:rPr>
          <w:rFonts w:hint="cs"/>
          <w:sz w:val="27"/>
          <w:rtl/>
          <w:lang w:bidi="ar-LB"/>
        </w:rPr>
        <w:t xml:space="preserve"> في موضوع القاعدة بجميع مراتبه أم لا؟</w:t>
      </w:r>
    </w:p>
    <w:p w:rsidR="00A9019A" w:rsidRPr="00282AC9" w:rsidRDefault="00A9019A" w:rsidP="00B16272">
      <w:pPr>
        <w:tabs>
          <w:tab w:val="right" w:pos="6930"/>
        </w:tabs>
        <w:suppressAutoHyphens/>
        <w:rPr>
          <w:sz w:val="27"/>
          <w:rtl/>
          <w:lang w:bidi="ar-LB"/>
        </w:rPr>
      </w:pPr>
      <w:r w:rsidRPr="00282AC9">
        <w:rPr>
          <w:rFonts w:hint="cs"/>
          <w:sz w:val="27"/>
          <w:rtl/>
          <w:lang w:bidi="ar-LB"/>
        </w:rPr>
        <w:t>والتحقيق</w:t>
      </w:r>
      <w:r w:rsidR="007867B0" w:rsidRPr="00282AC9">
        <w:rPr>
          <w:rFonts w:hint="cs"/>
          <w:sz w:val="27"/>
          <w:rtl/>
          <w:lang w:bidi="ar-LB"/>
        </w:rPr>
        <w:t>ُ</w:t>
      </w:r>
      <w:r w:rsidRPr="00282AC9">
        <w:rPr>
          <w:rFonts w:hint="cs"/>
          <w:sz w:val="27"/>
          <w:rtl/>
          <w:lang w:bidi="ar-LB"/>
        </w:rPr>
        <w:t xml:space="preserve"> أنّ المراد بالحكم ه</w:t>
      </w:r>
      <w:r w:rsidR="007867B0" w:rsidRPr="00282AC9">
        <w:rPr>
          <w:rFonts w:hint="cs"/>
          <w:sz w:val="27"/>
          <w:rtl/>
          <w:lang w:bidi="ar-LB"/>
        </w:rPr>
        <w:t>ا</w:t>
      </w:r>
      <w:r w:rsidRPr="00282AC9">
        <w:rPr>
          <w:rFonts w:hint="cs"/>
          <w:sz w:val="27"/>
          <w:rtl/>
          <w:lang w:bidi="ar-LB"/>
        </w:rPr>
        <w:t>هنا لا يخلو بادئ النظر عن أحد المراتب الأربعة: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أوّلها</w:t>
      </w:r>
      <w:r w:rsidRPr="00282AC9">
        <w:rPr>
          <w:rFonts w:hint="cs"/>
          <w:sz w:val="27"/>
          <w:rtl/>
          <w:lang w:bidi="ar-LB"/>
        </w:rPr>
        <w:t>: أن ي</w:t>
      </w:r>
      <w:r w:rsidR="007867B0" w:rsidRPr="00282AC9">
        <w:rPr>
          <w:rFonts w:hint="cs"/>
          <w:sz w:val="27"/>
          <w:rtl/>
          <w:lang w:bidi="ar-LB"/>
        </w:rPr>
        <w:t>ُ</w:t>
      </w:r>
      <w:r w:rsidRPr="00282AC9">
        <w:rPr>
          <w:rFonts w:hint="cs"/>
          <w:sz w:val="27"/>
          <w:rtl/>
          <w:lang w:bidi="ar-LB"/>
        </w:rPr>
        <w:t>راد به مرتبة الإرادة</w:t>
      </w:r>
      <w:r w:rsidR="007867B0" w:rsidRPr="00282AC9">
        <w:rPr>
          <w:rFonts w:hint="cs"/>
          <w:sz w:val="27"/>
          <w:rtl/>
          <w:lang w:bidi="ar-LB"/>
        </w:rPr>
        <w:t>،</w:t>
      </w:r>
      <w:r w:rsidRPr="00282AC9">
        <w:rPr>
          <w:rFonts w:hint="cs"/>
          <w:sz w:val="27"/>
          <w:rtl/>
          <w:lang w:bidi="ar-LB"/>
        </w:rPr>
        <w:t xml:space="preserve"> التي هي ر</w:t>
      </w:r>
      <w:r w:rsidR="007867B0" w:rsidRPr="00282AC9">
        <w:rPr>
          <w:rFonts w:hint="cs"/>
          <w:sz w:val="27"/>
          <w:rtl/>
          <w:lang w:bidi="ar-LB"/>
        </w:rPr>
        <w:t>وح الحكم وحقيقته؛ فإنّ العقل إن</w:t>
      </w:r>
      <w:r w:rsidRPr="00282AC9">
        <w:rPr>
          <w:rFonts w:hint="cs"/>
          <w:sz w:val="27"/>
          <w:rtl/>
          <w:lang w:bidi="ar-LB"/>
        </w:rPr>
        <w:t>ما يحكم من أجلها بوجوب الطاعة والامتثال</w:t>
      </w:r>
      <w:r w:rsidR="007867B0" w:rsidRPr="00282AC9">
        <w:rPr>
          <w:rFonts w:hint="cs"/>
          <w:sz w:val="27"/>
          <w:rtl/>
          <w:lang w:bidi="ar-LB"/>
        </w:rPr>
        <w:t>،</w:t>
      </w:r>
      <w:r w:rsidRPr="00282AC9">
        <w:rPr>
          <w:rFonts w:hint="cs"/>
          <w:sz w:val="27"/>
          <w:rtl/>
          <w:lang w:bidi="ar-LB"/>
        </w:rPr>
        <w:t xml:space="preserve"> واستحقاق العقوبة بالتعدّي والعصيان.</w:t>
      </w:r>
    </w:p>
    <w:p w:rsidR="00A9019A" w:rsidRPr="00282AC9" w:rsidRDefault="00A9019A" w:rsidP="00B16272">
      <w:pPr>
        <w:tabs>
          <w:tab w:val="right" w:pos="6930"/>
        </w:tabs>
        <w:suppressAutoHyphens/>
        <w:rPr>
          <w:sz w:val="27"/>
          <w:rtl/>
          <w:lang w:bidi="ar-LB"/>
        </w:rPr>
      </w:pPr>
      <w:r w:rsidRPr="00282AC9">
        <w:rPr>
          <w:rFonts w:hint="cs"/>
          <w:b/>
          <w:bCs/>
          <w:sz w:val="27"/>
          <w:rtl/>
          <w:lang w:bidi="ar-LB"/>
        </w:rPr>
        <w:t>ثانيها</w:t>
      </w:r>
      <w:r w:rsidRPr="00282AC9">
        <w:rPr>
          <w:rFonts w:hint="cs"/>
          <w:sz w:val="27"/>
          <w:rtl/>
          <w:lang w:bidi="ar-LB"/>
        </w:rPr>
        <w:t>: أن ي</w:t>
      </w:r>
      <w:r w:rsidR="007867B0" w:rsidRPr="00282AC9">
        <w:rPr>
          <w:rFonts w:hint="cs"/>
          <w:sz w:val="27"/>
          <w:rtl/>
          <w:lang w:bidi="ar-LB"/>
        </w:rPr>
        <w:t>ُ</w:t>
      </w:r>
      <w:r w:rsidRPr="00282AC9">
        <w:rPr>
          <w:rFonts w:hint="cs"/>
          <w:sz w:val="27"/>
          <w:rtl/>
          <w:lang w:bidi="ar-LB"/>
        </w:rPr>
        <w:t>راد به مرتبة الإنشاء بالمعنى المختار، أي الإنشاء بداعي جعل الداعي، لا بالمعنى الذي ذكره المحق</w:t>
      </w:r>
      <w:r w:rsidR="007867B0" w:rsidRPr="00282AC9">
        <w:rPr>
          <w:rFonts w:hint="cs"/>
          <w:sz w:val="27"/>
          <w:rtl/>
          <w:lang w:bidi="ar-LB"/>
        </w:rPr>
        <w:t>ِّ</w:t>
      </w:r>
      <w:r w:rsidRPr="00282AC9">
        <w:rPr>
          <w:rFonts w:hint="cs"/>
          <w:sz w:val="27"/>
          <w:rtl/>
          <w:lang w:bidi="ar-LB"/>
        </w:rPr>
        <w:t>ق الخراساني</w:t>
      </w:r>
      <w:r w:rsidR="009A2A04" w:rsidRPr="00282AC9">
        <w:rPr>
          <w:rFonts w:cs="Mosawi" w:hint="cs"/>
          <w:sz w:val="22"/>
          <w:szCs w:val="22"/>
          <w:rtl/>
          <w:lang w:bidi="ar-LB"/>
        </w:rPr>
        <w:t>&amp;</w:t>
      </w:r>
      <w:r w:rsidR="007867B0" w:rsidRPr="00282AC9">
        <w:rPr>
          <w:rFonts w:hint="cs"/>
          <w:sz w:val="27"/>
          <w:rtl/>
          <w:lang w:bidi="ar-LB"/>
        </w:rPr>
        <w:t>، الفاقد للبعث والزجر؛ إ</w:t>
      </w:r>
      <w:r w:rsidRPr="00282AC9">
        <w:rPr>
          <w:rFonts w:hint="cs"/>
          <w:sz w:val="27"/>
          <w:rtl/>
          <w:lang w:bidi="ar-LB"/>
        </w:rPr>
        <w:t>ذ قد تكرّ</w:t>
      </w:r>
      <w:r w:rsidR="007867B0" w:rsidRPr="00282AC9">
        <w:rPr>
          <w:rFonts w:hint="cs"/>
          <w:sz w:val="27"/>
          <w:rtl/>
          <w:lang w:bidi="ar-LB"/>
        </w:rPr>
        <w:t>َ</w:t>
      </w:r>
      <w:r w:rsidRPr="00282AC9">
        <w:rPr>
          <w:rFonts w:hint="cs"/>
          <w:sz w:val="27"/>
          <w:rtl/>
          <w:lang w:bidi="ar-LB"/>
        </w:rPr>
        <w:t>ر منّا مراراً</w:t>
      </w:r>
      <w:r w:rsidR="007867B0" w:rsidRPr="00282AC9">
        <w:rPr>
          <w:rFonts w:hint="cs"/>
          <w:sz w:val="27"/>
          <w:rtl/>
          <w:lang w:bidi="ar-LB"/>
        </w:rPr>
        <w:t>،</w:t>
      </w:r>
      <w:r w:rsidRPr="00282AC9">
        <w:rPr>
          <w:rFonts w:hint="cs"/>
          <w:sz w:val="27"/>
          <w:rtl/>
          <w:lang w:bidi="ar-LB"/>
        </w:rPr>
        <w:t xml:space="preserve"> ت</w:t>
      </w:r>
      <w:r w:rsidR="007867B0" w:rsidRPr="00282AC9">
        <w:rPr>
          <w:rFonts w:hint="cs"/>
          <w:sz w:val="27"/>
          <w:rtl/>
          <w:lang w:bidi="ar-LB"/>
        </w:rPr>
        <w:t>َ</w:t>
      </w:r>
      <w:r w:rsidRPr="00282AC9">
        <w:rPr>
          <w:rFonts w:hint="cs"/>
          <w:sz w:val="27"/>
          <w:rtl/>
          <w:lang w:bidi="ar-LB"/>
        </w:rPr>
        <w:t>ب</w:t>
      </w:r>
      <w:r w:rsidR="007867B0" w:rsidRPr="00282AC9">
        <w:rPr>
          <w:rFonts w:hint="cs"/>
          <w:sz w:val="27"/>
          <w:rtl/>
          <w:lang w:bidi="ar-LB"/>
        </w:rPr>
        <w:t>َ</w:t>
      </w:r>
      <w:r w:rsidRPr="00282AC9">
        <w:rPr>
          <w:rFonts w:hint="cs"/>
          <w:sz w:val="27"/>
          <w:rtl/>
          <w:lang w:bidi="ar-LB"/>
        </w:rPr>
        <w:t>عاً للمحقّ</w:t>
      </w:r>
      <w:r w:rsidR="007867B0" w:rsidRPr="00282AC9">
        <w:rPr>
          <w:rFonts w:hint="cs"/>
          <w:sz w:val="27"/>
          <w:rtl/>
          <w:lang w:bidi="ar-LB"/>
        </w:rPr>
        <w:t>ِ</w:t>
      </w:r>
      <w:r w:rsidRPr="00282AC9">
        <w:rPr>
          <w:rFonts w:hint="cs"/>
          <w:sz w:val="27"/>
          <w:rtl/>
          <w:lang w:bidi="ar-LB"/>
        </w:rPr>
        <w:t>ق الأصفهاني</w:t>
      </w:r>
      <w:r w:rsidR="009A2A04" w:rsidRPr="00282AC9">
        <w:rPr>
          <w:rFonts w:cs="Mosawi" w:hint="cs"/>
          <w:sz w:val="22"/>
          <w:szCs w:val="22"/>
          <w:rtl/>
          <w:lang w:bidi="ar-LB"/>
        </w:rPr>
        <w:t>&amp;</w:t>
      </w:r>
      <w:r w:rsidR="00D606E9" w:rsidRPr="00282AC9">
        <w:rPr>
          <w:rFonts w:hint="cs"/>
          <w:sz w:val="27"/>
          <w:rtl/>
          <w:lang w:bidi="ar-LB"/>
        </w:rPr>
        <w:t>، أنّ الإنشاء الفاقد للبعث والز</w:t>
      </w:r>
      <w:r w:rsidRPr="00282AC9">
        <w:rPr>
          <w:rFonts w:hint="cs"/>
          <w:sz w:val="27"/>
          <w:rtl/>
          <w:lang w:bidi="ar-LB"/>
        </w:rPr>
        <w:t xml:space="preserve">جر إمّا أن يكون مقترناً بداعٍ آخر غير البعث </w:t>
      </w:r>
      <w:r w:rsidR="00D606E9" w:rsidRPr="00282AC9">
        <w:rPr>
          <w:rFonts w:hint="cs"/>
          <w:sz w:val="27"/>
          <w:rtl/>
          <w:lang w:bidi="ar-LB"/>
        </w:rPr>
        <w:t>و</w:t>
      </w:r>
      <w:r w:rsidRPr="00282AC9">
        <w:rPr>
          <w:rFonts w:hint="cs"/>
          <w:sz w:val="27"/>
          <w:rtl/>
          <w:lang w:bidi="ar-LB"/>
        </w:rPr>
        <w:t>الزجر فيكون مصداقاً لذلك الداعي</w:t>
      </w:r>
      <w:r w:rsidR="00D606E9" w:rsidRPr="00282AC9">
        <w:rPr>
          <w:rFonts w:hint="cs"/>
          <w:sz w:val="27"/>
          <w:rtl/>
          <w:lang w:bidi="ar-LB"/>
        </w:rPr>
        <w:t>،</w:t>
      </w:r>
      <w:r w:rsidRPr="00282AC9">
        <w:rPr>
          <w:rFonts w:hint="cs"/>
          <w:sz w:val="27"/>
          <w:rtl/>
          <w:lang w:bidi="ar-LB"/>
        </w:rPr>
        <w:t xml:space="preserve"> وأجنبياً عن الحكم الشرعي</w:t>
      </w:r>
      <w:r w:rsidR="00000179" w:rsidRPr="00282AC9">
        <w:rPr>
          <w:rFonts w:hint="cs"/>
          <w:sz w:val="27"/>
          <w:rtl/>
          <w:lang w:bidi="ar-LB"/>
        </w:rPr>
        <w:t>ّ؛</w:t>
      </w:r>
      <w:r w:rsidRPr="00282AC9">
        <w:rPr>
          <w:rFonts w:hint="cs"/>
          <w:sz w:val="27"/>
          <w:rtl/>
          <w:lang w:bidi="ar-LB"/>
        </w:rPr>
        <w:t xml:space="preserve"> وإمّا أنْ لا يكون مقترناً بأيّ داعٍ مفروض، وهو محال</w:t>
      </w:r>
      <w:r w:rsidR="00000179" w:rsidRPr="00282AC9">
        <w:rPr>
          <w:rFonts w:hint="cs"/>
          <w:sz w:val="27"/>
          <w:rtl/>
          <w:lang w:bidi="ar-LB"/>
        </w:rPr>
        <w:t>ٌ</w:t>
      </w:r>
      <w:r w:rsidRPr="00282AC9">
        <w:rPr>
          <w:rFonts w:hint="cs"/>
          <w:sz w:val="27"/>
          <w:rtl/>
          <w:lang w:bidi="ar-LB"/>
        </w:rPr>
        <w:t>؛ لأن الإنشاء فعل</w:t>
      </w:r>
      <w:r w:rsidR="00000179" w:rsidRPr="00282AC9">
        <w:rPr>
          <w:rFonts w:hint="cs"/>
          <w:sz w:val="27"/>
          <w:rtl/>
          <w:lang w:bidi="ar-LB"/>
        </w:rPr>
        <w:t>ٌ</w:t>
      </w:r>
      <w:r w:rsidRPr="00282AC9">
        <w:rPr>
          <w:rFonts w:hint="cs"/>
          <w:sz w:val="27"/>
          <w:rtl/>
          <w:lang w:bidi="ar-LB"/>
        </w:rPr>
        <w:t xml:space="preserve"> اختياري</w:t>
      </w:r>
      <w:r w:rsidR="00000179" w:rsidRPr="00282AC9">
        <w:rPr>
          <w:rFonts w:hint="cs"/>
          <w:sz w:val="27"/>
          <w:rtl/>
          <w:lang w:bidi="ar-LB"/>
        </w:rPr>
        <w:t>ّ،</w:t>
      </w:r>
      <w:r w:rsidRPr="00282AC9">
        <w:rPr>
          <w:rFonts w:hint="cs"/>
          <w:sz w:val="27"/>
          <w:rtl/>
          <w:lang w:bidi="ar-LB"/>
        </w:rPr>
        <w:t xml:space="preserve"> ولا معنى للفعل الاختياري</w:t>
      </w:r>
      <w:r w:rsidR="00000179" w:rsidRPr="00282AC9">
        <w:rPr>
          <w:rFonts w:hint="cs"/>
          <w:sz w:val="27"/>
          <w:rtl/>
          <w:lang w:bidi="ar-LB"/>
        </w:rPr>
        <w:t>ّ</w:t>
      </w:r>
      <w:r w:rsidRPr="00282AC9">
        <w:rPr>
          <w:rFonts w:hint="cs"/>
          <w:sz w:val="27"/>
          <w:rtl/>
          <w:lang w:bidi="ar-LB"/>
        </w:rPr>
        <w:t xml:space="preserve"> إذا لم يكن هناك داعٍ يدعو إليه.</w:t>
      </w:r>
    </w:p>
    <w:p w:rsidR="00A9019A" w:rsidRPr="00282AC9" w:rsidRDefault="00A9019A" w:rsidP="00B16272">
      <w:pPr>
        <w:tabs>
          <w:tab w:val="right" w:pos="6930"/>
        </w:tabs>
        <w:suppressAutoHyphens/>
        <w:rPr>
          <w:sz w:val="27"/>
          <w:rtl/>
          <w:lang w:bidi="ar-LB"/>
        </w:rPr>
      </w:pPr>
      <w:r w:rsidRPr="00282AC9">
        <w:rPr>
          <w:rFonts w:hint="cs"/>
          <w:sz w:val="27"/>
          <w:rtl/>
          <w:lang w:bidi="ar-LB"/>
        </w:rPr>
        <w:t>نعم</w:t>
      </w:r>
      <w:r w:rsidR="00000179" w:rsidRPr="00282AC9">
        <w:rPr>
          <w:rFonts w:hint="cs"/>
          <w:sz w:val="27"/>
          <w:rtl/>
          <w:lang w:bidi="ar-LB"/>
        </w:rPr>
        <w:t>،</w:t>
      </w:r>
      <w:r w:rsidRPr="00282AC9">
        <w:rPr>
          <w:rFonts w:hint="cs"/>
          <w:sz w:val="27"/>
          <w:rtl/>
          <w:lang w:bidi="ar-LB"/>
        </w:rPr>
        <w:t xml:space="preserve"> المصطلحان مشتركان في مقابلتهما للفعليّة، إلاّ أنّ المقصود عندنا بالفعلية يختلف عمّا هو المقصود له</w:t>
      </w:r>
      <w:r w:rsidR="009A2A04" w:rsidRPr="00282AC9">
        <w:rPr>
          <w:rFonts w:cs="Mosawi" w:hint="cs"/>
          <w:sz w:val="22"/>
          <w:szCs w:val="22"/>
          <w:rtl/>
          <w:lang w:bidi="ar-LB"/>
        </w:rPr>
        <w:t>&amp;</w:t>
      </w:r>
      <w:r w:rsidR="00000179" w:rsidRPr="00282AC9">
        <w:rPr>
          <w:rFonts w:hint="cs"/>
          <w:sz w:val="27"/>
          <w:rtl/>
          <w:lang w:bidi="ar-LB"/>
        </w:rPr>
        <w:t>،</w:t>
      </w:r>
      <w:r w:rsidRPr="00282AC9">
        <w:rPr>
          <w:rFonts w:hint="cs"/>
          <w:sz w:val="27"/>
          <w:rtl/>
          <w:lang w:bidi="ar-LB"/>
        </w:rPr>
        <w:t xml:space="preserve"> كما يأتي</w:t>
      </w:r>
      <w:r w:rsidR="00000179"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b/>
          <w:bCs/>
          <w:sz w:val="27"/>
          <w:rtl/>
          <w:lang w:bidi="ar-LB"/>
        </w:rPr>
        <w:t>ثالثها</w:t>
      </w:r>
      <w:r w:rsidRPr="00282AC9">
        <w:rPr>
          <w:rFonts w:hint="cs"/>
          <w:sz w:val="27"/>
          <w:rtl/>
          <w:lang w:bidi="ar-LB"/>
        </w:rPr>
        <w:t>: أن ي</w:t>
      </w:r>
      <w:r w:rsidR="00000179" w:rsidRPr="00282AC9">
        <w:rPr>
          <w:rFonts w:hint="cs"/>
          <w:sz w:val="27"/>
          <w:rtl/>
          <w:lang w:bidi="ar-LB"/>
        </w:rPr>
        <w:t>ُ</w:t>
      </w:r>
      <w:r w:rsidRPr="00282AC9">
        <w:rPr>
          <w:rFonts w:hint="cs"/>
          <w:sz w:val="27"/>
          <w:rtl/>
          <w:lang w:bidi="ar-LB"/>
        </w:rPr>
        <w:t>راد به مرتبة الفعلية</w:t>
      </w:r>
      <w:r w:rsidR="00000179" w:rsidRPr="00282AC9">
        <w:rPr>
          <w:rFonts w:hint="cs"/>
          <w:sz w:val="27"/>
          <w:rtl/>
          <w:lang w:bidi="ar-LB"/>
        </w:rPr>
        <w:t>.</w:t>
      </w:r>
      <w:r w:rsidRPr="00282AC9">
        <w:rPr>
          <w:rFonts w:hint="cs"/>
          <w:sz w:val="27"/>
          <w:rtl/>
          <w:lang w:bidi="ar-LB"/>
        </w:rPr>
        <w:t xml:space="preserve"> والمقصود بها تلك المرتبة التي تحصل للحكم </w:t>
      </w:r>
      <w:r w:rsidRPr="00282AC9">
        <w:rPr>
          <w:rFonts w:hint="cs"/>
          <w:sz w:val="27"/>
          <w:rtl/>
          <w:lang w:bidi="ar-LB"/>
        </w:rPr>
        <w:lastRenderedPageBreak/>
        <w:t>بعد فعليّة الشرائط والقيود المأخوذة فيه؛ وهي كونه ثابتاً في ذمّة هذا المكلّ</w:t>
      </w:r>
      <w:r w:rsidR="00000179" w:rsidRPr="00282AC9">
        <w:rPr>
          <w:rFonts w:hint="cs"/>
          <w:sz w:val="27"/>
          <w:rtl/>
          <w:lang w:bidi="ar-LB"/>
        </w:rPr>
        <w:t>َ</w:t>
      </w:r>
      <w:r w:rsidRPr="00282AC9">
        <w:rPr>
          <w:rFonts w:hint="cs"/>
          <w:sz w:val="27"/>
          <w:rtl/>
          <w:lang w:bidi="ar-LB"/>
        </w:rPr>
        <w:t>ف أو ذاك بخصوصه</w:t>
      </w:r>
      <w:r w:rsidR="00000179" w:rsidRPr="00282AC9">
        <w:rPr>
          <w:rFonts w:hint="cs"/>
          <w:sz w:val="27"/>
          <w:rtl/>
          <w:lang w:bidi="ar-LB"/>
        </w:rPr>
        <w:t>.</w:t>
      </w:r>
      <w:r w:rsidRPr="00282AC9">
        <w:rPr>
          <w:rFonts w:hint="cs"/>
          <w:sz w:val="27"/>
          <w:rtl/>
          <w:lang w:bidi="ar-LB"/>
        </w:rPr>
        <w:t xml:space="preserve"> فوجوب الحج له فعليّة</w:t>
      </w:r>
      <w:r w:rsidR="00000179" w:rsidRPr="00282AC9">
        <w:rPr>
          <w:rFonts w:hint="cs"/>
          <w:sz w:val="27"/>
          <w:rtl/>
          <w:lang w:bidi="ar-LB"/>
        </w:rPr>
        <w:t>ٌ</w:t>
      </w:r>
      <w:r w:rsidRPr="00282AC9">
        <w:rPr>
          <w:rFonts w:hint="cs"/>
          <w:sz w:val="27"/>
          <w:rtl/>
          <w:lang w:bidi="ar-LB"/>
        </w:rPr>
        <w:t xml:space="preserve"> على ذمّة المكلّ</w:t>
      </w:r>
      <w:r w:rsidR="00000179" w:rsidRPr="00282AC9">
        <w:rPr>
          <w:rFonts w:hint="cs"/>
          <w:sz w:val="27"/>
          <w:rtl/>
          <w:lang w:bidi="ar-LB"/>
        </w:rPr>
        <w:t>َف المستطيع زائدةٌ</w:t>
      </w:r>
      <w:r w:rsidRPr="00282AC9">
        <w:rPr>
          <w:rFonts w:hint="cs"/>
          <w:sz w:val="27"/>
          <w:rtl/>
          <w:lang w:bidi="ar-LB"/>
        </w:rPr>
        <w:t xml:space="preserve"> على وجوده قبلها في عالم التشريع، وهذا يعني</w:t>
      </w:r>
      <w:r w:rsidR="00000179" w:rsidRPr="00282AC9">
        <w:rPr>
          <w:rFonts w:hint="cs"/>
          <w:sz w:val="27"/>
          <w:rtl/>
          <w:lang w:bidi="ar-LB"/>
        </w:rPr>
        <w:t xml:space="preserve"> أنّ البعث والز</w:t>
      </w:r>
      <w:r w:rsidRPr="00282AC9">
        <w:rPr>
          <w:rFonts w:hint="cs"/>
          <w:sz w:val="27"/>
          <w:rtl/>
          <w:lang w:bidi="ar-LB"/>
        </w:rPr>
        <w:t>جر قد يتعلّ</w:t>
      </w:r>
      <w:r w:rsidR="00000179" w:rsidRPr="00282AC9">
        <w:rPr>
          <w:rFonts w:hint="cs"/>
          <w:sz w:val="27"/>
          <w:rtl/>
          <w:lang w:bidi="ar-LB"/>
        </w:rPr>
        <w:t>َ</w:t>
      </w:r>
      <w:r w:rsidRPr="00282AC9">
        <w:rPr>
          <w:rFonts w:hint="cs"/>
          <w:sz w:val="27"/>
          <w:rtl/>
          <w:lang w:bidi="ar-LB"/>
        </w:rPr>
        <w:t>قان بالعناوين والجهات، لكن</w:t>
      </w:r>
      <w:r w:rsidR="00000179" w:rsidRPr="00282AC9">
        <w:rPr>
          <w:rFonts w:hint="cs"/>
          <w:sz w:val="27"/>
          <w:rtl/>
          <w:lang w:bidi="ar-LB"/>
        </w:rPr>
        <w:t>ْ</w:t>
      </w:r>
      <w:r w:rsidRPr="00282AC9">
        <w:rPr>
          <w:rFonts w:hint="cs"/>
          <w:sz w:val="27"/>
          <w:rtl/>
          <w:lang w:bidi="ar-LB"/>
        </w:rPr>
        <w:t xml:space="preserve"> مشروطَين بأمور ر</w:t>
      </w:r>
      <w:r w:rsidR="00000179" w:rsidRPr="00282AC9">
        <w:rPr>
          <w:rFonts w:hint="cs"/>
          <w:sz w:val="27"/>
          <w:rtl/>
          <w:lang w:bidi="ar-LB"/>
        </w:rPr>
        <w:t>ُ</w:t>
      </w:r>
      <w:r w:rsidRPr="00282AC9">
        <w:rPr>
          <w:rFonts w:hint="cs"/>
          <w:sz w:val="27"/>
          <w:rtl/>
          <w:lang w:bidi="ar-LB"/>
        </w:rPr>
        <w:t>ب</w:t>
      </w:r>
      <w:r w:rsidR="00000179" w:rsidRPr="00282AC9">
        <w:rPr>
          <w:rFonts w:hint="cs"/>
          <w:sz w:val="27"/>
          <w:rtl/>
          <w:lang w:bidi="ar-LB"/>
        </w:rPr>
        <w:t>َ</w:t>
      </w:r>
      <w:r w:rsidRPr="00282AC9">
        <w:rPr>
          <w:rFonts w:hint="cs"/>
          <w:sz w:val="27"/>
          <w:rtl/>
          <w:lang w:bidi="ar-LB"/>
        </w:rPr>
        <w:t>ما لا تكون موجودة في نفس</w:t>
      </w:r>
      <w:r w:rsidR="00000179" w:rsidRPr="00282AC9">
        <w:rPr>
          <w:rFonts w:hint="cs"/>
          <w:sz w:val="27"/>
          <w:rtl/>
          <w:lang w:bidi="ar-LB"/>
        </w:rPr>
        <w:t xml:space="preserve"> الحين، فتكون فعليّة البعث والز</w:t>
      </w:r>
      <w:r w:rsidRPr="00282AC9">
        <w:rPr>
          <w:rFonts w:hint="cs"/>
          <w:sz w:val="27"/>
          <w:rtl/>
          <w:lang w:bidi="ar-LB"/>
        </w:rPr>
        <w:t>جر معل</w:t>
      </w:r>
      <w:r w:rsidR="00000179" w:rsidRPr="00282AC9">
        <w:rPr>
          <w:rFonts w:hint="cs"/>
          <w:sz w:val="27"/>
          <w:rtl/>
          <w:lang w:bidi="ar-LB"/>
        </w:rPr>
        <w:t>ّ</w:t>
      </w:r>
      <w:r w:rsidRPr="00282AC9">
        <w:rPr>
          <w:rFonts w:hint="cs"/>
          <w:sz w:val="27"/>
          <w:rtl/>
          <w:lang w:bidi="ar-LB"/>
        </w:rPr>
        <w:t>قة على فعليّة تلك الأمور، كما تقدّ</w:t>
      </w:r>
      <w:r w:rsidR="00000179" w:rsidRPr="00282AC9">
        <w:rPr>
          <w:rFonts w:hint="cs"/>
          <w:sz w:val="27"/>
          <w:rtl/>
          <w:lang w:bidi="ar-LB"/>
        </w:rPr>
        <w:t>َ</w:t>
      </w:r>
      <w:r w:rsidRPr="00282AC9">
        <w:rPr>
          <w:rFonts w:hint="cs"/>
          <w:sz w:val="27"/>
          <w:rtl/>
          <w:lang w:bidi="ar-LB"/>
        </w:rPr>
        <w:t>م البحث عن ذلك مشبعاً في موضعه. فليس المقصود بالفعلي</w:t>
      </w:r>
      <w:r w:rsidR="00000179" w:rsidRPr="00282AC9">
        <w:rPr>
          <w:rFonts w:hint="cs"/>
          <w:sz w:val="27"/>
          <w:rtl/>
          <w:lang w:bidi="ar-LB"/>
        </w:rPr>
        <w:t>ّ</w:t>
      </w:r>
      <w:r w:rsidRPr="00282AC9">
        <w:rPr>
          <w:rFonts w:hint="cs"/>
          <w:sz w:val="27"/>
          <w:rtl/>
          <w:lang w:bidi="ar-LB"/>
        </w:rPr>
        <w:t>ة ما ذكره المحق</w:t>
      </w:r>
      <w:r w:rsidR="00000179" w:rsidRPr="00282AC9">
        <w:rPr>
          <w:rFonts w:hint="cs"/>
          <w:sz w:val="27"/>
          <w:rtl/>
          <w:lang w:bidi="ar-LB"/>
        </w:rPr>
        <w:t>ِّ</w:t>
      </w:r>
      <w:r w:rsidRPr="00282AC9">
        <w:rPr>
          <w:rFonts w:hint="cs"/>
          <w:sz w:val="27"/>
          <w:rtl/>
          <w:lang w:bidi="ar-LB"/>
        </w:rPr>
        <w:t>ق الخراساني</w:t>
      </w:r>
      <w:r w:rsidR="009A2A04" w:rsidRPr="00282AC9">
        <w:rPr>
          <w:rFonts w:cs="Mosawi" w:hint="cs"/>
          <w:sz w:val="22"/>
          <w:szCs w:val="22"/>
          <w:rtl/>
          <w:lang w:bidi="ar-LB"/>
        </w:rPr>
        <w:t>&amp;</w:t>
      </w:r>
      <w:r w:rsidR="00000179" w:rsidRPr="00282AC9">
        <w:rPr>
          <w:rFonts w:hint="cs"/>
          <w:sz w:val="27"/>
          <w:rtl/>
          <w:lang w:bidi="ar-LB"/>
        </w:rPr>
        <w:t>، من انقداح البعث والز</w:t>
      </w:r>
      <w:r w:rsidRPr="00282AC9">
        <w:rPr>
          <w:rFonts w:hint="cs"/>
          <w:sz w:val="27"/>
          <w:rtl/>
          <w:lang w:bidi="ar-LB"/>
        </w:rPr>
        <w:t>جر في نفس المولى</w:t>
      </w:r>
      <w:r w:rsidR="00000179" w:rsidRPr="00282AC9">
        <w:rPr>
          <w:rFonts w:hint="cs"/>
          <w:sz w:val="27"/>
          <w:rtl/>
          <w:lang w:bidi="ar-LB"/>
        </w:rPr>
        <w:t>؛</w:t>
      </w:r>
      <w:r w:rsidRPr="00282AC9">
        <w:rPr>
          <w:rFonts w:hint="cs"/>
          <w:sz w:val="27"/>
          <w:rtl/>
          <w:lang w:bidi="ar-LB"/>
        </w:rPr>
        <w:t xml:space="preserve"> فإنّ ذلك ممّا يتقوّ</w:t>
      </w:r>
      <w:r w:rsidR="00000179" w:rsidRPr="00282AC9">
        <w:rPr>
          <w:rFonts w:hint="cs"/>
          <w:sz w:val="27"/>
          <w:rtl/>
          <w:lang w:bidi="ar-LB"/>
        </w:rPr>
        <w:t>َ</w:t>
      </w:r>
      <w:r w:rsidRPr="00282AC9">
        <w:rPr>
          <w:rFonts w:hint="cs"/>
          <w:sz w:val="27"/>
          <w:rtl/>
          <w:lang w:bidi="ar-LB"/>
        </w:rPr>
        <w:t>م به الحكم في مرحلة الإنشاء</w:t>
      </w:r>
      <w:r w:rsidR="00000179" w:rsidRPr="00282AC9">
        <w:rPr>
          <w:rFonts w:hint="cs"/>
          <w:sz w:val="27"/>
          <w:rtl/>
          <w:lang w:bidi="ar-LB"/>
        </w:rPr>
        <w:t>،</w:t>
      </w:r>
      <w:r w:rsidRPr="00282AC9">
        <w:rPr>
          <w:rFonts w:hint="cs"/>
          <w:sz w:val="27"/>
          <w:rtl/>
          <w:lang w:bidi="ar-LB"/>
        </w:rPr>
        <w:t xml:space="preserve"> كما تبيّ</w:t>
      </w:r>
      <w:r w:rsidR="00000179" w:rsidRPr="00282AC9">
        <w:rPr>
          <w:rFonts w:hint="cs"/>
          <w:sz w:val="27"/>
          <w:rtl/>
          <w:lang w:bidi="ar-LB"/>
        </w:rPr>
        <w:t>َ</w:t>
      </w:r>
      <w:r w:rsidRPr="00282AC9">
        <w:rPr>
          <w:rFonts w:hint="cs"/>
          <w:sz w:val="27"/>
          <w:rtl/>
          <w:lang w:bidi="ar-LB"/>
        </w:rPr>
        <w:t>ن.</w:t>
      </w:r>
    </w:p>
    <w:p w:rsidR="00A9019A" w:rsidRPr="00282AC9" w:rsidRDefault="00A9019A" w:rsidP="00B16272">
      <w:pPr>
        <w:tabs>
          <w:tab w:val="right" w:pos="6930"/>
        </w:tabs>
        <w:suppressAutoHyphens/>
        <w:rPr>
          <w:sz w:val="27"/>
          <w:rtl/>
          <w:lang w:bidi="ar-LB"/>
        </w:rPr>
      </w:pPr>
      <w:r w:rsidRPr="00282AC9">
        <w:rPr>
          <w:rFonts w:hint="cs"/>
          <w:b/>
          <w:bCs/>
          <w:sz w:val="27"/>
          <w:rtl/>
          <w:lang w:bidi="ar-LB"/>
        </w:rPr>
        <w:t>رابعها</w:t>
      </w:r>
      <w:r w:rsidRPr="00282AC9">
        <w:rPr>
          <w:rFonts w:hint="cs"/>
          <w:sz w:val="27"/>
          <w:rtl/>
          <w:lang w:bidi="ar-LB"/>
        </w:rPr>
        <w:t>: أن ي</w:t>
      </w:r>
      <w:r w:rsidR="00000179" w:rsidRPr="00282AC9">
        <w:rPr>
          <w:rFonts w:hint="cs"/>
          <w:sz w:val="27"/>
          <w:rtl/>
          <w:lang w:bidi="ar-LB"/>
        </w:rPr>
        <w:t>ُ</w:t>
      </w:r>
      <w:r w:rsidRPr="00282AC9">
        <w:rPr>
          <w:rFonts w:hint="cs"/>
          <w:sz w:val="27"/>
          <w:rtl/>
          <w:lang w:bidi="ar-LB"/>
        </w:rPr>
        <w:t>راد به مرتبة التنجّ</w:t>
      </w:r>
      <w:r w:rsidR="00000179" w:rsidRPr="00282AC9">
        <w:rPr>
          <w:rFonts w:hint="cs"/>
          <w:sz w:val="27"/>
          <w:rtl/>
          <w:lang w:bidi="ar-LB"/>
        </w:rPr>
        <w:t>ُ</w:t>
      </w:r>
      <w:r w:rsidRPr="00282AC9">
        <w:rPr>
          <w:rFonts w:hint="cs"/>
          <w:sz w:val="27"/>
          <w:rtl/>
          <w:lang w:bidi="ar-LB"/>
        </w:rPr>
        <w:t>ز</w:t>
      </w:r>
      <w:r w:rsidR="00000179" w:rsidRPr="00282AC9">
        <w:rPr>
          <w:rFonts w:hint="cs"/>
          <w:sz w:val="27"/>
          <w:rtl/>
          <w:lang w:bidi="ar-LB"/>
        </w:rPr>
        <w:t>.</w:t>
      </w:r>
      <w:r w:rsidRPr="00282AC9">
        <w:rPr>
          <w:rFonts w:hint="cs"/>
          <w:sz w:val="27"/>
          <w:rtl/>
          <w:lang w:bidi="ar-LB"/>
        </w:rPr>
        <w:t xml:space="preserve"> والمقصود به كون الحكم بحيث يقع موضوعاً لحكم العقل باستحقاق العقاب على المخالفة</w:t>
      </w:r>
      <w:r w:rsidR="00000179" w:rsidRPr="00282AC9">
        <w:rPr>
          <w:rFonts w:hint="cs"/>
          <w:sz w:val="27"/>
          <w:rtl/>
          <w:lang w:bidi="ar-LB"/>
        </w:rPr>
        <w:t>.</w:t>
      </w:r>
      <w:r w:rsidRPr="00282AC9">
        <w:rPr>
          <w:rFonts w:hint="cs"/>
          <w:sz w:val="27"/>
          <w:rtl/>
          <w:lang w:bidi="ar-LB"/>
        </w:rPr>
        <w:t xml:space="preserve"> وهذا غير الفعليّة المتقد</w:t>
      </w:r>
      <w:r w:rsidR="00000179" w:rsidRPr="00282AC9">
        <w:rPr>
          <w:rFonts w:hint="cs"/>
          <w:sz w:val="27"/>
          <w:rtl/>
          <w:lang w:bidi="ar-LB"/>
        </w:rPr>
        <w:t>ِّ</w:t>
      </w:r>
      <w:r w:rsidRPr="00282AC9">
        <w:rPr>
          <w:rFonts w:hint="cs"/>
          <w:sz w:val="27"/>
          <w:rtl/>
          <w:lang w:bidi="ar-LB"/>
        </w:rPr>
        <w:t>م ذكرها</w:t>
      </w:r>
      <w:r w:rsidR="00000179" w:rsidRPr="00282AC9">
        <w:rPr>
          <w:rFonts w:hint="cs"/>
          <w:sz w:val="27"/>
          <w:rtl/>
          <w:lang w:bidi="ar-LB"/>
        </w:rPr>
        <w:t>؛</w:t>
      </w:r>
      <w:r w:rsidRPr="00282AC9">
        <w:rPr>
          <w:rFonts w:hint="cs"/>
          <w:sz w:val="27"/>
          <w:rtl/>
          <w:lang w:bidi="ar-LB"/>
        </w:rPr>
        <w:t xml:space="preserve"> إذ ر</w:t>
      </w:r>
      <w:r w:rsidR="00000179" w:rsidRPr="00282AC9">
        <w:rPr>
          <w:rFonts w:hint="cs"/>
          <w:sz w:val="27"/>
          <w:rtl/>
          <w:lang w:bidi="ar-LB"/>
        </w:rPr>
        <w:t>ُ</w:t>
      </w:r>
      <w:r w:rsidRPr="00282AC9">
        <w:rPr>
          <w:rFonts w:hint="cs"/>
          <w:sz w:val="27"/>
          <w:rtl/>
          <w:lang w:bidi="ar-LB"/>
        </w:rPr>
        <w:t>ب</w:t>
      </w:r>
      <w:r w:rsidR="00000179" w:rsidRPr="00282AC9">
        <w:rPr>
          <w:rFonts w:hint="cs"/>
          <w:sz w:val="27"/>
          <w:rtl/>
          <w:lang w:bidi="ar-LB"/>
        </w:rPr>
        <w:t>َ</w:t>
      </w:r>
      <w:r w:rsidRPr="00282AC9">
        <w:rPr>
          <w:rFonts w:hint="cs"/>
          <w:sz w:val="27"/>
          <w:rtl/>
          <w:lang w:bidi="ar-LB"/>
        </w:rPr>
        <w:t>ما يكون الحكم فعلياً بفعلي</w:t>
      </w:r>
      <w:r w:rsidR="00000179" w:rsidRPr="00282AC9">
        <w:rPr>
          <w:rFonts w:hint="cs"/>
          <w:sz w:val="27"/>
          <w:rtl/>
          <w:lang w:bidi="ar-LB"/>
        </w:rPr>
        <w:t>ّ</w:t>
      </w:r>
      <w:r w:rsidRPr="00282AC9">
        <w:rPr>
          <w:rFonts w:hint="cs"/>
          <w:sz w:val="27"/>
          <w:rtl/>
          <w:lang w:bidi="ar-LB"/>
        </w:rPr>
        <w:t>ة موضوعه، ولكنّه غير منج</w:t>
      </w:r>
      <w:r w:rsidR="00000179" w:rsidRPr="00282AC9">
        <w:rPr>
          <w:rFonts w:hint="cs"/>
          <w:sz w:val="27"/>
          <w:rtl/>
          <w:lang w:bidi="ar-LB"/>
        </w:rPr>
        <w:t>ّ</w:t>
      </w:r>
      <w:r w:rsidRPr="00282AC9">
        <w:rPr>
          <w:rFonts w:hint="cs"/>
          <w:sz w:val="27"/>
          <w:rtl/>
          <w:lang w:bidi="ar-LB"/>
        </w:rPr>
        <w:t>ز بعدُ؛ لعدم عل</w:t>
      </w:r>
      <w:r w:rsidR="00055BF6" w:rsidRPr="00282AC9">
        <w:rPr>
          <w:rFonts w:hint="cs"/>
          <w:sz w:val="27"/>
          <w:rtl/>
          <w:lang w:bidi="ar-LB"/>
        </w:rPr>
        <w:t>م</w:t>
      </w:r>
      <w:r w:rsidRPr="00282AC9">
        <w:rPr>
          <w:rFonts w:hint="cs"/>
          <w:sz w:val="27"/>
          <w:rtl/>
          <w:lang w:bidi="ar-LB"/>
        </w:rPr>
        <w:t xml:space="preserve"> المكل</w:t>
      </w:r>
      <w:r w:rsidR="00055BF6" w:rsidRPr="00282AC9">
        <w:rPr>
          <w:rFonts w:hint="cs"/>
          <w:sz w:val="27"/>
          <w:rtl/>
          <w:lang w:bidi="ar-LB"/>
        </w:rPr>
        <w:t>َّف</w:t>
      </w:r>
      <w:r w:rsidRPr="00282AC9">
        <w:rPr>
          <w:rFonts w:hint="cs"/>
          <w:sz w:val="27"/>
          <w:rtl/>
          <w:lang w:bidi="ar-LB"/>
        </w:rPr>
        <w:t xml:space="preserve"> به، بناءً على اشتراط العلم في المنج</w:t>
      </w:r>
      <w:r w:rsidR="00055BF6" w:rsidRPr="00282AC9">
        <w:rPr>
          <w:rFonts w:hint="cs"/>
          <w:sz w:val="27"/>
          <w:rtl/>
          <w:lang w:bidi="ar-LB"/>
        </w:rPr>
        <w:t>ّ</w:t>
      </w:r>
      <w:r w:rsidRPr="00282AC9">
        <w:rPr>
          <w:rFonts w:hint="cs"/>
          <w:sz w:val="27"/>
          <w:rtl/>
          <w:lang w:bidi="ar-LB"/>
        </w:rPr>
        <w:t>زيّة فقط</w:t>
      </w:r>
      <w:r w:rsidR="00055BF6" w:rsidRPr="00282AC9">
        <w:rPr>
          <w:rFonts w:hint="cs"/>
          <w:sz w:val="27"/>
          <w:rtl/>
          <w:lang w:bidi="ar-LB"/>
        </w:rPr>
        <w:t>؛</w:t>
      </w:r>
      <w:r w:rsidRPr="00282AC9">
        <w:rPr>
          <w:rFonts w:hint="cs"/>
          <w:sz w:val="27"/>
          <w:rtl/>
          <w:lang w:bidi="ar-LB"/>
        </w:rPr>
        <w:t xml:space="preserve"> إمّا عقلاً</w:t>
      </w:r>
      <w:r w:rsidR="00055BF6" w:rsidRPr="00282AC9">
        <w:rPr>
          <w:rFonts w:hint="cs"/>
          <w:sz w:val="27"/>
          <w:rtl/>
          <w:lang w:bidi="ar-LB"/>
        </w:rPr>
        <w:t>،</w:t>
      </w:r>
      <w:r w:rsidRPr="00282AC9">
        <w:rPr>
          <w:rFonts w:hint="cs"/>
          <w:sz w:val="27"/>
          <w:rtl/>
          <w:lang w:bidi="ar-LB"/>
        </w:rPr>
        <w:t xml:space="preserve"> كما هو مفاد القضية القائلة بق</w:t>
      </w:r>
      <w:r w:rsidR="00055BF6" w:rsidRPr="00282AC9">
        <w:rPr>
          <w:rFonts w:hint="cs"/>
          <w:sz w:val="27"/>
          <w:rtl/>
          <w:lang w:bidi="ar-LB"/>
        </w:rPr>
        <w:t>ُ</w:t>
      </w:r>
      <w:r w:rsidRPr="00282AC9">
        <w:rPr>
          <w:rFonts w:hint="cs"/>
          <w:sz w:val="27"/>
          <w:rtl/>
          <w:lang w:bidi="ar-LB"/>
        </w:rPr>
        <w:t>ب</w:t>
      </w:r>
      <w:r w:rsidR="00055BF6" w:rsidRPr="00282AC9">
        <w:rPr>
          <w:rFonts w:hint="cs"/>
          <w:sz w:val="27"/>
          <w:rtl/>
          <w:lang w:bidi="ar-LB"/>
        </w:rPr>
        <w:t>ْ</w:t>
      </w:r>
      <w:r w:rsidRPr="00282AC9">
        <w:rPr>
          <w:rFonts w:hint="cs"/>
          <w:sz w:val="27"/>
          <w:rtl/>
          <w:lang w:bidi="ar-LB"/>
        </w:rPr>
        <w:t>ح العقاب بلا بيان</w:t>
      </w:r>
      <w:r w:rsidR="00055BF6" w:rsidRPr="00282AC9">
        <w:rPr>
          <w:rFonts w:hint="cs"/>
          <w:sz w:val="27"/>
          <w:rtl/>
          <w:lang w:bidi="ar-LB"/>
        </w:rPr>
        <w:t>؛</w:t>
      </w:r>
      <w:r w:rsidRPr="00282AC9">
        <w:rPr>
          <w:rFonts w:hint="cs"/>
          <w:sz w:val="27"/>
          <w:rtl/>
          <w:lang w:bidi="ar-LB"/>
        </w:rPr>
        <w:t xml:space="preserve"> أو شرعاً</w:t>
      </w:r>
      <w:r w:rsidR="00055BF6" w:rsidRPr="00282AC9">
        <w:rPr>
          <w:rFonts w:hint="cs"/>
          <w:sz w:val="27"/>
          <w:rtl/>
          <w:lang w:bidi="ar-LB"/>
        </w:rPr>
        <w:t>،</w:t>
      </w:r>
      <w:r w:rsidRPr="00282AC9">
        <w:rPr>
          <w:rFonts w:hint="cs"/>
          <w:sz w:val="27"/>
          <w:rtl/>
          <w:lang w:bidi="ar-LB"/>
        </w:rPr>
        <w:t xml:space="preserve"> كما هو مفاد حديث الر</w:t>
      </w:r>
      <w:r w:rsidR="00055BF6" w:rsidRPr="00282AC9">
        <w:rPr>
          <w:rFonts w:hint="cs"/>
          <w:sz w:val="27"/>
          <w:rtl/>
          <w:lang w:bidi="ar-LB"/>
        </w:rPr>
        <w:t>َّ</w:t>
      </w:r>
      <w:r w:rsidRPr="00282AC9">
        <w:rPr>
          <w:rFonts w:hint="cs"/>
          <w:sz w:val="27"/>
          <w:rtl/>
          <w:lang w:bidi="ar-LB"/>
        </w:rPr>
        <w:t>ف</w:t>
      </w:r>
      <w:r w:rsidR="00055BF6" w:rsidRPr="00282AC9">
        <w:rPr>
          <w:rFonts w:hint="cs"/>
          <w:sz w:val="27"/>
          <w:rtl/>
          <w:lang w:bidi="ar-LB"/>
        </w:rPr>
        <w:t>ْ</w:t>
      </w:r>
      <w:r w:rsidRPr="00282AC9">
        <w:rPr>
          <w:rFonts w:hint="cs"/>
          <w:sz w:val="27"/>
          <w:rtl/>
          <w:lang w:bidi="ar-LB"/>
        </w:rPr>
        <w:t>ع وما يشبهه.</w:t>
      </w:r>
    </w:p>
    <w:p w:rsidR="00A9019A" w:rsidRPr="00282AC9" w:rsidRDefault="00A9019A" w:rsidP="00B16272">
      <w:pPr>
        <w:tabs>
          <w:tab w:val="right" w:pos="6930"/>
        </w:tabs>
        <w:suppressAutoHyphens/>
        <w:rPr>
          <w:sz w:val="27"/>
          <w:rtl/>
          <w:lang w:bidi="ar-LB"/>
        </w:rPr>
      </w:pPr>
      <w:r w:rsidRPr="00282AC9">
        <w:rPr>
          <w:rFonts w:hint="cs"/>
          <w:sz w:val="27"/>
          <w:rtl/>
          <w:lang w:bidi="ar-LB"/>
        </w:rPr>
        <w:t>و</w:t>
      </w:r>
      <w:r w:rsidR="00674EF5" w:rsidRPr="00282AC9">
        <w:rPr>
          <w:rFonts w:hint="cs"/>
          <w:sz w:val="27"/>
          <w:rtl/>
          <w:lang w:bidi="ar-LB"/>
        </w:rPr>
        <w:t>لا شَكَّ</w:t>
      </w:r>
      <w:r w:rsidRPr="00282AC9">
        <w:rPr>
          <w:rFonts w:hint="cs"/>
          <w:sz w:val="27"/>
          <w:rtl/>
          <w:lang w:bidi="ar-LB"/>
        </w:rPr>
        <w:t xml:space="preserve"> أنّ هذه المرتبة الرابعة لا تدخل في موضع النزاع</w:t>
      </w:r>
      <w:r w:rsidR="00055BF6" w:rsidRPr="00282AC9">
        <w:rPr>
          <w:rFonts w:hint="cs"/>
          <w:sz w:val="27"/>
          <w:rtl/>
          <w:lang w:bidi="ar-LB"/>
        </w:rPr>
        <w:t>؛ بداهة أن</w:t>
      </w:r>
      <w:r w:rsidRPr="00282AC9">
        <w:rPr>
          <w:rFonts w:hint="cs"/>
          <w:sz w:val="27"/>
          <w:rtl/>
          <w:lang w:bidi="ar-LB"/>
        </w:rPr>
        <w:t xml:space="preserve"> كثيراً من الأحكام الشرعية الفعليّة غير منج</w:t>
      </w:r>
      <w:r w:rsidR="00055BF6" w:rsidRPr="00282AC9">
        <w:rPr>
          <w:rFonts w:hint="cs"/>
          <w:sz w:val="27"/>
          <w:rtl/>
          <w:lang w:bidi="ar-LB"/>
        </w:rPr>
        <w:t>ّ</w:t>
      </w:r>
      <w:r w:rsidRPr="00282AC9">
        <w:rPr>
          <w:rFonts w:hint="cs"/>
          <w:sz w:val="27"/>
          <w:rtl/>
          <w:lang w:bidi="ar-LB"/>
        </w:rPr>
        <w:t xml:space="preserve">زة بالنسبة </w:t>
      </w:r>
      <w:r w:rsidR="00055BF6" w:rsidRPr="00282AC9">
        <w:rPr>
          <w:rFonts w:hint="cs"/>
          <w:sz w:val="27"/>
          <w:rtl/>
          <w:lang w:bidi="ar-LB"/>
        </w:rPr>
        <w:t>إ</w:t>
      </w:r>
      <w:r w:rsidRPr="00282AC9">
        <w:rPr>
          <w:rFonts w:hint="cs"/>
          <w:sz w:val="27"/>
          <w:rtl/>
          <w:lang w:bidi="ar-LB"/>
        </w:rPr>
        <w:t>لى كثير</w:t>
      </w:r>
      <w:r w:rsidR="00055BF6" w:rsidRPr="00282AC9">
        <w:rPr>
          <w:rFonts w:hint="cs"/>
          <w:sz w:val="27"/>
          <w:rtl/>
          <w:lang w:bidi="ar-LB"/>
        </w:rPr>
        <w:t>ٍ</w:t>
      </w:r>
      <w:r w:rsidRPr="00282AC9">
        <w:rPr>
          <w:rFonts w:hint="cs"/>
          <w:sz w:val="27"/>
          <w:rtl/>
          <w:lang w:bidi="ar-LB"/>
        </w:rPr>
        <w:t xml:space="preserve"> من المكلّ</w:t>
      </w:r>
      <w:r w:rsidR="00055BF6" w:rsidRPr="00282AC9">
        <w:rPr>
          <w:rFonts w:hint="cs"/>
          <w:sz w:val="27"/>
          <w:rtl/>
          <w:lang w:bidi="ar-LB"/>
        </w:rPr>
        <w:t>َفين؛ لعدم العلم بها، فلا مجال</w:t>
      </w:r>
      <w:r w:rsidRPr="00282AC9">
        <w:rPr>
          <w:rFonts w:hint="cs"/>
          <w:sz w:val="27"/>
          <w:rtl/>
          <w:lang w:bidi="ar-LB"/>
        </w:rPr>
        <w:t xml:space="preserve"> بعد ذلك لدعوى عدم خلوّ الواقعة </w:t>
      </w:r>
      <w:r w:rsidRPr="00282AC9">
        <w:rPr>
          <w:sz w:val="27"/>
          <w:rtl/>
          <w:lang w:bidi="ar-LB"/>
        </w:rPr>
        <w:t>ـ</w:t>
      </w:r>
      <w:r w:rsidRPr="00282AC9">
        <w:rPr>
          <w:rFonts w:hint="cs"/>
          <w:sz w:val="27"/>
          <w:rtl/>
          <w:lang w:bidi="ar-LB"/>
        </w:rPr>
        <w:t xml:space="preserve"> أيّ واقعة</w:t>
      </w:r>
      <w:r w:rsidR="00055BF6" w:rsidRPr="00282AC9">
        <w:rPr>
          <w:rFonts w:hint="cs"/>
          <w:sz w:val="27"/>
          <w:rtl/>
          <w:lang w:bidi="ar-LB"/>
        </w:rPr>
        <w:t>ٍ</w:t>
      </w:r>
      <w:r w:rsidRPr="00282AC9">
        <w:rPr>
          <w:rFonts w:hint="cs"/>
          <w:sz w:val="27"/>
          <w:rtl/>
          <w:lang w:bidi="ar-LB"/>
        </w:rPr>
        <w:t xml:space="preserve"> </w:t>
      </w:r>
      <w:r w:rsidRPr="00282AC9">
        <w:rPr>
          <w:sz w:val="27"/>
          <w:rtl/>
          <w:lang w:bidi="ar-LB"/>
        </w:rPr>
        <w:t>ـ</w:t>
      </w:r>
      <w:r w:rsidRPr="00282AC9">
        <w:rPr>
          <w:rFonts w:hint="cs"/>
          <w:sz w:val="27"/>
          <w:rtl/>
          <w:lang w:bidi="ar-LB"/>
        </w:rPr>
        <w:t xml:space="preserve"> عن الحكم التنجيزي.</w:t>
      </w:r>
    </w:p>
    <w:p w:rsidR="00A9019A" w:rsidRPr="00282AC9" w:rsidRDefault="00A9019A" w:rsidP="00B16272">
      <w:pPr>
        <w:tabs>
          <w:tab w:val="right" w:pos="6930"/>
        </w:tabs>
        <w:suppressAutoHyphens/>
        <w:rPr>
          <w:sz w:val="27"/>
          <w:rtl/>
          <w:lang w:bidi="ar-LB"/>
        </w:rPr>
      </w:pPr>
      <w:r w:rsidRPr="00282AC9">
        <w:rPr>
          <w:rFonts w:hint="cs"/>
          <w:sz w:val="27"/>
          <w:rtl/>
          <w:lang w:bidi="ar-LB"/>
        </w:rPr>
        <w:t>نعم</w:t>
      </w:r>
      <w:r w:rsidR="00055BF6" w:rsidRPr="00282AC9">
        <w:rPr>
          <w:rFonts w:hint="cs"/>
          <w:sz w:val="27"/>
          <w:rtl/>
          <w:lang w:bidi="ar-LB"/>
        </w:rPr>
        <w:t>،</w:t>
      </w:r>
      <w:r w:rsidRPr="00282AC9">
        <w:rPr>
          <w:rFonts w:hint="cs"/>
          <w:sz w:val="27"/>
          <w:rtl/>
          <w:lang w:bidi="ar-LB"/>
        </w:rPr>
        <w:t xml:space="preserve"> يمكن القول بذلك على سبيل الموجبة الجزئيّة، بمعنى أن الحكم المجعول </w:t>
      </w:r>
      <w:r w:rsidR="00674EF5" w:rsidRPr="00282AC9">
        <w:rPr>
          <w:rFonts w:hint="cs"/>
          <w:sz w:val="27"/>
          <w:rtl/>
          <w:lang w:bidi="ar-LB"/>
        </w:rPr>
        <w:t>لا بُدَّ</w:t>
      </w:r>
      <w:r w:rsidRPr="00282AC9">
        <w:rPr>
          <w:rFonts w:hint="cs"/>
          <w:sz w:val="27"/>
          <w:rtl/>
          <w:lang w:bidi="ar-LB"/>
        </w:rPr>
        <w:t xml:space="preserve"> أن يبلغ مرتبة التنجّ</w:t>
      </w:r>
      <w:r w:rsidR="00055BF6" w:rsidRPr="00282AC9">
        <w:rPr>
          <w:rFonts w:hint="cs"/>
          <w:sz w:val="27"/>
          <w:rtl/>
          <w:lang w:bidi="ar-LB"/>
        </w:rPr>
        <w:t>ُ</w:t>
      </w:r>
      <w:r w:rsidRPr="00282AC9">
        <w:rPr>
          <w:rFonts w:hint="cs"/>
          <w:sz w:val="27"/>
          <w:rtl/>
          <w:lang w:bidi="ar-LB"/>
        </w:rPr>
        <w:t>ز</w:t>
      </w:r>
      <w:r w:rsidR="00055BF6" w:rsidRPr="00282AC9">
        <w:rPr>
          <w:rFonts w:hint="cs"/>
          <w:sz w:val="27"/>
          <w:rtl/>
          <w:lang w:bidi="ar-LB"/>
        </w:rPr>
        <w:t>،</w:t>
      </w:r>
      <w:r w:rsidRPr="00282AC9">
        <w:rPr>
          <w:rFonts w:hint="cs"/>
          <w:sz w:val="27"/>
          <w:rtl/>
          <w:lang w:bidi="ar-LB"/>
        </w:rPr>
        <w:t xml:space="preserve"> ولو في بعض الأحيان</w:t>
      </w:r>
      <w:r w:rsidR="00055BF6" w:rsidRPr="00282AC9">
        <w:rPr>
          <w:rFonts w:hint="cs"/>
          <w:sz w:val="27"/>
          <w:rtl/>
          <w:lang w:bidi="ar-LB"/>
        </w:rPr>
        <w:t>،</w:t>
      </w:r>
      <w:r w:rsidRPr="00282AC9">
        <w:rPr>
          <w:rFonts w:hint="cs"/>
          <w:sz w:val="27"/>
          <w:rtl/>
          <w:lang w:bidi="ar-LB"/>
        </w:rPr>
        <w:t xml:space="preserve"> وبالنسبة </w:t>
      </w:r>
      <w:r w:rsidR="00055BF6" w:rsidRPr="00282AC9">
        <w:rPr>
          <w:rFonts w:hint="cs"/>
          <w:sz w:val="27"/>
          <w:rtl/>
          <w:lang w:bidi="ar-LB"/>
        </w:rPr>
        <w:t>إ</w:t>
      </w:r>
      <w:r w:rsidRPr="00282AC9">
        <w:rPr>
          <w:rFonts w:hint="cs"/>
          <w:sz w:val="27"/>
          <w:rtl/>
          <w:lang w:bidi="ar-LB"/>
        </w:rPr>
        <w:t>لى بعض المكل</w:t>
      </w:r>
      <w:r w:rsidR="00055BF6" w:rsidRPr="00282AC9">
        <w:rPr>
          <w:rFonts w:hint="cs"/>
          <w:sz w:val="27"/>
          <w:rtl/>
          <w:lang w:bidi="ar-LB"/>
        </w:rPr>
        <w:t>َّ</w:t>
      </w:r>
      <w:r w:rsidRPr="00282AC9">
        <w:rPr>
          <w:rFonts w:hint="cs"/>
          <w:sz w:val="27"/>
          <w:rtl/>
          <w:lang w:bidi="ar-LB"/>
        </w:rPr>
        <w:t>فين، وإلاّ كان ج</w:t>
      </w:r>
      <w:r w:rsidR="00055BF6" w:rsidRPr="00282AC9">
        <w:rPr>
          <w:rFonts w:hint="cs"/>
          <w:sz w:val="27"/>
          <w:rtl/>
          <w:lang w:bidi="ar-LB"/>
        </w:rPr>
        <w:t>َ</w:t>
      </w:r>
      <w:r w:rsidRPr="00282AC9">
        <w:rPr>
          <w:rFonts w:hint="cs"/>
          <w:sz w:val="27"/>
          <w:rtl/>
          <w:lang w:bidi="ar-LB"/>
        </w:rPr>
        <w:t>ع</w:t>
      </w:r>
      <w:r w:rsidR="00055BF6" w:rsidRPr="00282AC9">
        <w:rPr>
          <w:rFonts w:hint="cs"/>
          <w:sz w:val="27"/>
          <w:rtl/>
          <w:lang w:bidi="ar-LB"/>
        </w:rPr>
        <w:t>ْ</w:t>
      </w:r>
      <w:r w:rsidRPr="00282AC9">
        <w:rPr>
          <w:rFonts w:hint="cs"/>
          <w:sz w:val="27"/>
          <w:rtl/>
          <w:lang w:bidi="ar-LB"/>
        </w:rPr>
        <w:t>له ل</w:t>
      </w:r>
      <w:r w:rsidR="00055BF6" w:rsidRPr="00282AC9">
        <w:rPr>
          <w:rFonts w:hint="cs"/>
          <w:sz w:val="27"/>
          <w:rtl/>
          <w:lang w:bidi="ar-LB"/>
        </w:rPr>
        <w:t>َ</w:t>
      </w:r>
      <w:r w:rsidRPr="00282AC9">
        <w:rPr>
          <w:rFonts w:hint="cs"/>
          <w:sz w:val="27"/>
          <w:rtl/>
          <w:lang w:bidi="ar-LB"/>
        </w:rPr>
        <w:t>غ</w:t>
      </w:r>
      <w:r w:rsidR="00055BF6" w:rsidRPr="00282AC9">
        <w:rPr>
          <w:rFonts w:hint="cs"/>
          <w:sz w:val="27"/>
          <w:rtl/>
          <w:lang w:bidi="ar-LB"/>
        </w:rPr>
        <w:t>ْ</w:t>
      </w:r>
      <w:r w:rsidRPr="00282AC9">
        <w:rPr>
          <w:rFonts w:hint="cs"/>
          <w:sz w:val="27"/>
          <w:rtl/>
          <w:lang w:bidi="ar-LB"/>
        </w:rPr>
        <w:t>واً</w:t>
      </w:r>
      <w:r w:rsidR="00055BF6" w:rsidRPr="00282AC9">
        <w:rPr>
          <w:rFonts w:hint="cs"/>
          <w:sz w:val="27"/>
          <w:rtl/>
          <w:lang w:bidi="ar-LB"/>
        </w:rPr>
        <w:t>. أمّا أن</w:t>
      </w:r>
      <w:r w:rsidRPr="00282AC9">
        <w:rPr>
          <w:rFonts w:hint="cs"/>
          <w:sz w:val="27"/>
          <w:rtl/>
          <w:lang w:bidi="ar-LB"/>
        </w:rPr>
        <w:t xml:space="preserve">ه </w:t>
      </w:r>
      <w:r w:rsidR="00674EF5" w:rsidRPr="00282AC9">
        <w:rPr>
          <w:rFonts w:hint="cs"/>
          <w:sz w:val="27"/>
          <w:rtl/>
          <w:lang w:bidi="ar-LB"/>
        </w:rPr>
        <w:t>لا بُدَّ</w:t>
      </w:r>
      <w:r w:rsidRPr="00282AC9">
        <w:rPr>
          <w:rFonts w:hint="cs"/>
          <w:sz w:val="27"/>
          <w:rtl/>
          <w:lang w:bidi="ar-LB"/>
        </w:rPr>
        <w:t xml:space="preserve"> في كلّ واقعة</w:t>
      </w:r>
      <w:r w:rsidR="00055BF6" w:rsidRPr="00282AC9">
        <w:rPr>
          <w:rFonts w:hint="cs"/>
          <w:sz w:val="27"/>
          <w:rtl/>
          <w:lang w:bidi="ar-LB"/>
        </w:rPr>
        <w:t>ٍ</w:t>
      </w:r>
      <w:r w:rsidRPr="00282AC9">
        <w:rPr>
          <w:rFonts w:hint="cs"/>
          <w:sz w:val="27"/>
          <w:rtl/>
          <w:lang w:bidi="ar-LB"/>
        </w:rPr>
        <w:t xml:space="preserve"> من حكم</w:t>
      </w:r>
      <w:r w:rsidR="00055BF6" w:rsidRPr="00282AC9">
        <w:rPr>
          <w:rFonts w:hint="cs"/>
          <w:sz w:val="27"/>
          <w:rtl/>
          <w:lang w:bidi="ar-LB"/>
        </w:rPr>
        <w:t>ٍ</w:t>
      </w:r>
      <w:r w:rsidRPr="00282AC9">
        <w:rPr>
          <w:rFonts w:hint="cs"/>
          <w:sz w:val="27"/>
          <w:rtl/>
          <w:lang w:bidi="ar-LB"/>
        </w:rPr>
        <w:t xml:space="preserve"> تنجيزيّ على سبيل الموجبة الكل</w:t>
      </w:r>
      <w:r w:rsidR="00055BF6" w:rsidRPr="00282AC9">
        <w:rPr>
          <w:rFonts w:hint="cs"/>
          <w:sz w:val="27"/>
          <w:rtl/>
          <w:lang w:bidi="ar-LB"/>
        </w:rPr>
        <w:t>ّ</w:t>
      </w:r>
      <w:r w:rsidRPr="00282AC9">
        <w:rPr>
          <w:rFonts w:hint="cs"/>
          <w:sz w:val="27"/>
          <w:rtl/>
          <w:lang w:bidi="ar-LB"/>
        </w:rPr>
        <w:t>ية فهذا ممّا لم يدلّ عليه دليل</w:t>
      </w:r>
      <w:r w:rsidR="00055BF6" w:rsidRPr="00282AC9">
        <w:rPr>
          <w:rFonts w:hint="cs"/>
          <w:sz w:val="27"/>
          <w:rtl/>
          <w:lang w:bidi="ar-LB"/>
        </w:rPr>
        <w:t>ٌ</w:t>
      </w:r>
      <w:r w:rsidRPr="00282AC9">
        <w:rPr>
          <w:rFonts w:hint="cs"/>
          <w:sz w:val="27"/>
          <w:rtl/>
          <w:lang w:bidi="ar-LB"/>
        </w:rPr>
        <w:t>، بل الدليل على عدمه</w:t>
      </w:r>
      <w:r w:rsidR="00055BF6" w:rsidRPr="00282AC9">
        <w:rPr>
          <w:rFonts w:hint="cs"/>
          <w:sz w:val="27"/>
          <w:rtl/>
          <w:lang w:bidi="ar-LB"/>
        </w:rPr>
        <w:t>،</w:t>
      </w:r>
      <w:r w:rsidRPr="00282AC9">
        <w:rPr>
          <w:rFonts w:hint="cs"/>
          <w:sz w:val="27"/>
          <w:rtl/>
          <w:lang w:bidi="ar-LB"/>
        </w:rPr>
        <w:t xml:space="preserve"> كما عرف</w:t>
      </w:r>
      <w:r w:rsidR="00055BF6" w:rsidRPr="00282AC9">
        <w:rPr>
          <w:rFonts w:hint="cs"/>
          <w:sz w:val="27"/>
          <w:rtl/>
          <w:lang w:bidi="ar-LB"/>
        </w:rPr>
        <w:t>ْ</w:t>
      </w:r>
      <w:r w:rsidRPr="00282AC9">
        <w:rPr>
          <w:rFonts w:hint="cs"/>
          <w:sz w:val="27"/>
          <w:rtl/>
          <w:lang w:bidi="ar-LB"/>
        </w:rPr>
        <w:t>ت</w:t>
      </w:r>
      <w:r w:rsidR="00055BF6"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sz w:val="27"/>
          <w:rtl/>
          <w:lang w:bidi="ar-LB"/>
        </w:rPr>
        <w:t xml:space="preserve">كما </w:t>
      </w:r>
      <w:r w:rsidR="00674EF5" w:rsidRPr="00282AC9">
        <w:rPr>
          <w:rFonts w:hint="cs"/>
          <w:sz w:val="27"/>
          <w:rtl/>
          <w:lang w:bidi="ar-LB"/>
        </w:rPr>
        <w:t>لا شَكَّ</w:t>
      </w:r>
      <w:r w:rsidRPr="00282AC9">
        <w:rPr>
          <w:rFonts w:hint="cs"/>
          <w:sz w:val="27"/>
          <w:rtl/>
          <w:lang w:bidi="ar-LB"/>
        </w:rPr>
        <w:t xml:space="preserve"> أنّ المرتبة الثالثة خارجة</w:t>
      </w:r>
      <w:r w:rsidR="00055BF6" w:rsidRPr="00282AC9">
        <w:rPr>
          <w:rFonts w:hint="cs"/>
          <w:sz w:val="27"/>
          <w:rtl/>
          <w:lang w:bidi="ar-LB"/>
        </w:rPr>
        <w:t>ٌ</w:t>
      </w:r>
      <w:r w:rsidRPr="00282AC9">
        <w:rPr>
          <w:rFonts w:hint="cs"/>
          <w:sz w:val="27"/>
          <w:rtl/>
          <w:lang w:bidi="ar-LB"/>
        </w:rPr>
        <w:t xml:space="preserve"> أيضاً عن مصبّ النزاع؛ </w:t>
      </w:r>
      <w:r w:rsidR="00055BF6" w:rsidRPr="00282AC9">
        <w:rPr>
          <w:rFonts w:hint="cs"/>
          <w:sz w:val="27"/>
          <w:rtl/>
          <w:lang w:bidi="ar-LB"/>
        </w:rPr>
        <w:t xml:space="preserve">لوضوح </w:t>
      </w:r>
      <w:r w:rsidRPr="00282AC9">
        <w:rPr>
          <w:rFonts w:hint="cs"/>
          <w:sz w:val="27"/>
          <w:rtl/>
          <w:lang w:bidi="ar-LB"/>
        </w:rPr>
        <w:t>أنّ كثيراً من الأحكام المجعولة ليست بفعليّة</w:t>
      </w:r>
      <w:r w:rsidR="00055BF6" w:rsidRPr="00282AC9">
        <w:rPr>
          <w:rFonts w:hint="cs"/>
          <w:sz w:val="27"/>
          <w:rtl/>
          <w:lang w:bidi="ar-LB"/>
        </w:rPr>
        <w:t>ٍ</w:t>
      </w:r>
      <w:r w:rsidRPr="00282AC9">
        <w:rPr>
          <w:rFonts w:hint="cs"/>
          <w:sz w:val="27"/>
          <w:rtl/>
          <w:lang w:bidi="ar-LB"/>
        </w:rPr>
        <w:t>؛ ت</w:t>
      </w:r>
      <w:r w:rsidR="00055BF6" w:rsidRPr="00282AC9">
        <w:rPr>
          <w:rFonts w:hint="cs"/>
          <w:sz w:val="27"/>
          <w:rtl/>
          <w:lang w:bidi="ar-LB"/>
        </w:rPr>
        <w:t>َ</w:t>
      </w:r>
      <w:r w:rsidRPr="00282AC9">
        <w:rPr>
          <w:rFonts w:hint="cs"/>
          <w:sz w:val="27"/>
          <w:rtl/>
          <w:lang w:bidi="ar-LB"/>
        </w:rPr>
        <w:t>ب</w:t>
      </w:r>
      <w:r w:rsidR="00055BF6" w:rsidRPr="00282AC9">
        <w:rPr>
          <w:rFonts w:hint="cs"/>
          <w:sz w:val="27"/>
          <w:rtl/>
          <w:lang w:bidi="ar-LB"/>
        </w:rPr>
        <w:t>َ</w:t>
      </w:r>
      <w:r w:rsidRPr="00282AC9">
        <w:rPr>
          <w:rFonts w:hint="cs"/>
          <w:sz w:val="27"/>
          <w:rtl/>
          <w:lang w:bidi="ar-LB"/>
        </w:rPr>
        <w:t>عاً لعدم فعليّة موضوعاتها</w:t>
      </w:r>
      <w:r w:rsidR="00055BF6" w:rsidRPr="00282AC9">
        <w:rPr>
          <w:rFonts w:hint="cs"/>
          <w:sz w:val="27"/>
          <w:rtl/>
          <w:lang w:bidi="ar-LB"/>
        </w:rPr>
        <w:t>،</w:t>
      </w:r>
      <w:r w:rsidRPr="00282AC9">
        <w:rPr>
          <w:rFonts w:hint="cs"/>
          <w:sz w:val="27"/>
          <w:rtl/>
          <w:lang w:bidi="ar-LB"/>
        </w:rPr>
        <w:t xml:space="preserve"> ولو في الجملة، كما إذا لم يكن المكلّف مستطيعاً، فإنّ وجوب الحج</w:t>
      </w:r>
      <w:r w:rsidR="0086192D" w:rsidRPr="00282AC9">
        <w:rPr>
          <w:rFonts w:hint="cs"/>
          <w:sz w:val="27"/>
          <w:rtl/>
          <w:lang w:bidi="ar-LB"/>
        </w:rPr>
        <w:t>ّ</w:t>
      </w:r>
      <w:r w:rsidRPr="00282AC9">
        <w:rPr>
          <w:rFonts w:hint="cs"/>
          <w:sz w:val="27"/>
          <w:rtl/>
          <w:lang w:bidi="ar-LB"/>
        </w:rPr>
        <w:t xml:space="preserve"> ليس </w:t>
      </w:r>
      <w:r w:rsidR="0086192D" w:rsidRPr="00282AC9">
        <w:rPr>
          <w:rFonts w:hint="cs"/>
          <w:sz w:val="27"/>
          <w:rtl/>
          <w:lang w:bidi="ar-LB"/>
        </w:rPr>
        <w:t>فعليّاً بالنسبة إليه، وإ</w:t>
      </w:r>
      <w:r w:rsidRPr="00282AC9">
        <w:rPr>
          <w:rFonts w:hint="cs"/>
          <w:sz w:val="27"/>
          <w:rtl/>
          <w:lang w:bidi="ar-LB"/>
        </w:rPr>
        <w:t>نْ كان ثابتاً في مرحلة الإنشاء</w:t>
      </w:r>
      <w:r w:rsidR="0086192D" w:rsidRPr="00282AC9">
        <w:rPr>
          <w:rFonts w:hint="cs"/>
          <w:sz w:val="27"/>
          <w:rtl/>
          <w:lang w:bidi="ar-LB"/>
        </w:rPr>
        <w:t>.</w:t>
      </w:r>
      <w:r w:rsidRPr="00282AC9">
        <w:rPr>
          <w:rFonts w:hint="cs"/>
          <w:sz w:val="27"/>
          <w:rtl/>
          <w:lang w:bidi="ar-LB"/>
        </w:rPr>
        <w:t xml:space="preserve"> وهذا المقدار ممّا </w:t>
      </w:r>
      <w:r w:rsidR="00674EF5" w:rsidRPr="00282AC9">
        <w:rPr>
          <w:rFonts w:hint="cs"/>
          <w:sz w:val="27"/>
          <w:rtl/>
          <w:lang w:bidi="ar-LB"/>
        </w:rPr>
        <w:t>لا رَيْبَ</w:t>
      </w:r>
      <w:r w:rsidRPr="00282AC9">
        <w:rPr>
          <w:rFonts w:hint="cs"/>
          <w:sz w:val="27"/>
          <w:rtl/>
          <w:lang w:bidi="ar-LB"/>
        </w:rPr>
        <w:t xml:space="preserve"> فيه</w:t>
      </w:r>
      <w:r w:rsidR="0086192D" w:rsidRPr="00282AC9">
        <w:rPr>
          <w:rFonts w:hint="cs"/>
          <w:sz w:val="27"/>
          <w:rtl/>
          <w:lang w:bidi="ar-LB"/>
        </w:rPr>
        <w:t>،</w:t>
      </w:r>
      <w:r w:rsidRPr="00282AC9">
        <w:rPr>
          <w:rFonts w:hint="cs"/>
          <w:sz w:val="27"/>
          <w:rtl/>
          <w:lang w:bidi="ar-LB"/>
        </w:rPr>
        <w:t xml:space="preserve"> و</w:t>
      </w:r>
      <w:r w:rsidR="00674EF5" w:rsidRPr="00282AC9">
        <w:rPr>
          <w:rFonts w:hint="cs"/>
          <w:sz w:val="27"/>
          <w:rtl/>
          <w:lang w:bidi="ar-LB"/>
        </w:rPr>
        <w:t>لا شَكَّ</w:t>
      </w:r>
      <w:r w:rsidRPr="00282AC9">
        <w:rPr>
          <w:rFonts w:hint="cs"/>
          <w:sz w:val="27"/>
          <w:rtl/>
          <w:lang w:bidi="ar-LB"/>
        </w:rPr>
        <w:t xml:space="preserve"> يعتريه.</w:t>
      </w:r>
    </w:p>
    <w:p w:rsidR="00A9019A" w:rsidRPr="00282AC9" w:rsidRDefault="00A9019A" w:rsidP="00B16272">
      <w:pPr>
        <w:tabs>
          <w:tab w:val="right" w:pos="6930"/>
        </w:tabs>
        <w:suppressAutoHyphens/>
        <w:rPr>
          <w:sz w:val="27"/>
          <w:rtl/>
          <w:lang w:bidi="ar-LB"/>
        </w:rPr>
      </w:pPr>
      <w:r w:rsidRPr="00282AC9">
        <w:rPr>
          <w:rFonts w:hint="cs"/>
          <w:sz w:val="27"/>
          <w:rtl/>
          <w:lang w:bidi="ar-LB"/>
        </w:rPr>
        <w:t>ولا يخفى أنّ المراد بالفعليّة في مصطلح المحق</w:t>
      </w:r>
      <w:r w:rsidR="0086192D" w:rsidRPr="00282AC9">
        <w:rPr>
          <w:rFonts w:hint="cs"/>
          <w:sz w:val="27"/>
          <w:rtl/>
          <w:lang w:bidi="ar-LB"/>
        </w:rPr>
        <w:t>ِّ</w:t>
      </w:r>
      <w:r w:rsidRPr="00282AC9">
        <w:rPr>
          <w:rFonts w:hint="cs"/>
          <w:sz w:val="27"/>
          <w:rtl/>
          <w:lang w:bidi="ar-LB"/>
        </w:rPr>
        <w:t>ق</w:t>
      </w:r>
      <w:r w:rsidR="0086192D" w:rsidRPr="00282AC9">
        <w:rPr>
          <w:rFonts w:hint="cs"/>
          <w:sz w:val="27"/>
          <w:rtl/>
          <w:lang w:bidi="ar-LB"/>
        </w:rPr>
        <w:t>َ</w:t>
      </w:r>
      <w:r w:rsidRPr="00282AC9">
        <w:rPr>
          <w:rFonts w:hint="cs"/>
          <w:sz w:val="27"/>
          <w:rtl/>
          <w:lang w:bidi="ar-LB"/>
        </w:rPr>
        <w:t>ين الخراساني</w:t>
      </w:r>
      <w:r w:rsidR="0086192D" w:rsidRPr="00282AC9">
        <w:rPr>
          <w:rFonts w:hint="cs"/>
          <w:sz w:val="27"/>
          <w:rtl/>
          <w:lang w:bidi="ar-LB"/>
        </w:rPr>
        <w:t xml:space="preserve">ّ </w:t>
      </w:r>
      <w:r w:rsidRPr="00282AC9">
        <w:rPr>
          <w:rFonts w:hint="cs"/>
          <w:sz w:val="27"/>
          <w:rtl/>
          <w:lang w:bidi="ar-LB"/>
        </w:rPr>
        <w:t>والعراقي</w:t>
      </w:r>
      <w:r w:rsidR="0086192D" w:rsidRPr="00282AC9">
        <w:rPr>
          <w:rFonts w:hint="cs"/>
          <w:sz w:val="27"/>
          <w:rtl/>
          <w:lang w:bidi="ar-LB"/>
        </w:rPr>
        <w:t>ّ</w:t>
      </w:r>
      <w:r w:rsidRPr="00282AC9">
        <w:rPr>
          <w:rFonts w:hint="cs"/>
          <w:sz w:val="27"/>
          <w:rtl/>
          <w:lang w:bidi="ar-LB"/>
        </w:rPr>
        <w:t xml:space="preserve"> ن</w:t>
      </w:r>
      <w:r w:rsidR="0086192D" w:rsidRPr="00282AC9">
        <w:rPr>
          <w:rFonts w:hint="cs"/>
          <w:sz w:val="27"/>
          <w:rtl/>
          <w:lang w:bidi="ar-LB"/>
        </w:rPr>
        <w:t>فس الإنشاء مع انقداح البعث والز</w:t>
      </w:r>
      <w:r w:rsidRPr="00282AC9">
        <w:rPr>
          <w:rFonts w:hint="cs"/>
          <w:sz w:val="27"/>
          <w:rtl/>
          <w:lang w:bidi="ar-LB"/>
        </w:rPr>
        <w:t>جر في نفس المولى</w:t>
      </w:r>
      <w:r w:rsidR="0086192D" w:rsidRPr="00282AC9">
        <w:rPr>
          <w:rFonts w:hint="cs"/>
          <w:sz w:val="27"/>
          <w:rtl/>
          <w:lang w:bidi="ar-LB"/>
        </w:rPr>
        <w:t>؛</w:t>
      </w:r>
      <w:r w:rsidRPr="00282AC9">
        <w:rPr>
          <w:rFonts w:hint="cs"/>
          <w:sz w:val="27"/>
          <w:rtl/>
          <w:lang w:bidi="ar-LB"/>
        </w:rPr>
        <w:t xml:space="preserve"> وأمّا المحق</w:t>
      </w:r>
      <w:r w:rsidR="0086192D" w:rsidRPr="00282AC9">
        <w:rPr>
          <w:rFonts w:hint="cs"/>
          <w:sz w:val="27"/>
          <w:rtl/>
          <w:lang w:bidi="ar-LB"/>
        </w:rPr>
        <w:t>ِّ</w:t>
      </w:r>
      <w:r w:rsidRPr="00282AC9">
        <w:rPr>
          <w:rFonts w:hint="cs"/>
          <w:sz w:val="27"/>
          <w:rtl/>
          <w:lang w:bidi="ar-LB"/>
        </w:rPr>
        <w:t>ق النائيني وأتباعه فال</w:t>
      </w:r>
      <w:r w:rsidR="0086192D" w:rsidRPr="00282AC9">
        <w:rPr>
          <w:rFonts w:hint="cs"/>
          <w:sz w:val="27"/>
          <w:rtl/>
          <w:lang w:bidi="ar-LB"/>
        </w:rPr>
        <w:t>ف</w:t>
      </w:r>
      <w:r w:rsidRPr="00282AC9">
        <w:rPr>
          <w:rFonts w:hint="cs"/>
          <w:sz w:val="27"/>
          <w:rtl/>
          <w:lang w:bidi="ar-LB"/>
        </w:rPr>
        <w:t>علية عندهم هي الإنشاء المتحق</w:t>
      </w:r>
      <w:r w:rsidR="0086192D" w:rsidRPr="00282AC9">
        <w:rPr>
          <w:rFonts w:hint="cs"/>
          <w:sz w:val="27"/>
          <w:rtl/>
          <w:lang w:bidi="ar-LB"/>
        </w:rPr>
        <w:t>ِّ</w:t>
      </w:r>
      <w:r w:rsidRPr="00282AC9">
        <w:rPr>
          <w:rFonts w:hint="cs"/>
          <w:sz w:val="27"/>
          <w:rtl/>
          <w:lang w:bidi="ar-LB"/>
        </w:rPr>
        <w:t>ق موضوعه وقيوده.</w:t>
      </w:r>
    </w:p>
    <w:p w:rsidR="00A9019A" w:rsidRPr="00282AC9" w:rsidRDefault="00A9019A" w:rsidP="00B16272">
      <w:pPr>
        <w:tabs>
          <w:tab w:val="right" w:pos="6930"/>
        </w:tabs>
        <w:suppressAutoHyphens/>
        <w:rPr>
          <w:sz w:val="27"/>
          <w:rtl/>
          <w:lang w:bidi="ar-LB"/>
        </w:rPr>
      </w:pPr>
      <w:r w:rsidRPr="00282AC9">
        <w:rPr>
          <w:rFonts w:hint="cs"/>
          <w:sz w:val="27"/>
          <w:rtl/>
          <w:lang w:bidi="ar-LB"/>
        </w:rPr>
        <w:lastRenderedPageBreak/>
        <w:t>وما ذك</w:t>
      </w:r>
      <w:r w:rsidR="0086192D" w:rsidRPr="00282AC9">
        <w:rPr>
          <w:rFonts w:hint="cs"/>
          <w:sz w:val="27"/>
          <w:rtl/>
          <w:lang w:bidi="ar-LB"/>
        </w:rPr>
        <w:t>َ</w:t>
      </w:r>
      <w:r w:rsidRPr="00282AC9">
        <w:rPr>
          <w:rFonts w:hint="cs"/>
          <w:sz w:val="27"/>
          <w:rtl/>
          <w:lang w:bidi="ar-LB"/>
        </w:rPr>
        <w:t>ر</w:t>
      </w:r>
      <w:r w:rsidR="0086192D" w:rsidRPr="00282AC9">
        <w:rPr>
          <w:rFonts w:hint="cs"/>
          <w:sz w:val="27"/>
          <w:rtl/>
          <w:lang w:bidi="ar-LB"/>
        </w:rPr>
        <w:t>ْ</w:t>
      </w:r>
      <w:r w:rsidRPr="00282AC9">
        <w:rPr>
          <w:rFonts w:hint="cs"/>
          <w:sz w:val="27"/>
          <w:rtl/>
          <w:lang w:bidi="ar-LB"/>
        </w:rPr>
        <w:t xml:space="preserve">نا من خروج الفعليّة عن موضع النزاع إنّما هي الثانية، وأمّا الفعلية بالمصطلح الأوّل </w:t>
      </w:r>
      <w:r w:rsidRPr="00282AC9">
        <w:rPr>
          <w:sz w:val="27"/>
          <w:rtl/>
          <w:lang w:bidi="ar-LB"/>
        </w:rPr>
        <w:t>ـ</w:t>
      </w:r>
      <w:r w:rsidRPr="00282AC9">
        <w:rPr>
          <w:rFonts w:hint="cs"/>
          <w:sz w:val="27"/>
          <w:rtl/>
          <w:lang w:bidi="ar-LB"/>
        </w:rPr>
        <w:t xml:space="preserve"> التي هي الإنشاء</w:t>
      </w:r>
      <w:r w:rsidR="0086192D" w:rsidRPr="00282AC9">
        <w:rPr>
          <w:rFonts w:hint="cs"/>
          <w:sz w:val="27"/>
          <w:rtl/>
          <w:lang w:bidi="ar-LB"/>
        </w:rPr>
        <w:t>،</w:t>
      </w:r>
      <w:r w:rsidRPr="00282AC9">
        <w:rPr>
          <w:rFonts w:hint="cs"/>
          <w:sz w:val="27"/>
          <w:rtl/>
          <w:lang w:bidi="ar-LB"/>
        </w:rPr>
        <w:t xml:space="preserve"> ح</w:t>
      </w:r>
      <w:r w:rsidR="0086192D" w:rsidRPr="00282AC9">
        <w:rPr>
          <w:rFonts w:hint="cs"/>
          <w:sz w:val="27"/>
          <w:rtl/>
          <w:lang w:bidi="ar-LB"/>
        </w:rPr>
        <w:t>َ</w:t>
      </w:r>
      <w:r w:rsidRPr="00282AC9">
        <w:rPr>
          <w:rFonts w:hint="cs"/>
          <w:sz w:val="27"/>
          <w:rtl/>
          <w:lang w:bidi="ar-LB"/>
        </w:rPr>
        <w:t>س</w:t>
      </w:r>
      <w:r w:rsidR="0086192D" w:rsidRPr="00282AC9">
        <w:rPr>
          <w:rFonts w:hint="cs"/>
          <w:sz w:val="27"/>
          <w:rtl/>
          <w:lang w:bidi="ar-LB"/>
        </w:rPr>
        <w:t>ْ</w:t>
      </w:r>
      <w:r w:rsidRPr="00282AC9">
        <w:rPr>
          <w:rFonts w:hint="cs"/>
          <w:sz w:val="27"/>
          <w:rtl/>
          <w:lang w:bidi="ar-LB"/>
        </w:rPr>
        <w:t>ب مصطلح المحق</w:t>
      </w:r>
      <w:r w:rsidR="0086192D" w:rsidRPr="00282AC9">
        <w:rPr>
          <w:rFonts w:hint="cs"/>
          <w:sz w:val="27"/>
          <w:rtl/>
          <w:lang w:bidi="ar-LB"/>
        </w:rPr>
        <w:t>ِّ</w:t>
      </w:r>
      <w:r w:rsidRPr="00282AC9">
        <w:rPr>
          <w:rFonts w:hint="cs"/>
          <w:sz w:val="27"/>
          <w:rtl/>
          <w:lang w:bidi="ar-LB"/>
        </w:rPr>
        <w:t xml:space="preserve">ق النائيني </w:t>
      </w:r>
      <w:r w:rsidRPr="00282AC9">
        <w:rPr>
          <w:sz w:val="27"/>
          <w:rtl/>
          <w:lang w:bidi="ar-LB"/>
        </w:rPr>
        <w:t>ـ</w:t>
      </w:r>
      <w:r w:rsidRPr="00282AC9">
        <w:rPr>
          <w:rFonts w:hint="cs"/>
          <w:sz w:val="27"/>
          <w:rtl/>
          <w:lang w:bidi="ar-LB"/>
        </w:rPr>
        <w:t xml:space="preserve"> فهي داخلة</w:t>
      </w:r>
      <w:r w:rsidR="0086192D" w:rsidRPr="00282AC9">
        <w:rPr>
          <w:rFonts w:hint="cs"/>
          <w:sz w:val="27"/>
          <w:rtl/>
          <w:lang w:bidi="ar-LB"/>
        </w:rPr>
        <w:t>ٌ</w:t>
      </w:r>
      <w:r w:rsidRPr="00282AC9">
        <w:rPr>
          <w:rFonts w:hint="cs"/>
          <w:sz w:val="27"/>
          <w:rtl/>
          <w:lang w:bidi="ar-LB"/>
        </w:rPr>
        <w:t xml:space="preserve"> في موضع النزاع ب</w:t>
      </w:r>
      <w:r w:rsidR="0086192D" w:rsidRPr="00282AC9">
        <w:rPr>
          <w:rFonts w:hint="cs"/>
          <w:sz w:val="27"/>
          <w:rtl/>
          <w:lang w:bidi="ar-LB"/>
        </w:rPr>
        <w:t>لا رَيْبٍ</w:t>
      </w:r>
      <w:r w:rsidRPr="00282AC9">
        <w:rPr>
          <w:rFonts w:hint="cs"/>
          <w:sz w:val="27"/>
          <w:rtl/>
          <w:lang w:bidi="ar-LB"/>
        </w:rPr>
        <w:t>؛ حيث يدّعي الشيخ الآخوند</w:t>
      </w:r>
      <w:r w:rsidR="009A2A04" w:rsidRPr="00282AC9">
        <w:rPr>
          <w:rFonts w:cs="Mosawi" w:hint="cs"/>
          <w:sz w:val="22"/>
          <w:szCs w:val="22"/>
          <w:rtl/>
          <w:lang w:bidi="ar-LB"/>
        </w:rPr>
        <w:t>&amp;</w:t>
      </w:r>
      <w:r w:rsidR="0086192D" w:rsidRPr="00282AC9">
        <w:rPr>
          <w:rFonts w:hint="cs"/>
          <w:sz w:val="27"/>
          <w:rtl/>
          <w:lang w:bidi="ar-LB"/>
        </w:rPr>
        <w:t xml:space="preserve"> إ</w:t>
      </w:r>
      <w:r w:rsidRPr="00282AC9">
        <w:rPr>
          <w:rFonts w:hint="cs"/>
          <w:sz w:val="27"/>
          <w:rtl/>
          <w:lang w:bidi="ar-LB"/>
        </w:rPr>
        <w:t>مكان</w:t>
      </w:r>
      <w:r w:rsidR="00822319" w:rsidRPr="00282AC9">
        <w:rPr>
          <w:rFonts w:hint="cs"/>
          <w:sz w:val="27"/>
          <w:rtl/>
          <w:lang w:bidi="ar-LB"/>
        </w:rPr>
        <w:t>َ</w:t>
      </w:r>
      <w:r w:rsidRPr="00282AC9">
        <w:rPr>
          <w:rFonts w:hint="cs"/>
          <w:sz w:val="27"/>
          <w:rtl/>
          <w:lang w:bidi="ar-LB"/>
        </w:rPr>
        <w:t xml:space="preserve"> خلوّ الواقعة منها بقوله: </w:t>
      </w:r>
      <w:r w:rsidRPr="00282AC9">
        <w:rPr>
          <w:rFonts w:hint="eastAsia"/>
          <w:sz w:val="24"/>
          <w:szCs w:val="24"/>
          <w:rtl/>
          <w:lang w:bidi="ar-LB"/>
        </w:rPr>
        <w:t>«</w:t>
      </w:r>
      <w:r w:rsidRPr="00282AC9">
        <w:rPr>
          <w:rFonts w:hint="cs"/>
          <w:sz w:val="27"/>
          <w:rtl/>
          <w:lang w:bidi="ar-LB"/>
        </w:rPr>
        <w:t xml:space="preserve">وعدم خلوّ الواقعة عن الحكم فهو إنّما يكون </w:t>
      </w:r>
      <w:r w:rsidR="0086192D" w:rsidRPr="00282AC9">
        <w:rPr>
          <w:rFonts w:hint="cs"/>
          <w:sz w:val="27"/>
          <w:rtl/>
          <w:lang w:bidi="ar-LB"/>
        </w:rPr>
        <w:t>ب</w:t>
      </w:r>
      <w:r w:rsidRPr="00282AC9">
        <w:rPr>
          <w:rFonts w:hint="cs"/>
          <w:sz w:val="27"/>
          <w:rtl/>
          <w:lang w:bidi="ar-LB"/>
        </w:rPr>
        <w:t>حسب الحكم الواقعي</w:t>
      </w:r>
      <w:r w:rsidR="0086192D" w:rsidRPr="00282AC9">
        <w:rPr>
          <w:rFonts w:hint="cs"/>
          <w:sz w:val="27"/>
          <w:rtl/>
          <w:lang w:bidi="ar-LB"/>
        </w:rPr>
        <w:t>ّ،</w:t>
      </w:r>
      <w:r w:rsidRPr="00282AC9">
        <w:rPr>
          <w:rFonts w:hint="cs"/>
          <w:sz w:val="27"/>
          <w:rtl/>
          <w:lang w:bidi="ar-LB"/>
        </w:rPr>
        <w:t xml:space="preserve"> لا الفعلي</w:t>
      </w:r>
      <w:r w:rsidRPr="00282AC9">
        <w:rPr>
          <w:rFonts w:hint="eastAsia"/>
          <w:sz w:val="24"/>
          <w:szCs w:val="24"/>
          <w:rtl/>
        </w:rPr>
        <w:t>»</w:t>
      </w:r>
      <w:r w:rsidRPr="00282AC9">
        <w:rPr>
          <w:rFonts w:hint="cs"/>
          <w:sz w:val="27"/>
          <w:vertAlign w:val="superscript"/>
          <w:rtl/>
        </w:rPr>
        <w:t>(</w:t>
      </w:r>
      <w:r w:rsidRPr="00282AC9">
        <w:rPr>
          <w:rStyle w:val="af9"/>
          <w:sz w:val="27"/>
          <w:rtl/>
        </w:rPr>
        <w:endnoteReference w:id="6"/>
      </w:r>
      <w:r w:rsidRPr="00282AC9">
        <w:rPr>
          <w:sz w:val="27"/>
          <w:vertAlign w:val="superscript"/>
          <w:rtl/>
        </w:rPr>
        <w:t>)</w:t>
      </w:r>
      <w:r w:rsidRPr="00282AC9">
        <w:rPr>
          <w:rFonts w:hint="cs"/>
          <w:sz w:val="27"/>
          <w:rtl/>
        </w:rPr>
        <w:t>، بل وقوع</w:t>
      </w:r>
      <w:r w:rsidR="00822319" w:rsidRPr="00282AC9">
        <w:rPr>
          <w:rFonts w:hint="cs"/>
          <w:sz w:val="27"/>
          <w:rtl/>
        </w:rPr>
        <w:t>َ</w:t>
      </w:r>
      <w:r w:rsidRPr="00282AC9">
        <w:rPr>
          <w:rFonts w:hint="cs"/>
          <w:sz w:val="27"/>
          <w:rtl/>
        </w:rPr>
        <w:t xml:space="preserve">ه في موارد الجهل وقيام الأمارة على الخلاف بقوله: </w:t>
      </w:r>
      <w:r w:rsidRPr="00282AC9">
        <w:rPr>
          <w:rFonts w:hint="eastAsia"/>
          <w:sz w:val="24"/>
          <w:szCs w:val="24"/>
          <w:rtl/>
          <w:lang w:bidi="ar-LB"/>
        </w:rPr>
        <w:t>«</w:t>
      </w:r>
      <w:r w:rsidRPr="00282AC9">
        <w:rPr>
          <w:rFonts w:hint="cs"/>
          <w:sz w:val="27"/>
          <w:rtl/>
          <w:lang w:bidi="ar-LB"/>
        </w:rPr>
        <w:t>إنّ قضية حج</w:t>
      </w:r>
      <w:r w:rsidR="00822319" w:rsidRPr="00282AC9">
        <w:rPr>
          <w:rFonts w:hint="cs"/>
          <w:sz w:val="27"/>
          <w:rtl/>
          <w:lang w:bidi="ar-LB"/>
        </w:rPr>
        <w:t>ّ</w:t>
      </w:r>
      <w:r w:rsidRPr="00282AC9">
        <w:rPr>
          <w:rFonts w:hint="cs"/>
          <w:sz w:val="27"/>
          <w:rtl/>
          <w:lang w:bidi="ar-LB"/>
        </w:rPr>
        <w:t>يتها</w:t>
      </w:r>
      <w:r w:rsidR="00822319" w:rsidRPr="00282AC9">
        <w:rPr>
          <w:rFonts w:hint="cs"/>
          <w:sz w:val="27"/>
          <w:rtl/>
          <w:lang w:bidi="ar-LB"/>
        </w:rPr>
        <w:t>،</w:t>
      </w:r>
      <w:r w:rsidRPr="00282AC9">
        <w:rPr>
          <w:rFonts w:hint="cs"/>
          <w:sz w:val="27"/>
          <w:rtl/>
          <w:lang w:bidi="ar-LB"/>
        </w:rPr>
        <w:t xml:space="preserve"> أي ال</w:t>
      </w:r>
      <w:r w:rsidR="00822319" w:rsidRPr="00282AC9">
        <w:rPr>
          <w:rFonts w:hint="cs"/>
          <w:sz w:val="27"/>
          <w:rtl/>
          <w:lang w:bidi="ar-LB"/>
        </w:rPr>
        <w:t>أ</w:t>
      </w:r>
      <w:r w:rsidRPr="00282AC9">
        <w:rPr>
          <w:rFonts w:hint="cs"/>
          <w:sz w:val="27"/>
          <w:rtl/>
          <w:lang w:bidi="ar-LB"/>
        </w:rPr>
        <w:t>مارات</w:t>
      </w:r>
      <w:r w:rsidR="00822319" w:rsidRPr="00282AC9">
        <w:rPr>
          <w:rFonts w:hint="cs"/>
          <w:sz w:val="27"/>
          <w:rtl/>
          <w:lang w:bidi="ar-LB"/>
        </w:rPr>
        <w:t>،</w:t>
      </w:r>
      <w:r w:rsidRPr="00282AC9">
        <w:rPr>
          <w:rFonts w:hint="cs"/>
          <w:sz w:val="27"/>
          <w:rtl/>
          <w:lang w:bidi="ar-LB"/>
        </w:rPr>
        <w:t xml:space="preserve"> ليس إلاّ تنجّ</w:t>
      </w:r>
      <w:r w:rsidR="00822319" w:rsidRPr="00282AC9">
        <w:rPr>
          <w:rFonts w:hint="cs"/>
          <w:sz w:val="27"/>
          <w:rtl/>
          <w:lang w:bidi="ar-LB"/>
        </w:rPr>
        <w:t>ُ</w:t>
      </w:r>
      <w:r w:rsidRPr="00282AC9">
        <w:rPr>
          <w:rFonts w:hint="cs"/>
          <w:sz w:val="27"/>
          <w:rtl/>
          <w:lang w:bidi="ar-LB"/>
        </w:rPr>
        <w:t xml:space="preserve">ز مؤدّياتها عند </w:t>
      </w:r>
      <w:r w:rsidR="00822319" w:rsidRPr="00282AC9">
        <w:rPr>
          <w:rFonts w:hint="cs"/>
          <w:sz w:val="27"/>
          <w:rtl/>
          <w:lang w:bidi="ar-LB"/>
        </w:rPr>
        <w:t>إ</w:t>
      </w:r>
      <w:r w:rsidRPr="00282AC9">
        <w:rPr>
          <w:rFonts w:hint="cs"/>
          <w:sz w:val="27"/>
          <w:rtl/>
          <w:lang w:bidi="ar-LB"/>
        </w:rPr>
        <w:t>صابتها</w:t>
      </w:r>
      <w:r w:rsidR="00822319" w:rsidRPr="00282AC9">
        <w:rPr>
          <w:rFonts w:hint="cs"/>
          <w:sz w:val="27"/>
          <w:rtl/>
          <w:lang w:bidi="ar-LB"/>
        </w:rPr>
        <w:t>،</w:t>
      </w:r>
      <w:r w:rsidRPr="00282AC9">
        <w:rPr>
          <w:rFonts w:hint="cs"/>
          <w:sz w:val="27"/>
          <w:rtl/>
          <w:lang w:bidi="ar-LB"/>
        </w:rPr>
        <w:t xml:space="preserve"> والعذر عند خطئها، فلا يكون حكم</w:t>
      </w:r>
      <w:r w:rsidR="00822319" w:rsidRPr="00282AC9">
        <w:rPr>
          <w:rFonts w:hint="cs"/>
          <w:sz w:val="27"/>
          <w:rtl/>
          <w:lang w:bidi="ar-LB"/>
        </w:rPr>
        <w:t xml:space="preserve">ٌ </w:t>
      </w:r>
      <w:r w:rsidRPr="00282AC9">
        <w:rPr>
          <w:rFonts w:hint="cs"/>
          <w:sz w:val="27"/>
          <w:rtl/>
          <w:lang w:bidi="ar-LB"/>
        </w:rPr>
        <w:t>أصلاً إلاّ الحكم الواقعي</w:t>
      </w:r>
      <w:r w:rsidR="00822319" w:rsidRPr="00282AC9">
        <w:rPr>
          <w:rFonts w:hint="cs"/>
          <w:sz w:val="27"/>
          <w:rtl/>
          <w:lang w:bidi="ar-LB"/>
        </w:rPr>
        <w:t>ّ</w:t>
      </w:r>
      <w:r w:rsidRPr="00282AC9">
        <w:rPr>
          <w:rFonts w:hint="cs"/>
          <w:sz w:val="27"/>
          <w:rtl/>
          <w:lang w:bidi="ar-LB"/>
        </w:rPr>
        <w:t>، فيصير منج</w:t>
      </w:r>
      <w:r w:rsidR="00822319" w:rsidRPr="00282AC9">
        <w:rPr>
          <w:rFonts w:hint="cs"/>
          <w:sz w:val="27"/>
          <w:rtl/>
          <w:lang w:bidi="ar-LB"/>
        </w:rPr>
        <w:t>ّ</w:t>
      </w:r>
      <w:r w:rsidRPr="00282AC9">
        <w:rPr>
          <w:rFonts w:hint="cs"/>
          <w:sz w:val="27"/>
          <w:rtl/>
          <w:lang w:bidi="ar-LB"/>
        </w:rPr>
        <w:t>زاً فيما قام عليه حج</w:t>
      </w:r>
      <w:r w:rsidR="00822319" w:rsidRPr="00282AC9">
        <w:rPr>
          <w:rFonts w:hint="cs"/>
          <w:sz w:val="27"/>
          <w:rtl/>
          <w:lang w:bidi="ar-LB"/>
        </w:rPr>
        <w:t>ّ</w:t>
      </w:r>
      <w:r w:rsidRPr="00282AC9">
        <w:rPr>
          <w:rFonts w:hint="cs"/>
          <w:sz w:val="27"/>
          <w:rtl/>
          <w:lang w:bidi="ar-LB"/>
        </w:rPr>
        <w:t>ة</w:t>
      </w:r>
      <w:r w:rsidR="00822319" w:rsidRPr="00282AC9">
        <w:rPr>
          <w:rFonts w:hint="cs"/>
          <w:sz w:val="27"/>
          <w:rtl/>
          <w:lang w:bidi="ar-LB"/>
        </w:rPr>
        <w:t>ٌ</w:t>
      </w:r>
      <w:r w:rsidRPr="00282AC9">
        <w:rPr>
          <w:rFonts w:hint="cs"/>
          <w:sz w:val="27"/>
          <w:rtl/>
          <w:lang w:bidi="ar-LB"/>
        </w:rPr>
        <w:t xml:space="preserve"> من علم</w:t>
      </w:r>
      <w:r w:rsidR="00822319" w:rsidRPr="00282AC9">
        <w:rPr>
          <w:rFonts w:hint="cs"/>
          <w:sz w:val="27"/>
          <w:rtl/>
          <w:lang w:bidi="ar-LB"/>
        </w:rPr>
        <w:t>ٍ</w:t>
      </w:r>
      <w:r w:rsidRPr="00282AC9">
        <w:rPr>
          <w:rFonts w:hint="cs"/>
          <w:sz w:val="27"/>
          <w:rtl/>
          <w:lang w:bidi="ar-LB"/>
        </w:rPr>
        <w:t xml:space="preserve"> أو طريق</w:t>
      </w:r>
      <w:r w:rsidR="00822319" w:rsidRPr="00282AC9">
        <w:rPr>
          <w:rFonts w:hint="cs"/>
          <w:sz w:val="27"/>
          <w:rtl/>
          <w:lang w:bidi="ar-LB"/>
        </w:rPr>
        <w:t>ٍ</w:t>
      </w:r>
      <w:r w:rsidRPr="00282AC9">
        <w:rPr>
          <w:rFonts w:hint="cs"/>
          <w:sz w:val="27"/>
          <w:rtl/>
          <w:lang w:bidi="ar-LB"/>
        </w:rPr>
        <w:t xml:space="preserve"> معتبر، ويكون غير منج</w:t>
      </w:r>
      <w:r w:rsidR="00822319" w:rsidRPr="00282AC9">
        <w:rPr>
          <w:rFonts w:hint="cs"/>
          <w:sz w:val="27"/>
          <w:rtl/>
          <w:lang w:bidi="ar-LB"/>
        </w:rPr>
        <w:t>ّ</w:t>
      </w:r>
      <w:r w:rsidRPr="00282AC9">
        <w:rPr>
          <w:rFonts w:hint="cs"/>
          <w:sz w:val="27"/>
          <w:rtl/>
          <w:lang w:bidi="ar-LB"/>
        </w:rPr>
        <w:t>ز</w:t>
      </w:r>
      <w:r w:rsidR="00822319" w:rsidRPr="00282AC9">
        <w:rPr>
          <w:rFonts w:hint="cs"/>
          <w:sz w:val="27"/>
          <w:rtl/>
          <w:lang w:bidi="ar-LB"/>
        </w:rPr>
        <w:t>ٍ،</w:t>
      </w:r>
      <w:r w:rsidRPr="00282AC9">
        <w:rPr>
          <w:rFonts w:hint="cs"/>
          <w:sz w:val="27"/>
          <w:rtl/>
          <w:lang w:bidi="ar-LB"/>
        </w:rPr>
        <w:t xml:space="preserve"> بل غير فعليّ</w:t>
      </w:r>
      <w:r w:rsidR="00822319" w:rsidRPr="00282AC9">
        <w:rPr>
          <w:rFonts w:hint="cs"/>
          <w:sz w:val="27"/>
          <w:rtl/>
          <w:lang w:bidi="ar-LB"/>
        </w:rPr>
        <w:t>ٍ،</w:t>
      </w:r>
      <w:r w:rsidRPr="00282AC9">
        <w:rPr>
          <w:rFonts w:hint="cs"/>
          <w:sz w:val="27"/>
          <w:rtl/>
          <w:lang w:bidi="ar-LB"/>
        </w:rPr>
        <w:t xml:space="preserve"> فيما لم تكن هناك حج</w:t>
      </w:r>
      <w:r w:rsidR="00822319" w:rsidRPr="00282AC9">
        <w:rPr>
          <w:rFonts w:hint="cs"/>
          <w:sz w:val="27"/>
          <w:rtl/>
          <w:lang w:bidi="ar-LB"/>
        </w:rPr>
        <w:t>ّ</w:t>
      </w:r>
      <w:r w:rsidRPr="00282AC9">
        <w:rPr>
          <w:rFonts w:hint="cs"/>
          <w:sz w:val="27"/>
          <w:rtl/>
          <w:lang w:bidi="ar-LB"/>
        </w:rPr>
        <w:t>ة</w:t>
      </w:r>
      <w:r w:rsidR="00822319" w:rsidRPr="00282AC9">
        <w:rPr>
          <w:rFonts w:hint="cs"/>
          <w:sz w:val="27"/>
          <w:rtl/>
          <w:lang w:bidi="ar-LB"/>
        </w:rPr>
        <w:t>ٌ</w:t>
      </w:r>
      <w:r w:rsidRPr="00282AC9">
        <w:rPr>
          <w:rFonts w:hint="cs"/>
          <w:sz w:val="27"/>
          <w:rtl/>
          <w:lang w:bidi="ar-LB"/>
        </w:rPr>
        <w:t xml:space="preserve"> مصيبة، فتأم</w:t>
      </w:r>
      <w:r w:rsidR="00822319" w:rsidRPr="00282AC9">
        <w:rPr>
          <w:rFonts w:hint="cs"/>
          <w:sz w:val="27"/>
          <w:rtl/>
          <w:lang w:bidi="ar-LB"/>
        </w:rPr>
        <w:t>َّ</w:t>
      </w:r>
      <w:r w:rsidRPr="00282AC9">
        <w:rPr>
          <w:rFonts w:hint="cs"/>
          <w:sz w:val="27"/>
          <w:rtl/>
          <w:lang w:bidi="ar-LB"/>
        </w:rPr>
        <w:t>ل</w:t>
      </w:r>
      <w:r w:rsidR="00822319" w:rsidRPr="00282AC9">
        <w:rPr>
          <w:rFonts w:hint="cs"/>
          <w:sz w:val="27"/>
          <w:rtl/>
          <w:lang w:bidi="ar-LB"/>
        </w:rPr>
        <w:t>ْ</w:t>
      </w:r>
      <w:r w:rsidRPr="00282AC9">
        <w:rPr>
          <w:rFonts w:hint="cs"/>
          <w:sz w:val="27"/>
          <w:rtl/>
          <w:lang w:bidi="ar-LB"/>
        </w:rPr>
        <w:t xml:space="preserve"> جي</w:t>
      </w:r>
      <w:r w:rsidR="00822319" w:rsidRPr="00282AC9">
        <w:rPr>
          <w:rFonts w:hint="cs"/>
          <w:sz w:val="27"/>
          <w:rtl/>
          <w:lang w:bidi="ar-LB"/>
        </w:rPr>
        <w:t>ّ</w:t>
      </w:r>
      <w:r w:rsidRPr="00282AC9">
        <w:rPr>
          <w:rFonts w:hint="cs"/>
          <w:sz w:val="27"/>
          <w:rtl/>
          <w:lang w:bidi="ar-LB"/>
        </w:rPr>
        <w:t>داً</w:t>
      </w:r>
      <w:r w:rsidRPr="00282AC9">
        <w:rPr>
          <w:rFonts w:hint="eastAsia"/>
          <w:sz w:val="24"/>
          <w:szCs w:val="24"/>
          <w:rtl/>
        </w:rPr>
        <w:t>»</w:t>
      </w:r>
      <w:r w:rsidRPr="00282AC9">
        <w:rPr>
          <w:rFonts w:hint="cs"/>
          <w:sz w:val="27"/>
          <w:vertAlign w:val="superscript"/>
          <w:rtl/>
        </w:rPr>
        <w:t>(</w:t>
      </w:r>
      <w:r w:rsidRPr="00282AC9">
        <w:rPr>
          <w:rStyle w:val="af9"/>
          <w:sz w:val="27"/>
          <w:rtl/>
        </w:rPr>
        <w:endnoteReference w:id="7"/>
      </w:r>
      <w:r w:rsidRPr="00282AC9">
        <w:rPr>
          <w:sz w:val="27"/>
          <w:vertAlign w:val="superscript"/>
          <w:rtl/>
        </w:rPr>
        <w:t>)</w:t>
      </w:r>
      <w:r w:rsidRPr="00282AC9">
        <w:rPr>
          <w:rFonts w:hint="cs"/>
          <w:sz w:val="27"/>
          <w:rtl/>
        </w:rPr>
        <w:t>. بينما ينكره آخرون</w:t>
      </w:r>
      <w:r w:rsidR="005E7BF9" w:rsidRPr="00282AC9">
        <w:rPr>
          <w:rFonts w:hint="cs"/>
          <w:sz w:val="27"/>
          <w:rtl/>
        </w:rPr>
        <w:t>؛</w:t>
      </w:r>
      <w:r w:rsidRPr="00282AC9">
        <w:rPr>
          <w:rFonts w:hint="cs"/>
          <w:sz w:val="27"/>
          <w:rtl/>
        </w:rPr>
        <w:t xml:space="preserve"> إمّا لكونه على خلاف ظواهر الأخبار المتواترة ومعاقد الإجماعات من اشتراك الأحكام بين العالمين والجاهلين فح</w:t>
      </w:r>
      <w:r w:rsidR="005E7BF9" w:rsidRPr="00282AC9">
        <w:rPr>
          <w:rFonts w:hint="cs"/>
          <w:sz w:val="27"/>
          <w:rtl/>
        </w:rPr>
        <w:t>َ</w:t>
      </w:r>
      <w:r w:rsidRPr="00282AC9">
        <w:rPr>
          <w:rFonts w:hint="cs"/>
          <w:sz w:val="27"/>
          <w:rtl/>
        </w:rPr>
        <w:t>س</w:t>
      </w:r>
      <w:r w:rsidR="005E7BF9" w:rsidRPr="00282AC9">
        <w:rPr>
          <w:rFonts w:hint="cs"/>
          <w:sz w:val="27"/>
          <w:rtl/>
        </w:rPr>
        <w:t>ْ</w:t>
      </w:r>
      <w:r w:rsidRPr="00282AC9">
        <w:rPr>
          <w:rFonts w:hint="cs"/>
          <w:sz w:val="27"/>
          <w:rtl/>
        </w:rPr>
        <w:t xml:space="preserve">ب، أو مضافاً </w:t>
      </w:r>
      <w:r w:rsidR="005E7BF9" w:rsidRPr="00282AC9">
        <w:rPr>
          <w:rFonts w:hint="cs"/>
          <w:sz w:val="27"/>
          <w:rtl/>
        </w:rPr>
        <w:t>إ</w:t>
      </w:r>
      <w:r w:rsidRPr="00282AC9">
        <w:rPr>
          <w:rFonts w:hint="cs"/>
          <w:sz w:val="27"/>
          <w:rtl/>
        </w:rPr>
        <w:t xml:space="preserve">لى استلزامه أخذ العلم بالحكم في موضوعه، وهو </w:t>
      </w:r>
      <w:r w:rsidR="00EE6DBA" w:rsidRPr="00282AC9">
        <w:rPr>
          <w:rFonts w:hint="cs"/>
          <w:sz w:val="27"/>
          <w:rtl/>
        </w:rPr>
        <w:t>دَوْر</w:t>
      </w:r>
      <w:r w:rsidR="005E7BF9" w:rsidRPr="00282AC9">
        <w:rPr>
          <w:rFonts w:hint="cs"/>
          <w:sz w:val="27"/>
          <w:rtl/>
        </w:rPr>
        <w:t>ٌ</w:t>
      </w:r>
      <w:r w:rsidRPr="00282AC9">
        <w:rPr>
          <w:rFonts w:hint="cs"/>
          <w:sz w:val="27"/>
          <w:rtl/>
        </w:rPr>
        <w:t xml:space="preserve"> أو ل</w:t>
      </w:r>
      <w:r w:rsidR="005E7BF9" w:rsidRPr="00282AC9">
        <w:rPr>
          <w:rFonts w:hint="cs"/>
          <w:sz w:val="27"/>
          <w:rtl/>
        </w:rPr>
        <w:t>َ</w:t>
      </w:r>
      <w:r w:rsidRPr="00282AC9">
        <w:rPr>
          <w:rFonts w:hint="cs"/>
          <w:sz w:val="27"/>
          <w:rtl/>
        </w:rPr>
        <w:t>غ</w:t>
      </w:r>
      <w:r w:rsidR="005E7BF9" w:rsidRPr="00282AC9">
        <w:rPr>
          <w:rFonts w:hint="cs"/>
          <w:sz w:val="27"/>
          <w:rtl/>
        </w:rPr>
        <w:t>ْ</w:t>
      </w:r>
      <w:r w:rsidRPr="00282AC9">
        <w:rPr>
          <w:rFonts w:hint="cs"/>
          <w:sz w:val="27"/>
          <w:rtl/>
        </w:rPr>
        <w:t>و</w:t>
      </w:r>
      <w:r w:rsidR="005E7BF9" w:rsidRPr="00282AC9">
        <w:rPr>
          <w:rFonts w:hint="cs"/>
          <w:sz w:val="27"/>
          <w:rtl/>
        </w:rPr>
        <w:t>ٌ</w:t>
      </w:r>
      <w:r w:rsidRPr="00282AC9">
        <w:rPr>
          <w:rFonts w:hint="cs"/>
          <w:sz w:val="27"/>
          <w:rtl/>
        </w:rPr>
        <w:t>.</w:t>
      </w:r>
    </w:p>
    <w:p w:rsidR="00A9019A" w:rsidRPr="00282AC9" w:rsidRDefault="00A9019A" w:rsidP="00B16272">
      <w:pPr>
        <w:tabs>
          <w:tab w:val="right" w:pos="6930"/>
        </w:tabs>
        <w:suppressAutoHyphens/>
        <w:rPr>
          <w:sz w:val="27"/>
          <w:rtl/>
          <w:lang w:bidi="ar-LB"/>
        </w:rPr>
      </w:pPr>
      <w:r w:rsidRPr="00282AC9">
        <w:rPr>
          <w:rFonts w:hint="cs"/>
          <w:sz w:val="27"/>
          <w:rtl/>
          <w:lang w:bidi="ar-LB"/>
        </w:rPr>
        <w:t>وقد عث</w:t>
      </w:r>
      <w:r w:rsidR="005E7BF9" w:rsidRPr="00282AC9">
        <w:rPr>
          <w:rFonts w:hint="cs"/>
          <w:sz w:val="27"/>
          <w:rtl/>
          <w:lang w:bidi="ar-LB"/>
        </w:rPr>
        <w:t>َ</w:t>
      </w:r>
      <w:r w:rsidRPr="00282AC9">
        <w:rPr>
          <w:rFonts w:hint="cs"/>
          <w:sz w:val="27"/>
          <w:rtl/>
          <w:lang w:bidi="ar-LB"/>
        </w:rPr>
        <w:t>ر</w:t>
      </w:r>
      <w:r w:rsidR="005E7BF9" w:rsidRPr="00282AC9">
        <w:rPr>
          <w:rFonts w:hint="cs"/>
          <w:sz w:val="27"/>
          <w:rtl/>
          <w:lang w:bidi="ar-LB"/>
        </w:rPr>
        <w:t>ْ</w:t>
      </w:r>
      <w:r w:rsidRPr="00282AC9">
        <w:rPr>
          <w:rFonts w:hint="cs"/>
          <w:sz w:val="27"/>
          <w:rtl/>
          <w:lang w:bidi="ar-LB"/>
        </w:rPr>
        <w:t>نا بعد ذلك على كلام</w:t>
      </w:r>
      <w:r w:rsidR="005E7BF9" w:rsidRPr="00282AC9">
        <w:rPr>
          <w:rFonts w:hint="cs"/>
          <w:sz w:val="27"/>
          <w:rtl/>
          <w:lang w:bidi="ar-LB"/>
        </w:rPr>
        <w:t>ٍ</w:t>
      </w:r>
      <w:r w:rsidRPr="00282AC9">
        <w:rPr>
          <w:rFonts w:hint="cs"/>
          <w:sz w:val="27"/>
          <w:rtl/>
          <w:lang w:bidi="ar-LB"/>
        </w:rPr>
        <w:t xml:space="preserve"> ي</w:t>
      </w:r>
      <w:r w:rsidR="005E7BF9" w:rsidRPr="00282AC9">
        <w:rPr>
          <w:rFonts w:hint="cs"/>
          <w:sz w:val="27"/>
          <w:rtl/>
          <w:lang w:bidi="ar-LB"/>
        </w:rPr>
        <w:t>ُ</w:t>
      </w:r>
      <w:r w:rsidRPr="00282AC9">
        <w:rPr>
          <w:rFonts w:hint="cs"/>
          <w:sz w:val="27"/>
          <w:rtl/>
          <w:lang w:bidi="ar-LB"/>
        </w:rPr>
        <w:t>حك</w:t>
      </w:r>
      <w:r w:rsidR="005E7BF9" w:rsidRPr="00282AC9">
        <w:rPr>
          <w:rFonts w:hint="cs"/>
          <w:sz w:val="27"/>
          <w:rtl/>
          <w:lang w:bidi="ar-LB"/>
        </w:rPr>
        <w:t>ى</w:t>
      </w:r>
      <w:r w:rsidRPr="00282AC9">
        <w:rPr>
          <w:rFonts w:hint="cs"/>
          <w:sz w:val="27"/>
          <w:rtl/>
          <w:lang w:bidi="ar-LB"/>
        </w:rPr>
        <w:t xml:space="preserve"> عن القائد الراحل</w:t>
      </w:r>
      <w:r w:rsidR="009A2A04" w:rsidRPr="00282AC9">
        <w:rPr>
          <w:rFonts w:cs="Mosawi" w:hint="cs"/>
          <w:sz w:val="22"/>
          <w:szCs w:val="22"/>
          <w:rtl/>
          <w:lang w:bidi="ar-LB"/>
        </w:rPr>
        <w:t>&amp;</w:t>
      </w:r>
      <w:r w:rsidRPr="00282AC9">
        <w:rPr>
          <w:rFonts w:hint="cs"/>
          <w:sz w:val="27"/>
          <w:rtl/>
          <w:lang w:bidi="ar-LB"/>
        </w:rPr>
        <w:t xml:space="preserve"> بهذا الصدد في بعض تقارير بحثه؛ ففي (تنقيح الأصول): </w:t>
      </w:r>
      <w:r w:rsidRPr="00282AC9">
        <w:rPr>
          <w:rFonts w:hint="eastAsia"/>
          <w:sz w:val="24"/>
          <w:szCs w:val="24"/>
          <w:rtl/>
          <w:lang w:bidi="ar-LB"/>
        </w:rPr>
        <w:t>«</w:t>
      </w:r>
      <w:r w:rsidRPr="00282AC9">
        <w:rPr>
          <w:rFonts w:hint="cs"/>
          <w:sz w:val="27"/>
          <w:rtl/>
          <w:lang w:bidi="ar-LB"/>
        </w:rPr>
        <w:t xml:space="preserve">وأمّا </w:t>
      </w:r>
      <w:r w:rsidRPr="00282AC9">
        <w:rPr>
          <w:sz w:val="27"/>
          <w:rtl/>
          <w:lang w:bidi="ar-LB"/>
        </w:rPr>
        <w:t>ـ</w:t>
      </w:r>
      <w:r w:rsidRPr="00282AC9">
        <w:rPr>
          <w:rFonts w:hint="cs"/>
          <w:sz w:val="27"/>
          <w:rtl/>
          <w:lang w:bidi="ar-LB"/>
        </w:rPr>
        <w:t xml:space="preserve"> ثانياً </w:t>
      </w:r>
      <w:r w:rsidRPr="00282AC9">
        <w:rPr>
          <w:sz w:val="27"/>
          <w:rtl/>
          <w:lang w:bidi="ar-LB"/>
        </w:rPr>
        <w:t>ـ</w:t>
      </w:r>
      <w:r w:rsidRPr="00282AC9">
        <w:rPr>
          <w:rFonts w:hint="cs"/>
          <w:sz w:val="27"/>
          <w:rtl/>
          <w:lang w:bidi="ar-LB"/>
        </w:rPr>
        <w:t xml:space="preserve"> فل</w:t>
      </w:r>
      <w:r w:rsidR="005E7BF9" w:rsidRPr="00282AC9">
        <w:rPr>
          <w:rFonts w:hint="cs"/>
          <w:sz w:val="27"/>
          <w:rtl/>
          <w:lang w:bidi="ar-LB"/>
        </w:rPr>
        <w:t>أ</w:t>
      </w:r>
      <w:r w:rsidRPr="00282AC9">
        <w:rPr>
          <w:rFonts w:hint="cs"/>
          <w:sz w:val="27"/>
          <w:rtl/>
          <w:lang w:bidi="ar-LB"/>
        </w:rPr>
        <w:t>ن</w:t>
      </w:r>
      <w:r w:rsidR="005E7BF9" w:rsidRPr="00282AC9">
        <w:rPr>
          <w:rFonts w:hint="cs"/>
          <w:sz w:val="27"/>
          <w:rtl/>
          <w:lang w:bidi="ar-LB"/>
        </w:rPr>
        <w:t>ّا</w:t>
      </w:r>
      <w:r w:rsidRPr="00282AC9">
        <w:rPr>
          <w:rFonts w:hint="cs"/>
          <w:sz w:val="27"/>
          <w:rtl/>
          <w:lang w:bidi="ar-LB"/>
        </w:rPr>
        <w:t xml:space="preserve"> لا نسلّ</w:t>
      </w:r>
      <w:r w:rsidR="005E7BF9" w:rsidRPr="00282AC9">
        <w:rPr>
          <w:rFonts w:hint="cs"/>
          <w:sz w:val="27"/>
          <w:rtl/>
          <w:lang w:bidi="ar-LB"/>
        </w:rPr>
        <w:t>ِ</w:t>
      </w:r>
      <w:r w:rsidRPr="00282AC9">
        <w:rPr>
          <w:rFonts w:hint="cs"/>
          <w:sz w:val="27"/>
          <w:rtl/>
          <w:lang w:bidi="ar-LB"/>
        </w:rPr>
        <w:t>م امتناع خلوّ الواقعة عن حكم</w:t>
      </w:r>
      <w:r w:rsidR="005E7BF9" w:rsidRPr="00282AC9">
        <w:rPr>
          <w:rFonts w:hint="cs"/>
          <w:sz w:val="27"/>
          <w:rtl/>
          <w:lang w:bidi="ar-LB"/>
        </w:rPr>
        <w:t>ٍ</w:t>
      </w:r>
      <w:r w:rsidRPr="00282AC9">
        <w:rPr>
          <w:rFonts w:hint="cs"/>
          <w:sz w:val="27"/>
          <w:rtl/>
          <w:lang w:bidi="ar-LB"/>
        </w:rPr>
        <w:t>، فإنّ الممتنع خلوّها عن الحكم واقعاً، لا الحكم الفعلي</w:t>
      </w:r>
      <w:r w:rsidR="005E7BF9" w:rsidRPr="00282AC9">
        <w:rPr>
          <w:rFonts w:hint="cs"/>
          <w:sz w:val="27"/>
          <w:rtl/>
          <w:lang w:bidi="ar-LB"/>
        </w:rPr>
        <w:t>ّ</w:t>
      </w:r>
      <w:r w:rsidRPr="00282AC9">
        <w:rPr>
          <w:rFonts w:hint="cs"/>
          <w:sz w:val="27"/>
          <w:rtl/>
          <w:lang w:bidi="ar-LB"/>
        </w:rPr>
        <w:t>، فإنّه لا يمتنع خلو</w:t>
      </w:r>
      <w:r w:rsidR="005E7BF9" w:rsidRPr="00282AC9">
        <w:rPr>
          <w:rFonts w:hint="cs"/>
          <w:sz w:val="27"/>
          <w:rtl/>
          <w:lang w:bidi="ar-LB"/>
        </w:rPr>
        <w:t>ّ</w:t>
      </w:r>
      <w:r w:rsidRPr="00282AC9">
        <w:rPr>
          <w:rFonts w:hint="cs"/>
          <w:sz w:val="27"/>
          <w:rtl/>
          <w:lang w:bidi="ar-LB"/>
        </w:rPr>
        <w:t>ها عن الحكم الفعلي</w:t>
      </w:r>
      <w:r w:rsidRPr="00282AC9">
        <w:rPr>
          <w:rFonts w:hint="eastAsia"/>
          <w:sz w:val="24"/>
          <w:szCs w:val="24"/>
          <w:rtl/>
        </w:rPr>
        <w:t>»</w:t>
      </w:r>
      <w:r w:rsidRPr="00282AC9">
        <w:rPr>
          <w:rFonts w:hint="cs"/>
          <w:sz w:val="27"/>
          <w:vertAlign w:val="superscript"/>
          <w:rtl/>
        </w:rPr>
        <w:t>(</w:t>
      </w:r>
      <w:r w:rsidRPr="00282AC9">
        <w:rPr>
          <w:rStyle w:val="af9"/>
          <w:sz w:val="27"/>
          <w:rtl/>
        </w:rPr>
        <w:endnoteReference w:id="8"/>
      </w:r>
      <w:r w:rsidRPr="00282AC9">
        <w:rPr>
          <w:sz w:val="27"/>
          <w:vertAlign w:val="superscript"/>
          <w:rtl/>
        </w:rPr>
        <w:t>)</w:t>
      </w:r>
      <w:r w:rsidR="009776B0" w:rsidRPr="00282AC9">
        <w:rPr>
          <w:rFonts w:hint="cs"/>
          <w:sz w:val="27"/>
          <w:rtl/>
        </w:rPr>
        <w:t xml:space="preserve">؛ </w:t>
      </w:r>
      <w:r w:rsidRPr="00282AC9">
        <w:rPr>
          <w:rFonts w:hint="cs"/>
          <w:sz w:val="27"/>
          <w:rtl/>
        </w:rPr>
        <w:t xml:space="preserve">وكذا في (معتمد الأصول) حيث قال: </w:t>
      </w:r>
      <w:r w:rsidRPr="00282AC9">
        <w:rPr>
          <w:rFonts w:hint="eastAsia"/>
          <w:sz w:val="24"/>
          <w:szCs w:val="24"/>
          <w:rtl/>
          <w:lang w:bidi="ar-LB"/>
        </w:rPr>
        <w:t>«</w:t>
      </w:r>
      <w:r w:rsidRPr="00282AC9">
        <w:rPr>
          <w:rFonts w:hint="cs"/>
          <w:sz w:val="27"/>
          <w:rtl/>
          <w:lang w:bidi="ar-LB"/>
        </w:rPr>
        <w:t>فإنّ هذا لو سلّ</w:t>
      </w:r>
      <w:r w:rsidR="005E7BF9" w:rsidRPr="00282AC9">
        <w:rPr>
          <w:rFonts w:hint="cs"/>
          <w:sz w:val="27"/>
          <w:rtl/>
          <w:lang w:bidi="ar-LB"/>
        </w:rPr>
        <w:t>ِ</w:t>
      </w:r>
      <w:r w:rsidRPr="00282AC9">
        <w:rPr>
          <w:rFonts w:hint="cs"/>
          <w:sz w:val="27"/>
          <w:rtl/>
          <w:lang w:bidi="ar-LB"/>
        </w:rPr>
        <w:t>م فإنّما هو بح</w:t>
      </w:r>
      <w:r w:rsidR="005E7BF9" w:rsidRPr="00282AC9">
        <w:rPr>
          <w:rFonts w:hint="cs"/>
          <w:sz w:val="27"/>
          <w:rtl/>
          <w:lang w:bidi="ar-LB"/>
        </w:rPr>
        <w:t>َ</w:t>
      </w:r>
      <w:r w:rsidRPr="00282AC9">
        <w:rPr>
          <w:rFonts w:hint="cs"/>
          <w:sz w:val="27"/>
          <w:rtl/>
          <w:lang w:bidi="ar-LB"/>
        </w:rPr>
        <w:t>س</w:t>
      </w:r>
      <w:r w:rsidR="005E7BF9" w:rsidRPr="00282AC9">
        <w:rPr>
          <w:rFonts w:hint="cs"/>
          <w:sz w:val="27"/>
          <w:rtl/>
          <w:lang w:bidi="ar-LB"/>
        </w:rPr>
        <w:t>َ</w:t>
      </w:r>
      <w:r w:rsidRPr="00282AC9">
        <w:rPr>
          <w:rFonts w:hint="cs"/>
          <w:sz w:val="27"/>
          <w:rtl/>
          <w:lang w:bidi="ar-LB"/>
        </w:rPr>
        <w:t>ب الحكم الواقعي</w:t>
      </w:r>
      <w:r w:rsidR="005E7BF9" w:rsidRPr="00282AC9">
        <w:rPr>
          <w:rFonts w:hint="cs"/>
          <w:sz w:val="27"/>
          <w:rtl/>
          <w:lang w:bidi="ar-LB"/>
        </w:rPr>
        <w:t>ّ،</w:t>
      </w:r>
      <w:r w:rsidRPr="00282AC9">
        <w:rPr>
          <w:rFonts w:hint="cs"/>
          <w:sz w:val="27"/>
          <w:rtl/>
          <w:lang w:bidi="ar-LB"/>
        </w:rPr>
        <w:t xml:space="preserve"> لا الفعلي</w:t>
      </w:r>
      <w:r w:rsidRPr="00282AC9">
        <w:rPr>
          <w:rFonts w:hint="eastAsia"/>
          <w:sz w:val="24"/>
          <w:szCs w:val="24"/>
          <w:rtl/>
        </w:rPr>
        <w:t>»</w:t>
      </w:r>
      <w:r w:rsidRPr="00282AC9">
        <w:rPr>
          <w:rFonts w:hint="cs"/>
          <w:sz w:val="27"/>
          <w:vertAlign w:val="superscript"/>
          <w:rtl/>
        </w:rPr>
        <w:t>(</w:t>
      </w:r>
      <w:r w:rsidRPr="00282AC9">
        <w:rPr>
          <w:rStyle w:val="af9"/>
          <w:sz w:val="27"/>
          <w:rtl/>
        </w:rPr>
        <w:endnoteReference w:id="9"/>
      </w:r>
      <w:r w:rsidRPr="00282AC9">
        <w:rPr>
          <w:sz w:val="27"/>
          <w:vertAlign w:val="superscript"/>
          <w:rtl/>
        </w:rPr>
        <w:t>)</w:t>
      </w:r>
      <w:r w:rsidRPr="00282AC9">
        <w:rPr>
          <w:rFonts w:hint="cs"/>
          <w:sz w:val="27"/>
          <w:rtl/>
        </w:rPr>
        <w:t>.</w:t>
      </w:r>
    </w:p>
    <w:p w:rsidR="00A9019A" w:rsidRPr="00282AC9" w:rsidRDefault="00A9019A" w:rsidP="00B16272">
      <w:pPr>
        <w:tabs>
          <w:tab w:val="right" w:pos="6930"/>
        </w:tabs>
        <w:suppressAutoHyphens/>
        <w:rPr>
          <w:sz w:val="27"/>
          <w:rtl/>
          <w:lang w:bidi="ar-LB"/>
        </w:rPr>
      </w:pPr>
      <w:r w:rsidRPr="00282AC9">
        <w:rPr>
          <w:rFonts w:hint="cs"/>
          <w:sz w:val="27"/>
          <w:rtl/>
          <w:lang w:bidi="ar-LB"/>
        </w:rPr>
        <w:t>ولا يوجد عن ذلك شيء</w:t>
      </w:r>
      <w:r w:rsidR="009776B0" w:rsidRPr="00282AC9">
        <w:rPr>
          <w:rFonts w:hint="cs"/>
          <w:sz w:val="27"/>
          <w:rtl/>
          <w:lang w:bidi="ar-LB"/>
        </w:rPr>
        <w:t>ٌ</w:t>
      </w:r>
      <w:r w:rsidRPr="00282AC9">
        <w:rPr>
          <w:rFonts w:hint="cs"/>
          <w:sz w:val="27"/>
          <w:rtl/>
          <w:lang w:bidi="ar-LB"/>
        </w:rPr>
        <w:t xml:space="preserve"> في هذا الموضع من (مناهج الوصول)</w:t>
      </w:r>
      <w:r w:rsidR="009776B0" w:rsidRPr="00282AC9">
        <w:rPr>
          <w:rFonts w:hint="cs"/>
          <w:sz w:val="27"/>
          <w:rtl/>
          <w:lang w:bidi="ar-LB"/>
        </w:rPr>
        <w:t>،</w:t>
      </w:r>
      <w:r w:rsidRPr="00282AC9">
        <w:rPr>
          <w:rFonts w:hint="cs"/>
          <w:sz w:val="27"/>
          <w:rtl/>
          <w:lang w:bidi="ar-LB"/>
        </w:rPr>
        <w:t xml:space="preserve"> الذي كتبه هو بنفسه</w:t>
      </w:r>
      <w:r w:rsidR="009A2A04" w:rsidRPr="00282AC9">
        <w:rPr>
          <w:rFonts w:cs="Mosawi" w:hint="cs"/>
          <w:sz w:val="22"/>
          <w:szCs w:val="22"/>
          <w:rtl/>
          <w:lang w:bidi="ar-LB"/>
        </w:rPr>
        <w:t>&amp;</w:t>
      </w:r>
      <w:r w:rsidRPr="00282AC9">
        <w:rPr>
          <w:rFonts w:hint="cs"/>
          <w:sz w:val="27"/>
          <w:rtl/>
          <w:lang w:bidi="ar-LB"/>
        </w:rPr>
        <w:t>، كما لا يوجد عنه شيء</w:t>
      </w:r>
      <w:r w:rsidR="009776B0" w:rsidRPr="00282AC9">
        <w:rPr>
          <w:rFonts w:hint="cs"/>
          <w:sz w:val="27"/>
          <w:rtl/>
          <w:lang w:bidi="ar-LB"/>
        </w:rPr>
        <w:t>ٌ</w:t>
      </w:r>
      <w:r w:rsidRPr="00282AC9">
        <w:rPr>
          <w:rFonts w:hint="cs"/>
          <w:sz w:val="27"/>
          <w:rtl/>
          <w:lang w:bidi="ar-LB"/>
        </w:rPr>
        <w:t xml:space="preserve"> في سا</w:t>
      </w:r>
      <w:r w:rsidR="009776B0" w:rsidRPr="00282AC9">
        <w:rPr>
          <w:rFonts w:hint="cs"/>
          <w:sz w:val="27"/>
          <w:rtl/>
          <w:lang w:bidi="ar-LB"/>
        </w:rPr>
        <w:t>ئ</w:t>
      </w:r>
      <w:r w:rsidRPr="00282AC9">
        <w:rPr>
          <w:rFonts w:hint="cs"/>
          <w:sz w:val="27"/>
          <w:rtl/>
          <w:lang w:bidi="ar-LB"/>
        </w:rPr>
        <w:t>ر التقارير.</w:t>
      </w:r>
    </w:p>
    <w:p w:rsidR="00A9019A" w:rsidRPr="00282AC9" w:rsidRDefault="00A9019A" w:rsidP="00B16272">
      <w:pPr>
        <w:tabs>
          <w:tab w:val="right" w:pos="6930"/>
        </w:tabs>
        <w:suppressAutoHyphens/>
        <w:rPr>
          <w:sz w:val="27"/>
          <w:rtl/>
          <w:lang w:bidi="ar-LB"/>
        </w:rPr>
      </w:pPr>
      <w:r w:rsidRPr="00282AC9">
        <w:rPr>
          <w:rFonts w:hint="cs"/>
          <w:sz w:val="27"/>
          <w:rtl/>
          <w:lang w:bidi="ar-LB"/>
        </w:rPr>
        <w:t>وبهذا يتعيّ</w:t>
      </w:r>
      <w:r w:rsidR="009776B0" w:rsidRPr="00282AC9">
        <w:rPr>
          <w:rFonts w:hint="cs"/>
          <w:sz w:val="27"/>
          <w:rtl/>
          <w:lang w:bidi="ar-LB"/>
        </w:rPr>
        <w:t>َ</w:t>
      </w:r>
      <w:r w:rsidRPr="00282AC9">
        <w:rPr>
          <w:rFonts w:hint="cs"/>
          <w:sz w:val="27"/>
          <w:rtl/>
          <w:lang w:bidi="ar-LB"/>
        </w:rPr>
        <w:t>ن أن يكون النزاع في إحدى المرتبتين الأولي</w:t>
      </w:r>
      <w:r w:rsidR="009776B0" w:rsidRPr="00282AC9">
        <w:rPr>
          <w:rFonts w:hint="cs"/>
          <w:sz w:val="27"/>
          <w:rtl/>
          <w:lang w:bidi="ar-LB"/>
        </w:rPr>
        <w:t>ّ</w:t>
      </w:r>
      <w:r w:rsidRPr="00282AC9">
        <w:rPr>
          <w:rFonts w:hint="cs"/>
          <w:sz w:val="27"/>
          <w:rtl/>
          <w:lang w:bidi="ar-LB"/>
        </w:rPr>
        <w:t>ين: مرتبة الإرادة والكراهة</w:t>
      </w:r>
      <w:r w:rsidR="009776B0" w:rsidRPr="00282AC9">
        <w:rPr>
          <w:rFonts w:hint="cs"/>
          <w:sz w:val="27"/>
          <w:rtl/>
          <w:lang w:bidi="ar-LB"/>
        </w:rPr>
        <w:t>؛</w:t>
      </w:r>
      <w:r w:rsidRPr="00282AC9">
        <w:rPr>
          <w:rFonts w:hint="cs"/>
          <w:sz w:val="27"/>
          <w:rtl/>
          <w:lang w:bidi="ar-LB"/>
        </w:rPr>
        <w:t xml:space="preserve"> ومرتبة الإنشاء بداعي جعل الداعي المنت</w:t>
      </w:r>
      <w:r w:rsidR="009776B0" w:rsidRPr="00282AC9">
        <w:rPr>
          <w:rFonts w:hint="cs"/>
          <w:sz w:val="27"/>
          <w:rtl/>
          <w:lang w:bidi="ar-LB"/>
        </w:rPr>
        <w:t>َ</w:t>
      </w:r>
      <w:r w:rsidRPr="00282AC9">
        <w:rPr>
          <w:rFonts w:hint="cs"/>
          <w:sz w:val="27"/>
          <w:rtl/>
          <w:lang w:bidi="ar-LB"/>
        </w:rPr>
        <w:t>ز</w:t>
      </w:r>
      <w:r w:rsidR="009776B0" w:rsidRPr="00282AC9">
        <w:rPr>
          <w:rFonts w:hint="cs"/>
          <w:sz w:val="27"/>
          <w:rtl/>
          <w:lang w:bidi="ar-LB"/>
        </w:rPr>
        <w:t>َع عنه البعث والزجر، وينص</w:t>
      </w:r>
      <w:r w:rsidRPr="00282AC9">
        <w:rPr>
          <w:rFonts w:hint="cs"/>
          <w:sz w:val="27"/>
          <w:rtl/>
          <w:lang w:bidi="ar-LB"/>
        </w:rPr>
        <w:t>ب</w:t>
      </w:r>
      <w:r w:rsidR="009776B0" w:rsidRPr="00282AC9">
        <w:rPr>
          <w:rFonts w:hint="cs"/>
          <w:sz w:val="27"/>
          <w:rtl/>
          <w:lang w:bidi="ar-LB"/>
        </w:rPr>
        <w:t>ّ</w:t>
      </w:r>
      <w:r w:rsidRPr="00282AC9">
        <w:rPr>
          <w:rFonts w:hint="cs"/>
          <w:sz w:val="27"/>
          <w:rtl/>
          <w:lang w:bidi="ar-LB"/>
        </w:rPr>
        <w:t xml:space="preserve"> البحث عندئذٍ على أنّ الواقعة هل تخلو عن الإرادة والكراهة أم لا؟ وعلى الثاني</w:t>
      </w:r>
      <w:r w:rsidRPr="00282AC9">
        <w:rPr>
          <w:sz w:val="27"/>
          <w:vertAlign w:val="superscript"/>
          <w:rtl/>
          <w:lang w:bidi="ar-LB"/>
        </w:rPr>
        <w:t>(</w:t>
      </w:r>
      <w:r w:rsidRPr="00282AC9">
        <w:rPr>
          <w:rStyle w:val="af9"/>
          <w:sz w:val="27"/>
          <w:rtl/>
          <w:lang w:bidi="ar-LB"/>
        </w:rPr>
        <w:endnoteReference w:id="10"/>
      </w:r>
      <w:r w:rsidRPr="00282AC9">
        <w:rPr>
          <w:sz w:val="27"/>
          <w:vertAlign w:val="superscript"/>
          <w:rtl/>
          <w:lang w:bidi="ar-LB"/>
        </w:rPr>
        <w:t>)</w:t>
      </w:r>
      <w:r w:rsidR="009776B0" w:rsidRPr="00282AC9">
        <w:rPr>
          <w:rFonts w:hint="cs"/>
          <w:sz w:val="27"/>
          <w:rtl/>
          <w:lang w:bidi="ar-LB"/>
        </w:rPr>
        <w:t>:</w:t>
      </w:r>
      <w:r w:rsidRPr="00282AC9">
        <w:rPr>
          <w:rFonts w:hint="cs"/>
          <w:sz w:val="27"/>
          <w:rtl/>
          <w:lang w:bidi="ar-LB"/>
        </w:rPr>
        <w:t xml:space="preserve"> هل تخلو عن الإنشاء أم لا؟</w:t>
      </w:r>
    </w:p>
    <w:p w:rsidR="00A9019A" w:rsidRPr="00282AC9" w:rsidRDefault="00A9019A" w:rsidP="00CC0484">
      <w:pPr>
        <w:tabs>
          <w:tab w:val="right" w:pos="6930"/>
        </w:tabs>
        <w:suppressAutoHyphens/>
        <w:spacing w:line="420" w:lineRule="exact"/>
        <w:rPr>
          <w:sz w:val="27"/>
          <w:rtl/>
          <w:lang w:bidi="ar-LB"/>
        </w:rPr>
      </w:pPr>
    </w:p>
    <w:p w:rsidR="00A9019A" w:rsidRPr="00282AC9" w:rsidRDefault="00A9019A" w:rsidP="00FF7EFE">
      <w:pPr>
        <w:pStyle w:val="31"/>
        <w:rPr>
          <w:color w:val="auto"/>
          <w:rtl/>
          <w:lang w:bidi="ar-LB"/>
        </w:rPr>
      </w:pPr>
      <w:r w:rsidRPr="00282AC9">
        <w:rPr>
          <w:rFonts w:hint="cs"/>
          <w:color w:val="auto"/>
          <w:rtl/>
          <w:lang w:bidi="ar-LB"/>
        </w:rPr>
        <w:t>الأمر الثاني</w:t>
      </w:r>
      <w:r w:rsidR="00F30EFE" w:rsidRPr="00282AC9">
        <w:rPr>
          <w:rFonts w:hint="cs"/>
          <w:color w:val="auto"/>
          <w:rtl/>
          <w:lang w:bidi="ar-LB"/>
        </w:rPr>
        <w:t xml:space="preserve">: </w:t>
      </w:r>
      <w:r w:rsidRPr="00282AC9">
        <w:rPr>
          <w:rFonts w:hint="cs"/>
          <w:color w:val="auto"/>
          <w:sz w:val="27"/>
          <w:rtl/>
          <w:lang w:bidi="ar-LB"/>
        </w:rPr>
        <w:t>الوقا</w:t>
      </w:r>
      <w:r w:rsidR="00FF7EFE" w:rsidRPr="00282AC9">
        <w:rPr>
          <w:rFonts w:hint="cs"/>
          <w:color w:val="auto"/>
          <w:sz w:val="27"/>
          <w:rtl/>
          <w:lang w:bidi="ar-LB"/>
        </w:rPr>
        <w:t>ئ</w:t>
      </w:r>
      <w:r w:rsidRPr="00282AC9">
        <w:rPr>
          <w:rFonts w:hint="cs"/>
          <w:color w:val="auto"/>
          <w:sz w:val="27"/>
          <w:rtl/>
          <w:lang w:bidi="ar-LB"/>
        </w:rPr>
        <w:t>ع</w:t>
      </w:r>
      <w:r w:rsidR="00FF7EFE" w:rsidRPr="00282AC9">
        <w:rPr>
          <w:rFonts w:hint="cs"/>
          <w:color w:val="auto"/>
          <w:sz w:val="27"/>
          <w:rtl/>
          <w:lang w:bidi="ar-LB"/>
        </w:rPr>
        <w:t>، بين</w:t>
      </w:r>
      <w:r w:rsidRPr="00282AC9">
        <w:rPr>
          <w:rFonts w:hint="cs"/>
          <w:color w:val="auto"/>
          <w:sz w:val="27"/>
          <w:rtl/>
          <w:lang w:bidi="ar-LB"/>
        </w:rPr>
        <w:t xml:space="preserve"> الكل</w:t>
      </w:r>
      <w:r w:rsidR="00FF7EFE" w:rsidRPr="00282AC9">
        <w:rPr>
          <w:rFonts w:hint="cs"/>
          <w:color w:val="auto"/>
          <w:sz w:val="27"/>
          <w:rtl/>
          <w:lang w:bidi="ar-LB"/>
        </w:rPr>
        <w:t>ِّ</w:t>
      </w:r>
      <w:r w:rsidRPr="00282AC9">
        <w:rPr>
          <w:rFonts w:hint="cs"/>
          <w:color w:val="auto"/>
          <w:sz w:val="27"/>
          <w:rtl/>
          <w:lang w:bidi="ar-LB"/>
        </w:rPr>
        <w:t xml:space="preserve">ية </w:t>
      </w:r>
      <w:r w:rsidR="00FF7EFE" w:rsidRPr="00282AC9">
        <w:rPr>
          <w:rFonts w:hint="cs"/>
          <w:color w:val="auto"/>
          <w:sz w:val="27"/>
          <w:rtl/>
          <w:lang w:bidi="ar-LB"/>
        </w:rPr>
        <w:t>و</w:t>
      </w:r>
      <w:r w:rsidRPr="00282AC9">
        <w:rPr>
          <w:rFonts w:hint="cs"/>
          <w:color w:val="auto"/>
          <w:sz w:val="27"/>
          <w:rtl/>
          <w:lang w:bidi="ar-LB"/>
        </w:rPr>
        <w:t>الجزئي</w:t>
      </w:r>
      <w:r w:rsidR="00FF7EFE" w:rsidRPr="00282AC9">
        <w:rPr>
          <w:rFonts w:hint="cs"/>
          <w:color w:val="auto"/>
          <w:sz w:val="27"/>
          <w:rtl/>
          <w:lang w:bidi="ar-LB"/>
        </w:rPr>
        <w:t>ّ</w:t>
      </w:r>
      <w:r w:rsidRPr="00282AC9">
        <w:rPr>
          <w:rFonts w:hint="cs"/>
          <w:color w:val="auto"/>
          <w:sz w:val="27"/>
          <w:rtl/>
          <w:lang w:bidi="ar-LB"/>
        </w:rPr>
        <w:t>ة</w:t>
      </w:r>
    </w:p>
    <w:p w:rsidR="00A9019A" w:rsidRPr="00282AC9" w:rsidRDefault="00A9019A" w:rsidP="00B16272">
      <w:pPr>
        <w:tabs>
          <w:tab w:val="right" w:pos="6930"/>
        </w:tabs>
        <w:suppressAutoHyphens/>
        <w:rPr>
          <w:sz w:val="27"/>
          <w:rtl/>
          <w:lang w:bidi="ar-LB"/>
        </w:rPr>
      </w:pPr>
      <w:r w:rsidRPr="00282AC9">
        <w:rPr>
          <w:rFonts w:hint="cs"/>
          <w:sz w:val="27"/>
          <w:rtl/>
          <w:lang w:bidi="ar-LB"/>
        </w:rPr>
        <w:t>أقول: الظاهر أنّ المراد بها الوقائع على صفة الكل</w:t>
      </w:r>
      <w:r w:rsidR="00ED6E94" w:rsidRPr="00282AC9">
        <w:rPr>
          <w:rFonts w:hint="cs"/>
          <w:sz w:val="27"/>
          <w:rtl/>
          <w:lang w:bidi="ar-LB"/>
        </w:rPr>
        <w:t>ّي</w:t>
      </w:r>
      <w:r w:rsidRPr="00282AC9">
        <w:rPr>
          <w:rFonts w:hint="cs"/>
          <w:sz w:val="27"/>
          <w:rtl/>
          <w:lang w:bidi="ar-LB"/>
        </w:rPr>
        <w:t>ة</w:t>
      </w:r>
      <w:r w:rsidR="00ED6E94" w:rsidRPr="00282AC9">
        <w:rPr>
          <w:rFonts w:hint="cs"/>
          <w:sz w:val="27"/>
          <w:rtl/>
          <w:lang w:bidi="ar-LB"/>
        </w:rPr>
        <w:t>،</w:t>
      </w:r>
      <w:r w:rsidRPr="00282AC9">
        <w:rPr>
          <w:rFonts w:hint="cs"/>
          <w:sz w:val="27"/>
          <w:rtl/>
          <w:lang w:bidi="ar-LB"/>
        </w:rPr>
        <w:t xml:space="preserve"> من دون الاختصاص بالموارد الخاص</w:t>
      </w:r>
      <w:r w:rsidR="00ED6E94" w:rsidRPr="00282AC9">
        <w:rPr>
          <w:rFonts w:hint="cs"/>
          <w:sz w:val="27"/>
          <w:rtl/>
          <w:lang w:bidi="ar-LB"/>
        </w:rPr>
        <w:t>ّ</w:t>
      </w:r>
      <w:r w:rsidRPr="00282AC9">
        <w:rPr>
          <w:rFonts w:hint="cs"/>
          <w:sz w:val="27"/>
          <w:rtl/>
          <w:lang w:bidi="ar-LB"/>
        </w:rPr>
        <w:t>ة، كك</w:t>
      </w:r>
      <w:r w:rsidR="005234FE" w:rsidRPr="00282AC9">
        <w:rPr>
          <w:rFonts w:hint="cs"/>
          <w:sz w:val="27"/>
          <w:rtl/>
          <w:lang w:bidi="ar-LB"/>
        </w:rPr>
        <w:t>ُ</w:t>
      </w:r>
      <w:r w:rsidRPr="00282AC9">
        <w:rPr>
          <w:rFonts w:hint="cs"/>
          <w:sz w:val="27"/>
          <w:rtl/>
          <w:lang w:bidi="ar-LB"/>
        </w:rPr>
        <w:t>لّ</w:t>
      </w:r>
      <w:r w:rsidR="005234FE" w:rsidRPr="00282AC9">
        <w:rPr>
          <w:rFonts w:hint="cs"/>
          <w:sz w:val="27"/>
          <w:rtl/>
          <w:lang w:bidi="ar-LB"/>
        </w:rPr>
        <w:t>ِ</w:t>
      </w:r>
      <w:r w:rsidRPr="00282AC9">
        <w:rPr>
          <w:rFonts w:hint="cs"/>
          <w:sz w:val="27"/>
          <w:rtl/>
          <w:lang w:bidi="ar-LB"/>
        </w:rPr>
        <w:t>ي</w:t>
      </w:r>
      <w:r w:rsidR="005234FE" w:rsidRPr="00282AC9">
        <w:rPr>
          <w:rFonts w:hint="cs"/>
          <w:sz w:val="27"/>
          <w:rtl/>
          <w:lang w:bidi="ar-LB"/>
        </w:rPr>
        <w:t>ّ</w:t>
      </w:r>
      <w:r w:rsidRPr="00282AC9">
        <w:rPr>
          <w:rFonts w:hint="cs"/>
          <w:sz w:val="27"/>
          <w:rtl/>
          <w:lang w:bidi="ar-LB"/>
        </w:rPr>
        <w:t xml:space="preserve"> الحج</w:t>
      </w:r>
      <w:r w:rsidR="005234FE" w:rsidRPr="00282AC9">
        <w:rPr>
          <w:rFonts w:hint="cs"/>
          <w:sz w:val="27"/>
          <w:rtl/>
          <w:lang w:bidi="ar-LB"/>
        </w:rPr>
        <w:t>ّ</w:t>
      </w:r>
      <w:r w:rsidRPr="00282AC9">
        <w:rPr>
          <w:rFonts w:hint="cs"/>
          <w:sz w:val="27"/>
          <w:rtl/>
          <w:lang w:bidi="ar-LB"/>
        </w:rPr>
        <w:t xml:space="preserve"> والصلاة والعدل وصلة الأرحام و...؛ لأنّ الكلام في </w:t>
      </w:r>
      <w:r w:rsidRPr="00282AC9">
        <w:rPr>
          <w:rFonts w:hint="cs"/>
          <w:sz w:val="27"/>
          <w:rtl/>
          <w:lang w:bidi="ar-LB"/>
        </w:rPr>
        <w:lastRenderedPageBreak/>
        <w:t>الأحكام الشرعية المجعولة على نهج القضايا الحقيقية؛ لوضوح أنّ النزاع ليس في الحكم المجعول على نهج القضية الخارجي</w:t>
      </w:r>
      <w:r w:rsidR="005234FE" w:rsidRPr="00282AC9">
        <w:rPr>
          <w:rFonts w:hint="cs"/>
          <w:sz w:val="27"/>
          <w:rtl/>
          <w:lang w:bidi="ar-LB"/>
        </w:rPr>
        <w:t>ّ</w:t>
      </w:r>
      <w:r w:rsidRPr="00282AC9">
        <w:rPr>
          <w:rFonts w:hint="cs"/>
          <w:sz w:val="27"/>
          <w:rtl/>
          <w:lang w:bidi="ar-LB"/>
        </w:rPr>
        <w:t>ة</w:t>
      </w:r>
      <w:r w:rsidR="005234FE" w:rsidRPr="00282AC9">
        <w:rPr>
          <w:rFonts w:hint="cs"/>
          <w:sz w:val="27"/>
          <w:rtl/>
          <w:lang w:bidi="ar-LB"/>
        </w:rPr>
        <w:t>،</w:t>
      </w:r>
      <w:r w:rsidRPr="00282AC9">
        <w:rPr>
          <w:rFonts w:hint="cs"/>
          <w:sz w:val="27"/>
          <w:rtl/>
          <w:lang w:bidi="ar-LB"/>
        </w:rPr>
        <w:t xml:space="preserve"> مثل</w:t>
      </w:r>
      <w:r w:rsidR="005234FE" w:rsidRPr="00282AC9">
        <w:rPr>
          <w:rFonts w:hint="cs"/>
          <w:sz w:val="27"/>
          <w:rtl/>
          <w:lang w:bidi="ar-LB"/>
        </w:rPr>
        <w:t>:</w:t>
      </w:r>
      <w:r w:rsidRPr="00282AC9">
        <w:rPr>
          <w:rFonts w:hint="cs"/>
          <w:sz w:val="27"/>
          <w:rtl/>
          <w:lang w:bidi="ar-LB"/>
        </w:rPr>
        <w:t xml:space="preserve"> وجوب صلاة الليل على النبيّ الأعظم</w:t>
      </w:r>
      <w:r w:rsidR="009A2A04" w:rsidRPr="00282AC9">
        <w:rPr>
          <w:rFonts w:cs="Mosawi" w:hint="cs"/>
          <w:sz w:val="22"/>
          <w:szCs w:val="22"/>
          <w:rtl/>
          <w:lang w:bidi="ar-LB"/>
        </w:rPr>
        <w:t>|</w:t>
      </w:r>
      <w:r w:rsidRPr="00282AC9">
        <w:rPr>
          <w:rFonts w:hint="cs"/>
          <w:sz w:val="27"/>
          <w:rtl/>
          <w:lang w:bidi="ar-LB"/>
        </w:rPr>
        <w:t>، وجواز التزويج بأكثر من أربع زوجات له</w:t>
      </w:r>
      <w:r w:rsidR="009A2A04" w:rsidRPr="00282AC9">
        <w:rPr>
          <w:rFonts w:cs="Mosawi" w:hint="cs"/>
          <w:sz w:val="22"/>
          <w:szCs w:val="22"/>
          <w:rtl/>
          <w:lang w:bidi="ar-LB"/>
        </w:rPr>
        <w:t>|</w:t>
      </w:r>
      <w:r w:rsidR="005234FE" w:rsidRPr="00282AC9">
        <w:rPr>
          <w:rFonts w:hint="cs"/>
          <w:sz w:val="27"/>
          <w:rtl/>
          <w:lang w:bidi="ar-LB"/>
        </w:rPr>
        <w:t>،</w:t>
      </w:r>
      <w:r w:rsidRPr="00282AC9">
        <w:rPr>
          <w:rFonts w:hint="cs"/>
          <w:sz w:val="27"/>
          <w:rtl/>
          <w:lang w:bidi="ar-LB"/>
        </w:rPr>
        <w:t xml:space="preserve"> أو غير ذلك.</w:t>
      </w:r>
    </w:p>
    <w:p w:rsidR="00A9019A" w:rsidRPr="00282AC9" w:rsidRDefault="00A9019A" w:rsidP="00B16272">
      <w:pPr>
        <w:tabs>
          <w:tab w:val="right" w:pos="6930"/>
        </w:tabs>
        <w:suppressAutoHyphens/>
        <w:rPr>
          <w:sz w:val="27"/>
          <w:rtl/>
          <w:lang w:bidi="ar-LB"/>
        </w:rPr>
      </w:pPr>
      <w:r w:rsidRPr="00282AC9">
        <w:rPr>
          <w:rFonts w:hint="cs"/>
          <w:sz w:val="27"/>
          <w:rtl/>
          <w:lang w:bidi="ar-LB"/>
        </w:rPr>
        <w:t>والوجه</w:t>
      </w:r>
      <w:r w:rsidR="005234FE" w:rsidRPr="00282AC9">
        <w:rPr>
          <w:rFonts w:hint="cs"/>
          <w:sz w:val="27"/>
          <w:rtl/>
          <w:lang w:bidi="ar-LB"/>
        </w:rPr>
        <w:t>ُ</w:t>
      </w:r>
      <w:r w:rsidRPr="00282AC9">
        <w:rPr>
          <w:rFonts w:hint="cs"/>
          <w:sz w:val="27"/>
          <w:rtl/>
          <w:lang w:bidi="ar-LB"/>
        </w:rPr>
        <w:t xml:space="preserve"> في ذلك خروج</w:t>
      </w:r>
      <w:r w:rsidR="005234FE" w:rsidRPr="00282AC9">
        <w:rPr>
          <w:rFonts w:hint="cs"/>
          <w:sz w:val="27"/>
          <w:rtl/>
          <w:lang w:bidi="ar-LB"/>
        </w:rPr>
        <w:t>ُ</w:t>
      </w:r>
      <w:r w:rsidRPr="00282AC9">
        <w:rPr>
          <w:rFonts w:hint="cs"/>
          <w:sz w:val="27"/>
          <w:rtl/>
          <w:lang w:bidi="ar-LB"/>
        </w:rPr>
        <w:t xml:space="preserve"> تلك الفئة من الأحكام عن نطاق البحث الفقهي</w:t>
      </w:r>
      <w:r w:rsidR="005234FE" w:rsidRPr="00282AC9">
        <w:rPr>
          <w:rFonts w:hint="cs"/>
          <w:sz w:val="27"/>
          <w:rtl/>
          <w:lang w:bidi="ar-LB"/>
        </w:rPr>
        <w:t>ّ قطعاً، بعد</w:t>
      </w:r>
      <w:r w:rsidRPr="00282AC9">
        <w:rPr>
          <w:rFonts w:hint="cs"/>
          <w:sz w:val="27"/>
          <w:rtl/>
          <w:lang w:bidi="ar-LB"/>
        </w:rPr>
        <w:t xml:space="preserve">ما لم تكن </w:t>
      </w:r>
      <w:r w:rsidR="005234FE" w:rsidRPr="00282AC9">
        <w:rPr>
          <w:rFonts w:hint="cs"/>
          <w:sz w:val="27"/>
          <w:rtl/>
          <w:lang w:bidi="ar-LB"/>
        </w:rPr>
        <w:t xml:space="preserve">لها </w:t>
      </w:r>
      <w:r w:rsidRPr="00282AC9">
        <w:rPr>
          <w:rFonts w:hint="cs"/>
          <w:sz w:val="27"/>
          <w:rtl/>
          <w:lang w:bidi="ar-LB"/>
        </w:rPr>
        <w:t>شأنيّة لشمول نوع المكلّفين وعامّتهم، ومن المعلوم أنّ الكلام إنّما هو في الأحكام الشرعية التي يحاول الفقيه استنباطها من الأدلة، والتي لها نحو</w:t>
      </w:r>
      <w:r w:rsidR="005234FE" w:rsidRPr="00282AC9">
        <w:rPr>
          <w:rFonts w:hint="cs"/>
          <w:sz w:val="27"/>
          <w:rtl/>
          <w:lang w:bidi="ar-LB"/>
        </w:rPr>
        <w:t>ٌ</w:t>
      </w:r>
      <w:r w:rsidRPr="00282AC9">
        <w:rPr>
          <w:rFonts w:hint="cs"/>
          <w:sz w:val="27"/>
          <w:rtl/>
          <w:lang w:bidi="ar-LB"/>
        </w:rPr>
        <w:t xml:space="preserve"> من الكل</w:t>
      </w:r>
      <w:r w:rsidR="005234FE" w:rsidRPr="00282AC9">
        <w:rPr>
          <w:rFonts w:hint="cs"/>
          <w:sz w:val="27"/>
          <w:rtl/>
          <w:lang w:bidi="ar-LB"/>
        </w:rPr>
        <w:t>ِّي</w:t>
      </w:r>
      <w:r w:rsidRPr="00282AC9">
        <w:rPr>
          <w:rFonts w:hint="cs"/>
          <w:sz w:val="27"/>
          <w:rtl/>
          <w:lang w:bidi="ar-LB"/>
        </w:rPr>
        <w:t xml:space="preserve">ة بالنسبة </w:t>
      </w:r>
      <w:r w:rsidR="00DE28A4" w:rsidRPr="00282AC9">
        <w:rPr>
          <w:rFonts w:hint="cs"/>
          <w:sz w:val="27"/>
          <w:rtl/>
          <w:lang w:bidi="ar-LB"/>
        </w:rPr>
        <w:t>إ</w:t>
      </w:r>
      <w:r w:rsidRPr="00282AC9">
        <w:rPr>
          <w:rFonts w:hint="cs"/>
          <w:sz w:val="27"/>
          <w:rtl/>
          <w:lang w:bidi="ar-LB"/>
        </w:rPr>
        <w:t>لى أصناف المكلّ</w:t>
      </w:r>
      <w:r w:rsidR="005234FE" w:rsidRPr="00282AC9">
        <w:rPr>
          <w:rFonts w:hint="cs"/>
          <w:sz w:val="27"/>
          <w:rtl/>
          <w:lang w:bidi="ar-LB"/>
        </w:rPr>
        <w:t>َ</w:t>
      </w:r>
      <w:r w:rsidRPr="00282AC9">
        <w:rPr>
          <w:rFonts w:hint="cs"/>
          <w:sz w:val="27"/>
          <w:rtl/>
          <w:lang w:bidi="ar-LB"/>
        </w:rPr>
        <w:t>فين وشعوبهم، وأمّا الأحكام الخارجيّة الخاصّة بشخص</w:t>
      </w:r>
      <w:r w:rsidR="005234FE" w:rsidRPr="00282AC9">
        <w:rPr>
          <w:rFonts w:hint="cs"/>
          <w:sz w:val="27"/>
          <w:rtl/>
          <w:lang w:bidi="ar-LB"/>
        </w:rPr>
        <w:t>ٍ</w:t>
      </w:r>
      <w:r w:rsidRPr="00282AC9">
        <w:rPr>
          <w:rFonts w:hint="cs"/>
          <w:sz w:val="27"/>
          <w:rtl/>
          <w:lang w:bidi="ar-LB"/>
        </w:rPr>
        <w:t xml:space="preserve"> أو أشخاص محد</w:t>
      </w:r>
      <w:r w:rsidR="005234FE" w:rsidRPr="00282AC9">
        <w:rPr>
          <w:rFonts w:hint="cs"/>
          <w:sz w:val="27"/>
          <w:rtl/>
          <w:lang w:bidi="ar-LB"/>
        </w:rPr>
        <w:t>َّد</w:t>
      </w:r>
      <w:r w:rsidRPr="00282AC9">
        <w:rPr>
          <w:rFonts w:hint="cs"/>
          <w:sz w:val="27"/>
          <w:rtl/>
          <w:lang w:bidi="ar-LB"/>
        </w:rPr>
        <w:t>ين من المكلّ</w:t>
      </w:r>
      <w:r w:rsidR="005234FE" w:rsidRPr="00282AC9">
        <w:rPr>
          <w:rFonts w:hint="cs"/>
          <w:sz w:val="27"/>
          <w:rtl/>
          <w:lang w:bidi="ar-LB"/>
        </w:rPr>
        <w:t>َ</w:t>
      </w:r>
      <w:r w:rsidRPr="00282AC9">
        <w:rPr>
          <w:rFonts w:hint="cs"/>
          <w:sz w:val="27"/>
          <w:rtl/>
          <w:lang w:bidi="ar-LB"/>
        </w:rPr>
        <w:t>فين فلا صلة بينها وبين البحث الفقهي</w:t>
      </w:r>
      <w:r w:rsidR="005234FE" w:rsidRPr="00282AC9">
        <w:rPr>
          <w:rFonts w:hint="cs"/>
          <w:sz w:val="27"/>
          <w:rtl/>
          <w:lang w:bidi="ar-LB"/>
        </w:rPr>
        <w:t>ّ،</w:t>
      </w:r>
      <w:r w:rsidRPr="00282AC9">
        <w:rPr>
          <w:rFonts w:hint="cs"/>
          <w:sz w:val="27"/>
          <w:rtl/>
          <w:lang w:bidi="ar-LB"/>
        </w:rPr>
        <w:t xml:space="preserve"> كما هو واضح</w:t>
      </w:r>
      <w:r w:rsidR="005234FE" w:rsidRPr="00282AC9">
        <w:rPr>
          <w:rFonts w:hint="cs"/>
          <w:sz w:val="27"/>
          <w:rtl/>
          <w:lang w:bidi="ar-LB"/>
        </w:rPr>
        <w:t>ٌ</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sz w:val="27"/>
          <w:rtl/>
          <w:lang w:bidi="ar-LB"/>
        </w:rPr>
        <w:t>وبهذا يت</w:t>
      </w:r>
      <w:r w:rsidR="005234FE" w:rsidRPr="00282AC9">
        <w:rPr>
          <w:rFonts w:hint="cs"/>
          <w:sz w:val="27"/>
          <w:rtl/>
          <w:lang w:bidi="ar-LB"/>
        </w:rPr>
        <w:t>ّ</w:t>
      </w:r>
      <w:r w:rsidRPr="00282AC9">
        <w:rPr>
          <w:rFonts w:hint="cs"/>
          <w:sz w:val="27"/>
          <w:rtl/>
          <w:lang w:bidi="ar-LB"/>
        </w:rPr>
        <w:t>ضح</w:t>
      </w:r>
      <w:r w:rsidR="005234FE" w:rsidRPr="00282AC9">
        <w:rPr>
          <w:rFonts w:hint="cs"/>
          <w:sz w:val="27"/>
          <w:rtl/>
          <w:lang w:bidi="ar-LB"/>
        </w:rPr>
        <w:t xml:space="preserve"> </w:t>
      </w:r>
      <w:r w:rsidRPr="00282AC9">
        <w:rPr>
          <w:rFonts w:hint="cs"/>
          <w:sz w:val="27"/>
          <w:rtl/>
          <w:lang w:bidi="ar-LB"/>
        </w:rPr>
        <w:t>أنّه لا فرق بين الكل</w:t>
      </w:r>
      <w:r w:rsidR="005234FE" w:rsidRPr="00282AC9">
        <w:rPr>
          <w:rFonts w:hint="cs"/>
          <w:sz w:val="27"/>
          <w:rtl/>
          <w:lang w:bidi="ar-LB"/>
        </w:rPr>
        <w:t>ِّي</w:t>
      </w:r>
      <w:r w:rsidRPr="00282AC9">
        <w:rPr>
          <w:rFonts w:hint="cs"/>
          <w:sz w:val="27"/>
          <w:rtl/>
          <w:lang w:bidi="ar-LB"/>
        </w:rPr>
        <w:t>ة والجزئية من حيث النتيجة؛ إذ لو ادّ</w:t>
      </w:r>
      <w:r w:rsidR="005234FE" w:rsidRPr="00282AC9">
        <w:rPr>
          <w:rFonts w:hint="cs"/>
          <w:sz w:val="27"/>
          <w:rtl/>
          <w:lang w:bidi="ar-LB"/>
        </w:rPr>
        <w:t>ُ</w:t>
      </w:r>
      <w:r w:rsidRPr="00282AC9">
        <w:rPr>
          <w:rFonts w:hint="cs"/>
          <w:sz w:val="27"/>
          <w:rtl/>
          <w:lang w:bidi="ar-LB"/>
        </w:rPr>
        <w:t>ع</w:t>
      </w:r>
      <w:r w:rsidR="005234FE" w:rsidRPr="00282AC9">
        <w:rPr>
          <w:rFonts w:hint="cs"/>
          <w:sz w:val="27"/>
          <w:rtl/>
          <w:lang w:bidi="ar-LB"/>
        </w:rPr>
        <w:t>ي</w:t>
      </w:r>
      <w:r w:rsidRPr="00282AC9">
        <w:rPr>
          <w:rFonts w:hint="cs"/>
          <w:sz w:val="27"/>
          <w:rtl/>
          <w:lang w:bidi="ar-LB"/>
        </w:rPr>
        <w:t xml:space="preserve"> أنّ كلّ واقعة</w:t>
      </w:r>
      <w:r w:rsidR="005234FE" w:rsidRPr="00282AC9">
        <w:rPr>
          <w:rFonts w:hint="cs"/>
          <w:sz w:val="27"/>
          <w:rtl/>
          <w:lang w:bidi="ar-LB"/>
        </w:rPr>
        <w:t>ٍ</w:t>
      </w:r>
      <w:r w:rsidRPr="00282AC9">
        <w:rPr>
          <w:rFonts w:hint="cs"/>
          <w:sz w:val="27"/>
          <w:rtl/>
          <w:lang w:bidi="ar-LB"/>
        </w:rPr>
        <w:t xml:space="preserve"> جزئية لا تخلو من حكم</w:t>
      </w:r>
      <w:r w:rsidR="005234FE" w:rsidRPr="00282AC9">
        <w:rPr>
          <w:rFonts w:hint="cs"/>
          <w:sz w:val="27"/>
          <w:rtl/>
          <w:lang w:bidi="ar-LB"/>
        </w:rPr>
        <w:t>ٍ</w:t>
      </w:r>
      <w:r w:rsidRPr="00282AC9">
        <w:rPr>
          <w:rFonts w:hint="cs"/>
          <w:sz w:val="27"/>
          <w:rtl/>
          <w:lang w:bidi="ar-LB"/>
        </w:rPr>
        <w:t xml:space="preserve"> أيضاً كان لازمه عدم خلو</w:t>
      </w:r>
      <w:r w:rsidR="005234FE" w:rsidRPr="00282AC9">
        <w:rPr>
          <w:rFonts w:hint="cs"/>
          <w:sz w:val="27"/>
          <w:rtl/>
          <w:lang w:bidi="ar-LB"/>
        </w:rPr>
        <w:t>ّ</w:t>
      </w:r>
      <w:r w:rsidRPr="00282AC9">
        <w:rPr>
          <w:rFonts w:hint="cs"/>
          <w:sz w:val="27"/>
          <w:rtl/>
          <w:lang w:bidi="ar-LB"/>
        </w:rPr>
        <w:t xml:space="preserve"> تلك الواقعة بكلّ</w:t>
      </w:r>
      <w:r w:rsidR="005234FE" w:rsidRPr="00282AC9">
        <w:rPr>
          <w:rFonts w:hint="cs"/>
          <w:sz w:val="27"/>
          <w:rtl/>
          <w:lang w:bidi="ar-LB"/>
        </w:rPr>
        <w:t>ِ</w:t>
      </w:r>
      <w:r w:rsidRPr="00282AC9">
        <w:rPr>
          <w:rFonts w:hint="cs"/>
          <w:sz w:val="27"/>
          <w:rtl/>
          <w:lang w:bidi="ar-LB"/>
        </w:rPr>
        <w:t>يتها وطبيعتها من ذاك الحكم</w:t>
      </w:r>
      <w:r w:rsidR="005234FE" w:rsidRPr="00282AC9">
        <w:rPr>
          <w:rFonts w:hint="cs"/>
          <w:sz w:val="27"/>
          <w:rtl/>
          <w:lang w:bidi="ar-LB"/>
        </w:rPr>
        <w:t>؛</w:t>
      </w:r>
      <w:r w:rsidRPr="00282AC9">
        <w:rPr>
          <w:rFonts w:hint="cs"/>
          <w:sz w:val="27"/>
          <w:rtl/>
          <w:lang w:bidi="ar-LB"/>
        </w:rPr>
        <w:t xml:space="preserve"> لنفس النكتة</w:t>
      </w:r>
      <w:r w:rsidR="005234FE" w:rsidRPr="00282AC9">
        <w:rPr>
          <w:rFonts w:hint="cs"/>
          <w:sz w:val="27"/>
          <w:rtl/>
          <w:lang w:bidi="ar-LB"/>
        </w:rPr>
        <w:t>.</w:t>
      </w:r>
      <w:r w:rsidRPr="00282AC9">
        <w:rPr>
          <w:rFonts w:hint="cs"/>
          <w:sz w:val="27"/>
          <w:rtl/>
          <w:lang w:bidi="ar-LB"/>
        </w:rPr>
        <w:t xml:space="preserve"> والأمر سهل</w:t>
      </w:r>
      <w:r w:rsidR="005234FE" w:rsidRPr="00282AC9">
        <w:rPr>
          <w:rFonts w:hint="cs"/>
          <w:sz w:val="27"/>
          <w:rtl/>
          <w:lang w:bidi="ar-LB"/>
        </w:rPr>
        <w:t>ٌ</w:t>
      </w:r>
      <w:r w:rsidRPr="00282AC9">
        <w:rPr>
          <w:rFonts w:hint="cs"/>
          <w:sz w:val="27"/>
          <w:rtl/>
          <w:lang w:bidi="ar-LB"/>
        </w:rPr>
        <w:t xml:space="preserve"> بعد الوضوح.</w:t>
      </w:r>
    </w:p>
    <w:p w:rsidR="00A9019A" w:rsidRPr="00282AC9" w:rsidRDefault="00A9019A" w:rsidP="00CC0484">
      <w:pPr>
        <w:tabs>
          <w:tab w:val="right" w:pos="6930"/>
        </w:tabs>
        <w:suppressAutoHyphens/>
        <w:spacing w:line="420" w:lineRule="exact"/>
        <w:rPr>
          <w:sz w:val="27"/>
          <w:rtl/>
          <w:lang w:bidi="ar-LB"/>
        </w:rPr>
      </w:pPr>
    </w:p>
    <w:p w:rsidR="00A9019A" w:rsidRPr="00282AC9" w:rsidRDefault="00A9019A" w:rsidP="00FF2696">
      <w:pPr>
        <w:pStyle w:val="31"/>
        <w:rPr>
          <w:color w:val="auto"/>
          <w:rtl/>
        </w:rPr>
      </w:pPr>
      <w:r w:rsidRPr="00282AC9">
        <w:rPr>
          <w:rFonts w:hint="cs"/>
          <w:color w:val="auto"/>
          <w:rtl/>
          <w:lang w:bidi="ar-LB"/>
        </w:rPr>
        <w:t>الأمر الثالث:</w:t>
      </w:r>
      <w:r w:rsidR="005053B3" w:rsidRPr="00282AC9">
        <w:rPr>
          <w:rFonts w:hint="cs"/>
          <w:color w:val="auto"/>
          <w:rtl/>
          <w:lang w:bidi="ar-LB"/>
        </w:rPr>
        <w:t xml:space="preserve"> </w:t>
      </w:r>
      <w:r w:rsidR="00FF2696" w:rsidRPr="00282AC9">
        <w:rPr>
          <w:rFonts w:hint="cs"/>
          <w:color w:val="auto"/>
          <w:sz w:val="27"/>
          <w:rtl/>
          <w:lang w:bidi="ar-LB"/>
        </w:rPr>
        <w:t xml:space="preserve">نفي الخلوّ، </w:t>
      </w:r>
      <w:r w:rsidR="005053B3" w:rsidRPr="00282AC9">
        <w:rPr>
          <w:rFonts w:hint="cs"/>
          <w:color w:val="auto"/>
          <w:rtl/>
          <w:lang w:bidi="ar-LB"/>
        </w:rPr>
        <w:t xml:space="preserve">بين العقليّ الثبوتيّ والنقليّ </w:t>
      </w:r>
      <w:r w:rsidR="00814E9E" w:rsidRPr="00282AC9">
        <w:rPr>
          <w:rFonts w:hint="cs"/>
          <w:color w:val="auto"/>
          <w:rtl/>
          <w:lang w:bidi="ar-LB"/>
        </w:rPr>
        <w:t>ال</w:t>
      </w:r>
      <w:r w:rsidR="005053B3" w:rsidRPr="00282AC9">
        <w:rPr>
          <w:rFonts w:hint="cs"/>
          <w:color w:val="auto"/>
          <w:rtl/>
          <w:lang w:bidi="ar-LB"/>
        </w:rPr>
        <w:t xml:space="preserve">إثباتيّ </w:t>
      </w:r>
    </w:p>
    <w:p w:rsidR="00A9019A" w:rsidRPr="00282AC9" w:rsidRDefault="005053B3" w:rsidP="00B16272">
      <w:pPr>
        <w:tabs>
          <w:tab w:val="right" w:pos="6930"/>
        </w:tabs>
        <w:suppressAutoHyphens/>
        <w:rPr>
          <w:sz w:val="27"/>
          <w:rtl/>
          <w:lang w:bidi="ar-LB"/>
        </w:rPr>
      </w:pPr>
      <w:r w:rsidRPr="00282AC9">
        <w:rPr>
          <w:rFonts w:hint="cs"/>
          <w:sz w:val="27"/>
          <w:rtl/>
          <w:lang w:bidi="ar-LB"/>
        </w:rPr>
        <w:t>ف</w:t>
      </w:r>
      <w:r w:rsidR="00A9019A" w:rsidRPr="00282AC9">
        <w:rPr>
          <w:rFonts w:hint="cs"/>
          <w:sz w:val="27"/>
          <w:rtl/>
          <w:lang w:bidi="ar-LB"/>
        </w:rPr>
        <w:t>هل المسألة سنخ مسألة</w:t>
      </w:r>
      <w:r w:rsidRPr="00282AC9">
        <w:rPr>
          <w:rFonts w:hint="cs"/>
          <w:sz w:val="27"/>
          <w:rtl/>
          <w:lang w:bidi="ar-LB"/>
        </w:rPr>
        <w:t>ٍ</w:t>
      </w:r>
      <w:r w:rsidR="00A9019A" w:rsidRPr="00282AC9">
        <w:rPr>
          <w:rFonts w:hint="cs"/>
          <w:sz w:val="27"/>
          <w:rtl/>
          <w:lang w:bidi="ar-LB"/>
        </w:rPr>
        <w:t xml:space="preserve"> عقليّة ثبوتيّة</w:t>
      </w:r>
      <w:r w:rsidRPr="00282AC9">
        <w:rPr>
          <w:rFonts w:hint="cs"/>
          <w:sz w:val="27"/>
          <w:rtl/>
          <w:lang w:bidi="ar-LB"/>
        </w:rPr>
        <w:t>،</w:t>
      </w:r>
      <w:r w:rsidR="00A9019A" w:rsidRPr="00282AC9">
        <w:rPr>
          <w:rFonts w:hint="cs"/>
          <w:sz w:val="27"/>
          <w:rtl/>
          <w:lang w:bidi="ar-LB"/>
        </w:rPr>
        <w:t xml:space="preserve"> يستند فيها </w:t>
      </w:r>
      <w:r w:rsidRPr="00282AC9">
        <w:rPr>
          <w:rFonts w:hint="cs"/>
          <w:sz w:val="27"/>
          <w:rtl/>
          <w:lang w:bidi="ar-LB"/>
        </w:rPr>
        <w:t>إ</w:t>
      </w:r>
      <w:r w:rsidR="00A9019A" w:rsidRPr="00282AC9">
        <w:rPr>
          <w:rFonts w:hint="cs"/>
          <w:sz w:val="27"/>
          <w:rtl/>
          <w:lang w:bidi="ar-LB"/>
        </w:rPr>
        <w:t>لى الملازمات العقليّة التي تفيد عدم خلوّ الواقعة عن الحكم</w:t>
      </w:r>
      <w:r w:rsidRPr="00282AC9">
        <w:rPr>
          <w:rFonts w:hint="cs"/>
          <w:sz w:val="27"/>
          <w:rtl/>
          <w:lang w:bidi="ar-LB"/>
        </w:rPr>
        <w:t>،</w:t>
      </w:r>
      <w:r w:rsidR="00A9019A" w:rsidRPr="00282AC9">
        <w:rPr>
          <w:rFonts w:hint="cs"/>
          <w:sz w:val="27"/>
          <w:rtl/>
          <w:lang w:bidi="ar-LB"/>
        </w:rPr>
        <w:t xml:space="preserve"> بمعنى عدم الإمكان</w:t>
      </w:r>
      <w:r w:rsidRPr="00282AC9">
        <w:rPr>
          <w:rFonts w:hint="cs"/>
          <w:sz w:val="27"/>
          <w:rtl/>
          <w:lang w:bidi="ar-LB"/>
        </w:rPr>
        <w:t>؛</w:t>
      </w:r>
      <w:r w:rsidR="00A9019A" w:rsidRPr="00282AC9">
        <w:rPr>
          <w:rFonts w:hint="cs"/>
          <w:sz w:val="27"/>
          <w:rtl/>
          <w:lang w:bidi="ar-LB"/>
        </w:rPr>
        <w:t xml:space="preserve"> أو سنخ مسألةٍ نقليّة إثباتيّة</w:t>
      </w:r>
      <w:r w:rsidRPr="00282AC9">
        <w:rPr>
          <w:rFonts w:hint="cs"/>
          <w:sz w:val="27"/>
          <w:rtl/>
          <w:lang w:bidi="ar-LB"/>
        </w:rPr>
        <w:t>،</w:t>
      </w:r>
      <w:r w:rsidR="00A9019A" w:rsidRPr="00282AC9">
        <w:rPr>
          <w:rFonts w:hint="cs"/>
          <w:sz w:val="27"/>
          <w:rtl/>
          <w:lang w:bidi="ar-LB"/>
        </w:rPr>
        <w:t xml:space="preserve"> يستند فيها</w:t>
      </w:r>
      <w:r w:rsidRPr="00282AC9">
        <w:rPr>
          <w:rFonts w:hint="cs"/>
          <w:sz w:val="27"/>
          <w:rtl/>
          <w:lang w:bidi="ar-LB"/>
        </w:rPr>
        <w:t xml:space="preserve"> إلى </w:t>
      </w:r>
      <w:r w:rsidR="00A9019A" w:rsidRPr="00282AC9">
        <w:rPr>
          <w:rFonts w:hint="cs"/>
          <w:sz w:val="27"/>
          <w:rtl/>
          <w:lang w:bidi="ar-LB"/>
        </w:rPr>
        <w:t>الآيات القرآنيّة والروايات المأ</w:t>
      </w:r>
      <w:r w:rsidR="00495DD6" w:rsidRPr="00282AC9">
        <w:rPr>
          <w:rFonts w:hint="cs"/>
          <w:sz w:val="27"/>
          <w:rtl/>
          <w:lang w:bidi="ar-LB"/>
        </w:rPr>
        <w:t>ثورة عن أهل بيت العصمة والطهارة</w:t>
      </w:r>
      <w:r w:rsidR="00876ECA" w:rsidRPr="00282AC9">
        <w:rPr>
          <w:rFonts w:cs="Mosawi" w:hint="cs"/>
          <w:sz w:val="22"/>
          <w:szCs w:val="22"/>
          <w:rtl/>
        </w:rPr>
        <w:t>^</w:t>
      </w:r>
      <w:r w:rsidR="00A9019A" w:rsidRPr="00282AC9">
        <w:rPr>
          <w:rFonts w:hint="cs"/>
          <w:sz w:val="27"/>
          <w:rtl/>
          <w:lang w:bidi="ar-LB"/>
        </w:rPr>
        <w:t>؟</w:t>
      </w:r>
      <w:r w:rsidR="00A9019A" w:rsidRPr="00282AC9">
        <w:rPr>
          <w:sz w:val="27"/>
          <w:vertAlign w:val="superscript"/>
          <w:rtl/>
          <w:lang w:bidi="ar-LB"/>
        </w:rPr>
        <w:t>(</w:t>
      </w:r>
      <w:r w:rsidR="00A9019A" w:rsidRPr="00282AC9">
        <w:rPr>
          <w:rStyle w:val="af9"/>
          <w:sz w:val="27"/>
          <w:rtl/>
          <w:lang w:bidi="ar-LB"/>
        </w:rPr>
        <w:endnoteReference w:id="11"/>
      </w:r>
      <w:r w:rsidR="00A9019A" w:rsidRPr="00282AC9">
        <w:rPr>
          <w:sz w:val="27"/>
          <w:vertAlign w:val="superscript"/>
          <w:rtl/>
          <w:lang w:bidi="ar-LB"/>
        </w:rPr>
        <w:t>)</w:t>
      </w:r>
      <w:r w:rsidR="00A9019A"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sz w:val="27"/>
          <w:rtl/>
          <w:lang w:bidi="ar-LB"/>
        </w:rPr>
        <w:t>والمتصوّ</w:t>
      </w:r>
      <w:r w:rsidR="00495DD6" w:rsidRPr="00282AC9">
        <w:rPr>
          <w:rFonts w:hint="cs"/>
          <w:sz w:val="27"/>
          <w:rtl/>
          <w:lang w:bidi="ar-LB"/>
        </w:rPr>
        <w:t>َ</w:t>
      </w:r>
      <w:r w:rsidRPr="00282AC9">
        <w:rPr>
          <w:rFonts w:hint="cs"/>
          <w:sz w:val="27"/>
          <w:rtl/>
          <w:lang w:bidi="ar-LB"/>
        </w:rPr>
        <w:t>ر في بادئ النظر وجوه ثلاثة: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أحدها</w:t>
      </w:r>
      <w:r w:rsidRPr="00282AC9">
        <w:rPr>
          <w:rFonts w:hint="cs"/>
          <w:sz w:val="27"/>
          <w:rtl/>
          <w:lang w:bidi="ar-LB"/>
        </w:rPr>
        <w:t>: أن تكون المسألة عقليّة</w:t>
      </w:r>
      <w:r w:rsidR="00495DD6" w:rsidRPr="00282AC9">
        <w:rPr>
          <w:rFonts w:hint="cs"/>
          <w:sz w:val="27"/>
          <w:rtl/>
          <w:lang w:bidi="ar-LB"/>
        </w:rPr>
        <w:t>ً</w:t>
      </w:r>
      <w:r w:rsidRPr="00282AC9">
        <w:rPr>
          <w:rFonts w:hint="cs"/>
          <w:sz w:val="27"/>
          <w:rtl/>
          <w:lang w:bidi="ar-LB"/>
        </w:rPr>
        <w:t xml:space="preserve"> ب</w:t>
      </w:r>
      <w:r w:rsidR="00495DD6" w:rsidRPr="00282AC9">
        <w:rPr>
          <w:rFonts w:hint="cs"/>
          <w:sz w:val="27"/>
          <w:rtl/>
          <w:lang w:bidi="ar-LB"/>
        </w:rPr>
        <w:t>َ</w:t>
      </w:r>
      <w:r w:rsidRPr="00282AC9">
        <w:rPr>
          <w:rFonts w:hint="cs"/>
          <w:sz w:val="27"/>
          <w:rtl/>
          <w:lang w:bidi="ar-LB"/>
        </w:rPr>
        <w:t>ح</w:t>
      </w:r>
      <w:r w:rsidR="00495DD6" w:rsidRPr="00282AC9">
        <w:rPr>
          <w:rFonts w:hint="cs"/>
          <w:sz w:val="27"/>
          <w:rtl/>
          <w:lang w:bidi="ar-LB"/>
        </w:rPr>
        <w:t>ْ</w:t>
      </w:r>
      <w:r w:rsidRPr="00282AC9">
        <w:rPr>
          <w:rFonts w:hint="cs"/>
          <w:sz w:val="27"/>
          <w:rtl/>
          <w:lang w:bidi="ar-LB"/>
        </w:rPr>
        <w:t>تة، ولا يدلَّ عليها شيء</w:t>
      </w:r>
      <w:r w:rsidR="00495DD6" w:rsidRPr="00282AC9">
        <w:rPr>
          <w:rFonts w:hint="cs"/>
          <w:sz w:val="27"/>
          <w:rtl/>
          <w:lang w:bidi="ar-LB"/>
        </w:rPr>
        <w:t>ٌ</w:t>
      </w:r>
      <w:r w:rsidRPr="00282AC9">
        <w:rPr>
          <w:rFonts w:hint="cs"/>
          <w:sz w:val="27"/>
          <w:rtl/>
          <w:lang w:bidi="ar-LB"/>
        </w:rPr>
        <w:t xml:space="preserve"> من الكتاب والسن</w:t>
      </w:r>
      <w:r w:rsidR="00495DD6" w:rsidRPr="00282AC9">
        <w:rPr>
          <w:rFonts w:hint="cs"/>
          <w:sz w:val="27"/>
          <w:rtl/>
          <w:lang w:bidi="ar-LB"/>
        </w:rPr>
        <w:t>ّ</w:t>
      </w:r>
      <w:r w:rsidRPr="00282AC9">
        <w:rPr>
          <w:rFonts w:hint="cs"/>
          <w:sz w:val="27"/>
          <w:rtl/>
          <w:lang w:bidi="ar-LB"/>
        </w:rPr>
        <w:t>ة.</w:t>
      </w:r>
    </w:p>
    <w:p w:rsidR="00495DD6" w:rsidRPr="00282AC9" w:rsidRDefault="00A9019A" w:rsidP="00B16272">
      <w:pPr>
        <w:tabs>
          <w:tab w:val="right" w:pos="6930"/>
        </w:tabs>
        <w:suppressAutoHyphens/>
        <w:rPr>
          <w:sz w:val="27"/>
          <w:rtl/>
          <w:lang w:bidi="ar-LB"/>
        </w:rPr>
      </w:pPr>
      <w:r w:rsidRPr="00282AC9">
        <w:rPr>
          <w:rFonts w:hint="cs"/>
          <w:b/>
          <w:bCs/>
          <w:sz w:val="27"/>
          <w:rtl/>
          <w:lang w:bidi="ar-LB"/>
        </w:rPr>
        <w:t>والثاني</w:t>
      </w:r>
      <w:r w:rsidRPr="00282AC9">
        <w:rPr>
          <w:rFonts w:hint="cs"/>
          <w:sz w:val="27"/>
          <w:rtl/>
          <w:lang w:bidi="ar-LB"/>
        </w:rPr>
        <w:t>: أن تكون المسألة نقليّة</w:t>
      </w:r>
      <w:r w:rsidR="00495DD6" w:rsidRPr="00282AC9">
        <w:rPr>
          <w:rFonts w:hint="cs"/>
          <w:sz w:val="27"/>
          <w:rtl/>
          <w:lang w:bidi="ar-LB"/>
        </w:rPr>
        <w:t>ً</w:t>
      </w:r>
      <w:r w:rsidRPr="00282AC9">
        <w:rPr>
          <w:rFonts w:hint="cs"/>
          <w:sz w:val="27"/>
          <w:rtl/>
          <w:lang w:bidi="ar-LB"/>
        </w:rPr>
        <w:t xml:space="preserve"> ب</w:t>
      </w:r>
      <w:r w:rsidR="00495DD6" w:rsidRPr="00282AC9">
        <w:rPr>
          <w:rFonts w:hint="cs"/>
          <w:sz w:val="27"/>
          <w:rtl/>
          <w:lang w:bidi="ar-LB"/>
        </w:rPr>
        <w:t>َ</w:t>
      </w:r>
      <w:r w:rsidRPr="00282AC9">
        <w:rPr>
          <w:rFonts w:hint="cs"/>
          <w:sz w:val="27"/>
          <w:rtl/>
          <w:lang w:bidi="ar-LB"/>
        </w:rPr>
        <w:t>ح</w:t>
      </w:r>
      <w:r w:rsidR="00495DD6" w:rsidRPr="00282AC9">
        <w:rPr>
          <w:rFonts w:hint="cs"/>
          <w:sz w:val="27"/>
          <w:rtl/>
          <w:lang w:bidi="ar-LB"/>
        </w:rPr>
        <w:t>ْ</w:t>
      </w:r>
      <w:r w:rsidRPr="00282AC9">
        <w:rPr>
          <w:rFonts w:hint="cs"/>
          <w:sz w:val="27"/>
          <w:rtl/>
          <w:lang w:bidi="ar-LB"/>
        </w:rPr>
        <w:t>ت</w:t>
      </w:r>
      <w:r w:rsidR="00495DD6" w:rsidRPr="00282AC9">
        <w:rPr>
          <w:rFonts w:hint="cs"/>
          <w:sz w:val="27"/>
          <w:rtl/>
          <w:lang w:bidi="ar-LB"/>
        </w:rPr>
        <w:t>ة، ولا تدلّ عليها ملازمةٌ عقلية.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والثالث</w:t>
      </w:r>
      <w:r w:rsidRPr="00282AC9">
        <w:rPr>
          <w:rFonts w:hint="cs"/>
          <w:sz w:val="27"/>
          <w:rtl/>
          <w:lang w:bidi="ar-LB"/>
        </w:rPr>
        <w:t>: أن تكون المسألة ممّا يدرك بالعقل</w:t>
      </w:r>
      <w:r w:rsidR="00495DD6" w:rsidRPr="00282AC9">
        <w:rPr>
          <w:rFonts w:hint="cs"/>
          <w:sz w:val="27"/>
          <w:rtl/>
          <w:lang w:bidi="ar-LB"/>
        </w:rPr>
        <w:t>،</w:t>
      </w:r>
      <w:r w:rsidRPr="00282AC9">
        <w:rPr>
          <w:rFonts w:hint="cs"/>
          <w:sz w:val="27"/>
          <w:rtl/>
          <w:lang w:bidi="ar-LB"/>
        </w:rPr>
        <w:t xml:space="preserve"> ويؤي</w:t>
      </w:r>
      <w:r w:rsidR="00495DD6" w:rsidRPr="00282AC9">
        <w:rPr>
          <w:rFonts w:hint="cs"/>
          <w:sz w:val="27"/>
          <w:rtl/>
          <w:lang w:bidi="ar-LB"/>
        </w:rPr>
        <w:t>َّ</w:t>
      </w:r>
      <w:r w:rsidRPr="00282AC9">
        <w:rPr>
          <w:rFonts w:hint="cs"/>
          <w:sz w:val="27"/>
          <w:rtl/>
          <w:lang w:bidi="ar-LB"/>
        </w:rPr>
        <w:t xml:space="preserve">د بالنقل، </w:t>
      </w:r>
      <w:r w:rsidR="00495DD6" w:rsidRPr="00282AC9">
        <w:rPr>
          <w:rFonts w:hint="cs"/>
          <w:sz w:val="27"/>
          <w:rtl/>
          <w:lang w:bidi="ar-LB"/>
        </w:rPr>
        <w:t>أي</w:t>
      </w:r>
      <w:r w:rsidRPr="00282AC9">
        <w:rPr>
          <w:rFonts w:hint="cs"/>
          <w:sz w:val="27"/>
          <w:rtl/>
          <w:lang w:bidi="ar-LB"/>
        </w:rPr>
        <w:t xml:space="preserve"> </w:t>
      </w:r>
      <w:r w:rsidR="00495DD6" w:rsidRPr="00282AC9">
        <w:rPr>
          <w:rFonts w:hint="cs"/>
          <w:sz w:val="27"/>
          <w:rtl/>
          <w:lang w:bidi="ar-LB"/>
        </w:rPr>
        <w:t>إ</w:t>
      </w:r>
      <w:r w:rsidRPr="00282AC9">
        <w:rPr>
          <w:rFonts w:hint="cs"/>
          <w:sz w:val="27"/>
          <w:rtl/>
          <w:lang w:bidi="ar-LB"/>
        </w:rPr>
        <w:t xml:space="preserve">نّهما متطابقان </w:t>
      </w:r>
      <w:r w:rsidR="00495DD6" w:rsidRPr="00282AC9">
        <w:rPr>
          <w:rFonts w:hint="cs"/>
          <w:sz w:val="27"/>
          <w:rtl/>
          <w:lang w:bidi="ar-LB"/>
        </w:rPr>
        <w:t>على</w:t>
      </w:r>
      <w:r w:rsidRPr="00282AC9">
        <w:rPr>
          <w:rFonts w:hint="cs"/>
          <w:sz w:val="27"/>
          <w:rtl/>
          <w:lang w:bidi="ar-LB"/>
        </w:rPr>
        <w:t xml:space="preserve"> عدم خلوّ الواقعة من الحكم الشرعي</w:t>
      </w:r>
      <w:r w:rsidR="00495DD6" w:rsidRPr="00282AC9">
        <w:rPr>
          <w:rFonts w:hint="cs"/>
          <w:sz w:val="27"/>
          <w:rtl/>
          <w:lang w:bidi="ar-LB"/>
        </w:rPr>
        <w:t>ّ</w:t>
      </w:r>
      <w:r w:rsidRPr="00282AC9">
        <w:rPr>
          <w:rFonts w:hint="cs"/>
          <w:sz w:val="27"/>
          <w:rtl/>
          <w:lang w:bidi="ar-LB"/>
        </w:rPr>
        <w:t>، ولم يسكت أحدهما عن ذلك، وهذا بخلاف الوجهين المتقدّ</w:t>
      </w:r>
      <w:r w:rsidR="00495DD6" w:rsidRPr="00282AC9">
        <w:rPr>
          <w:rFonts w:hint="cs"/>
          <w:sz w:val="27"/>
          <w:rtl/>
          <w:lang w:bidi="ar-LB"/>
        </w:rPr>
        <w:t>ِ</w:t>
      </w:r>
      <w:r w:rsidRPr="00282AC9">
        <w:rPr>
          <w:rFonts w:hint="cs"/>
          <w:sz w:val="27"/>
          <w:rtl/>
          <w:lang w:bidi="ar-LB"/>
        </w:rPr>
        <w:t>مين</w:t>
      </w:r>
      <w:r w:rsidR="00495DD6" w:rsidRPr="00282AC9">
        <w:rPr>
          <w:rFonts w:hint="cs"/>
          <w:sz w:val="27"/>
          <w:rtl/>
          <w:lang w:bidi="ar-LB"/>
        </w:rPr>
        <w:t>،</w:t>
      </w:r>
      <w:r w:rsidRPr="00282AC9">
        <w:rPr>
          <w:rFonts w:hint="cs"/>
          <w:sz w:val="27"/>
          <w:rtl/>
          <w:lang w:bidi="ar-LB"/>
        </w:rPr>
        <w:t xml:space="preserve"> حيث </w:t>
      </w:r>
      <w:r w:rsidR="00495DD6" w:rsidRPr="00282AC9">
        <w:rPr>
          <w:rFonts w:hint="cs"/>
          <w:sz w:val="27"/>
          <w:rtl/>
          <w:lang w:bidi="ar-LB"/>
        </w:rPr>
        <w:t>إ</w:t>
      </w:r>
      <w:r w:rsidRPr="00282AC9">
        <w:rPr>
          <w:rFonts w:hint="cs"/>
          <w:sz w:val="27"/>
          <w:rtl/>
          <w:lang w:bidi="ar-LB"/>
        </w:rPr>
        <w:t xml:space="preserve">ن الشرع قد سكت </w:t>
      </w:r>
      <w:r w:rsidRPr="00282AC9">
        <w:rPr>
          <w:sz w:val="27"/>
          <w:rtl/>
          <w:lang w:bidi="ar-LB"/>
        </w:rPr>
        <w:t>ـ</w:t>
      </w:r>
      <w:r w:rsidRPr="00282AC9">
        <w:rPr>
          <w:rFonts w:hint="cs"/>
          <w:sz w:val="27"/>
          <w:rtl/>
          <w:lang w:bidi="ar-LB"/>
        </w:rPr>
        <w:t xml:space="preserve"> على الأوّل </w:t>
      </w:r>
      <w:r w:rsidRPr="00282AC9">
        <w:rPr>
          <w:sz w:val="27"/>
          <w:rtl/>
          <w:lang w:bidi="ar-LB"/>
        </w:rPr>
        <w:t>ـ</w:t>
      </w:r>
      <w:r w:rsidRPr="00282AC9">
        <w:rPr>
          <w:rFonts w:hint="cs"/>
          <w:sz w:val="27"/>
          <w:rtl/>
          <w:lang w:bidi="ar-LB"/>
        </w:rPr>
        <w:t xml:space="preserve"> عن إبداء الموقف تجاه هذه المسألة، كما أنّ العقل قد عجز </w:t>
      </w:r>
      <w:r w:rsidRPr="00282AC9">
        <w:rPr>
          <w:sz w:val="27"/>
          <w:rtl/>
          <w:lang w:bidi="ar-LB"/>
        </w:rPr>
        <w:t>ـ</w:t>
      </w:r>
      <w:r w:rsidRPr="00282AC9">
        <w:rPr>
          <w:rFonts w:hint="cs"/>
          <w:sz w:val="27"/>
          <w:rtl/>
          <w:lang w:bidi="ar-LB"/>
        </w:rPr>
        <w:t xml:space="preserve"> على الثاني </w:t>
      </w:r>
      <w:r w:rsidRPr="00282AC9">
        <w:rPr>
          <w:sz w:val="27"/>
          <w:rtl/>
          <w:lang w:bidi="ar-LB"/>
        </w:rPr>
        <w:t>ـ</w:t>
      </w:r>
      <w:r w:rsidRPr="00282AC9">
        <w:rPr>
          <w:rFonts w:hint="cs"/>
          <w:sz w:val="27"/>
          <w:rtl/>
          <w:lang w:bidi="ar-LB"/>
        </w:rPr>
        <w:t xml:space="preserve"> عن تحديد الأمر، وأنّه هل تخلو الواقعة من الحكم أو لا؟</w:t>
      </w:r>
    </w:p>
    <w:p w:rsidR="00A9019A" w:rsidRPr="00282AC9" w:rsidRDefault="00A9019A" w:rsidP="00B16272">
      <w:pPr>
        <w:tabs>
          <w:tab w:val="right" w:pos="6930"/>
        </w:tabs>
        <w:suppressAutoHyphens/>
        <w:rPr>
          <w:sz w:val="27"/>
          <w:rtl/>
          <w:lang w:bidi="ar-LB"/>
        </w:rPr>
      </w:pPr>
      <w:r w:rsidRPr="00282AC9">
        <w:rPr>
          <w:rFonts w:hint="cs"/>
          <w:sz w:val="27"/>
          <w:rtl/>
          <w:lang w:bidi="ar-LB"/>
        </w:rPr>
        <w:lastRenderedPageBreak/>
        <w:t>وأي</w:t>
      </w:r>
      <w:r w:rsidR="00495DD6" w:rsidRPr="00282AC9">
        <w:rPr>
          <w:rFonts w:hint="cs"/>
          <w:sz w:val="27"/>
          <w:rtl/>
          <w:lang w:bidi="ar-LB"/>
        </w:rPr>
        <w:t>ّاً م</w:t>
      </w:r>
      <w:r w:rsidRPr="00282AC9">
        <w:rPr>
          <w:rFonts w:hint="cs"/>
          <w:sz w:val="27"/>
          <w:rtl/>
          <w:lang w:bidi="ar-LB"/>
        </w:rPr>
        <w:t>ا كان فسوف يتّ</w:t>
      </w:r>
      <w:r w:rsidR="00495DD6" w:rsidRPr="00282AC9">
        <w:rPr>
          <w:rFonts w:hint="cs"/>
          <w:sz w:val="27"/>
          <w:rtl/>
          <w:lang w:bidi="ar-LB"/>
        </w:rPr>
        <w:t>َ</w:t>
      </w:r>
      <w:r w:rsidRPr="00282AC9">
        <w:rPr>
          <w:rFonts w:hint="cs"/>
          <w:sz w:val="27"/>
          <w:rtl/>
          <w:lang w:bidi="ar-LB"/>
        </w:rPr>
        <w:t>ضح من خلال البحوث الآتية إن</w:t>
      </w:r>
      <w:r w:rsidR="00495DD6" w:rsidRPr="00282AC9">
        <w:rPr>
          <w:rFonts w:hint="cs"/>
          <w:sz w:val="27"/>
          <w:rtl/>
          <w:lang w:bidi="ar-LB"/>
        </w:rPr>
        <w:t>ْ</w:t>
      </w:r>
      <w:r w:rsidRPr="00282AC9">
        <w:rPr>
          <w:rFonts w:hint="cs"/>
          <w:sz w:val="27"/>
          <w:rtl/>
          <w:lang w:bidi="ar-LB"/>
        </w:rPr>
        <w:t xml:space="preserve"> شاء الله تعالى أنّ الظاهر من كلمات الأصحاب اختيار واحد من الوجهين الأخيرين، وأنّ المترائي من أكثرهم هو الثاني</w:t>
      </w:r>
      <w:r w:rsidR="00495DD6" w:rsidRPr="00282AC9">
        <w:rPr>
          <w:rFonts w:hint="cs"/>
          <w:sz w:val="27"/>
          <w:rtl/>
          <w:lang w:bidi="ar-LB"/>
        </w:rPr>
        <w:t>.</w:t>
      </w:r>
      <w:r w:rsidRPr="00282AC9">
        <w:rPr>
          <w:rFonts w:hint="cs"/>
          <w:sz w:val="27"/>
          <w:rtl/>
          <w:lang w:bidi="ar-LB"/>
        </w:rPr>
        <w:t xml:space="preserve"> وأما الوجه الأوّل فلم نج</w:t>
      </w:r>
      <w:r w:rsidR="00CA022C" w:rsidRPr="00282AC9">
        <w:rPr>
          <w:rFonts w:hint="cs"/>
          <w:sz w:val="27"/>
          <w:rtl/>
          <w:lang w:bidi="ar-LB"/>
        </w:rPr>
        <w:t>ِ</w:t>
      </w:r>
      <w:r w:rsidRPr="00282AC9">
        <w:rPr>
          <w:rFonts w:hint="cs"/>
          <w:sz w:val="27"/>
          <w:rtl/>
          <w:lang w:bidi="ar-LB"/>
        </w:rPr>
        <w:t>د</w:t>
      </w:r>
      <w:r w:rsidR="00CA022C" w:rsidRPr="00282AC9">
        <w:rPr>
          <w:rFonts w:hint="cs"/>
          <w:sz w:val="27"/>
          <w:rtl/>
          <w:lang w:bidi="ar-LB"/>
        </w:rPr>
        <w:t>ْ</w:t>
      </w:r>
      <w:r w:rsidRPr="00282AC9">
        <w:rPr>
          <w:rFonts w:hint="cs"/>
          <w:sz w:val="27"/>
          <w:rtl/>
          <w:lang w:bidi="ar-LB"/>
        </w:rPr>
        <w:t xml:space="preserve"> قائلاً به بينهم، وإن</w:t>
      </w:r>
      <w:r w:rsidR="00495DD6" w:rsidRPr="00282AC9">
        <w:rPr>
          <w:rFonts w:hint="cs"/>
          <w:sz w:val="27"/>
          <w:rtl/>
          <w:lang w:bidi="ar-LB"/>
        </w:rPr>
        <w:t>ْ</w:t>
      </w:r>
      <w:r w:rsidRPr="00282AC9">
        <w:rPr>
          <w:rFonts w:hint="cs"/>
          <w:sz w:val="27"/>
          <w:rtl/>
          <w:lang w:bidi="ar-LB"/>
        </w:rPr>
        <w:t xml:space="preserve"> كان قد يستظهر ذلك من كلمات المحق</w:t>
      </w:r>
      <w:r w:rsidR="00495DD6" w:rsidRPr="00282AC9">
        <w:rPr>
          <w:rFonts w:hint="cs"/>
          <w:sz w:val="27"/>
          <w:rtl/>
          <w:lang w:bidi="ar-LB"/>
        </w:rPr>
        <w:t>ِّ</w:t>
      </w:r>
      <w:r w:rsidRPr="00282AC9">
        <w:rPr>
          <w:rFonts w:hint="cs"/>
          <w:sz w:val="27"/>
          <w:rtl/>
          <w:lang w:bidi="ar-LB"/>
        </w:rPr>
        <w:t>ق الشعراني</w:t>
      </w:r>
      <w:r w:rsidR="009A2A04" w:rsidRPr="00282AC9">
        <w:rPr>
          <w:rFonts w:cs="Mosawi" w:hint="cs"/>
          <w:sz w:val="22"/>
          <w:szCs w:val="22"/>
          <w:rtl/>
          <w:lang w:bidi="ar-LB"/>
        </w:rPr>
        <w:t>&amp;</w:t>
      </w:r>
      <w:r w:rsidRPr="00282AC9">
        <w:rPr>
          <w:rFonts w:hint="cs"/>
          <w:sz w:val="27"/>
          <w:rtl/>
          <w:lang w:bidi="ar-LB"/>
        </w:rPr>
        <w:t xml:space="preserve"> المتقدّ</w:t>
      </w:r>
      <w:r w:rsidR="00495DD6" w:rsidRPr="00282AC9">
        <w:rPr>
          <w:rFonts w:hint="cs"/>
          <w:sz w:val="27"/>
          <w:rtl/>
          <w:lang w:bidi="ar-LB"/>
        </w:rPr>
        <w:t>ِ</w:t>
      </w:r>
      <w:r w:rsidRPr="00282AC9">
        <w:rPr>
          <w:rFonts w:hint="cs"/>
          <w:sz w:val="27"/>
          <w:rtl/>
          <w:lang w:bidi="ar-LB"/>
        </w:rPr>
        <w:t>مة</w:t>
      </w:r>
      <w:r w:rsidR="00495DD6" w:rsidRPr="00282AC9">
        <w:rPr>
          <w:rFonts w:hint="cs"/>
          <w:sz w:val="27"/>
          <w:rtl/>
          <w:lang w:bidi="ar-LB"/>
        </w:rPr>
        <w:t>.</w:t>
      </w:r>
      <w:r w:rsidRPr="00282AC9">
        <w:rPr>
          <w:rFonts w:hint="cs"/>
          <w:sz w:val="27"/>
          <w:rtl/>
          <w:lang w:bidi="ar-LB"/>
        </w:rPr>
        <w:t xml:space="preserve"> ولا يخلو من وجه</w:t>
      </w:r>
      <w:r w:rsidR="00495DD6" w:rsidRPr="00282AC9">
        <w:rPr>
          <w:rFonts w:hint="cs"/>
          <w:sz w:val="27"/>
          <w:rtl/>
          <w:lang w:bidi="ar-LB"/>
        </w:rPr>
        <w:t>ٍ</w:t>
      </w:r>
      <w:r w:rsidRPr="00282AC9">
        <w:rPr>
          <w:rFonts w:hint="cs"/>
          <w:sz w:val="27"/>
          <w:rtl/>
          <w:lang w:bidi="ar-LB"/>
        </w:rPr>
        <w:t xml:space="preserve"> إذا ب</w:t>
      </w:r>
      <w:r w:rsidR="00495DD6" w:rsidRPr="00282AC9">
        <w:rPr>
          <w:rFonts w:hint="cs"/>
          <w:sz w:val="27"/>
          <w:rtl/>
          <w:lang w:bidi="ar-LB"/>
        </w:rPr>
        <w:t>ُ</w:t>
      </w:r>
      <w:r w:rsidRPr="00282AC9">
        <w:rPr>
          <w:rFonts w:hint="cs"/>
          <w:sz w:val="27"/>
          <w:rtl/>
          <w:lang w:bidi="ar-LB"/>
        </w:rPr>
        <w:t>ني على عدم تمامي</w:t>
      </w:r>
      <w:r w:rsidR="00495DD6" w:rsidRPr="00282AC9">
        <w:rPr>
          <w:rFonts w:hint="cs"/>
          <w:sz w:val="27"/>
          <w:rtl/>
          <w:lang w:bidi="ar-LB"/>
        </w:rPr>
        <w:t>ّ</w:t>
      </w:r>
      <w:r w:rsidRPr="00282AC9">
        <w:rPr>
          <w:rFonts w:hint="cs"/>
          <w:sz w:val="27"/>
          <w:rtl/>
          <w:lang w:bidi="ar-LB"/>
        </w:rPr>
        <w:t>ة ما سيأتي إن</w:t>
      </w:r>
      <w:r w:rsidR="00495DD6" w:rsidRPr="00282AC9">
        <w:rPr>
          <w:rFonts w:hint="cs"/>
          <w:sz w:val="27"/>
          <w:rtl/>
          <w:lang w:bidi="ar-LB"/>
        </w:rPr>
        <w:t>ْ</w:t>
      </w:r>
      <w:r w:rsidRPr="00282AC9">
        <w:rPr>
          <w:rFonts w:hint="cs"/>
          <w:sz w:val="27"/>
          <w:rtl/>
          <w:lang w:bidi="ar-LB"/>
        </w:rPr>
        <w:t xml:space="preserve"> شاء الله تعالى من الأدل</w:t>
      </w:r>
      <w:r w:rsidR="00495DD6" w:rsidRPr="00282AC9">
        <w:rPr>
          <w:rFonts w:hint="cs"/>
          <w:sz w:val="27"/>
          <w:rtl/>
          <w:lang w:bidi="ar-LB"/>
        </w:rPr>
        <w:t>ّ</w:t>
      </w:r>
      <w:r w:rsidRPr="00282AC9">
        <w:rPr>
          <w:rFonts w:hint="cs"/>
          <w:sz w:val="27"/>
          <w:rtl/>
          <w:lang w:bidi="ar-LB"/>
        </w:rPr>
        <w:t>ة النقلية، أعني: الإجماع والأخبار، للدلالة على المطلوب.</w:t>
      </w:r>
    </w:p>
    <w:p w:rsidR="00F97BBD" w:rsidRPr="00282AC9" w:rsidRDefault="00F97BBD" w:rsidP="00CC0484">
      <w:pPr>
        <w:tabs>
          <w:tab w:val="right" w:pos="6930"/>
        </w:tabs>
        <w:suppressAutoHyphens/>
        <w:spacing w:line="420" w:lineRule="exact"/>
        <w:rPr>
          <w:sz w:val="27"/>
          <w:rtl/>
          <w:lang w:bidi="ar-LB"/>
        </w:rPr>
      </w:pPr>
    </w:p>
    <w:p w:rsidR="00F97BBD" w:rsidRPr="00282AC9" w:rsidRDefault="00F97BBD" w:rsidP="00F97BBD">
      <w:pPr>
        <w:pStyle w:val="31"/>
        <w:rPr>
          <w:color w:val="auto"/>
          <w:rtl/>
          <w:lang w:bidi="ar-LB"/>
        </w:rPr>
      </w:pPr>
      <w:r w:rsidRPr="00282AC9">
        <w:rPr>
          <w:rFonts w:hint="cs"/>
          <w:color w:val="auto"/>
          <w:rtl/>
          <w:lang w:bidi="ar-LB"/>
        </w:rPr>
        <w:t>قول الشهيد الثاني في القاعدة</w:t>
      </w:r>
    </w:p>
    <w:p w:rsidR="00A9019A" w:rsidRPr="00282AC9" w:rsidRDefault="00A9019A" w:rsidP="00B16272">
      <w:pPr>
        <w:tabs>
          <w:tab w:val="right" w:pos="6930"/>
        </w:tabs>
        <w:suppressAutoHyphens/>
        <w:rPr>
          <w:sz w:val="27"/>
          <w:rtl/>
          <w:lang w:bidi="ar-LB"/>
        </w:rPr>
      </w:pPr>
      <w:r w:rsidRPr="00282AC9">
        <w:rPr>
          <w:rFonts w:hint="cs"/>
          <w:sz w:val="27"/>
          <w:rtl/>
          <w:lang w:bidi="ar-LB"/>
        </w:rPr>
        <w:t>ويجدر بنا في الختام أن نستعرض ما ذكره الشهيد الثاني</w:t>
      </w:r>
      <w:r w:rsidR="009A2A04" w:rsidRPr="00282AC9">
        <w:rPr>
          <w:rFonts w:cs="Mosawi" w:hint="cs"/>
          <w:sz w:val="22"/>
          <w:szCs w:val="22"/>
          <w:rtl/>
          <w:lang w:bidi="ar-LB"/>
        </w:rPr>
        <w:t>&amp;</w:t>
      </w:r>
      <w:r w:rsidRPr="00282AC9">
        <w:rPr>
          <w:rFonts w:hint="cs"/>
          <w:sz w:val="27"/>
          <w:rtl/>
          <w:lang w:bidi="ar-LB"/>
        </w:rPr>
        <w:t xml:space="preserve"> بصدد هذه القاعدة في (تمهيد القواعد)</w:t>
      </w:r>
      <w:r w:rsidR="008857C1" w:rsidRPr="00282AC9">
        <w:rPr>
          <w:rFonts w:hint="cs"/>
          <w:sz w:val="27"/>
          <w:rtl/>
          <w:lang w:bidi="ar-LB"/>
        </w:rPr>
        <w:t>،</w:t>
      </w:r>
      <w:r w:rsidRPr="00282AC9">
        <w:rPr>
          <w:rFonts w:hint="cs"/>
          <w:sz w:val="27"/>
          <w:rtl/>
          <w:lang w:bidi="ar-LB"/>
        </w:rPr>
        <w:t xml:space="preserve"> ممّا يتّ</w:t>
      </w:r>
      <w:r w:rsidR="008857C1" w:rsidRPr="00282AC9">
        <w:rPr>
          <w:rFonts w:hint="cs"/>
          <w:sz w:val="27"/>
          <w:rtl/>
          <w:lang w:bidi="ar-LB"/>
        </w:rPr>
        <w:t>َ</w:t>
      </w:r>
      <w:r w:rsidRPr="00282AC9">
        <w:rPr>
          <w:rFonts w:hint="cs"/>
          <w:sz w:val="27"/>
          <w:rtl/>
          <w:lang w:bidi="ar-LB"/>
        </w:rPr>
        <w:t>ضح في ضوئه الظروف التي تربّ</w:t>
      </w:r>
      <w:r w:rsidR="008857C1" w:rsidRPr="00282AC9">
        <w:rPr>
          <w:rFonts w:hint="cs"/>
          <w:sz w:val="27"/>
          <w:rtl/>
          <w:lang w:bidi="ar-LB"/>
        </w:rPr>
        <w:t>َ</w:t>
      </w:r>
      <w:r w:rsidRPr="00282AC9">
        <w:rPr>
          <w:rFonts w:hint="cs"/>
          <w:sz w:val="27"/>
          <w:rtl/>
          <w:lang w:bidi="ar-LB"/>
        </w:rPr>
        <w:t>ى فيها هذا النزاع، والتطوّ</w:t>
      </w:r>
      <w:r w:rsidR="008857C1" w:rsidRPr="00282AC9">
        <w:rPr>
          <w:rFonts w:hint="cs"/>
          <w:sz w:val="27"/>
          <w:rtl/>
          <w:lang w:bidi="ar-LB"/>
        </w:rPr>
        <w:t>ُ</w:t>
      </w:r>
      <w:r w:rsidRPr="00282AC9">
        <w:rPr>
          <w:rFonts w:hint="cs"/>
          <w:sz w:val="27"/>
          <w:rtl/>
          <w:lang w:bidi="ar-LB"/>
        </w:rPr>
        <w:t>رات التي حصلت له</w:t>
      </w:r>
      <w:r w:rsidR="005053B3" w:rsidRPr="00282AC9">
        <w:rPr>
          <w:rFonts w:hint="cs"/>
          <w:sz w:val="27"/>
          <w:rtl/>
          <w:lang w:bidi="ar-LB"/>
        </w:rPr>
        <w:t xml:space="preserve"> إلى </w:t>
      </w:r>
      <w:r w:rsidRPr="00282AC9">
        <w:rPr>
          <w:rFonts w:hint="cs"/>
          <w:sz w:val="27"/>
          <w:rtl/>
          <w:lang w:bidi="ar-LB"/>
        </w:rPr>
        <w:t>اليوم</w:t>
      </w:r>
      <w:r w:rsidR="008857C1" w:rsidRPr="00282AC9">
        <w:rPr>
          <w:rFonts w:hint="cs"/>
          <w:sz w:val="27"/>
          <w:rtl/>
          <w:lang w:bidi="ar-LB"/>
        </w:rPr>
        <w:t>؛</w:t>
      </w:r>
      <w:r w:rsidRPr="00282AC9">
        <w:rPr>
          <w:rFonts w:hint="cs"/>
          <w:sz w:val="27"/>
          <w:rtl/>
          <w:lang w:bidi="ar-LB"/>
        </w:rPr>
        <w:t xml:space="preserve"> فإنّ هذا قد يساعدنا على أن نتعرّ</w:t>
      </w:r>
      <w:r w:rsidR="008857C1" w:rsidRPr="00282AC9">
        <w:rPr>
          <w:rFonts w:hint="cs"/>
          <w:sz w:val="27"/>
          <w:rtl/>
          <w:lang w:bidi="ar-LB"/>
        </w:rPr>
        <w:t>َ</w:t>
      </w:r>
      <w:r w:rsidRPr="00282AC9">
        <w:rPr>
          <w:rFonts w:hint="cs"/>
          <w:sz w:val="27"/>
          <w:rtl/>
          <w:lang w:bidi="ar-LB"/>
        </w:rPr>
        <w:t>ف الحدود المرتسمة لهذا البحث عند الأصحاب، حت</w:t>
      </w:r>
      <w:r w:rsidR="008857C1" w:rsidRPr="00282AC9">
        <w:rPr>
          <w:rFonts w:hint="cs"/>
          <w:sz w:val="27"/>
          <w:rtl/>
          <w:lang w:bidi="ar-LB"/>
        </w:rPr>
        <w:t>ّ</w:t>
      </w:r>
      <w:r w:rsidRPr="00282AC9">
        <w:rPr>
          <w:rFonts w:hint="cs"/>
          <w:sz w:val="27"/>
          <w:rtl/>
          <w:lang w:bidi="ar-LB"/>
        </w:rPr>
        <w:t xml:space="preserve">ى نكون آخذين بعين الاعتبار </w:t>
      </w:r>
      <w:r w:rsidRPr="00282AC9">
        <w:rPr>
          <w:sz w:val="27"/>
          <w:rtl/>
          <w:lang w:bidi="ar-LB"/>
        </w:rPr>
        <w:t>ـ</w:t>
      </w:r>
      <w:r w:rsidRPr="00282AC9">
        <w:rPr>
          <w:rFonts w:hint="cs"/>
          <w:sz w:val="27"/>
          <w:rtl/>
          <w:lang w:bidi="ar-LB"/>
        </w:rPr>
        <w:t xml:space="preserve"> عند تقييم الأدل</w:t>
      </w:r>
      <w:r w:rsidR="008857C1" w:rsidRPr="00282AC9">
        <w:rPr>
          <w:rFonts w:hint="cs"/>
          <w:sz w:val="27"/>
          <w:rtl/>
          <w:lang w:bidi="ar-LB"/>
        </w:rPr>
        <w:t>ّ</w:t>
      </w:r>
      <w:r w:rsidRPr="00282AC9">
        <w:rPr>
          <w:rFonts w:hint="cs"/>
          <w:sz w:val="27"/>
          <w:rtl/>
          <w:lang w:bidi="ar-LB"/>
        </w:rPr>
        <w:t xml:space="preserve">ة </w:t>
      </w:r>
      <w:r w:rsidRPr="00282AC9">
        <w:rPr>
          <w:sz w:val="27"/>
          <w:rtl/>
          <w:lang w:bidi="ar-LB"/>
        </w:rPr>
        <w:t>ـ</w:t>
      </w:r>
      <w:r w:rsidRPr="00282AC9">
        <w:rPr>
          <w:rFonts w:hint="cs"/>
          <w:sz w:val="27"/>
          <w:rtl/>
          <w:lang w:bidi="ar-LB"/>
        </w:rPr>
        <w:t xml:space="preserve"> دلالتها على تلك الفكرة العامّة عن القاعدة</w:t>
      </w:r>
      <w:r w:rsidR="008857C1" w:rsidRPr="00282AC9">
        <w:rPr>
          <w:rFonts w:hint="cs"/>
          <w:sz w:val="27"/>
          <w:rtl/>
          <w:lang w:bidi="ar-LB"/>
        </w:rPr>
        <w:t>،</w:t>
      </w:r>
      <w:r w:rsidRPr="00282AC9">
        <w:rPr>
          <w:rFonts w:hint="cs"/>
          <w:sz w:val="27"/>
          <w:rtl/>
          <w:lang w:bidi="ar-LB"/>
        </w:rPr>
        <w:t xml:space="preserve"> لا على تفسير</w:t>
      </w:r>
      <w:r w:rsidR="008857C1" w:rsidRPr="00282AC9">
        <w:rPr>
          <w:rFonts w:hint="cs"/>
          <w:sz w:val="27"/>
          <w:rtl/>
          <w:lang w:bidi="ar-LB"/>
        </w:rPr>
        <w:t>ٍ</w:t>
      </w:r>
      <w:r w:rsidRPr="00282AC9">
        <w:rPr>
          <w:rFonts w:hint="cs"/>
          <w:sz w:val="27"/>
          <w:rtl/>
          <w:lang w:bidi="ar-LB"/>
        </w:rPr>
        <w:t xml:space="preserve"> نحن ندّ</w:t>
      </w:r>
      <w:r w:rsidR="008857C1" w:rsidRPr="00282AC9">
        <w:rPr>
          <w:rFonts w:hint="cs"/>
          <w:sz w:val="27"/>
          <w:rtl/>
          <w:lang w:bidi="ar-LB"/>
        </w:rPr>
        <w:t>َ</w:t>
      </w:r>
      <w:r w:rsidRPr="00282AC9">
        <w:rPr>
          <w:rFonts w:hint="cs"/>
          <w:sz w:val="27"/>
          <w:rtl/>
          <w:lang w:bidi="ar-LB"/>
        </w:rPr>
        <w:t>عيه اليوم.</w:t>
      </w:r>
    </w:p>
    <w:p w:rsidR="003C3DB3" w:rsidRPr="00282AC9" w:rsidRDefault="00A9019A" w:rsidP="00B16272">
      <w:pPr>
        <w:tabs>
          <w:tab w:val="right" w:pos="6930"/>
        </w:tabs>
        <w:suppressAutoHyphens/>
        <w:rPr>
          <w:sz w:val="27"/>
          <w:rtl/>
          <w:lang w:bidi="ar-LB"/>
        </w:rPr>
      </w:pPr>
      <w:r w:rsidRPr="00282AC9">
        <w:rPr>
          <w:rFonts w:hint="cs"/>
          <w:sz w:val="27"/>
          <w:rtl/>
          <w:lang w:bidi="ar-LB"/>
        </w:rPr>
        <w:t>قال الشهيد الثاني</w:t>
      </w:r>
      <w:r w:rsidR="009A2A04" w:rsidRPr="00282AC9">
        <w:rPr>
          <w:rFonts w:cs="Mosawi" w:hint="cs"/>
          <w:sz w:val="22"/>
          <w:szCs w:val="22"/>
          <w:rtl/>
          <w:lang w:bidi="ar-LB"/>
        </w:rPr>
        <w:t>&amp;</w:t>
      </w:r>
      <w:r w:rsidRPr="00282AC9">
        <w:rPr>
          <w:rFonts w:hint="cs"/>
          <w:sz w:val="27"/>
          <w:rtl/>
          <w:lang w:bidi="ar-LB"/>
        </w:rPr>
        <w:t>:</w:t>
      </w:r>
      <w:r w:rsidR="008857C1" w:rsidRPr="00282AC9">
        <w:rPr>
          <w:rFonts w:hint="cs"/>
          <w:sz w:val="27"/>
          <w:rtl/>
          <w:lang w:bidi="ar-LB"/>
        </w:rPr>
        <w:t xml:space="preserve"> </w:t>
      </w:r>
      <w:r w:rsidRPr="00282AC9">
        <w:rPr>
          <w:rFonts w:hint="cs"/>
          <w:sz w:val="27"/>
          <w:rtl/>
          <w:lang w:bidi="ar-LB"/>
        </w:rPr>
        <w:t>فائدة</w:t>
      </w:r>
      <w:r w:rsidR="008857C1" w:rsidRPr="00282AC9">
        <w:rPr>
          <w:rFonts w:hint="cs"/>
          <w:sz w:val="27"/>
          <w:rtl/>
          <w:lang w:bidi="ar-LB"/>
        </w:rPr>
        <w:t>ٌ</w:t>
      </w:r>
      <w:r w:rsidR="008C3633" w:rsidRPr="00282AC9">
        <w:rPr>
          <w:rFonts w:hint="cs"/>
          <w:sz w:val="27"/>
          <w:rtl/>
          <w:lang w:bidi="ar-LB"/>
        </w:rPr>
        <w:t>،</w:t>
      </w:r>
      <w:r w:rsidRPr="00282AC9">
        <w:rPr>
          <w:rFonts w:hint="cs"/>
          <w:b/>
          <w:bCs/>
          <w:sz w:val="27"/>
          <w:rtl/>
          <w:lang w:bidi="ar-LB"/>
        </w:rPr>
        <w:t xml:space="preserve"> </w:t>
      </w:r>
      <w:r w:rsidRPr="00282AC9">
        <w:rPr>
          <w:rFonts w:hint="cs"/>
          <w:sz w:val="27"/>
          <w:rtl/>
          <w:lang w:bidi="ar-LB"/>
        </w:rPr>
        <w:t>وهي خاتمة القسم الأوّل:</w:t>
      </w:r>
      <w:r w:rsidR="008857C1" w:rsidRPr="00282AC9">
        <w:rPr>
          <w:rFonts w:hint="cs"/>
          <w:sz w:val="27"/>
          <w:rtl/>
          <w:lang w:bidi="ar-LB"/>
        </w:rPr>
        <w:t xml:space="preserve"> </w:t>
      </w:r>
      <w:r w:rsidRPr="00282AC9">
        <w:rPr>
          <w:rFonts w:hint="cs"/>
          <w:sz w:val="27"/>
          <w:rtl/>
          <w:lang w:bidi="ar-LB"/>
        </w:rPr>
        <w:t>ليس كل</w:t>
      </w:r>
      <w:r w:rsidR="008857C1" w:rsidRPr="00282AC9">
        <w:rPr>
          <w:rFonts w:hint="cs"/>
          <w:sz w:val="27"/>
          <w:rtl/>
          <w:lang w:bidi="ar-LB"/>
        </w:rPr>
        <w:t>ّ</w:t>
      </w:r>
      <w:r w:rsidRPr="00282AC9">
        <w:rPr>
          <w:rFonts w:hint="cs"/>
          <w:sz w:val="27"/>
          <w:rtl/>
          <w:lang w:bidi="ar-LB"/>
        </w:rPr>
        <w:t xml:space="preserve"> مجتهد</w:t>
      </w:r>
      <w:r w:rsidR="008857C1" w:rsidRPr="00282AC9">
        <w:rPr>
          <w:rFonts w:hint="cs"/>
          <w:sz w:val="27"/>
          <w:rtl/>
          <w:lang w:bidi="ar-LB"/>
        </w:rPr>
        <w:t>ٍ</w:t>
      </w:r>
      <w:r w:rsidRPr="00282AC9">
        <w:rPr>
          <w:rFonts w:hint="cs"/>
          <w:sz w:val="27"/>
          <w:rtl/>
          <w:lang w:bidi="ar-LB"/>
        </w:rPr>
        <w:t xml:space="preserve"> في العقليات مصيباً</w:t>
      </w:r>
      <w:r w:rsidR="008857C1" w:rsidRPr="00282AC9">
        <w:rPr>
          <w:rFonts w:hint="cs"/>
          <w:sz w:val="27"/>
          <w:rtl/>
          <w:lang w:bidi="ar-LB"/>
        </w:rPr>
        <w:t>،</w:t>
      </w:r>
      <w:r w:rsidRPr="00282AC9">
        <w:rPr>
          <w:rFonts w:hint="cs"/>
          <w:sz w:val="27"/>
          <w:rtl/>
          <w:lang w:bidi="ar-LB"/>
        </w:rPr>
        <w:t xml:space="preserve"> بل الحقّ فيها واحد</w:t>
      </w:r>
      <w:r w:rsidR="008857C1" w:rsidRPr="00282AC9">
        <w:rPr>
          <w:rFonts w:hint="cs"/>
          <w:sz w:val="27"/>
          <w:rtl/>
          <w:lang w:bidi="ar-LB"/>
        </w:rPr>
        <w:t>ٌ؛</w:t>
      </w:r>
      <w:r w:rsidRPr="00282AC9">
        <w:rPr>
          <w:rFonts w:hint="cs"/>
          <w:sz w:val="27"/>
          <w:rtl/>
          <w:lang w:bidi="ar-LB"/>
        </w:rPr>
        <w:t xml:space="preserve"> فم</w:t>
      </w:r>
      <w:r w:rsidR="008857C1" w:rsidRPr="00282AC9">
        <w:rPr>
          <w:rFonts w:hint="cs"/>
          <w:sz w:val="27"/>
          <w:rtl/>
          <w:lang w:bidi="ar-LB"/>
        </w:rPr>
        <w:t>َ</w:t>
      </w:r>
      <w:r w:rsidRPr="00282AC9">
        <w:rPr>
          <w:rFonts w:hint="cs"/>
          <w:sz w:val="27"/>
          <w:rtl/>
          <w:lang w:bidi="ar-LB"/>
        </w:rPr>
        <w:t>ن</w:t>
      </w:r>
      <w:r w:rsidR="008857C1" w:rsidRPr="00282AC9">
        <w:rPr>
          <w:rFonts w:hint="cs"/>
          <w:sz w:val="27"/>
          <w:rtl/>
          <w:lang w:bidi="ar-LB"/>
        </w:rPr>
        <w:t>ْ</w:t>
      </w:r>
      <w:r w:rsidRPr="00282AC9">
        <w:rPr>
          <w:rFonts w:hint="cs"/>
          <w:sz w:val="27"/>
          <w:rtl/>
          <w:lang w:bidi="ar-LB"/>
        </w:rPr>
        <w:t xml:space="preserve"> أصابه أصاب</w:t>
      </w:r>
      <w:r w:rsidR="008857C1" w:rsidRPr="00282AC9">
        <w:rPr>
          <w:rFonts w:hint="cs"/>
          <w:sz w:val="27"/>
          <w:rtl/>
          <w:lang w:bidi="ar-LB"/>
        </w:rPr>
        <w:t>؛</w:t>
      </w:r>
      <w:r w:rsidRPr="00282AC9">
        <w:rPr>
          <w:rFonts w:hint="cs"/>
          <w:sz w:val="27"/>
          <w:rtl/>
          <w:lang w:bidi="ar-LB"/>
        </w:rPr>
        <w:t xml:space="preserve"> وم</w:t>
      </w:r>
      <w:r w:rsidR="008857C1" w:rsidRPr="00282AC9">
        <w:rPr>
          <w:rFonts w:hint="cs"/>
          <w:sz w:val="27"/>
          <w:rtl/>
          <w:lang w:bidi="ar-LB"/>
        </w:rPr>
        <w:t>َ</w:t>
      </w:r>
      <w:r w:rsidRPr="00282AC9">
        <w:rPr>
          <w:rFonts w:hint="cs"/>
          <w:sz w:val="27"/>
          <w:rtl/>
          <w:lang w:bidi="ar-LB"/>
        </w:rPr>
        <w:t>ن</w:t>
      </w:r>
      <w:r w:rsidR="008857C1" w:rsidRPr="00282AC9">
        <w:rPr>
          <w:rFonts w:hint="cs"/>
          <w:sz w:val="27"/>
          <w:rtl/>
          <w:lang w:bidi="ar-LB"/>
        </w:rPr>
        <w:t>ْ</w:t>
      </w:r>
      <w:r w:rsidRPr="00282AC9">
        <w:rPr>
          <w:rFonts w:hint="cs"/>
          <w:sz w:val="27"/>
          <w:rtl/>
          <w:lang w:bidi="ar-LB"/>
        </w:rPr>
        <w:t xml:space="preserve"> </w:t>
      </w:r>
      <w:r w:rsidR="003C3DB3" w:rsidRPr="00282AC9">
        <w:rPr>
          <w:rFonts w:hint="cs"/>
          <w:sz w:val="27"/>
          <w:rtl/>
          <w:lang w:bidi="ar-LB"/>
        </w:rPr>
        <w:t xml:space="preserve">فقده </w:t>
      </w:r>
      <w:r w:rsidRPr="00282AC9">
        <w:rPr>
          <w:rFonts w:hint="cs"/>
          <w:sz w:val="27"/>
          <w:rtl/>
          <w:lang w:bidi="ar-LB"/>
        </w:rPr>
        <w:t>أخطأ وأ</w:t>
      </w:r>
      <w:r w:rsidR="003C3DB3" w:rsidRPr="00282AC9">
        <w:rPr>
          <w:rFonts w:hint="cs"/>
          <w:sz w:val="27"/>
          <w:rtl/>
          <w:lang w:bidi="ar-LB"/>
        </w:rPr>
        <w:t>ثم</w:t>
      </w:r>
      <w:r w:rsidRPr="00282AC9">
        <w:rPr>
          <w:rFonts w:hint="cs"/>
          <w:sz w:val="27"/>
          <w:rtl/>
          <w:lang w:bidi="ar-LB"/>
        </w:rPr>
        <w:t xml:space="preserve"> إجماعاً. وأمّا المجتهد في المسائل الفرعيّة ففيه خلاف</w:t>
      </w:r>
      <w:r w:rsidR="003C3DB3" w:rsidRPr="00282AC9">
        <w:rPr>
          <w:rFonts w:hint="cs"/>
          <w:sz w:val="27"/>
          <w:rtl/>
          <w:lang w:bidi="ar-LB"/>
        </w:rPr>
        <w:t>ٌ</w:t>
      </w:r>
      <w:r w:rsidRPr="00282AC9">
        <w:rPr>
          <w:rFonts w:hint="cs"/>
          <w:sz w:val="27"/>
          <w:rtl/>
          <w:lang w:bidi="ar-LB"/>
        </w:rPr>
        <w:t xml:space="preserve"> </w:t>
      </w:r>
      <w:r w:rsidR="003C3DB3" w:rsidRPr="00282AC9">
        <w:rPr>
          <w:rFonts w:hint="cs"/>
          <w:sz w:val="27"/>
          <w:rtl/>
          <w:lang w:bidi="ar-LB"/>
        </w:rPr>
        <w:t>يبنى</w:t>
      </w:r>
      <w:r w:rsidRPr="00282AC9">
        <w:rPr>
          <w:rFonts w:hint="cs"/>
          <w:sz w:val="27"/>
          <w:rtl/>
          <w:lang w:bidi="ar-LB"/>
        </w:rPr>
        <w:t xml:space="preserve"> على أن</w:t>
      </w:r>
      <w:r w:rsidR="003C3DB3" w:rsidRPr="00282AC9">
        <w:rPr>
          <w:rFonts w:hint="cs"/>
          <w:sz w:val="27"/>
          <w:rtl/>
          <w:lang w:bidi="ar-LB"/>
        </w:rPr>
        <w:t>ّ</w:t>
      </w:r>
      <w:r w:rsidRPr="00282AC9">
        <w:rPr>
          <w:rFonts w:hint="cs"/>
          <w:sz w:val="27"/>
          <w:rtl/>
          <w:lang w:bidi="ar-LB"/>
        </w:rPr>
        <w:t xml:space="preserve"> كلّ صورة</w:t>
      </w:r>
      <w:r w:rsidR="003C3DB3" w:rsidRPr="00282AC9">
        <w:rPr>
          <w:rFonts w:hint="cs"/>
          <w:sz w:val="27"/>
          <w:rtl/>
          <w:lang w:bidi="ar-LB"/>
        </w:rPr>
        <w:t>ٍ</w:t>
      </w:r>
      <w:r w:rsidRPr="00282AC9">
        <w:rPr>
          <w:rFonts w:hint="cs"/>
          <w:sz w:val="27"/>
          <w:rtl/>
          <w:lang w:bidi="ar-LB"/>
        </w:rPr>
        <w:t xml:space="preserve"> هل لها حكم</w:t>
      </w:r>
      <w:r w:rsidR="003C3DB3" w:rsidRPr="00282AC9">
        <w:rPr>
          <w:rFonts w:hint="cs"/>
          <w:sz w:val="27"/>
          <w:rtl/>
          <w:lang w:bidi="ar-LB"/>
        </w:rPr>
        <w:t>ٌ معيّن أم لا؟</w:t>
      </w:r>
    </w:p>
    <w:p w:rsidR="00A9019A" w:rsidRPr="00282AC9" w:rsidRDefault="00A9019A" w:rsidP="00B16272">
      <w:pPr>
        <w:tabs>
          <w:tab w:val="right" w:pos="6930"/>
        </w:tabs>
        <w:suppressAutoHyphens/>
        <w:rPr>
          <w:sz w:val="27"/>
          <w:rtl/>
          <w:lang w:bidi="ar-LB"/>
        </w:rPr>
      </w:pPr>
      <w:r w:rsidRPr="00282AC9">
        <w:rPr>
          <w:rFonts w:hint="cs"/>
          <w:sz w:val="27"/>
          <w:rtl/>
          <w:lang w:bidi="ar-LB"/>
        </w:rPr>
        <w:t>وقد لخّ</w:t>
      </w:r>
      <w:r w:rsidR="003C3DB3" w:rsidRPr="00282AC9">
        <w:rPr>
          <w:rFonts w:hint="cs"/>
          <w:sz w:val="27"/>
          <w:rtl/>
          <w:lang w:bidi="ar-LB"/>
        </w:rPr>
        <w:t>َ</w:t>
      </w:r>
      <w:r w:rsidRPr="00282AC9">
        <w:rPr>
          <w:rFonts w:hint="cs"/>
          <w:sz w:val="27"/>
          <w:rtl/>
          <w:lang w:bidi="ar-LB"/>
        </w:rPr>
        <w:t>ص الرازي هذا الخلاف فقال:</w:t>
      </w:r>
      <w:r w:rsidR="003C3DB3" w:rsidRPr="00282AC9">
        <w:rPr>
          <w:rFonts w:hint="cs"/>
          <w:sz w:val="27"/>
          <w:rtl/>
          <w:lang w:bidi="ar-LB"/>
        </w:rPr>
        <w:t xml:space="preserve"> </w:t>
      </w:r>
      <w:r w:rsidRPr="00282AC9">
        <w:rPr>
          <w:rFonts w:hint="cs"/>
          <w:sz w:val="27"/>
          <w:rtl/>
          <w:lang w:bidi="ar-LB"/>
        </w:rPr>
        <w:t>اختلف العلماء في الواقعة التي لا نصَّ فيها على قولين:</w:t>
      </w:r>
    </w:p>
    <w:p w:rsidR="00A9019A" w:rsidRPr="00282AC9" w:rsidRDefault="00A9019A" w:rsidP="00B16272">
      <w:pPr>
        <w:tabs>
          <w:tab w:val="right" w:pos="6930"/>
        </w:tabs>
        <w:suppressAutoHyphens/>
        <w:rPr>
          <w:sz w:val="27"/>
          <w:rtl/>
          <w:lang w:bidi="ar-LB"/>
        </w:rPr>
      </w:pPr>
      <w:r w:rsidRPr="00282AC9">
        <w:rPr>
          <w:rFonts w:hint="cs"/>
          <w:b/>
          <w:bCs/>
          <w:sz w:val="27"/>
          <w:rtl/>
          <w:lang w:bidi="ar-LB"/>
        </w:rPr>
        <w:t>أحدهما</w:t>
      </w:r>
      <w:r w:rsidR="003C3DB3" w:rsidRPr="00282AC9">
        <w:rPr>
          <w:rFonts w:hint="cs"/>
          <w:sz w:val="27"/>
          <w:rtl/>
          <w:lang w:bidi="ar-LB"/>
        </w:rPr>
        <w:t xml:space="preserve"> ـ وبه قال الأشعريّ وجمهور المتكلِّمين ـ:</w:t>
      </w:r>
      <w:r w:rsidRPr="00282AC9">
        <w:rPr>
          <w:rFonts w:hint="cs"/>
          <w:sz w:val="27"/>
          <w:rtl/>
          <w:lang w:bidi="ar-LB"/>
        </w:rPr>
        <w:t xml:space="preserve"> </w:t>
      </w:r>
      <w:r w:rsidR="003C3DB3" w:rsidRPr="00282AC9">
        <w:rPr>
          <w:rFonts w:hint="cs"/>
          <w:sz w:val="27"/>
          <w:rtl/>
          <w:lang w:bidi="ar-LB"/>
        </w:rPr>
        <w:t xml:space="preserve">إنه ليس لله تعالى فيها قبل الاجتهاد </w:t>
      </w:r>
      <w:r w:rsidRPr="00282AC9">
        <w:rPr>
          <w:rFonts w:hint="cs"/>
          <w:sz w:val="27"/>
          <w:rtl/>
          <w:lang w:bidi="ar-LB"/>
        </w:rPr>
        <w:t>حكم</w:t>
      </w:r>
      <w:r w:rsidR="003C3DB3" w:rsidRPr="00282AC9">
        <w:rPr>
          <w:rFonts w:hint="cs"/>
          <w:sz w:val="27"/>
          <w:rtl/>
          <w:lang w:bidi="ar-LB"/>
        </w:rPr>
        <w:t>ٌ</w:t>
      </w:r>
      <w:r w:rsidRPr="00282AC9">
        <w:rPr>
          <w:rFonts w:hint="cs"/>
          <w:sz w:val="27"/>
          <w:rtl/>
          <w:lang w:bidi="ar-LB"/>
        </w:rPr>
        <w:t xml:space="preserve"> معيّن، بل حكمه تعالى فيها </w:t>
      </w:r>
      <w:r w:rsidR="003C3DB3" w:rsidRPr="00282AC9">
        <w:rPr>
          <w:rFonts w:hint="cs"/>
          <w:sz w:val="27"/>
          <w:rtl/>
          <w:lang w:bidi="ar-LB"/>
        </w:rPr>
        <w:t>ت</w:t>
      </w:r>
      <w:r w:rsidRPr="00282AC9">
        <w:rPr>
          <w:rFonts w:hint="cs"/>
          <w:sz w:val="27"/>
          <w:rtl/>
          <w:lang w:bidi="ar-LB"/>
        </w:rPr>
        <w:t>ابع</w:t>
      </w:r>
      <w:r w:rsidR="003C3DB3" w:rsidRPr="00282AC9">
        <w:rPr>
          <w:rFonts w:hint="cs"/>
          <w:sz w:val="27"/>
          <w:rtl/>
          <w:lang w:bidi="ar-LB"/>
        </w:rPr>
        <w:t>ٌ</w:t>
      </w:r>
      <w:r w:rsidRPr="00282AC9">
        <w:rPr>
          <w:rFonts w:hint="cs"/>
          <w:sz w:val="27"/>
          <w:rtl/>
          <w:lang w:bidi="ar-LB"/>
        </w:rPr>
        <w:t xml:space="preserve"> </w:t>
      </w:r>
      <w:r w:rsidR="003C3DB3" w:rsidRPr="00282AC9">
        <w:rPr>
          <w:rFonts w:hint="cs"/>
          <w:sz w:val="27"/>
          <w:rtl/>
          <w:lang w:bidi="ar-LB"/>
        </w:rPr>
        <w:t>ل</w:t>
      </w:r>
      <w:r w:rsidRPr="00282AC9">
        <w:rPr>
          <w:rFonts w:hint="cs"/>
          <w:sz w:val="27"/>
          <w:rtl/>
          <w:lang w:bidi="ar-LB"/>
        </w:rPr>
        <w:t>ظن</w:t>
      </w:r>
      <w:r w:rsidR="003C3DB3" w:rsidRPr="00282AC9">
        <w:rPr>
          <w:rFonts w:hint="cs"/>
          <w:sz w:val="27"/>
          <w:rtl/>
          <w:lang w:bidi="ar-LB"/>
        </w:rPr>
        <w:t>ّ</w:t>
      </w:r>
      <w:r w:rsidRPr="00282AC9">
        <w:rPr>
          <w:rFonts w:hint="cs"/>
          <w:sz w:val="27"/>
          <w:rtl/>
          <w:lang w:bidi="ar-LB"/>
        </w:rPr>
        <w:t xml:space="preserve"> المجتهد</w:t>
      </w:r>
      <w:r w:rsidR="003C3DB3" w:rsidRPr="00282AC9">
        <w:rPr>
          <w:rFonts w:hint="cs"/>
          <w:sz w:val="27"/>
          <w:rtl/>
          <w:lang w:bidi="ar-LB"/>
        </w:rPr>
        <w:t>.</w:t>
      </w:r>
      <w:r w:rsidRPr="00282AC9">
        <w:rPr>
          <w:rFonts w:hint="cs"/>
          <w:sz w:val="27"/>
          <w:rtl/>
          <w:lang w:bidi="ar-LB"/>
        </w:rPr>
        <w:t xml:space="preserve"> وهؤلاء هم القائلون بأنّ كلّ مجتهد</w:t>
      </w:r>
      <w:r w:rsidR="003C3DB3" w:rsidRPr="00282AC9">
        <w:rPr>
          <w:rFonts w:hint="cs"/>
          <w:sz w:val="27"/>
          <w:rtl/>
          <w:lang w:bidi="ar-LB"/>
        </w:rPr>
        <w:t>ٍ</w:t>
      </w:r>
      <w:r w:rsidRPr="00282AC9">
        <w:rPr>
          <w:rFonts w:hint="cs"/>
          <w:sz w:val="27"/>
          <w:rtl/>
          <w:lang w:bidi="ar-LB"/>
        </w:rPr>
        <w:t xml:space="preserve"> مصي</w:t>
      </w:r>
      <w:r w:rsidR="003C3DB3" w:rsidRPr="00282AC9">
        <w:rPr>
          <w:rFonts w:hint="cs"/>
          <w:sz w:val="27"/>
          <w:rtl/>
          <w:lang w:bidi="ar-LB"/>
        </w:rPr>
        <w:t xml:space="preserve">. </w:t>
      </w:r>
      <w:r w:rsidRPr="00282AC9">
        <w:rPr>
          <w:rFonts w:hint="cs"/>
          <w:sz w:val="27"/>
          <w:rtl/>
          <w:lang w:bidi="ar-LB"/>
        </w:rPr>
        <w:t xml:space="preserve">واختلف هؤلاء؛ فقال بعضهم: </w:t>
      </w:r>
      <w:r w:rsidR="00674EF5" w:rsidRPr="00282AC9">
        <w:rPr>
          <w:rFonts w:hint="cs"/>
          <w:sz w:val="27"/>
          <w:rtl/>
          <w:lang w:bidi="ar-LB"/>
        </w:rPr>
        <w:t>لا بُدَّ</w:t>
      </w:r>
      <w:r w:rsidRPr="00282AC9">
        <w:rPr>
          <w:rFonts w:hint="cs"/>
          <w:sz w:val="27"/>
          <w:rtl/>
          <w:lang w:bidi="ar-LB"/>
        </w:rPr>
        <w:t xml:space="preserve"> أن يوجد في الواقعة ما لو حكم الله تعالى فيها بحكم</w:t>
      </w:r>
      <w:r w:rsidR="003C3DB3" w:rsidRPr="00282AC9">
        <w:rPr>
          <w:rFonts w:hint="cs"/>
          <w:sz w:val="27"/>
          <w:rtl/>
          <w:lang w:bidi="ar-LB"/>
        </w:rPr>
        <w:t>ٍ</w:t>
      </w:r>
      <w:r w:rsidRPr="00282AC9">
        <w:rPr>
          <w:rFonts w:hint="cs"/>
          <w:sz w:val="27"/>
          <w:rtl/>
          <w:lang w:bidi="ar-LB"/>
        </w:rPr>
        <w:t xml:space="preserve"> لم يحكم إلاّ به</w:t>
      </w:r>
      <w:r w:rsidR="003C3DB3" w:rsidRPr="00282AC9">
        <w:rPr>
          <w:rFonts w:hint="cs"/>
          <w:sz w:val="27"/>
          <w:rtl/>
          <w:lang w:bidi="ar-LB"/>
        </w:rPr>
        <w:t>؛</w:t>
      </w:r>
      <w:r w:rsidRPr="00282AC9">
        <w:rPr>
          <w:rFonts w:hint="cs"/>
          <w:sz w:val="27"/>
          <w:rtl/>
          <w:lang w:bidi="ar-LB"/>
        </w:rPr>
        <w:t xml:space="preserve"> وقال بعضهم، لا يشترط ذلك.</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والقول الثاني</w:t>
      </w:r>
      <w:r w:rsidRPr="00282AC9">
        <w:rPr>
          <w:rFonts w:hint="cs"/>
          <w:sz w:val="27"/>
          <w:rtl/>
          <w:lang w:bidi="ar-LB"/>
        </w:rPr>
        <w:t xml:space="preserve">: </w:t>
      </w:r>
      <w:r w:rsidR="003C3DB3" w:rsidRPr="00282AC9">
        <w:rPr>
          <w:rFonts w:hint="cs"/>
          <w:sz w:val="27"/>
          <w:rtl/>
          <w:lang w:bidi="ar-LB"/>
        </w:rPr>
        <w:t>إ</w:t>
      </w:r>
      <w:r w:rsidRPr="00282AC9">
        <w:rPr>
          <w:rFonts w:hint="cs"/>
          <w:sz w:val="27"/>
          <w:rtl/>
          <w:lang w:bidi="ar-LB"/>
        </w:rPr>
        <w:t>نّ له تعالى في كلّ واقعة حكماً معيّناً.</w:t>
      </w:r>
    </w:p>
    <w:p w:rsidR="00A9019A" w:rsidRPr="00282AC9" w:rsidRDefault="00A9019A" w:rsidP="00B16272">
      <w:pPr>
        <w:tabs>
          <w:tab w:val="right" w:pos="6930"/>
        </w:tabs>
        <w:suppressAutoHyphens/>
        <w:rPr>
          <w:sz w:val="27"/>
          <w:rtl/>
          <w:lang w:bidi="ar-LB"/>
        </w:rPr>
      </w:pPr>
      <w:r w:rsidRPr="00282AC9">
        <w:rPr>
          <w:rFonts w:hint="cs"/>
          <w:sz w:val="27"/>
          <w:rtl/>
          <w:lang w:bidi="ar-LB"/>
        </w:rPr>
        <w:t>وعلى هذا فثلاثة أقوال:</w:t>
      </w:r>
    </w:p>
    <w:p w:rsidR="00A9019A" w:rsidRPr="00282AC9" w:rsidRDefault="00A9019A" w:rsidP="00B16272">
      <w:pPr>
        <w:tabs>
          <w:tab w:val="right" w:pos="6930"/>
        </w:tabs>
        <w:suppressAutoHyphens/>
        <w:rPr>
          <w:sz w:val="27"/>
          <w:rtl/>
          <w:lang w:bidi="ar-LB"/>
        </w:rPr>
      </w:pPr>
      <w:r w:rsidRPr="00282AC9">
        <w:rPr>
          <w:rFonts w:hint="cs"/>
          <w:b/>
          <w:bCs/>
          <w:sz w:val="27"/>
          <w:rtl/>
          <w:lang w:bidi="ar-LB"/>
        </w:rPr>
        <w:lastRenderedPageBreak/>
        <w:t>أحدها</w:t>
      </w:r>
      <w:r w:rsidR="003C3DB3" w:rsidRPr="00282AC9">
        <w:rPr>
          <w:rFonts w:hint="cs"/>
          <w:sz w:val="27"/>
          <w:rtl/>
          <w:lang w:bidi="ar-LB"/>
        </w:rPr>
        <w:t xml:space="preserve">، </w:t>
      </w:r>
      <w:r w:rsidRPr="00282AC9">
        <w:rPr>
          <w:rFonts w:hint="cs"/>
          <w:sz w:val="27"/>
          <w:rtl/>
          <w:lang w:bidi="ar-LB"/>
        </w:rPr>
        <w:t>وهو قول</w:t>
      </w:r>
      <w:r w:rsidR="003C3DB3" w:rsidRPr="00282AC9">
        <w:rPr>
          <w:rFonts w:hint="cs"/>
          <w:sz w:val="27"/>
          <w:rtl/>
          <w:lang w:bidi="ar-LB"/>
        </w:rPr>
        <w:t>ُ</w:t>
      </w:r>
      <w:r w:rsidRPr="00282AC9">
        <w:rPr>
          <w:rFonts w:hint="cs"/>
          <w:sz w:val="27"/>
          <w:rtl/>
          <w:lang w:bidi="ar-LB"/>
        </w:rPr>
        <w:t xml:space="preserve"> طائفة</w:t>
      </w:r>
      <w:r w:rsidR="003C3DB3" w:rsidRPr="00282AC9">
        <w:rPr>
          <w:rFonts w:hint="cs"/>
          <w:sz w:val="27"/>
          <w:rtl/>
          <w:lang w:bidi="ar-LB"/>
        </w:rPr>
        <w:t>ٍ</w:t>
      </w:r>
      <w:r w:rsidRPr="00282AC9">
        <w:rPr>
          <w:rFonts w:hint="cs"/>
          <w:sz w:val="27"/>
          <w:rtl/>
          <w:lang w:bidi="ar-LB"/>
        </w:rPr>
        <w:t xml:space="preserve"> من الفقهاء والمتكل</w:t>
      </w:r>
      <w:r w:rsidR="003C3DB3" w:rsidRPr="00282AC9">
        <w:rPr>
          <w:rFonts w:hint="cs"/>
          <w:sz w:val="27"/>
          <w:rtl/>
          <w:lang w:bidi="ar-LB"/>
        </w:rPr>
        <w:t>ِّ</w:t>
      </w:r>
      <w:r w:rsidRPr="00282AC9">
        <w:rPr>
          <w:rFonts w:hint="cs"/>
          <w:sz w:val="27"/>
          <w:rtl/>
          <w:lang w:bidi="ar-LB"/>
        </w:rPr>
        <w:t>مين</w:t>
      </w:r>
      <w:r w:rsidR="003C3DB3" w:rsidRPr="00282AC9">
        <w:rPr>
          <w:rFonts w:hint="cs"/>
          <w:sz w:val="27"/>
          <w:rtl/>
          <w:lang w:bidi="ar-LB"/>
        </w:rPr>
        <w:t>:</w:t>
      </w:r>
      <w:r w:rsidRPr="00282AC9">
        <w:rPr>
          <w:rFonts w:hint="cs"/>
          <w:sz w:val="27"/>
          <w:rtl/>
          <w:lang w:bidi="ar-LB"/>
        </w:rPr>
        <w:t xml:space="preserve"> يحصل الحكم من غير دلالة</w:t>
      </w:r>
      <w:r w:rsidR="003C3DB3" w:rsidRPr="00282AC9">
        <w:rPr>
          <w:rFonts w:hint="cs"/>
          <w:sz w:val="27"/>
          <w:rtl/>
          <w:lang w:bidi="ar-LB"/>
        </w:rPr>
        <w:t>ٍ</w:t>
      </w:r>
      <w:r w:rsidRPr="00282AC9">
        <w:rPr>
          <w:rFonts w:hint="cs"/>
          <w:sz w:val="27"/>
          <w:rtl/>
          <w:lang w:bidi="ar-LB"/>
        </w:rPr>
        <w:t xml:space="preserve"> </w:t>
      </w:r>
      <w:r w:rsidR="003C3DB3" w:rsidRPr="00282AC9">
        <w:rPr>
          <w:rFonts w:hint="cs"/>
          <w:sz w:val="27"/>
          <w:rtl/>
          <w:lang w:bidi="ar-LB"/>
        </w:rPr>
        <w:t>و</w:t>
      </w:r>
      <w:r w:rsidRPr="00282AC9">
        <w:rPr>
          <w:rFonts w:hint="cs"/>
          <w:sz w:val="27"/>
          <w:rtl/>
          <w:lang w:bidi="ar-LB"/>
        </w:rPr>
        <w:t>لا أمارة</w:t>
      </w:r>
      <w:r w:rsidR="003C3DB3" w:rsidRPr="00282AC9">
        <w:rPr>
          <w:rFonts w:hint="cs"/>
          <w:sz w:val="27"/>
          <w:rtl/>
          <w:lang w:bidi="ar-LB"/>
        </w:rPr>
        <w:t>ٍ</w:t>
      </w:r>
      <w:r w:rsidRPr="00282AC9">
        <w:rPr>
          <w:rFonts w:hint="cs"/>
          <w:sz w:val="27"/>
          <w:rtl/>
          <w:lang w:bidi="ar-LB"/>
        </w:rPr>
        <w:t>، بل هو كدفين</w:t>
      </w:r>
      <w:r w:rsidR="003C3DB3" w:rsidRPr="00282AC9">
        <w:rPr>
          <w:rFonts w:hint="cs"/>
          <w:sz w:val="27"/>
          <w:rtl/>
          <w:lang w:bidi="ar-LB"/>
        </w:rPr>
        <w:t>ٍ</w:t>
      </w:r>
      <w:r w:rsidRPr="00282AC9">
        <w:rPr>
          <w:rFonts w:hint="cs"/>
          <w:sz w:val="27"/>
          <w:rtl/>
          <w:lang w:bidi="ar-LB"/>
        </w:rPr>
        <w:t xml:space="preserve"> يعثر عليه الطالب ات</w:t>
      </w:r>
      <w:r w:rsidR="003C3DB3" w:rsidRPr="00282AC9">
        <w:rPr>
          <w:rFonts w:hint="cs"/>
          <w:sz w:val="27"/>
          <w:rtl/>
          <w:lang w:bidi="ar-LB"/>
        </w:rPr>
        <w:t>ّ</w:t>
      </w:r>
      <w:r w:rsidRPr="00282AC9">
        <w:rPr>
          <w:rFonts w:hint="cs"/>
          <w:sz w:val="27"/>
          <w:rtl/>
          <w:lang w:bidi="ar-LB"/>
        </w:rPr>
        <w:t>فاقاً، فم</w:t>
      </w:r>
      <w:r w:rsidR="003C3DB3" w:rsidRPr="00282AC9">
        <w:rPr>
          <w:rFonts w:hint="cs"/>
          <w:sz w:val="27"/>
          <w:rtl/>
          <w:lang w:bidi="ar-LB"/>
        </w:rPr>
        <w:t>َ</w:t>
      </w:r>
      <w:r w:rsidRPr="00282AC9">
        <w:rPr>
          <w:rFonts w:hint="cs"/>
          <w:sz w:val="27"/>
          <w:rtl/>
          <w:lang w:bidi="ar-LB"/>
        </w:rPr>
        <w:t>ن</w:t>
      </w:r>
      <w:r w:rsidR="003C3DB3" w:rsidRPr="00282AC9">
        <w:rPr>
          <w:rFonts w:hint="cs"/>
          <w:sz w:val="27"/>
          <w:rtl/>
          <w:lang w:bidi="ar-LB"/>
        </w:rPr>
        <w:t>ْ</w:t>
      </w:r>
      <w:r w:rsidRPr="00282AC9">
        <w:rPr>
          <w:rFonts w:hint="cs"/>
          <w:sz w:val="27"/>
          <w:rtl/>
          <w:lang w:bidi="ar-LB"/>
        </w:rPr>
        <w:t xml:space="preserve"> وجده فله أجران، وم</w:t>
      </w:r>
      <w:r w:rsidR="003C3DB3" w:rsidRPr="00282AC9">
        <w:rPr>
          <w:rFonts w:hint="cs"/>
          <w:sz w:val="27"/>
          <w:rtl/>
          <w:lang w:bidi="ar-LB"/>
        </w:rPr>
        <w:t>َ</w:t>
      </w:r>
      <w:r w:rsidRPr="00282AC9">
        <w:rPr>
          <w:rFonts w:hint="cs"/>
          <w:sz w:val="27"/>
          <w:rtl/>
          <w:lang w:bidi="ar-LB"/>
        </w:rPr>
        <w:t>ن</w:t>
      </w:r>
      <w:r w:rsidR="003C3DB3" w:rsidRPr="00282AC9">
        <w:rPr>
          <w:rFonts w:hint="cs"/>
          <w:sz w:val="27"/>
          <w:rtl/>
          <w:lang w:bidi="ar-LB"/>
        </w:rPr>
        <w:t>ْ</w:t>
      </w:r>
      <w:r w:rsidRPr="00282AC9">
        <w:rPr>
          <w:rFonts w:hint="cs"/>
          <w:sz w:val="27"/>
          <w:rtl/>
          <w:lang w:bidi="ar-LB"/>
        </w:rPr>
        <w:t xml:space="preserve"> أخطأه فله أجر</w:t>
      </w:r>
      <w:r w:rsidR="003C3DB3" w:rsidRPr="00282AC9">
        <w:rPr>
          <w:rFonts w:hint="cs"/>
          <w:sz w:val="27"/>
          <w:rtl/>
          <w:lang w:bidi="ar-LB"/>
        </w:rPr>
        <w:t>ٌ</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والقول الثاني</w:t>
      </w:r>
      <w:r w:rsidRPr="00282AC9">
        <w:rPr>
          <w:rFonts w:hint="cs"/>
          <w:sz w:val="27"/>
          <w:rtl/>
          <w:lang w:bidi="ar-LB"/>
        </w:rPr>
        <w:t>: عليه أمارة</w:t>
      </w:r>
      <w:r w:rsidR="003C3DB3" w:rsidRPr="00282AC9">
        <w:rPr>
          <w:rFonts w:hint="cs"/>
          <w:sz w:val="27"/>
          <w:rtl/>
          <w:lang w:bidi="ar-LB"/>
        </w:rPr>
        <w:t>ٌ</w:t>
      </w:r>
      <w:r w:rsidRPr="00282AC9">
        <w:rPr>
          <w:rFonts w:hint="cs"/>
          <w:sz w:val="27"/>
          <w:rtl/>
          <w:lang w:bidi="ar-LB"/>
        </w:rPr>
        <w:t>، أي</w:t>
      </w:r>
      <w:r w:rsidR="003C3DB3" w:rsidRPr="00282AC9">
        <w:rPr>
          <w:rFonts w:hint="cs"/>
          <w:sz w:val="27"/>
          <w:rtl/>
          <w:lang w:bidi="ar-LB"/>
        </w:rPr>
        <w:t xml:space="preserve"> </w:t>
      </w:r>
      <w:r w:rsidRPr="00282AC9">
        <w:rPr>
          <w:rFonts w:hint="cs"/>
          <w:sz w:val="27"/>
          <w:rtl/>
          <w:lang w:bidi="ar-LB"/>
        </w:rPr>
        <w:t>دليل</w:t>
      </w:r>
      <w:r w:rsidR="003C3DB3" w:rsidRPr="00282AC9">
        <w:rPr>
          <w:rFonts w:hint="cs"/>
          <w:sz w:val="27"/>
          <w:rtl/>
          <w:lang w:bidi="ar-LB"/>
        </w:rPr>
        <w:t>ٌ</w:t>
      </w:r>
      <w:r w:rsidRPr="00282AC9">
        <w:rPr>
          <w:rFonts w:hint="cs"/>
          <w:sz w:val="27"/>
          <w:rtl/>
          <w:lang w:bidi="ar-LB"/>
        </w:rPr>
        <w:t xml:space="preserve"> ظن</w:t>
      </w:r>
      <w:r w:rsidR="003C3DB3" w:rsidRPr="00282AC9">
        <w:rPr>
          <w:rFonts w:hint="cs"/>
          <w:sz w:val="27"/>
          <w:rtl/>
          <w:lang w:bidi="ar-LB"/>
        </w:rPr>
        <w:t>ّ</w:t>
      </w:r>
      <w:r w:rsidRPr="00282AC9">
        <w:rPr>
          <w:rFonts w:hint="cs"/>
          <w:sz w:val="27"/>
          <w:rtl/>
          <w:lang w:bidi="ar-LB"/>
        </w:rPr>
        <w:t>ي</w:t>
      </w:r>
      <w:r w:rsidR="003C3DB3" w:rsidRPr="00282AC9">
        <w:rPr>
          <w:rFonts w:hint="cs"/>
          <w:sz w:val="27"/>
          <w:rtl/>
          <w:lang w:bidi="ar-LB"/>
        </w:rPr>
        <w:t>.</w:t>
      </w:r>
      <w:r w:rsidRPr="00282AC9">
        <w:rPr>
          <w:rFonts w:hint="cs"/>
          <w:sz w:val="27"/>
          <w:rtl/>
          <w:lang w:bidi="ar-LB"/>
        </w:rPr>
        <w:t xml:space="preserve"> والقائلون به اختلفوا</w:t>
      </w:r>
      <w:r w:rsidR="003C3DB3" w:rsidRPr="00282AC9">
        <w:rPr>
          <w:rFonts w:hint="cs"/>
          <w:sz w:val="27"/>
          <w:rtl/>
          <w:lang w:bidi="ar-LB"/>
        </w:rPr>
        <w:t>؛</w:t>
      </w:r>
      <w:r w:rsidRPr="00282AC9">
        <w:rPr>
          <w:rFonts w:hint="cs"/>
          <w:sz w:val="27"/>
          <w:rtl/>
          <w:lang w:bidi="ar-LB"/>
        </w:rPr>
        <w:t xml:space="preserve"> فقال بعضهم</w:t>
      </w:r>
      <w:r w:rsidR="003C3DB3" w:rsidRPr="00282AC9">
        <w:rPr>
          <w:rFonts w:hint="cs"/>
          <w:sz w:val="27"/>
          <w:rtl/>
          <w:lang w:bidi="ar-LB"/>
        </w:rPr>
        <w:t>:</w:t>
      </w:r>
      <w:r w:rsidRPr="00282AC9">
        <w:rPr>
          <w:rFonts w:hint="cs"/>
          <w:sz w:val="27"/>
          <w:rtl/>
          <w:lang w:bidi="ar-LB"/>
        </w:rPr>
        <w:t xml:space="preserve"> لم يكلّ</w:t>
      </w:r>
      <w:r w:rsidR="003C3DB3" w:rsidRPr="00282AC9">
        <w:rPr>
          <w:rFonts w:hint="cs"/>
          <w:sz w:val="27"/>
          <w:rtl/>
          <w:lang w:bidi="ar-LB"/>
        </w:rPr>
        <w:t>َ</w:t>
      </w:r>
      <w:r w:rsidRPr="00282AC9">
        <w:rPr>
          <w:rFonts w:hint="cs"/>
          <w:sz w:val="27"/>
          <w:rtl/>
          <w:lang w:bidi="ar-LB"/>
        </w:rPr>
        <w:t>ف المجتهد بإصابته</w:t>
      </w:r>
      <w:r w:rsidR="003C3DB3" w:rsidRPr="00282AC9">
        <w:rPr>
          <w:rFonts w:hint="cs"/>
          <w:sz w:val="27"/>
          <w:rtl/>
          <w:lang w:bidi="ar-LB"/>
        </w:rPr>
        <w:t>؛</w:t>
      </w:r>
      <w:r w:rsidRPr="00282AC9">
        <w:rPr>
          <w:rFonts w:hint="cs"/>
          <w:sz w:val="27"/>
          <w:rtl/>
          <w:lang w:bidi="ar-LB"/>
        </w:rPr>
        <w:t xml:space="preserve"> لخفائه وغموضه</w:t>
      </w:r>
      <w:r w:rsidR="003C3DB3" w:rsidRPr="00282AC9">
        <w:rPr>
          <w:rFonts w:hint="cs"/>
          <w:sz w:val="27"/>
          <w:rtl/>
          <w:lang w:bidi="ar-LB"/>
        </w:rPr>
        <w:t>؛</w:t>
      </w:r>
      <w:r w:rsidRPr="00282AC9">
        <w:rPr>
          <w:rFonts w:hint="cs"/>
          <w:sz w:val="27"/>
          <w:rtl/>
          <w:lang w:bidi="ar-LB"/>
        </w:rPr>
        <w:t xml:space="preserve"> فلذلك كان المخطئ فيه معذوراً مأجوراً، وهو قول جمهور الفقهاء، وينسب</w:t>
      </w:r>
      <w:r w:rsidR="005053B3" w:rsidRPr="00282AC9">
        <w:rPr>
          <w:rFonts w:hint="cs"/>
          <w:sz w:val="27"/>
          <w:rtl/>
          <w:lang w:bidi="ar-LB"/>
        </w:rPr>
        <w:t xml:space="preserve"> إلى </w:t>
      </w:r>
      <w:r w:rsidRPr="00282AC9">
        <w:rPr>
          <w:rFonts w:hint="cs"/>
          <w:sz w:val="27"/>
          <w:rtl/>
          <w:lang w:bidi="ar-LB"/>
        </w:rPr>
        <w:t>الشافعي وأبي حنيفة</w:t>
      </w:r>
      <w:r w:rsidR="003C3DB3" w:rsidRPr="00282AC9">
        <w:rPr>
          <w:rFonts w:hint="cs"/>
          <w:sz w:val="27"/>
          <w:rtl/>
          <w:lang w:bidi="ar-LB"/>
        </w:rPr>
        <w:t>؛</w:t>
      </w:r>
      <w:r w:rsidRPr="00282AC9">
        <w:rPr>
          <w:rFonts w:hint="cs"/>
          <w:sz w:val="27"/>
          <w:rtl/>
          <w:lang w:bidi="ar-LB"/>
        </w:rPr>
        <w:t xml:space="preserve"> وقال بعضهم</w:t>
      </w:r>
      <w:r w:rsidR="003C3DB3" w:rsidRPr="00282AC9">
        <w:rPr>
          <w:rFonts w:hint="cs"/>
          <w:sz w:val="27"/>
          <w:rtl/>
          <w:lang w:bidi="ar-LB"/>
        </w:rPr>
        <w:t>:</w:t>
      </w:r>
      <w:r w:rsidRPr="00282AC9">
        <w:rPr>
          <w:rFonts w:hint="cs"/>
          <w:sz w:val="27"/>
          <w:rtl/>
          <w:lang w:bidi="ar-LB"/>
        </w:rPr>
        <w:t xml:space="preserve"> إنّه مأمور</w:t>
      </w:r>
      <w:r w:rsidR="003C3DB3" w:rsidRPr="00282AC9">
        <w:rPr>
          <w:rFonts w:hint="cs"/>
          <w:sz w:val="27"/>
          <w:rtl/>
          <w:lang w:bidi="ar-LB"/>
        </w:rPr>
        <w:t>ٌ</w:t>
      </w:r>
      <w:r w:rsidRPr="00282AC9">
        <w:rPr>
          <w:rFonts w:hint="cs"/>
          <w:sz w:val="27"/>
          <w:rtl/>
          <w:lang w:bidi="ar-LB"/>
        </w:rPr>
        <w:t xml:space="preserve"> بط</w:t>
      </w:r>
      <w:r w:rsidR="003C3DB3" w:rsidRPr="00282AC9">
        <w:rPr>
          <w:rFonts w:hint="cs"/>
          <w:sz w:val="27"/>
          <w:rtl/>
          <w:lang w:bidi="ar-LB"/>
        </w:rPr>
        <w:t>َ</w:t>
      </w:r>
      <w:r w:rsidRPr="00282AC9">
        <w:rPr>
          <w:rFonts w:hint="cs"/>
          <w:sz w:val="27"/>
          <w:rtl/>
          <w:lang w:bidi="ar-LB"/>
        </w:rPr>
        <w:t>ل</w:t>
      </w:r>
      <w:r w:rsidR="003C3DB3" w:rsidRPr="00282AC9">
        <w:rPr>
          <w:rFonts w:hint="cs"/>
          <w:sz w:val="27"/>
          <w:rtl/>
          <w:lang w:bidi="ar-LB"/>
        </w:rPr>
        <w:t>َ</w:t>
      </w:r>
      <w:r w:rsidRPr="00282AC9">
        <w:rPr>
          <w:rFonts w:hint="cs"/>
          <w:sz w:val="27"/>
          <w:rtl/>
          <w:lang w:bidi="ar-LB"/>
        </w:rPr>
        <w:t>به أو</w:t>
      </w:r>
      <w:r w:rsidR="003C3DB3" w:rsidRPr="00282AC9">
        <w:rPr>
          <w:rFonts w:hint="cs"/>
          <w:sz w:val="27"/>
          <w:rtl/>
          <w:lang w:bidi="ar-LB"/>
        </w:rPr>
        <w:t>ّ</w:t>
      </w:r>
      <w:r w:rsidRPr="00282AC9">
        <w:rPr>
          <w:rFonts w:hint="cs"/>
          <w:sz w:val="27"/>
          <w:rtl/>
          <w:lang w:bidi="ar-LB"/>
        </w:rPr>
        <w:t>لاً، فإن</w:t>
      </w:r>
      <w:r w:rsidR="003C3DB3" w:rsidRPr="00282AC9">
        <w:rPr>
          <w:rFonts w:hint="cs"/>
          <w:sz w:val="27"/>
          <w:rtl/>
          <w:lang w:bidi="ar-LB"/>
        </w:rPr>
        <w:t>ْ</w:t>
      </w:r>
      <w:r w:rsidRPr="00282AC9">
        <w:rPr>
          <w:rFonts w:hint="cs"/>
          <w:sz w:val="27"/>
          <w:rtl/>
          <w:lang w:bidi="ar-LB"/>
        </w:rPr>
        <w:t xml:space="preserve"> أخطأ وغلب على ظنّه شيء</w:t>
      </w:r>
      <w:r w:rsidR="003C3DB3" w:rsidRPr="00282AC9">
        <w:rPr>
          <w:rFonts w:hint="cs"/>
          <w:sz w:val="27"/>
          <w:rtl/>
          <w:lang w:bidi="ar-LB"/>
        </w:rPr>
        <w:t>ٌ</w:t>
      </w:r>
      <w:r w:rsidRPr="00282AC9">
        <w:rPr>
          <w:rFonts w:hint="cs"/>
          <w:sz w:val="27"/>
          <w:rtl/>
          <w:lang w:bidi="ar-LB"/>
        </w:rPr>
        <w:t xml:space="preserve"> آخر، تغيّ</w:t>
      </w:r>
      <w:r w:rsidR="003C3DB3" w:rsidRPr="00282AC9">
        <w:rPr>
          <w:rFonts w:hint="cs"/>
          <w:sz w:val="27"/>
          <w:rtl/>
          <w:lang w:bidi="ar-LB"/>
        </w:rPr>
        <w:t>َ</w:t>
      </w:r>
      <w:r w:rsidRPr="00282AC9">
        <w:rPr>
          <w:rFonts w:hint="cs"/>
          <w:sz w:val="27"/>
          <w:rtl/>
          <w:lang w:bidi="ar-LB"/>
        </w:rPr>
        <w:t>ر التكليف</w:t>
      </w:r>
      <w:r w:rsidR="003C3DB3" w:rsidRPr="00282AC9">
        <w:rPr>
          <w:rFonts w:hint="cs"/>
          <w:sz w:val="27"/>
          <w:rtl/>
          <w:lang w:bidi="ar-LB"/>
        </w:rPr>
        <w:t>،</w:t>
      </w:r>
      <w:r w:rsidRPr="00282AC9">
        <w:rPr>
          <w:rFonts w:hint="cs"/>
          <w:sz w:val="27"/>
          <w:rtl/>
          <w:lang w:bidi="ar-LB"/>
        </w:rPr>
        <w:t xml:space="preserve"> وصار مأموراً بالعمل بمقتضى ظن</w:t>
      </w:r>
      <w:r w:rsidR="003C3DB3" w:rsidRPr="00282AC9">
        <w:rPr>
          <w:rFonts w:hint="cs"/>
          <w:sz w:val="27"/>
          <w:rtl/>
          <w:lang w:bidi="ar-LB"/>
        </w:rPr>
        <w:t>ِّ</w:t>
      </w:r>
      <w:r w:rsidRPr="00282AC9">
        <w:rPr>
          <w:rFonts w:hint="cs"/>
          <w:sz w:val="27"/>
          <w:rtl/>
          <w:lang w:bidi="ar-LB"/>
        </w:rPr>
        <w:t>ه.</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والقول الثالث</w:t>
      </w:r>
      <w:r w:rsidRPr="00282AC9">
        <w:rPr>
          <w:rFonts w:hint="cs"/>
          <w:sz w:val="27"/>
          <w:rtl/>
          <w:lang w:bidi="ar-LB"/>
        </w:rPr>
        <w:t xml:space="preserve">: </w:t>
      </w:r>
      <w:r w:rsidR="003C3DB3" w:rsidRPr="00282AC9">
        <w:rPr>
          <w:rFonts w:hint="cs"/>
          <w:sz w:val="27"/>
          <w:rtl/>
          <w:lang w:bidi="ar-LB"/>
        </w:rPr>
        <w:t>إ</w:t>
      </w:r>
      <w:r w:rsidRPr="00282AC9">
        <w:rPr>
          <w:rFonts w:hint="cs"/>
          <w:sz w:val="27"/>
          <w:rtl/>
          <w:lang w:bidi="ar-LB"/>
        </w:rPr>
        <w:t>نّ عليه دليلاً قطعيّاً</w:t>
      </w:r>
      <w:r w:rsidR="003C3DB3" w:rsidRPr="00282AC9">
        <w:rPr>
          <w:rFonts w:hint="cs"/>
          <w:sz w:val="27"/>
          <w:rtl/>
          <w:lang w:bidi="ar-LB"/>
        </w:rPr>
        <w:t>.</w:t>
      </w:r>
      <w:r w:rsidRPr="00282AC9">
        <w:rPr>
          <w:rFonts w:hint="cs"/>
          <w:sz w:val="27"/>
          <w:rtl/>
          <w:lang w:bidi="ar-LB"/>
        </w:rPr>
        <w:t xml:space="preserve"> والقائلون به اتفقوا على أنّ المجتهد مأمور</w:t>
      </w:r>
      <w:r w:rsidR="003C3DB3" w:rsidRPr="00282AC9">
        <w:rPr>
          <w:rFonts w:hint="cs"/>
          <w:sz w:val="27"/>
          <w:rtl/>
          <w:lang w:bidi="ar-LB"/>
        </w:rPr>
        <w:t>ٌ</w:t>
      </w:r>
      <w:r w:rsidRPr="00282AC9">
        <w:rPr>
          <w:rFonts w:hint="cs"/>
          <w:sz w:val="27"/>
          <w:rtl/>
          <w:lang w:bidi="ar-LB"/>
        </w:rPr>
        <w:t xml:space="preserve"> بط</w:t>
      </w:r>
      <w:r w:rsidR="003C3DB3" w:rsidRPr="00282AC9">
        <w:rPr>
          <w:rFonts w:hint="cs"/>
          <w:sz w:val="27"/>
          <w:rtl/>
          <w:lang w:bidi="ar-LB"/>
        </w:rPr>
        <w:t>َ</w:t>
      </w:r>
      <w:r w:rsidRPr="00282AC9">
        <w:rPr>
          <w:rFonts w:hint="cs"/>
          <w:sz w:val="27"/>
          <w:rtl/>
          <w:lang w:bidi="ar-LB"/>
        </w:rPr>
        <w:t>ل</w:t>
      </w:r>
      <w:r w:rsidR="003C3DB3" w:rsidRPr="00282AC9">
        <w:rPr>
          <w:rFonts w:hint="cs"/>
          <w:sz w:val="27"/>
          <w:rtl/>
          <w:lang w:bidi="ar-LB"/>
        </w:rPr>
        <w:t>َ</w:t>
      </w:r>
      <w:r w:rsidRPr="00282AC9">
        <w:rPr>
          <w:rFonts w:hint="cs"/>
          <w:sz w:val="27"/>
          <w:rtl/>
          <w:lang w:bidi="ar-LB"/>
        </w:rPr>
        <w:t>به</w:t>
      </w:r>
      <w:r w:rsidR="003C3DB3" w:rsidRPr="00282AC9">
        <w:rPr>
          <w:rFonts w:hint="cs"/>
          <w:sz w:val="27"/>
          <w:rtl/>
          <w:lang w:bidi="ar-LB"/>
        </w:rPr>
        <w:t>،</w:t>
      </w:r>
      <w:r w:rsidRPr="00282AC9">
        <w:rPr>
          <w:rFonts w:hint="cs"/>
          <w:sz w:val="27"/>
          <w:rtl/>
          <w:lang w:bidi="ar-LB"/>
        </w:rPr>
        <w:t xml:space="preserve"> لكن</w:t>
      </w:r>
      <w:r w:rsidR="003C3DB3" w:rsidRPr="00282AC9">
        <w:rPr>
          <w:rFonts w:hint="cs"/>
          <w:sz w:val="27"/>
          <w:rtl/>
          <w:lang w:bidi="ar-LB"/>
        </w:rPr>
        <w:t>ْ</w:t>
      </w:r>
      <w:r w:rsidRPr="00282AC9">
        <w:rPr>
          <w:rFonts w:hint="cs"/>
          <w:sz w:val="27"/>
          <w:rtl/>
          <w:lang w:bidi="ar-LB"/>
        </w:rPr>
        <w:t xml:space="preserve"> اختلفوا؛ فقال الجمهور: إن المخطئ فيه لا يأثم</w:t>
      </w:r>
      <w:r w:rsidR="003C3DB3" w:rsidRPr="00282AC9">
        <w:rPr>
          <w:rFonts w:hint="cs"/>
          <w:sz w:val="27"/>
          <w:rtl/>
          <w:lang w:bidi="ar-LB"/>
        </w:rPr>
        <w:t>،</w:t>
      </w:r>
      <w:r w:rsidRPr="00282AC9">
        <w:rPr>
          <w:rFonts w:hint="cs"/>
          <w:sz w:val="27"/>
          <w:rtl/>
          <w:lang w:bidi="ar-LB"/>
        </w:rPr>
        <w:t xml:space="preserve"> ولا ي</w:t>
      </w:r>
      <w:r w:rsidR="003C3DB3" w:rsidRPr="00282AC9">
        <w:rPr>
          <w:rFonts w:hint="cs"/>
          <w:sz w:val="27"/>
          <w:rtl/>
          <w:lang w:bidi="ar-LB"/>
        </w:rPr>
        <w:t>ُ</w:t>
      </w:r>
      <w:r w:rsidRPr="00282AC9">
        <w:rPr>
          <w:rFonts w:hint="cs"/>
          <w:sz w:val="27"/>
          <w:rtl/>
          <w:lang w:bidi="ar-LB"/>
        </w:rPr>
        <w:t>ن</w:t>
      </w:r>
      <w:r w:rsidR="003C3DB3" w:rsidRPr="00282AC9">
        <w:rPr>
          <w:rFonts w:hint="cs"/>
          <w:sz w:val="27"/>
          <w:rtl/>
          <w:lang w:bidi="ar-LB"/>
        </w:rPr>
        <w:t>ْ</w:t>
      </w:r>
      <w:r w:rsidRPr="00282AC9">
        <w:rPr>
          <w:rFonts w:hint="cs"/>
          <w:sz w:val="27"/>
          <w:rtl/>
          <w:lang w:bidi="ar-LB"/>
        </w:rPr>
        <w:t>ق</w:t>
      </w:r>
      <w:r w:rsidR="003C3DB3" w:rsidRPr="00282AC9">
        <w:rPr>
          <w:rFonts w:hint="cs"/>
          <w:sz w:val="27"/>
          <w:rtl/>
          <w:lang w:bidi="ar-LB"/>
        </w:rPr>
        <w:t>َ</w:t>
      </w:r>
      <w:r w:rsidRPr="00282AC9">
        <w:rPr>
          <w:rFonts w:hint="cs"/>
          <w:sz w:val="27"/>
          <w:rtl/>
          <w:lang w:bidi="ar-LB"/>
        </w:rPr>
        <w:t>ض قضاؤه، وقال البشر المريسي بالتأثيم، والأصمّ بالنقض.</w:t>
      </w:r>
    </w:p>
    <w:p w:rsidR="00A9019A" w:rsidRPr="00282AC9" w:rsidRDefault="00A9019A" w:rsidP="00B16272">
      <w:pPr>
        <w:tabs>
          <w:tab w:val="right" w:pos="6930"/>
        </w:tabs>
        <w:suppressAutoHyphens/>
        <w:rPr>
          <w:sz w:val="27"/>
          <w:rtl/>
          <w:lang w:bidi="ar-LB"/>
        </w:rPr>
      </w:pPr>
      <w:r w:rsidRPr="00282AC9">
        <w:rPr>
          <w:rFonts w:hint="cs"/>
          <w:sz w:val="27"/>
          <w:rtl/>
          <w:lang w:bidi="ar-LB"/>
        </w:rPr>
        <w:t>والذي نذهب إليه أن له تعالى في كلّ واقعة</w:t>
      </w:r>
      <w:r w:rsidR="003C3DB3" w:rsidRPr="00282AC9">
        <w:rPr>
          <w:rFonts w:hint="cs"/>
          <w:sz w:val="27"/>
          <w:rtl/>
          <w:lang w:bidi="ar-LB"/>
        </w:rPr>
        <w:t>ٍ</w:t>
      </w:r>
      <w:r w:rsidRPr="00282AC9">
        <w:rPr>
          <w:rFonts w:hint="cs"/>
          <w:sz w:val="27"/>
          <w:rtl/>
          <w:lang w:bidi="ar-LB"/>
        </w:rPr>
        <w:t xml:space="preserve"> حكماً معيناً</w:t>
      </w:r>
      <w:r w:rsidR="003C3DB3" w:rsidRPr="00282AC9">
        <w:rPr>
          <w:rFonts w:hint="cs"/>
          <w:sz w:val="27"/>
          <w:rtl/>
          <w:lang w:bidi="ar-LB"/>
        </w:rPr>
        <w:t>،</w:t>
      </w:r>
      <w:r w:rsidRPr="00282AC9">
        <w:rPr>
          <w:rFonts w:hint="cs"/>
          <w:sz w:val="27"/>
          <w:rtl/>
          <w:lang w:bidi="ar-LB"/>
        </w:rPr>
        <w:t xml:space="preserve"> عليه دليل</w:t>
      </w:r>
      <w:r w:rsidR="003C3DB3" w:rsidRPr="00282AC9">
        <w:rPr>
          <w:rFonts w:hint="cs"/>
          <w:sz w:val="27"/>
          <w:rtl/>
          <w:lang w:bidi="ar-LB"/>
        </w:rPr>
        <w:t>ٌ</w:t>
      </w:r>
      <w:r w:rsidRPr="00282AC9">
        <w:rPr>
          <w:rFonts w:hint="cs"/>
          <w:sz w:val="27"/>
          <w:rtl/>
          <w:lang w:bidi="ar-LB"/>
        </w:rPr>
        <w:t xml:space="preserve"> ظنّي، وأنّ المخطئ فيه معذور</w:t>
      </w:r>
      <w:r w:rsidR="003C3DB3" w:rsidRPr="00282AC9">
        <w:rPr>
          <w:rFonts w:hint="cs"/>
          <w:sz w:val="27"/>
          <w:rtl/>
          <w:lang w:bidi="ar-LB"/>
        </w:rPr>
        <w:t>ٌ</w:t>
      </w:r>
      <w:r w:rsidRPr="00282AC9">
        <w:rPr>
          <w:rFonts w:hint="cs"/>
          <w:sz w:val="27"/>
          <w:rtl/>
          <w:lang w:bidi="ar-LB"/>
        </w:rPr>
        <w:t>، وأنّ القاضي لا ي</w:t>
      </w:r>
      <w:r w:rsidR="003C3DB3" w:rsidRPr="00282AC9">
        <w:rPr>
          <w:rFonts w:hint="cs"/>
          <w:sz w:val="27"/>
          <w:rtl/>
          <w:lang w:bidi="ar-LB"/>
        </w:rPr>
        <w:t>ُ</w:t>
      </w:r>
      <w:r w:rsidRPr="00282AC9">
        <w:rPr>
          <w:rFonts w:hint="cs"/>
          <w:sz w:val="27"/>
          <w:rtl/>
          <w:lang w:bidi="ar-LB"/>
        </w:rPr>
        <w:t>ن</w:t>
      </w:r>
      <w:r w:rsidR="003C3DB3" w:rsidRPr="00282AC9">
        <w:rPr>
          <w:rFonts w:hint="cs"/>
          <w:sz w:val="27"/>
          <w:rtl/>
          <w:lang w:bidi="ar-LB"/>
        </w:rPr>
        <w:t>ْ</w:t>
      </w:r>
      <w:r w:rsidRPr="00282AC9">
        <w:rPr>
          <w:rFonts w:hint="cs"/>
          <w:sz w:val="27"/>
          <w:rtl/>
          <w:lang w:bidi="ar-LB"/>
        </w:rPr>
        <w:t>ق</w:t>
      </w:r>
      <w:r w:rsidR="003C3DB3" w:rsidRPr="00282AC9">
        <w:rPr>
          <w:rFonts w:hint="cs"/>
          <w:sz w:val="27"/>
          <w:rtl/>
          <w:lang w:bidi="ar-LB"/>
        </w:rPr>
        <w:t>َ</w:t>
      </w:r>
      <w:r w:rsidRPr="00282AC9">
        <w:rPr>
          <w:rFonts w:hint="cs"/>
          <w:sz w:val="27"/>
          <w:rtl/>
          <w:lang w:bidi="ar-LB"/>
        </w:rPr>
        <w:t>ض قضاؤه</w:t>
      </w:r>
      <w:r w:rsidRPr="00282AC9">
        <w:rPr>
          <w:rFonts w:hint="cs"/>
          <w:sz w:val="27"/>
          <w:vertAlign w:val="superscript"/>
          <w:rtl/>
          <w:lang w:bidi="ar-LB"/>
        </w:rPr>
        <w:t>(</w:t>
      </w:r>
      <w:r w:rsidRPr="00282AC9">
        <w:rPr>
          <w:rStyle w:val="af9"/>
          <w:sz w:val="27"/>
          <w:rtl/>
          <w:lang w:bidi="ar-LB"/>
        </w:rPr>
        <w:endnoteReference w:id="12"/>
      </w:r>
      <w:r w:rsidRPr="00282AC9">
        <w:rPr>
          <w:sz w:val="27"/>
          <w:vertAlign w:val="superscript"/>
          <w:rtl/>
          <w:lang w:bidi="ar-LB"/>
        </w:rPr>
        <w:t>)</w:t>
      </w:r>
      <w:r w:rsidR="003C3DB3" w:rsidRPr="00282AC9">
        <w:rPr>
          <w:rFonts w:hint="cs"/>
          <w:sz w:val="27"/>
          <w:rtl/>
          <w:lang w:bidi="ar-LB"/>
        </w:rPr>
        <w:t>.</w:t>
      </w:r>
    </w:p>
    <w:p w:rsidR="00A9019A" w:rsidRPr="00282AC9" w:rsidRDefault="00A9019A" w:rsidP="00CC0484">
      <w:pPr>
        <w:tabs>
          <w:tab w:val="right" w:pos="6930"/>
        </w:tabs>
        <w:suppressAutoHyphens/>
        <w:spacing w:line="420" w:lineRule="exact"/>
        <w:rPr>
          <w:sz w:val="27"/>
          <w:rtl/>
          <w:lang w:bidi="ar-LB"/>
        </w:rPr>
      </w:pPr>
    </w:p>
    <w:p w:rsidR="00A9019A" w:rsidRPr="00282AC9" w:rsidRDefault="00A9019A" w:rsidP="00200DD0">
      <w:pPr>
        <w:pStyle w:val="31"/>
        <w:rPr>
          <w:color w:val="auto"/>
          <w:rtl/>
          <w:lang w:bidi="ar-LB"/>
        </w:rPr>
      </w:pPr>
      <w:r w:rsidRPr="00282AC9">
        <w:rPr>
          <w:rFonts w:hint="cs"/>
          <w:color w:val="auto"/>
          <w:rtl/>
          <w:lang w:bidi="ar-LB"/>
        </w:rPr>
        <w:t>المقام الثاني</w:t>
      </w:r>
      <w:r w:rsidR="00D86DE6" w:rsidRPr="00282AC9">
        <w:rPr>
          <w:rFonts w:hint="cs"/>
          <w:color w:val="auto"/>
          <w:rtl/>
          <w:lang w:bidi="ar-LB"/>
        </w:rPr>
        <w:t xml:space="preserve">: </w:t>
      </w:r>
      <w:r w:rsidR="001C2F1B" w:rsidRPr="00282AC9">
        <w:rPr>
          <w:rFonts w:hint="cs"/>
          <w:color w:val="auto"/>
          <w:rtl/>
          <w:lang w:bidi="ar-LB"/>
        </w:rPr>
        <w:t>مبادئ القاعدة و</w:t>
      </w:r>
      <w:r w:rsidRPr="00282AC9">
        <w:rPr>
          <w:rFonts w:hint="cs"/>
          <w:color w:val="auto"/>
          <w:rtl/>
          <w:lang w:bidi="ar-LB"/>
        </w:rPr>
        <w:t>أدل</w:t>
      </w:r>
      <w:r w:rsidR="003C3DB3" w:rsidRPr="00282AC9">
        <w:rPr>
          <w:rFonts w:hint="cs"/>
          <w:color w:val="auto"/>
          <w:rtl/>
          <w:lang w:bidi="ar-LB"/>
        </w:rPr>
        <w:t>ّ</w:t>
      </w:r>
      <w:r w:rsidR="001C2F1B" w:rsidRPr="00282AC9">
        <w:rPr>
          <w:rFonts w:hint="cs"/>
          <w:color w:val="auto"/>
          <w:rtl/>
          <w:lang w:bidi="ar-LB"/>
        </w:rPr>
        <w:t>تها</w:t>
      </w:r>
    </w:p>
    <w:p w:rsidR="00A9019A" w:rsidRPr="00282AC9" w:rsidRDefault="00A9019A" w:rsidP="00B16272">
      <w:pPr>
        <w:tabs>
          <w:tab w:val="right" w:pos="6930"/>
        </w:tabs>
        <w:suppressAutoHyphens/>
        <w:rPr>
          <w:sz w:val="27"/>
          <w:rtl/>
          <w:lang w:bidi="ar-LB"/>
        </w:rPr>
      </w:pPr>
      <w:r w:rsidRPr="00282AC9">
        <w:rPr>
          <w:rFonts w:hint="cs"/>
          <w:sz w:val="27"/>
          <w:rtl/>
          <w:lang w:bidi="ar-LB"/>
        </w:rPr>
        <w:t>وتفصيل الكلام عن ذلك يقع في</w:t>
      </w:r>
      <w:r w:rsidR="003C3DB3" w:rsidRPr="00282AC9">
        <w:rPr>
          <w:rFonts w:hint="cs"/>
          <w:sz w:val="27"/>
          <w:rtl/>
          <w:lang w:bidi="ar-LB"/>
        </w:rPr>
        <w:t>:</w:t>
      </w:r>
      <w:r w:rsidRPr="00282AC9">
        <w:rPr>
          <w:rFonts w:hint="cs"/>
          <w:sz w:val="27"/>
          <w:rtl/>
          <w:lang w:bidi="ar-LB"/>
        </w:rPr>
        <w:t xml:space="preserve"> مقد</w:t>
      </w:r>
      <w:r w:rsidR="003C3DB3" w:rsidRPr="00282AC9">
        <w:rPr>
          <w:rFonts w:hint="cs"/>
          <w:sz w:val="27"/>
          <w:rtl/>
          <w:lang w:bidi="ar-LB"/>
        </w:rPr>
        <w:t>ّ</w:t>
      </w:r>
      <w:r w:rsidRPr="00282AC9">
        <w:rPr>
          <w:rFonts w:hint="cs"/>
          <w:sz w:val="27"/>
          <w:rtl/>
          <w:lang w:bidi="ar-LB"/>
        </w:rPr>
        <w:t>مة</w:t>
      </w:r>
      <w:r w:rsidR="003C3DB3" w:rsidRPr="00282AC9">
        <w:rPr>
          <w:rFonts w:hint="cs"/>
          <w:sz w:val="27"/>
          <w:rtl/>
          <w:lang w:bidi="ar-LB"/>
        </w:rPr>
        <w:t>ٍ،</w:t>
      </w:r>
      <w:r w:rsidRPr="00282AC9">
        <w:rPr>
          <w:rFonts w:hint="cs"/>
          <w:sz w:val="27"/>
          <w:rtl/>
          <w:lang w:bidi="ar-LB"/>
        </w:rPr>
        <w:t xml:space="preserve"> وثلاث مراحل:</w:t>
      </w:r>
    </w:p>
    <w:p w:rsidR="00D86DE6" w:rsidRPr="00282AC9" w:rsidRDefault="00D86DE6" w:rsidP="00CC0484">
      <w:pPr>
        <w:tabs>
          <w:tab w:val="right" w:pos="6930"/>
        </w:tabs>
        <w:suppressAutoHyphens/>
        <w:spacing w:line="430" w:lineRule="exact"/>
        <w:rPr>
          <w:sz w:val="27"/>
          <w:rtl/>
          <w:lang w:bidi="ar-LB"/>
        </w:rPr>
      </w:pPr>
    </w:p>
    <w:p w:rsidR="00A9019A" w:rsidRPr="00282AC9" w:rsidRDefault="00A9019A" w:rsidP="00D86DE6">
      <w:pPr>
        <w:pStyle w:val="31"/>
        <w:rPr>
          <w:color w:val="auto"/>
          <w:rtl/>
          <w:lang w:bidi="ar-LB"/>
        </w:rPr>
      </w:pPr>
      <w:r w:rsidRPr="00282AC9">
        <w:rPr>
          <w:rFonts w:hint="cs"/>
          <w:color w:val="auto"/>
          <w:rtl/>
          <w:lang w:bidi="ar-LB"/>
        </w:rPr>
        <w:t>مقدّمة</w:t>
      </w:r>
    </w:p>
    <w:p w:rsidR="00A9019A" w:rsidRPr="00282AC9" w:rsidRDefault="00A9019A" w:rsidP="00B16272">
      <w:pPr>
        <w:tabs>
          <w:tab w:val="right" w:pos="6930"/>
        </w:tabs>
        <w:suppressAutoHyphens/>
        <w:rPr>
          <w:sz w:val="27"/>
          <w:rtl/>
          <w:lang w:bidi="ar-LB"/>
        </w:rPr>
      </w:pPr>
      <w:r w:rsidRPr="00282AC9">
        <w:rPr>
          <w:rFonts w:hint="cs"/>
          <w:sz w:val="27"/>
          <w:rtl/>
          <w:lang w:bidi="ar-LB"/>
        </w:rPr>
        <w:t>وفيها نستعرض بعض ما للمنكرين والمثبتين من النصوص والعبارات</w:t>
      </w:r>
      <w:r w:rsidR="00243F58" w:rsidRPr="00282AC9">
        <w:rPr>
          <w:rFonts w:hint="cs"/>
          <w:sz w:val="27"/>
          <w:rtl/>
          <w:lang w:bidi="ar-LB"/>
        </w:rPr>
        <w:t xml:space="preserve">؛ </w:t>
      </w:r>
      <w:r w:rsidRPr="00282AC9">
        <w:rPr>
          <w:rFonts w:hint="cs"/>
          <w:sz w:val="27"/>
          <w:rtl/>
          <w:lang w:bidi="ar-LB"/>
        </w:rPr>
        <w:t>حتى يتبيّ</w:t>
      </w:r>
      <w:r w:rsidR="00243F58" w:rsidRPr="00282AC9">
        <w:rPr>
          <w:rFonts w:hint="cs"/>
          <w:sz w:val="27"/>
          <w:rtl/>
          <w:lang w:bidi="ar-LB"/>
        </w:rPr>
        <w:t>َ</w:t>
      </w:r>
      <w:r w:rsidRPr="00282AC9">
        <w:rPr>
          <w:rFonts w:hint="cs"/>
          <w:sz w:val="27"/>
          <w:rtl/>
          <w:lang w:bidi="ar-LB"/>
        </w:rPr>
        <w:t>ن من خلالها الاتجاهات المختلفة في هذا المجال، فنقول:</w:t>
      </w:r>
    </w:p>
    <w:p w:rsidR="00A9019A" w:rsidRPr="00282AC9" w:rsidRDefault="00A9019A" w:rsidP="00B16272">
      <w:pPr>
        <w:tabs>
          <w:tab w:val="right" w:pos="6930"/>
        </w:tabs>
        <w:suppressAutoHyphens/>
        <w:rPr>
          <w:sz w:val="27"/>
          <w:rtl/>
          <w:lang w:bidi="ar-LB"/>
        </w:rPr>
      </w:pPr>
      <w:r w:rsidRPr="00282AC9">
        <w:rPr>
          <w:rFonts w:hint="cs"/>
          <w:sz w:val="27"/>
          <w:rtl/>
          <w:lang w:bidi="ar-LB"/>
        </w:rPr>
        <w:t>من جملة المنكرين للقاعدة المحق</w:t>
      </w:r>
      <w:r w:rsidR="00243F58" w:rsidRPr="00282AC9">
        <w:rPr>
          <w:rFonts w:hint="cs"/>
          <w:sz w:val="27"/>
          <w:rtl/>
          <w:lang w:bidi="ar-LB"/>
        </w:rPr>
        <w:t>ِّ</w:t>
      </w:r>
      <w:r w:rsidRPr="00282AC9">
        <w:rPr>
          <w:rFonts w:hint="cs"/>
          <w:sz w:val="27"/>
          <w:rtl/>
          <w:lang w:bidi="ar-LB"/>
        </w:rPr>
        <w:t>ق الخراساني</w:t>
      </w:r>
      <w:r w:rsidR="009A2A04" w:rsidRPr="00282AC9">
        <w:rPr>
          <w:rFonts w:cs="Mosawi" w:hint="cs"/>
          <w:sz w:val="22"/>
          <w:szCs w:val="22"/>
          <w:rtl/>
          <w:lang w:bidi="ar-LB"/>
        </w:rPr>
        <w:t>&amp;</w:t>
      </w:r>
      <w:r w:rsidRPr="00282AC9">
        <w:rPr>
          <w:rFonts w:hint="cs"/>
          <w:sz w:val="27"/>
          <w:rtl/>
          <w:lang w:bidi="ar-LB"/>
        </w:rPr>
        <w:t xml:space="preserve"> في (فوائد الأصول)</w:t>
      </w:r>
      <w:r w:rsidR="00243F58" w:rsidRPr="00282AC9">
        <w:rPr>
          <w:rFonts w:hint="cs"/>
          <w:sz w:val="27"/>
          <w:rtl/>
          <w:lang w:bidi="ar-LB"/>
        </w:rPr>
        <w:t>، حيث</w:t>
      </w:r>
      <w:r w:rsidRPr="00282AC9">
        <w:rPr>
          <w:rFonts w:hint="cs"/>
          <w:sz w:val="27"/>
          <w:rtl/>
          <w:lang w:bidi="ar-LB"/>
        </w:rPr>
        <w:t xml:space="preserve"> قال:</w:t>
      </w:r>
      <w:r w:rsidR="00243F58" w:rsidRPr="00282AC9">
        <w:rPr>
          <w:rFonts w:hint="cs"/>
          <w:sz w:val="27"/>
          <w:rtl/>
          <w:lang w:bidi="ar-LB"/>
        </w:rPr>
        <w:t xml:space="preserve"> </w:t>
      </w:r>
      <w:r w:rsidR="00243F58" w:rsidRPr="00282AC9">
        <w:rPr>
          <w:rFonts w:hint="eastAsia"/>
          <w:sz w:val="24"/>
          <w:szCs w:val="24"/>
          <w:rtl/>
          <w:lang w:bidi="ar-LB"/>
        </w:rPr>
        <w:t>«</w:t>
      </w:r>
      <w:r w:rsidRPr="00282AC9">
        <w:rPr>
          <w:rFonts w:hint="cs"/>
          <w:sz w:val="27"/>
          <w:rtl/>
          <w:lang w:bidi="ar-LB"/>
        </w:rPr>
        <w:t>.</w:t>
      </w:r>
      <w:r w:rsidR="00243F58" w:rsidRPr="00282AC9">
        <w:rPr>
          <w:rFonts w:hint="cs"/>
          <w:sz w:val="27"/>
          <w:rtl/>
          <w:lang w:bidi="ar-LB"/>
        </w:rPr>
        <w:t>..</w:t>
      </w:r>
      <w:r w:rsidRPr="00282AC9">
        <w:rPr>
          <w:rFonts w:hint="cs"/>
          <w:sz w:val="27"/>
          <w:rtl/>
          <w:lang w:bidi="ar-LB"/>
        </w:rPr>
        <w:t>ظهر الحق</w:t>
      </w:r>
      <w:r w:rsidR="00243F58" w:rsidRPr="00282AC9">
        <w:rPr>
          <w:rFonts w:hint="cs"/>
          <w:sz w:val="27"/>
          <w:rtl/>
          <w:lang w:bidi="ar-LB"/>
        </w:rPr>
        <w:t>ّ</w:t>
      </w:r>
      <w:r w:rsidRPr="00282AC9">
        <w:rPr>
          <w:rFonts w:hint="cs"/>
          <w:sz w:val="27"/>
          <w:rtl/>
          <w:lang w:bidi="ar-LB"/>
        </w:rPr>
        <w:t xml:space="preserve"> في المقامين</w:t>
      </w:r>
      <w:r w:rsidR="00243F58" w:rsidRPr="00282AC9">
        <w:rPr>
          <w:rFonts w:hint="cs"/>
          <w:sz w:val="27"/>
          <w:rtl/>
          <w:lang w:bidi="ar-LB"/>
        </w:rPr>
        <w:t>،</w:t>
      </w:r>
      <w:r w:rsidRPr="00282AC9">
        <w:rPr>
          <w:rFonts w:hint="cs"/>
          <w:sz w:val="27"/>
          <w:rtl/>
          <w:lang w:bidi="ar-LB"/>
        </w:rPr>
        <w:t xml:space="preserve"> وهو في المقام الأو</w:t>
      </w:r>
      <w:r w:rsidR="00243F58" w:rsidRPr="00282AC9">
        <w:rPr>
          <w:rFonts w:hint="cs"/>
          <w:sz w:val="27"/>
          <w:rtl/>
          <w:lang w:bidi="ar-LB"/>
        </w:rPr>
        <w:t>ّ</w:t>
      </w:r>
      <w:r w:rsidRPr="00282AC9">
        <w:rPr>
          <w:rFonts w:hint="cs"/>
          <w:sz w:val="27"/>
          <w:rtl/>
          <w:lang w:bidi="ar-LB"/>
        </w:rPr>
        <w:t>ل جواز خلوّ الواقعة عن الحكم الشرعي</w:t>
      </w:r>
      <w:r w:rsidR="00243F58" w:rsidRPr="00282AC9">
        <w:rPr>
          <w:rFonts w:hint="cs"/>
          <w:sz w:val="27"/>
          <w:rtl/>
          <w:lang w:bidi="ar-LB"/>
        </w:rPr>
        <w:t>ّ،</w:t>
      </w:r>
      <w:r w:rsidRPr="00282AC9">
        <w:rPr>
          <w:rFonts w:hint="cs"/>
          <w:sz w:val="27"/>
          <w:rtl/>
          <w:lang w:bidi="ar-LB"/>
        </w:rPr>
        <w:t xml:space="preserve"> بحيث لم يكن فيها بعث</w:t>
      </w:r>
      <w:r w:rsidR="00243F58" w:rsidRPr="00282AC9">
        <w:rPr>
          <w:rFonts w:hint="cs"/>
          <w:sz w:val="27"/>
          <w:rtl/>
          <w:lang w:bidi="ar-LB"/>
        </w:rPr>
        <w:t>ٌ</w:t>
      </w:r>
      <w:r w:rsidRPr="00282AC9">
        <w:rPr>
          <w:rFonts w:hint="cs"/>
          <w:sz w:val="27"/>
          <w:rtl/>
          <w:lang w:bidi="ar-LB"/>
        </w:rPr>
        <w:t xml:space="preserve"> أو زجر</w:t>
      </w:r>
      <w:r w:rsidR="00243F58" w:rsidRPr="00282AC9">
        <w:rPr>
          <w:rFonts w:hint="cs"/>
          <w:sz w:val="27"/>
          <w:rtl/>
          <w:lang w:bidi="ar-LB"/>
        </w:rPr>
        <w:t>،</w:t>
      </w:r>
      <w:r w:rsidRPr="00282AC9">
        <w:rPr>
          <w:rFonts w:hint="cs"/>
          <w:sz w:val="27"/>
          <w:rtl/>
          <w:lang w:bidi="ar-LB"/>
        </w:rPr>
        <w:t xml:space="preserve"> ولا إرادة</w:t>
      </w:r>
      <w:r w:rsidR="00CA022C" w:rsidRPr="00282AC9">
        <w:rPr>
          <w:rFonts w:hint="cs"/>
          <w:sz w:val="27"/>
          <w:rtl/>
          <w:lang w:bidi="ar-LB"/>
        </w:rPr>
        <w:t>ٌ</w:t>
      </w:r>
      <w:r w:rsidRPr="00282AC9">
        <w:rPr>
          <w:rFonts w:hint="cs"/>
          <w:sz w:val="27"/>
          <w:rtl/>
          <w:lang w:bidi="ar-LB"/>
        </w:rPr>
        <w:t xml:space="preserve"> أو كراهة ومولويّة</w:t>
      </w:r>
      <w:r w:rsidR="00243F58" w:rsidRPr="00282AC9">
        <w:rPr>
          <w:rFonts w:hint="cs"/>
          <w:sz w:val="27"/>
          <w:rtl/>
          <w:lang w:bidi="ar-LB"/>
        </w:rPr>
        <w:t>،</w:t>
      </w:r>
      <w:r w:rsidRPr="00282AC9">
        <w:rPr>
          <w:rFonts w:hint="cs"/>
          <w:sz w:val="27"/>
          <w:rtl/>
          <w:lang w:bidi="ar-LB"/>
        </w:rPr>
        <w:t xml:space="preserve"> ولا أمر</w:t>
      </w:r>
      <w:r w:rsidR="00243F58" w:rsidRPr="00282AC9">
        <w:rPr>
          <w:rFonts w:hint="cs"/>
          <w:sz w:val="27"/>
          <w:rtl/>
          <w:lang w:bidi="ar-LB"/>
        </w:rPr>
        <w:t>ٌ</w:t>
      </w:r>
      <w:r w:rsidRPr="00282AC9">
        <w:rPr>
          <w:rFonts w:hint="cs"/>
          <w:sz w:val="27"/>
          <w:rtl/>
          <w:lang w:bidi="ar-LB"/>
        </w:rPr>
        <w:t xml:space="preserve"> ونهي...</w:t>
      </w:r>
      <w:r w:rsidR="00243F58" w:rsidRPr="00282AC9">
        <w:rPr>
          <w:rFonts w:hint="eastAsia"/>
          <w:sz w:val="24"/>
          <w:szCs w:val="24"/>
          <w:rtl/>
        </w:rPr>
        <w:t>»</w:t>
      </w:r>
      <w:r w:rsidRPr="00282AC9">
        <w:rPr>
          <w:rFonts w:hint="cs"/>
          <w:sz w:val="27"/>
          <w:vertAlign w:val="superscript"/>
          <w:rtl/>
        </w:rPr>
        <w:t>(</w:t>
      </w:r>
      <w:r w:rsidRPr="00282AC9">
        <w:rPr>
          <w:rStyle w:val="af9"/>
          <w:sz w:val="27"/>
          <w:rtl/>
        </w:rPr>
        <w:endnoteReference w:id="13"/>
      </w:r>
      <w:r w:rsidRPr="00282AC9">
        <w:rPr>
          <w:sz w:val="27"/>
          <w:vertAlign w:val="superscript"/>
          <w:rtl/>
        </w:rPr>
        <w:t>)</w:t>
      </w:r>
      <w:r w:rsidRPr="00282AC9">
        <w:rPr>
          <w:rFonts w:hint="cs"/>
          <w:sz w:val="27"/>
          <w:rtl/>
        </w:rPr>
        <w:t xml:space="preserve">. </w:t>
      </w:r>
    </w:p>
    <w:p w:rsidR="00A9019A" w:rsidRPr="00282AC9" w:rsidRDefault="00A9019A" w:rsidP="00B16272">
      <w:pPr>
        <w:tabs>
          <w:tab w:val="right" w:pos="6930"/>
        </w:tabs>
        <w:suppressAutoHyphens/>
        <w:rPr>
          <w:sz w:val="27"/>
          <w:rtl/>
          <w:lang w:bidi="ar-LB"/>
        </w:rPr>
      </w:pPr>
      <w:r w:rsidRPr="00282AC9">
        <w:rPr>
          <w:rFonts w:hint="cs"/>
          <w:sz w:val="27"/>
          <w:rtl/>
          <w:lang w:bidi="ar-LB"/>
        </w:rPr>
        <w:t>وقد أشبع الكلام عن ذلك بتفصيل</w:t>
      </w:r>
      <w:r w:rsidR="00243F58" w:rsidRPr="00282AC9">
        <w:rPr>
          <w:rFonts w:hint="cs"/>
          <w:sz w:val="27"/>
          <w:rtl/>
          <w:lang w:bidi="ar-LB"/>
        </w:rPr>
        <w:t>ٍ</w:t>
      </w:r>
      <w:r w:rsidRPr="00282AC9">
        <w:rPr>
          <w:rFonts w:hint="cs"/>
          <w:sz w:val="27"/>
          <w:rtl/>
          <w:lang w:bidi="ar-LB"/>
        </w:rPr>
        <w:t xml:space="preserve">، فشدّ النكير على دعوى </w:t>
      </w:r>
      <w:r w:rsidR="00817A03" w:rsidRPr="00282AC9">
        <w:rPr>
          <w:rFonts w:hint="cs"/>
          <w:sz w:val="27"/>
          <w:rtl/>
          <w:lang w:bidi="ar-LB"/>
        </w:rPr>
        <w:t xml:space="preserve">عدم </w:t>
      </w:r>
      <w:r w:rsidRPr="00282AC9">
        <w:rPr>
          <w:rFonts w:hint="cs"/>
          <w:sz w:val="27"/>
          <w:rtl/>
          <w:lang w:bidi="ar-LB"/>
        </w:rPr>
        <w:t>الخ</w:t>
      </w:r>
      <w:r w:rsidR="00243F58" w:rsidRPr="00282AC9">
        <w:rPr>
          <w:rFonts w:hint="cs"/>
          <w:sz w:val="27"/>
          <w:rtl/>
          <w:lang w:bidi="ar-LB"/>
        </w:rPr>
        <w:t>ل</w:t>
      </w:r>
      <w:r w:rsidRPr="00282AC9">
        <w:rPr>
          <w:rFonts w:hint="cs"/>
          <w:sz w:val="27"/>
          <w:rtl/>
          <w:lang w:bidi="ar-LB"/>
        </w:rPr>
        <w:t>وّ بكلتا مرتبتي الحكم الداخلتين في محلّ النزاع</w:t>
      </w:r>
      <w:r w:rsidR="00243F58" w:rsidRPr="00282AC9">
        <w:rPr>
          <w:rFonts w:hint="cs"/>
          <w:sz w:val="27"/>
          <w:rtl/>
          <w:lang w:bidi="ar-LB"/>
        </w:rPr>
        <w:t>،</w:t>
      </w:r>
      <w:r w:rsidRPr="00282AC9">
        <w:rPr>
          <w:rFonts w:hint="cs"/>
          <w:sz w:val="27"/>
          <w:rtl/>
          <w:lang w:bidi="ar-LB"/>
        </w:rPr>
        <w:t xml:space="preserve"> على ما تقدّ</w:t>
      </w:r>
      <w:r w:rsidR="00243F58" w:rsidRPr="00282AC9">
        <w:rPr>
          <w:rFonts w:hint="cs"/>
          <w:sz w:val="27"/>
          <w:rtl/>
          <w:lang w:bidi="ar-LB"/>
        </w:rPr>
        <w:t>َ</w:t>
      </w:r>
      <w:r w:rsidRPr="00282AC9">
        <w:rPr>
          <w:rFonts w:hint="cs"/>
          <w:sz w:val="27"/>
          <w:rtl/>
          <w:lang w:bidi="ar-LB"/>
        </w:rPr>
        <w:t>م، وسيأتي إن</w:t>
      </w:r>
      <w:r w:rsidR="00243F58" w:rsidRPr="00282AC9">
        <w:rPr>
          <w:rFonts w:hint="cs"/>
          <w:sz w:val="27"/>
          <w:rtl/>
          <w:lang w:bidi="ar-LB"/>
        </w:rPr>
        <w:t>ْ</w:t>
      </w:r>
      <w:r w:rsidRPr="00282AC9">
        <w:rPr>
          <w:rFonts w:hint="cs"/>
          <w:sz w:val="27"/>
          <w:rtl/>
          <w:lang w:bidi="ar-LB"/>
        </w:rPr>
        <w:t xml:space="preserve"> شاء الله </w:t>
      </w:r>
      <w:r w:rsidRPr="00282AC9">
        <w:rPr>
          <w:rFonts w:hint="cs"/>
          <w:sz w:val="27"/>
          <w:rtl/>
          <w:lang w:bidi="ar-LB"/>
        </w:rPr>
        <w:lastRenderedPageBreak/>
        <w:t>تعالى.</w:t>
      </w:r>
    </w:p>
    <w:p w:rsidR="00A9019A" w:rsidRPr="00282AC9" w:rsidRDefault="00A9019A" w:rsidP="00B16272">
      <w:pPr>
        <w:tabs>
          <w:tab w:val="right" w:pos="6930"/>
        </w:tabs>
        <w:suppressAutoHyphens/>
        <w:rPr>
          <w:sz w:val="27"/>
          <w:rtl/>
          <w:lang w:bidi="ar-LB"/>
        </w:rPr>
      </w:pPr>
      <w:r w:rsidRPr="00282AC9">
        <w:rPr>
          <w:rFonts w:hint="cs"/>
          <w:sz w:val="27"/>
          <w:rtl/>
          <w:lang w:bidi="ar-LB"/>
        </w:rPr>
        <w:t>ومنهم القائد الراحل</w:t>
      </w:r>
      <w:r w:rsidR="009A2A04" w:rsidRPr="00282AC9">
        <w:rPr>
          <w:rFonts w:cs="Mosawi" w:hint="cs"/>
          <w:sz w:val="22"/>
          <w:szCs w:val="22"/>
          <w:rtl/>
          <w:lang w:bidi="ar-LB"/>
        </w:rPr>
        <w:t>&amp;</w:t>
      </w:r>
      <w:r w:rsidRPr="00282AC9">
        <w:rPr>
          <w:rFonts w:hint="cs"/>
          <w:sz w:val="27"/>
          <w:rtl/>
          <w:lang w:bidi="ar-LB"/>
        </w:rPr>
        <w:t xml:space="preserve"> في مسألة اقتضاء الأمر بالشيء للنهي عن ضدّه العام</w:t>
      </w:r>
      <w:r w:rsidR="00817A03" w:rsidRPr="00282AC9">
        <w:rPr>
          <w:rFonts w:hint="cs"/>
          <w:sz w:val="27"/>
          <w:rtl/>
          <w:lang w:bidi="ar-LB"/>
        </w:rPr>
        <w:t>ّ،</w:t>
      </w:r>
      <w:r w:rsidRPr="00282AC9">
        <w:rPr>
          <w:rFonts w:hint="cs"/>
          <w:sz w:val="27"/>
          <w:rtl/>
          <w:lang w:bidi="ar-LB"/>
        </w:rPr>
        <w:t xml:space="preserve"> حيث ردَّ على المقدمة الثانية من مقد</w:t>
      </w:r>
      <w:r w:rsidR="00817A03" w:rsidRPr="00282AC9">
        <w:rPr>
          <w:rFonts w:hint="cs"/>
          <w:sz w:val="27"/>
          <w:rtl/>
          <w:lang w:bidi="ar-LB"/>
        </w:rPr>
        <w:t>ّ</w:t>
      </w:r>
      <w:r w:rsidRPr="00282AC9">
        <w:rPr>
          <w:rFonts w:hint="cs"/>
          <w:sz w:val="27"/>
          <w:rtl/>
          <w:lang w:bidi="ar-LB"/>
        </w:rPr>
        <w:t xml:space="preserve">مات وجهها الثاني بقوله: </w:t>
      </w:r>
      <w:r w:rsidRPr="00282AC9">
        <w:rPr>
          <w:rFonts w:hint="eastAsia"/>
          <w:sz w:val="24"/>
          <w:szCs w:val="24"/>
          <w:rtl/>
          <w:lang w:bidi="ar-LB"/>
        </w:rPr>
        <w:t>«</w:t>
      </w:r>
      <w:r w:rsidRPr="00282AC9">
        <w:rPr>
          <w:rFonts w:hint="cs"/>
          <w:b/>
          <w:bCs/>
          <w:sz w:val="27"/>
          <w:rtl/>
          <w:lang w:bidi="ar-LB"/>
        </w:rPr>
        <w:t>وثانياً</w:t>
      </w:r>
      <w:r w:rsidR="00817A03" w:rsidRPr="00282AC9">
        <w:rPr>
          <w:rFonts w:hint="cs"/>
          <w:sz w:val="27"/>
          <w:rtl/>
          <w:lang w:bidi="ar-LB"/>
        </w:rPr>
        <w:t>:</w:t>
      </w:r>
      <w:r w:rsidRPr="00282AC9">
        <w:rPr>
          <w:rFonts w:hint="cs"/>
          <w:sz w:val="27"/>
          <w:rtl/>
          <w:lang w:bidi="ar-LB"/>
        </w:rPr>
        <w:t xml:space="preserve"> لم يق</w:t>
      </w:r>
      <w:r w:rsidR="00817A03" w:rsidRPr="00282AC9">
        <w:rPr>
          <w:rFonts w:hint="cs"/>
          <w:sz w:val="27"/>
          <w:rtl/>
          <w:lang w:bidi="ar-LB"/>
        </w:rPr>
        <w:t>ُ</w:t>
      </w:r>
      <w:r w:rsidRPr="00282AC9">
        <w:rPr>
          <w:rFonts w:hint="cs"/>
          <w:sz w:val="27"/>
          <w:rtl/>
          <w:lang w:bidi="ar-LB"/>
        </w:rPr>
        <w:t>م</w:t>
      </w:r>
      <w:r w:rsidR="00817A03" w:rsidRPr="00282AC9">
        <w:rPr>
          <w:rFonts w:hint="cs"/>
          <w:sz w:val="27"/>
          <w:rtl/>
          <w:lang w:bidi="ar-LB"/>
        </w:rPr>
        <w:t>ْ</w:t>
      </w:r>
      <w:r w:rsidRPr="00282AC9">
        <w:rPr>
          <w:rFonts w:hint="cs"/>
          <w:sz w:val="27"/>
          <w:rtl/>
          <w:lang w:bidi="ar-LB"/>
        </w:rPr>
        <w:t xml:space="preserve"> دليل</w:t>
      </w:r>
      <w:r w:rsidR="00817A03" w:rsidRPr="00282AC9">
        <w:rPr>
          <w:rFonts w:hint="cs"/>
          <w:sz w:val="27"/>
          <w:rtl/>
          <w:lang w:bidi="ar-LB"/>
        </w:rPr>
        <w:t>ٌ</w:t>
      </w:r>
      <w:r w:rsidRPr="00282AC9">
        <w:rPr>
          <w:rFonts w:hint="cs"/>
          <w:sz w:val="27"/>
          <w:rtl/>
          <w:lang w:bidi="ar-LB"/>
        </w:rPr>
        <w:t xml:space="preserve"> على عدم خلوّ الواقعة عن الحكم</w:t>
      </w:r>
      <w:r w:rsidR="00817A03" w:rsidRPr="00282AC9">
        <w:rPr>
          <w:rFonts w:hint="cs"/>
          <w:sz w:val="27"/>
          <w:rtl/>
          <w:lang w:bidi="ar-LB"/>
        </w:rPr>
        <w:t>،</w:t>
      </w:r>
      <w:r w:rsidRPr="00282AC9">
        <w:rPr>
          <w:rFonts w:hint="cs"/>
          <w:sz w:val="27"/>
          <w:rtl/>
          <w:lang w:bidi="ar-LB"/>
        </w:rPr>
        <w:t xml:space="preserve"> بل الدليل على خلافه...</w:t>
      </w:r>
      <w:r w:rsidRPr="00282AC9">
        <w:rPr>
          <w:rFonts w:hint="eastAsia"/>
          <w:sz w:val="24"/>
          <w:szCs w:val="24"/>
          <w:rtl/>
        </w:rPr>
        <w:t>»</w:t>
      </w:r>
      <w:r w:rsidRPr="00282AC9">
        <w:rPr>
          <w:rFonts w:hint="cs"/>
          <w:sz w:val="27"/>
          <w:vertAlign w:val="superscript"/>
          <w:rtl/>
        </w:rPr>
        <w:t>(</w:t>
      </w:r>
      <w:r w:rsidRPr="00282AC9">
        <w:rPr>
          <w:rStyle w:val="af9"/>
          <w:sz w:val="27"/>
          <w:rtl/>
        </w:rPr>
        <w:endnoteReference w:id="14"/>
      </w:r>
      <w:r w:rsidRPr="00282AC9">
        <w:rPr>
          <w:sz w:val="27"/>
          <w:vertAlign w:val="superscript"/>
          <w:rtl/>
        </w:rPr>
        <w:t>)</w:t>
      </w:r>
      <w:r w:rsidR="00817A03" w:rsidRPr="00282AC9">
        <w:rPr>
          <w:rFonts w:hint="cs"/>
          <w:sz w:val="27"/>
          <w:rtl/>
        </w:rPr>
        <w:t>.</w:t>
      </w:r>
      <w:r w:rsidRPr="00282AC9">
        <w:rPr>
          <w:rFonts w:hint="cs"/>
          <w:sz w:val="27"/>
          <w:rtl/>
        </w:rPr>
        <w:t xml:space="preserve"> </w:t>
      </w:r>
    </w:p>
    <w:p w:rsidR="00A9019A" w:rsidRPr="00282AC9" w:rsidRDefault="00A9019A" w:rsidP="00B16272">
      <w:pPr>
        <w:tabs>
          <w:tab w:val="right" w:pos="6930"/>
        </w:tabs>
        <w:suppressAutoHyphens/>
        <w:rPr>
          <w:sz w:val="27"/>
          <w:rtl/>
          <w:lang w:bidi="ar-LB"/>
        </w:rPr>
      </w:pPr>
      <w:r w:rsidRPr="00282AC9">
        <w:rPr>
          <w:rFonts w:hint="cs"/>
          <w:sz w:val="27"/>
          <w:rtl/>
          <w:lang w:bidi="ar-LB"/>
        </w:rPr>
        <w:t>ومنهم المحق</w:t>
      </w:r>
      <w:r w:rsidR="00817A03" w:rsidRPr="00282AC9">
        <w:rPr>
          <w:rFonts w:hint="cs"/>
          <w:sz w:val="27"/>
          <w:rtl/>
          <w:lang w:bidi="ar-LB"/>
        </w:rPr>
        <w:t>ِّ</w:t>
      </w:r>
      <w:r w:rsidRPr="00282AC9">
        <w:rPr>
          <w:rFonts w:hint="cs"/>
          <w:sz w:val="27"/>
          <w:rtl/>
          <w:lang w:bidi="ar-LB"/>
        </w:rPr>
        <w:t>ق الرشتي</w:t>
      </w:r>
      <w:r w:rsidR="009A2A04" w:rsidRPr="00282AC9">
        <w:rPr>
          <w:rFonts w:cs="Mosawi" w:hint="cs"/>
          <w:sz w:val="22"/>
          <w:szCs w:val="22"/>
          <w:rtl/>
          <w:lang w:bidi="ar-LB"/>
        </w:rPr>
        <w:t>&amp;</w:t>
      </w:r>
      <w:r w:rsidR="00817A03" w:rsidRPr="00282AC9">
        <w:rPr>
          <w:rFonts w:hint="cs"/>
          <w:sz w:val="27"/>
          <w:rtl/>
          <w:lang w:bidi="ar-LB"/>
        </w:rPr>
        <w:t>،</w:t>
      </w:r>
      <w:r w:rsidRPr="00282AC9">
        <w:rPr>
          <w:rFonts w:hint="cs"/>
          <w:sz w:val="27"/>
          <w:rtl/>
          <w:lang w:bidi="ar-LB"/>
        </w:rPr>
        <w:t xml:space="preserve"> في بدايعه</w:t>
      </w:r>
      <w:r w:rsidR="00817A03" w:rsidRPr="00282AC9">
        <w:rPr>
          <w:rFonts w:hint="cs"/>
          <w:sz w:val="27"/>
          <w:rtl/>
          <w:lang w:bidi="ar-LB"/>
        </w:rPr>
        <w:t>،</w:t>
      </w:r>
      <w:r w:rsidRPr="00282AC9">
        <w:rPr>
          <w:rFonts w:hint="cs"/>
          <w:sz w:val="27"/>
          <w:rtl/>
          <w:lang w:bidi="ar-LB"/>
        </w:rPr>
        <w:t xml:space="preserve"> حيث ردّ</w:t>
      </w:r>
      <w:r w:rsidR="00817A03" w:rsidRPr="00282AC9">
        <w:rPr>
          <w:rFonts w:hint="cs"/>
          <w:sz w:val="27"/>
          <w:rtl/>
          <w:lang w:bidi="ar-LB"/>
        </w:rPr>
        <w:t>َ</w:t>
      </w:r>
      <w:r w:rsidRPr="00282AC9">
        <w:rPr>
          <w:rFonts w:hint="cs"/>
          <w:sz w:val="27"/>
          <w:rtl/>
          <w:lang w:bidi="ar-LB"/>
        </w:rPr>
        <w:t xml:space="preserve"> على ما حكاه عن صاحب (الفصول)</w:t>
      </w:r>
      <w:r w:rsidR="00C60A31" w:rsidRPr="00282AC9">
        <w:rPr>
          <w:rFonts w:hint="cs"/>
          <w:sz w:val="27"/>
          <w:rtl/>
          <w:lang w:bidi="ar-LB"/>
        </w:rPr>
        <w:t>،</w:t>
      </w:r>
      <w:r w:rsidRPr="00282AC9">
        <w:rPr>
          <w:rFonts w:hint="cs"/>
          <w:sz w:val="27"/>
          <w:rtl/>
          <w:lang w:bidi="ar-LB"/>
        </w:rPr>
        <w:t xml:space="preserve"> في ذيل البحث من جواز كون المتلازمين مختلفين في الحكم، بتوق</w:t>
      </w:r>
      <w:r w:rsidR="00C60A31" w:rsidRPr="00282AC9">
        <w:rPr>
          <w:rFonts w:hint="cs"/>
          <w:sz w:val="27"/>
          <w:rtl/>
          <w:lang w:bidi="ar-LB"/>
        </w:rPr>
        <w:t>ُّ</w:t>
      </w:r>
      <w:r w:rsidRPr="00282AC9">
        <w:rPr>
          <w:rFonts w:hint="cs"/>
          <w:sz w:val="27"/>
          <w:rtl/>
          <w:lang w:bidi="ar-LB"/>
        </w:rPr>
        <w:t xml:space="preserve">فه على مقدّمتين فاسدتين: </w:t>
      </w:r>
      <w:r w:rsidRPr="00282AC9">
        <w:rPr>
          <w:rFonts w:hint="cs"/>
          <w:b/>
          <w:bCs/>
          <w:sz w:val="27"/>
          <w:rtl/>
          <w:lang w:bidi="ar-LB"/>
        </w:rPr>
        <w:t>إحداهما</w:t>
      </w:r>
      <w:r w:rsidR="00C60A31" w:rsidRPr="00282AC9">
        <w:rPr>
          <w:rFonts w:hint="cs"/>
          <w:sz w:val="27"/>
          <w:rtl/>
          <w:lang w:bidi="ar-LB"/>
        </w:rPr>
        <w:t>:</w:t>
      </w:r>
      <w:r w:rsidRPr="00282AC9">
        <w:rPr>
          <w:rFonts w:hint="cs"/>
          <w:sz w:val="27"/>
          <w:rtl/>
          <w:lang w:bidi="ar-LB"/>
        </w:rPr>
        <w:t xml:space="preserve"> لا تمتّ</w:t>
      </w:r>
      <w:r w:rsidR="00C60A31" w:rsidRPr="00282AC9">
        <w:rPr>
          <w:rFonts w:hint="cs"/>
          <w:sz w:val="27"/>
          <w:rtl/>
          <w:lang w:bidi="ar-LB"/>
        </w:rPr>
        <w:t>ُ</w:t>
      </w:r>
      <w:r w:rsidR="005053B3" w:rsidRPr="00282AC9">
        <w:rPr>
          <w:rFonts w:hint="cs"/>
          <w:sz w:val="27"/>
          <w:rtl/>
          <w:lang w:bidi="ar-LB"/>
        </w:rPr>
        <w:t xml:space="preserve"> إلى </w:t>
      </w:r>
      <w:r w:rsidRPr="00282AC9">
        <w:rPr>
          <w:rFonts w:hint="cs"/>
          <w:sz w:val="27"/>
          <w:rtl/>
          <w:lang w:bidi="ar-LB"/>
        </w:rPr>
        <w:t>بحثنا بصلة</w:t>
      </w:r>
      <w:r w:rsidR="00C60A31" w:rsidRPr="00282AC9">
        <w:rPr>
          <w:rFonts w:hint="cs"/>
          <w:sz w:val="27"/>
          <w:rtl/>
          <w:lang w:bidi="ar-LB"/>
        </w:rPr>
        <w:t xml:space="preserve">ٍ؛ </w:t>
      </w:r>
      <w:r w:rsidRPr="00282AC9">
        <w:rPr>
          <w:rFonts w:hint="cs"/>
          <w:b/>
          <w:bCs/>
          <w:sz w:val="27"/>
          <w:rtl/>
          <w:lang w:bidi="ar-LB"/>
        </w:rPr>
        <w:t>والثانية</w:t>
      </w:r>
      <w:r w:rsidRPr="00282AC9">
        <w:rPr>
          <w:rFonts w:hint="cs"/>
          <w:sz w:val="27"/>
          <w:rtl/>
          <w:lang w:bidi="ar-LB"/>
        </w:rPr>
        <w:t>: عدم جواز خلوّ الفعل ع</w:t>
      </w:r>
      <w:r w:rsidR="00C60A31" w:rsidRPr="00282AC9">
        <w:rPr>
          <w:rFonts w:hint="cs"/>
          <w:sz w:val="27"/>
          <w:rtl/>
          <w:lang w:bidi="ar-LB"/>
        </w:rPr>
        <w:t>ن</w:t>
      </w:r>
      <w:r w:rsidRPr="00282AC9">
        <w:rPr>
          <w:rFonts w:hint="cs"/>
          <w:sz w:val="27"/>
          <w:rtl/>
          <w:lang w:bidi="ar-LB"/>
        </w:rPr>
        <w:t xml:space="preserve"> شيء</w:t>
      </w:r>
      <w:r w:rsidR="00C60A31" w:rsidRPr="00282AC9">
        <w:rPr>
          <w:rFonts w:hint="cs"/>
          <w:sz w:val="27"/>
          <w:rtl/>
          <w:lang w:bidi="ar-LB"/>
        </w:rPr>
        <w:t>ٍ</w:t>
      </w:r>
      <w:r w:rsidRPr="00282AC9">
        <w:rPr>
          <w:rFonts w:hint="cs"/>
          <w:sz w:val="27"/>
          <w:rtl/>
          <w:lang w:bidi="ar-LB"/>
        </w:rPr>
        <w:t xml:space="preserve"> من الأحكام الخمسة</w:t>
      </w:r>
      <w:r w:rsidR="00C60A31" w:rsidRPr="00282AC9">
        <w:rPr>
          <w:rFonts w:hint="cs"/>
          <w:sz w:val="27"/>
          <w:rtl/>
          <w:lang w:bidi="ar-LB"/>
        </w:rPr>
        <w:t>.</w:t>
      </w:r>
      <w:r w:rsidRPr="00282AC9">
        <w:rPr>
          <w:rFonts w:hint="cs"/>
          <w:sz w:val="27"/>
          <w:rtl/>
          <w:lang w:bidi="ar-LB"/>
        </w:rPr>
        <w:t xml:space="preserve"> وهي أيضاً واضحة الفساد</w:t>
      </w:r>
      <w:r w:rsidR="00C60A31" w:rsidRPr="00282AC9">
        <w:rPr>
          <w:rFonts w:hint="cs"/>
          <w:sz w:val="27"/>
          <w:rtl/>
          <w:lang w:bidi="ar-LB"/>
        </w:rPr>
        <w:t>.</w:t>
      </w:r>
      <w:r w:rsidRPr="00282AC9">
        <w:rPr>
          <w:rFonts w:hint="cs"/>
          <w:sz w:val="27"/>
          <w:rtl/>
          <w:lang w:bidi="ar-LB"/>
        </w:rPr>
        <w:t xml:space="preserve"> ودعوى القطع بذلك مم</w:t>
      </w:r>
      <w:r w:rsidR="00C60A31" w:rsidRPr="00282AC9">
        <w:rPr>
          <w:rFonts w:hint="cs"/>
          <w:sz w:val="27"/>
          <w:rtl/>
          <w:lang w:bidi="ar-LB"/>
        </w:rPr>
        <w:t>ّ</w:t>
      </w:r>
      <w:r w:rsidRPr="00282AC9">
        <w:rPr>
          <w:rFonts w:hint="cs"/>
          <w:sz w:val="27"/>
          <w:rtl/>
          <w:lang w:bidi="ar-LB"/>
        </w:rPr>
        <w:t>ا ينبغي صدوره من مثله</w:t>
      </w:r>
      <w:r w:rsidR="00C60A31" w:rsidRPr="00282AC9">
        <w:rPr>
          <w:rFonts w:hint="cs"/>
          <w:sz w:val="27"/>
          <w:rtl/>
          <w:lang w:bidi="ar-LB"/>
        </w:rPr>
        <w:t>؛ إذ</w:t>
      </w:r>
      <w:r w:rsidRPr="00282AC9">
        <w:rPr>
          <w:rFonts w:hint="cs"/>
          <w:sz w:val="27"/>
          <w:rtl/>
          <w:lang w:bidi="ar-LB"/>
        </w:rPr>
        <w:t xml:space="preserve"> لا سبيل</w:t>
      </w:r>
      <w:r w:rsidR="005053B3" w:rsidRPr="00282AC9">
        <w:rPr>
          <w:rFonts w:hint="cs"/>
          <w:sz w:val="27"/>
          <w:rtl/>
          <w:lang w:bidi="ar-LB"/>
        </w:rPr>
        <w:t xml:space="preserve"> إلى </w:t>
      </w:r>
      <w:r w:rsidRPr="00282AC9">
        <w:rPr>
          <w:rFonts w:hint="cs"/>
          <w:sz w:val="27"/>
          <w:rtl/>
          <w:lang w:bidi="ar-LB"/>
        </w:rPr>
        <w:t>القطع بذلك</w:t>
      </w:r>
      <w:r w:rsidR="00C60A31" w:rsidRPr="00282AC9">
        <w:rPr>
          <w:rFonts w:hint="cs"/>
          <w:sz w:val="27"/>
          <w:rtl/>
          <w:lang w:bidi="ar-LB"/>
        </w:rPr>
        <w:t>،</w:t>
      </w:r>
      <w:r w:rsidRPr="00282AC9">
        <w:rPr>
          <w:rFonts w:hint="cs"/>
          <w:sz w:val="27"/>
          <w:rtl/>
          <w:lang w:bidi="ar-LB"/>
        </w:rPr>
        <w:t xml:space="preserve"> لا من جانب العقل</w:t>
      </w:r>
      <w:r w:rsidR="00C60A31" w:rsidRPr="00282AC9">
        <w:rPr>
          <w:rFonts w:hint="cs"/>
          <w:sz w:val="27"/>
          <w:rtl/>
          <w:lang w:bidi="ar-LB"/>
        </w:rPr>
        <w:t>،</w:t>
      </w:r>
      <w:r w:rsidRPr="00282AC9">
        <w:rPr>
          <w:rFonts w:hint="cs"/>
          <w:sz w:val="27"/>
          <w:rtl/>
          <w:lang w:bidi="ar-LB"/>
        </w:rPr>
        <w:t xml:space="preserve"> ولا من جانب النقل، وأيّ</w:t>
      </w:r>
      <w:r w:rsidR="00C60A31" w:rsidRPr="00282AC9">
        <w:rPr>
          <w:rFonts w:hint="cs"/>
          <w:sz w:val="27"/>
          <w:rtl/>
          <w:lang w:bidi="ar-LB"/>
        </w:rPr>
        <w:t>ُ</w:t>
      </w:r>
      <w:r w:rsidRPr="00282AC9">
        <w:rPr>
          <w:rFonts w:hint="cs"/>
          <w:sz w:val="27"/>
          <w:rtl/>
          <w:lang w:bidi="ar-LB"/>
        </w:rPr>
        <w:t xml:space="preserve"> دليل</w:t>
      </w:r>
      <w:r w:rsidR="00C60A31" w:rsidRPr="00282AC9">
        <w:rPr>
          <w:rFonts w:hint="cs"/>
          <w:sz w:val="27"/>
          <w:rtl/>
          <w:lang w:bidi="ar-LB"/>
        </w:rPr>
        <w:t>ٍ</w:t>
      </w:r>
      <w:r w:rsidRPr="00282AC9">
        <w:rPr>
          <w:rFonts w:hint="cs"/>
          <w:sz w:val="27"/>
          <w:rtl/>
          <w:lang w:bidi="ar-LB"/>
        </w:rPr>
        <w:t xml:space="preserve"> يفيد القطع؟ أمّا العقل فلأنه لا يستقل</w:t>
      </w:r>
      <w:r w:rsidR="00C60A31" w:rsidRPr="00282AC9">
        <w:rPr>
          <w:rFonts w:hint="cs"/>
          <w:sz w:val="27"/>
          <w:rtl/>
          <w:lang w:bidi="ar-LB"/>
        </w:rPr>
        <w:t>ّ</w:t>
      </w:r>
      <w:r w:rsidRPr="00282AC9">
        <w:rPr>
          <w:rFonts w:hint="cs"/>
          <w:sz w:val="27"/>
          <w:rtl/>
          <w:lang w:bidi="ar-LB"/>
        </w:rPr>
        <w:t xml:space="preserve"> بثبوت الحكم بكلّ واقعة</w:t>
      </w:r>
      <w:r w:rsidR="00C60A31" w:rsidRPr="00282AC9">
        <w:rPr>
          <w:rFonts w:hint="cs"/>
          <w:sz w:val="27"/>
          <w:rtl/>
          <w:lang w:bidi="ar-LB"/>
        </w:rPr>
        <w:t>ٍ</w:t>
      </w:r>
      <w:r w:rsidRPr="00282AC9">
        <w:rPr>
          <w:rFonts w:hint="cs"/>
          <w:sz w:val="27"/>
          <w:rtl/>
          <w:lang w:bidi="ar-LB"/>
        </w:rPr>
        <w:t>، وأمّا النقل فقد ورد أنّه ما من واقعة</w:t>
      </w:r>
      <w:r w:rsidR="00C60A31" w:rsidRPr="00282AC9">
        <w:rPr>
          <w:rFonts w:hint="cs"/>
          <w:sz w:val="27"/>
          <w:rtl/>
          <w:lang w:bidi="ar-LB"/>
        </w:rPr>
        <w:t>ٍ</w:t>
      </w:r>
      <w:r w:rsidRPr="00282AC9">
        <w:rPr>
          <w:rFonts w:hint="cs"/>
          <w:sz w:val="27"/>
          <w:rtl/>
          <w:lang w:bidi="ar-LB"/>
        </w:rPr>
        <w:t xml:space="preserve"> إلا</w:t>
      </w:r>
      <w:r w:rsidR="00C60A31" w:rsidRPr="00282AC9">
        <w:rPr>
          <w:rFonts w:hint="cs"/>
          <w:sz w:val="27"/>
          <w:rtl/>
          <w:lang w:bidi="ar-LB"/>
        </w:rPr>
        <w:t>ّ</w:t>
      </w:r>
      <w:r w:rsidRPr="00282AC9">
        <w:rPr>
          <w:rFonts w:hint="cs"/>
          <w:sz w:val="27"/>
          <w:rtl/>
          <w:lang w:bidi="ar-LB"/>
        </w:rPr>
        <w:t xml:space="preserve"> ولها حكم</w:t>
      </w:r>
      <w:r w:rsidR="00C60A31" w:rsidRPr="00282AC9">
        <w:rPr>
          <w:rFonts w:hint="cs"/>
          <w:sz w:val="27"/>
          <w:rtl/>
          <w:lang w:bidi="ar-LB"/>
        </w:rPr>
        <w:t>ٌ</w:t>
      </w:r>
      <w:r w:rsidRPr="00282AC9">
        <w:rPr>
          <w:rFonts w:hint="cs"/>
          <w:sz w:val="27"/>
          <w:rtl/>
          <w:lang w:bidi="ar-LB"/>
        </w:rPr>
        <w:t xml:space="preserve"> مفرد عند الله</w:t>
      </w:r>
      <w:r w:rsidR="00C60A31" w:rsidRPr="00282AC9">
        <w:rPr>
          <w:rFonts w:hint="cs"/>
          <w:sz w:val="27"/>
          <w:rtl/>
          <w:lang w:bidi="ar-LB"/>
        </w:rPr>
        <w:t>.</w:t>
      </w:r>
      <w:r w:rsidRPr="00282AC9">
        <w:rPr>
          <w:rFonts w:hint="cs"/>
          <w:sz w:val="27"/>
          <w:rtl/>
          <w:lang w:bidi="ar-LB"/>
        </w:rPr>
        <w:t xml:space="preserve"> إلاّ أنّ اعتماد مثله على مثله في أمثال المسألة كما ترى</w:t>
      </w:r>
      <w:r w:rsidRPr="00282AC9">
        <w:rPr>
          <w:rFonts w:hint="cs"/>
          <w:sz w:val="27"/>
          <w:vertAlign w:val="superscript"/>
          <w:rtl/>
          <w:lang w:bidi="ar-LB"/>
        </w:rPr>
        <w:t>(</w:t>
      </w:r>
      <w:r w:rsidRPr="00282AC9">
        <w:rPr>
          <w:rStyle w:val="af9"/>
          <w:sz w:val="27"/>
          <w:rtl/>
          <w:lang w:bidi="ar-LB"/>
        </w:rPr>
        <w:endnoteReference w:id="15"/>
      </w:r>
      <w:r w:rsidRPr="00282AC9">
        <w:rPr>
          <w:sz w:val="27"/>
          <w:vertAlign w:val="superscript"/>
          <w:rtl/>
          <w:lang w:bidi="ar-LB"/>
        </w:rPr>
        <w:t>)</w:t>
      </w:r>
      <w:r w:rsidRPr="00282AC9">
        <w:rPr>
          <w:rFonts w:hint="cs"/>
          <w:sz w:val="27"/>
          <w:rtl/>
          <w:lang w:bidi="ar-LB"/>
        </w:rPr>
        <w:t xml:space="preserve">. </w:t>
      </w:r>
    </w:p>
    <w:p w:rsidR="00A9019A" w:rsidRPr="00282AC9" w:rsidRDefault="00A9019A" w:rsidP="00B16272">
      <w:pPr>
        <w:tabs>
          <w:tab w:val="right" w:pos="6930"/>
        </w:tabs>
        <w:suppressAutoHyphens/>
        <w:rPr>
          <w:sz w:val="27"/>
          <w:rtl/>
          <w:lang w:bidi="ar-LB"/>
        </w:rPr>
      </w:pPr>
      <w:r w:rsidRPr="00282AC9">
        <w:rPr>
          <w:rFonts w:hint="cs"/>
          <w:sz w:val="27"/>
          <w:rtl/>
          <w:lang w:bidi="ar-LB"/>
        </w:rPr>
        <w:t>وسوف يت</w:t>
      </w:r>
      <w:r w:rsidR="00C60A31" w:rsidRPr="00282AC9">
        <w:rPr>
          <w:rFonts w:hint="cs"/>
          <w:sz w:val="27"/>
          <w:rtl/>
          <w:lang w:bidi="ar-LB"/>
        </w:rPr>
        <w:t>ّ</w:t>
      </w:r>
      <w:r w:rsidRPr="00282AC9">
        <w:rPr>
          <w:rFonts w:hint="cs"/>
          <w:sz w:val="27"/>
          <w:rtl/>
          <w:lang w:bidi="ar-LB"/>
        </w:rPr>
        <w:t>ضح إن</w:t>
      </w:r>
      <w:r w:rsidR="008141D7" w:rsidRPr="00282AC9">
        <w:rPr>
          <w:rFonts w:hint="cs"/>
          <w:sz w:val="27"/>
          <w:rtl/>
          <w:lang w:bidi="ar-LB"/>
        </w:rPr>
        <w:t>ْ</w:t>
      </w:r>
      <w:r w:rsidRPr="00282AC9">
        <w:rPr>
          <w:rFonts w:hint="cs"/>
          <w:sz w:val="27"/>
          <w:rtl/>
          <w:lang w:bidi="ar-LB"/>
        </w:rPr>
        <w:t xml:space="preserve"> شاء الله تعالى من خلال الأبحاث الآتية تماميّة الدليل العقلي والنقلي في المس</w:t>
      </w:r>
      <w:r w:rsidR="008141D7" w:rsidRPr="00282AC9">
        <w:rPr>
          <w:rFonts w:hint="cs"/>
          <w:sz w:val="27"/>
          <w:rtl/>
          <w:lang w:bidi="ar-LB"/>
        </w:rPr>
        <w:t>أ</w:t>
      </w:r>
      <w:r w:rsidRPr="00282AC9">
        <w:rPr>
          <w:rFonts w:hint="cs"/>
          <w:sz w:val="27"/>
          <w:rtl/>
          <w:lang w:bidi="ar-LB"/>
        </w:rPr>
        <w:t>لة</w:t>
      </w:r>
      <w:r w:rsidR="008141D7" w:rsidRPr="00282AC9">
        <w:rPr>
          <w:rFonts w:hint="cs"/>
          <w:sz w:val="27"/>
          <w:rtl/>
          <w:lang w:bidi="ar-LB"/>
        </w:rPr>
        <w:t>. لكنن</w:t>
      </w:r>
      <w:r w:rsidRPr="00282AC9">
        <w:rPr>
          <w:rFonts w:hint="cs"/>
          <w:sz w:val="27"/>
          <w:rtl/>
          <w:lang w:bidi="ar-LB"/>
        </w:rPr>
        <w:t>ا لم نعثر على النصّ الذي ذكره، ولعلّه نقل بالمضمون</w:t>
      </w:r>
      <w:r w:rsidR="008141D7" w:rsidRPr="00282AC9">
        <w:rPr>
          <w:rFonts w:hint="cs"/>
          <w:sz w:val="27"/>
          <w:rtl/>
          <w:lang w:bidi="ar-LB"/>
        </w:rPr>
        <w:t>.</w:t>
      </w:r>
      <w:r w:rsidRPr="00282AC9">
        <w:rPr>
          <w:rFonts w:hint="cs"/>
          <w:sz w:val="27"/>
          <w:rtl/>
          <w:lang w:bidi="ar-LB"/>
        </w:rPr>
        <w:t xml:space="preserve"> وكيف كان ففي</w:t>
      </w:r>
      <w:r w:rsidR="008141D7" w:rsidRPr="00282AC9">
        <w:rPr>
          <w:rFonts w:hint="cs"/>
          <w:sz w:val="27"/>
          <w:rtl/>
          <w:lang w:bidi="ar-LB"/>
        </w:rPr>
        <w:t xml:space="preserve"> </w:t>
      </w:r>
      <w:r w:rsidRPr="00282AC9">
        <w:rPr>
          <w:rFonts w:hint="cs"/>
          <w:sz w:val="27"/>
          <w:rtl/>
          <w:lang w:bidi="ar-LB"/>
        </w:rPr>
        <w:t>ما يأ</w:t>
      </w:r>
      <w:r w:rsidR="008141D7" w:rsidRPr="00282AC9">
        <w:rPr>
          <w:rFonts w:hint="cs"/>
          <w:sz w:val="27"/>
          <w:rtl/>
          <w:lang w:bidi="ar-LB"/>
        </w:rPr>
        <w:t>ت</w:t>
      </w:r>
      <w:r w:rsidRPr="00282AC9">
        <w:rPr>
          <w:rFonts w:hint="cs"/>
          <w:sz w:val="27"/>
          <w:rtl/>
          <w:lang w:bidi="ar-LB"/>
        </w:rPr>
        <w:t>ي من الروايات كفاية</w:t>
      </w:r>
      <w:r w:rsidR="008141D7" w:rsidRPr="00282AC9">
        <w:rPr>
          <w:rFonts w:hint="cs"/>
          <w:sz w:val="27"/>
          <w:rtl/>
          <w:lang w:bidi="ar-LB"/>
        </w:rPr>
        <w:t>ٌ</w:t>
      </w:r>
      <w:r w:rsidRPr="00282AC9">
        <w:rPr>
          <w:rFonts w:hint="cs"/>
          <w:sz w:val="27"/>
          <w:rtl/>
          <w:lang w:bidi="ar-LB"/>
        </w:rPr>
        <w:t xml:space="preserve"> عنه.</w:t>
      </w:r>
    </w:p>
    <w:p w:rsidR="00A9019A" w:rsidRPr="00282AC9" w:rsidRDefault="00A9019A" w:rsidP="00B16272">
      <w:pPr>
        <w:tabs>
          <w:tab w:val="right" w:pos="6930"/>
        </w:tabs>
        <w:suppressAutoHyphens/>
        <w:rPr>
          <w:sz w:val="27"/>
          <w:rtl/>
          <w:lang w:bidi="ar-LB"/>
        </w:rPr>
      </w:pPr>
      <w:r w:rsidRPr="00282AC9">
        <w:rPr>
          <w:rFonts w:hint="cs"/>
          <w:sz w:val="27"/>
          <w:rtl/>
          <w:lang w:bidi="ar-LB"/>
        </w:rPr>
        <w:t xml:space="preserve">ولا يبعد أن يكون قوله: </w:t>
      </w:r>
      <w:r w:rsidR="008141D7" w:rsidRPr="00282AC9">
        <w:rPr>
          <w:rFonts w:hint="eastAsia"/>
          <w:sz w:val="24"/>
          <w:szCs w:val="24"/>
          <w:rtl/>
          <w:lang w:bidi="ar-LB"/>
        </w:rPr>
        <w:t>«</w:t>
      </w:r>
      <w:r w:rsidRPr="00282AC9">
        <w:rPr>
          <w:rFonts w:hint="cs"/>
          <w:sz w:val="27"/>
          <w:rtl/>
          <w:lang w:bidi="ar-LB"/>
        </w:rPr>
        <w:t>في مثله</w:t>
      </w:r>
      <w:r w:rsidR="008141D7" w:rsidRPr="00282AC9">
        <w:rPr>
          <w:rFonts w:hint="eastAsia"/>
          <w:sz w:val="24"/>
          <w:szCs w:val="24"/>
          <w:rtl/>
        </w:rPr>
        <w:t>»</w:t>
      </w:r>
      <w:r w:rsidRPr="00282AC9">
        <w:rPr>
          <w:rFonts w:hint="cs"/>
          <w:sz w:val="27"/>
          <w:rtl/>
          <w:lang w:bidi="ar-LB"/>
        </w:rPr>
        <w:t xml:space="preserve"> إشارة</w:t>
      </w:r>
      <w:r w:rsidR="005053B3" w:rsidRPr="00282AC9">
        <w:rPr>
          <w:rFonts w:hint="cs"/>
          <w:sz w:val="27"/>
          <w:rtl/>
          <w:lang w:bidi="ar-LB"/>
        </w:rPr>
        <w:t xml:space="preserve"> إلى </w:t>
      </w:r>
      <w:r w:rsidRPr="00282AC9">
        <w:rPr>
          <w:rFonts w:hint="cs"/>
          <w:sz w:val="27"/>
          <w:rtl/>
          <w:lang w:bidi="ar-LB"/>
        </w:rPr>
        <w:t>ضعف تلك الرواية سنداً</w:t>
      </w:r>
      <w:r w:rsidR="008141D7" w:rsidRPr="00282AC9">
        <w:rPr>
          <w:rFonts w:hint="cs"/>
          <w:sz w:val="27"/>
          <w:rtl/>
          <w:lang w:bidi="ar-LB"/>
        </w:rPr>
        <w:t>.</w:t>
      </w:r>
      <w:r w:rsidRPr="00282AC9">
        <w:rPr>
          <w:rFonts w:hint="cs"/>
          <w:sz w:val="27"/>
          <w:rtl/>
          <w:lang w:bidi="ar-LB"/>
        </w:rPr>
        <w:t xml:space="preserve"> كما يحتمل أن يكون قوله: </w:t>
      </w:r>
      <w:r w:rsidRPr="00282AC9">
        <w:rPr>
          <w:rFonts w:hint="eastAsia"/>
          <w:sz w:val="24"/>
          <w:szCs w:val="24"/>
          <w:rtl/>
          <w:lang w:bidi="ar-LB"/>
        </w:rPr>
        <w:t>«</w:t>
      </w:r>
      <w:r w:rsidRPr="00282AC9">
        <w:rPr>
          <w:rFonts w:hint="cs"/>
          <w:sz w:val="27"/>
          <w:rtl/>
          <w:lang w:bidi="ar-LB"/>
        </w:rPr>
        <w:t>في أمثال المسألة</w:t>
      </w:r>
      <w:r w:rsidRPr="00282AC9">
        <w:rPr>
          <w:rFonts w:hint="eastAsia"/>
          <w:sz w:val="24"/>
          <w:szCs w:val="24"/>
          <w:rtl/>
        </w:rPr>
        <w:t>»</w:t>
      </w:r>
      <w:r w:rsidRPr="00282AC9">
        <w:rPr>
          <w:rFonts w:hint="cs"/>
          <w:sz w:val="27"/>
          <w:rtl/>
          <w:lang w:bidi="ar-LB"/>
        </w:rPr>
        <w:t xml:space="preserve"> إشارة</w:t>
      </w:r>
      <w:r w:rsidR="005053B3" w:rsidRPr="00282AC9">
        <w:rPr>
          <w:rFonts w:hint="cs"/>
          <w:sz w:val="27"/>
          <w:rtl/>
          <w:lang w:bidi="ar-LB"/>
        </w:rPr>
        <w:t xml:space="preserve"> إلى </w:t>
      </w:r>
      <w:r w:rsidRPr="00282AC9">
        <w:rPr>
          <w:rFonts w:hint="cs"/>
          <w:sz w:val="27"/>
          <w:rtl/>
          <w:lang w:bidi="ar-LB"/>
        </w:rPr>
        <w:t>عدم كفاية أخبار الآحاد في المسألة</w:t>
      </w:r>
      <w:r w:rsidR="008141D7" w:rsidRPr="00282AC9">
        <w:rPr>
          <w:rFonts w:hint="cs"/>
          <w:sz w:val="27"/>
          <w:rtl/>
          <w:lang w:bidi="ar-LB"/>
        </w:rPr>
        <w:t>،</w:t>
      </w:r>
      <w:r w:rsidRPr="00282AC9">
        <w:rPr>
          <w:rFonts w:hint="cs"/>
          <w:sz w:val="27"/>
          <w:rtl/>
          <w:lang w:bidi="ar-LB"/>
        </w:rPr>
        <w:t xml:space="preserve"> بناءً على أنّها مسألة</w:t>
      </w:r>
      <w:r w:rsidR="008141D7" w:rsidRPr="00282AC9">
        <w:rPr>
          <w:rFonts w:hint="cs"/>
          <w:sz w:val="27"/>
          <w:rtl/>
          <w:lang w:bidi="ar-LB"/>
        </w:rPr>
        <w:t>ٌ</w:t>
      </w:r>
      <w:r w:rsidRPr="00282AC9">
        <w:rPr>
          <w:rFonts w:hint="cs"/>
          <w:sz w:val="27"/>
          <w:rtl/>
          <w:lang w:bidi="ar-LB"/>
        </w:rPr>
        <w:t xml:space="preserve"> واقعيّة</w:t>
      </w:r>
      <w:r w:rsidR="008141D7" w:rsidRPr="00282AC9">
        <w:rPr>
          <w:rFonts w:hint="cs"/>
          <w:sz w:val="27"/>
          <w:rtl/>
          <w:lang w:bidi="ar-LB"/>
        </w:rPr>
        <w:t>،</w:t>
      </w:r>
      <w:r w:rsidRPr="00282AC9">
        <w:rPr>
          <w:rFonts w:hint="cs"/>
          <w:sz w:val="27"/>
          <w:rtl/>
          <w:lang w:bidi="ar-LB"/>
        </w:rPr>
        <w:t xml:space="preserve"> وليست تعبّدية</w:t>
      </w:r>
      <w:r w:rsidR="008141D7" w:rsidRPr="00282AC9">
        <w:rPr>
          <w:rFonts w:hint="cs"/>
          <w:sz w:val="27"/>
          <w:rtl/>
          <w:lang w:bidi="ar-LB"/>
        </w:rPr>
        <w:t>ً</w:t>
      </w:r>
      <w:r w:rsidRPr="00282AC9">
        <w:rPr>
          <w:rFonts w:hint="cs"/>
          <w:sz w:val="27"/>
          <w:rtl/>
          <w:lang w:bidi="ar-LB"/>
        </w:rPr>
        <w:t xml:space="preserve"> ب</w:t>
      </w:r>
      <w:r w:rsidR="008141D7" w:rsidRPr="00282AC9">
        <w:rPr>
          <w:rFonts w:hint="cs"/>
          <w:sz w:val="27"/>
          <w:rtl/>
          <w:lang w:bidi="ar-LB"/>
        </w:rPr>
        <w:t>َ</w:t>
      </w:r>
      <w:r w:rsidRPr="00282AC9">
        <w:rPr>
          <w:rFonts w:hint="cs"/>
          <w:sz w:val="27"/>
          <w:rtl/>
          <w:lang w:bidi="ar-LB"/>
        </w:rPr>
        <w:t>ح</w:t>
      </w:r>
      <w:r w:rsidR="008141D7" w:rsidRPr="00282AC9">
        <w:rPr>
          <w:rFonts w:hint="cs"/>
          <w:sz w:val="27"/>
          <w:rtl/>
          <w:lang w:bidi="ar-LB"/>
        </w:rPr>
        <w:t>ْ</w:t>
      </w:r>
      <w:r w:rsidRPr="00282AC9">
        <w:rPr>
          <w:rFonts w:hint="cs"/>
          <w:sz w:val="27"/>
          <w:rtl/>
          <w:lang w:bidi="ar-LB"/>
        </w:rPr>
        <w:t>تة</w:t>
      </w:r>
      <w:r w:rsidR="008141D7" w:rsidRPr="00282AC9">
        <w:rPr>
          <w:rFonts w:hint="cs"/>
          <w:sz w:val="27"/>
          <w:rtl/>
          <w:lang w:bidi="ar-LB"/>
        </w:rPr>
        <w:t xml:space="preserve">. </w:t>
      </w:r>
      <w:r w:rsidRPr="00282AC9">
        <w:rPr>
          <w:rFonts w:hint="cs"/>
          <w:sz w:val="27"/>
          <w:rtl/>
          <w:lang w:bidi="ar-LB"/>
        </w:rPr>
        <w:t xml:space="preserve">وسوف يأتي الكلام ذلك عند البحث الإثباتي، فإنّ هذا </w:t>
      </w:r>
      <w:r w:rsidR="008141D7" w:rsidRPr="00282AC9">
        <w:rPr>
          <w:rFonts w:hint="cs"/>
          <w:sz w:val="27"/>
          <w:rtl/>
          <w:lang w:bidi="ar-LB"/>
        </w:rPr>
        <w:t>لو تمّ لعمّ الإجماع والروايات إ</w:t>
      </w:r>
      <w:r w:rsidRPr="00282AC9">
        <w:rPr>
          <w:rFonts w:hint="cs"/>
          <w:sz w:val="27"/>
          <w:rtl/>
          <w:lang w:bidi="ar-LB"/>
        </w:rPr>
        <w:t>ذا لم يثبت تواترها.</w:t>
      </w:r>
    </w:p>
    <w:p w:rsidR="00A9019A" w:rsidRPr="00282AC9" w:rsidRDefault="00A9019A" w:rsidP="00B16272">
      <w:pPr>
        <w:tabs>
          <w:tab w:val="right" w:pos="6930"/>
        </w:tabs>
        <w:suppressAutoHyphens/>
        <w:rPr>
          <w:sz w:val="27"/>
          <w:rtl/>
          <w:lang w:bidi="ar-LB"/>
        </w:rPr>
      </w:pPr>
      <w:r w:rsidRPr="00282AC9">
        <w:rPr>
          <w:rFonts w:hint="cs"/>
          <w:sz w:val="27"/>
          <w:rtl/>
          <w:lang w:bidi="ar-LB"/>
        </w:rPr>
        <w:t>ومن جملة المثبتين للقاعدة: صاحب (الحاشية على المعالم)</w:t>
      </w:r>
      <w:r w:rsidR="008141D7" w:rsidRPr="00282AC9">
        <w:rPr>
          <w:rFonts w:hint="cs"/>
          <w:sz w:val="27"/>
          <w:rtl/>
          <w:lang w:bidi="ar-LB"/>
        </w:rPr>
        <w:t>،</w:t>
      </w:r>
      <w:r w:rsidRPr="00282AC9">
        <w:rPr>
          <w:rFonts w:hint="cs"/>
          <w:sz w:val="27"/>
          <w:rtl/>
          <w:lang w:bidi="ar-LB"/>
        </w:rPr>
        <w:t xml:space="preserve"> حيث قال</w:t>
      </w:r>
      <w:r w:rsidR="00CA022C" w:rsidRPr="00282AC9">
        <w:rPr>
          <w:rFonts w:cs="Mosawi" w:hint="cs"/>
          <w:sz w:val="22"/>
          <w:szCs w:val="22"/>
          <w:rtl/>
          <w:lang w:bidi="ar-LB"/>
        </w:rPr>
        <w:t>&amp;</w:t>
      </w:r>
      <w:r w:rsidRPr="00282AC9">
        <w:rPr>
          <w:rFonts w:hint="cs"/>
          <w:sz w:val="27"/>
          <w:rtl/>
          <w:lang w:bidi="ar-LB"/>
        </w:rPr>
        <w:t>:</w:t>
      </w:r>
      <w:r w:rsidR="008141D7" w:rsidRPr="00282AC9">
        <w:rPr>
          <w:rFonts w:hint="cs"/>
          <w:sz w:val="27"/>
          <w:rtl/>
          <w:lang w:bidi="ar-LB"/>
        </w:rPr>
        <w:t xml:space="preserve"> </w:t>
      </w:r>
      <w:r w:rsidR="008141D7" w:rsidRPr="00282AC9">
        <w:rPr>
          <w:rFonts w:hint="eastAsia"/>
          <w:sz w:val="24"/>
          <w:szCs w:val="24"/>
          <w:rtl/>
          <w:lang w:bidi="ar-LB"/>
        </w:rPr>
        <w:t>«</w:t>
      </w:r>
      <w:r w:rsidRPr="00282AC9">
        <w:rPr>
          <w:rFonts w:hint="cs"/>
          <w:sz w:val="27"/>
          <w:rtl/>
          <w:lang w:bidi="ar-LB"/>
        </w:rPr>
        <w:t>وأمّا على أصول الإماميّة</w:t>
      </w:r>
      <w:r w:rsidR="008141D7" w:rsidRPr="00282AC9">
        <w:rPr>
          <w:rFonts w:hint="cs"/>
          <w:sz w:val="27"/>
          <w:rtl/>
          <w:lang w:bidi="ar-LB"/>
        </w:rPr>
        <w:t>،</w:t>
      </w:r>
      <w:r w:rsidRPr="00282AC9">
        <w:rPr>
          <w:rFonts w:hint="cs"/>
          <w:sz w:val="27"/>
          <w:rtl/>
          <w:lang w:bidi="ar-LB"/>
        </w:rPr>
        <w:t xml:space="preserve"> على ما دلّت عليه نصوصهم ال</w:t>
      </w:r>
      <w:r w:rsidR="008141D7" w:rsidRPr="00282AC9">
        <w:rPr>
          <w:rFonts w:hint="cs"/>
          <w:sz w:val="27"/>
          <w:rtl/>
          <w:lang w:bidi="ar-LB"/>
        </w:rPr>
        <w:t>م</w:t>
      </w:r>
      <w:r w:rsidRPr="00282AC9">
        <w:rPr>
          <w:rFonts w:hint="cs"/>
          <w:sz w:val="27"/>
          <w:rtl/>
          <w:lang w:bidi="ar-LB"/>
        </w:rPr>
        <w:t>تواترة من أئم</w:t>
      </w:r>
      <w:r w:rsidR="008141D7" w:rsidRPr="00282AC9">
        <w:rPr>
          <w:rFonts w:hint="cs"/>
          <w:sz w:val="27"/>
          <w:rtl/>
          <w:lang w:bidi="ar-LB"/>
        </w:rPr>
        <w:t>ّ</w:t>
      </w:r>
      <w:r w:rsidRPr="00282AC9">
        <w:rPr>
          <w:rFonts w:hint="cs"/>
          <w:sz w:val="27"/>
          <w:rtl/>
          <w:lang w:bidi="ar-LB"/>
        </w:rPr>
        <w:t>تهم</w:t>
      </w:r>
      <w:r w:rsidR="008141D7" w:rsidRPr="00282AC9">
        <w:rPr>
          <w:rFonts w:hint="cs"/>
          <w:sz w:val="27"/>
          <w:rtl/>
          <w:lang w:bidi="ar-LB"/>
        </w:rPr>
        <w:t>،</w:t>
      </w:r>
      <w:r w:rsidRPr="00282AC9">
        <w:rPr>
          <w:rFonts w:hint="cs"/>
          <w:sz w:val="27"/>
          <w:rtl/>
          <w:lang w:bidi="ar-LB"/>
        </w:rPr>
        <w:t xml:space="preserve"> من كون حكم الله تعالى في الواقعة واحداً بح</w:t>
      </w:r>
      <w:r w:rsidR="008141D7" w:rsidRPr="00282AC9">
        <w:rPr>
          <w:rFonts w:hint="cs"/>
          <w:sz w:val="27"/>
          <w:rtl/>
          <w:lang w:bidi="ar-LB"/>
        </w:rPr>
        <w:t>َ</w:t>
      </w:r>
      <w:r w:rsidRPr="00282AC9">
        <w:rPr>
          <w:rFonts w:hint="cs"/>
          <w:sz w:val="27"/>
          <w:rtl/>
          <w:lang w:bidi="ar-LB"/>
        </w:rPr>
        <w:t>س</w:t>
      </w:r>
      <w:r w:rsidR="008141D7" w:rsidRPr="00282AC9">
        <w:rPr>
          <w:rFonts w:hint="cs"/>
          <w:sz w:val="27"/>
          <w:rtl/>
          <w:lang w:bidi="ar-LB"/>
        </w:rPr>
        <w:t>َ</w:t>
      </w:r>
      <w:r w:rsidRPr="00282AC9">
        <w:rPr>
          <w:rFonts w:hint="cs"/>
          <w:sz w:val="27"/>
          <w:rtl/>
          <w:lang w:bidi="ar-LB"/>
        </w:rPr>
        <w:t>ب الواقع، وأنّ له تعالى في كلّ واقعة حكماً مخزوناً عند أهله</w:t>
      </w:r>
      <w:r w:rsidR="00556608" w:rsidRPr="00282AC9">
        <w:rPr>
          <w:rFonts w:hint="cs"/>
          <w:sz w:val="27"/>
          <w:rtl/>
          <w:lang w:bidi="ar-LB"/>
        </w:rPr>
        <w:t>،</w:t>
      </w:r>
      <w:r w:rsidRPr="00282AC9">
        <w:rPr>
          <w:rFonts w:hint="cs"/>
          <w:sz w:val="27"/>
          <w:rtl/>
          <w:lang w:bidi="ar-LB"/>
        </w:rPr>
        <w:t xml:space="preserve"> أصابه </w:t>
      </w:r>
      <w:r w:rsidR="00556608" w:rsidRPr="00282AC9">
        <w:rPr>
          <w:rFonts w:hint="cs"/>
          <w:sz w:val="27"/>
          <w:rtl/>
          <w:lang w:bidi="ar-LB"/>
        </w:rPr>
        <w:t>مَنْ أصابه و</w:t>
      </w:r>
      <w:r w:rsidRPr="00282AC9">
        <w:rPr>
          <w:rFonts w:hint="cs"/>
          <w:sz w:val="27"/>
          <w:rtl/>
          <w:lang w:bidi="ar-LB"/>
        </w:rPr>
        <w:t>أخطأه م</w:t>
      </w:r>
      <w:r w:rsidR="00556608" w:rsidRPr="00282AC9">
        <w:rPr>
          <w:rFonts w:hint="cs"/>
          <w:sz w:val="27"/>
          <w:rtl/>
          <w:lang w:bidi="ar-LB"/>
        </w:rPr>
        <w:t>َ</w:t>
      </w:r>
      <w:r w:rsidRPr="00282AC9">
        <w:rPr>
          <w:rFonts w:hint="cs"/>
          <w:sz w:val="27"/>
          <w:rtl/>
          <w:lang w:bidi="ar-LB"/>
        </w:rPr>
        <w:t>ن</w:t>
      </w:r>
      <w:r w:rsidR="00556608" w:rsidRPr="00282AC9">
        <w:rPr>
          <w:rFonts w:hint="cs"/>
          <w:sz w:val="27"/>
          <w:rtl/>
          <w:lang w:bidi="ar-LB"/>
        </w:rPr>
        <w:t>ْ</w:t>
      </w:r>
      <w:r w:rsidRPr="00282AC9">
        <w:rPr>
          <w:rFonts w:hint="cs"/>
          <w:sz w:val="27"/>
          <w:rtl/>
          <w:lang w:bidi="ar-LB"/>
        </w:rPr>
        <w:t xml:space="preserve"> أخطأه</w:t>
      </w:r>
      <w:r w:rsidR="008141D7" w:rsidRPr="00282AC9">
        <w:rPr>
          <w:rFonts w:hint="eastAsia"/>
          <w:sz w:val="24"/>
          <w:szCs w:val="24"/>
          <w:rtl/>
        </w:rPr>
        <w:t>»</w:t>
      </w:r>
      <w:r w:rsidRPr="00282AC9">
        <w:rPr>
          <w:rFonts w:hint="cs"/>
          <w:sz w:val="27"/>
          <w:vertAlign w:val="superscript"/>
          <w:rtl/>
        </w:rPr>
        <w:t>(</w:t>
      </w:r>
      <w:r w:rsidRPr="00282AC9">
        <w:rPr>
          <w:rStyle w:val="af9"/>
          <w:sz w:val="27"/>
          <w:rtl/>
        </w:rPr>
        <w:endnoteReference w:id="16"/>
      </w:r>
      <w:r w:rsidRPr="00282AC9">
        <w:rPr>
          <w:sz w:val="27"/>
          <w:vertAlign w:val="superscript"/>
          <w:rtl/>
        </w:rPr>
        <w:t>)</w:t>
      </w:r>
      <w:r w:rsidRPr="00282AC9">
        <w:rPr>
          <w:rFonts w:hint="cs"/>
          <w:sz w:val="27"/>
          <w:rtl/>
        </w:rPr>
        <w:t xml:space="preserve">. </w:t>
      </w:r>
    </w:p>
    <w:p w:rsidR="00A9019A" w:rsidRPr="00282AC9" w:rsidRDefault="00A9019A" w:rsidP="00B16272">
      <w:pPr>
        <w:tabs>
          <w:tab w:val="right" w:pos="6930"/>
        </w:tabs>
        <w:suppressAutoHyphens/>
        <w:rPr>
          <w:sz w:val="27"/>
          <w:rtl/>
          <w:lang w:bidi="ar-LB"/>
        </w:rPr>
      </w:pPr>
      <w:r w:rsidRPr="00282AC9">
        <w:rPr>
          <w:rFonts w:hint="cs"/>
          <w:sz w:val="27"/>
          <w:rtl/>
          <w:lang w:bidi="ar-LB"/>
        </w:rPr>
        <w:t>وظاهره: الاكتفاء بالأخبار في مقام الاستدلال.</w:t>
      </w:r>
    </w:p>
    <w:p w:rsidR="00A9019A" w:rsidRPr="00282AC9" w:rsidRDefault="00A9019A" w:rsidP="00B16272">
      <w:pPr>
        <w:tabs>
          <w:tab w:val="right" w:pos="6930"/>
        </w:tabs>
        <w:suppressAutoHyphens/>
        <w:rPr>
          <w:sz w:val="27"/>
          <w:rtl/>
          <w:lang w:bidi="ar-LB"/>
        </w:rPr>
      </w:pPr>
      <w:r w:rsidRPr="00282AC9">
        <w:rPr>
          <w:rFonts w:hint="cs"/>
          <w:sz w:val="27"/>
          <w:rtl/>
          <w:lang w:bidi="ar-LB"/>
        </w:rPr>
        <w:t>ومنهم: صاحب الفصول</w:t>
      </w:r>
      <w:r w:rsidR="00556608" w:rsidRPr="00282AC9">
        <w:rPr>
          <w:rFonts w:hint="cs"/>
          <w:sz w:val="27"/>
          <w:rtl/>
          <w:lang w:bidi="ar-LB"/>
        </w:rPr>
        <w:t>،</w:t>
      </w:r>
      <w:r w:rsidRPr="00282AC9">
        <w:rPr>
          <w:rFonts w:hint="cs"/>
          <w:sz w:val="27"/>
          <w:rtl/>
          <w:lang w:bidi="ar-LB"/>
        </w:rPr>
        <w:t xml:space="preserve"> </w:t>
      </w:r>
      <w:r w:rsidR="00556608" w:rsidRPr="00282AC9">
        <w:rPr>
          <w:rFonts w:hint="cs"/>
          <w:sz w:val="27"/>
          <w:rtl/>
          <w:lang w:bidi="ar-LB"/>
        </w:rPr>
        <w:t xml:space="preserve">حيث </w:t>
      </w:r>
      <w:r w:rsidRPr="00282AC9">
        <w:rPr>
          <w:rFonts w:hint="cs"/>
          <w:sz w:val="27"/>
          <w:rtl/>
          <w:lang w:bidi="ar-LB"/>
        </w:rPr>
        <w:t>قال</w:t>
      </w:r>
      <w:r w:rsidR="00CA022C" w:rsidRPr="00282AC9">
        <w:rPr>
          <w:rFonts w:cs="Mosawi" w:hint="cs"/>
          <w:sz w:val="22"/>
          <w:szCs w:val="22"/>
          <w:rtl/>
          <w:lang w:bidi="ar-LB"/>
        </w:rPr>
        <w:t>&amp;</w:t>
      </w:r>
      <w:r w:rsidRPr="00282AC9">
        <w:rPr>
          <w:rFonts w:hint="cs"/>
          <w:sz w:val="27"/>
          <w:rtl/>
          <w:lang w:bidi="ar-LB"/>
        </w:rPr>
        <w:t xml:space="preserve"> في كلام</w:t>
      </w:r>
      <w:r w:rsidR="00556608" w:rsidRPr="00282AC9">
        <w:rPr>
          <w:rFonts w:hint="cs"/>
          <w:sz w:val="27"/>
          <w:rtl/>
          <w:lang w:bidi="ar-LB"/>
        </w:rPr>
        <w:t>ٍ</w:t>
      </w:r>
      <w:r w:rsidRPr="00282AC9">
        <w:rPr>
          <w:rFonts w:hint="cs"/>
          <w:sz w:val="27"/>
          <w:rtl/>
          <w:lang w:bidi="ar-LB"/>
        </w:rPr>
        <w:t xml:space="preserve"> له:</w:t>
      </w:r>
      <w:r w:rsidR="00556608" w:rsidRPr="00282AC9">
        <w:rPr>
          <w:rFonts w:hint="cs"/>
          <w:sz w:val="27"/>
          <w:rtl/>
          <w:lang w:bidi="ar-LB"/>
        </w:rPr>
        <w:t xml:space="preserve"> </w:t>
      </w:r>
      <w:r w:rsidR="00AC44B6" w:rsidRPr="00282AC9">
        <w:rPr>
          <w:rFonts w:hint="eastAsia"/>
          <w:sz w:val="24"/>
          <w:szCs w:val="24"/>
          <w:rtl/>
          <w:lang w:bidi="ar-LB"/>
        </w:rPr>
        <w:t>«</w:t>
      </w:r>
      <w:r w:rsidRPr="00282AC9">
        <w:rPr>
          <w:rFonts w:hint="cs"/>
          <w:sz w:val="27"/>
          <w:rtl/>
          <w:lang w:bidi="ar-LB"/>
        </w:rPr>
        <w:t>لأنّا نقول: هذا الاحتجاج مبنيّ</w:t>
      </w:r>
      <w:r w:rsidR="00556608" w:rsidRPr="00282AC9">
        <w:rPr>
          <w:rFonts w:hint="cs"/>
          <w:sz w:val="27"/>
          <w:rtl/>
          <w:lang w:bidi="ar-LB"/>
        </w:rPr>
        <w:t>ٌ</w:t>
      </w:r>
      <w:r w:rsidRPr="00282AC9">
        <w:rPr>
          <w:rFonts w:hint="cs"/>
          <w:sz w:val="27"/>
          <w:rtl/>
          <w:lang w:bidi="ar-LB"/>
        </w:rPr>
        <w:t xml:space="preserve"> على ما ثبت عندنا بالأخبار والآثار من أن لله تعالى في كلّ واقعة</w:t>
      </w:r>
      <w:r w:rsidR="00556608" w:rsidRPr="00282AC9">
        <w:rPr>
          <w:rFonts w:hint="cs"/>
          <w:sz w:val="27"/>
          <w:rtl/>
          <w:lang w:bidi="ar-LB"/>
        </w:rPr>
        <w:t>ٍ</w:t>
      </w:r>
      <w:r w:rsidRPr="00282AC9">
        <w:rPr>
          <w:rFonts w:hint="cs"/>
          <w:sz w:val="27"/>
          <w:rtl/>
          <w:lang w:bidi="ar-LB"/>
        </w:rPr>
        <w:t xml:space="preserve"> حكماً معي</w:t>
      </w:r>
      <w:r w:rsidR="00556608" w:rsidRPr="00282AC9">
        <w:rPr>
          <w:rFonts w:hint="cs"/>
          <w:sz w:val="27"/>
          <w:rtl/>
          <w:lang w:bidi="ar-LB"/>
        </w:rPr>
        <w:t>َّ</w:t>
      </w:r>
      <w:r w:rsidRPr="00282AC9">
        <w:rPr>
          <w:rFonts w:hint="cs"/>
          <w:sz w:val="27"/>
          <w:rtl/>
          <w:lang w:bidi="ar-LB"/>
        </w:rPr>
        <w:t xml:space="preserve">ناً </w:t>
      </w:r>
      <w:r w:rsidRPr="00282AC9">
        <w:rPr>
          <w:rFonts w:hint="cs"/>
          <w:sz w:val="27"/>
          <w:rtl/>
          <w:lang w:bidi="ar-LB"/>
        </w:rPr>
        <w:lastRenderedPageBreak/>
        <w:t>بيّن</w:t>
      </w:r>
      <w:r w:rsidR="00556608" w:rsidRPr="00282AC9">
        <w:rPr>
          <w:rFonts w:hint="cs"/>
          <w:sz w:val="27"/>
          <w:rtl/>
          <w:lang w:bidi="ar-LB"/>
        </w:rPr>
        <w:t>ه</w:t>
      </w:r>
      <w:r w:rsidRPr="00282AC9">
        <w:rPr>
          <w:rFonts w:hint="cs"/>
          <w:sz w:val="27"/>
          <w:rtl/>
          <w:lang w:bidi="ar-LB"/>
        </w:rPr>
        <w:t xml:space="preserve"> لنبيّه صلوات الله عليه</w:t>
      </w:r>
      <w:r w:rsidR="00556608" w:rsidRPr="00282AC9">
        <w:rPr>
          <w:rFonts w:hint="cs"/>
          <w:sz w:val="27"/>
          <w:rtl/>
          <w:lang w:bidi="ar-LB"/>
        </w:rPr>
        <w:t>،</w:t>
      </w:r>
      <w:r w:rsidRPr="00282AC9">
        <w:rPr>
          <w:rFonts w:hint="cs"/>
          <w:sz w:val="27"/>
          <w:rtl/>
          <w:lang w:bidi="ar-LB"/>
        </w:rPr>
        <w:t xml:space="preserve"> وبيّ</w:t>
      </w:r>
      <w:r w:rsidR="00556608" w:rsidRPr="00282AC9">
        <w:rPr>
          <w:rFonts w:hint="cs"/>
          <w:sz w:val="27"/>
          <w:rtl/>
          <w:lang w:bidi="ar-LB"/>
        </w:rPr>
        <w:t>َ</w:t>
      </w:r>
      <w:r w:rsidRPr="00282AC9">
        <w:rPr>
          <w:rFonts w:hint="cs"/>
          <w:sz w:val="27"/>
          <w:rtl/>
          <w:lang w:bidi="ar-LB"/>
        </w:rPr>
        <w:t>نه النبيّ</w:t>
      </w:r>
      <w:r w:rsidR="00556608" w:rsidRPr="00282AC9">
        <w:rPr>
          <w:rFonts w:hint="cs"/>
          <w:sz w:val="27"/>
          <w:rtl/>
          <w:lang w:bidi="ar-LB"/>
        </w:rPr>
        <w:t>ُ لأوصيائه</w:t>
      </w:r>
      <w:r w:rsidR="00876ECA" w:rsidRPr="00282AC9">
        <w:rPr>
          <w:rFonts w:cs="Mosawi" w:hint="cs"/>
          <w:sz w:val="22"/>
          <w:szCs w:val="22"/>
          <w:rtl/>
        </w:rPr>
        <w:t>^</w:t>
      </w:r>
      <w:r w:rsidRPr="00282AC9">
        <w:rPr>
          <w:rFonts w:hint="cs"/>
          <w:sz w:val="27"/>
          <w:rtl/>
          <w:lang w:bidi="ar-LB"/>
        </w:rPr>
        <w:t>، فالأحكام كلّها مقر</w:t>
      </w:r>
      <w:r w:rsidR="00556608" w:rsidRPr="00282AC9">
        <w:rPr>
          <w:rFonts w:hint="cs"/>
          <w:sz w:val="27"/>
          <w:rtl/>
          <w:lang w:bidi="ar-LB"/>
        </w:rPr>
        <w:t>ّ</w:t>
      </w:r>
      <w:r w:rsidRPr="00282AC9">
        <w:rPr>
          <w:rFonts w:hint="cs"/>
          <w:sz w:val="27"/>
          <w:rtl/>
          <w:lang w:bidi="ar-LB"/>
        </w:rPr>
        <w:t>رة عندهم</w:t>
      </w:r>
      <w:r w:rsidR="00556608" w:rsidRPr="00282AC9">
        <w:rPr>
          <w:rFonts w:hint="cs"/>
          <w:sz w:val="27"/>
          <w:rtl/>
          <w:lang w:bidi="ar-LB"/>
        </w:rPr>
        <w:t>،</w:t>
      </w:r>
      <w:r w:rsidRPr="00282AC9">
        <w:rPr>
          <w:rFonts w:hint="cs"/>
          <w:sz w:val="27"/>
          <w:rtl/>
          <w:lang w:bidi="ar-LB"/>
        </w:rPr>
        <w:t xml:space="preserve"> مخزونة لديهم، وليس في الواقع واقعة</w:t>
      </w:r>
      <w:r w:rsidR="00556608" w:rsidRPr="00282AC9">
        <w:rPr>
          <w:rFonts w:hint="cs"/>
          <w:sz w:val="27"/>
          <w:rtl/>
          <w:lang w:bidi="ar-LB"/>
        </w:rPr>
        <w:t>ٌ</w:t>
      </w:r>
      <w:r w:rsidRPr="00282AC9">
        <w:rPr>
          <w:rFonts w:hint="cs"/>
          <w:sz w:val="27"/>
          <w:rtl/>
          <w:lang w:bidi="ar-LB"/>
        </w:rPr>
        <w:t xml:space="preserve"> خالية</w:t>
      </w:r>
      <w:r w:rsidR="00556608" w:rsidRPr="00282AC9">
        <w:rPr>
          <w:rFonts w:hint="cs"/>
          <w:sz w:val="27"/>
          <w:rtl/>
          <w:lang w:bidi="ar-LB"/>
        </w:rPr>
        <w:t>ٌ</w:t>
      </w:r>
      <w:r w:rsidRPr="00282AC9">
        <w:rPr>
          <w:rFonts w:hint="cs"/>
          <w:sz w:val="27"/>
          <w:rtl/>
          <w:lang w:bidi="ar-LB"/>
        </w:rPr>
        <w:t xml:space="preserve"> عن الحكم</w:t>
      </w:r>
      <w:r w:rsidR="00AC44B6" w:rsidRPr="00282AC9">
        <w:rPr>
          <w:rFonts w:hint="eastAsia"/>
          <w:sz w:val="24"/>
          <w:szCs w:val="24"/>
          <w:rtl/>
        </w:rPr>
        <w:t>»</w:t>
      </w:r>
      <w:r w:rsidRPr="00282AC9">
        <w:rPr>
          <w:rFonts w:hint="cs"/>
          <w:sz w:val="27"/>
          <w:vertAlign w:val="superscript"/>
          <w:rtl/>
        </w:rPr>
        <w:t>(</w:t>
      </w:r>
      <w:r w:rsidRPr="00282AC9">
        <w:rPr>
          <w:rStyle w:val="af9"/>
          <w:sz w:val="27"/>
          <w:rtl/>
        </w:rPr>
        <w:endnoteReference w:id="17"/>
      </w:r>
      <w:r w:rsidRPr="00282AC9">
        <w:rPr>
          <w:sz w:val="27"/>
          <w:vertAlign w:val="superscript"/>
          <w:rtl/>
        </w:rPr>
        <w:t>)</w:t>
      </w:r>
      <w:r w:rsidRPr="00282AC9">
        <w:rPr>
          <w:rFonts w:hint="cs"/>
          <w:sz w:val="27"/>
          <w:rtl/>
        </w:rPr>
        <w:t xml:space="preserve">. </w:t>
      </w:r>
    </w:p>
    <w:p w:rsidR="00A9019A" w:rsidRPr="00282AC9" w:rsidRDefault="00A9019A" w:rsidP="00B16272">
      <w:pPr>
        <w:tabs>
          <w:tab w:val="right" w:pos="6930"/>
        </w:tabs>
        <w:suppressAutoHyphens/>
        <w:rPr>
          <w:sz w:val="27"/>
          <w:rtl/>
          <w:lang w:bidi="ar-LB"/>
        </w:rPr>
      </w:pPr>
      <w:r w:rsidRPr="00282AC9">
        <w:rPr>
          <w:rFonts w:hint="cs"/>
          <w:sz w:val="27"/>
          <w:rtl/>
          <w:lang w:bidi="ar-LB"/>
        </w:rPr>
        <w:t>وفي كلام</w:t>
      </w:r>
      <w:r w:rsidR="00556608" w:rsidRPr="00282AC9">
        <w:rPr>
          <w:rFonts w:hint="cs"/>
          <w:sz w:val="27"/>
          <w:rtl/>
          <w:lang w:bidi="ar-LB"/>
        </w:rPr>
        <w:t>ٍ</w:t>
      </w:r>
      <w:r w:rsidRPr="00282AC9">
        <w:rPr>
          <w:rFonts w:hint="cs"/>
          <w:sz w:val="27"/>
          <w:rtl/>
          <w:lang w:bidi="ar-LB"/>
        </w:rPr>
        <w:t xml:space="preserve"> آخر له:</w:t>
      </w:r>
      <w:r w:rsidR="00556608" w:rsidRPr="00282AC9">
        <w:rPr>
          <w:rFonts w:hint="cs"/>
          <w:sz w:val="27"/>
          <w:rtl/>
          <w:lang w:bidi="ar-LB"/>
        </w:rPr>
        <w:t xml:space="preserve"> </w:t>
      </w:r>
      <w:r w:rsidR="00AC44B6" w:rsidRPr="00282AC9">
        <w:rPr>
          <w:rFonts w:hint="eastAsia"/>
          <w:sz w:val="24"/>
          <w:szCs w:val="24"/>
          <w:rtl/>
          <w:lang w:bidi="ar-LB"/>
        </w:rPr>
        <w:t>«</w:t>
      </w:r>
      <w:r w:rsidRPr="00282AC9">
        <w:rPr>
          <w:rFonts w:hint="cs"/>
          <w:sz w:val="27"/>
          <w:rtl/>
          <w:lang w:bidi="ar-LB"/>
        </w:rPr>
        <w:t>ومنها</w:t>
      </w:r>
      <w:r w:rsidR="00AC44B6" w:rsidRPr="00282AC9">
        <w:rPr>
          <w:rFonts w:hint="cs"/>
          <w:sz w:val="27"/>
          <w:rtl/>
          <w:lang w:bidi="ar-LB"/>
        </w:rPr>
        <w:t>:</w:t>
      </w:r>
      <w:r w:rsidRPr="00282AC9">
        <w:rPr>
          <w:rFonts w:hint="cs"/>
          <w:sz w:val="27"/>
          <w:rtl/>
          <w:lang w:bidi="ar-LB"/>
        </w:rPr>
        <w:t xml:space="preserve"> تواتر الأخبار المروية عن الأئم</w:t>
      </w:r>
      <w:r w:rsidR="00AC44B6" w:rsidRPr="00282AC9">
        <w:rPr>
          <w:rFonts w:hint="cs"/>
          <w:sz w:val="27"/>
          <w:rtl/>
          <w:lang w:bidi="ar-LB"/>
        </w:rPr>
        <w:t>ّ</w:t>
      </w:r>
      <w:r w:rsidRPr="00282AC9">
        <w:rPr>
          <w:rFonts w:hint="cs"/>
          <w:sz w:val="27"/>
          <w:rtl/>
          <w:lang w:bidi="ar-LB"/>
        </w:rPr>
        <w:t>ة الأطهار</w:t>
      </w:r>
      <w:r w:rsidR="00876ECA" w:rsidRPr="00282AC9">
        <w:rPr>
          <w:rFonts w:cs="Mosawi" w:hint="cs"/>
          <w:sz w:val="22"/>
          <w:szCs w:val="22"/>
          <w:rtl/>
        </w:rPr>
        <w:t>^</w:t>
      </w:r>
      <w:r w:rsidR="00AC44B6" w:rsidRPr="00282AC9">
        <w:rPr>
          <w:rFonts w:hint="cs"/>
          <w:sz w:val="27"/>
          <w:rtl/>
          <w:lang w:bidi="ar-LB"/>
        </w:rPr>
        <w:t>،</w:t>
      </w:r>
      <w:r w:rsidRPr="00282AC9">
        <w:rPr>
          <w:rFonts w:hint="cs"/>
          <w:sz w:val="27"/>
          <w:rtl/>
          <w:lang w:bidi="ar-LB"/>
        </w:rPr>
        <w:t xml:space="preserve"> الدالّة على أنّ الله في كلّ واقعة</w:t>
      </w:r>
      <w:r w:rsidR="00AC44B6" w:rsidRPr="00282AC9">
        <w:rPr>
          <w:rFonts w:hint="cs"/>
          <w:sz w:val="27"/>
          <w:rtl/>
          <w:lang w:bidi="ar-LB"/>
        </w:rPr>
        <w:t>ٍ</w:t>
      </w:r>
      <w:r w:rsidRPr="00282AC9">
        <w:rPr>
          <w:rFonts w:hint="cs"/>
          <w:sz w:val="27"/>
          <w:rtl/>
          <w:lang w:bidi="ar-LB"/>
        </w:rPr>
        <w:t xml:space="preserve"> حكماً معيّناً</w:t>
      </w:r>
      <w:r w:rsidR="00AC44B6" w:rsidRPr="00282AC9">
        <w:rPr>
          <w:rFonts w:hint="cs"/>
          <w:sz w:val="27"/>
          <w:rtl/>
          <w:lang w:bidi="ar-LB"/>
        </w:rPr>
        <w:t>، بيَّنه</w:t>
      </w:r>
      <w:r w:rsidRPr="00282AC9">
        <w:rPr>
          <w:rFonts w:hint="cs"/>
          <w:sz w:val="27"/>
          <w:rtl/>
          <w:lang w:bidi="ar-LB"/>
        </w:rPr>
        <w:t xml:space="preserve"> لنبي</w:t>
      </w:r>
      <w:r w:rsidR="00AC44B6" w:rsidRPr="00282AC9">
        <w:rPr>
          <w:rFonts w:hint="cs"/>
          <w:sz w:val="27"/>
          <w:rtl/>
          <w:lang w:bidi="ar-LB"/>
        </w:rPr>
        <w:t>ِّ</w:t>
      </w:r>
      <w:r w:rsidRPr="00282AC9">
        <w:rPr>
          <w:rFonts w:hint="cs"/>
          <w:sz w:val="27"/>
          <w:rtl/>
          <w:lang w:bidi="ar-LB"/>
        </w:rPr>
        <w:t>ه</w:t>
      </w:r>
      <w:r w:rsidR="009A2A04" w:rsidRPr="00282AC9">
        <w:rPr>
          <w:rFonts w:cs="Mosawi" w:hint="cs"/>
          <w:sz w:val="22"/>
          <w:szCs w:val="22"/>
          <w:rtl/>
          <w:lang w:bidi="ar-LB"/>
        </w:rPr>
        <w:t>|</w:t>
      </w:r>
      <w:r w:rsidR="00AC44B6" w:rsidRPr="00282AC9">
        <w:rPr>
          <w:rFonts w:hint="cs"/>
          <w:sz w:val="27"/>
          <w:rtl/>
          <w:lang w:bidi="ar-LB"/>
        </w:rPr>
        <w:t>،</w:t>
      </w:r>
      <w:r w:rsidRPr="00282AC9">
        <w:rPr>
          <w:rFonts w:hint="cs"/>
          <w:sz w:val="27"/>
          <w:rtl/>
          <w:lang w:bidi="ar-LB"/>
        </w:rPr>
        <w:t xml:space="preserve"> وبيّ</w:t>
      </w:r>
      <w:r w:rsidR="00AC44B6" w:rsidRPr="00282AC9">
        <w:rPr>
          <w:rFonts w:hint="cs"/>
          <w:sz w:val="27"/>
          <w:rtl/>
          <w:lang w:bidi="ar-LB"/>
        </w:rPr>
        <w:t>َ</w:t>
      </w:r>
      <w:r w:rsidRPr="00282AC9">
        <w:rPr>
          <w:rFonts w:hint="cs"/>
          <w:sz w:val="27"/>
          <w:rtl/>
          <w:lang w:bidi="ar-LB"/>
        </w:rPr>
        <w:t>نه نبيّ</w:t>
      </w:r>
      <w:r w:rsidR="00AC44B6" w:rsidRPr="00282AC9">
        <w:rPr>
          <w:rFonts w:hint="cs"/>
          <w:sz w:val="27"/>
          <w:rtl/>
          <w:lang w:bidi="ar-LB"/>
        </w:rPr>
        <w:t>ُ</w:t>
      </w:r>
      <w:r w:rsidRPr="00282AC9">
        <w:rPr>
          <w:rFonts w:hint="cs"/>
          <w:sz w:val="27"/>
          <w:rtl/>
          <w:lang w:bidi="ar-LB"/>
        </w:rPr>
        <w:t>ه لوصيّ</w:t>
      </w:r>
      <w:r w:rsidR="00AC44B6" w:rsidRPr="00282AC9">
        <w:rPr>
          <w:rFonts w:hint="cs"/>
          <w:sz w:val="27"/>
          <w:rtl/>
          <w:lang w:bidi="ar-LB"/>
        </w:rPr>
        <w:t>ِ</w:t>
      </w:r>
      <w:r w:rsidRPr="00282AC9">
        <w:rPr>
          <w:rFonts w:hint="cs"/>
          <w:sz w:val="27"/>
          <w:rtl/>
          <w:lang w:bidi="ar-LB"/>
        </w:rPr>
        <w:t>ه،</w:t>
      </w:r>
      <w:r w:rsidR="005053B3" w:rsidRPr="00282AC9">
        <w:rPr>
          <w:rFonts w:hint="cs"/>
          <w:sz w:val="27"/>
          <w:rtl/>
          <w:lang w:bidi="ar-LB"/>
        </w:rPr>
        <w:t xml:space="preserve"> إلى </w:t>
      </w:r>
      <w:r w:rsidRPr="00282AC9">
        <w:rPr>
          <w:rFonts w:hint="cs"/>
          <w:sz w:val="27"/>
          <w:rtl/>
          <w:lang w:bidi="ar-LB"/>
        </w:rPr>
        <w:t>أن ينتهي البيان</w:t>
      </w:r>
      <w:r w:rsidR="005053B3" w:rsidRPr="00282AC9">
        <w:rPr>
          <w:rFonts w:hint="cs"/>
          <w:sz w:val="27"/>
          <w:rtl/>
          <w:lang w:bidi="ar-LB"/>
        </w:rPr>
        <w:t xml:space="preserve"> إلى </w:t>
      </w:r>
      <w:r w:rsidRPr="00282AC9">
        <w:rPr>
          <w:rFonts w:hint="cs"/>
          <w:sz w:val="27"/>
          <w:rtl/>
          <w:lang w:bidi="ar-LB"/>
        </w:rPr>
        <w:t>آخر الأوصياء</w:t>
      </w:r>
      <w:r w:rsidR="00AC44B6" w:rsidRPr="00282AC9">
        <w:rPr>
          <w:rFonts w:hint="cs"/>
          <w:sz w:val="27"/>
          <w:rtl/>
          <w:lang w:bidi="ar-LB"/>
        </w:rPr>
        <w:t>.</w:t>
      </w:r>
      <w:r w:rsidRPr="00282AC9">
        <w:rPr>
          <w:rFonts w:hint="cs"/>
          <w:sz w:val="27"/>
          <w:rtl/>
          <w:lang w:bidi="ar-LB"/>
        </w:rPr>
        <w:t xml:space="preserve"> فجميع الأحكام محفوظة عند</w:t>
      </w:r>
      <w:r w:rsidR="00AC44B6" w:rsidRPr="00282AC9">
        <w:rPr>
          <w:rFonts w:hint="cs"/>
          <w:sz w:val="27"/>
          <w:rtl/>
          <w:lang w:bidi="ar-LB"/>
        </w:rPr>
        <w:t>ه،</w:t>
      </w:r>
      <w:r w:rsidRPr="00282AC9">
        <w:rPr>
          <w:rFonts w:hint="cs"/>
          <w:sz w:val="27"/>
          <w:rtl/>
          <w:lang w:bidi="ar-LB"/>
        </w:rPr>
        <w:t xml:space="preserve"> مخزون</w:t>
      </w:r>
      <w:r w:rsidR="00AC44B6" w:rsidRPr="00282AC9">
        <w:rPr>
          <w:rFonts w:hint="cs"/>
          <w:sz w:val="27"/>
          <w:rtl/>
          <w:lang w:bidi="ar-LB"/>
        </w:rPr>
        <w:t>ة</w:t>
      </w:r>
      <w:r w:rsidRPr="00282AC9">
        <w:rPr>
          <w:rFonts w:hint="cs"/>
          <w:sz w:val="27"/>
          <w:rtl/>
          <w:lang w:bidi="ar-LB"/>
        </w:rPr>
        <w:t xml:space="preserve"> لديه</w:t>
      </w:r>
      <w:r w:rsidR="00AC44B6" w:rsidRPr="00282AC9">
        <w:rPr>
          <w:rFonts w:hint="cs"/>
          <w:sz w:val="27"/>
          <w:rtl/>
          <w:lang w:bidi="ar-LB"/>
        </w:rPr>
        <w:t>،</w:t>
      </w:r>
      <w:r w:rsidRPr="00282AC9">
        <w:rPr>
          <w:rFonts w:hint="cs"/>
          <w:sz w:val="27"/>
          <w:rtl/>
          <w:lang w:bidi="ar-LB"/>
        </w:rPr>
        <w:t xml:space="preserve"> حت</w:t>
      </w:r>
      <w:r w:rsidR="00AC44B6" w:rsidRPr="00282AC9">
        <w:rPr>
          <w:rFonts w:hint="cs"/>
          <w:sz w:val="27"/>
          <w:rtl/>
          <w:lang w:bidi="ar-LB"/>
        </w:rPr>
        <w:t>ّ</w:t>
      </w:r>
      <w:r w:rsidRPr="00282AC9">
        <w:rPr>
          <w:rFonts w:hint="cs"/>
          <w:sz w:val="27"/>
          <w:rtl/>
          <w:lang w:bidi="ar-LB"/>
        </w:rPr>
        <w:t>ى مثل</w:t>
      </w:r>
      <w:r w:rsidR="00AC44B6" w:rsidRPr="00282AC9">
        <w:rPr>
          <w:rFonts w:hint="cs"/>
          <w:sz w:val="27"/>
          <w:rtl/>
          <w:lang w:bidi="ar-LB"/>
        </w:rPr>
        <w:t>:</w:t>
      </w:r>
      <w:r w:rsidRPr="00282AC9">
        <w:rPr>
          <w:rFonts w:hint="cs"/>
          <w:sz w:val="27"/>
          <w:rtl/>
          <w:lang w:bidi="ar-LB"/>
        </w:rPr>
        <w:t xml:space="preserve"> أرش الخدش</w:t>
      </w:r>
      <w:r w:rsidR="00AC44B6" w:rsidRPr="00282AC9">
        <w:rPr>
          <w:rFonts w:hint="cs"/>
          <w:sz w:val="27"/>
          <w:rtl/>
          <w:lang w:bidi="ar-LB"/>
        </w:rPr>
        <w:t>،</w:t>
      </w:r>
      <w:r w:rsidRPr="00282AC9">
        <w:rPr>
          <w:rFonts w:hint="cs"/>
          <w:sz w:val="27"/>
          <w:rtl/>
          <w:lang w:bidi="ar-LB"/>
        </w:rPr>
        <w:t xml:space="preserve"> فما دونه</w:t>
      </w:r>
      <w:r w:rsidR="00AC44B6" w:rsidRPr="00282AC9">
        <w:rPr>
          <w:rFonts w:hint="cs"/>
          <w:sz w:val="27"/>
          <w:rtl/>
          <w:lang w:bidi="ar-LB"/>
        </w:rPr>
        <w:t>.</w:t>
      </w:r>
      <w:r w:rsidRPr="00282AC9">
        <w:rPr>
          <w:rFonts w:hint="cs"/>
          <w:sz w:val="27"/>
          <w:rtl/>
          <w:lang w:bidi="ar-LB"/>
        </w:rPr>
        <w:t xml:space="preserve"> وهذه الأخبار وإن</w:t>
      </w:r>
      <w:r w:rsidR="00AC44B6" w:rsidRPr="00282AC9">
        <w:rPr>
          <w:rFonts w:hint="cs"/>
          <w:sz w:val="27"/>
          <w:rtl/>
          <w:lang w:bidi="ar-LB"/>
        </w:rPr>
        <w:t>ْ</w:t>
      </w:r>
      <w:r w:rsidRPr="00282AC9">
        <w:rPr>
          <w:rFonts w:hint="cs"/>
          <w:sz w:val="27"/>
          <w:rtl/>
          <w:lang w:bidi="ar-LB"/>
        </w:rPr>
        <w:t xml:space="preserve"> كانت واردة</w:t>
      </w:r>
      <w:r w:rsidR="00AC44B6" w:rsidRPr="00282AC9">
        <w:rPr>
          <w:rFonts w:hint="cs"/>
          <w:sz w:val="27"/>
          <w:rtl/>
          <w:lang w:bidi="ar-LB"/>
        </w:rPr>
        <w:t>ً</w:t>
      </w:r>
      <w:r w:rsidRPr="00282AC9">
        <w:rPr>
          <w:rFonts w:hint="cs"/>
          <w:sz w:val="27"/>
          <w:rtl/>
          <w:lang w:bidi="ar-LB"/>
        </w:rPr>
        <w:t xml:space="preserve"> بعبارات</w:t>
      </w:r>
      <w:r w:rsidR="00AC44B6" w:rsidRPr="00282AC9">
        <w:rPr>
          <w:rFonts w:hint="cs"/>
          <w:sz w:val="27"/>
          <w:rtl/>
          <w:lang w:bidi="ar-LB"/>
        </w:rPr>
        <w:t>ٍ</w:t>
      </w:r>
      <w:r w:rsidRPr="00282AC9">
        <w:rPr>
          <w:rFonts w:hint="cs"/>
          <w:sz w:val="27"/>
          <w:rtl/>
          <w:lang w:bidi="ar-LB"/>
        </w:rPr>
        <w:t xml:space="preserve"> مختلفة</w:t>
      </w:r>
      <w:r w:rsidR="00AC44B6" w:rsidRPr="00282AC9">
        <w:rPr>
          <w:rFonts w:hint="cs"/>
          <w:sz w:val="27"/>
          <w:rtl/>
          <w:lang w:bidi="ar-LB"/>
        </w:rPr>
        <w:t>،</w:t>
      </w:r>
      <w:r w:rsidRPr="00282AC9">
        <w:rPr>
          <w:rFonts w:hint="cs"/>
          <w:sz w:val="27"/>
          <w:rtl/>
          <w:lang w:bidi="ar-LB"/>
        </w:rPr>
        <w:t xml:space="preserve"> وألفاظ متفاوتة</w:t>
      </w:r>
      <w:r w:rsidR="00AC44B6" w:rsidRPr="00282AC9">
        <w:rPr>
          <w:rFonts w:hint="cs"/>
          <w:sz w:val="27"/>
          <w:rtl/>
          <w:lang w:bidi="ar-LB"/>
        </w:rPr>
        <w:t>،</w:t>
      </w:r>
      <w:r w:rsidRPr="00282AC9">
        <w:rPr>
          <w:rFonts w:hint="cs"/>
          <w:sz w:val="27"/>
          <w:rtl/>
          <w:lang w:bidi="ar-LB"/>
        </w:rPr>
        <w:t xml:space="preserve"> إلاّ أنّها مشتركة</w:t>
      </w:r>
      <w:r w:rsidR="00AC44B6" w:rsidRPr="00282AC9">
        <w:rPr>
          <w:rFonts w:hint="cs"/>
          <w:sz w:val="27"/>
          <w:rtl/>
          <w:lang w:bidi="ar-LB"/>
        </w:rPr>
        <w:t>ُ</w:t>
      </w:r>
      <w:r w:rsidRPr="00282AC9">
        <w:rPr>
          <w:rFonts w:hint="cs"/>
          <w:sz w:val="27"/>
          <w:rtl/>
          <w:lang w:bidi="ar-LB"/>
        </w:rPr>
        <w:t xml:space="preserve"> الدلالة على ما ذكرناه، فهي متواترة</w:t>
      </w:r>
      <w:r w:rsidR="00AC44B6" w:rsidRPr="00282AC9">
        <w:rPr>
          <w:rFonts w:hint="cs"/>
          <w:sz w:val="27"/>
          <w:rtl/>
          <w:lang w:bidi="ar-LB"/>
        </w:rPr>
        <w:t>ٌ</w:t>
      </w:r>
      <w:r w:rsidRPr="00282AC9">
        <w:rPr>
          <w:rFonts w:hint="cs"/>
          <w:sz w:val="27"/>
          <w:rtl/>
          <w:lang w:bidi="ar-LB"/>
        </w:rPr>
        <w:t xml:space="preserve"> بالمعنى</w:t>
      </w:r>
      <w:r w:rsidR="00AC44B6" w:rsidRPr="00282AC9">
        <w:rPr>
          <w:rFonts w:hint="eastAsia"/>
          <w:sz w:val="24"/>
          <w:szCs w:val="24"/>
          <w:rtl/>
        </w:rPr>
        <w:t>»</w:t>
      </w:r>
      <w:r w:rsidRPr="00282AC9">
        <w:rPr>
          <w:rFonts w:hint="cs"/>
          <w:sz w:val="27"/>
          <w:vertAlign w:val="superscript"/>
          <w:rtl/>
        </w:rPr>
        <w:t>(</w:t>
      </w:r>
      <w:r w:rsidRPr="00282AC9">
        <w:rPr>
          <w:rStyle w:val="af9"/>
          <w:sz w:val="27"/>
          <w:rtl/>
        </w:rPr>
        <w:endnoteReference w:id="18"/>
      </w:r>
      <w:r w:rsidRPr="00282AC9">
        <w:rPr>
          <w:sz w:val="27"/>
          <w:vertAlign w:val="superscript"/>
          <w:rtl/>
        </w:rPr>
        <w:t>)</w:t>
      </w:r>
      <w:r w:rsidRPr="00282AC9">
        <w:rPr>
          <w:rFonts w:hint="cs"/>
          <w:sz w:val="27"/>
          <w:rtl/>
        </w:rPr>
        <w:t xml:space="preserve">. </w:t>
      </w:r>
    </w:p>
    <w:p w:rsidR="00A9019A" w:rsidRPr="00282AC9" w:rsidRDefault="00A9019A" w:rsidP="00B16272">
      <w:pPr>
        <w:tabs>
          <w:tab w:val="right" w:pos="6930"/>
        </w:tabs>
        <w:suppressAutoHyphens/>
        <w:rPr>
          <w:sz w:val="27"/>
          <w:rtl/>
          <w:lang w:bidi="ar-LB"/>
        </w:rPr>
      </w:pPr>
      <w:r w:rsidRPr="00282AC9">
        <w:rPr>
          <w:rFonts w:hint="cs"/>
          <w:sz w:val="27"/>
          <w:rtl/>
          <w:lang w:bidi="ar-LB"/>
        </w:rPr>
        <w:t xml:space="preserve">وظاهرهما </w:t>
      </w:r>
      <w:r w:rsidR="00AC44B6" w:rsidRPr="00282AC9">
        <w:rPr>
          <w:rFonts w:hint="cs"/>
          <w:sz w:val="27"/>
          <w:rtl/>
          <w:lang w:bidi="ar-LB"/>
        </w:rPr>
        <w:t>ا</w:t>
      </w:r>
      <w:r w:rsidRPr="00282AC9">
        <w:rPr>
          <w:rFonts w:hint="cs"/>
          <w:sz w:val="27"/>
          <w:rtl/>
          <w:lang w:bidi="ar-LB"/>
        </w:rPr>
        <w:t>نحصار المستند في الأدل</w:t>
      </w:r>
      <w:r w:rsidR="00AC44B6" w:rsidRPr="00282AC9">
        <w:rPr>
          <w:rFonts w:hint="cs"/>
          <w:sz w:val="27"/>
          <w:rtl/>
          <w:lang w:bidi="ar-LB"/>
        </w:rPr>
        <w:t>ّ</w:t>
      </w:r>
      <w:r w:rsidRPr="00282AC9">
        <w:rPr>
          <w:rFonts w:hint="cs"/>
          <w:sz w:val="27"/>
          <w:rtl/>
          <w:lang w:bidi="ar-LB"/>
        </w:rPr>
        <w:t>ة النقلية.</w:t>
      </w:r>
    </w:p>
    <w:p w:rsidR="00A9019A" w:rsidRPr="00282AC9" w:rsidRDefault="00A9019A" w:rsidP="00B16272">
      <w:pPr>
        <w:tabs>
          <w:tab w:val="right" w:pos="6930"/>
        </w:tabs>
        <w:suppressAutoHyphens/>
        <w:rPr>
          <w:sz w:val="27"/>
          <w:rtl/>
          <w:lang w:bidi="ar-LB"/>
        </w:rPr>
      </w:pPr>
      <w:r w:rsidRPr="00282AC9">
        <w:rPr>
          <w:rFonts w:hint="cs"/>
          <w:sz w:val="27"/>
          <w:rtl/>
          <w:lang w:bidi="ar-LB"/>
        </w:rPr>
        <w:t>ومنهم: الشيخ الأعظم الأنصاري</w:t>
      </w:r>
      <w:r w:rsidR="009A2A04" w:rsidRPr="00282AC9">
        <w:rPr>
          <w:rFonts w:cs="Mosawi" w:hint="cs"/>
          <w:sz w:val="22"/>
          <w:szCs w:val="22"/>
          <w:rtl/>
          <w:lang w:bidi="ar-LB"/>
        </w:rPr>
        <w:t>&amp;</w:t>
      </w:r>
      <w:r w:rsidR="00AC44B6" w:rsidRPr="00282AC9">
        <w:rPr>
          <w:rFonts w:hint="cs"/>
          <w:sz w:val="27"/>
          <w:rtl/>
          <w:lang w:bidi="ar-LB"/>
        </w:rPr>
        <w:t>،</w:t>
      </w:r>
      <w:r w:rsidRPr="00282AC9">
        <w:rPr>
          <w:rFonts w:hint="cs"/>
          <w:sz w:val="27"/>
          <w:rtl/>
          <w:lang w:bidi="ar-LB"/>
        </w:rPr>
        <w:t xml:space="preserve"> على ما في تقرير بحثه في الألفاظ:</w:t>
      </w:r>
      <w:r w:rsidR="00AC44B6" w:rsidRPr="00282AC9">
        <w:rPr>
          <w:rFonts w:hint="cs"/>
          <w:sz w:val="27"/>
          <w:rtl/>
          <w:lang w:bidi="ar-LB"/>
        </w:rPr>
        <w:t xml:space="preserve"> </w:t>
      </w:r>
      <w:r w:rsidR="00AC44B6" w:rsidRPr="00282AC9">
        <w:rPr>
          <w:rFonts w:hint="eastAsia"/>
          <w:sz w:val="24"/>
          <w:szCs w:val="24"/>
          <w:rtl/>
          <w:lang w:bidi="ar-LB"/>
        </w:rPr>
        <w:t>«</w:t>
      </w:r>
      <w:r w:rsidRPr="00282AC9">
        <w:rPr>
          <w:rFonts w:hint="cs"/>
          <w:sz w:val="27"/>
          <w:rtl/>
          <w:lang w:bidi="ar-LB"/>
        </w:rPr>
        <w:t>نعم</w:t>
      </w:r>
      <w:r w:rsidR="00AC44B6" w:rsidRPr="00282AC9">
        <w:rPr>
          <w:rFonts w:hint="cs"/>
          <w:sz w:val="27"/>
          <w:rtl/>
          <w:lang w:bidi="ar-LB"/>
        </w:rPr>
        <w:t>،</w:t>
      </w:r>
      <w:r w:rsidRPr="00282AC9">
        <w:rPr>
          <w:rFonts w:hint="cs"/>
          <w:sz w:val="27"/>
          <w:rtl/>
          <w:lang w:bidi="ar-LB"/>
        </w:rPr>
        <w:t xml:space="preserve"> لو انضمّ</w:t>
      </w:r>
      <w:r w:rsidR="005053B3" w:rsidRPr="00282AC9">
        <w:rPr>
          <w:rFonts w:hint="cs"/>
          <w:sz w:val="27"/>
          <w:rtl/>
          <w:lang w:bidi="ar-LB"/>
        </w:rPr>
        <w:t xml:space="preserve"> إلى </w:t>
      </w:r>
      <w:r w:rsidRPr="00282AC9">
        <w:rPr>
          <w:rFonts w:hint="cs"/>
          <w:sz w:val="27"/>
          <w:rtl/>
          <w:lang w:bidi="ar-LB"/>
        </w:rPr>
        <w:t>ذلك مقد</w:t>
      </w:r>
      <w:r w:rsidR="00AC44B6" w:rsidRPr="00282AC9">
        <w:rPr>
          <w:rFonts w:hint="cs"/>
          <w:sz w:val="27"/>
          <w:rtl/>
          <w:lang w:bidi="ar-LB"/>
        </w:rPr>
        <w:t>ّ</w:t>
      </w:r>
      <w:r w:rsidRPr="00282AC9">
        <w:rPr>
          <w:rFonts w:hint="cs"/>
          <w:sz w:val="27"/>
          <w:rtl/>
          <w:lang w:bidi="ar-LB"/>
        </w:rPr>
        <w:t>مة خارجية أخرى</w:t>
      </w:r>
      <w:r w:rsidR="00AC44B6" w:rsidRPr="00282AC9">
        <w:rPr>
          <w:rFonts w:hint="cs"/>
          <w:sz w:val="27"/>
          <w:rtl/>
          <w:lang w:bidi="ar-LB"/>
        </w:rPr>
        <w:t>،</w:t>
      </w:r>
      <w:r w:rsidRPr="00282AC9">
        <w:rPr>
          <w:rFonts w:hint="cs"/>
          <w:sz w:val="27"/>
          <w:rtl/>
          <w:lang w:bidi="ar-LB"/>
        </w:rPr>
        <w:t xml:space="preserve"> كقولهم باللطف</w:t>
      </w:r>
      <w:r w:rsidR="00AC44B6" w:rsidRPr="00282AC9">
        <w:rPr>
          <w:rFonts w:hint="cs"/>
          <w:sz w:val="27"/>
          <w:rtl/>
          <w:lang w:bidi="ar-LB"/>
        </w:rPr>
        <w:t>؛</w:t>
      </w:r>
      <w:r w:rsidRPr="00282AC9">
        <w:rPr>
          <w:rFonts w:hint="cs"/>
          <w:sz w:val="27"/>
          <w:rtl/>
          <w:lang w:bidi="ar-LB"/>
        </w:rPr>
        <w:t xml:space="preserve"> أو قولهم بعدم جواز خلوّ الواقع </w:t>
      </w:r>
      <w:r w:rsidR="006C0655" w:rsidRPr="00282AC9">
        <w:rPr>
          <w:rFonts w:hint="cs"/>
          <w:sz w:val="27"/>
          <w:rtl/>
          <w:lang w:bidi="ar-LB"/>
        </w:rPr>
        <w:t xml:space="preserve">من </w:t>
      </w:r>
      <w:r w:rsidRPr="00282AC9">
        <w:rPr>
          <w:rFonts w:hint="cs"/>
          <w:sz w:val="27"/>
          <w:rtl/>
          <w:lang w:bidi="ar-LB"/>
        </w:rPr>
        <w:t>الأحكام</w:t>
      </w:r>
      <w:r w:rsidR="006C0655" w:rsidRPr="00282AC9">
        <w:rPr>
          <w:rFonts w:hint="cs"/>
          <w:sz w:val="27"/>
          <w:rtl/>
          <w:lang w:bidi="ar-LB"/>
        </w:rPr>
        <w:t>،</w:t>
      </w:r>
      <w:r w:rsidRPr="00282AC9">
        <w:rPr>
          <w:rFonts w:hint="cs"/>
          <w:sz w:val="27"/>
          <w:rtl/>
          <w:lang w:bidi="ar-LB"/>
        </w:rPr>
        <w:t xml:space="preserve"> كما يستفاد من جملة الأخبار</w:t>
      </w:r>
      <w:r w:rsidR="006C0655" w:rsidRPr="00282AC9">
        <w:rPr>
          <w:rFonts w:hint="cs"/>
          <w:sz w:val="27"/>
          <w:rtl/>
          <w:lang w:bidi="ar-LB"/>
        </w:rPr>
        <w:t>...</w:t>
      </w:r>
      <w:r w:rsidR="00AC44B6" w:rsidRPr="00282AC9">
        <w:rPr>
          <w:rFonts w:hint="eastAsia"/>
          <w:sz w:val="24"/>
          <w:szCs w:val="24"/>
          <w:rtl/>
        </w:rPr>
        <w:t>»</w:t>
      </w:r>
      <w:r w:rsidRPr="00282AC9">
        <w:rPr>
          <w:rFonts w:hint="cs"/>
          <w:sz w:val="27"/>
          <w:vertAlign w:val="superscript"/>
          <w:rtl/>
        </w:rPr>
        <w:t>(</w:t>
      </w:r>
      <w:r w:rsidRPr="00282AC9">
        <w:rPr>
          <w:rStyle w:val="af9"/>
          <w:sz w:val="27"/>
          <w:rtl/>
        </w:rPr>
        <w:endnoteReference w:id="19"/>
      </w:r>
      <w:r w:rsidRPr="00282AC9">
        <w:rPr>
          <w:sz w:val="27"/>
          <w:vertAlign w:val="superscript"/>
          <w:rtl/>
        </w:rPr>
        <w:t>)</w:t>
      </w:r>
      <w:r w:rsidRPr="00282AC9">
        <w:rPr>
          <w:rFonts w:hint="cs"/>
          <w:sz w:val="27"/>
          <w:rtl/>
        </w:rPr>
        <w:t xml:space="preserve">. </w:t>
      </w:r>
    </w:p>
    <w:p w:rsidR="006C0655" w:rsidRPr="00282AC9" w:rsidRDefault="00A9019A" w:rsidP="00B16272">
      <w:pPr>
        <w:tabs>
          <w:tab w:val="right" w:pos="6930"/>
        </w:tabs>
        <w:suppressAutoHyphens/>
        <w:rPr>
          <w:sz w:val="27"/>
          <w:rtl/>
          <w:lang w:bidi="ar-LB"/>
        </w:rPr>
      </w:pPr>
      <w:r w:rsidRPr="00282AC9">
        <w:rPr>
          <w:rFonts w:hint="cs"/>
          <w:sz w:val="27"/>
          <w:rtl/>
          <w:lang w:bidi="ar-LB"/>
        </w:rPr>
        <w:t>وظاهره أيضاً الا</w:t>
      </w:r>
      <w:r w:rsidR="006C0655" w:rsidRPr="00282AC9">
        <w:rPr>
          <w:rFonts w:hint="cs"/>
          <w:sz w:val="27"/>
          <w:rtl/>
          <w:lang w:bidi="ar-LB"/>
        </w:rPr>
        <w:t>تّ</w:t>
      </w:r>
      <w:r w:rsidRPr="00282AC9">
        <w:rPr>
          <w:rFonts w:hint="cs"/>
          <w:sz w:val="27"/>
          <w:rtl/>
          <w:lang w:bidi="ar-LB"/>
        </w:rPr>
        <w:t>كاء عليها</w:t>
      </w:r>
      <w:r w:rsidR="006C0655" w:rsidRPr="00282AC9">
        <w:rPr>
          <w:rFonts w:hint="cs"/>
          <w:sz w:val="27"/>
          <w:rtl/>
          <w:lang w:bidi="ar-LB"/>
        </w:rPr>
        <w:t>،</w:t>
      </w:r>
      <w:r w:rsidRPr="00282AC9">
        <w:rPr>
          <w:rFonts w:hint="cs"/>
          <w:sz w:val="27"/>
          <w:rtl/>
          <w:lang w:bidi="ar-LB"/>
        </w:rPr>
        <w:t xml:space="preserve"> من دون استناد</w:t>
      </w:r>
      <w:r w:rsidR="006C0655" w:rsidRPr="00282AC9">
        <w:rPr>
          <w:rFonts w:hint="cs"/>
          <w:sz w:val="27"/>
          <w:rtl/>
          <w:lang w:bidi="ar-LB"/>
        </w:rPr>
        <w:t>ٍ</w:t>
      </w:r>
      <w:r w:rsidR="005053B3" w:rsidRPr="00282AC9">
        <w:rPr>
          <w:rFonts w:hint="cs"/>
          <w:sz w:val="27"/>
          <w:rtl/>
          <w:lang w:bidi="ar-LB"/>
        </w:rPr>
        <w:t xml:space="preserve"> إلى </w:t>
      </w:r>
      <w:r w:rsidR="006C0655" w:rsidRPr="00282AC9">
        <w:rPr>
          <w:rFonts w:hint="cs"/>
          <w:sz w:val="27"/>
          <w:rtl/>
          <w:lang w:bidi="ar-LB"/>
        </w:rPr>
        <w:t>دليل العقل.</w:t>
      </w:r>
    </w:p>
    <w:p w:rsidR="00A9019A" w:rsidRPr="00282AC9" w:rsidRDefault="00A9019A" w:rsidP="00B16272">
      <w:pPr>
        <w:tabs>
          <w:tab w:val="right" w:pos="6930"/>
        </w:tabs>
        <w:suppressAutoHyphens/>
        <w:rPr>
          <w:sz w:val="27"/>
          <w:rtl/>
          <w:lang w:bidi="ar-LB"/>
        </w:rPr>
      </w:pPr>
      <w:r w:rsidRPr="00282AC9">
        <w:rPr>
          <w:rFonts w:hint="cs"/>
          <w:sz w:val="27"/>
          <w:rtl/>
          <w:lang w:bidi="ar-LB"/>
        </w:rPr>
        <w:t>كما ويظهر منه ذلك عندما حكى كلاماً عن المحد</w:t>
      </w:r>
      <w:r w:rsidR="006C0655" w:rsidRPr="00282AC9">
        <w:rPr>
          <w:rFonts w:hint="cs"/>
          <w:sz w:val="27"/>
          <w:rtl/>
          <w:lang w:bidi="ar-LB"/>
        </w:rPr>
        <w:t>ِّ</w:t>
      </w:r>
      <w:r w:rsidRPr="00282AC9">
        <w:rPr>
          <w:rFonts w:hint="cs"/>
          <w:sz w:val="27"/>
          <w:rtl/>
          <w:lang w:bidi="ar-LB"/>
        </w:rPr>
        <w:t>ث ال</w:t>
      </w:r>
      <w:r w:rsidR="006C0655" w:rsidRPr="00282AC9">
        <w:rPr>
          <w:rFonts w:hint="cs"/>
          <w:sz w:val="27"/>
          <w:rtl/>
          <w:lang w:bidi="ar-LB"/>
        </w:rPr>
        <w:t>إ</w:t>
      </w:r>
      <w:r w:rsidRPr="00282AC9">
        <w:rPr>
          <w:rFonts w:hint="cs"/>
          <w:sz w:val="27"/>
          <w:rtl/>
          <w:lang w:bidi="ar-LB"/>
        </w:rPr>
        <w:t>ستر</w:t>
      </w:r>
      <w:r w:rsidR="006C0655" w:rsidRPr="00282AC9">
        <w:rPr>
          <w:rFonts w:hint="cs"/>
          <w:sz w:val="27"/>
          <w:rtl/>
          <w:lang w:bidi="ar-LB"/>
        </w:rPr>
        <w:t>آ</w:t>
      </w:r>
      <w:r w:rsidRPr="00282AC9">
        <w:rPr>
          <w:rFonts w:hint="cs"/>
          <w:sz w:val="27"/>
          <w:rtl/>
          <w:lang w:bidi="ar-LB"/>
        </w:rPr>
        <w:t>بادي</w:t>
      </w:r>
      <w:r w:rsidR="009A2A04" w:rsidRPr="00282AC9">
        <w:rPr>
          <w:rFonts w:cs="Mosawi" w:hint="cs"/>
          <w:sz w:val="22"/>
          <w:szCs w:val="22"/>
          <w:rtl/>
          <w:lang w:bidi="ar-LB"/>
        </w:rPr>
        <w:t>&amp;</w:t>
      </w:r>
      <w:r w:rsidR="006C0655" w:rsidRPr="00282AC9">
        <w:rPr>
          <w:rFonts w:hint="cs"/>
          <w:sz w:val="27"/>
          <w:rtl/>
          <w:lang w:bidi="ar-LB"/>
        </w:rPr>
        <w:t>،</w:t>
      </w:r>
      <w:r w:rsidRPr="00282AC9">
        <w:rPr>
          <w:rFonts w:hint="cs"/>
          <w:sz w:val="27"/>
          <w:rtl/>
          <w:lang w:bidi="ar-LB"/>
        </w:rPr>
        <w:t xml:space="preserve"> في مسألة الاحتياط</w:t>
      </w:r>
      <w:r w:rsidR="006C0655" w:rsidRPr="00282AC9">
        <w:rPr>
          <w:rFonts w:hint="cs"/>
          <w:sz w:val="27"/>
          <w:rtl/>
          <w:lang w:bidi="ar-LB"/>
        </w:rPr>
        <w:t>،</w:t>
      </w:r>
      <w:r w:rsidRPr="00282AC9">
        <w:rPr>
          <w:rFonts w:hint="cs"/>
          <w:sz w:val="27"/>
          <w:rtl/>
          <w:lang w:bidi="ar-LB"/>
        </w:rPr>
        <w:t xml:space="preserve"> وهو قوله:</w:t>
      </w:r>
      <w:r w:rsidR="006C0655" w:rsidRPr="00282AC9">
        <w:rPr>
          <w:rFonts w:hint="cs"/>
          <w:sz w:val="27"/>
          <w:rtl/>
          <w:lang w:bidi="ar-LB"/>
        </w:rPr>
        <w:t xml:space="preserve"> </w:t>
      </w:r>
      <w:r w:rsidR="006C0655" w:rsidRPr="00282AC9">
        <w:rPr>
          <w:rFonts w:hint="eastAsia"/>
          <w:sz w:val="24"/>
          <w:szCs w:val="24"/>
          <w:rtl/>
          <w:lang w:bidi="ar-LB"/>
        </w:rPr>
        <w:t>«</w:t>
      </w:r>
      <w:r w:rsidRPr="00282AC9">
        <w:rPr>
          <w:rFonts w:hint="cs"/>
          <w:sz w:val="27"/>
          <w:rtl/>
          <w:lang w:bidi="ar-LB"/>
        </w:rPr>
        <w:t>وقد تواتر عنهم</w:t>
      </w:r>
      <w:r w:rsidR="00876ECA" w:rsidRPr="00282AC9">
        <w:rPr>
          <w:rFonts w:cs="Mosawi" w:hint="cs"/>
          <w:sz w:val="22"/>
          <w:szCs w:val="22"/>
          <w:rtl/>
        </w:rPr>
        <w:t>^</w:t>
      </w:r>
      <w:r w:rsidRPr="00282AC9">
        <w:rPr>
          <w:rFonts w:hint="cs"/>
          <w:sz w:val="27"/>
          <w:rtl/>
          <w:lang w:bidi="ar-LB"/>
        </w:rPr>
        <w:t xml:space="preserve"> وجوب التوق</w:t>
      </w:r>
      <w:r w:rsidR="006C0655" w:rsidRPr="00282AC9">
        <w:rPr>
          <w:rFonts w:hint="cs"/>
          <w:sz w:val="27"/>
          <w:rtl/>
          <w:lang w:bidi="ar-LB"/>
        </w:rPr>
        <w:t>ُّ</w:t>
      </w:r>
      <w:r w:rsidRPr="00282AC9">
        <w:rPr>
          <w:rFonts w:hint="cs"/>
          <w:sz w:val="27"/>
          <w:rtl/>
          <w:lang w:bidi="ar-LB"/>
        </w:rPr>
        <w:t>ف فيما لم يعلم حكمها</w:t>
      </w:r>
      <w:r w:rsidR="006C0655" w:rsidRPr="00282AC9">
        <w:rPr>
          <w:rFonts w:hint="cs"/>
          <w:sz w:val="27"/>
          <w:rtl/>
          <w:lang w:bidi="ar-LB"/>
        </w:rPr>
        <w:t>،</w:t>
      </w:r>
      <w:r w:rsidRPr="00282AC9">
        <w:rPr>
          <w:rFonts w:hint="cs"/>
          <w:sz w:val="27"/>
          <w:rtl/>
          <w:lang w:bidi="ar-LB"/>
        </w:rPr>
        <w:t xml:space="preserve"> معل</w:t>
      </w:r>
      <w:r w:rsidR="006C0655" w:rsidRPr="00282AC9">
        <w:rPr>
          <w:rFonts w:hint="cs"/>
          <w:sz w:val="27"/>
          <w:rtl/>
          <w:lang w:bidi="ar-LB"/>
        </w:rPr>
        <w:t>ّ</w:t>
      </w:r>
      <w:r w:rsidRPr="00282AC9">
        <w:rPr>
          <w:rFonts w:hint="cs"/>
          <w:sz w:val="27"/>
          <w:rtl/>
          <w:lang w:bidi="ar-LB"/>
        </w:rPr>
        <w:t>لين بأنه بعد أن كملت الشريعة لا تخلو واقعة</w:t>
      </w:r>
      <w:r w:rsidR="006C0655" w:rsidRPr="00282AC9">
        <w:rPr>
          <w:rFonts w:hint="cs"/>
          <w:sz w:val="27"/>
          <w:rtl/>
          <w:lang w:bidi="ar-LB"/>
        </w:rPr>
        <w:t>ٌ</w:t>
      </w:r>
      <w:r w:rsidRPr="00282AC9">
        <w:rPr>
          <w:rFonts w:hint="cs"/>
          <w:sz w:val="27"/>
          <w:rtl/>
          <w:lang w:bidi="ar-LB"/>
        </w:rPr>
        <w:t xml:space="preserve"> عن حكم</w:t>
      </w:r>
      <w:r w:rsidR="006C0655" w:rsidRPr="00282AC9">
        <w:rPr>
          <w:rFonts w:hint="cs"/>
          <w:sz w:val="27"/>
          <w:rtl/>
          <w:lang w:bidi="ar-LB"/>
        </w:rPr>
        <w:t>ٍ</w:t>
      </w:r>
      <w:r w:rsidRPr="00282AC9">
        <w:rPr>
          <w:rFonts w:hint="cs"/>
          <w:sz w:val="27"/>
          <w:rtl/>
          <w:lang w:bidi="ar-LB"/>
        </w:rPr>
        <w:t xml:space="preserve"> قطعيّ وارد</w:t>
      </w:r>
      <w:r w:rsidR="006C0655" w:rsidRPr="00282AC9">
        <w:rPr>
          <w:rFonts w:hint="cs"/>
          <w:sz w:val="27"/>
          <w:rtl/>
          <w:lang w:bidi="ar-LB"/>
        </w:rPr>
        <w:t>ٍ</w:t>
      </w:r>
      <w:r w:rsidRPr="00282AC9">
        <w:rPr>
          <w:rFonts w:hint="cs"/>
          <w:sz w:val="27"/>
          <w:rtl/>
          <w:lang w:bidi="ar-LB"/>
        </w:rPr>
        <w:t xml:space="preserve"> من الله تعالى</w:t>
      </w:r>
      <w:r w:rsidR="006C0655" w:rsidRPr="00282AC9">
        <w:rPr>
          <w:rFonts w:hint="eastAsia"/>
          <w:sz w:val="24"/>
          <w:szCs w:val="24"/>
          <w:rtl/>
        </w:rPr>
        <w:t>»</w:t>
      </w:r>
      <w:r w:rsidRPr="00282AC9">
        <w:rPr>
          <w:rFonts w:hint="cs"/>
          <w:sz w:val="27"/>
          <w:vertAlign w:val="superscript"/>
          <w:rtl/>
        </w:rPr>
        <w:t>(</w:t>
      </w:r>
      <w:r w:rsidRPr="00282AC9">
        <w:rPr>
          <w:rStyle w:val="af9"/>
          <w:sz w:val="27"/>
          <w:rtl/>
        </w:rPr>
        <w:endnoteReference w:id="20"/>
      </w:r>
      <w:r w:rsidRPr="00282AC9">
        <w:rPr>
          <w:sz w:val="27"/>
          <w:vertAlign w:val="superscript"/>
          <w:rtl/>
        </w:rPr>
        <w:t>)</w:t>
      </w:r>
      <w:r w:rsidR="006C0655" w:rsidRPr="00282AC9">
        <w:rPr>
          <w:rFonts w:hint="cs"/>
          <w:sz w:val="27"/>
          <w:rtl/>
        </w:rPr>
        <w:t xml:space="preserve">؛ </w:t>
      </w:r>
      <w:r w:rsidRPr="00282AC9">
        <w:rPr>
          <w:rFonts w:hint="cs"/>
          <w:sz w:val="27"/>
          <w:rtl/>
        </w:rPr>
        <w:t>حيث لم يردّ عليه في ذلك بشيء</w:t>
      </w:r>
      <w:r w:rsidR="006C0655" w:rsidRPr="00282AC9">
        <w:rPr>
          <w:rFonts w:hint="cs"/>
          <w:sz w:val="27"/>
          <w:rtl/>
        </w:rPr>
        <w:t>ٍ</w:t>
      </w:r>
      <w:r w:rsidRPr="00282AC9">
        <w:rPr>
          <w:rFonts w:hint="cs"/>
          <w:sz w:val="27"/>
          <w:rtl/>
        </w:rPr>
        <w:t>، واكتفى بالقول: إنَّ ذلك لا يمتّ</w:t>
      </w:r>
      <w:r w:rsidR="005053B3" w:rsidRPr="00282AC9">
        <w:rPr>
          <w:rFonts w:hint="cs"/>
          <w:sz w:val="27"/>
          <w:rtl/>
        </w:rPr>
        <w:t xml:space="preserve"> إلى </w:t>
      </w:r>
      <w:r w:rsidRPr="00282AC9">
        <w:rPr>
          <w:rFonts w:hint="cs"/>
          <w:sz w:val="27"/>
          <w:rtl/>
        </w:rPr>
        <w:t>بحثنا بصلة</w:t>
      </w:r>
      <w:r w:rsidR="003E125E" w:rsidRPr="00282AC9">
        <w:rPr>
          <w:rFonts w:hint="cs"/>
          <w:sz w:val="27"/>
          <w:rtl/>
        </w:rPr>
        <w:t>ٍ</w:t>
      </w:r>
      <w:r w:rsidRPr="00282AC9">
        <w:rPr>
          <w:rFonts w:hint="cs"/>
          <w:sz w:val="27"/>
          <w:rtl/>
        </w:rPr>
        <w:t>، ممّا قد يعني ارتضاء</w:t>
      </w:r>
      <w:r w:rsidR="003E125E" w:rsidRPr="00282AC9">
        <w:rPr>
          <w:rFonts w:hint="cs"/>
          <w:sz w:val="27"/>
          <w:rtl/>
        </w:rPr>
        <w:t>ه</w:t>
      </w:r>
      <w:r w:rsidRPr="00282AC9">
        <w:rPr>
          <w:rFonts w:hint="cs"/>
          <w:sz w:val="27"/>
          <w:rtl/>
        </w:rPr>
        <w:t xml:space="preserve"> له.</w:t>
      </w:r>
    </w:p>
    <w:p w:rsidR="00A9019A" w:rsidRPr="00282AC9" w:rsidRDefault="00A9019A" w:rsidP="00B16272">
      <w:pPr>
        <w:tabs>
          <w:tab w:val="right" w:pos="6930"/>
        </w:tabs>
        <w:suppressAutoHyphens/>
        <w:rPr>
          <w:sz w:val="27"/>
          <w:rtl/>
          <w:lang w:bidi="ar-LB"/>
        </w:rPr>
      </w:pPr>
      <w:r w:rsidRPr="00282AC9">
        <w:rPr>
          <w:rFonts w:hint="cs"/>
          <w:sz w:val="27"/>
          <w:rtl/>
          <w:lang w:bidi="ar-LB"/>
        </w:rPr>
        <w:t>ومنهم: المحق</w:t>
      </w:r>
      <w:r w:rsidR="003E125E" w:rsidRPr="00282AC9">
        <w:rPr>
          <w:rFonts w:hint="cs"/>
          <w:sz w:val="27"/>
          <w:rtl/>
          <w:lang w:bidi="ar-LB"/>
        </w:rPr>
        <w:t>ِّ</w:t>
      </w:r>
      <w:r w:rsidRPr="00282AC9">
        <w:rPr>
          <w:rFonts w:hint="cs"/>
          <w:sz w:val="27"/>
          <w:rtl/>
          <w:lang w:bidi="ar-LB"/>
        </w:rPr>
        <w:t>ق الآشتياني</w:t>
      </w:r>
      <w:r w:rsidR="009A2A04" w:rsidRPr="00282AC9">
        <w:rPr>
          <w:rFonts w:cs="Mosawi" w:hint="cs"/>
          <w:sz w:val="22"/>
          <w:szCs w:val="22"/>
          <w:rtl/>
          <w:lang w:bidi="ar-LB"/>
        </w:rPr>
        <w:t>&amp;</w:t>
      </w:r>
      <w:r w:rsidR="003E125E" w:rsidRPr="00282AC9">
        <w:rPr>
          <w:rFonts w:hint="cs"/>
          <w:sz w:val="27"/>
          <w:rtl/>
          <w:lang w:bidi="ar-LB"/>
        </w:rPr>
        <w:t>،</w:t>
      </w:r>
      <w:r w:rsidRPr="00282AC9">
        <w:rPr>
          <w:rFonts w:hint="cs"/>
          <w:sz w:val="27"/>
          <w:rtl/>
          <w:lang w:bidi="ar-LB"/>
        </w:rPr>
        <w:t xml:space="preserve"> في (بحر الفوائد)</w:t>
      </w:r>
      <w:r w:rsidR="003E125E" w:rsidRPr="00282AC9">
        <w:rPr>
          <w:rFonts w:hint="cs"/>
          <w:sz w:val="27"/>
          <w:rtl/>
          <w:lang w:bidi="ar-LB"/>
        </w:rPr>
        <w:t>؛ إ</w:t>
      </w:r>
      <w:r w:rsidRPr="00282AC9">
        <w:rPr>
          <w:rFonts w:hint="cs"/>
          <w:sz w:val="27"/>
          <w:rtl/>
          <w:lang w:bidi="ar-LB"/>
        </w:rPr>
        <w:t>ذ قال في كلام</w:t>
      </w:r>
      <w:r w:rsidR="003E125E" w:rsidRPr="00282AC9">
        <w:rPr>
          <w:rFonts w:hint="cs"/>
          <w:sz w:val="27"/>
          <w:rtl/>
          <w:lang w:bidi="ar-LB"/>
        </w:rPr>
        <w:t>ٍ</w:t>
      </w:r>
      <w:r w:rsidRPr="00282AC9">
        <w:rPr>
          <w:rFonts w:hint="cs"/>
          <w:sz w:val="27"/>
          <w:rtl/>
          <w:lang w:bidi="ar-LB"/>
        </w:rPr>
        <w:t xml:space="preserve"> له:</w:t>
      </w:r>
      <w:r w:rsidR="003E125E" w:rsidRPr="00282AC9">
        <w:rPr>
          <w:rFonts w:hint="cs"/>
          <w:sz w:val="27"/>
          <w:rtl/>
          <w:lang w:bidi="ar-LB"/>
        </w:rPr>
        <w:t xml:space="preserve"> </w:t>
      </w:r>
      <w:r w:rsidR="003E125E" w:rsidRPr="00282AC9">
        <w:rPr>
          <w:rFonts w:hint="eastAsia"/>
          <w:sz w:val="24"/>
          <w:szCs w:val="24"/>
          <w:rtl/>
          <w:lang w:bidi="ar-LB"/>
        </w:rPr>
        <w:t>«</w:t>
      </w:r>
      <w:r w:rsidRPr="00282AC9">
        <w:rPr>
          <w:rFonts w:hint="cs"/>
          <w:sz w:val="27"/>
          <w:rtl/>
          <w:lang w:bidi="ar-LB"/>
        </w:rPr>
        <w:t>وبالجملة: الذي قام عليه الدليل</w:t>
      </w:r>
      <w:r w:rsidRPr="00282AC9">
        <w:rPr>
          <w:sz w:val="27"/>
          <w:vertAlign w:val="superscript"/>
          <w:rtl/>
          <w:lang w:bidi="ar-LB"/>
        </w:rPr>
        <w:t>(</w:t>
      </w:r>
      <w:r w:rsidRPr="00282AC9">
        <w:rPr>
          <w:rStyle w:val="af9"/>
          <w:sz w:val="27"/>
          <w:rtl/>
          <w:lang w:bidi="ar-LB"/>
        </w:rPr>
        <w:endnoteReference w:id="21"/>
      </w:r>
      <w:r w:rsidRPr="00282AC9">
        <w:rPr>
          <w:sz w:val="27"/>
          <w:vertAlign w:val="superscript"/>
          <w:rtl/>
          <w:lang w:bidi="ar-LB"/>
        </w:rPr>
        <w:t>)</w:t>
      </w:r>
      <w:r w:rsidR="003E125E" w:rsidRPr="00282AC9">
        <w:rPr>
          <w:rFonts w:hint="cs"/>
          <w:sz w:val="27"/>
          <w:rtl/>
          <w:lang w:bidi="ar-LB"/>
        </w:rPr>
        <w:t>،</w:t>
      </w:r>
      <w:r w:rsidRPr="00282AC9">
        <w:rPr>
          <w:rFonts w:hint="cs"/>
          <w:sz w:val="27"/>
          <w:rtl/>
          <w:lang w:bidi="ar-LB"/>
        </w:rPr>
        <w:t xml:space="preserve"> ونطق به السنّة والإجماع</w:t>
      </w:r>
      <w:r w:rsidR="003E125E" w:rsidRPr="00282AC9">
        <w:rPr>
          <w:rFonts w:hint="cs"/>
          <w:sz w:val="27"/>
          <w:rtl/>
          <w:lang w:bidi="ar-LB"/>
        </w:rPr>
        <w:t>،</w:t>
      </w:r>
      <w:r w:rsidRPr="00282AC9">
        <w:rPr>
          <w:rFonts w:hint="cs"/>
          <w:sz w:val="27"/>
          <w:rtl/>
          <w:lang w:bidi="ar-LB"/>
        </w:rPr>
        <w:t xml:space="preserve"> عدم جواز خلوّ الواقعة </w:t>
      </w:r>
      <w:r w:rsidR="003E125E" w:rsidRPr="00282AC9">
        <w:rPr>
          <w:rFonts w:hint="cs"/>
          <w:sz w:val="27"/>
          <w:rtl/>
          <w:lang w:bidi="ar-LB"/>
        </w:rPr>
        <w:t xml:space="preserve">من </w:t>
      </w:r>
      <w:r w:rsidRPr="00282AC9">
        <w:rPr>
          <w:rFonts w:hint="cs"/>
          <w:sz w:val="27"/>
          <w:rtl/>
          <w:lang w:bidi="ar-LB"/>
        </w:rPr>
        <w:t>الحكم الواقعي</w:t>
      </w:r>
      <w:r w:rsidR="003E125E" w:rsidRPr="00282AC9">
        <w:rPr>
          <w:rFonts w:hint="cs"/>
          <w:sz w:val="27"/>
          <w:rtl/>
          <w:lang w:bidi="ar-LB"/>
        </w:rPr>
        <w:t>؛</w:t>
      </w:r>
      <w:r w:rsidRPr="00282AC9">
        <w:rPr>
          <w:rFonts w:hint="cs"/>
          <w:sz w:val="27"/>
          <w:rtl/>
          <w:lang w:bidi="ar-LB"/>
        </w:rPr>
        <w:t xml:space="preserve"> وأمّا عدم جواز خلوّها </w:t>
      </w:r>
      <w:r w:rsidR="003E125E" w:rsidRPr="00282AC9">
        <w:rPr>
          <w:rFonts w:hint="cs"/>
          <w:sz w:val="27"/>
          <w:rtl/>
          <w:lang w:bidi="ar-LB"/>
        </w:rPr>
        <w:t xml:space="preserve">من </w:t>
      </w:r>
      <w:r w:rsidRPr="00282AC9">
        <w:rPr>
          <w:rFonts w:hint="cs"/>
          <w:sz w:val="27"/>
          <w:rtl/>
          <w:lang w:bidi="ar-LB"/>
        </w:rPr>
        <w:t>الحكم الظاهري إذا لم يتوقّ</w:t>
      </w:r>
      <w:r w:rsidR="003E125E" w:rsidRPr="00282AC9">
        <w:rPr>
          <w:rFonts w:hint="cs"/>
          <w:sz w:val="27"/>
          <w:rtl/>
          <w:lang w:bidi="ar-LB"/>
        </w:rPr>
        <w:t>َ</w:t>
      </w:r>
      <w:r w:rsidRPr="00282AC9">
        <w:rPr>
          <w:rFonts w:hint="cs"/>
          <w:sz w:val="27"/>
          <w:rtl/>
          <w:lang w:bidi="ar-LB"/>
        </w:rPr>
        <w:t>ف العمل عليه فلم يق</w:t>
      </w:r>
      <w:r w:rsidR="003E125E" w:rsidRPr="00282AC9">
        <w:rPr>
          <w:rFonts w:hint="cs"/>
          <w:sz w:val="27"/>
          <w:rtl/>
          <w:lang w:bidi="ar-LB"/>
        </w:rPr>
        <w:t>ُ</w:t>
      </w:r>
      <w:r w:rsidRPr="00282AC9">
        <w:rPr>
          <w:rFonts w:hint="cs"/>
          <w:sz w:val="27"/>
          <w:rtl/>
          <w:lang w:bidi="ar-LB"/>
        </w:rPr>
        <w:t>م</w:t>
      </w:r>
      <w:r w:rsidR="003E125E" w:rsidRPr="00282AC9">
        <w:rPr>
          <w:rFonts w:hint="cs"/>
          <w:sz w:val="27"/>
          <w:rtl/>
          <w:lang w:bidi="ar-LB"/>
        </w:rPr>
        <w:t>ْ</w:t>
      </w:r>
      <w:r w:rsidRPr="00282AC9">
        <w:rPr>
          <w:rFonts w:hint="cs"/>
          <w:sz w:val="27"/>
          <w:rtl/>
          <w:lang w:bidi="ar-LB"/>
        </w:rPr>
        <w:t xml:space="preserve"> به دليل</w:t>
      </w:r>
      <w:r w:rsidR="003E125E" w:rsidRPr="00282AC9">
        <w:rPr>
          <w:rFonts w:hint="cs"/>
          <w:sz w:val="27"/>
          <w:rtl/>
          <w:lang w:bidi="ar-LB"/>
        </w:rPr>
        <w:t>ٌ</w:t>
      </w:r>
      <w:r w:rsidRPr="00282AC9">
        <w:rPr>
          <w:rFonts w:hint="cs"/>
          <w:sz w:val="27"/>
          <w:rtl/>
          <w:lang w:bidi="ar-LB"/>
        </w:rPr>
        <w:t xml:space="preserve"> أصلاً، كما اعترف به دام ظلّ</w:t>
      </w:r>
      <w:r w:rsidR="003E125E" w:rsidRPr="00282AC9">
        <w:rPr>
          <w:rFonts w:hint="cs"/>
          <w:sz w:val="27"/>
          <w:rtl/>
          <w:lang w:bidi="ar-LB"/>
        </w:rPr>
        <w:t>ُ</w:t>
      </w:r>
      <w:r w:rsidRPr="00282AC9">
        <w:rPr>
          <w:rFonts w:hint="cs"/>
          <w:sz w:val="27"/>
          <w:rtl/>
          <w:lang w:bidi="ar-LB"/>
        </w:rPr>
        <w:t>ه في الجزء الثاني من الكتاب</w:t>
      </w:r>
      <w:r w:rsidR="003E125E" w:rsidRPr="00282AC9">
        <w:rPr>
          <w:rFonts w:hint="eastAsia"/>
          <w:sz w:val="24"/>
          <w:szCs w:val="24"/>
          <w:rtl/>
        </w:rPr>
        <w:t>»</w:t>
      </w:r>
      <w:r w:rsidRPr="00282AC9">
        <w:rPr>
          <w:rFonts w:hint="cs"/>
          <w:sz w:val="27"/>
          <w:vertAlign w:val="superscript"/>
          <w:rtl/>
        </w:rPr>
        <w:t>(</w:t>
      </w:r>
      <w:r w:rsidRPr="00282AC9">
        <w:rPr>
          <w:rStyle w:val="af9"/>
          <w:sz w:val="27"/>
          <w:rtl/>
        </w:rPr>
        <w:endnoteReference w:id="22"/>
      </w:r>
      <w:r w:rsidRPr="00282AC9">
        <w:rPr>
          <w:sz w:val="27"/>
          <w:vertAlign w:val="superscript"/>
          <w:rtl/>
        </w:rPr>
        <w:t>)</w:t>
      </w:r>
      <w:r w:rsidR="003E125E" w:rsidRPr="00282AC9">
        <w:rPr>
          <w:rFonts w:hint="cs"/>
          <w:sz w:val="27"/>
          <w:rtl/>
        </w:rPr>
        <w:t>.</w:t>
      </w:r>
    </w:p>
    <w:p w:rsidR="00A9019A" w:rsidRPr="00282AC9" w:rsidRDefault="00A9019A" w:rsidP="00B16272">
      <w:pPr>
        <w:tabs>
          <w:tab w:val="right" w:pos="6930"/>
        </w:tabs>
        <w:suppressAutoHyphens/>
        <w:rPr>
          <w:sz w:val="27"/>
          <w:rtl/>
          <w:lang w:bidi="ar-LB"/>
        </w:rPr>
      </w:pPr>
      <w:r w:rsidRPr="00282AC9">
        <w:rPr>
          <w:rFonts w:hint="cs"/>
          <w:sz w:val="27"/>
          <w:rtl/>
          <w:lang w:bidi="ar-LB"/>
        </w:rPr>
        <w:t>وقد تكرّ</w:t>
      </w:r>
      <w:r w:rsidR="003E125E" w:rsidRPr="00282AC9">
        <w:rPr>
          <w:rFonts w:hint="cs"/>
          <w:sz w:val="27"/>
          <w:rtl/>
          <w:lang w:bidi="ar-LB"/>
        </w:rPr>
        <w:t>َ</w:t>
      </w:r>
      <w:r w:rsidRPr="00282AC9">
        <w:rPr>
          <w:rFonts w:hint="cs"/>
          <w:sz w:val="27"/>
          <w:rtl/>
          <w:lang w:bidi="ar-LB"/>
        </w:rPr>
        <w:t>ر هذا القول منه</w:t>
      </w:r>
      <w:r w:rsidR="003E125E" w:rsidRPr="00282AC9">
        <w:rPr>
          <w:rFonts w:hint="cs"/>
          <w:sz w:val="27"/>
          <w:rtl/>
          <w:lang w:bidi="ar-LB"/>
        </w:rPr>
        <w:t>،</w:t>
      </w:r>
      <w:r w:rsidRPr="00282AC9">
        <w:rPr>
          <w:rFonts w:hint="cs"/>
          <w:sz w:val="27"/>
          <w:rtl/>
          <w:lang w:bidi="ar-LB"/>
        </w:rPr>
        <w:t xml:space="preserve"> ومن صاحب (الأوثق)</w:t>
      </w:r>
      <w:r w:rsidR="003E125E" w:rsidRPr="00282AC9">
        <w:rPr>
          <w:rFonts w:hint="cs"/>
          <w:sz w:val="27"/>
          <w:rtl/>
          <w:lang w:bidi="ar-LB"/>
        </w:rPr>
        <w:t>،</w:t>
      </w:r>
      <w:r w:rsidRPr="00282AC9">
        <w:rPr>
          <w:rFonts w:hint="cs"/>
          <w:sz w:val="27"/>
          <w:rtl/>
          <w:lang w:bidi="ar-LB"/>
        </w:rPr>
        <w:t xml:space="preserve"> من عدم الدليل على عدم خ</w:t>
      </w:r>
      <w:r w:rsidR="003E125E" w:rsidRPr="00282AC9">
        <w:rPr>
          <w:rFonts w:hint="cs"/>
          <w:sz w:val="27"/>
          <w:rtl/>
          <w:lang w:bidi="ar-LB"/>
        </w:rPr>
        <w:t>لوّ الواقعة عن الحكم الظاهري، إذا لم يحتج إ</w:t>
      </w:r>
      <w:r w:rsidRPr="00282AC9">
        <w:rPr>
          <w:rFonts w:hint="cs"/>
          <w:sz w:val="27"/>
          <w:rtl/>
          <w:lang w:bidi="ar-LB"/>
        </w:rPr>
        <w:t>ليه في مقام العمل، ت</w:t>
      </w:r>
      <w:r w:rsidR="003E125E" w:rsidRPr="00282AC9">
        <w:rPr>
          <w:rFonts w:hint="cs"/>
          <w:sz w:val="27"/>
          <w:rtl/>
          <w:lang w:bidi="ar-LB"/>
        </w:rPr>
        <w:t>َ</w:t>
      </w:r>
      <w:r w:rsidRPr="00282AC9">
        <w:rPr>
          <w:rFonts w:hint="cs"/>
          <w:sz w:val="27"/>
          <w:rtl/>
          <w:lang w:bidi="ar-LB"/>
        </w:rPr>
        <w:t>ب</w:t>
      </w:r>
      <w:r w:rsidR="003E125E" w:rsidRPr="00282AC9">
        <w:rPr>
          <w:rFonts w:hint="cs"/>
          <w:sz w:val="27"/>
          <w:rtl/>
          <w:lang w:bidi="ar-LB"/>
        </w:rPr>
        <w:t>َ</w:t>
      </w:r>
      <w:r w:rsidRPr="00282AC9">
        <w:rPr>
          <w:rFonts w:hint="cs"/>
          <w:sz w:val="27"/>
          <w:rtl/>
          <w:lang w:bidi="ar-LB"/>
        </w:rPr>
        <w:t>عاً لما أفاده الشيخ</w:t>
      </w:r>
      <w:r w:rsidR="009A2A04" w:rsidRPr="00282AC9">
        <w:rPr>
          <w:rFonts w:cs="Mosawi" w:hint="cs"/>
          <w:sz w:val="22"/>
          <w:szCs w:val="22"/>
          <w:rtl/>
          <w:lang w:bidi="ar-LB"/>
        </w:rPr>
        <w:t>&amp;</w:t>
      </w:r>
      <w:r w:rsidRPr="00282AC9">
        <w:rPr>
          <w:rFonts w:hint="cs"/>
          <w:sz w:val="27"/>
          <w:rtl/>
          <w:lang w:bidi="ar-LB"/>
        </w:rPr>
        <w:t xml:space="preserve"> بقوله:</w:t>
      </w:r>
      <w:r w:rsidR="003E125E" w:rsidRPr="00282AC9">
        <w:rPr>
          <w:rFonts w:hint="cs"/>
          <w:sz w:val="27"/>
          <w:rtl/>
          <w:lang w:bidi="ar-LB"/>
        </w:rPr>
        <w:t xml:space="preserve"> </w:t>
      </w:r>
      <w:r w:rsidR="003E125E" w:rsidRPr="00282AC9">
        <w:rPr>
          <w:rFonts w:hint="eastAsia"/>
          <w:sz w:val="24"/>
          <w:szCs w:val="24"/>
          <w:rtl/>
          <w:lang w:bidi="ar-LB"/>
        </w:rPr>
        <w:t>«</w:t>
      </w:r>
      <w:r w:rsidRPr="00282AC9">
        <w:rPr>
          <w:rFonts w:hint="cs"/>
          <w:sz w:val="27"/>
          <w:rtl/>
          <w:lang w:bidi="ar-LB"/>
        </w:rPr>
        <w:t>ولا دليل على عدم جواز خلوّ الواقعة عن حكم</w:t>
      </w:r>
      <w:r w:rsidR="003E125E" w:rsidRPr="00282AC9">
        <w:rPr>
          <w:rFonts w:hint="cs"/>
          <w:sz w:val="27"/>
          <w:rtl/>
          <w:lang w:bidi="ar-LB"/>
        </w:rPr>
        <w:t>ٍ</w:t>
      </w:r>
      <w:r w:rsidRPr="00282AC9">
        <w:rPr>
          <w:rFonts w:hint="cs"/>
          <w:sz w:val="27"/>
          <w:rtl/>
          <w:lang w:bidi="ar-LB"/>
        </w:rPr>
        <w:t xml:space="preserve"> ظاهري إذا لم يحتج إليه في العمل، نظير</w:t>
      </w:r>
      <w:r w:rsidR="003E125E" w:rsidRPr="00282AC9">
        <w:rPr>
          <w:rFonts w:hint="cs"/>
          <w:sz w:val="27"/>
          <w:rtl/>
          <w:lang w:bidi="ar-LB"/>
        </w:rPr>
        <w:t>:</w:t>
      </w:r>
      <w:r w:rsidRPr="00282AC9">
        <w:rPr>
          <w:rFonts w:hint="cs"/>
          <w:sz w:val="27"/>
          <w:rtl/>
          <w:lang w:bidi="ar-LB"/>
        </w:rPr>
        <w:t xml:space="preserve"> ما لو دار الأمر بين الوجوب والاستحباب</w:t>
      </w:r>
      <w:r w:rsidR="003E125E" w:rsidRPr="00282AC9">
        <w:rPr>
          <w:rFonts w:hint="eastAsia"/>
          <w:sz w:val="24"/>
          <w:szCs w:val="24"/>
          <w:rtl/>
        </w:rPr>
        <w:t>»</w:t>
      </w:r>
      <w:r w:rsidRPr="00282AC9">
        <w:rPr>
          <w:rFonts w:hint="cs"/>
          <w:sz w:val="27"/>
          <w:vertAlign w:val="superscript"/>
          <w:rtl/>
        </w:rPr>
        <w:t>(</w:t>
      </w:r>
      <w:r w:rsidRPr="00282AC9">
        <w:rPr>
          <w:rStyle w:val="af9"/>
          <w:sz w:val="27"/>
          <w:rtl/>
        </w:rPr>
        <w:endnoteReference w:id="23"/>
      </w:r>
      <w:r w:rsidRPr="00282AC9">
        <w:rPr>
          <w:sz w:val="27"/>
          <w:vertAlign w:val="superscript"/>
          <w:rtl/>
        </w:rPr>
        <w:t>)</w:t>
      </w:r>
      <w:r w:rsidRPr="00282AC9">
        <w:rPr>
          <w:rFonts w:hint="cs"/>
          <w:sz w:val="27"/>
          <w:rtl/>
        </w:rPr>
        <w:t xml:space="preserve">. </w:t>
      </w:r>
    </w:p>
    <w:p w:rsidR="00A9019A" w:rsidRPr="00282AC9" w:rsidRDefault="00A9019A" w:rsidP="00B16272">
      <w:pPr>
        <w:tabs>
          <w:tab w:val="right" w:pos="6930"/>
        </w:tabs>
        <w:suppressAutoHyphens/>
        <w:rPr>
          <w:sz w:val="27"/>
          <w:rtl/>
          <w:lang w:bidi="ar-LB"/>
        </w:rPr>
      </w:pPr>
      <w:r w:rsidRPr="00282AC9">
        <w:rPr>
          <w:rFonts w:hint="cs"/>
          <w:sz w:val="27"/>
          <w:rtl/>
          <w:lang w:bidi="ar-LB"/>
        </w:rPr>
        <w:t>وكيف كان فعبارته غير</w:t>
      </w:r>
      <w:r w:rsidR="003E125E" w:rsidRPr="00282AC9">
        <w:rPr>
          <w:rFonts w:hint="cs"/>
          <w:sz w:val="27"/>
          <w:rtl/>
          <w:lang w:bidi="ar-LB"/>
        </w:rPr>
        <w:t>ُ</w:t>
      </w:r>
      <w:r w:rsidRPr="00282AC9">
        <w:rPr>
          <w:rFonts w:hint="cs"/>
          <w:sz w:val="27"/>
          <w:rtl/>
          <w:lang w:bidi="ar-LB"/>
        </w:rPr>
        <w:t xml:space="preserve"> صريحة</w:t>
      </w:r>
      <w:r w:rsidR="003E125E" w:rsidRPr="00282AC9">
        <w:rPr>
          <w:rFonts w:hint="cs"/>
          <w:sz w:val="27"/>
          <w:rtl/>
          <w:lang w:bidi="ar-LB"/>
        </w:rPr>
        <w:t>ٍ</w:t>
      </w:r>
      <w:r w:rsidRPr="00282AC9">
        <w:rPr>
          <w:rFonts w:hint="cs"/>
          <w:sz w:val="27"/>
          <w:rtl/>
          <w:lang w:bidi="ar-LB"/>
        </w:rPr>
        <w:t xml:space="preserve"> في انحصار الدليل </w:t>
      </w:r>
      <w:r w:rsidR="000A6FA0" w:rsidRPr="00282AC9">
        <w:rPr>
          <w:rFonts w:hint="cs"/>
          <w:sz w:val="27"/>
          <w:rtl/>
          <w:lang w:bidi="ar-LB"/>
        </w:rPr>
        <w:t xml:space="preserve">في </w:t>
      </w:r>
      <w:r w:rsidRPr="00282AC9">
        <w:rPr>
          <w:rFonts w:hint="cs"/>
          <w:sz w:val="27"/>
          <w:rtl/>
          <w:lang w:bidi="ar-LB"/>
        </w:rPr>
        <w:t>الأخبار والإجماع.</w:t>
      </w:r>
    </w:p>
    <w:p w:rsidR="000A6FA0" w:rsidRPr="00282AC9" w:rsidRDefault="00A9019A" w:rsidP="00B16272">
      <w:pPr>
        <w:tabs>
          <w:tab w:val="right" w:pos="6930"/>
        </w:tabs>
        <w:suppressAutoHyphens/>
        <w:rPr>
          <w:sz w:val="27"/>
          <w:rtl/>
          <w:lang w:bidi="ar-LB"/>
        </w:rPr>
      </w:pPr>
      <w:r w:rsidRPr="00282AC9">
        <w:rPr>
          <w:rFonts w:hint="cs"/>
          <w:sz w:val="27"/>
          <w:rtl/>
          <w:lang w:bidi="ar-LB"/>
        </w:rPr>
        <w:lastRenderedPageBreak/>
        <w:t>ومنهم: المحق</w:t>
      </w:r>
      <w:r w:rsidR="000A6FA0" w:rsidRPr="00282AC9">
        <w:rPr>
          <w:rFonts w:hint="cs"/>
          <w:sz w:val="27"/>
          <w:rtl/>
          <w:lang w:bidi="ar-LB"/>
        </w:rPr>
        <w:t>ِّ</w:t>
      </w:r>
      <w:r w:rsidRPr="00282AC9">
        <w:rPr>
          <w:rFonts w:hint="cs"/>
          <w:sz w:val="27"/>
          <w:rtl/>
          <w:lang w:bidi="ar-LB"/>
        </w:rPr>
        <w:t>ق الخراساني</w:t>
      </w:r>
      <w:r w:rsidR="009A2A04" w:rsidRPr="00282AC9">
        <w:rPr>
          <w:rFonts w:cs="Mosawi" w:hint="cs"/>
          <w:sz w:val="22"/>
          <w:szCs w:val="22"/>
          <w:rtl/>
          <w:lang w:bidi="ar-LB"/>
        </w:rPr>
        <w:t>&amp;</w:t>
      </w:r>
      <w:r w:rsidR="000A6FA0" w:rsidRPr="00282AC9">
        <w:rPr>
          <w:rFonts w:hint="cs"/>
          <w:sz w:val="27"/>
          <w:rtl/>
          <w:lang w:bidi="ar-LB"/>
        </w:rPr>
        <w:t>،</w:t>
      </w:r>
      <w:r w:rsidRPr="00282AC9">
        <w:rPr>
          <w:rFonts w:hint="cs"/>
          <w:sz w:val="27"/>
          <w:rtl/>
          <w:lang w:bidi="ar-LB"/>
        </w:rPr>
        <w:t xml:space="preserve"> في </w:t>
      </w:r>
      <w:r w:rsidR="00930599" w:rsidRPr="00282AC9">
        <w:rPr>
          <w:rFonts w:hint="cs"/>
          <w:sz w:val="27"/>
          <w:rtl/>
          <w:lang w:bidi="ar-LB"/>
        </w:rPr>
        <w:t>(</w:t>
      </w:r>
      <w:r w:rsidRPr="00282AC9">
        <w:rPr>
          <w:rFonts w:hint="cs"/>
          <w:sz w:val="27"/>
          <w:rtl/>
          <w:lang w:bidi="ar-LB"/>
        </w:rPr>
        <w:t>الكفاية</w:t>
      </w:r>
      <w:r w:rsidR="00930599" w:rsidRPr="00282AC9">
        <w:rPr>
          <w:rFonts w:hint="cs"/>
          <w:sz w:val="27"/>
          <w:rtl/>
          <w:lang w:bidi="ar-LB"/>
        </w:rPr>
        <w:t>)</w:t>
      </w:r>
      <w:r w:rsidRPr="00282AC9">
        <w:rPr>
          <w:rFonts w:hint="cs"/>
          <w:sz w:val="27"/>
          <w:rtl/>
          <w:lang w:bidi="ar-LB"/>
        </w:rPr>
        <w:t xml:space="preserve">، </w:t>
      </w:r>
      <w:r w:rsidR="000A6FA0" w:rsidRPr="00282AC9">
        <w:rPr>
          <w:rFonts w:hint="cs"/>
          <w:sz w:val="27"/>
          <w:rtl/>
          <w:lang w:bidi="ar-LB"/>
        </w:rPr>
        <w:t xml:space="preserve">حيث </w:t>
      </w:r>
      <w:r w:rsidRPr="00282AC9">
        <w:rPr>
          <w:rFonts w:hint="cs"/>
          <w:sz w:val="27"/>
          <w:rtl/>
          <w:lang w:bidi="ar-LB"/>
        </w:rPr>
        <w:t>قال:</w:t>
      </w:r>
      <w:r w:rsidR="000A6FA0" w:rsidRPr="00282AC9">
        <w:rPr>
          <w:rFonts w:hint="cs"/>
          <w:sz w:val="27"/>
          <w:rtl/>
          <w:lang w:bidi="ar-LB"/>
        </w:rPr>
        <w:t xml:space="preserve"> </w:t>
      </w:r>
      <w:r w:rsidR="000A6FA0" w:rsidRPr="00282AC9">
        <w:rPr>
          <w:rFonts w:hint="eastAsia"/>
          <w:sz w:val="24"/>
          <w:szCs w:val="24"/>
          <w:rtl/>
          <w:lang w:bidi="ar-LB"/>
        </w:rPr>
        <w:t>«</w:t>
      </w:r>
      <w:r w:rsidRPr="00282AC9">
        <w:rPr>
          <w:rFonts w:hint="cs"/>
          <w:sz w:val="27"/>
          <w:rtl/>
          <w:lang w:bidi="ar-LB"/>
        </w:rPr>
        <w:t>فهو وإن</w:t>
      </w:r>
      <w:r w:rsidR="000A6FA0" w:rsidRPr="00282AC9">
        <w:rPr>
          <w:rFonts w:hint="cs"/>
          <w:sz w:val="27"/>
          <w:rtl/>
          <w:lang w:bidi="ar-LB"/>
        </w:rPr>
        <w:t>ْ</w:t>
      </w:r>
      <w:r w:rsidRPr="00282AC9">
        <w:rPr>
          <w:rFonts w:hint="cs"/>
          <w:sz w:val="27"/>
          <w:rtl/>
          <w:lang w:bidi="ar-LB"/>
        </w:rPr>
        <w:t xml:space="preserve"> كان خطأ من جهة تواتر</w:t>
      </w:r>
      <w:r w:rsidR="000A6FA0" w:rsidRPr="00282AC9">
        <w:rPr>
          <w:rFonts w:hint="cs"/>
          <w:sz w:val="27"/>
          <w:rtl/>
          <w:lang w:bidi="ar-LB"/>
        </w:rPr>
        <w:t xml:space="preserve"> الأخبار وإجماع أصحابنا على أن</w:t>
      </w:r>
      <w:r w:rsidRPr="00282AC9">
        <w:rPr>
          <w:rFonts w:hint="cs"/>
          <w:sz w:val="27"/>
          <w:rtl/>
          <w:lang w:bidi="ar-LB"/>
        </w:rPr>
        <w:t xml:space="preserve"> لله تبارك وتعالى في كلّ واقعة</w:t>
      </w:r>
      <w:r w:rsidR="000A6FA0" w:rsidRPr="00282AC9">
        <w:rPr>
          <w:rFonts w:hint="cs"/>
          <w:sz w:val="27"/>
          <w:rtl/>
          <w:lang w:bidi="ar-LB"/>
        </w:rPr>
        <w:t>ٍ</w:t>
      </w:r>
      <w:r w:rsidRPr="00282AC9">
        <w:rPr>
          <w:rFonts w:hint="cs"/>
          <w:sz w:val="27"/>
          <w:rtl/>
          <w:lang w:bidi="ar-LB"/>
        </w:rPr>
        <w:t xml:space="preserve"> حكماً يشترك فيه الكلّ</w:t>
      </w:r>
      <w:r w:rsidR="000A6FA0" w:rsidRPr="00282AC9">
        <w:rPr>
          <w:rFonts w:hint="eastAsia"/>
          <w:sz w:val="24"/>
          <w:szCs w:val="24"/>
          <w:rtl/>
        </w:rPr>
        <w:t>»</w:t>
      </w:r>
      <w:r w:rsidRPr="00282AC9">
        <w:rPr>
          <w:rFonts w:hint="cs"/>
          <w:sz w:val="27"/>
          <w:vertAlign w:val="superscript"/>
          <w:rtl/>
        </w:rPr>
        <w:t>(</w:t>
      </w:r>
      <w:r w:rsidRPr="00282AC9">
        <w:rPr>
          <w:rStyle w:val="af9"/>
          <w:sz w:val="27"/>
          <w:rtl/>
        </w:rPr>
        <w:endnoteReference w:id="24"/>
      </w:r>
      <w:r w:rsidRPr="00282AC9">
        <w:rPr>
          <w:sz w:val="27"/>
          <w:vertAlign w:val="superscript"/>
          <w:rtl/>
        </w:rPr>
        <w:t>)</w:t>
      </w:r>
      <w:r w:rsidRPr="00282AC9">
        <w:rPr>
          <w:rFonts w:hint="cs"/>
          <w:sz w:val="27"/>
          <w:rtl/>
        </w:rPr>
        <w:t>.</w:t>
      </w:r>
    </w:p>
    <w:p w:rsidR="00A9019A" w:rsidRPr="00282AC9" w:rsidRDefault="00A9019A" w:rsidP="00B16272">
      <w:pPr>
        <w:tabs>
          <w:tab w:val="right" w:pos="6930"/>
        </w:tabs>
        <w:suppressAutoHyphens/>
        <w:rPr>
          <w:sz w:val="27"/>
          <w:rtl/>
          <w:lang w:bidi="ar-LB"/>
        </w:rPr>
      </w:pPr>
      <w:r w:rsidRPr="00282AC9">
        <w:rPr>
          <w:rFonts w:hint="cs"/>
          <w:sz w:val="27"/>
          <w:rtl/>
          <w:lang w:bidi="ar-LB"/>
        </w:rPr>
        <w:t xml:space="preserve">وكذا </w:t>
      </w:r>
      <w:r w:rsidR="00930599" w:rsidRPr="00282AC9">
        <w:rPr>
          <w:rFonts w:hint="cs"/>
          <w:sz w:val="27"/>
          <w:rtl/>
          <w:lang w:bidi="ar-LB"/>
        </w:rPr>
        <w:t xml:space="preserve">قال </w:t>
      </w:r>
      <w:r w:rsidRPr="00282AC9">
        <w:rPr>
          <w:rFonts w:hint="cs"/>
          <w:sz w:val="27"/>
          <w:rtl/>
          <w:lang w:bidi="ar-LB"/>
        </w:rPr>
        <w:t xml:space="preserve">في </w:t>
      </w:r>
      <w:r w:rsidR="00930599" w:rsidRPr="00282AC9">
        <w:rPr>
          <w:rFonts w:hint="cs"/>
          <w:sz w:val="27"/>
          <w:rtl/>
          <w:lang w:bidi="ar-LB"/>
        </w:rPr>
        <w:t>(</w:t>
      </w:r>
      <w:r w:rsidRPr="00282AC9">
        <w:rPr>
          <w:rFonts w:hint="cs"/>
          <w:sz w:val="27"/>
          <w:rtl/>
          <w:lang w:bidi="ar-LB"/>
        </w:rPr>
        <w:t>درر الفوائد</w:t>
      </w:r>
      <w:r w:rsidR="00930599" w:rsidRPr="00282AC9">
        <w:rPr>
          <w:rFonts w:hint="cs"/>
          <w:sz w:val="27"/>
          <w:rtl/>
          <w:lang w:bidi="ar-LB"/>
        </w:rPr>
        <w:t>)</w:t>
      </w:r>
      <w:r w:rsidRPr="00282AC9">
        <w:rPr>
          <w:rFonts w:hint="cs"/>
          <w:sz w:val="27"/>
          <w:rtl/>
          <w:lang w:bidi="ar-LB"/>
        </w:rPr>
        <w:t>:</w:t>
      </w:r>
      <w:r w:rsidR="00930599" w:rsidRPr="00282AC9">
        <w:rPr>
          <w:rFonts w:hint="cs"/>
          <w:sz w:val="27"/>
          <w:rtl/>
          <w:lang w:bidi="ar-LB"/>
        </w:rPr>
        <w:t xml:space="preserve"> </w:t>
      </w:r>
      <w:r w:rsidR="00930599" w:rsidRPr="00282AC9">
        <w:rPr>
          <w:rFonts w:hint="eastAsia"/>
          <w:sz w:val="24"/>
          <w:szCs w:val="24"/>
          <w:rtl/>
          <w:lang w:bidi="ar-LB"/>
        </w:rPr>
        <w:t>«</w:t>
      </w:r>
      <w:r w:rsidRPr="00282AC9">
        <w:rPr>
          <w:rFonts w:hint="cs"/>
          <w:sz w:val="27"/>
          <w:rtl/>
          <w:lang w:bidi="ar-LB"/>
        </w:rPr>
        <w:t>كما يكون بالإجماع والضرورة من المذهب في كلّ واقعة</w:t>
      </w:r>
      <w:r w:rsidR="00930599" w:rsidRPr="00282AC9">
        <w:rPr>
          <w:rFonts w:hint="cs"/>
          <w:sz w:val="27"/>
          <w:rtl/>
          <w:lang w:bidi="ar-LB"/>
        </w:rPr>
        <w:t>ٍ</w:t>
      </w:r>
      <w:r w:rsidRPr="00282AC9">
        <w:rPr>
          <w:rFonts w:hint="cs"/>
          <w:sz w:val="27"/>
          <w:rtl/>
          <w:lang w:bidi="ar-LB"/>
        </w:rPr>
        <w:t xml:space="preserve"> حكم</w:t>
      </w:r>
      <w:r w:rsidR="00930599" w:rsidRPr="00282AC9">
        <w:rPr>
          <w:rFonts w:hint="cs"/>
          <w:sz w:val="27"/>
          <w:rtl/>
          <w:lang w:bidi="ar-LB"/>
        </w:rPr>
        <w:t>ٌ</w:t>
      </w:r>
      <w:r w:rsidRPr="00282AC9">
        <w:rPr>
          <w:rFonts w:hint="cs"/>
          <w:sz w:val="27"/>
          <w:rtl/>
          <w:lang w:bidi="ar-LB"/>
        </w:rPr>
        <w:t xml:space="preserve"> يشترك فيه الأمّة</w:t>
      </w:r>
      <w:r w:rsidR="00930599" w:rsidRPr="00282AC9">
        <w:rPr>
          <w:rFonts w:hint="eastAsia"/>
          <w:sz w:val="24"/>
          <w:szCs w:val="24"/>
          <w:rtl/>
        </w:rPr>
        <w:t>»</w:t>
      </w:r>
      <w:r w:rsidRPr="00282AC9">
        <w:rPr>
          <w:rFonts w:hint="cs"/>
          <w:sz w:val="27"/>
          <w:vertAlign w:val="superscript"/>
          <w:rtl/>
        </w:rPr>
        <w:t>(</w:t>
      </w:r>
      <w:r w:rsidRPr="00282AC9">
        <w:rPr>
          <w:rStyle w:val="af9"/>
          <w:sz w:val="27"/>
          <w:rtl/>
        </w:rPr>
        <w:endnoteReference w:id="25"/>
      </w:r>
      <w:r w:rsidRPr="00282AC9">
        <w:rPr>
          <w:sz w:val="27"/>
          <w:vertAlign w:val="superscript"/>
          <w:rtl/>
        </w:rPr>
        <w:t>)</w:t>
      </w:r>
      <w:r w:rsidRPr="00282AC9">
        <w:rPr>
          <w:rFonts w:hint="cs"/>
          <w:sz w:val="27"/>
          <w:rtl/>
        </w:rPr>
        <w:t>.</w:t>
      </w:r>
    </w:p>
    <w:p w:rsidR="00A9019A" w:rsidRPr="00282AC9" w:rsidRDefault="00A9019A" w:rsidP="00B16272">
      <w:pPr>
        <w:tabs>
          <w:tab w:val="right" w:pos="6930"/>
        </w:tabs>
        <w:suppressAutoHyphens/>
        <w:rPr>
          <w:sz w:val="27"/>
          <w:rtl/>
          <w:lang w:bidi="ar-LB"/>
        </w:rPr>
      </w:pPr>
      <w:r w:rsidRPr="00282AC9">
        <w:rPr>
          <w:rFonts w:hint="cs"/>
          <w:sz w:val="27"/>
          <w:rtl/>
          <w:lang w:bidi="ar-LB"/>
        </w:rPr>
        <w:t>ومنه</w:t>
      </w:r>
      <w:r w:rsidR="00F97BBD" w:rsidRPr="00282AC9">
        <w:rPr>
          <w:rFonts w:hint="cs"/>
          <w:sz w:val="27"/>
          <w:rtl/>
          <w:lang w:bidi="ar-LB"/>
        </w:rPr>
        <w:t>م</w:t>
      </w:r>
      <w:r w:rsidRPr="00282AC9">
        <w:rPr>
          <w:rFonts w:hint="cs"/>
          <w:sz w:val="27"/>
          <w:rtl/>
          <w:lang w:bidi="ar-LB"/>
        </w:rPr>
        <w:t>: المحق</w:t>
      </w:r>
      <w:r w:rsidR="00930599" w:rsidRPr="00282AC9">
        <w:rPr>
          <w:rFonts w:hint="cs"/>
          <w:sz w:val="27"/>
          <w:rtl/>
          <w:lang w:bidi="ar-LB"/>
        </w:rPr>
        <w:t>ِّ</w:t>
      </w:r>
      <w:r w:rsidRPr="00282AC9">
        <w:rPr>
          <w:rFonts w:hint="cs"/>
          <w:sz w:val="27"/>
          <w:rtl/>
          <w:lang w:bidi="ar-LB"/>
        </w:rPr>
        <w:t>ق العراقي</w:t>
      </w:r>
      <w:r w:rsidR="009A2A04" w:rsidRPr="00282AC9">
        <w:rPr>
          <w:rFonts w:cs="Mosawi" w:hint="cs"/>
          <w:sz w:val="22"/>
          <w:szCs w:val="22"/>
          <w:rtl/>
          <w:lang w:bidi="ar-LB"/>
        </w:rPr>
        <w:t>&amp;</w:t>
      </w:r>
      <w:r w:rsidR="00930599" w:rsidRPr="00282AC9">
        <w:rPr>
          <w:rFonts w:hint="cs"/>
          <w:sz w:val="27"/>
          <w:rtl/>
          <w:lang w:bidi="ar-LB"/>
        </w:rPr>
        <w:t>،</w:t>
      </w:r>
      <w:r w:rsidRPr="00282AC9">
        <w:rPr>
          <w:rFonts w:hint="cs"/>
          <w:sz w:val="27"/>
          <w:rtl/>
          <w:lang w:bidi="ar-LB"/>
        </w:rPr>
        <w:t xml:space="preserve"> على ما في </w:t>
      </w:r>
      <w:r w:rsidR="00930599" w:rsidRPr="00282AC9">
        <w:rPr>
          <w:rFonts w:hint="cs"/>
          <w:sz w:val="27"/>
          <w:rtl/>
          <w:lang w:bidi="ar-LB"/>
        </w:rPr>
        <w:t>(</w:t>
      </w:r>
      <w:r w:rsidRPr="00282AC9">
        <w:rPr>
          <w:rFonts w:hint="cs"/>
          <w:sz w:val="27"/>
          <w:rtl/>
          <w:lang w:bidi="ar-LB"/>
        </w:rPr>
        <w:t>نهاية الأفكار</w:t>
      </w:r>
      <w:r w:rsidR="00930599" w:rsidRPr="00282AC9">
        <w:rPr>
          <w:rFonts w:hint="cs"/>
          <w:sz w:val="27"/>
          <w:rtl/>
          <w:lang w:bidi="ar-LB"/>
        </w:rPr>
        <w:t>)، حيث</w:t>
      </w:r>
      <w:r w:rsidRPr="00282AC9">
        <w:rPr>
          <w:rFonts w:hint="cs"/>
          <w:sz w:val="27"/>
          <w:rtl/>
          <w:lang w:bidi="ar-LB"/>
        </w:rPr>
        <w:t xml:space="preserve"> قال:</w:t>
      </w:r>
      <w:r w:rsidR="00930599" w:rsidRPr="00282AC9">
        <w:rPr>
          <w:rFonts w:hint="cs"/>
          <w:sz w:val="27"/>
          <w:rtl/>
          <w:lang w:bidi="ar-LB"/>
        </w:rPr>
        <w:t xml:space="preserve"> </w:t>
      </w:r>
      <w:r w:rsidR="00930599" w:rsidRPr="00282AC9">
        <w:rPr>
          <w:rFonts w:hint="eastAsia"/>
          <w:sz w:val="24"/>
          <w:szCs w:val="24"/>
          <w:rtl/>
          <w:lang w:bidi="ar-LB"/>
        </w:rPr>
        <w:t>«</w:t>
      </w:r>
      <w:r w:rsidRPr="00282AC9">
        <w:rPr>
          <w:rFonts w:hint="cs"/>
          <w:sz w:val="27"/>
          <w:rtl/>
          <w:lang w:bidi="ar-LB"/>
        </w:rPr>
        <w:t>إلاّ أن</w:t>
      </w:r>
      <w:r w:rsidR="002E4EB0" w:rsidRPr="00282AC9">
        <w:rPr>
          <w:rFonts w:hint="cs"/>
          <w:sz w:val="27"/>
          <w:rtl/>
          <w:lang w:bidi="ar-LB"/>
        </w:rPr>
        <w:t>ّ</w:t>
      </w:r>
      <w:r w:rsidRPr="00282AC9">
        <w:rPr>
          <w:rFonts w:hint="cs"/>
          <w:sz w:val="27"/>
          <w:rtl/>
          <w:lang w:bidi="ar-LB"/>
        </w:rPr>
        <w:t>ه مع كونه خلاف الإجماع وما تواتر عليه الأخبار من أنّ له سبحانه في كلّ واقعة</w:t>
      </w:r>
      <w:r w:rsidR="002E4EB0" w:rsidRPr="00282AC9">
        <w:rPr>
          <w:rFonts w:hint="cs"/>
          <w:sz w:val="27"/>
          <w:rtl/>
          <w:lang w:bidi="ar-LB"/>
        </w:rPr>
        <w:t>ٍ</w:t>
      </w:r>
      <w:r w:rsidRPr="00282AC9">
        <w:rPr>
          <w:rFonts w:hint="cs"/>
          <w:sz w:val="27"/>
          <w:rtl/>
          <w:lang w:bidi="ar-LB"/>
        </w:rPr>
        <w:t xml:space="preserve"> حكماً </w:t>
      </w:r>
      <w:r w:rsidR="002E4EB0" w:rsidRPr="00282AC9">
        <w:rPr>
          <w:rFonts w:hint="cs"/>
          <w:sz w:val="27"/>
          <w:rtl/>
          <w:lang w:bidi="ar-LB"/>
        </w:rPr>
        <w:t>يشترك فيه العال</w:t>
      </w:r>
      <w:r w:rsidRPr="00282AC9">
        <w:rPr>
          <w:rFonts w:hint="cs"/>
          <w:sz w:val="27"/>
          <w:rtl/>
          <w:lang w:bidi="ar-LB"/>
        </w:rPr>
        <w:t>م والجاهل</w:t>
      </w:r>
      <w:r w:rsidR="002E4EB0" w:rsidRPr="00282AC9">
        <w:rPr>
          <w:rFonts w:hint="eastAsia"/>
          <w:sz w:val="24"/>
          <w:szCs w:val="24"/>
          <w:rtl/>
        </w:rPr>
        <w:t>»</w:t>
      </w:r>
      <w:r w:rsidRPr="00282AC9">
        <w:rPr>
          <w:rFonts w:hint="cs"/>
          <w:sz w:val="27"/>
          <w:vertAlign w:val="superscript"/>
          <w:rtl/>
        </w:rPr>
        <w:t>(</w:t>
      </w:r>
      <w:r w:rsidRPr="00282AC9">
        <w:rPr>
          <w:rStyle w:val="af9"/>
          <w:sz w:val="27"/>
          <w:rtl/>
        </w:rPr>
        <w:endnoteReference w:id="26"/>
      </w:r>
      <w:r w:rsidRPr="00282AC9">
        <w:rPr>
          <w:sz w:val="27"/>
          <w:vertAlign w:val="superscript"/>
          <w:rtl/>
        </w:rPr>
        <w:t>)</w:t>
      </w:r>
      <w:r w:rsidRPr="00282AC9">
        <w:rPr>
          <w:rFonts w:hint="cs"/>
          <w:sz w:val="27"/>
          <w:rtl/>
        </w:rPr>
        <w:t xml:space="preserve">. </w:t>
      </w:r>
    </w:p>
    <w:p w:rsidR="00A9019A" w:rsidRPr="00282AC9" w:rsidRDefault="00A9019A" w:rsidP="00B16272">
      <w:pPr>
        <w:tabs>
          <w:tab w:val="right" w:pos="6930"/>
        </w:tabs>
        <w:suppressAutoHyphens/>
        <w:rPr>
          <w:sz w:val="27"/>
          <w:rtl/>
          <w:lang w:bidi="ar-LB"/>
        </w:rPr>
      </w:pPr>
      <w:r w:rsidRPr="00282AC9">
        <w:rPr>
          <w:rFonts w:hint="cs"/>
          <w:sz w:val="27"/>
          <w:rtl/>
          <w:lang w:bidi="ar-LB"/>
        </w:rPr>
        <w:t>ومنهم: السيد الخوئي</w:t>
      </w:r>
      <w:r w:rsidR="009A2A04" w:rsidRPr="00282AC9">
        <w:rPr>
          <w:rFonts w:cs="Mosawi" w:hint="cs"/>
          <w:sz w:val="22"/>
          <w:szCs w:val="22"/>
          <w:rtl/>
          <w:lang w:bidi="ar-LB"/>
        </w:rPr>
        <w:t>&amp;</w:t>
      </w:r>
      <w:r w:rsidR="002E4EB0" w:rsidRPr="00282AC9">
        <w:rPr>
          <w:rFonts w:hint="cs"/>
          <w:sz w:val="27"/>
          <w:rtl/>
          <w:lang w:bidi="ar-LB"/>
        </w:rPr>
        <w:t>،</w:t>
      </w:r>
      <w:r w:rsidRPr="00282AC9">
        <w:rPr>
          <w:rFonts w:hint="cs"/>
          <w:sz w:val="27"/>
          <w:rtl/>
          <w:lang w:bidi="ar-LB"/>
        </w:rPr>
        <w:t xml:space="preserve"> في مبحث الاجتهاد والتقليد، فقد قال:</w:t>
      </w:r>
      <w:r w:rsidR="002E4EB0" w:rsidRPr="00282AC9">
        <w:rPr>
          <w:rFonts w:hint="cs"/>
          <w:sz w:val="27"/>
          <w:rtl/>
          <w:lang w:bidi="ar-LB"/>
        </w:rPr>
        <w:t xml:space="preserve"> </w:t>
      </w:r>
      <w:r w:rsidR="002E4EB0" w:rsidRPr="00282AC9">
        <w:rPr>
          <w:rFonts w:hint="eastAsia"/>
          <w:sz w:val="24"/>
          <w:szCs w:val="24"/>
          <w:rtl/>
          <w:lang w:bidi="ar-LB"/>
        </w:rPr>
        <w:t>«</w:t>
      </w:r>
      <w:r w:rsidRPr="00282AC9">
        <w:rPr>
          <w:rFonts w:hint="cs"/>
          <w:sz w:val="27"/>
          <w:rtl/>
          <w:lang w:bidi="ar-LB"/>
        </w:rPr>
        <w:t>مضافاً</w:t>
      </w:r>
      <w:r w:rsidR="005053B3" w:rsidRPr="00282AC9">
        <w:rPr>
          <w:rFonts w:hint="cs"/>
          <w:sz w:val="27"/>
          <w:rtl/>
          <w:lang w:bidi="ar-LB"/>
        </w:rPr>
        <w:t xml:space="preserve"> إلى </w:t>
      </w:r>
      <w:r w:rsidRPr="00282AC9">
        <w:rPr>
          <w:rFonts w:hint="cs"/>
          <w:sz w:val="27"/>
          <w:rtl/>
          <w:lang w:bidi="ar-LB"/>
        </w:rPr>
        <w:t>الإجماع والأخبار الكثيرة الدالّة على أنّ لله حكماً في كلّ واقعة</w:t>
      </w:r>
      <w:r w:rsidR="002E4EB0" w:rsidRPr="00282AC9">
        <w:rPr>
          <w:rFonts w:hint="cs"/>
          <w:sz w:val="27"/>
          <w:rtl/>
          <w:lang w:bidi="ar-LB"/>
        </w:rPr>
        <w:t>ٍ</w:t>
      </w:r>
      <w:r w:rsidRPr="00282AC9">
        <w:rPr>
          <w:rFonts w:hint="cs"/>
          <w:sz w:val="27"/>
          <w:rtl/>
          <w:lang w:bidi="ar-LB"/>
        </w:rPr>
        <w:t xml:space="preserve"> يشترك فيه العالم والجاهل</w:t>
      </w:r>
      <w:r w:rsidR="002E4EB0" w:rsidRPr="00282AC9">
        <w:rPr>
          <w:rFonts w:hint="eastAsia"/>
          <w:sz w:val="24"/>
          <w:szCs w:val="24"/>
          <w:rtl/>
        </w:rPr>
        <w:t>»</w:t>
      </w:r>
      <w:r w:rsidRPr="00282AC9">
        <w:rPr>
          <w:rFonts w:hint="cs"/>
          <w:sz w:val="27"/>
          <w:vertAlign w:val="superscript"/>
          <w:rtl/>
        </w:rPr>
        <w:t>(</w:t>
      </w:r>
      <w:r w:rsidRPr="00282AC9">
        <w:rPr>
          <w:rStyle w:val="af9"/>
          <w:sz w:val="27"/>
          <w:rtl/>
        </w:rPr>
        <w:endnoteReference w:id="27"/>
      </w:r>
      <w:r w:rsidRPr="00282AC9">
        <w:rPr>
          <w:sz w:val="27"/>
          <w:vertAlign w:val="superscript"/>
          <w:rtl/>
        </w:rPr>
        <w:t>)</w:t>
      </w:r>
      <w:r w:rsidRPr="00282AC9">
        <w:rPr>
          <w:rFonts w:hint="cs"/>
          <w:sz w:val="27"/>
          <w:rtl/>
        </w:rPr>
        <w:t xml:space="preserve">. </w:t>
      </w:r>
    </w:p>
    <w:p w:rsidR="002E4EB0" w:rsidRPr="00282AC9" w:rsidRDefault="00A9019A" w:rsidP="00B16272">
      <w:pPr>
        <w:tabs>
          <w:tab w:val="right" w:pos="6930"/>
        </w:tabs>
        <w:suppressAutoHyphens/>
        <w:rPr>
          <w:sz w:val="27"/>
          <w:rtl/>
          <w:lang w:bidi="ar-LB"/>
        </w:rPr>
      </w:pPr>
      <w:r w:rsidRPr="00282AC9">
        <w:rPr>
          <w:rFonts w:hint="cs"/>
          <w:sz w:val="27"/>
          <w:rtl/>
          <w:lang w:bidi="ar-LB"/>
        </w:rPr>
        <w:t>وكيف كان فالمشهور</w:t>
      </w:r>
      <w:r w:rsidR="002E4EB0" w:rsidRPr="00282AC9">
        <w:rPr>
          <w:rFonts w:hint="cs"/>
          <w:sz w:val="27"/>
          <w:rtl/>
          <w:lang w:bidi="ar-LB"/>
        </w:rPr>
        <w:t>ُ</w:t>
      </w:r>
      <w:r w:rsidRPr="00282AC9">
        <w:rPr>
          <w:rFonts w:hint="cs"/>
          <w:sz w:val="27"/>
          <w:rtl/>
          <w:lang w:bidi="ar-LB"/>
        </w:rPr>
        <w:t xml:space="preserve"> أنّه ما من واقعة</w:t>
      </w:r>
      <w:r w:rsidR="002E4EB0" w:rsidRPr="00282AC9">
        <w:rPr>
          <w:rFonts w:hint="cs"/>
          <w:sz w:val="27"/>
          <w:rtl/>
          <w:lang w:bidi="ar-LB"/>
        </w:rPr>
        <w:t>ٍ</w:t>
      </w:r>
      <w:r w:rsidRPr="00282AC9">
        <w:rPr>
          <w:rFonts w:hint="cs"/>
          <w:sz w:val="27"/>
          <w:rtl/>
          <w:lang w:bidi="ar-LB"/>
        </w:rPr>
        <w:t xml:space="preserve"> إلاّ ولها حكم</w:t>
      </w:r>
      <w:r w:rsidR="002E4EB0" w:rsidRPr="00282AC9">
        <w:rPr>
          <w:rFonts w:hint="cs"/>
          <w:sz w:val="27"/>
          <w:rtl/>
          <w:lang w:bidi="ar-LB"/>
        </w:rPr>
        <w:t>ٌ</w:t>
      </w:r>
      <w:r w:rsidRPr="00282AC9">
        <w:rPr>
          <w:rFonts w:hint="cs"/>
          <w:sz w:val="27"/>
          <w:rtl/>
          <w:lang w:bidi="ar-LB"/>
        </w:rPr>
        <w:t xml:space="preserve"> شرعيّ</w:t>
      </w:r>
      <w:r w:rsidR="002E4EB0" w:rsidRPr="00282AC9">
        <w:rPr>
          <w:rFonts w:hint="cs"/>
          <w:sz w:val="27"/>
          <w:rtl/>
          <w:lang w:bidi="ar-LB"/>
        </w:rPr>
        <w:t xml:space="preserve">. </w:t>
      </w:r>
      <w:r w:rsidRPr="00282AC9">
        <w:rPr>
          <w:rFonts w:hint="cs"/>
          <w:sz w:val="27"/>
          <w:rtl/>
          <w:lang w:bidi="ar-LB"/>
        </w:rPr>
        <w:t>واستدلّ على ذلك بالعقل والنقل</w:t>
      </w:r>
      <w:r w:rsidR="002E4EB0" w:rsidRPr="00282AC9">
        <w:rPr>
          <w:rFonts w:hint="cs"/>
          <w:sz w:val="27"/>
          <w:rtl/>
          <w:lang w:bidi="ar-LB"/>
        </w:rPr>
        <w:t>.</w:t>
      </w:r>
      <w:r w:rsidRPr="00282AC9">
        <w:rPr>
          <w:rFonts w:hint="cs"/>
          <w:sz w:val="27"/>
          <w:rtl/>
          <w:lang w:bidi="ar-LB"/>
        </w:rPr>
        <w:t xml:space="preserve"> كما يمكن أن يستدلّ عليه بما يتركّ</w:t>
      </w:r>
      <w:r w:rsidR="002E4EB0" w:rsidRPr="00282AC9">
        <w:rPr>
          <w:rFonts w:hint="cs"/>
          <w:sz w:val="27"/>
          <w:rtl/>
          <w:lang w:bidi="ar-LB"/>
        </w:rPr>
        <w:t>َ</w:t>
      </w:r>
      <w:r w:rsidRPr="00282AC9">
        <w:rPr>
          <w:rFonts w:hint="cs"/>
          <w:sz w:val="27"/>
          <w:rtl/>
          <w:lang w:bidi="ar-LB"/>
        </w:rPr>
        <w:t>ب منهما</w:t>
      </w:r>
      <w:r w:rsidR="002E4EB0"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sz w:val="27"/>
          <w:rtl/>
          <w:lang w:bidi="ar-LB"/>
        </w:rPr>
        <w:t>فالكلام في ثلاث مراحل:</w:t>
      </w:r>
    </w:p>
    <w:p w:rsidR="00A9019A" w:rsidRPr="00282AC9" w:rsidRDefault="00A9019A" w:rsidP="00CC0484">
      <w:pPr>
        <w:tabs>
          <w:tab w:val="right" w:pos="6930"/>
        </w:tabs>
        <w:suppressAutoHyphens/>
        <w:spacing w:line="420" w:lineRule="exact"/>
        <w:rPr>
          <w:sz w:val="27"/>
          <w:rtl/>
          <w:lang w:bidi="ar-LB"/>
        </w:rPr>
      </w:pPr>
    </w:p>
    <w:p w:rsidR="00A9019A" w:rsidRPr="00282AC9" w:rsidRDefault="00A9019A" w:rsidP="00200DD0">
      <w:pPr>
        <w:pStyle w:val="31"/>
        <w:rPr>
          <w:color w:val="auto"/>
          <w:rtl/>
          <w:lang w:bidi="ar-LB"/>
        </w:rPr>
      </w:pPr>
      <w:r w:rsidRPr="00282AC9">
        <w:rPr>
          <w:rFonts w:hint="cs"/>
          <w:color w:val="auto"/>
          <w:rtl/>
          <w:lang w:bidi="ar-LB"/>
        </w:rPr>
        <w:t xml:space="preserve">المرحلة الأولى: </w:t>
      </w:r>
      <w:r w:rsidR="00200DD0" w:rsidRPr="00282AC9">
        <w:rPr>
          <w:rFonts w:hint="cs"/>
          <w:color w:val="auto"/>
          <w:rtl/>
          <w:lang w:bidi="ar-LB"/>
        </w:rPr>
        <w:t>المبادئ</w:t>
      </w:r>
      <w:r w:rsidR="007C4FFB" w:rsidRPr="00282AC9">
        <w:rPr>
          <w:rFonts w:hint="cs"/>
          <w:color w:val="auto"/>
          <w:rtl/>
          <w:lang w:bidi="ar-LB"/>
        </w:rPr>
        <w:t xml:space="preserve"> العقليّ</w:t>
      </w:r>
      <w:r w:rsidR="00200DD0" w:rsidRPr="00282AC9">
        <w:rPr>
          <w:rFonts w:hint="cs"/>
          <w:color w:val="auto"/>
          <w:rtl/>
          <w:lang w:bidi="ar-LB"/>
        </w:rPr>
        <w:t>ة</w:t>
      </w:r>
      <w:r w:rsidR="007C4FFB" w:rsidRPr="00282AC9">
        <w:rPr>
          <w:rFonts w:hint="cs"/>
          <w:color w:val="auto"/>
          <w:rtl/>
          <w:lang w:bidi="ar-LB"/>
        </w:rPr>
        <w:t xml:space="preserve"> ل</w:t>
      </w:r>
      <w:r w:rsidRPr="00282AC9">
        <w:rPr>
          <w:rFonts w:hint="cs"/>
          <w:color w:val="auto"/>
          <w:rtl/>
          <w:lang w:bidi="ar-LB"/>
        </w:rPr>
        <w:t>لقاعدة</w:t>
      </w:r>
    </w:p>
    <w:p w:rsidR="00A9019A" w:rsidRPr="00282AC9" w:rsidRDefault="00A9019A" w:rsidP="00B16272">
      <w:pPr>
        <w:tabs>
          <w:tab w:val="right" w:pos="6930"/>
        </w:tabs>
        <w:suppressAutoHyphens/>
        <w:rPr>
          <w:sz w:val="27"/>
          <w:rtl/>
          <w:lang w:bidi="ar-LB"/>
        </w:rPr>
      </w:pPr>
      <w:r w:rsidRPr="00282AC9">
        <w:rPr>
          <w:rFonts w:hint="cs"/>
          <w:sz w:val="27"/>
          <w:rtl/>
          <w:lang w:bidi="ar-LB"/>
        </w:rPr>
        <w:t>لا يخف</w:t>
      </w:r>
      <w:r w:rsidR="002F0FE8" w:rsidRPr="00282AC9">
        <w:rPr>
          <w:rFonts w:hint="cs"/>
          <w:sz w:val="27"/>
          <w:rtl/>
          <w:lang w:bidi="ar-LB"/>
        </w:rPr>
        <w:t>ى</w:t>
      </w:r>
      <w:r w:rsidRPr="00282AC9">
        <w:rPr>
          <w:rFonts w:hint="cs"/>
          <w:sz w:val="27"/>
          <w:rtl/>
          <w:lang w:bidi="ar-LB"/>
        </w:rPr>
        <w:t xml:space="preserve"> أنّ هذه القاعدة قد ابتن</w:t>
      </w:r>
      <w:r w:rsidR="002E4EB0" w:rsidRPr="00282AC9">
        <w:rPr>
          <w:rFonts w:hint="cs"/>
          <w:sz w:val="27"/>
          <w:rtl/>
          <w:lang w:bidi="ar-LB"/>
        </w:rPr>
        <w:t>َ</w:t>
      </w:r>
      <w:r w:rsidRPr="00282AC9">
        <w:rPr>
          <w:rFonts w:hint="cs"/>
          <w:sz w:val="27"/>
          <w:rtl/>
          <w:lang w:bidi="ar-LB"/>
        </w:rPr>
        <w:t>ت</w:t>
      </w:r>
      <w:r w:rsidR="002E4EB0" w:rsidRPr="00282AC9">
        <w:rPr>
          <w:rFonts w:hint="cs"/>
          <w:sz w:val="27"/>
          <w:rtl/>
          <w:lang w:bidi="ar-LB"/>
        </w:rPr>
        <w:t>ْ</w:t>
      </w:r>
      <w:r w:rsidRPr="00282AC9">
        <w:rPr>
          <w:rFonts w:hint="cs"/>
          <w:sz w:val="27"/>
          <w:rtl/>
          <w:lang w:bidi="ar-LB"/>
        </w:rPr>
        <w:t xml:space="preserve"> في كلمات الأكثرين على مسألة التحسين والتقبيح الذاتيين </w:t>
      </w:r>
      <w:r w:rsidR="00B64A04" w:rsidRPr="00282AC9">
        <w:rPr>
          <w:rFonts w:hint="cs"/>
          <w:sz w:val="27"/>
          <w:rtl/>
          <w:lang w:bidi="ar-LB"/>
        </w:rPr>
        <w:t>ل</w:t>
      </w:r>
      <w:r w:rsidRPr="00282AC9">
        <w:rPr>
          <w:rFonts w:hint="cs"/>
          <w:sz w:val="27"/>
          <w:rtl/>
          <w:lang w:bidi="ar-LB"/>
        </w:rPr>
        <w:t>لأشياء؛ فقد عقدوا البحث في إثبات الملازمة بين تحسينها وتقبيحها وبين تعلّ</w:t>
      </w:r>
      <w:r w:rsidR="00B64A04" w:rsidRPr="00282AC9">
        <w:rPr>
          <w:rFonts w:hint="cs"/>
          <w:sz w:val="27"/>
          <w:rtl/>
          <w:lang w:bidi="ar-LB"/>
        </w:rPr>
        <w:t>ُ</w:t>
      </w:r>
      <w:r w:rsidRPr="00282AC9">
        <w:rPr>
          <w:rFonts w:hint="cs"/>
          <w:sz w:val="27"/>
          <w:rtl/>
          <w:lang w:bidi="ar-LB"/>
        </w:rPr>
        <w:t>ق الإرادة والكراهة بها، ف</w:t>
      </w:r>
      <w:r w:rsidR="00B64A04" w:rsidRPr="00282AC9">
        <w:rPr>
          <w:rFonts w:hint="cs"/>
          <w:sz w:val="27"/>
          <w:rtl/>
          <w:lang w:bidi="ar-LB"/>
        </w:rPr>
        <w:t>أ</w:t>
      </w:r>
      <w:r w:rsidRPr="00282AC9">
        <w:rPr>
          <w:rFonts w:hint="cs"/>
          <w:sz w:val="27"/>
          <w:rtl/>
          <w:lang w:bidi="ar-LB"/>
        </w:rPr>
        <w:t>نكر الملازمة جمع</w:t>
      </w:r>
      <w:r w:rsidR="00B64A04" w:rsidRPr="00282AC9">
        <w:rPr>
          <w:rFonts w:hint="cs"/>
          <w:sz w:val="27"/>
          <w:rtl/>
          <w:lang w:bidi="ar-LB"/>
        </w:rPr>
        <w:t>ٌ؛</w:t>
      </w:r>
      <w:r w:rsidRPr="00282AC9">
        <w:rPr>
          <w:rFonts w:hint="cs"/>
          <w:sz w:val="27"/>
          <w:rtl/>
          <w:lang w:bidi="ar-LB"/>
        </w:rPr>
        <w:t xml:space="preserve"> وأثبتها آخرون.</w:t>
      </w:r>
    </w:p>
    <w:p w:rsidR="00A9019A" w:rsidRPr="00282AC9" w:rsidRDefault="00A9019A" w:rsidP="00B16272">
      <w:pPr>
        <w:tabs>
          <w:tab w:val="right" w:pos="6930"/>
        </w:tabs>
        <w:suppressAutoHyphens/>
        <w:rPr>
          <w:sz w:val="27"/>
          <w:rtl/>
          <w:lang w:bidi="ar-LB"/>
        </w:rPr>
      </w:pPr>
      <w:r w:rsidRPr="00282AC9">
        <w:rPr>
          <w:rFonts w:hint="cs"/>
          <w:sz w:val="27"/>
          <w:rtl/>
          <w:lang w:bidi="ar-LB"/>
        </w:rPr>
        <w:t>والظاهر من كلماتهم في بادئ النظر هو انحصار الطريق العقلي للبحث في تلك الملازمة، بحيث إذا ثبتت ثبتت الدعوى عقلاً، وإذا لم ت</w:t>
      </w:r>
      <w:r w:rsidR="00B64A04" w:rsidRPr="00282AC9">
        <w:rPr>
          <w:rFonts w:hint="cs"/>
          <w:sz w:val="27"/>
          <w:rtl/>
          <w:lang w:bidi="ar-LB"/>
        </w:rPr>
        <w:t>ثبت لم يمكن إثبات الد</w:t>
      </w:r>
      <w:r w:rsidRPr="00282AC9">
        <w:rPr>
          <w:rFonts w:hint="cs"/>
          <w:sz w:val="27"/>
          <w:rtl/>
          <w:lang w:bidi="ar-LB"/>
        </w:rPr>
        <w:t>عوى بوجه</w:t>
      </w:r>
      <w:r w:rsidR="00B64A04" w:rsidRPr="00282AC9">
        <w:rPr>
          <w:rFonts w:hint="cs"/>
          <w:sz w:val="27"/>
          <w:rtl/>
          <w:lang w:bidi="ar-LB"/>
        </w:rPr>
        <w:t>ٍ</w:t>
      </w:r>
      <w:r w:rsidRPr="00282AC9">
        <w:rPr>
          <w:rFonts w:hint="cs"/>
          <w:sz w:val="27"/>
          <w:rtl/>
          <w:lang w:bidi="ar-LB"/>
        </w:rPr>
        <w:t xml:space="preserve"> عقليّ آخر، وإن</w:t>
      </w:r>
      <w:r w:rsidR="00B64A04" w:rsidRPr="00282AC9">
        <w:rPr>
          <w:rFonts w:hint="cs"/>
          <w:sz w:val="27"/>
          <w:rtl/>
          <w:lang w:bidi="ar-LB"/>
        </w:rPr>
        <w:t>ْ</w:t>
      </w:r>
      <w:r w:rsidRPr="00282AC9">
        <w:rPr>
          <w:rFonts w:hint="cs"/>
          <w:sz w:val="27"/>
          <w:rtl/>
          <w:lang w:bidi="ar-LB"/>
        </w:rPr>
        <w:t xml:space="preserve"> كان هناك مجال</w:t>
      </w:r>
      <w:r w:rsidR="00B64A04" w:rsidRPr="00282AC9">
        <w:rPr>
          <w:rFonts w:hint="cs"/>
          <w:sz w:val="27"/>
          <w:rtl/>
          <w:lang w:bidi="ar-LB"/>
        </w:rPr>
        <w:t>ٌ</w:t>
      </w:r>
      <w:r w:rsidRPr="00282AC9">
        <w:rPr>
          <w:rFonts w:hint="cs"/>
          <w:sz w:val="27"/>
          <w:rtl/>
          <w:lang w:bidi="ar-LB"/>
        </w:rPr>
        <w:t xml:space="preserve"> بعدُ للوجوه النقليّة.</w:t>
      </w:r>
    </w:p>
    <w:p w:rsidR="00A9019A" w:rsidRPr="00282AC9" w:rsidRDefault="00A9019A" w:rsidP="00B16272">
      <w:pPr>
        <w:tabs>
          <w:tab w:val="right" w:pos="6930"/>
        </w:tabs>
        <w:suppressAutoHyphens/>
        <w:rPr>
          <w:sz w:val="27"/>
          <w:rtl/>
          <w:lang w:bidi="ar-LB"/>
        </w:rPr>
      </w:pPr>
      <w:r w:rsidRPr="00282AC9">
        <w:rPr>
          <w:rFonts w:hint="cs"/>
          <w:sz w:val="27"/>
          <w:rtl/>
          <w:lang w:bidi="ar-LB"/>
        </w:rPr>
        <w:t>ولكن</w:t>
      </w:r>
      <w:r w:rsidR="00B64A04" w:rsidRPr="00282AC9">
        <w:rPr>
          <w:rFonts w:hint="cs"/>
          <w:sz w:val="27"/>
          <w:rtl/>
          <w:lang w:bidi="ar-LB"/>
        </w:rPr>
        <w:t>ّ</w:t>
      </w:r>
      <w:r w:rsidRPr="00282AC9">
        <w:rPr>
          <w:rFonts w:hint="cs"/>
          <w:sz w:val="27"/>
          <w:rtl/>
          <w:lang w:bidi="ar-LB"/>
        </w:rPr>
        <w:t xml:space="preserve"> الصحيح </w:t>
      </w:r>
      <w:r w:rsidRPr="00282AC9">
        <w:rPr>
          <w:sz w:val="27"/>
          <w:rtl/>
          <w:lang w:bidi="ar-LB"/>
        </w:rPr>
        <w:t>ـ</w:t>
      </w:r>
      <w:r w:rsidRPr="00282AC9">
        <w:rPr>
          <w:rFonts w:hint="cs"/>
          <w:sz w:val="27"/>
          <w:rtl/>
          <w:lang w:bidi="ar-LB"/>
        </w:rPr>
        <w:t xml:space="preserve"> كما </w:t>
      </w:r>
      <w:r w:rsidR="00B64A04" w:rsidRPr="00282AC9">
        <w:rPr>
          <w:rFonts w:hint="cs"/>
          <w:sz w:val="27"/>
          <w:rtl/>
          <w:lang w:bidi="ar-LB"/>
        </w:rPr>
        <w:t>تُ</w:t>
      </w:r>
      <w:r w:rsidRPr="00282AC9">
        <w:rPr>
          <w:rFonts w:hint="cs"/>
          <w:sz w:val="27"/>
          <w:rtl/>
          <w:lang w:bidi="ar-LB"/>
        </w:rPr>
        <w:t>ش</w:t>
      </w:r>
      <w:r w:rsidR="00B64A04" w:rsidRPr="00282AC9">
        <w:rPr>
          <w:rFonts w:hint="cs"/>
          <w:sz w:val="27"/>
          <w:rtl/>
          <w:lang w:bidi="ar-LB"/>
        </w:rPr>
        <w:t>ْ</w:t>
      </w:r>
      <w:r w:rsidRPr="00282AC9">
        <w:rPr>
          <w:rFonts w:hint="cs"/>
          <w:sz w:val="27"/>
          <w:rtl/>
          <w:lang w:bidi="ar-LB"/>
        </w:rPr>
        <w:t>ع</w:t>
      </w:r>
      <w:r w:rsidR="00B64A04" w:rsidRPr="00282AC9">
        <w:rPr>
          <w:rFonts w:hint="cs"/>
          <w:sz w:val="27"/>
          <w:rtl/>
          <w:lang w:bidi="ar-LB"/>
        </w:rPr>
        <w:t>ِ</w:t>
      </w:r>
      <w:r w:rsidRPr="00282AC9">
        <w:rPr>
          <w:rFonts w:hint="cs"/>
          <w:sz w:val="27"/>
          <w:rtl/>
          <w:lang w:bidi="ar-LB"/>
        </w:rPr>
        <w:t>ر به بعض</w:t>
      </w:r>
      <w:r w:rsidR="00B64A04" w:rsidRPr="00282AC9">
        <w:rPr>
          <w:rFonts w:hint="cs"/>
          <w:sz w:val="27"/>
          <w:rtl/>
          <w:lang w:bidi="ar-LB"/>
        </w:rPr>
        <w:t>ُ</w:t>
      </w:r>
      <w:r w:rsidRPr="00282AC9">
        <w:rPr>
          <w:rFonts w:hint="cs"/>
          <w:sz w:val="27"/>
          <w:rtl/>
          <w:lang w:bidi="ar-LB"/>
        </w:rPr>
        <w:t xml:space="preserve"> الكلمات </w:t>
      </w:r>
      <w:r w:rsidRPr="00282AC9">
        <w:rPr>
          <w:sz w:val="27"/>
          <w:rtl/>
          <w:lang w:bidi="ar-LB"/>
        </w:rPr>
        <w:t>ـ</w:t>
      </w:r>
      <w:r w:rsidR="00B64A04" w:rsidRPr="00282AC9">
        <w:rPr>
          <w:rFonts w:hint="cs"/>
          <w:sz w:val="27"/>
          <w:rtl/>
          <w:lang w:bidi="ar-LB"/>
        </w:rPr>
        <w:t xml:space="preserve"> أن</w:t>
      </w:r>
      <w:r w:rsidRPr="00282AC9">
        <w:rPr>
          <w:rFonts w:hint="cs"/>
          <w:sz w:val="27"/>
          <w:rtl/>
          <w:lang w:bidi="ar-LB"/>
        </w:rPr>
        <w:t xml:space="preserve"> بالإمكان أن نستدلّ على هذه القاعدة من طريقة</w:t>
      </w:r>
      <w:r w:rsidR="00B64A04" w:rsidRPr="00282AC9">
        <w:rPr>
          <w:rFonts w:hint="cs"/>
          <w:sz w:val="27"/>
          <w:rtl/>
          <w:lang w:bidi="ar-LB"/>
        </w:rPr>
        <w:t>ٍ</w:t>
      </w:r>
      <w:r w:rsidRPr="00282AC9">
        <w:rPr>
          <w:rFonts w:hint="cs"/>
          <w:sz w:val="27"/>
          <w:rtl/>
          <w:lang w:bidi="ar-LB"/>
        </w:rPr>
        <w:t xml:space="preserve"> أخرى عقليّة</w:t>
      </w:r>
      <w:r w:rsidR="00B64A04" w:rsidRPr="00282AC9">
        <w:rPr>
          <w:rFonts w:hint="cs"/>
          <w:sz w:val="27"/>
          <w:rtl/>
          <w:lang w:bidi="ar-LB"/>
        </w:rPr>
        <w:t>ٍ</w:t>
      </w:r>
      <w:r w:rsidRPr="00282AC9">
        <w:rPr>
          <w:rFonts w:hint="cs"/>
          <w:sz w:val="27"/>
          <w:rtl/>
          <w:lang w:bidi="ar-LB"/>
        </w:rPr>
        <w:t xml:space="preserve"> أيضاً، وهي: الملازمة بين المصالح والمفاسد الواقعيّة وبين الإرادة والكراهة، أو بينها وبين الج</w:t>
      </w:r>
      <w:r w:rsidR="00B64A04" w:rsidRPr="00282AC9">
        <w:rPr>
          <w:rFonts w:hint="cs"/>
          <w:sz w:val="27"/>
          <w:rtl/>
          <w:lang w:bidi="ar-LB"/>
        </w:rPr>
        <w:t>َ</w:t>
      </w:r>
      <w:r w:rsidRPr="00282AC9">
        <w:rPr>
          <w:rFonts w:hint="cs"/>
          <w:sz w:val="27"/>
          <w:rtl/>
          <w:lang w:bidi="ar-LB"/>
        </w:rPr>
        <w:t>ع</w:t>
      </w:r>
      <w:r w:rsidR="00B64A04" w:rsidRPr="00282AC9">
        <w:rPr>
          <w:rFonts w:hint="cs"/>
          <w:sz w:val="27"/>
          <w:rtl/>
          <w:lang w:bidi="ar-LB"/>
        </w:rPr>
        <w:t>ْ</w:t>
      </w:r>
      <w:r w:rsidRPr="00282AC9">
        <w:rPr>
          <w:rFonts w:hint="cs"/>
          <w:sz w:val="27"/>
          <w:rtl/>
          <w:lang w:bidi="ar-LB"/>
        </w:rPr>
        <w:t xml:space="preserve">ل الشرعي </w:t>
      </w:r>
      <w:r w:rsidRPr="00282AC9">
        <w:rPr>
          <w:sz w:val="27"/>
          <w:rtl/>
          <w:lang w:bidi="ar-LB"/>
        </w:rPr>
        <w:t>ـ</w:t>
      </w:r>
      <w:r w:rsidRPr="00282AC9">
        <w:rPr>
          <w:rFonts w:hint="cs"/>
          <w:sz w:val="27"/>
          <w:rtl/>
          <w:lang w:bidi="ar-LB"/>
        </w:rPr>
        <w:t xml:space="preserve"> بناءً على إنكار الإرادة والكراهة في الأحكام الشرعيّة، كما تبن</w:t>
      </w:r>
      <w:r w:rsidR="00B64A04" w:rsidRPr="00282AC9">
        <w:rPr>
          <w:rFonts w:hint="cs"/>
          <w:sz w:val="27"/>
          <w:rtl/>
          <w:lang w:bidi="ar-LB"/>
        </w:rPr>
        <w:t>ّ</w:t>
      </w:r>
      <w:r w:rsidRPr="00282AC9">
        <w:rPr>
          <w:rFonts w:hint="cs"/>
          <w:sz w:val="27"/>
          <w:rtl/>
          <w:lang w:bidi="ar-LB"/>
        </w:rPr>
        <w:t>اه المحق</w:t>
      </w:r>
      <w:r w:rsidR="00B64A04" w:rsidRPr="00282AC9">
        <w:rPr>
          <w:rFonts w:hint="cs"/>
          <w:sz w:val="27"/>
          <w:rtl/>
          <w:lang w:bidi="ar-LB"/>
        </w:rPr>
        <w:t>ِّ</w:t>
      </w:r>
      <w:r w:rsidRPr="00282AC9">
        <w:rPr>
          <w:rFonts w:hint="cs"/>
          <w:sz w:val="27"/>
          <w:rtl/>
          <w:lang w:bidi="ar-LB"/>
        </w:rPr>
        <w:t>ق الأصفهاني</w:t>
      </w:r>
      <w:r w:rsidR="009A2A04" w:rsidRPr="00282AC9">
        <w:rPr>
          <w:rFonts w:cs="Mosawi" w:hint="cs"/>
          <w:sz w:val="22"/>
          <w:szCs w:val="22"/>
          <w:rtl/>
          <w:lang w:bidi="ar-LB"/>
        </w:rPr>
        <w:t>&amp;</w:t>
      </w:r>
      <w:r w:rsidRPr="00282AC9">
        <w:rPr>
          <w:rFonts w:hint="cs"/>
          <w:sz w:val="27"/>
          <w:rtl/>
          <w:lang w:bidi="ar-LB"/>
        </w:rPr>
        <w:t xml:space="preserve"> </w:t>
      </w:r>
      <w:r w:rsidRPr="00282AC9">
        <w:rPr>
          <w:sz w:val="27"/>
          <w:rtl/>
          <w:lang w:bidi="ar-LB"/>
        </w:rPr>
        <w:t>ـ</w:t>
      </w:r>
      <w:r w:rsidR="00B64A04" w:rsidRPr="00282AC9">
        <w:rPr>
          <w:rFonts w:hint="cs"/>
          <w:sz w:val="27"/>
          <w:rtl/>
          <w:lang w:bidi="ar-LB"/>
        </w:rPr>
        <w:t>،</w:t>
      </w:r>
      <w:r w:rsidRPr="00282AC9">
        <w:rPr>
          <w:rFonts w:hint="cs"/>
          <w:sz w:val="27"/>
          <w:rtl/>
          <w:lang w:bidi="ar-LB"/>
        </w:rPr>
        <w:t xml:space="preserve"> وهذا يعني</w:t>
      </w:r>
      <w:r w:rsidR="00B64A04" w:rsidRPr="00282AC9">
        <w:rPr>
          <w:rFonts w:hint="cs"/>
          <w:sz w:val="27"/>
          <w:rtl/>
          <w:lang w:bidi="ar-LB"/>
        </w:rPr>
        <w:t xml:space="preserve"> </w:t>
      </w:r>
      <w:r w:rsidRPr="00282AC9">
        <w:rPr>
          <w:rFonts w:hint="cs"/>
          <w:sz w:val="27"/>
          <w:rtl/>
          <w:lang w:bidi="ar-LB"/>
        </w:rPr>
        <w:lastRenderedPageBreak/>
        <w:t>تواجد طريقت</w:t>
      </w:r>
      <w:r w:rsidR="00B64A04" w:rsidRPr="00282AC9">
        <w:rPr>
          <w:rFonts w:hint="cs"/>
          <w:sz w:val="27"/>
          <w:rtl/>
          <w:lang w:bidi="ar-LB"/>
        </w:rPr>
        <w:t>ي</w:t>
      </w:r>
      <w:r w:rsidRPr="00282AC9">
        <w:rPr>
          <w:rFonts w:hint="cs"/>
          <w:sz w:val="27"/>
          <w:rtl/>
          <w:lang w:bidi="ar-LB"/>
        </w:rPr>
        <w:t>ن عقليّت</w:t>
      </w:r>
      <w:r w:rsidR="00B64A04" w:rsidRPr="00282AC9">
        <w:rPr>
          <w:rFonts w:hint="cs"/>
          <w:sz w:val="27"/>
          <w:rtl/>
          <w:lang w:bidi="ar-LB"/>
        </w:rPr>
        <w:t>ي</w:t>
      </w:r>
      <w:r w:rsidRPr="00282AC9">
        <w:rPr>
          <w:rFonts w:hint="cs"/>
          <w:sz w:val="27"/>
          <w:rtl/>
          <w:lang w:bidi="ar-LB"/>
        </w:rPr>
        <w:t>ن بهذا الصدد</w:t>
      </w:r>
      <w:r w:rsidR="00B64A04" w:rsidRPr="00282AC9">
        <w:rPr>
          <w:rFonts w:hint="cs"/>
          <w:sz w:val="27"/>
          <w:rtl/>
          <w:lang w:bidi="ar-LB"/>
        </w:rPr>
        <w:t>،</w:t>
      </w:r>
      <w:r w:rsidRPr="00282AC9">
        <w:rPr>
          <w:rFonts w:hint="cs"/>
          <w:sz w:val="27"/>
          <w:rtl/>
          <w:lang w:bidi="ar-LB"/>
        </w:rPr>
        <w:t xml:space="preserve"> نسلكهما كالتالي:</w:t>
      </w:r>
    </w:p>
    <w:p w:rsidR="00A9019A" w:rsidRPr="00282AC9" w:rsidRDefault="00A9019A" w:rsidP="00CC0484">
      <w:pPr>
        <w:tabs>
          <w:tab w:val="right" w:pos="6930"/>
        </w:tabs>
        <w:suppressAutoHyphens/>
        <w:spacing w:line="420" w:lineRule="exact"/>
        <w:rPr>
          <w:sz w:val="27"/>
          <w:rtl/>
          <w:lang w:bidi="ar-LB"/>
        </w:rPr>
      </w:pPr>
    </w:p>
    <w:p w:rsidR="00A9019A" w:rsidRPr="00282AC9" w:rsidRDefault="00200DD0" w:rsidP="00D86DE6">
      <w:pPr>
        <w:pStyle w:val="31"/>
        <w:rPr>
          <w:color w:val="auto"/>
          <w:rtl/>
          <w:lang w:bidi="ar-LB"/>
        </w:rPr>
      </w:pPr>
      <w:r w:rsidRPr="00282AC9">
        <w:rPr>
          <w:rFonts w:hint="cs"/>
          <w:color w:val="auto"/>
          <w:rtl/>
          <w:lang w:bidi="ar-LB"/>
        </w:rPr>
        <w:t>1ـ</w:t>
      </w:r>
      <w:r w:rsidR="00A9019A" w:rsidRPr="00282AC9">
        <w:rPr>
          <w:rFonts w:hint="cs"/>
          <w:color w:val="auto"/>
          <w:rtl/>
          <w:lang w:bidi="ar-LB"/>
        </w:rPr>
        <w:t xml:space="preserve"> طريقة التحسين والتقبيح العقلي</w:t>
      </w:r>
      <w:r w:rsidR="00B64A04" w:rsidRPr="00282AC9">
        <w:rPr>
          <w:rFonts w:hint="cs"/>
          <w:color w:val="auto"/>
          <w:rtl/>
          <w:lang w:bidi="ar-LB"/>
        </w:rPr>
        <w:t>ّ</w:t>
      </w:r>
      <w:r w:rsidR="00A9019A" w:rsidRPr="00282AC9">
        <w:rPr>
          <w:rFonts w:hint="cs"/>
          <w:color w:val="auto"/>
          <w:rtl/>
          <w:lang w:bidi="ar-LB"/>
        </w:rPr>
        <w:t xml:space="preserve">ين </w:t>
      </w:r>
    </w:p>
    <w:p w:rsidR="00A9019A" w:rsidRPr="00282AC9" w:rsidRDefault="00A9019A" w:rsidP="00B16272">
      <w:pPr>
        <w:tabs>
          <w:tab w:val="right" w:pos="6930"/>
        </w:tabs>
        <w:suppressAutoHyphens/>
        <w:rPr>
          <w:sz w:val="27"/>
          <w:rtl/>
          <w:lang w:bidi="ar-LB"/>
        </w:rPr>
      </w:pPr>
      <w:r w:rsidRPr="00282AC9">
        <w:rPr>
          <w:rFonts w:hint="cs"/>
          <w:sz w:val="27"/>
          <w:rtl/>
          <w:lang w:bidi="ar-LB"/>
        </w:rPr>
        <w:t>وقد جرى البحث عن ذلك ضمن قاعدة (كلّ ما حكم به العقل حكم به الشرع)</w:t>
      </w:r>
      <w:r w:rsidR="00B64A04" w:rsidRPr="00282AC9">
        <w:rPr>
          <w:rFonts w:hint="cs"/>
          <w:sz w:val="27"/>
          <w:rtl/>
          <w:lang w:bidi="ar-LB"/>
        </w:rPr>
        <w:t>،</w:t>
      </w:r>
      <w:r w:rsidRPr="00282AC9">
        <w:rPr>
          <w:rFonts w:hint="cs"/>
          <w:sz w:val="27"/>
          <w:rtl/>
          <w:lang w:bidi="ar-LB"/>
        </w:rPr>
        <w:t xml:space="preserve"> فإنّ هذه القاعدة قد ي</w:t>
      </w:r>
      <w:r w:rsidR="00B64A04" w:rsidRPr="00282AC9">
        <w:rPr>
          <w:rFonts w:hint="cs"/>
          <w:sz w:val="27"/>
          <w:rtl/>
          <w:lang w:bidi="ar-LB"/>
        </w:rPr>
        <w:t>ُ</w:t>
      </w:r>
      <w:r w:rsidRPr="00282AC9">
        <w:rPr>
          <w:rFonts w:hint="cs"/>
          <w:sz w:val="27"/>
          <w:rtl/>
          <w:lang w:bidi="ar-LB"/>
        </w:rPr>
        <w:t>راد بها إثبات أصل توفّ</w:t>
      </w:r>
      <w:r w:rsidR="00B64A04" w:rsidRPr="00282AC9">
        <w:rPr>
          <w:rFonts w:hint="cs"/>
          <w:sz w:val="27"/>
          <w:rtl/>
          <w:lang w:bidi="ar-LB"/>
        </w:rPr>
        <w:t>ُ</w:t>
      </w:r>
      <w:r w:rsidRPr="00282AC9">
        <w:rPr>
          <w:rFonts w:hint="cs"/>
          <w:sz w:val="27"/>
          <w:rtl/>
          <w:lang w:bidi="ar-LB"/>
        </w:rPr>
        <w:t>ر الحكم الشرعي فيما إذا كان هناك حكم</w:t>
      </w:r>
      <w:r w:rsidR="00B64A04" w:rsidRPr="00282AC9">
        <w:rPr>
          <w:rFonts w:hint="cs"/>
          <w:sz w:val="27"/>
          <w:rtl/>
          <w:lang w:bidi="ar-LB"/>
        </w:rPr>
        <w:t>ٌ</w:t>
      </w:r>
      <w:r w:rsidRPr="00282AC9">
        <w:rPr>
          <w:rFonts w:hint="cs"/>
          <w:sz w:val="27"/>
          <w:rtl/>
          <w:lang w:bidi="ar-LB"/>
        </w:rPr>
        <w:t xml:space="preserve"> عقليّ</w:t>
      </w:r>
      <w:r w:rsidR="00B64A04" w:rsidRPr="00282AC9">
        <w:rPr>
          <w:rFonts w:hint="cs"/>
          <w:sz w:val="27"/>
          <w:rtl/>
          <w:lang w:bidi="ar-LB"/>
        </w:rPr>
        <w:t>،</w:t>
      </w:r>
      <w:r w:rsidRPr="00282AC9">
        <w:rPr>
          <w:rFonts w:hint="cs"/>
          <w:sz w:val="27"/>
          <w:rtl/>
          <w:lang w:bidi="ar-LB"/>
        </w:rPr>
        <w:t xml:space="preserve"> من دون نظر </w:t>
      </w:r>
      <w:r w:rsidR="008805C5" w:rsidRPr="00282AC9">
        <w:rPr>
          <w:rFonts w:hint="cs"/>
          <w:sz w:val="27"/>
          <w:rtl/>
          <w:lang w:bidi="ar-LB"/>
        </w:rPr>
        <w:t>أصلاً</w:t>
      </w:r>
      <w:r w:rsidR="005053B3" w:rsidRPr="00282AC9">
        <w:rPr>
          <w:rFonts w:hint="cs"/>
          <w:sz w:val="27"/>
          <w:rtl/>
          <w:lang w:bidi="ar-LB"/>
        </w:rPr>
        <w:t xml:space="preserve"> إلى </w:t>
      </w:r>
      <w:r w:rsidRPr="00282AC9">
        <w:rPr>
          <w:rFonts w:hint="cs"/>
          <w:sz w:val="27"/>
          <w:rtl/>
          <w:lang w:bidi="ar-LB"/>
        </w:rPr>
        <w:t>إثبات المطابقة بينهما</w:t>
      </w:r>
      <w:r w:rsidR="00B64A04" w:rsidRPr="00282AC9">
        <w:rPr>
          <w:rFonts w:hint="cs"/>
          <w:sz w:val="27"/>
          <w:rtl/>
          <w:lang w:bidi="ar-LB"/>
        </w:rPr>
        <w:t>؛</w:t>
      </w:r>
      <w:r w:rsidRPr="00282AC9">
        <w:rPr>
          <w:rFonts w:hint="cs"/>
          <w:sz w:val="27"/>
          <w:rtl/>
          <w:lang w:bidi="ar-LB"/>
        </w:rPr>
        <w:t xml:space="preserve"> وقد ي</w:t>
      </w:r>
      <w:r w:rsidR="00B64A04" w:rsidRPr="00282AC9">
        <w:rPr>
          <w:rFonts w:hint="cs"/>
          <w:sz w:val="27"/>
          <w:rtl/>
          <w:lang w:bidi="ar-LB"/>
        </w:rPr>
        <w:t>ُ</w:t>
      </w:r>
      <w:r w:rsidRPr="00282AC9">
        <w:rPr>
          <w:rFonts w:hint="cs"/>
          <w:sz w:val="27"/>
          <w:rtl/>
          <w:lang w:bidi="ar-LB"/>
        </w:rPr>
        <w:t>راد بها إثبات أنّ للشرع حكماً مطابقاً للحكم العقلي</w:t>
      </w:r>
      <w:r w:rsidR="00621EA0" w:rsidRPr="00282AC9">
        <w:rPr>
          <w:rFonts w:hint="cs"/>
          <w:sz w:val="27"/>
          <w:rtl/>
          <w:lang w:bidi="ar-LB"/>
        </w:rPr>
        <w:t>ّ،</w:t>
      </w:r>
      <w:r w:rsidRPr="00282AC9">
        <w:rPr>
          <w:rFonts w:hint="cs"/>
          <w:sz w:val="27"/>
          <w:rtl/>
          <w:lang w:bidi="ar-LB"/>
        </w:rPr>
        <w:t xml:space="preserve"> بمعنى</w:t>
      </w:r>
      <w:r w:rsidR="00621EA0" w:rsidRPr="00282AC9">
        <w:rPr>
          <w:rFonts w:hint="cs"/>
          <w:sz w:val="27"/>
          <w:rtl/>
          <w:lang w:bidi="ar-LB"/>
        </w:rPr>
        <w:t xml:space="preserve"> أنّ العقل إ</w:t>
      </w:r>
      <w:r w:rsidRPr="00282AC9">
        <w:rPr>
          <w:rFonts w:hint="cs"/>
          <w:sz w:val="27"/>
          <w:rtl/>
          <w:lang w:bidi="ar-LB"/>
        </w:rPr>
        <w:t>ذا كان حاكماً بحسن شيء</w:t>
      </w:r>
      <w:r w:rsidR="00621EA0" w:rsidRPr="00282AC9">
        <w:rPr>
          <w:rFonts w:hint="cs"/>
          <w:sz w:val="27"/>
          <w:rtl/>
          <w:lang w:bidi="ar-LB"/>
        </w:rPr>
        <w:t>ٍ</w:t>
      </w:r>
      <w:r w:rsidRPr="00282AC9">
        <w:rPr>
          <w:rFonts w:hint="cs"/>
          <w:sz w:val="27"/>
          <w:rtl/>
          <w:lang w:bidi="ar-LB"/>
        </w:rPr>
        <w:t xml:space="preserve"> فللشرع أيضاً حكم</w:t>
      </w:r>
      <w:r w:rsidR="00621EA0" w:rsidRPr="00282AC9">
        <w:rPr>
          <w:rFonts w:hint="cs"/>
          <w:sz w:val="27"/>
          <w:rtl/>
          <w:lang w:bidi="ar-LB"/>
        </w:rPr>
        <w:t>ٌ</w:t>
      </w:r>
      <w:r w:rsidRPr="00282AC9">
        <w:rPr>
          <w:rFonts w:hint="cs"/>
          <w:sz w:val="27"/>
          <w:rtl/>
          <w:lang w:bidi="ar-LB"/>
        </w:rPr>
        <w:t xml:space="preserve"> مطابق له، سواء كانت هذه المطابقة في نوع الحكم</w:t>
      </w:r>
      <w:r w:rsidR="00621EA0" w:rsidRPr="00282AC9">
        <w:rPr>
          <w:rFonts w:hint="cs"/>
          <w:sz w:val="27"/>
          <w:rtl/>
          <w:lang w:bidi="ar-LB"/>
        </w:rPr>
        <w:t>،</w:t>
      </w:r>
      <w:r w:rsidRPr="00282AC9">
        <w:rPr>
          <w:rFonts w:hint="cs"/>
          <w:sz w:val="27"/>
          <w:rtl/>
          <w:lang w:bidi="ar-LB"/>
        </w:rPr>
        <w:t xml:space="preserve"> من حيث كونه إلزاميّاً أو غير</w:t>
      </w:r>
      <w:r w:rsidR="00621EA0" w:rsidRPr="00282AC9">
        <w:rPr>
          <w:rFonts w:hint="cs"/>
          <w:sz w:val="27"/>
          <w:rtl/>
          <w:lang w:bidi="ar-LB"/>
        </w:rPr>
        <w:t>َ</w:t>
      </w:r>
      <w:r w:rsidRPr="00282AC9">
        <w:rPr>
          <w:rFonts w:hint="cs"/>
          <w:sz w:val="27"/>
          <w:rtl/>
          <w:lang w:bidi="ar-LB"/>
        </w:rPr>
        <w:t xml:space="preserve"> إلزاميّ</w:t>
      </w:r>
      <w:r w:rsidR="00621EA0" w:rsidRPr="00282AC9">
        <w:rPr>
          <w:rFonts w:hint="cs"/>
          <w:sz w:val="27"/>
          <w:rtl/>
          <w:lang w:bidi="ar-LB"/>
        </w:rPr>
        <w:t>ٍ</w:t>
      </w:r>
      <w:r w:rsidRPr="00282AC9">
        <w:rPr>
          <w:rFonts w:hint="cs"/>
          <w:sz w:val="27"/>
          <w:rtl/>
          <w:lang w:bidi="ar-LB"/>
        </w:rPr>
        <w:t>، أو في المتعلّ</w:t>
      </w:r>
      <w:r w:rsidR="00621EA0" w:rsidRPr="00282AC9">
        <w:rPr>
          <w:rFonts w:hint="cs"/>
          <w:sz w:val="27"/>
          <w:rtl/>
          <w:lang w:bidi="ar-LB"/>
        </w:rPr>
        <w:t>َ</w:t>
      </w:r>
      <w:r w:rsidRPr="00282AC9">
        <w:rPr>
          <w:rFonts w:hint="cs"/>
          <w:sz w:val="27"/>
          <w:rtl/>
          <w:lang w:bidi="ar-LB"/>
        </w:rPr>
        <w:t>ق، بمعنى</w:t>
      </w:r>
      <w:r w:rsidR="00621EA0" w:rsidRPr="00282AC9">
        <w:rPr>
          <w:rFonts w:hint="cs"/>
          <w:sz w:val="27"/>
          <w:rtl/>
          <w:lang w:bidi="ar-LB"/>
        </w:rPr>
        <w:t xml:space="preserve"> </w:t>
      </w:r>
      <w:r w:rsidRPr="00282AC9">
        <w:rPr>
          <w:rFonts w:hint="cs"/>
          <w:sz w:val="27"/>
          <w:rtl/>
          <w:lang w:bidi="ar-LB"/>
        </w:rPr>
        <w:t>أن يكون الحكم الشرعيّ متعل</w:t>
      </w:r>
      <w:r w:rsidR="00621EA0" w:rsidRPr="00282AC9">
        <w:rPr>
          <w:rFonts w:hint="cs"/>
          <w:sz w:val="27"/>
          <w:rtl/>
          <w:lang w:bidi="ar-LB"/>
        </w:rPr>
        <w:t>ّ</w:t>
      </w:r>
      <w:r w:rsidRPr="00282AC9">
        <w:rPr>
          <w:rFonts w:hint="cs"/>
          <w:sz w:val="27"/>
          <w:rtl/>
          <w:lang w:bidi="ar-LB"/>
        </w:rPr>
        <w:t>قاً بنفس ما تعلّ</w:t>
      </w:r>
      <w:r w:rsidR="00621EA0" w:rsidRPr="00282AC9">
        <w:rPr>
          <w:rFonts w:hint="cs"/>
          <w:sz w:val="27"/>
          <w:rtl/>
          <w:lang w:bidi="ar-LB"/>
        </w:rPr>
        <w:t>َ</w:t>
      </w:r>
      <w:r w:rsidRPr="00282AC9">
        <w:rPr>
          <w:rFonts w:hint="cs"/>
          <w:sz w:val="27"/>
          <w:rtl/>
          <w:lang w:bidi="ar-LB"/>
        </w:rPr>
        <w:t>ق به الحكم العقلي</w:t>
      </w:r>
      <w:r w:rsidR="00621EA0" w:rsidRPr="00282AC9">
        <w:rPr>
          <w:rFonts w:hint="cs"/>
          <w:sz w:val="27"/>
          <w:rtl/>
          <w:lang w:bidi="ar-LB"/>
        </w:rPr>
        <w:t>ّ</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sz w:val="27"/>
          <w:rtl/>
          <w:lang w:bidi="ar-LB"/>
        </w:rPr>
        <w:t>قال المحق</w:t>
      </w:r>
      <w:r w:rsidR="00621EA0" w:rsidRPr="00282AC9">
        <w:rPr>
          <w:rFonts w:hint="cs"/>
          <w:sz w:val="27"/>
          <w:rtl/>
          <w:lang w:bidi="ar-LB"/>
        </w:rPr>
        <w:t>ِّ</w:t>
      </w:r>
      <w:r w:rsidRPr="00282AC9">
        <w:rPr>
          <w:rFonts w:hint="cs"/>
          <w:sz w:val="27"/>
          <w:rtl/>
          <w:lang w:bidi="ar-LB"/>
        </w:rPr>
        <w:t>ق الخراساني</w:t>
      </w:r>
      <w:r w:rsidR="009A2A04" w:rsidRPr="00282AC9">
        <w:rPr>
          <w:rFonts w:cs="Mosawi" w:hint="cs"/>
          <w:sz w:val="22"/>
          <w:szCs w:val="22"/>
          <w:rtl/>
          <w:lang w:bidi="ar-LB"/>
        </w:rPr>
        <w:t>&amp;</w:t>
      </w:r>
      <w:r w:rsidRPr="00282AC9">
        <w:rPr>
          <w:rFonts w:hint="cs"/>
          <w:sz w:val="27"/>
          <w:rtl/>
          <w:lang w:bidi="ar-LB"/>
        </w:rPr>
        <w:t xml:space="preserve"> بهذا الصدد:</w:t>
      </w:r>
      <w:r w:rsidR="00621EA0" w:rsidRPr="00282AC9">
        <w:rPr>
          <w:rFonts w:hint="cs"/>
          <w:sz w:val="27"/>
          <w:rtl/>
          <w:lang w:bidi="ar-LB"/>
        </w:rPr>
        <w:t xml:space="preserve"> </w:t>
      </w:r>
      <w:r w:rsidR="00621EA0" w:rsidRPr="00282AC9">
        <w:rPr>
          <w:rFonts w:hint="eastAsia"/>
          <w:sz w:val="24"/>
          <w:szCs w:val="24"/>
          <w:rtl/>
          <w:lang w:bidi="ar-LB"/>
        </w:rPr>
        <w:t>«</w:t>
      </w:r>
      <w:r w:rsidRPr="00282AC9">
        <w:rPr>
          <w:rFonts w:hint="cs"/>
          <w:b/>
          <w:bCs/>
          <w:sz w:val="27"/>
          <w:rtl/>
          <w:lang w:bidi="ar-LB"/>
        </w:rPr>
        <w:t>فائدة</w:t>
      </w:r>
      <w:r w:rsidR="00621EA0" w:rsidRPr="00282AC9">
        <w:rPr>
          <w:rFonts w:hint="cs"/>
          <w:b/>
          <w:bCs/>
          <w:sz w:val="27"/>
          <w:rtl/>
          <w:lang w:bidi="ar-LB"/>
        </w:rPr>
        <w:t>ٌ</w:t>
      </w:r>
      <w:r w:rsidR="00621EA0" w:rsidRPr="00282AC9">
        <w:rPr>
          <w:rFonts w:hint="cs"/>
          <w:sz w:val="27"/>
          <w:rtl/>
          <w:lang w:bidi="ar-LB"/>
        </w:rPr>
        <w:t>:</w:t>
      </w:r>
      <w:r w:rsidRPr="00282AC9">
        <w:rPr>
          <w:rFonts w:hint="cs"/>
          <w:sz w:val="27"/>
          <w:rtl/>
          <w:lang w:bidi="ar-LB"/>
        </w:rPr>
        <w:t xml:space="preserve"> قد اشتهر بين المتأخ</w:t>
      </w:r>
      <w:r w:rsidR="00621EA0" w:rsidRPr="00282AC9">
        <w:rPr>
          <w:rFonts w:hint="cs"/>
          <w:sz w:val="27"/>
          <w:rtl/>
          <w:lang w:bidi="ar-LB"/>
        </w:rPr>
        <w:t>ِّ</w:t>
      </w:r>
      <w:r w:rsidRPr="00282AC9">
        <w:rPr>
          <w:rFonts w:hint="cs"/>
          <w:sz w:val="27"/>
          <w:rtl/>
          <w:lang w:bidi="ar-LB"/>
        </w:rPr>
        <w:t>رين النزاع في الملازمة بين حكم العقل والشرع، بمعنى</w:t>
      </w:r>
      <w:r w:rsidR="00621EA0" w:rsidRPr="00282AC9">
        <w:rPr>
          <w:rFonts w:hint="cs"/>
          <w:sz w:val="27"/>
          <w:rtl/>
          <w:lang w:bidi="ar-LB"/>
        </w:rPr>
        <w:t xml:space="preserve"> أ</w:t>
      </w:r>
      <w:r w:rsidRPr="00282AC9">
        <w:rPr>
          <w:rFonts w:hint="cs"/>
          <w:sz w:val="27"/>
          <w:rtl/>
          <w:lang w:bidi="ar-LB"/>
        </w:rPr>
        <w:t>ن</w:t>
      </w:r>
      <w:r w:rsidR="00621EA0" w:rsidRPr="00282AC9">
        <w:rPr>
          <w:rFonts w:hint="cs"/>
          <w:sz w:val="27"/>
          <w:rtl/>
          <w:lang w:bidi="ar-LB"/>
        </w:rPr>
        <w:t>ه</w:t>
      </w:r>
      <w:r w:rsidRPr="00282AC9">
        <w:rPr>
          <w:rFonts w:hint="cs"/>
          <w:sz w:val="27"/>
          <w:rtl/>
          <w:lang w:bidi="ar-LB"/>
        </w:rPr>
        <w:t xml:space="preserve"> كلّما يكون تمام ملاك حكم العقل</w:t>
      </w:r>
      <w:r w:rsidR="00621EA0" w:rsidRPr="00282AC9">
        <w:rPr>
          <w:rFonts w:hint="cs"/>
          <w:sz w:val="27"/>
          <w:rtl/>
          <w:lang w:bidi="ar-LB"/>
        </w:rPr>
        <w:t>،</w:t>
      </w:r>
      <w:r w:rsidRPr="00282AC9">
        <w:rPr>
          <w:rFonts w:hint="cs"/>
          <w:sz w:val="27"/>
          <w:rtl/>
          <w:lang w:bidi="ar-LB"/>
        </w:rPr>
        <w:t xml:space="preserve"> بحيث لو اط</w:t>
      </w:r>
      <w:r w:rsidR="00621EA0" w:rsidRPr="00282AC9">
        <w:rPr>
          <w:rFonts w:hint="cs"/>
          <w:sz w:val="27"/>
          <w:rtl/>
          <w:lang w:bidi="ar-LB"/>
        </w:rPr>
        <w:t>ّ</w:t>
      </w:r>
      <w:r w:rsidRPr="00282AC9">
        <w:rPr>
          <w:rFonts w:hint="cs"/>
          <w:sz w:val="27"/>
          <w:rtl/>
          <w:lang w:bidi="ar-LB"/>
        </w:rPr>
        <w:t>لع عليه العقل يحكم بح</w:t>
      </w:r>
      <w:r w:rsidR="00621EA0" w:rsidRPr="00282AC9">
        <w:rPr>
          <w:rFonts w:hint="cs"/>
          <w:sz w:val="27"/>
          <w:rtl/>
          <w:lang w:bidi="ar-LB"/>
        </w:rPr>
        <w:t>ُ</w:t>
      </w:r>
      <w:r w:rsidRPr="00282AC9">
        <w:rPr>
          <w:rFonts w:hint="cs"/>
          <w:sz w:val="27"/>
          <w:rtl/>
          <w:lang w:bidi="ar-LB"/>
        </w:rPr>
        <w:t>س</w:t>
      </w:r>
      <w:r w:rsidR="00621EA0" w:rsidRPr="00282AC9">
        <w:rPr>
          <w:rFonts w:hint="cs"/>
          <w:sz w:val="27"/>
          <w:rtl/>
          <w:lang w:bidi="ar-LB"/>
        </w:rPr>
        <w:t>ْ</w:t>
      </w:r>
      <w:r w:rsidRPr="00282AC9">
        <w:rPr>
          <w:rFonts w:hint="cs"/>
          <w:sz w:val="27"/>
          <w:rtl/>
          <w:lang w:bidi="ar-LB"/>
        </w:rPr>
        <w:t>ن الفعل به أو قبحه، يكون تمام ملاك حكم الشرع</w:t>
      </w:r>
      <w:r w:rsidR="00621EA0" w:rsidRPr="00282AC9">
        <w:rPr>
          <w:rFonts w:hint="cs"/>
          <w:sz w:val="27"/>
          <w:rtl/>
          <w:lang w:bidi="ar-LB"/>
        </w:rPr>
        <w:t>،</w:t>
      </w:r>
      <w:r w:rsidRPr="00282AC9">
        <w:rPr>
          <w:rFonts w:hint="cs"/>
          <w:sz w:val="27"/>
          <w:rtl/>
          <w:lang w:bidi="ar-LB"/>
        </w:rPr>
        <w:t xml:space="preserve"> حت</w:t>
      </w:r>
      <w:r w:rsidR="00621EA0" w:rsidRPr="00282AC9">
        <w:rPr>
          <w:rFonts w:hint="cs"/>
          <w:sz w:val="27"/>
          <w:rtl/>
          <w:lang w:bidi="ar-LB"/>
        </w:rPr>
        <w:t>ّ</w:t>
      </w:r>
      <w:r w:rsidRPr="00282AC9">
        <w:rPr>
          <w:rFonts w:hint="cs"/>
          <w:sz w:val="27"/>
          <w:rtl/>
          <w:lang w:bidi="ar-LB"/>
        </w:rPr>
        <w:t>ى يكون العقل في</w:t>
      </w:r>
      <w:r w:rsidR="00621EA0" w:rsidRPr="00282AC9">
        <w:rPr>
          <w:rFonts w:hint="cs"/>
          <w:sz w:val="27"/>
          <w:rtl/>
          <w:lang w:bidi="ar-LB"/>
        </w:rPr>
        <w:t xml:space="preserve"> </w:t>
      </w:r>
      <w:r w:rsidRPr="00282AC9">
        <w:rPr>
          <w:rFonts w:hint="cs"/>
          <w:sz w:val="27"/>
          <w:rtl/>
          <w:lang w:bidi="ar-LB"/>
        </w:rPr>
        <w:t>ما استقل</w:t>
      </w:r>
      <w:r w:rsidR="00621EA0" w:rsidRPr="00282AC9">
        <w:rPr>
          <w:rFonts w:hint="cs"/>
          <w:sz w:val="27"/>
          <w:rtl/>
          <w:lang w:bidi="ar-LB"/>
        </w:rPr>
        <w:t>ّ</w:t>
      </w:r>
      <w:r w:rsidRPr="00282AC9">
        <w:rPr>
          <w:rFonts w:hint="cs"/>
          <w:sz w:val="27"/>
          <w:rtl/>
          <w:lang w:bidi="ar-LB"/>
        </w:rPr>
        <w:t xml:space="preserve"> به دليلاً عليه وكاشفاً عنه</w:t>
      </w:r>
      <w:r w:rsidR="00621EA0" w:rsidRPr="00282AC9">
        <w:rPr>
          <w:rFonts w:hint="cs"/>
          <w:sz w:val="27"/>
          <w:rtl/>
          <w:lang w:bidi="ar-LB"/>
        </w:rPr>
        <w:t>،</w:t>
      </w:r>
      <w:r w:rsidRPr="00282AC9">
        <w:rPr>
          <w:rFonts w:hint="cs"/>
          <w:sz w:val="27"/>
          <w:rtl/>
          <w:lang w:bidi="ar-LB"/>
        </w:rPr>
        <w:t xml:space="preserve"> أو لا</w:t>
      </w:r>
      <w:r w:rsidR="008C7443" w:rsidRPr="00282AC9">
        <w:rPr>
          <w:rFonts w:hint="cs"/>
          <w:sz w:val="27"/>
          <w:rtl/>
          <w:lang w:bidi="ar-LB"/>
        </w:rPr>
        <w:t>؛</w:t>
      </w:r>
      <w:r w:rsidRPr="00282AC9">
        <w:rPr>
          <w:rFonts w:hint="cs"/>
          <w:sz w:val="27"/>
          <w:rtl/>
          <w:lang w:bidi="ar-LB"/>
        </w:rPr>
        <w:t xml:space="preserve"> كي لا يكون عليه دليلاً</w:t>
      </w:r>
      <w:r w:rsidR="008C7443" w:rsidRPr="00282AC9">
        <w:rPr>
          <w:rFonts w:hint="cs"/>
          <w:sz w:val="27"/>
          <w:rtl/>
          <w:lang w:bidi="ar-LB"/>
        </w:rPr>
        <w:t>؟</w:t>
      </w:r>
      <w:r w:rsidRPr="00282AC9">
        <w:rPr>
          <w:rFonts w:hint="cs"/>
          <w:sz w:val="27"/>
          <w:rtl/>
          <w:lang w:bidi="ar-LB"/>
        </w:rPr>
        <w:t xml:space="preserve"> وهذه الملازمة هي التي تكون مفاد القضيّة المعروفة: (كلّ ما حكم به العقل حكم به الشرع).</w:t>
      </w:r>
    </w:p>
    <w:p w:rsidR="00A9019A" w:rsidRPr="00282AC9" w:rsidRDefault="00A9019A" w:rsidP="00B16272">
      <w:pPr>
        <w:tabs>
          <w:tab w:val="right" w:pos="6930"/>
        </w:tabs>
        <w:suppressAutoHyphens/>
        <w:rPr>
          <w:sz w:val="27"/>
          <w:rtl/>
          <w:lang w:bidi="ar-LB"/>
        </w:rPr>
      </w:pPr>
      <w:r w:rsidRPr="00282AC9">
        <w:rPr>
          <w:rFonts w:hint="cs"/>
          <w:sz w:val="27"/>
          <w:rtl/>
          <w:lang w:bidi="ar-LB"/>
        </w:rPr>
        <w:t>ولا يخف</w:t>
      </w:r>
      <w:r w:rsidR="008C7443" w:rsidRPr="00282AC9">
        <w:rPr>
          <w:rFonts w:hint="cs"/>
          <w:sz w:val="27"/>
          <w:rtl/>
          <w:lang w:bidi="ar-LB"/>
        </w:rPr>
        <w:t>ى</w:t>
      </w:r>
      <w:r w:rsidRPr="00282AC9">
        <w:rPr>
          <w:rFonts w:hint="cs"/>
          <w:sz w:val="27"/>
          <w:rtl/>
          <w:lang w:bidi="ar-LB"/>
        </w:rPr>
        <w:t xml:space="preserve"> أنّ هذه القضية قد </w:t>
      </w:r>
      <w:r w:rsidR="008C7443" w:rsidRPr="00282AC9">
        <w:rPr>
          <w:rFonts w:hint="cs"/>
          <w:sz w:val="27"/>
          <w:rtl/>
          <w:lang w:bidi="ar-LB"/>
        </w:rPr>
        <w:t>تُ</w:t>
      </w:r>
      <w:r w:rsidRPr="00282AC9">
        <w:rPr>
          <w:rFonts w:hint="cs"/>
          <w:sz w:val="27"/>
          <w:rtl/>
          <w:lang w:bidi="ar-LB"/>
        </w:rPr>
        <w:t xml:space="preserve">قال في </w:t>
      </w:r>
      <w:r w:rsidR="008C7443" w:rsidRPr="00282AC9">
        <w:rPr>
          <w:rFonts w:hint="cs"/>
          <w:sz w:val="27"/>
          <w:rtl/>
          <w:lang w:bidi="ar-LB"/>
        </w:rPr>
        <w:t>مقابل</w:t>
      </w:r>
      <w:r w:rsidRPr="00282AC9">
        <w:rPr>
          <w:rFonts w:hint="cs"/>
          <w:sz w:val="27"/>
          <w:rtl/>
          <w:lang w:bidi="ar-LB"/>
        </w:rPr>
        <w:t xml:space="preserve"> م</w:t>
      </w:r>
      <w:r w:rsidR="008C7443" w:rsidRPr="00282AC9">
        <w:rPr>
          <w:rFonts w:hint="cs"/>
          <w:sz w:val="27"/>
          <w:rtl/>
          <w:lang w:bidi="ar-LB"/>
        </w:rPr>
        <w:t>َ</w:t>
      </w:r>
      <w:r w:rsidRPr="00282AC9">
        <w:rPr>
          <w:rFonts w:hint="cs"/>
          <w:sz w:val="27"/>
          <w:rtl/>
          <w:lang w:bidi="ar-LB"/>
        </w:rPr>
        <w:t>ن</w:t>
      </w:r>
      <w:r w:rsidR="008C7443" w:rsidRPr="00282AC9">
        <w:rPr>
          <w:rFonts w:hint="cs"/>
          <w:sz w:val="27"/>
          <w:rtl/>
          <w:lang w:bidi="ar-LB"/>
        </w:rPr>
        <w:t>ْ</w:t>
      </w:r>
      <w:r w:rsidRPr="00282AC9">
        <w:rPr>
          <w:rFonts w:hint="cs"/>
          <w:sz w:val="27"/>
          <w:rtl/>
          <w:lang w:bidi="ar-LB"/>
        </w:rPr>
        <w:t xml:space="preserve"> يرى جواز خلوّ الواقعة عن الحكم الشرعيّ، فيكون المقصود إثبات أصل الحكم الشرعي</w:t>
      </w:r>
      <w:r w:rsidR="008C7443" w:rsidRPr="00282AC9">
        <w:rPr>
          <w:rFonts w:hint="cs"/>
          <w:sz w:val="27"/>
          <w:rtl/>
          <w:lang w:bidi="ar-LB"/>
        </w:rPr>
        <w:t>ّ</w:t>
      </w:r>
      <w:r w:rsidRPr="00282AC9">
        <w:rPr>
          <w:rFonts w:hint="cs"/>
          <w:sz w:val="27"/>
          <w:rtl/>
          <w:lang w:bidi="ar-LB"/>
        </w:rPr>
        <w:t xml:space="preserve">، </w:t>
      </w:r>
      <w:r w:rsidR="008C7443" w:rsidRPr="00282AC9">
        <w:rPr>
          <w:rFonts w:hint="cs"/>
          <w:sz w:val="27"/>
          <w:rtl/>
          <w:lang w:bidi="ar-LB"/>
        </w:rPr>
        <w:t>مقابل</w:t>
      </w:r>
      <w:r w:rsidRPr="00282AC9">
        <w:rPr>
          <w:rFonts w:hint="cs"/>
          <w:sz w:val="27"/>
          <w:rtl/>
          <w:lang w:bidi="ar-LB"/>
        </w:rPr>
        <w:t xml:space="preserve"> </w:t>
      </w:r>
      <w:r w:rsidR="008C7443" w:rsidRPr="00282AC9">
        <w:rPr>
          <w:rFonts w:hint="cs"/>
          <w:sz w:val="27"/>
          <w:rtl/>
          <w:lang w:bidi="ar-LB"/>
        </w:rPr>
        <w:t>مَ</w:t>
      </w:r>
      <w:r w:rsidRPr="00282AC9">
        <w:rPr>
          <w:rFonts w:hint="cs"/>
          <w:sz w:val="27"/>
          <w:rtl/>
          <w:lang w:bidi="ar-LB"/>
        </w:rPr>
        <w:t>ن</w:t>
      </w:r>
      <w:r w:rsidR="008C7443" w:rsidRPr="00282AC9">
        <w:rPr>
          <w:rFonts w:hint="cs"/>
          <w:sz w:val="27"/>
          <w:rtl/>
          <w:lang w:bidi="ar-LB"/>
        </w:rPr>
        <w:t>ْ</w:t>
      </w:r>
      <w:r w:rsidRPr="00282AC9">
        <w:rPr>
          <w:rFonts w:hint="cs"/>
          <w:sz w:val="27"/>
          <w:rtl/>
          <w:lang w:bidi="ar-LB"/>
        </w:rPr>
        <w:t xml:space="preserve"> ينفيه</w:t>
      </w:r>
      <w:r w:rsidR="008C7443" w:rsidRPr="00282AC9">
        <w:rPr>
          <w:rFonts w:hint="cs"/>
          <w:sz w:val="27"/>
          <w:rtl/>
          <w:lang w:bidi="ar-LB"/>
        </w:rPr>
        <w:t>.</w:t>
      </w:r>
      <w:r w:rsidRPr="00282AC9">
        <w:rPr>
          <w:rFonts w:hint="cs"/>
          <w:sz w:val="27"/>
          <w:rtl/>
          <w:lang w:bidi="ar-LB"/>
        </w:rPr>
        <w:t xml:space="preserve"> فإثبات المطابقة غير ملحوظة</w:t>
      </w:r>
      <w:r w:rsidR="008C7443" w:rsidRPr="00282AC9">
        <w:rPr>
          <w:rFonts w:hint="cs"/>
          <w:sz w:val="27"/>
          <w:rtl/>
          <w:lang w:bidi="ar-LB"/>
        </w:rPr>
        <w:t>ٍ</w:t>
      </w:r>
      <w:r w:rsidRPr="00282AC9">
        <w:rPr>
          <w:rFonts w:hint="cs"/>
          <w:sz w:val="27"/>
          <w:rtl/>
          <w:lang w:bidi="ar-LB"/>
        </w:rPr>
        <w:t xml:space="preserve"> أصالة</w:t>
      </w:r>
      <w:r w:rsidR="008C7443" w:rsidRPr="00282AC9">
        <w:rPr>
          <w:rFonts w:hint="cs"/>
          <w:sz w:val="27"/>
          <w:rtl/>
          <w:lang w:bidi="ar-LB"/>
        </w:rPr>
        <w:t>ً.</w:t>
      </w:r>
      <w:r w:rsidRPr="00282AC9">
        <w:rPr>
          <w:rFonts w:hint="cs"/>
          <w:sz w:val="27"/>
          <w:rtl/>
          <w:lang w:bidi="ar-LB"/>
        </w:rPr>
        <w:t xml:space="preserve"> وقد ي</w:t>
      </w:r>
      <w:r w:rsidR="008C7443" w:rsidRPr="00282AC9">
        <w:rPr>
          <w:rFonts w:hint="cs"/>
          <w:sz w:val="27"/>
          <w:rtl/>
          <w:lang w:bidi="ar-LB"/>
        </w:rPr>
        <w:t>ُ</w:t>
      </w:r>
      <w:r w:rsidRPr="00282AC9">
        <w:rPr>
          <w:rFonts w:hint="cs"/>
          <w:sz w:val="27"/>
          <w:rtl/>
          <w:lang w:bidi="ar-LB"/>
        </w:rPr>
        <w:t xml:space="preserve">قال في </w:t>
      </w:r>
      <w:r w:rsidR="008C7443" w:rsidRPr="00282AC9">
        <w:rPr>
          <w:rFonts w:hint="cs"/>
          <w:sz w:val="27"/>
          <w:rtl/>
          <w:lang w:bidi="ar-LB"/>
        </w:rPr>
        <w:t>مقابل</w:t>
      </w:r>
      <w:r w:rsidRPr="00282AC9">
        <w:rPr>
          <w:rFonts w:hint="cs"/>
          <w:sz w:val="27"/>
          <w:rtl/>
          <w:lang w:bidi="ar-LB"/>
        </w:rPr>
        <w:t xml:space="preserve"> م</w:t>
      </w:r>
      <w:r w:rsidR="008C7443" w:rsidRPr="00282AC9">
        <w:rPr>
          <w:rFonts w:hint="cs"/>
          <w:sz w:val="27"/>
          <w:rtl/>
          <w:lang w:bidi="ar-LB"/>
        </w:rPr>
        <w:t>َ</w:t>
      </w:r>
      <w:r w:rsidRPr="00282AC9">
        <w:rPr>
          <w:rFonts w:hint="cs"/>
          <w:sz w:val="27"/>
          <w:rtl/>
          <w:lang w:bidi="ar-LB"/>
        </w:rPr>
        <w:t>ن</w:t>
      </w:r>
      <w:r w:rsidR="008C7443" w:rsidRPr="00282AC9">
        <w:rPr>
          <w:rFonts w:hint="cs"/>
          <w:sz w:val="27"/>
          <w:rtl/>
          <w:lang w:bidi="ar-LB"/>
        </w:rPr>
        <w:t>ْ</w:t>
      </w:r>
      <w:r w:rsidRPr="00282AC9">
        <w:rPr>
          <w:rFonts w:hint="cs"/>
          <w:sz w:val="27"/>
          <w:rtl/>
          <w:lang w:bidi="ar-LB"/>
        </w:rPr>
        <w:t xml:space="preserve"> يرى صحّة حكم الشرع على خلاف حكم العقل، فيكون المقصود بها إثبات المطابقة بعد الفراغ عن ثبوت الحكم الشرعي</w:t>
      </w:r>
      <w:r w:rsidR="008C7443" w:rsidRPr="00282AC9">
        <w:rPr>
          <w:rFonts w:hint="cs"/>
          <w:sz w:val="27"/>
          <w:rtl/>
          <w:lang w:bidi="ar-LB"/>
        </w:rPr>
        <w:t>ّ</w:t>
      </w:r>
      <w:r w:rsidRPr="00282AC9">
        <w:rPr>
          <w:rFonts w:hint="cs"/>
          <w:sz w:val="27"/>
          <w:rtl/>
          <w:lang w:bidi="ar-LB"/>
        </w:rPr>
        <w:t xml:space="preserve"> فيها</w:t>
      </w:r>
      <w:r w:rsidRPr="00282AC9">
        <w:rPr>
          <w:rFonts w:hint="cs"/>
          <w:sz w:val="27"/>
          <w:vertAlign w:val="superscript"/>
          <w:rtl/>
          <w:lang w:bidi="ar-LB"/>
        </w:rPr>
        <w:t>(</w:t>
      </w:r>
      <w:r w:rsidRPr="00282AC9">
        <w:rPr>
          <w:rStyle w:val="af9"/>
          <w:sz w:val="27"/>
          <w:rtl/>
          <w:lang w:bidi="ar-LB"/>
        </w:rPr>
        <w:endnoteReference w:id="28"/>
      </w:r>
      <w:r w:rsidRPr="00282AC9">
        <w:rPr>
          <w:sz w:val="27"/>
          <w:vertAlign w:val="superscript"/>
          <w:rtl/>
          <w:lang w:bidi="ar-LB"/>
        </w:rPr>
        <w:t>)</w:t>
      </w:r>
      <w:r w:rsidRPr="00282AC9">
        <w:rPr>
          <w:rFonts w:hint="cs"/>
          <w:sz w:val="27"/>
          <w:rtl/>
          <w:lang w:bidi="ar-LB"/>
        </w:rPr>
        <w:t xml:space="preserve">. </w:t>
      </w:r>
    </w:p>
    <w:p w:rsidR="00A9019A" w:rsidRPr="00282AC9" w:rsidRDefault="00A9019A" w:rsidP="00B16272">
      <w:pPr>
        <w:tabs>
          <w:tab w:val="right" w:pos="6930"/>
        </w:tabs>
        <w:suppressAutoHyphens/>
        <w:rPr>
          <w:sz w:val="27"/>
          <w:rtl/>
          <w:lang w:bidi="ar-LB"/>
        </w:rPr>
      </w:pPr>
      <w:r w:rsidRPr="00282AC9">
        <w:rPr>
          <w:rFonts w:hint="cs"/>
          <w:sz w:val="27"/>
          <w:rtl/>
          <w:lang w:bidi="ar-LB"/>
        </w:rPr>
        <w:t>ولا يخف</w:t>
      </w:r>
      <w:r w:rsidR="008C7443" w:rsidRPr="00282AC9">
        <w:rPr>
          <w:rFonts w:hint="cs"/>
          <w:sz w:val="27"/>
          <w:rtl/>
          <w:lang w:bidi="ar-LB"/>
        </w:rPr>
        <w:t>ى على الناقد البصير أن</w:t>
      </w:r>
      <w:r w:rsidRPr="00282AC9">
        <w:rPr>
          <w:rFonts w:hint="cs"/>
          <w:sz w:val="27"/>
          <w:rtl/>
          <w:lang w:bidi="ar-LB"/>
        </w:rPr>
        <w:t xml:space="preserve"> التمايز بين الجهتين إنّما هو بمجرد اللحاظ، بمعنى أنّ النظر مقصور</w:t>
      </w:r>
      <w:r w:rsidR="008C7443" w:rsidRPr="00282AC9">
        <w:rPr>
          <w:rFonts w:hint="cs"/>
          <w:sz w:val="27"/>
          <w:rtl/>
          <w:lang w:bidi="ar-LB"/>
        </w:rPr>
        <w:t>ٌ</w:t>
      </w:r>
      <w:r w:rsidRPr="00282AC9">
        <w:rPr>
          <w:rFonts w:hint="cs"/>
          <w:sz w:val="27"/>
          <w:rtl/>
          <w:lang w:bidi="ar-LB"/>
        </w:rPr>
        <w:t xml:space="preserve"> في الجهة الأولى على إثبا</w:t>
      </w:r>
      <w:r w:rsidR="008C7443" w:rsidRPr="00282AC9">
        <w:rPr>
          <w:rFonts w:hint="cs"/>
          <w:sz w:val="27"/>
          <w:rtl/>
          <w:lang w:bidi="ar-LB"/>
        </w:rPr>
        <w:t>ت أن</w:t>
      </w:r>
      <w:r w:rsidRPr="00282AC9">
        <w:rPr>
          <w:rFonts w:hint="cs"/>
          <w:sz w:val="27"/>
          <w:rtl/>
          <w:lang w:bidi="ar-LB"/>
        </w:rPr>
        <w:t xml:space="preserve"> للشرع حكماً شرعيّاً في كلّ واقعة</w:t>
      </w:r>
      <w:r w:rsidR="008C7443" w:rsidRPr="00282AC9">
        <w:rPr>
          <w:rFonts w:hint="cs"/>
          <w:sz w:val="27"/>
          <w:rtl/>
          <w:lang w:bidi="ar-LB"/>
        </w:rPr>
        <w:t>ٍ.</w:t>
      </w:r>
      <w:r w:rsidRPr="00282AC9">
        <w:rPr>
          <w:rFonts w:hint="cs"/>
          <w:sz w:val="27"/>
          <w:rtl/>
          <w:lang w:bidi="ar-LB"/>
        </w:rPr>
        <w:t xml:space="preserve"> ويستدل</w:t>
      </w:r>
      <w:r w:rsidR="008C7443" w:rsidRPr="00282AC9">
        <w:rPr>
          <w:rFonts w:hint="cs"/>
          <w:sz w:val="27"/>
          <w:rtl/>
          <w:lang w:bidi="ar-LB"/>
        </w:rPr>
        <w:t>ّ</w:t>
      </w:r>
      <w:r w:rsidRPr="00282AC9">
        <w:rPr>
          <w:rFonts w:hint="cs"/>
          <w:sz w:val="27"/>
          <w:rtl/>
          <w:lang w:bidi="ar-LB"/>
        </w:rPr>
        <w:t xml:space="preserve"> على ذلك بالملازمة بين الح</w:t>
      </w:r>
      <w:r w:rsidR="008C7443" w:rsidRPr="00282AC9">
        <w:rPr>
          <w:rFonts w:hint="cs"/>
          <w:sz w:val="27"/>
          <w:rtl/>
          <w:lang w:bidi="ar-LB"/>
        </w:rPr>
        <w:t>ُ</w:t>
      </w:r>
      <w:r w:rsidRPr="00282AC9">
        <w:rPr>
          <w:rFonts w:hint="cs"/>
          <w:sz w:val="27"/>
          <w:rtl/>
          <w:lang w:bidi="ar-LB"/>
        </w:rPr>
        <w:t>س</w:t>
      </w:r>
      <w:r w:rsidR="008C7443" w:rsidRPr="00282AC9">
        <w:rPr>
          <w:rFonts w:hint="cs"/>
          <w:sz w:val="27"/>
          <w:rtl/>
          <w:lang w:bidi="ar-LB"/>
        </w:rPr>
        <w:t>ْ</w:t>
      </w:r>
      <w:r w:rsidRPr="00282AC9">
        <w:rPr>
          <w:rFonts w:hint="cs"/>
          <w:sz w:val="27"/>
          <w:rtl/>
          <w:lang w:bidi="ar-LB"/>
        </w:rPr>
        <w:t>ن والق</w:t>
      </w:r>
      <w:r w:rsidR="008C7443" w:rsidRPr="00282AC9">
        <w:rPr>
          <w:rFonts w:hint="cs"/>
          <w:sz w:val="27"/>
          <w:rtl/>
          <w:lang w:bidi="ar-LB"/>
        </w:rPr>
        <w:t>ُ</w:t>
      </w:r>
      <w:r w:rsidRPr="00282AC9">
        <w:rPr>
          <w:rFonts w:hint="cs"/>
          <w:sz w:val="27"/>
          <w:rtl/>
          <w:lang w:bidi="ar-LB"/>
        </w:rPr>
        <w:t>ب</w:t>
      </w:r>
      <w:r w:rsidR="008C7443" w:rsidRPr="00282AC9">
        <w:rPr>
          <w:rFonts w:hint="cs"/>
          <w:sz w:val="27"/>
          <w:rtl/>
          <w:lang w:bidi="ar-LB"/>
        </w:rPr>
        <w:t>ْ</w:t>
      </w:r>
      <w:r w:rsidRPr="00282AC9">
        <w:rPr>
          <w:rFonts w:hint="cs"/>
          <w:sz w:val="27"/>
          <w:rtl/>
          <w:lang w:bidi="ar-LB"/>
        </w:rPr>
        <w:t xml:space="preserve">ح الذاتيين للأشياء وبين الإرادة والكراهة، حيث </w:t>
      </w:r>
      <w:r w:rsidR="008C7443" w:rsidRPr="00282AC9">
        <w:rPr>
          <w:rFonts w:hint="cs"/>
          <w:sz w:val="27"/>
          <w:rtl/>
          <w:lang w:bidi="ar-LB"/>
        </w:rPr>
        <w:t>إ</w:t>
      </w:r>
      <w:r w:rsidRPr="00282AC9">
        <w:rPr>
          <w:rFonts w:hint="cs"/>
          <w:sz w:val="27"/>
          <w:rtl/>
          <w:lang w:bidi="ar-LB"/>
        </w:rPr>
        <w:t>نّ الواقعة لا تخلو من حكم</w:t>
      </w:r>
      <w:r w:rsidR="008C7443" w:rsidRPr="00282AC9">
        <w:rPr>
          <w:rFonts w:hint="cs"/>
          <w:sz w:val="27"/>
          <w:rtl/>
          <w:lang w:bidi="ar-LB"/>
        </w:rPr>
        <w:t>ٍ</w:t>
      </w:r>
      <w:r w:rsidRPr="00282AC9">
        <w:rPr>
          <w:rFonts w:hint="cs"/>
          <w:sz w:val="27"/>
          <w:rtl/>
          <w:lang w:bidi="ar-LB"/>
        </w:rPr>
        <w:t xml:space="preserve"> عقليّ</w:t>
      </w:r>
      <w:r w:rsidR="008C7443" w:rsidRPr="00282AC9">
        <w:rPr>
          <w:rFonts w:hint="cs"/>
          <w:sz w:val="27"/>
          <w:rtl/>
          <w:lang w:bidi="ar-LB"/>
        </w:rPr>
        <w:t>،</w:t>
      </w:r>
      <w:r w:rsidRPr="00282AC9">
        <w:rPr>
          <w:rFonts w:hint="cs"/>
          <w:sz w:val="27"/>
          <w:rtl/>
          <w:lang w:bidi="ar-LB"/>
        </w:rPr>
        <w:t xml:space="preserve"> وهو الح</w:t>
      </w:r>
      <w:r w:rsidR="008C7443" w:rsidRPr="00282AC9">
        <w:rPr>
          <w:rFonts w:hint="cs"/>
          <w:sz w:val="27"/>
          <w:rtl/>
          <w:lang w:bidi="ar-LB"/>
        </w:rPr>
        <w:t>ُ</w:t>
      </w:r>
      <w:r w:rsidRPr="00282AC9">
        <w:rPr>
          <w:rFonts w:hint="cs"/>
          <w:sz w:val="27"/>
          <w:rtl/>
          <w:lang w:bidi="ar-LB"/>
        </w:rPr>
        <w:t>س</w:t>
      </w:r>
      <w:r w:rsidR="008C7443" w:rsidRPr="00282AC9">
        <w:rPr>
          <w:rFonts w:hint="cs"/>
          <w:sz w:val="27"/>
          <w:rtl/>
          <w:lang w:bidi="ar-LB"/>
        </w:rPr>
        <w:t>ْ</w:t>
      </w:r>
      <w:r w:rsidRPr="00282AC9">
        <w:rPr>
          <w:rFonts w:hint="cs"/>
          <w:sz w:val="27"/>
          <w:rtl/>
          <w:lang w:bidi="ar-LB"/>
        </w:rPr>
        <w:t>ن أو الق</w:t>
      </w:r>
      <w:r w:rsidR="008C7443" w:rsidRPr="00282AC9">
        <w:rPr>
          <w:rFonts w:hint="cs"/>
          <w:sz w:val="27"/>
          <w:rtl/>
          <w:lang w:bidi="ar-LB"/>
        </w:rPr>
        <w:t>ُ</w:t>
      </w:r>
      <w:r w:rsidRPr="00282AC9">
        <w:rPr>
          <w:rFonts w:hint="cs"/>
          <w:sz w:val="27"/>
          <w:rtl/>
          <w:lang w:bidi="ar-LB"/>
        </w:rPr>
        <w:t>ب</w:t>
      </w:r>
      <w:r w:rsidR="008C7443" w:rsidRPr="00282AC9">
        <w:rPr>
          <w:rFonts w:hint="cs"/>
          <w:sz w:val="27"/>
          <w:rtl/>
          <w:lang w:bidi="ar-LB"/>
        </w:rPr>
        <w:t>ْ</w:t>
      </w:r>
      <w:r w:rsidRPr="00282AC9">
        <w:rPr>
          <w:rFonts w:hint="cs"/>
          <w:sz w:val="27"/>
          <w:rtl/>
          <w:lang w:bidi="ar-LB"/>
        </w:rPr>
        <w:t>ح، فكذا من الشرعي</w:t>
      </w:r>
      <w:r w:rsidR="008C7443" w:rsidRPr="00282AC9">
        <w:rPr>
          <w:rFonts w:hint="cs"/>
          <w:sz w:val="27"/>
          <w:rtl/>
          <w:lang w:bidi="ar-LB"/>
        </w:rPr>
        <w:t>ّ.</w:t>
      </w:r>
      <w:r w:rsidRPr="00282AC9">
        <w:rPr>
          <w:rFonts w:hint="cs"/>
          <w:sz w:val="27"/>
          <w:rtl/>
          <w:lang w:bidi="ar-LB"/>
        </w:rPr>
        <w:t xml:space="preserve"> ومن الواضح أنّ هذه الملازمة إذا تمّ</w:t>
      </w:r>
      <w:r w:rsidR="008C7443" w:rsidRPr="00282AC9">
        <w:rPr>
          <w:rFonts w:hint="cs"/>
          <w:sz w:val="27"/>
          <w:rtl/>
          <w:lang w:bidi="ar-LB"/>
        </w:rPr>
        <w:t>َ</w:t>
      </w:r>
      <w:r w:rsidRPr="00282AC9">
        <w:rPr>
          <w:rFonts w:hint="cs"/>
          <w:sz w:val="27"/>
          <w:rtl/>
          <w:lang w:bidi="ar-LB"/>
        </w:rPr>
        <w:t>ت</w:t>
      </w:r>
      <w:r w:rsidR="008C7443" w:rsidRPr="00282AC9">
        <w:rPr>
          <w:rFonts w:hint="cs"/>
          <w:sz w:val="27"/>
          <w:rtl/>
          <w:lang w:bidi="ar-LB"/>
        </w:rPr>
        <w:t>ْ</w:t>
      </w:r>
      <w:r w:rsidRPr="00282AC9">
        <w:rPr>
          <w:rFonts w:hint="cs"/>
          <w:sz w:val="27"/>
          <w:rtl/>
          <w:lang w:bidi="ar-LB"/>
        </w:rPr>
        <w:t xml:space="preserve"> فسوف تثبت بها المطابقة بين </w:t>
      </w:r>
      <w:r w:rsidRPr="00282AC9">
        <w:rPr>
          <w:rFonts w:hint="cs"/>
          <w:sz w:val="27"/>
          <w:rtl/>
          <w:lang w:bidi="ar-LB"/>
        </w:rPr>
        <w:lastRenderedPageBreak/>
        <w:t>الحكم الشرعي</w:t>
      </w:r>
      <w:r w:rsidR="008C7443" w:rsidRPr="00282AC9">
        <w:rPr>
          <w:rFonts w:hint="cs"/>
          <w:sz w:val="27"/>
          <w:rtl/>
          <w:lang w:bidi="ar-LB"/>
        </w:rPr>
        <w:t>ّ</w:t>
      </w:r>
      <w:r w:rsidRPr="00282AC9">
        <w:rPr>
          <w:rFonts w:hint="cs"/>
          <w:sz w:val="27"/>
          <w:rtl/>
          <w:lang w:bidi="ar-LB"/>
        </w:rPr>
        <w:t xml:space="preserve"> والعقلي</w:t>
      </w:r>
      <w:r w:rsidR="008C7443" w:rsidRPr="00282AC9">
        <w:rPr>
          <w:rFonts w:hint="cs"/>
          <w:sz w:val="27"/>
          <w:rtl/>
          <w:lang w:bidi="ar-LB"/>
        </w:rPr>
        <w:t>ّ</w:t>
      </w:r>
      <w:r w:rsidRPr="00282AC9">
        <w:rPr>
          <w:rFonts w:hint="cs"/>
          <w:sz w:val="27"/>
          <w:rtl/>
          <w:lang w:bidi="ar-LB"/>
        </w:rPr>
        <w:t xml:space="preserve"> أيضاً</w:t>
      </w:r>
      <w:r w:rsidR="008C7443" w:rsidRPr="00282AC9">
        <w:rPr>
          <w:rFonts w:hint="cs"/>
          <w:sz w:val="27"/>
          <w:rtl/>
          <w:lang w:bidi="ar-LB"/>
        </w:rPr>
        <w:t>؛ لأنّ العقل إن</w:t>
      </w:r>
      <w:r w:rsidRPr="00282AC9">
        <w:rPr>
          <w:rFonts w:hint="cs"/>
          <w:sz w:val="27"/>
          <w:rtl/>
          <w:lang w:bidi="ar-LB"/>
        </w:rPr>
        <w:t>ما يدرك لزوم تعلّ</w:t>
      </w:r>
      <w:r w:rsidR="008C7443" w:rsidRPr="00282AC9">
        <w:rPr>
          <w:rFonts w:hint="cs"/>
          <w:sz w:val="27"/>
          <w:rtl/>
          <w:lang w:bidi="ar-LB"/>
        </w:rPr>
        <w:t>ُ</w:t>
      </w:r>
      <w:r w:rsidRPr="00282AC9">
        <w:rPr>
          <w:rFonts w:hint="cs"/>
          <w:sz w:val="27"/>
          <w:rtl/>
          <w:lang w:bidi="ar-LB"/>
        </w:rPr>
        <w:t>ق الإرادة الشرعية بنفس ما هو ح</w:t>
      </w:r>
      <w:r w:rsidR="008C7443" w:rsidRPr="00282AC9">
        <w:rPr>
          <w:rFonts w:hint="cs"/>
          <w:sz w:val="27"/>
          <w:rtl/>
          <w:lang w:bidi="ar-LB"/>
        </w:rPr>
        <w:t>َ</w:t>
      </w:r>
      <w:r w:rsidRPr="00282AC9">
        <w:rPr>
          <w:rFonts w:hint="cs"/>
          <w:sz w:val="27"/>
          <w:rtl/>
          <w:lang w:bidi="ar-LB"/>
        </w:rPr>
        <w:t>س</w:t>
      </w:r>
      <w:r w:rsidR="008C7443" w:rsidRPr="00282AC9">
        <w:rPr>
          <w:rFonts w:hint="cs"/>
          <w:sz w:val="27"/>
          <w:rtl/>
          <w:lang w:bidi="ar-LB"/>
        </w:rPr>
        <w:t>َ</w:t>
      </w:r>
      <w:r w:rsidRPr="00282AC9">
        <w:rPr>
          <w:rFonts w:hint="cs"/>
          <w:sz w:val="27"/>
          <w:rtl/>
          <w:lang w:bidi="ar-LB"/>
        </w:rPr>
        <w:t>ن عقلاً، وتعلّ</w:t>
      </w:r>
      <w:r w:rsidR="008C7443" w:rsidRPr="00282AC9">
        <w:rPr>
          <w:rFonts w:hint="cs"/>
          <w:sz w:val="27"/>
          <w:rtl/>
          <w:lang w:bidi="ar-LB"/>
        </w:rPr>
        <w:t>ُ</w:t>
      </w:r>
      <w:r w:rsidRPr="00282AC9">
        <w:rPr>
          <w:rFonts w:hint="cs"/>
          <w:sz w:val="27"/>
          <w:rtl/>
          <w:lang w:bidi="ar-LB"/>
        </w:rPr>
        <w:t>ق الكراهة بنفس ما هو قبيح</w:t>
      </w:r>
      <w:r w:rsidR="008C7443" w:rsidRPr="00282AC9">
        <w:rPr>
          <w:rFonts w:hint="cs"/>
          <w:sz w:val="27"/>
          <w:rtl/>
          <w:lang w:bidi="ar-LB"/>
        </w:rPr>
        <w:t>ٌ</w:t>
      </w:r>
      <w:r w:rsidRPr="00282AC9">
        <w:rPr>
          <w:rFonts w:hint="cs"/>
          <w:sz w:val="27"/>
          <w:rtl/>
          <w:lang w:bidi="ar-LB"/>
        </w:rPr>
        <w:t xml:space="preserve"> عقلاً</w:t>
      </w:r>
      <w:r w:rsidR="00D5051C" w:rsidRPr="00282AC9">
        <w:rPr>
          <w:rFonts w:hint="cs"/>
          <w:sz w:val="27"/>
          <w:rtl/>
          <w:lang w:bidi="ar-LB"/>
        </w:rPr>
        <w:t>.</w:t>
      </w:r>
      <w:r w:rsidRPr="00282AC9">
        <w:rPr>
          <w:rFonts w:hint="cs"/>
          <w:sz w:val="27"/>
          <w:rtl/>
          <w:lang w:bidi="ar-LB"/>
        </w:rPr>
        <w:t xml:space="preserve"> إلاّ أنّ هذه المطابقة غير ملحوظة</w:t>
      </w:r>
      <w:r w:rsidR="00D5051C" w:rsidRPr="00282AC9">
        <w:rPr>
          <w:rFonts w:hint="cs"/>
          <w:sz w:val="27"/>
          <w:rtl/>
          <w:lang w:bidi="ar-LB"/>
        </w:rPr>
        <w:t>ٍ</w:t>
      </w:r>
      <w:r w:rsidRPr="00282AC9">
        <w:rPr>
          <w:rFonts w:hint="cs"/>
          <w:sz w:val="27"/>
          <w:rtl/>
          <w:lang w:bidi="ar-LB"/>
        </w:rPr>
        <w:t xml:space="preserve"> في هذه الجهة</w:t>
      </w:r>
      <w:r w:rsidR="00D5051C" w:rsidRPr="00282AC9">
        <w:rPr>
          <w:rFonts w:hint="cs"/>
          <w:sz w:val="27"/>
          <w:rtl/>
          <w:lang w:bidi="ar-LB"/>
        </w:rPr>
        <w:t>،</w:t>
      </w:r>
      <w:r w:rsidRPr="00282AC9">
        <w:rPr>
          <w:rFonts w:hint="cs"/>
          <w:sz w:val="27"/>
          <w:rtl/>
          <w:lang w:bidi="ar-LB"/>
        </w:rPr>
        <w:t xml:space="preserve"> ولا يراد إثباتها فيها، وإنّما المقصود إثبات أنّ للشرع حكماً في كلّ مورد</w:t>
      </w:r>
      <w:r w:rsidR="00D5051C" w:rsidRPr="00282AC9">
        <w:rPr>
          <w:rFonts w:hint="cs"/>
          <w:sz w:val="27"/>
          <w:rtl/>
          <w:lang w:bidi="ar-LB"/>
        </w:rPr>
        <w:t>ٍ</w:t>
      </w:r>
      <w:r w:rsidRPr="00282AC9">
        <w:rPr>
          <w:rFonts w:hint="cs"/>
          <w:sz w:val="27"/>
          <w:rtl/>
          <w:lang w:bidi="ar-LB"/>
        </w:rPr>
        <w:t xml:space="preserve"> يكون للعقل فيه حكم</w:t>
      </w:r>
      <w:r w:rsidR="00D5051C" w:rsidRPr="00282AC9">
        <w:rPr>
          <w:rFonts w:hint="cs"/>
          <w:sz w:val="27"/>
          <w:rtl/>
          <w:lang w:bidi="ar-LB"/>
        </w:rPr>
        <w:t>ٌ.</w:t>
      </w:r>
      <w:r w:rsidRPr="00282AC9">
        <w:rPr>
          <w:rFonts w:hint="cs"/>
          <w:sz w:val="27"/>
          <w:rtl/>
          <w:lang w:bidi="ar-LB"/>
        </w:rPr>
        <w:t xml:space="preserve"> وهذا كلّه بخلاف الجهة الثانية</w:t>
      </w:r>
      <w:r w:rsidR="00D5051C" w:rsidRPr="00282AC9">
        <w:rPr>
          <w:rFonts w:hint="cs"/>
          <w:sz w:val="27"/>
          <w:rtl/>
          <w:lang w:bidi="ar-LB"/>
        </w:rPr>
        <w:t>؛ فإن</w:t>
      </w:r>
      <w:r w:rsidRPr="00282AC9">
        <w:rPr>
          <w:rFonts w:hint="cs"/>
          <w:sz w:val="27"/>
          <w:rtl/>
          <w:lang w:bidi="ar-LB"/>
        </w:rPr>
        <w:t xml:space="preserve"> المطلوب فيها إثبات المطابقة.</w:t>
      </w:r>
    </w:p>
    <w:p w:rsidR="00A9019A" w:rsidRPr="00282AC9" w:rsidRDefault="00A9019A" w:rsidP="00B16272">
      <w:pPr>
        <w:tabs>
          <w:tab w:val="right" w:pos="6930"/>
        </w:tabs>
        <w:suppressAutoHyphens/>
        <w:rPr>
          <w:sz w:val="27"/>
          <w:rtl/>
          <w:lang w:bidi="ar-LB"/>
        </w:rPr>
      </w:pPr>
      <w:r w:rsidRPr="00282AC9">
        <w:rPr>
          <w:rFonts w:hint="cs"/>
          <w:sz w:val="27"/>
          <w:rtl/>
          <w:lang w:bidi="ar-LB"/>
        </w:rPr>
        <w:t>والحاصل</w:t>
      </w:r>
      <w:r w:rsidR="00D5051C" w:rsidRPr="00282AC9">
        <w:rPr>
          <w:rFonts w:hint="cs"/>
          <w:sz w:val="27"/>
          <w:rtl/>
          <w:lang w:bidi="ar-LB"/>
        </w:rPr>
        <w:t>ُ أن</w:t>
      </w:r>
      <w:r w:rsidRPr="00282AC9">
        <w:rPr>
          <w:rFonts w:hint="cs"/>
          <w:sz w:val="27"/>
          <w:rtl/>
          <w:lang w:bidi="ar-LB"/>
        </w:rPr>
        <w:t xml:space="preserve"> الطريقة العقلية الأولى لإثبات القاعدة دعو</w:t>
      </w:r>
      <w:r w:rsidR="00D5051C" w:rsidRPr="00282AC9">
        <w:rPr>
          <w:rFonts w:hint="cs"/>
          <w:sz w:val="27"/>
          <w:rtl/>
          <w:lang w:bidi="ar-LB"/>
        </w:rPr>
        <w:t>ى</w:t>
      </w:r>
      <w:r w:rsidRPr="00282AC9">
        <w:rPr>
          <w:rFonts w:hint="cs"/>
          <w:sz w:val="27"/>
          <w:rtl/>
          <w:lang w:bidi="ar-LB"/>
        </w:rPr>
        <w:t xml:space="preserve"> الملازمة بين الح</w:t>
      </w:r>
      <w:r w:rsidR="00D5051C" w:rsidRPr="00282AC9">
        <w:rPr>
          <w:rFonts w:hint="cs"/>
          <w:sz w:val="27"/>
          <w:rtl/>
          <w:lang w:bidi="ar-LB"/>
        </w:rPr>
        <w:t>ُ</w:t>
      </w:r>
      <w:r w:rsidRPr="00282AC9">
        <w:rPr>
          <w:rFonts w:hint="cs"/>
          <w:sz w:val="27"/>
          <w:rtl/>
          <w:lang w:bidi="ar-LB"/>
        </w:rPr>
        <w:t>س</w:t>
      </w:r>
      <w:r w:rsidR="00D5051C" w:rsidRPr="00282AC9">
        <w:rPr>
          <w:rFonts w:hint="cs"/>
          <w:sz w:val="27"/>
          <w:rtl/>
          <w:lang w:bidi="ar-LB"/>
        </w:rPr>
        <w:t>ْ</w:t>
      </w:r>
      <w:r w:rsidRPr="00282AC9">
        <w:rPr>
          <w:rFonts w:hint="cs"/>
          <w:sz w:val="27"/>
          <w:rtl/>
          <w:lang w:bidi="ar-LB"/>
        </w:rPr>
        <w:t>ن والق</w:t>
      </w:r>
      <w:r w:rsidR="00D5051C" w:rsidRPr="00282AC9">
        <w:rPr>
          <w:rFonts w:hint="cs"/>
          <w:sz w:val="27"/>
          <w:rtl/>
          <w:lang w:bidi="ar-LB"/>
        </w:rPr>
        <w:t>ُ</w:t>
      </w:r>
      <w:r w:rsidRPr="00282AC9">
        <w:rPr>
          <w:rFonts w:hint="cs"/>
          <w:sz w:val="27"/>
          <w:rtl/>
          <w:lang w:bidi="ar-LB"/>
        </w:rPr>
        <w:t>ب</w:t>
      </w:r>
      <w:r w:rsidR="00D5051C" w:rsidRPr="00282AC9">
        <w:rPr>
          <w:rFonts w:hint="cs"/>
          <w:sz w:val="27"/>
          <w:rtl/>
          <w:lang w:bidi="ar-LB"/>
        </w:rPr>
        <w:t>ْ</w:t>
      </w:r>
      <w:r w:rsidRPr="00282AC9">
        <w:rPr>
          <w:rFonts w:hint="cs"/>
          <w:sz w:val="27"/>
          <w:rtl/>
          <w:lang w:bidi="ar-LB"/>
        </w:rPr>
        <w:t>ح الذاتيين للأشياء وبين تعلّ</w:t>
      </w:r>
      <w:r w:rsidR="00D5051C" w:rsidRPr="00282AC9">
        <w:rPr>
          <w:rFonts w:hint="cs"/>
          <w:sz w:val="27"/>
          <w:rtl/>
          <w:lang w:bidi="ar-LB"/>
        </w:rPr>
        <w:t>ُ</w:t>
      </w:r>
      <w:r w:rsidRPr="00282AC9">
        <w:rPr>
          <w:rFonts w:hint="cs"/>
          <w:sz w:val="27"/>
          <w:rtl/>
          <w:lang w:bidi="ar-LB"/>
        </w:rPr>
        <w:t>ق الإرادة بها والكراهة؛ لوضوح أنّ العاقل إذا التفت</w:t>
      </w:r>
      <w:r w:rsidR="005053B3" w:rsidRPr="00282AC9">
        <w:rPr>
          <w:rFonts w:hint="cs"/>
          <w:sz w:val="27"/>
          <w:rtl/>
          <w:lang w:bidi="ar-LB"/>
        </w:rPr>
        <w:t xml:space="preserve"> إلى </w:t>
      </w:r>
      <w:r w:rsidRPr="00282AC9">
        <w:rPr>
          <w:rFonts w:hint="cs"/>
          <w:sz w:val="27"/>
          <w:rtl/>
          <w:lang w:bidi="ar-LB"/>
        </w:rPr>
        <w:t>ما في الفعل من ح</w:t>
      </w:r>
      <w:r w:rsidR="00D5051C" w:rsidRPr="00282AC9">
        <w:rPr>
          <w:rFonts w:hint="cs"/>
          <w:sz w:val="27"/>
          <w:rtl/>
          <w:lang w:bidi="ar-LB"/>
        </w:rPr>
        <w:t>ُ</w:t>
      </w:r>
      <w:r w:rsidRPr="00282AC9">
        <w:rPr>
          <w:rFonts w:hint="cs"/>
          <w:sz w:val="27"/>
          <w:rtl/>
          <w:lang w:bidi="ar-LB"/>
        </w:rPr>
        <w:t>س</w:t>
      </w:r>
      <w:r w:rsidR="00D5051C" w:rsidRPr="00282AC9">
        <w:rPr>
          <w:rFonts w:hint="cs"/>
          <w:sz w:val="27"/>
          <w:rtl/>
          <w:lang w:bidi="ar-LB"/>
        </w:rPr>
        <w:t>ْ</w:t>
      </w:r>
      <w:r w:rsidRPr="00282AC9">
        <w:rPr>
          <w:rFonts w:hint="cs"/>
          <w:sz w:val="27"/>
          <w:rtl/>
          <w:lang w:bidi="ar-LB"/>
        </w:rPr>
        <w:t>ن</w:t>
      </w:r>
      <w:r w:rsidR="00D5051C" w:rsidRPr="00282AC9">
        <w:rPr>
          <w:rFonts w:hint="cs"/>
          <w:sz w:val="27"/>
          <w:rtl/>
          <w:lang w:bidi="ar-LB"/>
        </w:rPr>
        <w:t>ٍ</w:t>
      </w:r>
      <w:r w:rsidRPr="00282AC9">
        <w:rPr>
          <w:rFonts w:hint="cs"/>
          <w:sz w:val="27"/>
          <w:rtl/>
          <w:lang w:bidi="ar-LB"/>
        </w:rPr>
        <w:t xml:space="preserve"> وفضيلة</w:t>
      </w:r>
      <w:r w:rsidR="00D5051C" w:rsidRPr="00282AC9">
        <w:rPr>
          <w:rFonts w:hint="cs"/>
          <w:sz w:val="27"/>
          <w:rtl/>
          <w:lang w:bidi="ar-LB"/>
        </w:rPr>
        <w:t>ٍ</w:t>
      </w:r>
      <w:r w:rsidRPr="00282AC9">
        <w:rPr>
          <w:rFonts w:hint="cs"/>
          <w:sz w:val="27"/>
          <w:rtl/>
          <w:lang w:bidi="ar-LB"/>
        </w:rPr>
        <w:t xml:space="preserve"> فلا محالة</w:t>
      </w:r>
      <w:r w:rsidR="00D5051C" w:rsidRPr="00282AC9">
        <w:rPr>
          <w:rFonts w:hint="cs"/>
          <w:sz w:val="27"/>
          <w:rtl/>
          <w:lang w:bidi="ar-LB"/>
        </w:rPr>
        <w:t>َ</w:t>
      </w:r>
      <w:r w:rsidRPr="00282AC9">
        <w:rPr>
          <w:rFonts w:hint="cs"/>
          <w:sz w:val="27"/>
          <w:rtl/>
          <w:lang w:bidi="ar-LB"/>
        </w:rPr>
        <w:t xml:space="preserve"> يشتاق إليه، كما أنّه إذا التفت</w:t>
      </w:r>
      <w:r w:rsidR="005053B3" w:rsidRPr="00282AC9">
        <w:rPr>
          <w:rFonts w:hint="cs"/>
          <w:sz w:val="27"/>
          <w:rtl/>
          <w:lang w:bidi="ar-LB"/>
        </w:rPr>
        <w:t xml:space="preserve"> إلى </w:t>
      </w:r>
      <w:r w:rsidRPr="00282AC9">
        <w:rPr>
          <w:rFonts w:hint="cs"/>
          <w:sz w:val="27"/>
          <w:rtl/>
          <w:lang w:bidi="ar-LB"/>
        </w:rPr>
        <w:t>ما فيه من ق</w:t>
      </w:r>
      <w:r w:rsidR="00D5051C" w:rsidRPr="00282AC9">
        <w:rPr>
          <w:rFonts w:hint="cs"/>
          <w:sz w:val="27"/>
          <w:rtl/>
          <w:lang w:bidi="ar-LB"/>
        </w:rPr>
        <w:t>ُ</w:t>
      </w:r>
      <w:r w:rsidRPr="00282AC9">
        <w:rPr>
          <w:rFonts w:hint="cs"/>
          <w:sz w:val="27"/>
          <w:rtl/>
          <w:lang w:bidi="ar-LB"/>
        </w:rPr>
        <w:t>ب</w:t>
      </w:r>
      <w:r w:rsidR="00D5051C" w:rsidRPr="00282AC9">
        <w:rPr>
          <w:rFonts w:hint="cs"/>
          <w:sz w:val="27"/>
          <w:rtl/>
          <w:lang w:bidi="ar-LB"/>
        </w:rPr>
        <w:t>ْ</w:t>
      </w:r>
      <w:r w:rsidRPr="00282AC9">
        <w:rPr>
          <w:rFonts w:hint="cs"/>
          <w:sz w:val="27"/>
          <w:rtl/>
          <w:lang w:bidi="ar-LB"/>
        </w:rPr>
        <w:t>ح</w:t>
      </w:r>
      <w:r w:rsidR="00D5051C" w:rsidRPr="00282AC9">
        <w:rPr>
          <w:rFonts w:hint="cs"/>
          <w:sz w:val="27"/>
          <w:rtl/>
          <w:lang w:bidi="ar-LB"/>
        </w:rPr>
        <w:t>ٍ</w:t>
      </w:r>
      <w:r w:rsidRPr="00282AC9">
        <w:rPr>
          <w:rFonts w:hint="cs"/>
          <w:sz w:val="27"/>
          <w:rtl/>
          <w:lang w:bidi="ar-LB"/>
        </w:rPr>
        <w:t xml:space="preserve"> ورذالة</w:t>
      </w:r>
      <w:r w:rsidR="00D5051C" w:rsidRPr="00282AC9">
        <w:rPr>
          <w:rFonts w:hint="cs"/>
          <w:sz w:val="27"/>
          <w:rtl/>
          <w:lang w:bidi="ar-LB"/>
        </w:rPr>
        <w:t>ٍ</w:t>
      </w:r>
      <w:r w:rsidRPr="00282AC9">
        <w:rPr>
          <w:rFonts w:hint="cs"/>
          <w:sz w:val="27"/>
          <w:rtl/>
          <w:lang w:bidi="ar-LB"/>
        </w:rPr>
        <w:t xml:space="preserve"> ينزجر عنه ويكرهه، وهذا يعني أنّ الشارع</w:t>
      </w:r>
      <w:r w:rsidR="00D5051C" w:rsidRPr="00282AC9">
        <w:rPr>
          <w:rFonts w:hint="cs"/>
          <w:sz w:val="27"/>
          <w:rtl/>
          <w:lang w:bidi="ar-LB"/>
        </w:rPr>
        <w:t>،</w:t>
      </w:r>
      <w:r w:rsidRPr="00282AC9">
        <w:rPr>
          <w:rFonts w:hint="cs"/>
          <w:sz w:val="27"/>
          <w:rtl/>
          <w:lang w:bidi="ar-LB"/>
        </w:rPr>
        <w:t xml:space="preserve"> الذي هو عالم</w:t>
      </w:r>
      <w:r w:rsidR="00D5051C" w:rsidRPr="00282AC9">
        <w:rPr>
          <w:rFonts w:hint="cs"/>
          <w:sz w:val="27"/>
          <w:rtl/>
          <w:lang w:bidi="ar-LB"/>
        </w:rPr>
        <w:t>ٌ</w:t>
      </w:r>
      <w:r w:rsidRPr="00282AC9">
        <w:rPr>
          <w:rFonts w:hint="cs"/>
          <w:sz w:val="27"/>
          <w:rtl/>
          <w:lang w:bidi="ar-LB"/>
        </w:rPr>
        <w:t xml:space="preserve"> بجميع المحاسن والقبائح</w:t>
      </w:r>
      <w:r w:rsidR="00D5051C" w:rsidRPr="00282AC9">
        <w:rPr>
          <w:rFonts w:hint="cs"/>
          <w:sz w:val="27"/>
          <w:rtl/>
          <w:lang w:bidi="ar-LB"/>
        </w:rPr>
        <w:t>،</w:t>
      </w:r>
      <w:r w:rsidRPr="00282AC9">
        <w:rPr>
          <w:rFonts w:hint="cs"/>
          <w:sz w:val="27"/>
          <w:rtl/>
          <w:lang w:bidi="ar-LB"/>
        </w:rPr>
        <w:t xml:space="preserve"> لا يخلو إمّا أن يكون مريداً لتلك الوقا</w:t>
      </w:r>
      <w:r w:rsidR="00D5051C" w:rsidRPr="00282AC9">
        <w:rPr>
          <w:rFonts w:hint="cs"/>
          <w:sz w:val="27"/>
          <w:rtl/>
          <w:lang w:bidi="ar-LB"/>
        </w:rPr>
        <w:t>ئ</w:t>
      </w:r>
      <w:r w:rsidRPr="00282AC9">
        <w:rPr>
          <w:rFonts w:hint="cs"/>
          <w:sz w:val="27"/>
          <w:rtl/>
          <w:lang w:bidi="ar-LB"/>
        </w:rPr>
        <w:t>ع، وهذا فيما إذا كانت ح</w:t>
      </w:r>
      <w:r w:rsidR="00D5051C" w:rsidRPr="00282AC9">
        <w:rPr>
          <w:rFonts w:hint="cs"/>
          <w:sz w:val="27"/>
          <w:rtl/>
          <w:lang w:bidi="ar-LB"/>
        </w:rPr>
        <w:t>َ</w:t>
      </w:r>
      <w:r w:rsidRPr="00282AC9">
        <w:rPr>
          <w:rFonts w:hint="cs"/>
          <w:sz w:val="27"/>
          <w:rtl/>
          <w:lang w:bidi="ar-LB"/>
        </w:rPr>
        <w:t>س</w:t>
      </w:r>
      <w:r w:rsidR="00D5051C" w:rsidRPr="00282AC9">
        <w:rPr>
          <w:rFonts w:hint="cs"/>
          <w:sz w:val="27"/>
          <w:rtl/>
          <w:lang w:bidi="ar-LB"/>
        </w:rPr>
        <w:t>َ</w:t>
      </w:r>
      <w:r w:rsidRPr="00282AC9">
        <w:rPr>
          <w:rFonts w:hint="cs"/>
          <w:sz w:val="27"/>
          <w:rtl/>
          <w:lang w:bidi="ar-LB"/>
        </w:rPr>
        <w:t>نةً</w:t>
      </w:r>
      <w:r w:rsidR="00D5051C" w:rsidRPr="00282AC9">
        <w:rPr>
          <w:rFonts w:hint="cs"/>
          <w:sz w:val="27"/>
          <w:rtl/>
          <w:lang w:bidi="ar-LB"/>
        </w:rPr>
        <w:t>؛</w:t>
      </w:r>
      <w:r w:rsidRPr="00282AC9">
        <w:rPr>
          <w:rFonts w:hint="cs"/>
          <w:sz w:val="27"/>
          <w:rtl/>
          <w:lang w:bidi="ar-LB"/>
        </w:rPr>
        <w:t xml:space="preserve"> أو يكون كارهاً لها، وهذا فيما إذا كانت قبيحة</w:t>
      </w:r>
      <w:r w:rsidR="00D5051C" w:rsidRPr="00282AC9">
        <w:rPr>
          <w:rFonts w:hint="cs"/>
          <w:sz w:val="27"/>
          <w:rtl/>
          <w:lang w:bidi="ar-LB"/>
        </w:rPr>
        <w:t>ً، وبهذا يثبت أن</w:t>
      </w:r>
      <w:r w:rsidRPr="00282AC9">
        <w:rPr>
          <w:rFonts w:hint="cs"/>
          <w:sz w:val="27"/>
          <w:rtl/>
          <w:lang w:bidi="ar-LB"/>
        </w:rPr>
        <w:t xml:space="preserve"> الواقعة لا تخلو من الإرادة أو الكراهة، وقد عرف</w:t>
      </w:r>
      <w:r w:rsidR="00D5051C" w:rsidRPr="00282AC9">
        <w:rPr>
          <w:rFonts w:hint="cs"/>
          <w:sz w:val="27"/>
          <w:rtl/>
          <w:lang w:bidi="ar-LB"/>
        </w:rPr>
        <w:t>ْ</w:t>
      </w:r>
      <w:r w:rsidRPr="00282AC9">
        <w:rPr>
          <w:rFonts w:hint="cs"/>
          <w:sz w:val="27"/>
          <w:rtl/>
          <w:lang w:bidi="ar-LB"/>
        </w:rPr>
        <w:t>ت</w:t>
      </w:r>
      <w:r w:rsidR="00D5051C" w:rsidRPr="00282AC9">
        <w:rPr>
          <w:rFonts w:hint="cs"/>
          <w:sz w:val="27"/>
          <w:rtl/>
          <w:lang w:bidi="ar-LB"/>
        </w:rPr>
        <w:t>َ</w:t>
      </w:r>
      <w:r w:rsidRPr="00282AC9">
        <w:rPr>
          <w:rFonts w:hint="cs"/>
          <w:sz w:val="27"/>
          <w:rtl/>
          <w:lang w:bidi="ar-LB"/>
        </w:rPr>
        <w:t xml:space="preserve"> أنهما روح</w:t>
      </w:r>
      <w:r w:rsidR="00D5051C" w:rsidRPr="00282AC9">
        <w:rPr>
          <w:rFonts w:hint="cs"/>
          <w:sz w:val="27"/>
          <w:rtl/>
          <w:lang w:bidi="ar-LB"/>
        </w:rPr>
        <w:t>ُ الحكم ولُبُّ</w:t>
      </w:r>
      <w:r w:rsidRPr="00282AC9">
        <w:rPr>
          <w:rFonts w:hint="cs"/>
          <w:sz w:val="27"/>
          <w:rtl/>
          <w:lang w:bidi="ar-LB"/>
        </w:rPr>
        <w:t>ه.</w:t>
      </w:r>
    </w:p>
    <w:p w:rsidR="00AB28AD" w:rsidRPr="00282AC9" w:rsidRDefault="00AB28AD" w:rsidP="00765803">
      <w:pPr>
        <w:tabs>
          <w:tab w:val="right" w:pos="6930"/>
        </w:tabs>
        <w:suppressAutoHyphens/>
        <w:spacing w:line="420" w:lineRule="exact"/>
        <w:rPr>
          <w:sz w:val="27"/>
          <w:rtl/>
          <w:lang w:bidi="ar-LB"/>
        </w:rPr>
      </w:pPr>
    </w:p>
    <w:p w:rsidR="00AB28AD" w:rsidRPr="00282AC9" w:rsidRDefault="00AB28AD" w:rsidP="00AB28AD">
      <w:pPr>
        <w:pStyle w:val="31"/>
        <w:rPr>
          <w:color w:val="auto"/>
          <w:rtl/>
          <w:lang w:bidi="ar-LB"/>
        </w:rPr>
      </w:pPr>
      <w:r w:rsidRPr="00282AC9">
        <w:rPr>
          <w:rFonts w:hint="cs"/>
          <w:color w:val="auto"/>
          <w:rtl/>
          <w:lang w:bidi="ar-LB"/>
        </w:rPr>
        <w:t>نقاشاتٌ وردودٌ</w:t>
      </w:r>
    </w:p>
    <w:p w:rsidR="002F0FE8" w:rsidRPr="00282AC9" w:rsidRDefault="002F0FE8" w:rsidP="00B16272">
      <w:pPr>
        <w:tabs>
          <w:tab w:val="right" w:pos="6930"/>
        </w:tabs>
        <w:suppressAutoHyphens/>
        <w:rPr>
          <w:sz w:val="27"/>
          <w:rtl/>
          <w:lang w:bidi="ar-LB"/>
        </w:rPr>
      </w:pPr>
      <w:r w:rsidRPr="00282AC9">
        <w:rPr>
          <w:rFonts w:hint="cs"/>
          <w:sz w:val="27"/>
          <w:rtl/>
          <w:lang w:bidi="ar-LB"/>
        </w:rPr>
        <w:t>وما قيل أو يمكن أن يُقال في الردّ على هذه الطريقة وجوهٌ ثلاثة:</w:t>
      </w:r>
    </w:p>
    <w:p w:rsidR="002F0FE8" w:rsidRPr="00282AC9" w:rsidRDefault="002F0FE8" w:rsidP="00CC0484">
      <w:pPr>
        <w:tabs>
          <w:tab w:val="right" w:pos="6930"/>
        </w:tabs>
        <w:suppressAutoHyphens/>
        <w:spacing w:line="430" w:lineRule="exact"/>
        <w:rPr>
          <w:sz w:val="27"/>
          <w:rtl/>
          <w:lang w:bidi="ar-LB"/>
        </w:rPr>
      </w:pPr>
    </w:p>
    <w:p w:rsidR="002F0FE8" w:rsidRPr="00282AC9" w:rsidRDefault="00AB28AD" w:rsidP="00AB28AD">
      <w:pPr>
        <w:pStyle w:val="31"/>
        <w:rPr>
          <w:color w:val="auto"/>
          <w:rtl/>
          <w:lang w:bidi="ar-LB"/>
        </w:rPr>
      </w:pPr>
      <w:r w:rsidRPr="00282AC9">
        <w:rPr>
          <w:rFonts w:hint="cs"/>
          <w:color w:val="auto"/>
          <w:rtl/>
          <w:lang w:bidi="ar-LB"/>
        </w:rPr>
        <w:t xml:space="preserve">1ـ </w:t>
      </w:r>
      <w:r w:rsidR="002F0FE8" w:rsidRPr="00282AC9">
        <w:rPr>
          <w:rFonts w:hint="cs"/>
          <w:color w:val="auto"/>
          <w:rtl/>
          <w:lang w:bidi="ar-LB"/>
        </w:rPr>
        <w:t>نقاش المحقِّ</w:t>
      </w:r>
      <w:r w:rsidRPr="00282AC9">
        <w:rPr>
          <w:rFonts w:hint="cs"/>
          <w:color w:val="auto"/>
          <w:rtl/>
          <w:lang w:bidi="ar-LB"/>
        </w:rPr>
        <w:t>ق الخراساني</w:t>
      </w:r>
    </w:p>
    <w:p w:rsidR="00A9019A" w:rsidRPr="00282AC9" w:rsidRDefault="00A9019A" w:rsidP="00B16272">
      <w:pPr>
        <w:tabs>
          <w:tab w:val="right" w:pos="6930"/>
        </w:tabs>
        <w:suppressAutoHyphens/>
        <w:rPr>
          <w:sz w:val="27"/>
          <w:rtl/>
          <w:lang w:bidi="ar-LB"/>
        </w:rPr>
      </w:pPr>
      <w:r w:rsidRPr="00282AC9">
        <w:rPr>
          <w:rFonts w:hint="cs"/>
          <w:b/>
          <w:bCs/>
          <w:sz w:val="27"/>
          <w:rtl/>
          <w:lang w:bidi="ar-LB"/>
        </w:rPr>
        <w:t>الوجه الأو</w:t>
      </w:r>
      <w:r w:rsidR="00D5051C" w:rsidRPr="00282AC9">
        <w:rPr>
          <w:rFonts w:hint="cs"/>
          <w:b/>
          <w:bCs/>
          <w:sz w:val="27"/>
          <w:rtl/>
          <w:lang w:bidi="ar-LB"/>
        </w:rPr>
        <w:t>ّ</w:t>
      </w:r>
      <w:r w:rsidRPr="00282AC9">
        <w:rPr>
          <w:rFonts w:hint="cs"/>
          <w:b/>
          <w:bCs/>
          <w:sz w:val="27"/>
          <w:rtl/>
          <w:lang w:bidi="ar-LB"/>
        </w:rPr>
        <w:t>ل</w:t>
      </w:r>
      <w:r w:rsidRPr="00282AC9">
        <w:rPr>
          <w:rFonts w:hint="cs"/>
          <w:sz w:val="27"/>
          <w:rtl/>
          <w:lang w:bidi="ar-LB"/>
        </w:rPr>
        <w:t>: ما أفاده المحق</w:t>
      </w:r>
      <w:r w:rsidR="00D5051C" w:rsidRPr="00282AC9">
        <w:rPr>
          <w:rFonts w:hint="cs"/>
          <w:sz w:val="27"/>
          <w:rtl/>
          <w:lang w:bidi="ar-LB"/>
        </w:rPr>
        <w:t>ِّ</w:t>
      </w:r>
      <w:r w:rsidRPr="00282AC9">
        <w:rPr>
          <w:rFonts w:hint="cs"/>
          <w:sz w:val="27"/>
          <w:rtl/>
          <w:lang w:bidi="ar-LB"/>
        </w:rPr>
        <w:t>ق الخراساني</w:t>
      </w:r>
      <w:r w:rsidR="009A2A04" w:rsidRPr="00282AC9">
        <w:rPr>
          <w:rFonts w:cs="Mosawi" w:hint="cs"/>
          <w:sz w:val="22"/>
          <w:szCs w:val="22"/>
          <w:rtl/>
          <w:lang w:bidi="ar-LB"/>
        </w:rPr>
        <w:t>&amp;</w:t>
      </w:r>
      <w:r w:rsidRPr="00282AC9">
        <w:rPr>
          <w:rFonts w:hint="cs"/>
          <w:sz w:val="27"/>
          <w:rtl/>
          <w:lang w:bidi="ar-LB"/>
        </w:rPr>
        <w:t xml:space="preserve"> بهذا الصدد</w:t>
      </w:r>
      <w:r w:rsidR="00D5051C" w:rsidRPr="00282AC9">
        <w:rPr>
          <w:rFonts w:hint="cs"/>
          <w:sz w:val="27"/>
          <w:rtl/>
          <w:lang w:bidi="ar-LB"/>
        </w:rPr>
        <w:t>.</w:t>
      </w:r>
      <w:r w:rsidRPr="00282AC9">
        <w:rPr>
          <w:rFonts w:hint="cs"/>
          <w:sz w:val="27"/>
          <w:rtl/>
          <w:lang w:bidi="ar-LB"/>
        </w:rPr>
        <w:t xml:space="preserve"> ويمكن تنسيق إفادته ضمن الفقرات التالية: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الفقرة الأولى</w:t>
      </w:r>
      <w:r w:rsidR="00D5051C" w:rsidRPr="00282AC9">
        <w:rPr>
          <w:rFonts w:hint="cs"/>
          <w:sz w:val="27"/>
          <w:rtl/>
          <w:lang w:bidi="ar-LB"/>
        </w:rPr>
        <w:t>: إن</w:t>
      </w:r>
      <w:r w:rsidRPr="00282AC9">
        <w:rPr>
          <w:rFonts w:hint="cs"/>
          <w:sz w:val="27"/>
          <w:rtl/>
          <w:lang w:bidi="ar-LB"/>
        </w:rPr>
        <w:t xml:space="preserve"> الحكم ي</w:t>
      </w:r>
      <w:r w:rsidR="00D5051C" w:rsidRPr="00282AC9">
        <w:rPr>
          <w:rFonts w:hint="cs"/>
          <w:sz w:val="27"/>
          <w:rtl/>
          <w:lang w:bidi="ar-LB"/>
        </w:rPr>
        <w:t>ُ</w:t>
      </w:r>
      <w:r w:rsidRPr="00282AC9">
        <w:rPr>
          <w:rFonts w:hint="cs"/>
          <w:sz w:val="27"/>
          <w:rtl/>
          <w:lang w:bidi="ar-LB"/>
        </w:rPr>
        <w:t>ط</w:t>
      </w:r>
      <w:r w:rsidR="00D5051C" w:rsidRPr="00282AC9">
        <w:rPr>
          <w:rFonts w:hint="cs"/>
          <w:sz w:val="27"/>
          <w:rtl/>
          <w:lang w:bidi="ar-LB"/>
        </w:rPr>
        <w:t>ْ</w:t>
      </w:r>
      <w:r w:rsidRPr="00282AC9">
        <w:rPr>
          <w:rFonts w:hint="cs"/>
          <w:sz w:val="27"/>
          <w:rtl/>
          <w:lang w:bidi="ar-LB"/>
        </w:rPr>
        <w:t>ل</w:t>
      </w:r>
      <w:r w:rsidR="00D5051C" w:rsidRPr="00282AC9">
        <w:rPr>
          <w:rFonts w:hint="cs"/>
          <w:sz w:val="27"/>
          <w:rtl/>
          <w:lang w:bidi="ar-LB"/>
        </w:rPr>
        <w:t>َ</w:t>
      </w:r>
      <w:r w:rsidRPr="00282AC9">
        <w:rPr>
          <w:rFonts w:hint="cs"/>
          <w:sz w:val="27"/>
          <w:rtl/>
          <w:lang w:bidi="ar-LB"/>
        </w:rPr>
        <w:t>ق وي</w:t>
      </w:r>
      <w:r w:rsidR="00D5051C" w:rsidRPr="00282AC9">
        <w:rPr>
          <w:rFonts w:hint="cs"/>
          <w:sz w:val="27"/>
          <w:rtl/>
          <w:lang w:bidi="ar-LB"/>
        </w:rPr>
        <w:t>ُ</w:t>
      </w:r>
      <w:r w:rsidRPr="00282AC9">
        <w:rPr>
          <w:rFonts w:hint="cs"/>
          <w:sz w:val="27"/>
          <w:rtl/>
          <w:lang w:bidi="ar-LB"/>
        </w:rPr>
        <w:t>راد به إمّا الإرادة والكراهة</w:t>
      </w:r>
      <w:r w:rsidR="00D5051C" w:rsidRPr="00282AC9">
        <w:rPr>
          <w:rFonts w:hint="cs"/>
          <w:sz w:val="27"/>
          <w:rtl/>
          <w:lang w:bidi="ar-LB"/>
        </w:rPr>
        <w:t xml:space="preserve">؛ </w:t>
      </w:r>
      <w:r w:rsidRPr="00282AC9">
        <w:rPr>
          <w:rFonts w:hint="cs"/>
          <w:sz w:val="27"/>
          <w:rtl/>
          <w:lang w:bidi="ar-LB"/>
        </w:rPr>
        <w:t xml:space="preserve"> وإمّا الإنشاء من دون انقداح البعث والزجر</w:t>
      </w:r>
      <w:r w:rsidR="00D5051C" w:rsidRPr="00282AC9">
        <w:rPr>
          <w:rFonts w:hint="cs"/>
          <w:sz w:val="27"/>
          <w:rtl/>
          <w:lang w:bidi="ar-LB"/>
        </w:rPr>
        <w:t>؛</w:t>
      </w:r>
      <w:r w:rsidRPr="00282AC9">
        <w:rPr>
          <w:rFonts w:hint="cs"/>
          <w:sz w:val="27"/>
          <w:rtl/>
          <w:lang w:bidi="ar-LB"/>
        </w:rPr>
        <w:t xml:space="preserve"> وإمّا الفعلي</w:t>
      </w:r>
      <w:r w:rsidR="00D5051C" w:rsidRPr="00282AC9">
        <w:rPr>
          <w:rFonts w:hint="cs"/>
          <w:sz w:val="27"/>
          <w:rtl/>
          <w:lang w:bidi="ar-LB"/>
        </w:rPr>
        <w:t>ة، وهي: مرتبة انقداح البعث والز</w:t>
      </w:r>
      <w:r w:rsidRPr="00282AC9">
        <w:rPr>
          <w:rFonts w:hint="cs"/>
          <w:sz w:val="27"/>
          <w:rtl/>
          <w:lang w:bidi="ar-LB"/>
        </w:rPr>
        <w:t>جر في نفس المولى</w:t>
      </w:r>
      <w:r w:rsidR="00D5051C" w:rsidRPr="00282AC9">
        <w:rPr>
          <w:rFonts w:hint="cs"/>
          <w:sz w:val="27"/>
          <w:rtl/>
          <w:lang w:bidi="ar-LB"/>
        </w:rPr>
        <w:t>؛</w:t>
      </w:r>
      <w:r w:rsidRPr="00282AC9">
        <w:rPr>
          <w:rFonts w:hint="cs"/>
          <w:sz w:val="27"/>
          <w:rtl/>
          <w:lang w:bidi="ar-LB"/>
        </w:rPr>
        <w:t xml:space="preserve"> وإمّا التنج</w:t>
      </w:r>
      <w:r w:rsidR="00D5051C" w:rsidRPr="00282AC9">
        <w:rPr>
          <w:rFonts w:hint="cs"/>
          <w:sz w:val="27"/>
          <w:rtl/>
          <w:lang w:bidi="ar-LB"/>
        </w:rPr>
        <w:t>ُّ</w:t>
      </w:r>
      <w:r w:rsidRPr="00282AC9">
        <w:rPr>
          <w:rFonts w:hint="cs"/>
          <w:sz w:val="27"/>
          <w:rtl/>
          <w:lang w:bidi="ar-LB"/>
        </w:rPr>
        <w:t>ز.</w:t>
      </w:r>
    </w:p>
    <w:p w:rsidR="00A9019A" w:rsidRPr="00282AC9" w:rsidRDefault="00A9019A" w:rsidP="00B16272">
      <w:pPr>
        <w:tabs>
          <w:tab w:val="right" w:pos="6930"/>
        </w:tabs>
        <w:suppressAutoHyphens/>
        <w:rPr>
          <w:sz w:val="27"/>
          <w:rtl/>
          <w:lang w:bidi="ar-LB"/>
        </w:rPr>
      </w:pPr>
      <w:r w:rsidRPr="00282AC9">
        <w:rPr>
          <w:rFonts w:hint="cs"/>
          <w:sz w:val="27"/>
          <w:rtl/>
          <w:lang w:bidi="ar-LB"/>
        </w:rPr>
        <w:t>وحقيقة الحكم هي: الإرادة</w:t>
      </w:r>
      <w:r w:rsidR="00A43BE7" w:rsidRPr="00282AC9">
        <w:rPr>
          <w:rFonts w:hint="cs"/>
          <w:sz w:val="27"/>
          <w:rtl/>
          <w:lang w:bidi="ar-LB"/>
        </w:rPr>
        <w:t>؛</w:t>
      </w:r>
      <w:r w:rsidRPr="00282AC9">
        <w:rPr>
          <w:rFonts w:hint="cs"/>
          <w:sz w:val="27"/>
          <w:rtl/>
          <w:lang w:bidi="ar-LB"/>
        </w:rPr>
        <w:t xml:space="preserve"> والكراهة، وبهما يقع الخطاب موضوعاً لوجوب الامتثال</w:t>
      </w:r>
      <w:r w:rsidR="00A43BE7" w:rsidRPr="00282AC9">
        <w:rPr>
          <w:rFonts w:hint="cs"/>
          <w:sz w:val="27"/>
          <w:rtl/>
          <w:lang w:bidi="ar-LB"/>
        </w:rPr>
        <w:t>.</w:t>
      </w:r>
      <w:r w:rsidRPr="00282AC9">
        <w:rPr>
          <w:rFonts w:hint="cs"/>
          <w:sz w:val="27"/>
          <w:rtl/>
          <w:lang w:bidi="ar-LB"/>
        </w:rPr>
        <w:t xml:space="preserve"> والفاقد لهما صورة</w:t>
      </w:r>
      <w:r w:rsidR="00A43BE7" w:rsidRPr="00282AC9">
        <w:rPr>
          <w:rFonts w:hint="cs"/>
          <w:sz w:val="27"/>
          <w:rtl/>
          <w:lang w:bidi="ar-LB"/>
        </w:rPr>
        <w:t>ٌ</w:t>
      </w:r>
      <w:r w:rsidRPr="00282AC9">
        <w:rPr>
          <w:rFonts w:hint="cs"/>
          <w:sz w:val="27"/>
          <w:rtl/>
          <w:lang w:bidi="ar-LB"/>
        </w:rPr>
        <w:t xml:space="preserve"> للحكم مجرّدة</w:t>
      </w:r>
      <w:r w:rsidR="00A43BE7" w:rsidRPr="00282AC9">
        <w:rPr>
          <w:rFonts w:hint="cs"/>
          <w:sz w:val="27"/>
          <w:rtl/>
          <w:lang w:bidi="ar-LB"/>
        </w:rPr>
        <w:t>ٌ</w:t>
      </w:r>
      <w:r w:rsidRPr="00282AC9">
        <w:rPr>
          <w:rFonts w:hint="cs"/>
          <w:sz w:val="27"/>
          <w:rtl/>
          <w:lang w:bidi="ar-LB"/>
        </w:rPr>
        <w:t xml:space="preserve"> عن واقعه.</w:t>
      </w:r>
    </w:p>
    <w:p w:rsidR="00A9019A" w:rsidRPr="00282AC9" w:rsidRDefault="00A9019A" w:rsidP="00B16272">
      <w:pPr>
        <w:tabs>
          <w:tab w:val="right" w:pos="6930"/>
        </w:tabs>
        <w:suppressAutoHyphens/>
        <w:rPr>
          <w:sz w:val="27"/>
          <w:rtl/>
          <w:lang w:bidi="ar-LB"/>
        </w:rPr>
      </w:pPr>
      <w:r w:rsidRPr="00282AC9">
        <w:rPr>
          <w:rFonts w:hint="cs"/>
          <w:b/>
          <w:bCs/>
          <w:sz w:val="27"/>
          <w:rtl/>
          <w:lang w:bidi="ar-LB"/>
        </w:rPr>
        <w:t>الفقرة الثانية</w:t>
      </w:r>
      <w:r w:rsidRPr="00282AC9">
        <w:rPr>
          <w:rFonts w:hint="cs"/>
          <w:sz w:val="27"/>
          <w:rtl/>
          <w:lang w:bidi="ar-LB"/>
        </w:rPr>
        <w:t xml:space="preserve">: </w:t>
      </w:r>
      <w:r w:rsidR="00A43BE7" w:rsidRPr="00282AC9">
        <w:rPr>
          <w:rFonts w:hint="cs"/>
          <w:sz w:val="27"/>
          <w:rtl/>
          <w:lang w:bidi="ar-LB"/>
        </w:rPr>
        <w:t>إن</w:t>
      </w:r>
      <w:r w:rsidRPr="00282AC9">
        <w:rPr>
          <w:rFonts w:hint="cs"/>
          <w:sz w:val="27"/>
          <w:rtl/>
          <w:lang w:bidi="ar-LB"/>
        </w:rPr>
        <w:t xml:space="preserve"> مجر</w:t>
      </w:r>
      <w:r w:rsidR="00A43BE7" w:rsidRPr="00282AC9">
        <w:rPr>
          <w:rFonts w:hint="cs"/>
          <w:sz w:val="27"/>
          <w:rtl/>
          <w:lang w:bidi="ar-LB"/>
        </w:rPr>
        <w:t>ّ</w:t>
      </w:r>
      <w:r w:rsidRPr="00282AC9">
        <w:rPr>
          <w:rFonts w:hint="cs"/>
          <w:sz w:val="27"/>
          <w:rtl/>
          <w:lang w:bidi="ar-LB"/>
        </w:rPr>
        <w:t>د ح</w:t>
      </w:r>
      <w:r w:rsidR="00A43BE7" w:rsidRPr="00282AC9">
        <w:rPr>
          <w:rFonts w:hint="cs"/>
          <w:sz w:val="27"/>
          <w:rtl/>
          <w:lang w:bidi="ar-LB"/>
        </w:rPr>
        <w:t>ُ</w:t>
      </w:r>
      <w:r w:rsidRPr="00282AC9">
        <w:rPr>
          <w:rFonts w:hint="cs"/>
          <w:sz w:val="27"/>
          <w:rtl/>
          <w:lang w:bidi="ar-LB"/>
        </w:rPr>
        <w:t>س</w:t>
      </w:r>
      <w:r w:rsidR="00A43BE7" w:rsidRPr="00282AC9">
        <w:rPr>
          <w:rFonts w:hint="cs"/>
          <w:sz w:val="27"/>
          <w:rtl/>
          <w:lang w:bidi="ar-LB"/>
        </w:rPr>
        <w:t>ْ</w:t>
      </w:r>
      <w:r w:rsidRPr="00282AC9">
        <w:rPr>
          <w:rFonts w:hint="cs"/>
          <w:sz w:val="27"/>
          <w:rtl/>
          <w:lang w:bidi="ar-LB"/>
        </w:rPr>
        <w:t>ن فعل</w:t>
      </w:r>
      <w:r w:rsidR="00A43BE7" w:rsidRPr="00282AC9">
        <w:rPr>
          <w:rFonts w:hint="cs"/>
          <w:sz w:val="27"/>
          <w:rtl/>
          <w:lang w:bidi="ar-LB"/>
        </w:rPr>
        <w:t>ٍ</w:t>
      </w:r>
      <w:r w:rsidRPr="00282AC9">
        <w:rPr>
          <w:rFonts w:hint="cs"/>
          <w:sz w:val="27"/>
          <w:rtl/>
          <w:lang w:bidi="ar-LB"/>
        </w:rPr>
        <w:t xml:space="preserve"> أو ق</w:t>
      </w:r>
      <w:r w:rsidR="00A43BE7" w:rsidRPr="00282AC9">
        <w:rPr>
          <w:rFonts w:hint="cs"/>
          <w:sz w:val="27"/>
          <w:rtl/>
          <w:lang w:bidi="ar-LB"/>
        </w:rPr>
        <w:t>ُ</w:t>
      </w:r>
      <w:r w:rsidRPr="00282AC9">
        <w:rPr>
          <w:rFonts w:hint="cs"/>
          <w:sz w:val="27"/>
          <w:rtl/>
          <w:lang w:bidi="ar-LB"/>
        </w:rPr>
        <w:t>ب</w:t>
      </w:r>
      <w:r w:rsidR="00A43BE7" w:rsidRPr="00282AC9">
        <w:rPr>
          <w:rFonts w:hint="cs"/>
          <w:sz w:val="27"/>
          <w:rtl/>
          <w:lang w:bidi="ar-LB"/>
        </w:rPr>
        <w:t>ْ</w:t>
      </w:r>
      <w:r w:rsidRPr="00282AC9">
        <w:rPr>
          <w:rFonts w:hint="cs"/>
          <w:sz w:val="27"/>
          <w:rtl/>
          <w:lang w:bidi="ar-LB"/>
        </w:rPr>
        <w:t xml:space="preserve">حه </w:t>
      </w:r>
      <w:r w:rsidR="00A43BE7" w:rsidRPr="00282AC9">
        <w:rPr>
          <w:rFonts w:hint="cs"/>
          <w:sz w:val="27"/>
          <w:rtl/>
          <w:lang w:bidi="ar-LB"/>
        </w:rPr>
        <w:t>عقلاً لا يستتبع إرادة العقلاء إ</w:t>
      </w:r>
      <w:r w:rsidRPr="00282AC9">
        <w:rPr>
          <w:rFonts w:hint="cs"/>
          <w:sz w:val="27"/>
          <w:rtl/>
          <w:lang w:bidi="ar-LB"/>
        </w:rPr>
        <w:t xml:space="preserve">يّاه أو كراهتهم له، بحيث يبعثون إليه عبيدهم أو يزجرونهم عنه، بل </w:t>
      </w:r>
      <w:r w:rsidR="00674EF5" w:rsidRPr="00282AC9">
        <w:rPr>
          <w:rFonts w:hint="cs"/>
          <w:sz w:val="27"/>
          <w:rtl/>
          <w:lang w:bidi="ar-LB"/>
        </w:rPr>
        <w:t>لا بُدَّ</w:t>
      </w:r>
      <w:r w:rsidRPr="00282AC9">
        <w:rPr>
          <w:rFonts w:hint="cs"/>
          <w:sz w:val="27"/>
          <w:rtl/>
          <w:lang w:bidi="ar-LB"/>
        </w:rPr>
        <w:t xml:space="preserve"> من انضمام دواعٍ </w:t>
      </w:r>
      <w:r w:rsidRPr="00282AC9">
        <w:rPr>
          <w:rFonts w:hint="cs"/>
          <w:sz w:val="27"/>
          <w:rtl/>
          <w:lang w:bidi="ar-LB"/>
        </w:rPr>
        <w:lastRenderedPageBreak/>
        <w:t>وأغراض أُخَر في حصولهما.</w:t>
      </w:r>
    </w:p>
    <w:p w:rsidR="00A9019A" w:rsidRPr="00282AC9" w:rsidRDefault="00A9019A" w:rsidP="00B16272">
      <w:pPr>
        <w:tabs>
          <w:tab w:val="right" w:pos="6930"/>
        </w:tabs>
        <w:suppressAutoHyphens/>
        <w:rPr>
          <w:sz w:val="27"/>
          <w:rtl/>
          <w:lang w:bidi="ar-LB"/>
        </w:rPr>
      </w:pPr>
      <w:r w:rsidRPr="00282AC9">
        <w:rPr>
          <w:rFonts w:hint="cs"/>
          <w:sz w:val="27"/>
          <w:rtl/>
          <w:lang w:bidi="ar-LB"/>
        </w:rPr>
        <w:t>والدليل على ذلك أمران:</w:t>
      </w:r>
    </w:p>
    <w:p w:rsidR="00A9019A" w:rsidRPr="00282AC9" w:rsidRDefault="00A9019A" w:rsidP="00B16272">
      <w:pPr>
        <w:tabs>
          <w:tab w:val="right" w:pos="6930"/>
        </w:tabs>
        <w:suppressAutoHyphens/>
        <w:rPr>
          <w:sz w:val="27"/>
          <w:rtl/>
          <w:lang w:bidi="ar-LB"/>
        </w:rPr>
      </w:pPr>
      <w:r w:rsidRPr="00282AC9">
        <w:rPr>
          <w:rFonts w:hint="cs"/>
          <w:b/>
          <w:bCs/>
          <w:sz w:val="27"/>
          <w:rtl/>
          <w:lang w:bidi="ar-LB"/>
        </w:rPr>
        <w:t>أحدهما</w:t>
      </w:r>
      <w:r w:rsidRPr="00282AC9">
        <w:rPr>
          <w:rFonts w:hint="cs"/>
          <w:sz w:val="27"/>
          <w:rtl/>
          <w:lang w:bidi="ar-LB"/>
        </w:rPr>
        <w:t>: شهادة الوجدان</w:t>
      </w:r>
      <w:r w:rsidR="00A43BE7" w:rsidRPr="00282AC9">
        <w:rPr>
          <w:rFonts w:hint="cs"/>
          <w:sz w:val="27"/>
          <w:rtl/>
          <w:lang w:bidi="ar-LB"/>
        </w:rPr>
        <w:t>؛ فإنّا لا نجد</w:t>
      </w:r>
      <w:r w:rsidRPr="00282AC9">
        <w:rPr>
          <w:rFonts w:hint="cs"/>
          <w:sz w:val="27"/>
          <w:rtl/>
          <w:lang w:bidi="ar-LB"/>
        </w:rPr>
        <w:t xml:space="preserve"> من أنفسنا حصول الإرادة بمجر</w:t>
      </w:r>
      <w:r w:rsidR="00A43BE7" w:rsidRPr="00282AC9">
        <w:rPr>
          <w:rFonts w:hint="cs"/>
          <w:sz w:val="27"/>
          <w:rtl/>
          <w:lang w:bidi="ar-LB"/>
        </w:rPr>
        <w:t>ّ</w:t>
      </w:r>
      <w:r w:rsidRPr="00282AC9">
        <w:rPr>
          <w:rFonts w:hint="cs"/>
          <w:sz w:val="27"/>
          <w:rtl/>
          <w:lang w:bidi="ar-LB"/>
        </w:rPr>
        <w:t>د ملاحظة ح</w:t>
      </w:r>
      <w:r w:rsidR="00A43BE7" w:rsidRPr="00282AC9">
        <w:rPr>
          <w:rFonts w:hint="cs"/>
          <w:sz w:val="27"/>
          <w:rtl/>
          <w:lang w:bidi="ar-LB"/>
        </w:rPr>
        <w:t>ُ</w:t>
      </w:r>
      <w:r w:rsidRPr="00282AC9">
        <w:rPr>
          <w:rFonts w:hint="cs"/>
          <w:sz w:val="27"/>
          <w:rtl/>
          <w:lang w:bidi="ar-LB"/>
        </w:rPr>
        <w:t>س</w:t>
      </w:r>
      <w:r w:rsidR="00A43BE7" w:rsidRPr="00282AC9">
        <w:rPr>
          <w:rFonts w:hint="cs"/>
          <w:sz w:val="27"/>
          <w:rtl/>
          <w:lang w:bidi="ar-LB"/>
        </w:rPr>
        <w:t>ْ</w:t>
      </w:r>
      <w:r w:rsidRPr="00282AC9">
        <w:rPr>
          <w:rFonts w:hint="cs"/>
          <w:sz w:val="27"/>
          <w:rtl/>
          <w:lang w:bidi="ar-LB"/>
        </w:rPr>
        <w:t>ن فعل الإحسان؛ فر</w:t>
      </w:r>
      <w:r w:rsidR="00A43BE7" w:rsidRPr="00282AC9">
        <w:rPr>
          <w:rFonts w:hint="cs"/>
          <w:sz w:val="27"/>
          <w:rtl/>
          <w:lang w:bidi="ar-LB"/>
        </w:rPr>
        <w:t>ُ</w:t>
      </w:r>
      <w:r w:rsidRPr="00282AC9">
        <w:rPr>
          <w:rFonts w:hint="cs"/>
          <w:sz w:val="27"/>
          <w:rtl/>
          <w:lang w:bidi="ar-LB"/>
        </w:rPr>
        <w:t>ب</w:t>
      </w:r>
      <w:r w:rsidR="00A43BE7" w:rsidRPr="00282AC9">
        <w:rPr>
          <w:rFonts w:hint="cs"/>
          <w:sz w:val="27"/>
          <w:rtl/>
          <w:lang w:bidi="ar-LB"/>
        </w:rPr>
        <w:t>َ</w:t>
      </w:r>
      <w:r w:rsidRPr="00282AC9">
        <w:rPr>
          <w:rFonts w:hint="cs"/>
          <w:sz w:val="27"/>
          <w:rtl/>
          <w:lang w:bidi="ar-LB"/>
        </w:rPr>
        <w:t>ما لا نريد الإحسان</w:t>
      </w:r>
      <w:r w:rsidR="005053B3" w:rsidRPr="00282AC9">
        <w:rPr>
          <w:rFonts w:hint="cs"/>
          <w:sz w:val="27"/>
          <w:rtl/>
          <w:lang w:bidi="ar-LB"/>
        </w:rPr>
        <w:t xml:space="preserve"> إلى </w:t>
      </w:r>
      <w:r w:rsidRPr="00282AC9">
        <w:rPr>
          <w:rFonts w:hint="cs"/>
          <w:sz w:val="27"/>
          <w:rtl/>
          <w:lang w:bidi="ar-LB"/>
        </w:rPr>
        <w:t>شخص</w:t>
      </w:r>
      <w:r w:rsidR="00A43BE7" w:rsidRPr="00282AC9">
        <w:rPr>
          <w:rFonts w:hint="cs"/>
          <w:sz w:val="27"/>
          <w:rtl/>
          <w:lang w:bidi="ar-LB"/>
        </w:rPr>
        <w:t>ٍ</w:t>
      </w:r>
      <w:r w:rsidRPr="00282AC9">
        <w:rPr>
          <w:rFonts w:hint="cs"/>
          <w:sz w:val="27"/>
          <w:rtl/>
          <w:lang w:bidi="ar-LB"/>
        </w:rPr>
        <w:t>، بل نكره</w:t>
      </w:r>
      <w:r w:rsidR="00A43BE7" w:rsidRPr="00282AC9">
        <w:rPr>
          <w:rFonts w:hint="cs"/>
          <w:sz w:val="27"/>
          <w:rtl/>
          <w:lang w:bidi="ar-LB"/>
        </w:rPr>
        <w:t>ه</w:t>
      </w:r>
      <w:r w:rsidRPr="00282AC9">
        <w:rPr>
          <w:rFonts w:hint="cs"/>
          <w:sz w:val="27"/>
          <w:rtl/>
          <w:lang w:bidi="ar-LB"/>
        </w:rPr>
        <w:t>، وإن</w:t>
      </w:r>
      <w:r w:rsidR="00A43BE7" w:rsidRPr="00282AC9">
        <w:rPr>
          <w:rFonts w:hint="cs"/>
          <w:sz w:val="27"/>
          <w:rtl/>
          <w:lang w:bidi="ar-LB"/>
        </w:rPr>
        <w:t>ْ</w:t>
      </w:r>
      <w:r w:rsidRPr="00282AC9">
        <w:rPr>
          <w:rFonts w:hint="cs"/>
          <w:sz w:val="27"/>
          <w:rtl/>
          <w:lang w:bidi="ar-LB"/>
        </w:rPr>
        <w:t xml:space="preserve"> كنّا مستحقّين للتحسين لو فعلنا ذلك.</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والآخر</w:t>
      </w:r>
      <w:r w:rsidRPr="00282AC9">
        <w:rPr>
          <w:rFonts w:hint="cs"/>
          <w:sz w:val="27"/>
          <w:rtl/>
          <w:lang w:bidi="ar-LB"/>
        </w:rPr>
        <w:t>: شيوع اختيار الأفعال القبيحة وترك الأفعال الح</w:t>
      </w:r>
      <w:r w:rsidR="00A43BE7" w:rsidRPr="00282AC9">
        <w:rPr>
          <w:rFonts w:hint="cs"/>
          <w:sz w:val="27"/>
          <w:rtl/>
          <w:lang w:bidi="ar-LB"/>
        </w:rPr>
        <w:t>َ</w:t>
      </w:r>
      <w:r w:rsidRPr="00282AC9">
        <w:rPr>
          <w:rFonts w:hint="cs"/>
          <w:sz w:val="27"/>
          <w:rtl/>
          <w:lang w:bidi="ar-LB"/>
        </w:rPr>
        <w:t>س</w:t>
      </w:r>
      <w:r w:rsidR="00A43BE7" w:rsidRPr="00282AC9">
        <w:rPr>
          <w:rFonts w:hint="cs"/>
          <w:sz w:val="27"/>
          <w:rtl/>
          <w:lang w:bidi="ar-LB"/>
        </w:rPr>
        <w:t>َ</w:t>
      </w:r>
      <w:r w:rsidRPr="00282AC9">
        <w:rPr>
          <w:rFonts w:hint="cs"/>
          <w:sz w:val="27"/>
          <w:rtl/>
          <w:lang w:bidi="ar-LB"/>
        </w:rPr>
        <w:t>نة من العقلاء أنفسهم، ومن الواضح أنّ الفعل الاختياريّ مسبوق</w:t>
      </w:r>
      <w:r w:rsidR="00A43BE7" w:rsidRPr="00282AC9">
        <w:rPr>
          <w:rFonts w:hint="cs"/>
          <w:sz w:val="27"/>
          <w:rtl/>
          <w:lang w:bidi="ar-LB"/>
        </w:rPr>
        <w:t>ٌ</w:t>
      </w:r>
      <w:r w:rsidRPr="00282AC9">
        <w:rPr>
          <w:rFonts w:hint="cs"/>
          <w:sz w:val="27"/>
          <w:rtl/>
          <w:lang w:bidi="ar-LB"/>
        </w:rPr>
        <w:t xml:space="preserve"> بالإرادة والشوق الأكيد المحرّ</w:t>
      </w:r>
      <w:r w:rsidR="00A43BE7" w:rsidRPr="00282AC9">
        <w:rPr>
          <w:rFonts w:hint="cs"/>
          <w:sz w:val="27"/>
          <w:rtl/>
          <w:lang w:bidi="ar-LB"/>
        </w:rPr>
        <w:t>ِ</w:t>
      </w:r>
      <w:r w:rsidRPr="00282AC9">
        <w:rPr>
          <w:rFonts w:hint="cs"/>
          <w:sz w:val="27"/>
          <w:rtl/>
          <w:lang w:bidi="ar-LB"/>
        </w:rPr>
        <w:t>ك للعضلات</w:t>
      </w:r>
      <w:r w:rsidR="00A43BE7" w:rsidRPr="00282AC9">
        <w:rPr>
          <w:rFonts w:hint="cs"/>
          <w:sz w:val="27"/>
          <w:rtl/>
          <w:lang w:bidi="ar-LB"/>
        </w:rPr>
        <w:t>،</w:t>
      </w:r>
      <w:r w:rsidRPr="00282AC9">
        <w:rPr>
          <w:rFonts w:hint="cs"/>
          <w:sz w:val="27"/>
          <w:rtl/>
          <w:lang w:bidi="ar-LB"/>
        </w:rPr>
        <w:t xml:space="preserve"> ولو ت</w:t>
      </w:r>
      <w:r w:rsidR="00A43BE7" w:rsidRPr="00282AC9">
        <w:rPr>
          <w:rFonts w:hint="cs"/>
          <w:sz w:val="27"/>
          <w:rtl/>
          <w:lang w:bidi="ar-LB"/>
        </w:rPr>
        <w:t>َ</w:t>
      </w:r>
      <w:r w:rsidRPr="00282AC9">
        <w:rPr>
          <w:rFonts w:hint="cs"/>
          <w:sz w:val="27"/>
          <w:rtl/>
          <w:lang w:bidi="ar-LB"/>
        </w:rPr>
        <w:t>ب</w:t>
      </w:r>
      <w:r w:rsidR="00A43BE7" w:rsidRPr="00282AC9">
        <w:rPr>
          <w:rFonts w:hint="cs"/>
          <w:sz w:val="27"/>
          <w:rtl/>
          <w:lang w:bidi="ar-LB"/>
        </w:rPr>
        <w:t>َ</w:t>
      </w:r>
      <w:r w:rsidRPr="00282AC9">
        <w:rPr>
          <w:rFonts w:hint="cs"/>
          <w:sz w:val="27"/>
          <w:rtl/>
          <w:lang w:bidi="ar-LB"/>
        </w:rPr>
        <w:t>عاً</w:t>
      </w:r>
      <w:r w:rsidRPr="00282AC9">
        <w:rPr>
          <w:sz w:val="27"/>
          <w:vertAlign w:val="superscript"/>
          <w:rtl/>
          <w:lang w:bidi="ar-LB"/>
        </w:rPr>
        <w:t>(</w:t>
      </w:r>
      <w:r w:rsidRPr="00282AC9">
        <w:rPr>
          <w:rStyle w:val="af9"/>
          <w:sz w:val="27"/>
          <w:rtl/>
          <w:lang w:bidi="ar-LB"/>
        </w:rPr>
        <w:endnoteReference w:id="29"/>
      </w:r>
      <w:r w:rsidRPr="00282AC9">
        <w:rPr>
          <w:sz w:val="27"/>
          <w:vertAlign w:val="superscript"/>
          <w:rtl/>
          <w:lang w:bidi="ar-LB"/>
        </w:rPr>
        <w:t>)</w:t>
      </w:r>
      <w:r w:rsidRPr="00282AC9">
        <w:rPr>
          <w:rFonts w:hint="cs"/>
          <w:sz w:val="27"/>
          <w:rtl/>
          <w:lang w:bidi="ar-LB"/>
        </w:rPr>
        <w:t>. وهذا دليل</w:t>
      </w:r>
      <w:r w:rsidR="00A43BE7" w:rsidRPr="00282AC9">
        <w:rPr>
          <w:rFonts w:hint="cs"/>
          <w:sz w:val="27"/>
          <w:rtl/>
          <w:lang w:bidi="ar-LB"/>
        </w:rPr>
        <w:t>ٌ</w:t>
      </w:r>
      <w:r w:rsidRPr="00282AC9">
        <w:rPr>
          <w:rFonts w:hint="cs"/>
          <w:sz w:val="27"/>
          <w:rtl/>
          <w:lang w:bidi="ar-LB"/>
        </w:rPr>
        <w:t xml:space="preserve"> على عدم الملازمة بين تحسين الفعل وإرادته، والسرّ</w:t>
      </w:r>
      <w:r w:rsidR="00A43BE7" w:rsidRPr="00282AC9">
        <w:rPr>
          <w:rFonts w:hint="cs"/>
          <w:sz w:val="27"/>
          <w:rtl/>
          <w:lang w:bidi="ar-LB"/>
        </w:rPr>
        <w:t>ُ أن</w:t>
      </w:r>
      <w:r w:rsidRPr="00282AC9">
        <w:rPr>
          <w:rFonts w:hint="cs"/>
          <w:sz w:val="27"/>
          <w:rtl/>
          <w:lang w:bidi="ar-LB"/>
        </w:rPr>
        <w:t xml:space="preserve"> الداعي</w:t>
      </w:r>
      <w:r w:rsidR="00A43BE7" w:rsidRPr="00282AC9">
        <w:rPr>
          <w:rFonts w:hint="cs"/>
          <w:sz w:val="27"/>
          <w:rtl/>
          <w:lang w:bidi="ar-LB"/>
        </w:rPr>
        <w:t>،</w:t>
      </w:r>
      <w:r w:rsidRPr="00282AC9">
        <w:rPr>
          <w:rFonts w:hint="cs"/>
          <w:sz w:val="27"/>
          <w:rtl/>
          <w:lang w:bidi="ar-LB"/>
        </w:rPr>
        <w:t xml:space="preserve"> الذي هو سبب الإرادة</w:t>
      </w:r>
      <w:r w:rsidR="00A43BE7" w:rsidRPr="00282AC9">
        <w:rPr>
          <w:rFonts w:hint="cs"/>
          <w:sz w:val="27"/>
          <w:rtl/>
          <w:lang w:bidi="ar-LB"/>
        </w:rPr>
        <w:t>،</w:t>
      </w:r>
      <w:r w:rsidRPr="00282AC9">
        <w:rPr>
          <w:rFonts w:hint="cs"/>
          <w:sz w:val="27"/>
          <w:rtl/>
          <w:lang w:bidi="ar-LB"/>
        </w:rPr>
        <w:t xml:space="preserve"> يختلف باختلاف الأحوال والأشخاص</w:t>
      </w:r>
      <w:r w:rsidR="00A43BE7" w:rsidRPr="00282AC9">
        <w:rPr>
          <w:rFonts w:hint="cs"/>
          <w:sz w:val="27"/>
          <w:rtl/>
          <w:lang w:bidi="ar-LB"/>
        </w:rPr>
        <w:t>،</w:t>
      </w:r>
      <w:r w:rsidRPr="00282AC9">
        <w:rPr>
          <w:rFonts w:hint="cs"/>
          <w:sz w:val="27"/>
          <w:rtl/>
          <w:lang w:bidi="ar-LB"/>
        </w:rPr>
        <w:t xml:space="preserve"> وغلبة الشهوات</w:t>
      </w:r>
      <w:r w:rsidR="00A43BE7" w:rsidRPr="00282AC9">
        <w:rPr>
          <w:rFonts w:hint="cs"/>
          <w:sz w:val="27"/>
          <w:rtl/>
          <w:lang w:bidi="ar-LB"/>
        </w:rPr>
        <w:t>،</w:t>
      </w:r>
      <w:r w:rsidRPr="00282AC9">
        <w:rPr>
          <w:rFonts w:hint="cs"/>
          <w:sz w:val="27"/>
          <w:rtl/>
          <w:lang w:bidi="ar-LB"/>
        </w:rPr>
        <w:t xml:space="preserve"> والتفاوت في الم</w:t>
      </w:r>
      <w:r w:rsidR="00A43BE7" w:rsidRPr="00282AC9">
        <w:rPr>
          <w:rFonts w:hint="cs"/>
          <w:sz w:val="27"/>
          <w:rtl/>
          <w:lang w:bidi="ar-LB"/>
        </w:rPr>
        <w:t>َ</w:t>
      </w:r>
      <w:r w:rsidRPr="00282AC9">
        <w:rPr>
          <w:rFonts w:hint="cs"/>
          <w:sz w:val="27"/>
          <w:rtl/>
          <w:lang w:bidi="ar-LB"/>
        </w:rPr>
        <w:t>ل</w:t>
      </w:r>
      <w:r w:rsidR="00A43BE7" w:rsidRPr="00282AC9">
        <w:rPr>
          <w:rFonts w:hint="cs"/>
          <w:sz w:val="27"/>
          <w:rtl/>
          <w:lang w:bidi="ar-LB"/>
        </w:rPr>
        <w:t>َ</w:t>
      </w:r>
      <w:r w:rsidRPr="00282AC9">
        <w:rPr>
          <w:rFonts w:hint="cs"/>
          <w:sz w:val="27"/>
          <w:rtl/>
          <w:lang w:bidi="ar-LB"/>
        </w:rPr>
        <w:t>كات</w:t>
      </w:r>
      <w:r w:rsidR="00A43BE7" w:rsidRPr="00282AC9">
        <w:rPr>
          <w:rFonts w:hint="cs"/>
          <w:sz w:val="27"/>
          <w:rtl/>
          <w:lang w:bidi="ar-LB"/>
        </w:rPr>
        <w:t>،</w:t>
      </w:r>
      <w:r w:rsidRPr="00282AC9">
        <w:rPr>
          <w:rFonts w:hint="cs"/>
          <w:sz w:val="27"/>
          <w:rtl/>
          <w:lang w:bidi="ar-LB"/>
        </w:rPr>
        <w:t xml:space="preserve"> وملاحظة نظام الكائنات.</w:t>
      </w:r>
    </w:p>
    <w:p w:rsidR="00A9019A" w:rsidRPr="00282AC9" w:rsidRDefault="00A9019A" w:rsidP="00B16272">
      <w:pPr>
        <w:tabs>
          <w:tab w:val="right" w:pos="6930"/>
        </w:tabs>
        <w:suppressAutoHyphens/>
        <w:rPr>
          <w:sz w:val="27"/>
          <w:rtl/>
          <w:lang w:bidi="ar-LB"/>
        </w:rPr>
      </w:pPr>
      <w:r w:rsidRPr="00282AC9">
        <w:rPr>
          <w:rFonts w:hint="cs"/>
          <w:b/>
          <w:bCs/>
          <w:sz w:val="27"/>
          <w:rtl/>
          <w:lang w:bidi="ar-LB"/>
        </w:rPr>
        <w:t>الفقرة الثالثة</w:t>
      </w:r>
      <w:r w:rsidRPr="00282AC9">
        <w:rPr>
          <w:rFonts w:hint="cs"/>
          <w:sz w:val="27"/>
          <w:rtl/>
          <w:lang w:bidi="ar-LB"/>
        </w:rPr>
        <w:t>: في تكميل البحث بذكر اعتراضين على المختار</w:t>
      </w:r>
      <w:r w:rsidR="00A43BE7" w:rsidRPr="00282AC9">
        <w:rPr>
          <w:rFonts w:hint="cs"/>
          <w:sz w:val="27"/>
          <w:rtl/>
          <w:lang w:bidi="ar-LB"/>
        </w:rPr>
        <w:t>،</w:t>
      </w:r>
      <w:r w:rsidRPr="00282AC9">
        <w:rPr>
          <w:rFonts w:hint="cs"/>
          <w:sz w:val="27"/>
          <w:rtl/>
          <w:lang w:bidi="ar-LB"/>
        </w:rPr>
        <w:t xml:space="preserve"> والإجابة عنهما:</w:t>
      </w:r>
    </w:p>
    <w:p w:rsidR="00A9019A" w:rsidRPr="00282AC9" w:rsidRDefault="00A9019A" w:rsidP="00B16272">
      <w:pPr>
        <w:tabs>
          <w:tab w:val="right" w:pos="6930"/>
        </w:tabs>
        <w:suppressAutoHyphens/>
        <w:rPr>
          <w:sz w:val="27"/>
          <w:rtl/>
          <w:lang w:bidi="ar-LB"/>
        </w:rPr>
      </w:pPr>
      <w:r w:rsidRPr="00282AC9">
        <w:rPr>
          <w:rFonts w:hint="cs"/>
          <w:sz w:val="27"/>
          <w:rtl/>
          <w:lang w:bidi="ar-LB"/>
        </w:rPr>
        <w:t>أمّا الأوّل فهو أنّ الح</w:t>
      </w:r>
      <w:r w:rsidR="00A43BE7" w:rsidRPr="00282AC9">
        <w:rPr>
          <w:rFonts w:hint="cs"/>
          <w:sz w:val="27"/>
          <w:rtl/>
          <w:lang w:bidi="ar-LB"/>
        </w:rPr>
        <w:t>ُ</w:t>
      </w:r>
      <w:r w:rsidRPr="00282AC9">
        <w:rPr>
          <w:rFonts w:hint="cs"/>
          <w:sz w:val="27"/>
          <w:rtl/>
          <w:lang w:bidi="ar-LB"/>
        </w:rPr>
        <w:t>س</w:t>
      </w:r>
      <w:r w:rsidR="00A43BE7" w:rsidRPr="00282AC9">
        <w:rPr>
          <w:rFonts w:hint="cs"/>
          <w:sz w:val="27"/>
          <w:rtl/>
          <w:lang w:bidi="ar-LB"/>
        </w:rPr>
        <w:t>ْ</w:t>
      </w:r>
      <w:r w:rsidRPr="00282AC9">
        <w:rPr>
          <w:rFonts w:hint="cs"/>
          <w:sz w:val="27"/>
          <w:rtl/>
          <w:lang w:bidi="ar-LB"/>
        </w:rPr>
        <w:t>ن والق</w:t>
      </w:r>
      <w:r w:rsidR="00A43BE7" w:rsidRPr="00282AC9">
        <w:rPr>
          <w:rFonts w:hint="cs"/>
          <w:sz w:val="27"/>
          <w:rtl/>
          <w:lang w:bidi="ar-LB"/>
        </w:rPr>
        <w:t>ُ</w:t>
      </w:r>
      <w:r w:rsidRPr="00282AC9">
        <w:rPr>
          <w:rFonts w:hint="cs"/>
          <w:sz w:val="27"/>
          <w:rtl/>
          <w:lang w:bidi="ar-LB"/>
        </w:rPr>
        <w:t>ب</w:t>
      </w:r>
      <w:r w:rsidR="00A43BE7" w:rsidRPr="00282AC9">
        <w:rPr>
          <w:rFonts w:hint="cs"/>
          <w:sz w:val="27"/>
          <w:rtl/>
          <w:lang w:bidi="ar-LB"/>
        </w:rPr>
        <w:t>ْح إ</w:t>
      </w:r>
      <w:r w:rsidRPr="00282AC9">
        <w:rPr>
          <w:rFonts w:hint="cs"/>
          <w:sz w:val="27"/>
          <w:rtl/>
          <w:lang w:bidi="ar-LB"/>
        </w:rPr>
        <w:t xml:space="preserve">ذا كانا </w:t>
      </w:r>
      <w:r w:rsidR="00187207" w:rsidRPr="00282AC9">
        <w:rPr>
          <w:rFonts w:hint="cs"/>
          <w:sz w:val="27"/>
          <w:rtl/>
          <w:lang w:bidi="ar-LB"/>
        </w:rPr>
        <w:t xml:space="preserve">ـ </w:t>
      </w:r>
      <w:r w:rsidRPr="00282AC9">
        <w:rPr>
          <w:rFonts w:hint="cs"/>
          <w:sz w:val="27"/>
          <w:rtl/>
          <w:lang w:bidi="ar-LB"/>
        </w:rPr>
        <w:t>ح</w:t>
      </w:r>
      <w:r w:rsidR="00A43BE7" w:rsidRPr="00282AC9">
        <w:rPr>
          <w:rFonts w:hint="cs"/>
          <w:sz w:val="27"/>
          <w:rtl/>
          <w:lang w:bidi="ar-LB"/>
        </w:rPr>
        <w:t>َ</w:t>
      </w:r>
      <w:r w:rsidRPr="00282AC9">
        <w:rPr>
          <w:rFonts w:hint="cs"/>
          <w:sz w:val="27"/>
          <w:rtl/>
          <w:lang w:bidi="ar-LB"/>
        </w:rPr>
        <w:t>س</w:t>
      </w:r>
      <w:r w:rsidR="00A43BE7" w:rsidRPr="00282AC9">
        <w:rPr>
          <w:rFonts w:hint="cs"/>
          <w:sz w:val="27"/>
          <w:rtl/>
          <w:lang w:bidi="ar-LB"/>
        </w:rPr>
        <w:t>ْ</w:t>
      </w:r>
      <w:r w:rsidRPr="00282AC9">
        <w:rPr>
          <w:rFonts w:hint="cs"/>
          <w:sz w:val="27"/>
          <w:rtl/>
          <w:lang w:bidi="ar-LB"/>
        </w:rPr>
        <w:t xml:space="preserve">ب المختار </w:t>
      </w:r>
      <w:r w:rsidR="00187207" w:rsidRPr="00282AC9">
        <w:rPr>
          <w:rFonts w:hint="cs"/>
          <w:sz w:val="27"/>
          <w:rtl/>
          <w:lang w:bidi="ar-LB"/>
        </w:rPr>
        <w:t xml:space="preserve">ـ </w:t>
      </w:r>
      <w:r w:rsidRPr="00282AC9">
        <w:rPr>
          <w:rFonts w:hint="cs"/>
          <w:sz w:val="27"/>
          <w:rtl/>
          <w:lang w:bidi="ar-LB"/>
        </w:rPr>
        <w:t>عبارة</w:t>
      </w:r>
      <w:r w:rsidR="00A43BE7" w:rsidRPr="00282AC9">
        <w:rPr>
          <w:rFonts w:hint="cs"/>
          <w:sz w:val="27"/>
          <w:rtl/>
          <w:lang w:bidi="ar-LB"/>
        </w:rPr>
        <w:t>ً</w:t>
      </w:r>
      <w:r w:rsidRPr="00282AC9">
        <w:rPr>
          <w:rFonts w:hint="cs"/>
          <w:sz w:val="27"/>
          <w:rtl/>
          <w:lang w:bidi="ar-LB"/>
        </w:rPr>
        <w:t xml:space="preserve"> عن استعجاب العقل ورضاه بالفعل أو استغرابه وسخطه عليه فلا معنى لانفكاكهما عن الإرادة والكراهة بعد مساوقتهما لهما</w:t>
      </w:r>
      <w:r w:rsidR="00187207" w:rsidRPr="00282AC9">
        <w:rPr>
          <w:rFonts w:hint="cs"/>
          <w:sz w:val="27"/>
          <w:rtl/>
          <w:lang w:bidi="ar-LB"/>
        </w:rPr>
        <w:t>،</w:t>
      </w:r>
      <w:r w:rsidRPr="00282AC9">
        <w:rPr>
          <w:rFonts w:hint="cs"/>
          <w:sz w:val="27"/>
          <w:rtl/>
          <w:lang w:bidi="ar-LB"/>
        </w:rPr>
        <w:t xml:space="preserve"> ح</w:t>
      </w:r>
      <w:r w:rsidR="00187207" w:rsidRPr="00282AC9">
        <w:rPr>
          <w:rFonts w:hint="cs"/>
          <w:sz w:val="27"/>
          <w:rtl/>
          <w:lang w:bidi="ar-LB"/>
        </w:rPr>
        <w:t>َ</w:t>
      </w:r>
      <w:r w:rsidRPr="00282AC9">
        <w:rPr>
          <w:rFonts w:hint="cs"/>
          <w:sz w:val="27"/>
          <w:rtl/>
          <w:lang w:bidi="ar-LB"/>
        </w:rPr>
        <w:t>س</w:t>
      </w:r>
      <w:r w:rsidR="00187207" w:rsidRPr="00282AC9">
        <w:rPr>
          <w:rFonts w:hint="cs"/>
          <w:sz w:val="27"/>
          <w:rtl/>
          <w:lang w:bidi="ar-LB"/>
        </w:rPr>
        <w:t>ْ</w:t>
      </w:r>
      <w:r w:rsidRPr="00282AC9">
        <w:rPr>
          <w:rFonts w:hint="cs"/>
          <w:sz w:val="27"/>
          <w:rtl/>
          <w:lang w:bidi="ar-LB"/>
        </w:rPr>
        <w:t>ب هذا التقريب.</w:t>
      </w:r>
    </w:p>
    <w:p w:rsidR="00A9019A" w:rsidRPr="00282AC9" w:rsidRDefault="00A9019A" w:rsidP="00B16272">
      <w:pPr>
        <w:tabs>
          <w:tab w:val="right" w:pos="6930"/>
        </w:tabs>
        <w:suppressAutoHyphens/>
        <w:rPr>
          <w:sz w:val="27"/>
          <w:rtl/>
          <w:lang w:bidi="ar-LB"/>
        </w:rPr>
      </w:pPr>
      <w:r w:rsidRPr="00282AC9">
        <w:rPr>
          <w:rFonts w:hint="cs"/>
          <w:sz w:val="27"/>
          <w:rtl/>
          <w:lang w:bidi="ar-LB"/>
        </w:rPr>
        <w:t>والجواب عنه</w:t>
      </w:r>
      <w:r w:rsidR="00187207" w:rsidRPr="00282AC9">
        <w:rPr>
          <w:rFonts w:hint="cs"/>
          <w:sz w:val="27"/>
          <w:rtl/>
          <w:lang w:bidi="ar-LB"/>
        </w:rPr>
        <w:t xml:space="preserve"> </w:t>
      </w:r>
      <w:r w:rsidRPr="00282AC9">
        <w:rPr>
          <w:rFonts w:hint="cs"/>
          <w:sz w:val="27"/>
          <w:rtl/>
          <w:lang w:bidi="ar-LB"/>
        </w:rPr>
        <w:t>واضح</w:t>
      </w:r>
      <w:r w:rsidR="00187207" w:rsidRPr="00282AC9">
        <w:rPr>
          <w:rFonts w:hint="cs"/>
          <w:sz w:val="27"/>
          <w:rtl/>
          <w:lang w:bidi="ar-LB"/>
        </w:rPr>
        <w:t>ٌ</w:t>
      </w:r>
      <w:r w:rsidRPr="00282AC9">
        <w:rPr>
          <w:rFonts w:hint="cs"/>
          <w:sz w:val="27"/>
          <w:rtl/>
          <w:lang w:bidi="ar-LB"/>
        </w:rPr>
        <w:t xml:space="preserve"> بعد ملاحظة ما سبق من شهادة الوجدان وعمل العقلاء.</w:t>
      </w:r>
    </w:p>
    <w:p w:rsidR="00A9019A" w:rsidRPr="00282AC9" w:rsidRDefault="00A9019A" w:rsidP="00B16272">
      <w:pPr>
        <w:tabs>
          <w:tab w:val="right" w:pos="6930"/>
        </w:tabs>
        <w:suppressAutoHyphens/>
        <w:rPr>
          <w:sz w:val="27"/>
          <w:rtl/>
          <w:lang w:bidi="ar-LB"/>
        </w:rPr>
      </w:pPr>
      <w:r w:rsidRPr="00282AC9">
        <w:rPr>
          <w:rFonts w:hint="cs"/>
          <w:sz w:val="27"/>
          <w:rtl/>
          <w:lang w:bidi="ar-LB"/>
        </w:rPr>
        <w:t>ولعلّ الحل</w:t>
      </w:r>
      <w:r w:rsidR="00CE178D" w:rsidRPr="00282AC9">
        <w:rPr>
          <w:rFonts w:hint="cs"/>
          <w:sz w:val="27"/>
          <w:rtl/>
          <w:lang w:bidi="ar-LB"/>
        </w:rPr>
        <w:t>ّ</w:t>
      </w:r>
      <w:r w:rsidRPr="00282AC9">
        <w:rPr>
          <w:rFonts w:hint="cs"/>
          <w:sz w:val="27"/>
          <w:rtl/>
          <w:lang w:bidi="ar-LB"/>
        </w:rPr>
        <w:t xml:space="preserve"> المقصود بهذا الجواب: هو أنّ إرادة المريد ورضاه بالفعل لا تتأث</w:t>
      </w:r>
      <w:r w:rsidR="00187207" w:rsidRPr="00282AC9">
        <w:rPr>
          <w:rFonts w:hint="cs"/>
          <w:sz w:val="27"/>
          <w:rtl/>
          <w:lang w:bidi="ar-LB"/>
        </w:rPr>
        <w:t>َّ</w:t>
      </w:r>
      <w:r w:rsidRPr="00282AC9">
        <w:rPr>
          <w:rFonts w:hint="cs"/>
          <w:sz w:val="27"/>
          <w:rtl/>
          <w:lang w:bidi="ar-LB"/>
        </w:rPr>
        <w:t>ر برضا العقل واستعجابه فح</w:t>
      </w:r>
      <w:r w:rsidR="00187207" w:rsidRPr="00282AC9">
        <w:rPr>
          <w:rFonts w:hint="cs"/>
          <w:sz w:val="27"/>
          <w:rtl/>
          <w:lang w:bidi="ar-LB"/>
        </w:rPr>
        <w:t>َ</w:t>
      </w:r>
      <w:r w:rsidRPr="00282AC9">
        <w:rPr>
          <w:rFonts w:hint="cs"/>
          <w:sz w:val="27"/>
          <w:rtl/>
          <w:lang w:bidi="ar-LB"/>
        </w:rPr>
        <w:t>س</w:t>
      </w:r>
      <w:r w:rsidR="00187207" w:rsidRPr="00282AC9">
        <w:rPr>
          <w:rFonts w:hint="cs"/>
          <w:sz w:val="27"/>
          <w:rtl/>
          <w:lang w:bidi="ar-LB"/>
        </w:rPr>
        <w:t>ْ</w:t>
      </w:r>
      <w:r w:rsidRPr="00282AC9">
        <w:rPr>
          <w:rFonts w:hint="cs"/>
          <w:sz w:val="27"/>
          <w:rtl/>
          <w:lang w:bidi="ar-LB"/>
        </w:rPr>
        <w:t>ب</w:t>
      </w:r>
      <w:r w:rsidR="00187207" w:rsidRPr="00282AC9">
        <w:rPr>
          <w:rFonts w:hint="cs"/>
          <w:sz w:val="27"/>
          <w:rtl/>
          <w:lang w:bidi="ar-LB"/>
        </w:rPr>
        <w:t>،</w:t>
      </w:r>
      <w:r w:rsidRPr="00282AC9">
        <w:rPr>
          <w:rFonts w:hint="cs"/>
          <w:sz w:val="27"/>
          <w:rtl/>
          <w:lang w:bidi="ar-LB"/>
        </w:rPr>
        <w:t xml:space="preserve"> حت</w:t>
      </w:r>
      <w:r w:rsidR="00187207" w:rsidRPr="00282AC9">
        <w:rPr>
          <w:rFonts w:hint="cs"/>
          <w:sz w:val="27"/>
          <w:rtl/>
          <w:lang w:bidi="ar-LB"/>
        </w:rPr>
        <w:t>ّ</w:t>
      </w:r>
      <w:r w:rsidRPr="00282AC9">
        <w:rPr>
          <w:rFonts w:hint="cs"/>
          <w:sz w:val="27"/>
          <w:rtl/>
          <w:lang w:bidi="ar-LB"/>
        </w:rPr>
        <w:t>ى تتكوّ</w:t>
      </w:r>
      <w:r w:rsidR="00187207" w:rsidRPr="00282AC9">
        <w:rPr>
          <w:rFonts w:hint="cs"/>
          <w:sz w:val="27"/>
          <w:rtl/>
          <w:lang w:bidi="ar-LB"/>
        </w:rPr>
        <w:t>َ</w:t>
      </w:r>
      <w:r w:rsidRPr="00282AC9">
        <w:rPr>
          <w:rFonts w:hint="cs"/>
          <w:sz w:val="27"/>
          <w:rtl/>
          <w:lang w:bidi="ar-LB"/>
        </w:rPr>
        <w:t>ن الملازمة بينهما، بل هناك مؤثّ</w:t>
      </w:r>
      <w:r w:rsidR="00187207" w:rsidRPr="00282AC9">
        <w:rPr>
          <w:rFonts w:hint="cs"/>
          <w:sz w:val="27"/>
          <w:rtl/>
          <w:lang w:bidi="ar-LB"/>
        </w:rPr>
        <w:t>ِ</w:t>
      </w:r>
      <w:r w:rsidRPr="00282AC9">
        <w:rPr>
          <w:rFonts w:hint="cs"/>
          <w:sz w:val="27"/>
          <w:rtl/>
          <w:lang w:bidi="ar-LB"/>
        </w:rPr>
        <w:t>ر</w:t>
      </w:r>
      <w:r w:rsidR="00187207" w:rsidRPr="00282AC9">
        <w:rPr>
          <w:rFonts w:hint="cs"/>
          <w:sz w:val="27"/>
          <w:rtl/>
          <w:lang w:bidi="ar-LB"/>
        </w:rPr>
        <w:t>ٌ</w:t>
      </w:r>
      <w:r w:rsidRPr="00282AC9">
        <w:rPr>
          <w:rFonts w:hint="cs"/>
          <w:sz w:val="27"/>
          <w:rtl/>
          <w:lang w:bidi="ar-LB"/>
        </w:rPr>
        <w:t xml:space="preserve"> لسا</w:t>
      </w:r>
      <w:r w:rsidR="00187207" w:rsidRPr="00282AC9">
        <w:rPr>
          <w:rFonts w:hint="cs"/>
          <w:sz w:val="27"/>
          <w:rtl/>
          <w:lang w:bidi="ar-LB"/>
        </w:rPr>
        <w:t>ئ</w:t>
      </w:r>
      <w:r w:rsidRPr="00282AC9">
        <w:rPr>
          <w:rFonts w:hint="cs"/>
          <w:sz w:val="27"/>
          <w:rtl/>
          <w:lang w:bidi="ar-LB"/>
        </w:rPr>
        <w:t>ر الدواعي والأغراض النفسية.</w:t>
      </w:r>
    </w:p>
    <w:p w:rsidR="00A9019A" w:rsidRPr="00282AC9" w:rsidRDefault="00A9019A" w:rsidP="00B16272">
      <w:pPr>
        <w:tabs>
          <w:tab w:val="right" w:pos="6930"/>
        </w:tabs>
        <w:suppressAutoHyphens/>
        <w:rPr>
          <w:sz w:val="27"/>
          <w:rtl/>
          <w:lang w:bidi="ar-LB"/>
        </w:rPr>
      </w:pPr>
      <w:r w:rsidRPr="00282AC9">
        <w:rPr>
          <w:rFonts w:hint="cs"/>
          <w:sz w:val="27"/>
          <w:rtl/>
          <w:lang w:bidi="ar-LB"/>
        </w:rPr>
        <w:t>وأمّا الثاني فهو أنّ تأث</w:t>
      </w:r>
      <w:r w:rsidR="00187207" w:rsidRPr="00282AC9">
        <w:rPr>
          <w:rFonts w:hint="cs"/>
          <w:sz w:val="27"/>
          <w:rtl/>
          <w:lang w:bidi="ar-LB"/>
        </w:rPr>
        <w:t>ُّ</w:t>
      </w:r>
      <w:r w:rsidRPr="00282AC9">
        <w:rPr>
          <w:rFonts w:hint="cs"/>
          <w:sz w:val="27"/>
          <w:rtl/>
          <w:lang w:bidi="ar-LB"/>
        </w:rPr>
        <w:t>ر الإرادة بتلك الأغراض والدواعي المخالفة للح</w:t>
      </w:r>
      <w:r w:rsidR="00187207" w:rsidRPr="00282AC9">
        <w:rPr>
          <w:rFonts w:hint="cs"/>
          <w:sz w:val="27"/>
          <w:rtl/>
          <w:lang w:bidi="ar-LB"/>
        </w:rPr>
        <w:t>ُ</w:t>
      </w:r>
      <w:r w:rsidRPr="00282AC9">
        <w:rPr>
          <w:rFonts w:hint="cs"/>
          <w:sz w:val="27"/>
          <w:rtl/>
          <w:lang w:bidi="ar-LB"/>
        </w:rPr>
        <w:t>س</w:t>
      </w:r>
      <w:r w:rsidR="00187207" w:rsidRPr="00282AC9">
        <w:rPr>
          <w:rFonts w:hint="cs"/>
          <w:sz w:val="27"/>
          <w:rtl/>
          <w:lang w:bidi="ar-LB"/>
        </w:rPr>
        <w:t>ْ</w:t>
      </w:r>
      <w:r w:rsidRPr="00282AC9">
        <w:rPr>
          <w:rFonts w:hint="cs"/>
          <w:sz w:val="27"/>
          <w:rtl/>
          <w:lang w:bidi="ar-LB"/>
        </w:rPr>
        <w:t>ن العقلي لو تمّ</w:t>
      </w:r>
      <w:r w:rsidR="00187207" w:rsidRPr="00282AC9">
        <w:rPr>
          <w:rFonts w:hint="cs"/>
          <w:sz w:val="27"/>
          <w:rtl/>
          <w:lang w:bidi="ar-LB"/>
        </w:rPr>
        <w:t>َ</w:t>
      </w:r>
      <w:r w:rsidRPr="00282AC9">
        <w:rPr>
          <w:rFonts w:hint="cs"/>
          <w:sz w:val="27"/>
          <w:rtl/>
          <w:lang w:bidi="ar-LB"/>
        </w:rPr>
        <w:t xml:space="preserve"> فإنّما يتمّ في</w:t>
      </w:r>
      <w:r w:rsidR="00187207" w:rsidRPr="00282AC9">
        <w:rPr>
          <w:rFonts w:hint="cs"/>
          <w:sz w:val="27"/>
          <w:rtl/>
          <w:lang w:bidi="ar-LB"/>
        </w:rPr>
        <w:t xml:space="preserve"> </w:t>
      </w:r>
      <w:r w:rsidRPr="00282AC9">
        <w:rPr>
          <w:rFonts w:hint="cs"/>
          <w:sz w:val="27"/>
          <w:rtl/>
          <w:lang w:bidi="ar-LB"/>
        </w:rPr>
        <w:t>ما سوى الله تبارك وتعالى، فلا وجه لتسرية الدعوى من العقلاء</w:t>
      </w:r>
      <w:r w:rsidR="005053B3" w:rsidRPr="00282AC9">
        <w:rPr>
          <w:rFonts w:hint="cs"/>
          <w:sz w:val="27"/>
          <w:rtl/>
          <w:lang w:bidi="ar-LB"/>
        </w:rPr>
        <w:t xml:space="preserve"> إلى </w:t>
      </w:r>
      <w:r w:rsidRPr="00282AC9">
        <w:rPr>
          <w:rFonts w:hint="cs"/>
          <w:sz w:val="27"/>
          <w:rtl/>
          <w:lang w:bidi="ar-LB"/>
        </w:rPr>
        <w:t>الله تبارك وتعالى؛ لوضوح أنّ الإرادة والكراهة فيه تعالى ليست إلاّ علمه بمصلحة الفعل ومفسدته، ولا</w:t>
      </w:r>
      <w:r w:rsidR="00187207" w:rsidRPr="00282AC9">
        <w:rPr>
          <w:rFonts w:hint="cs"/>
          <w:sz w:val="27"/>
          <w:rtl/>
          <w:lang w:bidi="ar-LB"/>
        </w:rPr>
        <w:t xml:space="preserve"> </w:t>
      </w:r>
      <w:r w:rsidRPr="00282AC9">
        <w:rPr>
          <w:rFonts w:hint="cs"/>
          <w:sz w:val="27"/>
          <w:rtl/>
          <w:lang w:bidi="ar-LB"/>
        </w:rPr>
        <w:t>ح</w:t>
      </w:r>
      <w:r w:rsidR="00187207" w:rsidRPr="00282AC9">
        <w:rPr>
          <w:rFonts w:hint="cs"/>
          <w:sz w:val="27"/>
          <w:rtl/>
          <w:lang w:bidi="ar-LB"/>
        </w:rPr>
        <w:t>ُ</w:t>
      </w:r>
      <w:r w:rsidRPr="00282AC9">
        <w:rPr>
          <w:rFonts w:hint="cs"/>
          <w:sz w:val="27"/>
          <w:rtl/>
          <w:lang w:bidi="ar-LB"/>
        </w:rPr>
        <w:t>س</w:t>
      </w:r>
      <w:r w:rsidR="00187207" w:rsidRPr="00282AC9">
        <w:rPr>
          <w:rFonts w:hint="cs"/>
          <w:sz w:val="27"/>
          <w:rtl/>
          <w:lang w:bidi="ar-LB"/>
        </w:rPr>
        <w:t>ْ</w:t>
      </w:r>
      <w:r w:rsidRPr="00282AC9">
        <w:rPr>
          <w:rFonts w:hint="cs"/>
          <w:sz w:val="27"/>
          <w:rtl/>
          <w:lang w:bidi="ar-LB"/>
        </w:rPr>
        <w:t>ن ولا ق</w:t>
      </w:r>
      <w:r w:rsidR="00187207" w:rsidRPr="00282AC9">
        <w:rPr>
          <w:rFonts w:hint="cs"/>
          <w:sz w:val="27"/>
          <w:rtl/>
          <w:lang w:bidi="ar-LB"/>
        </w:rPr>
        <w:t>ُ</w:t>
      </w:r>
      <w:r w:rsidRPr="00282AC9">
        <w:rPr>
          <w:rFonts w:hint="cs"/>
          <w:sz w:val="27"/>
          <w:rtl/>
          <w:lang w:bidi="ar-LB"/>
        </w:rPr>
        <w:t>ب</w:t>
      </w:r>
      <w:r w:rsidR="00187207" w:rsidRPr="00282AC9">
        <w:rPr>
          <w:rFonts w:hint="cs"/>
          <w:sz w:val="27"/>
          <w:rtl/>
          <w:lang w:bidi="ar-LB"/>
        </w:rPr>
        <w:t>ْ</w:t>
      </w:r>
      <w:r w:rsidRPr="00282AC9">
        <w:rPr>
          <w:rFonts w:hint="cs"/>
          <w:sz w:val="27"/>
          <w:rtl/>
          <w:lang w:bidi="ar-LB"/>
        </w:rPr>
        <w:t>ح إلاّ بالمصلحة والمفسدة.</w:t>
      </w:r>
    </w:p>
    <w:p w:rsidR="00A9019A" w:rsidRPr="00282AC9" w:rsidRDefault="00A9019A" w:rsidP="00B16272">
      <w:pPr>
        <w:tabs>
          <w:tab w:val="right" w:pos="6930"/>
        </w:tabs>
        <w:suppressAutoHyphens/>
        <w:rPr>
          <w:sz w:val="27"/>
          <w:rtl/>
          <w:lang w:bidi="ar-LB"/>
        </w:rPr>
      </w:pPr>
      <w:r w:rsidRPr="00282AC9">
        <w:rPr>
          <w:rFonts w:hint="cs"/>
          <w:sz w:val="27"/>
          <w:rtl/>
          <w:lang w:bidi="ar-LB"/>
        </w:rPr>
        <w:t>وقد أجاب عن ذلك بما محص</w:t>
      </w:r>
      <w:r w:rsidR="00CE178D" w:rsidRPr="00282AC9">
        <w:rPr>
          <w:rFonts w:hint="cs"/>
          <w:sz w:val="27"/>
          <w:rtl/>
          <w:lang w:bidi="ar-LB"/>
        </w:rPr>
        <w:t>َّ</w:t>
      </w:r>
      <w:r w:rsidRPr="00282AC9">
        <w:rPr>
          <w:rFonts w:hint="cs"/>
          <w:sz w:val="27"/>
          <w:rtl/>
          <w:lang w:bidi="ar-LB"/>
        </w:rPr>
        <w:t xml:space="preserve">له: </w:t>
      </w:r>
      <w:r w:rsidR="00187207" w:rsidRPr="00282AC9">
        <w:rPr>
          <w:rFonts w:hint="cs"/>
          <w:sz w:val="27"/>
          <w:rtl/>
          <w:lang w:bidi="ar-LB"/>
        </w:rPr>
        <w:t>إ</w:t>
      </w:r>
      <w:r w:rsidRPr="00282AC9">
        <w:rPr>
          <w:rFonts w:hint="cs"/>
          <w:sz w:val="27"/>
          <w:rtl/>
          <w:lang w:bidi="ar-LB"/>
        </w:rPr>
        <w:t>نّ الإرادة كسا</w:t>
      </w:r>
      <w:r w:rsidR="00187207" w:rsidRPr="00282AC9">
        <w:rPr>
          <w:rFonts w:hint="cs"/>
          <w:sz w:val="27"/>
          <w:rtl/>
          <w:lang w:bidi="ar-LB"/>
        </w:rPr>
        <w:t>ئر الصفات فيه تعالى، وإنْ</w:t>
      </w:r>
      <w:r w:rsidRPr="00282AC9">
        <w:rPr>
          <w:rFonts w:hint="cs"/>
          <w:sz w:val="27"/>
          <w:rtl/>
          <w:lang w:bidi="ar-LB"/>
        </w:rPr>
        <w:t xml:space="preserve"> ات</w:t>
      </w:r>
      <w:r w:rsidR="00187207" w:rsidRPr="00282AC9">
        <w:rPr>
          <w:rFonts w:hint="cs"/>
          <w:sz w:val="27"/>
          <w:rtl/>
          <w:lang w:bidi="ar-LB"/>
        </w:rPr>
        <w:t>َّ</w:t>
      </w:r>
      <w:r w:rsidRPr="00282AC9">
        <w:rPr>
          <w:rFonts w:hint="cs"/>
          <w:sz w:val="27"/>
          <w:rtl/>
          <w:lang w:bidi="ar-LB"/>
        </w:rPr>
        <w:t>حد</w:t>
      </w:r>
      <w:r w:rsidR="00187207" w:rsidRPr="00282AC9">
        <w:rPr>
          <w:rFonts w:hint="cs"/>
          <w:sz w:val="27"/>
          <w:rtl/>
          <w:lang w:bidi="ar-LB"/>
        </w:rPr>
        <w:t>َ</w:t>
      </w:r>
      <w:r w:rsidRPr="00282AC9">
        <w:rPr>
          <w:rFonts w:hint="cs"/>
          <w:sz w:val="27"/>
          <w:rtl/>
          <w:lang w:bidi="ar-LB"/>
        </w:rPr>
        <w:t>ت</w:t>
      </w:r>
      <w:r w:rsidR="00187207" w:rsidRPr="00282AC9">
        <w:rPr>
          <w:rFonts w:hint="cs"/>
          <w:sz w:val="27"/>
          <w:rtl/>
          <w:lang w:bidi="ar-LB"/>
        </w:rPr>
        <w:t>ْ</w:t>
      </w:r>
      <w:r w:rsidRPr="00282AC9">
        <w:rPr>
          <w:rFonts w:hint="cs"/>
          <w:sz w:val="27"/>
          <w:rtl/>
          <w:lang w:bidi="ar-LB"/>
        </w:rPr>
        <w:t xml:space="preserve"> مع العلم وجوداً ومصداقاً، إلاّ أنّ مجر</w:t>
      </w:r>
      <w:r w:rsidR="00187207" w:rsidRPr="00282AC9">
        <w:rPr>
          <w:rFonts w:hint="cs"/>
          <w:sz w:val="27"/>
          <w:rtl/>
          <w:lang w:bidi="ar-LB"/>
        </w:rPr>
        <w:t>ّ</w:t>
      </w:r>
      <w:r w:rsidRPr="00282AC9">
        <w:rPr>
          <w:rFonts w:hint="cs"/>
          <w:sz w:val="27"/>
          <w:rtl/>
          <w:lang w:bidi="ar-LB"/>
        </w:rPr>
        <w:t>د العلم بالمصلحة كما أنّه ليس بإرادة</w:t>
      </w:r>
      <w:r w:rsidR="00187207" w:rsidRPr="00282AC9">
        <w:rPr>
          <w:rFonts w:hint="cs"/>
          <w:sz w:val="27"/>
          <w:rtl/>
          <w:lang w:bidi="ar-LB"/>
        </w:rPr>
        <w:t>ٍ</w:t>
      </w:r>
      <w:r w:rsidRPr="00282AC9">
        <w:rPr>
          <w:rFonts w:hint="cs"/>
          <w:sz w:val="27"/>
          <w:rtl/>
          <w:lang w:bidi="ar-LB"/>
        </w:rPr>
        <w:t xml:space="preserve"> تكوينيّة موجبة لتحق</w:t>
      </w:r>
      <w:r w:rsidR="00187207" w:rsidRPr="00282AC9">
        <w:rPr>
          <w:rFonts w:hint="cs"/>
          <w:sz w:val="27"/>
          <w:rtl/>
          <w:lang w:bidi="ar-LB"/>
        </w:rPr>
        <w:t>ُّ</w:t>
      </w:r>
      <w:r w:rsidRPr="00282AC9">
        <w:rPr>
          <w:rFonts w:hint="cs"/>
          <w:sz w:val="27"/>
          <w:rtl/>
          <w:lang w:bidi="ar-LB"/>
        </w:rPr>
        <w:t>ق المراد، كذلك ليس بح</w:t>
      </w:r>
      <w:r w:rsidR="00187207" w:rsidRPr="00282AC9">
        <w:rPr>
          <w:rFonts w:hint="cs"/>
          <w:sz w:val="27"/>
          <w:rtl/>
          <w:lang w:bidi="ar-LB"/>
        </w:rPr>
        <w:t>َ</w:t>
      </w:r>
      <w:r w:rsidRPr="00282AC9">
        <w:rPr>
          <w:rFonts w:hint="cs"/>
          <w:sz w:val="27"/>
          <w:rtl/>
          <w:lang w:bidi="ar-LB"/>
        </w:rPr>
        <w:t>س</w:t>
      </w:r>
      <w:r w:rsidR="00187207" w:rsidRPr="00282AC9">
        <w:rPr>
          <w:rFonts w:hint="cs"/>
          <w:sz w:val="27"/>
          <w:rtl/>
          <w:lang w:bidi="ar-LB"/>
        </w:rPr>
        <w:t>َ</w:t>
      </w:r>
      <w:r w:rsidRPr="00282AC9">
        <w:rPr>
          <w:rFonts w:hint="cs"/>
          <w:sz w:val="27"/>
          <w:rtl/>
          <w:lang w:bidi="ar-LB"/>
        </w:rPr>
        <w:t>ب المصداق إرادة</w:t>
      </w:r>
      <w:r w:rsidR="00187207" w:rsidRPr="00282AC9">
        <w:rPr>
          <w:rFonts w:hint="cs"/>
          <w:sz w:val="27"/>
          <w:rtl/>
          <w:lang w:bidi="ar-LB"/>
        </w:rPr>
        <w:t>ٌ</w:t>
      </w:r>
      <w:r w:rsidRPr="00282AC9">
        <w:rPr>
          <w:rFonts w:hint="cs"/>
          <w:sz w:val="27"/>
          <w:rtl/>
          <w:lang w:bidi="ar-LB"/>
        </w:rPr>
        <w:t xml:space="preserve"> تشريعية موجبة </w:t>
      </w:r>
      <w:r w:rsidRPr="00282AC9">
        <w:rPr>
          <w:rFonts w:hint="cs"/>
          <w:sz w:val="27"/>
          <w:rtl/>
          <w:lang w:bidi="ar-LB"/>
        </w:rPr>
        <w:lastRenderedPageBreak/>
        <w:t>لبعث العباد نحو المراد.</w:t>
      </w:r>
    </w:p>
    <w:p w:rsidR="00A9019A" w:rsidRPr="00282AC9" w:rsidRDefault="00A9019A" w:rsidP="00B16272">
      <w:pPr>
        <w:tabs>
          <w:tab w:val="right" w:pos="6930"/>
        </w:tabs>
        <w:suppressAutoHyphens/>
        <w:rPr>
          <w:sz w:val="27"/>
          <w:rtl/>
          <w:lang w:bidi="ar-LB"/>
        </w:rPr>
      </w:pPr>
      <w:r w:rsidRPr="00282AC9">
        <w:rPr>
          <w:rFonts w:hint="cs"/>
          <w:sz w:val="27"/>
          <w:rtl/>
          <w:lang w:bidi="ar-LB"/>
        </w:rPr>
        <w:t>والوجه في ذلك</w:t>
      </w:r>
      <w:r w:rsidR="00187207" w:rsidRPr="00282AC9">
        <w:rPr>
          <w:rFonts w:hint="cs"/>
          <w:sz w:val="27"/>
          <w:rtl/>
          <w:lang w:bidi="ar-LB"/>
        </w:rPr>
        <w:t xml:space="preserve"> إ</w:t>
      </w:r>
      <w:r w:rsidRPr="00282AC9">
        <w:rPr>
          <w:rFonts w:hint="cs"/>
          <w:sz w:val="27"/>
          <w:rtl/>
          <w:lang w:bidi="ar-LB"/>
        </w:rPr>
        <w:t>مكان توفّ</w:t>
      </w:r>
      <w:r w:rsidR="00187207" w:rsidRPr="00282AC9">
        <w:rPr>
          <w:rFonts w:hint="cs"/>
          <w:sz w:val="27"/>
          <w:rtl/>
          <w:lang w:bidi="ar-LB"/>
        </w:rPr>
        <w:t>ُر ما يمنع عقلاً عن البعث والز</w:t>
      </w:r>
      <w:r w:rsidRPr="00282AC9">
        <w:rPr>
          <w:rFonts w:hint="cs"/>
          <w:sz w:val="27"/>
          <w:rtl/>
          <w:lang w:bidi="ar-LB"/>
        </w:rPr>
        <w:t>جر</w:t>
      </w:r>
      <w:r w:rsidR="00187207" w:rsidRPr="00282AC9">
        <w:rPr>
          <w:rFonts w:hint="cs"/>
          <w:sz w:val="27"/>
          <w:rtl/>
          <w:lang w:bidi="ar-LB"/>
        </w:rPr>
        <w:t>،</w:t>
      </w:r>
      <w:r w:rsidRPr="00282AC9">
        <w:rPr>
          <w:rFonts w:hint="cs"/>
          <w:sz w:val="27"/>
          <w:rtl/>
          <w:lang w:bidi="ar-LB"/>
        </w:rPr>
        <w:t xml:space="preserve"> كما في صورة مزاحمة ما فيه المصلحة الملزمة بما كان أهمّ منه</w:t>
      </w:r>
      <w:r w:rsidR="00187207" w:rsidRPr="00282AC9">
        <w:rPr>
          <w:rFonts w:hint="cs"/>
          <w:sz w:val="27"/>
          <w:rtl/>
          <w:lang w:bidi="ar-LB"/>
        </w:rPr>
        <w:t>؛ لأ</w:t>
      </w:r>
      <w:r w:rsidRPr="00282AC9">
        <w:rPr>
          <w:rFonts w:hint="cs"/>
          <w:sz w:val="27"/>
          <w:rtl/>
          <w:lang w:bidi="ar-LB"/>
        </w:rPr>
        <w:t>نّ البعث</w:t>
      </w:r>
      <w:r w:rsidR="005053B3" w:rsidRPr="00282AC9">
        <w:rPr>
          <w:rFonts w:hint="cs"/>
          <w:sz w:val="27"/>
          <w:rtl/>
          <w:lang w:bidi="ar-LB"/>
        </w:rPr>
        <w:t xml:space="preserve"> إلى </w:t>
      </w:r>
      <w:r w:rsidRPr="00282AC9">
        <w:rPr>
          <w:rFonts w:hint="cs"/>
          <w:sz w:val="27"/>
          <w:rtl/>
          <w:lang w:bidi="ar-LB"/>
        </w:rPr>
        <w:t>غير الأهمّ أو إليهما معاً قبيح</w:t>
      </w:r>
      <w:r w:rsidR="00187207" w:rsidRPr="00282AC9">
        <w:rPr>
          <w:rFonts w:hint="cs"/>
          <w:sz w:val="27"/>
          <w:rtl/>
          <w:lang w:bidi="ar-LB"/>
        </w:rPr>
        <w:t>ٌ</w:t>
      </w:r>
      <w:r w:rsidRPr="00282AC9">
        <w:rPr>
          <w:rFonts w:hint="cs"/>
          <w:sz w:val="27"/>
          <w:rtl/>
          <w:lang w:bidi="ar-LB"/>
        </w:rPr>
        <w:t>، دون البعث</w:t>
      </w:r>
      <w:r w:rsidR="005053B3" w:rsidRPr="00282AC9">
        <w:rPr>
          <w:rFonts w:hint="cs"/>
          <w:sz w:val="27"/>
          <w:rtl/>
          <w:lang w:bidi="ar-LB"/>
        </w:rPr>
        <w:t xml:space="preserve"> إلى </w:t>
      </w:r>
      <w:r w:rsidRPr="00282AC9">
        <w:rPr>
          <w:rFonts w:hint="cs"/>
          <w:sz w:val="27"/>
          <w:rtl/>
          <w:lang w:bidi="ar-LB"/>
        </w:rPr>
        <w:t>خصوص الأهمّ</w:t>
      </w:r>
      <w:r w:rsidR="00187207" w:rsidRPr="00282AC9">
        <w:rPr>
          <w:rFonts w:hint="cs"/>
          <w:sz w:val="27"/>
          <w:rtl/>
          <w:lang w:bidi="ar-LB"/>
        </w:rPr>
        <w:t>،</w:t>
      </w:r>
      <w:r w:rsidRPr="00282AC9">
        <w:rPr>
          <w:rFonts w:hint="cs"/>
          <w:sz w:val="27"/>
          <w:rtl/>
          <w:lang w:bidi="ar-LB"/>
        </w:rPr>
        <w:t xml:space="preserve"> كما لا</w:t>
      </w:r>
      <w:r w:rsidR="00187207" w:rsidRPr="00282AC9">
        <w:rPr>
          <w:rFonts w:hint="cs"/>
          <w:sz w:val="27"/>
          <w:rtl/>
          <w:lang w:bidi="ar-LB"/>
        </w:rPr>
        <w:t xml:space="preserve"> </w:t>
      </w:r>
      <w:r w:rsidRPr="00282AC9">
        <w:rPr>
          <w:rFonts w:hint="cs"/>
          <w:sz w:val="27"/>
          <w:rtl/>
          <w:lang w:bidi="ar-LB"/>
        </w:rPr>
        <w:t>يخفى، مع أنَّ المهم</w:t>
      </w:r>
      <w:r w:rsidR="00187207" w:rsidRPr="00282AC9">
        <w:rPr>
          <w:rFonts w:hint="cs"/>
          <w:sz w:val="27"/>
          <w:rtl/>
          <w:lang w:bidi="ar-LB"/>
        </w:rPr>
        <w:t>ّ</w:t>
      </w:r>
      <w:r w:rsidRPr="00282AC9">
        <w:rPr>
          <w:rFonts w:hint="cs"/>
          <w:sz w:val="27"/>
          <w:rtl/>
          <w:lang w:bidi="ar-LB"/>
        </w:rPr>
        <w:t xml:space="preserve"> باقٍ على ما هو عليه من المصلحة</w:t>
      </w:r>
      <w:r w:rsidR="00187207" w:rsidRPr="00282AC9">
        <w:rPr>
          <w:rFonts w:hint="cs"/>
          <w:sz w:val="27"/>
          <w:rtl/>
          <w:lang w:bidi="ar-LB"/>
        </w:rPr>
        <w:t>؛</w:t>
      </w:r>
      <w:r w:rsidRPr="00282AC9">
        <w:rPr>
          <w:rFonts w:hint="cs"/>
          <w:sz w:val="27"/>
          <w:rtl/>
          <w:lang w:bidi="ar-LB"/>
        </w:rPr>
        <w:t xml:space="preserve"> أو كعدم الاستعداد في بعض العباد</w:t>
      </w:r>
      <w:r w:rsidR="00187207" w:rsidRPr="00282AC9">
        <w:rPr>
          <w:rFonts w:hint="cs"/>
          <w:sz w:val="27"/>
          <w:rtl/>
          <w:lang w:bidi="ar-LB"/>
        </w:rPr>
        <w:t xml:space="preserve">؛ </w:t>
      </w:r>
      <w:r w:rsidRPr="00282AC9">
        <w:rPr>
          <w:rFonts w:hint="cs"/>
          <w:sz w:val="27"/>
          <w:rtl/>
          <w:lang w:bidi="ar-LB"/>
        </w:rPr>
        <w:t>لق</w:t>
      </w:r>
      <w:r w:rsidR="00187207" w:rsidRPr="00282AC9">
        <w:rPr>
          <w:rFonts w:hint="cs"/>
          <w:sz w:val="27"/>
          <w:rtl/>
          <w:lang w:bidi="ar-LB"/>
        </w:rPr>
        <w:t>ُ</w:t>
      </w:r>
      <w:r w:rsidRPr="00282AC9">
        <w:rPr>
          <w:rFonts w:hint="cs"/>
          <w:sz w:val="27"/>
          <w:rtl/>
          <w:lang w:bidi="ar-LB"/>
        </w:rPr>
        <w:t>ر</w:t>
      </w:r>
      <w:r w:rsidR="00187207" w:rsidRPr="00282AC9">
        <w:rPr>
          <w:rFonts w:hint="cs"/>
          <w:sz w:val="27"/>
          <w:rtl/>
          <w:lang w:bidi="ar-LB"/>
        </w:rPr>
        <w:t>ْ</w:t>
      </w:r>
      <w:r w:rsidRPr="00282AC9">
        <w:rPr>
          <w:rFonts w:hint="cs"/>
          <w:sz w:val="27"/>
          <w:rtl/>
          <w:lang w:bidi="ar-LB"/>
        </w:rPr>
        <w:t>ب عهدهم من الإسلام، أو أيّ أمر</w:t>
      </w:r>
      <w:r w:rsidR="00187207" w:rsidRPr="00282AC9">
        <w:rPr>
          <w:rFonts w:hint="cs"/>
          <w:sz w:val="27"/>
          <w:rtl/>
          <w:lang w:bidi="ar-LB"/>
        </w:rPr>
        <w:t>ٍ</w:t>
      </w:r>
      <w:r w:rsidRPr="00282AC9">
        <w:rPr>
          <w:rFonts w:hint="cs"/>
          <w:sz w:val="27"/>
          <w:rtl/>
          <w:lang w:bidi="ar-LB"/>
        </w:rPr>
        <w:t xml:space="preserve"> آخر لا نعرفه ولا يلزم معرفته، كما في الصبي</w:t>
      </w:r>
      <w:r w:rsidR="00CE178D" w:rsidRPr="00282AC9">
        <w:rPr>
          <w:rFonts w:hint="cs"/>
          <w:sz w:val="27"/>
          <w:rtl/>
          <w:lang w:bidi="ar-LB"/>
        </w:rPr>
        <w:t>ّ</w:t>
      </w:r>
      <w:r w:rsidR="00F4015F" w:rsidRPr="00282AC9">
        <w:rPr>
          <w:rFonts w:hint="cs"/>
          <w:sz w:val="27"/>
          <w:rtl/>
          <w:lang w:bidi="ar-LB"/>
        </w:rPr>
        <w:t xml:space="preserve"> الذي لطفت قريحته وحسن </w:t>
      </w:r>
      <w:r w:rsidR="00E03EA3" w:rsidRPr="00282AC9">
        <w:rPr>
          <w:rFonts w:hint="cs"/>
          <w:sz w:val="27"/>
          <w:rtl/>
          <w:lang w:bidi="ar-LB"/>
        </w:rPr>
        <w:t>ذكاؤه</w:t>
      </w:r>
      <w:r w:rsidR="00F4015F" w:rsidRPr="00282AC9">
        <w:rPr>
          <w:rFonts w:hint="cs"/>
          <w:sz w:val="27"/>
          <w:rtl/>
          <w:lang w:bidi="ar-LB"/>
        </w:rPr>
        <w:t>؛ فإ</w:t>
      </w:r>
      <w:r w:rsidRPr="00282AC9">
        <w:rPr>
          <w:rFonts w:hint="cs"/>
          <w:sz w:val="27"/>
          <w:rtl/>
          <w:lang w:bidi="ar-LB"/>
        </w:rPr>
        <w:t>نّ أفعاله ذات مصالح ومفاسد، ومع ذلك فهو غير مكلّ</w:t>
      </w:r>
      <w:r w:rsidR="00F4015F" w:rsidRPr="00282AC9">
        <w:rPr>
          <w:rFonts w:hint="cs"/>
          <w:sz w:val="27"/>
          <w:rtl/>
          <w:lang w:bidi="ar-LB"/>
        </w:rPr>
        <w:t>َ</w:t>
      </w:r>
      <w:r w:rsidRPr="00282AC9">
        <w:rPr>
          <w:rFonts w:hint="cs"/>
          <w:sz w:val="27"/>
          <w:rtl/>
          <w:lang w:bidi="ar-LB"/>
        </w:rPr>
        <w:t>ف</w:t>
      </w:r>
      <w:r w:rsidR="00F4015F" w:rsidRPr="00282AC9">
        <w:rPr>
          <w:rFonts w:hint="cs"/>
          <w:sz w:val="27"/>
          <w:rtl/>
          <w:lang w:bidi="ar-LB"/>
        </w:rPr>
        <w:t>ٍ</w:t>
      </w:r>
      <w:r w:rsidRPr="00282AC9">
        <w:rPr>
          <w:rFonts w:hint="cs"/>
          <w:sz w:val="27"/>
          <w:rtl/>
          <w:lang w:bidi="ar-LB"/>
        </w:rPr>
        <w:t xml:space="preserve"> بالأحكام بالضرورة.</w:t>
      </w:r>
    </w:p>
    <w:p w:rsidR="00A9019A" w:rsidRPr="00282AC9" w:rsidRDefault="00A9019A" w:rsidP="00B16272">
      <w:pPr>
        <w:tabs>
          <w:tab w:val="right" w:pos="6930"/>
        </w:tabs>
        <w:suppressAutoHyphens/>
        <w:rPr>
          <w:sz w:val="27"/>
          <w:rtl/>
          <w:lang w:bidi="ar-LB"/>
        </w:rPr>
      </w:pPr>
      <w:r w:rsidRPr="00282AC9">
        <w:rPr>
          <w:rFonts w:hint="cs"/>
          <w:sz w:val="27"/>
          <w:rtl/>
          <w:lang w:bidi="ar-LB"/>
        </w:rPr>
        <w:t>وبعبارة</w:t>
      </w:r>
      <w:r w:rsidR="00F4015F" w:rsidRPr="00282AC9">
        <w:rPr>
          <w:rFonts w:hint="cs"/>
          <w:sz w:val="27"/>
          <w:rtl/>
          <w:lang w:bidi="ar-LB"/>
        </w:rPr>
        <w:t>ٍ أخرى: إنّ البعث والز</w:t>
      </w:r>
      <w:r w:rsidRPr="00282AC9">
        <w:rPr>
          <w:rFonts w:hint="cs"/>
          <w:sz w:val="27"/>
          <w:rtl/>
          <w:lang w:bidi="ar-LB"/>
        </w:rPr>
        <w:t>جر</w:t>
      </w:r>
      <w:r w:rsidR="00F4015F" w:rsidRPr="00282AC9">
        <w:rPr>
          <w:rFonts w:hint="cs"/>
          <w:sz w:val="27"/>
          <w:rtl/>
          <w:lang w:bidi="ar-LB"/>
        </w:rPr>
        <w:t>؛</w:t>
      </w:r>
      <w:r w:rsidRPr="00282AC9">
        <w:rPr>
          <w:rFonts w:hint="cs"/>
          <w:sz w:val="27"/>
          <w:rtl/>
          <w:lang w:bidi="ar-LB"/>
        </w:rPr>
        <w:t xml:space="preserve"> باعتبارهما فعلين من أفعال المولى، </w:t>
      </w:r>
      <w:r w:rsidR="00674EF5" w:rsidRPr="00282AC9">
        <w:rPr>
          <w:rFonts w:hint="cs"/>
          <w:sz w:val="27"/>
          <w:rtl/>
          <w:lang w:bidi="ar-LB"/>
        </w:rPr>
        <w:t>لا بُدَّ</w:t>
      </w:r>
      <w:r w:rsidRPr="00282AC9">
        <w:rPr>
          <w:rFonts w:hint="cs"/>
          <w:sz w:val="27"/>
          <w:rtl/>
          <w:lang w:bidi="ar-LB"/>
        </w:rPr>
        <w:t xml:space="preserve"> من تبعي</w:t>
      </w:r>
      <w:r w:rsidR="00F4015F" w:rsidRPr="00282AC9">
        <w:rPr>
          <w:rFonts w:hint="cs"/>
          <w:sz w:val="27"/>
          <w:rtl/>
          <w:lang w:bidi="ar-LB"/>
        </w:rPr>
        <w:t>ّ</w:t>
      </w:r>
      <w:r w:rsidRPr="00282AC9">
        <w:rPr>
          <w:rFonts w:hint="cs"/>
          <w:sz w:val="27"/>
          <w:rtl/>
          <w:lang w:bidi="ar-LB"/>
        </w:rPr>
        <w:t>تهما</w:t>
      </w:r>
      <w:r w:rsidR="00F4015F" w:rsidRPr="00282AC9">
        <w:rPr>
          <w:rFonts w:hint="cs"/>
          <w:sz w:val="27"/>
          <w:rtl/>
          <w:lang w:bidi="ar-LB"/>
        </w:rPr>
        <w:t>،</w:t>
      </w:r>
      <w:r w:rsidRPr="00282AC9">
        <w:rPr>
          <w:rFonts w:hint="cs"/>
          <w:sz w:val="27"/>
          <w:rtl/>
          <w:lang w:bidi="ar-LB"/>
        </w:rPr>
        <w:t xml:space="preserve"> إضافة</w:t>
      </w:r>
      <w:r w:rsidR="00F4015F" w:rsidRPr="00282AC9">
        <w:rPr>
          <w:rFonts w:hint="cs"/>
          <w:sz w:val="27"/>
          <w:rtl/>
          <w:lang w:bidi="ar-LB"/>
        </w:rPr>
        <w:t>ً</w:t>
      </w:r>
      <w:r w:rsidRPr="00282AC9">
        <w:rPr>
          <w:rFonts w:hint="cs"/>
          <w:sz w:val="27"/>
          <w:rtl/>
          <w:lang w:bidi="ar-LB"/>
        </w:rPr>
        <w:t xml:space="preserve"> </w:t>
      </w:r>
      <w:r w:rsidR="00F4015F" w:rsidRPr="00282AC9">
        <w:rPr>
          <w:rFonts w:hint="cs"/>
          <w:sz w:val="27"/>
          <w:rtl/>
          <w:lang w:bidi="ar-LB"/>
        </w:rPr>
        <w:t xml:space="preserve">إلى </w:t>
      </w:r>
      <w:r w:rsidRPr="00282AC9">
        <w:rPr>
          <w:rFonts w:hint="cs"/>
          <w:sz w:val="27"/>
          <w:rtl/>
          <w:lang w:bidi="ar-LB"/>
        </w:rPr>
        <w:t>مصالح متعل</w:t>
      </w:r>
      <w:r w:rsidR="00F4015F" w:rsidRPr="00282AC9">
        <w:rPr>
          <w:rFonts w:hint="cs"/>
          <w:sz w:val="27"/>
          <w:rtl/>
          <w:lang w:bidi="ar-LB"/>
        </w:rPr>
        <w:t>َّ</w:t>
      </w:r>
      <w:r w:rsidRPr="00282AC9">
        <w:rPr>
          <w:rFonts w:hint="cs"/>
          <w:sz w:val="27"/>
          <w:rtl/>
          <w:lang w:bidi="ar-LB"/>
        </w:rPr>
        <w:t>قهما ومفاسده، للمصالح والمفاسد الكامنة في نفس</w:t>
      </w:r>
      <w:r w:rsidR="00F4015F" w:rsidRPr="00282AC9">
        <w:rPr>
          <w:rFonts w:hint="cs"/>
          <w:sz w:val="27"/>
          <w:rtl/>
          <w:lang w:bidi="ar-LB"/>
        </w:rPr>
        <w:t>َ</w:t>
      </w:r>
      <w:r w:rsidRPr="00282AC9">
        <w:rPr>
          <w:rFonts w:hint="cs"/>
          <w:sz w:val="27"/>
          <w:rtl/>
          <w:lang w:bidi="ar-LB"/>
        </w:rPr>
        <w:t>ي</w:t>
      </w:r>
      <w:r w:rsidR="00F4015F" w:rsidRPr="00282AC9">
        <w:rPr>
          <w:rFonts w:hint="cs"/>
          <w:sz w:val="27"/>
          <w:rtl/>
          <w:lang w:bidi="ar-LB"/>
        </w:rPr>
        <w:t>ْهما، فرُبَ</w:t>
      </w:r>
      <w:r w:rsidRPr="00282AC9">
        <w:rPr>
          <w:rFonts w:hint="cs"/>
          <w:sz w:val="27"/>
          <w:rtl/>
          <w:lang w:bidi="ar-LB"/>
        </w:rPr>
        <w:t>ما يكون المتعلّ</w:t>
      </w:r>
      <w:r w:rsidR="00F4015F" w:rsidRPr="00282AC9">
        <w:rPr>
          <w:rFonts w:hint="cs"/>
          <w:sz w:val="27"/>
          <w:rtl/>
          <w:lang w:bidi="ar-LB"/>
        </w:rPr>
        <w:t>َ</w:t>
      </w:r>
      <w:r w:rsidRPr="00282AC9">
        <w:rPr>
          <w:rFonts w:hint="cs"/>
          <w:sz w:val="27"/>
          <w:rtl/>
          <w:lang w:bidi="ar-LB"/>
        </w:rPr>
        <w:t>ق ذا مصلحة</w:t>
      </w:r>
      <w:r w:rsidR="00F4015F" w:rsidRPr="00282AC9">
        <w:rPr>
          <w:rFonts w:hint="cs"/>
          <w:sz w:val="27"/>
          <w:rtl/>
          <w:lang w:bidi="ar-LB"/>
        </w:rPr>
        <w:t>ٍ</w:t>
      </w:r>
      <w:r w:rsidRPr="00282AC9">
        <w:rPr>
          <w:rFonts w:hint="cs"/>
          <w:sz w:val="27"/>
          <w:rtl/>
          <w:lang w:bidi="ar-LB"/>
        </w:rPr>
        <w:t xml:space="preserve"> ملزمة في نفسه، إلاّ أنّ البعث إليه يستوجب بعض المفاسد، فمجر</w:t>
      </w:r>
      <w:r w:rsidR="00F4015F" w:rsidRPr="00282AC9">
        <w:rPr>
          <w:rFonts w:hint="cs"/>
          <w:sz w:val="27"/>
          <w:rtl/>
          <w:lang w:bidi="ar-LB"/>
        </w:rPr>
        <w:t>ّ</w:t>
      </w:r>
      <w:r w:rsidRPr="00282AC9">
        <w:rPr>
          <w:rFonts w:hint="cs"/>
          <w:sz w:val="27"/>
          <w:rtl/>
          <w:lang w:bidi="ar-LB"/>
        </w:rPr>
        <w:t>د كون الفعل ذا مصلحة</w:t>
      </w:r>
      <w:r w:rsidR="00F4015F" w:rsidRPr="00282AC9">
        <w:rPr>
          <w:rFonts w:hint="cs"/>
          <w:sz w:val="27"/>
          <w:rtl/>
          <w:lang w:bidi="ar-LB"/>
        </w:rPr>
        <w:t>ٍ</w:t>
      </w:r>
      <w:r w:rsidRPr="00282AC9">
        <w:rPr>
          <w:rFonts w:hint="cs"/>
          <w:sz w:val="27"/>
          <w:rtl/>
          <w:lang w:bidi="ar-LB"/>
        </w:rPr>
        <w:t xml:space="preserve"> أو مفسدة</w:t>
      </w:r>
      <w:r w:rsidR="00F4015F" w:rsidRPr="00282AC9">
        <w:rPr>
          <w:rFonts w:hint="cs"/>
          <w:sz w:val="27"/>
          <w:rtl/>
          <w:lang w:bidi="ar-LB"/>
        </w:rPr>
        <w:t>ٍ لا يستتبع البعث والز</w:t>
      </w:r>
      <w:r w:rsidRPr="00282AC9">
        <w:rPr>
          <w:rFonts w:hint="cs"/>
          <w:sz w:val="27"/>
          <w:rtl/>
          <w:lang w:bidi="ar-LB"/>
        </w:rPr>
        <w:t>جر.</w:t>
      </w:r>
    </w:p>
    <w:p w:rsidR="00A9019A" w:rsidRPr="00282AC9" w:rsidRDefault="00A9019A" w:rsidP="00B16272">
      <w:pPr>
        <w:tabs>
          <w:tab w:val="right" w:pos="6930"/>
        </w:tabs>
        <w:suppressAutoHyphens/>
        <w:rPr>
          <w:sz w:val="27"/>
          <w:rtl/>
          <w:lang w:bidi="ar-LB"/>
        </w:rPr>
      </w:pPr>
      <w:r w:rsidRPr="00282AC9">
        <w:rPr>
          <w:rFonts w:hint="cs"/>
          <w:sz w:val="27"/>
          <w:rtl/>
          <w:lang w:bidi="ar-LB"/>
        </w:rPr>
        <w:t>وقد استنتج</w:t>
      </w:r>
      <w:r w:rsidR="009A2A04" w:rsidRPr="00282AC9">
        <w:rPr>
          <w:rFonts w:cs="Mosawi" w:hint="cs"/>
          <w:sz w:val="22"/>
          <w:szCs w:val="22"/>
          <w:rtl/>
          <w:lang w:bidi="ar-LB"/>
        </w:rPr>
        <w:t>&amp;</w:t>
      </w:r>
      <w:r w:rsidRPr="00282AC9">
        <w:rPr>
          <w:rFonts w:hint="cs"/>
          <w:sz w:val="27"/>
          <w:rtl/>
          <w:lang w:bidi="ar-LB"/>
        </w:rPr>
        <w:t xml:space="preserve"> من جميع هذه الفقرات:</w:t>
      </w:r>
    </w:p>
    <w:p w:rsidR="00A9019A" w:rsidRPr="00282AC9" w:rsidRDefault="00A9019A" w:rsidP="00B16272">
      <w:pPr>
        <w:tabs>
          <w:tab w:val="right" w:pos="6930"/>
        </w:tabs>
        <w:suppressAutoHyphens/>
        <w:rPr>
          <w:sz w:val="27"/>
          <w:rtl/>
          <w:lang w:bidi="ar-LB"/>
        </w:rPr>
      </w:pPr>
      <w:r w:rsidRPr="00282AC9">
        <w:rPr>
          <w:rFonts w:hint="cs"/>
          <w:b/>
          <w:bCs/>
          <w:sz w:val="27"/>
          <w:rtl/>
          <w:lang w:bidi="ar-LB"/>
        </w:rPr>
        <w:t>أو</w:t>
      </w:r>
      <w:r w:rsidR="00F4015F" w:rsidRPr="00282AC9">
        <w:rPr>
          <w:rFonts w:hint="cs"/>
          <w:b/>
          <w:bCs/>
          <w:sz w:val="27"/>
          <w:rtl/>
          <w:lang w:bidi="ar-LB"/>
        </w:rPr>
        <w:t>ّ</w:t>
      </w:r>
      <w:r w:rsidRPr="00282AC9">
        <w:rPr>
          <w:rFonts w:hint="cs"/>
          <w:b/>
          <w:bCs/>
          <w:sz w:val="27"/>
          <w:rtl/>
          <w:lang w:bidi="ar-LB"/>
        </w:rPr>
        <w:t>لاً</w:t>
      </w:r>
      <w:r w:rsidRPr="00282AC9">
        <w:rPr>
          <w:rFonts w:hint="cs"/>
          <w:sz w:val="27"/>
          <w:rtl/>
          <w:lang w:bidi="ar-LB"/>
        </w:rPr>
        <w:t>: جواز خلوّ الواقع عن الخطاب والج</w:t>
      </w:r>
      <w:r w:rsidR="00F4015F" w:rsidRPr="00282AC9">
        <w:rPr>
          <w:rFonts w:hint="cs"/>
          <w:sz w:val="27"/>
          <w:rtl/>
          <w:lang w:bidi="ar-LB"/>
        </w:rPr>
        <w:t>َ</w:t>
      </w:r>
      <w:r w:rsidRPr="00282AC9">
        <w:rPr>
          <w:rFonts w:hint="cs"/>
          <w:sz w:val="27"/>
          <w:rtl/>
          <w:lang w:bidi="ar-LB"/>
        </w:rPr>
        <w:t>ع</w:t>
      </w:r>
      <w:r w:rsidR="00F4015F" w:rsidRPr="00282AC9">
        <w:rPr>
          <w:rFonts w:hint="cs"/>
          <w:sz w:val="27"/>
          <w:rtl/>
          <w:lang w:bidi="ar-LB"/>
        </w:rPr>
        <w:t>ْ</w:t>
      </w:r>
      <w:r w:rsidRPr="00282AC9">
        <w:rPr>
          <w:rFonts w:hint="cs"/>
          <w:sz w:val="27"/>
          <w:rtl/>
          <w:lang w:bidi="ar-LB"/>
        </w:rPr>
        <w:t>ل، أي مرتبة الإنشاء والفعلية</w:t>
      </w:r>
      <w:r w:rsidR="00F4015F" w:rsidRPr="00282AC9">
        <w:rPr>
          <w:rFonts w:hint="cs"/>
          <w:sz w:val="27"/>
          <w:rtl/>
          <w:lang w:bidi="ar-LB"/>
        </w:rPr>
        <w:t>،</w:t>
      </w:r>
      <w:r w:rsidRPr="00282AC9">
        <w:rPr>
          <w:rFonts w:hint="cs"/>
          <w:sz w:val="27"/>
          <w:rtl/>
          <w:lang w:bidi="ar-LB"/>
        </w:rPr>
        <w:t xml:space="preserve"> ح</w:t>
      </w:r>
      <w:r w:rsidR="00F4015F" w:rsidRPr="00282AC9">
        <w:rPr>
          <w:rFonts w:hint="cs"/>
          <w:sz w:val="27"/>
          <w:rtl/>
          <w:lang w:bidi="ar-LB"/>
        </w:rPr>
        <w:t>َ</w:t>
      </w:r>
      <w:r w:rsidRPr="00282AC9">
        <w:rPr>
          <w:rFonts w:hint="cs"/>
          <w:sz w:val="27"/>
          <w:rtl/>
          <w:lang w:bidi="ar-LB"/>
        </w:rPr>
        <w:t>س</w:t>
      </w:r>
      <w:r w:rsidR="00F4015F" w:rsidRPr="00282AC9">
        <w:rPr>
          <w:rFonts w:hint="cs"/>
          <w:sz w:val="27"/>
          <w:rtl/>
          <w:lang w:bidi="ar-LB"/>
        </w:rPr>
        <w:t>ْ</w:t>
      </w:r>
      <w:r w:rsidRPr="00282AC9">
        <w:rPr>
          <w:rFonts w:hint="cs"/>
          <w:sz w:val="27"/>
          <w:rtl/>
          <w:lang w:bidi="ar-LB"/>
        </w:rPr>
        <w:t>ب رأيه، ومرتبة الإنشاء</w:t>
      </w:r>
      <w:r w:rsidR="00F4015F" w:rsidRPr="00282AC9">
        <w:rPr>
          <w:rFonts w:hint="cs"/>
          <w:sz w:val="27"/>
          <w:rtl/>
          <w:lang w:bidi="ar-LB"/>
        </w:rPr>
        <w:t>،</w:t>
      </w:r>
      <w:r w:rsidRPr="00282AC9">
        <w:rPr>
          <w:rFonts w:hint="cs"/>
          <w:sz w:val="27"/>
          <w:rtl/>
          <w:lang w:bidi="ar-LB"/>
        </w:rPr>
        <w:t xml:space="preserve"> ح</w:t>
      </w:r>
      <w:r w:rsidR="00F4015F" w:rsidRPr="00282AC9">
        <w:rPr>
          <w:rFonts w:hint="cs"/>
          <w:sz w:val="27"/>
          <w:rtl/>
          <w:lang w:bidi="ar-LB"/>
        </w:rPr>
        <w:t>َ</w:t>
      </w:r>
      <w:r w:rsidRPr="00282AC9">
        <w:rPr>
          <w:rFonts w:hint="cs"/>
          <w:sz w:val="27"/>
          <w:rtl/>
          <w:lang w:bidi="ar-LB"/>
        </w:rPr>
        <w:t>س</w:t>
      </w:r>
      <w:r w:rsidR="00F4015F" w:rsidRPr="00282AC9">
        <w:rPr>
          <w:rFonts w:hint="cs"/>
          <w:sz w:val="27"/>
          <w:rtl/>
          <w:lang w:bidi="ar-LB"/>
        </w:rPr>
        <w:t>ْ</w:t>
      </w:r>
      <w:r w:rsidRPr="00282AC9">
        <w:rPr>
          <w:rFonts w:hint="cs"/>
          <w:sz w:val="27"/>
          <w:rtl/>
          <w:lang w:bidi="ar-LB"/>
        </w:rPr>
        <w:t>ب المختار.</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وثانياً</w:t>
      </w:r>
      <w:r w:rsidRPr="00282AC9">
        <w:rPr>
          <w:rFonts w:hint="cs"/>
          <w:sz w:val="27"/>
          <w:rtl/>
          <w:lang w:bidi="ar-LB"/>
        </w:rPr>
        <w:t>: جواز خلوّ الواقع عن روح الخطاب وحقيقته، أعني: الإرادة والكراهة</w:t>
      </w:r>
      <w:r w:rsidRPr="00282AC9">
        <w:rPr>
          <w:rFonts w:hint="cs"/>
          <w:sz w:val="27"/>
          <w:vertAlign w:val="superscript"/>
          <w:rtl/>
          <w:lang w:bidi="ar-LB"/>
        </w:rPr>
        <w:t>(</w:t>
      </w:r>
      <w:r w:rsidRPr="00282AC9">
        <w:rPr>
          <w:rStyle w:val="af9"/>
          <w:sz w:val="27"/>
          <w:rtl/>
          <w:lang w:bidi="ar-LB"/>
        </w:rPr>
        <w:endnoteReference w:id="30"/>
      </w:r>
      <w:r w:rsidRPr="00282AC9">
        <w:rPr>
          <w:sz w:val="27"/>
          <w:vertAlign w:val="superscript"/>
          <w:rtl/>
          <w:lang w:bidi="ar-LB"/>
        </w:rPr>
        <w:t>)</w:t>
      </w:r>
      <w:r w:rsidRPr="00282AC9">
        <w:rPr>
          <w:rFonts w:hint="cs"/>
          <w:sz w:val="27"/>
          <w:rtl/>
          <w:lang w:bidi="ar-LB"/>
        </w:rPr>
        <w:t>.</w:t>
      </w:r>
    </w:p>
    <w:p w:rsidR="002F0FE8" w:rsidRPr="00282AC9" w:rsidRDefault="002F0FE8" w:rsidP="00765803">
      <w:pPr>
        <w:tabs>
          <w:tab w:val="right" w:pos="6930"/>
        </w:tabs>
        <w:suppressAutoHyphens/>
        <w:spacing w:line="420" w:lineRule="exact"/>
        <w:rPr>
          <w:sz w:val="27"/>
          <w:rtl/>
          <w:lang w:bidi="ar-LB"/>
        </w:rPr>
      </w:pPr>
    </w:p>
    <w:p w:rsidR="002F0FE8" w:rsidRPr="00282AC9" w:rsidRDefault="002F0FE8" w:rsidP="002F0FE8">
      <w:pPr>
        <w:pStyle w:val="31"/>
        <w:rPr>
          <w:color w:val="auto"/>
          <w:rtl/>
          <w:lang w:bidi="ar-LB"/>
        </w:rPr>
      </w:pPr>
      <w:r w:rsidRPr="00282AC9">
        <w:rPr>
          <w:rFonts w:hint="cs"/>
          <w:color w:val="auto"/>
          <w:rtl/>
          <w:lang w:bidi="ar-LB"/>
        </w:rPr>
        <w:t>تعليقاتٌ على النقاش</w:t>
      </w:r>
    </w:p>
    <w:p w:rsidR="00A9019A" w:rsidRPr="00282AC9" w:rsidRDefault="00A9019A" w:rsidP="00B16272">
      <w:pPr>
        <w:tabs>
          <w:tab w:val="right" w:pos="6930"/>
        </w:tabs>
        <w:suppressAutoHyphens/>
        <w:rPr>
          <w:sz w:val="27"/>
          <w:rtl/>
          <w:lang w:bidi="ar-LB"/>
        </w:rPr>
      </w:pPr>
      <w:r w:rsidRPr="00282AC9">
        <w:rPr>
          <w:rFonts w:hint="cs"/>
          <w:sz w:val="27"/>
          <w:rtl/>
          <w:lang w:bidi="ar-LB"/>
        </w:rPr>
        <w:t>ولنا على إفادته</w:t>
      </w:r>
      <w:r w:rsidR="009A2A04" w:rsidRPr="00282AC9">
        <w:rPr>
          <w:rFonts w:cs="Mosawi" w:hint="cs"/>
          <w:sz w:val="22"/>
          <w:szCs w:val="22"/>
          <w:rtl/>
          <w:lang w:bidi="ar-LB"/>
        </w:rPr>
        <w:t>&amp;</w:t>
      </w:r>
      <w:r w:rsidRPr="00282AC9">
        <w:rPr>
          <w:rFonts w:hint="cs"/>
          <w:sz w:val="27"/>
          <w:rtl/>
          <w:lang w:bidi="ar-LB"/>
        </w:rPr>
        <w:t xml:space="preserve"> في المقام عد</w:t>
      </w:r>
      <w:r w:rsidR="00F4015F" w:rsidRPr="00282AC9">
        <w:rPr>
          <w:rFonts w:hint="cs"/>
          <w:sz w:val="27"/>
          <w:rtl/>
          <w:lang w:bidi="ar-LB"/>
        </w:rPr>
        <w:t>ّ</w:t>
      </w:r>
      <w:r w:rsidRPr="00282AC9">
        <w:rPr>
          <w:rFonts w:hint="cs"/>
          <w:sz w:val="27"/>
          <w:rtl/>
          <w:lang w:bidi="ar-LB"/>
        </w:rPr>
        <w:t>ة تعليقات:</w:t>
      </w:r>
    </w:p>
    <w:p w:rsidR="00A9019A" w:rsidRPr="00282AC9" w:rsidRDefault="00A9019A" w:rsidP="00B16272">
      <w:pPr>
        <w:tabs>
          <w:tab w:val="right" w:pos="6930"/>
        </w:tabs>
        <w:suppressAutoHyphens/>
        <w:rPr>
          <w:sz w:val="27"/>
          <w:rtl/>
          <w:lang w:bidi="ar-LB"/>
        </w:rPr>
      </w:pPr>
      <w:r w:rsidRPr="00282AC9">
        <w:rPr>
          <w:rFonts w:hint="cs"/>
          <w:b/>
          <w:bCs/>
          <w:sz w:val="27"/>
          <w:rtl/>
          <w:lang w:bidi="ar-LB"/>
        </w:rPr>
        <w:t>التعليقة الأولى</w:t>
      </w:r>
      <w:r w:rsidRPr="00282AC9">
        <w:rPr>
          <w:rFonts w:hint="cs"/>
          <w:sz w:val="27"/>
          <w:rtl/>
          <w:lang w:bidi="ar-LB"/>
        </w:rPr>
        <w:t xml:space="preserve">: </w:t>
      </w:r>
      <w:r w:rsidR="00F4015F" w:rsidRPr="00282AC9">
        <w:rPr>
          <w:rFonts w:hint="cs"/>
          <w:sz w:val="27"/>
          <w:rtl/>
          <w:lang w:bidi="ar-LB"/>
        </w:rPr>
        <w:t>إن</w:t>
      </w:r>
      <w:r w:rsidRPr="00282AC9">
        <w:rPr>
          <w:rFonts w:hint="cs"/>
          <w:sz w:val="27"/>
          <w:rtl/>
          <w:lang w:bidi="ar-LB"/>
        </w:rPr>
        <w:t xml:space="preserve">ه لا وجه لتخصيص البحث </w:t>
      </w:r>
      <w:r w:rsidRPr="00282AC9">
        <w:rPr>
          <w:rFonts w:hint="cs"/>
          <w:b/>
          <w:bCs/>
          <w:sz w:val="27"/>
          <w:rtl/>
          <w:lang w:bidi="ar-LB"/>
        </w:rPr>
        <w:t>أو</w:t>
      </w:r>
      <w:r w:rsidR="00F4015F" w:rsidRPr="00282AC9">
        <w:rPr>
          <w:rFonts w:hint="cs"/>
          <w:b/>
          <w:bCs/>
          <w:sz w:val="27"/>
          <w:rtl/>
          <w:lang w:bidi="ar-LB"/>
        </w:rPr>
        <w:t>ّ</w:t>
      </w:r>
      <w:r w:rsidRPr="00282AC9">
        <w:rPr>
          <w:rFonts w:hint="cs"/>
          <w:b/>
          <w:bCs/>
          <w:sz w:val="27"/>
          <w:rtl/>
          <w:lang w:bidi="ar-LB"/>
        </w:rPr>
        <w:t>لاً</w:t>
      </w:r>
      <w:r w:rsidR="00E03EA3" w:rsidRPr="00282AC9">
        <w:rPr>
          <w:rFonts w:hint="cs"/>
          <w:sz w:val="27"/>
          <w:rtl/>
          <w:lang w:bidi="ar-LB"/>
        </w:rPr>
        <w:t>:</w:t>
      </w:r>
      <w:r w:rsidRPr="00282AC9">
        <w:rPr>
          <w:rFonts w:hint="cs"/>
          <w:sz w:val="27"/>
          <w:rtl/>
          <w:lang w:bidi="ar-LB"/>
        </w:rPr>
        <w:t xml:space="preserve"> بمسألة الح</w:t>
      </w:r>
      <w:r w:rsidR="00F4015F" w:rsidRPr="00282AC9">
        <w:rPr>
          <w:rFonts w:hint="cs"/>
          <w:sz w:val="27"/>
          <w:rtl/>
          <w:lang w:bidi="ar-LB"/>
        </w:rPr>
        <w:t>ُ</w:t>
      </w:r>
      <w:r w:rsidRPr="00282AC9">
        <w:rPr>
          <w:rFonts w:hint="cs"/>
          <w:sz w:val="27"/>
          <w:rtl/>
          <w:lang w:bidi="ar-LB"/>
        </w:rPr>
        <w:t>س</w:t>
      </w:r>
      <w:r w:rsidR="00F4015F" w:rsidRPr="00282AC9">
        <w:rPr>
          <w:rFonts w:hint="cs"/>
          <w:sz w:val="27"/>
          <w:rtl/>
          <w:lang w:bidi="ar-LB"/>
        </w:rPr>
        <w:t>ْ</w:t>
      </w:r>
      <w:r w:rsidRPr="00282AC9">
        <w:rPr>
          <w:rFonts w:hint="cs"/>
          <w:sz w:val="27"/>
          <w:rtl/>
          <w:lang w:bidi="ar-LB"/>
        </w:rPr>
        <w:t>ن والق</w:t>
      </w:r>
      <w:r w:rsidR="00F4015F" w:rsidRPr="00282AC9">
        <w:rPr>
          <w:rFonts w:hint="cs"/>
          <w:sz w:val="27"/>
          <w:rtl/>
          <w:lang w:bidi="ar-LB"/>
        </w:rPr>
        <w:t>ُ</w:t>
      </w:r>
      <w:r w:rsidRPr="00282AC9">
        <w:rPr>
          <w:rFonts w:hint="cs"/>
          <w:sz w:val="27"/>
          <w:rtl/>
          <w:lang w:bidi="ar-LB"/>
        </w:rPr>
        <w:t>ب</w:t>
      </w:r>
      <w:r w:rsidR="00F4015F" w:rsidRPr="00282AC9">
        <w:rPr>
          <w:rFonts w:hint="cs"/>
          <w:sz w:val="27"/>
          <w:rtl/>
          <w:lang w:bidi="ar-LB"/>
        </w:rPr>
        <w:t>ْ</w:t>
      </w:r>
      <w:r w:rsidRPr="00282AC9">
        <w:rPr>
          <w:rFonts w:hint="cs"/>
          <w:sz w:val="27"/>
          <w:rtl/>
          <w:lang w:bidi="ar-LB"/>
        </w:rPr>
        <w:t>ح</w:t>
      </w:r>
      <w:r w:rsidR="007402B1" w:rsidRPr="00282AC9">
        <w:rPr>
          <w:rFonts w:hint="cs"/>
          <w:sz w:val="27"/>
          <w:rtl/>
          <w:lang w:bidi="ar-LB"/>
        </w:rPr>
        <w:t xml:space="preserve">؛ </w:t>
      </w:r>
      <w:r w:rsidRPr="00282AC9">
        <w:rPr>
          <w:rFonts w:hint="cs"/>
          <w:b/>
          <w:bCs/>
          <w:sz w:val="27"/>
          <w:rtl/>
          <w:lang w:bidi="ar-LB"/>
        </w:rPr>
        <w:t>وثانياً</w:t>
      </w:r>
      <w:r w:rsidR="007402B1" w:rsidRPr="00282AC9">
        <w:rPr>
          <w:rFonts w:hint="cs"/>
          <w:sz w:val="27"/>
          <w:rtl/>
          <w:lang w:bidi="ar-LB"/>
        </w:rPr>
        <w:t>:</w:t>
      </w:r>
      <w:r w:rsidRPr="00282AC9">
        <w:rPr>
          <w:rFonts w:hint="cs"/>
          <w:sz w:val="27"/>
          <w:rtl/>
          <w:lang w:bidi="ar-LB"/>
        </w:rPr>
        <w:t xml:space="preserve"> بالأسلوب العقلي</w:t>
      </w:r>
      <w:r w:rsidR="007402B1" w:rsidRPr="00282AC9">
        <w:rPr>
          <w:rFonts w:hint="cs"/>
          <w:sz w:val="27"/>
          <w:rtl/>
          <w:lang w:bidi="ar-LB"/>
        </w:rPr>
        <w:t>ّ؛</w:t>
      </w:r>
      <w:r w:rsidRPr="00282AC9">
        <w:rPr>
          <w:rFonts w:hint="cs"/>
          <w:sz w:val="27"/>
          <w:rtl/>
          <w:lang w:bidi="ar-LB"/>
        </w:rPr>
        <w:t xml:space="preserve"> إذ من الممكن دراسة القاعدة في ضوء المصالح والمفاسد الواقعية، كما أنّ الأسلوب النقلي، أعني: الاستدلال بالروايات والأخبار</w:t>
      </w:r>
      <w:r w:rsidR="007402B1" w:rsidRPr="00282AC9">
        <w:rPr>
          <w:rFonts w:hint="cs"/>
          <w:sz w:val="27"/>
          <w:rtl/>
          <w:lang w:bidi="ar-LB"/>
        </w:rPr>
        <w:t>،</w:t>
      </w:r>
      <w:r w:rsidRPr="00282AC9">
        <w:rPr>
          <w:rFonts w:hint="cs"/>
          <w:sz w:val="27"/>
          <w:rtl/>
          <w:lang w:bidi="ar-LB"/>
        </w:rPr>
        <w:t xml:space="preserve"> ممّا يعيننا كثير</w:t>
      </w:r>
      <w:r w:rsidR="007402B1" w:rsidRPr="00282AC9">
        <w:rPr>
          <w:rFonts w:hint="cs"/>
          <w:sz w:val="27"/>
          <w:rtl/>
          <w:lang w:bidi="ar-LB"/>
        </w:rPr>
        <w:t>اً</w:t>
      </w:r>
      <w:r w:rsidRPr="00282AC9">
        <w:rPr>
          <w:rFonts w:hint="cs"/>
          <w:sz w:val="27"/>
          <w:rtl/>
          <w:lang w:bidi="ar-LB"/>
        </w:rPr>
        <w:t xml:space="preserve"> في هذا المجال.</w:t>
      </w:r>
    </w:p>
    <w:p w:rsidR="00A9019A" w:rsidRPr="00282AC9" w:rsidRDefault="00A9019A" w:rsidP="00B16272">
      <w:pPr>
        <w:tabs>
          <w:tab w:val="right" w:pos="6930"/>
        </w:tabs>
        <w:suppressAutoHyphens/>
        <w:rPr>
          <w:sz w:val="27"/>
          <w:rtl/>
          <w:lang w:bidi="ar-LB"/>
        </w:rPr>
      </w:pPr>
      <w:r w:rsidRPr="00282AC9">
        <w:rPr>
          <w:rFonts w:hint="cs"/>
          <w:sz w:val="27"/>
          <w:rtl/>
          <w:lang w:bidi="ar-LB"/>
        </w:rPr>
        <w:t>وتوضيح ذلك:</w:t>
      </w:r>
      <w:r w:rsidR="007402B1" w:rsidRPr="00282AC9">
        <w:rPr>
          <w:rFonts w:hint="cs"/>
          <w:sz w:val="27"/>
          <w:rtl/>
          <w:lang w:bidi="ar-LB"/>
        </w:rPr>
        <w:t xml:space="preserve"> </w:t>
      </w:r>
      <w:r w:rsidRPr="00282AC9">
        <w:rPr>
          <w:rFonts w:hint="cs"/>
          <w:sz w:val="27"/>
          <w:rtl/>
          <w:lang w:bidi="ar-LB"/>
        </w:rPr>
        <w:t xml:space="preserve">أمّا </w:t>
      </w:r>
      <w:r w:rsidRPr="00282AC9">
        <w:rPr>
          <w:rFonts w:hint="cs"/>
          <w:b/>
          <w:bCs/>
          <w:sz w:val="27"/>
          <w:rtl/>
          <w:lang w:bidi="ar-LB"/>
        </w:rPr>
        <w:t>أوّلاً</w:t>
      </w:r>
      <w:r w:rsidRPr="00282AC9">
        <w:rPr>
          <w:rFonts w:hint="cs"/>
          <w:sz w:val="27"/>
          <w:rtl/>
          <w:lang w:bidi="ar-LB"/>
        </w:rPr>
        <w:t>: فقد تقد</w:t>
      </w:r>
      <w:r w:rsidR="007402B1" w:rsidRPr="00282AC9">
        <w:rPr>
          <w:rFonts w:hint="cs"/>
          <w:sz w:val="27"/>
          <w:rtl/>
          <w:lang w:bidi="ar-LB"/>
        </w:rPr>
        <w:t>َّ</w:t>
      </w:r>
      <w:r w:rsidRPr="00282AC9">
        <w:rPr>
          <w:rFonts w:hint="cs"/>
          <w:sz w:val="27"/>
          <w:rtl/>
          <w:lang w:bidi="ar-LB"/>
        </w:rPr>
        <w:t>م في مسألة الح</w:t>
      </w:r>
      <w:r w:rsidR="007402B1" w:rsidRPr="00282AC9">
        <w:rPr>
          <w:rFonts w:hint="cs"/>
          <w:sz w:val="27"/>
          <w:rtl/>
          <w:lang w:bidi="ar-LB"/>
        </w:rPr>
        <w:t>ُ</w:t>
      </w:r>
      <w:r w:rsidRPr="00282AC9">
        <w:rPr>
          <w:rFonts w:hint="cs"/>
          <w:sz w:val="27"/>
          <w:rtl/>
          <w:lang w:bidi="ar-LB"/>
        </w:rPr>
        <w:t>س</w:t>
      </w:r>
      <w:r w:rsidR="007402B1" w:rsidRPr="00282AC9">
        <w:rPr>
          <w:rFonts w:hint="cs"/>
          <w:sz w:val="27"/>
          <w:rtl/>
          <w:lang w:bidi="ar-LB"/>
        </w:rPr>
        <w:t>ْ</w:t>
      </w:r>
      <w:r w:rsidRPr="00282AC9">
        <w:rPr>
          <w:rFonts w:hint="cs"/>
          <w:sz w:val="27"/>
          <w:rtl/>
          <w:lang w:bidi="ar-LB"/>
        </w:rPr>
        <w:t>ن والق</w:t>
      </w:r>
      <w:r w:rsidR="007402B1" w:rsidRPr="00282AC9">
        <w:rPr>
          <w:rFonts w:hint="cs"/>
          <w:sz w:val="27"/>
          <w:rtl/>
          <w:lang w:bidi="ar-LB"/>
        </w:rPr>
        <w:t>ُ</w:t>
      </w:r>
      <w:r w:rsidRPr="00282AC9">
        <w:rPr>
          <w:rFonts w:hint="cs"/>
          <w:sz w:val="27"/>
          <w:rtl/>
          <w:lang w:bidi="ar-LB"/>
        </w:rPr>
        <w:t>ب</w:t>
      </w:r>
      <w:r w:rsidR="007402B1" w:rsidRPr="00282AC9">
        <w:rPr>
          <w:rFonts w:hint="cs"/>
          <w:sz w:val="27"/>
          <w:rtl/>
          <w:lang w:bidi="ar-LB"/>
        </w:rPr>
        <w:t>ْ</w:t>
      </w:r>
      <w:r w:rsidRPr="00282AC9">
        <w:rPr>
          <w:rFonts w:hint="cs"/>
          <w:sz w:val="27"/>
          <w:rtl/>
          <w:lang w:bidi="ar-LB"/>
        </w:rPr>
        <w:t>ح العقليين عدم الملازمة بينهما وبين المصالح والمفاسد الواقعية، إلاّ على بعض المباني</w:t>
      </w:r>
      <w:r w:rsidR="007402B1" w:rsidRPr="00282AC9">
        <w:rPr>
          <w:rFonts w:hint="cs"/>
          <w:sz w:val="27"/>
          <w:rtl/>
          <w:lang w:bidi="ar-LB"/>
        </w:rPr>
        <w:t xml:space="preserve">. </w:t>
      </w:r>
      <w:r w:rsidRPr="00282AC9">
        <w:rPr>
          <w:rFonts w:hint="cs"/>
          <w:sz w:val="27"/>
          <w:rtl/>
          <w:lang w:bidi="ar-LB"/>
        </w:rPr>
        <w:t>وقد عر</w:t>
      </w:r>
      <w:r w:rsidR="007402B1" w:rsidRPr="00282AC9">
        <w:rPr>
          <w:rFonts w:hint="cs"/>
          <w:sz w:val="27"/>
          <w:rtl/>
          <w:lang w:bidi="ar-LB"/>
        </w:rPr>
        <w:t>َ</w:t>
      </w:r>
      <w:r w:rsidRPr="00282AC9">
        <w:rPr>
          <w:rFonts w:hint="cs"/>
          <w:sz w:val="27"/>
          <w:rtl/>
          <w:lang w:bidi="ar-LB"/>
        </w:rPr>
        <w:t>ف</w:t>
      </w:r>
      <w:r w:rsidR="007402B1" w:rsidRPr="00282AC9">
        <w:rPr>
          <w:rFonts w:hint="cs"/>
          <w:sz w:val="27"/>
          <w:rtl/>
          <w:lang w:bidi="ar-LB"/>
        </w:rPr>
        <w:t>ْ</w:t>
      </w:r>
      <w:r w:rsidRPr="00282AC9">
        <w:rPr>
          <w:rFonts w:hint="cs"/>
          <w:sz w:val="27"/>
          <w:rtl/>
          <w:lang w:bidi="ar-LB"/>
        </w:rPr>
        <w:t>نا هناك إنكار الملازمة بينهما من المحق</w:t>
      </w:r>
      <w:r w:rsidR="007402B1" w:rsidRPr="00282AC9">
        <w:rPr>
          <w:rFonts w:hint="cs"/>
          <w:sz w:val="27"/>
          <w:rtl/>
          <w:lang w:bidi="ar-LB"/>
        </w:rPr>
        <w:t>ِّ</w:t>
      </w:r>
      <w:r w:rsidRPr="00282AC9">
        <w:rPr>
          <w:rFonts w:hint="cs"/>
          <w:sz w:val="27"/>
          <w:rtl/>
          <w:lang w:bidi="ar-LB"/>
        </w:rPr>
        <w:t>ق الأصفهاني</w:t>
      </w:r>
      <w:r w:rsidR="009A2A04" w:rsidRPr="00282AC9">
        <w:rPr>
          <w:rFonts w:cs="Mosawi" w:hint="cs"/>
          <w:sz w:val="22"/>
          <w:szCs w:val="22"/>
          <w:rtl/>
          <w:lang w:bidi="ar-LB"/>
        </w:rPr>
        <w:t>&amp;</w:t>
      </w:r>
      <w:r w:rsidRPr="00282AC9">
        <w:rPr>
          <w:rFonts w:hint="cs"/>
          <w:sz w:val="27"/>
          <w:rtl/>
          <w:lang w:bidi="ar-LB"/>
        </w:rPr>
        <w:t xml:space="preserve"> بالصراحة، على أساس أنّ الح</w:t>
      </w:r>
      <w:r w:rsidR="007402B1" w:rsidRPr="00282AC9">
        <w:rPr>
          <w:rFonts w:hint="cs"/>
          <w:sz w:val="27"/>
          <w:rtl/>
          <w:lang w:bidi="ar-LB"/>
        </w:rPr>
        <w:t>ُ</w:t>
      </w:r>
      <w:r w:rsidRPr="00282AC9">
        <w:rPr>
          <w:rFonts w:hint="cs"/>
          <w:sz w:val="27"/>
          <w:rtl/>
          <w:lang w:bidi="ar-LB"/>
        </w:rPr>
        <w:t>س</w:t>
      </w:r>
      <w:r w:rsidR="007402B1" w:rsidRPr="00282AC9">
        <w:rPr>
          <w:rFonts w:hint="cs"/>
          <w:sz w:val="27"/>
          <w:rtl/>
          <w:lang w:bidi="ar-LB"/>
        </w:rPr>
        <w:t>ْ</w:t>
      </w:r>
      <w:r w:rsidRPr="00282AC9">
        <w:rPr>
          <w:rFonts w:hint="cs"/>
          <w:sz w:val="27"/>
          <w:rtl/>
          <w:lang w:bidi="ar-LB"/>
        </w:rPr>
        <w:t xml:space="preserve">ن </w:t>
      </w:r>
      <w:r w:rsidRPr="00282AC9">
        <w:rPr>
          <w:rFonts w:hint="cs"/>
          <w:sz w:val="27"/>
          <w:rtl/>
          <w:lang w:bidi="ar-LB"/>
        </w:rPr>
        <w:lastRenderedPageBreak/>
        <w:t>والق</w:t>
      </w:r>
      <w:r w:rsidR="007402B1" w:rsidRPr="00282AC9">
        <w:rPr>
          <w:rFonts w:hint="cs"/>
          <w:sz w:val="27"/>
          <w:rtl/>
          <w:lang w:bidi="ar-LB"/>
        </w:rPr>
        <w:t>ُ</w:t>
      </w:r>
      <w:r w:rsidRPr="00282AC9">
        <w:rPr>
          <w:rFonts w:hint="cs"/>
          <w:sz w:val="27"/>
          <w:rtl/>
          <w:lang w:bidi="ar-LB"/>
        </w:rPr>
        <w:t>ب</w:t>
      </w:r>
      <w:r w:rsidR="007402B1" w:rsidRPr="00282AC9">
        <w:rPr>
          <w:rFonts w:hint="cs"/>
          <w:sz w:val="27"/>
          <w:rtl/>
          <w:lang w:bidi="ar-LB"/>
        </w:rPr>
        <w:t>ْ</w:t>
      </w:r>
      <w:r w:rsidRPr="00282AC9">
        <w:rPr>
          <w:rFonts w:hint="cs"/>
          <w:sz w:val="27"/>
          <w:rtl/>
          <w:lang w:bidi="ar-LB"/>
        </w:rPr>
        <w:t>ح ليسا إلاّ من البناءات العقلائية على مدح طائفة</w:t>
      </w:r>
      <w:r w:rsidR="007402B1" w:rsidRPr="00282AC9">
        <w:rPr>
          <w:rFonts w:hint="cs"/>
          <w:sz w:val="27"/>
          <w:rtl/>
          <w:lang w:bidi="ar-LB"/>
        </w:rPr>
        <w:t>ٍ</w:t>
      </w:r>
      <w:r w:rsidRPr="00282AC9">
        <w:rPr>
          <w:rFonts w:hint="cs"/>
          <w:sz w:val="27"/>
          <w:rtl/>
          <w:lang w:bidi="ar-LB"/>
        </w:rPr>
        <w:t xml:space="preserve"> من الأفعال وذمّ طائفة</w:t>
      </w:r>
      <w:r w:rsidR="007402B1" w:rsidRPr="00282AC9">
        <w:rPr>
          <w:rFonts w:hint="cs"/>
          <w:sz w:val="27"/>
          <w:rtl/>
          <w:lang w:bidi="ar-LB"/>
        </w:rPr>
        <w:t>ٍ</w:t>
      </w:r>
      <w:r w:rsidRPr="00282AC9">
        <w:rPr>
          <w:rFonts w:hint="cs"/>
          <w:sz w:val="27"/>
          <w:rtl/>
          <w:lang w:bidi="ar-LB"/>
        </w:rPr>
        <w:t xml:space="preserve"> أخرى منها، وهذا المدح والذم ينش</w:t>
      </w:r>
      <w:r w:rsidR="007402B1" w:rsidRPr="00282AC9">
        <w:rPr>
          <w:rFonts w:hint="cs"/>
          <w:sz w:val="27"/>
          <w:rtl/>
          <w:lang w:bidi="ar-LB"/>
        </w:rPr>
        <w:t>آن</w:t>
      </w:r>
      <w:r w:rsidRPr="00282AC9">
        <w:rPr>
          <w:rFonts w:hint="cs"/>
          <w:sz w:val="27"/>
          <w:rtl/>
          <w:lang w:bidi="ar-LB"/>
        </w:rPr>
        <w:t xml:space="preserve"> من الملاكات النوعية العقلائية، وأمّا الأحكام الشرعي</w:t>
      </w:r>
      <w:r w:rsidR="007402B1" w:rsidRPr="00282AC9">
        <w:rPr>
          <w:rFonts w:hint="cs"/>
          <w:sz w:val="27"/>
          <w:rtl/>
          <w:lang w:bidi="ar-LB"/>
        </w:rPr>
        <w:t>ّ</w:t>
      </w:r>
      <w:r w:rsidRPr="00282AC9">
        <w:rPr>
          <w:rFonts w:hint="cs"/>
          <w:sz w:val="27"/>
          <w:rtl/>
          <w:lang w:bidi="ar-LB"/>
        </w:rPr>
        <w:t>ة فقد تنشأ من الملاكات الشخصي</w:t>
      </w:r>
      <w:r w:rsidR="007402B1" w:rsidRPr="00282AC9">
        <w:rPr>
          <w:rFonts w:hint="cs"/>
          <w:sz w:val="27"/>
          <w:rtl/>
          <w:lang w:bidi="ar-LB"/>
        </w:rPr>
        <w:t>ّ</w:t>
      </w:r>
      <w:r w:rsidRPr="00282AC9">
        <w:rPr>
          <w:rFonts w:hint="cs"/>
          <w:sz w:val="27"/>
          <w:rtl/>
          <w:lang w:bidi="ar-LB"/>
        </w:rPr>
        <w:t>ة</w:t>
      </w:r>
      <w:r w:rsidR="007402B1" w:rsidRPr="00282AC9">
        <w:rPr>
          <w:rFonts w:hint="cs"/>
          <w:sz w:val="27"/>
          <w:rtl/>
          <w:lang w:bidi="ar-LB"/>
        </w:rPr>
        <w:t>. وأمّا بناءً</w:t>
      </w:r>
      <w:r w:rsidRPr="00282AC9">
        <w:rPr>
          <w:rFonts w:hint="cs"/>
          <w:sz w:val="27"/>
          <w:rtl/>
          <w:lang w:bidi="ar-LB"/>
        </w:rPr>
        <w:t xml:space="preserve"> على المخت</w:t>
      </w:r>
      <w:r w:rsidR="007402B1" w:rsidRPr="00282AC9">
        <w:rPr>
          <w:rFonts w:hint="cs"/>
          <w:sz w:val="27"/>
          <w:rtl/>
          <w:lang w:bidi="ar-LB"/>
        </w:rPr>
        <w:t>ا</w:t>
      </w:r>
      <w:r w:rsidRPr="00282AC9">
        <w:rPr>
          <w:rFonts w:hint="cs"/>
          <w:sz w:val="27"/>
          <w:rtl/>
          <w:lang w:bidi="ar-LB"/>
        </w:rPr>
        <w:t>ر من كون الح</w:t>
      </w:r>
      <w:r w:rsidR="007402B1" w:rsidRPr="00282AC9">
        <w:rPr>
          <w:rFonts w:hint="cs"/>
          <w:sz w:val="27"/>
          <w:rtl/>
          <w:lang w:bidi="ar-LB"/>
        </w:rPr>
        <w:t>ُ</w:t>
      </w:r>
      <w:r w:rsidRPr="00282AC9">
        <w:rPr>
          <w:rFonts w:hint="cs"/>
          <w:sz w:val="27"/>
          <w:rtl/>
          <w:lang w:bidi="ar-LB"/>
        </w:rPr>
        <w:t>س</w:t>
      </w:r>
      <w:r w:rsidR="007402B1" w:rsidRPr="00282AC9">
        <w:rPr>
          <w:rFonts w:hint="cs"/>
          <w:sz w:val="27"/>
          <w:rtl/>
          <w:lang w:bidi="ar-LB"/>
        </w:rPr>
        <w:t>ْ</w:t>
      </w:r>
      <w:r w:rsidRPr="00282AC9">
        <w:rPr>
          <w:rFonts w:hint="cs"/>
          <w:sz w:val="27"/>
          <w:rtl/>
          <w:lang w:bidi="ar-LB"/>
        </w:rPr>
        <w:t>ن والق</w:t>
      </w:r>
      <w:r w:rsidR="007402B1" w:rsidRPr="00282AC9">
        <w:rPr>
          <w:rFonts w:hint="cs"/>
          <w:sz w:val="27"/>
          <w:rtl/>
          <w:lang w:bidi="ar-LB"/>
        </w:rPr>
        <w:t>ُ</w:t>
      </w:r>
      <w:r w:rsidRPr="00282AC9">
        <w:rPr>
          <w:rFonts w:hint="cs"/>
          <w:sz w:val="27"/>
          <w:rtl/>
          <w:lang w:bidi="ar-LB"/>
        </w:rPr>
        <w:t>ب</w:t>
      </w:r>
      <w:r w:rsidR="007402B1" w:rsidRPr="00282AC9">
        <w:rPr>
          <w:rFonts w:hint="cs"/>
          <w:sz w:val="27"/>
          <w:rtl/>
          <w:lang w:bidi="ar-LB"/>
        </w:rPr>
        <w:t>ْ</w:t>
      </w:r>
      <w:r w:rsidRPr="00282AC9">
        <w:rPr>
          <w:rFonts w:hint="cs"/>
          <w:sz w:val="27"/>
          <w:rtl/>
          <w:lang w:bidi="ar-LB"/>
        </w:rPr>
        <w:t>ح وصفين واقعي</w:t>
      </w:r>
      <w:r w:rsidR="007402B1" w:rsidRPr="00282AC9">
        <w:rPr>
          <w:rFonts w:hint="cs"/>
          <w:sz w:val="27"/>
          <w:rtl/>
          <w:lang w:bidi="ar-LB"/>
        </w:rPr>
        <w:t>ّ</w:t>
      </w:r>
      <w:r w:rsidRPr="00282AC9">
        <w:rPr>
          <w:rFonts w:hint="cs"/>
          <w:sz w:val="27"/>
          <w:rtl/>
          <w:lang w:bidi="ar-LB"/>
        </w:rPr>
        <w:t>ين فهما متقاربان مع المصلحة والمفسدة في الموضوع</w:t>
      </w:r>
      <w:r w:rsidR="007402B1" w:rsidRPr="00282AC9">
        <w:rPr>
          <w:rFonts w:hint="cs"/>
          <w:sz w:val="27"/>
          <w:rtl/>
          <w:lang w:bidi="ar-LB"/>
        </w:rPr>
        <w:t>. و</w:t>
      </w:r>
      <w:r w:rsidRPr="00282AC9">
        <w:rPr>
          <w:rFonts w:hint="cs"/>
          <w:sz w:val="27"/>
          <w:rtl/>
          <w:lang w:bidi="ar-LB"/>
        </w:rPr>
        <w:t>التفصيل في محل</w:t>
      </w:r>
      <w:r w:rsidR="007402B1" w:rsidRPr="00282AC9">
        <w:rPr>
          <w:rFonts w:hint="cs"/>
          <w:sz w:val="27"/>
          <w:rtl/>
          <w:lang w:bidi="ar-LB"/>
        </w:rPr>
        <w:t>ّ</w:t>
      </w:r>
      <w:r w:rsidRPr="00282AC9">
        <w:rPr>
          <w:rFonts w:hint="cs"/>
          <w:sz w:val="27"/>
          <w:rtl/>
          <w:lang w:bidi="ar-LB"/>
        </w:rPr>
        <w:t>ه.</w:t>
      </w:r>
    </w:p>
    <w:p w:rsidR="00A9019A" w:rsidRPr="00282AC9" w:rsidRDefault="00A9019A" w:rsidP="00B16272">
      <w:pPr>
        <w:tabs>
          <w:tab w:val="right" w:pos="6930"/>
        </w:tabs>
        <w:suppressAutoHyphens/>
        <w:rPr>
          <w:sz w:val="27"/>
          <w:rtl/>
          <w:lang w:bidi="ar-LB"/>
        </w:rPr>
      </w:pPr>
      <w:r w:rsidRPr="00282AC9">
        <w:rPr>
          <w:rFonts w:hint="cs"/>
          <w:sz w:val="27"/>
          <w:rtl/>
          <w:lang w:bidi="ar-LB"/>
        </w:rPr>
        <w:t xml:space="preserve">وأمّا </w:t>
      </w:r>
      <w:r w:rsidRPr="00282AC9">
        <w:rPr>
          <w:rFonts w:hint="cs"/>
          <w:b/>
          <w:bCs/>
          <w:sz w:val="27"/>
          <w:rtl/>
          <w:lang w:bidi="ar-LB"/>
        </w:rPr>
        <w:t>ثانياً</w:t>
      </w:r>
      <w:r w:rsidR="007402B1" w:rsidRPr="00282AC9">
        <w:rPr>
          <w:rFonts w:hint="cs"/>
          <w:sz w:val="27"/>
          <w:rtl/>
          <w:lang w:bidi="ar-LB"/>
        </w:rPr>
        <w:t>: فلأ</w:t>
      </w:r>
      <w:r w:rsidRPr="00282AC9">
        <w:rPr>
          <w:rFonts w:hint="cs"/>
          <w:sz w:val="27"/>
          <w:rtl/>
          <w:lang w:bidi="ar-LB"/>
        </w:rPr>
        <w:t>نّ إثبات الخلوّ وعدمه، كما قد يمكن بالأدل</w:t>
      </w:r>
      <w:r w:rsidR="007402B1" w:rsidRPr="00282AC9">
        <w:rPr>
          <w:rFonts w:hint="cs"/>
          <w:sz w:val="27"/>
          <w:rtl/>
          <w:lang w:bidi="ar-LB"/>
        </w:rPr>
        <w:t>ّ</w:t>
      </w:r>
      <w:r w:rsidRPr="00282AC9">
        <w:rPr>
          <w:rFonts w:hint="cs"/>
          <w:sz w:val="27"/>
          <w:rtl/>
          <w:lang w:bidi="ar-LB"/>
        </w:rPr>
        <w:t>ة العقلي</w:t>
      </w:r>
      <w:r w:rsidR="007402B1" w:rsidRPr="00282AC9">
        <w:rPr>
          <w:rFonts w:hint="cs"/>
          <w:sz w:val="27"/>
          <w:rtl/>
          <w:lang w:bidi="ar-LB"/>
        </w:rPr>
        <w:t>ّ</w:t>
      </w:r>
      <w:r w:rsidRPr="00282AC9">
        <w:rPr>
          <w:rFonts w:hint="cs"/>
          <w:sz w:val="27"/>
          <w:rtl/>
          <w:lang w:bidi="ar-LB"/>
        </w:rPr>
        <w:t>ة، كذلك يمكن بالأدل</w:t>
      </w:r>
      <w:r w:rsidR="007402B1" w:rsidRPr="00282AC9">
        <w:rPr>
          <w:rFonts w:hint="cs"/>
          <w:sz w:val="27"/>
          <w:rtl/>
          <w:lang w:bidi="ar-LB"/>
        </w:rPr>
        <w:t>ّ</w:t>
      </w:r>
      <w:r w:rsidRPr="00282AC9">
        <w:rPr>
          <w:rFonts w:hint="cs"/>
          <w:sz w:val="27"/>
          <w:rtl/>
          <w:lang w:bidi="ar-LB"/>
        </w:rPr>
        <w:t xml:space="preserve">ة النقلية، ولا ينحصر طريق إثباته </w:t>
      </w:r>
      <w:r w:rsidR="00615E76" w:rsidRPr="00282AC9">
        <w:rPr>
          <w:rFonts w:hint="cs"/>
          <w:sz w:val="27"/>
          <w:rtl/>
          <w:lang w:bidi="ar-LB"/>
        </w:rPr>
        <w:t>ب</w:t>
      </w:r>
      <w:r w:rsidRPr="00282AC9">
        <w:rPr>
          <w:rFonts w:hint="cs"/>
          <w:sz w:val="27"/>
          <w:rtl/>
          <w:lang w:bidi="ar-LB"/>
        </w:rPr>
        <w:t>العقل، فلا وجه لحصر البحث</w:t>
      </w:r>
      <w:r w:rsidR="00615E76" w:rsidRPr="00282AC9">
        <w:rPr>
          <w:rFonts w:hint="cs"/>
          <w:sz w:val="27"/>
          <w:rtl/>
          <w:lang w:bidi="ar-LB"/>
        </w:rPr>
        <w:t xml:space="preserve"> في</w:t>
      </w:r>
      <w:r w:rsidRPr="00282AC9">
        <w:rPr>
          <w:rFonts w:hint="cs"/>
          <w:sz w:val="27"/>
          <w:rtl/>
          <w:lang w:bidi="ar-LB"/>
        </w:rPr>
        <w:t xml:space="preserve"> المسلك العقلي، وعدم استعراض الآيات والروايات التي اد</w:t>
      </w:r>
      <w:r w:rsidR="00615E76" w:rsidRPr="00282AC9">
        <w:rPr>
          <w:rFonts w:hint="cs"/>
          <w:sz w:val="27"/>
          <w:rtl/>
          <w:lang w:bidi="ar-LB"/>
        </w:rPr>
        <w:t>ُّ</w:t>
      </w:r>
      <w:r w:rsidRPr="00282AC9">
        <w:rPr>
          <w:rFonts w:hint="cs"/>
          <w:sz w:val="27"/>
          <w:rtl/>
          <w:lang w:bidi="ar-LB"/>
        </w:rPr>
        <w:t xml:space="preserve">عي في كلمات الكثيرين تواترها على المطلوب. </w:t>
      </w:r>
    </w:p>
    <w:p w:rsidR="00A9019A" w:rsidRPr="00282AC9" w:rsidRDefault="00A9019A" w:rsidP="00B16272">
      <w:pPr>
        <w:tabs>
          <w:tab w:val="right" w:pos="6930"/>
        </w:tabs>
        <w:suppressAutoHyphens/>
        <w:rPr>
          <w:sz w:val="27"/>
          <w:rtl/>
          <w:lang w:bidi="ar-LB"/>
        </w:rPr>
      </w:pPr>
      <w:r w:rsidRPr="00282AC9">
        <w:rPr>
          <w:rFonts w:hint="cs"/>
          <w:sz w:val="27"/>
          <w:rtl/>
          <w:lang w:bidi="ar-LB"/>
        </w:rPr>
        <w:t>نعم</w:t>
      </w:r>
      <w:r w:rsidR="00615E76" w:rsidRPr="00282AC9">
        <w:rPr>
          <w:rFonts w:hint="cs"/>
          <w:sz w:val="27"/>
          <w:rtl/>
          <w:lang w:bidi="ar-LB"/>
        </w:rPr>
        <w:t>،</w:t>
      </w:r>
      <w:r w:rsidRPr="00282AC9">
        <w:rPr>
          <w:rFonts w:hint="cs"/>
          <w:sz w:val="27"/>
          <w:rtl/>
          <w:lang w:bidi="ar-LB"/>
        </w:rPr>
        <w:t xml:space="preserve"> يمكن تبرير ذلك بأنّ القوم حيث استعرضوا البحث عن هذه القاعدة في خلال البحث </w:t>
      </w:r>
      <w:r w:rsidR="00615E76" w:rsidRPr="00282AC9">
        <w:rPr>
          <w:rFonts w:hint="cs"/>
          <w:sz w:val="27"/>
          <w:rtl/>
          <w:lang w:bidi="ar-LB"/>
        </w:rPr>
        <w:t>ع</w:t>
      </w:r>
      <w:r w:rsidRPr="00282AC9">
        <w:rPr>
          <w:rFonts w:hint="cs"/>
          <w:sz w:val="27"/>
          <w:rtl/>
          <w:lang w:bidi="ar-LB"/>
        </w:rPr>
        <w:t>ن قاعدة الملازمة، وكان موضوع هذه الملازمة</w:t>
      </w:r>
      <w:r w:rsidR="00615E76" w:rsidRPr="00282AC9">
        <w:rPr>
          <w:rFonts w:hint="cs"/>
          <w:sz w:val="27"/>
          <w:rtl/>
          <w:lang w:bidi="ar-LB"/>
        </w:rPr>
        <w:t xml:space="preserve">، </w:t>
      </w:r>
      <w:r w:rsidRPr="00282AC9">
        <w:rPr>
          <w:rFonts w:hint="cs"/>
          <w:sz w:val="27"/>
          <w:rtl/>
          <w:lang w:bidi="ar-LB"/>
        </w:rPr>
        <w:t>أي ما حكم به العقل</w:t>
      </w:r>
      <w:r w:rsidR="00615E76" w:rsidRPr="00282AC9">
        <w:rPr>
          <w:rFonts w:hint="cs"/>
          <w:sz w:val="27"/>
          <w:rtl/>
          <w:lang w:bidi="ar-LB"/>
        </w:rPr>
        <w:t>،</w:t>
      </w:r>
      <w:r w:rsidRPr="00282AC9">
        <w:rPr>
          <w:rFonts w:hint="cs"/>
          <w:sz w:val="27"/>
          <w:rtl/>
          <w:lang w:bidi="ar-LB"/>
        </w:rPr>
        <w:t xml:space="preserve"> مساوقاً للح</w:t>
      </w:r>
      <w:r w:rsidR="00615E76" w:rsidRPr="00282AC9">
        <w:rPr>
          <w:rFonts w:hint="cs"/>
          <w:sz w:val="27"/>
          <w:rtl/>
          <w:lang w:bidi="ar-LB"/>
        </w:rPr>
        <w:t>ُ</w:t>
      </w:r>
      <w:r w:rsidRPr="00282AC9">
        <w:rPr>
          <w:rFonts w:hint="cs"/>
          <w:sz w:val="27"/>
          <w:rtl/>
          <w:lang w:bidi="ar-LB"/>
        </w:rPr>
        <w:t>س</w:t>
      </w:r>
      <w:r w:rsidR="00615E76" w:rsidRPr="00282AC9">
        <w:rPr>
          <w:rFonts w:hint="cs"/>
          <w:sz w:val="27"/>
          <w:rtl/>
          <w:lang w:bidi="ar-LB"/>
        </w:rPr>
        <w:t>ْ</w:t>
      </w:r>
      <w:r w:rsidRPr="00282AC9">
        <w:rPr>
          <w:rFonts w:hint="cs"/>
          <w:sz w:val="27"/>
          <w:rtl/>
          <w:lang w:bidi="ar-LB"/>
        </w:rPr>
        <w:t>ن والق</w:t>
      </w:r>
      <w:r w:rsidR="00615E76" w:rsidRPr="00282AC9">
        <w:rPr>
          <w:rFonts w:hint="cs"/>
          <w:sz w:val="27"/>
          <w:rtl/>
          <w:lang w:bidi="ar-LB"/>
        </w:rPr>
        <w:t>ُ</w:t>
      </w:r>
      <w:r w:rsidRPr="00282AC9">
        <w:rPr>
          <w:rFonts w:hint="cs"/>
          <w:sz w:val="27"/>
          <w:rtl/>
          <w:lang w:bidi="ar-LB"/>
        </w:rPr>
        <w:t>ب</w:t>
      </w:r>
      <w:r w:rsidR="00615E76" w:rsidRPr="00282AC9">
        <w:rPr>
          <w:rFonts w:hint="cs"/>
          <w:sz w:val="27"/>
          <w:rtl/>
          <w:lang w:bidi="ar-LB"/>
        </w:rPr>
        <w:t>ْ</w:t>
      </w:r>
      <w:r w:rsidRPr="00282AC9">
        <w:rPr>
          <w:rFonts w:hint="cs"/>
          <w:sz w:val="27"/>
          <w:rtl/>
          <w:lang w:bidi="ar-LB"/>
        </w:rPr>
        <w:t>ح العقلي</w:t>
      </w:r>
      <w:r w:rsidR="00615E76" w:rsidRPr="00282AC9">
        <w:rPr>
          <w:rFonts w:hint="cs"/>
          <w:sz w:val="27"/>
          <w:rtl/>
          <w:lang w:bidi="ar-LB"/>
        </w:rPr>
        <w:t>ّين ـ</w:t>
      </w:r>
      <w:r w:rsidRPr="00282AC9">
        <w:rPr>
          <w:rFonts w:hint="cs"/>
          <w:sz w:val="27"/>
          <w:rtl/>
          <w:lang w:bidi="ar-LB"/>
        </w:rPr>
        <w:t xml:space="preserve"> على ما هو المشهور، لا على المختار من كون هذا العنوان ذا جهات</w:t>
      </w:r>
      <w:r w:rsidR="00615E76" w:rsidRPr="00282AC9">
        <w:rPr>
          <w:rFonts w:hint="cs"/>
          <w:sz w:val="27"/>
          <w:rtl/>
          <w:lang w:bidi="ar-LB"/>
        </w:rPr>
        <w:t>ٍ</w:t>
      </w:r>
      <w:r w:rsidRPr="00282AC9">
        <w:rPr>
          <w:rFonts w:hint="cs"/>
          <w:sz w:val="27"/>
          <w:rtl/>
          <w:lang w:bidi="ar-LB"/>
        </w:rPr>
        <w:t xml:space="preserve"> عديدة </w:t>
      </w:r>
      <w:r w:rsidRPr="00282AC9">
        <w:rPr>
          <w:sz w:val="27"/>
          <w:rtl/>
          <w:lang w:bidi="ar-LB"/>
        </w:rPr>
        <w:t>ـ</w:t>
      </w:r>
      <w:r w:rsidR="00E03EA3" w:rsidRPr="00282AC9">
        <w:rPr>
          <w:rFonts w:hint="cs"/>
          <w:sz w:val="27"/>
          <w:rtl/>
          <w:lang w:bidi="ar-LB"/>
        </w:rPr>
        <w:t>،</w:t>
      </w:r>
      <w:r w:rsidRPr="00282AC9">
        <w:rPr>
          <w:rFonts w:hint="cs"/>
          <w:sz w:val="27"/>
          <w:rtl/>
          <w:lang w:bidi="ar-LB"/>
        </w:rPr>
        <w:t xml:space="preserve"> انصب</w:t>
      </w:r>
      <w:r w:rsidR="00615E76" w:rsidRPr="00282AC9">
        <w:rPr>
          <w:rFonts w:hint="cs"/>
          <w:sz w:val="27"/>
          <w:rtl/>
          <w:lang w:bidi="ar-LB"/>
        </w:rPr>
        <w:t>ّ</w:t>
      </w:r>
      <w:r w:rsidRPr="00282AC9">
        <w:rPr>
          <w:rFonts w:hint="cs"/>
          <w:sz w:val="27"/>
          <w:rtl/>
          <w:lang w:bidi="ar-LB"/>
        </w:rPr>
        <w:t xml:space="preserve"> النزاع في كلامهم على الح</w:t>
      </w:r>
      <w:r w:rsidR="00615E76" w:rsidRPr="00282AC9">
        <w:rPr>
          <w:rFonts w:hint="cs"/>
          <w:sz w:val="27"/>
          <w:rtl/>
          <w:lang w:bidi="ar-LB"/>
        </w:rPr>
        <w:t>ُ</w:t>
      </w:r>
      <w:r w:rsidRPr="00282AC9">
        <w:rPr>
          <w:rFonts w:hint="cs"/>
          <w:sz w:val="27"/>
          <w:rtl/>
          <w:lang w:bidi="ar-LB"/>
        </w:rPr>
        <w:t>س</w:t>
      </w:r>
      <w:r w:rsidR="00615E76" w:rsidRPr="00282AC9">
        <w:rPr>
          <w:rFonts w:hint="cs"/>
          <w:sz w:val="27"/>
          <w:rtl/>
          <w:lang w:bidi="ar-LB"/>
        </w:rPr>
        <w:t>ْ</w:t>
      </w:r>
      <w:r w:rsidRPr="00282AC9">
        <w:rPr>
          <w:rFonts w:hint="cs"/>
          <w:sz w:val="27"/>
          <w:rtl/>
          <w:lang w:bidi="ar-LB"/>
        </w:rPr>
        <w:t>ن والق</w:t>
      </w:r>
      <w:r w:rsidR="00615E76" w:rsidRPr="00282AC9">
        <w:rPr>
          <w:rFonts w:hint="cs"/>
          <w:sz w:val="27"/>
          <w:rtl/>
          <w:lang w:bidi="ar-LB"/>
        </w:rPr>
        <w:t>ُ</w:t>
      </w:r>
      <w:r w:rsidRPr="00282AC9">
        <w:rPr>
          <w:rFonts w:hint="cs"/>
          <w:sz w:val="27"/>
          <w:rtl/>
          <w:lang w:bidi="ar-LB"/>
        </w:rPr>
        <w:t>ب</w:t>
      </w:r>
      <w:r w:rsidR="00615E76" w:rsidRPr="00282AC9">
        <w:rPr>
          <w:rFonts w:hint="cs"/>
          <w:sz w:val="27"/>
          <w:rtl/>
          <w:lang w:bidi="ar-LB"/>
        </w:rPr>
        <w:t>ْ</w:t>
      </w:r>
      <w:r w:rsidRPr="00282AC9">
        <w:rPr>
          <w:rFonts w:hint="cs"/>
          <w:sz w:val="27"/>
          <w:rtl/>
          <w:lang w:bidi="ar-LB"/>
        </w:rPr>
        <w:t>ح العقلي</w:t>
      </w:r>
      <w:r w:rsidR="00615E76" w:rsidRPr="00282AC9">
        <w:rPr>
          <w:rFonts w:hint="cs"/>
          <w:sz w:val="27"/>
          <w:rtl/>
          <w:lang w:bidi="ar-LB"/>
        </w:rPr>
        <w:t>ّ</w:t>
      </w:r>
      <w:r w:rsidRPr="00282AC9">
        <w:rPr>
          <w:rFonts w:hint="cs"/>
          <w:sz w:val="27"/>
          <w:rtl/>
          <w:lang w:bidi="ar-LB"/>
        </w:rPr>
        <w:t>ين، ولا يعني ذلك أنّهم يحصرون البحث بطريق</w:t>
      </w:r>
      <w:r w:rsidR="00615E76" w:rsidRPr="00282AC9">
        <w:rPr>
          <w:rFonts w:hint="cs"/>
          <w:sz w:val="27"/>
          <w:rtl/>
          <w:lang w:bidi="ar-LB"/>
        </w:rPr>
        <w:t>ه</w:t>
      </w:r>
      <w:r w:rsidRPr="00282AC9">
        <w:rPr>
          <w:rFonts w:hint="cs"/>
          <w:sz w:val="27"/>
          <w:rtl/>
          <w:lang w:bidi="ar-LB"/>
        </w:rPr>
        <w:t xml:space="preserve"> العقلي</w:t>
      </w:r>
      <w:r w:rsidR="00615E76" w:rsidRPr="00282AC9">
        <w:rPr>
          <w:rFonts w:hint="cs"/>
          <w:sz w:val="27"/>
          <w:rtl/>
          <w:lang w:bidi="ar-LB"/>
        </w:rPr>
        <w:t>.</w:t>
      </w:r>
      <w:r w:rsidRPr="00282AC9">
        <w:rPr>
          <w:rFonts w:hint="cs"/>
          <w:sz w:val="27"/>
          <w:rtl/>
          <w:lang w:bidi="ar-LB"/>
        </w:rPr>
        <w:t xml:space="preserve"> وكيف كان ف</w:t>
      </w:r>
      <w:r w:rsidR="00674EF5" w:rsidRPr="00282AC9">
        <w:rPr>
          <w:rFonts w:hint="cs"/>
          <w:sz w:val="27"/>
          <w:rtl/>
          <w:lang w:bidi="ar-LB"/>
        </w:rPr>
        <w:t>لا بُدَّ</w:t>
      </w:r>
      <w:r w:rsidRPr="00282AC9">
        <w:rPr>
          <w:rFonts w:hint="cs"/>
          <w:sz w:val="27"/>
          <w:rtl/>
          <w:lang w:bidi="ar-LB"/>
        </w:rPr>
        <w:t xml:space="preserve"> من توسيع البحث من هذه الجهة</w:t>
      </w:r>
      <w:r w:rsidR="00615E76" w:rsidRPr="00282AC9">
        <w:rPr>
          <w:rFonts w:hint="cs"/>
          <w:sz w:val="27"/>
          <w:rtl/>
          <w:lang w:bidi="ar-LB"/>
        </w:rPr>
        <w:t>،</w:t>
      </w:r>
      <w:r w:rsidRPr="00282AC9">
        <w:rPr>
          <w:rFonts w:hint="cs"/>
          <w:sz w:val="27"/>
          <w:rtl/>
          <w:lang w:bidi="ar-LB"/>
        </w:rPr>
        <w:t xml:space="preserve"> سواء تمّ التبرير المذكور أم لا.</w:t>
      </w:r>
    </w:p>
    <w:p w:rsidR="00A9019A" w:rsidRPr="00282AC9" w:rsidRDefault="00A9019A" w:rsidP="00B16272">
      <w:pPr>
        <w:tabs>
          <w:tab w:val="right" w:pos="6930"/>
        </w:tabs>
        <w:suppressAutoHyphens/>
        <w:rPr>
          <w:sz w:val="27"/>
          <w:rtl/>
          <w:lang w:bidi="ar-LB"/>
        </w:rPr>
      </w:pPr>
      <w:r w:rsidRPr="00282AC9">
        <w:rPr>
          <w:rFonts w:hint="cs"/>
          <w:sz w:val="27"/>
          <w:rtl/>
          <w:lang w:bidi="ar-LB"/>
        </w:rPr>
        <w:t>والحاصل</w:t>
      </w:r>
      <w:r w:rsidR="00615E76" w:rsidRPr="00282AC9">
        <w:rPr>
          <w:rFonts w:hint="cs"/>
          <w:sz w:val="27"/>
          <w:rtl/>
          <w:lang w:bidi="ar-LB"/>
        </w:rPr>
        <w:t>ُ</w:t>
      </w:r>
      <w:r w:rsidRPr="00282AC9">
        <w:rPr>
          <w:rFonts w:hint="cs"/>
          <w:sz w:val="27"/>
          <w:rtl/>
          <w:lang w:bidi="ar-LB"/>
        </w:rPr>
        <w:t xml:space="preserve"> </w:t>
      </w:r>
      <w:r w:rsidR="00615E76" w:rsidRPr="00282AC9">
        <w:rPr>
          <w:rFonts w:hint="cs"/>
          <w:sz w:val="27"/>
          <w:rtl/>
          <w:lang w:bidi="ar-LB"/>
        </w:rPr>
        <w:t>أ</w:t>
      </w:r>
      <w:r w:rsidRPr="00282AC9">
        <w:rPr>
          <w:rFonts w:hint="cs"/>
          <w:sz w:val="27"/>
          <w:rtl/>
          <w:lang w:bidi="ar-LB"/>
        </w:rPr>
        <w:t>نّ علينا البحث:</w:t>
      </w:r>
    </w:p>
    <w:p w:rsidR="00A9019A" w:rsidRPr="00282AC9" w:rsidRDefault="00A9019A" w:rsidP="00B16272">
      <w:pPr>
        <w:tabs>
          <w:tab w:val="right" w:pos="6930"/>
        </w:tabs>
        <w:suppressAutoHyphens/>
        <w:rPr>
          <w:sz w:val="27"/>
          <w:rtl/>
          <w:lang w:bidi="ar-LB"/>
        </w:rPr>
      </w:pPr>
      <w:r w:rsidRPr="00282AC9">
        <w:rPr>
          <w:rFonts w:hint="cs"/>
          <w:b/>
          <w:bCs/>
          <w:sz w:val="27"/>
          <w:rtl/>
          <w:lang w:bidi="ar-LB"/>
        </w:rPr>
        <w:t>أوّلاً</w:t>
      </w:r>
      <w:r w:rsidRPr="00282AC9">
        <w:rPr>
          <w:rFonts w:hint="cs"/>
          <w:sz w:val="27"/>
          <w:rtl/>
          <w:lang w:bidi="ar-LB"/>
        </w:rPr>
        <w:t>: عن الملازمة بين الح</w:t>
      </w:r>
      <w:r w:rsidR="00615E76" w:rsidRPr="00282AC9">
        <w:rPr>
          <w:rFonts w:hint="cs"/>
          <w:sz w:val="27"/>
          <w:rtl/>
          <w:lang w:bidi="ar-LB"/>
        </w:rPr>
        <w:t>ُ</w:t>
      </w:r>
      <w:r w:rsidRPr="00282AC9">
        <w:rPr>
          <w:rFonts w:hint="cs"/>
          <w:sz w:val="27"/>
          <w:rtl/>
          <w:lang w:bidi="ar-LB"/>
        </w:rPr>
        <w:t>س</w:t>
      </w:r>
      <w:r w:rsidR="00615E76" w:rsidRPr="00282AC9">
        <w:rPr>
          <w:rFonts w:hint="cs"/>
          <w:sz w:val="27"/>
          <w:rtl/>
          <w:lang w:bidi="ar-LB"/>
        </w:rPr>
        <w:t>ْ</w:t>
      </w:r>
      <w:r w:rsidRPr="00282AC9">
        <w:rPr>
          <w:rFonts w:hint="cs"/>
          <w:sz w:val="27"/>
          <w:rtl/>
          <w:lang w:bidi="ar-LB"/>
        </w:rPr>
        <w:t>ن والق</w:t>
      </w:r>
      <w:r w:rsidR="00615E76" w:rsidRPr="00282AC9">
        <w:rPr>
          <w:rFonts w:hint="cs"/>
          <w:sz w:val="27"/>
          <w:rtl/>
          <w:lang w:bidi="ar-LB"/>
        </w:rPr>
        <w:t>ُ</w:t>
      </w:r>
      <w:r w:rsidRPr="00282AC9">
        <w:rPr>
          <w:rFonts w:hint="cs"/>
          <w:sz w:val="27"/>
          <w:rtl/>
          <w:lang w:bidi="ar-LB"/>
        </w:rPr>
        <w:t>ب</w:t>
      </w:r>
      <w:r w:rsidR="00615E76" w:rsidRPr="00282AC9">
        <w:rPr>
          <w:rFonts w:hint="cs"/>
          <w:sz w:val="27"/>
          <w:rtl/>
          <w:lang w:bidi="ar-LB"/>
        </w:rPr>
        <w:t>ْ</w:t>
      </w:r>
      <w:r w:rsidRPr="00282AC9">
        <w:rPr>
          <w:rFonts w:hint="cs"/>
          <w:sz w:val="27"/>
          <w:rtl/>
          <w:lang w:bidi="ar-LB"/>
        </w:rPr>
        <w:t>ح وبين الإرادة والكراهة.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وثانياً</w:t>
      </w:r>
      <w:r w:rsidRPr="00282AC9">
        <w:rPr>
          <w:rFonts w:hint="cs"/>
          <w:sz w:val="27"/>
          <w:rtl/>
          <w:lang w:bidi="ar-LB"/>
        </w:rPr>
        <w:t>: عن الملازمة بين المصلحة والمفسدة وبين الإرادة والكراهة.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وثالثاً</w:t>
      </w:r>
      <w:r w:rsidRPr="00282AC9">
        <w:rPr>
          <w:rFonts w:hint="cs"/>
          <w:sz w:val="27"/>
          <w:rtl/>
          <w:lang w:bidi="ar-LB"/>
        </w:rPr>
        <w:t>: عن الأدلة النقلية</w:t>
      </w:r>
      <w:r w:rsidR="00346A0F" w:rsidRPr="00282AC9">
        <w:rPr>
          <w:rFonts w:hint="cs"/>
          <w:sz w:val="27"/>
          <w:rtl/>
          <w:lang w:bidi="ar-LB"/>
        </w:rPr>
        <w:t>،</w:t>
      </w:r>
      <w:r w:rsidRPr="00282AC9">
        <w:rPr>
          <w:rFonts w:hint="cs"/>
          <w:sz w:val="27"/>
          <w:rtl/>
          <w:lang w:bidi="ar-LB"/>
        </w:rPr>
        <w:t xml:space="preserve"> كالضرورة والإجماع والروايات</w:t>
      </w:r>
      <w:r w:rsidR="00346A0F" w:rsidRPr="00282AC9">
        <w:rPr>
          <w:rFonts w:hint="cs"/>
          <w:sz w:val="27"/>
          <w:rtl/>
          <w:lang w:bidi="ar-LB"/>
        </w:rPr>
        <w:t>،</w:t>
      </w:r>
      <w:r w:rsidRPr="00282AC9">
        <w:rPr>
          <w:rFonts w:hint="cs"/>
          <w:sz w:val="27"/>
          <w:rtl/>
          <w:lang w:bidi="ar-LB"/>
        </w:rPr>
        <w:t xml:space="preserve"> التي تدّ</w:t>
      </w:r>
      <w:r w:rsidR="00346A0F" w:rsidRPr="00282AC9">
        <w:rPr>
          <w:rFonts w:hint="cs"/>
          <w:sz w:val="27"/>
          <w:rtl/>
          <w:lang w:bidi="ar-LB"/>
        </w:rPr>
        <w:t>َ</w:t>
      </w:r>
      <w:r w:rsidRPr="00282AC9">
        <w:rPr>
          <w:rFonts w:hint="cs"/>
          <w:sz w:val="27"/>
          <w:rtl/>
          <w:lang w:bidi="ar-LB"/>
        </w:rPr>
        <w:t>ع</w:t>
      </w:r>
      <w:r w:rsidR="00346A0F" w:rsidRPr="00282AC9">
        <w:rPr>
          <w:rFonts w:hint="cs"/>
          <w:sz w:val="27"/>
          <w:rtl/>
          <w:lang w:bidi="ar-LB"/>
        </w:rPr>
        <w:t>ى</w:t>
      </w:r>
      <w:r w:rsidRPr="00282AC9">
        <w:rPr>
          <w:rFonts w:hint="cs"/>
          <w:sz w:val="27"/>
          <w:rtl/>
          <w:lang w:bidi="ar-LB"/>
        </w:rPr>
        <w:t xml:space="preserve"> دلالتها على عدم خلوّ الواقع عن الحكم.</w:t>
      </w:r>
    </w:p>
    <w:p w:rsidR="00A9019A" w:rsidRPr="00282AC9" w:rsidRDefault="00A9019A" w:rsidP="00B16272">
      <w:pPr>
        <w:tabs>
          <w:tab w:val="right" w:pos="6930"/>
        </w:tabs>
        <w:suppressAutoHyphens/>
        <w:rPr>
          <w:sz w:val="27"/>
          <w:rtl/>
          <w:lang w:bidi="ar-LB"/>
        </w:rPr>
      </w:pPr>
      <w:r w:rsidRPr="00282AC9">
        <w:rPr>
          <w:rFonts w:hint="cs"/>
          <w:b/>
          <w:bCs/>
          <w:sz w:val="27"/>
          <w:rtl/>
          <w:lang w:bidi="ar-LB"/>
        </w:rPr>
        <w:t>التعليقة الثانية</w:t>
      </w:r>
      <w:r w:rsidRPr="00282AC9">
        <w:rPr>
          <w:rFonts w:hint="cs"/>
          <w:sz w:val="27"/>
          <w:rtl/>
          <w:lang w:bidi="ar-LB"/>
        </w:rPr>
        <w:t xml:space="preserve">: </w:t>
      </w:r>
      <w:r w:rsidR="00346A0F" w:rsidRPr="00282AC9">
        <w:rPr>
          <w:rFonts w:hint="cs"/>
          <w:sz w:val="27"/>
          <w:rtl/>
          <w:lang w:bidi="ar-LB"/>
        </w:rPr>
        <w:t>إ</w:t>
      </w:r>
      <w:r w:rsidRPr="00282AC9">
        <w:rPr>
          <w:rFonts w:hint="cs"/>
          <w:sz w:val="27"/>
          <w:rtl/>
          <w:lang w:bidi="ar-LB"/>
        </w:rPr>
        <w:t>نّ ما أفاده كنقض</w:t>
      </w:r>
      <w:r w:rsidR="00346A0F" w:rsidRPr="00282AC9">
        <w:rPr>
          <w:rFonts w:hint="cs"/>
          <w:sz w:val="27"/>
          <w:rtl/>
          <w:lang w:bidi="ar-LB"/>
        </w:rPr>
        <w:t>ٍ</w:t>
      </w:r>
      <w:r w:rsidRPr="00282AC9">
        <w:rPr>
          <w:rFonts w:hint="cs"/>
          <w:sz w:val="27"/>
          <w:rtl/>
          <w:lang w:bidi="ar-LB"/>
        </w:rPr>
        <w:t xml:space="preserve"> على الملازمة</w:t>
      </w:r>
      <w:r w:rsidR="00346A0F" w:rsidRPr="00282AC9">
        <w:rPr>
          <w:rFonts w:hint="cs"/>
          <w:sz w:val="27"/>
          <w:rtl/>
          <w:lang w:bidi="ar-LB"/>
        </w:rPr>
        <w:t>،</w:t>
      </w:r>
      <w:r w:rsidRPr="00282AC9">
        <w:rPr>
          <w:rFonts w:hint="cs"/>
          <w:sz w:val="27"/>
          <w:rtl/>
          <w:lang w:bidi="ar-LB"/>
        </w:rPr>
        <w:t xml:space="preserve"> من صدور الأفعال القبيحة من العقلاء، يحتاج</w:t>
      </w:r>
      <w:r w:rsidR="005053B3" w:rsidRPr="00282AC9">
        <w:rPr>
          <w:rFonts w:hint="cs"/>
          <w:sz w:val="27"/>
          <w:rtl/>
          <w:lang w:bidi="ar-LB"/>
        </w:rPr>
        <w:t xml:space="preserve"> إلى </w:t>
      </w:r>
      <w:r w:rsidRPr="00282AC9">
        <w:rPr>
          <w:rFonts w:hint="cs"/>
          <w:sz w:val="27"/>
          <w:rtl/>
          <w:lang w:bidi="ar-LB"/>
        </w:rPr>
        <w:t>ضمّ ما ب</w:t>
      </w:r>
      <w:r w:rsidR="00346A0F" w:rsidRPr="00282AC9">
        <w:rPr>
          <w:rFonts w:hint="cs"/>
          <w:sz w:val="27"/>
          <w:rtl/>
          <w:lang w:bidi="ar-LB"/>
        </w:rPr>
        <w:t>ه</w:t>
      </w:r>
      <w:r w:rsidRPr="00282AC9">
        <w:rPr>
          <w:rFonts w:hint="cs"/>
          <w:sz w:val="27"/>
          <w:rtl/>
          <w:lang w:bidi="ar-LB"/>
        </w:rPr>
        <w:t xml:space="preserve"> يتمّ الاستدلال، وهو</w:t>
      </w:r>
      <w:r w:rsidR="00346A0F" w:rsidRPr="00282AC9">
        <w:rPr>
          <w:rFonts w:hint="cs"/>
          <w:sz w:val="27"/>
          <w:rtl/>
          <w:lang w:bidi="ar-LB"/>
        </w:rPr>
        <w:t xml:space="preserve"> </w:t>
      </w:r>
      <w:r w:rsidRPr="00282AC9">
        <w:rPr>
          <w:rFonts w:hint="cs"/>
          <w:sz w:val="27"/>
          <w:rtl/>
          <w:lang w:bidi="ar-LB"/>
        </w:rPr>
        <w:t>أنّه مهما أمكن تعليق الإرادة التكوينية بالفعل القبيح</w:t>
      </w:r>
      <w:r w:rsidR="00346A0F" w:rsidRPr="00282AC9">
        <w:rPr>
          <w:rFonts w:hint="cs"/>
          <w:sz w:val="27"/>
          <w:rtl/>
          <w:lang w:bidi="ar-LB"/>
        </w:rPr>
        <w:t xml:space="preserve"> فلا محالة يمكن تعلّق الإرادة</w:t>
      </w:r>
      <w:r w:rsidRPr="00282AC9">
        <w:rPr>
          <w:rFonts w:hint="cs"/>
          <w:sz w:val="27"/>
          <w:rtl/>
          <w:lang w:bidi="ar-LB"/>
        </w:rPr>
        <w:t xml:space="preserve"> التشريعية به؛ لأنّ الفرق بينهما في المتعلّ</w:t>
      </w:r>
      <w:r w:rsidR="00346A0F" w:rsidRPr="00282AC9">
        <w:rPr>
          <w:rFonts w:hint="cs"/>
          <w:sz w:val="27"/>
          <w:rtl/>
          <w:lang w:bidi="ar-LB"/>
        </w:rPr>
        <w:t>َ</w:t>
      </w:r>
      <w:r w:rsidRPr="00282AC9">
        <w:rPr>
          <w:rFonts w:hint="cs"/>
          <w:sz w:val="27"/>
          <w:rtl/>
          <w:lang w:bidi="ar-LB"/>
        </w:rPr>
        <w:t xml:space="preserve">ق؛ حيث </w:t>
      </w:r>
      <w:r w:rsidR="00346A0F" w:rsidRPr="00282AC9">
        <w:rPr>
          <w:rFonts w:hint="cs"/>
          <w:sz w:val="27"/>
          <w:rtl/>
          <w:lang w:bidi="ar-LB"/>
        </w:rPr>
        <w:t>إ</w:t>
      </w:r>
      <w:r w:rsidRPr="00282AC9">
        <w:rPr>
          <w:rFonts w:hint="cs"/>
          <w:sz w:val="27"/>
          <w:rtl/>
          <w:lang w:bidi="ar-LB"/>
        </w:rPr>
        <w:t>نّ التكوينية تتعلّ</w:t>
      </w:r>
      <w:r w:rsidR="00346A0F" w:rsidRPr="00282AC9">
        <w:rPr>
          <w:rFonts w:hint="cs"/>
          <w:sz w:val="27"/>
          <w:rtl/>
          <w:lang w:bidi="ar-LB"/>
        </w:rPr>
        <w:t>َ</w:t>
      </w:r>
      <w:r w:rsidRPr="00282AC9">
        <w:rPr>
          <w:rFonts w:hint="cs"/>
          <w:sz w:val="27"/>
          <w:rtl/>
          <w:lang w:bidi="ar-LB"/>
        </w:rPr>
        <w:t>ق بفعل النفس، والتشريعي</w:t>
      </w:r>
      <w:r w:rsidR="00346A0F" w:rsidRPr="00282AC9">
        <w:rPr>
          <w:rFonts w:hint="cs"/>
          <w:sz w:val="27"/>
          <w:rtl/>
          <w:lang w:bidi="ar-LB"/>
        </w:rPr>
        <w:t>ّ</w:t>
      </w:r>
      <w:r w:rsidRPr="00282AC9">
        <w:rPr>
          <w:rFonts w:hint="cs"/>
          <w:sz w:val="27"/>
          <w:rtl/>
          <w:lang w:bidi="ar-LB"/>
        </w:rPr>
        <w:t>ة بفعل الغير</w:t>
      </w:r>
      <w:r w:rsidR="00346A0F" w:rsidRPr="00282AC9">
        <w:rPr>
          <w:rFonts w:hint="cs"/>
          <w:sz w:val="27"/>
          <w:rtl/>
          <w:lang w:bidi="ar-LB"/>
        </w:rPr>
        <w:t>.</w:t>
      </w:r>
      <w:r w:rsidRPr="00282AC9">
        <w:rPr>
          <w:rFonts w:hint="cs"/>
          <w:sz w:val="27"/>
          <w:rtl/>
          <w:lang w:bidi="ar-LB"/>
        </w:rPr>
        <w:t xml:space="preserve"> وهذا واضح</w:t>
      </w:r>
      <w:r w:rsidR="00346A0F" w:rsidRPr="00282AC9">
        <w:rPr>
          <w:rFonts w:hint="cs"/>
          <w:sz w:val="27"/>
          <w:rtl/>
          <w:lang w:bidi="ar-LB"/>
        </w:rPr>
        <w:t>ٌ</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وي</w:t>
      </w:r>
      <w:r w:rsidR="00346A0F" w:rsidRPr="00282AC9">
        <w:rPr>
          <w:rFonts w:hint="cs"/>
          <w:b/>
          <w:bCs/>
          <w:sz w:val="27"/>
          <w:rtl/>
          <w:lang w:bidi="ar-LB"/>
        </w:rPr>
        <w:t>َ</w:t>
      </w:r>
      <w:r w:rsidRPr="00282AC9">
        <w:rPr>
          <w:rFonts w:hint="cs"/>
          <w:b/>
          <w:bCs/>
          <w:sz w:val="27"/>
          <w:rtl/>
          <w:lang w:bidi="ar-LB"/>
        </w:rPr>
        <w:t>ر</w:t>
      </w:r>
      <w:r w:rsidR="00346A0F" w:rsidRPr="00282AC9">
        <w:rPr>
          <w:rFonts w:hint="cs"/>
          <w:b/>
          <w:bCs/>
          <w:sz w:val="27"/>
          <w:rtl/>
          <w:lang w:bidi="ar-LB"/>
        </w:rPr>
        <w:t>ِ</w:t>
      </w:r>
      <w:r w:rsidRPr="00282AC9">
        <w:rPr>
          <w:rFonts w:hint="cs"/>
          <w:b/>
          <w:bCs/>
          <w:sz w:val="27"/>
          <w:rtl/>
          <w:lang w:bidi="ar-LB"/>
        </w:rPr>
        <w:t>د</w:t>
      </w:r>
      <w:r w:rsidR="00346A0F" w:rsidRPr="00282AC9">
        <w:rPr>
          <w:rFonts w:hint="cs"/>
          <w:b/>
          <w:bCs/>
          <w:sz w:val="27"/>
          <w:rtl/>
          <w:lang w:bidi="ar-LB"/>
        </w:rPr>
        <w:t>ُ</w:t>
      </w:r>
      <w:r w:rsidRPr="00282AC9">
        <w:rPr>
          <w:rFonts w:hint="cs"/>
          <w:b/>
          <w:bCs/>
          <w:sz w:val="27"/>
          <w:rtl/>
          <w:lang w:bidi="ar-LB"/>
        </w:rPr>
        <w:t xml:space="preserve"> عليه</w:t>
      </w:r>
      <w:r w:rsidRPr="00282AC9">
        <w:rPr>
          <w:rFonts w:hint="cs"/>
          <w:sz w:val="27"/>
          <w:rtl/>
          <w:lang w:bidi="ar-LB"/>
        </w:rPr>
        <w:t xml:space="preserve">: </w:t>
      </w:r>
      <w:r w:rsidR="00346A0F" w:rsidRPr="00282AC9">
        <w:rPr>
          <w:rFonts w:hint="cs"/>
          <w:sz w:val="27"/>
          <w:rtl/>
          <w:lang w:bidi="ar-LB"/>
        </w:rPr>
        <w:t>إ</w:t>
      </w:r>
      <w:r w:rsidRPr="00282AC9">
        <w:rPr>
          <w:rFonts w:hint="cs"/>
          <w:sz w:val="27"/>
          <w:rtl/>
          <w:lang w:bidi="ar-LB"/>
        </w:rPr>
        <w:t>نّ التقوى الفاعلة في النفس الإنسانية مختلفة، والقائل</w:t>
      </w:r>
      <w:r w:rsidR="00346A0F" w:rsidRPr="00282AC9">
        <w:rPr>
          <w:rFonts w:hint="cs"/>
          <w:sz w:val="27"/>
          <w:rtl/>
          <w:lang w:bidi="ar-LB"/>
        </w:rPr>
        <w:t>و</w:t>
      </w:r>
      <w:r w:rsidRPr="00282AC9">
        <w:rPr>
          <w:rFonts w:hint="cs"/>
          <w:sz w:val="27"/>
          <w:rtl/>
          <w:lang w:bidi="ar-LB"/>
        </w:rPr>
        <w:t>ن بالملازمة إنّما يريدون بها الملازمة بين الح</w:t>
      </w:r>
      <w:r w:rsidR="00346A0F" w:rsidRPr="00282AC9">
        <w:rPr>
          <w:rFonts w:hint="cs"/>
          <w:sz w:val="27"/>
          <w:rtl/>
          <w:lang w:bidi="ar-LB"/>
        </w:rPr>
        <w:t>ُ</w:t>
      </w:r>
      <w:r w:rsidRPr="00282AC9">
        <w:rPr>
          <w:rFonts w:hint="cs"/>
          <w:sz w:val="27"/>
          <w:rtl/>
          <w:lang w:bidi="ar-LB"/>
        </w:rPr>
        <w:t>س</w:t>
      </w:r>
      <w:r w:rsidR="00346A0F" w:rsidRPr="00282AC9">
        <w:rPr>
          <w:rFonts w:hint="cs"/>
          <w:sz w:val="27"/>
          <w:rtl/>
          <w:lang w:bidi="ar-LB"/>
        </w:rPr>
        <w:t>ْ</w:t>
      </w:r>
      <w:r w:rsidRPr="00282AC9">
        <w:rPr>
          <w:rFonts w:hint="cs"/>
          <w:sz w:val="27"/>
          <w:rtl/>
          <w:lang w:bidi="ar-LB"/>
        </w:rPr>
        <w:t>ن والق</w:t>
      </w:r>
      <w:r w:rsidR="00346A0F" w:rsidRPr="00282AC9">
        <w:rPr>
          <w:rFonts w:hint="cs"/>
          <w:sz w:val="27"/>
          <w:rtl/>
          <w:lang w:bidi="ar-LB"/>
        </w:rPr>
        <w:t>ُ</w:t>
      </w:r>
      <w:r w:rsidRPr="00282AC9">
        <w:rPr>
          <w:rFonts w:hint="cs"/>
          <w:sz w:val="27"/>
          <w:rtl/>
          <w:lang w:bidi="ar-LB"/>
        </w:rPr>
        <w:t>ب</w:t>
      </w:r>
      <w:r w:rsidR="00346A0F" w:rsidRPr="00282AC9">
        <w:rPr>
          <w:rFonts w:hint="cs"/>
          <w:sz w:val="27"/>
          <w:rtl/>
          <w:lang w:bidi="ar-LB"/>
        </w:rPr>
        <w:t>ْ</w:t>
      </w:r>
      <w:r w:rsidRPr="00282AC9">
        <w:rPr>
          <w:rFonts w:hint="cs"/>
          <w:sz w:val="27"/>
          <w:rtl/>
          <w:lang w:bidi="ar-LB"/>
        </w:rPr>
        <w:t>ح العقلي</w:t>
      </w:r>
      <w:r w:rsidR="00346A0F" w:rsidRPr="00282AC9">
        <w:rPr>
          <w:rFonts w:hint="cs"/>
          <w:sz w:val="27"/>
          <w:rtl/>
          <w:lang w:bidi="ar-LB"/>
        </w:rPr>
        <w:t>ّ</w:t>
      </w:r>
      <w:r w:rsidRPr="00282AC9">
        <w:rPr>
          <w:rFonts w:hint="cs"/>
          <w:sz w:val="27"/>
          <w:rtl/>
          <w:lang w:bidi="ar-LB"/>
        </w:rPr>
        <w:t>ين والإرادة والكراهة العقلي</w:t>
      </w:r>
      <w:r w:rsidR="00346A0F" w:rsidRPr="00282AC9">
        <w:rPr>
          <w:rFonts w:hint="cs"/>
          <w:sz w:val="27"/>
          <w:rtl/>
          <w:lang w:bidi="ar-LB"/>
        </w:rPr>
        <w:t>ّ</w:t>
      </w:r>
      <w:r w:rsidRPr="00282AC9">
        <w:rPr>
          <w:rFonts w:hint="cs"/>
          <w:sz w:val="27"/>
          <w:rtl/>
          <w:lang w:bidi="ar-LB"/>
        </w:rPr>
        <w:t>ين</w:t>
      </w:r>
      <w:r w:rsidR="00346A0F" w:rsidRPr="00282AC9">
        <w:rPr>
          <w:rFonts w:hint="cs"/>
          <w:sz w:val="27"/>
          <w:rtl/>
          <w:lang w:bidi="ar-LB"/>
        </w:rPr>
        <w:t>.</w:t>
      </w:r>
      <w:r w:rsidRPr="00282AC9">
        <w:rPr>
          <w:rFonts w:hint="cs"/>
          <w:sz w:val="27"/>
          <w:rtl/>
          <w:lang w:bidi="ar-LB"/>
        </w:rPr>
        <w:t xml:space="preserve"> وما </w:t>
      </w:r>
      <w:r w:rsidRPr="00282AC9">
        <w:rPr>
          <w:rFonts w:hint="cs"/>
          <w:sz w:val="27"/>
          <w:rtl/>
          <w:lang w:bidi="ar-LB"/>
        </w:rPr>
        <w:lastRenderedPageBreak/>
        <w:t>ذكره</w:t>
      </w:r>
      <w:r w:rsidR="009A2A04" w:rsidRPr="00282AC9">
        <w:rPr>
          <w:rFonts w:cs="Mosawi" w:hint="cs"/>
          <w:sz w:val="22"/>
          <w:szCs w:val="22"/>
          <w:rtl/>
          <w:lang w:bidi="ar-LB"/>
        </w:rPr>
        <w:t>&amp;</w:t>
      </w:r>
      <w:r w:rsidRPr="00282AC9">
        <w:rPr>
          <w:rFonts w:hint="cs"/>
          <w:sz w:val="27"/>
          <w:rtl/>
          <w:lang w:bidi="ar-LB"/>
        </w:rPr>
        <w:t xml:space="preserve"> عليها خارج</w:t>
      </w:r>
      <w:r w:rsidR="00346A0F" w:rsidRPr="00282AC9">
        <w:rPr>
          <w:rFonts w:hint="cs"/>
          <w:sz w:val="27"/>
          <w:rtl/>
          <w:lang w:bidi="ar-LB"/>
        </w:rPr>
        <w:t>ٌ</w:t>
      </w:r>
      <w:r w:rsidRPr="00282AC9">
        <w:rPr>
          <w:rFonts w:hint="cs"/>
          <w:sz w:val="27"/>
          <w:rtl/>
          <w:lang w:bidi="ar-LB"/>
        </w:rPr>
        <w:t xml:space="preserve"> عن موضوعها من حيث الأساس؛ لأنّ العاقل المرتكب للقبيح ليس فاعلاً بما هو عاقل</w:t>
      </w:r>
      <w:r w:rsidR="00346A0F" w:rsidRPr="00282AC9">
        <w:rPr>
          <w:rFonts w:hint="cs"/>
          <w:sz w:val="27"/>
          <w:rtl/>
          <w:lang w:bidi="ar-LB"/>
        </w:rPr>
        <w:t>ٌ</w:t>
      </w:r>
      <w:r w:rsidRPr="00282AC9">
        <w:rPr>
          <w:rFonts w:hint="cs"/>
          <w:sz w:val="27"/>
          <w:rtl/>
          <w:lang w:bidi="ar-LB"/>
        </w:rPr>
        <w:t>، بل بما هو ظالم</w:t>
      </w:r>
      <w:r w:rsidR="00346A0F" w:rsidRPr="00282AC9">
        <w:rPr>
          <w:rFonts w:hint="cs"/>
          <w:sz w:val="27"/>
          <w:rtl/>
          <w:lang w:bidi="ar-LB"/>
        </w:rPr>
        <w:t>ٌ</w:t>
      </w:r>
      <w:r w:rsidRPr="00282AC9">
        <w:rPr>
          <w:rFonts w:hint="cs"/>
          <w:sz w:val="27"/>
          <w:rtl/>
          <w:lang w:bidi="ar-LB"/>
        </w:rPr>
        <w:t xml:space="preserve"> أو شرّ</w:t>
      </w:r>
      <w:r w:rsidR="00346A0F" w:rsidRPr="00282AC9">
        <w:rPr>
          <w:rFonts w:hint="cs"/>
          <w:sz w:val="27"/>
          <w:rtl/>
          <w:lang w:bidi="ar-LB"/>
        </w:rPr>
        <w:t>ٌ</w:t>
      </w:r>
      <w:r w:rsidRPr="00282AC9">
        <w:rPr>
          <w:rFonts w:hint="cs"/>
          <w:sz w:val="27"/>
          <w:rtl/>
          <w:lang w:bidi="ar-LB"/>
        </w:rPr>
        <w:t xml:space="preserve"> أو متوهّ</w:t>
      </w:r>
      <w:r w:rsidR="00346A0F" w:rsidRPr="00282AC9">
        <w:rPr>
          <w:rFonts w:hint="cs"/>
          <w:sz w:val="27"/>
          <w:rtl/>
          <w:lang w:bidi="ar-LB"/>
        </w:rPr>
        <w:t>ِ</w:t>
      </w:r>
      <w:r w:rsidRPr="00282AC9">
        <w:rPr>
          <w:rFonts w:hint="cs"/>
          <w:sz w:val="27"/>
          <w:rtl/>
          <w:lang w:bidi="ar-LB"/>
        </w:rPr>
        <w:t>م</w:t>
      </w:r>
      <w:r w:rsidR="00346A0F" w:rsidRPr="00282AC9">
        <w:rPr>
          <w:rFonts w:hint="cs"/>
          <w:sz w:val="27"/>
          <w:rtl/>
          <w:lang w:bidi="ar-LB"/>
        </w:rPr>
        <w:t>ٌ</w:t>
      </w:r>
      <w:r w:rsidRPr="00282AC9">
        <w:rPr>
          <w:rFonts w:hint="cs"/>
          <w:sz w:val="27"/>
          <w:rtl/>
          <w:lang w:bidi="ar-LB"/>
        </w:rPr>
        <w:t xml:space="preserve"> أو متخيّل</w:t>
      </w:r>
      <w:r w:rsidR="00346A0F" w:rsidRPr="00282AC9">
        <w:rPr>
          <w:rFonts w:hint="cs"/>
          <w:sz w:val="27"/>
          <w:rtl/>
          <w:lang w:bidi="ar-LB"/>
        </w:rPr>
        <w:t>ٌ</w:t>
      </w:r>
      <w:r w:rsidR="00E03EA3" w:rsidRPr="00282AC9">
        <w:rPr>
          <w:rFonts w:hint="cs"/>
          <w:sz w:val="27"/>
          <w:rtl/>
          <w:lang w:bidi="ar-LB"/>
        </w:rPr>
        <w:t xml:space="preserve"> أو غير ذلك، </w:t>
      </w:r>
      <w:r w:rsidRPr="00282AC9">
        <w:rPr>
          <w:rFonts w:hint="cs"/>
          <w:sz w:val="27"/>
          <w:rtl/>
          <w:lang w:bidi="ar-LB"/>
        </w:rPr>
        <w:t>و</w:t>
      </w:r>
      <w:r w:rsidR="00674EF5" w:rsidRPr="00282AC9">
        <w:rPr>
          <w:rFonts w:hint="cs"/>
          <w:sz w:val="27"/>
          <w:rtl/>
          <w:lang w:bidi="ar-LB"/>
        </w:rPr>
        <w:t>لا سيَّما</w:t>
      </w:r>
      <w:r w:rsidRPr="00282AC9">
        <w:rPr>
          <w:rFonts w:hint="cs"/>
          <w:sz w:val="27"/>
          <w:rtl/>
          <w:lang w:bidi="ar-LB"/>
        </w:rPr>
        <w:t xml:space="preserve"> إذا بن</w:t>
      </w:r>
      <w:r w:rsidR="00947D38" w:rsidRPr="00282AC9">
        <w:rPr>
          <w:rFonts w:hint="cs"/>
          <w:sz w:val="27"/>
          <w:rtl/>
          <w:lang w:bidi="ar-LB"/>
        </w:rPr>
        <w:t>َ</w:t>
      </w:r>
      <w:r w:rsidRPr="00282AC9">
        <w:rPr>
          <w:rFonts w:hint="cs"/>
          <w:sz w:val="27"/>
          <w:rtl/>
          <w:lang w:bidi="ar-LB"/>
        </w:rPr>
        <w:t>ي</w:t>
      </w:r>
      <w:r w:rsidR="00947D38" w:rsidRPr="00282AC9">
        <w:rPr>
          <w:rFonts w:hint="cs"/>
          <w:sz w:val="27"/>
          <w:rtl/>
          <w:lang w:bidi="ar-LB"/>
        </w:rPr>
        <w:t>ْ</w:t>
      </w:r>
      <w:r w:rsidRPr="00282AC9">
        <w:rPr>
          <w:rFonts w:hint="cs"/>
          <w:sz w:val="27"/>
          <w:rtl/>
          <w:lang w:bidi="ar-LB"/>
        </w:rPr>
        <w:t>نا على ما ذهب إليه نفسه</w:t>
      </w:r>
      <w:r w:rsidR="009A2A04" w:rsidRPr="00282AC9">
        <w:rPr>
          <w:rFonts w:cs="Mosawi" w:hint="cs"/>
          <w:sz w:val="22"/>
          <w:szCs w:val="22"/>
          <w:rtl/>
          <w:lang w:bidi="ar-LB"/>
        </w:rPr>
        <w:t>&amp;</w:t>
      </w:r>
      <w:r w:rsidRPr="00282AC9">
        <w:rPr>
          <w:rFonts w:hint="cs"/>
          <w:sz w:val="27"/>
          <w:rtl/>
          <w:lang w:bidi="ar-LB"/>
        </w:rPr>
        <w:t xml:space="preserve"> في حقيقة الح</w:t>
      </w:r>
      <w:r w:rsidR="00346A0F" w:rsidRPr="00282AC9">
        <w:rPr>
          <w:rFonts w:hint="cs"/>
          <w:sz w:val="27"/>
          <w:rtl/>
          <w:lang w:bidi="ar-LB"/>
        </w:rPr>
        <w:t>ُ</w:t>
      </w:r>
      <w:r w:rsidRPr="00282AC9">
        <w:rPr>
          <w:rFonts w:hint="cs"/>
          <w:sz w:val="27"/>
          <w:rtl/>
          <w:lang w:bidi="ar-LB"/>
        </w:rPr>
        <w:t>س</w:t>
      </w:r>
      <w:r w:rsidR="00346A0F" w:rsidRPr="00282AC9">
        <w:rPr>
          <w:rFonts w:hint="cs"/>
          <w:sz w:val="27"/>
          <w:rtl/>
          <w:lang w:bidi="ar-LB"/>
        </w:rPr>
        <w:t>ْ</w:t>
      </w:r>
      <w:r w:rsidRPr="00282AC9">
        <w:rPr>
          <w:rFonts w:hint="cs"/>
          <w:sz w:val="27"/>
          <w:rtl/>
          <w:lang w:bidi="ar-LB"/>
        </w:rPr>
        <w:t>ن والق</w:t>
      </w:r>
      <w:r w:rsidR="00346A0F" w:rsidRPr="00282AC9">
        <w:rPr>
          <w:rFonts w:hint="cs"/>
          <w:sz w:val="27"/>
          <w:rtl/>
          <w:lang w:bidi="ar-LB"/>
        </w:rPr>
        <w:t>ُ</w:t>
      </w:r>
      <w:r w:rsidRPr="00282AC9">
        <w:rPr>
          <w:rFonts w:hint="cs"/>
          <w:sz w:val="27"/>
          <w:rtl/>
          <w:lang w:bidi="ar-LB"/>
        </w:rPr>
        <w:t>ب</w:t>
      </w:r>
      <w:r w:rsidR="00346A0F" w:rsidRPr="00282AC9">
        <w:rPr>
          <w:rFonts w:hint="cs"/>
          <w:sz w:val="27"/>
          <w:rtl/>
          <w:lang w:bidi="ar-LB"/>
        </w:rPr>
        <w:t>ْ</w:t>
      </w:r>
      <w:r w:rsidRPr="00282AC9">
        <w:rPr>
          <w:rFonts w:hint="cs"/>
          <w:sz w:val="27"/>
          <w:rtl/>
          <w:lang w:bidi="ar-LB"/>
        </w:rPr>
        <w:t>ح</w:t>
      </w:r>
      <w:r w:rsidR="00346A0F" w:rsidRPr="00282AC9">
        <w:rPr>
          <w:rFonts w:hint="cs"/>
          <w:sz w:val="27"/>
          <w:rtl/>
          <w:lang w:bidi="ar-LB"/>
        </w:rPr>
        <w:t>،</w:t>
      </w:r>
      <w:r w:rsidRPr="00282AC9">
        <w:rPr>
          <w:rFonts w:hint="cs"/>
          <w:sz w:val="27"/>
          <w:rtl/>
          <w:lang w:bidi="ar-LB"/>
        </w:rPr>
        <w:t xml:space="preserve"> من أنّ لكلّ قو</w:t>
      </w:r>
      <w:r w:rsidR="00346A0F" w:rsidRPr="00282AC9">
        <w:rPr>
          <w:rFonts w:hint="cs"/>
          <w:sz w:val="27"/>
          <w:rtl/>
          <w:lang w:bidi="ar-LB"/>
        </w:rPr>
        <w:t>ّ</w:t>
      </w:r>
      <w:r w:rsidRPr="00282AC9">
        <w:rPr>
          <w:rFonts w:hint="cs"/>
          <w:sz w:val="27"/>
          <w:rtl/>
          <w:lang w:bidi="ar-LB"/>
        </w:rPr>
        <w:t>ة</w:t>
      </w:r>
      <w:r w:rsidR="00346A0F" w:rsidRPr="00282AC9">
        <w:rPr>
          <w:rFonts w:hint="cs"/>
          <w:sz w:val="27"/>
          <w:rtl/>
          <w:lang w:bidi="ar-LB"/>
        </w:rPr>
        <w:t>ٍ</w:t>
      </w:r>
      <w:r w:rsidRPr="00282AC9">
        <w:rPr>
          <w:rFonts w:hint="cs"/>
          <w:sz w:val="27"/>
          <w:rtl/>
          <w:lang w:bidi="ar-LB"/>
        </w:rPr>
        <w:t xml:space="preserve"> من القوى الإنسانية ملائمات</w:t>
      </w:r>
      <w:r w:rsidR="00346A0F" w:rsidRPr="00282AC9">
        <w:rPr>
          <w:rFonts w:hint="cs"/>
          <w:sz w:val="27"/>
          <w:rtl/>
          <w:lang w:bidi="ar-LB"/>
        </w:rPr>
        <w:t>ٍ</w:t>
      </w:r>
      <w:r w:rsidRPr="00282AC9">
        <w:rPr>
          <w:rFonts w:hint="cs"/>
          <w:sz w:val="27"/>
          <w:rtl/>
          <w:lang w:bidi="ar-LB"/>
        </w:rPr>
        <w:t xml:space="preserve"> ومنافرات</w:t>
      </w:r>
      <w:r w:rsidR="00346A0F" w:rsidRPr="00282AC9">
        <w:rPr>
          <w:rFonts w:hint="cs"/>
          <w:sz w:val="27"/>
          <w:rtl/>
          <w:lang w:bidi="ar-LB"/>
        </w:rPr>
        <w:t>ٍ</w:t>
      </w:r>
      <w:r w:rsidRPr="00282AC9">
        <w:rPr>
          <w:rFonts w:hint="cs"/>
          <w:sz w:val="27"/>
          <w:rtl/>
          <w:lang w:bidi="ar-LB"/>
        </w:rPr>
        <w:t xml:space="preserve"> من الأفعال، والح</w:t>
      </w:r>
      <w:r w:rsidR="00346A0F" w:rsidRPr="00282AC9">
        <w:rPr>
          <w:rFonts w:hint="cs"/>
          <w:sz w:val="27"/>
          <w:rtl/>
          <w:lang w:bidi="ar-LB"/>
        </w:rPr>
        <w:t>َ</w:t>
      </w:r>
      <w:r w:rsidRPr="00282AC9">
        <w:rPr>
          <w:rFonts w:hint="cs"/>
          <w:sz w:val="27"/>
          <w:rtl/>
          <w:lang w:bidi="ar-LB"/>
        </w:rPr>
        <w:t>س</w:t>
      </w:r>
      <w:r w:rsidR="00346A0F" w:rsidRPr="00282AC9">
        <w:rPr>
          <w:rFonts w:hint="cs"/>
          <w:sz w:val="27"/>
          <w:rtl/>
          <w:lang w:bidi="ar-LB"/>
        </w:rPr>
        <w:t>َ</w:t>
      </w:r>
      <w:r w:rsidRPr="00282AC9">
        <w:rPr>
          <w:rFonts w:hint="cs"/>
          <w:sz w:val="27"/>
          <w:rtl/>
          <w:lang w:bidi="ar-LB"/>
        </w:rPr>
        <w:t>ن والقبيح فعلان</w:t>
      </w:r>
      <w:r w:rsidR="00E02F7B" w:rsidRPr="00282AC9">
        <w:rPr>
          <w:rFonts w:hint="cs"/>
          <w:sz w:val="27"/>
          <w:rtl/>
          <w:lang w:bidi="ar-LB"/>
        </w:rPr>
        <w:t>:</w:t>
      </w:r>
      <w:r w:rsidRPr="00282AC9">
        <w:rPr>
          <w:rFonts w:hint="cs"/>
          <w:sz w:val="27"/>
          <w:rtl/>
          <w:lang w:bidi="ar-LB"/>
        </w:rPr>
        <w:t xml:space="preserve"> أحدهما ملائم</w:t>
      </w:r>
      <w:r w:rsidR="00E02F7B" w:rsidRPr="00282AC9">
        <w:rPr>
          <w:rFonts w:hint="cs"/>
          <w:sz w:val="27"/>
          <w:rtl/>
          <w:lang w:bidi="ar-LB"/>
        </w:rPr>
        <w:t>ٌ</w:t>
      </w:r>
      <w:r w:rsidRPr="00282AC9">
        <w:rPr>
          <w:rFonts w:hint="cs"/>
          <w:sz w:val="27"/>
          <w:rtl/>
          <w:lang w:bidi="ar-LB"/>
        </w:rPr>
        <w:t xml:space="preserve"> للقو</w:t>
      </w:r>
      <w:r w:rsidR="00E02F7B" w:rsidRPr="00282AC9">
        <w:rPr>
          <w:rFonts w:hint="cs"/>
          <w:sz w:val="27"/>
          <w:rtl/>
          <w:lang w:bidi="ar-LB"/>
        </w:rPr>
        <w:t>ّ</w:t>
      </w:r>
      <w:r w:rsidRPr="00282AC9">
        <w:rPr>
          <w:rFonts w:hint="cs"/>
          <w:sz w:val="27"/>
          <w:rtl/>
          <w:lang w:bidi="ar-LB"/>
        </w:rPr>
        <w:t>ة العاقلة</w:t>
      </w:r>
      <w:r w:rsidR="00E03EA3" w:rsidRPr="00282AC9">
        <w:rPr>
          <w:rFonts w:hint="cs"/>
          <w:sz w:val="27"/>
          <w:rtl/>
          <w:lang w:bidi="ar-LB"/>
        </w:rPr>
        <w:t>؛</w:t>
      </w:r>
      <w:r w:rsidRPr="00282AC9">
        <w:rPr>
          <w:rFonts w:hint="cs"/>
          <w:sz w:val="27"/>
          <w:rtl/>
          <w:lang w:bidi="ar-LB"/>
        </w:rPr>
        <w:t xml:space="preserve"> والآخر منافر</w:t>
      </w:r>
      <w:r w:rsidR="00E02F7B" w:rsidRPr="00282AC9">
        <w:rPr>
          <w:rFonts w:hint="cs"/>
          <w:sz w:val="27"/>
          <w:rtl/>
          <w:lang w:bidi="ar-LB"/>
        </w:rPr>
        <w:t>ٌ</w:t>
      </w:r>
      <w:r w:rsidRPr="00282AC9">
        <w:rPr>
          <w:rFonts w:hint="cs"/>
          <w:sz w:val="27"/>
          <w:rtl/>
          <w:lang w:bidi="ar-LB"/>
        </w:rPr>
        <w:t xml:space="preserve"> لها، بحيث يستتبع أحدهما رضاها واستعجابها</w:t>
      </w:r>
      <w:r w:rsidR="00E02F7B" w:rsidRPr="00282AC9">
        <w:rPr>
          <w:rFonts w:hint="cs"/>
          <w:sz w:val="27"/>
          <w:rtl/>
          <w:lang w:bidi="ar-LB"/>
        </w:rPr>
        <w:t>،</w:t>
      </w:r>
      <w:r w:rsidRPr="00282AC9">
        <w:rPr>
          <w:rFonts w:hint="cs"/>
          <w:sz w:val="27"/>
          <w:rtl/>
          <w:lang w:bidi="ar-LB"/>
        </w:rPr>
        <w:t xml:space="preserve"> والآخر سخطها واستغرابها.</w:t>
      </w:r>
    </w:p>
    <w:p w:rsidR="00A9019A" w:rsidRPr="00282AC9" w:rsidRDefault="00A9019A" w:rsidP="00B16272">
      <w:pPr>
        <w:tabs>
          <w:tab w:val="right" w:pos="6930"/>
        </w:tabs>
        <w:suppressAutoHyphens/>
        <w:rPr>
          <w:sz w:val="27"/>
          <w:rtl/>
          <w:lang w:bidi="ar-LB"/>
        </w:rPr>
      </w:pPr>
      <w:r w:rsidRPr="00282AC9">
        <w:rPr>
          <w:rFonts w:hint="cs"/>
          <w:sz w:val="27"/>
          <w:rtl/>
          <w:lang w:bidi="ar-LB"/>
        </w:rPr>
        <w:t>والأوّل من النقاشين المتقد</w:t>
      </w:r>
      <w:r w:rsidR="00E02F7B" w:rsidRPr="00282AC9">
        <w:rPr>
          <w:rFonts w:hint="cs"/>
          <w:sz w:val="27"/>
          <w:rtl/>
          <w:lang w:bidi="ar-LB"/>
        </w:rPr>
        <w:t>ّ</w:t>
      </w:r>
      <w:r w:rsidRPr="00282AC9">
        <w:rPr>
          <w:rFonts w:hint="cs"/>
          <w:sz w:val="27"/>
          <w:rtl/>
          <w:lang w:bidi="ar-LB"/>
        </w:rPr>
        <w:t>مين منصب</w:t>
      </w:r>
      <w:r w:rsidR="00E02F7B" w:rsidRPr="00282AC9">
        <w:rPr>
          <w:rFonts w:hint="cs"/>
          <w:sz w:val="27"/>
          <w:rtl/>
          <w:lang w:bidi="ar-LB"/>
        </w:rPr>
        <w:t>ٌّ</w:t>
      </w:r>
      <w:r w:rsidRPr="00282AC9">
        <w:rPr>
          <w:rFonts w:hint="cs"/>
          <w:sz w:val="27"/>
          <w:rtl/>
          <w:lang w:bidi="ar-LB"/>
        </w:rPr>
        <w:t xml:space="preserve"> على نفس هذه الن</w:t>
      </w:r>
      <w:r w:rsidR="00E02F7B" w:rsidRPr="00282AC9">
        <w:rPr>
          <w:rFonts w:hint="cs"/>
          <w:sz w:val="27"/>
          <w:rtl/>
          <w:lang w:bidi="ar-LB"/>
        </w:rPr>
        <w:t>ُّ</w:t>
      </w:r>
      <w:r w:rsidRPr="00282AC9">
        <w:rPr>
          <w:rFonts w:hint="cs"/>
          <w:sz w:val="27"/>
          <w:rtl/>
          <w:lang w:bidi="ar-LB"/>
        </w:rPr>
        <w:t>ك</w:t>
      </w:r>
      <w:r w:rsidR="00E02F7B" w:rsidRPr="00282AC9">
        <w:rPr>
          <w:rFonts w:hint="cs"/>
          <w:sz w:val="27"/>
          <w:rtl/>
          <w:lang w:bidi="ar-LB"/>
        </w:rPr>
        <w:t>ْ</w:t>
      </w:r>
      <w:r w:rsidRPr="00282AC9">
        <w:rPr>
          <w:rFonts w:hint="cs"/>
          <w:sz w:val="27"/>
          <w:rtl/>
          <w:lang w:bidi="ar-LB"/>
        </w:rPr>
        <w:t>تة؛ لوضوح أنّ الفعل إذا كان ملائماً للقوة العاقلة فلا محيص من أن يستتبع ذلك رضاها واستعج</w:t>
      </w:r>
      <w:r w:rsidR="00E02F7B" w:rsidRPr="00282AC9">
        <w:rPr>
          <w:rFonts w:hint="cs"/>
          <w:sz w:val="27"/>
          <w:rtl/>
          <w:lang w:bidi="ar-LB"/>
        </w:rPr>
        <w:t>ا</w:t>
      </w:r>
      <w:r w:rsidRPr="00282AC9">
        <w:rPr>
          <w:rFonts w:hint="cs"/>
          <w:sz w:val="27"/>
          <w:rtl/>
          <w:lang w:bidi="ar-LB"/>
        </w:rPr>
        <w:t>بها به</w:t>
      </w:r>
      <w:r w:rsidR="00E02F7B" w:rsidRPr="00282AC9">
        <w:rPr>
          <w:rFonts w:hint="cs"/>
          <w:sz w:val="27"/>
          <w:rtl/>
          <w:lang w:bidi="ar-LB"/>
        </w:rPr>
        <w:t>؛</w:t>
      </w:r>
      <w:r w:rsidRPr="00282AC9">
        <w:rPr>
          <w:rFonts w:hint="cs"/>
          <w:sz w:val="27"/>
          <w:rtl/>
          <w:lang w:bidi="ar-LB"/>
        </w:rPr>
        <w:t xml:space="preserve"> وإذا كان منافراً لها فلا محيص من أن يستتبع ذلك سخطها واستغرابها منه</w:t>
      </w:r>
      <w:r w:rsidR="00E02F7B" w:rsidRPr="00282AC9">
        <w:rPr>
          <w:rFonts w:hint="cs"/>
          <w:sz w:val="27"/>
          <w:rtl/>
          <w:lang w:bidi="ar-LB"/>
        </w:rPr>
        <w:t>،</w:t>
      </w:r>
      <w:r w:rsidRPr="00282AC9">
        <w:rPr>
          <w:rFonts w:hint="cs"/>
          <w:sz w:val="27"/>
          <w:rtl/>
          <w:lang w:bidi="ar-LB"/>
        </w:rPr>
        <w:t xml:space="preserve"> وليس الق</w:t>
      </w:r>
      <w:r w:rsidR="00E02F7B" w:rsidRPr="00282AC9">
        <w:rPr>
          <w:rFonts w:hint="cs"/>
          <w:sz w:val="27"/>
          <w:rtl/>
          <w:lang w:bidi="ar-LB"/>
        </w:rPr>
        <w:t>ُ</w:t>
      </w:r>
      <w:r w:rsidRPr="00282AC9">
        <w:rPr>
          <w:rFonts w:hint="cs"/>
          <w:sz w:val="27"/>
          <w:rtl/>
          <w:lang w:bidi="ar-LB"/>
        </w:rPr>
        <w:t>ب</w:t>
      </w:r>
      <w:r w:rsidR="00E02F7B" w:rsidRPr="00282AC9">
        <w:rPr>
          <w:rFonts w:hint="cs"/>
          <w:sz w:val="27"/>
          <w:rtl/>
          <w:lang w:bidi="ar-LB"/>
        </w:rPr>
        <w:t>ْ</w:t>
      </w:r>
      <w:r w:rsidRPr="00282AC9">
        <w:rPr>
          <w:rFonts w:hint="cs"/>
          <w:sz w:val="27"/>
          <w:rtl/>
          <w:lang w:bidi="ar-LB"/>
        </w:rPr>
        <w:t>ح والح</w:t>
      </w:r>
      <w:r w:rsidR="00E02F7B" w:rsidRPr="00282AC9">
        <w:rPr>
          <w:rFonts w:hint="cs"/>
          <w:sz w:val="27"/>
          <w:rtl/>
          <w:lang w:bidi="ar-LB"/>
        </w:rPr>
        <w:t>ُ</w:t>
      </w:r>
      <w:r w:rsidRPr="00282AC9">
        <w:rPr>
          <w:rFonts w:hint="cs"/>
          <w:sz w:val="27"/>
          <w:rtl/>
          <w:lang w:bidi="ar-LB"/>
        </w:rPr>
        <w:t>س</w:t>
      </w:r>
      <w:r w:rsidR="00E02F7B" w:rsidRPr="00282AC9">
        <w:rPr>
          <w:rFonts w:hint="cs"/>
          <w:sz w:val="27"/>
          <w:rtl/>
          <w:lang w:bidi="ar-LB"/>
        </w:rPr>
        <w:t>ْ</w:t>
      </w:r>
      <w:r w:rsidRPr="00282AC9">
        <w:rPr>
          <w:rFonts w:hint="cs"/>
          <w:sz w:val="27"/>
          <w:rtl/>
          <w:lang w:bidi="ar-LB"/>
        </w:rPr>
        <w:t>ن على ما تبنّاه إلاّ الاستعجاب والاستغراب.</w:t>
      </w:r>
    </w:p>
    <w:p w:rsidR="00A9019A" w:rsidRPr="00282AC9" w:rsidRDefault="00A9019A" w:rsidP="00B16272">
      <w:pPr>
        <w:tabs>
          <w:tab w:val="right" w:pos="6930"/>
        </w:tabs>
        <w:suppressAutoHyphens/>
        <w:rPr>
          <w:sz w:val="27"/>
          <w:rtl/>
          <w:lang w:bidi="ar-LB"/>
        </w:rPr>
      </w:pPr>
      <w:r w:rsidRPr="00282AC9">
        <w:rPr>
          <w:rFonts w:hint="cs"/>
          <w:sz w:val="27"/>
          <w:rtl/>
          <w:lang w:bidi="ar-LB"/>
        </w:rPr>
        <w:t>وما أجاب عنه غير</w:t>
      </w:r>
      <w:r w:rsidR="00E02F7B" w:rsidRPr="00282AC9">
        <w:rPr>
          <w:rFonts w:hint="cs"/>
          <w:sz w:val="27"/>
          <w:rtl/>
          <w:lang w:bidi="ar-LB"/>
        </w:rPr>
        <w:t>ُ</w:t>
      </w:r>
      <w:r w:rsidRPr="00282AC9">
        <w:rPr>
          <w:rFonts w:hint="cs"/>
          <w:sz w:val="27"/>
          <w:rtl/>
          <w:lang w:bidi="ar-LB"/>
        </w:rPr>
        <w:t xml:space="preserve"> تام</w:t>
      </w:r>
      <w:r w:rsidR="00E02F7B" w:rsidRPr="00282AC9">
        <w:rPr>
          <w:rFonts w:hint="cs"/>
          <w:sz w:val="27"/>
          <w:rtl/>
          <w:lang w:bidi="ar-LB"/>
        </w:rPr>
        <w:t>ٍّ</w:t>
      </w:r>
      <w:r w:rsidRPr="00282AC9">
        <w:rPr>
          <w:rFonts w:hint="cs"/>
          <w:sz w:val="27"/>
          <w:rtl/>
          <w:lang w:bidi="ar-LB"/>
        </w:rPr>
        <w:t>، سواء في ذلك الوجدان أ</w:t>
      </w:r>
      <w:r w:rsidR="00E02F7B" w:rsidRPr="00282AC9">
        <w:rPr>
          <w:rFonts w:hint="cs"/>
          <w:sz w:val="27"/>
          <w:rtl/>
          <w:lang w:bidi="ar-LB"/>
        </w:rPr>
        <w:t>و</w:t>
      </w:r>
      <w:r w:rsidRPr="00282AC9">
        <w:rPr>
          <w:rFonts w:hint="cs"/>
          <w:sz w:val="27"/>
          <w:rtl/>
          <w:lang w:bidi="ar-LB"/>
        </w:rPr>
        <w:t xml:space="preserve"> النقض بعمل العقلاء</w:t>
      </w:r>
      <w:r w:rsidR="00E02F7B" w:rsidRPr="00282AC9">
        <w:rPr>
          <w:rFonts w:hint="cs"/>
          <w:sz w:val="27"/>
          <w:rtl/>
          <w:lang w:bidi="ar-LB"/>
        </w:rPr>
        <w:t>؛</w:t>
      </w:r>
      <w:r w:rsidRPr="00282AC9">
        <w:rPr>
          <w:rFonts w:hint="cs"/>
          <w:sz w:val="27"/>
          <w:rtl/>
          <w:lang w:bidi="ar-LB"/>
        </w:rPr>
        <w:t xml:space="preserve"> إذ من المعلوم أنَّ العاقل بما هو عاقل</w:t>
      </w:r>
      <w:r w:rsidR="00E02F7B" w:rsidRPr="00282AC9">
        <w:rPr>
          <w:rFonts w:hint="cs"/>
          <w:sz w:val="27"/>
          <w:rtl/>
          <w:lang w:bidi="ar-LB"/>
        </w:rPr>
        <w:t>ٌ</w:t>
      </w:r>
      <w:r w:rsidRPr="00282AC9">
        <w:rPr>
          <w:rFonts w:hint="cs"/>
          <w:sz w:val="27"/>
          <w:rtl/>
          <w:lang w:bidi="ar-LB"/>
        </w:rPr>
        <w:t xml:space="preserve"> لا يجد من نفسه كراهة للح</w:t>
      </w:r>
      <w:r w:rsidR="00E02F7B" w:rsidRPr="00282AC9">
        <w:rPr>
          <w:rFonts w:hint="cs"/>
          <w:sz w:val="27"/>
          <w:rtl/>
          <w:lang w:bidi="ar-LB"/>
        </w:rPr>
        <w:t>ُ</w:t>
      </w:r>
      <w:r w:rsidRPr="00282AC9">
        <w:rPr>
          <w:rFonts w:hint="cs"/>
          <w:sz w:val="27"/>
          <w:rtl/>
          <w:lang w:bidi="ar-LB"/>
        </w:rPr>
        <w:t>س</w:t>
      </w:r>
      <w:r w:rsidR="00E02F7B" w:rsidRPr="00282AC9">
        <w:rPr>
          <w:rFonts w:hint="cs"/>
          <w:sz w:val="27"/>
          <w:rtl/>
          <w:lang w:bidi="ar-LB"/>
        </w:rPr>
        <w:t>ْ</w:t>
      </w:r>
      <w:r w:rsidRPr="00282AC9">
        <w:rPr>
          <w:rFonts w:hint="cs"/>
          <w:sz w:val="27"/>
          <w:rtl/>
          <w:lang w:bidi="ar-LB"/>
        </w:rPr>
        <w:t>ن العقلي، كما أنه لا يرتكب القبيح العقلي بما هو عاقل</w:t>
      </w:r>
      <w:r w:rsidR="00E02F7B" w:rsidRPr="00282AC9">
        <w:rPr>
          <w:rFonts w:hint="cs"/>
          <w:sz w:val="27"/>
          <w:rtl/>
          <w:lang w:bidi="ar-LB"/>
        </w:rPr>
        <w:t>ٌ</w:t>
      </w:r>
      <w:r w:rsidRPr="00282AC9">
        <w:rPr>
          <w:rFonts w:hint="cs"/>
          <w:sz w:val="27"/>
          <w:rtl/>
          <w:lang w:bidi="ar-LB"/>
        </w:rPr>
        <w:t>، بل بما هو متخي</w:t>
      </w:r>
      <w:r w:rsidR="00E02F7B" w:rsidRPr="00282AC9">
        <w:rPr>
          <w:rFonts w:hint="cs"/>
          <w:sz w:val="27"/>
          <w:rtl/>
          <w:lang w:bidi="ar-LB"/>
        </w:rPr>
        <w:t>ّ</w:t>
      </w:r>
      <w:r w:rsidRPr="00282AC9">
        <w:rPr>
          <w:rFonts w:hint="cs"/>
          <w:sz w:val="27"/>
          <w:rtl/>
          <w:lang w:bidi="ar-LB"/>
        </w:rPr>
        <w:t>ل</w:t>
      </w:r>
      <w:r w:rsidR="00E02F7B" w:rsidRPr="00282AC9">
        <w:rPr>
          <w:rFonts w:hint="cs"/>
          <w:sz w:val="27"/>
          <w:rtl/>
          <w:lang w:bidi="ar-LB"/>
        </w:rPr>
        <w:t>ٌ</w:t>
      </w:r>
      <w:r w:rsidRPr="00282AC9">
        <w:rPr>
          <w:rFonts w:hint="cs"/>
          <w:sz w:val="27"/>
          <w:rtl/>
          <w:lang w:bidi="ar-LB"/>
        </w:rPr>
        <w:t xml:space="preserve"> أو متوه</w:t>
      </w:r>
      <w:r w:rsidR="00E02F7B" w:rsidRPr="00282AC9">
        <w:rPr>
          <w:rFonts w:hint="cs"/>
          <w:sz w:val="27"/>
          <w:rtl/>
          <w:lang w:bidi="ar-LB"/>
        </w:rPr>
        <w:t>ّ</w:t>
      </w:r>
      <w:r w:rsidRPr="00282AC9">
        <w:rPr>
          <w:rFonts w:hint="cs"/>
          <w:sz w:val="27"/>
          <w:rtl/>
          <w:lang w:bidi="ar-LB"/>
        </w:rPr>
        <w:t>م</w:t>
      </w:r>
      <w:r w:rsidR="00E02F7B" w:rsidRPr="00282AC9">
        <w:rPr>
          <w:rFonts w:hint="cs"/>
          <w:sz w:val="27"/>
          <w:rtl/>
          <w:lang w:bidi="ar-LB"/>
        </w:rPr>
        <w:t>ٌ</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b/>
          <w:bCs/>
          <w:sz w:val="27"/>
          <w:rtl/>
          <w:lang w:bidi="ar-LB"/>
        </w:rPr>
        <w:t>التعليقة الثالثة</w:t>
      </w:r>
      <w:r w:rsidRPr="00282AC9">
        <w:rPr>
          <w:rFonts w:hint="cs"/>
          <w:sz w:val="27"/>
          <w:rtl/>
          <w:lang w:bidi="ar-LB"/>
        </w:rPr>
        <w:t xml:space="preserve">: </w:t>
      </w:r>
      <w:r w:rsidR="00E02F7B" w:rsidRPr="00282AC9">
        <w:rPr>
          <w:rFonts w:hint="cs"/>
          <w:sz w:val="27"/>
          <w:rtl/>
          <w:lang w:bidi="ar-LB"/>
        </w:rPr>
        <w:t>إ</w:t>
      </w:r>
      <w:r w:rsidRPr="00282AC9">
        <w:rPr>
          <w:rFonts w:hint="cs"/>
          <w:sz w:val="27"/>
          <w:rtl/>
          <w:lang w:bidi="ar-LB"/>
        </w:rPr>
        <w:t>نّ ما ذكره من النقوض في الفقرة الثالثة لا يكفي مؤونة ما هو بصدده</w:t>
      </w:r>
      <w:r w:rsidR="00E02F7B" w:rsidRPr="00282AC9">
        <w:rPr>
          <w:rFonts w:hint="cs"/>
          <w:sz w:val="27"/>
          <w:rtl/>
          <w:lang w:bidi="ar-LB"/>
        </w:rPr>
        <w:t>؛</w:t>
      </w:r>
      <w:r w:rsidRPr="00282AC9">
        <w:rPr>
          <w:rFonts w:hint="cs"/>
          <w:sz w:val="27"/>
          <w:rtl/>
          <w:lang w:bidi="ar-LB"/>
        </w:rPr>
        <w:t xml:space="preserve"> وذلك للوجهين التاليين:</w:t>
      </w:r>
    </w:p>
    <w:p w:rsidR="00A9019A" w:rsidRPr="00282AC9" w:rsidRDefault="00E02F7B" w:rsidP="00B16272">
      <w:pPr>
        <w:tabs>
          <w:tab w:val="right" w:pos="6930"/>
        </w:tabs>
        <w:suppressAutoHyphens/>
        <w:rPr>
          <w:sz w:val="27"/>
          <w:rtl/>
          <w:lang w:bidi="ar-LB"/>
        </w:rPr>
      </w:pPr>
      <w:r w:rsidRPr="00282AC9">
        <w:rPr>
          <w:rFonts w:hint="cs"/>
          <w:b/>
          <w:bCs/>
          <w:sz w:val="27"/>
          <w:rtl/>
          <w:lang w:bidi="ar-LB"/>
        </w:rPr>
        <w:t xml:space="preserve">الوجه </w:t>
      </w:r>
      <w:r w:rsidR="00A9019A" w:rsidRPr="00282AC9">
        <w:rPr>
          <w:rFonts w:hint="cs"/>
          <w:b/>
          <w:bCs/>
          <w:sz w:val="27"/>
          <w:rtl/>
          <w:lang w:bidi="ar-LB"/>
        </w:rPr>
        <w:t>الأوّل</w:t>
      </w:r>
      <w:r w:rsidR="00A9019A" w:rsidRPr="00282AC9">
        <w:rPr>
          <w:rFonts w:hint="cs"/>
          <w:sz w:val="27"/>
          <w:rtl/>
          <w:lang w:bidi="ar-LB"/>
        </w:rPr>
        <w:t xml:space="preserve">: </w:t>
      </w:r>
      <w:r w:rsidRPr="00282AC9">
        <w:rPr>
          <w:rFonts w:hint="cs"/>
          <w:sz w:val="27"/>
          <w:rtl/>
          <w:lang w:bidi="ar-LB"/>
        </w:rPr>
        <w:t>إ</w:t>
      </w:r>
      <w:r w:rsidR="00A9019A" w:rsidRPr="00282AC9">
        <w:rPr>
          <w:rFonts w:hint="cs"/>
          <w:sz w:val="27"/>
          <w:rtl/>
          <w:lang w:bidi="ar-LB"/>
        </w:rPr>
        <w:t xml:space="preserve">نّ من الواضح أنّ القائل بالملازمة </w:t>
      </w:r>
      <w:r w:rsidR="00A9019A" w:rsidRPr="00282AC9">
        <w:rPr>
          <w:sz w:val="27"/>
          <w:rtl/>
          <w:lang w:bidi="ar-LB"/>
        </w:rPr>
        <w:t>ـ</w:t>
      </w:r>
      <w:r w:rsidR="00A9019A" w:rsidRPr="00282AC9">
        <w:rPr>
          <w:rFonts w:hint="cs"/>
          <w:sz w:val="27"/>
          <w:rtl/>
          <w:lang w:bidi="ar-LB"/>
        </w:rPr>
        <w:t xml:space="preserve"> سواء</w:t>
      </w:r>
      <w:r w:rsidR="001E264E" w:rsidRPr="00282AC9">
        <w:rPr>
          <w:rFonts w:hint="cs"/>
          <w:sz w:val="27"/>
          <w:rtl/>
          <w:lang w:bidi="ar-LB"/>
        </w:rPr>
        <w:t>ٌ</w:t>
      </w:r>
      <w:r w:rsidR="00A9019A" w:rsidRPr="00282AC9">
        <w:rPr>
          <w:rFonts w:hint="cs"/>
          <w:sz w:val="27"/>
          <w:rtl/>
          <w:lang w:bidi="ar-LB"/>
        </w:rPr>
        <w:t xml:space="preserve"> في ذلك الملازمة بين ح</w:t>
      </w:r>
      <w:r w:rsidR="001E264E" w:rsidRPr="00282AC9">
        <w:rPr>
          <w:rFonts w:hint="cs"/>
          <w:sz w:val="27"/>
          <w:rtl/>
          <w:lang w:bidi="ar-LB"/>
        </w:rPr>
        <w:t>ُ</w:t>
      </w:r>
      <w:r w:rsidR="00A9019A" w:rsidRPr="00282AC9">
        <w:rPr>
          <w:rFonts w:hint="cs"/>
          <w:sz w:val="27"/>
          <w:rtl/>
          <w:lang w:bidi="ar-LB"/>
        </w:rPr>
        <w:t>س</w:t>
      </w:r>
      <w:r w:rsidR="001E264E" w:rsidRPr="00282AC9">
        <w:rPr>
          <w:rFonts w:hint="cs"/>
          <w:sz w:val="27"/>
          <w:rtl/>
          <w:lang w:bidi="ar-LB"/>
        </w:rPr>
        <w:t>ْ</w:t>
      </w:r>
      <w:r w:rsidR="00A9019A" w:rsidRPr="00282AC9">
        <w:rPr>
          <w:rFonts w:hint="cs"/>
          <w:sz w:val="27"/>
          <w:rtl/>
          <w:lang w:bidi="ar-LB"/>
        </w:rPr>
        <w:t>ن الفعل وإرادته، أو الملازمة بين المصالح والإرادة ـ لا يقصد إلاّ المصالح والمفاسد المستقر</w:t>
      </w:r>
      <w:r w:rsidR="001E264E" w:rsidRPr="00282AC9">
        <w:rPr>
          <w:rFonts w:hint="cs"/>
          <w:sz w:val="27"/>
          <w:rtl/>
          <w:lang w:bidi="ar-LB"/>
        </w:rPr>
        <w:t>ّ</w:t>
      </w:r>
      <w:r w:rsidR="00A9019A" w:rsidRPr="00282AC9">
        <w:rPr>
          <w:rFonts w:hint="cs"/>
          <w:sz w:val="27"/>
          <w:rtl/>
          <w:lang w:bidi="ar-LB"/>
        </w:rPr>
        <w:t>ة بعد الكسر والانكسار، وأمّا المصلحة الثابتة في الشيء قبل ملاحظة العناوين والجهات الثانوية فمن الواضح أنّه لا ملازمة بينها وبين الإرادة والكراهة</w:t>
      </w:r>
      <w:r w:rsidR="001E264E" w:rsidRPr="00282AC9">
        <w:rPr>
          <w:rFonts w:hint="cs"/>
          <w:sz w:val="27"/>
          <w:rtl/>
          <w:lang w:bidi="ar-LB"/>
        </w:rPr>
        <w:t>.</w:t>
      </w:r>
      <w:r w:rsidR="00A9019A" w:rsidRPr="00282AC9">
        <w:rPr>
          <w:rFonts w:hint="cs"/>
          <w:sz w:val="27"/>
          <w:rtl/>
          <w:lang w:bidi="ar-LB"/>
        </w:rPr>
        <w:t xml:space="preserve"> وما ذكره المحق</w:t>
      </w:r>
      <w:r w:rsidR="001E264E" w:rsidRPr="00282AC9">
        <w:rPr>
          <w:rFonts w:hint="cs"/>
          <w:sz w:val="27"/>
          <w:rtl/>
          <w:lang w:bidi="ar-LB"/>
        </w:rPr>
        <w:t>ِّ</w:t>
      </w:r>
      <w:r w:rsidR="00A9019A" w:rsidRPr="00282AC9">
        <w:rPr>
          <w:rFonts w:hint="cs"/>
          <w:sz w:val="27"/>
          <w:rtl/>
          <w:lang w:bidi="ar-LB"/>
        </w:rPr>
        <w:t>ق الخراساني</w:t>
      </w:r>
      <w:r w:rsidR="009A2A04" w:rsidRPr="00282AC9">
        <w:rPr>
          <w:rFonts w:cs="Mosawi" w:hint="cs"/>
          <w:sz w:val="22"/>
          <w:szCs w:val="22"/>
          <w:rtl/>
          <w:lang w:bidi="ar-LB"/>
        </w:rPr>
        <w:t>&amp;</w:t>
      </w:r>
      <w:r w:rsidR="00A9019A" w:rsidRPr="00282AC9">
        <w:rPr>
          <w:rFonts w:hint="cs"/>
          <w:sz w:val="27"/>
          <w:rtl/>
          <w:lang w:bidi="ar-LB"/>
        </w:rPr>
        <w:t xml:space="preserve"> من النقوض إنّما يتمّ دون هذا الأساس؛ لوضوح عدم المصلحة النهائية بعد ملاحظة تنفّ</w:t>
      </w:r>
      <w:r w:rsidR="001E264E" w:rsidRPr="00282AC9">
        <w:rPr>
          <w:rFonts w:hint="cs"/>
          <w:sz w:val="27"/>
          <w:rtl/>
          <w:lang w:bidi="ar-LB"/>
        </w:rPr>
        <w:t>ُ</w:t>
      </w:r>
      <w:r w:rsidR="00A9019A" w:rsidRPr="00282AC9">
        <w:rPr>
          <w:rFonts w:hint="cs"/>
          <w:sz w:val="27"/>
          <w:rtl/>
          <w:lang w:bidi="ar-LB"/>
        </w:rPr>
        <w:t>ر العباد، أو المصلحة المزاح</w:t>
      </w:r>
      <w:r w:rsidR="001E264E" w:rsidRPr="00282AC9">
        <w:rPr>
          <w:rFonts w:hint="cs"/>
          <w:sz w:val="27"/>
          <w:rtl/>
          <w:lang w:bidi="ar-LB"/>
        </w:rPr>
        <w:t>ِ</w:t>
      </w:r>
      <w:r w:rsidR="00A9019A" w:rsidRPr="00282AC9">
        <w:rPr>
          <w:rFonts w:hint="cs"/>
          <w:sz w:val="27"/>
          <w:rtl/>
          <w:lang w:bidi="ar-LB"/>
        </w:rPr>
        <w:t>مة الأهم</w:t>
      </w:r>
      <w:r w:rsidR="001E264E" w:rsidRPr="00282AC9">
        <w:rPr>
          <w:rFonts w:hint="cs"/>
          <w:sz w:val="27"/>
          <w:rtl/>
          <w:lang w:bidi="ar-LB"/>
        </w:rPr>
        <w:t>ّ</w:t>
      </w:r>
      <w:r w:rsidR="00A9019A" w:rsidRPr="00282AC9">
        <w:rPr>
          <w:rFonts w:hint="cs"/>
          <w:sz w:val="27"/>
          <w:rtl/>
          <w:lang w:bidi="ar-LB"/>
        </w:rPr>
        <w:t>، أو مصلحة التسهيل في الصبي</w:t>
      </w:r>
      <w:r w:rsidR="001E264E" w:rsidRPr="00282AC9">
        <w:rPr>
          <w:rFonts w:hint="cs"/>
          <w:sz w:val="27"/>
          <w:rtl/>
          <w:lang w:bidi="ar-LB"/>
        </w:rPr>
        <w:t>ّ</w:t>
      </w:r>
      <w:r w:rsidR="00A9019A" w:rsidRPr="00282AC9">
        <w:rPr>
          <w:rFonts w:hint="cs"/>
          <w:sz w:val="27"/>
          <w:rtl/>
          <w:lang w:bidi="ar-LB"/>
        </w:rPr>
        <w:t xml:space="preserve"> مثلاً، أو غير ذلك.</w:t>
      </w:r>
    </w:p>
    <w:p w:rsidR="00A9019A" w:rsidRPr="00282AC9" w:rsidRDefault="00E02F7B" w:rsidP="00B16272">
      <w:pPr>
        <w:tabs>
          <w:tab w:val="right" w:pos="6930"/>
        </w:tabs>
        <w:suppressAutoHyphens/>
        <w:rPr>
          <w:sz w:val="27"/>
          <w:rtl/>
          <w:lang w:bidi="ar-LB"/>
        </w:rPr>
      </w:pPr>
      <w:r w:rsidRPr="00282AC9">
        <w:rPr>
          <w:rFonts w:hint="cs"/>
          <w:b/>
          <w:bCs/>
          <w:sz w:val="27"/>
          <w:rtl/>
          <w:lang w:bidi="ar-LB"/>
        </w:rPr>
        <w:t xml:space="preserve">الوجه </w:t>
      </w:r>
      <w:r w:rsidR="00A9019A" w:rsidRPr="00282AC9">
        <w:rPr>
          <w:rFonts w:hint="cs"/>
          <w:b/>
          <w:bCs/>
          <w:sz w:val="27"/>
          <w:rtl/>
          <w:lang w:bidi="ar-LB"/>
        </w:rPr>
        <w:t>الثاني</w:t>
      </w:r>
      <w:r w:rsidR="00A9019A" w:rsidRPr="00282AC9">
        <w:rPr>
          <w:rFonts w:hint="cs"/>
          <w:sz w:val="27"/>
          <w:rtl/>
          <w:lang w:bidi="ar-LB"/>
        </w:rPr>
        <w:t xml:space="preserve">: </w:t>
      </w:r>
      <w:r w:rsidR="001E264E" w:rsidRPr="00282AC9">
        <w:rPr>
          <w:rFonts w:hint="cs"/>
          <w:sz w:val="27"/>
          <w:rtl/>
          <w:lang w:bidi="ar-LB"/>
        </w:rPr>
        <w:t>إن</w:t>
      </w:r>
      <w:r w:rsidR="00A9019A" w:rsidRPr="00282AC9">
        <w:rPr>
          <w:rFonts w:hint="cs"/>
          <w:sz w:val="27"/>
          <w:rtl/>
          <w:lang w:bidi="ar-LB"/>
        </w:rPr>
        <w:t xml:space="preserve"> البحث </w:t>
      </w:r>
      <w:r w:rsidR="001E264E" w:rsidRPr="00282AC9">
        <w:rPr>
          <w:rFonts w:hint="cs"/>
          <w:sz w:val="27"/>
          <w:rtl/>
          <w:lang w:bidi="ar-LB"/>
        </w:rPr>
        <w:t xml:space="preserve">ينصبّ </w:t>
      </w:r>
      <w:r w:rsidR="00A9019A" w:rsidRPr="00282AC9">
        <w:rPr>
          <w:rFonts w:hint="cs"/>
          <w:sz w:val="27"/>
          <w:rtl/>
          <w:lang w:bidi="ar-LB"/>
        </w:rPr>
        <w:t>تارة</w:t>
      </w:r>
      <w:r w:rsidR="001E264E" w:rsidRPr="00282AC9">
        <w:rPr>
          <w:rFonts w:hint="cs"/>
          <w:sz w:val="27"/>
          <w:rtl/>
          <w:lang w:bidi="ar-LB"/>
        </w:rPr>
        <w:t>ً</w:t>
      </w:r>
      <w:r w:rsidR="00A9019A" w:rsidRPr="00282AC9">
        <w:rPr>
          <w:rFonts w:hint="cs"/>
          <w:sz w:val="27"/>
          <w:rtl/>
          <w:lang w:bidi="ar-LB"/>
        </w:rPr>
        <w:t xml:space="preserve"> على الملازمة بين الح</w:t>
      </w:r>
      <w:r w:rsidR="001E264E" w:rsidRPr="00282AC9">
        <w:rPr>
          <w:rFonts w:hint="cs"/>
          <w:sz w:val="27"/>
          <w:rtl/>
          <w:lang w:bidi="ar-LB"/>
        </w:rPr>
        <w:t>ُ</w:t>
      </w:r>
      <w:r w:rsidR="00A9019A" w:rsidRPr="00282AC9">
        <w:rPr>
          <w:rFonts w:hint="cs"/>
          <w:sz w:val="27"/>
          <w:rtl/>
          <w:lang w:bidi="ar-LB"/>
        </w:rPr>
        <w:t>س</w:t>
      </w:r>
      <w:r w:rsidR="001E264E" w:rsidRPr="00282AC9">
        <w:rPr>
          <w:rFonts w:hint="cs"/>
          <w:sz w:val="27"/>
          <w:rtl/>
          <w:lang w:bidi="ar-LB"/>
        </w:rPr>
        <w:t>ْ</w:t>
      </w:r>
      <w:r w:rsidR="00A9019A" w:rsidRPr="00282AC9">
        <w:rPr>
          <w:rFonts w:hint="cs"/>
          <w:sz w:val="27"/>
          <w:rtl/>
          <w:lang w:bidi="ar-LB"/>
        </w:rPr>
        <w:t>ن والق</w:t>
      </w:r>
      <w:r w:rsidR="001E264E" w:rsidRPr="00282AC9">
        <w:rPr>
          <w:rFonts w:hint="cs"/>
          <w:sz w:val="27"/>
          <w:rtl/>
          <w:lang w:bidi="ar-LB"/>
        </w:rPr>
        <w:t>ُ</w:t>
      </w:r>
      <w:r w:rsidR="00A9019A" w:rsidRPr="00282AC9">
        <w:rPr>
          <w:rFonts w:hint="cs"/>
          <w:sz w:val="27"/>
          <w:rtl/>
          <w:lang w:bidi="ar-LB"/>
        </w:rPr>
        <w:t>ب</w:t>
      </w:r>
      <w:r w:rsidR="001E264E" w:rsidRPr="00282AC9">
        <w:rPr>
          <w:rFonts w:hint="cs"/>
          <w:sz w:val="27"/>
          <w:rtl/>
          <w:lang w:bidi="ar-LB"/>
        </w:rPr>
        <w:t>ْ</w:t>
      </w:r>
      <w:r w:rsidR="00A9019A" w:rsidRPr="00282AC9">
        <w:rPr>
          <w:rFonts w:hint="cs"/>
          <w:sz w:val="27"/>
          <w:rtl/>
          <w:lang w:bidi="ar-LB"/>
        </w:rPr>
        <w:t>ح العقلي</w:t>
      </w:r>
      <w:r w:rsidR="001E264E" w:rsidRPr="00282AC9">
        <w:rPr>
          <w:rFonts w:hint="cs"/>
          <w:sz w:val="27"/>
          <w:rtl/>
          <w:lang w:bidi="ar-LB"/>
        </w:rPr>
        <w:t>ّ</w:t>
      </w:r>
      <w:r w:rsidR="00A9019A" w:rsidRPr="00282AC9">
        <w:rPr>
          <w:rFonts w:hint="cs"/>
          <w:sz w:val="27"/>
          <w:rtl/>
          <w:lang w:bidi="ar-LB"/>
        </w:rPr>
        <w:t xml:space="preserve">ين وبين الإرادة والكراهة، وأخرى على </w:t>
      </w:r>
      <w:r w:rsidR="001E264E" w:rsidRPr="00282AC9">
        <w:rPr>
          <w:rFonts w:hint="cs"/>
          <w:sz w:val="27"/>
          <w:rtl/>
          <w:lang w:bidi="ar-LB"/>
        </w:rPr>
        <w:t>الملازمة بينهما وبين البعث والز</w:t>
      </w:r>
      <w:r w:rsidR="00A9019A" w:rsidRPr="00282AC9">
        <w:rPr>
          <w:rFonts w:hint="cs"/>
          <w:sz w:val="27"/>
          <w:rtl/>
          <w:lang w:bidi="ar-LB"/>
        </w:rPr>
        <w:t>جر، أو الخطاب ح</w:t>
      </w:r>
      <w:r w:rsidR="001E264E" w:rsidRPr="00282AC9">
        <w:rPr>
          <w:rFonts w:hint="cs"/>
          <w:sz w:val="27"/>
          <w:rtl/>
          <w:lang w:bidi="ar-LB"/>
        </w:rPr>
        <w:t>َ</w:t>
      </w:r>
      <w:r w:rsidR="00A9019A" w:rsidRPr="00282AC9">
        <w:rPr>
          <w:rFonts w:hint="cs"/>
          <w:sz w:val="27"/>
          <w:rtl/>
          <w:lang w:bidi="ar-LB"/>
        </w:rPr>
        <w:t>س</w:t>
      </w:r>
      <w:r w:rsidR="001E264E" w:rsidRPr="00282AC9">
        <w:rPr>
          <w:rFonts w:hint="cs"/>
          <w:sz w:val="27"/>
          <w:rtl/>
          <w:lang w:bidi="ar-LB"/>
        </w:rPr>
        <w:t>ْ</w:t>
      </w:r>
      <w:r w:rsidR="00A9019A" w:rsidRPr="00282AC9">
        <w:rPr>
          <w:rFonts w:hint="cs"/>
          <w:sz w:val="27"/>
          <w:rtl/>
          <w:lang w:bidi="ar-LB"/>
        </w:rPr>
        <w:t>ب تعبير الآخوند</w:t>
      </w:r>
      <w:r w:rsidR="009A2A04" w:rsidRPr="00282AC9">
        <w:rPr>
          <w:rFonts w:cs="Mosawi" w:hint="cs"/>
          <w:sz w:val="22"/>
          <w:szCs w:val="22"/>
          <w:rtl/>
          <w:lang w:bidi="ar-LB"/>
        </w:rPr>
        <w:t>&amp;</w:t>
      </w:r>
      <w:r w:rsidR="001E264E" w:rsidRPr="00282AC9">
        <w:rPr>
          <w:rFonts w:hint="cs"/>
          <w:sz w:val="27"/>
          <w:rtl/>
          <w:lang w:bidi="ar-LB"/>
        </w:rPr>
        <w:t>.</w:t>
      </w:r>
      <w:r w:rsidR="00A9019A" w:rsidRPr="00282AC9">
        <w:rPr>
          <w:rFonts w:hint="cs"/>
          <w:sz w:val="27"/>
          <w:rtl/>
          <w:lang w:bidi="ar-LB"/>
        </w:rPr>
        <w:t xml:space="preserve"> ومن الواضح: أنّ الكلام ه</w:t>
      </w:r>
      <w:r w:rsidR="002748DB" w:rsidRPr="00282AC9">
        <w:rPr>
          <w:rFonts w:hint="cs"/>
          <w:sz w:val="27"/>
          <w:rtl/>
          <w:lang w:bidi="ar-LB"/>
        </w:rPr>
        <w:t>اهنا إن</w:t>
      </w:r>
      <w:r w:rsidR="00A9019A" w:rsidRPr="00282AC9">
        <w:rPr>
          <w:rFonts w:hint="cs"/>
          <w:sz w:val="27"/>
          <w:rtl/>
          <w:lang w:bidi="ar-LB"/>
        </w:rPr>
        <w:t>ما هو في القسم الأو</w:t>
      </w:r>
      <w:r w:rsidR="002748DB" w:rsidRPr="00282AC9">
        <w:rPr>
          <w:rFonts w:hint="cs"/>
          <w:sz w:val="27"/>
          <w:rtl/>
          <w:lang w:bidi="ar-LB"/>
        </w:rPr>
        <w:t>ّ</w:t>
      </w:r>
      <w:r w:rsidR="00A9019A" w:rsidRPr="00282AC9">
        <w:rPr>
          <w:rFonts w:hint="cs"/>
          <w:sz w:val="27"/>
          <w:rtl/>
          <w:lang w:bidi="ar-LB"/>
        </w:rPr>
        <w:t>ل</w:t>
      </w:r>
      <w:r w:rsidR="002748DB" w:rsidRPr="00282AC9">
        <w:rPr>
          <w:rFonts w:hint="cs"/>
          <w:sz w:val="27"/>
          <w:rtl/>
          <w:lang w:bidi="ar-LB"/>
        </w:rPr>
        <w:t>،</w:t>
      </w:r>
      <w:r w:rsidR="00A9019A" w:rsidRPr="00282AC9">
        <w:rPr>
          <w:rFonts w:hint="cs"/>
          <w:sz w:val="27"/>
          <w:rtl/>
          <w:lang w:bidi="ar-LB"/>
        </w:rPr>
        <w:t xml:space="preserve"> كما صرّح بذلك هو نفسه</w:t>
      </w:r>
      <w:r w:rsidR="009A2A04" w:rsidRPr="00282AC9">
        <w:rPr>
          <w:rFonts w:cs="Mosawi" w:hint="cs"/>
          <w:sz w:val="22"/>
          <w:szCs w:val="22"/>
          <w:rtl/>
          <w:lang w:bidi="ar-LB"/>
        </w:rPr>
        <w:t>&amp;</w:t>
      </w:r>
      <w:r w:rsidR="002748DB" w:rsidRPr="00282AC9">
        <w:rPr>
          <w:rFonts w:hint="cs"/>
          <w:sz w:val="27"/>
          <w:rtl/>
          <w:lang w:bidi="ar-LB"/>
        </w:rPr>
        <w:t>،</w:t>
      </w:r>
      <w:r w:rsidR="00A9019A" w:rsidRPr="00282AC9">
        <w:rPr>
          <w:rFonts w:hint="cs"/>
          <w:sz w:val="27"/>
          <w:rtl/>
          <w:lang w:bidi="ar-LB"/>
        </w:rPr>
        <w:t xml:space="preserve"> في تحرير محلّ النزاع</w:t>
      </w:r>
      <w:r w:rsidR="002748DB" w:rsidRPr="00282AC9">
        <w:rPr>
          <w:rFonts w:hint="cs"/>
          <w:sz w:val="27"/>
          <w:rtl/>
          <w:lang w:bidi="ar-LB"/>
        </w:rPr>
        <w:t>،</w:t>
      </w:r>
      <w:r w:rsidR="00A9019A" w:rsidRPr="00282AC9">
        <w:rPr>
          <w:rFonts w:hint="cs"/>
          <w:sz w:val="27"/>
          <w:rtl/>
          <w:lang w:bidi="ar-LB"/>
        </w:rPr>
        <w:t xml:space="preserve"> وفي مطاوي كلماته أيضاً، </w:t>
      </w:r>
      <w:r w:rsidR="00A9019A" w:rsidRPr="00282AC9">
        <w:rPr>
          <w:rFonts w:hint="cs"/>
          <w:sz w:val="27"/>
          <w:rtl/>
          <w:lang w:bidi="ar-LB"/>
        </w:rPr>
        <w:lastRenderedPageBreak/>
        <w:t xml:space="preserve">لكنّه </w:t>
      </w:r>
      <w:r w:rsidR="00A9019A" w:rsidRPr="00282AC9">
        <w:rPr>
          <w:sz w:val="27"/>
          <w:rtl/>
          <w:lang w:bidi="ar-LB"/>
        </w:rPr>
        <w:t>ـ</w:t>
      </w:r>
      <w:r w:rsidR="00A9019A" w:rsidRPr="00282AC9">
        <w:rPr>
          <w:rFonts w:hint="cs"/>
          <w:sz w:val="27"/>
          <w:rtl/>
          <w:lang w:bidi="ar-LB"/>
        </w:rPr>
        <w:t xml:space="preserve"> وللعجب </w:t>
      </w:r>
      <w:r w:rsidR="00A9019A" w:rsidRPr="00282AC9">
        <w:rPr>
          <w:sz w:val="27"/>
          <w:rtl/>
          <w:lang w:bidi="ar-LB"/>
        </w:rPr>
        <w:t>ـ</w:t>
      </w:r>
      <w:r w:rsidR="002748DB" w:rsidRPr="00282AC9">
        <w:rPr>
          <w:rFonts w:hint="cs"/>
          <w:sz w:val="27"/>
          <w:rtl/>
          <w:lang w:bidi="ar-LB"/>
        </w:rPr>
        <w:t xml:space="preserve"> قد ساق</w:t>
      </w:r>
      <w:r w:rsidR="00A9019A" w:rsidRPr="00282AC9">
        <w:rPr>
          <w:rFonts w:hint="cs"/>
          <w:sz w:val="27"/>
          <w:rtl/>
          <w:lang w:bidi="ar-LB"/>
        </w:rPr>
        <w:t xml:space="preserve"> البحث في الفقرة الثالثة من كلامه</w:t>
      </w:r>
      <w:r w:rsidR="005053B3" w:rsidRPr="00282AC9">
        <w:rPr>
          <w:rFonts w:hint="cs"/>
          <w:sz w:val="27"/>
          <w:rtl/>
          <w:lang w:bidi="ar-LB"/>
        </w:rPr>
        <w:t xml:space="preserve"> إلى </w:t>
      </w:r>
      <w:r w:rsidR="00A9019A" w:rsidRPr="00282AC9">
        <w:rPr>
          <w:rFonts w:hint="cs"/>
          <w:sz w:val="27"/>
          <w:rtl/>
          <w:lang w:bidi="ar-LB"/>
        </w:rPr>
        <w:t>البعث</w:t>
      </w:r>
      <w:r w:rsidR="002748DB" w:rsidRPr="00282AC9">
        <w:rPr>
          <w:rFonts w:hint="cs"/>
          <w:sz w:val="27"/>
          <w:rtl/>
          <w:lang w:bidi="ar-LB"/>
        </w:rPr>
        <w:t xml:space="preserve"> والز</w:t>
      </w:r>
      <w:r w:rsidR="00A9019A" w:rsidRPr="00282AC9">
        <w:rPr>
          <w:rFonts w:hint="cs"/>
          <w:sz w:val="27"/>
          <w:rtl/>
          <w:lang w:bidi="ar-LB"/>
        </w:rPr>
        <w:t>جر، فذكر أنّ المصلحة في المتعل</w:t>
      </w:r>
      <w:r w:rsidR="002748DB" w:rsidRPr="00282AC9">
        <w:rPr>
          <w:rFonts w:hint="cs"/>
          <w:sz w:val="27"/>
          <w:rtl/>
          <w:lang w:bidi="ar-LB"/>
        </w:rPr>
        <w:t>َّق لا تكفي بنفسها للبعث والز</w:t>
      </w:r>
      <w:r w:rsidR="00A9019A" w:rsidRPr="00282AC9">
        <w:rPr>
          <w:rFonts w:hint="cs"/>
          <w:sz w:val="27"/>
          <w:rtl/>
          <w:lang w:bidi="ar-LB"/>
        </w:rPr>
        <w:t>جر؛ لاحتمال وجود المانع، مع أنّ الكلام إنما هو في الإرادة والكراهة</w:t>
      </w:r>
      <w:r w:rsidR="002748DB" w:rsidRPr="00282AC9">
        <w:rPr>
          <w:rFonts w:hint="cs"/>
          <w:sz w:val="27"/>
          <w:rtl/>
          <w:lang w:bidi="ar-LB"/>
        </w:rPr>
        <w:t>.</w:t>
      </w:r>
      <w:r w:rsidR="00A9019A" w:rsidRPr="00282AC9">
        <w:rPr>
          <w:rFonts w:hint="cs"/>
          <w:sz w:val="27"/>
          <w:rtl/>
          <w:lang w:bidi="ar-LB"/>
        </w:rPr>
        <w:t xml:space="preserve"> ولا وجه للخلط بين المسألتين.</w:t>
      </w:r>
    </w:p>
    <w:p w:rsidR="00A9019A" w:rsidRPr="00282AC9" w:rsidRDefault="00A9019A" w:rsidP="00B16272">
      <w:pPr>
        <w:tabs>
          <w:tab w:val="right" w:pos="6930"/>
        </w:tabs>
        <w:suppressAutoHyphens/>
        <w:rPr>
          <w:sz w:val="27"/>
          <w:rtl/>
          <w:lang w:bidi="ar-LB"/>
        </w:rPr>
      </w:pPr>
      <w:r w:rsidRPr="00282AC9">
        <w:rPr>
          <w:rFonts w:hint="cs"/>
          <w:sz w:val="27"/>
          <w:rtl/>
          <w:lang w:bidi="ar-LB"/>
        </w:rPr>
        <w:t>توضيح ذلك:</w:t>
      </w:r>
      <w:r w:rsidR="002748DB" w:rsidRPr="00282AC9">
        <w:rPr>
          <w:rFonts w:hint="cs"/>
          <w:sz w:val="27"/>
          <w:rtl/>
          <w:lang w:bidi="ar-LB"/>
        </w:rPr>
        <w:t xml:space="preserve"> إ</w:t>
      </w:r>
      <w:r w:rsidRPr="00282AC9">
        <w:rPr>
          <w:rFonts w:hint="cs"/>
          <w:sz w:val="27"/>
          <w:rtl/>
          <w:lang w:bidi="ar-LB"/>
        </w:rPr>
        <w:t>نّ الإرادة وإن</w:t>
      </w:r>
      <w:r w:rsidR="002748DB" w:rsidRPr="00282AC9">
        <w:rPr>
          <w:rFonts w:hint="cs"/>
          <w:sz w:val="27"/>
          <w:rtl/>
          <w:lang w:bidi="ar-LB"/>
        </w:rPr>
        <w:t>ْ</w:t>
      </w:r>
      <w:r w:rsidRPr="00282AC9">
        <w:rPr>
          <w:rFonts w:hint="cs"/>
          <w:sz w:val="27"/>
          <w:rtl/>
          <w:lang w:bidi="ar-LB"/>
        </w:rPr>
        <w:t xml:space="preserve"> كانت من الأفعال النفسانية، إلاّ أنّها ليست فعلاً خارجي</w:t>
      </w:r>
      <w:r w:rsidR="002748DB" w:rsidRPr="00282AC9">
        <w:rPr>
          <w:rFonts w:hint="cs"/>
          <w:sz w:val="27"/>
          <w:rtl/>
          <w:lang w:bidi="ar-LB"/>
        </w:rPr>
        <w:t>ّ</w:t>
      </w:r>
      <w:r w:rsidRPr="00282AC9">
        <w:rPr>
          <w:rFonts w:hint="cs"/>
          <w:sz w:val="27"/>
          <w:rtl/>
          <w:lang w:bidi="ar-LB"/>
        </w:rPr>
        <w:t>اً تابعاً لأغراض</w:t>
      </w:r>
      <w:r w:rsidR="002748DB" w:rsidRPr="00282AC9">
        <w:rPr>
          <w:rFonts w:hint="cs"/>
          <w:sz w:val="27"/>
          <w:rtl/>
          <w:lang w:bidi="ar-LB"/>
        </w:rPr>
        <w:t>ٍ</w:t>
      </w:r>
      <w:r w:rsidRPr="00282AC9">
        <w:rPr>
          <w:rFonts w:hint="cs"/>
          <w:sz w:val="27"/>
          <w:rtl/>
          <w:lang w:bidi="ar-LB"/>
        </w:rPr>
        <w:t xml:space="preserve"> مستقل</w:t>
      </w:r>
      <w:r w:rsidR="002748DB" w:rsidRPr="00282AC9">
        <w:rPr>
          <w:rFonts w:hint="cs"/>
          <w:sz w:val="27"/>
          <w:rtl/>
          <w:lang w:bidi="ar-LB"/>
        </w:rPr>
        <w:t>ّ</w:t>
      </w:r>
      <w:r w:rsidRPr="00282AC9">
        <w:rPr>
          <w:rFonts w:hint="cs"/>
          <w:sz w:val="27"/>
          <w:rtl/>
          <w:lang w:bidi="ar-LB"/>
        </w:rPr>
        <w:t>ة، ولا يعقل التفكيك بين ملاك المراد وملاك الإرادة، بل هي تابعة</w:t>
      </w:r>
      <w:r w:rsidR="002748DB" w:rsidRPr="00282AC9">
        <w:rPr>
          <w:rFonts w:hint="cs"/>
          <w:sz w:val="27"/>
          <w:rtl/>
          <w:lang w:bidi="ar-LB"/>
        </w:rPr>
        <w:t>ٌ</w:t>
      </w:r>
      <w:r w:rsidRPr="00282AC9">
        <w:rPr>
          <w:rFonts w:hint="cs"/>
          <w:sz w:val="27"/>
          <w:rtl/>
          <w:lang w:bidi="ar-LB"/>
        </w:rPr>
        <w:t xml:space="preserve"> للمراد ت</w:t>
      </w:r>
      <w:r w:rsidR="002748DB" w:rsidRPr="00282AC9">
        <w:rPr>
          <w:rFonts w:hint="cs"/>
          <w:sz w:val="27"/>
          <w:rtl/>
          <w:lang w:bidi="ar-LB"/>
        </w:rPr>
        <w:t>َ</w:t>
      </w:r>
      <w:r w:rsidRPr="00282AC9">
        <w:rPr>
          <w:rFonts w:hint="cs"/>
          <w:sz w:val="27"/>
          <w:rtl/>
          <w:lang w:bidi="ar-LB"/>
        </w:rPr>
        <w:t>ب</w:t>
      </w:r>
      <w:r w:rsidR="002748DB" w:rsidRPr="00282AC9">
        <w:rPr>
          <w:rFonts w:hint="cs"/>
          <w:sz w:val="27"/>
          <w:rtl/>
          <w:lang w:bidi="ar-LB"/>
        </w:rPr>
        <w:t>َ</w:t>
      </w:r>
      <w:r w:rsidRPr="00282AC9">
        <w:rPr>
          <w:rFonts w:hint="cs"/>
          <w:sz w:val="27"/>
          <w:rtl/>
          <w:lang w:bidi="ar-LB"/>
        </w:rPr>
        <w:t>عيّة المعنى الحرفي للمعن</w:t>
      </w:r>
      <w:r w:rsidR="002748DB" w:rsidRPr="00282AC9">
        <w:rPr>
          <w:rFonts w:hint="cs"/>
          <w:sz w:val="27"/>
          <w:rtl/>
          <w:lang w:bidi="ar-LB"/>
        </w:rPr>
        <w:t>ى الاسميّ، وهذا بخلاف البعث والز</w:t>
      </w:r>
      <w:r w:rsidRPr="00282AC9">
        <w:rPr>
          <w:rFonts w:hint="cs"/>
          <w:sz w:val="27"/>
          <w:rtl/>
          <w:lang w:bidi="ar-LB"/>
        </w:rPr>
        <w:t>جر؛ فإنّهما فعلان خارجي</w:t>
      </w:r>
      <w:r w:rsidR="002748DB" w:rsidRPr="00282AC9">
        <w:rPr>
          <w:rFonts w:hint="cs"/>
          <w:sz w:val="27"/>
          <w:rtl/>
          <w:lang w:bidi="ar-LB"/>
        </w:rPr>
        <w:t>ّ</w:t>
      </w:r>
      <w:r w:rsidRPr="00282AC9">
        <w:rPr>
          <w:rFonts w:hint="cs"/>
          <w:sz w:val="27"/>
          <w:rtl/>
          <w:lang w:bidi="ar-LB"/>
        </w:rPr>
        <w:t>ان تابعان لأغراض</w:t>
      </w:r>
      <w:r w:rsidR="002748DB" w:rsidRPr="00282AC9">
        <w:rPr>
          <w:rFonts w:hint="cs"/>
          <w:sz w:val="27"/>
          <w:rtl/>
          <w:lang w:bidi="ar-LB"/>
        </w:rPr>
        <w:t>ٍ</w:t>
      </w:r>
      <w:r w:rsidRPr="00282AC9">
        <w:rPr>
          <w:rFonts w:hint="cs"/>
          <w:sz w:val="27"/>
          <w:rtl/>
          <w:lang w:bidi="ar-LB"/>
        </w:rPr>
        <w:t xml:space="preserve"> خاص</w:t>
      </w:r>
      <w:r w:rsidR="002748DB" w:rsidRPr="00282AC9">
        <w:rPr>
          <w:rFonts w:hint="cs"/>
          <w:sz w:val="27"/>
          <w:rtl/>
          <w:lang w:bidi="ar-LB"/>
        </w:rPr>
        <w:t>ّ</w:t>
      </w:r>
      <w:r w:rsidRPr="00282AC9">
        <w:rPr>
          <w:rFonts w:hint="cs"/>
          <w:sz w:val="27"/>
          <w:rtl/>
          <w:lang w:bidi="ar-LB"/>
        </w:rPr>
        <w:t>ة بهما، فقد يتوف</w:t>
      </w:r>
      <w:r w:rsidR="002748DB" w:rsidRPr="00282AC9">
        <w:rPr>
          <w:rFonts w:hint="cs"/>
          <w:sz w:val="27"/>
          <w:rtl/>
          <w:lang w:bidi="ar-LB"/>
        </w:rPr>
        <w:t>َّ</w:t>
      </w:r>
      <w:r w:rsidRPr="00282AC9">
        <w:rPr>
          <w:rFonts w:hint="cs"/>
          <w:sz w:val="27"/>
          <w:rtl/>
          <w:lang w:bidi="ar-LB"/>
        </w:rPr>
        <w:t>ر الملاك في فعل</w:t>
      </w:r>
      <w:r w:rsidR="002748DB" w:rsidRPr="00282AC9">
        <w:rPr>
          <w:rFonts w:hint="cs"/>
          <w:sz w:val="27"/>
          <w:rtl/>
          <w:lang w:bidi="ar-LB"/>
        </w:rPr>
        <w:t>ٍ</w:t>
      </w:r>
      <w:r w:rsidRPr="00282AC9">
        <w:rPr>
          <w:rFonts w:hint="cs"/>
          <w:sz w:val="27"/>
          <w:rtl/>
          <w:lang w:bidi="ar-LB"/>
        </w:rPr>
        <w:t xml:space="preserve"> ولا يتوفّ</w:t>
      </w:r>
      <w:r w:rsidR="002748DB" w:rsidRPr="00282AC9">
        <w:rPr>
          <w:rFonts w:hint="cs"/>
          <w:sz w:val="27"/>
          <w:rtl/>
          <w:lang w:bidi="ar-LB"/>
        </w:rPr>
        <w:t>َر في البعث إليه أو الز</w:t>
      </w:r>
      <w:r w:rsidRPr="00282AC9">
        <w:rPr>
          <w:rFonts w:hint="cs"/>
          <w:sz w:val="27"/>
          <w:rtl/>
          <w:lang w:bidi="ar-LB"/>
        </w:rPr>
        <w:t>جر عنه.</w:t>
      </w:r>
    </w:p>
    <w:p w:rsidR="00A9019A" w:rsidRPr="00282AC9" w:rsidRDefault="00A9019A" w:rsidP="00B16272">
      <w:pPr>
        <w:tabs>
          <w:tab w:val="right" w:pos="6930"/>
        </w:tabs>
        <w:suppressAutoHyphens/>
        <w:rPr>
          <w:sz w:val="27"/>
          <w:rtl/>
          <w:lang w:bidi="ar-LB"/>
        </w:rPr>
      </w:pPr>
      <w:r w:rsidRPr="00282AC9">
        <w:rPr>
          <w:rFonts w:hint="cs"/>
          <w:sz w:val="27"/>
          <w:rtl/>
          <w:lang w:bidi="ar-LB"/>
        </w:rPr>
        <w:t>والمحصّ</w:t>
      </w:r>
      <w:r w:rsidR="002748DB" w:rsidRPr="00282AC9">
        <w:rPr>
          <w:rFonts w:hint="cs"/>
          <w:sz w:val="27"/>
          <w:rtl/>
          <w:lang w:bidi="ar-LB"/>
        </w:rPr>
        <w:t>َ</w:t>
      </w:r>
      <w:r w:rsidRPr="00282AC9">
        <w:rPr>
          <w:rFonts w:hint="cs"/>
          <w:sz w:val="27"/>
          <w:rtl/>
          <w:lang w:bidi="ar-LB"/>
        </w:rPr>
        <w:t>ل:</w:t>
      </w:r>
    </w:p>
    <w:p w:rsidR="00A9019A" w:rsidRPr="00282AC9" w:rsidRDefault="00A9019A" w:rsidP="00B16272">
      <w:pPr>
        <w:tabs>
          <w:tab w:val="right" w:pos="6930"/>
        </w:tabs>
        <w:suppressAutoHyphens/>
        <w:rPr>
          <w:sz w:val="27"/>
          <w:rtl/>
          <w:lang w:bidi="ar-LB"/>
        </w:rPr>
      </w:pPr>
      <w:r w:rsidRPr="00282AC9">
        <w:rPr>
          <w:rFonts w:hint="cs"/>
          <w:b/>
          <w:bCs/>
          <w:sz w:val="27"/>
          <w:rtl/>
          <w:lang w:bidi="ar-LB"/>
        </w:rPr>
        <w:t>أو</w:t>
      </w:r>
      <w:r w:rsidR="002748DB" w:rsidRPr="00282AC9">
        <w:rPr>
          <w:rFonts w:hint="cs"/>
          <w:b/>
          <w:bCs/>
          <w:sz w:val="27"/>
          <w:rtl/>
          <w:lang w:bidi="ar-LB"/>
        </w:rPr>
        <w:t>ّ</w:t>
      </w:r>
      <w:r w:rsidRPr="00282AC9">
        <w:rPr>
          <w:rFonts w:hint="cs"/>
          <w:b/>
          <w:bCs/>
          <w:sz w:val="27"/>
          <w:rtl/>
          <w:lang w:bidi="ar-LB"/>
        </w:rPr>
        <w:t>لاً</w:t>
      </w:r>
      <w:r w:rsidRPr="00282AC9">
        <w:rPr>
          <w:rFonts w:hint="cs"/>
          <w:sz w:val="27"/>
          <w:rtl/>
          <w:lang w:bidi="ar-LB"/>
        </w:rPr>
        <w:t xml:space="preserve">: </w:t>
      </w:r>
      <w:r w:rsidR="002748DB" w:rsidRPr="00282AC9">
        <w:rPr>
          <w:rFonts w:hint="cs"/>
          <w:sz w:val="27"/>
          <w:rtl/>
          <w:lang w:bidi="ar-LB"/>
        </w:rPr>
        <w:t>إ</w:t>
      </w:r>
      <w:r w:rsidRPr="00282AC9">
        <w:rPr>
          <w:rFonts w:hint="cs"/>
          <w:sz w:val="27"/>
          <w:rtl/>
          <w:lang w:bidi="ar-LB"/>
        </w:rPr>
        <w:t>ن الكلام إنّما هو في المصالح والمفاسد بعد مرحلة الكسر والانكسار</w:t>
      </w:r>
      <w:r w:rsidR="00232815" w:rsidRPr="00282AC9">
        <w:rPr>
          <w:rFonts w:hint="cs"/>
          <w:sz w:val="27"/>
          <w:rtl/>
          <w:lang w:bidi="ar-LB"/>
        </w:rPr>
        <w:t>،</w:t>
      </w:r>
      <w:r w:rsidRPr="00282AC9">
        <w:rPr>
          <w:rFonts w:hint="cs"/>
          <w:sz w:val="27"/>
          <w:rtl/>
          <w:lang w:bidi="ar-LB"/>
        </w:rPr>
        <w:t xml:space="preserve"> وتقديم الأهم</w:t>
      </w:r>
      <w:r w:rsidR="00232815" w:rsidRPr="00282AC9">
        <w:rPr>
          <w:rFonts w:hint="cs"/>
          <w:sz w:val="27"/>
          <w:rtl/>
          <w:lang w:bidi="ar-LB"/>
        </w:rPr>
        <w:t>ّ</w:t>
      </w:r>
      <w:r w:rsidRPr="00282AC9">
        <w:rPr>
          <w:rFonts w:hint="cs"/>
          <w:sz w:val="27"/>
          <w:rtl/>
          <w:lang w:bidi="ar-LB"/>
        </w:rPr>
        <w:t xml:space="preserve"> على المهم</w:t>
      </w:r>
      <w:r w:rsidR="00232815" w:rsidRPr="00282AC9">
        <w:rPr>
          <w:rFonts w:hint="cs"/>
          <w:sz w:val="27"/>
          <w:rtl/>
          <w:lang w:bidi="ar-LB"/>
        </w:rPr>
        <w:t>ّ</w:t>
      </w:r>
      <w:r w:rsidRPr="00282AC9">
        <w:rPr>
          <w:rFonts w:hint="cs"/>
          <w:sz w:val="27"/>
          <w:rtl/>
          <w:lang w:bidi="ar-LB"/>
        </w:rPr>
        <w:t>، فلا تتمّ النقوض المذكورة.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وثانياً</w:t>
      </w:r>
      <w:r w:rsidRPr="00282AC9">
        <w:rPr>
          <w:rFonts w:hint="cs"/>
          <w:sz w:val="27"/>
          <w:rtl/>
          <w:lang w:bidi="ar-LB"/>
        </w:rPr>
        <w:t xml:space="preserve">: </w:t>
      </w:r>
      <w:r w:rsidR="00232815" w:rsidRPr="00282AC9">
        <w:rPr>
          <w:rFonts w:hint="cs"/>
          <w:sz w:val="27"/>
          <w:rtl/>
          <w:lang w:bidi="ar-LB"/>
        </w:rPr>
        <w:t>إ</w:t>
      </w:r>
      <w:r w:rsidRPr="00282AC9">
        <w:rPr>
          <w:rFonts w:hint="cs"/>
          <w:sz w:val="27"/>
          <w:rtl/>
          <w:lang w:bidi="ar-LB"/>
        </w:rPr>
        <w:t>نّه لو افترضنا تمامي</w:t>
      </w:r>
      <w:r w:rsidR="00232815" w:rsidRPr="00282AC9">
        <w:rPr>
          <w:rFonts w:hint="cs"/>
          <w:sz w:val="27"/>
          <w:rtl/>
          <w:lang w:bidi="ar-LB"/>
        </w:rPr>
        <w:t>ّ</w:t>
      </w:r>
      <w:r w:rsidRPr="00282AC9">
        <w:rPr>
          <w:rFonts w:hint="cs"/>
          <w:sz w:val="27"/>
          <w:rtl/>
          <w:lang w:bidi="ar-LB"/>
        </w:rPr>
        <w:t>تها فسوف لا يثبت لها شيء</w:t>
      </w:r>
      <w:r w:rsidR="00232815" w:rsidRPr="00282AC9">
        <w:rPr>
          <w:rFonts w:hint="cs"/>
          <w:sz w:val="27"/>
          <w:rtl/>
          <w:lang w:bidi="ar-LB"/>
        </w:rPr>
        <w:t>ٌ</w:t>
      </w:r>
      <w:r w:rsidRPr="00282AC9">
        <w:rPr>
          <w:rFonts w:hint="cs"/>
          <w:sz w:val="27"/>
          <w:rtl/>
          <w:lang w:bidi="ar-LB"/>
        </w:rPr>
        <w:t xml:space="preserve"> أكثر من عدم الملازمة بين الح</w:t>
      </w:r>
      <w:r w:rsidR="00232815" w:rsidRPr="00282AC9">
        <w:rPr>
          <w:rFonts w:hint="cs"/>
          <w:sz w:val="27"/>
          <w:rtl/>
          <w:lang w:bidi="ar-LB"/>
        </w:rPr>
        <w:t>ُ</w:t>
      </w:r>
      <w:r w:rsidRPr="00282AC9">
        <w:rPr>
          <w:rFonts w:hint="cs"/>
          <w:sz w:val="27"/>
          <w:rtl/>
          <w:lang w:bidi="ar-LB"/>
        </w:rPr>
        <w:t>س</w:t>
      </w:r>
      <w:r w:rsidR="00232815" w:rsidRPr="00282AC9">
        <w:rPr>
          <w:rFonts w:hint="cs"/>
          <w:sz w:val="27"/>
          <w:rtl/>
          <w:lang w:bidi="ar-LB"/>
        </w:rPr>
        <w:t>ْ</w:t>
      </w:r>
      <w:r w:rsidRPr="00282AC9">
        <w:rPr>
          <w:rFonts w:hint="cs"/>
          <w:sz w:val="27"/>
          <w:rtl/>
          <w:lang w:bidi="ar-LB"/>
        </w:rPr>
        <w:t>ن والق</w:t>
      </w:r>
      <w:r w:rsidR="00232815" w:rsidRPr="00282AC9">
        <w:rPr>
          <w:rFonts w:hint="cs"/>
          <w:sz w:val="27"/>
          <w:rtl/>
          <w:lang w:bidi="ar-LB"/>
        </w:rPr>
        <w:t>ُ</w:t>
      </w:r>
      <w:r w:rsidRPr="00282AC9">
        <w:rPr>
          <w:rFonts w:hint="cs"/>
          <w:sz w:val="27"/>
          <w:rtl/>
          <w:lang w:bidi="ar-LB"/>
        </w:rPr>
        <w:t>ب</w:t>
      </w:r>
      <w:r w:rsidR="00232815" w:rsidRPr="00282AC9">
        <w:rPr>
          <w:rFonts w:hint="cs"/>
          <w:sz w:val="27"/>
          <w:rtl/>
          <w:lang w:bidi="ar-LB"/>
        </w:rPr>
        <w:t>ْ</w:t>
      </w:r>
      <w:r w:rsidRPr="00282AC9">
        <w:rPr>
          <w:rFonts w:hint="cs"/>
          <w:sz w:val="27"/>
          <w:rtl/>
          <w:lang w:bidi="ar-LB"/>
        </w:rPr>
        <w:t>ح وبين البعث والزجر، وأمّا الإرادة والكراهة</w:t>
      </w:r>
      <w:r w:rsidR="00232815" w:rsidRPr="00282AC9">
        <w:rPr>
          <w:rFonts w:hint="cs"/>
          <w:sz w:val="27"/>
          <w:rtl/>
          <w:lang w:bidi="ar-LB"/>
        </w:rPr>
        <w:t>،</w:t>
      </w:r>
      <w:r w:rsidRPr="00282AC9">
        <w:rPr>
          <w:rFonts w:hint="cs"/>
          <w:sz w:val="27"/>
          <w:rtl/>
          <w:lang w:bidi="ar-LB"/>
        </w:rPr>
        <w:t xml:space="preserve"> اللتان هما حقيقة الحكم وروحه</w:t>
      </w:r>
      <w:r w:rsidR="009E1D42" w:rsidRPr="00282AC9">
        <w:rPr>
          <w:rFonts w:hint="cs"/>
          <w:sz w:val="27"/>
          <w:rtl/>
          <w:lang w:bidi="ar-LB"/>
        </w:rPr>
        <w:t>،</w:t>
      </w:r>
      <w:r w:rsidRPr="00282AC9">
        <w:rPr>
          <w:rFonts w:hint="cs"/>
          <w:sz w:val="27"/>
          <w:rtl/>
          <w:lang w:bidi="ar-LB"/>
        </w:rPr>
        <w:t xml:space="preserve"> والبحث منصب</w:t>
      </w:r>
      <w:r w:rsidR="009E1D42" w:rsidRPr="00282AC9">
        <w:rPr>
          <w:rFonts w:hint="cs"/>
          <w:sz w:val="27"/>
          <w:rtl/>
          <w:lang w:bidi="ar-LB"/>
        </w:rPr>
        <w:t>ٌّ</w:t>
      </w:r>
      <w:r w:rsidRPr="00282AC9">
        <w:rPr>
          <w:rFonts w:hint="cs"/>
          <w:sz w:val="27"/>
          <w:rtl/>
          <w:lang w:bidi="ar-LB"/>
        </w:rPr>
        <w:t xml:space="preserve"> عليهما</w:t>
      </w:r>
      <w:r w:rsidR="009E1D42" w:rsidRPr="00282AC9">
        <w:rPr>
          <w:rFonts w:hint="cs"/>
          <w:sz w:val="27"/>
          <w:rtl/>
          <w:lang w:bidi="ar-LB"/>
        </w:rPr>
        <w:t>،</w:t>
      </w:r>
      <w:r w:rsidRPr="00282AC9">
        <w:rPr>
          <w:rFonts w:hint="cs"/>
          <w:sz w:val="27"/>
          <w:rtl/>
          <w:lang w:bidi="ar-LB"/>
        </w:rPr>
        <w:t xml:space="preserve"> فلا</w:t>
      </w:r>
      <w:r w:rsidR="009E1D42" w:rsidRPr="00282AC9">
        <w:rPr>
          <w:rFonts w:hint="cs"/>
          <w:sz w:val="27"/>
          <w:rtl/>
          <w:lang w:bidi="ar-LB"/>
        </w:rPr>
        <w:t>،</w:t>
      </w:r>
      <w:r w:rsidRPr="00282AC9">
        <w:rPr>
          <w:rFonts w:hint="cs"/>
          <w:sz w:val="27"/>
          <w:rtl/>
          <w:lang w:bidi="ar-LB"/>
        </w:rPr>
        <w:t xml:space="preserve"> كما تبيّ</w:t>
      </w:r>
      <w:r w:rsidR="009E1D42" w:rsidRPr="00282AC9">
        <w:rPr>
          <w:rFonts w:hint="cs"/>
          <w:sz w:val="27"/>
          <w:rtl/>
          <w:lang w:bidi="ar-LB"/>
        </w:rPr>
        <w:t>َ</w:t>
      </w:r>
      <w:r w:rsidRPr="00282AC9">
        <w:rPr>
          <w:rFonts w:hint="cs"/>
          <w:sz w:val="27"/>
          <w:rtl/>
          <w:lang w:bidi="ar-LB"/>
        </w:rPr>
        <w:t>ن.</w:t>
      </w:r>
    </w:p>
    <w:p w:rsidR="00AB28AD" w:rsidRPr="00282AC9" w:rsidRDefault="00AB28AD" w:rsidP="00765803">
      <w:pPr>
        <w:tabs>
          <w:tab w:val="right" w:pos="6930"/>
        </w:tabs>
        <w:suppressAutoHyphens/>
        <w:spacing w:line="420" w:lineRule="exact"/>
        <w:rPr>
          <w:sz w:val="27"/>
          <w:rtl/>
          <w:lang w:bidi="ar-LB"/>
        </w:rPr>
      </w:pPr>
    </w:p>
    <w:p w:rsidR="00AB28AD" w:rsidRPr="00282AC9" w:rsidRDefault="00AB28AD" w:rsidP="0001578E">
      <w:pPr>
        <w:pStyle w:val="31"/>
        <w:rPr>
          <w:color w:val="auto"/>
          <w:rtl/>
          <w:lang w:bidi="ar-LB"/>
        </w:rPr>
      </w:pPr>
      <w:r w:rsidRPr="00282AC9">
        <w:rPr>
          <w:rFonts w:hint="cs"/>
          <w:color w:val="auto"/>
          <w:rtl/>
          <w:lang w:bidi="ar-LB"/>
        </w:rPr>
        <w:t xml:space="preserve">2ـ </w:t>
      </w:r>
      <w:r w:rsidR="0001578E" w:rsidRPr="00282AC9">
        <w:rPr>
          <w:rFonts w:hint="cs"/>
          <w:color w:val="auto"/>
          <w:rtl/>
          <w:lang w:bidi="ar-LB"/>
        </w:rPr>
        <w:t>خلوّ بعض الوقائع عن الإرادة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الوجه الثاني</w:t>
      </w:r>
      <w:r w:rsidRPr="00282AC9">
        <w:rPr>
          <w:rFonts w:hint="cs"/>
          <w:sz w:val="27"/>
          <w:rtl/>
          <w:lang w:bidi="ar-LB"/>
        </w:rPr>
        <w:t>: أنْ ي</w:t>
      </w:r>
      <w:r w:rsidR="009E1D42" w:rsidRPr="00282AC9">
        <w:rPr>
          <w:rFonts w:hint="cs"/>
          <w:sz w:val="27"/>
          <w:rtl/>
          <w:lang w:bidi="ar-LB"/>
        </w:rPr>
        <w:t>ُقال: إن</w:t>
      </w:r>
      <w:r w:rsidRPr="00282AC9">
        <w:rPr>
          <w:rFonts w:hint="cs"/>
          <w:sz w:val="27"/>
          <w:rtl/>
          <w:lang w:bidi="ar-LB"/>
        </w:rPr>
        <w:t xml:space="preserve"> الحَسَن</w:t>
      </w:r>
      <w:r w:rsidR="009E1D42" w:rsidRPr="00282AC9">
        <w:rPr>
          <w:rFonts w:hint="cs"/>
          <w:sz w:val="27"/>
          <w:rtl/>
          <w:lang w:bidi="ar-LB"/>
        </w:rPr>
        <w:t>،</w:t>
      </w:r>
      <w:r w:rsidRPr="00282AC9">
        <w:rPr>
          <w:rFonts w:hint="cs"/>
          <w:sz w:val="27"/>
          <w:rtl/>
          <w:lang w:bidi="ar-LB"/>
        </w:rPr>
        <w:t xml:space="preserve"> كما قد يكون لزوميّاً</w:t>
      </w:r>
      <w:r w:rsidR="009E1D42" w:rsidRPr="00282AC9">
        <w:rPr>
          <w:rFonts w:hint="cs"/>
          <w:sz w:val="27"/>
          <w:rtl/>
          <w:lang w:bidi="ar-LB"/>
        </w:rPr>
        <w:t>،</w:t>
      </w:r>
      <w:r w:rsidRPr="00282AC9">
        <w:rPr>
          <w:rFonts w:hint="cs"/>
          <w:sz w:val="27"/>
          <w:rtl/>
          <w:lang w:bidi="ar-LB"/>
        </w:rPr>
        <w:t xml:space="preserve"> كذلك قد يكون ندبيّاً غير لزوميّ</w:t>
      </w:r>
      <w:r w:rsidR="009E1D42" w:rsidRPr="00282AC9">
        <w:rPr>
          <w:rFonts w:hint="cs"/>
          <w:sz w:val="27"/>
          <w:rtl/>
          <w:lang w:bidi="ar-LB"/>
        </w:rPr>
        <w:t>ٍ؛</w:t>
      </w:r>
      <w:r w:rsidRPr="00282AC9">
        <w:rPr>
          <w:rFonts w:hint="cs"/>
          <w:sz w:val="27"/>
          <w:rtl/>
          <w:lang w:bidi="ar-LB"/>
        </w:rPr>
        <w:t xml:space="preserve"> وهكذا القبيح</w:t>
      </w:r>
      <w:r w:rsidR="009E1D42" w:rsidRPr="00282AC9">
        <w:rPr>
          <w:rFonts w:hint="cs"/>
          <w:sz w:val="27"/>
          <w:rtl/>
          <w:lang w:bidi="ar-LB"/>
        </w:rPr>
        <w:t>.</w:t>
      </w:r>
      <w:r w:rsidRPr="00282AC9">
        <w:rPr>
          <w:rFonts w:hint="cs"/>
          <w:sz w:val="27"/>
          <w:rtl/>
          <w:lang w:bidi="ar-LB"/>
        </w:rPr>
        <w:t xml:space="preserve"> وهذا بخلاف الإرادة</w:t>
      </w:r>
      <w:r w:rsidR="009E1D42" w:rsidRPr="00282AC9">
        <w:rPr>
          <w:rFonts w:hint="cs"/>
          <w:sz w:val="27"/>
          <w:rtl/>
          <w:lang w:bidi="ar-LB"/>
        </w:rPr>
        <w:t>؛</w:t>
      </w:r>
      <w:r w:rsidRPr="00282AC9">
        <w:rPr>
          <w:rFonts w:hint="cs"/>
          <w:sz w:val="27"/>
          <w:rtl/>
          <w:lang w:bidi="ar-LB"/>
        </w:rPr>
        <w:t xml:space="preserve"> فإنّها لزوميّة</w:t>
      </w:r>
      <w:r w:rsidR="009E1D42" w:rsidRPr="00282AC9">
        <w:rPr>
          <w:rFonts w:hint="cs"/>
          <w:sz w:val="27"/>
          <w:rtl/>
          <w:lang w:bidi="ar-LB"/>
        </w:rPr>
        <w:t>ٌ</w:t>
      </w:r>
      <w:r w:rsidRPr="00282AC9">
        <w:rPr>
          <w:rFonts w:hint="cs"/>
          <w:sz w:val="27"/>
          <w:rtl/>
          <w:lang w:bidi="ar-LB"/>
        </w:rPr>
        <w:t xml:space="preserve"> دائماً فح</w:t>
      </w:r>
      <w:r w:rsidR="009E1D42" w:rsidRPr="00282AC9">
        <w:rPr>
          <w:rFonts w:hint="cs"/>
          <w:sz w:val="27"/>
          <w:rtl/>
          <w:lang w:bidi="ar-LB"/>
        </w:rPr>
        <w:t>َ</w:t>
      </w:r>
      <w:r w:rsidRPr="00282AC9">
        <w:rPr>
          <w:rFonts w:hint="cs"/>
          <w:sz w:val="27"/>
          <w:rtl/>
          <w:lang w:bidi="ar-LB"/>
        </w:rPr>
        <w:t>س</w:t>
      </w:r>
      <w:r w:rsidR="009E1D42" w:rsidRPr="00282AC9">
        <w:rPr>
          <w:rFonts w:hint="cs"/>
          <w:sz w:val="27"/>
          <w:rtl/>
          <w:lang w:bidi="ar-LB"/>
        </w:rPr>
        <w:t>ْ</w:t>
      </w:r>
      <w:r w:rsidRPr="00282AC9">
        <w:rPr>
          <w:rFonts w:hint="cs"/>
          <w:sz w:val="27"/>
          <w:rtl/>
          <w:lang w:bidi="ar-LB"/>
        </w:rPr>
        <w:t>ب</w:t>
      </w:r>
      <w:r w:rsidR="009E1D42" w:rsidRPr="00282AC9">
        <w:rPr>
          <w:rFonts w:hint="cs"/>
          <w:sz w:val="27"/>
          <w:rtl/>
          <w:lang w:bidi="ar-LB"/>
        </w:rPr>
        <w:t>.</w:t>
      </w:r>
      <w:r w:rsidRPr="00282AC9">
        <w:rPr>
          <w:rFonts w:hint="cs"/>
          <w:sz w:val="27"/>
          <w:rtl/>
          <w:lang w:bidi="ar-LB"/>
        </w:rPr>
        <w:t xml:space="preserve"> ومن الواضح أنّ الح</w:t>
      </w:r>
      <w:r w:rsidR="009E1D42" w:rsidRPr="00282AC9">
        <w:rPr>
          <w:rFonts w:hint="cs"/>
          <w:sz w:val="27"/>
          <w:rtl/>
          <w:lang w:bidi="ar-LB"/>
        </w:rPr>
        <w:t>َ</w:t>
      </w:r>
      <w:r w:rsidRPr="00282AC9">
        <w:rPr>
          <w:rFonts w:hint="cs"/>
          <w:sz w:val="27"/>
          <w:rtl/>
          <w:lang w:bidi="ar-LB"/>
        </w:rPr>
        <w:t>س</w:t>
      </w:r>
      <w:r w:rsidR="009E1D42" w:rsidRPr="00282AC9">
        <w:rPr>
          <w:rFonts w:hint="cs"/>
          <w:sz w:val="27"/>
          <w:rtl/>
          <w:lang w:bidi="ar-LB"/>
        </w:rPr>
        <w:t>َ</w:t>
      </w:r>
      <w:r w:rsidRPr="00282AC9">
        <w:rPr>
          <w:rFonts w:hint="cs"/>
          <w:sz w:val="27"/>
          <w:rtl/>
          <w:lang w:bidi="ar-LB"/>
        </w:rPr>
        <w:t>ن غير اللزومي</w:t>
      </w:r>
      <w:r w:rsidR="009E1D42" w:rsidRPr="00282AC9">
        <w:rPr>
          <w:rFonts w:hint="cs"/>
          <w:sz w:val="27"/>
          <w:rtl/>
          <w:lang w:bidi="ar-LB"/>
        </w:rPr>
        <w:t>ّ</w:t>
      </w:r>
      <w:r w:rsidRPr="00282AC9">
        <w:rPr>
          <w:rFonts w:hint="cs"/>
          <w:sz w:val="27"/>
          <w:rtl/>
          <w:lang w:bidi="ar-LB"/>
        </w:rPr>
        <w:t xml:space="preserve"> لا يصلح لأن تنقدح منه الإرادة اللزوميّة في نفس الآمر، ف</w:t>
      </w:r>
      <w:r w:rsidR="00674EF5" w:rsidRPr="00282AC9">
        <w:rPr>
          <w:rFonts w:hint="cs"/>
          <w:sz w:val="27"/>
          <w:rtl/>
          <w:lang w:bidi="ar-LB"/>
        </w:rPr>
        <w:t>لا بُدَّ</w:t>
      </w:r>
      <w:r w:rsidRPr="00282AC9">
        <w:rPr>
          <w:rFonts w:hint="cs"/>
          <w:sz w:val="27"/>
          <w:rtl/>
          <w:lang w:bidi="ar-LB"/>
        </w:rPr>
        <w:t xml:space="preserve"> من خلوّ بعض الوقائع عن الإرادة.</w:t>
      </w:r>
    </w:p>
    <w:p w:rsidR="00A9019A" w:rsidRPr="00282AC9" w:rsidRDefault="00A9019A" w:rsidP="00B16272">
      <w:pPr>
        <w:tabs>
          <w:tab w:val="right" w:pos="6930"/>
        </w:tabs>
        <w:suppressAutoHyphens/>
        <w:rPr>
          <w:sz w:val="27"/>
          <w:rtl/>
          <w:lang w:bidi="ar-LB"/>
        </w:rPr>
      </w:pPr>
      <w:r w:rsidRPr="00282AC9">
        <w:rPr>
          <w:rFonts w:hint="cs"/>
          <w:sz w:val="27"/>
          <w:rtl/>
          <w:lang w:bidi="ar-LB"/>
        </w:rPr>
        <w:t xml:space="preserve">وتوضيح ذلك: </w:t>
      </w:r>
      <w:r w:rsidR="00BF1808" w:rsidRPr="00282AC9">
        <w:rPr>
          <w:rFonts w:hint="cs"/>
          <w:sz w:val="27"/>
          <w:rtl/>
          <w:lang w:bidi="ar-LB"/>
        </w:rPr>
        <w:t>إن</w:t>
      </w:r>
      <w:r w:rsidRPr="00282AC9">
        <w:rPr>
          <w:rFonts w:hint="cs"/>
          <w:sz w:val="27"/>
          <w:rtl/>
          <w:lang w:bidi="ar-LB"/>
        </w:rPr>
        <w:t xml:space="preserve"> الإرادة التشريعية موازنة</w:t>
      </w:r>
      <w:r w:rsidR="00BF1808" w:rsidRPr="00282AC9">
        <w:rPr>
          <w:rFonts w:hint="cs"/>
          <w:sz w:val="27"/>
          <w:rtl/>
          <w:lang w:bidi="ar-LB"/>
        </w:rPr>
        <w:t>ٌ</w:t>
      </w:r>
      <w:r w:rsidRPr="00282AC9">
        <w:rPr>
          <w:rFonts w:hint="cs"/>
          <w:sz w:val="27"/>
          <w:rtl/>
          <w:lang w:bidi="ar-LB"/>
        </w:rPr>
        <w:t xml:space="preserve"> للإرادة التكوينية</w:t>
      </w:r>
      <w:r w:rsidR="00BF1808" w:rsidRPr="00282AC9">
        <w:rPr>
          <w:rFonts w:hint="cs"/>
          <w:sz w:val="27"/>
          <w:rtl/>
          <w:lang w:bidi="ar-LB"/>
        </w:rPr>
        <w:t>.</w:t>
      </w:r>
      <w:r w:rsidRPr="00282AC9">
        <w:rPr>
          <w:rFonts w:hint="cs"/>
          <w:sz w:val="27"/>
          <w:rtl/>
          <w:lang w:bidi="ar-LB"/>
        </w:rPr>
        <w:t xml:space="preserve"> والفارق بينهما أمران: </w:t>
      </w:r>
    </w:p>
    <w:p w:rsidR="00BF1808" w:rsidRPr="00282AC9" w:rsidRDefault="00A9019A" w:rsidP="00B16272">
      <w:pPr>
        <w:tabs>
          <w:tab w:val="right" w:pos="6930"/>
        </w:tabs>
        <w:suppressAutoHyphens/>
        <w:rPr>
          <w:sz w:val="27"/>
          <w:rtl/>
          <w:lang w:bidi="ar-LB"/>
        </w:rPr>
      </w:pPr>
      <w:r w:rsidRPr="00282AC9">
        <w:rPr>
          <w:rFonts w:hint="cs"/>
          <w:b/>
          <w:bCs/>
          <w:sz w:val="27"/>
          <w:rtl/>
          <w:lang w:bidi="ar-LB"/>
        </w:rPr>
        <w:t>أحدهما</w:t>
      </w:r>
      <w:r w:rsidRPr="00282AC9">
        <w:rPr>
          <w:rFonts w:hint="cs"/>
          <w:sz w:val="27"/>
          <w:rtl/>
          <w:lang w:bidi="ar-LB"/>
        </w:rPr>
        <w:t xml:space="preserve">: </w:t>
      </w:r>
      <w:r w:rsidR="00BF1808" w:rsidRPr="00282AC9">
        <w:rPr>
          <w:rFonts w:hint="cs"/>
          <w:sz w:val="27"/>
          <w:rtl/>
          <w:lang w:bidi="ar-LB"/>
        </w:rPr>
        <w:t>إ</w:t>
      </w:r>
      <w:r w:rsidRPr="00282AC9">
        <w:rPr>
          <w:rFonts w:hint="cs"/>
          <w:sz w:val="27"/>
          <w:rtl/>
          <w:lang w:bidi="ar-LB"/>
        </w:rPr>
        <w:t>نّ الإرادة التكوينية تتعلّ</w:t>
      </w:r>
      <w:r w:rsidR="00BF1808" w:rsidRPr="00282AC9">
        <w:rPr>
          <w:rFonts w:hint="cs"/>
          <w:sz w:val="27"/>
          <w:rtl/>
          <w:lang w:bidi="ar-LB"/>
        </w:rPr>
        <w:t>َق بفعل النفس، والإ</w:t>
      </w:r>
      <w:r w:rsidRPr="00282AC9">
        <w:rPr>
          <w:rFonts w:hint="cs"/>
          <w:sz w:val="27"/>
          <w:rtl/>
          <w:lang w:bidi="ar-LB"/>
        </w:rPr>
        <w:t>رادة التشريعية تتعلّ</w:t>
      </w:r>
      <w:r w:rsidR="00BF1808" w:rsidRPr="00282AC9">
        <w:rPr>
          <w:rFonts w:hint="cs"/>
          <w:sz w:val="27"/>
          <w:rtl/>
          <w:lang w:bidi="ar-LB"/>
        </w:rPr>
        <w:t>َق بفعل الغير.</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والآخر</w:t>
      </w:r>
      <w:r w:rsidR="00BF1808" w:rsidRPr="00282AC9">
        <w:rPr>
          <w:rFonts w:hint="cs"/>
          <w:sz w:val="27"/>
          <w:rtl/>
          <w:lang w:bidi="ar-LB"/>
        </w:rPr>
        <w:t>:</w:t>
      </w:r>
      <w:r w:rsidRPr="00282AC9">
        <w:rPr>
          <w:rFonts w:hint="cs"/>
          <w:sz w:val="27"/>
          <w:rtl/>
          <w:lang w:bidi="ar-LB"/>
        </w:rPr>
        <w:t xml:space="preserve"> كما أنّ الإرادة التكوينية هي الشوق المست</w:t>
      </w:r>
      <w:r w:rsidR="00941BC7" w:rsidRPr="00282AC9">
        <w:rPr>
          <w:rFonts w:hint="cs"/>
          <w:sz w:val="27"/>
          <w:rtl/>
          <w:lang w:bidi="ar-LB"/>
        </w:rPr>
        <w:t>َ</w:t>
      </w:r>
      <w:r w:rsidRPr="00282AC9">
        <w:rPr>
          <w:rFonts w:hint="cs"/>
          <w:sz w:val="27"/>
          <w:rtl/>
          <w:lang w:bidi="ar-LB"/>
        </w:rPr>
        <w:t>ت</w:t>
      </w:r>
      <w:r w:rsidR="00941BC7" w:rsidRPr="00282AC9">
        <w:rPr>
          <w:rFonts w:hint="cs"/>
          <w:sz w:val="27"/>
          <w:rtl/>
          <w:lang w:bidi="ar-LB"/>
        </w:rPr>
        <w:t>ْ</w:t>
      </w:r>
      <w:r w:rsidRPr="00282AC9">
        <w:rPr>
          <w:rFonts w:hint="cs"/>
          <w:sz w:val="27"/>
          <w:rtl/>
          <w:lang w:bidi="ar-LB"/>
        </w:rPr>
        <w:t>ب</w:t>
      </w:r>
      <w:r w:rsidR="00941BC7" w:rsidRPr="00282AC9">
        <w:rPr>
          <w:rFonts w:hint="cs"/>
          <w:sz w:val="27"/>
          <w:rtl/>
          <w:lang w:bidi="ar-LB"/>
        </w:rPr>
        <w:t>ِ</w:t>
      </w:r>
      <w:r w:rsidRPr="00282AC9">
        <w:rPr>
          <w:rFonts w:hint="cs"/>
          <w:sz w:val="27"/>
          <w:rtl/>
          <w:lang w:bidi="ar-LB"/>
        </w:rPr>
        <w:t xml:space="preserve">ع لحركة العضلات نحو المطلوب، </w:t>
      </w:r>
      <w:r w:rsidR="00941BC7" w:rsidRPr="00282AC9">
        <w:rPr>
          <w:rFonts w:hint="cs"/>
          <w:sz w:val="27"/>
          <w:rtl/>
          <w:lang w:bidi="ar-LB"/>
        </w:rPr>
        <w:t>ف</w:t>
      </w:r>
      <w:r w:rsidRPr="00282AC9">
        <w:rPr>
          <w:rFonts w:hint="cs"/>
          <w:sz w:val="27"/>
          <w:rtl/>
          <w:lang w:bidi="ar-LB"/>
        </w:rPr>
        <w:t>كذلك الإرادة التشريعية هي الشوق المست</w:t>
      </w:r>
      <w:r w:rsidR="00941BC7" w:rsidRPr="00282AC9">
        <w:rPr>
          <w:rFonts w:hint="cs"/>
          <w:sz w:val="27"/>
          <w:rtl/>
          <w:lang w:bidi="ar-LB"/>
        </w:rPr>
        <w:t>َ</w:t>
      </w:r>
      <w:r w:rsidRPr="00282AC9">
        <w:rPr>
          <w:rFonts w:hint="cs"/>
          <w:sz w:val="27"/>
          <w:rtl/>
          <w:lang w:bidi="ar-LB"/>
        </w:rPr>
        <w:t>ت</w:t>
      </w:r>
      <w:r w:rsidR="00941BC7" w:rsidRPr="00282AC9">
        <w:rPr>
          <w:rFonts w:hint="cs"/>
          <w:sz w:val="27"/>
          <w:rtl/>
          <w:lang w:bidi="ar-LB"/>
        </w:rPr>
        <w:t>ْ</w:t>
      </w:r>
      <w:r w:rsidRPr="00282AC9">
        <w:rPr>
          <w:rFonts w:hint="cs"/>
          <w:sz w:val="27"/>
          <w:rtl/>
          <w:lang w:bidi="ar-LB"/>
        </w:rPr>
        <w:t>ب</w:t>
      </w:r>
      <w:r w:rsidR="00941BC7" w:rsidRPr="00282AC9">
        <w:rPr>
          <w:rFonts w:hint="cs"/>
          <w:sz w:val="27"/>
          <w:rtl/>
          <w:lang w:bidi="ar-LB"/>
        </w:rPr>
        <w:t>ِ</w:t>
      </w:r>
      <w:r w:rsidRPr="00282AC9">
        <w:rPr>
          <w:rFonts w:hint="cs"/>
          <w:sz w:val="27"/>
          <w:rtl/>
          <w:lang w:bidi="ar-LB"/>
        </w:rPr>
        <w:t xml:space="preserve">ع لحركة العضلات نحو </w:t>
      </w:r>
      <w:r w:rsidRPr="00282AC9">
        <w:rPr>
          <w:rFonts w:hint="cs"/>
          <w:sz w:val="27"/>
          <w:rtl/>
          <w:lang w:bidi="ar-LB"/>
        </w:rPr>
        <w:lastRenderedPageBreak/>
        <w:t>المطلوب، إلاّ أنّ المريد التشريعيّ يستخدم عضلات المخاطب كآلة</w:t>
      </w:r>
      <w:r w:rsidR="00941BC7" w:rsidRPr="00282AC9">
        <w:rPr>
          <w:rFonts w:hint="cs"/>
          <w:sz w:val="27"/>
          <w:rtl/>
          <w:lang w:bidi="ar-LB"/>
        </w:rPr>
        <w:t>ٍ</w:t>
      </w:r>
      <w:r w:rsidRPr="00282AC9">
        <w:rPr>
          <w:rFonts w:hint="cs"/>
          <w:sz w:val="27"/>
          <w:rtl/>
          <w:lang w:bidi="ar-LB"/>
        </w:rPr>
        <w:t xml:space="preserve"> للوصول</w:t>
      </w:r>
      <w:r w:rsidR="005053B3" w:rsidRPr="00282AC9">
        <w:rPr>
          <w:rFonts w:hint="cs"/>
          <w:sz w:val="27"/>
          <w:rtl/>
          <w:lang w:bidi="ar-LB"/>
        </w:rPr>
        <w:t xml:space="preserve"> إلى </w:t>
      </w:r>
      <w:r w:rsidRPr="00282AC9">
        <w:rPr>
          <w:rFonts w:hint="cs"/>
          <w:sz w:val="27"/>
          <w:rtl/>
          <w:lang w:bidi="ar-LB"/>
        </w:rPr>
        <w:t>المطلوب، والمريد التكويني يستخدم عضلات نفسه لذلك</w:t>
      </w:r>
      <w:r w:rsidR="00941BC7" w:rsidRPr="00282AC9">
        <w:rPr>
          <w:rFonts w:hint="cs"/>
          <w:sz w:val="27"/>
          <w:rtl/>
          <w:lang w:bidi="ar-LB"/>
        </w:rPr>
        <w:t>.</w:t>
      </w:r>
      <w:r w:rsidRPr="00282AC9">
        <w:rPr>
          <w:rFonts w:hint="cs"/>
          <w:sz w:val="27"/>
          <w:rtl/>
          <w:lang w:bidi="ar-LB"/>
        </w:rPr>
        <w:t xml:space="preserve"> وهذا القيد، </w:t>
      </w:r>
      <w:r w:rsidR="00941BC7" w:rsidRPr="00282AC9">
        <w:rPr>
          <w:rFonts w:hint="cs"/>
          <w:sz w:val="27"/>
          <w:rtl/>
          <w:lang w:bidi="ar-LB"/>
        </w:rPr>
        <w:t>أي</w:t>
      </w:r>
      <w:r w:rsidRPr="00282AC9">
        <w:rPr>
          <w:rFonts w:hint="cs"/>
          <w:sz w:val="27"/>
          <w:rtl/>
          <w:lang w:bidi="ar-LB"/>
        </w:rPr>
        <w:t xml:space="preserve"> (استتباعها لحركة العضلات)</w:t>
      </w:r>
      <w:r w:rsidR="00941BC7" w:rsidRPr="00282AC9">
        <w:rPr>
          <w:rFonts w:hint="cs"/>
          <w:sz w:val="27"/>
          <w:rtl/>
          <w:lang w:bidi="ar-LB"/>
        </w:rPr>
        <w:t>،</w:t>
      </w:r>
      <w:r w:rsidRPr="00282AC9">
        <w:rPr>
          <w:rFonts w:hint="cs"/>
          <w:sz w:val="27"/>
          <w:rtl/>
          <w:lang w:bidi="ar-LB"/>
        </w:rPr>
        <w:t xml:space="preserve"> فصل</w:t>
      </w:r>
      <w:r w:rsidR="00941BC7" w:rsidRPr="00282AC9">
        <w:rPr>
          <w:rFonts w:hint="cs"/>
          <w:sz w:val="27"/>
          <w:rtl/>
          <w:lang w:bidi="ar-LB"/>
        </w:rPr>
        <w:t>ٌ</w:t>
      </w:r>
      <w:r w:rsidRPr="00282AC9">
        <w:rPr>
          <w:rFonts w:hint="cs"/>
          <w:sz w:val="27"/>
          <w:rtl/>
          <w:lang w:bidi="ar-LB"/>
        </w:rPr>
        <w:t xml:space="preserve"> مقو</w:t>
      </w:r>
      <w:r w:rsidR="00941BC7" w:rsidRPr="00282AC9">
        <w:rPr>
          <w:rFonts w:hint="cs"/>
          <w:sz w:val="27"/>
          <w:rtl/>
          <w:lang w:bidi="ar-LB"/>
        </w:rPr>
        <w:t>ِّ</w:t>
      </w:r>
      <w:r w:rsidRPr="00282AC9">
        <w:rPr>
          <w:rFonts w:hint="cs"/>
          <w:sz w:val="27"/>
          <w:rtl/>
          <w:lang w:bidi="ar-LB"/>
        </w:rPr>
        <w:t>م لحقيقة الإرادة.</w:t>
      </w:r>
    </w:p>
    <w:p w:rsidR="00A9019A" w:rsidRPr="00282AC9" w:rsidRDefault="00A9019A" w:rsidP="00B16272">
      <w:pPr>
        <w:tabs>
          <w:tab w:val="right" w:pos="6930"/>
        </w:tabs>
        <w:suppressAutoHyphens/>
        <w:rPr>
          <w:sz w:val="27"/>
          <w:rtl/>
          <w:lang w:bidi="ar-LB"/>
        </w:rPr>
      </w:pPr>
      <w:r w:rsidRPr="00282AC9">
        <w:rPr>
          <w:rFonts w:hint="cs"/>
          <w:sz w:val="27"/>
          <w:rtl/>
          <w:lang w:bidi="ar-LB"/>
        </w:rPr>
        <w:t>وهذا كلّ</w:t>
      </w:r>
      <w:r w:rsidR="00941BC7" w:rsidRPr="00282AC9">
        <w:rPr>
          <w:rFonts w:hint="cs"/>
          <w:sz w:val="27"/>
          <w:rtl/>
          <w:lang w:bidi="ar-LB"/>
        </w:rPr>
        <w:t>ُ</w:t>
      </w:r>
      <w:r w:rsidRPr="00282AC9">
        <w:rPr>
          <w:rFonts w:hint="cs"/>
          <w:sz w:val="27"/>
          <w:rtl/>
          <w:lang w:bidi="ar-LB"/>
        </w:rPr>
        <w:t>ه يعني أنّه متى ما و</w:t>
      </w:r>
      <w:r w:rsidR="00941BC7" w:rsidRPr="00282AC9">
        <w:rPr>
          <w:rFonts w:hint="cs"/>
          <w:sz w:val="27"/>
          <w:rtl/>
          <w:lang w:bidi="ar-LB"/>
        </w:rPr>
        <w:t>ُ</w:t>
      </w:r>
      <w:r w:rsidRPr="00282AC9">
        <w:rPr>
          <w:rFonts w:hint="cs"/>
          <w:sz w:val="27"/>
          <w:rtl/>
          <w:lang w:bidi="ar-LB"/>
        </w:rPr>
        <w:t>جد</w:t>
      </w:r>
      <w:r w:rsidR="00941BC7" w:rsidRPr="00282AC9">
        <w:rPr>
          <w:rFonts w:hint="cs"/>
          <w:sz w:val="27"/>
          <w:rtl/>
          <w:lang w:bidi="ar-LB"/>
        </w:rPr>
        <w:t>َ</w:t>
      </w:r>
      <w:r w:rsidRPr="00282AC9">
        <w:rPr>
          <w:rFonts w:hint="cs"/>
          <w:sz w:val="27"/>
          <w:rtl/>
          <w:lang w:bidi="ar-LB"/>
        </w:rPr>
        <w:t>ت</w:t>
      </w:r>
      <w:r w:rsidR="00941BC7" w:rsidRPr="00282AC9">
        <w:rPr>
          <w:rFonts w:hint="cs"/>
          <w:sz w:val="27"/>
          <w:rtl/>
          <w:lang w:bidi="ar-LB"/>
        </w:rPr>
        <w:t>ْ</w:t>
      </w:r>
      <w:r w:rsidRPr="00282AC9">
        <w:rPr>
          <w:rFonts w:hint="cs"/>
          <w:sz w:val="27"/>
          <w:rtl/>
          <w:lang w:bidi="ar-LB"/>
        </w:rPr>
        <w:t xml:space="preserve"> إرادة</w:t>
      </w:r>
      <w:r w:rsidR="00941BC7" w:rsidRPr="00282AC9">
        <w:rPr>
          <w:rFonts w:hint="cs"/>
          <w:sz w:val="27"/>
          <w:rtl/>
          <w:lang w:bidi="ar-LB"/>
        </w:rPr>
        <w:t>ٌ</w:t>
      </w:r>
      <w:r w:rsidRPr="00282AC9">
        <w:rPr>
          <w:rFonts w:hint="cs"/>
          <w:sz w:val="27"/>
          <w:rtl/>
          <w:lang w:bidi="ar-LB"/>
        </w:rPr>
        <w:t xml:space="preserve"> تشريعية ف</w:t>
      </w:r>
      <w:r w:rsidR="00674EF5" w:rsidRPr="00282AC9">
        <w:rPr>
          <w:rFonts w:hint="cs"/>
          <w:sz w:val="27"/>
          <w:rtl/>
          <w:lang w:bidi="ar-LB"/>
        </w:rPr>
        <w:t>لا بُدَّ</w:t>
      </w:r>
      <w:r w:rsidRPr="00282AC9">
        <w:rPr>
          <w:rFonts w:hint="cs"/>
          <w:sz w:val="27"/>
          <w:rtl/>
          <w:lang w:bidi="ar-LB"/>
        </w:rPr>
        <w:t xml:space="preserve"> من أن تكون على حدّ</w:t>
      </w:r>
      <w:r w:rsidR="00941BC7" w:rsidRPr="00282AC9">
        <w:rPr>
          <w:rFonts w:hint="cs"/>
          <w:sz w:val="27"/>
          <w:rtl/>
          <w:lang w:bidi="ar-LB"/>
        </w:rPr>
        <w:t>ٍ</w:t>
      </w:r>
      <w:r w:rsidRPr="00282AC9">
        <w:rPr>
          <w:rFonts w:hint="cs"/>
          <w:sz w:val="27"/>
          <w:rtl/>
          <w:lang w:bidi="ar-LB"/>
        </w:rPr>
        <w:t xml:space="preserve"> تستتبع حركة العبد، بمعنى أنّها لو وصلت</w:t>
      </w:r>
      <w:r w:rsidR="005053B3" w:rsidRPr="00282AC9">
        <w:rPr>
          <w:rFonts w:hint="cs"/>
          <w:sz w:val="27"/>
          <w:rtl/>
          <w:lang w:bidi="ar-LB"/>
        </w:rPr>
        <w:t xml:space="preserve"> إلى </w:t>
      </w:r>
      <w:r w:rsidRPr="00282AC9">
        <w:rPr>
          <w:rFonts w:hint="cs"/>
          <w:sz w:val="27"/>
          <w:rtl/>
          <w:lang w:bidi="ar-LB"/>
        </w:rPr>
        <w:t>العبد</w:t>
      </w:r>
      <w:r w:rsidR="00941BC7" w:rsidRPr="00282AC9">
        <w:rPr>
          <w:rFonts w:hint="cs"/>
          <w:sz w:val="27"/>
          <w:rtl/>
          <w:lang w:bidi="ar-LB"/>
        </w:rPr>
        <w:t>،</w:t>
      </w:r>
      <w:r w:rsidRPr="00282AC9">
        <w:rPr>
          <w:rFonts w:hint="cs"/>
          <w:sz w:val="27"/>
          <w:rtl/>
          <w:lang w:bidi="ar-LB"/>
        </w:rPr>
        <w:t xml:space="preserve"> وكان العبد منقاداً لحركته نحو المرا</w:t>
      </w:r>
      <w:r w:rsidR="00941BC7" w:rsidRPr="00282AC9">
        <w:rPr>
          <w:rFonts w:hint="cs"/>
          <w:sz w:val="27"/>
          <w:rtl/>
          <w:lang w:bidi="ar-LB"/>
        </w:rPr>
        <w:t>د، وهذا كما ترى لا يجامع إ</w:t>
      </w:r>
      <w:r w:rsidRPr="00282AC9">
        <w:rPr>
          <w:rFonts w:hint="cs"/>
          <w:sz w:val="27"/>
          <w:rtl/>
          <w:lang w:bidi="ar-LB"/>
        </w:rPr>
        <w:t>لاّ فرض كون الإرادة لزوميّة</w:t>
      </w:r>
      <w:r w:rsidR="00941BC7" w:rsidRPr="00282AC9">
        <w:rPr>
          <w:rFonts w:hint="cs"/>
          <w:sz w:val="27"/>
          <w:rtl/>
          <w:lang w:bidi="ar-LB"/>
        </w:rPr>
        <w:t>ً؛</w:t>
      </w:r>
      <w:r w:rsidRPr="00282AC9">
        <w:rPr>
          <w:rFonts w:hint="cs"/>
          <w:sz w:val="27"/>
          <w:rtl/>
          <w:lang w:bidi="ar-LB"/>
        </w:rPr>
        <w:t xml:space="preserve"> لأنّ الإرادة غير اللزومية لا يشترك فيها البلوغ</w:t>
      </w:r>
      <w:r w:rsidR="005053B3" w:rsidRPr="00282AC9">
        <w:rPr>
          <w:rFonts w:hint="cs"/>
          <w:sz w:val="27"/>
          <w:rtl/>
          <w:lang w:bidi="ar-LB"/>
        </w:rPr>
        <w:t xml:space="preserve"> إلى </w:t>
      </w:r>
      <w:r w:rsidRPr="00282AC9">
        <w:rPr>
          <w:rFonts w:hint="cs"/>
          <w:sz w:val="27"/>
          <w:rtl/>
          <w:lang w:bidi="ar-LB"/>
        </w:rPr>
        <w:t>حدّ الاستتباع المذكور، وإذا كان الأمر كذلك فلا معنى لكون الح</w:t>
      </w:r>
      <w:r w:rsidR="00941BC7" w:rsidRPr="00282AC9">
        <w:rPr>
          <w:rFonts w:hint="cs"/>
          <w:sz w:val="27"/>
          <w:rtl/>
          <w:lang w:bidi="ar-LB"/>
        </w:rPr>
        <w:t>َ</w:t>
      </w:r>
      <w:r w:rsidRPr="00282AC9">
        <w:rPr>
          <w:rFonts w:hint="cs"/>
          <w:sz w:val="27"/>
          <w:rtl/>
          <w:lang w:bidi="ar-LB"/>
        </w:rPr>
        <w:t>س</w:t>
      </w:r>
      <w:r w:rsidR="00941BC7" w:rsidRPr="00282AC9">
        <w:rPr>
          <w:rFonts w:hint="cs"/>
          <w:sz w:val="27"/>
          <w:rtl/>
          <w:lang w:bidi="ar-LB"/>
        </w:rPr>
        <w:t>َ</w:t>
      </w:r>
      <w:r w:rsidRPr="00282AC9">
        <w:rPr>
          <w:rFonts w:hint="cs"/>
          <w:sz w:val="27"/>
          <w:rtl/>
          <w:lang w:bidi="ar-LB"/>
        </w:rPr>
        <w:t>ن غير اللزوميّ مست</w:t>
      </w:r>
      <w:r w:rsidR="00941BC7" w:rsidRPr="00282AC9">
        <w:rPr>
          <w:rFonts w:hint="cs"/>
          <w:sz w:val="27"/>
          <w:rtl/>
          <w:lang w:bidi="ar-LB"/>
        </w:rPr>
        <w:t>َ</w:t>
      </w:r>
      <w:r w:rsidRPr="00282AC9">
        <w:rPr>
          <w:rFonts w:hint="cs"/>
          <w:sz w:val="27"/>
          <w:rtl/>
          <w:lang w:bidi="ar-LB"/>
        </w:rPr>
        <w:t>ت</w:t>
      </w:r>
      <w:r w:rsidR="00941BC7" w:rsidRPr="00282AC9">
        <w:rPr>
          <w:rFonts w:hint="cs"/>
          <w:sz w:val="27"/>
          <w:rtl/>
          <w:lang w:bidi="ar-LB"/>
        </w:rPr>
        <w:t>ْ</w:t>
      </w:r>
      <w:r w:rsidRPr="00282AC9">
        <w:rPr>
          <w:rFonts w:hint="cs"/>
          <w:sz w:val="27"/>
          <w:rtl/>
          <w:lang w:bidi="ar-LB"/>
        </w:rPr>
        <w:t>ب</w:t>
      </w:r>
      <w:r w:rsidR="00941BC7" w:rsidRPr="00282AC9">
        <w:rPr>
          <w:rFonts w:hint="cs"/>
          <w:sz w:val="27"/>
          <w:rtl/>
          <w:lang w:bidi="ar-LB"/>
        </w:rPr>
        <w:t>ِ</w:t>
      </w:r>
      <w:r w:rsidRPr="00282AC9">
        <w:rPr>
          <w:rFonts w:hint="cs"/>
          <w:sz w:val="27"/>
          <w:rtl/>
          <w:lang w:bidi="ar-LB"/>
        </w:rPr>
        <w:t>عاً لإرادة</w:t>
      </w:r>
      <w:r w:rsidR="00941BC7" w:rsidRPr="00282AC9">
        <w:rPr>
          <w:rFonts w:hint="cs"/>
          <w:sz w:val="27"/>
          <w:rtl/>
          <w:lang w:bidi="ar-LB"/>
        </w:rPr>
        <w:t>ٍ</w:t>
      </w:r>
      <w:r w:rsidRPr="00282AC9">
        <w:rPr>
          <w:rFonts w:hint="cs"/>
          <w:sz w:val="27"/>
          <w:rtl/>
          <w:lang w:bidi="ar-LB"/>
        </w:rPr>
        <w:t xml:space="preserve"> لزومي</w:t>
      </w:r>
      <w:r w:rsidR="00941BC7" w:rsidRPr="00282AC9">
        <w:rPr>
          <w:rFonts w:hint="cs"/>
          <w:sz w:val="27"/>
          <w:rtl/>
          <w:lang w:bidi="ar-LB"/>
        </w:rPr>
        <w:t>ّ</w:t>
      </w:r>
      <w:r w:rsidRPr="00282AC9">
        <w:rPr>
          <w:rFonts w:hint="cs"/>
          <w:sz w:val="27"/>
          <w:rtl/>
          <w:lang w:bidi="ar-LB"/>
        </w:rPr>
        <w:t>ة، كما هو واضح</w:t>
      </w:r>
      <w:r w:rsidR="00941BC7" w:rsidRPr="00282AC9">
        <w:rPr>
          <w:rFonts w:hint="cs"/>
          <w:sz w:val="27"/>
          <w:rtl/>
          <w:lang w:bidi="ar-LB"/>
        </w:rPr>
        <w:t>ٌ</w:t>
      </w:r>
      <w:r w:rsidRPr="00282AC9">
        <w:rPr>
          <w:rFonts w:hint="cs"/>
          <w:sz w:val="27"/>
          <w:rtl/>
          <w:lang w:bidi="ar-LB"/>
        </w:rPr>
        <w:t>، وبالتالي سوف يكون هناك حالات</w:t>
      </w:r>
      <w:r w:rsidR="00941BC7" w:rsidRPr="00282AC9">
        <w:rPr>
          <w:rFonts w:hint="cs"/>
          <w:sz w:val="27"/>
          <w:rtl/>
          <w:lang w:bidi="ar-LB"/>
        </w:rPr>
        <w:t>ٌ</w:t>
      </w:r>
      <w:r w:rsidRPr="00282AC9">
        <w:rPr>
          <w:rFonts w:hint="cs"/>
          <w:sz w:val="27"/>
          <w:rtl/>
          <w:lang w:bidi="ar-LB"/>
        </w:rPr>
        <w:t xml:space="preserve"> خالية عن الإرادة والكراهة، وتكون القاعدة منتقضة</w:t>
      </w:r>
      <w:r w:rsidR="00941BC7" w:rsidRPr="00282AC9">
        <w:rPr>
          <w:rFonts w:hint="cs"/>
          <w:sz w:val="27"/>
          <w:rtl/>
          <w:lang w:bidi="ar-LB"/>
        </w:rPr>
        <w:t>ً</w:t>
      </w:r>
      <w:r w:rsidRPr="00282AC9">
        <w:rPr>
          <w:rFonts w:hint="cs"/>
          <w:sz w:val="27"/>
          <w:rtl/>
          <w:lang w:bidi="ar-LB"/>
        </w:rPr>
        <w:t xml:space="preserve"> بها.</w:t>
      </w:r>
    </w:p>
    <w:p w:rsidR="0001578E" w:rsidRPr="00282AC9" w:rsidRDefault="0001578E" w:rsidP="00765803">
      <w:pPr>
        <w:tabs>
          <w:tab w:val="right" w:pos="6930"/>
        </w:tabs>
        <w:suppressAutoHyphens/>
        <w:spacing w:line="420" w:lineRule="exact"/>
        <w:rPr>
          <w:sz w:val="27"/>
          <w:rtl/>
          <w:lang w:bidi="ar-LB"/>
        </w:rPr>
      </w:pPr>
    </w:p>
    <w:p w:rsidR="0001578E" w:rsidRPr="00282AC9" w:rsidRDefault="009F3DA9" w:rsidP="009F3DA9">
      <w:pPr>
        <w:pStyle w:val="31"/>
        <w:rPr>
          <w:color w:val="auto"/>
          <w:rtl/>
          <w:lang w:bidi="ar-LB"/>
        </w:rPr>
      </w:pPr>
      <w:r w:rsidRPr="00282AC9">
        <w:rPr>
          <w:rFonts w:hint="cs"/>
          <w:color w:val="auto"/>
          <w:rtl/>
          <w:lang w:bidi="ar-LB"/>
        </w:rPr>
        <w:t>اعتراضٌ وجواب</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وقد ي</w:t>
      </w:r>
      <w:r w:rsidR="00941BC7" w:rsidRPr="00282AC9">
        <w:rPr>
          <w:rFonts w:hint="cs"/>
          <w:b/>
          <w:bCs/>
          <w:sz w:val="27"/>
          <w:rtl/>
          <w:lang w:bidi="ar-LB"/>
        </w:rPr>
        <w:t>ُ</w:t>
      </w:r>
      <w:r w:rsidRPr="00282AC9">
        <w:rPr>
          <w:rFonts w:hint="cs"/>
          <w:b/>
          <w:bCs/>
          <w:sz w:val="27"/>
          <w:rtl/>
          <w:lang w:bidi="ar-LB"/>
        </w:rPr>
        <w:t>جاب عن هذا الوجه</w:t>
      </w:r>
      <w:r w:rsidRPr="00282AC9">
        <w:rPr>
          <w:rFonts w:hint="cs"/>
          <w:sz w:val="27"/>
          <w:rtl/>
          <w:lang w:bidi="ar-LB"/>
        </w:rPr>
        <w:t>:</w:t>
      </w:r>
    </w:p>
    <w:p w:rsidR="00A9019A" w:rsidRPr="00282AC9" w:rsidRDefault="00A9019A" w:rsidP="00B16272">
      <w:pPr>
        <w:tabs>
          <w:tab w:val="right" w:pos="6930"/>
        </w:tabs>
        <w:suppressAutoHyphens/>
        <w:rPr>
          <w:sz w:val="27"/>
          <w:rtl/>
          <w:lang w:bidi="ar-LB"/>
        </w:rPr>
      </w:pPr>
      <w:r w:rsidRPr="00282AC9">
        <w:rPr>
          <w:rFonts w:hint="cs"/>
          <w:b/>
          <w:bCs/>
          <w:sz w:val="27"/>
          <w:rtl/>
          <w:lang w:bidi="ar-LB"/>
        </w:rPr>
        <w:t>أوّلاً</w:t>
      </w:r>
      <w:r w:rsidRPr="00282AC9">
        <w:rPr>
          <w:rFonts w:hint="cs"/>
          <w:sz w:val="27"/>
          <w:rtl/>
          <w:lang w:bidi="ar-LB"/>
        </w:rPr>
        <w:t>: بالمنع عن الح</w:t>
      </w:r>
      <w:r w:rsidR="00941BC7" w:rsidRPr="00282AC9">
        <w:rPr>
          <w:rFonts w:hint="cs"/>
          <w:sz w:val="27"/>
          <w:rtl/>
          <w:lang w:bidi="ar-LB"/>
        </w:rPr>
        <w:t>ُ</w:t>
      </w:r>
      <w:r w:rsidRPr="00282AC9">
        <w:rPr>
          <w:rFonts w:hint="cs"/>
          <w:sz w:val="27"/>
          <w:rtl/>
          <w:lang w:bidi="ar-LB"/>
        </w:rPr>
        <w:t>س</w:t>
      </w:r>
      <w:r w:rsidR="00941BC7" w:rsidRPr="00282AC9">
        <w:rPr>
          <w:rFonts w:hint="cs"/>
          <w:sz w:val="27"/>
          <w:rtl/>
          <w:lang w:bidi="ar-LB"/>
        </w:rPr>
        <w:t>ْ</w:t>
      </w:r>
      <w:r w:rsidRPr="00282AC9">
        <w:rPr>
          <w:rFonts w:hint="cs"/>
          <w:sz w:val="27"/>
          <w:rtl/>
          <w:lang w:bidi="ar-LB"/>
        </w:rPr>
        <w:t>ن والق</w:t>
      </w:r>
      <w:r w:rsidR="00941BC7" w:rsidRPr="00282AC9">
        <w:rPr>
          <w:rFonts w:hint="cs"/>
          <w:sz w:val="27"/>
          <w:rtl/>
          <w:lang w:bidi="ar-LB"/>
        </w:rPr>
        <w:t>ُ</w:t>
      </w:r>
      <w:r w:rsidRPr="00282AC9">
        <w:rPr>
          <w:rFonts w:hint="cs"/>
          <w:sz w:val="27"/>
          <w:rtl/>
          <w:lang w:bidi="ar-LB"/>
        </w:rPr>
        <w:t>ب</w:t>
      </w:r>
      <w:r w:rsidR="00941BC7" w:rsidRPr="00282AC9">
        <w:rPr>
          <w:rFonts w:hint="cs"/>
          <w:sz w:val="27"/>
          <w:rtl/>
          <w:lang w:bidi="ar-LB"/>
        </w:rPr>
        <w:t>ْ</w:t>
      </w:r>
      <w:r w:rsidRPr="00282AC9">
        <w:rPr>
          <w:rFonts w:hint="cs"/>
          <w:sz w:val="27"/>
          <w:rtl/>
          <w:lang w:bidi="ar-LB"/>
        </w:rPr>
        <w:t>ح غير اللزوميّ، كما هو قضي</w:t>
      </w:r>
      <w:r w:rsidR="00941BC7" w:rsidRPr="00282AC9">
        <w:rPr>
          <w:rFonts w:hint="cs"/>
          <w:sz w:val="27"/>
          <w:rtl/>
          <w:lang w:bidi="ar-LB"/>
        </w:rPr>
        <w:t>ّ</w:t>
      </w:r>
      <w:r w:rsidRPr="00282AC9">
        <w:rPr>
          <w:rFonts w:hint="cs"/>
          <w:sz w:val="27"/>
          <w:rtl/>
          <w:lang w:bidi="ar-LB"/>
        </w:rPr>
        <w:t>ة ما عليه المحق</w:t>
      </w:r>
      <w:r w:rsidR="00941BC7" w:rsidRPr="00282AC9">
        <w:rPr>
          <w:rFonts w:hint="cs"/>
          <w:sz w:val="27"/>
          <w:rtl/>
          <w:lang w:bidi="ar-LB"/>
        </w:rPr>
        <w:t>ِّ</w:t>
      </w:r>
      <w:r w:rsidRPr="00282AC9">
        <w:rPr>
          <w:rFonts w:hint="cs"/>
          <w:sz w:val="27"/>
          <w:rtl/>
          <w:lang w:bidi="ar-LB"/>
        </w:rPr>
        <w:t>ق الأصفهاني</w:t>
      </w:r>
      <w:r w:rsidR="009A2A04" w:rsidRPr="00282AC9">
        <w:rPr>
          <w:rFonts w:cs="Mosawi" w:hint="cs"/>
          <w:sz w:val="22"/>
          <w:szCs w:val="22"/>
          <w:rtl/>
          <w:lang w:bidi="ar-LB"/>
        </w:rPr>
        <w:t>&amp;</w:t>
      </w:r>
      <w:r w:rsidR="00941BC7" w:rsidRPr="00282AC9">
        <w:rPr>
          <w:rFonts w:hint="cs"/>
          <w:sz w:val="27"/>
          <w:rtl/>
          <w:lang w:bidi="ar-LB"/>
        </w:rPr>
        <w:t>، من إ</w:t>
      </w:r>
      <w:r w:rsidRPr="00282AC9">
        <w:rPr>
          <w:rFonts w:hint="cs"/>
          <w:sz w:val="27"/>
          <w:rtl/>
          <w:lang w:bidi="ar-LB"/>
        </w:rPr>
        <w:t>رجاع المحاسن والقبايح العقلي</w:t>
      </w:r>
      <w:r w:rsidR="00941BC7" w:rsidRPr="00282AC9">
        <w:rPr>
          <w:rFonts w:hint="cs"/>
          <w:sz w:val="27"/>
          <w:rtl/>
          <w:lang w:bidi="ar-LB"/>
        </w:rPr>
        <w:t>ّ</w:t>
      </w:r>
      <w:r w:rsidRPr="00282AC9">
        <w:rPr>
          <w:rFonts w:hint="cs"/>
          <w:sz w:val="27"/>
          <w:rtl/>
          <w:lang w:bidi="ar-LB"/>
        </w:rPr>
        <w:t>ة</w:t>
      </w:r>
      <w:r w:rsidR="005053B3" w:rsidRPr="00282AC9">
        <w:rPr>
          <w:rFonts w:hint="cs"/>
          <w:sz w:val="27"/>
          <w:rtl/>
          <w:lang w:bidi="ar-LB"/>
        </w:rPr>
        <w:t xml:space="preserve"> إلى </w:t>
      </w:r>
      <w:r w:rsidRPr="00282AC9">
        <w:rPr>
          <w:rFonts w:hint="cs"/>
          <w:sz w:val="27"/>
          <w:rtl/>
          <w:lang w:bidi="ar-LB"/>
        </w:rPr>
        <w:t>حكم</w:t>
      </w:r>
      <w:r w:rsidR="00941BC7" w:rsidRPr="00282AC9">
        <w:rPr>
          <w:rFonts w:hint="cs"/>
          <w:sz w:val="27"/>
          <w:rtl/>
          <w:lang w:bidi="ar-LB"/>
        </w:rPr>
        <w:t>ٍ</w:t>
      </w:r>
      <w:r w:rsidRPr="00282AC9">
        <w:rPr>
          <w:rFonts w:hint="cs"/>
          <w:sz w:val="27"/>
          <w:rtl/>
          <w:lang w:bidi="ar-LB"/>
        </w:rPr>
        <w:t xml:space="preserve"> عقليّ واحد، وهو: ح</w:t>
      </w:r>
      <w:r w:rsidR="00E108B7" w:rsidRPr="00282AC9">
        <w:rPr>
          <w:rFonts w:hint="cs"/>
          <w:sz w:val="27"/>
          <w:rtl/>
          <w:lang w:bidi="ar-LB"/>
        </w:rPr>
        <w:t>ُ</w:t>
      </w:r>
      <w:r w:rsidRPr="00282AC9">
        <w:rPr>
          <w:rFonts w:hint="cs"/>
          <w:sz w:val="27"/>
          <w:rtl/>
          <w:lang w:bidi="ar-LB"/>
        </w:rPr>
        <w:t>س</w:t>
      </w:r>
      <w:r w:rsidR="00E108B7" w:rsidRPr="00282AC9">
        <w:rPr>
          <w:rFonts w:hint="cs"/>
          <w:sz w:val="27"/>
          <w:rtl/>
          <w:lang w:bidi="ar-LB"/>
        </w:rPr>
        <w:t>ْ</w:t>
      </w:r>
      <w:r w:rsidRPr="00282AC9">
        <w:rPr>
          <w:rFonts w:hint="cs"/>
          <w:sz w:val="27"/>
          <w:rtl/>
          <w:lang w:bidi="ar-LB"/>
        </w:rPr>
        <w:t>ن العدل وق</w:t>
      </w:r>
      <w:r w:rsidR="00E108B7" w:rsidRPr="00282AC9">
        <w:rPr>
          <w:rFonts w:hint="cs"/>
          <w:sz w:val="27"/>
          <w:rtl/>
          <w:lang w:bidi="ar-LB"/>
        </w:rPr>
        <w:t>ُ</w:t>
      </w:r>
      <w:r w:rsidRPr="00282AC9">
        <w:rPr>
          <w:rFonts w:hint="cs"/>
          <w:sz w:val="27"/>
          <w:rtl/>
          <w:lang w:bidi="ar-LB"/>
        </w:rPr>
        <w:t>ب</w:t>
      </w:r>
      <w:r w:rsidR="00E108B7" w:rsidRPr="00282AC9">
        <w:rPr>
          <w:rFonts w:hint="cs"/>
          <w:sz w:val="27"/>
          <w:rtl/>
          <w:lang w:bidi="ar-LB"/>
        </w:rPr>
        <w:t>ْ</w:t>
      </w:r>
      <w:r w:rsidRPr="00282AC9">
        <w:rPr>
          <w:rFonts w:hint="cs"/>
          <w:sz w:val="27"/>
          <w:rtl/>
          <w:lang w:bidi="ar-LB"/>
        </w:rPr>
        <w:t>ح الظلم</w:t>
      </w:r>
      <w:r w:rsidR="00E108B7" w:rsidRPr="00282AC9">
        <w:rPr>
          <w:rFonts w:hint="cs"/>
          <w:sz w:val="27"/>
          <w:rtl/>
          <w:lang w:bidi="ar-LB"/>
        </w:rPr>
        <w:t>؛</w:t>
      </w:r>
      <w:r w:rsidRPr="00282AC9">
        <w:rPr>
          <w:rFonts w:hint="cs"/>
          <w:sz w:val="27"/>
          <w:rtl/>
          <w:lang w:bidi="ar-LB"/>
        </w:rPr>
        <w:t xml:space="preserve"> إذ من الواضح أنّه لا مجال للح</w:t>
      </w:r>
      <w:r w:rsidR="00E108B7" w:rsidRPr="00282AC9">
        <w:rPr>
          <w:rFonts w:hint="cs"/>
          <w:sz w:val="27"/>
          <w:rtl/>
          <w:lang w:bidi="ar-LB"/>
        </w:rPr>
        <w:t>ُ</w:t>
      </w:r>
      <w:r w:rsidRPr="00282AC9">
        <w:rPr>
          <w:rFonts w:hint="cs"/>
          <w:sz w:val="27"/>
          <w:rtl/>
          <w:lang w:bidi="ar-LB"/>
        </w:rPr>
        <w:t>س</w:t>
      </w:r>
      <w:r w:rsidR="00E108B7" w:rsidRPr="00282AC9">
        <w:rPr>
          <w:rFonts w:hint="cs"/>
          <w:sz w:val="27"/>
          <w:rtl/>
          <w:lang w:bidi="ar-LB"/>
        </w:rPr>
        <w:t>ْ</w:t>
      </w:r>
      <w:r w:rsidRPr="00282AC9">
        <w:rPr>
          <w:rFonts w:hint="cs"/>
          <w:sz w:val="27"/>
          <w:rtl/>
          <w:lang w:bidi="ar-LB"/>
        </w:rPr>
        <w:t>ن غير اللزوميّ على هذا الأساس.</w:t>
      </w:r>
    </w:p>
    <w:p w:rsidR="00A9019A" w:rsidRPr="00282AC9" w:rsidRDefault="00A9019A" w:rsidP="00B16272">
      <w:pPr>
        <w:tabs>
          <w:tab w:val="right" w:pos="6930"/>
        </w:tabs>
        <w:suppressAutoHyphens/>
        <w:rPr>
          <w:sz w:val="27"/>
          <w:rtl/>
          <w:lang w:bidi="ar-LB"/>
        </w:rPr>
      </w:pPr>
      <w:r w:rsidRPr="00282AC9">
        <w:rPr>
          <w:rFonts w:hint="cs"/>
          <w:sz w:val="27"/>
          <w:rtl/>
          <w:lang w:bidi="ar-LB"/>
        </w:rPr>
        <w:t>ولكنّنا لم نخض</w:t>
      </w:r>
      <w:r w:rsidR="00E108B7" w:rsidRPr="00282AC9">
        <w:rPr>
          <w:rFonts w:hint="cs"/>
          <w:sz w:val="27"/>
          <w:rtl/>
          <w:lang w:bidi="ar-LB"/>
        </w:rPr>
        <w:t>َ</w:t>
      </w:r>
      <w:r w:rsidRPr="00282AC9">
        <w:rPr>
          <w:rFonts w:hint="cs"/>
          <w:sz w:val="27"/>
          <w:rtl/>
          <w:lang w:bidi="ar-LB"/>
        </w:rPr>
        <w:t>ع</w:t>
      </w:r>
      <w:r w:rsidR="00E108B7" w:rsidRPr="00282AC9">
        <w:rPr>
          <w:rFonts w:hint="cs"/>
          <w:sz w:val="27"/>
          <w:rtl/>
          <w:lang w:bidi="ar-LB"/>
        </w:rPr>
        <w:t>ْ</w:t>
      </w:r>
      <w:r w:rsidRPr="00282AC9">
        <w:rPr>
          <w:rFonts w:hint="cs"/>
          <w:sz w:val="27"/>
          <w:rtl/>
          <w:lang w:bidi="ar-LB"/>
        </w:rPr>
        <w:t xml:space="preserve"> دون القول بهذا الات</w:t>
      </w:r>
      <w:r w:rsidR="00E108B7" w:rsidRPr="00282AC9">
        <w:rPr>
          <w:rFonts w:hint="cs"/>
          <w:sz w:val="27"/>
          <w:rtl/>
          <w:lang w:bidi="ar-LB"/>
        </w:rPr>
        <w:t>ّ</w:t>
      </w:r>
      <w:r w:rsidRPr="00282AC9">
        <w:rPr>
          <w:rFonts w:hint="cs"/>
          <w:sz w:val="27"/>
          <w:rtl/>
          <w:lang w:bidi="ar-LB"/>
        </w:rPr>
        <w:t xml:space="preserve">جاه فيما سبق، وقلنا: </w:t>
      </w:r>
      <w:r w:rsidR="00E108B7" w:rsidRPr="00282AC9">
        <w:rPr>
          <w:rFonts w:hint="cs"/>
          <w:sz w:val="27"/>
          <w:rtl/>
          <w:lang w:bidi="ar-LB"/>
        </w:rPr>
        <w:t>إن</w:t>
      </w:r>
      <w:r w:rsidRPr="00282AC9">
        <w:rPr>
          <w:rFonts w:hint="cs"/>
          <w:sz w:val="27"/>
          <w:rtl/>
          <w:lang w:bidi="ar-LB"/>
        </w:rPr>
        <w:t xml:space="preserve"> الوجدان خير شاهد</w:t>
      </w:r>
      <w:r w:rsidR="00E108B7" w:rsidRPr="00282AC9">
        <w:rPr>
          <w:rFonts w:hint="cs"/>
          <w:sz w:val="27"/>
          <w:rtl/>
          <w:lang w:bidi="ar-LB"/>
        </w:rPr>
        <w:t>ٍ</w:t>
      </w:r>
      <w:r w:rsidRPr="00282AC9">
        <w:rPr>
          <w:rFonts w:hint="cs"/>
          <w:sz w:val="27"/>
          <w:rtl/>
          <w:lang w:bidi="ar-LB"/>
        </w:rPr>
        <w:t xml:space="preserve"> على محاسن وقبا</w:t>
      </w:r>
      <w:r w:rsidR="00E108B7" w:rsidRPr="00282AC9">
        <w:rPr>
          <w:rFonts w:hint="cs"/>
          <w:sz w:val="27"/>
          <w:rtl/>
          <w:lang w:bidi="ar-LB"/>
        </w:rPr>
        <w:t>ئ</w:t>
      </w:r>
      <w:r w:rsidRPr="00282AC9">
        <w:rPr>
          <w:rFonts w:hint="cs"/>
          <w:sz w:val="27"/>
          <w:rtl/>
          <w:lang w:bidi="ar-LB"/>
        </w:rPr>
        <w:t>ح متكث</w:t>
      </w:r>
      <w:r w:rsidR="00E108B7" w:rsidRPr="00282AC9">
        <w:rPr>
          <w:rFonts w:hint="cs"/>
          <w:sz w:val="27"/>
          <w:rtl/>
          <w:lang w:bidi="ar-LB"/>
        </w:rPr>
        <w:t>ِّ</w:t>
      </w:r>
      <w:r w:rsidRPr="00282AC9">
        <w:rPr>
          <w:rFonts w:hint="cs"/>
          <w:sz w:val="27"/>
          <w:rtl/>
          <w:lang w:bidi="ar-LB"/>
        </w:rPr>
        <w:t>رة لا ترجع</w:t>
      </w:r>
      <w:r w:rsidR="005053B3" w:rsidRPr="00282AC9">
        <w:rPr>
          <w:rFonts w:hint="cs"/>
          <w:sz w:val="27"/>
          <w:rtl/>
          <w:lang w:bidi="ar-LB"/>
        </w:rPr>
        <w:t xml:space="preserve"> إلى </w:t>
      </w:r>
      <w:r w:rsidRPr="00282AC9">
        <w:rPr>
          <w:rFonts w:hint="cs"/>
          <w:sz w:val="27"/>
          <w:rtl/>
          <w:lang w:bidi="ar-LB"/>
        </w:rPr>
        <w:t>ح</w:t>
      </w:r>
      <w:r w:rsidR="00E108B7" w:rsidRPr="00282AC9">
        <w:rPr>
          <w:rFonts w:hint="cs"/>
          <w:sz w:val="27"/>
          <w:rtl/>
          <w:lang w:bidi="ar-LB"/>
        </w:rPr>
        <w:t>ُ</w:t>
      </w:r>
      <w:r w:rsidRPr="00282AC9">
        <w:rPr>
          <w:rFonts w:hint="cs"/>
          <w:sz w:val="27"/>
          <w:rtl/>
          <w:lang w:bidi="ar-LB"/>
        </w:rPr>
        <w:t>س</w:t>
      </w:r>
      <w:r w:rsidR="00E108B7" w:rsidRPr="00282AC9">
        <w:rPr>
          <w:rFonts w:hint="cs"/>
          <w:sz w:val="27"/>
          <w:rtl/>
          <w:lang w:bidi="ar-LB"/>
        </w:rPr>
        <w:t>ْ</w:t>
      </w:r>
      <w:r w:rsidRPr="00282AC9">
        <w:rPr>
          <w:rFonts w:hint="cs"/>
          <w:sz w:val="27"/>
          <w:rtl/>
          <w:lang w:bidi="ar-LB"/>
        </w:rPr>
        <w:t>ن العدل وق</w:t>
      </w:r>
      <w:r w:rsidR="00E108B7" w:rsidRPr="00282AC9">
        <w:rPr>
          <w:rFonts w:hint="cs"/>
          <w:sz w:val="27"/>
          <w:rtl/>
          <w:lang w:bidi="ar-LB"/>
        </w:rPr>
        <w:t>ُ</w:t>
      </w:r>
      <w:r w:rsidRPr="00282AC9">
        <w:rPr>
          <w:rFonts w:hint="cs"/>
          <w:sz w:val="27"/>
          <w:rtl/>
          <w:lang w:bidi="ar-LB"/>
        </w:rPr>
        <w:t>ب</w:t>
      </w:r>
      <w:r w:rsidR="00E108B7" w:rsidRPr="00282AC9">
        <w:rPr>
          <w:rFonts w:hint="cs"/>
          <w:sz w:val="27"/>
          <w:rtl/>
          <w:lang w:bidi="ar-LB"/>
        </w:rPr>
        <w:t>ْح الظلم؛ فإن</w:t>
      </w:r>
      <w:r w:rsidRPr="00282AC9">
        <w:rPr>
          <w:rFonts w:hint="cs"/>
          <w:sz w:val="27"/>
          <w:rtl/>
          <w:lang w:bidi="ar-LB"/>
        </w:rPr>
        <w:t xml:space="preserve"> الإيثار ح</w:t>
      </w:r>
      <w:r w:rsidR="00E108B7" w:rsidRPr="00282AC9">
        <w:rPr>
          <w:rFonts w:hint="cs"/>
          <w:sz w:val="27"/>
          <w:rtl/>
          <w:lang w:bidi="ar-LB"/>
        </w:rPr>
        <w:t>َ</w:t>
      </w:r>
      <w:r w:rsidRPr="00282AC9">
        <w:rPr>
          <w:rFonts w:hint="cs"/>
          <w:sz w:val="27"/>
          <w:rtl/>
          <w:lang w:bidi="ar-LB"/>
        </w:rPr>
        <w:t>س</w:t>
      </w:r>
      <w:r w:rsidR="00E108B7" w:rsidRPr="00282AC9">
        <w:rPr>
          <w:rFonts w:hint="cs"/>
          <w:sz w:val="27"/>
          <w:rtl/>
          <w:lang w:bidi="ar-LB"/>
        </w:rPr>
        <w:t>َ</w:t>
      </w:r>
      <w:r w:rsidRPr="00282AC9">
        <w:rPr>
          <w:rFonts w:hint="cs"/>
          <w:sz w:val="27"/>
          <w:rtl/>
          <w:lang w:bidi="ar-LB"/>
        </w:rPr>
        <w:t>ن</w:t>
      </w:r>
      <w:r w:rsidR="00E108B7" w:rsidRPr="00282AC9">
        <w:rPr>
          <w:rFonts w:hint="cs"/>
          <w:sz w:val="27"/>
          <w:rtl/>
          <w:lang w:bidi="ar-LB"/>
        </w:rPr>
        <w:t>ٌ،</w:t>
      </w:r>
      <w:r w:rsidRPr="00282AC9">
        <w:rPr>
          <w:rFonts w:hint="cs"/>
          <w:sz w:val="27"/>
          <w:rtl/>
          <w:lang w:bidi="ar-LB"/>
        </w:rPr>
        <w:t xml:space="preserve"> وطلب الكمال ح</w:t>
      </w:r>
      <w:r w:rsidR="00E108B7" w:rsidRPr="00282AC9">
        <w:rPr>
          <w:rFonts w:hint="cs"/>
          <w:sz w:val="27"/>
          <w:rtl/>
          <w:lang w:bidi="ar-LB"/>
        </w:rPr>
        <w:t>َ</w:t>
      </w:r>
      <w:r w:rsidRPr="00282AC9">
        <w:rPr>
          <w:rFonts w:hint="cs"/>
          <w:sz w:val="27"/>
          <w:rtl/>
          <w:lang w:bidi="ar-LB"/>
        </w:rPr>
        <w:t>س</w:t>
      </w:r>
      <w:r w:rsidR="00E108B7" w:rsidRPr="00282AC9">
        <w:rPr>
          <w:rFonts w:hint="cs"/>
          <w:sz w:val="27"/>
          <w:rtl/>
          <w:lang w:bidi="ar-LB"/>
        </w:rPr>
        <w:t>َ</w:t>
      </w:r>
      <w:r w:rsidRPr="00282AC9">
        <w:rPr>
          <w:rFonts w:hint="cs"/>
          <w:sz w:val="27"/>
          <w:rtl/>
          <w:lang w:bidi="ar-LB"/>
        </w:rPr>
        <w:t>ن</w:t>
      </w:r>
      <w:r w:rsidR="00E108B7" w:rsidRPr="00282AC9">
        <w:rPr>
          <w:rFonts w:hint="cs"/>
          <w:sz w:val="27"/>
          <w:rtl/>
          <w:lang w:bidi="ar-LB"/>
        </w:rPr>
        <w:t>ٌ،</w:t>
      </w:r>
      <w:r w:rsidRPr="00282AC9">
        <w:rPr>
          <w:rFonts w:hint="cs"/>
          <w:sz w:val="27"/>
          <w:rtl/>
          <w:lang w:bidi="ar-LB"/>
        </w:rPr>
        <w:t xml:space="preserve"> من دون ملاحظة عنوان العدالة ومدخلي</w:t>
      </w:r>
      <w:r w:rsidR="00E108B7" w:rsidRPr="00282AC9">
        <w:rPr>
          <w:rFonts w:hint="cs"/>
          <w:sz w:val="27"/>
          <w:rtl/>
          <w:lang w:bidi="ar-LB"/>
        </w:rPr>
        <w:t>ّ</w:t>
      </w:r>
      <w:r w:rsidRPr="00282AC9">
        <w:rPr>
          <w:rFonts w:hint="cs"/>
          <w:sz w:val="27"/>
          <w:rtl/>
          <w:lang w:bidi="ar-LB"/>
        </w:rPr>
        <w:t>تها فيهما</w:t>
      </w:r>
      <w:r w:rsidR="00E108B7" w:rsidRPr="00282AC9">
        <w:rPr>
          <w:rFonts w:hint="cs"/>
          <w:sz w:val="27"/>
          <w:rtl/>
          <w:lang w:bidi="ar-LB"/>
        </w:rPr>
        <w:t>.</w:t>
      </w:r>
      <w:r w:rsidRPr="00282AC9">
        <w:rPr>
          <w:rFonts w:hint="cs"/>
          <w:sz w:val="27"/>
          <w:rtl/>
          <w:lang w:bidi="ar-LB"/>
        </w:rPr>
        <w:t xml:space="preserve"> وقد واف</w:t>
      </w:r>
      <w:r w:rsidR="00E108B7" w:rsidRPr="00282AC9">
        <w:rPr>
          <w:rFonts w:hint="cs"/>
          <w:sz w:val="27"/>
          <w:rtl/>
          <w:lang w:bidi="ar-LB"/>
        </w:rPr>
        <w:t>َ</w:t>
      </w:r>
      <w:r w:rsidRPr="00282AC9">
        <w:rPr>
          <w:rFonts w:hint="cs"/>
          <w:sz w:val="27"/>
          <w:rtl/>
          <w:lang w:bidi="ar-LB"/>
        </w:rPr>
        <w:t>ق</w:t>
      </w:r>
      <w:r w:rsidR="00E108B7" w:rsidRPr="00282AC9">
        <w:rPr>
          <w:rFonts w:hint="cs"/>
          <w:sz w:val="27"/>
          <w:rtl/>
          <w:lang w:bidi="ar-LB"/>
        </w:rPr>
        <w:t>َ</w:t>
      </w:r>
      <w:r w:rsidRPr="00282AC9">
        <w:rPr>
          <w:rFonts w:hint="cs"/>
          <w:sz w:val="27"/>
          <w:rtl/>
          <w:lang w:bidi="ar-LB"/>
        </w:rPr>
        <w:t>نا على ذلك جماعة</w:t>
      </w:r>
      <w:r w:rsidR="00E108B7" w:rsidRPr="00282AC9">
        <w:rPr>
          <w:rFonts w:hint="cs"/>
          <w:sz w:val="27"/>
          <w:rtl/>
          <w:lang w:bidi="ar-LB"/>
        </w:rPr>
        <w:t>ٌ</w:t>
      </w:r>
      <w:r w:rsidRPr="00282AC9">
        <w:rPr>
          <w:rFonts w:hint="cs"/>
          <w:sz w:val="27"/>
          <w:rtl/>
          <w:lang w:bidi="ar-LB"/>
        </w:rPr>
        <w:t xml:space="preserve"> من الأصوليين</w:t>
      </w:r>
      <w:r w:rsidR="00E108B7" w:rsidRPr="00282AC9">
        <w:rPr>
          <w:rFonts w:hint="cs"/>
          <w:sz w:val="27"/>
          <w:rtl/>
          <w:lang w:bidi="ar-LB"/>
        </w:rPr>
        <w:t>،</w:t>
      </w:r>
      <w:r w:rsidRPr="00282AC9">
        <w:rPr>
          <w:rFonts w:hint="cs"/>
          <w:sz w:val="27"/>
          <w:rtl/>
          <w:lang w:bidi="ar-LB"/>
        </w:rPr>
        <w:t xml:space="preserve"> كالسيد الشهيد</w:t>
      </w:r>
      <w:r w:rsidR="009A2A04" w:rsidRPr="00282AC9">
        <w:rPr>
          <w:rFonts w:cs="Mosawi" w:hint="cs"/>
          <w:sz w:val="22"/>
          <w:szCs w:val="22"/>
          <w:rtl/>
          <w:lang w:bidi="ar-LB"/>
        </w:rPr>
        <w:t>&amp;</w:t>
      </w:r>
      <w:r w:rsidRPr="00282AC9">
        <w:rPr>
          <w:rFonts w:hint="cs"/>
          <w:sz w:val="27"/>
          <w:rtl/>
          <w:lang w:bidi="ar-LB"/>
        </w:rPr>
        <w:t xml:space="preserve"> وغيره، وهذا يعني توفّ</w:t>
      </w:r>
      <w:r w:rsidR="00E108B7" w:rsidRPr="00282AC9">
        <w:rPr>
          <w:rFonts w:hint="cs"/>
          <w:sz w:val="27"/>
          <w:rtl/>
          <w:lang w:bidi="ar-LB"/>
        </w:rPr>
        <w:t>ُ</w:t>
      </w:r>
      <w:r w:rsidRPr="00282AC9">
        <w:rPr>
          <w:rFonts w:hint="cs"/>
          <w:sz w:val="27"/>
          <w:rtl/>
          <w:lang w:bidi="ar-LB"/>
        </w:rPr>
        <w:t>ر محاسن أو قبائح غير لزومي</w:t>
      </w:r>
      <w:r w:rsidR="00E108B7" w:rsidRPr="00282AC9">
        <w:rPr>
          <w:rFonts w:hint="cs"/>
          <w:sz w:val="27"/>
          <w:rtl/>
          <w:lang w:bidi="ar-LB"/>
        </w:rPr>
        <w:t>ّ</w:t>
      </w:r>
      <w:r w:rsidRPr="00282AC9">
        <w:rPr>
          <w:rFonts w:hint="cs"/>
          <w:sz w:val="27"/>
          <w:rtl/>
          <w:lang w:bidi="ar-LB"/>
        </w:rPr>
        <w:t>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وثانياً</w:t>
      </w:r>
      <w:r w:rsidRPr="00282AC9">
        <w:rPr>
          <w:rFonts w:hint="cs"/>
          <w:sz w:val="27"/>
          <w:rtl/>
          <w:lang w:bidi="ar-LB"/>
        </w:rPr>
        <w:t>: بأنّه لا وجه لحصر الإرادة التكوينية باللزومية</w:t>
      </w:r>
      <w:r w:rsidR="00E108B7" w:rsidRPr="00282AC9">
        <w:rPr>
          <w:rFonts w:hint="cs"/>
          <w:sz w:val="27"/>
          <w:rtl/>
          <w:lang w:bidi="ar-LB"/>
        </w:rPr>
        <w:t>؛</w:t>
      </w:r>
      <w:r w:rsidRPr="00282AC9">
        <w:rPr>
          <w:rFonts w:hint="cs"/>
          <w:sz w:val="27"/>
          <w:rtl/>
          <w:lang w:bidi="ar-LB"/>
        </w:rPr>
        <w:t xml:space="preserve"> لوضوح أنّ اقتضاءَها للتحرّ</w:t>
      </w:r>
      <w:r w:rsidR="00E108B7" w:rsidRPr="00282AC9">
        <w:rPr>
          <w:rFonts w:hint="cs"/>
          <w:sz w:val="27"/>
          <w:rtl/>
          <w:lang w:bidi="ar-LB"/>
        </w:rPr>
        <w:t>ُ</w:t>
      </w:r>
      <w:r w:rsidRPr="00282AC9">
        <w:rPr>
          <w:rFonts w:hint="cs"/>
          <w:sz w:val="27"/>
          <w:rtl/>
          <w:lang w:bidi="ar-LB"/>
        </w:rPr>
        <w:t xml:space="preserve">ك </w:t>
      </w:r>
      <w:r w:rsidRPr="00282AC9">
        <w:rPr>
          <w:sz w:val="27"/>
          <w:rtl/>
          <w:lang w:bidi="ar-LB"/>
        </w:rPr>
        <w:t>ـ</w:t>
      </w:r>
      <w:r w:rsidRPr="00282AC9">
        <w:rPr>
          <w:rFonts w:hint="cs"/>
          <w:sz w:val="27"/>
          <w:rtl/>
          <w:lang w:bidi="ar-LB"/>
        </w:rPr>
        <w:t xml:space="preserve"> فيما إذا كانت مست</w:t>
      </w:r>
      <w:r w:rsidR="00E108B7" w:rsidRPr="00282AC9">
        <w:rPr>
          <w:rFonts w:hint="cs"/>
          <w:sz w:val="27"/>
          <w:rtl/>
          <w:lang w:bidi="ar-LB"/>
        </w:rPr>
        <w:t>َ</w:t>
      </w:r>
      <w:r w:rsidRPr="00282AC9">
        <w:rPr>
          <w:rFonts w:hint="cs"/>
          <w:sz w:val="27"/>
          <w:rtl/>
          <w:lang w:bidi="ar-LB"/>
        </w:rPr>
        <w:t>ت</w:t>
      </w:r>
      <w:r w:rsidR="00E108B7" w:rsidRPr="00282AC9">
        <w:rPr>
          <w:rFonts w:hint="cs"/>
          <w:sz w:val="27"/>
          <w:rtl/>
          <w:lang w:bidi="ar-LB"/>
        </w:rPr>
        <w:t>ْ</w:t>
      </w:r>
      <w:r w:rsidRPr="00282AC9">
        <w:rPr>
          <w:rFonts w:hint="cs"/>
          <w:sz w:val="27"/>
          <w:rtl/>
          <w:lang w:bidi="ar-LB"/>
        </w:rPr>
        <w:t>ب</w:t>
      </w:r>
      <w:r w:rsidR="00E108B7" w:rsidRPr="00282AC9">
        <w:rPr>
          <w:rFonts w:hint="cs"/>
          <w:sz w:val="27"/>
          <w:rtl/>
          <w:lang w:bidi="ar-LB"/>
        </w:rPr>
        <w:t>ِ</w:t>
      </w:r>
      <w:r w:rsidRPr="00282AC9">
        <w:rPr>
          <w:rFonts w:hint="cs"/>
          <w:sz w:val="27"/>
          <w:rtl/>
          <w:lang w:bidi="ar-LB"/>
        </w:rPr>
        <w:t>عة</w:t>
      </w:r>
      <w:r w:rsidR="00E108B7" w:rsidRPr="00282AC9">
        <w:rPr>
          <w:rFonts w:hint="cs"/>
          <w:sz w:val="27"/>
          <w:rtl/>
          <w:lang w:bidi="ar-LB"/>
        </w:rPr>
        <w:t>ً</w:t>
      </w:r>
      <w:r w:rsidRPr="00282AC9">
        <w:rPr>
          <w:rFonts w:hint="cs"/>
          <w:sz w:val="27"/>
          <w:rtl/>
          <w:lang w:bidi="ar-LB"/>
        </w:rPr>
        <w:t xml:space="preserve"> له </w:t>
      </w:r>
      <w:r w:rsidRPr="00282AC9">
        <w:rPr>
          <w:sz w:val="27"/>
          <w:rtl/>
          <w:lang w:bidi="ar-LB"/>
        </w:rPr>
        <w:t>ـ</w:t>
      </w:r>
      <w:r w:rsidRPr="00282AC9">
        <w:rPr>
          <w:rFonts w:hint="cs"/>
          <w:sz w:val="27"/>
          <w:rtl/>
          <w:lang w:bidi="ar-LB"/>
        </w:rPr>
        <w:t xml:space="preserve"> مختلفة</w:t>
      </w:r>
      <w:r w:rsidR="00E108B7" w:rsidRPr="00282AC9">
        <w:rPr>
          <w:rFonts w:hint="cs"/>
          <w:sz w:val="27"/>
          <w:rtl/>
          <w:lang w:bidi="ar-LB"/>
        </w:rPr>
        <w:t>ٌ</w:t>
      </w:r>
      <w:r w:rsidRPr="00282AC9">
        <w:rPr>
          <w:rFonts w:hint="cs"/>
          <w:sz w:val="27"/>
          <w:rtl/>
          <w:lang w:bidi="ar-LB"/>
        </w:rPr>
        <w:t xml:space="preserve"> بالشد</w:t>
      </w:r>
      <w:r w:rsidR="00E108B7" w:rsidRPr="00282AC9">
        <w:rPr>
          <w:rFonts w:hint="cs"/>
          <w:sz w:val="27"/>
          <w:rtl/>
          <w:lang w:bidi="ar-LB"/>
        </w:rPr>
        <w:t>ّ</w:t>
      </w:r>
      <w:r w:rsidRPr="00282AC9">
        <w:rPr>
          <w:rFonts w:hint="cs"/>
          <w:sz w:val="27"/>
          <w:rtl/>
          <w:lang w:bidi="ar-LB"/>
        </w:rPr>
        <w:t>ة والضعف، بمعنى أن اقتضاءَها للتحرّ</w:t>
      </w:r>
      <w:r w:rsidR="00E108B7" w:rsidRPr="00282AC9">
        <w:rPr>
          <w:rFonts w:hint="cs"/>
          <w:sz w:val="27"/>
          <w:rtl/>
          <w:lang w:bidi="ar-LB"/>
        </w:rPr>
        <w:t>ُ</w:t>
      </w:r>
      <w:r w:rsidRPr="00282AC9">
        <w:rPr>
          <w:rFonts w:hint="cs"/>
          <w:sz w:val="27"/>
          <w:rtl/>
          <w:lang w:bidi="ar-LB"/>
        </w:rPr>
        <w:t>ك قد تكون على درجة</w:t>
      </w:r>
      <w:r w:rsidR="00E108B7" w:rsidRPr="00282AC9">
        <w:rPr>
          <w:rFonts w:hint="cs"/>
          <w:sz w:val="27"/>
          <w:rtl/>
          <w:lang w:bidi="ar-LB"/>
        </w:rPr>
        <w:t>ٍ</w:t>
      </w:r>
      <w:r w:rsidRPr="00282AC9">
        <w:rPr>
          <w:rFonts w:hint="cs"/>
          <w:sz w:val="27"/>
          <w:rtl/>
          <w:lang w:bidi="ar-LB"/>
        </w:rPr>
        <w:t xml:space="preserve"> توجب داعياً غير</w:t>
      </w:r>
      <w:r w:rsidR="00E108B7" w:rsidRPr="00282AC9">
        <w:rPr>
          <w:rFonts w:hint="cs"/>
          <w:sz w:val="27"/>
          <w:rtl/>
          <w:lang w:bidi="ar-LB"/>
        </w:rPr>
        <w:t>َ</w:t>
      </w:r>
      <w:r w:rsidRPr="00282AC9">
        <w:rPr>
          <w:rFonts w:hint="cs"/>
          <w:sz w:val="27"/>
          <w:rtl/>
          <w:lang w:bidi="ar-LB"/>
        </w:rPr>
        <w:t xml:space="preserve"> أكيد</w:t>
      </w:r>
      <w:r w:rsidR="00E108B7" w:rsidRPr="00282AC9">
        <w:rPr>
          <w:rFonts w:hint="cs"/>
          <w:sz w:val="27"/>
          <w:rtl/>
          <w:lang w:bidi="ar-LB"/>
        </w:rPr>
        <w:t>ٍ</w:t>
      </w:r>
      <w:r w:rsidRPr="00282AC9">
        <w:rPr>
          <w:rFonts w:hint="cs"/>
          <w:sz w:val="27"/>
          <w:rtl/>
          <w:lang w:bidi="ar-LB"/>
        </w:rPr>
        <w:t xml:space="preserve"> في نفس العبد، وهذه هي الإرادة غير اللزومية</w:t>
      </w:r>
      <w:r w:rsidR="00E108B7" w:rsidRPr="00282AC9">
        <w:rPr>
          <w:rFonts w:hint="cs"/>
          <w:sz w:val="27"/>
          <w:rtl/>
          <w:lang w:bidi="ar-LB"/>
        </w:rPr>
        <w:t>.</w:t>
      </w:r>
      <w:r w:rsidRPr="00282AC9">
        <w:rPr>
          <w:rFonts w:hint="cs"/>
          <w:sz w:val="27"/>
          <w:rtl/>
          <w:lang w:bidi="ar-LB"/>
        </w:rPr>
        <w:t xml:space="preserve"> فلزومية الإرادة وعدمها تابعة</w:t>
      </w:r>
      <w:r w:rsidR="00E108B7" w:rsidRPr="00282AC9">
        <w:rPr>
          <w:rFonts w:hint="cs"/>
          <w:sz w:val="27"/>
          <w:rtl/>
          <w:lang w:bidi="ar-LB"/>
        </w:rPr>
        <w:t>ٌ</w:t>
      </w:r>
      <w:r w:rsidRPr="00282AC9">
        <w:rPr>
          <w:rFonts w:hint="cs"/>
          <w:sz w:val="27"/>
          <w:rtl/>
          <w:lang w:bidi="ar-LB"/>
        </w:rPr>
        <w:t xml:space="preserve"> لشدّتها وضعفها، وبما أنها تنقسم</w:t>
      </w:r>
      <w:r w:rsidR="005053B3" w:rsidRPr="00282AC9">
        <w:rPr>
          <w:rFonts w:hint="cs"/>
          <w:sz w:val="27"/>
          <w:rtl/>
          <w:lang w:bidi="ar-LB"/>
        </w:rPr>
        <w:t xml:space="preserve"> إلى </w:t>
      </w:r>
      <w:r w:rsidRPr="00282AC9">
        <w:rPr>
          <w:rFonts w:hint="cs"/>
          <w:sz w:val="27"/>
          <w:rtl/>
          <w:lang w:bidi="ar-LB"/>
        </w:rPr>
        <w:t>شديدة وضعيفة ب</w:t>
      </w:r>
      <w:r w:rsidR="00E108B7" w:rsidRPr="00282AC9">
        <w:rPr>
          <w:rFonts w:hint="cs"/>
          <w:sz w:val="27"/>
          <w:rtl/>
          <w:lang w:bidi="ar-LB"/>
        </w:rPr>
        <w:t>لا رَيْبٍ</w:t>
      </w:r>
      <w:r w:rsidRPr="00282AC9">
        <w:rPr>
          <w:rFonts w:hint="cs"/>
          <w:sz w:val="27"/>
          <w:rtl/>
          <w:lang w:bidi="ar-LB"/>
        </w:rPr>
        <w:t xml:space="preserve"> </w:t>
      </w:r>
      <w:r w:rsidRPr="00282AC9">
        <w:rPr>
          <w:sz w:val="27"/>
          <w:rtl/>
          <w:lang w:bidi="ar-LB"/>
        </w:rPr>
        <w:t>ـ</w:t>
      </w:r>
      <w:r w:rsidRPr="00282AC9">
        <w:rPr>
          <w:rFonts w:hint="cs"/>
          <w:sz w:val="27"/>
          <w:rtl/>
          <w:lang w:bidi="ar-LB"/>
        </w:rPr>
        <w:t xml:space="preserve"> خلافاً للمحق</w:t>
      </w:r>
      <w:r w:rsidR="00E108B7" w:rsidRPr="00282AC9">
        <w:rPr>
          <w:rFonts w:hint="cs"/>
          <w:sz w:val="27"/>
          <w:rtl/>
          <w:lang w:bidi="ar-LB"/>
        </w:rPr>
        <w:t>ِّ</w:t>
      </w:r>
      <w:r w:rsidRPr="00282AC9">
        <w:rPr>
          <w:rFonts w:hint="cs"/>
          <w:sz w:val="27"/>
          <w:rtl/>
          <w:lang w:bidi="ar-LB"/>
        </w:rPr>
        <w:t>ق النائيني</w:t>
      </w:r>
      <w:r w:rsidR="009A2A04" w:rsidRPr="00282AC9">
        <w:rPr>
          <w:rFonts w:cs="Mosawi" w:hint="cs"/>
          <w:sz w:val="22"/>
          <w:szCs w:val="22"/>
          <w:rtl/>
          <w:lang w:bidi="ar-LB"/>
        </w:rPr>
        <w:t>&amp;</w:t>
      </w:r>
      <w:r w:rsidRPr="00282AC9">
        <w:rPr>
          <w:rFonts w:hint="cs"/>
          <w:sz w:val="27"/>
          <w:vertAlign w:val="superscript"/>
          <w:rtl/>
          <w:lang w:bidi="ar-LB"/>
        </w:rPr>
        <w:t>(</w:t>
      </w:r>
      <w:r w:rsidRPr="00282AC9">
        <w:rPr>
          <w:rStyle w:val="af9"/>
          <w:sz w:val="27"/>
          <w:rtl/>
          <w:lang w:bidi="ar-LB"/>
        </w:rPr>
        <w:endnoteReference w:id="31"/>
      </w:r>
      <w:r w:rsidRPr="00282AC9">
        <w:rPr>
          <w:sz w:val="27"/>
          <w:vertAlign w:val="superscript"/>
          <w:rtl/>
          <w:lang w:bidi="ar-LB"/>
        </w:rPr>
        <w:t>)</w:t>
      </w:r>
      <w:r w:rsidRPr="00282AC9">
        <w:rPr>
          <w:rFonts w:hint="cs"/>
          <w:sz w:val="27"/>
          <w:rtl/>
          <w:lang w:bidi="ar-LB"/>
        </w:rPr>
        <w:t xml:space="preserve"> </w:t>
      </w:r>
      <w:r w:rsidRPr="00282AC9">
        <w:rPr>
          <w:sz w:val="27"/>
          <w:rtl/>
          <w:lang w:bidi="ar-LB"/>
        </w:rPr>
        <w:t>ـ</w:t>
      </w:r>
      <w:r w:rsidRPr="00282AC9">
        <w:rPr>
          <w:rFonts w:hint="cs"/>
          <w:sz w:val="27"/>
          <w:rtl/>
          <w:lang w:bidi="ar-LB"/>
        </w:rPr>
        <w:t xml:space="preserve"> فلا محالة تكون لزومي</w:t>
      </w:r>
      <w:r w:rsidR="00122316" w:rsidRPr="00282AC9">
        <w:rPr>
          <w:rFonts w:hint="cs"/>
          <w:sz w:val="27"/>
          <w:rtl/>
          <w:lang w:bidi="ar-LB"/>
        </w:rPr>
        <w:t>ّ</w:t>
      </w:r>
      <w:r w:rsidRPr="00282AC9">
        <w:rPr>
          <w:rFonts w:hint="cs"/>
          <w:sz w:val="27"/>
          <w:rtl/>
          <w:lang w:bidi="ar-LB"/>
        </w:rPr>
        <w:t>ة</w:t>
      </w:r>
      <w:r w:rsidR="00122316" w:rsidRPr="00282AC9">
        <w:rPr>
          <w:rFonts w:hint="cs"/>
          <w:sz w:val="27"/>
          <w:rtl/>
          <w:lang w:bidi="ar-LB"/>
        </w:rPr>
        <w:t>ً</w:t>
      </w:r>
      <w:r w:rsidRPr="00282AC9">
        <w:rPr>
          <w:rFonts w:hint="cs"/>
          <w:sz w:val="27"/>
          <w:rtl/>
          <w:lang w:bidi="ar-LB"/>
        </w:rPr>
        <w:t xml:space="preserve"> عند </w:t>
      </w:r>
      <w:r w:rsidRPr="00282AC9">
        <w:rPr>
          <w:rFonts w:hint="cs"/>
          <w:sz w:val="27"/>
          <w:rtl/>
          <w:lang w:bidi="ar-LB"/>
        </w:rPr>
        <w:lastRenderedPageBreak/>
        <w:t>الضعف.</w:t>
      </w:r>
    </w:p>
    <w:p w:rsidR="00A9019A" w:rsidRPr="00282AC9" w:rsidRDefault="00A9019A" w:rsidP="00B16272">
      <w:pPr>
        <w:tabs>
          <w:tab w:val="right" w:pos="6930"/>
        </w:tabs>
        <w:suppressAutoHyphens/>
        <w:rPr>
          <w:sz w:val="27"/>
          <w:rtl/>
          <w:lang w:bidi="ar-LB"/>
        </w:rPr>
      </w:pPr>
      <w:r w:rsidRPr="00282AC9">
        <w:rPr>
          <w:rFonts w:hint="cs"/>
          <w:sz w:val="27"/>
          <w:rtl/>
          <w:lang w:bidi="ar-LB"/>
        </w:rPr>
        <w:t>نعم</w:t>
      </w:r>
      <w:r w:rsidR="00122316" w:rsidRPr="00282AC9">
        <w:rPr>
          <w:rFonts w:hint="cs"/>
          <w:sz w:val="27"/>
          <w:rtl/>
          <w:lang w:bidi="ar-LB"/>
        </w:rPr>
        <w:t>،</w:t>
      </w:r>
      <w:r w:rsidRPr="00282AC9">
        <w:rPr>
          <w:rFonts w:hint="cs"/>
          <w:sz w:val="27"/>
          <w:rtl/>
          <w:lang w:bidi="ar-LB"/>
        </w:rPr>
        <w:t xml:space="preserve"> نفس التحرّ</w:t>
      </w:r>
      <w:r w:rsidR="00122316" w:rsidRPr="00282AC9">
        <w:rPr>
          <w:rFonts w:hint="cs"/>
          <w:sz w:val="27"/>
          <w:rtl/>
          <w:lang w:bidi="ar-LB"/>
        </w:rPr>
        <w:t>ُ</w:t>
      </w:r>
      <w:r w:rsidRPr="00282AC9">
        <w:rPr>
          <w:rFonts w:hint="cs"/>
          <w:sz w:val="27"/>
          <w:rtl/>
          <w:lang w:bidi="ar-LB"/>
        </w:rPr>
        <w:t>ك الخارجي من العبد لا يت</w:t>
      </w:r>
      <w:r w:rsidR="00122316" w:rsidRPr="00282AC9">
        <w:rPr>
          <w:rFonts w:hint="cs"/>
          <w:sz w:val="27"/>
          <w:rtl/>
          <w:lang w:bidi="ar-LB"/>
        </w:rPr>
        <w:t>ّصف بالشدة والضعف دائماً، وإ</w:t>
      </w:r>
      <w:r w:rsidRPr="00282AC9">
        <w:rPr>
          <w:rFonts w:hint="cs"/>
          <w:sz w:val="27"/>
          <w:rtl/>
          <w:lang w:bidi="ar-LB"/>
        </w:rPr>
        <w:t>نْ ات</w:t>
      </w:r>
      <w:r w:rsidR="00122316" w:rsidRPr="00282AC9">
        <w:rPr>
          <w:rFonts w:hint="cs"/>
          <w:sz w:val="27"/>
          <w:rtl/>
          <w:lang w:bidi="ar-LB"/>
        </w:rPr>
        <w:t>ّ</w:t>
      </w:r>
      <w:r w:rsidRPr="00282AC9">
        <w:rPr>
          <w:rFonts w:hint="cs"/>
          <w:sz w:val="27"/>
          <w:rtl/>
          <w:lang w:bidi="ar-LB"/>
        </w:rPr>
        <w:t xml:space="preserve">صف بهما غالباً </w:t>
      </w:r>
      <w:r w:rsidRPr="00282AC9">
        <w:rPr>
          <w:sz w:val="27"/>
          <w:rtl/>
          <w:lang w:bidi="ar-LB"/>
        </w:rPr>
        <w:t>ـ</w:t>
      </w:r>
      <w:r w:rsidRPr="00282AC9">
        <w:rPr>
          <w:rFonts w:hint="cs"/>
          <w:sz w:val="27"/>
          <w:rtl/>
          <w:lang w:bidi="ar-LB"/>
        </w:rPr>
        <w:t xml:space="preserve"> </w:t>
      </w:r>
      <w:r w:rsidR="00122316" w:rsidRPr="00282AC9">
        <w:rPr>
          <w:rFonts w:hint="cs"/>
          <w:sz w:val="27"/>
          <w:rtl/>
          <w:lang w:bidi="ar-LB"/>
        </w:rPr>
        <w:t>إ</w:t>
      </w:r>
      <w:r w:rsidRPr="00282AC9">
        <w:rPr>
          <w:rFonts w:hint="cs"/>
          <w:sz w:val="27"/>
          <w:rtl/>
          <w:lang w:bidi="ar-LB"/>
        </w:rPr>
        <w:t>مّا باعتبار دفع الموانع</w:t>
      </w:r>
      <w:r w:rsidR="00122316" w:rsidRPr="00282AC9">
        <w:rPr>
          <w:rFonts w:hint="cs"/>
          <w:sz w:val="27"/>
          <w:rtl/>
          <w:lang w:bidi="ar-LB"/>
        </w:rPr>
        <w:t>؛</w:t>
      </w:r>
      <w:r w:rsidRPr="00282AC9">
        <w:rPr>
          <w:rFonts w:hint="cs"/>
          <w:sz w:val="27"/>
          <w:rtl/>
          <w:lang w:bidi="ar-LB"/>
        </w:rPr>
        <w:t xml:space="preserve"> و</w:t>
      </w:r>
      <w:r w:rsidR="00122316" w:rsidRPr="00282AC9">
        <w:rPr>
          <w:rFonts w:hint="cs"/>
          <w:sz w:val="27"/>
          <w:rtl/>
          <w:lang w:bidi="ar-LB"/>
        </w:rPr>
        <w:t>إ</w:t>
      </w:r>
      <w:r w:rsidRPr="00282AC9">
        <w:rPr>
          <w:rFonts w:hint="cs"/>
          <w:sz w:val="27"/>
          <w:rtl/>
          <w:lang w:bidi="ar-LB"/>
        </w:rPr>
        <w:t xml:space="preserve">مّا باعتبارٍ آخر </w:t>
      </w:r>
      <w:r w:rsidRPr="00282AC9">
        <w:rPr>
          <w:sz w:val="27"/>
          <w:rtl/>
          <w:lang w:bidi="ar-LB"/>
        </w:rPr>
        <w:t>ـ</w:t>
      </w:r>
      <w:r w:rsidR="00122316" w:rsidRPr="00282AC9">
        <w:rPr>
          <w:rFonts w:hint="cs"/>
          <w:sz w:val="27"/>
          <w:rtl/>
          <w:lang w:bidi="ar-LB"/>
        </w:rPr>
        <w:t>،</w:t>
      </w:r>
      <w:r w:rsidRPr="00282AC9">
        <w:rPr>
          <w:rFonts w:hint="cs"/>
          <w:sz w:val="27"/>
          <w:rtl/>
          <w:lang w:bidi="ar-LB"/>
        </w:rPr>
        <w:t xml:space="preserve"> إلا</w:t>
      </w:r>
      <w:r w:rsidR="00122316" w:rsidRPr="00282AC9">
        <w:rPr>
          <w:rFonts w:hint="cs"/>
          <w:sz w:val="27"/>
          <w:rtl/>
          <w:lang w:bidi="ar-LB"/>
        </w:rPr>
        <w:t>ّ</w:t>
      </w:r>
      <w:r w:rsidRPr="00282AC9">
        <w:rPr>
          <w:rFonts w:hint="cs"/>
          <w:sz w:val="27"/>
          <w:rtl/>
          <w:lang w:bidi="ar-LB"/>
        </w:rPr>
        <w:t xml:space="preserve"> أنّ اقتضاء التحر</w:t>
      </w:r>
      <w:r w:rsidR="00122316" w:rsidRPr="00282AC9">
        <w:rPr>
          <w:rFonts w:hint="cs"/>
          <w:sz w:val="27"/>
          <w:rtl/>
          <w:lang w:bidi="ar-LB"/>
        </w:rPr>
        <w:t>ُّ</w:t>
      </w:r>
      <w:r w:rsidRPr="00282AC9">
        <w:rPr>
          <w:rFonts w:hint="cs"/>
          <w:sz w:val="27"/>
          <w:rtl/>
          <w:lang w:bidi="ar-LB"/>
        </w:rPr>
        <w:t>ك مختلفة</w:t>
      </w:r>
      <w:r w:rsidR="00122316" w:rsidRPr="00282AC9">
        <w:rPr>
          <w:rFonts w:hint="cs"/>
          <w:sz w:val="27"/>
          <w:rtl/>
          <w:lang w:bidi="ar-LB"/>
        </w:rPr>
        <w:t>ٌ</w:t>
      </w:r>
      <w:r w:rsidRPr="00282AC9">
        <w:rPr>
          <w:rFonts w:hint="cs"/>
          <w:sz w:val="27"/>
          <w:rtl/>
          <w:lang w:bidi="ar-LB"/>
        </w:rPr>
        <w:t xml:space="preserve"> دائماً </w:t>
      </w:r>
      <w:r w:rsidRPr="00282AC9">
        <w:rPr>
          <w:sz w:val="27"/>
          <w:rtl/>
          <w:lang w:bidi="ar-LB"/>
        </w:rPr>
        <w:t>ـ</w:t>
      </w:r>
      <w:r w:rsidRPr="00282AC9">
        <w:rPr>
          <w:rFonts w:hint="cs"/>
          <w:sz w:val="27"/>
          <w:rtl/>
          <w:lang w:bidi="ar-LB"/>
        </w:rPr>
        <w:t xml:space="preserve"> كما عرف</w:t>
      </w:r>
      <w:r w:rsidR="00122316" w:rsidRPr="00282AC9">
        <w:rPr>
          <w:rFonts w:hint="cs"/>
          <w:sz w:val="27"/>
          <w:rtl/>
          <w:lang w:bidi="ar-LB"/>
        </w:rPr>
        <w:t>ْ</w:t>
      </w:r>
      <w:r w:rsidRPr="00282AC9">
        <w:rPr>
          <w:rFonts w:hint="cs"/>
          <w:sz w:val="27"/>
          <w:rtl/>
          <w:lang w:bidi="ar-LB"/>
        </w:rPr>
        <w:t>ت</w:t>
      </w:r>
      <w:r w:rsidR="00122316" w:rsidRPr="00282AC9">
        <w:rPr>
          <w:rFonts w:hint="cs"/>
          <w:sz w:val="27"/>
          <w:rtl/>
          <w:lang w:bidi="ar-LB"/>
        </w:rPr>
        <w:t>َ</w:t>
      </w:r>
      <w:r w:rsidRPr="00282AC9">
        <w:rPr>
          <w:rFonts w:hint="cs"/>
          <w:sz w:val="27"/>
          <w:rtl/>
          <w:lang w:bidi="ar-LB"/>
        </w:rPr>
        <w:t xml:space="preserve"> </w:t>
      </w:r>
      <w:r w:rsidRPr="00282AC9">
        <w:rPr>
          <w:sz w:val="27"/>
          <w:rtl/>
          <w:lang w:bidi="ar-LB"/>
        </w:rPr>
        <w:t>ـ</w:t>
      </w:r>
      <w:r w:rsidR="00122316" w:rsidRPr="00282AC9">
        <w:rPr>
          <w:rFonts w:hint="cs"/>
          <w:sz w:val="27"/>
          <w:rtl/>
          <w:lang w:bidi="ar-LB"/>
        </w:rPr>
        <w:t>،</w:t>
      </w:r>
      <w:r w:rsidRPr="00282AC9">
        <w:rPr>
          <w:rFonts w:hint="cs"/>
          <w:sz w:val="27"/>
          <w:rtl/>
          <w:lang w:bidi="ar-LB"/>
        </w:rPr>
        <w:t xml:space="preserve"> ح</w:t>
      </w:r>
      <w:r w:rsidR="00122316" w:rsidRPr="00282AC9">
        <w:rPr>
          <w:rFonts w:hint="cs"/>
          <w:sz w:val="27"/>
          <w:rtl/>
          <w:lang w:bidi="ar-LB"/>
        </w:rPr>
        <w:t>َ</w:t>
      </w:r>
      <w:r w:rsidRPr="00282AC9">
        <w:rPr>
          <w:rFonts w:hint="cs"/>
          <w:sz w:val="27"/>
          <w:rtl/>
          <w:lang w:bidi="ar-LB"/>
        </w:rPr>
        <w:t>س</w:t>
      </w:r>
      <w:r w:rsidR="00122316" w:rsidRPr="00282AC9">
        <w:rPr>
          <w:rFonts w:hint="cs"/>
          <w:sz w:val="27"/>
          <w:rtl/>
          <w:lang w:bidi="ar-LB"/>
        </w:rPr>
        <w:t>ْ</w:t>
      </w:r>
      <w:r w:rsidRPr="00282AC9">
        <w:rPr>
          <w:rFonts w:hint="cs"/>
          <w:sz w:val="27"/>
          <w:rtl/>
          <w:lang w:bidi="ar-LB"/>
        </w:rPr>
        <w:t>ب اختلاف درجة شوق المولى</w:t>
      </w:r>
      <w:r w:rsidR="005053B3" w:rsidRPr="00282AC9">
        <w:rPr>
          <w:rFonts w:hint="cs"/>
          <w:sz w:val="27"/>
          <w:rtl/>
          <w:lang w:bidi="ar-LB"/>
        </w:rPr>
        <w:t xml:space="preserve"> إلى </w:t>
      </w:r>
      <w:r w:rsidRPr="00282AC9">
        <w:rPr>
          <w:rFonts w:hint="cs"/>
          <w:sz w:val="27"/>
          <w:rtl/>
          <w:lang w:bidi="ar-LB"/>
        </w:rPr>
        <w:t>الفعل، الناتج من اختلاف درجة المصالح الواقعية.</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وثالثاً</w:t>
      </w:r>
      <w:r w:rsidR="00122316" w:rsidRPr="00282AC9">
        <w:rPr>
          <w:rFonts w:hint="cs"/>
          <w:sz w:val="27"/>
          <w:rtl/>
          <w:lang w:bidi="ar-LB"/>
        </w:rPr>
        <w:t>: بأنه</w:t>
      </w:r>
      <w:r w:rsidRPr="00282AC9">
        <w:rPr>
          <w:rFonts w:hint="cs"/>
          <w:sz w:val="27"/>
          <w:rtl/>
          <w:lang w:bidi="ar-LB"/>
        </w:rPr>
        <w:t xml:space="preserve"> </w:t>
      </w:r>
      <w:r w:rsidR="00122316" w:rsidRPr="00282AC9">
        <w:rPr>
          <w:rFonts w:hint="cs"/>
          <w:sz w:val="27"/>
          <w:rtl/>
          <w:lang w:bidi="ar-LB"/>
        </w:rPr>
        <w:t xml:space="preserve">لو </w:t>
      </w:r>
      <w:r w:rsidRPr="00282AC9">
        <w:rPr>
          <w:rFonts w:hint="cs"/>
          <w:sz w:val="27"/>
          <w:rtl/>
          <w:lang w:bidi="ar-LB"/>
        </w:rPr>
        <w:t>سلّ</w:t>
      </w:r>
      <w:r w:rsidR="00122316" w:rsidRPr="00282AC9">
        <w:rPr>
          <w:rFonts w:hint="cs"/>
          <w:sz w:val="27"/>
          <w:rtl/>
          <w:lang w:bidi="ar-LB"/>
        </w:rPr>
        <w:t>َ</w:t>
      </w:r>
      <w:r w:rsidRPr="00282AC9">
        <w:rPr>
          <w:rFonts w:hint="cs"/>
          <w:sz w:val="27"/>
          <w:rtl/>
          <w:lang w:bidi="ar-LB"/>
        </w:rPr>
        <w:t>منا بأنّ الح</w:t>
      </w:r>
      <w:r w:rsidR="00122316" w:rsidRPr="00282AC9">
        <w:rPr>
          <w:rFonts w:hint="cs"/>
          <w:sz w:val="27"/>
          <w:rtl/>
          <w:lang w:bidi="ar-LB"/>
        </w:rPr>
        <w:t>ُ</w:t>
      </w:r>
      <w:r w:rsidRPr="00282AC9">
        <w:rPr>
          <w:rFonts w:hint="cs"/>
          <w:sz w:val="27"/>
          <w:rtl/>
          <w:lang w:bidi="ar-LB"/>
        </w:rPr>
        <w:t>س</w:t>
      </w:r>
      <w:r w:rsidR="00122316" w:rsidRPr="00282AC9">
        <w:rPr>
          <w:rFonts w:hint="cs"/>
          <w:sz w:val="27"/>
          <w:rtl/>
          <w:lang w:bidi="ar-LB"/>
        </w:rPr>
        <w:t>ْ</w:t>
      </w:r>
      <w:r w:rsidRPr="00282AC9">
        <w:rPr>
          <w:rFonts w:hint="cs"/>
          <w:sz w:val="27"/>
          <w:rtl/>
          <w:lang w:bidi="ar-LB"/>
        </w:rPr>
        <w:t>ن قد يكون غير لزومي</w:t>
      </w:r>
      <w:r w:rsidR="00122316" w:rsidRPr="00282AC9">
        <w:rPr>
          <w:rFonts w:hint="cs"/>
          <w:sz w:val="27"/>
          <w:rtl/>
          <w:lang w:bidi="ar-LB"/>
        </w:rPr>
        <w:t>ٍّ،</w:t>
      </w:r>
      <w:r w:rsidRPr="00282AC9">
        <w:rPr>
          <w:rFonts w:hint="cs"/>
          <w:sz w:val="27"/>
          <w:rtl/>
          <w:lang w:bidi="ar-LB"/>
        </w:rPr>
        <w:t xml:space="preserve"> وسلّ</w:t>
      </w:r>
      <w:r w:rsidR="00122316" w:rsidRPr="00282AC9">
        <w:rPr>
          <w:rFonts w:hint="cs"/>
          <w:sz w:val="27"/>
          <w:rtl/>
          <w:lang w:bidi="ar-LB"/>
        </w:rPr>
        <w:t>َ</w:t>
      </w:r>
      <w:r w:rsidRPr="00282AC9">
        <w:rPr>
          <w:rFonts w:hint="cs"/>
          <w:sz w:val="27"/>
          <w:rtl/>
          <w:lang w:bidi="ar-LB"/>
        </w:rPr>
        <w:t>منا أن الإرادة التكوينية لا تكون إلا</w:t>
      </w:r>
      <w:r w:rsidR="00122316" w:rsidRPr="00282AC9">
        <w:rPr>
          <w:rFonts w:hint="cs"/>
          <w:sz w:val="27"/>
          <w:rtl/>
          <w:lang w:bidi="ar-LB"/>
        </w:rPr>
        <w:t>ّ</w:t>
      </w:r>
      <w:r w:rsidRPr="00282AC9">
        <w:rPr>
          <w:rFonts w:hint="cs"/>
          <w:sz w:val="27"/>
          <w:rtl/>
          <w:lang w:bidi="ar-LB"/>
        </w:rPr>
        <w:t xml:space="preserve"> لزومي</w:t>
      </w:r>
      <w:r w:rsidR="00122316" w:rsidRPr="00282AC9">
        <w:rPr>
          <w:rFonts w:hint="cs"/>
          <w:sz w:val="27"/>
          <w:rtl/>
          <w:lang w:bidi="ar-LB"/>
        </w:rPr>
        <w:t>ّ</w:t>
      </w:r>
      <w:r w:rsidRPr="00282AC9">
        <w:rPr>
          <w:rFonts w:hint="cs"/>
          <w:sz w:val="27"/>
          <w:rtl/>
          <w:lang w:bidi="ar-LB"/>
        </w:rPr>
        <w:t>ة</w:t>
      </w:r>
      <w:r w:rsidR="00122316" w:rsidRPr="00282AC9">
        <w:rPr>
          <w:rFonts w:hint="cs"/>
          <w:sz w:val="27"/>
          <w:rtl/>
          <w:lang w:bidi="ar-LB"/>
        </w:rPr>
        <w:t>ً،</w:t>
      </w:r>
      <w:r w:rsidRPr="00282AC9">
        <w:rPr>
          <w:rFonts w:hint="cs"/>
          <w:sz w:val="27"/>
          <w:rtl/>
          <w:lang w:bidi="ar-LB"/>
        </w:rPr>
        <w:t xml:space="preserve"> </w:t>
      </w:r>
      <w:r w:rsidR="00122316" w:rsidRPr="00282AC9">
        <w:rPr>
          <w:rFonts w:hint="cs"/>
          <w:sz w:val="27"/>
          <w:rtl/>
          <w:lang w:bidi="ar-LB"/>
        </w:rPr>
        <w:t>فإننا</w:t>
      </w:r>
      <w:r w:rsidRPr="00282AC9">
        <w:rPr>
          <w:rFonts w:hint="cs"/>
          <w:sz w:val="27"/>
          <w:rtl/>
          <w:lang w:bidi="ar-LB"/>
        </w:rPr>
        <w:t xml:space="preserve"> لا نسلّ</w:t>
      </w:r>
      <w:r w:rsidR="00122316" w:rsidRPr="00282AC9">
        <w:rPr>
          <w:rFonts w:hint="cs"/>
          <w:sz w:val="27"/>
          <w:rtl/>
          <w:lang w:bidi="ar-LB"/>
        </w:rPr>
        <w:t>ِ</w:t>
      </w:r>
      <w:r w:rsidRPr="00282AC9">
        <w:rPr>
          <w:rFonts w:hint="cs"/>
          <w:sz w:val="27"/>
          <w:rtl/>
          <w:lang w:bidi="ar-LB"/>
        </w:rPr>
        <w:t>م قياس التكويني</w:t>
      </w:r>
      <w:r w:rsidR="00122316" w:rsidRPr="00282AC9">
        <w:rPr>
          <w:rFonts w:hint="cs"/>
          <w:sz w:val="27"/>
          <w:rtl/>
          <w:lang w:bidi="ar-LB"/>
        </w:rPr>
        <w:t>ّ</w:t>
      </w:r>
      <w:r w:rsidRPr="00282AC9">
        <w:rPr>
          <w:rFonts w:hint="cs"/>
          <w:sz w:val="27"/>
          <w:rtl/>
          <w:lang w:bidi="ar-LB"/>
        </w:rPr>
        <w:t>ة بالتشريعي</w:t>
      </w:r>
      <w:r w:rsidR="00122316" w:rsidRPr="00282AC9">
        <w:rPr>
          <w:rFonts w:hint="cs"/>
          <w:sz w:val="27"/>
          <w:rtl/>
          <w:lang w:bidi="ar-LB"/>
        </w:rPr>
        <w:t>ّ</w:t>
      </w:r>
      <w:r w:rsidRPr="00282AC9">
        <w:rPr>
          <w:rFonts w:hint="cs"/>
          <w:sz w:val="27"/>
          <w:rtl/>
          <w:lang w:bidi="ar-LB"/>
        </w:rPr>
        <w:t>ة</w:t>
      </w:r>
      <w:r w:rsidR="00122316" w:rsidRPr="00282AC9">
        <w:rPr>
          <w:rFonts w:hint="cs"/>
          <w:sz w:val="27"/>
          <w:rtl/>
          <w:lang w:bidi="ar-LB"/>
        </w:rPr>
        <w:t>،</w:t>
      </w:r>
      <w:r w:rsidRPr="00282AC9">
        <w:rPr>
          <w:rFonts w:hint="cs"/>
          <w:sz w:val="27"/>
          <w:rtl/>
          <w:lang w:bidi="ar-LB"/>
        </w:rPr>
        <w:t xml:space="preserve"> ومن ثم</w:t>
      </w:r>
      <w:r w:rsidR="00122316" w:rsidRPr="00282AC9">
        <w:rPr>
          <w:rFonts w:hint="cs"/>
          <w:sz w:val="27"/>
          <w:rtl/>
          <w:lang w:bidi="ar-LB"/>
        </w:rPr>
        <w:t>ّ</w:t>
      </w:r>
      <w:r w:rsidRPr="00282AC9">
        <w:rPr>
          <w:rFonts w:hint="cs"/>
          <w:sz w:val="27"/>
          <w:rtl/>
          <w:lang w:bidi="ar-LB"/>
        </w:rPr>
        <w:t xml:space="preserve"> إسراء ما في </w:t>
      </w:r>
      <w:r w:rsidR="00122316" w:rsidRPr="00282AC9">
        <w:rPr>
          <w:rFonts w:hint="cs"/>
          <w:sz w:val="27"/>
          <w:rtl/>
          <w:lang w:bidi="ar-LB"/>
        </w:rPr>
        <w:t>أ</w:t>
      </w:r>
      <w:r w:rsidRPr="00282AC9">
        <w:rPr>
          <w:rFonts w:hint="cs"/>
          <w:sz w:val="27"/>
          <w:rtl/>
          <w:lang w:bidi="ar-LB"/>
        </w:rPr>
        <w:t>حدهما من الخصوصية</w:t>
      </w:r>
      <w:r w:rsidR="005053B3" w:rsidRPr="00282AC9">
        <w:rPr>
          <w:rFonts w:hint="cs"/>
          <w:sz w:val="27"/>
          <w:rtl/>
          <w:lang w:bidi="ar-LB"/>
        </w:rPr>
        <w:t xml:space="preserve"> إلى </w:t>
      </w:r>
      <w:r w:rsidRPr="00282AC9">
        <w:rPr>
          <w:rFonts w:hint="cs"/>
          <w:sz w:val="27"/>
          <w:rtl/>
          <w:lang w:bidi="ar-LB"/>
        </w:rPr>
        <w:t>الأخرى.</w:t>
      </w:r>
    </w:p>
    <w:p w:rsidR="00A9019A" w:rsidRPr="00282AC9" w:rsidRDefault="00A9019A" w:rsidP="00B16272">
      <w:pPr>
        <w:tabs>
          <w:tab w:val="right" w:pos="6930"/>
        </w:tabs>
        <w:suppressAutoHyphens/>
        <w:rPr>
          <w:sz w:val="27"/>
          <w:rtl/>
          <w:lang w:bidi="ar-LB"/>
        </w:rPr>
      </w:pPr>
      <w:r w:rsidRPr="00282AC9">
        <w:rPr>
          <w:rFonts w:hint="cs"/>
          <w:b/>
          <w:bCs/>
          <w:sz w:val="27"/>
          <w:rtl/>
          <w:lang w:bidi="ar-LB"/>
        </w:rPr>
        <w:t>توضيح ذلك</w:t>
      </w:r>
      <w:r w:rsidRPr="00282AC9">
        <w:rPr>
          <w:rFonts w:hint="cs"/>
          <w:sz w:val="27"/>
          <w:rtl/>
          <w:lang w:bidi="ar-LB"/>
        </w:rPr>
        <w:t>:</w:t>
      </w:r>
      <w:r w:rsidR="00122316" w:rsidRPr="00282AC9">
        <w:rPr>
          <w:rFonts w:hint="cs"/>
          <w:sz w:val="27"/>
          <w:rtl/>
          <w:lang w:bidi="ar-LB"/>
        </w:rPr>
        <w:t xml:space="preserve"> إ</w:t>
      </w:r>
      <w:r w:rsidRPr="00282AC9">
        <w:rPr>
          <w:rFonts w:hint="cs"/>
          <w:sz w:val="27"/>
          <w:rtl/>
          <w:lang w:bidi="ar-LB"/>
        </w:rPr>
        <w:t>نّ تمامية الاستدلال موقوفة</w:t>
      </w:r>
      <w:r w:rsidR="00122316" w:rsidRPr="00282AC9">
        <w:rPr>
          <w:rFonts w:hint="cs"/>
          <w:sz w:val="27"/>
          <w:rtl/>
          <w:lang w:bidi="ar-LB"/>
        </w:rPr>
        <w:t>ٌ</w:t>
      </w:r>
      <w:r w:rsidRPr="00282AC9">
        <w:rPr>
          <w:rFonts w:hint="cs"/>
          <w:sz w:val="27"/>
          <w:rtl/>
          <w:lang w:bidi="ar-LB"/>
        </w:rPr>
        <w:t xml:space="preserve"> على الموازنة بين الإرادتين، في</w:t>
      </w:r>
      <w:r w:rsidR="00122316" w:rsidRPr="00282AC9">
        <w:rPr>
          <w:rFonts w:hint="cs"/>
          <w:sz w:val="27"/>
          <w:rtl/>
          <w:lang w:bidi="ar-LB"/>
        </w:rPr>
        <w:t>ُ</w:t>
      </w:r>
      <w:r w:rsidRPr="00282AC9">
        <w:rPr>
          <w:rFonts w:hint="cs"/>
          <w:sz w:val="27"/>
          <w:rtl/>
          <w:lang w:bidi="ar-LB"/>
        </w:rPr>
        <w:t>قال عندئذٍ: إنّه إذا ثبت عدم الملازمة بين ح</w:t>
      </w:r>
      <w:r w:rsidR="000D625E" w:rsidRPr="00282AC9">
        <w:rPr>
          <w:rFonts w:hint="cs"/>
          <w:sz w:val="27"/>
          <w:rtl/>
          <w:lang w:bidi="ar-LB"/>
        </w:rPr>
        <w:t>ُ</w:t>
      </w:r>
      <w:r w:rsidRPr="00282AC9">
        <w:rPr>
          <w:rFonts w:hint="cs"/>
          <w:sz w:val="27"/>
          <w:rtl/>
          <w:lang w:bidi="ar-LB"/>
        </w:rPr>
        <w:t>س</w:t>
      </w:r>
      <w:r w:rsidR="000D625E" w:rsidRPr="00282AC9">
        <w:rPr>
          <w:rFonts w:hint="cs"/>
          <w:sz w:val="27"/>
          <w:rtl/>
          <w:lang w:bidi="ar-LB"/>
        </w:rPr>
        <w:t>ْ</w:t>
      </w:r>
      <w:r w:rsidRPr="00282AC9">
        <w:rPr>
          <w:rFonts w:hint="cs"/>
          <w:sz w:val="27"/>
          <w:rtl/>
          <w:lang w:bidi="ar-LB"/>
        </w:rPr>
        <w:t>ن الشيء وإرادته تكويناً؛ وذلك لكون الح</w:t>
      </w:r>
      <w:r w:rsidR="000D625E" w:rsidRPr="00282AC9">
        <w:rPr>
          <w:rFonts w:hint="cs"/>
          <w:sz w:val="27"/>
          <w:rtl/>
          <w:lang w:bidi="ar-LB"/>
        </w:rPr>
        <w:t>ُ</w:t>
      </w:r>
      <w:r w:rsidRPr="00282AC9">
        <w:rPr>
          <w:rFonts w:hint="cs"/>
          <w:sz w:val="27"/>
          <w:rtl/>
          <w:lang w:bidi="ar-LB"/>
        </w:rPr>
        <w:t>س</w:t>
      </w:r>
      <w:r w:rsidR="000D625E" w:rsidRPr="00282AC9">
        <w:rPr>
          <w:rFonts w:hint="cs"/>
          <w:sz w:val="27"/>
          <w:rtl/>
          <w:lang w:bidi="ar-LB"/>
        </w:rPr>
        <w:t>ْ</w:t>
      </w:r>
      <w:r w:rsidRPr="00282AC9">
        <w:rPr>
          <w:rFonts w:hint="cs"/>
          <w:sz w:val="27"/>
          <w:rtl/>
          <w:lang w:bidi="ar-LB"/>
        </w:rPr>
        <w:t>ن غير</w:t>
      </w:r>
      <w:r w:rsidR="000D625E" w:rsidRPr="00282AC9">
        <w:rPr>
          <w:rFonts w:hint="cs"/>
          <w:sz w:val="27"/>
          <w:rtl/>
          <w:lang w:bidi="ar-LB"/>
        </w:rPr>
        <w:t>َ</w:t>
      </w:r>
      <w:r w:rsidRPr="00282AC9">
        <w:rPr>
          <w:rFonts w:hint="cs"/>
          <w:sz w:val="27"/>
          <w:rtl/>
          <w:lang w:bidi="ar-LB"/>
        </w:rPr>
        <w:t xml:space="preserve"> لزوميّ</w:t>
      </w:r>
      <w:r w:rsidR="000D625E" w:rsidRPr="00282AC9">
        <w:rPr>
          <w:rFonts w:hint="cs"/>
          <w:sz w:val="27"/>
          <w:rtl/>
          <w:lang w:bidi="ar-LB"/>
        </w:rPr>
        <w:t>ٍ</w:t>
      </w:r>
      <w:r w:rsidRPr="00282AC9">
        <w:rPr>
          <w:rFonts w:hint="cs"/>
          <w:sz w:val="27"/>
          <w:rtl/>
          <w:lang w:bidi="ar-LB"/>
        </w:rPr>
        <w:t xml:space="preserve"> في بعض الأحيان، فسوف يثبت عدم الملازمة بين ح</w:t>
      </w:r>
      <w:r w:rsidR="000D625E" w:rsidRPr="00282AC9">
        <w:rPr>
          <w:rFonts w:hint="cs"/>
          <w:sz w:val="27"/>
          <w:rtl/>
          <w:lang w:bidi="ar-LB"/>
        </w:rPr>
        <w:t>ُ</w:t>
      </w:r>
      <w:r w:rsidRPr="00282AC9">
        <w:rPr>
          <w:rFonts w:hint="cs"/>
          <w:sz w:val="27"/>
          <w:rtl/>
          <w:lang w:bidi="ar-LB"/>
        </w:rPr>
        <w:t>س</w:t>
      </w:r>
      <w:r w:rsidR="000D625E" w:rsidRPr="00282AC9">
        <w:rPr>
          <w:rFonts w:hint="cs"/>
          <w:sz w:val="27"/>
          <w:rtl/>
          <w:lang w:bidi="ar-LB"/>
        </w:rPr>
        <w:t>ْن الشيء وإ</w:t>
      </w:r>
      <w:r w:rsidRPr="00282AC9">
        <w:rPr>
          <w:rFonts w:hint="cs"/>
          <w:sz w:val="27"/>
          <w:rtl/>
          <w:lang w:bidi="ar-LB"/>
        </w:rPr>
        <w:t>رادته تشريعاً؛ لنفس الن</w:t>
      </w:r>
      <w:r w:rsidR="000D625E" w:rsidRPr="00282AC9">
        <w:rPr>
          <w:rFonts w:hint="cs"/>
          <w:sz w:val="27"/>
          <w:rtl/>
          <w:lang w:bidi="ar-LB"/>
        </w:rPr>
        <w:t>ُّ</w:t>
      </w:r>
      <w:r w:rsidRPr="00282AC9">
        <w:rPr>
          <w:rFonts w:hint="cs"/>
          <w:sz w:val="27"/>
          <w:rtl/>
          <w:lang w:bidi="ar-LB"/>
        </w:rPr>
        <w:t>ك</w:t>
      </w:r>
      <w:r w:rsidR="000D625E" w:rsidRPr="00282AC9">
        <w:rPr>
          <w:rFonts w:hint="cs"/>
          <w:sz w:val="27"/>
          <w:rtl/>
          <w:lang w:bidi="ar-LB"/>
        </w:rPr>
        <w:t>ْتة؛ فإن الإ</w:t>
      </w:r>
      <w:r w:rsidRPr="00282AC9">
        <w:rPr>
          <w:rFonts w:hint="cs"/>
          <w:sz w:val="27"/>
          <w:rtl/>
          <w:lang w:bidi="ar-LB"/>
        </w:rPr>
        <w:t>رادتين من سنخ</w:t>
      </w:r>
      <w:r w:rsidR="000D625E" w:rsidRPr="00282AC9">
        <w:rPr>
          <w:rFonts w:hint="cs"/>
          <w:sz w:val="27"/>
          <w:rtl/>
          <w:lang w:bidi="ar-LB"/>
        </w:rPr>
        <w:t>ٍ واحدٍ، وكلّ ما يمتنع في إ</w:t>
      </w:r>
      <w:r w:rsidRPr="00282AC9">
        <w:rPr>
          <w:rFonts w:hint="cs"/>
          <w:sz w:val="27"/>
          <w:rtl/>
          <w:lang w:bidi="ar-LB"/>
        </w:rPr>
        <w:t>حداهما يمتنع في الأخرى.</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والجواب</w:t>
      </w:r>
      <w:r w:rsidRPr="00282AC9">
        <w:rPr>
          <w:rFonts w:hint="cs"/>
          <w:sz w:val="27"/>
          <w:rtl/>
          <w:lang w:bidi="ar-LB"/>
        </w:rPr>
        <w:t xml:space="preserve">: </w:t>
      </w:r>
      <w:r w:rsidR="000D625E" w:rsidRPr="00282AC9">
        <w:rPr>
          <w:rFonts w:hint="cs"/>
          <w:sz w:val="27"/>
          <w:rtl/>
          <w:lang w:bidi="ar-LB"/>
        </w:rPr>
        <w:t>إ</w:t>
      </w:r>
      <w:r w:rsidRPr="00282AC9">
        <w:rPr>
          <w:rFonts w:hint="cs"/>
          <w:sz w:val="27"/>
          <w:rtl/>
          <w:lang w:bidi="ar-LB"/>
        </w:rPr>
        <w:t>نّه لا دليل على هذه الموازنة</w:t>
      </w:r>
      <w:r w:rsidR="000D625E" w:rsidRPr="00282AC9">
        <w:rPr>
          <w:rFonts w:hint="cs"/>
          <w:sz w:val="27"/>
          <w:rtl/>
          <w:lang w:bidi="ar-LB"/>
        </w:rPr>
        <w:t>؛ لوضوح أنّ إ</w:t>
      </w:r>
      <w:r w:rsidRPr="00282AC9">
        <w:rPr>
          <w:rFonts w:hint="cs"/>
          <w:sz w:val="27"/>
          <w:rtl/>
          <w:lang w:bidi="ar-LB"/>
        </w:rPr>
        <w:t>رادة فعل الغير لا تكون محرّ</w:t>
      </w:r>
      <w:r w:rsidR="000D625E" w:rsidRPr="00282AC9">
        <w:rPr>
          <w:rFonts w:hint="cs"/>
          <w:sz w:val="27"/>
          <w:rtl/>
          <w:lang w:bidi="ar-LB"/>
        </w:rPr>
        <w:t>ِ</w:t>
      </w:r>
      <w:r w:rsidRPr="00282AC9">
        <w:rPr>
          <w:rFonts w:hint="cs"/>
          <w:sz w:val="27"/>
          <w:rtl/>
          <w:lang w:bidi="ar-LB"/>
        </w:rPr>
        <w:t>كة</w:t>
      </w:r>
      <w:r w:rsidR="000D625E" w:rsidRPr="00282AC9">
        <w:rPr>
          <w:rFonts w:hint="cs"/>
          <w:sz w:val="27"/>
          <w:rtl/>
          <w:lang w:bidi="ar-LB"/>
        </w:rPr>
        <w:t>ً</w:t>
      </w:r>
      <w:r w:rsidRPr="00282AC9">
        <w:rPr>
          <w:rFonts w:hint="cs"/>
          <w:sz w:val="27"/>
          <w:rtl/>
          <w:lang w:bidi="ar-LB"/>
        </w:rPr>
        <w:t xml:space="preserve"> لعضلات الآ</w:t>
      </w:r>
      <w:r w:rsidR="000D625E" w:rsidRPr="00282AC9">
        <w:rPr>
          <w:rFonts w:hint="cs"/>
          <w:sz w:val="27"/>
          <w:rtl/>
          <w:lang w:bidi="ar-LB"/>
        </w:rPr>
        <w:t>مر نفسه، ولا لعضلات المخاطب، وإن</w:t>
      </w:r>
      <w:r w:rsidRPr="00282AC9">
        <w:rPr>
          <w:rFonts w:hint="cs"/>
          <w:sz w:val="27"/>
          <w:rtl/>
          <w:lang w:bidi="ar-LB"/>
        </w:rPr>
        <w:t>ما هي حقيقة</w:t>
      </w:r>
      <w:r w:rsidR="000D625E" w:rsidRPr="00282AC9">
        <w:rPr>
          <w:rFonts w:hint="cs"/>
          <w:sz w:val="27"/>
          <w:rtl/>
          <w:lang w:bidi="ar-LB"/>
        </w:rPr>
        <w:t>ٌ</w:t>
      </w:r>
      <w:r w:rsidRPr="00282AC9">
        <w:rPr>
          <w:rFonts w:hint="cs"/>
          <w:sz w:val="27"/>
          <w:rtl/>
          <w:lang w:bidi="ar-LB"/>
        </w:rPr>
        <w:t xml:space="preserve"> تكوينية نفسانية متعلّ</w:t>
      </w:r>
      <w:r w:rsidR="000D625E" w:rsidRPr="00282AC9">
        <w:rPr>
          <w:rFonts w:hint="cs"/>
          <w:sz w:val="27"/>
          <w:rtl/>
          <w:lang w:bidi="ar-LB"/>
        </w:rPr>
        <w:t>ِ</w:t>
      </w:r>
      <w:r w:rsidRPr="00282AC9">
        <w:rPr>
          <w:rFonts w:hint="cs"/>
          <w:sz w:val="27"/>
          <w:rtl/>
          <w:lang w:bidi="ar-LB"/>
        </w:rPr>
        <w:t>قة بفعل الغير، لها مراتب عديدة، بين شديدة</w:t>
      </w:r>
      <w:r w:rsidR="000D625E" w:rsidRPr="00282AC9">
        <w:rPr>
          <w:rFonts w:hint="cs"/>
          <w:sz w:val="27"/>
          <w:rtl/>
          <w:lang w:bidi="ar-LB"/>
        </w:rPr>
        <w:t>ٍ</w:t>
      </w:r>
      <w:r w:rsidRPr="00282AC9">
        <w:rPr>
          <w:rFonts w:hint="cs"/>
          <w:sz w:val="27"/>
          <w:rtl/>
          <w:lang w:bidi="ar-LB"/>
        </w:rPr>
        <w:t xml:space="preserve"> تستتبع عدم الرضا بالترك، وضعيفة لا تستتبع ذلك. وهذ</w:t>
      </w:r>
      <w:r w:rsidR="000D625E" w:rsidRPr="00282AC9">
        <w:rPr>
          <w:rFonts w:hint="cs"/>
          <w:sz w:val="27"/>
          <w:rtl/>
          <w:lang w:bidi="ar-LB"/>
        </w:rPr>
        <w:t>ا بخلاف الإرادة التكوينية، فإن</w:t>
      </w:r>
      <w:r w:rsidRPr="00282AC9">
        <w:rPr>
          <w:rFonts w:hint="cs"/>
          <w:sz w:val="27"/>
          <w:rtl/>
          <w:lang w:bidi="ar-LB"/>
        </w:rPr>
        <w:t>ها</w:t>
      </w:r>
      <w:r w:rsidR="000D625E" w:rsidRPr="00282AC9">
        <w:rPr>
          <w:rFonts w:hint="cs"/>
          <w:sz w:val="27"/>
          <w:rtl/>
          <w:lang w:bidi="ar-LB"/>
        </w:rPr>
        <w:t>؛</w:t>
      </w:r>
      <w:r w:rsidRPr="00282AC9">
        <w:rPr>
          <w:rFonts w:hint="cs"/>
          <w:sz w:val="27"/>
          <w:rtl/>
          <w:lang w:bidi="ar-LB"/>
        </w:rPr>
        <w:t xml:space="preserve"> لكونها متعلّ</w:t>
      </w:r>
      <w:r w:rsidR="000D625E" w:rsidRPr="00282AC9">
        <w:rPr>
          <w:rFonts w:hint="cs"/>
          <w:sz w:val="27"/>
          <w:rtl/>
          <w:lang w:bidi="ar-LB"/>
        </w:rPr>
        <w:t>ِ</w:t>
      </w:r>
      <w:r w:rsidRPr="00282AC9">
        <w:rPr>
          <w:rFonts w:hint="cs"/>
          <w:sz w:val="27"/>
          <w:rtl/>
          <w:lang w:bidi="ar-LB"/>
        </w:rPr>
        <w:t>قة</w:t>
      </w:r>
      <w:r w:rsidR="000D625E" w:rsidRPr="00282AC9">
        <w:rPr>
          <w:rFonts w:hint="cs"/>
          <w:sz w:val="27"/>
          <w:rtl/>
          <w:lang w:bidi="ar-LB"/>
        </w:rPr>
        <w:t>ً</w:t>
      </w:r>
      <w:r w:rsidRPr="00282AC9">
        <w:rPr>
          <w:rFonts w:hint="cs"/>
          <w:sz w:val="27"/>
          <w:rtl/>
          <w:lang w:bidi="ar-LB"/>
        </w:rPr>
        <w:t xml:space="preserve"> بفعل النفس، محرّ</w:t>
      </w:r>
      <w:r w:rsidR="000D625E" w:rsidRPr="00282AC9">
        <w:rPr>
          <w:rFonts w:hint="cs"/>
          <w:sz w:val="27"/>
          <w:rtl/>
          <w:lang w:bidi="ar-LB"/>
        </w:rPr>
        <w:t>ِ</w:t>
      </w:r>
      <w:r w:rsidRPr="00282AC9">
        <w:rPr>
          <w:rFonts w:hint="cs"/>
          <w:sz w:val="27"/>
          <w:rtl/>
          <w:lang w:bidi="ar-LB"/>
        </w:rPr>
        <w:t>كة</w:t>
      </w:r>
      <w:r w:rsidR="000D625E" w:rsidRPr="00282AC9">
        <w:rPr>
          <w:rFonts w:hint="cs"/>
          <w:sz w:val="27"/>
          <w:rtl/>
          <w:lang w:bidi="ar-LB"/>
        </w:rPr>
        <w:t>ٌ</w:t>
      </w:r>
      <w:r w:rsidRPr="00282AC9">
        <w:rPr>
          <w:rFonts w:hint="cs"/>
          <w:sz w:val="27"/>
          <w:rtl/>
          <w:lang w:bidi="ar-LB"/>
        </w:rPr>
        <w:t xml:space="preserve"> لعضلات المريد، ولا معنى </w:t>
      </w:r>
      <w:r w:rsidRPr="00282AC9">
        <w:rPr>
          <w:sz w:val="27"/>
          <w:rtl/>
          <w:lang w:bidi="ar-LB"/>
        </w:rPr>
        <w:t>ـ</w:t>
      </w:r>
      <w:r w:rsidRPr="00282AC9">
        <w:rPr>
          <w:rFonts w:hint="cs"/>
          <w:sz w:val="27"/>
          <w:rtl/>
          <w:lang w:bidi="ar-LB"/>
        </w:rPr>
        <w:t xml:space="preserve"> على الفرض</w:t>
      </w:r>
      <w:r w:rsidR="000D625E" w:rsidRPr="00282AC9">
        <w:rPr>
          <w:rFonts w:hint="cs"/>
          <w:sz w:val="27"/>
          <w:rtl/>
          <w:lang w:bidi="ar-LB"/>
        </w:rPr>
        <w:t>،</w:t>
      </w:r>
      <w:r w:rsidRPr="00282AC9">
        <w:rPr>
          <w:rFonts w:hint="cs"/>
          <w:sz w:val="27"/>
          <w:rtl/>
          <w:lang w:bidi="ar-LB"/>
        </w:rPr>
        <w:t xml:space="preserve"> لا على ما هو الحقّ</w:t>
      </w:r>
      <w:r w:rsidR="000D625E" w:rsidRPr="00282AC9">
        <w:rPr>
          <w:rFonts w:hint="cs"/>
          <w:sz w:val="27"/>
          <w:rtl/>
          <w:lang w:bidi="ar-LB"/>
        </w:rPr>
        <w:t>،</w:t>
      </w:r>
      <w:r w:rsidRPr="00282AC9">
        <w:rPr>
          <w:rFonts w:hint="cs"/>
          <w:sz w:val="27"/>
          <w:rtl/>
          <w:lang w:bidi="ar-LB"/>
        </w:rPr>
        <w:t xml:space="preserve"> كما سبق </w:t>
      </w:r>
      <w:r w:rsidRPr="00282AC9">
        <w:rPr>
          <w:sz w:val="27"/>
          <w:rtl/>
          <w:lang w:bidi="ar-LB"/>
        </w:rPr>
        <w:t>ـ</w:t>
      </w:r>
      <w:r w:rsidRPr="00282AC9">
        <w:rPr>
          <w:rFonts w:hint="cs"/>
          <w:sz w:val="27"/>
          <w:rtl/>
          <w:lang w:bidi="ar-LB"/>
        </w:rPr>
        <w:t xml:space="preserve"> للشد</w:t>
      </w:r>
      <w:r w:rsidR="000D625E" w:rsidRPr="00282AC9">
        <w:rPr>
          <w:rFonts w:hint="cs"/>
          <w:sz w:val="27"/>
          <w:rtl/>
          <w:lang w:bidi="ar-LB"/>
        </w:rPr>
        <w:t>ّ</w:t>
      </w:r>
      <w:r w:rsidRPr="00282AC9">
        <w:rPr>
          <w:rFonts w:hint="cs"/>
          <w:sz w:val="27"/>
          <w:rtl/>
          <w:lang w:bidi="ar-LB"/>
        </w:rPr>
        <w:t>ة والضعف فيها، كما عليه عدّة</w:t>
      </w:r>
      <w:r w:rsidR="000D625E" w:rsidRPr="00282AC9">
        <w:rPr>
          <w:rFonts w:hint="cs"/>
          <w:sz w:val="27"/>
          <w:rtl/>
          <w:lang w:bidi="ar-LB"/>
        </w:rPr>
        <w:t>ٌ</w:t>
      </w:r>
      <w:r w:rsidRPr="00282AC9">
        <w:rPr>
          <w:rFonts w:hint="cs"/>
          <w:sz w:val="27"/>
          <w:rtl/>
          <w:lang w:bidi="ar-LB"/>
        </w:rPr>
        <w:t xml:space="preserve"> من الأصوليين.</w:t>
      </w:r>
    </w:p>
    <w:p w:rsidR="00A9019A" w:rsidRPr="00282AC9" w:rsidRDefault="00A9019A" w:rsidP="00B16272">
      <w:pPr>
        <w:tabs>
          <w:tab w:val="right" w:pos="6930"/>
        </w:tabs>
        <w:suppressAutoHyphens/>
        <w:rPr>
          <w:sz w:val="27"/>
          <w:rtl/>
          <w:lang w:bidi="ar-LB"/>
        </w:rPr>
      </w:pPr>
      <w:r w:rsidRPr="00282AC9">
        <w:rPr>
          <w:rFonts w:hint="cs"/>
          <w:b/>
          <w:bCs/>
          <w:sz w:val="27"/>
          <w:rtl/>
          <w:lang w:bidi="ar-LB"/>
        </w:rPr>
        <w:t>ورابعاً</w:t>
      </w:r>
      <w:r w:rsidR="00567DA3" w:rsidRPr="00282AC9">
        <w:rPr>
          <w:rFonts w:hint="cs"/>
          <w:sz w:val="27"/>
          <w:rtl/>
          <w:lang w:bidi="ar-LB"/>
        </w:rPr>
        <w:t>: بأنه</w:t>
      </w:r>
      <w:r w:rsidRPr="00282AC9">
        <w:rPr>
          <w:rFonts w:hint="cs"/>
          <w:sz w:val="27"/>
          <w:rtl/>
          <w:lang w:bidi="ar-LB"/>
        </w:rPr>
        <w:t xml:space="preserve"> </w:t>
      </w:r>
      <w:r w:rsidR="00567DA3" w:rsidRPr="00282AC9">
        <w:rPr>
          <w:rFonts w:hint="cs"/>
          <w:sz w:val="27"/>
          <w:rtl/>
          <w:lang w:bidi="ar-LB"/>
        </w:rPr>
        <w:t xml:space="preserve">لو </w:t>
      </w:r>
      <w:r w:rsidRPr="00282AC9">
        <w:rPr>
          <w:rFonts w:hint="cs"/>
          <w:sz w:val="27"/>
          <w:rtl/>
          <w:lang w:bidi="ar-LB"/>
        </w:rPr>
        <w:t>سلّ</w:t>
      </w:r>
      <w:r w:rsidR="00567DA3" w:rsidRPr="00282AC9">
        <w:rPr>
          <w:rFonts w:hint="cs"/>
          <w:sz w:val="27"/>
          <w:rtl/>
          <w:lang w:bidi="ar-LB"/>
        </w:rPr>
        <w:t>َ</w:t>
      </w:r>
      <w:r w:rsidRPr="00282AC9">
        <w:rPr>
          <w:rFonts w:hint="cs"/>
          <w:sz w:val="27"/>
          <w:rtl/>
          <w:lang w:bidi="ar-LB"/>
        </w:rPr>
        <w:t>منا بالأمور الثلاثة المتقد</w:t>
      </w:r>
      <w:r w:rsidR="00567DA3" w:rsidRPr="00282AC9">
        <w:rPr>
          <w:rFonts w:hint="cs"/>
          <w:sz w:val="27"/>
          <w:rtl/>
          <w:lang w:bidi="ar-LB"/>
        </w:rPr>
        <w:t>ِّ</w:t>
      </w:r>
      <w:r w:rsidRPr="00282AC9">
        <w:rPr>
          <w:rFonts w:hint="cs"/>
          <w:sz w:val="27"/>
          <w:rtl/>
          <w:lang w:bidi="ar-LB"/>
        </w:rPr>
        <w:t xml:space="preserve">مة، </w:t>
      </w:r>
      <w:r w:rsidR="00567DA3" w:rsidRPr="00282AC9">
        <w:rPr>
          <w:rFonts w:hint="cs"/>
          <w:sz w:val="27"/>
          <w:rtl/>
          <w:lang w:bidi="ar-LB"/>
        </w:rPr>
        <w:t>أي</w:t>
      </w:r>
      <w:r w:rsidRPr="00282AC9">
        <w:rPr>
          <w:rFonts w:hint="cs"/>
          <w:sz w:val="27"/>
          <w:rtl/>
          <w:lang w:bidi="ar-LB"/>
        </w:rPr>
        <w:t xml:space="preserve"> كون الح</w:t>
      </w:r>
      <w:r w:rsidR="00567DA3" w:rsidRPr="00282AC9">
        <w:rPr>
          <w:rFonts w:hint="cs"/>
          <w:sz w:val="27"/>
          <w:rtl/>
          <w:lang w:bidi="ar-LB"/>
        </w:rPr>
        <w:t>ُ</w:t>
      </w:r>
      <w:r w:rsidRPr="00282AC9">
        <w:rPr>
          <w:rFonts w:hint="cs"/>
          <w:sz w:val="27"/>
          <w:rtl/>
          <w:lang w:bidi="ar-LB"/>
        </w:rPr>
        <w:t>س</w:t>
      </w:r>
      <w:r w:rsidR="00567DA3" w:rsidRPr="00282AC9">
        <w:rPr>
          <w:rFonts w:hint="cs"/>
          <w:sz w:val="27"/>
          <w:rtl/>
          <w:lang w:bidi="ar-LB"/>
        </w:rPr>
        <w:t>ْ</w:t>
      </w:r>
      <w:r w:rsidRPr="00282AC9">
        <w:rPr>
          <w:rFonts w:hint="cs"/>
          <w:sz w:val="27"/>
          <w:rtl/>
          <w:lang w:bidi="ar-LB"/>
        </w:rPr>
        <w:t>ن غير</w:t>
      </w:r>
      <w:r w:rsidR="00567DA3" w:rsidRPr="00282AC9">
        <w:rPr>
          <w:rFonts w:hint="cs"/>
          <w:sz w:val="27"/>
          <w:rtl/>
          <w:lang w:bidi="ar-LB"/>
        </w:rPr>
        <w:t>َ</w:t>
      </w:r>
      <w:r w:rsidRPr="00282AC9">
        <w:rPr>
          <w:rFonts w:hint="cs"/>
          <w:sz w:val="27"/>
          <w:rtl/>
          <w:lang w:bidi="ar-LB"/>
        </w:rPr>
        <w:t xml:space="preserve"> لزومي</w:t>
      </w:r>
      <w:r w:rsidR="00567DA3" w:rsidRPr="00282AC9">
        <w:rPr>
          <w:rFonts w:hint="cs"/>
          <w:sz w:val="27"/>
          <w:rtl/>
          <w:lang w:bidi="ar-LB"/>
        </w:rPr>
        <w:t>ٍّ</w:t>
      </w:r>
      <w:r w:rsidRPr="00282AC9">
        <w:rPr>
          <w:rFonts w:hint="cs"/>
          <w:sz w:val="27"/>
          <w:rtl/>
          <w:lang w:bidi="ar-LB"/>
        </w:rPr>
        <w:t xml:space="preserve"> أحياناً، وكون الإرادة التكوينية لزوميّة</w:t>
      </w:r>
      <w:r w:rsidR="00567DA3" w:rsidRPr="00282AC9">
        <w:rPr>
          <w:rFonts w:hint="cs"/>
          <w:sz w:val="27"/>
          <w:rtl/>
          <w:lang w:bidi="ar-LB"/>
        </w:rPr>
        <w:t>ً</w:t>
      </w:r>
      <w:r w:rsidRPr="00282AC9">
        <w:rPr>
          <w:rFonts w:hint="cs"/>
          <w:sz w:val="27"/>
          <w:rtl/>
          <w:lang w:bidi="ar-LB"/>
        </w:rPr>
        <w:t xml:space="preserve"> دائماً، وكون الإرادة التشريعي</w:t>
      </w:r>
      <w:r w:rsidR="00567DA3" w:rsidRPr="00282AC9">
        <w:rPr>
          <w:rFonts w:hint="cs"/>
          <w:sz w:val="27"/>
          <w:rtl/>
          <w:lang w:bidi="ar-LB"/>
        </w:rPr>
        <w:t>ّ</w:t>
      </w:r>
      <w:r w:rsidRPr="00282AC9">
        <w:rPr>
          <w:rFonts w:hint="cs"/>
          <w:sz w:val="27"/>
          <w:rtl/>
          <w:lang w:bidi="ar-LB"/>
        </w:rPr>
        <w:t>ة تابعةً في الخصائص للتكويني</w:t>
      </w:r>
      <w:r w:rsidR="00567DA3" w:rsidRPr="00282AC9">
        <w:rPr>
          <w:rFonts w:hint="cs"/>
          <w:sz w:val="27"/>
          <w:rtl/>
          <w:lang w:bidi="ar-LB"/>
        </w:rPr>
        <w:t>ّ</w:t>
      </w:r>
      <w:r w:rsidRPr="00282AC9">
        <w:rPr>
          <w:rFonts w:hint="cs"/>
          <w:sz w:val="27"/>
          <w:rtl/>
          <w:lang w:bidi="ar-LB"/>
        </w:rPr>
        <w:t>ة</w:t>
      </w:r>
      <w:r w:rsidR="00567DA3" w:rsidRPr="00282AC9">
        <w:rPr>
          <w:rFonts w:hint="cs"/>
          <w:sz w:val="27"/>
          <w:rtl/>
          <w:lang w:bidi="ar-LB"/>
        </w:rPr>
        <w:t>،</w:t>
      </w:r>
      <w:r w:rsidRPr="00282AC9">
        <w:rPr>
          <w:rFonts w:hint="cs"/>
          <w:sz w:val="27"/>
          <w:rtl/>
          <w:lang w:bidi="ar-LB"/>
        </w:rPr>
        <w:t xml:space="preserve"> </w:t>
      </w:r>
      <w:r w:rsidR="00567DA3" w:rsidRPr="00282AC9">
        <w:rPr>
          <w:rFonts w:hint="cs"/>
          <w:sz w:val="27"/>
          <w:rtl/>
          <w:lang w:bidi="ar-LB"/>
        </w:rPr>
        <w:t>فإننا</w:t>
      </w:r>
      <w:r w:rsidRPr="00282AC9">
        <w:rPr>
          <w:rFonts w:hint="cs"/>
          <w:sz w:val="27"/>
          <w:rtl/>
          <w:lang w:bidi="ar-LB"/>
        </w:rPr>
        <w:t xml:space="preserve"> لا نسلّ</w:t>
      </w:r>
      <w:r w:rsidR="00567DA3" w:rsidRPr="00282AC9">
        <w:rPr>
          <w:rFonts w:hint="cs"/>
          <w:sz w:val="27"/>
          <w:rtl/>
          <w:lang w:bidi="ar-LB"/>
        </w:rPr>
        <w:t>ِ</w:t>
      </w:r>
      <w:r w:rsidRPr="00282AC9">
        <w:rPr>
          <w:rFonts w:hint="cs"/>
          <w:sz w:val="27"/>
          <w:rtl/>
          <w:lang w:bidi="ar-LB"/>
        </w:rPr>
        <w:t>م بأنّ الح</w:t>
      </w:r>
      <w:r w:rsidR="00567DA3" w:rsidRPr="00282AC9">
        <w:rPr>
          <w:rFonts w:hint="cs"/>
          <w:sz w:val="27"/>
          <w:rtl/>
          <w:lang w:bidi="ar-LB"/>
        </w:rPr>
        <w:t>ُ</w:t>
      </w:r>
      <w:r w:rsidRPr="00282AC9">
        <w:rPr>
          <w:rFonts w:hint="cs"/>
          <w:sz w:val="27"/>
          <w:rtl/>
          <w:lang w:bidi="ar-LB"/>
        </w:rPr>
        <w:t>س</w:t>
      </w:r>
      <w:r w:rsidR="00567DA3" w:rsidRPr="00282AC9">
        <w:rPr>
          <w:rFonts w:hint="cs"/>
          <w:sz w:val="27"/>
          <w:rtl/>
          <w:lang w:bidi="ar-LB"/>
        </w:rPr>
        <w:t>ْن غير اللزوميّ لا يستتبع إ</w:t>
      </w:r>
      <w:r w:rsidRPr="00282AC9">
        <w:rPr>
          <w:rFonts w:hint="cs"/>
          <w:sz w:val="27"/>
          <w:rtl/>
          <w:lang w:bidi="ar-LB"/>
        </w:rPr>
        <w:t>رادة</w:t>
      </w:r>
      <w:r w:rsidR="00567DA3" w:rsidRPr="00282AC9">
        <w:rPr>
          <w:rFonts w:hint="cs"/>
          <w:sz w:val="27"/>
          <w:rtl/>
          <w:lang w:bidi="ar-LB"/>
        </w:rPr>
        <w:t>ً</w:t>
      </w:r>
      <w:r w:rsidRPr="00282AC9">
        <w:rPr>
          <w:rFonts w:hint="cs"/>
          <w:sz w:val="27"/>
          <w:rtl/>
          <w:lang w:bidi="ar-LB"/>
        </w:rPr>
        <w:t xml:space="preserve"> لزومي</w:t>
      </w:r>
      <w:r w:rsidR="00567DA3" w:rsidRPr="00282AC9">
        <w:rPr>
          <w:rFonts w:hint="cs"/>
          <w:sz w:val="27"/>
          <w:rtl/>
          <w:lang w:bidi="ar-LB"/>
        </w:rPr>
        <w:t>ّ</w:t>
      </w:r>
      <w:r w:rsidRPr="00282AC9">
        <w:rPr>
          <w:rFonts w:hint="cs"/>
          <w:sz w:val="27"/>
          <w:rtl/>
          <w:lang w:bidi="ar-LB"/>
        </w:rPr>
        <w:t xml:space="preserve">ة؛ </w:t>
      </w:r>
      <w:r w:rsidR="00567DA3" w:rsidRPr="00282AC9">
        <w:rPr>
          <w:rFonts w:hint="cs"/>
          <w:sz w:val="27"/>
          <w:rtl/>
          <w:lang w:bidi="ar-LB"/>
        </w:rPr>
        <w:t xml:space="preserve">وذلك لأننا لو افترضنا استتباع الإرادة للتحرُّك يساوق كونها لزوميّةً </w:t>
      </w:r>
      <w:r w:rsidRPr="00282AC9">
        <w:rPr>
          <w:rFonts w:hint="cs"/>
          <w:sz w:val="27"/>
          <w:rtl/>
          <w:lang w:bidi="ar-LB"/>
        </w:rPr>
        <w:t>أمكن القول مع ذلك بالملازمة بين الح</w:t>
      </w:r>
      <w:r w:rsidR="00567DA3" w:rsidRPr="00282AC9">
        <w:rPr>
          <w:rFonts w:hint="cs"/>
          <w:sz w:val="27"/>
          <w:rtl/>
          <w:lang w:bidi="ar-LB"/>
        </w:rPr>
        <w:t>ُ</w:t>
      </w:r>
      <w:r w:rsidRPr="00282AC9">
        <w:rPr>
          <w:rFonts w:hint="cs"/>
          <w:sz w:val="27"/>
          <w:rtl/>
          <w:lang w:bidi="ar-LB"/>
        </w:rPr>
        <w:t>س</w:t>
      </w:r>
      <w:r w:rsidR="00567DA3" w:rsidRPr="00282AC9">
        <w:rPr>
          <w:rFonts w:hint="cs"/>
          <w:sz w:val="27"/>
          <w:rtl/>
          <w:lang w:bidi="ar-LB"/>
        </w:rPr>
        <w:t>ْ</w:t>
      </w:r>
      <w:r w:rsidRPr="00282AC9">
        <w:rPr>
          <w:rFonts w:hint="cs"/>
          <w:sz w:val="27"/>
          <w:rtl/>
          <w:lang w:bidi="ar-LB"/>
        </w:rPr>
        <w:t>ن غير اللزوميّ وبين الإرادة اللزومي</w:t>
      </w:r>
      <w:r w:rsidR="00567DA3" w:rsidRPr="00282AC9">
        <w:rPr>
          <w:rFonts w:hint="cs"/>
          <w:sz w:val="27"/>
          <w:rtl/>
          <w:lang w:bidi="ar-LB"/>
        </w:rPr>
        <w:t>ّ</w:t>
      </w:r>
      <w:r w:rsidRPr="00282AC9">
        <w:rPr>
          <w:rFonts w:hint="cs"/>
          <w:sz w:val="27"/>
          <w:rtl/>
          <w:lang w:bidi="ar-LB"/>
        </w:rPr>
        <w:t>ة؛ وذلك لأنّ العاقل بما هو عاقل</w:t>
      </w:r>
      <w:r w:rsidR="00567DA3" w:rsidRPr="00282AC9">
        <w:rPr>
          <w:rFonts w:hint="cs"/>
          <w:sz w:val="27"/>
          <w:rtl/>
          <w:lang w:bidi="ar-LB"/>
        </w:rPr>
        <w:t>ٌ</w:t>
      </w:r>
      <w:r w:rsidRPr="00282AC9">
        <w:rPr>
          <w:rFonts w:hint="cs"/>
          <w:sz w:val="27"/>
          <w:rtl/>
          <w:lang w:bidi="ar-LB"/>
        </w:rPr>
        <w:t xml:space="preserve"> إذا علم بالح</w:t>
      </w:r>
      <w:r w:rsidR="00567DA3" w:rsidRPr="00282AC9">
        <w:rPr>
          <w:rFonts w:hint="cs"/>
          <w:sz w:val="27"/>
          <w:rtl/>
          <w:lang w:bidi="ar-LB"/>
        </w:rPr>
        <w:t>ُ</w:t>
      </w:r>
      <w:r w:rsidRPr="00282AC9">
        <w:rPr>
          <w:rFonts w:hint="cs"/>
          <w:sz w:val="27"/>
          <w:rtl/>
          <w:lang w:bidi="ar-LB"/>
        </w:rPr>
        <w:t>س</w:t>
      </w:r>
      <w:r w:rsidR="00567DA3" w:rsidRPr="00282AC9">
        <w:rPr>
          <w:rFonts w:hint="cs"/>
          <w:sz w:val="27"/>
          <w:rtl/>
          <w:lang w:bidi="ar-LB"/>
        </w:rPr>
        <w:t>ْ</w:t>
      </w:r>
      <w:r w:rsidRPr="00282AC9">
        <w:rPr>
          <w:rFonts w:hint="cs"/>
          <w:sz w:val="27"/>
          <w:rtl/>
          <w:lang w:bidi="ar-LB"/>
        </w:rPr>
        <w:t>ن والق</w:t>
      </w:r>
      <w:r w:rsidR="00567DA3" w:rsidRPr="00282AC9">
        <w:rPr>
          <w:rFonts w:hint="cs"/>
          <w:sz w:val="27"/>
          <w:rtl/>
          <w:lang w:bidi="ar-LB"/>
        </w:rPr>
        <w:t>ُ</w:t>
      </w:r>
      <w:r w:rsidRPr="00282AC9">
        <w:rPr>
          <w:rFonts w:hint="cs"/>
          <w:sz w:val="27"/>
          <w:rtl/>
          <w:lang w:bidi="ar-LB"/>
        </w:rPr>
        <w:t>ب</w:t>
      </w:r>
      <w:r w:rsidR="00567DA3" w:rsidRPr="00282AC9">
        <w:rPr>
          <w:rFonts w:hint="cs"/>
          <w:sz w:val="27"/>
          <w:rtl/>
          <w:lang w:bidi="ar-LB"/>
        </w:rPr>
        <w:t>ْ</w:t>
      </w:r>
      <w:r w:rsidRPr="00282AC9">
        <w:rPr>
          <w:rFonts w:hint="cs"/>
          <w:sz w:val="27"/>
          <w:rtl/>
          <w:lang w:bidi="ar-LB"/>
        </w:rPr>
        <w:t>ح غير اللزومي</w:t>
      </w:r>
      <w:r w:rsidR="00567DA3" w:rsidRPr="00282AC9">
        <w:rPr>
          <w:rFonts w:hint="cs"/>
          <w:sz w:val="27"/>
          <w:rtl/>
          <w:lang w:bidi="ar-LB"/>
        </w:rPr>
        <w:t>ّ</w:t>
      </w:r>
      <w:r w:rsidRPr="00282AC9">
        <w:rPr>
          <w:rFonts w:hint="cs"/>
          <w:sz w:val="27"/>
          <w:rtl/>
          <w:lang w:bidi="ar-LB"/>
        </w:rPr>
        <w:t>ين</w:t>
      </w:r>
      <w:r w:rsidR="00567DA3" w:rsidRPr="00282AC9">
        <w:rPr>
          <w:rFonts w:hint="cs"/>
          <w:sz w:val="27"/>
          <w:rtl/>
          <w:lang w:bidi="ar-LB"/>
        </w:rPr>
        <w:t>،</w:t>
      </w:r>
      <w:r w:rsidRPr="00282AC9">
        <w:rPr>
          <w:rFonts w:hint="cs"/>
          <w:sz w:val="27"/>
          <w:rtl/>
          <w:lang w:bidi="ar-LB"/>
        </w:rPr>
        <w:t xml:space="preserve"> وعرف الرجحان الموجود في الفعل أو الترك</w:t>
      </w:r>
      <w:r w:rsidR="00567DA3" w:rsidRPr="00282AC9">
        <w:rPr>
          <w:rFonts w:hint="cs"/>
          <w:sz w:val="27"/>
          <w:rtl/>
          <w:lang w:bidi="ar-LB"/>
        </w:rPr>
        <w:t>،</w:t>
      </w:r>
      <w:r w:rsidRPr="00282AC9">
        <w:rPr>
          <w:rFonts w:hint="cs"/>
          <w:sz w:val="27"/>
          <w:rtl/>
          <w:lang w:bidi="ar-LB"/>
        </w:rPr>
        <w:t xml:space="preserve"> تحرّ</w:t>
      </w:r>
      <w:r w:rsidR="00567DA3" w:rsidRPr="00282AC9">
        <w:rPr>
          <w:rFonts w:hint="cs"/>
          <w:sz w:val="27"/>
          <w:rtl/>
          <w:lang w:bidi="ar-LB"/>
        </w:rPr>
        <w:t>َ</w:t>
      </w:r>
      <w:r w:rsidRPr="00282AC9">
        <w:rPr>
          <w:rFonts w:hint="cs"/>
          <w:sz w:val="27"/>
          <w:rtl/>
          <w:lang w:bidi="ar-LB"/>
        </w:rPr>
        <w:t>ك لا محالة</w:t>
      </w:r>
      <w:r w:rsidR="00567DA3" w:rsidRPr="00282AC9">
        <w:rPr>
          <w:rFonts w:hint="cs"/>
          <w:sz w:val="27"/>
          <w:rtl/>
          <w:lang w:bidi="ar-LB"/>
        </w:rPr>
        <w:t>َ</w:t>
      </w:r>
      <w:r w:rsidR="005053B3" w:rsidRPr="00282AC9">
        <w:rPr>
          <w:rFonts w:hint="cs"/>
          <w:sz w:val="27"/>
          <w:rtl/>
          <w:lang w:bidi="ar-LB"/>
        </w:rPr>
        <w:t xml:space="preserve"> إلى </w:t>
      </w:r>
      <w:r w:rsidR="00567DA3" w:rsidRPr="00282AC9">
        <w:rPr>
          <w:rFonts w:hint="cs"/>
          <w:sz w:val="27"/>
          <w:rtl/>
          <w:lang w:bidi="ar-LB"/>
        </w:rPr>
        <w:t>إ</w:t>
      </w:r>
      <w:r w:rsidRPr="00282AC9">
        <w:rPr>
          <w:rFonts w:hint="cs"/>
          <w:sz w:val="27"/>
          <w:rtl/>
          <w:lang w:bidi="ar-LB"/>
        </w:rPr>
        <w:t>تيان الح</w:t>
      </w:r>
      <w:r w:rsidR="00567DA3" w:rsidRPr="00282AC9">
        <w:rPr>
          <w:rFonts w:hint="cs"/>
          <w:sz w:val="27"/>
          <w:rtl/>
          <w:lang w:bidi="ar-LB"/>
        </w:rPr>
        <w:t>َ</w:t>
      </w:r>
      <w:r w:rsidRPr="00282AC9">
        <w:rPr>
          <w:rFonts w:hint="cs"/>
          <w:sz w:val="27"/>
          <w:rtl/>
          <w:lang w:bidi="ar-LB"/>
        </w:rPr>
        <w:t>س</w:t>
      </w:r>
      <w:r w:rsidR="00567DA3" w:rsidRPr="00282AC9">
        <w:rPr>
          <w:rFonts w:hint="cs"/>
          <w:sz w:val="27"/>
          <w:rtl/>
          <w:lang w:bidi="ar-LB"/>
        </w:rPr>
        <w:t>َ</w:t>
      </w:r>
      <w:r w:rsidRPr="00282AC9">
        <w:rPr>
          <w:rFonts w:hint="cs"/>
          <w:sz w:val="27"/>
          <w:rtl/>
          <w:lang w:bidi="ar-LB"/>
        </w:rPr>
        <w:t>ن وترك القبيح</w:t>
      </w:r>
      <w:r w:rsidR="00567DA3" w:rsidRPr="00282AC9">
        <w:rPr>
          <w:rFonts w:hint="cs"/>
          <w:sz w:val="27"/>
          <w:rtl/>
          <w:lang w:bidi="ar-LB"/>
        </w:rPr>
        <w:t>.</w:t>
      </w:r>
      <w:r w:rsidRPr="00282AC9">
        <w:rPr>
          <w:rFonts w:hint="cs"/>
          <w:sz w:val="27"/>
          <w:rtl/>
          <w:lang w:bidi="ar-LB"/>
        </w:rPr>
        <w:t xml:space="preserve"> ولو اتفق أحياناً امتناعه من ذلك </w:t>
      </w:r>
      <w:r w:rsidRPr="00282AC9">
        <w:rPr>
          <w:rFonts w:hint="cs"/>
          <w:sz w:val="27"/>
          <w:rtl/>
          <w:lang w:bidi="ar-LB"/>
        </w:rPr>
        <w:lastRenderedPageBreak/>
        <w:t>فليس ذلك إلاّ لتدخ</w:t>
      </w:r>
      <w:r w:rsidR="00567DA3" w:rsidRPr="00282AC9">
        <w:rPr>
          <w:rFonts w:hint="cs"/>
          <w:sz w:val="27"/>
          <w:rtl/>
          <w:lang w:bidi="ar-LB"/>
        </w:rPr>
        <w:t>ُّ</w:t>
      </w:r>
      <w:r w:rsidRPr="00282AC9">
        <w:rPr>
          <w:rFonts w:hint="cs"/>
          <w:sz w:val="27"/>
          <w:rtl/>
          <w:lang w:bidi="ar-LB"/>
        </w:rPr>
        <w:t>ل الو</w:t>
      </w:r>
      <w:r w:rsidR="00567DA3" w:rsidRPr="00282AC9">
        <w:rPr>
          <w:rFonts w:hint="cs"/>
          <w:sz w:val="27"/>
          <w:rtl/>
          <w:lang w:bidi="ar-LB"/>
        </w:rPr>
        <w:t>َ</w:t>
      </w:r>
      <w:r w:rsidRPr="00282AC9">
        <w:rPr>
          <w:rFonts w:hint="cs"/>
          <w:sz w:val="27"/>
          <w:rtl/>
          <w:lang w:bidi="ar-LB"/>
        </w:rPr>
        <w:t>ه</w:t>
      </w:r>
      <w:r w:rsidR="00567DA3" w:rsidRPr="00282AC9">
        <w:rPr>
          <w:rFonts w:hint="cs"/>
          <w:sz w:val="27"/>
          <w:rtl/>
          <w:lang w:bidi="ar-LB"/>
        </w:rPr>
        <w:t>ْ</w:t>
      </w:r>
      <w:r w:rsidRPr="00282AC9">
        <w:rPr>
          <w:rFonts w:hint="cs"/>
          <w:sz w:val="27"/>
          <w:rtl/>
          <w:lang w:bidi="ar-LB"/>
        </w:rPr>
        <w:t>م أو الخيال أو الحس</w:t>
      </w:r>
      <w:r w:rsidR="00567DA3" w:rsidRPr="00282AC9">
        <w:rPr>
          <w:rFonts w:hint="cs"/>
          <w:sz w:val="27"/>
          <w:rtl/>
          <w:lang w:bidi="ar-LB"/>
        </w:rPr>
        <w:t>ّ</w:t>
      </w:r>
      <w:r w:rsidRPr="00282AC9">
        <w:rPr>
          <w:rFonts w:hint="cs"/>
          <w:sz w:val="27"/>
          <w:rtl/>
          <w:lang w:bidi="ar-LB"/>
        </w:rPr>
        <w:t>، وإلاّ فالعاقل بما هو عاقل</w:t>
      </w:r>
      <w:r w:rsidR="00567DA3" w:rsidRPr="00282AC9">
        <w:rPr>
          <w:rFonts w:hint="cs"/>
          <w:sz w:val="27"/>
          <w:rtl/>
          <w:lang w:bidi="ar-LB"/>
        </w:rPr>
        <w:t>ٌ</w:t>
      </w:r>
      <w:r w:rsidRPr="00282AC9">
        <w:rPr>
          <w:rFonts w:hint="cs"/>
          <w:sz w:val="27"/>
          <w:rtl/>
          <w:lang w:bidi="ar-LB"/>
        </w:rPr>
        <w:t xml:space="preserve"> لا يترك الراجح أخذاً بالمرجوح، ولا يأتي بالمرجوح ت</w:t>
      </w:r>
      <w:r w:rsidR="00567DA3" w:rsidRPr="00282AC9">
        <w:rPr>
          <w:rFonts w:hint="cs"/>
          <w:sz w:val="27"/>
          <w:rtl/>
          <w:lang w:bidi="ar-LB"/>
        </w:rPr>
        <w:t>َ</w:t>
      </w:r>
      <w:r w:rsidRPr="00282AC9">
        <w:rPr>
          <w:rFonts w:hint="cs"/>
          <w:sz w:val="27"/>
          <w:rtl/>
          <w:lang w:bidi="ar-LB"/>
        </w:rPr>
        <w:t>ر</w:t>
      </w:r>
      <w:r w:rsidR="00567DA3" w:rsidRPr="00282AC9">
        <w:rPr>
          <w:rFonts w:hint="cs"/>
          <w:sz w:val="27"/>
          <w:rtl/>
          <w:lang w:bidi="ar-LB"/>
        </w:rPr>
        <w:t>ْ</w:t>
      </w:r>
      <w:r w:rsidRPr="00282AC9">
        <w:rPr>
          <w:rFonts w:hint="cs"/>
          <w:sz w:val="27"/>
          <w:rtl/>
          <w:lang w:bidi="ar-LB"/>
        </w:rPr>
        <w:t>كاً للراجح.</w:t>
      </w:r>
    </w:p>
    <w:p w:rsidR="00A9019A" w:rsidRPr="00282AC9" w:rsidRDefault="00567DA3" w:rsidP="00B16272">
      <w:pPr>
        <w:tabs>
          <w:tab w:val="right" w:pos="6930"/>
        </w:tabs>
        <w:suppressAutoHyphens/>
        <w:rPr>
          <w:sz w:val="27"/>
          <w:rtl/>
          <w:lang w:bidi="ar-LB"/>
        </w:rPr>
      </w:pPr>
      <w:r w:rsidRPr="00282AC9">
        <w:rPr>
          <w:rFonts w:hint="cs"/>
          <w:b/>
          <w:bCs/>
          <w:sz w:val="27"/>
          <w:rtl/>
          <w:lang w:bidi="ar-LB"/>
        </w:rPr>
        <w:t>إ</w:t>
      </w:r>
      <w:r w:rsidR="00A9019A" w:rsidRPr="00282AC9">
        <w:rPr>
          <w:rFonts w:hint="cs"/>
          <w:b/>
          <w:bCs/>
          <w:sz w:val="27"/>
          <w:rtl/>
          <w:lang w:bidi="ar-LB"/>
        </w:rPr>
        <w:t>ن</w:t>
      </w:r>
      <w:r w:rsidRPr="00282AC9">
        <w:rPr>
          <w:rFonts w:hint="cs"/>
          <w:b/>
          <w:bCs/>
          <w:sz w:val="27"/>
          <w:rtl/>
          <w:lang w:bidi="ar-LB"/>
        </w:rPr>
        <w:t>ْ</w:t>
      </w:r>
      <w:r w:rsidR="00A9019A" w:rsidRPr="00282AC9">
        <w:rPr>
          <w:rFonts w:hint="cs"/>
          <w:b/>
          <w:bCs/>
          <w:sz w:val="27"/>
          <w:rtl/>
          <w:lang w:bidi="ar-LB"/>
        </w:rPr>
        <w:t xml:space="preserve"> قلت</w:t>
      </w:r>
      <w:r w:rsidRPr="00282AC9">
        <w:rPr>
          <w:rFonts w:hint="cs"/>
          <w:b/>
          <w:bCs/>
          <w:sz w:val="27"/>
          <w:rtl/>
          <w:lang w:bidi="ar-LB"/>
        </w:rPr>
        <w:t>َ</w:t>
      </w:r>
      <w:r w:rsidR="00A9019A" w:rsidRPr="00282AC9">
        <w:rPr>
          <w:rFonts w:hint="cs"/>
          <w:sz w:val="27"/>
          <w:rtl/>
          <w:lang w:bidi="ar-LB"/>
        </w:rPr>
        <w:t xml:space="preserve">: هذا في خصوص المزاحمة، </w:t>
      </w:r>
      <w:r w:rsidR="00A9019A" w:rsidRPr="00282AC9">
        <w:rPr>
          <w:rFonts w:hint="cs"/>
          <w:b/>
          <w:bCs/>
          <w:sz w:val="27"/>
          <w:rtl/>
          <w:lang w:bidi="ar-LB"/>
        </w:rPr>
        <w:t>قلت</w:t>
      </w:r>
      <w:r w:rsidRPr="00282AC9">
        <w:rPr>
          <w:rFonts w:hint="cs"/>
          <w:sz w:val="27"/>
          <w:rtl/>
          <w:lang w:bidi="ar-LB"/>
        </w:rPr>
        <w:t>ُ</w:t>
      </w:r>
      <w:r w:rsidR="00A9019A" w:rsidRPr="00282AC9">
        <w:rPr>
          <w:rFonts w:hint="cs"/>
          <w:sz w:val="27"/>
          <w:rtl/>
          <w:lang w:bidi="ar-LB"/>
        </w:rPr>
        <w:t>: ما من مرجوح</w:t>
      </w:r>
      <w:r w:rsidR="00225F4A" w:rsidRPr="00282AC9">
        <w:rPr>
          <w:rFonts w:hint="cs"/>
          <w:sz w:val="27"/>
          <w:rtl/>
          <w:lang w:bidi="ar-LB"/>
        </w:rPr>
        <w:t>ٍ يترك إ</w:t>
      </w:r>
      <w:r w:rsidR="00A9019A" w:rsidRPr="00282AC9">
        <w:rPr>
          <w:rFonts w:hint="cs"/>
          <w:sz w:val="27"/>
          <w:rtl/>
          <w:lang w:bidi="ar-LB"/>
        </w:rPr>
        <w:t>لاّ وقد كان مزاحماً للأخذ براجح</w:t>
      </w:r>
      <w:r w:rsidR="00225F4A" w:rsidRPr="00282AC9">
        <w:rPr>
          <w:rFonts w:hint="cs"/>
          <w:sz w:val="27"/>
          <w:rtl/>
          <w:lang w:bidi="ar-LB"/>
        </w:rPr>
        <w:t>ٍ</w:t>
      </w:r>
      <w:r w:rsidR="00A9019A" w:rsidRPr="00282AC9">
        <w:rPr>
          <w:rFonts w:hint="cs"/>
          <w:sz w:val="27"/>
          <w:rtl/>
          <w:lang w:bidi="ar-LB"/>
        </w:rPr>
        <w:t>، وما من راجح</w:t>
      </w:r>
      <w:r w:rsidR="00225F4A" w:rsidRPr="00282AC9">
        <w:rPr>
          <w:rFonts w:hint="cs"/>
          <w:sz w:val="27"/>
          <w:rtl/>
          <w:lang w:bidi="ar-LB"/>
        </w:rPr>
        <w:t>ٍ</w:t>
      </w:r>
      <w:r w:rsidR="00A9019A" w:rsidRPr="00282AC9">
        <w:rPr>
          <w:rFonts w:hint="cs"/>
          <w:sz w:val="27"/>
          <w:rtl/>
          <w:lang w:bidi="ar-LB"/>
        </w:rPr>
        <w:t xml:space="preserve"> يؤخذ إلاّ وقد كان مزاحماً بترك مرجوح</w:t>
      </w:r>
      <w:r w:rsidR="00225F4A" w:rsidRPr="00282AC9">
        <w:rPr>
          <w:rFonts w:hint="cs"/>
          <w:sz w:val="27"/>
          <w:rtl/>
          <w:lang w:bidi="ar-LB"/>
        </w:rPr>
        <w:t>ٍ</w:t>
      </w:r>
      <w:r w:rsidR="00A9019A" w:rsidRPr="00282AC9">
        <w:rPr>
          <w:rFonts w:hint="cs"/>
          <w:sz w:val="27"/>
          <w:rtl/>
          <w:lang w:bidi="ar-LB"/>
        </w:rPr>
        <w:t>، فافه</w:t>
      </w:r>
      <w:r w:rsidR="00225F4A" w:rsidRPr="00282AC9">
        <w:rPr>
          <w:rFonts w:hint="cs"/>
          <w:sz w:val="27"/>
          <w:rtl/>
          <w:lang w:bidi="ar-LB"/>
        </w:rPr>
        <w:t>َ</w:t>
      </w:r>
      <w:r w:rsidR="00A9019A" w:rsidRPr="00282AC9">
        <w:rPr>
          <w:rFonts w:hint="cs"/>
          <w:sz w:val="27"/>
          <w:rtl/>
          <w:lang w:bidi="ar-LB"/>
        </w:rPr>
        <w:t>م</w:t>
      </w:r>
      <w:r w:rsidR="00225F4A" w:rsidRPr="00282AC9">
        <w:rPr>
          <w:rFonts w:hint="cs"/>
          <w:sz w:val="27"/>
          <w:rtl/>
          <w:lang w:bidi="ar-LB"/>
        </w:rPr>
        <w:t>ْ</w:t>
      </w:r>
      <w:r w:rsidR="00A9019A" w:rsidRPr="00282AC9">
        <w:rPr>
          <w:rFonts w:hint="cs"/>
          <w:sz w:val="27"/>
          <w:rtl/>
          <w:lang w:bidi="ar-LB"/>
        </w:rPr>
        <w:t xml:space="preserve"> جيّداً</w:t>
      </w:r>
      <w:r w:rsidR="00225F4A" w:rsidRPr="00282AC9">
        <w:rPr>
          <w:rFonts w:hint="cs"/>
          <w:sz w:val="27"/>
          <w:rtl/>
          <w:lang w:bidi="ar-LB"/>
        </w:rPr>
        <w:t>.</w:t>
      </w:r>
      <w:r w:rsidR="00A9019A" w:rsidRPr="00282AC9">
        <w:rPr>
          <w:rFonts w:hint="cs"/>
          <w:sz w:val="27"/>
          <w:rtl/>
          <w:lang w:bidi="ar-LB"/>
        </w:rPr>
        <w:t xml:space="preserve"> هذا في الإرادة التكويني</w:t>
      </w:r>
      <w:r w:rsidR="00225F4A" w:rsidRPr="00282AC9">
        <w:rPr>
          <w:rFonts w:hint="cs"/>
          <w:sz w:val="27"/>
          <w:rtl/>
          <w:lang w:bidi="ar-LB"/>
        </w:rPr>
        <w:t>ّ</w:t>
      </w:r>
      <w:r w:rsidR="00A9019A" w:rsidRPr="00282AC9">
        <w:rPr>
          <w:rFonts w:hint="cs"/>
          <w:sz w:val="27"/>
          <w:rtl/>
          <w:lang w:bidi="ar-LB"/>
        </w:rPr>
        <w:t>ة.</w:t>
      </w:r>
    </w:p>
    <w:p w:rsidR="00A9019A" w:rsidRPr="00282AC9" w:rsidRDefault="00A9019A" w:rsidP="00B16272">
      <w:pPr>
        <w:tabs>
          <w:tab w:val="right" w:pos="6930"/>
        </w:tabs>
        <w:suppressAutoHyphens/>
        <w:rPr>
          <w:sz w:val="27"/>
          <w:rtl/>
          <w:lang w:bidi="ar-LB"/>
        </w:rPr>
      </w:pPr>
      <w:r w:rsidRPr="00282AC9">
        <w:rPr>
          <w:rFonts w:hint="cs"/>
          <w:sz w:val="27"/>
          <w:rtl/>
          <w:lang w:bidi="ar-LB"/>
        </w:rPr>
        <w:t>وتطبيق</w:t>
      </w:r>
      <w:r w:rsidR="00225F4A" w:rsidRPr="00282AC9">
        <w:rPr>
          <w:rFonts w:hint="cs"/>
          <w:sz w:val="27"/>
          <w:rtl/>
          <w:lang w:bidi="ar-LB"/>
        </w:rPr>
        <w:t>ُ</w:t>
      </w:r>
      <w:r w:rsidRPr="00282AC9">
        <w:rPr>
          <w:rFonts w:hint="cs"/>
          <w:sz w:val="27"/>
          <w:rtl/>
          <w:lang w:bidi="ar-LB"/>
        </w:rPr>
        <w:t>ها في التشريعي</w:t>
      </w:r>
      <w:r w:rsidR="00225F4A" w:rsidRPr="00282AC9">
        <w:rPr>
          <w:rFonts w:hint="cs"/>
          <w:sz w:val="27"/>
          <w:rtl/>
          <w:lang w:bidi="ar-LB"/>
        </w:rPr>
        <w:t>ّ</w:t>
      </w:r>
      <w:r w:rsidRPr="00282AC9">
        <w:rPr>
          <w:rFonts w:hint="cs"/>
          <w:sz w:val="27"/>
          <w:rtl/>
          <w:lang w:bidi="ar-LB"/>
        </w:rPr>
        <w:t>ة أنّ العاقل بما هو عاقل</w:t>
      </w:r>
      <w:r w:rsidR="00225F4A" w:rsidRPr="00282AC9">
        <w:rPr>
          <w:rFonts w:hint="cs"/>
          <w:sz w:val="27"/>
          <w:rtl/>
          <w:lang w:bidi="ar-LB"/>
        </w:rPr>
        <w:t>ٌ</w:t>
      </w:r>
      <w:r w:rsidRPr="00282AC9">
        <w:rPr>
          <w:rFonts w:hint="cs"/>
          <w:sz w:val="27"/>
          <w:rtl/>
          <w:lang w:bidi="ar-LB"/>
        </w:rPr>
        <w:t xml:space="preserve"> إذا أدرك الح</w:t>
      </w:r>
      <w:r w:rsidR="00225F4A" w:rsidRPr="00282AC9">
        <w:rPr>
          <w:rFonts w:hint="cs"/>
          <w:sz w:val="27"/>
          <w:rtl/>
          <w:lang w:bidi="ar-LB"/>
        </w:rPr>
        <w:t>ُ</w:t>
      </w:r>
      <w:r w:rsidRPr="00282AC9">
        <w:rPr>
          <w:rFonts w:hint="cs"/>
          <w:sz w:val="27"/>
          <w:rtl/>
          <w:lang w:bidi="ar-LB"/>
        </w:rPr>
        <w:t>س</w:t>
      </w:r>
      <w:r w:rsidR="00225F4A" w:rsidRPr="00282AC9">
        <w:rPr>
          <w:rFonts w:hint="cs"/>
          <w:sz w:val="27"/>
          <w:rtl/>
          <w:lang w:bidi="ar-LB"/>
        </w:rPr>
        <w:t>ْ</w:t>
      </w:r>
      <w:r w:rsidRPr="00282AC9">
        <w:rPr>
          <w:rFonts w:hint="cs"/>
          <w:sz w:val="27"/>
          <w:rtl/>
          <w:lang w:bidi="ar-LB"/>
        </w:rPr>
        <w:t>ن غير اللزومي</w:t>
      </w:r>
      <w:r w:rsidR="00225F4A" w:rsidRPr="00282AC9">
        <w:rPr>
          <w:rFonts w:hint="cs"/>
          <w:sz w:val="27"/>
          <w:rtl/>
          <w:lang w:bidi="ar-LB"/>
        </w:rPr>
        <w:t>ّ</w:t>
      </w:r>
      <w:r w:rsidRPr="00282AC9">
        <w:rPr>
          <w:rFonts w:hint="cs"/>
          <w:sz w:val="27"/>
          <w:rtl/>
          <w:lang w:bidi="ar-LB"/>
        </w:rPr>
        <w:t xml:space="preserve"> في فعل الغير اشتاق إليه</w:t>
      </w:r>
      <w:r w:rsidR="00225F4A" w:rsidRPr="00282AC9">
        <w:rPr>
          <w:rFonts w:hint="cs"/>
          <w:sz w:val="27"/>
          <w:rtl/>
          <w:lang w:bidi="ar-LB"/>
        </w:rPr>
        <w:t>،</w:t>
      </w:r>
      <w:r w:rsidRPr="00282AC9">
        <w:rPr>
          <w:rFonts w:hint="cs"/>
          <w:sz w:val="27"/>
          <w:rtl/>
          <w:lang w:bidi="ar-LB"/>
        </w:rPr>
        <w:t xml:space="preserve"> وتكوّ</w:t>
      </w:r>
      <w:r w:rsidR="00225F4A" w:rsidRPr="00282AC9">
        <w:rPr>
          <w:rFonts w:hint="cs"/>
          <w:sz w:val="27"/>
          <w:rtl/>
          <w:lang w:bidi="ar-LB"/>
        </w:rPr>
        <w:t>َ</w:t>
      </w:r>
      <w:r w:rsidRPr="00282AC9">
        <w:rPr>
          <w:rFonts w:hint="cs"/>
          <w:sz w:val="27"/>
          <w:rtl/>
          <w:lang w:bidi="ar-LB"/>
        </w:rPr>
        <w:t>نت لديه إرادة</w:t>
      </w:r>
      <w:r w:rsidR="00225F4A" w:rsidRPr="00282AC9">
        <w:rPr>
          <w:rFonts w:hint="cs"/>
          <w:sz w:val="27"/>
          <w:rtl/>
          <w:lang w:bidi="ar-LB"/>
        </w:rPr>
        <w:t>ٌ</w:t>
      </w:r>
      <w:r w:rsidR="005053B3" w:rsidRPr="00282AC9">
        <w:rPr>
          <w:rFonts w:hint="cs"/>
          <w:sz w:val="27"/>
          <w:rtl/>
          <w:lang w:bidi="ar-LB"/>
        </w:rPr>
        <w:t xml:space="preserve"> إلى </w:t>
      </w:r>
      <w:r w:rsidRPr="00282AC9">
        <w:rPr>
          <w:rFonts w:hint="cs"/>
          <w:sz w:val="27"/>
          <w:rtl/>
          <w:lang w:bidi="ar-LB"/>
        </w:rPr>
        <w:t>ذلك الفعل</w:t>
      </w:r>
      <w:r w:rsidR="00225F4A" w:rsidRPr="00282AC9">
        <w:rPr>
          <w:rFonts w:hint="cs"/>
          <w:sz w:val="27"/>
          <w:rtl/>
          <w:lang w:bidi="ar-LB"/>
        </w:rPr>
        <w:t>؛</w:t>
      </w:r>
      <w:r w:rsidRPr="00282AC9">
        <w:rPr>
          <w:rFonts w:hint="cs"/>
          <w:sz w:val="27"/>
          <w:rtl/>
          <w:lang w:bidi="ar-LB"/>
        </w:rPr>
        <w:t xml:space="preserve"> أداءً </w:t>
      </w:r>
      <w:r w:rsidR="00225F4A" w:rsidRPr="00282AC9">
        <w:rPr>
          <w:rFonts w:hint="cs"/>
          <w:sz w:val="27"/>
          <w:rtl/>
          <w:lang w:bidi="ar-LB"/>
        </w:rPr>
        <w:t xml:space="preserve">لما </w:t>
      </w:r>
      <w:r w:rsidRPr="00282AC9">
        <w:rPr>
          <w:rFonts w:hint="cs"/>
          <w:sz w:val="27"/>
          <w:rtl/>
          <w:lang w:bidi="ar-LB"/>
        </w:rPr>
        <w:t>يقضي به العقل، وبالتالي تصدّى لتحصيله</w:t>
      </w:r>
      <w:r w:rsidR="00225F4A" w:rsidRPr="00282AC9">
        <w:rPr>
          <w:rFonts w:hint="cs"/>
          <w:sz w:val="27"/>
          <w:rtl/>
          <w:lang w:bidi="ar-LB"/>
        </w:rPr>
        <w:t xml:space="preserve">، </w:t>
      </w:r>
      <w:r w:rsidRPr="00282AC9">
        <w:rPr>
          <w:rFonts w:hint="cs"/>
          <w:sz w:val="27"/>
          <w:rtl/>
          <w:lang w:bidi="ar-LB"/>
        </w:rPr>
        <w:t>والتسب</w:t>
      </w:r>
      <w:r w:rsidR="00225F4A" w:rsidRPr="00282AC9">
        <w:rPr>
          <w:rFonts w:hint="cs"/>
          <w:sz w:val="27"/>
          <w:rtl/>
          <w:lang w:bidi="ar-LB"/>
        </w:rPr>
        <w:t>ّي</w:t>
      </w:r>
      <w:r w:rsidRPr="00282AC9">
        <w:rPr>
          <w:rFonts w:hint="cs"/>
          <w:sz w:val="27"/>
          <w:rtl/>
          <w:lang w:bidi="ar-LB"/>
        </w:rPr>
        <w:t>ب</w:t>
      </w:r>
      <w:r w:rsidR="005053B3" w:rsidRPr="00282AC9">
        <w:rPr>
          <w:rFonts w:hint="cs"/>
          <w:sz w:val="27"/>
          <w:rtl/>
          <w:lang w:bidi="ar-LB"/>
        </w:rPr>
        <w:t xml:space="preserve"> إلى </w:t>
      </w:r>
      <w:r w:rsidRPr="00282AC9">
        <w:rPr>
          <w:rFonts w:hint="cs"/>
          <w:sz w:val="27"/>
          <w:rtl/>
          <w:lang w:bidi="ar-LB"/>
        </w:rPr>
        <w:t>تحريكه</w:t>
      </w:r>
      <w:r w:rsidR="00225F4A" w:rsidRPr="00282AC9">
        <w:rPr>
          <w:rFonts w:hint="cs"/>
          <w:sz w:val="27"/>
          <w:rtl/>
          <w:lang w:bidi="ar-LB"/>
        </w:rPr>
        <w:t>،</w:t>
      </w:r>
      <w:r w:rsidRPr="00282AC9">
        <w:rPr>
          <w:rFonts w:hint="cs"/>
          <w:sz w:val="27"/>
          <w:rtl/>
          <w:lang w:bidi="ar-LB"/>
        </w:rPr>
        <w:t xml:space="preserve"> وجعل الداعي في نفسه، وذلك بالبعث نحو الفعل، وهذا يعني</w:t>
      </w:r>
      <w:r w:rsidR="00225F4A" w:rsidRPr="00282AC9">
        <w:rPr>
          <w:rFonts w:hint="cs"/>
          <w:sz w:val="27"/>
          <w:rtl/>
          <w:lang w:bidi="ar-LB"/>
        </w:rPr>
        <w:t xml:space="preserve"> أن</w:t>
      </w:r>
      <w:r w:rsidRPr="00282AC9">
        <w:rPr>
          <w:rFonts w:hint="cs"/>
          <w:sz w:val="27"/>
          <w:rtl/>
          <w:lang w:bidi="ar-LB"/>
        </w:rPr>
        <w:t xml:space="preserve"> الح</w:t>
      </w:r>
      <w:r w:rsidR="00225F4A" w:rsidRPr="00282AC9">
        <w:rPr>
          <w:rFonts w:hint="cs"/>
          <w:sz w:val="27"/>
          <w:rtl/>
          <w:lang w:bidi="ar-LB"/>
        </w:rPr>
        <w:t>ُ</w:t>
      </w:r>
      <w:r w:rsidRPr="00282AC9">
        <w:rPr>
          <w:rFonts w:hint="cs"/>
          <w:sz w:val="27"/>
          <w:rtl/>
          <w:lang w:bidi="ar-LB"/>
        </w:rPr>
        <w:t>س</w:t>
      </w:r>
      <w:r w:rsidR="00225F4A" w:rsidRPr="00282AC9">
        <w:rPr>
          <w:rFonts w:hint="cs"/>
          <w:sz w:val="27"/>
          <w:rtl/>
          <w:lang w:bidi="ar-LB"/>
        </w:rPr>
        <w:t>ْن غير اللزوميّ قد استتبع إ</w:t>
      </w:r>
      <w:r w:rsidRPr="00282AC9">
        <w:rPr>
          <w:rFonts w:hint="cs"/>
          <w:sz w:val="27"/>
          <w:rtl/>
          <w:lang w:bidi="ar-LB"/>
        </w:rPr>
        <w:t>رادة</w:t>
      </w:r>
      <w:r w:rsidR="00225F4A" w:rsidRPr="00282AC9">
        <w:rPr>
          <w:rFonts w:hint="cs"/>
          <w:sz w:val="27"/>
          <w:rtl/>
          <w:lang w:bidi="ar-LB"/>
        </w:rPr>
        <w:t>ً</w:t>
      </w:r>
      <w:r w:rsidRPr="00282AC9">
        <w:rPr>
          <w:rFonts w:hint="cs"/>
          <w:sz w:val="27"/>
          <w:rtl/>
          <w:lang w:bidi="ar-LB"/>
        </w:rPr>
        <w:t xml:space="preserve"> لزوميّة </w:t>
      </w:r>
      <w:r w:rsidRPr="00282AC9">
        <w:rPr>
          <w:sz w:val="27"/>
          <w:rtl/>
          <w:lang w:bidi="ar-LB"/>
        </w:rPr>
        <w:t>ـ</w:t>
      </w:r>
      <w:r w:rsidRPr="00282AC9">
        <w:rPr>
          <w:rFonts w:hint="cs"/>
          <w:sz w:val="27"/>
          <w:rtl/>
          <w:lang w:bidi="ar-LB"/>
        </w:rPr>
        <w:t xml:space="preserve"> أي</w:t>
      </w:r>
      <w:r w:rsidR="00225F4A" w:rsidRPr="00282AC9">
        <w:rPr>
          <w:rFonts w:hint="cs"/>
          <w:sz w:val="27"/>
          <w:rtl/>
          <w:lang w:bidi="ar-LB"/>
        </w:rPr>
        <w:t xml:space="preserve"> </w:t>
      </w:r>
      <w:r w:rsidRPr="00282AC9">
        <w:rPr>
          <w:rFonts w:hint="cs"/>
          <w:sz w:val="27"/>
          <w:rtl/>
          <w:lang w:bidi="ar-LB"/>
        </w:rPr>
        <w:t>مؤدّ</w:t>
      </w:r>
      <w:r w:rsidR="00225F4A" w:rsidRPr="00282AC9">
        <w:rPr>
          <w:rFonts w:hint="cs"/>
          <w:sz w:val="27"/>
          <w:rtl/>
          <w:lang w:bidi="ar-LB"/>
        </w:rPr>
        <w:t>ِ</w:t>
      </w:r>
      <w:r w:rsidRPr="00282AC9">
        <w:rPr>
          <w:rFonts w:hint="cs"/>
          <w:sz w:val="27"/>
          <w:rtl/>
          <w:lang w:bidi="ar-LB"/>
        </w:rPr>
        <w:t>ية</w:t>
      </w:r>
      <w:r w:rsidR="00225F4A" w:rsidRPr="00282AC9">
        <w:rPr>
          <w:rFonts w:hint="cs"/>
          <w:sz w:val="27"/>
          <w:rtl/>
          <w:lang w:bidi="ar-LB"/>
        </w:rPr>
        <w:t>ً</w:t>
      </w:r>
      <w:r w:rsidR="005053B3" w:rsidRPr="00282AC9">
        <w:rPr>
          <w:rFonts w:hint="cs"/>
          <w:sz w:val="27"/>
          <w:rtl/>
          <w:lang w:bidi="ar-LB"/>
        </w:rPr>
        <w:t xml:space="preserve"> إلى </w:t>
      </w:r>
      <w:r w:rsidRPr="00282AC9">
        <w:rPr>
          <w:rFonts w:hint="cs"/>
          <w:sz w:val="27"/>
          <w:rtl/>
          <w:lang w:bidi="ar-LB"/>
        </w:rPr>
        <w:t>التحريك</w:t>
      </w:r>
      <w:r w:rsidR="00225F4A" w:rsidRPr="00282AC9">
        <w:rPr>
          <w:rFonts w:hint="cs"/>
          <w:sz w:val="27"/>
          <w:rtl/>
          <w:lang w:bidi="ar-LB"/>
        </w:rPr>
        <w:t>،</w:t>
      </w:r>
      <w:r w:rsidRPr="00282AC9">
        <w:rPr>
          <w:rFonts w:hint="cs"/>
          <w:sz w:val="27"/>
          <w:rtl/>
          <w:lang w:bidi="ar-LB"/>
        </w:rPr>
        <w:t xml:space="preserve"> كما يزعمه القائل </w:t>
      </w:r>
      <w:r w:rsidRPr="00282AC9">
        <w:rPr>
          <w:sz w:val="27"/>
          <w:rtl/>
          <w:lang w:bidi="ar-LB"/>
        </w:rPr>
        <w:t>ـ</w:t>
      </w:r>
      <w:r w:rsidR="00225F4A" w:rsidRPr="00282AC9">
        <w:rPr>
          <w:rFonts w:hint="cs"/>
          <w:sz w:val="27"/>
          <w:rtl/>
          <w:lang w:bidi="ar-LB"/>
        </w:rPr>
        <w:t>،</w:t>
      </w:r>
      <w:r w:rsidRPr="00282AC9">
        <w:rPr>
          <w:rFonts w:hint="cs"/>
          <w:sz w:val="27"/>
          <w:rtl/>
          <w:lang w:bidi="ar-LB"/>
        </w:rPr>
        <w:t xml:space="preserve"> فتأمّ</w:t>
      </w:r>
      <w:r w:rsidR="00225F4A" w:rsidRPr="00282AC9">
        <w:rPr>
          <w:rFonts w:hint="cs"/>
          <w:sz w:val="27"/>
          <w:rtl/>
          <w:lang w:bidi="ar-LB"/>
        </w:rPr>
        <w:t>َ</w:t>
      </w:r>
      <w:r w:rsidRPr="00282AC9">
        <w:rPr>
          <w:rFonts w:hint="cs"/>
          <w:sz w:val="27"/>
          <w:rtl/>
          <w:lang w:bidi="ar-LB"/>
        </w:rPr>
        <w:t>ل</w:t>
      </w:r>
      <w:r w:rsidR="00225F4A" w:rsidRPr="00282AC9">
        <w:rPr>
          <w:rFonts w:hint="cs"/>
          <w:sz w:val="27"/>
          <w:rtl/>
          <w:lang w:bidi="ar-LB"/>
        </w:rPr>
        <w:t>ْ</w:t>
      </w:r>
      <w:r w:rsidRPr="00282AC9">
        <w:rPr>
          <w:rFonts w:hint="cs"/>
          <w:sz w:val="27"/>
          <w:rtl/>
          <w:lang w:bidi="ar-LB"/>
        </w:rPr>
        <w:t xml:space="preserve"> جيّداً.</w:t>
      </w:r>
    </w:p>
    <w:p w:rsidR="009F3DA9" w:rsidRPr="00282AC9" w:rsidRDefault="009F3DA9" w:rsidP="00765803">
      <w:pPr>
        <w:tabs>
          <w:tab w:val="right" w:pos="6930"/>
        </w:tabs>
        <w:suppressAutoHyphens/>
        <w:spacing w:line="420" w:lineRule="exact"/>
        <w:rPr>
          <w:sz w:val="27"/>
          <w:rtl/>
          <w:lang w:bidi="ar-LB"/>
        </w:rPr>
      </w:pPr>
    </w:p>
    <w:p w:rsidR="009F3DA9" w:rsidRPr="00282AC9" w:rsidRDefault="00644614" w:rsidP="00644614">
      <w:pPr>
        <w:pStyle w:val="31"/>
        <w:rPr>
          <w:color w:val="auto"/>
          <w:rtl/>
          <w:lang w:bidi="ar-LB"/>
        </w:rPr>
      </w:pPr>
      <w:r w:rsidRPr="00282AC9">
        <w:rPr>
          <w:rFonts w:hint="cs"/>
          <w:color w:val="auto"/>
          <w:rtl/>
          <w:lang w:bidi="ar-LB"/>
        </w:rPr>
        <w:t>3ـ بطلان انحصار الأمور في القبيح والحَسَن</w:t>
      </w:r>
    </w:p>
    <w:p w:rsidR="00A9019A" w:rsidRPr="00282AC9" w:rsidRDefault="00A9019A" w:rsidP="00B16272">
      <w:pPr>
        <w:tabs>
          <w:tab w:val="right" w:pos="6930"/>
        </w:tabs>
        <w:suppressAutoHyphens/>
        <w:rPr>
          <w:sz w:val="27"/>
          <w:rtl/>
          <w:lang w:bidi="ar-LB"/>
        </w:rPr>
      </w:pPr>
      <w:r w:rsidRPr="00282AC9">
        <w:rPr>
          <w:rFonts w:hint="cs"/>
          <w:b/>
          <w:bCs/>
          <w:sz w:val="27"/>
          <w:rtl/>
          <w:lang w:bidi="ar-LB"/>
        </w:rPr>
        <w:t>الوجه الثالث</w:t>
      </w:r>
      <w:r w:rsidRPr="00282AC9">
        <w:rPr>
          <w:rFonts w:hint="cs"/>
          <w:sz w:val="27"/>
          <w:rtl/>
          <w:lang w:bidi="ar-LB"/>
        </w:rPr>
        <w:t xml:space="preserve">: </w:t>
      </w:r>
      <w:r w:rsidR="00225F4A" w:rsidRPr="00282AC9">
        <w:rPr>
          <w:rFonts w:hint="cs"/>
          <w:sz w:val="27"/>
          <w:rtl/>
          <w:lang w:bidi="ar-LB"/>
        </w:rPr>
        <w:t>إن الملازمة المذكورة إن</w:t>
      </w:r>
      <w:r w:rsidRPr="00282AC9">
        <w:rPr>
          <w:rFonts w:hint="cs"/>
          <w:sz w:val="27"/>
          <w:rtl/>
          <w:lang w:bidi="ar-LB"/>
        </w:rPr>
        <w:t>ما تجدي في المقام إ</w:t>
      </w:r>
      <w:r w:rsidRPr="00282AC9">
        <w:rPr>
          <w:sz w:val="27"/>
          <w:rtl/>
          <w:lang w:bidi="ar-LB"/>
        </w:rPr>
        <w:tab/>
      </w:r>
      <w:r w:rsidRPr="00282AC9">
        <w:rPr>
          <w:rFonts w:hint="cs"/>
          <w:sz w:val="27"/>
          <w:rtl/>
          <w:lang w:bidi="ar-LB"/>
        </w:rPr>
        <w:t>ذا ثبت انحصار الأمور والأشياء في القبيح والح</w:t>
      </w:r>
      <w:r w:rsidR="006052D6" w:rsidRPr="00282AC9">
        <w:rPr>
          <w:rFonts w:hint="cs"/>
          <w:sz w:val="27"/>
          <w:rtl/>
          <w:lang w:bidi="ar-LB"/>
        </w:rPr>
        <w:t>َ</w:t>
      </w:r>
      <w:r w:rsidRPr="00282AC9">
        <w:rPr>
          <w:rFonts w:hint="cs"/>
          <w:sz w:val="27"/>
          <w:rtl/>
          <w:lang w:bidi="ar-LB"/>
        </w:rPr>
        <w:t>س</w:t>
      </w:r>
      <w:r w:rsidR="006052D6" w:rsidRPr="00282AC9">
        <w:rPr>
          <w:rFonts w:hint="cs"/>
          <w:sz w:val="27"/>
          <w:rtl/>
          <w:lang w:bidi="ar-LB"/>
        </w:rPr>
        <w:t>َ</w:t>
      </w:r>
      <w:r w:rsidRPr="00282AC9">
        <w:rPr>
          <w:rFonts w:hint="cs"/>
          <w:sz w:val="27"/>
          <w:rtl/>
          <w:lang w:bidi="ar-LB"/>
        </w:rPr>
        <w:t>ن، بأن لا يكون هناك واقعة</w:t>
      </w:r>
      <w:r w:rsidR="006052D6" w:rsidRPr="00282AC9">
        <w:rPr>
          <w:rFonts w:hint="cs"/>
          <w:sz w:val="27"/>
          <w:rtl/>
          <w:lang w:bidi="ar-LB"/>
        </w:rPr>
        <w:t>ٌ</w:t>
      </w:r>
      <w:r w:rsidRPr="00282AC9">
        <w:rPr>
          <w:rFonts w:hint="cs"/>
          <w:sz w:val="27"/>
          <w:rtl/>
          <w:lang w:bidi="ar-LB"/>
        </w:rPr>
        <w:t xml:space="preserve"> إلاّ وهي إمّا ح</w:t>
      </w:r>
      <w:r w:rsidR="006052D6" w:rsidRPr="00282AC9">
        <w:rPr>
          <w:rFonts w:hint="cs"/>
          <w:sz w:val="27"/>
          <w:rtl/>
          <w:lang w:bidi="ar-LB"/>
        </w:rPr>
        <w:t>َ</w:t>
      </w:r>
      <w:r w:rsidRPr="00282AC9">
        <w:rPr>
          <w:rFonts w:hint="cs"/>
          <w:sz w:val="27"/>
          <w:rtl/>
          <w:lang w:bidi="ar-LB"/>
        </w:rPr>
        <w:t>س</w:t>
      </w:r>
      <w:r w:rsidR="006052D6" w:rsidRPr="00282AC9">
        <w:rPr>
          <w:rFonts w:hint="cs"/>
          <w:sz w:val="27"/>
          <w:rtl/>
          <w:lang w:bidi="ar-LB"/>
        </w:rPr>
        <w:t>َ</w:t>
      </w:r>
      <w:r w:rsidRPr="00282AC9">
        <w:rPr>
          <w:rFonts w:hint="cs"/>
          <w:sz w:val="27"/>
          <w:rtl/>
          <w:lang w:bidi="ar-LB"/>
        </w:rPr>
        <w:t>نة أو قبيحة، ولكن</w:t>
      </w:r>
      <w:r w:rsidR="006052D6" w:rsidRPr="00282AC9">
        <w:rPr>
          <w:rFonts w:hint="cs"/>
          <w:sz w:val="27"/>
          <w:rtl/>
          <w:lang w:bidi="ar-LB"/>
        </w:rPr>
        <w:t>ّ</w:t>
      </w:r>
      <w:r w:rsidRPr="00282AC9">
        <w:rPr>
          <w:rFonts w:hint="cs"/>
          <w:sz w:val="27"/>
          <w:rtl/>
          <w:lang w:bidi="ar-LB"/>
        </w:rPr>
        <w:t xml:space="preserve"> التالي باطل؛ لعدم البرهان عليه، لو أريد به عدم ال</w:t>
      </w:r>
      <w:r w:rsidR="006052D6" w:rsidRPr="00282AC9">
        <w:rPr>
          <w:rFonts w:hint="cs"/>
          <w:sz w:val="27"/>
          <w:rtl/>
          <w:lang w:bidi="ar-LB"/>
        </w:rPr>
        <w:t>خلوّ ولو بالعناوين الثانوية، وإ</w:t>
      </w:r>
      <w:r w:rsidRPr="00282AC9">
        <w:rPr>
          <w:rFonts w:hint="cs"/>
          <w:sz w:val="27"/>
          <w:rtl/>
          <w:lang w:bidi="ar-LB"/>
        </w:rPr>
        <w:t>ن</w:t>
      </w:r>
      <w:r w:rsidR="006052D6" w:rsidRPr="00282AC9">
        <w:rPr>
          <w:rFonts w:hint="cs"/>
          <w:sz w:val="27"/>
          <w:rtl/>
          <w:lang w:bidi="ar-LB"/>
        </w:rPr>
        <w:t>ْ</w:t>
      </w:r>
      <w:r w:rsidRPr="00282AC9">
        <w:rPr>
          <w:rFonts w:hint="cs"/>
          <w:sz w:val="27"/>
          <w:rtl/>
          <w:lang w:bidi="ar-LB"/>
        </w:rPr>
        <w:t xml:space="preserve"> كان مظنوناً أو ممّا يطم</w:t>
      </w:r>
      <w:r w:rsidR="006052D6" w:rsidRPr="00282AC9">
        <w:rPr>
          <w:rFonts w:hint="cs"/>
          <w:sz w:val="27"/>
          <w:rtl/>
          <w:lang w:bidi="ar-LB"/>
        </w:rPr>
        <w:t>أ</w:t>
      </w:r>
      <w:r w:rsidRPr="00282AC9">
        <w:rPr>
          <w:rFonts w:hint="cs"/>
          <w:sz w:val="27"/>
          <w:rtl/>
          <w:lang w:bidi="ar-LB"/>
        </w:rPr>
        <w:t>نّ به</w:t>
      </w:r>
      <w:r w:rsidR="006052D6" w:rsidRPr="00282AC9">
        <w:rPr>
          <w:rFonts w:hint="cs"/>
          <w:sz w:val="27"/>
          <w:rtl/>
          <w:lang w:bidi="ar-LB"/>
        </w:rPr>
        <w:t>؛</w:t>
      </w:r>
      <w:r w:rsidRPr="00282AC9">
        <w:rPr>
          <w:rFonts w:hint="cs"/>
          <w:sz w:val="27"/>
          <w:rtl/>
          <w:lang w:bidi="ar-LB"/>
        </w:rPr>
        <w:t xml:space="preserve"> ولشهادة الوجدان على خلافه، لو أريد به العناوين الأوليّة وذوات الأشياء.</w:t>
      </w:r>
    </w:p>
    <w:p w:rsidR="00A9019A" w:rsidRPr="00282AC9" w:rsidRDefault="00A9019A" w:rsidP="00B16272">
      <w:pPr>
        <w:tabs>
          <w:tab w:val="right" w:pos="6930"/>
        </w:tabs>
        <w:suppressAutoHyphens/>
        <w:rPr>
          <w:sz w:val="27"/>
          <w:rtl/>
          <w:lang w:bidi="ar-LB"/>
        </w:rPr>
      </w:pPr>
      <w:r w:rsidRPr="00282AC9">
        <w:rPr>
          <w:rFonts w:hint="cs"/>
          <w:sz w:val="27"/>
          <w:rtl/>
          <w:lang w:bidi="ar-LB"/>
        </w:rPr>
        <w:t>ونستخلص من جميع ذلك قصور</w:t>
      </w:r>
      <w:r w:rsidR="006052D6" w:rsidRPr="00282AC9">
        <w:rPr>
          <w:rFonts w:hint="cs"/>
          <w:sz w:val="27"/>
          <w:rtl/>
          <w:lang w:bidi="ar-LB"/>
        </w:rPr>
        <w:t>َ</w:t>
      </w:r>
      <w:r w:rsidRPr="00282AC9">
        <w:rPr>
          <w:rFonts w:hint="cs"/>
          <w:sz w:val="27"/>
          <w:rtl/>
          <w:lang w:bidi="ar-LB"/>
        </w:rPr>
        <w:t xml:space="preserve"> الطريقة الأولى عن إثبات المطلوب، لا لعدم الملازمة بين الح</w:t>
      </w:r>
      <w:r w:rsidR="006052D6" w:rsidRPr="00282AC9">
        <w:rPr>
          <w:rFonts w:hint="cs"/>
          <w:sz w:val="27"/>
          <w:rtl/>
          <w:lang w:bidi="ar-LB"/>
        </w:rPr>
        <w:t>َ</w:t>
      </w:r>
      <w:r w:rsidRPr="00282AC9">
        <w:rPr>
          <w:rFonts w:hint="cs"/>
          <w:sz w:val="27"/>
          <w:rtl/>
          <w:lang w:bidi="ar-LB"/>
        </w:rPr>
        <w:t>س</w:t>
      </w:r>
      <w:r w:rsidR="006052D6" w:rsidRPr="00282AC9">
        <w:rPr>
          <w:rFonts w:hint="cs"/>
          <w:sz w:val="27"/>
          <w:rtl/>
          <w:lang w:bidi="ar-LB"/>
        </w:rPr>
        <w:t>َ</w:t>
      </w:r>
      <w:r w:rsidRPr="00282AC9">
        <w:rPr>
          <w:rFonts w:hint="cs"/>
          <w:sz w:val="27"/>
          <w:rtl/>
          <w:lang w:bidi="ar-LB"/>
        </w:rPr>
        <w:t>ن والقبيح وبين الإرادة والكراهة</w:t>
      </w:r>
      <w:r w:rsidR="006052D6" w:rsidRPr="00282AC9">
        <w:rPr>
          <w:rFonts w:hint="cs"/>
          <w:sz w:val="27"/>
          <w:rtl/>
          <w:lang w:bidi="ar-LB"/>
        </w:rPr>
        <w:t>؛</w:t>
      </w:r>
      <w:r w:rsidRPr="00282AC9">
        <w:rPr>
          <w:rFonts w:hint="cs"/>
          <w:sz w:val="27"/>
          <w:rtl/>
          <w:lang w:bidi="ar-LB"/>
        </w:rPr>
        <w:t xml:space="preserve"> بل لعدم الدليل على حصر الوقائع في الح</w:t>
      </w:r>
      <w:r w:rsidR="006052D6" w:rsidRPr="00282AC9">
        <w:rPr>
          <w:rFonts w:hint="cs"/>
          <w:sz w:val="27"/>
          <w:rtl/>
          <w:lang w:bidi="ar-LB"/>
        </w:rPr>
        <w:t>َ</w:t>
      </w:r>
      <w:r w:rsidRPr="00282AC9">
        <w:rPr>
          <w:rFonts w:hint="cs"/>
          <w:sz w:val="27"/>
          <w:rtl/>
          <w:lang w:bidi="ar-LB"/>
        </w:rPr>
        <w:t>س</w:t>
      </w:r>
      <w:r w:rsidR="006052D6" w:rsidRPr="00282AC9">
        <w:rPr>
          <w:rFonts w:hint="cs"/>
          <w:sz w:val="27"/>
          <w:rtl/>
          <w:lang w:bidi="ar-LB"/>
        </w:rPr>
        <w:t>َ</w:t>
      </w:r>
      <w:r w:rsidRPr="00282AC9">
        <w:rPr>
          <w:rFonts w:hint="cs"/>
          <w:sz w:val="27"/>
          <w:rtl/>
          <w:lang w:bidi="ar-LB"/>
        </w:rPr>
        <w:t>ن والقبيح</w:t>
      </w:r>
      <w:r w:rsidR="006052D6" w:rsidRPr="00282AC9">
        <w:rPr>
          <w:rFonts w:hint="cs"/>
          <w:sz w:val="27"/>
          <w:rtl/>
          <w:lang w:bidi="ar-LB"/>
        </w:rPr>
        <w:t>،</w:t>
      </w:r>
      <w:r w:rsidRPr="00282AC9">
        <w:rPr>
          <w:rFonts w:hint="cs"/>
          <w:sz w:val="27"/>
          <w:rtl/>
          <w:lang w:bidi="ar-LB"/>
        </w:rPr>
        <w:t xml:space="preserve"> ولو بالعناوين الثانوية.</w:t>
      </w:r>
    </w:p>
    <w:p w:rsidR="00A9019A" w:rsidRPr="00282AC9" w:rsidRDefault="00A9019A" w:rsidP="00B16272">
      <w:pPr>
        <w:tabs>
          <w:tab w:val="right" w:pos="6930"/>
        </w:tabs>
        <w:suppressAutoHyphens/>
        <w:rPr>
          <w:sz w:val="27"/>
          <w:rtl/>
          <w:lang w:bidi="ar-LB"/>
        </w:rPr>
      </w:pPr>
      <w:r w:rsidRPr="00282AC9">
        <w:rPr>
          <w:rFonts w:hint="cs"/>
          <w:sz w:val="27"/>
          <w:rtl/>
          <w:lang w:bidi="ar-LB"/>
        </w:rPr>
        <w:t>هذا من جهة قصور هذه الطريقة عن إثبات الملازمة بين ح</w:t>
      </w:r>
      <w:r w:rsidR="006052D6" w:rsidRPr="00282AC9">
        <w:rPr>
          <w:rFonts w:hint="cs"/>
          <w:sz w:val="27"/>
          <w:rtl/>
          <w:lang w:bidi="ar-LB"/>
        </w:rPr>
        <w:t>ُ</w:t>
      </w:r>
      <w:r w:rsidRPr="00282AC9">
        <w:rPr>
          <w:rFonts w:hint="cs"/>
          <w:sz w:val="27"/>
          <w:rtl/>
          <w:lang w:bidi="ar-LB"/>
        </w:rPr>
        <w:t>س</w:t>
      </w:r>
      <w:r w:rsidR="006052D6" w:rsidRPr="00282AC9">
        <w:rPr>
          <w:rFonts w:hint="cs"/>
          <w:sz w:val="27"/>
          <w:rtl/>
          <w:lang w:bidi="ar-LB"/>
        </w:rPr>
        <w:t>ْ</w:t>
      </w:r>
      <w:r w:rsidRPr="00282AC9">
        <w:rPr>
          <w:rFonts w:hint="cs"/>
          <w:sz w:val="27"/>
          <w:rtl/>
          <w:lang w:bidi="ar-LB"/>
        </w:rPr>
        <w:t xml:space="preserve">ن الفعل وإِرادته. </w:t>
      </w:r>
    </w:p>
    <w:p w:rsidR="00A9019A" w:rsidRPr="00282AC9" w:rsidRDefault="00A9019A" w:rsidP="00B16272">
      <w:pPr>
        <w:tabs>
          <w:tab w:val="right" w:pos="6930"/>
        </w:tabs>
        <w:suppressAutoHyphens/>
        <w:rPr>
          <w:sz w:val="27"/>
          <w:rtl/>
          <w:lang w:bidi="ar-LB"/>
        </w:rPr>
      </w:pPr>
      <w:r w:rsidRPr="00282AC9">
        <w:rPr>
          <w:rFonts w:hint="cs"/>
          <w:sz w:val="27"/>
          <w:rtl/>
          <w:lang w:bidi="ar-LB"/>
        </w:rPr>
        <w:t>وأمّا الملازمة بين ح</w:t>
      </w:r>
      <w:r w:rsidR="006052D6" w:rsidRPr="00282AC9">
        <w:rPr>
          <w:rFonts w:hint="cs"/>
          <w:sz w:val="27"/>
          <w:rtl/>
          <w:lang w:bidi="ar-LB"/>
        </w:rPr>
        <w:t>ُ</w:t>
      </w:r>
      <w:r w:rsidRPr="00282AC9">
        <w:rPr>
          <w:rFonts w:hint="cs"/>
          <w:sz w:val="27"/>
          <w:rtl/>
          <w:lang w:bidi="ar-LB"/>
        </w:rPr>
        <w:t>س</w:t>
      </w:r>
      <w:r w:rsidR="006052D6" w:rsidRPr="00282AC9">
        <w:rPr>
          <w:rFonts w:hint="cs"/>
          <w:sz w:val="27"/>
          <w:rtl/>
          <w:lang w:bidi="ar-LB"/>
        </w:rPr>
        <w:t>ْ</w:t>
      </w:r>
      <w:r w:rsidRPr="00282AC9">
        <w:rPr>
          <w:rFonts w:hint="cs"/>
          <w:sz w:val="27"/>
          <w:rtl/>
          <w:lang w:bidi="ar-LB"/>
        </w:rPr>
        <w:t>نه وتوج</w:t>
      </w:r>
      <w:r w:rsidR="002B0A02" w:rsidRPr="00282AC9">
        <w:rPr>
          <w:rFonts w:hint="cs"/>
          <w:sz w:val="27"/>
          <w:rtl/>
          <w:lang w:bidi="ar-LB"/>
        </w:rPr>
        <w:t>ُّ</w:t>
      </w:r>
      <w:r w:rsidRPr="00282AC9">
        <w:rPr>
          <w:rFonts w:hint="cs"/>
          <w:sz w:val="27"/>
          <w:rtl/>
          <w:lang w:bidi="ar-LB"/>
        </w:rPr>
        <w:t>ه الخطاب إليه، أو فق</w:t>
      </w:r>
      <w:r w:rsidR="002B0A02" w:rsidRPr="00282AC9">
        <w:rPr>
          <w:rFonts w:hint="cs"/>
          <w:sz w:val="27"/>
          <w:rtl/>
          <w:lang w:bidi="ar-LB"/>
        </w:rPr>
        <w:t>ُ</w:t>
      </w:r>
      <w:r w:rsidRPr="00282AC9">
        <w:rPr>
          <w:rFonts w:hint="cs"/>
          <w:sz w:val="27"/>
          <w:rtl/>
          <w:lang w:bidi="ar-LB"/>
        </w:rPr>
        <w:t>ل</w:t>
      </w:r>
      <w:r w:rsidR="002B0A02" w:rsidRPr="00282AC9">
        <w:rPr>
          <w:rFonts w:hint="cs"/>
          <w:sz w:val="27"/>
          <w:rtl/>
          <w:lang w:bidi="ar-LB"/>
        </w:rPr>
        <w:t>ْ</w:t>
      </w:r>
      <w:r w:rsidRPr="00282AC9">
        <w:rPr>
          <w:rFonts w:hint="cs"/>
          <w:sz w:val="27"/>
          <w:rtl/>
          <w:lang w:bidi="ar-LB"/>
        </w:rPr>
        <w:t>: ال</w:t>
      </w:r>
      <w:r w:rsidR="002B0A02" w:rsidRPr="00282AC9">
        <w:rPr>
          <w:rFonts w:hint="cs"/>
          <w:sz w:val="27"/>
          <w:rtl/>
          <w:lang w:bidi="ar-LB"/>
        </w:rPr>
        <w:t>إنشا</w:t>
      </w:r>
      <w:r w:rsidRPr="00282AC9">
        <w:rPr>
          <w:rFonts w:hint="cs"/>
          <w:sz w:val="27"/>
          <w:rtl/>
          <w:lang w:bidi="ar-LB"/>
        </w:rPr>
        <w:t>ء بداعي جعل الداعي، فهناك مانع</w:t>
      </w:r>
      <w:r w:rsidR="002B0A02" w:rsidRPr="00282AC9">
        <w:rPr>
          <w:rFonts w:hint="cs"/>
          <w:sz w:val="27"/>
          <w:rtl/>
          <w:lang w:bidi="ar-LB"/>
        </w:rPr>
        <w:t>ٌ</w:t>
      </w:r>
      <w:r w:rsidRPr="00282AC9">
        <w:rPr>
          <w:rFonts w:hint="cs"/>
          <w:sz w:val="27"/>
          <w:rtl/>
          <w:lang w:bidi="ar-LB"/>
        </w:rPr>
        <w:t xml:space="preserve"> عامّ يعيق إثباتها، وهو أنّ الخطاب بما أنّه فعل</w:t>
      </w:r>
      <w:r w:rsidR="002B0A02" w:rsidRPr="00282AC9">
        <w:rPr>
          <w:rFonts w:hint="cs"/>
          <w:sz w:val="27"/>
          <w:rtl/>
          <w:lang w:bidi="ar-LB"/>
        </w:rPr>
        <w:t>ٌ</w:t>
      </w:r>
      <w:r w:rsidRPr="00282AC9">
        <w:rPr>
          <w:rFonts w:hint="cs"/>
          <w:sz w:val="27"/>
          <w:rtl/>
          <w:lang w:bidi="ar-LB"/>
        </w:rPr>
        <w:t xml:space="preserve"> خاص</w:t>
      </w:r>
      <w:r w:rsidR="002B0A02" w:rsidRPr="00282AC9">
        <w:rPr>
          <w:rFonts w:hint="cs"/>
          <w:sz w:val="27"/>
          <w:rtl/>
          <w:lang w:bidi="ar-LB"/>
        </w:rPr>
        <w:t>ّ، وإ</w:t>
      </w:r>
      <w:r w:rsidRPr="00282AC9">
        <w:rPr>
          <w:rFonts w:hint="cs"/>
          <w:sz w:val="27"/>
          <w:rtl/>
          <w:lang w:bidi="ar-LB"/>
        </w:rPr>
        <w:t>ن</w:t>
      </w:r>
      <w:r w:rsidR="002B0A02" w:rsidRPr="00282AC9">
        <w:rPr>
          <w:rFonts w:hint="cs"/>
          <w:sz w:val="27"/>
          <w:rtl/>
          <w:lang w:bidi="ar-LB"/>
        </w:rPr>
        <w:t>ْ</w:t>
      </w:r>
      <w:r w:rsidRPr="00282AC9">
        <w:rPr>
          <w:rFonts w:hint="cs"/>
          <w:sz w:val="27"/>
          <w:rtl/>
          <w:lang w:bidi="ar-LB"/>
        </w:rPr>
        <w:t xml:space="preserve"> كان ناشئاً عن العلم بالملاك وتوفّ</w:t>
      </w:r>
      <w:r w:rsidR="002B0A02" w:rsidRPr="00282AC9">
        <w:rPr>
          <w:rFonts w:hint="cs"/>
          <w:sz w:val="27"/>
          <w:rtl/>
          <w:lang w:bidi="ar-LB"/>
        </w:rPr>
        <w:t>ُ</w:t>
      </w:r>
      <w:r w:rsidRPr="00282AC9">
        <w:rPr>
          <w:rFonts w:hint="cs"/>
          <w:sz w:val="27"/>
          <w:rtl/>
          <w:lang w:bidi="ar-LB"/>
        </w:rPr>
        <w:t>ر الإرادة، إلاّ أنه تابع</w:t>
      </w:r>
      <w:r w:rsidR="002B0A02" w:rsidRPr="00282AC9">
        <w:rPr>
          <w:rFonts w:hint="cs"/>
          <w:sz w:val="27"/>
          <w:rtl/>
          <w:lang w:bidi="ar-LB"/>
        </w:rPr>
        <w:t>ٌ</w:t>
      </w:r>
      <w:r w:rsidRPr="00282AC9">
        <w:rPr>
          <w:rFonts w:hint="cs"/>
          <w:sz w:val="27"/>
          <w:rtl/>
          <w:lang w:bidi="ar-LB"/>
        </w:rPr>
        <w:t xml:space="preserve"> أيضاً لمصالح مستقل</w:t>
      </w:r>
      <w:r w:rsidR="002B0A02" w:rsidRPr="00282AC9">
        <w:rPr>
          <w:rFonts w:hint="cs"/>
          <w:sz w:val="27"/>
          <w:rtl/>
          <w:lang w:bidi="ar-LB"/>
        </w:rPr>
        <w:t>ّ</w:t>
      </w:r>
      <w:r w:rsidRPr="00282AC9">
        <w:rPr>
          <w:rFonts w:hint="cs"/>
          <w:sz w:val="27"/>
          <w:rtl/>
          <w:lang w:bidi="ar-LB"/>
        </w:rPr>
        <w:t>ة</w:t>
      </w:r>
      <w:r w:rsidR="002B0A02" w:rsidRPr="00282AC9">
        <w:rPr>
          <w:rFonts w:hint="cs"/>
          <w:sz w:val="27"/>
          <w:rtl/>
          <w:lang w:bidi="ar-LB"/>
        </w:rPr>
        <w:t>ٍ</w:t>
      </w:r>
      <w:r w:rsidRPr="00282AC9">
        <w:rPr>
          <w:rFonts w:hint="cs"/>
          <w:sz w:val="27"/>
          <w:rtl/>
          <w:lang w:bidi="ar-LB"/>
        </w:rPr>
        <w:t xml:space="preserve"> فيه أو مفاسد كذلك، كما تقد</w:t>
      </w:r>
      <w:r w:rsidR="002B0A02" w:rsidRPr="00282AC9">
        <w:rPr>
          <w:rFonts w:hint="cs"/>
          <w:sz w:val="27"/>
          <w:rtl/>
          <w:lang w:bidi="ar-LB"/>
        </w:rPr>
        <w:t>َّ</w:t>
      </w:r>
      <w:r w:rsidRPr="00282AC9">
        <w:rPr>
          <w:rFonts w:hint="cs"/>
          <w:sz w:val="27"/>
          <w:rtl/>
          <w:lang w:bidi="ar-LB"/>
        </w:rPr>
        <w:t>مت الإشارة</w:t>
      </w:r>
      <w:r w:rsidR="005053B3" w:rsidRPr="00282AC9">
        <w:rPr>
          <w:rFonts w:hint="cs"/>
          <w:sz w:val="27"/>
          <w:rtl/>
          <w:lang w:bidi="ar-LB"/>
        </w:rPr>
        <w:t xml:space="preserve"> إلى </w:t>
      </w:r>
      <w:r w:rsidRPr="00282AC9">
        <w:rPr>
          <w:rFonts w:hint="cs"/>
          <w:sz w:val="27"/>
          <w:rtl/>
          <w:lang w:bidi="ar-LB"/>
        </w:rPr>
        <w:t>ذلك فيما سبق</w:t>
      </w:r>
      <w:r w:rsidR="002B0A02" w:rsidRPr="00282AC9">
        <w:rPr>
          <w:rFonts w:hint="cs"/>
          <w:sz w:val="27"/>
          <w:rtl/>
          <w:lang w:bidi="ar-LB"/>
        </w:rPr>
        <w:t>.</w:t>
      </w:r>
      <w:r w:rsidRPr="00282AC9">
        <w:rPr>
          <w:rFonts w:hint="cs"/>
          <w:sz w:val="27"/>
          <w:rtl/>
          <w:lang w:bidi="ar-LB"/>
        </w:rPr>
        <w:t xml:space="preserve"> فمجرّد إثبات الح</w:t>
      </w:r>
      <w:r w:rsidR="002B0A02" w:rsidRPr="00282AC9">
        <w:rPr>
          <w:rFonts w:hint="cs"/>
          <w:sz w:val="27"/>
          <w:rtl/>
          <w:lang w:bidi="ar-LB"/>
        </w:rPr>
        <w:t>َ</w:t>
      </w:r>
      <w:r w:rsidRPr="00282AC9">
        <w:rPr>
          <w:rFonts w:hint="cs"/>
          <w:sz w:val="27"/>
          <w:rtl/>
          <w:lang w:bidi="ar-LB"/>
        </w:rPr>
        <w:t>س</w:t>
      </w:r>
      <w:r w:rsidR="002B0A02" w:rsidRPr="00282AC9">
        <w:rPr>
          <w:rFonts w:hint="cs"/>
          <w:sz w:val="27"/>
          <w:rtl/>
          <w:lang w:bidi="ar-LB"/>
        </w:rPr>
        <w:t>َ</w:t>
      </w:r>
      <w:r w:rsidRPr="00282AC9">
        <w:rPr>
          <w:rFonts w:hint="cs"/>
          <w:sz w:val="27"/>
          <w:rtl/>
          <w:lang w:bidi="ar-LB"/>
        </w:rPr>
        <w:t xml:space="preserve">ن والقبيح أو الإرادة والكراهة </w:t>
      </w:r>
      <w:r w:rsidR="002B0A02" w:rsidRPr="00282AC9">
        <w:rPr>
          <w:rFonts w:hint="cs"/>
          <w:sz w:val="27"/>
          <w:rtl/>
          <w:lang w:bidi="ar-LB"/>
        </w:rPr>
        <w:t>لا يكفي مؤنة إثبات الخطاب بعد إ</w:t>
      </w:r>
      <w:r w:rsidRPr="00282AC9">
        <w:rPr>
          <w:rFonts w:hint="cs"/>
          <w:sz w:val="27"/>
          <w:rtl/>
          <w:lang w:bidi="ar-LB"/>
        </w:rPr>
        <w:t>مكانية ابتلائه بالموانع.</w:t>
      </w:r>
    </w:p>
    <w:p w:rsidR="00A9019A" w:rsidRPr="00282AC9" w:rsidRDefault="00A9019A" w:rsidP="00B16272">
      <w:pPr>
        <w:tabs>
          <w:tab w:val="right" w:pos="6930"/>
        </w:tabs>
        <w:suppressAutoHyphens/>
        <w:rPr>
          <w:sz w:val="27"/>
          <w:rtl/>
          <w:lang w:bidi="ar-LB"/>
        </w:rPr>
      </w:pPr>
      <w:r w:rsidRPr="00282AC9">
        <w:rPr>
          <w:rFonts w:hint="cs"/>
          <w:sz w:val="27"/>
          <w:rtl/>
          <w:lang w:bidi="ar-LB"/>
        </w:rPr>
        <w:lastRenderedPageBreak/>
        <w:t>نعم</w:t>
      </w:r>
      <w:r w:rsidR="002B0A02" w:rsidRPr="00282AC9">
        <w:rPr>
          <w:rFonts w:hint="cs"/>
          <w:sz w:val="27"/>
          <w:rtl/>
          <w:lang w:bidi="ar-LB"/>
        </w:rPr>
        <w:t>،</w:t>
      </w:r>
      <w:r w:rsidRPr="00282AC9">
        <w:rPr>
          <w:rFonts w:hint="cs"/>
          <w:sz w:val="27"/>
          <w:rtl/>
          <w:lang w:bidi="ar-LB"/>
        </w:rPr>
        <w:t xml:space="preserve"> غاية ما يمكن أن ي</w:t>
      </w:r>
      <w:r w:rsidR="002B0A02" w:rsidRPr="00282AC9">
        <w:rPr>
          <w:rFonts w:hint="cs"/>
          <w:sz w:val="27"/>
          <w:rtl/>
          <w:lang w:bidi="ar-LB"/>
        </w:rPr>
        <w:t>ُ</w:t>
      </w:r>
      <w:r w:rsidRPr="00282AC9">
        <w:rPr>
          <w:rFonts w:hint="cs"/>
          <w:sz w:val="27"/>
          <w:rtl/>
          <w:lang w:bidi="ar-LB"/>
        </w:rPr>
        <w:t>قال عن ذلك هو اقت</w:t>
      </w:r>
      <w:r w:rsidR="002B0A02" w:rsidRPr="00282AC9">
        <w:rPr>
          <w:rFonts w:hint="cs"/>
          <w:sz w:val="27"/>
          <w:rtl/>
          <w:lang w:bidi="ar-LB"/>
        </w:rPr>
        <w:t>ضاء الإرادة والكراهة للبعث والز</w:t>
      </w:r>
      <w:r w:rsidRPr="00282AC9">
        <w:rPr>
          <w:rFonts w:hint="cs"/>
          <w:sz w:val="27"/>
          <w:rtl/>
          <w:lang w:bidi="ar-LB"/>
        </w:rPr>
        <w:t>جر، وأمّا فعلي</w:t>
      </w:r>
      <w:r w:rsidR="002B0A02" w:rsidRPr="00282AC9">
        <w:rPr>
          <w:rFonts w:hint="cs"/>
          <w:sz w:val="27"/>
          <w:rtl/>
          <w:lang w:bidi="ar-LB"/>
        </w:rPr>
        <w:t>ّة</w:t>
      </w:r>
      <w:r w:rsidRPr="00282AC9">
        <w:rPr>
          <w:rFonts w:hint="cs"/>
          <w:sz w:val="27"/>
          <w:rtl/>
          <w:lang w:bidi="ar-LB"/>
        </w:rPr>
        <w:t xml:space="preserve"> هذا الاقتضاء فمرهونة</w:t>
      </w:r>
      <w:r w:rsidR="002B0A02" w:rsidRPr="00282AC9">
        <w:rPr>
          <w:rFonts w:hint="cs"/>
          <w:sz w:val="27"/>
          <w:rtl/>
          <w:lang w:bidi="ar-LB"/>
        </w:rPr>
        <w:t>ٌ</w:t>
      </w:r>
      <w:r w:rsidRPr="00282AC9">
        <w:rPr>
          <w:rFonts w:hint="cs"/>
          <w:sz w:val="27"/>
          <w:rtl/>
          <w:lang w:bidi="ar-LB"/>
        </w:rPr>
        <w:t xml:space="preserve"> بإحراز عدم المانع من البعث والزجر، وأنّ</w:t>
      </w:r>
      <w:r w:rsidR="002B0A02" w:rsidRPr="00282AC9">
        <w:rPr>
          <w:rFonts w:hint="cs"/>
          <w:sz w:val="27"/>
          <w:rtl/>
          <w:lang w:bidi="ar-LB"/>
        </w:rPr>
        <w:t>َ</w:t>
      </w:r>
      <w:r w:rsidRPr="00282AC9">
        <w:rPr>
          <w:rFonts w:hint="cs"/>
          <w:sz w:val="27"/>
          <w:rtl/>
          <w:lang w:bidi="ar-LB"/>
        </w:rPr>
        <w:t>ى</w:t>
      </w:r>
      <w:r w:rsidR="005053B3" w:rsidRPr="00282AC9">
        <w:rPr>
          <w:rFonts w:hint="cs"/>
          <w:sz w:val="27"/>
          <w:rtl/>
          <w:lang w:bidi="ar-LB"/>
        </w:rPr>
        <w:t xml:space="preserve"> إلى </w:t>
      </w:r>
      <w:r w:rsidRPr="00282AC9">
        <w:rPr>
          <w:rFonts w:hint="cs"/>
          <w:sz w:val="27"/>
          <w:rtl/>
          <w:lang w:bidi="ar-LB"/>
        </w:rPr>
        <w:t>ذلك من سبيل</w:t>
      </w:r>
      <w:r w:rsidR="002B0A02" w:rsidRPr="00282AC9">
        <w:rPr>
          <w:rFonts w:hint="cs"/>
          <w:sz w:val="27"/>
          <w:rtl/>
          <w:lang w:bidi="ar-LB"/>
        </w:rPr>
        <w:t>ٍ</w:t>
      </w:r>
      <w:r w:rsidRPr="00282AC9">
        <w:rPr>
          <w:rFonts w:hint="cs"/>
          <w:sz w:val="27"/>
          <w:rtl/>
          <w:lang w:bidi="ar-LB"/>
        </w:rPr>
        <w:t xml:space="preserve"> قطعي</w:t>
      </w:r>
      <w:r w:rsidR="002B0A02" w:rsidRPr="00282AC9">
        <w:rPr>
          <w:rFonts w:hint="cs"/>
          <w:sz w:val="27"/>
          <w:rtl/>
          <w:lang w:bidi="ar-LB"/>
        </w:rPr>
        <w:t>ّ</w:t>
      </w:r>
      <w:r w:rsidRPr="00282AC9">
        <w:rPr>
          <w:rFonts w:hint="cs"/>
          <w:sz w:val="27"/>
          <w:rtl/>
          <w:lang w:bidi="ar-LB"/>
        </w:rPr>
        <w:t>؟</w:t>
      </w:r>
    </w:p>
    <w:p w:rsidR="00D86DE6" w:rsidRPr="00282AC9" w:rsidRDefault="00D86DE6" w:rsidP="00B16272">
      <w:pPr>
        <w:tabs>
          <w:tab w:val="right" w:pos="6930"/>
        </w:tabs>
        <w:suppressAutoHyphens/>
        <w:rPr>
          <w:sz w:val="27"/>
          <w:rtl/>
          <w:lang w:bidi="ar-LB"/>
        </w:rPr>
      </w:pPr>
    </w:p>
    <w:p w:rsidR="0009334C" w:rsidRPr="00282AC9" w:rsidRDefault="00A9019A" w:rsidP="00B16272">
      <w:pPr>
        <w:ind w:firstLine="0"/>
        <w:jc w:val="right"/>
        <w:rPr>
          <w:b/>
          <w:bCs/>
          <w:rtl/>
        </w:rPr>
      </w:pPr>
      <w:r w:rsidRPr="00282AC9">
        <w:rPr>
          <w:rFonts w:hint="cs"/>
          <w:b/>
          <w:bCs/>
          <w:sz w:val="27"/>
          <w:rtl/>
          <w:lang w:bidi="ar-LB"/>
        </w:rPr>
        <w:t>ـ يتبع ـ</w:t>
      </w:r>
    </w:p>
    <w:p w:rsidR="00D56669" w:rsidRPr="00282AC9" w:rsidRDefault="00D56669" w:rsidP="00765803">
      <w:pPr>
        <w:spacing w:line="420" w:lineRule="exact"/>
        <w:rPr>
          <w:rtl/>
        </w:rPr>
      </w:pPr>
    </w:p>
    <w:p w:rsidR="0009334C" w:rsidRPr="00282AC9" w:rsidRDefault="0009334C" w:rsidP="00765803">
      <w:pPr>
        <w:spacing w:line="420" w:lineRule="exact"/>
        <w:rPr>
          <w:rtl/>
        </w:rPr>
      </w:pPr>
    </w:p>
    <w:p w:rsidR="00E94E45" w:rsidRPr="00282AC9" w:rsidRDefault="00E94E45" w:rsidP="00D87709">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711BBB" w:rsidRPr="00282AC9" w:rsidRDefault="00711BBB" w:rsidP="00D87709">
      <w:pPr>
        <w:pStyle w:val="34"/>
        <w:autoSpaceDE w:val="0"/>
        <w:autoSpaceDN w:val="0"/>
        <w:adjustRightInd w:val="0"/>
        <w:spacing w:line="418" w:lineRule="exact"/>
        <w:ind w:firstLine="0"/>
        <w:rPr>
          <w:rFonts w:cs="K Sina"/>
          <w:sz w:val="26"/>
          <w:rtl/>
          <w:lang w:eastAsia="ar-SA"/>
        </w:rPr>
        <w:sectPr w:rsidR="00711BBB" w:rsidRPr="00282AC9"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Fonts w:cs="AL-Mateen"/>
          <w:b/>
          <w:sz w:val="32"/>
          <w:szCs w:val="48"/>
          <w:rtl/>
        </w:rPr>
        <w:lastRenderedPageBreak/>
        <w:br w:type="page"/>
      </w:r>
    </w:p>
    <w:p w:rsidR="00E83C22" w:rsidRPr="00282AC9" w:rsidRDefault="00E83C22" w:rsidP="00D1080C">
      <w:pPr>
        <w:rPr>
          <w:rtl/>
        </w:rPr>
        <w:sectPr w:rsidR="00E83C22" w:rsidRPr="00282AC9"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F8035C">
      <w:pPr>
        <w:spacing w:line="470" w:lineRule="exact"/>
        <w:rPr>
          <w:rtl/>
        </w:rPr>
      </w:pPr>
    </w:p>
    <w:p w:rsidR="00E83C22" w:rsidRPr="00282AC9" w:rsidRDefault="00E83C22" w:rsidP="009A3EA7">
      <w:pPr>
        <w:spacing w:line="460" w:lineRule="exact"/>
        <w:rPr>
          <w:rtl/>
        </w:rPr>
      </w:pPr>
    </w:p>
    <w:p w:rsidR="00E83C22" w:rsidRPr="00282AC9" w:rsidRDefault="00BC5E40" w:rsidP="00BC5E40">
      <w:pPr>
        <w:pStyle w:val="11"/>
        <w:spacing w:line="216" w:lineRule="auto"/>
        <w:rPr>
          <w:rtl/>
        </w:rPr>
      </w:pPr>
      <w:bookmarkStart w:id="8" w:name="_Toc87011484"/>
      <w:r w:rsidRPr="00282AC9">
        <w:rPr>
          <w:rFonts w:hint="cs"/>
          <w:rtl/>
        </w:rPr>
        <w:t>منطقة الفراغ</w:t>
      </w:r>
      <w:r w:rsidR="004336CE" w:rsidRPr="00282AC9">
        <w:rPr>
          <w:rFonts w:hint="cs"/>
          <w:rtl/>
        </w:rPr>
        <w:t xml:space="preserve"> بين النفي والإثبات</w:t>
      </w:r>
      <w:bookmarkEnd w:id="8"/>
    </w:p>
    <w:p w:rsidR="00E83C22" w:rsidRPr="00282AC9" w:rsidRDefault="004336CE" w:rsidP="004336CE">
      <w:pPr>
        <w:pStyle w:val="11"/>
        <w:spacing w:line="216" w:lineRule="auto"/>
        <w:rPr>
          <w:sz w:val="26"/>
          <w:szCs w:val="42"/>
          <w:rtl/>
        </w:rPr>
      </w:pPr>
      <w:bookmarkStart w:id="9" w:name="_Toc87011485"/>
      <w:r w:rsidRPr="00282AC9">
        <w:rPr>
          <w:rFonts w:hint="cs"/>
          <w:sz w:val="26"/>
          <w:szCs w:val="42"/>
          <w:rtl/>
        </w:rPr>
        <w:t>دراسةٌ مقارنة بين النظريّة والنموذج العمليّ</w:t>
      </w:r>
      <w:bookmarkEnd w:id="9"/>
    </w:p>
    <w:p w:rsidR="00E83C22" w:rsidRPr="00282AC9" w:rsidRDefault="00E83C22" w:rsidP="009A3EA7">
      <w:pPr>
        <w:spacing w:line="440" w:lineRule="exact"/>
        <w:rPr>
          <w:rtl/>
        </w:rPr>
      </w:pPr>
    </w:p>
    <w:p w:rsidR="00E83C22" w:rsidRPr="00282AC9" w:rsidRDefault="00CF3D2E" w:rsidP="00BC5E40">
      <w:pPr>
        <w:pStyle w:val="Author"/>
        <w:rPr>
          <w:rtl/>
        </w:rPr>
      </w:pPr>
      <w:bookmarkStart w:id="10" w:name="_Toc87011486"/>
      <w:r w:rsidRPr="00282AC9">
        <w:rPr>
          <w:rFonts w:hint="cs"/>
          <w:rtl/>
        </w:rPr>
        <w:t xml:space="preserve">د. الشيخ </w:t>
      </w:r>
      <w:r w:rsidR="00BC5E40" w:rsidRPr="00282AC9">
        <w:rPr>
          <w:rFonts w:hint="cs"/>
          <w:rtl/>
        </w:rPr>
        <w:t>محمد رحماني</w:t>
      </w:r>
      <w:r w:rsidR="00527634" w:rsidRPr="00282AC9">
        <w:rPr>
          <w:rFonts w:cs="Taher" w:hint="cs"/>
          <w:vertAlign w:val="superscript"/>
          <w:rtl/>
        </w:rPr>
        <w:t>(</w:t>
      </w:r>
      <w:r w:rsidR="00527634" w:rsidRPr="00282AC9">
        <w:rPr>
          <w:rFonts w:cs="Taher"/>
          <w:vertAlign w:val="superscript"/>
          <w:rtl/>
        </w:rPr>
        <w:footnoteReference w:customMarkFollows="1" w:id="2"/>
        <w:t>*)</w:t>
      </w:r>
      <w:bookmarkEnd w:id="10"/>
    </w:p>
    <w:p w:rsidR="00E83C22" w:rsidRPr="00282AC9" w:rsidRDefault="00E83C22" w:rsidP="00BC5E40">
      <w:pPr>
        <w:pStyle w:val="Author"/>
      </w:pPr>
      <w:bookmarkStart w:id="11" w:name="_Toc87011487"/>
      <w:r w:rsidRPr="00282AC9">
        <w:rPr>
          <w:rFonts w:hint="cs"/>
          <w:rtl/>
        </w:rPr>
        <w:t xml:space="preserve">ترجمة: </w:t>
      </w:r>
      <w:r w:rsidR="00BC5E40" w:rsidRPr="00282AC9">
        <w:rPr>
          <w:rFonts w:hint="cs"/>
          <w:rtl/>
        </w:rPr>
        <w:t>حسن علي مطر</w:t>
      </w:r>
      <w:bookmarkEnd w:id="11"/>
    </w:p>
    <w:p w:rsidR="00E83C22" w:rsidRPr="00282AC9" w:rsidRDefault="00E83C22" w:rsidP="009A3EA7">
      <w:pPr>
        <w:spacing w:line="440" w:lineRule="exact"/>
        <w:rPr>
          <w:rtl/>
        </w:rPr>
      </w:pPr>
    </w:p>
    <w:p w:rsidR="00BC5E40" w:rsidRPr="00282AC9" w:rsidRDefault="00BC5E40" w:rsidP="00E36B18">
      <w:pPr>
        <w:pStyle w:val="31"/>
        <w:rPr>
          <w:color w:val="auto"/>
          <w:rtl/>
        </w:rPr>
      </w:pPr>
      <w:r w:rsidRPr="00282AC9">
        <w:rPr>
          <w:rFonts w:hint="cs"/>
          <w:color w:val="auto"/>
          <w:rtl/>
        </w:rPr>
        <w:t>مقدّمة</w:t>
      </w:r>
      <w:r w:rsidR="005843F4" w:rsidRPr="00282AC9">
        <w:rPr>
          <w:rFonts w:hint="cs"/>
          <w:color w:val="auto"/>
          <w:rtl/>
        </w:rPr>
        <w:t>ٌ</w:t>
      </w:r>
    </w:p>
    <w:p w:rsidR="00BC5E40" w:rsidRPr="00282AC9" w:rsidRDefault="00195826" w:rsidP="00BC4D37">
      <w:pPr>
        <w:rPr>
          <w:sz w:val="27"/>
          <w:rtl/>
        </w:rPr>
      </w:pPr>
      <w:r w:rsidRPr="00282AC9">
        <w:rPr>
          <w:rFonts w:hint="cs"/>
          <w:sz w:val="27"/>
          <w:rtl/>
        </w:rPr>
        <w:t xml:space="preserve">يمتاز </w:t>
      </w:r>
      <w:r w:rsidR="00BC5E40" w:rsidRPr="00282AC9">
        <w:rPr>
          <w:rFonts w:hint="cs"/>
          <w:sz w:val="27"/>
          <w:rtl/>
        </w:rPr>
        <w:t xml:space="preserve">الدين الإسلامي من سائر الأديان العالمية الأخرى بأمور، ومن بينها: منظومة التقنين والتشريع الإسلامي </w:t>
      </w:r>
      <w:r w:rsidR="00BC5E40" w:rsidRPr="00282AC9">
        <w:rPr>
          <w:sz w:val="27"/>
          <w:rtl/>
        </w:rPr>
        <w:t>(الفقه)</w:t>
      </w:r>
      <w:r w:rsidR="00BC5E40" w:rsidRPr="00282AC9">
        <w:rPr>
          <w:rFonts w:hint="cs"/>
          <w:sz w:val="27"/>
          <w:rtl/>
        </w:rPr>
        <w:t>. إن الإسلام يشتمل على قوانين لجميع الاحتياجات الفردية والاجتماعية في مختلف الأبعاد السياسية والاقتصادية والاجتماعية والثقافية، ولم يترك لحظة</w:t>
      </w:r>
      <w:r w:rsidR="007B4927" w:rsidRPr="00282AC9">
        <w:rPr>
          <w:rFonts w:hint="cs"/>
          <w:sz w:val="27"/>
          <w:rtl/>
        </w:rPr>
        <w:t>ً</w:t>
      </w:r>
      <w:r w:rsidR="00BC5E40" w:rsidRPr="00282AC9">
        <w:rPr>
          <w:rFonts w:hint="cs"/>
          <w:sz w:val="27"/>
          <w:rtl/>
        </w:rPr>
        <w:t xml:space="preserve"> واحدة من حياة الإنسان إلا</w:t>
      </w:r>
      <w:r w:rsidR="007B4927" w:rsidRPr="00282AC9">
        <w:rPr>
          <w:rFonts w:hint="cs"/>
          <w:sz w:val="27"/>
          <w:rtl/>
        </w:rPr>
        <w:t>ّ</w:t>
      </w:r>
      <w:r w:rsidR="00BC5E40" w:rsidRPr="00282AC9">
        <w:rPr>
          <w:rFonts w:hint="cs"/>
          <w:sz w:val="27"/>
          <w:rtl/>
        </w:rPr>
        <w:t xml:space="preserve"> وقد وضع لها حكماً وتعليماً.</w:t>
      </w:r>
    </w:p>
    <w:p w:rsidR="00BC5E40" w:rsidRPr="00282AC9" w:rsidRDefault="00BC5E40" w:rsidP="00BC4D37">
      <w:pPr>
        <w:rPr>
          <w:sz w:val="27"/>
          <w:rtl/>
        </w:rPr>
      </w:pPr>
      <w:r w:rsidRPr="00282AC9">
        <w:rPr>
          <w:rFonts w:hint="cs"/>
          <w:sz w:val="27"/>
          <w:rtl/>
        </w:rPr>
        <w:t>سوف نعمل في هذا المقال على نقد ومناقشة هذه المسألة الهام</w:t>
      </w:r>
      <w:r w:rsidR="007B4927" w:rsidRPr="00282AC9">
        <w:rPr>
          <w:rFonts w:hint="cs"/>
          <w:sz w:val="27"/>
          <w:rtl/>
        </w:rPr>
        <w:t>ّ</w:t>
      </w:r>
      <w:r w:rsidRPr="00282AC9">
        <w:rPr>
          <w:rFonts w:hint="cs"/>
          <w:sz w:val="27"/>
          <w:rtl/>
        </w:rPr>
        <w:t>ة، وهي: هل يوجد في الإسلام مسائل وموضوعات</w:t>
      </w:r>
      <w:r w:rsidR="007B4927" w:rsidRPr="00282AC9">
        <w:rPr>
          <w:rFonts w:hint="cs"/>
          <w:sz w:val="27"/>
          <w:rtl/>
        </w:rPr>
        <w:t>ٍ</w:t>
      </w:r>
      <w:r w:rsidRPr="00282AC9">
        <w:rPr>
          <w:rFonts w:hint="cs"/>
          <w:sz w:val="27"/>
          <w:rtl/>
        </w:rPr>
        <w:t xml:space="preserve"> أوكل الله بيان حكمها</w:t>
      </w:r>
      <w:r w:rsidR="005053B3" w:rsidRPr="00282AC9">
        <w:rPr>
          <w:rFonts w:hint="cs"/>
          <w:sz w:val="27"/>
          <w:rtl/>
        </w:rPr>
        <w:t xml:space="preserve"> </w:t>
      </w:r>
      <w:r w:rsidR="007B4927" w:rsidRPr="00282AC9">
        <w:rPr>
          <w:rFonts w:hint="cs"/>
          <w:sz w:val="27"/>
          <w:rtl/>
        </w:rPr>
        <w:t xml:space="preserve">في عصر الغَيْبة </w:t>
      </w:r>
      <w:r w:rsidR="005053B3" w:rsidRPr="00282AC9">
        <w:rPr>
          <w:rFonts w:hint="cs"/>
          <w:sz w:val="27"/>
          <w:rtl/>
        </w:rPr>
        <w:t xml:space="preserve">إلى </w:t>
      </w:r>
      <w:r w:rsidR="00195826" w:rsidRPr="00282AC9">
        <w:rPr>
          <w:rFonts w:hint="cs"/>
          <w:sz w:val="27"/>
          <w:rtl/>
        </w:rPr>
        <w:t>الحاكم؟ وبعبارةٍ</w:t>
      </w:r>
      <w:r w:rsidRPr="00282AC9">
        <w:rPr>
          <w:rFonts w:hint="cs"/>
          <w:sz w:val="27"/>
          <w:rtl/>
        </w:rPr>
        <w:t xml:space="preserve"> أخرى: هل هناك فراغ</w:t>
      </w:r>
      <w:r w:rsidR="007B4927" w:rsidRPr="00282AC9">
        <w:rPr>
          <w:rFonts w:hint="cs"/>
          <w:sz w:val="27"/>
          <w:rtl/>
        </w:rPr>
        <w:t>ٌ</w:t>
      </w:r>
      <w:r w:rsidRPr="00282AC9">
        <w:rPr>
          <w:rFonts w:hint="cs"/>
          <w:sz w:val="27"/>
          <w:rtl/>
        </w:rPr>
        <w:t xml:space="preserve"> قانوني</w:t>
      </w:r>
      <w:r w:rsidR="007B4927" w:rsidRPr="00282AC9">
        <w:rPr>
          <w:rFonts w:hint="cs"/>
          <w:sz w:val="27"/>
          <w:rtl/>
        </w:rPr>
        <w:t>ّ</w:t>
      </w:r>
      <w:r w:rsidRPr="00282AC9">
        <w:rPr>
          <w:rFonts w:hint="cs"/>
          <w:sz w:val="27"/>
          <w:rtl/>
        </w:rPr>
        <w:t xml:space="preserve"> في المنظومة التشريعية للإسلام أم لا؟ وإذا كان هناك </w:t>
      </w:r>
      <w:r w:rsidR="00195826" w:rsidRPr="00282AC9">
        <w:rPr>
          <w:rFonts w:hint="cs"/>
          <w:sz w:val="27"/>
          <w:rtl/>
        </w:rPr>
        <w:t>فراغٌ</w:t>
      </w:r>
      <w:r w:rsidRPr="00282AC9">
        <w:rPr>
          <w:rFonts w:hint="cs"/>
          <w:sz w:val="27"/>
          <w:rtl/>
        </w:rPr>
        <w:t xml:space="preserve"> قانوني</w:t>
      </w:r>
      <w:r w:rsidR="007B4927" w:rsidRPr="00282AC9">
        <w:rPr>
          <w:rFonts w:hint="cs"/>
          <w:sz w:val="27"/>
          <w:rtl/>
        </w:rPr>
        <w:t>ّ</w:t>
      </w:r>
      <w:r w:rsidRPr="00282AC9">
        <w:rPr>
          <w:rFonts w:hint="cs"/>
          <w:sz w:val="27"/>
          <w:rtl/>
        </w:rPr>
        <w:t xml:space="preserve"> فما هو المراد منه</w:t>
      </w:r>
      <w:r w:rsidR="007B4927" w:rsidRPr="00282AC9">
        <w:rPr>
          <w:rFonts w:hint="cs"/>
          <w:sz w:val="27"/>
          <w:rtl/>
        </w:rPr>
        <w:t>؟</w:t>
      </w:r>
      <w:r w:rsidRPr="00282AC9">
        <w:rPr>
          <w:rFonts w:hint="cs"/>
          <w:sz w:val="27"/>
          <w:rtl/>
        </w:rPr>
        <w:t xml:space="preserve"> وكيف يتمّ م</w:t>
      </w:r>
      <w:r w:rsidR="007B4927" w:rsidRPr="00282AC9">
        <w:rPr>
          <w:rFonts w:hint="cs"/>
          <w:sz w:val="27"/>
          <w:rtl/>
        </w:rPr>
        <w:t>َ</w:t>
      </w:r>
      <w:r w:rsidRPr="00282AC9">
        <w:rPr>
          <w:rFonts w:hint="cs"/>
          <w:sz w:val="27"/>
          <w:rtl/>
        </w:rPr>
        <w:t>ل</w:t>
      </w:r>
      <w:r w:rsidR="007B4927" w:rsidRPr="00282AC9">
        <w:rPr>
          <w:rFonts w:hint="cs"/>
          <w:sz w:val="27"/>
          <w:rtl/>
        </w:rPr>
        <w:t>ْ</w:t>
      </w:r>
      <w:r w:rsidRPr="00282AC9">
        <w:rPr>
          <w:rFonts w:hint="cs"/>
          <w:sz w:val="27"/>
          <w:rtl/>
        </w:rPr>
        <w:t>ء هذا الفراغ</w:t>
      </w:r>
      <w:r w:rsidR="007B4927" w:rsidRPr="00282AC9">
        <w:rPr>
          <w:rFonts w:hint="cs"/>
          <w:sz w:val="27"/>
          <w:rtl/>
        </w:rPr>
        <w:t>؟</w:t>
      </w:r>
      <w:r w:rsidRPr="00282AC9">
        <w:rPr>
          <w:rFonts w:hint="cs"/>
          <w:sz w:val="27"/>
          <w:rtl/>
        </w:rPr>
        <w:t xml:space="preserve"> وما هو </w:t>
      </w:r>
      <w:r w:rsidR="00EE6DBA" w:rsidRPr="00282AC9">
        <w:rPr>
          <w:rFonts w:hint="cs"/>
          <w:sz w:val="27"/>
          <w:rtl/>
        </w:rPr>
        <w:t>دَوْر</w:t>
      </w:r>
      <w:r w:rsidRPr="00282AC9">
        <w:rPr>
          <w:rFonts w:hint="cs"/>
          <w:sz w:val="27"/>
          <w:rtl/>
        </w:rPr>
        <w:t xml:space="preserve"> الولي</w:t>
      </w:r>
      <w:r w:rsidR="007B4927" w:rsidRPr="00282AC9">
        <w:rPr>
          <w:rFonts w:hint="cs"/>
          <w:sz w:val="27"/>
          <w:rtl/>
        </w:rPr>
        <w:t>ّ</w:t>
      </w:r>
      <w:r w:rsidRPr="00282AC9">
        <w:rPr>
          <w:rFonts w:hint="cs"/>
          <w:sz w:val="27"/>
          <w:rtl/>
        </w:rPr>
        <w:t xml:space="preserve"> الفقيه (ولي</w:t>
      </w:r>
      <w:r w:rsidR="007B4927" w:rsidRPr="00282AC9">
        <w:rPr>
          <w:rFonts w:hint="cs"/>
          <w:sz w:val="27"/>
          <w:rtl/>
        </w:rPr>
        <w:t>ّ</w:t>
      </w:r>
      <w:r w:rsidRPr="00282AC9">
        <w:rPr>
          <w:rFonts w:hint="cs"/>
          <w:sz w:val="27"/>
          <w:rtl/>
        </w:rPr>
        <w:t xml:space="preserve"> الأمر) في هذه العملية؟</w:t>
      </w:r>
    </w:p>
    <w:p w:rsidR="00BC5E40" w:rsidRPr="00282AC9" w:rsidRDefault="00BC5E40" w:rsidP="00BC4D37">
      <w:pPr>
        <w:rPr>
          <w:sz w:val="27"/>
          <w:rtl/>
        </w:rPr>
      </w:pPr>
      <w:r w:rsidRPr="00282AC9">
        <w:rPr>
          <w:rFonts w:hint="cs"/>
          <w:sz w:val="27"/>
          <w:rtl/>
        </w:rPr>
        <w:t>إن المسائل التي سنعمل على بحثها في هذا المقال هي على نحو الإجمال عبارة عن: جذور كلمة القانون، ومعنى القانون، وتعريف القانون اصطلاحاً، والمراد من الفراغ القانوني، ودراسة ونقد نظرية المنكرين لولاية الفقيه، ودراسة وتحقيق نظرية حصر التقنين والتشريع بالله، ودراسة نظرية جواز وضع القانون من ق</w:t>
      </w:r>
      <w:r w:rsidR="00625F47" w:rsidRPr="00282AC9">
        <w:rPr>
          <w:rFonts w:hint="cs"/>
          <w:sz w:val="27"/>
          <w:rtl/>
        </w:rPr>
        <w:t>ِ</w:t>
      </w:r>
      <w:r w:rsidRPr="00282AC9">
        <w:rPr>
          <w:rFonts w:hint="cs"/>
          <w:sz w:val="27"/>
          <w:rtl/>
        </w:rPr>
        <w:t>ب</w:t>
      </w:r>
      <w:r w:rsidR="00625F47" w:rsidRPr="00282AC9">
        <w:rPr>
          <w:rFonts w:hint="cs"/>
          <w:sz w:val="27"/>
          <w:rtl/>
        </w:rPr>
        <w:t>َ</w:t>
      </w:r>
      <w:r w:rsidRPr="00282AC9">
        <w:rPr>
          <w:rFonts w:hint="cs"/>
          <w:sz w:val="27"/>
          <w:rtl/>
        </w:rPr>
        <w:t>ل الحاكم.</w:t>
      </w:r>
    </w:p>
    <w:p w:rsidR="00BC5E40" w:rsidRPr="00282AC9" w:rsidRDefault="00BC5E40" w:rsidP="00E36B18">
      <w:pPr>
        <w:pStyle w:val="31"/>
        <w:rPr>
          <w:color w:val="auto"/>
          <w:rtl/>
        </w:rPr>
      </w:pPr>
      <w:r w:rsidRPr="00282AC9">
        <w:rPr>
          <w:rFonts w:hint="cs"/>
          <w:color w:val="auto"/>
          <w:rtl/>
        </w:rPr>
        <w:lastRenderedPageBreak/>
        <w:t>مفهوم القانون</w:t>
      </w:r>
      <w:r w:rsidR="005843F4" w:rsidRPr="00282AC9">
        <w:rPr>
          <w:rFonts w:hint="cs"/>
          <w:color w:val="auto"/>
          <w:rtl/>
        </w:rPr>
        <w:t>، لغةً واصطلاحاً</w:t>
      </w:r>
    </w:p>
    <w:p w:rsidR="00BC5E40" w:rsidRPr="00282AC9" w:rsidRDefault="00BC5E40" w:rsidP="00BC4D37">
      <w:pPr>
        <w:rPr>
          <w:sz w:val="27"/>
          <w:rtl/>
        </w:rPr>
      </w:pPr>
      <w:r w:rsidRPr="00282AC9">
        <w:rPr>
          <w:rFonts w:hint="cs"/>
          <w:sz w:val="27"/>
          <w:rtl/>
        </w:rPr>
        <w:t>قال العلا</w:t>
      </w:r>
      <w:r w:rsidR="00625F47" w:rsidRPr="00282AC9">
        <w:rPr>
          <w:rFonts w:hint="cs"/>
          <w:sz w:val="27"/>
          <w:rtl/>
        </w:rPr>
        <w:t>ّ</w:t>
      </w:r>
      <w:r w:rsidRPr="00282AC9">
        <w:rPr>
          <w:rFonts w:hint="cs"/>
          <w:sz w:val="27"/>
          <w:rtl/>
        </w:rPr>
        <w:t xml:space="preserve">مة علي أكبر دهخدا في كتابه (لغت نامه): </w:t>
      </w:r>
      <w:r w:rsidRPr="00282AC9">
        <w:rPr>
          <w:rFonts w:hint="eastAsia"/>
          <w:sz w:val="24"/>
          <w:szCs w:val="24"/>
          <w:rtl/>
        </w:rPr>
        <w:t>«</w:t>
      </w:r>
      <w:r w:rsidRPr="00282AC9">
        <w:rPr>
          <w:rFonts w:hint="cs"/>
          <w:sz w:val="27"/>
          <w:rtl/>
        </w:rPr>
        <w:t>إن القانون تعريب للكلمة اليونانية (كانون)، وهي مستعملة</w:t>
      </w:r>
      <w:r w:rsidR="00625F47" w:rsidRPr="00282AC9">
        <w:rPr>
          <w:rFonts w:hint="cs"/>
          <w:sz w:val="27"/>
          <w:rtl/>
        </w:rPr>
        <w:t>ٌ</w:t>
      </w:r>
      <w:r w:rsidRPr="00282AC9">
        <w:rPr>
          <w:rFonts w:hint="cs"/>
          <w:sz w:val="27"/>
          <w:rtl/>
        </w:rPr>
        <w:t xml:space="preserve"> في اللغة العربية بهذا المعنى</w:t>
      </w:r>
      <w:r w:rsidRPr="00282AC9">
        <w:rPr>
          <w:rFonts w:hint="eastAsia"/>
          <w:sz w:val="24"/>
          <w:szCs w:val="24"/>
          <w:rtl/>
        </w:rPr>
        <w:t>»</w:t>
      </w:r>
      <w:r w:rsidRPr="00282AC9">
        <w:rPr>
          <w:sz w:val="27"/>
          <w:vertAlign w:val="superscript"/>
          <w:rtl/>
        </w:rPr>
        <w:t>(</w:t>
      </w:r>
      <w:r w:rsidRPr="00282AC9">
        <w:rPr>
          <w:rStyle w:val="af9"/>
          <w:sz w:val="27"/>
          <w:rtl/>
        </w:rPr>
        <w:endnoteReference w:id="32"/>
      </w:r>
      <w:r w:rsidRPr="00282AC9">
        <w:rPr>
          <w:sz w:val="27"/>
          <w:vertAlign w:val="superscript"/>
          <w:rtl/>
        </w:rPr>
        <w:t>)</w:t>
      </w:r>
      <w:r w:rsidRPr="00282AC9">
        <w:rPr>
          <w:rFonts w:hint="cs"/>
          <w:sz w:val="27"/>
          <w:rtl/>
        </w:rPr>
        <w:t>. وهناك م</w:t>
      </w:r>
      <w:r w:rsidR="00625F47" w:rsidRPr="00282AC9">
        <w:rPr>
          <w:rFonts w:hint="cs"/>
          <w:sz w:val="27"/>
          <w:rtl/>
        </w:rPr>
        <w:t>َ</w:t>
      </w:r>
      <w:r w:rsidRPr="00282AC9">
        <w:rPr>
          <w:rFonts w:hint="cs"/>
          <w:sz w:val="27"/>
          <w:rtl/>
        </w:rPr>
        <w:t>ن</w:t>
      </w:r>
      <w:r w:rsidR="00625F47" w:rsidRPr="00282AC9">
        <w:rPr>
          <w:rFonts w:hint="cs"/>
          <w:sz w:val="27"/>
          <w:rtl/>
        </w:rPr>
        <w:t>ْ</w:t>
      </w:r>
      <w:r w:rsidRPr="00282AC9">
        <w:rPr>
          <w:rFonts w:hint="cs"/>
          <w:sz w:val="27"/>
          <w:rtl/>
        </w:rPr>
        <w:t xml:space="preserve"> احتمل أن تكون كلمة القانون مأخوذة</w:t>
      </w:r>
      <w:r w:rsidR="00625F47" w:rsidRPr="00282AC9">
        <w:rPr>
          <w:rFonts w:hint="cs"/>
          <w:sz w:val="27"/>
          <w:rtl/>
        </w:rPr>
        <w:t>ً</w:t>
      </w:r>
      <w:r w:rsidRPr="00282AC9">
        <w:rPr>
          <w:rFonts w:hint="cs"/>
          <w:sz w:val="27"/>
          <w:rtl/>
        </w:rPr>
        <w:t xml:space="preserve"> من اللغة السريانية</w:t>
      </w:r>
      <w:r w:rsidRPr="00282AC9">
        <w:rPr>
          <w:sz w:val="27"/>
          <w:vertAlign w:val="superscript"/>
          <w:rtl/>
        </w:rPr>
        <w:t>(</w:t>
      </w:r>
      <w:r w:rsidRPr="00282AC9">
        <w:rPr>
          <w:rStyle w:val="af9"/>
          <w:sz w:val="27"/>
          <w:rtl/>
        </w:rPr>
        <w:endnoteReference w:id="33"/>
      </w:r>
      <w:r w:rsidRPr="00282AC9">
        <w:rPr>
          <w:sz w:val="27"/>
          <w:vertAlign w:val="superscript"/>
          <w:rtl/>
        </w:rPr>
        <w:t>)</w:t>
      </w:r>
      <w:r w:rsidRPr="00282AC9">
        <w:rPr>
          <w:rFonts w:hint="cs"/>
          <w:sz w:val="27"/>
          <w:rtl/>
        </w:rPr>
        <w:t>، أو الرومية</w:t>
      </w:r>
      <w:r w:rsidRPr="00282AC9">
        <w:rPr>
          <w:sz w:val="27"/>
          <w:vertAlign w:val="superscript"/>
          <w:rtl/>
        </w:rPr>
        <w:t>(</w:t>
      </w:r>
      <w:r w:rsidRPr="00282AC9">
        <w:rPr>
          <w:rStyle w:val="af9"/>
          <w:sz w:val="27"/>
          <w:rtl/>
        </w:rPr>
        <w:endnoteReference w:id="34"/>
      </w:r>
      <w:r w:rsidRPr="00282AC9">
        <w:rPr>
          <w:sz w:val="27"/>
          <w:vertAlign w:val="superscript"/>
          <w:rtl/>
        </w:rPr>
        <w:t>)</w:t>
      </w:r>
      <w:r w:rsidRPr="00282AC9">
        <w:rPr>
          <w:rFonts w:hint="cs"/>
          <w:sz w:val="27"/>
          <w:rtl/>
        </w:rPr>
        <w:t>، أو الفارسية</w:t>
      </w:r>
      <w:r w:rsidRPr="00282AC9">
        <w:rPr>
          <w:sz w:val="27"/>
          <w:vertAlign w:val="superscript"/>
          <w:rtl/>
        </w:rPr>
        <w:t>(</w:t>
      </w:r>
      <w:r w:rsidRPr="00282AC9">
        <w:rPr>
          <w:rStyle w:val="af9"/>
          <w:sz w:val="27"/>
          <w:rtl/>
        </w:rPr>
        <w:endnoteReference w:id="35"/>
      </w:r>
      <w:r w:rsidRPr="00282AC9">
        <w:rPr>
          <w:sz w:val="27"/>
          <w:vertAlign w:val="superscript"/>
          <w:rtl/>
        </w:rPr>
        <w:t>)</w:t>
      </w:r>
      <w:r w:rsidRPr="00282AC9">
        <w:rPr>
          <w:rFonts w:hint="cs"/>
          <w:sz w:val="27"/>
          <w:rtl/>
        </w:rPr>
        <w:t>. ومهما كان فهناك إجماع</w:t>
      </w:r>
      <w:r w:rsidR="00625F47" w:rsidRPr="00282AC9">
        <w:rPr>
          <w:rFonts w:hint="cs"/>
          <w:sz w:val="27"/>
          <w:rtl/>
        </w:rPr>
        <w:t>ٌ</w:t>
      </w:r>
      <w:r w:rsidRPr="00282AC9">
        <w:rPr>
          <w:rFonts w:hint="cs"/>
          <w:sz w:val="27"/>
          <w:rtl/>
        </w:rPr>
        <w:t xml:space="preserve"> على أن كلمة القانون ليست عربي</w:t>
      </w:r>
      <w:r w:rsidR="00625F47" w:rsidRPr="00282AC9">
        <w:rPr>
          <w:rFonts w:hint="cs"/>
          <w:sz w:val="27"/>
          <w:rtl/>
        </w:rPr>
        <w:t>ّ</w:t>
      </w:r>
      <w:r w:rsidRPr="00282AC9">
        <w:rPr>
          <w:rFonts w:hint="cs"/>
          <w:sz w:val="27"/>
          <w:rtl/>
        </w:rPr>
        <w:t>ة</w:t>
      </w:r>
      <w:r w:rsidR="00625F47" w:rsidRPr="00282AC9">
        <w:rPr>
          <w:rFonts w:hint="cs"/>
          <w:sz w:val="27"/>
          <w:rtl/>
        </w:rPr>
        <w:t>ً</w:t>
      </w:r>
      <w:r w:rsidRPr="00282AC9">
        <w:rPr>
          <w:rFonts w:hint="cs"/>
          <w:sz w:val="27"/>
          <w:rtl/>
        </w:rPr>
        <w:t>.</w:t>
      </w:r>
    </w:p>
    <w:p w:rsidR="00625F47" w:rsidRPr="00282AC9" w:rsidRDefault="00BC5E40" w:rsidP="00BC4D37">
      <w:pPr>
        <w:rPr>
          <w:sz w:val="27"/>
          <w:rtl/>
        </w:rPr>
      </w:pPr>
      <w:r w:rsidRPr="00282AC9">
        <w:rPr>
          <w:rFonts w:hint="cs"/>
          <w:sz w:val="27"/>
          <w:rtl/>
        </w:rPr>
        <w:t>وقد ذكرت كتب اللغة معاني كثيرة لكلمة القانون، ومن بينها: القاعدة، والدستور، والطريقة، والمقياس</w:t>
      </w:r>
      <w:r w:rsidRPr="00282AC9">
        <w:rPr>
          <w:sz w:val="27"/>
          <w:vertAlign w:val="superscript"/>
          <w:rtl/>
        </w:rPr>
        <w:t>(</w:t>
      </w:r>
      <w:r w:rsidRPr="00282AC9">
        <w:rPr>
          <w:rStyle w:val="af9"/>
          <w:sz w:val="27"/>
          <w:rtl/>
        </w:rPr>
        <w:endnoteReference w:id="36"/>
      </w:r>
      <w:r w:rsidRPr="00282AC9">
        <w:rPr>
          <w:sz w:val="27"/>
          <w:vertAlign w:val="superscript"/>
          <w:rtl/>
        </w:rPr>
        <w:t>)</w:t>
      </w:r>
      <w:r w:rsidRPr="00282AC9">
        <w:rPr>
          <w:rFonts w:hint="cs"/>
          <w:sz w:val="27"/>
          <w:rtl/>
        </w:rPr>
        <w:t>. ويبدو أن هذ</w:t>
      </w:r>
      <w:r w:rsidR="00625F47" w:rsidRPr="00282AC9">
        <w:rPr>
          <w:rFonts w:hint="cs"/>
          <w:sz w:val="27"/>
          <w:rtl/>
        </w:rPr>
        <w:t>ه المعاني تشترك في تعيين الحدّ.</w:t>
      </w:r>
    </w:p>
    <w:p w:rsidR="00BC5E40" w:rsidRPr="00282AC9" w:rsidRDefault="00BC5E40" w:rsidP="00BC4D37">
      <w:pPr>
        <w:rPr>
          <w:sz w:val="27"/>
          <w:rtl/>
        </w:rPr>
      </w:pPr>
      <w:r w:rsidRPr="00282AC9">
        <w:rPr>
          <w:rFonts w:hint="cs"/>
          <w:sz w:val="27"/>
          <w:rtl/>
        </w:rPr>
        <w:t>والذي نتعرّ</w:t>
      </w:r>
      <w:r w:rsidR="00625F47" w:rsidRPr="00282AC9">
        <w:rPr>
          <w:rFonts w:hint="cs"/>
          <w:sz w:val="27"/>
          <w:rtl/>
        </w:rPr>
        <w:t>َ</w:t>
      </w:r>
      <w:r w:rsidRPr="00282AC9">
        <w:rPr>
          <w:rFonts w:hint="cs"/>
          <w:sz w:val="27"/>
          <w:rtl/>
        </w:rPr>
        <w:t>ض</w:t>
      </w:r>
      <w:r w:rsidR="005053B3" w:rsidRPr="00282AC9">
        <w:rPr>
          <w:rFonts w:hint="cs"/>
          <w:sz w:val="27"/>
          <w:rtl/>
        </w:rPr>
        <w:t xml:space="preserve"> إلى </w:t>
      </w:r>
      <w:r w:rsidRPr="00282AC9">
        <w:rPr>
          <w:rFonts w:hint="cs"/>
          <w:sz w:val="27"/>
          <w:rtl/>
        </w:rPr>
        <w:t>نقده وبحثه في هذا المقال هو المعنى الثالث.</w:t>
      </w:r>
    </w:p>
    <w:p w:rsidR="00BC5E40" w:rsidRPr="00282AC9" w:rsidRDefault="00BC5E40" w:rsidP="00BC4D37">
      <w:pPr>
        <w:rPr>
          <w:sz w:val="27"/>
          <w:rtl/>
        </w:rPr>
      </w:pPr>
      <w:r w:rsidRPr="00282AC9">
        <w:rPr>
          <w:rFonts w:hint="cs"/>
          <w:sz w:val="27"/>
          <w:rtl/>
        </w:rPr>
        <w:t xml:space="preserve">وقيل في التعريف الاصطلاحي للقانون: </w:t>
      </w:r>
      <w:r w:rsidRPr="00282AC9">
        <w:rPr>
          <w:rFonts w:hint="eastAsia"/>
          <w:sz w:val="24"/>
          <w:szCs w:val="24"/>
          <w:rtl/>
        </w:rPr>
        <w:t>«</w:t>
      </w:r>
      <w:r w:rsidRPr="00282AC9">
        <w:rPr>
          <w:rFonts w:hint="cs"/>
          <w:sz w:val="27"/>
          <w:rtl/>
        </w:rPr>
        <w:t>أمر</w:t>
      </w:r>
      <w:r w:rsidR="00625F47" w:rsidRPr="00282AC9">
        <w:rPr>
          <w:rFonts w:hint="cs"/>
          <w:sz w:val="27"/>
          <w:rtl/>
        </w:rPr>
        <w:t>ٌ</w:t>
      </w:r>
      <w:r w:rsidRPr="00282AC9">
        <w:rPr>
          <w:rFonts w:hint="cs"/>
          <w:sz w:val="27"/>
          <w:rtl/>
        </w:rPr>
        <w:t xml:space="preserve"> كل</w:t>
      </w:r>
      <w:r w:rsidR="00625F47" w:rsidRPr="00282AC9">
        <w:rPr>
          <w:rFonts w:hint="cs"/>
          <w:sz w:val="27"/>
          <w:rtl/>
        </w:rPr>
        <w:t>ّ</w:t>
      </w:r>
      <w:r w:rsidRPr="00282AC9">
        <w:rPr>
          <w:rFonts w:hint="cs"/>
          <w:sz w:val="27"/>
          <w:rtl/>
        </w:rPr>
        <w:t>ي ينطبق على جميع جزئي</w:t>
      </w:r>
      <w:r w:rsidR="00625F47" w:rsidRPr="00282AC9">
        <w:rPr>
          <w:rFonts w:hint="cs"/>
          <w:sz w:val="27"/>
          <w:rtl/>
        </w:rPr>
        <w:t>ّ</w:t>
      </w:r>
      <w:r w:rsidRPr="00282AC9">
        <w:rPr>
          <w:rFonts w:hint="cs"/>
          <w:sz w:val="27"/>
          <w:rtl/>
        </w:rPr>
        <w:t>اته التي تُتصرّ</w:t>
      </w:r>
      <w:r w:rsidR="00625F47" w:rsidRPr="00282AC9">
        <w:rPr>
          <w:rFonts w:hint="cs"/>
          <w:sz w:val="27"/>
          <w:rtl/>
        </w:rPr>
        <w:t>َ</w:t>
      </w:r>
      <w:r w:rsidRPr="00282AC9">
        <w:rPr>
          <w:rFonts w:hint="cs"/>
          <w:sz w:val="27"/>
          <w:rtl/>
        </w:rPr>
        <w:t>ف أحكامها منه</w:t>
      </w:r>
      <w:r w:rsidRPr="00282AC9">
        <w:rPr>
          <w:rFonts w:hint="eastAsia"/>
          <w:sz w:val="24"/>
          <w:szCs w:val="24"/>
          <w:rtl/>
        </w:rPr>
        <w:t>»</w:t>
      </w:r>
      <w:r w:rsidRPr="00282AC9">
        <w:rPr>
          <w:sz w:val="27"/>
          <w:vertAlign w:val="superscript"/>
          <w:rtl/>
        </w:rPr>
        <w:t>(</w:t>
      </w:r>
      <w:r w:rsidRPr="00282AC9">
        <w:rPr>
          <w:rStyle w:val="af9"/>
          <w:sz w:val="27"/>
          <w:rtl/>
        </w:rPr>
        <w:endnoteReference w:id="37"/>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إن هذا التعريف يشمل الأمور الاعتبارية والأمور الحقيقية. وفي هذا المقال سوف نقتصر على بحث القانون الوضعي والاعتباري</w:t>
      </w:r>
      <w:r w:rsidR="00625F47" w:rsidRPr="00282AC9">
        <w:rPr>
          <w:rFonts w:hint="cs"/>
          <w:sz w:val="27"/>
          <w:rtl/>
        </w:rPr>
        <w:t>،</w:t>
      </w:r>
      <w:r w:rsidRPr="00282AC9">
        <w:rPr>
          <w:rFonts w:hint="cs"/>
          <w:sz w:val="27"/>
          <w:rtl/>
        </w:rPr>
        <w:t xml:space="preserve"> الذي يتم</w:t>
      </w:r>
      <w:r w:rsidR="00625F47" w:rsidRPr="00282AC9">
        <w:rPr>
          <w:rFonts w:hint="cs"/>
          <w:sz w:val="27"/>
          <w:rtl/>
        </w:rPr>
        <w:t>ّ</w:t>
      </w:r>
      <w:r w:rsidRPr="00282AC9">
        <w:rPr>
          <w:rFonts w:hint="cs"/>
          <w:sz w:val="27"/>
          <w:rtl/>
        </w:rPr>
        <w:t xml:space="preserve"> تقريره على يد علماء القانون والقضاة ورجال السياسة والفقهاء. وأما البحث عن القوانين الحاكمة على غير الاعتباري</w:t>
      </w:r>
      <w:r w:rsidR="00625F47" w:rsidRPr="00282AC9">
        <w:rPr>
          <w:rFonts w:hint="cs"/>
          <w:sz w:val="27"/>
          <w:rtl/>
        </w:rPr>
        <w:t>ّ</w:t>
      </w:r>
      <w:r w:rsidRPr="00282AC9">
        <w:rPr>
          <w:rFonts w:hint="cs"/>
          <w:sz w:val="27"/>
          <w:rtl/>
        </w:rPr>
        <w:t>ات فله موضع</w:t>
      </w:r>
      <w:r w:rsidR="00625F47" w:rsidRPr="00282AC9">
        <w:rPr>
          <w:rFonts w:hint="cs"/>
          <w:sz w:val="27"/>
          <w:rtl/>
        </w:rPr>
        <w:t>ٌ</w:t>
      </w:r>
      <w:r w:rsidRPr="00282AC9">
        <w:rPr>
          <w:rFonts w:hint="cs"/>
          <w:sz w:val="27"/>
          <w:rtl/>
        </w:rPr>
        <w:t xml:space="preserve"> آخر. وفي البحث نسعى إلى بيان مسألة دائرة الفراغ القانوني.</w:t>
      </w:r>
    </w:p>
    <w:p w:rsidR="00BC5E40" w:rsidRPr="00282AC9" w:rsidRDefault="00BC5E40" w:rsidP="00F8035C">
      <w:pPr>
        <w:spacing w:line="440" w:lineRule="exact"/>
        <w:rPr>
          <w:sz w:val="27"/>
          <w:rtl/>
        </w:rPr>
      </w:pPr>
    </w:p>
    <w:p w:rsidR="00BC5E40" w:rsidRPr="00282AC9" w:rsidRDefault="00BC5E40" w:rsidP="00E36B18">
      <w:pPr>
        <w:pStyle w:val="31"/>
        <w:rPr>
          <w:color w:val="auto"/>
          <w:rtl/>
        </w:rPr>
      </w:pPr>
      <w:r w:rsidRPr="00282AC9">
        <w:rPr>
          <w:rFonts w:hint="cs"/>
          <w:color w:val="auto"/>
          <w:rtl/>
        </w:rPr>
        <w:t>معنى الفراغ القانوني</w:t>
      </w:r>
    </w:p>
    <w:p w:rsidR="00BC5E40" w:rsidRPr="00282AC9" w:rsidRDefault="00674EF5" w:rsidP="00BC4D37">
      <w:pPr>
        <w:rPr>
          <w:sz w:val="27"/>
          <w:rtl/>
        </w:rPr>
      </w:pPr>
      <w:r w:rsidRPr="00282AC9">
        <w:rPr>
          <w:rFonts w:hint="cs"/>
          <w:sz w:val="27"/>
          <w:rtl/>
        </w:rPr>
        <w:t>لا شَكَّ</w:t>
      </w:r>
      <w:r w:rsidR="00BC5E40" w:rsidRPr="00282AC9">
        <w:rPr>
          <w:rFonts w:hint="cs"/>
          <w:sz w:val="27"/>
          <w:rtl/>
        </w:rPr>
        <w:t xml:space="preserve"> في عدم وجود الفراغ القانوني، بمعنى أن يكون هناك موضوع</w:t>
      </w:r>
      <w:r w:rsidR="00625F47" w:rsidRPr="00282AC9">
        <w:rPr>
          <w:rFonts w:hint="cs"/>
          <w:sz w:val="27"/>
          <w:rtl/>
        </w:rPr>
        <w:t>ٌ</w:t>
      </w:r>
      <w:r w:rsidR="00BC5E40" w:rsidRPr="00282AC9">
        <w:rPr>
          <w:rFonts w:hint="cs"/>
          <w:sz w:val="27"/>
          <w:rtl/>
        </w:rPr>
        <w:t xml:space="preserve"> أو مسألة</w:t>
      </w:r>
      <w:r w:rsidR="00625F47" w:rsidRPr="00282AC9">
        <w:rPr>
          <w:rFonts w:hint="cs"/>
          <w:sz w:val="27"/>
          <w:rtl/>
        </w:rPr>
        <w:t>ٌ</w:t>
      </w:r>
      <w:r w:rsidR="00BC5E40" w:rsidRPr="00282AC9">
        <w:rPr>
          <w:rFonts w:hint="cs"/>
          <w:sz w:val="27"/>
          <w:rtl/>
        </w:rPr>
        <w:t xml:space="preserve"> لم ير</w:t>
      </w:r>
      <w:r w:rsidR="00625F47" w:rsidRPr="00282AC9">
        <w:rPr>
          <w:rFonts w:hint="cs"/>
          <w:sz w:val="27"/>
          <w:rtl/>
        </w:rPr>
        <w:t>ِ</w:t>
      </w:r>
      <w:r w:rsidR="00BC5E40" w:rsidRPr="00282AC9">
        <w:rPr>
          <w:rFonts w:hint="cs"/>
          <w:sz w:val="27"/>
          <w:rtl/>
        </w:rPr>
        <w:t>د</w:t>
      </w:r>
      <w:r w:rsidR="00625F47" w:rsidRPr="00282AC9">
        <w:rPr>
          <w:rFonts w:hint="cs"/>
          <w:sz w:val="27"/>
          <w:rtl/>
        </w:rPr>
        <w:t>ْ</w:t>
      </w:r>
      <w:r w:rsidR="00BC5E40" w:rsidRPr="00282AC9">
        <w:rPr>
          <w:rFonts w:hint="cs"/>
          <w:sz w:val="27"/>
          <w:rtl/>
        </w:rPr>
        <w:t xml:space="preserve"> بيانها في صريح الشرع</w:t>
      </w:r>
      <w:r w:rsidR="00625F47" w:rsidRPr="00282AC9">
        <w:rPr>
          <w:rFonts w:hint="cs"/>
          <w:sz w:val="27"/>
          <w:rtl/>
        </w:rPr>
        <w:t>،</w:t>
      </w:r>
      <w:r w:rsidR="00BC5E40" w:rsidRPr="00282AC9">
        <w:rPr>
          <w:rFonts w:hint="cs"/>
          <w:sz w:val="27"/>
          <w:rtl/>
        </w:rPr>
        <w:t xml:space="preserve"> أو على نحو الإطلاق وعموم الكلمة</w:t>
      </w:r>
      <w:r w:rsidR="00625F47" w:rsidRPr="00282AC9">
        <w:rPr>
          <w:rFonts w:hint="cs"/>
          <w:sz w:val="27"/>
          <w:rtl/>
        </w:rPr>
        <w:t>؛</w:t>
      </w:r>
      <w:r w:rsidR="00BC5E40" w:rsidRPr="00282AC9">
        <w:rPr>
          <w:rFonts w:hint="cs"/>
          <w:sz w:val="27"/>
          <w:rtl/>
        </w:rPr>
        <w:t xml:space="preserve"> إذ هناك الكثير من الآيات والروايات التي تبيّ</w:t>
      </w:r>
      <w:r w:rsidR="00625F47" w:rsidRPr="00282AC9">
        <w:rPr>
          <w:rFonts w:hint="cs"/>
          <w:sz w:val="27"/>
          <w:rtl/>
        </w:rPr>
        <w:t>ِ</w:t>
      </w:r>
      <w:r w:rsidR="00BC5E40" w:rsidRPr="00282AC9">
        <w:rPr>
          <w:rFonts w:hint="cs"/>
          <w:sz w:val="27"/>
          <w:rtl/>
        </w:rPr>
        <w:t>ن حكم جميع الموضوعات والحوادث</w:t>
      </w:r>
      <w:r w:rsidR="00625F47" w:rsidRPr="00282AC9">
        <w:rPr>
          <w:rFonts w:hint="cs"/>
          <w:sz w:val="27"/>
          <w:rtl/>
        </w:rPr>
        <w:t>،</w:t>
      </w:r>
      <w:r w:rsidR="00BC5E40" w:rsidRPr="00282AC9">
        <w:rPr>
          <w:rFonts w:hint="cs"/>
          <w:sz w:val="27"/>
          <w:rtl/>
        </w:rPr>
        <w:t xml:space="preserve"> حت</w:t>
      </w:r>
      <w:r w:rsidR="00625F47" w:rsidRPr="00282AC9">
        <w:rPr>
          <w:rFonts w:hint="cs"/>
          <w:sz w:val="27"/>
          <w:rtl/>
        </w:rPr>
        <w:t>ّ</w:t>
      </w:r>
      <w:r w:rsidR="00BC5E40" w:rsidRPr="00282AC9">
        <w:rPr>
          <w:rFonts w:hint="cs"/>
          <w:sz w:val="27"/>
          <w:rtl/>
        </w:rPr>
        <w:t>ى ما كان من قبيل</w:t>
      </w:r>
      <w:r w:rsidR="00625F47" w:rsidRPr="00282AC9">
        <w:rPr>
          <w:rFonts w:hint="cs"/>
          <w:sz w:val="27"/>
          <w:rtl/>
        </w:rPr>
        <w:t>:</w:t>
      </w:r>
      <w:r w:rsidR="00BC5E40" w:rsidRPr="00282AC9">
        <w:rPr>
          <w:rFonts w:hint="cs"/>
          <w:sz w:val="27"/>
          <w:rtl/>
        </w:rPr>
        <w:t xml:space="preserve"> دية أرش الخدش. وأما الفراغ القانوني بمعنى أن الله سبحانه وتعالى قد ترك بيان حكم بعض الموضوعات إلى حاكم الشرع، بحيث يُعت</w:t>
      </w:r>
      <w:r w:rsidR="00625F47" w:rsidRPr="00282AC9">
        <w:rPr>
          <w:rFonts w:hint="cs"/>
          <w:sz w:val="27"/>
          <w:rtl/>
        </w:rPr>
        <w:t>َ</w:t>
      </w:r>
      <w:r w:rsidR="00BC5E40" w:rsidRPr="00282AC9">
        <w:rPr>
          <w:rFonts w:hint="cs"/>
          <w:sz w:val="27"/>
          <w:rtl/>
        </w:rPr>
        <w:t>ب</w:t>
      </w:r>
      <w:r w:rsidR="00625F47" w:rsidRPr="00282AC9">
        <w:rPr>
          <w:rFonts w:hint="cs"/>
          <w:sz w:val="27"/>
          <w:rtl/>
        </w:rPr>
        <w:t>َ</w:t>
      </w:r>
      <w:r w:rsidR="00BC5E40" w:rsidRPr="00282AC9">
        <w:rPr>
          <w:rFonts w:hint="cs"/>
          <w:sz w:val="27"/>
          <w:rtl/>
        </w:rPr>
        <w:t>ر حكم الشارع حكم الله</w:t>
      </w:r>
      <w:r w:rsidR="00A56762" w:rsidRPr="00282AC9">
        <w:rPr>
          <w:rFonts w:hint="cs"/>
          <w:sz w:val="27"/>
          <w:rtl/>
        </w:rPr>
        <w:t>،</w:t>
      </w:r>
      <w:r w:rsidR="00BC5E40" w:rsidRPr="00282AC9">
        <w:rPr>
          <w:rFonts w:hint="cs"/>
          <w:sz w:val="27"/>
          <w:rtl/>
        </w:rPr>
        <w:t xml:space="preserve"> فهو موضع</w:t>
      </w:r>
      <w:r w:rsidR="00625F47" w:rsidRPr="00282AC9">
        <w:rPr>
          <w:rFonts w:hint="cs"/>
          <w:sz w:val="27"/>
          <w:rtl/>
        </w:rPr>
        <w:t>ُ</w:t>
      </w:r>
      <w:r w:rsidR="00BC5E40" w:rsidRPr="00282AC9">
        <w:rPr>
          <w:rFonts w:hint="cs"/>
          <w:sz w:val="27"/>
          <w:rtl/>
        </w:rPr>
        <w:t xml:space="preserve"> بحث</w:t>
      </w:r>
      <w:r w:rsidR="00625F47" w:rsidRPr="00282AC9">
        <w:rPr>
          <w:rFonts w:hint="cs"/>
          <w:sz w:val="27"/>
          <w:rtl/>
        </w:rPr>
        <w:t>ٍ</w:t>
      </w:r>
      <w:r w:rsidR="00BC5E40" w:rsidRPr="00282AC9">
        <w:rPr>
          <w:rFonts w:hint="cs"/>
          <w:sz w:val="27"/>
          <w:rtl/>
        </w:rPr>
        <w:t xml:space="preserve"> وتحقيق. ومن المناسب ذكر </w:t>
      </w:r>
      <w:r w:rsidR="00AE2AD7" w:rsidRPr="00282AC9">
        <w:rPr>
          <w:rFonts w:hint="cs"/>
          <w:sz w:val="27"/>
          <w:rtl/>
        </w:rPr>
        <w:t>صلاحية</w:t>
      </w:r>
      <w:r w:rsidR="00BC5E40" w:rsidRPr="00282AC9">
        <w:rPr>
          <w:rFonts w:hint="cs"/>
          <w:sz w:val="27"/>
          <w:rtl/>
        </w:rPr>
        <w:t xml:space="preserve"> وضع القانون لولي</w:t>
      </w:r>
      <w:r w:rsidR="00625F47" w:rsidRPr="00282AC9">
        <w:rPr>
          <w:rFonts w:hint="cs"/>
          <w:sz w:val="27"/>
          <w:rtl/>
        </w:rPr>
        <w:t>ّ</w:t>
      </w:r>
      <w:r w:rsidR="00BC5E40" w:rsidRPr="00282AC9">
        <w:rPr>
          <w:rFonts w:hint="cs"/>
          <w:sz w:val="27"/>
          <w:rtl/>
        </w:rPr>
        <w:t xml:space="preserve"> الأمر في إدارة الدولة ب</w:t>
      </w:r>
      <w:r w:rsidR="00625F47" w:rsidRPr="00282AC9">
        <w:rPr>
          <w:rFonts w:hint="cs"/>
          <w:sz w:val="27"/>
          <w:rtl/>
        </w:rPr>
        <w:t>َ</w:t>
      </w:r>
      <w:r w:rsidR="00BC5E40" w:rsidRPr="00282AC9">
        <w:rPr>
          <w:rFonts w:hint="cs"/>
          <w:sz w:val="27"/>
          <w:rtl/>
        </w:rPr>
        <w:t>د</w:t>
      </w:r>
      <w:r w:rsidR="00625F47" w:rsidRPr="00282AC9">
        <w:rPr>
          <w:rFonts w:hint="cs"/>
          <w:sz w:val="27"/>
          <w:rtl/>
        </w:rPr>
        <w:t>َ</w:t>
      </w:r>
      <w:r w:rsidR="00BC5E40" w:rsidRPr="00282AC9">
        <w:rPr>
          <w:rFonts w:hint="cs"/>
          <w:sz w:val="27"/>
          <w:rtl/>
        </w:rPr>
        <w:t>لاً من عنوان الفراغ القانوني.</w:t>
      </w:r>
    </w:p>
    <w:p w:rsidR="00BC5E40" w:rsidRPr="00282AC9" w:rsidRDefault="00BC5E40" w:rsidP="00F8035C">
      <w:pPr>
        <w:spacing w:line="440" w:lineRule="exact"/>
        <w:rPr>
          <w:sz w:val="27"/>
          <w:rtl/>
        </w:rPr>
      </w:pPr>
    </w:p>
    <w:p w:rsidR="00BC5E40" w:rsidRPr="00282AC9" w:rsidRDefault="00BC5E40" w:rsidP="00D80202">
      <w:pPr>
        <w:pStyle w:val="31"/>
        <w:rPr>
          <w:color w:val="auto"/>
          <w:rtl/>
        </w:rPr>
      </w:pPr>
      <w:r w:rsidRPr="00282AC9">
        <w:rPr>
          <w:rFonts w:hint="cs"/>
          <w:color w:val="auto"/>
          <w:rtl/>
        </w:rPr>
        <w:t xml:space="preserve">1ـ </w:t>
      </w:r>
      <w:r w:rsidR="005843F4" w:rsidRPr="00282AC9">
        <w:rPr>
          <w:rFonts w:hint="cs"/>
          <w:color w:val="auto"/>
          <w:rtl/>
        </w:rPr>
        <w:t xml:space="preserve">نظريّة </w:t>
      </w:r>
      <w:r w:rsidR="00D80202" w:rsidRPr="00282AC9">
        <w:rPr>
          <w:rFonts w:hint="cs"/>
          <w:color w:val="auto"/>
          <w:rtl/>
        </w:rPr>
        <w:t>عدم الفراغ</w:t>
      </w:r>
      <w:r w:rsidR="00AF000D" w:rsidRPr="00282AC9">
        <w:rPr>
          <w:rFonts w:hint="cs"/>
          <w:color w:val="auto"/>
          <w:rtl/>
        </w:rPr>
        <w:t xml:space="preserve"> </w:t>
      </w:r>
      <w:r w:rsidR="00D80202" w:rsidRPr="00282AC9">
        <w:rPr>
          <w:rFonts w:hint="cs"/>
          <w:color w:val="auto"/>
          <w:rtl/>
        </w:rPr>
        <w:t>(لدى المنكرين ل</w:t>
      </w:r>
      <w:r w:rsidRPr="00282AC9">
        <w:rPr>
          <w:rFonts w:hint="cs"/>
          <w:color w:val="auto"/>
          <w:rtl/>
        </w:rPr>
        <w:t xml:space="preserve">ولاية </w:t>
      </w:r>
      <w:r w:rsidR="00D80202" w:rsidRPr="00282AC9">
        <w:rPr>
          <w:rFonts w:hint="cs"/>
          <w:color w:val="auto"/>
          <w:rtl/>
        </w:rPr>
        <w:t>ا</w:t>
      </w:r>
      <w:r w:rsidRPr="00282AC9">
        <w:rPr>
          <w:rFonts w:hint="cs"/>
          <w:color w:val="auto"/>
          <w:rtl/>
        </w:rPr>
        <w:t>لفقيه</w:t>
      </w:r>
      <w:r w:rsidR="00D80202" w:rsidRPr="00282AC9">
        <w:rPr>
          <w:rFonts w:hint="cs"/>
          <w:color w:val="auto"/>
          <w:rtl/>
        </w:rPr>
        <w:t xml:space="preserve"> العامّة)</w:t>
      </w:r>
    </w:p>
    <w:p w:rsidR="00BC5E40" w:rsidRPr="00282AC9" w:rsidRDefault="00BC5E40" w:rsidP="00BC4D37">
      <w:pPr>
        <w:rPr>
          <w:sz w:val="27"/>
          <w:rtl/>
        </w:rPr>
      </w:pPr>
      <w:r w:rsidRPr="00282AC9">
        <w:rPr>
          <w:rFonts w:hint="cs"/>
          <w:sz w:val="27"/>
          <w:rtl/>
        </w:rPr>
        <w:t>هناك من الفقهاء م</w:t>
      </w:r>
      <w:r w:rsidR="00A32A52" w:rsidRPr="00282AC9">
        <w:rPr>
          <w:rFonts w:hint="cs"/>
          <w:sz w:val="27"/>
          <w:rtl/>
        </w:rPr>
        <w:t>َ</w:t>
      </w:r>
      <w:r w:rsidRPr="00282AC9">
        <w:rPr>
          <w:rFonts w:hint="cs"/>
          <w:sz w:val="27"/>
          <w:rtl/>
        </w:rPr>
        <w:t>ن</w:t>
      </w:r>
      <w:r w:rsidR="00A32A52" w:rsidRPr="00282AC9">
        <w:rPr>
          <w:rFonts w:hint="cs"/>
          <w:sz w:val="27"/>
          <w:rtl/>
        </w:rPr>
        <w:t>ْ</w:t>
      </w:r>
      <w:r w:rsidRPr="00282AC9">
        <w:rPr>
          <w:rFonts w:hint="cs"/>
          <w:sz w:val="27"/>
          <w:rtl/>
        </w:rPr>
        <w:t xml:space="preserve"> يرى أن حدود ولاية الحاكم الإسلامي في عصر الغ</w:t>
      </w:r>
      <w:r w:rsidR="00A32A52" w:rsidRPr="00282AC9">
        <w:rPr>
          <w:rFonts w:hint="cs"/>
          <w:sz w:val="27"/>
          <w:rtl/>
        </w:rPr>
        <w:t>َ</w:t>
      </w:r>
      <w:r w:rsidRPr="00282AC9">
        <w:rPr>
          <w:rFonts w:hint="cs"/>
          <w:sz w:val="27"/>
          <w:rtl/>
        </w:rPr>
        <w:t>ي</w:t>
      </w:r>
      <w:r w:rsidR="00A32A52" w:rsidRPr="00282AC9">
        <w:rPr>
          <w:rFonts w:hint="cs"/>
          <w:sz w:val="27"/>
          <w:rtl/>
        </w:rPr>
        <w:t>ْ</w:t>
      </w:r>
      <w:r w:rsidRPr="00282AC9">
        <w:rPr>
          <w:rFonts w:hint="cs"/>
          <w:sz w:val="27"/>
          <w:rtl/>
        </w:rPr>
        <w:t xml:space="preserve">بة لا </w:t>
      </w:r>
      <w:r w:rsidRPr="00282AC9">
        <w:rPr>
          <w:rFonts w:hint="cs"/>
          <w:sz w:val="27"/>
          <w:rtl/>
        </w:rPr>
        <w:lastRenderedPageBreak/>
        <w:t>تتجاوز أمور الح</w:t>
      </w:r>
      <w:r w:rsidR="00A32A52" w:rsidRPr="00282AC9">
        <w:rPr>
          <w:rFonts w:hint="cs"/>
          <w:sz w:val="27"/>
          <w:rtl/>
        </w:rPr>
        <w:t>ِ</w:t>
      </w:r>
      <w:r w:rsidRPr="00282AC9">
        <w:rPr>
          <w:rFonts w:hint="cs"/>
          <w:sz w:val="27"/>
          <w:rtl/>
        </w:rPr>
        <w:t>س</w:t>
      </w:r>
      <w:r w:rsidR="00A32A52" w:rsidRPr="00282AC9">
        <w:rPr>
          <w:rFonts w:hint="cs"/>
          <w:sz w:val="27"/>
          <w:rtl/>
        </w:rPr>
        <w:t>ْ</w:t>
      </w:r>
      <w:r w:rsidRPr="00282AC9">
        <w:rPr>
          <w:rFonts w:hint="cs"/>
          <w:sz w:val="27"/>
          <w:rtl/>
        </w:rPr>
        <w:t>بة. وعليه لا يوجد لدينا شيء</w:t>
      </w:r>
      <w:r w:rsidR="00A32A52" w:rsidRPr="00282AC9">
        <w:rPr>
          <w:rFonts w:hint="cs"/>
          <w:sz w:val="27"/>
          <w:rtl/>
        </w:rPr>
        <w:t>ٌ</w:t>
      </w:r>
      <w:r w:rsidRPr="00282AC9">
        <w:rPr>
          <w:rFonts w:hint="cs"/>
          <w:sz w:val="27"/>
          <w:rtl/>
        </w:rPr>
        <w:t xml:space="preserve"> باسم الفراغ القانوني</w:t>
      </w:r>
      <w:r w:rsidR="00A32A52" w:rsidRPr="00282AC9">
        <w:rPr>
          <w:rFonts w:hint="cs"/>
          <w:sz w:val="27"/>
          <w:rtl/>
        </w:rPr>
        <w:t>،</w:t>
      </w:r>
      <w:r w:rsidRPr="00282AC9">
        <w:rPr>
          <w:rFonts w:hint="cs"/>
          <w:sz w:val="27"/>
          <w:rtl/>
        </w:rPr>
        <w:t xml:space="preserve"> الذي ترك الشارع بيان حكمه لولي</w:t>
      </w:r>
      <w:r w:rsidR="00A32A52" w:rsidRPr="00282AC9">
        <w:rPr>
          <w:rFonts w:hint="cs"/>
          <w:sz w:val="27"/>
          <w:rtl/>
        </w:rPr>
        <w:t>ّ</w:t>
      </w:r>
      <w:r w:rsidRPr="00282AC9">
        <w:rPr>
          <w:rFonts w:hint="cs"/>
          <w:sz w:val="27"/>
          <w:rtl/>
        </w:rPr>
        <w:t xml:space="preserve"> الأمر. وقيل في تعريف أمور الح</w:t>
      </w:r>
      <w:r w:rsidR="00A32A52" w:rsidRPr="00282AC9">
        <w:rPr>
          <w:rFonts w:hint="cs"/>
          <w:sz w:val="27"/>
          <w:rtl/>
        </w:rPr>
        <w:t>ِ</w:t>
      </w:r>
      <w:r w:rsidRPr="00282AC9">
        <w:rPr>
          <w:rFonts w:hint="cs"/>
          <w:sz w:val="27"/>
          <w:rtl/>
        </w:rPr>
        <w:t>س</w:t>
      </w:r>
      <w:r w:rsidR="00A32A52" w:rsidRPr="00282AC9">
        <w:rPr>
          <w:rFonts w:hint="cs"/>
          <w:sz w:val="27"/>
          <w:rtl/>
        </w:rPr>
        <w:t>ْ</w:t>
      </w:r>
      <w:r w:rsidRPr="00282AC9">
        <w:rPr>
          <w:rFonts w:hint="cs"/>
          <w:sz w:val="27"/>
          <w:rtl/>
        </w:rPr>
        <w:t>بة: إن أمور الح</w:t>
      </w:r>
      <w:r w:rsidR="00A32A52" w:rsidRPr="00282AC9">
        <w:rPr>
          <w:rFonts w:hint="cs"/>
          <w:sz w:val="27"/>
          <w:rtl/>
        </w:rPr>
        <w:t>ِ</w:t>
      </w:r>
      <w:r w:rsidRPr="00282AC9">
        <w:rPr>
          <w:rFonts w:hint="cs"/>
          <w:sz w:val="27"/>
          <w:rtl/>
        </w:rPr>
        <w:t>س</w:t>
      </w:r>
      <w:r w:rsidR="00A32A52" w:rsidRPr="00282AC9">
        <w:rPr>
          <w:rFonts w:hint="cs"/>
          <w:sz w:val="27"/>
          <w:rtl/>
        </w:rPr>
        <w:t>ْ</w:t>
      </w:r>
      <w:r w:rsidRPr="00282AC9">
        <w:rPr>
          <w:rFonts w:hint="cs"/>
          <w:sz w:val="27"/>
          <w:rtl/>
        </w:rPr>
        <w:t>بة هي تلك الأمور التي لا تحتاج إلى تدخ</w:t>
      </w:r>
      <w:r w:rsidR="00A32A52" w:rsidRPr="00282AC9">
        <w:rPr>
          <w:rFonts w:hint="cs"/>
          <w:sz w:val="27"/>
          <w:rtl/>
        </w:rPr>
        <w:t>ُّ</w:t>
      </w:r>
      <w:r w:rsidRPr="00282AC9">
        <w:rPr>
          <w:rFonts w:hint="cs"/>
          <w:sz w:val="27"/>
          <w:rtl/>
        </w:rPr>
        <w:t>ل الجهات الرسمية (الفقهاء في حالة عدم وجود العدول من المؤمنين) في متابعة الدعاوى والشكاوى والخصومات، بل تباشر ذلك الجهات ذات الصلاحية، حيث تتعرّ</w:t>
      </w:r>
      <w:r w:rsidR="00A32A52" w:rsidRPr="00282AC9">
        <w:rPr>
          <w:rFonts w:hint="cs"/>
          <w:sz w:val="27"/>
          <w:rtl/>
        </w:rPr>
        <w:t>َ</w:t>
      </w:r>
      <w:r w:rsidRPr="00282AC9">
        <w:rPr>
          <w:rFonts w:hint="cs"/>
          <w:sz w:val="27"/>
          <w:rtl/>
        </w:rPr>
        <w:t>ض وتتصد</w:t>
      </w:r>
      <w:r w:rsidR="00A32A52" w:rsidRPr="00282AC9">
        <w:rPr>
          <w:rFonts w:hint="cs"/>
          <w:sz w:val="27"/>
          <w:rtl/>
        </w:rPr>
        <w:t>ّ</w:t>
      </w:r>
      <w:r w:rsidRPr="00282AC9">
        <w:rPr>
          <w:rFonts w:hint="cs"/>
          <w:sz w:val="27"/>
          <w:rtl/>
        </w:rPr>
        <w:t>ى لهذه الأمور ارتجالاً.</w:t>
      </w:r>
    </w:p>
    <w:p w:rsidR="00BC5E40" w:rsidRPr="00282AC9" w:rsidRDefault="00BC5E40" w:rsidP="00BC4D37">
      <w:pPr>
        <w:rPr>
          <w:sz w:val="27"/>
          <w:rtl/>
        </w:rPr>
      </w:pPr>
      <w:r w:rsidRPr="00282AC9">
        <w:rPr>
          <w:rFonts w:hint="cs"/>
          <w:sz w:val="27"/>
          <w:rtl/>
        </w:rPr>
        <w:t>إن الفقهاء الذين لم يرتضوا ولاية الفقيه يجب أن يكونوا من أصحاب هذه الرؤية. ومن المناسب هنا أن نذكر ـ على سبيل المثال ـ كلام أحد القائلين بهذه النظري</w:t>
      </w:r>
      <w:r w:rsidR="00A32A52" w:rsidRPr="00282AC9">
        <w:rPr>
          <w:rFonts w:hint="cs"/>
          <w:sz w:val="27"/>
          <w:rtl/>
        </w:rPr>
        <w:t>ّ</w:t>
      </w:r>
      <w:r w:rsidRPr="00282AC9">
        <w:rPr>
          <w:rFonts w:hint="cs"/>
          <w:sz w:val="27"/>
          <w:rtl/>
        </w:rPr>
        <w:t>ة</w:t>
      </w:r>
      <w:r w:rsidRPr="00282AC9">
        <w:rPr>
          <w:sz w:val="27"/>
          <w:vertAlign w:val="superscript"/>
          <w:rtl/>
        </w:rPr>
        <w:t>(</w:t>
      </w:r>
      <w:r w:rsidRPr="00282AC9">
        <w:rPr>
          <w:rStyle w:val="af9"/>
          <w:sz w:val="27"/>
          <w:rtl/>
        </w:rPr>
        <w:endnoteReference w:id="38"/>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قال صاحب التنقيح: </w:t>
      </w:r>
      <w:r w:rsidRPr="00282AC9">
        <w:rPr>
          <w:rFonts w:hint="eastAsia"/>
          <w:sz w:val="24"/>
          <w:szCs w:val="24"/>
          <w:rtl/>
        </w:rPr>
        <w:t>«</w:t>
      </w:r>
      <w:r w:rsidRPr="00282AC9">
        <w:rPr>
          <w:rFonts w:hint="cs"/>
          <w:sz w:val="27"/>
          <w:rtl/>
        </w:rPr>
        <w:t>إن الولاية لم تثبت للفقيه في عصر الغ</w:t>
      </w:r>
      <w:r w:rsidR="00A32A52" w:rsidRPr="00282AC9">
        <w:rPr>
          <w:rFonts w:hint="cs"/>
          <w:sz w:val="27"/>
          <w:rtl/>
        </w:rPr>
        <w:t>َ</w:t>
      </w:r>
      <w:r w:rsidRPr="00282AC9">
        <w:rPr>
          <w:rFonts w:hint="cs"/>
          <w:sz w:val="27"/>
          <w:rtl/>
        </w:rPr>
        <w:t>ي</w:t>
      </w:r>
      <w:r w:rsidR="00A32A52" w:rsidRPr="00282AC9">
        <w:rPr>
          <w:rFonts w:hint="cs"/>
          <w:sz w:val="27"/>
          <w:rtl/>
        </w:rPr>
        <w:t>ْ</w:t>
      </w:r>
      <w:r w:rsidRPr="00282AC9">
        <w:rPr>
          <w:rFonts w:hint="cs"/>
          <w:sz w:val="27"/>
          <w:rtl/>
        </w:rPr>
        <w:t>بة بدليل</w:t>
      </w:r>
      <w:r w:rsidR="00A32A52" w:rsidRPr="00282AC9">
        <w:rPr>
          <w:rFonts w:hint="cs"/>
          <w:sz w:val="27"/>
          <w:rtl/>
        </w:rPr>
        <w:t>ٍ</w:t>
      </w:r>
      <w:r w:rsidRPr="00282AC9">
        <w:rPr>
          <w:rFonts w:hint="cs"/>
          <w:sz w:val="27"/>
          <w:rtl/>
        </w:rPr>
        <w:t>، وإنما هي مختص</w:t>
      </w:r>
      <w:r w:rsidR="00A32A52" w:rsidRPr="00282AC9">
        <w:rPr>
          <w:rFonts w:hint="cs"/>
          <w:sz w:val="27"/>
          <w:rtl/>
        </w:rPr>
        <w:t>ّ</w:t>
      </w:r>
      <w:r w:rsidRPr="00282AC9">
        <w:rPr>
          <w:rFonts w:hint="cs"/>
          <w:sz w:val="27"/>
          <w:rtl/>
        </w:rPr>
        <w:t>ة</w:t>
      </w:r>
      <w:r w:rsidR="00A32A52" w:rsidRPr="00282AC9">
        <w:rPr>
          <w:rFonts w:hint="cs"/>
          <w:sz w:val="27"/>
          <w:rtl/>
        </w:rPr>
        <w:t>ٌ</w:t>
      </w:r>
      <w:r w:rsidRPr="00282AC9">
        <w:rPr>
          <w:rFonts w:hint="cs"/>
          <w:sz w:val="27"/>
          <w:rtl/>
        </w:rPr>
        <w:t xml:space="preserve"> بالنبي</w:t>
      </w:r>
      <w:r w:rsidR="00A32A52" w:rsidRPr="00282AC9">
        <w:rPr>
          <w:rFonts w:hint="cs"/>
          <w:sz w:val="27"/>
          <w:rtl/>
        </w:rPr>
        <w:t>ّ</w:t>
      </w:r>
      <w:r w:rsidRPr="00282AC9">
        <w:rPr>
          <w:rFonts w:hint="cs"/>
          <w:sz w:val="27"/>
          <w:rtl/>
        </w:rPr>
        <w:t xml:space="preserve"> والأئمة</w:t>
      </w:r>
      <w:r w:rsidR="00876ECA" w:rsidRPr="00282AC9">
        <w:rPr>
          <w:rFonts w:cs="Mosawi" w:hint="cs"/>
          <w:sz w:val="22"/>
          <w:szCs w:val="22"/>
          <w:rtl/>
        </w:rPr>
        <w:t>^</w:t>
      </w:r>
      <w:r w:rsidR="00A32A52" w:rsidRPr="00282AC9">
        <w:rPr>
          <w:rFonts w:hint="cs"/>
          <w:sz w:val="27"/>
          <w:rtl/>
        </w:rPr>
        <w:t>،</w:t>
      </w:r>
      <w:r w:rsidRPr="00282AC9">
        <w:rPr>
          <w:rFonts w:hint="cs"/>
          <w:sz w:val="27"/>
          <w:rtl/>
        </w:rPr>
        <w:t xml:space="preserve"> بل الثابت ح</w:t>
      </w:r>
      <w:r w:rsidR="00A32A52" w:rsidRPr="00282AC9">
        <w:rPr>
          <w:rFonts w:hint="cs"/>
          <w:sz w:val="27"/>
          <w:rtl/>
        </w:rPr>
        <w:t>َ</w:t>
      </w:r>
      <w:r w:rsidRPr="00282AC9">
        <w:rPr>
          <w:rFonts w:hint="cs"/>
          <w:sz w:val="27"/>
          <w:rtl/>
        </w:rPr>
        <w:t>س</w:t>
      </w:r>
      <w:r w:rsidR="00A32A52" w:rsidRPr="00282AC9">
        <w:rPr>
          <w:rFonts w:hint="cs"/>
          <w:sz w:val="27"/>
          <w:rtl/>
        </w:rPr>
        <w:t>ْ</w:t>
      </w:r>
      <w:r w:rsidRPr="00282AC9">
        <w:rPr>
          <w:rFonts w:hint="cs"/>
          <w:sz w:val="27"/>
          <w:rtl/>
        </w:rPr>
        <w:t>ب</w:t>
      </w:r>
      <w:r w:rsidR="00A32A52" w:rsidRPr="00282AC9">
        <w:rPr>
          <w:rFonts w:hint="cs"/>
          <w:sz w:val="27"/>
          <w:rtl/>
        </w:rPr>
        <w:t xml:space="preserve">َ </w:t>
      </w:r>
      <w:r w:rsidRPr="00282AC9">
        <w:rPr>
          <w:rFonts w:hint="cs"/>
          <w:sz w:val="27"/>
          <w:rtl/>
        </w:rPr>
        <w:t xml:space="preserve">ما يُستفاد </w:t>
      </w:r>
      <w:r w:rsidR="00A32A52" w:rsidRPr="00282AC9">
        <w:rPr>
          <w:rFonts w:hint="cs"/>
          <w:sz w:val="27"/>
          <w:rtl/>
        </w:rPr>
        <w:t>من</w:t>
      </w:r>
      <w:r w:rsidRPr="00282AC9">
        <w:rPr>
          <w:rFonts w:hint="cs"/>
          <w:sz w:val="27"/>
          <w:rtl/>
        </w:rPr>
        <w:t xml:space="preserve"> الروايات أمران: نفوذ قضائه</w:t>
      </w:r>
      <w:r w:rsidR="00A32A52" w:rsidRPr="00282AC9">
        <w:rPr>
          <w:rFonts w:hint="cs"/>
          <w:sz w:val="27"/>
          <w:rtl/>
        </w:rPr>
        <w:t>؛</w:t>
      </w:r>
      <w:r w:rsidRPr="00282AC9">
        <w:rPr>
          <w:rFonts w:hint="cs"/>
          <w:sz w:val="27"/>
          <w:rtl/>
        </w:rPr>
        <w:t xml:space="preserve"> وحج</w:t>
      </w:r>
      <w:r w:rsidR="00A32A52" w:rsidRPr="00282AC9">
        <w:rPr>
          <w:rFonts w:hint="cs"/>
          <w:sz w:val="27"/>
          <w:rtl/>
        </w:rPr>
        <w:t>ّ</w:t>
      </w:r>
      <w:r w:rsidRPr="00282AC9">
        <w:rPr>
          <w:rFonts w:hint="cs"/>
          <w:sz w:val="27"/>
          <w:rtl/>
        </w:rPr>
        <w:t>ية فتواه. وليس له التصرّ</w:t>
      </w:r>
      <w:r w:rsidR="00A32A52" w:rsidRPr="00282AC9">
        <w:rPr>
          <w:rFonts w:hint="cs"/>
          <w:sz w:val="27"/>
          <w:rtl/>
        </w:rPr>
        <w:t>ُ</w:t>
      </w:r>
      <w:r w:rsidRPr="00282AC9">
        <w:rPr>
          <w:rFonts w:hint="cs"/>
          <w:sz w:val="27"/>
          <w:rtl/>
        </w:rPr>
        <w:t>ف في مال الق</w:t>
      </w:r>
      <w:r w:rsidR="00A32A52" w:rsidRPr="00282AC9">
        <w:rPr>
          <w:rFonts w:hint="cs"/>
          <w:sz w:val="27"/>
          <w:rtl/>
        </w:rPr>
        <w:t>ُ</w:t>
      </w:r>
      <w:r w:rsidRPr="00282AC9">
        <w:rPr>
          <w:rFonts w:hint="cs"/>
          <w:sz w:val="27"/>
          <w:rtl/>
        </w:rPr>
        <w:t>صّ</w:t>
      </w:r>
      <w:r w:rsidR="00A32A52" w:rsidRPr="00282AC9">
        <w:rPr>
          <w:rFonts w:hint="cs"/>
          <w:sz w:val="27"/>
          <w:rtl/>
        </w:rPr>
        <w:t>َ</w:t>
      </w:r>
      <w:r w:rsidRPr="00282AC9">
        <w:rPr>
          <w:rFonts w:hint="cs"/>
          <w:sz w:val="27"/>
          <w:rtl/>
        </w:rPr>
        <w:t>ر أو غيره مم</w:t>
      </w:r>
      <w:r w:rsidR="00CA0E2F" w:rsidRPr="00282AC9">
        <w:rPr>
          <w:rFonts w:hint="cs"/>
          <w:sz w:val="27"/>
          <w:rtl/>
        </w:rPr>
        <w:t>ّ</w:t>
      </w:r>
      <w:r w:rsidRPr="00282AC9">
        <w:rPr>
          <w:rFonts w:hint="cs"/>
          <w:sz w:val="27"/>
          <w:rtl/>
        </w:rPr>
        <w:t>ا هو من شؤون الولاية، إلا</w:t>
      </w:r>
      <w:r w:rsidR="00CA0E2F" w:rsidRPr="00282AC9">
        <w:rPr>
          <w:rFonts w:hint="cs"/>
          <w:sz w:val="27"/>
          <w:rtl/>
        </w:rPr>
        <w:t>ّ</w:t>
      </w:r>
      <w:r w:rsidRPr="00282AC9">
        <w:rPr>
          <w:rFonts w:hint="cs"/>
          <w:sz w:val="27"/>
          <w:rtl/>
        </w:rPr>
        <w:t xml:space="preserve"> في الأمر الح</w:t>
      </w:r>
      <w:r w:rsidR="00CA0E2F" w:rsidRPr="00282AC9">
        <w:rPr>
          <w:rFonts w:hint="cs"/>
          <w:sz w:val="27"/>
          <w:rtl/>
        </w:rPr>
        <w:t>ِ</w:t>
      </w:r>
      <w:r w:rsidRPr="00282AC9">
        <w:rPr>
          <w:rFonts w:hint="cs"/>
          <w:sz w:val="27"/>
          <w:rtl/>
        </w:rPr>
        <w:t>س</w:t>
      </w:r>
      <w:r w:rsidR="00CA0E2F" w:rsidRPr="00282AC9">
        <w:rPr>
          <w:rFonts w:hint="cs"/>
          <w:sz w:val="27"/>
          <w:rtl/>
        </w:rPr>
        <w:t>ْ</w:t>
      </w:r>
      <w:r w:rsidRPr="00282AC9">
        <w:rPr>
          <w:rFonts w:hint="cs"/>
          <w:sz w:val="27"/>
          <w:rtl/>
        </w:rPr>
        <w:t>بي</w:t>
      </w:r>
      <w:r w:rsidRPr="00282AC9">
        <w:rPr>
          <w:rFonts w:hint="eastAsia"/>
          <w:sz w:val="24"/>
          <w:szCs w:val="24"/>
          <w:rtl/>
        </w:rPr>
        <w:t>»</w:t>
      </w:r>
      <w:r w:rsidRPr="00282AC9">
        <w:rPr>
          <w:sz w:val="27"/>
          <w:vertAlign w:val="superscript"/>
          <w:rtl/>
        </w:rPr>
        <w:t>(</w:t>
      </w:r>
      <w:r w:rsidRPr="00282AC9">
        <w:rPr>
          <w:rStyle w:val="af9"/>
          <w:sz w:val="27"/>
          <w:rtl/>
        </w:rPr>
        <w:endnoteReference w:id="39"/>
      </w:r>
      <w:r w:rsidRPr="00282AC9">
        <w:rPr>
          <w:sz w:val="27"/>
          <w:vertAlign w:val="superscript"/>
          <w:rtl/>
        </w:rPr>
        <w:t>)</w:t>
      </w:r>
      <w:r w:rsidRPr="00282AC9">
        <w:rPr>
          <w:rFonts w:hint="cs"/>
          <w:sz w:val="27"/>
          <w:rtl/>
        </w:rPr>
        <w:t>.</w:t>
      </w:r>
    </w:p>
    <w:p w:rsidR="00CA0E2F" w:rsidRPr="00282AC9" w:rsidRDefault="00CA0E2F" w:rsidP="00BC4D37">
      <w:pPr>
        <w:rPr>
          <w:sz w:val="27"/>
          <w:rtl/>
        </w:rPr>
      </w:pPr>
      <w:r w:rsidRPr="00282AC9">
        <w:rPr>
          <w:rFonts w:hint="cs"/>
          <w:sz w:val="27"/>
          <w:rtl/>
        </w:rPr>
        <w:t>و</w:t>
      </w:r>
      <w:r w:rsidR="00BC5E40" w:rsidRPr="00282AC9">
        <w:rPr>
          <w:rFonts w:hint="cs"/>
          <w:sz w:val="27"/>
          <w:rtl/>
        </w:rPr>
        <w:t>طبقاً لهذه الرؤية لا يملك ولي</w:t>
      </w:r>
      <w:r w:rsidRPr="00282AC9">
        <w:rPr>
          <w:rFonts w:hint="cs"/>
          <w:sz w:val="27"/>
          <w:rtl/>
        </w:rPr>
        <w:t>ّ</w:t>
      </w:r>
      <w:r w:rsidR="00BC5E40" w:rsidRPr="00282AC9">
        <w:rPr>
          <w:rFonts w:hint="cs"/>
          <w:sz w:val="27"/>
          <w:rtl/>
        </w:rPr>
        <w:t xml:space="preserve"> الأمر أيّ حق</w:t>
      </w:r>
      <w:r w:rsidRPr="00282AC9">
        <w:rPr>
          <w:rFonts w:hint="cs"/>
          <w:sz w:val="27"/>
          <w:rtl/>
        </w:rPr>
        <w:t>ٍّ في وضع القوانين أو الأحكام.</w:t>
      </w:r>
    </w:p>
    <w:p w:rsidR="00BC5E40" w:rsidRPr="00282AC9" w:rsidRDefault="00BC5E40" w:rsidP="00BC4D37">
      <w:pPr>
        <w:rPr>
          <w:sz w:val="27"/>
          <w:rtl/>
        </w:rPr>
      </w:pPr>
      <w:r w:rsidRPr="00282AC9">
        <w:rPr>
          <w:rFonts w:hint="cs"/>
          <w:sz w:val="27"/>
          <w:rtl/>
        </w:rPr>
        <w:t>ونتيجة هذه الرؤية عبارة</w:t>
      </w:r>
      <w:r w:rsidR="00CA0E2F" w:rsidRPr="00282AC9">
        <w:rPr>
          <w:rFonts w:hint="cs"/>
          <w:sz w:val="27"/>
          <w:rtl/>
        </w:rPr>
        <w:t>ٌ</w:t>
      </w:r>
      <w:r w:rsidRPr="00282AC9">
        <w:rPr>
          <w:rFonts w:hint="cs"/>
          <w:sz w:val="27"/>
          <w:rtl/>
        </w:rPr>
        <w:t xml:space="preserve"> عن عدم حاكمية الدين والفقه في جميع أبعاد الحياة</w:t>
      </w:r>
      <w:r w:rsidR="00CA0E2F" w:rsidRPr="00282AC9">
        <w:rPr>
          <w:rFonts w:hint="cs"/>
          <w:sz w:val="27"/>
          <w:rtl/>
        </w:rPr>
        <w:t>؛</w:t>
      </w:r>
      <w:r w:rsidRPr="00282AC9">
        <w:rPr>
          <w:rFonts w:hint="cs"/>
          <w:sz w:val="27"/>
          <w:rtl/>
        </w:rPr>
        <w:t xml:space="preserve"> خلافاً للقائلين بولاية الفقيه.</w:t>
      </w:r>
    </w:p>
    <w:p w:rsidR="004E1D32" w:rsidRPr="00282AC9" w:rsidRDefault="00BC5E40" w:rsidP="00BC4D37">
      <w:pPr>
        <w:rPr>
          <w:sz w:val="27"/>
          <w:rtl/>
        </w:rPr>
      </w:pPr>
      <w:r w:rsidRPr="00282AC9">
        <w:rPr>
          <w:rFonts w:hint="cs"/>
          <w:sz w:val="27"/>
          <w:rtl/>
        </w:rPr>
        <w:t>وعلى أساس هذه الرؤية ليس لأيّ فقيه</w:t>
      </w:r>
      <w:r w:rsidR="00CA0E2F" w:rsidRPr="00282AC9">
        <w:rPr>
          <w:rFonts w:hint="cs"/>
          <w:sz w:val="27"/>
          <w:rtl/>
        </w:rPr>
        <w:t>ٍ</w:t>
      </w:r>
      <w:r w:rsidRPr="00282AC9">
        <w:rPr>
          <w:rFonts w:hint="cs"/>
          <w:sz w:val="27"/>
          <w:rtl/>
        </w:rPr>
        <w:t xml:space="preserve"> حقّ التقد</w:t>
      </w:r>
      <w:r w:rsidR="00CA0E2F" w:rsidRPr="00282AC9">
        <w:rPr>
          <w:rFonts w:hint="cs"/>
          <w:sz w:val="27"/>
          <w:rtl/>
        </w:rPr>
        <w:t>ُّ</w:t>
      </w:r>
      <w:r w:rsidRPr="00282AC9">
        <w:rPr>
          <w:rFonts w:hint="cs"/>
          <w:sz w:val="27"/>
          <w:rtl/>
        </w:rPr>
        <w:t>م على غيره في تصريف أمور الح</w:t>
      </w:r>
      <w:r w:rsidR="00CA0E2F" w:rsidRPr="00282AC9">
        <w:rPr>
          <w:rFonts w:hint="cs"/>
          <w:sz w:val="27"/>
          <w:rtl/>
        </w:rPr>
        <w:t>ِ</w:t>
      </w:r>
      <w:r w:rsidRPr="00282AC9">
        <w:rPr>
          <w:rFonts w:hint="cs"/>
          <w:sz w:val="27"/>
          <w:rtl/>
        </w:rPr>
        <w:t>س</w:t>
      </w:r>
      <w:r w:rsidR="00CA0E2F" w:rsidRPr="00282AC9">
        <w:rPr>
          <w:rFonts w:hint="cs"/>
          <w:sz w:val="27"/>
          <w:rtl/>
        </w:rPr>
        <w:t>ْ</w:t>
      </w:r>
      <w:r w:rsidRPr="00282AC9">
        <w:rPr>
          <w:rFonts w:hint="cs"/>
          <w:sz w:val="27"/>
          <w:rtl/>
        </w:rPr>
        <w:t>بة</w:t>
      </w:r>
      <w:r w:rsidR="00CA0E2F" w:rsidRPr="00282AC9">
        <w:rPr>
          <w:rFonts w:hint="cs"/>
          <w:sz w:val="27"/>
          <w:rtl/>
        </w:rPr>
        <w:t xml:space="preserve">. </w:t>
      </w:r>
      <w:r w:rsidRPr="00282AC9">
        <w:rPr>
          <w:rFonts w:hint="cs"/>
          <w:sz w:val="27"/>
          <w:rtl/>
        </w:rPr>
        <w:t>ولكن</w:t>
      </w:r>
      <w:r w:rsidR="00CA0E2F" w:rsidRPr="00282AC9">
        <w:rPr>
          <w:rFonts w:hint="cs"/>
          <w:sz w:val="27"/>
          <w:rtl/>
        </w:rPr>
        <w:t>ْ</w:t>
      </w:r>
      <w:r w:rsidRPr="00282AC9">
        <w:rPr>
          <w:rFonts w:hint="cs"/>
          <w:sz w:val="27"/>
          <w:rtl/>
        </w:rPr>
        <w:t xml:space="preserve"> طبقاً لرأي المؤمنين بولاية الفقيه فإن ولي</w:t>
      </w:r>
      <w:r w:rsidR="00CA0E2F" w:rsidRPr="00282AC9">
        <w:rPr>
          <w:rFonts w:hint="cs"/>
          <w:sz w:val="27"/>
          <w:rtl/>
        </w:rPr>
        <w:t>ّ</w:t>
      </w:r>
      <w:r w:rsidRPr="00282AC9">
        <w:rPr>
          <w:rFonts w:hint="cs"/>
          <w:sz w:val="27"/>
          <w:rtl/>
        </w:rPr>
        <w:t xml:space="preserve"> الأمر ـ وهو المسؤول عن إدارة المجتمع ـ له حق</w:t>
      </w:r>
      <w:r w:rsidR="00CA0E2F" w:rsidRPr="00282AC9">
        <w:rPr>
          <w:rFonts w:hint="cs"/>
          <w:sz w:val="27"/>
          <w:rtl/>
        </w:rPr>
        <w:t>ّ</w:t>
      </w:r>
      <w:r w:rsidRPr="00282AC9">
        <w:rPr>
          <w:rFonts w:hint="cs"/>
          <w:sz w:val="27"/>
          <w:rtl/>
        </w:rPr>
        <w:t xml:space="preserve"> التقدّ</w:t>
      </w:r>
      <w:r w:rsidR="00CA0E2F" w:rsidRPr="00282AC9">
        <w:rPr>
          <w:rFonts w:hint="cs"/>
          <w:sz w:val="27"/>
          <w:rtl/>
        </w:rPr>
        <w:t>ُ</w:t>
      </w:r>
      <w:r w:rsidRPr="00282AC9">
        <w:rPr>
          <w:rFonts w:hint="cs"/>
          <w:sz w:val="27"/>
          <w:rtl/>
        </w:rPr>
        <w:t>م في التصدّي لأمور الح</w:t>
      </w:r>
      <w:r w:rsidR="00CA0E2F" w:rsidRPr="00282AC9">
        <w:rPr>
          <w:rFonts w:hint="cs"/>
          <w:sz w:val="27"/>
          <w:rtl/>
        </w:rPr>
        <w:t>ِ</w:t>
      </w:r>
      <w:r w:rsidRPr="00282AC9">
        <w:rPr>
          <w:rFonts w:hint="cs"/>
          <w:sz w:val="27"/>
          <w:rtl/>
        </w:rPr>
        <w:t>س</w:t>
      </w:r>
      <w:r w:rsidR="00CA0E2F" w:rsidRPr="00282AC9">
        <w:rPr>
          <w:rFonts w:hint="cs"/>
          <w:sz w:val="27"/>
          <w:rtl/>
        </w:rPr>
        <w:t>ْ</w:t>
      </w:r>
      <w:r w:rsidR="004E1D32" w:rsidRPr="00282AC9">
        <w:rPr>
          <w:rFonts w:hint="cs"/>
          <w:sz w:val="27"/>
          <w:rtl/>
        </w:rPr>
        <w:t>بة على سائر الفقهاء.</w:t>
      </w:r>
    </w:p>
    <w:p w:rsidR="00BC5E40" w:rsidRPr="00282AC9" w:rsidRDefault="00BC5E40" w:rsidP="00BC4D37">
      <w:pPr>
        <w:rPr>
          <w:sz w:val="27"/>
          <w:rtl/>
        </w:rPr>
      </w:pPr>
      <w:r w:rsidRPr="00282AC9">
        <w:rPr>
          <w:rFonts w:hint="cs"/>
          <w:sz w:val="27"/>
          <w:rtl/>
        </w:rPr>
        <w:t>وكذلك بناء</w:t>
      </w:r>
      <w:r w:rsidR="00CA0E2F" w:rsidRPr="00282AC9">
        <w:rPr>
          <w:rFonts w:hint="cs"/>
          <w:sz w:val="27"/>
          <w:rtl/>
        </w:rPr>
        <w:t>ً</w:t>
      </w:r>
      <w:r w:rsidRPr="00282AC9">
        <w:rPr>
          <w:rFonts w:hint="cs"/>
          <w:sz w:val="27"/>
          <w:rtl/>
        </w:rPr>
        <w:t xml:space="preserve"> على هذه الرؤية فإن ملاك تصرّ</w:t>
      </w:r>
      <w:r w:rsidR="00CA0E2F" w:rsidRPr="00282AC9">
        <w:rPr>
          <w:rFonts w:hint="cs"/>
          <w:sz w:val="27"/>
          <w:rtl/>
        </w:rPr>
        <w:t>ُ</w:t>
      </w:r>
      <w:r w:rsidRPr="00282AC9">
        <w:rPr>
          <w:rFonts w:hint="cs"/>
          <w:sz w:val="27"/>
          <w:rtl/>
        </w:rPr>
        <w:t>ف الفقيه هو تحق</w:t>
      </w:r>
      <w:r w:rsidR="004E1D32" w:rsidRPr="00282AC9">
        <w:rPr>
          <w:rFonts w:hint="cs"/>
          <w:sz w:val="27"/>
          <w:rtl/>
        </w:rPr>
        <w:t>ُّ</w:t>
      </w:r>
      <w:r w:rsidRPr="00282AC9">
        <w:rPr>
          <w:rFonts w:hint="cs"/>
          <w:sz w:val="27"/>
          <w:rtl/>
        </w:rPr>
        <w:t>ق العنوان الثانوي</w:t>
      </w:r>
      <w:r w:rsidR="004E1D32" w:rsidRPr="00282AC9">
        <w:rPr>
          <w:rFonts w:hint="cs"/>
          <w:sz w:val="27"/>
          <w:rtl/>
        </w:rPr>
        <w:t>ّ؛</w:t>
      </w:r>
      <w:r w:rsidRPr="00282AC9">
        <w:rPr>
          <w:rFonts w:hint="cs"/>
          <w:sz w:val="27"/>
          <w:rtl/>
        </w:rPr>
        <w:t xml:space="preserve"> خلافاً لرأي القائلين بولاية الفقيه؛ لأن ملاك تصرّ</w:t>
      </w:r>
      <w:r w:rsidR="004E1D32" w:rsidRPr="00282AC9">
        <w:rPr>
          <w:rFonts w:hint="cs"/>
          <w:sz w:val="27"/>
          <w:rtl/>
        </w:rPr>
        <w:t>ُ</w:t>
      </w:r>
      <w:r w:rsidRPr="00282AC9">
        <w:rPr>
          <w:rFonts w:hint="cs"/>
          <w:sz w:val="27"/>
          <w:rtl/>
        </w:rPr>
        <w:t>ف الفقيه يكمن في تشخيص مصلحة النظام وعام</w:t>
      </w:r>
      <w:r w:rsidR="004E1D32" w:rsidRPr="00282AC9">
        <w:rPr>
          <w:rFonts w:hint="cs"/>
          <w:sz w:val="27"/>
          <w:rtl/>
        </w:rPr>
        <w:t>ّ</w:t>
      </w:r>
      <w:r w:rsidRPr="00282AC9">
        <w:rPr>
          <w:rFonts w:hint="cs"/>
          <w:sz w:val="27"/>
          <w:rtl/>
        </w:rPr>
        <w:t>ة الناس.</w:t>
      </w:r>
    </w:p>
    <w:p w:rsidR="00BC5E40" w:rsidRPr="00282AC9" w:rsidRDefault="00BC5E40" w:rsidP="00F8035C">
      <w:pPr>
        <w:spacing w:line="420" w:lineRule="exact"/>
        <w:rPr>
          <w:sz w:val="27"/>
          <w:rtl/>
        </w:rPr>
      </w:pPr>
    </w:p>
    <w:p w:rsidR="00BC5E40" w:rsidRPr="00282AC9" w:rsidRDefault="00BC5E40" w:rsidP="00E36B18">
      <w:pPr>
        <w:pStyle w:val="31"/>
        <w:rPr>
          <w:color w:val="auto"/>
          <w:rtl/>
        </w:rPr>
      </w:pPr>
      <w:r w:rsidRPr="00282AC9">
        <w:rPr>
          <w:rFonts w:hint="cs"/>
          <w:color w:val="auto"/>
          <w:rtl/>
        </w:rPr>
        <w:t>مناقشة</w:t>
      </w:r>
      <w:r w:rsidR="00D80202" w:rsidRPr="00282AC9">
        <w:rPr>
          <w:rFonts w:hint="cs"/>
          <w:color w:val="auto"/>
          <w:rtl/>
        </w:rPr>
        <w:t>ٌ واعتراض</w:t>
      </w:r>
    </w:p>
    <w:p w:rsidR="00BC5E40" w:rsidRPr="00282AC9" w:rsidRDefault="00BC5E40" w:rsidP="00BC4D37">
      <w:pPr>
        <w:rPr>
          <w:sz w:val="27"/>
          <w:rtl/>
        </w:rPr>
      </w:pPr>
      <w:r w:rsidRPr="00282AC9">
        <w:rPr>
          <w:rFonts w:hint="cs"/>
          <w:sz w:val="27"/>
          <w:rtl/>
        </w:rPr>
        <w:t>إن أصل ثبوت الولاية للفقيه هو ـ في الجملة ـ من الأمور التي كانت ولا تزال مورد قبول الكثير من الفقهاء. والدليل على ذلك</w:t>
      </w:r>
      <w:r w:rsidR="004E1D32" w:rsidRPr="00282AC9">
        <w:rPr>
          <w:rFonts w:hint="cs"/>
          <w:sz w:val="27"/>
          <w:rtl/>
        </w:rPr>
        <w:t>،</w:t>
      </w:r>
      <w:r w:rsidRPr="00282AC9">
        <w:rPr>
          <w:rFonts w:hint="cs"/>
          <w:sz w:val="27"/>
          <w:rtl/>
        </w:rPr>
        <w:t xml:space="preserve"> مضافاً إلى دلالة الآيات والروايات وكيفية وضع القوانين، أن العمل بالكثير من القوانين يحتاج إلى الولاية وممارسة </w:t>
      </w:r>
      <w:r w:rsidRPr="00282AC9">
        <w:rPr>
          <w:rFonts w:hint="cs"/>
          <w:sz w:val="27"/>
          <w:rtl/>
        </w:rPr>
        <w:lastRenderedPageBreak/>
        <w:t>السلطة من ق</w:t>
      </w:r>
      <w:r w:rsidR="004E1D32" w:rsidRPr="00282AC9">
        <w:rPr>
          <w:rFonts w:hint="cs"/>
          <w:sz w:val="27"/>
          <w:rtl/>
        </w:rPr>
        <w:t>ِ</w:t>
      </w:r>
      <w:r w:rsidRPr="00282AC9">
        <w:rPr>
          <w:rFonts w:hint="cs"/>
          <w:sz w:val="27"/>
          <w:rtl/>
        </w:rPr>
        <w:t>ب</w:t>
      </w:r>
      <w:r w:rsidR="004E1D32" w:rsidRPr="00282AC9">
        <w:rPr>
          <w:rFonts w:hint="cs"/>
          <w:sz w:val="27"/>
          <w:rtl/>
        </w:rPr>
        <w:t>َ</w:t>
      </w:r>
      <w:r w:rsidRPr="00282AC9">
        <w:rPr>
          <w:rFonts w:hint="cs"/>
          <w:sz w:val="27"/>
          <w:rtl/>
        </w:rPr>
        <w:t xml:space="preserve">ل الفقيه. كما يحكم العقل بهذا الأمر أيضاً. وإن الجدير بالتحقيق والنقد هنا هو حدود </w:t>
      </w:r>
      <w:r w:rsidR="004E1D32" w:rsidRPr="00282AC9">
        <w:rPr>
          <w:rFonts w:hint="cs"/>
          <w:sz w:val="27"/>
          <w:rtl/>
        </w:rPr>
        <w:t>صلاحيات</w:t>
      </w:r>
      <w:r w:rsidRPr="00282AC9">
        <w:rPr>
          <w:rFonts w:hint="cs"/>
          <w:sz w:val="27"/>
          <w:rtl/>
        </w:rPr>
        <w:t xml:space="preserve"> وشرائط وصفات الولي</w:t>
      </w:r>
      <w:r w:rsidR="004E1D32" w:rsidRPr="00282AC9">
        <w:rPr>
          <w:rFonts w:hint="cs"/>
          <w:sz w:val="27"/>
          <w:rtl/>
        </w:rPr>
        <w:t>ّ</w:t>
      </w:r>
      <w:r w:rsidRPr="00282AC9">
        <w:rPr>
          <w:rFonts w:hint="cs"/>
          <w:sz w:val="27"/>
          <w:rtl/>
        </w:rPr>
        <w:t xml:space="preserve"> الفقيه، وما إذا كان تعيينه بالانتخاب أو التنصيب.</w:t>
      </w:r>
    </w:p>
    <w:p w:rsidR="00BC5E40" w:rsidRPr="00282AC9" w:rsidRDefault="00BC5E40" w:rsidP="00F8035C">
      <w:pPr>
        <w:spacing w:line="420" w:lineRule="exact"/>
        <w:rPr>
          <w:sz w:val="27"/>
          <w:rtl/>
        </w:rPr>
      </w:pPr>
    </w:p>
    <w:p w:rsidR="00BC5E40" w:rsidRPr="00282AC9" w:rsidRDefault="00BC5E40" w:rsidP="00E36B18">
      <w:pPr>
        <w:pStyle w:val="31"/>
        <w:rPr>
          <w:color w:val="auto"/>
          <w:rtl/>
        </w:rPr>
      </w:pPr>
      <w:r w:rsidRPr="00282AC9">
        <w:rPr>
          <w:rFonts w:hint="cs"/>
          <w:color w:val="auto"/>
          <w:rtl/>
        </w:rPr>
        <w:t>2ـ نظري</w:t>
      </w:r>
      <w:r w:rsidR="004E1D32" w:rsidRPr="00282AC9">
        <w:rPr>
          <w:rFonts w:hint="cs"/>
          <w:color w:val="auto"/>
          <w:rtl/>
        </w:rPr>
        <w:t>ّ</w:t>
      </w:r>
      <w:r w:rsidRPr="00282AC9">
        <w:rPr>
          <w:rFonts w:hint="cs"/>
          <w:color w:val="auto"/>
          <w:rtl/>
        </w:rPr>
        <w:t>ة ح</w:t>
      </w:r>
      <w:r w:rsidR="004E1D32" w:rsidRPr="00282AC9">
        <w:rPr>
          <w:rFonts w:hint="cs"/>
          <w:color w:val="auto"/>
          <w:rtl/>
        </w:rPr>
        <w:t>َ</w:t>
      </w:r>
      <w:r w:rsidRPr="00282AC9">
        <w:rPr>
          <w:rFonts w:hint="cs"/>
          <w:color w:val="auto"/>
          <w:rtl/>
        </w:rPr>
        <w:t>ص</w:t>
      </w:r>
      <w:r w:rsidR="004E1D32" w:rsidRPr="00282AC9">
        <w:rPr>
          <w:rFonts w:hint="cs"/>
          <w:color w:val="auto"/>
          <w:rtl/>
        </w:rPr>
        <w:t>ْ</w:t>
      </w:r>
      <w:r w:rsidRPr="00282AC9">
        <w:rPr>
          <w:rFonts w:hint="cs"/>
          <w:color w:val="auto"/>
          <w:rtl/>
        </w:rPr>
        <w:t>ر التشريع والتقنين بالله</w:t>
      </w:r>
      <w:r w:rsidR="00D80202" w:rsidRPr="00282AC9">
        <w:rPr>
          <w:rFonts w:hint="cs"/>
          <w:color w:val="auto"/>
          <w:rtl/>
        </w:rPr>
        <w:t xml:space="preserve"> (مع القول بالولاية العامّة للفقيه)</w:t>
      </w:r>
    </w:p>
    <w:p w:rsidR="00BC5E40" w:rsidRPr="00282AC9" w:rsidRDefault="00BC5E40" w:rsidP="00BC4D37">
      <w:pPr>
        <w:rPr>
          <w:sz w:val="27"/>
          <w:rtl/>
        </w:rPr>
      </w:pPr>
      <w:r w:rsidRPr="00282AC9">
        <w:rPr>
          <w:rFonts w:hint="cs"/>
          <w:sz w:val="27"/>
          <w:rtl/>
        </w:rPr>
        <w:t>النظرية الأخرى في</w:t>
      </w:r>
      <w:r w:rsidR="004E1D32" w:rsidRPr="00282AC9">
        <w:rPr>
          <w:rFonts w:hint="cs"/>
          <w:sz w:val="27"/>
          <w:rtl/>
        </w:rPr>
        <w:t xml:space="preserve"> </w:t>
      </w:r>
      <w:r w:rsidRPr="00282AC9">
        <w:rPr>
          <w:rFonts w:hint="cs"/>
          <w:sz w:val="27"/>
          <w:rtl/>
        </w:rPr>
        <w:t>ما يرتبط بموضوع بحثنا هي أن الفقهاء</w:t>
      </w:r>
      <w:r w:rsidR="004E1D32" w:rsidRPr="00282AC9">
        <w:rPr>
          <w:rFonts w:hint="cs"/>
          <w:sz w:val="27"/>
          <w:rtl/>
        </w:rPr>
        <w:t>،</w:t>
      </w:r>
      <w:r w:rsidRPr="00282AC9">
        <w:rPr>
          <w:rFonts w:hint="cs"/>
          <w:sz w:val="27"/>
          <w:rtl/>
        </w:rPr>
        <w:t xml:space="preserve"> رغم ثبوت الولاية لهم في عصر الغ</w:t>
      </w:r>
      <w:r w:rsidR="004E1D32" w:rsidRPr="00282AC9">
        <w:rPr>
          <w:rFonts w:hint="cs"/>
          <w:sz w:val="27"/>
          <w:rtl/>
        </w:rPr>
        <w:t>َ</w:t>
      </w:r>
      <w:r w:rsidRPr="00282AC9">
        <w:rPr>
          <w:rFonts w:hint="cs"/>
          <w:sz w:val="27"/>
          <w:rtl/>
        </w:rPr>
        <w:t>ي</w:t>
      </w:r>
      <w:r w:rsidR="004E1D32" w:rsidRPr="00282AC9">
        <w:rPr>
          <w:rFonts w:hint="cs"/>
          <w:sz w:val="27"/>
          <w:rtl/>
        </w:rPr>
        <w:t>ْ</w:t>
      </w:r>
      <w:r w:rsidRPr="00282AC9">
        <w:rPr>
          <w:rFonts w:hint="cs"/>
          <w:sz w:val="27"/>
          <w:rtl/>
        </w:rPr>
        <w:t>بة، لا يحق</w:t>
      </w:r>
      <w:r w:rsidR="004E1D32" w:rsidRPr="00282AC9">
        <w:rPr>
          <w:rFonts w:hint="cs"/>
          <w:sz w:val="27"/>
          <w:rtl/>
        </w:rPr>
        <w:t>ّ</w:t>
      </w:r>
      <w:r w:rsidRPr="00282AC9">
        <w:rPr>
          <w:rFonts w:hint="cs"/>
          <w:sz w:val="27"/>
          <w:rtl/>
        </w:rPr>
        <w:t xml:space="preserve"> لهم ممارسة التقنين والتشريع؛ وذلك لأن وضع القانون من مختص</w:t>
      </w:r>
      <w:r w:rsidR="004E1D32" w:rsidRPr="00282AC9">
        <w:rPr>
          <w:rFonts w:hint="cs"/>
          <w:sz w:val="27"/>
          <w:rtl/>
        </w:rPr>
        <w:t>ّ</w:t>
      </w:r>
      <w:r w:rsidRPr="00282AC9">
        <w:rPr>
          <w:rFonts w:hint="cs"/>
          <w:sz w:val="27"/>
          <w:rtl/>
        </w:rPr>
        <w:t>ات الله سبحانه وتعالى. وحيث تم</w:t>
      </w:r>
      <w:r w:rsidR="004E1D32" w:rsidRPr="00282AC9">
        <w:rPr>
          <w:rFonts w:hint="cs"/>
          <w:sz w:val="27"/>
          <w:rtl/>
        </w:rPr>
        <w:t>ّ</w:t>
      </w:r>
      <w:r w:rsidRPr="00282AC9">
        <w:rPr>
          <w:rFonts w:hint="cs"/>
          <w:sz w:val="27"/>
          <w:rtl/>
        </w:rPr>
        <w:t xml:space="preserve"> بيان حكم جميع الموضوعات والأحداث الفعلية والقادمة لا يوجد هناك فراغ</w:t>
      </w:r>
      <w:r w:rsidR="004E1D32" w:rsidRPr="00282AC9">
        <w:rPr>
          <w:rFonts w:hint="cs"/>
          <w:sz w:val="27"/>
          <w:rtl/>
        </w:rPr>
        <w:t>ٌ</w:t>
      </w:r>
      <w:r w:rsidRPr="00282AC9">
        <w:rPr>
          <w:rFonts w:hint="cs"/>
          <w:sz w:val="27"/>
          <w:rtl/>
        </w:rPr>
        <w:t xml:space="preserve"> قانوني</w:t>
      </w:r>
      <w:r w:rsidR="004E1D32" w:rsidRPr="00282AC9">
        <w:rPr>
          <w:rFonts w:hint="cs"/>
          <w:sz w:val="27"/>
          <w:rtl/>
        </w:rPr>
        <w:t>،</w:t>
      </w:r>
      <w:r w:rsidRPr="00282AC9">
        <w:rPr>
          <w:rFonts w:hint="cs"/>
          <w:sz w:val="27"/>
          <w:rtl/>
        </w:rPr>
        <w:t xml:space="preserve"> حت</w:t>
      </w:r>
      <w:r w:rsidR="004E1D32" w:rsidRPr="00282AC9">
        <w:rPr>
          <w:rFonts w:hint="cs"/>
          <w:sz w:val="27"/>
          <w:rtl/>
        </w:rPr>
        <w:t>ّ</w:t>
      </w:r>
      <w:r w:rsidRPr="00282AC9">
        <w:rPr>
          <w:rFonts w:hint="cs"/>
          <w:sz w:val="27"/>
          <w:rtl/>
        </w:rPr>
        <w:t>ى يتصد</w:t>
      </w:r>
      <w:r w:rsidR="004E1D32" w:rsidRPr="00282AC9">
        <w:rPr>
          <w:rFonts w:hint="cs"/>
          <w:sz w:val="27"/>
          <w:rtl/>
        </w:rPr>
        <w:t>ّ</w:t>
      </w:r>
      <w:r w:rsidRPr="00282AC9">
        <w:rPr>
          <w:rFonts w:hint="cs"/>
          <w:sz w:val="27"/>
          <w:rtl/>
        </w:rPr>
        <w:t xml:space="preserve">ى الفقيه </w:t>
      </w:r>
      <w:r w:rsidR="00327AF5" w:rsidRPr="00282AC9">
        <w:rPr>
          <w:rFonts w:hint="cs"/>
          <w:sz w:val="27"/>
          <w:rtl/>
        </w:rPr>
        <w:t>ل</w:t>
      </w:r>
      <w:r w:rsidRPr="00282AC9">
        <w:rPr>
          <w:rFonts w:hint="cs"/>
          <w:sz w:val="27"/>
          <w:rtl/>
        </w:rPr>
        <w:t>م</w:t>
      </w:r>
      <w:r w:rsidR="004E1D32" w:rsidRPr="00282AC9">
        <w:rPr>
          <w:rFonts w:hint="cs"/>
          <w:sz w:val="27"/>
          <w:rtl/>
        </w:rPr>
        <w:t>َ</w:t>
      </w:r>
      <w:r w:rsidRPr="00282AC9">
        <w:rPr>
          <w:rFonts w:hint="cs"/>
          <w:sz w:val="27"/>
          <w:rtl/>
        </w:rPr>
        <w:t>ل</w:t>
      </w:r>
      <w:r w:rsidR="004E1D32" w:rsidRPr="00282AC9">
        <w:rPr>
          <w:rFonts w:hint="cs"/>
          <w:sz w:val="27"/>
          <w:rtl/>
        </w:rPr>
        <w:t>ْ</w:t>
      </w:r>
      <w:r w:rsidRPr="00282AC9">
        <w:rPr>
          <w:rFonts w:hint="cs"/>
          <w:sz w:val="27"/>
          <w:rtl/>
        </w:rPr>
        <w:t>ء هذا الفراغ.</w:t>
      </w:r>
    </w:p>
    <w:p w:rsidR="00BC5E40" w:rsidRPr="00282AC9" w:rsidRDefault="00BC5E40" w:rsidP="00BC4D37">
      <w:pPr>
        <w:rPr>
          <w:sz w:val="27"/>
          <w:rtl/>
        </w:rPr>
      </w:pPr>
      <w:r w:rsidRPr="00282AC9">
        <w:rPr>
          <w:rFonts w:hint="cs"/>
          <w:sz w:val="27"/>
          <w:rtl/>
        </w:rPr>
        <w:t>طبقاً لهذه الرؤية إنما يكون للفقهاء في عصر الغ</w:t>
      </w:r>
      <w:r w:rsidR="004E1D32" w:rsidRPr="00282AC9">
        <w:rPr>
          <w:rFonts w:hint="cs"/>
          <w:sz w:val="27"/>
          <w:rtl/>
        </w:rPr>
        <w:t>َ</w:t>
      </w:r>
      <w:r w:rsidRPr="00282AC9">
        <w:rPr>
          <w:rFonts w:hint="cs"/>
          <w:sz w:val="27"/>
          <w:rtl/>
        </w:rPr>
        <w:t>ي</w:t>
      </w:r>
      <w:r w:rsidR="004E1D32" w:rsidRPr="00282AC9">
        <w:rPr>
          <w:rFonts w:hint="cs"/>
          <w:sz w:val="27"/>
          <w:rtl/>
        </w:rPr>
        <w:t>ْ</w:t>
      </w:r>
      <w:r w:rsidRPr="00282AC9">
        <w:rPr>
          <w:rFonts w:hint="cs"/>
          <w:sz w:val="27"/>
          <w:rtl/>
        </w:rPr>
        <w:t>بة حق</w:t>
      </w:r>
      <w:r w:rsidR="004E1D32" w:rsidRPr="00282AC9">
        <w:rPr>
          <w:rFonts w:hint="cs"/>
          <w:sz w:val="27"/>
          <w:rtl/>
        </w:rPr>
        <w:t>ّ</w:t>
      </w:r>
      <w:r w:rsidRPr="00282AC9">
        <w:rPr>
          <w:rFonts w:hint="cs"/>
          <w:sz w:val="27"/>
          <w:rtl/>
        </w:rPr>
        <w:t xml:space="preserve"> تشخيص الحكم الإلهي</w:t>
      </w:r>
      <w:r w:rsidR="004E1D32" w:rsidRPr="00282AC9">
        <w:rPr>
          <w:rFonts w:hint="cs"/>
          <w:sz w:val="27"/>
          <w:rtl/>
        </w:rPr>
        <w:t>ّ</w:t>
      </w:r>
      <w:r w:rsidRPr="00282AC9">
        <w:rPr>
          <w:rFonts w:hint="cs"/>
          <w:sz w:val="27"/>
          <w:rtl/>
        </w:rPr>
        <w:t>، ويجب في الأحداث الاجتماعية الواقعة أن يتم</w:t>
      </w:r>
      <w:r w:rsidR="004E1D32" w:rsidRPr="00282AC9">
        <w:rPr>
          <w:rFonts w:hint="cs"/>
          <w:sz w:val="27"/>
          <w:rtl/>
        </w:rPr>
        <w:t>ّ</w:t>
      </w:r>
      <w:r w:rsidRPr="00282AC9">
        <w:rPr>
          <w:rFonts w:hint="cs"/>
          <w:sz w:val="27"/>
          <w:rtl/>
        </w:rPr>
        <w:t xml:space="preserve"> العمل على بيان حكم الله. وبعبارة</w:t>
      </w:r>
      <w:r w:rsidR="004E1D32" w:rsidRPr="00282AC9">
        <w:rPr>
          <w:rFonts w:hint="cs"/>
          <w:sz w:val="27"/>
          <w:rtl/>
        </w:rPr>
        <w:t>ٍ</w:t>
      </w:r>
      <w:r w:rsidRPr="00282AC9">
        <w:rPr>
          <w:rFonts w:hint="cs"/>
          <w:sz w:val="27"/>
          <w:rtl/>
        </w:rPr>
        <w:t xml:space="preserve"> أخرى: إن حكم الله قد تمّ</w:t>
      </w:r>
      <w:r w:rsidR="004E1D32" w:rsidRPr="00282AC9">
        <w:rPr>
          <w:rFonts w:hint="cs"/>
          <w:sz w:val="27"/>
          <w:rtl/>
        </w:rPr>
        <w:t>َ</w:t>
      </w:r>
      <w:r w:rsidRPr="00282AC9">
        <w:rPr>
          <w:rFonts w:hint="cs"/>
          <w:sz w:val="27"/>
          <w:rtl/>
        </w:rPr>
        <w:t xml:space="preserve"> بيانه في جميع المسائل</w:t>
      </w:r>
      <w:r w:rsidR="004E1D32" w:rsidRPr="00282AC9">
        <w:rPr>
          <w:rFonts w:hint="cs"/>
          <w:sz w:val="27"/>
          <w:rtl/>
        </w:rPr>
        <w:t>،</w:t>
      </w:r>
      <w:r w:rsidRPr="00282AC9">
        <w:rPr>
          <w:rFonts w:hint="cs"/>
          <w:sz w:val="27"/>
          <w:rtl/>
        </w:rPr>
        <w:t xml:space="preserve"> حت</w:t>
      </w:r>
      <w:r w:rsidR="004E1D32" w:rsidRPr="00282AC9">
        <w:rPr>
          <w:rFonts w:hint="cs"/>
          <w:sz w:val="27"/>
          <w:rtl/>
        </w:rPr>
        <w:t>ّ</w:t>
      </w:r>
      <w:r w:rsidRPr="00282AC9">
        <w:rPr>
          <w:rFonts w:hint="cs"/>
          <w:sz w:val="27"/>
          <w:rtl/>
        </w:rPr>
        <w:t>ى في الحوادث الواقعة، و</w:t>
      </w:r>
      <w:r w:rsidR="00327AF5" w:rsidRPr="00282AC9">
        <w:rPr>
          <w:rFonts w:hint="cs"/>
          <w:sz w:val="27"/>
          <w:rtl/>
        </w:rPr>
        <w:t>إ</w:t>
      </w:r>
      <w:r w:rsidRPr="00282AC9">
        <w:rPr>
          <w:rFonts w:hint="cs"/>
          <w:sz w:val="27"/>
          <w:rtl/>
        </w:rPr>
        <w:t>ن ولي</w:t>
      </w:r>
      <w:r w:rsidR="004E1D32" w:rsidRPr="00282AC9">
        <w:rPr>
          <w:rFonts w:hint="cs"/>
          <w:sz w:val="27"/>
          <w:rtl/>
        </w:rPr>
        <w:t>ّ</w:t>
      </w:r>
      <w:r w:rsidRPr="00282AC9">
        <w:rPr>
          <w:rFonts w:hint="cs"/>
          <w:sz w:val="27"/>
          <w:rtl/>
        </w:rPr>
        <w:t xml:space="preserve"> الأمر إنما يبيّ</w:t>
      </w:r>
      <w:r w:rsidR="004E1D32" w:rsidRPr="00282AC9">
        <w:rPr>
          <w:rFonts w:hint="cs"/>
          <w:sz w:val="27"/>
          <w:rtl/>
        </w:rPr>
        <w:t>ِ</w:t>
      </w:r>
      <w:r w:rsidRPr="00282AC9">
        <w:rPr>
          <w:rFonts w:hint="cs"/>
          <w:sz w:val="27"/>
          <w:rtl/>
        </w:rPr>
        <w:t>ن أشكالها وقوالبها</w:t>
      </w:r>
      <w:r w:rsidR="004E1D32" w:rsidRPr="00282AC9">
        <w:rPr>
          <w:rFonts w:hint="cs"/>
          <w:sz w:val="27"/>
          <w:rtl/>
        </w:rPr>
        <w:t>،</w:t>
      </w:r>
      <w:r w:rsidRPr="00282AC9">
        <w:rPr>
          <w:rFonts w:hint="cs"/>
          <w:sz w:val="27"/>
          <w:rtl/>
        </w:rPr>
        <w:t xml:space="preserve"> وليس أحكامها.</w:t>
      </w:r>
    </w:p>
    <w:p w:rsidR="00BC5E40" w:rsidRPr="00282AC9" w:rsidRDefault="00BC5E40" w:rsidP="00BC4D37">
      <w:pPr>
        <w:rPr>
          <w:sz w:val="27"/>
          <w:rtl/>
        </w:rPr>
      </w:pPr>
      <w:r w:rsidRPr="00282AC9">
        <w:rPr>
          <w:rFonts w:hint="cs"/>
          <w:sz w:val="27"/>
          <w:rtl/>
        </w:rPr>
        <w:t xml:space="preserve">قال صاحب كتاب معالم الحكومة: </w:t>
      </w:r>
      <w:r w:rsidRPr="00282AC9">
        <w:rPr>
          <w:rFonts w:hint="eastAsia"/>
          <w:sz w:val="24"/>
          <w:szCs w:val="24"/>
          <w:rtl/>
        </w:rPr>
        <w:t>«</w:t>
      </w:r>
      <w:r w:rsidRPr="00282AC9">
        <w:rPr>
          <w:rFonts w:hint="cs"/>
          <w:sz w:val="27"/>
          <w:rtl/>
        </w:rPr>
        <w:t>إن التشريع إنما هو من حقوق الله ح</w:t>
      </w:r>
      <w:r w:rsidR="004E1D32" w:rsidRPr="00282AC9">
        <w:rPr>
          <w:rFonts w:hint="cs"/>
          <w:sz w:val="27"/>
          <w:rtl/>
        </w:rPr>
        <w:t>َ</w:t>
      </w:r>
      <w:r w:rsidRPr="00282AC9">
        <w:rPr>
          <w:rFonts w:hint="cs"/>
          <w:sz w:val="27"/>
          <w:rtl/>
        </w:rPr>
        <w:t>ص</w:t>
      </w:r>
      <w:r w:rsidR="004E1D32" w:rsidRPr="00282AC9">
        <w:rPr>
          <w:rFonts w:hint="cs"/>
          <w:sz w:val="27"/>
          <w:rtl/>
        </w:rPr>
        <w:t>ْ</w:t>
      </w:r>
      <w:r w:rsidRPr="00282AC9">
        <w:rPr>
          <w:rFonts w:hint="cs"/>
          <w:sz w:val="27"/>
          <w:rtl/>
        </w:rPr>
        <w:t>راً، ولا وجود لمشرّ</w:t>
      </w:r>
      <w:r w:rsidR="004E1D32" w:rsidRPr="00282AC9">
        <w:rPr>
          <w:rFonts w:hint="cs"/>
          <w:sz w:val="27"/>
          <w:rtl/>
        </w:rPr>
        <w:t>ِ</w:t>
      </w:r>
      <w:r w:rsidRPr="00282AC9">
        <w:rPr>
          <w:rFonts w:hint="cs"/>
          <w:sz w:val="27"/>
          <w:rtl/>
        </w:rPr>
        <w:t>ع أو مقن</w:t>
      </w:r>
      <w:r w:rsidR="004E1D32" w:rsidRPr="00282AC9">
        <w:rPr>
          <w:rFonts w:hint="cs"/>
          <w:sz w:val="27"/>
          <w:rtl/>
        </w:rPr>
        <w:t>ِّ</w:t>
      </w:r>
      <w:r w:rsidRPr="00282AC9">
        <w:rPr>
          <w:rFonts w:hint="cs"/>
          <w:sz w:val="27"/>
          <w:rtl/>
        </w:rPr>
        <w:t>ن غيره</w:t>
      </w:r>
      <w:r w:rsidR="004E1D32" w:rsidRPr="00282AC9">
        <w:rPr>
          <w:rFonts w:hint="cs"/>
          <w:sz w:val="27"/>
          <w:rtl/>
        </w:rPr>
        <w:t xml:space="preserve">، </w:t>
      </w:r>
      <w:r w:rsidRPr="00282AC9">
        <w:rPr>
          <w:rFonts w:hint="cs"/>
          <w:sz w:val="27"/>
          <w:rtl/>
        </w:rPr>
        <w:t>فلا يحق</w:t>
      </w:r>
      <w:r w:rsidR="004E1D32" w:rsidRPr="00282AC9">
        <w:rPr>
          <w:rFonts w:hint="cs"/>
          <w:sz w:val="27"/>
          <w:rtl/>
        </w:rPr>
        <w:t>ّ</w:t>
      </w:r>
      <w:r w:rsidRPr="00282AC9">
        <w:rPr>
          <w:rFonts w:hint="cs"/>
          <w:sz w:val="27"/>
          <w:rtl/>
        </w:rPr>
        <w:t xml:space="preserve"> لأيّ فرد</w:t>
      </w:r>
      <w:r w:rsidR="004E1D32" w:rsidRPr="00282AC9">
        <w:rPr>
          <w:rFonts w:hint="cs"/>
          <w:sz w:val="27"/>
          <w:rtl/>
        </w:rPr>
        <w:t>ٍ</w:t>
      </w:r>
      <w:r w:rsidRPr="00282AC9">
        <w:rPr>
          <w:rFonts w:hint="cs"/>
          <w:sz w:val="27"/>
          <w:rtl/>
        </w:rPr>
        <w:t xml:space="preserve"> ـ مهما بلغ من العلم والثقافة والسلطة الفكري</w:t>
      </w:r>
      <w:r w:rsidR="004E1D32" w:rsidRPr="00282AC9">
        <w:rPr>
          <w:rFonts w:hint="cs"/>
          <w:sz w:val="27"/>
          <w:rtl/>
        </w:rPr>
        <w:t>ّ</w:t>
      </w:r>
      <w:r w:rsidRPr="00282AC9">
        <w:rPr>
          <w:rFonts w:hint="cs"/>
          <w:sz w:val="27"/>
          <w:rtl/>
        </w:rPr>
        <w:t>ة والاجتماعي</w:t>
      </w:r>
      <w:r w:rsidR="004E1D32" w:rsidRPr="00282AC9">
        <w:rPr>
          <w:rFonts w:hint="cs"/>
          <w:sz w:val="27"/>
          <w:rtl/>
        </w:rPr>
        <w:t>ّ</w:t>
      </w:r>
      <w:r w:rsidRPr="00282AC9">
        <w:rPr>
          <w:rFonts w:hint="cs"/>
          <w:sz w:val="27"/>
          <w:rtl/>
        </w:rPr>
        <w:t>ة ـ أن يقر</w:t>
      </w:r>
      <w:r w:rsidR="004E1D32" w:rsidRPr="00282AC9">
        <w:rPr>
          <w:rFonts w:hint="cs"/>
          <w:sz w:val="27"/>
          <w:rtl/>
        </w:rPr>
        <w:t>ِّ</w:t>
      </w:r>
      <w:r w:rsidRPr="00282AC9">
        <w:rPr>
          <w:rFonts w:hint="cs"/>
          <w:sz w:val="27"/>
          <w:rtl/>
        </w:rPr>
        <w:t>ر حكماً</w:t>
      </w:r>
      <w:r w:rsidR="004E1D32" w:rsidRPr="00282AC9">
        <w:rPr>
          <w:rFonts w:hint="cs"/>
          <w:sz w:val="27"/>
          <w:rtl/>
        </w:rPr>
        <w:t>،</w:t>
      </w:r>
      <w:r w:rsidRPr="00282AC9">
        <w:rPr>
          <w:rFonts w:hint="cs"/>
          <w:sz w:val="27"/>
          <w:rtl/>
        </w:rPr>
        <w:t xml:space="preserve"> أو يحلّ حراماً أو يحرّ</w:t>
      </w:r>
      <w:r w:rsidR="004E1D32" w:rsidRPr="00282AC9">
        <w:rPr>
          <w:rFonts w:hint="cs"/>
          <w:sz w:val="27"/>
          <w:rtl/>
        </w:rPr>
        <w:t>ِم</w:t>
      </w:r>
      <w:r w:rsidRPr="00282AC9">
        <w:rPr>
          <w:rFonts w:hint="cs"/>
          <w:sz w:val="27"/>
          <w:rtl/>
        </w:rPr>
        <w:t xml:space="preserve"> حلالاً</w:t>
      </w:r>
      <w:r w:rsidRPr="00282AC9">
        <w:rPr>
          <w:rFonts w:hint="eastAsia"/>
          <w:sz w:val="24"/>
          <w:szCs w:val="24"/>
          <w:rtl/>
        </w:rPr>
        <w:t>»</w:t>
      </w:r>
      <w:r w:rsidRPr="00282AC9">
        <w:rPr>
          <w:sz w:val="27"/>
          <w:vertAlign w:val="superscript"/>
          <w:rtl/>
        </w:rPr>
        <w:t>(</w:t>
      </w:r>
      <w:r w:rsidRPr="00282AC9">
        <w:rPr>
          <w:rStyle w:val="af9"/>
          <w:sz w:val="27"/>
          <w:rtl/>
        </w:rPr>
        <w:endnoteReference w:id="40"/>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وعلى أساس هذه النظرية، هناك ثلاث مراحل لكل</w:t>
      </w:r>
      <w:r w:rsidR="004E1D32" w:rsidRPr="00282AC9">
        <w:rPr>
          <w:rFonts w:hint="cs"/>
          <w:sz w:val="27"/>
          <w:rtl/>
        </w:rPr>
        <w:t>ّ</w:t>
      </w:r>
      <w:r w:rsidRPr="00282AC9">
        <w:rPr>
          <w:rFonts w:hint="cs"/>
          <w:sz w:val="27"/>
          <w:rtl/>
        </w:rPr>
        <w:t xml:space="preserve"> حكم</w:t>
      </w:r>
      <w:r w:rsidR="004E1D32" w:rsidRPr="00282AC9">
        <w:rPr>
          <w:rFonts w:hint="cs"/>
          <w:sz w:val="27"/>
          <w:rtl/>
        </w:rPr>
        <w:t>ٍ</w:t>
      </w:r>
      <w:r w:rsidRPr="00282AC9">
        <w:rPr>
          <w:rFonts w:hint="cs"/>
          <w:sz w:val="27"/>
          <w:rtl/>
        </w:rPr>
        <w:t>، وهي:</w:t>
      </w:r>
    </w:p>
    <w:p w:rsidR="00BC5E40" w:rsidRPr="00282AC9" w:rsidRDefault="00BC5E40" w:rsidP="00BC4D37">
      <w:pPr>
        <w:rPr>
          <w:sz w:val="27"/>
          <w:rtl/>
        </w:rPr>
      </w:pPr>
      <w:r w:rsidRPr="00282AC9">
        <w:rPr>
          <w:rFonts w:hint="cs"/>
          <w:sz w:val="27"/>
          <w:rtl/>
        </w:rPr>
        <w:t>1ـ مرحلة التشريع والتقنين. وهي المرحلة الخاص</w:t>
      </w:r>
      <w:r w:rsidR="004E1D32" w:rsidRPr="00282AC9">
        <w:rPr>
          <w:rFonts w:hint="cs"/>
          <w:sz w:val="27"/>
          <w:rtl/>
        </w:rPr>
        <w:t>ّ</w:t>
      </w:r>
      <w:r w:rsidRPr="00282AC9">
        <w:rPr>
          <w:rFonts w:hint="cs"/>
          <w:sz w:val="27"/>
          <w:rtl/>
        </w:rPr>
        <w:t>ة بالله سبحانه وتعالى.</w:t>
      </w:r>
    </w:p>
    <w:p w:rsidR="00BC5E40" w:rsidRPr="00282AC9" w:rsidRDefault="00BC5E40" w:rsidP="00BC4D37">
      <w:pPr>
        <w:rPr>
          <w:sz w:val="27"/>
          <w:rtl/>
        </w:rPr>
      </w:pPr>
      <w:r w:rsidRPr="00282AC9">
        <w:rPr>
          <w:rFonts w:hint="cs"/>
          <w:sz w:val="27"/>
          <w:rtl/>
        </w:rPr>
        <w:t>2ـ مرحلة التشخيص. وهي المرحلة الخاص</w:t>
      </w:r>
      <w:r w:rsidR="004E1D32" w:rsidRPr="00282AC9">
        <w:rPr>
          <w:rFonts w:hint="cs"/>
          <w:sz w:val="27"/>
          <w:rtl/>
        </w:rPr>
        <w:t>ّ</w:t>
      </w:r>
      <w:r w:rsidRPr="00282AC9">
        <w:rPr>
          <w:rFonts w:hint="cs"/>
          <w:sz w:val="27"/>
          <w:rtl/>
        </w:rPr>
        <w:t>ة بالفقهاء.</w:t>
      </w:r>
    </w:p>
    <w:p w:rsidR="00BC5E40" w:rsidRPr="00282AC9" w:rsidRDefault="00BC5E40" w:rsidP="00BC4D37">
      <w:pPr>
        <w:rPr>
          <w:sz w:val="27"/>
          <w:rtl/>
        </w:rPr>
      </w:pPr>
      <w:r w:rsidRPr="00282AC9">
        <w:rPr>
          <w:rFonts w:hint="cs"/>
          <w:sz w:val="27"/>
          <w:rtl/>
        </w:rPr>
        <w:t>3ـ مرحلة تحديد المسار. وهذه المرحلة من مهام</w:t>
      </w:r>
      <w:r w:rsidR="004E1D32" w:rsidRPr="00282AC9">
        <w:rPr>
          <w:rFonts w:hint="cs"/>
          <w:sz w:val="27"/>
          <w:rtl/>
        </w:rPr>
        <w:t>ّ</w:t>
      </w:r>
      <w:r w:rsidRPr="00282AC9">
        <w:rPr>
          <w:rFonts w:hint="cs"/>
          <w:sz w:val="27"/>
          <w:rtl/>
        </w:rPr>
        <w:t xml:space="preserve"> مجلس الشورى الإسلامي أو ما كان على شاكلته.</w:t>
      </w:r>
    </w:p>
    <w:p w:rsidR="00BC5E40" w:rsidRPr="00282AC9" w:rsidRDefault="00BC5E40" w:rsidP="00BC4D37">
      <w:pPr>
        <w:rPr>
          <w:sz w:val="27"/>
          <w:rtl/>
        </w:rPr>
      </w:pPr>
      <w:r w:rsidRPr="00282AC9">
        <w:rPr>
          <w:rFonts w:hint="cs"/>
          <w:sz w:val="27"/>
          <w:rtl/>
        </w:rPr>
        <w:t xml:space="preserve">قال صاحب أنوار الفقاهة: </w:t>
      </w:r>
      <w:r w:rsidRPr="00282AC9">
        <w:rPr>
          <w:rFonts w:hint="eastAsia"/>
          <w:sz w:val="24"/>
          <w:szCs w:val="24"/>
          <w:rtl/>
        </w:rPr>
        <w:t>«</w:t>
      </w:r>
      <w:r w:rsidRPr="00282AC9">
        <w:rPr>
          <w:rFonts w:hint="cs"/>
          <w:sz w:val="27"/>
          <w:rtl/>
        </w:rPr>
        <w:t>وأما أصحابنا الإمامي</w:t>
      </w:r>
      <w:r w:rsidR="004E1D32" w:rsidRPr="00282AC9">
        <w:rPr>
          <w:rFonts w:hint="cs"/>
          <w:sz w:val="27"/>
          <w:rtl/>
        </w:rPr>
        <w:t>ّ</w:t>
      </w:r>
      <w:r w:rsidRPr="00282AC9">
        <w:rPr>
          <w:rFonts w:hint="cs"/>
          <w:sz w:val="27"/>
          <w:rtl/>
        </w:rPr>
        <w:t>ة فقد قالوا بأنه ليس هناك واقعة</w:t>
      </w:r>
      <w:r w:rsidR="004E1D32" w:rsidRPr="00282AC9">
        <w:rPr>
          <w:rFonts w:hint="cs"/>
          <w:sz w:val="27"/>
          <w:rtl/>
        </w:rPr>
        <w:t>ٌ</w:t>
      </w:r>
      <w:r w:rsidRPr="00282AC9">
        <w:rPr>
          <w:rFonts w:hint="cs"/>
          <w:sz w:val="27"/>
          <w:rtl/>
        </w:rPr>
        <w:t xml:space="preserve"> لا نص</w:t>
      </w:r>
      <w:r w:rsidR="004E1D32" w:rsidRPr="00282AC9">
        <w:rPr>
          <w:rFonts w:hint="cs"/>
          <w:sz w:val="27"/>
          <w:rtl/>
        </w:rPr>
        <w:t>ّ</w:t>
      </w:r>
      <w:r w:rsidRPr="00282AC9">
        <w:rPr>
          <w:rFonts w:hint="cs"/>
          <w:sz w:val="27"/>
          <w:rtl/>
        </w:rPr>
        <w:t xml:space="preserve"> فيها، ولا يوجد أمر</w:t>
      </w:r>
      <w:r w:rsidR="004E1D32" w:rsidRPr="00282AC9">
        <w:rPr>
          <w:rFonts w:hint="cs"/>
          <w:sz w:val="27"/>
          <w:rtl/>
        </w:rPr>
        <w:t>ٌ</w:t>
      </w:r>
      <w:r w:rsidRPr="00282AC9">
        <w:rPr>
          <w:rFonts w:hint="cs"/>
          <w:sz w:val="27"/>
          <w:rtl/>
        </w:rPr>
        <w:t xml:space="preserve"> خال</w:t>
      </w:r>
      <w:r w:rsidR="004E1D32" w:rsidRPr="00282AC9">
        <w:rPr>
          <w:rFonts w:hint="cs"/>
          <w:sz w:val="27"/>
          <w:rtl/>
        </w:rPr>
        <w:t>ٍ</w:t>
      </w:r>
      <w:r w:rsidRPr="00282AC9">
        <w:rPr>
          <w:rFonts w:hint="cs"/>
          <w:sz w:val="27"/>
          <w:rtl/>
        </w:rPr>
        <w:t xml:space="preserve"> عن حكم</w:t>
      </w:r>
      <w:r w:rsidR="004E1D32" w:rsidRPr="00282AC9">
        <w:rPr>
          <w:rFonts w:hint="cs"/>
          <w:sz w:val="27"/>
          <w:rtl/>
        </w:rPr>
        <w:t>ٍ</w:t>
      </w:r>
      <w:r w:rsidRPr="00282AC9">
        <w:rPr>
          <w:rFonts w:hint="cs"/>
          <w:sz w:val="27"/>
          <w:rtl/>
        </w:rPr>
        <w:t xml:space="preserve"> شرعي</w:t>
      </w:r>
      <w:r w:rsidR="00791EE4" w:rsidRPr="00282AC9">
        <w:rPr>
          <w:rFonts w:hint="cs"/>
          <w:sz w:val="27"/>
          <w:rtl/>
        </w:rPr>
        <w:t>ّ</w:t>
      </w:r>
      <w:r w:rsidRPr="00282AC9">
        <w:rPr>
          <w:rFonts w:hint="cs"/>
          <w:sz w:val="27"/>
          <w:rtl/>
        </w:rPr>
        <w:t>، وإن الدين قد كملت أصوله وفروعه</w:t>
      </w:r>
      <w:r w:rsidR="00791EE4" w:rsidRPr="00282AC9">
        <w:rPr>
          <w:rFonts w:hint="cs"/>
          <w:sz w:val="27"/>
          <w:rtl/>
        </w:rPr>
        <w:t>،</w:t>
      </w:r>
      <w:r w:rsidRPr="00282AC9">
        <w:rPr>
          <w:rFonts w:hint="cs"/>
          <w:sz w:val="27"/>
          <w:rtl/>
        </w:rPr>
        <w:t xml:space="preserve"> بحيث لم يب</w:t>
      </w:r>
      <w:r w:rsidR="00791EE4" w:rsidRPr="00282AC9">
        <w:rPr>
          <w:rFonts w:hint="cs"/>
          <w:sz w:val="27"/>
          <w:rtl/>
        </w:rPr>
        <w:t>ْ</w:t>
      </w:r>
      <w:r w:rsidRPr="00282AC9">
        <w:rPr>
          <w:rFonts w:hint="cs"/>
          <w:sz w:val="27"/>
          <w:rtl/>
        </w:rPr>
        <w:t>ق</w:t>
      </w:r>
      <w:r w:rsidR="00791EE4" w:rsidRPr="00282AC9">
        <w:rPr>
          <w:rFonts w:hint="cs"/>
          <w:sz w:val="27"/>
          <w:rtl/>
        </w:rPr>
        <w:t>َ</w:t>
      </w:r>
      <w:r w:rsidRPr="00282AC9">
        <w:rPr>
          <w:rFonts w:hint="cs"/>
          <w:sz w:val="27"/>
          <w:rtl/>
        </w:rPr>
        <w:t xml:space="preserve"> محل</w:t>
      </w:r>
      <w:r w:rsidR="00791EE4" w:rsidRPr="00282AC9">
        <w:rPr>
          <w:rFonts w:hint="cs"/>
          <w:sz w:val="27"/>
          <w:rtl/>
        </w:rPr>
        <w:t>ٌّ</w:t>
      </w:r>
      <w:r w:rsidRPr="00282AC9">
        <w:rPr>
          <w:rFonts w:hint="cs"/>
          <w:sz w:val="27"/>
          <w:rtl/>
        </w:rPr>
        <w:t xml:space="preserve"> لتشريع أحد</w:t>
      </w:r>
      <w:r w:rsidR="00791EE4" w:rsidRPr="00282AC9">
        <w:rPr>
          <w:rFonts w:hint="cs"/>
          <w:sz w:val="27"/>
          <w:rtl/>
        </w:rPr>
        <w:t>ٍ أبداً</w:t>
      </w:r>
      <w:r w:rsidRPr="00282AC9">
        <w:rPr>
          <w:rFonts w:hint="cs"/>
          <w:sz w:val="27"/>
          <w:rtl/>
        </w:rPr>
        <w:t>... فعلى هذا لا وجود لـ (الفراغ القانوني) في مدرسة أهل البيت</w:t>
      </w:r>
      <w:r w:rsidR="00876ECA" w:rsidRPr="00282AC9">
        <w:rPr>
          <w:rFonts w:cs="Mosawi" w:hint="cs"/>
          <w:sz w:val="22"/>
          <w:szCs w:val="22"/>
          <w:rtl/>
        </w:rPr>
        <w:t>^</w:t>
      </w:r>
      <w:r w:rsidR="00791EE4" w:rsidRPr="00282AC9">
        <w:rPr>
          <w:rFonts w:hint="cs"/>
          <w:sz w:val="27"/>
          <w:rtl/>
        </w:rPr>
        <w:t>،</w:t>
      </w:r>
      <w:r w:rsidRPr="00282AC9">
        <w:rPr>
          <w:rFonts w:hint="cs"/>
          <w:sz w:val="27"/>
          <w:rtl/>
        </w:rPr>
        <w:t xml:space="preserve"> بل كل</w:t>
      </w:r>
      <w:r w:rsidR="00791EE4" w:rsidRPr="00282AC9">
        <w:rPr>
          <w:rFonts w:hint="cs"/>
          <w:sz w:val="27"/>
          <w:rtl/>
        </w:rPr>
        <w:t>ّ</w:t>
      </w:r>
      <w:r w:rsidRPr="00282AC9">
        <w:rPr>
          <w:rFonts w:hint="cs"/>
          <w:sz w:val="27"/>
          <w:rtl/>
        </w:rPr>
        <w:t xml:space="preserve"> ما تحتاج إليه الأمة إلى يوم القيامة</w:t>
      </w:r>
      <w:r w:rsidR="00791EE4" w:rsidRPr="00282AC9">
        <w:rPr>
          <w:rFonts w:hint="cs"/>
          <w:sz w:val="27"/>
          <w:rtl/>
        </w:rPr>
        <w:t>،</w:t>
      </w:r>
      <w:r w:rsidRPr="00282AC9">
        <w:rPr>
          <w:rFonts w:hint="cs"/>
          <w:sz w:val="27"/>
          <w:rtl/>
        </w:rPr>
        <w:t xml:space="preserve"> في حياتهم الفردي</w:t>
      </w:r>
      <w:r w:rsidR="00791EE4" w:rsidRPr="00282AC9">
        <w:rPr>
          <w:rFonts w:hint="cs"/>
          <w:sz w:val="27"/>
          <w:rtl/>
        </w:rPr>
        <w:t>ّ</w:t>
      </w:r>
      <w:r w:rsidRPr="00282AC9">
        <w:rPr>
          <w:rFonts w:hint="cs"/>
          <w:sz w:val="27"/>
          <w:rtl/>
        </w:rPr>
        <w:t>ة والاجتماعية والماد</w:t>
      </w:r>
      <w:r w:rsidR="00791EE4" w:rsidRPr="00282AC9">
        <w:rPr>
          <w:rFonts w:hint="cs"/>
          <w:sz w:val="27"/>
          <w:rtl/>
        </w:rPr>
        <w:t>ّ</w:t>
      </w:r>
      <w:r w:rsidRPr="00282AC9">
        <w:rPr>
          <w:rFonts w:hint="cs"/>
          <w:sz w:val="27"/>
          <w:rtl/>
        </w:rPr>
        <w:t>ية والمعنوية، قد ورد فيه حكم</w:t>
      </w:r>
      <w:r w:rsidR="00791EE4" w:rsidRPr="00282AC9">
        <w:rPr>
          <w:rFonts w:hint="cs"/>
          <w:sz w:val="27"/>
          <w:rtl/>
        </w:rPr>
        <w:t>ٌ</w:t>
      </w:r>
      <w:r w:rsidRPr="00282AC9">
        <w:rPr>
          <w:rFonts w:hint="cs"/>
          <w:sz w:val="27"/>
          <w:rtl/>
        </w:rPr>
        <w:t xml:space="preserve"> إلهي وتشريع</w:t>
      </w:r>
      <w:r w:rsidR="00791EE4" w:rsidRPr="00282AC9">
        <w:rPr>
          <w:rFonts w:hint="cs"/>
          <w:sz w:val="27"/>
          <w:rtl/>
        </w:rPr>
        <w:t>ٌ</w:t>
      </w:r>
      <w:r w:rsidRPr="00282AC9">
        <w:rPr>
          <w:rFonts w:hint="cs"/>
          <w:sz w:val="27"/>
          <w:rtl/>
        </w:rPr>
        <w:t xml:space="preserve"> إسلامي؛ فلا </w:t>
      </w:r>
      <w:r w:rsidRPr="00282AC9">
        <w:rPr>
          <w:rFonts w:hint="cs"/>
          <w:sz w:val="27"/>
          <w:rtl/>
        </w:rPr>
        <w:lastRenderedPageBreak/>
        <w:t>فراغ ولا خلأ أصلاً، فلا يبقى محل</w:t>
      </w:r>
      <w:r w:rsidR="00791EE4" w:rsidRPr="00282AC9">
        <w:rPr>
          <w:rFonts w:hint="cs"/>
          <w:sz w:val="27"/>
          <w:rtl/>
        </w:rPr>
        <w:t>ٌّ</w:t>
      </w:r>
      <w:r w:rsidRPr="00282AC9">
        <w:rPr>
          <w:rFonts w:hint="cs"/>
          <w:sz w:val="27"/>
          <w:rtl/>
        </w:rPr>
        <w:t xml:space="preserve"> لتشريع الفقيه أو غيره. فالذي للفقهاء أمران، وهما: الجهد والاجتهاد في كشف الأحكام من المصادر الأربعة</w:t>
      </w:r>
      <w:r w:rsidR="00791EE4" w:rsidRPr="00282AC9">
        <w:rPr>
          <w:rFonts w:hint="cs"/>
          <w:sz w:val="27"/>
          <w:rtl/>
        </w:rPr>
        <w:t>؛</w:t>
      </w:r>
      <w:r w:rsidRPr="00282AC9">
        <w:rPr>
          <w:rFonts w:hint="cs"/>
          <w:sz w:val="27"/>
          <w:rtl/>
        </w:rPr>
        <w:t xml:space="preserve"> وتطبيق الأحكام على مصاديقها</w:t>
      </w:r>
      <w:r w:rsidR="00791EE4" w:rsidRPr="00282AC9">
        <w:rPr>
          <w:rFonts w:hint="cs"/>
          <w:sz w:val="27"/>
          <w:rtl/>
        </w:rPr>
        <w:t>،</w:t>
      </w:r>
      <w:r w:rsidRPr="00282AC9">
        <w:rPr>
          <w:rFonts w:hint="cs"/>
          <w:sz w:val="27"/>
          <w:rtl/>
        </w:rPr>
        <w:t xml:space="preserve"> وتنفيذها بما هو حق</w:t>
      </w:r>
      <w:r w:rsidR="00791EE4" w:rsidRPr="00282AC9">
        <w:rPr>
          <w:rFonts w:hint="cs"/>
          <w:sz w:val="27"/>
          <w:rtl/>
        </w:rPr>
        <w:t>ّ</w:t>
      </w:r>
      <w:r w:rsidRPr="00282AC9">
        <w:rPr>
          <w:rFonts w:hint="cs"/>
          <w:sz w:val="27"/>
          <w:rtl/>
        </w:rPr>
        <w:t>ها. والأو</w:t>
      </w:r>
      <w:r w:rsidR="00791EE4" w:rsidRPr="00282AC9">
        <w:rPr>
          <w:rFonts w:hint="cs"/>
          <w:sz w:val="27"/>
          <w:rtl/>
        </w:rPr>
        <w:t>ّ</w:t>
      </w:r>
      <w:r w:rsidRPr="00282AC9">
        <w:rPr>
          <w:rFonts w:hint="cs"/>
          <w:sz w:val="27"/>
          <w:rtl/>
        </w:rPr>
        <w:t>ل هو الإفتاء، والثاني هو الولاية والحكومة</w:t>
      </w:r>
      <w:r w:rsidRPr="00282AC9">
        <w:rPr>
          <w:rFonts w:hint="eastAsia"/>
          <w:sz w:val="24"/>
          <w:szCs w:val="24"/>
          <w:rtl/>
        </w:rPr>
        <w:t>»</w:t>
      </w:r>
      <w:r w:rsidRPr="00282AC9">
        <w:rPr>
          <w:sz w:val="27"/>
          <w:vertAlign w:val="superscript"/>
          <w:rtl/>
        </w:rPr>
        <w:t>(</w:t>
      </w:r>
      <w:r w:rsidRPr="00282AC9">
        <w:rPr>
          <w:rStyle w:val="af9"/>
          <w:sz w:val="27"/>
          <w:rtl/>
        </w:rPr>
        <w:endnoteReference w:id="41"/>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إن العلماء الذين رفضوا وجود الفراغ القانوني قد استندوا في رفضهم هذا إلى الآيات والروايات</w:t>
      </w:r>
      <w:r w:rsidR="00791EE4" w:rsidRPr="00282AC9">
        <w:rPr>
          <w:rFonts w:hint="cs"/>
          <w:sz w:val="27"/>
          <w:rtl/>
        </w:rPr>
        <w:t>؛</w:t>
      </w:r>
      <w:r w:rsidRPr="00282AC9">
        <w:rPr>
          <w:rFonts w:hint="cs"/>
          <w:sz w:val="27"/>
          <w:rtl/>
        </w:rPr>
        <w:t xml:space="preserve"> إذ يُستفاد من هذه الآيات والروايات أن التشريع منحصر</w:t>
      </w:r>
      <w:r w:rsidR="00791EE4" w:rsidRPr="00282AC9">
        <w:rPr>
          <w:rFonts w:hint="cs"/>
          <w:sz w:val="27"/>
          <w:rtl/>
        </w:rPr>
        <w:t>ٌ</w:t>
      </w:r>
      <w:r w:rsidRPr="00282AC9">
        <w:rPr>
          <w:rFonts w:hint="cs"/>
          <w:sz w:val="27"/>
          <w:rtl/>
        </w:rPr>
        <w:t xml:space="preserve"> بالله تعالى، وأنه ليس لأحد</w:t>
      </w:r>
      <w:r w:rsidR="00791EE4" w:rsidRPr="00282AC9">
        <w:rPr>
          <w:rFonts w:hint="cs"/>
          <w:sz w:val="27"/>
          <w:rtl/>
        </w:rPr>
        <w:t>ٍ</w:t>
      </w:r>
      <w:r w:rsidRPr="00282AC9">
        <w:rPr>
          <w:rFonts w:hint="cs"/>
          <w:sz w:val="27"/>
          <w:rtl/>
        </w:rPr>
        <w:t xml:space="preserve"> غيره حق</w:t>
      </w:r>
      <w:r w:rsidR="00791EE4" w:rsidRPr="00282AC9">
        <w:rPr>
          <w:rFonts w:hint="cs"/>
          <w:sz w:val="27"/>
          <w:rtl/>
        </w:rPr>
        <w:t>ٌّ</w:t>
      </w:r>
      <w:r w:rsidRPr="00282AC9">
        <w:rPr>
          <w:rFonts w:hint="cs"/>
          <w:sz w:val="27"/>
          <w:rtl/>
        </w:rPr>
        <w:t xml:space="preserve"> في التشريع</w:t>
      </w:r>
      <w:r w:rsidR="00791EE4" w:rsidRPr="00282AC9">
        <w:rPr>
          <w:rFonts w:hint="cs"/>
          <w:sz w:val="27"/>
          <w:rtl/>
        </w:rPr>
        <w:t>،</w:t>
      </w:r>
      <w:r w:rsidRPr="00282AC9">
        <w:rPr>
          <w:rFonts w:hint="cs"/>
          <w:sz w:val="27"/>
          <w:rtl/>
        </w:rPr>
        <w:t xml:space="preserve"> حت</w:t>
      </w:r>
      <w:r w:rsidR="00791EE4" w:rsidRPr="00282AC9">
        <w:rPr>
          <w:rFonts w:hint="cs"/>
          <w:sz w:val="27"/>
          <w:rtl/>
        </w:rPr>
        <w:t>ّ</w:t>
      </w:r>
      <w:r w:rsidRPr="00282AC9">
        <w:rPr>
          <w:rFonts w:hint="cs"/>
          <w:sz w:val="27"/>
          <w:rtl/>
        </w:rPr>
        <w:t>ى رسول الله والأئمة</w:t>
      </w:r>
      <w:r w:rsidR="00876ECA" w:rsidRPr="00282AC9">
        <w:rPr>
          <w:rFonts w:cs="Mosawi" w:hint="cs"/>
          <w:sz w:val="22"/>
          <w:szCs w:val="22"/>
          <w:rtl/>
        </w:rPr>
        <w:t>^</w:t>
      </w:r>
      <w:r w:rsidR="00791EE4" w:rsidRPr="00282AC9">
        <w:rPr>
          <w:rFonts w:hint="cs"/>
          <w:sz w:val="27"/>
          <w:rtl/>
        </w:rPr>
        <w:t>؛</w:t>
      </w:r>
      <w:r w:rsidRPr="00282AC9">
        <w:rPr>
          <w:rFonts w:hint="cs"/>
          <w:sz w:val="27"/>
          <w:rtl/>
        </w:rPr>
        <w:t xml:space="preserve"> إذ هناك شرائط للتشريع لا يمكن أن تتوف</w:t>
      </w:r>
      <w:r w:rsidR="00791EE4" w:rsidRPr="00282AC9">
        <w:rPr>
          <w:rFonts w:hint="cs"/>
          <w:sz w:val="27"/>
          <w:rtl/>
        </w:rPr>
        <w:t>َّ</w:t>
      </w:r>
      <w:r w:rsidRPr="00282AC9">
        <w:rPr>
          <w:rFonts w:hint="cs"/>
          <w:sz w:val="27"/>
          <w:rtl/>
        </w:rPr>
        <w:t>ر إلا</w:t>
      </w:r>
      <w:r w:rsidR="00791EE4" w:rsidRPr="00282AC9">
        <w:rPr>
          <w:rFonts w:hint="cs"/>
          <w:sz w:val="27"/>
          <w:rtl/>
        </w:rPr>
        <w:t>ّ</w:t>
      </w:r>
      <w:r w:rsidRPr="00282AC9">
        <w:rPr>
          <w:rFonts w:hint="cs"/>
          <w:sz w:val="27"/>
          <w:rtl/>
        </w:rPr>
        <w:t xml:space="preserve"> في الله سبحانه وتعالى، وتلك الشرائط هي: العلم المطلق، وعدم الن</w:t>
      </w:r>
      <w:r w:rsidR="00791EE4" w:rsidRPr="00282AC9">
        <w:rPr>
          <w:rFonts w:hint="cs"/>
          <w:sz w:val="27"/>
          <w:rtl/>
        </w:rPr>
        <w:t>َّ</w:t>
      </w:r>
      <w:r w:rsidRPr="00282AC9">
        <w:rPr>
          <w:rFonts w:hint="cs"/>
          <w:sz w:val="27"/>
          <w:rtl/>
        </w:rPr>
        <w:t>ف</w:t>
      </w:r>
      <w:r w:rsidR="00791EE4" w:rsidRPr="00282AC9">
        <w:rPr>
          <w:rFonts w:hint="cs"/>
          <w:sz w:val="27"/>
          <w:rtl/>
        </w:rPr>
        <w:t>ْ</w:t>
      </w:r>
      <w:r w:rsidRPr="00282AC9">
        <w:rPr>
          <w:rFonts w:hint="cs"/>
          <w:sz w:val="27"/>
          <w:rtl/>
        </w:rPr>
        <w:t>ع والض</w:t>
      </w:r>
      <w:r w:rsidR="00791EE4" w:rsidRPr="00282AC9">
        <w:rPr>
          <w:rFonts w:hint="cs"/>
          <w:sz w:val="27"/>
          <w:rtl/>
        </w:rPr>
        <w:t>َّ</w:t>
      </w:r>
      <w:r w:rsidRPr="00282AC9">
        <w:rPr>
          <w:rFonts w:hint="cs"/>
          <w:sz w:val="27"/>
          <w:rtl/>
        </w:rPr>
        <w:t>ر</w:t>
      </w:r>
      <w:r w:rsidR="00791EE4" w:rsidRPr="00282AC9">
        <w:rPr>
          <w:rFonts w:hint="cs"/>
          <w:sz w:val="27"/>
          <w:rtl/>
        </w:rPr>
        <w:t>َ</w:t>
      </w:r>
      <w:r w:rsidRPr="00282AC9">
        <w:rPr>
          <w:rFonts w:hint="cs"/>
          <w:sz w:val="27"/>
          <w:rtl/>
        </w:rPr>
        <w:t>ر، وحق</w:t>
      </w:r>
      <w:r w:rsidR="00791EE4" w:rsidRPr="00282AC9">
        <w:rPr>
          <w:rFonts w:hint="cs"/>
          <w:sz w:val="27"/>
          <w:rtl/>
        </w:rPr>
        <w:t>ّ</w:t>
      </w:r>
      <w:r w:rsidRPr="00282AC9">
        <w:rPr>
          <w:rFonts w:hint="cs"/>
          <w:sz w:val="27"/>
          <w:rtl/>
        </w:rPr>
        <w:t xml:space="preserve"> المولوية</w:t>
      </w:r>
      <w:r w:rsidR="00791EE4" w:rsidRPr="00282AC9">
        <w:rPr>
          <w:rFonts w:hint="cs"/>
          <w:sz w:val="27"/>
          <w:rtl/>
        </w:rPr>
        <w:t>،</w:t>
      </w:r>
      <w:r w:rsidRPr="00282AC9">
        <w:rPr>
          <w:rFonts w:hint="cs"/>
          <w:sz w:val="27"/>
          <w:rtl/>
        </w:rPr>
        <w:t xml:space="preserve"> وما إلى ذلك من الشرائط والصفات الأخرى.</w:t>
      </w:r>
    </w:p>
    <w:p w:rsidR="00BC5E40" w:rsidRPr="00282AC9" w:rsidRDefault="00BC5E40" w:rsidP="00F8035C">
      <w:pPr>
        <w:spacing w:line="420" w:lineRule="exact"/>
        <w:rPr>
          <w:sz w:val="27"/>
          <w:rtl/>
        </w:rPr>
      </w:pPr>
    </w:p>
    <w:p w:rsidR="00BC5E40" w:rsidRPr="00282AC9" w:rsidRDefault="00BC5E40" w:rsidP="00664490">
      <w:pPr>
        <w:pStyle w:val="31"/>
        <w:rPr>
          <w:color w:val="auto"/>
          <w:rtl/>
        </w:rPr>
      </w:pPr>
      <w:r w:rsidRPr="00282AC9">
        <w:rPr>
          <w:rFonts w:hint="cs"/>
          <w:color w:val="auto"/>
          <w:rtl/>
        </w:rPr>
        <w:t>نقد</w:t>
      </w:r>
      <w:r w:rsidR="00791EE4" w:rsidRPr="00282AC9">
        <w:rPr>
          <w:rFonts w:hint="cs"/>
          <w:color w:val="auto"/>
          <w:rtl/>
        </w:rPr>
        <w:t>ٌ</w:t>
      </w:r>
      <w:r w:rsidRPr="00282AC9">
        <w:rPr>
          <w:rFonts w:hint="cs"/>
          <w:color w:val="auto"/>
          <w:rtl/>
        </w:rPr>
        <w:t xml:space="preserve"> </w:t>
      </w:r>
      <w:r w:rsidR="00664490" w:rsidRPr="00282AC9">
        <w:rPr>
          <w:rFonts w:hint="cs"/>
          <w:color w:val="auto"/>
          <w:rtl/>
        </w:rPr>
        <w:t>وردّ</w:t>
      </w:r>
    </w:p>
    <w:p w:rsidR="00BC5E40" w:rsidRPr="00282AC9" w:rsidRDefault="00BC5E40" w:rsidP="00BC4D37">
      <w:pPr>
        <w:rPr>
          <w:sz w:val="27"/>
          <w:rtl/>
        </w:rPr>
      </w:pPr>
      <w:r w:rsidRPr="00282AC9">
        <w:rPr>
          <w:rFonts w:hint="cs"/>
          <w:sz w:val="27"/>
          <w:rtl/>
        </w:rPr>
        <w:t>يبدو أنه حيث لم يت</w:t>
      </w:r>
      <w:r w:rsidR="00791EE4" w:rsidRPr="00282AC9">
        <w:rPr>
          <w:rFonts w:hint="cs"/>
          <w:sz w:val="27"/>
          <w:rtl/>
        </w:rPr>
        <w:t>ّ</w:t>
      </w:r>
      <w:r w:rsidRPr="00282AC9">
        <w:rPr>
          <w:rFonts w:hint="cs"/>
          <w:sz w:val="27"/>
          <w:rtl/>
        </w:rPr>
        <w:t>ضح مورد النزاع فقد تمّ الخلط بين المسائل</w:t>
      </w:r>
      <w:r w:rsidR="00791EE4" w:rsidRPr="00282AC9">
        <w:rPr>
          <w:rFonts w:hint="cs"/>
          <w:sz w:val="27"/>
          <w:rtl/>
        </w:rPr>
        <w:t>؛</w:t>
      </w:r>
      <w:r w:rsidRPr="00282AC9">
        <w:rPr>
          <w:rFonts w:hint="cs"/>
          <w:sz w:val="27"/>
          <w:rtl/>
        </w:rPr>
        <w:t xml:space="preserve"> إذ لو كان مراد الذين أنكروا الفراغ القانوني هو المعنى الأو</w:t>
      </w:r>
      <w:r w:rsidR="00791EE4" w:rsidRPr="00282AC9">
        <w:rPr>
          <w:rFonts w:hint="cs"/>
          <w:sz w:val="27"/>
          <w:rtl/>
        </w:rPr>
        <w:t>ّ</w:t>
      </w:r>
      <w:r w:rsidRPr="00282AC9">
        <w:rPr>
          <w:rFonts w:hint="cs"/>
          <w:sz w:val="27"/>
          <w:rtl/>
        </w:rPr>
        <w:t>ل كان ذلك صحيحاً، فليس هناك موضوع</w:t>
      </w:r>
      <w:r w:rsidR="00791EE4" w:rsidRPr="00282AC9">
        <w:rPr>
          <w:rFonts w:hint="cs"/>
          <w:sz w:val="27"/>
          <w:rtl/>
        </w:rPr>
        <w:t>ٌ</w:t>
      </w:r>
      <w:r w:rsidRPr="00282AC9">
        <w:rPr>
          <w:rFonts w:hint="cs"/>
          <w:sz w:val="27"/>
          <w:rtl/>
        </w:rPr>
        <w:t xml:space="preserve"> أو واقعة</w:t>
      </w:r>
      <w:r w:rsidR="00791EE4" w:rsidRPr="00282AC9">
        <w:rPr>
          <w:rFonts w:hint="cs"/>
          <w:sz w:val="27"/>
          <w:rtl/>
        </w:rPr>
        <w:t>ٌ</w:t>
      </w:r>
      <w:r w:rsidRPr="00282AC9">
        <w:rPr>
          <w:rFonts w:hint="cs"/>
          <w:sz w:val="27"/>
          <w:rtl/>
        </w:rPr>
        <w:t xml:space="preserve"> لم يتمّ بيان حكمها بشكل</w:t>
      </w:r>
      <w:r w:rsidR="00791EE4" w:rsidRPr="00282AC9">
        <w:rPr>
          <w:rFonts w:hint="cs"/>
          <w:sz w:val="27"/>
          <w:rtl/>
        </w:rPr>
        <w:t>ٍ</w:t>
      </w:r>
      <w:r w:rsidRPr="00282AC9">
        <w:rPr>
          <w:rFonts w:hint="cs"/>
          <w:sz w:val="27"/>
          <w:rtl/>
        </w:rPr>
        <w:t xml:space="preserve"> صريح</w:t>
      </w:r>
      <w:r w:rsidR="00791EE4" w:rsidRPr="00282AC9">
        <w:rPr>
          <w:rFonts w:hint="cs"/>
          <w:sz w:val="27"/>
          <w:rtl/>
        </w:rPr>
        <w:t>،</w:t>
      </w:r>
      <w:r w:rsidRPr="00282AC9">
        <w:rPr>
          <w:rFonts w:hint="cs"/>
          <w:sz w:val="27"/>
          <w:rtl/>
        </w:rPr>
        <w:t xml:space="preserve"> أو على نحو الإطلاق والعموم</w:t>
      </w:r>
      <w:r w:rsidR="00791EE4" w:rsidRPr="00282AC9">
        <w:rPr>
          <w:rFonts w:hint="cs"/>
          <w:sz w:val="27"/>
          <w:rtl/>
        </w:rPr>
        <w:t>،</w:t>
      </w:r>
      <w:r w:rsidRPr="00282AC9">
        <w:rPr>
          <w:rFonts w:hint="cs"/>
          <w:sz w:val="27"/>
          <w:rtl/>
        </w:rPr>
        <w:t xml:space="preserve"> أو من طريق الأصول العملية. وليس هناك م</w:t>
      </w:r>
      <w:r w:rsidR="00791EE4" w:rsidRPr="00282AC9">
        <w:rPr>
          <w:rFonts w:hint="cs"/>
          <w:sz w:val="27"/>
          <w:rtl/>
        </w:rPr>
        <w:t>َ</w:t>
      </w:r>
      <w:r w:rsidRPr="00282AC9">
        <w:rPr>
          <w:rFonts w:hint="cs"/>
          <w:sz w:val="27"/>
          <w:rtl/>
        </w:rPr>
        <w:t>ن</w:t>
      </w:r>
      <w:r w:rsidR="00791EE4" w:rsidRPr="00282AC9">
        <w:rPr>
          <w:rFonts w:hint="cs"/>
          <w:sz w:val="27"/>
          <w:rtl/>
        </w:rPr>
        <w:t>ْ</w:t>
      </w:r>
      <w:r w:rsidRPr="00282AC9">
        <w:rPr>
          <w:rFonts w:hint="cs"/>
          <w:sz w:val="27"/>
          <w:rtl/>
        </w:rPr>
        <w:t xml:space="preserve"> يناقش في ذلك</w:t>
      </w:r>
      <w:r w:rsidR="00791EE4" w:rsidRPr="00282AC9">
        <w:rPr>
          <w:rFonts w:hint="cs"/>
          <w:sz w:val="27"/>
          <w:rtl/>
        </w:rPr>
        <w:t>.</w:t>
      </w:r>
      <w:r w:rsidRPr="00282AC9">
        <w:rPr>
          <w:rFonts w:hint="cs"/>
          <w:sz w:val="27"/>
          <w:rtl/>
        </w:rPr>
        <w:t xml:space="preserve"> فحت</w:t>
      </w:r>
      <w:r w:rsidR="00791EE4" w:rsidRPr="00282AC9">
        <w:rPr>
          <w:rFonts w:hint="cs"/>
          <w:sz w:val="27"/>
          <w:rtl/>
        </w:rPr>
        <w:t>ّ</w:t>
      </w:r>
      <w:r w:rsidRPr="00282AC9">
        <w:rPr>
          <w:rFonts w:hint="cs"/>
          <w:sz w:val="27"/>
          <w:rtl/>
        </w:rPr>
        <w:t>ى أصحاب نظرية الفراغ القانوني يؤمنون بهذا المعنى، وإلا</w:t>
      </w:r>
      <w:r w:rsidR="00791EE4" w:rsidRPr="00282AC9">
        <w:rPr>
          <w:rFonts w:hint="cs"/>
          <w:sz w:val="27"/>
          <w:rtl/>
        </w:rPr>
        <w:t>ّ</w:t>
      </w:r>
      <w:r w:rsidRPr="00282AC9">
        <w:rPr>
          <w:rFonts w:hint="cs"/>
          <w:sz w:val="27"/>
          <w:rtl/>
        </w:rPr>
        <w:t xml:space="preserve"> فإنه سي</w:t>
      </w:r>
      <w:r w:rsidR="00791EE4" w:rsidRPr="00282AC9">
        <w:rPr>
          <w:rFonts w:hint="cs"/>
          <w:sz w:val="27"/>
          <w:rtl/>
        </w:rPr>
        <w:t>َ</w:t>
      </w:r>
      <w:r w:rsidRPr="00282AC9">
        <w:rPr>
          <w:rFonts w:hint="cs"/>
          <w:sz w:val="27"/>
          <w:rtl/>
        </w:rPr>
        <w:t>ر</w:t>
      </w:r>
      <w:r w:rsidR="00791EE4" w:rsidRPr="00282AC9">
        <w:rPr>
          <w:rFonts w:hint="cs"/>
          <w:sz w:val="27"/>
          <w:rtl/>
        </w:rPr>
        <w:t>ِ</w:t>
      </w:r>
      <w:r w:rsidRPr="00282AC9">
        <w:rPr>
          <w:rFonts w:hint="cs"/>
          <w:sz w:val="27"/>
          <w:rtl/>
        </w:rPr>
        <w:t>د</w:t>
      </w:r>
      <w:r w:rsidR="00791EE4" w:rsidRPr="00282AC9">
        <w:rPr>
          <w:rFonts w:hint="cs"/>
          <w:sz w:val="27"/>
          <w:rtl/>
        </w:rPr>
        <w:t>ُ</w:t>
      </w:r>
      <w:r w:rsidRPr="00282AC9">
        <w:rPr>
          <w:rFonts w:hint="cs"/>
          <w:sz w:val="27"/>
          <w:rtl/>
        </w:rPr>
        <w:t xml:space="preserve"> التشكيك في جامعي</w:t>
      </w:r>
      <w:r w:rsidR="00791EE4" w:rsidRPr="00282AC9">
        <w:rPr>
          <w:rFonts w:hint="cs"/>
          <w:sz w:val="27"/>
          <w:rtl/>
        </w:rPr>
        <w:t>ّ</w:t>
      </w:r>
      <w:r w:rsidRPr="00282AC9">
        <w:rPr>
          <w:rFonts w:hint="cs"/>
          <w:sz w:val="27"/>
          <w:rtl/>
        </w:rPr>
        <w:t>ة الإسلام وشمولي</w:t>
      </w:r>
      <w:r w:rsidR="00791EE4" w:rsidRPr="00282AC9">
        <w:rPr>
          <w:rFonts w:hint="cs"/>
          <w:sz w:val="27"/>
          <w:rtl/>
        </w:rPr>
        <w:t>ّ</w:t>
      </w:r>
      <w:r w:rsidRPr="00282AC9">
        <w:rPr>
          <w:rFonts w:hint="cs"/>
          <w:sz w:val="27"/>
          <w:rtl/>
        </w:rPr>
        <w:t>ته.</w:t>
      </w:r>
    </w:p>
    <w:p w:rsidR="00BC5E40" w:rsidRPr="00282AC9" w:rsidRDefault="00BC5E40" w:rsidP="00BC4D37">
      <w:pPr>
        <w:rPr>
          <w:sz w:val="27"/>
          <w:rtl/>
        </w:rPr>
      </w:pPr>
      <w:r w:rsidRPr="00282AC9">
        <w:rPr>
          <w:rFonts w:hint="cs"/>
          <w:sz w:val="27"/>
          <w:rtl/>
        </w:rPr>
        <w:t>إن الفراغ القانوني المقبول من ق</w:t>
      </w:r>
      <w:r w:rsidR="00791EE4" w:rsidRPr="00282AC9">
        <w:rPr>
          <w:rFonts w:hint="cs"/>
          <w:sz w:val="27"/>
          <w:rtl/>
        </w:rPr>
        <w:t>ِ</w:t>
      </w:r>
      <w:r w:rsidRPr="00282AC9">
        <w:rPr>
          <w:rFonts w:hint="cs"/>
          <w:sz w:val="27"/>
          <w:rtl/>
        </w:rPr>
        <w:t>ب</w:t>
      </w:r>
      <w:r w:rsidR="00791EE4" w:rsidRPr="00282AC9">
        <w:rPr>
          <w:rFonts w:hint="cs"/>
          <w:sz w:val="27"/>
          <w:rtl/>
        </w:rPr>
        <w:t>َ</w:t>
      </w:r>
      <w:r w:rsidRPr="00282AC9">
        <w:rPr>
          <w:rFonts w:hint="cs"/>
          <w:sz w:val="27"/>
          <w:rtl/>
        </w:rPr>
        <w:t>ل بعض العلماء الكبار عبارة</w:t>
      </w:r>
      <w:r w:rsidR="00791EE4" w:rsidRPr="00282AC9">
        <w:rPr>
          <w:rFonts w:hint="cs"/>
          <w:sz w:val="27"/>
          <w:rtl/>
        </w:rPr>
        <w:t>ٌ</w:t>
      </w:r>
      <w:r w:rsidRPr="00282AC9">
        <w:rPr>
          <w:rFonts w:hint="cs"/>
          <w:sz w:val="27"/>
          <w:rtl/>
        </w:rPr>
        <w:t xml:space="preserve"> عن أن الله سبحانه وتعالى </w:t>
      </w:r>
      <w:r w:rsidR="008D7501" w:rsidRPr="00282AC9">
        <w:rPr>
          <w:rFonts w:hint="cs"/>
          <w:sz w:val="27"/>
          <w:rtl/>
        </w:rPr>
        <w:t>كما</w:t>
      </w:r>
      <w:r w:rsidRPr="00282AC9">
        <w:rPr>
          <w:rFonts w:hint="cs"/>
          <w:sz w:val="27"/>
          <w:rtl/>
        </w:rPr>
        <w:t xml:space="preserve"> بيّ</w:t>
      </w:r>
      <w:r w:rsidR="00791EE4" w:rsidRPr="00282AC9">
        <w:rPr>
          <w:rFonts w:hint="cs"/>
          <w:sz w:val="27"/>
          <w:rtl/>
        </w:rPr>
        <w:t>َ</w:t>
      </w:r>
      <w:r w:rsidRPr="00282AC9">
        <w:rPr>
          <w:rFonts w:hint="cs"/>
          <w:sz w:val="27"/>
          <w:rtl/>
        </w:rPr>
        <w:t>ن أحكام بعض الموضوعات بنفسه على نحو</w:t>
      </w:r>
      <w:r w:rsidR="00791EE4" w:rsidRPr="00282AC9">
        <w:rPr>
          <w:rFonts w:hint="cs"/>
          <w:sz w:val="27"/>
          <w:rtl/>
        </w:rPr>
        <w:t>ٍ</w:t>
      </w:r>
      <w:r w:rsidRPr="00282AC9">
        <w:rPr>
          <w:rFonts w:hint="cs"/>
          <w:sz w:val="27"/>
          <w:rtl/>
        </w:rPr>
        <w:t xml:space="preserve"> صريح</w:t>
      </w:r>
      <w:r w:rsidR="00791EE4" w:rsidRPr="00282AC9">
        <w:rPr>
          <w:rFonts w:hint="cs"/>
          <w:sz w:val="27"/>
          <w:rtl/>
        </w:rPr>
        <w:t>،</w:t>
      </w:r>
      <w:r w:rsidRPr="00282AC9">
        <w:rPr>
          <w:rFonts w:hint="cs"/>
          <w:sz w:val="27"/>
          <w:rtl/>
        </w:rPr>
        <w:t xml:space="preserve"> أو على نحو الإطلاق أو العموم، فقد ترك بيان حكم بعض الموضوعات الأخرى ـ و</w:t>
      </w:r>
      <w:r w:rsidR="00674EF5" w:rsidRPr="00282AC9">
        <w:rPr>
          <w:rFonts w:hint="cs"/>
          <w:sz w:val="27"/>
          <w:rtl/>
        </w:rPr>
        <w:t>لا سيَّما</w:t>
      </w:r>
      <w:r w:rsidRPr="00282AC9">
        <w:rPr>
          <w:rFonts w:hint="cs"/>
          <w:sz w:val="27"/>
          <w:rtl/>
        </w:rPr>
        <w:t xml:space="preserve"> الموضوعات المرتبطة بإدارة المجتمع</w:t>
      </w:r>
      <w:r w:rsidR="008D7501" w:rsidRPr="00282AC9">
        <w:rPr>
          <w:rFonts w:hint="cs"/>
          <w:sz w:val="27"/>
          <w:rtl/>
        </w:rPr>
        <w:t>،</w:t>
      </w:r>
      <w:r w:rsidRPr="00282AC9">
        <w:rPr>
          <w:rFonts w:hint="cs"/>
          <w:sz w:val="27"/>
          <w:rtl/>
        </w:rPr>
        <w:t xml:space="preserve"> والتي هي في معرض التغيير  ـ إلى الولي</w:t>
      </w:r>
      <w:r w:rsidR="008D7501" w:rsidRPr="00282AC9">
        <w:rPr>
          <w:rFonts w:hint="cs"/>
          <w:sz w:val="27"/>
          <w:rtl/>
        </w:rPr>
        <w:t>ّ</w:t>
      </w:r>
      <w:r w:rsidRPr="00282AC9">
        <w:rPr>
          <w:rFonts w:hint="cs"/>
          <w:sz w:val="27"/>
          <w:rtl/>
        </w:rPr>
        <w:t xml:space="preserve"> الفقيه</w:t>
      </w:r>
      <w:r w:rsidR="008D7501" w:rsidRPr="00282AC9">
        <w:rPr>
          <w:rFonts w:hint="cs"/>
          <w:sz w:val="27"/>
          <w:rtl/>
        </w:rPr>
        <w:t>،</w:t>
      </w:r>
      <w:r w:rsidRPr="00282AC9">
        <w:rPr>
          <w:rFonts w:hint="cs"/>
          <w:sz w:val="27"/>
          <w:rtl/>
        </w:rPr>
        <w:t xml:space="preserve"> وقال</w:t>
      </w:r>
      <w:r w:rsidR="008D7501" w:rsidRPr="00282AC9">
        <w:rPr>
          <w:rFonts w:hint="cs"/>
          <w:sz w:val="27"/>
          <w:rtl/>
        </w:rPr>
        <w:t>:</w:t>
      </w:r>
      <w:r w:rsidRPr="00282AC9">
        <w:rPr>
          <w:rFonts w:hint="cs"/>
          <w:sz w:val="27"/>
          <w:rtl/>
        </w:rPr>
        <w:t xml:space="preserve"> إن حكمه حكمي. وعلى هذا الأساس فإن حكم الله في هذه الموارد عبارة</w:t>
      </w:r>
      <w:r w:rsidR="00AE2AD7" w:rsidRPr="00282AC9">
        <w:rPr>
          <w:rFonts w:hint="cs"/>
          <w:sz w:val="27"/>
          <w:rtl/>
        </w:rPr>
        <w:t>ٌ</w:t>
      </w:r>
      <w:r w:rsidRPr="00282AC9">
        <w:rPr>
          <w:rFonts w:hint="cs"/>
          <w:sz w:val="27"/>
          <w:rtl/>
        </w:rPr>
        <w:t xml:space="preserve"> عن الحكم الذي يبيّ</w:t>
      </w:r>
      <w:r w:rsidR="00AE2AD7" w:rsidRPr="00282AC9">
        <w:rPr>
          <w:rFonts w:hint="cs"/>
          <w:sz w:val="27"/>
          <w:rtl/>
        </w:rPr>
        <w:t>ِ</w:t>
      </w:r>
      <w:r w:rsidRPr="00282AC9">
        <w:rPr>
          <w:rFonts w:hint="cs"/>
          <w:sz w:val="27"/>
          <w:rtl/>
        </w:rPr>
        <w:t>نه ولي</w:t>
      </w:r>
      <w:r w:rsidR="00AE2AD7" w:rsidRPr="00282AC9">
        <w:rPr>
          <w:rFonts w:hint="cs"/>
          <w:sz w:val="27"/>
          <w:rtl/>
        </w:rPr>
        <w:t>ّ</w:t>
      </w:r>
      <w:r w:rsidRPr="00282AC9">
        <w:rPr>
          <w:rFonts w:hint="cs"/>
          <w:sz w:val="27"/>
          <w:rtl/>
        </w:rPr>
        <w:t xml:space="preserve"> الأمر على أساس مصالح عامّة الناس</w:t>
      </w:r>
      <w:r w:rsidR="00AE2AD7" w:rsidRPr="00282AC9">
        <w:rPr>
          <w:rFonts w:hint="cs"/>
          <w:sz w:val="27"/>
          <w:rtl/>
        </w:rPr>
        <w:t>.</w:t>
      </w:r>
      <w:r w:rsidRPr="00282AC9">
        <w:rPr>
          <w:rFonts w:hint="cs"/>
          <w:sz w:val="27"/>
          <w:rtl/>
        </w:rPr>
        <w:t xml:space="preserve"> وإن حكم ولي</w:t>
      </w:r>
      <w:r w:rsidR="00AE2AD7" w:rsidRPr="00282AC9">
        <w:rPr>
          <w:rFonts w:hint="cs"/>
          <w:sz w:val="27"/>
          <w:rtl/>
        </w:rPr>
        <w:t>ّ</w:t>
      </w:r>
      <w:r w:rsidRPr="00282AC9">
        <w:rPr>
          <w:rFonts w:hint="cs"/>
          <w:sz w:val="27"/>
          <w:rtl/>
        </w:rPr>
        <w:t xml:space="preserve"> الأمر غير تطبيق الأحكام الإلهية الكل</w:t>
      </w:r>
      <w:r w:rsidR="00AE2AD7" w:rsidRPr="00282AC9">
        <w:rPr>
          <w:rFonts w:hint="cs"/>
          <w:sz w:val="27"/>
          <w:rtl/>
        </w:rPr>
        <w:t>ّ</w:t>
      </w:r>
      <w:r w:rsidRPr="00282AC9">
        <w:rPr>
          <w:rFonts w:hint="cs"/>
          <w:sz w:val="27"/>
          <w:rtl/>
        </w:rPr>
        <w:t>ية على المصاديق، وغير كشف الأحكام الجزئية من المطلقات والعمومات، بل كما أن حكم الله هو حكم</w:t>
      </w:r>
      <w:r w:rsidR="00AE2AD7" w:rsidRPr="00282AC9">
        <w:rPr>
          <w:rFonts w:hint="cs"/>
          <w:sz w:val="27"/>
          <w:rtl/>
        </w:rPr>
        <w:t>ٌ</w:t>
      </w:r>
      <w:r w:rsidRPr="00282AC9">
        <w:rPr>
          <w:rFonts w:hint="cs"/>
          <w:sz w:val="27"/>
          <w:rtl/>
        </w:rPr>
        <w:t xml:space="preserve"> بشكل</w:t>
      </w:r>
      <w:r w:rsidR="00AE2AD7" w:rsidRPr="00282AC9">
        <w:rPr>
          <w:rFonts w:hint="cs"/>
          <w:sz w:val="27"/>
          <w:rtl/>
        </w:rPr>
        <w:t>ٍ</w:t>
      </w:r>
      <w:r w:rsidRPr="00282AC9">
        <w:rPr>
          <w:rFonts w:hint="cs"/>
          <w:sz w:val="27"/>
          <w:rtl/>
        </w:rPr>
        <w:t xml:space="preserve"> مستقل</w:t>
      </w:r>
      <w:r w:rsidR="00AE2AD7" w:rsidRPr="00282AC9">
        <w:rPr>
          <w:rFonts w:hint="cs"/>
          <w:sz w:val="27"/>
          <w:rtl/>
        </w:rPr>
        <w:t>ّ</w:t>
      </w:r>
      <w:r w:rsidRPr="00282AC9">
        <w:rPr>
          <w:rFonts w:hint="cs"/>
          <w:sz w:val="27"/>
          <w:rtl/>
        </w:rPr>
        <w:t xml:space="preserve">، فإن </w:t>
      </w:r>
      <w:r w:rsidRPr="00282AC9">
        <w:rPr>
          <w:rFonts w:hint="cs"/>
          <w:sz w:val="27"/>
          <w:rtl/>
        </w:rPr>
        <w:lastRenderedPageBreak/>
        <w:t>حكم ولي</w:t>
      </w:r>
      <w:r w:rsidR="00AE2AD7" w:rsidRPr="00282AC9">
        <w:rPr>
          <w:rFonts w:hint="cs"/>
          <w:sz w:val="27"/>
          <w:rtl/>
        </w:rPr>
        <w:t>ّ</w:t>
      </w:r>
      <w:r w:rsidRPr="00282AC9">
        <w:rPr>
          <w:rFonts w:hint="cs"/>
          <w:sz w:val="27"/>
          <w:rtl/>
        </w:rPr>
        <w:t xml:space="preserve"> الأمر حكم</w:t>
      </w:r>
      <w:r w:rsidR="00AE2AD7" w:rsidRPr="00282AC9">
        <w:rPr>
          <w:rFonts w:hint="cs"/>
          <w:sz w:val="27"/>
          <w:rtl/>
        </w:rPr>
        <w:t>ٌ</w:t>
      </w:r>
      <w:r w:rsidRPr="00282AC9">
        <w:rPr>
          <w:rFonts w:hint="cs"/>
          <w:sz w:val="27"/>
          <w:rtl/>
        </w:rPr>
        <w:t xml:space="preserve"> بشكل</w:t>
      </w:r>
      <w:r w:rsidR="00AE2AD7" w:rsidRPr="00282AC9">
        <w:rPr>
          <w:rFonts w:hint="cs"/>
          <w:sz w:val="27"/>
          <w:rtl/>
        </w:rPr>
        <w:t>ٍ</w:t>
      </w:r>
      <w:r w:rsidRPr="00282AC9">
        <w:rPr>
          <w:rFonts w:hint="cs"/>
          <w:sz w:val="27"/>
          <w:rtl/>
        </w:rPr>
        <w:t xml:space="preserve"> مستقل</w:t>
      </w:r>
      <w:r w:rsidR="00AE2AD7" w:rsidRPr="00282AC9">
        <w:rPr>
          <w:rFonts w:hint="cs"/>
          <w:sz w:val="27"/>
          <w:rtl/>
        </w:rPr>
        <w:t>ّ</w:t>
      </w:r>
      <w:r w:rsidRPr="00282AC9">
        <w:rPr>
          <w:rFonts w:hint="cs"/>
          <w:sz w:val="27"/>
          <w:rtl/>
        </w:rPr>
        <w:t>، ولكن</w:t>
      </w:r>
      <w:r w:rsidR="00AE2AD7" w:rsidRPr="00282AC9">
        <w:rPr>
          <w:rFonts w:hint="cs"/>
          <w:sz w:val="27"/>
          <w:rtl/>
        </w:rPr>
        <w:t>ْ</w:t>
      </w:r>
      <w:r w:rsidRPr="00282AC9">
        <w:rPr>
          <w:rFonts w:hint="cs"/>
          <w:sz w:val="27"/>
          <w:rtl/>
        </w:rPr>
        <w:t xml:space="preserve"> بإذن وإمضاء الله في الموارد الخاص</w:t>
      </w:r>
      <w:r w:rsidR="00AE2AD7" w:rsidRPr="00282AC9">
        <w:rPr>
          <w:rFonts w:hint="cs"/>
          <w:sz w:val="27"/>
          <w:rtl/>
        </w:rPr>
        <w:t>ّ</w:t>
      </w:r>
      <w:r w:rsidRPr="00282AC9">
        <w:rPr>
          <w:rFonts w:hint="cs"/>
          <w:sz w:val="27"/>
          <w:rtl/>
        </w:rPr>
        <w:t>ة.</w:t>
      </w:r>
    </w:p>
    <w:p w:rsidR="00BC5E40" w:rsidRPr="00282AC9" w:rsidRDefault="00BC5E40" w:rsidP="00075DE8">
      <w:pPr>
        <w:spacing w:line="416" w:lineRule="exact"/>
        <w:rPr>
          <w:sz w:val="27"/>
          <w:rtl/>
        </w:rPr>
      </w:pPr>
      <w:r w:rsidRPr="00282AC9">
        <w:rPr>
          <w:rFonts w:hint="cs"/>
          <w:sz w:val="27"/>
          <w:rtl/>
        </w:rPr>
        <w:t>إن هذا التفسير للفراغ القانوني ـ والذي من الأفضل أن نسم</w:t>
      </w:r>
      <w:r w:rsidR="00AE2AD7" w:rsidRPr="00282AC9">
        <w:rPr>
          <w:rFonts w:hint="cs"/>
          <w:sz w:val="27"/>
          <w:rtl/>
        </w:rPr>
        <w:t>ّ</w:t>
      </w:r>
      <w:r w:rsidRPr="00282AC9">
        <w:rPr>
          <w:rFonts w:hint="cs"/>
          <w:sz w:val="27"/>
          <w:rtl/>
        </w:rPr>
        <w:t xml:space="preserve">يه </w:t>
      </w:r>
      <w:r w:rsidR="00AE2AD7" w:rsidRPr="00282AC9">
        <w:rPr>
          <w:rFonts w:hint="cs"/>
          <w:sz w:val="27"/>
          <w:rtl/>
        </w:rPr>
        <w:t>(صلاحية</w:t>
      </w:r>
      <w:r w:rsidRPr="00282AC9">
        <w:rPr>
          <w:rFonts w:hint="cs"/>
          <w:sz w:val="27"/>
          <w:rtl/>
        </w:rPr>
        <w:t xml:space="preserve"> تشريع الحاكم</w:t>
      </w:r>
      <w:r w:rsidR="00AE2AD7" w:rsidRPr="00282AC9">
        <w:rPr>
          <w:rFonts w:hint="cs"/>
          <w:sz w:val="27"/>
          <w:rtl/>
        </w:rPr>
        <w:t>)</w:t>
      </w:r>
      <w:r w:rsidRPr="00282AC9">
        <w:rPr>
          <w:rFonts w:hint="cs"/>
          <w:sz w:val="27"/>
          <w:rtl/>
        </w:rPr>
        <w:t xml:space="preserve"> ـ لا يتنافى مع أي</w:t>
      </w:r>
      <w:r w:rsidR="00AE2AD7" w:rsidRPr="00282AC9">
        <w:rPr>
          <w:rFonts w:hint="cs"/>
          <w:sz w:val="27"/>
          <w:rtl/>
        </w:rPr>
        <w:t>ٍّ</w:t>
      </w:r>
      <w:r w:rsidRPr="00282AC9">
        <w:rPr>
          <w:rFonts w:hint="cs"/>
          <w:sz w:val="27"/>
          <w:rtl/>
        </w:rPr>
        <w:t xml:space="preserve"> من الأدلة المقامة على ن</w:t>
      </w:r>
      <w:r w:rsidR="00AE2AD7" w:rsidRPr="00282AC9">
        <w:rPr>
          <w:rFonts w:hint="cs"/>
          <w:sz w:val="27"/>
          <w:rtl/>
        </w:rPr>
        <w:t>َ</w:t>
      </w:r>
      <w:r w:rsidRPr="00282AC9">
        <w:rPr>
          <w:rFonts w:hint="cs"/>
          <w:sz w:val="27"/>
          <w:rtl/>
        </w:rPr>
        <w:t>ف</w:t>
      </w:r>
      <w:r w:rsidR="00AE2AD7" w:rsidRPr="00282AC9">
        <w:rPr>
          <w:rFonts w:hint="cs"/>
          <w:sz w:val="27"/>
          <w:rtl/>
        </w:rPr>
        <w:t>ْ</w:t>
      </w:r>
      <w:r w:rsidRPr="00282AC9">
        <w:rPr>
          <w:rFonts w:hint="cs"/>
          <w:sz w:val="27"/>
          <w:rtl/>
        </w:rPr>
        <w:t>يه.</w:t>
      </w:r>
    </w:p>
    <w:p w:rsidR="00BC5E40" w:rsidRPr="00282AC9" w:rsidRDefault="00BC5E40" w:rsidP="00075DE8">
      <w:pPr>
        <w:spacing w:line="416" w:lineRule="exact"/>
        <w:rPr>
          <w:sz w:val="27"/>
          <w:rtl/>
        </w:rPr>
      </w:pPr>
      <w:r w:rsidRPr="00282AC9">
        <w:rPr>
          <w:rFonts w:hint="cs"/>
          <w:sz w:val="27"/>
          <w:rtl/>
        </w:rPr>
        <w:t>وأما الروايات الدال</w:t>
      </w:r>
      <w:r w:rsidR="00AE2AD7" w:rsidRPr="00282AC9">
        <w:rPr>
          <w:rFonts w:hint="cs"/>
          <w:sz w:val="27"/>
          <w:rtl/>
        </w:rPr>
        <w:t>ّ</w:t>
      </w:r>
      <w:r w:rsidRPr="00282AC9">
        <w:rPr>
          <w:rFonts w:hint="cs"/>
          <w:sz w:val="27"/>
          <w:rtl/>
        </w:rPr>
        <w:t>ة على بيان جميع الأحكام من ق</w:t>
      </w:r>
      <w:r w:rsidR="00AE2AD7" w:rsidRPr="00282AC9">
        <w:rPr>
          <w:rFonts w:hint="cs"/>
          <w:sz w:val="27"/>
          <w:rtl/>
        </w:rPr>
        <w:t>ِ</w:t>
      </w:r>
      <w:r w:rsidRPr="00282AC9">
        <w:rPr>
          <w:rFonts w:hint="cs"/>
          <w:sz w:val="27"/>
          <w:rtl/>
        </w:rPr>
        <w:t>ب</w:t>
      </w:r>
      <w:r w:rsidR="00AE2AD7" w:rsidRPr="00282AC9">
        <w:rPr>
          <w:rFonts w:hint="cs"/>
          <w:sz w:val="27"/>
          <w:rtl/>
        </w:rPr>
        <w:t>َ</w:t>
      </w:r>
      <w:r w:rsidRPr="00282AC9">
        <w:rPr>
          <w:rFonts w:hint="cs"/>
          <w:sz w:val="27"/>
          <w:rtl/>
        </w:rPr>
        <w:t>ل الله سبحانه وتعالى</w:t>
      </w:r>
      <w:r w:rsidR="00AE2AD7" w:rsidRPr="00282AC9">
        <w:rPr>
          <w:rFonts w:hint="cs"/>
          <w:sz w:val="27"/>
          <w:rtl/>
        </w:rPr>
        <w:t xml:space="preserve">، </w:t>
      </w:r>
      <w:r w:rsidRPr="00282AC9">
        <w:rPr>
          <w:rFonts w:hint="cs"/>
          <w:sz w:val="27"/>
          <w:rtl/>
        </w:rPr>
        <w:t>حت</w:t>
      </w:r>
      <w:r w:rsidR="00AE2AD7" w:rsidRPr="00282AC9">
        <w:rPr>
          <w:rFonts w:hint="cs"/>
          <w:sz w:val="27"/>
          <w:rtl/>
        </w:rPr>
        <w:t>ّ</w:t>
      </w:r>
      <w:r w:rsidRPr="00282AC9">
        <w:rPr>
          <w:rFonts w:hint="cs"/>
          <w:sz w:val="27"/>
          <w:rtl/>
        </w:rPr>
        <w:t>ى الأرش في الخدش، فهي لا تتنافى مع هذا المعنى من الفراغ القانوني</w:t>
      </w:r>
      <w:r w:rsidR="00AE2AD7" w:rsidRPr="00282AC9">
        <w:rPr>
          <w:rFonts w:hint="cs"/>
          <w:sz w:val="27"/>
          <w:rtl/>
        </w:rPr>
        <w:t>؛</w:t>
      </w:r>
      <w:r w:rsidRPr="00282AC9">
        <w:rPr>
          <w:rFonts w:hint="cs"/>
          <w:sz w:val="27"/>
          <w:rtl/>
        </w:rPr>
        <w:t xml:space="preserve"> لأن نفوذ وحج</w:t>
      </w:r>
      <w:r w:rsidR="00AE2AD7" w:rsidRPr="00282AC9">
        <w:rPr>
          <w:rFonts w:hint="cs"/>
          <w:sz w:val="27"/>
          <w:rtl/>
        </w:rPr>
        <w:t>ّ</w:t>
      </w:r>
      <w:r w:rsidRPr="00282AC9">
        <w:rPr>
          <w:rFonts w:hint="cs"/>
          <w:sz w:val="27"/>
          <w:rtl/>
        </w:rPr>
        <w:t>ية حكم الحاكم في بعض الموارد إنما هو في الواقع بمنزلة بيان الحكم في تلك الموارد من ق</w:t>
      </w:r>
      <w:r w:rsidR="00AE2AD7" w:rsidRPr="00282AC9">
        <w:rPr>
          <w:rFonts w:hint="cs"/>
          <w:sz w:val="27"/>
          <w:rtl/>
        </w:rPr>
        <w:t>ِ</w:t>
      </w:r>
      <w:r w:rsidRPr="00282AC9">
        <w:rPr>
          <w:rFonts w:hint="cs"/>
          <w:sz w:val="27"/>
          <w:rtl/>
        </w:rPr>
        <w:t>ب</w:t>
      </w:r>
      <w:r w:rsidR="00AE2AD7" w:rsidRPr="00282AC9">
        <w:rPr>
          <w:rFonts w:hint="cs"/>
          <w:sz w:val="27"/>
          <w:rtl/>
        </w:rPr>
        <w:t>َ</w:t>
      </w:r>
      <w:r w:rsidRPr="00282AC9">
        <w:rPr>
          <w:rFonts w:hint="cs"/>
          <w:sz w:val="27"/>
          <w:rtl/>
        </w:rPr>
        <w:t>ل الله تعالى، و</w:t>
      </w:r>
      <w:r w:rsidR="00AE2AD7" w:rsidRPr="00282AC9">
        <w:rPr>
          <w:rFonts w:hint="cs"/>
          <w:sz w:val="27"/>
          <w:rtl/>
        </w:rPr>
        <w:t>إ</w:t>
      </w:r>
      <w:r w:rsidRPr="00282AC9">
        <w:rPr>
          <w:rFonts w:hint="cs"/>
          <w:sz w:val="27"/>
          <w:rtl/>
        </w:rPr>
        <w:t>ن حكم الحاكم إنما هو بإذن وإرادة الله</w:t>
      </w:r>
      <w:r w:rsidR="00AE2AD7" w:rsidRPr="00282AC9">
        <w:rPr>
          <w:rFonts w:hint="cs"/>
          <w:sz w:val="27"/>
          <w:rtl/>
        </w:rPr>
        <w:t>،</w:t>
      </w:r>
      <w:r w:rsidRPr="00282AC9">
        <w:rPr>
          <w:rFonts w:hint="cs"/>
          <w:sz w:val="27"/>
          <w:rtl/>
        </w:rPr>
        <w:t xml:space="preserve"> واعتبار وحج</w:t>
      </w:r>
      <w:r w:rsidR="00AE2AD7" w:rsidRPr="00282AC9">
        <w:rPr>
          <w:rFonts w:hint="cs"/>
          <w:sz w:val="27"/>
          <w:rtl/>
        </w:rPr>
        <w:t>ّ</w:t>
      </w:r>
      <w:r w:rsidRPr="00282AC9">
        <w:rPr>
          <w:rFonts w:hint="cs"/>
          <w:sz w:val="27"/>
          <w:rtl/>
        </w:rPr>
        <w:t>ية حكم الحاكم من الأحكام الأو</w:t>
      </w:r>
      <w:r w:rsidR="00AE2AD7" w:rsidRPr="00282AC9">
        <w:rPr>
          <w:rFonts w:hint="cs"/>
          <w:sz w:val="27"/>
          <w:rtl/>
        </w:rPr>
        <w:t>ّ</w:t>
      </w:r>
      <w:r w:rsidRPr="00282AC9">
        <w:rPr>
          <w:rFonts w:hint="cs"/>
          <w:sz w:val="27"/>
          <w:rtl/>
        </w:rPr>
        <w:t>لية الإلهية.</w:t>
      </w:r>
    </w:p>
    <w:p w:rsidR="00BC5E40" w:rsidRPr="00282AC9" w:rsidRDefault="00BC5E40" w:rsidP="00075DE8">
      <w:pPr>
        <w:spacing w:line="416" w:lineRule="exact"/>
        <w:rPr>
          <w:sz w:val="27"/>
          <w:rtl/>
        </w:rPr>
      </w:pPr>
      <w:r w:rsidRPr="00282AC9">
        <w:rPr>
          <w:rFonts w:hint="cs"/>
          <w:sz w:val="27"/>
          <w:rtl/>
        </w:rPr>
        <w:t xml:space="preserve">قال الإمام الخميني: </w:t>
      </w:r>
      <w:r w:rsidRPr="00282AC9">
        <w:rPr>
          <w:rFonts w:hint="eastAsia"/>
          <w:sz w:val="24"/>
          <w:szCs w:val="24"/>
          <w:rtl/>
        </w:rPr>
        <w:t>«</w:t>
      </w:r>
      <w:r w:rsidRPr="00282AC9">
        <w:rPr>
          <w:rFonts w:hint="cs"/>
          <w:sz w:val="27"/>
          <w:rtl/>
        </w:rPr>
        <w:t>إن الحكومة التي هي فرع</w:t>
      </w:r>
      <w:r w:rsidR="00AE2AD7" w:rsidRPr="00282AC9">
        <w:rPr>
          <w:rFonts w:hint="cs"/>
          <w:sz w:val="27"/>
          <w:rtl/>
        </w:rPr>
        <w:t>ٌ</w:t>
      </w:r>
      <w:r w:rsidRPr="00282AC9">
        <w:rPr>
          <w:rFonts w:hint="cs"/>
          <w:sz w:val="27"/>
          <w:rtl/>
        </w:rPr>
        <w:t xml:space="preserve"> عن الولاية المطلقة لرسول الله</w:t>
      </w:r>
      <w:r w:rsidR="009A2A04" w:rsidRPr="00282AC9">
        <w:rPr>
          <w:rFonts w:cs="Mosawi" w:hint="cs"/>
          <w:sz w:val="22"/>
          <w:szCs w:val="22"/>
          <w:rtl/>
        </w:rPr>
        <w:t>|</w:t>
      </w:r>
      <w:r w:rsidRPr="00282AC9">
        <w:rPr>
          <w:rFonts w:hint="cs"/>
          <w:sz w:val="27"/>
          <w:rtl/>
        </w:rPr>
        <w:t xml:space="preserve"> واحدة</w:t>
      </w:r>
      <w:r w:rsidR="00AE2AD7" w:rsidRPr="00282AC9">
        <w:rPr>
          <w:rFonts w:hint="cs"/>
          <w:sz w:val="27"/>
          <w:rtl/>
        </w:rPr>
        <w:t>ٌ</w:t>
      </w:r>
      <w:r w:rsidRPr="00282AC9">
        <w:rPr>
          <w:rFonts w:hint="cs"/>
          <w:sz w:val="27"/>
          <w:rtl/>
        </w:rPr>
        <w:t xml:space="preserve"> من الأحكام الأو</w:t>
      </w:r>
      <w:r w:rsidR="00AE2AD7" w:rsidRPr="00282AC9">
        <w:rPr>
          <w:rFonts w:hint="cs"/>
          <w:sz w:val="27"/>
          <w:rtl/>
        </w:rPr>
        <w:t>ّ</w:t>
      </w:r>
      <w:r w:rsidRPr="00282AC9">
        <w:rPr>
          <w:rFonts w:hint="cs"/>
          <w:sz w:val="27"/>
          <w:rtl/>
        </w:rPr>
        <w:t>لية في الإسلام، وهي مقد</w:t>
      </w:r>
      <w:r w:rsidR="00AE2AD7" w:rsidRPr="00282AC9">
        <w:rPr>
          <w:rFonts w:hint="cs"/>
          <w:sz w:val="27"/>
          <w:rtl/>
        </w:rPr>
        <w:t>َّ</w:t>
      </w:r>
      <w:r w:rsidRPr="00282AC9">
        <w:rPr>
          <w:rFonts w:hint="cs"/>
          <w:sz w:val="27"/>
          <w:rtl/>
        </w:rPr>
        <w:t>مة</w:t>
      </w:r>
      <w:r w:rsidR="00AE2AD7" w:rsidRPr="00282AC9">
        <w:rPr>
          <w:rFonts w:hint="cs"/>
          <w:sz w:val="27"/>
          <w:rtl/>
        </w:rPr>
        <w:t>ٌ</w:t>
      </w:r>
      <w:r w:rsidRPr="00282AC9">
        <w:rPr>
          <w:rFonts w:hint="cs"/>
          <w:sz w:val="27"/>
          <w:rtl/>
        </w:rPr>
        <w:t xml:space="preserve"> على جميع الأحكام الفرعية، بما في ذلك الصلاة والصوم والحج</w:t>
      </w:r>
      <w:r w:rsidR="00AE2AD7"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42"/>
      </w:r>
      <w:r w:rsidRPr="00282AC9">
        <w:rPr>
          <w:sz w:val="27"/>
          <w:vertAlign w:val="superscript"/>
          <w:rtl/>
        </w:rPr>
        <w:t>)</w:t>
      </w:r>
      <w:r w:rsidRPr="00282AC9">
        <w:rPr>
          <w:rFonts w:hint="cs"/>
          <w:sz w:val="27"/>
          <w:rtl/>
        </w:rPr>
        <w:t>.</w:t>
      </w:r>
    </w:p>
    <w:p w:rsidR="00BC5E40" w:rsidRPr="00282AC9" w:rsidRDefault="00BC5E40" w:rsidP="00075DE8">
      <w:pPr>
        <w:spacing w:line="416" w:lineRule="exact"/>
        <w:rPr>
          <w:sz w:val="27"/>
          <w:rtl/>
        </w:rPr>
      </w:pPr>
      <w:r w:rsidRPr="00282AC9">
        <w:rPr>
          <w:rFonts w:hint="cs"/>
          <w:sz w:val="27"/>
          <w:rtl/>
        </w:rPr>
        <w:t>وكذلك الروايات الدال</w:t>
      </w:r>
      <w:r w:rsidR="00AD290D" w:rsidRPr="00282AC9">
        <w:rPr>
          <w:rFonts w:hint="cs"/>
          <w:sz w:val="27"/>
          <w:rtl/>
        </w:rPr>
        <w:t>ّ</w:t>
      </w:r>
      <w:r w:rsidRPr="00282AC9">
        <w:rPr>
          <w:rFonts w:hint="cs"/>
          <w:sz w:val="27"/>
          <w:rtl/>
        </w:rPr>
        <w:t>ة على أن حلال الله وحرامه باق</w:t>
      </w:r>
      <w:r w:rsidR="00087A80" w:rsidRPr="00282AC9">
        <w:rPr>
          <w:rFonts w:hint="cs"/>
          <w:sz w:val="27"/>
          <w:rtl/>
        </w:rPr>
        <w:t>ٍ</w:t>
      </w:r>
      <w:r w:rsidRPr="00282AC9">
        <w:rPr>
          <w:rFonts w:hint="cs"/>
          <w:sz w:val="27"/>
          <w:rtl/>
        </w:rPr>
        <w:t xml:space="preserve"> إلى يوم القيامة لا تتنافى مع هذا المعنى من الفراغ القانوني؛ لأن </w:t>
      </w:r>
      <w:r w:rsidR="00087A80" w:rsidRPr="00282AC9">
        <w:rPr>
          <w:rFonts w:hint="cs"/>
          <w:sz w:val="27"/>
          <w:rtl/>
        </w:rPr>
        <w:t>صلاحية</w:t>
      </w:r>
      <w:r w:rsidRPr="00282AC9">
        <w:rPr>
          <w:rFonts w:hint="cs"/>
          <w:sz w:val="27"/>
          <w:rtl/>
        </w:rPr>
        <w:t xml:space="preserve"> ولي</w:t>
      </w:r>
      <w:r w:rsidR="00087A80" w:rsidRPr="00282AC9">
        <w:rPr>
          <w:rFonts w:hint="cs"/>
          <w:sz w:val="27"/>
          <w:rtl/>
        </w:rPr>
        <w:t>ّ</w:t>
      </w:r>
      <w:r w:rsidRPr="00282AC9">
        <w:rPr>
          <w:rFonts w:hint="cs"/>
          <w:sz w:val="27"/>
          <w:rtl/>
        </w:rPr>
        <w:t xml:space="preserve"> الأمر </w:t>
      </w:r>
      <w:r w:rsidR="00087A80" w:rsidRPr="00282AC9">
        <w:rPr>
          <w:rFonts w:hint="cs"/>
          <w:sz w:val="27"/>
          <w:rtl/>
        </w:rPr>
        <w:t>ل</w:t>
      </w:r>
      <w:r w:rsidRPr="00282AC9">
        <w:rPr>
          <w:rFonts w:hint="cs"/>
          <w:sz w:val="27"/>
          <w:rtl/>
        </w:rPr>
        <w:t>جعل الحكم الولائي هو من الأحكام المجعولة من ق</w:t>
      </w:r>
      <w:r w:rsidR="00087A80" w:rsidRPr="00282AC9">
        <w:rPr>
          <w:rFonts w:hint="cs"/>
          <w:sz w:val="27"/>
          <w:rtl/>
        </w:rPr>
        <w:t>ِ</w:t>
      </w:r>
      <w:r w:rsidRPr="00282AC9">
        <w:rPr>
          <w:rFonts w:hint="cs"/>
          <w:sz w:val="27"/>
          <w:rtl/>
        </w:rPr>
        <w:t>ب</w:t>
      </w:r>
      <w:r w:rsidR="00087A80" w:rsidRPr="00282AC9">
        <w:rPr>
          <w:rFonts w:hint="cs"/>
          <w:sz w:val="27"/>
          <w:rtl/>
        </w:rPr>
        <w:t>َ</w:t>
      </w:r>
      <w:r w:rsidRPr="00282AC9">
        <w:rPr>
          <w:rFonts w:hint="cs"/>
          <w:sz w:val="27"/>
          <w:rtl/>
        </w:rPr>
        <w:t>ل الشارع أيضاً، وباق</w:t>
      </w:r>
      <w:r w:rsidR="00087A80" w:rsidRPr="00282AC9">
        <w:rPr>
          <w:rFonts w:hint="cs"/>
          <w:sz w:val="27"/>
          <w:rtl/>
        </w:rPr>
        <w:t>ٍ</w:t>
      </w:r>
      <w:r w:rsidRPr="00282AC9">
        <w:rPr>
          <w:rFonts w:hint="cs"/>
          <w:sz w:val="27"/>
          <w:rtl/>
        </w:rPr>
        <w:t xml:space="preserve"> إلى يوم القيامة، ولا يتنافى مع خلود الأحكام الإلهي</w:t>
      </w:r>
      <w:r w:rsidR="00087A80" w:rsidRPr="00282AC9">
        <w:rPr>
          <w:rFonts w:hint="cs"/>
          <w:sz w:val="27"/>
          <w:rtl/>
        </w:rPr>
        <w:t>ّ</w:t>
      </w:r>
      <w:r w:rsidRPr="00282AC9">
        <w:rPr>
          <w:rFonts w:hint="cs"/>
          <w:sz w:val="27"/>
          <w:rtl/>
        </w:rPr>
        <w:t>ة أبداً.</w:t>
      </w:r>
    </w:p>
    <w:p w:rsidR="00BC5E40" w:rsidRPr="00282AC9" w:rsidRDefault="00BC5E40" w:rsidP="00075DE8">
      <w:pPr>
        <w:spacing w:line="416" w:lineRule="exact"/>
        <w:rPr>
          <w:sz w:val="27"/>
          <w:rtl/>
        </w:rPr>
      </w:pPr>
      <w:r w:rsidRPr="00282AC9">
        <w:rPr>
          <w:rFonts w:hint="cs"/>
          <w:sz w:val="27"/>
          <w:rtl/>
        </w:rPr>
        <w:t>وبعبارة</w:t>
      </w:r>
      <w:r w:rsidR="00087A80" w:rsidRPr="00282AC9">
        <w:rPr>
          <w:rFonts w:hint="cs"/>
          <w:sz w:val="27"/>
          <w:rtl/>
        </w:rPr>
        <w:t>ٍ</w:t>
      </w:r>
      <w:r w:rsidRPr="00282AC9">
        <w:rPr>
          <w:rFonts w:hint="cs"/>
          <w:sz w:val="27"/>
          <w:rtl/>
        </w:rPr>
        <w:t xml:space="preserve"> أخرى: إن بعض الأحكام الإلهية ثابتة</w:t>
      </w:r>
      <w:r w:rsidR="00087A80" w:rsidRPr="00282AC9">
        <w:rPr>
          <w:rFonts w:hint="cs"/>
          <w:sz w:val="27"/>
          <w:rtl/>
        </w:rPr>
        <w:t>،</w:t>
      </w:r>
      <w:r w:rsidRPr="00282AC9">
        <w:rPr>
          <w:rFonts w:hint="cs"/>
          <w:sz w:val="27"/>
          <w:rtl/>
        </w:rPr>
        <w:t xml:space="preserve"> ولا يطرأ عليه التغيير والتبديل أبداً، ومن بين هذه الأحكام الثابتة </w:t>
      </w:r>
      <w:r w:rsidR="00087A80" w:rsidRPr="00282AC9">
        <w:rPr>
          <w:rFonts w:hint="cs"/>
          <w:sz w:val="27"/>
          <w:rtl/>
        </w:rPr>
        <w:t>صلاحيات</w:t>
      </w:r>
      <w:r w:rsidRPr="00282AC9">
        <w:rPr>
          <w:rFonts w:hint="cs"/>
          <w:sz w:val="27"/>
          <w:rtl/>
        </w:rPr>
        <w:t xml:space="preserve"> ولي</w:t>
      </w:r>
      <w:r w:rsidR="00087A80" w:rsidRPr="00282AC9">
        <w:rPr>
          <w:rFonts w:hint="cs"/>
          <w:sz w:val="27"/>
          <w:rtl/>
        </w:rPr>
        <w:t>ّ</w:t>
      </w:r>
      <w:r w:rsidRPr="00282AC9">
        <w:rPr>
          <w:rFonts w:hint="cs"/>
          <w:sz w:val="27"/>
          <w:rtl/>
        </w:rPr>
        <w:t xml:space="preserve"> الأمر في إدارة الحكم. وأما القول بأن المقن</w:t>
      </w:r>
      <w:r w:rsidR="00087A80" w:rsidRPr="00282AC9">
        <w:rPr>
          <w:rFonts w:hint="cs"/>
          <w:sz w:val="27"/>
          <w:rtl/>
        </w:rPr>
        <w:t>ِّ</w:t>
      </w:r>
      <w:r w:rsidRPr="00282AC9">
        <w:rPr>
          <w:rFonts w:hint="cs"/>
          <w:sz w:val="27"/>
          <w:rtl/>
        </w:rPr>
        <w:t>ن والمشرّ</w:t>
      </w:r>
      <w:r w:rsidR="00087A80" w:rsidRPr="00282AC9">
        <w:rPr>
          <w:rFonts w:hint="cs"/>
          <w:sz w:val="27"/>
          <w:rtl/>
        </w:rPr>
        <w:t>ِ</w:t>
      </w:r>
      <w:r w:rsidRPr="00282AC9">
        <w:rPr>
          <w:rFonts w:hint="cs"/>
          <w:sz w:val="27"/>
          <w:rtl/>
        </w:rPr>
        <w:t>ع له مواصفات</w:t>
      </w:r>
      <w:r w:rsidR="00087A80" w:rsidRPr="00282AC9">
        <w:rPr>
          <w:rFonts w:hint="cs"/>
          <w:sz w:val="27"/>
          <w:rtl/>
        </w:rPr>
        <w:t>ٌ</w:t>
      </w:r>
      <w:r w:rsidRPr="00282AC9">
        <w:rPr>
          <w:rFonts w:hint="cs"/>
          <w:sz w:val="27"/>
          <w:rtl/>
        </w:rPr>
        <w:t xml:space="preserve"> لا تتوف</w:t>
      </w:r>
      <w:r w:rsidR="00087A80" w:rsidRPr="00282AC9">
        <w:rPr>
          <w:rFonts w:hint="cs"/>
          <w:sz w:val="27"/>
          <w:rtl/>
        </w:rPr>
        <w:t>َّ</w:t>
      </w:r>
      <w:r w:rsidRPr="00282AC9">
        <w:rPr>
          <w:rFonts w:hint="cs"/>
          <w:sz w:val="27"/>
          <w:rtl/>
        </w:rPr>
        <w:t>ر في غير الله سبحانه وتعالى فهو كلام</w:t>
      </w:r>
      <w:r w:rsidR="00087A80" w:rsidRPr="00282AC9">
        <w:rPr>
          <w:rFonts w:hint="cs"/>
          <w:sz w:val="27"/>
          <w:rtl/>
        </w:rPr>
        <w:t>ٌ</w:t>
      </w:r>
      <w:r w:rsidRPr="00282AC9">
        <w:rPr>
          <w:rFonts w:hint="cs"/>
          <w:sz w:val="27"/>
          <w:rtl/>
        </w:rPr>
        <w:t xml:space="preserve"> صحيح في</w:t>
      </w:r>
      <w:r w:rsidR="00087A80" w:rsidRPr="00282AC9">
        <w:rPr>
          <w:rFonts w:hint="cs"/>
          <w:sz w:val="27"/>
          <w:rtl/>
        </w:rPr>
        <w:t xml:space="preserve"> </w:t>
      </w:r>
      <w:r w:rsidRPr="00282AC9">
        <w:rPr>
          <w:rFonts w:hint="cs"/>
          <w:sz w:val="27"/>
          <w:rtl/>
        </w:rPr>
        <w:t>ما يتعل</w:t>
      </w:r>
      <w:r w:rsidR="00087A80" w:rsidRPr="00282AC9">
        <w:rPr>
          <w:rFonts w:hint="cs"/>
          <w:sz w:val="27"/>
          <w:rtl/>
        </w:rPr>
        <w:t>َّ</w:t>
      </w:r>
      <w:r w:rsidRPr="00282AC9">
        <w:rPr>
          <w:rFonts w:hint="cs"/>
          <w:sz w:val="27"/>
          <w:rtl/>
        </w:rPr>
        <w:t>ق بالموارد التي يعمل فيها المقن</w:t>
      </w:r>
      <w:r w:rsidR="00087A80" w:rsidRPr="00282AC9">
        <w:rPr>
          <w:rFonts w:hint="cs"/>
          <w:sz w:val="27"/>
          <w:rtl/>
        </w:rPr>
        <w:t>ِّ</w:t>
      </w:r>
      <w:r w:rsidRPr="00282AC9">
        <w:rPr>
          <w:rFonts w:hint="cs"/>
          <w:sz w:val="27"/>
          <w:rtl/>
        </w:rPr>
        <w:t>ن والمشرّ</w:t>
      </w:r>
      <w:r w:rsidR="00087A80" w:rsidRPr="00282AC9">
        <w:rPr>
          <w:rFonts w:hint="cs"/>
          <w:sz w:val="27"/>
          <w:rtl/>
        </w:rPr>
        <w:t>ِ</w:t>
      </w:r>
      <w:r w:rsidRPr="00282AC9">
        <w:rPr>
          <w:rFonts w:hint="cs"/>
          <w:sz w:val="27"/>
          <w:rtl/>
        </w:rPr>
        <w:t>ع على وضع القوانين بالاستقلال، وأما في مورد ولي</w:t>
      </w:r>
      <w:r w:rsidR="00087A80" w:rsidRPr="00282AC9">
        <w:rPr>
          <w:rFonts w:hint="cs"/>
          <w:sz w:val="27"/>
          <w:rtl/>
        </w:rPr>
        <w:t>ّ</w:t>
      </w:r>
      <w:r w:rsidRPr="00282AC9">
        <w:rPr>
          <w:rFonts w:hint="cs"/>
          <w:sz w:val="27"/>
          <w:rtl/>
        </w:rPr>
        <w:t xml:space="preserve"> الأمر فحيث يكون الله قد أذن له يكون قانونه حج</w:t>
      </w:r>
      <w:r w:rsidR="00087A80" w:rsidRPr="00282AC9">
        <w:rPr>
          <w:rFonts w:hint="cs"/>
          <w:sz w:val="27"/>
          <w:rtl/>
        </w:rPr>
        <w:t>ّ</w:t>
      </w:r>
      <w:r w:rsidRPr="00282AC9">
        <w:rPr>
          <w:rFonts w:hint="cs"/>
          <w:sz w:val="27"/>
          <w:rtl/>
        </w:rPr>
        <w:t>ة</w:t>
      </w:r>
      <w:r w:rsidR="00087A80" w:rsidRPr="00282AC9">
        <w:rPr>
          <w:rFonts w:hint="cs"/>
          <w:sz w:val="27"/>
          <w:rtl/>
        </w:rPr>
        <w:t>ً</w:t>
      </w:r>
      <w:r w:rsidRPr="00282AC9">
        <w:rPr>
          <w:rFonts w:hint="cs"/>
          <w:sz w:val="27"/>
          <w:rtl/>
        </w:rPr>
        <w:t xml:space="preserve"> ومعتبراً. وعليه فإن المقن</w:t>
      </w:r>
      <w:r w:rsidR="00087A80" w:rsidRPr="00282AC9">
        <w:rPr>
          <w:rFonts w:hint="cs"/>
          <w:sz w:val="27"/>
          <w:rtl/>
        </w:rPr>
        <w:t>ِّ</w:t>
      </w:r>
      <w:r w:rsidRPr="00282AC9">
        <w:rPr>
          <w:rFonts w:hint="cs"/>
          <w:sz w:val="27"/>
          <w:rtl/>
        </w:rPr>
        <w:t>ن والمشر</w:t>
      </w:r>
      <w:r w:rsidR="00087A80" w:rsidRPr="00282AC9">
        <w:rPr>
          <w:rFonts w:hint="cs"/>
          <w:sz w:val="27"/>
          <w:rtl/>
        </w:rPr>
        <w:t>ِّ</w:t>
      </w:r>
      <w:r w:rsidRPr="00282AC9">
        <w:rPr>
          <w:rFonts w:hint="cs"/>
          <w:sz w:val="27"/>
          <w:rtl/>
        </w:rPr>
        <w:t>ع في الواقع هو الله</w:t>
      </w:r>
      <w:r w:rsidR="00087A80" w:rsidRPr="00282AC9">
        <w:rPr>
          <w:rFonts w:hint="cs"/>
          <w:sz w:val="27"/>
          <w:rtl/>
        </w:rPr>
        <w:t>،</w:t>
      </w:r>
      <w:r w:rsidRPr="00282AC9">
        <w:rPr>
          <w:rFonts w:hint="cs"/>
          <w:sz w:val="27"/>
          <w:rtl/>
        </w:rPr>
        <w:t xml:space="preserve"> وليس الحاكم.</w:t>
      </w:r>
    </w:p>
    <w:p w:rsidR="00BC5E40" w:rsidRPr="00282AC9" w:rsidRDefault="00BC5E40" w:rsidP="00075DE8">
      <w:pPr>
        <w:spacing w:line="420" w:lineRule="exact"/>
        <w:rPr>
          <w:sz w:val="27"/>
          <w:rtl/>
        </w:rPr>
      </w:pPr>
      <w:r w:rsidRPr="00282AC9">
        <w:rPr>
          <w:rFonts w:hint="cs"/>
          <w:sz w:val="27"/>
          <w:rtl/>
        </w:rPr>
        <w:t>وفي الختام من المناسب لإيضاح المسألة أن نشير إلى جعل الولاية من ق</w:t>
      </w:r>
      <w:r w:rsidR="00087A80" w:rsidRPr="00282AC9">
        <w:rPr>
          <w:rFonts w:hint="cs"/>
          <w:sz w:val="27"/>
          <w:rtl/>
        </w:rPr>
        <w:t>ِ</w:t>
      </w:r>
      <w:r w:rsidRPr="00282AC9">
        <w:rPr>
          <w:rFonts w:hint="cs"/>
          <w:sz w:val="27"/>
          <w:rtl/>
        </w:rPr>
        <w:t>ب</w:t>
      </w:r>
      <w:r w:rsidR="00087A80" w:rsidRPr="00282AC9">
        <w:rPr>
          <w:rFonts w:hint="cs"/>
          <w:sz w:val="27"/>
          <w:rtl/>
        </w:rPr>
        <w:t>َ</w:t>
      </w:r>
      <w:r w:rsidRPr="00282AC9">
        <w:rPr>
          <w:rFonts w:hint="cs"/>
          <w:sz w:val="27"/>
          <w:rtl/>
        </w:rPr>
        <w:t>ل الله للأب في بعض الموارد، من قبيل: المباحات والمستحب</w:t>
      </w:r>
      <w:r w:rsidR="00087A80" w:rsidRPr="00282AC9">
        <w:rPr>
          <w:rFonts w:hint="cs"/>
          <w:sz w:val="27"/>
          <w:rtl/>
        </w:rPr>
        <w:t>ّ</w:t>
      </w:r>
      <w:r w:rsidRPr="00282AC9">
        <w:rPr>
          <w:rFonts w:hint="cs"/>
          <w:sz w:val="27"/>
          <w:rtl/>
        </w:rPr>
        <w:t>ات والمكروهات. فك</w:t>
      </w:r>
      <w:r w:rsidR="00855774" w:rsidRPr="00282AC9">
        <w:rPr>
          <w:rFonts w:hint="cs"/>
          <w:sz w:val="27"/>
          <w:rtl/>
        </w:rPr>
        <w:t>ما</w:t>
      </w:r>
      <w:r w:rsidRPr="00282AC9">
        <w:rPr>
          <w:rFonts w:hint="cs"/>
          <w:sz w:val="27"/>
          <w:rtl/>
        </w:rPr>
        <w:t xml:space="preserve"> لا يكون أمر</w:t>
      </w:r>
      <w:r w:rsidR="00087A80" w:rsidRPr="00282AC9">
        <w:rPr>
          <w:rFonts w:hint="cs"/>
          <w:sz w:val="27"/>
          <w:rtl/>
        </w:rPr>
        <w:t>ُ</w:t>
      </w:r>
      <w:r w:rsidRPr="00282AC9">
        <w:rPr>
          <w:rFonts w:hint="cs"/>
          <w:sz w:val="27"/>
          <w:rtl/>
        </w:rPr>
        <w:t xml:space="preserve"> وحكم</w:t>
      </w:r>
      <w:r w:rsidR="00087A80" w:rsidRPr="00282AC9">
        <w:rPr>
          <w:rFonts w:hint="cs"/>
          <w:sz w:val="27"/>
          <w:rtl/>
        </w:rPr>
        <w:t>ُ</w:t>
      </w:r>
      <w:r w:rsidRPr="00282AC9">
        <w:rPr>
          <w:rFonts w:hint="cs"/>
          <w:sz w:val="27"/>
          <w:rtl/>
        </w:rPr>
        <w:t xml:space="preserve"> الوالد منافياً للأحكام الإلهي</w:t>
      </w:r>
      <w:r w:rsidR="00087A80" w:rsidRPr="00282AC9">
        <w:rPr>
          <w:rFonts w:hint="cs"/>
          <w:sz w:val="27"/>
          <w:rtl/>
        </w:rPr>
        <w:t>ّ</w:t>
      </w:r>
      <w:r w:rsidRPr="00282AC9">
        <w:rPr>
          <w:rFonts w:hint="cs"/>
          <w:sz w:val="27"/>
          <w:rtl/>
        </w:rPr>
        <w:t>ة كذلك حكم الحاكم لا يكون منافياً للأحكام الإلهي</w:t>
      </w:r>
      <w:r w:rsidR="00855774" w:rsidRPr="00282AC9">
        <w:rPr>
          <w:rFonts w:hint="cs"/>
          <w:sz w:val="27"/>
          <w:rtl/>
        </w:rPr>
        <w:t>ّ</w:t>
      </w:r>
      <w:r w:rsidRPr="00282AC9">
        <w:rPr>
          <w:rFonts w:hint="cs"/>
          <w:sz w:val="27"/>
          <w:rtl/>
        </w:rPr>
        <w:t>ة أيضاً.</w:t>
      </w:r>
    </w:p>
    <w:p w:rsidR="00BC5E40" w:rsidRPr="00282AC9" w:rsidRDefault="00664490" w:rsidP="00E36B18">
      <w:pPr>
        <w:pStyle w:val="31"/>
        <w:rPr>
          <w:color w:val="auto"/>
          <w:rtl/>
        </w:rPr>
      </w:pPr>
      <w:r w:rsidRPr="00282AC9">
        <w:rPr>
          <w:rFonts w:hint="cs"/>
          <w:color w:val="auto"/>
          <w:rtl/>
        </w:rPr>
        <w:lastRenderedPageBreak/>
        <w:t>3</w:t>
      </w:r>
      <w:r w:rsidR="00BC5E40" w:rsidRPr="00282AC9">
        <w:rPr>
          <w:rFonts w:hint="cs"/>
          <w:color w:val="auto"/>
          <w:rtl/>
        </w:rPr>
        <w:t>ـ نظري</w:t>
      </w:r>
      <w:r w:rsidRPr="00282AC9">
        <w:rPr>
          <w:rFonts w:hint="cs"/>
          <w:color w:val="auto"/>
          <w:rtl/>
        </w:rPr>
        <w:t>ّ</w:t>
      </w:r>
      <w:r w:rsidR="00BC5E40" w:rsidRPr="00282AC9">
        <w:rPr>
          <w:rFonts w:hint="cs"/>
          <w:color w:val="auto"/>
          <w:rtl/>
        </w:rPr>
        <w:t>ة وضع القانون من ق</w:t>
      </w:r>
      <w:r w:rsidR="00855774" w:rsidRPr="00282AC9">
        <w:rPr>
          <w:rFonts w:hint="cs"/>
          <w:color w:val="auto"/>
          <w:rtl/>
        </w:rPr>
        <w:t>ِ</w:t>
      </w:r>
      <w:r w:rsidR="00BC5E40" w:rsidRPr="00282AC9">
        <w:rPr>
          <w:rFonts w:hint="cs"/>
          <w:color w:val="auto"/>
          <w:rtl/>
        </w:rPr>
        <w:t>ب</w:t>
      </w:r>
      <w:r w:rsidR="00855774" w:rsidRPr="00282AC9">
        <w:rPr>
          <w:rFonts w:hint="cs"/>
          <w:color w:val="auto"/>
          <w:rtl/>
        </w:rPr>
        <w:t>َ</w:t>
      </w:r>
      <w:r w:rsidR="00BC5E40" w:rsidRPr="00282AC9">
        <w:rPr>
          <w:rFonts w:hint="cs"/>
          <w:color w:val="auto"/>
          <w:rtl/>
        </w:rPr>
        <w:t>ل ولي</w:t>
      </w:r>
      <w:r w:rsidR="00855774" w:rsidRPr="00282AC9">
        <w:rPr>
          <w:rFonts w:hint="cs"/>
          <w:color w:val="auto"/>
          <w:rtl/>
        </w:rPr>
        <w:t>ّ</w:t>
      </w:r>
      <w:r w:rsidR="00BC5E40" w:rsidRPr="00282AC9">
        <w:rPr>
          <w:rFonts w:hint="cs"/>
          <w:color w:val="auto"/>
          <w:rtl/>
        </w:rPr>
        <w:t xml:space="preserve"> الأمر</w:t>
      </w:r>
    </w:p>
    <w:p w:rsidR="00BC5E40" w:rsidRPr="00282AC9" w:rsidRDefault="00BC5E40" w:rsidP="00BC4D37">
      <w:pPr>
        <w:rPr>
          <w:sz w:val="27"/>
          <w:rtl/>
        </w:rPr>
      </w:pPr>
      <w:r w:rsidRPr="00282AC9">
        <w:rPr>
          <w:rFonts w:hint="cs"/>
          <w:sz w:val="27"/>
          <w:rtl/>
        </w:rPr>
        <w:t>إن النظرية الرابعة في</w:t>
      </w:r>
      <w:r w:rsidR="00855774" w:rsidRPr="00282AC9">
        <w:rPr>
          <w:rFonts w:hint="cs"/>
          <w:sz w:val="27"/>
          <w:rtl/>
        </w:rPr>
        <w:t xml:space="preserve"> </w:t>
      </w:r>
      <w:r w:rsidRPr="00282AC9">
        <w:rPr>
          <w:rFonts w:hint="cs"/>
          <w:sz w:val="27"/>
          <w:rtl/>
        </w:rPr>
        <w:t>ما يتعل</w:t>
      </w:r>
      <w:r w:rsidR="00855774" w:rsidRPr="00282AC9">
        <w:rPr>
          <w:rFonts w:hint="cs"/>
          <w:sz w:val="27"/>
          <w:rtl/>
        </w:rPr>
        <w:t>َّ</w:t>
      </w:r>
      <w:r w:rsidRPr="00282AC9">
        <w:rPr>
          <w:rFonts w:hint="cs"/>
          <w:sz w:val="27"/>
          <w:rtl/>
        </w:rPr>
        <w:t>ق ب</w:t>
      </w:r>
      <w:r w:rsidR="00EE6DBA" w:rsidRPr="00282AC9">
        <w:rPr>
          <w:rFonts w:hint="cs"/>
          <w:sz w:val="27"/>
          <w:rtl/>
        </w:rPr>
        <w:t>دَوْر</w:t>
      </w:r>
      <w:r w:rsidRPr="00282AC9">
        <w:rPr>
          <w:rFonts w:hint="cs"/>
          <w:sz w:val="27"/>
          <w:rtl/>
        </w:rPr>
        <w:t xml:space="preserve"> ولي</w:t>
      </w:r>
      <w:r w:rsidR="00855774" w:rsidRPr="00282AC9">
        <w:rPr>
          <w:rFonts w:hint="cs"/>
          <w:sz w:val="27"/>
          <w:rtl/>
        </w:rPr>
        <w:t>ّ</w:t>
      </w:r>
      <w:r w:rsidRPr="00282AC9">
        <w:rPr>
          <w:rFonts w:hint="cs"/>
          <w:sz w:val="27"/>
          <w:rtl/>
        </w:rPr>
        <w:t xml:space="preserve"> الأمر تجاه م</w:t>
      </w:r>
      <w:r w:rsidR="00855774" w:rsidRPr="00282AC9">
        <w:rPr>
          <w:rFonts w:hint="cs"/>
          <w:sz w:val="27"/>
          <w:rtl/>
        </w:rPr>
        <w:t>َ</w:t>
      </w:r>
      <w:r w:rsidRPr="00282AC9">
        <w:rPr>
          <w:rFonts w:hint="cs"/>
          <w:sz w:val="27"/>
          <w:rtl/>
        </w:rPr>
        <w:t>ل</w:t>
      </w:r>
      <w:r w:rsidR="00855774" w:rsidRPr="00282AC9">
        <w:rPr>
          <w:rFonts w:hint="cs"/>
          <w:sz w:val="27"/>
          <w:rtl/>
        </w:rPr>
        <w:t>ْ</w:t>
      </w:r>
      <w:r w:rsidRPr="00282AC9">
        <w:rPr>
          <w:rFonts w:hint="cs"/>
          <w:sz w:val="27"/>
          <w:rtl/>
        </w:rPr>
        <w:t>ء نقاط الفراغ القانوني (المباحات) عبارة</w:t>
      </w:r>
      <w:r w:rsidR="00855774" w:rsidRPr="00282AC9">
        <w:rPr>
          <w:rFonts w:hint="cs"/>
          <w:sz w:val="27"/>
          <w:rtl/>
        </w:rPr>
        <w:t>ٌ</w:t>
      </w:r>
      <w:r w:rsidRPr="00282AC9">
        <w:rPr>
          <w:rFonts w:hint="cs"/>
          <w:sz w:val="27"/>
          <w:rtl/>
        </w:rPr>
        <w:t xml:space="preserve"> عن أنه كما أ</w:t>
      </w:r>
      <w:r w:rsidR="00855774" w:rsidRPr="00282AC9">
        <w:rPr>
          <w:rFonts w:hint="cs"/>
          <w:sz w:val="27"/>
          <w:rtl/>
        </w:rPr>
        <w:t>ُ</w:t>
      </w:r>
      <w:r w:rsidRPr="00282AC9">
        <w:rPr>
          <w:rFonts w:hint="cs"/>
          <w:sz w:val="27"/>
          <w:rtl/>
        </w:rPr>
        <w:t>ذ</w:t>
      </w:r>
      <w:r w:rsidR="00855774" w:rsidRPr="00282AC9">
        <w:rPr>
          <w:rFonts w:hint="cs"/>
          <w:sz w:val="27"/>
          <w:rtl/>
        </w:rPr>
        <w:t>ِ</w:t>
      </w:r>
      <w:r w:rsidRPr="00282AC9">
        <w:rPr>
          <w:rFonts w:hint="cs"/>
          <w:sz w:val="27"/>
          <w:rtl/>
        </w:rPr>
        <w:t>ن لرسول الله والأئم</w:t>
      </w:r>
      <w:r w:rsidR="00855774" w:rsidRPr="00282AC9">
        <w:rPr>
          <w:rFonts w:hint="cs"/>
          <w:sz w:val="27"/>
          <w:rtl/>
        </w:rPr>
        <w:t>ّ</w:t>
      </w:r>
      <w:r w:rsidRPr="00282AC9">
        <w:rPr>
          <w:rFonts w:hint="cs"/>
          <w:sz w:val="27"/>
          <w:rtl/>
        </w:rPr>
        <w:t>ة</w:t>
      </w:r>
      <w:r w:rsidR="00876ECA" w:rsidRPr="00282AC9">
        <w:rPr>
          <w:rFonts w:cs="Mosawi" w:hint="cs"/>
          <w:sz w:val="22"/>
          <w:szCs w:val="22"/>
          <w:rtl/>
        </w:rPr>
        <w:t>^</w:t>
      </w:r>
      <w:r w:rsidRPr="00282AC9">
        <w:rPr>
          <w:rFonts w:hint="cs"/>
          <w:sz w:val="27"/>
          <w:rtl/>
        </w:rPr>
        <w:t xml:space="preserve"> بوضع القوانين من ق</w:t>
      </w:r>
      <w:r w:rsidR="00855774" w:rsidRPr="00282AC9">
        <w:rPr>
          <w:rFonts w:hint="cs"/>
          <w:sz w:val="27"/>
          <w:rtl/>
        </w:rPr>
        <w:t>ِ</w:t>
      </w:r>
      <w:r w:rsidRPr="00282AC9">
        <w:rPr>
          <w:rFonts w:hint="cs"/>
          <w:sz w:val="27"/>
          <w:rtl/>
        </w:rPr>
        <w:t>ب</w:t>
      </w:r>
      <w:r w:rsidR="00855774" w:rsidRPr="00282AC9">
        <w:rPr>
          <w:rFonts w:hint="cs"/>
          <w:sz w:val="27"/>
          <w:rtl/>
        </w:rPr>
        <w:t>َ</w:t>
      </w:r>
      <w:r w:rsidRPr="00282AC9">
        <w:rPr>
          <w:rFonts w:hint="cs"/>
          <w:sz w:val="27"/>
          <w:rtl/>
        </w:rPr>
        <w:t xml:space="preserve">ل الله في إدارة الدولة والمجتمع كذلك فإن ذات هذه </w:t>
      </w:r>
      <w:r w:rsidR="00855774" w:rsidRPr="00282AC9">
        <w:rPr>
          <w:rFonts w:hint="cs"/>
          <w:sz w:val="27"/>
          <w:rtl/>
        </w:rPr>
        <w:t>الصلاحيات</w:t>
      </w:r>
      <w:r w:rsidRPr="00282AC9">
        <w:rPr>
          <w:rFonts w:hint="cs"/>
          <w:sz w:val="27"/>
          <w:rtl/>
        </w:rPr>
        <w:t xml:space="preserve"> </w:t>
      </w:r>
      <w:r w:rsidR="00855774" w:rsidRPr="00282AC9">
        <w:rPr>
          <w:rFonts w:hint="cs"/>
          <w:sz w:val="27"/>
          <w:rtl/>
        </w:rPr>
        <w:t>تكون ل</w:t>
      </w:r>
      <w:r w:rsidRPr="00282AC9">
        <w:rPr>
          <w:rFonts w:hint="cs"/>
          <w:sz w:val="27"/>
          <w:rtl/>
        </w:rPr>
        <w:t>لفقيه الجامع للشرائط</w:t>
      </w:r>
      <w:r w:rsidR="00855774" w:rsidRPr="00282AC9">
        <w:rPr>
          <w:rFonts w:hint="cs"/>
          <w:sz w:val="27"/>
          <w:rtl/>
        </w:rPr>
        <w:t>،</w:t>
      </w:r>
      <w:r w:rsidRPr="00282AC9">
        <w:rPr>
          <w:rFonts w:hint="cs"/>
          <w:sz w:val="27"/>
          <w:rtl/>
        </w:rPr>
        <w:t xml:space="preserve"> الذي يتول</w:t>
      </w:r>
      <w:r w:rsidR="00855774" w:rsidRPr="00282AC9">
        <w:rPr>
          <w:rFonts w:hint="cs"/>
          <w:sz w:val="27"/>
          <w:rtl/>
        </w:rPr>
        <w:t>ّ</w:t>
      </w:r>
      <w:r w:rsidRPr="00282AC9">
        <w:rPr>
          <w:rFonts w:hint="cs"/>
          <w:sz w:val="27"/>
          <w:rtl/>
        </w:rPr>
        <w:t>ى إدارة الحكومة والمجتمع الإسلامي.</w:t>
      </w:r>
    </w:p>
    <w:p w:rsidR="00BC5E40" w:rsidRPr="00282AC9" w:rsidRDefault="00674EF5" w:rsidP="00BC4D37">
      <w:pPr>
        <w:rPr>
          <w:sz w:val="27"/>
          <w:rtl/>
        </w:rPr>
      </w:pPr>
      <w:r w:rsidRPr="00282AC9">
        <w:rPr>
          <w:rFonts w:hint="cs"/>
          <w:sz w:val="27"/>
          <w:rtl/>
        </w:rPr>
        <w:t>لا شَكَّ</w:t>
      </w:r>
      <w:r w:rsidR="00BC5E40" w:rsidRPr="00282AC9">
        <w:rPr>
          <w:rFonts w:hint="cs"/>
          <w:sz w:val="27"/>
          <w:rtl/>
        </w:rPr>
        <w:t xml:space="preserve"> في أن رسول الله والأئم</w:t>
      </w:r>
      <w:r w:rsidR="00855774" w:rsidRPr="00282AC9">
        <w:rPr>
          <w:rFonts w:hint="cs"/>
          <w:sz w:val="27"/>
          <w:rtl/>
        </w:rPr>
        <w:t>ّ</w:t>
      </w:r>
      <w:r w:rsidR="00BC5E40" w:rsidRPr="00282AC9">
        <w:rPr>
          <w:rFonts w:hint="cs"/>
          <w:sz w:val="27"/>
          <w:rtl/>
        </w:rPr>
        <w:t>ة</w:t>
      </w:r>
      <w:r w:rsidR="00876ECA" w:rsidRPr="00282AC9">
        <w:rPr>
          <w:rFonts w:cs="Mosawi" w:hint="cs"/>
          <w:sz w:val="22"/>
          <w:szCs w:val="22"/>
          <w:rtl/>
        </w:rPr>
        <w:t>^</w:t>
      </w:r>
      <w:r w:rsidR="00BC5E40" w:rsidRPr="00282AC9">
        <w:rPr>
          <w:rFonts w:hint="cs"/>
          <w:sz w:val="27"/>
          <w:rtl/>
        </w:rPr>
        <w:t xml:space="preserve"> قد جعلوا في الكثير من الموارد أحكاماً ولائي</w:t>
      </w:r>
      <w:r w:rsidR="00855774" w:rsidRPr="00282AC9">
        <w:rPr>
          <w:rFonts w:hint="cs"/>
          <w:sz w:val="27"/>
          <w:rtl/>
        </w:rPr>
        <w:t>ّ</w:t>
      </w:r>
      <w:r w:rsidR="00BC5E40" w:rsidRPr="00282AC9">
        <w:rPr>
          <w:rFonts w:hint="cs"/>
          <w:sz w:val="27"/>
          <w:rtl/>
        </w:rPr>
        <w:t>ة مؤق</w:t>
      </w:r>
      <w:r w:rsidR="00855774" w:rsidRPr="00282AC9">
        <w:rPr>
          <w:rFonts w:hint="cs"/>
          <w:sz w:val="27"/>
          <w:rtl/>
        </w:rPr>
        <w:t>ّ</w:t>
      </w:r>
      <w:r w:rsidR="00BC5E40" w:rsidRPr="00282AC9">
        <w:rPr>
          <w:rFonts w:hint="cs"/>
          <w:sz w:val="27"/>
          <w:rtl/>
        </w:rPr>
        <w:t>تة</w:t>
      </w:r>
      <w:r w:rsidR="00855774" w:rsidRPr="00282AC9">
        <w:rPr>
          <w:rFonts w:hint="cs"/>
          <w:sz w:val="27"/>
          <w:rtl/>
        </w:rPr>
        <w:t>،</w:t>
      </w:r>
      <w:r w:rsidR="00BC5E40" w:rsidRPr="00282AC9">
        <w:rPr>
          <w:rFonts w:hint="cs"/>
          <w:sz w:val="27"/>
          <w:rtl/>
        </w:rPr>
        <w:t xml:space="preserve"> في</w:t>
      </w:r>
      <w:r w:rsidR="00855774" w:rsidRPr="00282AC9">
        <w:rPr>
          <w:rFonts w:hint="cs"/>
          <w:sz w:val="27"/>
          <w:rtl/>
        </w:rPr>
        <w:t xml:space="preserve"> </w:t>
      </w:r>
      <w:r w:rsidR="00BC5E40" w:rsidRPr="00282AC9">
        <w:rPr>
          <w:rFonts w:hint="cs"/>
          <w:sz w:val="27"/>
          <w:rtl/>
        </w:rPr>
        <w:t>ما يرتبط بحاجة ومصلحة المجتمع</w:t>
      </w:r>
      <w:r w:rsidR="00855774" w:rsidRPr="00282AC9">
        <w:rPr>
          <w:rFonts w:hint="cs"/>
          <w:sz w:val="27"/>
          <w:rtl/>
        </w:rPr>
        <w:t>،</w:t>
      </w:r>
      <w:r w:rsidR="00BC5E40" w:rsidRPr="00282AC9">
        <w:rPr>
          <w:rFonts w:hint="cs"/>
          <w:sz w:val="27"/>
          <w:rtl/>
        </w:rPr>
        <w:t xml:space="preserve"> وبما يتناسب والشرائط الزمانية والمكانية. وقد تمّ إعطاء هذه </w:t>
      </w:r>
      <w:r w:rsidR="00855774" w:rsidRPr="00282AC9">
        <w:rPr>
          <w:rFonts w:hint="cs"/>
          <w:sz w:val="27"/>
          <w:rtl/>
        </w:rPr>
        <w:t>الصلاحيات</w:t>
      </w:r>
      <w:r w:rsidR="00BC5E40" w:rsidRPr="00282AC9">
        <w:rPr>
          <w:rFonts w:hint="cs"/>
          <w:sz w:val="27"/>
          <w:rtl/>
        </w:rPr>
        <w:t xml:space="preserve"> </w:t>
      </w:r>
      <w:r w:rsidR="00855774" w:rsidRPr="00282AC9">
        <w:rPr>
          <w:rFonts w:hint="cs"/>
          <w:sz w:val="27"/>
          <w:rtl/>
        </w:rPr>
        <w:t>ل</w:t>
      </w:r>
      <w:r w:rsidR="00BC5E40" w:rsidRPr="00282AC9">
        <w:rPr>
          <w:rFonts w:hint="cs"/>
          <w:sz w:val="27"/>
          <w:rtl/>
        </w:rPr>
        <w:t>لفقيه الذي يتكف</w:t>
      </w:r>
      <w:r w:rsidR="00855774" w:rsidRPr="00282AC9">
        <w:rPr>
          <w:rFonts w:hint="cs"/>
          <w:sz w:val="27"/>
          <w:rtl/>
        </w:rPr>
        <w:t>َّ</w:t>
      </w:r>
      <w:r w:rsidR="00BC5E40" w:rsidRPr="00282AC9">
        <w:rPr>
          <w:rFonts w:hint="cs"/>
          <w:sz w:val="27"/>
          <w:rtl/>
        </w:rPr>
        <w:t>ل بإدارة المجتمع</w:t>
      </w:r>
      <w:r w:rsidR="00855774" w:rsidRPr="00282AC9">
        <w:rPr>
          <w:rFonts w:hint="cs"/>
          <w:sz w:val="27"/>
          <w:rtl/>
        </w:rPr>
        <w:t>؛</w:t>
      </w:r>
      <w:r w:rsidR="00BC5E40" w:rsidRPr="00282AC9">
        <w:rPr>
          <w:rFonts w:hint="cs"/>
          <w:sz w:val="27"/>
          <w:rtl/>
        </w:rPr>
        <w:t xml:space="preserve"> إذ بدون هذا الحق</w:t>
      </w:r>
      <w:r w:rsidR="00855774" w:rsidRPr="00282AC9">
        <w:rPr>
          <w:rFonts w:hint="cs"/>
          <w:sz w:val="27"/>
          <w:rtl/>
        </w:rPr>
        <w:t>ّ</w:t>
      </w:r>
      <w:r w:rsidR="00BC5E40" w:rsidRPr="00282AC9">
        <w:rPr>
          <w:rFonts w:hint="cs"/>
          <w:sz w:val="27"/>
          <w:rtl/>
        </w:rPr>
        <w:t xml:space="preserve"> و</w:t>
      </w:r>
      <w:r w:rsidR="00855774" w:rsidRPr="00282AC9">
        <w:rPr>
          <w:rFonts w:hint="cs"/>
          <w:sz w:val="27"/>
          <w:rtl/>
        </w:rPr>
        <w:t>الصلاحية</w:t>
      </w:r>
      <w:r w:rsidR="00BC5E40" w:rsidRPr="00282AC9">
        <w:rPr>
          <w:rFonts w:hint="cs"/>
          <w:sz w:val="27"/>
          <w:rtl/>
        </w:rPr>
        <w:t xml:space="preserve"> سوف تكون إدارة المجتمع والدولة ل</w:t>
      </w:r>
      <w:r w:rsidR="00855774" w:rsidRPr="00282AC9">
        <w:rPr>
          <w:rFonts w:hint="cs"/>
          <w:sz w:val="27"/>
          <w:rtl/>
        </w:rPr>
        <w:t>َ</w:t>
      </w:r>
      <w:r w:rsidR="00BC5E40" w:rsidRPr="00282AC9">
        <w:rPr>
          <w:rFonts w:hint="cs"/>
          <w:sz w:val="27"/>
          <w:rtl/>
        </w:rPr>
        <w:t>غ</w:t>
      </w:r>
      <w:r w:rsidR="00855774" w:rsidRPr="00282AC9">
        <w:rPr>
          <w:rFonts w:hint="cs"/>
          <w:sz w:val="27"/>
          <w:rtl/>
        </w:rPr>
        <w:t>ْ</w:t>
      </w:r>
      <w:r w:rsidR="00BC5E40" w:rsidRPr="00282AC9">
        <w:rPr>
          <w:rFonts w:hint="cs"/>
          <w:sz w:val="27"/>
          <w:rtl/>
        </w:rPr>
        <w:t>واً وبلا فائدة</w:t>
      </w:r>
      <w:r w:rsidR="00855774" w:rsidRPr="00282AC9">
        <w:rPr>
          <w:rFonts w:hint="cs"/>
          <w:sz w:val="27"/>
          <w:rtl/>
        </w:rPr>
        <w:t>ٍ</w:t>
      </w:r>
      <w:r w:rsidR="00BC5E40" w:rsidRPr="00282AC9">
        <w:rPr>
          <w:rFonts w:hint="cs"/>
          <w:sz w:val="27"/>
          <w:rtl/>
        </w:rPr>
        <w:t>.</w:t>
      </w:r>
    </w:p>
    <w:p w:rsidR="00BC5E40" w:rsidRPr="00282AC9" w:rsidRDefault="00855774" w:rsidP="00BC4D37">
      <w:pPr>
        <w:rPr>
          <w:sz w:val="27"/>
          <w:rtl/>
        </w:rPr>
      </w:pPr>
      <w:r w:rsidRPr="00282AC9">
        <w:rPr>
          <w:rFonts w:hint="cs"/>
          <w:sz w:val="27"/>
          <w:rtl/>
        </w:rPr>
        <w:t>و</w:t>
      </w:r>
      <w:r w:rsidR="00BC5E40" w:rsidRPr="00282AC9">
        <w:rPr>
          <w:rFonts w:hint="cs"/>
          <w:sz w:val="27"/>
          <w:rtl/>
        </w:rPr>
        <w:t>يمكن إقامة الكثير من الأدل</w:t>
      </w:r>
      <w:r w:rsidRPr="00282AC9">
        <w:rPr>
          <w:rFonts w:hint="cs"/>
          <w:sz w:val="27"/>
          <w:rtl/>
        </w:rPr>
        <w:t>ّ</w:t>
      </w:r>
      <w:r w:rsidR="00BC5E40" w:rsidRPr="00282AC9">
        <w:rPr>
          <w:rFonts w:hint="cs"/>
          <w:sz w:val="27"/>
          <w:rtl/>
        </w:rPr>
        <w:t>ة على هذا الأمر</w:t>
      </w:r>
      <w:r w:rsidRPr="00282AC9">
        <w:rPr>
          <w:rFonts w:hint="cs"/>
          <w:sz w:val="27"/>
          <w:rtl/>
        </w:rPr>
        <w:t>.</w:t>
      </w:r>
      <w:r w:rsidR="00BC5E40" w:rsidRPr="00282AC9">
        <w:rPr>
          <w:rFonts w:hint="cs"/>
          <w:sz w:val="27"/>
          <w:rtl/>
        </w:rPr>
        <w:t xml:space="preserve"> ولكن</w:t>
      </w:r>
      <w:r w:rsidRPr="00282AC9">
        <w:rPr>
          <w:rFonts w:hint="cs"/>
          <w:sz w:val="27"/>
          <w:rtl/>
        </w:rPr>
        <w:t>ّ</w:t>
      </w:r>
      <w:r w:rsidR="00BC5E40" w:rsidRPr="00282AC9">
        <w:rPr>
          <w:rFonts w:hint="cs"/>
          <w:sz w:val="27"/>
          <w:rtl/>
        </w:rPr>
        <w:t>نا سنكتفي ـ خشية الإطالة ـ بذكر دليلين رئيسين، وهما: الروايات</w:t>
      </w:r>
      <w:r w:rsidRPr="00282AC9">
        <w:rPr>
          <w:rFonts w:hint="cs"/>
          <w:sz w:val="27"/>
          <w:rtl/>
        </w:rPr>
        <w:t>؛</w:t>
      </w:r>
      <w:r w:rsidR="00BC5E40" w:rsidRPr="00282AC9">
        <w:rPr>
          <w:rFonts w:hint="cs"/>
          <w:sz w:val="27"/>
          <w:rtl/>
        </w:rPr>
        <w:t xml:space="preserve"> وبيان بعض الأحكام الولائية التي </w:t>
      </w:r>
      <w:r w:rsidRPr="00282AC9">
        <w:rPr>
          <w:rFonts w:hint="cs"/>
          <w:sz w:val="27"/>
          <w:rtl/>
        </w:rPr>
        <w:t>ت</w:t>
      </w:r>
      <w:r w:rsidR="00BC5E40" w:rsidRPr="00282AC9">
        <w:rPr>
          <w:rFonts w:hint="cs"/>
          <w:sz w:val="27"/>
          <w:rtl/>
        </w:rPr>
        <w:t xml:space="preserve">عود </w:t>
      </w:r>
      <w:r w:rsidRPr="00282AC9">
        <w:rPr>
          <w:rFonts w:hint="cs"/>
          <w:sz w:val="27"/>
          <w:rtl/>
        </w:rPr>
        <w:t>صلاحية</w:t>
      </w:r>
      <w:r w:rsidR="00BC5E40" w:rsidRPr="00282AC9">
        <w:rPr>
          <w:rFonts w:hint="cs"/>
          <w:sz w:val="27"/>
          <w:rtl/>
        </w:rPr>
        <w:t xml:space="preserve"> جعلها أو توسعتها وتضييقها إلى الفقهاء.</w:t>
      </w:r>
    </w:p>
    <w:p w:rsidR="00BC5E40" w:rsidRPr="00282AC9" w:rsidRDefault="00BC5E40" w:rsidP="00075DE8">
      <w:pPr>
        <w:spacing w:line="420" w:lineRule="exact"/>
        <w:rPr>
          <w:sz w:val="27"/>
          <w:rtl/>
        </w:rPr>
      </w:pPr>
      <w:r w:rsidRPr="00282AC9">
        <w:rPr>
          <w:rFonts w:hint="cs"/>
          <w:sz w:val="27"/>
          <w:rtl/>
        </w:rPr>
        <w:t>ولكي يت</w:t>
      </w:r>
      <w:r w:rsidR="00855774" w:rsidRPr="00282AC9">
        <w:rPr>
          <w:rFonts w:hint="cs"/>
          <w:sz w:val="27"/>
          <w:rtl/>
        </w:rPr>
        <w:t>ّ</w:t>
      </w:r>
      <w:r w:rsidRPr="00282AC9">
        <w:rPr>
          <w:rFonts w:hint="cs"/>
          <w:sz w:val="27"/>
          <w:rtl/>
        </w:rPr>
        <w:t>ضح مورد النزاع من اللازم قبل الدخول في صلب الموضوع أن نشير إلى بعض الأمور باختصار</w:t>
      </w:r>
      <w:r w:rsidR="00855774" w:rsidRPr="00282AC9">
        <w:rPr>
          <w:rFonts w:hint="cs"/>
          <w:sz w:val="27"/>
          <w:rtl/>
        </w:rPr>
        <w:t>ٍ</w:t>
      </w:r>
      <w:r w:rsidRPr="00282AC9">
        <w:rPr>
          <w:rFonts w:hint="cs"/>
          <w:sz w:val="27"/>
          <w:rtl/>
        </w:rPr>
        <w:t xml:space="preserve">، </w:t>
      </w:r>
      <w:r w:rsidR="00855774" w:rsidRPr="00282AC9">
        <w:rPr>
          <w:rFonts w:hint="cs"/>
          <w:sz w:val="27"/>
          <w:rtl/>
        </w:rPr>
        <w:t xml:space="preserve">وذلك </w:t>
      </w:r>
      <w:r w:rsidRPr="00282AC9">
        <w:rPr>
          <w:rFonts w:hint="cs"/>
          <w:sz w:val="27"/>
          <w:rtl/>
        </w:rPr>
        <w:t xml:space="preserve">على النحو </w:t>
      </w:r>
      <w:r w:rsidR="00855774" w:rsidRPr="00282AC9">
        <w:rPr>
          <w:rFonts w:hint="cs"/>
          <w:sz w:val="27"/>
          <w:rtl/>
        </w:rPr>
        <w:t>التالي</w:t>
      </w:r>
      <w:r w:rsidRPr="00282AC9">
        <w:rPr>
          <w:rFonts w:hint="cs"/>
          <w:sz w:val="27"/>
          <w:rtl/>
        </w:rPr>
        <w:t>:</w:t>
      </w:r>
    </w:p>
    <w:p w:rsidR="00F25A6C" w:rsidRPr="00282AC9" w:rsidRDefault="00F25A6C" w:rsidP="008B4A08">
      <w:pPr>
        <w:spacing w:line="410" w:lineRule="exact"/>
        <w:rPr>
          <w:sz w:val="27"/>
          <w:rtl/>
        </w:rPr>
      </w:pPr>
    </w:p>
    <w:p w:rsidR="00F25A6C" w:rsidRPr="00282AC9" w:rsidRDefault="00F25A6C" w:rsidP="00F25A6C">
      <w:pPr>
        <w:pStyle w:val="31"/>
        <w:rPr>
          <w:color w:val="auto"/>
          <w:rtl/>
        </w:rPr>
      </w:pPr>
      <w:r w:rsidRPr="00282AC9">
        <w:rPr>
          <w:rFonts w:hint="cs"/>
          <w:color w:val="auto"/>
          <w:rtl/>
        </w:rPr>
        <w:t>أـ أنواع الحكم الإلهي</w:t>
      </w:r>
    </w:p>
    <w:p w:rsidR="005244B8" w:rsidRPr="00282AC9" w:rsidRDefault="005244B8" w:rsidP="00BC4D37">
      <w:pPr>
        <w:rPr>
          <w:sz w:val="27"/>
          <w:rtl/>
        </w:rPr>
      </w:pPr>
      <w:r w:rsidRPr="00282AC9">
        <w:rPr>
          <w:rFonts w:hint="cs"/>
          <w:sz w:val="27"/>
          <w:rtl/>
        </w:rPr>
        <w:t>إن الأحكام الإلهية على نوعين:</w:t>
      </w:r>
    </w:p>
    <w:p w:rsidR="005244B8" w:rsidRPr="00282AC9" w:rsidRDefault="005244B8" w:rsidP="00BC4D37">
      <w:pPr>
        <w:rPr>
          <w:sz w:val="27"/>
          <w:rtl/>
        </w:rPr>
      </w:pPr>
      <w:r w:rsidRPr="00282AC9">
        <w:rPr>
          <w:rFonts w:hint="cs"/>
          <w:b/>
          <w:bCs/>
          <w:sz w:val="27"/>
          <w:rtl/>
        </w:rPr>
        <w:t>النوع الأوّل</w:t>
      </w:r>
      <w:r w:rsidRPr="00282AC9">
        <w:rPr>
          <w:rFonts w:hint="cs"/>
          <w:sz w:val="27"/>
          <w:rtl/>
        </w:rPr>
        <w:t xml:space="preserve">: </w:t>
      </w:r>
      <w:r w:rsidR="00BC5E40" w:rsidRPr="00282AC9">
        <w:rPr>
          <w:rFonts w:hint="cs"/>
          <w:sz w:val="27"/>
          <w:rtl/>
        </w:rPr>
        <w:t>الأحكام الثابتة التي لا تقبل التغيير في أيّ مكان</w:t>
      </w:r>
      <w:r w:rsidR="00855774" w:rsidRPr="00282AC9">
        <w:rPr>
          <w:rFonts w:hint="cs"/>
          <w:sz w:val="27"/>
          <w:rtl/>
        </w:rPr>
        <w:t>ٍ</w:t>
      </w:r>
      <w:r w:rsidR="00BC5E40" w:rsidRPr="00282AC9">
        <w:rPr>
          <w:rFonts w:hint="cs"/>
          <w:sz w:val="27"/>
          <w:rtl/>
        </w:rPr>
        <w:t xml:space="preserve"> وزمان</w:t>
      </w:r>
      <w:r w:rsidR="00855774" w:rsidRPr="00282AC9">
        <w:rPr>
          <w:rFonts w:hint="cs"/>
          <w:sz w:val="27"/>
          <w:rtl/>
        </w:rPr>
        <w:t>،</w:t>
      </w:r>
      <w:r w:rsidR="00BC5E40" w:rsidRPr="00282AC9">
        <w:rPr>
          <w:rFonts w:hint="cs"/>
          <w:sz w:val="27"/>
          <w:rtl/>
        </w:rPr>
        <w:t xml:space="preserve"> مثل</w:t>
      </w:r>
      <w:r w:rsidR="00855774" w:rsidRPr="00282AC9">
        <w:rPr>
          <w:rFonts w:hint="cs"/>
          <w:sz w:val="27"/>
          <w:rtl/>
        </w:rPr>
        <w:t>:</w:t>
      </w:r>
      <w:r w:rsidR="00BC5E40" w:rsidRPr="00282AC9">
        <w:rPr>
          <w:rFonts w:hint="cs"/>
          <w:sz w:val="27"/>
          <w:rtl/>
        </w:rPr>
        <w:t xml:space="preserve"> ضروريات الإسلام، من قبيل: الصلاة والصوم والحج</w:t>
      </w:r>
      <w:r w:rsidR="00855774" w:rsidRPr="00282AC9">
        <w:rPr>
          <w:rFonts w:hint="cs"/>
          <w:sz w:val="27"/>
          <w:rtl/>
        </w:rPr>
        <w:t>ّ،</w:t>
      </w:r>
      <w:r w:rsidR="00BC5E40" w:rsidRPr="00282AC9">
        <w:rPr>
          <w:rFonts w:hint="cs"/>
          <w:sz w:val="27"/>
          <w:rtl/>
        </w:rPr>
        <w:t xml:space="preserve"> وما إلى ذلك مم</w:t>
      </w:r>
      <w:r w:rsidR="00855774" w:rsidRPr="00282AC9">
        <w:rPr>
          <w:rFonts w:hint="cs"/>
          <w:sz w:val="27"/>
          <w:rtl/>
        </w:rPr>
        <w:t>ّ</w:t>
      </w:r>
      <w:r w:rsidR="00BC5E40" w:rsidRPr="00282AC9">
        <w:rPr>
          <w:rFonts w:hint="cs"/>
          <w:sz w:val="27"/>
          <w:rtl/>
        </w:rPr>
        <w:t>ا لا يطاله التغيير ويبقى ثابتاً إلى الأبد</w:t>
      </w:r>
      <w:r w:rsidRPr="00282AC9">
        <w:rPr>
          <w:rFonts w:hint="cs"/>
          <w:sz w:val="27"/>
          <w:rtl/>
        </w:rPr>
        <w:t>،</w:t>
      </w:r>
      <w:r w:rsidR="00BC5E40" w:rsidRPr="00282AC9">
        <w:rPr>
          <w:rFonts w:hint="cs"/>
          <w:sz w:val="27"/>
          <w:rtl/>
        </w:rPr>
        <w:t xml:space="preserve"> رغم أن شرائط الزمان والمكان قد يكون لها تأثير</w:t>
      </w:r>
      <w:r w:rsidRPr="00282AC9">
        <w:rPr>
          <w:rFonts w:hint="cs"/>
          <w:sz w:val="27"/>
          <w:rtl/>
        </w:rPr>
        <w:t>ٌ</w:t>
      </w:r>
      <w:r w:rsidR="00BC5E40" w:rsidRPr="00282AC9">
        <w:rPr>
          <w:rFonts w:hint="cs"/>
          <w:sz w:val="27"/>
          <w:rtl/>
        </w:rPr>
        <w:t xml:space="preserve"> في كيفي</w:t>
      </w:r>
      <w:r w:rsidRPr="00282AC9">
        <w:rPr>
          <w:rFonts w:hint="cs"/>
          <w:sz w:val="27"/>
          <w:rtl/>
        </w:rPr>
        <w:t>ّة تطبيقاتها.</w:t>
      </w:r>
    </w:p>
    <w:p w:rsidR="00BC5E40" w:rsidRPr="00282AC9" w:rsidRDefault="00BC5E40" w:rsidP="00BC4D37">
      <w:pPr>
        <w:rPr>
          <w:sz w:val="27"/>
          <w:rtl/>
        </w:rPr>
      </w:pPr>
      <w:r w:rsidRPr="00282AC9">
        <w:rPr>
          <w:rFonts w:hint="cs"/>
          <w:sz w:val="27"/>
          <w:rtl/>
        </w:rPr>
        <w:t>إن تشريع هذه القوانين من مختص</w:t>
      </w:r>
      <w:r w:rsidR="005244B8" w:rsidRPr="00282AC9">
        <w:rPr>
          <w:rFonts w:hint="cs"/>
          <w:sz w:val="27"/>
          <w:rtl/>
        </w:rPr>
        <w:t>ّ</w:t>
      </w:r>
      <w:r w:rsidRPr="00282AC9">
        <w:rPr>
          <w:rFonts w:hint="cs"/>
          <w:sz w:val="27"/>
          <w:rtl/>
        </w:rPr>
        <w:t>ات الذات الإلهية المقد</w:t>
      </w:r>
      <w:r w:rsidR="005244B8" w:rsidRPr="00282AC9">
        <w:rPr>
          <w:rFonts w:hint="cs"/>
          <w:sz w:val="27"/>
          <w:rtl/>
        </w:rPr>
        <w:t>ّ</w:t>
      </w:r>
      <w:r w:rsidRPr="00282AC9">
        <w:rPr>
          <w:rFonts w:hint="cs"/>
          <w:sz w:val="27"/>
          <w:rtl/>
        </w:rPr>
        <w:t>سة، ولا حق</w:t>
      </w:r>
      <w:r w:rsidR="005244B8" w:rsidRPr="00282AC9">
        <w:rPr>
          <w:rFonts w:hint="cs"/>
          <w:sz w:val="27"/>
          <w:rtl/>
        </w:rPr>
        <w:t>َّ</w:t>
      </w:r>
      <w:r w:rsidRPr="00282AC9">
        <w:rPr>
          <w:rFonts w:hint="cs"/>
          <w:sz w:val="27"/>
          <w:rtl/>
        </w:rPr>
        <w:t xml:space="preserve"> لغيره في جعل هذه القوانين</w:t>
      </w:r>
      <w:r w:rsidRPr="00282AC9">
        <w:rPr>
          <w:sz w:val="27"/>
          <w:vertAlign w:val="superscript"/>
          <w:rtl/>
        </w:rPr>
        <w:t>(</w:t>
      </w:r>
      <w:r w:rsidRPr="00282AC9">
        <w:rPr>
          <w:rStyle w:val="af9"/>
          <w:sz w:val="27"/>
          <w:rtl/>
        </w:rPr>
        <w:endnoteReference w:id="43"/>
      </w:r>
      <w:r w:rsidRPr="00282AC9">
        <w:rPr>
          <w:sz w:val="27"/>
          <w:vertAlign w:val="superscript"/>
          <w:rtl/>
        </w:rPr>
        <w:t>)</w:t>
      </w:r>
      <w:r w:rsidRPr="00282AC9">
        <w:rPr>
          <w:rFonts w:hint="cs"/>
          <w:sz w:val="27"/>
          <w:rtl/>
        </w:rPr>
        <w:t>.</w:t>
      </w:r>
    </w:p>
    <w:p w:rsidR="00BC5E40" w:rsidRPr="00282AC9" w:rsidRDefault="005244B8" w:rsidP="00BC4D37">
      <w:pPr>
        <w:rPr>
          <w:sz w:val="27"/>
          <w:rtl/>
        </w:rPr>
      </w:pPr>
      <w:r w:rsidRPr="00282AC9">
        <w:rPr>
          <w:rFonts w:hint="cs"/>
          <w:b/>
          <w:bCs/>
          <w:sz w:val="27"/>
          <w:rtl/>
        </w:rPr>
        <w:t>ا</w:t>
      </w:r>
      <w:r w:rsidR="00BC5E40" w:rsidRPr="00282AC9">
        <w:rPr>
          <w:rFonts w:hint="cs"/>
          <w:b/>
          <w:bCs/>
          <w:sz w:val="27"/>
          <w:rtl/>
        </w:rPr>
        <w:t>لنوع الثاني</w:t>
      </w:r>
      <w:r w:rsidRPr="00282AC9">
        <w:rPr>
          <w:rFonts w:hint="cs"/>
          <w:sz w:val="27"/>
          <w:rtl/>
        </w:rPr>
        <w:t>:</w:t>
      </w:r>
      <w:r w:rsidR="00BC5E40" w:rsidRPr="00282AC9">
        <w:rPr>
          <w:rFonts w:hint="cs"/>
          <w:sz w:val="27"/>
          <w:rtl/>
        </w:rPr>
        <w:t xml:space="preserve"> الأحكام التي تنبثق عن الولاية، ويتمّ وضعها وتطبيقها بح</w:t>
      </w:r>
      <w:r w:rsidRPr="00282AC9">
        <w:rPr>
          <w:rFonts w:hint="cs"/>
          <w:sz w:val="27"/>
          <w:rtl/>
        </w:rPr>
        <w:t>َ</w:t>
      </w:r>
      <w:r w:rsidR="00BC5E40" w:rsidRPr="00282AC9">
        <w:rPr>
          <w:rFonts w:hint="cs"/>
          <w:sz w:val="27"/>
          <w:rtl/>
        </w:rPr>
        <w:t>س</w:t>
      </w:r>
      <w:r w:rsidRPr="00282AC9">
        <w:rPr>
          <w:rFonts w:hint="cs"/>
          <w:sz w:val="27"/>
          <w:rtl/>
        </w:rPr>
        <w:t>َ</w:t>
      </w:r>
      <w:r w:rsidR="00BC5E40" w:rsidRPr="00282AC9">
        <w:rPr>
          <w:rFonts w:hint="cs"/>
          <w:sz w:val="27"/>
          <w:rtl/>
        </w:rPr>
        <w:t>ب المصلحة الراهنة. وكما ات</w:t>
      </w:r>
      <w:r w:rsidRPr="00282AC9">
        <w:rPr>
          <w:rFonts w:hint="cs"/>
          <w:sz w:val="27"/>
          <w:rtl/>
        </w:rPr>
        <w:t>ّ</w:t>
      </w:r>
      <w:r w:rsidR="00BC5E40" w:rsidRPr="00282AC9">
        <w:rPr>
          <w:rFonts w:hint="cs"/>
          <w:sz w:val="27"/>
          <w:rtl/>
        </w:rPr>
        <w:t>ضح بطبيعة الحال فإن هذا النوع من الأحكام تابع</w:t>
      </w:r>
      <w:r w:rsidRPr="00282AC9">
        <w:rPr>
          <w:rFonts w:hint="cs"/>
          <w:sz w:val="27"/>
          <w:rtl/>
        </w:rPr>
        <w:t>ٌ</w:t>
      </w:r>
      <w:r w:rsidR="00BC5E40" w:rsidRPr="00282AC9">
        <w:rPr>
          <w:rFonts w:hint="cs"/>
          <w:sz w:val="27"/>
          <w:rtl/>
        </w:rPr>
        <w:t xml:space="preserve"> في بقائه وزواله لمقتضيات وموجبات المرحلة، وهي تتغيّ</w:t>
      </w:r>
      <w:r w:rsidRPr="00282AC9">
        <w:rPr>
          <w:rFonts w:hint="cs"/>
          <w:sz w:val="27"/>
          <w:rtl/>
        </w:rPr>
        <w:t>َ</w:t>
      </w:r>
      <w:r w:rsidR="00BC5E40" w:rsidRPr="00282AC9">
        <w:rPr>
          <w:rFonts w:hint="cs"/>
          <w:sz w:val="27"/>
          <w:rtl/>
        </w:rPr>
        <w:t>ر وتتحوّ</w:t>
      </w:r>
      <w:r w:rsidRPr="00282AC9">
        <w:rPr>
          <w:rFonts w:hint="cs"/>
          <w:sz w:val="27"/>
          <w:rtl/>
        </w:rPr>
        <w:t>َ</w:t>
      </w:r>
      <w:r w:rsidR="00BC5E40" w:rsidRPr="00282AC9">
        <w:rPr>
          <w:rFonts w:hint="cs"/>
          <w:sz w:val="27"/>
          <w:rtl/>
        </w:rPr>
        <w:t>ل ح</w:t>
      </w:r>
      <w:r w:rsidRPr="00282AC9">
        <w:rPr>
          <w:rFonts w:hint="cs"/>
          <w:sz w:val="27"/>
          <w:rtl/>
        </w:rPr>
        <w:t>َ</w:t>
      </w:r>
      <w:r w:rsidR="00BC5E40" w:rsidRPr="00282AC9">
        <w:rPr>
          <w:rFonts w:hint="cs"/>
          <w:sz w:val="27"/>
          <w:rtl/>
        </w:rPr>
        <w:t>ت</w:t>
      </w:r>
      <w:r w:rsidRPr="00282AC9">
        <w:rPr>
          <w:rFonts w:hint="cs"/>
          <w:sz w:val="27"/>
          <w:rtl/>
        </w:rPr>
        <w:t>ْ</w:t>
      </w:r>
      <w:r w:rsidR="00BC5E40" w:rsidRPr="00282AC9">
        <w:rPr>
          <w:rFonts w:hint="cs"/>
          <w:sz w:val="27"/>
          <w:rtl/>
        </w:rPr>
        <w:t>ماً بتطوّ</w:t>
      </w:r>
      <w:r w:rsidRPr="00282AC9">
        <w:rPr>
          <w:rFonts w:hint="cs"/>
          <w:sz w:val="27"/>
          <w:rtl/>
        </w:rPr>
        <w:t>ُ</w:t>
      </w:r>
      <w:r w:rsidR="00BC5E40" w:rsidRPr="00282AC9">
        <w:rPr>
          <w:rFonts w:hint="cs"/>
          <w:sz w:val="27"/>
          <w:rtl/>
        </w:rPr>
        <w:t xml:space="preserve">ر المدنية وتغيير </w:t>
      </w:r>
      <w:r w:rsidR="00BC5E40" w:rsidRPr="00282AC9">
        <w:rPr>
          <w:rFonts w:hint="cs"/>
          <w:sz w:val="27"/>
          <w:rtl/>
        </w:rPr>
        <w:lastRenderedPageBreak/>
        <w:t>المصالح والمفاسد. وإن أصل الولاية بما هو حكم</w:t>
      </w:r>
      <w:r w:rsidRPr="00282AC9">
        <w:rPr>
          <w:rFonts w:hint="cs"/>
          <w:sz w:val="27"/>
          <w:rtl/>
        </w:rPr>
        <w:t>ٌ</w:t>
      </w:r>
      <w:r w:rsidR="00BC5E40" w:rsidRPr="00282AC9">
        <w:rPr>
          <w:rFonts w:hint="cs"/>
          <w:sz w:val="27"/>
          <w:rtl/>
        </w:rPr>
        <w:t xml:space="preserve"> سماوي</w:t>
      </w:r>
      <w:r w:rsidRPr="00282AC9">
        <w:rPr>
          <w:rFonts w:hint="cs"/>
          <w:sz w:val="27"/>
          <w:rtl/>
        </w:rPr>
        <w:t>ّ</w:t>
      </w:r>
      <w:r w:rsidR="00BC5E40" w:rsidRPr="00282AC9">
        <w:rPr>
          <w:rFonts w:hint="cs"/>
          <w:sz w:val="27"/>
          <w:rtl/>
        </w:rPr>
        <w:t xml:space="preserve"> يعتبر من مواد</w:t>
      </w:r>
      <w:r w:rsidRPr="00282AC9">
        <w:rPr>
          <w:rFonts w:hint="cs"/>
          <w:sz w:val="27"/>
          <w:rtl/>
        </w:rPr>
        <w:t>ّ</w:t>
      </w:r>
      <w:r w:rsidR="00BC5E40" w:rsidRPr="00282AC9">
        <w:rPr>
          <w:rFonts w:hint="cs"/>
          <w:sz w:val="27"/>
          <w:rtl/>
        </w:rPr>
        <w:t xml:space="preserve"> الشريعة، لا يقبل النسخ والتغيير</w:t>
      </w:r>
      <w:r w:rsidR="00BC5E40" w:rsidRPr="00282AC9">
        <w:rPr>
          <w:sz w:val="27"/>
          <w:vertAlign w:val="superscript"/>
          <w:rtl/>
        </w:rPr>
        <w:t>(</w:t>
      </w:r>
      <w:r w:rsidR="00BC5E40" w:rsidRPr="00282AC9">
        <w:rPr>
          <w:rStyle w:val="af9"/>
          <w:sz w:val="27"/>
          <w:rtl/>
        </w:rPr>
        <w:endnoteReference w:id="44"/>
      </w:r>
      <w:r w:rsidR="00BC5E40" w:rsidRPr="00282AC9">
        <w:rPr>
          <w:sz w:val="27"/>
          <w:vertAlign w:val="superscript"/>
          <w:rtl/>
        </w:rPr>
        <w:t>)</w:t>
      </w:r>
      <w:r w:rsidR="00BC5E40" w:rsidRPr="00282AC9">
        <w:rPr>
          <w:rFonts w:hint="cs"/>
          <w:sz w:val="27"/>
          <w:rtl/>
        </w:rPr>
        <w:t>.</w:t>
      </w:r>
    </w:p>
    <w:p w:rsidR="00075DE8" w:rsidRPr="00282AC9" w:rsidRDefault="00075DE8" w:rsidP="00075DE8">
      <w:pPr>
        <w:spacing w:line="440" w:lineRule="exact"/>
        <w:rPr>
          <w:sz w:val="27"/>
          <w:rtl/>
        </w:rPr>
      </w:pPr>
    </w:p>
    <w:p w:rsidR="00F25A6C" w:rsidRPr="00282AC9" w:rsidRDefault="00F25A6C" w:rsidP="00F25A6C">
      <w:pPr>
        <w:pStyle w:val="31"/>
        <w:rPr>
          <w:color w:val="auto"/>
          <w:rtl/>
        </w:rPr>
      </w:pPr>
      <w:r w:rsidRPr="00282AC9">
        <w:rPr>
          <w:rFonts w:hint="cs"/>
          <w:color w:val="auto"/>
          <w:rtl/>
        </w:rPr>
        <w:t>ب ـ الحكم الإسلامي بين التكليفي والوضعي</w:t>
      </w:r>
    </w:p>
    <w:p w:rsidR="005244B8" w:rsidRPr="00282AC9" w:rsidRDefault="00BC5E40" w:rsidP="00BC4D37">
      <w:pPr>
        <w:rPr>
          <w:sz w:val="27"/>
          <w:rtl/>
        </w:rPr>
      </w:pPr>
      <w:r w:rsidRPr="00282AC9">
        <w:rPr>
          <w:rFonts w:hint="cs"/>
          <w:sz w:val="27"/>
          <w:rtl/>
        </w:rPr>
        <w:t>كما تنقسم الأحكام الإسلامية من ناحية</w:t>
      </w:r>
      <w:r w:rsidR="005244B8" w:rsidRPr="00282AC9">
        <w:rPr>
          <w:rFonts w:hint="cs"/>
          <w:sz w:val="27"/>
          <w:rtl/>
        </w:rPr>
        <w:t>ٍ</w:t>
      </w:r>
      <w:r w:rsidRPr="00282AC9">
        <w:rPr>
          <w:rFonts w:hint="cs"/>
          <w:sz w:val="27"/>
          <w:rtl/>
        </w:rPr>
        <w:t xml:space="preserve"> أخرى إلى قسمين، وهما: الأحك</w:t>
      </w:r>
      <w:r w:rsidR="005244B8" w:rsidRPr="00282AC9">
        <w:rPr>
          <w:rFonts w:hint="cs"/>
          <w:sz w:val="27"/>
          <w:rtl/>
        </w:rPr>
        <w:t>ام التكليفية؛ والأحكام الوضعية.</w:t>
      </w:r>
    </w:p>
    <w:p w:rsidR="005244B8" w:rsidRPr="00282AC9" w:rsidRDefault="00BC5E40" w:rsidP="00BC4D37">
      <w:pPr>
        <w:rPr>
          <w:sz w:val="27"/>
          <w:rtl/>
        </w:rPr>
      </w:pPr>
      <w:r w:rsidRPr="00282AC9">
        <w:rPr>
          <w:rFonts w:hint="cs"/>
          <w:sz w:val="27"/>
          <w:rtl/>
        </w:rPr>
        <w:t>والأحكام التكليفية على خمسة أنواع، وت</w:t>
      </w:r>
      <w:r w:rsidR="005244B8" w:rsidRPr="00282AC9">
        <w:rPr>
          <w:rFonts w:hint="cs"/>
          <w:sz w:val="27"/>
          <w:rtl/>
        </w:rPr>
        <w:t>ُ</w:t>
      </w:r>
      <w:r w:rsidRPr="00282AC9">
        <w:rPr>
          <w:rFonts w:hint="cs"/>
          <w:sz w:val="27"/>
          <w:rtl/>
        </w:rPr>
        <w:t>ع</w:t>
      </w:r>
      <w:r w:rsidR="005244B8" w:rsidRPr="00282AC9">
        <w:rPr>
          <w:rFonts w:hint="cs"/>
          <w:sz w:val="27"/>
          <w:rtl/>
        </w:rPr>
        <w:t>ْ</w:t>
      </w:r>
      <w:r w:rsidRPr="00282AC9">
        <w:rPr>
          <w:rFonts w:hint="cs"/>
          <w:sz w:val="27"/>
          <w:rtl/>
        </w:rPr>
        <w:t>ر</w:t>
      </w:r>
      <w:r w:rsidR="005244B8" w:rsidRPr="00282AC9">
        <w:rPr>
          <w:rFonts w:hint="cs"/>
          <w:sz w:val="27"/>
          <w:rtl/>
        </w:rPr>
        <w:t>َ</w:t>
      </w:r>
      <w:r w:rsidRPr="00282AC9">
        <w:rPr>
          <w:rFonts w:hint="cs"/>
          <w:sz w:val="27"/>
          <w:rtl/>
        </w:rPr>
        <w:t>ف بح</w:t>
      </w:r>
      <w:r w:rsidR="005244B8" w:rsidRPr="00282AC9">
        <w:rPr>
          <w:rFonts w:hint="cs"/>
          <w:sz w:val="27"/>
          <w:rtl/>
        </w:rPr>
        <w:t>َ</w:t>
      </w:r>
      <w:r w:rsidRPr="00282AC9">
        <w:rPr>
          <w:rFonts w:hint="cs"/>
          <w:sz w:val="27"/>
          <w:rtl/>
        </w:rPr>
        <w:t>س</w:t>
      </w:r>
      <w:r w:rsidR="005244B8" w:rsidRPr="00282AC9">
        <w:rPr>
          <w:rFonts w:hint="cs"/>
          <w:sz w:val="27"/>
          <w:rtl/>
        </w:rPr>
        <w:t>َ</w:t>
      </w:r>
      <w:r w:rsidRPr="00282AC9">
        <w:rPr>
          <w:rFonts w:hint="cs"/>
          <w:sz w:val="27"/>
          <w:rtl/>
        </w:rPr>
        <w:t xml:space="preserve">ب المصطلح بالأحكام الخمسة، أي: الوجوب، والحرمة، </w:t>
      </w:r>
      <w:r w:rsidR="005244B8" w:rsidRPr="00282AC9">
        <w:rPr>
          <w:rFonts w:hint="cs"/>
          <w:sz w:val="27"/>
          <w:rtl/>
        </w:rPr>
        <w:t>والاستحباب، والكراهة، والإباحة.</w:t>
      </w:r>
    </w:p>
    <w:p w:rsidR="00BC5E40" w:rsidRPr="00282AC9" w:rsidRDefault="00BC5E40" w:rsidP="00BC4D37">
      <w:pPr>
        <w:rPr>
          <w:sz w:val="27"/>
          <w:rtl/>
        </w:rPr>
      </w:pPr>
      <w:r w:rsidRPr="00282AC9">
        <w:rPr>
          <w:rFonts w:hint="cs"/>
          <w:sz w:val="27"/>
          <w:rtl/>
        </w:rPr>
        <w:t>ومن هذه الأحكام الخمسة ما هو إلزامي</w:t>
      </w:r>
      <w:r w:rsidR="005244B8" w:rsidRPr="00282AC9">
        <w:rPr>
          <w:rFonts w:hint="cs"/>
          <w:sz w:val="27"/>
          <w:rtl/>
        </w:rPr>
        <w:t>ٌّ</w:t>
      </w:r>
      <w:r w:rsidRPr="00282AC9">
        <w:rPr>
          <w:rFonts w:hint="cs"/>
          <w:sz w:val="27"/>
          <w:rtl/>
        </w:rPr>
        <w:t>، مثل: الوجوب</w:t>
      </w:r>
      <w:r w:rsidR="005244B8" w:rsidRPr="00282AC9">
        <w:rPr>
          <w:rFonts w:hint="cs"/>
          <w:sz w:val="27"/>
          <w:rtl/>
        </w:rPr>
        <w:t>،</w:t>
      </w:r>
      <w:r w:rsidRPr="00282AC9">
        <w:rPr>
          <w:rFonts w:hint="cs"/>
          <w:sz w:val="27"/>
          <w:rtl/>
        </w:rPr>
        <w:t xml:space="preserve"> والحرمة، وهي التي تعرف في المصطلح الحقوقي</w:t>
      </w:r>
      <w:r w:rsidR="005244B8" w:rsidRPr="00282AC9">
        <w:rPr>
          <w:rFonts w:hint="cs"/>
          <w:sz w:val="27"/>
          <w:rtl/>
        </w:rPr>
        <w:t>ّ</w:t>
      </w:r>
      <w:r w:rsidRPr="00282AC9">
        <w:rPr>
          <w:rFonts w:hint="cs"/>
          <w:sz w:val="27"/>
          <w:rtl/>
        </w:rPr>
        <w:t xml:space="preserve"> بالقوانين والأحكام الآمرة</w:t>
      </w:r>
      <w:r w:rsidR="005244B8" w:rsidRPr="00282AC9">
        <w:rPr>
          <w:rFonts w:hint="cs"/>
          <w:sz w:val="27"/>
          <w:rtl/>
        </w:rPr>
        <w:t>؛</w:t>
      </w:r>
      <w:r w:rsidRPr="00282AC9">
        <w:rPr>
          <w:rFonts w:hint="cs"/>
          <w:sz w:val="27"/>
          <w:rtl/>
        </w:rPr>
        <w:t xml:space="preserve"> ومنها ما هو غير مُل</w:t>
      </w:r>
      <w:r w:rsidR="005244B8" w:rsidRPr="00282AC9">
        <w:rPr>
          <w:rFonts w:hint="cs"/>
          <w:sz w:val="27"/>
          <w:rtl/>
        </w:rPr>
        <w:t>ْ</w:t>
      </w:r>
      <w:r w:rsidRPr="00282AC9">
        <w:rPr>
          <w:rFonts w:hint="cs"/>
          <w:sz w:val="27"/>
          <w:rtl/>
        </w:rPr>
        <w:t>ز</w:t>
      </w:r>
      <w:r w:rsidR="005244B8" w:rsidRPr="00282AC9">
        <w:rPr>
          <w:rFonts w:hint="cs"/>
          <w:sz w:val="27"/>
          <w:rtl/>
        </w:rPr>
        <w:t>ِ</w:t>
      </w:r>
      <w:r w:rsidRPr="00282AC9">
        <w:rPr>
          <w:rFonts w:hint="cs"/>
          <w:sz w:val="27"/>
          <w:rtl/>
        </w:rPr>
        <w:t>م</w:t>
      </w:r>
      <w:r w:rsidR="005244B8" w:rsidRPr="00282AC9">
        <w:rPr>
          <w:rFonts w:hint="cs"/>
          <w:sz w:val="27"/>
          <w:rtl/>
        </w:rPr>
        <w:t>ٍ،</w:t>
      </w:r>
      <w:r w:rsidRPr="00282AC9">
        <w:rPr>
          <w:rFonts w:hint="cs"/>
          <w:sz w:val="27"/>
          <w:rtl/>
        </w:rPr>
        <w:t xml:space="preserve"> من قبيل: الاستحباب</w:t>
      </w:r>
      <w:r w:rsidR="005244B8" w:rsidRPr="00282AC9">
        <w:rPr>
          <w:rFonts w:hint="cs"/>
          <w:sz w:val="27"/>
          <w:rtl/>
        </w:rPr>
        <w:t>،</w:t>
      </w:r>
      <w:r w:rsidRPr="00282AC9">
        <w:rPr>
          <w:rFonts w:hint="cs"/>
          <w:sz w:val="27"/>
          <w:rtl/>
        </w:rPr>
        <w:t xml:space="preserve"> والكراهة</w:t>
      </w:r>
      <w:r w:rsidR="005244B8" w:rsidRPr="00282AC9">
        <w:rPr>
          <w:rFonts w:hint="cs"/>
          <w:sz w:val="27"/>
          <w:rtl/>
        </w:rPr>
        <w:t>،</w:t>
      </w:r>
      <w:r w:rsidRPr="00282AC9">
        <w:rPr>
          <w:rFonts w:hint="cs"/>
          <w:sz w:val="27"/>
          <w:rtl/>
        </w:rPr>
        <w:t xml:space="preserve"> والإباحة.</w:t>
      </w:r>
    </w:p>
    <w:p w:rsidR="006169FF" w:rsidRPr="00282AC9" w:rsidRDefault="00BC5E40" w:rsidP="00BC4D37">
      <w:pPr>
        <w:rPr>
          <w:sz w:val="27"/>
          <w:rtl/>
        </w:rPr>
      </w:pPr>
      <w:r w:rsidRPr="00282AC9">
        <w:rPr>
          <w:rFonts w:hint="cs"/>
          <w:sz w:val="27"/>
          <w:rtl/>
        </w:rPr>
        <w:t>ور</w:t>
      </w:r>
      <w:r w:rsidR="006169FF" w:rsidRPr="00282AC9">
        <w:rPr>
          <w:rFonts w:hint="cs"/>
          <w:sz w:val="27"/>
          <w:rtl/>
        </w:rPr>
        <w:t>ُ</w:t>
      </w:r>
      <w:r w:rsidRPr="00282AC9">
        <w:rPr>
          <w:rFonts w:hint="cs"/>
          <w:sz w:val="27"/>
          <w:rtl/>
        </w:rPr>
        <w:t>ب</w:t>
      </w:r>
      <w:r w:rsidR="006169FF" w:rsidRPr="00282AC9">
        <w:rPr>
          <w:rFonts w:hint="cs"/>
          <w:sz w:val="27"/>
          <w:rtl/>
        </w:rPr>
        <w:t>َ</w:t>
      </w:r>
      <w:r w:rsidRPr="00282AC9">
        <w:rPr>
          <w:rFonts w:hint="cs"/>
          <w:sz w:val="27"/>
          <w:rtl/>
        </w:rPr>
        <w:t>ما كان مراد العلماء الكبار الذين آمنوا بمنطقة الفراغ، وقالوا بأن الله قد خ</w:t>
      </w:r>
      <w:r w:rsidR="006169FF" w:rsidRPr="00282AC9">
        <w:rPr>
          <w:rFonts w:hint="cs"/>
          <w:sz w:val="27"/>
          <w:rtl/>
        </w:rPr>
        <w:t>َ</w:t>
      </w:r>
      <w:r w:rsidRPr="00282AC9">
        <w:rPr>
          <w:rFonts w:hint="cs"/>
          <w:sz w:val="27"/>
          <w:rtl/>
        </w:rPr>
        <w:t>وّ</w:t>
      </w:r>
      <w:r w:rsidR="006169FF" w:rsidRPr="00282AC9">
        <w:rPr>
          <w:rFonts w:hint="cs"/>
          <w:sz w:val="27"/>
          <w:rtl/>
        </w:rPr>
        <w:t>َ</w:t>
      </w:r>
      <w:r w:rsidRPr="00282AC9">
        <w:rPr>
          <w:rFonts w:hint="cs"/>
          <w:sz w:val="27"/>
          <w:rtl/>
        </w:rPr>
        <w:t>ل الحاكم الإسلامي جعل القوانين فيها، هو دائرة الأحكام غير الإلزامي</w:t>
      </w:r>
      <w:r w:rsidR="006169FF" w:rsidRPr="00282AC9">
        <w:rPr>
          <w:rFonts w:hint="cs"/>
          <w:sz w:val="27"/>
          <w:rtl/>
        </w:rPr>
        <w:t>ّ</w:t>
      </w:r>
      <w:r w:rsidRPr="00282AC9">
        <w:rPr>
          <w:rFonts w:hint="cs"/>
          <w:sz w:val="27"/>
          <w:rtl/>
        </w:rPr>
        <w:t xml:space="preserve">ة. </w:t>
      </w:r>
    </w:p>
    <w:p w:rsidR="00BC5E40" w:rsidRPr="00282AC9" w:rsidRDefault="00BC5E40" w:rsidP="00BC4D37">
      <w:pPr>
        <w:rPr>
          <w:sz w:val="27"/>
          <w:rtl/>
        </w:rPr>
      </w:pPr>
      <w:r w:rsidRPr="00282AC9">
        <w:rPr>
          <w:rFonts w:hint="cs"/>
          <w:sz w:val="27"/>
          <w:rtl/>
        </w:rPr>
        <w:t xml:space="preserve">قال السيد الشهيد محمد باقر الصدر في هذا الشأن: </w:t>
      </w:r>
      <w:r w:rsidRPr="00282AC9">
        <w:rPr>
          <w:rFonts w:hint="eastAsia"/>
          <w:sz w:val="24"/>
          <w:szCs w:val="24"/>
          <w:rtl/>
        </w:rPr>
        <w:t>«</w:t>
      </w:r>
      <w:r w:rsidRPr="00282AC9">
        <w:rPr>
          <w:rFonts w:hint="cs"/>
          <w:sz w:val="27"/>
          <w:rtl/>
        </w:rPr>
        <w:t>إن المذهب الاقتصادي في الإسلام يشتمل على جانبين</w:t>
      </w:r>
      <w:r w:rsidR="006169FF" w:rsidRPr="00282AC9">
        <w:rPr>
          <w:rFonts w:hint="cs"/>
          <w:sz w:val="27"/>
          <w:rtl/>
        </w:rPr>
        <w:t xml:space="preserve">: </w:t>
      </w:r>
      <w:r w:rsidRPr="00282AC9">
        <w:rPr>
          <w:rFonts w:hint="cs"/>
          <w:b/>
          <w:bCs/>
          <w:sz w:val="27"/>
          <w:rtl/>
        </w:rPr>
        <w:t>أحدهما</w:t>
      </w:r>
      <w:r w:rsidRPr="00282AC9">
        <w:rPr>
          <w:rFonts w:hint="cs"/>
          <w:sz w:val="27"/>
          <w:rtl/>
        </w:rPr>
        <w:t>: قد مُلئ من قِبَل الإسلام بصورة</w:t>
      </w:r>
      <w:r w:rsidR="006169FF" w:rsidRPr="00282AC9">
        <w:rPr>
          <w:rFonts w:hint="cs"/>
          <w:sz w:val="27"/>
          <w:rtl/>
        </w:rPr>
        <w:t>ٍ</w:t>
      </w:r>
      <w:r w:rsidRPr="00282AC9">
        <w:rPr>
          <w:rFonts w:hint="cs"/>
          <w:sz w:val="27"/>
          <w:rtl/>
        </w:rPr>
        <w:t xml:space="preserve"> منجزة</w:t>
      </w:r>
      <w:r w:rsidR="006169FF" w:rsidRPr="00282AC9">
        <w:rPr>
          <w:rFonts w:hint="cs"/>
          <w:sz w:val="27"/>
          <w:rtl/>
        </w:rPr>
        <w:t>،</w:t>
      </w:r>
      <w:r w:rsidRPr="00282AC9">
        <w:rPr>
          <w:rFonts w:hint="cs"/>
          <w:sz w:val="27"/>
          <w:rtl/>
        </w:rPr>
        <w:t xml:space="preserve"> لا تقبل التغيير والتبديل</w:t>
      </w:r>
      <w:r w:rsidR="006169FF" w:rsidRPr="00282AC9">
        <w:rPr>
          <w:rFonts w:hint="cs"/>
          <w:sz w:val="27"/>
          <w:rtl/>
        </w:rPr>
        <w:t>؛</w:t>
      </w:r>
      <w:r w:rsidRPr="00282AC9">
        <w:rPr>
          <w:rFonts w:hint="cs"/>
          <w:sz w:val="27"/>
          <w:rtl/>
        </w:rPr>
        <w:t xml:space="preserve"> </w:t>
      </w:r>
      <w:r w:rsidRPr="00282AC9">
        <w:rPr>
          <w:rFonts w:hint="cs"/>
          <w:b/>
          <w:bCs/>
          <w:sz w:val="27"/>
          <w:rtl/>
        </w:rPr>
        <w:t>والآخر</w:t>
      </w:r>
      <w:r w:rsidRPr="00282AC9">
        <w:rPr>
          <w:rFonts w:hint="cs"/>
          <w:sz w:val="27"/>
          <w:rtl/>
        </w:rPr>
        <w:t>: يشكّ</w:t>
      </w:r>
      <w:r w:rsidR="006169FF" w:rsidRPr="00282AC9">
        <w:rPr>
          <w:rFonts w:hint="cs"/>
          <w:sz w:val="27"/>
          <w:rtl/>
        </w:rPr>
        <w:t>ِ</w:t>
      </w:r>
      <w:r w:rsidRPr="00282AC9">
        <w:rPr>
          <w:rFonts w:hint="cs"/>
          <w:sz w:val="27"/>
          <w:rtl/>
        </w:rPr>
        <w:t>ل منطقة الفراغ في المذهب</w:t>
      </w:r>
      <w:r w:rsidR="006169FF" w:rsidRPr="00282AC9">
        <w:rPr>
          <w:rFonts w:hint="cs"/>
          <w:sz w:val="27"/>
          <w:rtl/>
        </w:rPr>
        <w:t>،</w:t>
      </w:r>
      <w:r w:rsidRPr="00282AC9">
        <w:rPr>
          <w:rFonts w:hint="cs"/>
          <w:sz w:val="27"/>
          <w:rtl/>
        </w:rPr>
        <w:t xml:space="preserve"> قد ترك الإسلام مهمّة م</w:t>
      </w:r>
      <w:r w:rsidR="006169FF" w:rsidRPr="00282AC9">
        <w:rPr>
          <w:rFonts w:hint="cs"/>
          <w:sz w:val="27"/>
          <w:rtl/>
        </w:rPr>
        <w:t>َ</w:t>
      </w:r>
      <w:r w:rsidRPr="00282AC9">
        <w:rPr>
          <w:rFonts w:hint="cs"/>
          <w:sz w:val="27"/>
          <w:rtl/>
        </w:rPr>
        <w:t>ل</w:t>
      </w:r>
      <w:r w:rsidR="006169FF" w:rsidRPr="00282AC9">
        <w:rPr>
          <w:rFonts w:hint="cs"/>
          <w:sz w:val="27"/>
          <w:rtl/>
        </w:rPr>
        <w:t>ْ</w:t>
      </w:r>
      <w:r w:rsidRPr="00282AC9">
        <w:rPr>
          <w:rFonts w:hint="cs"/>
          <w:sz w:val="27"/>
          <w:rtl/>
        </w:rPr>
        <w:t>ئها إلى الدولة أو ولي</w:t>
      </w:r>
      <w:r w:rsidR="006169FF" w:rsidRPr="00282AC9">
        <w:rPr>
          <w:rFonts w:hint="cs"/>
          <w:sz w:val="27"/>
          <w:rtl/>
        </w:rPr>
        <w:t>ّ</w:t>
      </w:r>
      <w:r w:rsidRPr="00282AC9">
        <w:rPr>
          <w:rFonts w:hint="cs"/>
          <w:sz w:val="27"/>
          <w:rtl/>
        </w:rPr>
        <w:t xml:space="preserve"> الأمر</w:t>
      </w:r>
      <w:r w:rsidRPr="00282AC9">
        <w:rPr>
          <w:rFonts w:hint="eastAsia"/>
          <w:sz w:val="24"/>
          <w:szCs w:val="24"/>
          <w:rtl/>
        </w:rPr>
        <w:t>»</w:t>
      </w:r>
      <w:r w:rsidRPr="00282AC9">
        <w:rPr>
          <w:sz w:val="27"/>
          <w:vertAlign w:val="superscript"/>
          <w:rtl/>
        </w:rPr>
        <w:t>(</w:t>
      </w:r>
      <w:r w:rsidRPr="00282AC9">
        <w:rPr>
          <w:rStyle w:val="af9"/>
          <w:sz w:val="27"/>
          <w:rtl/>
        </w:rPr>
        <w:endnoteReference w:id="45"/>
      </w:r>
      <w:r w:rsidRPr="00282AC9">
        <w:rPr>
          <w:sz w:val="27"/>
          <w:vertAlign w:val="superscript"/>
          <w:rtl/>
        </w:rPr>
        <w:t>)</w:t>
      </w:r>
      <w:r w:rsidRPr="00282AC9">
        <w:rPr>
          <w:rFonts w:hint="cs"/>
          <w:sz w:val="27"/>
          <w:rtl/>
        </w:rPr>
        <w:t xml:space="preserve">. </w:t>
      </w:r>
      <w:r w:rsidR="006169FF" w:rsidRPr="00282AC9">
        <w:rPr>
          <w:rFonts w:hint="cs"/>
          <w:sz w:val="27"/>
          <w:rtl/>
        </w:rPr>
        <w:t>و</w:t>
      </w:r>
      <w:r w:rsidRPr="00282AC9">
        <w:rPr>
          <w:rFonts w:hint="cs"/>
          <w:sz w:val="27"/>
          <w:rtl/>
        </w:rPr>
        <w:t xml:space="preserve">يُستفاد من هذه العبارة أن دائرة </w:t>
      </w:r>
      <w:r w:rsidR="006169FF" w:rsidRPr="00282AC9">
        <w:rPr>
          <w:rFonts w:hint="cs"/>
          <w:sz w:val="27"/>
          <w:rtl/>
        </w:rPr>
        <w:t>صلاحيات</w:t>
      </w:r>
      <w:r w:rsidRPr="00282AC9">
        <w:rPr>
          <w:rFonts w:hint="cs"/>
          <w:sz w:val="27"/>
          <w:rtl/>
        </w:rPr>
        <w:t xml:space="preserve"> الحاكم الإسلامي</w:t>
      </w:r>
      <w:r w:rsidR="006169FF" w:rsidRPr="00282AC9">
        <w:rPr>
          <w:rFonts w:hint="cs"/>
          <w:sz w:val="27"/>
          <w:rtl/>
        </w:rPr>
        <w:t>ّ</w:t>
      </w:r>
      <w:r w:rsidRPr="00282AC9">
        <w:rPr>
          <w:rFonts w:hint="cs"/>
          <w:sz w:val="27"/>
          <w:rtl/>
        </w:rPr>
        <w:t xml:space="preserve"> تنحصر في غير الأحكام الإلزامي</w:t>
      </w:r>
      <w:r w:rsidR="006169FF" w:rsidRPr="00282AC9">
        <w:rPr>
          <w:rFonts w:hint="cs"/>
          <w:sz w:val="27"/>
          <w:rtl/>
        </w:rPr>
        <w:t>ّ</w:t>
      </w:r>
      <w:r w:rsidRPr="00282AC9">
        <w:rPr>
          <w:rFonts w:hint="cs"/>
          <w:sz w:val="27"/>
          <w:rtl/>
        </w:rPr>
        <w:t>ة</w:t>
      </w:r>
      <w:r w:rsidR="006169FF" w:rsidRPr="00282AC9">
        <w:rPr>
          <w:rFonts w:hint="cs"/>
          <w:sz w:val="27"/>
          <w:rtl/>
        </w:rPr>
        <w:t>؛</w:t>
      </w:r>
      <w:r w:rsidRPr="00282AC9">
        <w:rPr>
          <w:rFonts w:hint="cs"/>
          <w:sz w:val="27"/>
          <w:rtl/>
        </w:rPr>
        <w:t xml:space="preserve"> إذ لا تغيير ولا تبديل في الأحكام الإلزامي</w:t>
      </w:r>
      <w:r w:rsidR="006169FF" w:rsidRPr="00282AC9">
        <w:rPr>
          <w:rFonts w:hint="cs"/>
          <w:sz w:val="27"/>
          <w:rtl/>
        </w:rPr>
        <w:t>ّ</w:t>
      </w:r>
      <w:r w:rsidRPr="00282AC9">
        <w:rPr>
          <w:rFonts w:hint="cs"/>
          <w:sz w:val="27"/>
          <w:rtl/>
        </w:rPr>
        <w:t>ة.</w:t>
      </w:r>
    </w:p>
    <w:p w:rsidR="00075DE8" w:rsidRPr="00282AC9" w:rsidRDefault="00075DE8" w:rsidP="00075DE8">
      <w:pPr>
        <w:spacing w:line="410" w:lineRule="exact"/>
        <w:rPr>
          <w:sz w:val="27"/>
          <w:rtl/>
        </w:rPr>
      </w:pPr>
    </w:p>
    <w:p w:rsidR="00F25A6C" w:rsidRPr="00282AC9" w:rsidRDefault="00F25A6C" w:rsidP="00F25A6C">
      <w:pPr>
        <w:pStyle w:val="31"/>
        <w:rPr>
          <w:color w:val="auto"/>
          <w:rtl/>
        </w:rPr>
      </w:pPr>
      <w:r w:rsidRPr="00282AC9">
        <w:rPr>
          <w:rFonts w:hint="cs"/>
          <w:color w:val="auto"/>
          <w:rtl/>
        </w:rPr>
        <w:t>ج ـ معنى منطقة الفراغ</w:t>
      </w:r>
    </w:p>
    <w:p w:rsidR="00BC5E40" w:rsidRPr="00282AC9" w:rsidRDefault="00BC5E40" w:rsidP="00BC4D37">
      <w:pPr>
        <w:rPr>
          <w:sz w:val="27"/>
          <w:rtl/>
        </w:rPr>
      </w:pPr>
      <w:r w:rsidRPr="00282AC9">
        <w:rPr>
          <w:rFonts w:hint="cs"/>
          <w:sz w:val="27"/>
          <w:rtl/>
        </w:rPr>
        <w:t>ليس معنى منطقة الفراغ أن الله ليس له رأي</w:t>
      </w:r>
      <w:r w:rsidR="006169FF" w:rsidRPr="00282AC9">
        <w:rPr>
          <w:rFonts w:hint="cs"/>
          <w:sz w:val="27"/>
          <w:rtl/>
        </w:rPr>
        <w:t>ٌ</w:t>
      </w:r>
      <w:r w:rsidRPr="00282AC9">
        <w:rPr>
          <w:rFonts w:hint="cs"/>
          <w:sz w:val="27"/>
          <w:rtl/>
        </w:rPr>
        <w:t xml:space="preserve"> أو حكم</w:t>
      </w:r>
      <w:r w:rsidR="006169FF" w:rsidRPr="00282AC9">
        <w:rPr>
          <w:rFonts w:hint="cs"/>
          <w:sz w:val="27"/>
          <w:rtl/>
        </w:rPr>
        <w:t>ٌ</w:t>
      </w:r>
      <w:r w:rsidRPr="00282AC9">
        <w:rPr>
          <w:rFonts w:hint="cs"/>
          <w:sz w:val="27"/>
          <w:rtl/>
        </w:rPr>
        <w:t xml:space="preserve"> في بعض الموضوعات، وإنما منطقة الفراغ تعني أن الله سبحانه وتعالى قد جعل ح</w:t>
      </w:r>
      <w:r w:rsidR="006169FF" w:rsidRPr="00282AC9">
        <w:rPr>
          <w:rFonts w:hint="cs"/>
          <w:sz w:val="27"/>
          <w:rtl/>
        </w:rPr>
        <w:t>ُ</w:t>
      </w:r>
      <w:r w:rsidRPr="00282AC9">
        <w:rPr>
          <w:rFonts w:hint="cs"/>
          <w:sz w:val="27"/>
          <w:rtl/>
        </w:rPr>
        <w:t>ك</w:t>
      </w:r>
      <w:r w:rsidR="006169FF" w:rsidRPr="00282AC9">
        <w:rPr>
          <w:rFonts w:hint="cs"/>
          <w:sz w:val="27"/>
          <w:rtl/>
        </w:rPr>
        <w:t>ْ</w:t>
      </w:r>
      <w:r w:rsidRPr="00282AC9">
        <w:rPr>
          <w:rFonts w:hint="cs"/>
          <w:sz w:val="27"/>
          <w:rtl/>
        </w:rPr>
        <w:t>ماً لجميع الموضوعات، ولم يترك أيّ موضوع</w:t>
      </w:r>
      <w:r w:rsidR="006169FF" w:rsidRPr="00282AC9">
        <w:rPr>
          <w:rFonts w:hint="cs"/>
          <w:sz w:val="27"/>
          <w:rtl/>
        </w:rPr>
        <w:t>ٍ</w:t>
      </w:r>
      <w:r w:rsidRPr="00282AC9">
        <w:rPr>
          <w:rFonts w:hint="cs"/>
          <w:sz w:val="27"/>
          <w:rtl/>
        </w:rPr>
        <w:t xml:space="preserve"> من دون حكم</w:t>
      </w:r>
      <w:r w:rsidR="006169FF" w:rsidRPr="00282AC9">
        <w:rPr>
          <w:rFonts w:hint="cs"/>
          <w:sz w:val="27"/>
          <w:rtl/>
        </w:rPr>
        <w:t>ٍ</w:t>
      </w:r>
      <w:r w:rsidRPr="00282AC9">
        <w:rPr>
          <w:rFonts w:hint="cs"/>
          <w:sz w:val="27"/>
          <w:rtl/>
        </w:rPr>
        <w:t>، إلا</w:t>
      </w:r>
      <w:r w:rsidR="006169FF" w:rsidRPr="00282AC9">
        <w:rPr>
          <w:rFonts w:hint="cs"/>
          <w:sz w:val="27"/>
          <w:rtl/>
        </w:rPr>
        <w:t xml:space="preserve">ّ </w:t>
      </w:r>
      <w:r w:rsidRPr="00282AC9">
        <w:rPr>
          <w:rFonts w:hint="cs"/>
          <w:sz w:val="27"/>
          <w:rtl/>
        </w:rPr>
        <w:t xml:space="preserve">أنه ترك تحديد حكم بعض الموضوعات إلى حاكم الشرع. </w:t>
      </w:r>
      <w:r w:rsidR="006169FF" w:rsidRPr="00282AC9">
        <w:rPr>
          <w:rFonts w:hint="cs"/>
          <w:sz w:val="27"/>
          <w:rtl/>
        </w:rPr>
        <w:t>و</w:t>
      </w:r>
      <w:r w:rsidRPr="00282AC9">
        <w:rPr>
          <w:rFonts w:hint="cs"/>
          <w:sz w:val="27"/>
          <w:rtl/>
        </w:rPr>
        <w:t>توضيح ذلك</w:t>
      </w:r>
      <w:r w:rsidR="006169FF" w:rsidRPr="00282AC9">
        <w:rPr>
          <w:rFonts w:hint="cs"/>
          <w:sz w:val="27"/>
          <w:rtl/>
        </w:rPr>
        <w:t>،</w:t>
      </w:r>
      <w:r w:rsidRPr="00282AC9">
        <w:rPr>
          <w:rFonts w:hint="cs"/>
          <w:sz w:val="27"/>
          <w:rtl/>
        </w:rPr>
        <w:t xml:space="preserve"> على سبيل المثال: لو عمد</w:t>
      </w:r>
      <w:r w:rsidR="006169FF" w:rsidRPr="00282AC9">
        <w:rPr>
          <w:rFonts w:hint="cs"/>
          <w:sz w:val="27"/>
          <w:rtl/>
        </w:rPr>
        <w:t>َ</w:t>
      </w:r>
      <w:r w:rsidRPr="00282AC9">
        <w:rPr>
          <w:rFonts w:hint="cs"/>
          <w:sz w:val="27"/>
          <w:rtl/>
        </w:rPr>
        <w:t>ت</w:t>
      </w:r>
      <w:r w:rsidR="006169FF" w:rsidRPr="00282AC9">
        <w:rPr>
          <w:rFonts w:hint="cs"/>
          <w:sz w:val="27"/>
          <w:rtl/>
        </w:rPr>
        <w:t>ْ</w:t>
      </w:r>
      <w:r w:rsidRPr="00282AC9">
        <w:rPr>
          <w:rFonts w:hint="cs"/>
          <w:sz w:val="27"/>
          <w:rtl/>
        </w:rPr>
        <w:t xml:space="preserve"> السلطة التشريعية في دولة</w:t>
      </w:r>
      <w:r w:rsidR="006169FF" w:rsidRPr="00282AC9">
        <w:rPr>
          <w:rFonts w:hint="cs"/>
          <w:sz w:val="27"/>
          <w:rtl/>
        </w:rPr>
        <w:t>ٍ</w:t>
      </w:r>
      <w:r w:rsidRPr="00282AC9">
        <w:rPr>
          <w:rFonts w:hint="cs"/>
          <w:sz w:val="27"/>
          <w:rtl/>
        </w:rPr>
        <w:t xml:space="preserve"> ما إلى إصدار قانون الضرائب، وترك</w:t>
      </w:r>
      <w:r w:rsidR="006169FF" w:rsidRPr="00282AC9">
        <w:rPr>
          <w:rFonts w:hint="cs"/>
          <w:sz w:val="27"/>
          <w:rtl/>
        </w:rPr>
        <w:t>َ</w:t>
      </w:r>
      <w:r w:rsidRPr="00282AC9">
        <w:rPr>
          <w:rFonts w:hint="cs"/>
          <w:sz w:val="27"/>
          <w:rtl/>
        </w:rPr>
        <w:t>ت</w:t>
      </w:r>
      <w:r w:rsidR="006169FF" w:rsidRPr="00282AC9">
        <w:rPr>
          <w:rFonts w:hint="cs"/>
          <w:sz w:val="27"/>
          <w:rtl/>
        </w:rPr>
        <w:t>ْ</w:t>
      </w:r>
      <w:r w:rsidRPr="00282AC9">
        <w:rPr>
          <w:rFonts w:hint="cs"/>
          <w:sz w:val="27"/>
          <w:rtl/>
        </w:rPr>
        <w:t xml:space="preserve"> تحديد مقدار هذه الضرائب إلى السلطة </w:t>
      </w:r>
      <w:r w:rsidRPr="00282AC9">
        <w:rPr>
          <w:rFonts w:hint="cs"/>
          <w:sz w:val="27"/>
          <w:rtl/>
        </w:rPr>
        <w:lastRenderedPageBreak/>
        <w:t>التنفيذي</w:t>
      </w:r>
      <w:r w:rsidR="006169FF" w:rsidRPr="00282AC9">
        <w:rPr>
          <w:rFonts w:hint="cs"/>
          <w:sz w:val="27"/>
          <w:rtl/>
        </w:rPr>
        <w:t>ّ</w:t>
      </w:r>
      <w:r w:rsidRPr="00282AC9">
        <w:rPr>
          <w:rFonts w:hint="cs"/>
          <w:sz w:val="27"/>
          <w:rtl/>
        </w:rPr>
        <w:t>ة، فهذا لا يعني أن السلطة التشريعي</w:t>
      </w:r>
      <w:r w:rsidR="006169FF" w:rsidRPr="00282AC9">
        <w:rPr>
          <w:rFonts w:hint="cs"/>
          <w:sz w:val="27"/>
          <w:rtl/>
        </w:rPr>
        <w:t>ّ</w:t>
      </w:r>
      <w:r w:rsidRPr="00282AC9">
        <w:rPr>
          <w:rFonts w:hint="cs"/>
          <w:sz w:val="27"/>
          <w:rtl/>
        </w:rPr>
        <w:t xml:space="preserve">ة لا تمتلك </w:t>
      </w:r>
      <w:r w:rsidR="00F0123C" w:rsidRPr="00282AC9">
        <w:rPr>
          <w:rFonts w:hint="cs"/>
          <w:sz w:val="27"/>
          <w:rtl/>
        </w:rPr>
        <w:t xml:space="preserve">حكماً </w:t>
      </w:r>
      <w:r w:rsidRPr="00282AC9">
        <w:rPr>
          <w:rFonts w:hint="cs"/>
          <w:sz w:val="27"/>
          <w:rtl/>
        </w:rPr>
        <w:t>بالنسبة إلى هذه الموارد ومقدار الضرائب</w:t>
      </w:r>
      <w:r w:rsidR="006169FF" w:rsidRPr="00282AC9">
        <w:rPr>
          <w:rFonts w:hint="cs"/>
          <w:sz w:val="27"/>
          <w:rtl/>
        </w:rPr>
        <w:t xml:space="preserve">؛ </w:t>
      </w:r>
      <w:r w:rsidRPr="00282AC9">
        <w:rPr>
          <w:rFonts w:hint="cs"/>
          <w:sz w:val="27"/>
          <w:rtl/>
        </w:rPr>
        <w:t>إذ بعد المصادقة على اختيار السلطة التنفيذي</w:t>
      </w:r>
      <w:r w:rsidR="006169FF" w:rsidRPr="00282AC9">
        <w:rPr>
          <w:rFonts w:hint="cs"/>
          <w:sz w:val="27"/>
          <w:rtl/>
        </w:rPr>
        <w:t>ّ</w:t>
      </w:r>
      <w:r w:rsidRPr="00282AC9">
        <w:rPr>
          <w:rFonts w:hint="cs"/>
          <w:sz w:val="27"/>
          <w:rtl/>
        </w:rPr>
        <w:t>ة تكون قراراتها منسوبة</w:t>
      </w:r>
      <w:r w:rsidR="006169FF" w:rsidRPr="00282AC9">
        <w:rPr>
          <w:rFonts w:hint="cs"/>
          <w:sz w:val="27"/>
          <w:rtl/>
        </w:rPr>
        <w:t>ً</w:t>
      </w:r>
      <w:r w:rsidRPr="00282AC9">
        <w:rPr>
          <w:rFonts w:hint="cs"/>
          <w:sz w:val="27"/>
          <w:rtl/>
        </w:rPr>
        <w:t xml:space="preserve"> إلى السلطة التشريعي</w:t>
      </w:r>
      <w:r w:rsidR="006169FF" w:rsidRPr="00282AC9">
        <w:rPr>
          <w:rFonts w:hint="cs"/>
          <w:sz w:val="27"/>
          <w:rtl/>
        </w:rPr>
        <w:t>ّ</w:t>
      </w:r>
      <w:r w:rsidRPr="00282AC9">
        <w:rPr>
          <w:rFonts w:hint="cs"/>
          <w:sz w:val="27"/>
          <w:rtl/>
        </w:rPr>
        <w:t>ة.</w:t>
      </w:r>
    </w:p>
    <w:p w:rsidR="00BC5E40" w:rsidRPr="00282AC9" w:rsidRDefault="00BC5E40" w:rsidP="00BC4D37">
      <w:pPr>
        <w:rPr>
          <w:sz w:val="27"/>
          <w:rtl/>
        </w:rPr>
      </w:pPr>
      <w:r w:rsidRPr="00282AC9">
        <w:rPr>
          <w:rFonts w:hint="cs"/>
          <w:sz w:val="27"/>
          <w:rtl/>
        </w:rPr>
        <w:t>وعلى هذا الأساس فإن حكم الحاكم في موارد منطقة الفراغ (والقدر المتيق</w:t>
      </w:r>
      <w:r w:rsidR="00F0123C" w:rsidRPr="00282AC9">
        <w:rPr>
          <w:rFonts w:hint="cs"/>
          <w:sz w:val="27"/>
          <w:rtl/>
        </w:rPr>
        <w:t>َّ</w:t>
      </w:r>
      <w:r w:rsidRPr="00282AC9">
        <w:rPr>
          <w:rFonts w:hint="cs"/>
          <w:sz w:val="27"/>
          <w:rtl/>
        </w:rPr>
        <w:t xml:space="preserve">ن منها دائرة المباحات) هو حكم الله، وإن الحاكم إنما يصدر الحكم من حيث </w:t>
      </w:r>
      <w:r w:rsidR="00F0123C" w:rsidRPr="00282AC9">
        <w:rPr>
          <w:rFonts w:hint="cs"/>
          <w:sz w:val="27"/>
          <w:rtl/>
        </w:rPr>
        <w:t>إ</w:t>
      </w:r>
      <w:r w:rsidRPr="00282AC9">
        <w:rPr>
          <w:rFonts w:hint="cs"/>
          <w:sz w:val="27"/>
          <w:rtl/>
        </w:rPr>
        <w:t xml:space="preserve">ن الله هو الذي أعطاه هذه الصلاحية، وإن </w:t>
      </w:r>
      <w:r w:rsidR="00F0123C" w:rsidRPr="00282AC9">
        <w:rPr>
          <w:rFonts w:hint="cs"/>
          <w:sz w:val="27"/>
          <w:rtl/>
        </w:rPr>
        <w:t>منح</w:t>
      </w:r>
      <w:r w:rsidRPr="00282AC9">
        <w:rPr>
          <w:rFonts w:hint="cs"/>
          <w:sz w:val="27"/>
          <w:rtl/>
        </w:rPr>
        <w:t xml:space="preserve"> الصلاحية </w:t>
      </w:r>
      <w:r w:rsidR="00F0123C" w:rsidRPr="00282AC9">
        <w:rPr>
          <w:rFonts w:hint="cs"/>
          <w:sz w:val="27"/>
          <w:rtl/>
        </w:rPr>
        <w:t>للحاكم الإسلامي ل</w:t>
      </w:r>
      <w:r w:rsidRPr="00282AC9">
        <w:rPr>
          <w:rFonts w:hint="cs"/>
          <w:sz w:val="27"/>
          <w:rtl/>
        </w:rPr>
        <w:t>لحكم في هذه الموارد إنما هو من مصادر قوّة المنظومة التشريعي</w:t>
      </w:r>
      <w:r w:rsidR="00F0123C" w:rsidRPr="00282AC9">
        <w:rPr>
          <w:rFonts w:hint="cs"/>
          <w:sz w:val="27"/>
          <w:rtl/>
        </w:rPr>
        <w:t>ّ</w:t>
      </w:r>
      <w:r w:rsidRPr="00282AC9">
        <w:rPr>
          <w:rFonts w:hint="cs"/>
          <w:sz w:val="27"/>
          <w:rtl/>
        </w:rPr>
        <w:t>ة في الإسلام، حيث يمكن اختيار القانون المناسب لجميع الظروف والحالات.</w:t>
      </w:r>
    </w:p>
    <w:p w:rsidR="00F25A6C" w:rsidRPr="00282AC9" w:rsidRDefault="00F25A6C" w:rsidP="00075DE8">
      <w:pPr>
        <w:spacing w:line="420" w:lineRule="exact"/>
        <w:rPr>
          <w:sz w:val="27"/>
          <w:rtl/>
        </w:rPr>
      </w:pPr>
    </w:p>
    <w:p w:rsidR="00F25A6C" w:rsidRPr="00282AC9" w:rsidRDefault="00F25A6C" w:rsidP="00F25A6C">
      <w:pPr>
        <w:pStyle w:val="31"/>
        <w:rPr>
          <w:color w:val="auto"/>
          <w:rtl/>
        </w:rPr>
      </w:pPr>
      <w:r w:rsidRPr="00282AC9">
        <w:rPr>
          <w:rFonts w:hint="cs"/>
          <w:color w:val="auto"/>
          <w:rtl/>
        </w:rPr>
        <w:t>د ـ تحوُّل المباح إلى واجبٍ أو حرام</w:t>
      </w:r>
    </w:p>
    <w:p w:rsidR="00066F31" w:rsidRPr="00282AC9" w:rsidRDefault="00BC5E40" w:rsidP="00BC4D37">
      <w:pPr>
        <w:rPr>
          <w:sz w:val="27"/>
          <w:rtl/>
        </w:rPr>
      </w:pPr>
      <w:r w:rsidRPr="00282AC9">
        <w:rPr>
          <w:rFonts w:hint="cs"/>
          <w:sz w:val="27"/>
          <w:rtl/>
        </w:rPr>
        <w:t>إن جعل الوجوب أو الحرمة في دائرة الأمور المباحة</w:t>
      </w:r>
      <w:r w:rsidR="00F0123C" w:rsidRPr="00282AC9">
        <w:rPr>
          <w:rFonts w:hint="cs"/>
          <w:sz w:val="27"/>
          <w:rtl/>
        </w:rPr>
        <w:t>،</w:t>
      </w:r>
      <w:r w:rsidRPr="00282AC9">
        <w:rPr>
          <w:rFonts w:hint="cs"/>
          <w:sz w:val="27"/>
          <w:rtl/>
        </w:rPr>
        <w:t xml:space="preserve"> بل وحت</w:t>
      </w:r>
      <w:r w:rsidR="00E36937" w:rsidRPr="00282AC9">
        <w:rPr>
          <w:rFonts w:hint="cs"/>
          <w:sz w:val="27"/>
          <w:rtl/>
        </w:rPr>
        <w:t>ّ</w:t>
      </w:r>
      <w:r w:rsidRPr="00282AC9">
        <w:rPr>
          <w:rFonts w:hint="cs"/>
          <w:sz w:val="27"/>
          <w:rtl/>
        </w:rPr>
        <w:t>ى المستحب</w:t>
      </w:r>
      <w:r w:rsidR="00E36937" w:rsidRPr="00282AC9">
        <w:rPr>
          <w:rFonts w:hint="cs"/>
          <w:sz w:val="27"/>
          <w:rtl/>
        </w:rPr>
        <w:t>ّ</w:t>
      </w:r>
      <w:r w:rsidRPr="00282AC9">
        <w:rPr>
          <w:rFonts w:hint="cs"/>
          <w:sz w:val="27"/>
          <w:rtl/>
        </w:rPr>
        <w:t>ات والمكروهات في بعض الموارد</w:t>
      </w:r>
      <w:r w:rsidR="00E36937" w:rsidRPr="00282AC9">
        <w:rPr>
          <w:rFonts w:hint="cs"/>
          <w:sz w:val="27"/>
          <w:rtl/>
        </w:rPr>
        <w:t>،</w:t>
      </w:r>
      <w:r w:rsidRPr="00282AC9">
        <w:rPr>
          <w:rFonts w:hint="cs"/>
          <w:sz w:val="27"/>
          <w:rtl/>
        </w:rPr>
        <w:t xml:space="preserve"> أمر</w:t>
      </w:r>
      <w:r w:rsidR="00E36937" w:rsidRPr="00282AC9">
        <w:rPr>
          <w:rFonts w:hint="cs"/>
          <w:sz w:val="27"/>
          <w:rtl/>
        </w:rPr>
        <w:t>ٌ</w:t>
      </w:r>
      <w:r w:rsidRPr="00282AC9">
        <w:rPr>
          <w:rFonts w:hint="cs"/>
          <w:sz w:val="27"/>
          <w:rtl/>
        </w:rPr>
        <w:t xml:space="preserve"> ثابت ومقبول من ق</w:t>
      </w:r>
      <w:r w:rsidR="00E36937" w:rsidRPr="00282AC9">
        <w:rPr>
          <w:rFonts w:hint="cs"/>
          <w:sz w:val="27"/>
          <w:rtl/>
        </w:rPr>
        <w:t>ِ</w:t>
      </w:r>
      <w:r w:rsidRPr="00282AC9">
        <w:rPr>
          <w:rFonts w:hint="cs"/>
          <w:sz w:val="27"/>
          <w:rtl/>
        </w:rPr>
        <w:t>ب</w:t>
      </w:r>
      <w:r w:rsidR="00E36937" w:rsidRPr="00282AC9">
        <w:rPr>
          <w:rFonts w:hint="cs"/>
          <w:sz w:val="27"/>
          <w:rtl/>
        </w:rPr>
        <w:t>َ</w:t>
      </w:r>
      <w:r w:rsidRPr="00282AC9">
        <w:rPr>
          <w:rFonts w:hint="cs"/>
          <w:sz w:val="27"/>
          <w:rtl/>
        </w:rPr>
        <w:t>ل أكثر الفقهاء</w:t>
      </w:r>
      <w:r w:rsidR="00E36937" w:rsidRPr="00282AC9">
        <w:rPr>
          <w:rFonts w:hint="cs"/>
          <w:sz w:val="27"/>
          <w:rtl/>
        </w:rPr>
        <w:t>.</w:t>
      </w:r>
      <w:r w:rsidRPr="00282AC9">
        <w:rPr>
          <w:rFonts w:hint="cs"/>
          <w:sz w:val="27"/>
          <w:rtl/>
        </w:rPr>
        <w:t xml:space="preserve"> ومن ذلك</w:t>
      </w:r>
      <w:r w:rsidR="00066F31" w:rsidRPr="00282AC9">
        <w:rPr>
          <w:rFonts w:hint="cs"/>
          <w:sz w:val="27"/>
          <w:rtl/>
        </w:rPr>
        <w:t>:</w:t>
      </w:r>
    </w:p>
    <w:p w:rsidR="00BC5E40" w:rsidRPr="00282AC9" w:rsidRDefault="00066F31" w:rsidP="00BC4D37">
      <w:pPr>
        <w:rPr>
          <w:sz w:val="27"/>
          <w:rtl/>
        </w:rPr>
      </w:pPr>
      <w:r w:rsidRPr="00282AC9">
        <w:rPr>
          <w:rFonts w:hint="cs"/>
          <w:b/>
          <w:bCs/>
          <w:sz w:val="27"/>
          <w:rtl/>
        </w:rPr>
        <w:t>المورد الأوّل</w:t>
      </w:r>
      <w:r w:rsidRPr="00282AC9">
        <w:rPr>
          <w:rFonts w:hint="cs"/>
          <w:sz w:val="27"/>
          <w:rtl/>
        </w:rPr>
        <w:t>: إ</w:t>
      </w:r>
      <w:r w:rsidR="00BC5E40" w:rsidRPr="00282AC9">
        <w:rPr>
          <w:rFonts w:hint="cs"/>
          <w:sz w:val="27"/>
          <w:rtl/>
        </w:rPr>
        <w:t>ن المكل</w:t>
      </w:r>
      <w:r w:rsidR="00E36937" w:rsidRPr="00282AC9">
        <w:rPr>
          <w:rFonts w:hint="cs"/>
          <w:sz w:val="27"/>
          <w:rtl/>
        </w:rPr>
        <w:t>َّ</w:t>
      </w:r>
      <w:r w:rsidR="00BC5E40" w:rsidRPr="00282AC9">
        <w:rPr>
          <w:rFonts w:hint="cs"/>
          <w:sz w:val="27"/>
          <w:rtl/>
        </w:rPr>
        <w:t>ف يمكنه أن يوجب على نفسه أمراً مباحاً</w:t>
      </w:r>
      <w:r w:rsidR="00E36937" w:rsidRPr="00282AC9">
        <w:rPr>
          <w:rFonts w:hint="cs"/>
          <w:sz w:val="27"/>
          <w:rtl/>
        </w:rPr>
        <w:t>،</w:t>
      </w:r>
      <w:r w:rsidR="00BC5E40" w:rsidRPr="00282AC9">
        <w:rPr>
          <w:rFonts w:hint="cs"/>
          <w:sz w:val="27"/>
          <w:rtl/>
        </w:rPr>
        <w:t xml:space="preserve"> أو يحرّ</w:t>
      </w:r>
      <w:r w:rsidR="00E36937" w:rsidRPr="00282AC9">
        <w:rPr>
          <w:rFonts w:hint="cs"/>
          <w:sz w:val="27"/>
          <w:rtl/>
        </w:rPr>
        <w:t>ِ</w:t>
      </w:r>
      <w:r w:rsidR="00BC5E40" w:rsidRPr="00282AC9">
        <w:rPr>
          <w:rFonts w:hint="cs"/>
          <w:sz w:val="27"/>
          <w:rtl/>
        </w:rPr>
        <w:t>مه على نفسه</w:t>
      </w:r>
      <w:r w:rsidR="00E36937" w:rsidRPr="00282AC9">
        <w:rPr>
          <w:rFonts w:hint="cs"/>
          <w:sz w:val="27"/>
          <w:rtl/>
        </w:rPr>
        <w:t>،</w:t>
      </w:r>
      <w:r w:rsidR="00BC5E40" w:rsidRPr="00282AC9">
        <w:rPr>
          <w:rFonts w:hint="cs"/>
          <w:sz w:val="27"/>
          <w:rtl/>
        </w:rPr>
        <w:t xml:space="preserve"> بالن</w:t>
      </w:r>
      <w:r w:rsidR="00E36937" w:rsidRPr="00282AC9">
        <w:rPr>
          <w:rFonts w:hint="cs"/>
          <w:sz w:val="27"/>
          <w:rtl/>
        </w:rPr>
        <w:t>َّ</w:t>
      </w:r>
      <w:r w:rsidR="00BC5E40" w:rsidRPr="00282AC9">
        <w:rPr>
          <w:rFonts w:hint="cs"/>
          <w:sz w:val="27"/>
          <w:rtl/>
        </w:rPr>
        <w:t>ذ</w:t>
      </w:r>
      <w:r w:rsidR="00E36937" w:rsidRPr="00282AC9">
        <w:rPr>
          <w:rFonts w:hint="cs"/>
          <w:sz w:val="27"/>
          <w:rtl/>
        </w:rPr>
        <w:t>ْ</w:t>
      </w:r>
      <w:r w:rsidR="00BC5E40" w:rsidRPr="00282AC9">
        <w:rPr>
          <w:rFonts w:hint="cs"/>
          <w:sz w:val="27"/>
          <w:rtl/>
        </w:rPr>
        <w:t>ر مثلاً. ولا أتصو</w:t>
      </w:r>
      <w:r w:rsidR="00E36937" w:rsidRPr="00282AC9">
        <w:rPr>
          <w:rFonts w:hint="cs"/>
          <w:sz w:val="27"/>
          <w:rtl/>
        </w:rPr>
        <w:t>َّ</w:t>
      </w:r>
      <w:r w:rsidR="00BC5E40" w:rsidRPr="00282AC9">
        <w:rPr>
          <w:rFonts w:hint="cs"/>
          <w:sz w:val="27"/>
          <w:rtl/>
        </w:rPr>
        <w:t>ر فقيهاً يخالف هذه المسألة.</w:t>
      </w:r>
    </w:p>
    <w:p w:rsidR="00BC5E40" w:rsidRPr="00282AC9" w:rsidRDefault="00BC5E40" w:rsidP="00BC4D37">
      <w:pPr>
        <w:rPr>
          <w:sz w:val="27"/>
          <w:rtl/>
        </w:rPr>
      </w:pPr>
      <w:r w:rsidRPr="00282AC9">
        <w:rPr>
          <w:rFonts w:hint="cs"/>
          <w:sz w:val="27"/>
          <w:rtl/>
        </w:rPr>
        <w:t xml:space="preserve">قال الشيخ الطوسي: </w:t>
      </w:r>
      <w:r w:rsidRPr="00282AC9">
        <w:rPr>
          <w:rFonts w:hint="eastAsia"/>
          <w:sz w:val="24"/>
          <w:szCs w:val="24"/>
          <w:rtl/>
        </w:rPr>
        <w:t>«</w:t>
      </w:r>
      <w:r w:rsidRPr="00282AC9">
        <w:rPr>
          <w:rFonts w:hint="cs"/>
          <w:sz w:val="27"/>
          <w:rtl/>
        </w:rPr>
        <w:t>فمتى كان ما نذر عليه وحصل وجب عليه الوفاء بما نذر فيه</w:t>
      </w:r>
      <w:r w:rsidR="00E36937" w:rsidRPr="00282AC9">
        <w:rPr>
          <w:rFonts w:hint="cs"/>
          <w:sz w:val="27"/>
          <w:rtl/>
        </w:rPr>
        <w:t>،</w:t>
      </w:r>
      <w:r w:rsidRPr="00282AC9">
        <w:rPr>
          <w:rFonts w:hint="cs"/>
          <w:sz w:val="27"/>
          <w:rtl/>
        </w:rPr>
        <w:t xml:space="preserve"> ولم يس</w:t>
      </w:r>
      <w:r w:rsidR="00E36937" w:rsidRPr="00282AC9">
        <w:rPr>
          <w:rFonts w:hint="cs"/>
          <w:sz w:val="27"/>
          <w:rtl/>
        </w:rPr>
        <w:t>ُ</w:t>
      </w:r>
      <w:r w:rsidRPr="00282AC9">
        <w:rPr>
          <w:rFonts w:hint="cs"/>
          <w:sz w:val="27"/>
          <w:rtl/>
        </w:rPr>
        <w:t>غ</w:t>
      </w:r>
      <w:r w:rsidR="00E36937" w:rsidRPr="00282AC9">
        <w:rPr>
          <w:rFonts w:hint="cs"/>
          <w:sz w:val="27"/>
          <w:rtl/>
        </w:rPr>
        <w:t>ْ</w:t>
      </w:r>
      <w:r w:rsidRPr="00282AC9">
        <w:rPr>
          <w:rFonts w:hint="cs"/>
          <w:sz w:val="27"/>
          <w:rtl/>
        </w:rPr>
        <w:t xml:space="preserve"> له تركه</w:t>
      </w:r>
      <w:r w:rsidRPr="00282AC9">
        <w:rPr>
          <w:rFonts w:hint="eastAsia"/>
          <w:sz w:val="24"/>
          <w:szCs w:val="24"/>
          <w:rtl/>
        </w:rPr>
        <w:t>»</w:t>
      </w:r>
      <w:r w:rsidRPr="00282AC9">
        <w:rPr>
          <w:sz w:val="27"/>
          <w:vertAlign w:val="superscript"/>
          <w:rtl/>
        </w:rPr>
        <w:t>(</w:t>
      </w:r>
      <w:r w:rsidRPr="00282AC9">
        <w:rPr>
          <w:rStyle w:val="af9"/>
          <w:sz w:val="27"/>
          <w:rtl/>
        </w:rPr>
        <w:endnoteReference w:id="46"/>
      </w:r>
      <w:r w:rsidRPr="00282AC9">
        <w:rPr>
          <w:sz w:val="27"/>
          <w:vertAlign w:val="superscript"/>
          <w:rtl/>
        </w:rPr>
        <w:t>)</w:t>
      </w:r>
      <w:r w:rsidRPr="00282AC9">
        <w:rPr>
          <w:rFonts w:hint="cs"/>
          <w:sz w:val="27"/>
          <w:rtl/>
        </w:rPr>
        <w:t>. إذن متعل</w:t>
      </w:r>
      <w:r w:rsidR="00E36937" w:rsidRPr="00282AC9">
        <w:rPr>
          <w:rFonts w:hint="cs"/>
          <w:sz w:val="27"/>
          <w:rtl/>
        </w:rPr>
        <w:t>َّ</w:t>
      </w:r>
      <w:r w:rsidRPr="00282AC9">
        <w:rPr>
          <w:rFonts w:hint="cs"/>
          <w:sz w:val="27"/>
          <w:rtl/>
        </w:rPr>
        <w:t>ق النذر إما مباح</w:t>
      </w:r>
      <w:r w:rsidR="00E36937" w:rsidRPr="00282AC9">
        <w:rPr>
          <w:rFonts w:hint="cs"/>
          <w:sz w:val="27"/>
          <w:rtl/>
        </w:rPr>
        <w:t>ٌ</w:t>
      </w:r>
      <w:r w:rsidRPr="00282AC9">
        <w:rPr>
          <w:rFonts w:hint="cs"/>
          <w:sz w:val="27"/>
          <w:rtl/>
        </w:rPr>
        <w:t>، فيجب أو يحرم بالن</w:t>
      </w:r>
      <w:r w:rsidR="00E36937" w:rsidRPr="00282AC9">
        <w:rPr>
          <w:rFonts w:hint="cs"/>
          <w:sz w:val="27"/>
          <w:rtl/>
        </w:rPr>
        <w:t>َّ</w:t>
      </w:r>
      <w:r w:rsidRPr="00282AC9">
        <w:rPr>
          <w:rFonts w:hint="cs"/>
          <w:sz w:val="27"/>
          <w:rtl/>
        </w:rPr>
        <w:t>ذ</w:t>
      </w:r>
      <w:r w:rsidR="00E36937" w:rsidRPr="00282AC9">
        <w:rPr>
          <w:rFonts w:hint="cs"/>
          <w:sz w:val="27"/>
          <w:rtl/>
        </w:rPr>
        <w:t>ْ</w:t>
      </w:r>
      <w:r w:rsidRPr="00282AC9">
        <w:rPr>
          <w:rFonts w:hint="cs"/>
          <w:sz w:val="27"/>
          <w:rtl/>
        </w:rPr>
        <w:t>ر</w:t>
      </w:r>
      <w:r w:rsidR="00E36937" w:rsidRPr="00282AC9">
        <w:rPr>
          <w:rFonts w:hint="cs"/>
          <w:sz w:val="27"/>
          <w:rtl/>
        </w:rPr>
        <w:t xml:space="preserve">؛ </w:t>
      </w:r>
      <w:r w:rsidRPr="00282AC9">
        <w:rPr>
          <w:rFonts w:hint="cs"/>
          <w:sz w:val="27"/>
          <w:rtl/>
        </w:rPr>
        <w:t>أو مستحب</w:t>
      </w:r>
      <w:r w:rsidR="00E36937" w:rsidRPr="00282AC9">
        <w:rPr>
          <w:rFonts w:hint="cs"/>
          <w:sz w:val="27"/>
          <w:rtl/>
        </w:rPr>
        <w:t>ٌّ</w:t>
      </w:r>
      <w:r w:rsidRPr="00282AC9">
        <w:rPr>
          <w:rFonts w:hint="cs"/>
          <w:sz w:val="27"/>
          <w:rtl/>
        </w:rPr>
        <w:t>، فيجب بالن</w:t>
      </w:r>
      <w:r w:rsidR="00E36937" w:rsidRPr="00282AC9">
        <w:rPr>
          <w:rFonts w:hint="cs"/>
          <w:sz w:val="27"/>
          <w:rtl/>
        </w:rPr>
        <w:t>َّ</w:t>
      </w:r>
      <w:r w:rsidRPr="00282AC9">
        <w:rPr>
          <w:rFonts w:hint="cs"/>
          <w:sz w:val="27"/>
          <w:rtl/>
        </w:rPr>
        <w:t>ذ</w:t>
      </w:r>
      <w:r w:rsidR="00E36937" w:rsidRPr="00282AC9">
        <w:rPr>
          <w:rFonts w:hint="cs"/>
          <w:sz w:val="27"/>
          <w:rtl/>
        </w:rPr>
        <w:t>ْ</w:t>
      </w:r>
      <w:r w:rsidRPr="00282AC9">
        <w:rPr>
          <w:rFonts w:hint="cs"/>
          <w:sz w:val="27"/>
          <w:rtl/>
        </w:rPr>
        <w:t>ر</w:t>
      </w:r>
      <w:r w:rsidR="00E36937" w:rsidRPr="00282AC9">
        <w:rPr>
          <w:rFonts w:hint="cs"/>
          <w:sz w:val="27"/>
          <w:rtl/>
        </w:rPr>
        <w:t xml:space="preserve">؛ </w:t>
      </w:r>
      <w:r w:rsidRPr="00282AC9">
        <w:rPr>
          <w:rFonts w:hint="cs"/>
          <w:sz w:val="27"/>
          <w:rtl/>
        </w:rPr>
        <w:t>أو مكروه</w:t>
      </w:r>
      <w:r w:rsidR="00E36937" w:rsidRPr="00282AC9">
        <w:rPr>
          <w:rFonts w:hint="cs"/>
          <w:sz w:val="27"/>
          <w:rtl/>
        </w:rPr>
        <w:t>ٌ</w:t>
      </w:r>
      <w:r w:rsidRPr="00282AC9">
        <w:rPr>
          <w:rFonts w:hint="cs"/>
          <w:sz w:val="27"/>
          <w:rtl/>
        </w:rPr>
        <w:t>، فيحرم بالن</w:t>
      </w:r>
      <w:r w:rsidR="00E36937" w:rsidRPr="00282AC9">
        <w:rPr>
          <w:rFonts w:hint="cs"/>
          <w:sz w:val="27"/>
          <w:rtl/>
        </w:rPr>
        <w:t>َّ</w:t>
      </w:r>
      <w:r w:rsidRPr="00282AC9">
        <w:rPr>
          <w:rFonts w:hint="cs"/>
          <w:sz w:val="27"/>
          <w:rtl/>
        </w:rPr>
        <w:t>ذ</w:t>
      </w:r>
      <w:r w:rsidR="00E36937" w:rsidRPr="00282AC9">
        <w:rPr>
          <w:rFonts w:hint="cs"/>
          <w:sz w:val="27"/>
          <w:rtl/>
        </w:rPr>
        <w:t>ْ</w:t>
      </w:r>
      <w:r w:rsidRPr="00282AC9">
        <w:rPr>
          <w:rFonts w:hint="cs"/>
          <w:sz w:val="27"/>
          <w:rtl/>
        </w:rPr>
        <w:t>ر.</w:t>
      </w:r>
    </w:p>
    <w:p w:rsidR="00BC5E40" w:rsidRPr="00282AC9" w:rsidRDefault="005454CD" w:rsidP="00BC4D37">
      <w:pPr>
        <w:rPr>
          <w:sz w:val="27"/>
          <w:rtl/>
        </w:rPr>
      </w:pPr>
      <w:r w:rsidRPr="00282AC9">
        <w:rPr>
          <w:rFonts w:hint="cs"/>
          <w:b/>
          <w:bCs/>
          <w:sz w:val="27"/>
          <w:rtl/>
        </w:rPr>
        <w:t>المورد الثاني</w:t>
      </w:r>
      <w:r w:rsidRPr="00282AC9">
        <w:rPr>
          <w:rFonts w:hint="cs"/>
          <w:sz w:val="27"/>
          <w:rtl/>
        </w:rPr>
        <w:t xml:space="preserve">: </w:t>
      </w:r>
      <w:r w:rsidR="00E36937" w:rsidRPr="00282AC9">
        <w:rPr>
          <w:rFonts w:hint="cs"/>
          <w:sz w:val="27"/>
          <w:rtl/>
        </w:rPr>
        <w:t>و</w:t>
      </w:r>
      <w:r w:rsidR="00BC5E40" w:rsidRPr="00282AC9">
        <w:rPr>
          <w:rFonts w:hint="cs"/>
          <w:sz w:val="27"/>
          <w:rtl/>
        </w:rPr>
        <w:t>من بين الأمور الأخرى التي تؤدّ</w:t>
      </w:r>
      <w:r w:rsidR="00E36937" w:rsidRPr="00282AC9">
        <w:rPr>
          <w:rFonts w:hint="cs"/>
          <w:sz w:val="27"/>
          <w:rtl/>
        </w:rPr>
        <w:t>ِ</w:t>
      </w:r>
      <w:r w:rsidR="00BC5E40" w:rsidRPr="00282AC9">
        <w:rPr>
          <w:rFonts w:hint="cs"/>
          <w:sz w:val="27"/>
          <w:rtl/>
        </w:rPr>
        <w:t>ي إلى جعل الحكم على الإنسان هو الق</w:t>
      </w:r>
      <w:r w:rsidR="00E36937" w:rsidRPr="00282AC9">
        <w:rPr>
          <w:rFonts w:hint="cs"/>
          <w:sz w:val="27"/>
          <w:rtl/>
        </w:rPr>
        <w:t>َ</w:t>
      </w:r>
      <w:r w:rsidR="00BC5E40" w:rsidRPr="00282AC9">
        <w:rPr>
          <w:rFonts w:hint="cs"/>
          <w:sz w:val="27"/>
          <w:rtl/>
        </w:rPr>
        <w:t>سَم. وهذا الأمر ثابت</w:t>
      </w:r>
      <w:r w:rsidR="00E36937" w:rsidRPr="00282AC9">
        <w:rPr>
          <w:rFonts w:hint="cs"/>
          <w:sz w:val="27"/>
          <w:rtl/>
        </w:rPr>
        <w:t>ٌ</w:t>
      </w:r>
      <w:r w:rsidR="00BC5E40" w:rsidRPr="00282AC9">
        <w:rPr>
          <w:rFonts w:hint="cs"/>
          <w:sz w:val="27"/>
          <w:rtl/>
        </w:rPr>
        <w:t xml:space="preserve"> كما هو الحال بالنسبة إلى الن</w:t>
      </w:r>
      <w:r w:rsidR="00E36937" w:rsidRPr="00282AC9">
        <w:rPr>
          <w:rFonts w:hint="cs"/>
          <w:sz w:val="27"/>
          <w:rtl/>
        </w:rPr>
        <w:t>َّ</w:t>
      </w:r>
      <w:r w:rsidR="00BC5E40" w:rsidRPr="00282AC9">
        <w:rPr>
          <w:rFonts w:hint="cs"/>
          <w:sz w:val="27"/>
          <w:rtl/>
        </w:rPr>
        <w:t>ذ</w:t>
      </w:r>
      <w:r w:rsidR="00E36937" w:rsidRPr="00282AC9">
        <w:rPr>
          <w:rFonts w:hint="cs"/>
          <w:sz w:val="27"/>
          <w:rtl/>
        </w:rPr>
        <w:t>ْ</w:t>
      </w:r>
      <w:r w:rsidR="00BC5E40" w:rsidRPr="00282AC9">
        <w:rPr>
          <w:rFonts w:hint="cs"/>
          <w:sz w:val="27"/>
          <w:rtl/>
        </w:rPr>
        <w:t>ر، وهو مقبول</w:t>
      </w:r>
      <w:r w:rsidR="00E36937" w:rsidRPr="00282AC9">
        <w:rPr>
          <w:rFonts w:hint="cs"/>
          <w:sz w:val="27"/>
          <w:rtl/>
        </w:rPr>
        <w:t>ٌ</w:t>
      </w:r>
      <w:r w:rsidR="00BC5E40" w:rsidRPr="00282AC9">
        <w:rPr>
          <w:rFonts w:hint="cs"/>
          <w:sz w:val="27"/>
          <w:rtl/>
        </w:rPr>
        <w:t xml:space="preserve"> </w:t>
      </w:r>
      <w:r w:rsidR="00E36937" w:rsidRPr="00282AC9">
        <w:rPr>
          <w:rFonts w:hint="cs"/>
          <w:sz w:val="27"/>
          <w:rtl/>
        </w:rPr>
        <w:t>من</w:t>
      </w:r>
      <w:r w:rsidR="00BC5E40" w:rsidRPr="00282AC9">
        <w:rPr>
          <w:rFonts w:hint="cs"/>
          <w:sz w:val="27"/>
          <w:rtl/>
        </w:rPr>
        <w:t xml:space="preserve"> الفقهاء، حيث يمكن للإنسان بالق</w:t>
      </w:r>
      <w:r w:rsidR="00E36937" w:rsidRPr="00282AC9">
        <w:rPr>
          <w:rFonts w:hint="cs"/>
          <w:sz w:val="27"/>
          <w:rtl/>
        </w:rPr>
        <w:t>َ</w:t>
      </w:r>
      <w:r w:rsidR="00BC5E40" w:rsidRPr="00282AC9">
        <w:rPr>
          <w:rFonts w:hint="cs"/>
          <w:sz w:val="27"/>
          <w:rtl/>
        </w:rPr>
        <w:t>سَم ـ على طبق الشروط ـ أن يوجب على نفسه أو يحرّ</w:t>
      </w:r>
      <w:r w:rsidR="00E36937" w:rsidRPr="00282AC9">
        <w:rPr>
          <w:rFonts w:hint="cs"/>
          <w:sz w:val="27"/>
          <w:rtl/>
        </w:rPr>
        <w:t>ِ</w:t>
      </w:r>
      <w:r w:rsidR="00BC5E40" w:rsidRPr="00282AC9">
        <w:rPr>
          <w:rFonts w:hint="cs"/>
          <w:sz w:val="27"/>
          <w:rtl/>
        </w:rPr>
        <w:t>م ما كان مباحاً، أو يجعل المستحب</w:t>
      </w:r>
      <w:r w:rsidR="00E36937" w:rsidRPr="00282AC9">
        <w:rPr>
          <w:rFonts w:hint="cs"/>
          <w:sz w:val="27"/>
          <w:rtl/>
        </w:rPr>
        <w:t>ّ</w:t>
      </w:r>
      <w:r w:rsidR="00BC5E40" w:rsidRPr="00282AC9">
        <w:rPr>
          <w:rFonts w:hint="cs"/>
          <w:sz w:val="27"/>
          <w:rtl/>
        </w:rPr>
        <w:t xml:space="preserve"> واجباً، أو يُحرّ</w:t>
      </w:r>
      <w:r w:rsidR="00E36937" w:rsidRPr="00282AC9">
        <w:rPr>
          <w:rFonts w:hint="cs"/>
          <w:sz w:val="27"/>
          <w:rtl/>
        </w:rPr>
        <w:t>ِ</w:t>
      </w:r>
      <w:r w:rsidR="00BC5E40" w:rsidRPr="00282AC9">
        <w:rPr>
          <w:rFonts w:hint="cs"/>
          <w:sz w:val="27"/>
          <w:rtl/>
        </w:rPr>
        <w:t>م على نفسه مكروهاً.</w:t>
      </w:r>
    </w:p>
    <w:p w:rsidR="00BC5E40" w:rsidRPr="00282AC9" w:rsidRDefault="005454CD" w:rsidP="00BC4D37">
      <w:pPr>
        <w:rPr>
          <w:sz w:val="27"/>
          <w:rtl/>
        </w:rPr>
      </w:pPr>
      <w:r w:rsidRPr="00282AC9">
        <w:rPr>
          <w:rFonts w:hint="cs"/>
          <w:b/>
          <w:bCs/>
          <w:sz w:val="27"/>
          <w:rtl/>
        </w:rPr>
        <w:t>المورد الثالث</w:t>
      </w:r>
      <w:r w:rsidRPr="00282AC9">
        <w:rPr>
          <w:rFonts w:hint="cs"/>
          <w:sz w:val="27"/>
          <w:rtl/>
        </w:rPr>
        <w:t xml:space="preserve">: </w:t>
      </w:r>
      <w:r w:rsidR="00BC5E40" w:rsidRPr="00282AC9">
        <w:rPr>
          <w:rFonts w:hint="cs"/>
          <w:sz w:val="27"/>
          <w:rtl/>
        </w:rPr>
        <w:t>وكذلك العهد من الأمور التي تسب</w:t>
      </w:r>
      <w:r w:rsidR="00E36937" w:rsidRPr="00282AC9">
        <w:rPr>
          <w:rFonts w:hint="cs"/>
          <w:sz w:val="27"/>
          <w:rtl/>
        </w:rPr>
        <w:t>ِّ</w:t>
      </w:r>
      <w:r w:rsidR="00BC5E40" w:rsidRPr="00282AC9">
        <w:rPr>
          <w:rFonts w:hint="cs"/>
          <w:sz w:val="27"/>
          <w:rtl/>
        </w:rPr>
        <w:t>ب جعل الوجوب أو الحرمة في ذمّة المكل</w:t>
      </w:r>
      <w:r w:rsidR="00E36937" w:rsidRPr="00282AC9">
        <w:rPr>
          <w:rFonts w:hint="cs"/>
          <w:sz w:val="27"/>
          <w:rtl/>
        </w:rPr>
        <w:t>َّ</w:t>
      </w:r>
      <w:r w:rsidR="00BC5E40" w:rsidRPr="00282AC9">
        <w:rPr>
          <w:rFonts w:hint="cs"/>
          <w:sz w:val="27"/>
          <w:rtl/>
        </w:rPr>
        <w:t>ف. وهذا أيضاً</w:t>
      </w:r>
      <w:r w:rsidR="00E36937" w:rsidRPr="00282AC9">
        <w:rPr>
          <w:rFonts w:hint="cs"/>
          <w:sz w:val="27"/>
          <w:rtl/>
        </w:rPr>
        <w:t>،</w:t>
      </w:r>
      <w:r w:rsidR="00BC5E40" w:rsidRPr="00282AC9">
        <w:rPr>
          <w:rFonts w:hint="cs"/>
          <w:sz w:val="27"/>
          <w:rtl/>
        </w:rPr>
        <w:t xml:space="preserve"> مثل النذر والق</w:t>
      </w:r>
      <w:r w:rsidR="00E36937" w:rsidRPr="00282AC9">
        <w:rPr>
          <w:rFonts w:hint="cs"/>
          <w:sz w:val="27"/>
          <w:rtl/>
        </w:rPr>
        <w:t>َ</w:t>
      </w:r>
      <w:r w:rsidR="00BC5E40" w:rsidRPr="00282AC9">
        <w:rPr>
          <w:rFonts w:hint="cs"/>
          <w:sz w:val="27"/>
          <w:rtl/>
        </w:rPr>
        <w:t>س</w:t>
      </w:r>
      <w:r w:rsidR="00E36937" w:rsidRPr="00282AC9">
        <w:rPr>
          <w:rFonts w:hint="cs"/>
          <w:sz w:val="27"/>
          <w:rtl/>
        </w:rPr>
        <w:t>َ</w:t>
      </w:r>
      <w:r w:rsidR="00BC5E40" w:rsidRPr="00282AC9">
        <w:rPr>
          <w:rFonts w:hint="cs"/>
          <w:sz w:val="27"/>
          <w:rtl/>
        </w:rPr>
        <w:t>م</w:t>
      </w:r>
      <w:r w:rsidR="00E36937" w:rsidRPr="00282AC9">
        <w:rPr>
          <w:rFonts w:hint="cs"/>
          <w:sz w:val="27"/>
          <w:rtl/>
        </w:rPr>
        <w:t>،</w:t>
      </w:r>
      <w:r w:rsidR="00BC5E40" w:rsidRPr="00282AC9">
        <w:rPr>
          <w:rFonts w:hint="cs"/>
          <w:sz w:val="27"/>
          <w:rtl/>
        </w:rPr>
        <w:t xml:space="preserve"> مت</w:t>
      </w:r>
      <w:r w:rsidR="00E36937" w:rsidRPr="00282AC9">
        <w:rPr>
          <w:rFonts w:hint="cs"/>
          <w:sz w:val="27"/>
          <w:rtl/>
        </w:rPr>
        <w:t>َّ</w:t>
      </w:r>
      <w:r w:rsidR="00BC5E40" w:rsidRPr="00282AC9">
        <w:rPr>
          <w:rFonts w:hint="cs"/>
          <w:sz w:val="27"/>
          <w:rtl/>
        </w:rPr>
        <w:t>ف</w:t>
      </w:r>
      <w:r w:rsidR="00E36937" w:rsidRPr="00282AC9">
        <w:rPr>
          <w:rFonts w:hint="cs"/>
          <w:sz w:val="27"/>
          <w:rtl/>
        </w:rPr>
        <w:t>َ</w:t>
      </w:r>
      <w:r w:rsidR="00BC5E40" w:rsidRPr="00282AC9">
        <w:rPr>
          <w:rFonts w:hint="cs"/>
          <w:sz w:val="27"/>
          <w:rtl/>
        </w:rPr>
        <w:t>ق</w:t>
      </w:r>
      <w:r w:rsidR="00E36937" w:rsidRPr="00282AC9">
        <w:rPr>
          <w:rFonts w:hint="cs"/>
          <w:sz w:val="27"/>
          <w:rtl/>
        </w:rPr>
        <w:t>ٌ</w:t>
      </w:r>
      <w:r w:rsidR="00BC5E40" w:rsidRPr="00282AC9">
        <w:rPr>
          <w:rFonts w:hint="cs"/>
          <w:sz w:val="27"/>
          <w:rtl/>
        </w:rPr>
        <w:t xml:space="preserve"> عليه من ق</w:t>
      </w:r>
      <w:r w:rsidR="00E36937" w:rsidRPr="00282AC9">
        <w:rPr>
          <w:rFonts w:hint="cs"/>
          <w:sz w:val="27"/>
          <w:rtl/>
        </w:rPr>
        <w:t>ِ</w:t>
      </w:r>
      <w:r w:rsidR="00BC5E40" w:rsidRPr="00282AC9">
        <w:rPr>
          <w:rFonts w:hint="cs"/>
          <w:sz w:val="27"/>
          <w:rtl/>
        </w:rPr>
        <w:t>ب</w:t>
      </w:r>
      <w:r w:rsidR="00E36937" w:rsidRPr="00282AC9">
        <w:rPr>
          <w:rFonts w:hint="cs"/>
          <w:sz w:val="27"/>
          <w:rtl/>
        </w:rPr>
        <w:t>َ</w:t>
      </w:r>
      <w:r w:rsidR="00BC5E40" w:rsidRPr="00282AC9">
        <w:rPr>
          <w:rFonts w:hint="cs"/>
          <w:sz w:val="27"/>
          <w:rtl/>
        </w:rPr>
        <w:t>ل الفقهاء</w:t>
      </w:r>
      <w:r w:rsidR="00E36937" w:rsidRPr="00282AC9">
        <w:rPr>
          <w:rFonts w:hint="cs"/>
          <w:sz w:val="27"/>
          <w:rtl/>
        </w:rPr>
        <w:t>.</w:t>
      </w:r>
      <w:r w:rsidR="00BC5E40" w:rsidRPr="00282AC9">
        <w:rPr>
          <w:rFonts w:hint="cs"/>
          <w:sz w:val="27"/>
          <w:rtl/>
        </w:rPr>
        <w:t xml:space="preserve"> فإذا تعهّ</w:t>
      </w:r>
      <w:r w:rsidR="00E36937" w:rsidRPr="00282AC9">
        <w:rPr>
          <w:rFonts w:hint="cs"/>
          <w:sz w:val="27"/>
          <w:rtl/>
        </w:rPr>
        <w:t>َ</w:t>
      </w:r>
      <w:r w:rsidR="00BC5E40" w:rsidRPr="00282AC9">
        <w:rPr>
          <w:rFonts w:hint="cs"/>
          <w:sz w:val="27"/>
          <w:rtl/>
        </w:rPr>
        <w:t>د المكل</w:t>
      </w:r>
      <w:r w:rsidR="00E36937" w:rsidRPr="00282AC9">
        <w:rPr>
          <w:rFonts w:hint="cs"/>
          <w:sz w:val="27"/>
          <w:rtl/>
        </w:rPr>
        <w:t>َّ</w:t>
      </w:r>
      <w:r w:rsidR="00BC5E40" w:rsidRPr="00282AC9">
        <w:rPr>
          <w:rFonts w:hint="cs"/>
          <w:sz w:val="27"/>
          <w:rtl/>
        </w:rPr>
        <w:t>ف بشيء</w:t>
      </w:r>
      <w:r w:rsidR="00E36937" w:rsidRPr="00282AC9">
        <w:rPr>
          <w:rFonts w:hint="cs"/>
          <w:sz w:val="27"/>
          <w:rtl/>
        </w:rPr>
        <w:t>ٍ</w:t>
      </w:r>
      <w:r w:rsidR="00BC5E40" w:rsidRPr="00282AC9">
        <w:rPr>
          <w:rFonts w:hint="cs"/>
          <w:sz w:val="27"/>
          <w:rtl/>
        </w:rPr>
        <w:t xml:space="preserve"> ـ على طبق الشرائط المذكورة في أحكام العهد ـ وجب عليه ما تعهّ</w:t>
      </w:r>
      <w:r w:rsidR="00E36937" w:rsidRPr="00282AC9">
        <w:rPr>
          <w:rFonts w:hint="cs"/>
          <w:sz w:val="27"/>
          <w:rtl/>
        </w:rPr>
        <w:t>َ</w:t>
      </w:r>
      <w:r w:rsidR="00BC5E40" w:rsidRPr="00282AC9">
        <w:rPr>
          <w:rFonts w:hint="cs"/>
          <w:sz w:val="27"/>
          <w:rtl/>
        </w:rPr>
        <w:t>د به.</w:t>
      </w:r>
    </w:p>
    <w:p w:rsidR="00BC5E40" w:rsidRPr="00282AC9" w:rsidRDefault="00BC5E40" w:rsidP="00BC4D37">
      <w:pPr>
        <w:rPr>
          <w:sz w:val="27"/>
          <w:rtl/>
        </w:rPr>
      </w:pPr>
      <w:r w:rsidRPr="00282AC9">
        <w:rPr>
          <w:rFonts w:hint="cs"/>
          <w:sz w:val="27"/>
          <w:rtl/>
        </w:rPr>
        <w:t xml:space="preserve">قال صاحب كتاب وسيلة النجاة: </w:t>
      </w:r>
      <w:r w:rsidRPr="00282AC9">
        <w:rPr>
          <w:rFonts w:hint="eastAsia"/>
          <w:sz w:val="24"/>
          <w:szCs w:val="24"/>
          <w:rtl/>
        </w:rPr>
        <w:t>«</w:t>
      </w:r>
      <w:r w:rsidRPr="00282AC9">
        <w:rPr>
          <w:rFonts w:hint="cs"/>
          <w:sz w:val="27"/>
          <w:rtl/>
        </w:rPr>
        <w:t>يُعت</w:t>
      </w:r>
      <w:r w:rsidR="00E36937" w:rsidRPr="00282AC9">
        <w:rPr>
          <w:rFonts w:hint="cs"/>
          <w:sz w:val="27"/>
          <w:rtl/>
        </w:rPr>
        <w:t>َ</w:t>
      </w:r>
      <w:r w:rsidRPr="00282AC9">
        <w:rPr>
          <w:rFonts w:hint="cs"/>
          <w:sz w:val="27"/>
          <w:rtl/>
        </w:rPr>
        <w:t>ب</w:t>
      </w:r>
      <w:r w:rsidR="00E36937" w:rsidRPr="00282AC9">
        <w:rPr>
          <w:rFonts w:hint="cs"/>
          <w:sz w:val="27"/>
          <w:rtl/>
        </w:rPr>
        <w:t>َ</w:t>
      </w:r>
      <w:r w:rsidRPr="00282AC9">
        <w:rPr>
          <w:rFonts w:hint="cs"/>
          <w:sz w:val="27"/>
          <w:rtl/>
        </w:rPr>
        <w:t>ر فيه أن لا يكون مرجوحاً دين</w:t>
      </w:r>
      <w:r w:rsidR="00327AF5" w:rsidRPr="00282AC9">
        <w:rPr>
          <w:rFonts w:hint="cs"/>
          <w:sz w:val="27"/>
          <w:rtl/>
        </w:rPr>
        <w:t>يّ</w:t>
      </w:r>
      <w:r w:rsidRPr="00282AC9">
        <w:rPr>
          <w:rFonts w:hint="cs"/>
          <w:sz w:val="27"/>
          <w:rtl/>
        </w:rPr>
        <w:t xml:space="preserve">اً أو </w:t>
      </w:r>
      <w:r w:rsidRPr="00282AC9">
        <w:rPr>
          <w:rFonts w:hint="cs"/>
          <w:sz w:val="27"/>
          <w:rtl/>
        </w:rPr>
        <w:lastRenderedPageBreak/>
        <w:t>دني</w:t>
      </w:r>
      <w:r w:rsidR="00327AF5" w:rsidRPr="00282AC9">
        <w:rPr>
          <w:rFonts w:hint="cs"/>
          <w:sz w:val="27"/>
          <w:rtl/>
        </w:rPr>
        <w:t>ويّ</w:t>
      </w:r>
      <w:r w:rsidRPr="00282AC9">
        <w:rPr>
          <w:rFonts w:hint="cs"/>
          <w:sz w:val="27"/>
          <w:rtl/>
        </w:rPr>
        <w:t>اً، ولا يُعتبر فيه الرجحان</w:t>
      </w:r>
      <w:r w:rsidR="00E36937" w:rsidRPr="00282AC9">
        <w:rPr>
          <w:rFonts w:hint="cs"/>
          <w:sz w:val="27"/>
          <w:rtl/>
        </w:rPr>
        <w:t>،</w:t>
      </w:r>
      <w:r w:rsidRPr="00282AC9">
        <w:rPr>
          <w:rFonts w:hint="cs"/>
          <w:sz w:val="27"/>
          <w:rtl/>
        </w:rPr>
        <w:t xml:space="preserve"> فضلاً عن كونه طاعة</w:t>
      </w:r>
      <w:r w:rsidR="00E36937" w:rsidRPr="00282AC9">
        <w:rPr>
          <w:rFonts w:hint="cs"/>
          <w:sz w:val="27"/>
          <w:rtl/>
        </w:rPr>
        <w:t>ً</w:t>
      </w:r>
      <w:r w:rsidRPr="00282AC9">
        <w:rPr>
          <w:rFonts w:hint="cs"/>
          <w:sz w:val="27"/>
          <w:rtl/>
        </w:rPr>
        <w:t>، كما اعتبر ذلك في الن</w:t>
      </w:r>
      <w:r w:rsidR="00E36937" w:rsidRPr="00282AC9">
        <w:rPr>
          <w:rFonts w:hint="cs"/>
          <w:sz w:val="27"/>
          <w:rtl/>
        </w:rPr>
        <w:t>َّ</w:t>
      </w:r>
      <w:r w:rsidRPr="00282AC9">
        <w:rPr>
          <w:rFonts w:hint="cs"/>
          <w:sz w:val="27"/>
          <w:rtl/>
        </w:rPr>
        <w:t>ذ</w:t>
      </w:r>
      <w:r w:rsidR="00E36937" w:rsidRPr="00282AC9">
        <w:rPr>
          <w:rFonts w:hint="cs"/>
          <w:sz w:val="27"/>
          <w:rtl/>
        </w:rPr>
        <w:t>ْ</w:t>
      </w:r>
      <w:r w:rsidRPr="00282AC9">
        <w:rPr>
          <w:rFonts w:hint="cs"/>
          <w:sz w:val="27"/>
          <w:rtl/>
        </w:rPr>
        <w:t>ر، فلو عاهد على فعل</w:t>
      </w:r>
      <w:r w:rsidR="00D36C2F" w:rsidRPr="00282AC9">
        <w:rPr>
          <w:rFonts w:hint="cs"/>
          <w:sz w:val="27"/>
          <w:rtl/>
        </w:rPr>
        <w:t>ٍ</w:t>
      </w:r>
      <w:r w:rsidRPr="00282AC9">
        <w:rPr>
          <w:rFonts w:hint="cs"/>
          <w:sz w:val="27"/>
          <w:rtl/>
        </w:rPr>
        <w:t xml:space="preserve"> مباح لزم</w:t>
      </w:r>
      <w:r w:rsidRPr="00282AC9">
        <w:rPr>
          <w:rFonts w:hint="eastAsia"/>
          <w:sz w:val="24"/>
          <w:szCs w:val="24"/>
          <w:rtl/>
        </w:rPr>
        <w:t>»</w:t>
      </w:r>
      <w:r w:rsidRPr="00282AC9">
        <w:rPr>
          <w:sz w:val="27"/>
          <w:vertAlign w:val="superscript"/>
          <w:rtl/>
        </w:rPr>
        <w:t>(</w:t>
      </w:r>
      <w:r w:rsidRPr="00282AC9">
        <w:rPr>
          <w:rStyle w:val="af9"/>
          <w:sz w:val="27"/>
          <w:rtl/>
        </w:rPr>
        <w:endnoteReference w:id="47"/>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يت</w:t>
      </w:r>
      <w:r w:rsidR="00D36C2F" w:rsidRPr="00282AC9">
        <w:rPr>
          <w:rFonts w:hint="cs"/>
          <w:sz w:val="27"/>
          <w:rtl/>
        </w:rPr>
        <w:t>ّ</w:t>
      </w:r>
      <w:r w:rsidRPr="00282AC9">
        <w:rPr>
          <w:rFonts w:hint="cs"/>
          <w:sz w:val="27"/>
          <w:rtl/>
        </w:rPr>
        <w:t>ضح من هذه العبارة ـ المت</w:t>
      </w:r>
      <w:r w:rsidR="00D36C2F" w:rsidRPr="00282AC9">
        <w:rPr>
          <w:rFonts w:hint="cs"/>
          <w:sz w:val="27"/>
          <w:rtl/>
        </w:rPr>
        <w:t>َّ</w:t>
      </w:r>
      <w:r w:rsidRPr="00282AC9">
        <w:rPr>
          <w:rFonts w:hint="cs"/>
          <w:sz w:val="27"/>
          <w:rtl/>
        </w:rPr>
        <w:t>فق عليها من ق</w:t>
      </w:r>
      <w:r w:rsidR="00D36C2F" w:rsidRPr="00282AC9">
        <w:rPr>
          <w:rFonts w:hint="cs"/>
          <w:sz w:val="27"/>
          <w:rtl/>
        </w:rPr>
        <w:t>ِ</w:t>
      </w:r>
      <w:r w:rsidRPr="00282AC9">
        <w:rPr>
          <w:rFonts w:hint="cs"/>
          <w:sz w:val="27"/>
          <w:rtl/>
        </w:rPr>
        <w:t>ب</w:t>
      </w:r>
      <w:r w:rsidR="00D36C2F" w:rsidRPr="00282AC9">
        <w:rPr>
          <w:rFonts w:hint="cs"/>
          <w:sz w:val="27"/>
          <w:rtl/>
        </w:rPr>
        <w:t>َ</w:t>
      </w:r>
      <w:r w:rsidRPr="00282AC9">
        <w:rPr>
          <w:rFonts w:hint="cs"/>
          <w:sz w:val="27"/>
          <w:rtl/>
        </w:rPr>
        <w:t>ل أكثر الفقهاء ـ أن العهد يؤد</w:t>
      </w:r>
      <w:r w:rsidR="00D36C2F" w:rsidRPr="00282AC9">
        <w:rPr>
          <w:rFonts w:hint="cs"/>
          <w:sz w:val="27"/>
          <w:rtl/>
        </w:rPr>
        <w:t>ّ</w:t>
      </w:r>
      <w:r w:rsidRPr="00282AC9">
        <w:rPr>
          <w:rFonts w:hint="cs"/>
          <w:sz w:val="27"/>
          <w:rtl/>
        </w:rPr>
        <w:t>ي إلى جعل الوجوب أو الحرمة.</w:t>
      </w:r>
    </w:p>
    <w:p w:rsidR="00D36C2F" w:rsidRPr="00282AC9" w:rsidRDefault="005454CD" w:rsidP="00BC4D37">
      <w:pPr>
        <w:rPr>
          <w:sz w:val="27"/>
          <w:rtl/>
        </w:rPr>
      </w:pPr>
      <w:r w:rsidRPr="00282AC9">
        <w:rPr>
          <w:rFonts w:hint="cs"/>
          <w:b/>
          <w:bCs/>
          <w:sz w:val="27"/>
          <w:rtl/>
        </w:rPr>
        <w:t>المورد الرابع</w:t>
      </w:r>
      <w:r w:rsidRPr="00282AC9">
        <w:rPr>
          <w:rFonts w:hint="cs"/>
          <w:sz w:val="27"/>
          <w:rtl/>
        </w:rPr>
        <w:t xml:space="preserve">: </w:t>
      </w:r>
      <w:r w:rsidR="00BC5E40" w:rsidRPr="00282AC9">
        <w:rPr>
          <w:rFonts w:hint="cs"/>
          <w:sz w:val="27"/>
          <w:rtl/>
        </w:rPr>
        <w:t>ومن بين الأمور المت</w:t>
      </w:r>
      <w:r w:rsidR="00D36C2F" w:rsidRPr="00282AC9">
        <w:rPr>
          <w:rFonts w:hint="cs"/>
          <w:sz w:val="27"/>
          <w:rtl/>
        </w:rPr>
        <w:t>َّ</w:t>
      </w:r>
      <w:r w:rsidR="00BC5E40" w:rsidRPr="00282AC9">
        <w:rPr>
          <w:rFonts w:hint="cs"/>
          <w:sz w:val="27"/>
          <w:rtl/>
        </w:rPr>
        <w:t>فق عليها من ق</w:t>
      </w:r>
      <w:r w:rsidR="00D36C2F" w:rsidRPr="00282AC9">
        <w:rPr>
          <w:rFonts w:hint="cs"/>
          <w:sz w:val="27"/>
          <w:rtl/>
        </w:rPr>
        <w:t>ِ</w:t>
      </w:r>
      <w:r w:rsidR="00BC5E40" w:rsidRPr="00282AC9">
        <w:rPr>
          <w:rFonts w:hint="cs"/>
          <w:sz w:val="27"/>
          <w:rtl/>
        </w:rPr>
        <w:t>ب</w:t>
      </w:r>
      <w:r w:rsidR="00D36C2F" w:rsidRPr="00282AC9">
        <w:rPr>
          <w:rFonts w:hint="cs"/>
          <w:sz w:val="27"/>
          <w:rtl/>
        </w:rPr>
        <w:t>َ</w:t>
      </w:r>
      <w:r w:rsidR="00BC5E40" w:rsidRPr="00282AC9">
        <w:rPr>
          <w:rFonts w:hint="cs"/>
          <w:sz w:val="27"/>
          <w:rtl/>
        </w:rPr>
        <w:t>ل الفقهاء هو الشرط في ضمن العقد</w:t>
      </w:r>
      <w:r w:rsidR="00D36C2F" w:rsidRPr="00282AC9">
        <w:rPr>
          <w:rFonts w:hint="cs"/>
          <w:sz w:val="27"/>
          <w:rtl/>
        </w:rPr>
        <w:t>،</w:t>
      </w:r>
      <w:r w:rsidR="00BC5E40" w:rsidRPr="00282AC9">
        <w:rPr>
          <w:rFonts w:hint="cs"/>
          <w:sz w:val="27"/>
          <w:rtl/>
        </w:rPr>
        <w:t xml:space="preserve"> حيث يمكن لكل</w:t>
      </w:r>
      <w:r w:rsidR="00D36C2F" w:rsidRPr="00282AC9">
        <w:rPr>
          <w:rFonts w:hint="cs"/>
          <w:sz w:val="27"/>
          <w:rtl/>
        </w:rPr>
        <w:t>ٍّ</w:t>
      </w:r>
      <w:r w:rsidR="00BC5E40" w:rsidRPr="00282AC9">
        <w:rPr>
          <w:rFonts w:hint="cs"/>
          <w:sz w:val="27"/>
          <w:rtl/>
        </w:rPr>
        <w:t xml:space="preserve"> من طرفي العقد (البائع والمشتري) أن يوجب على الآخر كل</w:t>
      </w:r>
      <w:r w:rsidR="00D36C2F" w:rsidRPr="00282AC9">
        <w:rPr>
          <w:rFonts w:hint="cs"/>
          <w:sz w:val="27"/>
          <w:rtl/>
        </w:rPr>
        <w:t>ّ</w:t>
      </w:r>
      <w:r w:rsidR="00BC5E40" w:rsidRPr="00282AC9">
        <w:rPr>
          <w:rFonts w:hint="cs"/>
          <w:sz w:val="27"/>
          <w:rtl/>
        </w:rPr>
        <w:t xml:space="preserve"> شيء</w:t>
      </w:r>
      <w:r w:rsidR="00D36C2F" w:rsidRPr="00282AC9">
        <w:rPr>
          <w:rFonts w:hint="cs"/>
          <w:sz w:val="27"/>
          <w:rtl/>
        </w:rPr>
        <w:t>ٍ،</w:t>
      </w:r>
      <w:r w:rsidR="00BC5E40" w:rsidRPr="00282AC9">
        <w:rPr>
          <w:rFonts w:hint="cs"/>
          <w:sz w:val="27"/>
          <w:rtl/>
        </w:rPr>
        <w:t xml:space="preserve"> باستثناء ما خالف كتاب الله وسن</w:t>
      </w:r>
      <w:r w:rsidR="00D36C2F" w:rsidRPr="00282AC9">
        <w:rPr>
          <w:rFonts w:hint="cs"/>
          <w:sz w:val="27"/>
          <w:rtl/>
        </w:rPr>
        <w:t>ّ</w:t>
      </w:r>
      <w:r w:rsidR="00BC5E40" w:rsidRPr="00282AC9">
        <w:rPr>
          <w:rFonts w:hint="cs"/>
          <w:sz w:val="27"/>
          <w:rtl/>
        </w:rPr>
        <w:t>ة رسول الله</w:t>
      </w:r>
      <w:r w:rsidR="009A2A04" w:rsidRPr="00282AC9">
        <w:rPr>
          <w:rFonts w:cs="Mosawi" w:hint="cs"/>
          <w:sz w:val="22"/>
          <w:szCs w:val="22"/>
          <w:rtl/>
        </w:rPr>
        <w:t>|</w:t>
      </w:r>
      <w:r w:rsidR="00D36C2F" w:rsidRPr="00282AC9">
        <w:rPr>
          <w:rFonts w:hint="cs"/>
          <w:sz w:val="27"/>
          <w:rtl/>
        </w:rPr>
        <w:t>،</w:t>
      </w:r>
      <w:r w:rsidR="00BC5E40" w:rsidRPr="00282AC9">
        <w:rPr>
          <w:rFonts w:hint="cs"/>
          <w:sz w:val="27"/>
          <w:rtl/>
        </w:rPr>
        <w:t xml:space="preserve"> أو خالف مقتضى العقد. </w:t>
      </w:r>
    </w:p>
    <w:p w:rsidR="00BC5E40" w:rsidRPr="00282AC9" w:rsidRDefault="00BC5E40" w:rsidP="00BC4D37">
      <w:pPr>
        <w:rPr>
          <w:sz w:val="27"/>
          <w:rtl/>
        </w:rPr>
      </w:pPr>
      <w:r w:rsidRPr="00282AC9">
        <w:rPr>
          <w:rFonts w:hint="cs"/>
          <w:sz w:val="27"/>
          <w:rtl/>
        </w:rPr>
        <w:t xml:space="preserve">قال السيد الحكيم في هذا الشأن: </w:t>
      </w:r>
      <w:r w:rsidRPr="00282AC9">
        <w:rPr>
          <w:rFonts w:hint="eastAsia"/>
          <w:sz w:val="24"/>
          <w:szCs w:val="24"/>
          <w:rtl/>
        </w:rPr>
        <w:t>«</w:t>
      </w:r>
      <w:r w:rsidRPr="00282AC9">
        <w:rPr>
          <w:sz w:val="27"/>
          <w:rtl/>
        </w:rPr>
        <w:t>كما يجب الوفاء بالعقد اللازم يجب الوفاء بالشرط المجعول فيه، كما إذا</w:t>
      </w:r>
      <w:r w:rsidRPr="00282AC9">
        <w:rPr>
          <w:rFonts w:hint="cs"/>
          <w:sz w:val="27"/>
          <w:rtl/>
        </w:rPr>
        <w:t xml:space="preserve"> </w:t>
      </w:r>
      <w:r w:rsidRPr="00282AC9">
        <w:rPr>
          <w:sz w:val="27"/>
          <w:rtl/>
        </w:rPr>
        <w:t>باعه ف</w:t>
      </w:r>
      <w:r w:rsidR="00D36C2F" w:rsidRPr="00282AC9">
        <w:rPr>
          <w:rFonts w:hint="cs"/>
          <w:sz w:val="27"/>
          <w:rtl/>
        </w:rPr>
        <w:t>َ</w:t>
      </w:r>
      <w:r w:rsidRPr="00282AC9">
        <w:rPr>
          <w:sz w:val="27"/>
          <w:rtl/>
        </w:rPr>
        <w:t>ر</w:t>
      </w:r>
      <w:r w:rsidR="00D36C2F" w:rsidRPr="00282AC9">
        <w:rPr>
          <w:rFonts w:hint="cs"/>
          <w:sz w:val="27"/>
          <w:rtl/>
        </w:rPr>
        <w:t>َ</w:t>
      </w:r>
      <w:r w:rsidRPr="00282AC9">
        <w:rPr>
          <w:sz w:val="27"/>
          <w:rtl/>
        </w:rPr>
        <w:t>سا</w:t>
      </w:r>
      <w:r w:rsidRPr="00282AC9">
        <w:rPr>
          <w:rFonts w:hint="cs"/>
          <w:sz w:val="27"/>
          <w:rtl/>
        </w:rPr>
        <w:t>ً</w:t>
      </w:r>
      <w:r w:rsidRPr="00282AC9">
        <w:rPr>
          <w:sz w:val="27"/>
          <w:rtl/>
        </w:rPr>
        <w:t xml:space="preserve"> بثمن</w:t>
      </w:r>
      <w:r w:rsidR="00D36C2F" w:rsidRPr="00282AC9">
        <w:rPr>
          <w:rFonts w:hint="cs"/>
          <w:sz w:val="27"/>
          <w:rtl/>
        </w:rPr>
        <w:t>ٍ</w:t>
      </w:r>
      <w:r w:rsidRPr="00282AC9">
        <w:rPr>
          <w:sz w:val="27"/>
          <w:rtl/>
        </w:rPr>
        <w:t xml:space="preserve"> معين</w:t>
      </w:r>
      <w:r w:rsidR="00D36C2F" w:rsidRPr="00282AC9">
        <w:rPr>
          <w:rFonts w:hint="cs"/>
          <w:sz w:val="27"/>
          <w:rtl/>
        </w:rPr>
        <w:t>،</w:t>
      </w:r>
      <w:r w:rsidRPr="00282AC9">
        <w:rPr>
          <w:sz w:val="27"/>
          <w:rtl/>
        </w:rPr>
        <w:t xml:space="preserve"> واشترط عليه أن يخيط له ثوبه</w:t>
      </w:r>
      <w:r w:rsidR="00D36C2F" w:rsidRPr="00282AC9">
        <w:rPr>
          <w:rFonts w:hint="cs"/>
          <w:sz w:val="27"/>
          <w:rtl/>
        </w:rPr>
        <w:t>،</w:t>
      </w:r>
      <w:r w:rsidRPr="00282AC9">
        <w:rPr>
          <w:sz w:val="27"/>
          <w:rtl/>
        </w:rPr>
        <w:t xml:space="preserve"> فإن البائع يستحق</w:t>
      </w:r>
      <w:r w:rsidR="00D36C2F" w:rsidRPr="00282AC9">
        <w:rPr>
          <w:rFonts w:hint="cs"/>
          <w:sz w:val="27"/>
          <w:rtl/>
        </w:rPr>
        <w:t>ّ</w:t>
      </w:r>
      <w:r w:rsidRPr="00282AC9">
        <w:rPr>
          <w:sz w:val="27"/>
          <w:rtl/>
        </w:rPr>
        <w:t xml:space="preserve"> على</w:t>
      </w:r>
      <w:r w:rsidRPr="00282AC9">
        <w:rPr>
          <w:rFonts w:hint="cs"/>
          <w:sz w:val="27"/>
          <w:rtl/>
        </w:rPr>
        <w:t xml:space="preserve"> </w:t>
      </w:r>
      <w:r w:rsidRPr="00282AC9">
        <w:rPr>
          <w:sz w:val="27"/>
          <w:rtl/>
        </w:rPr>
        <w:t>المشتري الخياطة بالشرط، فتجب عليه خياطة ثوب البائع</w:t>
      </w:r>
      <w:r w:rsidRPr="00282AC9">
        <w:rPr>
          <w:rFonts w:hint="eastAsia"/>
          <w:sz w:val="24"/>
          <w:szCs w:val="24"/>
          <w:rtl/>
        </w:rPr>
        <w:t>»</w:t>
      </w:r>
      <w:r w:rsidRPr="00282AC9">
        <w:rPr>
          <w:sz w:val="27"/>
          <w:vertAlign w:val="superscript"/>
          <w:rtl/>
        </w:rPr>
        <w:t>(</w:t>
      </w:r>
      <w:r w:rsidRPr="00282AC9">
        <w:rPr>
          <w:rStyle w:val="af9"/>
          <w:sz w:val="27"/>
          <w:rtl/>
        </w:rPr>
        <w:endnoteReference w:id="48"/>
      </w:r>
      <w:r w:rsidRPr="00282AC9">
        <w:rPr>
          <w:sz w:val="27"/>
          <w:vertAlign w:val="superscript"/>
          <w:rtl/>
        </w:rPr>
        <w:t>)</w:t>
      </w:r>
      <w:r w:rsidRPr="00282AC9">
        <w:rPr>
          <w:rFonts w:hint="cs"/>
          <w:sz w:val="27"/>
          <w:rtl/>
        </w:rPr>
        <w:t xml:space="preserve">. </w:t>
      </w:r>
    </w:p>
    <w:p w:rsidR="00D36C2F" w:rsidRPr="00282AC9" w:rsidRDefault="005454CD" w:rsidP="00BC4D37">
      <w:pPr>
        <w:rPr>
          <w:sz w:val="27"/>
          <w:rtl/>
        </w:rPr>
      </w:pPr>
      <w:r w:rsidRPr="00282AC9">
        <w:rPr>
          <w:rFonts w:hint="cs"/>
          <w:b/>
          <w:bCs/>
          <w:sz w:val="27"/>
          <w:rtl/>
        </w:rPr>
        <w:t>الموردان الخامس والسادس</w:t>
      </w:r>
      <w:r w:rsidRPr="00282AC9">
        <w:rPr>
          <w:rFonts w:hint="cs"/>
          <w:sz w:val="27"/>
          <w:rtl/>
        </w:rPr>
        <w:t xml:space="preserve">: </w:t>
      </w:r>
      <w:r w:rsidR="00BC5E40" w:rsidRPr="00282AC9">
        <w:rPr>
          <w:rFonts w:hint="cs"/>
          <w:sz w:val="27"/>
          <w:rtl/>
        </w:rPr>
        <w:t>ومن بين الأمور الأخرى التي يجب بسببها حكم</w:t>
      </w:r>
      <w:r w:rsidR="00D36C2F" w:rsidRPr="00282AC9">
        <w:rPr>
          <w:rFonts w:hint="cs"/>
          <w:sz w:val="27"/>
          <w:rtl/>
        </w:rPr>
        <w:t>ٌ</w:t>
      </w:r>
      <w:r w:rsidR="00BC5E40" w:rsidRPr="00282AC9">
        <w:rPr>
          <w:rFonts w:hint="cs"/>
          <w:sz w:val="27"/>
          <w:rtl/>
        </w:rPr>
        <w:t xml:space="preserve"> على المكل</w:t>
      </w:r>
      <w:r w:rsidR="00D36C2F" w:rsidRPr="00282AC9">
        <w:rPr>
          <w:rFonts w:hint="cs"/>
          <w:sz w:val="27"/>
          <w:rtl/>
        </w:rPr>
        <w:t>َّ</w:t>
      </w:r>
      <w:r w:rsidR="00BC5E40" w:rsidRPr="00282AC9">
        <w:rPr>
          <w:rFonts w:hint="cs"/>
          <w:sz w:val="27"/>
          <w:rtl/>
        </w:rPr>
        <w:t>ف، رغم أن حكمها الأو</w:t>
      </w:r>
      <w:r w:rsidR="00D36C2F" w:rsidRPr="00282AC9">
        <w:rPr>
          <w:rFonts w:hint="cs"/>
          <w:sz w:val="27"/>
          <w:rtl/>
        </w:rPr>
        <w:t>ّ</w:t>
      </w:r>
      <w:r w:rsidR="00BC5E40" w:rsidRPr="00282AC9">
        <w:rPr>
          <w:rFonts w:hint="cs"/>
          <w:sz w:val="27"/>
          <w:rtl/>
        </w:rPr>
        <w:t>لي ليس هو الوجوب، أمر</w:t>
      </w:r>
      <w:r w:rsidR="00D36C2F" w:rsidRPr="00282AC9">
        <w:rPr>
          <w:rFonts w:hint="cs"/>
          <w:sz w:val="27"/>
          <w:rtl/>
        </w:rPr>
        <w:t>ُ الوالد.</w:t>
      </w:r>
      <w:r w:rsidR="00E6631B" w:rsidRPr="00282AC9">
        <w:rPr>
          <w:rFonts w:hint="cs"/>
          <w:sz w:val="27"/>
          <w:rtl/>
        </w:rPr>
        <w:t xml:space="preserve"> وهكذا أمرُ الزوج زوجته أيضاً. فالزوج يمكنه ـ مثل الأب والأم ـ في بعض الموارد أن يُحرِّم مباحاً على زوجته.</w:t>
      </w:r>
    </w:p>
    <w:p w:rsidR="00BC5E40" w:rsidRPr="00282AC9" w:rsidRDefault="00BC5E40" w:rsidP="00BC4D37">
      <w:pPr>
        <w:rPr>
          <w:sz w:val="27"/>
          <w:rtl/>
        </w:rPr>
      </w:pPr>
      <w:r w:rsidRPr="00282AC9">
        <w:rPr>
          <w:rFonts w:hint="cs"/>
          <w:sz w:val="27"/>
          <w:rtl/>
        </w:rPr>
        <w:t xml:space="preserve">قال صاحب العروة الوثقى: </w:t>
      </w:r>
      <w:r w:rsidRPr="00282AC9">
        <w:rPr>
          <w:rFonts w:hint="eastAsia"/>
          <w:sz w:val="24"/>
          <w:szCs w:val="24"/>
          <w:rtl/>
        </w:rPr>
        <w:t>«</w:t>
      </w:r>
      <w:r w:rsidRPr="00282AC9">
        <w:rPr>
          <w:sz w:val="27"/>
          <w:rtl/>
        </w:rPr>
        <w:t>الخامس من الشروط</w:t>
      </w:r>
      <w:r w:rsidR="00D36C2F" w:rsidRPr="00282AC9">
        <w:rPr>
          <w:sz w:val="27"/>
          <w:rtl/>
        </w:rPr>
        <w:t>:</w:t>
      </w:r>
      <w:r w:rsidRPr="00282AC9">
        <w:rPr>
          <w:rFonts w:hint="cs"/>
          <w:sz w:val="27"/>
          <w:rtl/>
        </w:rPr>
        <w:t xml:space="preserve"> </w:t>
      </w:r>
      <w:r w:rsidRPr="00282AC9">
        <w:rPr>
          <w:sz w:val="27"/>
          <w:rtl/>
        </w:rPr>
        <w:t>أن لا</w:t>
      </w:r>
      <w:r w:rsidRPr="00282AC9">
        <w:rPr>
          <w:rFonts w:hint="cs"/>
          <w:sz w:val="27"/>
          <w:rtl/>
        </w:rPr>
        <w:t xml:space="preserve"> </w:t>
      </w:r>
      <w:r w:rsidRPr="00282AC9">
        <w:rPr>
          <w:sz w:val="27"/>
          <w:rtl/>
        </w:rPr>
        <w:t>يكون السفر حراما</w:t>
      </w:r>
      <w:r w:rsidRPr="00282AC9">
        <w:rPr>
          <w:rFonts w:hint="cs"/>
          <w:sz w:val="27"/>
          <w:rtl/>
        </w:rPr>
        <w:t>ً</w:t>
      </w:r>
      <w:r w:rsidR="00D36C2F" w:rsidRPr="00282AC9">
        <w:rPr>
          <w:rFonts w:hint="cs"/>
          <w:sz w:val="27"/>
          <w:rtl/>
        </w:rPr>
        <w:t>،</w:t>
      </w:r>
      <w:r w:rsidRPr="00282AC9">
        <w:rPr>
          <w:sz w:val="27"/>
          <w:rtl/>
        </w:rPr>
        <w:t xml:space="preserve"> وإلا</w:t>
      </w:r>
      <w:r w:rsidR="00D36C2F" w:rsidRPr="00282AC9">
        <w:rPr>
          <w:rFonts w:hint="cs"/>
          <w:sz w:val="27"/>
          <w:rtl/>
        </w:rPr>
        <w:t>ّ</w:t>
      </w:r>
      <w:r w:rsidRPr="00282AC9">
        <w:rPr>
          <w:rFonts w:hint="cs"/>
          <w:sz w:val="27"/>
          <w:rtl/>
        </w:rPr>
        <w:t xml:space="preserve"> </w:t>
      </w:r>
      <w:r w:rsidR="00D36C2F" w:rsidRPr="00282AC9">
        <w:rPr>
          <w:sz w:val="27"/>
          <w:rtl/>
        </w:rPr>
        <w:t>لم يقصر</w:t>
      </w:r>
      <w:r w:rsidR="00E6631B" w:rsidRPr="00282AC9">
        <w:rPr>
          <w:rFonts w:hint="cs"/>
          <w:rtl/>
        </w:rPr>
        <w:t xml:space="preserve">، </w:t>
      </w:r>
      <w:r w:rsidR="00E6631B" w:rsidRPr="00282AC9">
        <w:rPr>
          <w:rtl/>
        </w:rPr>
        <w:t>سواء</w:t>
      </w:r>
      <w:r w:rsidR="00E6631B" w:rsidRPr="00282AC9">
        <w:rPr>
          <w:rFonts w:hint="cs"/>
          <w:rtl/>
        </w:rPr>
        <w:t>ٌ</w:t>
      </w:r>
      <w:r w:rsidR="00E6631B" w:rsidRPr="00282AC9">
        <w:rPr>
          <w:rtl/>
        </w:rPr>
        <w:t xml:space="preserve"> كان نفسه حراما</w:t>
      </w:r>
      <w:r w:rsidR="00E6631B" w:rsidRPr="00282AC9">
        <w:rPr>
          <w:rFonts w:hint="cs"/>
          <w:rtl/>
        </w:rPr>
        <w:t xml:space="preserve">ً، </w:t>
      </w:r>
      <w:r w:rsidR="00E6631B" w:rsidRPr="00282AC9">
        <w:rPr>
          <w:rtl/>
        </w:rPr>
        <w:t xml:space="preserve">كالفرار من الزحف، وإباق العبد، وسفر الزوجة بدون إذن الزوج في </w:t>
      </w:r>
      <w:r w:rsidR="00E6631B" w:rsidRPr="00282AC9">
        <w:rPr>
          <w:rStyle w:val="affffff2"/>
          <w:i w:val="0"/>
          <w:iCs w:val="0"/>
          <w:rtl/>
        </w:rPr>
        <w:t>غير الواجب</w:t>
      </w:r>
      <w:r w:rsidR="00E6631B" w:rsidRPr="00282AC9">
        <w:rPr>
          <w:rtl/>
        </w:rPr>
        <w:t xml:space="preserve">، </w:t>
      </w:r>
      <w:r w:rsidR="00E6631B" w:rsidRPr="00282AC9">
        <w:rPr>
          <w:sz w:val="27"/>
          <w:rtl/>
        </w:rPr>
        <w:t>وسفر الولد</w:t>
      </w:r>
      <w:r w:rsidR="00E6631B" w:rsidRPr="00282AC9">
        <w:rPr>
          <w:rFonts w:hint="cs"/>
          <w:sz w:val="27"/>
          <w:rtl/>
        </w:rPr>
        <w:t xml:space="preserve"> </w:t>
      </w:r>
      <w:r w:rsidRPr="00282AC9">
        <w:rPr>
          <w:sz w:val="27"/>
          <w:rtl/>
        </w:rPr>
        <w:t>مع نه</w:t>
      </w:r>
      <w:r w:rsidRPr="00282AC9">
        <w:rPr>
          <w:rFonts w:hint="cs"/>
          <w:sz w:val="27"/>
          <w:rtl/>
        </w:rPr>
        <w:t xml:space="preserve">ي </w:t>
      </w:r>
      <w:r w:rsidRPr="00282AC9">
        <w:rPr>
          <w:sz w:val="27"/>
          <w:rtl/>
        </w:rPr>
        <w:t>الوالدين في غير الواجب</w:t>
      </w:r>
      <w:r w:rsidRPr="00282AC9">
        <w:rPr>
          <w:rFonts w:hint="eastAsia"/>
          <w:sz w:val="24"/>
          <w:szCs w:val="24"/>
          <w:rtl/>
        </w:rPr>
        <w:t>»</w:t>
      </w:r>
      <w:r w:rsidRPr="00282AC9">
        <w:rPr>
          <w:sz w:val="27"/>
          <w:vertAlign w:val="superscript"/>
          <w:rtl/>
        </w:rPr>
        <w:t>(</w:t>
      </w:r>
      <w:r w:rsidRPr="00282AC9">
        <w:rPr>
          <w:rStyle w:val="af9"/>
          <w:sz w:val="27"/>
          <w:rtl/>
        </w:rPr>
        <w:endnoteReference w:id="49"/>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إن الغرض من نقل هذه الموارد هو أنه إذا قيل بأن الله سبحانه ـ وهو الشارع الحقيقي والأصلي ـ قد ترك جعل حكم بعض الموضوعات إلى حاكم الشرع، وعبّ</w:t>
      </w:r>
      <w:r w:rsidR="00066F31" w:rsidRPr="00282AC9">
        <w:rPr>
          <w:rFonts w:hint="cs"/>
          <w:sz w:val="27"/>
          <w:rtl/>
        </w:rPr>
        <w:t>َ</w:t>
      </w:r>
      <w:r w:rsidRPr="00282AC9">
        <w:rPr>
          <w:rFonts w:hint="cs"/>
          <w:sz w:val="27"/>
          <w:rtl/>
        </w:rPr>
        <w:t>ر عنه بمنطقة الفراغ، لا يجب الاستغراب من ذلك؛ إذ حت</w:t>
      </w:r>
      <w:r w:rsidR="00066F31" w:rsidRPr="00282AC9">
        <w:rPr>
          <w:rFonts w:hint="cs"/>
          <w:sz w:val="27"/>
          <w:rtl/>
        </w:rPr>
        <w:t>ّ</w:t>
      </w:r>
      <w:r w:rsidRPr="00282AC9">
        <w:rPr>
          <w:rFonts w:hint="cs"/>
          <w:sz w:val="27"/>
          <w:rtl/>
        </w:rPr>
        <w:t>ى المكلف العادي يمكنه أن يوجب أو يحرّ</w:t>
      </w:r>
      <w:r w:rsidR="00066F31" w:rsidRPr="00282AC9">
        <w:rPr>
          <w:rFonts w:hint="cs"/>
          <w:sz w:val="27"/>
          <w:rtl/>
        </w:rPr>
        <w:t>ِ</w:t>
      </w:r>
      <w:r w:rsidRPr="00282AC9">
        <w:rPr>
          <w:rFonts w:hint="cs"/>
          <w:sz w:val="27"/>
          <w:rtl/>
        </w:rPr>
        <w:t>م على نفسه ما لم يوجبه الله أو يحرّ</w:t>
      </w:r>
      <w:r w:rsidR="00066F31" w:rsidRPr="00282AC9">
        <w:rPr>
          <w:rFonts w:hint="cs"/>
          <w:sz w:val="27"/>
          <w:rtl/>
        </w:rPr>
        <w:t>ِ</w:t>
      </w:r>
      <w:r w:rsidRPr="00282AC9">
        <w:rPr>
          <w:rFonts w:hint="cs"/>
          <w:sz w:val="27"/>
          <w:rtl/>
        </w:rPr>
        <w:t>مه عليه (</w:t>
      </w:r>
      <w:r w:rsidR="00066F31" w:rsidRPr="00282AC9">
        <w:rPr>
          <w:rFonts w:hint="cs"/>
          <w:sz w:val="27"/>
          <w:rtl/>
        </w:rPr>
        <w:t>كما في</w:t>
      </w:r>
      <w:r w:rsidRPr="00282AC9">
        <w:rPr>
          <w:rFonts w:hint="cs"/>
          <w:sz w:val="27"/>
          <w:rtl/>
        </w:rPr>
        <w:t xml:space="preserve"> المو</w:t>
      </w:r>
      <w:r w:rsidR="00066F31" w:rsidRPr="00282AC9">
        <w:rPr>
          <w:rFonts w:hint="cs"/>
          <w:sz w:val="27"/>
          <w:rtl/>
        </w:rPr>
        <w:t>ا</w:t>
      </w:r>
      <w:r w:rsidRPr="00282AC9">
        <w:rPr>
          <w:rFonts w:hint="cs"/>
          <w:sz w:val="27"/>
          <w:rtl/>
        </w:rPr>
        <w:t>رد الأو</w:t>
      </w:r>
      <w:r w:rsidR="00066F31" w:rsidRPr="00282AC9">
        <w:rPr>
          <w:rFonts w:hint="cs"/>
          <w:sz w:val="27"/>
          <w:rtl/>
        </w:rPr>
        <w:t>ّ</w:t>
      </w:r>
      <w:r w:rsidRPr="00282AC9">
        <w:rPr>
          <w:rFonts w:hint="cs"/>
          <w:sz w:val="27"/>
          <w:rtl/>
        </w:rPr>
        <w:t>ل والثاني والثالث والرابع)</w:t>
      </w:r>
      <w:r w:rsidR="00066F31" w:rsidRPr="00282AC9">
        <w:rPr>
          <w:rFonts w:hint="cs"/>
          <w:sz w:val="27"/>
          <w:rtl/>
        </w:rPr>
        <w:t>،</w:t>
      </w:r>
      <w:r w:rsidRPr="00282AC9">
        <w:rPr>
          <w:rFonts w:hint="cs"/>
          <w:sz w:val="27"/>
          <w:rtl/>
        </w:rPr>
        <w:t xml:space="preserve"> وفي بعض الأحيان يمكن للآخرين أن يوجبوا أو يحرّ</w:t>
      </w:r>
      <w:r w:rsidR="00066F31" w:rsidRPr="00282AC9">
        <w:rPr>
          <w:rFonts w:hint="cs"/>
          <w:sz w:val="27"/>
          <w:rtl/>
        </w:rPr>
        <w:t>ِ</w:t>
      </w:r>
      <w:r w:rsidRPr="00282AC9">
        <w:rPr>
          <w:rFonts w:hint="cs"/>
          <w:sz w:val="27"/>
          <w:rtl/>
        </w:rPr>
        <w:t>موا على المكل</w:t>
      </w:r>
      <w:r w:rsidR="00066F31" w:rsidRPr="00282AC9">
        <w:rPr>
          <w:rFonts w:hint="cs"/>
          <w:sz w:val="27"/>
          <w:rtl/>
        </w:rPr>
        <w:t>َّ</w:t>
      </w:r>
      <w:r w:rsidRPr="00282AC9">
        <w:rPr>
          <w:rFonts w:hint="cs"/>
          <w:sz w:val="27"/>
          <w:rtl/>
        </w:rPr>
        <w:t>ف شيئاً لم يوجبه الله أو يحرّ</w:t>
      </w:r>
      <w:r w:rsidR="00066F31" w:rsidRPr="00282AC9">
        <w:rPr>
          <w:rFonts w:hint="cs"/>
          <w:sz w:val="27"/>
          <w:rtl/>
        </w:rPr>
        <w:t>ِ</w:t>
      </w:r>
      <w:r w:rsidRPr="00282AC9">
        <w:rPr>
          <w:rFonts w:hint="cs"/>
          <w:sz w:val="27"/>
          <w:rtl/>
        </w:rPr>
        <w:t>مه (</w:t>
      </w:r>
      <w:r w:rsidR="00066F31" w:rsidRPr="00282AC9">
        <w:rPr>
          <w:rFonts w:hint="cs"/>
          <w:sz w:val="27"/>
          <w:rtl/>
        </w:rPr>
        <w:t>كما في</w:t>
      </w:r>
      <w:r w:rsidRPr="00282AC9">
        <w:rPr>
          <w:rFonts w:hint="cs"/>
          <w:sz w:val="27"/>
          <w:rtl/>
        </w:rPr>
        <w:t xml:space="preserve"> المورد</w:t>
      </w:r>
      <w:r w:rsidR="00066F31" w:rsidRPr="00282AC9">
        <w:rPr>
          <w:rFonts w:hint="cs"/>
          <w:sz w:val="27"/>
          <w:rtl/>
        </w:rPr>
        <w:t>ين</w:t>
      </w:r>
      <w:r w:rsidRPr="00282AC9">
        <w:rPr>
          <w:rFonts w:hint="cs"/>
          <w:sz w:val="27"/>
          <w:rtl/>
        </w:rPr>
        <w:t xml:space="preserve"> الخامس والسادس).</w:t>
      </w:r>
    </w:p>
    <w:p w:rsidR="00FD6B92" w:rsidRPr="00282AC9" w:rsidRDefault="00FD6B92" w:rsidP="00D723AF">
      <w:pPr>
        <w:pStyle w:val="31"/>
        <w:rPr>
          <w:color w:val="auto"/>
          <w:rtl/>
        </w:rPr>
      </w:pPr>
      <w:r w:rsidRPr="00282AC9">
        <w:rPr>
          <w:rFonts w:hint="cs"/>
          <w:color w:val="auto"/>
          <w:rtl/>
        </w:rPr>
        <w:lastRenderedPageBreak/>
        <w:t xml:space="preserve">هـ ـ </w:t>
      </w:r>
      <w:r w:rsidR="00D00B4F" w:rsidRPr="00282AC9">
        <w:rPr>
          <w:rFonts w:hint="cs"/>
          <w:color w:val="auto"/>
          <w:rtl/>
        </w:rPr>
        <w:t xml:space="preserve">الأدلّة النظريّة والعمليّة على صلاحية وليّ الأمر </w:t>
      </w:r>
      <w:r w:rsidR="00D723AF" w:rsidRPr="00282AC9">
        <w:rPr>
          <w:rFonts w:hint="cs"/>
          <w:color w:val="auto"/>
          <w:rtl/>
        </w:rPr>
        <w:t>للتشريع</w:t>
      </w:r>
    </w:p>
    <w:p w:rsidR="00BC5E40" w:rsidRPr="00282AC9" w:rsidRDefault="00BC5E40" w:rsidP="00BC4D37">
      <w:pPr>
        <w:rPr>
          <w:sz w:val="27"/>
          <w:rtl/>
        </w:rPr>
      </w:pPr>
      <w:r w:rsidRPr="00282AC9">
        <w:rPr>
          <w:rFonts w:hint="cs"/>
          <w:sz w:val="27"/>
          <w:rtl/>
        </w:rPr>
        <w:t>ولكي يت</w:t>
      </w:r>
      <w:r w:rsidR="005454CD" w:rsidRPr="00282AC9">
        <w:rPr>
          <w:rFonts w:hint="cs"/>
          <w:sz w:val="27"/>
          <w:rtl/>
        </w:rPr>
        <w:t>ّ</w:t>
      </w:r>
      <w:r w:rsidRPr="00282AC9">
        <w:rPr>
          <w:rFonts w:hint="cs"/>
          <w:sz w:val="27"/>
          <w:rtl/>
        </w:rPr>
        <w:t>ضح البحث سوف نتناول البحث من زاويتين، وهما:</w:t>
      </w:r>
    </w:p>
    <w:p w:rsidR="00BC5E40" w:rsidRPr="00282AC9" w:rsidRDefault="00BC5E40" w:rsidP="00075DE8">
      <w:pPr>
        <w:spacing w:line="420" w:lineRule="exact"/>
        <w:rPr>
          <w:sz w:val="27"/>
          <w:rtl/>
        </w:rPr>
      </w:pPr>
      <w:r w:rsidRPr="00282AC9">
        <w:rPr>
          <w:rFonts w:hint="cs"/>
          <w:sz w:val="27"/>
          <w:rtl/>
        </w:rPr>
        <w:t>1ـ الروايات.</w:t>
      </w:r>
    </w:p>
    <w:p w:rsidR="00BC5E40" w:rsidRPr="00282AC9" w:rsidRDefault="00BC5E40" w:rsidP="00075DE8">
      <w:pPr>
        <w:spacing w:line="420" w:lineRule="exact"/>
        <w:rPr>
          <w:sz w:val="27"/>
          <w:rtl/>
        </w:rPr>
      </w:pPr>
      <w:r w:rsidRPr="00282AC9">
        <w:rPr>
          <w:rFonts w:hint="cs"/>
          <w:sz w:val="27"/>
          <w:rtl/>
        </w:rPr>
        <w:t>2ـ الأحكام الولائي</w:t>
      </w:r>
      <w:r w:rsidR="005454CD" w:rsidRPr="00282AC9">
        <w:rPr>
          <w:rFonts w:hint="cs"/>
          <w:sz w:val="27"/>
          <w:rtl/>
        </w:rPr>
        <w:t>ّ</w:t>
      </w:r>
      <w:r w:rsidRPr="00282AC9">
        <w:rPr>
          <w:rFonts w:hint="cs"/>
          <w:sz w:val="27"/>
          <w:rtl/>
        </w:rPr>
        <w:t>ة للفقهاء.</w:t>
      </w:r>
    </w:p>
    <w:p w:rsidR="00BC5E40" w:rsidRPr="00282AC9" w:rsidRDefault="00BC5E40" w:rsidP="00075DE8">
      <w:pPr>
        <w:spacing w:line="410" w:lineRule="exact"/>
        <w:rPr>
          <w:sz w:val="27"/>
          <w:rtl/>
        </w:rPr>
      </w:pPr>
    </w:p>
    <w:p w:rsidR="00BC5E40" w:rsidRPr="00282AC9" w:rsidRDefault="00BC5E40" w:rsidP="00E36B18">
      <w:pPr>
        <w:pStyle w:val="31"/>
        <w:rPr>
          <w:color w:val="auto"/>
          <w:rtl/>
        </w:rPr>
      </w:pPr>
      <w:r w:rsidRPr="00282AC9">
        <w:rPr>
          <w:rFonts w:hint="cs"/>
          <w:color w:val="auto"/>
          <w:rtl/>
        </w:rPr>
        <w:t>1ـ الروايات</w:t>
      </w:r>
    </w:p>
    <w:p w:rsidR="005454CD" w:rsidRPr="00282AC9" w:rsidRDefault="00BC5E40" w:rsidP="00BC4D37">
      <w:pPr>
        <w:rPr>
          <w:sz w:val="27"/>
          <w:rtl/>
        </w:rPr>
      </w:pPr>
      <w:r w:rsidRPr="00282AC9">
        <w:rPr>
          <w:rFonts w:hint="cs"/>
          <w:sz w:val="27"/>
          <w:rtl/>
        </w:rPr>
        <w:t>لقد فتح المحد</w:t>
      </w:r>
      <w:r w:rsidR="005454CD" w:rsidRPr="00282AC9">
        <w:rPr>
          <w:rFonts w:hint="cs"/>
          <w:sz w:val="27"/>
          <w:rtl/>
        </w:rPr>
        <w:t>ِّ</w:t>
      </w:r>
      <w:r w:rsidRPr="00282AC9">
        <w:rPr>
          <w:rFonts w:hint="cs"/>
          <w:sz w:val="27"/>
          <w:rtl/>
        </w:rPr>
        <w:t xml:space="preserve">ثون الكبار في كتبهم الروائية باباً بعنوان </w:t>
      </w:r>
      <w:r w:rsidRPr="00282AC9">
        <w:rPr>
          <w:rFonts w:hint="eastAsia"/>
          <w:sz w:val="24"/>
          <w:szCs w:val="24"/>
          <w:rtl/>
        </w:rPr>
        <w:t>«</w:t>
      </w:r>
      <w:r w:rsidRPr="00282AC9">
        <w:rPr>
          <w:rFonts w:hint="cs"/>
          <w:sz w:val="27"/>
          <w:rtl/>
        </w:rPr>
        <w:t>التفويض</w:t>
      </w:r>
      <w:r w:rsidRPr="00282AC9">
        <w:rPr>
          <w:rFonts w:hint="eastAsia"/>
          <w:sz w:val="24"/>
          <w:szCs w:val="24"/>
          <w:rtl/>
        </w:rPr>
        <w:t>»</w:t>
      </w:r>
      <w:r w:rsidRPr="00282AC9">
        <w:rPr>
          <w:rFonts w:hint="cs"/>
          <w:sz w:val="27"/>
          <w:rtl/>
        </w:rPr>
        <w:t>، ونقلوا فيه الكثير من الروايات</w:t>
      </w:r>
      <w:r w:rsidR="005454CD" w:rsidRPr="00282AC9">
        <w:rPr>
          <w:rFonts w:hint="cs"/>
          <w:sz w:val="27"/>
          <w:rtl/>
        </w:rPr>
        <w:t>،</w:t>
      </w:r>
      <w:r w:rsidRPr="00282AC9">
        <w:rPr>
          <w:rFonts w:hint="cs"/>
          <w:sz w:val="27"/>
          <w:rtl/>
        </w:rPr>
        <w:t xml:space="preserve"> ومنها ما هو تام</w:t>
      </w:r>
      <w:r w:rsidR="005454CD" w:rsidRPr="00282AC9">
        <w:rPr>
          <w:rFonts w:hint="cs"/>
          <w:sz w:val="27"/>
          <w:rtl/>
        </w:rPr>
        <w:t>ّ</w:t>
      </w:r>
      <w:r w:rsidRPr="00282AC9">
        <w:rPr>
          <w:rFonts w:hint="cs"/>
          <w:sz w:val="27"/>
          <w:rtl/>
        </w:rPr>
        <w:t xml:space="preserve"> الدلالة</w:t>
      </w:r>
      <w:r w:rsidRPr="00282AC9">
        <w:rPr>
          <w:sz w:val="27"/>
          <w:rtl/>
        </w:rPr>
        <w:t xml:space="preserve"> </w:t>
      </w:r>
      <w:r w:rsidRPr="00282AC9">
        <w:rPr>
          <w:rFonts w:hint="cs"/>
          <w:sz w:val="27"/>
          <w:rtl/>
        </w:rPr>
        <w:t>وا</w:t>
      </w:r>
      <w:r w:rsidRPr="00282AC9">
        <w:rPr>
          <w:sz w:val="27"/>
          <w:rtl/>
        </w:rPr>
        <w:t>لسند</w:t>
      </w:r>
      <w:r w:rsidRPr="00282AC9">
        <w:rPr>
          <w:rFonts w:hint="cs"/>
          <w:sz w:val="27"/>
          <w:rtl/>
        </w:rPr>
        <w:t>، و</w:t>
      </w:r>
      <w:r w:rsidR="00674EF5" w:rsidRPr="00282AC9">
        <w:rPr>
          <w:rFonts w:hint="cs"/>
          <w:sz w:val="27"/>
          <w:rtl/>
        </w:rPr>
        <w:t>لا سيَّما</w:t>
      </w:r>
      <w:r w:rsidRPr="00282AC9">
        <w:rPr>
          <w:rFonts w:hint="cs"/>
          <w:sz w:val="27"/>
          <w:rtl/>
        </w:rPr>
        <w:t xml:space="preserve"> بالنظر إلى القرائن والشواهد الموجودة في هذه الروايات</w:t>
      </w:r>
      <w:r w:rsidR="005454CD" w:rsidRPr="00282AC9">
        <w:rPr>
          <w:rFonts w:hint="cs"/>
          <w:sz w:val="27"/>
          <w:rtl/>
        </w:rPr>
        <w:t>،</w:t>
      </w:r>
      <w:r w:rsidRPr="00282AC9">
        <w:rPr>
          <w:rFonts w:hint="cs"/>
          <w:sz w:val="27"/>
          <w:rtl/>
        </w:rPr>
        <w:t xml:space="preserve"> ومن ذلك أنه جاء في بعضها أحكام</w:t>
      </w:r>
      <w:r w:rsidR="005454CD" w:rsidRPr="00282AC9">
        <w:rPr>
          <w:rFonts w:hint="cs"/>
          <w:sz w:val="27"/>
          <w:rtl/>
        </w:rPr>
        <w:t>ٌ</w:t>
      </w:r>
      <w:r w:rsidRPr="00282AC9">
        <w:rPr>
          <w:rFonts w:hint="cs"/>
          <w:sz w:val="27"/>
          <w:rtl/>
        </w:rPr>
        <w:t xml:space="preserve"> وضعها شخص</w:t>
      </w:r>
      <w:r w:rsidR="005454CD" w:rsidRPr="00282AC9">
        <w:rPr>
          <w:rFonts w:hint="cs"/>
          <w:sz w:val="27"/>
          <w:rtl/>
        </w:rPr>
        <w:t>ُ</w:t>
      </w:r>
      <w:r w:rsidRPr="00282AC9">
        <w:rPr>
          <w:rFonts w:hint="cs"/>
          <w:sz w:val="27"/>
          <w:rtl/>
        </w:rPr>
        <w:t xml:space="preserve"> رسول الله</w:t>
      </w:r>
      <w:r w:rsidR="009A2A04" w:rsidRPr="00282AC9">
        <w:rPr>
          <w:rFonts w:cs="Mosawi" w:hint="cs"/>
          <w:sz w:val="22"/>
          <w:szCs w:val="22"/>
          <w:rtl/>
        </w:rPr>
        <w:t>|</w:t>
      </w:r>
      <w:r w:rsidR="005454CD" w:rsidRPr="00282AC9">
        <w:rPr>
          <w:rFonts w:hint="cs"/>
          <w:sz w:val="27"/>
          <w:rtl/>
        </w:rPr>
        <w:t>.</w:t>
      </w:r>
    </w:p>
    <w:p w:rsidR="00BC5E40" w:rsidRPr="00282AC9" w:rsidRDefault="00BC5E40" w:rsidP="00BC4D37">
      <w:pPr>
        <w:rPr>
          <w:sz w:val="27"/>
          <w:rtl/>
        </w:rPr>
      </w:pPr>
      <w:r w:rsidRPr="00282AC9">
        <w:rPr>
          <w:rFonts w:hint="cs"/>
          <w:sz w:val="27"/>
          <w:rtl/>
        </w:rPr>
        <w:t>وفي</w:t>
      </w:r>
      <w:r w:rsidR="005454CD" w:rsidRPr="00282AC9">
        <w:rPr>
          <w:rFonts w:hint="cs"/>
          <w:sz w:val="27"/>
          <w:rtl/>
        </w:rPr>
        <w:t xml:space="preserve"> </w:t>
      </w:r>
      <w:r w:rsidRPr="00282AC9">
        <w:rPr>
          <w:rFonts w:hint="cs"/>
          <w:sz w:val="27"/>
          <w:rtl/>
        </w:rPr>
        <w:t>ما يلي نشير إلى عدد</w:t>
      </w:r>
      <w:r w:rsidR="005454CD" w:rsidRPr="00282AC9">
        <w:rPr>
          <w:rFonts w:hint="cs"/>
          <w:sz w:val="27"/>
          <w:rtl/>
        </w:rPr>
        <w:t>ٍ</w:t>
      </w:r>
      <w:r w:rsidRPr="00282AC9">
        <w:rPr>
          <w:rFonts w:hint="cs"/>
          <w:sz w:val="27"/>
          <w:rtl/>
        </w:rPr>
        <w:t xml:space="preserve"> منها على النحو </w:t>
      </w:r>
      <w:r w:rsidR="005454CD" w:rsidRPr="00282AC9">
        <w:rPr>
          <w:rFonts w:hint="cs"/>
          <w:sz w:val="27"/>
          <w:rtl/>
        </w:rPr>
        <w:t>التالي</w:t>
      </w:r>
      <w:r w:rsidRPr="00282AC9">
        <w:rPr>
          <w:rFonts w:hint="cs"/>
          <w:sz w:val="27"/>
          <w:rtl/>
        </w:rPr>
        <w:t>:</w:t>
      </w:r>
    </w:p>
    <w:p w:rsidR="00BC5E40" w:rsidRPr="00282AC9" w:rsidRDefault="00BC5E40" w:rsidP="00BC4D37">
      <w:pPr>
        <w:rPr>
          <w:sz w:val="27"/>
          <w:rtl/>
        </w:rPr>
      </w:pPr>
      <w:r w:rsidRPr="00282AC9">
        <w:rPr>
          <w:rFonts w:hint="cs"/>
          <w:sz w:val="27"/>
          <w:rtl/>
        </w:rPr>
        <w:t xml:space="preserve">1ـ </w:t>
      </w:r>
      <w:r w:rsidRPr="00282AC9">
        <w:rPr>
          <w:sz w:val="27"/>
          <w:rtl/>
        </w:rPr>
        <w:t>عن زرارة قال: سمعت</w:t>
      </w:r>
      <w:r w:rsidR="005454CD" w:rsidRPr="00282AC9">
        <w:rPr>
          <w:rFonts w:hint="cs"/>
          <w:sz w:val="27"/>
          <w:rtl/>
        </w:rPr>
        <w:t>ُ</w:t>
      </w:r>
      <w:r w:rsidRPr="00282AC9">
        <w:rPr>
          <w:sz w:val="27"/>
          <w:rtl/>
        </w:rPr>
        <w:t xml:space="preserve"> أبا جعفر وأبا عبد</w:t>
      </w:r>
      <w:r w:rsidRPr="00282AC9">
        <w:rPr>
          <w:rFonts w:hint="cs"/>
          <w:sz w:val="27"/>
          <w:rtl/>
        </w:rPr>
        <w:t xml:space="preserve"> </w:t>
      </w:r>
      <w:r w:rsidRPr="00282AC9">
        <w:rPr>
          <w:sz w:val="27"/>
          <w:rtl/>
        </w:rPr>
        <w:t>الله</w:t>
      </w:r>
      <w:r w:rsidR="009A2A04" w:rsidRPr="00282AC9">
        <w:rPr>
          <w:rFonts w:cs="Mosawi"/>
          <w:sz w:val="22"/>
          <w:szCs w:val="22"/>
          <w:rtl/>
        </w:rPr>
        <w:t>’</w:t>
      </w:r>
      <w:r w:rsidRPr="00282AC9">
        <w:rPr>
          <w:rFonts w:hint="cs"/>
          <w:sz w:val="27"/>
          <w:rtl/>
        </w:rPr>
        <w:t xml:space="preserve"> </w:t>
      </w:r>
      <w:r w:rsidRPr="00282AC9">
        <w:rPr>
          <w:sz w:val="27"/>
          <w:rtl/>
        </w:rPr>
        <w:t xml:space="preserve">يقولان: </w:t>
      </w:r>
      <w:r w:rsidRPr="00282AC9">
        <w:rPr>
          <w:rFonts w:hint="eastAsia"/>
          <w:sz w:val="24"/>
          <w:szCs w:val="24"/>
          <w:rtl/>
        </w:rPr>
        <w:t>«</w:t>
      </w:r>
      <w:r w:rsidRPr="00282AC9">
        <w:rPr>
          <w:sz w:val="27"/>
          <w:rtl/>
        </w:rPr>
        <w:t>إن الله عز</w:t>
      </w:r>
      <w:r w:rsidRPr="00282AC9">
        <w:rPr>
          <w:rFonts w:hint="cs"/>
          <w:sz w:val="27"/>
          <w:rtl/>
        </w:rPr>
        <w:t xml:space="preserve">َّ </w:t>
      </w:r>
      <w:r w:rsidRPr="00282AC9">
        <w:rPr>
          <w:sz w:val="27"/>
          <w:rtl/>
        </w:rPr>
        <w:t>وجل</w:t>
      </w:r>
      <w:r w:rsidRPr="00282AC9">
        <w:rPr>
          <w:rFonts w:hint="cs"/>
          <w:sz w:val="27"/>
          <w:rtl/>
        </w:rPr>
        <w:t>َّ</w:t>
      </w:r>
      <w:r w:rsidRPr="00282AC9">
        <w:rPr>
          <w:sz w:val="27"/>
          <w:rtl/>
        </w:rPr>
        <w:t xml:space="preserve"> فو</w:t>
      </w:r>
      <w:r w:rsidRPr="00282AC9">
        <w:rPr>
          <w:rFonts w:hint="cs"/>
          <w:sz w:val="27"/>
          <w:rtl/>
        </w:rPr>
        <w:t>ّ</w:t>
      </w:r>
      <w:r w:rsidRPr="00282AC9">
        <w:rPr>
          <w:sz w:val="27"/>
          <w:rtl/>
        </w:rPr>
        <w:t>ض إلى نبي</w:t>
      </w:r>
      <w:r w:rsidR="005454CD" w:rsidRPr="00282AC9">
        <w:rPr>
          <w:rFonts w:hint="cs"/>
          <w:sz w:val="27"/>
          <w:rtl/>
        </w:rPr>
        <w:t>ِّ</w:t>
      </w:r>
      <w:r w:rsidRPr="00282AC9">
        <w:rPr>
          <w:sz w:val="27"/>
          <w:rtl/>
        </w:rPr>
        <w:t>ه</w:t>
      </w:r>
      <w:r w:rsidR="009A2A04" w:rsidRPr="00282AC9">
        <w:rPr>
          <w:rFonts w:cs="Mosawi" w:hint="cs"/>
          <w:sz w:val="22"/>
          <w:szCs w:val="22"/>
          <w:rtl/>
        </w:rPr>
        <w:t>|</w:t>
      </w:r>
      <w:r w:rsidRPr="00282AC9">
        <w:rPr>
          <w:sz w:val="27"/>
          <w:rtl/>
        </w:rPr>
        <w:t xml:space="preserve"> أمر</w:t>
      </w:r>
      <w:r w:rsidR="005454CD" w:rsidRPr="00282AC9">
        <w:rPr>
          <w:rFonts w:hint="cs"/>
          <w:sz w:val="27"/>
          <w:rtl/>
        </w:rPr>
        <w:t>َ</w:t>
      </w:r>
      <w:r w:rsidRPr="00282AC9">
        <w:rPr>
          <w:sz w:val="27"/>
          <w:rtl/>
        </w:rPr>
        <w:t xml:space="preserve"> خلقه</w:t>
      </w:r>
      <w:r w:rsidRPr="00282AC9">
        <w:rPr>
          <w:rFonts w:hint="cs"/>
          <w:sz w:val="27"/>
          <w:rtl/>
        </w:rPr>
        <w:t>؛</w:t>
      </w:r>
      <w:r w:rsidRPr="00282AC9">
        <w:rPr>
          <w:sz w:val="27"/>
          <w:rtl/>
        </w:rPr>
        <w:t xml:space="preserve"> لينظر كيف طاعتهم</w:t>
      </w:r>
      <w:r w:rsidR="005454CD" w:rsidRPr="00282AC9">
        <w:rPr>
          <w:rFonts w:hint="cs"/>
          <w:sz w:val="27"/>
          <w:rtl/>
        </w:rPr>
        <w:t>؟</w:t>
      </w:r>
      <w:r w:rsidRPr="00282AC9">
        <w:rPr>
          <w:sz w:val="27"/>
          <w:rtl/>
        </w:rPr>
        <w:t xml:space="preserve"> ثم</w:t>
      </w:r>
      <w:r w:rsidR="005454CD" w:rsidRPr="00282AC9">
        <w:rPr>
          <w:rFonts w:hint="cs"/>
          <w:sz w:val="27"/>
          <w:rtl/>
        </w:rPr>
        <w:t>ّ</w:t>
      </w:r>
      <w:r w:rsidRPr="00282AC9">
        <w:rPr>
          <w:sz w:val="27"/>
          <w:rtl/>
        </w:rPr>
        <w:t xml:space="preserve"> تلا هذه الآية: </w:t>
      </w:r>
      <w:r w:rsidR="00C5291F" w:rsidRPr="00282AC9">
        <w:rPr>
          <w:rFonts w:ascii="Mosawi" w:hAnsi="Mosawi" w:cs="Mosawi"/>
          <w:sz w:val="24"/>
          <w:szCs w:val="24"/>
          <w:rtl/>
        </w:rPr>
        <w:t>﴿</w:t>
      </w:r>
      <w:r w:rsidRPr="00282AC9">
        <w:rPr>
          <w:b/>
          <w:bCs/>
          <w:sz w:val="27"/>
          <w:rtl/>
        </w:rPr>
        <w:t>مَا آَتَاكُمُ الرَّسُولُ فَخُذُوهُ وَمَا نَهَاكُمْ عَنْهُ فَانْتَهُوا</w:t>
      </w:r>
      <w:r w:rsidR="00C5291F" w:rsidRPr="00282AC9">
        <w:rPr>
          <w:rFonts w:ascii="Mosawi" w:hAnsi="Mosawi" w:cs="Mosawi"/>
          <w:sz w:val="24"/>
          <w:szCs w:val="24"/>
          <w:rtl/>
        </w:rPr>
        <w:t>﴾</w:t>
      </w:r>
      <w:r w:rsidRPr="00282AC9">
        <w:rPr>
          <w:rFonts w:hint="cs"/>
          <w:sz w:val="27"/>
          <w:rtl/>
        </w:rPr>
        <w:t xml:space="preserve"> (الحشر: 7)</w:t>
      </w:r>
      <w:r w:rsidRPr="00282AC9">
        <w:rPr>
          <w:rFonts w:hint="eastAsia"/>
          <w:sz w:val="24"/>
          <w:szCs w:val="24"/>
          <w:rtl/>
        </w:rPr>
        <w:t>»</w:t>
      </w:r>
      <w:r w:rsidRPr="00282AC9">
        <w:rPr>
          <w:sz w:val="27"/>
          <w:vertAlign w:val="superscript"/>
          <w:rtl/>
        </w:rPr>
        <w:t>(</w:t>
      </w:r>
      <w:r w:rsidRPr="00282AC9">
        <w:rPr>
          <w:rStyle w:val="af9"/>
          <w:sz w:val="27"/>
          <w:rtl/>
        </w:rPr>
        <w:endnoteReference w:id="50"/>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كما ورد ذات هذا المضمون في الروايات الأخرى، مع إضافة أن جميع ما ف</w:t>
      </w:r>
      <w:r w:rsidR="005454CD" w:rsidRPr="00282AC9">
        <w:rPr>
          <w:rFonts w:hint="cs"/>
          <w:sz w:val="27"/>
          <w:rtl/>
        </w:rPr>
        <w:t>ُ</w:t>
      </w:r>
      <w:r w:rsidRPr="00282AC9">
        <w:rPr>
          <w:rFonts w:hint="cs"/>
          <w:sz w:val="27"/>
          <w:rtl/>
        </w:rPr>
        <w:t>وّ</w:t>
      </w:r>
      <w:r w:rsidR="005454CD" w:rsidRPr="00282AC9">
        <w:rPr>
          <w:rFonts w:hint="cs"/>
          <w:sz w:val="27"/>
          <w:rtl/>
        </w:rPr>
        <w:t>ِ</w:t>
      </w:r>
      <w:r w:rsidRPr="00282AC9">
        <w:rPr>
          <w:rFonts w:hint="cs"/>
          <w:sz w:val="27"/>
          <w:rtl/>
        </w:rPr>
        <w:t>ض إلى رسول الله</w:t>
      </w:r>
      <w:r w:rsidR="009A2A04" w:rsidRPr="00282AC9">
        <w:rPr>
          <w:rFonts w:cs="Mosawi" w:hint="cs"/>
          <w:sz w:val="22"/>
          <w:szCs w:val="22"/>
          <w:rtl/>
        </w:rPr>
        <w:t>|</w:t>
      </w:r>
      <w:r w:rsidRPr="00282AC9">
        <w:rPr>
          <w:rFonts w:hint="cs"/>
          <w:sz w:val="27"/>
          <w:rtl/>
        </w:rPr>
        <w:t xml:space="preserve"> قد تمّ تفويضه إلى الأئم</w:t>
      </w:r>
      <w:r w:rsidR="005454CD" w:rsidRPr="00282AC9">
        <w:rPr>
          <w:rFonts w:hint="cs"/>
          <w:sz w:val="27"/>
          <w:rtl/>
        </w:rPr>
        <w:t>ّ</w:t>
      </w:r>
      <w:r w:rsidRPr="00282AC9">
        <w:rPr>
          <w:rFonts w:hint="cs"/>
          <w:sz w:val="27"/>
          <w:rtl/>
        </w:rPr>
        <w:t>ة الأطهار</w:t>
      </w:r>
      <w:r w:rsidR="00876ECA" w:rsidRPr="00282AC9">
        <w:rPr>
          <w:rFonts w:cs="Mosawi" w:hint="cs"/>
          <w:sz w:val="22"/>
          <w:szCs w:val="22"/>
          <w:rtl/>
        </w:rPr>
        <w:t>^</w:t>
      </w:r>
      <w:r w:rsidRPr="00282AC9">
        <w:rPr>
          <w:rFonts w:hint="cs"/>
          <w:sz w:val="27"/>
          <w:rtl/>
        </w:rPr>
        <w:t xml:space="preserve"> أيضاً، ومن بينها</w:t>
      </w:r>
      <w:r w:rsidR="005454CD" w:rsidRPr="00282AC9">
        <w:rPr>
          <w:rFonts w:hint="cs"/>
          <w:sz w:val="27"/>
          <w:rtl/>
        </w:rPr>
        <w:t>:</w:t>
      </w:r>
      <w:r w:rsidRPr="00282AC9">
        <w:rPr>
          <w:rFonts w:hint="cs"/>
          <w:sz w:val="27"/>
          <w:rtl/>
        </w:rPr>
        <w:t xml:space="preserve"> الرواية الثالثة.</w:t>
      </w:r>
    </w:p>
    <w:p w:rsidR="00BC5E40" w:rsidRPr="00282AC9" w:rsidRDefault="00BC5E40" w:rsidP="00BC4D37">
      <w:pPr>
        <w:rPr>
          <w:sz w:val="27"/>
          <w:rtl/>
        </w:rPr>
      </w:pPr>
      <w:r w:rsidRPr="00282AC9">
        <w:rPr>
          <w:rFonts w:hint="cs"/>
          <w:sz w:val="27"/>
          <w:rtl/>
        </w:rPr>
        <w:t xml:space="preserve">2ـ </w:t>
      </w:r>
      <w:r w:rsidRPr="00282AC9">
        <w:rPr>
          <w:sz w:val="27"/>
          <w:rtl/>
        </w:rPr>
        <w:t>عن محمد بن الحسن الميثمي، عن أبي عبد الله</w:t>
      </w:r>
      <w:r w:rsidR="009A2A04" w:rsidRPr="00282AC9">
        <w:rPr>
          <w:rFonts w:cs="Mosawi"/>
          <w:sz w:val="22"/>
          <w:szCs w:val="22"/>
          <w:rtl/>
        </w:rPr>
        <w:t>×</w:t>
      </w:r>
      <w:r w:rsidR="005454CD" w:rsidRPr="00282AC9">
        <w:rPr>
          <w:rFonts w:hint="cs"/>
          <w:sz w:val="27"/>
          <w:rtl/>
        </w:rPr>
        <w:t>،</w:t>
      </w:r>
      <w:r w:rsidRPr="00282AC9">
        <w:rPr>
          <w:rFonts w:hint="cs"/>
          <w:sz w:val="27"/>
          <w:rtl/>
        </w:rPr>
        <w:t xml:space="preserve"> </w:t>
      </w:r>
      <w:r w:rsidRPr="00282AC9">
        <w:rPr>
          <w:sz w:val="27"/>
          <w:rtl/>
        </w:rPr>
        <w:t>قال: سمعت</w:t>
      </w:r>
      <w:r w:rsidR="005454CD" w:rsidRPr="00282AC9">
        <w:rPr>
          <w:rFonts w:hint="cs"/>
          <w:sz w:val="27"/>
          <w:rtl/>
        </w:rPr>
        <w:t>ُ</w:t>
      </w:r>
      <w:r w:rsidRPr="00282AC9">
        <w:rPr>
          <w:sz w:val="27"/>
          <w:rtl/>
        </w:rPr>
        <w:t xml:space="preserve">ه يقول: </w:t>
      </w:r>
      <w:r w:rsidRPr="00282AC9">
        <w:rPr>
          <w:rFonts w:hint="eastAsia"/>
          <w:sz w:val="24"/>
          <w:szCs w:val="24"/>
          <w:rtl/>
        </w:rPr>
        <w:t>«</w:t>
      </w:r>
      <w:r w:rsidRPr="00282AC9">
        <w:rPr>
          <w:sz w:val="27"/>
          <w:rtl/>
        </w:rPr>
        <w:t>إن الله عز</w:t>
      </w:r>
      <w:r w:rsidRPr="00282AC9">
        <w:rPr>
          <w:rFonts w:hint="cs"/>
          <w:sz w:val="27"/>
          <w:rtl/>
        </w:rPr>
        <w:t>ّ</w:t>
      </w:r>
      <w:r w:rsidR="005454CD" w:rsidRPr="00282AC9">
        <w:rPr>
          <w:rFonts w:hint="cs"/>
          <w:sz w:val="27"/>
          <w:rtl/>
        </w:rPr>
        <w:t>َ</w:t>
      </w:r>
      <w:r w:rsidRPr="00282AC9">
        <w:rPr>
          <w:sz w:val="27"/>
          <w:rtl/>
        </w:rPr>
        <w:t xml:space="preserve"> وجل</w:t>
      </w:r>
      <w:r w:rsidR="005454CD" w:rsidRPr="00282AC9">
        <w:rPr>
          <w:rFonts w:hint="cs"/>
          <w:sz w:val="27"/>
          <w:rtl/>
        </w:rPr>
        <w:t>َّ</w:t>
      </w:r>
      <w:r w:rsidRPr="00282AC9">
        <w:rPr>
          <w:rFonts w:hint="cs"/>
          <w:sz w:val="27"/>
          <w:rtl/>
        </w:rPr>
        <w:t xml:space="preserve"> </w:t>
      </w:r>
      <w:r w:rsidRPr="00282AC9">
        <w:rPr>
          <w:sz w:val="27"/>
          <w:rtl/>
        </w:rPr>
        <w:t>أد</w:t>
      </w:r>
      <w:r w:rsidRPr="00282AC9">
        <w:rPr>
          <w:rFonts w:hint="cs"/>
          <w:sz w:val="27"/>
          <w:rtl/>
        </w:rPr>
        <w:t>ّ</w:t>
      </w:r>
      <w:r w:rsidR="005454CD" w:rsidRPr="00282AC9">
        <w:rPr>
          <w:rFonts w:hint="cs"/>
          <w:sz w:val="27"/>
          <w:rtl/>
        </w:rPr>
        <w:t>َ</w:t>
      </w:r>
      <w:r w:rsidRPr="00282AC9">
        <w:rPr>
          <w:sz w:val="27"/>
          <w:rtl/>
        </w:rPr>
        <w:t>ب رسوله حت</w:t>
      </w:r>
      <w:r w:rsidR="005454CD" w:rsidRPr="00282AC9">
        <w:rPr>
          <w:rFonts w:hint="cs"/>
          <w:sz w:val="27"/>
          <w:rtl/>
        </w:rPr>
        <w:t>ّ</w:t>
      </w:r>
      <w:r w:rsidRPr="00282AC9">
        <w:rPr>
          <w:sz w:val="27"/>
          <w:rtl/>
        </w:rPr>
        <w:t>ى قو</w:t>
      </w:r>
      <w:r w:rsidRPr="00282AC9">
        <w:rPr>
          <w:rFonts w:hint="cs"/>
          <w:sz w:val="27"/>
          <w:rtl/>
        </w:rPr>
        <w:t>ّ</w:t>
      </w:r>
      <w:r w:rsidR="005454CD" w:rsidRPr="00282AC9">
        <w:rPr>
          <w:rFonts w:hint="cs"/>
          <w:sz w:val="27"/>
          <w:rtl/>
        </w:rPr>
        <w:t>َ</w:t>
      </w:r>
      <w:r w:rsidRPr="00282AC9">
        <w:rPr>
          <w:sz w:val="27"/>
          <w:rtl/>
        </w:rPr>
        <w:t>مه على ما أراد، ثم</w:t>
      </w:r>
      <w:r w:rsidR="005454CD" w:rsidRPr="00282AC9">
        <w:rPr>
          <w:rFonts w:hint="cs"/>
          <w:sz w:val="27"/>
          <w:rtl/>
        </w:rPr>
        <w:t>ّ</w:t>
      </w:r>
      <w:r w:rsidRPr="00282AC9">
        <w:rPr>
          <w:sz w:val="27"/>
          <w:rtl/>
        </w:rPr>
        <w:t xml:space="preserve"> فو</w:t>
      </w:r>
      <w:r w:rsidRPr="00282AC9">
        <w:rPr>
          <w:rFonts w:hint="cs"/>
          <w:sz w:val="27"/>
          <w:rtl/>
        </w:rPr>
        <w:t>ّ</w:t>
      </w:r>
      <w:r w:rsidRPr="00282AC9">
        <w:rPr>
          <w:sz w:val="27"/>
          <w:rtl/>
        </w:rPr>
        <w:t>ض إليه فقال عز</w:t>
      </w:r>
      <w:r w:rsidR="005454CD" w:rsidRPr="00282AC9">
        <w:rPr>
          <w:rFonts w:hint="cs"/>
          <w:sz w:val="27"/>
          <w:rtl/>
        </w:rPr>
        <w:t>َّ</w:t>
      </w:r>
      <w:r w:rsidRPr="00282AC9">
        <w:rPr>
          <w:sz w:val="27"/>
          <w:rtl/>
        </w:rPr>
        <w:t xml:space="preserve"> ذكره: </w:t>
      </w:r>
      <w:r w:rsidR="00C5291F" w:rsidRPr="00282AC9">
        <w:rPr>
          <w:rFonts w:ascii="Mosawi" w:hAnsi="Mosawi" w:cs="Mosawi"/>
          <w:sz w:val="24"/>
          <w:szCs w:val="24"/>
          <w:rtl/>
        </w:rPr>
        <w:t>﴿</w:t>
      </w:r>
      <w:r w:rsidRPr="00282AC9">
        <w:rPr>
          <w:b/>
          <w:bCs/>
          <w:sz w:val="27"/>
          <w:rtl/>
        </w:rPr>
        <w:t>مَا آَتَاكُمُ الرَّسُولُ فَخُذُوهُ وَمَا نَهَاكُمْ عَنْهُ فَانْتَهُوا</w:t>
      </w:r>
      <w:r w:rsidR="00C5291F" w:rsidRPr="00282AC9">
        <w:rPr>
          <w:rFonts w:ascii="Mosawi" w:hAnsi="Mosawi" w:cs="Mosawi"/>
          <w:sz w:val="24"/>
          <w:szCs w:val="24"/>
          <w:rtl/>
        </w:rPr>
        <w:t>﴾</w:t>
      </w:r>
      <w:r w:rsidRPr="00282AC9">
        <w:rPr>
          <w:rFonts w:hint="cs"/>
          <w:sz w:val="27"/>
          <w:rtl/>
        </w:rPr>
        <w:t>،</w:t>
      </w:r>
      <w:r w:rsidRPr="00282AC9">
        <w:rPr>
          <w:sz w:val="27"/>
          <w:rtl/>
        </w:rPr>
        <w:t xml:space="preserve"> فما فو</w:t>
      </w:r>
      <w:r w:rsidRPr="00282AC9">
        <w:rPr>
          <w:rFonts w:hint="cs"/>
          <w:sz w:val="27"/>
          <w:rtl/>
        </w:rPr>
        <w:t>ّ</w:t>
      </w:r>
      <w:r w:rsidR="005454CD" w:rsidRPr="00282AC9">
        <w:rPr>
          <w:rFonts w:hint="cs"/>
          <w:sz w:val="27"/>
          <w:rtl/>
        </w:rPr>
        <w:t>َ</w:t>
      </w:r>
      <w:r w:rsidRPr="00282AC9">
        <w:rPr>
          <w:sz w:val="27"/>
          <w:rtl/>
        </w:rPr>
        <w:t>ض الله إلى رسوله</w:t>
      </w:r>
      <w:r w:rsidR="009A2A04" w:rsidRPr="00282AC9">
        <w:rPr>
          <w:rFonts w:cs="Mosawi" w:hint="cs"/>
          <w:sz w:val="22"/>
          <w:szCs w:val="22"/>
          <w:rtl/>
        </w:rPr>
        <w:t>|</w:t>
      </w:r>
      <w:r w:rsidRPr="00282AC9">
        <w:rPr>
          <w:rFonts w:hint="cs"/>
          <w:sz w:val="27"/>
          <w:rtl/>
        </w:rPr>
        <w:t xml:space="preserve"> </w:t>
      </w:r>
      <w:r w:rsidRPr="00282AC9">
        <w:rPr>
          <w:sz w:val="27"/>
          <w:rtl/>
        </w:rPr>
        <w:t>فقد فو</w:t>
      </w:r>
      <w:r w:rsidR="005454CD" w:rsidRPr="00282AC9">
        <w:rPr>
          <w:rFonts w:hint="cs"/>
          <w:sz w:val="27"/>
          <w:rtl/>
        </w:rPr>
        <w:t>َّ</w:t>
      </w:r>
      <w:r w:rsidRPr="00282AC9">
        <w:rPr>
          <w:sz w:val="27"/>
          <w:rtl/>
        </w:rPr>
        <w:t>ضه إلينا</w:t>
      </w:r>
      <w:r w:rsidRPr="00282AC9">
        <w:rPr>
          <w:rFonts w:hint="eastAsia"/>
          <w:sz w:val="24"/>
          <w:szCs w:val="24"/>
          <w:rtl/>
        </w:rPr>
        <w:t>»</w:t>
      </w:r>
      <w:r w:rsidRPr="00282AC9">
        <w:rPr>
          <w:sz w:val="27"/>
          <w:vertAlign w:val="superscript"/>
          <w:rtl/>
        </w:rPr>
        <w:t>(</w:t>
      </w:r>
      <w:r w:rsidRPr="00282AC9">
        <w:rPr>
          <w:rStyle w:val="af9"/>
          <w:sz w:val="27"/>
          <w:rtl/>
        </w:rPr>
        <w:endnoteReference w:id="51"/>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3ـ </w:t>
      </w:r>
      <w:r w:rsidRPr="00282AC9">
        <w:rPr>
          <w:sz w:val="27"/>
          <w:rtl/>
        </w:rPr>
        <w:t>عن عبد</w:t>
      </w:r>
      <w:r w:rsidRPr="00282AC9">
        <w:rPr>
          <w:rFonts w:hint="cs"/>
          <w:sz w:val="27"/>
          <w:rtl/>
        </w:rPr>
        <w:t xml:space="preserve"> </w:t>
      </w:r>
      <w:r w:rsidRPr="00282AC9">
        <w:rPr>
          <w:sz w:val="27"/>
          <w:rtl/>
        </w:rPr>
        <w:t>الله بن سنان</w:t>
      </w:r>
      <w:r w:rsidRPr="00282AC9">
        <w:rPr>
          <w:rFonts w:hint="cs"/>
          <w:sz w:val="27"/>
          <w:rtl/>
        </w:rPr>
        <w:t>،</w:t>
      </w:r>
      <w:r w:rsidRPr="00282AC9">
        <w:rPr>
          <w:sz w:val="27"/>
          <w:rtl/>
        </w:rPr>
        <w:t xml:space="preserve"> عن بعض </w:t>
      </w:r>
      <w:r w:rsidRPr="00282AC9">
        <w:rPr>
          <w:rFonts w:hint="cs"/>
          <w:sz w:val="27"/>
          <w:rtl/>
        </w:rPr>
        <w:t>أ</w:t>
      </w:r>
      <w:r w:rsidRPr="00282AC9">
        <w:rPr>
          <w:sz w:val="27"/>
          <w:rtl/>
        </w:rPr>
        <w:t>صحابنا</w:t>
      </w:r>
      <w:r w:rsidR="005454CD" w:rsidRPr="00282AC9">
        <w:rPr>
          <w:rFonts w:hint="cs"/>
          <w:sz w:val="27"/>
          <w:rtl/>
        </w:rPr>
        <w:t>،</w:t>
      </w:r>
      <w:r w:rsidRPr="00282AC9">
        <w:rPr>
          <w:sz w:val="27"/>
          <w:rtl/>
        </w:rPr>
        <w:t xml:space="preserve"> عن </w:t>
      </w:r>
      <w:r w:rsidRPr="00282AC9">
        <w:rPr>
          <w:rFonts w:hint="cs"/>
          <w:sz w:val="27"/>
          <w:rtl/>
        </w:rPr>
        <w:t>أ</w:t>
      </w:r>
      <w:r w:rsidRPr="00282AC9">
        <w:rPr>
          <w:sz w:val="27"/>
          <w:rtl/>
        </w:rPr>
        <w:t>ب</w:t>
      </w:r>
      <w:r w:rsidRPr="00282AC9">
        <w:rPr>
          <w:rFonts w:hint="cs"/>
          <w:sz w:val="27"/>
          <w:rtl/>
        </w:rPr>
        <w:t>ي</w:t>
      </w:r>
      <w:r w:rsidRPr="00282AC9">
        <w:rPr>
          <w:sz w:val="27"/>
          <w:rtl/>
        </w:rPr>
        <w:t xml:space="preserve"> جعفر</w:t>
      </w:r>
      <w:r w:rsidR="009A2A04" w:rsidRPr="00282AC9">
        <w:rPr>
          <w:rFonts w:cs="Mosawi"/>
          <w:sz w:val="22"/>
          <w:szCs w:val="22"/>
          <w:rtl/>
        </w:rPr>
        <w:t>×</w:t>
      </w:r>
      <w:r w:rsidRPr="00282AC9">
        <w:rPr>
          <w:rFonts w:hint="cs"/>
          <w:sz w:val="27"/>
          <w:rtl/>
        </w:rPr>
        <w:t xml:space="preserve"> </w:t>
      </w:r>
      <w:r w:rsidRPr="00282AC9">
        <w:rPr>
          <w:sz w:val="27"/>
          <w:rtl/>
        </w:rPr>
        <w:t>قال</w:t>
      </w:r>
      <w:r w:rsidRPr="00282AC9">
        <w:rPr>
          <w:rFonts w:hint="cs"/>
          <w:sz w:val="27"/>
          <w:rtl/>
        </w:rPr>
        <w:t>:</w:t>
      </w:r>
      <w:r w:rsidRPr="00282AC9">
        <w:rPr>
          <w:sz w:val="27"/>
          <w:rtl/>
        </w:rPr>
        <w:t xml:space="preserve"> </w:t>
      </w:r>
      <w:r w:rsidRPr="00282AC9">
        <w:rPr>
          <w:rFonts w:hint="cs"/>
          <w:sz w:val="27"/>
          <w:rtl/>
        </w:rPr>
        <w:t>إ</w:t>
      </w:r>
      <w:r w:rsidR="005454CD" w:rsidRPr="00282AC9">
        <w:rPr>
          <w:sz w:val="27"/>
          <w:rtl/>
        </w:rPr>
        <w:t>ن الله</w:t>
      </w:r>
      <w:r w:rsidR="005454CD" w:rsidRPr="00282AC9">
        <w:rPr>
          <w:rFonts w:hint="cs"/>
          <w:sz w:val="27"/>
          <w:rtl/>
        </w:rPr>
        <w:t xml:space="preserve"> </w:t>
      </w:r>
      <w:r w:rsidRPr="00282AC9">
        <w:rPr>
          <w:sz w:val="27"/>
          <w:rtl/>
        </w:rPr>
        <w:t>تبارك وتعالى</w:t>
      </w:r>
      <w:r w:rsidRPr="00282AC9">
        <w:rPr>
          <w:rFonts w:hint="cs"/>
          <w:sz w:val="27"/>
          <w:rtl/>
        </w:rPr>
        <w:t xml:space="preserve"> أ</w:t>
      </w:r>
      <w:r w:rsidRPr="00282AC9">
        <w:rPr>
          <w:sz w:val="27"/>
          <w:rtl/>
        </w:rPr>
        <w:t>د</w:t>
      </w:r>
      <w:r w:rsidRPr="00282AC9">
        <w:rPr>
          <w:rFonts w:hint="cs"/>
          <w:sz w:val="27"/>
          <w:rtl/>
        </w:rPr>
        <w:t>ّ</w:t>
      </w:r>
      <w:r w:rsidR="005454CD" w:rsidRPr="00282AC9">
        <w:rPr>
          <w:rFonts w:hint="cs"/>
          <w:sz w:val="27"/>
          <w:rtl/>
        </w:rPr>
        <w:t>َ</w:t>
      </w:r>
      <w:r w:rsidRPr="00282AC9">
        <w:rPr>
          <w:sz w:val="27"/>
          <w:rtl/>
        </w:rPr>
        <w:t>ب محمدا</w:t>
      </w:r>
      <w:r w:rsidRPr="00282AC9">
        <w:rPr>
          <w:rFonts w:hint="cs"/>
          <w:sz w:val="27"/>
          <w:rtl/>
        </w:rPr>
        <w:t>ً</w:t>
      </w:r>
      <w:r w:rsidR="009A2A04" w:rsidRPr="00282AC9">
        <w:rPr>
          <w:rFonts w:cs="Mosawi" w:hint="cs"/>
          <w:sz w:val="22"/>
          <w:szCs w:val="22"/>
          <w:rtl/>
        </w:rPr>
        <w:t>|</w:t>
      </w:r>
      <w:r w:rsidR="005454CD" w:rsidRPr="00282AC9">
        <w:rPr>
          <w:rFonts w:hint="cs"/>
          <w:sz w:val="27"/>
          <w:rtl/>
        </w:rPr>
        <w:t>،</w:t>
      </w:r>
      <w:r w:rsidRPr="00282AC9">
        <w:rPr>
          <w:rFonts w:hint="cs"/>
          <w:sz w:val="27"/>
          <w:rtl/>
        </w:rPr>
        <w:t xml:space="preserve"> </w:t>
      </w:r>
      <w:r w:rsidRPr="00282AC9">
        <w:rPr>
          <w:sz w:val="27"/>
          <w:rtl/>
        </w:rPr>
        <w:t>فلما تأد</w:t>
      </w:r>
      <w:r w:rsidRPr="00282AC9">
        <w:rPr>
          <w:rFonts w:hint="cs"/>
          <w:sz w:val="27"/>
          <w:rtl/>
        </w:rPr>
        <w:t>ّ</w:t>
      </w:r>
      <w:r w:rsidR="005454CD" w:rsidRPr="00282AC9">
        <w:rPr>
          <w:rFonts w:hint="cs"/>
          <w:sz w:val="27"/>
          <w:rtl/>
        </w:rPr>
        <w:t>َ</w:t>
      </w:r>
      <w:r w:rsidRPr="00282AC9">
        <w:rPr>
          <w:sz w:val="27"/>
          <w:rtl/>
        </w:rPr>
        <w:t>ب فو</w:t>
      </w:r>
      <w:r w:rsidRPr="00282AC9">
        <w:rPr>
          <w:rFonts w:hint="cs"/>
          <w:sz w:val="27"/>
          <w:rtl/>
        </w:rPr>
        <w:t>ّ</w:t>
      </w:r>
      <w:r w:rsidR="005454CD" w:rsidRPr="00282AC9">
        <w:rPr>
          <w:rFonts w:hint="cs"/>
          <w:sz w:val="27"/>
          <w:rtl/>
        </w:rPr>
        <w:t>َ</w:t>
      </w:r>
      <w:r w:rsidRPr="00282AC9">
        <w:rPr>
          <w:sz w:val="27"/>
          <w:rtl/>
        </w:rPr>
        <w:t xml:space="preserve">ض </w:t>
      </w:r>
      <w:r w:rsidRPr="00282AC9">
        <w:rPr>
          <w:rFonts w:hint="cs"/>
          <w:sz w:val="27"/>
          <w:rtl/>
        </w:rPr>
        <w:t>إ</w:t>
      </w:r>
      <w:r w:rsidRPr="00282AC9">
        <w:rPr>
          <w:sz w:val="27"/>
          <w:rtl/>
        </w:rPr>
        <w:t>ليه</w:t>
      </w:r>
      <w:r w:rsidR="005454CD" w:rsidRPr="00282AC9">
        <w:rPr>
          <w:rFonts w:hint="cs"/>
          <w:sz w:val="27"/>
          <w:rtl/>
        </w:rPr>
        <w:t>،</w:t>
      </w:r>
      <w:r w:rsidRPr="00282AC9">
        <w:rPr>
          <w:sz w:val="27"/>
          <w:rtl/>
        </w:rPr>
        <w:t xml:space="preserve"> فقال</w:t>
      </w:r>
      <w:r w:rsidRPr="00282AC9">
        <w:rPr>
          <w:rFonts w:hint="cs"/>
          <w:sz w:val="27"/>
          <w:rtl/>
        </w:rPr>
        <w:t xml:space="preserve"> </w:t>
      </w:r>
      <w:r w:rsidRPr="00282AC9">
        <w:rPr>
          <w:sz w:val="27"/>
          <w:rtl/>
        </w:rPr>
        <w:t>تبارك وتعالى</w:t>
      </w:r>
      <w:r w:rsidRPr="00282AC9">
        <w:rPr>
          <w:rFonts w:hint="cs"/>
          <w:sz w:val="27"/>
          <w:rtl/>
        </w:rPr>
        <w:t xml:space="preserve">: </w:t>
      </w:r>
      <w:r w:rsidR="00C5291F" w:rsidRPr="00282AC9">
        <w:rPr>
          <w:rFonts w:ascii="Mosawi" w:hAnsi="Mosawi" w:cs="Mosawi"/>
          <w:sz w:val="24"/>
          <w:szCs w:val="24"/>
          <w:rtl/>
        </w:rPr>
        <w:t>﴿</w:t>
      </w:r>
      <w:r w:rsidRPr="00282AC9">
        <w:rPr>
          <w:b/>
          <w:bCs/>
          <w:sz w:val="27"/>
          <w:rtl/>
        </w:rPr>
        <w:t>مَا آَتَاكُمُ الرَّسُولُ فَخُذُوهُ وَمَا نَهَاكُمْ عَنْهُ فَانْتَهُوا</w:t>
      </w:r>
      <w:r w:rsidR="00C5291F" w:rsidRPr="00282AC9">
        <w:rPr>
          <w:rFonts w:ascii="Mosawi" w:hAnsi="Mosawi" w:cs="Mosawi"/>
          <w:sz w:val="24"/>
          <w:szCs w:val="24"/>
          <w:rtl/>
        </w:rPr>
        <w:t>﴾</w:t>
      </w:r>
      <w:r w:rsidRPr="00282AC9">
        <w:rPr>
          <w:rFonts w:hint="cs"/>
          <w:sz w:val="27"/>
          <w:rtl/>
        </w:rPr>
        <w:t>،</w:t>
      </w:r>
      <w:r w:rsidRPr="00282AC9">
        <w:rPr>
          <w:sz w:val="27"/>
          <w:rtl/>
        </w:rPr>
        <w:t xml:space="preserve"> </w:t>
      </w:r>
      <w:r w:rsidR="00FA2961" w:rsidRPr="00282AC9">
        <w:rPr>
          <w:rFonts w:hint="cs"/>
          <w:sz w:val="27"/>
          <w:rtl/>
        </w:rPr>
        <w:t>و</w:t>
      </w:r>
      <w:r w:rsidRPr="00282AC9">
        <w:rPr>
          <w:sz w:val="27"/>
          <w:rtl/>
        </w:rPr>
        <w:t>قال</w:t>
      </w:r>
      <w:r w:rsidRPr="00282AC9">
        <w:rPr>
          <w:rFonts w:hint="cs"/>
          <w:sz w:val="27"/>
          <w:rtl/>
        </w:rPr>
        <w:t xml:space="preserve">: </w:t>
      </w:r>
      <w:r w:rsidR="00C5291F" w:rsidRPr="00282AC9">
        <w:rPr>
          <w:rFonts w:ascii="Mosawi" w:hAnsi="Mosawi" w:cs="Mosawi"/>
          <w:sz w:val="24"/>
          <w:szCs w:val="24"/>
          <w:rtl/>
        </w:rPr>
        <w:t>﴿</w:t>
      </w:r>
      <w:r w:rsidRPr="00282AC9">
        <w:rPr>
          <w:b/>
          <w:bCs/>
          <w:sz w:val="27"/>
          <w:rtl/>
        </w:rPr>
        <w:t>مَنْ يُطِعِ الرَّسُولَ فَقَدْ أَطَاعَ اللهَ</w:t>
      </w:r>
      <w:r w:rsidR="00C5291F" w:rsidRPr="00282AC9">
        <w:rPr>
          <w:rFonts w:ascii="Mosawi" w:hAnsi="Mosawi" w:cs="Mosawi"/>
          <w:sz w:val="24"/>
          <w:szCs w:val="24"/>
          <w:rtl/>
        </w:rPr>
        <w:t>﴾</w:t>
      </w:r>
      <w:r w:rsidRPr="00282AC9">
        <w:rPr>
          <w:rFonts w:hint="cs"/>
          <w:sz w:val="27"/>
          <w:rtl/>
        </w:rPr>
        <w:t xml:space="preserve"> (النساء: 80)،</w:t>
      </w:r>
      <w:r w:rsidRPr="00282AC9">
        <w:rPr>
          <w:sz w:val="27"/>
          <w:rtl/>
        </w:rPr>
        <w:t xml:space="preserve"> فكان في</w:t>
      </w:r>
      <w:r w:rsidR="00FA2961" w:rsidRPr="00282AC9">
        <w:rPr>
          <w:rFonts w:hint="cs"/>
          <w:sz w:val="27"/>
          <w:rtl/>
        </w:rPr>
        <w:t xml:space="preserve"> </w:t>
      </w:r>
      <w:r w:rsidRPr="00282AC9">
        <w:rPr>
          <w:sz w:val="27"/>
          <w:rtl/>
        </w:rPr>
        <w:t>ما فرض في القرآن فرايض الصلب</w:t>
      </w:r>
      <w:r w:rsidR="00FA2961" w:rsidRPr="00282AC9">
        <w:rPr>
          <w:rFonts w:hint="cs"/>
          <w:sz w:val="27"/>
          <w:rtl/>
        </w:rPr>
        <w:t>،</w:t>
      </w:r>
      <w:r w:rsidRPr="00282AC9">
        <w:rPr>
          <w:sz w:val="27"/>
          <w:rtl/>
        </w:rPr>
        <w:t xml:space="preserve"> وفرض رسول الله</w:t>
      </w:r>
      <w:r w:rsidR="009A2A04" w:rsidRPr="00282AC9">
        <w:rPr>
          <w:rFonts w:cs="Mosawi" w:hint="cs"/>
          <w:sz w:val="22"/>
          <w:szCs w:val="22"/>
          <w:rtl/>
        </w:rPr>
        <w:t>|</w:t>
      </w:r>
      <w:r w:rsidRPr="00282AC9">
        <w:rPr>
          <w:sz w:val="27"/>
          <w:rtl/>
        </w:rPr>
        <w:t xml:space="preserve"> فرايض الجد</w:t>
      </w:r>
      <w:r w:rsidR="00FA2961" w:rsidRPr="00282AC9">
        <w:rPr>
          <w:rFonts w:hint="cs"/>
          <w:sz w:val="27"/>
          <w:rtl/>
        </w:rPr>
        <w:t>ّ،</w:t>
      </w:r>
      <w:r w:rsidRPr="00282AC9">
        <w:rPr>
          <w:sz w:val="27"/>
          <w:rtl/>
        </w:rPr>
        <w:t xml:space="preserve"> ف</w:t>
      </w:r>
      <w:r w:rsidRPr="00282AC9">
        <w:rPr>
          <w:rFonts w:hint="cs"/>
          <w:sz w:val="27"/>
          <w:rtl/>
        </w:rPr>
        <w:t>أ</w:t>
      </w:r>
      <w:r w:rsidRPr="00282AC9">
        <w:rPr>
          <w:sz w:val="27"/>
          <w:rtl/>
        </w:rPr>
        <w:t>جاز الله ذلك له</w:t>
      </w:r>
      <w:r w:rsidRPr="00282AC9">
        <w:rPr>
          <w:rFonts w:hint="eastAsia"/>
          <w:sz w:val="24"/>
          <w:szCs w:val="24"/>
          <w:rtl/>
        </w:rPr>
        <w:t>»</w:t>
      </w:r>
      <w:r w:rsidRPr="00282AC9">
        <w:rPr>
          <w:sz w:val="27"/>
          <w:vertAlign w:val="superscript"/>
          <w:rtl/>
        </w:rPr>
        <w:t>(</w:t>
      </w:r>
      <w:r w:rsidRPr="00282AC9">
        <w:rPr>
          <w:rStyle w:val="af9"/>
          <w:sz w:val="27"/>
          <w:rtl/>
        </w:rPr>
        <w:endnoteReference w:id="52"/>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lastRenderedPageBreak/>
        <w:t>إن هذه الروايات وأمثالها تدل</w:t>
      </w:r>
      <w:r w:rsidR="00FA2961" w:rsidRPr="00282AC9">
        <w:rPr>
          <w:rFonts w:hint="cs"/>
          <w:sz w:val="27"/>
          <w:rtl/>
        </w:rPr>
        <w:t>ّ</w:t>
      </w:r>
      <w:r w:rsidRPr="00282AC9">
        <w:rPr>
          <w:rFonts w:hint="cs"/>
          <w:sz w:val="27"/>
          <w:rtl/>
        </w:rPr>
        <w:t xml:space="preserve"> على أنه في بعض الموارد تمّ إلقاء أمر التقنين على عاتق رسول الله</w:t>
      </w:r>
      <w:r w:rsidR="009A2A04" w:rsidRPr="00282AC9">
        <w:rPr>
          <w:rFonts w:cs="Mosawi" w:hint="cs"/>
          <w:sz w:val="22"/>
          <w:szCs w:val="22"/>
          <w:rtl/>
        </w:rPr>
        <w:t>|</w:t>
      </w:r>
      <w:r w:rsidRPr="00282AC9">
        <w:rPr>
          <w:rFonts w:hint="cs"/>
          <w:sz w:val="27"/>
          <w:rtl/>
        </w:rPr>
        <w:t>، و</w:t>
      </w:r>
      <w:r w:rsidR="00FA2961" w:rsidRPr="00282AC9">
        <w:rPr>
          <w:rFonts w:hint="cs"/>
          <w:sz w:val="27"/>
          <w:rtl/>
        </w:rPr>
        <w:t>أ</w:t>
      </w:r>
      <w:r w:rsidRPr="00282AC9">
        <w:rPr>
          <w:rFonts w:hint="cs"/>
          <w:sz w:val="27"/>
          <w:rtl/>
        </w:rPr>
        <w:t>ن رسول الله قد وضع في بعض الموارد أحكاماً لم يض</w:t>
      </w:r>
      <w:r w:rsidR="00FA2961" w:rsidRPr="00282AC9">
        <w:rPr>
          <w:rFonts w:hint="cs"/>
          <w:sz w:val="27"/>
          <w:rtl/>
        </w:rPr>
        <w:t>َ</w:t>
      </w:r>
      <w:r w:rsidRPr="00282AC9">
        <w:rPr>
          <w:rFonts w:hint="cs"/>
          <w:sz w:val="27"/>
          <w:rtl/>
        </w:rPr>
        <w:t>ع</w:t>
      </w:r>
      <w:r w:rsidR="00FA2961" w:rsidRPr="00282AC9">
        <w:rPr>
          <w:rFonts w:hint="cs"/>
          <w:sz w:val="27"/>
          <w:rtl/>
        </w:rPr>
        <w:t>ْ</w:t>
      </w:r>
      <w:r w:rsidRPr="00282AC9">
        <w:rPr>
          <w:rFonts w:hint="cs"/>
          <w:sz w:val="27"/>
          <w:rtl/>
        </w:rPr>
        <w:t xml:space="preserve">ها الله، </w:t>
      </w:r>
      <w:r w:rsidR="00FA2961" w:rsidRPr="00282AC9">
        <w:rPr>
          <w:rFonts w:hint="cs"/>
          <w:sz w:val="27"/>
          <w:rtl/>
        </w:rPr>
        <w:t>كما في</w:t>
      </w:r>
      <w:r w:rsidRPr="00282AC9">
        <w:rPr>
          <w:rFonts w:hint="cs"/>
          <w:sz w:val="27"/>
          <w:rtl/>
        </w:rPr>
        <w:t xml:space="preserve"> الحديث الأخير والحديث الرابع من الباب.</w:t>
      </w:r>
    </w:p>
    <w:p w:rsidR="00075DE8" w:rsidRPr="00282AC9" w:rsidRDefault="00075DE8" w:rsidP="00075DE8">
      <w:pPr>
        <w:spacing w:line="440" w:lineRule="exact"/>
        <w:rPr>
          <w:sz w:val="27"/>
          <w:rtl/>
        </w:rPr>
      </w:pPr>
    </w:p>
    <w:p w:rsidR="00BC5E40" w:rsidRPr="00282AC9" w:rsidRDefault="00BC5E40" w:rsidP="00E36B18">
      <w:pPr>
        <w:pStyle w:val="31"/>
        <w:rPr>
          <w:color w:val="auto"/>
          <w:rtl/>
        </w:rPr>
      </w:pPr>
      <w:r w:rsidRPr="00282AC9">
        <w:rPr>
          <w:rFonts w:hint="cs"/>
          <w:color w:val="auto"/>
          <w:rtl/>
        </w:rPr>
        <w:t>2ـ الأحكام الولائي</w:t>
      </w:r>
      <w:r w:rsidR="00FA2961" w:rsidRPr="00282AC9">
        <w:rPr>
          <w:rFonts w:hint="cs"/>
          <w:color w:val="auto"/>
          <w:rtl/>
        </w:rPr>
        <w:t>ّ</w:t>
      </w:r>
      <w:r w:rsidRPr="00282AC9">
        <w:rPr>
          <w:rFonts w:hint="cs"/>
          <w:color w:val="auto"/>
          <w:rtl/>
        </w:rPr>
        <w:t>ة للفقهاء</w:t>
      </w:r>
    </w:p>
    <w:p w:rsidR="00BC5E40" w:rsidRPr="00282AC9" w:rsidRDefault="00BC5E40" w:rsidP="00BC4D37">
      <w:pPr>
        <w:rPr>
          <w:sz w:val="27"/>
          <w:rtl/>
        </w:rPr>
      </w:pPr>
      <w:r w:rsidRPr="00282AC9">
        <w:rPr>
          <w:rFonts w:hint="cs"/>
          <w:sz w:val="27"/>
          <w:rtl/>
        </w:rPr>
        <w:t xml:space="preserve">الدليل الثاني على </w:t>
      </w:r>
      <w:r w:rsidR="00DC6CB2" w:rsidRPr="00282AC9">
        <w:rPr>
          <w:rFonts w:hint="cs"/>
          <w:sz w:val="27"/>
          <w:rtl/>
        </w:rPr>
        <w:t>صلاحية</w:t>
      </w:r>
      <w:r w:rsidRPr="00282AC9">
        <w:rPr>
          <w:rFonts w:hint="cs"/>
          <w:sz w:val="27"/>
          <w:rtl/>
        </w:rPr>
        <w:t xml:space="preserve"> الفقهاء </w:t>
      </w:r>
      <w:r w:rsidR="00DC6CB2" w:rsidRPr="00282AC9">
        <w:rPr>
          <w:rFonts w:hint="cs"/>
          <w:sz w:val="27"/>
          <w:rtl/>
        </w:rPr>
        <w:t>ل</w:t>
      </w:r>
      <w:r w:rsidRPr="00282AC9">
        <w:rPr>
          <w:rFonts w:hint="cs"/>
          <w:sz w:val="27"/>
          <w:rtl/>
        </w:rPr>
        <w:t>جعل بعض القوانين وجود أحكام ولائية لرسول الله</w:t>
      </w:r>
      <w:r w:rsidR="009A2A04" w:rsidRPr="00282AC9">
        <w:rPr>
          <w:rFonts w:cs="Mosawi" w:hint="cs"/>
          <w:sz w:val="22"/>
          <w:szCs w:val="22"/>
          <w:rtl/>
        </w:rPr>
        <w:t>|</w:t>
      </w:r>
      <w:r w:rsidRPr="00282AC9">
        <w:rPr>
          <w:rFonts w:hint="cs"/>
          <w:sz w:val="27"/>
          <w:rtl/>
        </w:rPr>
        <w:t xml:space="preserve"> والأئم</w:t>
      </w:r>
      <w:r w:rsidR="00DC6CB2" w:rsidRPr="00282AC9">
        <w:rPr>
          <w:rFonts w:hint="cs"/>
          <w:sz w:val="27"/>
          <w:rtl/>
        </w:rPr>
        <w:t>ّ</w:t>
      </w:r>
      <w:r w:rsidRPr="00282AC9">
        <w:rPr>
          <w:rFonts w:hint="cs"/>
          <w:sz w:val="27"/>
          <w:rtl/>
        </w:rPr>
        <w:t>ة الأطهار</w:t>
      </w:r>
      <w:r w:rsidR="00876ECA" w:rsidRPr="00282AC9">
        <w:rPr>
          <w:rFonts w:cs="Mosawi" w:hint="cs"/>
          <w:sz w:val="22"/>
          <w:szCs w:val="22"/>
          <w:rtl/>
        </w:rPr>
        <w:t>^</w:t>
      </w:r>
      <w:r w:rsidRPr="00282AC9">
        <w:rPr>
          <w:rFonts w:hint="cs"/>
          <w:sz w:val="27"/>
          <w:rtl/>
        </w:rPr>
        <w:t xml:space="preserve"> والفقهاء. </w:t>
      </w:r>
      <w:r w:rsidR="00DC6CB2" w:rsidRPr="00282AC9">
        <w:rPr>
          <w:rFonts w:hint="cs"/>
          <w:sz w:val="27"/>
          <w:rtl/>
        </w:rPr>
        <w:t>و</w:t>
      </w:r>
      <w:r w:rsidR="00674EF5" w:rsidRPr="00282AC9">
        <w:rPr>
          <w:rFonts w:hint="cs"/>
          <w:sz w:val="27"/>
          <w:rtl/>
        </w:rPr>
        <w:t>لا شَكَّ</w:t>
      </w:r>
      <w:r w:rsidRPr="00282AC9">
        <w:rPr>
          <w:rFonts w:hint="cs"/>
          <w:sz w:val="27"/>
          <w:rtl/>
        </w:rPr>
        <w:t xml:space="preserve"> في أن هذه الأحكام إنما هي من جهة أنهم كانوا قد تكف</w:t>
      </w:r>
      <w:r w:rsidR="00DC6CB2" w:rsidRPr="00282AC9">
        <w:rPr>
          <w:rFonts w:hint="cs"/>
          <w:sz w:val="27"/>
          <w:rtl/>
        </w:rPr>
        <w:t>َّ</w:t>
      </w:r>
      <w:r w:rsidRPr="00282AC9">
        <w:rPr>
          <w:rFonts w:hint="cs"/>
          <w:sz w:val="27"/>
          <w:rtl/>
        </w:rPr>
        <w:t>لوا بمسؤولية ومهم</w:t>
      </w:r>
      <w:r w:rsidR="00DC6CB2" w:rsidRPr="00282AC9">
        <w:rPr>
          <w:rFonts w:hint="cs"/>
          <w:sz w:val="27"/>
          <w:rtl/>
        </w:rPr>
        <w:t>ّ</w:t>
      </w:r>
      <w:r w:rsidRPr="00282AC9">
        <w:rPr>
          <w:rFonts w:hint="cs"/>
          <w:sz w:val="27"/>
          <w:rtl/>
        </w:rPr>
        <w:t>ة إدارة المجتمع والدولة، وليس من جهة أنهم يبي</w:t>
      </w:r>
      <w:r w:rsidR="00DC6CB2" w:rsidRPr="00282AC9">
        <w:rPr>
          <w:rFonts w:hint="cs"/>
          <w:sz w:val="27"/>
          <w:rtl/>
        </w:rPr>
        <w:t>ِّ</w:t>
      </w:r>
      <w:r w:rsidRPr="00282AC9">
        <w:rPr>
          <w:rFonts w:hint="cs"/>
          <w:sz w:val="27"/>
          <w:rtl/>
        </w:rPr>
        <w:t xml:space="preserve">نون الأحكام الإلهية. </w:t>
      </w:r>
      <w:r w:rsidR="00DC6CB2" w:rsidRPr="00282AC9">
        <w:rPr>
          <w:rFonts w:hint="cs"/>
          <w:sz w:val="27"/>
          <w:rtl/>
        </w:rPr>
        <w:t>و</w:t>
      </w:r>
      <w:r w:rsidRPr="00282AC9">
        <w:rPr>
          <w:rFonts w:hint="cs"/>
          <w:sz w:val="27"/>
          <w:rtl/>
        </w:rPr>
        <w:t xml:space="preserve">حيث </w:t>
      </w:r>
      <w:r w:rsidR="00DC6CB2" w:rsidRPr="00282AC9">
        <w:rPr>
          <w:rFonts w:hint="cs"/>
          <w:sz w:val="27"/>
          <w:rtl/>
        </w:rPr>
        <w:t>إن هذه المقالة</w:t>
      </w:r>
      <w:r w:rsidRPr="00282AC9">
        <w:rPr>
          <w:rFonts w:hint="cs"/>
          <w:sz w:val="27"/>
          <w:rtl/>
        </w:rPr>
        <w:t xml:space="preserve"> معقودة</w:t>
      </w:r>
      <w:r w:rsidR="00DC6CB2" w:rsidRPr="00282AC9">
        <w:rPr>
          <w:rFonts w:hint="cs"/>
          <w:sz w:val="27"/>
          <w:rtl/>
        </w:rPr>
        <w:t>ٌ</w:t>
      </w:r>
      <w:r w:rsidRPr="00282AC9">
        <w:rPr>
          <w:rFonts w:hint="cs"/>
          <w:sz w:val="27"/>
          <w:rtl/>
        </w:rPr>
        <w:t xml:space="preserve"> للبحث في </w:t>
      </w:r>
      <w:r w:rsidR="00DC6CB2" w:rsidRPr="00282AC9">
        <w:rPr>
          <w:rFonts w:hint="cs"/>
          <w:sz w:val="27"/>
          <w:rtl/>
        </w:rPr>
        <w:t>صلاحية</w:t>
      </w:r>
      <w:r w:rsidRPr="00282AC9">
        <w:rPr>
          <w:rFonts w:hint="cs"/>
          <w:sz w:val="27"/>
          <w:rtl/>
        </w:rPr>
        <w:t xml:space="preserve"> الفقهاء </w:t>
      </w:r>
      <w:r w:rsidR="00DC6CB2" w:rsidRPr="00282AC9">
        <w:rPr>
          <w:rFonts w:hint="cs"/>
          <w:sz w:val="27"/>
          <w:rtl/>
        </w:rPr>
        <w:t>ف</w:t>
      </w:r>
      <w:r w:rsidRPr="00282AC9">
        <w:rPr>
          <w:rFonts w:hint="cs"/>
          <w:sz w:val="27"/>
          <w:rtl/>
        </w:rPr>
        <w:t>سوف نحجم عن بيان الأحكام الولائي</w:t>
      </w:r>
      <w:r w:rsidR="00DC6CB2" w:rsidRPr="00282AC9">
        <w:rPr>
          <w:rFonts w:hint="cs"/>
          <w:sz w:val="27"/>
          <w:rtl/>
        </w:rPr>
        <w:t>ّ</w:t>
      </w:r>
      <w:r w:rsidRPr="00282AC9">
        <w:rPr>
          <w:rFonts w:hint="cs"/>
          <w:sz w:val="27"/>
          <w:rtl/>
        </w:rPr>
        <w:t>ة لرسول الله</w:t>
      </w:r>
      <w:r w:rsidR="009A2A04" w:rsidRPr="00282AC9">
        <w:rPr>
          <w:rFonts w:cs="Mosawi" w:hint="cs"/>
          <w:sz w:val="22"/>
          <w:szCs w:val="22"/>
          <w:rtl/>
        </w:rPr>
        <w:t>|</w:t>
      </w:r>
      <w:r w:rsidRPr="00282AC9">
        <w:rPr>
          <w:rFonts w:hint="cs"/>
          <w:sz w:val="27"/>
          <w:rtl/>
        </w:rPr>
        <w:t xml:space="preserve"> والأئم</w:t>
      </w:r>
      <w:r w:rsidR="00DC6CB2" w:rsidRPr="00282AC9">
        <w:rPr>
          <w:rFonts w:hint="cs"/>
          <w:sz w:val="27"/>
          <w:rtl/>
        </w:rPr>
        <w:t>ّ</w:t>
      </w:r>
      <w:r w:rsidRPr="00282AC9">
        <w:rPr>
          <w:rFonts w:hint="cs"/>
          <w:sz w:val="27"/>
          <w:rtl/>
        </w:rPr>
        <w:t>ة الأطهار</w:t>
      </w:r>
      <w:r w:rsidR="00876ECA" w:rsidRPr="00282AC9">
        <w:rPr>
          <w:rFonts w:cs="Mosawi" w:hint="cs"/>
          <w:sz w:val="22"/>
          <w:szCs w:val="22"/>
          <w:rtl/>
        </w:rPr>
        <w:t>^</w:t>
      </w:r>
      <w:r w:rsidR="00DC6CB2" w:rsidRPr="00282AC9">
        <w:rPr>
          <w:rFonts w:hint="cs"/>
          <w:sz w:val="27"/>
          <w:rtl/>
        </w:rPr>
        <w:t>؛</w:t>
      </w:r>
      <w:r w:rsidRPr="00282AC9">
        <w:rPr>
          <w:rFonts w:hint="cs"/>
          <w:sz w:val="27"/>
          <w:rtl/>
        </w:rPr>
        <w:t xml:space="preserve"> خشية الإطالة، ونكتفي بذكر بعض الأحكام الولا</w:t>
      </w:r>
      <w:r w:rsidR="00DC6CB2" w:rsidRPr="00282AC9">
        <w:rPr>
          <w:rFonts w:hint="cs"/>
          <w:sz w:val="27"/>
          <w:rtl/>
        </w:rPr>
        <w:t>ئ</w:t>
      </w:r>
      <w:r w:rsidRPr="00282AC9">
        <w:rPr>
          <w:rFonts w:hint="cs"/>
          <w:sz w:val="27"/>
          <w:rtl/>
        </w:rPr>
        <w:t>ية الصادرة عن</w:t>
      </w:r>
      <w:r w:rsidR="00DC6CB2" w:rsidRPr="00282AC9">
        <w:rPr>
          <w:rFonts w:hint="cs"/>
          <w:sz w:val="27"/>
          <w:rtl/>
        </w:rPr>
        <w:t xml:space="preserve"> الفقهاء</w:t>
      </w:r>
      <w:r w:rsidRPr="00282AC9">
        <w:rPr>
          <w:rFonts w:hint="cs"/>
          <w:sz w:val="27"/>
          <w:rtl/>
        </w:rPr>
        <w:t>:</w:t>
      </w:r>
    </w:p>
    <w:p w:rsidR="00075DE8" w:rsidRPr="00282AC9" w:rsidRDefault="00075DE8" w:rsidP="00075DE8">
      <w:pPr>
        <w:spacing w:line="440" w:lineRule="exact"/>
        <w:rPr>
          <w:sz w:val="27"/>
          <w:rtl/>
        </w:rPr>
      </w:pPr>
    </w:p>
    <w:p w:rsidR="00BC5E40" w:rsidRPr="00282AC9" w:rsidRDefault="00927527" w:rsidP="004D13FB">
      <w:pPr>
        <w:pStyle w:val="31"/>
        <w:rPr>
          <w:color w:val="auto"/>
          <w:rtl/>
        </w:rPr>
      </w:pPr>
      <w:r w:rsidRPr="00282AC9">
        <w:rPr>
          <w:rFonts w:hint="cs"/>
          <w:color w:val="auto"/>
          <w:rtl/>
        </w:rPr>
        <w:t xml:space="preserve">أـ </w:t>
      </w:r>
      <w:r w:rsidR="00BC5E40" w:rsidRPr="00282AC9">
        <w:rPr>
          <w:rFonts w:hint="cs"/>
          <w:color w:val="auto"/>
          <w:rtl/>
        </w:rPr>
        <w:t>نماذج من الأحكام الولائي</w:t>
      </w:r>
      <w:r w:rsidR="00DC6CB2" w:rsidRPr="00282AC9">
        <w:rPr>
          <w:rFonts w:hint="cs"/>
          <w:color w:val="auto"/>
          <w:rtl/>
        </w:rPr>
        <w:t>ّ</w:t>
      </w:r>
      <w:r w:rsidR="00BC5E40" w:rsidRPr="00282AC9">
        <w:rPr>
          <w:rFonts w:hint="cs"/>
          <w:color w:val="auto"/>
          <w:rtl/>
        </w:rPr>
        <w:t xml:space="preserve">ة </w:t>
      </w:r>
      <w:r w:rsidR="004D13FB" w:rsidRPr="00282AC9">
        <w:rPr>
          <w:rFonts w:hint="cs"/>
          <w:color w:val="auto"/>
          <w:rtl/>
        </w:rPr>
        <w:t>في العبادات</w:t>
      </w:r>
    </w:p>
    <w:p w:rsidR="00DC6CB2" w:rsidRPr="00282AC9" w:rsidRDefault="00BC5E40" w:rsidP="00DC6CB2">
      <w:pPr>
        <w:pStyle w:val="31"/>
        <w:rPr>
          <w:color w:val="auto"/>
          <w:rtl/>
        </w:rPr>
      </w:pPr>
      <w:r w:rsidRPr="00282AC9">
        <w:rPr>
          <w:rFonts w:hint="cs"/>
          <w:color w:val="auto"/>
          <w:rtl/>
        </w:rPr>
        <w:t>1ـ الحكم بثبوت الهلال</w:t>
      </w:r>
    </w:p>
    <w:p w:rsidR="00BC5E40" w:rsidRPr="00282AC9" w:rsidRDefault="00BC5E40" w:rsidP="00BC4D37">
      <w:pPr>
        <w:rPr>
          <w:sz w:val="27"/>
          <w:rtl/>
        </w:rPr>
      </w:pPr>
      <w:r w:rsidRPr="00282AC9">
        <w:rPr>
          <w:rFonts w:hint="cs"/>
          <w:sz w:val="27"/>
          <w:rtl/>
        </w:rPr>
        <w:t>على الرغم من أن هذه المسألة كانت ولا تزال موضع خلاف</w:t>
      </w:r>
      <w:r w:rsidR="00844BE3" w:rsidRPr="00282AC9">
        <w:rPr>
          <w:rFonts w:hint="cs"/>
          <w:sz w:val="27"/>
          <w:rtl/>
        </w:rPr>
        <w:t>ٍ</w:t>
      </w:r>
      <w:r w:rsidRPr="00282AC9">
        <w:rPr>
          <w:rFonts w:hint="cs"/>
          <w:sz w:val="27"/>
          <w:rtl/>
        </w:rPr>
        <w:t>، إلا</w:t>
      </w:r>
      <w:r w:rsidR="00844BE3" w:rsidRPr="00282AC9">
        <w:rPr>
          <w:rFonts w:hint="cs"/>
          <w:sz w:val="27"/>
          <w:rtl/>
        </w:rPr>
        <w:t>ّ</w:t>
      </w:r>
      <w:r w:rsidRPr="00282AC9">
        <w:rPr>
          <w:rFonts w:hint="cs"/>
          <w:sz w:val="27"/>
          <w:rtl/>
        </w:rPr>
        <w:t xml:space="preserve"> أن الكثير من الفقهاء قالوا بحج</w:t>
      </w:r>
      <w:r w:rsidR="00844BE3" w:rsidRPr="00282AC9">
        <w:rPr>
          <w:rFonts w:hint="cs"/>
          <w:sz w:val="27"/>
          <w:rtl/>
        </w:rPr>
        <w:t>ّ</w:t>
      </w:r>
      <w:r w:rsidRPr="00282AC9">
        <w:rPr>
          <w:rFonts w:hint="cs"/>
          <w:sz w:val="27"/>
          <w:rtl/>
        </w:rPr>
        <w:t>ية حكم الحاكم في رؤية وثبوت الهلال، ومن بينهم</w:t>
      </w:r>
      <w:r w:rsidR="00844BE3" w:rsidRPr="00282AC9">
        <w:rPr>
          <w:rFonts w:hint="cs"/>
          <w:sz w:val="27"/>
          <w:rtl/>
        </w:rPr>
        <w:t>:</w:t>
      </w:r>
      <w:r w:rsidRPr="00282AC9">
        <w:rPr>
          <w:rFonts w:hint="cs"/>
          <w:sz w:val="27"/>
          <w:rtl/>
        </w:rPr>
        <w:t xml:space="preserve"> الشيخ الصدوق، حيث قال: </w:t>
      </w:r>
      <w:r w:rsidRPr="00282AC9">
        <w:rPr>
          <w:rFonts w:hint="eastAsia"/>
          <w:sz w:val="24"/>
          <w:szCs w:val="24"/>
          <w:rtl/>
        </w:rPr>
        <w:t>«</w:t>
      </w:r>
      <w:r w:rsidRPr="00282AC9">
        <w:rPr>
          <w:sz w:val="27"/>
          <w:rtl/>
        </w:rPr>
        <w:t>م</w:t>
      </w:r>
      <w:r w:rsidR="00844BE3" w:rsidRPr="00282AC9">
        <w:rPr>
          <w:rFonts w:hint="cs"/>
          <w:sz w:val="27"/>
          <w:rtl/>
        </w:rPr>
        <w:t>َ</w:t>
      </w:r>
      <w:r w:rsidRPr="00282AC9">
        <w:rPr>
          <w:sz w:val="27"/>
          <w:rtl/>
        </w:rPr>
        <w:t>ن</w:t>
      </w:r>
      <w:r w:rsidR="00844BE3" w:rsidRPr="00282AC9">
        <w:rPr>
          <w:rFonts w:hint="cs"/>
          <w:sz w:val="27"/>
          <w:rtl/>
        </w:rPr>
        <w:t>ْ</w:t>
      </w:r>
      <w:r w:rsidRPr="00282AC9">
        <w:rPr>
          <w:sz w:val="27"/>
          <w:rtl/>
        </w:rPr>
        <w:t xml:space="preserve"> كان في بلد</w:t>
      </w:r>
      <w:r w:rsidR="00844BE3" w:rsidRPr="00282AC9">
        <w:rPr>
          <w:rFonts w:hint="cs"/>
          <w:sz w:val="27"/>
          <w:rtl/>
        </w:rPr>
        <w:t>ٍ</w:t>
      </w:r>
      <w:r w:rsidRPr="00282AC9">
        <w:rPr>
          <w:sz w:val="27"/>
          <w:rtl/>
        </w:rPr>
        <w:t xml:space="preserve"> فيه سلطان</w:t>
      </w:r>
      <w:r w:rsidR="00844BE3" w:rsidRPr="00282AC9">
        <w:rPr>
          <w:rFonts w:hint="cs"/>
          <w:sz w:val="27"/>
          <w:rtl/>
        </w:rPr>
        <w:t>ٌ</w:t>
      </w:r>
      <w:r w:rsidRPr="00282AC9">
        <w:rPr>
          <w:rFonts w:hint="cs"/>
          <w:sz w:val="27"/>
          <w:rtl/>
        </w:rPr>
        <w:t xml:space="preserve"> [الحاكم الإسلامي]،</w:t>
      </w:r>
      <w:r w:rsidRPr="00282AC9">
        <w:rPr>
          <w:sz w:val="27"/>
          <w:rtl/>
        </w:rPr>
        <w:t xml:space="preserve"> فالصوم معه والفطر معه</w:t>
      </w:r>
      <w:r w:rsidRPr="00282AC9">
        <w:rPr>
          <w:rFonts w:hint="cs"/>
          <w:sz w:val="27"/>
          <w:rtl/>
        </w:rPr>
        <w:t>؛</w:t>
      </w:r>
      <w:r w:rsidRPr="00282AC9">
        <w:rPr>
          <w:sz w:val="27"/>
          <w:rtl/>
        </w:rPr>
        <w:t xml:space="preserve"> ل</w:t>
      </w:r>
      <w:r w:rsidRPr="00282AC9">
        <w:rPr>
          <w:rFonts w:hint="cs"/>
          <w:sz w:val="27"/>
          <w:rtl/>
        </w:rPr>
        <w:t>أ</w:t>
      </w:r>
      <w:r w:rsidRPr="00282AC9">
        <w:rPr>
          <w:sz w:val="27"/>
          <w:rtl/>
        </w:rPr>
        <w:t>ن في خلافه دخولا</w:t>
      </w:r>
      <w:r w:rsidRPr="00282AC9">
        <w:rPr>
          <w:rFonts w:hint="cs"/>
          <w:sz w:val="27"/>
          <w:rtl/>
        </w:rPr>
        <w:t>ً</w:t>
      </w:r>
      <w:r w:rsidRPr="00282AC9">
        <w:rPr>
          <w:sz w:val="27"/>
          <w:rtl/>
        </w:rPr>
        <w:t xml:space="preserve"> في نهي الله عز</w:t>
      </w:r>
      <w:r w:rsidRPr="00282AC9">
        <w:rPr>
          <w:rFonts w:hint="cs"/>
          <w:sz w:val="27"/>
          <w:rtl/>
        </w:rPr>
        <w:t>ّ</w:t>
      </w:r>
      <w:r w:rsidR="00844BE3" w:rsidRPr="00282AC9">
        <w:rPr>
          <w:rFonts w:hint="cs"/>
          <w:sz w:val="27"/>
          <w:rtl/>
        </w:rPr>
        <w:t>َ</w:t>
      </w:r>
      <w:r w:rsidRPr="00282AC9">
        <w:rPr>
          <w:rFonts w:hint="cs"/>
          <w:sz w:val="27"/>
          <w:rtl/>
        </w:rPr>
        <w:t xml:space="preserve"> </w:t>
      </w:r>
      <w:r w:rsidRPr="00282AC9">
        <w:rPr>
          <w:sz w:val="27"/>
          <w:rtl/>
        </w:rPr>
        <w:t>وجل</w:t>
      </w:r>
      <w:r w:rsidR="00844BE3"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53"/>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قال صاحب كتاب جواهر الكلام [ما مضمونه]</w:t>
      </w:r>
      <w:r w:rsidRPr="00282AC9">
        <w:rPr>
          <w:sz w:val="27"/>
          <w:vertAlign w:val="superscript"/>
          <w:rtl/>
        </w:rPr>
        <w:t>(</w:t>
      </w:r>
      <w:r w:rsidRPr="00282AC9">
        <w:rPr>
          <w:rStyle w:val="af9"/>
          <w:sz w:val="27"/>
          <w:rtl/>
        </w:rPr>
        <w:endnoteReference w:id="54"/>
      </w:r>
      <w:r w:rsidRPr="00282AC9">
        <w:rPr>
          <w:sz w:val="27"/>
          <w:vertAlign w:val="superscript"/>
          <w:rtl/>
        </w:rPr>
        <w:t>)</w:t>
      </w:r>
      <w:r w:rsidRPr="00282AC9">
        <w:rPr>
          <w:rFonts w:hint="cs"/>
          <w:sz w:val="27"/>
          <w:rtl/>
        </w:rPr>
        <w:t xml:space="preserve">: </w:t>
      </w:r>
      <w:r w:rsidRPr="00282AC9">
        <w:rPr>
          <w:rFonts w:hint="eastAsia"/>
          <w:sz w:val="24"/>
          <w:szCs w:val="24"/>
          <w:rtl/>
        </w:rPr>
        <w:t>«</w:t>
      </w:r>
      <w:r w:rsidRPr="00282AC9">
        <w:rPr>
          <w:rFonts w:hint="cs"/>
          <w:sz w:val="27"/>
          <w:rtl/>
        </w:rPr>
        <w:t>إن أطلاق أدل</w:t>
      </w:r>
      <w:r w:rsidR="00844BE3" w:rsidRPr="00282AC9">
        <w:rPr>
          <w:rFonts w:hint="cs"/>
          <w:sz w:val="27"/>
          <w:rtl/>
        </w:rPr>
        <w:t>ّ</w:t>
      </w:r>
      <w:r w:rsidRPr="00282AC9">
        <w:rPr>
          <w:rFonts w:hint="cs"/>
          <w:sz w:val="27"/>
          <w:rtl/>
        </w:rPr>
        <w:t>ة نفوذ حكم الحاكم، وإطلاق الأدلة الدالة على أن الردّ على الحاكم ردّ</w:t>
      </w:r>
      <w:r w:rsidR="00844BE3" w:rsidRPr="00282AC9">
        <w:rPr>
          <w:rFonts w:hint="cs"/>
          <w:sz w:val="27"/>
          <w:rtl/>
        </w:rPr>
        <w:t>ٌ</w:t>
      </w:r>
      <w:r w:rsidRPr="00282AC9">
        <w:rPr>
          <w:rFonts w:hint="cs"/>
          <w:sz w:val="27"/>
          <w:rtl/>
        </w:rPr>
        <w:t xml:space="preserve"> على الأئمة</w:t>
      </w:r>
      <w:r w:rsidR="00876ECA" w:rsidRPr="00282AC9">
        <w:rPr>
          <w:rFonts w:cs="Mosawi" w:hint="cs"/>
          <w:sz w:val="22"/>
          <w:szCs w:val="22"/>
          <w:rtl/>
        </w:rPr>
        <w:t>^</w:t>
      </w:r>
      <w:r w:rsidRPr="00282AC9">
        <w:rPr>
          <w:rFonts w:hint="cs"/>
          <w:sz w:val="27"/>
          <w:rtl/>
        </w:rPr>
        <w:t>، يشمل حكم الحاكم في رؤية وثبوت الهلال</w:t>
      </w:r>
      <w:r w:rsidRPr="00282AC9">
        <w:rPr>
          <w:rFonts w:hint="eastAsia"/>
          <w:sz w:val="24"/>
          <w:szCs w:val="24"/>
          <w:rtl/>
        </w:rPr>
        <w:t>»</w:t>
      </w:r>
      <w:r w:rsidRPr="00282AC9">
        <w:rPr>
          <w:sz w:val="27"/>
          <w:vertAlign w:val="superscript"/>
          <w:rtl/>
        </w:rPr>
        <w:t>(</w:t>
      </w:r>
      <w:r w:rsidRPr="00282AC9">
        <w:rPr>
          <w:rStyle w:val="af9"/>
          <w:sz w:val="27"/>
          <w:rtl/>
        </w:rPr>
        <w:endnoteReference w:id="55"/>
      </w:r>
      <w:r w:rsidRPr="00282AC9">
        <w:rPr>
          <w:sz w:val="27"/>
          <w:vertAlign w:val="superscript"/>
          <w:rtl/>
        </w:rPr>
        <w:t>)</w:t>
      </w:r>
      <w:r w:rsidRPr="00282AC9">
        <w:rPr>
          <w:rFonts w:hint="cs"/>
          <w:sz w:val="27"/>
          <w:rtl/>
        </w:rPr>
        <w:t>.</w:t>
      </w:r>
    </w:p>
    <w:p w:rsidR="00844BE3" w:rsidRPr="00282AC9" w:rsidRDefault="00BC5E40" w:rsidP="00BC4D37">
      <w:pPr>
        <w:rPr>
          <w:sz w:val="27"/>
          <w:rtl/>
        </w:rPr>
      </w:pPr>
      <w:r w:rsidRPr="00282AC9">
        <w:rPr>
          <w:rFonts w:hint="cs"/>
          <w:sz w:val="27"/>
          <w:rtl/>
        </w:rPr>
        <w:t>وقال السيد اليزدي [ما مضمونه]</w:t>
      </w:r>
      <w:r w:rsidRPr="00282AC9">
        <w:rPr>
          <w:sz w:val="27"/>
          <w:vertAlign w:val="superscript"/>
          <w:rtl/>
        </w:rPr>
        <w:t>(</w:t>
      </w:r>
      <w:r w:rsidRPr="00282AC9">
        <w:rPr>
          <w:rStyle w:val="af9"/>
          <w:sz w:val="27"/>
          <w:rtl/>
        </w:rPr>
        <w:endnoteReference w:id="56"/>
      </w:r>
      <w:r w:rsidRPr="00282AC9">
        <w:rPr>
          <w:sz w:val="27"/>
          <w:vertAlign w:val="superscript"/>
          <w:rtl/>
        </w:rPr>
        <w:t>)</w:t>
      </w:r>
      <w:r w:rsidRPr="00282AC9">
        <w:rPr>
          <w:rFonts w:hint="cs"/>
          <w:sz w:val="27"/>
          <w:rtl/>
        </w:rPr>
        <w:t xml:space="preserve">: </w:t>
      </w:r>
      <w:r w:rsidRPr="00282AC9">
        <w:rPr>
          <w:rFonts w:hint="eastAsia"/>
          <w:sz w:val="24"/>
          <w:szCs w:val="24"/>
          <w:rtl/>
        </w:rPr>
        <w:t>«</w:t>
      </w:r>
      <w:r w:rsidRPr="00282AC9">
        <w:rPr>
          <w:rFonts w:hint="cs"/>
          <w:sz w:val="27"/>
          <w:rtl/>
        </w:rPr>
        <w:t>مع حكم الحاكم ـ وعدم إحراز خطأ حكمه ومستنده ـ تثبت رؤية الهلال</w:t>
      </w:r>
      <w:r w:rsidRPr="00282AC9">
        <w:rPr>
          <w:rFonts w:hint="eastAsia"/>
          <w:sz w:val="24"/>
          <w:szCs w:val="24"/>
          <w:rtl/>
        </w:rPr>
        <w:t>»</w:t>
      </w:r>
      <w:r w:rsidRPr="00282AC9">
        <w:rPr>
          <w:sz w:val="27"/>
          <w:vertAlign w:val="superscript"/>
          <w:rtl/>
        </w:rPr>
        <w:t>(</w:t>
      </w:r>
      <w:r w:rsidRPr="00282AC9">
        <w:rPr>
          <w:rStyle w:val="af9"/>
          <w:sz w:val="27"/>
          <w:rtl/>
        </w:rPr>
        <w:endnoteReference w:id="57"/>
      </w:r>
      <w:r w:rsidRPr="00282AC9">
        <w:rPr>
          <w:sz w:val="27"/>
          <w:vertAlign w:val="superscript"/>
          <w:rtl/>
        </w:rPr>
        <w:t>)</w:t>
      </w:r>
      <w:r w:rsidR="00844BE3" w:rsidRPr="00282AC9">
        <w:rPr>
          <w:rFonts w:hint="cs"/>
          <w:sz w:val="27"/>
          <w:rtl/>
        </w:rPr>
        <w:t>.</w:t>
      </w:r>
    </w:p>
    <w:p w:rsidR="00844BE3" w:rsidRPr="00282AC9" w:rsidRDefault="00BC5E40" w:rsidP="00BC4D37">
      <w:pPr>
        <w:rPr>
          <w:sz w:val="27"/>
          <w:rtl/>
        </w:rPr>
      </w:pPr>
      <w:r w:rsidRPr="00282AC9">
        <w:rPr>
          <w:rFonts w:hint="cs"/>
          <w:sz w:val="27"/>
          <w:rtl/>
        </w:rPr>
        <w:t>ولم ينتقد هذه المسألة التي أثارها السيد اليزدي من بين الأحد عشر عالماً من أصحاب الحواشي على العروة الوثقى سوى واحد</w:t>
      </w:r>
      <w:r w:rsidR="00844BE3" w:rsidRPr="00282AC9">
        <w:rPr>
          <w:rFonts w:hint="cs"/>
          <w:sz w:val="27"/>
          <w:rtl/>
        </w:rPr>
        <w:t>ٍ</w:t>
      </w:r>
      <w:r w:rsidRPr="00282AC9">
        <w:rPr>
          <w:rFonts w:hint="cs"/>
          <w:sz w:val="27"/>
          <w:rtl/>
        </w:rPr>
        <w:t xml:space="preserve"> فقط.</w:t>
      </w:r>
    </w:p>
    <w:p w:rsidR="00BC5E40" w:rsidRPr="00282AC9" w:rsidRDefault="00BC5E40" w:rsidP="00BC4D37">
      <w:pPr>
        <w:rPr>
          <w:sz w:val="27"/>
          <w:rtl/>
        </w:rPr>
      </w:pPr>
      <w:r w:rsidRPr="00282AC9">
        <w:rPr>
          <w:rFonts w:hint="cs"/>
          <w:sz w:val="27"/>
          <w:rtl/>
        </w:rPr>
        <w:t xml:space="preserve">ومن هنا فإن حكم الحاكم في ثبوت الهلال إنما يكون معتبراً ونافذاً من جهة </w:t>
      </w:r>
      <w:r w:rsidRPr="00282AC9">
        <w:rPr>
          <w:rFonts w:hint="cs"/>
          <w:sz w:val="27"/>
          <w:rtl/>
        </w:rPr>
        <w:lastRenderedPageBreak/>
        <w:t>أنه حكم</w:t>
      </w:r>
      <w:r w:rsidR="00844BE3" w:rsidRPr="00282AC9">
        <w:rPr>
          <w:rFonts w:hint="cs"/>
          <w:sz w:val="27"/>
          <w:rtl/>
        </w:rPr>
        <w:t>ٌ</w:t>
      </w:r>
      <w:r w:rsidRPr="00282AC9">
        <w:rPr>
          <w:rFonts w:hint="cs"/>
          <w:sz w:val="27"/>
          <w:rtl/>
        </w:rPr>
        <w:t xml:space="preserve"> صادر</w:t>
      </w:r>
      <w:r w:rsidR="00844BE3" w:rsidRPr="00282AC9">
        <w:rPr>
          <w:rFonts w:hint="cs"/>
          <w:sz w:val="27"/>
          <w:rtl/>
        </w:rPr>
        <w:t>ٌ</w:t>
      </w:r>
      <w:r w:rsidRPr="00282AC9">
        <w:rPr>
          <w:rFonts w:hint="cs"/>
          <w:sz w:val="27"/>
          <w:rtl/>
        </w:rPr>
        <w:t xml:space="preserve"> عن الحاكم الإسلامي.</w:t>
      </w:r>
    </w:p>
    <w:p w:rsidR="00844BE3" w:rsidRPr="00282AC9" w:rsidRDefault="00844BE3" w:rsidP="00BF1956">
      <w:pPr>
        <w:spacing w:line="340" w:lineRule="exact"/>
        <w:rPr>
          <w:sz w:val="27"/>
          <w:rtl/>
        </w:rPr>
      </w:pPr>
    </w:p>
    <w:p w:rsidR="00844BE3" w:rsidRPr="00282AC9" w:rsidRDefault="00BC5E40" w:rsidP="00844BE3">
      <w:pPr>
        <w:pStyle w:val="31"/>
        <w:rPr>
          <w:color w:val="auto"/>
          <w:rtl/>
        </w:rPr>
      </w:pPr>
      <w:r w:rsidRPr="00282AC9">
        <w:rPr>
          <w:rFonts w:hint="cs"/>
          <w:color w:val="auto"/>
          <w:rtl/>
        </w:rPr>
        <w:t>2ـ حكم أمير الحاج</w:t>
      </w:r>
      <w:r w:rsidR="00844BE3" w:rsidRPr="00282AC9">
        <w:rPr>
          <w:rFonts w:hint="cs"/>
          <w:color w:val="auto"/>
          <w:rtl/>
        </w:rPr>
        <w:t>ّ</w:t>
      </w:r>
      <w:r w:rsidRPr="00282AC9">
        <w:rPr>
          <w:rFonts w:hint="cs"/>
          <w:color w:val="auto"/>
          <w:rtl/>
        </w:rPr>
        <w:t xml:space="preserve"> في</w:t>
      </w:r>
      <w:r w:rsidR="00844BE3" w:rsidRPr="00282AC9">
        <w:rPr>
          <w:rFonts w:hint="cs"/>
          <w:color w:val="auto"/>
          <w:rtl/>
        </w:rPr>
        <w:t xml:space="preserve"> </w:t>
      </w:r>
      <w:r w:rsidRPr="00282AC9">
        <w:rPr>
          <w:rFonts w:hint="cs"/>
          <w:color w:val="auto"/>
          <w:rtl/>
        </w:rPr>
        <w:t>ما يتعل</w:t>
      </w:r>
      <w:r w:rsidR="00844BE3" w:rsidRPr="00282AC9">
        <w:rPr>
          <w:rFonts w:hint="cs"/>
          <w:color w:val="auto"/>
          <w:rtl/>
        </w:rPr>
        <w:t>َّ</w:t>
      </w:r>
      <w:r w:rsidRPr="00282AC9">
        <w:rPr>
          <w:rFonts w:hint="cs"/>
          <w:color w:val="auto"/>
          <w:rtl/>
        </w:rPr>
        <w:t>ق بيوم</w:t>
      </w:r>
      <w:r w:rsidR="00927527" w:rsidRPr="00282AC9">
        <w:rPr>
          <w:rFonts w:hint="cs"/>
          <w:color w:val="auto"/>
          <w:rtl/>
        </w:rPr>
        <w:t>َيْ</w:t>
      </w:r>
      <w:r w:rsidRPr="00282AC9">
        <w:rPr>
          <w:rFonts w:hint="cs"/>
          <w:color w:val="auto"/>
          <w:rtl/>
        </w:rPr>
        <w:t xml:space="preserve"> عرفة وعيد الأضحى</w:t>
      </w:r>
    </w:p>
    <w:p w:rsidR="00BC5E40" w:rsidRPr="00282AC9" w:rsidRDefault="00BC5E40" w:rsidP="00075DE8">
      <w:pPr>
        <w:spacing w:line="390" w:lineRule="exact"/>
        <w:rPr>
          <w:sz w:val="27"/>
          <w:rtl/>
        </w:rPr>
      </w:pPr>
      <w:r w:rsidRPr="00282AC9">
        <w:rPr>
          <w:rFonts w:hint="cs"/>
          <w:sz w:val="27"/>
          <w:rtl/>
        </w:rPr>
        <w:t>إن من بين مناصب الحاكم الإسلامي</w:t>
      </w:r>
      <w:r w:rsidR="00844BE3" w:rsidRPr="00282AC9">
        <w:rPr>
          <w:rFonts w:hint="cs"/>
          <w:sz w:val="27"/>
          <w:rtl/>
        </w:rPr>
        <w:t>ّ</w:t>
      </w:r>
      <w:r w:rsidRPr="00282AC9">
        <w:rPr>
          <w:rFonts w:hint="cs"/>
          <w:sz w:val="27"/>
          <w:rtl/>
        </w:rPr>
        <w:t xml:space="preserve"> والقيام بإدارة شؤون حجاج بيت الله الحرام منصب (أمير الحاج</w:t>
      </w:r>
      <w:r w:rsidR="00844BE3" w:rsidRPr="00282AC9">
        <w:rPr>
          <w:rFonts w:hint="cs"/>
          <w:sz w:val="27"/>
          <w:rtl/>
        </w:rPr>
        <w:t>ّ</w:t>
      </w:r>
      <w:r w:rsidRPr="00282AC9">
        <w:rPr>
          <w:rFonts w:hint="cs"/>
          <w:sz w:val="27"/>
          <w:rtl/>
        </w:rPr>
        <w:t>). وقد صرّ</w:t>
      </w:r>
      <w:r w:rsidR="00844BE3" w:rsidRPr="00282AC9">
        <w:rPr>
          <w:rFonts w:hint="cs"/>
          <w:sz w:val="27"/>
          <w:rtl/>
        </w:rPr>
        <w:t>َ</w:t>
      </w:r>
      <w:r w:rsidRPr="00282AC9">
        <w:rPr>
          <w:rFonts w:hint="cs"/>
          <w:sz w:val="27"/>
          <w:rtl/>
        </w:rPr>
        <w:t xml:space="preserve">ح الكثير من الفقهاء بهذه المسألة، ومن بينهم </w:t>
      </w:r>
      <w:r w:rsidR="00844BE3" w:rsidRPr="00282AC9">
        <w:rPr>
          <w:sz w:val="27"/>
          <w:rtl/>
        </w:rPr>
        <w:t>شيخ الطائفة</w:t>
      </w:r>
      <w:r w:rsidR="00844BE3" w:rsidRPr="00282AC9">
        <w:rPr>
          <w:rFonts w:hint="cs"/>
          <w:sz w:val="27"/>
          <w:rtl/>
        </w:rPr>
        <w:t xml:space="preserve"> </w:t>
      </w:r>
      <w:r w:rsidRPr="00282AC9">
        <w:rPr>
          <w:rFonts w:hint="cs"/>
          <w:sz w:val="27"/>
          <w:rtl/>
        </w:rPr>
        <w:t xml:space="preserve">[الشيخ الطوسي]؛ إذ يقول: </w:t>
      </w:r>
      <w:r w:rsidRPr="00282AC9">
        <w:rPr>
          <w:rFonts w:hint="eastAsia"/>
          <w:sz w:val="24"/>
          <w:szCs w:val="24"/>
          <w:rtl/>
        </w:rPr>
        <w:t>«</w:t>
      </w:r>
      <w:r w:rsidRPr="00282AC9">
        <w:rPr>
          <w:rFonts w:hint="cs"/>
          <w:sz w:val="27"/>
          <w:rtl/>
        </w:rPr>
        <w:t>ينبغي على الإمام (أمير الحاج</w:t>
      </w:r>
      <w:r w:rsidR="00844BE3" w:rsidRPr="00282AC9">
        <w:rPr>
          <w:rFonts w:hint="cs"/>
          <w:sz w:val="27"/>
          <w:rtl/>
        </w:rPr>
        <w:t>ّ</w:t>
      </w:r>
      <w:r w:rsidRPr="00282AC9">
        <w:rPr>
          <w:rFonts w:hint="cs"/>
          <w:sz w:val="27"/>
          <w:rtl/>
        </w:rPr>
        <w:t>) أن يصل</w:t>
      </w:r>
      <w:r w:rsidR="00844BE3" w:rsidRPr="00282AC9">
        <w:rPr>
          <w:rFonts w:hint="cs"/>
          <w:sz w:val="27"/>
          <w:rtl/>
        </w:rPr>
        <w:t>ّ</w:t>
      </w:r>
      <w:r w:rsidRPr="00282AC9">
        <w:rPr>
          <w:rFonts w:hint="cs"/>
          <w:sz w:val="27"/>
          <w:rtl/>
        </w:rPr>
        <w:t>ي صلاة الظهر والعصر في يوم التروية [اليوم الثامن من ذي الحجة] في م</w:t>
      </w:r>
      <w:r w:rsidR="00844BE3" w:rsidRPr="00282AC9">
        <w:rPr>
          <w:rFonts w:hint="cs"/>
          <w:sz w:val="27"/>
          <w:rtl/>
        </w:rPr>
        <w:t>ِ</w:t>
      </w:r>
      <w:r w:rsidRPr="00282AC9">
        <w:rPr>
          <w:rFonts w:hint="cs"/>
          <w:sz w:val="27"/>
          <w:rtl/>
        </w:rPr>
        <w:t>ن</w:t>
      </w:r>
      <w:r w:rsidR="00844BE3" w:rsidRPr="00282AC9">
        <w:rPr>
          <w:rFonts w:hint="cs"/>
          <w:sz w:val="27"/>
          <w:rtl/>
        </w:rPr>
        <w:t>َ</w:t>
      </w:r>
      <w:r w:rsidRPr="00282AC9">
        <w:rPr>
          <w:rFonts w:hint="cs"/>
          <w:sz w:val="27"/>
          <w:rtl/>
        </w:rPr>
        <w:t>ى</w:t>
      </w:r>
      <w:r w:rsidRPr="00282AC9">
        <w:rPr>
          <w:rFonts w:hint="eastAsia"/>
          <w:sz w:val="24"/>
          <w:szCs w:val="24"/>
          <w:rtl/>
        </w:rPr>
        <w:t>»</w:t>
      </w:r>
      <w:r w:rsidRPr="00282AC9">
        <w:rPr>
          <w:sz w:val="27"/>
          <w:vertAlign w:val="superscript"/>
          <w:rtl/>
        </w:rPr>
        <w:t>(</w:t>
      </w:r>
      <w:r w:rsidRPr="00282AC9">
        <w:rPr>
          <w:rStyle w:val="af9"/>
          <w:sz w:val="27"/>
          <w:rtl/>
        </w:rPr>
        <w:endnoteReference w:id="58"/>
      </w:r>
      <w:r w:rsidRPr="00282AC9">
        <w:rPr>
          <w:sz w:val="27"/>
          <w:vertAlign w:val="superscript"/>
          <w:rtl/>
        </w:rPr>
        <w:t>)</w:t>
      </w:r>
      <w:r w:rsidRPr="00282AC9">
        <w:rPr>
          <w:rFonts w:hint="cs"/>
          <w:sz w:val="27"/>
          <w:rtl/>
        </w:rPr>
        <w:t>.</w:t>
      </w:r>
    </w:p>
    <w:p w:rsidR="00BC5E40" w:rsidRPr="00282AC9" w:rsidRDefault="00BC5E40" w:rsidP="00075DE8">
      <w:pPr>
        <w:spacing w:line="390" w:lineRule="exact"/>
        <w:rPr>
          <w:sz w:val="27"/>
          <w:rtl/>
        </w:rPr>
      </w:pPr>
      <w:r w:rsidRPr="00282AC9">
        <w:rPr>
          <w:rFonts w:hint="cs"/>
          <w:sz w:val="27"/>
          <w:rtl/>
        </w:rPr>
        <w:t>وقال ابن إدريس [ما مضمونه]</w:t>
      </w:r>
      <w:r w:rsidRPr="00282AC9">
        <w:rPr>
          <w:sz w:val="27"/>
          <w:vertAlign w:val="superscript"/>
          <w:rtl/>
        </w:rPr>
        <w:t>(</w:t>
      </w:r>
      <w:r w:rsidRPr="00282AC9">
        <w:rPr>
          <w:rStyle w:val="af9"/>
          <w:sz w:val="27"/>
          <w:rtl/>
        </w:rPr>
        <w:endnoteReference w:id="59"/>
      </w:r>
      <w:r w:rsidRPr="00282AC9">
        <w:rPr>
          <w:sz w:val="27"/>
          <w:vertAlign w:val="superscript"/>
          <w:rtl/>
        </w:rPr>
        <w:t>)</w:t>
      </w:r>
      <w:r w:rsidRPr="00282AC9">
        <w:rPr>
          <w:rFonts w:hint="cs"/>
          <w:sz w:val="27"/>
          <w:rtl/>
        </w:rPr>
        <w:t xml:space="preserve">: </w:t>
      </w:r>
      <w:r w:rsidRPr="00282AC9">
        <w:rPr>
          <w:rFonts w:hint="eastAsia"/>
          <w:sz w:val="24"/>
          <w:szCs w:val="24"/>
          <w:rtl/>
        </w:rPr>
        <w:t>«</w:t>
      </w:r>
      <w:r w:rsidRPr="00282AC9">
        <w:rPr>
          <w:rFonts w:hint="cs"/>
          <w:sz w:val="27"/>
          <w:rtl/>
        </w:rPr>
        <w:t>يستحب</w:t>
      </w:r>
      <w:r w:rsidR="00844BE3" w:rsidRPr="00282AC9">
        <w:rPr>
          <w:rFonts w:hint="cs"/>
          <w:sz w:val="27"/>
          <w:rtl/>
        </w:rPr>
        <w:t>ّ</w:t>
      </w:r>
      <w:r w:rsidRPr="00282AC9">
        <w:rPr>
          <w:rFonts w:hint="cs"/>
          <w:sz w:val="27"/>
          <w:rtl/>
        </w:rPr>
        <w:t xml:space="preserve"> للإمام [أمير الحاج</w:t>
      </w:r>
      <w:r w:rsidR="00844BE3" w:rsidRPr="00282AC9">
        <w:rPr>
          <w:rFonts w:hint="cs"/>
          <w:sz w:val="27"/>
          <w:rtl/>
        </w:rPr>
        <w:t>ّ</w:t>
      </w:r>
      <w:r w:rsidRPr="00282AC9">
        <w:rPr>
          <w:rFonts w:hint="cs"/>
          <w:sz w:val="27"/>
          <w:rtl/>
        </w:rPr>
        <w:t>] في يوم عرفة أن يخرج بعد طلوع الشمس من م</w:t>
      </w:r>
      <w:r w:rsidR="00844BE3" w:rsidRPr="00282AC9">
        <w:rPr>
          <w:rFonts w:hint="cs"/>
          <w:sz w:val="27"/>
          <w:rtl/>
        </w:rPr>
        <w:t>ِ</w:t>
      </w:r>
      <w:r w:rsidRPr="00282AC9">
        <w:rPr>
          <w:rFonts w:hint="cs"/>
          <w:sz w:val="27"/>
          <w:rtl/>
        </w:rPr>
        <w:t>ن</w:t>
      </w:r>
      <w:r w:rsidR="00844BE3" w:rsidRPr="00282AC9">
        <w:rPr>
          <w:rFonts w:hint="cs"/>
          <w:sz w:val="27"/>
          <w:rtl/>
        </w:rPr>
        <w:t>َ</w:t>
      </w:r>
      <w:r w:rsidRPr="00282AC9">
        <w:rPr>
          <w:rFonts w:hint="cs"/>
          <w:sz w:val="27"/>
          <w:rtl/>
        </w:rPr>
        <w:t>ى إلى عرفة</w:t>
      </w:r>
      <w:r w:rsidRPr="00282AC9">
        <w:rPr>
          <w:rFonts w:hint="eastAsia"/>
          <w:sz w:val="24"/>
          <w:szCs w:val="24"/>
          <w:rtl/>
        </w:rPr>
        <w:t>»</w:t>
      </w:r>
      <w:r w:rsidRPr="00282AC9">
        <w:rPr>
          <w:sz w:val="27"/>
          <w:vertAlign w:val="superscript"/>
          <w:rtl/>
        </w:rPr>
        <w:t>(</w:t>
      </w:r>
      <w:r w:rsidRPr="00282AC9">
        <w:rPr>
          <w:rStyle w:val="af9"/>
          <w:sz w:val="27"/>
          <w:rtl/>
        </w:rPr>
        <w:endnoteReference w:id="60"/>
      </w:r>
      <w:r w:rsidRPr="00282AC9">
        <w:rPr>
          <w:sz w:val="27"/>
          <w:vertAlign w:val="superscript"/>
          <w:rtl/>
        </w:rPr>
        <w:t>)</w:t>
      </w:r>
      <w:r w:rsidRPr="00282AC9">
        <w:rPr>
          <w:rFonts w:hint="cs"/>
          <w:sz w:val="27"/>
          <w:rtl/>
        </w:rPr>
        <w:t>.</w:t>
      </w:r>
    </w:p>
    <w:p w:rsidR="00BC5E40" w:rsidRPr="00282AC9" w:rsidRDefault="00BC5E40" w:rsidP="00075DE8">
      <w:pPr>
        <w:spacing w:line="390" w:lineRule="exact"/>
        <w:rPr>
          <w:sz w:val="27"/>
          <w:rtl/>
        </w:rPr>
      </w:pPr>
      <w:r w:rsidRPr="00282AC9">
        <w:rPr>
          <w:rFonts w:hint="cs"/>
          <w:sz w:val="27"/>
          <w:rtl/>
        </w:rPr>
        <w:t>وقال المحق</w:t>
      </w:r>
      <w:r w:rsidR="00844BE3" w:rsidRPr="00282AC9">
        <w:rPr>
          <w:rFonts w:hint="cs"/>
          <w:sz w:val="27"/>
          <w:rtl/>
        </w:rPr>
        <w:t>ِّ</w:t>
      </w:r>
      <w:r w:rsidRPr="00282AC9">
        <w:rPr>
          <w:rFonts w:hint="cs"/>
          <w:sz w:val="27"/>
          <w:rtl/>
        </w:rPr>
        <w:t>ق الحل</w:t>
      </w:r>
      <w:r w:rsidR="00844BE3" w:rsidRPr="00282AC9">
        <w:rPr>
          <w:rFonts w:hint="cs"/>
          <w:sz w:val="27"/>
          <w:rtl/>
        </w:rPr>
        <w:t>ّ</w:t>
      </w:r>
      <w:r w:rsidRPr="00282AC9">
        <w:rPr>
          <w:rFonts w:hint="cs"/>
          <w:sz w:val="27"/>
          <w:rtl/>
        </w:rPr>
        <w:t xml:space="preserve">ي </w:t>
      </w:r>
      <w:r w:rsidRPr="00282AC9">
        <w:rPr>
          <w:sz w:val="27"/>
          <w:rtl/>
        </w:rPr>
        <w:t>[ما مضمونه]</w:t>
      </w:r>
      <w:r w:rsidRPr="00282AC9">
        <w:rPr>
          <w:rFonts w:hint="cs"/>
          <w:sz w:val="27"/>
          <w:rtl/>
        </w:rPr>
        <w:t xml:space="preserve">: </w:t>
      </w:r>
      <w:r w:rsidRPr="00282AC9">
        <w:rPr>
          <w:rFonts w:hint="eastAsia"/>
          <w:sz w:val="24"/>
          <w:szCs w:val="24"/>
          <w:rtl/>
        </w:rPr>
        <w:t>«</w:t>
      </w:r>
      <w:r w:rsidRPr="00282AC9">
        <w:rPr>
          <w:rFonts w:hint="cs"/>
          <w:sz w:val="27"/>
          <w:rtl/>
        </w:rPr>
        <w:t>في الخروج من مك</w:t>
      </w:r>
      <w:r w:rsidR="00844BE3" w:rsidRPr="00282AC9">
        <w:rPr>
          <w:rFonts w:hint="cs"/>
          <w:sz w:val="27"/>
          <w:rtl/>
        </w:rPr>
        <w:t>ّ</w:t>
      </w:r>
      <w:r w:rsidRPr="00282AC9">
        <w:rPr>
          <w:rFonts w:hint="cs"/>
          <w:sz w:val="27"/>
          <w:rtl/>
        </w:rPr>
        <w:t>ة يسبق الإمام [أمير الحاج] الآخرين؛ ليقيم صلاة الظهر والعصر في م</w:t>
      </w:r>
      <w:r w:rsidR="00844BE3" w:rsidRPr="00282AC9">
        <w:rPr>
          <w:rFonts w:hint="cs"/>
          <w:sz w:val="27"/>
          <w:rtl/>
        </w:rPr>
        <w:t>ِ</w:t>
      </w:r>
      <w:r w:rsidRPr="00282AC9">
        <w:rPr>
          <w:rFonts w:hint="cs"/>
          <w:sz w:val="27"/>
          <w:rtl/>
        </w:rPr>
        <w:t>ن</w:t>
      </w:r>
      <w:r w:rsidR="00844BE3" w:rsidRPr="00282AC9">
        <w:rPr>
          <w:rFonts w:hint="cs"/>
          <w:sz w:val="27"/>
          <w:rtl/>
        </w:rPr>
        <w:t>َ</w:t>
      </w:r>
      <w:r w:rsidRPr="00282AC9">
        <w:rPr>
          <w:rFonts w:hint="cs"/>
          <w:sz w:val="27"/>
          <w:rtl/>
        </w:rPr>
        <w:t>ى</w:t>
      </w:r>
      <w:r w:rsidRPr="00282AC9">
        <w:rPr>
          <w:rFonts w:hint="eastAsia"/>
          <w:sz w:val="24"/>
          <w:szCs w:val="24"/>
          <w:rtl/>
        </w:rPr>
        <w:t>»</w:t>
      </w:r>
      <w:r w:rsidRPr="00282AC9">
        <w:rPr>
          <w:sz w:val="27"/>
          <w:vertAlign w:val="superscript"/>
          <w:rtl/>
        </w:rPr>
        <w:t>(</w:t>
      </w:r>
      <w:r w:rsidRPr="00282AC9">
        <w:rPr>
          <w:rStyle w:val="af9"/>
          <w:sz w:val="27"/>
          <w:rtl/>
        </w:rPr>
        <w:endnoteReference w:id="61"/>
      </w:r>
      <w:r w:rsidRPr="00282AC9">
        <w:rPr>
          <w:sz w:val="27"/>
          <w:vertAlign w:val="superscript"/>
          <w:rtl/>
        </w:rPr>
        <w:t>)</w:t>
      </w:r>
      <w:r w:rsidRPr="00282AC9">
        <w:rPr>
          <w:rFonts w:hint="cs"/>
          <w:sz w:val="27"/>
          <w:rtl/>
        </w:rPr>
        <w:t>.</w:t>
      </w:r>
    </w:p>
    <w:p w:rsidR="00BC5E40" w:rsidRPr="00282AC9" w:rsidRDefault="00BC5E40" w:rsidP="00075DE8">
      <w:pPr>
        <w:spacing w:line="390" w:lineRule="exact"/>
        <w:rPr>
          <w:sz w:val="27"/>
          <w:rtl/>
        </w:rPr>
      </w:pPr>
      <w:r w:rsidRPr="00282AC9">
        <w:rPr>
          <w:rFonts w:hint="cs"/>
          <w:sz w:val="27"/>
          <w:rtl/>
        </w:rPr>
        <w:t>وقا</w:t>
      </w:r>
      <w:r w:rsidR="00844BE3" w:rsidRPr="00282AC9">
        <w:rPr>
          <w:rFonts w:hint="cs"/>
          <w:sz w:val="27"/>
          <w:rtl/>
        </w:rPr>
        <w:t>ل</w:t>
      </w:r>
      <w:r w:rsidRPr="00282AC9">
        <w:rPr>
          <w:rFonts w:hint="cs"/>
          <w:sz w:val="27"/>
          <w:rtl/>
        </w:rPr>
        <w:t xml:space="preserve"> صاحب الجواهر في هذا البحث: </w:t>
      </w:r>
      <w:r w:rsidRPr="00282AC9">
        <w:rPr>
          <w:rFonts w:hint="eastAsia"/>
          <w:sz w:val="24"/>
          <w:szCs w:val="24"/>
          <w:rtl/>
        </w:rPr>
        <w:t>«</w:t>
      </w:r>
      <w:r w:rsidRPr="00282AC9">
        <w:rPr>
          <w:sz w:val="27"/>
          <w:rtl/>
        </w:rPr>
        <w:t>والمراد بال</w:t>
      </w:r>
      <w:r w:rsidRPr="00282AC9">
        <w:rPr>
          <w:rFonts w:hint="cs"/>
          <w:sz w:val="27"/>
          <w:rtl/>
        </w:rPr>
        <w:t>إ</w:t>
      </w:r>
      <w:r w:rsidRPr="00282AC9">
        <w:rPr>
          <w:sz w:val="27"/>
          <w:rtl/>
        </w:rPr>
        <w:t xml:space="preserve">مام </w:t>
      </w:r>
      <w:r w:rsidRPr="00282AC9">
        <w:rPr>
          <w:rFonts w:hint="cs"/>
          <w:sz w:val="27"/>
          <w:rtl/>
        </w:rPr>
        <w:t>أ</w:t>
      </w:r>
      <w:r w:rsidRPr="00282AC9">
        <w:rPr>
          <w:sz w:val="27"/>
          <w:rtl/>
        </w:rPr>
        <w:t>مير الحاج</w:t>
      </w:r>
      <w:r w:rsidR="00844BE3" w:rsidRPr="00282AC9">
        <w:rPr>
          <w:rFonts w:hint="cs"/>
          <w:sz w:val="27"/>
          <w:rtl/>
        </w:rPr>
        <w:t>ّ،</w:t>
      </w:r>
      <w:r w:rsidRPr="00282AC9">
        <w:rPr>
          <w:rFonts w:hint="cs"/>
          <w:sz w:val="27"/>
          <w:rtl/>
        </w:rPr>
        <w:t xml:space="preserve"> </w:t>
      </w:r>
      <w:r w:rsidRPr="00282AC9">
        <w:rPr>
          <w:sz w:val="27"/>
          <w:rtl/>
        </w:rPr>
        <w:t>كما صر</w:t>
      </w:r>
      <w:r w:rsidR="00844BE3" w:rsidRPr="00282AC9">
        <w:rPr>
          <w:rFonts w:hint="cs"/>
          <w:sz w:val="27"/>
          <w:rtl/>
        </w:rPr>
        <w:t>ّ</w:t>
      </w:r>
      <w:r w:rsidRPr="00282AC9">
        <w:rPr>
          <w:sz w:val="27"/>
          <w:rtl/>
        </w:rPr>
        <w:t>ح به غير</w:t>
      </w:r>
      <w:r w:rsidR="00844BE3" w:rsidRPr="00282AC9">
        <w:rPr>
          <w:rFonts w:hint="cs"/>
          <w:sz w:val="27"/>
          <w:rtl/>
        </w:rPr>
        <w:t>ُ</w:t>
      </w:r>
      <w:r w:rsidRPr="00282AC9">
        <w:rPr>
          <w:sz w:val="27"/>
          <w:rtl/>
        </w:rPr>
        <w:t xml:space="preserve"> واحد</w:t>
      </w:r>
      <w:r w:rsidR="00844BE3" w:rsidRPr="00282AC9">
        <w:rPr>
          <w:rFonts w:hint="cs"/>
          <w:sz w:val="27"/>
          <w:rtl/>
        </w:rPr>
        <w:t>ٍ</w:t>
      </w:r>
      <w:r w:rsidRPr="00282AC9">
        <w:rPr>
          <w:rFonts w:hint="cs"/>
          <w:sz w:val="27"/>
          <w:rtl/>
        </w:rPr>
        <w:t xml:space="preserve"> [من الفقهاء]</w:t>
      </w:r>
      <w:r w:rsidRPr="00282AC9">
        <w:rPr>
          <w:rFonts w:hint="eastAsia"/>
          <w:sz w:val="24"/>
          <w:szCs w:val="24"/>
          <w:rtl/>
        </w:rPr>
        <w:t>»</w:t>
      </w:r>
      <w:r w:rsidRPr="00282AC9">
        <w:rPr>
          <w:sz w:val="27"/>
          <w:vertAlign w:val="superscript"/>
          <w:rtl/>
        </w:rPr>
        <w:t>(</w:t>
      </w:r>
      <w:r w:rsidRPr="00282AC9">
        <w:rPr>
          <w:rStyle w:val="af9"/>
          <w:sz w:val="27"/>
          <w:rtl/>
        </w:rPr>
        <w:endnoteReference w:id="62"/>
      </w:r>
      <w:r w:rsidRPr="00282AC9">
        <w:rPr>
          <w:sz w:val="27"/>
          <w:vertAlign w:val="superscript"/>
          <w:rtl/>
        </w:rPr>
        <w:t>)</w:t>
      </w:r>
      <w:r w:rsidRPr="00282AC9">
        <w:rPr>
          <w:rFonts w:hint="cs"/>
          <w:sz w:val="27"/>
          <w:rtl/>
        </w:rPr>
        <w:t>.</w:t>
      </w:r>
    </w:p>
    <w:p w:rsidR="00BC5E40" w:rsidRPr="00282AC9" w:rsidRDefault="00BC5E40" w:rsidP="00075DE8">
      <w:pPr>
        <w:spacing w:line="390" w:lineRule="exact"/>
        <w:rPr>
          <w:sz w:val="27"/>
          <w:rtl/>
        </w:rPr>
      </w:pPr>
      <w:r w:rsidRPr="00282AC9">
        <w:rPr>
          <w:rFonts w:hint="cs"/>
          <w:sz w:val="27"/>
          <w:rtl/>
        </w:rPr>
        <w:t>وعلى هذا الأساس فإن جميع أوامر أمير الحاج</w:t>
      </w:r>
      <w:r w:rsidR="00844BE3" w:rsidRPr="00282AC9">
        <w:rPr>
          <w:rFonts w:hint="cs"/>
          <w:sz w:val="27"/>
          <w:rtl/>
        </w:rPr>
        <w:t>ّ</w:t>
      </w:r>
      <w:r w:rsidRPr="00282AC9">
        <w:rPr>
          <w:rFonts w:hint="cs"/>
          <w:sz w:val="27"/>
          <w:rtl/>
        </w:rPr>
        <w:t xml:space="preserve"> وتعليماته</w:t>
      </w:r>
      <w:r w:rsidR="00844BE3" w:rsidRPr="00282AC9">
        <w:rPr>
          <w:rFonts w:hint="cs"/>
          <w:sz w:val="27"/>
          <w:rtl/>
        </w:rPr>
        <w:t>،</w:t>
      </w:r>
      <w:r w:rsidRPr="00282AC9">
        <w:rPr>
          <w:rFonts w:hint="cs"/>
          <w:sz w:val="27"/>
          <w:rtl/>
        </w:rPr>
        <w:t xml:space="preserve"> في توجيه الحجاج والإجابة عن المسائل الشرعية الضرورية للحج</w:t>
      </w:r>
      <w:r w:rsidR="00844BE3" w:rsidRPr="00282AC9">
        <w:rPr>
          <w:rFonts w:hint="cs"/>
          <w:sz w:val="27"/>
          <w:rtl/>
        </w:rPr>
        <w:t>ّ</w:t>
      </w:r>
      <w:r w:rsidRPr="00282AC9">
        <w:rPr>
          <w:rFonts w:hint="cs"/>
          <w:sz w:val="27"/>
          <w:rtl/>
        </w:rPr>
        <w:t>اج</w:t>
      </w:r>
      <w:r w:rsidR="00844BE3" w:rsidRPr="00282AC9">
        <w:rPr>
          <w:rFonts w:hint="cs"/>
          <w:sz w:val="27"/>
          <w:rtl/>
        </w:rPr>
        <w:t>،</w:t>
      </w:r>
      <w:r w:rsidRPr="00282AC9">
        <w:rPr>
          <w:rFonts w:hint="cs"/>
          <w:sz w:val="27"/>
          <w:rtl/>
        </w:rPr>
        <w:t xml:space="preserve"> ذات صبغة</w:t>
      </w:r>
      <w:r w:rsidR="00844BE3" w:rsidRPr="00282AC9">
        <w:rPr>
          <w:rFonts w:hint="cs"/>
          <w:sz w:val="27"/>
          <w:rtl/>
        </w:rPr>
        <w:t>ٍ</w:t>
      </w:r>
      <w:r w:rsidRPr="00282AC9">
        <w:rPr>
          <w:rFonts w:hint="cs"/>
          <w:sz w:val="27"/>
          <w:rtl/>
        </w:rPr>
        <w:t xml:space="preserve"> ولائية.</w:t>
      </w:r>
    </w:p>
    <w:p w:rsidR="00844BE3" w:rsidRPr="00282AC9" w:rsidRDefault="00844BE3" w:rsidP="00BF1956">
      <w:pPr>
        <w:spacing w:line="360" w:lineRule="exact"/>
        <w:rPr>
          <w:sz w:val="27"/>
          <w:rtl/>
        </w:rPr>
      </w:pPr>
    </w:p>
    <w:p w:rsidR="00844BE3" w:rsidRPr="00282AC9" w:rsidRDefault="00BC5E40" w:rsidP="00844BE3">
      <w:pPr>
        <w:pStyle w:val="31"/>
        <w:rPr>
          <w:color w:val="auto"/>
          <w:rtl/>
        </w:rPr>
      </w:pPr>
      <w:r w:rsidRPr="00282AC9">
        <w:rPr>
          <w:rFonts w:hint="cs"/>
          <w:color w:val="auto"/>
          <w:rtl/>
        </w:rPr>
        <w:t>3ـ الحكم بدفع الزكاة</w:t>
      </w:r>
      <w:r w:rsidR="00927527" w:rsidRPr="00282AC9">
        <w:rPr>
          <w:rFonts w:hint="cs"/>
          <w:color w:val="auto"/>
          <w:rtl/>
        </w:rPr>
        <w:t xml:space="preserve"> إلى الفقيه</w:t>
      </w:r>
    </w:p>
    <w:p w:rsidR="00BC5E40" w:rsidRPr="00282AC9" w:rsidRDefault="00BC5E40" w:rsidP="00075DE8">
      <w:pPr>
        <w:spacing w:line="390" w:lineRule="exact"/>
        <w:rPr>
          <w:sz w:val="27"/>
          <w:rtl/>
        </w:rPr>
      </w:pPr>
      <w:r w:rsidRPr="00282AC9">
        <w:rPr>
          <w:rFonts w:hint="cs"/>
          <w:sz w:val="27"/>
          <w:rtl/>
        </w:rPr>
        <w:t>هناك اختلاف</w:t>
      </w:r>
      <w:r w:rsidR="00844BE3" w:rsidRPr="00282AC9">
        <w:rPr>
          <w:rFonts w:hint="cs"/>
          <w:sz w:val="27"/>
          <w:rtl/>
        </w:rPr>
        <w:t>ٌ</w:t>
      </w:r>
      <w:r w:rsidRPr="00282AC9">
        <w:rPr>
          <w:rFonts w:hint="cs"/>
          <w:sz w:val="27"/>
          <w:rtl/>
        </w:rPr>
        <w:t xml:space="preserve"> بين الفقهاء حول ما إذا كان دفع الزكاة إلى الفقيه واجباً أم لا؟ والمت</w:t>
      </w:r>
      <w:r w:rsidR="00844BE3" w:rsidRPr="00282AC9">
        <w:rPr>
          <w:rFonts w:hint="cs"/>
          <w:sz w:val="27"/>
          <w:rtl/>
        </w:rPr>
        <w:t>َّ</w:t>
      </w:r>
      <w:r w:rsidRPr="00282AC9">
        <w:rPr>
          <w:rFonts w:hint="cs"/>
          <w:sz w:val="27"/>
          <w:rtl/>
        </w:rPr>
        <w:t>فق عليه بين الفقهاء هو أفضلية واستحباب دفع الزكاة إلى الفقيه</w:t>
      </w:r>
      <w:r w:rsidR="00844BE3" w:rsidRPr="00282AC9">
        <w:rPr>
          <w:rFonts w:hint="cs"/>
          <w:sz w:val="27"/>
          <w:rtl/>
        </w:rPr>
        <w:t xml:space="preserve"> </w:t>
      </w:r>
      <w:r w:rsidRPr="00282AC9">
        <w:rPr>
          <w:rFonts w:hint="cs"/>
          <w:sz w:val="27"/>
          <w:rtl/>
        </w:rPr>
        <w:t>دون مطالبته، وأما مع المطالبة فهناك م</w:t>
      </w:r>
      <w:r w:rsidR="00844BE3" w:rsidRPr="00282AC9">
        <w:rPr>
          <w:rFonts w:hint="cs"/>
          <w:sz w:val="27"/>
          <w:rtl/>
        </w:rPr>
        <w:t>َ</w:t>
      </w:r>
      <w:r w:rsidRPr="00282AC9">
        <w:rPr>
          <w:rFonts w:hint="cs"/>
          <w:sz w:val="27"/>
          <w:rtl/>
        </w:rPr>
        <w:t>ن</w:t>
      </w:r>
      <w:r w:rsidR="00844BE3" w:rsidRPr="00282AC9">
        <w:rPr>
          <w:rFonts w:hint="cs"/>
          <w:sz w:val="27"/>
          <w:rtl/>
        </w:rPr>
        <w:t>ْ</w:t>
      </w:r>
      <w:r w:rsidRPr="00282AC9">
        <w:rPr>
          <w:rFonts w:hint="cs"/>
          <w:sz w:val="27"/>
          <w:rtl/>
        </w:rPr>
        <w:t xml:space="preserve"> قال بالوجوب</w:t>
      </w:r>
      <w:r w:rsidR="00844BE3" w:rsidRPr="00282AC9">
        <w:rPr>
          <w:rFonts w:hint="cs"/>
          <w:sz w:val="27"/>
          <w:rtl/>
        </w:rPr>
        <w:t>،</w:t>
      </w:r>
      <w:r w:rsidRPr="00282AC9">
        <w:rPr>
          <w:rFonts w:hint="cs"/>
          <w:sz w:val="27"/>
          <w:rtl/>
        </w:rPr>
        <w:t xml:space="preserve"> ومن بينهم:</w:t>
      </w:r>
      <w:r w:rsidR="00844BE3" w:rsidRPr="00282AC9">
        <w:rPr>
          <w:rFonts w:hint="cs"/>
          <w:sz w:val="27"/>
          <w:rtl/>
        </w:rPr>
        <w:t xml:space="preserve"> </w:t>
      </w:r>
      <w:r w:rsidRPr="00282AC9">
        <w:rPr>
          <w:rFonts w:hint="cs"/>
          <w:sz w:val="27"/>
          <w:rtl/>
        </w:rPr>
        <w:t>الشيخ الأعظم</w:t>
      </w:r>
      <w:r w:rsidR="00844BE3" w:rsidRPr="00282AC9">
        <w:rPr>
          <w:rFonts w:hint="cs"/>
          <w:sz w:val="27"/>
          <w:rtl/>
        </w:rPr>
        <w:t>؛</w:t>
      </w:r>
      <w:r w:rsidRPr="00282AC9">
        <w:rPr>
          <w:rFonts w:hint="cs"/>
          <w:sz w:val="27"/>
          <w:rtl/>
        </w:rPr>
        <w:t xml:space="preserve"> إذ يقول: </w:t>
      </w:r>
      <w:r w:rsidRPr="00282AC9">
        <w:rPr>
          <w:rFonts w:hint="eastAsia"/>
          <w:sz w:val="24"/>
          <w:szCs w:val="24"/>
          <w:rtl/>
        </w:rPr>
        <w:t>«</w:t>
      </w:r>
      <w:r w:rsidRPr="00282AC9">
        <w:rPr>
          <w:sz w:val="27"/>
          <w:rtl/>
        </w:rPr>
        <w:t>ولو طلبها الفقيه فمقتضى أدل</w:t>
      </w:r>
      <w:r w:rsidR="00844BE3" w:rsidRPr="00282AC9">
        <w:rPr>
          <w:rFonts w:hint="cs"/>
          <w:sz w:val="27"/>
          <w:rtl/>
        </w:rPr>
        <w:t>ّ</w:t>
      </w:r>
      <w:r w:rsidRPr="00282AC9">
        <w:rPr>
          <w:sz w:val="27"/>
          <w:rtl/>
        </w:rPr>
        <w:t>ة النيابة العام</w:t>
      </w:r>
      <w:r w:rsidR="00844BE3" w:rsidRPr="00282AC9">
        <w:rPr>
          <w:rFonts w:hint="cs"/>
          <w:sz w:val="27"/>
          <w:rtl/>
        </w:rPr>
        <w:t>ّ</w:t>
      </w:r>
      <w:r w:rsidRPr="00282AC9">
        <w:rPr>
          <w:sz w:val="27"/>
          <w:rtl/>
        </w:rPr>
        <w:t>ة وجوب الدفع</w:t>
      </w:r>
      <w:r w:rsidR="00844BE3" w:rsidRPr="00282AC9">
        <w:rPr>
          <w:rFonts w:hint="cs"/>
          <w:sz w:val="27"/>
          <w:rtl/>
        </w:rPr>
        <w:t>؛</w:t>
      </w:r>
      <w:r w:rsidRPr="00282AC9">
        <w:rPr>
          <w:sz w:val="27"/>
          <w:rtl/>
        </w:rPr>
        <w:t xml:space="preserve"> ل</w:t>
      </w:r>
      <w:r w:rsidRPr="00282AC9">
        <w:rPr>
          <w:rFonts w:hint="cs"/>
          <w:sz w:val="27"/>
          <w:rtl/>
        </w:rPr>
        <w:t>أ</w:t>
      </w:r>
      <w:r w:rsidRPr="00282AC9">
        <w:rPr>
          <w:sz w:val="27"/>
          <w:rtl/>
        </w:rPr>
        <w:t>ن منعه رد</w:t>
      </w:r>
      <w:r w:rsidRPr="00282AC9">
        <w:rPr>
          <w:rFonts w:hint="cs"/>
          <w:sz w:val="27"/>
          <w:rtl/>
        </w:rPr>
        <w:t>ّ</w:t>
      </w:r>
      <w:r w:rsidR="00844BE3" w:rsidRPr="00282AC9">
        <w:rPr>
          <w:rFonts w:hint="cs"/>
          <w:sz w:val="27"/>
          <w:rtl/>
        </w:rPr>
        <w:t>ٌ</w:t>
      </w:r>
      <w:r w:rsidRPr="00282AC9">
        <w:rPr>
          <w:sz w:val="27"/>
          <w:rtl/>
        </w:rPr>
        <w:t xml:space="preserve"> عليه، والراد</w:t>
      </w:r>
      <w:r w:rsidR="00844BE3" w:rsidRPr="00282AC9">
        <w:rPr>
          <w:rFonts w:hint="cs"/>
          <w:sz w:val="27"/>
          <w:rtl/>
        </w:rPr>
        <w:t>ّ</w:t>
      </w:r>
      <w:r w:rsidRPr="00282AC9">
        <w:rPr>
          <w:sz w:val="27"/>
          <w:rtl/>
        </w:rPr>
        <w:t xml:space="preserve"> عليه راد</w:t>
      </w:r>
      <w:r w:rsidR="00844BE3" w:rsidRPr="00282AC9">
        <w:rPr>
          <w:rFonts w:hint="cs"/>
          <w:sz w:val="27"/>
          <w:rtl/>
        </w:rPr>
        <w:t xml:space="preserve">ٌّ </w:t>
      </w:r>
      <w:r w:rsidRPr="00282AC9">
        <w:rPr>
          <w:sz w:val="27"/>
          <w:rtl/>
        </w:rPr>
        <w:t>على الله تعالى</w:t>
      </w:r>
      <w:r w:rsidRPr="00282AC9">
        <w:rPr>
          <w:rFonts w:hint="cs"/>
          <w:sz w:val="27"/>
          <w:rtl/>
        </w:rPr>
        <w:t>،</w:t>
      </w:r>
      <w:r w:rsidRPr="00282AC9">
        <w:rPr>
          <w:sz w:val="27"/>
          <w:rtl/>
        </w:rPr>
        <w:t xml:space="preserve"> كما في مقبولة عمر بن حنظلة</w:t>
      </w:r>
      <w:r w:rsidRPr="00282AC9">
        <w:rPr>
          <w:rFonts w:hint="eastAsia"/>
          <w:sz w:val="24"/>
          <w:szCs w:val="24"/>
          <w:rtl/>
        </w:rPr>
        <w:t>»</w:t>
      </w:r>
      <w:r w:rsidRPr="00282AC9">
        <w:rPr>
          <w:sz w:val="27"/>
          <w:vertAlign w:val="superscript"/>
          <w:rtl/>
        </w:rPr>
        <w:t>(</w:t>
      </w:r>
      <w:r w:rsidRPr="00282AC9">
        <w:rPr>
          <w:rStyle w:val="af9"/>
          <w:sz w:val="27"/>
          <w:rtl/>
        </w:rPr>
        <w:endnoteReference w:id="63"/>
      </w:r>
      <w:r w:rsidRPr="00282AC9">
        <w:rPr>
          <w:sz w:val="27"/>
          <w:vertAlign w:val="superscript"/>
          <w:rtl/>
        </w:rPr>
        <w:t>)</w:t>
      </w:r>
      <w:r w:rsidRPr="00282AC9">
        <w:rPr>
          <w:rFonts w:hint="cs"/>
          <w:sz w:val="27"/>
          <w:rtl/>
        </w:rPr>
        <w:t>.</w:t>
      </w:r>
    </w:p>
    <w:p w:rsidR="00BC5E40" w:rsidRPr="00282AC9" w:rsidRDefault="00BC5E40" w:rsidP="00075DE8">
      <w:pPr>
        <w:spacing w:line="390" w:lineRule="exact"/>
        <w:rPr>
          <w:sz w:val="27"/>
          <w:rtl/>
        </w:rPr>
      </w:pPr>
      <w:r w:rsidRPr="00282AC9">
        <w:rPr>
          <w:rFonts w:hint="cs"/>
          <w:sz w:val="27"/>
          <w:rtl/>
        </w:rPr>
        <w:t>ويت</w:t>
      </w:r>
      <w:r w:rsidR="00844BE3" w:rsidRPr="00282AC9">
        <w:rPr>
          <w:rFonts w:hint="cs"/>
          <w:sz w:val="27"/>
          <w:rtl/>
        </w:rPr>
        <w:t>َّ</w:t>
      </w:r>
      <w:r w:rsidRPr="00282AC9">
        <w:rPr>
          <w:rFonts w:hint="cs"/>
          <w:sz w:val="27"/>
          <w:rtl/>
        </w:rPr>
        <w:t>ضح من ذلك أن هذا الحكم من ق</w:t>
      </w:r>
      <w:r w:rsidR="00844BE3" w:rsidRPr="00282AC9">
        <w:rPr>
          <w:rFonts w:hint="cs"/>
          <w:sz w:val="27"/>
          <w:rtl/>
        </w:rPr>
        <w:t>ِ</w:t>
      </w:r>
      <w:r w:rsidRPr="00282AC9">
        <w:rPr>
          <w:rFonts w:hint="cs"/>
          <w:sz w:val="27"/>
          <w:rtl/>
        </w:rPr>
        <w:t>ب</w:t>
      </w:r>
      <w:r w:rsidR="00844BE3" w:rsidRPr="00282AC9">
        <w:rPr>
          <w:rFonts w:hint="cs"/>
          <w:sz w:val="27"/>
          <w:rtl/>
        </w:rPr>
        <w:t>َ</w:t>
      </w:r>
      <w:r w:rsidRPr="00282AC9">
        <w:rPr>
          <w:rFonts w:hint="cs"/>
          <w:sz w:val="27"/>
          <w:rtl/>
        </w:rPr>
        <w:t>ل الفقيه إنما يجب ات</w:t>
      </w:r>
      <w:r w:rsidR="00844BE3" w:rsidRPr="00282AC9">
        <w:rPr>
          <w:rFonts w:hint="cs"/>
          <w:sz w:val="27"/>
          <w:rtl/>
        </w:rPr>
        <w:t>ّ</w:t>
      </w:r>
      <w:r w:rsidRPr="00282AC9">
        <w:rPr>
          <w:rFonts w:hint="cs"/>
          <w:sz w:val="27"/>
          <w:rtl/>
        </w:rPr>
        <w:t>باعه من جهة وجوب ات</w:t>
      </w:r>
      <w:r w:rsidR="00844BE3" w:rsidRPr="00282AC9">
        <w:rPr>
          <w:rFonts w:hint="cs"/>
          <w:sz w:val="27"/>
          <w:rtl/>
        </w:rPr>
        <w:t>ّ</w:t>
      </w:r>
      <w:r w:rsidRPr="00282AC9">
        <w:rPr>
          <w:rFonts w:hint="cs"/>
          <w:sz w:val="27"/>
          <w:rtl/>
        </w:rPr>
        <w:t>باع الحاكم الإسلامي</w:t>
      </w:r>
      <w:r w:rsidR="00844BE3" w:rsidRPr="00282AC9">
        <w:rPr>
          <w:rFonts w:hint="cs"/>
          <w:sz w:val="27"/>
          <w:rtl/>
        </w:rPr>
        <w:t>ّ</w:t>
      </w:r>
      <w:r w:rsidRPr="00282AC9">
        <w:rPr>
          <w:rFonts w:hint="cs"/>
          <w:sz w:val="27"/>
          <w:rtl/>
        </w:rPr>
        <w:t xml:space="preserve"> ونائب الإمام المعصوم</w:t>
      </w:r>
      <w:r w:rsidR="009A2A04" w:rsidRPr="00282AC9">
        <w:rPr>
          <w:rFonts w:cs="Mosawi" w:hint="cs"/>
          <w:sz w:val="22"/>
          <w:szCs w:val="22"/>
          <w:rtl/>
        </w:rPr>
        <w:t>×</w:t>
      </w:r>
      <w:r w:rsidRPr="00282AC9">
        <w:rPr>
          <w:rFonts w:hint="cs"/>
          <w:sz w:val="27"/>
          <w:rtl/>
        </w:rPr>
        <w:t>.</w:t>
      </w:r>
    </w:p>
    <w:p w:rsidR="00844BE3" w:rsidRPr="00282AC9" w:rsidRDefault="00844BE3" w:rsidP="00BF1956">
      <w:pPr>
        <w:spacing w:line="360" w:lineRule="exact"/>
        <w:rPr>
          <w:sz w:val="27"/>
          <w:rtl/>
        </w:rPr>
      </w:pPr>
    </w:p>
    <w:p w:rsidR="00844BE3" w:rsidRPr="00282AC9" w:rsidRDefault="00BC5E40" w:rsidP="00844BE3">
      <w:pPr>
        <w:pStyle w:val="31"/>
        <w:rPr>
          <w:color w:val="auto"/>
          <w:rtl/>
        </w:rPr>
      </w:pPr>
      <w:r w:rsidRPr="00282AC9">
        <w:rPr>
          <w:rFonts w:hint="cs"/>
          <w:color w:val="auto"/>
          <w:rtl/>
        </w:rPr>
        <w:t>4ـ حكم الجهاد الابتدائي</w:t>
      </w:r>
    </w:p>
    <w:p w:rsidR="00BC5E40" w:rsidRPr="00282AC9" w:rsidRDefault="00BC5E40" w:rsidP="00BC4D37">
      <w:pPr>
        <w:rPr>
          <w:sz w:val="27"/>
          <w:rtl/>
        </w:rPr>
      </w:pPr>
      <w:r w:rsidRPr="00282AC9">
        <w:rPr>
          <w:rFonts w:hint="cs"/>
          <w:sz w:val="27"/>
          <w:rtl/>
        </w:rPr>
        <w:t>هناك اختلاف</w:t>
      </w:r>
      <w:r w:rsidR="00844BE3" w:rsidRPr="00282AC9">
        <w:rPr>
          <w:rFonts w:hint="cs"/>
          <w:sz w:val="27"/>
          <w:rtl/>
        </w:rPr>
        <w:t>ٌ</w:t>
      </w:r>
      <w:r w:rsidRPr="00282AC9">
        <w:rPr>
          <w:rFonts w:hint="cs"/>
          <w:sz w:val="27"/>
          <w:rtl/>
        </w:rPr>
        <w:t xml:space="preserve"> بين الفقهاء حول ما إذا كان يمكن للفقيه في عصر الغ</w:t>
      </w:r>
      <w:r w:rsidR="00844BE3" w:rsidRPr="00282AC9">
        <w:rPr>
          <w:rFonts w:hint="cs"/>
          <w:sz w:val="27"/>
          <w:rtl/>
        </w:rPr>
        <w:t>َ</w:t>
      </w:r>
      <w:r w:rsidRPr="00282AC9">
        <w:rPr>
          <w:rFonts w:hint="cs"/>
          <w:sz w:val="27"/>
          <w:rtl/>
        </w:rPr>
        <w:t>ي</w:t>
      </w:r>
      <w:r w:rsidR="00844BE3" w:rsidRPr="00282AC9">
        <w:rPr>
          <w:rFonts w:hint="cs"/>
          <w:sz w:val="27"/>
          <w:rtl/>
        </w:rPr>
        <w:t>ْ</w:t>
      </w:r>
      <w:r w:rsidRPr="00282AC9">
        <w:rPr>
          <w:rFonts w:hint="cs"/>
          <w:sz w:val="27"/>
          <w:rtl/>
        </w:rPr>
        <w:t xml:space="preserve">بة أن </w:t>
      </w:r>
      <w:r w:rsidRPr="00282AC9">
        <w:rPr>
          <w:rFonts w:hint="cs"/>
          <w:sz w:val="27"/>
          <w:rtl/>
        </w:rPr>
        <w:lastRenderedPageBreak/>
        <w:t>يُفتي بوجوب الجهاد الابتدائي أم لا. ذهب بعض الفقهاء إلى القول</w:t>
      </w:r>
      <w:r w:rsidR="00F54BB0" w:rsidRPr="00282AC9">
        <w:rPr>
          <w:rFonts w:hint="cs"/>
          <w:sz w:val="27"/>
          <w:rtl/>
        </w:rPr>
        <w:t>:</w:t>
      </w:r>
      <w:r w:rsidRPr="00282AC9">
        <w:rPr>
          <w:rFonts w:hint="cs"/>
          <w:sz w:val="27"/>
          <w:rtl/>
        </w:rPr>
        <w:t xml:space="preserve"> كما </w:t>
      </w:r>
      <w:r w:rsidR="00F54BB0" w:rsidRPr="00282AC9">
        <w:rPr>
          <w:rFonts w:hint="cs"/>
          <w:sz w:val="27"/>
          <w:rtl/>
        </w:rPr>
        <w:t xml:space="preserve">أنهم </w:t>
      </w:r>
      <w:r w:rsidRPr="00282AC9">
        <w:rPr>
          <w:rFonts w:hint="cs"/>
          <w:sz w:val="27"/>
          <w:rtl/>
        </w:rPr>
        <w:t>يتحم</w:t>
      </w:r>
      <w:r w:rsidR="00844BE3" w:rsidRPr="00282AC9">
        <w:rPr>
          <w:rFonts w:hint="cs"/>
          <w:sz w:val="27"/>
          <w:rtl/>
        </w:rPr>
        <w:t>ّ</w:t>
      </w:r>
      <w:r w:rsidRPr="00282AC9">
        <w:rPr>
          <w:rFonts w:hint="cs"/>
          <w:sz w:val="27"/>
          <w:rtl/>
        </w:rPr>
        <w:t>لون مسؤولية ومهم</w:t>
      </w:r>
      <w:r w:rsidR="00844BE3" w:rsidRPr="00282AC9">
        <w:rPr>
          <w:rFonts w:hint="cs"/>
          <w:sz w:val="27"/>
          <w:rtl/>
        </w:rPr>
        <w:t>ّ</w:t>
      </w:r>
      <w:r w:rsidRPr="00282AC9">
        <w:rPr>
          <w:rFonts w:hint="cs"/>
          <w:sz w:val="27"/>
          <w:rtl/>
        </w:rPr>
        <w:t>ة الدفاع عن حريم الإسلام ومقد</w:t>
      </w:r>
      <w:r w:rsidR="00844BE3" w:rsidRPr="00282AC9">
        <w:rPr>
          <w:rFonts w:hint="cs"/>
          <w:sz w:val="27"/>
          <w:rtl/>
        </w:rPr>
        <w:t>ّ</w:t>
      </w:r>
      <w:r w:rsidRPr="00282AC9">
        <w:rPr>
          <w:rFonts w:hint="cs"/>
          <w:sz w:val="27"/>
          <w:rtl/>
        </w:rPr>
        <w:t>ماته، يمكنهم كذلك ال</w:t>
      </w:r>
      <w:r w:rsidR="00F54BB0" w:rsidRPr="00282AC9">
        <w:rPr>
          <w:rFonts w:hint="cs"/>
          <w:sz w:val="27"/>
          <w:rtl/>
        </w:rPr>
        <w:t>إ</w:t>
      </w:r>
      <w:r w:rsidRPr="00282AC9">
        <w:rPr>
          <w:rFonts w:hint="cs"/>
          <w:sz w:val="27"/>
          <w:rtl/>
        </w:rPr>
        <w:t>فتاء بالجهاد الابتدائي إن</w:t>
      </w:r>
      <w:r w:rsidR="00F54BB0" w:rsidRPr="00282AC9">
        <w:rPr>
          <w:rFonts w:hint="cs"/>
          <w:sz w:val="27"/>
          <w:rtl/>
        </w:rPr>
        <w:t>ْ</w:t>
      </w:r>
      <w:r w:rsidRPr="00282AC9">
        <w:rPr>
          <w:rFonts w:hint="cs"/>
          <w:sz w:val="27"/>
          <w:rtl/>
        </w:rPr>
        <w:t xml:space="preserve"> رأ</w:t>
      </w:r>
      <w:r w:rsidR="00F54BB0" w:rsidRPr="00282AC9">
        <w:rPr>
          <w:rFonts w:hint="cs"/>
          <w:sz w:val="27"/>
          <w:rtl/>
        </w:rPr>
        <w:t>َ</w:t>
      </w:r>
      <w:r w:rsidRPr="00282AC9">
        <w:rPr>
          <w:rFonts w:hint="cs"/>
          <w:sz w:val="27"/>
          <w:rtl/>
        </w:rPr>
        <w:t>و</w:t>
      </w:r>
      <w:r w:rsidR="00F54BB0" w:rsidRPr="00282AC9">
        <w:rPr>
          <w:rFonts w:hint="cs"/>
          <w:sz w:val="27"/>
          <w:rtl/>
        </w:rPr>
        <w:t>ْ</w:t>
      </w:r>
      <w:r w:rsidRPr="00282AC9">
        <w:rPr>
          <w:rFonts w:hint="cs"/>
          <w:sz w:val="27"/>
          <w:rtl/>
        </w:rPr>
        <w:t>ا مصلحة</w:t>
      </w:r>
      <w:r w:rsidR="00F54BB0" w:rsidRPr="00282AC9">
        <w:rPr>
          <w:rFonts w:hint="cs"/>
          <w:sz w:val="27"/>
          <w:rtl/>
        </w:rPr>
        <w:t>ً</w:t>
      </w:r>
      <w:r w:rsidRPr="00282AC9">
        <w:rPr>
          <w:rFonts w:hint="cs"/>
          <w:sz w:val="27"/>
          <w:rtl/>
        </w:rPr>
        <w:t xml:space="preserve"> ملز</w:t>
      </w:r>
      <w:r w:rsidR="00F54BB0" w:rsidRPr="00282AC9">
        <w:rPr>
          <w:rFonts w:hint="cs"/>
          <w:sz w:val="27"/>
          <w:rtl/>
        </w:rPr>
        <w:t>ِ</w:t>
      </w:r>
      <w:r w:rsidRPr="00282AC9">
        <w:rPr>
          <w:rFonts w:hint="cs"/>
          <w:sz w:val="27"/>
          <w:rtl/>
        </w:rPr>
        <w:t>مة</w:t>
      </w:r>
      <w:r w:rsidR="00F54BB0" w:rsidRPr="00282AC9">
        <w:rPr>
          <w:rFonts w:hint="cs"/>
          <w:sz w:val="27"/>
          <w:rtl/>
        </w:rPr>
        <w:t>ً</w:t>
      </w:r>
      <w:r w:rsidRPr="00282AC9">
        <w:rPr>
          <w:rFonts w:hint="cs"/>
          <w:sz w:val="27"/>
          <w:rtl/>
        </w:rPr>
        <w:t xml:space="preserve"> تترت</w:t>
      </w:r>
      <w:r w:rsidR="00F54BB0" w:rsidRPr="00282AC9">
        <w:rPr>
          <w:rFonts w:hint="cs"/>
          <w:sz w:val="27"/>
          <w:rtl/>
        </w:rPr>
        <w:t>َّ</w:t>
      </w:r>
      <w:r w:rsidRPr="00282AC9">
        <w:rPr>
          <w:rFonts w:hint="cs"/>
          <w:sz w:val="27"/>
          <w:rtl/>
        </w:rPr>
        <w:t>ب على ذلك، ومن ذلك:</w:t>
      </w:r>
    </w:p>
    <w:p w:rsidR="00BC5E40" w:rsidRPr="00282AC9" w:rsidRDefault="00BC5E40" w:rsidP="00BC4D37">
      <w:pPr>
        <w:rPr>
          <w:sz w:val="27"/>
          <w:rtl/>
        </w:rPr>
      </w:pPr>
      <w:r w:rsidRPr="00282AC9">
        <w:rPr>
          <w:rFonts w:hint="cs"/>
          <w:sz w:val="27"/>
          <w:rtl/>
        </w:rPr>
        <w:t>ما جاء في كتاب الجواهر [ما مضمونه]</w:t>
      </w:r>
      <w:r w:rsidRPr="00282AC9">
        <w:rPr>
          <w:sz w:val="27"/>
          <w:vertAlign w:val="superscript"/>
          <w:rtl/>
        </w:rPr>
        <w:t>(</w:t>
      </w:r>
      <w:r w:rsidRPr="00282AC9">
        <w:rPr>
          <w:rStyle w:val="af9"/>
          <w:sz w:val="27"/>
          <w:rtl/>
        </w:rPr>
        <w:endnoteReference w:id="64"/>
      </w:r>
      <w:r w:rsidRPr="00282AC9">
        <w:rPr>
          <w:sz w:val="27"/>
          <w:vertAlign w:val="superscript"/>
          <w:rtl/>
        </w:rPr>
        <w:t>)</w:t>
      </w:r>
      <w:r w:rsidRPr="00282AC9">
        <w:rPr>
          <w:rFonts w:hint="cs"/>
          <w:sz w:val="27"/>
          <w:rtl/>
        </w:rPr>
        <w:t xml:space="preserve">: </w:t>
      </w:r>
      <w:r w:rsidRPr="00282AC9">
        <w:rPr>
          <w:rFonts w:hint="eastAsia"/>
          <w:sz w:val="24"/>
          <w:szCs w:val="24"/>
          <w:rtl/>
        </w:rPr>
        <w:t>«</w:t>
      </w:r>
      <w:r w:rsidRPr="00282AC9">
        <w:rPr>
          <w:rFonts w:hint="cs"/>
          <w:sz w:val="27"/>
          <w:rtl/>
        </w:rPr>
        <w:t>لو قام إجماع</w:t>
      </w:r>
      <w:r w:rsidR="00F54BB0" w:rsidRPr="00282AC9">
        <w:rPr>
          <w:rFonts w:hint="cs"/>
          <w:sz w:val="27"/>
          <w:rtl/>
        </w:rPr>
        <w:t>ٌ</w:t>
      </w:r>
      <w:r w:rsidRPr="00282AC9">
        <w:rPr>
          <w:rFonts w:hint="cs"/>
          <w:sz w:val="27"/>
          <w:rtl/>
        </w:rPr>
        <w:t xml:space="preserve"> على عدم مشروعية الجهاد الابتدائي في عصر غ</w:t>
      </w:r>
      <w:r w:rsidR="00F54BB0" w:rsidRPr="00282AC9">
        <w:rPr>
          <w:rFonts w:hint="cs"/>
          <w:sz w:val="27"/>
          <w:rtl/>
        </w:rPr>
        <w:t>َ</w:t>
      </w:r>
      <w:r w:rsidRPr="00282AC9">
        <w:rPr>
          <w:rFonts w:hint="cs"/>
          <w:sz w:val="27"/>
          <w:rtl/>
        </w:rPr>
        <w:t>ي</w:t>
      </w:r>
      <w:r w:rsidR="00F54BB0" w:rsidRPr="00282AC9">
        <w:rPr>
          <w:rFonts w:hint="cs"/>
          <w:sz w:val="27"/>
          <w:rtl/>
        </w:rPr>
        <w:t>ْ</w:t>
      </w:r>
      <w:r w:rsidRPr="00282AC9">
        <w:rPr>
          <w:rFonts w:hint="cs"/>
          <w:sz w:val="27"/>
          <w:rtl/>
        </w:rPr>
        <w:t xml:space="preserve">بة القائم </w:t>
      </w:r>
      <w:r w:rsidR="00F54BB0" w:rsidRPr="00282AC9">
        <w:rPr>
          <w:rFonts w:hint="cs"/>
          <w:sz w:val="27"/>
          <w:rtl/>
        </w:rPr>
        <w:t>ف</w:t>
      </w:r>
      <w:r w:rsidRPr="00282AC9">
        <w:rPr>
          <w:rFonts w:hint="cs"/>
          <w:sz w:val="27"/>
          <w:rtl/>
        </w:rPr>
        <w:t>لن يكون هناك دليل</w:t>
      </w:r>
      <w:r w:rsidR="00F54BB0" w:rsidRPr="00282AC9">
        <w:rPr>
          <w:rFonts w:hint="cs"/>
          <w:sz w:val="27"/>
          <w:rtl/>
        </w:rPr>
        <w:t>ٌ</w:t>
      </w:r>
      <w:r w:rsidRPr="00282AC9">
        <w:rPr>
          <w:rFonts w:hint="cs"/>
          <w:sz w:val="27"/>
          <w:rtl/>
        </w:rPr>
        <w:t xml:space="preserve"> على عدم مشروعي</w:t>
      </w:r>
      <w:r w:rsidR="00F54BB0" w:rsidRPr="00282AC9">
        <w:rPr>
          <w:rFonts w:hint="cs"/>
          <w:sz w:val="27"/>
          <w:rtl/>
        </w:rPr>
        <w:t>ّ</w:t>
      </w:r>
      <w:r w:rsidRPr="00282AC9">
        <w:rPr>
          <w:rFonts w:hint="cs"/>
          <w:sz w:val="27"/>
          <w:rtl/>
        </w:rPr>
        <w:t>ته؛ إذ الأدلة الأخرى قابلة</w:t>
      </w:r>
      <w:r w:rsidR="00F54BB0" w:rsidRPr="00282AC9">
        <w:rPr>
          <w:rFonts w:hint="cs"/>
          <w:sz w:val="27"/>
          <w:rtl/>
        </w:rPr>
        <w:t>ٌ</w:t>
      </w:r>
      <w:r w:rsidRPr="00282AC9">
        <w:rPr>
          <w:rFonts w:hint="cs"/>
          <w:sz w:val="27"/>
          <w:rtl/>
        </w:rPr>
        <w:t xml:space="preserve"> للخدش، بل إن أدل</w:t>
      </w:r>
      <w:r w:rsidR="00F54BB0" w:rsidRPr="00282AC9">
        <w:rPr>
          <w:rFonts w:hint="cs"/>
          <w:sz w:val="27"/>
          <w:rtl/>
        </w:rPr>
        <w:t>ّ</w:t>
      </w:r>
      <w:r w:rsidRPr="00282AC9">
        <w:rPr>
          <w:rFonts w:hint="cs"/>
          <w:sz w:val="27"/>
          <w:rtl/>
        </w:rPr>
        <w:t>ة نيابة الفقيه</w:t>
      </w:r>
      <w:r w:rsidR="00F54BB0" w:rsidRPr="00282AC9">
        <w:rPr>
          <w:rFonts w:hint="cs"/>
          <w:sz w:val="27"/>
          <w:rtl/>
        </w:rPr>
        <w:t>،</w:t>
      </w:r>
      <w:r w:rsidRPr="00282AC9">
        <w:rPr>
          <w:rFonts w:hint="cs"/>
          <w:sz w:val="27"/>
          <w:rtl/>
        </w:rPr>
        <w:t xml:space="preserve"> بالإضافة إلى عموم أدلة الجهاد</w:t>
      </w:r>
      <w:r w:rsidR="00F54BB0" w:rsidRPr="00282AC9">
        <w:rPr>
          <w:rFonts w:hint="cs"/>
          <w:sz w:val="27"/>
          <w:rtl/>
        </w:rPr>
        <w:t>،</w:t>
      </w:r>
      <w:r w:rsidRPr="00282AC9">
        <w:rPr>
          <w:rFonts w:hint="cs"/>
          <w:sz w:val="27"/>
          <w:rtl/>
        </w:rPr>
        <w:t xml:space="preserve"> تثبت جواز الاجتهاد الابتدائي في عصر الغ</w:t>
      </w:r>
      <w:r w:rsidR="00F54BB0" w:rsidRPr="00282AC9">
        <w:rPr>
          <w:rFonts w:hint="cs"/>
          <w:sz w:val="27"/>
          <w:rtl/>
        </w:rPr>
        <w:t>َ</w:t>
      </w:r>
      <w:r w:rsidRPr="00282AC9">
        <w:rPr>
          <w:rFonts w:hint="cs"/>
          <w:sz w:val="27"/>
          <w:rtl/>
        </w:rPr>
        <w:t>ي</w:t>
      </w:r>
      <w:r w:rsidR="00F54BB0" w:rsidRPr="00282AC9">
        <w:rPr>
          <w:rFonts w:hint="cs"/>
          <w:sz w:val="27"/>
          <w:rtl/>
        </w:rPr>
        <w:t>ْ</w:t>
      </w:r>
      <w:r w:rsidRPr="00282AC9">
        <w:rPr>
          <w:rFonts w:hint="cs"/>
          <w:sz w:val="27"/>
          <w:rtl/>
        </w:rPr>
        <w:t>بة</w:t>
      </w:r>
      <w:r w:rsidRPr="00282AC9">
        <w:rPr>
          <w:rFonts w:hint="eastAsia"/>
          <w:sz w:val="24"/>
          <w:szCs w:val="24"/>
          <w:rtl/>
        </w:rPr>
        <w:t>»</w:t>
      </w:r>
      <w:r w:rsidRPr="00282AC9">
        <w:rPr>
          <w:sz w:val="27"/>
          <w:vertAlign w:val="superscript"/>
          <w:rtl/>
        </w:rPr>
        <w:t>(</w:t>
      </w:r>
      <w:r w:rsidRPr="00282AC9">
        <w:rPr>
          <w:rStyle w:val="af9"/>
          <w:sz w:val="27"/>
          <w:rtl/>
        </w:rPr>
        <w:endnoteReference w:id="65"/>
      </w:r>
      <w:r w:rsidRPr="00282AC9">
        <w:rPr>
          <w:sz w:val="27"/>
          <w:vertAlign w:val="superscript"/>
          <w:rtl/>
        </w:rPr>
        <w:t>)</w:t>
      </w:r>
      <w:r w:rsidRPr="00282AC9">
        <w:rPr>
          <w:rFonts w:hint="cs"/>
          <w:sz w:val="27"/>
          <w:rtl/>
        </w:rPr>
        <w:t>.</w:t>
      </w:r>
    </w:p>
    <w:p w:rsidR="00BC5E40" w:rsidRPr="00282AC9" w:rsidRDefault="00BC5E40" w:rsidP="00BC4D37">
      <w:pPr>
        <w:rPr>
          <w:sz w:val="27"/>
        </w:rPr>
      </w:pPr>
      <w:r w:rsidRPr="00282AC9">
        <w:rPr>
          <w:rFonts w:hint="cs"/>
          <w:sz w:val="27"/>
          <w:rtl/>
        </w:rPr>
        <w:t xml:space="preserve">وجاء في منهاج الصالحين: </w:t>
      </w:r>
      <w:r w:rsidRPr="00282AC9">
        <w:rPr>
          <w:rFonts w:hint="eastAsia"/>
          <w:sz w:val="24"/>
          <w:szCs w:val="24"/>
          <w:rtl/>
        </w:rPr>
        <w:t>«</w:t>
      </w:r>
      <w:r w:rsidRPr="00282AC9">
        <w:rPr>
          <w:sz w:val="27"/>
          <w:rtl/>
        </w:rPr>
        <w:t>الظاهر عدم سقوط وجوب الجهاد في عص</w:t>
      </w:r>
      <w:r w:rsidR="00F54BB0" w:rsidRPr="00282AC9">
        <w:rPr>
          <w:sz w:val="27"/>
          <w:rtl/>
        </w:rPr>
        <w:t>ر الغ</w:t>
      </w:r>
      <w:r w:rsidR="00F54BB0" w:rsidRPr="00282AC9">
        <w:rPr>
          <w:rFonts w:hint="cs"/>
          <w:sz w:val="27"/>
          <w:rtl/>
        </w:rPr>
        <w:t>َ</w:t>
      </w:r>
      <w:r w:rsidR="00F54BB0" w:rsidRPr="00282AC9">
        <w:rPr>
          <w:sz w:val="27"/>
          <w:rtl/>
        </w:rPr>
        <w:t>ي</w:t>
      </w:r>
      <w:r w:rsidR="00F54BB0" w:rsidRPr="00282AC9">
        <w:rPr>
          <w:rFonts w:hint="cs"/>
          <w:sz w:val="27"/>
          <w:rtl/>
        </w:rPr>
        <w:t>ْ</w:t>
      </w:r>
      <w:r w:rsidR="00F54BB0" w:rsidRPr="00282AC9">
        <w:rPr>
          <w:sz w:val="27"/>
          <w:rtl/>
        </w:rPr>
        <w:t>ب</w:t>
      </w:r>
      <w:r w:rsidR="00F54BB0" w:rsidRPr="00282AC9">
        <w:rPr>
          <w:rFonts w:hint="cs"/>
          <w:sz w:val="27"/>
          <w:rtl/>
        </w:rPr>
        <w:t xml:space="preserve">ة، </w:t>
      </w:r>
      <w:r w:rsidRPr="00282AC9">
        <w:rPr>
          <w:sz w:val="27"/>
          <w:rtl/>
        </w:rPr>
        <w:t>وثبوته في كاف</w:t>
      </w:r>
      <w:r w:rsidR="00F54BB0" w:rsidRPr="00282AC9">
        <w:rPr>
          <w:rFonts w:hint="cs"/>
          <w:sz w:val="27"/>
          <w:rtl/>
        </w:rPr>
        <w:t>ّ</w:t>
      </w:r>
      <w:r w:rsidRPr="00282AC9">
        <w:rPr>
          <w:sz w:val="27"/>
          <w:rtl/>
        </w:rPr>
        <w:t>ة ال</w:t>
      </w:r>
      <w:r w:rsidR="00F54BB0" w:rsidRPr="00282AC9">
        <w:rPr>
          <w:rFonts w:hint="cs"/>
          <w:sz w:val="27"/>
          <w:rtl/>
        </w:rPr>
        <w:t>أ</w:t>
      </w:r>
      <w:r w:rsidRPr="00282AC9">
        <w:rPr>
          <w:sz w:val="27"/>
          <w:rtl/>
        </w:rPr>
        <w:t>عصار</w:t>
      </w:r>
      <w:r w:rsidR="00F54BB0" w:rsidRPr="00282AC9">
        <w:rPr>
          <w:rFonts w:hint="cs"/>
          <w:sz w:val="27"/>
          <w:rtl/>
        </w:rPr>
        <w:t>،</w:t>
      </w:r>
      <w:r w:rsidRPr="00282AC9">
        <w:rPr>
          <w:sz w:val="27"/>
          <w:rtl/>
        </w:rPr>
        <w:t xml:space="preserve"> لدى توف</w:t>
      </w:r>
      <w:r w:rsidR="00F54BB0" w:rsidRPr="00282AC9">
        <w:rPr>
          <w:rFonts w:hint="cs"/>
          <w:sz w:val="27"/>
          <w:rtl/>
        </w:rPr>
        <w:t>ُّر</w:t>
      </w:r>
      <w:r w:rsidRPr="00282AC9">
        <w:rPr>
          <w:sz w:val="27"/>
          <w:rtl/>
        </w:rPr>
        <w:t xml:space="preserve"> شرائ</w:t>
      </w:r>
      <w:r w:rsidR="00F54BB0" w:rsidRPr="00282AC9">
        <w:rPr>
          <w:sz w:val="27"/>
          <w:rtl/>
        </w:rPr>
        <w:t>طه</w:t>
      </w:r>
      <w:r w:rsidR="00F54BB0" w:rsidRPr="00282AC9">
        <w:rPr>
          <w:rFonts w:hint="cs"/>
          <w:sz w:val="27"/>
          <w:rtl/>
        </w:rPr>
        <w:t>.</w:t>
      </w:r>
      <w:r w:rsidR="00F54BB0" w:rsidRPr="00282AC9">
        <w:rPr>
          <w:sz w:val="27"/>
          <w:rtl/>
        </w:rPr>
        <w:t xml:space="preserve"> وهو في زمن الغيبة منوط</w:t>
      </w:r>
      <w:r w:rsidR="00F54BB0" w:rsidRPr="00282AC9">
        <w:rPr>
          <w:rFonts w:hint="cs"/>
          <w:sz w:val="27"/>
          <w:rtl/>
        </w:rPr>
        <w:t>ٌ</w:t>
      </w:r>
      <w:r w:rsidR="00F54BB0" w:rsidRPr="00282AC9">
        <w:rPr>
          <w:sz w:val="27"/>
          <w:rtl/>
        </w:rPr>
        <w:t xml:space="preserve"> بتشخي</w:t>
      </w:r>
      <w:r w:rsidR="00F54BB0" w:rsidRPr="00282AC9">
        <w:rPr>
          <w:rFonts w:hint="cs"/>
          <w:sz w:val="27"/>
          <w:rtl/>
        </w:rPr>
        <w:t xml:space="preserve">ص </w:t>
      </w:r>
      <w:r w:rsidRPr="00282AC9">
        <w:rPr>
          <w:sz w:val="27"/>
          <w:rtl/>
        </w:rPr>
        <w:t>المسلمين من ذوي الخبرة</w:t>
      </w:r>
      <w:r w:rsidRPr="00282AC9">
        <w:rPr>
          <w:rFonts w:hint="eastAsia"/>
          <w:sz w:val="24"/>
          <w:szCs w:val="24"/>
          <w:rtl/>
        </w:rPr>
        <w:t>»</w:t>
      </w:r>
      <w:r w:rsidRPr="00282AC9">
        <w:rPr>
          <w:sz w:val="27"/>
          <w:vertAlign w:val="superscript"/>
          <w:rtl/>
        </w:rPr>
        <w:t>(</w:t>
      </w:r>
      <w:r w:rsidRPr="00282AC9">
        <w:rPr>
          <w:rStyle w:val="af9"/>
          <w:sz w:val="27"/>
          <w:rtl/>
        </w:rPr>
        <w:endnoteReference w:id="66"/>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وجاء في كتاب ولاية الفقيه: </w:t>
      </w:r>
      <w:r w:rsidRPr="00282AC9">
        <w:rPr>
          <w:rFonts w:hint="eastAsia"/>
          <w:sz w:val="24"/>
          <w:szCs w:val="24"/>
          <w:rtl/>
        </w:rPr>
        <w:t>«</w:t>
      </w:r>
      <w:r w:rsidRPr="00282AC9">
        <w:rPr>
          <w:rFonts w:hint="cs"/>
          <w:sz w:val="27"/>
          <w:rtl/>
        </w:rPr>
        <w:t>إن ما جاء في الروايات هو وجوب الجهاد الابتدائي مع الإمام العادل</w:t>
      </w:r>
      <w:r w:rsidR="00F54BB0" w:rsidRPr="00282AC9">
        <w:rPr>
          <w:rFonts w:hint="cs"/>
          <w:sz w:val="27"/>
          <w:rtl/>
        </w:rPr>
        <w:t>.</w:t>
      </w:r>
      <w:r w:rsidRPr="00282AC9">
        <w:rPr>
          <w:rFonts w:hint="cs"/>
          <w:sz w:val="27"/>
          <w:rtl/>
        </w:rPr>
        <w:t xml:space="preserve"> والإمام العادل في </w:t>
      </w:r>
      <w:r w:rsidR="00BB066E" w:rsidRPr="00282AC9">
        <w:rPr>
          <w:rFonts w:hint="cs"/>
          <w:sz w:val="27"/>
          <w:rtl/>
        </w:rPr>
        <w:t>مقابل</w:t>
      </w:r>
      <w:r w:rsidRPr="00282AC9">
        <w:rPr>
          <w:rFonts w:hint="cs"/>
          <w:sz w:val="27"/>
          <w:rtl/>
        </w:rPr>
        <w:t xml:space="preserve"> الإمام الجائر. ومن هنا فإن الإمام العادل يشمل الإمام المعصوم</w:t>
      </w:r>
      <w:r w:rsidR="009A2A04" w:rsidRPr="00282AC9">
        <w:rPr>
          <w:rFonts w:cs="Mosawi" w:hint="cs"/>
          <w:sz w:val="22"/>
          <w:szCs w:val="22"/>
          <w:rtl/>
        </w:rPr>
        <w:t>×</w:t>
      </w:r>
      <w:r w:rsidRPr="00282AC9">
        <w:rPr>
          <w:rFonts w:hint="cs"/>
          <w:sz w:val="27"/>
          <w:rtl/>
        </w:rPr>
        <w:t xml:space="preserve"> والحاكم الإسلامي</w:t>
      </w:r>
      <w:r w:rsidR="00F54BB0" w:rsidRPr="00282AC9">
        <w:rPr>
          <w:rFonts w:hint="cs"/>
          <w:sz w:val="27"/>
          <w:rtl/>
        </w:rPr>
        <w:t>ّ</w:t>
      </w:r>
      <w:r w:rsidRPr="00282AC9">
        <w:rPr>
          <w:rFonts w:hint="cs"/>
          <w:sz w:val="27"/>
          <w:rtl/>
        </w:rPr>
        <w:t>. وعلى الرغم من أن مصداق الإمام العادل في عصر الحضور هو المعصوم</w:t>
      </w:r>
      <w:r w:rsidR="009A2A04" w:rsidRPr="00282AC9">
        <w:rPr>
          <w:rFonts w:cs="Mosawi" w:hint="cs"/>
          <w:sz w:val="22"/>
          <w:szCs w:val="22"/>
          <w:rtl/>
        </w:rPr>
        <w:t>×</w:t>
      </w:r>
      <w:r w:rsidRPr="00282AC9">
        <w:rPr>
          <w:rFonts w:hint="cs"/>
          <w:sz w:val="27"/>
          <w:rtl/>
        </w:rPr>
        <w:t>. وعليه لا يشترط حضور أو إذن الإمام المعصوم في الجهاد الابتدائي</w:t>
      </w:r>
      <w:r w:rsidRPr="00282AC9">
        <w:rPr>
          <w:rFonts w:hint="eastAsia"/>
          <w:sz w:val="24"/>
          <w:szCs w:val="24"/>
          <w:rtl/>
        </w:rPr>
        <w:t>»</w:t>
      </w:r>
      <w:r w:rsidRPr="00282AC9">
        <w:rPr>
          <w:sz w:val="27"/>
          <w:vertAlign w:val="superscript"/>
          <w:rtl/>
        </w:rPr>
        <w:t>(</w:t>
      </w:r>
      <w:r w:rsidRPr="00282AC9">
        <w:rPr>
          <w:rStyle w:val="af9"/>
          <w:sz w:val="27"/>
          <w:rtl/>
        </w:rPr>
        <w:endnoteReference w:id="67"/>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وعليه</w:t>
      </w:r>
      <w:r w:rsidR="00C23B64" w:rsidRPr="00282AC9">
        <w:rPr>
          <w:rFonts w:hint="cs"/>
          <w:sz w:val="27"/>
          <w:rtl/>
        </w:rPr>
        <w:t>،</w:t>
      </w:r>
      <w:r w:rsidRPr="00282AC9">
        <w:rPr>
          <w:rFonts w:hint="cs"/>
          <w:sz w:val="27"/>
          <w:rtl/>
        </w:rPr>
        <w:t xml:space="preserve"> بناء</w:t>
      </w:r>
      <w:r w:rsidR="00C23B64" w:rsidRPr="00282AC9">
        <w:rPr>
          <w:rFonts w:hint="cs"/>
          <w:sz w:val="27"/>
          <w:rtl/>
        </w:rPr>
        <w:t>ً</w:t>
      </w:r>
      <w:r w:rsidRPr="00282AC9">
        <w:rPr>
          <w:rFonts w:hint="cs"/>
          <w:sz w:val="27"/>
          <w:rtl/>
        </w:rPr>
        <w:t xml:space="preserve"> على مشروعية الجهاد الابتدائي في عصر الغ</w:t>
      </w:r>
      <w:r w:rsidR="00C23B64" w:rsidRPr="00282AC9">
        <w:rPr>
          <w:rFonts w:hint="cs"/>
          <w:sz w:val="27"/>
          <w:rtl/>
        </w:rPr>
        <w:t>َ</w:t>
      </w:r>
      <w:r w:rsidRPr="00282AC9">
        <w:rPr>
          <w:rFonts w:hint="cs"/>
          <w:sz w:val="27"/>
          <w:rtl/>
        </w:rPr>
        <w:t>ي</w:t>
      </w:r>
      <w:r w:rsidR="00C23B64" w:rsidRPr="00282AC9">
        <w:rPr>
          <w:rFonts w:hint="cs"/>
          <w:sz w:val="27"/>
          <w:rtl/>
        </w:rPr>
        <w:t>ْ</w:t>
      </w:r>
      <w:r w:rsidRPr="00282AC9">
        <w:rPr>
          <w:rFonts w:hint="cs"/>
          <w:sz w:val="27"/>
          <w:rtl/>
        </w:rPr>
        <w:t>بة فإن الأمر به سيكون من الأحكام الولائي</w:t>
      </w:r>
      <w:r w:rsidR="00C23B64" w:rsidRPr="00282AC9">
        <w:rPr>
          <w:rFonts w:hint="cs"/>
          <w:sz w:val="27"/>
          <w:rtl/>
        </w:rPr>
        <w:t>ّ</w:t>
      </w:r>
      <w:r w:rsidRPr="00282AC9">
        <w:rPr>
          <w:rFonts w:hint="cs"/>
          <w:sz w:val="27"/>
          <w:rtl/>
        </w:rPr>
        <w:t>ة، ولا يكون نافذاً إلا</w:t>
      </w:r>
      <w:r w:rsidR="00C23B64" w:rsidRPr="00282AC9">
        <w:rPr>
          <w:rFonts w:hint="cs"/>
          <w:sz w:val="27"/>
          <w:rtl/>
        </w:rPr>
        <w:t>ّ</w:t>
      </w:r>
      <w:r w:rsidRPr="00282AC9">
        <w:rPr>
          <w:rFonts w:hint="cs"/>
          <w:sz w:val="27"/>
          <w:rtl/>
        </w:rPr>
        <w:t xml:space="preserve"> من ق</w:t>
      </w:r>
      <w:r w:rsidR="00C23B64" w:rsidRPr="00282AC9">
        <w:rPr>
          <w:rFonts w:hint="cs"/>
          <w:sz w:val="27"/>
          <w:rtl/>
        </w:rPr>
        <w:t>ِ</w:t>
      </w:r>
      <w:r w:rsidRPr="00282AC9">
        <w:rPr>
          <w:rFonts w:hint="cs"/>
          <w:sz w:val="27"/>
          <w:rtl/>
        </w:rPr>
        <w:t>ب</w:t>
      </w:r>
      <w:r w:rsidR="00C23B64" w:rsidRPr="00282AC9">
        <w:rPr>
          <w:rFonts w:hint="cs"/>
          <w:sz w:val="27"/>
          <w:rtl/>
        </w:rPr>
        <w:t>َ</w:t>
      </w:r>
      <w:r w:rsidRPr="00282AC9">
        <w:rPr>
          <w:rFonts w:hint="cs"/>
          <w:sz w:val="27"/>
          <w:rtl/>
        </w:rPr>
        <w:t>ل الحاكم الإسلامي.</w:t>
      </w:r>
    </w:p>
    <w:p w:rsidR="00C23B64" w:rsidRPr="00282AC9" w:rsidRDefault="00C23B64" w:rsidP="00BF1956">
      <w:pPr>
        <w:spacing w:line="420" w:lineRule="exact"/>
        <w:rPr>
          <w:sz w:val="27"/>
          <w:rtl/>
        </w:rPr>
      </w:pPr>
    </w:p>
    <w:p w:rsidR="00C23B64" w:rsidRPr="00282AC9" w:rsidRDefault="00BC5E40" w:rsidP="00927527">
      <w:pPr>
        <w:pStyle w:val="31"/>
        <w:rPr>
          <w:color w:val="auto"/>
          <w:rtl/>
        </w:rPr>
      </w:pPr>
      <w:r w:rsidRPr="00282AC9">
        <w:rPr>
          <w:rFonts w:hint="cs"/>
          <w:color w:val="auto"/>
          <w:rtl/>
        </w:rPr>
        <w:t xml:space="preserve">5ـ الحكم في </w:t>
      </w:r>
      <w:r w:rsidR="00927527" w:rsidRPr="00282AC9">
        <w:rPr>
          <w:rFonts w:hint="cs"/>
          <w:color w:val="auto"/>
          <w:rtl/>
        </w:rPr>
        <w:t>المرتبة الثالثة ل</w:t>
      </w:r>
      <w:r w:rsidRPr="00282AC9">
        <w:rPr>
          <w:rFonts w:hint="cs"/>
          <w:color w:val="auto"/>
          <w:rtl/>
        </w:rPr>
        <w:t>لأمر بالمعروف والنهي عن المنكر</w:t>
      </w:r>
    </w:p>
    <w:p w:rsidR="00BC5E40" w:rsidRPr="00282AC9" w:rsidRDefault="00BC5E40" w:rsidP="00BC4D37">
      <w:pPr>
        <w:rPr>
          <w:sz w:val="27"/>
          <w:rtl/>
        </w:rPr>
      </w:pPr>
      <w:r w:rsidRPr="00282AC9">
        <w:rPr>
          <w:rFonts w:hint="cs"/>
          <w:sz w:val="27"/>
          <w:rtl/>
        </w:rPr>
        <w:t xml:space="preserve">لقد ذكر الفقهاء عدداً من المراحل للأمر بالمعروف والنهي عن المنكر، وقال الفقهاء: إن مشروعية المرحلة الثالثة تحتاج إلى حكم وإذن الحاكم الإسلامي. </w:t>
      </w:r>
      <w:r w:rsidR="00C23B64" w:rsidRPr="00282AC9">
        <w:rPr>
          <w:rFonts w:hint="cs"/>
          <w:sz w:val="27"/>
          <w:rtl/>
        </w:rPr>
        <w:t>و</w:t>
      </w:r>
      <w:r w:rsidRPr="00282AC9">
        <w:rPr>
          <w:rFonts w:hint="cs"/>
          <w:sz w:val="27"/>
          <w:rtl/>
        </w:rPr>
        <w:t>من ذلك مثلاً:</w:t>
      </w:r>
    </w:p>
    <w:p w:rsidR="00BC5E40" w:rsidRPr="00282AC9" w:rsidRDefault="00BC5E40" w:rsidP="00BC4D37">
      <w:pPr>
        <w:rPr>
          <w:sz w:val="27"/>
          <w:rtl/>
        </w:rPr>
      </w:pPr>
      <w:r w:rsidRPr="00282AC9">
        <w:rPr>
          <w:rFonts w:hint="cs"/>
          <w:sz w:val="27"/>
          <w:rtl/>
        </w:rPr>
        <w:t xml:space="preserve">قال الشيخ الطوسي: </w:t>
      </w:r>
      <w:r w:rsidRPr="00282AC9">
        <w:rPr>
          <w:rFonts w:hint="eastAsia"/>
          <w:sz w:val="24"/>
          <w:szCs w:val="24"/>
          <w:rtl/>
        </w:rPr>
        <w:t>«</w:t>
      </w:r>
      <w:r w:rsidRPr="00282AC9">
        <w:rPr>
          <w:sz w:val="27"/>
          <w:rtl/>
        </w:rPr>
        <w:t>ال</w:t>
      </w:r>
      <w:r w:rsidRPr="00282AC9">
        <w:rPr>
          <w:rFonts w:hint="cs"/>
          <w:sz w:val="27"/>
          <w:rtl/>
        </w:rPr>
        <w:t>أ</w:t>
      </w:r>
      <w:r w:rsidRPr="00282AC9">
        <w:rPr>
          <w:sz w:val="27"/>
          <w:rtl/>
        </w:rPr>
        <w:t>مر بالمعروف والنهي عن المنكر يجبان بالقلب واللسان واليد</w:t>
      </w:r>
      <w:r w:rsidRPr="00282AC9">
        <w:rPr>
          <w:rFonts w:hint="cs"/>
          <w:sz w:val="27"/>
          <w:rtl/>
        </w:rPr>
        <w:t>...</w:t>
      </w:r>
      <w:r w:rsidRPr="00282AC9">
        <w:rPr>
          <w:rFonts w:hint="eastAsia"/>
          <w:sz w:val="24"/>
          <w:szCs w:val="24"/>
          <w:rtl/>
        </w:rPr>
        <w:t>»</w:t>
      </w:r>
      <w:r w:rsidRPr="00282AC9">
        <w:rPr>
          <w:rFonts w:hint="cs"/>
          <w:sz w:val="27"/>
          <w:rtl/>
        </w:rPr>
        <w:t>،</w:t>
      </w:r>
      <w:r w:rsidRPr="00282AC9">
        <w:rPr>
          <w:sz w:val="27"/>
          <w:rtl/>
        </w:rPr>
        <w:t xml:space="preserve"> </w:t>
      </w:r>
      <w:r w:rsidRPr="00282AC9">
        <w:rPr>
          <w:rFonts w:hint="cs"/>
          <w:sz w:val="27"/>
          <w:rtl/>
        </w:rPr>
        <w:t>ثم</w:t>
      </w:r>
      <w:r w:rsidR="00C23B64" w:rsidRPr="00282AC9">
        <w:rPr>
          <w:rFonts w:hint="cs"/>
          <w:sz w:val="27"/>
          <w:rtl/>
        </w:rPr>
        <w:t>ّ</w:t>
      </w:r>
      <w:r w:rsidRPr="00282AC9">
        <w:rPr>
          <w:rFonts w:hint="cs"/>
          <w:sz w:val="27"/>
          <w:rtl/>
        </w:rPr>
        <w:t xml:space="preserve"> قال</w:t>
      </w:r>
      <w:r w:rsidRPr="00282AC9">
        <w:rPr>
          <w:sz w:val="27"/>
          <w:rtl/>
        </w:rPr>
        <w:t xml:space="preserve">: </w:t>
      </w:r>
      <w:r w:rsidRPr="00282AC9">
        <w:rPr>
          <w:rFonts w:hint="eastAsia"/>
          <w:sz w:val="24"/>
          <w:szCs w:val="24"/>
          <w:rtl/>
        </w:rPr>
        <w:t>«</w:t>
      </w:r>
      <w:r w:rsidRPr="00282AC9">
        <w:rPr>
          <w:sz w:val="27"/>
          <w:rtl/>
        </w:rPr>
        <w:t>قد يكون ال</w:t>
      </w:r>
      <w:r w:rsidRPr="00282AC9">
        <w:rPr>
          <w:rFonts w:hint="cs"/>
          <w:sz w:val="27"/>
          <w:rtl/>
        </w:rPr>
        <w:t>أ</w:t>
      </w:r>
      <w:r w:rsidRPr="00282AC9">
        <w:rPr>
          <w:sz w:val="27"/>
          <w:rtl/>
        </w:rPr>
        <w:t>مر بالمعروف باليد بأن يحمل الناس على ذلك بالتأديب والردع وقتل النفوس وضرب من الجراحات، إلا</w:t>
      </w:r>
      <w:r w:rsidR="00C23B64" w:rsidRPr="00282AC9">
        <w:rPr>
          <w:rFonts w:hint="cs"/>
          <w:sz w:val="27"/>
          <w:rtl/>
        </w:rPr>
        <w:t>ّ</w:t>
      </w:r>
      <w:r w:rsidRPr="00282AC9">
        <w:rPr>
          <w:sz w:val="27"/>
          <w:rtl/>
        </w:rPr>
        <w:t xml:space="preserve"> أن هذا الضرب لا يجب فعله إلا</w:t>
      </w:r>
      <w:r w:rsidR="00C23B64" w:rsidRPr="00282AC9">
        <w:rPr>
          <w:rFonts w:hint="cs"/>
          <w:sz w:val="27"/>
          <w:rtl/>
        </w:rPr>
        <w:t>ّ</w:t>
      </w:r>
      <w:r w:rsidRPr="00282AC9">
        <w:rPr>
          <w:sz w:val="27"/>
          <w:rtl/>
        </w:rPr>
        <w:t xml:space="preserve"> بإذن سلطان الوقت</w:t>
      </w:r>
      <w:r w:rsidRPr="00282AC9">
        <w:rPr>
          <w:rFonts w:hint="cs"/>
          <w:sz w:val="27"/>
          <w:rtl/>
        </w:rPr>
        <w:t xml:space="preserve"> [الحاكم الإسلامي]</w:t>
      </w:r>
      <w:r w:rsidRPr="00282AC9">
        <w:rPr>
          <w:sz w:val="27"/>
          <w:rtl/>
        </w:rPr>
        <w:t xml:space="preserve"> المنصوب للرياسة</w:t>
      </w:r>
      <w:r w:rsidRPr="00282AC9">
        <w:rPr>
          <w:rFonts w:hint="eastAsia"/>
          <w:sz w:val="24"/>
          <w:szCs w:val="24"/>
          <w:rtl/>
        </w:rPr>
        <w:t>»</w:t>
      </w:r>
      <w:r w:rsidRPr="00282AC9">
        <w:rPr>
          <w:sz w:val="27"/>
          <w:vertAlign w:val="superscript"/>
          <w:rtl/>
        </w:rPr>
        <w:t>(</w:t>
      </w:r>
      <w:r w:rsidRPr="00282AC9">
        <w:rPr>
          <w:rStyle w:val="af9"/>
          <w:sz w:val="27"/>
          <w:rtl/>
        </w:rPr>
        <w:endnoteReference w:id="68"/>
      </w:r>
      <w:r w:rsidRPr="00282AC9">
        <w:rPr>
          <w:sz w:val="27"/>
          <w:vertAlign w:val="superscript"/>
          <w:rtl/>
        </w:rPr>
        <w:t>)</w:t>
      </w:r>
      <w:r w:rsidRPr="00282AC9">
        <w:rPr>
          <w:rFonts w:hint="cs"/>
          <w:sz w:val="27"/>
          <w:rtl/>
        </w:rPr>
        <w:t xml:space="preserve">. </w:t>
      </w:r>
    </w:p>
    <w:p w:rsidR="00BC5E40" w:rsidRPr="00282AC9" w:rsidRDefault="00BC5E40" w:rsidP="00BF1956">
      <w:pPr>
        <w:spacing w:line="390" w:lineRule="exact"/>
        <w:rPr>
          <w:sz w:val="27"/>
          <w:rtl/>
        </w:rPr>
      </w:pPr>
      <w:r w:rsidRPr="00282AC9">
        <w:rPr>
          <w:rFonts w:hint="cs"/>
          <w:sz w:val="27"/>
          <w:rtl/>
        </w:rPr>
        <w:lastRenderedPageBreak/>
        <w:t>وقال القاضي ابن البر</w:t>
      </w:r>
      <w:r w:rsidR="00C23B64" w:rsidRPr="00282AC9">
        <w:rPr>
          <w:rFonts w:hint="cs"/>
          <w:sz w:val="27"/>
          <w:rtl/>
        </w:rPr>
        <w:t>ّ</w:t>
      </w:r>
      <w:r w:rsidRPr="00282AC9">
        <w:rPr>
          <w:rFonts w:hint="cs"/>
          <w:sz w:val="27"/>
          <w:rtl/>
        </w:rPr>
        <w:t xml:space="preserve">اج: </w:t>
      </w:r>
      <w:r w:rsidRPr="00282AC9">
        <w:rPr>
          <w:rFonts w:hint="eastAsia"/>
          <w:sz w:val="24"/>
          <w:szCs w:val="24"/>
          <w:rtl/>
        </w:rPr>
        <w:t>«</w:t>
      </w:r>
      <w:r w:rsidRPr="00282AC9">
        <w:rPr>
          <w:sz w:val="27"/>
          <w:rtl/>
        </w:rPr>
        <w:t>قد يكون الأمر بالمعروف باليد أيضا</w:t>
      </w:r>
      <w:r w:rsidRPr="00282AC9">
        <w:rPr>
          <w:rFonts w:hint="cs"/>
          <w:sz w:val="27"/>
          <w:rtl/>
        </w:rPr>
        <w:t>ً</w:t>
      </w:r>
      <w:r w:rsidRPr="00282AC9">
        <w:rPr>
          <w:sz w:val="27"/>
          <w:rtl/>
        </w:rPr>
        <w:t xml:space="preserve"> على وجه</w:t>
      </w:r>
      <w:r w:rsidR="00C23B64" w:rsidRPr="00282AC9">
        <w:rPr>
          <w:rFonts w:hint="cs"/>
          <w:sz w:val="27"/>
          <w:rtl/>
        </w:rPr>
        <w:t>ٍ</w:t>
      </w:r>
      <w:r w:rsidRPr="00282AC9">
        <w:rPr>
          <w:sz w:val="27"/>
          <w:rtl/>
        </w:rPr>
        <w:t xml:space="preserve"> آخر</w:t>
      </w:r>
      <w:r w:rsidR="00C23B64" w:rsidRPr="00282AC9">
        <w:rPr>
          <w:rFonts w:hint="cs"/>
          <w:sz w:val="27"/>
          <w:rtl/>
        </w:rPr>
        <w:t>،</w:t>
      </w:r>
      <w:r w:rsidRPr="00282AC9">
        <w:rPr>
          <w:sz w:val="27"/>
          <w:rtl/>
        </w:rPr>
        <w:t xml:space="preserve"> وهو أن يحمل الناس بالقتل والردع والتأديب والجراح والآلام على فعله</w:t>
      </w:r>
      <w:r w:rsidRPr="00282AC9">
        <w:rPr>
          <w:rFonts w:hint="cs"/>
          <w:sz w:val="27"/>
          <w:rtl/>
        </w:rPr>
        <w:t>،</w:t>
      </w:r>
      <w:r w:rsidRPr="00282AC9">
        <w:rPr>
          <w:sz w:val="27"/>
          <w:rtl/>
        </w:rPr>
        <w:t xml:space="preserve"> إلا</w:t>
      </w:r>
      <w:r w:rsidR="00C23B64" w:rsidRPr="00282AC9">
        <w:rPr>
          <w:rFonts w:hint="cs"/>
          <w:sz w:val="27"/>
          <w:rtl/>
        </w:rPr>
        <w:t>ّ</w:t>
      </w:r>
      <w:r w:rsidRPr="00282AC9">
        <w:rPr>
          <w:sz w:val="27"/>
          <w:rtl/>
        </w:rPr>
        <w:t xml:space="preserve"> أن هذا الوجه لا يجوز للمكل</w:t>
      </w:r>
      <w:r w:rsidR="00C23B64" w:rsidRPr="00282AC9">
        <w:rPr>
          <w:rFonts w:hint="cs"/>
          <w:sz w:val="27"/>
          <w:rtl/>
        </w:rPr>
        <w:t>َّ</w:t>
      </w:r>
      <w:r w:rsidRPr="00282AC9">
        <w:rPr>
          <w:sz w:val="27"/>
          <w:rtl/>
        </w:rPr>
        <w:t>ف الإقدام عليه إلا</w:t>
      </w:r>
      <w:r w:rsidR="00C23B64" w:rsidRPr="00282AC9">
        <w:rPr>
          <w:rFonts w:hint="cs"/>
          <w:sz w:val="27"/>
          <w:rtl/>
        </w:rPr>
        <w:t>ّ</w:t>
      </w:r>
      <w:r w:rsidRPr="00282AC9">
        <w:rPr>
          <w:sz w:val="27"/>
          <w:rtl/>
        </w:rPr>
        <w:t xml:space="preserve"> بأمر الإمام العادل وإذنه</w:t>
      </w:r>
      <w:r w:rsidRPr="00282AC9">
        <w:rPr>
          <w:rFonts w:hint="eastAsia"/>
          <w:sz w:val="24"/>
          <w:szCs w:val="24"/>
          <w:rtl/>
        </w:rPr>
        <w:t>»</w:t>
      </w:r>
      <w:r w:rsidRPr="00282AC9">
        <w:rPr>
          <w:sz w:val="27"/>
          <w:vertAlign w:val="superscript"/>
          <w:rtl/>
        </w:rPr>
        <w:t>(</w:t>
      </w:r>
      <w:r w:rsidRPr="00282AC9">
        <w:rPr>
          <w:rStyle w:val="af9"/>
          <w:sz w:val="27"/>
          <w:rtl/>
        </w:rPr>
        <w:endnoteReference w:id="69"/>
      </w:r>
      <w:r w:rsidRPr="00282AC9">
        <w:rPr>
          <w:sz w:val="27"/>
          <w:vertAlign w:val="superscript"/>
          <w:rtl/>
        </w:rPr>
        <w:t>)</w:t>
      </w:r>
      <w:r w:rsidRPr="00282AC9">
        <w:rPr>
          <w:rFonts w:hint="cs"/>
          <w:sz w:val="27"/>
          <w:rtl/>
        </w:rPr>
        <w:t>.</w:t>
      </w:r>
    </w:p>
    <w:p w:rsidR="00BC5E40" w:rsidRPr="00282AC9" w:rsidRDefault="00BC5E40" w:rsidP="00BF1956">
      <w:pPr>
        <w:spacing w:line="390" w:lineRule="exact"/>
        <w:rPr>
          <w:sz w:val="27"/>
          <w:rtl/>
        </w:rPr>
      </w:pPr>
      <w:r w:rsidRPr="00282AC9">
        <w:rPr>
          <w:rFonts w:hint="cs"/>
          <w:sz w:val="27"/>
          <w:rtl/>
        </w:rPr>
        <w:t>يُف</w:t>
      </w:r>
      <w:r w:rsidR="00C23B64" w:rsidRPr="00282AC9">
        <w:rPr>
          <w:rFonts w:hint="cs"/>
          <w:sz w:val="27"/>
          <w:rtl/>
        </w:rPr>
        <w:t>ْ</w:t>
      </w:r>
      <w:r w:rsidRPr="00282AC9">
        <w:rPr>
          <w:rFonts w:hint="cs"/>
          <w:sz w:val="27"/>
          <w:rtl/>
        </w:rPr>
        <w:t>ه</w:t>
      </w:r>
      <w:r w:rsidR="00C23B64" w:rsidRPr="00282AC9">
        <w:rPr>
          <w:rFonts w:hint="cs"/>
          <w:sz w:val="27"/>
          <w:rtl/>
        </w:rPr>
        <w:t>َ</w:t>
      </w:r>
      <w:r w:rsidRPr="00282AC9">
        <w:rPr>
          <w:rFonts w:hint="cs"/>
          <w:sz w:val="27"/>
          <w:rtl/>
        </w:rPr>
        <w:t>م من هذه العبارة وأمثالها أن المرحلة الأخيرة من الأمر بالمعروف والنهي عن المنكر مشروطة</w:t>
      </w:r>
      <w:r w:rsidR="00C23B64" w:rsidRPr="00282AC9">
        <w:rPr>
          <w:rFonts w:hint="cs"/>
          <w:sz w:val="27"/>
          <w:rtl/>
        </w:rPr>
        <w:t>ٌ</w:t>
      </w:r>
      <w:r w:rsidRPr="00282AC9">
        <w:rPr>
          <w:rFonts w:hint="cs"/>
          <w:sz w:val="27"/>
          <w:rtl/>
        </w:rPr>
        <w:t xml:space="preserve"> بحكم الحاكم الإسلامي</w:t>
      </w:r>
      <w:r w:rsidR="00C23B64" w:rsidRPr="00282AC9">
        <w:rPr>
          <w:rFonts w:hint="cs"/>
          <w:sz w:val="27"/>
          <w:rtl/>
        </w:rPr>
        <w:t>.</w:t>
      </w:r>
      <w:r w:rsidRPr="00282AC9">
        <w:rPr>
          <w:rFonts w:hint="cs"/>
          <w:sz w:val="27"/>
          <w:rtl/>
        </w:rPr>
        <w:t xml:space="preserve"> و</w:t>
      </w:r>
      <w:r w:rsidR="00674EF5" w:rsidRPr="00282AC9">
        <w:rPr>
          <w:rFonts w:hint="cs"/>
          <w:sz w:val="27"/>
          <w:rtl/>
        </w:rPr>
        <w:t>لا شَكَّ</w:t>
      </w:r>
      <w:r w:rsidRPr="00282AC9">
        <w:rPr>
          <w:rFonts w:hint="cs"/>
          <w:sz w:val="27"/>
          <w:rtl/>
        </w:rPr>
        <w:t xml:space="preserve"> في أن هذا الحكم هو من الأحكام الولائية. فكل</w:t>
      </w:r>
      <w:r w:rsidR="00C23B64" w:rsidRPr="00282AC9">
        <w:rPr>
          <w:rFonts w:hint="cs"/>
          <w:sz w:val="27"/>
          <w:rtl/>
        </w:rPr>
        <w:t>ّ</w:t>
      </w:r>
      <w:r w:rsidRPr="00282AC9">
        <w:rPr>
          <w:rFonts w:hint="cs"/>
          <w:sz w:val="27"/>
          <w:rtl/>
        </w:rPr>
        <w:t>ما وجد الحاكم مصلحة أذن</w:t>
      </w:r>
      <w:r w:rsidR="00C23B64" w:rsidRPr="00282AC9">
        <w:rPr>
          <w:rFonts w:hint="cs"/>
          <w:sz w:val="27"/>
          <w:rtl/>
        </w:rPr>
        <w:t>؛</w:t>
      </w:r>
      <w:r w:rsidRPr="00282AC9">
        <w:rPr>
          <w:rFonts w:hint="cs"/>
          <w:sz w:val="27"/>
          <w:rtl/>
        </w:rPr>
        <w:t xml:space="preserve"> ومع عدم إذن الحاكم تنتفي المشروعية أيضاً.</w:t>
      </w:r>
    </w:p>
    <w:p w:rsidR="00D56669" w:rsidRPr="00282AC9" w:rsidRDefault="00D56669" w:rsidP="00BF1956">
      <w:pPr>
        <w:spacing w:line="360" w:lineRule="exact"/>
        <w:rPr>
          <w:sz w:val="27"/>
          <w:rtl/>
        </w:rPr>
      </w:pPr>
    </w:p>
    <w:p w:rsidR="00C23B64" w:rsidRPr="00282AC9" w:rsidRDefault="00BC5E40" w:rsidP="00C23B64">
      <w:pPr>
        <w:pStyle w:val="31"/>
        <w:rPr>
          <w:color w:val="auto"/>
          <w:rtl/>
        </w:rPr>
      </w:pPr>
      <w:r w:rsidRPr="00282AC9">
        <w:rPr>
          <w:rFonts w:hint="cs"/>
          <w:color w:val="auto"/>
          <w:rtl/>
        </w:rPr>
        <w:t>6ـ الحكم بتعطيل الحج</w:t>
      </w:r>
      <w:r w:rsidR="00C23B64" w:rsidRPr="00282AC9">
        <w:rPr>
          <w:rFonts w:hint="cs"/>
          <w:color w:val="auto"/>
          <w:rtl/>
        </w:rPr>
        <w:t>ّ</w:t>
      </w:r>
      <w:r w:rsidRPr="00282AC9">
        <w:rPr>
          <w:rFonts w:hint="cs"/>
          <w:color w:val="auto"/>
          <w:rtl/>
        </w:rPr>
        <w:t xml:space="preserve"> مؤق</w:t>
      </w:r>
      <w:r w:rsidR="00C23B64" w:rsidRPr="00282AC9">
        <w:rPr>
          <w:rFonts w:hint="cs"/>
          <w:color w:val="auto"/>
          <w:rtl/>
        </w:rPr>
        <w:t>ّ</w:t>
      </w:r>
      <w:r w:rsidRPr="00282AC9">
        <w:rPr>
          <w:rFonts w:hint="cs"/>
          <w:color w:val="auto"/>
          <w:rtl/>
        </w:rPr>
        <w:t>تاً</w:t>
      </w:r>
    </w:p>
    <w:p w:rsidR="00BC5E40" w:rsidRPr="00282AC9" w:rsidRDefault="00BC5E40" w:rsidP="00BF1956">
      <w:pPr>
        <w:spacing w:line="390" w:lineRule="exact"/>
        <w:rPr>
          <w:sz w:val="27"/>
          <w:rtl/>
        </w:rPr>
      </w:pPr>
      <w:r w:rsidRPr="00282AC9">
        <w:rPr>
          <w:rFonts w:hint="cs"/>
          <w:sz w:val="27"/>
          <w:rtl/>
        </w:rPr>
        <w:t>قال الإمام الخميني</w:t>
      </w:r>
      <w:r w:rsidR="009A2A04" w:rsidRPr="00282AC9">
        <w:rPr>
          <w:rFonts w:cs="Mosawi" w:hint="cs"/>
          <w:sz w:val="22"/>
          <w:szCs w:val="22"/>
          <w:rtl/>
        </w:rPr>
        <w:t>&amp;</w:t>
      </w:r>
      <w:r w:rsidR="00C23B64" w:rsidRPr="00282AC9">
        <w:rPr>
          <w:rFonts w:hint="cs"/>
          <w:sz w:val="27"/>
          <w:rtl/>
        </w:rPr>
        <w:t>،</w:t>
      </w:r>
      <w:r w:rsidRPr="00282AC9">
        <w:rPr>
          <w:rFonts w:hint="cs"/>
          <w:sz w:val="27"/>
          <w:rtl/>
        </w:rPr>
        <w:t xml:space="preserve"> بشأن </w:t>
      </w:r>
      <w:r w:rsidR="00C23B64" w:rsidRPr="00282AC9">
        <w:rPr>
          <w:rFonts w:hint="cs"/>
          <w:sz w:val="27"/>
          <w:rtl/>
        </w:rPr>
        <w:t>صلاحيات</w:t>
      </w:r>
      <w:r w:rsidRPr="00282AC9">
        <w:rPr>
          <w:rFonts w:hint="cs"/>
          <w:sz w:val="27"/>
          <w:rtl/>
        </w:rPr>
        <w:t xml:space="preserve"> الحكومة الإسلامية: </w:t>
      </w:r>
      <w:r w:rsidRPr="00282AC9">
        <w:rPr>
          <w:rFonts w:hint="eastAsia"/>
          <w:sz w:val="24"/>
          <w:szCs w:val="24"/>
          <w:rtl/>
        </w:rPr>
        <w:t>«</w:t>
      </w:r>
      <w:r w:rsidRPr="00282AC9">
        <w:rPr>
          <w:rFonts w:hint="cs"/>
          <w:sz w:val="27"/>
          <w:rtl/>
        </w:rPr>
        <w:t>يمكن للحكومة الإسلامية أن تمنع الحج</w:t>
      </w:r>
      <w:r w:rsidR="00C23B64" w:rsidRPr="00282AC9">
        <w:rPr>
          <w:rFonts w:hint="cs"/>
          <w:sz w:val="27"/>
          <w:rtl/>
        </w:rPr>
        <w:t>ّ</w:t>
      </w:r>
      <w:r w:rsidRPr="00282AC9">
        <w:rPr>
          <w:rFonts w:hint="cs"/>
          <w:sz w:val="27"/>
          <w:rtl/>
        </w:rPr>
        <w:t xml:space="preserve"> ـ وهو من الفرائض الإلهي</w:t>
      </w:r>
      <w:r w:rsidR="00C23B64" w:rsidRPr="00282AC9">
        <w:rPr>
          <w:rFonts w:hint="cs"/>
          <w:sz w:val="27"/>
          <w:rtl/>
        </w:rPr>
        <w:t>ّ</w:t>
      </w:r>
      <w:r w:rsidRPr="00282AC9">
        <w:rPr>
          <w:rFonts w:hint="cs"/>
          <w:sz w:val="27"/>
          <w:rtl/>
        </w:rPr>
        <w:t>ة الهام</w:t>
      </w:r>
      <w:r w:rsidR="00C23B64" w:rsidRPr="00282AC9">
        <w:rPr>
          <w:rFonts w:hint="cs"/>
          <w:sz w:val="27"/>
          <w:rtl/>
        </w:rPr>
        <w:t>ّ</w:t>
      </w:r>
      <w:r w:rsidRPr="00282AC9">
        <w:rPr>
          <w:rFonts w:hint="cs"/>
          <w:sz w:val="27"/>
          <w:rtl/>
        </w:rPr>
        <w:t>ة ـ مؤق</w:t>
      </w:r>
      <w:r w:rsidR="00C23B64" w:rsidRPr="00282AC9">
        <w:rPr>
          <w:rFonts w:hint="cs"/>
          <w:sz w:val="27"/>
          <w:rtl/>
        </w:rPr>
        <w:t>َّ</w:t>
      </w:r>
      <w:r w:rsidRPr="00282AC9">
        <w:rPr>
          <w:rFonts w:hint="cs"/>
          <w:sz w:val="27"/>
          <w:rtl/>
        </w:rPr>
        <w:t>تاً، وذلك عندما تجد أنه مخالف</w:t>
      </w:r>
      <w:r w:rsidR="00C23B64" w:rsidRPr="00282AC9">
        <w:rPr>
          <w:rFonts w:hint="cs"/>
          <w:sz w:val="27"/>
          <w:rtl/>
        </w:rPr>
        <w:t>ٌ</w:t>
      </w:r>
      <w:r w:rsidRPr="00282AC9">
        <w:rPr>
          <w:rFonts w:hint="cs"/>
          <w:sz w:val="27"/>
          <w:rtl/>
        </w:rPr>
        <w:t xml:space="preserve"> لمصالح الدولة الإسلامي</w:t>
      </w:r>
      <w:r w:rsidR="00C23B64" w:rsidRPr="00282AC9">
        <w:rPr>
          <w:rFonts w:hint="cs"/>
          <w:sz w:val="27"/>
          <w:rtl/>
        </w:rPr>
        <w:t>ّ</w:t>
      </w:r>
      <w:r w:rsidRPr="00282AC9">
        <w:rPr>
          <w:rFonts w:hint="cs"/>
          <w:sz w:val="27"/>
          <w:rtl/>
        </w:rPr>
        <w:t>ة</w:t>
      </w:r>
      <w:r w:rsidRPr="00282AC9">
        <w:rPr>
          <w:rFonts w:hint="eastAsia"/>
          <w:sz w:val="24"/>
          <w:szCs w:val="24"/>
          <w:rtl/>
        </w:rPr>
        <w:t>»</w:t>
      </w:r>
      <w:r w:rsidRPr="00282AC9">
        <w:rPr>
          <w:sz w:val="27"/>
          <w:vertAlign w:val="superscript"/>
          <w:rtl/>
        </w:rPr>
        <w:t>(</w:t>
      </w:r>
      <w:r w:rsidRPr="00282AC9">
        <w:rPr>
          <w:rStyle w:val="af9"/>
          <w:sz w:val="27"/>
          <w:rtl/>
        </w:rPr>
        <w:endnoteReference w:id="70"/>
      </w:r>
      <w:r w:rsidRPr="00282AC9">
        <w:rPr>
          <w:sz w:val="27"/>
          <w:vertAlign w:val="superscript"/>
          <w:rtl/>
        </w:rPr>
        <w:t>)</w:t>
      </w:r>
      <w:r w:rsidRPr="00282AC9">
        <w:rPr>
          <w:rFonts w:hint="cs"/>
          <w:sz w:val="27"/>
          <w:rtl/>
        </w:rPr>
        <w:t>.</w:t>
      </w:r>
    </w:p>
    <w:p w:rsidR="00BC5E40" w:rsidRPr="00282AC9" w:rsidRDefault="00674EF5" w:rsidP="00BF1956">
      <w:pPr>
        <w:spacing w:line="390" w:lineRule="exact"/>
        <w:rPr>
          <w:sz w:val="27"/>
          <w:rtl/>
        </w:rPr>
      </w:pPr>
      <w:r w:rsidRPr="00282AC9">
        <w:rPr>
          <w:rFonts w:hint="cs"/>
          <w:sz w:val="27"/>
          <w:rtl/>
        </w:rPr>
        <w:t>لا شَكَّ</w:t>
      </w:r>
      <w:r w:rsidR="00BC5E40" w:rsidRPr="00282AC9">
        <w:rPr>
          <w:rFonts w:hint="cs"/>
          <w:sz w:val="27"/>
          <w:rtl/>
        </w:rPr>
        <w:t xml:space="preserve"> في أن تعطيل الحج</w:t>
      </w:r>
      <w:r w:rsidR="00C23B64" w:rsidRPr="00282AC9">
        <w:rPr>
          <w:rFonts w:hint="cs"/>
          <w:sz w:val="27"/>
          <w:rtl/>
        </w:rPr>
        <w:t>ّ</w:t>
      </w:r>
      <w:r w:rsidR="00BC5E40" w:rsidRPr="00282AC9">
        <w:rPr>
          <w:rFonts w:hint="cs"/>
          <w:sz w:val="27"/>
          <w:rtl/>
        </w:rPr>
        <w:t xml:space="preserve"> عندما يرى الحاكم الإسلامي مصلحة</w:t>
      </w:r>
      <w:r w:rsidR="00C23B64" w:rsidRPr="00282AC9">
        <w:rPr>
          <w:rFonts w:hint="cs"/>
          <w:sz w:val="27"/>
          <w:rtl/>
        </w:rPr>
        <w:t>َ</w:t>
      </w:r>
      <w:r w:rsidR="00BC5E40" w:rsidRPr="00282AC9">
        <w:rPr>
          <w:rFonts w:hint="cs"/>
          <w:sz w:val="27"/>
          <w:rtl/>
        </w:rPr>
        <w:t xml:space="preserve"> المجتمع والدولة الإسلامية في ذلك يُع</w:t>
      </w:r>
      <w:r w:rsidR="00C23B64" w:rsidRPr="00282AC9">
        <w:rPr>
          <w:rFonts w:hint="cs"/>
          <w:sz w:val="27"/>
          <w:rtl/>
        </w:rPr>
        <w:t>َ</w:t>
      </w:r>
      <w:r w:rsidR="00BC5E40" w:rsidRPr="00282AC9">
        <w:rPr>
          <w:rFonts w:hint="cs"/>
          <w:sz w:val="27"/>
          <w:rtl/>
        </w:rPr>
        <w:t>دّ من الأحكام الولائي</w:t>
      </w:r>
      <w:r w:rsidR="00C23B64" w:rsidRPr="00282AC9">
        <w:rPr>
          <w:rFonts w:hint="cs"/>
          <w:sz w:val="27"/>
          <w:rtl/>
        </w:rPr>
        <w:t>ّ</w:t>
      </w:r>
      <w:r w:rsidR="00BC5E40" w:rsidRPr="00282AC9">
        <w:rPr>
          <w:rFonts w:hint="cs"/>
          <w:sz w:val="27"/>
          <w:rtl/>
        </w:rPr>
        <w:t>ة والمؤق</w:t>
      </w:r>
      <w:r w:rsidR="00C23B64" w:rsidRPr="00282AC9">
        <w:rPr>
          <w:rFonts w:hint="cs"/>
          <w:sz w:val="27"/>
          <w:rtl/>
        </w:rPr>
        <w:t>َّ</w:t>
      </w:r>
      <w:r w:rsidR="00BC5E40" w:rsidRPr="00282AC9">
        <w:rPr>
          <w:rFonts w:hint="cs"/>
          <w:sz w:val="27"/>
          <w:rtl/>
        </w:rPr>
        <w:t>تة.</w:t>
      </w:r>
    </w:p>
    <w:p w:rsidR="00C23B64" w:rsidRPr="00282AC9" w:rsidRDefault="00C23B64" w:rsidP="00BF1956">
      <w:pPr>
        <w:spacing w:line="360" w:lineRule="exact"/>
        <w:rPr>
          <w:sz w:val="27"/>
          <w:rtl/>
        </w:rPr>
      </w:pPr>
    </w:p>
    <w:p w:rsidR="00C23B64" w:rsidRPr="00282AC9" w:rsidRDefault="00C23B64" w:rsidP="00C23B64">
      <w:pPr>
        <w:pStyle w:val="31"/>
        <w:rPr>
          <w:color w:val="auto"/>
          <w:rtl/>
        </w:rPr>
      </w:pPr>
      <w:r w:rsidRPr="00282AC9">
        <w:rPr>
          <w:rFonts w:hint="cs"/>
          <w:color w:val="auto"/>
          <w:rtl/>
        </w:rPr>
        <w:t>7</w:t>
      </w:r>
      <w:r w:rsidR="00BC5E40" w:rsidRPr="00282AC9">
        <w:rPr>
          <w:rFonts w:hint="cs"/>
          <w:color w:val="auto"/>
          <w:rtl/>
        </w:rPr>
        <w:t>ـ الحكم بوجوب البراءة من المشركين</w:t>
      </w:r>
    </w:p>
    <w:p w:rsidR="00BC5E40" w:rsidRPr="00282AC9" w:rsidRDefault="00BC5E40" w:rsidP="00BF1956">
      <w:pPr>
        <w:spacing w:line="390" w:lineRule="exact"/>
        <w:rPr>
          <w:sz w:val="27"/>
          <w:rtl/>
        </w:rPr>
      </w:pPr>
      <w:r w:rsidRPr="00282AC9">
        <w:rPr>
          <w:rFonts w:hint="cs"/>
          <w:sz w:val="27"/>
          <w:rtl/>
        </w:rPr>
        <w:t xml:space="preserve">لقد أشار الإمام الخميني إلى هذه المسألة في الكثير من المناسبات. </w:t>
      </w:r>
      <w:r w:rsidR="00C23B64" w:rsidRPr="00282AC9">
        <w:rPr>
          <w:rFonts w:hint="cs"/>
          <w:sz w:val="27"/>
          <w:rtl/>
        </w:rPr>
        <w:t>و</w:t>
      </w:r>
      <w:r w:rsidRPr="00282AC9">
        <w:rPr>
          <w:rFonts w:hint="cs"/>
          <w:sz w:val="27"/>
          <w:rtl/>
        </w:rPr>
        <w:t>من ذلك</w:t>
      </w:r>
      <w:r w:rsidR="00C23B64" w:rsidRPr="00282AC9">
        <w:rPr>
          <w:rFonts w:hint="cs"/>
          <w:sz w:val="27"/>
          <w:rtl/>
        </w:rPr>
        <w:t>،</w:t>
      </w:r>
      <w:r w:rsidRPr="00282AC9">
        <w:rPr>
          <w:rFonts w:hint="cs"/>
          <w:sz w:val="27"/>
          <w:rtl/>
        </w:rPr>
        <w:t xml:space="preserve"> على سبيل المثال</w:t>
      </w:r>
      <w:r w:rsidR="00C23B64" w:rsidRPr="00282AC9">
        <w:rPr>
          <w:rFonts w:hint="cs"/>
          <w:sz w:val="27"/>
          <w:rtl/>
        </w:rPr>
        <w:t>،</w:t>
      </w:r>
      <w:r w:rsidRPr="00282AC9">
        <w:rPr>
          <w:rFonts w:hint="cs"/>
          <w:sz w:val="27"/>
          <w:rtl/>
        </w:rPr>
        <w:t xml:space="preserve"> أنه قال في ندائه</w:t>
      </w:r>
      <w:r w:rsidR="00C23B64" w:rsidRPr="00282AC9">
        <w:rPr>
          <w:rFonts w:hint="cs"/>
          <w:sz w:val="27"/>
          <w:rtl/>
        </w:rPr>
        <w:t>،</w:t>
      </w:r>
      <w:r w:rsidRPr="00282AC9">
        <w:rPr>
          <w:rFonts w:hint="cs"/>
          <w:sz w:val="27"/>
          <w:rtl/>
        </w:rPr>
        <w:t xml:space="preserve"> الذي أصدره سنة 1362هـ</w:t>
      </w:r>
      <w:r w:rsidR="00C23B64" w:rsidRPr="00282AC9">
        <w:rPr>
          <w:rFonts w:hint="cs"/>
          <w:sz w:val="27"/>
          <w:rtl/>
        </w:rPr>
        <w:t>.</w:t>
      </w:r>
      <w:r w:rsidRPr="00282AC9">
        <w:rPr>
          <w:rFonts w:hint="cs"/>
          <w:sz w:val="27"/>
          <w:rtl/>
        </w:rPr>
        <w:t>ش (1983م)</w:t>
      </w:r>
      <w:r w:rsidR="00C23B64" w:rsidRPr="00282AC9">
        <w:rPr>
          <w:rFonts w:hint="cs"/>
          <w:sz w:val="27"/>
          <w:rtl/>
        </w:rPr>
        <w:t>،</w:t>
      </w:r>
      <w:r w:rsidRPr="00282AC9">
        <w:rPr>
          <w:rFonts w:hint="cs"/>
          <w:sz w:val="27"/>
          <w:rtl/>
        </w:rPr>
        <w:t xml:space="preserve"> بمناسبة حلول عيد الأضحى المبارك: </w:t>
      </w:r>
      <w:r w:rsidRPr="00282AC9">
        <w:rPr>
          <w:rFonts w:hint="eastAsia"/>
          <w:sz w:val="24"/>
          <w:szCs w:val="24"/>
          <w:rtl/>
        </w:rPr>
        <w:t>«</w:t>
      </w:r>
      <w:r w:rsidRPr="00282AC9">
        <w:rPr>
          <w:rFonts w:hint="cs"/>
          <w:sz w:val="27"/>
          <w:rtl/>
        </w:rPr>
        <w:t>على الجميع أن يتأسّ</w:t>
      </w:r>
      <w:r w:rsidR="00C23B64" w:rsidRPr="00282AC9">
        <w:rPr>
          <w:rFonts w:hint="cs"/>
          <w:sz w:val="27"/>
          <w:rtl/>
        </w:rPr>
        <w:t>َ</w:t>
      </w:r>
      <w:r w:rsidRPr="00282AC9">
        <w:rPr>
          <w:rFonts w:hint="cs"/>
          <w:sz w:val="27"/>
          <w:rtl/>
        </w:rPr>
        <w:t>ى بوالد التوحيد وأب</w:t>
      </w:r>
      <w:r w:rsidR="0085018A" w:rsidRPr="00282AC9">
        <w:rPr>
          <w:rFonts w:hint="cs"/>
          <w:sz w:val="27"/>
          <w:rtl/>
        </w:rPr>
        <w:t>ي</w:t>
      </w:r>
      <w:r w:rsidRPr="00282AC9">
        <w:rPr>
          <w:rFonts w:hint="cs"/>
          <w:sz w:val="27"/>
          <w:rtl/>
        </w:rPr>
        <w:t xml:space="preserve"> الأنبياء العظام. وفي سورة التوبة</w:t>
      </w:r>
      <w:r w:rsidR="00C04B94" w:rsidRPr="00282AC9">
        <w:rPr>
          <w:rFonts w:hint="cs"/>
          <w:sz w:val="27"/>
          <w:rtl/>
        </w:rPr>
        <w:t>،</w:t>
      </w:r>
      <w:r w:rsidRPr="00282AC9">
        <w:rPr>
          <w:rFonts w:hint="cs"/>
          <w:sz w:val="27"/>
          <w:rtl/>
        </w:rPr>
        <w:t xml:space="preserve"> حيث ورد الأمر بتلاوتها على الملأ في مك</w:t>
      </w:r>
      <w:r w:rsidR="00C04B94" w:rsidRPr="00282AC9">
        <w:rPr>
          <w:rFonts w:hint="cs"/>
          <w:sz w:val="27"/>
          <w:rtl/>
        </w:rPr>
        <w:t>ّ</w:t>
      </w:r>
      <w:r w:rsidRPr="00282AC9">
        <w:rPr>
          <w:rFonts w:hint="cs"/>
          <w:sz w:val="27"/>
          <w:rtl/>
        </w:rPr>
        <w:t>ة المكرّ</w:t>
      </w:r>
      <w:r w:rsidR="00C04B94" w:rsidRPr="00282AC9">
        <w:rPr>
          <w:rFonts w:hint="cs"/>
          <w:sz w:val="27"/>
          <w:rtl/>
        </w:rPr>
        <w:t>َ</w:t>
      </w:r>
      <w:r w:rsidRPr="00282AC9">
        <w:rPr>
          <w:rFonts w:hint="cs"/>
          <w:sz w:val="27"/>
          <w:rtl/>
        </w:rPr>
        <w:t xml:space="preserve">مة، نقرأ قوله تعالى: </w:t>
      </w:r>
      <w:r w:rsidR="00C5291F" w:rsidRPr="00282AC9">
        <w:rPr>
          <w:rFonts w:ascii="Mosawi" w:hAnsi="Mosawi" w:cs="Mosawi"/>
          <w:sz w:val="24"/>
          <w:szCs w:val="24"/>
          <w:rtl/>
        </w:rPr>
        <w:t>﴿</w:t>
      </w:r>
      <w:r w:rsidRPr="00282AC9">
        <w:rPr>
          <w:b/>
          <w:bCs/>
          <w:sz w:val="27"/>
          <w:rtl/>
        </w:rPr>
        <w:t xml:space="preserve">وَأَذَانٌ مِنَ </w:t>
      </w:r>
      <w:r w:rsidR="006D28AF" w:rsidRPr="00282AC9">
        <w:rPr>
          <w:b/>
          <w:bCs/>
          <w:sz w:val="27"/>
          <w:rtl/>
        </w:rPr>
        <w:t>الل</w:t>
      </w:r>
      <w:r w:rsidRPr="00282AC9">
        <w:rPr>
          <w:b/>
          <w:bCs/>
          <w:sz w:val="27"/>
          <w:rtl/>
        </w:rPr>
        <w:t>هِ وَرَسُولِهِ إِلَى النَّاسِ يَوْمَ الْحَجِّ ا</w:t>
      </w:r>
      <w:r w:rsidR="00C04B94" w:rsidRPr="00282AC9">
        <w:rPr>
          <w:b/>
          <w:bCs/>
          <w:sz w:val="27"/>
          <w:rtl/>
        </w:rPr>
        <w:t>ل</w:t>
      </w:r>
      <w:r w:rsidRPr="00282AC9">
        <w:rPr>
          <w:b/>
          <w:bCs/>
          <w:sz w:val="27"/>
          <w:rtl/>
        </w:rPr>
        <w:t xml:space="preserve">أَكْبَرِ أَنَّ </w:t>
      </w:r>
      <w:r w:rsidR="006D28AF" w:rsidRPr="00282AC9">
        <w:rPr>
          <w:b/>
          <w:bCs/>
          <w:sz w:val="27"/>
          <w:rtl/>
        </w:rPr>
        <w:t>الل</w:t>
      </w:r>
      <w:r w:rsidRPr="00282AC9">
        <w:rPr>
          <w:b/>
          <w:bCs/>
          <w:sz w:val="27"/>
          <w:rtl/>
        </w:rPr>
        <w:t>هَ بَرِيءٌ مِنَ الْمُشْرِكِينَ وَرَسُولُهُ</w:t>
      </w:r>
      <w:r w:rsidR="00C5291F" w:rsidRPr="00282AC9">
        <w:rPr>
          <w:rFonts w:ascii="Mosawi" w:hAnsi="Mosawi" w:cs="Mosawi"/>
          <w:sz w:val="24"/>
          <w:szCs w:val="24"/>
          <w:rtl/>
        </w:rPr>
        <w:t>﴾</w:t>
      </w:r>
      <w:r w:rsidRPr="00282AC9">
        <w:rPr>
          <w:rFonts w:hint="cs"/>
          <w:sz w:val="27"/>
          <w:rtl/>
        </w:rPr>
        <w:t xml:space="preserve"> (التوبة: 3)، حيث تمث</w:t>
      </w:r>
      <w:r w:rsidR="00C04B94" w:rsidRPr="00282AC9">
        <w:rPr>
          <w:rFonts w:hint="cs"/>
          <w:sz w:val="27"/>
          <w:rtl/>
        </w:rPr>
        <w:t>ِّ</w:t>
      </w:r>
      <w:r w:rsidRPr="00282AC9">
        <w:rPr>
          <w:rFonts w:hint="cs"/>
          <w:sz w:val="27"/>
          <w:rtl/>
        </w:rPr>
        <w:t>ل هذه الآية صرخة</w:t>
      </w:r>
      <w:r w:rsidR="00C04B94" w:rsidRPr="00282AC9">
        <w:rPr>
          <w:rFonts w:hint="cs"/>
          <w:sz w:val="27"/>
          <w:rtl/>
        </w:rPr>
        <w:t>َ</w:t>
      </w:r>
      <w:r w:rsidRPr="00282AC9">
        <w:rPr>
          <w:rFonts w:hint="cs"/>
          <w:sz w:val="27"/>
          <w:rtl/>
        </w:rPr>
        <w:t xml:space="preserve"> البراءة من المشركين في موسم الحج</w:t>
      </w:r>
      <w:r w:rsidR="00C04B94" w:rsidRPr="00282AC9">
        <w:rPr>
          <w:rFonts w:hint="cs"/>
          <w:sz w:val="27"/>
          <w:rtl/>
        </w:rPr>
        <w:t>ّ</w:t>
      </w:r>
      <w:r w:rsidRPr="00282AC9">
        <w:rPr>
          <w:rFonts w:hint="cs"/>
          <w:sz w:val="27"/>
          <w:rtl/>
        </w:rPr>
        <w:t>، وهي الصرخة السياسي</w:t>
      </w:r>
      <w:r w:rsidR="00C04B94" w:rsidRPr="00282AC9">
        <w:rPr>
          <w:rFonts w:hint="cs"/>
          <w:sz w:val="27"/>
          <w:rtl/>
        </w:rPr>
        <w:t>ّ</w:t>
      </w:r>
      <w:r w:rsidRPr="00282AC9">
        <w:rPr>
          <w:rFonts w:hint="cs"/>
          <w:sz w:val="27"/>
          <w:rtl/>
        </w:rPr>
        <w:t>ة العبادي</w:t>
      </w:r>
      <w:r w:rsidR="00C04B94" w:rsidRPr="00282AC9">
        <w:rPr>
          <w:rFonts w:hint="cs"/>
          <w:sz w:val="27"/>
          <w:rtl/>
        </w:rPr>
        <w:t>ّ</w:t>
      </w:r>
      <w:r w:rsidRPr="00282AC9">
        <w:rPr>
          <w:rFonts w:hint="cs"/>
          <w:sz w:val="27"/>
          <w:rtl/>
        </w:rPr>
        <w:t>ة التي أمر بها رسول الله</w:t>
      </w:r>
      <w:r w:rsidR="009A2A04" w:rsidRPr="00282AC9">
        <w:rPr>
          <w:rFonts w:cs="Mosawi" w:hint="cs"/>
          <w:sz w:val="22"/>
          <w:szCs w:val="22"/>
          <w:rtl/>
        </w:rPr>
        <w:t>|</w:t>
      </w:r>
      <w:r w:rsidRPr="00282AC9">
        <w:rPr>
          <w:rFonts w:hint="eastAsia"/>
          <w:sz w:val="24"/>
          <w:szCs w:val="24"/>
          <w:rtl/>
        </w:rPr>
        <w:t>»</w:t>
      </w:r>
      <w:r w:rsidRPr="00282AC9">
        <w:rPr>
          <w:sz w:val="27"/>
          <w:vertAlign w:val="superscript"/>
          <w:rtl/>
        </w:rPr>
        <w:t>(</w:t>
      </w:r>
      <w:r w:rsidRPr="00282AC9">
        <w:rPr>
          <w:rStyle w:val="af9"/>
          <w:sz w:val="27"/>
          <w:rtl/>
        </w:rPr>
        <w:endnoteReference w:id="71"/>
      </w:r>
      <w:r w:rsidRPr="00282AC9">
        <w:rPr>
          <w:sz w:val="27"/>
          <w:vertAlign w:val="superscript"/>
          <w:rtl/>
        </w:rPr>
        <w:t>)</w:t>
      </w:r>
      <w:r w:rsidRPr="00282AC9">
        <w:rPr>
          <w:rFonts w:hint="cs"/>
          <w:sz w:val="27"/>
          <w:rtl/>
        </w:rPr>
        <w:t>.</w:t>
      </w:r>
    </w:p>
    <w:p w:rsidR="00BC5E40" w:rsidRPr="00282AC9" w:rsidRDefault="00BC5E40" w:rsidP="00BF1956">
      <w:pPr>
        <w:spacing w:line="370" w:lineRule="exact"/>
        <w:rPr>
          <w:sz w:val="27"/>
          <w:rtl/>
        </w:rPr>
      </w:pPr>
    </w:p>
    <w:p w:rsidR="00BC5E40" w:rsidRPr="00282AC9" w:rsidRDefault="00927527" w:rsidP="00B95158">
      <w:pPr>
        <w:pStyle w:val="31"/>
        <w:rPr>
          <w:color w:val="auto"/>
          <w:rtl/>
        </w:rPr>
      </w:pPr>
      <w:r w:rsidRPr="00282AC9">
        <w:rPr>
          <w:rFonts w:hint="cs"/>
          <w:color w:val="auto"/>
          <w:rtl/>
        </w:rPr>
        <w:t xml:space="preserve">ب ـ </w:t>
      </w:r>
      <w:r w:rsidR="00BC5E40" w:rsidRPr="00282AC9">
        <w:rPr>
          <w:rFonts w:hint="cs"/>
          <w:color w:val="auto"/>
          <w:rtl/>
        </w:rPr>
        <w:t>نماذج من الأحكام الولائي</w:t>
      </w:r>
      <w:r w:rsidR="00C04B94" w:rsidRPr="00282AC9">
        <w:rPr>
          <w:rFonts w:hint="cs"/>
          <w:color w:val="auto"/>
          <w:rtl/>
        </w:rPr>
        <w:t>ّ</w:t>
      </w:r>
      <w:r w:rsidR="00BC5E40" w:rsidRPr="00282AC9">
        <w:rPr>
          <w:rFonts w:hint="cs"/>
          <w:color w:val="auto"/>
          <w:rtl/>
        </w:rPr>
        <w:t>ة</w:t>
      </w:r>
      <w:r w:rsidR="00B95158" w:rsidRPr="00282AC9">
        <w:rPr>
          <w:rFonts w:hint="cs"/>
          <w:color w:val="auto"/>
          <w:rtl/>
        </w:rPr>
        <w:t xml:space="preserve"> الاقتصاديّة</w:t>
      </w:r>
    </w:p>
    <w:p w:rsidR="00C04B94" w:rsidRPr="00282AC9" w:rsidRDefault="00BC5E40" w:rsidP="00C04B94">
      <w:pPr>
        <w:pStyle w:val="31"/>
        <w:rPr>
          <w:color w:val="auto"/>
          <w:rtl/>
        </w:rPr>
      </w:pPr>
      <w:r w:rsidRPr="00282AC9">
        <w:rPr>
          <w:rFonts w:hint="cs"/>
          <w:color w:val="auto"/>
          <w:rtl/>
        </w:rPr>
        <w:t>1ـ الحكم ببيع الأموال المحت</w:t>
      </w:r>
      <w:r w:rsidR="00927527" w:rsidRPr="00282AC9">
        <w:rPr>
          <w:rFonts w:hint="cs"/>
          <w:color w:val="auto"/>
          <w:rtl/>
        </w:rPr>
        <w:t>َ</w:t>
      </w:r>
      <w:r w:rsidRPr="00282AC9">
        <w:rPr>
          <w:rFonts w:hint="cs"/>
          <w:color w:val="auto"/>
          <w:rtl/>
        </w:rPr>
        <w:t>ك</w:t>
      </w:r>
      <w:r w:rsidR="00C04B94" w:rsidRPr="00282AC9">
        <w:rPr>
          <w:rFonts w:hint="cs"/>
          <w:color w:val="auto"/>
          <w:rtl/>
        </w:rPr>
        <w:t>َ</w:t>
      </w:r>
      <w:r w:rsidRPr="00282AC9">
        <w:rPr>
          <w:rFonts w:hint="cs"/>
          <w:color w:val="auto"/>
          <w:rtl/>
        </w:rPr>
        <w:t>رة</w:t>
      </w:r>
    </w:p>
    <w:p w:rsidR="00BC5E40" w:rsidRPr="00282AC9" w:rsidRDefault="00BC5E40" w:rsidP="00BC4D37">
      <w:pPr>
        <w:rPr>
          <w:sz w:val="27"/>
          <w:rtl/>
        </w:rPr>
      </w:pPr>
      <w:r w:rsidRPr="00282AC9">
        <w:rPr>
          <w:rFonts w:hint="cs"/>
          <w:sz w:val="27"/>
          <w:rtl/>
        </w:rPr>
        <w:t>إن من بين الأحكام الولائية إجبار المحتك</w:t>
      </w:r>
      <w:r w:rsidR="004C1762" w:rsidRPr="00282AC9">
        <w:rPr>
          <w:rFonts w:hint="cs"/>
          <w:sz w:val="27"/>
          <w:rtl/>
        </w:rPr>
        <w:t>ِ</w:t>
      </w:r>
      <w:r w:rsidRPr="00282AC9">
        <w:rPr>
          <w:rFonts w:hint="cs"/>
          <w:sz w:val="27"/>
          <w:rtl/>
        </w:rPr>
        <w:t>ر على بيع البضاعة المحت</w:t>
      </w:r>
      <w:r w:rsidR="004C1762" w:rsidRPr="00282AC9">
        <w:rPr>
          <w:rFonts w:hint="cs"/>
          <w:sz w:val="27"/>
          <w:rtl/>
        </w:rPr>
        <w:t>َ</w:t>
      </w:r>
      <w:r w:rsidRPr="00282AC9">
        <w:rPr>
          <w:rFonts w:hint="cs"/>
          <w:sz w:val="27"/>
          <w:rtl/>
        </w:rPr>
        <w:t>ك</w:t>
      </w:r>
      <w:r w:rsidR="004C1762" w:rsidRPr="00282AC9">
        <w:rPr>
          <w:rFonts w:hint="cs"/>
          <w:sz w:val="27"/>
          <w:rtl/>
        </w:rPr>
        <w:t>َ</w:t>
      </w:r>
      <w:r w:rsidRPr="00282AC9">
        <w:rPr>
          <w:rFonts w:hint="cs"/>
          <w:sz w:val="27"/>
          <w:rtl/>
        </w:rPr>
        <w:t xml:space="preserve">رة. وهذه </w:t>
      </w:r>
      <w:r w:rsidRPr="00282AC9">
        <w:rPr>
          <w:rFonts w:hint="cs"/>
          <w:sz w:val="27"/>
          <w:rtl/>
        </w:rPr>
        <w:lastRenderedPageBreak/>
        <w:t>المسألة مورد قبول من ق</w:t>
      </w:r>
      <w:r w:rsidR="004C1762" w:rsidRPr="00282AC9">
        <w:rPr>
          <w:rFonts w:hint="cs"/>
          <w:sz w:val="27"/>
          <w:rtl/>
        </w:rPr>
        <w:t>ِ</w:t>
      </w:r>
      <w:r w:rsidRPr="00282AC9">
        <w:rPr>
          <w:rFonts w:hint="cs"/>
          <w:sz w:val="27"/>
          <w:rtl/>
        </w:rPr>
        <w:t>ب</w:t>
      </w:r>
      <w:r w:rsidR="004C1762" w:rsidRPr="00282AC9">
        <w:rPr>
          <w:rFonts w:hint="cs"/>
          <w:sz w:val="27"/>
          <w:rtl/>
        </w:rPr>
        <w:t>َ</w:t>
      </w:r>
      <w:r w:rsidRPr="00282AC9">
        <w:rPr>
          <w:rFonts w:hint="cs"/>
          <w:sz w:val="27"/>
          <w:rtl/>
        </w:rPr>
        <w:t>ل الكثير من الفقهاء. ومن ذلك</w:t>
      </w:r>
      <w:r w:rsidR="004C1762" w:rsidRPr="00282AC9">
        <w:rPr>
          <w:rFonts w:hint="cs"/>
          <w:sz w:val="27"/>
          <w:rtl/>
        </w:rPr>
        <w:t>،</w:t>
      </w:r>
      <w:r w:rsidRPr="00282AC9">
        <w:rPr>
          <w:rFonts w:hint="cs"/>
          <w:sz w:val="27"/>
          <w:rtl/>
        </w:rPr>
        <w:t xml:space="preserve"> على سبيل المثال</w:t>
      </w:r>
      <w:r w:rsidR="004C1762" w:rsidRPr="00282AC9">
        <w:rPr>
          <w:rFonts w:hint="cs"/>
          <w:sz w:val="27"/>
          <w:rtl/>
        </w:rPr>
        <w:t>،</w:t>
      </w:r>
      <w:r w:rsidRPr="00282AC9">
        <w:rPr>
          <w:rFonts w:hint="cs"/>
          <w:sz w:val="27"/>
          <w:rtl/>
        </w:rPr>
        <w:t xml:space="preserve"> أن الشيخ المفيد يقول: </w:t>
      </w:r>
      <w:r w:rsidRPr="00282AC9">
        <w:rPr>
          <w:rFonts w:hint="eastAsia"/>
          <w:sz w:val="24"/>
          <w:szCs w:val="24"/>
          <w:rtl/>
        </w:rPr>
        <w:t>«</w:t>
      </w:r>
      <w:r w:rsidRPr="00282AC9">
        <w:rPr>
          <w:sz w:val="27"/>
          <w:rtl/>
        </w:rPr>
        <w:t>للسلطان أن ي</w:t>
      </w:r>
      <w:r w:rsidRPr="00282AC9">
        <w:rPr>
          <w:rFonts w:hint="cs"/>
          <w:sz w:val="27"/>
          <w:rtl/>
        </w:rPr>
        <w:t>ُ</w:t>
      </w:r>
      <w:r w:rsidRPr="00282AC9">
        <w:rPr>
          <w:sz w:val="27"/>
          <w:rtl/>
        </w:rPr>
        <w:t>ك</w:t>
      </w:r>
      <w:r w:rsidR="004C1762" w:rsidRPr="00282AC9">
        <w:rPr>
          <w:rFonts w:hint="cs"/>
          <w:sz w:val="27"/>
          <w:rtl/>
        </w:rPr>
        <w:t>ْ</w:t>
      </w:r>
      <w:r w:rsidRPr="00282AC9">
        <w:rPr>
          <w:sz w:val="27"/>
          <w:rtl/>
        </w:rPr>
        <w:t>ر</w:t>
      </w:r>
      <w:r w:rsidR="004C1762" w:rsidRPr="00282AC9">
        <w:rPr>
          <w:rFonts w:hint="cs"/>
          <w:sz w:val="27"/>
          <w:rtl/>
        </w:rPr>
        <w:t>ِ</w:t>
      </w:r>
      <w:r w:rsidRPr="00282AC9">
        <w:rPr>
          <w:sz w:val="27"/>
          <w:rtl/>
        </w:rPr>
        <w:t>ه المحتك</w:t>
      </w:r>
      <w:r w:rsidR="004C1762" w:rsidRPr="00282AC9">
        <w:rPr>
          <w:rFonts w:hint="cs"/>
          <w:sz w:val="27"/>
          <w:rtl/>
        </w:rPr>
        <w:t>ِ</w:t>
      </w:r>
      <w:r w:rsidRPr="00282AC9">
        <w:rPr>
          <w:sz w:val="27"/>
          <w:rtl/>
        </w:rPr>
        <w:t>ر على إخراج غل</w:t>
      </w:r>
      <w:r w:rsidR="004C1762" w:rsidRPr="00282AC9">
        <w:rPr>
          <w:rFonts w:hint="cs"/>
          <w:sz w:val="27"/>
          <w:rtl/>
        </w:rPr>
        <w:t>ّ</w:t>
      </w:r>
      <w:r w:rsidRPr="00282AC9">
        <w:rPr>
          <w:sz w:val="27"/>
          <w:rtl/>
        </w:rPr>
        <w:t>ته وبيعها في أسواق المسلمين إذا كانت بالناس حاجة</w:t>
      </w:r>
      <w:r w:rsidR="004C1762" w:rsidRPr="00282AC9">
        <w:rPr>
          <w:rFonts w:hint="cs"/>
          <w:sz w:val="27"/>
          <w:rtl/>
        </w:rPr>
        <w:t>ٌ</w:t>
      </w:r>
      <w:r w:rsidRPr="00282AC9">
        <w:rPr>
          <w:sz w:val="27"/>
          <w:rtl/>
        </w:rPr>
        <w:t xml:space="preserve"> ظاهرة إليها</w:t>
      </w:r>
      <w:r w:rsidRPr="00282AC9">
        <w:rPr>
          <w:rFonts w:hint="eastAsia"/>
          <w:sz w:val="24"/>
          <w:szCs w:val="24"/>
          <w:rtl/>
        </w:rPr>
        <w:t>»</w:t>
      </w:r>
      <w:r w:rsidRPr="00282AC9">
        <w:rPr>
          <w:sz w:val="27"/>
          <w:vertAlign w:val="superscript"/>
          <w:rtl/>
        </w:rPr>
        <w:t>(</w:t>
      </w:r>
      <w:r w:rsidRPr="00282AC9">
        <w:rPr>
          <w:rStyle w:val="af9"/>
          <w:sz w:val="27"/>
          <w:rtl/>
        </w:rPr>
        <w:endnoteReference w:id="72"/>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وقال المحق</w:t>
      </w:r>
      <w:r w:rsidR="004C1762" w:rsidRPr="00282AC9">
        <w:rPr>
          <w:rFonts w:hint="cs"/>
          <w:sz w:val="27"/>
          <w:rtl/>
        </w:rPr>
        <w:t>ِّ</w:t>
      </w:r>
      <w:r w:rsidRPr="00282AC9">
        <w:rPr>
          <w:rFonts w:hint="cs"/>
          <w:sz w:val="27"/>
          <w:rtl/>
        </w:rPr>
        <w:t>ق الحل</w:t>
      </w:r>
      <w:r w:rsidR="004C1762" w:rsidRPr="00282AC9">
        <w:rPr>
          <w:rFonts w:hint="cs"/>
          <w:sz w:val="27"/>
          <w:rtl/>
        </w:rPr>
        <w:t>ّ</w:t>
      </w:r>
      <w:r w:rsidRPr="00282AC9">
        <w:rPr>
          <w:rFonts w:hint="cs"/>
          <w:sz w:val="27"/>
          <w:rtl/>
        </w:rPr>
        <w:t xml:space="preserve">ي في شرائع الإسلام: </w:t>
      </w:r>
      <w:r w:rsidRPr="00282AC9">
        <w:rPr>
          <w:rFonts w:hint="eastAsia"/>
          <w:sz w:val="24"/>
          <w:szCs w:val="24"/>
          <w:rtl/>
        </w:rPr>
        <w:t>«</w:t>
      </w:r>
      <w:r w:rsidRPr="00282AC9">
        <w:rPr>
          <w:rFonts w:hint="cs"/>
          <w:sz w:val="27"/>
          <w:rtl/>
        </w:rPr>
        <w:t>ويُج</w:t>
      </w:r>
      <w:r w:rsidR="004C1762" w:rsidRPr="00282AC9">
        <w:rPr>
          <w:rFonts w:hint="cs"/>
          <w:sz w:val="27"/>
          <w:rtl/>
        </w:rPr>
        <w:t>ْ</w:t>
      </w:r>
      <w:r w:rsidRPr="00282AC9">
        <w:rPr>
          <w:rFonts w:hint="cs"/>
          <w:sz w:val="27"/>
          <w:rtl/>
        </w:rPr>
        <w:t>ب</w:t>
      </w:r>
      <w:r w:rsidR="004C1762" w:rsidRPr="00282AC9">
        <w:rPr>
          <w:rFonts w:hint="cs"/>
          <w:sz w:val="27"/>
          <w:rtl/>
        </w:rPr>
        <w:t>َ</w:t>
      </w:r>
      <w:r w:rsidRPr="00282AC9">
        <w:rPr>
          <w:rFonts w:hint="cs"/>
          <w:sz w:val="27"/>
          <w:rtl/>
        </w:rPr>
        <w:t>ر المحتك</w:t>
      </w:r>
      <w:r w:rsidR="004C1762" w:rsidRPr="00282AC9">
        <w:rPr>
          <w:rFonts w:hint="cs"/>
          <w:sz w:val="27"/>
          <w:rtl/>
        </w:rPr>
        <w:t>ِ</w:t>
      </w:r>
      <w:r w:rsidRPr="00282AC9">
        <w:rPr>
          <w:rFonts w:hint="cs"/>
          <w:sz w:val="27"/>
          <w:rtl/>
        </w:rPr>
        <w:t>ر [من ق</w:t>
      </w:r>
      <w:r w:rsidR="004C1762" w:rsidRPr="00282AC9">
        <w:rPr>
          <w:rFonts w:hint="cs"/>
          <w:sz w:val="27"/>
          <w:rtl/>
        </w:rPr>
        <w:t>ِ</w:t>
      </w:r>
      <w:r w:rsidRPr="00282AC9">
        <w:rPr>
          <w:rFonts w:hint="cs"/>
          <w:sz w:val="27"/>
          <w:rtl/>
        </w:rPr>
        <w:t>ب</w:t>
      </w:r>
      <w:r w:rsidR="004C1762" w:rsidRPr="00282AC9">
        <w:rPr>
          <w:rFonts w:hint="cs"/>
          <w:sz w:val="27"/>
          <w:rtl/>
        </w:rPr>
        <w:t>َ</w:t>
      </w:r>
      <w:r w:rsidRPr="00282AC9">
        <w:rPr>
          <w:rFonts w:hint="cs"/>
          <w:sz w:val="27"/>
          <w:rtl/>
        </w:rPr>
        <w:t>ل الحاكم] على البيع</w:t>
      </w:r>
      <w:r w:rsidRPr="00282AC9">
        <w:rPr>
          <w:rFonts w:hint="eastAsia"/>
          <w:sz w:val="24"/>
          <w:szCs w:val="24"/>
          <w:rtl/>
        </w:rPr>
        <w:t>»</w:t>
      </w:r>
      <w:r w:rsidRPr="00282AC9">
        <w:rPr>
          <w:sz w:val="27"/>
          <w:vertAlign w:val="superscript"/>
          <w:rtl/>
        </w:rPr>
        <w:t>(</w:t>
      </w:r>
      <w:r w:rsidRPr="00282AC9">
        <w:rPr>
          <w:rStyle w:val="af9"/>
          <w:sz w:val="27"/>
          <w:rtl/>
        </w:rPr>
        <w:endnoteReference w:id="73"/>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وقال صاحب الجواهر: </w:t>
      </w:r>
      <w:r w:rsidRPr="00282AC9">
        <w:rPr>
          <w:rFonts w:hint="eastAsia"/>
          <w:sz w:val="24"/>
          <w:szCs w:val="24"/>
          <w:rtl/>
        </w:rPr>
        <w:t>«</w:t>
      </w:r>
      <w:r w:rsidRPr="00282AC9">
        <w:rPr>
          <w:rFonts w:hint="cs"/>
          <w:sz w:val="27"/>
          <w:rtl/>
        </w:rPr>
        <w:t>وقد اد</w:t>
      </w:r>
      <w:r w:rsidR="004C1762" w:rsidRPr="00282AC9">
        <w:rPr>
          <w:rFonts w:hint="cs"/>
          <w:sz w:val="27"/>
          <w:rtl/>
        </w:rPr>
        <w:t>ُّ</w:t>
      </w:r>
      <w:r w:rsidRPr="00282AC9">
        <w:rPr>
          <w:rFonts w:hint="cs"/>
          <w:sz w:val="27"/>
          <w:rtl/>
        </w:rPr>
        <w:t>عي الإجماع على ذلك من ق</w:t>
      </w:r>
      <w:r w:rsidR="004C1762" w:rsidRPr="00282AC9">
        <w:rPr>
          <w:rFonts w:hint="cs"/>
          <w:sz w:val="27"/>
          <w:rtl/>
        </w:rPr>
        <w:t>ِ</w:t>
      </w:r>
      <w:r w:rsidRPr="00282AC9">
        <w:rPr>
          <w:rFonts w:hint="cs"/>
          <w:sz w:val="27"/>
          <w:rtl/>
        </w:rPr>
        <w:t>ب</w:t>
      </w:r>
      <w:r w:rsidR="004C1762" w:rsidRPr="00282AC9">
        <w:rPr>
          <w:rFonts w:hint="cs"/>
          <w:sz w:val="27"/>
          <w:rtl/>
        </w:rPr>
        <w:t>َ</w:t>
      </w:r>
      <w:r w:rsidRPr="00282AC9">
        <w:rPr>
          <w:rFonts w:hint="cs"/>
          <w:sz w:val="27"/>
          <w:rtl/>
        </w:rPr>
        <w:t>ل جماعة</w:t>
      </w:r>
      <w:r w:rsidR="004C1762" w:rsidRPr="00282AC9">
        <w:rPr>
          <w:rFonts w:hint="cs"/>
          <w:sz w:val="27"/>
          <w:rtl/>
        </w:rPr>
        <w:t>ٍ</w:t>
      </w:r>
      <w:r w:rsidRPr="00282AC9">
        <w:rPr>
          <w:rFonts w:hint="eastAsia"/>
          <w:sz w:val="24"/>
          <w:szCs w:val="24"/>
          <w:rtl/>
        </w:rPr>
        <w:t>»</w:t>
      </w:r>
      <w:r w:rsidRPr="00282AC9">
        <w:rPr>
          <w:rFonts w:hint="cs"/>
          <w:sz w:val="27"/>
          <w:rtl/>
        </w:rPr>
        <w:t>.</w:t>
      </w:r>
    </w:p>
    <w:p w:rsidR="00BC5E40" w:rsidRPr="00282AC9" w:rsidRDefault="00BC5E40" w:rsidP="00BC4D37">
      <w:pPr>
        <w:rPr>
          <w:sz w:val="27"/>
          <w:rtl/>
        </w:rPr>
      </w:pPr>
      <w:r w:rsidRPr="00282AC9">
        <w:rPr>
          <w:rFonts w:hint="cs"/>
          <w:sz w:val="27"/>
          <w:rtl/>
        </w:rPr>
        <w:t>وقد ورد هذا المضمون في الكثير من الروايات، ومن ذلك</w:t>
      </w:r>
      <w:r w:rsidR="004C1762" w:rsidRPr="00282AC9">
        <w:rPr>
          <w:rFonts w:hint="cs"/>
          <w:sz w:val="27"/>
          <w:rtl/>
        </w:rPr>
        <w:t>:</w:t>
      </w:r>
      <w:r w:rsidRPr="00282AC9">
        <w:rPr>
          <w:rFonts w:hint="cs"/>
          <w:sz w:val="27"/>
          <w:rtl/>
        </w:rPr>
        <w:t xml:space="preserve"> ما جاء في توحيد الصدوق؛ إذ يقول: </w:t>
      </w:r>
      <w:r w:rsidRPr="00282AC9">
        <w:rPr>
          <w:rFonts w:hint="eastAsia"/>
          <w:sz w:val="24"/>
          <w:szCs w:val="24"/>
          <w:rtl/>
        </w:rPr>
        <w:t>«</w:t>
      </w:r>
      <w:r w:rsidRPr="00282AC9">
        <w:rPr>
          <w:sz w:val="27"/>
          <w:rtl/>
        </w:rPr>
        <w:t>مر</w:t>
      </w:r>
      <w:r w:rsidRPr="00282AC9">
        <w:rPr>
          <w:rFonts w:hint="cs"/>
          <w:sz w:val="27"/>
          <w:rtl/>
        </w:rPr>
        <w:t>ّ</w:t>
      </w:r>
      <w:r w:rsidR="004C1762" w:rsidRPr="00282AC9">
        <w:rPr>
          <w:rFonts w:hint="cs"/>
          <w:sz w:val="27"/>
          <w:rtl/>
        </w:rPr>
        <w:t>َ</w:t>
      </w:r>
      <w:r w:rsidRPr="00282AC9">
        <w:rPr>
          <w:sz w:val="27"/>
          <w:rtl/>
        </w:rPr>
        <w:t xml:space="preserve"> رسول الله</w:t>
      </w:r>
      <w:r w:rsidR="009A2A04" w:rsidRPr="00282AC9">
        <w:rPr>
          <w:rFonts w:cs="Mosawi"/>
          <w:sz w:val="22"/>
          <w:szCs w:val="22"/>
          <w:rtl/>
        </w:rPr>
        <w:t>|</w:t>
      </w:r>
      <w:r w:rsidRPr="00282AC9">
        <w:rPr>
          <w:sz w:val="27"/>
          <w:rtl/>
        </w:rPr>
        <w:t xml:space="preserve"> بالمحتك</w:t>
      </w:r>
      <w:r w:rsidR="004C1762" w:rsidRPr="00282AC9">
        <w:rPr>
          <w:rFonts w:hint="cs"/>
          <w:sz w:val="27"/>
          <w:rtl/>
        </w:rPr>
        <w:t>ِ</w:t>
      </w:r>
      <w:r w:rsidRPr="00282AC9">
        <w:rPr>
          <w:sz w:val="27"/>
          <w:rtl/>
        </w:rPr>
        <w:t>رين</w:t>
      </w:r>
      <w:r w:rsidRPr="00282AC9">
        <w:rPr>
          <w:rFonts w:hint="cs"/>
          <w:sz w:val="27"/>
          <w:rtl/>
        </w:rPr>
        <w:t>؛</w:t>
      </w:r>
      <w:r w:rsidRPr="00282AC9">
        <w:rPr>
          <w:sz w:val="27"/>
          <w:rtl/>
        </w:rPr>
        <w:t xml:space="preserve"> فأمر بح</w:t>
      </w:r>
      <w:r w:rsidR="004C1762" w:rsidRPr="00282AC9">
        <w:rPr>
          <w:rFonts w:hint="cs"/>
          <w:sz w:val="27"/>
          <w:rtl/>
        </w:rPr>
        <w:t>ِ</w:t>
      </w:r>
      <w:r w:rsidRPr="00282AC9">
        <w:rPr>
          <w:sz w:val="27"/>
          <w:rtl/>
        </w:rPr>
        <w:t>ك</w:t>
      </w:r>
      <w:r w:rsidR="004C1762" w:rsidRPr="00282AC9">
        <w:rPr>
          <w:rFonts w:hint="cs"/>
          <w:sz w:val="27"/>
          <w:rtl/>
        </w:rPr>
        <w:t>ْ</w:t>
      </w:r>
      <w:r w:rsidRPr="00282AC9">
        <w:rPr>
          <w:sz w:val="27"/>
          <w:rtl/>
        </w:rPr>
        <w:t>ر</w:t>
      </w:r>
      <w:r w:rsidR="004C1762" w:rsidRPr="00282AC9">
        <w:rPr>
          <w:rFonts w:hint="cs"/>
          <w:sz w:val="27"/>
          <w:rtl/>
        </w:rPr>
        <w:t>َ</w:t>
      </w:r>
      <w:r w:rsidRPr="00282AC9">
        <w:rPr>
          <w:sz w:val="27"/>
          <w:rtl/>
        </w:rPr>
        <w:t>تهم أن يخرج إلى بطون ال</w:t>
      </w:r>
      <w:r w:rsidRPr="00282AC9">
        <w:rPr>
          <w:rFonts w:hint="cs"/>
          <w:sz w:val="27"/>
          <w:rtl/>
        </w:rPr>
        <w:t>أ</w:t>
      </w:r>
      <w:r w:rsidRPr="00282AC9">
        <w:rPr>
          <w:sz w:val="27"/>
          <w:rtl/>
        </w:rPr>
        <w:t>سواق</w:t>
      </w:r>
      <w:r w:rsidR="004C1762" w:rsidRPr="00282AC9">
        <w:rPr>
          <w:rFonts w:hint="cs"/>
          <w:sz w:val="27"/>
          <w:rtl/>
        </w:rPr>
        <w:t>،</w:t>
      </w:r>
      <w:r w:rsidRPr="00282AC9">
        <w:rPr>
          <w:sz w:val="27"/>
          <w:rtl/>
        </w:rPr>
        <w:t xml:space="preserve"> وحيث تنظر ال</w:t>
      </w:r>
      <w:r w:rsidRPr="00282AC9">
        <w:rPr>
          <w:rFonts w:hint="cs"/>
          <w:sz w:val="27"/>
          <w:rtl/>
        </w:rPr>
        <w:t>أ</w:t>
      </w:r>
      <w:r w:rsidRPr="00282AC9">
        <w:rPr>
          <w:sz w:val="27"/>
          <w:rtl/>
        </w:rPr>
        <w:t>بصار إليها</w:t>
      </w:r>
      <w:r w:rsidRPr="00282AC9">
        <w:rPr>
          <w:rFonts w:hint="eastAsia"/>
          <w:sz w:val="24"/>
          <w:szCs w:val="24"/>
          <w:rtl/>
        </w:rPr>
        <w:t>»</w:t>
      </w:r>
      <w:r w:rsidRPr="00282AC9">
        <w:rPr>
          <w:sz w:val="27"/>
          <w:vertAlign w:val="superscript"/>
          <w:rtl/>
        </w:rPr>
        <w:t>(</w:t>
      </w:r>
      <w:r w:rsidRPr="00282AC9">
        <w:rPr>
          <w:rStyle w:val="af9"/>
          <w:sz w:val="27"/>
          <w:rtl/>
        </w:rPr>
        <w:endnoteReference w:id="74"/>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إن أصل هذه المسألة، وهي أن الحاكم يحقّ له إجبار المحتك</w:t>
      </w:r>
      <w:r w:rsidR="004C1762" w:rsidRPr="00282AC9">
        <w:rPr>
          <w:rFonts w:hint="cs"/>
          <w:sz w:val="27"/>
          <w:rtl/>
        </w:rPr>
        <w:t>ِ</w:t>
      </w:r>
      <w:r w:rsidRPr="00282AC9">
        <w:rPr>
          <w:rFonts w:hint="cs"/>
          <w:sz w:val="27"/>
          <w:rtl/>
        </w:rPr>
        <w:t>ر على بيع بضاعته</w:t>
      </w:r>
      <w:r w:rsidR="004C1762" w:rsidRPr="00282AC9">
        <w:rPr>
          <w:rFonts w:hint="cs"/>
          <w:sz w:val="27"/>
          <w:rtl/>
        </w:rPr>
        <w:t>،</w:t>
      </w:r>
      <w:r w:rsidRPr="00282AC9">
        <w:rPr>
          <w:rFonts w:hint="cs"/>
          <w:sz w:val="27"/>
          <w:rtl/>
        </w:rPr>
        <w:t xml:space="preserve"> مورد ات</w:t>
      </w:r>
      <w:r w:rsidR="004C1762" w:rsidRPr="00282AC9">
        <w:rPr>
          <w:rFonts w:hint="cs"/>
          <w:sz w:val="27"/>
          <w:rtl/>
        </w:rPr>
        <w:t>ّ</w:t>
      </w:r>
      <w:r w:rsidRPr="00282AC9">
        <w:rPr>
          <w:rFonts w:hint="cs"/>
          <w:sz w:val="27"/>
          <w:rtl/>
        </w:rPr>
        <w:t>فاق الفقهاء</w:t>
      </w:r>
      <w:r w:rsidR="004C1762" w:rsidRPr="00282AC9">
        <w:rPr>
          <w:rFonts w:hint="cs"/>
          <w:sz w:val="27"/>
          <w:rtl/>
        </w:rPr>
        <w:t>.</w:t>
      </w:r>
      <w:r w:rsidRPr="00282AC9">
        <w:rPr>
          <w:rFonts w:hint="cs"/>
          <w:sz w:val="27"/>
          <w:rtl/>
        </w:rPr>
        <w:t xml:space="preserve"> ولكن</w:t>
      </w:r>
      <w:r w:rsidR="004C1762" w:rsidRPr="00282AC9">
        <w:rPr>
          <w:rFonts w:hint="cs"/>
          <w:sz w:val="27"/>
          <w:rtl/>
        </w:rPr>
        <w:t>ْ</w:t>
      </w:r>
      <w:r w:rsidRPr="00282AC9">
        <w:rPr>
          <w:rFonts w:hint="cs"/>
          <w:sz w:val="27"/>
          <w:rtl/>
        </w:rPr>
        <w:t xml:space="preserve"> وقع الاختلاف بينهم بشأن تقي</w:t>
      </w:r>
      <w:r w:rsidR="004C1762" w:rsidRPr="00282AC9">
        <w:rPr>
          <w:rFonts w:hint="cs"/>
          <w:sz w:val="27"/>
          <w:rtl/>
        </w:rPr>
        <w:t>ي</w:t>
      </w:r>
      <w:r w:rsidRPr="00282AC9">
        <w:rPr>
          <w:rFonts w:hint="cs"/>
          <w:sz w:val="27"/>
          <w:rtl/>
        </w:rPr>
        <w:t>م البضاعة المحتك</w:t>
      </w:r>
      <w:r w:rsidR="004C1762" w:rsidRPr="00282AC9">
        <w:rPr>
          <w:rFonts w:hint="cs"/>
          <w:sz w:val="27"/>
          <w:rtl/>
        </w:rPr>
        <w:t>َ</w:t>
      </w:r>
      <w:r w:rsidRPr="00282AC9">
        <w:rPr>
          <w:rFonts w:hint="cs"/>
          <w:sz w:val="27"/>
          <w:rtl/>
        </w:rPr>
        <w:t>رة</w:t>
      </w:r>
      <w:r w:rsidR="004C1762" w:rsidRPr="00282AC9">
        <w:rPr>
          <w:rFonts w:hint="cs"/>
          <w:sz w:val="27"/>
          <w:rtl/>
        </w:rPr>
        <w:t>.</w:t>
      </w:r>
      <w:r w:rsidRPr="00282AC9">
        <w:rPr>
          <w:rFonts w:hint="cs"/>
          <w:sz w:val="27"/>
          <w:rtl/>
        </w:rPr>
        <w:t xml:space="preserve"> والأمر الآخر الذي وقع الاختلاف فيه موارد الاحتكار، فهل هي محدودة</w:t>
      </w:r>
      <w:r w:rsidR="00A96026" w:rsidRPr="00282AC9">
        <w:rPr>
          <w:rFonts w:hint="cs"/>
          <w:sz w:val="27"/>
          <w:rtl/>
        </w:rPr>
        <w:t>ٌ</w:t>
      </w:r>
      <w:r w:rsidRPr="00282AC9">
        <w:rPr>
          <w:rFonts w:hint="cs"/>
          <w:sz w:val="27"/>
          <w:rtl/>
        </w:rPr>
        <w:t xml:space="preserve"> بعدد من الأمور الخاص</w:t>
      </w:r>
      <w:r w:rsidR="00A96026" w:rsidRPr="00282AC9">
        <w:rPr>
          <w:rFonts w:hint="cs"/>
          <w:sz w:val="27"/>
          <w:rtl/>
        </w:rPr>
        <w:t>ّ</w:t>
      </w:r>
      <w:r w:rsidRPr="00282AC9">
        <w:rPr>
          <w:rFonts w:hint="cs"/>
          <w:sz w:val="27"/>
          <w:rtl/>
        </w:rPr>
        <w:t>ة الواردة في الروايات أم تشمل جميع البضائع التي يحتاج إليها المجتمع حاجة</w:t>
      </w:r>
      <w:r w:rsidR="00A96026" w:rsidRPr="00282AC9">
        <w:rPr>
          <w:rFonts w:hint="cs"/>
          <w:sz w:val="27"/>
          <w:rtl/>
        </w:rPr>
        <w:t>ً</w:t>
      </w:r>
      <w:r w:rsidRPr="00282AC9">
        <w:rPr>
          <w:rFonts w:hint="cs"/>
          <w:sz w:val="27"/>
          <w:rtl/>
        </w:rPr>
        <w:t xml:space="preserve"> ماسّة، ومن دون عرضها في الأسواق يعاني من ضائقة</w:t>
      </w:r>
      <w:r w:rsidR="00A96026" w:rsidRPr="00282AC9">
        <w:rPr>
          <w:rFonts w:hint="cs"/>
          <w:sz w:val="27"/>
          <w:rtl/>
        </w:rPr>
        <w:t>ٍ</w:t>
      </w:r>
      <w:r w:rsidRPr="00282AC9">
        <w:rPr>
          <w:rFonts w:hint="cs"/>
          <w:sz w:val="27"/>
          <w:rtl/>
        </w:rPr>
        <w:t xml:space="preserve"> خانقة؟</w:t>
      </w:r>
    </w:p>
    <w:p w:rsidR="00A96026" w:rsidRPr="00282AC9" w:rsidRDefault="00A96026" w:rsidP="00BF1956">
      <w:pPr>
        <w:spacing w:line="420" w:lineRule="exact"/>
        <w:rPr>
          <w:sz w:val="27"/>
          <w:rtl/>
        </w:rPr>
      </w:pPr>
    </w:p>
    <w:p w:rsidR="00A96026" w:rsidRPr="00282AC9" w:rsidRDefault="00BC5E40" w:rsidP="00B95158">
      <w:pPr>
        <w:pStyle w:val="31"/>
        <w:rPr>
          <w:color w:val="auto"/>
          <w:rtl/>
        </w:rPr>
      </w:pPr>
      <w:r w:rsidRPr="00282AC9">
        <w:rPr>
          <w:rFonts w:hint="cs"/>
          <w:color w:val="auto"/>
          <w:rtl/>
        </w:rPr>
        <w:t xml:space="preserve">2ـ </w:t>
      </w:r>
      <w:r w:rsidR="00B95158" w:rsidRPr="00282AC9">
        <w:rPr>
          <w:rFonts w:hint="cs"/>
          <w:color w:val="auto"/>
          <w:rtl/>
        </w:rPr>
        <w:t>التصرُّف والحكم</w:t>
      </w:r>
      <w:r w:rsidRPr="00282AC9">
        <w:rPr>
          <w:rFonts w:hint="cs"/>
          <w:color w:val="auto"/>
          <w:rtl/>
        </w:rPr>
        <w:t xml:space="preserve"> في الموقوفات العام</w:t>
      </w:r>
      <w:r w:rsidR="00A96026" w:rsidRPr="00282AC9">
        <w:rPr>
          <w:rFonts w:hint="cs"/>
          <w:color w:val="auto"/>
          <w:rtl/>
        </w:rPr>
        <w:t>ّ</w:t>
      </w:r>
      <w:r w:rsidRPr="00282AC9">
        <w:rPr>
          <w:rFonts w:hint="cs"/>
          <w:color w:val="auto"/>
          <w:rtl/>
        </w:rPr>
        <w:t>ة</w:t>
      </w:r>
    </w:p>
    <w:p w:rsidR="00BC5E40" w:rsidRPr="00282AC9" w:rsidRDefault="00BC5E40" w:rsidP="00BC4D37">
      <w:pPr>
        <w:rPr>
          <w:sz w:val="27"/>
          <w:rtl/>
        </w:rPr>
      </w:pPr>
      <w:r w:rsidRPr="00282AC9">
        <w:rPr>
          <w:rFonts w:hint="cs"/>
          <w:sz w:val="27"/>
          <w:rtl/>
        </w:rPr>
        <w:t>قال السيد اليزدي</w:t>
      </w:r>
      <w:r w:rsidR="009A2A04" w:rsidRPr="00282AC9">
        <w:rPr>
          <w:rFonts w:cs="Mosawi" w:hint="cs"/>
          <w:sz w:val="22"/>
          <w:szCs w:val="22"/>
          <w:rtl/>
        </w:rPr>
        <w:t>&amp;</w:t>
      </w:r>
      <w:r w:rsidRPr="00282AC9">
        <w:rPr>
          <w:rFonts w:hint="cs"/>
          <w:sz w:val="27"/>
          <w:rtl/>
        </w:rPr>
        <w:t xml:space="preserve"> [ما مضمونه]</w:t>
      </w:r>
      <w:r w:rsidRPr="00282AC9">
        <w:rPr>
          <w:sz w:val="27"/>
          <w:vertAlign w:val="superscript"/>
          <w:rtl/>
        </w:rPr>
        <w:t>(</w:t>
      </w:r>
      <w:r w:rsidRPr="00282AC9">
        <w:rPr>
          <w:rStyle w:val="af9"/>
          <w:sz w:val="27"/>
          <w:rtl/>
        </w:rPr>
        <w:endnoteReference w:id="75"/>
      </w:r>
      <w:r w:rsidRPr="00282AC9">
        <w:rPr>
          <w:sz w:val="27"/>
          <w:vertAlign w:val="superscript"/>
          <w:rtl/>
        </w:rPr>
        <w:t>)</w:t>
      </w:r>
      <w:r w:rsidRPr="00282AC9">
        <w:rPr>
          <w:rFonts w:hint="cs"/>
          <w:sz w:val="27"/>
          <w:rtl/>
        </w:rPr>
        <w:t xml:space="preserve">: </w:t>
      </w:r>
      <w:r w:rsidRPr="00282AC9">
        <w:rPr>
          <w:rFonts w:hint="eastAsia"/>
          <w:sz w:val="24"/>
          <w:szCs w:val="24"/>
          <w:rtl/>
        </w:rPr>
        <w:t>«</w:t>
      </w:r>
      <w:r w:rsidRPr="00282AC9">
        <w:rPr>
          <w:rFonts w:hint="cs"/>
          <w:sz w:val="27"/>
          <w:rtl/>
        </w:rPr>
        <w:t>لو لم يعيّ</w:t>
      </w:r>
      <w:r w:rsidR="00A96026" w:rsidRPr="00282AC9">
        <w:rPr>
          <w:rFonts w:hint="cs"/>
          <w:sz w:val="27"/>
          <w:rtl/>
        </w:rPr>
        <w:t>ِ</w:t>
      </w:r>
      <w:r w:rsidRPr="00282AC9">
        <w:rPr>
          <w:rFonts w:hint="cs"/>
          <w:sz w:val="27"/>
          <w:rtl/>
        </w:rPr>
        <w:t xml:space="preserve">ن </w:t>
      </w:r>
      <w:r w:rsidRPr="00282AC9">
        <w:rPr>
          <w:sz w:val="27"/>
          <w:rtl/>
        </w:rPr>
        <w:t>الواقف متول</w:t>
      </w:r>
      <w:r w:rsidR="00A96026" w:rsidRPr="00282AC9">
        <w:rPr>
          <w:rFonts w:hint="cs"/>
          <w:sz w:val="27"/>
          <w:rtl/>
        </w:rPr>
        <w:t>ّ</w:t>
      </w:r>
      <w:r w:rsidRPr="00282AC9">
        <w:rPr>
          <w:sz w:val="27"/>
          <w:rtl/>
        </w:rPr>
        <w:t>يا</w:t>
      </w:r>
      <w:r w:rsidRPr="00282AC9">
        <w:rPr>
          <w:rFonts w:hint="cs"/>
          <w:sz w:val="27"/>
          <w:rtl/>
        </w:rPr>
        <w:t>ً</w:t>
      </w:r>
      <w:r w:rsidRPr="00282AC9">
        <w:rPr>
          <w:sz w:val="27"/>
          <w:rtl/>
        </w:rPr>
        <w:t xml:space="preserve"> ل</w:t>
      </w:r>
      <w:r w:rsidRPr="00282AC9">
        <w:rPr>
          <w:rFonts w:hint="cs"/>
          <w:sz w:val="27"/>
          <w:rtl/>
        </w:rPr>
        <w:t>إدارة ا</w:t>
      </w:r>
      <w:r w:rsidRPr="00282AC9">
        <w:rPr>
          <w:sz w:val="27"/>
          <w:rtl/>
        </w:rPr>
        <w:t>لوقف</w:t>
      </w:r>
      <w:r w:rsidRPr="00282AC9">
        <w:rPr>
          <w:rFonts w:hint="cs"/>
          <w:sz w:val="27"/>
          <w:rtl/>
        </w:rPr>
        <w:t xml:space="preserve"> هل تقع إدارة الوقف على عاتق الواقف</w:t>
      </w:r>
      <w:r w:rsidR="00A96026" w:rsidRPr="00282AC9">
        <w:rPr>
          <w:rFonts w:hint="cs"/>
          <w:sz w:val="27"/>
          <w:rtl/>
        </w:rPr>
        <w:t>؛</w:t>
      </w:r>
      <w:r w:rsidRPr="00282AC9">
        <w:rPr>
          <w:rFonts w:hint="cs"/>
          <w:sz w:val="27"/>
          <w:rtl/>
        </w:rPr>
        <w:t xml:space="preserve"> أو الموقوف عليه</w:t>
      </w:r>
      <w:r w:rsidR="00A96026" w:rsidRPr="00282AC9">
        <w:rPr>
          <w:rFonts w:hint="cs"/>
          <w:sz w:val="27"/>
          <w:rtl/>
        </w:rPr>
        <w:t>؛</w:t>
      </w:r>
      <w:r w:rsidRPr="00282AC9">
        <w:rPr>
          <w:sz w:val="27"/>
          <w:rtl/>
        </w:rPr>
        <w:t xml:space="preserve"> أو</w:t>
      </w:r>
      <w:r w:rsidRPr="00282AC9">
        <w:rPr>
          <w:rFonts w:hint="cs"/>
          <w:sz w:val="27"/>
          <w:rtl/>
        </w:rPr>
        <w:t xml:space="preserve"> </w:t>
      </w:r>
      <w:r w:rsidRPr="00282AC9">
        <w:rPr>
          <w:sz w:val="27"/>
          <w:rtl/>
        </w:rPr>
        <w:t>الحاكم</w:t>
      </w:r>
      <w:r w:rsidR="00A96026" w:rsidRPr="00282AC9">
        <w:rPr>
          <w:rFonts w:hint="cs"/>
          <w:sz w:val="27"/>
          <w:rtl/>
        </w:rPr>
        <w:t>؛</w:t>
      </w:r>
      <w:r w:rsidRPr="00282AC9">
        <w:rPr>
          <w:rFonts w:hint="cs"/>
          <w:sz w:val="27"/>
          <w:rtl/>
        </w:rPr>
        <w:t xml:space="preserve"> أو إذا كان الوقف خاص</w:t>
      </w:r>
      <w:r w:rsidR="00A96026" w:rsidRPr="00282AC9">
        <w:rPr>
          <w:rFonts w:hint="cs"/>
          <w:sz w:val="27"/>
          <w:rtl/>
        </w:rPr>
        <w:t>ّ</w:t>
      </w:r>
      <w:r w:rsidRPr="00282AC9">
        <w:rPr>
          <w:rFonts w:hint="cs"/>
          <w:sz w:val="27"/>
          <w:rtl/>
        </w:rPr>
        <w:t>اً تقع إدارة الوقف على عاتق الموقوف عليه</w:t>
      </w:r>
      <w:r w:rsidR="004E0282" w:rsidRPr="00282AC9">
        <w:rPr>
          <w:rFonts w:hint="cs"/>
          <w:sz w:val="27"/>
          <w:rtl/>
        </w:rPr>
        <w:t>؛</w:t>
      </w:r>
      <w:r w:rsidRPr="00282AC9">
        <w:rPr>
          <w:rFonts w:hint="cs"/>
          <w:sz w:val="27"/>
          <w:rtl/>
        </w:rPr>
        <w:t xml:space="preserve"> وإذا كان الوقف عام</w:t>
      </w:r>
      <w:r w:rsidR="004E0282" w:rsidRPr="00282AC9">
        <w:rPr>
          <w:rFonts w:hint="cs"/>
          <w:sz w:val="27"/>
          <w:rtl/>
        </w:rPr>
        <w:t>ّ</w:t>
      </w:r>
      <w:r w:rsidRPr="00282AC9">
        <w:rPr>
          <w:rFonts w:hint="cs"/>
          <w:sz w:val="27"/>
          <w:rtl/>
        </w:rPr>
        <w:t>اً تقع إدارته على عاتق الحاكم؟ هناك عدّة أقوال في هذه المسألة</w:t>
      </w:r>
      <w:r w:rsidR="0085018A" w:rsidRPr="00282AC9">
        <w:rPr>
          <w:rFonts w:hint="cs"/>
          <w:sz w:val="27"/>
          <w:rtl/>
        </w:rPr>
        <w:t>.</w:t>
      </w:r>
    </w:p>
    <w:p w:rsidR="00BC5E40" w:rsidRPr="00282AC9" w:rsidRDefault="00BC5E40" w:rsidP="00BC4D37">
      <w:pPr>
        <w:rPr>
          <w:sz w:val="27"/>
          <w:rtl/>
        </w:rPr>
      </w:pPr>
      <w:r w:rsidRPr="00282AC9">
        <w:rPr>
          <w:rFonts w:hint="cs"/>
          <w:sz w:val="27"/>
          <w:rtl/>
        </w:rPr>
        <w:t>والقول القوي</w:t>
      </w:r>
      <w:r w:rsidR="004E0282" w:rsidRPr="00282AC9">
        <w:rPr>
          <w:rFonts w:hint="cs"/>
          <w:sz w:val="27"/>
          <w:rtl/>
        </w:rPr>
        <w:t>ّ</w:t>
      </w:r>
      <w:r w:rsidRPr="00282AC9">
        <w:rPr>
          <w:rFonts w:hint="cs"/>
          <w:sz w:val="27"/>
          <w:rtl/>
        </w:rPr>
        <w:t xml:space="preserve"> من بين هذه الأقوال هو أن إدارة وحق</w:t>
      </w:r>
      <w:r w:rsidR="004E0282" w:rsidRPr="00282AC9">
        <w:rPr>
          <w:rFonts w:hint="cs"/>
          <w:sz w:val="27"/>
          <w:rtl/>
        </w:rPr>
        <w:t>ّ</w:t>
      </w:r>
      <w:r w:rsidRPr="00282AC9">
        <w:rPr>
          <w:rFonts w:hint="cs"/>
          <w:sz w:val="27"/>
          <w:rtl/>
        </w:rPr>
        <w:t xml:space="preserve"> التصر</w:t>
      </w:r>
      <w:r w:rsidR="004E0282" w:rsidRPr="00282AC9">
        <w:rPr>
          <w:rFonts w:hint="cs"/>
          <w:sz w:val="27"/>
          <w:rtl/>
        </w:rPr>
        <w:t>ّ</w:t>
      </w:r>
      <w:r w:rsidRPr="00282AC9">
        <w:rPr>
          <w:rFonts w:hint="cs"/>
          <w:sz w:val="27"/>
          <w:rtl/>
        </w:rPr>
        <w:t>ف يكون للحاكم، سواء قلنا</w:t>
      </w:r>
      <w:r w:rsidR="004E0282" w:rsidRPr="00282AC9">
        <w:rPr>
          <w:rFonts w:hint="cs"/>
          <w:sz w:val="27"/>
          <w:rtl/>
        </w:rPr>
        <w:t>:</w:t>
      </w:r>
      <w:r w:rsidRPr="00282AC9">
        <w:rPr>
          <w:rFonts w:hint="cs"/>
          <w:sz w:val="27"/>
          <w:rtl/>
        </w:rPr>
        <w:t xml:space="preserve"> إن الوقف باق</w:t>
      </w:r>
      <w:r w:rsidR="004E0282" w:rsidRPr="00282AC9">
        <w:rPr>
          <w:rFonts w:hint="cs"/>
          <w:sz w:val="27"/>
          <w:rtl/>
        </w:rPr>
        <w:t>ٍ</w:t>
      </w:r>
      <w:r w:rsidRPr="00282AC9">
        <w:rPr>
          <w:rFonts w:hint="cs"/>
          <w:sz w:val="27"/>
          <w:rtl/>
        </w:rPr>
        <w:t xml:space="preserve"> على ملكية الواقف</w:t>
      </w:r>
      <w:r w:rsidR="004E0282" w:rsidRPr="00282AC9">
        <w:rPr>
          <w:rFonts w:hint="cs"/>
          <w:sz w:val="27"/>
          <w:rtl/>
        </w:rPr>
        <w:t>،</w:t>
      </w:r>
      <w:r w:rsidRPr="00282AC9">
        <w:rPr>
          <w:rFonts w:hint="cs"/>
          <w:sz w:val="27"/>
          <w:rtl/>
        </w:rPr>
        <w:t xml:space="preserve"> أو قلنا</w:t>
      </w:r>
      <w:r w:rsidR="004E0282" w:rsidRPr="00282AC9">
        <w:rPr>
          <w:rFonts w:hint="cs"/>
          <w:sz w:val="27"/>
          <w:rtl/>
        </w:rPr>
        <w:t>:</w:t>
      </w:r>
      <w:r w:rsidRPr="00282AC9">
        <w:rPr>
          <w:rFonts w:hint="cs"/>
          <w:sz w:val="27"/>
          <w:rtl/>
        </w:rPr>
        <w:t xml:space="preserve"> إن الوقف ينتقل إلى ملك الموقوف عليه، أو قلنا</w:t>
      </w:r>
      <w:r w:rsidR="004E0282" w:rsidRPr="00282AC9">
        <w:rPr>
          <w:rFonts w:hint="cs"/>
          <w:sz w:val="27"/>
          <w:rtl/>
        </w:rPr>
        <w:t>:</w:t>
      </w:r>
      <w:r w:rsidRPr="00282AC9">
        <w:rPr>
          <w:rFonts w:hint="cs"/>
          <w:sz w:val="27"/>
          <w:rtl/>
        </w:rPr>
        <w:t xml:space="preserve"> إن الوقف يصبح ملكاً لله</w:t>
      </w:r>
      <w:r w:rsidRPr="00282AC9">
        <w:rPr>
          <w:rFonts w:hint="eastAsia"/>
          <w:sz w:val="24"/>
          <w:szCs w:val="24"/>
          <w:rtl/>
        </w:rPr>
        <w:t>»</w:t>
      </w:r>
      <w:r w:rsidRPr="00282AC9">
        <w:rPr>
          <w:sz w:val="27"/>
          <w:vertAlign w:val="superscript"/>
          <w:rtl/>
        </w:rPr>
        <w:t>(</w:t>
      </w:r>
      <w:r w:rsidRPr="00282AC9">
        <w:rPr>
          <w:rStyle w:val="af9"/>
          <w:sz w:val="27"/>
          <w:rtl/>
        </w:rPr>
        <w:endnoteReference w:id="76"/>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وعلى هذا الأساس فإن جميع تصر</w:t>
      </w:r>
      <w:r w:rsidR="004E0282" w:rsidRPr="00282AC9">
        <w:rPr>
          <w:rFonts w:hint="cs"/>
          <w:sz w:val="27"/>
          <w:rtl/>
        </w:rPr>
        <w:t>ُّ</w:t>
      </w:r>
      <w:r w:rsidRPr="00282AC9">
        <w:rPr>
          <w:rFonts w:hint="cs"/>
          <w:sz w:val="27"/>
          <w:rtl/>
        </w:rPr>
        <w:t>فات وأحكام حاكم الشرع في الموقوفات العام</w:t>
      </w:r>
      <w:r w:rsidR="004E0282" w:rsidRPr="00282AC9">
        <w:rPr>
          <w:rFonts w:hint="cs"/>
          <w:sz w:val="27"/>
          <w:rtl/>
        </w:rPr>
        <w:t>ّ</w:t>
      </w:r>
      <w:r w:rsidRPr="00282AC9">
        <w:rPr>
          <w:rFonts w:hint="cs"/>
          <w:sz w:val="27"/>
          <w:rtl/>
        </w:rPr>
        <w:t>ة تكون من الأحكام الولائية، وهي تشمل بيع الوقف، وقبض الوقف،  وما إلى ذلك.</w:t>
      </w:r>
    </w:p>
    <w:p w:rsidR="004E0282" w:rsidRPr="00282AC9" w:rsidRDefault="00BC5E40" w:rsidP="00B95158">
      <w:pPr>
        <w:pStyle w:val="31"/>
        <w:rPr>
          <w:color w:val="auto"/>
          <w:rtl/>
        </w:rPr>
      </w:pPr>
      <w:r w:rsidRPr="00282AC9">
        <w:rPr>
          <w:rFonts w:hint="cs"/>
          <w:color w:val="auto"/>
          <w:rtl/>
        </w:rPr>
        <w:lastRenderedPageBreak/>
        <w:t xml:space="preserve">3ـ </w:t>
      </w:r>
      <w:r w:rsidR="00B95158" w:rsidRPr="00282AC9">
        <w:rPr>
          <w:rFonts w:hint="cs"/>
          <w:color w:val="auto"/>
          <w:rtl/>
        </w:rPr>
        <w:t>الحكم</w:t>
      </w:r>
      <w:r w:rsidRPr="00282AC9">
        <w:rPr>
          <w:rFonts w:hint="cs"/>
          <w:color w:val="auto"/>
          <w:rtl/>
        </w:rPr>
        <w:t xml:space="preserve"> في أمور المحجور عليه</w:t>
      </w:r>
      <w:r w:rsidR="00B95158" w:rsidRPr="00282AC9">
        <w:rPr>
          <w:rFonts w:hint="cs"/>
          <w:color w:val="auto"/>
          <w:rtl/>
        </w:rPr>
        <w:t>م</w:t>
      </w:r>
    </w:p>
    <w:p w:rsidR="00BC5E40" w:rsidRPr="00282AC9" w:rsidRDefault="00BC5E40" w:rsidP="00BF1956">
      <w:pPr>
        <w:spacing w:line="390" w:lineRule="exact"/>
        <w:rPr>
          <w:sz w:val="27"/>
          <w:rtl/>
        </w:rPr>
      </w:pPr>
      <w:r w:rsidRPr="00282AC9">
        <w:rPr>
          <w:rFonts w:hint="cs"/>
          <w:sz w:val="27"/>
          <w:rtl/>
        </w:rPr>
        <w:t>قال العلا</w:t>
      </w:r>
      <w:r w:rsidR="004E0282" w:rsidRPr="00282AC9">
        <w:rPr>
          <w:rFonts w:hint="cs"/>
          <w:sz w:val="27"/>
          <w:rtl/>
        </w:rPr>
        <w:t>ّ</w:t>
      </w:r>
      <w:r w:rsidRPr="00282AC9">
        <w:rPr>
          <w:rFonts w:hint="cs"/>
          <w:sz w:val="27"/>
          <w:rtl/>
        </w:rPr>
        <w:t>مة الحل</w:t>
      </w:r>
      <w:r w:rsidR="004E0282" w:rsidRPr="00282AC9">
        <w:rPr>
          <w:rFonts w:hint="cs"/>
          <w:sz w:val="27"/>
          <w:rtl/>
        </w:rPr>
        <w:t>ّ</w:t>
      </w:r>
      <w:r w:rsidRPr="00282AC9">
        <w:rPr>
          <w:rFonts w:hint="cs"/>
          <w:sz w:val="27"/>
          <w:rtl/>
        </w:rPr>
        <w:t>ي</w:t>
      </w:r>
      <w:r w:rsidR="00A73DFA" w:rsidRPr="00282AC9">
        <w:rPr>
          <w:rFonts w:hint="cs"/>
          <w:sz w:val="27"/>
          <w:rtl/>
        </w:rPr>
        <w:t>،</w:t>
      </w:r>
      <w:r w:rsidRPr="00282AC9">
        <w:rPr>
          <w:rFonts w:hint="cs"/>
          <w:sz w:val="27"/>
          <w:rtl/>
        </w:rPr>
        <w:t xml:space="preserve"> في القواعد</w:t>
      </w:r>
      <w:r w:rsidR="00A73DFA" w:rsidRPr="00282AC9">
        <w:rPr>
          <w:rFonts w:hint="cs"/>
          <w:sz w:val="27"/>
          <w:rtl/>
        </w:rPr>
        <w:t>،</w:t>
      </w:r>
      <w:r w:rsidRPr="00282AC9">
        <w:rPr>
          <w:rFonts w:hint="cs"/>
          <w:sz w:val="27"/>
          <w:rtl/>
        </w:rPr>
        <w:t xml:space="preserve"> </w:t>
      </w:r>
      <w:r w:rsidRPr="00282AC9">
        <w:rPr>
          <w:sz w:val="27"/>
          <w:rtl/>
        </w:rPr>
        <w:t>[ما مضمونه]</w:t>
      </w:r>
      <w:r w:rsidRPr="00282AC9">
        <w:rPr>
          <w:sz w:val="27"/>
          <w:vertAlign w:val="superscript"/>
          <w:rtl/>
        </w:rPr>
        <w:t>(</w:t>
      </w:r>
      <w:r w:rsidRPr="00282AC9">
        <w:rPr>
          <w:rStyle w:val="af9"/>
          <w:sz w:val="27"/>
          <w:rtl/>
        </w:rPr>
        <w:endnoteReference w:id="77"/>
      </w:r>
      <w:r w:rsidRPr="00282AC9">
        <w:rPr>
          <w:sz w:val="27"/>
          <w:vertAlign w:val="superscript"/>
          <w:rtl/>
        </w:rPr>
        <w:t>)</w:t>
      </w:r>
      <w:r w:rsidRPr="00282AC9">
        <w:rPr>
          <w:rFonts w:hint="cs"/>
          <w:sz w:val="27"/>
          <w:rtl/>
        </w:rPr>
        <w:t xml:space="preserve">: </w:t>
      </w:r>
      <w:r w:rsidRPr="00282AC9">
        <w:rPr>
          <w:rFonts w:hint="eastAsia"/>
          <w:sz w:val="24"/>
          <w:szCs w:val="24"/>
          <w:rtl/>
        </w:rPr>
        <w:t>«</w:t>
      </w:r>
      <w:r w:rsidRPr="00282AC9">
        <w:rPr>
          <w:rFonts w:hint="cs"/>
          <w:sz w:val="27"/>
          <w:rtl/>
        </w:rPr>
        <w:t>إن للحاكم الإسلامي وم</w:t>
      </w:r>
      <w:r w:rsidR="004E0282" w:rsidRPr="00282AC9">
        <w:rPr>
          <w:rFonts w:hint="cs"/>
          <w:sz w:val="27"/>
          <w:rtl/>
        </w:rPr>
        <w:t>َ</w:t>
      </w:r>
      <w:r w:rsidRPr="00282AC9">
        <w:rPr>
          <w:rFonts w:hint="cs"/>
          <w:sz w:val="27"/>
          <w:rtl/>
        </w:rPr>
        <w:t>ن</w:t>
      </w:r>
      <w:r w:rsidR="004E0282" w:rsidRPr="00282AC9">
        <w:rPr>
          <w:rFonts w:hint="cs"/>
          <w:sz w:val="27"/>
          <w:rtl/>
        </w:rPr>
        <w:t>ْ</w:t>
      </w:r>
      <w:r w:rsidRPr="00282AC9">
        <w:rPr>
          <w:rFonts w:hint="cs"/>
          <w:sz w:val="27"/>
          <w:rtl/>
        </w:rPr>
        <w:t xml:space="preserve"> يثق بهم من عدول المؤمنين الولاية</w:t>
      </w:r>
      <w:r w:rsidR="004E0282" w:rsidRPr="00282AC9">
        <w:rPr>
          <w:rFonts w:hint="cs"/>
          <w:sz w:val="27"/>
          <w:rtl/>
        </w:rPr>
        <w:t>َ</w:t>
      </w:r>
      <w:r w:rsidRPr="00282AC9">
        <w:rPr>
          <w:rFonts w:hint="cs"/>
          <w:sz w:val="27"/>
          <w:rtl/>
        </w:rPr>
        <w:t xml:space="preserve"> على المحجور</w:t>
      </w:r>
      <w:r w:rsidR="004E0282" w:rsidRPr="00282AC9">
        <w:rPr>
          <w:rFonts w:hint="cs"/>
          <w:sz w:val="27"/>
          <w:rtl/>
        </w:rPr>
        <w:t>؛</w:t>
      </w:r>
      <w:r w:rsidRPr="00282AC9">
        <w:rPr>
          <w:rFonts w:hint="cs"/>
          <w:sz w:val="27"/>
          <w:rtl/>
        </w:rPr>
        <w:t xml:space="preserve"> لصغر</w:t>
      </w:r>
      <w:r w:rsidR="004E0282" w:rsidRPr="00282AC9">
        <w:rPr>
          <w:rFonts w:hint="cs"/>
          <w:sz w:val="27"/>
          <w:rtl/>
        </w:rPr>
        <w:t>ٍ</w:t>
      </w:r>
      <w:r w:rsidRPr="00282AC9">
        <w:rPr>
          <w:rFonts w:hint="cs"/>
          <w:sz w:val="27"/>
          <w:rtl/>
        </w:rPr>
        <w:t xml:space="preserve"> أو جنون</w:t>
      </w:r>
      <w:r w:rsidR="004E0282" w:rsidRPr="00282AC9">
        <w:rPr>
          <w:rFonts w:hint="cs"/>
          <w:sz w:val="27"/>
          <w:rtl/>
        </w:rPr>
        <w:t>ٍ</w:t>
      </w:r>
      <w:r w:rsidRPr="00282AC9">
        <w:rPr>
          <w:rFonts w:hint="cs"/>
          <w:sz w:val="27"/>
          <w:rtl/>
        </w:rPr>
        <w:t xml:space="preserve"> أو إفلاس</w:t>
      </w:r>
      <w:r w:rsidR="004E0282" w:rsidRPr="00282AC9">
        <w:rPr>
          <w:rFonts w:hint="cs"/>
          <w:sz w:val="27"/>
          <w:rtl/>
        </w:rPr>
        <w:t>ٍ</w:t>
      </w:r>
      <w:r w:rsidRPr="00282AC9">
        <w:rPr>
          <w:rFonts w:hint="cs"/>
          <w:sz w:val="27"/>
          <w:rtl/>
        </w:rPr>
        <w:t xml:space="preserve"> مالي</w:t>
      </w:r>
      <w:r w:rsidR="004E0282" w:rsidRPr="00282AC9">
        <w:rPr>
          <w:rFonts w:hint="cs"/>
          <w:sz w:val="27"/>
          <w:rtl/>
        </w:rPr>
        <w:t>ّ</w:t>
      </w:r>
      <w:r w:rsidRPr="00282AC9">
        <w:rPr>
          <w:rFonts w:hint="cs"/>
          <w:sz w:val="27"/>
          <w:rtl/>
        </w:rPr>
        <w:t xml:space="preserve"> أو س</w:t>
      </w:r>
      <w:r w:rsidR="004E0282" w:rsidRPr="00282AC9">
        <w:rPr>
          <w:rFonts w:hint="cs"/>
          <w:sz w:val="27"/>
          <w:rtl/>
        </w:rPr>
        <w:t>َ</w:t>
      </w:r>
      <w:r w:rsidRPr="00282AC9">
        <w:rPr>
          <w:rFonts w:hint="cs"/>
          <w:sz w:val="27"/>
          <w:rtl/>
        </w:rPr>
        <w:t>ف</w:t>
      </w:r>
      <w:r w:rsidR="004E0282" w:rsidRPr="00282AC9">
        <w:rPr>
          <w:rFonts w:hint="cs"/>
          <w:sz w:val="27"/>
          <w:rtl/>
        </w:rPr>
        <w:t>َ</w:t>
      </w:r>
      <w:r w:rsidRPr="00282AC9">
        <w:rPr>
          <w:rFonts w:hint="cs"/>
          <w:sz w:val="27"/>
          <w:rtl/>
        </w:rPr>
        <w:t>ه</w:t>
      </w:r>
      <w:r w:rsidR="004E0282"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78"/>
      </w:r>
      <w:r w:rsidRPr="00282AC9">
        <w:rPr>
          <w:sz w:val="27"/>
          <w:vertAlign w:val="superscript"/>
          <w:rtl/>
        </w:rPr>
        <w:t>)</w:t>
      </w:r>
      <w:r w:rsidRPr="00282AC9">
        <w:rPr>
          <w:rFonts w:hint="cs"/>
          <w:sz w:val="27"/>
          <w:rtl/>
        </w:rPr>
        <w:t>.</w:t>
      </w:r>
    </w:p>
    <w:p w:rsidR="00BC5E40" w:rsidRPr="00282AC9" w:rsidRDefault="00BC5E40" w:rsidP="00BF1956">
      <w:pPr>
        <w:spacing w:line="390" w:lineRule="exact"/>
        <w:rPr>
          <w:sz w:val="27"/>
          <w:rtl/>
        </w:rPr>
      </w:pPr>
      <w:r w:rsidRPr="00282AC9">
        <w:rPr>
          <w:rFonts w:hint="cs"/>
          <w:sz w:val="27"/>
          <w:rtl/>
        </w:rPr>
        <w:t>وعلى هذا الأساس فإن جميع أحكام الحاكم في هذه الموارد ـ حيث تنشأ من جهة كونه حاكماً ـ تعتبر من الأحكام الولائية.</w:t>
      </w:r>
    </w:p>
    <w:p w:rsidR="004E0282" w:rsidRPr="00282AC9" w:rsidRDefault="004E0282" w:rsidP="00BF1956">
      <w:pPr>
        <w:spacing w:line="360" w:lineRule="exact"/>
        <w:rPr>
          <w:sz w:val="27"/>
          <w:rtl/>
        </w:rPr>
      </w:pPr>
    </w:p>
    <w:p w:rsidR="004E0282" w:rsidRPr="00282AC9" w:rsidRDefault="00BC5E40" w:rsidP="004E0282">
      <w:pPr>
        <w:pStyle w:val="31"/>
        <w:rPr>
          <w:color w:val="auto"/>
          <w:rtl/>
        </w:rPr>
      </w:pPr>
      <w:r w:rsidRPr="00282AC9">
        <w:rPr>
          <w:rFonts w:hint="cs"/>
          <w:color w:val="auto"/>
          <w:rtl/>
        </w:rPr>
        <w:t>4ـ الحكم بدفع نفقات اللقيط</w:t>
      </w:r>
    </w:p>
    <w:p w:rsidR="004E0282" w:rsidRPr="00282AC9" w:rsidRDefault="004E0282" w:rsidP="00BF1956">
      <w:pPr>
        <w:spacing w:line="390" w:lineRule="exact"/>
        <w:rPr>
          <w:sz w:val="27"/>
          <w:rtl/>
        </w:rPr>
      </w:pPr>
      <w:r w:rsidRPr="00282AC9">
        <w:rPr>
          <w:rFonts w:hint="cs"/>
          <w:sz w:val="27"/>
          <w:rtl/>
        </w:rPr>
        <w:t xml:space="preserve">تقع </w:t>
      </w:r>
      <w:r w:rsidR="00BC5E40" w:rsidRPr="00282AC9">
        <w:rPr>
          <w:rFonts w:hint="cs"/>
          <w:sz w:val="27"/>
          <w:rtl/>
        </w:rPr>
        <w:t>نفقة اللقيط على عاتق حاكم الشرع. و</w:t>
      </w:r>
      <w:r w:rsidR="00674EF5" w:rsidRPr="00282AC9">
        <w:rPr>
          <w:rFonts w:hint="cs"/>
          <w:sz w:val="27"/>
          <w:rtl/>
        </w:rPr>
        <w:t>لا شَكَّ</w:t>
      </w:r>
      <w:r w:rsidRPr="00282AC9">
        <w:rPr>
          <w:rFonts w:hint="cs"/>
          <w:sz w:val="27"/>
          <w:rtl/>
        </w:rPr>
        <w:t xml:space="preserve"> في هذه المسألة.</w:t>
      </w:r>
    </w:p>
    <w:p w:rsidR="00BC5E40" w:rsidRPr="00282AC9" w:rsidRDefault="00BC5E40" w:rsidP="00BF1956">
      <w:pPr>
        <w:spacing w:line="390" w:lineRule="exact"/>
        <w:rPr>
          <w:sz w:val="27"/>
          <w:rtl/>
        </w:rPr>
      </w:pPr>
      <w:r w:rsidRPr="00282AC9">
        <w:rPr>
          <w:rFonts w:hint="cs"/>
          <w:sz w:val="27"/>
          <w:rtl/>
        </w:rPr>
        <w:t>وفي</w:t>
      </w:r>
      <w:r w:rsidR="004E0282" w:rsidRPr="00282AC9">
        <w:rPr>
          <w:rFonts w:hint="cs"/>
          <w:sz w:val="27"/>
          <w:rtl/>
        </w:rPr>
        <w:t xml:space="preserve"> </w:t>
      </w:r>
      <w:r w:rsidRPr="00282AC9">
        <w:rPr>
          <w:rFonts w:hint="cs"/>
          <w:sz w:val="27"/>
          <w:rtl/>
        </w:rPr>
        <w:t>ما يلي ننقل فتوى بعض الفقهاء</w:t>
      </w:r>
      <w:r w:rsidR="004E0282" w:rsidRPr="00282AC9">
        <w:rPr>
          <w:rFonts w:hint="cs"/>
          <w:sz w:val="27"/>
          <w:rtl/>
        </w:rPr>
        <w:t xml:space="preserve">، </w:t>
      </w:r>
      <w:r w:rsidRPr="00282AC9">
        <w:rPr>
          <w:rFonts w:hint="cs"/>
          <w:sz w:val="27"/>
          <w:rtl/>
        </w:rPr>
        <w:t xml:space="preserve">على سبيل المثال: </w:t>
      </w:r>
    </w:p>
    <w:p w:rsidR="00BC5E40" w:rsidRPr="00282AC9" w:rsidRDefault="00BC5E40" w:rsidP="00BF1956">
      <w:pPr>
        <w:spacing w:line="390" w:lineRule="exact"/>
        <w:rPr>
          <w:sz w:val="27"/>
          <w:rtl/>
        </w:rPr>
      </w:pPr>
      <w:r w:rsidRPr="00282AC9">
        <w:rPr>
          <w:rFonts w:hint="cs"/>
          <w:sz w:val="27"/>
          <w:rtl/>
        </w:rPr>
        <w:t>قال ابن حمزة</w:t>
      </w:r>
      <w:r w:rsidR="00A73DFA" w:rsidRPr="00282AC9">
        <w:rPr>
          <w:rFonts w:hint="cs"/>
          <w:sz w:val="27"/>
          <w:rtl/>
        </w:rPr>
        <w:t>،</w:t>
      </w:r>
      <w:r w:rsidRPr="00282AC9">
        <w:rPr>
          <w:rFonts w:hint="cs"/>
          <w:sz w:val="27"/>
          <w:rtl/>
        </w:rPr>
        <w:t xml:space="preserve"> في الوسيلة: </w:t>
      </w:r>
      <w:r w:rsidRPr="00282AC9">
        <w:rPr>
          <w:rFonts w:hint="eastAsia"/>
          <w:sz w:val="24"/>
          <w:szCs w:val="24"/>
          <w:rtl/>
        </w:rPr>
        <w:t>«</w:t>
      </w:r>
      <w:r w:rsidRPr="00282AC9">
        <w:rPr>
          <w:sz w:val="27"/>
          <w:rtl/>
        </w:rPr>
        <w:t>إذا التقط حر</w:t>
      </w:r>
      <w:r w:rsidR="004E0282" w:rsidRPr="00282AC9">
        <w:rPr>
          <w:rFonts w:hint="cs"/>
          <w:sz w:val="27"/>
          <w:rtl/>
        </w:rPr>
        <w:t>ّ</w:t>
      </w:r>
      <w:r w:rsidRPr="00282AC9">
        <w:rPr>
          <w:sz w:val="27"/>
          <w:rtl/>
        </w:rPr>
        <w:t>ا</w:t>
      </w:r>
      <w:r w:rsidRPr="00282AC9">
        <w:rPr>
          <w:rFonts w:hint="cs"/>
          <w:sz w:val="27"/>
          <w:rtl/>
        </w:rPr>
        <w:t>ً</w:t>
      </w:r>
      <w:r w:rsidRPr="00282AC9">
        <w:rPr>
          <w:sz w:val="27"/>
          <w:rtl/>
        </w:rPr>
        <w:t xml:space="preserve"> صغيرا</w:t>
      </w:r>
      <w:r w:rsidRPr="00282AC9">
        <w:rPr>
          <w:rFonts w:hint="cs"/>
          <w:sz w:val="27"/>
          <w:rtl/>
        </w:rPr>
        <w:t>ً</w:t>
      </w:r>
      <w:r w:rsidRPr="00282AC9">
        <w:rPr>
          <w:sz w:val="27"/>
          <w:rtl/>
        </w:rPr>
        <w:t xml:space="preserve"> رفع خبره إلى الحاكم</w:t>
      </w:r>
      <w:r w:rsidR="004E0282" w:rsidRPr="00282AC9">
        <w:rPr>
          <w:rFonts w:hint="cs"/>
          <w:sz w:val="27"/>
          <w:rtl/>
        </w:rPr>
        <w:t>؛</w:t>
      </w:r>
      <w:r w:rsidRPr="00282AC9">
        <w:rPr>
          <w:sz w:val="27"/>
          <w:rtl/>
        </w:rPr>
        <w:t xml:space="preserve"> لينفق عليه</w:t>
      </w:r>
      <w:r w:rsidRPr="00282AC9">
        <w:rPr>
          <w:rFonts w:hint="eastAsia"/>
          <w:sz w:val="24"/>
          <w:szCs w:val="24"/>
          <w:rtl/>
        </w:rPr>
        <w:t>»</w:t>
      </w:r>
      <w:r w:rsidRPr="00282AC9">
        <w:rPr>
          <w:sz w:val="27"/>
          <w:vertAlign w:val="superscript"/>
          <w:rtl/>
        </w:rPr>
        <w:t>(</w:t>
      </w:r>
      <w:r w:rsidRPr="00282AC9">
        <w:rPr>
          <w:rStyle w:val="af9"/>
          <w:sz w:val="27"/>
          <w:rtl/>
        </w:rPr>
        <w:endnoteReference w:id="79"/>
      </w:r>
      <w:r w:rsidRPr="00282AC9">
        <w:rPr>
          <w:sz w:val="27"/>
          <w:vertAlign w:val="superscript"/>
          <w:rtl/>
        </w:rPr>
        <w:t>)</w:t>
      </w:r>
      <w:r w:rsidRPr="00282AC9">
        <w:rPr>
          <w:rFonts w:hint="cs"/>
          <w:sz w:val="27"/>
          <w:rtl/>
        </w:rPr>
        <w:t>.</w:t>
      </w:r>
    </w:p>
    <w:p w:rsidR="00BC5E40" w:rsidRPr="00282AC9" w:rsidRDefault="00674EF5" w:rsidP="00BF1956">
      <w:pPr>
        <w:spacing w:line="390" w:lineRule="exact"/>
        <w:rPr>
          <w:sz w:val="27"/>
          <w:rtl/>
        </w:rPr>
      </w:pPr>
      <w:r w:rsidRPr="00282AC9">
        <w:rPr>
          <w:rFonts w:hint="cs"/>
          <w:sz w:val="27"/>
          <w:rtl/>
        </w:rPr>
        <w:t>لا شَكَّ</w:t>
      </w:r>
      <w:r w:rsidR="00BC5E40" w:rsidRPr="00282AC9">
        <w:rPr>
          <w:rFonts w:hint="cs"/>
          <w:sz w:val="27"/>
          <w:rtl/>
        </w:rPr>
        <w:t xml:space="preserve"> في أن تصر</w:t>
      </w:r>
      <w:r w:rsidR="004E0282" w:rsidRPr="00282AC9">
        <w:rPr>
          <w:rFonts w:hint="cs"/>
          <w:sz w:val="27"/>
          <w:rtl/>
        </w:rPr>
        <w:t>ُّ</w:t>
      </w:r>
      <w:r w:rsidR="00BC5E40" w:rsidRPr="00282AC9">
        <w:rPr>
          <w:rFonts w:hint="cs"/>
          <w:sz w:val="27"/>
          <w:rtl/>
        </w:rPr>
        <w:t>فات وتعاليم الحاكم الشرعي في هذا الشأن تندرج ضمن الأحكام الولائية.</w:t>
      </w:r>
    </w:p>
    <w:p w:rsidR="00BC5E40" w:rsidRPr="00282AC9" w:rsidRDefault="00A73DFA" w:rsidP="00BF1956">
      <w:pPr>
        <w:spacing w:line="390" w:lineRule="exact"/>
        <w:rPr>
          <w:sz w:val="27"/>
          <w:rtl/>
        </w:rPr>
      </w:pPr>
      <w:r w:rsidRPr="00282AC9">
        <w:rPr>
          <w:rFonts w:hint="cs"/>
          <w:sz w:val="27"/>
          <w:rtl/>
        </w:rPr>
        <w:t>و</w:t>
      </w:r>
      <w:r w:rsidR="00BC5E40" w:rsidRPr="00282AC9">
        <w:rPr>
          <w:rFonts w:hint="cs"/>
          <w:sz w:val="27"/>
          <w:rtl/>
        </w:rPr>
        <w:t>قال القاضي ابن البر</w:t>
      </w:r>
      <w:r w:rsidR="004E0282" w:rsidRPr="00282AC9">
        <w:rPr>
          <w:rFonts w:hint="cs"/>
          <w:sz w:val="27"/>
          <w:rtl/>
        </w:rPr>
        <w:t>ّ</w:t>
      </w:r>
      <w:r w:rsidR="00BC5E40" w:rsidRPr="00282AC9">
        <w:rPr>
          <w:rFonts w:hint="cs"/>
          <w:sz w:val="27"/>
          <w:rtl/>
        </w:rPr>
        <w:t>اج</w:t>
      </w:r>
      <w:r w:rsidRPr="00282AC9">
        <w:rPr>
          <w:rFonts w:hint="cs"/>
          <w:sz w:val="27"/>
          <w:rtl/>
        </w:rPr>
        <w:t>،</w:t>
      </w:r>
      <w:r w:rsidR="00BC5E40" w:rsidRPr="00282AC9">
        <w:rPr>
          <w:rFonts w:hint="cs"/>
          <w:sz w:val="27"/>
          <w:rtl/>
        </w:rPr>
        <w:t xml:space="preserve"> في كتاب المهذ</w:t>
      </w:r>
      <w:r w:rsidR="004E0282" w:rsidRPr="00282AC9">
        <w:rPr>
          <w:rFonts w:hint="cs"/>
          <w:sz w:val="27"/>
          <w:rtl/>
        </w:rPr>
        <w:t>َّ</w:t>
      </w:r>
      <w:r w:rsidR="00BC5E40" w:rsidRPr="00282AC9">
        <w:rPr>
          <w:rFonts w:hint="cs"/>
          <w:sz w:val="27"/>
          <w:rtl/>
        </w:rPr>
        <w:t xml:space="preserve">ب: </w:t>
      </w:r>
      <w:r w:rsidR="00BC5E40" w:rsidRPr="00282AC9">
        <w:rPr>
          <w:rFonts w:hint="eastAsia"/>
          <w:sz w:val="24"/>
          <w:szCs w:val="24"/>
          <w:rtl/>
        </w:rPr>
        <w:t>«</w:t>
      </w:r>
      <w:r w:rsidR="00BC5E40" w:rsidRPr="00282AC9">
        <w:rPr>
          <w:sz w:val="27"/>
          <w:rtl/>
        </w:rPr>
        <w:t>إذا وجد لقيطا</w:t>
      </w:r>
      <w:r w:rsidR="00BC5E40" w:rsidRPr="00282AC9">
        <w:rPr>
          <w:rFonts w:hint="cs"/>
          <w:sz w:val="27"/>
          <w:rtl/>
        </w:rPr>
        <w:t>ً</w:t>
      </w:r>
      <w:r w:rsidR="00BC5E40" w:rsidRPr="00282AC9">
        <w:rPr>
          <w:sz w:val="27"/>
          <w:rtl/>
        </w:rPr>
        <w:t xml:space="preserve"> فهو ح</w:t>
      </w:r>
      <w:r w:rsidR="004E0282" w:rsidRPr="00282AC9">
        <w:rPr>
          <w:rFonts w:hint="cs"/>
          <w:sz w:val="27"/>
          <w:rtl/>
        </w:rPr>
        <w:t>ُ</w:t>
      </w:r>
      <w:r w:rsidR="00BC5E40" w:rsidRPr="00282AC9">
        <w:rPr>
          <w:sz w:val="27"/>
          <w:rtl/>
        </w:rPr>
        <w:t>ر</w:t>
      </w:r>
      <w:r w:rsidR="004E0282" w:rsidRPr="00282AC9">
        <w:rPr>
          <w:rFonts w:hint="cs"/>
          <w:sz w:val="27"/>
          <w:rtl/>
        </w:rPr>
        <w:t>ّ</w:t>
      </w:r>
      <w:r w:rsidR="00BC5E40" w:rsidRPr="00282AC9">
        <w:rPr>
          <w:sz w:val="27"/>
          <w:rtl/>
        </w:rPr>
        <w:t>، وجب على م</w:t>
      </w:r>
      <w:r w:rsidR="004E0282" w:rsidRPr="00282AC9">
        <w:rPr>
          <w:rFonts w:hint="cs"/>
          <w:sz w:val="27"/>
          <w:rtl/>
        </w:rPr>
        <w:t>َ</w:t>
      </w:r>
      <w:r w:rsidR="00BC5E40" w:rsidRPr="00282AC9">
        <w:rPr>
          <w:sz w:val="27"/>
          <w:rtl/>
        </w:rPr>
        <w:t>ن</w:t>
      </w:r>
      <w:r w:rsidR="004E0282" w:rsidRPr="00282AC9">
        <w:rPr>
          <w:rFonts w:hint="cs"/>
          <w:sz w:val="27"/>
          <w:rtl/>
        </w:rPr>
        <w:t>ْ</w:t>
      </w:r>
      <w:r w:rsidR="00BC5E40" w:rsidRPr="00282AC9">
        <w:rPr>
          <w:sz w:val="27"/>
          <w:rtl/>
        </w:rPr>
        <w:t xml:space="preserve"> وجده أن يرفع خبره إلى سلطان ال</w:t>
      </w:r>
      <w:r w:rsidR="004E0282" w:rsidRPr="00282AC9">
        <w:rPr>
          <w:rFonts w:hint="cs"/>
          <w:sz w:val="27"/>
          <w:rtl/>
        </w:rPr>
        <w:t>إ</w:t>
      </w:r>
      <w:r w:rsidR="00BC5E40" w:rsidRPr="00282AC9">
        <w:rPr>
          <w:sz w:val="27"/>
          <w:rtl/>
        </w:rPr>
        <w:t>سلام</w:t>
      </w:r>
      <w:r w:rsidR="004E0282" w:rsidRPr="00282AC9">
        <w:rPr>
          <w:rFonts w:hint="cs"/>
          <w:sz w:val="27"/>
          <w:rtl/>
        </w:rPr>
        <w:t>؛</w:t>
      </w:r>
      <w:r w:rsidR="00BC5E40" w:rsidRPr="00282AC9">
        <w:rPr>
          <w:sz w:val="27"/>
          <w:rtl/>
        </w:rPr>
        <w:t xml:space="preserve"> لينفق عليه من بيت الما</w:t>
      </w:r>
      <w:r w:rsidR="00BC5E40" w:rsidRPr="00282AC9">
        <w:rPr>
          <w:rFonts w:hint="cs"/>
          <w:sz w:val="27"/>
          <w:rtl/>
        </w:rPr>
        <w:t>ل</w:t>
      </w:r>
      <w:r w:rsidR="00BC5E40" w:rsidRPr="00282AC9">
        <w:rPr>
          <w:rFonts w:hint="eastAsia"/>
          <w:sz w:val="24"/>
          <w:szCs w:val="24"/>
          <w:rtl/>
        </w:rPr>
        <w:t>»</w:t>
      </w:r>
      <w:r w:rsidR="00BC5E40" w:rsidRPr="00282AC9">
        <w:rPr>
          <w:sz w:val="27"/>
          <w:vertAlign w:val="superscript"/>
          <w:rtl/>
        </w:rPr>
        <w:t>(</w:t>
      </w:r>
      <w:r w:rsidR="00BC5E40" w:rsidRPr="00282AC9">
        <w:rPr>
          <w:rStyle w:val="af9"/>
          <w:sz w:val="27"/>
          <w:rtl/>
        </w:rPr>
        <w:endnoteReference w:id="80"/>
      </w:r>
      <w:r w:rsidR="00BC5E40" w:rsidRPr="00282AC9">
        <w:rPr>
          <w:sz w:val="27"/>
          <w:vertAlign w:val="superscript"/>
          <w:rtl/>
        </w:rPr>
        <w:t>)</w:t>
      </w:r>
      <w:r w:rsidR="00BC5E40" w:rsidRPr="00282AC9">
        <w:rPr>
          <w:rFonts w:hint="cs"/>
          <w:sz w:val="27"/>
          <w:rtl/>
        </w:rPr>
        <w:t>.</w:t>
      </w:r>
    </w:p>
    <w:p w:rsidR="004E0282" w:rsidRPr="00282AC9" w:rsidRDefault="004E0282" w:rsidP="00BF1956">
      <w:pPr>
        <w:spacing w:line="370" w:lineRule="exact"/>
        <w:rPr>
          <w:sz w:val="27"/>
          <w:rtl/>
        </w:rPr>
      </w:pPr>
    </w:p>
    <w:p w:rsidR="004E0282" w:rsidRPr="00282AC9" w:rsidRDefault="00BC5E40" w:rsidP="004E0282">
      <w:pPr>
        <w:pStyle w:val="31"/>
        <w:rPr>
          <w:color w:val="auto"/>
          <w:rtl/>
        </w:rPr>
      </w:pPr>
      <w:r w:rsidRPr="00282AC9">
        <w:rPr>
          <w:rFonts w:hint="cs"/>
          <w:color w:val="auto"/>
          <w:rtl/>
        </w:rPr>
        <w:t>5ـ الحكم بالعفو أو تعيين مقدار الج</w:t>
      </w:r>
      <w:r w:rsidR="004E0282" w:rsidRPr="00282AC9">
        <w:rPr>
          <w:rFonts w:hint="cs"/>
          <w:color w:val="auto"/>
          <w:rtl/>
        </w:rPr>
        <w:t>ِ</w:t>
      </w:r>
      <w:r w:rsidRPr="00282AC9">
        <w:rPr>
          <w:rFonts w:hint="cs"/>
          <w:color w:val="auto"/>
          <w:rtl/>
        </w:rPr>
        <w:t>ز</w:t>
      </w:r>
      <w:r w:rsidR="004E0282" w:rsidRPr="00282AC9">
        <w:rPr>
          <w:rFonts w:hint="cs"/>
          <w:color w:val="auto"/>
          <w:rtl/>
        </w:rPr>
        <w:t>ْ</w:t>
      </w:r>
      <w:r w:rsidRPr="00282AC9">
        <w:rPr>
          <w:rFonts w:hint="cs"/>
          <w:color w:val="auto"/>
          <w:rtl/>
        </w:rPr>
        <w:t>ية</w:t>
      </w:r>
    </w:p>
    <w:p w:rsidR="00BC5E40" w:rsidRPr="00282AC9" w:rsidRDefault="00BC5E40" w:rsidP="00BF1956">
      <w:pPr>
        <w:spacing w:line="390" w:lineRule="exact"/>
        <w:rPr>
          <w:sz w:val="27"/>
          <w:rtl/>
        </w:rPr>
      </w:pPr>
      <w:r w:rsidRPr="00282AC9">
        <w:rPr>
          <w:rFonts w:hint="cs"/>
          <w:sz w:val="27"/>
          <w:rtl/>
        </w:rPr>
        <w:t>يذهب الكثير من الفقهاء إلى القول بأن العفو أو تعيين مقدار الج</w:t>
      </w:r>
      <w:r w:rsidR="004E0282" w:rsidRPr="00282AC9">
        <w:rPr>
          <w:rFonts w:hint="cs"/>
          <w:sz w:val="27"/>
          <w:rtl/>
        </w:rPr>
        <w:t>ِ</w:t>
      </w:r>
      <w:r w:rsidRPr="00282AC9">
        <w:rPr>
          <w:rFonts w:hint="cs"/>
          <w:sz w:val="27"/>
          <w:rtl/>
        </w:rPr>
        <w:t>ز</w:t>
      </w:r>
      <w:r w:rsidR="004E0282" w:rsidRPr="00282AC9">
        <w:rPr>
          <w:rFonts w:hint="cs"/>
          <w:sz w:val="27"/>
          <w:rtl/>
        </w:rPr>
        <w:t>ْ</w:t>
      </w:r>
      <w:r w:rsidRPr="00282AC9">
        <w:rPr>
          <w:rFonts w:hint="cs"/>
          <w:sz w:val="27"/>
          <w:rtl/>
        </w:rPr>
        <w:t>ية أو نوعها من صلاحيات الإمام (الحاكم الإسلامي</w:t>
      </w:r>
      <w:r w:rsidR="004E0282" w:rsidRPr="00282AC9">
        <w:rPr>
          <w:rFonts w:hint="cs"/>
          <w:sz w:val="27"/>
          <w:rtl/>
        </w:rPr>
        <w:t>ّ</w:t>
      </w:r>
      <w:r w:rsidRPr="00282AC9">
        <w:rPr>
          <w:rFonts w:hint="cs"/>
          <w:sz w:val="27"/>
          <w:rtl/>
        </w:rPr>
        <w:t>)</w:t>
      </w:r>
      <w:r w:rsidRPr="00282AC9">
        <w:rPr>
          <w:sz w:val="27"/>
          <w:vertAlign w:val="superscript"/>
          <w:rtl/>
        </w:rPr>
        <w:t>(</w:t>
      </w:r>
      <w:r w:rsidRPr="00282AC9">
        <w:rPr>
          <w:rStyle w:val="af9"/>
          <w:sz w:val="27"/>
          <w:rtl/>
        </w:rPr>
        <w:endnoteReference w:id="81"/>
      </w:r>
      <w:r w:rsidRPr="00282AC9">
        <w:rPr>
          <w:sz w:val="27"/>
          <w:vertAlign w:val="superscript"/>
          <w:rtl/>
        </w:rPr>
        <w:t>)</w:t>
      </w:r>
      <w:r w:rsidRPr="00282AC9">
        <w:rPr>
          <w:rFonts w:hint="cs"/>
          <w:sz w:val="27"/>
          <w:rtl/>
        </w:rPr>
        <w:t>.</w:t>
      </w:r>
    </w:p>
    <w:p w:rsidR="00BC5E40" w:rsidRPr="00282AC9" w:rsidRDefault="00BC5E40" w:rsidP="00BF1956">
      <w:pPr>
        <w:spacing w:line="390" w:lineRule="exact"/>
        <w:rPr>
          <w:sz w:val="27"/>
          <w:rtl/>
        </w:rPr>
      </w:pPr>
      <w:r w:rsidRPr="00282AC9">
        <w:rPr>
          <w:rFonts w:hint="cs"/>
          <w:sz w:val="27"/>
          <w:rtl/>
        </w:rPr>
        <w:t>قال المحق</w:t>
      </w:r>
      <w:r w:rsidR="004E0282" w:rsidRPr="00282AC9">
        <w:rPr>
          <w:rFonts w:hint="cs"/>
          <w:sz w:val="27"/>
          <w:rtl/>
        </w:rPr>
        <w:t>ِّ</w:t>
      </w:r>
      <w:r w:rsidRPr="00282AC9">
        <w:rPr>
          <w:rFonts w:hint="cs"/>
          <w:sz w:val="27"/>
          <w:rtl/>
        </w:rPr>
        <w:t>ق الحل</w:t>
      </w:r>
      <w:r w:rsidR="004E0282" w:rsidRPr="00282AC9">
        <w:rPr>
          <w:rFonts w:hint="cs"/>
          <w:sz w:val="27"/>
          <w:rtl/>
        </w:rPr>
        <w:t>ّ</w:t>
      </w:r>
      <w:r w:rsidRPr="00282AC9">
        <w:rPr>
          <w:rFonts w:hint="cs"/>
          <w:sz w:val="27"/>
          <w:rtl/>
        </w:rPr>
        <w:t xml:space="preserve">ي: </w:t>
      </w:r>
      <w:r w:rsidRPr="00282AC9">
        <w:rPr>
          <w:rFonts w:hint="eastAsia"/>
          <w:sz w:val="24"/>
          <w:szCs w:val="24"/>
          <w:rtl/>
        </w:rPr>
        <w:t>«</w:t>
      </w:r>
      <w:r w:rsidRPr="00282AC9">
        <w:rPr>
          <w:sz w:val="27"/>
          <w:rtl/>
        </w:rPr>
        <w:t>في كم</w:t>
      </w:r>
      <w:r w:rsidR="004E0282" w:rsidRPr="00282AC9">
        <w:rPr>
          <w:rFonts w:hint="cs"/>
          <w:sz w:val="27"/>
          <w:rtl/>
        </w:rPr>
        <w:t>ّ</w:t>
      </w:r>
      <w:r w:rsidRPr="00282AC9">
        <w:rPr>
          <w:sz w:val="27"/>
          <w:rtl/>
        </w:rPr>
        <w:t>ية الج</w:t>
      </w:r>
      <w:r w:rsidR="004E0282" w:rsidRPr="00282AC9">
        <w:rPr>
          <w:rFonts w:hint="cs"/>
          <w:sz w:val="27"/>
          <w:rtl/>
        </w:rPr>
        <w:t>ِ</w:t>
      </w:r>
      <w:r w:rsidRPr="00282AC9">
        <w:rPr>
          <w:sz w:val="27"/>
          <w:rtl/>
        </w:rPr>
        <w:t>ز</w:t>
      </w:r>
      <w:r w:rsidR="004E0282" w:rsidRPr="00282AC9">
        <w:rPr>
          <w:rFonts w:hint="cs"/>
          <w:sz w:val="27"/>
          <w:rtl/>
        </w:rPr>
        <w:t>ْ</w:t>
      </w:r>
      <w:r w:rsidRPr="00282AC9">
        <w:rPr>
          <w:sz w:val="27"/>
          <w:rtl/>
        </w:rPr>
        <w:t>ية</w:t>
      </w:r>
      <w:r w:rsidR="00542E9A" w:rsidRPr="00282AC9">
        <w:rPr>
          <w:rFonts w:hint="cs"/>
          <w:sz w:val="27"/>
          <w:rtl/>
        </w:rPr>
        <w:t>:</w:t>
      </w:r>
      <w:r w:rsidRPr="00282AC9">
        <w:rPr>
          <w:sz w:val="27"/>
          <w:rtl/>
        </w:rPr>
        <w:t xml:space="preserve"> ولا </w:t>
      </w:r>
      <w:r w:rsidR="00542E9A" w:rsidRPr="00282AC9">
        <w:rPr>
          <w:rFonts w:hint="cs"/>
          <w:sz w:val="27"/>
          <w:rtl/>
        </w:rPr>
        <w:t>حَدَّ</w:t>
      </w:r>
      <w:r w:rsidRPr="00282AC9">
        <w:rPr>
          <w:rFonts w:hint="cs"/>
          <w:sz w:val="27"/>
          <w:rtl/>
        </w:rPr>
        <w:t xml:space="preserve"> </w:t>
      </w:r>
      <w:r w:rsidRPr="00282AC9">
        <w:rPr>
          <w:sz w:val="27"/>
          <w:rtl/>
        </w:rPr>
        <w:t>لها، بل تقديرها إلى ال</w:t>
      </w:r>
      <w:r w:rsidRPr="00282AC9">
        <w:rPr>
          <w:rFonts w:hint="cs"/>
          <w:sz w:val="27"/>
          <w:rtl/>
        </w:rPr>
        <w:t>إ</w:t>
      </w:r>
      <w:r w:rsidRPr="00282AC9">
        <w:rPr>
          <w:sz w:val="27"/>
          <w:rtl/>
        </w:rPr>
        <w:t>مام</w:t>
      </w:r>
      <w:r w:rsidRPr="00282AC9">
        <w:rPr>
          <w:rFonts w:hint="cs"/>
          <w:sz w:val="27"/>
          <w:rtl/>
        </w:rPr>
        <w:t xml:space="preserve"> (الحاكم الإسلامي)</w:t>
      </w:r>
      <w:r w:rsidR="00542E9A" w:rsidRPr="00282AC9">
        <w:rPr>
          <w:rFonts w:hint="cs"/>
          <w:sz w:val="27"/>
          <w:rtl/>
        </w:rPr>
        <w:t>،</w:t>
      </w:r>
      <w:r w:rsidRPr="00282AC9">
        <w:rPr>
          <w:sz w:val="27"/>
          <w:rtl/>
        </w:rPr>
        <w:t xml:space="preserve"> بح</w:t>
      </w:r>
      <w:r w:rsidR="00542E9A" w:rsidRPr="00282AC9">
        <w:rPr>
          <w:rFonts w:hint="cs"/>
          <w:sz w:val="27"/>
          <w:rtl/>
        </w:rPr>
        <w:t>َ</w:t>
      </w:r>
      <w:r w:rsidRPr="00282AC9">
        <w:rPr>
          <w:sz w:val="27"/>
          <w:rtl/>
        </w:rPr>
        <w:t>س</w:t>
      </w:r>
      <w:r w:rsidR="00542E9A" w:rsidRPr="00282AC9">
        <w:rPr>
          <w:rFonts w:hint="cs"/>
          <w:sz w:val="27"/>
          <w:rtl/>
        </w:rPr>
        <w:t>َ</w:t>
      </w:r>
      <w:r w:rsidRPr="00282AC9">
        <w:rPr>
          <w:sz w:val="27"/>
          <w:rtl/>
        </w:rPr>
        <w:t>ب ال</w:t>
      </w:r>
      <w:r w:rsidRPr="00282AC9">
        <w:rPr>
          <w:rFonts w:hint="cs"/>
          <w:sz w:val="27"/>
          <w:rtl/>
        </w:rPr>
        <w:t>أ</w:t>
      </w:r>
      <w:r w:rsidRPr="00282AC9">
        <w:rPr>
          <w:sz w:val="27"/>
          <w:rtl/>
        </w:rPr>
        <w:t>صلح</w:t>
      </w:r>
      <w:r w:rsidRPr="00282AC9">
        <w:rPr>
          <w:rFonts w:hint="eastAsia"/>
          <w:sz w:val="24"/>
          <w:szCs w:val="24"/>
          <w:rtl/>
        </w:rPr>
        <w:t>»</w:t>
      </w:r>
      <w:r w:rsidRPr="00282AC9">
        <w:rPr>
          <w:sz w:val="27"/>
          <w:vertAlign w:val="superscript"/>
          <w:rtl/>
        </w:rPr>
        <w:t>(</w:t>
      </w:r>
      <w:r w:rsidRPr="00282AC9">
        <w:rPr>
          <w:rStyle w:val="af9"/>
          <w:sz w:val="27"/>
          <w:rtl/>
        </w:rPr>
        <w:endnoteReference w:id="82"/>
      </w:r>
      <w:r w:rsidRPr="00282AC9">
        <w:rPr>
          <w:sz w:val="27"/>
          <w:vertAlign w:val="superscript"/>
          <w:rtl/>
        </w:rPr>
        <w:t>)</w:t>
      </w:r>
      <w:r w:rsidRPr="00282AC9">
        <w:rPr>
          <w:rFonts w:hint="cs"/>
          <w:sz w:val="27"/>
          <w:rtl/>
        </w:rPr>
        <w:t>.</w:t>
      </w:r>
    </w:p>
    <w:p w:rsidR="00BC5E40" w:rsidRPr="00282AC9" w:rsidRDefault="00BC5E40" w:rsidP="00BF1956">
      <w:pPr>
        <w:spacing w:line="390" w:lineRule="exact"/>
        <w:rPr>
          <w:sz w:val="27"/>
          <w:rtl/>
        </w:rPr>
      </w:pPr>
      <w:r w:rsidRPr="00282AC9">
        <w:rPr>
          <w:rFonts w:hint="cs"/>
          <w:sz w:val="27"/>
          <w:rtl/>
        </w:rPr>
        <w:t>وعلى هذا الأساس فإن كل</w:t>
      </w:r>
      <w:r w:rsidR="00542E9A" w:rsidRPr="00282AC9">
        <w:rPr>
          <w:rFonts w:hint="cs"/>
          <w:sz w:val="27"/>
          <w:rtl/>
        </w:rPr>
        <w:t>ّ</w:t>
      </w:r>
      <w:r w:rsidRPr="00282AC9">
        <w:rPr>
          <w:rFonts w:hint="cs"/>
          <w:sz w:val="27"/>
          <w:rtl/>
        </w:rPr>
        <w:t xml:space="preserve"> حكم</w:t>
      </w:r>
      <w:r w:rsidR="00542E9A" w:rsidRPr="00282AC9">
        <w:rPr>
          <w:rFonts w:hint="cs"/>
          <w:sz w:val="27"/>
          <w:rtl/>
        </w:rPr>
        <w:t>ٍ</w:t>
      </w:r>
      <w:r w:rsidRPr="00282AC9">
        <w:rPr>
          <w:rFonts w:hint="cs"/>
          <w:sz w:val="27"/>
          <w:rtl/>
        </w:rPr>
        <w:t xml:space="preserve"> يصدر عن الحاكم الإسلامي بشأن العفو أو تعيين مقدار الج</w:t>
      </w:r>
      <w:r w:rsidR="00542E9A" w:rsidRPr="00282AC9">
        <w:rPr>
          <w:rFonts w:hint="cs"/>
          <w:sz w:val="27"/>
          <w:rtl/>
        </w:rPr>
        <w:t>ِ</w:t>
      </w:r>
      <w:r w:rsidRPr="00282AC9">
        <w:rPr>
          <w:rFonts w:hint="cs"/>
          <w:sz w:val="27"/>
          <w:rtl/>
        </w:rPr>
        <w:t>ز</w:t>
      </w:r>
      <w:r w:rsidR="00542E9A" w:rsidRPr="00282AC9">
        <w:rPr>
          <w:rFonts w:hint="cs"/>
          <w:sz w:val="27"/>
          <w:rtl/>
        </w:rPr>
        <w:t>ْ</w:t>
      </w:r>
      <w:r w:rsidRPr="00282AC9">
        <w:rPr>
          <w:rFonts w:hint="cs"/>
          <w:sz w:val="27"/>
          <w:rtl/>
        </w:rPr>
        <w:t>ية يندرج ضمن الأحكام الولائية.</w:t>
      </w:r>
    </w:p>
    <w:p w:rsidR="00542E9A" w:rsidRPr="00282AC9" w:rsidRDefault="00542E9A" w:rsidP="00BF1956">
      <w:pPr>
        <w:spacing w:line="360" w:lineRule="exact"/>
        <w:rPr>
          <w:sz w:val="27"/>
          <w:rtl/>
        </w:rPr>
      </w:pPr>
    </w:p>
    <w:p w:rsidR="00542E9A" w:rsidRPr="00282AC9" w:rsidRDefault="00BC5E40" w:rsidP="00542E9A">
      <w:pPr>
        <w:pStyle w:val="31"/>
        <w:rPr>
          <w:color w:val="auto"/>
          <w:rtl/>
        </w:rPr>
      </w:pPr>
      <w:r w:rsidRPr="00282AC9">
        <w:rPr>
          <w:rFonts w:hint="cs"/>
          <w:color w:val="auto"/>
          <w:rtl/>
        </w:rPr>
        <w:t>6ـ الحكم بحبس الم</w:t>
      </w:r>
      <w:r w:rsidR="00542E9A" w:rsidRPr="00282AC9">
        <w:rPr>
          <w:rFonts w:hint="cs"/>
          <w:color w:val="auto"/>
          <w:rtl/>
        </w:rPr>
        <w:t>َ</w:t>
      </w:r>
      <w:r w:rsidRPr="00282AC9">
        <w:rPr>
          <w:rFonts w:hint="cs"/>
          <w:color w:val="auto"/>
          <w:rtl/>
        </w:rPr>
        <w:t>د</w:t>
      </w:r>
      <w:r w:rsidR="00542E9A" w:rsidRPr="00282AC9">
        <w:rPr>
          <w:rFonts w:hint="cs"/>
          <w:color w:val="auto"/>
          <w:rtl/>
        </w:rPr>
        <w:t>ِ</w:t>
      </w:r>
      <w:r w:rsidRPr="00282AC9">
        <w:rPr>
          <w:rFonts w:hint="cs"/>
          <w:color w:val="auto"/>
          <w:rtl/>
        </w:rPr>
        <w:t>ين</w:t>
      </w:r>
    </w:p>
    <w:p w:rsidR="00542E9A" w:rsidRPr="00282AC9" w:rsidRDefault="00BC5E40" w:rsidP="00BC4D37">
      <w:pPr>
        <w:rPr>
          <w:sz w:val="27"/>
          <w:rtl/>
        </w:rPr>
      </w:pPr>
      <w:r w:rsidRPr="00282AC9">
        <w:rPr>
          <w:rFonts w:hint="cs"/>
          <w:sz w:val="27"/>
          <w:rtl/>
        </w:rPr>
        <w:t>لو امتنع الم</w:t>
      </w:r>
      <w:r w:rsidR="00542E9A" w:rsidRPr="00282AC9">
        <w:rPr>
          <w:rFonts w:hint="cs"/>
          <w:sz w:val="27"/>
          <w:rtl/>
        </w:rPr>
        <w:t>َ</w:t>
      </w:r>
      <w:r w:rsidRPr="00282AC9">
        <w:rPr>
          <w:rFonts w:hint="cs"/>
          <w:sz w:val="27"/>
          <w:rtl/>
        </w:rPr>
        <w:t>د</w:t>
      </w:r>
      <w:r w:rsidR="00542E9A" w:rsidRPr="00282AC9">
        <w:rPr>
          <w:rFonts w:hint="cs"/>
          <w:sz w:val="27"/>
          <w:rtl/>
        </w:rPr>
        <w:t>ِ</w:t>
      </w:r>
      <w:r w:rsidRPr="00282AC9">
        <w:rPr>
          <w:rFonts w:hint="cs"/>
          <w:sz w:val="27"/>
          <w:rtl/>
        </w:rPr>
        <w:t>ين عن دفع الد</w:t>
      </w:r>
      <w:r w:rsidR="00542E9A" w:rsidRPr="00282AC9">
        <w:rPr>
          <w:rFonts w:hint="cs"/>
          <w:sz w:val="27"/>
          <w:rtl/>
        </w:rPr>
        <w:t>َّ</w:t>
      </w:r>
      <w:r w:rsidRPr="00282AC9">
        <w:rPr>
          <w:rFonts w:hint="cs"/>
          <w:sz w:val="27"/>
          <w:rtl/>
        </w:rPr>
        <w:t>ي</w:t>
      </w:r>
      <w:r w:rsidR="00542E9A" w:rsidRPr="00282AC9">
        <w:rPr>
          <w:rFonts w:hint="cs"/>
          <w:sz w:val="27"/>
          <w:rtl/>
        </w:rPr>
        <w:t>ْ</w:t>
      </w:r>
      <w:r w:rsidRPr="00282AC9">
        <w:rPr>
          <w:rFonts w:hint="cs"/>
          <w:sz w:val="27"/>
          <w:rtl/>
        </w:rPr>
        <w:t>ن أمكن</w:t>
      </w:r>
      <w:r w:rsidR="00542E9A" w:rsidRPr="00282AC9">
        <w:rPr>
          <w:rFonts w:hint="cs"/>
          <w:sz w:val="27"/>
          <w:rtl/>
        </w:rPr>
        <w:t xml:space="preserve"> للحاكم الإسلامي أن يحكم بحبسه.</w:t>
      </w:r>
    </w:p>
    <w:p w:rsidR="00BC5E40" w:rsidRPr="00282AC9" w:rsidRDefault="00BC5E40" w:rsidP="00BC4D37">
      <w:pPr>
        <w:rPr>
          <w:sz w:val="27"/>
          <w:rtl/>
        </w:rPr>
      </w:pPr>
      <w:r w:rsidRPr="00282AC9">
        <w:rPr>
          <w:rFonts w:hint="cs"/>
          <w:sz w:val="27"/>
          <w:rtl/>
        </w:rPr>
        <w:lastRenderedPageBreak/>
        <w:t xml:space="preserve">قال الشيخ الطوسي: </w:t>
      </w:r>
      <w:r w:rsidRPr="00282AC9">
        <w:rPr>
          <w:rFonts w:hint="eastAsia"/>
          <w:sz w:val="24"/>
          <w:szCs w:val="24"/>
          <w:rtl/>
        </w:rPr>
        <w:t>«</w:t>
      </w:r>
      <w:r w:rsidRPr="00282AC9">
        <w:rPr>
          <w:sz w:val="27"/>
          <w:rtl/>
        </w:rPr>
        <w:t>م</w:t>
      </w:r>
      <w:r w:rsidR="00542E9A" w:rsidRPr="00282AC9">
        <w:rPr>
          <w:rFonts w:hint="cs"/>
          <w:sz w:val="27"/>
          <w:rtl/>
        </w:rPr>
        <w:t>َ</w:t>
      </w:r>
      <w:r w:rsidRPr="00282AC9">
        <w:rPr>
          <w:sz w:val="27"/>
          <w:rtl/>
        </w:rPr>
        <w:t>ن</w:t>
      </w:r>
      <w:r w:rsidR="00542E9A" w:rsidRPr="00282AC9">
        <w:rPr>
          <w:rFonts w:hint="cs"/>
          <w:sz w:val="27"/>
          <w:rtl/>
        </w:rPr>
        <w:t>ْ</w:t>
      </w:r>
      <w:r w:rsidRPr="00282AC9">
        <w:rPr>
          <w:sz w:val="27"/>
          <w:rtl/>
        </w:rPr>
        <w:t xml:space="preserve"> وجب عليه الد</w:t>
      </w:r>
      <w:r w:rsidR="00542E9A" w:rsidRPr="00282AC9">
        <w:rPr>
          <w:rFonts w:hint="cs"/>
          <w:sz w:val="27"/>
          <w:rtl/>
        </w:rPr>
        <w:t>َّ</w:t>
      </w:r>
      <w:r w:rsidRPr="00282AC9">
        <w:rPr>
          <w:sz w:val="27"/>
          <w:rtl/>
        </w:rPr>
        <w:t>ي</w:t>
      </w:r>
      <w:r w:rsidR="00542E9A" w:rsidRPr="00282AC9">
        <w:rPr>
          <w:rFonts w:hint="cs"/>
          <w:sz w:val="27"/>
          <w:rtl/>
        </w:rPr>
        <w:t>ْ</w:t>
      </w:r>
      <w:r w:rsidRPr="00282AC9">
        <w:rPr>
          <w:sz w:val="27"/>
          <w:rtl/>
        </w:rPr>
        <w:t>ن لا يجوز له م</w:t>
      </w:r>
      <w:r w:rsidR="00542E9A" w:rsidRPr="00282AC9">
        <w:rPr>
          <w:rFonts w:hint="cs"/>
          <w:sz w:val="27"/>
          <w:rtl/>
        </w:rPr>
        <w:t>َ</w:t>
      </w:r>
      <w:r w:rsidRPr="00282AC9">
        <w:rPr>
          <w:sz w:val="27"/>
          <w:rtl/>
        </w:rPr>
        <w:t>ط</w:t>
      </w:r>
      <w:r w:rsidR="00542E9A" w:rsidRPr="00282AC9">
        <w:rPr>
          <w:rFonts w:hint="cs"/>
          <w:sz w:val="27"/>
          <w:rtl/>
        </w:rPr>
        <w:t>ْ</w:t>
      </w:r>
      <w:r w:rsidRPr="00282AC9">
        <w:rPr>
          <w:sz w:val="27"/>
          <w:rtl/>
        </w:rPr>
        <w:t>له ودفعه مع قدرته على قضائه.</w:t>
      </w:r>
      <w:r w:rsidRPr="00282AC9">
        <w:rPr>
          <w:rFonts w:hint="cs"/>
          <w:sz w:val="27"/>
          <w:rtl/>
        </w:rPr>
        <w:t xml:space="preserve"> </w:t>
      </w:r>
      <w:r w:rsidRPr="00282AC9">
        <w:rPr>
          <w:sz w:val="27"/>
          <w:rtl/>
        </w:rPr>
        <w:t>فإن</w:t>
      </w:r>
      <w:r w:rsidR="00542E9A" w:rsidRPr="00282AC9">
        <w:rPr>
          <w:rFonts w:hint="cs"/>
          <w:sz w:val="27"/>
          <w:rtl/>
        </w:rPr>
        <w:t>ْ</w:t>
      </w:r>
      <w:r w:rsidRPr="00282AC9">
        <w:rPr>
          <w:sz w:val="27"/>
          <w:rtl/>
        </w:rPr>
        <w:t xml:space="preserve"> مطل ودفع كان على الحاكم حبسه وإلزامه الخروج مم</w:t>
      </w:r>
      <w:r w:rsidR="00542E9A" w:rsidRPr="00282AC9">
        <w:rPr>
          <w:rFonts w:hint="cs"/>
          <w:sz w:val="27"/>
          <w:rtl/>
        </w:rPr>
        <w:t>ّ</w:t>
      </w:r>
      <w:r w:rsidRPr="00282AC9">
        <w:rPr>
          <w:sz w:val="27"/>
          <w:rtl/>
        </w:rPr>
        <w:t>ا وجب عليه</w:t>
      </w:r>
      <w:r w:rsidRPr="00282AC9">
        <w:rPr>
          <w:rFonts w:hint="eastAsia"/>
          <w:sz w:val="24"/>
          <w:szCs w:val="24"/>
          <w:rtl/>
        </w:rPr>
        <w:t>»</w:t>
      </w:r>
      <w:r w:rsidRPr="00282AC9">
        <w:rPr>
          <w:sz w:val="27"/>
          <w:vertAlign w:val="superscript"/>
          <w:rtl/>
        </w:rPr>
        <w:t>(</w:t>
      </w:r>
      <w:r w:rsidRPr="00282AC9">
        <w:rPr>
          <w:rStyle w:val="af9"/>
          <w:sz w:val="27"/>
          <w:rtl/>
        </w:rPr>
        <w:endnoteReference w:id="83"/>
      </w:r>
      <w:r w:rsidRPr="00282AC9">
        <w:rPr>
          <w:sz w:val="27"/>
          <w:vertAlign w:val="superscript"/>
          <w:rtl/>
        </w:rPr>
        <w:t>)</w:t>
      </w:r>
      <w:r w:rsidRPr="00282AC9">
        <w:rPr>
          <w:rFonts w:hint="cs"/>
          <w:sz w:val="27"/>
          <w:rtl/>
        </w:rPr>
        <w:t>.</w:t>
      </w:r>
    </w:p>
    <w:p w:rsidR="00542E9A" w:rsidRPr="00282AC9" w:rsidRDefault="00542E9A" w:rsidP="00201813">
      <w:pPr>
        <w:spacing w:line="420" w:lineRule="exact"/>
        <w:rPr>
          <w:sz w:val="27"/>
          <w:rtl/>
        </w:rPr>
      </w:pPr>
    </w:p>
    <w:p w:rsidR="00542E9A" w:rsidRPr="00282AC9" w:rsidRDefault="00BC5E40" w:rsidP="00542E9A">
      <w:pPr>
        <w:pStyle w:val="31"/>
        <w:rPr>
          <w:color w:val="auto"/>
          <w:rtl/>
        </w:rPr>
      </w:pPr>
      <w:r w:rsidRPr="00282AC9">
        <w:rPr>
          <w:rFonts w:hint="cs"/>
          <w:color w:val="auto"/>
          <w:rtl/>
        </w:rPr>
        <w:t>7ـ الحكم بتقييم البضائع المحت</w:t>
      </w:r>
      <w:r w:rsidR="00B95158" w:rsidRPr="00282AC9">
        <w:rPr>
          <w:rFonts w:hint="cs"/>
          <w:color w:val="auto"/>
          <w:rtl/>
        </w:rPr>
        <w:t>َ</w:t>
      </w:r>
      <w:r w:rsidRPr="00282AC9">
        <w:rPr>
          <w:rFonts w:hint="cs"/>
          <w:color w:val="auto"/>
          <w:rtl/>
        </w:rPr>
        <w:t>ك</w:t>
      </w:r>
      <w:r w:rsidR="00542E9A" w:rsidRPr="00282AC9">
        <w:rPr>
          <w:rFonts w:hint="cs"/>
          <w:color w:val="auto"/>
          <w:rtl/>
        </w:rPr>
        <w:t>َ</w:t>
      </w:r>
      <w:r w:rsidRPr="00282AC9">
        <w:rPr>
          <w:rFonts w:hint="cs"/>
          <w:color w:val="auto"/>
          <w:rtl/>
        </w:rPr>
        <w:t>رة</w:t>
      </w:r>
    </w:p>
    <w:p w:rsidR="00BC5E40" w:rsidRPr="00282AC9" w:rsidRDefault="00BC5E40" w:rsidP="00BC4D37">
      <w:pPr>
        <w:rPr>
          <w:sz w:val="27"/>
          <w:rtl/>
        </w:rPr>
      </w:pPr>
      <w:r w:rsidRPr="00282AC9">
        <w:rPr>
          <w:rFonts w:hint="cs"/>
          <w:sz w:val="27"/>
          <w:rtl/>
        </w:rPr>
        <w:t>على الرغم من اختلاف الفقهاء في هذه المسألة، إلا</w:t>
      </w:r>
      <w:r w:rsidR="00542E9A" w:rsidRPr="00282AC9">
        <w:rPr>
          <w:rFonts w:hint="cs"/>
          <w:sz w:val="27"/>
          <w:rtl/>
        </w:rPr>
        <w:t>ّ</w:t>
      </w:r>
      <w:r w:rsidRPr="00282AC9">
        <w:rPr>
          <w:rFonts w:hint="cs"/>
          <w:sz w:val="27"/>
          <w:rtl/>
        </w:rPr>
        <w:t xml:space="preserve"> أن بعضهم أفتى بمشروعي</w:t>
      </w:r>
      <w:r w:rsidR="00542E9A" w:rsidRPr="00282AC9">
        <w:rPr>
          <w:rFonts w:hint="cs"/>
          <w:sz w:val="27"/>
          <w:rtl/>
        </w:rPr>
        <w:t>ّة ذلك، ومن</w:t>
      </w:r>
      <w:r w:rsidRPr="00282AC9">
        <w:rPr>
          <w:rFonts w:hint="cs"/>
          <w:sz w:val="27"/>
          <w:rtl/>
        </w:rPr>
        <w:t>هم</w:t>
      </w:r>
      <w:r w:rsidR="00542E9A" w:rsidRPr="00282AC9">
        <w:rPr>
          <w:rFonts w:hint="cs"/>
          <w:sz w:val="27"/>
          <w:rtl/>
        </w:rPr>
        <w:t>:</w:t>
      </w:r>
      <w:r w:rsidRPr="00282AC9">
        <w:rPr>
          <w:rFonts w:hint="cs"/>
          <w:sz w:val="27"/>
          <w:rtl/>
        </w:rPr>
        <w:t xml:space="preserve"> الشيخ المفيد؛ إذ قال في المقنعة:</w:t>
      </w:r>
      <w:r w:rsidR="00542E9A" w:rsidRPr="00282AC9">
        <w:rPr>
          <w:rFonts w:hint="cs"/>
          <w:sz w:val="27"/>
          <w:rtl/>
        </w:rPr>
        <w:t xml:space="preserve"> </w:t>
      </w:r>
      <w:r w:rsidRPr="00282AC9">
        <w:rPr>
          <w:rFonts w:hint="eastAsia"/>
          <w:sz w:val="24"/>
          <w:szCs w:val="24"/>
          <w:rtl/>
        </w:rPr>
        <w:t>«</w:t>
      </w:r>
      <w:r w:rsidRPr="00282AC9">
        <w:rPr>
          <w:sz w:val="27"/>
          <w:rtl/>
        </w:rPr>
        <w:t>للسلطان أن يكره المحتك</w:t>
      </w:r>
      <w:r w:rsidR="00542E9A" w:rsidRPr="00282AC9">
        <w:rPr>
          <w:rFonts w:hint="cs"/>
          <w:sz w:val="27"/>
          <w:rtl/>
        </w:rPr>
        <w:t>ِ</w:t>
      </w:r>
      <w:r w:rsidRPr="00282AC9">
        <w:rPr>
          <w:sz w:val="27"/>
          <w:rtl/>
        </w:rPr>
        <w:t>ر على إخراج غل</w:t>
      </w:r>
      <w:r w:rsidR="00542E9A" w:rsidRPr="00282AC9">
        <w:rPr>
          <w:rFonts w:hint="cs"/>
          <w:sz w:val="27"/>
          <w:rtl/>
        </w:rPr>
        <w:t>ّ</w:t>
      </w:r>
      <w:r w:rsidRPr="00282AC9">
        <w:rPr>
          <w:sz w:val="27"/>
          <w:rtl/>
        </w:rPr>
        <w:t>ته وبيعها في أسواق المسلمين</w:t>
      </w:r>
      <w:r w:rsidRPr="00282AC9">
        <w:rPr>
          <w:rFonts w:hint="cs"/>
          <w:sz w:val="27"/>
          <w:rtl/>
        </w:rPr>
        <w:t>،</w:t>
      </w:r>
      <w:r w:rsidRPr="00282AC9">
        <w:rPr>
          <w:sz w:val="27"/>
          <w:rtl/>
        </w:rPr>
        <w:t xml:space="preserve"> إذا كانت بالناس حاجة</w:t>
      </w:r>
      <w:r w:rsidR="00542E9A" w:rsidRPr="00282AC9">
        <w:rPr>
          <w:rFonts w:hint="cs"/>
          <w:sz w:val="27"/>
          <w:rtl/>
        </w:rPr>
        <w:t>ٌ</w:t>
      </w:r>
      <w:r w:rsidRPr="00282AC9">
        <w:rPr>
          <w:sz w:val="27"/>
          <w:rtl/>
        </w:rPr>
        <w:t xml:space="preserve"> ظاهرة إليها</w:t>
      </w:r>
      <w:r w:rsidRPr="00282AC9">
        <w:rPr>
          <w:rFonts w:hint="cs"/>
          <w:sz w:val="27"/>
          <w:rtl/>
        </w:rPr>
        <w:t>،</w:t>
      </w:r>
      <w:r w:rsidRPr="00282AC9">
        <w:rPr>
          <w:sz w:val="27"/>
          <w:rtl/>
        </w:rPr>
        <w:t xml:space="preserve"> وله أن يسع</w:t>
      </w:r>
      <w:r w:rsidR="00542E9A" w:rsidRPr="00282AC9">
        <w:rPr>
          <w:rFonts w:hint="cs"/>
          <w:sz w:val="27"/>
          <w:rtl/>
        </w:rPr>
        <w:t>ِّ</w:t>
      </w:r>
      <w:r w:rsidRPr="00282AC9">
        <w:rPr>
          <w:sz w:val="27"/>
          <w:rtl/>
        </w:rPr>
        <w:t>رها على ما يراه من المصلحة</w:t>
      </w:r>
      <w:r w:rsidRPr="00282AC9">
        <w:rPr>
          <w:rFonts w:hint="cs"/>
          <w:sz w:val="27"/>
          <w:rtl/>
        </w:rPr>
        <w:t>،</w:t>
      </w:r>
      <w:r w:rsidRPr="00282AC9">
        <w:rPr>
          <w:sz w:val="27"/>
          <w:rtl/>
        </w:rPr>
        <w:t xml:space="preserve"> ولا يسع</w:t>
      </w:r>
      <w:r w:rsidR="00542E9A" w:rsidRPr="00282AC9">
        <w:rPr>
          <w:rFonts w:hint="cs"/>
          <w:sz w:val="27"/>
          <w:rtl/>
        </w:rPr>
        <w:t>ِّ</w:t>
      </w:r>
      <w:r w:rsidRPr="00282AC9">
        <w:rPr>
          <w:sz w:val="27"/>
          <w:rtl/>
        </w:rPr>
        <w:t>رها بما يخسر أربابها فيها</w:t>
      </w:r>
      <w:r w:rsidRPr="00282AC9">
        <w:rPr>
          <w:rFonts w:hint="eastAsia"/>
          <w:sz w:val="24"/>
          <w:szCs w:val="24"/>
          <w:rtl/>
        </w:rPr>
        <w:t>»</w:t>
      </w:r>
      <w:r w:rsidRPr="00282AC9">
        <w:rPr>
          <w:sz w:val="27"/>
          <w:vertAlign w:val="superscript"/>
          <w:rtl/>
        </w:rPr>
        <w:t>(</w:t>
      </w:r>
      <w:r w:rsidRPr="00282AC9">
        <w:rPr>
          <w:rStyle w:val="af9"/>
          <w:sz w:val="27"/>
          <w:rtl/>
        </w:rPr>
        <w:endnoteReference w:id="84"/>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وقال صاحب الجواهر [ما مضمونه]</w:t>
      </w:r>
      <w:r w:rsidRPr="00282AC9">
        <w:rPr>
          <w:sz w:val="27"/>
          <w:vertAlign w:val="superscript"/>
          <w:rtl/>
        </w:rPr>
        <w:t>(</w:t>
      </w:r>
      <w:r w:rsidRPr="00282AC9">
        <w:rPr>
          <w:rStyle w:val="af9"/>
          <w:sz w:val="27"/>
          <w:rtl/>
        </w:rPr>
        <w:endnoteReference w:id="85"/>
      </w:r>
      <w:r w:rsidRPr="00282AC9">
        <w:rPr>
          <w:sz w:val="27"/>
          <w:vertAlign w:val="superscript"/>
          <w:rtl/>
        </w:rPr>
        <w:t>)</w:t>
      </w:r>
      <w:r w:rsidRPr="00282AC9">
        <w:rPr>
          <w:rFonts w:hint="cs"/>
          <w:sz w:val="27"/>
          <w:rtl/>
        </w:rPr>
        <w:t xml:space="preserve">: </w:t>
      </w:r>
      <w:r w:rsidRPr="00282AC9">
        <w:rPr>
          <w:rFonts w:hint="eastAsia"/>
          <w:sz w:val="24"/>
          <w:szCs w:val="24"/>
          <w:rtl/>
        </w:rPr>
        <w:t>«</w:t>
      </w:r>
      <w:r w:rsidRPr="00282AC9">
        <w:rPr>
          <w:rFonts w:hint="cs"/>
          <w:sz w:val="27"/>
          <w:rtl/>
        </w:rPr>
        <w:t>إن</w:t>
      </w:r>
      <w:r w:rsidRPr="00282AC9">
        <w:rPr>
          <w:sz w:val="27"/>
          <w:rtl/>
        </w:rPr>
        <w:t xml:space="preserve"> للسلطان </w:t>
      </w:r>
      <w:r w:rsidRPr="00282AC9">
        <w:rPr>
          <w:rFonts w:hint="cs"/>
          <w:sz w:val="27"/>
          <w:rtl/>
        </w:rPr>
        <w:t>أ</w:t>
      </w:r>
      <w:r w:rsidRPr="00282AC9">
        <w:rPr>
          <w:sz w:val="27"/>
          <w:rtl/>
        </w:rPr>
        <w:t>ن يسع</w:t>
      </w:r>
      <w:r w:rsidR="00A73DFA" w:rsidRPr="00282AC9">
        <w:rPr>
          <w:rFonts w:hint="cs"/>
          <w:sz w:val="27"/>
          <w:rtl/>
        </w:rPr>
        <w:t>ِّ</w:t>
      </w:r>
      <w:r w:rsidRPr="00282AC9">
        <w:rPr>
          <w:sz w:val="27"/>
          <w:rtl/>
        </w:rPr>
        <w:t>ر</w:t>
      </w:r>
      <w:r w:rsidRPr="00282AC9">
        <w:rPr>
          <w:rFonts w:hint="cs"/>
          <w:sz w:val="27"/>
          <w:rtl/>
        </w:rPr>
        <w:t xml:space="preserve"> البضاعة، إذا أجحف</w:t>
      </w:r>
      <w:r w:rsidRPr="00282AC9">
        <w:rPr>
          <w:sz w:val="27"/>
          <w:rtl/>
        </w:rPr>
        <w:t xml:space="preserve"> </w:t>
      </w:r>
      <w:r w:rsidRPr="00282AC9">
        <w:rPr>
          <w:rFonts w:hint="cs"/>
          <w:sz w:val="27"/>
          <w:rtl/>
        </w:rPr>
        <w:t>المالك</w:t>
      </w:r>
      <w:r w:rsidRPr="00282AC9">
        <w:rPr>
          <w:rFonts w:hint="eastAsia"/>
          <w:sz w:val="24"/>
          <w:szCs w:val="24"/>
          <w:rtl/>
        </w:rPr>
        <w:t>»</w:t>
      </w:r>
      <w:r w:rsidRPr="00282AC9">
        <w:rPr>
          <w:sz w:val="27"/>
          <w:vertAlign w:val="superscript"/>
          <w:rtl/>
        </w:rPr>
        <w:t>(</w:t>
      </w:r>
      <w:r w:rsidRPr="00282AC9">
        <w:rPr>
          <w:rStyle w:val="af9"/>
          <w:sz w:val="27"/>
          <w:rtl/>
        </w:rPr>
        <w:endnoteReference w:id="86"/>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وجاء في ولاية الفقيه: </w:t>
      </w:r>
      <w:r w:rsidRPr="00282AC9">
        <w:rPr>
          <w:rFonts w:hint="eastAsia"/>
          <w:sz w:val="24"/>
          <w:szCs w:val="24"/>
          <w:rtl/>
        </w:rPr>
        <w:t>«</w:t>
      </w:r>
      <w:r w:rsidRPr="00282AC9">
        <w:rPr>
          <w:rFonts w:hint="cs"/>
          <w:sz w:val="27"/>
          <w:rtl/>
        </w:rPr>
        <w:t>يجوز للحاكم أن يُسعّ</w:t>
      </w:r>
      <w:r w:rsidR="00A73DFA" w:rsidRPr="00282AC9">
        <w:rPr>
          <w:rFonts w:hint="cs"/>
          <w:sz w:val="27"/>
          <w:rtl/>
        </w:rPr>
        <w:t>ِ</w:t>
      </w:r>
      <w:r w:rsidRPr="00282AC9">
        <w:rPr>
          <w:rFonts w:hint="cs"/>
          <w:sz w:val="27"/>
          <w:rtl/>
        </w:rPr>
        <w:t>ر البضاعة، إذا لم تكن القيمة متوازنة</w:t>
      </w:r>
      <w:r w:rsidR="00A73DFA" w:rsidRPr="00282AC9">
        <w:rPr>
          <w:rFonts w:hint="cs"/>
          <w:sz w:val="27"/>
          <w:rtl/>
        </w:rPr>
        <w:t>ً</w:t>
      </w:r>
      <w:r w:rsidRPr="00282AC9">
        <w:rPr>
          <w:rFonts w:hint="cs"/>
          <w:sz w:val="27"/>
          <w:rtl/>
        </w:rPr>
        <w:t xml:space="preserve"> مع ع</w:t>
      </w:r>
      <w:r w:rsidR="00A73DFA" w:rsidRPr="00282AC9">
        <w:rPr>
          <w:rFonts w:hint="cs"/>
          <w:sz w:val="27"/>
          <w:rtl/>
        </w:rPr>
        <w:t>َ</w:t>
      </w:r>
      <w:r w:rsidRPr="00282AC9">
        <w:rPr>
          <w:rFonts w:hint="cs"/>
          <w:sz w:val="27"/>
          <w:rtl/>
        </w:rPr>
        <w:t>ر</w:t>
      </w:r>
      <w:r w:rsidR="00A73DFA" w:rsidRPr="00282AC9">
        <w:rPr>
          <w:rFonts w:hint="cs"/>
          <w:sz w:val="27"/>
          <w:rtl/>
        </w:rPr>
        <w:t>ْ</w:t>
      </w:r>
      <w:r w:rsidRPr="00282AC9">
        <w:rPr>
          <w:rFonts w:hint="cs"/>
          <w:sz w:val="27"/>
          <w:rtl/>
        </w:rPr>
        <w:t>ض البضاعة</w:t>
      </w:r>
      <w:r w:rsidRPr="00282AC9">
        <w:rPr>
          <w:rFonts w:hint="eastAsia"/>
          <w:sz w:val="24"/>
          <w:szCs w:val="24"/>
          <w:rtl/>
        </w:rPr>
        <w:t>»</w:t>
      </w:r>
      <w:r w:rsidRPr="00282AC9">
        <w:rPr>
          <w:sz w:val="27"/>
          <w:vertAlign w:val="superscript"/>
          <w:rtl/>
        </w:rPr>
        <w:t>(</w:t>
      </w:r>
      <w:r w:rsidRPr="00282AC9">
        <w:rPr>
          <w:rStyle w:val="af9"/>
          <w:sz w:val="27"/>
          <w:rtl/>
        </w:rPr>
        <w:endnoteReference w:id="87"/>
      </w:r>
      <w:r w:rsidRPr="00282AC9">
        <w:rPr>
          <w:sz w:val="27"/>
          <w:vertAlign w:val="superscript"/>
          <w:rtl/>
        </w:rPr>
        <w:t>)</w:t>
      </w:r>
      <w:r w:rsidRPr="00282AC9">
        <w:rPr>
          <w:rFonts w:hint="cs"/>
          <w:sz w:val="27"/>
          <w:rtl/>
        </w:rPr>
        <w:t>.</w:t>
      </w:r>
    </w:p>
    <w:p w:rsidR="00A73DFA" w:rsidRPr="00282AC9" w:rsidRDefault="00A73DFA" w:rsidP="00BF1956">
      <w:pPr>
        <w:spacing w:line="430" w:lineRule="exact"/>
        <w:rPr>
          <w:sz w:val="27"/>
          <w:rtl/>
        </w:rPr>
      </w:pPr>
    </w:p>
    <w:p w:rsidR="00A73DFA" w:rsidRPr="00282AC9" w:rsidRDefault="00BC5E40" w:rsidP="00A73DFA">
      <w:pPr>
        <w:pStyle w:val="31"/>
        <w:rPr>
          <w:color w:val="auto"/>
          <w:rtl/>
        </w:rPr>
      </w:pPr>
      <w:r w:rsidRPr="00282AC9">
        <w:rPr>
          <w:rFonts w:hint="cs"/>
          <w:color w:val="auto"/>
          <w:rtl/>
        </w:rPr>
        <w:t>8ـ الحكم بتحجير الأرض</w:t>
      </w:r>
    </w:p>
    <w:p w:rsidR="00BC5E40" w:rsidRPr="00282AC9" w:rsidRDefault="00BC5E40" w:rsidP="00BC4D37">
      <w:pPr>
        <w:rPr>
          <w:sz w:val="27"/>
          <w:rtl/>
        </w:rPr>
      </w:pPr>
      <w:r w:rsidRPr="00282AC9">
        <w:rPr>
          <w:rFonts w:hint="cs"/>
          <w:sz w:val="27"/>
          <w:rtl/>
        </w:rPr>
        <w:t>إن من طرق امتلاك الأرض الميتة إحيا</w:t>
      </w:r>
      <w:r w:rsidR="00A73DFA" w:rsidRPr="00282AC9">
        <w:rPr>
          <w:rFonts w:hint="cs"/>
          <w:sz w:val="27"/>
          <w:rtl/>
        </w:rPr>
        <w:t>ء</w:t>
      </w:r>
      <w:r w:rsidRPr="00282AC9">
        <w:rPr>
          <w:rFonts w:hint="cs"/>
          <w:sz w:val="27"/>
          <w:rtl/>
        </w:rPr>
        <w:t>ها</w:t>
      </w:r>
      <w:r w:rsidR="00A73DFA" w:rsidRPr="00282AC9">
        <w:rPr>
          <w:rFonts w:hint="cs"/>
          <w:sz w:val="27"/>
          <w:rtl/>
        </w:rPr>
        <w:t>.</w:t>
      </w:r>
      <w:r w:rsidRPr="00282AC9">
        <w:rPr>
          <w:rFonts w:hint="cs"/>
          <w:sz w:val="27"/>
          <w:rtl/>
        </w:rPr>
        <w:t xml:space="preserve"> والتحجير في الفقه يكون سبباً في الأولوي</w:t>
      </w:r>
      <w:r w:rsidR="00A73DFA" w:rsidRPr="00282AC9">
        <w:rPr>
          <w:rFonts w:hint="cs"/>
          <w:sz w:val="27"/>
          <w:rtl/>
        </w:rPr>
        <w:t>ّ</w:t>
      </w:r>
      <w:r w:rsidRPr="00282AC9">
        <w:rPr>
          <w:rFonts w:hint="cs"/>
          <w:sz w:val="27"/>
          <w:rtl/>
        </w:rPr>
        <w:t>ة</w:t>
      </w:r>
      <w:r w:rsidR="00A73DFA" w:rsidRPr="00282AC9">
        <w:rPr>
          <w:rFonts w:hint="cs"/>
          <w:sz w:val="27"/>
          <w:rtl/>
        </w:rPr>
        <w:t>؛</w:t>
      </w:r>
      <w:r w:rsidRPr="00282AC9">
        <w:rPr>
          <w:rFonts w:hint="cs"/>
          <w:sz w:val="27"/>
          <w:rtl/>
        </w:rPr>
        <w:t xml:space="preserve"> فإذا قام شخص</w:t>
      </w:r>
      <w:r w:rsidR="00A73DFA" w:rsidRPr="00282AC9">
        <w:rPr>
          <w:rFonts w:hint="cs"/>
          <w:sz w:val="27"/>
          <w:rtl/>
        </w:rPr>
        <w:t>ٌ</w:t>
      </w:r>
      <w:r w:rsidRPr="00282AC9">
        <w:rPr>
          <w:rFonts w:hint="cs"/>
          <w:sz w:val="27"/>
          <w:rtl/>
        </w:rPr>
        <w:t xml:space="preserve"> بتحجير أرض</w:t>
      </w:r>
      <w:r w:rsidR="00A73DFA" w:rsidRPr="00282AC9">
        <w:rPr>
          <w:rFonts w:hint="cs"/>
          <w:sz w:val="27"/>
          <w:rtl/>
        </w:rPr>
        <w:t>ٍ،</w:t>
      </w:r>
      <w:r w:rsidRPr="00282AC9">
        <w:rPr>
          <w:rFonts w:hint="cs"/>
          <w:sz w:val="27"/>
          <w:rtl/>
        </w:rPr>
        <w:t xml:space="preserve"> ولم يعمل على إحيائها، تخي</w:t>
      </w:r>
      <w:r w:rsidR="00A73DFA" w:rsidRPr="00282AC9">
        <w:rPr>
          <w:rFonts w:hint="cs"/>
          <w:sz w:val="27"/>
          <w:rtl/>
        </w:rPr>
        <w:t>َّ</w:t>
      </w:r>
      <w:r w:rsidRPr="00282AC9">
        <w:rPr>
          <w:rFonts w:hint="cs"/>
          <w:sz w:val="27"/>
          <w:rtl/>
        </w:rPr>
        <w:t>ر الحاكم الإسلامي بين إجباره على إحيائها أو التخل</w:t>
      </w:r>
      <w:r w:rsidR="00A73DFA" w:rsidRPr="00282AC9">
        <w:rPr>
          <w:rFonts w:hint="cs"/>
          <w:sz w:val="27"/>
          <w:rtl/>
        </w:rPr>
        <w:t>ّ</w:t>
      </w:r>
      <w:r w:rsidRPr="00282AC9">
        <w:rPr>
          <w:rFonts w:hint="cs"/>
          <w:sz w:val="27"/>
          <w:rtl/>
        </w:rPr>
        <w:t>ي عنها.</w:t>
      </w:r>
    </w:p>
    <w:p w:rsidR="00BC5E40" w:rsidRPr="00282AC9" w:rsidRDefault="00BC5E40" w:rsidP="00BC4D37">
      <w:pPr>
        <w:rPr>
          <w:sz w:val="27"/>
          <w:rtl/>
        </w:rPr>
      </w:pPr>
      <w:r w:rsidRPr="00282AC9">
        <w:rPr>
          <w:rFonts w:hint="cs"/>
          <w:sz w:val="27"/>
          <w:rtl/>
        </w:rPr>
        <w:t>قال المحق</w:t>
      </w:r>
      <w:r w:rsidR="00A73DFA" w:rsidRPr="00282AC9">
        <w:rPr>
          <w:rFonts w:hint="cs"/>
          <w:sz w:val="27"/>
          <w:rtl/>
        </w:rPr>
        <w:t>ِّ</w:t>
      </w:r>
      <w:r w:rsidRPr="00282AC9">
        <w:rPr>
          <w:rFonts w:hint="cs"/>
          <w:sz w:val="27"/>
          <w:rtl/>
        </w:rPr>
        <w:t>ق الحل</w:t>
      </w:r>
      <w:r w:rsidR="00A73DFA" w:rsidRPr="00282AC9">
        <w:rPr>
          <w:rFonts w:hint="cs"/>
          <w:sz w:val="27"/>
          <w:rtl/>
        </w:rPr>
        <w:t>ّ</w:t>
      </w:r>
      <w:r w:rsidRPr="00282AC9">
        <w:rPr>
          <w:rFonts w:hint="cs"/>
          <w:sz w:val="27"/>
          <w:rtl/>
        </w:rPr>
        <w:t>ي</w:t>
      </w:r>
      <w:r w:rsidR="00A73DFA" w:rsidRPr="00282AC9">
        <w:rPr>
          <w:rFonts w:hint="cs"/>
          <w:sz w:val="27"/>
          <w:rtl/>
        </w:rPr>
        <w:t>،</w:t>
      </w:r>
      <w:r w:rsidRPr="00282AC9">
        <w:rPr>
          <w:rFonts w:hint="cs"/>
          <w:sz w:val="27"/>
          <w:rtl/>
        </w:rPr>
        <w:t xml:space="preserve"> في الشرائع: </w:t>
      </w:r>
      <w:r w:rsidRPr="00282AC9">
        <w:rPr>
          <w:rFonts w:hint="eastAsia"/>
          <w:sz w:val="24"/>
          <w:szCs w:val="24"/>
          <w:rtl/>
        </w:rPr>
        <w:t>«</w:t>
      </w:r>
      <w:r w:rsidRPr="00282AC9">
        <w:rPr>
          <w:sz w:val="27"/>
          <w:rtl/>
        </w:rPr>
        <w:t>لو اقتصر</w:t>
      </w:r>
      <w:r w:rsidRPr="00282AC9">
        <w:rPr>
          <w:rFonts w:hint="cs"/>
          <w:sz w:val="27"/>
          <w:rtl/>
        </w:rPr>
        <w:t xml:space="preserve"> </w:t>
      </w:r>
      <w:r w:rsidRPr="00282AC9">
        <w:rPr>
          <w:sz w:val="27"/>
          <w:rtl/>
        </w:rPr>
        <w:t>على التحجير</w:t>
      </w:r>
      <w:r w:rsidR="00A73DFA" w:rsidRPr="00282AC9">
        <w:rPr>
          <w:rFonts w:hint="cs"/>
          <w:sz w:val="27"/>
          <w:rtl/>
        </w:rPr>
        <w:t>،</w:t>
      </w:r>
      <w:r w:rsidRPr="00282AC9">
        <w:rPr>
          <w:sz w:val="27"/>
          <w:rtl/>
        </w:rPr>
        <w:t xml:space="preserve"> وأهمل العمارة</w:t>
      </w:r>
      <w:r w:rsidRPr="00282AC9">
        <w:rPr>
          <w:rFonts w:hint="cs"/>
          <w:sz w:val="27"/>
          <w:rtl/>
        </w:rPr>
        <w:t>،</w:t>
      </w:r>
      <w:r w:rsidRPr="00282AC9">
        <w:rPr>
          <w:sz w:val="27"/>
          <w:rtl/>
        </w:rPr>
        <w:t xml:space="preserve"> أجبره ال</w:t>
      </w:r>
      <w:r w:rsidRPr="00282AC9">
        <w:rPr>
          <w:rFonts w:hint="cs"/>
          <w:sz w:val="27"/>
          <w:rtl/>
        </w:rPr>
        <w:t>إ</w:t>
      </w:r>
      <w:r w:rsidRPr="00282AC9">
        <w:rPr>
          <w:sz w:val="27"/>
          <w:rtl/>
        </w:rPr>
        <w:t>مام على أحد أمر</w:t>
      </w:r>
      <w:r w:rsidR="00A73DFA" w:rsidRPr="00282AC9">
        <w:rPr>
          <w:rFonts w:hint="cs"/>
          <w:sz w:val="27"/>
          <w:rtl/>
        </w:rPr>
        <w:t>َ</w:t>
      </w:r>
      <w:r w:rsidRPr="00282AC9">
        <w:rPr>
          <w:sz w:val="27"/>
          <w:rtl/>
        </w:rPr>
        <w:t>ي</w:t>
      </w:r>
      <w:r w:rsidR="00A73DFA" w:rsidRPr="00282AC9">
        <w:rPr>
          <w:rFonts w:hint="cs"/>
          <w:sz w:val="27"/>
          <w:rtl/>
        </w:rPr>
        <w:t>ْ</w:t>
      </w:r>
      <w:r w:rsidRPr="00282AC9">
        <w:rPr>
          <w:sz w:val="27"/>
          <w:rtl/>
        </w:rPr>
        <w:t>ن: إما ال</w:t>
      </w:r>
      <w:r w:rsidRPr="00282AC9">
        <w:rPr>
          <w:rFonts w:hint="cs"/>
          <w:sz w:val="27"/>
          <w:rtl/>
        </w:rPr>
        <w:t>إ</w:t>
      </w:r>
      <w:r w:rsidRPr="00282AC9">
        <w:rPr>
          <w:sz w:val="27"/>
          <w:rtl/>
        </w:rPr>
        <w:t>حياء</w:t>
      </w:r>
      <w:r w:rsidR="00A73DFA" w:rsidRPr="00282AC9">
        <w:rPr>
          <w:rFonts w:hint="cs"/>
          <w:sz w:val="27"/>
          <w:rtl/>
        </w:rPr>
        <w:t>؛</w:t>
      </w:r>
      <w:r w:rsidRPr="00282AC9">
        <w:rPr>
          <w:sz w:val="27"/>
          <w:rtl/>
        </w:rPr>
        <w:t xml:space="preserve"> وإما التخلية</w:t>
      </w:r>
      <w:r w:rsidRPr="00282AC9">
        <w:rPr>
          <w:rFonts w:hint="cs"/>
          <w:sz w:val="27"/>
          <w:rtl/>
        </w:rPr>
        <w:t xml:space="preserve"> </w:t>
      </w:r>
      <w:r w:rsidRPr="00282AC9">
        <w:rPr>
          <w:sz w:val="27"/>
          <w:rtl/>
        </w:rPr>
        <w:t>بينها وبين غيره</w:t>
      </w:r>
      <w:r w:rsidR="00A73DFA" w:rsidRPr="00282AC9">
        <w:rPr>
          <w:rFonts w:hint="cs"/>
          <w:sz w:val="27"/>
          <w:rtl/>
        </w:rPr>
        <w:t>.</w:t>
      </w:r>
      <w:r w:rsidRPr="00282AC9">
        <w:rPr>
          <w:sz w:val="27"/>
          <w:rtl/>
        </w:rPr>
        <w:t xml:space="preserve"> ولو امتنع أخرجها السلطان من يده</w:t>
      </w:r>
      <w:r w:rsidR="00A73DFA" w:rsidRPr="00282AC9">
        <w:rPr>
          <w:rFonts w:hint="cs"/>
          <w:sz w:val="27"/>
          <w:rtl/>
        </w:rPr>
        <w:t>؛</w:t>
      </w:r>
      <w:r w:rsidRPr="00282AC9">
        <w:rPr>
          <w:sz w:val="27"/>
          <w:rtl/>
        </w:rPr>
        <w:t xml:space="preserve"> لئلا</w:t>
      </w:r>
      <w:r w:rsidR="00A73DFA" w:rsidRPr="00282AC9">
        <w:rPr>
          <w:rFonts w:hint="cs"/>
          <w:sz w:val="27"/>
          <w:rtl/>
        </w:rPr>
        <w:t>ّ</w:t>
      </w:r>
      <w:r w:rsidRPr="00282AC9">
        <w:rPr>
          <w:rFonts w:hint="cs"/>
          <w:sz w:val="27"/>
          <w:rtl/>
        </w:rPr>
        <w:t xml:space="preserve"> </w:t>
      </w:r>
      <w:r w:rsidRPr="00282AC9">
        <w:rPr>
          <w:sz w:val="27"/>
          <w:rtl/>
        </w:rPr>
        <w:t>يعط</w:t>
      </w:r>
      <w:r w:rsidR="00A73DFA" w:rsidRPr="00282AC9">
        <w:rPr>
          <w:rFonts w:hint="cs"/>
          <w:sz w:val="27"/>
          <w:rtl/>
        </w:rPr>
        <w:t>ِّ</w:t>
      </w:r>
      <w:r w:rsidRPr="00282AC9">
        <w:rPr>
          <w:sz w:val="27"/>
          <w:rtl/>
        </w:rPr>
        <w:t>لها</w:t>
      </w:r>
      <w:r w:rsidRPr="00282AC9">
        <w:rPr>
          <w:rFonts w:hint="eastAsia"/>
          <w:sz w:val="24"/>
          <w:szCs w:val="24"/>
          <w:rtl/>
        </w:rPr>
        <w:t>»</w:t>
      </w:r>
      <w:r w:rsidRPr="00282AC9">
        <w:rPr>
          <w:sz w:val="27"/>
          <w:vertAlign w:val="superscript"/>
          <w:rtl/>
        </w:rPr>
        <w:t>(</w:t>
      </w:r>
      <w:r w:rsidRPr="00282AC9">
        <w:rPr>
          <w:rStyle w:val="af9"/>
          <w:sz w:val="27"/>
          <w:rtl/>
        </w:rPr>
        <w:endnoteReference w:id="88"/>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وقال صاحب الجواهر في هذا الشأن: </w:t>
      </w:r>
      <w:r w:rsidRPr="00282AC9">
        <w:rPr>
          <w:rFonts w:hint="eastAsia"/>
          <w:sz w:val="24"/>
          <w:szCs w:val="24"/>
          <w:rtl/>
        </w:rPr>
        <w:t>«</w:t>
      </w:r>
      <w:r w:rsidRPr="00282AC9">
        <w:rPr>
          <w:sz w:val="27"/>
          <w:rtl/>
        </w:rPr>
        <w:t>بلاخلاف</w:t>
      </w:r>
      <w:r w:rsidR="00A73DFA" w:rsidRPr="00282AC9">
        <w:rPr>
          <w:rFonts w:hint="cs"/>
          <w:sz w:val="27"/>
          <w:rtl/>
        </w:rPr>
        <w:t>ٍ</w:t>
      </w:r>
      <w:r w:rsidRPr="00282AC9">
        <w:rPr>
          <w:sz w:val="27"/>
          <w:rtl/>
        </w:rPr>
        <w:t xml:space="preserve"> أجده</w:t>
      </w:r>
      <w:r w:rsidRPr="00282AC9">
        <w:rPr>
          <w:rFonts w:hint="cs"/>
          <w:sz w:val="27"/>
          <w:rtl/>
        </w:rPr>
        <w:t xml:space="preserve"> </w:t>
      </w:r>
      <w:r w:rsidRPr="00282AC9">
        <w:rPr>
          <w:sz w:val="27"/>
          <w:rtl/>
        </w:rPr>
        <w:t>بين م</w:t>
      </w:r>
      <w:r w:rsidR="00A73DFA" w:rsidRPr="00282AC9">
        <w:rPr>
          <w:rFonts w:hint="cs"/>
          <w:sz w:val="27"/>
          <w:rtl/>
        </w:rPr>
        <w:t>َ</w:t>
      </w:r>
      <w:r w:rsidRPr="00282AC9">
        <w:rPr>
          <w:sz w:val="27"/>
          <w:rtl/>
        </w:rPr>
        <w:t>ن</w:t>
      </w:r>
      <w:r w:rsidR="00A73DFA" w:rsidRPr="00282AC9">
        <w:rPr>
          <w:rFonts w:hint="cs"/>
          <w:sz w:val="27"/>
          <w:rtl/>
        </w:rPr>
        <w:t>ْ</w:t>
      </w:r>
      <w:r w:rsidRPr="00282AC9">
        <w:rPr>
          <w:sz w:val="27"/>
          <w:rtl/>
        </w:rPr>
        <w:t xml:space="preserve"> تعر</w:t>
      </w:r>
      <w:r w:rsidR="00A73DFA" w:rsidRPr="00282AC9">
        <w:rPr>
          <w:rFonts w:hint="cs"/>
          <w:sz w:val="27"/>
          <w:rtl/>
        </w:rPr>
        <w:t>َّ</w:t>
      </w:r>
      <w:r w:rsidRPr="00282AC9">
        <w:rPr>
          <w:sz w:val="27"/>
          <w:rtl/>
        </w:rPr>
        <w:t>ض له، كالشيخ وابن حمزة والفاضلين والشهيد</w:t>
      </w:r>
      <w:r w:rsidR="00A73DFA" w:rsidRPr="00282AC9">
        <w:rPr>
          <w:rFonts w:hint="cs"/>
          <w:sz w:val="27"/>
          <w:rtl/>
        </w:rPr>
        <w:t>َ</w:t>
      </w:r>
      <w:r w:rsidRPr="00282AC9">
        <w:rPr>
          <w:sz w:val="27"/>
          <w:rtl/>
        </w:rPr>
        <w:t>ي</w:t>
      </w:r>
      <w:r w:rsidR="00A73DFA" w:rsidRPr="00282AC9">
        <w:rPr>
          <w:rFonts w:hint="cs"/>
          <w:sz w:val="27"/>
          <w:rtl/>
        </w:rPr>
        <w:t>ْ</w:t>
      </w:r>
      <w:r w:rsidRPr="00282AC9">
        <w:rPr>
          <w:sz w:val="27"/>
          <w:rtl/>
        </w:rPr>
        <w:t>ن وغيرهم</w:t>
      </w:r>
      <w:r w:rsidR="00A73DFA" w:rsidRPr="00282AC9">
        <w:rPr>
          <w:rFonts w:hint="cs"/>
          <w:sz w:val="27"/>
          <w:rtl/>
        </w:rPr>
        <w:t>،</w:t>
      </w:r>
      <w:r w:rsidRPr="00282AC9">
        <w:rPr>
          <w:sz w:val="27"/>
          <w:rtl/>
        </w:rPr>
        <w:t xml:space="preserve"> على ما ح</w:t>
      </w:r>
      <w:r w:rsidR="00A73DFA" w:rsidRPr="00282AC9">
        <w:rPr>
          <w:rFonts w:hint="cs"/>
          <w:sz w:val="27"/>
          <w:rtl/>
        </w:rPr>
        <w:t>ُ</w:t>
      </w:r>
      <w:r w:rsidRPr="00282AC9">
        <w:rPr>
          <w:sz w:val="27"/>
          <w:rtl/>
        </w:rPr>
        <w:t>ك</w:t>
      </w:r>
      <w:r w:rsidR="00A73DFA" w:rsidRPr="00282AC9">
        <w:rPr>
          <w:rFonts w:hint="cs"/>
          <w:sz w:val="27"/>
          <w:rtl/>
        </w:rPr>
        <w:t>ِ</w:t>
      </w:r>
      <w:r w:rsidRPr="00282AC9">
        <w:rPr>
          <w:sz w:val="27"/>
          <w:rtl/>
        </w:rPr>
        <w:t>ي</w:t>
      </w:r>
      <w:r w:rsidR="00A73DFA" w:rsidRPr="00282AC9">
        <w:rPr>
          <w:rFonts w:hint="cs"/>
          <w:sz w:val="27"/>
          <w:rtl/>
        </w:rPr>
        <w:t>َ</w:t>
      </w:r>
      <w:r w:rsidRPr="00282AC9">
        <w:rPr>
          <w:sz w:val="27"/>
          <w:rtl/>
        </w:rPr>
        <w:t xml:space="preserve"> عن</w:t>
      </w:r>
      <w:r w:rsidRPr="00282AC9">
        <w:rPr>
          <w:rFonts w:hint="cs"/>
          <w:sz w:val="27"/>
          <w:rtl/>
        </w:rPr>
        <w:t xml:space="preserve"> </w:t>
      </w:r>
      <w:r w:rsidRPr="00282AC9">
        <w:rPr>
          <w:sz w:val="27"/>
          <w:rtl/>
        </w:rPr>
        <w:t>بعضهم</w:t>
      </w:r>
      <w:r w:rsidRPr="00282AC9">
        <w:rPr>
          <w:rFonts w:hint="eastAsia"/>
          <w:sz w:val="24"/>
          <w:szCs w:val="24"/>
          <w:rtl/>
        </w:rPr>
        <w:t>»</w:t>
      </w:r>
      <w:r w:rsidRPr="00282AC9">
        <w:rPr>
          <w:sz w:val="27"/>
          <w:vertAlign w:val="superscript"/>
          <w:rtl/>
        </w:rPr>
        <w:t>(</w:t>
      </w:r>
      <w:r w:rsidRPr="00282AC9">
        <w:rPr>
          <w:rStyle w:val="af9"/>
          <w:sz w:val="27"/>
          <w:rtl/>
        </w:rPr>
        <w:endnoteReference w:id="89"/>
      </w:r>
      <w:r w:rsidRPr="00282AC9">
        <w:rPr>
          <w:sz w:val="27"/>
          <w:vertAlign w:val="superscript"/>
          <w:rtl/>
        </w:rPr>
        <w:t>)</w:t>
      </w:r>
      <w:r w:rsidRPr="00282AC9">
        <w:rPr>
          <w:rFonts w:hint="cs"/>
          <w:sz w:val="27"/>
          <w:rtl/>
        </w:rPr>
        <w:t>.</w:t>
      </w:r>
    </w:p>
    <w:p w:rsidR="00A73DFA" w:rsidRPr="00282AC9" w:rsidRDefault="00A73DFA" w:rsidP="00BF1956">
      <w:pPr>
        <w:spacing w:line="430" w:lineRule="exact"/>
        <w:rPr>
          <w:sz w:val="27"/>
          <w:rtl/>
        </w:rPr>
      </w:pPr>
    </w:p>
    <w:p w:rsidR="00A73DFA" w:rsidRPr="00282AC9" w:rsidRDefault="00BC5E40" w:rsidP="00A73DFA">
      <w:pPr>
        <w:pStyle w:val="31"/>
        <w:rPr>
          <w:color w:val="auto"/>
          <w:rtl/>
        </w:rPr>
      </w:pPr>
      <w:r w:rsidRPr="00282AC9">
        <w:rPr>
          <w:rFonts w:hint="cs"/>
          <w:color w:val="auto"/>
          <w:rtl/>
        </w:rPr>
        <w:t>9ـ الحكم بدفع الضرائب</w:t>
      </w:r>
    </w:p>
    <w:p w:rsidR="00BC5E40" w:rsidRPr="00282AC9" w:rsidRDefault="00BC5E40" w:rsidP="00BC4D37">
      <w:pPr>
        <w:rPr>
          <w:sz w:val="27"/>
          <w:rtl/>
        </w:rPr>
      </w:pPr>
      <w:r w:rsidRPr="00282AC9">
        <w:rPr>
          <w:rFonts w:hint="cs"/>
          <w:sz w:val="27"/>
          <w:rtl/>
        </w:rPr>
        <w:t xml:space="preserve">قال الشهيد </w:t>
      </w:r>
      <w:r w:rsidR="00A73DFA" w:rsidRPr="00282AC9">
        <w:rPr>
          <w:rFonts w:hint="cs"/>
          <w:sz w:val="27"/>
          <w:rtl/>
        </w:rPr>
        <w:t xml:space="preserve">الشيخ </w:t>
      </w:r>
      <w:r w:rsidRPr="00282AC9">
        <w:rPr>
          <w:rFonts w:hint="cs"/>
          <w:sz w:val="27"/>
          <w:rtl/>
        </w:rPr>
        <w:t>مرتضى مطه</w:t>
      </w:r>
      <w:r w:rsidR="00A73DFA" w:rsidRPr="00282AC9">
        <w:rPr>
          <w:rFonts w:hint="cs"/>
          <w:sz w:val="27"/>
          <w:rtl/>
        </w:rPr>
        <w:t>َّ</w:t>
      </w:r>
      <w:r w:rsidRPr="00282AC9">
        <w:rPr>
          <w:rFonts w:hint="cs"/>
          <w:sz w:val="27"/>
          <w:rtl/>
        </w:rPr>
        <w:t xml:space="preserve">ري: </w:t>
      </w:r>
      <w:r w:rsidRPr="00282AC9">
        <w:rPr>
          <w:rFonts w:hint="eastAsia"/>
          <w:sz w:val="24"/>
          <w:szCs w:val="24"/>
          <w:rtl/>
        </w:rPr>
        <w:t>«</w:t>
      </w:r>
      <w:r w:rsidRPr="00282AC9">
        <w:rPr>
          <w:rFonts w:hint="cs"/>
          <w:sz w:val="27"/>
          <w:rtl/>
        </w:rPr>
        <w:t>لو اقتض</w:t>
      </w:r>
      <w:r w:rsidR="00A73DFA" w:rsidRPr="00282AC9">
        <w:rPr>
          <w:rFonts w:hint="cs"/>
          <w:sz w:val="27"/>
          <w:rtl/>
        </w:rPr>
        <w:t>َ</w:t>
      </w:r>
      <w:r w:rsidRPr="00282AC9">
        <w:rPr>
          <w:rFonts w:hint="cs"/>
          <w:sz w:val="27"/>
          <w:rtl/>
        </w:rPr>
        <w:t>ت</w:t>
      </w:r>
      <w:r w:rsidR="00A73DFA" w:rsidRPr="00282AC9">
        <w:rPr>
          <w:rFonts w:hint="cs"/>
          <w:sz w:val="27"/>
          <w:rtl/>
        </w:rPr>
        <w:t>ْ</w:t>
      </w:r>
      <w:r w:rsidRPr="00282AC9">
        <w:rPr>
          <w:rFonts w:hint="cs"/>
          <w:sz w:val="27"/>
          <w:rtl/>
        </w:rPr>
        <w:t xml:space="preserve"> المصلحة العامة فرض ضرائب </w:t>
      </w:r>
      <w:r w:rsidRPr="00282AC9">
        <w:rPr>
          <w:rFonts w:hint="cs"/>
          <w:sz w:val="27"/>
          <w:rtl/>
        </w:rPr>
        <w:lastRenderedPageBreak/>
        <w:t>تصاعدية، وحت</w:t>
      </w:r>
      <w:r w:rsidR="00A73DFA" w:rsidRPr="00282AC9">
        <w:rPr>
          <w:rFonts w:hint="cs"/>
          <w:sz w:val="27"/>
          <w:rtl/>
        </w:rPr>
        <w:t>ّ</w:t>
      </w:r>
      <w:r w:rsidRPr="00282AC9">
        <w:rPr>
          <w:rFonts w:hint="cs"/>
          <w:sz w:val="27"/>
          <w:rtl/>
        </w:rPr>
        <w:t>ى (إذا) اقتض</w:t>
      </w:r>
      <w:r w:rsidR="00A73DFA" w:rsidRPr="00282AC9">
        <w:rPr>
          <w:rFonts w:hint="cs"/>
          <w:sz w:val="27"/>
          <w:rtl/>
        </w:rPr>
        <w:t>َ</w:t>
      </w:r>
      <w:r w:rsidRPr="00282AC9">
        <w:rPr>
          <w:rFonts w:hint="cs"/>
          <w:sz w:val="27"/>
          <w:rtl/>
        </w:rPr>
        <w:t>ت</w:t>
      </w:r>
      <w:r w:rsidR="00A73DFA" w:rsidRPr="00282AC9">
        <w:rPr>
          <w:rFonts w:hint="cs"/>
          <w:sz w:val="27"/>
          <w:rtl/>
        </w:rPr>
        <w:t>ْ</w:t>
      </w:r>
      <w:r w:rsidRPr="00282AC9">
        <w:rPr>
          <w:rFonts w:hint="cs"/>
          <w:sz w:val="27"/>
          <w:rtl/>
        </w:rPr>
        <w:t xml:space="preserve"> الضرورة تعديل الثروة الاجتماعية</w:t>
      </w:r>
      <w:r w:rsidR="006E3372" w:rsidRPr="00282AC9">
        <w:rPr>
          <w:rFonts w:hint="cs"/>
          <w:sz w:val="27"/>
          <w:rtl/>
        </w:rPr>
        <w:t>،</w:t>
      </w:r>
      <w:r w:rsidRPr="00282AC9">
        <w:rPr>
          <w:rFonts w:hint="cs"/>
          <w:sz w:val="27"/>
          <w:rtl/>
        </w:rPr>
        <w:t xml:space="preserve"> </w:t>
      </w:r>
      <w:r w:rsidR="006E3372" w:rsidRPr="00282AC9">
        <w:rPr>
          <w:rFonts w:hint="cs"/>
          <w:sz w:val="27"/>
          <w:rtl/>
        </w:rPr>
        <w:t>و</w:t>
      </w:r>
      <w:r w:rsidRPr="00282AC9">
        <w:rPr>
          <w:rFonts w:hint="cs"/>
          <w:sz w:val="27"/>
          <w:rtl/>
        </w:rPr>
        <w:t>وضع الضرائب بحيث يُبقي ما مقداره 5% من مجموع الأرباح بيد المالك الأصلي، واستقطاع ما مقداره</w:t>
      </w:r>
      <w:r w:rsidR="006E3372" w:rsidRPr="00282AC9">
        <w:rPr>
          <w:rFonts w:hint="cs"/>
          <w:sz w:val="27"/>
          <w:rtl/>
        </w:rPr>
        <w:t xml:space="preserve"> 95% منه، وجب العمل على طبق ذلك</w:t>
      </w:r>
      <w:r w:rsidRPr="00282AC9">
        <w:rPr>
          <w:rFonts w:hint="cs"/>
          <w:sz w:val="27"/>
          <w:rtl/>
        </w:rPr>
        <w:t>... وهذه كبرى ك</w:t>
      </w:r>
      <w:r w:rsidR="006E3372" w:rsidRPr="00282AC9">
        <w:rPr>
          <w:rFonts w:hint="cs"/>
          <w:sz w:val="27"/>
          <w:rtl/>
        </w:rPr>
        <w:t>ُ</w:t>
      </w:r>
      <w:r w:rsidRPr="00282AC9">
        <w:rPr>
          <w:rFonts w:hint="cs"/>
          <w:sz w:val="27"/>
          <w:rtl/>
        </w:rPr>
        <w:t>ل</w:t>
      </w:r>
      <w:r w:rsidR="006E3372" w:rsidRPr="00282AC9">
        <w:rPr>
          <w:rFonts w:hint="cs"/>
          <w:sz w:val="27"/>
          <w:rtl/>
        </w:rPr>
        <w:t>ِّ</w:t>
      </w:r>
      <w:r w:rsidRPr="00282AC9">
        <w:rPr>
          <w:rFonts w:hint="cs"/>
          <w:sz w:val="27"/>
          <w:rtl/>
        </w:rPr>
        <w:t>ية</w:t>
      </w:r>
      <w:r w:rsidR="006E3372" w:rsidRPr="00282AC9">
        <w:rPr>
          <w:rFonts w:hint="cs"/>
          <w:sz w:val="27"/>
          <w:rtl/>
        </w:rPr>
        <w:t>.</w:t>
      </w:r>
      <w:r w:rsidRPr="00282AC9">
        <w:rPr>
          <w:rFonts w:hint="cs"/>
          <w:sz w:val="27"/>
          <w:rtl/>
        </w:rPr>
        <w:t xml:space="preserve"> ولا يذهب الظن</w:t>
      </w:r>
      <w:r w:rsidR="006E3372" w:rsidRPr="00282AC9">
        <w:rPr>
          <w:rFonts w:hint="cs"/>
          <w:sz w:val="27"/>
          <w:rtl/>
        </w:rPr>
        <w:t>ّ</w:t>
      </w:r>
      <w:r w:rsidRPr="00282AC9">
        <w:rPr>
          <w:rFonts w:hint="cs"/>
          <w:sz w:val="27"/>
          <w:rtl/>
        </w:rPr>
        <w:t xml:space="preserve"> بكم إلى أن هناك م</w:t>
      </w:r>
      <w:r w:rsidR="006E3372" w:rsidRPr="00282AC9">
        <w:rPr>
          <w:rFonts w:hint="cs"/>
          <w:sz w:val="27"/>
          <w:rtl/>
        </w:rPr>
        <w:t>َ</w:t>
      </w:r>
      <w:r w:rsidRPr="00282AC9">
        <w:rPr>
          <w:rFonts w:hint="cs"/>
          <w:sz w:val="27"/>
          <w:rtl/>
        </w:rPr>
        <w:t>ن</w:t>
      </w:r>
      <w:r w:rsidR="006E3372" w:rsidRPr="00282AC9">
        <w:rPr>
          <w:rFonts w:hint="cs"/>
          <w:sz w:val="27"/>
          <w:rtl/>
        </w:rPr>
        <w:t>ْ</w:t>
      </w:r>
      <w:r w:rsidRPr="00282AC9">
        <w:rPr>
          <w:rFonts w:hint="cs"/>
          <w:sz w:val="27"/>
          <w:rtl/>
        </w:rPr>
        <w:t xml:space="preserve"> يشك</w:t>
      </w:r>
      <w:r w:rsidR="006E3372" w:rsidRPr="00282AC9">
        <w:rPr>
          <w:rFonts w:hint="cs"/>
          <w:sz w:val="27"/>
          <w:rtl/>
        </w:rPr>
        <w:t>ّ</w:t>
      </w:r>
      <w:r w:rsidRPr="00282AC9">
        <w:rPr>
          <w:rFonts w:hint="cs"/>
          <w:sz w:val="27"/>
          <w:rtl/>
        </w:rPr>
        <w:t xml:space="preserve"> في هذه الكبرى الك</w:t>
      </w:r>
      <w:r w:rsidR="006E3372" w:rsidRPr="00282AC9">
        <w:rPr>
          <w:rFonts w:hint="cs"/>
          <w:sz w:val="27"/>
          <w:rtl/>
        </w:rPr>
        <w:t>ُ</w:t>
      </w:r>
      <w:r w:rsidRPr="00282AC9">
        <w:rPr>
          <w:rFonts w:hint="cs"/>
          <w:sz w:val="27"/>
          <w:rtl/>
        </w:rPr>
        <w:t>ل</w:t>
      </w:r>
      <w:r w:rsidR="006E3372" w:rsidRPr="00282AC9">
        <w:rPr>
          <w:rFonts w:hint="cs"/>
          <w:sz w:val="27"/>
          <w:rtl/>
        </w:rPr>
        <w:t>ِّ</w:t>
      </w:r>
      <w:r w:rsidRPr="00282AC9">
        <w:rPr>
          <w:rFonts w:hint="cs"/>
          <w:sz w:val="27"/>
          <w:rtl/>
        </w:rPr>
        <w:t>ية</w:t>
      </w:r>
      <w:r w:rsidR="006E3372" w:rsidRPr="00282AC9">
        <w:rPr>
          <w:rFonts w:hint="cs"/>
          <w:sz w:val="27"/>
          <w:rtl/>
        </w:rPr>
        <w:t>؛</w:t>
      </w:r>
      <w:r w:rsidRPr="00282AC9">
        <w:rPr>
          <w:rFonts w:hint="cs"/>
          <w:sz w:val="27"/>
          <w:rtl/>
        </w:rPr>
        <w:t xml:space="preserve"> فليس هناك فقيه</w:t>
      </w:r>
      <w:r w:rsidR="006E3372" w:rsidRPr="00282AC9">
        <w:rPr>
          <w:rFonts w:hint="cs"/>
          <w:sz w:val="27"/>
          <w:rtl/>
        </w:rPr>
        <w:t>ٌ</w:t>
      </w:r>
      <w:r w:rsidRPr="00282AC9">
        <w:rPr>
          <w:rFonts w:hint="cs"/>
          <w:sz w:val="27"/>
          <w:rtl/>
        </w:rPr>
        <w:t xml:space="preserve"> يشك</w:t>
      </w:r>
      <w:r w:rsidR="006E3372" w:rsidRPr="00282AC9">
        <w:rPr>
          <w:rFonts w:hint="cs"/>
          <w:sz w:val="27"/>
          <w:rtl/>
        </w:rPr>
        <w:t>ّ</w:t>
      </w:r>
      <w:r w:rsidRPr="00282AC9">
        <w:rPr>
          <w:rFonts w:hint="cs"/>
          <w:sz w:val="27"/>
          <w:rtl/>
        </w:rPr>
        <w:t xml:space="preserve"> في هذه الكبرى الك</w:t>
      </w:r>
      <w:r w:rsidR="006E3372" w:rsidRPr="00282AC9">
        <w:rPr>
          <w:rFonts w:hint="cs"/>
          <w:sz w:val="27"/>
          <w:rtl/>
        </w:rPr>
        <w:t>ُ</w:t>
      </w:r>
      <w:r w:rsidRPr="00282AC9">
        <w:rPr>
          <w:rFonts w:hint="cs"/>
          <w:sz w:val="27"/>
          <w:rtl/>
        </w:rPr>
        <w:t>ل</w:t>
      </w:r>
      <w:r w:rsidR="006E3372" w:rsidRPr="00282AC9">
        <w:rPr>
          <w:rFonts w:hint="cs"/>
          <w:sz w:val="27"/>
          <w:rtl/>
        </w:rPr>
        <w:t>ِّ</w:t>
      </w:r>
      <w:r w:rsidRPr="00282AC9">
        <w:rPr>
          <w:rFonts w:hint="cs"/>
          <w:sz w:val="27"/>
          <w:rtl/>
        </w:rPr>
        <w:t>ية؛ حيث يجب رفع اليد عن المصلحة الصغيرة من أجل الحفاظ على مصلحة</w:t>
      </w:r>
      <w:r w:rsidR="006E3372" w:rsidRPr="00282AC9">
        <w:rPr>
          <w:rFonts w:hint="cs"/>
          <w:sz w:val="27"/>
          <w:rtl/>
        </w:rPr>
        <w:t>ٍ</w:t>
      </w:r>
      <w:r w:rsidRPr="00282AC9">
        <w:rPr>
          <w:rFonts w:hint="cs"/>
          <w:sz w:val="27"/>
          <w:rtl/>
        </w:rPr>
        <w:t xml:space="preserve"> إسلامي</w:t>
      </w:r>
      <w:r w:rsidR="006E3372" w:rsidRPr="00282AC9">
        <w:rPr>
          <w:rFonts w:hint="cs"/>
          <w:sz w:val="27"/>
          <w:rtl/>
        </w:rPr>
        <w:t>ّ</w:t>
      </w:r>
      <w:r w:rsidRPr="00282AC9">
        <w:rPr>
          <w:rFonts w:hint="cs"/>
          <w:sz w:val="27"/>
          <w:rtl/>
        </w:rPr>
        <w:t>ة أكبر</w:t>
      </w:r>
      <w:r w:rsidRPr="00282AC9">
        <w:rPr>
          <w:rFonts w:hint="eastAsia"/>
          <w:sz w:val="24"/>
          <w:szCs w:val="24"/>
          <w:rtl/>
        </w:rPr>
        <w:t>»</w:t>
      </w:r>
      <w:r w:rsidRPr="00282AC9">
        <w:rPr>
          <w:sz w:val="27"/>
          <w:vertAlign w:val="superscript"/>
          <w:rtl/>
        </w:rPr>
        <w:t>(</w:t>
      </w:r>
      <w:r w:rsidRPr="00282AC9">
        <w:rPr>
          <w:rStyle w:val="af9"/>
          <w:sz w:val="27"/>
          <w:rtl/>
        </w:rPr>
        <w:endnoteReference w:id="90"/>
      </w:r>
      <w:r w:rsidRPr="00282AC9">
        <w:rPr>
          <w:sz w:val="27"/>
          <w:vertAlign w:val="superscript"/>
          <w:rtl/>
        </w:rPr>
        <w:t>)</w:t>
      </w:r>
      <w:r w:rsidRPr="00282AC9">
        <w:rPr>
          <w:rFonts w:hint="cs"/>
          <w:sz w:val="27"/>
          <w:rtl/>
        </w:rPr>
        <w:t>.</w:t>
      </w:r>
    </w:p>
    <w:p w:rsidR="006E3372" w:rsidRPr="00282AC9" w:rsidRDefault="006E3372" w:rsidP="00201813">
      <w:pPr>
        <w:spacing w:line="420" w:lineRule="exact"/>
        <w:rPr>
          <w:sz w:val="27"/>
          <w:rtl/>
        </w:rPr>
      </w:pPr>
    </w:p>
    <w:p w:rsidR="006E3372" w:rsidRPr="00282AC9" w:rsidRDefault="00BC5E40" w:rsidP="006E3372">
      <w:pPr>
        <w:pStyle w:val="31"/>
        <w:rPr>
          <w:color w:val="auto"/>
          <w:rtl/>
        </w:rPr>
      </w:pPr>
      <w:r w:rsidRPr="00282AC9">
        <w:rPr>
          <w:rFonts w:hint="cs"/>
          <w:color w:val="auto"/>
          <w:rtl/>
        </w:rPr>
        <w:t>10ـ تحديد الم</w:t>
      </w:r>
      <w:r w:rsidR="006E3372" w:rsidRPr="00282AC9">
        <w:rPr>
          <w:rFonts w:hint="cs"/>
          <w:color w:val="auto"/>
          <w:rtl/>
        </w:rPr>
        <w:t>ِ</w:t>
      </w:r>
      <w:r w:rsidRPr="00282AC9">
        <w:rPr>
          <w:rFonts w:hint="cs"/>
          <w:color w:val="auto"/>
          <w:rtl/>
        </w:rPr>
        <w:t>ل</w:t>
      </w:r>
      <w:r w:rsidR="006E3372" w:rsidRPr="00282AC9">
        <w:rPr>
          <w:rFonts w:hint="cs"/>
          <w:color w:val="auto"/>
          <w:rtl/>
        </w:rPr>
        <w:t>ْ</w:t>
      </w:r>
      <w:r w:rsidRPr="00282AC9">
        <w:rPr>
          <w:rFonts w:hint="cs"/>
          <w:color w:val="auto"/>
          <w:rtl/>
        </w:rPr>
        <w:t>كي</w:t>
      </w:r>
      <w:r w:rsidR="006E3372" w:rsidRPr="00282AC9">
        <w:rPr>
          <w:rFonts w:hint="cs"/>
          <w:color w:val="auto"/>
          <w:rtl/>
        </w:rPr>
        <w:t>ّ</w:t>
      </w:r>
      <w:r w:rsidRPr="00282AC9">
        <w:rPr>
          <w:rFonts w:hint="cs"/>
          <w:color w:val="auto"/>
          <w:rtl/>
        </w:rPr>
        <w:t>ة</w:t>
      </w:r>
    </w:p>
    <w:p w:rsidR="00BC5E40" w:rsidRPr="00282AC9" w:rsidRDefault="00BC5E40" w:rsidP="00BC4D37">
      <w:pPr>
        <w:rPr>
          <w:sz w:val="27"/>
          <w:rtl/>
        </w:rPr>
      </w:pPr>
      <w:r w:rsidRPr="00282AC9">
        <w:rPr>
          <w:rFonts w:hint="cs"/>
          <w:sz w:val="27"/>
          <w:rtl/>
        </w:rPr>
        <w:t xml:space="preserve">قال الشهيد </w:t>
      </w:r>
      <w:r w:rsidR="006E3372" w:rsidRPr="00282AC9">
        <w:rPr>
          <w:rFonts w:hint="cs"/>
          <w:sz w:val="27"/>
          <w:rtl/>
        </w:rPr>
        <w:t xml:space="preserve">الشيخ </w:t>
      </w:r>
      <w:r w:rsidRPr="00282AC9">
        <w:rPr>
          <w:rFonts w:hint="cs"/>
          <w:sz w:val="27"/>
          <w:rtl/>
        </w:rPr>
        <w:t xml:space="preserve">مرتضى </w:t>
      </w:r>
      <w:r w:rsidR="006E3372" w:rsidRPr="00282AC9">
        <w:rPr>
          <w:rFonts w:hint="cs"/>
          <w:sz w:val="27"/>
          <w:rtl/>
        </w:rPr>
        <w:t>م</w:t>
      </w:r>
      <w:r w:rsidRPr="00282AC9">
        <w:rPr>
          <w:rFonts w:hint="cs"/>
          <w:sz w:val="27"/>
          <w:rtl/>
        </w:rPr>
        <w:t>طه</w:t>
      </w:r>
      <w:r w:rsidR="006E3372" w:rsidRPr="00282AC9">
        <w:rPr>
          <w:rFonts w:hint="cs"/>
          <w:sz w:val="27"/>
          <w:rtl/>
        </w:rPr>
        <w:t>َّ</w:t>
      </w:r>
      <w:r w:rsidRPr="00282AC9">
        <w:rPr>
          <w:rFonts w:hint="cs"/>
          <w:sz w:val="27"/>
          <w:rtl/>
        </w:rPr>
        <w:t xml:space="preserve">ري في هذا الشأن: </w:t>
      </w:r>
      <w:r w:rsidRPr="00282AC9">
        <w:rPr>
          <w:rFonts w:hint="eastAsia"/>
          <w:sz w:val="24"/>
          <w:szCs w:val="24"/>
          <w:rtl/>
        </w:rPr>
        <w:t>«</w:t>
      </w:r>
      <w:r w:rsidRPr="00282AC9">
        <w:rPr>
          <w:rFonts w:hint="cs"/>
          <w:sz w:val="27"/>
          <w:rtl/>
        </w:rPr>
        <w:t>لو اقتض</w:t>
      </w:r>
      <w:r w:rsidR="006E3372" w:rsidRPr="00282AC9">
        <w:rPr>
          <w:rFonts w:hint="cs"/>
          <w:sz w:val="27"/>
          <w:rtl/>
        </w:rPr>
        <w:t>َ</w:t>
      </w:r>
      <w:r w:rsidRPr="00282AC9">
        <w:rPr>
          <w:rFonts w:hint="cs"/>
          <w:sz w:val="27"/>
          <w:rtl/>
        </w:rPr>
        <w:t>ت</w:t>
      </w:r>
      <w:r w:rsidR="006E3372" w:rsidRPr="00282AC9">
        <w:rPr>
          <w:rFonts w:hint="cs"/>
          <w:sz w:val="27"/>
          <w:rtl/>
        </w:rPr>
        <w:t>ْ</w:t>
      </w:r>
      <w:r w:rsidRPr="00282AC9">
        <w:rPr>
          <w:rFonts w:hint="cs"/>
          <w:sz w:val="27"/>
          <w:rtl/>
        </w:rPr>
        <w:t xml:space="preserve"> مصلحة المجتمع الإسلامي تجريد المالك من م</w:t>
      </w:r>
      <w:r w:rsidR="006E3372" w:rsidRPr="00282AC9">
        <w:rPr>
          <w:rFonts w:hint="cs"/>
          <w:sz w:val="27"/>
          <w:rtl/>
        </w:rPr>
        <w:t>ِ</w:t>
      </w:r>
      <w:r w:rsidRPr="00282AC9">
        <w:rPr>
          <w:rFonts w:hint="cs"/>
          <w:sz w:val="27"/>
          <w:rtl/>
        </w:rPr>
        <w:t>ل</w:t>
      </w:r>
      <w:r w:rsidR="006E3372" w:rsidRPr="00282AC9">
        <w:rPr>
          <w:rFonts w:hint="cs"/>
          <w:sz w:val="27"/>
          <w:rtl/>
        </w:rPr>
        <w:t>ْ</w:t>
      </w:r>
      <w:r w:rsidRPr="00282AC9">
        <w:rPr>
          <w:rFonts w:hint="cs"/>
          <w:sz w:val="27"/>
          <w:rtl/>
        </w:rPr>
        <w:t>كي</w:t>
      </w:r>
      <w:r w:rsidR="006E3372" w:rsidRPr="00282AC9">
        <w:rPr>
          <w:rFonts w:hint="cs"/>
          <w:sz w:val="27"/>
          <w:rtl/>
        </w:rPr>
        <w:t>ّ</w:t>
      </w:r>
      <w:r w:rsidRPr="00282AC9">
        <w:rPr>
          <w:rFonts w:hint="cs"/>
          <w:sz w:val="27"/>
          <w:rtl/>
        </w:rPr>
        <w:t>ته بالكامل، ورأى (الحاكم الإسلامي) أن الم</w:t>
      </w:r>
      <w:r w:rsidR="006E3372" w:rsidRPr="00282AC9">
        <w:rPr>
          <w:rFonts w:hint="cs"/>
          <w:sz w:val="27"/>
          <w:rtl/>
        </w:rPr>
        <w:t>ِ</w:t>
      </w:r>
      <w:r w:rsidRPr="00282AC9">
        <w:rPr>
          <w:rFonts w:hint="cs"/>
          <w:sz w:val="27"/>
          <w:rtl/>
        </w:rPr>
        <w:t>ل</w:t>
      </w:r>
      <w:r w:rsidR="006E3372" w:rsidRPr="00282AC9">
        <w:rPr>
          <w:rFonts w:hint="cs"/>
          <w:sz w:val="27"/>
          <w:rtl/>
        </w:rPr>
        <w:t>ْ</w:t>
      </w:r>
      <w:r w:rsidRPr="00282AC9">
        <w:rPr>
          <w:rFonts w:hint="cs"/>
          <w:sz w:val="27"/>
          <w:rtl/>
        </w:rPr>
        <w:t>كي</w:t>
      </w:r>
      <w:r w:rsidR="006E3372" w:rsidRPr="00282AC9">
        <w:rPr>
          <w:rFonts w:hint="cs"/>
          <w:sz w:val="27"/>
          <w:rtl/>
        </w:rPr>
        <w:t>ّ</w:t>
      </w:r>
      <w:r w:rsidRPr="00282AC9">
        <w:rPr>
          <w:rFonts w:hint="cs"/>
          <w:sz w:val="27"/>
          <w:rtl/>
        </w:rPr>
        <w:t>ة بهذا الشكل تمث</w:t>
      </w:r>
      <w:r w:rsidR="006E3372" w:rsidRPr="00282AC9">
        <w:rPr>
          <w:rFonts w:hint="cs"/>
          <w:sz w:val="27"/>
          <w:rtl/>
        </w:rPr>
        <w:t>ِّ</w:t>
      </w:r>
      <w:r w:rsidRPr="00282AC9">
        <w:rPr>
          <w:rFonts w:hint="cs"/>
          <w:sz w:val="27"/>
          <w:rtl/>
        </w:rPr>
        <w:t>ل غدّة</w:t>
      </w:r>
      <w:r w:rsidR="006E3372" w:rsidRPr="00282AC9">
        <w:rPr>
          <w:rFonts w:hint="cs"/>
          <w:sz w:val="27"/>
          <w:rtl/>
        </w:rPr>
        <w:t>ً</w:t>
      </w:r>
      <w:r w:rsidRPr="00282AC9">
        <w:rPr>
          <w:rFonts w:hint="cs"/>
          <w:sz w:val="27"/>
          <w:rtl/>
        </w:rPr>
        <w:t xml:space="preserve"> سرطاني</w:t>
      </w:r>
      <w:r w:rsidR="006E3372" w:rsidRPr="00282AC9">
        <w:rPr>
          <w:rFonts w:hint="cs"/>
          <w:sz w:val="27"/>
          <w:rtl/>
        </w:rPr>
        <w:t>ّ</w:t>
      </w:r>
      <w:r w:rsidRPr="00282AC9">
        <w:rPr>
          <w:rFonts w:hint="cs"/>
          <w:sz w:val="27"/>
          <w:rtl/>
        </w:rPr>
        <w:t>ة، أمكنه فعل ذلك</w:t>
      </w:r>
      <w:r w:rsidR="006E3372" w:rsidRPr="00282AC9">
        <w:rPr>
          <w:rFonts w:hint="cs"/>
          <w:sz w:val="27"/>
          <w:rtl/>
        </w:rPr>
        <w:t>،</w:t>
      </w:r>
      <w:r w:rsidRPr="00282AC9">
        <w:rPr>
          <w:rFonts w:hint="cs"/>
          <w:sz w:val="27"/>
          <w:rtl/>
        </w:rPr>
        <w:t xml:space="preserve"> إن</w:t>
      </w:r>
      <w:r w:rsidR="006E3372" w:rsidRPr="00282AC9">
        <w:rPr>
          <w:rFonts w:hint="cs"/>
          <w:sz w:val="27"/>
          <w:rtl/>
        </w:rPr>
        <w:t>ْ</w:t>
      </w:r>
      <w:r w:rsidRPr="00282AC9">
        <w:rPr>
          <w:rFonts w:hint="cs"/>
          <w:sz w:val="27"/>
          <w:rtl/>
        </w:rPr>
        <w:t xml:space="preserve"> توق</w:t>
      </w:r>
      <w:r w:rsidR="006E3372" w:rsidRPr="00282AC9">
        <w:rPr>
          <w:rFonts w:hint="cs"/>
          <w:sz w:val="27"/>
          <w:rtl/>
        </w:rPr>
        <w:t>َّ</w:t>
      </w:r>
      <w:r w:rsidRPr="00282AC9">
        <w:rPr>
          <w:rFonts w:hint="cs"/>
          <w:sz w:val="27"/>
          <w:rtl/>
        </w:rPr>
        <w:t>ف</w:t>
      </w:r>
      <w:r w:rsidR="006E3372" w:rsidRPr="00282AC9">
        <w:rPr>
          <w:rFonts w:hint="cs"/>
          <w:sz w:val="27"/>
          <w:rtl/>
        </w:rPr>
        <w:t>َ</w:t>
      </w:r>
      <w:r w:rsidRPr="00282AC9">
        <w:rPr>
          <w:rFonts w:hint="cs"/>
          <w:sz w:val="27"/>
          <w:rtl/>
        </w:rPr>
        <w:t>ت</w:t>
      </w:r>
      <w:r w:rsidR="006E3372" w:rsidRPr="00282AC9">
        <w:rPr>
          <w:rFonts w:hint="cs"/>
          <w:sz w:val="27"/>
          <w:rtl/>
        </w:rPr>
        <w:t>ْ</w:t>
      </w:r>
      <w:r w:rsidRPr="00282AC9">
        <w:rPr>
          <w:rFonts w:hint="cs"/>
          <w:sz w:val="27"/>
          <w:rtl/>
        </w:rPr>
        <w:t xml:space="preserve"> المصلحة الأكبر عليه</w:t>
      </w:r>
      <w:r w:rsidRPr="00282AC9">
        <w:rPr>
          <w:rFonts w:hint="eastAsia"/>
          <w:sz w:val="24"/>
          <w:szCs w:val="24"/>
          <w:rtl/>
        </w:rPr>
        <w:t>»</w:t>
      </w:r>
      <w:r w:rsidRPr="00282AC9">
        <w:rPr>
          <w:sz w:val="27"/>
          <w:vertAlign w:val="superscript"/>
          <w:rtl/>
        </w:rPr>
        <w:t>(</w:t>
      </w:r>
      <w:r w:rsidRPr="00282AC9">
        <w:rPr>
          <w:rStyle w:val="af9"/>
          <w:sz w:val="27"/>
          <w:rtl/>
        </w:rPr>
        <w:endnoteReference w:id="91"/>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وقال الإمام الخميني</w:t>
      </w:r>
      <w:r w:rsidR="006E3372" w:rsidRPr="00282AC9">
        <w:rPr>
          <w:rFonts w:hint="cs"/>
          <w:sz w:val="27"/>
          <w:rtl/>
        </w:rPr>
        <w:t>،</w:t>
      </w:r>
      <w:r w:rsidRPr="00282AC9">
        <w:rPr>
          <w:rFonts w:hint="cs"/>
          <w:sz w:val="27"/>
          <w:rtl/>
        </w:rPr>
        <w:t xml:space="preserve"> في حشد</w:t>
      </w:r>
      <w:r w:rsidR="006E3372" w:rsidRPr="00282AC9">
        <w:rPr>
          <w:rFonts w:hint="cs"/>
          <w:sz w:val="27"/>
          <w:rtl/>
        </w:rPr>
        <w:t>ٍ</w:t>
      </w:r>
      <w:r w:rsidRPr="00282AC9">
        <w:rPr>
          <w:rFonts w:hint="cs"/>
          <w:sz w:val="27"/>
          <w:rtl/>
        </w:rPr>
        <w:t xml:space="preserve"> من الطلاب الجامعيين من محافظة إصفهان: </w:t>
      </w:r>
      <w:r w:rsidRPr="00282AC9">
        <w:rPr>
          <w:rFonts w:hint="eastAsia"/>
          <w:sz w:val="24"/>
          <w:szCs w:val="24"/>
          <w:rtl/>
        </w:rPr>
        <w:t>«</w:t>
      </w:r>
      <w:r w:rsidRPr="00282AC9">
        <w:rPr>
          <w:rFonts w:hint="cs"/>
          <w:sz w:val="27"/>
          <w:rtl/>
        </w:rPr>
        <w:t>على الرغم من احترام الشارع المقد</w:t>
      </w:r>
      <w:r w:rsidR="006E3372" w:rsidRPr="00282AC9">
        <w:rPr>
          <w:rFonts w:hint="cs"/>
          <w:sz w:val="27"/>
          <w:rtl/>
        </w:rPr>
        <w:t>َّ</w:t>
      </w:r>
      <w:r w:rsidRPr="00282AC9">
        <w:rPr>
          <w:rFonts w:hint="cs"/>
          <w:sz w:val="27"/>
          <w:rtl/>
        </w:rPr>
        <w:t>س للم</w:t>
      </w:r>
      <w:r w:rsidR="006E3372" w:rsidRPr="00282AC9">
        <w:rPr>
          <w:rFonts w:hint="cs"/>
          <w:sz w:val="27"/>
          <w:rtl/>
        </w:rPr>
        <w:t>ِ</w:t>
      </w:r>
      <w:r w:rsidRPr="00282AC9">
        <w:rPr>
          <w:rFonts w:hint="cs"/>
          <w:sz w:val="27"/>
          <w:rtl/>
        </w:rPr>
        <w:t>ل</w:t>
      </w:r>
      <w:r w:rsidR="006E3372" w:rsidRPr="00282AC9">
        <w:rPr>
          <w:rFonts w:hint="cs"/>
          <w:sz w:val="27"/>
          <w:rtl/>
        </w:rPr>
        <w:t>ْ</w:t>
      </w:r>
      <w:r w:rsidRPr="00282AC9">
        <w:rPr>
          <w:rFonts w:hint="cs"/>
          <w:sz w:val="27"/>
          <w:rtl/>
        </w:rPr>
        <w:t>كي</w:t>
      </w:r>
      <w:r w:rsidR="006E3372" w:rsidRPr="00282AC9">
        <w:rPr>
          <w:rFonts w:hint="cs"/>
          <w:sz w:val="27"/>
          <w:rtl/>
        </w:rPr>
        <w:t>ّ</w:t>
      </w:r>
      <w:r w:rsidRPr="00282AC9">
        <w:rPr>
          <w:rFonts w:hint="cs"/>
          <w:sz w:val="27"/>
          <w:rtl/>
        </w:rPr>
        <w:t>ة، إلا</w:t>
      </w:r>
      <w:r w:rsidR="006E3372" w:rsidRPr="00282AC9">
        <w:rPr>
          <w:rFonts w:hint="cs"/>
          <w:sz w:val="27"/>
          <w:rtl/>
        </w:rPr>
        <w:t>ّ</w:t>
      </w:r>
      <w:r w:rsidRPr="00282AC9">
        <w:rPr>
          <w:rFonts w:hint="cs"/>
          <w:sz w:val="27"/>
          <w:rtl/>
        </w:rPr>
        <w:t xml:space="preserve"> أن ولي</w:t>
      </w:r>
      <w:r w:rsidR="006E3372" w:rsidRPr="00282AC9">
        <w:rPr>
          <w:rFonts w:hint="cs"/>
          <w:sz w:val="27"/>
          <w:rtl/>
        </w:rPr>
        <w:t>ّ</w:t>
      </w:r>
      <w:r w:rsidRPr="00282AC9">
        <w:rPr>
          <w:rFonts w:hint="cs"/>
          <w:sz w:val="27"/>
          <w:rtl/>
        </w:rPr>
        <w:t xml:space="preserve"> الأمر يمكنه نقض هذه الم</w:t>
      </w:r>
      <w:r w:rsidR="006E3372" w:rsidRPr="00282AC9">
        <w:rPr>
          <w:rFonts w:hint="cs"/>
          <w:sz w:val="27"/>
          <w:rtl/>
        </w:rPr>
        <w:t>ِ</w:t>
      </w:r>
      <w:r w:rsidRPr="00282AC9">
        <w:rPr>
          <w:rFonts w:hint="cs"/>
          <w:sz w:val="27"/>
          <w:rtl/>
        </w:rPr>
        <w:t>ل</w:t>
      </w:r>
      <w:r w:rsidR="006E3372" w:rsidRPr="00282AC9">
        <w:rPr>
          <w:rFonts w:hint="cs"/>
          <w:sz w:val="27"/>
          <w:rtl/>
        </w:rPr>
        <w:t>ْ</w:t>
      </w:r>
      <w:r w:rsidRPr="00282AC9">
        <w:rPr>
          <w:rFonts w:hint="cs"/>
          <w:sz w:val="27"/>
          <w:rtl/>
        </w:rPr>
        <w:t>كي</w:t>
      </w:r>
      <w:r w:rsidR="006E3372" w:rsidRPr="00282AC9">
        <w:rPr>
          <w:rFonts w:hint="cs"/>
          <w:sz w:val="27"/>
          <w:rtl/>
        </w:rPr>
        <w:t>ّ</w:t>
      </w:r>
      <w:r w:rsidRPr="00282AC9">
        <w:rPr>
          <w:rFonts w:hint="cs"/>
          <w:sz w:val="27"/>
          <w:rtl/>
        </w:rPr>
        <w:t>ة المحدودة</w:t>
      </w:r>
      <w:r w:rsidR="006E3372" w:rsidRPr="00282AC9">
        <w:rPr>
          <w:rFonts w:hint="cs"/>
          <w:sz w:val="27"/>
          <w:rtl/>
        </w:rPr>
        <w:t>،</w:t>
      </w:r>
      <w:r w:rsidRPr="00282AC9">
        <w:rPr>
          <w:rFonts w:hint="cs"/>
          <w:sz w:val="27"/>
          <w:rtl/>
        </w:rPr>
        <w:t xml:space="preserve"> إن</w:t>
      </w:r>
      <w:r w:rsidR="006E3372" w:rsidRPr="00282AC9">
        <w:rPr>
          <w:rFonts w:hint="cs"/>
          <w:sz w:val="27"/>
          <w:rtl/>
        </w:rPr>
        <w:t>ْ</w:t>
      </w:r>
      <w:r w:rsidRPr="00282AC9">
        <w:rPr>
          <w:rFonts w:hint="cs"/>
          <w:sz w:val="27"/>
          <w:rtl/>
        </w:rPr>
        <w:t xml:space="preserve"> و</w:t>
      </w:r>
      <w:r w:rsidR="006E3372" w:rsidRPr="00282AC9">
        <w:rPr>
          <w:rFonts w:hint="cs"/>
          <w:sz w:val="27"/>
          <w:rtl/>
        </w:rPr>
        <w:t>َ</w:t>
      </w:r>
      <w:r w:rsidRPr="00282AC9">
        <w:rPr>
          <w:rFonts w:hint="cs"/>
          <w:sz w:val="27"/>
          <w:rtl/>
        </w:rPr>
        <w:t>ج</w:t>
      </w:r>
      <w:r w:rsidR="006E3372" w:rsidRPr="00282AC9">
        <w:rPr>
          <w:rFonts w:hint="cs"/>
          <w:sz w:val="27"/>
          <w:rtl/>
        </w:rPr>
        <w:t>َ</w:t>
      </w:r>
      <w:r w:rsidRPr="00282AC9">
        <w:rPr>
          <w:rFonts w:hint="cs"/>
          <w:sz w:val="27"/>
          <w:rtl/>
        </w:rPr>
        <w:t>د</w:t>
      </w:r>
      <w:r w:rsidR="006E3372" w:rsidRPr="00282AC9">
        <w:rPr>
          <w:rFonts w:hint="cs"/>
          <w:sz w:val="27"/>
          <w:rtl/>
        </w:rPr>
        <w:t>َ</w:t>
      </w:r>
      <w:r w:rsidRPr="00282AC9">
        <w:rPr>
          <w:rFonts w:hint="cs"/>
          <w:sz w:val="27"/>
          <w:rtl/>
        </w:rPr>
        <w:t>ها على خلاف مصلحة الإسلام والمسلمين، وأن يعمل على مصادرة مقدار</w:t>
      </w:r>
      <w:r w:rsidR="00A47631" w:rsidRPr="00282AC9">
        <w:rPr>
          <w:rFonts w:hint="cs"/>
          <w:sz w:val="27"/>
          <w:rtl/>
        </w:rPr>
        <w:t>ٍ</w:t>
      </w:r>
      <w:r w:rsidRPr="00282AC9">
        <w:rPr>
          <w:rFonts w:hint="cs"/>
          <w:sz w:val="27"/>
          <w:rtl/>
        </w:rPr>
        <w:t xml:space="preserve"> معيّ</w:t>
      </w:r>
      <w:r w:rsidR="00A47631" w:rsidRPr="00282AC9">
        <w:rPr>
          <w:rFonts w:hint="cs"/>
          <w:sz w:val="27"/>
          <w:rtl/>
        </w:rPr>
        <w:t>َ</w:t>
      </w:r>
      <w:r w:rsidRPr="00282AC9">
        <w:rPr>
          <w:rFonts w:hint="cs"/>
          <w:sz w:val="27"/>
          <w:rtl/>
        </w:rPr>
        <w:t>ن</w:t>
      </w:r>
      <w:r w:rsidR="00A47631" w:rsidRPr="00282AC9">
        <w:rPr>
          <w:rFonts w:hint="cs"/>
          <w:sz w:val="27"/>
          <w:rtl/>
        </w:rPr>
        <w:t>ٍ</w:t>
      </w:r>
      <w:r w:rsidRPr="00282AC9">
        <w:rPr>
          <w:rFonts w:hint="cs"/>
          <w:sz w:val="27"/>
          <w:rtl/>
        </w:rPr>
        <w:t xml:space="preserve"> منها</w:t>
      </w:r>
      <w:r w:rsidR="00A47631" w:rsidRPr="00282AC9">
        <w:rPr>
          <w:rFonts w:hint="cs"/>
          <w:sz w:val="27"/>
          <w:rtl/>
        </w:rPr>
        <w:t>،</w:t>
      </w:r>
      <w:r w:rsidRPr="00282AC9">
        <w:rPr>
          <w:rFonts w:hint="cs"/>
          <w:sz w:val="27"/>
          <w:rtl/>
        </w:rPr>
        <w:t xml:space="preserve">  بحكم الفقيه</w:t>
      </w:r>
      <w:r w:rsidRPr="00282AC9">
        <w:rPr>
          <w:rFonts w:hint="eastAsia"/>
          <w:sz w:val="24"/>
          <w:szCs w:val="24"/>
          <w:rtl/>
        </w:rPr>
        <w:t>»</w:t>
      </w:r>
      <w:r w:rsidRPr="00282AC9">
        <w:rPr>
          <w:sz w:val="27"/>
          <w:vertAlign w:val="superscript"/>
          <w:rtl/>
        </w:rPr>
        <w:t>(</w:t>
      </w:r>
      <w:r w:rsidRPr="00282AC9">
        <w:rPr>
          <w:rStyle w:val="af9"/>
          <w:sz w:val="27"/>
          <w:rtl/>
        </w:rPr>
        <w:endnoteReference w:id="92"/>
      </w:r>
      <w:r w:rsidRPr="00282AC9">
        <w:rPr>
          <w:sz w:val="27"/>
          <w:vertAlign w:val="superscript"/>
          <w:rtl/>
        </w:rPr>
        <w:t>)</w:t>
      </w:r>
      <w:r w:rsidRPr="00282AC9">
        <w:rPr>
          <w:rFonts w:hint="cs"/>
          <w:sz w:val="27"/>
          <w:rtl/>
        </w:rPr>
        <w:t>.</w:t>
      </w:r>
    </w:p>
    <w:p w:rsidR="00BC5E40" w:rsidRPr="00282AC9" w:rsidRDefault="00BC5E40" w:rsidP="00201813">
      <w:pPr>
        <w:spacing w:line="430" w:lineRule="exact"/>
        <w:rPr>
          <w:sz w:val="27"/>
          <w:rtl/>
        </w:rPr>
      </w:pPr>
    </w:p>
    <w:p w:rsidR="00BC5E40" w:rsidRPr="00282AC9" w:rsidRDefault="00B95158" w:rsidP="00B95158">
      <w:pPr>
        <w:pStyle w:val="31"/>
        <w:rPr>
          <w:color w:val="auto"/>
          <w:rtl/>
        </w:rPr>
      </w:pPr>
      <w:r w:rsidRPr="00282AC9">
        <w:rPr>
          <w:rFonts w:hint="cs"/>
          <w:color w:val="auto"/>
          <w:rtl/>
        </w:rPr>
        <w:t xml:space="preserve">ج ـ </w:t>
      </w:r>
      <w:r w:rsidR="00BC5E40" w:rsidRPr="00282AC9">
        <w:rPr>
          <w:rFonts w:hint="cs"/>
          <w:color w:val="auto"/>
          <w:rtl/>
        </w:rPr>
        <w:t>نماذج من الأحكام الولائي</w:t>
      </w:r>
      <w:r w:rsidR="00A47631" w:rsidRPr="00282AC9">
        <w:rPr>
          <w:rFonts w:hint="cs"/>
          <w:color w:val="auto"/>
          <w:rtl/>
        </w:rPr>
        <w:t>ّ</w:t>
      </w:r>
      <w:r w:rsidR="00BC5E40" w:rsidRPr="00282AC9">
        <w:rPr>
          <w:rFonts w:hint="cs"/>
          <w:color w:val="auto"/>
          <w:rtl/>
        </w:rPr>
        <w:t>ة الجزائي</w:t>
      </w:r>
      <w:r w:rsidR="00A47631" w:rsidRPr="00282AC9">
        <w:rPr>
          <w:rFonts w:hint="cs"/>
          <w:color w:val="auto"/>
          <w:rtl/>
        </w:rPr>
        <w:t>ّ</w:t>
      </w:r>
      <w:r w:rsidR="00BC5E40" w:rsidRPr="00282AC9">
        <w:rPr>
          <w:rFonts w:hint="cs"/>
          <w:color w:val="auto"/>
          <w:rtl/>
        </w:rPr>
        <w:t>ة</w:t>
      </w:r>
    </w:p>
    <w:p w:rsidR="00A47631" w:rsidRPr="00282AC9" w:rsidRDefault="00BC5E40" w:rsidP="00BC4D37">
      <w:pPr>
        <w:rPr>
          <w:sz w:val="27"/>
          <w:rtl/>
        </w:rPr>
      </w:pPr>
      <w:r w:rsidRPr="00282AC9">
        <w:rPr>
          <w:rFonts w:hint="cs"/>
          <w:sz w:val="27"/>
          <w:rtl/>
        </w:rPr>
        <w:t>كما سبق أن ذكرنا فإن جميع التعزيرات التي تصدر في عصر الغ</w:t>
      </w:r>
      <w:r w:rsidR="00A47631" w:rsidRPr="00282AC9">
        <w:rPr>
          <w:rFonts w:hint="cs"/>
          <w:sz w:val="27"/>
          <w:rtl/>
        </w:rPr>
        <w:t>َ</w:t>
      </w:r>
      <w:r w:rsidRPr="00282AC9">
        <w:rPr>
          <w:rFonts w:hint="cs"/>
          <w:sz w:val="27"/>
          <w:rtl/>
        </w:rPr>
        <w:t>ي</w:t>
      </w:r>
      <w:r w:rsidR="00A47631" w:rsidRPr="00282AC9">
        <w:rPr>
          <w:rFonts w:hint="cs"/>
          <w:sz w:val="27"/>
          <w:rtl/>
        </w:rPr>
        <w:t>ْ</w:t>
      </w:r>
      <w:r w:rsidRPr="00282AC9">
        <w:rPr>
          <w:rFonts w:hint="cs"/>
          <w:sz w:val="27"/>
          <w:rtl/>
        </w:rPr>
        <w:t>بة تدخل ضمن الأحكام الولائي</w:t>
      </w:r>
      <w:r w:rsidR="00A47631" w:rsidRPr="00282AC9">
        <w:rPr>
          <w:rFonts w:hint="cs"/>
          <w:sz w:val="27"/>
          <w:rtl/>
        </w:rPr>
        <w:t>ّ</w:t>
      </w:r>
      <w:r w:rsidRPr="00282AC9">
        <w:rPr>
          <w:rFonts w:hint="cs"/>
          <w:sz w:val="27"/>
          <w:rtl/>
        </w:rPr>
        <w:t>ة؛ لأن موضوعها هو المصلحة التي يراها الحاكم الإسلامي</w:t>
      </w:r>
      <w:r w:rsidR="00A47631" w:rsidRPr="00282AC9">
        <w:rPr>
          <w:rFonts w:hint="cs"/>
          <w:sz w:val="27"/>
          <w:rtl/>
        </w:rPr>
        <w:t>.</w:t>
      </w:r>
    </w:p>
    <w:p w:rsidR="00A47631" w:rsidRPr="00282AC9" w:rsidRDefault="00BC5E40" w:rsidP="00BC4D37">
      <w:pPr>
        <w:rPr>
          <w:sz w:val="27"/>
          <w:rtl/>
        </w:rPr>
      </w:pPr>
      <w:r w:rsidRPr="00282AC9">
        <w:rPr>
          <w:rFonts w:hint="cs"/>
          <w:sz w:val="27"/>
          <w:rtl/>
        </w:rPr>
        <w:t>وهي موارد كثيرة</w:t>
      </w:r>
      <w:r w:rsidR="00A47631" w:rsidRPr="00282AC9">
        <w:rPr>
          <w:rFonts w:hint="cs"/>
          <w:sz w:val="27"/>
          <w:rtl/>
        </w:rPr>
        <w:t>ٌ،</w:t>
      </w:r>
      <w:r w:rsidRPr="00282AC9">
        <w:rPr>
          <w:rFonts w:hint="cs"/>
          <w:sz w:val="27"/>
          <w:rtl/>
        </w:rPr>
        <w:t xml:space="preserve"> نعرض عن ذكرها</w:t>
      </w:r>
      <w:r w:rsidR="00A47631" w:rsidRPr="00282AC9">
        <w:rPr>
          <w:rFonts w:hint="cs"/>
          <w:sz w:val="27"/>
          <w:rtl/>
        </w:rPr>
        <w:t>.</w:t>
      </w:r>
    </w:p>
    <w:p w:rsidR="00BC5E40" w:rsidRPr="00282AC9" w:rsidRDefault="00BC5E40" w:rsidP="00BC4D37">
      <w:pPr>
        <w:rPr>
          <w:sz w:val="27"/>
          <w:rtl/>
        </w:rPr>
      </w:pPr>
      <w:r w:rsidRPr="00282AC9">
        <w:rPr>
          <w:rFonts w:hint="cs"/>
          <w:sz w:val="27"/>
          <w:rtl/>
        </w:rPr>
        <w:t>وفي فقه غير هذه الموارد هناك أحكام</w:t>
      </w:r>
      <w:r w:rsidR="00A47631" w:rsidRPr="00282AC9">
        <w:rPr>
          <w:rFonts w:hint="cs"/>
          <w:sz w:val="27"/>
          <w:rtl/>
        </w:rPr>
        <w:t>ٌ</w:t>
      </w:r>
      <w:r w:rsidRPr="00282AC9">
        <w:rPr>
          <w:rFonts w:hint="cs"/>
          <w:sz w:val="27"/>
          <w:rtl/>
        </w:rPr>
        <w:t xml:space="preserve"> ولائي</w:t>
      </w:r>
      <w:r w:rsidR="00A47631" w:rsidRPr="00282AC9">
        <w:rPr>
          <w:rFonts w:hint="cs"/>
          <w:sz w:val="27"/>
          <w:rtl/>
        </w:rPr>
        <w:t>ّ</w:t>
      </w:r>
      <w:r w:rsidRPr="00282AC9">
        <w:rPr>
          <w:rFonts w:hint="cs"/>
          <w:sz w:val="27"/>
          <w:rtl/>
        </w:rPr>
        <w:t>ة أخرى، ومن بينها ما يلي:</w:t>
      </w:r>
    </w:p>
    <w:p w:rsidR="00A47631" w:rsidRPr="00282AC9" w:rsidRDefault="00A47631" w:rsidP="00201813">
      <w:pPr>
        <w:spacing w:line="430" w:lineRule="exact"/>
        <w:rPr>
          <w:sz w:val="27"/>
          <w:rtl/>
        </w:rPr>
      </w:pPr>
    </w:p>
    <w:p w:rsidR="00A47631" w:rsidRPr="00282AC9" w:rsidRDefault="00BC5E40" w:rsidP="00D746C6">
      <w:pPr>
        <w:pStyle w:val="31"/>
        <w:rPr>
          <w:color w:val="auto"/>
          <w:rtl/>
        </w:rPr>
      </w:pPr>
      <w:r w:rsidRPr="00282AC9">
        <w:rPr>
          <w:rFonts w:hint="cs"/>
          <w:color w:val="auto"/>
          <w:rtl/>
        </w:rPr>
        <w:t xml:space="preserve">1ـ </w:t>
      </w:r>
      <w:r w:rsidR="00D746C6" w:rsidRPr="00282AC9">
        <w:rPr>
          <w:rFonts w:hint="cs"/>
          <w:color w:val="auto"/>
          <w:rtl/>
        </w:rPr>
        <w:t>ال</w:t>
      </w:r>
      <w:r w:rsidRPr="00282AC9">
        <w:rPr>
          <w:rFonts w:hint="cs"/>
          <w:color w:val="auto"/>
          <w:rtl/>
        </w:rPr>
        <w:t>حكم في</w:t>
      </w:r>
      <w:r w:rsidR="00A47631" w:rsidRPr="00282AC9">
        <w:rPr>
          <w:rFonts w:hint="cs"/>
          <w:color w:val="auto"/>
          <w:rtl/>
        </w:rPr>
        <w:t xml:space="preserve"> </w:t>
      </w:r>
      <w:r w:rsidRPr="00282AC9">
        <w:rPr>
          <w:rFonts w:hint="cs"/>
          <w:color w:val="auto"/>
          <w:rtl/>
        </w:rPr>
        <w:t>أسرى الحرب</w:t>
      </w:r>
    </w:p>
    <w:p w:rsidR="00BC5E40" w:rsidRPr="00282AC9" w:rsidRDefault="00BC5E40" w:rsidP="00BC4D37">
      <w:pPr>
        <w:rPr>
          <w:sz w:val="27"/>
          <w:rtl/>
        </w:rPr>
      </w:pPr>
      <w:r w:rsidRPr="00282AC9">
        <w:rPr>
          <w:rFonts w:hint="cs"/>
          <w:sz w:val="27"/>
          <w:rtl/>
        </w:rPr>
        <w:t>قال الفقهاء</w:t>
      </w:r>
      <w:r w:rsidR="00A47631" w:rsidRPr="00282AC9">
        <w:rPr>
          <w:rFonts w:hint="cs"/>
          <w:sz w:val="27"/>
          <w:rtl/>
        </w:rPr>
        <w:t>:</w:t>
      </w:r>
      <w:r w:rsidRPr="00282AC9">
        <w:rPr>
          <w:rFonts w:hint="cs"/>
          <w:sz w:val="27"/>
          <w:rtl/>
        </w:rPr>
        <w:t xml:space="preserve"> إن أمر أسرى الحرب في عصر الغ</w:t>
      </w:r>
      <w:r w:rsidR="00A47631" w:rsidRPr="00282AC9">
        <w:rPr>
          <w:rFonts w:hint="cs"/>
          <w:sz w:val="27"/>
          <w:rtl/>
        </w:rPr>
        <w:t>َ</w:t>
      </w:r>
      <w:r w:rsidRPr="00282AC9">
        <w:rPr>
          <w:rFonts w:hint="cs"/>
          <w:sz w:val="27"/>
          <w:rtl/>
        </w:rPr>
        <w:t>ي</w:t>
      </w:r>
      <w:r w:rsidR="00A47631" w:rsidRPr="00282AC9">
        <w:rPr>
          <w:rFonts w:hint="cs"/>
          <w:sz w:val="27"/>
          <w:rtl/>
        </w:rPr>
        <w:t>ْ</w:t>
      </w:r>
      <w:r w:rsidRPr="00282AC9">
        <w:rPr>
          <w:rFonts w:hint="cs"/>
          <w:sz w:val="27"/>
          <w:rtl/>
        </w:rPr>
        <w:t>بة إلى الحاكم الإسلامي</w:t>
      </w:r>
      <w:r w:rsidR="00A47631" w:rsidRPr="00282AC9">
        <w:rPr>
          <w:rFonts w:hint="cs"/>
          <w:sz w:val="27"/>
          <w:rtl/>
        </w:rPr>
        <w:t>.</w:t>
      </w:r>
      <w:r w:rsidRPr="00282AC9">
        <w:rPr>
          <w:rFonts w:hint="cs"/>
          <w:sz w:val="27"/>
          <w:rtl/>
        </w:rPr>
        <w:t xml:space="preserve"> ومن بينهم</w:t>
      </w:r>
      <w:r w:rsidR="00A47631" w:rsidRPr="00282AC9">
        <w:rPr>
          <w:rFonts w:hint="cs"/>
          <w:sz w:val="27"/>
          <w:rtl/>
        </w:rPr>
        <w:t>:</w:t>
      </w:r>
      <w:r w:rsidRPr="00282AC9">
        <w:rPr>
          <w:rFonts w:hint="cs"/>
          <w:sz w:val="27"/>
          <w:rtl/>
        </w:rPr>
        <w:t xml:space="preserve"> الشيخ الطوسي</w:t>
      </w:r>
      <w:r w:rsidR="00A47631" w:rsidRPr="00282AC9">
        <w:rPr>
          <w:rFonts w:hint="cs"/>
          <w:sz w:val="27"/>
          <w:rtl/>
        </w:rPr>
        <w:t>،</w:t>
      </w:r>
      <w:r w:rsidRPr="00282AC9">
        <w:rPr>
          <w:rFonts w:hint="cs"/>
          <w:sz w:val="27"/>
          <w:rtl/>
        </w:rPr>
        <w:t xml:space="preserve"> حيث قال: </w:t>
      </w:r>
      <w:r w:rsidRPr="00282AC9">
        <w:rPr>
          <w:rFonts w:hint="eastAsia"/>
          <w:sz w:val="24"/>
          <w:szCs w:val="24"/>
          <w:rtl/>
        </w:rPr>
        <w:t>«</w:t>
      </w:r>
      <w:r w:rsidRPr="00282AC9">
        <w:rPr>
          <w:sz w:val="27"/>
          <w:rtl/>
        </w:rPr>
        <w:t>كل</w:t>
      </w:r>
      <w:r w:rsidR="00A47631" w:rsidRPr="00282AC9">
        <w:rPr>
          <w:rFonts w:hint="cs"/>
          <w:sz w:val="27"/>
          <w:rtl/>
        </w:rPr>
        <w:t>ُّ</w:t>
      </w:r>
      <w:r w:rsidRPr="00282AC9">
        <w:rPr>
          <w:sz w:val="27"/>
          <w:rtl/>
        </w:rPr>
        <w:t xml:space="preserve"> أسير</w:t>
      </w:r>
      <w:r w:rsidR="00A47631" w:rsidRPr="00282AC9">
        <w:rPr>
          <w:rFonts w:hint="cs"/>
          <w:sz w:val="27"/>
          <w:rtl/>
        </w:rPr>
        <w:t>ٍ</w:t>
      </w:r>
      <w:r w:rsidRPr="00282AC9">
        <w:rPr>
          <w:sz w:val="27"/>
          <w:rtl/>
        </w:rPr>
        <w:t xml:space="preserve"> أ</w:t>
      </w:r>
      <w:r w:rsidR="00A47631" w:rsidRPr="00282AC9">
        <w:rPr>
          <w:rFonts w:hint="cs"/>
          <w:sz w:val="27"/>
          <w:rtl/>
        </w:rPr>
        <w:t>ُ</w:t>
      </w:r>
      <w:r w:rsidRPr="00282AC9">
        <w:rPr>
          <w:sz w:val="27"/>
          <w:rtl/>
        </w:rPr>
        <w:t>خذ بعد أن وضع</w:t>
      </w:r>
      <w:r w:rsidR="00A47631" w:rsidRPr="00282AC9">
        <w:rPr>
          <w:rFonts w:hint="cs"/>
          <w:sz w:val="27"/>
          <w:rtl/>
        </w:rPr>
        <w:t>َ</w:t>
      </w:r>
      <w:r w:rsidRPr="00282AC9">
        <w:rPr>
          <w:sz w:val="27"/>
          <w:rtl/>
        </w:rPr>
        <w:t>ت</w:t>
      </w:r>
      <w:r w:rsidR="00A47631" w:rsidRPr="00282AC9">
        <w:rPr>
          <w:rFonts w:hint="cs"/>
          <w:sz w:val="27"/>
          <w:rtl/>
        </w:rPr>
        <w:t>ْ</w:t>
      </w:r>
      <w:r w:rsidRPr="00282AC9">
        <w:rPr>
          <w:sz w:val="27"/>
          <w:rtl/>
        </w:rPr>
        <w:t xml:space="preserve"> الحرب أوزارها، </w:t>
      </w:r>
      <w:r w:rsidRPr="00282AC9">
        <w:rPr>
          <w:sz w:val="27"/>
          <w:rtl/>
        </w:rPr>
        <w:lastRenderedPageBreak/>
        <w:t>فإنه يكون ال</w:t>
      </w:r>
      <w:r w:rsidRPr="00282AC9">
        <w:rPr>
          <w:rFonts w:hint="cs"/>
          <w:sz w:val="27"/>
          <w:rtl/>
        </w:rPr>
        <w:t>إ</w:t>
      </w:r>
      <w:r w:rsidRPr="00282AC9">
        <w:rPr>
          <w:sz w:val="27"/>
          <w:rtl/>
        </w:rPr>
        <w:t>مام</w:t>
      </w:r>
      <w:r w:rsidRPr="00282AC9">
        <w:rPr>
          <w:rFonts w:hint="cs"/>
          <w:sz w:val="27"/>
          <w:rtl/>
        </w:rPr>
        <w:t xml:space="preserve"> (الحاكم الإسلامي)</w:t>
      </w:r>
      <w:r w:rsidRPr="00282AC9">
        <w:rPr>
          <w:sz w:val="27"/>
          <w:rtl/>
        </w:rPr>
        <w:t xml:space="preserve"> فيه مخي</w:t>
      </w:r>
      <w:r w:rsidR="00A47631" w:rsidRPr="00282AC9">
        <w:rPr>
          <w:rFonts w:hint="cs"/>
          <w:sz w:val="27"/>
          <w:rtl/>
        </w:rPr>
        <w:t>َّ</w:t>
      </w:r>
      <w:r w:rsidRPr="00282AC9">
        <w:rPr>
          <w:sz w:val="27"/>
          <w:rtl/>
        </w:rPr>
        <w:t>را</w:t>
      </w:r>
      <w:r w:rsidRPr="00282AC9">
        <w:rPr>
          <w:rFonts w:hint="cs"/>
          <w:sz w:val="27"/>
          <w:rtl/>
        </w:rPr>
        <w:t>ً:</w:t>
      </w:r>
      <w:r w:rsidRPr="00282AC9">
        <w:rPr>
          <w:sz w:val="27"/>
          <w:rtl/>
        </w:rPr>
        <w:t xml:space="preserve"> إن</w:t>
      </w:r>
      <w:r w:rsidR="00A47631" w:rsidRPr="00282AC9">
        <w:rPr>
          <w:rFonts w:hint="cs"/>
          <w:sz w:val="27"/>
          <w:rtl/>
        </w:rPr>
        <w:t>ْ</w:t>
      </w:r>
      <w:r w:rsidRPr="00282AC9">
        <w:rPr>
          <w:sz w:val="27"/>
          <w:rtl/>
        </w:rPr>
        <w:t xml:space="preserve"> شاء م</w:t>
      </w:r>
      <w:r w:rsidR="00A47631" w:rsidRPr="00282AC9">
        <w:rPr>
          <w:rFonts w:hint="cs"/>
          <w:sz w:val="27"/>
          <w:rtl/>
        </w:rPr>
        <w:t>َ</w:t>
      </w:r>
      <w:r w:rsidRPr="00282AC9">
        <w:rPr>
          <w:sz w:val="27"/>
          <w:rtl/>
        </w:rPr>
        <w:t>ن</w:t>
      </w:r>
      <w:r w:rsidRPr="00282AC9">
        <w:rPr>
          <w:rFonts w:hint="cs"/>
          <w:sz w:val="27"/>
          <w:rtl/>
        </w:rPr>
        <w:t>ّ</w:t>
      </w:r>
      <w:r w:rsidR="00A47631" w:rsidRPr="00282AC9">
        <w:rPr>
          <w:rFonts w:hint="cs"/>
          <w:sz w:val="27"/>
          <w:rtl/>
        </w:rPr>
        <w:t>َ</w:t>
      </w:r>
      <w:r w:rsidRPr="00282AC9">
        <w:rPr>
          <w:sz w:val="27"/>
          <w:rtl/>
        </w:rPr>
        <w:t xml:space="preserve"> عليه فأطلقه، وإن</w:t>
      </w:r>
      <w:r w:rsidR="00A47631" w:rsidRPr="00282AC9">
        <w:rPr>
          <w:rFonts w:hint="cs"/>
          <w:sz w:val="27"/>
          <w:rtl/>
        </w:rPr>
        <w:t>ْ</w:t>
      </w:r>
      <w:r w:rsidRPr="00282AC9">
        <w:rPr>
          <w:sz w:val="27"/>
          <w:rtl/>
        </w:rPr>
        <w:t xml:space="preserve"> شاء است</w:t>
      </w:r>
      <w:r w:rsidR="00A47631" w:rsidRPr="00282AC9">
        <w:rPr>
          <w:sz w:val="27"/>
          <w:rtl/>
        </w:rPr>
        <w:t>ع</w:t>
      </w:r>
      <w:r w:rsidRPr="00282AC9">
        <w:rPr>
          <w:sz w:val="27"/>
          <w:rtl/>
        </w:rPr>
        <w:t>بده، وإن</w:t>
      </w:r>
      <w:r w:rsidR="00A47631" w:rsidRPr="00282AC9">
        <w:rPr>
          <w:rFonts w:hint="cs"/>
          <w:sz w:val="27"/>
          <w:rtl/>
        </w:rPr>
        <w:t>ْ</w:t>
      </w:r>
      <w:r w:rsidRPr="00282AC9">
        <w:rPr>
          <w:sz w:val="27"/>
          <w:rtl/>
        </w:rPr>
        <w:t xml:space="preserve"> شاء فاداه</w:t>
      </w:r>
      <w:r w:rsidRPr="00282AC9">
        <w:rPr>
          <w:rFonts w:hint="eastAsia"/>
          <w:sz w:val="24"/>
          <w:szCs w:val="24"/>
          <w:rtl/>
        </w:rPr>
        <w:t>»</w:t>
      </w:r>
      <w:r w:rsidRPr="00282AC9">
        <w:rPr>
          <w:sz w:val="27"/>
          <w:vertAlign w:val="superscript"/>
          <w:rtl/>
        </w:rPr>
        <w:t>(</w:t>
      </w:r>
      <w:r w:rsidRPr="00282AC9">
        <w:rPr>
          <w:rStyle w:val="af9"/>
          <w:sz w:val="27"/>
          <w:rtl/>
        </w:rPr>
        <w:endnoteReference w:id="93"/>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وقال القاضي ابن البر</w:t>
      </w:r>
      <w:r w:rsidR="00A47631" w:rsidRPr="00282AC9">
        <w:rPr>
          <w:rFonts w:hint="cs"/>
          <w:sz w:val="27"/>
          <w:rtl/>
        </w:rPr>
        <w:t>ّ</w:t>
      </w:r>
      <w:r w:rsidRPr="00282AC9">
        <w:rPr>
          <w:rFonts w:hint="cs"/>
          <w:sz w:val="27"/>
          <w:rtl/>
        </w:rPr>
        <w:t xml:space="preserve">اج: </w:t>
      </w:r>
      <w:r w:rsidRPr="00282AC9">
        <w:rPr>
          <w:rFonts w:hint="eastAsia"/>
          <w:sz w:val="24"/>
          <w:szCs w:val="24"/>
          <w:rtl/>
        </w:rPr>
        <w:t>«</w:t>
      </w:r>
      <w:r w:rsidRPr="00282AC9">
        <w:rPr>
          <w:sz w:val="27"/>
          <w:rtl/>
        </w:rPr>
        <w:t>ال</w:t>
      </w:r>
      <w:r w:rsidRPr="00282AC9">
        <w:rPr>
          <w:rFonts w:hint="cs"/>
          <w:sz w:val="27"/>
          <w:rtl/>
        </w:rPr>
        <w:t>أ</w:t>
      </w:r>
      <w:r w:rsidRPr="00282AC9">
        <w:rPr>
          <w:sz w:val="27"/>
          <w:rtl/>
        </w:rPr>
        <w:t xml:space="preserve">سارى على ضربين: </w:t>
      </w:r>
      <w:r w:rsidRPr="00282AC9">
        <w:rPr>
          <w:b/>
          <w:bCs/>
          <w:sz w:val="27"/>
          <w:rtl/>
        </w:rPr>
        <w:t>أحدهما</w:t>
      </w:r>
      <w:r w:rsidR="00A47631" w:rsidRPr="00282AC9">
        <w:rPr>
          <w:rFonts w:hint="cs"/>
          <w:sz w:val="27"/>
          <w:rtl/>
        </w:rPr>
        <w:t>:</w:t>
      </w:r>
      <w:r w:rsidRPr="00282AC9">
        <w:rPr>
          <w:sz w:val="27"/>
          <w:rtl/>
        </w:rPr>
        <w:t xml:space="preserve"> ما يجوز استبقا</w:t>
      </w:r>
      <w:r w:rsidRPr="00282AC9">
        <w:rPr>
          <w:rFonts w:hint="cs"/>
          <w:sz w:val="27"/>
          <w:rtl/>
        </w:rPr>
        <w:t>ؤ</w:t>
      </w:r>
      <w:r w:rsidRPr="00282AC9">
        <w:rPr>
          <w:sz w:val="27"/>
          <w:rtl/>
        </w:rPr>
        <w:t>ه</w:t>
      </w:r>
      <w:r w:rsidR="00A47631" w:rsidRPr="00282AC9">
        <w:rPr>
          <w:rFonts w:hint="cs"/>
          <w:sz w:val="27"/>
          <w:rtl/>
        </w:rPr>
        <w:t>؛</w:t>
      </w:r>
      <w:r w:rsidRPr="00282AC9">
        <w:rPr>
          <w:sz w:val="27"/>
          <w:rtl/>
        </w:rPr>
        <w:t xml:space="preserve"> </w:t>
      </w:r>
      <w:r w:rsidRPr="00282AC9">
        <w:rPr>
          <w:b/>
          <w:bCs/>
          <w:sz w:val="27"/>
          <w:rtl/>
        </w:rPr>
        <w:t>والآخر</w:t>
      </w:r>
      <w:r w:rsidR="00A47631" w:rsidRPr="00282AC9">
        <w:rPr>
          <w:rFonts w:hint="cs"/>
          <w:sz w:val="27"/>
          <w:rtl/>
        </w:rPr>
        <w:t>:</w:t>
      </w:r>
      <w:r w:rsidRPr="00282AC9">
        <w:rPr>
          <w:sz w:val="27"/>
          <w:rtl/>
        </w:rPr>
        <w:t xml:space="preserve"> لا ي</w:t>
      </w:r>
      <w:r w:rsidR="00A47631" w:rsidRPr="00282AC9">
        <w:rPr>
          <w:rFonts w:hint="cs"/>
          <w:sz w:val="27"/>
          <w:rtl/>
        </w:rPr>
        <w:t>ُ</w:t>
      </w:r>
      <w:r w:rsidRPr="00282AC9">
        <w:rPr>
          <w:sz w:val="27"/>
          <w:rtl/>
        </w:rPr>
        <w:t>ستبق</w:t>
      </w:r>
      <w:r w:rsidR="00A47631" w:rsidRPr="00282AC9">
        <w:rPr>
          <w:rFonts w:hint="cs"/>
          <w:sz w:val="27"/>
          <w:rtl/>
        </w:rPr>
        <w:t>ى.</w:t>
      </w:r>
      <w:r w:rsidRPr="00282AC9">
        <w:rPr>
          <w:sz w:val="27"/>
          <w:rtl/>
        </w:rPr>
        <w:t xml:space="preserve"> فالذي يجوز استبقا</w:t>
      </w:r>
      <w:r w:rsidRPr="00282AC9">
        <w:rPr>
          <w:rFonts w:hint="cs"/>
          <w:sz w:val="27"/>
          <w:rtl/>
        </w:rPr>
        <w:t>ؤ</w:t>
      </w:r>
      <w:r w:rsidRPr="00282AC9">
        <w:rPr>
          <w:sz w:val="27"/>
          <w:rtl/>
        </w:rPr>
        <w:t>ه كل</w:t>
      </w:r>
      <w:r w:rsidR="00D90B89" w:rsidRPr="00282AC9">
        <w:rPr>
          <w:rFonts w:hint="cs"/>
          <w:sz w:val="27"/>
          <w:rtl/>
        </w:rPr>
        <w:t>ُّ</w:t>
      </w:r>
      <w:r w:rsidRPr="00282AC9">
        <w:rPr>
          <w:sz w:val="27"/>
          <w:rtl/>
        </w:rPr>
        <w:t xml:space="preserve"> أسير</w:t>
      </w:r>
      <w:r w:rsidR="00D90B89" w:rsidRPr="00282AC9">
        <w:rPr>
          <w:rFonts w:hint="cs"/>
          <w:sz w:val="27"/>
          <w:rtl/>
        </w:rPr>
        <w:t>ٍ</w:t>
      </w:r>
      <w:r w:rsidRPr="00282AC9">
        <w:rPr>
          <w:sz w:val="27"/>
          <w:rtl/>
        </w:rPr>
        <w:t xml:space="preserve"> أ</w:t>
      </w:r>
      <w:r w:rsidR="00D90B89" w:rsidRPr="00282AC9">
        <w:rPr>
          <w:rFonts w:hint="cs"/>
          <w:sz w:val="27"/>
          <w:rtl/>
        </w:rPr>
        <w:t>ُ</w:t>
      </w:r>
      <w:r w:rsidRPr="00282AC9">
        <w:rPr>
          <w:sz w:val="27"/>
          <w:rtl/>
        </w:rPr>
        <w:t>خذ بعد تقض</w:t>
      </w:r>
      <w:r w:rsidR="00D90B89" w:rsidRPr="00282AC9">
        <w:rPr>
          <w:rFonts w:hint="cs"/>
          <w:sz w:val="27"/>
          <w:rtl/>
        </w:rPr>
        <w:t>ّ</w:t>
      </w:r>
      <w:r w:rsidRPr="00282AC9">
        <w:rPr>
          <w:sz w:val="27"/>
          <w:rtl/>
        </w:rPr>
        <w:t>ي الحرب والفراغ منها</w:t>
      </w:r>
      <w:r w:rsidR="00D90B89" w:rsidRPr="00282AC9">
        <w:rPr>
          <w:rFonts w:hint="cs"/>
          <w:sz w:val="27"/>
          <w:rtl/>
        </w:rPr>
        <w:t>؛</w:t>
      </w:r>
      <w:r w:rsidRPr="00282AC9">
        <w:rPr>
          <w:sz w:val="27"/>
          <w:rtl/>
        </w:rPr>
        <w:t xml:space="preserve"> والذي لا يستبق</w:t>
      </w:r>
      <w:r w:rsidR="00D90B89" w:rsidRPr="00282AC9">
        <w:rPr>
          <w:rFonts w:hint="cs"/>
          <w:sz w:val="27"/>
          <w:rtl/>
        </w:rPr>
        <w:t>ى</w:t>
      </w:r>
      <w:r w:rsidRPr="00282AC9">
        <w:rPr>
          <w:sz w:val="27"/>
          <w:rtl/>
        </w:rPr>
        <w:t xml:space="preserve"> هو كل</w:t>
      </w:r>
      <w:r w:rsidR="00D90B89" w:rsidRPr="00282AC9">
        <w:rPr>
          <w:rFonts w:hint="cs"/>
          <w:sz w:val="27"/>
          <w:rtl/>
        </w:rPr>
        <w:t>ُّ</w:t>
      </w:r>
      <w:r w:rsidRPr="00282AC9">
        <w:rPr>
          <w:sz w:val="27"/>
          <w:rtl/>
        </w:rPr>
        <w:t xml:space="preserve"> أسير</w:t>
      </w:r>
      <w:r w:rsidR="00D90B89" w:rsidRPr="00282AC9">
        <w:rPr>
          <w:rFonts w:hint="cs"/>
          <w:sz w:val="27"/>
          <w:rtl/>
        </w:rPr>
        <w:t>ٍ</w:t>
      </w:r>
      <w:r w:rsidRPr="00282AC9">
        <w:rPr>
          <w:sz w:val="27"/>
          <w:rtl/>
        </w:rPr>
        <w:t xml:space="preserve"> أ</w:t>
      </w:r>
      <w:r w:rsidR="00D90B89" w:rsidRPr="00282AC9">
        <w:rPr>
          <w:rFonts w:hint="cs"/>
          <w:sz w:val="27"/>
          <w:rtl/>
        </w:rPr>
        <w:t>ُ</w:t>
      </w:r>
      <w:r w:rsidRPr="00282AC9">
        <w:rPr>
          <w:sz w:val="27"/>
          <w:rtl/>
        </w:rPr>
        <w:t>خذ قبل تقض</w:t>
      </w:r>
      <w:r w:rsidR="00D90B89" w:rsidRPr="00282AC9">
        <w:rPr>
          <w:rFonts w:hint="cs"/>
          <w:sz w:val="27"/>
          <w:rtl/>
        </w:rPr>
        <w:t>ّ</w:t>
      </w:r>
      <w:r w:rsidRPr="00282AC9">
        <w:rPr>
          <w:sz w:val="27"/>
          <w:rtl/>
        </w:rPr>
        <w:t>ي الحرب والفراغ منها. والضرب الأو</w:t>
      </w:r>
      <w:r w:rsidR="00D90B89" w:rsidRPr="00282AC9">
        <w:rPr>
          <w:rFonts w:hint="cs"/>
          <w:sz w:val="27"/>
          <w:rtl/>
        </w:rPr>
        <w:t>ّ</w:t>
      </w:r>
      <w:r w:rsidRPr="00282AC9">
        <w:rPr>
          <w:sz w:val="27"/>
          <w:rtl/>
        </w:rPr>
        <w:t>ل يكون الإمام وم</w:t>
      </w:r>
      <w:r w:rsidR="00D90B89" w:rsidRPr="00282AC9">
        <w:rPr>
          <w:rFonts w:hint="cs"/>
          <w:sz w:val="27"/>
          <w:rtl/>
        </w:rPr>
        <w:t>َ</w:t>
      </w:r>
      <w:r w:rsidRPr="00282AC9">
        <w:rPr>
          <w:sz w:val="27"/>
          <w:rtl/>
        </w:rPr>
        <w:t>ن</w:t>
      </w:r>
      <w:r w:rsidR="00D90B89" w:rsidRPr="00282AC9">
        <w:rPr>
          <w:rFonts w:hint="cs"/>
          <w:sz w:val="27"/>
          <w:rtl/>
        </w:rPr>
        <w:t>ْ</w:t>
      </w:r>
      <w:r w:rsidRPr="00282AC9">
        <w:rPr>
          <w:sz w:val="27"/>
          <w:rtl/>
        </w:rPr>
        <w:t xml:space="preserve"> نصبه الإمام مخي</w:t>
      </w:r>
      <w:r w:rsidR="00D90B89" w:rsidRPr="00282AC9">
        <w:rPr>
          <w:rFonts w:hint="cs"/>
          <w:sz w:val="27"/>
          <w:rtl/>
        </w:rPr>
        <w:t>َّ</w:t>
      </w:r>
      <w:r w:rsidRPr="00282AC9">
        <w:rPr>
          <w:sz w:val="27"/>
          <w:rtl/>
        </w:rPr>
        <w:t>را</w:t>
      </w:r>
      <w:r w:rsidRPr="00282AC9">
        <w:rPr>
          <w:rFonts w:hint="cs"/>
          <w:sz w:val="27"/>
          <w:rtl/>
        </w:rPr>
        <w:t>ً</w:t>
      </w:r>
      <w:r w:rsidRPr="00282AC9">
        <w:rPr>
          <w:sz w:val="27"/>
          <w:rtl/>
        </w:rPr>
        <w:t xml:space="preserve"> فيهم</w:t>
      </w:r>
      <w:r w:rsidR="00D90B89" w:rsidRPr="00282AC9">
        <w:rPr>
          <w:rFonts w:hint="cs"/>
          <w:sz w:val="27"/>
          <w:rtl/>
        </w:rPr>
        <w:t>؛</w:t>
      </w:r>
      <w:r w:rsidRPr="00282AC9">
        <w:rPr>
          <w:sz w:val="27"/>
          <w:rtl/>
        </w:rPr>
        <w:t xml:space="preserve"> إن</w:t>
      </w:r>
      <w:r w:rsidR="00D90B89" w:rsidRPr="00282AC9">
        <w:rPr>
          <w:rFonts w:hint="cs"/>
          <w:sz w:val="27"/>
          <w:rtl/>
        </w:rPr>
        <w:t>ْ</w:t>
      </w:r>
      <w:r w:rsidRPr="00282AC9">
        <w:rPr>
          <w:sz w:val="27"/>
          <w:rtl/>
        </w:rPr>
        <w:t xml:space="preserve"> شاء قتلهم</w:t>
      </w:r>
      <w:r w:rsidRPr="00282AC9">
        <w:rPr>
          <w:rFonts w:hint="cs"/>
          <w:sz w:val="27"/>
          <w:rtl/>
        </w:rPr>
        <w:t>،</w:t>
      </w:r>
      <w:r w:rsidRPr="00282AC9">
        <w:rPr>
          <w:sz w:val="27"/>
          <w:rtl/>
        </w:rPr>
        <w:t xml:space="preserve"> وإن</w:t>
      </w:r>
      <w:r w:rsidR="00D90B89" w:rsidRPr="00282AC9">
        <w:rPr>
          <w:rFonts w:hint="cs"/>
          <w:sz w:val="27"/>
          <w:rtl/>
        </w:rPr>
        <w:t>ْ</w:t>
      </w:r>
      <w:r w:rsidRPr="00282AC9">
        <w:rPr>
          <w:rFonts w:hint="cs"/>
          <w:sz w:val="27"/>
          <w:rtl/>
        </w:rPr>
        <w:t xml:space="preserve"> </w:t>
      </w:r>
      <w:r w:rsidRPr="00282AC9">
        <w:rPr>
          <w:sz w:val="27"/>
          <w:rtl/>
        </w:rPr>
        <w:t>شاء ف</w:t>
      </w:r>
      <w:r w:rsidR="00D90B89" w:rsidRPr="00282AC9">
        <w:rPr>
          <w:rFonts w:hint="cs"/>
          <w:sz w:val="27"/>
          <w:rtl/>
        </w:rPr>
        <w:t>ا</w:t>
      </w:r>
      <w:r w:rsidRPr="00282AC9">
        <w:rPr>
          <w:sz w:val="27"/>
          <w:rtl/>
        </w:rPr>
        <w:t>داهم</w:t>
      </w:r>
      <w:r w:rsidRPr="00282AC9">
        <w:rPr>
          <w:rFonts w:hint="cs"/>
          <w:sz w:val="27"/>
          <w:rtl/>
        </w:rPr>
        <w:t>،</w:t>
      </w:r>
      <w:r w:rsidRPr="00282AC9">
        <w:rPr>
          <w:sz w:val="27"/>
          <w:rtl/>
        </w:rPr>
        <w:t xml:space="preserve"> وإن</w:t>
      </w:r>
      <w:r w:rsidR="00D90B89" w:rsidRPr="00282AC9">
        <w:rPr>
          <w:rFonts w:hint="cs"/>
          <w:sz w:val="27"/>
          <w:rtl/>
        </w:rPr>
        <w:t>ْ</w:t>
      </w:r>
      <w:r w:rsidRPr="00282AC9">
        <w:rPr>
          <w:sz w:val="27"/>
          <w:rtl/>
        </w:rPr>
        <w:t xml:space="preserve"> شاء م</w:t>
      </w:r>
      <w:r w:rsidR="00D90B89" w:rsidRPr="00282AC9">
        <w:rPr>
          <w:rFonts w:hint="cs"/>
          <w:sz w:val="27"/>
          <w:rtl/>
        </w:rPr>
        <w:t>َ</w:t>
      </w:r>
      <w:r w:rsidRPr="00282AC9">
        <w:rPr>
          <w:sz w:val="27"/>
          <w:rtl/>
        </w:rPr>
        <w:t>ن</w:t>
      </w:r>
      <w:r w:rsidRPr="00282AC9">
        <w:rPr>
          <w:rFonts w:hint="cs"/>
          <w:sz w:val="27"/>
          <w:rtl/>
        </w:rPr>
        <w:t>ّ</w:t>
      </w:r>
      <w:r w:rsidR="00D90B89" w:rsidRPr="00282AC9">
        <w:rPr>
          <w:rFonts w:hint="cs"/>
          <w:sz w:val="27"/>
          <w:rtl/>
        </w:rPr>
        <w:t>َ</w:t>
      </w:r>
      <w:r w:rsidRPr="00282AC9">
        <w:rPr>
          <w:sz w:val="27"/>
          <w:rtl/>
        </w:rPr>
        <w:t xml:space="preserve"> عليهم</w:t>
      </w:r>
      <w:r w:rsidRPr="00282AC9">
        <w:rPr>
          <w:rFonts w:hint="cs"/>
          <w:sz w:val="27"/>
          <w:rtl/>
        </w:rPr>
        <w:t>،</w:t>
      </w:r>
      <w:r w:rsidRPr="00282AC9">
        <w:rPr>
          <w:sz w:val="27"/>
          <w:rtl/>
        </w:rPr>
        <w:t xml:space="preserve"> وإن</w:t>
      </w:r>
      <w:r w:rsidR="00D90B89" w:rsidRPr="00282AC9">
        <w:rPr>
          <w:rFonts w:hint="cs"/>
          <w:sz w:val="27"/>
          <w:rtl/>
        </w:rPr>
        <w:t>ْ</w:t>
      </w:r>
      <w:r w:rsidRPr="00282AC9">
        <w:rPr>
          <w:sz w:val="27"/>
          <w:rtl/>
        </w:rPr>
        <w:t xml:space="preserve"> شاء استرق</w:t>
      </w:r>
      <w:r w:rsidR="00D90B89" w:rsidRPr="00282AC9">
        <w:rPr>
          <w:rFonts w:hint="cs"/>
          <w:sz w:val="27"/>
          <w:rtl/>
        </w:rPr>
        <w:t>َّ</w:t>
      </w:r>
      <w:r w:rsidRPr="00282AC9">
        <w:rPr>
          <w:sz w:val="27"/>
          <w:rtl/>
        </w:rPr>
        <w:t>هم</w:t>
      </w:r>
      <w:r w:rsidR="00D90B89" w:rsidRPr="00282AC9">
        <w:rPr>
          <w:rFonts w:hint="cs"/>
          <w:sz w:val="27"/>
          <w:rtl/>
        </w:rPr>
        <w:t>.</w:t>
      </w:r>
      <w:r w:rsidRPr="00282AC9">
        <w:rPr>
          <w:sz w:val="27"/>
          <w:rtl/>
        </w:rPr>
        <w:t xml:space="preserve"> ويفعل في ذلك ما يراه صلاحا</w:t>
      </w:r>
      <w:r w:rsidRPr="00282AC9">
        <w:rPr>
          <w:rFonts w:hint="cs"/>
          <w:sz w:val="27"/>
          <w:rtl/>
        </w:rPr>
        <w:t>ً</w:t>
      </w:r>
      <w:r w:rsidR="0085018A" w:rsidRPr="00282AC9">
        <w:rPr>
          <w:sz w:val="27"/>
          <w:rtl/>
        </w:rPr>
        <w:t xml:space="preserve"> في التدبير</w:t>
      </w:r>
      <w:r w:rsidR="0085018A" w:rsidRPr="00282AC9">
        <w:rPr>
          <w:rFonts w:hint="cs"/>
          <w:sz w:val="27"/>
          <w:rtl/>
        </w:rPr>
        <w:t xml:space="preserve"> </w:t>
      </w:r>
      <w:r w:rsidRPr="00282AC9">
        <w:rPr>
          <w:sz w:val="27"/>
          <w:rtl/>
        </w:rPr>
        <w:t>والنفع للمسلمين</w:t>
      </w:r>
      <w:r w:rsidRPr="00282AC9">
        <w:rPr>
          <w:rFonts w:hint="eastAsia"/>
          <w:sz w:val="24"/>
          <w:szCs w:val="24"/>
          <w:rtl/>
        </w:rPr>
        <w:t>»</w:t>
      </w:r>
      <w:r w:rsidRPr="00282AC9">
        <w:rPr>
          <w:sz w:val="27"/>
          <w:vertAlign w:val="superscript"/>
          <w:rtl/>
        </w:rPr>
        <w:t>(</w:t>
      </w:r>
      <w:r w:rsidRPr="00282AC9">
        <w:rPr>
          <w:rStyle w:val="af9"/>
          <w:sz w:val="27"/>
          <w:rtl/>
        </w:rPr>
        <w:endnoteReference w:id="94"/>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وقال العلا</w:t>
      </w:r>
      <w:r w:rsidR="00D90B89" w:rsidRPr="00282AC9">
        <w:rPr>
          <w:rFonts w:hint="cs"/>
          <w:sz w:val="27"/>
          <w:rtl/>
        </w:rPr>
        <w:t>ّ</w:t>
      </w:r>
      <w:r w:rsidRPr="00282AC9">
        <w:rPr>
          <w:rFonts w:hint="cs"/>
          <w:sz w:val="27"/>
          <w:rtl/>
        </w:rPr>
        <w:t>مة الحل</w:t>
      </w:r>
      <w:r w:rsidR="00D90B89" w:rsidRPr="00282AC9">
        <w:rPr>
          <w:rFonts w:hint="cs"/>
          <w:sz w:val="27"/>
          <w:rtl/>
        </w:rPr>
        <w:t>ّ</w:t>
      </w:r>
      <w:r w:rsidRPr="00282AC9">
        <w:rPr>
          <w:rFonts w:hint="cs"/>
          <w:sz w:val="27"/>
          <w:rtl/>
        </w:rPr>
        <w:t xml:space="preserve">ي: </w:t>
      </w:r>
      <w:r w:rsidRPr="00282AC9">
        <w:rPr>
          <w:rFonts w:hint="eastAsia"/>
          <w:sz w:val="24"/>
          <w:szCs w:val="24"/>
          <w:rtl/>
        </w:rPr>
        <w:t>«</w:t>
      </w:r>
      <w:r w:rsidRPr="00282AC9">
        <w:rPr>
          <w:rFonts w:hint="cs"/>
          <w:sz w:val="27"/>
          <w:rtl/>
        </w:rPr>
        <w:t>إ</w:t>
      </w:r>
      <w:r w:rsidRPr="00282AC9">
        <w:rPr>
          <w:sz w:val="27"/>
          <w:rtl/>
        </w:rPr>
        <w:t>ن</w:t>
      </w:r>
      <w:r w:rsidR="00D90B89" w:rsidRPr="00282AC9">
        <w:rPr>
          <w:rFonts w:hint="cs"/>
          <w:sz w:val="27"/>
          <w:rtl/>
        </w:rPr>
        <w:t>ْ</w:t>
      </w:r>
      <w:r w:rsidRPr="00282AC9">
        <w:rPr>
          <w:sz w:val="27"/>
          <w:rtl/>
        </w:rPr>
        <w:t xml:space="preserve"> أ</w:t>
      </w:r>
      <w:r w:rsidR="00D90B89" w:rsidRPr="00282AC9">
        <w:rPr>
          <w:rFonts w:hint="cs"/>
          <w:sz w:val="27"/>
          <w:rtl/>
        </w:rPr>
        <w:t>ُ</w:t>
      </w:r>
      <w:r w:rsidRPr="00282AC9">
        <w:rPr>
          <w:sz w:val="27"/>
          <w:rtl/>
        </w:rPr>
        <w:t>خذوا</w:t>
      </w:r>
      <w:r w:rsidRPr="00282AC9">
        <w:rPr>
          <w:rFonts w:hint="cs"/>
          <w:sz w:val="27"/>
          <w:rtl/>
        </w:rPr>
        <w:t xml:space="preserve"> [الأسرى]</w:t>
      </w:r>
      <w:r w:rsidRPr="00282AC9">
        <w:rPr>
          <w:sz w:val="27"/>
          <w:rtl/>
        </w:rPr>
        <w:t xml:space="preserve"> بعد انقضاء الحرب حرم قتلهم، ويتخي</w:t>
      </w:r>
      <w:r w:rsidR="00D90B89" w:rsidRPr="00282AC9">
        <w:rPr>
          <w:rFonts w:hint="cs"/>
          <w:sz w:val="27"/>
          <w:rtl/>
        </w:rPr>
        <w:t>َّ</w:t>
      </w:r>
      <w:r w:rsidRPr="00282AC9">
        <w:rPr>
          <w:sz w:val="27"/>
          <w:rtl/>
        </w:rPr>
        <w:t>ر ال</w:t>
      </w:r>
      <w:r w:rsidRPr="00282AC9">
        <w:rPr>
          <w:rFonts w:hint="cs"/>
          <w:sz w:val="27"/>
          <w:rtl/>
        </w:rPr>
        <w:t>إ</w:t>
      </w:r>
      <w:r w:rsidRPr="00282AC9">
        <w:rPr>
          <w:sz w:val="27"/>
          <w:rtl/>
        </w:rPr>
        <w:t>مام</w:t>
      </w:r>
      <w:r w:rsidRPr="00282AC9">
        <w:rPr>
          <w:rFonts w:hint="cs"/>
          <w:sz w:val="27"/>
          <w:rtl/>
        </w:rPr>
        <w:t xml:space="preserve"> (الحاكم الإسلامي)</w:t>
      </w:r>
      <w:r w:rsidRPr="00282AC9">
        <w:rPr>
          <w:sz w:val="27"/>
          <w:rtl/>
        </w:rPr>
        <w:t xml:space="preserve"> بين المن</w:t>
      </w:r>
      <w:r w:rsidRPr="00282AC9">
        <w:rPr>
          <w:rFonts w:hint="cs"/>
          <w:sz w:val="27"/>
          <w:rtl/>
        </w:rPr>
        <w:t>ّ</w:t>
      </w:r>
      <w:r w:rsidRPr="00282AC9">
        <w:rPr>
          <w:sz w:val="27"/>
          <w:rtl/>
        </w:rPr>
        <w:t xml:space="preserve"> والفداء والاسترقاق</w:t>
      </w:r>
      <w:r w:rsidRPr="00282AC9">
        <w:rPr>
          <w:rFonts w:hint="eastAsia"/>
          <w:sz w:val="24"/>
          <w:szCs w:val="24"/>
          <w:rtl/>
        </w:rPr>
        <w:t>»</w:t>
      </w:r>
      <w:r w:rsidRPr="00282AC9">
        <w:rPr>
          <w:sz w:val="27"/>
          <w:vertAlign w:val="superscript"/>
          <w:rtl/>
        </w:rPr>
        <w:t>(</w:t>
      </w:r>
      <w:r w:rsidRPr="00282AC9">
        <w:rPr>
          <w:rStyle w:val="af9"/>
          <w:sz w:val="27"/>
          <w:rtl/>
        </w:rPr>
        <w:endnoteReference w:id="95"/>
      </w:r>
      <w:r w:rsidRPr="00282AC9">
        <w:rPr>
          <w:sz w:val="27"/>
          <w:vertAlign w:val="superscript"/>
          <w:rtl/>
        </w:rPr>
        <w:t>)</w:t>
      </w:r>
      <w:r w:rsidRPr="00282AC9">
        <w:rPr>
          <w:rFonts w:hint="cs"/>
          <w:sz w:val="27"/>
          <w:rtl/>
        </w:rPr>
        <w:t>.</w:t>
      </w:r>
    </w:p>
    <w:p w:rsidR="00BC5E40" w:rsidRPr="00282AC9" w:rsidRDefault="00D90B89" w:rsidP="00BC4D37">
      <w:pPr>
        <w:rPr>
          <w:sz w:val="27"/>
          <w:rtl/>
        </w:rPr>
      </w:pPr>
      <w:r w:rsidRPr="00282AC9">
        <w:rPr>
          <w:rFonts w:hint="cs"/>
          <w:sz w:val="27"/>
          <w:rtl/>
        </w:rPr>
        <w:t>و</w:t>
      </w:r>
      <w:r w:rsidR="00BC5E40" w:rsidRPr="00282AC9">
        <w:rPr>
          <w:rFonts w:hint="cs"/>
          <w:sz w:val="27"/>
          <w:rtl/>
        </w:rPr>
        <w:t>يتبيّ</w:t>
      </w:r>
      <w:r w:rsidRPr="00282AC9">
        <w:rPr>
          <w:rFonts w:hint="cs"/>
          <w:sz w:val="27"/>
          <w:rtl/>
        </w:rPr>
        <w:t>َ</w:t>
      </w:r>
      <w:r w:rsidR="00BC5E40" w:rsidRPr="00282AC9">
        <w:rPr>
          <w:rFonts w:hint="cs"/>
          <w:sz w:val="27"/>
          <w:rtl/>
        </w:rPr>
        <w:t>ن من هذه الأقوال بوضوح</w:t>
      </w:r>
      <w:r w:rsidRPr="00282AC9">
        <w:rPr>
          <w:rFonts w:hint="cs"/>
          <w:sz w:val="27"/>
          <w:rtl/>
        </w:rPr>
        <w:t>ٍ</w:t>
      </w:r>
      <w:r w:rsidR="00BC5E40" w:rsidRPr="00282AC9">
        <w:rPr>
          <w:rFonts w:hint="cs"/>
          <w:sz w:val="27"/>
          <w:rtl/>
        </w:rPr>
        <w:t xml:space="preserve"> أن أمر الأسرى في الحرب إلى الحاكم الإسلامي، وأن أحكام وأوامر الحاكم الإسلامي إنما تكون نافذة</w:t>
      </w:r>
      <w:r w:rsidRPr="00282AC9">
        <w:rPr>
          <w:rFonts w:hint="cs"/>
          <w:sz w:val="27"/>
          <w:rtl/>
        </w:rPr>
        <w:t>ً</w:t>
      </w:r>
      <w:r w:rsidR="00BC5E40" w:rsidRPr="00282AC9">
        <w:rPr>
          <w:rFonts w:hint="cs"/>
          <w:sz w:val="27"/>
          <w:rtl/>
        </w:rPr>
        <w:t xml:space="preserve"> في هذا الشأن من جهة الحكم الولائي؛ لأنه يعمل في ذلك على أساس المصلحة التي يراها.</w:t>
      </w:r>
    </w:p>
    <w:p w:rsidR="00D90B89" w:rsidRPr="00282AC9" w:rsidRDefault="00D90B89" w:rsidP="00201813">
      <w:pPr>
        <w:spacing w:line="420" w:lineRule="exact"/>
        <w:rPr>
          <w:sz w:val="27"/>
          <w:rtl/>
        </w:rPr>
      </w:pPr>
    </w:p>
    <w:p w:rsidR="00D90B89" w:rsidRPr="00282AC9" w:rsidRDefault="00BC5E40" w:rsidP="00D90B89">
      <w:pPr>
        <w:pStyle w:val="31"/>
        <w:rPr>
          <w:color w:val="auto"/>
          <w:rtl/>
        </w:rPr>
      </w:pPr>
      <w:r w:rsidRPr="00282AC9">
        <w:rPr>
          <w:rFonts w:hint="cs"/>
          <w:color w:val="auto"/>
          <w:rtl/>
        </w:rPr>
        <w:t>2ـ إجراء الحدود</w:t>
      </w:r>
    </w:p>
    <w:p w:rsidR="00BC5E40" w:rsidRPr="00282AC9" w:rsidRDefault="00BC5E40" w:rsidP="00BC4D37">
      <w:pPr>
        <w:rPr>
          <w:sz w:val="27"/>
          <w:rtl/>
        </w:rPr>
      </w:pPr>
      <w:r w:rsidRPr="00282AC9">
        <w:rPr>
          <w:rFonts w:hint="cs"/>
          <w:sz w:val="27"/>
          <w:rtl/>
        </w:rPr>
        <w:t>هناك من الفقهاء م</w:t>
      </w:r>
      <w:r w:rsidR="00D90B89" w:rsidRPr="00282AC9">
        <w:rPr>
          <w:rFonts w:hint="cs"/>
          <w:sz w:val="27"/>
          <w:rtl/>
        </w:rPr>
        <w:t>َ</w:t>
      </w:r>
      <w:r w:rsidRPr="00282AC9">
        <w:rPr>
          <w:rFonts w:hint="cs"/>
          <w:sz w:val="27"/>
          <w:rtl/>
        </w:rPr>
        <w:t>ن</w:t>
      </w:r>
      <w:r w:rsidR="00D90B89" w:rsidRPr="00282AC9">
        <w:rPr>
          <w:rFonts w:hint="cs"/>
          <w:sz w:val="27"/>
          <w:rtl/>
        </w:rPr>
        <w:t>ْ</w:t>
      </w:r>
      <w:r w:rsidRPr="00282AC9">
        <w:rPr>
          <w:rFonts w:hint="cs"/>
          <w:sz w:val="27"/>
          <w:rtl/>
        </w:rPr>
        <w:t xml:space="preserve"> ذهب إلى القول بعدم مشروعي</w:t>
      </w:r>
      <w:r w:rsidR="00D90B89" w:rsidRPr="00282AC9">
        <w:rPr>
          <w:rFonts w:hint="cs"/>
          <w:sz w:val="27"/>
          <w:rtl/>
        </w:rPr>
        <w:t>ّ</w:t>
      </w:r>
      <w:r w:rsidRPr="00282AC9">
        <w:rPr>
          <w:rFonts w:hint="cs"/>
          <w:sz w:val="27"/>
          <w:rtl/>
        </w:rPr>
        <w:t>ة تطبيق الحدود في عصر الغ</w:t>
      </w:r>
      <w:r w:rsidR="00D90B89" w:rsidRPr="00282AC9">
        <w:rPr>
          <w:rFonts w:hint="cs"/>
          <w:sz w:val="27"/>
          <w:rtl/>
        </w:rPr>
        <w:t>َ</w:t>
      </w:r>
      <w:r w:rsidRPr="00282AC9">
        <w:rPr>
          <w:rFonts w:hint="cs"/>
          <w:sz w:val="27"/>
          <w:rtl/>
        </w:rPr>
        <w:t>ي</w:t>
      </w:r>
      <w:r w:rsidR="00D90B89" w:rsidRPr="00282AC9">
        <w:rPr>
          <w:rFonts w:hint="cs"/>
          <w:sz w:val="27"/>
          <w:rtl/>
        </w:rPr>
        <w:t>ْ</w:t>
      </w:r>
      <w:r w:rsidRPr="00282AC9">
        <w:rPr>
          <w:rFonts w:hint="cs"/>
          <w:sz w:val="27"/>
          <w:rtl/>
        </w:rPr>
        <w:t>بة</w:t>
      </w:r>
      <w:r w:rsidR="00D90B89" w:rsidRPr="00282AC9">
        <w:rPr>
          <w:rFonts w:hint="cs"/>
          <w:sz w:val="27"/>
          <w:rtl/>
        </w:rPr>
        <w:t>؛</w:t>
      </w:r>
      <w:r w:rsidRPr="00282AC9">
        <w:rPr>
          <w:rFonts w:hint="cs"/>
          <w:sz w:val="27"/>
          <w:rtl/>
        </w:rPr>
        <w:t xml:space="preserve"> وفي المقابل ذهب أغلب الفقهاء إلى القول بأن تطبيق الحدود في عصر الغ</w:t>
      </w:r>
      <w:r w:rsidR="00D90B89" w:rsidRPr="00282AC9">
        <w:rPr>
          <w:rFonts w:hint="cs"/>
          <w:sz w:val="27"/>
          <w:rtl/>
        </w:rPr>
        <w:t>َ</w:t>
      </w:r>
      <w:r w:rsidRPr="00282AC9">
        <w:rPr>
          <w:rFonts w:hint="cs"/>
          <w:sz w:val="27"/>
          <w:rtl/>
        </w:rPr>
        <w:t>ي</w:t>
      </w:r>
      <w:r w:rsidR="00D90B89" w:rsidRPr="00282AC9">
        <w:rPr>
          <w:rFonts w:hint="cs"/>
          <w:sz w:val="27"/>
          <w:rtl/>
        </w:rPr>
        <w:t>ْ</w:t>
      </w:r>
      <w:r w:rsidRPr="00282AC9">
        <w:rPr>
          <w:rFonts w:hint="cs"/>
          <w:sz w:val="27"/>
          <w:rtl/>
        </w:rPr>
        <w:t>بة ليس مشروعاً فح</w:t>
      </w:r>
      <w:r w:rsidR="00D90B89" w:rsidRPr="00282AC9">
        <w:rPr>
          <w:rFonts w:hint="cs"/>
          <w:sz w:val="27"/>
          <w:rtl/>
        </w:rPr>
        <w:t>َ</w:t>
      </w:r>
      <w:r w:rsidRPr="00282AC9">
        <w:rPr>
          <w:rFonts w:hint="cs"/>
          <w:sz w:val="27"/>
          <w:rtl/>
        </w:rPr>
        <w:t>س</w:t>
      </w:r>
      <w:r w:rsidR="00D90B89" w:rsidRPr="00282AC9">
        <w:rPr>
          <w:rFonts w:hint="cs"/>
          <w:sz w:val="27"/>
          <w:rtl/>
        </w:rPr>
        <w:t>ْ</w:t>
      </w:r>
      <w:r w:rsidRPr="00282AC9">
        <w:rPr>
          <w:rFonts w:hint="cs"/>
          <w:sz w:val="27"/>
          <w:rtl/>
        </w:rPr>
        <w:t>ب، بل هو واجب</w:t>
      </w:r>
      <w:r w:rsidR="00D90B89" w:rsidRPr="00282AC9">
        <w:rPr>
          <w:rFonts w:hint="cs"/>
          <w:sz w:val="27"/>
          <w:rtl/>
        </w:rPr>
        <w:t>ٌ</w:t>
      </w:r>
      <w:r w:rsidRPr="00282AC9">
        <w:rPr>
          <w:rFonts w:hint="cs"/>
          <w:sz w:val="27"/>
          <w:rtl/>
        </w:rPr>
        <w:t xml:space="preserve"> أيضاً، ومن بينهم:</w:t>
      </w:r>
      <w:r w:rsidR="00D90B89" w:rsidRPr="00282AC9">
        <w:rPr>
          <w:rFonts w:hint="cs"/>
          <w:sz w:val="27"/>
          <w:rtl/>
        </w:rPr>
        <w:t xml:space="preserve"> </w:t>
      </w:r>
      <w:r w:rsidRPr="00282AC9">
        <w:rPr>
          <w:rFonts w:hint="cs"/>
          <w:sz w:val="27"/>
          <w:rtl/>
        </w:rPr>
        <w:t>الشيخ المفيد</w:t>
      </w:r>
      <w:r w:rsidR="00D90B89" w:rsidRPr="00282AC9">
        <w:rPr>
          <w:rFonts w:hint="cs"/>
          <w:sz w:val="27"/>
          <w:rtl/>
        </w:rPr>
        <w:t>؛</w:t>
      </w:r>
      <w:r w:rsidRPr="00282AC9">
        <w:rPr>
          <w:rFonts w:hint="cs"/>
          <w:sz w:val="27"/>
          <w:rtl/>
        </w:rPr>
        <w:t xml:space="preserve"> إذ يقول: </w:t>
      </w:r>
      <w:r w:rsidRPr="00282AC9">
        <w:rPr>
          <w:rFonts w:hint="eastAsia"/>
          <w:sz w:val="24"/>
          <w:szCs w:val="24"/>
          <w:rtl/>
        </w:rPr>
        <w:t>«</w:t>
      </w:r>
      <w:r w:rsidRPr="00282AC9">
        <w:rPr>
          <w:sz w:val="27"/>
          <w:rtl/>
        </w:rPr>
        <w:t>فأما إقامة الحدود فهو إلى سلطان الإسلام المنصوب من ق</w:t>
      </w:r>
      <w:r w:rsidR="00D90B89" w:rsidRPr="00282AC9">
        <w:rPr>
          <w:rFonts w:hint="cs"/>
          <w:sz w:val="27"/>
          <w:rtl/>
        </w:rPr>
        <w:t>ِ</w:t>
      </w:r>
      <w:r w:rsidRPr="00282AC9">
        <w:rPr>
          <w:sz w:val="27"/>
          <w:rtl/>
        </w:rPr>
        <w:t>ب</w:t>
      </w:r>
      <w:r w:rsidR="00D90B89" w:rsidRPr="00282AC9">
        <w:rPr>
          <w:rFonts w:hint="cs"/>
          <w:sz w:val="27"/>
          <w:rtl/>
        </w:rPr>
        <w:t>َ</w:t>
      </w:r>
      <w:r w:rsidRPr="00282AC9">
        <w:rPr>
          <w:sz w:val="27"/>
          <w:rtl/>
        </w:rPr>
        <w:t>ل الله تعالى</w:t>
      </w:r>
      <w:r w:rsidR="00D90B89" w:rsidRPr="00282AC9">
        <w:rPr>
          <w:rFonts w:hint="cs"/>
          <w:sz w:val="27"/>
          <w:rtl/>
        </w:rPr>
        <w:t>،</w:t>
      </w:r>
      <w:r w:rsidRPr="00282AC9">
        <w:rPr>
          <w:sz w:val="27"/>
          <w:rtl/>
        </w:rPr>
        <w:t xml:space="preserve"> وهم أئم</w:t>
      </w:r>
      <w:r w:rsidR="00D90B89" w:rsidRPr="00282AC9">
        <w:rPr>
          <w:rFonts w:hint="cs"/>
          <w:sz w:val="27"/>
          <w:rtl/>
        </w:rPr>
        <w:t>ّ</w:t>
      </w:r>
      <w:r w:rsidRPr="00282AC9">
        <w:rPr>
          <w:sz w:val="27"/>
          <w:rtl/>
        </w:rPr>
        <w:t>ة الهدى من آل محمد</w:t>
      </w:r>
      <w:r w:rsidR="009A2A04" w:rsidRPr="00282AC9">
        <w:rPr>
          <w:rFonts w:cs="Mosawi"/>
          <w:sz w:val="22"/>
          <w:szCs w:val="22"/>
          <w:rtl/>
        </w:rPr>
        <w:t>|</w:t>
      </w:r>
      <w:r w:rsidRPr="00282AC9">
        <w:rPr>
          <w:rFonts w:hint="cs"/>
          <w:sz w:val="27"/>
          <w:rtl/>
        </w:rPr>
        <w:t>،</w:t>
      </w:r>
      <w:r w:rsidRPr="00282AC9">
        <w:rPr>
          <w:sz w:val="27"/>
          <w:rtl/>
        </w:rPr>
        <w:t xml:space="preserve"> وم</w:t>
      </w:r>
      <w:r w:rsidR="00D90B89" w:rsidRPr="00282AC9">
        <w:rPr>
          <w:rFonts w:hint="cs"/>
          <w:sz w:val="27"/>
          <w:rtl/>
        </w:rPr>
        <w:t>َ</w:t>
      </w:r>
      <w:r w:rsidRPr="00282AC9">
        <w:rPr>
          <w:sz w:val="27"/>
          <w:rtl/>
        </w:rPr>
        <w:t>ن</w:t>
      </w:r>
      <w:r w:rsidR="00D90B89" w:rsidRPr="00282AC9">
        <w:rPr>
          <w:rFonts w:hint="cs"/>
          <w:sz w:val="27"/>
          <w:rtl/>
        </w:rPr>
        <w:t>ْ</w:t>
      </w:r>
      <w:r w:rsidRPr="00282AC9">
        <w:rPr>
          <w:sz w:val="27"/>
          <w:rtl/>
        </w:rPr>
        <w:t xml:space="preserve"> نصبوه لذلك من الأمراء والحك</w:t>
      </w:r>
      <w:r w:rsidR="00D90B89" w:rsidRPr="00282AC9">
        <w:rPr>
          <w:rFonts w:hint="cs"/>
          <w:sz w:val="27"/>
          <w:rtl/>
        </w:rPr>
        <w:t>ّ</w:t>
      </w:r>
      <w:r w:rsidRPr="00282AC9">
        <w:rPr>
          <w:sz w:val="27"/>
          <w:rtl/>
        </w:rPr>
        <w:t>ام</w:t>
      </w:r>
      <w:r w:rsidR="00D90B89" w:rsidRPr="00282AC9">
        <w:rPr>
          <w:rFonts w:hint="cs"/>
          <w:sz w:val="27"/>
          <w:rtl/>
        </w:rPr>
        <w:t>،</w:t>
      </w:r>
      <w:r w:rsidRPr="00282AC9">
        <w:rPr>
          <w:sz w:val="27"/>
          <w:rtl/>
        </w:rPr>
        <w:t xml:space="preserve"> وقد فو</w:t>
      </w:r>
      <w:r w:rsidR="00D90B89" w:rsidRPr="00282AC9">
        <w:rPr>
          <w:rFonts w:hint="cs"/>
          <w:sz w:val="27"/>
          <w:rtl/>
        </w:rPr>
        <w:t>َّ</w:t>
      </w:r>
      <w:r w:rsidRPr="00282AC9">
        <w:rPr>
          <w:sz w:val="27"/>
          <w:rtl/>
        </w:rPr>
        <w:t>ضوا النظر فيه إلى فقهاء شيعتهم</w:t>
      </w:r>
      <w:r w:rsidR="00D90B89" w:rsidRPr="00282AC9">
        <w:rPr>
          <w:rFonts w:hint="cs"/>
          <w:sz w:val="27"/>
          <w:rtl/>
        </w:rPr>
        <w:t>،</w:t>
      </w:r>
      <w:r w:rsidRPr="00282AC9">
        <w:rPr>
          <w:sz w:val="27"/>
          <w:rtl/>
        </w:rPr>
        <w:t xml:space="preserve"> مع الإمكان</w:t>
      </w:r>
      <w:r w:rsidRPr="00282AC9">
        <w:rPr>
          <w:rFonts w:hint="eastAsia"/>
          <w:sz w:val="24"/>
          <w:szCs w:val="24"/>
          <w:rtl/>
        </w:rPr>
        <w:t>»</w:t>
      </w:r>
      <w:r w:rsidRPr="00282AC9">
        <w:rPr>
          <w:sz w:val="27"/>
          <w:vertAlign w:val="superscript"/>
          <w:rtl/>
        </w:rPr>
        <w:t>(</w:t>
      </w:r>
      <w:r w:rsidRPr="00282AC9">
        <w:rPr>
          <w:rStyle w:val="af9"/>
          <w:sz w:val="27"/>
          <w:rtl/>
        </w:rPr>
        <w:endnoteReference w:id="96"/>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وقال القاضي ابن البرّاج: </w:t>
      </w:r>
      <w:r w:rsidRPr="00282AC9">
        <w:rPr>
          <w:rFonts w:hint="eastAsia"/>
          <w:sz w:val="24"/>
          <w:szCs w:val="24"/>
          <w:rtl/>
        </w:rPr>
        <w:t>«</w:t>
      </w:r>
      <w:r w:rsidRPr="00282AC9">
        <w:rPr>
          <w:sz w:val="27"/>
          <w:rtl/>
        </w:rPr>
        <w:t>وليس يقيم الحدود إلا</w:t>
      </w:r>
      <w:r w:rsidR="00D90B89" w:rsidRPr="00282AC9">
        <w:rPr>
          <w:rFonts w:hint="cs"/>
          <w:sz w:val="27"/>
          <w:rtl/>
        </w:rPr>
        <w:t>ّ</w:t>
      </w:r>
      <w:r w:rsidRPr="00282AC9">
        <w:rPr>
          <w:sz w:val="27"/>
          <w:rtl/>
        </w:rPr>
        <w:t xml:space="preserve"> الأئم</w:t>
      </w:r>
      <w:r w:rsidR="00D90B89" w:rsidRPr="00282AC9">
        <w:rPr>
          <w:rFonts w:hint="cs"/>
          <w:sz w:val="27"/>
          <w:rtl/>
        </w:rPr>
        <w:t>ّ</w:t>
      </w:r>
      <w:r w:rsidRPr="00282AC9">
        <w:rPr>
          <w:sz w:val="27"/>
          <w:rtl/>
        </w:rPr>
        <w:t>ة</w:t>
      </w:r>
      <w:r w:rsidR="00876ECA" w:rsidRPr="00282AC9">
        <w:rPr>
          <w:rFonts w:cs="Mosawi" w:hint="cs"/>
          <w:sz w:val="22"/>
          <w:szCs w:val="22"/>
          <w:rtl/>
        </w:rPr>
        <w:t>^</w:t>
      </w:r>
      <w:r w:rsidR="00D90B89" w:rsidRPr="00282AC9">
        <w:rPr>
          <w:rFonts w:hint="cs"/>
          <w:sz w:val="27"/>
          <w:rtl/>
        </w:rPr>
        <w:t>،</w:t>
      </w:r>
      <w:r w:rsidRPr="00282AC9">
        <w:rPr>
          <w:sz w:val="27"/>
          <w:rtl/>
        </w:rPr>
        <w:t xml:space="preserve"> أو م</w:t>
      </w:r>
      <w:r w:rsidR="00D90B89" w:rsidRPr="00282AC9">
        <w:rPr>
          <w:rFonts w:hint="cs"/>
          <w:sz w:val="27"/>
          <w:rtl/>
        </w:rPr>
        <w:t>َ</w:t>
      </w:r>
      <w:r w:rsidRPr="00282AC9">
        <w:rPr>
          <w:sz w:val="27"/>
          <w:rtl/>
        </w:rPr>
        <w:t>ن</w:t>
      </w:r>
      <w:r w:rsidR="00D90B89" w:rsidRPr="00282AC9">
        <w:rPr>
          <w:rFonts w:hint="cs"/>
          <w:sz w:val="27"/>
          <w:rtl/>
        </w:rPr>
        <w:t>ْ</w:t>
      </w:r>
      <w:r w:rsidRPr="00282AC9">
        <w:rPr>
          <w:sz w:val="27"/>
          <w:rtl/>
        </w:rPr>
        <w:t xml:space="preserve"> ينصبونه لذلك، أو يأمرونه به</w:t>
      </w:r>
      <w:r w:rsidRPr="00282AC9">
        <w:rPr>
          <w:rFonts w:hint="eastAsia"/>
          <w:sz w:val="24"/>
          <w:szCs w:val="24"/>
          <w:rtl/>
        </w:rPr>
        <w:t>»</w:t>
      </w:r>
      <w:r w:rsidRPr="00282AC9">
        <w:rPr>
          <w:sz w:val="27"/>
          <w:vertAlign w:val="superscript"/>
          <w:rtl/>
        </w:rPr>
        <w:t>(</w:t>
      </w:r>
      <w:r w:rsidRPr="00282AC9">
        <w:rPr>
          <w:rStyle w:val="af9"/>
          <w:sz w:val="27"/>
          <w:rtl/>
        </w:rPr>
        <w:endnoteReference w:id="97"/>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وقال أبو الصلاح الحلبي: </w:t>
      </w:r>
      <w:r w:rsidRPr="00282AC9">
        <w:rPr>
          <w:rFonts w:hint="eastAsia"/>
          <w:sz w:val="24"/>
          <w:szCs w:val="24"/>
          <w:rtl/>
        </w:rPr>
        <w:t>«</w:t>
      </w:r>
      <w:r w:rsidRPr="00282AC9">
        <w:rPr>
          <w:sz w:val="27"/>
          <w:rtl/>
        </w:rPr>
        <w:t>إذا أراد ولي</w:t>
      </w:r>
      <w:r w:rsidRPr="00282AC9">
        <w:rPr>
          <w:rFonts w:hint="cs"/>
          <w:sz w:val="27"/>
          <w:rtl/>
        </w:rPr>
        <w:t>ّ</w:t>
      </w:r>
      <w:r w:rsidRPr="00282AC9">
        <w:rPr>
          <w:sz w:val="27"/>
          <w:rtl/>
        </w:rPr>
        <w:t xml:space="preserve"> الحد</w:t>
      </w:r>
      <w:r w:rsidRPr="00282AC9">
        <w:rPr>
          <w:rFonts w:hint="cs"/>
          <w:sz w:val="27"/>
          <w:rtl/>
        </w:rPr>
        <w:t>ّ</w:t>
      </w:r>
      <w:r w:rsidRPr="00282AC9">
        <w:rPr>
          <w:sz w:val="27"/>
          <w:rtl/>
        </w:rPr>
        <w:t xml:space="preserve"> </w:t>
      </w:r>
      <w:r w:rsidRPr="00282AC9">
        <w:rPr>
          <w:rFonts w:hint="cs"/>
          <w:sz w:val="27"/>
          <w:rtl/>
        </w:rPr>
        <w:t>إ</w:t>
      </w:r>
      <w:r w:rsidRPr="00282AC9">
        <w:rPr>
          <w:sz w:val="27"/>
          <w:rtl/>
        </w:rPr>
        <w:t>قامته فلي</w:t>
      </w:r>
      <w:r w:rsidRPr="00282AC9">
        <w:rPr>
          <w:rFonts w:hint="cs"/>
          <w:sz w:val="27"/>
          <w:rtl/>
        </w:rPr>
        <w:t>ُ</w:t>
      </w:r>
      <w:r w:rsidRPr="00282AC9">
        <w:rPr>
          <w:sz w:val="27"/>
          <w:rtl/>
        </w:rPr>
        <w:t>ق</w:t>
      </w:r>
      <w:r w:rsidR="003E3B7C" w:rsidRPr="00282AC9">
        <w:rPr>
          <w:rFonts w:hint="cs"/>
          <w:sz w:val="27"/>
          <w:rtl/>
        </w:rPr>
        <w:t>ِ</w:t>
      </w:r>
      <w:r w:rsidRPr="00282AC9">
        <w:rPr>
          <w:sz w:val="27"/>
          <w:rtl/>
        </w:rPr>
        <w:t>م</w:t>
      </w:r>
      <w:r w:rsidR="003E3B7C" w:rsidRPr="00282AC9">
        <w:rPr>
          <w:rFonts w:hint="cs"/>
          <w:sz w:val="27"/>
          <w:rtl/>
        </w:rPr>
        <w:t>ْ</w:t>
      </w:r>
      <w:r w:rsidRPr="00282AC9">
        <w:rPr>
          <w:sz w:val="27"/>
          <w:rtl/>
        </w:rPr>
        <w:t>ه بمحضر</w:t>
      </w:r>
      <w:r w:rsidR="003E3B7C" w:rsidRPr="00282AC9">
        <w:rPr>
          <w:rFonts w:hint="cs"/>
          <w:sz w:val="27"/>
          <w:rtl/>
        </w:rPr>
        <w:t>ٍ</w:t>
      </w:r>
      <w:r w:rsidRPr="00282AC9">
        <w:rPr>
          <w:sz w:val="27"/>
          <w:rtl/>
        </w:rPr>
        <w:t xml:space="preserve"> من جماعة أهل المصر من المسلمين</w:t>
      </w:r>
      <w:r w:rsidRPr="00282AC9">
        <w:rPr>
          <w:rFonts w:hint="eastAsia"/>
          <w:sz w:val="24"/>
          <w:szCs w:val="24"/>
          <w:rtl/>
        </w:rPr>
        <w:t>»</w:t>
      </w:r>
      <w:r w:rsidRPr="00282AC9">
        <w:rPr>
          <w:sz w:val="27"/>
          <w:vertAlign w:val="superscript"/>
          <w:rtl/>
        </w:rPr>
        <w:t>(</w:t>
      </w:r>
      <w:r w:rsidRPr="00282AC9">
        <w:rPr>
          <w:rStyle w:val="af9"/>
          <w:sz w:val="27"/>
          <w:rtl/>
        </w:rPr>
        <w:endnoteReference w:id="98"/>
      </w:r>
      <w:r w:rsidRPr="00282AC9">
        <w:rPr>
          <w:sz w:val="27"/>
          <w:vertAlign w:val="superscript"/>
          <w:rtl/>
        </w:rPr>
        <w:t>)</w:t>
      </w:r>
      <w:r w:rsidRPr="00282AC9">
        <w:rPr>
          <w:rFonts w:hint="cs"/>
          <w:sz w:val="27"/>
          <w:rtl/>
        </w:rPr>
        <w:t>.</w:t>
      </w:r>
    </w:p>
    <w:p w:rsidR="00BC5E40" w:rsidRPr="00282AC9" w:rsidRDefault="003E3B7C" w:rsidP="00BC4D37">
      <w:pPr>
        <w:rPr>
          <w:sz w:val="27"/>
          <w:rtl/>
        </w:rPr>
      </w:pPr>
      <w:r w:rsidRPr="00282AC9">
        <w:rPr>
          <w:rFonts w:hint="cs"/>
          <w:sz w:val="27"/>
          <w:rtl/>
        </w:rPr>
        <w:t>و</w:t>
      </w:r>
      <w:r w:rsidR="00BC5E40" w:rsidRPr="00282AC9">
        <w:rPr>
          <w:rFonts w:hint="cs"/>
          <w:sz w:val="27"/>
          <w:rtl/>
        </w:rPr>
        <w:t>يت</w:t>
      </w:r>
      <w:r w:rsidRPr="00282AC9">
        <w:rPr>
          <w:rFonts w:hint="cs"/>
          <w:sz w:val="27"/>
          <w:rtl/>
        </w:rPr>
        <w:t>ّ</w:t>
      </w:r>
      <w:r w:rsidR="00BC5E40" w:rsidRPr="00282AC9">
        <w:rPr>
          <w:rFonts w:hint="cs"/>
          <w:sz w:val="27"/>
          <w:rtl/>
        </w:rPr>
        <w:t>ضح من نقل هذه الأقوال وغيرها أن تطبيق الحدود في عصر الغ</w:t>
      </w:r>
      <w:r w:rsidRPr="00282AC9">
        <w:rPr>
          <w:rFonts w:hint="cs"/>
          <w:sz w:val="27"/>
          <w:rtl/>
        </w:rPr>
        <w:t>َ</w:t>
      </w:r>
      <w:r w:rsidR="00BC5E40" w:rsidRPr="00282AC9">
        <w:rPr>
          <w:rFonts w:hint="cs"/>
          <w:sz w:val="27"/>
          <w:rtl/>
        </w:rPr>
        <w:t>ي</w:t>
      </w:r>
      <w:r w:rsidRPr="00282AC9">
        <w:rPr>
          <w:rFonts w:hint="cs"/>
          <w:sz w:val="27"/>
          <w:rtl/>
        </w:rPr>
        <w:t>ْ</w:t>
      </w:r>
      <w:r w:rsidR="00BC5E40" w:rsidRPr="00282AC9">
        <w:rPr>
          <w:rFonts w:hint="cs"/>
          <w:sz w:val="27"/>
          <w:rtl/>
        </w:rPr>
        <w:t>بة أمر</w:t>
      </w:r>
      <w:r w:rsidRPr="00282AC9">
        <w:rPr>
          <w:rFonts w:hint="cs"/>
          <w:sz w:val="27"/>
          <w:rtl/>
        </w:rPr>
        <w:t>ٌ</w:t>
      </w:r>
      <w:r w:rsidR="00BC5E40" w:rsidRPr="00282AC9">
        <w:rPr>
          <w:rFonts w:hint="cs"/>
          <w:sz w:val="27"/>
          <w:rtl/>
        </w:rPr>
        <w:t xml:space="preserve"> مت</w:t>
      </w:r>
      <w:r w:rsidRPr="00282AC9">
        <w:rPr>
          <w:rFonts w:hint="cs"/>
          <w:sz w:val="27"/>
          <w:rtl/>
        </w:rPr>
        <w:t>َّ</w:t>
      </w:r>
      <w:r w:rsidR="00BC5E40" w:rsidRPr="00282AC9">
        <w:rPr>
          <w:rFonts w:hint="cs"/>
          <w:sz w:val="27"/>
          <w:rtl/>
        </w:rPr>
        <w:t xml:space="preserve">فق </w:t>
      </w:r>
      <w:r w:rsidR="00BC5E40" w:rsidRPr="00282AC9">
        <w:rPr>
          <w:rFonts w:hint="cs"/>
          <w:sz w:val="27"/>
          <w:rtl/>
        </w:rPr>
        <w:lastRenderedPageBreak/>
        <w:t>عليه من ق</w:t>
      </w:r>
      <w:r w:rsidRPr="00282AC9">
        <w:rPr>
          <w:rFonts w:hint="cs"/>
          <w:sz w:val="27"/>
          <w:rtl/>
        </w:rPr>
        <w:t>ِ</w:t>
      </w:r>
      <w:r w:rsidR="00BC5E40" w:rsidRPr="00282AC9">
        <w:rPr>
          <w:rFonts w:hint="cs"/>
          <w:sz w:val="27"/>
          <w:rtl/>
        </w:rPr>
        <w:t>ب</w:t>
      </w:r>
      <w:r w:rsidRPr="00282AC9">
        <w:rPr>
          <w:rFonts w:hint="cs"/>
          <w:sz w:val="27"/>
          <w:rtl/>
        </w:rPr>
        <w:t>َ</w:t>
      </w:r>
      <w:r w:rsidR="00BC5E40" w:rsidRPr="00282AC9">
        <w:rPr>
          <w:rFonts w:hint="cs"/>
          <w:sz w:val="27"/>
          <w:rtl/>
        </w:rPr>
        <w:t>ل الكثير من الفقهاء المتقد</w:t>
      </w:r>
      <w:r w:rsidRPr="00282AC9">
        <w:rPr>
          <w:rFonts w:hint="cs"/>
          <w:sz w:val="27"/>
          <w:rtl/>
        </w:rPr>
        <w:t>ِّ</w:t>
      </w:r>
      <w:r w:rsidR="00BC5E40" w:rsidRPr="00282AC9">
        <w:rPr>
          <w:rFonts w:hint="cs"/>
          <w:sz w:val="27"/>
          <w:rtl/>
        </w:rPr>
        <w:t>مين</w:t>
      </w:r>
      <w:r w:rsidRPr="00282AC9">
        <w:rPr>
          <w:rFonts w:hint="cs"/>
          <w:sz w:val="27"/>
          <w:rtl/>
        </w:rPr>
        <w:t>.</w:t>
      </w:r>
      <w:r w:rsidR="00BC5E40" w:rsidRPr="00282AC9">
        <w:rPr>
          <w:rFonts w:hint="cs"/>
          <w:sz w:val="27"/>
          <w:rtl/>
        </w:rPr>
        <w:t xml:space="preserve"> و</w:t>
      </w:r>
      <w:r w:rsidR="00674EF5" w:rsidRPr="00282AC9">
        <w:rPr>
          <w:rFonts w:hint="cs"/>
          <w:sz w:val="27"/>
          <w:rtl/>
        </w:rPr>
        <w:t>لا شَكَّ</w:t>
      </w:r>
      <w:r w:rsidR="00BC5E40" w:rsidRPr="00282AC9">
        <w:rPr>
          <w:rFonts w:hint="cs"/>
          <w:sz w:val="27"/>
          <w:rtl/>
        </w:rPr>
        <w:t xml:space="preserve"> في أن تطبيقها هو من الحكم الولائي؛ إذ ما لم تكن هناك حكومة</w:t>
      </w:r>
      <w:r w:rsidRPr="00282AC9">
        <w:rPr>
          <w:rFonts w:hint="cs"/>
          <w:sz w:val="27"/>
          <w:rtl/>
        </w:rPr>
        <w:t>ٌ،</w:t>
      </w:r>
      <w:r w:rsidR="00BC5E40" w:rsidRPr="00282AC9">
        <w:rPr>
          <w:rFonts w:hint="cs"/>
          <w:sz w:val="27"/>
          <w:rtl/>
        </w:rPr>
        <w:t xml:space="preserve"> ولم يكن الفقيه مبسوط اليد، لا يمكن تطبيق الحدود، وعند إقامة الحكومة يكون تشخيص وتطبيق وبيان كيفية الحدود على عاتق الحاكم الإسلامي</w:t>
      </w:r>
      <w:r w:rsidRPr="00282AC9">
        <w:rPr>
          <w:rFonts w:hint="cs"/>
          <w:sz w:val="27"/>
          <w:rtl/>
        </w:rPr>
        <w:t>ّ</w:t>
      </w:r>
      <w:r w:rsidR="00BC5E40" w:rsidRPr="00282AC9">
        <w:rPr>
          <w:rFonts w:hint="cs"/>
          <w:sz w:val="27"/>
          <w:rtl/>
        </w:rPr>
        <w:t>.</w:t>
      </w:r>
    </w:p>
    <w:p w:rsidR="00BC5E40" w:rsidRPr="00282AC9" w:rsidRDefault="00BC5E40" w:rsidP="008B4A08">
      <w:pPr>
        <w:spacing w:line="360" w:lineRule="exact"/>
        <w:rPr>
          <w:sz w:val="27"/>
          <w:rtl/>
        </w:rPr>
      </w:pPr>
    </w:p>
    <w:p w:rsidR="00BC5E40" w:rsidRPr="00282AC9" w:rsidRDefault="00D746C6" w:rsidP="00D746C6">
      <w:pPr>
        <w:pStyle w:val="31"/>
        <w:rPr>
          <w:color w:val="auto"/>
          <w:rtl/>
        </w:rPr>
      </w:pPr>
      <w:r w:rsidRPr="00282AC9">
        <w:rPr>
          <w:rFonts w:hint="cs"/>
          <w:color w:val="auto"/>
          <w:rtl/>
        </w:rPr>
        <w:t xml:space="preserve">د ـ </w:t>
      </w:r>
      <w:r w:rsidR="00BC5E40" w:rsidRPr="00282AC9">
        <w:rPr>
          <w:rFonts w:hint="cs"/>
          <w:color w:val="auto"/>
          <w:rtl/>
        </w:rPr>
        <w:t>نماذج من الأحكام الولائي</w:t>
      </w:r>
      <w:r w:rsidR="003E3B7C" w:rsidRPr="00282AC9">
        <w:rPr>
          <w:rFonts w:hint="cs"/>
          <w:color w:val="auto"/>
          <w:rtl/>
        </w:rPr>
        <w:t>ّ</w:t>
      </w:r>
      <w:r w:rsidR="00BC5E40" w:rsidRPr="00282AC9">
        <w:rPr>
          <w:rFonts w:hint="cs"/>
          <w:color w:val="auto"/>
          <w:rtl/>
        </w:rPr>
        <w:t>ة الأس</w:t>
      </w:r>
      <w:r w:rsidR="003E3B7C" w:rsidRPr="00282AC9">
        <w:rPr>
          <w:rFonts w:hint="cs"/>
          <w:color w:val="auto"/>
          <w:rtl/>
        </w:rPr>
        <w:t>َ</w:t>
      </w:r>
      <w:r w:rsidR="00BC5E40" w:rsidRPr="00282AC9">
        <w:rPr>
          <w:rFonts w:hint="cs"/>
          <w:color w:val="auto"/>
          <w:rtl/>
        </w:rPr>
        <w:t>ري</w:t>
      </w:r>
      <w:r w:rsidR="003E3B7C" w:rsidRPr="00282AC9">
        <w:rPr>
          <w:rFonts w:hint="cs"/>
          <w:color w:val="auto"/>
          <w:rtl/>
        </w:rPr>
        <w:t>ّ</w:t>
      </w:r>
      <w:r w:rsidR="00BC5E40" w:rsidRPr="00282AC9">
        <w:rPr>
          <w:rFonts w:hint="cs"/>
          <w:color w:val="auto"/>
          <w:rtl/>
        </w:rPr>
        <w:t>ة</w:t>
      </w:r>
    </w:p>
    <w:p w:rsidR="003E3B7C" w:rsidRPr="00282AC9" w:rsidRDefault="00BC5E40" w:rsidP="003E3B7C">
      <w:pPr>
        <w:pStyle w:val="31"/>
        <w:rPr>
          <w:color w:val="auto"/>
          <w:rtl/>
        </w:rPr>
      </w:pPr>
      <w:r w:rsidRPr="00282AC9">
        <w:rPr>
          <w:rFonts w:hint="cs"/>
          <w:color w:val="auto"/>
          <w:rtl/>
        </w:rPr>
        <w:t>1ـ الحكم بصح</w:t>
      </w:r>
      <w:r w:rsidR="003E3B7C" w:rsidRPr="00282AC9">
        <w:rPr>
          <w:rFonts w:hint="cs"/>
          <w:color w:val="auto"/>
          <w:rtl/>
        </w:rPr>
        <w:t>ّ</w:t>
      </w:r>
      <w:r w:rsidRPr="00282AC9">
        <w:rPr>
          <w:rFonts w:hint="cs"/>
          <w:color w:val="auto"/>
          <w:rtl/>
        </w:rPr>
        <w:t>ة نكاح غير الرشيد</w:t>
      </w:r>
    </w:p>
    <w:p w:rsidR="00BC5E40" w:rsidRPr="00282AC9" w:rsidRDefault="003E3B7C" w:rsidP="00201813">
      <w:pPr>
        <w:spacing w:line="390" w:lineRule="exact"/>
        <w:rPr>
          <w:sz w:val="27"/>
          <w:rtl/>
        </w:rPr>
      </w:pPr>
      <w:r w:rsidRPr="00282AC9">
        <w:rPr>
          <w:rFonts w:hint="cs"/>
          <w:sz w:val="27"/>
          <w:rtl/>
        </w:rPr>
        <w:t>الحاكم الإسلاميّ هو ممَّنْ</w:t>
      </w:r>
      <w:r w:rsidR="00BC5E40" w:rsidRPr="00282AC9">
        <w:rPr>
          <w:rFonts w:hint="cs"/>
          <w:sz w:val="27"/>
          <w:rtl/>
        </w:rPr>
        <w:t xml:space="preserve"> لهم الولاية على نكاح الأشخاص. و</w:t>
      </w:r>
      <w:r w:rsidR="00674EF5" w:rsidRPr="00282AC9">
        <w:rPr>
          <w:rFonts w:hint="cs"/>
          <w:sz w:val="27"/>
          <w:rtl/>
        </w:rPr>
        <w:t>لا شَكَّ</w:t>
      </w:r>
      <w:r w:rsidR="00BC5E40" w:rsidRPr="00282AC9">
        <w:rPr>
          <w:rFonts w:hint="cs"/>
          <w:sz w:val="27"/>
          <w:rtl/>
        </w:rPr>
        <w:t xml:space="preserve"> في هذه المسألة</w:t>
      </w:r>
      <w:r w:rsidRPr="00282AC9">
        <w:rPr>
          <w:rFonts w:hint="cs"/>
          <w:sz w:val="27"/>
          <w:rtl/>
        </w:rPr>
        <w:t>.</w:t>
      </w:r>
      <w:r w:rsidR="00BC5E40" w:rsidRPr="00282AC9">
        <w:rPr>
          <w:rFonts w:hint="cs"/>
          <w:sz w:val="27"/>
          <w:rtl/>
        </w:rPr>
        <w:t xml:space="preserve"> غاية ما هنالك أن الاختلاف يكمن في مساحة هذه الولاية</w:t>
      </w:r>
      <w:r w:rsidRPr="00282AC9">
        <w:rPr>
          <w:rFonts w:hint="cs"/>
          <w:sz w:val="27"/>
          <w:rtl/>
        </w:rPr>
        <w:t>؛</w:t>
      </w:r>
      <w:r w:rsidR="00BC5E40" w:rsidRPr="00282AC9">
        <w:rPr>
          <w:rFonts w:hint="cs"/>
          <w:sz w:val="27"/>
          <w:rtl/>
        </w:rPr>
        <w:t xml:space="preserve"> فهناك م</w:t>
      </w:r>
      <w:r w:rsidRPr="00282AC9">
        <w:rPr>
          <w:rFonts w:hint="cs"/>
          <w:sz w:val="27"/>
          <w:rtl/>
        </w:rPr>
        <w:t>َ</w:t>
      </w:r>
      <w:r w:rsidR="00BC5E40" w:rsidRPr="00282AC9">
        <w:rPr>
          <w:rFonts w:hint="cs"/>
          <w:sz w:val="27"/>
          <w:rtl/>
        </w:rPr>
        <w:t>ن</w:t>
      </w:r>
      <w:r w:rsidRPr="00282AC9">
        <w:rPr>
          <w:rFonts w:hint="cs"/>
          <w:sz w:val="27"/>
          <w:rtl/>
        </w:rPr>
        <w:t>ْ</w:t>
      </w:r>
      <w:r w:rsidR="00BC5E40" w:rsidRPr="00282AC9">
        <w:rPr>
          <w:rFonts w:hint="cs"/>
          <w:sz w:val="27"/>
          <w:rtl/>
        </w:rPr>
        <w:t xml:space="preserve"> وسّ</w:t>
      </w:r>
      <w:r w:rsidRPr="00282AC9">
        <w:rPr>
          <w:rFonts w:hint="cs"/>
          <w:sz w:val="27"/>
          <w:rtl/>
        </w:rPr>
        <w:t>َ</w:t>
      </w:r>
      <w:r w:rsidR="00BC5E40" w:rsidRPr="00282AC9">
        <w:rPr>
          <w:rFonts w:hint="cs"/>
          <w:sz w:val="27"/>
          <w:rtl/>
        </w:rPr>
        <w:t>ع</w:t>
      </w:r>
      <w:r w:rsidRPr="00282AC9">
        <w:rPr>
          <w:rFonts w:hint="cs"/>
          <w:sz w:val="27"/>
          <w:rtl/>
        </w:rPr>
        <w:t>َ</w:t>
      </w:r>
      <w:r w:rsidR="00BC5E40" w:rsidRPr="00282AC9">
        <w:rPr>
          <w:rFonts w:hint="cs"/>
          <w:sz w:val="27"/>
          <w:rtl/>
        </w:rPr>
        <w:t xml:space="preserve"> هذه المساحة</w:t>
      </w:r>
      <w:r w:rsidRPr="00282AC9">
        <w:rPr>
          <w:rFonts w:hint="cs"/>
          <w:sz w:val="27"/>
          <w:rtl/>
        </w:rPr>
        <w:t>؛</w:t>
      </w:r>
      <w:r w:rsidR="00BC5E40" w:rsidRPr="00282AC9">
        <w:rPr>
          <w:rFonts w:hint="cs"/>
          <w:sz w:val="27"/>
          <w:rtl/>
        </w:rPr>
        <w:t xml:space="preserve"> وهناك م</w:t>
      </w:r>
      <w:r w:rsidRPr="00282AC9">
        <w:rPr>
          <w:rFonts w:hint="cs"/>
          <w:sz w:val="27"/>
          <w:rtl/>
        </w:rPr>
        <w:t>َ</w:t>
      </w:r>
      <w:r w:rsidR="00BC5E40" w:rsidRPr="00282AC9">
        <w:rPr>
          <w:rFonts w:hint="cs"/>
          <w:sz w:val="27"/>
          <w:rtl/>
        </w:rPr>
        <w:t>ن</w:t>
      </w:r>
      <w:r w:rsidRPr="00282AC9">
        <w:rPr>
          <w:rFonts w:hint="cs"/>
          <w:sz w:val="27"/>
          <w:rtl/>
        </w:rPr>
        <w:t>ْ</w:t>
      </w:r>
      <w:r w:rsidR="00BC5E40" w:rsidRPr="00282AC9">
        <w:rPr>
          <w:rFonts w:hint="cs"/>
          <w:sz w:val="27"/>
          <w:rtl/>
        </w:rPr>
        <w:t xml:space="preserve"> ضيّ</w:t>
      </w:r>
      <w:r w:rsidRPr="00282AC9">
        <w:rPr>
          <w:rFonts w:hint="cs"/>
          <w:sz w:val="27"/>
          <w:rtl/>
        </w:rPr>
        <w:t>َ</w:t>
      </w:r>
      <w:r w:rsidR="00BC5E40" w:rsidRPr="00282AC9">
        <w:rPr>
          <w:rFonts w:hint="cs"/>
          <w:sz w:val="27"/>
          <w:rtl/>
        </w:rPr>
        <w:t>قها وحصرها في موارد خاص</w:t>
      </w:r>
      <w:r w:rsidRPr="00282AC9">
        <w:rPr>
          <w:rFonts w:hint="cs"/>
          <w:sz w:val="27"/>
          <w:rtl/>
        </w:rPr>
        <w:t>ّ</w:t>
      </w:r>
      <w:r w:rsidR="00BC5E40" w:rsidRPr="00282AC9">
        <w:rPr>
          <w:rFonts w:hint="cs"/>
          <w:sz w:val="27"/>
          <w:rtl/>
        </w:rPr>
        <w:t>ة. ومن هؤلاء:</w:t>
      </w:r>
      <w:r w:rsidRPr="00282AC9">
        <w:rPr>
          <w:rFonts w:hint="cs"/>
          <w:sz w:val="27"/>
          <w:rtl/>
        </w:rPr>
        <w:t xml:space="preserve"> </w:t>
      </w:r>
      <w:r w:rsidR="00BC5E40" w:rsidRPr="00282AC9">
        <w:rPr>
          <w:rFonts w:hint="cs"/>
          <w:sz w:val="27"/>
          <w:rtl/>
        </w:rPr>
        <w:t>المحق</w:t>
      </w:r>
      <w:r w:rsidRPr="00282AC9">
        <w:rPr>
          <w:rFonts w:hint="cs"/>
          <w:sz w:val="27"/>
          <w:rtl/>
        </w:rPr>
        <w:t>ِّ</w:t>
      </w:r>
      <w:r w:rsidR="00BC5E40" w:rsidRPr="00282AC9">
        <w:rPr>
          <w:rFonts w:hint="cs"/>
          <w:sz w:val="27"/>
          <w:rtl/>
        </w:rPr>
        <w:t>ق الحل</w:t>
      </w:r>
      <w:r w:rsidRPr="00282AC9">
        <w:rPr>
          <w:rFonts w:hint="cs"/>
          <w:sz w:val="27"/>
          <w:rtl/>
        </w:rPr>
        <w:t>ّ</w:t>
      </w:r>
      <w:r w:rsidR="00BC5E40" w:rsidRPr="00282AC9">
        <w:rPr>
          <w:rFonts w:hint="cs"/>
          <w:sz w:val="27"/>
          <w:rtl/>
        </w:rPr>
        <w:t>ي</w:t>
      </w:r>
      <w:r w:rsidRPr="00282AC9">
        <w:rPr>
          <w:rFonts w:hint="cs"/>
          <w:sz w:val="27"/>
          <w:rtl/>
        </w:rPr>
        <w:t>،</w:t>
      </w:r>
      <w:r w:rsidR="00BC5E40" w:rsidRPr="00282AC9">
        <w:rPr>
          <w:rFonts w:hint="cs"/>
          <w:sz w:val="27"/>
          <w:rtl/>
        </w:rPr>
        <w:t xml:space="preserve"> حيث قال: </w:t>
      </w:r>
      <w:r w:rsidR="00BC5E40" w:rsidRPr="00282AC9">
        <w:rPr>
          <w:rFonts w:hint="eastAsia"/>
          <w:sz w:val="24"/>
          <w:szCs w:val="24"/>
          <w:rtl/>
        </w:rPr>
        <w:t>«</w:t>
      </w:r>
      <w:r w:rsidR="00BC5E40" w:rsidRPr="00282AC9">
        <w:rPr>
          <w:sz w:val="27"/>
          <w:rtl/>
        </w:rPr>
        <w:t>ليس للحاكم ولاية في النكاح على م</w:t>
      </w:r>
      <w:r w:rsidRPr="00282AC9">
        <w:rPr>
          <w:rFonts w:hint="cs"/>
          <w:sz w:val="27"/>
          <w:rtl/>
        </w:rPr>
        <w:t>َ</w:t>
      </w:r>
      <w:r w:rsidR="00BC5E40" w:rsidRPr="00282AC9">
        <w:rPr>
          <w:sz w:val="27"/>
          <w:rtl/>
        </w:rPr>
        <w:t>ن</w:t>
      </w:r>
      <w:r w:rsidRPr="00282AC9">
        <w:rPr>
          <w:rFonts w:hint="cs"/>
          <w:sz w:val="27"/>
          <w:rtl/>
        </w:rPr>
        <w:t>ْ</w:t>
      </w:r>
      <w:r w:rsidR="00BC5E40" w:rsidRPr="00282AC9">
        <w:rPr>
          <w:sz w:val="27"/>
          <w:rtl/>
        </w:rPr>
        <w:t xml:space="preserve"> لم يبلغ، ولا على بالغ</w:t>
      </w:r>
      <w:r w:rsidRPr="00282AC9">
        <w:rPr>
          <w:rFonts w:hint="cs"/>
          <w:sz w:val="27"/>
          <w:rtl/>
        </w:rPr>
        <w:t>ٍ</w:t>
      </w:r>
      <w:r w:rsidR="00BC5E40" w:rsidRPr="00282AC9">
        <w:rPr>
          <w:sz w:val="27"/>
          <w:rtl/>
        </w:rPr>
        <w:t xml:space="preserve"> رشيد.</w:t>
      </w:r>
      <w:r w:rsidR="00BC5E40" w:rsidRPr="00282AC9">
        <w:rPr>
          <w:rFonts w:hint="cs"/>
          <w:sz w:val="27"/>
          <w:rtl/>
        </w:rPr>
        <w:t xml:space="preserve"> </w:t>
      </w:r>
      <w:r w:rsidR="00BC5E40" w:rsidRPr="00282AC9">
        <w:rPr>
          <w:sz w:val="27"/>
          <w:rtl/>
        </w:rPr>
        <w:t>و</w:t>
      </w:r>
      <w:r w:rsidR="00BC5E40" w:rsidRPr="00282AC9">
        <w:rPr>
          <w:rFonts w:hint="cs"/>
          <w:sz w:val="27"/>
          <w:rtl/>
        </w:rPr>
        <w:t>ت</w:t>
      </w:r>
      <w:r w:rsidR="00BC5E40" w:rsidRPr="00282AC9">
        <w:rPr>
          <w:sz w:val="27"/>
          <w:rtl/>
        </w:rPr>
        <w:t>ثبت ولايته</w:t>
      </w:r>
      <w:r w:rsidR="00BC5E40" w:rsidRPr="00282AC9">
        <w:rPr>
          <w:rFonts w:hint="cs"/>
          <w:sz w:val="27"/>
          <w:rtl/>
        </w:rPr>
        <w:t xml:space="preserve"> </w:t>
      </w:r>
      <w:r w:rsidR="00BC5E40" w:rsidRPr="00282AC9">
        <w:rPr>
          <w:sz w:val="27"/>
          <w:rtl/>
        </w:rPr>
        <w:t>على م</w:t>
      </w:r>
      <w:r w:rsidRPr="00282AC9">
        <w:rPr>
          <w:rFonts w:hint="cs"/>
          <w:sz w:val="27"/>
          <w:rtl/>
        </w:rPr>
        <w:t>َ</w:t>
      </w:r>
      <w:r w:rsidR="00BC5E40" w:rsidRPr="00282AC9">
        <w:rPr>
          <w:sz w:val="27"/>
          <w:rtl/>
        </w:rPr>
        <w:t>ن</w:t>
      </w:r>
      <w:r w:rsidRPr="00282AC9">
        <w:rPr>
          <w:rFonts w:hint="cs"/>
          <w:sz w:val="27"/>
          <w:rtl/>
        </w:rPr>
        <w:t>ْ</w:t>
      </w:r>
      <w:r w:rsidR="00BC5E40" w:rsidRPr="00282AC9">
        <w:rPr>
          <w:sz w:val="27"/>
          <w:rtl/>
        </w:rPr>
        <w:t xml:space="preserve"> بلغ غير رشيد</w:t>
      </w:r>
      <w:r w:rsidRPr="00282AC9">
        <w:rPr>
          <w:rFonts w:hint="cs"/>
          <w:sz w:val="27"/>
          <w:rtl/>
        </w:rPr>
        <w:t>ٍ</w:t>
      </w:r>
      <w:r w:rsidR="00BC5E40" w:rsidRPr="00282AC9">
        <w:rPr>
          <w:rFonts w:hint="eastAsia"/>
          <w:sz w:val="24"/>
          <w:szCs w:val="24"/>
          <w:rtl/>
        </w:rPr>
        <w:t>»</w:t>
      </w:r>
      <w:r w:rsidR="00BC5E40" w:rsidRPr="00282AC9">
        <w:rPr>
          <w:sz w:val="27"/>
          <w:vertAlign w:val="superscript"/>
          <w:rtl/>
        </w:rPr>
        <w:t>(</w:t>
      </w:r>
      <w:r w:rsidR="00BC5E40" w:rsidRPr="00282AC9">
        <w:rPr>
          <w:rStyle w:val="af9"/>
          <w:sz w:val="27"/>
          <w:rtl/>
        </w:rPr>
        <w:endnoteReference w:id="99"/>
      </w:r>
      <w:r w:rsidR="00BC5E40" w:rsidRPr="00282AC9">
        <w:rPr>
          <w:sz w:val="27"/>
          <w:vertAlign w:val="superscript"/>
          <w:rtl/>
        </w:rPr>
        <w:t>)</w:t>
      </w:r>
      <w:r w:rsidR="00BC5E40" w:rsidRPr="00282AC9">
        <w:rPr>
          <w:rFonts w:hint="cs"/>
          <w:sz w:val="27"/>
          <w:rtl/>
        </w:rPr>
        <w:t>.</w:t>
      </w:r>
    </w:p>
    <w:p w:rsidR="00BC5E40" w:rsidRPr="00282AC9" w:rsidRDefault="00BC5E40" w:rsidP="00201813">
      <w:pPr>
        <w:spacing w:line="390" w:lineRule="exact"/>
        <w:rPr>
          <w:sz w:val="27"/>
          <w:rtl/>
        </w:rPr>
      </w:pPr>
      <w:r w:rsidRPr="00282AC9">
        <w:rPr>
          <w:rFonts w:hint="cs"/>
          <w:sz w:val="27"/>
          <w:rtl/>
        </w:rPr>
        <w:t xml:space="preserve">وقال صاحب الجواهر في هذا الشأن: </w:t>
      </w:r>
      <w:r w:rsidRPr="00282AC9">
        <w:rPr>
          <w:rFonts w:hint="eastAsia"/>
          <w:sz w:val="24"/>
          <w:szCs w:val="24"/>
          <w:rtl/>
        </w:rPr>
        <w:t>«</w:t>
      </w:r>
      <w:r w:rsidRPr="00282AC9">
        <w:rPr>
          <w:sz w:val="27"/>
          <w:rtl/>
        </w:rPr>
        <w:t>تثبت ولايته</w:t>
      </w:r>
      <w:r w:rsidRPr="00282AC9">
        <w:rPr>
          <w:rFonts w:hint="cs"/>
          <w:sz w:val="27"/>
          <w:rtl/>
        </w:rPr>
        <w:t xml:space="preserve"> (الحاكم الإسلامي</w:t>
      </w:r>
      <w:r w:rsidR="003E3B7C" w:rsidRPr="00282AC9">
        <w:rPr>
          <w:rFonts w:hint="cs"/>
          <w:sz w:val="27"/>
          <w:rtl/>
        </w:rPr>
        <w:t>ّ</w:t>
      </w:r>
      <w:r w:rsidRPr="00282AC9">
        <w:rPr>
          <w:rFonts w:hint="cs"/>
          <w:sz w:val="27"/>
          <w:rtl/>
        </w:rPr>
        <w:t>)</w:t>
      </w:r>
      <w:r w:rsidRPr="00282AC9">
        <w:rPr>
          <w:sz w:val="27"/>
          <w:rtl/>
        </w:rPr>
        <w:t xml:space="preserve"> على م</w:t>
      </w:r>
      <w:r w:rsidR="003E3B7C" w:rsidRPr="00282AC9">
        <w:rPr>
          <w:rFonts w:hint="cs"/>
          <w:sz w:val="27"/>
          <w:rtl/>
        </w:rPr>
        <w:t>َ</w:t>
      </w:r>
      <w:r w:rsidRPr="00282AC9">
        <w:rPr>
          <w:sz w:val="27"/>
          <w:rtl/>
        </w:rPr>
        <w:t>ن</w:t>
      </w:r>
      <w:r w:rsidR="003E3B7C" w:rsidRPr="00282AC9">
        <w:rPr>
          <w:rFonts w:hint="cs"/>
          <w:sz w:val="27"/>
          <w:rtl/>
        </w:rPr>
        <w:t>ْ</w:t>
      </w:r>
      <w:r w:rsidRPr="00282AC9">
        <w:rPr>
          <w:sz w:val="27"/>
          <w:rtl/>
        </w:rPr>
        <w:t xml:space="preserve"> بلغ غير رشيد</w:t>
      </w:r>
      <w:r w:rsidR="003E3B7C" w:rsidRPr="00282AC9">
        <w:rPr>
          <w:rFonts w:hint="cs"/>
          <w:sz w:val="27"/>
          <w:rtl/>
        </w:rPr>
        <w:t>ٍ</w:t>
      </w:r>
      <w:r w:rsidRPr="00282AC9">
        <w:rPr>
          <w:rFonts w:hint="cs"/>
          <w:sz w:val="27"/>
          <w:rtl/>
        </w:rPr>
        <w:t>...</w:t>
      </w:r>
      <w:r w:rsidR="003E3B7C" w:rsidRPr="00282AC9">
        <w:rPr>
          <w:rFonts w:hint="cs"/>
          <w:sz w:val="27"/>
          <w:rtl/>
        </w:rPr>
        <w:t>؛</w:t>
      </w:r>
      <w:r w:rsidRPr="00282AC9">
        <w:rPr>
          <w:rFonts w:hint="cs"/>
          <w:sz w:val="27"/>
          <w:rtl/>
        </w:rPr>
        <w:t xml:space="preserve"> </w:t>
      </w:r>
      <w:r w:rsidRPr="00282AC9">
        <w:rPr>
          <w:sz w:val="27"/>
          <w:rtl/>
        </w:rPr>
        <w:t>بلا</w:t>
      </w:r>
      <w:r w:rsidRPr="00282AC9">
        <w:rPr>
          <w:rFonts w:hint="cs"/>
          <w:sz w:val="27"/>
          <w:rtl/>
        </w:rPr>
        <w:t xml:space="preserve"> </w:t>
      </w:r>
      <w:r w:rsidRPr="00282AC9">
        <w:rPr>
          <w:sz w:val="27"/>
          <w:rtl/>
        </w:rPr>
        <w:t>خلاف</w:t>
      </w:r>
      <w:r w:rsidR="003E3B7C" w:rsidRPr="00282AC9">
        <w:rPr>
          <w:rFonts w:hint="cs"/>
          <w:sz w:val="27"/>
          <w:rtl/>
        </w:rPr>
        <w:t>ٍ</w:t>
      </w:r>
      <w:r w:rsidRPr="00282AC9">
        <w:rPr>
          <w:sz w:val="27"/>
          <w:rtl/>
        </w:rPr>
        <w:t xml:space="preserve"> أجده فيه، بل الظاهر كونه مجمعا</w:t>
      </w:r>
      <w:r w:rsidRPr="00282AC9">
        <w:rPr>
          <w:rFonts w:hint="cs"/>
          <w:sz w:val="27"/>
          <w:rtl/>
        </w:rPr>
        <w:t>ً</w:t>
      </w:r>
      <w:r w:rsidRPr="00282AC9">
        <w:rPr>
          <w:sz w:val="27"/>
          <w:rtl/>
        </w:rPr>
        <w:t xml:space="preserve"> عليه</w:t>
      </w:r>
      <w:r w:rsidR="003E3B7C" w:rsidRPr="00282AC9">
        <w:rPr>
          <w:rFonts w:hint="cs"/>
          <w:sz w:val="27"/>
          <w:rtl/>
        </w:rPr>
        <w:t>؛</w:t>
      </w:r>
      <w:r w:rsidRPr="00282AC9">
        <w:rPr>
          <w:sz w:val="27"/>
          <w:rtl/>
        </w:rPr>
        <w:t xml:space="preserve"> ل</w:t>
      </w:r>
      <w:r w:rsidR="003E3B7C" w:rsidRPr="00282AC9">
        <w:rPr>
          <w:rFonts w:hint="cs"/>
          <w:sz w:val="27"/>
          <w:rtl/>
        </w:rPr>
        <w:t>أ</w:t>
      </w:r>
      <w:r w:rsidRPr="00282AC9">
        <w:rPr>
          <w:sz w:val="27"/>
          <w:rtl/>
        </w:rPr>
        <w:t xml:space="preserve">نه </w:t>
      </w:r>
      <w:r w:rsidRPr="00282AC9">
        <w:rPr>
          <w:rFonts w:hint="cs"/>
          <w:sz w:val="27"/>
          <w:rtl/>
        </w:rPr>
        <w:t>[أي الحاكم]</w:t>
      </w:r>
      <w:r w:rsidRPr="00282AC9">
        <w:rPr>
          <w:sz w:val="27"/>
          <w:rtl/>
        </w:rPr>
        <w:t xml:space="preserve"> ولي</w:t>
      </w:r>
      <w:r w:rsidR="003E3B7C" w:rsidRPr="00282AC9">
        <w:rPr>
          <w:rFonts w:hint="cs"/>
          <w:sz w:val="27"/>
          <w:rtl/>
        </w:rPr>
        <w:t>ُّ</w:t>
      </w:r>
      <w:r w:rsidRPr="00282AC9">
        <w:rPr>
          <w:sz w:val="27"/>
          <w:rtl/>
        </w:rPr>
        <w:t xml:space="preserve"> م</w:t>
      </w:r>
      <w:r w:rsidR="003E3B7C" w:rsidRPr="00282AC9">
        <w:rPr>
          <w:rFonts w:hint="cs"/>
          <w:sz w:val="27"/>
          <w:rtl/>
        </w:rPr>
        <w:t>َ</w:t>
      </w:r>
      <w:r w:rsidRPr="00282AC9">
        <w:rPr>
          <w:sz w:val="27"/>
          <w:rtl/>
        </w:rPr>
        <w:t>ن</w:t>
      </w:r>
      <w:r w:rsidR="003E3B7C" w:rsidRPr="00282AC9">
        <w:rPr>
          <w:rFonts w:hint="cs"/>
          <w:sz w:val="27"/>
          <w:rtl/>
        </w:rPr>
        <w:t>ْ</w:t>
      </w:r>
      <w:r w:rsidRPr="00282AC9">
        <w:rPr>
          <w:sz w:val="27"/>
          <w:rtl/>
        </w:rPr>
        <w:t xml:space="preserve"> لا</w:t>
      </w:r>
      <w:r w:rsidRPr="00282AC9">
        <w:rPr>
          <w:rFonts w:hint="cs"/>
          <w:sz w:val="27"/>
          <w:rtl/>
        </w:rPr>
        <w:t xml:space="preserve"> </w:t>
      </w:r>
      <w:r w:rsidRPr="00282AC9">
        <w:rPr>
          <w:sz w:val="27"/>
          <w:rtl/>
        </w:rPr>
        <w:t>ولي</w:t>
      </w:r>
      <w:r w:rsidR="003E3B7C" w:rsidRPr="00282AC9">
        <w:rPr>
          <w:rFonts w:hint="cs"/>
          <w:sz w:val="27"/>
          <w:rtl/>
        </w:rPr>
        <w:t>َّ</w:t>
      </w:r>
      <w:r w:rsidRPr="00282AC9">
        <w:rPr>
          <w:sz w:val="27"/>
          <w:rtl/>
        </w:rPr>
        <w:t xml:space="preserve"> له</w:t>
      </w:r>
      <w:r w:rsidRPr="00282AC9">
        <w:rPr>
          <w:rFonts w:hint="eastAsia"/>
          <w:sz w:val="24"/>
          <w:szCs w:val="24"/>
          <w:rtl/>
        </w:rPr>
        <w:t>»</w:t>
      </w:r>
      <w:r w:rsidRPr="00282AC9">
        <w:rPr>
          <w:sz w:val="27"/>
          <w:vertAlign w:val="superscript"/>
          <w:rtl/>
        </w:rPr>
        <w:t>(</w:t>
      </w:r>
      <w:r w:rsidRPr="00282AC9">
        <w:rPr>
          <w:rStyle w:val="af9"/>
          <w:sz w:val="27"/>
          <w:rtl/>
        </w:rPr>
        <w:endnoteReference w:id="100"/>
      </w:r>
      <w:r w:rsidRPr="00282AC9">
        <w:rPr>
          <w:sz w:val="27"/>
          <w:vertAlign w:val="superscript"/>
          <w:rtl/>
        </w:rPr>
        <w:t>)</w:t>
      </w:r>
      <w:r w:rsidRPr="00282AC9">
        <w:rPr>
          <w:rFonts w:hint="cs"/>
          <w:sz w:val="27"/>
          <w:rtl/>
        </w:rPr>
        <w:t>.</w:t>
      </w:r>
    </w:p>
    <w:p w:rsidR="00BC5E40" w:rsidRPr="00282AC9" w:rsidRDefault="00BC5E40" w:rsidP="00201813">
      <w:pPr>
        <w:spacing w:line="390" w:lineRule="exact"/>
        <w:rPr>
          <w:sz w:val="27"/>
          <w:rtl/>
        </w:rPr>
      </w:pPr>
      <w:r w:rsidRPr="00282AC9">
        <w:rPr>
          <w:rFonts w:hint="cs"/>
          <w:sz w:val="27"/>
          <w:rtl/>
        </w:rPr>
        <w:t>وقال المحق</w:t>
      </w:r>
      <w:r w:rsidR="003E3B7C" w:rsidRPr="00282AC9">
        <w:rPr>
          <w:rFonts w:hint="cs"/>
          <w:sz w:val="27"/>
          <w:rtl/>
        </w:rPr>
        <w:t>ِّ</w:t>
      </w:r>
      <w:r w:rsidRPr="00282AC9">
        <w:rPr>
          <w:rFonts w:hint="cs"/>
          <w:sz w:val="27"/>
          <w:rtl/>
        </w:rPr>
        <w:t xml:space="preserve">ق الكركي: </w:t>
      </w:r>
      <w:r w:rsidRPr="00282AC9">
        <w:rPr>
          <w:rFonts w:hint="eastAsia"/>
          <w:sz w:val="24"/>
          <w:szCs w:val="24"/>
          <w:rtl/>
        </w:rPr>
        <w:t>«</w:t>
      </w:r>
      <w:r w:rsidRPr="00282AC9">
        <w:rPr>
          <w:sz w:val="27"/>
          <w:rtl/>
        </w:rPr>
        <w:t>ولاية الحاكم تختص</w:t>
      </w:r>
      <w:r w:rsidR="003E3B7C" w:rsidRPr="00282AC9">
        <w:rPr>
          <w:rFonts w:hint="cs"/>
          <w:sz w:val="27"/>
          <w:rtl/>
        </w:rPr>
        <w:t>ّ</w:t>
      </w:r>
      <w:r w:rsidRPr="00282AC9">
        <w:rPr>
          <w:sz w:val="27"/>
          <w:rtl/>
        </w:rPr>
        <w:t xml:space="preserve"> في النكاح على البالغ فاسد العقل</w:t>
      </w:r>
      <w:r w:rsidRPr="00282AC9">
        <w:rPr>
          <w:rFonts w:hint="eastAsia"/>
          <w:sz w:val="24"/>
          <w:szCs w:val="24"/>
          <w:rtl/>
        </w:rPr>
        <w:t>»</w:t>
      </w:r>
      <w:r w:rsidRPr="00282AC9">
        <w:rPr>
          <w:sz w:val="27"/>
          <w:vertAlign w:val="superscript"/>
          <w:rtl/>
        </w:rPr>
        <w:t>(</w:t>
      </w:r>
      <w:r w:rsidRPr="00282AC9">
        <w:rPr>
          <w:rStyle w:val="af9"/>
          <w:sz w:val="27"/>
          <w:rtl/>
        </w:rPr>
        <w:endnoteReference w:id="101"/>
      </w:r>
      <w:r w:rsidRPr="00282AC9">
        <w:rPr>
          <w:sz w:val="27"/>
          <w:vertAlign w:val="superscript"/>
          <w:rtl/>
        </w:rPr>
        <w:t>)</w:t>
      </w:r>
      <w:r w:rsidRPr="00282AC9">
        <w:rPr>
          <w:rFonts w:hint="cs"/>
          <w:sz w:val="27"/>
          <w:rtl/>
        </w:rPr>
        <w:t>.</w:t>
      </w:r>
    </w:p>
    <w:p w:rsidR="006B7E56" w:rsidRPr="00282AC9" w:rsidRDefault="006B7E56" w:rsidP="00201813">
      <w:pPr>
        <w:spacing w:line="350" w:lineRule="exact"/>
        <w:rPr>
          <w:sz w:val="27"/>
          <w:rtl/>
        </w:rPr>
      </w:pPr>
    </w:p>
    <w:p w:rsidR="006B7E56" w:rsidRPr="00282AC9" w:rsidRDefault="00BC5E40" w:rsidP="006B7E56">
      <w:pPr>
        <w:pStyle w:val="31"/>
        <w:rPr>
          <w:color w:val="auto"/>
          <w:rtl/>
        </w:rPr>
      </w:pPr>
      <w:r w:rsidRPr="00282AC9">
        <w:rPr>
          <w:rFonts w:hint="cs"/>
          <w:color w:val="auto"/>
          <w:rtl/>
        </w:rPr>
        <w:t>2ـ حكم تحديد النسل</w:t>
      </w:r>
    </w:p>
    <w:p w:rsidR="00BC5E40" w:rsidRPr="00282AC9" w:rsidRDefault="00BC5E40" w:rsidP="00201813">
      <w:pPr>
        <w:spacing w:line="390" w:lineRule="exact"/>
        <w:rPr>
          <w:sz w:val="27"/>
          <w:rtl/>
        </w:rPr>
      </w:pPr>
      <w:r w:rsidRPr="00282AC9">
        <w:rPr>
          <w:rFonts w:hint="cs"/>
          <w:sz w:val="27"/>
          <w:rtl/>
        </w:rPr>
        <w:t>قال السي</w:t>
      </w:r>
      <w:r w:rsidR="006B7E56" w:rsidRPr="00282AC9">
        <w:rPr>
          <w:rFonts w:hint="cs"/>
          <w:sz w:val="27"/>
          <w:rtl/>
        </w:rPr>
        <w:t>ّ</w:t>
      </w:r>
      <w:r w:rsidRPr="00282AC9">
        <w:rPr>
          <w:rFonts w:hint="cs"/>
          <w:sz w:val="27"/>
          <w:rtl/>
        </w:rPr>
        <w:t xml:space="preserve">د </w:t>
      </w:r>
      <w:r w:rsidR="006B7E56" w:rsidRPr="00282AC9">
        <w:rPr>
          <w:rFonts w:hint="cs"/>
          <w:sz w:val="27"/>
          <w:rtl/>
        </w:rPr>
        <w:t>الخميني،</w:t>
      </w:r>
      <w:r w:rsidRPr="00282AC9">
        <w:rPr>
          <w:rFonts w:hint="cs"/>
          <w:sz w:val="27"/>
          <w:rtl/>
        </w:rPr>
        <w:t xml:space="preserve"> في الجواب عن حكم تحديد النسل: </w:t>
      </w:r>
      <w:r w:rsidRPr="00282AC9">
        <w:rPr>
          <w:rFonts w:hint="eastAsia"/>
          <w:sz w:val="24"/>
          <w:szCs w:val="24"/>
          <w:rtl/>
        </w:rPr>
        <w:t>«</w:t>
      </w:r>
      <w:r w:rsidRPr="00282AC9">
        <w:rPr>
          <w:rFonts w:hint="cs"/>
          <w:sz w:val="27"/>
          <w:rtl/>
        </w:rPr>
        <w:t>إن تحديد ذلك إلى الحكومة، وما تت</w:t>
      </w:r>
      <w:r w:rsidR="006B7E56" w:rsidRPr="00282AC9">
        <w:rPr>
          <w:rFonts w:hint="cs"/>
          <w:sz w:val="27"/>
          <w:rtl/>
        </w:rPr>
        <w:t>َّ</w:t>
      </w:r>
      <w:r w:rsidRPr="00282AC9">
        <w:rPr>
          <w:rFonts w:hint="cs"/>
          <w:sz w:val="27"/>
          <w:rtl/>
        </w:rPr>
        <w:t>خذه من القرارات في هذا الشأن</w:t>
      </w:r>
      <w:r w:rsidRPr="00282AC9">
        <w:rPr>
          <w:rFonts w:hint="eastAsia"/>
          <w:sz w:val="24"/>
          <w:szCs w:val="24"/>
          <w:rtl/>
        </w:rPr>
        <w:t>»</w:t>
      </w:r>
      <w:r w:rsidRPr="00282AC9">
        <w:rPr>
          <w:sz w:val="27"/>
          <w:vertAlign w:val="superscript"/>
          <w:rtl/>
        </w:rPr>
        <w:t>(</w:t>
      </w:r>
      <w:r w:rsidRPr="00282AC9">
        <w:rPr>
          <w:rStyle w:val="af9"/>
          <w:sz w:val="27"/>
          <w:rtl/>
        </w:rPr>
        <w:endnoteReference w:id="102"/>
      </w:r>
      <w:r w:rsidRPr="00282AC9">
        <w:rPr>
          <w:sz w:val="27"/>
          <w:vertAlign w:val="superscript"/>
          <w:rtl/>
        </w:rPr>
        <w:t>)</w:t>
      </w:r>
      <w:r w:rsidRPr="00282AC9">
        <w:rPr>
          <w:rFonts w:hint="cs"/>
          <w:sz w:val="27"/>
          <w:rtl/>
        </w:rPr>
        <w:t>.</w:t>
      </w:r>
    </w:p>
    <w:p w:rsidR="00BC5E40" w:rsidRPr="00282AC9" w:rsidRDefault="00BC5E40" w:rsidP="00201813">
      <w:pPr>
        <w:spacing w:line="390" w:lineRule="exact"/>
        <w:rPr>
          <w:sz w:val="27"/>
          <w:rtl/>
        </w:rPr>
      </w:pPr>
      <w:r w:rsidRPr="00282AC9">
        <w:rPr>
          <w:rFonts w:hint="cs"/>
          <w:sz w:val="27"/>
          <w:rtl/>
        </w:rPr>
        <w:t>وعليه لو أن الحاكم الإسلامي رأى أن تحديد النسل من مصلحة المجتمع الإسلامي</w:t>
      </w:r>
      <w:r w:rsidR="006B7E56" w:rsidRPr="00282AC9">
        <w:rPr>
          <w:rFonts w:hint="cs"/>
          <w:sz w:val="27"/>
          <w:rtl/>
        </w:rPr>
        <w:t>ّ</w:t>
      </w:r>
      <w:r w:rsidRPr="00282AC9">
        <w:rPr>
          <w:rFonts w:hint="cs"/>
          <w:sz w:val="27"/>
          <w:rtl/>
        </w:rPr>
        <w:t xml:space="preserve"> فإن</w:t>
      </w:r>
      <w:r w:rsidR="006B7E56" w:rsidRPr="00282AC9">
        <w:rPr>
          <w:rFonts w:hint="cs"/>
          <w:sz w:val="27"/>
          <w:rtl/>
        </w:rPr>
        <w:t>ه</w:t>
      </w:r>
      <w:r w:rsidRPr="00282AC9">
        <w:rPr>
          <w:rFonts w:hint="cs"/>
          <w:sz w:val="27"/>
          <w:rtl/>
        </w:rPr>
        <w:t xml:space="preserve"> يُصدر الحكم الولائي في هذا الشأن، ويجب على الجميع ات</w:t>
      </w:r>
      <w:r w:rsidR="006B7E56" w:rsidRPr="00282AC9">
        <w:rPr>
          <w:rFonts w:hint="cs"/>
          <w:sz w:val="27"/>
          <w:rtl/>
        </w:rPr>
        <w:t>ّ</w:t>
      </w:r>
      <w:r w:rsidRPr="00282AC9">
        <w:rPr>
          <w:rFonts w:hint="cs"/>
          <w:sz w:val="27"/>
          <w:rtl/>
        </w:rPr>
        <w:t>باعه في ذلك.</w:t>
      </w:r>
    </w:p>
    <w:p w:rsidR="006B7E56" w:rsidRPr="00282AC9" w:rsidRDefault="006B7E56" w:rsidP="00201813">
      <w:pPr>
        <w:spacing w:line="340" w:lineRule="exact"/>
        <w:rPr>
          <w:sz w:val="27"/>
          <w:rtl/>
        </w:rPr>
      </w:pPr>
    </w:p>
    <w:p w:rsidR="006B7E56" w:rsidRPr="00282AC9" w:rsidRDefault="00BC5E40" w:rsidP="006B7E56">
      <w:pPr>
        <w:pStyle w:val="31"/>
        <w:rPr>
          <w:color w:val="auto"/>
          <w:rtl/>
        </w:rPr>
      </w:pPr>
      <w:r w:rsidRPr="00282AC9">
        <w:rPr>
          <w:rFonts w:hint="cs"/>
          <w:color w:val="auto"/>
          <w:rtl/>
        </w:rPr>
        <w:t>3ـ الحكم بالطلاق</w:t>
      </w:r>
    </w:p>
    <w:p w:rsidR="00BC5E40" w:rsidRPr="00282AC9" w:rsidRDefault="00BC5E40" w:rsidP="00BC4D37">
      <w:pPr>
        <w:rPr>
          <w:sz w:val="27"/>
          <w:rtl/>
        </w:rPr>
      </w:pPr>
      <w:r w:rsidRPr="00282AC9">
        <w:rPr>
          <w:rFonts w:hint="cs"/>
          <w:sz w:val="27"/>
          <w:rtl/>
        </w:rPr>
        <w:t>إن من بين الأحكام الولائي</w:t>
      </w:r>
      <w:r w:rsidR="006B7E56" w:rsidRPr="00282AC9">
        <w:rPr>
          <w:rFonts w:hint="cs"/>
          <w:sz w:val="27"/>
          <w:rtl/>
        </w:rPr>
        <w:t>ّ</w:t>
      </w:r>
      <w:r w:rsidRPr="00282AC9">
        <w:rPr>
          <w:rFonts w:hint="cs"/>
          <w:sz w:val="27"/>
          <w:rtl/>
        </w:rPr>
        <w:t>ة التي تعود بجذورها إلى تشخيص المصلحة من ق</w:t>
      </w:r>
      <w:r w:rsidR="006B7E56" w:rsidRPr="00282AC9">
        <w:rPr>
          <w:rFonts w:hint="cs"/>
          <w:sz w:val="27"/>
          <w:rtl/>
        </w:rPr>
        <w:t>ِ</w:t>
      </w:r>
      <w:r w:rsidRPr="00282AC9">
        <w:rPr>
          <w:rFonts w:hint="cs"/>
          <w:sz w:val="27"/>
          <w:rtl/>
        </w:rPr>
        <w:t>ب</w:t>
      </w:r>
      <w:r w:rsidR="006B7E56" w:rsidRPr="00282AC9">
        <w:rPr>
          <w:rFonts w:hint="cs"/>
          <w:sz w:val="27"/>
          <w:rtl/>
        </w:rPr>
        <w:t>َ</w:t>
      </w:r>
      <w:r w:rsidRPr="00282AC9">
        <w:rPr>
          <w:rFonts w:hint="cs"/>
          <w:sz w:val="27"/>
          <w:rtl/>
        </w:rPr>
        <w:t xml:space="preserve">ل </w:t>
      </w:r>
      <w:r w:rsidRPr="00282AC9">
        <w:rPr>
          <w:rFonts w:hint="cs"/>
          <w:sz w:val="27"/>
          <w:rtl/>
        </w:rPr>
        <w:lastRenderedPageBreak/>
        <w:t>الحاكم الإسلامي</w:t>
      </w:r>
      <w:r w:rsidR="006B7E56" w:rsidRPr="00282AC9">
        <w:rPr>
          <w:rFonts w:hint="cs"/>
          <w:sz w:val="27"/>
          <w:rtl/>
        </w:rPr>
        <w:t>ّ</w:t>
      </w:r>
      <w:r w:rsidRPr="00282AC9">
        <w:rPr>
          <w:rFonts w:hint="cs"/>
          <w:sz w:val="27"/>
          <w:rtl/>
        </w:rPr>
        <w:t xml:space="preserve"> طلاق المرأة التي يمتنع زوجها من الإنفاق عليها</w:t>
      </w:r>
      <w:r w:rsidR="006B7E56" w:rsidRPr="00282AC9">
        <w:rPr>
          <w:rFonts w:hint="cs"/>
          <w:sz w:val="27"/>
          <w:rtl/>
        </w:rPr>
        <w:t>،</w:t>
      </w:r>
      <w:r w:rsidRPr="00282AC9">
        <w:rPr>
          <w:rFonts w:hint="cs"/>
          <w:sz w:val="27"/>
          <w:rtl/>
        </w:rPr>
        <w:t xml:space="preserve"> ولا يطل</w:t>
      </w:r>
      <w:r w:rsidR="006B7E56" w:rsidRPr="00282AC9">
        <w:rPr>
          <w:rFonts w:hint="cs"/>
          <w:sz w:val="27"/>
          <w:rtl/>
        </w:rPr>
        <w:t>ِّ</w:t>
      </w:r>
      <w:r w:rsidRPr="00282AC9">
        <w:rPr>
          <w:rFonts w:hint="cs"/>
          <w:sz w:val="27"/>
          <w:rtl/>
        </w:rPr>
        <w:t>قها.</w:t>
      </w:r>
    </w:p>
    <w:p w:rsidR="00BC5E40" w:rsidRPr="00282AC9" w:rsidRDefault="00BC5E40" w:rsidP="00BC4D37">
      <w:pPr>
        <w:rPr>
          <w:sz w:val="27"/>
          <w:rtl/>
        </w:rPr>
      </w:pPr>
      <w:r w:rsidRPr="00282AC9">
        <w:rPr>
          <w:rFonts w:hint="cs"/>
          <w:sz w:val="27"/>
          <w:rtl/>
        </w:rPr>
        <w:t xml:space="preserve">قال الشيخ الطوسي في هذا الشأن: </w:t>
      </w:r>
      <w:r w:rsidRPr="00282AC9">
        <w:rPr>
          <w:rFonts w:hint="eastAsia"/>
          <w:sz w:val="24"/>
          <w:szCs w:val="24"/>
          <w:rtl/>
        </w:rPr>
        <w:t>«</w:t>
      </w:r>
      <w:r w:rsidRPr="00282AC9">
        <w:rPr>
          <w:sz w:val="27"/>
          <w:rtl/>
        </w:rPr>
        <w:t>إن</w:t>
      </w:r>
      <w:r w:rsidR="006B7E56" w:rsidRPr="00282AC9">
        <w:rPr>
          <w:rFonts w:hint="cs"/>
          <w:sz w:val="27"/>
          <w:rtl/>
        </w:rPr>
        <w:t>ْ</w:t>
      </w:r>
      <w:r w:rsidRPr="00282AC9">
        <w:rPr>
          <w:sz w:val="27"/>
          <w:rtl/>
        </w:rPr>
        <w:t xml:space="preserve"> كان موسرا</w:t>
      </w:r>
      <w:r w:rsidRPr="00282AC9">
        <w:rPr>
          <w:rFonts w:hint="cs"/>
          <w:sz w:val="27"/>
          <w:rtl/>
        </w:rPr>
        <w:t>ً</w:t>
      </w:r>
      <w:r w:rsidRPr="00282AC9">
        <w:rPr>
          <w:sz w:val="27"/>
          <w:rtl/>
        </w:rPr>
        <w:t xml:space="preserve"> بالنفقة</w:t>
      </w:r>
      <w:r w:rsidR="006B7E56" w:rsidRPr="00282AC9">
        <w:rPr>
          <w:rFonts w:hint="cs"/>
          <w:sz w:val="27"/>
          <w:rtl/>
        </w:rPr>
        <w:t>،</w:t>
      </w:r>
      <w:r w:rsidRPr="00282AC9">
        <w:rPr>
          <w:sz w:val="27"/>
          <w:rtl/>
        </w:rPr>
        <w:t xml:space="preserve"> فمنعها مع القدرة، كل</w:t>
      </w:r>
      <w:r w:rsidR="006B7E56" w:rsidRPr="00282AC9">
        <w:rPr>
          <w:rFonts w:hint="cs"/>
          <w:sz w:val="27"/>
          <w:rtl/>
        </w:rPr>
        <w:t>َّ</w:t>
      </w:r>
      <w:r w:rsidRPr="00282AC9">
        <w:rPr>
          <w:sz w:val="27"/>
          <w:rtl/>
        </w:rPr>
        <w:t>فه الحاكم ال</w:t>
      </w:r>
      <w:r w:rsidRPr="00282AC9">
        <w:rPr>
          <w:rFonts w:hint="cs"/>
          <w:sz w:val="27"/>
          <w:rtl/>
        </w:rPr>
        <w:t>إ</w:t>
      </w:r>
      <w:r w:rsidRPr="00282AC9">
        <w:rPr>
          <w:sz w:val="27"/>
          <w:rtl/>
        </w:rPr>
        <w:t>نفاق عليها</w:t>
      </w:r>
      <w:r w:rsidR="006B7E56" w:rsidRPr="00282AC9">
        <w:rPr>
          <w:rFonts w:hint="cs"/>
          <w:sz w:val="27"/>
          <w:rtl/>
        </w:rPr>
        <w:t>،</w:t>
      </w:r>
      <w:r w:rsidRPr="00282AC9">
        <w:rPr>
          <w:sz w:val="27"/>
          <w:rtl/>
        </w:rPr>
        <w:t xml:space="preserve"> ف</w:t>
      </w:r>
      <w:r w:rsidRPr="00282AC9">
        <w:rPr>
          <w:rFonts w:hint="cs"/>
          <w:sz w:val="27"/>
          <w:rtl/>
        </w:rPr>
        <w:t>إ</w:t>
      </w:r>
      <w:r w:rsidRPr="00282AC9">
        <w:rPr>
          <w:sz w:val="27"/>
          <w:rtl/>
        </w:rPr>
        <w:t>ن</w:t>
      </w:r>
      <w:r w:rsidR="006B7E56" w:rsidRPr="00282AC9">
        <w:rPr>
          <w:rFonts w:hint="cs"/>
          <w:sz w:val="27"/>
          <w:rtl/>
        </w:rPr>
        <w:t>ْ</w:t>
      </w:r>
      <w:r w:rsidRPr="00282AC9">
        <w:rPr>
          <w:sz w:val="27"/>
          <w:rtl/>
        </w:rPr>
        <w:t xml:space="preserve"> لم يفعل أجبره على ذلك، ف</w:t>
      </w:r>
      <w:r w:rsidRPr="00282AC9">
        <w:rPr>
          <w:rFonts w:hint="cs"/>
          <w:sz w:val="27"/>
          <w:rtl/>
        </w:rPr>
        <w:t>إ</w:t>
      </w:r>
      <w:r w:rsidRPr="00282AC9">
        <w:rPr>
          <w:sz w:val="27"/>
          <w:rtl/>
        </w:rPr>
        <w:t>ن</w:t>
      </w:r>
      <w:r w:rsidR="006B7E56" w:rsidRPr="00282AC9">
        <w:rPr>
          <w:rFonts w:hint="cs"/>
          <w:sz w:val="27"/>
          <w:rtl/>
        </w:rPr>
        <w:t>ْ</w:t>
      </w:r>
      <w:r w:rsidRPr="00282AC9">
        <w:rPr>
          <w:sz w:val="27"/>
          <w:rtl/>
        </w:rPr>
        <w:t xml:space="preserve"> أبى حبسه أبد</w:t>
      </w:r>
      <w:r w:rsidR="006B7E56" w:rsidRPr="00282AC9">
        <w:rPr>
          <w:rFonts w:hint="cs"/>
          <w:sz w:val="27"/>
          <w:rtl/>
        </w:rPr>
        <w:t>اً</w:t>
      </w:r>
      <w:r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103"/>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وقال الشيخ حسين الحل</w:t>
      </w:r>
      <w:r w:rsidR="006B7E56" w:rsidRPr="00282AC9">
        <w:rPr>
          <w:rFonts w:hint="cs"/>
          <w:sz w:val="27"/>
          <w:rtl/>
        </w:rPr>
        <w:t>ّ</w:t>
      </w:r>
      <w:r w:rsidRPr="00282AC9">
        <w:rPr>
          <w:rFonts w:hint="cs"/>
          <w:sz w:val="27"/>
          <w:rtl/>
        </w:rPr>
        <w:t xml:space="preserve">ي: </w:t>
      </w:r>
      <w:r w:rsidRPr="00282AC9">
        <w:rPr>
          <w:rFonts w:hint="eastAsia"/>
          <w:sz w:val="24"/>
          <w:szCs w:val="24"/>
          <w:rtl/>
        </w:rPr>
        <w:t>«</w:t>
      </w:r>
      <w:r w:rsidRPr="00282AC9">
        <w:rPr>
          <w:rFonts w:hint="cs"/>
          <w:sz w:val="27"/>
          <w:rtl/>
        </w:rPr>
        <w:t>لو لم يق</w:t>
      </w:r>
      <w:r w:rsidR="006B7E56" w:rsidRPr="00282AC9">
        <w:rPr>
          <w:rFonts w:hint="cs"/>
          <w:sz w:val="27"/>
          <w:rtl/>
        </w:rPr>
        <w:t>ُ</w:t>
      </w:r>
      <w:r w:rsidRPr="00282AC9">
        <w:rPr>
          <w:rFonts w:hint="cs"/>
          <w:sz w:val="27"/>
          <w:rtl/>
        </w:rPr>
        <w:t>م</w:t>
      </w:r>
      <w:r w:rsidR="006B7E56" w:rsidRPr="00282AC9">
        <w:rPr>
          <w:rFonts w:hint="cs"/>
          <w:sz w:val="27"/>
          <w:rtl/>
        </w:rPr>
        <w:t>ْ</w:t>
      </w:r>
      <w:r w:rsidRPr="00282AC9">
        <w:rPr>
          <w:rFonts w:hint="cs"/>
          <w:sz w:val="27"/>
          <w:rtl/>
        </w:rPr>
        <w:t xml:space="preserve"> [الزوج] بحقوق زوجته</w:t>
      </w:r>
      <w:r w:rsidR="006B7E56" w:rsidRPr="00282AC9">
        <w:rPr>
          <w:rFonts w:hint="cs"/>
          <w:sz w:val="27"/>
          <w:rtl/>
        </w:rPr>
        <w:t>،</w:t>
      </w:r>
      <w:r w:rsidRPr="00282AC9">
        <w:rPr>
          <w:rFonts w:hint="cs"/>
          <w:sz w:val="27"/>
          <w:rtl/>
        </w:rPr>
        <w:t xml:space="preserve"> وأمره الحاكم الشرعي بالقيام بتلك الحقوق</w:t>
      </w:r>
      <w:r w:rsidR="006B7E56" w:rsidRPr="00282AC9">
        <w:rPr>
          <w:rFonts w:hint="cs"/>
          <w:sz w:val="27"/>
          <w:rtl/>
        </w:rPr>
        <w:t>،</w:t>
      </w:r>
      <w:r w:rsidRPr="00282AC9">
        <w:rPr>
          <w:rFonts w:hint="cs"/>
          <w:sz w:val="27"/>
          <w:rtl/>
        </w:rPr>
        <w:t xml:space="preserve"> فامتنع عن ذلك</w:t>
      </w:r>
      <w:r w:rsidR="006B7E56" w:rsidRPr="00282AC9">
        <w:rPr>
          <w:rFonts w:hint="cs"/>
          <w:sz w:val="27"/>
          <w:rtl/>
        </w:rPr>
        <w:t>،</w:t>
      </w:r>
      <w:r w:rsidRPr="00282AC9">
        <w:rPr>
          <w:rFonts w:hint="cs"/>
          <w:sz w:val="27"/>
          <w:rtl/>
        </w:rPr>
        <w:t xml:space="preserve"> ولم يتمك</w:t>
      </w:r>
      <w:r w:rsidR="006B7E56" w:rsidRPr="00282AC9">
        <w:rPr>
          <w:rFonts w:hint="cs"/>
          <w:sz w:val="27"/>
          <w:rtl/>
        </w:rPr>
        <w:t>َّن الحاكم الشرعي من إجباره</w:t>
      </w:r>
      <w:r w:rsidRPr="00282AC9">
        <w:rPr>
          <w:rFonts w:hint="cs"/>
          <w:sz w:val="27"/>
          <w:rtl/>
        </w:rPr>
        <w:t>...</w:t>
      </w:r>
      <w:r w:rsidR="006B7E56" w:rsidRPr="00282AC9">
        <w:rPr>
          <w:rFonts w:hint="cs"/>
          <w:sz w:val="27"/>
          <w:rtl/>
        </w:rPr>
        <w:t xml:space="preserve">، </w:t>
      </w:r>
      <w:r w:rsidRPr="00282AC9">
        <w:rPr>
          <w:rFonts w:hint="cs"/>
          <w:sz w:val="27"/>
          <w:rtl/>
        </w:rPr>
        <w:t>ينفتح بهذا باب الطلاق الإجباري</w:t>
      </w:r>
      <w:r w:rsidR="006B7E56" w:rsidRPr="00282AC9">
        <w:rPr>
          <w:rFonts w:hint="cs"/>
          <w:sz w:val="27"/>
          <w:rtl/>
        </w:rPr>
        <w:t>ّ</w:t>
      </w:r>
      <w:r w:rsidRPr="00282AC9">
        <w:rPr>
          <w:rFonts w:hint="cs"/>
          <w:sz w:val="27"/>
          <w:rtl/>
        </w:rPr>
        <w:t>، ويكون الأمر دائراً بين اثنين</w:t>
      </w:r>
      <w:r w:rsidR="006B7E56" w:rsidRPr="00282AC9">
        <w:rPr>
          <w:rFonts w:hint="cs"/>
          <w:sz w:val="27"/>
          <w:rtl/>
        </w:rPr>
        <w:t>:</w:t>
      </w:r>
      <w:r w:rsidRPr="00282AC9">
        <w:rPr>
          <w:rFonts w:hint="cs"/>
          <w:sz w:val="27"/>
          <w:rtl/>
        </w:rPr>
        <w:t xml:space="preserve"> إما أن يجبره الحاكم الشرعي على الطلاق</w:t>
      </w:r>
      <w:r w:rsidR="006B7E56" w:rsidRPr="00282AC9">
        <w:rPr>
          <w:rFonts w:hint="cs"/>
          <w:sz w:val="27"/>
          <w:rtl/>
        </w:rPr>
        <w:t xml:space="preserve">؛ </w:t>
      </w:r>
      <w:r w:rsidRPr="00282AC9">
        <w:rPr>
          <w:rFonts w:hint="cs"/>
          <w:sz w:val="27"/>
          <w:rtl/>
        </w:rPr>
        <w:t>ليُخلي سبيل الزوجة</w:t>
      </w:r>
      <w:r w:rsidR="006B7E56" w:rsidRPr="00282AC9">
        <w:rPr>
          <w:rFonts w:hint="cs"/>
          <w:sz w:val="27"/>
          <w:rtl/>
        </w:rPr>
        <w:t>؛</w:t>
      </w:r>
      <w:r w:rsidRPr="00282AC9">
        <w:rPr>
          <w:rFonts w:hint="cs"/>
          <w:sz w:val="27"/>
          <w:rtl/>
        </w:rPr>
        <w:t xml:space="preserve"> أو يتول</w:t>
      </w:r>
      <w:r w:rsidR="006B7E56" w:rsidRPr="00282AC9">
        <w:rPr>
          <w:rFonts w:hint="cs"/>
          <w:sz w:val="27"/>
          <w:rtl/>
        </w:rPr>
        <w:t>ّ</w:t>
      </w:r>
      <w:r w:rsidRPr="00282AC9">
        <w:rPr>
          <w:rFonts w:hint="cs"/>
          <w:sz w:val="27"/>
          <w:rtl/>
        </w:rPr>
        <w:t>ى الحاكم الشرعي بنفسه ذلك</w:t>
      </w:r>
      <w:r w:rsidR="006B7E56" w:rsidRPr="00282AC9">
        <w:rPr>
          <w:rFonts w:hint="cs"/>
          <w:sz w:val="27"/>
          <w:rtl/>
        </w:rPr>
        <w:t>،</w:t>
      </w:r>
      <w:r w:rsidRPr="00282AC9">
        <w:rPr>
          <w:rFonts w:hint="cs"/>
          <w:sz w:val="27"/>
          <w:rtl/>
        </w:rPr>
        <w:t xml:space="preserve"> ويجري الطلاق ج</w:t>
      </w:r>
      <w:r w:rsidR="006B7E56" w:rsidRPr="00282AC9">
        <w:rPr>
          <w:rFonts w:hint="cs"/>
          <w:sz w:val="27"/>
          <w:rtl/>
        </w:rPr>
        <w:t>َ</w:t>
      </w:r>
      <w:r w:rsidRPr="00282AC9">
        <w:rPr>
          <w:rFonts w:hint="cs"/>
          <w:sz w:val="27"/>
          <w:rtl/>
        </w:rPr>
        <w:t>ب</w:t>
      </w:r>
      <w:r w:rsidR="006B7E56" w:rsidRPr="00282AC9">
        <w:rPr>
          <w:rFonts w:hint="cs"/>
          <w:sz w:val="27"/>
          <w:rtl/>
        </w:rPr>
        <w:t>ْ</w:t>
      </w:r>
      <w:r w:rsidRPr="00282AC9">
        <w:rPr>
          <w:rFonts w:hint="cs"/>
          <w:sz w:val="27"/>
          <w:rtl/>
        </w:rPr>
        <w:t>راً عليه لو امتنع</w:t>
      </w:r>
      <w:r w:rsidRPr="00282AC9">
        <w:rPr>
          <w:rFonts w:hint="eastAsia"/>
          <w:sz w:val="24"/>
          <w:szCs w:val="24"/>
          <w:rtl/>
        </w:rPr>
        <w:t>»</w:t>
      </w:r>
      <w:r w:rsidRPr="00282AC9">
        <w:rPr>
          <w:sz w:val="27"/>
          <w:vertAlign w:val="superscript"/>
          <w:rtl/>
        </w:rPr>
        <w:t>(</w:t>
      </w:r>
      <w:r w:rsidRPr="00282AC9">
        <w:rPr>
          <w:rStyle w:val="af9"/>
          <w:sz w:val="27"/>
          <w:rtl/>
        </w:rPr>
        <w:endnoteReference w:id="104"/>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وقال الشهيد </w:t>
      </w:r>
      <w:r w:rsidR="00FC68FF" w:rsidRPr="00282AC9">
        <w:rPr>
          <w:rFonts w:hint="cs"/>
          <w:sz w:val="27"/>
          <w:rtl/>
        </w:rPr>
        <w:t>الشيخ</w:t>
      </w:r>
      <w:r w:rsidRPr="00282AC9">
        <w:rPr>
          <w:rFonts w:hint="cs"/>
          <w:sz w:val="27"/>
          <w:rtl/>
        </w:rPr>
        <w:t xml:space="preserve"> مرتضى </w:t>
      </w:r>
      <w:r w:rsidR="00FC68FF" w:rsidRPr="00282AC9">
        <w:rPr>
          <w:rFonts w:hint="cs"/>
          <w:sz w:val="27"/>
          <w:rtl/>
        </w:rPr>
        <w:t>م</w:t>
      </w:r>
      <w:r w:rsidRPr="00282AC9">
        <w:rPr>
          <w:rFonts w:hint="cs"/>
          <w:sz w:val="27"/>
          <w:rtl/>
        </w:rPr>
        <w:t>طه</w:t>
      </w:r>
      <w:r w:rsidR="00FC68FF" w:rsidRPr="00282AC9">
        <w:rPr>
          <w:rFonts w:hint="cs"/>
          <w:sz w:val="27"/>
          <w:rtl/>
        </w:rPr>
        <w:t>َّ</w:t>
      </w:r>
      <w:r w:rsidRPr="00282AC9">
        <w:rPr>
          <w:rFonts w:hint="cs"/>
          <w:sz w:val="27"/>
          <w:rtl/>
        </w:rPr>
        <w:t xml:space="preserve">ري في هذا الشأن: </w:t>
      </w:r>
      <w:r w:rsidRPr="00282AC9">
        <w:rPr>
          <w:rFonts w:hint="eastAsia"/>
          <w:sz w:val="24"/>
          <w:szCs w:val="24"/>
          <w:rtl/>
        </w:rPr>
        <w:t>«</w:t>
      </w:r>
      <w:r w:rsidRPr="00282AC9">
        <w:rPr>
          <w:rFonts w:hint="cs"/>
          <w:sz w:val="27"/>
          <w:rtl/>
        </w:rPr>
        <w:t>صحيح أن الإسلام لم يع</w:t>
      </w:r>
      <w:r w:rsidR="00FC68FF" w:rsidRPr="00282AC9">
        <w:rPr>
          <w:rFonts w:hint="cs"/>
          <w:sz w:val="27"/>
          <w:rtl/>
        </w:rPr>
        <w:t>ْ</w:t>
      </w:r>
      <w:r w:rsidRPr="00282AC9">
        <w:rPr>
          <w:rFonts w:hint="cs"/>
          <w:sz w:val="27"/>
          <w:rtl/>
        </w:rPr>
        <w:t>ط</w:t>
      </w:r>
      <w:r w:rsidR="00FC68FF" w:rsidRPr="00282AC9">
        <w:rPr>
          <w:rFonts w:hint="cs"/>
          <w:sz w:val="27"/>
          <w:rtl/>
        </w:rPr>
        <w:t>ِ</w:t>
      </w:r>
      <w:r w:rsidRPr="00282AC9">
        <w:rPr>
          <w:rFonts w:hint="cs"/>
          <w:sz w:val="27"/>
          <w:rtl/>
        </w:rPr>
        <w:t xml:space="preserve"> حق</w:t>
      </w:r>
      <w:r w:rsidR="00FC68FF" w:rsidRPr="00282AC9">
        <w:rPr>
          <w:rFonts w:hint="cs"/>
          <w:sz w:val="27"/>
          <w:rtl/>
        </w:rPr>
        <w:t>َّ</w:t>
      </w:r>
      <w:r w:rsidRPr="00282AC9">
        <w:rPr>
          <w:rFonts w:hint="cs"/>
          <w:sz w:val="27"/>
          <w:rtl/>
        </w:rPr>
        <w:t xml:space="preserve"> الطلاق للمرأة ـ وهذا قائم</w:t>
      </w:r>
      <w:r w:rsidR="00FC68FF" w:rsidRPr="00282AC9">
        <w:rPr>
          <w:rFonts w:hint="cs"/>
          <w:sz w:val="27"/>
          <w:rtl/>
        </w:rPr>
        <w:t>ٌ</w:t>
      </w:r>
      <w:r w:rsidRPr="00282AC9">
        <w:rPr>
          <w:rFonts w:hint="cs"/>
          <w:sz w:val="27"/>
          <w:rtl/>
        </w:rPr>
        <w:t xml:space="preserve"> على أساس</w:t>
      </w:r>
      <w:r w:rsidR="00FC68FF" w:rsidRPr="00282AC9">
        <w:rPr>
          <w:rFonts w:hint="cs"/>
          <w:sz w:val="27"/>
          <w:rtl/>
        </w:rPr>
        <w:t>ٍ</w:t>
      </w:r>
      <w:r w:rsidRPr="00282AC9">
        <w:rPr>
          <w:rFonts w:hint="cs"/>
          <w:sz w:val="27"/>
          <w:rtl/>
        </w:rPr>
        <w:t xml:space="preserve"> منطقي</w:t>
      </w:r>
      <w:r w:rsidR="00FC68FF" w:rsidRPr="00282AC9">
        <w:rPr>
          <w:rFonts w:hint="cs"/>
          <w:sz w:val="27"/>
          <w:rtl/>
        </w:rPr>
        <w:t>ّ</w:t>
      </w:r>
      <w:r w:rsidRPr="00282AC9">
        <w:rPr>
          <w:rFonts w:hint="cs"/>
          <w:sz w:val="27"/>
          <w:rtl/>
        </w:rPr>
        <w:t xml:space="preserve"> عجيب ـ</w:t>
      </w:r>
      <w:r w:rsidR="00FC68FF" w:rsidRPr="00282AC9">
        <w:rPr>
          <w:rFonts w:hint="cs"/>
          <w:sz w:val="27"/>
          <w:rtl/>
        </w:rPr>
        <w:t>،</w:t>
      </w:r>
      <w:r w:rsidRPr="00282AC9">
        <w:rPr>
          <w:rFonts w:hint="cs"/>
          <w:sz w:val="27"/>
          <w:rtl/>
        </w:rPr>
        <w:t xml:space="preserve"> ولكن</w:t>
      </w:r>
      <w:r w:rsidR="00FC68FF" w:rsidRPr="00282AC9">
        <w:rPr>
          <w:rFonts w:hint="cs"/>
          <w:sz w:val="27"/>
          <w:rtl/>
        </w:rPr>
        <w:t>ْ</w:t>
      </w:r>
      <w:r w:rsidRPr="00282AC9">
        <w:rPr>
          <w:rFonts w:hint="cs"/>
          <w:sz w:val="27"/>
          <w:rtl/>
        </w:rPr>
        <w:t xml:space="preserve"> هناك موارد يُط</w:t>
      </w:r>
      <w:r w:rsidR="00FC68FF" w:rsidRPr="00282AC9">
        <w:rPr>
          <w:rFonts w:hint="cs"/>
          <w:sz w:val="27"/>
          <w:rtl/>
        </w:rPr>
        <w:t>ْ</w:t>
      </w:r>
      <w:r w:rsidRPr="00282AC9">
        <w:rPr>
          <w:rFonts w:hint="cs"/>
          <w:sz w:val="27"/>
          <w:rtl/>
        </w:rPr>
        <w:t>ل</w:t>
      </w:r>
      <w:r w:rsidR="00FC68FF" w:rsidRPr="00282AC9">
        <w:rPr>
          <w:rFonts w:hint="cs"/>
          <w:sz w:val="27"/>
          <w:rtl/>
        </w:rPr>
        <w:t>َ</w:t>
      </w:r>
      <w:r w:rsidRPr="00282AC9">
        <w:rPr>
          <w:rFonts w:hint="cs"/>
          <w:sz w:val="27"/>
          <w:rtl/>
        </w:rPr>
        <w:t>ق عليها مصطلح الطلاق القضائي</w:t>
      </w:r>
      <w:r w:rsidR="00FC68FF" w:rsidRPr="00282AC9">
        <w:rPr>
          <w:rFonts w:hint="cs"/>
          <w:sz w:val="27"/>
          <w:rtl/>
        </w:rPr>
        <w:t>ّ</w:t>
      </w:r>
      <w:r w:rsidRPr="00282AC9">
        <w:rPr>
          <w:rFonts w:hint="cs"/>
          <w:sz w:val="27"/>
          <w:rtl/>
        </w:rPr>
        <w:t>، بمعنى أن الزواج لو أصبح بحيث يخلو من المصلحة الأ</w:t>
      </w:r>
      <w:r w:rsidR="00FC68FF" w:rsidRPr="00282AC9">
        <w:rPr>
          <w:rFonts w:hint="cs"/>
          <w:sz w:val="27"/>
          <w:rtl/>
        </w:rPr>
        <w:t>ُ</w:t>
      </w:r>
      <w:r w:rsidRPr="00282AC9">
        <w:rPr>
          <w:rFonts w:hint="cs"/>
          <w:sz w:val="27"/>
          <w:rtl/>
        </w:rPr>
        <w:t>س</w:t>
      </w:r>
      <w:r w:rsidR="00FC68FF" w:rsidRPr="00282AC9">
        <w:rPr>
          <w:rFonts w:hint="cs"/>
          <w:sz w:val="27"/>
          <w:rtl/>
        </w:rPr>
        <w:t>َ</w:t>
      </w:r>
      <w:r w:rsidRPr="00282AC9">
        <w:rPr>
          <w:rFonts w:hint="cs"/>
          <w:sz w:val="27"/>
          <w:rtl/>
        </w:rPr>
        <w:t>ري</w:t>
      </w:r>
      <w:r w:rsidR="00FC68FF" w:rsidRPr="00282AC9">
        <w:rPr>
          <w:rFonts w:hint="cs"/>
          <w:sz w:val="27"/>
          <w:rtl/>
        </w:rPr>
        <w:t>ّ</w:t>
      </w:r>
      <w:r w:rsidRPr="00282AC9">
        <w:rPr>
          <w:rFonts w:hint="cs"/>
          <w:sz w:val="27"/>
          <w:rtl/>
        </w:rPr>
        <w:t>ة، وأصرّ الزوج على عدم الطلاق، يمكن للحاكم الشرعي</w:t>
      </w:r>
      <w:r w:rsidR="00FC68FF" w:rsidRPr="00282AC9">
        <w:rPr>
          <w:rFonts w:hint="cs"/>
          <w:sz w:val="27"/>
          <w:rtl/>
        </w:rPr>
        <w:t>ّ</w:t>
      </w:r>
      <w:r w:rsidRPr="00282AC9">
        <w:rPr>
          <w:rFonts w:hint="cs"/>
          <w:sz w:val="27"/>
          <w:rtl/>
        </w:rPr>
        <w:t xml:space="preserve"> أن يطل</w:t>
      </w:r>
      <w:r w:rsidR="00FC68FF" w:rsidRPr="00282AC9">
        <w:rPr>
          <w:rFonts w:hint="cs"/>
          <w:sz w:val="27"/>
          <w:rtl/>
        </w:rPr>
        <w:t>ِّ</w:t>
      </w:r>
      <w:r w:rsidRPr="00282AC9">
        <w:rPr>
          <w:rFonts w:hint="cs"/>
          <w:sz w:val="27"/>
          <w:rtl/>
        </w:rPr>
        <w:t>ق الزوجة</w:t>
      </w:r>
      <w:r w:rsidRPr="00282AC9">
        <w:rPr>
          <w:rFonts w:hint="eastAsia"/>
          <w:sz w:val="24"/>
          <w:szCs w:val="24"/>
          <w:rtl/>
        </w:rPr>
        <w:t>»</w:t>
      </w:r>
      <w:r w:rsidRPr="00282AC9">
        <w:rPr>
          <w:sz w:val="27"/>
          <w:vertAlign w:val="superscript"/>
          <w:rtl/>
        </w:rPr>
        <w:t>(</w:t>
      </w:r>
      <w:r w:rsidRPr="00282AC9">
        <w:rPr>
          <w:rStyle w:val="af9"/>
          <w:sz w:val="27"/>
          <w:rtl/>
        </w:rPr>
        <w:endnoteReference w:id="105"/>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وقال السيد اليزدي في هذا الشأن: </w:t>
      </w:r>
      <w:r w:rsidRPr="00282AC9">
        <w:rPr>
          <w:rFonts w:hint="eastAsia"/>
          <w:sz w:val="24"/>
          <w:szCs w:val="24"/>
          <w:rtl/>
        </w:rPr>
        <w:t>«</w:t>
      </w:r>
      <w:r w:rsidRPr="00282AC9">
        <w:rPr>
          <w:sz w:val="27"/>
          <w:rtl/>
        </w:rPr>
        <w:t>في المفقود الذي لم يعلم خبره</w:t>
      </w:r>
      <w:r w:rsidR="00FC68FF" w:rsidRPr="00282AC9">
        <w:rPr>
          <w:rFonts w:hint="cs"/>
          <w:sz w:val="27"/>
          <w:rtl/>
        </w:rPr>
        <w:t>،</w:t>
      </w:r>
      <w:r w:rsidRPr="00282AC9">
        <w:rPr>
          <w:sz w:val="27"/>
          <w:rtl/>
        </w:rPr>
        <w:t xml:space="preserve"> و</w:t>
      </w:r>
      <w:r w:rsidRPr="00282AC9">
        <w:rPr>
          <w:rFonts w:hint="cs"/>
          <w:sz w:val="27"/>
          <w:rtl/>
        </w:rPr>
        <w:t>أ</w:t>
      </w:r>
      <w:r w:rsidRPr="00282AC9">
        <w:rPr>
          <w:sz w:val="27"/>
          <w:rtl/>
        </w:rPr>
        <w:t>نه حي</w:t>
      </w:r>
      <w:r w:rsidR="00FC68FF" w:rsidRPr="00282AC9">
        <w:rPr>
          <w:rFonts w:hint="cs"/>
          <w:sz w:val="27"/>
          <w:rtl/>
        </w:rPr>
        <w:t>ٌّ</w:t>
      </w:r>
      <w:r w:rsidRPr="00282AC9">
        <w:rPr>
          <w:sz w:val="27"/>
          <w:rtl/>
        </w:rPr>
        <w:t xml:space="preserve"> أو ميت</w:t>
      </w:r>
      <w:r w:rsidR="00FC68FF" w:rsidRPr="00282AC9">
        <w:rPr>
          <w:rFonts w:hint="cs"/>
          <w:sz w:val="27"/>
          <w:rtl/>
        </w:rPr>
        <w:t>ٌ</w:t>
      </w:r>
      <w:r w:rsidRPr="00282AC9">
        <w:rPr>
          <w:rFonts w:hint="cs"/>
          <w:sz w:val="27"/>
          <w:rtl/>
        </w:rPr>
        <w:t>...</w:t>
      </w:r>
      <w:r w:rsidR="00FC68FF" w:rsidRPr="00282AC9">
        <w:rPr>
          <w:rFonts w:hint="cs"/>
          <w:sz w:val="27"/>
          <w:rtl/>
        </w:rPr>
        <w:t>؛</w:t>
      </w:r>
      <w:r w:rsidRPr="00282AC9">
        <w:rPr>
          <w:sz w:val="27"/>
          <w:rtl/>
        </w:rPr>
        <w:t xml:space="preserve"> وكذا المفقود المعلوم حياته</w:t>
      </w:r>
      <w:r w:rsidR="00FC68FF" w:rsidRPr="00282AC9">
        <w:rPr>
          <w:rFonts w:hint="cs"/>
          <w:sz w:val="27"/>
          <w:rtl/>
        </w:rPr>
        <w:t>،</w:t>
      </w:r>
      <w:r w:rsidRPr="00282AC9">
        <w:rPr>
          <w:sz w:val="27"/>
          <w:rtl/>
        </w:rPr>
        <w:t xml:space="preserve"> مع</w:t>
      </w:r>
      <w:r w:rsidRPr="00282AC9">
        <w:rPr>
          <w:rFonts w:hint="cs"/>
          <w:sz w:val="27"/>
          <w:rtl/>
        </w:rPr>
        <w:t xml:space="preserve"> </w:t>
      </w:r>
      <w:r w:rsidRPr="00282AC9">
        <w:rPr>
          <w:sz w:val="27"/>
          <w:rtl/>
        </w:rPr>
        <w:t>عدم تمك</w:t>
      </w:r>
      <w:r w:rsidR="00FC68FF" w:rsidRPr="00282AC9">
        <w:rPr>
          <w:rFonts w:hint="cs"/>
          <w:sz w:val="27"/>
          <w:rtl/>
        </w:rPr>
        <w:t>ُّ</w:t>
      </w:r>
      <w:r w:rsidRPr="00282AC9">
        <w:rPr>
          <w:sz w:val="27"/>
          <w:rtl/>
        </w:rPr>
        <w:t>ن زوجته من الصبر</w:t>
      </w:r>
      <w:r w:rsidR="00FC68FF" w:rsidRPr="00282AC9">
        <w:rPr>
          <w:rFonts w:hint="cs"/>
          <w:sz w:val="27"/>
          <w:rtl/>
        </w:rPr>
        <w:t>؛</w:t>
      </w:r>
      <w:r w:rsidRPr="00282AC9">
        <w:rPr>
          <w:sz w:val="27"/>
          <w:rtl/>
        </w:rPr>
        <w:t xml:space="preserve"> بل وفي غير المفقود</w:t>
      </w:r>
      <w:r w:rsidR="00FC68FF" w:rsidRPr="00282AC9">
        <w:rPr>
          <w:rFonts w:hint="cs"/>
          <w:sz w:val="27"/>
          <w:rtl/>
        </w:rPr>
        <w:t>،</w:t>
      </w:r>
      <w:r w:rsidRPr="00282AC9">
        <w:rPr>
          <w:sz w:val="27"/>
          <w:rtl/>
        </w:rPr>
        <w:t xml:space="preserve"> مم</w:t>
      </w:r>
      <w:r w:rsidR="00FC68FF" w:rsidRPr="00282AC9">
        <w:rPr>
          <w:rFonts w:hint="cs"/>
          <w:sz w:val="27"/>
          <w:rtl/>
        </w:rPr>
        <w:t>َّ</w:t>
      </w:r>
      <w:r w:rsidRPr="00282AC9">
        <w:rPr>
          <w:sz w:val="27"/>
          <w:rtl/>
        </w:rPr>
        <w:t xml:space="preserve">ن علم </w:t>
      </w:r>
      <w:r w:rsidRPr="00282AC9">
        <w:rPr>
          <w:rFonts w:hint="cs"/>
          <w:sz w:val="27"/>
          <w:rtl/>
        </w:rPr>
        <w:t>أ</w:t>
      </w:r>
      <w:r w:rsidRPr="00282AC9">
        <w:rPr>
          <w:sz w:val="27"/>
          <w:rtl/>
        </w:rPr>
        <w:t>نه محبوس في مكان</w:t>
      </w:r>
      <w:r w:rsidR="00FC68FF" w:rsidRPr="00282AC9">
        <w:rPr>
          <w:rFonts w:hint="cs"/>
          <w:sz w:val="27"/>
          <w:rtl/>
        </w:rPr>
        <w:t>ٍ</w:t>
      </w:r>
      <w:r w:rsidRPr="00282AC9">
        <w:rPr>
          <w:sz w:val="27"/>
          <w:rtl/>
        </w:rPr>
        <w:t xml:space="preserve"> لا</w:t>
      </w:r>
      <w:r w:rsidRPr="00282AC9">
        <w:rPr>
          <w:rFonts w:hint="cs"/>
          <w:sz w:val="27"/>
          <w:rtl/>
        </w:rPr>
        <w:t xml:space="preserve"> </w:t>
      </w:r>
      <w:r w:rsidRPr="00282AC9">
        <w:rPr>
          <w:sz w:val="27"/>
          <w:rtl/>
        </w:rPr>
        <w:t>يمكن</w:t>
      </w:r>
      <w:r w:rsidRPr="00282AC9">
        <w:rPr>
          <w:rFonts w:hint="cs"/>
          <w:sz w:val="27"/>
          <w:rtl/>
        </w:rPr>
        <w:t xml:space="preserve"> </w:t>
      </w:r>
      <w:r w:rsidRPr="00282AC9">
        <w:rPr>
          <w:sz w:val="27"/>
          <w:rtl/>
        </w:rPr>
        <w:t>مجي</w:t>
      </w:r>
      <w:r w:rsidR="00FC68FF" w:rsidRPr="00282AC9">
        <w:rPr>
          <w:rFonts w:hint="cs"/>
          <w:sz w:val="27"/>
          <w:rtl/>
        </w:rPr>
        <w:t>ئ</w:t>
      </w:r>
      <w:r w:rsidRPr="00282AC9">
        <w:rPr>
          <w:sz w:val="27"/>
          <w:rtl/>
        </w:rPr>
        <w:t>ه أبدا</w:t>
      </w:r>
      <w:r w:rsidRPr="00282AC9">
        <w:rPr>
          <w:rFonts w:hint="cs"/>
          <w:sz w:val="27"/>
          <w:rtl/>
        </w:rPr>
        <w:t>ً</w:t>
      </w:r>
      <w:r w:rsidR="00FC68FF" w:rsidRPr="00282AC9">
        <w:rPr>
          <w:rFonts w:hint="cs"/>
          <w:sz w:val="27"/>
          <w:rtl/>
        </w:rPr>
        <w:t>؛</w:t>
      </w:r>
      <w:r w:rsidRPr="00282AC9">
        <w:rPr>
          <w:sz w:val="27"/>
          <w:rtl/>
        </w:rPr>
        <w:t xml:space="preserve"> وكذا في الحاضر الم</w:t>
      </w:r>
      <w:r w:rsidR="00FC68FF" w:rsidRPr="00282AC9">
        <w:rPr>
          <w:rFonts w:hint="cs"/>
          <w:sz w:val="27"/>
          <w:rtl/>
        </w:rPr>
        <w:t>ُ</w:t>
      </w:r>
      <w:r w:rsidRPr="00282AC9">
        <w:rPr>
          <w:sz w:val="27"/>
          <w:rtl/>
        </w:rPr>
        <w:t>ع</w:t>
      </w:r>
      <w:r w:rsidR="00FC68FF" w:rsidRPr="00282AC9">
        <w:rPr>
          <w:rFonts w:hint="cs"/>
          <w:sz w:val="27"/>
          <w:rtl/>
        </w:rPr>
        <w:t>ْ</w:t>
      </w:r>
      <w:r w:rsidRPr="00282AC9">
        <w:rPr>
          <w:sz w:val="27"/>
          <w:rtl/>
        </w:rPr>
        <w:t>س</w:t>
      </w:r>
      <w:r w:rsidR="00FC68FF" w:rsidRPr="00282AC9">
        <w:rPr>
          <w:rFonts w:hint="cs"/>
          <w:sz w:val="27"/>
          <w:rtl/>
        </w:rPr>
        <w:t>ِ</w:t>
      </w:r>
      <w:r w:rsidRPr="00282AC9">
        <w:rPr>
          <w:sz w:val="27"/>
          <w:rtl/>
        </w:rPr>
        <w:t>ر الذي لا</w:t>
      </w:r>
      <w:r w:rsidR="00FC68FF" w:rsidRPr="00282AC9">
        <w:rPr>
          <w:rFonts w:hint="cs"/>
          <w:sz w:val="27"/>
          <w:rtl/>
        </w:rPr>
        <w:t xml:space="preserve"> </w:t>
      </w:r>
      <w:r w:rsidRPr="00282AC9">
        <w:rPr>
          <w:sz w:val="27"/>
          <w:rtl/>
        </w:rPr>
        <w:t>يتمك</w:t>
      </w:r>
      <w:r w:rsidR="00FC68FF" w:rsidRPr="00282AC9">
        <w:rPr>
          <w:rFonts w:hint="cs"/>
          <w:sz w:val="27"/>
          <w:rtl/>
        </w:rPr>
        <w:t>َّ</w:t>
      </w:r>
      <w:r w:rsidRPr="00282AC9">
        <w:rPr>
          <w:sz w:val="27"/>
          <w:rtl/>
        </w:rPr>
        <w:t>ن من ال</w:t>
      </w:r>
      <w:r w:rsidRPr="00282AC9">
        <w:rPr>
          <w:rFonts w:hint="cs"/>
          <w:sz w:val="27"/>
          <w:rtl/>
        </w:rPr>
        <w:t>إ</w:t>
      </w:r>
      <w:r w:rsidRPr="00282AC9">
        <w:rPr>
          <w:sz w:val="27"/>
          <w:rtl/>
        </w:rPr>
        <w:t>نفاق</w:t>
      </w:r>
      <w:r w:rsidR="00FC68FF" w:rsidRPr="00282AC9">
        <w:rPr>
          <w:rFonts w:hint="cs"/>
          <w:sz w:val="27"/>
          <w:rtl/>
        </w:rPr>
        <w:t>،</w:t>
      </w:r>
      <w:r w:rsidRPr="00282AC9">
        <w:rPr>
          <w:sz w:val="27"/>
          <w:rtl/>
        </w:rPr>
        <w:t xml:space="preserve"> مع عدم صبر زوجته على</w:t>
      </w:r>
      <w:r w:rsidRPr="00282AC9">
        <w:rPr>
          <w:rFonts w:hint="cs"/>
          <w:sz w:val="27"/>
          <w:rtl/>
        </w:rPr>
        <w:t xml:space="preserve"> </w:t>
      </w:r>
      <w:r w:rsidRPr="00282AC9">
        <w:rPr>
          <w:sz w:val="27"/>
          <w:rtl/>
        </w:rPr>
        <w:t>هذه الحالة</w:t>
      </w:r>
      <w:r w:rsidR="00FC68FF" w:rsidRPr="00282AC9">
        <w:rPr>
          <w:rFonts w:hint="cs"/>
          <w:sz w:val="27"/>
          <w:rtl/>
        </w:rPr>
        <w:t>،</w:t>
      </w:r>
      <w:r w:rsidRPr="00282AC9">
        <w:rPr>
          <w:sz w:val="27"/>
          <w:rtl/>
        </w:rPr>
        <w:t xml:space="preserve"> ففي جميع ه</w:t>
      </w:r>
      <w:r w:rsidRPr="00282AC9">
        <w:rPr>
          <w:rFonts w:hint="cs"/>
          <w:sz w:val="27"/>
          <w:rtl/>
        </w:rPr>
        <w:t>ذ</w:t>
      </w:r>
      <w:r w:rsidRPr="00282AC9">
        <w:rPr>
          <w:sz w:val="27"/>
          <w:rtl/>
        </w:rPr>
        <w:t>ه الصور وأشباهها</w:t>
      </w:r>
      <w:r w:rsidR="00FC68FF" w:rsidRPr="00282AC9">
        <w:rPr>
          <w:rFonts w:hint="cs"/>
          <w:sz w:val="27"/>
          <w:rtl/>
        </w:rPr>
        <w:t>،</w:t>
      </w:r>
      <w:r w:rsidRPr="00282AC9">
        <w:rPr>
          <w:sz w:val="27"/>
          <w:rtl/>
        </w:rPr>
        <w:t xml:space="preserve"> وإن</w:t>
      </w:r>
      <w:r w:rsidR="00FC68FF" w:rsidRPr="00282AC9">
        <w:rPr>
          <w:rFonts w:hint="cs"/>
          <w:sz w:val="27"/>
          <w:rtl/>
        </w:rPr>
        <w:t>ْ</w:t>
      </w:r>
      <w:r w:rsidRPr="00282AC9">
        <w:rPr>
          <w:sz w:val="27"/>
          <w:rtl/>
        </w:rPr>
        <w:t xml:space="preserve"> كان ظاهر كلماتهم عدم جواز فك</w:t>
      </w:r>
      <w:r w:rsidR="00FC68FF" w:rsidRPr="00282AC9">
        <w:rPr>
          <w:rFonts w:hint="cs"/>
          <w:sz w:val="27"/>
          <w:rtl/>
        </w:rPr>
        <w:t>ّ</w:t>
      </w:r>
      <w:r w:rsidRPr="00282AC9">
        <w:rPr>
          <w:sz w:val="27"/>
          <w:rtl/>
        </w:rPr>
        <w:t>ها</w:t>
      </w:r>
      <w:r w:rsidRPr="00282AC9">
        <w:rPr>
          <w:rFonts w:hint="cs"/>
          <w:sz w:val="27"/>
          <w:rtl/>
        </w:rPr>
        <w:t xml:space="preserve"> </w:t>
      </w:r>
      <w:r w:rsidRPr="00282AC9">
        <w:rPr>
          <w:sz w:val="27"/>
          <w:rtl/>
        </w:rPr>
        <w:t>وطلاقها للحاكم</w:t>
      </w:r>
      <w:r w:rsidR="00AB5459" w:rsidRPr="00282AC9">
        <w:rPr>
          <w:rFonts w:hint="cs"/>
          <w:sz w:val="27"/>
          <w:rtl/>
        </w:rPr>
        <w:t>...، إلاّ أنه يمكن أن يُقال بجوازه</w:t>
      </w:r>
      <w:r w:rsidRPr="00282AC9">
        <w:rPr>
          <w:rFonts w:hint="eastAsia"/>
          <w:sz w:val="24"/>
          <w:szCs w:val="24"/>
          <w:rtl/>
        </w:rPr>
        <w:t>»</w:t>
      </w:r>
      <w:r w:rsidRPr="00282AC9">
        <w:rPr>
          <w:sz w:val="27"/>
          <w:vertAlign w:val="superscript"/>
          <w:rtl/>
        </w:rPr>
        <w:t>(</w:t>
      </w:r>
      <w:r w:rsidRPr="00282AC9">
        <w:rPr>
          <w:rStyle w:val="af9"/>
          <w:sz w:val="27"/>
          <w:rtl/>
        </w:rPr>
        <w:endnoteReference w:id="106"/>
      </w:r>
      <w:r w:rsidRPr="00282AC9">
        <w:rPr>
          <w:sz w:val="27"/>
          <w:vertAlign w:val="superscript"/>
          <w:rtl/>
        </w:rPr>
        <w:t>)</w:t>
      </w:r>
      <w:r w:rsidRPr="00282AC9">
        <w:rPr>
          <w:rFonts w:hint="cs"/>
          <w:sz w:val="27"/>
          <w:rtl/>
        </w:rPr>
        <w:t>.</w:t>
      </w:r>
    </w:p>
    <w:p w:rsidR="00BC5E40" w:rsidRPr="00282AC9" w:rsidRDefault="00FC68FF" w:rsidP="00BC4D37">
      <w:pPr>
        <w:rPr>
          <w:sz w:val="27"/>
          <w:rtl/>
        </w:rPr>
      </w:pPr>
      <w:r w:rsidRPr="00282AC9">
        <w:rPr>
          <w:rFonts w:hint="cs"/>
          <w:sz w:val="27"/>
          <w:rtl/>
        </w:rPr>
        <w:t>و</w:t>
      </w:r>
      <w:r w:rsidR="00BC5E40" w:rsidRPr="00282AC9">
        <w:rPr>
          <w:rFonts w:hint="cs"/>
          <w:sz w:val="27"/>
          <w:rtl/>
        </w:rPr>
        <w:t>يت</w:t>
      </w:r>
      <w:r w:rsidRPr="00282AC9">
        <w:rPr>
          <w:rFonts w:hint="cs"/>
          <w:sz w:val="27"/>
          <w:rtl/>
        </w:rPr>
        <w:t>ّ</w:t>
      </w:r>
      <w:r w:rsidR="00BC5E40" w:rsidRPr="00282AC9">
        <w:rPr>
          <w:rFonts w:hint="cs"/>
          <w:sz w:val="27"/>
          <w:rtl/>
        </w:rPr>
        <w:t>ضح من هذه العبارة وغيرها أن حكم الحاكم في بعض الموارد الخاص</w:t>
      </w:r>
      <w:r w:rsidRPr="00282AC9">
        <w:rPr>
          <w:rFonts w:hint="cs"/>
          <w:sz w:val="27"/>
          <w:rtl/>
        </w:rPr>
        <w:t>ّ</w:t>
      </w:r>
      <w:r w:rsidR="00BC5E40" w:rsidRPr="00282AC9">
        <w:rPr>
          <w:rFonts w:hint="cs"/>
          <w:sz w:val="27"/>
          <w:rtl/>
        </w:rPr>
        <w:t>ة من الأحكام الولائية.</w:t>
      </w:r>
    </w:p>
    <w:p w:rsidR="00BC5E40" w:rsidRPr="00282AC9" w:rsidRDefault="00BC5E40" w:rsidP="00201813">
      <w:pPr>
        <w:spacing w:line="420" w:lineRule="exact"/>
        <w:rPr>
          <w:sz w:val="27"/>
          <w:rtl/>
        </w:rPr>
      </w:pPr>
    </w:p>
    <w:p w:rsidR="00BC5E40" w:rsidRPr="00282AC9" w:rsidRDefault="00D746C6" w:rsidP="00D746C6">
      <w:pPr>
        <w:pStyle w:val="31"/>
        <w:rPr>
          <w:color w:val="auto"/>
          <w:rtl/>
        </w:rPr>
      </w:pPr>
      <w:r w:rsidRPr="00282AC9">
        <w:rPr>
          <w:rFonts w:hint="cs"/>
          <w:color w:val="auto"/>
          <w:rtl/>
        </w:rPr>
        <w:t xml:space="preserve">هـ ـ </w:t>
      </w:r>
      <w:r w:rsidR="00BC5E40" w:rsidRPr="00282AC9">
        <w:rPr>
          <w:rFonts w:hint="cs"/>
          <w:color w:val="auto"/>
          <w:rtl/>
        </w:rPr>
        <w:t>نماذج من الأحكام الولائي</w:t>
      </w:r>
      <w:r w:rsidR="00C3589B" w:rsidRPr="00282AC9">
        <w:rPr>
          <w:rFonts w:hint="cs"/>
          <w:color w:val="auto"/>
          <w:rtl/>
        </w:rPr>
        <w:t>ّ</w:t>
      </w:r>
      <w:r w:rsidR="00BC5E40" w:rsidRPr="00282AC9">
        <w:rPr>
          <w:rFonts w:hint="cs"/>
          <w:color w:val="auto"/>
          <w:rtl/>
        </w:rPr>
        <w:t xml:space="preserve">ة </w:t>
      </w:r>
      <w:r w:rsidRPr="00282AC9">
        <w:rPr>
          <w:rFonts w:hint="cs"/>
          <w:color w:val="auto"/>
          <w:rtl/>
        </w:rPr>
        <w:t>السياسيّة</w:t>
      </w:r>
    </w:p>
    <w:p w:rsidR="00BC5E40" w:rsidRPr="00282AC9" w:rsidRDefault="00BC5E40" w:rsidP="00BC4D37">
      <w:pPr>
        <w:rPr>
          <w:sz w:val="27"/>
          <w:rtl/>
        </w:rPr>
      </w:pPr>
      <w:r w:rsidRPr="00282AC9">
        <w:rPr>
          <w:rFonts w:hint="cs"/>
          <w:sz w:val="27"/>
          <w:rtl/>
        </w:rPr>
        <w:t>على مدى تاريخ الفقه الشيعي لم يكن الحكم بيد الفقهاء بشكل</w:t>
      </w:r>
      <w:r w:rsidR="00C3589B" w:rsidRPr="00282AC9">
        <w:rPr>
          <w:rFonts w:hint="cs"/>
          <w:sz w:val="27"/>
          <w:rtl/>
        </w:rPr>
        <w:t>ٍ</w:t>
      </w:r>
      <w:r w:rsidRPr="00282AC9">
        <w:rPr>
          <w:rFonts w:hint="cs"/>
          <w:sz w:val="27"/>
          <w:rtl/>
        </w:rPr>
        <w:t xml:space="preserve"> كامل، ولكن</w:t>
      </w:r>
      <w:r w:rsidR="00C3589B" w:rsidRPr="00282AC9">
        <w:rPr>
          <w:rFonts w:hint="cs"/>
          <w:sz w:val="27"/>
          <w:rtl/>
        </w:rPr>
        <w:t>ّ</w:t>
      </w:r>
      <w:r w:rsidRPr="00282AC9">
        <w:rPr>
          <w:rFonts w:hint="cs"/>
          <w:sz w:val="27"/>
          <w:rtl/>
        </w:rPr>
        <w:t>هم كانوا ير</w:t>
      </w:r>
      <w:r w:rsidR="00C3589B" w:rsidRPr="00282AC9">
        <w:rPr>
          <w:rFonts w:hint="cs"/>
          <w:sz w:val="27"/>
          <w:rtl/>
        </w:rPr>
        <w:t>َ</w:t>
      </w:r>
      <w:r w:rsidRPr="00282AC9">
        <w:rPr>
          <w:rFonts w:hint="cs"/>
          <w:sz w:val="27"/>
          <w:rtl/>
        </w:rPr>
        <w:t>و</w:t>
      </w:r>
      <w:r w:rsidR="00C3589B" w:rsidRPr="00282AC9">
        <w:rPr>
          <w:rFonts w:hint="cs"/>
          <w:sz w:val="27"/>
          <w:rtl/>
        </w:rPr>
        <w:t>ْ</w:t>
      </w:r>
      <w:r w:rsidRPr="00282AC9">
        <w:rPr>
          <w:rFonts w:hint="cs"/>
          <w:sz w:val="27"/>
          <w:rtl/>
        </w:rPr>
        <w:t>ن من الواجب عليهم التدخ</w:t>
      </w:r>
      <w:r w:rsidR="00C3589B" w:rsidRPr="00282AC9">
        <w:rPr>
          <w:rFonts w:hint="cs"/>
          <w:sz w:val="27"/>
          <w:rtl/>
        </w:rPr>
        <w:t>ُّ</w:t>
      </w:r>
      <w:r w:rsidRPr="00282AC9">
        <w:rPr>
          <w:rFonts w:hint="cs"/>
          <w:sz w:val="27"/>
          <w:rtl/>
        </w:rPr>
        <w:t xml:space="preserve">ل في السياسة أحياناً، وأن يصدروا </w:t>
      </w:r>
      <w:r w:rsidRPr="00282AC9">
        <w:rPr>
          <w:rFonts w:hint="cs"/>
          <w:sz w:val="27"/>
          <w:rtl/>
        </w:rPr>
        <w:lastRenderedPageBreak/>
        <w:t>الأحكام السياسي</w:t>
      </w:r>
      <w:r w:rsidR="00C3589B" w:rsidRPr="00282AC9">
        <w:rPr>
          <w:rFonts w:hint="cs"/>
          <w:sz w:val="27"/>
          <w:rtl/>
        </w:rPr>
        <w:t>ّ</w:t>
      </w:r>
      <w:r w:rsidRPr="00282AC9">
        <w:rPr>
          <w:rFonts w:hint="cs"/>
          <w:sz w:val="27"/>
          <w:rtl/>
        </w:rPr>
        <w:t xml:space="preserve">ة المنبثقة من </w:t>
      </w:r>
      <w:r w:rsidR="00C3589B" w:rsidRPr="00282AC9">
        <w:rPr>
          <w:rFonts w:hint="cs"/>
          <w:sz w:val="27"/>
          <w:rtl/>
        </w:rPr>
        <w:t>جهة</w:t>
      </w:r>
      <w:r w:rsidRPr="00282AC9">
        <w:rPr>
          <w:rFonts w:hint="cs"/>
          <w:sz w:val="27"/>
          <w:rtl/>
        </w:rPr>
        <w:t xml:space="preserve"> تصد</w:t>
      </w:r>
      <w:r w:rsidR="00C3589B" w:rsidRPr="00282AC9">
        <w:rPr>
          <w:rFonts w:hint="cs"/>
          <w:sz w:val="27"/>
          <w:rtl/>
        </w:rPr>
        <w:t>ّ</w:t>
      </w:r>
      <w:r w:rsidRPr="00282AC9">
        <w:rPr>
          <w:rFonts w:hint="cs"/>
          <w:sz w:val="27"/>
          <w:rtl/>
        </w:rPr>
        <w:t>يهم لمنصب الحاكم الشرعي</w:t>
      </w:r>
      <w:r w:rsidR="00C3589B" w:rsidRPr="00282AC9">
        <w:rPr>
          <w:rFonts w:hint="cs"/>
          <w:sz w:val="27"/>
          <w:rtl/>
        </w:rPr>
        <w:t>ّ</w:t>
      </w:r>
      <w:r w:rsidRPr="00282AC9">
        <w:rPr>
          <w:rFonts w:hint="cs"/>
          <w:sz w:val="27"/>
          <w:rtl/>
        </w:rPr>
        <w:t>، ويتنك</w:t>
      </w:r>
      <w:r w:rsidR="00C3589B" w:rsidRPr="00282AC9">
        <w:rPr>
          <w:rFonts w:hint="cs"/>
          <w:sz w:val="27"/>
          <w:rtl/>
        </w:rPr>
        <w:t>َّ</w:t>
      </w:r>
      <w:r w:rsidRPr="00282AC9">
        <w:rPr>
          <w:rFonts w:hint="cs"/>
          <w:sz w:val="27"/>
          <w:rtl/>
        </w:rPr>
        <w:t xml:space="preserve">رون في ذلك لبدعة </w:t>
      </w:r>
      <w:r w:rsidRPr="00282AC9">
        <w:rPr>
          <w:rFonts w:hint="eastAsia"/>
          <w:sz w:val="24"/>
          <w:szCs w:val="24"/>
          <w:rtl/>
        </w:rPr>
        <w:t>«</w:t>
      </w:r>
      <w:r w:rsidRPr="00282AC9">
        <w:rPr>
          <w:rFonts w:hint="cs"/>
          <w:sz w:val="27"/>
          <w:rtl/>
        </w:rPr>
        <w:t>فصل الدين عن السياسة</w:t>
      </w:r>
      <w:r w:rsidRPr="00282AC9">
        <w:rPr>
          <w:rFonts w:hint="eastAsia"/>
          <w:sz w:val="24"/>
          <w:szCs w:val="24"/>
          <w:rtl/>
        </w:rPr>
        <w:t>»</w:t>
      </w:r>
      <w:r w:rsidRPr="00282AC9">
        <w:rPr>
          <w:rFonts w:hint="cs"/>
          <w:sz w:val="27"/>
          <w:rtl/>
        </w:rPr>
        <w:t>. وهذه الأحكام كثيرة</w:t>
      </w:r>
      <w:r w:rsidR="00C3589B" w:rsidRPr="00282AC9">
        <w:rPr>
          <w:rFonts w:hint="cs"/>
          <w:sz w:val="27"/>
          <w:rtl/>
        </w:rPr>
        <w:t>ٌ</w:t>
      </w:r>
      <w:r w:rsidRPr="00282AC9">
        <w:rPr>
          <w:rFonts w:hint="cs"/>
          <w:sz w:val="27"/>
          <w:rtl/>
        </w:rPr>
        <w:t xml:space="preserve"> في تاريخ الفقهاء الطويل</w:t>
      </w:r>
      <w:r w:rsidR="00C3589B" w:rsidRPr="00282AC9">
        <w:rPr>
          <w:rFonts w:hint="cs"/>
          <w:sz w:val="27"/>
          <w:rtl/>
        </w:rPr>
        <w:t>.</w:t>
      </w:r>
      <w:r w:rsidRPr="00282AC9">
        <w:rPr>
          <w:rFonts w:hint="cs"/>
          <w:sz w:val="27"/>
          <w:rtl/>
        </w:rPr>
        <w:t xml:space="preserve"> وفي</w:t>
      </w:r>
      <w:r w:rsidR="00C3589B" w:rsidRPr="00282AC9">
        <w:rPr>
          <w:rFonts w:hint="cs"/>
          <w:sz w:val="27"/>
          <w:rtl/>
        </w:rPr>
        <w:t xml:space="preserve"> </w:t>
      </w:r>
      <w:r w:rsidRPr="00282AC9">
        <w:rPr>
          <w:rFonts w:hint="cs"/>
          <w:sz w:val="27"/>
          <w:rtl/>
        </w:rPr>
        <w:t>ما يلي نشير إلى نماذج من هذه الأحكام:</w:t>
      </w:r>
    </w:p>
    <w:p w:rsidR="00C3589B" w:rsidRPr="00282AC9" w:rsidRDefault="00C3589B" w:rsidP="00201813">
      <w:pPr>
        <w:spacing w:line="430" w:lineRule="exact"/>
        <w:rPr>
          <w:sz w:val="27"/>
          <w:rtl/>
        </w:rPr>
      </w:pPr>
    </w:p>
    <w:p w:rsidR="00C3589B" w:rsidRPr="00282AC9" w:rsidRDefault="00BC5E40" w:rsidP="00C3589B">
      <w:pPr>
        <w:pStyle w:val="31"/>
        <w:rPr>
          <w:color w:val="auto"/>
          <w:rtl/>
        </w:rPr>
      </w:pPr>
      <w:r w:rsidRPr="00282AC9">
        <w:rPr>
          <w:rFonts w:hint="cs"/>
          <w:color w:val="auto"/>
          <w:rtl/>
        </w:rPr>
        <w:t>1ـ الحكم بوجوب الدفاع عن المشروطة (الم</w:t>
      </w:r>
      <w:r w:rsidR="00D746C6" w:rsidRPr="00282AC9">
        <w:rPr>
          <w:rFonts w:hint="cs"/>
          <w:color w:val="auto"/>
          <w:rtl/>
        </w:rPr>
        <w:t>َ</w:t>
      </w:r>
      <w:r w:rsidRPr="00282AC9">
        <w:rPr>
          <w:rFonts w:hint="cs"/>
          <w:color w:val="auto"/>
          <w:rtl/>
        </w:rPr>
        <w:t>ل</w:t>
      </w:r>
      <w:r w:rsidR="00D746C6" w:rsidRPr="00282AC9">
        <w:rPr>
          <w:rFonts w:hint="cs"/>
          <w:color w:val="auto"/>
          <w:rtl/>
        </w:rPr>
        <w:t>َ</w:t>
      </w:r>
      <w:r w:rsidRPr="00282AC9">
        <w:rPr>
          <w:rFonts w:hint="cs"/>
          <w:color w:val="auto"/>
          <w:rtl/>
        </w:rPr>
        <w:t>كي</w:t>
      </w:r>
      <w:r w:rsidR="00C3589B" w:rsidRPr="00282AC9">
        <w:rPr>
          <w:rFonts w:hint="cs"/>
          <w:color w:val="auto"/>
          <w:rtl/>
        </w:rPr>
        <w:t>ّ</w:t>
      </w:r>
      <w:r w:rsidRPr="00282AC9">
        <w:rPr>
          <w:rFonts w:hint="cs"/>
          <w:color w:val="auto"/>
          <w:rtl/>
        </w:rPr>
        <w:t>ة الدستوري</w:t>
      </w:r>
      <w:r w:rsidR="00C3589B" w:rsidRPr="00282AC9">
        <w:rPr>
          <w:rFonts w:hint="cs"/>
          <w:color w:val="auto"/>
          <w:rtl/>
        </w:rPr>
        <w:t>ّ</w:t>
      </w:r>
      <w:r w:rsidRPr="00282AC9">
        <w:rPr>
          <w:rFonts w:hint="cs"/>
          <w:color w:val="auto"/>
          <w:rtl/>
        </w:rPr>
        <w:t>ة)</w:t>
      </w:r>
    </w:p>
    <w:p w:rsidR="00BC5E40" w:rsidRPr="00282AC9" w:rsidRDefault="00BC5E40" w:rsidP="00BC4D37">
      <w:pPr>
        <w:rPr>
          <w:sz w:val="27"/>
          <w:rtl/>
        </w:rPr>
      </w:pPr>
      <w:r w:rsidRPr="00282AC9">
        <w:rPr>
          <w:rFonts w:hint="cs"/>
          <w:sz w:val="27"/>
          <w:rtl/>
        </w:rPr>
        <w:t>لقد عمد كل</w:t>
      </w:r>
      <w:r w:rsidR="00C3589B" w:rsidRPr="00282AC9">
        <w:rPr>
          <w:rFonts w:hint="cs"/>
          <w:sz w:val="27"/>
          <w:rtl/>
        </w:rPr>
        <w:t>ٌّ</w:t>
      </w:r>
      <w:r w:rsidRPr="00282AC9">
        <w:rPr>
          <w:rFonts w:hint="cs"/>
          <w:sz w:val="27"/>
          <w:rtl/>
        </w:rPr>
        <w:t xml:space="preserve"> من</w:t>
      </w:r>
      <w:r w:rsidR="00C3589B" w:rsidRPr="00282AC9">
        <w:rPr>
          <w:rFonts w:hint="cs"/>
          <w:sz w:val="27"/>
          <w:rtl/>
        </w:rPr>
        <w:t>:</w:t>
      </w:r>
      <w:r w:rsidRPr="00282AC9">
        <w:rPr>
          <w:rFonts w:hint="cs"/>
          <w:sz w:val="27"/>
          <w:rtl/>
        </w:rPr>
        <w:t xml:space="preserve"> الآخ</w:t>
      </w:r>
      <w:r w:rsidR="00C3589B" w:rsidRPr="00282AC9">
        <w:rPr>
          <w:rFonts w:hint="cs"/>
          <w:sz w:val="27"/>
          <w:rtl/>
        </w:rPr>
        <w:t>و</w:t>
      </w:r>
      <w:r w:rsidRPr="00282AC9">
        <w:rPr>
          <w:rFonts w:hint="cs"/>
          <w:sz w:val="27"/>
          <w:rtl/>
        </w:rPr>
        <w:t>ند الخراساني</w:t>
      </w:r>
      <w:r w:rsidR="00C3589B" w:rsidRPr="00282AC9">
        <w:rPr>
          <w:rFonts w:hint="cs"/>
          <w:sz w:val="27"/>
          <w:rtl/>
        </w:rPr>
        <w:t>؛</w:t>
      </w:r>
      <w:r w:rsidRPr="00282AC9">
        <w:rPr>
          <w:rFonts w:hint="cs"/>
          <w:sz w:val="27"/>
          <w:rtl/>
        </w:rPr>
        <w:t xml:space="preserve"> والخليلي</w:t>
      </w:r>
      <w:r w:rsidR="00C3589B" w:rsidRPr="00282AC9">
        <w:rPr>
          <w:rFonts w:hint="cs"/>
          <w:sz w:val="27"/>
          <w:rtl/>
        </w:rPr>
        <w:t>؛</w:t>
      </w:r>
      <w:r w:rsidRPr="00282AC9">
        <w:rPr>
          <w:rFonts w:hint="cs"/>
          <w:sz w:val="27"/>
          <w:rtl/>
        </w:rPr>
        <w:t xml:space="preserve"> والمازندراني، إلى إرسال رسالة</w:t>
      </w:r>
      <w:r w:rsidR="00C3589B" w:rsidRPr="00282AC9">
        <w:rPr>
          <w:rFonts w:hint="cs"/>
          <w:sz w:val="27"/>
          <w:rtl/>
        </w:rPr>
        <w:t>ٍ</w:t>
      </w:r>
      <w:r w:rsidRPr="00282AC9">
        <w:rPr>
          <w:rFonts w:hint="cs"/>
          <w:sz w:val="27"/>
          <w:rtl/>
        </w:rPr>
        <w:t xml:space="preserve"> إلى الشاه محمد علي [القاجاري] ـ وذلك قبل يومين من قصف البرلمان بالمدفعي</w:t>
      </w:r>
      <w:r w:rsidR="00C3589B" w:rsidRPr="00282AC9">
        <w:rPr>
          <w:rFonts w:hint="cs"/>
          <w:sz w:val="27"/>
          <w:rtl/>
        </w:rPr>
        <w:t>ّ</w:t>
      </w:r>
      <w:r w:rsidRPr="00282AC9">
        <w:rPr>
          <w:rFonts w:hint="cs"/>
          <w:sz w:val="27"/>
          <w:rtl/>
        </w:rPr>
        <w:t>ة ـ</w:t>
      </w:r>
      <w:r w:rsidR="00C3589B" w:rsidRPr="00282AC9">
        <w:rPr>
          <w:rFonts w:hint="cs"/>
          <w:sz w:val="27"/>
          <w:rtl/>
        </w:rPr>
        <w:t>،</w:t>
      </w:r>
      <w:r w:rsidRPr="00282AC9">
        <w:rPr>
          <w:rFonts w:hint="cs"/>
          <w:sz w:val="27"/>
          <w:rtl/>
        </w:rPr>
        <w:t xml:space="preserve"> وطالبوه ببعض الأمور، ومن بينها الفقرة ال</w:t>
      </w:r>
      <w:r w:rsidR="00C3589B" w:rsidRPr="00282AC9">
        <w:rPr>
          <w:rFonts w:hint="cs"/>
          <w:sz w:val="27"/>
          <w:rtl/>
        </w:rPr>
        <w:t>تالي</w:t>
      </w:r>
      <w:r w:rsidRPr="00282AC9">
        <w:rPr>
          <w:rFonts w:hint="cs"/>
          <w:sz w:val="27"/>
          <w:rtl/>
        </w:rPr>
        <w:t xml:space="preserve">ة: </w:t>
      </w:r>
      <w:r w:rsidRPr="00282AC9">
        <w:rPr>
          <w:rFonts w:hint="eastAsia"/>
          <w:sz w:val="24"/>
          <w:szCs w:val="24"/>
          <w:rtl/>
        </w:rPr>
        <w:t>«</w:t>
      </w:r>
      <w:r w:rsidR="00C3589B" w:rsidRPr="00282AC9">
        <w:rPr>
          <w:rFonts w:hint="cs"/>
          <w:sz w:val="27"/>
          <w:rtl/>
        </w:rPr>
        <w:t>...</w:t>
      </w:r>
      <w:r w:rsidR="00674EF5" w:rsidRPr="00282AC9">
        <w:rPr>
          <w:rFonts w:hint="cs"/>
          <w:sz w:val="27"/>
          <w:rtl/>
        </w:rPr>
        <w:t>لا شَكَّ</w:t>
      </w:r>
      <w:r w:rsidRPr="00282AC9">
        <w:rPr>
          <w:rFonts w:hint="cs"/>
          <w:sz w:val="27"/>
          <w:rtl/>
        </w:rPr>
        <w:t xml:space="preserve"> في أن حفظ الدين الحنيف واستقلال الدولة الاثن</w:t>
      </w:r>
      <w:r w:rsidR="00C3589B" w:rsidRPr="00282AC9">
        <w:rPr>
          <w:rFonts w:hint="cs"/>
          <w:sz w:val="27"/>
          <w:rtl/>
        </w:rPr>
        <w:t>ي</w:t>
      </w:r>
      <w:r w:rsidRPr="00282AC9">
        <w:rPr>
          <w:rFonts w:hint="cs"/>
          <w:sz w:val="27"/>
          <w:rtl/>
        </w:rPr>
        <w:t xml:space="preserve"> عشري</w:t>
      </w:r>
      <w:r w:rsidR="00C3589B" w:rsidRPr="00282AC9">
        <w:rPr>
          <w:rFonts w:hint="cs"/>
          <w:sz w:val="27"/>
          <w:rtl/>
        </w:rPr>
        <w:t>ّ</w:t>
      </w:r>
      <w:r w:rsidRPr="00282AC9">
        <w:rPr>
          <w:rFonts w:hint="cs"/>
          <w:sz w:val="27"/>
          <w:rtl/>
        </w:rPr>
        <w:t>ة ـ شيّ</w:t>
      </w:r>
      <w:r w:rsidR="00C3589B" w:rsidRPr="00282AC9">
        <w:rPr>
          <w:rFonts w:hint="cs"/>
          <w:sz w:val="27"/>
          <w:rtl/>
        </w:rPr>
        <w:t>َ</w:t>
      </w:r>
      <w:r w:rsidRPr="00282AC9">
        <w:rPr>
          <w:rFonts w:hint="cs"/>
          <w:sz w:val="27"/>
          <w:rtl/>
        </w:rPr>
        <w:t>د الله تعالى أركانها ـ ر</w:t>
      </w:r>
      <w:r w:rsidR="00C3589B" w:rsidRPr="00282AC9">
        <w:rPr>
          <w:rFonts w:hint="cs"/>
          <w:sz w:val="27"/>
          <w:rtl/>
        </w:rPr>
        <w:t>َ</w:t>
      </w:r>
      <w:r w:rsidRPr="00282AC9">
        <w:rPr>
          <w:rFonts w:hint="cs"/>
          <w:sz w:val="27"/>
          <w:rtl/>
        </w:rPr>
        <w:t>ه</w:t>
      </w:r>
      <w:r w:rsidR="00C3589B" w:rsidRPr="00282AC9">
        <w:rPr>
          <w:rFonts w:hint="cs"/>
          <w:sz w:val="27"/>
          <w:rtl/>
        </w:rPr>
        <w:t>ْ</w:t>
      </w:r>
      <w:r w:rsidRPr="00282AC9">
        <w:rPr>
          <w:rFonts w:hint="cs"/>
          <w:sz w:val="27"/>
          <w:rtl/>
        </w:rPr>
        <w:t>ن</w:t>
      </w:r>
      <w:r w:rsidR="00C3589B" w:rsidRPr="00282AC9">
        <w:rPr>
          <w:rFonts w:hint="cs"/>
          <w:sz w:val="27"/>
          <w:rtl/>
        </w:rPr>
        <w:t>ٌ</w:t>
      </w:r>
      <w:r w:rsidRPr="00282AC9">
        <w:rPr>
          <w:rFonts w:hint="cs"/>
          <w:sz w:val="27"/>
          <w:rtl/>
        </w:rPr>
        <w:t xml:space="preserve"> بعدم تجاوز قوانين المشروطة، وإن الالتزام بذلك واجب</w:t>
      </w:r>
      <w:r w:rsidR="00286861" w:rsidRPr="00282AC9">
        <w:rPr>
          <w:rFonts w:hint="cs"/>
          <w:sz w:val="27"/>
          <w:rtl/>
        </w:rPr>
        <w:t>ٌ</w:t>
      </w:r>
      <w:r w:rsidRPr="00282AC9">
        <w:rPr>
          <w:rFonts w:hint="cs"/>
          <w:sz w:val="27"/>
          <w:rtl/>
        </w:rPr>
        <w:t xml:space="preserve"> على عموم المسلمين قاطبة</w:t>
      </w:r>
      <w:r w:rsidR="00286861" w:rsidRPr="00282AC9">
        <w:rPr>
          <w:rFonts w:hint="cs"/>
          <w:sz w:val="27"/>
          <w:rtl/>
        </w:rPr>
        <w:t>ً</w:t>
      </w:r>
      <w:r w:rsidRPr="00282AC9">
        <w:rPr>
          <w:rFonts w:hint="cs"/>
          <w:sz w:val="27"/>
          <w:rtl/>
        </w:rPr>
        <w:t>، و</w:t>
      </w:r>
      <w:r w:rsidR="00674EF5" w:rsidRPr="00282AC9">
        <w:rPr>
          <w:rFonts w:hint="cs"/>
          <w:sz w:val="27"/>
          <w:rtl/>
        </w:rPr>
        <w:t>لا سيَّما</w:t>
      </w:r>
      <w:r w:rsidRPr="00282AC9">
        <w:rPr>
          <w:rFonts w:hint="cs"/>
          <w:sz w:val="27"/>
          <w:rtl/>
        </w:rPr>
        <w:t xml:space="preserve"> شخص صاحب الجلالة الملك المعظم</w:t>
      </w:r>
      <w:r w:rsidRPr="00282AC9">
        <w:rPr>
          <w:rFonts w:hint="eastAsia"/>
          <w:sz w:val="24"/>
          <w:szCs w:val="24"/>
          <w:rtl/>
        </w:rPr>
        <w:t>»</w:t>
      </w:r>
      <w:r w:rsidRPr="00282AC9">
        <w:rPr>
          <w:sz w:val="27"/>
          <w:vertAlign w:val="superscript"/>
          <w:rtl/>
        </w:rPr>
        <w:t>(</w:t>
      </w:r>
      <w:r w:rsidRPr="00282AC9">
        <w:rPr>
          <w:rStyle w:val="af9"/>
          <w:sz w:val="27"/>
          <w:rtl/>
        </w:rPr>
        <w:endnoteReference w:id="107"/>
      </w:r>
      <w:r w:rsidRPr="00282AC9">
        <w:rPr>
          <w:sz w:val="27"/>
          <w:vertAlign w:val="superscript"/>
          <w:rtl/>
        </w:rPr>
        <w:t>)</w:t>
      </w:r>
      <w:r w:rsidRPr="00282AC9">
        <w:rPr>
          <w:rFonts w:hint="cs"/>
          <w:sz w:val="27"/>
          <w:rtl/>
        </w:rPr>
        <w:t>.</w:t>
      </w:r>
    </w:p>
    <w:p w:rsidR="00BC4D37" w:rsidRPr="00282AC9" w:rsidRDefault="00BC4D37" w:rsidP="003A1F8E">
      <w:pPr>
        <w:spacing w:line="420" w:lineRule="exact"/>
        <w:rPr>
          <w:sz w:val="27"/>
          <w:rtl/>
        </w:rPr>
      </w:pPr>
    </w:p>
    <w:p w:rsidR="00286861" w:rsidRPr="00282AC9" w:rsidRDefault="00BC5E40" w:rsidP="00286861">
      <w:pPr>
        <w:pStyle w:val="31"/>
        <w:rPr>
          <w:color w:val="auto"/>
          <w:rtl/>
        </w:rPr>
      </w:pPr>
      <w:r w:rsidRPr="00282AC9">
        <w:rPr>
          <w:rFonts w:hint="cs"/>
          <w:color w:val="auto"/>
          <w:rtl/>
        </w:rPr>
        <w:t>2ـ تحريم القماش والثياب الأجنبي</w:t>
      </w:r>
      <w:r w:rsidR="00286861" w:rsidRPr="00282AC9">
        <w:rPr>
          <w:rFonts w:hint="cs"/>
          <w:color w:val="auto"/>
          <w:rtl/>
        </w:rPr>
        <w:t>ّ</w:t>
      </w:r>
      <w:r w:rsidRPr="00282AC9">
        <w:rPr>
          <w:rFonts w:hint="cs"/>
          <w:color w:val="auto"/>
          <w:rtl/>
        </w:rPr>
        <w:t>ة</w:t>
      </w:r>
    </w:p>
    <w:p w:rsidR="00BC5E40" w:rsidRPr="00282AC9" w:rsidRDefault="00BC5E40" w:rsidP="00D1080C">
      <w:pPr>
        <w:rPr>
          <w:sz w:val="27"/>
          <w:rtl/>
        </w:rPr>
      </w:pPr>
      <w:r w:rsidRPr="00282AC9">
        <w:rPr>
          <w:rFonts w:hint="cs"/>
          <w:sz w:val="27"/>
          <w:rtl/>
        </w:rPr>
        <w:t xml:space="preserve">يقول السيد محمد كاظم اليزدي: </w:t>
      </w:r>
      <w:r w:rsidRPr="00282AC9">
        <w:rPr>
          <w:rFonts w:hint="eastAsia"/>
          <w:sz w:val="24"/>
          <w:szCs w:val="24"/>
          <w:rtl/>
        </w:rPr>
        <w:t>«</w:t>
      </w:r>
      <w:r w:rsidRPr="00282AC9">
        <w:rPr>
          <w:rFonts w:hint="cs"/>
          <w:sz w:val="27"/>
          <w:rtl/>
        </w:rPr>
        <w:t>يجدر بعموم المؤمنين وكاف</w:t>
      </w:r>
      <w:r w:rsidR="00286861" w:rsidRPr="00282AC9">
        <w:rPr>
          <w:rFonts w:hint="cs"/>
          <w:sz w:val="27"/>
          <w:rtl/>
        </w:rPr>
        <w:t>ّ</w:t>
      </w:r>
      <w:r w:rsidRPr="00282AC9">
        <w:rPr>
          <w:rFonts w:hint="cs"/>
          <w:sz w:val="27"/>
          <w:rtl/>
        </w:rPr>
        <w:t>ة المتدينين ـ بجميع فئاتهم وطبقاتهم ـ أن يعمل كل</w:t>
      </w:r>
      <w:r w:rsidR="00286861" w:rsidRPr="00282AC9">
        <w:rPr>
          <w:rFonts w:hint="cs"/>
          <w:sz w:val="27"/>
          <w:rtl/>
        </w:rPr>
        <w:t>ُّ</w:t>
      </w:r>
      <w:r w:rsidRPr="00282AC9">
        <w:rPr>
          <w:rFonts w:hint="cs"/>
          <w:sz w:val="27"/>
          <w:rtl/>
        </w:rPr>
        <w:t xml:space="preserve"> واحد</w:t>
      </w:r>
      <w:r w:rsidR="00286861" w:rsidRPr="00282AC9">
        <w:rPr>
          <w:rFonts w:hint="cs"/>
          <w:sz w:val="27"/>
          <w:rtl/>
        </w:rPr>
        <w:t>ٍ</w:t>
      </w:r>
      <w:r w:rsidRPr="00282AC9">
        <w:rPr>
          <w:rFonts w:hint="cs"/>
          <w:sz w:val="27"/>
          <w:rtl/>
        </w:rPr>
        <w:t xml:space="preserve"> منهم ما أمكنه في تشييد هذا الأمر والتأسيس له، وأن يبذل جهده وس</w:t>
      </w:r>
      <w:r w:rsidR="00286861" w:rsidRPr="00282AC9">
        <w:rPr>
          <w:rFonts w:hint="cs"/>
          <w:sz w:val="27"/>
          <w:rtl/>
        </w:rPr>
        <w:t>َ</w:t>
      </w:r>
      <w:r w:rsidRPr="00282AC9">
        <w:rPr>
          <w:rFonts w:hint="cs"/>
          <w:sz w:val="27"/>
          <w:rtl/>
        </w:rPr>
        <w:t>ع</w:t>
      </w:r>
      <w:r w:rsidR="00286861" w:rsidRPr="00282AC9">
        <w:rPr>
          <w:rFonts w:hint="cs"/>
          <w:sz w:val="27"/>
          <w:rtl/>
        </w:rPr>
        <w:t>ْ</w:t>
      </w:r>
      <w:r w:rsidRPr="00282AC9">
        <w:rPr>
          <w:rFonts w:hint="cs"/>
          <w:sz w:val="27"/>
          <w:rtl/>
        </w:rPr>
        <w:t>يه وهم</w:t>
      </w:r>
      <w:r w:rsidR="00286861" w:rsidRPr="00282AC9">
        <w:rPr>
          <w:rFonts w:hint="cs"/>
          <w:sz w:val="27"/>
          <w:rtl/>
        </w:rPr>
        <w:t>ّ</w:t>
      </w:r>
      <w:r w:rsidRPr="00282AC9">
        <w:rPr>
          <w:rFonts w:hint="cs"/>
          <w:sz w:val="27"/>
          <w:rtl/>
        </w:rPr>
        <w:t>ته في تجنّ</w:t>
      </w:r>
      <w:r w:rsidR="00286861" w:rsidRPr="00282AC9">
        <w:rPr>
          <w:rFonts w:hint="cs"/>
          <w:sz w:val="27"/>
          <w:rtl/>
        </w:rPr>
        <w:t>ُ</w:t>
      </w:r>
      <w:r w:rsidRPr="00282AC9">
        <w:rPr>
          <w:rFonts w:hint="cs"/>
          <w:sz w:val="27"/>
          <w:rtl/>
        </w:rPr>
        <w:t>ب الألبسة والأقمشة الأجنبي</w:t>
      </w:r>
      <w:r w:rsidR="00286861" w:rsidRPr="00282AC9">
        <w:rPr>
          <w:rFonts w:hint="cs"/>
          <w:sz w:val="27"/>
          <w:rtl/>
        </w:rPr>
        <w:t>ّ</w:t>
      </w:r>
      <w:r w:rsidRPr="00282AC9">
        <w:rPr>
          <w:rFonts w:hint="cs"/>
          <w:sz w:val="27"/>
          <w:rtl/>
        </w:rPr>
        <w:t>ة، بل يجدر بهم تجن</w:t>
      </w:r>
      <w:r w:rsidR="00286861" w:rsidRPr="00282AC9">
        <w:rPr>
          <w:rFonts w:hint="cs"/>
          <w:sz w:val="27"/>
          <w:rtl/>
        </w:rPr>
        <w:t>ُّ</w:t>
      </w:r>
      <w:r w:rsidRPr="00282AC9">
        <w:rPr>
          <w:rFonts w:hint="cs"/>
          <w:sz w:val="27"/>
          <w:rtl/>
        </w:rPr>
        <w:t>ب جميع حركات وس</w:t>
      </w:r>
      <w:r w:rsidR="00286861" w:rsidRPr="00282AC9">
        <w:rPr>
          <w:rFonts w:hint="cs"/>
          <w:sz w:val="27"/>
          <w:rtl/>
        </w:rPr>
        <w:t>َ</w:t>
      </w:r>
      <w:r w:rsidRPr="00282AC9">
        <w:rPr>
          <w:rFonts w:hint="cs"/>
          <w:sz w:val="27"/>
          <w:rtl/>
        </w:rPr>
        <w:t>ك</w:t>
      </w:r>
      <w:r w:rsidR="00286861" w:rsidRPr="00282AC9">
        <w:rPr>
          <w:rFonts w:hint="cs"/>
          <w:sz w:val="27"/>
          <w:rtl/>
        </w:rPr>
        <w:t>َ</w:t>
      </w:r>
      <w:r w:rsidRPr="00282AC9">
        <w:rPr>
          <w:rFonts w:hint="cs"/>
          <w:sz w:val="27"/>
          <w:rtl/>
        </w:rPr>
        <w:t>نات وكيفي</w:t>
      </w:r>
      <w:r w:rsidR="00286861" w:rsidRPr="00282AC9">
        <w:rPr>
          <w:rFonts w:hint="cs"/>
          <w:sz w:val="27"/>
          <w:rtl/>
        </w:rPr>
        <w:t>ّ</w:t>
      </w:r>
      <w:r w:rsidRPr="00282AC9">
        <w:rPr>
          <w:rFonts w:hint="cs"/>
          <w:sz w:val="27"/>
          <w:rtl/>
        </w:rPr>
        <w:t>ة وطريقة الكف</w:t>
      </w:r>
      <w:r w:rsidR="00286861" w:rsidRPr="00282AC9">
        <w:rPr>
          <w:rFonts w:hint="cs"/>
          <w:sz w:val="27"/>
          <w:rtl/>
        </w:rPr>
        <w:t>ّ</w:t>
      </w:r>
      <w:r w:rsidRPr="00282AC9">
        <w:rPr>
          <w:rFonts w:hint="cs"/>
          <w:sz w:val="27"/>
          <w:rtl/>
        </w:rPr>
        <w:t>ار في الملبس والمأكل والمشرب والكلام والسلوك وما إلى ذلك</w:t>
      </w:r>
      <w:r w:rsidRPr="00282AC9">
        <w:rPr>
          <w:rFonts w:hint="eastAsia"/>
          <w:sz w:val="24"/>
          <w:szCs w:val="24"/>
          <w:rtl/>
        </w:rPr>
        <w:t>»</w:t>
      </w:r>
      <w:r w:rsidRPr="00282AC9">
        <w:rPr>
          <w:sz w:val="27"/>
          <w:vertAlign w:val="superscript"/>
          <w:rtl/>
        </w:rPr>
        <w:t>(</w:t>
      </w:r>
      <w:r w:rsidRPr="00282AC9">
        <w:rPr>
          <w:rStyle w:val="af9"/>
          <w:sz w:val="27"/>
          <w:rtl/>
        </w:rPr>
        <w:endnoteReference w:id="108"/>
      </w:r>
      <w:r w:rsidRPr="00282AC9">
        <w:rPr>
          <w:sz w:val="27"/>
          <w:vertAlign w:val="superscript"/>
          <w:rtl/>
        </w:rPr>
        <w:t>)</w:t>
      </w:r>
      <w:r w:rsidRPr="00282AC9">
        <w:rPr>
          <w:rFonts w:hint="cs"/>
          <w:sz w:val="27"/>
          <w:rtl/>
        </w:rPr>
        <w:t>.</w:t>
      </w:r>
    </w:p>
    <w:p w:rsidR="00286861" w:rsidRPr="00282AC9" w:rsidRDefault="00286861" w:rsidP="00201813">
      <w:pPr>
        <w:spacing w:line="430" w:lineRule="exact"/>
        <w:rPr>
          <w:sz w:val="27"/>
          <w:rtl/>
        </w:rPr>
      </w:pPr>
    </w:p>
    <w:p w:rsidR="00286861" w:rsidRPr="00282AC9" w:rsidRDefault="00BC5E40" w:rsidP="00286861">
      <w:pPr>
        <w:pStyle w:val="31"/>
        <w:rPr>
          <w:color w:val="auto"/>
          <w:rtl/>
        </w:rPr>
      </w:pPr>
      <w:r w:rsidRPr="00282AC9">
        <w:rPr>
          <w:rFonts w:hint="cs"/>
          <w:color w:val="auto"/>
          <w:rtl/>
        </w:rPr>
        <w:t>3ـ حكم الجهاد ضد</w:t>
      </w:r>
      <w:r w:rsidR="00286861" w:rsidRPr="00282AC9">
        <w:rPr>
          <w:rFonts w:hint="cs"/>
          <w:color w:val="auto"/>
          <w:rtl/>
        </w:rPr>
        <w:t>ّ</w:t>
      </w:r>
      <w:r w:rsidRPr="00282AC9">
        <w:rPr>
          <w:rFonts w:hint="cs"/>
          <w:color w:val="auto"/>
          <w:rtl/>
        </w:rPr>
        <w:t xml:space="preserve"> إيطاليا وروسيا وإنجلترا</w:t>
      </w:r>
    </w:p>
    <w:p w:rsidR="00BC5E40" w:rsidRPr="00282AC9" w:rsidRDefault="00BC5E40" w:rsidP="00D1080C">
      <w:pPr>
        <w:rPr>
          <w:sz w:val="27"/>
          <w:rtl/>
        </w:rPr>
      </w:pPr>
      <w:r w:rsidRPr="00282AC9">
        <w:rPr>
          <w:rFonts w:hint="cs"/>
          <w:sz w:val="27"/>
          <w:rtl/>
        </w:rPr>
        <w:t xml:space="preserve">قال </w:t>
      </w:r>
      <w:r w:rsidRPr="00282AC9">
        <w:rPr>
          <w:sz w:val="27"/>
          <w:rtl/>
        </w:rPr>
        <w:t>السيد محمد كاظم اليزدي</w:t>
      </w:r>
      <w:r w:rsidR="00286861" w:rsidRPr="00282AC9">
        <w:rPr>
          <w:rFonts w:hint="cs"/>
          <w:sz w:val="27"/>
          <w:rtl/>
        </w:rPr>
        <w:t>،</w:t>
      </w:r>
      <w:r w:rsidRPr="00282AC9">
        <w:rPr>
          <w:rFonts w:hint="cs"/>
          <w:sz w:val="27"/>
          <w:rtl/>
        </w:rPr>
        <w:t xml:space="preserve"> في مواجهة العدوان على إيران وليبيا من هذه الدول: </w:t>
      </w:r>
      <w:r w:rsidRPr="00282AC9">
        <w:rPr>
          <w:rFonts w:hint="eastAsia"/>
          <w:sz w:val="24"/>
          <w:szCs w:val="24"/>
          <w:rtl/>
        </w:rPr>
        <w:t>«</w:t>
      </w:r>
      <w:r w:rsidRPr="00282AC9">
        <w:rPr>
          <w:rFonts w:hint="cs"/>
          <w:sz w:val="27"/>
          <w:rtl/>
        </w:rPr>
        <w:t>في المرحلة الراهنة</w:t>
      </w:r>
      <w:r w:rsidR="00286861" w:rsidRPr="00282AC9">
        <w:rPr>
          <w:rFonts w:hint="cs"/>
          <w:sz w:val="27"/>
          <w:rtl/>
        </w:rPr>
        <w:t>؛</w:t>
      </w:r>
      <w:r w:rsidRPr="00282AC9">
        <w:rPr>
          <w:rFonts w:hint="cs"/>
          <w:sz w:val="27"/>
          <w:rtl/>
        </w:rPr>
        <w:t xml:space="preserve"> حيث قامت الدول الأور</w:t>
      </w:r>
      <w:r w:rsidR="00286861" w:rsidRPr="00282AC9">
        <w:rPr>
          <w:rFonts w:hint="cs"/>
          <w:sz w:val="27"/>
          <w:rtl/>
        </w:rPr>
        <w:t>و</w:t>
      </w:r>
      <w:r w:rsidRPr="00282AC9">
        <w:rPr>
          <w:rFonts w:hint="cs"/>
          <w:sz w:val="27"/>
          <w:rtl/>
        </w:rPr>
        <w:t>بية، مثل: إيطاليا في هجومها على طرابلس الغربي</w:t>
      </w:r>
      <w:r w:rsidR="00286861" w:rsidRPr="00282AC9">
        <w:rPr>
          <w:rFonts w:hint="cs"/>
          <w:sz w:val="27"/>
          <w:rtl/>
        </w:rPr>
        <w:t>ّ</w:t>
      </w:r>
      <w:r w:rsidRPr="00282AC9">
        <w:rPr>
          <w:rFonts w:hint="cs"/>
          <w:sz w:val="27"/>
          <w:rtl/>
        </w:rPr>
        <w:t>ة [ليبيا]، ومن ناحية</w:t>
      </w:r>
      <w:r w:rsidR="00286861" w:rsidRPr="00282AC9">
        <w:rPr>
          <w:rFonts w:hint="cs"/>
          <w:sz w:val="27"/>
          <w:rtl/>
        </w:rPr>
        <w:t>ٍ</w:t>
      </w:r>
      <w:r w:rsidRPr="00282AC9">
        <w:rPr>
          <w:rFonts w:hint="cs"/>
          <w:sz w:val="27"/>
          <w:rtl/>
        </w:rPr>
        <w:t xml:space="preserve"> أخرى الروس</w:t>
      </w:r>
      <w:r w:rsidR="00286861" w:rsidRPr="00282AC9">
        <w:rPr>
          <w:rFonts w:hint="cs"/>
          <w:sz w:val="27"/>
          <w:rtl/>
        </w:rPr>
        <w:t>؛</w:t>
      </w:r>
      <w:r w:rsidRPr="00282AC9">
        <w:rPr>
          <w:rFonts w:hint="cs"/>
          <w:sz w:val="27"/>
          <w:rtl/>
        </w:rPr>
        <w:t xml:space="preserve"> حيث احتل</w:t>
      </w:r>
      <w:r w:rsidR="00286861" w:rsidRPr="00282AC9">
        <w:rPr>
          <w:rFonts w:hint="cs"/>
          <w:sz w:val="27"/>
          <w:rtl/>
        </w:rPr>
        <w:t>ّ</w:t>
      </w:r>
      <w:r w:rsidRPr="00282AC9">
        <w:rPr>
          <w:rFonts w:hint="cs"/>
          <w:sz w:val="27"/>
          <w:rtl/>
        </w:rPr>
        <w:t>وا بقواتهم شمال إيران، والإنجليز</w:t>
      </w:r>
      <w:r w:rsidR="00286861" w:rsidRPr="00282AC9">
        <w:rPr>
          <w:rFonts w:hint="cs"/>
          <w:sz w:val="27"/>
          <w:rtl/>
        </w:rPr>
        <w:t>؛</w:t>
      </w:r>
      <w:r w:rsidRPr="00282AC9">
        <w:rPr>
          <w:rFonts w:hint="cs"/>
          <w:sz w:val="27"/>
          <w:rtl/>
        </w:rPr>
        <w:t xml:space="preserve"> حيث أنزلوا قواتهم في جنوب إيران، الأمر الذي شك</w:t>
      </w:r>
      <w:r w:rsidR="00286861" w:rsidRPr="00282AC9">
        <w:rPr>
          <w:rFonts w:hint="cs"/>
          <w:sz w:val="27"/>
          <w:rtl/>
        </w:rPr>
        <w:t>َّ</w:t>
      </w:r>
      <w:r w:rsidRPr="00282AC9">
        <w:rPr>
          <w:rFonts w:hint="cs"/>
          <w:sz w:val="27"/>
          <w:rtl/>
        </w:rPr>
        <w:t>ل تهديداً للإسلام، فيجب على كاف</w:t>
      </w:r>
      <w:r w:rsidR="00286861" w:rsidRPr="00282AC9">
        <w:rPr>
          <w:rFonts w:hint="cs"/>
          <w:sz w:val="27"/>
          <w:rtl/>
        </w:rPr>
        <w:t>ّ</w:t>
      </w:r>
      <w:r w:rsidRPr="00282AC9">
        <w:rPr>
          <w:rFonts w:hint="cs"/>
          <w:sz w:val="27"/>
          <w:rtl/>
        </w:rPr>
        <w:t>ة المسلمين من العرب والإيرانيين أن ي</w:t>
      </w:r>
      <w:r w:rsidR="00286861" w:rsidRPr="00282AC9">
        <w:rPr>
          <w:rFonts w:hint="cs"/>
          <w:sz w:val="27"/>
          <w:rtl/>
        </w:rPr>
        <w:t>ُ</w:t>
      </w:r>
      <w:r w:rsidRPr="00282AC9">
        <w:rPr>
          <w:rFonts w:hint="cs"/>
          <w:sz w:val="27"/>
          <w:rtl/>
        </w:rPr>
        <w:t>ع</w:t>
      </w:r>
      <w:r w:rsidR="00286861" w:rsidRPr="00282AC9">
        <w:rPr>
          <w:rFonts w:hint="cs"/>
          <w:sz w:val="27"/>
          <w:rtl/>
        </w:rPr>
        <w:t>ِ</w:t>
      </w:r>
      <w:r w:rsidRPr="00282AC9">
        <w:rPr>
          <w:rFonts w:hint="cs"/>
          <w:sz w:val="27"/>
          <w:rtl/>
        </w:rPr>
        <w:t>دّوا أنفسهم لد</w:t>
      </w:r>
      <w:r w:rsidR="00286861" w:rsidRPr="00282AC9">
        <w:rPr>
          <w:rFonts w:hint="cs"/>
          <w:sz w:val="27"/>
          <w:rtl/>
        </w:rPr>
        <w:t>َ</w:t>
      </w:r>
      <w:r w:rsidRPr="00282AC9">
        <w:rPr>
          <w:rFonts w:hint="cs"/>
          <w:sz w:val="27"/>
          <w:rtl/>
        </w:rPr>
        <w:t>ح</w:t>
      </w:r>
      <w:r w:rsidR="00286861" w:rsidRPr="00282AC9">
        <w:rPr>
          <w:rFonts w:hint="cs"/>
          <w:sz w:val="27"/>
          <w:rtl/>
        </w:rPr>
        <w:t>ْ</w:t>
      </w:r>
      <w:r w:rsidRPr="00282AC9">
        <w:rPr>
          <w:rFonts w:hint="cs"/>
          <w:sz w:val="27"/>
          <w:rtl/>
        </w:rPr>
        <w:t>ر الكف</w:t>
      </w:r>
      <w:r w:rsidR="00286861" w:rsidRPr="00282AC9">
        <w:rPr>
          <w:rFonts w:hint="cs"/>
          <w:sz w:val="27"/>
          <w:rtl/>
        </w:rPr>
        <w:t>ّار من البلدان الإسلامية</w:t>
      </w:r>
      <w:r w:rsidRPr="00282AC9">
        <w:rPr>
          <w:rFonts w:hint="cs"/>
          <w:sz w:val="27"/>
          <w:rtl/>
        </w:rPr>
        <w:t>...</w:t>
      </w:r>
      <w:r w:rsidR="00286861" w:rsidRPr="00282AC9">
        <w:rPr>
          <w:rFonts w:hint="cs"/>
          <w:sz w:val="27"/>
          <w:rtl/>
        </w:rPr>
        <w:t>؛</w:t>
      </w:r>
      <w:r w:rsidRPr="00282AC9">
        <w:rPr>
          <w:rFonts w:hint="cs"/>
          <w:sz w:val="27"/>
          <w:rtl/>
        </w:rPr>
        <w:t xml:space="preserve"> لأن هذا من أهم</w:t>
      </w:r>
      <w:r w:rsidR="00286861" w:rsidRPr="00282AC9">
        <w:rPr>
          <w:rFonts w:hint="cs"/>
          <w:sz w:val="27"/>
          <w:rtl/>
        </w:rPr>
        <w:t>ّ</w:t>
      </w:r>
      <w:r w:rsidRPr="00282AC9">
        <w:rPr>
          <w:rFonts w:hint="cs"/>
          <w:sz w:val="27"/>
          <w:rtl/>
        </w:rPr>
        <w:t xml:space="preserve"> الفرائض الإسلامية</w:t>
      </w:r>
      <w:r w:rsidRPr="00282AC9">
        <w:rPr>
          <w:rFonts w:hint="eastAsia"/>
          <w:sz w:val="24"/>
          <w:szCs w:val="24"/>
          <w:rtl/>
        </w:rPr>
        <w:t>»</w:t>
      </w:r>
      <w:r w:rsidRPr="00282AC9">
        <w:rPr>
          <w:sz w:val="27"/>
          <w:vertAlign w:val="superscript"/>
          <w:rtl/>
        </w:rPr>
        <w:t>(</w:t>
      </w:r>
      <w:r w:rsidRPr="00282AC9">
        <w:rPr>
          <w:rStyle w:val="af9"/>
          <w:sz w:val="27"/>
          <w:rtl/>
        </w:rPr>
        <w:endnoteReference w:id="109"/>
      </w:r>
      <w:r w:rsidRPr="00282AC9">
        <w:rPr>
          <w:sz w:val="27"/>
          <w:vertAlign w:val="superscript"/>
          <w:rtl/>
        </w:rPr>
        <w:t>)</w:t>
      </w:r>
      <w:r w:rsidRPr="00282AC9">
        <w:rPr>
          <w:rFonts w:hint="cs"/>
          <w:sz w:val="27"/>
          <w:rtl/>
        </w:rPr>
        <w:t>.</w:t>
      </w:r>
    </w:p>
    <w:p w:rsidR="00286861" w:rsidRPr="00282AC9" w:rsidRDefault="00BC5E40" w:rsidP="00286861">
      <w:pPr>
        <w:pStyle w:val="31"/>
        <w:rPr>
          <w:color w:val="auto"/>
          <w:rtl/>
        </w:rPr>
      </w:pPr>
      <w:r w:rsidRPr="00282AC9">
        <w:rPr>
          <w:rFonts w:hint="cs"/>
          <w:color w:val="auto"/>
          <w:rtl/>
        </w:rPr>
        <w:lastRenderedPageBreak/>
        <w:t>4ـ حكم الجهاد والنفير العام ضدّ الإنجليز</w:t>
      </w:r>
    </w:p>
    <w:p w:rsidR="00BC5E40" w:rsidRPr="00282AC9" w:rsidRDefault="00BC5E40" w:rsidP="00D1080C">
      <w:pPr>
        <w:rPr>
          <w:sz w:val="27"/>
          <w:rtl/>
        </w:rPr>
      </w:pPr>
      <w:r w:rsidRPr="00282AC9">
        <w:rPr>
          <w:rFonts w:hint="cs"/>
          <w:sz w:val="27"/>
          <w:rtl/>
        </w:rPr>
        <w:t>قال السيد عبد الحسين اللاري</w:t>
      </w:r>
      <w:r w:rsidR="00286861" w:rsidRPr="00282AC9">
        <w:rPr>
          <w:rFonts w:hint="cs"/>
          <w:sz w:val="27"/>
          <w:rtl/>
        </w:rPr>
        <w:t>،</w:t>
      </w:r>
      <w:r w:rsidRPr="00282AC9">
        <w:rPr>
          <w:rFonts w:hint="cs"/>
          <w:sz w:val="27"/>
          <w:rtl/>
        </w:rPr>
        <w:t xml:space="preserve"> في الحرب العالمية الأولى، حيث أنزلت القوات الإنجليزية جنودها في مدينة بوشهر، وعمدوا إلى احتلال المنطقة عسكري</w:t>
      </w:r>
      <w:r w:rsidR="00ED16E2" w:rsidRPr="00282AC9">
        <w:rPr>
          <w:rFonts w:hint="cs"/>
          <w:sz w:val="27"/>
          <w:rtl/>
        </w:rPr>
        <w:t>ّ</w:t>
      </w:r>
      <w:r w:rsidRPr="00282AC9">
        <w:rPr>
          <w:rFonts w:hint="cs"/>
          <w:sz w:val="27"/>
          <w:rtl/>
        </w:rPr>
        <w:t xml:space="preserve">اً: </w:t>
      </w:r>
      <w:r w:rsidRPr="00282AC9">
        <w:rPr>
          <w:rFonts w:hint="eastAsia"/>
          <w:sz w:val="24"/>
          <w:szCs w:val="24"/>
          <w:rtl/>
        </w:rPr>
        <w:t>«</w:t>
      </w:r>
      <w:r w:rsidRPr="00282AC9">
        <w:rPr>
          <w:rFonts w:hint="cs"/>
          <w:sz w:val="27"/>
          <w:rtl/>
        </w:rPr>
        <w:t>إن الواجب العيني</w:t>
      </w:r>
      <w:r w:rsidR="00ED16E2" w:rsidRPr="00282AC9">
        <w:rPr>
          <w:rFonts w:hint="cs"/>
          <w:sz w:val="27"/>
          <w:rtl/>
        </w:rPr>
        <w:t>ّ</w:t>
      </w:r>
      <w:r w:rsidRPr="00282AC9">
        <w:rPr>
          <w:rFonts w:hint="cs"/>
          <w:sz w:val="27"/>
          <w:rtl/>
        </w:rPr>
        <w:t xml:space="preserve"> فوري</w:t>
      </w:r>
      <w:r w:rsidR="00ED16E2" w:rsidRPr="00282AC9">
        <w:rPr>
          <w:rFonts w:hint="cs"/>
          <w:sz w:val="27"/>
          <w:rtl/>
        </w:rPr>
        <w:t>ٌّ</w:t>
      </w:r>
      <w:r w:rsidRPr="00282AC9">
        <w:rPr>
          <w:rFonts w:hint="cs"/>
          <w:sz w:val="27"/>
          <w:rtl/>
        </w:rPr>
        <w:t>... إن الجهاد والدفاع واجب</w:t>
      </w:r>
      <w:r w:rsidR="00ED16E2" w:rsidRPr="00282AC9">
        <w:rPr>
          <w:rFonts w:hint="cs"/>
          <w:sz w:val="27"/>
          <w:rtl/>
        </w:rPr>
        <w:t>ٌ</w:t>
      </w:r>
      <w:r w:rsidRPr="00282AC9">
        <w:rPr>
          <w:rFonts w:hint="cs"/>
          <w:sz w:val="27"/>
          <w:rtl/>
        </w:rPr>
        <w:t>، وكل</w:t>
      </w:r>
      <w:r w:rsidR="00ED16E2" w:rsidRPr="00282AC9">
        <w:rPr>
          <w:rFonts w:hint="cs"/>
          <w:sz w:val="27"/>
          <w:rtl/>
        </w:rPr>
        <w:t>ُّ</w:t>
      </w:r>
      <w:r w:rsidRPr="00282AC9">
        <w:rPr>
          <w:rFonts w:hint="cs"/>
          <w:sz w:val="27"/>
          <w:rtl/>
        </w:rPr>
        <w:t xml:space="preserve"> م</w:t>
      </w:r>
      <w:r w:rsidR="00ED16E2" w:rsidRPr="00282AC9">
        <w:rPr>
          <w:rFonts w:hint="cs"/>
          <w:sz w:val="27"/>
          <w:rtl/>
        </w:rPr>
        <w:t>َ</w:t>
      </w:r>
      <w:r w:rsidRPr="00282AC9">
        <w:rPr>
          <w:rFonts w:hint="cs"/>
          <w:sz w:val="27"/>
          <w:rtl/>
        </w:rPr>
        <w:t>ن</w:t>
      </w:r>
      <w:r w:rsidR="00ED16E2" w:rsidRPr="00282AC9">
        <w:rPr>
          <w:rFonts w:hint="cs"/>
          <w:sz w:val="27"/>
          <w:rtl/>
        </w:rPr>
        <w:t>ْ</w:t>
      </w:r>
      <w:r w:rsidRPr="00282AC9">
        <w:rPr>
          <w:rFonts w:hint="cs"/>
          <w:sz w:val="27"/>
          <w:rtl/>
        </w:rPr>
        <w:t xml:space="preserve"> يتخل</w:t>
      </w:r>
      <w:r w:rsidR="00ED16E2" w:rsidRPr="00282AC9">
        <w:rPr>
          <w:rFonts w:hint="cs"/>
          <w:sz w:val="27"/>
          <w:rtl/>
        </w:rPr>
        <w:t>َّ</w:t>
      </w:r>
      <w:r w:rsidRPr="00282AC9">
        <w:rPr>
          <w:rFonts w:hint="cs"/>
          <w:sz w:val="27"/>
          <w:rtl/>
        </w:rPr>
        <w:t>ف أو يتقاعس عن الالتحاق بهذا الجيش</w:t>
      </w:r>
      <w:r w:rsidR="00ED16E2" w:rsidRPr="00282AC9">
        <w:rPr>
          <w:rFonts w:hint="cs"/>
          <w:sz w:val="27"/>
          <w:rtl/>
        </w:rPr>
        <w:t>،</w:t>
      </w:r>
      <w:r w:rsidRPr="00282AC9">
        <w:rPr>
          <w:rFonts w:hint="cs"/>
          <w:sz w:val="27"/>
          <w:rtl/>
        </w:rPr>
        <w:t xml:space="preserve"> وعن هذا الجهاد الأكبر والنهي عن المنكر، فكأن</w:t>
      </w:r>
      <w:r w:rsidR="00ED16E2" w:rsidRPr="00282AC9">
        <w:rPr>
          <w:rFonts w:hint="cs"/>
          <w:sz w:val="27"/>
          <w:rtl/>
        </w:rPr>
        <w:t>َّ</w:t>
      </w:r>
      <w:r w:rsidRPr="00282AC9">
        <w:rPr>
          <w:rFonts w:hint="cs"/>
          <w:sz w:val="27"/>
          <w:rtl/>
        </w:rPr>
        <w:t>ما تخل</w:t>
      </w:r>
      <w:r w:rsidR="00ED16E2" w:rsidRPr="00282AC9">
        <w:rPr>
          <w:rFonts w:hint="cs"/>
          <w:sz w:val="27"/>
          <w:rtl/>
        </w:rPr>
        <w:t>َّ</w:t>
      </w:r>
      <w:r w:rsidRPr="00282AC9">
        <w:rPr>
          <w:rFonts w:hint="cs"/>
          <w:sz w:val="27"/>
          <w:rtl/>
        </w:rPr>
        <w:t>ف عن جيش أسامة وص</w:t>
      </w:r>
      <w:r w:rsidR="00ED16E2" w:rsidRPr="00282AC9">
        <w:rPr>
          <w:rFonts w:hint="cs"/>
          <w:sz w:val="27"/>
          <w:rtl/>
        </w:rPr>
        <w:t>ا</w:t>
      </w:r>
      <w:r w:rsidRPr="00282AC9">
        <w:rPr>
          <w:rFonts w:hint="cs"/>
          <w:sz w:val="27"/>
          <w:rtl/>
        </w:rPr>
        <w:t>حب العصر والزمان</w:t>
      </w:r>
      <w:r w:rsidRPr="00282AC9">
        <w:rPr>
          <w:rFonts w:hint="eastAsia"/>
          <w:sz w:val="24"/>
          <w:szCs w:val="24"/>
          <w:rtl/>
        </w:rPr>
        <w:t>»</w:t>
      </w:r>
      <w:r w:rsidRPr="00282AC9">
        <w:rPr>
          <w:sz w:val="27"/>
          <w:vertAlign w:val="superscript"/>
          <w:rtl/>
        </w:rPr>
        <w:t>(</w:t>
      </w:r>
      <w:r w:rsidRPr="00282AC9">
        <w:rPr>
          <w:rStyle w:val="af9"/>
          <w:sz w:val="27"/>
          <w:rtl/>
        </w:rPr>
        <w:endnoteReference w:id="110"/>
      </w:r>
      <w:r w:rsidRPr="00282AC9">
        <w:rPr>
          <w:sz w:val="27"/>
          <w:vertAlign w:val="superscript"/>
          <w:rtl/>
        </w:rPr>
        <w:t>)</w:t>
      </w:r>
      <w:r w:rsidRPr="00282AC9">
        <w:rPr>
          <w:rFonts w:hint="cs"/>
          <w:sz w:val="27"/>
          <w:rtl/>
        </w:rPr>
        <w:t>.</w:t>
      </w:r>
    </w:p>
    <w:p w:rsidR="00ED16E2" w:rsidRPr="00282AC9" w:rsidRDefault="00ED16E2" w:rsidP="003A1F8E">
      <w:pPr>
        <w:spacing w:line="430" w:lineRule="exact"/>
        <w:rPr>
          <w:sz w:val="27"/>
          <w:rtl/>
        </w:rPr>
      </w:pPr>
    </w:p>
    <w:p w:rsidR="00ED16E2" w:rsidRPr="00282AC9" w:rsidRDefault="00BC5E40" w:rsidP="00ED16E2">
      <w:pPr>
        <w:pStyle w:val="31"/>
        <w:rPr>
          <w:color w:val="auto"/>
          <w:rtl/>
        </w:rPr>
      </w:pPr>
      <w:r w:rsidRPr="00282AC9">
        <w:rPr>
          <w:rFonts w:hint="cs"/>
          <w:color w:val="auto"/>
          <w:rtl/>
        </w:rPr>
        <w:t>5ـ حكم الاعتراض على السفور ونزع الحجاب</w:t>
      </w:r>
    </w:p>
    <w:p w:rsidR="00BC5E40" w:rsidRPr="00282AC9" w:rsidRDefault="00BC5E40" w:rsidP="00D1080C">
      <w:pPr>
        <w:rPr>
          <w:sz w:val="27"/>
          <w:rtl/>
        </w:rPr>
      </w:pPr>
      <w:r w:rsidRPr="00282AC9">
        <w:rPr>
          <w:rFonts w:hint="cs"/>
          <w:sz w:val="27"/>
          <w:rtl/>
        </w:rPr>
        <w:t>عندما سمع الحاج الآغا حسين القم</w:t>
      </w:r>
      <w:r w:rsidR="00ED16E2" w:rsidRPr="00282AC9">
        <w:rPr>
          <w:rFonts w:hint="cs"/>
          <w:sz w:val="27"/>
          <w:rtl/>
        </w:rPr>
        <w:t>ّ</w:t>
      </w:r>
      <w:r w:rsidRPr="00282AC9">
        <w:rPr>
          <w:rFonts w:hint="cs"/>
          <w:sz w:val="27"/>
          <w:rtl/>
        </w:rPr>
        <w:t>ي بالدستور الم</w:t>
      </w:r>
      <w:r w:rsidR="00ED16E2" w:rsidRPr="00282AC9">
        <w:rPr>
          <w:rFonts w:hint="cs"/>
          <w:sz w:val="27"/>
          <w:rtl/>
        </w:rPr>
        <w:t>َ</w:t>
      </w:r>
      <w:r w:rsidRPr="00282AC9">
        <w:rPr>
          <w:rFonts w:hint="cs"/>
          <w:sz w:val="27"/>
          <w:rtl/>
        </w:rPr>
        <w:t>ل</w:t>
      </w:r>
      <w:r w:rsidR="00ED16E2" w:rsidRPr="00282AC9">
        <w:rPr>
          <w:rFonts w:hint="cs"/>
          <w:sz w:val="27"/>
          <w:rtl/>
        </w:rPr>
        <w:t>َ</w:t>
      </w:r>
      <w:r w:rsidRPr="00282AC9">
        <w:rPr>
          <w:rFonts w:hint="cs"/>
          <w:sz w:val="27"/>
          <w:rtl/>
        </w:rPr>
        <w:t>كي</w:t>
      </w:r>
      <w:r w:rsidR="00ED16E2" w:rsidRPr="00282AC9">
        <w:rPr>
          <w:rFonts w:hint="cs"/>
          <w:sz w:val="27"/>
          <w:rtl/>
        </w:rPr>
        <w:t>ّ</w:t>
      </w:r>
      <w:r w:rsidRPr="00282AC9">
        <w:rPr>
          <w:rFonts w:hint="cs"/>
          <w:sz w:val="27"/>
          <w:rtl/>
        </w:rPr>
        <w:t xml:space="preserve"> الصادر عن رضا خان في خلع الحجاب صرّ</w:t>
      </w:r>
      <w:r w:rsidR="00ED16E2" w:rsidRPr="00282AC9">
        <w:rPr>
          <w:rFonts w:hint="cs"/>
          <w:sz w:val="27"/>
          <w:rtl/>
        </w:rPr>
        <w:t>َ</w:t>
      </w:r>
      <w:r w:rsidRPr="00282AC9">
        <w:rPr>
          <w:rFonts w:hint="cs"/>
          <w:sz w:val="27"/>
          <w:rtl/>
        </w:rPr>
        <w:t xml:space="preserve">ح قائلاً: </w:t>
      </w:r>
      <w:r w:rsidRPr="00282AC9">
        <w:rPr>
          <w:rFonts w:hint="eastAsia"/>
          <w:sz w:val="24"/>
          <w:szCs w:val="24"/>
          <w:rtl/>
        </w:rPr>
        <w:t>«</w:t>
      </w:r>
      <w:r w:rsidRPr="00282AC9">
        <w:rPr>
          <w:rFonts w:hint="cs"/>
          <w:sz w:val="27"/>
          <w:rtl/>
        </w:rPr>
        <w:t>لو قضى عشرة آلاف شخص ـ وأنا واحد</w:t>
      </w:r>
      <w:r w:rsidR="00ED16E2" w:rsidRPr="00282AC9">
        <w:rPr>
          <w:rFonts w:hint="cs"/>
          <w:sz w:val="27"/>
          <w:rtl/>
        </w:rPr>
        <w:t>ٌ</w:t>
      </w:r>
      <w:r w:rsidRPr="00282AC9">
        <w:rPr>
          <w:rFonts w:hint="cs"/>
          <w:sz w:val="27"/>
          <w:rtl/>
        </w:rPr>
        <w:t xml:space="preserve"> منهم ـ قتلاً</w:t>
      </w:r>
      <w:r w:rsidR="00ED16E2" w:rsidRPr="00282AC9">
        <w:rPr>
          <w:rFonts w:hint="cs"/>
          <w:sz w:val="27"/>
          <w:rtl/>
        </w:rPr>
        <w:t>؛</w:t>
      </w:r>
      <w:r w:rsidRPr="00282AC9">
        <w:rPr>
          <w:rFonts w:hint="cs"/>
          <w:sz w:val="27"/>
          <w:rtl/>
        </w:rPr>
        <w:t xml:space="preserve"> من أجل الوقوف بوجه هذا الأمر، جاز ذلك</w:t>
      </w:r>
      <w:r w:rsidRPr="00282AC9">
        <w:rPr>
          <w:rFonts w:hint="eastAsia"/>
          <w:sz w:val="24"/>
          <w:szCs w:val="24"/>
          <w:rtl/>
        </w:rPr>
        <w:t>»</w:t>
      </w:r>
      <w:r w:rsidRPr="00282AC9">
        <w:rPr>
          <w:sz w:val="27"/>
          <w:vertAlign w:val="superscript"/>
          <w:rtl/>
        </w:rPr>
        <w:t>(</w:t>
      </w:r>
      <w:r w:rsidRPr="00282AC9">
        <w:rPr>
          <w:rStyle w:val="af9"/>
          <w:sz w:val="27"/>
          <w:rtl/>
        </w:rPr>
        <w:endnoteReference w:id="111"/>
      </w:r>
      <w:r w:rsidRPr="00282AC9">
        <w:rPr>
          <w:sz w:val="27"/>
          <w:vertAlign w:val="superscript"/>
          <w:rtl/>
        </w:rPr>
        <w:t>)</w:t>
      </w:r>
      <w:r w:rsidRPr="00282AC9">
        <w:rPr>
          <w:rFonts w:hint="cs"/>
          <w:sz w:val="27"/>
          <w:rtl/>
        </w:rPr>
        <w:t>.</w:t>
      </w:r>
    </w:p>
    <w:p w:rsidR="00BC4D37" w:rsidRPr="00282AC9" w:rsidRDefault="00BC4D37" w:rsidP="003A1F8E">
      <w:pPr>
        <w:spacing w:line="430" w:lineRule="exact"/>
        <w:rPr>
          <w:sz w:val="27"/>
          <w:rtl/>
        </w:rPr>
      </w:pPr>
    </w:p>
    <w:p w:rsidR="00ED16E2" w:rsidRPr="00282AC9" w:rsidRDefault="00BC5E40" w:rsidP="00ED16E2">
      <w:pPr>
        <w:pStyle w:val="31"/>
        <w:rPr>
          <w:color w:val="auto"/>
          <w:rtl/>
        </w:rPr>
      </w:pPr>
      <w:r w:rsidRPr="00282AC9">
        <w:rPr>
          <w:rFonts w:hint="cs"/>
          <w:color w:val="auto"/>
          <w:rtl/>
        </w:rPr>
        <w:t>6ـ فتوى تأميم النفط</w:t>
      </w:r>
    </w:p>
    <w:p w:rsidR="00BC5E40" w:rsidRPr="00282AC9" w:rsidRDefault="00BC5E40" w:rsidP="00BC4D37">
      <w:pPr>
        <w:rPr>
          <w:sz w:val="27"/>
          <w:rtl/>
        </w:rPr>
      </w:pPr>
      <w:r w:rsidRPr="00282AC9">
        <w:rPr>
          <w:rFonts w:hint="cs"/>
          <w:sz w:val="27"/>
          <w:rtl/>
        </w:rPr>
        <w:t>قال السيد محمد تقي الخو</w:t>
      </w:r>
      <w:r w:rsidR="00ED16E2" w:rsidRPr="00282AC9">
        <w:rPr>
          <w:rFonts w:hint="cs"/>
          <w:sz w:val="27"/>
          <w:rtl/>
        </w:rPr>
        <w:t>ا</w:t>
      </w:r>
      <w:r w:rsidRPr="00282AC9">
        <w:rPr>
          <w:rFonts w:hint="cs"/>
          <w:sz w:val="27"/>
          <w:rtl/>
        </w:rPr>
        <w:t xml:space="preserve">نساري في هذا الشأن: </w:t>
      </w:r>
      <w:r w:rsidRPr="00282AC9">
        <w:rPr>
          <w:rFonts w:hint="eastAsia"/>
          <w:sz w:val="24"/>
          <w:szCs w:val="24"/>
          <w:rtl/>
        </w:rPr>
        <w:t>«</w:t>
      </w:r>
      <w:r w:rsidR="00B02F46" w:rsidRPr="00282AC9">
        <w:rPr>
          <w:rFonts w:hint="cs"/>
          <w:sz w:val="27"/>
          <w:rtl/>
        </w:rPr>
        <w:t>...</w:t>
      </w:r>
      <w:r w:rsidRPr="00282AC9">
        <w:rPr>
          <w:rFonts w:hint="cs"/>
          <w:sz w:val="27"/>
          <w:rtl/>
        </w:rPr>
        <w:t>لو تمّ رفض هذا الحكم كان ذلك رفضاً لكلام رسول الله، وعليه لا يبقى هناك عذر</w:t>
      </w:r>
      <w:r w:rsidR="00B02F46" w:rsidRPr="00282AC9">
        <w:rPr>
          <w:rFonts w:hint="cs"/>
          <w:sz w:val="27"/>
          <w:rtl/>
        </w:rPr>
        <w:t>ٌ</w:t>
      </w:r>
      <w:r w:rsidRPr="00282AC9">
        <w:rPr>
          <w:rFonts w:hint="cs"/>
          <w:sz w:val="27"/>
          <w:rtl/>
        </w:rPr>
        <w:t xml:space="preserve"> لأحد</w:t>
      </w:r>
      <w:r w:rsidR="00B02F46" w:rsidRPr="00282AC9">
        <w:rPr>
          <w:rFonts w:hint="cs"/>
          <w:sz w:val="27"/>
          <w:rtl/>
        </w:rPr>
        <w:t>ٍ</w:t>
      </w:r>
      <w:r w:rsidRPr="00282AC9">
        <w:rPr>
          <w:rFonts w:hint="cs"/>
          <w:sz w:val="27"/>
          <w:rtl/>
        </w:rPr>
        <w:t xml:space="preserve">، </w:t>
      </w:r>
      <w:r w:rsidR="00B02F46" w:rsidRPr="00282AC9">
        <w:rPr>
          <w:rFonts w:hint="cs"/>
          <w:sz w:val="27"/>
          <w:rtl/>
        </w:rPr>
        <w:t>و</w:t>
      </w:r>
      <w:r w:rsidR="00674EF5" w:rsidRPr="00282AC9">
        <w:rPr>
          <w:rFonts w:hint="cs"/>
          <w:sz w:val="27"/>
          <w:rtl/>
        </w:rPr>
        <w:t>لا سيَّما</w:t>
      </w:r>
      <w:r w:rsidRPr="00282AC9">
        <w:rPr>
          <w:rFonts w:hint="cs"/>
          <w:sz w:val="27"/>
          <w:rtl/>
        </w:rPr>
        <w:t xml:space="preserve"> أن شخصاً مثل</w:t>
      </w:r>
      <w:r w:rsidR="00B02F46" w:rsidRPr="00282AC9">
        <w:rPr>
          <w:rFonts w:hint="cs"/>
          <w:sz w:val="27"/>
          <w:rtl/>
        </w:rPr>
        <w:t xml:space="preserve">: </w:t>
      </w:r>
      <w:r w:rsidRPr="00282AC9">
        <w:rPr>
          <w:rFonts w:hint="cs"/>
          <w:sz w:val="27"/>
          <w:rtl/>
        </w:rPr>
        <w:t>سماحة آية الله الكاشاني ـ دامت بركاته ـ</w:t>
      </w:r>
      <w:r w:rsidR="00B02F46" w:rsidRPr="00282AC9">
        <w:rPr>
          <w:rFonts w:hint="cs"/>
          <w:sz w:val="27"/>
          <w:rtl/>
        </w:rPr>
        <w:t>،</w:t>
      </w:r>
      <w:r w:rsidRPr="00282AC9">
        <w:rPr>
          <w:rFonts w:hint="cs"/>
          <w:sz w:val="27"/>
          <w:rtl/>
        </w:rPr>
        <w:t xml:space="preserve"> وهو من المجتهدين العدول، بالإضافة إلى ا</w:t>
      </w:r>
      <w:r w:rsidR="00B02F46" w:rsidRPr="00282AC9">
        <w:rPr>
          <w:rFonts w:hint="cs"/>
          <w:sz w:val="27"/>
          <w:rtl/>
        </w:rPr>
        <w:t>تّ</w:t>
      </w:r>
      <w:r w:rsidRPr="00282AC9">
        <w:rPr>
          <w:rFonts w:hint="cs"/>
          <w:sz w:val="27"/>
          <w:rtl/>
        </w:rPr>
        <w:t>صافه بالشجاعة والإخلاص والتضحية في</w:t>
      </w:r>
      <w:r w:rsidR="00B02F46" w:rsidRPr="00282AC9">
        <w:rPr>
          <w:rFonts w:hint="cs"/>
          <w:sz w:val="27"/>
          <w:rtl/>
        </w:rPr>
        <w:t xml:space="preserve"> </w:t>
      </w:r>
      <w:r w:rsidRPr="00282AC9">
        <w:rPr>
          <w:rFonts w:hint="cs"/>
          <w:sz w:val="27"/>
          <w:rtl/>
        </w:rPr>
        <w:t>ما يتعل</w:t>
      </w:r>
      <w:r w:rsidR="00B02F46" w:rsidRPr="00282AC9">
        <w:rPr>
          <w:rFonts w:hint="cs"/>
          <w:sz w:val="27"/>
          <w:rtl/>
        </w:rPr>
        <w:t>َّ</w:t>
      </w:r>
      <w:r w:rsidRPr="00282AC9">
        <w:rPr>
          <w:rFonts w:hint="cs"/>
          <w:sz w:val="27"/>
          <w:rtl/>
        </w:rPr>
        <w:t>ق بمصالح الناس في الدين والدنيا، قد بذل كل</w:t>
      </w:r>
      <w:r w:rsidR="00B02F46" w:rsidRPr="00282AC9">
        <w:rPr>
          <w:rFonts w:hint="cs"/>
          <w:sz w:val="27"/>
          <w:rtl/>
        </w:rPr>
        <w:t>ّ</w:t>
      </w:r>
      <w:r w:rsidRPr="00282AC9">
        <w:rPr>
          <w:rFonts w:hint="cs"/>
          <w:sz w:val="27"/>
          <w:rtl/>
        </w:rPr>
        <w:t xml:space="preserve"> ما بوسعه من أجل توعية الناس واستنهاض ه</w:t>
      </w:r>
      <w:r w:rsidR="00B02F46" w:rsidRPr="00282AC9">
        <w:rPr>
          <w:rFonts w:hint="cs"/>
          <w:sz w:val="27"/>
          <w:rtl/>
        </w:rPr>
        <w:t>ِ</w:t>
      </w:r>
      <w:r w:rsidRPr="00282AC9">
        <w:rPr>
          <w:rFonts w:hint="cs"/>
          <w:sz w:val="27"/>
          <w:rtl/>
        </w:rPr>
        <w:t>م</w:t>
      </w:r>
      <w:r w:rsidR="00B02F46" w:rsidRPr="00282AC9">
        <w:rPr>
          <w:rFonts w:hint="cs"/>
          <w:sz w:val="27"/>
          <w:rtl/>
        </w:rPr>
        <w:t>َ</w:t>
      </w:r>
      <w:r w:rsidRPr="00282AC9">
        <w:rPr>
          <w:rFonts w:hint="cs"/>
          <w:sz w:val="27"/>
          <w:rtl/>
        </w:rPr>
        <w:t>مهم، وعليه لا يبقى هناك عذر</w:t>
      </w:r>
      <w:r w:rsidR="00B02F46" w:rsidRPr="00282AC9">
        <w:rPr>
          <w:rFonts w:hint="cs"/>
          <w:sz w:val="27"/>
          <w:rtl/>
        </w:rPr>
        <w:t>ٌ</w:t>
      </w:r>
      <w:r w:rsidRPr="00282AC9">
        <w:rPr>
          <w:rFonts w:hint="cs"/>
          <w:sz w:val="27"/>
          <w:rtl/>
        </w:rPr>
        <w:t xml:space="preserve"> لأي</w:t>
      </w:r>
      <w:r w:rsidR="00B02F46" w:rsidRPr="00282AC9">
        <w:rPr>
          <w:rFonts w:hint="cs"/>
          <w:sz w:val="27"/>
          <w:rtl/>
        </w:rPr>
        <w:t>ّ</w:t>
      </w:r>
      <w:r w:rsidRPr="00282AC9">
        <w:rPr>
          <w:rFonts w:hint="cs"/>
          <w:sz w:val="27"/>
          <w:rtl/>
        </w:rPr>
        <w:t xml:space="preserve"> شخص</w:t>
      </w:r>
      <w:r w:rsidR="00B02F46" w:rsidRPr="00282AC9">
        <w:rPr>
          <w:rFonts w:hint="cs"/>
          <w:sz w:val="27"/>
          <w:rtl/>
        </w:rPr>
        <w:t>ٍ</w:t>
      </w:r>
      <w:r w:rsidRPr="00282AC9">
        <w:rPr>
          <w:rFonts w:hint="cs"/>
          <w:sz w:val="27"/>
          <w:rtl/>
        </w:rPr>
        <w:t xml:space="preserve"> في ذلك</w:t>
      </w:r>
      <w:r w:rsidRPr="00282AC9">
        <w:rPr>
          <w:rFonts w:hint="eastAsia"/>
          <w:sz w:val="24"/>
          <w:szCs w:val="24"/>
          <w:rtl/>
        </w:rPr>
        <w:t>»</w:t>
      </w:r>
      <w:r w:rsidRPr="00282AC9">
        <w:rPr>
          <w:sz w:val="27"/>
          <w:vertAlign w:val="superscript"/>
          <w:rtl/>
        </w:rPr>
        <w:t>(</w:t>
      </w:r>
      <w:r w:rsidRPr="00282AC9">
        <w:rPr>
          <w:rStyle w:val="af9"/>
          <w:sz w:val="27"/>
          <w:rtl/>
        </w:rPr>
        <w:endnoteReference w:id="112"/>
      </w:r>
      <w:r w:rsidRPr="00282AC9">
        <w:rPr>
          <w:sz w:val="27"/>
          <w:vertAlign w:val="superscript"/>
          <w:rtl/>
        </w:rPr>
        <w:t>)</w:t>
      </w:r>
      <w:r w:rsidRPr="00282AC9">
        <w:rPr>
          <w:rFonts w:hint="cs"/>
          <w:sz w:val="27"/>
          <w:rtl/>
        </w:rPr>
        <w:t>.</w:t>
      </w:r>
    </w:p>
    <w:p w:rsidR="00B02F46" w:rsidRPr="00282AC9" w:rsidRDefault="00B02F46" w:rsidP="003A1F8E">
      <w:pPr>
        <w:spacing w:line="430" w:lineRule="exact"/>
        <w:rPr>
          <w:sz w:val="27"/>
          <w:rtl/>
        </w:rPr>
      </w:pPr>
    </w:p>
    <w:p w:rsidR="00B02F46" w:rsidRPr="00282AC9" w:rsidRDefault="00BC5E40" w:rsidP="00B02F46">
      <w:pPr>
        <w:pStyle w:val="31"/>
        <w:rPr>
          <w:color w:val="auto"/>
          <w:rtl/>
        </w:rPr>
      </w:pPr>
      <w:r w:rsidRPr="00282AC9">
        <w:rPr>
          <w:rFonts w:hint="cs"/>
          <w:color w:val="auto"/>
          <w:rtl/>
        </w:rPr>
        <w:t>7ـ الحكم بكفر الحزب الشيوعي</w:t>
      </w:r>
      <w:r w:rsidR="00B02F46" w:rsidRPr="00282AC9">
        <w:rPr>
          <w:rFonts w:hint="cs"/>
          <w:color w:val="auto"/>
          <w:rtl/>
        </w:rPr>
        <w:t>ّ</w:t>
      </w:r>
    </w:p>
    <w:p w:rsidR="00BC5E40" w:rsidRPr="00282AC9" w:rsidRDefault="00BC5E40" w:rsidP="00BC4D37">
      <w:pPr>
        <w:rPr>
          <w:sz w:val="27"/>
          <w:rtl/>
        </w:rPr>
      </w:pPr>
      <w:r w:rsidRPr="00282AC9">
        <w:rPr>
          <w:rFonts w:hint="cs"/>
          <w:sz w:val="27"/>
          <w:rtl/>
        </w:rPr>
        <w:t xml:space="preserve">قال السيد محسن الحكيم في هذا الشأن: </w:t>
      </w:r>
      <w:r w:rsidRPr="00282AC9">
        <w:rPr>
          <w:rFonts w:hint="eastAsia"/>
          <w:sz w:val="24"/>
          <w:szCs w:val="24"/>
          <w:rtl/>
        </w:rPr>
        <w:t>«</w:t>
      </w:r>
      <w:r w:rsidRPr="00282AC9">
        <w:rPr>
          <w:rFonts w:hint="cs"/>
          <w:sz w:val="27"/>
          <w:rtl/>
        </w:rPr>
        <w:t>لا يجوز الانتماء إلى الحزب الشيوعي</w:t>
      </w:r>
      <w:r w:rsidR="00B02F46" w:rsidRPr="00282AC9">
        <w:rPr>
          <w:rFonts w:hint="cs"/>
          <w:sz w:val="27"/>
          <w:rtl/>
        </w:rPr>
        <w:t>ّ</w:t>
      </w:r>
      <w:r w:rsidRPr="00282AC9">
        <w:rPr>
          <w:rFonts w:hint="cs"/>
          <w:sz w:val="27"/>
          <w:rtl/>
        </w:rPr>
        <w:t>، فإن ذلك كفر</w:t>
      </w:r>
      <w:r w:rsidR="00B02F46" w:rsidRPr="00282AC9">
        <w:rPr>
          <w:rFonts w:hint="cs"/>
          <w:sz w:val="27"/>
          <w:rtl/>
        </w:rPr>
        <w:t>ٌ</w:t>
      </w:r>
      <w:r w:rsidRPr="00282AC9">
        <w:rPr>
          <w:rFonts w:hint="cs"/>
          <w:sz w:val="27"/>
          <w:rtl/>
        </w:rPr>
        <w:t xml:space="preserve"> وإلحاد</w:t>
      </w:r>
      <w:r w:rsidR="00B02F46" w:rsidRPr="00282AC9">
        <w:rPr>
          <w:rFonts w:hint="cs"/>
          <w:sz w:val="27"/>
          <w:rtl/>
        </w:rPr>
        <w:t>ٌ</w:t>
      </w:r>
      <w:r w:rsidRPr="00282AC9">
        <w:rPr>
          <w:rFonts w:hint="cs"/>
          <w:sz w:val="27"/>
          <w:rtl/>
        </w:rPr>
        <w:t>، أو ترويج</w:t>
      </w:r>
      <w:r w:rsidR="00B02F46" w:rsidRPr="00282AC9">
        <w:rPr>
          <w:rFonts w:hint="cs"/>
          <w:sz w:val="27"/>
          <w:rtl/>
        </w:rPr>
        <w:t>ٌ</w:t>
      </w:r>
      <w:r w:rsidRPr="00282AC9">
        <w:rPr>
          <w:rFonts w:hint="cs"/>
          <w:sz w:val="27"/>
          <w:rtl/>
        </w:rPr>
        <w:t xml:space="preserve"> للكفر</w:t>
      </w:r>
      <w:r w:rsidRPr="00282AC9">
        <w:rPr>
          <w:rFonts w:hint="eastAsia"/>
          <w:sz w:val="24"/>
          <w:szCs w:val="24"/>
          <w:rtl/>
        </w:rPr>
        <w:t>»</w:t>
      </w:r>
      <w:r w:rsidRPr="00282AC9">
        <w:rPr>
          <w:sz w:val="27"/>
          <w:vertAlign w:val="superscript"/>
          <w:rtl/>
        </w:rPr>
        <w:t>(</w:t>
      </w:r>
      <w:r w:rsidRPr="00282AC9">
        <w:rPr>
          <w:rStyle w:val="af9"/>
          <w:sz w:val="27"/>
          <w:rtl/>
        </w:rPr>
        <w:endnoteReference w:id="113"/>
      </w:r>
      <w:r w:rsidRPr="00282AC9">
        <w:rPr>
          <w:sz w:val="27"/>
          <w:vertAlign w:val="superscript"/>
          <w:rtl/>
        </w:rPr>
        <w:t>)</w:t>
      </w:r>
      <w:r w:rsidRPr="00282AC9">
        <w:rPr>
          <w:rFonts w:hint="cs"/>
          <w:sz w:val="27"/>
          <w:rtl/>
        </w:rPr>
        <w:t>.</w:t>
      </w:r>
    </w:p>
    <w:p w:rsidR="00B02F46" w:rsidRPr="00282AC9" w:rsidRDefault="00B02F46" w:rsidP="003A1F8E">
      <w:pPr>
        <w:spacing w:line="430" w:lineRule="exact"/>
        <w:rPr>
          <w:sz w:val="27"/>
          <w:rtl/>
        </w:rPr>
      </w:pPr>
    </w:p>
    <w:p w:rsidR="00B02F46" w:rsidRPr="00282AC9" w:rsidRDefault="00BC5E40" w:rsidP="00D746C6">
      <w:pPr>
        <w:pStyle w:val="31"/>
        <w:rPr>
          <w:color w:val="auto"/>
          <w:rtl/>
        </w:rPr>
      </w:pPr>
      <w:r w:rsidRPr="00282AC9">
        <w:rPr>
          <w:rFonts w:hint="cs"/>
          <w:color w:val="auto"/>
          <w:rtl/>
        </w:rPr>
        <w:t>8ـ تحريم الانتخابات في العراق</w:t>
      </w:r>
    </w:p>
    <w:p w:rsidR="00BC5E40" w:rsidRPr="00282AC9" w:rsidRDefault="00BC5E40" w:rsidP="00BC4D37">
      <w:pPr>
        <w:rPr>
          <w:sz w:val="27"/>
          <w:rtl/>
        </w:rPr>
      </w:pPr>
      <w:r w:rsidRPr="00282AC9">
        <w:rPr>
          <w:rFonts w:hint="cs"/>
          <w:sz w:val="27"/>
          <w:rtl/>
        </w:rPr>
        <w:t>بعد فشل الإنجليز في العراق ات</w:t>
      </w:r>
      <w:r w:rsidR="00B02F46" w:rsidRPr="00282AC9">
        <w:rPr>
          <w:rFonts w:hint="cs"/>
          <w:sz w:val="27"/>
          <w:rtl/>
        </w:rPr>
        <w:t>ّ</w:t>
      </w:r>
      <w:r w:rsidRPr="00282AC9">
        <w:rPr>
          <w:rFonts w:hint="cs"/>
          <w:sz w:val="27"/>
          <w:rtl/>
        </w:rPr>
        <w:t>خذوا قراراً بترشيح فيصل</w:t>
      </w:r>
      <w:r w:rsidR="00B02F46" w:rsidRPr="00282AC9">
        <w:rPr>
          <w:rFonts w:hint="cs"/>
          <w:sz w:val="27"/>
          <w:rtl/>
        </w:rPr>
        <w:t>؛</w:t>
      </w:r>
      <w:r w:rsidRPr="00282AC9">
        <w:rPr>
          <w:rFonts w:hint="cs"/>
          <w:sz w:val="27"/>
          <w:rtl/>
        </w:rPr>
        <w:t xml:space="preserve"> كي يعقدوا معه </w:t>
      </w:r>
      <w:r w:rsidRPr="00282AC9">
        <w:rPr>
          <w:rFonts w:hint="cs"/>
          <w:sz w:val="27"/>
          <w:rtl/>
        </w:rPr>
        <w:lastRenderedPageBreak/>
        <w:t>ع</w:t>
      </w:r>
      <w:r w:rsidR="00B02F46" w:rsidRPr="00282AC9">
        <w:rPr>
          <w:rFonts w:hint="cs"/>
          <w:sz w:val="27"/>
          <w:rtl/>
        </w:rPr>
        <w:t>َ</w:t>
      </w:r>
      <w:r w:rsidRPr="00282AC9">
        <w:rPr>
          <w:rFonts w:hint="cs"/>
          <w:sz w:val="27"/>
          <w:rtl/>
        </w:rPr>
        <w:t>ق</w:t>
      </w:r>
      <w:r w:rsidR="00B02F46" w:rsidRPr="00282AC9">
        <w:rPr>
          <w:rFonts w:hint="cs"/>
          <w:sz w:val="27"/>
          <w:rtl/>
        </w:rPr>
        <w:t>ْ</w:t>
      </w:r>
      <w:r w:rsidRPr="00282AC9">
        <w:rPr>
          <w:rFonts w:hint="cs"/>
          <w:sz w:val="27"/>
          <w:rtl/>
        </w:rPr>
        <w:t>داً يبسطون من خلاله سيطرتهم على العراق. ولذلك قام الكثير من الفقهاء والمجتهدين بالدعوة إلى مق</w:t>
      </w:r>
      <w:r w:rsidR="00B02F46" w:rsidRPr="00282AC9">
        <w:rPr>
          <w:rFonts w:hint="cs"/>
          <w:sz w:val="27"/>
          <w:rtl/>
        </w:rPr>
        <w:t>ا</w:t>
      </w:r>
      <w:r w:rsidRPr="00282AC9">
        <w:rPr>
          <w:rFonts w:hint="cs"/>
          <w:sz w:val="27"/>
          <w:rtl/>
        </w:rPr>
        <w:t>طعة هذه الانتخابات</w:t>
      </w:r>
      <w:r w:rsidR="00B02F46" w:rsidRPr="00282AC9">
        <w:rPr>
          <w:rFonts w:hint="cs"/>
          <w:sz w:val="27"/>
          <w:rtl/>
        </w:rPr>
        <w:t>،</w:t>
      </w:r>
      <w:r w:rsidRPr="00282AC9">
        <w:rPr>
          <w:rFonts w:hint="cs"/>
          <w:sz w:val="27"/>
          <w:rtl/>
        </w:rPr>
        <w:t xml:space="preserve"> وتحريم المشاركة فيها، وصدر الحكم بإبعادهم ون</w:t>
      </w:r>
      <w:r w:rsidR="00B02F46" w:rsidRPr="00282AC9">
        <w:rPr>
          <w:rFonts w:hint="cs"/>
          <w:sz w:val="27"/>
          <w:rtl/>
        </w:rPr>
        <w:t>َ</w:t>
      </w:r>
      <w:r w:rsidRPr="00282AC9">
        <w:rPr>
          <w:rFonts w:hint="cs"/>
          <w:sz w:val="27"/>
          <w:rtl/>
        </w:rPr>
        <w:t>ف</w:t>
      </w:r>
      <w:r w:rsidR="00B02F46" w:rsidRPr="00282AC9">
        <w:rPr>
          <w:rFonts w:hint="cs"/>
          <w:sz w:val="27"/>
          <w:rtl/>
        </w:rPr>
        <w:t>ْ</w:t>
      </w:r>
      <w:r w:rsidRPr="00282AC9">
        <w:rPr>
          <w:rFonts w:hint="cs"/>
          <w:sz w:val="27"/>
          <w:rtl/>
        </w:rPr>
        <w:t>يهم من العراق إلى إيران، ومن بينهم: الخالصي</w:t>
      </w:r>
      <w:r w:rsidR="009C2483" w:rsidRPr="00282AC9">
        <w:rPr>
          <w:rFonts w:hint="cs"/>
          <w:sz w:val="27"/>
          <w:rtl/>
        </w:rPr>
        <w:t>؛</w:t>
      </w:r>
      <w:r w:rsidRPr="00282AC9">
        <w:rPr>
          <w:rFonts w:hint="cs"/>
          <w:sz w:val="27"/>
          <w:rtl/>
        </w:rPr>
        <w:t xml:space="preserve"> </w:t>
      </w:r>
      <w:r w:rsidR="009C2483" w:rsidRPr="00282AC9">
        <w:rPr>
          <w:rFonts w:hint="cs"/>
          <w:sz w:val="27"/>
          <w:rtl/>
        </w:rPr>
        <w:t>و</w:t>
      </w:r>
      <w:r w:rsidRPr="00282AC9">
        <w:rPr>
          <w:rFonts w:hint="cs"/>
          <w:sz w:val="27"/>
          <w:rtl/>
        </w:rPr>
        <w:t xml:space="preserve">الإصفهاني. وقال </w:t>
      </w:r>
      <w:r w:rsidR="009C2483" w:rsidRPr="00282AC9">
        <w:rPr>
          <w:rFonts w:hint="cs"/>
          <w:sz w:val="27"/>
          <w:rtl/>
        </w:rPr>
        <w:t>الشيخ</w:t>
      </w:r>
      <w:r w:rsidRPr="00282AC9">
        <w:rPr>
          <w:rFonts w:hint="cs"/>
          <w:sz w:val="27"/>
          <w:rtl/>
        </w:rPr>
        <w:t xml:space="preserve"> النائيني في هذا الشأن: </w:t>
      </w:r>
      <w:r w:rsidRPr="00282AC9">
        <w:rPr>
          <w:rFonts w:hint="eastAsia"/>
          <w:sz w:val="24"/>
          <w:szCs w:val="24"/>
          <w:rtl/>
        </w:rPr>
        <w:t>«</w:t>
      </w:r>
      <w:r w:rsidRPr="00282AC9">
        <w:rPr>
          <w:rFonts w:hint="cs"/>
          <w:sz w:val="27"/>
          <w:rtl/>
        </w:rPr>
        <w:t>لقد ق</w:t>
      </w:r>
      <w:r w:rsidR="009C2483" w:rsidRPr="00282AC9">
        <w:rPr>
          <w:rFonts w:hint="cs"/>
          <w:sz w:val="27"/>
          <w:rtl/>
        </w:rPr>
        <w:t>ُ</w:t>
      </w:r>
      <w:r w:rsidRPr="00282AC9">
        <w:rPr>
          <w:rFonts w:hint="cs"/>
          <w:sz w:val="27"/>
          <w:rtl/>
        </w:rPr>
        <w:t>م</w:t>
      </w:r>
      <w:r w:rsidR="009C2483" w:rsidRPr="00282AC9">
        <w:rPr>
          <w:rFonts w:hint="cs"/>
          <w:sz w:val="27"/>
          <w:rtl/>
        </w:rPr>
        <w:t>ْ</w:t>
      </w:r>
      <w:r w:rsidRPr="00282AC9">
        <w:rPr>
          <w:rFonts w:hint="cs"/>
          <w:sz w:val="27"/>
          <w:rtl/>
        </w:rPr>
        <w:t>نا بتحريم الانتخابات، ودع</w:t>
      </w:r>
      <w:r w:rsidR="009C2483" w:rsidRPr="00282AC9">
        <w:rPr>
          <w:rFonts w:hint="cs"/>
          <w:sz w:val="27"/>
          <w:rtl/>
        </w:rPr>
        <w:t>َ</w:t>
      </w:r>
      <w:r w:rsidRPr="00282AC9">
        <w:rPr>
          <w:rFonts w:hint="cs"/>
          <w:sz w:val="27"/>
          <w:rtl/>
        </w:rPr>
        <w:t>و</w:t>
      </w:r>
      <w:r w:rsidR="009C2483" w:rsidRPr="00282AC9">
        <w:rPr>
          <w:rFonts w:hint="cs"/>
          <w:sz w:val="27"/>
          <w:rtl/>
        </w:rPr>
        <w:t>ْ</w:t>
      </w:r>
      <w:r w:rsidRPr="00282AC9">
        <w:rPr>
          <w:rFonts w:hint="cs"/>
          <w:sz w:val="27"/>
          <w:rtl/>
        </w:rPr>
        <w:t xml:space="preserve">نا الشعب العراقي </w:t>
      </w:r>
      <w:r w:rsidRPr="00282AC9">
        <w:rPr>
          <w:sz w:val="27"/>
          <w:rtl/>
        </w:rPr>
        <w:t>إلى مقاطع</w:t>
      </w:r>
      <w:r w:rsidRPr="00282AC9">
        <w:rPr>
          <w:rFonts w:hint="cs"/>
          <w:sz w:val="27"/>
          <w:rtl/>
        </w:rPr>
        <w:t>تها</w:t>
      </w:r>
      <w:r w:rsidR="009C2483" w:rsidRPr="00282AC9">
        <w:rPr>
          <w:rFonts w:hint="cs"/>
          <w:sz w:val="27"/>
          <w:rtl/>
        </w:rPr>
        <w:t>.</w:t>
      </w:r>
      <w:r w:rsidRPr="00282AC9">
        <w:rPr>
          <w:rFonts w:hint="cs"/>
          <w:sz w:val="27"/>
          <w:rtl/>
        </w:rPr>
        <w:t xml:space="preserve"> وإن الذي يشارك في الانتخابات</w:t>
      </w:r>
      <w:r w:rsidR="009C2483" w:rsidRPr="00282AC9">
        <w:rPr>
          <w:rFonts w:hint="cs"/>
          <w:sz w:val="27"/>
          <w:rtl/>
        </w:rPr>
        <w:t>،</w:t>
      </w:r>
      <w:r w:rsidRPr="00282AC9">
        <w:rPr>
          <w:rFonts w:hint="cs"/>
          <w:sz w:val="27"/>
          <w:rtl/>
        </w:rPr>
        <w:t xml:space="preserve"> أو ي</w:t>
      </w:r>
      <w:r w:rsidR="009C2483" w:rsidRPr="00282AC9">
        <w:rPr>
          <w:rFonts w:hint="cs"/>
          <w:sz w:val="27"/>
          <w:rtl/>
        </w:rPr>
        <w:t>ُ</w:t>
      </w:r>
      <w:r w:rsidRPr="00282AC9">
        <w:rPr>
          <w:rFonts w:hint="cs"/>
          <w:sz w:val="27"/>
          <w:rtl/>
        </w:rPr>
        <w:t>ق</w:t>
      </w:r>
      <w:r w:rsidR="009C2483" w:rsidRPr="00282AC9">
        <w:rPr>
          <w:rFonts w:hint="cs"/>
          <w:sz w:val="27"/>
          <w:rtl/>
        </w:rPr>
        <w:t>َ</w:t>
      </w:r>
      <w:r w:rsidRPr="00282AC9">
        <w:rPr>
          <w:rFonts w:hint="cs"/>
          <w:sz w:val="27"/>
          <w:rtl/>
        </w:rPr>
        <w:t>د</w:t>
      </w:r>
      <w:r w:rsidR="009C2483" w:rsidRPr="00282AC9">
        <w:rPr>
          <w:rFonts w:hint="cs"/>
          <w:sz w:val="27"/>
          <w:rtl/>
        </w:rPr>
        <w:t>ِّ</w:t>
      </w:r>
      <w:r w:rsidRPr="00282AC9">
        <w:rPr>
          <w:rFonts w:hint="cs"/>
          <w:sz w:val="27"/>
          <w:rtl/>
        </w:rPr>
        <w:t>م أيّ</w:t>
      </w:r>
      <w:r w:rsidR="009C2483" w:rsidRPr="00282AC9">
        <w:rPr>
          <w:rFonts w:hint="cs"/>
          <w:sz w:val="27"/>
          <w:rtl/>
        </w:rPr>
        <w:t>َ</w:t>
      </w:r>
      <w:r w:rsidRPr="00282AC9">
        <w:rPr>
          <w:rFonts w:hint="cs"/>
          <w:sz w:val="27"/>
          <w:rtl/>
        </w:rPr>
        <w:t xml:space="preserve"> دعم</w:t>
      </w:r>
      <w:r w:rsidR="009C2483" w:rsidRPr="00282AC9">
        <w:rPr>
          <w:rFonts w:hint="cs"/>
          <w:sz w:val="27"/>
          <w:rtl/>
        </w:rPr>
        <w:t>ٍ</w:t>
      </w:r>
      <w:r w:rsidRPr="00282AC9">
        <w:rPr>
          <w:rFonts w:hint="cs"/>
          <w:sz w:val="27"/>
          <w:rtl/>
        </w:rPr>
        <w:t xml:space="preserve"> لها، يكون منتهكاً لأمر الله ورسوله وأوليائه</w:t>
      </w:r>
      <w:r w:rsidRPr="00282AC9">
        <w:rPr>
          <w:rFonts w:hint="eastAsia"/>
          <w:sz w:val="24"/>
          <w:szCs w:val="24"/>
          <w:rtl/>
        </w:rPr>
        <w:t>»</w:t>
      </w:r>
      <w:r w:rsidRPr="00282AC9">
        <w:rPr>
          <w:sz w:val="27"/>
          <w:vertAlign w:val="superscript"/>
          <w:rtl/>
        </w:rPr>
        <w:t>(</w:t>
      </w:r>
      <w:r w:rsidRPr="00282AC9">
        <w:rPr>
          <w:rStyle w:val="af9"/>
          <w:sz w:val="27"/>
          <w:rtl/>
        </w:rPr>
        <w:endnoteReference w:id="114"/>
      </w:r>
      <w:r w:rsidRPr="00282AC9">
        <w:rPr>
          <w:sz w:val="27"/>
          <w:vertAlign w:val="superscript"/>
          <w:rtl/>
        </w:rPr>
        <w:t>)</w:t>
      </w:r>
      <w:r w:rsidRPr="00282AC9">
        <w:rPr>
          <w:rFonts w:hint="cs"/>
          <w:sz w:val="27"/>
          <w:rtl/>
        </w:rPr>
        <w:t>.</w:t>
      </w:r>
    </w:p>
    <w:p w:rsidR="009C2483" w:rsidRPr="00282AC9" w:rsidRDefault="009C2483" w:rsidP="003A1F8E">
      <w:pPr>
        <w:spacing w:line="430" w:lineRule="exact"/>
        <w:rPr>
          <w:sz w:val="27"/>
          <w:rtl/>
        </w:rPr>
      </w:pPr>
    </w:p>
    <w:p w:rsidR="009C2483" w:rsidRPr="00282AC9" w:rsidRDefault="00BC5E40" w:rsidP="00D746C6">
      <w:pPr>
        <w:pStyle w:val="31"/>
        <w:rPr>
          <w:color w:val="auto"/>
          <w:rtl/>
        </w:rPr>
      </w:pPr>
      <w:r w:rsidRPr="00282AC9">
        <w:rPr>
          <w:rFonts w:hint="cs"/>
          <w:color w:val="auto"/>
          <w:rtl/>
        </w:rPr>
        <w:t>9ـ تحريم البضائع الأجنبية</w:t>
      </w:r>
    </w:p>
    <w:p w:rsidR="00BC5E40" w:rsidRPr="00282AC9" w:rsidRDefault="00BC5E40" w:rsidP="00BC4D37">
      <w:pPr>
        <w:rPr>
          <w:sz w:val="27"/>
          <w:rtl/>
        </w:rPr>
      </w:pPr>
      <w:r w:rsidRPr="00282AC9">
        <w:rPr>
          <w:rFonts w:hint="cs"/>
          <w:sz w:val="27"/>
          <w:rtl/>
        </w:rPr>
        <w:t>عندما راجع التج</w:t>
      </w:r>
      <w:r w:rsidR="009C2483" w:rsidRPr="00282AC9">
        <w:rPr>
          <w:rFonts w:hint="cs"/>
          <w:sz w:val="27"/>
          <w:rtl/>
        </w:rPr>
        <w:t>ّ</w:t>
      </w:r>
      <w:r w:rsidRPr="00282AC9">
        <w:rPr>
          <w:rFonts w:hint="cs"/>
          <w:sz w:val="27"/>
          <w:rtl/>
        </w:rPr>
        <w:t>ار المسلمون المراجع في عصرهم</w:t>
      </w:r>
      <w:r w:rsidR="009C2483" w:rsidRPr="00282AC9">
        <w:rPr>
          <w:rFonts w:hint="cs"/>
          <w:sz w:val="27"/>
          <w:rtl/>
        </w:rPr>
        <w:t>،</w:t>
      </w:r>
      <w:r w:rsidRPr="00282AC9">
        <w:rPr>
          <w:rFonts w:hint="cs"/>
          <w:sz w:val="27"/>
          <w:rtl/>
        </w:rPr>
        <w:t xml:space="preserve"> واشتكوا من استيراد البضائع الأجنبي</w:t>
      </w:r>
      <w:r w:rsidR="009C2483" w:rsidRPr="00282AC9">
        <w:rPr>
          <w:rFonts w:hint="cs"/>
          <w:sz w:val="27"/>
          <w:rtl/>
        </w:rPr>
        <w:t>ّ</w:t>
      </w:r>
      <w:r w:rsidRPr="00282AC9">
        <w:rPr>
          <w:rFonts w:hint="cs"/>
          <w:sz w:val="27"/>
          <w:rtl/>
        </w:rPr>
        <w:t>ة</w:t>
      </w:r>
      <w:r w:rsidR="009C2483" w:rsidRPr="00282AC9">
        <w:rPr>
          <w:rFonts w:hint="cs"/>
          <w:sz w:val="27"/>
          <w:rtl/>
        </w:rPr>
        <w:t>،</w:t>
      </w:r>
      <w:r w:rsidRPr="00282AC9">
        <w:rPr>
          <w:rFonts w:hint="cs"/>
          <w:sz w:val="27"/>
          <w:rtl/>
        </w:rPr>
        <w:t xml:space="preserve"> و</w:t>
      </w:r>
      <w:r w:rsidR="00674EF5" w:rsidRPr="00282AC9">
        <w:rPr>
          <w:rFonts w:hint="cs"/>
          <w:sz w:val="27"/>
          <w:rtl/>
        </w:rPr>
        <w:t>لا سيَّما</w:t>
      </w:r>
      <w:r w:rsidRPr="00282AC9">
        <w:rPr>
          <w:rFonts w:hint="cs"/>
          <w:sz w:val="27"/>
          <w:rtl/>
        </w:rPr>
        <w:t xml:space="preserve"> الثياب منها، بادر كبار الفقهاء</w:t>
      </w:r>
      <w:r w:rsidR="009C2483" w:rsidRPr="00282AC9">
        <w:rPr>
          <w:rFonts w:hint="cs"/>
          <w:sz w:val="27"/>
          <w:rtl/>
        </w:rPr>
        <w:t>،</w:t>
      </w:r>
      <w:r w:rsidRPr="00282AC9">
        <w:rPr>
          <w:rFonts w:hint="cs"/>
          <w:sz w:val="27"/>
          <w:rtl/>
        </w:rPr>
        <w:t xml:space="preserve"> من أمثال: السيد إسماعيل الصدر، والحاج الميرزا الحسيني، والحاج الميرزا خليل، والسيد محمد كاظم الطباطبائي، والحاج الميرزا محمد الغروي الشربياني، والحاج الشيخ محمد حسن المقامي، والحاج الميرزا حسين النوري، والميرزا فتح الله الشيرازي</w:t>
      </w:r>
      <w:r w:rsidR="009C2483" w:rsidRPr="00282AC9">
        <w:rPr>
          <w:rFonts w:hint="cs"/>
          <w:sz w:val="27"/>
          <w:rtl/>
        </w:rPr>
        <w:t>،</w:t>
      </w:r>
      <w:r w:rsidRPr="00282AC9">
        <w:rPr>
          <w:rFonts w:hint="cs"/>
          <w:sz w:val="27"/>
          <w:rtl/>
        </w:rPr>
        <w:t xml:space="preserve"> المعروف بـ </w:t>
      </w:r>
      <w:r w:rsidRPr="00282AC9">
        <w:rPr>
          <w:rFonts w:hint="eastAsia"/>
          <w:sz w:val="24"/>
          <w:szCs w:val="24"/>
          <w:rtl/>
        </w:rPr>
        <w:t>«</w:t>
      </w:r>
      <w:r w:rsidRPr="00282AC9">
        <w:rPr>
          <w:rFonts w:hint="cs"/>
          <w:sz w:val="27"/>
          <w:rtl/>
        </w:rPr>
        <w:t>شريعت الإصفهاني</w:t>
      </w:r>
      <w:r w:rsidRPr="00282AC9">
        <w:rPr>
          <w:rFonts w:hint="eastAsia"/>
          <w:sz w:val="24"/>
          <w:szCs w:val="24"/>
          <w:rtl/>
        </w:rPr>
        <w:t>»</w:t>
      </w:r>
      <w:r w:rsidRPr="00282AC9">
        <w:rPr>
          <w:rFonts w:hint="cs"/>
          <w:sz w:val="27"/>
          <w:rtl/>
        </w:rPr>
        <w:t>، إلى الإعلان عن مخالفتهم لاستيراد هذه البضائع. وفي ذلك قال الآخ</w:t>
      </w:r>
      <w:r w:rsidR="009C2483" w:rsidRPr="00282AC9">
        <w:rPr>
          <w:rFonts w:hint="cs"/>
          <w:sz w:val="27"/>
          <w:rtl/>
        </w:rPr>
        <w:t>و</w:t>
      </w:r>
      <w:r w:rsidRPr="00282AC9">
        <w:rPr>
          <w:rFonts w:hint="cs"/>
          <w:sz w:val="27"/>
          <w:rtl/>
        </w:rPr>
        <w:t xml:space="preserve">ند الخراساني: </w:t>
      </w:r>
      <w:r w:rsidRPr="00282AC9">
        <w:rPr>
          <w:rFonts w:hint="eastAsia"/>
          <w:sz w:val="24"/>
          <w:szCs w:val="24"/>
          <w:rtl/>
        </w:rPr>
        <w:t>«</w:t>
      </w:r>
      <w:r w:rsidRPr="00282AC9">
        <w:rPr>
          <w:rFonts w:hint="cs"/>
          <w:sz w:val="27"/>
          <w:rtl/>
        </w:rPr>
        <w:t>يجب على جميع المواطنين والمسلمين قاطبة</w:t>
      </w:r>
      <w:r w:rsidR="009C2483" w:rsidRPr="00282AC9">
        <w:rPr>
          <w:rFonts w:hint="cs"/>
          <w:sz w:val="27"/>
          <w:rtl/>
        </w:rPr>
        <w:t>ً</w:t>
      </w:r>
      <w:r w:rsidR="00FB73A2" w:rsidRPr="00282AC9">
        <w:rPr>
          <w:rFonts w:hint="cs"/>
          <w:sz w:val="27"/>
          <w:rtl/>
        </w:rPr>
        <w:t>،</w:t>
      </w:r>
      <w:r w:rsidRPr="00282AC9">
        <w:rPr>
          <w:rFonts w:hint="cs"/>
          <w:sz w:val="27"/>
          <w:rtl/>
        </w:rPr>
        <w:t xml:space="preserve"> وجوباً مؤك</w:t>
      </w:r>
      <w:r w:rsidR="00FB73A2" w:rsidRPr="00282AC9">
        <w:rPr>
          <w:rFonts w:hint="cs"/>
          <w:sz w:val="27"/>
          <w:rtl/>
        </w:rPr>
        <w:t>َّداً</w:t>
      </w:r>
      <w:r w:rsidRPr="00282AC9">
        <w:rPr>
          <w:rFonts w:hint="cs"/>
          <w:sz w:val="27"/>
          <w:rtl/>
        </w:rPr>
        <w:t>...</w:t>
      </w:r>
      <w:r w:rsidR="00FB73A2" w:rsidRPr="00282AC9">
        <w:rPr>
          <w:rFonts w:hint="cs"/>
          <w:sz w:val="27"/>
          <w:rtl/>
        </w:rPr>
        <w:t>،</w:t>
      </w:r>
      <w:r w:rsidRPr="00282AC9">
        <w:rPr>
          <w:rFonts w:hint="cs"/>
          <w:sz w:val="27"/>
          <w:rtl/>
        </w:rPr>
        <w:t xml:space="preserve"> أن يتأسّوا ويتبعوا، وأن يخلعوا ثياب الذل</w:t>
      </w:r>
      <w:r w:rsidR="00FB73A2" w:rsidRPr="00282AC9">
        <w:rPr>
          <w:rFonts w:hint="cs"/>
          <w:sz w:val="27"/>
          <w:rtl/>
        </w:rPr>
        <w:t>ّ</w:t>
      </w:r>
      <w:r w:rsidRPr="00282AC9">
        <w:rPr>
          <w:rFonts w:hint="cs"/>
          <w:sz w:val="27"/>
          <w:rtl/>
        </w:rPr>
        <w:t>، وأن يرتدوا ب</w:t>
      </w:r>
      <w:r w:rsidR="00FB73A2" w:rsidRPr="00282AC9">
        <w:rPr>
          <w:rFonts w:hint="cs"/>
          <w:sz w:val="27"/>
          <w:rtl/>
        </w:rPr>
        <w:t>َ</w:t>
      </w:r>
      <w:r w:rsidRPr="00282AC9">
        <w:rPr>
          <w:rFonts w:hint="cs"/>
          <w:sz w:val="27"/>
          <w:rtl/>
        </w:rPr>
        <w:t>د</w:t>
      </w:r>
      <w:r w:rsidR="00FB73A2" w:rsidRPr="00282AC9">
        <w:rPr>
          <w:rFonts w:hint="cs"/>
          <w:sz w:val="27"/>
          <w:rtl/>
        </w:rPr>
        <w:t>َ</w:t>
      </w:r>
      <w:r w:rsidRPr="00282AC9">
        <w:rPr>
          <w:rFonts w:hint="cs"/>
          <w:sz w:val="27"/>
          <w:rtl/>
        </w:rPr>
        <w:t>لاً منها ثياب العز</w:t>
      </w:r>
      <w:r w:rsidR="00FB73A2" w:rsidRPr="00282AC9">
        <w:rPr>
          <w:rFonts w:hint="cs"/>
          <w:sz w:val="27"/>
          <w:rtl/>
        </w:rPr>
        <w:t>ّ</w:t>
      </w:r>
      <w:r w:rsidRPr="00282AC9">
        <w:rPr>
          <w:rFonts w:hint="cs"/>
          <w:sz w:val="27"/>
          <w:rtl/>
        </w:rPr>
        <w:t>ة الإسلامية والإلهية، وأن يُدخلوا السعادة بذلك على قلب صاحب الشريعة</w:t>
      </w:r>
      <w:r w:rsidRPr="00282AC9">
        <w:rPr>
          <w:rFonts w:hint="eastAsia"/>
          <w:sz w:val="24"/>
          <w:szCs w:val="24"/>
          <w:rtl/>
        </w:rPr>
        <w:t>»</w:t>
      </w:r>
      <w:r w:rsidRPr="00282AC9">
        <w:rPr>
          <w:sz w:val="27"/>
          <w:vertAlign w:val="superscript"/>
          <w:rtl/>
        </w:rPr>
        <w:t>(</w:t>
      </w:r>
      <w:r w:rsidRPr="00282AC9">
        <w:rPr>
          <w:rStyle w:val="af9"/>
          <w:sz w:val="27"/>
          <w:rtl/>
        </w:rPr>
        <w:endnoteReference w:id="115"/>
      </w:r>
      <w:r w:rsidRPr="00282AC9">
        <w:rPr>
          <w:sz w:val="27"/>
          <w:vertAlign w:val="superscript"/>
          <w:rtl/>
        </w:rPr>
        <w:t>)</w:t>
      </w:r>
      <w:r w:rsidRPr="00282AC9">
        <w:rPr>
          <w:rFonts w:hint="cs"/>
          <w:sz w:val="27"/>
          <w:rtl/>
        </w:rPr>
        <w:t>.</w:t>
      </w:r>
    </w:p>
    <w:p w:rsidR="00FB73A2" w:rsidRPr="00282AC9" w:rsidRDefault="00FB73A2" w:rsidP="003A1F8E">
      <w:pPr>
        <w:spacing w:line="430" w:lineRule="exact"/>
        <w:rPr>
          <w:sz w:val="27"/>
          <w:rtl/>
        </w:rPr>
      </w:pPr>
    </w:p>
    <w:p w:rsidR="00FB73A2" w:rsidRPr="00282AC9" w:rsidRDefault="00BC5E40" w:rsidP="00FB73A2">
      <w:pPr>
        <w:pStyle w:val="31"/>
        <w:rPr>
          <w:color w:val="auto"/>
          <w:rtl/>
        </w:rPr>
      </w:pPr>
      <w:r w:rsidRPr="00282AC9">
        <w:rPr>
          <w:rFonts w:hint="cs"/>
          <w:color w:val="auto"/>
          <w:rtl/>
        </w:rPr>
        <w:t>10ـ الفتوى بحرمة استعمال التبغ والتنباك [ثورة التنباك]</w:t>
      </w:r>
    </w:p>
    <w:p w:rsidR="00BC5E40" w:rsidRPr="00282AC9" w:rsidRDefault="00BC5E40" w:rsidP="00BC4D37">
      <w:pPr>
        <w:rPr>
          <w:sz w:val="27"/>
          <w:rtl/>
        </w:rPr>
      </w:pPr>
      <w:r w:rsidRPr="00282AC9">
        <w:rPr>
          <w:rFonts w:hint="cs"/>
          <w:sz w:val="27"/>
          <w:rtl/>
        </w:rPr>
        <w:t>وهي الثورة المعروفة</w:t>
      </w:r>
      <w:r w:rsidR="00FB73A2" w:rsidRPr="00282AC9">
        <w:rPr>
          <w:rFonts w:hint="cs"/>
          <w:sz w:val="27"/>
          <w:rtl/>
        </w:rPr>
        <w:t>؛</w:t>
      </w:r>
      <w:r w:rsidRPr="00282AC9">
        <w:rPr>
          <w:rFonts w:hint="cs"/>
          <w:sz w:val="27"/>
          <w:rtl/>
        </w:rPr>
        <w:t xml:space="preserve"> إذ أفتى الميرزا الشيرازي بحرمة التنباك والتبغ، قائلاً: </w:t>
      </w:r>
      <w:r w:rsidRPr="00282AC9">
        <w:rPr>
          <w:rFonts w:hint="eastAsia"/>
          <w:sz w:val="24"/>
          <w:szCs w:val="24"/>
          <w:rtl/>
        </w:rPr>
        <w:t>«</w:t>
      </w:r>
      <w:r w:rsidRPr="00282AC9">
        <w:rPr>
          <w:rFonts w:hint="cs"/>
          <w:sz w:val="27"/>
          <w:rtl/>
        </w:rPr>
        <w:t>ي</w:t>
      </w:r>
      <w:r w:rsidR="00FB73A2" w:rsidRPr="00282AC9">
        <w:rPr>
          <w:rFonts w:hint="cs"/>
          <w:sz w:val="27"/>
          <w:rtl/>
        </w:rPr>
        <w:t>ُ</w:t>
      </w:r>
      <w:r w:rsidRPr="00282AC9">
        <w:rPr>
          <w:rFonts w:hint="cs"/>
          <w:sz w:val="27"/>
          <w:rtl/>
        </w:rPr>
        <w:t>ع</w:t>
      </w:r>
      <w:r w:rsidR="00FB73A2" w:rsidRPr="00282AC9">
        <w:rPr>
          <w:rFonts w:hint="cs"/>
          <w:sz w:val="27"/>
          <w:rtl/>
        </w:rPr>
        <w:t>َ</w:t>
      </w:r>
      <w:r w:rsidRPr="00282AC9">
        <w:rPr>
          <w:rFonts w:hint="cs"/>
          <w:sz w:val="27"/>
          <w:rtl/>
        </w:rPr>
        <w:t>د</w:t>
      </w:r>
      <w:r w:rsidR="00FB73A2" w:rsidRPr="00282AC9">
        <w:rPr>
          <w:rFonts w:hint="cs"/>
          <w:sz w:val="27"/>
          <w:rtl/>
        </w:rPr>
        <w:t>ّ</w:t>
      </w:r>
      <w:r w:rsidRPr="00282AC9">
        <w:rPr>
          <w:rFonts w:hint="cs"/>
          <w:sz w:val="27"/>
          <w:rtl/>
        </w:rPr>
        <w:t xml:space="preserve"> استعمال التبغ والتنباك ـ بأي</w:t>
      </w:r>
      <w:r w:rsidR="00FB73A2" w:rsidRPr="00282AC9">
        <w:rPr>
          <w:rFonts w:hint="cs"/>
          <w:sz w:val="27"/>
          <w:rtl/>
        </w:rPr>
        <w:t>ّ</w:t>
      </w:r>
      <w:r w:rsidRPr="00282AC9">
        <w:rPr>
          <w:rFonts w:hint="cs"/>
          <w:sz w:val="27"/>
          <w:rtl/>
        </w:rPr>
        <w:t xml:space="preserve"> نحو</w:t>
      </w:r>
      <w:r w:rsidR="00FB73A2" w:rsidRPr="00282AC9">
        <w:rPr>
          <w:rFonts w:hint="cs"/>
          <w:sz w:val="27"/>
          <w:rtl/>
        </w:rPr>
        <w:t>ٍ</w:t>
      </w:r>
      <w:r w:rsidRPr="00282AC9">
        <w:rPr>
          <w:rFonts w:hint="cs"/>
          <w:sz w:val="27"/>
          <w:rtl/>
        </w:rPr>
        <w:t xml:space="preserve"> من الأنحاء ـ في حكم محاربة إمام العصر صلوات الله وسلامه عليه</w:t>
      </w:r>
      <w:r w:rsidRPr="00282AC9">
        <w:rPr>
          <w:rFonts w:hint="eastAsia"/>
          <w:sz w:val="24"/>
          <w:szCs w:val="24"/>
          <w:rtl/>
        </w:rPr>
        <w:t>»</w:t>
      </w:r>
      <w:r w:rsidRPr="00282AC9">
        <w:rPr>
          <w:sz w:val="27"/>
          <w:vertAlign w:val="superscript"/>
          <w:rtl/>
        </w:rPr>
        <w:t>(</w:t>
      </w:r>
      <w:r w:rsidRPr="00282AC9">
        <w:rPr>
          <w:rStyle w:val="af9"/>
          <w:sz w:val="27"/>
          <w:rtl/>
        </w:rPr>
        <w:endnoteReference w:id="116"/>
      </w:r>
      <w:r w:rsidRPr="00282AC9">
        <w:rPr>
          <w:sz w:val="27"/>
          <w:vertAlign w:val="superscript"/>
          <w:rtl/>
        </w:rPr>
        <w:t>)</w:t>
      </w:r>
      <w:r w:rsidRPr="00282AC9">
        <w:rPr>
          <w:rFonts w:hint="cs"/>
          <w:sz w:val="27"/>
          <w:rtl/>
        </w:rPr>
        <w:t>.</w:t>
      </w:r>
    </w:p>
    <w:p w:rsidR="00613A65" w:rsidRPr="00282AC9" w:rsidRDefault="00613A65" w:rsidP="003A1F8E">
      <w:pPr>
        <w:spacing w:line="420" w:lineRule="exact"/>
        <w:rPr>
          <w:sz w:val="27"/>
          <w:rtl/>
        </w:rPr>
      </w:pPr>
    </w:p>
    <w:p w:rsidR="00613A65" w:rsidRPr="00282AC9" w:rsidRDefault="00613A65" w:rsidP="00613A65">
      <w:pPr>
        <w:pStyle w:val="31"/>
        <w:rPr>
          <w:color w:val="auto"/>
          <w:rtl/>
        </w:rPr>
      </w:pPr>
      <w:r w:rsidRPr="00282AC9">
        <w:rPr>
          <w:rFonts w:hint="cs"/>
          <w:color w:val="auto"/>
          <w:rtl/>
        </w:rPr>
        <w:t>11ـ أحكامٌ كثيرة للإمام الخميني</w:t>
      </w:r>
    </w:p>
    <w:p w:rsidR="00BC5E40" w:rsidRPr="00282AC9" w:rsidRDefault="00BC5E40" w:rsidP="00BC4D37">
      <w:pPr>
        <w:rPr>
          <w:sz w:val="27"/>
          <w:rtl/>
        </w:rPr>
      </w:pPr>
      <w:r w:rsidRPr="00282AC9">
        <w:rPr>
          <w:rFonts w:hint="cs"/>
          <w:sz w:val="27"/>
          <w:rtl/>
        </w:rPr>
        <w:t>إن الأحكام الولائية التي أصدرها الإمام الخميني ـ سواء</w:t>
      </w:r>
      <w:r w:rsidR="00FB73A2" w:rsidRPr="00282AC9">
        <w:rPr>
          <w:rFonts w:hint="cs"/>
          <w:sz w:val="27"/>
          <w:rtl/>
        </w:rPr>
        <w:t>ٌ</w:t>
      </w:r>
      <w:r w:rsidRPr="00282AC9">
        <w:rPr>
          <w:rFonts w:hint="cs"/>
          <w:sz w:val="27"/>
          <w:rtl/>
        </w:rPr>
        <w:t xml:space="preserve"> منها تلك التي صدرت قبل انتصار الثورة الإسلامية المباركة أو تلك التي صدرت بعد انتصار الثورة ـ من </w:t>
      </w:r>
      <w:r w:rsidRPr="00282AC9">
        <w:rPr>
          <w:rFonts w:hint="cs"/>
          <w:sz w:val="27"/>
          <w:rtl/>
        </w:rPr>
        <w:lastRenderedPageBreak/>
        <w:t>الكثرة بحيث لا نستطيع اس</w:t>
      </w:r>
      <w:r w:rsidR="00FB73A2" w:rsidRPr="00282AC9">
        <w:rPr>
          <w:rFonts w:hint="cs"/>
          <w:sz w:val="27"/>
          <w:rtl/>
        </w:rPr>
        <w:t>ت</w:t>
      </w:r>
      <w:r w:rsidRPr="00282AC9">
        <w:rPr>
          <w:rFonts w:hint="cs"/>
          <w:sz w:val="27"/>
          <w:rtl/>
        </w:rPr>
        <w:t>يعابها في هذه المقالة بأجمعها، ولكن</w:t>
      </w:r>
      <w:r w:rsidR="00FB73A2" w:rsidRPr="00282AC9">
        <w:rPr>
          <w:rFonts w:hint="cs"/>
          <w:sz w:val="27"/>
          <w:rtl/>
        </w:rPr>
        <w:t>ْ</w:t>
      </w:r>
      <w:r w:rsidRPr="00282AC9">
        <w:rPr>
          <w:rFonts w:hint="cs"/>
          <w:sz w:val="27"/>
          <w:rtl/>
        </w:rPr>
        <w:t xml:space="preserve"> يمكن لنا أن نذكر بعض هذه الأحكام الولائي</w:t>
      </w:r>
      <w:r w:rsidR="00FB73A2" w:rsidRPr="00282AC9">
        <w:rPr>
          <w:rFonts w:hint="cs"/>
          <w:sz w:val="27"/>
          <w:rtl/>
        </w:rPr>
        <w:t>ّ</w:t>
      </w:r>
      <w:r w:rsidRPr="00282AC9">
        <w:rPr>
          <w:rFonts w:hint="cs"/>
          <w:sz w:val="27"/>
          <w:rtl/>
        </w:rPr>
        <w:t>ة التي تحظى بأهم</w:t>
      </w:r>
      <w:r w:rsidR="00FB73A2" w:rsidRPr="00282AC9">
        <w:rPr>
          <w:rFonts w:hint="cs"/>
          <w:sz w:val="27"/>
          <w:rtl/>
        </w:rPr>
        <w:t>ّ</w:t>
      </w:r>
      <w:r w:rsidRPr="00282AC9">
        <w:rPr>
          <w:rFonts w:hint="cs"/>
          <w:sz w:val="27"/>
          <w:rtl/>
        </w:rPr>
        <w:t>ية</w:t>
      </w:r>
      <w:r w:rsidR="00FB73A2" w:rsidRPr="00282AC9">
        <w:rPr>
          <w:rFonts w:hint="cs"/>
          <w:sz w:val="27"/>
          <w:rtl/>
        </w:rPr>
        <w:t>ٍ كبيرة، ومن</w:t>
      </w:r>
      <w:r w:rsidRPr="00282AC9">
        <w:rPr>
          <w:rFonts w:hint="cs"/>
          <w:sz w:val="27"/>
          <w:rtl/>
        </w:rPr>
        <w:t>ها:</w:t>
      </w:r>
    </w:p>
    <w:p w:rsidR="00BC5E40" w:rsidRPr="00282AC9" w:rsidRDefault="00BC5E40" w:rsidP="00BC4D37">
      <w:pPr>
        <w:rPr>
          <w:sz w:val="27"/>
          <w:rtl/>
        </w:rPr>
      </w:pPr>
      <w:r w:rsidRPr="00282AC9">
        <w:rPr>
          <w:rFonts w:hint="cs"/>
          <w:b/>
          <w:bCs/>
          <w:sz w:val="27"/>
          <w:rtl/>
        </w:rPr>
        <w:t>1ـ الحكم بتشكيل شورى الثورة</w:t>
      </w:r>
      <w:r w:rsidRPr="00282AC9">
        <w:rPr>
          <w:rFonts w:hint="cs"/>
          <w:sz w:val="27"/>
          <w:rtl/>
        </w:rPr>
        <w:t>: أصدر الإمام الخميني</w:t>
      </w:r>
      <w:r w:rsidR="00613A65" w:rsidRPr="00282AC9">
        <w:rPr>
          <w:rFonts w:hint="cs"/>
          <w:sz w:val="27"/>
          <w:rtl/>
        </w:rPr>
        <w:t>،</w:t>
      </w:r>
      <w:r w:rsidRPr="00282AC9">
        <w:rPr>
          <w:rFonts w:hint="cs"/>
          <w:sz w:val="27"/>
          <w:rtl/>
        </w:rPr>
        <w:t xml:space="preserve"> بتاريخ: 22 / 10 / 1357هـ.ش، بياناً خاطب فيه الشعب الإيراني</w:t>
      </w:r>
      <w:r w:rsidR="00613A65" w:rsidRPr="00282AC9">
        <w:rPr>
          <w:rFonts w:hint="cs"/>
          <w:sz w:val="27"/>
          <w:rtl/>
        </w:rPr>
        <w:t>،</w:t>
      </w:r>
      <w:r w:rsidRPr="00282AC9">
        <w:rPr>
          <w:rFonts w:hint="cs"/>
          <w:sz w:val="27"/>
          <w:rtl/>
        </w:rPr>
        <w:t xml:space="preserve"> قائلاً: </w:t>
      </w:r>
      <w:r w:rsidRPr="00282AC9">
        <w:rPr>
          <w:rFonts w:hint="eastAsia"/>
          <w:sz w:val="24"/>
          <w:szCs w:val="24"/>
          <w:rtl/>
        </w:rPr>
        <w:t>«</w:t>
      </w:r>
      <w:r w:rsidRPr="00282AC9">
        <w:rPr>
          <w:rFonts w:hint="cs"/>
          <w:sz w:val="27"/>
          <w:rtl/>
        </w:rPr>
        <w:t>بموجب الحق</w:t>
      </w:r>
      <w:r w:rsidR="00613A65" w:rsidRPr="00282AC9">
        <w:rPr>
          <w:rFonts w:hint="cs"/>
          <w:sz w:val="27"/>
          <w:rtl/>
        </w:rPr>
        <w:t>ّ</w:t>
      </w:r>
      <w:r w:rsidRPr="00282AC9">
        <w:rPr>
          <w:rFonts w:hint="cs"/>
          <w:sz w:val="27"/>
          <w:rtl/>
        </w:rPr>
        <w:t xml:space="preserve"> الشرعي</w:t>
      </w:r>
      <w:r w:rsidR="00613A65" w:rsidRPr="00282AC9">
        <w:rPr>
          <w:rFonts w:hint="cs"/>
          <w:sz w:val="27"/>
          <w:rtl/>
        </w:rPr>
        <w:t>ّ،</w:t>
      </w:r>
      <w:r w:rsidRPr="00282AC9">
        <w:rPr>
          <w:rFonts w:hint="cs"/>
          <w:sz w:val="27"/>
          <w:rtl/>
        </w:rPr>
        <w:t xml:space="preserve"> وعلى أساس الثقة الممنوحة لي من ق</w:t>
      </w:r>
      <w:r w:rsidR="00613A65" w:rsidRPr="00282AC9">
        <w:rPr>
          <w:rFonts w:hint="cs"/>
          <w:sz w:val="27"/>
          <w:rtl/>
        </w:rPr>
        <w:t>ِ</w:t>
      </w:r>
      <w:r w:rsidRPr="00282AC9">
        <w:rPr>
          <w:rFonts w:hint="cs"/>
          <w:sz w:val="27"/>
          <w:rtl/>
        </w:rPr>
        <w:t>ب</w:t>
      </w:r>
      <w:r w:rsidR="00613A65" w:rsidRPr="00282AC9">
        <w:rPr>
          <w:rFonts w:hint="cs"/>
          <w:sz w:val="27"/>
          <w:rtl/>
        </w:rPr>
        <w:t>َ</w:t>
      </w:r>
      <w:r w:rsidRPr="00282AC9">
        <w:rPr>
          <w:rFonts w:hint="cs"/>
          <w:sz w:val="27"/>
          <w:rtl/>
        </w:rPr>
        <w:t>ل الأغلبية الساحقة للشعب الإيراني، ق</w:t>
      </w:r>
      <w:r w:rsidR="00613A65" w:rsidRPr="00282AC9">
        <w:rPr>
          <w:rFonts w:hint="cs"/>
          <w:sz w:val="27"/>
          <w:rtl/>
        </w:rPr>
        <w:t>ُ</w:t>
      </w:r>
      <w:r w:rsidRPr="00282AC9">
        <w:rPr>
          <w:rFonts w:hint="cs"/>
          <w:sz w:val="27"/>
          <w:rtl/>
        </w:rPr>
        <w:t>م</w:t>
      </w:r>
      <w:r w:rsidR="00613A65" w:rsidRPr="00282AC9">
        <w:rPr>
          <w:rFonts w:hint="cs"/>
          <w:sz w:val="27"/>
          <w:rtl/>
        </w:rPr>
        <w:t>ْ</w:t>
      </w:r>
      <w:r w:rsidRPr="00282AC9">
        <w:rPr>
          <w:rFonts w:hint="cs"/>
          <w:sz w:val="27"/>
          <w:rtl/>
        </w:rPr>
        <w:t>نا ـ من أجل تحقيق الأهداف الإسلامية ـ بتأسيس شورى مؤق</w:t>
      </w:r>
      <w:r w:rsidR="00613A65" w:rsidRPr="00282AC9">
        <w:rPr>
          <w:rFonts w:hint="cs"/>
          <w:sz w:val="27"/>
          <w:rtl/>
        </w:rPr>
        <w:t>َّ</w:t>
      </w:r>
      <w:r w:rsidRPr="00282AC9">
        <w:rPr>
          <w:rFonts w:hint="cs"/>
          <w:sz w:val="27"/>
          <w:rtl/>
        </w:rPr>
        <w:t>تة باسم شورى الثورة الإسلامية، تتأل</w:t>
      </w:r>
      <w:r w:rsidR="00613A65" w:rsidRPr="00282AC9">
        <w:rPr>
          <w:rFonts w:hint="cs"/>
          <w:sz w:val="27"/>
          <w:rtl/>
        </w:rPr>
        <w:t>َّ</w:t>
      </w:r>
      <w:r w:rsidRPr="00282AC9">
        <w:rPr>
          <w:rFonts w:hint="cs"/>
          <w:sz w:val="27"/>
          <w:rtl/>
        </w:rPr>
        <w:t>ف من الأفراد الصالحين والمسلمين والمخلصين الثقا</w:t>
      </w:r>
      <w:r w:rsidR="00613A65" w:rsidRPr="00282AC9">
        <w:rPr>
          <w:rFonts w:hint="cs"/>
          <w:sz w:val="27"/>
          <w:rtl/>
        </w:rPr>
        <w:t>ت</w:t>
      </w:r>
      <w:r w:rsidRPr="00282AC9">
        <w:rPr>
          <w:rFonts w:hint="eastAsia"/>
          <w:sz w:val="24"/>
          <w:szCs w:val="24"/>
          <w:rtl/>
        </w:rPr>
        <w:t>»</w:t>
      </w:r>
      <w:r w:rsidRPr="00282AC9">
        <w:rPr>
          <w:sz w:val="27"/>
          <w:vertAlign w:val="superscript"/>
          <w:rtl/>
        </w:rPr>
        <w:t>(</w:t>
      </w:r>
      <w:r w:rsidRPr="00282AC9">
        <w:rPr>
          <w:rStyle w:val="af9"/>
          <w:sz w:val="27"/>
          <w:rtl/>
        </w:rPr>
        <w:endnoteReference w:id="117"/>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b/>
          <w:bCs/>
          <w:sz w:val="27"/>
          <w:rtl/>
        </w:rPr>
        <w:t>2ـ حكم مد</w:t>
      </w:r>
      <w:r w:rsidR="00613A65" w:rsidRPr="00282AC9">
        <w:rPr>
          <w:rFonts w:hint="cs"/>
          <w:b/>
          <w:bCs/>
          <w:sz w:val="27"/>
          <w:rtl/>
        </w:rPr>
        <w:t>ّ</w:t>
      </w:r>
      <w:r w:rsidRPr="00282AC9">
        <w:rPr>
          <w:rFonts w:hint="cs"/>
          <w:b/>
          <w:bCs/>
          <w:sz w:val="27"/>
          <w:rtl/>
        </w:rPr>
        <w:t>عي عام</w:t>
      </w:r>
      <w:r w:rsidR="00613A65" w:rsidRPr="00282AC9">
        <w:rPr>
          <w:rFonts w:hint="cs"/>
          <w:b/>
          <w:bCs/>
          <w:sz w:val="27"/>
          <w:rtl/>
        </w:rPr>
        <w:t>ّ</w:t>
      </w:r>
      <w:r w:rsidRPr="00282AC9">
        <w:rPr>
          <w:rFonts w:hint="cs"/>
          <w:b/>
          <w:bCs/>
          <w:sz w:val="27"/>
          <w:rtl/>
        </w:rPr>
        <w:t xml:space="preserve"> الثورة</w:t>
      </w:r>
      <w:r w:rsidRPr="00282AC9">
        <w:rPr>
          <w:rFonts w:hint="cs"/>
          <w:sz w:val="27"/>
          <w:rtl/>
        </w:rPr>
        <w:t>: أصدر الإمام</w:t>
      </w:r>
      <w:r w:rsidR="00613A65" w:rsidRPr="00282AC9">
        <w:rPr>
          <w:rFonts w:hint="cs"/>
          <w:sz w:val="27"/>
          <w:rtl/>
        </w:rPr>
        <w:t>،</w:t>
      </w:r>
      <w:r w:rsidRPr="00282AC9">
        <w:rPr>
          <w:rFonts w:hint="cs"/>
          <w:sz w:val="27"/>
          <w:rtl/>
        </w:rPr>
        <w:t xml:space="preserve"> بتاريخ: 9 / 12 / 1357هـ.ش، </w:t>
      </w:r>
      <w:r w:rsidR="00613A65" w:rsidRPr="00282AC9">
        <w:rPr>
          <w:rFonts w:hint="cs"/>
          <w:sz w:val="27"/>
          <w:rtl/>
        </w:rPr>
        <w:t xml:space="preserve">حكماً </w:t>
      </w:r>
      <w:r w:rsidRPr="00282AC9">
        <w:rPr>
          <w:rFonts w:hint="cs"/>
          <w:sz w:val="27"/>
          <w:rtl/>
        </w:rPr>
        <w:t>خاطب فيه الشيخ مهدي هادوي</w:t>
      </w:r>
      <w:r w:rsidR="00613A65" w:rsidRPr="00282AC9">
        <w:rPr>
          <w:rFonts w:hint="cs"/>
          <w:sz w:val="27"/>
          <w:rtl/>
        </w:rPr>
        <w:t>،</w:t>
      </w:r>
      <w:r w:rsidRPr="00282AC9">
        <w:rPr>
          <w:rFonts w:hint="cs"/>
          <w:sz w:val="27"/>
          <w:rtl/>
        </w:rPr>
        <w:t xml:space="preserve"> قائلاً: </w:t>
      </w:r>
      <w:r w:rsidRPr="00282AC9">
        <w:rPr>
          <w:rFonts w:hint="eastAsia"/>
          <w:sz w:val="24"/>
          <w:szCs w:val="24"/>
          <w:rtl/>
        </w:rPr>
        <w:t>«</w:t>
      </w:r>
      <w:r w:rsidRPr="00282AC9">
        <w:rPr>
          <w:rFonts w:hint="cs"/>
          <w:sz w:val="27"/>
          <w:rtl/>
        </w:rPr>
        <w:t>تم</w:t>
      </w:r>
      <w:r w:rsidR="00613A65" w:rsidRPr="00282AC9">
        <w:rPr>
          <w:rFonts w:hint="cs"/>
          <w:sz w:val="27"/>
          <w:rtl/>
        </w:rPr>
        <w:t>ّ</w:t>
      </w:r>
      <w:r w:rsidRPr="00282AC9">
        <w:rPr>
          <w:rFonts w:hint="cs"/>
          <w:sz w:val="27"/>
          <w:rtl/>
        </w:rPr>
        <w:t xml:space="preserve"> تنصيب سماحتك بموجب هذا الحكم في منصب المد</w:t>
      </w:r>
      <w:r w:rsidR="00613A65" w:rsidRPr="00282AC9">
        <w:rPr>
          <w:rFonts w:hint="cs"/>
          <w:sz w:val="27"/>
          <w:rtl/>
        </w:rPr>
        <w:t>ّ</w:t>
      </w:r>
      <w:r w:rsidRPr="00282AC9">
        <w:rPr>
          <w:rFonts w:hint="cs"/>
          <w:sz w:val="27"/>
          <w:rtl/>
        </w:rPr>
        <w:t>عي العام</w:t>
      </w:r>
      <w:r w:rsidR="00613A65" w:rsidRPr="00282AC9">
        <w:rPr>
          <w:rFonts w:hint="cs"/>
          <w:sz w:val="27"/>
          <w:rtl/>
        </w:rPr>
        <w:t>ّ</w:t>
      </w:r>
      <w:r w:rsidRPr="00282AC9">
        <w:rPr>
          <w:rFonts w:hint="cs"/>
          <w:sz w:val="27"/>
          <w:rtl/>
        </w:rPr>
        <w:t xml:space="preserve"> في محكمة ثورة الجمهوري</w:t>
      </w:r>
      <w:r w:rsidR="00613A65" w:rsidRPr="00282AC9">
        <w:rPr>
          <w:rFonts w:hint="cs"/>
          <w:sz w:val="27"/>
          <w:rtl/>
        </w:rPr>
        <w:t>ّ</w:t>
      </w:r>
      <w:r w:rsidRPr="00282AC9">
        <w:rPr>
          <w:rFonts w:hint="cs"/>
          <w:sz w:val="27"/>
          <w:rtl/>
        </w:rPr>
        <w:t>ة الإسلامية</w:t>
      </w:r>
      <w:r w:rsidRPr="00282AC9">
        <w:rPr>
          <w:rFonts w:hint="eastAsia"/>
          <w:sz w:val="24"/>
          <w:szCs w:val="24"/>
          <w:rtl/>
        </w:rPr>
        <w:t>»</w:t>
      </w:r>
      <w:r w:rsidRPr="00282AC9">
        <w:rPr>
          <w:sz w:val="27"/>
          <w:vertAlign w:val="superscript"/>
          <w:rtl/>
        </w:rPr>
        <w:t>(</w:t>
      </w:r>
      <w:r w:rsidRPr="00282AC9">
        <w:rPr>
          <w:rStyle w:val="af9"/>
          <w:sz w:val="27"/>
          <w:rtl/>
        </w:rPr>
        <w:endnoteReference w:id="118"/>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b/>
          <w:bCs/>
          <w:sz w:val="27"/>
          <w:rtl/>
        </w:rPr>
        <w:t>3ـ الحكم بمصادرة أموال أسرة البهلوي</w:t>
      </w:r>
      <w:r w:rsidR="00613A65" w:rsidRPr="00282AC9">
        <w:rPr>
          <w:rFonts w:hint="cs"/>
          <w:sz w:val="27"/>
          <w:rtl/>
        </w:rPr>
        <w:t>:</w:t>
      </w:r>
      <w:r w:rsidRPr="00282AC9">
        <w:rPr>
          <w:rFonts w:hint="cs"/>
          <w:sz w:val="27"/>
          <w:rtl/>
        </w:rPr>
        <w:t xml:space="preserve"> </w:t>
      </w:r>
      <w:r w:rsidR="007D3D69" w:rsidRPr="00282AC9">
        <w:rPr>
          <w:rFonts w:hint="cs"/>
          <w:sz w:val="27"/>
          <w:rtl/>
        </w:rPr>
        <w:t xml:space="preserve">حيث قال </w:t>
      </w:r>
      <w:r w:rsidRPr="00282AC9">
        <w:rPr>
          <w:rFonts w:hint="cs"/>
          <w:sz w:val="27"/>
          <w:rtl/>
        </w:rPr>
        <w:t xml:space="preserve">الإمام الخميني، بتاريخ: 9 / 12 / 1357هـ.ش: </w:t>
      </w:r>
      <w:r w:rsidRPr="00282AC9">
        <w:rPr>
          <w:rFonts w:hint="eastAsia"/>
          <w:sz w:val="24"/>
          <w:szCs w:val="24"/>
          <w:rtl/>
        </w:rPr>
        <w:t>«</w:t>
      </w:r>
      <w:r w:rsidRPr="00282AC9">
        <w:rPr>
          <w:rFonts w:hint="cs"/>
          <w:sz w:val="27"/>
          <w:rtl/>
        </w:rPr>
        <w:t>تتول</w:t>
      </w:r>
      <w:r w:rsidR="007D3D69" w:rsidRPr="00282AC9">
        <w:rPr>
          <w:rFonts w:hint="cs"/>
          <w:sz w:val="27"/>
          <w:rtl/>
        </w:rPr>
        <w:t>ّ</w:t>
      </w:r>
      <w:r w:rsidRPr="00282AC9">
        <w:rPr>
          <w:rFonts w:hint="cs"/>
          <w:sz w:val="27"/>
          <w:rtl/>
        </w:rPr>
        <w:t>ى شورى الثورة الإسلامية بموجب هذا الحكم مهم</w:t>
      </w:r>
      <w:r w:rsidR="007D3D69" w:rsidRPr="00282AC9">
        <w:rPr>
          <w:rFonts w:hint="cs"/>
          <w:sz w:val="27"/>
          <w:rtl/>
        </w:rPr>
        <w:t>ّ</w:t>
      </w:r>
      <w:r w:rsidRPr="00282AC9">
        <w:rPr>
          <w:rFonts w:hint="cs"/>
          <w:sz w:val="27"/>
          <w:rtl/>
        </w:rPr>
        <w:t xml:space="preserve">ة مصادرة جميع </w:t>
      </w:r>
      <w:r w:rsidR="00FB47AB" w:rsidRPr="00282AC9">
        <w:rPr>
          <w:rFonts w:hint="cs"/>
          <w:sz w:val="27"/>
          <w:rtl/>
        </w:rPr>
        <w:t>ا</w:t>
      </w:r>
      <w:r w:rsidRPr="00282AC9">
        <w:rPr>
          <w:rFonts w:hint="cs"/>
          <w:sz w:val="27"/>
          <w:rtl/>
        </w:rPr>
        <w:t>لأموال المنقولة وغير المنقولة لسلالة البهلوي</w:t>
      </w:r>
      <w:r w:rsidR="007D3D69" w:rsidRPr="00282AC9">
        <w:rPr>
          <w:rFonts w:hint="cs"/>
          <w:sz w:val="27"/>
          <w:rtl/>
        </w:rPr>
        <w:t>،</w:t>
      </w:r>
      <w:r w:rsidRPr="00282AC9">
        <w:rPr>
          <w:rFonts w:hint="cs"/>
          <w:sz w:val="27"/>
          <w:rtl/>
        </w:rPr>
        <w:t xml:space="preserve"> وفروعها</w:t>
      </w:r>
      <w:r w:rsidR="007D3D69" w:rsidRPr="00282AC9">
        <w:rPr>
          <w:rFonts w:hint="cs"/>
          <w:sz w:val="27"/>
          <w:rtl/>
        </w:rPr>
        <w:t>،</w:t>
      </w:r>
      <w:r w:rsidRPr="00282AC9">
        <w:rPr>
          <w:rFonts w:hint="cs"/>
          <w:sz w:val="27"/>
          <w:rtl/>
        </w:rPr>
        <w:t xml:space="preserve"> وعم</w:t>
      </w:r>
      <w:r w:rsidR="007D3D69" w:rsidRPr="00282AC9">
        <w:rPr>
          <w:rFonts w:hint="cs"/>
          <w:sz w:val="27"/>
          <w:rtl/>
        </w:rPr>
        <w:t>ّ</w:t>
      </w:r>
      <w:r w:rsidRPr="00282AC9">
        <w:rPr>
          <w:rFonts w:hint="cs"/>
          <w:sz w:val="27"/>
          <w:rtl/>
        </w:rPr>
        <w:t>الها</w:t>
      </w:r>
      <w:r w:rsidR="007D3D69" w:rsidRPr="00282AC9">
        <w:rPr>
          <w:rFonts w:hint="cs"/>
          <w:sz w:val="27"/>
          <w:rtl/>
        </w:rPr>
        <w:t>،</w:t>
      </w:r>
      <w:r w:rsidRPr="00282AC9">
        <w:rPr>
          <w:rFonts w:hint="cs"/>
          <w:sz w:val="27"/>
          <w:rtl/>
        </w:rPr>
        <w:t xml:space="preserve"> والمنتسبين إلى هذه السلالة، التي اختلسوها من بيت مال المسلمين طوال فترة حكمهم بشكل</w:t>
      </w:r>
      <w:r w:rsidR="007D3D69" w:rsidRPr="00282AC9">
        <w:rPr>
          <w:rFonts w:hint="cs"/>
          <w:sz w:val="27"/>
          <w:rtl/>
        </w:rPr>
        <w:t>ٍ</w:t>
      </w:r>
      <w:r w:rsidRPr="00282AC9">
        <w:rPr>
          <w:rFonts w:hint="cs"/>
          <w:sz w:val="27"/>
          <w:rtl/>
        </w:rPr>
        <w:t xml:space="preserve"> غير مشروع، والعمل على إنفاقها لمصلحة المحتاجين والعم</w:t>
      </w:r>
      <w:r w:rsidR="007D3D69" w:rsidRPr="00282AC9">
        <w:rPr>
          <w:rFonts w:hint="cs"/>
          <w:sz w:val="27"/>
          <w:rtl/>
        </w:rPr>
        <w:t>ّ</w:t>
      </w:r>
      <w:r w:rsidRPr="00282AC9">
        <w:rPr>
          <w:rFonts w:hint="cs"/>
          <w:sz w:val="27"/>
          <w:rtl/>
        </w:rPr>
        <w:t>ال والموظ</w:t>
      </w:r>
      <w:r w:rsidR="007D3D69" w:rsidRPr="00282AC9">
        <w:rPr>
          <w:rFonts w:hint="cs"/>
          <w:sz w:val="27"/>
          <w:rtl/>
        </w:rPr>
        <w:t>َّ</w:t>
      </w:r>
      <w:r w:rsidRPr="00282AC9">
        <w:rPr>
          <w:rFonts w:hint="cs"/>
          <w:sz w:val="27"/>
          <w:rtl/>
        </w:rPr>
        <w:t>فين من ذوي الد</w:t>
      </w:r>
      <w:r w:rsidR="007D3D69" w:rsidRPr="00282AC9">
        <w:rPr>
          <w:rFonts w:hint="cs"/>
          <w:sz w:val="27"/>
          <w:rtl/>
        </w:rPr>
        <w:t>َّ</w:t>
      </w:r>
      <w:r w:rsidRPr="00282AC9">
        <w:rPr>
          <w:rFonts w:hint="cs"/>
          <w:sz w:val="27"/>
          <w:rtl/>
        </w:rPr>
        <w:t>خ</w:t>
      </w:r>
      <w:r w:rsidR="007D3D69" w:rsidRPr="00282AC9">
        <w:rPr>
          <w:rFonts w:hint="cs"/>
          <w:sz w:val="27"/>
          <w:rtl/>
        </w:rPr>
        <w:t>ْ</w:t>
      </w:r>
      <w:r w:rsidRPr="00282AC9">
        <w:rPr>
          <w:rFonts w:hint="cs"/>
          <w:sz w:val="27"/>
          <w:rtl/>
        </w:rPr>
        <w:t>ل المحدود، وإيداع [الأموال] المنقولة في المصارف برقم</w:t>
      </w:r>
      <w:r w:rsidR="007D3D69" w:rsidRPr="00282AC9">
        <w:rPr>
          <w:rFonts w:hint="cs"/>
          <w:sz w:val="27"/>
          <w:rtl/>
        </w:rPr>
        <w:t>ٍ باسم شورى الثورة</w:t>
      </w:r>
      <w:r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119"/>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b/>
          <w:bCs/>
          <w:sz w:val="27"/>
          <w:rtl/>
        </w:rPr>
        <w:t>4ـ الحكم إلى أمير الحاج</w:t>
      </w:r>
      <w:r w:rsidR="007D3D69" w:rsidRPr="00282AC9">
        <w:rPr>
          <w:rFonts w:hint="cs"/>
          <w:sz w:val="27"/>
          <w:rtl/>
        </w:rPr>
        <w:t>ّ</w:t>
      </w:r>
      <w:r w:rsidRPr="00282AC9">
        <w:rPr>
          <w:rFonts w:hint="cs"/>
          <w:sz w:val="27"/>
          <w:rtl/>
        </w:rPr>
        <w:t>: أصدر الإمام الخميني</w:t>
      </w:r>
      <w:r w:rsidR="007D3D69" w:rsidRPr="00282AC9">
        <w:rPr>
          <w:rFonts w:hint="cs"/>
          <w:sz w:val="27"/>
          <w:rtl/>
        </w:rPr>
        <w:t>،</w:t>
      </w:r>
      <w:r w:rsidRPr="00282AC9">
        <w:rPr>
          <w:rFonts w:hint="cs"/>
          <w:sz w:val="27"/>
          <w:rtl/>
        </w:rPr>
        <w:t xml:space="preserve"> بتاريخ: 2 / 12 / 1357هـ.ش، </w:t>
      </w:r>
      <w:r w:rsidR="007D3D69" w:rsidRPr="00282AC9">
        <w:rPr>
          <w:rFonts w:hint="cs"/>
          <w:sz w:val="27"/>
          <w:rtl/>
        </w:rPr>
        <w:t>حكماً خاطب</w:t>
      </w:r>
      <w:r w:rsidRPr="00282AC9">
        <w:rPr>
          <w:rFonts w:hint="cs"/>
          <w:sz w:val="27"/>
          <w:rtl/>
        </w:rPr>
        <w:t xml:space="preserve"> فيه الحاج الشيخ محيي الدين الأنواري والحاج الشيخ فضل الله المحلاتي، قائلاً: </w:t>
      </w:r>
      <w:r w:rsidRPr="00282AC9">
        <w:rPr>
          <w:rFonts w:hint="eastAsia"/>
          <w:sz w:val="24"/>
          <w:szCs w:val="24"/>
          <w:rtl/>
        </w:rPr>
        <w:t>«</w:t>
      </w:r>
      <w:r w:rsidRPr="00282AC9">
        <w:rPr>
          <w:rFonts w:hint="cs"/>
          <w:sz w:val="27"/>
          <w:rtl/>
        </w:rPr>
        <w:t>حيث نعيش أي</w:t>
      </w:r>
      <w:r w:rsidR="007D3D69" w:rsidRPr="00282AC9">
        <w:rPr>
          <w:rFonts w:hint="cs"/>
          <w:sz w:val="27"/>
          <w:rtl/>
        </w:rPr>
        <w:t>ّ</w:t>
      </w:r>
      <w:r w:rsidRPr="00282AC9">
        <w:rPr>
          <w:rFonts w:hint="cs"/>
          <w:sz w:val="27"/>
          <w:rtl/>
        </w:rPr>
        <w:t>ام إقامة أحد أكبر الفرائض الإسلامية فقد عيّنتكما في منصب إدارة حج</w:t>
      </w:r>
      <w:r w:rsidR="007D3D69" w:rsidRPr="00282AC9">
        <w:rPr>
          <w:rFonts w:hint="cs"/>
          <w:sz w:val="27"/>
          <w:rtl/>
        </w:rPr>
        <w:t>ّ</w:t>
      </w:r>
      <w:r w:rsidRPr="00282AC9">
        <w:rPr>
          <w:rFonts w:hint="cs"/>
          <w:sz w:val="27"/>
          <w:rtl/>
        </w:rPr>
        <w:t>اج بيت الله الحرام</w:t>
      </w:r>
      <w:r w:rsidRPr="00282AC9">
        <w:rPr>
          <w:rFonts w:hint="eastAsia"/>
          <w:sz w:val="24"/>
          <w:szCs w:val="24"/>
          <w:rtl/>
        </w:rPr>
        <w:t>»</w:t>
      </w:r>
      <w:r w:rsidRPr="00282AC9">
        <w:rPr>
          <w:sz w:val="27"/>
          <w:vertAlign w:val="superscript"/>
          <w:rtl/>
        </w:rPr>
        <w:t>(</w:t>
      </w:r>
      <w:r w:rsidRPr="00282AC9">
        <w:rPr>
          <w:rStyle w:val="af9"/>
          <w:sz w:val="27"/>
          <w:rtl/>
        </w:rPr>
        <w:endnoteReference w:id="120"/>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b/>
          <w:bCs/>
          <w:sz w:val="27"/>
          <w:rtl/>
        </w:rPr>
        <w:t>5ـ حكم العفو</w:t>
      </w:r>
      <w:r w:rsidRPr="00282AC9">
        <w:rPr>
          <w:rFonts w:hint="cs"/>
          <w:sz w:val="27"/>
          <w:rtl/>
        </w:rPr>
        <w:t>: خاطب الإمام المد</w:t>
      </w:r>
      <w:r w:rsidR="007D3D69" w:rsidRPr="00282AC9">
        <w:rPr>
          <w:rFonts w:hint="cs"/>
          <w:sz w:val="27"/>
          <w:rtl/>
        </w:rPr>
        <w:t>ّ</w:t>
      </w:r>
      <w:r w:rsidRPr="00282AC9">
        <w:rPr>
          <w:rFonts w:hint="cs"/>
          <w:sz w:val="27"/>
          <w:rtl/>
        </w:rPr>
        <w:t xml:space="preserve">عي العام في محكمة الثورة، بتاريخ: 18 / 8 / 1358هـ.ش، قائلاً: </w:t>
      </w:r>
      <w:r w:rsidRPr="00282AC9">
        <w:rPr>
          <w:rFonts w:hint="eastAsia"/>
          <w:sz w:val="24"/>
          <w:szCs w:val="24"/>
          <w:rtl/>
        </w:rPr>
        <w:t>«</w:t>
      </w:r>
      <w:r w:rsidRPr="00282AC9">
        <w:rPr>
          <w:rFonts w:hint="cs"/>
          <w:sz w:val="27"/>
          <w:rtl/>
        </w:rPr>
        <w:t>بمناسبة حلول عيد الغدير السعيد ـ الذي هو مبدأ تنصيب الإمامة ـ يتم</w:t>
      </w:r>
      <w:r w:rsidR="007D3D69" w:rsidRPr="00282AC9">
        <w:rPr>
          <w:rFonts w:hint="cs"/>
          <w:sz w:val="27"/>
          <w:rtl/>
        </w:rPr>
        <w:t>ّ</w:t>
      </w:r>
      <w:r w:rsidRPr="00282AC9">
        <w:rPr>
          <w:rFonts w:hint="cs"/>
          <w:sz w:val="27"/>
          <w:rtl/>
        </w:rPr>
        <w:t xml:space="preserve"> إصدار عفو</w:t>
      </w:r>
      <w:r w:rsidR="007D3D69" w:rsidRPr="00282AC9">
        <w:rPr>
          <w:rFonts w:hint="cs"/>
          <w:sz w:val="27"/>
          <w:rtl/>
        </w:rPr>
        <w:t>ٍ</w:t>
      </w:r>
      <w:r w:rsidRPr="00282AC9">
        <w:rPr>
          <w:rFonts w:hint="cs"/>
          <w:sz w:val="27"/>
          <w:rtl/>
        </w:rPr>
        <w:t xml:space="preserve"> عام</w:t>
      </w:r>
      <w:r w:rsidR="007D3D69" w:rsidRPr="00282AC9">
        <w:rPr>
          <w:rFonts w:hint="cs"/>
          <w:sz w:val="27"/>
          <w:rtl/>
        </w:rPr>
        <w:t>ّ</w:t>
      </w:r>
      <w:r w:rsidRPr="00282AC9">
        <w:rPr>
          <w:rFonts w:hint="cs"/>
          <w:sz w:val="27"/>
          <w:rtl/>
        </w:rPr>
        <w:t xml:space="preserve"> بحق</w:t>
      </w:r>
      <w:r w:rsidR="007D3D69" w:rsidRPr="00282AC9">
        <w:rPr>
          <w:rFonts w:hint="cs"/>
          <w:sz w:val="27"/>
          <w:rtl/>
        </w:rPr>
        <w:t>ّ</w:t>
      </w:r>
      <w:r w:rsidRPr="00282AC9">
        <w:rPr>
          <w:rFonts w:hint="cs"/>
          <w:sz w:val="27"/>
          <w:rtl/>
        </w:rPr>
        <w:t xml:space="preserve"> أولئك الذين حكمت عليهم محاكم الثورة بالسجن لأقل</w:t>
      </w:r>
      <w:r w:rsidR="007D3D69" w:rsidRPr="00282AC9">
        <w:rPr>
          <w:rFonts w:hint="cs"/>
          <w:sz w:val="27"/>
          <w:rtl/>
        </w:rPr>
        <w:t>ّ</w:t>
      </w:r>
      <w:r w:rsidRPr="00282AC9">
        <w:rPr>
          <w:rFonts w:hint="cs"/>
          <w:sz w:val="27"/>
          <w:rtl/>
        </w:rPr>
        <w:t xml:space="preserve"> من سنتين</w:t>
      </w:r>
      <w:r w:rsidRPr="00282AC9">
        <w:rPr>
          <w:rFonts w:hint="eastAsia"/>
          <w:sz w:val="24"/>
          <w:szCs w:val="24"/>
          <w:rtl/>
        </w:rPr>
        <w:t>»</w:t>
      </w:r>
      <w:r w:rsidRPr="00282AC9">
        <w:rPr>
          <w:sz w:val="27"/>
          <w:vertAlign w:val="superscript"/>
          <w:rtl/>
        </w:rPr>
        <w:t>(</w:t>
      </w:r>
      <w:r w:rsidRPr="00282AC9">
        <w:rPr>
          <w:rStyle w:val="af9"/>
          <w:sz w:val="27"/>
          <w:rtl/>
        </w:rPr>
        <w:endnoteReference w:id="121"/>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b/>
          <w:bCs/>
          <w:sz w:val="27"/>
          <w:rtl/>
        </w:rPr>
        <w:t>6ـ الحكم بتأسيس لجنة</w:t>
      </w:r>
      <w:r w:rsidR="007D3D69" w:rsidRPr="00282AC9">
        <w:rPr>
          <w:rFonts w:hint="cs"/>
          <w:b/>
          <w:bCs/>
          <w:sz w:val="27"/>
          <w:rtl/>
        </w:rPr>
        <w:t>ٍ</w:t>
      </w:r>
      <w:r w:rsidRPr="00282AC9">
        <w:rPr>
          <w:rFonts w:hint="cs"/>
          <w:b/>
          <w:bCs/>
          <w:sz w:val="27"/>
          <w:rtl/>
        </w:rPr>
        <w:t xml:space="preserve"> بشأن التعزيرات</w:t>
      </w:r>
      <w:r w:rsidRPr="00282AC9">
        <w:rPr>
          <w:rFonts w:hint="cs"/>
          <w:sz w:val="27"/>
          <w:rtl/>
        </w:rPr>
        <w:t xml:space="preserve">: قال الإمام الخميني في جواب رئيس لجنة الشؤون القضائية والحقوقية في المجلس، بتاريخ: 28 / 8 / 1364هـ.ش: </w:t>
      </w:r>
      <w:r w:rsidRPr="00282AC9">
        <w:rPr>
          <w:rFonts w:hint="eastAsia"/>
          <w:sz w:val="24"/>
          <w:szCs w:val="24"/>
          <w:rtl/>
        </w:rPr>
        <w:t>«</w:t>
      </w:r>
      <w:r w:rsidRPr="00282AC9">
        <w:rPr>
          <w:rFonts w:hint="cs"/>
          <w:sz w:val="27"/>
          <w:rtl/>
        </w:rPr>
        <w:t xml:space="preserve">في </w:t>
      </w:r>
      <w:r w:rsidRPr="00282AC9">
        <w:rPr>
          <w:rFonts w:hint="cs"/>
          <w:sz w:val="27"/>
          <w:rtl/>
        </w:rPr>
        <w:lastRenderedPageBreak/>
        <w:t>الوقت الراهن</w:t>
      </w:r>
      <w:r w:rsidR="007D3D69" w:rsidRPr="00282AC9">
        <w:rPr>
          <w:rFonts w:hint="cs"/>
          <w:sz w:val="27"/>
          <w:rtl/>
        </w:rPr>
        <w:t>،</w:t>
      </w:r>
      <w:r w:rsidRPr="00282AC9">
        <w:rPr>
          <w:rFonts w:hint="cs"/>
          <w:sz w:val="27"/>
          <w:rtl/>
        </w:rPr>
        <w:t xml:space="preserve"> حيث الأكثرية الكبيرة من المتصد</w:t>
      </w:r>
      <w:r w:rsidR="007D3D69" w:rsidRPr="00282AC9">
        <w:rPr>
          <w:rFonts w:hint="cs"/>
          <w:sz w:val="27"/>
          <w:rtl/>
        </w:rPr>
        <w:t>ّ</w:t>
      </w:r>
      <w:r w:rsidRPr="00282AC9">
        <w:rPr>
          <w:rFonts w:hint="cs"/>
          <w:sz w:val="27"/>
          <w:rtl/>
        </w:rPr>
        <w:t>ين لأمر القضاء لا تتوف</w:t>
      </w:r>
      <w:r w:rsidR="007D3D69" w:rsidRPr="00282AC9">
        <w:rPr>
          <w:rFonts w:hint="cs"/>
          <w:sz w:val="27"/>
          <w:rtl/>
        </w:rPr>
        <w:t>َّ</w:t>
      </w:r>
      <w:r w:rsidRPr="00282AC9">
        <w:rPr>
          <w:rFonts w:hint="cs"/>
          <w:sz w:val="27"/>
          <w:rtl/>
        </w:rPr>
        <w:t>ر فيهم الشرائط الشرعي</w:t>
      </w:r>
      <w:r w:rsidR="007D3D69" w:rsidRPr="00282AC9">
        <w:rPr>
          <w:rFonts w:hint="cs"/>
          <w:sz w:val="27"/>
          <w:rtl/>
        </w:rPr>
        <w:t>ّ</w:t>
      </w:r>
      <w:r w:rsidRPr="00282AC9">
        <w:rPr>
          <w:rFonts w:hint="cs"/>
          <w:sz w:val="27"/>
          <w:rtl/>
        </w:rPr>
        <w:t>ة للقضاء، وإنما أجيزوا من باب الضرورة، لا يحق</w:t>
      </w:r>
      <w:r w:rsidR="007D3D69" w:rsidRPr="00282AC9">
        <w:rPr>
          <w:rFonts w:hint="cs"/>
          <w:sz w:val="27"/>
          <w:rtl/>
        </w:rPr>
        <w:t>ّ</w:t>
      </w:r>
      <w:r w:rsidRPr="00282AC9">
        <w:rPr>
          <w:rFonts w:hint="cs"/>
          <w:sz w:val="27"/>
          <w:rtl/>
        </w:rPr>
        <w:t xml:space="preserve"> لهم تعيين حدود التعزير دون إذن</w:t>
      </w:r>
      <w:r w:rsidR="007D3D69" w:rsidRPr="00282AC9">
        <w:rPr>
          <w:rFonts w:hint="cs"/>
          <w:sz w:val="27"/>
          <w:rtl/>
        </w:rPr>
        <w:t>ٍ</w:t>
      </w:r>
      <w:r w:rsidRPr="00282AC9">
        <w:rPr>
          <w:rFonts w:hint="cs"/>
          <w:sz w:val="27"/>
          <w:rtl/>
        </w:rPr>
        <w:t xml:space="preserve"> من الفقيه الجامع للشرائط</w:t>
      </w:r>
      <w:r w:rsidR="007D3D69" w:rsidRPr="00282AC9">
        <w:rPr>
          <w:rFonts w:hint="cs"/>
          <w:sz w:val="27"/>
          <w:rtl/>
        </w:rPr>
        <w:t>.</w:t>
      </w:r>
      <w:r w:rsidRPr="00282AC9">
        <w:rPr>
          <w:rFonts w:hint="cs"/>
          <w:sz w:val="27"/>
          <w:rtl/>
        </w:rPr>
        <w:t xml:space="preserve"> وعليه يجب تعيين لجنة</w:t>
      </w:r>
      <w:r w:rsidR="007D3D69" w:rsidRPr="00282AC9">
        <w:rPr>
          <w:rFonts w:hint="cs"/>
          <w:sz w:val="27"/>
          <w:rtl/>
        </w:rPr>
        <w:t>ٍ</w:t>
      </w:r>
      <w:r w:rsidRPr="00282AC9">
        <w:rPr>
          <w:rFonts w:hint="cs"/>
          <w:sz w:val="27"/>
          <w:rtl/>
        </w:rPr>
        <w:t>... تعمل على تعيين حدود التعزيرات، حيث ي</w:t>
      </w:r>
      <w:r w:rsidR="00773D29" w:rsidRPr="00282AC9">
        <w:rPr>
          <w:rFonts w:hint="cs"/>
          <w:sz w:val="27"/>
          <w:rtl/>
        </w:rPr>
        <w:t>ُ</w:t>
      </w:r>
      <w:r w:rsidRPr="00282AC9">
        <w:rPr>
          <w:rFonts w:hint="cs"/>
          <w:sz w:val="27"/>
          <w:rtl/>
        </w:rPr>
        <w:t>ؤذ</w:t>
      </w:r>
      <w:r w:rsidR="00773D29" w:rsidRPr="00282AC9">
        <w:rPr>
          <w:rFonts w:hint="cs"/>
          <w:sz w:val="27"/>
          <w:rtl/>
        </w:rPr>
        <w:t>َ</w:t>
      </w:r>
      <w:r w:rsidRPr="00282AC9">
        <w:rPr>
          <w:rFonts w:hint="cs"/>
          <w:sz w:val="27"/>
          <w:rtl/>
        </w:rPr>
        <w:t>ن لهم في هذا الإطار</w:t>
      </w:r>
      <w:r w:rsidR="00773D29" w:rsidRPr="00282AC9">
        <w:rPr>
          <w:rFonts w:hint="cs"/>
          <w:sz w:val="27"/>
          <w:rtl/>
        </w:rPr>
        <w:t>،</w:t>
      </w:r>
      <w:r w:rsidRPr="00282AC9">
        <w:rPr>
          <w:rFonts w:hint="cs"/>
          <w:sz w:val="27"/>
          <w:rtl/>
        </w:rPr>
        <w:t xml:space="preserve"> ولا يحق</w:t>
      </w:r>
      <w:r w:rsidR="00773D29" w:rsidRPr="00282AC9">
        <w:rPr>
          <w:rFonts w:hint="cs"/>
          <w:sz w:val="27"/>
          <w:rtl/>
        </w:rPr>
        <w:t>ّ</w:t>
      </w:r>
      <w:r w:rsidRPr="00282AC9">
        <w:rPr>
          <w:rFonts w:hint="cs"/>
          <w:sz w:val="27"/>
          <w:rtl/>
        </w:rPr>
        <w:t xml:space="preserve"> لهم تجاوز ذلك</w:t>
      </w:r>
      <w:r w:rsidR="00773D29" w:rsidRPr="00282AC9">
        <w:rPr>
          <w:rFonts w:hint="cs"/>
          <w:sz w:val="27"/>
          <w:rtl/>
        </w:rPr>
        <w:t>.</w:t>
      </w:r>
      <w:r w:rsidRPr="00282AC9">
        <w:rPr>
          <w:rFonts w:hint="cs"/>
          <w:sz w:val="27"/>
          <w:rtl/>
        </w:rPr>
        <w:t xml:space="preserve"> وهذا بطبيعة الحال أمر</w:t>
      </w:r>
      <w:r w:rsidR="00773D29" w:rsidRPr="00282AC9">
        <w:rPr>
          <w:rFonts w:hint="cs"/>
          <w:sz w:val="27"/>
          <w:rtl/>
        </w:rPr>
        <w:t>ٌ</w:t>
      </w:r>
      <w:r w:rsidRPr="00282AC9">
        <w:rPr>
          <w:rFonts w:hint="cs"/>
          <w:sz w:val="27"/>
          <w:rtl/>
        </w:rPr>
        <w:t xml:space="preserve"> مؤق</w:t>
      </w:r>
      <w:r w:rsidR="00773D29" w:rsidRPr="00282AC9">
        <w:rPr>
          <w:rFonts w:hint="cs"/>
          <w:sz w:val="27"/>
          <w:rtl/>
        </w:rPr>
        <w:t>َّ</w:t>
      </w:r>
      <w:r w:rsidRPr="00282AC9">
        <w:rPr>
          <w:rFonts w:hint="cs"/>
          <w:sz w:val="27"/>
          <w:rtl/>
        </w:rPr>
        <w:t>ت</w:t>
      </w:r>
      <w:r w:rsidR="00773D29" w:rsidRPr="00282AC9">
        <w:rPr>
          <w:rFonts w:hint="cs"/>
          <w:sz w:val="27"/>
          <w:rtl/>
        </w:rPr>
        <w:t>،</w:t>
      </w:r>
      <w:r w:rsidRPr="00282AC9">
        <w:rPr>
          <w:rFonts w:hint="cs"/>
          <w:sz w:val="27"/>
          <w:rtl/>
        </w:rPr>
        <w:t xml:space="preserve"> وعلى نحو الاضطرار، حت</w:t>
      </w:r>
      <w:r w:rsidR="00773D29" w:rsidRPr="00282AC9">
        <w:rPr>
          <w:rFonts w:hint="cs"/>
          <w:sz w:val="27"/>
          <w:rtl/>
        </w:rPr>
        <w:t>ّ</w:t>
      </w:r>
      <w:r w:rsidRPr="00282AC9">
        <w:rPr>
          <w:rFonts w:hint="cs"/>
          <w:sz w:val="27"/>
          <w:rtl/>
        </w:rPr>
        <w:t>ى يتمّ ـ إن</w:t>
      </w:r>
      <w:r w:rsidR="00773D29" w:rsidRPr="00282AC9">
        <w:rPr>
          <w:rFonts w:hint="cs"/>
          <w:sz w:val="27"/>
          <w:rtl/>
        </w:rPr>
        <w:t>ْ</w:t>
      </w:r>
      <w:r w:rsidRPr="00282AC9">
        <w:rPr>
          <w:rFonts w:hint="cs"/>
          <w:sz w:val="27"/>
          <w:rtl/>
        </w:rPr>
        <w:t xml:space="preserve"> شاء الله ـ تعيين القضاة الجامعين للشرائط</w:t>
      </w:r>
      <w:r w:rsidRPr="00282AC9">
        <w:rPr>
          <w:rFonts w:hint="eastAsia"/>
          <w:sz w:val="24"/>
          <w:szCs w:val="24"/>
          <w:rtl/>
        </w:rPr>
        <w:t>»</w:t>
      </w:r>
      <w:r w:rsidRPr="00282AC9">
        <w:rPr>
          <w:sz w:val="27"/>
          <w:vertAlign w:val="superscript"/>
          <w:rtl/>
        </w:rPr>
        <w:t>(</w:t>
      </w:r>
      <w:r w:rsidRPr="00282AC9">
        <w:rPr>
          <w:rStyle w:val="af9"/>
          <w:sz w:val="27"/>
          <w:rtl/>
        </w:rPr>
        <w:endnoteReference w:id="122"/>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b/>
          <w:bCs/>
          <w:sz w:val="27"/>
          <w:rtl/>
        </w:rPr>
        <w:t>7ـ الحكم بشأن تشكيل مجمع تشخيص مصلحة النظام</w:t>
      </w:r>
      <w:r w:rsidRPr="00282AC9">
        <w:rPr>
          <w:rFonts w:hint="cs"/>
          <w:sz w:val="27"/>
          <w:rtl/>
        </w:rPr>
        <w:t>: بتاريخ: 7 / 11 / 1366هـ.ش توج</w:t>
      </w:r>
      <w:r w:rsidR="00FB47AB" w:rsidRPr="00282AC9">
        <w:rPr>
          <w:rFonts w:hint="cs"/>
          <w:sz w:val="27"/>
          <w:rtl/>
        </w:rPr>
        <w:t>َّ</w:t>
      </w:r>
      <w:r w:rsidRPr="00282AC9">
        <w:rPr>
          <w:rFonts w:hint="cs"/>
          <w:sz w:val="27"/>
          <w:rtl/>
        </w:rPr>
        <w:t>ه الإمام الخميني بالخطاب إلى المسؤولين في الدولة</w:t>
      </w:r>
      <w:r w:rsidR="00773D29" w:rsidRPr="00282AC9">
        <w:rPr>
          <w:rFonts w:hint="cs"/>
          <w:sz w:val="27"/>
          <w:rtl/>
        </w:rPr>
        <w:t>،</w:t>
      </w:r>
      <w:r w:rsidRPr="00282AC9">
        <w:rPr>
          <w:rFonts w:hint="cs"/>
          <w:sz w:val="27"/>
          <w:rtl/>
        </w:rPr>
        <w:t xml:space="preserve"> قائلاً: </w:t>
      </w:r>
      <w:r w:rsidRPr="00282AC9">
        <w:rPr>
          <w:rFonts w:hint="eastAsia"/>
          <w:sz w:val="24"/>
          <w:szCs w:val="24"/>
          <w:rtl/>
        </w:rPr>
        <w:t>«</w:t>
      </w:r>
      <w:r w:rsidR="00773D29" w:rsidRPr="00282AC9">
        <w:rPr>
          <w:rFonts w:hint="cs"/>
          <w:sz w:val="27"/>
          <w:rtl/>
        </w:rPr>
        <w:t>...</w:t>
      </w:r>
      <w:r w:rsidRPr="00282AC9">
        <w:rPr>
          <w:rFonts w:hint="cs"/>
          <w:sz w:val="27"/>
          <w:rtl/>
        </w:rPr>
        <w:t>رعاية</w:t>
      </w:r>
      <w:r w:rsidR="00773D29" w:rsidRPr="00282AC9">
        <w:rPr>
          <w:rFonts w:hint="cs"/>
          <w:sz w:val="27"/>
          <w:rtl/>
        </w:rPr>
        <w:t>ً</w:t>
      </w:r>
      <w:r w:rsidRPr="00282AC9">
        <w:rPr>
          <w:rFonts w:hint="cs"/>
          <w:sz w:val="27"/>
          <w:rtl/>
        </w:rPr>
        <w:t xml:space="preserve"> لغاية الاحتياط</w:t>
      </w:r>
      <w:r w:rsidR="00773D29" w:rsidRPr="00282AC9">
        <w:rPr>
          <w:rFonts w:hint="cs"/>
          <w:sz w:val="27"/>
          <w:rtl/>
        </w:rPr>
        <w:t>،</w:t>
      </w:r>
      <w:r w:rsidRPr="00282AC9">
        <w:rPr>
          <w:rFonts w:hint="cs"/>
          <w:sz w:val="27"/>
          <w:rtl/>
        </w:rPr>
        <w:t xml:space="preserve"> لو لم يحصل التوافق بين مجلس الشورى الإسلامي وشورى الصيانة</w:t>
      </w:r>
      <w:r w:rsidR="00773D29" w:rsidRPr="00282AC9">
        <w:rPr>
          <w:rFonts w:hint="cs"/>
          <w:sz w:val="27"/>
          <w:rtl/>
        </w:rPr>
        <w:t>،</w:t>
      </w:r>
      <w:r w:rsidRPr="00282AC9">
        <w:rPr>
          <w:rFonts w:hint="cs"/>
          <w:sz w:val="27"/>
          <w:rtl/>
        </w:rPr>
        <w:t xml:space="preserve"> على المستوى الشرعي</w:t>
      </w:r>
      <w:r w:rsidR="00773D29" w:rsidRPr="00282AC9">
        <w:rPr>
          <w:rFonts w:hint="cs"/>
          <w:sz w:val="27"/>
          <w:rtl/>
        </w:rPr>
        <w:t>ّ</w:t>
      </w:r>
      <w:r w:rsidRPr="00282AC9">
        <w:rPr>
          <w:rFonts w:hint="cs"/>
          <w:sz w:val="27"/>
          <w:rtl/>
        </w:rPr>
        <w:t xml:space="preserve"> والقانوني</w:t>
      </w:r>
      <w:r w:rsidR="00773D29" w:rsidRPr="00282AC9">
        <w:rPr>
          <w:rFonts w:hint="cs"/>
          <w:sz w:val="27"/>
          <w:rtl/>
        </w:rPr>
        <w:t>ّ،</w:t>
      </w:r>
      <w:r w:rsidRPr="00282AC9">
        <w:rPr>
          <w:rFonts w:hint="cs"/>
          <w:sz w:val="27"/>
          <w:rtl/>
        </w:rPr>
        <w:t xml:space="preserve"> فقد تم</w:t>
      </w:r>
      <w:r w:rsidR="00773D29" w:rsidRPr="00282AC9">
        <w:rPr>
          <w:rFonts w:hint="cs"/>
          <w:sz w:val="27"/>
          <w:rtl/>
        </w:rPr>
        <w:t>ّ</w:t>
      </w:r>
      <w:r w:rsidRPr="00282AC9">
        <w:rPr>
          <w:rFonts w:hint="cs"/>
          <w:sz w:val="27"/>
          <w:rtl/>
        </w:rPr>
        <w:t xml:space="preserve"> تشكيل مجمع مؤل</w:t>
      </w:r>
      <w:r w:rsidR="00773D29" w:rsidRPr="00282AC9">
        <w:rPr>
          <w:rFonts w:hint="cs"/>
          <w:sz w:val="27"/>
          <w:rtl/>
        </w:rPr>
        <w:t>َّف من</w:t>
      </w:r>
      <w:r w:rsidRPr="00282AC9">
        <w:rPr>
          <w:rFonts w:hint="cs"/>
          <w:sz w:val="27"/>
          <w:rtl/>
        </w:rPr>
        <w:t>...</w:t>
      </w:r>
      <w:r w:rsidR="00773D29" w:rsidRPr="00282AC9">
        <w:rPr>
          <w:rFonts w:hint="cs"/>
          <w:sz w:val="27"/>
          <w:rtl/>
        </w:rPr>
        <w:t>؛</w:t>
      </w:r>
      <w:r w:rsidRPr="00282AC9">
        <w:rPr>
          <w:rFonts w:hint="cs"/>
          <w:sz w:val="27"/>
          <w:rtl/>
        </w:rPr>
        <w:t xml:space="preserve"> من أجل تشخيص مصلحة النظام الإسلامي</w:t>
      </w:r>
      <w:r w:rsidR="00773D29"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123"/>
      </w:r>
      <w:r w:rsidRPr="00282AC9">
        <w:rPr>
          <w:sz w:val="27"/>
          <w:vertAlign w:val="superscript"/>
          <w:rtl/>
        </w:rPr>
        <w:t>)</w:t>
      </w:r>
      <w:r w:rsidRPr="00282AC9">
        <w:rPr>
          <w:rFonts w:hint="cs"/>
          <w:sz w:val="27"/>
          <w:rtl/>
        </w:rPr>
        <w:t>.</w:t>
      </w:r>
    </w:p>
    <w:p w:rsidR="00BC5E40" w:rsidRPr="00282AC9" w:rsidRDefault="00773D29" w:rsidP="00BC4D37">
      <w:pPr>
        <w:rPr>
          <w:sz w:val="27"/>
          <w:rtl/>
        </w:rPr>
      </w:pPr>
      <w:r w:rsidRPr="00282AC9">
        <w:rPr>
          <w:rFonts w:hint="cs"/>
          <w:sz w:val="27"/>
          <w:rtl/>
        </w:rPr>
        <w:t xml:space="preserve">لقد ذكر </w:t>
      </w:r>
      <w:r w:rsidR="00BC5E40" w:rsidRPr="00282AC9">
        <w:rPr>
          <w:rFonts w:hint="cs"/>
          <w:sz w:val="27"/>
          <w:rtl/>
        </w:rPr>
        <w:t>الإمام في هذا الجواب ما يزيد على العشرين حكماً ولائياً، نذكرها في</w:t>
      </w:r>
      <w:r w:rsidRPr="00282AC9">
        <w:rPr>
          <w:rFonts w:hint="cs"/>
          <w:sz w:val="27"/>
          <w:rtl/>
        </w:rPr>
        <w:t xml:space="preserve"> </w:t>
      </w:r>
      <w:r w:rsidR="00BC5E40" w:rsidRPr="00282AC9">
        <w:rPr>
          <w:rFonts w:hint="cs"/>
          <w:sz w:val="27"/>
          <w:rtl/>
        </w:rPr>
        <w:t>ما يلي</w:t>
      </w:r>
      <w:r w:rsidRPr="00282AC9">
        <w:rPr>
          <w:rFonts w:hint="cs"/>
          <w:sz w:val="27"/>
          <w:rtl/>
        </w:rPr>
        <w:t>؛</w:t>
      </w:r>
      <w:r w:rsidR="00BC5E40" w:rsidRPr="00282AC9">
        <w:rPr>
          <w:rFonts w:hint="cs"/>
          <w:sz w:val="27"/>
          <w:rtl/>
        </w:rPr>
        <w:t xml:space="preserve"> بالنظر إلى أهم</w:t>
      </w:r>
      <w:r w:rsidRPr="00282AC9">
        <w:rPr>
          <w:rFonts w:hint="cs"/>
          <w:sz w:val="27"/>
          <w:rtl/>
        </w:rPr>
        <w:t>ّ</w:t>
      </w:r>
      <w:r w:rsidR="00BC5E40" w:rsidRPr="00282AC9">
        <w:rPr>
          <w:rFonts w:hint="cs"/>
          <w:sz w:val="27"/>
          <w:rtl/>
        </w:rPr>
        <w:t>يتها:</w:t>
      </w:r>
    </w:p>
    <w:p w:rsidR="00BC5E40" w:rsidRPr="00282AC9" w:rsidRDefault="00BC5E40" w:rsidP="00BC4D37">
      <w:pPr>
        <w:rPr>
          <w:sz w:val="27"/>
          <w:rtl/>
        </w:rPr>
      </w:pPr>
      <w:r w:rsidRPr="00282AC9">
        <w:rPr>
          <w:rFonts w:hint="cs"/>
          <w:sz w:val="27"/>
          <w:rtl/>
        </w:rPr>
        <w:t>1ـ شق</w:t>
      </w:r>
      <w:r w:rsidR="00773D29" w:rsidRPr="00282AC9">
        <w:rPr>
          <w:rFonts w:hint="cs"/>
          <w:sz w:val="27"/>
          <w:rtl/>
        </w:rPr>
        <w:t>ّ</w:t>
      </w:r>
      <w:r w:rsidRPr="00282AC9">
        <w:rPr>
          <w:rFonts w:hint="cs"/>
          <w:sz w:val="27"/>
          <w:rtl/>
        </w:rPr>
        <w:t xml:space="preserve"> الطرقات في أملاك الآخرين.</w:t>
      </w:r>
    </w:p>
    <w:p w:rsidR="00BC5E40" w:rsidRPr="00282AC9" w:rsidRDefault="00BC5E40" w:rsidP="00BC4D37">
      <w:pPr>
        <w:rPr>
          <w:sz w:val="27"/>
          <w:rtl/>
        </w:rPr>
      </w:pPr>
      <w:r w:rsidRPr="00282AC9">
        <w:rPr>
          <w:rFonts w:hint="cs"/>
          <w:sz w:val="27"/>
          <w:rtl/>
        </w:rPr>
        <w:t>2ـ قانون الخدمة العسكري</w:t>
      </w:r>
      <w:r w:rsidR="00773D29" w:rsidRPr="00282AC9">
        <w:rPr>
          <w:rFonts w:hint="cs"/>
          <w:sz w:val="27"/>
          <w:rtl/>
        </w:rPr>
        <w:t>ّ</w:t>
      </w:r>
      <w:r w:rsidRPr="00282AC9">
        <w:rPr>
          <w:rFonts w:hint="cs"/>
          <w:sz w:val="27"/>
          <w:rtl/>
        </w:rPr>
        <w:t>ة.</w:t>
      </w:r>
    </w:p>
    <w:p w:rsidR="00BC5E40" w:rsidRPr="00282AC9" w:rsidRDefault="00BC5E40" w:rsidP="00BC4D37">
      <w:pPr>
        <w:rPr>
          <w:sz w:val="27"/>
          <w:rtl/>
        </w:rPr>
      </w:pPr>
      <w:r w:rsidRPr="00282AC9">
        <w:rPr>
          <w:rFonts w:hint="cs"/>
          <w:sz w:val="27"/>
          <w:rtl/>
        </w:rPr>
        <w:t>3ـ الإرسال الإجباري</w:t>
      </w:r>
      <w:r w:rsidR="00773D29" w:rsidRPr="00282AC9">
        <w:rPr>
          <w:rFonts w:hint="cs"/>
          <w:sz w:val="27"/>
          <w:rtl/>
        </w:rPr>
        <w:t>ّ</w:t>
      </w:r>
      <w:r w:rsidRPr="00282AC9">
        <w:rPr>
          <w:rFonts w:hint="cs"/>
          <w:sz w:val="27"/>
          <w:rtl/>
        </w:rPr>
        <w:t xml:space="preserve"> إلى جبهات القتال.</w:t>
      </w:r>
    </w:p>
    <w:p w:rsidR="00BC5E40" w:rsidRPr="00282AC9" w:rsidRDefault="00BC5E40" w:rsidP="00BC4D37">
      <w:pPr>
        <w:rPr>
          <w:sz w:val="27"/>
          <w:rtl/>
        </w:rPr>
      </w:pPr>
      <w:r w:rsidRPr="00282AC9">
        <w:rPr>
          <w:rFonts w:hint="cs"/>
          <w:sz w:val="27"/>
          <w:rtl/>
        </w:rPr>
        <w:t>4ـ الحيلولة دون خروج ودخول العملة الصعبة.</w:t>
      </w:r>
    </w:p>
    <w:p w:rsidR="00BC5E40" w:rsidRPr="00282AC9" w:rsidRDefault="00BC5E40" w:rsidP="00BC4D37">
      <w:pPr>
        <w:rPr>
          <w:sz w:val="27"/>
          <w:rtl/>
        </w:rPr>
      </w:pPr>
      <w:r w:rsidRPr="00282AC9">
        <w:rPr>
          <w:rFonts w:hint="cs"/>
          <w:sz w:val="27"/>
          <w:rtl/>
        </w:rPr>
        <w:t>5ـ الحيلولة دون خروج ودخول بعض البضائع.</w:t>
      </w:r>
    </w:p>
    <w:p w:rsidR="00BC5E40" w:rsidRPr="00282AC9" w:rsidRDefault="00BC5E40" w:rsidP="00BC4D37">
      <w:pPr>
        <w:rPr>
          <w:sz w:val="27"/>
          <w:rtl/>
        </w:rPr>
      </w:pPr>
      <w:r w:rsidRPr="00282AC9">
        <w:rPr>
          <w:rFonts w:hint="cs"/>
          <w:sz w:val="27"/>
          <w:rtl/>
        </w:rPr>
        <w:t>6ـ المنع من احتكار جميع البضائع.</w:t>
      </w:r>
    </w:p>
    <w:p w:rsidR="00BC5E40" w:rsidRPr="00282AC9" w:rsidRDefault="00BC5E40" w:rsidP="00BC4D37">
      <w:pPr>
        <w:rPr>
          <w:sz w:val="27"/>
          <w:rtl/>
        </w:rPr>
      </w:pPr>
      <w:r w:rsidRPr="00282AC9">
        <w:rPr>
          <w:rFonts w:hint="cs"/>
          <w:sz w:val="27"/>
          <w:rtl/>
        </w:rPr>
        <w:t>7ـ الإجراءات الجمركي</w:t>
      </w:r>
      <w:r w:rsidR="00773D29" w:rsidRPr="00282AC9">
        <w:rPr>
          <w:rFonts w:hint="cs"/>
          <w:sz w:val="27"/>
          <w:rtl/>
        </w:rPr>
        <w:t>ّ</w:t>
      </w:r>
      <w:r w:rsidRPr="00282AC9">
        <w:rPr>
          <w:rFonts w:hint="cs"/>
          <w:sz w:val="27"/>
          <w:rtl/>
        </w:rPr>
        <w:t>ة.</w:t>
      </w:r>
    </w:p>
    <w:p w:rsidR="00BC5E40" w:rsidRPr="00282AC9" w:rsidRDefault="00BC5E40" w:rsidP="00BC4D37">
      <w:pPr>
        <w:rPr>
          <w:sz w:val="27"/>
          <w:rtl/>
        </w:rPr>
      </w:pPr>
      <w:r w:rsidRPr="00282AC9">
        <w:rPr>
          <w:rFonts w:hint="cs"/>
          <w:sz w:val="27"/>
          <w:rtl/>
        </w:rPr>
        <w:t>8ـ فرض الضرائب.</w:t>
      </w:r>
    </w:p>
    <w:p w:rsidR="00BC5E40" w:rsidRPr="00282AC9" w:rsidRDefault="00BC5E40" w:rsidP="00BC4D37">
      <w:pPr>
        <w:rPr>
          <w:sz w:val="27"/>
          <w:rtl/>
        </w:rPr>
      </w:pPr>
      <w:r w:rsidRPr="00282AC9">
        <w:rPr>
          <w:rFonts w:hint="cs"/>
          <w:sz w:val="27"/>
          <w:rtl/>
        </w:rPr>
        <w:t>9ـ المنع من ارتفاع الأسعار.</w:t>
      </w:r>
    </w:p>
    <w:p w:rsidR="00BC5E40" w:rsidRPr="00282AC9" w:rsidRDefault="00BC5E40" w:rsidP="00BC4D37">
      <w:pPr>
        <w:rPr>
          <w:sz w:val="27"/>
          <w:rtl/>
        </w:rPr>
      </w:pPr>
      <w:r w:rsidRPr="00282AC9">
        <w:rPr>
          <w:rFonts w:hint="cs"/>
          <w:sz w:val="27"/>
          <w:rtl/>
        </w:rPr>
        <w:t>10ـ فرض الأسعار على البضائع.</w:t>
      </w:r>
    </w:p>
    <w:p w:rsidR="00BC5E40" w:rsidRPr="00282AC9" w:rsidRDefault="00BC5E40" w:rsidP="00BC4D37">
      <w:pPr>
        <w:rPr>
          <w:sz w:val="27"/>
          <w:rtl/>
        </w:rPr>
      </w:pPr>
      <w:r w:rsidRPr="00282AC9">
        <w:rPr>
          <w:rFonts w:hint="cs"/>
          <w:sz w:val="27"/>
          <w:rtl/>
        </w:rPr>
        <w:t>11ـ الحيلولة دون توزيع المخد</w:t>
      </w:r>
      <w:r w:rsidR="00773D29" w:rsidRPr="00282AC9">
        <w:rPr>
          <w:rFonts w:hint="cs"/>
          <w:sz w:val="27"/>
          <w:rtl/>
        </w:rPr>
        <w:t>ِّ</w:t>
      </w:r>
      <w:r w:rsidRPr="00282AC9">
        <w:rPr>
          <w:rFonts w:hint="cs"/>
          <w:sz w:val="27"/>
          <w:rtl/>
        </w:rPr>
        <w:t>رات ومحاربة الإدمان.</w:t>
      </w:r>
    </w:p>
    <w:p w:rsidR="00BC5E40" w:rsidRPr="00282AC9" w:rsidRDefault="00BC5E40" w:rsidP="00BC4D37">
      <w:pPr>
        <w:rPr>
          <w:sz w:val="27"/>
          <w:rtl/>
        </w:rPr>
      </w:pPr>
      <w:r w:rsidRPr="00282AC9">
        <w:rPr>
          <w:rFonts w:hint="cs"/>
          <w:sz w:val="27"/>
          <w:rtl/>
        </w:rPr>
        <w:t>12ـ حظر حمل الأسلحة بجميع أنواعها.</w:t>
      </w:r>
    </w:p>
    <w:p w:rsidR="00BC5E40" w:rsidRPr="00282AC9" w:rsidRDefault="00BC5E40" w:rsidP="00BC4D37">
      <w:pPr>
        <w:rPr>
          <w:sz w:val="27"/>
          <w:rtl/>
        </w:rPr>
      </w:pPr>
      <w:r w:rsidRPr="00282AC9">
        <w:rPr>
          <w:rFonts w:hint="cs"/>
          <w:sz w:val="27"/>
          <w:rtl/>
        </w:rPr>
        <w:t>13ـ إزالة المسجد من الطريق.</w:t>
      </w:r>
    </w:p>
    <w:p w:rsidR="00BC5E40" w:rsidRPr="00282AC9" w:rsidRDefault="00BC5E40" w:rsidP="00BC4D37">
      <w:pPr>
        <w:rPr>
          <w:sz w:val="27"/>
          <w:rtl/>
        </w:rPr>
      </w:pPr>
      <w:r w:rsidRPr="00282AC9">
        <w:rPr>
          <w:rFonts w:hint="cs"/>
          <w:sz w:val="27"/>
          <w:rtl/>
        </w:rPr>
        <w:lastRenderedPageBreak/>
        <w:t>14ـ إزالة الأبنية والمنازل الواقعة في الطرقات.</w:t>
      </w:r>
    </w:p>
    <w:p w:rsidR="00BC5E40" w:rsidRPr="00282AC9" w:rsidRDefault="00BC5E40" w:rsidP="00BC4D37">
      <w:pPr>
        <w:rPr>
          <w:sz w:val="27"/>
          <w:rtl/>
        </w:rPr>
      </w:pPr>
      <w:r w:rsidRPr="00282AC9">
        <w:rPr>
          <w:rFonts w:hint="cs"/>
          <w:sz w:val="27"/>
          <w:rtl/>
        </w:rPr>
        <w:t>15ـ تعطيل المساجد.</w:t>
      </w:r>
    </w:p>
    <w:p w:rsidR="00BC5E40" w:rsidRPr="00282AC9" w:rsidRDefault="00BC5E40" w:rsidP="00BC4D37">
      <w:pPr>
        <w:rPr>
          <w:sz w:val="27"/>
          <w:rtl/>
        </w:rPr>
      </w:pPr>
      <w:r w:rsidRPr="00282AC9">
        <w:rPr>
          <w:rFonts w:hint="cs"/>
          <w:sz w:val="27"/>
          <w:rtl/>
        </w:rPr>
        <w:t>16ـ إزالة المساجد التي يثبت أنها مساجد</w:t>
      </w:r>
      <w:r w:rsidR="00350F79" w:rsidRPr="00282AC9">
        <w:rPr>
          <w:rFonts w:hint="cs"/>
          <w:sz w:val="27"/>
          <w:rtl/>
        </w:rPr>
        <w:t>ُ</w:t>
      </w:r>
      <w:r w:rsidRPr="00282AC9">
        <w:rPr>
          <w:rFonts w:hint="cs"/>
          <w:sz w:val="27"/>
          <w:rtl/>
        </w:rPr>
        <w:t xml:space="preserve"> ضرار</w:t>
      </w:r>
      <w:r w:rsidR="00350F79" w:rsidRPr="00282AC9">
        <w:rPr>
          <w:rFonts w:hint="cs"/>
          <w:sz w:val="27"/>
          <w:rtl/>
        </w:rPr>
        <w:t>ٍ</w:t>
      </w:r>
      <w:r w:rsidRPr="00282AC9">
        <w:rPr>
          <w:rFonts w:hint="cs"/>
          <w:sz w:val="27"/>
          <w:rtl/>
        </w:rPr>
        <w:t>.</w:t>
      </w:r>
    </w:p>
    <w:p w:rsidR="00BC5E40" w:rsidRPr="00282AC9" w:rsidRDefault="00BC5E40" w:rsidP="00BC4D37">
      <w:pPr>
        <w:rPr>
          <w:sz w:val="27"/>
          <w:rtl/>
        </w:rPr>
      </w:pPr>
      <w:r w:rsidRPr="00282AC9">
        <w:rPr>
          <w:rFonts w:hint="cs"/>
          <w:sz w:val="27"/>
          <w:rtl/>
        </w:rPr>
        <w:t>17ـ إلغاء العقود الم</w:t>
      </w:r>
      <w:r w:rsidR="00350F79" w:rsidRPr="00282AC9">
        <w:rPr>
          <w:rFonts w:hint="cs"/>
          <w:sz w:val="27"/>
          <w:rtl/>
        </w:rPr>
        <w:t>ُ</w:t>
      </w:r>
      <w:r w:rsidRPr="00282AC9">
        <w:rPr>
          <w:rFonts w:hint="cs"/>
          <w:sz w:val="27"/>
          <w:rtl/>
        </w:rPr>
        <w:t>ب</w:t>
      </w:r>
      <w:r w:rsidR="00350F79" w:rsidRPr="00282AC9">
        <w:rPr>
          <w:rFonts w:hint="cs"/>
          <w:sz w:val="27"/>
          <w:rtl/>
        </w:rPr>
        <w:t>ْ</w:t>
      </w:r>
      <w:r w:rsidRPr="00282AC9">
        <w:rPr>
          <w:rFonts w:hint="cs"/>
          <w:sz w:val="27"/>
          <w:rtl/>
        </w:rPr>
        <w:t>ر</w:t>
      </w:r>
      <w:r w:rsidR="00350F79" w:rsidRPr="00282AC9">
        <w:rPr>
          <w:rFonts w:hint="cs"/>
          <w:sz w:val="27"/>
          <w:rtl/>
        </w:rPr>
        <w:t>َ</w:t>
      </w:r>
      <w:r w:rsidRPr="00282AC9">
        <w:rPr>
          <w:rFonts w:hint="cs"/>
          <w:sz w:val="27"/>
          <w:rtl/>
        </w:rPr>
        <w:t>مة مع الناس من ط</w:t>
      </w:r>
      <w:r w:rsidR="00350F79" w:rsidRPr="00282AC9">
        <w:rPr>
          <w:rFonts w:hint="cs"/>
          <w:sz w:val="27"/>
          <w:rtl/>
        </w:rPr>
        <w:t>َ</w:t>
      </w:r>
      <w:r w:rsidRPr="00282AC9">
        <w:rPr>
          <w:rFonts w:hint="cs"/>
          <w:sz w:val="27"/>
          <w:rtl/>
        </w:rPr>
        <w:t>ر</w:t>
      </w:r>
      <w:r w:rsidR="00350F79" w:rsidRPr="00282AC9">
        <w:rPr>
          <w:rFonts w:hint="cs"/>
          <w:sz w:val="27"/>
          <w:rtl/>
        </w:rPr>
        <w:t>َ</w:t>
      </w:r>
      <w:r w:rsidRPr="00282AC9">
        <w:rPr>
          <w:rFonts w:hint="cs"/>
          <w:sz w:val="27"/>
          <w:rtl/>
        </w:rPr>
        <w:t>ف</w:t>
      </w:r>
      <w:r w:rsidR="00350F79" w:rsidRPr="00282AC9">
        <w:rPr>
          <w:rFonts w:hint="cs"/>
          <w:sz w:val="27"/>
          <w:rtl/>
        </w:rPr>
        <w:t>ٍ</w:t>
      </w:r>
      <w:r w:rsidRPr="00282AC9">
        <w:rPr>
          <w:rFonts w:hint="cs"/>
          <w:sz w:val="27"/>
          <w:rtl/>
        </w:rPr>
        <w:t xml:space="preserve"> واحد.</w:t>
      </w:r>
    </w:p>
    <w:p w:rsidR="00BC5E40" w:rsidRPr="00282AC9" w:rsidRDefault="00BC5E40" w:rsidP="00BC4D37">
      <w:pPr>
        <w:rPr>
          <w:sz w:val="27"/>
          <w:rtl/>
        </w:rPr>
      </w:pPr>
      <w:r w:rsidRPr="00282AC9">
        <w:rPr>
          <w:rFonts w:hint="cs"/>
          <w:sz w:val="27"/>
          <w:rtl/>
        </w:rPr>
        <w:t>18ـ المنع من أي</w:t>
      </w:r>
      <w:r w:rsidR="00350F79" w:rsidRPr="00282AC9">
        <w:rPr>
          <w:rFonts w:hint="cs"/>
          <w:sz w:val="27"/>
          <w:rtl/>
        </w:rPr>
        <w:t>ّ</w:t>
      </w:r>
      <w:r w:rsidRPr="00282AC9">
        <w:rPr>
          <w:rFonts w:hint="cs"/>
          <w:sz w:val="27"/>
          <w:rtl/>
        </w:rPr>
        <w:t xml:space="preserve"> أمر</w:t>
      </w:r>
      <w:r w:rsidR="00350F79" w:rsidRPr="00282AC9">
        <w:rPr>
          <w:rFonts w:hint="cs"/>
          <w:sz w:val="27"/>
          <w:rtl/>
        </w:rPr>
        <w:t>ٍ</w:t>
      </w:r>
      <w:r w:rsidRPr="00282AC9">
        <w:rPr>
          <w:rFonts w:hint="cs"/>
          <w:sz w:val="27"/>
          <w:rtl/>
        </w:rPr>
        <w:t xml:space="preserve"> عبادي</w:t>
      </w:r>
      <w:r w:rsidR="00350F79" w:rsidRPr="00282AC9">
        <w:rPr>
          <w:rFonts w:hint="cs"/>
          <w:sz w:val="27"/>
          <w:rtl/>
        </w:rPr>
        <w:t>ّ</w:t>
      </w:r>
      <w:r w:rsidRPr="00282AC9">
        <w:rPr>
          <w:rFonts w:hint="cs"/>
          <w:sz w:val="27"/>
          <w:rtl/>
        </w:rPr>
        <w:t xml:space="preserve"> وغير عبادي</w:t>
      </w:r>
      <w:r w:rsidR="00350F79" w:rsidRPr="00282AC9">
        <w:rPr>
          <w:rFonts w:hint="cs"/>
          <w:sz w:val="27"/>
          <w:rtl/>
        </w:rPr>
        <w:t>ّ</w:t>
      </w:r>
      <w:r w:rsidRPr="00282AC9">
        <w:rPr>
          <w:rFonts w:hint="cs"/>
          <w:sz w:val="27"/>
          <w:rtl/>
        </w:rPr>
        <w:t xml:space="preserve"> يخالف مصلحة الإسلام.</w:t>
      </w:r>
    </w:p>
    <w:p w:rsidR="00BC5E40" w:rsidRPr="00282AC9" w:rsidRDefault="00BC5E40" w:rsidP="00BC4D37">
      <w:pPr>
        <w:rPr>
          <w:sz w:val="27"/>
          <w:rtl/>
        </w:rPr>
      </w:pPr>
      <w:r w:rsidRPr="00282AC9">
        <w:rPr>
          <w:rFonts w:hint="cs"/>
          <w:sz w:val="27"/>
          <w:rtl/>
        </w:rPr>
        <w:t>19ـ المنع من الحج</w:t>
      </w:r>
      <w:r w:rsidR="00350F79" w:rsidRPr="00282AC9">
        <w:rPr>
          <w:rFonts w:hint="cs"/>
          <w:sz w:val="27"/>
          <w:rtl/>
        </w:rPr>
        <w:t>ّ</w:t>
      </w:r>
      <w:r w:rsidRPr="00282AC9">
        <w:rPr>
          <w:rFonts w:hint="cs"/>
          <w:sz w:val="27"/>
          <w:rtl/>
        </w:rPr>
        <w:t xml:space="preserve"> بشكل</w:t>
      </w:r>
      <w:r w:rsidR="00350F79" w:rsidRPr="00282AC9">
        <w:rPr>
          <w:rFonts w:hint="cs"/>
          <w:sz w:val="27"/>
          <w:rtl/>
        </w:rPr>
        <w:t>ٍ</w:t>
      </w:r>
      <w:r w:rsidRPr="00282AC9">
        <w:rPr>
          <w:rFonts w:hint="cs"/>
          <w:sz w:val="27"/>
          <w:rtl/>
        </w:rPr>
        <w:t xml:space="preserve"> مؤق</w:t>
      </w:r>
      <w:r w:rsidR="00350F79" w:rsidRPr="00282AC9">
        <w:rPr>
          <w:rFonts w:hint="cs"/>
          <w:sz w:val="27"/>
          <w:rtl/>
        </w:rPr>
        <w:t>َّ</w:t>
      </w:r>
      <w:r w:rsidRPr="00282AC9">
        <w:rPr>
          <w:rFonts w:hint="cs"/>
          <w:sz w:val="27"/>
          <w:rtl/>
        </w:rPr>
        <w:t>ت.</w:t>
      </w:r>
    </w:p>
    <w:p w:rsidR="00BC5E40" w:rsidRPr="00282AC9" w:rsidRDefault="00BC5E40" w:rsidP="00BC4D37">
      <w:pPr>
        <w:rPr>
          <w:sz w:val="27"/>
          <w:rtl/>
        </w:rPr>
      </w:pPr>
      <w:r w:rsidRPr="00282AC9">
        <w:rPr>
          <w:rFonts w:hint="cs"/>
          <w:sz w:val="27"/>
          <w:rtl/>
        </w:rPr>
        <w:t>20ـ إلغاء المزا</w:t>
      </w:r>
      <w:r w:rsidR="00350F79" w:rsidRPr="00282AC9">
        <w:rPr>
          <w:rFonts w:hint="cs"/>
          <w:sz w:val="27"/>
          <w:rtl/>
        </w:rPr>
        <w:t>ر</w:t>
      </w:r>
      <w:r w:rsidRPr="00282AC9">
        <w:rPr>
          <w:rFonts w:hint="cs"/>
          <w:sz w:val="27"/>
          <w:rtl/>
        </w:rPr>
        <w:t>عة.</w:t>
      </w:r>
    </w:p>
    <w:p w:rsidR="00BC5E40" w:rsidRPr="00282AC9" w:rsidRDefault="00BC5E40" w:rsidP="00BC4D37">
      <w:pPr>
        <w:rPr>
          <w:sz w:val="27"/>
          <w:rtl/>
        </w:rPr>
      </w:pPr>
      <w:r w:rsidRPr="00282AC9">
        <w:rPr>
          <w:rFonts w:hint="cs"/>
          <w:sz w:val="27"/>
          <w:rtl/>
        </w:rPr>
        <w:t>21ـ إلغاء المضاربة</w:t>
      </w:r>
      <w:r w:rsidR="00350F79" w:rsidRPr="00282AC9">
        <w:rPr>
          <w:rFonts w:hint="cs"/>
          <w:sz w:val="27"/>
          <w:rtl/>
        </w:rPr>
        <w:t>.</w:t>
      </w:r>
    </w:p>
    <w:p w:rsidR="00BC5E40" w:rsidRPr="00282AC9" w:rsidRDefault="00BC5E40" w:rsidP="00BC4D37">
      <w:pPr>
        <w:rPr>
          <w:sz w:val="27"/>
          <w:rtl/>
        </w:rPr>
      </w:pPr>
      <w:r w:rsidRPr="00282AC9">
        <w:rPr>
          <w:rFonts w:hint="cs"/>
          <w:sz w:val="27"/>
          <w:rtl/>
        </w:rPr>
        <w:t>ما تقد</w:t>
      </w:r>
      <w:r w:rsidR="00350F79" w:rsidRPr="00282AC9">
        <w:rPr>
          <w:rFonts w:hint="cs"/>
          <w:sz w:val="27"/>
          <w:rtl/>
        </w:rPr>
        <w:t>َّ</w:t>
      </w:r>
      <w:r w:rsidRPr="00282AC9">
        <w:rPr>
          <w:rFonts w:hint="cs"/>
          <w:sz w:val="27"/>
          <w:rtl/>
        </w:rPr>
        <w:t>م كان نماذج من الأحكام الولائي</w:t>
      </w:r>
      <w:r w:rsidR="00350F79" w:rsidRPr="00282AC9">
        <w:rPr>
          <w:rFonts w:hint="cs"/>
          <w:sz w:val="27"/>
          <w:rtl/>
        </w:rPr>
        <w:t>ّ</w:t>
      </w:r>
      <w:r w:rsidRPr="00282AC9">
        <w:rPr>
          <w:rFonts w:hint="cs"/>
          <w:sz w:val="27"/>
          <w:rtl/>
        </w:rPr>
        <w:t>ة لرسول الله</w:t>
      </w:r>
      <w:r w:rsidR="009A2A04" w:rsidRPr="00282AC9">
        <w:rPr>
          <w:rFonts w:cs="Mosawi" w:hint="cs"/>
          <w:sz w:val="22"/>
          <w:szCs w:val="22"/>
          <w:rtl/>
        </w:rPr>
        <w:t>|</w:t>
      </w:r>
      <w:r w:rsidRPr="00282AC9">
        <w:rPr>
          <w:rFonts w:hint="cs"/>
          <w:sz w:val="27"/>
          <w:rtl/>
        </w:rPr>
        <w:t xml:space="preserve"> والأئم</w:t>
      </w:r>
      <w:r w:rsidR="00350F79" w:rsidRPr="00282AC9">
        <w:rPr>
          <w:rFonts w:hint="cs"/>
          <w:sz w:val="27"/>
          <w:rtl/>
        </w:rPr>
        <w:t>ّ</w:t>
      </w:r>
      <w:r w:rsidRPr="00282AC9">
        <w:rPr>
          <w:rFonts w:hint="cs"/>
          <w:sz w:val="27"/>
          <w:rtl/>
        </w:rPr>
        <w:t>ة الطاهرين</w:t>
      </w:r>
      <w:r w:rsidR="00876ECA" w:rsidRPr="00282AC9">
        <w:rPr>
          <w:rFonts w:cs="Mosawi" w:hint="cs"/>
          <w:sz w:val="22"/>
          <w:szCs w:val="22"/>
          <w:rtl/>
        </w:rPr>
        <w:t>^</w:t>
      </w:r>
      <w:r w:rsidRPr="00282AC9">
        <w:rPr>
          <w:rFonts w:hint="cs"/>
          <w:sz w:val="27"/>
          <w:rtl/>
        </w:rPr>
        <w:t xml:space="preserve"> والفقهاء العظام، في الأمور العبادية والاقتصادية والجزائية والأ</w:t>
      </w:r>
      <w:r w:rsidR="00350F79" w:rsidRPr="00282AC9">
        <w:rPr>
          <w:rFonts w:hint="cs"/>
          <w:sz w:val="27"/>
          <w:rtl/>
        </w:rPr>
        <w:t>ُ</w:t>
      </w:r>
      <w:r w:rsidRPr="00282AC9">
        <w:rPr>
          <w:rFonts w:hint="cs"/>
          <w:sz w:val="27"/>
          <w:rtl/>
        </w:rPr>
        <w:t>س</w:t>
      </w:r>
      <w:r w:rsidR="00350F79" w:rsidRPr="00282AC9">
        <w:rPr>
          <w:rFonts w:hint="cs"/>
          <w:sz w:val="27"/>
          <w:rtl/>
        </w:rPr>
        <w:t>َ</w:t>
      </w:r>
      <w:r w:rsidRPr="00282AC9">
        <w:rPr>
          <w:rFonts w:hint="cs"/>
          <w:sz w:val="27"/>
          <w:rtl/>
        </w:rPr>
        <w:t>رية والسياسية. وفيما لو دق</w:t>
      </w:r>
      <w:r w:rsidR="00350F79" w:rsidRPr="00282AC9">
        <w:rPr>
          <w:rFonts w:hint="cs"/>
          <w:sz w:val="27"/>
          <w:rtl/>
        </w:rPr>
        <w:t>َّ</w:t>
      </w:r>
      <w:r w:rsidRPr="00282AC9">
        <w:rPr>
          <w:rFonts w:hint="cs"/>
          <w:sz w:val="27"/>
          <w:rtl/>
        </w:rPr>
        <w:t>قنا النظر في الروايات وسيرة الأئم</w:t>
      </w:r>
      <w:r w:rsidR="00350F79" w:rsidRPr="00282AC9">
        <w:rPr>
          <w:rFonts w:hint="cs"/>
          <w:sz w:val="27"/>
          <w:rtl/>
        </w:rPr>
        <w:t>ّ</w:t>
      </w:r>
      <w:r w:rsidRPr="00282AC9">
        <w:rPr>
          <w:rFonts w:hint="cs"/>
          <w:sz w:val="27"/>
          <w:rtl/>
        </w:rPr>
        <w:t>ة</w:t>
      </w:r>
      <w:r w:rsidR="00876ECA" w:rsidRPr="00282AC9">
        <w:rPr>
          <w:rFonts w:cs="Mosawi" w:hint="cs"/>
          <w:sz w:val="22"/>
          <w:szCs w:val="22"/>
          <w:rtl/>
        </w:rPr>
        <w:t>^</w:t>
      </w:r>
      <w:r w:rsidRPr="00282AC9">
        <w:rPr>
          <w:rFonts w:hint="cs"/>
          <w:sz w:val="27"/>
          <w:rtl/>
        </w:rPr>
        <w:t xml:space="preserve"> وتاريخ حياتهم وكتب الفقهاء فسوف نجد أضعافاً مضاعفة من الأحكام الولائية.</w:t>
      </w:r>
    </w:p>
    <w:p w:rsidR="00BC5E40" w:rsidRPr="00282AC9" w:rsidRDefault="00BC5E40" w:rsidP="00BC4D37">
      <w:pPr>
        <w:rPr>
          <w:sz w:val="27"/>
          <w:rtl/>
        </w:rPr>
      </w:pPr>
      <w:r w:rsidRPr="00282AC9">
        <w:rPr>
          <w:rFonts w:hint="cs"/>
          <w:sz w:val="27"/>
          <w:rtl/>
        </w:rPr>
        <w:t>إن هذا الأمر يثبت هذه الحقيقة، وهي أن تركيبة الدين الإسلامي ـ و</w:t>
      </w:r>
      <w:r w:rsidR="00674EF5" w:rsidRPr="00282AC9">
        <w:rPr>
          <w:rFonts w:hint="cs"/>
          <w:sz w:val="27"/>
          <w:rtl/>
        </w:rPr>
        <w:t>لا سيَّما</w:t>
      </w:r>
      <w:r w:rsidRPr="00282AC9">
        <w:rPr>
          <w:rFonts w:hint="cs"/>
          <w:sz w:val="27"/>
          <w:rtl/>
        </w:rPr>
        <w:t xml:space="preserve"> المذهب الشيعي الاثن</w:t>
      </w:r>
      <w:r w:rsidR="00350F79" w:rsidRPr="00282AC9">
        <w:rPr>
          <w:rFonts w:hint="cs"/>
          <w:sz w:val="27"/>
          <w:rtl/>
        </w:rPr>
        <w:t>ي</w:t>
      </w:r>
      <w:r w:rsidRPr="00282AC9">
        <w:rPr>
          <w:rFonts w:hint="cs"/>
          <w:sz w:val="27"/>
          <w:rtl/>
        </w:rPr>
        <w:t xml:space="preserve"> عشري الحق</w:t>
      </w:r>
      <w:r w:rsidR="00350F79" w:rsidRPr="00282AC9">
        <w:rPr>
          <w:rFonts w:hint="cs"/>
          <w:sz w:val="27"/>
          <w:rtl/>
        </w:rPr>
        <w:t>ّ</w:t>
      </w:r>
      <w:r w:rsidRPr="00282AC9">
        <w:rPr>
          <w:rFonts w:hint="cs"/>
          <w:sz w:val="27"/>
          <w:rtl/>
        </w:rPr>
        <w:t xml:space="preserve"> ـ قد تمّ التأسيس لها من ق</w:t>
      </w:r>
      <w:r w:rsidR="00350F79" w:rsidRPr="00282AC9">
        <w:rPr>
          <w:rFonts w:hint="cs"/>
          <w:sz w:val="27"/>
          <w:rtl/>
        </w:rPr>
        <w:t>ِ</w:t>
      </w:r>
      <w:r w:rsidRPr="00282AC9">
        <w:rPr>
          <w:rFonts w:hint="cs"/>
          <w:sz w:val="27"/>
          <w:rtl/>
        </w:rPr>
        <w:t>ب</w:t>
      </w:r>
      <w:r w:rsidR="00350F79" w:rsidRPr="00282AC9">
        <w:rPr>
          <w:rFonts w:hint="cs"/>
          <w:sz w:val="27"/>
          <w:rtl/>
        </w:rPr>
        <w:t>َ</w:t>
      </w:r>
      <w:r w:rsidRPr="00282AC9">
        <w:rPr>
          <w:rFonts w:hint="cs"/>
          <w:sz w:val="27"/>
          <w:rtl/>
        </w:rPr>
        <w:t>ل الله سبحانه وتعالى</w:t>
      </w:r>
      <w:r w:rsidR="00350F79" w:rsidRPr="00282AC9">
        <w:rPr>
          <w:rFonts w:hint="cs"/>
          <w:sz w:val="27"/>
          <w:rtl/>
        </w:rPr>
        <w:t>،</w:t>
      </w:r>
      <w:r w:rsidRPr="00282AC9">
        <w:rPr>
          <w:rFonts w:hint="cs"/>
          <w:sz w:val="27"/>
          <w:rtl/>
        </w:rPr>
        <w:t xml:space="preserve"> بحيث تكون من دون الحكم ناقصة</w:t>
      </w:r>
      <w:r w:rsidR="00350F79" w:rsidRPr="00282AC9">
        <w:rPr>
          <w:rFonts w:hint="cs"/>
          <w:sz w:val="27"/>
          <w:rtl/>
        </w:rPr>
        <w:t>ً</w:t>
      </w:r>
      <w:r w:rsidRPr="00282AC9">
        <w:rPr>
          <w:rFonts w:hint="cs"/>
          <w:sz w:val="27"/>
          <w:rtl/>
        </w:rPr>
        <w:t xml:space="preserve">؛ إذ </w:t>
      </w:r>
      <w:r w:rsidR="00350F79" w:rsidRPr="00282AC9">
        <w:rPr>
          <w:rFonts w:hint="cs"/>
          <w:sz w:val="27"/>
          <w:rtl/>
        </w:rPr>
        <w:t>إ</w:t>
      </w:r>
      <w:r w:rsidRPr="00282AC9">
        <w:rPr>
          <w:rFonts w:hint="cs"/>
          <w:sz w:val="27"/>
          <w:rtl/>
        </w:rPr>
        <w:t>ن الكثير من قوانينه ممزوجة</w:t>
      </w:r>
      <w:r w:rsidR="00350F79" w:rsidRPr="00282AC9">
        <w:rPr>
          <w:rFonts w:hint="cs"/>
          <w:sz w:val="27"/>
          <w:rtl/>
        </w:rPr>
        <w:t>ٌ</w:t>
      </w:r>
      <w:r w:rsidRPr="00282AC9">
        <w:rPr>
          <w:rFonts w:hint="cs"/>
          <w:sz w:val="27"/>
          <w:rtl/>
        </w:rPr>
        <w:t xml:space="preserve"> بالولاية والحكومة، وإذا لم يتمّ التأسيس للحكومة الإسلامية يستحيل تطبيق هذه التعاليم السماوية</w:t>
      </w:r>
      <w:r w:rsidR="00350F79" w:rsidRPr="00282AC9">
        <w:rPr>
          <w:rFonts w:hint="cs"/>
          <w:sz w:val="27"/>
          <w:rtl/>
        </w:rPr>
        <w:t>،</w:t>
      </w:r>
      <w:r w:rsidRPr="00282AC9">
        <w:rPr>
          <w:rFonts w:hint="cs"/>
          <w:sz w:val="27"/>
          <w:rtl/>
        </w:rPr>
        <w:t xml:space="preserve"> التي تهدف إلى بناء الإنسان. ومن هنا كانت مسؤولية ورسالة ح</w:t>
      </w:r>
      <w:r w:rsidR="00350F79" w:rsidRPr="00282AC9">
        <w:rPr>
          <w:rFonts w:hint="cs"/>
          <w:sz w:val="27"/>
          <w:rtl/>
        </w:rPr>
        <w:t>َ</w:t>
      </w:r>
      <w:r w:rsidRPr="00282AC9">
        <w:rPr>
          <w:rFonts w:hint="cs"/>
          <w:sz w:val="27"/>
          <w:rtl/>
        </w:rPr>
        <w:t>م</w:t>
      </w:r>
      <w:r w:rsidR="00350F79" w:rsidRPr="00282AC9">
        <w:rPr>
          <w:rFonts w:hint="cs"/>
          <w:sz w:val="27"/>
          <w:rtl/>
        </w:rPr>
        <w:t>َ</w:t>
      </w:r>
      <w:r w:rsidRPr="00282AC9">
        <w:rPr>
          <w:rFonts w:hint="cs"/>
          <w:sz w:val="27"/>
          <w:rtl/>
        </w:rPr>
        <w:t>لة الإسلام ـ و</w:t>
      </w:r>
      <w:r w:rsidR="00674EF5" w:rsidRPr="00282AC9">
        <w:rPr>
          <w:rFonts w:hint="cs"/>
          <w:sz w:val="27"/>
          <w:rtl/>
        </w:rPr>
        <w:t>لا سيَّما</w:t>
      </w:r>
      <w:r w:rsidRPr="00282AC9">
        <w:rPr>
          <w:rFonts w:hint="cs"/>
          <w:sz w:val="27"/>
          <w:rtl/>
        </w:rPr>
        <w:t xml:space="preserve"> الفقهاء</w:t>
      </w:r>
      <w:r w:rsidR="00350F79" w:rsidRPr="00282AC9">
        <w:rPr>
          <w:rFonts w:hint="cs"/>
          <w:sz w:val="27"/>
          <w:rtl/>
        </w:rPr>
        <w:t xml:space="preserve">، </w:t>
      </w:r>
      <w:r w:rsidRPr="00282AC9">
        <w:rPr>
          <w:rFonts w:hint="cs"/>
          <w:sz w:val="27"/>
          <w:rtl/>
        </w:rPr>
        <w:t>الذين ينفقون أعمارهم في الاجتهاد واستنباط قوانين الإسلام ـ تجاه الحفاظ على الجمهورية الإسلامية</w:t>
      </w:r>
      <w:r w:rsidR="00350F79" w:rsidRPr="00282AC9">
        <w:rPr>
          <w:rFonts w:hint="cs"/>
          <w:sz w:val="27"/>
          <w:rtl/>
        </w:rPr>
        <w:t>،</w:t>
      </w:r>
      <w:r w:rsidRPr="00282AC9">
        <w:rPr>
          <w:rFonts w:hint="cs"/>
          <w:sz w:val="27"/>
          <w:rtl/>
        </w:rPr>
        <w:t xml:space="preserve"> وصيانة ق</w:t>
      </w:r>
      <w:r w:rsidR="00350F79" w:rsidRPr="00282AC9">
        <w:rPr>
          <w:rFonts w:hint="cs"/>
          <w:sz w:val="27"/>
          <w:rtl/>
        </w:rPr>
        <w:t>ِ</w:t>
      </w:r>
      <w:r w:rsidRPr="00282AC9">
        <w:rPr>
          <w:rFonts w:hint="cs"/>
          <w:sz w:val="27"/>
          <w:rtl/>
        </w:rPr>
        <w:t>ي</w:t>
      </w:r>
      <w:r w:rsidR="00350F79" w:rsidRPr="00282AC9">
        <w:rPr>
          <w:rFonts w:hint="cs"/>
          <w:sz w:val="27"/>
          <w:rtl/>
        </w:rPr>
        <w:t>َ</w:t>
      </w:r>
      <w:r w:rsidRPr="00282AC9">
        <w:rPr>
          <w:rFonts w:hint="cs"/>
          <w:sz w:val="27"/>
          <w:rtl/>
        </w:rPr>
        <w:t>مها</w:t>
      </w:r>
      <w:r w:rsidR="00350F79" w:rsidRPr="00282AC9">
        <w:rPr>
          <w:rFonts w:hint="cs"/>
          <w:sz w:val="27"/>
          <w:rtl/>
        </w:rPr>
        <w:t>،</w:t>
      </w:r>
      <w:r w:rsidRPr="00282AC9">
        <w:rPr>
          <w:rFonts w:hint="cs"/>
          <w:sz w:val="27"/>
          <w:rtl/>
        </w:rPr>
        <w:t xml:space="preserve"> والمقاومة والصحوة في مواجهة الانحرافات</w:t>
      </w:r>
      <w:r w:rsidR="00350F79" w:rsidRPr="00282AC9">
        <w:rPr>
          <w:rFonts w:hint="cs"/>
          <w:sz w:val="27"/>
          <w:rtl/>
        </w:rPr>
        <w:t>،</w:t>
      </w:r>
      <w:r w:rsidRPr="00282AC9">
        <w:rPr>
          <w:rFonts w:hint="cs"/>
          <w:sz w:val="27"/>
          <w:rtl/>
        </w:rPr>
        <w:t xml:space="preserve"> أكبر.</w:t>
      </w:r>
    </w:p>
    <w:p w:rsidR="00823F24" w:rsidRPr="00282AC9" w:rsidRDefault="00823F24" w:rsidP="003A1F8E">
      <w:pPr>
        <w:spacing w:line="420" w:lineRule="exact"/>
        <w:rPr>
          <w:sz w:val="27"/>
          <w:rtl/>
        </w:rPr>
      </w:pPr>
    </w:p>
    <w:p w:rsidR="00823F24" w:rsidRPr="00282AC9" w:rsidRDefault="00823F24" w:rsidP="00823F24">
      <w:pPr>
        <w:pStyle w:val="31"/>
        <w:rPr>
          <w:color w:val="auto"/>
          <w:rtl/>
        </w:rPr>
      </w:pPr>
      <w:r w:rsidRPr="00282AC9">
        <w:rPr>
          <w:rFonts w:hint="cs"/>
          <w:color w:val="auto"/>
          <w:rtl/>
        </w:rPr>
        <w:t>خاتمةٌ</w:t>
      </w:r>
    </w:p>
    <w:p w:rsidR="00BC5E40" w:rsidRPr="00282AC9" w:rsidRDefault="00BC5E40" w:rsidP="00BC4D37">
      <w:pPr>
        <w:rPr>
          <w:sz w:val="27"/>
          <w:rtl/>
        </w:rPr>
      </w:pPr>
      <w:r w:rsidRPr="00282AC9">
        <w:rPr>
          <w:rFonts w:hint="cs"/>
          <w:sz w:val="27"/>
          <w:rtl/>
        </w:rPr>
        <w:t>وفي الختام من المناسب أن نجعل مسك الختام لهذا البحث نقل آراء عدد</w:t>
      </w:r>
      <w:r w:rsidR="00350F79" w:rsidRPr="00282AC9">
        <w:rPr>
          <w:rFonts w:hint="cs"/>
          <w:sz w:val="27"/>
          <w:rtl/>
        </w:rPr>
        <w:t>ٍ</w:t>
      </w:r>
      <w:r w:rsidRPr="00282AC9">
        <w:rPr>
          <w:rFonts w:hint="cs"/>
          <w:sz w:val="27"/>
          <w:rtl/>
        </w:rPr>
        <w:t xml:space="preserve"> من كبار العلماء في هذه المسألة، وهي </w:t>
      </w:r>
      <w:r w:rsidR="00350F79" w:rsidRPr="00282AC9">
        <w:rPr>
          <w:rFonts w:hint="cs"/>
          <w:sz w:val="27"/>
          <w:rtl/>
        </w:rPr>
        <w:t>صلاحية</w:t>
      </w:r>
      <w:r w:rsidRPr="00282AC9">
        <w:rPr>
          <w:rFonts w:hint="cs"/>
          <w:sz w:val="27"/>
          <w:rtl/>
        </w:rPr>
        <w:t xml:space="preserve"> جعل القوانين في عصر الغ</w:t>
      </w:r>
      <w:r w:rsidR="00350F79" w:rsidRPr="00282AC9">
        <w:rPr>
          <w:rFonts w:hint="cs"/>
          <w:sz w:val="27"/>
          <w:rtl/>
        </w:rPr>
        <w:t>َ</w:t>
      </w:r>
      <w:r w:rsidRPr="00282AC9">
        <w:rPr>
          <w:rFonts w:hint="cs"/>
          <w:sz w:val="27"/>
          <w:rtl/>
        </w:rPr>
        <w:t>ي</w:t>
      </w:r>
      <w:r w:rsidR="00350F79" w:rsidRPr="00282AC9">
        <w:rPr>
          <w:rFonts w:hint="cs"/>
          <w:sz w:val="27"/>
          <w:rtl/>
        </w:rPr>
        <w:t>ْ</w:t>
      </w:r>
      <w:r w:rsidRPr="00282AC9">
        <w:rPr>
          <w:rFonts w:hint="cs"/>
          <w:sz w:val="27"/>
          <w:rtl/>
        </w:rPr>
        <w:t>بة على عاتق ولي</w:t>
      </w:r>
      <w:r w:rsidR="00350F79" w:rsidRPr="00282AC9">
        <w:rPr>
          <w:rFonts w:hint="cs"/>
          <w:sz w:val="27"/>
          <w:rtl/>
        </w:rPr>
        <w:t>ّ</w:t>
      </w:r>
      <w:r w:rsidRPr="00282AC9">
        <w:rPr>
          <w:rFonts w:hint="cs"/>
          <w:sz w:val="27"/>
          <w:rtl/>
        </w:rPr>
        <w:t xml:space="preserve"> الأمر في الجملة، على النحو </w:t>
      </w:r>
      <w:r w:rsidR="00B00464" w:rsidRPr="00282AC9">
        <w:rPr>
          <w:rFonts w:hint="cs"/>
          <w:sz w:val="27"/>
          <w:rtl/>
        </w:rPr>
        <w:t>التالي</w:t>
      </w:r>
      <w:r w:rsidRPr="00282AC9">
        <w:rPr>
          <w:rFonts w:hint="cs"/>
          <w:sz w:val="27"/>
          <w:rtl/>
        </w:rPr>
        <w:t>:</w:t>
      </w:r>
    </w:p>
    <w:p w:rsidR="00BC5E40" w:rsidRPr="00282AC9" w:rsidRDefault="00BC5E40" w:rsidP="00BC4D37">
      <w:pPr>
        <w:rPr>
          <w:sz w:val="27"/>
          <w:rtl/>
        </w:rPr>
      </w:pPr>
      <w:r w:rsidRPr="00282AC9">
        <w:rPr>
          <w:rFonts w:hint="cs"/>
          <w:sz w:val="27"/>
          <w:rtl/>
        </w:rPr>
        <w:t xml:space="preserve">1ـ  قال الشهيد مرتضى </w:t>
      </w:r>
      <w:r w:rsidR="00B00464" w:rsidRPr="00282AC9">
        <w:rPr>
          <w:rFonts w:hint="cs"/>
          <w:sz w:val="27"/>
          <w:rtl/>
        </w:rPr>
        <w:t>م</w:t>
      </w:r>
      <w:r w:rsidRPr="00282AC9">
        <w:rPr>
          <w:rFonts w:hint="cs"/>
          <w:sz w:val="27"/>
          <w:rtl/>
        </w:rPr>
        <w:t>طه</w:t>
      </w:r>
      <w:r w:rsidR="00B00464" w:rsidRPr="00282AC9">
        <w:rPr>
          <w:rFonts w:hint="cs"/>
          <w:sz w:val="27"/>
          <w:rtl/>
        </w:rPr>
        <w:t>َّ</w:t>
      </w:r>
      <w:r w:rsidRPr="00282AC9">
        <w:rPr>
          <w:rFonts w:hint="cs"/>
          <w:sz w:val="27"/>
          <w:rtl/>
        </w:rPr>
        <w:t>ري</w:t>
      </w:r>
      <w:r w:rsidR="00B00464" w:rsidRPr="00282AC9">
        <w:rPr>
          <w:rFonts w:hint="cs"/>
          <w:sz w:val="27"/>
          <w:rtl/>
        </w:rPr>
        <w:t>،</w:t>
      </w:r>
      <w:r w:rsidRPr="00282AC9">
        <w:rPr>
          <w:rFonts w:hint="cs"/>
          <w:sz w:val="27"/>
          <w:rtl/>
        </w:rPr>
        <w:t xml:space="preserve"> في الجواب عن السؤال القائل: هل يحق</w:t>
      </w:r>
      <w:r w:rsidR="00B00464" w:rsidRPr="00282AC9">
        <w:rPr>
          <w:rFonts w:hint="cs"/>
          <w:sz w:val="27"/>
          <w:rtl/>
        </w:rPr>
        <w:t>ّ</w:t>
      </w:r>
      <w:r w:rsidRPr="00282AC9">
        <w:rPr>
          <w:rFonts w:hint="cs"/>
          <w:sz w:val="27"/>
          <w:rtl/>
        </w:rPr>
        <w:t xml:space="preserve"> لغير </w:t>
      </w:r>
      <w:r w:rsidRPr="00282AC9">
        <w:rPr>
          <w:rFonts w:hint="cs"/>
          <w:sz w:val="27"/>
          <w:rtl/>
        </w:rPr>
        <w:lastRenderedPageBreak/>
        <w:t>الله أن يسنّ القوانين أم لا؟</w:t>
      </w:r>
      <w:r w:rsidR="00B00464" w:rsidRPr="00282AC9">
        <w:rPr>
          <w:rFonts w:hint="cs"/>
          <w:sz w:val="27"/>
          <w:rtl/>
        </w:rPr>
        <w:t>:</w:t>
      </w:r>
      <w:r w:rsidRPr="00282AC9">
        <w:rPr>
          <w:rFonts w:hint="cs"/>
          <w:sz w:val="27"/>
          <w:rtl/>
        </w:rPr>
        <w:t xml:space="preserve"> </w:t>
      </w:r>
      <w:r w:rsidRPr="00282AC9">
        <w:rPr>
          <w:rFonts w:hint="eastAsia"/>
          <w:sz w:val="24"/>
          <w:szCs w:val="24"/>
          <w:rtl/>
        </w:rPr>
        <w:t>«</w:t>
      </w:r>
      <w:r w:rsidRPr="00282AC9">
        <w:rPr>
          <w:rFonts w:hint="cs"/>
          <w:sz w:val="27"/>
          <w:rtl/>
        </w:rPr>
        <w:t>يجب حلّ موضوعين في هذا البحث، وهما</w:t>
      </w:r>
      <w:r w:rsidR="00B00464" w:rsidRPr="00282AC9">
        <w:rPr>
          <w:rFonts w:hint="cs"/>
          <w:sz w:val="27"/>
          <w:rtl/>
        </w:rPr>
        <w:t>:</w:t>
      </w:r>
      <w:r w:rsidRPr="00282AC9">
        <w:rPr>
          <w:rFonts w:hint="cs"/>
          <w:sz w:val="27"/>
          <w:rtl/>
        </w:rPr>
        <w:t xml:space="preserve"> </w:t>
      </w:r>
      <w:r w:rsidRPr="00282AC9">
        <w:rPr>
          <w:rFonts w:hint="cs"/>
          <w:b/>
          <w:bCs/>
          <w:sz w:val="27"/>
          <w:rtl/>
        </w:rPr>
        <w:t>أو</w:t>
      </w:r>
      <w:r w:rsidR="00B00464" w:rsidRPr="00282AC9">
        <w:rPr>
          <w:rFonts w:hint="cs"/>
          <w:b/>
          <w:bCs/>
          <w:sz w:val="27"/>
          <w:rtl/>
        </w:rPr>
        <w:t>ّ</w:t>
      </w:r>
      <w:r w:rsidRPr="00282AC9">
        <w:rPr>
          <w:rFonts w:hint="cs"/>
          <w:b/>
          <w:bCs/>
          <w:sz w:val="27"/>
          <w:rtl/>
        </w:rPr>
        <w:t>لاً</w:t>
      </w:r>
      <w:r w:rsidRPr="00282AC9">
        <w:rPr>
          <w:rFonts w:hint="cs"/>
          <w:sz w:val="27"/>
          <w:rtl/>
        </w:rPr>
        <w:t>: مسألة وضع القانون</w:t>
      </w:r>
      <w:r w:rsidR="00B00464" w:rsidRPr="00282AC9">
        <w:rPr>
          <w:rFonts w:hint="cs"/>
          <w:sz w:val="27"/>
          <w:rtl/>
        </w:rPr>
        <w:t>،</w:t>
      </w:r>
      <w:r w:rsidRPr="00282AC9">
        <w:rPr>
          <w:rFonts w:hint="cs"/>
          <w:sz w:val="27"/>
          <w:rtl/>
        </w:rPr>
        <w:t xml:space="preserve"> وهل يحق لغير الله أن يضع القوانين أم لا؟ وقد ذكرنا أنكم إذا كنتم تقصدون بذلك حق</w:t>
      </w:r>
      <w:r w:rsidR="00B00464" w:rsidRPr="00282AC9">
        <w:rPr>
          <w:rFonts w:hint="cs"/>
          <w:sz w:val="27"/>
          <w:rtl/>
        </w:rPr>
        <w:t>ّ</w:t>
      </w:r>
      <w:r w:rsidRPr="00282AC9">
        <w:rPr>
          <w:rFonts w:hint="cs"/>
          <w:sz w:val="27"/>
          <w:rtl/>
        </w:rPr>
        <w:t xml:space="preserve"> الوضع في </w:t>
      </w:r>
      <w:r w:rsidR="00B00464" w:rsidRPr="00282AC9">
        <w:rPr>
          <w:rFonts w:hint="cs"/>
          <w:sz w:val="27"/>
          <w:rtl/>
        </w:rPr>
        <w:t>مقابل</w:t>
      </w:r>
      <w:r w:rsidRPr="00282AC9">
        <w:rPr>
          <w:rFonts w:hint="cs"/>
          <w:sz w:val="27"/>
          <w:rtl/>
        </w:rPr>
        <w:t xml:space="preserve"> القوانين الإلهية فالجواب هو: كلا</w:t>
      </w:r>
      <w:r w:rsidR="00BA392F" w:rsidRPr="00282AC9">
        <w:rPr>
          <w:rFonts w:hint="cs"/>
          <w:sz w:val="27"/>
          <w:rtl/>
        </w:rPr>
        <w:t xml:space="preserve">ّ؛ </w:t>
      </w:r>
      <w:r w:rsidRPr="00282AC9">
        <w:rPr>
          <w:rFonts w:hint="cs"/>
          <w:sz w:val="27"/>
          <w:rtl/>
        </w:rPr>
        <w:t>وإن</w:t>
      </w:r>
      <w:r w:rsidR="00BA392F" w:rsidRPr="00282AC9">
        <w:rPr>
          <w:rFonts w:hint="cs"/>
          <w:sz w:val="27"/>
          <w:rtl/>
        </w:rPr>
        <w:t>ْ</w:t>
      </w:r>
      <w:r w:rsidRPr="00282AC9">
        <w:rPr>
          <w:rFonts w:hint="cs"/>
          <w:sz w:val="27"/>
          <w:rtl/>
        </w:rPr>
        <w:t xml:space="preserve"> كنتم تقصدون وضع القوانين ـ بالاستفادة من الحق</w:t>
      </w:r>
      <w:r w:rsidR="00BA392F" w:rsidRPr="00282AC9">
        <w:rPr>
          <w:rFonts w:hint="cs"/>
          <w:sz w:val="27"/>
          <w:rtl/>
        </w:rPr>
        <w:t>ّ</w:t>
      </w:r>
      <w:r w:rsidRPr="00282AC9">
        <w:rPr>
          <w:rFonts w:hint="cs"/>
          <w:sz w:val="27"/>
          <w:rtl/>
        </w:rPr>
        <w:t xml:space="preserve"> الذي فرضه القانون الإلهي</w:t>
      </w:r>
      <w:r w:rsidR="00BA392F" w:rsidRPr="00282AC9">
        <w:rPr>
          <w:rFonts w:hint="cs"/>
          <w:sz w:val="27"/>
          <w:rtl/>
        </w:rPr>
        <w:t>ّ</w:t>
      </w:r>
      <w:r w:rsidRPr="00282AC9">
        <w:rPr>
          <w:rFonts w:hint="cs"/>
          <w:sz w:val="27"/>
          <w:rtl/>
        </w:rPr>
        <w:t xml:space="preserve"> من وضع القوانين في الأمور الجزئي</w:t>
      </w:r>
      <w:r w:rsidR="00BA392F" w:rsidRPr="00282AC9">
        <w:rPr>
          <w:rFonts w:hint="cs"/>
          <w:sz w:val="27"/>
          <w:rtl/>
        </w:rPr>
        <w:t>ّ</w:t>
      </w:r>
      <w:r w:rsidRPr="00282AC9">
        <w:rPr>
          <w:rFonts w:hint="cs"/>
          <w:sz w:val="27"/>
          <w:rtl/>
        </w:rPr>
        <w:t>ة</w:t>
      </w:r>
      <w:r w:rsidR="00BA392F" w:rsidRPr="00282AC9">
        <w:rPr>
          <w:rFonts w:hint="cs"/>
          <w:sz w:val="27"/>
          <w:rtl/>
        </w:rPr>
        <w:t xml:space="preserve"> ـ</w:t>
      </w:r>
      <w:r w:rsidRPr="00282AC9">
        <w:rPr>
          <w:rFonts w:hint="cs"/>
          <w:sz w:val="27"/>
          <w:rtl/>
        </w:rPr>
        <w:t xml:space="preserve"> فليس هناك ما يمنع من ذلك</w:t>
      </w:r>
      <w:r w:rsidRPr="00282AC9">
        <w:rPr>
          <w:rFonts w:hint="eastAsia"/>
          <w:sz w:val="24"/>
          <w:szCs w:val="24"/>
          <w:rtl/>
        </w:rPr>
        <w:t>»</w:t>
      </w:r>
      <w:r w:rsidRPr="00282AC9">
        <w:rPr>
          <w:sz w:val="27"/>
          <w:vertAlign w:val="superscript"/>
          <w:rtl/>
        </w:rPr>
        <w:t>(</w:t>
      </w:r>
      <w:r w:rsidRPr="00282AC9">
        <w:rPr>
          <w:rStyle w:val="af9"/>
          <w:sz w:val="27"/>
          <w:rtl/>
        </w:rPr>
        <w:endnoteReference w:id="124"/>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2ـ وقال </w:t>
      </w:r>
      <w:r w:rsidR="00BA392F" w:rsidRPr="00282AC9">
        <w:rPr>
          <w:rFonts w:hint="cs"/>
          <w:sz w:val="27"/>
          <w:rtl/>
        </w:rPr>
        <w:t xml:space="preserve">السيد </w:t>
      </w:r>
      <w:r w:rsidRPr="00282AC9">
        <w:rPr>
          <w:rFonts w:hint="cs"/>
          <w:sz w:val="27"/>
          <w:rtl/>
        </w:rPr>
        <w:t xml:space="preserve">الشهيد الصدر: </w:t>
      </w:r>
      <w:r w:rsidRPr="00282AC9">
        <w:rPr>
          <w:rFonts w:hint="eastAsia"/>
          <w:sz w:val="24"/>
          <w:szCs w:val="24"/>
          <w:rtl/>
        </w:rPr>
        <w:t>«</w:t>
      </w:r>
      <w:r w:rsidRPr="00282AC9">
        <w:rPr>
          <w:sz w:val="27"/>
          <w:rtl/>
        </w:rPr>
        <w:t>إن المذهب الاقتصادي في الإسلام يشتمل على جانبين</w:t>
      </w:r>
      <w:r w:rsidR="00BA392F" w:rsidRPr="00282AC9">
        <w:rPr>
          <w:rFonts w:hint="cs"/>
          <w:sz w:val="27"/>
          <w:rtl/>
        </w:rPr>
        <w:t>:</w:t>
      </w:r>
      <w:r w:rsidRPr="00282AC9">
        <w:rPr>
          <w:sz w:val="27"/>
          <w:rtl/>
        </w:rPr>
        <w:t xml:space="preserve"> </w:t>
      </w:r>
      <w:r w:rsidRPr="00282AC9">
        <w:rPr>
          <w:b/>
          <w:bCs/>
          <w:sz w:val="27"/>
          <w:rtl/>
        </w:rPr>
        <w:t>أحدهما</w:t>
      </w:r>
      <w:r w:rsidRPr="00282AC9">
        <w:rPr>
          <w:sz w:val="27"/>
          <w:rtl/>
        </w:rPr>
        <w:t>: قد مُلئ من قِبَل الإسلام بصورة</w:t>
      </w:r>
      <w:r w:rsidR="00BA392F" w:rsidRPr="00282AC9">
        <w:rPr>
          <w:rFonts w:hint="cs"/>
          <w:sz w:val="27"/>
          <w:rtl/>
        </w:rPr>
        <w:t>ٍ</w:t>
      </w:r>
      <w:r w:rsidRPr="00282AC9">
        <w:rPr>
          <w:sz w:val="27"/>
          <w:rtl/>
        </w:rPr>
        <w:t xml:space="preserve"> منجزة</w:t>
      </w:r>
      <w:r w:rsidR="00BA392F" w:rsidRPr="00282AC9">
        <w:rPr>
          <w:rFonts w:hint="cs"/>
          <w:sz w:val="27"/>
          <w:rtl/>
        </w:rPr>
        <w:t>،</w:t>
      </w:r>
      <w:r w:rsidRPr="00282AC9">
        <w:rPr>
          <w:sz w:val="27"/>
          <w:rtl/>
        </w:rPr>
        <w:t xml:space="preserve"> لا تقبل التغيير والتبديل</w:t>
      </w:r>
      <w:r w:rsidR="00BA392F" w:rsidRPr="00282AC9">
        <w:rPr>
          <w:rFonts w:hint="cs"/>
          <w:sz w:val="27"/>
          <w:rtl/>
        </w:rPr>
        <w:t>؛</w:t>
      </w:r>
      <w:r w:rsidRPr="00282AC9">
        <w:rPr>
          <w:sz w:val="27"/>
          <w:rtl/>
        </w:rPr>
        <w:t xml:space="preserve"> </w:t>
      </w:r>
      <w:r w:rsidRPr="00282AC9">
        <w:rPr>
          <w:b/>
          <w:bCs/>
          <w:sz w:val="27"/>
          <w:rtl/>
        </w:rPr>
        <w:t>والآخر</w:t>
      </w:r>
      <w:r w:rsidRPr="00282AC9">
        <w:rPr>
          <w:sz w:val="27"/>
          <w:rtl/>
        </w:rPr>
        <w:t>: يشكّ</w:t>
      </w:r>
      <w:r w:rsidR="00BA392F" w:rsidRPr="00282AC9">
        <w:rPr>
          <w:rFonts w:hint="cs"/>
          <w:sz w:val="27"/>
          <w:rtl/>
        </w:rPr>
        <w:t>ِ</w:t>
      </w:r>
      <w:r w:rsidRPr="00282AC9">
        <w:rPr>
          <w:sz w:val="27"/>
          <w:rtl/>
        </w:rPr>
        <w:t>ل منطقة الفراغ في المذهب</w:t>
      </w:r>
      <w:r w:rsidR="00BA392F" w:rsidRPr="00282AC9">
        <w:rPr>
          <w:rFonts w:hint="cs"/>
          <w:sz w:val="27"/>
          <w:rtl/>
        </w:rPr>
        <w:t>،</w:t>
      </w:r>
      <w:r w:rsidRPr="00282AC9">
        <w:rPr>
          <w:sz w:val="27"/>
          <w:rtl/>
        </w:rPr>
        <w:t xml:space="preserve"> قد ترك الإسلام مهمّة م</w:t>
      </w:r>
      <w:r w:rsidR="00BA392F" w:rsidRPr="00282AC9">
        <w:rPr>
          <w:rFonts w:hint="cs"/>
          <w:sz w:val="27"/>
          <w:rtl/>
        </w:rPr>
        <w:t>َ</w:t>
      </w:r>
      <w:r w:rsidRPr="00282AC9">
        <w:rPr>
          <w:sz w:val="27"/>
          <w:rtl/>
        </w:rPr>
        <w:t>ل</w:t>
      </w:r>
      <w:r w:rsidR="00BA392F" w:rsidRPr="00282AC9">
        <w:rPr>
          <w:rFonts w:hint="cs"/>
          <w:sz w:val="27"/>
          <w:rtl/>
        </w:rPr>
        <w:t>ْ</w:t>
      </w:r>
      <w:r w:rsidRPr="00282AC9">
        <w:rPr>
          <w:sz w:val="27"/>
          <w:rtl/>
        </w:rPr>
        <w:t>ئها إلى الدولة أو ولي</w:t>
      </w:r>
      <w:r w:rsidR="00BA392F" w:rsidRPr="00282AC9">
        <w:rPr>
          <w:rFonts w:hint="cs"/>
          <w:sz w:val="27"/>
          <w:rtl/>
        </w:rPr>
        <w:t>ّ</w:t>
      </w:r>
      <w:r w:rsidRPr="00282AC9">
        <w:rPr>
          <w:sz w:val="27"/>
          <w:rtl/>
        </w:rPr>
        <w:t xml:space="preserve"> الأمر</w:t>
      </w:r>
      <w:r w:rsidR="00BA392F" w:rsidRPr="00282AC9">
        <w:rPr>
          <w:rFonts w:hint="cs"/>
          <w:sz w:val="27"/>
          <w:rtl/>
        </w:rPr>
        <w:t>،</w:t>
      </w:r>
      <w:r w:rsidRPr="00282AC9">
        <w:rPr>
          <w:rFonts w:hint="cs"/>
          <w:sz w:val="27"/>
          <w:rtl/>
        </w:rPr>
        <w:t xml:space="preserve"> يملؤها وفقاً لمتطل</w:t>
      </w:r>
      <w:r w:rsidR="00BA392F" w:rsidRPr="00282AC9">
        <w:rPr>
          <w:rFonts w:hint="cs"/>
          <w:sz w:val="27"/>
          <w:rtl/>
        </w:rPr>
        <w:t>ّ</w:t>
      </w:r>
      <w:r w:rsidRPr="00282AC9">
        <w:rPr>
          <w:rFonts w:hint="cs"/>
          <w:sz w:val="27"/>
          <w:rtl/>
        </w:rPr>
        <w:t>بات الأهداف العام</w:t>
      </w:r>
      <w:r w:rsidR="00BA392F" w:rsidRPr="00282AC9">
        <w:rPr>
          <w:rFonts w:hint="cs"/>
          <w:sz w:val="27"/>
          <w:rtl/>
        </w:rPr>
        <w:t>ّ</w:t>
      </w:r>
      <w:r w:rsidRPr="00282AC9">
        <w:rPr>
          <w:rFonts w:hint="cs"/>
          <w:sz w:val="27"/>
          <w:rtl/>
        </w:rPr>
        <w:t>ة للاقتصاد الإسلامي ومقتضياتها في كل</w:t>
      </w:r>
      <w:r w:rsidR="00BA392F" w:rsidRPr="00282AC9">
        <w:rPr>
          <w:rFonts w:hint="cs"/>
          <w:sz w:val="27"/>
          <w:rtl/>
        </w:rPr>
        <w:t>ّ</w:t>
      </w:r>
      <w:r w:rsidRPr="00282AC9">
        <w:rPr>
          <w:rFonts w:hint="cs"/>
          <w:sz w:val="27"/>
          <w:rtl/>
        </w:rPr>
        <w:t xml:space="preserve"> زمان</w:t>
      </w:r>
      <w:r w:rsidRPr="00282AC9">
        <w:rPr>
          <w:rFonts w:hint="eastAsia"/>
          <w:sz w:val="24"/>
          <w:szCs w:val="24"/>
          <w:rtl/>
        </w:rPr>
        <w:t>»</w:t>
      </w:r>
      <w:r w:rsidRPr="00282AC9">
        <w:rPr>
          <w:sz w:val="27"/>
          <w:vertAlign w:val="superscript"/>
          <w:rtl/>
        </w:rPr>
        <w:t>(</w:t>
      </w:r>
      <w:r w:rsidRPr="00282AC9">
        <w:rPr>
          <w:rStyle w:val="af9"/>
          <w:sz w:val="27"/>
          <w:rtl/>
        </w:rPr>
        <w:endnoteReference w:id="125"/>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وقال في موضع</w:t>
      </w:r>
      <w:r w:rsidR="00BA392F" w:rsidRPr="00282AC9">
        <w:rPr>
          <w:rFonts w:hint="cs"/>
          <w:sz w:val="27"/>
          <w:rtl/>
        </w:rPr>
        <w:t>ٍ</w:t>
      </w:r>
      <w:r w:rsidRPr="00282AC9">
        <w:rPr>
          <w:rFonts w:hint="cs"/>
          <w:sz w:val="27"/>
          <w:rtl/>
        </w:rPr>
        <w:t xml:space="preserve"> آخر: </w:t>
      </w:r>
      <w:r w:rsidRPr="00282AC9">
        <w:rPr>
          <w:rFonts w:hint="eastAsia"/>
          <w:sz w:val="24"/>
          <w:szCs w:val="24"/>
          <w:rtl/>
        </w:rPr>
        <w:t>«</w:t>
      </w:r>
      <w:r w:rsidRPr="00282AC9">
        <w:rPr>
          <w:rFonts w:hint="cs"/>
          <w:sz w:val="27"/>
          <w:rtl/>
        </w:rPr>
        <w:t>إن تقويم المذهب الاقتصادي في الإسلام لا يمكن أن يتمّ بدون إدراج منطقة الفراغ ضمن البحث، وتقدير إمكانات هذا الفراغ، ومدى ما يمكن أن تساهم عملية ملئه مع المنطقة التي مُلئت من ق</w:t>
      </w:r>
      <w:r w:rsidR="00BA392F" w:rsidRPr="00282AC9">
        <w:rPr>
          <w:rFonts w:hint="cs"/>
          <w:sz w:val="27"/>
          <w:rtl/>
        </w:rPr>
        <w:t>ِ</w:t>
      </w:r>
      <w:r w:rsidRPr="00282AC9">
        <w:rPr>
          <w:rFonts w:hint="cs"/>
          <w:sz w:val="27"/>
          <w:rtl/>
        </w:rPr>
        <w:t>ب</w:t>
      </w:r>
      <w:r w:rsidR="00BA392F" w:rsidRPr="00282AC9">
        <w:rPr>
          <w:rFonts w:hint="cs"/>
          <w:sz w:val="27"/>
          <w:rtl/>
        </w:rPr>
        <w:t>َ</w:t>
      </w:r>
      <w:r w:rsidRPr="00282AC9">
        <w:rPr>
          <w:rFonts w:hint="cs"/>
          <w:sz w:val="27"/>
          <w:rtl/>
        </w:rPr>
        <w:t>ل الشريعة ابتداءً في تحقيق أهداف الاقتصاد الإسلامي</w:t>
      </w:r>
      <w:r w:rsidRPr="00282AC9">
        <w:rPr>
          <w:rFonts w:hint="eastAsia"/>
          <w:sz w:val="24"/>
          <w:szCs w:val="24"/>
          <w:rtl/>
        </w:rPr>
        <w:t>»</w:t>
      </w:r>
      <w:r w:rsidRPr="00282AC9">
        <w:rPr>
          <w:sz w:val="27"/>
          <w:vertAlign w:val="superscript"/>
          <w:rtl/>
        </w:rPr>
        <w:t>(</w:t>
      </w:r>
      <w:r w:rsidRPr="00282AC9">
        <w:rPr>
          <w:rStyle w:val="af9"/>
          <w:sz w:val="27"/>
          <w:rtl/>
        </w:rPr>
        <w:endnoteReference w:id="126"/>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3ـ </w:t>
      </w:r>
      <w:r w:rsidR="00BA392F" w:rsidRPr="00282AC9">
        <w:rPr>
          <w:rFonts w:hint="cs"/>
          <w:sz w:val="27"/>
          <w:rtl/>
        </w:rPr>
        <w:t>و</w:t>
      </w:r>
      <w:r w:rsidRPr="00282AC9">
        <w:rPr>
          <w:rFonts w:hint="cs"/>
          <w:sz w:val="27"/>
          <w:rtl/>
        </w:rPr>
        <w:t>قال العلا</w:t>
      </w:r>
      <w:r w:rsidR="00BA392F" w:rsidRPr="00282AC9">
        <w:rPr>
          <w:rFonts w:hint="cs"/>
          <w:sz w:val="27"/>
          <w:rtl/>
        </w:rPr>
        <w:t>ّ</w:t>
      </w:r>
      <w:r w:rsidRPr="00282AC9">
        <w:rPr>
          <w:rFonts w:hint="cs"/>
          <w:sz w:val="27"/>
          <w:rtl/>
        </w:rPr>
        <w:t xml:space="preserve">مة الطباطبائي: </w:t>
      </w:r>
      <w:r w:rsidRPr="00282AC9">
        <w:rPr>
          <w:rFonts w:hint="eastAsia"/>
          <w:sz w:val="24"/>
          <w:szCs w:val="24"/>
          <w:rtl/>
        </w:rPr>
        <w:t>«</w:t>
      </w:r>
      <w:r w:rsidRPr="00282AC9">
        <w:rPr>
          <w:rFonts w:hint="cs"/>
          <w:sz w:val="27"/>
          <w:rtl/>
        </w:rPr>
        <w:t>القرارات التي تصدر من منصب الولاية، ويتم</w:t>
      </w:r>
      <w:r w:rsidR="00BA392F" w:rsidRPr="00282AC9">
        <w:rPr>
          <w:rFonts w:hint="cs"/>
          <w:sz w:val="27"/>
          <w:rtl/>
        </w:rPr>
        <w:t>ّ</w:t>
      </w:r>
      <w:r w:rsidRPr="00282AC9">
        <w:rPr>
          <w:rFonts w:hint="cs"/>
          <w:sz w:val="27"/>
          <w:rtl/>
        </w:rPr>
        <w:t xml:space="preserve"> وضعها وتطبيقها بح</w:t>
      </w:r>
      <w:r w:rsidR="00BA392F" w:rsidRPr="00282AC9">
        <w:rPr>
          <w:rFonts w:hint="cs"/>
          <w:sz w:val="27"/>
          <w:rtl/>
        </w:rPr>
        <w:t>َ</w:t>
      </w:r>
      <w:r w:rsidRPr="00282AC9">
        <w:rPr>
          <w:rFonts w:hint="cs"/>
          <w:sz w:val="27"/>
          <w:rtl/>
        </w:rPr>
        <w:t>س</w:t>
      </w:r>
      <w:r w:rsidR="00BA392F" w:rsidRPr="00282AC9">
        <w:rPr>
          <w:rFonts w:hint="cs"/>
          <w:sz w:val="27"/>
          <w:rtl/>
        </w:rPr>
        <w:t>َ</w:t>
      </w:r>
      <w:r w:rsidRPr="00282AC9">
        <w:rPr>
          <w:rFonts w:hint="cs"/>
          <w:sz w:val="27"/>
          <w:rtl/>
        </w:rPr>
        <w:t>ب مصلحة العصر، وكما ات</w:t>
      </w:r>
      <w:r w:rsidR="00BA392F" w:rsidRPr="00282AC9">
        <w:rPr>
          <w:rFonts w:hint="cs"/>
          <w:sz w:val="27"/>
          <w:rtl/>
        </w:rPr>
        <w:t>ّ</w:t>
      </w:r>
      <w:r w:rsidRPr="00282AC9">
        <w:rPr>
          <w:rFonts w:hint="cs"/>
          <w:sz w:val="27"/>
          <w:rtl/>
        </w:rPr>
        <w:t>ضح فإن هذا النوع من القرارات في بقائه وزواله ر</w:t>
      </w:r>
      <w:r w:rsidR="00BA392F" w:rsidRPr="00282AC9">
        <w:rPr>
          <w:rFonts w:hint="cs"/>
          <w:sz w:val="27"/>
          <w:rtl/>
        </w:rPr>
        <w:t>َ</w:t>
      </w:r>
      <w:r w:rsidRPr="00282AC9">
        <w:rPr>
          <w:rFonts w:hint="cs"/>
          <w:sz w:val="27"/>
          <w:rtl/>
        </w:rPr>
        <w:t>ه</w:t>
      </w:r>
      <w:r w:rsidR="00BA392F" w:rsidRPr="00282AC9">
        <w:rPr>
          <w:rFonts w:hint="cs"/>
          <w:sz w:val="27"/>
          <w:rtl/>
        </w:rPr>
        <w:t>ْ</w:t>
      </w:r>
      <w:r w:rsidRPr="00282AC9">
        <w:rPr>
          <w:rFonts w:hint="cs"/>
          <w:sz w:val="27"/>
          <w:rtl/>
        </w:rPr>
        <w:t>ن</w:t>
      </w:r>
      <w:r w:rsidR="00BA392F" w:rsidRPr="00282AC9">
        <w:rPr>
          <w:rFonts w:hint="cs"/>
          <w:sz w:val="27"/>
          <w:rtl/>
        </w:rPr>
        <w:t>ٌ</w:t>
      </w:r>
      <w:r w:rsidRPr="00282AC9">
        <w:rPr>
          <w:rFonts w:hint="cs"/>
          <w:sz w:val="27"/>
          <w:rtl/>
        </w:rPr>
        <w:t xml:space="preserve"> بمقتضيات وموجبات المرحلة</w:t>
      </w:r>
      <w:r w:rsidRPr="00282AC9">
        <w:rPr>
          <w:rFonts w:hint="eastAsia"/>
          <w:sz w:val="24"/>
          <w:szCs w:val="24"/>
          <w:rtl/>
        </w:rPr>
        <w:t>»</w:t>
      </w:r>
      <w:r w:rsidRPr="00282AC9">
        <w:rPr>
          <w:sz w:val="27"/>
          <w:vertAlign w:val="superscript"/>
          <w:rtl/>
        </w:rPr>
        <w:t>(</w:t>
      </w:r>
      <w:r w:rsidRPr="00282AC9">
        <w:rPr>
          <w:rStyle w:val="af9"/>
          <w:sz w:val="27"/>
          <w:rtl/>
        </w:rPr>
        <w:endnoteReference w:id="127"/>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4ـ </w:t>
      </w:r>
      <w:r w:rsidR="00E93D3C" w:rsidRPr="00282AC9">
        <w:rPr>
          <w:rFonts w:hint="cs"/>
          <w:sz w:val="27"/>
          <w:rtl/>
        </w:rPr>
        <w:t>و</w:t>
      </w:r>
      <w:r w:rsidRPr="00282AC9">
        <w:rPr>
          <w:rFonts w:hint="cs"/>
          <w:sz w:val="27"/>
          <w:rtl/>
        </w:rPr>
        <w:t xml:space="preserve">قال السيد كاظم الحائري: </w:t>
      </w:r>
      <w:r w:rsidRPr="00282AC9">
        <w:rPr>
          <w:rFonts w:hint="eastAsia"/>
          <w:sz w:val="24"/>
          <w:szCs w:val="24"/>
          <w:rtl/>
        </w:rPr>
        <w:t>«</w:t>
      </w:r>
      <w:r w:rsidRPr="00282AC9">
        <w:rPr>
          <w:rFonts w:hint="cs"/>
          <w:sz w:val="27"/>
          <w:rtl/>
        </w:rPr>
        <w:t>إن الإسلام قسّ</w:t>
      </w:r>
      <w:r w:rsidR="00E93D3C" w:rsidRPr="00282AC9">
        <w:rPr>
          <w:rFonts w:hint="cs"/>
          <w:sz w:val="27"/>
          <w:rtl/>
        </w:rPr>
        <w:t>َ</w:t>
      </w:r>
      <w:r w:rsidRPr="00282AC9">
        <w:rPr>
          <w:rFonts w:hint="cs"/>
          <w:sz w:val="27"/>
          <w:rtl/>
        </w:rPr>
        <w:t>م الأمور التي تدخل في مصلحة البشر إلى قسمين، وهما:</w:t>
      </w:r>
    </w:p>
    <w:p w:rsidR="00BC5E40" w:rsidRPr="00282AC9" w:rsidRDefault="00BC5E40" w:rsidP="00BC4D37">
      <w:pPr>
        <w:rPr>
          <w:sz w:val="27"/>
          <w:rtl/>
        </w:rPr>
      </w:pPr>
      <w:r w:rsidRPr="00282AC9">
        <w:rPr>
          <w:rFonts w:hint="cs"/>
          <w:b/>
          <w:bCs/>
          <w:sz w:val="27"/>
          <w:rtl/>
        </w:rPr>
        <w:t>أـ القسم الثابت</w:t>
      </w:r>
      <w:r w:rsidRPr="00282AC9">
        <w:rPr>
          <w:rFonts w:hint="cs"/>
          <w:sz w:val="27"/>
          <w:rtl/>
        </w:rPr>
        <w:t>: إن هذا القسم يشمل القرارات والقوانين الثابتة من الشريعة الإلهي</w:t>
      </w:r>
      <w:r w:rsidR="00E93D3C" w:rsidRPr="00282AC9">
        <w:rPr>
          <w:rFonts w:hint="cs"/>
          <w:sz w:val="27"/>
          <w:rtl/>
        </w:rPr>
        <w:t>ّ</w:t>
      </w:r>
      <w:r w:rsidRPr="00282AC9">
        <w:rPr>
          <w:rFonts w:hint="cs"/>
          <w:sz w:val="27"/>
          <w:rtl/>
        </w:rPr>
        <w:t>ة، والتي لا يحق</w:t>
      </w:r>
      <w:r w:rsidR="00E93D3C" w:rsidRPr="00282AC9">
        <w:rPr>
          <w:rFonts w:hint="cs"/>
          <w:sz w:val="27"/>
          <w:rtl/>
        </w:rPr>
        <w:t>ّ</w:t>
      </w:r>
      <w:r w:rsidRPr="00282AC9">
        <w:rPr>
          <w:rFonts w:hint="cs"/>
          <w:sz w:val="27"/>
          <w:rtl/>
        </w:rPr>
        <w:t xml:space="preserve"> حت</w:t>
      </w:r>
      <w:r w:rsidR="00E93D3C" w:rsidRPr="00282AC9">
        <w:rPr>
          <w:rFonts w:hint="cs"/>
          <w:sz w:val="27"/>
          <w:rtl/>
        </w:rPr>
        <w:t>ّ</w:t>
      </w:r>
      <w:r w:rsidRPr="00282AC9">
        <w:rPr>
          <w:rFonts w:hint="cs"/>
          <w:sz w:val="27"/>
          <w:rtl/>
        </w:rPr>
        <w:t>ى لولي</w:t>
      </w:r>
      <w:r w:rsidR="00E93D3C" w:rsidRPr="00282AC9">
        <w:rPr>
          <w:rFonts w:hint="cs"/>
          <w:sz w:val="27"/>
          <w:rtl/>
        </w:rPr>
        <w:t>ّ</w:t>
      </w:r>
      <w:r w:rsidRPr="00282AC9">
        <w:rPr>
          <w:rFonts w:hint="cs"/>
          <w:sz w:val="27"/>
          <w:rtl/>
        </w:rPr>
        <w:t xml:space="preserve"> الأمر مخالفتها.</w:t>
      </w:r>
    </w:p>
    <w:p w:rsidR="00BC5E40" w:rsidRPr="00282AC9" w:rsidRDefault="00BC5E40" w:rsidP="00BC4D37">
      <w:pPr>
        <w:rPr>
          <w:sz w:val="27"/>
          <w:rtl/>
        </w:rPr>
      </w:pPr>
      <w:r w:rsidRPr="00282AC9">
        <w:rPr>
          <w:rFonts w:hint="cs"/>
          <w:b/>
          <w:bCs/>
          <w:sz w:val="27"/>
          <w:rtl/>
        </w:rPr>
        <w:t>ب ـ القسم المتغيّ</w:t>
      </w:r>
      <w:r w:rsidR="00E93D3C" w:rsidRPr="00282AC9">
        <w:rPr>
          <w:rFonts w:hint="cs"/>
          <w:b/>
          <w:bCs/>
          <w:sz w:val="27"/>
          <w:rtl/>
        </w:rPr>
        <w:t>ِ</w:t>
      </w:r>
      <w:r w:rsidRPr="00282AC9">
        <w:rPr>
          <w:rFonts w:hint="cs"/>
          <w:b/>
          <w:bCs/>
          <w:sz w:val="27"/>
          <w:rtl/>
        </w:rPr>
        <w:t>ر</w:t>
      </w:r>
      <w:r w:rsidRPr="00282AC9">
        <w:rPr>
          <w:rFonts w:hint="cs"/>
          <w:sz w:val="27"/>
          <w:rtl/>
        </w:rPr>
        <w:t>: وهو يشتمل على القوانين التي تتغيّ</w:t>
      </w:r>
      <w:r w:rsidR="00E93D3C" w:rsidRPr="00282AC9">
        <w:rPr>
          <w:rFonts w:hint="cs"/>
          <w:sz w:val="27"/>
          <w:rtl/>
        </w:rPr>
        <w:t>َ</w:t>
      </w:r>
      <w:r w:rsidRPr="00282AC9">
        <w:rPr>
          <w:rFonts w:hint="cs"/>
          <w:sz w:val="27"/>
          <w:rtl/>
        </w:rPr>
        <w:t>ر بح</w:t>
      </w:r>
      <w:r w:rsidR="00E93D3C" w:rsidRPr="00282AC9">
        <w:rPr>
          <w:rFonts w:hint="cs"/>
          <w:sz w:val="27"/>
          <w:rtl/>
        </w:rPr>
        <w:t>َ</w:t>
      </w:r>
      <w:r w:rsidRPr="00282AC9">
        <w:rPr>
          <w:rFonts w:hint="cs"/>
          <w:sz w:val="27"/>
          <w:rtl/>
        </w:rPr>
        <w:t>س</w:t>
      </w:r>
      <w:r w:rsidR="00E93D3C" w:rsidRPr="00282AC9">
        <w:rPr>
          <w:rFonts w:hint="cs"/>
          <w:sz w:val="27"/>
          <w:rtl/>
        </w:rPr>
        <w:t>َ</w:t>
      </w:r>
      <w:r w:rsidRPr="00282AC9">
        <w:rPr>
          <w:rFonts w:hint="cs"/>
          <w:sz w:val="27"/>
          <w:rtl/>
        </w:rPr>
        <w:t>ب الظروف الزمانية والمكانية والبيئية. وقد ترك الإسلام ما يندرج تحت هذا القسم لولي</w:t>
      </w:r>
      <w:r w:rsidR="00E93D3C" w:rsidRPr="00282AC9">
        <w:rPr>
          <w:rFonts w:hint="cs"/>
          <w:sz w:val="27"/>
          <w:rtl/>
        </w:rPr>
        <w:t>ّ</w:t>
      </w:r>
      <w:r w:rsidRPr="00282AC9">
        <w:rPr>
          <w:rFonts w:hint="cs"/>
          <w:sz w:val="27"/>
          <w:rtl/>
        </w:rPr>
        <w:t xml:space="preserve"> الأمر</w:t>
      </w:r>
      <w:r w:rsidR="00E93D3C" w:rsidRPr="00282AC9">
        <w:rPr>
          <w:rFonts w:hint="cs"/>
          <w:sz w:val="27"/>
          <w:rtl/>
        </w:rPr>
        <w:t>؛</w:t>
      </w:r>
      <w:r w:rsidRPr="00282AC9">
        <w:rPr>
          <w:rFonts w:hint="cs"/>
          <w:sz w:val="27"/>
          <w:rtl/>
        </w:rPr>
        <w:t xml:space="preserve"> كي يعمل على تغييره وفقاً للشرائط والمقتضيات، آخذاً بنظر الاعتبار مصالح المجتمع في إطار المباحات</w:t>
      </w:r>
      <w:r w:rsidRPr="00282AC9">
        <w:rPr>
          <w:rFonts w:hint="eastAsia"/>
          <w:sz w:val="24"/>
          <w:szCs w:val="24"/>
          <w:rtl/>
        </w:rPr>
        <w:t>»</w:t>
      </w:r>
      <w:r w:rsidRPr="00282AC9">
        <w:rPr>
          <w:sz w:val="27"/>
          <w:vertAlign w:val="superscript"/>
          <w:rtl/>
        </w:rPr>
        <w:t>(</w:t>
      </w:r>
      <w:r w:rsidRPr="00282AC9">
        <w:rPr>
          <w:rStyle w:val="af9"/>
          <w:sz w:val="27"/>
          <w:rtl/>
        </w:rPr>
        <w:endnoteReference w:id="128"/>
      </w:r>
      <w:r w:rsidRPr="00282AC9">
        <w:rPr>
          <w:sz w:val="27"/>
          <w:vertAlign w:val="superscript"/>
          <w:rtl/>
        </w:rPr>
        <w:t>)</w:t>
      </w:r>
      <w:r w:rsidRPr="00282AC9">
        <w:rPr>
          <w:rFonts w:hint="cs"/>
          <w:sz w:val="27"/>
          <w:rtl/>
        </w:rPr>
        <w:t>.</w:t>
      </w:r>
    </w:p>
    <w:p w:rsidR="00BC5E40" w:rsidRPr="00282AC9" w:rsidRDefault="00BC5E40" w:rsidP="00BC4D37">
      <w:pPr>
        <w:rPr>
          <w:sz w:val="27"/>
          <w:rtl/>
        </w:rPr>
      </w:pPr>
      <w:r w:rsidRPr="00282AC9">
        <w:rPr>
          <w:rFonts w:hint="cs"/>
          <w:sz w:val="27"/>
          <w:rtl/>
        </w:rPr>
        <w:t xml:space="preserve">5ـ </w:t>
      </w:r>
      <w:r w:rsidR="00E93D3C" w:rsidRPr="00282AC9">
        <w:rPr>
          <w:rFonts w:hint="cs"/>
          <w:sz w:val="27"/>
          <w:rtl/>
        </w:rPr>
        <w:t>و</w:t>
      </w:r>
      <w:r w:rsidRPr="00282AC9">
        <w:rPr>
          <w:rFonts w:hint="cs"/>
          <w:sz w:val="27"/>
          <w:rtl/>
        </w:rPr>
        <w:t>قال السيد محمود الهاشمي</w:t>
      </w:r>
      <w:r w:rsidR="00E93D3C" w:rsidRPr="00282AC9">
        <w:rPr>
          <w:rFonts w:hint="cs"/>
          <w:sz w:val="27"/>
          <w:rtl/>
        </w:rPr>
        <w:t>،</w:t>
      </w:r>
      <w:r w:rsidRPr="00282AC9">
        <w:rPr>
          <w:rFonts w:hint="cs"/>
          <w:sz w:val="27"/>
          <w:rtl/>
        </w:rPr>
        <w:t xml:space="preserve"> بشأن </w:t>
      </w:r>
      <w:r w:rsidR="00EE6DBA" w:rsidRPr="00282AC9">
        <w:rPr>
          <w:rFonts w:hint="cs"/>
          <w:sz w:val="27"/>
          <w:rtl/>
        </w:rPr>
        <w:t>دَوْر</w:t>
      </w:r>
      <w:r w:rsidRPr="00282AC9">
        <w:rPr>
          <w:rFonts w:hint="cs"/>
          <w:sz w:val="27"/>
          <w:rtl/>
        </w:rPr>
        <w:t xml:space="preserve"> الفقيه في عملية التقنين والتشريع: </w:t>
      </w:r>
      <w:r w:rsidRPr="00282AC9">
        <w:rPr>
          <w:rFonts w:hint="eastAsia"/>
          <w:sz w:val="24"/>
          <w:szCs w:val="24"/>
          <w:rtl/>
        </w:rPr>
        <w:lastRenderedPageBreak/>
        <w:t>«</w:t>
      </w:r>
      <w:r w:rsidRPr="00282AC9">
        <w:rPr>
          <w:rFonts w:hint="cs"/>
          <w:sz w:val="27"/>
          <w:rtl/>
        </w:rPr>
        <w:t>إن ال</w:t>
      </w:r>
      <w:r w:rsidR="00FB47AB" w:rsidRPr="00282AC9">
        <w:rPr>
          <w:rFonts w:hint="cs"/>
          <w:sz w:val="27"/>
          <w:rtl/>
        </w:rPr>
        <w:t>دَّ</w:t>
      </w:r>
      <w:r w:rsidR="00EE6DBA" w:rsidRPr="00282AC9">
        <w:rPr>
          <w:rFonts w:hint="cs"/>
          <w:sz w:val="27"/>
          <w:rtl/>
        </w:rPr>
        <w:t>وْر</w:t>
      </w:r>
      <w:r w:rsidRPr="00282AC9">
        <w:rPr>
          <w:rFonts w:hint="cs"/>
          <w:sz w:val="27"/>
          <w:rtl/>
        </w:rPr>
        <w:t xml:space="preserve"> الثاني للفقيه عبارة عن م</w:t>
      </w:r>
      <w:r w:rsidR="00E93D3C" w:rsidRPr="00282AC9">
        <w:rPr>
          <w:rFonts w:hint="cs"/>
          <w:sz w:val="27"/>
          <w:rtl/>
        </w:rPr>
        <w:t>َ</w:t>
      </w:r>
      <w:r w:rsidRPr="00282AC9">
        <w:rPr>
          <w:rFonts w:hint="cs"/>
          <w:sz w:val="27"/>
          <w:rtl/>
        </w:rPr>
        <w:t>ل</w:t>
      </w:r>
      <w:r w:rsidR="00E93D3C" w:rsidRPr="00282AC9">
        <w:rPr>
          <w:rFonts w:hint="cs"/>
          <w:sz w:val="27"/>
          <w:rtl/>
        </w:rPr>
        <w:t>ْ</w:t>
      </w:r>
      <w:r w:rsidRPr="00282AC9">
        <w:rPr>
          <w:rFonts w:hint="cs"/>
          <w:sz w:val="27"/>
          <w:rtl/>
        </w:rPr>
        <w:t>ء منطقة الفراغ، من جهة أن الفقيه هو ولي</w:t>
      </w:r>
      <w:r w:rsidR="00E93D3C" w:rsidRPr="00282AC9">
        <w:rPr>
          <w:rFonts w:hint="cs"/>
          <w:sz w:val="27"/>
          <w:rtl/>
        </w:rPr>
        <w:t>ّ</w:t>
      </w:r>
      <w:r w:rsidRPr="00282AC9">
        <w:rPr>
          <w:rFonts w:hint="cs"/>
          <w:sz w:val="27"/>
          <w:rtl/>
        </w:rPr>
        <w:t xml:space="preserve"> الأمر (لا من جهة كونه مجتهداً)، طبقاً للرؤية السياسية التي يتبن</w:t>
      </w:r>
      <w:r w:rsidR="00E93D3C" w:rsidRPr="00282AC9">
        <w:rPr>
          <w:rFonts w:hint="cs"/>
          <w:sz w:val="27"/>
          <w:rtl/>
        </w:rPr>
        <w:t>ّ</w:t>
      </w:r>
      <w:r w:rsidRPr="00282AC9">
        <w:rPr>
          <w:rFonts w:hint="cs"/>
          <w:sz w:val="27"/>
          <w:rtl/>
        </w:rPr>
        <w:t>اها عدد</w:t>
      </w:r>
      <w:r w:rsidR="00E93D3C" w:rsidRPr="00282AC9">
        <w:rPr>
          <w:rFonts w:hint="cs"/>
          <w:sz w:val="27"/>
          <w:rtl/>
        </w:rPr>
        <w:t>ٌ</w:t>
      </w:r>
      <w:r w:rsidRPr="00282AC9">
        <w:rPr>
          <w:rFonts w:hint="cs"/>
          <w:sz w:val="27"/>
          <w:rtl/>
        </w:rPr>
        <w:t xml:space="preserve"> كبير من الفقهاء، بمعنى ثبوت الولاية الصغرى في عصر الغ</w:t>
      </w:r>
      <w:r w:rsidR="00E93D3C" w:rsidRPr="00282AC9">
        <w:rPr>
          <w:rFonts w:hint="cs"/>
          <w:sz w:val="27"/>
          <w:rtl/>
        </w:rPr>
        <w:t>َ</w:t>
      </w:r>
      <w:r w:rsidRPr="00282AC9">
        <w:rPr>
          <w:rFonts w:hint="cs"/>
          <w:sz w:val="27"/>
          <w:rtl/>
        </w:rPr>
        <w:t>ي</w:t>
      </w:r>
      <w:r w:rsidR="00E93D3C" w:rsidRPr="00282AC9">
        <w:rPr>
          <w:rFonts w:hint="cs"/>
          <w:sz w:val="27"/>
          <w:rtl/>
        </w:rPr>
        <w:t>ْ</w:t>
      </w:r>
      <w:r w:rsidRPr="00282AC9">
        <w:rPr>
          <w:rFonts w:hint="cs"/>
          <w:sz w:val="27"/>
          <w:rtl/>
        </w:rPr>
        <w:t>بة للفق</w:t>
      </w:r>
      <w:r w:rsidR="00E93D3C" w:rsidRPr="00282AC9">
        <w:rPr>
          <w:rFonts w:hint="cs"/>
          <w:sz w:val="27"/>
          <w:rtl/>
        </w:rPr>
        <w:t>ه</w:t>
      </w:r>
      <w:r w:rsidRPr="00282AC9">
        <w:rPr>
          <w:rFonts w:hint="cs"/>
          <w:sz w:val="27"/>
          <w:rtl/>
        </w:rPr>
        <w:t>اء العدول الأتقياء</w:t>
      </w:r>
      <w:r w:rsidRPr="00282AC9">
        <w:rPr>
          <w:rFonts w:hint="eastAsia"/>
          <w:sz w:val="24"/>
          <w:szCs w:val="24"/>
          <w:rtl/>
        </w:rPr>
        <w:t>»</w:t>
      </w:r>
      <w:r w:rsidRPr="00282AC9">
        <w:rPr>
          <w:sz w:val="27"/>
          <w:vertAlign w:val="superscript"/>
          <w:rtl/>
        </w:rPr>
        <w:t>(</w:t>
      </w:r>
      <w:r w:rsidRPr="00282AC9">
        <w:rPr>
          <w:rStyle w:val="af9"/>
          <w:sz w:val="27"/>
          <w:rtl/>
        </w:rPr>
        <w:endnoteReference w:id="129"/>
      </w:r>
      <w:r w:rsidRPr="00282AC9">
        <w:rPr>
          <w:sz w:val="27"/>
          <w:vertAlign w:val="superscript"/>
          <w:rtl/>
        </w:rPr>
        <w:t>)</w:t>
      </w:r>
      <w:r w:rsidRPr="00282AC9">
        <w:rPr>
          <w:rFonts w:hint="cs"/>
          <w:sz w:val="27"/>
          <w:rtl/>
        </w:rPr>
        <w:t>.</w:t>
      </w:r>
    </w:p>
    <w:p w:rsidR="00E83C22" w:rsidRPr="00282AC9" w:rsidRDefault="00BC5E40" w:rsidP="00BC4D37">
      <w:pPr>
        <w:rPr>
          <w:rtl/>
        </w:rPr>
      </w:pPr>
      <w:r w:rsidRPr="00282AC9">
        <w:rPr>
          <w:rFonts w:hint="cs"/>
          <w:sz w:val="27"/>
          <w:rtl/>
        </w:rPr>
        <w:t xml:space="preserve">6ـ </w:t>
      </w:r>
      <w:r w:rsidR="00E93D3C" w:rsidRPr="00282AC9">
        <w:rPr>
          <w:rFonts w:hint="cs"/>
          <w:sz w:val="27"/>
          <w:rtl/>
        </w:rPr>
        <w:t>و</w:t>
      </w:r>
      <w:r w:rsidRPr="00282AC9">
        <w:rPr>
          <w:rFonts w:hint="cs"/>
          <w:sz w:val="27"/>
          <w:rtl/>
        </w:rPr>
        <w:t xml:space="preserve">قال </w:t>
      </w:r>
      <w:r w:rsidR="00797FEA" w:rsidRPr="00282AC9">
        <w:rPr>
          <w:rFonts w:hint="cs"/>
          <w:sz w:val="27"/>
          <w:rtl/>
        </w:rPr>
        <w:t xml:space="preserve">الشيخ محمد </w:t>
      </w:r>
      <w:r w:rsidRPr="00282AC9">
        <w:rPr>
          <w:rFonts w:hint="cs"/>
          <w:sz w:val="27"/>
          <w:rtl/>
        </w:rPr>
        <w:t>مؤمن</w:t>
      </w:r>
      <w:r w:rsidR="00797FEA" w:rsidRPr="00282AC9">
        <w:rPr>
          <w:rFonts w:hint="cs"/>
          <w:sz w:val="27"/>
          <w:rtl/>
        </w:rPr>
        <w:t xml:space="preserve"> القمّي</w:t>
      </w:r>
      <w:r w:rsidRPr="00282AC9">
        <w:rPr>
          <w:rFonts w:hint="cs"/>
          <w:sz w:val="27"/>
          <w:rtl/>
        </w:rPr>
        <w:t xml:space="preserve">: </w:t>
      </w:r>
      <w:r w:rsidRPr="00282AC9">
        <w:rPr>
          <w:rFonts w:hint="eastAsia"/>
          <w:sz w:val="24"/>
          <w:szCs w:val="24"/>
          <w:rtl/>
        </w:rPr>
        <w:t>«</w:t>
      </w:r>
      <w:r w:rsidRPr="00282AC9">
        <w:rPr>
          <w:rFonts w:hint="cs"/>
          <w:sz w:val="27"/>
          <w:rtl/>
        </w:rPr>
        <w:t>حيث تقع مسؤولية إدارة شؤون الدولة الإسلامي</w:t>
      </w:r>
      <w:r w:rsidR="00797FEA" w:rsidRPr="00282AC9">
        <w:rPr>
          <w:rFonts w:hint="cs"/>
          <w:sz w:val="27"/>
          <w:rtl/>
        </w:rPr>
        <w:t>ّ</w:t>
      </w:r>
      <w:r w:rsidRPr="00282AC9">
        <w:rPr>
          <w:rFonts w:hint="cs"/>
          <w:sz w:val="27"/>
          <w:rtl/>
        </w:rPr>
        <w:t>ة ورعاية مصالح المسلمين على عاتق ولي</w:t>
      </w:r>
      <w:r w:rsidR="00797FEA" w:rsidRPr="00282AC9">
        <w:rPr>
          <w:rFonts w:hint="cs"/>
          <w:sz w:val="27"/>
          <w:rtl/>
        </w:rPr>
        <w:t>ّ</w:t>
      </w:r>
      <w:r w:rsidRPr="00282AC9">
        <w:rPr>
          <w:rFonts w:hint="cs"/>
          <w:sz w:val="27"/>
          <w:rtl/>
        </w:rPr>
        <w:t xml:space="preserve"> الأمر، لذلك فإن رعاية مصالح الأمة والحفاظ على حقوق الأفراد يقتضي في بعض الأحيان أن تتمّ إدارة البلاد من خلال وضع القوانين</w:t>
      </w:r>
      <w:r w:rsidR="00797FEA" w:rsidRPr="00282AC9">
        <w:rPr>
          <w:rFonts w:hint="cs"/>
          <w:sz w:val="27"/>
          <w:rtl/>
        </w:rPr>
        <w:t>،</w:t>
      </w:r>
      <w:r w:rsidRPr="00282AC9">
        <w:rPr>
          <w:rFonts w:hint="cs"/>
          <w:sz w:val="27"/>
          <w:rtl/>
        </w:rPr>
        <w:t xml:space="preserve"> التي قد تؤد</w:t>
      </w:r>
      <w:r w:rsidR="00797FEA" w:rsidRPr="00282AC9">
        <w:rPr>
          <w:rFonts w:hint="cs"/>
          <w:sz w:val="27"/>
          <w:rtl/>
        </w:rPr>
        <w:t>ّ</w:t>
      </w:r>
      <w:r w:rsidRPr="00282AC9">
        <w:rPr>
          <w:rFonts w:hint="cs"/>
          <w:sz w:val="27"/>
          <w:rtl/>
        </w:rPr>
        <w:t>ي أحياناً إلى التضييق على حقوق المواطنين، وتمنعهم من القيام بأعمالهم</w:t>
      </w:r>
      <w:r w:rsidRPr="00282AC9">
        <w:rPr>
          <w:rFonts w:hint="eastAsia"/>
          <w:sz w:val="24"/>
          <w:szCs w:val="24"/>
          <w:rtl/>
        </w:rPr>
        <w:t>»</w:t>
      </w:r>
      <w:r w:rsidRPr="00282AC9">
        <w:rPr>
          <w:sz w:val="27"/>
          <w:vertAlign w:val="superscript"/>
          <w:rtl/>
        </w:rPr>
        <w:t>(</w:t>
      </w:r>
      <w:r w:rsidRPr="00282AC9">
        <w:rPr>
          <w:rStyle w:val="af9"/>
          <w:sz w:val="27"/>
          <w:rtl/>
        </w:rPr>
        <w:endnoteReference w:id="130"/>
      </w:r>
      <w:r w:rsidRPr="00282AC9">
        <w:rPr>
          <w:sz w:val="27"/>
          <w:vertAlign w:val="superscript"/>
          <w:rtl/>
        </w:rPr>
        <w:t>)</w:t>
      </w:r>
      <w:r w:rsidRPr="00282AC9">
        <w:rPr>
          <w:rFonts w:hint="cs"/>
          <w:sz w:val="27"/>
          <w:rtl/>
        </w:rPr>
        <w:t>.</w:t>
      </w:r>
    </w:p>
    <w:p w:rsidR="00D56669" w:rsidRPr="00282AC9" w:rsidRDefault="00D56669" w:rsidP="00CC0484">
      <w:pPr>
        <w:spacing w:line="410" w:lineRule="exact"/>
        <w:rPr>
          <w:rtl/>
        </w:rPr>
      </w:pPr>
    </w:p>
    <w:p w:rsidR="00D56669" w:rsidRPr="00282AC9" w:rsidRDefault="00D56669" w:rsidP="003A1F8E">
      <w:pPr>
        <w:spacing w:line="420" w:lineRule="exact"/>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3A1F8E">
      <w:pPr>
        <w:spacing w:line="300" w:lineRule="exact"/>
      </w:pPr>
      <w:r w:rsidRPr="00282AC9">
        <w:rPr>
          <w:rtl/>
        </w:rPr>
        <w:lastRenderedPageBreak/>
        <w:br w:type="page"/>
      </w:r>
    </w:p>
    <w:p w:rsidR="00E83C22" w:rsidRPr="00282AC9" w:rsidRDefault="00E83C22" w:rsidP="003A1F8E">
      <w:pPr>
        <w:spacing w:line="300" w:lineRule="exact"/>
        <w:rPr>
          <w:rtl/>
        </w:rPr>
        <w:sectPr w:rsidR="00E83C22" w:rsidRPr="00282AC9"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4F71AA">
      <w:pPr>
        <w:spacing w:line="520" w:lineRule="exact"/>
        <w:rPr>
          <w:rtl/>
        </w:rPr>
      </w:pPr>
    </w:p>
    <w:p w:rsidR="00E83C22" w:rsidRPr="00282AC9" w:rsidRDefault="00E83C22" w:rsidP="004F71AA">
      <w:pPr>
        <w:spacing w:line="500" w:lineRule="exact"/>
        <w:rPr>
          <w:rtl/>
        </w:rPr>
      </w:pPr>
    </w:p>
    <w:p w:rsidR="00E83C22" w:rsidRPr="00282AC9" w:rsidRDefault="000F4DC6" w:rsidP="000F4DC6">
      <w:pPr>
        <w:pStyle w:val="11"/>
        <w:spacing w:line="216" w:lineRule="auto"/>
        <w:rPr>
          <w:rtl/>
          <w:lang w:bidi="ar-LB"/>
        </w:rPr>
      </w:pPr>
      <w:bookmarkStart w:id="12" w:name="_Toc87011488"/>
      <w:r w:rsidRPr="00282AC9">
        <w:rPr>
          <w:rFonts w:hint="cs"/>
          <w:rtl/>
          <w:lang w:bidi="ar-LB"/>
        </w:rPr>
        <w:t>قاعدة التسامح في أدل</w:t>
      </w:r>
      <w:r w:rsidR="00121725" w:rsidRPr="00282AC9">
        <w:rPr>
          <w:rFonts w:hint="cs"/>
          <w:rtl/>
          <w:lang w:bidi="ar-LB"/>
        </w:rPr>
        <w:t>ّ</w:t>
      </w:r>
      <w:r w:rsidRPr="00282AC9">
        <w:rPr>
          <w:rFonts w:hint="cs"/>
          <w:rtl/>
          <w:lang w:bidi="ar-LB"/>
        </w:rPr>
        <w:t>ة الس</w:t>
      </w:r>
      <w:r w:rsidR="00121725" w:rsidRPr="00282AC9">
        <w:rPr>
          <w:rFonts w:hint="cs"/>
          <w:rtl/>
          <w:lang w:bidi="ar-LB"/>
        </w:rPr>
        <w:t>ُّ</w:t>
      </w:r>
      <w:r w:rsidRPr="00282AC9">
        <w:rPr>
          <w:rFonts w:hint="cs"/>
          <w:rtl/>
          <w:lang w:bidi="ar-LB"/>
        </w:rPr>
        <w:t>ن</w:t>
      </w:r>
      <w:r w:rsidR="00121725" w:rsidRPr="00282AC9">
        <w:rPr>
          <w:rFonts w:hint="cs"/>
          <w:rtl/>
          <w:lang w:bidi="ar-LB"/>
        </w:rPr>
        <w:t>َ</w:t>
      </w:r>
      <w:r w:rsidRPr="00282AC9">
        <w:rPr>
          <w:rFonts w:hint="cs"/>
          <w:rtl/>
          <w:lang w:bidi="ar-LB"/>
        </w:rPr>
        <w:t>ن</w:t>
      </w:r>
      <w:bookmarkEnd w:id="12"/>
    </w:p>
    <w:p w:rsidR="00E83C22" w:rsidRPr="00282AC9" w:rsidRDefault="000F4DC6" w:rsidP="000F4DC6">
      <w:pPr>
        <w:pStyle w:val="11"/>
        <w:spacing w:line="216" w:lineRule="auto"/>
        <w:rPr>
          <w:sz w:val="26"/>
          <w:szCs w:val="42"/>
          <w:rtl/>
        </w:rPr>
      </w:pPr>
      <w:bookmarkStart w:id="13" w:name="_Toc87011489"/>
      <w:r w:rsidRPr="00282AC9">
        <w:rPr>
          <w:rFonts w:hint="cs"/>
          <w:sz w:val="26"/>
          <w:szCs w:val="42"/>
          <w:rtl/>
          <w:lang w:bidi="ar-LB"/>
        </w:rPr>
        <w:t>و</w:t>
      </w:r>
      <w:r w:rsidR="00EE6DBA" w:rsidRPr="00282AC9">
        <w:rPr>
          <w:rFonts w:hint="cs"/>
          <w:sz w:val="26"/>
          <w:szCs w:val="42"/>
          <w:rtl/>
          <w:lang w:bidi="ar-LB"/>
        </w:rPr>
        <w:t>دَوْر</w:t>
      </w:r>
      <w:r w:rsidRPr="00282AC9">
        <w:rPr>
          <w:rFonts w:hint="cs"/>
          <w:sz w:val="26"/>
          <w:szCs w:val="42"/>
          <w:rtl/>
          <w:lang w:bidi="ar-LB"/>
        </w:rPr>
        <w:t>ها في تسرُّب الموضوعات</w:t>
      </w:r>
      <w:bookmarkEnd w:id="13"/>
    </w:p>
    <w:p w:rsidR="000F4DC6" w:rsidRPr="00282AC9" w:rsidRDefault="000F4DC6" w:rsidP="00B9518D">
      <w:pPr>
        <w:ind w:firstLine="0"/>
        <w:jc w:val="center"/>
        <w:rPr>
          <w:rFonts w:cs="Ya-Ali"/>
          <w:sz w:val="32"/>
          <w:szCs w:val="31"/>
          <w:rtl/>
        </w:rPr>
      </w:pPr>
      <w:r w:rsidRPr="00282AC9">
        <w:rPr>
          <w:rFonts w:cs="Ya-Ali" w:hint="cs"/>
          <w:sz w:val="32"/>
          <w:szCs w:val="31"/>
          <w:rtl/>
        </w:rPr>
        <w:t>ـ القسم الأوّل ـ</w:t>
      </w:r>
    </w:p>
    <w:p w:rsidR="00E83C22" w:rsidRPr="00282AC9" w:rsidRDefault="00E83C22" w:rsidP="004F71AA">
      <w:pPr>
        <w:rPr>
          <w:rtl/>
        </w:rPr>
      </w:pPr>
    </w:p>
    <w:p w:rsidR="00E83C22" w:rsidRPr="00282AC9" w:rsidRDefault="000F4DC6" w:rsidP="000F4DC6">
      <w:pPr>
        <w:pStyle w:val="Author"/>
        <w:rPr>
          <w:rtl/>
        </w:rPr>
      </w:pPr>
      <w:bookmarkStart w:id="14" w:name="_Toc87011490"/>
      <w:r w:rsidRPr="00282AC9">
        <w:rPr>
          <w:rFonts w:hint="cs"/>
          <w:rtl/>
          <w:lang w:bidi="ar-LB"/>
        </w:rPr>
        <w:t>د. الشيخ حسين الخشن</w:t>
      </w:r>
      <w:r w:rsidR="00527634" w:rsidRPr="00282AC9">
        <w:rPr>
          <w:rFonts w:cs="Taher" w:hint="cs"/>
          <w:vertAlign w:val="superscript"/>
          <w:rtl/>
        </w:rPr>
        <w:t>(</w:t>
      </w:r>
      <w:r w:rsidR="00527634" w:rsidRPr="00282AC9">
        <w:rPr>
          <w:rFonts w:cs="Taher"/>
          <w:vertAlign w:val="superscript"/>
          <w:rtl/>
        </w:rPr>
        <w:footnoteReference w:customMarkFollows="1" w:id="3"/>
        <w:t>*)</w:t>
      </w:r>
      <w:bookmarkEnd w:id="14"/>
    </w:p>
    <w:p w:rsidR="00E83C22" w:rsidRPr="00282AC9" w:rsidRDefault="00E83C22" w:rsidP="004F71AA">
      <w:pPr>
        <w:rPr>
          <w:rtl/>
        </w:rPr>
      </w:pPr>
    </w:p>
    <w:p w:rsidR="00573182" w:rsidRPr="00282AC9" w:rsidRDefault="0098597F" w:rsidP="004F71AA">
      <w:pPr>
        <w:spacing w:line="420" w:lineRule="exact"/>
        <w:rPr>
          <w:rFonts w:ascii="Arial" w:hAnsi="Arial"/>
          <w:sz w:val="27"/>
          <w:rtl/>
        </w:rPr>
      </w:pPr>
      <w:r w:rsidRPr="00282AC9">
        <w:rPr>
          <w:rFonts w:ascii="Arial" w:hAnsi="Arial"/>
          <w:sz w:val="27"/>
          <w:rtl/>
        </w:rPr>
        <w:t xml:space="preserve">من القواعد التي كثر </w:t>
      </w:r>
      <w:r w:rsidRPr="00282AC9">
        <w:rPr>
          <w:rFonts w:ascii="Arial" w:hAnsi="Arial" w:hint="cs"/>
          <w:sz w:val="27"/>
          <w:rtl/>
        </w:rPr>
        <w:t>الاستدلال ب</w:t>
      </w:r>
      <w:r w:rsidRPr="00282AC9">
        <w:rPr>
          <w:rFonts w:ascii="Arial" w:hAnsi="Arial"/>
          <w:sz w:val="27"/>
          <w:rtl/>
        </w:rPr>
        <w:t>ها في الكتب الفقهي</w:t>
      </w:r>
      <w:r w:rsidRPr="00282AC9">
        <w:rPr>
          <w:rFonts w:ascii="Arial" w:hAnsi="Arial" w:hint="cs"/>
          <w:sz w:val="27"/>
          <w:rtl/>
        </w:rPr>
        <w:t>ة</w:t>
      </w:r>
      <w:r w:rsidRPr="00282AC9">
        <w:rPr>
          <w:rFonts w:ascii="Arial" w:hAnsi="Arial"/>
          <w:sz w:val="27"/>
          <w:rtl/>
        </w:rPr>
        <w:t>: القاعدة المعروفة بقاعدة التسامح في أدل</w:t>
      </w:r>
      <w:r w:rsidR="00573182" w:rsidRPr="00282AC9">
        <w:rPr>
          <w:rFonts w:ascii="Arial" w:hAnsi="Arial" w:hint="cs"/>
          <w:sz w:val="27"/>
          <w:rtl/>
        </w:rPr>
        <w:t>ّ</w:t>
      </w:r>
      <w:r w:rsidRPr="00282AC9">
        <w:rPr>
          <w:rFonts w:ascii="Arial" w:hAnsi="Arial"/>
          <w:sz w:val="27"/>
          <w:rtl/>
        </w:rPr>
        <w:t>ة الس</w:t>
      </w:r>
      <w:r w:rsidR="00573182" w:rsidRPr="00282AC9">
        <w:rPr>
          <w:rFonts w:ascii="Arial" w:hAnsi="Arial" w:hint="cs"/>
          <w:sz w:val="27"/>
          <w:rtl/>
        </w:rPr>
        <w:t>ُّ</w:t>
      </w:r>
      <w:r w:rsidRPr="00282AC9">
        <w:rPr>
          <w:rFonts w:ascii="Arial" w:hAnsi="Arial"/>
          <w:sz w:val="27"/>
          <w:rtl/>
        </w:rPr>
        <w:t>ن</w:t>
      </w:r>
      <w:r w:rsidR="00573182" w:rsidRPr="00282AC9">
        <w:rPr>
          <w:rFonts w:ascii="Arial" w:hAnsi="Arial" w:hint="cs"/>
          <w:sz w:val="27"/>
          <w:rtl/>
        </w:rPr>
        <w:t>َ</w:t>
      </w:r>
      <w:r w:rsidRPr="00282AC9">
        <w:rPr>
          <w:rFonts w:ascii="Arial" w:hAnsi="Arial"/>
          <w:sz w:val="27"/>
          <w:rtl/>
        </w:rPr>
        <w:t>ن</w:t>
      </w:r>
      <w:r w:rsidR="00573182" w:rsidRPr="00282AC9">
        <w:rPr>
          <w:rFonts w:ascii="Arial" w:hAnsi="Arial" w:hint="cs"/>
          <w:sz w:val="27"/>
          <w:rtl/>
        </w:rPr>
        <w:t>.</w:t>
      </w:r>
      <w:r w:rsidRPr="00282AC9">
        <w:rPr>
          <w:rFonts w:ascii="Arial" w:hAnsi="Arial" w:hint="cs"/>
          <w:sz w:val="27"/>
          <w:rtl/>
        </w:rPr>
        <w:t xml:space="preserve"> </w:t>
      </w:r>
    </w:p>
    <w:p w:rsidR="0098597F" w:rsidRPr="00282AC9" w:rsidRDefault="00573182" w:rsidP="004F71AA">
      <w:pPr>
        <w:spacing w:line="420" w:lineRule="exact"/>
        <w:rPr>
          <w:rFonts w:ascii="Arial" w:hAnsi="Arial"/>
          <w:sz w:val="27"/>
          <w:rtl/>
        </w:rPr>
      </w:pPr>
      <w:r w:rsidRPr="00282AC9">
        <w:rPr>
          <w:rFonts w:ascii="Arial" w:hAnsi="Arial" w:hint="cs"/>
          <w:sz w:val="27"/>
          <w:rtl/>
        </w:rPr>
        <w:t xml:space="preserve">وانطلاقاً </w:t>
      </w:r>
      <w:r w:rsidR="0098597F" w:rsidRPr="00282AC9">
        <w:rPr>
          <w:rFonts w:ascii="Arial" w:hAnsi="Arial" w:hint="cs"/>
          <w:sz w:val="27"/>
          <w:rtl/>
        </w:rPr>
        <w:t>من أنّ القاعدة شك</w:t>
      </w:r>
      <w:r w:rsidRPr="00282AC9">
        <w:rPr>
          <w:rFonts w:ascii="Arial" w:hAnsi="Arial" w:hint="cs"/>
          <w:sz w:val="27"/>
          <w:rtl/>
        </w:rPr>
        <w:t>َّ</w:t>
      </w:r>
      <w:r w:rsidR="0098597F" w:rsidRPr="00282AC9">
        <w:rPr>
          <w:rFonts w:ascii="Arial" w:hAnsi="Arial" w:hint="cs"/>
          <w:sz w:val="27"/>
          <w:rtl/>
        </w:rPr>
        <w:t>ل</w:t>
      </w:r>
      <w:r w:rsidRPr="00282AC9">
        <w:rPr>
          <w:rFonts w:ascii="Arial" w:hAnsi="Arial" w:hint="cs"/>
          <w:sz w:val="27"/>
          <w:rtl/>
        </w:rPr>
        <w:t>َ</w:t>
      </w:r>
      <w:r w:rsidR="0098597F" w:rsidRPr="00282AC9">
        <w:rPr>
          <w:rFonts w:ascii="Arial" w:hAnsi="Arial" w:hint="cs"/>
          <w:sz w:val="27"/>
          <w:rtl/>
        </w:rPr>
        <w:t>ت</w:t>
      </w:r>
      <w:r w:rsidRPr="00282AC9">
        <w:rPr>
          <w:rFonts w:ascii="Arial" w:hAnsi="Arial" w:hint="cs"/>
          <w:sz w:val="27"/>
          <w:rtl/>
        </w:rPr>
        <w:t>ْ</w:t>
      </w:r>
      <w:r w:rsidR="0098597F" w:rsidRPr="00282AC9">
        <w:rPr>
          <w:rFonts w:ascii="Arial" w:hAnsi="Arial" w:hint="cs"/>
          <w:sz w:val="27"/>
          <w:rtl/>
        </w:rPr>
        <w:t xml:space="preserve"> مظل</w:t>
      </w:r>
      <w:r w:rsidRPr="00282AC9">
        <w:rPr>
          <w:rFonts w:ascii="Arial" w:hAnsi="Arial" w:hint="cs"/>
          <w:sz w:val="27"/>
          <w:rtl/>
        </w:rPr>
        <w:t>ّ</w:t>
      </w:r>
      <w:r w:rsidR="0098597F" w:rsidRPr="00282AC9">
        <w:rPr>
          <w:rFonts w:ascii="Arial" w:hAnsi="Arial" w:hint="cs"/>
          <w:sz w:val="27"/>
          <w:rtl/>
        </w:rPr>
        <w:t>ة لتسر</w:t>
      </w:r>
      <w:r w:rsidRPr="00282AC9">
        <w:rPr>
          <w:rFonts w:ascii="Arial" w:hAnsi="Arial" w:hint="cs"/>
          <w:sz w:val="27"/>
          <w:rtl/>
        </w:rPr>
        <w:t>ُّ</w:t>
      </w:r>
      <w:r w:rsidR="0098597F" w:rsidRPr="00282AC9">
        <w:rPr>
          <w:rFonts w:ascii="Arial" w:hAnsi="Arial" w:hint="cs"/>
          <w:sz w:val="27"/>
          <w:rtl/>
        </w:rPr>
        <w:t>ب الأخبار الموضوعة إلى فضاء التداول الفقهي</w:t>
      </w:r>
      <w:r w:rsidRPr="00282AC9">
        <w:rPr>
          <w:rFonts w:ascii="Arial" w:hAnsi="Arial" w:hint="cs"/>
          <w:sz w:val="27"/>
          <w:rtl/>
        </w:rPr>
        <w:t>ّ</w:t>
      </w:r>
      <w:r w:rsidR="0098597F" w:rsidRPr="00282AC9">
        <w:rPr>
          <w:rFonts w:ascii="Arial" w:hAnsi="Arial" w:hint="cs"/>
          <w:sz w:val="27"/>
          <w:rtl/>
        </w:rPr>
        <w:t xml:space="preserve"> ينبغي أن نوقع البحث في المراحل التالية</w:t>
      </w:r>
      <w:r w:rsidRPr="00282AC9">
        <w:rPr>
          <w:rFonts w:ascii="Arial" w:hAnsi="Arial" w:hint="cs"/>
          <w:sz w:val="27"/>
          <w:rtl/>
        </w:rPr>
        <w:t>:</w:t>
      </w:r>
      <w:r w:rsidR="0098597F" w:rsidRPr="00282AC9">
        <w:rPr>
          <w:rFonts w:ascii="Arial" w:hAnsi="Arial" w:hint="cs"/>
          <w:sz w:val="27"/>
          <w:rtl/>
        </w:rPr>
        <w:t xml:space="preserve"> </w:t>
      </w:r>
    </w:p>
    <w:p w:rsidR="0098597F" w:rsidRPr="00282AC9" w:rsidRDefault="0098597F" w:rsidP="004F71AA">
      <w:pPr>
        <w:spacing w:line="440" w:lineRule="exact"/>
        <w:rPr>
          <w:rFonts w:ascii="Arial" w:hAnsi="Arial"/>
          <w:sz w:val="27"/>
          <w:rtl/>
        </w:rPr>
      </w:pPr>
    </w:p>
    <w:p w:rsidR="0098597F" w:rsidRPr="00282AC9" w:rsidRDefault="002A096D" w:rsidP="009C6A22">
      <w:pPr>
        <w:pStyle w:val="31"/>
        <w:rPr>
          <w:color w:val="auto"/>
          <w:rtl/>
        </w:rPr>
      </w:pPr>
      <w:r w:rsidRPr="00282AC9">
        <w:rPr>
          <w:rFonts w:hint="cs"/>
          <w:color w:val="auto"/>
          <w:rtl/>
        </w:rPr>
        <w:t>1</w:t>
      </w:r>
      <w:r w:rsidR="0098597F" w:rsidRPr="00282AC9">
        <w:rPr>
          <w:rFonts w:hint="cs"/>
          <w:color w:val="auto"/>
          <w:rtl/>
        </w:rPr>
        <w:t>ـ المعنى الإجمالي للقاعدة</w:t>
      </w:r>
    </w:p>
    <w:p w:rsidR="0098597F" w:rsidRPr="00282AC9" w:rsidRDefault="0098597F" w:rsidP="004F71AA">
      <w:pPr>
        <w:spacing w:line="420" w:lineRule="exact"/>
        <w:rPr>
          <w:rtl/>
        </w:rPr>
      </w:pPr>
      <w:r w:rsidRPr="00282AC9">
        <w:rPr>
          <w:rFonts w:hint="cs"/>
          <w:rtl/>
        </w:rPr>
        <w:t>والمراد بالقاعدة</w:t>
      </w:r>
      <w:r w:rsidR="00573182" w:rsidRPr="00282AC9">
        <w:rPr>
          <w:rFonts w:hint="cs"/>
          <w:rtl/>
        </w:rPr>
        <w:t>،</w:t>
      </w:r>
      <w:r w:rsidRPr="00282AC9">
        <w:rPr>
          <w:rFonts w:hint="cs"/>
          <w:rtl/>
        </w:rPr>
        <w:t xml:space="preserve"> كما تفصح مفرداتها</w:t>
      </w:r>
      <w:r w:rsidR="00573182" w:rsidRPr="00282AC9">
        <w:rPr>
          <w:rFonts w:hint="cs"/>
          <w:rtl/>
        </w:rPr>
        <w:t>،</w:t>
      </w:r>
      <w:r w:rsidRPr="00282AC9">
        <w:rPr>
          <w:rFonts w:hint="cs"/>
          <w:rtl/>
        </w:rPr>
        <w:t xml:space="preserve"> أنّ الس</w:t>
      </w:r>
      <w:r w:rsidR="00573182" w:rsidRPr="00282AC9">
        <w:rPr>
          <w:rFonts w:hint="cs"/>
          <w:rtl/>
        </w:rPr>
        <w:t>ُّ</w:t>
      </w:r>
      <w:r w:rsidRPr="00282AC9">
        <w:rPr>
          <w:rFonts w:hint="cs"/>
          <w:rtl/>
        </w:rPr>
        <w:t>ن</w:t>
      </w:r>
      <w:r w:rsidR="00573182" w:rsidRPr="00282AC9">
        <w:rPr>
          <w:rFonts w:hint="cs"/>
          <w:rtl/>
        </w:rPr>
        <w:t>َ</w:t>
      </w:r>
      <w:r w:rsidRPr="00282AC9">
        <w:rPr>
          <w:rFonts w:hint="cs"/>
          <w:rtl/>
        </w:rPr>
        <w:t>ن لا تحتاج إلى تشد</w:t>
      </w:r>
      <w:r w:rsidR="00573182" w:rsidRPr="00282AC9">
        <w:rPr>
          <w:rFonts w:hint="cs"/>
          <w:rtl/>
        </w:rPr>
        <w:t>ُّ</w:t>
      </w:r>
      <w:r w:rsidRPr="00282AC9">
        <w:rPr>
          <w:rFonts w:hint="cs"/>
          <w:rtl/>
        </w:rPr>
        <w:t>د في أسانيدها، بل يمكن أن ي</w:t>
      </w:r>
      <w:r w:rsidR="00573182" w:rsidRPr="00282AC9">
        <w:rPr>
          <w:rFonts w:hint="cs"/>
          <w:rtl/>
        </w:rPr>
        <w:t>ُ</w:t>
      </w:r>
      <w:r w:rsidRPr="00282AC9">
        <w:rPr>
          <w:rFonts w:hint="cs"/>
          <w:rtl/>
        </w:rPr>
        <w:t>تسامح وي</w:t>
      </w:r>
      <w:r w:rsidR="00573182" w:rsidRPr="00282AC9">
        <w:rPr>
          <w:rFonts w:hint="cs"/>
          <w:rtl/>
        </w:rPr>
        <w:t>ُ</w:t>
      </w:r>
      <w:r w:rsidRPr="00282AC9">
        <w:rPr>
          <w:rFonts w:hint="cs"/>
          <w:rtl/>
        </w:rPr>
        <w:t>تساهل فيها</w:t>
      </w:r>
      <w:r w:rsidR="00573182" w:rsidRPr="00282AC9">
        <w:rPr>
          <w:rFonts w:hint="cs"/>
          <w:rtl/>
        </w:rPr>
        <w:t>،</w:t>
      </w:r>
      <w:r w:rsidRPr="00282AC9">
        <w:rPr>
          <w:rFonts w:hint="cs"/>
          <w:rtl/>
        </w:rPr>
        <w:t xml:space="preserve"> وي</w:t>
      </w:r>
      <w:r w:rsidR="00573182" w:rsidRPr="00282AC9">
        <w:rPr>
          <w:rFonts w:hint="cs"/>
          <w:rtl/>
        </w:rPr>
        <w:t>ُ</w:t>
      </w:r>
      <w:r w:rsidRPr="00282AC9">
        <w:rPr>
          <w:rFonts w:hint="cs"/>
          <w:rtl/>
        </w:rPr>
        <w:t>كتفى في إثباتها بأخبار الآحاد ضعيفة السند</w:t>
      </w:r>
      <w:r w:rsidR="00573182" w:rsidRPr="00282AC9">
        <w:rPr>
          <w:rFonts w:hint="cs"/>
          <w:rtl/>
        </w:rPr>
        <w:t>؛</w:t>
      </w:r>
      <w:r w:rsidRPr="00282AC9">
        <w:rPr>
          <w:rFonts w:hint="cs"/>
          <w:rtl/>
        </w:rPr>
        <w:t xml:space="preserve"> وذلك خلافاً لما عليه الحال في الأحكام الإلزامي</w:t>
      </w:r>
      <w:r w:rsidR="00573182" w:rsidRPr="00282AC9">
        <w:rPr>
          <w:rFonts w:hint="cs"/>
          <w:rtl/>
        </w:rPr>
        <w:t>ّ</w:t>
      </w:r>
      <w:r w:rsidRPr="00282AC9">
        <w:rPr>
          <w:rFonts w:hint="cs"/>
          <w:rtl/>
        </w:rPr>
        <w:t>ة، حيث يلتزم بضرورة توف</w:t>
      </w:r>
      <w:r w:rsidR="00573182" w:rsidRPr="00282AC9">
        <w:rPr>
          <w:rFonts w:hint="cs"/>
          <w:rtl/>
        </w:rPr>
        <w:t>ُّ</w:t>
      </w:r>
      <w:r w:rsidRPr="00282AC9">
        <w:rPr>
          <w:rFonts w:hint="cs"/>
          <w:rtl/>
        </w:rPr>
        <w:t>ر سند</w:t>
      </w:r>
      <w:r w:rsidR="00573182" w:rsidRPr="00282AC9">
        <w:rPr>
          <w:rFonts w:hint="cs"/>
          <w:rtl/>
        </w:rPr>
        <w:t>ٍ</w:t>
      </w:r>
      <w:r w:rsidRPr="00282AC9">
        <w:rPr>
          <w:rFonts w:hint="cs"/>
          <w:rtl/>
        </w:rPr>
        <w:t xml:space="preserve"> صحيح للخبر الذي ي</w:t>
      </w:r>
      <w:r w:rsidR="00573182" w:rsidRPr="00282AC9">
        <w:rPr>
          <w:rFonts w:hint="cs"/>
          <w:rtl/>
        </w:rPr>
        <w:t>ُ</w:t>
      </w:r>
      <w:r w:rsidRPr="00282AC9">
        <w:rPr>
          <w:rFonts w:hint="cs"/>
          <w:rtl/>
        </w:rPr>
        <w:t xml:space="preserve">راد الاستدلال به لإثباتها. </w:t>
      </w:r>
    </w:p>
    <w:p w:rsidR="0098597F" w:rsidRPr="00282AC9" w:rsidRDefault="0098597F" w:rsidP="004F71AA">
      <w:pPr>
        <w:spacing w:line="440" w:lineRule="exact"/>
        <w:rPr>
          <w:rtl/>
        </w:rPr>
      </w:pPr>
    </w:p>
    <w:p w:rsidR="0098597F" w:rsidRPr="00282AC9" w:rsidRDefault="002A096D" w:rsidP="009C6A22">
      <w:pPr>
        <w:pStyle w:val="31"/>
        <w:rPr>
          <w:color w:val="auto"/>
          <w:rtl/>
        </w:rPr>
      </w:pPr>
      <w:r w:rsidRPr="00282AC9">
        <w:rPr>
          <w:rFonts w:hint="cs"/>
          <w:color w:val="auto"/>
          <w:rtl/>
        </w:rPr>
        <w:t>2</w:t>
      </w:r>
      <w:r w:rsidR="0098597F" w:rsidRPr="00282AC9">
        <w:rPr>
          <w:rFonts w:hint="cs"/>
          <w:color w:val="auto"/>
          <w:rtl/>
        </w:rPr>
        <w:t xml:space="preserve">ـ آراء الفقهاء في قاعدة التسامح </w:t>
      </w:r>
    </w:p>
    <w:p w:rsidR="0098597F" w:rsidRPr="00282AC9" w:rsidRDefault="0098597F" w:rsidP="004F71AA">
      <w:pPr>
        <w:spacing w:line="420" w:lineRule="exact"/>
        <w:rPr>
          <w:rFonts w:ascii="Arial" w:eastAsia="Calibri" w:hAnsi="Arial"/>
          <w:sz w:val="27"/>
          <w:rtl/>
          <w:lang w:bidi="ar-LB"/>
        </w:rPr>
      </w:pPr>
      <w:r w:rsidRPr="00282AC9">
        <w:rPr>
          <w:rFonts w:ascii="Arial" w:eastAsia="Calibri" w:hAnsi="Arial" w:hint="cs"/>
          <w:sz w:val="27"/>
          <w:rtl/>
          <w:lang w:bidi="ar-LB"/>
        </w:rPr>
        <w:t>بالتتب</w:t>
      </w:r>
      <w:r w:rsidR="00573182" w:rsidRPr="00282AC9">
        <w:rPr>
          <w:rFonts w:ascii="Arial" w:eastAsia="Calibri" w:hAnsi="Arial" w:hint="cs"/>
          <w:sz w:val="27"/>
          <w:rtl/>
          <w:lang w:bidi="ar-LB"/>
        </w:rPr>
        <w:t>ُّ</w:t>
      </w:r>
      <w:r w:rsidRPr="00282AC9">
        <w:rPr>
          <w:rFonts w:ascii="Arial" w:eastAsia="Calibri" w:hAnsi="Arial" w:hint="cs"/>
          <w:sz w:val="27"/>
          <w:rtl/>
          <w:lang w:bidi="ar-LB"/>
        </w:rPr>
        <w:t>ع في أقوال الفقهاء نجد أن لديهم اتجاهين أساسي</w:t>
      </w:r>
      <w:r w:rsidR="00573182" w:rsidRPr="00282AC9">
        <w:rPr>
          <w:rFonts w:ascii="Arial" w:eastAsia="Calibri" w:hAnsi="Arial" w:hint="cs"/>
          <w:sz w:val="27"/>
          <w:rtl/>
          <w:lang w:bidi="ar-LB"/>
        </w:rPr>
        <w:t>ّ</w:t>
      </w:r>
      <w:r w:rsidRPr="00282AC9">
        <w:rPr>
          <w:rFonts w:ascii="Arial" w:eastAsia="Calibri" w:hAnsi="Arial" w:hint="cs"/>
          <w:sz w:val="27"/>
          <w:rtl/>
          <w:lang w:bidi="ar-LB"/>
        </w:rPr>
        <w:t>ين في قاعدة التسامح</w:t>
      </w:r>
      <w:r w:rsidR="00573182" w:rsidRPr="00282AC9">
        <w:rPr>
          <w:rFonts w:ascii="Arial" w:eastAsia="Calibri" w:hAnsi="Arial" w:hint="cs"/>
          <w:sz w:val="27"/>
          <w:rtl/>
          <w:lang w:bidi="ar-LB"/>
        </w:rPr>
        <w:t>.</w:t>
      </w:r>
      <w:r w:rsidRPr="00282AC9">
        <w:rPr>
          <w:rFonts w:ascii="Arial" w:eastAsia="Calibri" w:hAnsi="Arial" w:hint="cs"/>
          <w:sz w:val="27"/>
          <w:rtl/>
          <w:lang w:bidi="ar-LB"/>
        </w:rPr>
        <w:t xml:space="preserve"> وفي</w:t>
      </w:r>
      <w:r w:rsidR="00573182" w:rsidRPr="00282AC9">
        <w:rPr>
          <w:rFonts w:ascii="Arial" w:eastAsia="Calibri" w:hAnsi="Arial" w:hint="cs"/>
          <w:sz w:val="27"/>
          <w:rtl/>
          <w:lang w:bidi="ar-LB"/>
        </w:rPr>
        <w:t xml:space="preserve"> </w:t>
      </w:r>
      <w:r w:rsidRPr="00282AC9">
        <w:rPr>
          <w:rFonts w:ascii="Arial" w:eastAsia="Calibri" w:hAnsi="Arial" w:hint="cs"/>
          <w:sz w:val="27"/>
          <w:rtl/>
          <w:lang w:bidi="ar-LB"/>
        </w:rPr>
        <w:t xml:space="preserve">ما يلي نستعرض آراء فقهاء الفريقين: </w:t>
      </w:r>
    </w:p>
    <w:p w:rsidR="0098597F" w:rsidRPr="00282AC9" w:rsidRDefault="0098597F" w:rsidP="009C6A22">
      <w:pPr>
        <w:pStyle w:val="31"/>
        <w:rPr>
          <w:rFonts w:eastAsia="Calibri"/>
          <w:color w:val="auto"/>
          <w:rtl/>
          <w:lang w:bidi="ar-LB"/>
        </w:rPr>
      </w:pPr>
      <w:r w:rsidRPr="00282AC9">
        <w:rPr>
          <w:rFonts w:eastAsia="Calibri" w:hint="cs"/>
          <w:color w:val="auto"/>
          <w:rtl/>
          <w:lang w:bidi="ar-LB"/>
        </w:rPr>
        <w:lastRenderedPageBreak/>
        <w:t>أو</w:t>
      </w:r>
      <w:r w:rsidR="002A096D" w:rsidRPr="00282AC9">
        <w:rPr>
          <w:rFonts w:eastAsia="Calibri" w:hint="cs"/>
          <w:color w:val="auto"/>
          <w:rtl/>
          <w:lang w:bidi="ar-LB"/>
        </w:rPr>
        <w:t>ّ</w:t>
      </w:r>
      <w:r w:rsidRPr="00282AC9">
        <w:rPr>
          <w:rFonts w:eastAsia="Calibri" w:hint="cs"/>
          <w:color w:val="auto"/>
          <w:rtl/>
          <w:lang w:bidi="ar-LB"/>
        </w:rPr>
        <w:t>لاً: فقهاء الشيعة</w:t>
      </w:r>
    </w:p>
    <w:p w:rsidR="0098597F" w:rsidRPr="00282AC9" w:rsidRDefault="0098597F" w:rsidP="00E327D7">
      <w:pPr>
        <w:rPr>
          <w:rFonts w:ascii="Arial" w:eastAsia="Calibri" w:hAnsi="Arial"/>
          <w:sz w:val="27"/>
          <w:rtl/>
          <w:lang w:bidi="ar-LB"/>
        </w:rPr>
      </w:pPr>
      <w:r w:rsidRPr="00282AC9">
        <w:rPr>
          <w:rFonts w:ascii="Arial" w:eastAsia="Calibri" w:hAnsi="Arial" w:hint="cs"/>
          <w:sz w:val="27"/>
          <w:rtl/>
          <w:lang w:bidi="ar-LB"/>
        </w:rPr>
        <w:t>ي</w:t>
      </w:r>
      <w:r w:rsidR="00573182" w:rsidRPr="00282AC9">
        <w:rPr>
          <w:rFonts w:ascii="Arial" w:eastAsia="Calibri" w:hAnsi="Arial" w:hint="cs"/>
          <w:sz w:val="27"/>
          <w:rtl/>
          <w:lang w:bidi="ar-LB"/>
        </w:rPr>
        <w:t>ُ</w:t>
      </w:r>
      <w:r w:rsidRPr="00282AC9">
        <w:rPr>
          <w:rFonts w:ascii="Arial" w:eastAsia="Calibri" w:hAnsi="Arial" w:hint="cs"/>
          <w:sz w:val="27"/>
          <w:rtl/>
          <w:lang w:bidi="ar-LB"/>
        </w:rPr>
        <w:t>لاح</w:t>
      </w:r>
      <w:r w:rsidR="00573182" w:rsidRPr="00282AC9">
        <w:rPr>
          <w:rFonts w:ascii="Arial" w:eastAsia="Calibri" w:hAnsi="Arial" w:hint="cs"/>
          <w:sz w:val="27"/>
          <w:rtl/>
          <w:lang w:bidi="ar-LB"/>
        </w:rPr>
        <w:t>َ</w:t>
      </w:r>
      <w:r w:rsidRPr="00282AC9">
        <w:rPr>
          <w:rFonts w:ascii="Arial" w:eastAsia="Calibri" w:hAnsi="Arial" w:hint="cs"/>
          <w:sz w:val="27"/>
          <w:rtl/>
          <w:lang w:bidi="ar-LB"/>
        </w:rPr>
        <w:t>ظ أنّ المتقد</w:t>
      </w:r>
      <w:r w:rsidR="00573182" w:rsidRPr="00282AC9">
        <w:rPr>
          <w:rFonts w:ascii="Arial" w:eastAsia="Calibri" w:hAnsi="Arial" w:hint="cs"/>
          <w:sz w:val="27"/>
          <w:rtl/>
          <w:lang w:bidi="ar-LB"/>
        </w:rPr>
        <w:t>ِّ</w:t>
      </w:r>
      <w:r w:rsidRPr="00282AC9">
        <w:rPr>
          <w:rFonts w:ascii="Arial" w:eastAsia="Calibri" w:hAnsi="Arial" w:hint="cs"/>
          <w:sz w:val="27"/>
          <w:rtl/>
          <w:lang w:bidi="ar-LB"/>
        </w:rPr>
        <w:t>مين من فقهاء الشيعة لم يتطر</w:t>
      </w:r>
      <w:r w:rsidR="00573182" w:rsidRPr="00282AC9">
        <w:rPr>
          <w:rFonts w:ascii="Arial" w:eastAsia="Calibri" w:hAnsi="Arial" w:hint="cs"/>
          <w:sz w:val="27"/>
          <w:rtl/>
          <w:lang w:bidi="ar-LB"/>
        </w:rPr>
        <w:t>َّ</w:t>
      </w:r>
      <w:r w:rsidRPr="00282AC9">
        <w:rPr>
          <w:rFonts w:ascii="Arial" w:eastAsia="Calibri" w:hAnsi="Arial" w:hint="cs"/>
          <w:sz w:val="27"/>
          <w:rtl/>
          <w:lang w:bidi="ar-LB"/>
        </w:rPr>
        <w:t>قوا إلى قاعدة التسامح بنفي</w:t>
      </w:r>
      <w:r w:rsidR="00573182" w:rsidRPr="00282AC9">
        <w:rPr>
          <w:rFonts w:ascii="Arial" w:eastAsia="Calibri" w:hAnsi="Arial" w:hint="cs"/>
          <w:sz w:val="27"/>
          <w:rtl/>
          <w:lang w:bidi="ar-LB"/>
        </w:rPr>
        <w:t>ٍ</w:t>
      </w:r>
      <w:r w:rsidRPr="00282AC9">
        <w:rPr>
          <w:rFonts w:ascii="Arial" w:eastAsia="Calibri" w:hAnsi="Arial" w:hint="cs"/>
          <w:sz w:val="27"/>
          <w:rtl/>
          <w:lang w:bidi="ar-LB"/>
        </w:rPr>
        <w:t xml:space="preserve"> ولا إثبات</w:t>
      </w:r>
      <w:r w:rsidR="00573182" w:rsidRPr="00282AC9">
        <w:rPr>
          <w:rFonts w:ascii="Arial" w:eastAsia="Calibri" w:hAnsi="Arial" w:hint="cs"/>
          <w:sz w:val="27"/>
          <w:rtl/>
          <w:lang w:bidi="ar-LB"/>
        </w:rPr>
        <w:t>ٍ</w:t>
      </w:r>
      <w:r w:rsidRPr="00282AC9">
        <w:rPr>
          <w:rFonts w:ascii="Arial" w:eastAsia="Calibri" w:hAnsi="Arial" w:hint="cs"/>
          <w:sz w:val="27"/>
          <w:rtl/>
          <w:lang w:bidi="ar-LB"/>
        </w:rPr>
        <w:t>، فهم ساكتون عنها، وإنما كثر الحديث عنها وتداولها والاستشهاد فيها بين المتأخ</w:t>
      </w:r>
      <w:r w:rsidR="00573182" w:rsidRPr="00282AC9">
        <w:rPr>
          <w:rFonts w:ascii="Arial" w:eastAsia="Calibri" w:hAnsi="Arial" w:hint="cs"/>
          <w:sz w:val="27"/>
          <w:rtl/>
          <w:lang w:bidi="ar-LB"/>
        </w:rPr>
        <w:t>ِّ</w:t>
      </w:r>
      <w:r w:rsidRPr="00282AC9">
        <w:rPr>
          <w:rFonts w:ascii="Arial" w:eastAsia="Calibri" w:hAnsi="Arial" w:hint="cs"/>
          <w:sz w:val="27"/>
          <w:rtl/>
          <w:lang w:bidi="ar-LB"/>
        </w:rPr>
        <w:t>رين</w:t>
      </w:r>
      <w:r w:rsidR="00573182" w:rsidRPr="00282AC9">
        <w:rPr>
          <w:rFonts w:ascii="Arial" w:eastAsia="Calibri" w:hAnsi="Arial" w:hint="cs"/>
          <w:sz w:val="27"/>
          <w:rtl/>
          <w:lang w:bidi="ar-LB"/>
        </w:rPr>
        <w:t>.</w:t>
      </w:r>
      <w:r w:rsidRPr="00282AC9">
        <w:rPr>
          <w:rFonts w:ascii="Arial" w:eastAsia="Calibri" w:hAnsi="Arial" w:hint="cs"/>
          <w:sz w:val="27"/>
          <w:rtl/>
          <w:lang w:bidi="ar-LB"/>
        </w:rPr>
        <w:t xml:space="preserve"> ونرصد لهم ـ أي للمتأخ</w:t>
      </w:r>
      <w:r w:rsidR="00573182" w:rsidRPr="00282AC9">
        <w:rPr>
          <w:rFonts w:ascii="Arial" w:eastAsia="Calibri" w:hAnsi="Arial" w:hint="cs"/>
          <w:sz w:val="27"/>
          <w:rtl/>
          <w:lang w:bidi="ar-LB"/>
        </w:rPr>
        <w:t>ِّ</w:t>
      </w:r>
      <w:r w:rsidRPr="00282AC9">
        <w:rPr>
          <w:rFonts w:ascii="Arial" w:eastAsia="Calibri" w:hAnsi="Arial" w:hint="cs"/>
          <w:sz w:val="27"/>
          <w:rtl/>
          <w:lang w:bidi="ar-LB"/>
        </w:rPr>
        <w:t>رين ـ اتجاهين أساسي</w:t>
      </w:r>
      <w:r w:rsidR="00573182" w:rsidRPr="00282AC9">
        <w:rPr>
          <w:rFonts w:ascii="Arial" w:eastAsia="Calibri" w:hAnsi="Arial" w:hint="cs"/>
          <w:sz w:val="27"/>
          <w:rtl/>
          <w:lang w:bidi="ar-LB"/>
        </w:rPr>
        <w:t>ّ</w:t>
      </w:r>
      <w:r w:rsidRPr="00282AC9">
        <w:rPr>
          <w:rFonts w:ascii="Arial" w:eastAsia="Calibri" w:hAnsi="Arial" w:hint="cs"/>
          <w:sz w:val="27"/>
          <w:rtl/>
          <w:lang w:bidi="ar-LB"/>
        </w:rPr>
        <w:t xml:space="preserve">ين في الموقف منها: </w:t>
      </w:r>
    </w:p>
    <w:p w:rsidR="0098597F" w:rsidRPr="00282AC9" w:rsidRDefault="0098597F" w:rsidP="00E327D7">
      <w:pPr>
        <w:shd w:val="clear" w:color="auto" w:fill="FFFFFF"/>
        <w:rPr>
          <w:rFonts w:ascii="Arial" w:hAnsi="Arial"/>
          <w:sz w:val="27"/>
          <w:rtl/>
        </w:rPr>
      </w:pPr>
      <w:r w:rsidRPr="00282AC9">
        <w:rPr>
          <w:rFonts w:ascii="Arial" w:eastAsia="Calibri" w:hAnsi="Arial" w:hint="cs"/>
          <w:b/>
          <w:bCs/>
          <w:sz w:val="27"/>
          <w:rtl/>
          <w:lang w:bidi="ar-LB"/>
        </w:rPr>
        <w:t xml:space="preserve">الاتجاه الأول: </w:t>
      </w:r>
      <w:r w:rsidRPr="00282AC9">
        <w:rPr>
          <w:rFonts w:ascii="Arial" w:eastAsia="Calibri" w:hAnsi="Arial" w:hint="cs"/>
          <w:sz w:val="27"/>
          <w:rtl/>
          <w:lang w:bidi="ar-LB"/>
        </w:rPr>
        <w:t>ما ذهب إليه المشهور بينهم من القبول بالقاعدة، وبدلالة الأخبار عليها، والاستناد إليها في الحكم بالاستحباب</w:t>
      </w:r>
      <w:r w:rsidR="00573182" w:rsidRPr="00282AC9">
        <w:rPr>
          <w:rFonts w:ascii="Arial" w:eastAsia="Calibri" w:hAnsi="Arial" w:hint="cs"/>
          <w:sz w:val="27"/>
          <w:rtl/>
          <w:lang w:bidi="ar-LB"/>
        </w:rPr>
        <w:t>؛</w:t>
      </w:r>
      <w:r w:rsidRPr="00282AC9">
        <w:rPr>
          <w:rFonts w:ascii="Arial" w:eastAsia="Calibri" w:hAnsi="Arial" w:hint="cs"/>
          <w:sz w:val="27"/>
          <w:rtl/>
          <w:lang w:bidi="ar-LB"/>
        </w:rPr>
        <w:t xml:space="preserve"> لمجرد وجود خبر</w:t>
      </w:r>
      <w:r w:rsidR="00573182" w:rsidRPr="00282AC9">
        <w:rPr>
          <w:rFonts w:ascii="Arial" w:eastAsia="Calibri" w:hAnsi="Arial" w:hint="cs"/>
          <w:sz w:val="27"/>
          <w:rtl/>
          <w:lang w:bidi="ar-LB"/>
        </w:rPr>
        <w:t>ٍ</w:t>
      </w:r>
      <w:r w:rsidRPr="00282AC9">
        <w:rPr>
          <w:rFonts w:ascii="Arial" w:eastAsia="Calibri" w:hAnsi="Arial" w:hint="cs"/>
          <w:sz w:val="27"/>
          <w:rtl/>
          <w:lang w:bidi="ar-LB"/>
        </w:rPr>
        <w:t xml:space="preserve"> ضعيف في المسألة.</w:t>
      </w:r>
    </w:p>
    <w:p w:rsidR="0098597F" w:rsidRPr="00282AC9" w:rsidRDefault="0098597F" w:rsidP="004F71AA">
      <w:pPr>
        <w:spacing w:line="420" w:lineRule="exact"/>
        <w:rPr>
          <w:rFonts w:eastAsia="Calibri"/>
          <w:rtl/>
        </w:rPr>
      </w:pPr>
      <w:r w:rsidRPr="00282AC9">
        <w:rPr>
          <w:rFonts w:eastAsia="Calibri" w:hint="cs"/>
          <w:rtl/>
        </w:rPr>
        <w:t>وسيأت</w:t>
      </w:r>
      <w:r w:rsidR="000B55A2" w:rsidRPr="00282AC9">
        <w:rPr>
          <w:rFonts w:eastAsia="Calibri" w:hint="cs"/>
          <w:rtl/>
        </w:rPr>
        <w:t>ي</w:t>
      </w:r>
      <w:r w:rsidRPr="00282AC9">
        <w:rPr>
          <w:rFonts w:eastAsia="Calibri" w:hint="cs"/>
          <w:rtl/>
        </w:rPr>
        <w:t xml:space="preserve"> عدم صح</w:t>
      </w:r>
      <w:r w:rsidR="00573182" w:rsidRPr="00282AC9">
        <w:rPr>
          <w:rFonts w:eastAsia="Calibri" w:hint="cs"/>
          <w:rtl/>
        </w:rPr>
        <w:t>ّ</w:t>
      </w:r>
      <w:r w:rsidRPr="00282AC9">
        <w:rPr>
          <w:rFonts w:eastAsia="Calibri" w:hint="cs"/>
          <w:rtl/>
        </w:rPr>
        <w:t>ة هذا الاتجاه.</w:t>
      </w:r>
    </w:p>
    <w:p w:rsidR="0098597F" w:rsidRPr="00282AC9" w:rsidRDefault="0098597F" w:rsidP="00E327D7">
      <w:pPr>
        <w:rPr>
          <w:rtl/>
        </w:rPr>
      </w:pPr>
      <w:r w:rsidRPr="00282AC9">
        <w:rPr>
          <w:rFonts w:eastAsia="Calibri" w:hint="cs"/>
          <w:rtl/>
        </w:rPr>
        <w:t>الاتجاه الثاني: ما ذهب إليه جمع</w:t>
      </w:r>
      <w:r w:rsidR="00573182" w:rsidRPr="00282AC9">
        <w:rPr>
          <w:rFonts w:eastAsia="Calibri" w:hint="cs"/>
          <w:rtl/>
        </w:rPr>
        <w:t>ٌ</w:t>
      </w:r>
      <w:r w:rsidRPr="00282AC9">
        <w:rPr>
          <w:rFonts w:eastAsia="Calibri" w:hint="cs"/>
          <w:rtl/>
        </w:rPr>
        <w:t xml:space="preserve"> من الفقهاء</w:t>
      </w:r>
      <w:r w:rsidR="00573182" w:rsidRPr="00282AC9">
        <w:rPr>
          <w:rFonts w:eastAsia="Calibri" w:hint="cs"/>
          <w:rtl/>
        </w:rPr>
        <w:t>،</w:t>
      </w:r>
      <w:r w:rsidRPr="00282AC9">
        <w:rPr>
          <w:rFonts w:eastAsia="Calibri" w:hint="cs"/>
          <w:rtl/>
        </w:rPr>
        <w:t xml:space="preserve"> من رفض القاعدة</w:t>
      </w:r>
      <w:r w:rsidR="00573182" w:rsidRPr="00282AC9">
        <w:rPr>
          <w:rFonts w:eastAsia="Calibri" w:hint="cs"/>
          <w:rtl/>
        </w:rPr>
        <w:t>،</w:t>
      </w:r>
      <w:r w:rsidRPr="00282AC9">
        <w:rPr>
          <w:rFonts w:eastAsia="Calibri" w:hint="cs"/>
          <w:rtl/>
        </w:rPr>
        <w:t xml:space="preserve"> وعدم القبول بدلالة أخبار </w:t>
      </w:r>
      <w:r w:rsidRPr="00282AC9">
        <w:rPr>
          <w:rFonts w:hint="eastAsia"/>
          <w:rtl/>
        </w:rPr>
        <w:t>«</w:t>
      </w:r>
      <w:r w:rsidRPr="00282AC9">
        <w:rPr>
          <w:rFonts w:eastAsia="Calibri" w:hint="cs"/>
          <w:rtl/>
        </w:rPr>
        <w:t>م</w:t>
      </w:r>
      <w:r w:rsidR="00573182" w:rsidRPr="00282AC9">
        <w:rPr>
          <w:rFonts w:eastAsia="Calibri" w:hint="cs"/>
          <w:rtl/>
        </w:rPr>
        <w:t>َ</w:t>
      </w:r>
      <w:r w:rsidRPr="00282AC9">
        <w:rPr>
          <w:rFonts w:eastAsia="Calibri" w:hint="cs"/>
          <w:rtl/>
        </w:rPr>
        <w:t>ن</w:t>
      </w:r>
      <w:r w:rsidR="00573182" w:rsidRPr="00282AC9">
        <w:rPr>
          <w:rFonts w:eastAsia="Calibri" w:hint="cs"/>
          <w:rtl/>
        </w:rPr>
        <w:t>ْ</w:t>
      </w:r>
      <w:r w:rsidRPr="00282AC9">
        <w:rPr>
          <w:rFonts w:eastAsia="Calibri" w:hint="cs"/>
          <w:rtl/>
        </w:rPr>
        <w:t xml:space="preserve"> بلغ</w:t>
      </w:r>
      <w:r w:rsidRPr="00282AC9">
        <w:rPr>
          <w:rFonts w:hint="eastAsia"/>
          <w:rtl/>
        </w:rPr>
        <w:t>»</w:t>
      </w:r>
      <w:r w:rsidRPr="00282AC9">
        <w:rPr>
          <w:rFonts w:eastAsia="Calibri" w:hint="cs"/>
          <w:rtl/>
        </w:rPr>
        <w:t xml:space="preserve"> عليها. ومن هؤلاء</w:t>
      </w:r>
      <w:r w:rsidR="00573182" w:rsidRPr="00282AC9">
        <w:rPr>
          <w:rFonts w:eastAsia="Calibri" w:hint="cs"/>
          <w:rtl/>
        </w:rPr>
        <w:t>:</w:t>
      </w:r>
      <w:r w:rsidRPr="00282AC9">
        <w:rPr>
          <w:rFonts w:eastAsia="Calibri" w:hint="cs"/>
          <w:rtl/>
        </w:rPr>
        <w:t xml:space="preserve"> </w:t>
      </w:r>
      <w:r w:rsidRPr="00282AC9">
        <w:rPr>
          <w:rFonts w:eastAsia="Calibri"/>
          <w:rtl/>
        </w:rPr>
        <w:t xml:space="preserve">السيد محمد </w:t>
      </w:r>
      <w:r w:rsidRPr="00282AC9">
        <w:rPr>
          <w:rFonts w:eastAsia="Calibri" w:hint="cs"/>
          <w:rtl/>
        </w:rPr>
        <w:t xml:space="preserve">العاملي </w:t>
      </w:r>
      <w:r w:rsidRPr="00282AC9">
        <w:rPr>
          <w:rFonts w:eastAsia="Calibri"/>
          <w:rtl/>
        </w:rPr>
        <w:t>في المدارك</w:t>
      </w:r>
      <w:r w:rsidRPr="00282AC9">
        <w:rPr>
          <w:rFonts w:eastAsia="Calibri" w:hint="cs"/>
          <w:rtl/>
        </w:rPr>
        <w:t xml:space="preserve">، </w:t>
      </w:r>
      <w:r w:rsidR="00573182" w:rsidRPr="00282AC9">
        <w:rPr>
          <w:rFonts w:eastAsia="Calibri" w:hint="cs"/>
          <w:rtl/>
        </w:rPr>
        <w:t xml:space="preserve">حيث </w:t>
      </w:r>
      <w:r w:rsidRPr="00282AC9">
        <w:rPr>
          <w:rFonts w:eastAsia="Calibri" w:hint="cs"/>
          <w:rtl/>
        </w:rPr>
        <w:t>قال</w:t>
      </w:r>
      <w:r w:rsidRPr="00282AC9">
        <w:rPr>
          <w:rFonts w:eastAsia="Calibri"/>
          <w:rtl/>
        </w:rPr>
        <w:t xml:space="preserve">: </w:t>
      </w:r>
      <w:r w:rsidRPr="00282AC9">
        <w:rPr>
          <w:rFonts w:hint="eastAsia"/>
          <w:sz w:val="24"/>
          <w:szCs w:val="24"/>
          <w:rtl/>
        </w:rPr>
        <w:t>«</w:t>
      </w:r>
      <w:r w:rsidRPr="00282AC9">
        <w:rPr>
          <w:rFonts w:eastAsia="Calibri"/>
          <w:rtl/>
        </w:rPr>
        <w:t>وما قيل من أن</w:t>
      </w:r>
      <w:r w:rsidRPr="00282AC9">
        <w:rPr>
          <w:rFonts w:eastAsia="Calibri" w:hint="cs"/>
          <w:rtl/>
        </w:rPr>
        <w:t>ّ</w:t>
      </w:r>
      <w:r w:rsidRPr="00282AC9">
        <w:rPr>
          <w:rFonts w:eastAsia="Calibri"/>
          <w:rtl/>
        </w:rPr>
        <w:t xml:space="preserve"> أدلة الس</w:t>
      </w:r>
      <w:r w:rsidR="00573182" w:rsidRPr="00282AC9">
        <w:rPr>
          <w:rFonts w:eastAsia="Calibri" w:hint="cs"/>
          <w:rtl/>
        </w:rPr>
        <w:t>ُّ</w:t>
      </w:r>
      <w:r w:rsidRPr="00282AC9">
        <w:rPr>
          <w:rFonts w:eastAsia="Calibri"/>
          <w:rtl/>
        </w:rPr>
        <w:t>ن</w:t>
      </w:r>
      <w:r w:rsidR="00573182" w:rsidRPr="00282AC9">
        <w:rPr>
          <w:rFonts w:eastAsia="Calibri" w:hint="cs"/>
          <w:rtl/>
        </w:rPr>
        <w:t>َ</w:t>
      </w:r>
      <w:r w:rsidRPr="00282AC9">
        <w:rPr>
          <w:rFonts w:eastAsia="Calibri" w:hint="cs"/>
          <w:rtl/>
        </w:rPr>
        <w:t>ن</w:t>
      </w:r>
      <w:r w:rsidRPr="00282AC9">
        <w:rPr>
          <w:rFonts w:eastAsia="Calibri"/>
          <w:rtl/>
        </w:rPr>
        <w:t xml:space="preserve"> ي</w:t>
      </w:r>
      <w:r w:rsidR="00573182" w:rsidRPr="00282AC9">
        <w:rPr>
          <w:rFonts w:eastAsia="Calibri" w:hint="cs"/>
          <w:rtl/>
        </w:rPr>
        <w:t>ُ</w:t>
      </w:r>
      <w:r w:rsidRPr="00282AC9">
        <w:rPr>
          <w:rFonts w:eastAsia="Calibri"/>
          <w:rtl/>
        </w:rPr>
        <w:t>تسامح فيها بما لا ي</w:t>
      </w:r>
      <w:r w:rsidR="00573182" w:rsidRPr="00282AC9">
        <w:rPr>
          <w:rFonts w:eastAsia="Calibri" w:hint="cs"/>
          <w:rtl/>
        </w:rPr>
        <w:t>ُ</w:t>
      </w:r>
      <w:r w:rsidRPr="00282AC9">
        <w:rPr>
          <w:rFonts w:eastAsia="Calibri"/>
          <w:rtl/>
        </w:rPr>
        <w:t>تسامح في غيرها فمنظور</w:t>
      </w:r>
      <w:r w:rsidR="00573182" w:rsidRPr="00282AC9">
        <w:rPr>
          <w:rFonts w:eastAsia="Calibri" w:hint="cs"/>
          <w:rtl/>
        </w:rPr>
        <w:t>ٌ</w:t>
      </w:r>
      <w:r w:rsidRPr="00282AC9">
        <w:rPr>
          <w:rFonts w:eastAsia="Calibri"/>
          <w:rtl/>
        </w:rPr>
        <w:t xml:space="preserve"> فيه</w:t>
      </w:r>
      <w:r w:rsidR="00573182" w:rsidRPr="00282AC9">
        <w:rPr>
          <w:rFonts w:eastAsia="Calibri" w:hint="cs"/>
          <w:rtl/>
        </w:rPr>
        <w:t>؛</w:t>
      </w:r>
      <w:r w:rsidRPr="00282AC9">
        <w:rPr>
          <w:rFonts w:eastAsia="Calibri"/>
          <w:rtl/>
        </w:rPr>
        <w:t xml:space="preserve"> لأن</w:t>
      </w:r>
      <w:r w:rsidRPr="00282AC9">
        <w:rPr>
          <w:rFonts w:eastAsia="Calibri" w:hint="cs"/>
          <w:rtl/>
        </w:rPr>
        <w:t>ّ</w:t>
      </w:r>
      <w:r w:rsidRPr="00282AC9">
        <w:rPr>
          <w:rFonts w:eastAsia="Calibri"/>
          <w:rtl/>
        </w:rPr>
        <w:t xml:space="preserve"> الاستحباب حكم</w:t>
      </w:r>
      <w:r w:rsidR="00573182" w:rsidRPr="00282AC9">
        <w:rPr>
          <w:rFonts w:eastAsia="Calibri" w:hint="cs"/>
          <w:rtl/>
        </w:rPr>
        <w:t xml:space="preserve">ٌ </w:t>
      </w:r>
      <w:r w:rsidRPr="00282AC9">
        <w:rPr>
          <w:rFonts w:eastAsia="Calibri"/>
          <w:rtl/>
        </w:rPr>
        <w:t>شرعي</w:t>
      </w:r>
      <w:r w:rsidRPr="00282AC9">
        <w:rPr>
          <w:rFonts w:eastAsia="Calibri" w:hint="cs"/>
          <w:rtl/>
        </w:rPr>
        <w:t>،</w:t>
      </w:r>
      <w:r w:rsidRPr="00282AC9">
        <w:rPr>
          <w:rFonts w:eastAsia="Calibri"/>
          <w:rtl/>
        </w:rPr>
        <w:t xml:space="preserve"> فيتوق</w:t>
      </w:r>
      <w:r w:rsidR="00573182" w:rsidRPr="00282AC9">
        <w:rPr>
          <w:rFonts w:eastAsia="Calibri" w:hint="cs"/>
          <w:rtl/>
        </w:rPr>
        <w:t>َّ</w:t>
      </w:r>
      <w:r w:rsidRPr="00282AC9">
        <w:rPr>
          <w:rFonts w:eastAsia="Calibri"/>
          <w:rtl/>
        </w:rPr>
        <w:t>ف على الدليل الشرعي</w:t>
      </w:r>
      <w:r w:rsidR="00573182" w:rsidRPr="00282AC9">
        <w:rPr>
          <w:rFonts w:eastAsia="Calibri" w:hint="cs"/>
          <w:rtl/>
        </w:rPr>
        <w:t>،</w:t>
      </w:r>
      <w:r w:rsidRPr="00282AC9">
        <w:rPr>
          <w:rFonts w:eastAsia="Calibri"/>
          <w:rtl/>
        </w:rPr>
        <w:t xml:space="preserve"> كسائر الأحكام</w:t>
      </w:r>
      <w:r w:rsidRPr="00282AC9">
        <w:rPr>
          <w:rFonts w:hint="eastAsia"/>
          <w:sz w:val="24"/>
          <w:szCs w:val="24"/>
          <w:rtl/>
        </w:rPr>
        <w:t>»</w:t>
      </w:r>
      <w:r w:rsidRPr="00282AC9">
        <w:rPr>
          <w:rFonts w:eastAsia="Calibri"/>
          <w:vertAlign w:val="superscript"/>
          <w:rtl/>
        </w:rPr>
        <w:t>(</w:t>
      </w:r>
      <w:r w:rsidRPr="00282AC9">
        <w:rPr>
          <w:rFonts w:eastAsia="Calibri"/>
          <w:vertAlign w:val="superscript"/>
          <w:rtl/>
        </w:rPr>
        <w:endnoteReference w:id="131"/>
      </w:r>
      <w:r w:rsidRPr="00282AC9">
        <w:rPr>
          <w:rFonts w:eastAsia="Calibri"/>
          <w:vertAlign w:val="superscript"/>
          <w:rtl/>
        </w:rPr>
        <w:t>)</w:t>
      </w:r>
      <w:r w:rsidRPr="00282AC9">
        <w:rPr>
          <w:rFonts w:eastAsia="Calibri"/>
          <w:rtl/>
        </w:rPr>
        <w:t>.</w:t>
      </w:r>
      <w:r w:rsidRPr="00282AC9">
        <w:rPr>
          <w:rFonts w:hint="cs"/>
          <w:rtl/>
        </w:rPr>
        <w:t xml:space="preserve"> </w:t>
      </w:r>
    </w:p>
    <w:p w:rsidR="0098597F" w:rsidRPr="00282AC9" w:rsidRDefault="0098597F" w:rsidP="00E327D7">
      <w:pPr>
        <w:rPr>
          <w:rtl/>
        </w:rPr>
      </w:pPr>
      <w:r w:rsidRPr="00282AC9">
        <w:rPr>
          <w:rFonts w:hint="cs"/>
          <w:rtl/>
        </w:rPr>
        <w:t xml:space="preserve">وقال الشيخ يوسف البحراني: </w:t>
      </w:r>
      <w:r w:rsidRPr="00282AC9">
        <w:rPr>
          <w:rFonts w:hint="eastAsia"/>
          <w:sz w:val="24"/>
          <w:szCs w:val="24"/>
          <w:rtl/>
        </w:rPr>
        <w:t>«</w:t>
      </w:r>
      <w:r w:rsidRPr="00282AC9">
        <w:rPr>
          <w:rtl/>
        </w:rPr>
        <w:t>والقول بأن أدل</w:t>
      </w:r>
      <w:r w:rsidR="00573182" w:rsidRPr="00282AC9">
        <w:rPr>
          <w:rFonts w:hint="cs"/>
          <w:rtl/>
        </w:rPr>
        <w:t>ّ</w:t>
      </w:r>
      <w:r w:rsidRPr="00282AC9">
        <w:rPr>
          <w:rtl/>
        </w:rPr>
        <w:t>ة الاستحباب مما ي</w:t>
      </w:r>
      <w:r w:rsidR="00573182" w:rsidRPr="00282AC9">
        <w:rPr>
          <w:rFonts w:hint="cs"/>
          <w:rtl/>
        </w:rPr>
        <w:t>ُ</w:t>
      </w:r>
      <w:r w:rsidRPr="00282AC9">
        <w:rPr>
          <w:rtl/>
        </w:rPr>
        <w:t>تسامح فيها ضعيف</w:t>
      </w:r>
      <w:r w:rsidR="00573182" w:rsidRPr="00282AC9">
        <w:rPr>
          <w:rFonts w:hint="cs"/>
          <w:rtl/>
        </w:rPr>
        <w:t>ٌ</w:t>
      </w:r>
      <w:r w:rsidRPr="00282AC9">
        <w:rPr>
          <w:rFonts w:hint="eastAsia"/>
          <w:sz w:val="24"/>
          <w:szCs w:val="24"/>
          <w:rtl/>
        </w:rPr>
        <w:t>»</w:t>
      </w:r>
      <w:r w:rsidRPr="00282AC9">
        <w:rPr>
          <w:vertAlign w:val="superscript"/>
          <w:rtl/>
        </w:rPr>
        <w:t>(</w:t>
      </w:r>
      <w:r w:rsidRPr="00282AC9">
        <w:rPr>
          <w:vertAlign w:val="superscript"/>
          <w:rtl/>
        </w:rPr>
        <w:endnoteReference w:id="132"/>
      </w:r>
      <w:r w:rsidRPr="00282AC9">
        <w:rPr>
          <w:vertAlign w:val="superscript"/>
          <w:rtl/>
        </w:rPr>
        <w:t>)</w:t>
      </w:r>
      <w:r w:rsidRPr="00282AC9">
        <w:rPr>
          <w:rFonts w:hint="cs"/>
          <w:rtl/>
        </w:rPr>
        <w:t>.</w:t>
      </w:r>
    </w:p>
    <w:p w:rsidR="0098597F" w:rsidRPr="00282AC9" w:rsidRDefault="0098597F" w:rsidP="00E327D7">
      <w:pPr>
        <w:rPr>
          <w:rtl/>
        </w:rPr>
      </w:pPr>
      <w:r w:rsidRPr="00282AC9">
        <w:rPr>
          <w:rFonts w:hint="cs"/>
          <w:rtl/>
        </w:rPr>
        <w:t xml:space="preserve">وقال السيد محسن الحكيم: </w:t>
      </w:r>
      <w:r w:rsidRPr="00282AC9">
        <w:rPr>
          <w:rFonts w:hint="eastAsia"/>
          <w:rtl/>
        </w:rPr>
        <w:t>«</w:t>
      </w:r>
      <w:r w:rsidRPr="00282AC9">
        <w:rPr>
          <w:rtl/>
        </w:rPr>
        <w:t>وأما قاعدة (التسامح في أدلة</w:t>
      </w:r>
      <w:r w:rsidRPr="00282AC9">
        <w:rPr>
          <w:rFonts w:hint="cs"/>
          <w:rtl/>
        </w:rPr>
        <w:t xml:space="preserve"> </w:t>
      </w:r>
      <w:r w:rsidRPr="00282AC9">
        <w:rPr>
          <w:rtl/>
        </w:rPr>
        <w:t>الس</w:t>
      </w:r>
      <w:r w:rsidR="00573182" w:rsidRPr="00282AC9">
        <w:rPr>
          <w:rFonts w:hint="cs"/>
          <w:rtl/>
        </w:rPr>
        <w:t>ُّ</w:t>
      </w:r>
      <w:r w:rsidRPr="00282AC9">
        <w:rPr>
          <w:rtl/>
        </w:rPr>
        <w:t>ن</w:t>
      </w:r>
      <w:r w:rsidR="00573182" w:rsidRPr="00282AC9">
        <w:rPr>
          <w:rFonts w:hint="cs"/>
          <w:rtl/>
        </w:rPr>
        <w:t>َ</w:t>
      </w:r>
      <w:r w:rsidRPr="00282AC9">
        <w:rPr>
          <w:rtl/>
        </w:rPr>
        <w:t>ن) فغير</w:t>
      </w:r>
      <w:r w:rsidR="00573182" w:rsidRPr="00282AC9">
        <w:rPr>
          <w:rFonts w:hint="cs"/>
          <w:rtl/>
        </w:rPr>
        <w:t>ُ</w:t>
      </w:r>
      <w:r w:rsidRPr="00282AC9">
        <w:rPr>
          <w:rtl/>
        </w:rPr>
        <w:t xml:space="preserve"> ثابتة</w:t>
      </w:r>
      <w:r w:rsidR="00573182" w:rsidRPr="00282AC9">
        <w:rPr>
          <w:rFonts w:hint="cs"/>
          <w:rtl/>
        </w:rPr>
        <w:t>ٍ</w:t>
      </w:r>
      <w:r w:rsidRPr="00282AC9">
        <w:rPr>
          <w:rtl/>
        </w:rPr>
        <w:t>. بل الظاهر من أخبارها أن ترت</w:t>
      </w:r>
      <w:r w:rsidR="00573182" w:rsidRPr="00282AC9">
        <w:rPr>
          <w:rFonts w:hint="cs"/>
          <w:rtl/>
        </w:rPr>
        <w:t>ُّ</w:t>
      </w:r>
      <w:r w:rsidRPr="00282AC9">
        <w:rPr>
          <w:rtl/>
        </w:rPr>
        <w:t>ب الثواب على مجر</w:t>
      </w:r>
      <w:r w:rsidR="00573182" w:rsidRPr="00282AC9">
        <w:rPr>
          <w:rFonts w:hint="cs"/>
          <w:rtl/>
        </w:rPr>
        <w:t>ّ</w:t>
      </w:r>
      <w:r w:rsidRPr="00282AC9">
        <w:rPr>
          <w:rtl/>
        </w:rPr>
        <w:t>د</w:t>
      </w:r>
      <w:r w:rsidRPr="00282AC9">
        <w:rPr>
          <w:rFonts w:hint="cs"/>
          <w:rtl/>
        </w:rPr>
        <w:t xml:space="preserve"> </w:t>
      </w:r>
      <w:r w:rsidRPr="00282AC9">
        <w:rPr>
          <w:rtl/>
        </w:rPr>
        <w:t>الانقياد، فلا طريق ل</w:t>
      </w:r>
      <w:r w:rsidR="00573182" w:rsidRPr="00282AC9">
        <w:rPr>
          <w:rFonts w:hint="cs"/>
          <w:rtl/>
        </w:rPr>
        <w:t>إ</w:t>
      </w:r>
      <w:r w:rsidRPr="00282AC9">
        <w:rPr>
          <w:rtl/>
        </w:rPr>
        <w:t>ثبات المشروعية</w:t>
      </w:r>
      <w:r w:rsidR="00CB433F" w:rsidRPr="00282AC9">
        <w:rPr>
          <w:rFonts w:hint="eastAsia"/>
          <w:rtl/>
        </w:rPr>
        <w:t>»</w:t>
      </w:r>
      <w:r w:rsidRPr="00897FAF">
        <w:rPr>
          <w:vertAlign w:val="superscript"/>
          <w:rtl/>
        </w:rPr>
        <w:t>(</w:t>
      </w:r>
      <w:r w:rsidRPr="00897FAF">
        <w:rPr>
          <w:vertAlign w:val="superscript"/>
          <w:rtl/>
        </w:rPr>
        <w:endnoteReference w:id="133"/>
      </w:r>
      <w:r w:rsidRPr="00897FAF">
        <w:rPr>
          <w:vertAlign w:val="superscript"/>
          <w:rtl/>
        </w:rPr>
        <w:t>)</w:t>
      </w:r>
      <w:r w:rsidRPr="00282AC9">
        <w:rPr>
          <w:rFonts w:hint="cs"/>
          <w:rtl/>
        </w:rPr>
        <w:t>.</w:t>
      </w:r>
    </w:p>
    <w:p w:rsidR="0098597F" w:rsidRPr="00282AC9" w:rsidRDefault="0098597F" w:rsidP="00E327D7">
      <w:pPr>
        <w:rPr>
          <w:rFonts w:ascii="Arial" w:hAnsi="Arial"/>
          <w:sz w:val="27"/>
          <w:rtl/>
        </w:rPr>
      </w:pPr>
      <w:r w:rsidRPr="00282AC9">
        <w:rPr>
          <w:rFonts w:ascii="Arial" w:hAnsi="Arial" w:hint="cs"/>
          <w:sz w:val="27"/>
          <w:rtl/>
        </w:rPr>
        <w:t>ومن المتأخ</w:t>
      </w:r>
      <w:r w:rsidR="00573182" w:rsidRPr="00282AC9">
        <w:rPr>
          <w:rFonts w:ascii="Arial" w:hAnsi="Arial" w:hint="cs"/>
          <w:sz w:val="27"/>
          <w:rtl/>
        </w:rPr>
        <w:t>ِّ</w:t>
      </w:r>
      <w:r w:rsidRPr="00282AC9">
        <w:rPr>
          <w:rFonts w:ascii="Arial" w:hAnsi="Arial" w:hint="cs"/>
          <w:sz w:val="27"/>
          <w:rtl/>
        </w:rPr>
        <w:t>رين الذين ذهبوا إلى رفض هذه القاعدة</w:t>
      </w:r>
      <w:r w:rsidR="00573182" w:rsidRPr="00282AC9">
        <w:rPr>
          <w:rFonts w:ascii="Arial" w:hAnsi="Arial" w:hint="cs"/>
          <w:sz w:val="27"/>
          <w:rtl/>
        </w:rPr>
        <w:t>:</w:t>
      </w:r>
      <w:r w:rsidRPr="00282AC9">
        <w:rPr>
          <w:rFonts w:ascii="Arial" w:hAnsi="Arial" w:hint="cs"/>
          <w:sz w:val="27"/>
          <w:rtl/>
        </w:rPr>
        <w:t xml:space="preserve"> السيد الخوئي</w:t>
      </w:r>
      <w:r w:rsidR="00573182" w:rsidRPr="00282AC9">
        <w:rPr>
          <w:rFonts w:ascii="Arial" w:hAnsi="Arial" w:hint="cs"/>
          <w:sz w:val="27"/>
          <w:rtl/>
        </w:rPr>
        <w:t>ّ</w:t>
      </w:r>
      <w:r w:rsidRPr="00282AC9">
        <w:rPr>
          <w:rFonts w:ascii="Arial" w:hAnsi="Arial" w:hint="cs"/>
          <w:sz w:val="27"/>
          <w:rtl/>
        </w:rPr>
        <w:t xml:space="preserve">، فهو يرى </w:t>
      </w:r>
      <w:r w:rsidRPr="00282AC9">
        <w:rPr>
          <w:rFonts w:hint="eastAsia"/>
          <w:sz w:val="24"/>
          <w:szCs w:val="24"/>
          <w:rtl/>
        </w:rPr>
        <w:t>«</w:t>
      </w:r>
      <w:r w:rsidRPr="00282AC9">
        <w:rPr>
          <w:rFonts w:ascii="Arial" w:hAnsi="Arial" w:hint="cs"/>
          <w:sz w:val="27"/>
          <w:rtl/>
        </w:rPr>
        <w:t>أ</w:t>
      </w:r>
      <w:r w:rsidRPr="00282AC9">
        <w:rPr>
          <w:rFonts w:ascii="Arial" w:hAnsi="Arial"/>
          <w:sz w:val="27"/>
          <w:rtl/>
        </w:rPr>
        <w:t>ن قاعدة التسامح في أدلة الس</w:t>
      </w:r>
      <w:r w:rsidR="00573182" w:rsidRPr="00282AC9">
        <w:rPr>
          <w:rFonts w:ascii="Arial" w:hAnsi="Arial" w:hint="cs"/>
          <w:sz w:val="27"/>
          <w:rtl/>
        </w:rPr>
        <w:t>ُّ</w:t>
      </w:r>
      <w:r w:rsidRPr="00282AC9">
        <w:rPr>
          <w:rFonts w:ascii="Arial" w:hAnsi="Arial"/>
          <w:sz w:val="27"/>
          <w:rtl/>
        </w:rPr>
        <w:t>ن</w:t>
      </w:r>
      <w:r w:rsidR="00573182" w:rsidRPr="00282AC9">
        <w:rPr>
          <w:rFonts w:ascii="Arial" w:hAnsi="Arial" w:hint="cs"/>
          <w:sz w:val="27"/>
          <w:rtl/>
        </w:rPr>
        <w:t>َ</w:t>
      </w:r>
      <w:r w:rsidRPr="00282AC9">
        <w:rPr>
          <w:rFonts w:ascii="Arial" w:hAnsi="Arial"/>
          <w:sz w:val="27"/>
          <w:rtl/>
        </w:rPr>
        <w:t>ن مم</w:t>
      </w:r>
      <w:r w:rsidR="00573182" w:rsidRPr="00282AC9">
        <w:rPr>
          <w:rFonts w:ascii="Arial" w:hAnsi="Arial" w:hint="cs"/>
          <w:sz w:val="27"/>
          <w:rtl/>
        </w:rPr>
        <w:t>ّ</w:t>
      </w:r>
      <w:r w:rsidRPr="00282AC9">
        <w:rPr>
          <w:rFonts w:ascii="Arial" w:hAnsi="Arial"/>
          <w:sz w:val="27"/>
          <w:rtl/>
        </w:rPr>
        <w:t>ا لا أساس لها</w:t>
      </w:r>
      <w:r w:rsidRPr="00282AC9">
        <w:rPr>
          <w:rFonts w:hint="eastAsia"/>
          <w:sz w:val="24"/>
          <w:szCs w:val="24"/>
          <w:rtl/>
        </w:rPr>
        <w:t>»</w:t>
      </w:r>
      <w:r w:rsidRPr="00282AC9">
        <w:rPr>
          <w:rFonts w:ascii="Arial" w:hAnsi="Arial"/>
          <w:sz w:val="27"/>
          <w:vertAlign w:val="superscript"/>
          <w:rtl/>
        </w:rPr>
        <w:t>(</w:t>
      </w:r>
      <w:r w:rsidRPr="00282AC9">
        <w:rPr>
          <w:rFonts w:ascii="Arial" w:hAnsi="Arial"/>
          <w:sz w:val="27"/>
          <w:vertAlign w:val="superscript"/>
          <w:rtl/>
        </w:rPr>
        <w:endnoteReference w:id="134"/>
      </w:r>
      <w:r w:rsidRPr="00282AC9">
        <w:rPr>
          <w:rFonts w:ascii="Arial" w:hAnsi="Arial"/>
          <w:sz w:val="27"/>
          <w:vertAlign w:val="superscript"/>
          <w:rtl/>
        </w:rPr>
        <w:t>)</w:t>
      </w:r>
      <w:r w:rsidRPr="00282AC9">
        <w:rPr>
          <w:rFonts w:ascii="Arial" w:hAnsi="Arial" w:hint="cs"/>
          <w:sz w:val="27"/>
          <w:rtl/>
        </w:rPr>
        <w:t>.</w:t>
      </w:r>
    </w:p>
    <w:p w:rsidR="0098597F" w:rsidRPr="00282AC9" w:rsidRDefault="0098597F" w:rsidP="00E327D7">
      <w:pPr>
        <w:rPr>
          <w:rFonts w:ascii="Arial" w:eastAsia="Calibri" w:hAnsi="Arial"/>
          <w:sz w:val="27"/>
          <w:rtl/>
          <w:lang w:bidi="ar-LB"/>
        </w:rPr>
      </w:pPr>
      <w:r w:rsidRPr="00282AC9">
        <w:rPr>
          <w:rFonts w:ascii="Arial" w:eastAsia="Calibri" w:hAnsi="Arial" w:hint="cs"/>
          <w:sz w:val="27"/>
          <w:rtl/>
          <w:lang w:bidi="ar-LB"/>
        </w:rPr>
        <w:t>و</w:t>
      </w:r>
      <w:r w:rsidRPr="00282AC9">
        <w:rPr>
          <w:rFonts w:ascii="Arial" w:eastAsia="Calibri" w:hAnsi="Arial"/>
          <w:sz w:val="27"/>
          <w:rtl/>
          <w:lang w:bidi="ar-LB"/>
        </w:rPr>
        <w:t>ق</w:t>
      </w:r>
      <w:r w:rsidRPr="00282AC9">
        <w:rPr>
          <w:rFonts w:ascii="Arial" w:eastAsia="Calibri" w:hAnsi="Arial" w:hint="cs"/>
          <w:sz w:val="27"/>
          <w:rtl/>
          <w:lang w:bidi="ar-LB"/>
        </w:rPr>
        <w:t xml:space="preserve">د أشار </w:t>
      </w:r>
      <w:r w:rsidRPr="00282AC9">
        <w:rPr>
          <w:rFonts w:ascii="Arial" w:eastAsia="Calibri" w:hAnsi="Arial"/>
          <w:sz w:val="27"/>
          <w:rtl/>
          <w:lang w:bidi="ar-LB"/>
        </w:rPr>
        <w:t>السيد المجاهد</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في مفاتيح الأصول</w:t>
      </w:r>
      <w:r w:rsidR="004E698F" w:rsidRPr="00282AC9">
        <w:rPr>
          <w:rFonts w:ascii="Arial" w:eastAsia="Calibri" w:hAnsi="Arial" w:hint="cs"/>
          <w:sz w:val="27"/>
          <w:rtl/>
          <w:lang w:bidi="ar-LB"/>
        </w:rPr>
        <w:t>،</w:t>
      </w:r>
      <w:r w:rsidRPr="00282AC9">
        <w:rPr>
          <w:rFonts w:ascii="Arial" w:eastAsia="Calibri" w:hAnsi="Arial" w:hint="cs"/>
          <w:sz w:val="27"/>
          <w:rtl/>
          <w:lang w:bidi="ar-LB"/>
        </w:rPr>
        <w:t xml:space="preserve"> إلى هذين الاتجاهين، </w:t>
      </w:r>
      <w:r w:rsidR="004E698F" w:rsidRPr="00282AC9">
        <w:rPr>
          <w:rFonts w:ascii="Arial" w:eastAsia="Calibri" w:hAnsi="Arial" w:hint="cs"/>
          <w:sz w:val="27"/>
          <w:rtl/>
          <w:lang w:bidi="ar-LB"/>
        </w:rPr>
        <w:t>ف</w:t>
      </w:r>
      <w:r w:rsidRPr="00282AC9">
        <w:rPr>
          <w:rFonts w:ascii="Arial" w:eastAsia="Calibri" w:hAnsi="Arial" w:hint="cs"/>
          <w:sz w:val="27"/>
          <w:rtl/>
          <w:lang w:bidi="ar-LB"/>
        </w:rPr>
        <w:t>قال</w:t>
      </w:r>
      <w:r w:rsidRPr="00282AC9">
        <w:rPr>
          <w:rFonts w:ascii="Arial" w:eastAsia="Calibri" w:hAnsi="Arial"/>
          <w:sz w:val="27"/>
          <w:rtl/>
          <w:lang w:bidi="ar-LB"/>
        </w:rPr>
        <w:t xml:space="preserve">: </w:t>
      </w:r>
      <w:r w:rsidRPr="00282AC9">
        <w:rPr>
          <w:rFonts w:hint="eastAsia"/>
          <w:sz w:val="24"/>
          <w:szCs w:val="24"/>
          <w:rtl/>
          <w:lang w:bidi="ar-LB"/>
        </w:rPr>
        <w:t>«</w:t>
      </w:r>
      <w:r w:rsidRPr="00282AC9">
        <w:rPr>
          <w:rFonts w:ascii="Arial" w:eastAsia="Calibri" w:hAnsi="Arial"/>
          <w:sz w:val="27"/>
          <w:rtl/>
          <w:lang w:bidi="ar-LB"/>
        </w:rPr>
        <w:t>اختلف الأصحاب في ذلك على قولين</w:t>
      </w:r>
      <w:r w:rsidRPr="00282AC9">
        <w:rPr>
          <w:rFonts w:ascii="Arial" w:eastAsia="Calibri" w:hAnsi="Arial" w:hint="cs"/>
          <w:sz w:val="27"/>
          <w:rtl/>
          <w:lang w:bidi="ar-LB"/>
        </w:rPr>
        <w:t xml:space="preserve">: </w:t>
      </w:r>
      <w:r w:rsidRPr="00282AC9">
        <w:rPr>
          <w:rFonts w:ascii="Arial" w:eastAsia="Calibri" w:hAnsi="Arial"/>
          <w:b/>
          <w:bCs/>
          <w:sz w:val="27"/>
          <w:rtl/>
          <w:lang w:bidi="ar-LB"/>
        </w:rPr>
        <w:t>الأو</w:t>
      </w:r>
      <w:r w:rsidR="004E698F" w:rsidRPr="00282AC9">
        <w:rPr>
          <w:rFonts w:ascii="Arial" w:eastAsia="Calibri" w:hAnsi="Arial" w:hint="cs"/>
          <w:b/>
          <w:bCs/>
          <w:sz w:val="27"/>
          <w:rtl/>
          <w:lang w:bidi="ar-LB"/>
        </w:rPr>
        <w:t>ّ</w:t>
      </w:r>
      <w:r w:rsidRPr="00282AC9">
        <w:rPr>
          <w:rFonts w:ascii="Arial" w:eastAsia="Calibri" w:hAnsi="Arial"/>
          <w:b/>
          <w:bCs/>
          <w:sz w:val="27"/>
          <w:rtl/>
          <w:lang w:bidi="ar-LB"/>
        </w:rPr>
        <w:t>ل</w:t>
      </w:r>
      <w:r w:rsidRPr="00282AC9">
        <w:rPr>
          <w:rFonts w:ascii="Arial" w:eastAsia="Calibri" w:hAnsi="Arial" w:hint="cs"/>
          <w:b/>
          <w:bCs/>
          <w:sz w:val="27"/>
          <w:rtl/>
          <w:lang w:bidi="ar-LB"/>
        </w:rPr>
        <w:t xml:space="preserve">: </w:t>
      </w:r>
      <w:r w:rsidR="004E698F" w:rsidRPr="00282AC9">
        <w:rPr>
          <w:rFonts w:ascii="Arial" w:eastAsia="Calibri" w:hAnsi="Arial" w:hint="cs"/>
          <w:sz w:val="27"/>
          <w:rtl/>
          <w:lang w:bidi="ar-LB"/>
        </w:rPr>
        <w:t>إ</w:t>
      </w:r>
      <w:r w:rsidRPr="00282AC9">
        <w:rPr>
          <w:rFonts w:ascii="Arial" w:eastAsia="Calibri" w:hAnsi="Arial"/>
          <w:sz w:val="27"/>
          <w:rtl/>
          <w:lang w:bidi="ar-LB"/>
        </w:rPr>
        <w:t>نه لا يجوز إثبات الاستحباب والكراهة بمجر</w:t>
      </w:r>
      <w:r w:rsidR="004E698F" w:rsidRPr="00282AC9">
        <w:rPr>
          <w:rFonts w:ascii="Arial" w:eastAsia="Calibri" w:hAnsi="Arial" w:hint="cs"/>
          <w:sz w:val="27"/>
          <w:rtl/>
          <w:lang w:bidi="ar-LB"/>
        </w:rPr>
        <w:t>ّ</w:t>
      </w:r>
      <w:r w:rsidRPr="00282AC9">
        <w:rPr>
          <w:rFonts w:ascii="Arial" w:eastAsia="Calibri" w:hAnsi="Arial"/>
          <w:sz w:val="27"/>
          <w:rtl/>
          <w:lang w:bidi="ar-LB"/>
        </w:rPr>
        <w:t>د الرواية المفروضة</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وهو لموضعين من المنتهى</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وموضع</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من المدارك</w:t>
      </w:r>
      <w:r w:rsidRPr="00282AC9">
        <w:rPr>
          <w:rFonts w:ascii="Arial" w:eastAsia="Calibri" w:hAnsi="Arial" w:hint="cs"/>
          <w:sz w:val="27"/>
          <w:rtl/>
          <w:lang w:bidi="ar-LB"/>
        </w:rPr>
        <w:t>،</w:t>
      </w:r>
      <w:r w:rsidRPr="00282AC9">
        <w:rPr>
          <w:rFonts w:ascii="Arial" w:eastAsia="Calibri" w:hAnsi="Arial"/>
          <w:sz w:val="27"/>
          <w:rtl/>
          <w:lang w:bidi="ar-LB"/>
        </w:rPr>
        <w:t xml:space="preserve"> فقالا</w:t>
      </w:r>
      <w:r w:rsidRPr="00282AC9">
        <w:rPr>
          <w:rFonts w:ascii="Arial" w:eastAsia="Calibri" w:hAnsi="Arial" w:hint="cs"/>
          <w:sz w:val="27"/>
          <w:rtl/>
          <w:lang w:bidi="ar-LB"/>
        </w:rPr>
        <w:t xml:space="preserve">: </w:t>
      </w:r>
      <w:r w:rsidRPr="00282AC9">
        <w:rPr>
          <w:rFonts w:ascii="Arial" w:eastAsia="Calibri" w:hAnsi="Arial"/>
          <w:sz w:val="27"/>
          <w:rtl/>
          <w:lang w:bidi="ar-LB"/>
        </w:rPr>
        <w:t>إن</w:t>
      </w:r>
      <w:r w:rsidRPr="00282AC9">
        <w:rPr>
          <w:rFonts w:ascii="Arial" w:eastAsia="Calibri" w:hAnsi="Arial" w:hint="cs"/>
          <w:sz w:val="27"/>
          <w:rtl/>
          <w:lang w:bidi="ar-LB"/>
        </w:rPr>
        <w:t>ّ</w:t>
      </w:r>
      <w:r w:rsidRPr="00282AC9">
        <w:rPr>
          <w:rFonts w:ascii="Arial" w:eastAsia="Calibri" w:hAnsi="Arial"/>
          <w:sz w:val="27"/>
          <w:rtl/>
          <w:lang w:bidi="ar-LB"/>
        </w:rPr>
        <w:t xml:space="preserve"> الاستحباب حكم</w:t>
      </w:r>
      <w:r w:rsidR="004E698F" w:rsidRPr="00282AC9">
        <w:rPr>
          <w:rFonts w:ascii="Arial" w:eastAsia="Calibri" w:hAnsi="Arial" w:hint="cs"/>
          <w:sz w:val="27"/>
          <w:rtl/>
          <w:lang w:bidi="ar-LB"/>
        </w:rPr>
        <w:t>ٌ</w:t>
      </w:r>
      <w:r w:rsidRPr="00282AC9">
        <w:rPr>
          <w:rFonts w:ascii="Arial" w:eastAsia="Calibri" w:hAnsi="Arial"/>
          <w:sz w:val="27"/>
          <w:rtl/>
          <w:lang w:bidi="ar-LB"/>
        </w:rPr>
        <w:t xml:space="preserve"> شرعي</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فيتوق</w:t>
      </w:r>
      <w:r w:rsidR="004E698F" w:rsidRPr="00282AC9">
        <w:rPr>
          <w:rFonts w:ascii="Arial" w:eastAsia="Calibri" w:hAnsi="Arial" w:hint="cs"/>
          <w:sz w:val="27"/>
          <w:rtl/>
          <w:lang w:bidi="ar-LB"/>
        </w:rPr>
        <w:t>َّ</w:t>
      </w:r>
      <w:r w:rsidRPr="00282AC9">
        <w:rPr>
          <w:rFonts w:ascii="Arial" w:eastAsia="Calibri" w:hAnsi="Arial"/>
          <w:sz w:val="27"/>
          <w:rtl/>
          <w:lang w:bidi="ar-LB"/>
        </w:rPr>
        <w:t>ف على الدليل الشرعي</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كسائر الأحكام الشرعية</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وزاد الثاني فقال</w:t>
      </w:r>
      <w:r w:rsidRPr="00282AC9">
        <w:rPr>
          <w:rFonts w:ascii="Arial" w:eastAsia="Calibri" w:hAnsi="Arial" w:hint="cs"/>
          <w:sz w:val="27"/>
          <w:rtl/>
          <w:lang w:bidi="ar-LB"/>
        </w:rPr>
        <w:t xml:space="preserve">: </w:t>
      </w:r>
      <w:r w:rsidRPr="00282AC9">
        <w:rPr>
          <w:rFonts w:ascii="Arial" w:eastAsia="Calibri" w:hAnsi="Arial"/>
          <w:sz w:val="27"/>
          <w:rtl/>
          <w:lang w:bidi="ar-LB"/>
        </w:rPr>
        <w:t>وما قيل من أن أدلة الس</w:t>
      </w:r>
      <w:r w:rsidR="004E698F" w:rsidRPr="00282AC9">
        <w:rPr>
          <w:rFonts w:ascii="Arial" w:eastAsia="Calibri" w:hAnsi="Arial" w:hint="cs"/>
          <w:sz w:val="27"/>
          <w:rtl/>
          <w:lang w:bidi="ar-LB"/>
        </w:rPr>
        <w:t>ُّ</w:t>
      </w:r>
      <w:r w:rsidRPr="00282AC9">
        <w:rPr>
          <w:rFonts w:ascii="Arial" w:eastAsia="Calibri" w:hAnsi="Arial"/>
          <w:sz w:val="27"/>
          <w:rtl/>
          <w:lang w:bidi="ar-LB"/>
        </w:rPr>
        <w:t>ن</w:t>
      </w:r>
      <w:r w:rsidR="004E698F" w:rsidRPr="00282AC9">
        <w:rPr>
          <w:rFonts w:ascii="Arial" w:eastAsia="Calibri" w:hAnsi="Arial" w:hint="cs"/>
          <w:sz w:val="27"/>
          <w:rtl/>
          <w:lang w:bidi="ar-LB"/>
        </w:rPr>
        <w:t>َ</w:t>
      </w:r>
      <w:r w:rsidRPr="00282AC9">
        <w:rPr>
          <w:rFonts w:ascii="Arial" w:eastAsia="Calibri" w:hAnsi="Arial"/>
          <w:sz w:val="27"/>
          <w:rtl/>
          <w:lang w:bidi="ar-LB"/>
        </w:rPr>
        <w:t>ن ي</w:t>
      </w:r>
      <w:r w:rsidR="004E698F" w:rsidRPr="00282AC9">
        <w:rPr>
          <w:rFonts w:ascii="Arial" w:eastAsia="Calibri" w:hAnsi="Arial" w:hint="cs"/>
          <w:sz w:val="27"/>
          <w:rtl/>
          <w:lang w:bidi="ar-LB"/>
        </w:rPr>
        <w:t>ُ</w:t>
      </w:r>
      <w:r w:rsidRPr="00282AC9">
        <w:rPr>
          <w:rFonts w:ascii="Arial" w:eastAsia="Calibri" w:hAnsi="Arial"/>
          <w:sz w:val="27"/>
          <w:rtl/>
          <w:lang w:bidi="ar-LB"/>
        </w:rPr>
        <w:t>تسامح فيها بما لا ي</w:t>
      </w:r>
      <w:r w:rsidR="004E698F" w:rsidRPr="00282AC9">
        <w:rPr>
          <w:rFonts w:ascii="Arial" w:eastAsia="Calibri" w:hAnsi="Arial" w:hint="cs"/>
          <w:sz w:val="27"/>
          <w:rtl/>
          <w:lang w:bidi="ar-LB"/>
        </w:rPr>
        <w:t>ُ</w:t>
      </w:r>
      <w:r w:rsidRPr="00282AC9">
        <w:rPr>
          <w:rFonts w:ascii="Arial" w:eastAsia="Calibri" w:hAnsi="Arial"/>
          <w:sz w:val="27"/>
          <w:rtl/>
          <w:lang w:bidi="ar-LB"/>
        </w:rPr>
        <w:t>تسامح في غيرها فمنظور</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فيه</w:t>
      </w:r>
      <w:r w:rsidR="004E698F" w:rsidRPr="00282AC9">
        <w:rPr>
          <w:rFonts w:ascii="Arial" w:eastAsia="Calibri" w:hAnsi="Arial" w:hint="cs"/>
          <w:sz w:val="27"/>
          <w:rtl/>
          <w:lang w:bidi="ar-LB"/>
        </w:rPr>
        <w:t>؛</w:t>
      </w:r>
      <w:r w:rsidRPr="00282AC9">
        <w:rPr>
          <w:rFonts w:ascii="Arial" w:eastAsia="Calibri" w:hAnsi="Arial"/>
          <w:sz w:val="27"/>
          <w:rtl/>
          <w:lang w:bidi="ar-LB"/>
        </w:rPr>
        <w:t xml:space="preserve"> </w:t>
      </w:r>
      <w:r w:rsidRPr="00282AC9">
        <w:rPr>
          <w:rFonts w:ascii="Arial" w:eastAsia="Calibri" w:hAnsi="Arial"/>
          <w:b/>
          <w:bCs/>
          <w:sz w:val="27"/>
          <w:rtl/>
          <w:lang w:bidi="ar-LB"/>
        </w:rPr>
        <w:t>الثاني</w:t>
      </w:r>
      <w:r w:rsidRPr="00282AC9">
        <w:rPr>
          <w:rFonts w:ascii="Arial" w:eastAsia="Calibri" w:hAnsi="Arial" w:hint="cs"/>
          <w:b/>
          <w:bCs/>
          <w:sz w:val="27"/>
          <w:rtl/>
          <w:lang w:bidi="ar-LB"/>
        </w:rPr>
        <w:t xml:space="preserve">: </w:t>
      </w:r>
      <w:r w:rsidR="004E698F" w:rsidRPr="00282AC9">
        <w:rPr>
          <w:rFonts w:ascii="Arial" w:eastAsia="Calibri" w:hAnsi="Arial" w:hint="cs"/>
          <w:sz w:val="27"/>
          <w:rtl/>
          <w:lang w:bidi="ar-LB"/>
        </w:rPr>
        <w:t>إ</w:t>
      </w:r>
      <w:r w:rsidRPr="00282AC9">
        <w:rPr>
          <w:rFonts w:ascii="Arial" w:eastAsia="Calibri" w:hAnsi="Arial"/>
          <w:sz w:val="27"/>
          <w:rtl/>
          <w:lang w:bidi="ar-LB"/>
        </w:rPr>
        <w:t>نه يجوز ذلك</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وهو للشهيدين في الذكرى والدراية</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وابن فهد في عد</w:t>
      </w:r>
      <w:r w:rsidR="004E698F" w:rsidRPr="00282AC9">
        <w:rPr>
          <w:rFonts w:ascii="Arial" w:eastAsia="Calibri" w:hAnsi="Arial" w:hint="cs"/>
          <w:sz w:val="27"/>
          <w:rtl/>
          <w:lang w:bidi="ar-LB"/>
        </w:rPr>
        <w:t>ّ</w:t>
      </w:r>
      <w:r w:rsidRPr="00282AC9">
        <w:rPr>
          <w:rFonts w:ascii="Arial" w:eastAsia="Calibri" w:hAnsi="Arial"/>
          <w:sz w:val="27"/>
          <w:rtl/>
          <w:lang w:bidi="ar-LB"/>
        </w:rPr>
        <w:t>ة الداعي</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والمحق</w:t>
      </w:r>
      <w:r w:rsidR="004E698F" w:rsidRPr="00282AC9">
        <w:rPr>
          <w:rFonts w:ascii="Arial" w:eastAsia="Calibri" w:hAnsi="Arial" w:hint="cs"/>
          <w:sz w:val="27"/>
          <w:rtl/>
          <w:lang w:bidi="ar-LB"/>
        </w:rPr>
        <w:t>ِّ</w:t>
      </w:r>
      <w:r w:rsidRPr="00282AC9">
        <w:rPr>
          <w:rFonts w:ascii="Arial" w:eastAsia="Calibri" w:hAnsi="Arial"/>
          <w:sz w:val="27"/>
          <w:rtl/>
          <w:lang w:bidi="ar-LB"/>
        </w:rPr>
        <w:t>ق الخو</w:t>
      </w:r>
      <w:r w:rsidR="004E698F" w:rsidRPr="00282AC9">
        <w:rPr>
          <w:rFonts w:ascii="Arial" w:eastAsia="Calibri" w:hAnsi="Arial" w:hint="cs"/>
          <w:sz w:val="27"/>
          <w:rtl/>
          <w:lang w:bidi="ar-LB"/>
        </w:rPr>
        <w:t>ا</w:t>
      </w:r>
      <w:r w:rsidRPr="00282AC9">
        <w:rPr>
          <w:rFonts w:ascii="Arial" w:eastAsia="Calibri" w:hAnsi="Arial"/>
          <w:sz w:val="27"/>
          <w:rtl/>
          <w:lang w:bidi="ar-LB"/>
        </w:rPr>
        <w:t>نساري في المشارق</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والفاضل الخراساني في الذخيرة</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والفاضل البهائي في الوجيزة</w:t>
      </w:r>
      <w:r w:rsidR="004E698F" w:rsidRPr="00282AC9">
        <w:rPr>
          <w:rFonts w:ascii="Arial" w:eastAsia="Calibri" w:hAnsi="Arial" w:hint="cs"/>
          <w:sz w:val="27"/>
          <w:rtl/>
          <w:lang w:bidi="ar-LB"/>
        </w:rPr>
        <w:t>،</w:t>
      </w:r>
      <w:r w:rsidRPr="00282AC9">
        <w:rPr>
          <w:rFonts w:ascii="Arial" w:eastAsia="Calibri" w:hAnsi="Arial"/>
          <w:sz w:val="27"/>
          <w:rtl/>
          <w:lang w:bidi="ar-LB"/>
        </w:rPr>
        <w:t xml:space="preserve"> والأربعين وجد</w:t>
      </w:r>
      <w:r w:rsidR="004E698F" w:rsidRPr="00282AC9">
        <w:rPr>
          <w:rFonts w:ascii="Arial" w:eastAsia="Calibri" w:hAnsi="Arial" w:hint="cs"/>
          <w:sz w:val="27"/>
          <w:rtl/>
          <w:lang w:bidi="ar-LB"/>
        </w:rPr>
        <w:t>ّ</w:t>
      </w:r>
      <w:r w:rsidRPr="00282AC9">
        <w:rPr>
          <w:rFonts w:ascii="Arial" w:eastAsia="Calibri" w:hAnsi="Arial"/>
          <w:sz w:val="27"/>
          <w:rtl/>
          <w:lang w:bidi="ar-LB"/>
        </w:rPr>
        <w:t>ي ووالدي العلا</w:t>
      </w:r>
      <w:r w:rsidR="004E698F" w:rsidRPr="00282AC9">
        <w:rPr>
          <w:rFonts w:ascii="Arial" w:eastAsia="Calibri" w:hAnsi="Arial" w:hint="cs"/>
          <w:sz w:val="27"/>
          <w:rtl/>
          <w:lang w:bidi="ar-LB"/>
        </w:rPr>
        <w:t>ّ</w:t>
      </w:r>
      <w:r w:rsidRPr="00282AC9">
        <w:rPr>
          <w:rFonts w:ascii="Arial" w:eastAsia="Calibri" w:hAnsi="Arial"/>
          <w:sz w:val="27"/>
          <w:rtl/>
          <w:lang w:bidi="ar-LB"/>
        </w:rPr>
        <w:t>مة</w:t>
      </w:r>
      <w:r w:rsidR="004E698F"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35"/>
      </w:r>
      <w:r w:rsidRPr="00282AC9">
        <w:rPr>
          <w:rFonts w:ascii="Arial" w:eastAsia="Calibri" w:hAnsi="Arial"/>
          <w:sz w:val="27"/>
          <w:vertAlign w:val="superscript"/>
          <w:rtl/>
          <w:lang w:bidi="ar-LB"/>
        </w:rPr>
        <w:t>)</w:t>
      </w:r>
      <w:r w:rsidRPr="00282AC9">
        <w:rPr>
          <w:rFonts w:ascii="Arial" w:eastAsia="Calibri" w:hAnsi="Arial" w:hint="cs"/>
          <w:sz w:val="27"/>
          <w:rtl/>
          <w:lang w:bidi="ar-LB"/>
        </w:rPr>
        <w:t>.</w:t>
      </w:r>
    </w:p>
    <w:p w:rsidR="0098597F" w:rsidRPr="00282AC9" w:rsidRDefault="0098597F" w:rsidP="004F71AA">
      <w:pPr>
        <w:spacing w:line="416" w:lineRule="exact"/>
        <w:rPr>
          <w:rFonts w:ascii="Arial" w:hAnsi="Arial"/>
          <w:sz w:val="27"/>
          <w:rtl/>
        </w:rPr>
      </w:pPr>
      <w:r w:rsidRPr="00282AC9">
        <w:rPr>
          <w:rFonts w:ascii="Arial" w:hAnsi="Arial" w:hint="cs"/>
          <w:sz w:val="27"/>
          <w:rtl/>
        </w:rPr>
        <w:lastRenderedPageBreak/>
        <w:t>وكيف كان، فالاتجاه الثاني ـ وبصرف النظر عم</w:t>
      </w:r>
      <w:r w:rsidR="004E698F" w:rsidRPr="00282AC9">
        <w:rPr>
          <w:rFonts w:ascii="Arial" w:hAnsi="Arial" w:hint="cs"/>
          <w:sz w:val="27"/>
          <w:rtl/>
        </w:rPr>
        <w:t>ّ</w:t>
      </w:r>
      <w:r w:rsidRPr="00282AC9">
        <w:rPr>
          <w:rFonts w:ascii="Arial" w:hAnsi="Arial" w:hint="cs"/>
          <w:sz w:val="27"/>
          <w:rtl/>
        </w:rPr>
        <w:t>ا سيأتي من تفسير</w:t>
      </w:r>
      <w:r w:rsidR="004E698F" w:rsidRPr="00282AC9">
        <w:rPr>
          <w:rFonts w:ascii="Arial" w:hAnsi="Arial" w:hint="cs"/>
          <w:sz w:val="27"/>
          <w:rtl/>
        </w:rPr>
        <w:t>ٍ</w:t>
      </w:r>
      <w:r w:rsidRPr="00282AC9">
        <w:rPr>
          <w:rFonts w:ascii="Arial" w:hAnsi="Arial" w:hint="cs"/>
          <w:sz w:val="27"/>
          <w:rtl/>
        </w:rPr>
        <w:t xml:space="preserve"> مختلف للأخبار ـ هو الأقرب</w:t>
      </w:r>
      <w:r w:rsidR="004E698F" w:rsidRPr="00282AC9">
        <w:rPr>
          <w:rFonts w:ascii="Arial" w:hAnsi="Arial" w:hint="cs"/>
          <w:sz w:val="27"/>
          <w:rtl/>
        </w:rPr>
        <w:t>،</w:t>
      </w:r>
      <w:r w:rsidRPr="00282AC9">
        <w:rPr>
          <w:rFonts w:ascii="Arial" w:hAnsi="Arial" w:hint="cs"/>
          <w:sz w:val="27"/>
          <w:rtl/>
        </w:rPr>
        <w:t xml:space="preserve"> بل المتعين</w:t>
      </w:r>
      <w:r w:rsidR="004E698F" w:rsidRPr="00282AC9">
        <w:rPr>
          <w:rFonts w:ascii="Arial" w:hAnsi="Arial" w:hint="cs"/>
          <w:sz w:val="27"/>
          <w:rtl/>
        </w:rPr>
        <w:t>.</w:t>
      </w:r>
      <w:r w:rsidRPr="00282AC9">
        <w:rPr>
          <w:rFonts w:ascii="Arial" w:hAnsi="Arial" w:hint="cs"/>
          <w:sz w:val="27"/>
          <w:rtl/>
        </w:rPr>
        <w:t xml:space="preserve"> وأما التفسير المشهور فلا تساعد عليه الأخبار، ولا يخلو من إشكالات</w:t>
      </w:r>
      <w:r w:rsidR="004E698F" w:rsidRPr="00282AC9">
        <w:rPr>
          <w:rFonts w:ascii="Arial" w:hAnsi="Arial" w:hint="cs"/>
          <w:sz w:val="27"/>
          <w:rtl/>
        </w:rPr>
        <w:t>ٍ</w:t>
      </w:r>
      <w:r w:rsidRPr="00282AC9">
        <w:rPr>
          <w:rFonts w:ascii="Arial" w:hAnsi="Arial" w:hint="cs"/>
          <w:sz w:val="27"/>
          <w:rtl/>
        </w:rPr>
        <w:t xml:space="preserve"> وملاحظات</w:t>
      </w:r>
      <w:r w:rsidR="004E698F" w:rsidRPr="00282AC9">
        <w:rPr>
          <w:rFonts w:ascii="Arial" w:hAnsi="Arial" w:hint="cs"/>
          <w:sz w:val="27"/>
          <w:rtl/>
        </w:rPr>
        <w:t>ٍ</w:t>
      </w:r>
      <w:r w:rsidRPr="00282AC9">
        <w:rPr>
          <w:rFonts w:ascii="Arial" w:hAnsi="Arial" w:hint="cs"/>
          <w:sz w:val="27"/>
          <w:rtl/>
        </w:rPr>
        <w:t>، وهذا ما سوف نبي</w:t>
      </w:r>
      <w:r w:rsidR="004E698F" w:rsidRPr="00282AC9">
        <w:rPr>
          <w:rFonts w:ascii="Arial" w:hAnsi="Arial" w:hint="cs"/>
          <w:sz w:val="27"/>
          <w:rtl/>
        </w:rPr>
        <w:t>ِّ</w:t>
      </w:r>
      <w:r w:rsidRPr="00282AC9">
        <w:rPr>
          <w:rFonts w:ascii="Arial" w:hAnsi="Arial" w:hint="cs"/>
          <w:sz w:val="27"/>
          <w:rtl/>
        </w:rPr>
        <w:t>نه فيما يأتي.</w:t>
      </w:r>
    </w:p>
    <w:p w:rsidR="0098597F" w:rsidRPr="00282AC9" w:rsidRDefault="0098597F" w:rsidP="004F71AA">
      <w:pPr>
        <w:spacing w:line="416" w:lineRule="exact"/>
        <w:rPr>
          <w:rFonts w:ascii="Arial" w:eastAsia="Calibri" w:hAnsi="Arial"/>
          <w:sz w:val="27"/>
          <w:rtl/>
          <w:lang w:bidi="ar-LB"/>
        </w:rPr>
      </w:pPr>
      <w:r w:rsidRPr="00282AC9">
        <w:rPr>
          <w:rFonts w:ascii="Arial" w:hAnsi="Arial" w:hint="cs"/>
          <w:sz w:val="27"/>
          <w:rtl/>
        </w:rPr>
        <w:t>ولكن</w:t>
      </w:r>
      <w:r w:rsidR="004E698F" w:rsidRPr="00282AC9">
        <w:rPr>
          <w:rFonts w:ascii="Arial" w:hAnsi="Arial" w:hint="cs"/>
          <w:sz w:val="27"/>
          <w:rtl/>
        </w:rPr>
        <w:t>ْ</w:t>
      </w:r>
      <w:r w:rsidRPr="00282AC9">
        <w:rPr>
          <w:rFonts w:ascii="Arial" w:hAnsi="Arial" w:hint="cs"/>
          <w:sz w:val="27"/>
          <w:rtl/>
        </w:rPr>
        <w:t xml:space="preserve"> قبل ذلك لا بأس أن نشير</w:t>
      </w:r>
      <w:r w:rsidRPr="00282AC9">
        <w:rPr>
          <w:rFonts w:ascii="Arial" w:eastAsia="Calibri" w:hAnsi="Arial" w:hint="cs"/>
          <w:sz w:val="27"/>
          <w:rtl/>
        </w:rPr>
        <w:t xml:space="preserve"> إلى أنّ </w:t>
      </w:r>
      <w:r w:rsidRPr="00282AC9">
        <w:rPr>
          <w:rFonts w:ascii="Arial" w:eastAsia="Calibri" w:hAnsi="Arial"/>
          <w:sz w:val="27"/>
          <w:rtl/>
        </w:rPr>
        <w:t>السيد هاشم معروف الح</w:t>
      </w:r>
      <w:r w:rsidR="004E698F" w:rsidRPr="00282AC9">
        <w:rPr>
          <w:rFonts w:ascii="Arial" w:eastAsia="Calibri" w:hAnsi="Arial" w:hint="cs"/>
          <w:sz w:val="27"/>
          <w:rtl/>
        </w:rPr>
        <w:t>َ</w:t>
      </w:r>
      <w:r w:rsidRPr="00282AC9">
        <w:rPr>
          <w:rFonts w:ascii="Arial" w:eastAsia="Calibri" w:hAnsi="Arial"/>
          <w:sz w:val="27"/>
          <w:rtl/>
        </w:rPr>
        <w:t>س</w:t>
      </w:r>
      <w:r w:rsidR="004E698F" w:rsidRPr="00282AC9">
        <w:rPr>
          <w:rFonts w:ascii="Arial" w:eastAsia="Calibri" w:hAnsi="Arial" w:hint="cs"/>
          <w:sz w:val="27"/>
          <w:rtl/>
        </w:rPr>
        <w:t>َ</w:t>
      </w:r>
      <w:r w:rsidRPr="00282AC9">
        <w:rPr>
          <w:rFonts w:ascii="Arial" w:eastAsia="Calibri" w:hAnsi="Arial"/>
          <w:sz w:val="27"/>
          <w:rtl/>
        </w:rPr>
        <w:t xml:space="preserve">ني </w:t>
      </w:r>
      <w:r w:rsidRPr="00282AC9">
        <w:rPr>
          <w:rFonts w:ascii="Arial" w:eastAsia="Calibri" w:hAnsi="Arial" w:hint="cs"/>
          <w:sz w:val="27"/>
          <w:rtl/>
        </w:rPr>
        <w:t>لم يكت</w:t>
      </w:r>
      <w:r w:rsidR="004E698F" w:rsidRPr="00282AC9">
        <w:rPr>
          <w:rFonts w:ascii="Arial" w:eastAsia="Calibri" w:hAnsi="Arial" w:hint="cs"/>
          <w:sz w:val="27"/>
          <w:rtl/>
        </w:rPr>
        <w:t>َ</w:t>
      </w:r>
      <w:r w:rsidRPr="00282AC9">
        <w:rPr>
          <w:rFonts w:ascii="Arial" w:eastAsia="Calibri" w:hAnsi="Arial" w:hint="cs"/>
          <w:sz w:val="27"/>
          <w:rtl/>
        </w:rPr>
        <w:t>فِ برفض القاعدة فح</w:t>
      </w:r>
      <w:r w:rsidR="004E698F" w:rsidRPr="00282AC9">
        <w:rPr>
          <w:rFonts w:ascii="Arial" w:eastAsia="Calibri" w:hAnsi="Arial" w:hint="cs"/>
          <w:sz w:val="27"/>
          <w:rtl/>
        </w:rPr>
        <w:t>َ</w:t>
      </w:r>
      <w:r w:rsidRPr="00282AC9">
        <w:rPr>
          <w:rFonts w:ascii="Arial" w:eastAsia="Calibri" w:hAnsi="Arial" w:hint="cs"/>
          <w:sz w:val="27"/>
          <w:rtl/>
        </w:rPr>
        <w:t>س</w:t>
      </w:r>
      <w:r w:rsidR="004E698F" w:rsidRPr="00282AC9">
        <w:rPr>
          <w:rFonts w:ascii="Arial" w:eastAsia="Calibri" w:hAnsi="Arial" w:hint="cs"/>
          <w:sz w:val="27"/>
          <w:rtl/>
        </w:rPr>
        <w:t>ْ</w:t>
      </w:r>
      <w:r w:rsidRPr="00282AC9">
        <w:rPr>
          <w:rFonts w:ascii="Arial" w:eastAsia="Calibri" w:hAnsi="Arial" w:hint="cs"/>
          <w:sz w:val="27"/>
          <w:rtl/>
        </w:rPr>
        <w:t>ب، بل حكم ب</w:t>
      </w:r>
      <w:r w:rsidRPr="00282AC9">
        <w:rPr>
          <w:rFonts w:ascii="Arial" w:eastAsia="Calibri" w:hAnsi="Arial"/>
          <w:sz w:val="27"/>
          <w:rtl/>
        </w:rPr>
        <w:t xml:space="preserve">أنّ روايات </w:t>
      </w:r>
      <w:r w:rsidRPr="00282AC9">
        <w:rPr>
          <w:rFonts w:hint="eastAsia"/>
          <w:sz w:val="24"/>
          <w:szCs w:val="24"/>
          <w:rtl/>
          <w:lang w:bidi="ar-LB"/>
        </w:rPr>
        <w:t>«</w:t>
      </w:r>
      <w:r w:rsidRPr="00282AC9">
        <w:rPr>
          <w:rFonts w:ascii="Arial" w:eastAsia="Calibri" w:hAnsi="Arial"/>
          <w:sz w:val="27"/>
          <w:rtl/>
          <w:lang w:bidi="ar-LB"/>
        </w:rPr>
        <w:t>م</w:t>
      </w:r>
      <w:r w:rsidR="004E698F" w:rsidRPr="00282AC9">
        <w:rPr>
          <w:rFonts w:ascii="Arial" w:eastAsia="Calibri" w:hAnsi="Arial" w:hint="cs"/>
          <w:sz w:val="27"/>
          <w:rtl/>
          <w:lang w:bidi="ar-LB"/>
        </w:rPr>
        <w:t>َ</w:t>
      </w:r>
      <w:r w:rsidRPr="00282AC9">
        <w:rPr>
          <w:rFonts w:ascii="Arial" w:eastAsia="Calibri" w:hAnsi="Arial"/>
          <w:sz w:val="27"/>
          <w:rtl/>
          <w:lang w:bidi="ar-LB"/>
        </w:rPr>
        <w:t>ن</w:t>
      </w:r>
      <w:r w:rsidR="004E698F" w:rsidRPr="00282AC9">
        <w:rPr>
          <w:rFonts w:ascii="Arial" w:eastAsia="Calibri" w:hAnsi="Arial" w:hint="cs"/>
          <w:sz w:val="27"/>
          <w:rtl/>
          <w:lang w:bidi="ar-LB"/>
        </w:rPr>
        <w:t>ْ</w:t>
      </w:r>
      <w:r w:rsidRPr="00282AC9">
        <w:rPr>
          <w:rFonts w:ascii="Arial" w:eastAsia="Calibri" w:hAnsi="Arial"/>
          <w:sz w:val="27"/>
          <w:rtl/>
          <w:lang w:bidi="ar-LB"/>
        </w:rPr>
        <w:t xml:space="preserve"> بلغ</w:t>
      </w:r>
      <w:r w:rsidRPr="00282AC9">
        <w:rPr>
          <w:rFonts w:hint="eastAsia"/>
          <w:sz w:val="24"/>
          <w:szCs w:val="24"/>
          <w:rtl/>
        </w:rPr>
        <w:t>»</w:t>
      </w:r>
      <w:r w:rsidRPr="00282AC9">
        <w:rPr>
          <w:rFonts w:ascii="Arial" w:eastAsia="Calibri" w:hAnsi="Arial"/>
          <w:sz w:val="27"/>
          <w:rtl/>
          <w:lang w:bidi="ar-LB"/>
        </w:rPr>
        <w:t xml:space="preserve"> موضوعة</w:t>
      </w:r>
      <w:r w:rsidR="004E698F" w:rsidRPr="00282AC9">
        <w:rPr>
          <w:rFonts w:ascii="Arial" w:eastAsia="Calibri" w:hAnsi="Arial" w:hint="cs"/>
          <w:sz w:val="27"/>
          <w:rtl/>
          <w:lang w:bidi="ar-LB"/>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36"/>
      </w:r>
      <w:r w:rsidRPr="00282AC9">
        <w:rPr>
          <w:rFonts w:ascii="Arial" w:eastAsia="Calibri" w:hAnsi="Arial"/>
          <w:sz w:val="27"/>
          <w:vertAlign w:val="superscript"/>
          <w:rtl/>
          <w:lang w:bidi="ar-LB"/>
        </w:rPr>
        <w:t>)</w:t>
      </w:r>
      <w:r w:rsidRPr="00282AC9">
        <w:rPr>
          <w:rFonts w:ascii="Arial" w:eastAsia="Calibri" w:hAnsi="Arial"/>
          <w:sz w:val="27"/>
          <w:rtl/>
          <w:lang w:bidi="ar-LB"/>
        </w:rPr>
        <w:t>.</w:t>
      </w:r>
    </w:p>
    <w:p w:rsidR="0098597F" w:rsidRPr="00282AC9" w:rsidRDefault="0098597F" w:rsidP="004F71AA">
      <w:pPr>
        <w:spacing w:line="416" w:lineRule="exact"/>
        <w:rPr>
          <w:rFonts w:ascii="Arial" w:eastAsia="Calibri" w:hAnsi="Arial"/>
          <w:sz w:val="27"/>
          <w:rtl/>
          <w:lang w:bidi="ar-LB"/>
        </w:rPr>
      </w:pPr>
      <w:r w:rsidRPr="00282AC9">
        <w:rPr>
          <w:rFonts w:ascii="Arial" w:eastAsia="Calibri" w:hAnsi="Arial" w:hint="cs"/>
          <w:sz w:val="27"/>
          <w:rtl/>
          <w:lang w:bidi="ar-LB"/>
        </w:rPr>
        <w:t>ولكننا لا نوافقه على ذلك</w:t>
      </w:r>
      <w:r w:rsidR="004E698F" w:rsidRPr="00282AC9">
        <w:rPr>
          <w:rFonts w:ascii="Arial" w:eastAsia="Calibri" w:hAnsi="Arial" w:hint="cs"/>
          <w:sz w:val="27"/>
          <w:rtl/>
          <w:lang w:bidi="ar-LB"/>
        </w:rPr>
        <w:t>؛</w:t>
      </w:r>
      <w:r w:rsidRPr="00282AC9">
        <w:rPr>
          <w:rFonts w:ascii="Arial" w:eastAsia="Calibri" w:hAnsi="Arial" w:hint="cs"/>
          <w:sz w:val="27"/>
          <w:rtl/>
          <w:lang w:bidi="ar-LB"/>
        </w:rPr>
        <w:t xml:space="preserve"> إذ لا موجب للحكم بوضعها أو تكذيبها، ولا تساعد عليه الشواهد</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لا من ناحية السند، كيف وبعضها صحيحة الإسناد</w:t>
      </w:r>
      <w:r w:rsidR="004E698F" w:rsidRPr="00282AC9">
        <w:rPr>
          <w:rFonts w:ascii="Arial" w:eastAsia="Calibri" w:hAnsi="Arial" w:hint="cs"/>
          <w:sz w:val="27"/>
          <w:rtl/>
          <w:lang w:bidi="ar-LB"/>
        </w:rPr>
        <w:t>،</w:t>
      </w:r>
      <w:r w:rsidRPr="00282AC9">
        <w:rPr>
          <w:rFonts w:ascii="Arial" w:eastAsia="Calibri" w:hAnsi="Arial" w:hint="cs"/>
          <w:sz w:val="27"/>
          <w:rtl/>
          <w:lang w:bidi="ar-LB"/>
        </w:rPr>
        <w:t xml:space="preserve"> كما سنرى</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ولا من ناحية المضمون</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و</w:t>
      </w:r>
      <w:r w:rsidR="00674EF5" w:rsidRPr="00282AC9">
        <w:rPr>
          <w:rFonts w:ascii="Arial" w:eastAsia="Calibri" w:hAnsi="Arial" w:hint="cs"/>
          <w:sz w:val="27"/>
          <w:rtl/>
          <w:lang w:bidi="ar-LB"/>
        </w:rPr>
        <w:t>لا سيَّما</w:t>
      </w:r>
      <w:r w:rsidRPr="00282AC9">
        <w:rPr>
          <w:rFonts w:ascii="Arial" w:eastAsia="Calibri" w:hAnsi="Arial" w:hint="cs"/>
          <w:sz w:val="27"/>
          <w:rtl/>
          <w:lang w:bidi="ar-LB"/>
        </w:rPr>
        <w:t xml:space="preserve"> أنّ لها تفسيراً معقولاً</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ولا تواجهه اعتراضات</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ت</w:t>
      </w:r>
      <w:r w:rsidR="00713EA8" w:rsidRPr="00282AC9">
        <w:rPr>
          <w:rFonts w:ascii="Arial" w:eastAsia="Calibri" w:hAnsi="Arial" w:hint="cs"/>
          <w:sz w:val="27"/>
          <w:rtl/>
          <w:lang w:bidi="ar-LB"/>
        </w:rPr>
        <w:t>ُ</w:t>
      </w:r>
      <w:r w:rsidRPr="00282AC9">
        <w:rPr>
          <w:rFonts w:ascii="Arial" w:eastAsia="Calibri" w:hAnsi="Arial" w:hint="cs"/>
          <w:sz w:val="27"/>
          <w:rtl/>
          <w:lang w:bidi="ar-LB"/>
        </w:rPr>
        <w:t>ذ</w:t>
      </w:r>
      <w:r w:rsidR="00713EA8" w:rsidRPr="00282AC9">
        <w:rPr>
          <w:rFonts w:ascii="Arial" w:eastAsia="Calibri" w:hAnsi="Arial" w:hint="cs"/>
          <w:sz w:val="27"/>
          <w:rtl/>
          <w:lang w:bidi="ar-LB"/>
        </w:rPr>
        <w:t>ْ</w:t>
      </w:r>
      <w:r w:rsidRPr="00282AC9">
        <w:rPr>
          <w:rFonts w:ascii="Arial" w:eastAsia="Calibri" w:hAnsi="Arial" w:hint="cs"/>
          <w:sz w:val="27"/>
          <w:rtl/>
          <w:lang w:bidi="ar-LB"/>
        </w:rPr>
        <w:t>ك</w:t>
      </w:r>
      <w:r w:rsidR="00713EA8" w:rsidRPr="00282AC9">
        <w:rPr>
          <w:rFonts w:ascii="Arial" w:eastAsia="Calibri" w:hAnsi="Arial" w:hint="cs"/>
          <w:sz w:val="27"/>
          <w:rtl/>
          <w:lang w:bidi="ar-LB"/>
        </w:rPr>
        <w:t>َ</w:t>
      </w:r>
      <w:r w:rsidRPr="00282AC9">
        <w:rPr>
          <w:rFonts w:ascii="Arial" w:eastAsia="Calibri" w:hAnsi="Arial" w:hint="cs"/>
          <w:sz w:val="27"/>
          <w:rtl/>
          <w:lang w:bidi="ar-LB"/>
        </w:rPr>
        <w:t>ر.</w:t>
      </w:r>
    </w:p>
    <w:p w:rsidR="0098597F" w:rsidRPr="00282AC9" w:rsidRDefault="0098597F" w:rsidP="004F71AA">
      <w:pPr>
        <w:spacing w:line="416" w:lineRule="exact"/>
        <w:rPr>
          <w:rFonts w:ascii="Arial" w:eastAsia="Calibri" w:hAnsi="Arial"/>
          <w:sz w:val="27"/>
          <w:rtl/>
          <w:lang w:bidi="ar-LB"/>
        </w:rPr>
      </w:pPr>
      <w:r w:rsidRPr="00282AC9">
        <w:rPr>
          <w:rFonts w:ascii="Arial" w:eastAsia="Calibri" w:hAnsi="Arial" w:hint="cs"/>
          <w:sz w:val="27"/>
          <w:rtl/>
          <w:lang w:bidi="ar-LB"/>
        </w:rPr>
        <w:t>نعم</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ثم</w:t>
      </w:r>
      <w:r w:rsidR="00713EA8" w:rsidRPr="00282AC9">
        <w:rPr>
          <w:rFonts w:ascii="Arial" w:eastAsia="Calibri" w:hAnsi="Arial" w:hint="cs"/>
          <w:sz w:val="27"/>
          <w:rtl/>
          <w:lang w:bidi="ar-LB"/>
        </w:rPr>
        <w:t>ّ</w:t>
      </w:r>
      <w:r w:rsidRPr="00282AC9">
        <w:rPr>
          <w:rFonts w:ascii="Arial" w:eastAsia="Calibri" w:hAnsi="Arial" w:hint="cs"/>
          <w:sz w:val="27"/>
          <w:rtl/>
          <w:lang w:bidi="ar-LB"/>
        </w:rPr>
        <w:t>ة مجال</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للخدشة في إمكان الاعتماد على هذه الأخبار</w:t>
      </w:r>
      <w:r w:rsidR="00713EA8" w:rsidRPr="00282AC9">
        <w:rPr>
          <w:rFonts w:ascii="Arial" w:eastAsia="Calibri" w:hAnsi="Arial" w:hint="cs"/>
          <w:sz w:val="27"/>
          <w:rtl/>
          <w:lang w:bidi="ar-LB"/>
        </w:rPr>
        <w:t>، حتّ</w:t>
      </w:r>
      <w:r w:rsidRPr="00282AC9">
        <w:rPr>
          <w:rFonts w:ascii="Arial" w:eastAsia="Calibri" w:hAnsi="Arial" w:hint="cs"/>
          <w:sz w:val="27"/>
          <w:rtl/>
          <w:lang w:bidi="ar-LB"/>
        </w:rPr>
        <w:t>ى لو صحّ سند بعضها</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من زاوية</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أخرى، وهي أن المسألة المبحوثة أصولي</w:t>
      </w:r>
      <w:r w:rsidR="00713EA8" w:rsidRPr="00282AC9">
        <w:rPr>
          <w:rFonts w:ascii="Arial" w:eastAsia="Calibri" w:hAnsi="Arial" w:hint="cs"/>
          <w:sz w:val="27"/>
          <w:rtl/>
          <w:lang w:bidi="ar-LB"/>
        </w:rPr>
        <w:t>ّ</w:t>
      </w:r>
      <w:r w:rsidRPr="00282AC9">
        <w:rPr>
          <w:rFonts w:ascii="Arial" w:eastAsia="Calibri" w:hAnsi="Arial" w:hint="cs"/>
          <w:sz w:val="27"/>
          <w:rtl/>
          <w:lang w:bidi="ar-LB"/>
        </w:rPr>
        <w:t>ة</w:t>
      </w:r>
      <w:r w:rsidR="00713EA8" w:rsidRPr="00282AC9">
        <w:rPr>
          <w:rFonts w:ascii="Arial" w:eastAsia="Calibri" w:hAnsi="Arial" w:hint="cs"/>
          <w:sz w:val="27"/>
          <w:rtl/>
          <w:lang w:bidi="ar-LB"/>
        </w:rPr>
        <w:t>ٌ</w:t>
      </w:r>
      <w:r w:rsidRPr="00282AC9">
        <w:rPr>
          <w:rFonts w:ascii="Arial" w:eastAsia="Calibri" w:hAnsi="Arial" w:hint="cs"/>
          <w:sz w:val="27"/>
          <w:rtl/>
          <w:lang w:bidi="ar-LB"/>
        </w:rPr>
        <w:t>، والمسائل الأصولي</w:t>
      </w:r>
      <w:r w:rsidR="00713EA8" w:rsidRPr="00282AC9">
        <w:rPr>
          <w:rFonts w:ascii="Arial" w:eastAsia="Calibri" w:hAnsi="Arial" w:hint="cs"/>
          <w:sz w:val="27"/>
          <w:rtl/>
          <w:lang w:bidi="ar-LB"/>
        </w:rPr>
        <w:t>ّ</w:t>
      </w:r>
      <w:r w:rsidRPr="00282AC9">
        <w:rPr>
          <w:rFonts w:ascii="Arial" w:eastAsia="Calibri" w:hAnsi="Arial" w:hint="cs"/>
          <w:sz w:val="27"/>
          <w:rtl/>
          <w:lang w:bidi="ar-LB"/>
        </w:rPr>
        <w:t>ة لا يعتمد في إثباتها على أخبار الآحاد.</w:t>
      </w:r>
    </w:p>
    <w:p w:rsidR="0098597F" w:rsidRPr="00282AC9" w:rsidRDefault="0098597F" w:rsidP="004F71AA">
      <w:pPr>
        <w:spacing w:line="416" w:lineRule="exact"/>
        <w:rPr>
          <w:rFonts w:ascii="Arial" w:eastAsia="Calibri" w:hAnsi="Arial"/>
          <w:sz w:val="27"/>
          <w:rtl/>
          <w:lang w:bidi="ar-LB"/>
        </w:rPr>
      </w:pPr>
      <w:r w:rsidRPr="00282AC9">
        <w:rPr>
          <w:rFonts w:ascii="Arial" w:eastAsia="Calibri" w:hAnsi="Arial" w:hint="cs"/>
          <w:sz w:val="27"/>
          <w:rtl/>
          <w:lang w:bidi="ar-LB"/>
        </w:rPr>
        <w:t xml:space="preserve"> وقد نوقش هذا الكلام كبروياً وصغروياً</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أما النقاش في الكبرى فهو أن عدم الاعتماد على أخبار الآحاد إنما هو في أصول العقيدة</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لا أصول الفقه</w:t>
      </w:r>
      <w:r w:rsidR="00713EA8" w:rsidRPr="00282AC9">
        <w:rPr>
          <w:rFonts w:ascii="Arial" w:eastAsia="Calibri" w:hAnsi="Arial" w:hint="cs"/>
          <w:sz w:val="27"/>
          <w:rtl/>
          <w:lang w:bidi="ar-LB"/>
        </w:rPr>
        <w:t xml:space="preserve">؛ </w:t>
      </w:r>
      <w:r w:rsidRPr="00282AC9">
        <w:rPr>
          <w:rFonts w:ascii="Arial" w:eastAsia="Calibri" w:hAnsi="Arial" w:hint="cs"/>
          <w:sz w:val="27"/>
          <w:rtl/>
          <w:lang w:bidi="ar-LB"/>
        </w:rPr>
        <w:t>وأما في الصغرى</w:t>
      </w:r>
      <w:r w:rsidR="00713EA8" w:rsidRPr="00282AC9">
        <w:rPr>
          <w:rFonts w:ascii="Arial" w:eastAsia="Calibri" w:hAnsi="Arial" w:hint="cs"/>
          <w:sz w:val="27"/>
          <w:rtl/>
          <w:lang w:bidi="ar-LB"/>
        </w:rPr>
        <w:t xml:space="preserve"> </w:t>
      </w:r>
      <w:r w:rsidRPr="00282AC9">
        <w:rPr>
          <w:rFonts w:ascii="Arial" w:eastAsia="Calibri" w:hAnsi="Arial" w:hint="cs"/>
          <w:sz w:val="27"/>
          <w:rtl/>
          <w:lang w:bidi="ar-LB"/>
        </w:rPr>
        <w:t xml:space="preserve">فلأن أخبار </w:t>
      </w:r>
      <w:r w:rsidRPr="00282AC9">
        <w:rPr>
          <w:rFonts w:hint="eastAsia"/>
          <w:sz w:val="24"/>
          <w:szCs w:val="24"/>
          <w:rtl/>
          <w:lang w:bidi="ar-LB"/>
        </w:rPr>
        <w:t>«</w:t>
      </w:r>
      <w:r w:rsidRPr="00282AC9">
        <w:rPr>
          <w:rFonts w:ascii="Arial" w:eastAsia="Calibri" w:hAnsi="Arial" w:hint="cs"/>
          <w:sz w:val="27"/>
          <w:rtl/>
          <w:lang w:bidi="ar-LB"/>
        </w:rPr>
        <w:t>م</w:t>
      </w:r>
      <w:r w:rsidR="00713EA8" w:rsidRPr="00282AC9">
        <w:rPr>
          <w:rFonts w:ascii="Arial" w:eastAsia="Calibri" w:hAnsi="Arial" w:hint="cs"/>
          <w:sz w:val="27"/>
          <w:rtl/>
          <w:lang w:bidi="ar-LB"/>
        </w:rPr>
        <w:t>َ</w:t>
      </w:r>
      <w:r w:rsidRPr="00282AC9">
        <w:rPr>
          <w:rFonts w:ascii="Arial" w:eastAsia="Calibri" w:hAnsi="Arial" w:hint="cs"/>
          <w:sz w:val="27"/>
          <w:rtl/>
          <w:lang w:bidi="ar-LB"/>
        </w:rPr>
        <w:t>ن</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بلغ</w:t>
      </w:r>
      <w:r w:rsidRPr="00282AC9">
        <w:rPr>
          <w:rFonts w:hint="eastAsia"/>
          <w:sz w:val="24"/>
          <w:szCs w:val="24"/>
          <w:rtl/>
        </w:rPr>
        <w:t>»</w:t>
      </w:r>
      <w:r w:rsidRPr="00282AC9">
        <w:rPr>
          <w:rFonts w:ascii="Arial" w:eastAsia="Calibri" w:hAnsi="Arial" w:hint="cs"/>
          <w:sz w:val="27"/>
          <w:rtl/>
          <w:lang w:bidi="ar-LB"/>
        </w:rPr>
        <w:t xml:space="preserve"> يمكن دعوى </w:t>
      </w:r>
      <w:r w:rsidRPr="00282AC9">
        <w:rPr>
          <w:rFonts w:ascii="Arial" w:eastAsia="Calibri" w:hAnsi="Arial"/>
          <w:sz w:val="27"/>
          <w:rtl/>
          <w:lang w:bidi="ar-LB"/>
        </w:rPr>
        <w:t>كونها</w:t>
      </w:r>
      <w:r w:rsidRPr="00282AC9">
        <w:rPr>
          <w:rFonts w:ascii="Arial" w:eastAsia="Calibri" w:hAnsi="Arial" w:hint="cs"/>
          <w:sz w:val="27"/>
          <w:rtl/>
          <w:lang w:bidi="ar-LB"/>
        </w:rPr>
        <w:t xml:space="preserve"> </w:t>
      </w:r>
      <w:r w:rsidRPr="00282AC9">
        <w:rPr>
          <w:rFonts w:hint="eastAsia"/>
          <w:sz w:val="24"/>
          <w:szCs w:val="24"/>
          <w:rtl/>
          <w:lang w:bidi="ar-LB"/>
        </w:rPr>
        <w:t>«</w:t>
      </w:r>
      <w:r w:rsidRPr="00282AC9">
        <w:rPr>
          <w:rFonts w:ascii="Arial" w:eastAsia="Calibri" w:hAnsi="Arial"/>
          <w:sz w:val="27"/>
          <w:rtl/>
          <w:lang w:bidi="ar-LB"/>
        </w:rPr>
        <w:t>متواترة</w:t>
      </w:r>
      <w:r w:rsidR="00713EA8" w:rsidRPr="00282AC9">
        <w:rPr>
          <w:rFonts w:ascii="Arial" w:eastAsia="Calibri" w:hAnsi="Arial" w:hint="cs"/>
          <w:sz w:val="27"/>
          <w:rtl/>
          <w:lang w:bidi="ar-LB"/>
        </w:rPr>
        <w:t>ً</w:t>
      </w:r>
      <w:r w:rsidRPr="00282AC9">
        <w:rPr>
          <w:rFonts w:ascii="Arial" w:eastAsia="Calibri" w:hAnsi="Arial"/>
          <w:sz w:val="27"/>
          <w:rtl/>
          <w:lang w:bidi="ar-LB"/>
        </w:rPr>
        <w:t xml:space="preserve"> أو محفوفة</w:t>
      </w:r>
      <w:r w:rsidR="00713EA8" w:rsidRPr="00282AC9">
        <w:rPr>
          <w:rFonts w:ascii="Arial" w:eastAsia="Calibri" w:hAnsi="Arial" w:hint="cs"/>
          <w:sz w:val="27"/>
          <w:rtl/>
          <w:lang w:bidi="ar-LB"/>
        </w:rPr>
        <w:t>ً</w:t>
      </w:r>
      <w:r w:rsidRPr="00282AC9">
        <w:rPr>
          <w:rFonts w:ascii="Arial" w:eastAsia="Calibri" w:hAnsi="Arial"/>
          <w:sz w:val="27"/>
          <w:rtl/>
          <w:lang w:bidi="ar-LB"/>
        </w:rPr>
        <w:t xml:space="preserve"> بالقرينة</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37"/>
      </w:r>
      <w:r w:rsidRPr="00282AC9">
        <w:rPr>
          <w:rFonts w:ascii="Arial" w:eastAsia="Calibri" w:hAnsi="Arial"/>
          <w:sz w:val="27"/>
          <w:vertAlign w:val="superscript"/>
          <w:rtl/>
          <w:lang w:bidi="ar-LB"/>
        </w:rPr>
        <w:t>)</w:t>
      </w:r>
      <w:r w:rsidRPr="00282AC9">
        <w:rPr>
          <w:rFonts w:ascii="Arial" w:eastAsia="Calibri" w:hAnsi="Arial" w:hint="cs"/>
          <w:sz w:val="27"/>
          <w:rtl/>
          <w:lang w:bidi="ar-LB"/>
        </w:rPr>
        <w:t>.</w:t>
      </w:r>
    </w:p>
    <w:p w:rsidR="00713EA8" w:rsidRPr="00282AC9" w:rsidRDefault="0098597F" w:rsidP="004F71AA">
      <w:pPr>
        <w:spacing w:line="416" w:lineRule="exact"/>
        <w:rPr>
          <w:rFonts w:ascii="Arial" w:eastAsia="Calibri" w:hAnsi="Arial"/>
          <w:sz w:val="27"/>
          <w:rtl/>
          <w:lang w:bidi="ar-LB"/>
        </w:rPr>
      </w:pPr>
      <w:r w:rsidRPr="00282AC9">
        <w:rPr>
          <w:rFonts w:ascii="Arial" w:eastAsia="Calibri" w:hAnsi="Arial" w:hint="cs"/>
          <w:sz w:val="27"/>
          <w:rtl/>
          <w:lang w:bidi="ar-LB"/>
        </w:rPr>
        <w:t>ولكنّ المناقشتين المذكورتين محل</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إشكال</w:t>
      </w:r>
      <w:r w:rsidR="00713EA8" w:rsidRPr="00282AC9">
        <w:rPr>
          <w:rFonts w:ascii="Arial" w:eastAsia="Calibri" w:hAnsi="Arial" w:hint="cs"/>
          <w:sz w:val="27"/>
          <w:rtl/>
          <w:lang w:bidi="ar-LB"/>
        </w:rPr>
        <w:t>ٍ.</w:t>
      </w:r>
    </w:p>
    <w:p w:rsidR="0098597F" w:rsidRPr="00282AC9" w:rsidRDefault="0098597F" w:rsidP="004F71AA">
      <w:pPr>
        <w:spacing w:line="416" w:lineRule="exact"/>
        <w:rPr>
          <w:rFonts w:ascii="Arial" w:eastAsia="Calibri" w:hAnsi="Arial"/>
          <w:sz w:val="27"/>
          <w:rtl/>
          <w:lang w:bidi="ar-LB"/>
        </w:rPr>
      </w:pPr>
      <w:r w:rsidRPr="00282AC9">
        <w:rPr>
          <w:rFonts w:ascii="Arial" w:eastAsia="Calibri" w:hAnsi="Arial" w:hint="cs"/>
          <w:sz w:val="27"/>
          <w:rtl/>
          <w:lang w:bidi="ar-LB"/>
        </w:rPr>
        <w:t>أما ما ذكر في مناقشة الكبرى في</w:t>
      </w:r>
      <w:r w:rsidR="00713EA8" w:rsidRPr="00282AC9">
        <w:rPr>
          <w:rFonts w:ascii="Arial" w:eastAsia="Calibri" w:hAnsi="Arial" w:hint="cs"/>
          <w:sz w:val="27"/>
          <w:rtl/>
          <w:lang w:bidi="ar-LB"/>
        </w:rPr>
        <w:t>َ</w:t>
      </w:r>
      <w:r w:rsidRPr="00282AC9">
        <w:rPr>
          <w:rFonts w:ascii="Arial" w:eastAsia="Calibri" w:hAnsi="Arial" w:hint="cs"/>
          <w:sz w:val="27"/>
          <w:rtl/>
          <w:lang w:bidi="ar-LB"/>
        </w:rPr>
        <w:t>ر</w:t>
      </w:r>
      <w:r w:rsidR="00713EA8" w:rsidRPr="00282AC9">
        <w:rPr>
          <w:rFonts w:ascii="Arial" w:eastAsia="Calibri" w:hAnsi="Arial" w:hint="cs"/>
          <w:sz w:val="27"/>
          <w:rtl/>
          <w:lang w:bidi="ar-LB"/>
        </w:rPr>
        <w:t>ِ</w:t>
      </w:r>
      <w:r w:rsidRPr="00282AC9">
        <w:rPr>
          <w:rFonts w:ascii="Arial" w:eastAsia="Calibri" w:hAnsi="Arial" w:hint="cs"/>
          <w:sz w:val="27"/>
          <w:rtl/>
          <w:lang w:bidi="ar-LB"/>
        </w:rPr>
        <w:t>د</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عليه أنّ ثم</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ة رأياً يذهب إلى كون المستفاد من روايات </w:t>
      </w:r>
      <w:r w:rsidRPr="00282AC9">
        <w:rPr>
          <w:rFonts w:hint="eastAsia"/>
          <w:sz w:val="24"/>
          <w:szCs w:val="24"/>
          <w:rtl/>
          <w:lang w:bidi="ar-LB"/>
        </w:rPr>
        <w:t>«</w:t>
      </w:r>
      <w:r w:rsidRPr="00282AC9">
        <w:rPr>
          <w:rFonts w:ascii="Arial" w:eastAsia="Calibri" w:hAnsi="Arial" w:hint="cs"/>
          <w:sz w:val="27"/>
          <w:rtl/>
          <w:lang w:bidi="ar-LB"/>
        </w:rPr>
        <w:t>م</w:t>
      </w:r>
      <w:r w:rsidR="00713EA8" w:rsidRPr="00282AC9">
        <w:rPr>
          <w:rFonts w:ascii="Arial" w:eastAsia="Calibri" w:hAnsi="Arial" w:hint="cs"/>
          <w:sz w:val="27"/>
          <w:rtl/>
          <w:lang w:bidi="ar-LB"/>
        </w:rPr>
        <w:t>َ</w:t>
      </w:r>
      <w:r w:rsidRPr="00282AC9">
        <w:rPr>
          <w:rFonts w:ascii="Arial" w:eastAsia="Calibri" w:hAnsi="Arial" w:hint="cs"/>
          <w:sz w:val="27"/>
          <w:rtl/>
          <w:lang w:bidi="ar-LB"/>
        </w:rPr>
        <w:t>ن</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بلغ</w:t>
      </w:r>
      <w:r w:rsidRPr="00282AC9">
        <w:rPr>
          <w:rFonts w:hint="eastAsia"/>
          <w:sz w:val="24"/>
          <w:szCs w:val="24"/>
          <w:rtl/>
        </w:rPr>
        <w:t>»</w:t>
      </w:r>
      <w:r w:rsidRPr="00282AC9">
        <w:rPr>
          <w:rFonts w:ascii="Arial" w:eastAsia="Calibri" w:hAnsi="Arial" w:hint="cs"/>
          <w:sz w:val="27"/>
          <w:rtl/>
          <w:lang w:bidi="ar-LB"/>
        </w:rPr>
        <w:t xml:space="preserve"> هو مسألة</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كلامية</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كما سيأتي. </w:t>
      </w:r>
    </w:p>
    <w:p w:rsidR="0098597F" w:rsidRPr="00282AC9" w:rsidRDefault="0098597F" w:rsidP="004F71AA">
      <w:pPr>
        <w:spacing w:line="416" w:lineRule="exact"/>
        <w:rPr>
          <w:rFonts w:ascii="Arial" w:eastAsia="Calibri" w:hAnsi="Arial"/>
          <w:sz w:val="27"/>
          <w:rtl/>
          <w:lang w:bidi="ar-LB"/>
        </w:rPr>
      </w:pPr>
      <w:r w:rsidRPr="00282AC9">
        <w:rPr>
          <w:rFonts w:ascii="Arial" w:eastAsia="Calibri" w:hAnsi="Arial" w:hint="cs"/>
          <w:sz w:val="27"/>
          <w:rtl/>
          <w:lang w:bidi="ar-LB"/>
        </w:rPr>
        <w:t>وأما ما ذكر في النقاش الصغروي</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فيرد</w:t>
      </w:r>
      <w:r w:rsidR="00713EA8" w:rsidRPr="00282AC9">
        <w:rPr>
          <w:rFonts w:ascii="Arial" w:eastAsia="Calibri" w:hAnsi="Arial" w:hint="cs"/>
          <w:sz w:val="27"/>
          <w:rtl/>
          <w:lang w:bidi="ar-LB"/>
        </w:rPr>
        <w:t>ّ</w:t>
      </w:r>
      <w:r w:rsidRPr="00282AC9">
        <w:rPr>
          <w:rFonts w:ascii="Arial" w:eastAsia="Calibri" w:hAnsi="Arial" w:hint="cs"/>
          <w:sz w:val="27"/>
          <w:rtl/>
          <w:lang w:bidi="ar-LB"/>
        </w:rPr>
        <w:t>ه أنّ دعوى التواتر غير</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تام</w:t>
      </w:r>
      <w:r w:rsidR="00713EA8" w:rsidRPr="00282AC9">
        <w:rPr>
          <w:rFonts w:ascii="Arial" w:eastAsia="Calibri" w:hAnsi="Arial" w:hint="cs"/>
          <w:sz w:val="27"/>
          <w:rtl/>
          <w:lang w:bidi="ar-LB"/>
        </w:rPr>
        <w:t>ّ</w:t>
      </w:r>
      <w:r w:rsidRPr="00282AC9">
        <w:rPr>
          <w:rFonts w:ascii="Arial" w:eastAsia="Calibri" w:hAnsi="Arial" w:hint="cs"/>
          <w:sz w:val="27"/>
          <w:rtl/>
          <w:lang w:bidi="ar-LB"/>
        </w:rPr>
        <w:t>ة</w:t>
      </w:r>
      <w:r w:rsidR="00713EA8" w:rsidRPr="00282AC9">
        <w:rPr>
          <w:rFonts w:ascii="Arial" w:eastAsia="Calibri" w:hAnsi="Arial" w:hint="cs"/>
          <w:sz w:val="27"/>
          <w:rtl/>
          <w:lang w:bidi="ar-LB"/>
        </w:rPr>
        <w:t>ٍ</w:t>
      </w:r>
      <w:r w:rsidRPr="00282AC9">
        <w:rPr>
          <w:rFonts w:ascii="Arial" w:eastAsia="Calibri" w:hAnsi="Arial" w:hint="cs"/>
          <w:sz w:val="27"/>
          <w:rtl/>
          <w:lang w:bidi="ar-LB"/>
        </w:rPr>
        <w:t>، فإنّ الأخبار المشار إليها لا تبلغ مستوى التواتر.</w:t>
      </w:r>
    </w:p>
    <w:p w:rsidR="0098597F" w:rsidRPr="00282AC9" w:rsidRDefault="0098597F" w:rsidP="004F71AA">
      <w:pPr>
        <w:spacing w:line="416" w:lineRule="exact"/>
        <w:rPr>
          <w:rFonts w:ascii="Arial" w:eastAsia="Calibri" w:hAnsi="Arial"/>
          <w:sz w:val="27"/>
          <w:rtl/>
          <w:lang w:bidi="ar-LB"/>
        </w:rPr>
      </w:pPr>
      <w:r w:rsidRPr="00282AC9">
        <w:rPr>
          <w:rFonts w:ascii="Arial" w:eastAsia="Calibri" w:hAnsi="Arial" w:hint="cs"/>
          <w:sz w:val="27"/>
          <w:rtl/>
          <w:lang w:bidi="ar-LB"/>
        </w:rPr>
        <w:t xml:space="preserve"> أجل، إننا لا نحتاج ـ على المختار ـ إلى ثبوت تواترها أو حصول اليقين بصدورها، بل يكفي الوثوق بها</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و</w:t>
      </w:r>
      <w:r w:rsidR="00674EF5" w:rsidRPr="00282AC9">
        <w:rPr>
          <w:rFonts w:ascii="Arial" w:eastAsia="Calibri" w:hAnsi="Arial" w:hint="cs"/>
          <w:sz w:val="27"/>
          <w:rtl/>
          <w:lang w:bidi="ar-LB"/>
        </w:rPr>
        <w:t>لا شَكَّ</w:t>
      </w:r>
      <w:r w:rsidRPr="00282AC9">
        <w:rPr>
          <w:rFonts w:ascii="Arial" w:eastAsia="Calibri" w:hAnsi="Arial" w:hint="cs"/>
          <w:sz w:val="27"/>
          <w:rtl/>
          <w:lang w:bidi="ar-LB"/>
        </w:rPr>
        <w:t xml:space="preserve"> أنّ هذه الأخبار مم</w:t>
      </w:r>
      <w:r w:rsidR="00713EA8" w:rsidRPr="00282AC9">
        <w:rPr>
          <w:rFonts w:ascii="Arial" w:eastAsia="Calibri" w:hAnsi="Arial" w:hint="cs"/>
          <w:sz w:val="27"/>
          <w:rtl/>
          <w:lang w:bidi="ar-LB"/>
        </w:rPr>
        <w:t>ّ</w:t>
      </w:r>
      <w:r w:rsidRPr="00282AC9">
        <w:rPr>
          <w:rFonts w:ascii="Arial" w:eastAsia="Calibri" w:hAnsi="Arial" w:hint="cs"/>
          <w:sz w:val="27"/>
          <w:rtl/>
          <w:lang w:bidi="ar-LB"/>
        </w:rPr>
        <w:t>ا يحصل الوثوق بصدورها، و</w:t>
      </w:r>
      <w:r w:rsidR="00674EF5" w:rsidRPr="00282AC9">
        <w:rPr>
          <w:rFonts w:ascii="Arial" w:eastAsia="Calibri" w:hAnsi="Arial" w:hint="cs"/>
          <w:sz w:val="27"/>
          <w:rtl/>
          <w:lang w:bidi="ar-LB"/>
        </w:rPr>
        <w:t>لا سيَّما</w:t>
      </w:r>
      <w:r w:rsidRPr="00282AC9">
        <w:rPr>
          <w:rFonts w:ascii="Arial" w:eastAsia="Calibri" w:hAnsi="Arial" w:hint="cs"/>
          <w:sz w:val="27"/>
          <w:rtl/>
          <w:lang w:bidi="ar-LB"/>
        </w:rPr>
        <w:t xml:space="preserve"> إذا أخذنا بالتفسير المختار والآتي لها</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والذي يدفع أي</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إشكال</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أو شبهة</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عن مضمونها</w:t>
      </w:r>
      <w:r w:rsidR="00713EA8" w:rsidRPr="00282AC9">
        <w:rPr>
          <w:rFonts w:ascii="Arial" w:eastAsia="Calibri" w:hAnsi="Arial" w:hint="cs"/>
          <w:sz w:val="27"/>
          <w:rtl/>
          <w:lang w:bidi="ar-LB"/>
        </w:rPr>
        <w:t>،</w:t>
      </w:r>
      <w:r w:rsidRPr="00282AC9">
        <w:rPr>
          <w:rFonts w:ascii="Arial" w:eastAsia="Calibri" w:hAnsi="Arial" w:hint="cs"/>
          <w:sz w:val="27"/>
          <w:rtl/>
          <w:lang w:bidi="ar-LB"/>
        </w:rPr>
        <w:t xml:space="preserve"> مم</w:t>
      </w:r>
      <w:r w:rsidR="00713EA8" w:rsidRPr="00282AC9">
        <w:rPr>
          <w:rFonts w:ascii="Arial" w:eastAsia="Calibri" w:hAnsi="Arial" w:hint="cs"/>
          <w:sz w:val="27"/>
          <w:rtl/>
          <w:lang w:bidi="ar-LB"/>
        </w:rPr>
        <w:t>ّ</w:t>
      </w:r>
      <w:r w:rsidRPr="00282AC9">
        <w:rPr>
          <w:rFonts w:ascii="Arial" w:eastAsia="Calibri" w:hAnsi="Arial" w:hint="cs"/>
          <w:sz w:val="27"/>
          <w:rtl/>
          <w:lang w:bidi="ar-LB"/>
        </w:rPr>
        <w:t>ا قد ي</w:t>
      </w:r>
      <w:r w:rsidR="00713EA8" w:rsidRPr="00282AC9">
        <w:rPr>
          <w:rFonts w:ascii="Arial" w:eastAsia="Calibri" w:hAnsi="Arial" w:hint="cs"/>
          <w:sz w:val="27"/>
          <w:rtl/>
          <w:lang w:bidi="ar-LB"/>
        </w:rPr>
        <w:t>ُ</w:t>
      </w:r>
      <w:r w:rsidRPr="00282AC9">
        <w:rPr>
          <w:rFonts w:ascii="Arial" w:eastAsia="Calibri" w:hAnsi="Arial" w:hint="cs"/>
          <w:sz w:val="27"/>
          <w:rtl/>
          <w:lang w:bidi="ar-LB"/>
        </w:rPr>
        <w:t>عيق حصول الوثوق والاطمئنان. وهذا ما ألمح إليه المستشك</w:t>
      </w:r>
      <w:r w:rsidR="0080292A" w:rsidRPr="00282AC9">
        <w:rPr>
          <w:rFonts w:ascii="Arial" w:eastAsia="Calibri" w:hAnsi="Arial" w:hint="cs"/>
          <w:sz w:val="27"/>
          <w:rtl/>
          <w:lang w:bidi="ar-LB"/>
        </w:rPr>
        <w:t>ِ</w:t>
      </w:r>
      <w:r w:rsidRPr="00282AC9">
        <w:rPr>
          <w:rFonts w:ascii="Arial" w:eastAsia="Calibri" w:hAnsi="Arial" w:hint="cs"/>
          <w:sz w:val="27"/>
          <w:rtl/>
          <w:lang w:bidi="ar-LB"/>
        </w:rPr>
        <w:t xml:space="preserve">ل بقوله: </w:t>
      </w:r>
      <w:r w:rsidRPr="00282AC9">
        <w:rPr>
          <w:rFonts w:hint="eastAsia"/>
          <w:sz w:val="24"/>
          <w:szCs w:val="24"/>
          <w:rtl/>
          <w:lang w:bidi="ar-LB"/>
        </w:rPr>
        <w:t>«</w:t>
      </w:r>
      <w:r w:rsidRPr="00282AC9">
        <w:rPr>
          <w:rFonts w:ascii="Arial" w:eastAsia="Calibri" w:hAnsi="Arial" w:hint="cs"/>
          <w:sz w:val="27"/>
          <w:rtl/>
          <w:lang w:bidi="ar-LB"/>
        </w:rPr>
        <w:t>أو محفوفة بالقرينة</w:t>
      </w:r>
      <w:r w:rsidRPr="00282AC9">
        <w:rPr>
          <w:rFonts w:hint="eastAsia"/>
          <w:sz w:val="24"/>
          <w:szCs w:val="24"/>
          <w:rtl/>
        </w:rPr>
        <w:t>»</w:t>
      </w:r>
      <w:r w:rsidRPr="00282AC9">
        <w:rPr>
          <w:rFonts w:ascii="Arial" w:eastAsia="Calibri" w:hAnsi="Arial" w:hint="cs"/>
          <w:sz w:val="27"/>
          <w:rtl/>
          <w:lang w:bidi="ar-LB"/>
        </w:rPr>
        <w:t>.</w:t>
      </w:r>
    </w:p>
    <w:p w:rsidR="0098597F" w:rsidRPr="00282AC9" w:rsidRDefault="0098597F" w:rsidP="009C6A22">
      <w:pPr>
        <w:pStyle w:val="31"/>
        <w:rPr>
          <w:rFonts w:eastAsia="MS Mincho"/>
          <w:color w:val="auto"/>
          <w:rtl/>
          <w:lang w:bidi="ar-LB"/>
        </w:rPr>
      </w:pPr>
      <w:r w:rsidRPr="00282AC9">
        <w:rPr>
          <w:rFonts w:eastAsia="MS Mincho" w:hint="cs"/>
          <w:color w:val="auto"/>
          <w:rtl/>
          <w:lang w:bidi="ar-LB"/>
        </w:rPr>
        <w:lastRenderedPageBreak/>
        <w:t>ثانياً: فقهاء الس</w:t>
      </w:r>
      <w:r w:rsidR="002A096D" w:rsidRPr="00282AC9">
        <w:rPr>
          <w:rFonts w:eastAsia="MS Mincho" w:hint="cs"/>
          <w:color w:val="auto"/>
          <w:rtl/>
          <w:lang w:bidi="ar-LB"/>
        </w:rPr>
        <w:t>ُّ</w:t>
      </w:r>
      <w:r w:rsidRPr="00282AC9">
        <w:rPr>
          <w:rFonts w:eastAsia="MS Mincho" w:hint="cs"/>
          <w:color w:val="auto"/>
          <w:rtl/>
          <w:lang w:bidi="ar-LB"/>
        </w:rPr>
        <w:t>ن</w:t>
      </w:r>
      <w:r w:rsidR="0080292A" w:rsidRPr="00282AC9">
        <w:rPr>
          <w:rFonts w:eastAsia="MS Mincho" w:hint="cs"/>
          <w:color w:val="auto"/>
          <w:rtl/>
          <w:lang w:bidi="ar-LB"/>
        </w:rPr>
        <w:t>ّ</w:t>
      </w:r>
      <w:r w:rsidRPr="00282AC9">
        <w:rPr>
          <w:rFonts w:eastAsia="MS Mincho" w:hint="cs"/>
          <w:color w:val="auto"/>
          <w:rtl/>
          <w:lang w:bidi="ar-LB"/>
        </w:rPr>
        <w:t>ة</w:t>
      </w:r>
    </w:p>
    <w:p w:rsidR="0080292A" w:rsidRPr="00282AC9" w:rsidRDefault="0098597F" w:rsidP="004F71AA">
      <w:pPr>
        <w:spacing w:line="420" w:lineRule="exact"/>
        <w:rPr>
          <w:rtl/>
        </w:rPr>
      </w:pPr>
      <w:r w:rsidRPr="00282AC9">
        <w:rPr>
          <w:rFonts w:hint="cs"/>
          <w:rtl/>
        </w:rPr>
        <w:t>وقاعدة التسامح في أدلة الس</w:t>
      </w:r>
      <w:r w:rsidR="0080292A" w:rsidRPr="00282AC9">
        <w:rPr>
          <w:rFonts w:hint="cs"/>
          <w:rtl/>
        </w:rPr>
        <w:t>ُّ</w:t>
      </w:r>
      <w:r w:rsidRPr="00282AC9">
        <w:rPr>
          <w:rFonts w:hint="cs"/>
          <w:rtl/>
        </w:rPr>
        <w:t>ن</w:t>
      </w:r>
      <w:r w:rsidR="0080292A" w:rsidRPr="00282AC9">
        <w:rPr>
          <w:rFonts w:hint="cs"/>
          <w:rtl/>
        </w:rPr>
        <w:t>َ</w:t>
      </w:r>
      <w:r w:rsidRPr="00282AC9">
        <w:rPr>
          <w:rFonts w:hint="cs"/>
          <w:rtl/>
        </w:rPr>
        <w:t>ن مطروحة</w:t>
      </w:r>
      <w:r w:rsidR="0080292A" w:rsidRPr="00282AC9">
        <w:rPr>
          <w:rFonts w:hint="cs"/>
          <w:rtl/>
        </w:rPr>
        <w:t>ٌ</w:t>
      </w:r>
      <w:r w:rsidRPr="00282AC9">
        <w:rPr>
          <w:rFonts w:hint="cs"/>
          <w:rtl/>
        </w:rPr>
        <w:t xml:space="preserve"> في مصادر أهل السن</w:t>
      </w:r>
      <w:r w:rsidR="0080292A" w:rsidRPr="00282AC9">
        <w:rPr>
          <w:rFonts w:hint="cs"/>
          <w:rtl/>
        </w:rPr>
        <w:t>ّ</w:t>
      </w:r>
      <w:r w:rsidRPr="00282AC9">
        <w:rPr>
          <w:rFonts w:hint="cs"/>
          <w:rtl/>
        </w:rPr>
        <w:t>ة أيضاً</w:t>
      </w:r>
      <w:r w:rsidR="0080292A" w:rsidRPr="00282AC9">
        <w:rPr>
          <w:rFonts w:hint="cs"/>
          <w:rtl/>
        </w:rPr>
        <w:t>.</w:t>
      </w:r>
    </w:p>
    <w:p w:rsidR="0098597F" w:rsidRPr="00282AC9" w:rsidRDefault="0098597F" w:rsidP="00E327D7">
      <w:pPr>
        <w:rPr>
          <w:rtl/>
        </w:rPr>
      </w:pPr>
      <w:r w:rsidRPr="00282AC9">
        <w:rPr>
          <w:rFonts w:hint="cs"/>
          <w:rtl/>
        </w:rPr>
        <w:t>والاتجاهان المطروحان عند فقهائنا نجدهما عند فقهاء السن</w:t>
      </w:r>
      <w:r w:rsidR="0080292A" w:rsidRPr="00282AC9">
        <w:rPr>
          <w:rFonts w:hint="cs"/>
          <w:rtl/>
        </w:rPr>
        <w:t>ّ</w:t>
      </w:r>
      <w:r w:rsidRPr="00282AC9">
        <w:rPr>
          <w:rFonts w:hint="cs"/>
          <w:rtl/>
        </w:rPr>
        <w:t xml:space="preserve">ة: </w:t>
      </w:r>
    </w:p>
    <w:p w:rsidR="008D16A9" w:rsidRPr="00282AC9" w:rsidRDefault="0098597F" w:rsidP="00E327D7">
      <w:pPr>
        <w:rPr>
          <w:rtl/>
        </w:rPr>
      </w:pPr>
      <w:r w:rsidRPr="00282AC9">
        <w:rPr>
          <w:rFonts w:hint="cs"/>
          <w:b/>
          <w:bCs/>
          <w:rtl/>
        </w:rPr>
        <w:t>الأو</w:t>
      </w:r>
      <w:r w:rsidR="0080292A" w:rsidRPr="00282AC9">
        <w:rPr>
          <w:rFonts w:hint="cs"/>
          <w:b/>
          <w:bCs/>
          <w:rtl/>
        </w:rPr>
        <w:t>ّ</w:t>
      </w:r>
      <w:r w:rsidRPr="00282AC9">
        <w:rPr>
          <w:rFonts w:hint="cs"/>
          <w:b/>
          <w:bCs/>
          <w:rtl/>
        </w:rPr>
        <w:t>ل</w:t>
      </w:r>
      <w:r w:rsidRPr="00282AC9">
        <w:rPr>
          <w:rFonts w:hint="cs"/>
          <w:rtl/>
        </w:rPr>
        <w:t>: م</w:t>
      </w:r>
      <w:r w:rsidR="0080292A" w:rsidRPr="00282AC9">
        <w:rPr>
          <w:rFonts w:hint="cs"/>
          <w:rtl/>
        </w:rPr>
        <w:t>َ</w:t>
      </w:r>
      <w:r w:rsidRPr="00282AC9">
        <w:rPr>
          <w:rFonts w:hint="cs"/>
          <w:rtl/>
        </w:rPr>
        <w:t>ن</w:t>
      </w:r>
      <w:r w:rsidR="0080292A" w:rsidRPr="00282AC9">
        <w:rPr>
          <w:rFonts w:hint="cs"/>
          <w:rtl/>
        </w:rPr>
        <w:t>ْ</w:t>
      </w:r>
      <w:r w:rsidRPr="00282AC9">
        <w:rPr>
          <w:rFonts w:hint="cs"/>
          <w:rtl/>
        </w:rPr>
        <w:t xml:space="preserve"> اعتقد بالقاعدة، كالإمام أحمد بن حنبل</w:t>
      </w:r>
      <w:r w:rsidR="0080292A" w:rsidRPr="00282AC9">
        <w:rPr>
          <w:rFonts w:hint="cs"/>
          <w:rtl/>
        </w:rPr>
        <w:t>.</w:t>
      </w:r>
    </w:p>
    <w:p w:rsidR="0098597F" w:rsidRPr="00282AC9" w:rsidRDefault="0098597F" w:rsidP="00E327D7">
      <w:pPr>
        <w:rPr>
          <w:rtl/>
        </w:rPr>
      </w:pPr>
      <w:r w:rsidRPr="00282AC9">
        <w:rPr>
          <w:rFonts w:hint="cs"/>
          <w:rtl/>
        </w:rPr>
        <w:t xml:space="preserve">قال ابن حجر: </w:t>
      </w:r>
      <w:r w:rsidRPr="00282AC9">
        <w:rPr>
          <w:rFonts w:hint="eastAsia"/>
          <w:sz w:val="24"/>
          <w:szCs w:val="24"/>
          <w:rtl/>
        </w:rPr>
        <w:t>«</w:t>
      </w:r>
      <w:r w:rsidRPr="00282AC9">
        <w:rPr>
          <w:rFonts w:hint="cs"/>
          <w:rtl/>
        </w:rPr>
        <w:t>و</w:t>
      </w:r>
      <w:r w:rsidRPr="00282AC9">
        <w:rPr>
          <w:rtl/>
        </w:rPr>
        <w:t>قد ثبت عن الإمام أحمد وغيره من الأئم</w:t>
      </w:r>
      <w:r w:rsidR="0080292A" w:rsidRPr="00282AC9">
        <w:rPr>
          <w:rFonts w:hint="cs"/>
          <w:rtl/>
        </w:rPr>
        <w:t>ّ</w:t>
      </w:r>
      <w:r w:rsidRPr="00282AC9">
        <w:rPr>
          <w:rtl/>
        </w:rPr>
        <w:t>ة أنهم قالوا: إذا روينا في الحلال والحرام شد</w:t>
      </w:r>
      <w:r w:rsidR="0080292A" w:rsidRPr="00282AC9">
        <w:rPr>
          <w:rFonts w:hint="cs"/>
          <w:rtl/>
        </w:rPr>
        <w:t>ّ</w:t>
      </w:r>
      <w:r w:rsidRPr="00282AC9">
        <w:rPr>
          <w:rtl/>
        </w:rPr>
        <w:t>دنا</w:t>
      </w:r>
      <w:r w:rsidRPr="00282AC9">
        <w:rPr>
          <w:rFonts w:hint="cs"/>
          <w:rtl/>
        </w:rPr>
        <w:t>،</w:t>
      </w:r>
      <w:r w:rsidRPr="00282AC9">
        <w:rPr>
          <w:rtl/>
        </w:rPr>
        <w:t xml:space="preserve"> وإذا روينا في الفضائل ونحوها</w:t>
      </w:r>
      <w:r w:rsidRPr="00282AC9">
        <w:rPr>
          <w:rFonts w:hint="cs"/>
          <w:rtl/>
        </w:rPr>
        <w:t xml:space="preserve"> </w:t>
      </w:r>
      <w:r w:rsidRPr="00282AC9">
        <w:rPr>
          <w:rtl/>
        </w:rPr>
        <w:t>تساهلنا</w:t>
      </w:r>
      <w:r w:rsidRPr="00282AC9">
        <w:rPr>
          <w:rFonts w:hint="eastAsia"/>
          <w:sz w:val="24"/>
          <w:szCs w:val="24"/>
          <w:rtl/>
        </w:rPr>
        <w:t>»</w:t>
      </w:r>
      <w:r w:rsidRPr="00282AC9">
        <w:rPr>
          <w:vertAlign w:val="superscript"/>
          <w:rtl/>
        </w:rPr>
        <w:t>(</w:t>
      </w:r>
      <w:r w:rsidRPr="00282AC9">
        <w:rPr>
          <w:vertAlign w:val="superscript"/>
          <w:rtl/>
        </w:rPr>
        <w:endnoteReference w:id="138"/>
      </w:r>
      <w:r w:rsidRPr="00282AC9">
        <w:rPr>
          <w:vertAlign w:val="superscript"/>
          <w:rtl/>
        </w:rPr>
        <w:t>)</w:t>
      </w:r>
      <w:r w:rsidRPr="00282AC9">
        <w:rPr>
          <w:rFonts w:hint="cs"/>
          <w:rtl/>
        </w:rPr>
        <w:t>. والمقصود بالفضائل هي المستحب</w:t>
      </w:r>
      <w:r w:rsidR="0080292A" w:rsidRPr="00282AC9">
        <w:rPr>
          <w:rFonts w:hint="cs"/>
          <w:rtl/>
        </w:rPr>
        <w:t>ّ</w:t>
      </w:r>
      <w:r w:rsidRPr="00282AC9">
        <w:rPr>
          <w:rFonts w:hint="cs"/>
          <w:rtl/>
        </w:rPr>
        <w:t>ات، كما ي</w:t>
      </w:r>
      <w:r w:rsidR="0080292A" w:rsidRPr="00282AC9">
        <w:rPr>
          <w:rFonts w:hint="cs"/>
          <w:rtl/>
        </w:rPr>
        <w:t>ُ</w:t>
      </w:r>
      <w:r w:rsidRPr="00282AC9">
        <w:rPr>
          <w:rFonts w:hint="cs"/>
          <w:rtl/>
        </w:rPr>
        <w:t>ستفاد من كلمات الفقهاء من أهل السن</w:t>
      </w:r>
      <w:r w:rsidR="0080292A" w:rsidRPr="00282AC9">
        <w:rPr>
          <w:rFonts w:hint="cs"/>
          <w:rtl/>
        </w:rPr>
        <w:t>ّ</w:t>
      </w:r>
      <w:r w:rsidRPr="00282AC9">
        <w:rPr>
          <w:rFonts w:hint="cs"/>
          <w:rtl/>
        </w:rPr>
        <w:t>ة</w:t>
      </w:r>
      <w:r w:rsidR="0080292A" w:rsidRPr="00282AC9">
        <w:rPr>
          <w:rFonts w:hint="cs"/>
          <w:rtl/>
        </w:rPr>
        <w:t>،</w:t>
      </w:r>
      <w:r w:rsidRPr="00282AC9">
        <w:rPr>
          <w:rFonts w:hint="cs"/>
          <w:rtl/>
        </w:rPr>
        <w:t xml:space="preserve"> وبعض الشيعة أيضاً، مم</w:t>
      </w:r>
      <w:r w:rsidR="0080292A" w:rsidRPr="00282AC9">
        <w:rPr>
          <w:rFonts w:hint="cs"/>
          <w:rtl/>
        </w:rPr>
        <w:t>َّ</w:t>
      </w:r>
      <w:r w:rsidRPr="00282AC9">
        <w:rPr>
          <w:rFonts w:hint="cs"/>
          <w:rtl/>
        </w:rPr>
        <w:t>ن</w:t>
      </w:r>
      <w:r w:rsidR="0080292A" w:rsidRPr="00282AC9">
        <w:rPr>
          <w:rFonts w:hint="cs"/>
          <w:rtl/>
        </w:rPr>
        <w:t>ْ</w:t>
      </w:r>
      <w:r w:rsidRPr="00282AC9">
        <w:rPr>
          <w:rFonts w:hint="cs"/>
          <w:rtl/>
        </w:rPr>
        <w:t xml:space="preserve"> عبّ</w:t>
      </w:r>
      <w:r w:rsidR="0080292A" w:rsidRPr="00282AC9">
        <w:rPr>
          <w:rFonts w:hint="cs"/>
          <w:rtl/>
        </w:rPr>
        <w:t>َ</w:t>
      </w:r>
      <w:r w:rsidRPr="00282AC9">
        <w:rPr>
          <w:rFonts w:hint="cs"/>
          <w:rtl/>
        </w:rPr>
        <w:t xml:space="preserve">ر بفضائل الأعمال. </w:t>
      </w:r>
    </w:p>
    <w:p w:rsidR="0098597F" w:rsidRPr="00282AC9" w:rsidRDefault="0098597F" w:rsidP="00E327D7">
      <w:pPr>
        <w:rPr>
          <w:rtl/>
        </w:rPr>
      </w:pPr>
      <w:r w:rsidRPr="00282AC9">
        <w:rPr>
          <w:rFonts w:hint="cs"/>
          <w:rtl/>
        </w:rPr>
        <w:t>قال ابن عبد البر</w:t>
      </w:r>
      <w:r w:rsidR="0080292A" w:rsidRPr="00282AC9">
        <w:rPr>
          <w:rFonts w:hint="cs"/>
          <w:rtl/>
        </w:rPr>
        <w:t>ّ(</w:t>
      </w:r>
      <w:r w:rsidRPr="00282AC9">
        <w:rPr>
          <w:rFonts w:hint="cs"/>
          <w:rtl/>
        </w:rPr>
        <w:t xml:space="preserve">463هـ): </w:t>
      </w:r>
      <w:r w:rsidRPr="00282AC9">
        <w:rPr>
          <w:rFonts w:hint="eastAsia"/>
          <w:sz w:val="24"/>
          <w:szCs w:val="24"/>
          <w:rtl/>
        </w:rPr>
        <w:t>«</w:t>
      </w:r>
      <w:r w:rsidRPr="00282AC9">
        <w:rPr>
          <w:rtl/>
        </w:rPr>
        <w:t>وأحاديث الفضائل لا يحتاج فيها إلى م</w:t>
      </w:r>
      <w:r w:rsidR="0080292A" w:rsidRPr="00282AC9">
        <w:rPr>
          <w:rFonts w:hint="cs"/>
          <w:rtl/>
        </w:rPr>
        <w:t>َ</w:t>
      </w:r>
      <w:r w:rsidRPr="00282AC9">
        <w:rPr>
          <w:rtl/>
        </w:rPr>
        <w:t>ن</w:t>
      </w:r>
      <w:r w:rsidR="0080292A" w:rsidRPr="00282AC9">
        <w:rPr>
          <w:rFonts w:hint="cs"/>
          <w:rtl/>
        </w:rPr>
        <w:t>ْ</w:t>
      </w:r>
      <w:r w:rsidRPr="00282AC9">
        <w:rPr>
          <w:rtl/>
        </w:rPr>
        <w:t xml:space="preserve"> يحتج</w:t>
      </w:r>
      <w:r w:rsidR="0080292A" w:rsidRPr="00282AC9">
        <w:rPr>
          <w:rFonts w:hint="cs"/>
          <w:rtl/>
        </w:rPr>
        <w:t>ّ</w:t>
      </w:r>
      <w:r w:rsidRPr="00282AC9">
        <w:rPr>
          <w:rtl/>
        </w:rPr>
        <w:t xml:space="preserve"> به</w:t>
      </w:r>
      <w:r w:rsidRPr="00282AC9">
        <w:rPr>
          <w:rFonts w:hint="eastAsia"/>
          <w:sz w:val="24"/>
          <w:szCs w:val="24"/>
          <w:rtl/>
        </w:rPr>
        <w:t>»</w:t>
      </w:r>
      <w:r w:rsidRPr="00282AC9">
        <w:rPr>
          <w:vertAlign w:val="superscript"/>
          <w:rtl/>
        </w:rPr>
        <w:t>(</w:t>
      </w:r>
      <w:r w:rsidRPr="00282AC9">
        <w:rPr>
          <w:vertAlign w:val="superscript"/>
          <w:rtl/>
        </w:rPr>
        <w:endnoteReference w:id="139"/>
      </w:r>
      <w:r w:rsidRPr="00282AC9">
        <w:rPr>
          <w:vertAlign w:val="superscript"/>
          <w:rtl/>
        </w:rPr>
        <w:t>)</w:t>
      </w:r>
      <w:r w:rsidRPr="00282AC9">
        <w:rPr>
          <w:rFonts w:hint="cs"/>
          <w:rtl/>
        </w:rPr>
        <w:t>.</w:t>
      </w:r>
    </w:p>
    <w:p w:rsidR="0098597F" w:rsidRPr="00282AC9" w:rsidRDefault="0080292A" w:rsidP="00E327D7">
      <w:pPr>
        <w:rPr>
          <w:rtl/>
        </w:rPr>
      </w:pPr>
      <w:r w:rsidRPr="00282AC9">
        <w:rPr>
          <w:rFonts w:hint="cs"/>
          <w:rtl/>
        </w:rPr>
        <w:t>وقال الخطيب البغدادي</w:t>
      </w:r>
      <w:r w:rsidR="0098597F" w:rsidRPr="00282AC9">
        <w:rPr>
          <w:rFonts w:hint="cs"/>
          <w:rtl/>
        </w:rPr>
        <w:t>(463هـ)</w:t>
      </w:r>
      <w:r w:rsidRPr="00282AC9">
        <w:rPr>
          <w:rFonts w:hint="cs"/>
          <w:rtl/>
        </w:rPr>
        <w:t>،</w:t>
      </w:r>
      <w:r w:rsidR="0098597F" w:rsidRPr="00282AC9">
        <w:rPr>
          <w:rFonts w:hint="cs"/>
          <w:rtl/>
        </w:rPr>
        <w:t xml:space="preserve"> تحت عنوان </w:t>
      </w:r>
      <w:r w:rsidR="0098597F" w:rsidRPr="00282AC9">
        <w:rPr>
          <w:rFonts w:hint="eastAsia"/>
          <w:sz w:val="24"/>
          <w:szCs w:val="24"/>
          <w:rtl/>
        </w:rPr>
        <w:t>«</w:t>
      </w:r>
      <w:r w:rsidR="0098597F" w:rsidRPr="00282AC9">
        <w:rPr>
          <w:rtl/>
        </w:rPr>
        <w:t>باب التشد</w:t>
      </w:r>
      <w:r w:rsidRPr="00282AC9">
        <w:rPr>
          <w:rFonts w:hint="cs"/>
          <w:rtl/>
        </w:rPr>
        <w:t>ُّ</w:t>
      </w:r>
      <w:r w:rsidRPr="00282AC9">
        <w:rPr>
          <w:rtl/>
        </w:rPr>
        <w:t>د في أحاديث ال</w:t>
      </w:r>
      <w:r w:rsidR="00322DF7" w:rsidRPr="00282AC9">
        <w:rPr>
          <w:rFonts w:hint="cs"/>
          <w:rtl/>
        </w:rPr>
        <w:t>أ</w:t>
      </w:r>
      <w:r w:rsidRPr="00282AC9">
        <w:rPr>
          <w:rtl/>
        </w:rPr>
        <w:t>حكام</w:t>
      </w:r>
      <w:r w:rsidRPr="00282AC9">
        <w:rPr>
          <w:rFonts w:hint="cs"/>
          <w:rtl/>
        </w:rPr>
        <w:t xml:space="preserve"> </w:t>
      </w:r>
      <w:r w:rsidR="0098597F" w:rsidRPr="00282AC9">
        <w:rPr>
          <w:rtl/>
        </w:rPr>
        <w:t>والتجوز في فضائل الأعمال</w:t>
      </w:r>
      <w:r w:rsidR="0098597F" w:rsidRPr="00282AC9">
        <w:rPr>
          <w:rFonts w:hint="eastAsia"/>
          <w:sz w:val="24"/>
          <w:szCs w:val="24"/>
          <w:rtl/>
        </w:rPr>
        <w:t>»</w:t>
      </w:r>
      <w:r w:rsidR="0098597F" w:rsidRPr="00282AC9">
        <w:rPr>
          <w:rFonts w:hint="cs"/>
          <w:rtl/>
        </w:rPr>
        <w:t xml:space="preserve">: </w:t>
      </w:r>
      <w:r w:rsidR="0098597F" w:rsidRPr="00282AC9">
        <w:rPr>
          <w:rFonts w:hint="eastAsia"/>
          <w:sz w:val="24"/>
          <w:szCs w:val="24"/>
          <w:rtl/>
        </w:rPr>
        <w:t>«</w:t>
      </w:r>
      <w:r w:rsidR="0098597F" w:rsidRPr="00282AC9">
        <w:rPr>
          <w:rtl/>
        </w:rPr>
        <w:t>قد ورد عن غير واحد</w:t>
      </w:r>
      <w:r w:rsidRPr="00282AC9">
        <w:rPr>
          <w:rFonts w:hint="cs"/>
          <w:rtl/>
        </w:rPr>
        <w:t>ٍ</w:t>
      </w:r>
      <w:r w:rsidR="0098597F" w:rsidRPr="00282AC9">
        <w:rPr>
          <w:rtl/>
        </w:rPr>
        <w:t xml:space="preserve"> من الس</w:t>
      </w:r>
      <w:r w:rsidRPr="00282AC9">
        <w:rPr>
          <w:rFonts w:hint="cs"/>
          <w:rtl/>
        </w:rPr>
        <w:t>َّ</w:t>
      </w:r>
      <w:r w:rsidR="0098597F" w:rsidRPr="00282AC9">
        <w:rPr>
          <w:rtl/>
        </w:rPr>
        <w:t>ل</w:t>
      </w:r>
      <w:r w:rsidRPr="00282AC9">
        <w:rPr>
          <w:rFonts w:hint="cs"/>
          <w:rtl/>
        </w:rPr>
        <w:t>َ</w:t>
      </w:r>
      <w:r w:rsidR="0098597F" w:rsidRPr="00282AC9">
        <w:rPr>
          <w:rtl/>
        </w:rPr>
        <w:t xml:space="preserve">ف </w:t>
      </w:r>
      <w:r w:rsidR="0098597F" w:rsidRPr="00282AC9">
        <w:rPr>
          <w:rFonts w:hint="cs"/>
          <w:rtl/>
        </w:rPr>
        <w:t>أ</w:t>
      </w:r>
      <w:r w:rsidR="0098597F" w:rsidRPr="00282AC9">
        <w:rPr>
          <w:rtl/>
        </w:rPr>
        <w:t>نه لا يجوز حمل الأحاديث المتعل</w:t>
      </w:r>
      <w:r w:rsidRPr="00282AC9">
        <w:rPr>
          <w:rFonts w:hint="cs"/>
          <w:rtl/>
        </w:rPr>
        <w:t>ِّ</w:t>
      </w:r>
      <w:r w:rsidR="0098597F" w:rsidRPr="00282AC9">
        <w:rPr>
          <w:rtl/>
        </w:rPr>
        <w:t>قة</w:t>
      </w:r>
      <w:r w:rsidR="0098597F" w:rsidRPr="00282AC9">
        <w:rPr>
          <w:rFonts w:hint="cs"/>
          <w:rtl/>
        </w:rPr>
        <w:t xml:space="preserve"> </w:t>
      </w:r>
      <w:r w:rsidR="0098597F" w:rsidRPr="00282AC9">
        <w:rPr>
          <w:rtl/>
        </w:rPr>
        <w:t xml:space="preserve">بالتحليل والتحريم </w:t>
      </w:r>
      <w:r w:rsidR="0098597F" w:rsidRPr="00282AC9">
        <w:rPr>
          <w:rFonts w:hint="cs"/>
          <w:rtl/>
        </w:rPr>
        <w:t>إ</w:t>
      </w:r>
      <w:r w:rsidR="0098597F" w:rsidRPr="00282AC9">
        <w:rPr>
          <w:rtl/>
        </w:rPr>
        <w:t>لا</w:t>
      </w:r>
      <w:r w:rsidRPr="00282AC9">
        <w:rPr>
          <w:rFonts w:hint="cs"/>
          <w:rtl/>
        </w:rPr>
        <w:t>ّ</w:t>
      </w:r>
      <w:r w:rsidR="0098597F" w:rsidRPr="00282AC9">
        <w:rPr>
          <w:rtl/>
        </w:rPr>
        <w:t xml:space="preserve"> عم</w:t>
      </w:r>
      <w:r w:rsidRPr="00282AC9">
        <w:rPr>
          <w:rFonts w:hint="cs"/>
          <w:rtl/>
        </w:rPr>
        <w:t>َّ</w:t>
      </w:r>
      <w:r w:rsidR="0098597F" w:rsidRPr="00282AC9">
        <w:rPr>
          <w:rtl/>
        </w:rPr>
        <w:t>ن</w:t>
      </w:r>
      <w:r w:rsidRPr="00282AC9">
        <w:rPr>
          <w:rFonts w:hint="cs"/>
          <w:rtl/>
        </w:rPr>
        <w:t>ْ</w:t>
      </w:r>
      <w:r w:rsidR="0098597F" w:rsidRPr="00282AC9">
        <w:rPr>
          <w:rtl/>
        </w:rPr>
        <w:t xml:space="preserve"> كان بريئا</w:t>
      </w:r>
      <w:r w:rsidR="0098597F" w:rsidRPr="00282AC9">
        <w:rPr>
          <w:rFonts w:hint="cs"/>
          <w:rtl/>
        </w:rPr>
        <w:t>ً</w:t>
      </w:r>
      <w:r w:rsidR="0098597F" w:rsidRPr="00282AC9">
        <w:rPr>
          <w:rtl/>
        </w:rPr>
        <w:t xml:space="preserve"> من الت</w:t>
      </w:r>
      <w:r w:rsidRPr="00282AC9">
        <w:rPr>
          <w:rFonts w:hint="cs"/>
          <w:rtl/>
        </w:rPr>
        <w:t>ُّ</w:t>
      </w:r>
      <w:r w:rsidR="0098597F" w:rsidRPr="00282AC9">
        <w:rPr>
          <w:rtl/>
        </w:rPr>
        <w:t>ه</w:t>
      </w:r>
      <w:r w:rsidRPr="00282AC9">
        <w:rPr>
          <w:rFonts w:hint="cs"/>
          <w:rtl/>
        </w:rPr>
        <w:t>ْ</w:t>
      </w:r>
      <w:r w:rsidR="0098597F" w:rsidRPr="00282AC9">
        <w:rPr>
          <w:rtl/>
        </w:rPr>
        <w:t>مة</w:t>
      </w:r>
      <w:r w:rsidRPr="00282AC9">
        <w:rPr>
          <w:rFonts w:hint="cs"/>
          <w:rtl/>
        </w:rPr>
        <w:t>،</w:t>
      </w:r>
      <w:r w:rsidR="0098597F" w:rsidRPr="00282AC9">
        <w:rPr>
          <w:rtl/>
        </w:rPr>
        <w:t xml:space="preserve"> بعيدا</w:t>
      </w:r>
      <w:r w:rsidR="0098597F" w:rsidRPr="00282AC9">
        <w:rPr>
          <w:rFonts w:hint="cs"/>
          <w:rtl/>
        </w:rPr>
        <w:t>ً</w:t>
      </w:r>
      <w:r w:rsidR="0098597F" w:rsidRPr="00282AC9">
        <w:rPr>
          <w:rtl/>
        </w:rPr>
        <w:t xml:space="preserve"> من الظن</w:t>
      </w:r>
      <w:r w:rsidRPr="00282AC9">
        <w:rPr>
          <w:rFonts w:hint="cs"/>
          <w:rtl/>
        </w:rPr>
        <w:t>ّ</w:t>
      </w:r>
      <w:r w:rsidR="0098597F" w:rsidRPr="00282AC9">
        <w:rPr>
          <w:rtl/>
        </w:rPr>
        <w:t>ة</w:t>
      </w:r>
      <w:r w:rsidR="0098597F" w:rsidRPr="00282AC9">
        <w:rPr>
          <w:rFonts w:hint="cs"/>
          <w:rtl/>
        </w:rPr>
        <w:t>،</w:t>
      </w:r>
      <w:r w:rsidR="0098597F" w:rsidRPr="00282AC9">
        <w:rPr>
          <w:rtl/>
        </w:rPr>
        <w:t xml:space="preserve"> و</w:t>
      </w:r>
      <w:r w:rsidR="0098597F" w:rsidRPr="00282AC9">
        <w:rPr>
          <w:rFonts w:hint="cs"/>
          <w:rtl/>
        </w:rPr>
        <w:t>أ</w:t>
      </w:r>
      <w:r w:rsidR="0098597F" w:rsidRPr="00282AC9">
        <w:rPr>
          <w:rtl/>
        </w:rPr>
        <w:t>ما أحاديث</w:t>
      </w:r>
      <w:r w:rsidR="0098597F" w:rsidRPr="00282AC9">
        <w:rPr>
          <w:rFonts w:hint="cs"/>
          <w:rtl/>
        </w:rPr>
        <w:t xml:space="preserve"> </w:t>
      </w:r>
      <w:r w:rsidR="0098597F" w:rsidRPr="00282AC9">
        <w:rPr>
          <w:rtl/>
        </w:rPr>
        <w:t xml:space="preserve">الترغيب والمواعظ ونحو ذلك فإنه يجوز كتبها </w:t>
      </w:r>
      <w:r w:rsidR="0098597F" w:rsidRPr="00282AC9">
        <w:rPr>
          <w:rFonts w:hint="cs"/>
          <w:rtl/>
        </w:rPr>
        <w:t xml:space="preserve">[كتابتها] </w:t>
      </w:r>
      <w:r w:rsidR="0098597F" w:rsidRPr="00282AC9">
        <w:rPr>
          <w:rtl/>
        </w:rPr>
        <w:t>عن سائر المشايخ</w:t>
      </w:r>
      <w:r w:rsidR="0098597F" w:rsidRPr="00282AC9">
        <w:rPr>
          <w:rFonts w:hint="eastAsia"/>
          <w:sz w:val="24"/>
          <w:szCs w:val="24"/>
          <w:rtl/>
        </w:rPr>
        <w:t>»</w:t>
      </w:r>
      <w:r w:rsidR="0098597F" w:rsidRPr="00282AC9">
        <w:rPr>
          <w:vertAlign w:val="superscript"/>
          <w:rtl/>
        </w:rPr>
        <w:t>(</w:t>
      </w:r>
      <w:r w:rsidR="0098597F" w:rsidRPr="00282AC9">
        <w:rPr>
          <w:vertAlign w:val="superscript"/>
          <w:rtl/>
        </w:rPr>
        <w:endnoteReference w:id="140"/>
      </w:r>
      <w:r w:rsidR="0098597F" w:rsidRPr="00282AC9">
        <w:rPr>
          <w:vertAlign w:val="superscript"/>
          <w:rtl/>
        </w:rPr>
        <w:t>)</w:t>
      </w:r>
      <w:r w:rsidR="0098597F" w:rsidRPr="00282AC9">
        <w:rPr>
          <w:rFonts w:hint="cs"/>
          <w:rtl/>
        </w:rPr>
        <w:t>.</w:t>
      </w:r>
    </w:p>
    <w:p w:rsidR="0098597F" w:rsidRPr="00282AC9" w:rsidRDefault="0098597F" w:rsidP="00E327D7">
      <w:pPr>
        <w:rPr>
          <w:rtl/>
        </w:rPr>
      </w:pPr>
      <w:r w:rsidRPr="00282AC9">
        <w:rPr>
          <w:rFonts w:hint="cs"/>
          <w:rtl/>
        </w:rPr>
        <w:t xml:space="preserve">وقال ابن حجر: </w:t>
      </w:r>
      <w:r w:rsidRPr="00282AC9">
        <w:rPr>
          <w:rFonts w:hint="eastAsia"/>
          <w:sz w:val="24"/>
          <w:szCs w:val="24"/>
          <w:rtl/>
        </w:rPr>
        <w:t>«</w:t>
      </w:r>
      <w:r w:rsidRPr="00282AC9">
        <w:rPr>
          <w:rtl/>
        </w:rPr>
        <w:t>اشتهر أن</w:t>
      </w:r>
      <w:r w:rsidRPr="00282AC9">
        <w:rPr>
          <w:rFonts w:hint="cs"/>
          <w:rtl/>
        </w:rPr>
        <w:t>ّ</w:t>
      </w:r>
      <w:r w:rsidRPr="00282AC9">
        <w:rPr>
          <w:rtl/>
        </w:rPr>
        <w:t xml:space="preserve"> أهل العلم يتساهلون في إيراد الأحاديث في الفضائل</w:t>
      </w:r>
      <w:r w:rsidR="0080292A" w:rsidRPr="00282AC9">
        <w:rPr>
          <w:rFonts w:hint="cs"/>
          <w:rtl/>
        </w:rPr>
        <w:t>،</w:t>
      </w:r>
      <w:r w:rsidRPr="00282AC9">
        <w:rPr>
          <w:rtl/>
        </w:rPr>
        <w:t xml:space="preserve"> وإن</w:t>
      </w:r>
      <w:r w:rsidR="0080292A" w:rsidRPr="00282AC9">
        <w:rPr>
          <w:rFonts w:hint="cs"/>
          <w:rtl/>
        </w:rPr>
        <w:t>ْ</w:t>
      </w:r>
      <w:r w:rsidRPr="00282AC9">
        <w:rPr>
          <w:rFonts w:hint="cs"/>
          <w:rtl/>
        </w:rPr>
        <w:t xml:space="preserve"> </w:t>
      </w:r>
      <w:r w:rsidRPr="00282AC9">
        <w:rPr>
          <w:rtl/>
        </w:rPr>
        <w:t>كان فيها ض</w:t>
      </w:r>
      <w:r w:rsidRPr="00282AC9">
        <w:rPr>
          <w:rFonts w:hint="cs"/>
          <w:rtl/>
        </w:rPr>
        <w:t>ع</w:t>
      </w:r>
      <w:r w:rsidRPr="00282AC9">
        <w:rPr>
          <w:rtl/>
        </w:rPr>
        <w:t>ف</w:t>
      </w:r>
      <w:r w:rsidR="0080292A" w:rsidRPr="00282AC9">
        <w:rPr>
          <w:rFonts w:hint="cs"/>
          <w:rtl/>
        </w:rPr>
        <w:t>ٌ</w:t>
      </w:r>
      <w:r w:rsidRPr="00282AC9">
        <w:rPr>
          <w:rFonts w:hint="cs"/>
          <w:rtl/>
        </w:rPr>
        <w:t>،</w:t>
      </w:r>
      <w:r w:rsidRPr="00282AC9">
        <w:rPr>
          <w:rtl/>
        </w:rPr>
        <w:t xml:space="preserve"> ما لم تكن موضوعة</w:t>
      </w:r>
      <w:r w:rsidRPr="00282AC9">
        <w:rPr>
          <w:rFonts w:hint="eastAsia"/>
          <w:sz w:val="24"/>
          <w:szCs w:val="24"/>
          <w:rtl/>
        </w:rPr>
        <w:t>»</w:t>
      </w:r>
      <w:r w:rsidRPr="00282AC9">
        <w:rPr>
          <w:vertAlign w:val="superscript"/>
          <w:rtl/>
        </w:rPr>
        <w:t>(</w:t>
      </w:r>
      <w:r w:rsidRPr="00282AC9">
        <w:rPr>
          <w:vertAlign w:val="superscript"/>
          <w:rtl/>
        </w:rPr>
        <w:endnoteReference w:id="141"/>
      </w:r>
      <w:r w:rsidRPr="00282AC9">
        <w:rPr>
          <w:vertAlign w:val="superscript"/>
          <w:rtl/>
        </w:rPr>
        <w:t>)</w:t>
      </w:r>
      <w:r w:rsidRPr="00282AC9">
        <w:rPr>
          <w:rFonts w:hint="cs"/>
          <w:rtl/>
        </w:rPr>
        <w:t>.</w:t>
      </w:r>
    </w:p>
    <w:p w:rsidR="0098597F" w:rsidRPr="00282AC9" w:rsidRDefault="0098597F" w:rsidP="00E327D7">
      <w:pPr>
        <w:rPr>
          <w:rtl/>
        </w:rPr>
      </w:pPr>
      <w:r w:rsidRPr="00282AC9">
        <w:rPr>
          <w:rFonts w:hint="cs"/>
          <w:rtl/>
        </w:rPr>
        <w:t>وقال النووي في سياق بعض المستحب</w:t>
      </w:r>
      <w:r w:rsidR="008D16A9" w:rsidRPr="00282AC9">
        <w:rPr>
          <w:rFonts w:hint="cs"/>
          <w:rtl/>
        </w:rPr>
        <w:t>ّ</w:t>
      </w:r>
      <w:r w:rsidRPr="00282AC9">
        <w:rPr>
          <w:rFonts w:hint="cs"/>
          <w:rtl/>
        </w:rPr>
        <w:t xml:space="preserve">ات: </w:t>
      </w:r>
      <w:r w:rsidRPr="00282AC9">
        <w:rPr>
          <w:rFonts w:hint="eastAsia"/>
          <w:sz w:val="24"/>
          <w:szCs w:val="24"/>
          <w:rtl/>
        </w:rPr>
        <w:t>«</w:t>
      </w:r>
      <w:r w:rsidRPr="00282AC9">
        <w:rPr>
          <w:rFonts w:hint="cs"/>
          <w:rtl/>
        </w:rPr>
        <w:t>إ</w:t>
      </w:r>
      <w:r w:rsidRPr="00282AC9">
        <w:rPr>
          <w:rtl/>
        </w:rPr>
        <w:t>ن</w:t>
      </w:r>
      <w:r w:rsidRPr="00282AC9">
        <w:rPr>
          <w:rFonts w:hint="cs"/>
          <w:rtl/>
        </w:rPr>
        <w:t>ّ</w:t>
      </w:r>
      <w:r w:rsidRPr="00282AC9">
        <w:rPr>
          <w:rtl/>
        </w:rPr>
        <w:t xml:space="preserve"> أحاديث</w:t>
      </w:r>
      <w:r w:rsidRPr="00282AC9">
        <w:rPr>
          <w:rFonts w:hint="cs"/>
          <w:rtl/>
        </w:rPr>
        <w:t xml:space="preserve"> </w:t>
      </w:r>
      <w:r w:rsidRPr="00282AC9">
        <w:rPr>
          <w:rtl/>
        </w:rPr>
        <w:t>الفضائل يتسامح فيها</w:t>
      </w:r>
      <w:r w:rsidR="008D16A9" w:rsidRPr="00282AC9">
        <w:rPr>
          <w:rFonts w:hint="cs"/>
          <w:rtl/>
        </w:rPr>
        <w:t>،</w:t>
      </w:r>
      <w:r w:rsidRPr="00282AC9">
        <w:rPr>
          <w:rtl/>
        </w:rPr>
        <w:t xml:space="preserve"> ويعمل على وفق ضعيفها</w:t>
      </w:r>
      <w:r w:rsidRPr="00282AC9">
        <w:rPr>
          <w:rFonts w:hint="eastAsia"/>
          <w:sz w:val="24"/>
          <w:szCs w:val="24"/>
          <w:rtl/>
        </w:rPr>
        <w:t>»</w:t>
      </w:r>
      <w:r w:rsidRPr="00282AC9">
        <w:rPr>
          <w:vertAlign w:val="superscript"/>
          <w:rtl/>
        </w:rPr>
        <w:t>(</w:t>
      </w:r>
      <w:r w:rsidRPr="00282AC9">
        <w:rPr>
          <w:vertAlign w:val="superscript"/>
          <w:rtl/>
        </w:rPr>
        <w:endnoteReference w:id="142"/>
      </w:r>
      <w:r w:rsidRPr="00282AC9">
        <w:rPr>
          <w:vertAlign w:val="superscript"/>
          <w:rtl/>
        </w:rPr>
        <w:t>)</w:t>
      </w:r>
      <w:r w:rsidRPr="00282AC9">
        <w:rPr>
          <w:rFonts w:hint="cs"/>
          <w:rtl/>
        </w:rPr>
        <w:t>.</w:t>
      </w:r>
    </w:p>
    <w:p w:rsidR="008D16A9" w:rsidRPr="00282AC9" w:rsidRDefault="0098597F" w:rsidP="00E327D7">
      <w:pPr>
        <w:rPr>
          <w:rtl/>
        </w:rPr>
      </w:pPr>
      <w:r w:rsidRPr="00282AC9">
        <w:rPr>
          <w:rFonts w:hint="cs"/>
          <w:rtl/>
        </w:rPr>
        <w:t>هذا</w:t>
      </w:r>
      <w:r w:rsidR="008D16A9" w:rsidRPr="00282AC9">
        <w:rPr>
          <w:rFonts w:hint="cs"/>
          <w:rtl/>
        </w:rPr>
        <w:t>،</w:t>
      </w:r>
      <w:r w:rsidRPr="00282AC9">
        <w:rPr>
          <w:rFonts w:hint="cs"/>
          <w:rtl/>
        </w:rPr>
        <w:t xml:space="preserve"> ولكنّ الإنصاف أن هذه الكلمات ـ باستثناء كلام النووي ـ لا يستفاد منها تبن</w:t>
      </w:r>
      <w:r w:rsidR="008D16A9" w:rsidRPr="00282AC9">
        <w:rPr>
          <w:rFonts w:hint="cs"/>
          <w:rtl/>
        </w:rPr>
        <w:t>ّ</w:t>
      </w:r>
      <w:r w:rsidRPr="00282AC9">
        <w:rPr>
          <w:rFonts w:hint="cs"/>
          <w:rtl/>
        </w:rPr>
        <w:t>ي أصحابها لقاعدة التسامح، بمعنى الإفتاء بالاستحباب استناداً إلى الخبر الضعيف، وإنما غايتها أنّه يجوز رواية الأخبار الضعيفة وكتابتها إذا كانت واردة في فضائل الأعمال</w:t>
      </w:r>
      <w:r w:rsidR="008D16A9" w:rsidRPr="00282AC9">
        <w:rPr>
          <w:rFonts w:hint="cs"/>
          <w:rtl/>
        </w:rPr>
        <w:t>؛</w:t>
      </w:r>
      <w:r w:rsidRPr="00282AC9">
        <w:rPr>
          <w:rFonts w:hint="cs"/>
          <w:rtl/>
        </w:rPr>
        <w:t xml:space="preserve"> ولعل</w:t>
      </w:r>
      <w:r w:rsidR="008D16A9" w:rsidRPr="00282AC9">
        <w:rPr>
          <w:rFonts w:hint="cs"/>
          <w:rtl/>
        </w:rPr>
        <w:t>ّ ذلك بغرض الوعظ بها.</w:t>
      </w:r>
    </w:p>
    <w:p w:rsidR="0098597F" w:rsidRPr="00282AC9" w:rsidRDefault="0098597F" w:rsidP="00E327D7">
      <w:pPr>
        <w:rPr>
          <w:rtl/>
        </w:rPr>
      </w:pPr>
      <w:r w:rsidRPr="00282AC9">
        <w:rPr>
          <w:rFonts w:hint="cs"/>
          <w:rtl/>
        </w:rPr>
        <w:t xml:space="preserve">نعم، قد نسب الشيخ الألباني في كلامه الآتي إلى </w:t>
      </w:r>
      <w:r w:rsidRPr="00282AC9">
        <w:rPr>
          <w:rFonts w:hint="eastAsia"/>
          <w:sz w:val="24"/>
          <w:szCs w:val="24"/>
          <w:rtl/>
        </w:rPr>
        <w:t>«</w:t>
      </w:r>
      <w:r w:rsidRPr="00282AC9">
        <w:rPr>
          <w:rFonts w:hint="cs"/>
          <w:rtl/>
        </w:rPr>
        <w:t>كثير</w:t>
      </w:r>
      <w:r w:rsidR="008D16A9" w:rsidRPr="00282AC9">
        <w:rPr>
          <w:rFonts w:hint="cs"/>
          <w:rtl/>
        </w:rPr>
        <w:t>ٍ</w:t>
      </w:r>
      <w:r w:rsidRPr="00282AC9">
        <w:rPr>
          <w:rFonts w:hint="cs"/>
          <w:rtl/>
        </w:rPr>
        <w:t xml:space="preserve"> من أهل العلم</w:t>
      </w:r>
      <w:r w:rsidRPr="00282AC9">
        <w:rPr>
          <w:rFonts w:hint="eastAsia"/>
          <w:sz w:val="24"/>
          <w:szCs w:val="24"/>
          <w:rtl/>
        </w:rPr>
        <w:t>»</w:t>
      </w:r>
      <w:r w:rsidRPr="00282AC9">
        <w:rPr>
          <w:rFonts w:hint="cs"/>
          <w:rtl/>
        </w:rPr>
        <w:t xml:space="preserve"> جواز العمل بالخبر الضعيف في فضائل الأعمال. </w:t>
      </w:r>
    </w:p>
    <w:p w:rsidR="008D16A9" w:rsidRPr="00282AC9" w:rsidRDefault="0098597F" w:rsidP="00E327D7">
      <w:pPr>
        <w:rPr>
          <w:rtl/>
        </w:rPr>
      </w:pPr>
      <w:r w:rsidRPr="00282AC9">
        <w:rPr>
          <w:rFonts w:hint="cs"/>
          <w:b/>
          <w:bCs/>
          <w:rtl/>
        </w:rPr>
        <w:t>الثاني</w:t>
      </w:r>
      <w:r w:rsidRPr="00282AC9">
        <w:rPr>
          <w:rFonts w:hint="cs"/>
          <w:rtl/>
        </w:rPr>
        <w:t>: م</w:t>
      </w:r>
      <w:r w:rsidR="008D16A9" w:rsidRPr="00282AC9">
        <w:rPr>
          <w:rFonts w:hint="cs"/>
          <w:rtl/>
        </w:rPr>
        <w:t>َ</w:t>
      </w:r>
      <w:r w:rsidRPr="00282AC9">
        <w:rPr>
          <w:rFonts w:hint="cs"/>
          <w:rtl/>
        </w:rPr>
        <w:t>ن</w:t>
      </w:r>
      <w:r w:rsidR="008D16A9" w:rsidRPr="00282AC9">
        <w:rPr>
          <w:rFonts w:hint="cs"/>
          <w:rtl/>
        </w:rPr>
        <w:t>ْ</w:t>
      </w:r>
      <w:r w:rsidRPr="00282AC9">
        <w:rPr>
          <w:rFonts w:hint="cs"/>
          <w:rtl/>
        </w:rPr>
        <w:t xml:space="preserve"> رفض القاعدة صريحاً</w:t>
      </w:r>
      <w:r w:rsidR="008D16A9" w:rsidRPr="00282AC9">
        <w:rPr>
          <w:rFonts w:hint="cs"/>
          <w:rtl/>
        </w:rPr>
        <w:t>.</w:t>
      </w:r>
    </w:p>
    <w:p w:rsidR="0098597F" w:rsidRPr="00282AC9" w:rsidRDefault="0098597F" w:rsidP="00E327D7">
      <w:pPr>
        <w:rPr>
          <w:rtl/>
        </w:rPr>
      </w:pPr>
      <w:r w:rsidRPr="00282AC9">
        <w:rPr>
          <w:rFonts w:hint="cs"/>
          <w:rtl/>
        </w:rPr>
        <w:t>قال ناصر الدين الألباني</w:t>
      </w:r>
      <w:r w:rsidR="008D16A9" w:rsidRPr="00282AC9">
        <w:rPr>
          <w:rFonts w:hint="cs"/>
          <w:rtl/>
        </w:rPr>
        <w:t>،</w:t>
      </w:r>
      <w:r w:rsidRPr="00282AC9">
        <w:rPr>
          <w:rFonts w:hint="cs"/>
          <w:rtl/>
        </w:rPr>
        <w:t xml:space="preserve"> في قاعدة</w:t>
      </w:r>
      <w:r w:rsidR="008D16A9" w:rsidRPr="00282AC9">
        <w:rPr>
          <w:rFonts w:hint="cs"/>
          <w:rtl/>
        </w:rPr>
        <w:t>ٍ</w:t>
      </w:r>
      <w:r w:rsidRPr="00282AC9">
        <w:rPr>
          <w:rFonts w:hint="cs"/>
          <w:rtl/>
        </w:rPr>
        <w:t xml:space="preserve"> ذكرها بعنوان </w:t>
      </w:r>
      <w:r w:rsidRPr="00282AC9">
        <w:rPr>
          <w:rFonts w:hint="eastAsia"/>
          <w:sz w:val="24"/>
          <w:szCs w:val="24"/>
          <w:rtl/>
        </w:rPr>
        <w:t>«</w:t>
      </w:r>
      <w:r w:rsidRPr="00282AC9">
        <w:rPr>
          <w:rtl/>
        </w:rPr>
        <w:t xml:space="preserve">ترك العمل بالحديث </w:t>
      </w:r>
      <w:r w:rsidRPr="00282AC9">
        <w:rPr>
          <w:rtl/>
        </w:rPr>
        <w:lastRenderedPageBreak/>
        <w:t>الضعيف في فضائل الأعمال</w:t>
      </w:r>
      <w:r w:rsidRPr="00282AC9">
        <w:rPr>
          <w:rFonts w:hint="eastAsia"/>
          <w:sz w:val="24"/>
          <w:szCs w:val="24"/>
          <w:rtl/>
        </w:rPr>
        <w:t>»</w:t>
      </w:r>
      <w:r w:rsidRPr="00282AC9">
        <w:rPr>
          <w:rFonts w:hint="cs"/>
          <w:rtl/>
        </w:rPr>
        <w:t xml:space="preserve">: </w:t>
      </w:r>
      <w:r w:rsidRPr="00282AC9">
        <w:rPr>
          <w:rFonts w:hint="eastAsia"/>
          <w:sz w:val="24"/>
          <w:szCs w:val="24"/>
          <w:rtl/>
        </w:rPr>
        <w:t>«</w:t>
      </w:r>
      <w:r w:rsidRPr="00282AC9">
        <w:rPr>
          <w:rtl/>
        </w:rPr>
        <w:t>اشتهر بين كثير</w:t>
      </w:r>
      <w:r w:rsidR="008D16A9" w:rsidRPr="00282AC9">
        <w:rPr>
          <w:rFonts w:hint="cs"/>
          <w:rtl/>
        </w:rPr>
        <w:t>ٍ</w:t>
      </w:r>
      <w:r w:rsidRPr="00282AC9">
        <w:rPr>
          <w:rtl/>
        </w:rPr>
        <w:t xml:space="preserve"> من أهل العلم وطلا</w:t>
      </w:r>
      <w:r w:rsidR="008D16A9" w:rsidRPr="00282AC9">
        <w:rPr>
          <w:rFonts w:hint="cs"/>
          <w:rtl/>
        </w:rPr>
        <w:t>ّ</w:t>
      </w:r>
      <w:r w:rsidRPr="00282AC9">
        <w:rPr>
          <w:rtl/>
        </w:rPr>
        <w:t>به أن الحديث الضعيف يجوز</w:t>
      </w:r>
      <w:r w:rsidRPr="00282AC9">
        <w:rPr>
          <w:rFonts w:hint="cs"/>
          <w:rtl/>
        </w:rPr>
        <w:t xml:space="preserve"> </w:t>
      </w:r>
      <w:r w:rsidRPr="00282AC9">
        <w:rPr>
          <w:rtl/>
        </w:rPr>
        <w:t>العمل به في فضائل الأعمال. ويظن</w:t>
      </w:r>
      <w:r w:rsidR="008D16A9" w:rsidRPr="00282AC9">
        <w:rPr>
          <w:rFonts w:hint="cs"/>
          <w:rtl/>
        </w:rPr>
        <w:t>ّ</w:t>
      </w:r>
      <w:r w:rsidRPr="00282AC9">
        <w:rPr>
          <w:rtl/>
        </w:rPr>
        <w:t>ون أنه لا خلاف في ذلك. كيف لا</w:t>
      </w:r>
      <w:r w:rsidRPr="00282AC9">
        <w:rPr>
          <w:rFonts w:hint="cs"/>
          <w:rtl/>
        </w:rPr>
        <w:t xml:space="preserve"> </w:t>
      </w:r>
      <w:r w:rsidRPr="00282AC9">
        <w:rPr>
          <w:rtl/>
        </w:rPr>
        <w:t>والنووي</w:t>
      </w:r>
      <w:r w:rsidR="00322DF7" w:rsidRPr="00282AC9">
        <w:rPr>
          <w:rFonts w:ascii="Mosawi" w:hAnsi="Mosawi" w:cs="Mosawi"/>
          <w:sz w:val="22"/>
          <w:szCs w:val="22"/>
          <w:rtl/>
        </w:rPr>
        <w:t>&amp;</w:t>
      </w:r>
      <w:r w:rsidRPr="00282AC9">
        <w:rPr>
          <w:rtl/>
        </w:rPr>
        <w:t xml:space="preserve"> نقل الاتفاق عليه في أكثر من كتاب</w:t>
      </w:r>
      <w:r w:rsidR="008D16A9" w:rsidRPr="00282AC9">
        <w:rPr>
          <w:rFonts w:hint="cs"/>
          <w:rtl/>
        </w:rPr>
        <w:t>ٍ</w:t>
      </w:r>
      <w:r w:rsidRPr="00282AC9">
        <w:rPr>
          <w:rtl/>
        </w:rPr>
        <w:t xml:space="preserve"> واحد من كتبه؟</w:t>
      </w:r>
      <w:r w:rsidR="008D16A9" w:rsidRPr="00282AC9">
        <w:rPr>
          <w:rFonts w:hint="cs"/>
          <w:rtl/>
        </w:rPr>
        <w:t>!</w:t>
      </w:r>
      <w:r w:rsidRPr="00282AC9">
        <w:rPr>
          <w:rtl/>
        </w:rPr>
        <w:t xml:space="preserve"> وفي</w:t>
      </w:r>
      <w:r w:rsidR="008D16A9" w:rsidRPr="00282AC9">
        <w:rPr>
          <w:rFonts w:hint="cs"/>
          <w:rtl/>
        </w:rPr>
        <w:t xml:space="preserve"> </w:t>
      </w:r>
      <w:r w:rsidRPr="00282AC9">
        <w:rPr>
          <w:rtl/>
        </w:rPr>
        <w:t>ما</w:t>
      </w:r>
      <w:r w:rsidRPr="00282AC9">
        <w:rPr>
          <w:rFonts w:hint="cs"/>
          <w:rtl/>
        </w:rPr>
        <w:t xml:space="preserve"> </w:t>
      </w:r>
      <w:r w:rsidRPr="00282AC9">
        <w:rPr>
          <w:rtl/>
        </w:rPr>
        <w:t>نقله نظر</w:t>
      </w:r>
      <w:r w:rsidR="008D16A9" w:rsidRPr="00282AC9">
        <w:rPr>
          <w:rFonts w:hint="cs"/>
          <w:rtl/>
        </w:rPr>
        <w:t>ٌ</w:t>
      </w:r>
      <w:r w:rsidRPr="00282AC9">
        <w:rPr>
          <w:rtl/>
        </w:rPr>
        <w:t xml:space="preserve"> بي</w:t>
      </w:r>
      <w:r w:rsidRPr="00282AC9">
        <w:rPr>
          <w:rFonts w:hint="cs"/>
          <w:rtl/>
        </w:rPr>
        <w:t>ّ</w:t>
      </w:r>
      <w:r w:rsidR="008D16A9" w:rsidRPr="00282AC9">
        <w:rPr>
          <w:rFonts w:hint="cs"/>
          <w:rtl/>
        </w:rPr>
        <w:t>ِ</w:t>
      </w:r>
      <w:r w:rsidRPr="00282AC9">
        <w:rPr>
          <w:rtl/>
        </w:rPr>
        <w:t>ن</w:t>
      </w:r>
      <w:r w:rsidR="008D16A9" w:rsidRPr="00282AC9">
        <w:rPr>
          <w:rFonts w:hint="cs"/>
          <w:rtl/>
        </w:rPr>
        <w:t>ٌ؛</w:t>
      </w:r>
      <w:r w:rsidRPr="00282AC9">
        <w:rPr>
          <w:rtl/>
        </w:rPr>
        <w:t xml:space="preserve"> لأن الخلاف في ذلك معروف</w:t>
      </w:r>
      <w:r w:rsidR="008D16A9" w:rsidRPr="00282AC9">
        <w:rPr>
          <w:rFonts w:hint="cs"/>
          <w:rtl/>
        </w:rPr>
        <w:t xml:space="preserve">؛ </w:t>
      </w:r>
      <w:r w:rsidRPr="00282AC9">
        <w:rPr>
          <w:rtl/>
        </w:rPr>
        <w:t>فإن</w:t>
      </w:r>
      <w:r w:rsidRPr="00282AC9">
        <w:rPr>
          <w:rFonts w:hint="cs"/>
          <w:rtl/>
        </w:rPr>
        <w:t>ّ</w:t>
      </w:r>
      <w:r w:rsidRPr="00282AC9">
        <w:rPr>
          <w:rtl/>
        </w:rPr>
        <w:t xml:space="preserve"> بعض العلماء المحق</w:t>
      </w:r>
      <w:r w:rsidR="008D16A9" w:rsidRPr="00282AC9">
        <w:rPr>
          <w:rFonts w:hint="cs"/>
          <w:rtl/>
        </w:rPr>
        <w:t>ِّ</w:t>
      </w:r>
      <w:r w:rsidRPr="00282AC9">
        <w:rPr>
          <w:rtl/>
        </w:rPr>
        <w:t>قين</w:t>
      </w:r>
      <w:r w:rsidRPr="00282AC9">
        <w:rPr>
          <w:rFonts w:hint="cs"/>
          <w:rtl/>
        </w:rPr>
        <w:t xml:space="preserve"> </w:t>
      </w:r>
      <w:r w:rsidRPr="00282AC9">
        <w:rPr>
          <w:rtl/>
        </w:rPr>
        <w:t>على أنه لا يعمل به مطلقا</w:t>
      </w:r>
      <w:r w:rsidR="008D16A9" w:rsidRPr="00282AC9">
        <w:rPr>
          <w:rFonts w:hint="cs"/>
          <w:rtl/>
        </w:rPr>
        <w:t>ً</w:t>
      </w:r>
      <w:r w:rsidRPr="00282AC9">
        <w:rPr>
          <w:rtl/>
        </w:rPr>
        <w:t>، لا في الأحكام ولا في الفضائل. قال الشيخ</w:t>
      </w:r>
      <w:r w:rsidRPr="00282AC9">
        <w:rPr>
          <w:rFonts w:hint="cs"/>
          <w:rtl/>
        </w:rPr>
        <w:t xml:space="preserve"> </w:t>
      </w:r>
      <w:r w:rsidRPr="00282AC9">
        <w:rPr>
          <w:rtl/>
        </w:rPr>
        <w:t>القاسمي</w:t>
      </w:r>
      <w:r w:rsidR="00322DF7" w:rsidRPr="00282AC9">
        <w:rPr>
          <w:rFonts w:ascii="Mosawi" w:hAnsi="Mosawi" w:cs="Mosawi"/>
          <w:sz w:val="22"/>
          <w:szCs w:val="22"/>
          <w:rtl/>
        </w:rPr>
        <w:t>&amp;</w:t>
      </w:r>
      <w:r w:rsidRPr="00282AC9">
        <w:rPr>
          <w:rtl/>
        </w:rPr>
        <w:t xml:space="preserve"> في </w:t>
      </w:r>
      <w:r w:rsidRPr="00282AC9">
        <w:rPr>
          <w:rFonts w:hint="eastAsia"/>
          <w:sz w:val="24"/>
          <w:szCs w:val="24"/>
          <w:rtl/>
        </w:rPr>
        <w:t>«</w:t>
      </w:r>
      <w:r w:rsidRPr="00282AC9">
        <w:rPr>
          <w:rtl/>
        </w:rPr>
        <w:t xml:space="preserve"> قواعد التحديث</w:t>
      </w:r>
      <w:r w:rsidR="008D16A9" w:rsidRPr="00282AC9">
        <w:rPr>
          <w:rFonts w:hint="eastAsia"/>
          <w:sz w:val="24"/>
          <w:szCs w:val="24"/>
          <w:rtl/>
        </w:rPr>
        <w:t>»</w:t>
      </w:r>
      <w:r w:rsidRPr="00282AC9">
        <w:rPr>
          <w:rtl/>
        </w:rPr>
        <w:t xml:space="preserve">: </w:t>
      </w:r>
      <w:r w:rsidRPr="00282AC9">
        <w:rPr>
          <w:rFonts w:hint="eastAsia"/>
          <w:sz w:val="24"/>
          <w:szCs w:val="24"/>
          <w:rtl/>
        </w:rPr>
        <w:t>«</w:t>
      </w:r>
      <w:r w:rsidRPr="00282AC9">
        <w:rPr>
          <w:rtl/>
        </w:rPr>
        <w:t>حكاه ابن سي</w:t>
      </w:r>
      <w:r w:rsidR="008D16A9" w:rsidRPr="00282AC9">
        <w:rPr>
          <w:rFonts w:hint="cs"/>
          <w:rtl/>
        </w:rPr>
        <w:t>ّ</w:t>
      </w:r>
      <w:r w:rsidRPr="00282AC9">
        <w:rPr>
          <w:rtl/>
        </w:rPr>
        <w:t xml:space="preserve">د الناس في </w:t>
      </w:r>
      <w:r w:rsidRPr="00282AC9">
        <w:rPr>
          <w:rFonts w:hint="eastAsia"/>
          <w:sz w:val="24"/>
          <w:szCs w:val="24"/>
          <w:rtl/>
        </w:rPr>
        <w:t>«</w:t>
      </w:r>
      <w:r w:rsidRPr="00282AC9">
        <w:rPr>
          <w:rtl/>
        </w:rPr>
        <w:t>عيون الأثر</w:t>
      </w:r>
      <w:r w:rsidRPr="00282AC9">
        <w:rPr>
          <w:rFonts w:hint="eastAsia"/>
          <w:sz w:val="24"/>
          <w:szCs w:val="24"/>
          <w:rtl/>
        </w:rPr>
        <w:t>»</w:t>
      </w:r>
      <w:r w:rsidRPr="00282AC9">
        <w:rPr>
          <w:rtl/>
        </w:rPr>
        <w:t xml:space="preserve"> عن يحيى بن معين، ونسبه في</w:t>
      </w:r>
      <w:r w:rsidRPr="00282AC9">
        <w:rPr>
          <w:rFonts w:hint="cs"/>
          <w:rtl/>
        </w:rPr>
        <w:t xml:space="preserve"> </w:t>
      </w:r>
      <w:r w:rsidRPr="00282AC9">
        <w:rPr>
          <w:rFonts w:hint="eastAsia"/>
          <w:sz w:val="24"/>
          <w:szCs w:val="24"/>
          <w:rtl/>
        </w:rPr>
        <w:t>«</w:t>
      </w:r>
      <w:r w:rsidRPr="00282AC9">
        <w:rPr>
          <w:rtl/>
        </w:rPr>
        <w:t xml:space="preserve"> فتح المغيث</w:t>
      </w:r>
      <w:r w:rsidR="008D16A9" w:rsidRPr="00282AC9">
        <w:rPr>
          <w:rFonts w:hint="eastAsia"/>
          <w:sz w:val="24"/>
          <w:szCs w:val="24"/>
          <w:rtl/>
        </w:rPr>
        <w:t>»</w:t>
      </w:r>
      <w:r w:rsidRPr="00282AC9">
        <w:rPr>
          <w:rtl/>
        </w:rPr>
        <w:t xml:space="preserve"> لأبي بكر بن العربي</w:t>
      </w:r>
      <w:r w:rsidR="008D16A9" w:rsidRPr="00282AC9">
        <w:rPr>
          <w:rFonts w:hint="cs"/>
          <w:rtl/>
        </w:rPr>
        <w:t>ّ</w:t>
      </w:r>
      <w:r w:rsidRPr="00282AC9">
        <w:rPr>
          <w:rtl/>
        </w:rPr>
        <w:t>، والظاهر أن</w:t>
      </w:r>
      <w:r w:rsidRPr="00282AC9">
        <w:rPr>
          <w:rFonts w:hint="cs"/>
          <w:rtl/>
        </w:rPr>
        <w:t>ّ</w:t>
      </w:r>
      <w:r w:rsidRPr="00282AC9">
        <w:rPr>
          <w:rtl/>
        </w:rPr>
        <w:t xml:space="preserve"> مذهب البخاري ومسلم ذلك</w:t>
      </w:r>
      <w:r w:rsidRPr="00282AC9">
        <w:rPr>
          <w:rFonts w:hint="cs"/>
          <w:rtl/>
        </w:rPr>
        <w:t xml:space="preserve"> </w:t>
      </w:r>
      <w:r w:rsidRPr="00282AC9">
        <w:rPr>
          <w:rtl/>
        </w:rPr>
        <w:t>أيضا</w:t>
      </w:r>
      <w:r w:rsidRPr="00282AC9">
        <w:rPr>
          <w:rFonts w:hint="cs"/>
          <w:rtl/>
        </w:rPr>
        <w:t>ً</w:t>
      </w:r>
      <w:r w:rsidRPr="00282AC9">
        <w:rPr>
          <w:rtl/>
        </w:rPr>
        <w:t>...</w:t>
      </w:r>
      <w:r w:rsidR="008D16A9" w:rsidRPr="00282AC9">
        <w:rPr>
          <w:rFonts w:hint="cs"/>
          <w:rtl/>
        </w:rPr>
        <w:t>،</w:t>
      </w:r>
      <w:r w:rsidRPr="00282AC9">
        <w:rPr>
          <w:rtl/>
        </w:rPr>
        <w:t xml:space="preserve"> وهو مذهب ابن حزم...</w:t>
      </w:r>
      <w:r w:rsidRPr="00282AC9">
        <w:rPr>
          <w:rFonts w:hint="eastAsia"/>
          <w:sz w:val="24"/>
          <w:szCs w:val="24"/>
          <w:rtl/>
        </w:rPr>
        <w:t>»</w:t>
      </w:r>
      <w:r w:rsidRPr="00282AC9">
        <w:rPr>
          <w:rFonts w:hint="cs"/>
          <w:rtl/>
        </w:rPr>
        <w:t xml:space="preserve">، وأضاف الألباني: </w:t>
      </w:r>
      <w:r w:rsidRPr="00282AC9">
        <w:rPr>
          <w:rFonts w:hint="eastAsia"/>
          <w:sz w:val="24"/>
          <w:szCs w:val="24"/>
          <w:rtl/>
        </w:rPr>
        <w:t>«</w:t>
      </w:r>
      <w:r w:rsidRPr="00282AC9">
        <w:rPr>
          <w:rtl/>
        </w:rPr>
        <w:t>قلت</w:t>
      </w:r>
      <w:r w:rsidR="008D16A9" w:rsidRPr="00282AC9">
        <w:rPr>
          <w:rFonts w:hint="cs"/>
          <w:rtl/>
        </w:rPr>
        <w:t>ُ</w:t>
      </w:r>
      <w:r w:rsidRPr="00282AC9">
        <w:rPr>
          <w:rtl/>
        </w:rPr>
        <w:t>: وهذا هو الحق</w:t>
      </w:r>
      <w:r w:rsidR="008D16A9" w:rsidRPr="00282AC9">
        <w:rPr>
          <w:rFonts w:hint="cs"/>
          <w:rtl/>
        </w:rPr>
        <w:t>ّ،</w:t>
      </w:r>
      <w:r w:rsidRPr="00282AC9">
        <w:rPr>
          <w:rtl/>
        </w:rPr>
        <w:t xml:space="preserve"> الذي </w:t>
      </w:r>
      <w:r w:rsidR="00674EF5" w:rsidRPr="00282AC9">
        <w:rPr>
          <w:rtl/>
        </w:rPr>
        <w:t>لا شَكَّ</w:t>
      </w:r>
      <w:r w:rsidRPr="00282AC9">
        <w:rPr>
          <w:rtl/>
        </w:rPr>
        <w:t xml:space="preserve"> فيه عندي</w:t>
      </w:r>
      <w:r w:rsidR="008D16A9" w:rsidRPr="00282AC9">
        <w:rPr>
          <w:rFonts w:hint="cs"/>
          <w:rtl/>
        </w:rPr>
        <w:t>...</w:t>
      </w:r>
      <w:r w:rsidR="008D16A9" w:rsidRPr="00282AC9">
        <w:rPr>
          <w:rFonts w:hint="eastAsia"/>
          <w:sz w:val="24"/>
          <w:szCs w:val="24"/>
          <w:rtl/>
        </w:rPr>
        <w:t>»</w:t>
      </w:r>
      <w:r w:rsidRPr="00282AC9">
        <w:rPr>
          <w:vertAlign w:val="superscript"/>
          <w:rtl/>
        </w:rPr>
        <w:t>(</w:t>
      </w:r>
      <w:r w:rsidRPr="00282AC9">
        <w:rPr>
          <w:vertAlign w:val="superscript"/>
          <w:rtl/>
        </w:rPr>
        <w:endnoteReference w:id="143"/>
      </w:r>
      <w:r w:rsidRPr="00282AC9">
        <w:rPr>
          <w:vertAlign w:val="superscript"/>
          <w:rtl/>
        </w:rPr>
        <w:t>)</w:t>
      </w:r>
      <w:r w:rsidRPr="00282AC9">
        <w:rPr>
          <w:rFonts w:hint="cs"/>
          <w:rtl/>
        </w:rPr>
        <w:t xml:space="preserve">. </w:t>
      </w:r>
    </w:p>
    <w:p w:rsidR="0098597F" w:rsidRPr="00282AC9" w:rsidRDefault="0098597F" w:rsidP="00E327D7">
      <w:pPr>
        <w:rPr>
          <w:rtl/>
        </w:rPr>
      </w:pPr>
      <w:r w:rsidRPr="00282AC9">
        <w:rPr>
          <w:rFonts w:hint="cs"/>
          <w:rtl/>
        </w:rPr>
        <w:t>وابن تيمية هو من الرافضين للقاعدة أيضاً</w:t>
      </w:r>
      <w:r w:rsidR="008D16A9" w:rsidRPr="00282AC9">
        <w:rPr>
          <w:rFonts w:hint="cs"/>
          <w:rtl/>
        </w:rPr>
        <w:t>،</w:t>
      </w:r>
      <w:r w:rsidRPr="00282AC9">
        <w:rPr>
          <w:rFonts w:hint="cs"/>
          <w:rtl/>
        </w:rPr>
        <w:t xml:space="preserve"> مع إعطائها تفسيراً هو أقرب إلى المعنى الخامس</w:t>
      </w:r>
      <w:r w:rsidR="008D16A9" w:rsidRPr="00282AC9">
        <w:rPr>
          <w:rFonts w:hint="cs"/>
          <w:rtl/>
        </w:rPr>
        <w:t>،</w:t>
      </w:r>
      <w:r w:rsidRPr="00282AC9">
        <w:rPr>
          <w:rFonts w:hint="cs"/>
          <w:rtl/>
        </w:rPr>
        <w:t xml:space="preserve"> الآتي في الوجوه الثبوتية المطروحة في تفسير أخبار </w:t>
      </w:r>
      <w:r w:rsidRPr="00282AC9">
        <w:rPr>
          <w:rFonts w:hint="eastAsia"/>
          <w:sz w:val="24"/>
          <w:szCs w:val="24"/>
          <w:rtl/>
        </w:rPr>
        <w:t>«</w:t>
      </w:r>
      <w:r w:rsidRPr="00282AC9">
        <w:rPr>
          <w:rFonts w:hint="cs"/>
          <w:rtl/>
        </w:rPr>
        <w:t>م</w:t>
      </w:r>
      <w:r w:rsidR="008D16A9" w:rsidRPr="00282AC9">
        <w:rPr>
          <w:rFonts w:hint="cs"/>
          <w:rtl/>
        </w:rPr>
        <w:t>َ</w:t>
      </w:r>
      <w:r w:rsidRPr="00282AC9">
        <w:rPr>
          <w:rFonts w:hint="cs"/>
          <w:rtl/>
        </w:rPr>
        <w:t>ن</w:t>
      </w:r>
      <w:r w:rsidR="008D16A9" w:rsidRPr="00282AC9">
        <w:rPr>
          <w:rFonts w:hint="cs"/>
          <w:rtl/>
        </w:rPr>
        <w:t>ْ</w:t>
      </w:r>
      <w:r w:rsidRPr="00282AC9">
        <w:rPr>
          <w:rFonts w:hint="cs"/>
          <w:rtl/>
        </w:rPr>
        <w:t xml:space="preserve"> بلغ</w:t>
      </w:r>
      <w:r w:rsidRPr="00282AC9">
        <w:rPr>
          <w:rFonts w:hint="eastAsia"/>
          <w:sz w:val="24"/>
          <w:szCs w:val="24"/>
          <w:rtl/>
        </w:rPr>
        <w:t>»</w:t>
      </w:r>
      <w:r w:rsidRPr="00282AC9">
        <w:rPr>
          <w:vertAlign w:val="superscript"/>
          <w:rtl/>
        </w:rPr>
        <w:t>(</w:t>
      </w:r>
      <w:r w:rsidRPr="00282AC9">
        <w:rPr>
          <w:vertAlign w:val="superscript"/>
          <w:rtl/>
        </w:rPr>
        <w:endnoteReference w:id="144"/>
      </w:r>
      <w:r w:rsidRPr="00282AC9">
        <w:rPr>
          <w:vertAlign w:val="superscript"/>
          <w:rtl/>
        </w:rPr>
        <w:t>)</w:t>
      </w:r>
      <w:r w:rsidRPr="00282AC9">
        <w:rPr>
          <w:rFonts w:hint="cs"/>
          <w:rtl/>
        </w:rPr>
        <w:t>.</w:t>
      </w:r>
    </w:p>
    <w:p w:rsidR="0098597F" w:rsidRPr="00282AC9" w:rsidRDefault="0098597F" w:rsidP="00E327D7">
      <w:pPr>
        <w:rPr>
          <w:b/>
          <w:bCs/>
          <w:rtl/>
        </w:rPr>
      </w:pPr>
      <w:r w:rsidRPr="00282AC9">
        <w:rPr>
          <w:rFonts w:hint="cs"/>
          <w:b/>
          <w:bCs/>
          <w:rtl/>
        </w:rPr>
        <w:t>وفي ضوء ما تقد</w:t>
      </w:r>
      <w:r w:rsidR="008D16A9" w:rsidRPr="00282AC9">
        <w:rPr>
          <w:rFonts w:hint="cs"/>
          <w:b/>
          <w:bCs/>
          <w:rtl/>
        </w:rPr>
        <w:t>َّ</w:t>
      </w:r>
      <w:r w:rsidRPr="00282AC9">
        <w:rPr>
          <w:rFonts w:hint="cs"/>
          <w:b/>
          <w:bCs/>
          <w:rtl/>
        </w:rPr>
        <w:t>م ات</w:t>
      </w:r>
      <w:r w:rsidR="008D16A9" w:rsidRPr="00282AC9">
        <w:rPr>
          <w:rFonts w:hint="cs"/>
          <w:b/>
          <w:bCs/>
          <w:rtl/>
        </w:rPr>
        <w:t>ّ</w:t>
      </w:r>
      <w:r w:rsidRPr="00282AC9">
        <w:rPr>
          <w:rFonts w:hint="cs"/>
          <w:b/>
          <w:bCs/>
          <w:rtl/>
        </w:rPr>
        <w:t xml:space="preserve">ضح أمران: </w:t>
      </w:r>
    </w:p>
    <w:p w:rsidR="0098597F" w:rsidRPr="00282AC9" w:rsidRDefault="0098597F" w:rsidP="00DB3F27">
      <w:pPr>
        <w:rPr>
          <w:rtl/>
        </w:rPr>
      </w:pPr>
      <w:r w:rsidRPr="00282AC9">
        <w:rPr>
          <w:rFonts w:hint="cs"/>
          <w:b/>
          <w:bCs/>
          <w:rtl/>
        </w:rPr>
        <w:t>أو</w:t>
      </w:r>
      <w:r w:rsidR="008D16A9" w:rsidRPr="00282AC9">
        <w:rPr>
          <w:rFonts w:hint="cs"/>
          <w:b/>
          <w:bCs/>
          <w:rtl/>
        </w:rPr>
        <w:t>ّ</w:t>
      </w:r>
      <w:r w:rsidRPr="00282AC9">
        <w:rPr>
          <w:rFonts w:hint="cs"/>
          <w:b/>
          <w:bCs/>
          <w:rtl/>
        </w:rPr>
        <w:t>لاً</w:t>
      </w:r>
      <w:r w:rsidRPr="00282AC9">
        <w:rPr>
          <w:rFonts w:hint="cs"/>
          <w:rtl/>
        </w:rPr>
        <w:t xml:space="preserve">: </w:t>
      </w:r>
      <w:r w:rsidR="00322DF7" w:rsidRPr="00282AC9">
        <w:rPr>
          <w:rFonts w:hint="cs"/>
          <w:rtl/>
        </w:rPr>
        <w:t>إ</w:t>
      </w:r>
      <w:r w:rsidRPr="00282AC9">
        <w:rPr>
          <w:rFonts w:hint="cs"/>
          <w:rtl/>
        </w:rPr>
        <w:t>ن قاعدة التسامح هي قاعدة</w:t>
      </w:r>
      <w:r w:rsidR="008D16A9" w:rsidRPr="00282AC9">
        <w:rPr>
          <w:rFonts w:hint="cs"/>
          <w:rtl/>
        </w:rPr>
        <w:t>ٌ</w:t>
      </w:r>
      <w:r w:rsidRPr="00282AC9">
        <w:rPr>
          <w:rFonts w:hint="cs"/>
          <w:rtl/>
        </w:rPr>
        <w:t xml:space="preserve"> خلافية</w:t>
      </w:r>
      <w:r w:rsidR="008D16A9" w:rsidRPr="00282AC9">
        <w:rPr>
          <w:rFonts w:hint="cs"/>
          <w:rtl/>
        </w:rPr>
        <w:t>،</w:t>
      </w:r>
      <w:r w:rsidRPr="00282AC9">
        <w:rPr>
          <w:rFonts w:hint="cs"/>
          <w:rtl/>
        </w:rPr>
        <w:t xml:space="preserve"> ولا يوجد إجماع</w:t>
      </w:r>
      <w:r w:rsidR="008D16A9" w:rsidRPr="00282AC9">
        <w:rPr>
          <w:rFonts w:hint="cs"/>
          <w:rtl/>
        </w:rPr>
        <w:t>ٌ</w:t>
      </w:r>
      <w:r w:rsidRPr="00282AC9">
        <w:rPr>
          <w:rFonts w:hint="cs"/>
          <w:rtl/>
        </w:rPr>
        <w:t xml:space="preserve"> عليها، لا عند الشيعة ولا </w:t>
      </w:r>
      <w:r w:rsidR="008D16A9" w:rsidRPr="00282AC9">
        <w:rPr>
          <w:rFonts w:hint="cs"/>
          <w:rtl/>
        </w:rPr>
        <w:t xml:space="preserve">عند </w:t>
      </w:r>
      <w:r w:rsidRPr="00282AC9">
        <w:rPr>
          <w:rFonts w:hint="cs"/>
          <w:rtl/>
        </w:rPr>
        <w:t>السن</w:t>
      </w:r>
      <w:r w:rsidR="008D16A9" w:rsidRPr="00282AC9">
        <w:rPr>
          <w:rFonts w:hint="cs"/>
          <w:rtl/>
        </w:rPr>
        <w:t>ّ</w:t>
      </w:r>
      <w:r w:rsidRPr="00282AC9">
        <w:rPr>
          <w:rFonts w:hint="cs"/>
          <w:rtl/>
        </w:rPr>
        <w:t>ة، وسيأتي توضيح ذلك أكثر. وكيف تكون إجماعي</w:t>
      </w:r>
      <w:r w:rsidR="008D16A9" w:rsidRPr="00282AC9">
        <w:rPr>
          <w:rFonts w:hint="cs"/>
          <w:rtl/>
        </w:rPr>
        <w:t>ّ</w:t>
      </w:r>
      <w:r w:rsidRPr="00282AC9">
        <w:rPr>
          <w:rFonts w:hint="cs"/>
          <w:rtl/>
        </w:rPr>
        <w:t>ة</w:t>
      </w:r>
      <w:r w:rsidR="008D16A9" w:rsidRPr="00282AC9">
        <w:rPr>
          <w:rFonts w:hint="cs"/>
          <w:rtl/>
        </w:rPr>
        <w:t>ً</w:t>
      </w:r>
      <w:r w:rsidRPr="00282AC9">
        <w:rPr>
          <w:rFonts w:hint="cs"/>
          <w:rtl/>
        </w:rPr>
        <w:t xml:space="preserve"> والحال أننا لم نج</w:t>
      </w:r>
      <w:r w:rsidR="008D16A9" w:rsidRPr="00282AC9">
        <w:rPr>
          <w:rFonts w:hint="cs"/>
          <w:rtl/>
        </w:rPr>
        <w:t>ِ</w:t>
      </w:r>
      <w:r w:rsidRPr="00282AC9">
        <w:rPr>
          <w:rFonts w:hint="cs"/>
          <w:rtl/>
        </w:rPr>
        <w:t>د</w:t>
      </w:r>
      <w:r w:rsidR="008D16A9" w:rsidRPr="00282AC9">
        <w:rPr>
          <w:rFonts w:hint="cs"/>
          <w:rtl/>
        </w:rPr>
        <w:t>ْ</w:t>
      </w:r>
      <w:r w:rsidRPr="00282AC9">
        <w:rPr>
          <w:rFonts w:hint="cs"/>
          <w:rtl/>
        </w:rPr>
        <w:t xml:space="preserve"> لها ذ</w:t>
      </w:r>
      <w:r w:rsidR="008D16A9" w:rsidRPr="00282AC9">
        <w:rPr>
          <w:rFonts w:hint="cs"/>
          <w:rtl/>
        </w:rPr>
        <w:t>ِ</w:t>
      </w:r>
      <w:r w:rsidRPr="00282AC9">
        <w:rPr>
          <w:rFonts w:hint="cs"/>
          <w:rtl/>
        </w:rPr>
        <w:t>ك</w:t>
      </w:r>
      <w:r w:rsidR="008D16A9" w:rsidRPr="00282AC9">
        <w:rPr>
          <w:rFonts w:hint="cs"/>
          <w:rtl/>
        </w:rPr>
        <w:t>ْ</w:t>
      </w:r>
      <w:r w:rsidRPr="00282AC9">
        <w:rPr>
          <w:rFonts w:hint="cs"/>
          <w:rtl/>
        </w:rPr>
        <w:t>راً في كلام السابقين، بح</w:t>
      </w:r>
      <w:r w:rsidR="008D16A9" w:rsidRPr="00282AC9">
        <w:rPr>
          <w:rFonts w:hint="cs"/>
          <w:rtl/>
        </w:rPr>
        <w:t>َ</w:t>
      </w:r>
      <w:r w:rsidRPr="00282AC9">
        <w:rPr>
          <w:rFonts w:hint="cs"/>
          <w:rtl/>
        </w:rPr>
        <w:t>س</w:t>
      </w:r>
      <w:r w:rsidR="008D16A9" w:rsidRPr="00282AC9">
        <w:rPr>
          <w:rFonts w:hint="cs"/>
          <w:rtl/>
        </w:rPr>
        <w:t>َ</w:t>
      </w:r>
      <w:r w:rsidRPr="00282AC9">
        <w:rPr>
          <w:rFonts w:hint="cs"/>
          <w:rtl/>
        </w:rPr>
        <w:t>ب ما لاحظنا في كتبهم الأصولية أو الرجالية أو الفقهية</w:t>
      </w:r>
      <w:r w:rsidR="008D16A9" w:rsidRPr="00282AC9">
        <w:rPr>
          <w:rFonts w:hint="cs"/>
          <w:rtl/>
        </w:rPr>
        <w:t>،</w:t>
      </w:r>
      <w:r w:rsidRPr="00282AC9">
        <w:rPr>
          <w:rFonts w:hint="cs"/>
          <w:rtl/>
        </w:rPr>
        <w:t xml:space="preserve"> هذا مع كون أخبار </w:t>
      </w:r>
      <w:r w:rsidRPr="00282AC9">
        <w:rPr>
          <w:rFonts w:hint="eastAsia"/>
          <w:sz w:val="24"/>
          <w:szCs w:val="24"/>
          <w:rtl/>
        </w:rPr>
        <w:t>«</w:t>
      </w:r>
      <w:r w:rsidRPr="00282AC9">
        <w:rPr>
          <w:rFonts w:hint="cs"/>
          <w:rtl/>
        </w:rPr>
        <w:t>م</w:t>
      </w:r>
      <w:r w:rsidR="008D16A9" w:rsidRPr="00282AC9">
        <w:rPr>
          <w:rFonts w:hint="cs"/>
          <w:rtl/>
        </w:rPr>
        <w:t>َ</w:t>
      </w:r>
      <w:r w:rsidRPr="00282AC9">
        <w:rPr>
          <w:rFonts w:hint="cs"/>
          <w:rtl/>
        </w:rPr>
        <w:t>ن</w:t>
      </w:r>
      <w:r w:rsidR="008D16A9" w:rsidRPr="00282AC9">
        <w:rPr>
          <w:rFonts w:hint="cs"/>
          <w:rtl/>
        </w:rPr>
        <w:t>ْ</w:t>
      </w:r>
      <w:r w:rsidRPr="00282AC9">
        <w:rPr>
          <w:rFonts w:hint="cs"/>
          <w:rtl/>
        </w:rPr>
        <w:t xml:space="preserve"> بلغ</w:t>
      </w:r>
      <w:r w:rsidRPr="00282AC9">
        <w:rPr>
          <w:rFonts w:hint="eastAsia"/>
          <w:sz w:val="24"/>
          <w:szCs w:val="24"/>
          <w:rtl/>
        </w:rPr>
        <w:t>»</w:t>
      </w:r>
      <w:r w:rsidRPr="00282AC9">
        <w:rPr>
          <w:rFonts w:hint="cs"/>
          <w:rtl/>
        </w:rPr>
        <w:t xml:space="preserve"> في متناول أيديهم</w:t>
      </w:r>
      <w:r w:rsidR="008D16A9" w:rsidRPr="00282AC9">
        <w:rPr>
          <w:rFonts w:hint="cs"/>
          <w:rtl/>
        </w:rPr>
        <w:t>؟!</w:t>
      </w:r>
      <w:r w:rsidRPr="00282AC9">
        <w:rPr>
          <w:rFonts w:hint="cs"/>
          <w:rtl/>
        </w:rPr>
        <w:t xml:space="preserve"> ما يعني أنّهم لم يستفيدوا منها قاعدة التسامح، </w:t>
      </w:r>
      <w:r w:rsidRPr="00282AC9">
        <w:rPr>
          <w:rFonts w:eastAsia="Calibri" w:hint="cs"/>
          <w:rtl/>
        </w:rPr>
        <w:t>بل ر</w:t>
      </w:r>
      <w:r w:rsidR="008D16A9" w:rsidRPr="00282AC9">
        <w:rPr>
          <w:rFonts w:eastAsia="Calibri" w:hint="cs"/>
          <w:rtl/>
        </w:rPr>
        <w:t>ُ</w:t>
      </w:r>
      <w:r w:rsidRPr="00282AC9">
        <w:rPr>
          <w:rFonts w:eastAsia="Calibri" w:hint="cs"/>
          <w:rtl/>
        </w:rPr>
        <w:t>ب</w:t>
      </w:r>
      <w:r w:rsidR="008D16A9" w:rsidRPr="00282AC9">
        <w:rPr>
          <w:rFonts w:eastAsia="Calibri" w:hint="cs"/>
          <w:rtl/>
        </w:rPr>
        <w:t>َ</w:t>
      </w:r>
      <w:r w:rsidRPr="00282AC9">
        <w:rPr>
          <w:rFonts w:eastAsia="Calibri" w:hint="cs"/>
          <w:rtl/>
        </w:rPr>
        <w:t>ما نُسب إلى الشيخ الصدوق وأستاذه ابن الوليد عدم الاعتقاد بهذه القاعدة</w:t>
      </w:r>
      <w:r w:rsidR="008D16A9" w:rsidRPr="00282AC9">
        <w:rPr>
          <w:rFonts w:eastAsia="Calibri" w:hint="cs"/>
          <w:rtl/>
        </w:rPr>
        <w:t>؛</w:t>
      </w:r>
      <w:r w:rsidRPr="00282AC9">
        <w:rPr>
          <w:rFonts w:eastAsia="Calibri" w:hint="cs"/>
          <w:rtl/>
        </w:rPr>
        <w:t xml:space="preserve"> وذلك لأنّ الصدوق قال</w:t>
      </w:r>
      <w:r w:rsidR="008D16A9" w:rsidRPr="00282AC9">
        <w:rPr>
          <w:rFonts w:eastAsia="Calibri" w:hint="cs"/>
          <w:rtl/>
        </w:rPr>
        <w:t>،</w:t>
      </w:r>
      <w:r w:rsidRPr="00282AC9">
        <w:rPr>
          <w:rFonts w:eastAsia="Calibri" w:hint="cs"/>
          <w:rtl/>
        </w:rPr>
        <w:t xml:space="preserve"> في كتاب الصوم من كتاب </w:t>
      </w:r>
      <w:r w:rsidR="008D16A9" w:rsidRPr="00282AC9">
        <w:rPr>
          <w:rFonts w:eastAsia="Calibri" w:hint="cs"/>
          <w:rtl/>
        </w:rPr>
        <w:t xml:space="preserve">مَنْ لا يحضره </w:t>
      </w:r>
      <w:r w:rsidRPr="00282AC9">
        <w:rPr>
          <w:rFonts w:eastAsia="Calibri" w:hint="cs"/>
          <w:rtl/>
        </w:rPr>
        <w:t xml:space="preserve">الفقيه: </w:t>
      </w:r>
      <w:r w:rsidRPr="00282AC9">
        <w:rPr>
          <w:rFonts w:hint="eastAsia"/>
          <w:sz w:val="24"/>
          <w:szCs w:val="24"/>
          <w:rtl/>
        </w:rPr>
        <w:t>«</w:t>
      </w:r>
      <w:r w:rsidRPr="00282AC9">
        <w:rPr>
          <w:rFonts w:eastAsia="Calibri"/>
          <w:rtl/>
        </w:rPr>
        <w:t>وأم</w:t>
      </w:r>
      <w:r w:rsidRPr="00282AC9">
        <w:rPr>
          <w:rFonts w:eastAsia="Calibri" w:hint="cs"/>
          <w:rtl/>
        </w:rPr>
        <w:t>ّ</w:t>
      </w:r>
      <w:r w:rsidRPr="00282AC9">
        <w:rPr>
          <w:rFonts w:eastAsia="Calibri"/>
          <w:rtl/>
        </w:rPr>
        <w:t>ا خبر صلاة يوم غدير خم</w:t>
      </w:r>
      <w:r w:rsidR="008D16A9" w:rsidRPr="00282AC9">
        <w:rPr>
          <w:rFonts w:eastAsia="Calibri" w:hint="cs"/>
          <w:rtl/>
        </w:rPr>
        <w:t>ّ،</w:t>
      </w:r>
      <w:r w:rsidRPr="00282AC9">
        <w:rPr>
          <w:rFonts w:eastAsia="Calibri"/>
          <w:rtl/>
        </w:rPr>
        <w:t xml:space="preserve"> والثواب المذكور فيه لم</w:t>
      </w:r>
      <w:r w:rsidR="008D16A9" w:rsidRPr="00282AC9">
        <w:rPr>
          <w:rFonts w:eastAsia="Calibri" w:hint="cs"/>
          <w:rtl/>
        </w:rPr>
        <w:t>َ</w:t>
      </w:r>
      <w:r w:rsidRPr="00282AC9">
        <w:rPr>
          <w:rFonts w:eastAsia="Calibri"/>
          <w:rtl/>
        </w:rPr>
        <w:t>ن</w:t>
      </w:r>
      <w:r w:rsidR="008D16A9" w:rsidRPr="00282AC9">
        <w:rPr>
          <w:rFonts w:eastAsia="Calibri" w:hint="cs"/>
          <w:rtl/>
        </w:rPr>
        <w:t>ْ</w:t>
      </w:r>
      <w:r w:rsidRPr="00282AC9">
        <w:rPr>
          <w:rFonts w:eastAsia="Calibri"/>
          <w:rtl/>
        </w:rPr>
        <w:t xml:space="preserve"> صامه</w:t>
      </w:r>
      <w:r w:rsidRPr="00282AC9">
        <w:rPr>
          <w:rFonts w:eastAsia="Calibri" w:hint="cs"/>
          <w:rtl/>
        </w:rPr>
        <w:t>،</w:t>
      </w:r>
      <w:r w:rsidRPr="00282AC9">
        <w:rPr>
          <w:rFonts w:eastAsia="Calibri"/>
          <w:rtl/>
        </w:rPr>
        <w:t xml:space="preserve"> فإن</w:t>
      </w:r>
      <w:r w:rsidRPr="00282AC9">
        <w:rPr>
          <w:rFonts w:eastAsia="Calibri" w:hint="cs"/>
          <w:rtl/>
        </w:rPr>
        <w:t>ّ</w:t>
      </w:r>
      <w:r w:rsidRPr="00282AC9">
        <w:rPr>
          <w:rFonts w:eastAsia="Calibri"/>
          <w:rtl/>
        </w:rPr>
        <w:t xml:space="preserve"> شيخنا محمد</w:t>
      </w:r>
      <w:r w:rsidRPr="00282AC9">
        <w:rPr>
          <w:rFonts w:eastAsia="Calibri" w:hint="cs"/>
          <w:rtl/>
        </w:rPr>
        <w:t xml:space="preserve"> </w:t>
      </w:r>
      <w:r w:rsidRPr="00282AC9">
        <w:rPr>
          <w:rFonts w:eastAsia="Calibri"/>
          <w:rtl/>
        </w:rPr>
        <w:t xml:space="preserve">بن الحسن </w:t>
      </w:r>
      <w:r w:rsidRPr="00282AC9">
        <w:rPr>
          <w:rFonts w:eastAsia="Calibri" w:hint="cs"/>
          <w:rtl/>
        </w:rPr>
        <w:t>(</w:t>
      </w:r>
      <w:r w:rsidRPr="00282AC9">
        <w:rPr>
          <w:rFonts w:eastAsia="Calibri"/>
          <w:rtl/>
        </w:rPr>
        <w:t>رضي الله عنه</w:t>
      </w:r>
      <w:r w:rsidRPr="00282AC9">
        <w:rPr>
          <w:rFonts w:eastAsia="Calibri" w:hint="cs"/>
          <w:rtl/>
        </w:rPr>
        <w:t>)</w:t>
      </w:r>
      <w:r w:rsidRPr="00282AC9">
        <w:rPr>
          <w:rFonts w:eastAsia="Calibri"/>
          <w:rtl/>
        </w:rPr>
        <w:t xml:space="preserve"> كان لا يصح</w:t>
      </w:r>
      <w:r w:rsidR="00E96D31" w:rsidRPr="00282AC9">
        <w:rPr>
          <w:rFonts w:eastAsia="Calibri" w:hint="cs"/>
          <w:rtl/>
        </w:rPr>
        <w:t>ِّ</w:t>
      </w:r>
      <w:r w:rsidRPr="00282AC9">
        <w:rPr>
          <w:rFonts w:eastAsia="Calibri"/>
          <w:rtl/>
        </w:rPr>
        <w:t>حه</w:t>
      </w:r>
      <w:r w:rsidR="00E96D31" w:rsidRPr="00282AC9">
        <w:rPr>
          <w:rFonts w:eastAsia="Calibri" w:hint="cs"/>
          <w:rtl/>
        </w:rPr>
        <w:t>،</w:t>
      </w:r>
      <w:r w:rsidRPr="00282AC9">
        <w:rPr>
          <w:rFonts w:eastAsia="Calibri"/>
          <w:rtl/>
        </w:rPr>
        <w:t xml:space="preserve"> ويقول: إنه من طريق محمد بن موسى</w:t>
      </w:r>
      <w:r w:rsidRPr="00282AC9">
        <w:rPr>
          <w:rFonts w:eastAsia="Calibri" w:hint="cs"/>
          <w:rtl/>
        </w:rPr>
        <w:t xml:space="preserve"> </w:t>
      </w:r>
      <w:r w:rsidRPr="00282AC9">
        <w:rPr>
          <w:rFonts w:eastAsia="Calibri"/>
          <w:rtl/>
        </w:rPr>
        <w:t>الهمداني</w:t>
      </w:r>
      <w:r w:rsidR="00E96D31" w:rsidRPr="00282AC9">
        <w:rPr>
          <w:rFonts w:eastAsia="Calibri" w:hint="cs"/>
          <w:rtl/>
        </w:rPr>
        <w:t>،</w:t>
      </w:r>
      <w:r w:rsidRPr="00282AC9">
        <w:rPr>
          <w:rFonts w:eastAsia="Calibri"/>
          <w:rtl/>
        </w:rPr>
        <w:t xml:space="preserve"> وكان كذ</w:t>
      </w:r>
      <w:r w:rsidR="00E96D31" w:rsidRPr="00282AC9">
        <w:rPr>
          <w:rFonts w:eastAsia="Calibri" w:hint="cs"/>
          <w:rtl/>
        </w:rPr>
        <w:t>ّ</w:t>
      </w:r>
      <w:r w:rsidRPr="00282AC9">
        <w:rPr>
          <w:rFonts w:eastAsia="Calibri"/>
          <w:rtl/>
        </w:rPr>
        <w:t>ابا</w:t>
      </w:r>
      <w:r w:rsidRPr="00282AC9">
        <w:rPr>
          <w:rFonts w:eastAsia="Calibri" w:hint="cs"/>
          <w:rtl/>
        </w:rPr>
        <w:t>ً</w:t>
      </w:r>
      <w:r w:rsidRPr="00282AC9">
        <w:rPr>
          <w:rFonts w:eastAsia="Calibri"/>
          <w:rtl/>
        </w:rPr>
        <w:t xml:space="preserve"> غير ثقة</w:t>
      </w:r>
      <w:r w:rsidR="00E96D31" w:rsidRPr="00282AC9">
        <w:rPr>
          <w:rFonts w:eastAsia="Calibri" w:hint="cs"/>
          <w:rtl/>
        </w:rPr>
        <w:t>ٍ</w:t>
      </w:r>
      <w:r w:rsidRPr="00282AC9">
        <w:rPr>
          <w:rFonts w:eastAsia="Calibri" w:hint="cs"/>
          <w:rtl/>
        </w:rPr>
        <w:t>،</w:t>
      </w:r>
      <w:r w:rsidRPr="00282AC9">
        <w:rPr>
          <w:rFonts w:eastAsia="Calibri"/>
          <w:rtl/>
        </w:rPr>
        <w:t xml:space="preserve"> وكل</w:t>
      </w:r>
      <w:r w:rsidRPr="00282AC9">
        <w:rPr>
          <w:rFonts w:eastAsia="Calibri" w:hint="cs"/>
          <w:rtl/>
        </w:rPr>
        <w:t>ّ</w:t>
      </w:r>
      <w:r w:rsidR="00E96D31" w:rsidRPr="00282AC9">
        <w:rPr>
          <w:rFonts w:eastAsia="Calibri" w:hint="cs"/>
          <w:rtl/>
        </w:rPr>
        <w:t>ُ</w:t>
      </w:r>
      <w:r w:rsidRPr="00282AC9">
        <w:rPr>
          <w:rFonts w:eastAsia="Calibri"/>
          <w:rtl/>
        </w:rPr>
        <w:t xml:space="preserve"> ما لم يصح</w:t>
      </w:r>
      <w:r w:rsidR="00E96D31" w:rsidRPr="00282AC9">
        <w:rPr>
          <w:rFonts w:eastAsia="Calibri" w:hint="cs"/>
          <w:rtl/>
        </w:rPr>
        <w:t>ِّ</w:t>
      </w:r>
      <w:r w:rsidRPr="00282AC9">
        <w:rPr>
          <w:rFonts w:eastAsia="Calibri"/>
          <w:rtl/>
        </w:rPr>
        <w:t xml:space="preserve">حه ذلك الشيخ </w:t>
      </w:r>
      <w:r w:rsidRPr="00282AC9">
        <w:rPr>
          <w:rFonts w:eastAsia="Calibri" w:hint="cs"/>
          <w:rtl/>
        </w:rPr>
        <w:t>(</w:t>
      </w:r>
      <w:r w:rsidRPr="00282AC9">
        <w:rPr>
          <w:rFonts w:eastAsia="Calibri"/>
          <w:rtl/>
        </w:rPr>
        <w:t>قد</w:t>
      </w:r>
      <w:r w:rsidR="00E96D31" w:rsidRPr="00282AC9">
        <w:rPr>
          <w:rFonts w:eastAsia="Calibri" w:hint="cs"/>
          <w:rtl/>
        </w:rPr>
        <w:t>َّ</w:t>
      </w:r>
      <w:r w:rsidRPr="00282AC9">
        <w:rPr>
          <w:rFonts w:eastAsia="Calibri"/>
          <w:rtl/>
        </w:rPr>
        <w:t>س الله روحه</w:t>
      </w:r>
      <w:r w:rsidRPr="00282AC9">
        <w:rPr>
          <w:rFonts w:eastAsia="Calibri" w:hint="cs"/>
          <w:rtl/>
        </w:rPr>
        <w:t>)</w:t>
      </w:r>
      <w:r w:rsidR="00E96D31" w:rsidRPr="00282AC9">
        <w:rPr>
          <w:rFonts w:eastAsia="Calibri" w:hint="cs"/>
          <w:rtl/>
        </w:rPr>
        <w:t>،</w:t>
      </w:r>
      <w:r w:rsidRPr="00282AC9">
        <w:rPr>
          <w:rFonts w:eastAsia="Calibri" w:hint="cs"/>
          <w:rtl/>
        </w:rPr>
        <w:t xml:space="preserve"> </w:t>
      </w:r>
      <w:r w:rsidRPr="00282AC9">
        <w:rPr>
          <w:rFonts w:eastAsia="Calibri"/>
          <w:rtl/>
        </w:rPr>
        <w:t>ولم يحكم بصحته من ال</w:t>
      </w:r>
      <w:r w:rsidRPr="00282AC9">
        <w:rPr>
          <w:rFonts w:eastAsia="Calibri" w:hint="cs"/>
          <w:rtl/>
        </w:rPr>
        <w:t>أ</w:t>
      </w:r>
      <w:r w:rsidRPr="00282AC9">
        <w:rPr>
          <w:rFonts w:eastAsia="Calibri"/>
          <w:rtl/>
        </w:rPr>
        <w:t>خبار</w:t>
      </w:r>
      <w:r w:rsidR="00E96D31" w:rsidRPr="00282AC9">
        <w:rPr>
          <w:rFonts w:eastAsia="Calibri" w:hint="cs"/>
          <w:rtl/>
        </w:rPr>
        <w:t>،</w:t>
      </w:r>
      <w:r w:rsidRPr="00282AC9">
        <w:rPr>
          <w:rFonts w:eastAsia="Calibri"/>
          <w:rtl/>
        </w:rPr>
        <w:t xml:space="preserve"> فهو عندنا متروك</w:t>
      </w:r>
      <w:r w:rsidR="00E96D31" w:rsidRPr="00282AC9">
        <w:rPr>
          <w:rFonts w:eastAsia="Calibri" w:hint="cs"/>
          <w:rtl/>
        </w:rPr>
        <w:t>ٌ</w:t>
      </w:r>
      <w:r w:rsidRPr="00282AC9">
        <w:rPr>
          <w:rFonts w:eastAsia="Calibri"/>
          <w:rtl/>
        </w:rPr>
        <w:t xml:space="preserve"> غير صحيح</w:t>
      </w:r>
      <w:r w:rsidRPr="00282AC9">
        <w:rPr>
          <w:rFonts w:hint="eastAsia"/>
          <w:sz w:val="24"/>
          <w:szCs w:val="24"/>
          <w:rtl/>
        </w:rPr>
        <w:t>»</w:t>
      </w:r>
      <w:r w:rsidRPr="00282AC9">
        <w:rPr>
          <w:rFonts w:eastAsia="Calibri"/>
          <w:vertAlign w:val="superscript"/>
          <w:rtl/>
        </w:rPr>
        <w:t>(</w:t>
      </w:r>
      <w:r w:rsidRPr="00282AC9">
        <w:rPr>
          <w:rFonts w:eastAsia="Calibri"/>
          <w:vertAlign w:val="superscript"/>
          <w:rtl/>
        </w:rPr>
        <w:endnoteReference w:id="145"/>
      </w:r>
      <w:r w:rsidRPr="00282AC9">
        <w:rPr>
          <w:rFonts w:eastAsia="Calibri"/>
          <w:vertAlign w:val="superscript"/>
          <w:rtl/>
        </w:rPr>
        <w:t>)</w:t>
      </w:r>
      <w:r w:rsidRPr="00282AC9">
        <w:rPr>
          <w:rFonts w:eastAsia="Calibri" w:hint="cs"/>
          <w:rtl/>
        </w:rPr>
        <w:t>.</w:t>
      </w:r>
      <w:r w:rsidRPr="00282AC9">
        <w:rPr>
          <w:rFonts w:eastAsia="Calibri"/>
          <w:rtl/>
        </w:rPr>
        <w:t xml:space="preserve"> </w:t>
      </w:r>
      <w:r w:rsidRPr="00282AC9">
        <w:rPr>
          <w:rFonts w:eastAsia="Calibri" w:hint="cs"/>
          <w:rtl/>
        </w:rPr>
        <w:t>ف</w:t>
      </w:r>
      <w:r w:rsidRPr="00282AC9">
        <w:rPr>
          <w:rFonts w:eastAsia="Calibri"/>
          <w:rtl/>
        </w:rPr>
        <w:t xml:space="preserve">لو </w:t>
      </w:r>
      <w:r w:rsidRPr="00282AC9">
        <w:rPr>
          <w:rFonts w:eastAsia="Calibri" w:hint="cs"/>
          <w:rtl/>
        </w:rPr>
        <w:t>أنهما كانا يريان</w:t>
      </w:r>
      <w:r w:rsidRPr="00282AC9">
        <w:rPr>
          <w:rFonts w:eastAsia="Calibri"/>
          <w:rtl/>
        </w:rPr>
        <w:t xml:space="preserve"> التسامح لم يكن </w:t>
      </w:r>
      <w:r w:rsidRPr="00282AC9">
        <w:rPr>
          <w:rFonts w:eastAsia="Calibri" w:hint="cs"/>
          <w:rtl/>
        </w:rPr>
        <w:t>ثمّة</w:t>
      </w:r>
      <w:r w:rsidR="00E96D31" w:rsidRPr="00282AC9">
        <w:rPr>
          <w:rFonts w:eastAsia="Calibri" w:hint="cs"/>
          <w:rtl/>
        </w:rPr>
        <w:t>َ</w:t>
      </w:r>
      <w:r w:rsidRPr="00282AC9">
        <w:rPr>
          <w:rFonts w:eastAsia="Calibri"/>
          <w:rtl/>
        </w:rPr>
        <w:t xml:space="preserve"> داع</w:t>
      </w:r>
      <w:r w:rsidR="00E96D31" w:rsidRPr="00282AC9">
        <w:rPr>
          <w:rFonts w:eastAsia="Calibri" w:hint="cs"/>
          <w:rtl/>
        </w:rPr>
        <w:t>ٍ</w:t>
      </w:r>
      <w:r w:rsidRPr="00282AC9">
        <w:rPr>
          <w:rFonts w:eastAsia="Calibri"/>
          <w:rtl/>
        </w:rPr>
        <w:t xml:space="preserve"> إلى ردّ</w:t>
      </w:r>
      <w:r w:rsidR="00E96D31" w:rsidRPr="00282AC9">
        <w:rPr>
          <w:rFonts w:eastAsia="Calibri" w:hint="cs"/>
          <w:rtl/>
        </w:rPr>
        <w:t>ِ</w:t>
      </w:r>
      <w:r w:rsidRPr="00282AC9">
        <w:rPr>
          <w:rFonts w:eastAsia="Calibri"/>
          <w:rtl/>
        </w:rPr>
        <w:t xml:space="preserve"> الخبر المذكور</w:t>
      </w:r>
      <w:r w:rsidRPr="00282AC9">
        <w:rPr>
          <w:rFonts w:eastAsia="Calibri"/>
          <w:vertAlign w:val="superscript"/>
          <w:rtl/>
        </w:rPr>
        <w:t>(</w:t>
      </w:r>
      <w:r w:rsidRPr="00282AC9">
        <w:rPr>
          <w:rFonts w:eastAsia="Calibri"/>
          <w:vertAlign w:val="superscript"/>
          <w:rtl/>
        </w:rPr>
        <w:endnoteReference w:id="146"/>
      </w:r>
      <w:r w:rsidRPr="00282AC9">
        <w:rPr>
          <w:rFonts w:eastAsia="Calibri"/>
          <w:vertAlign w:val="superscript"/>
          <w:rtl/>
        </w:rPr>
        <w:t>)</w:t>
      </w:r>
      <w:r w:rsidRPr="00282AC9">
        <w:rPr>
          <w:rFonts w:eastAsia="Calibri" w:hint="cs"/>
          <w:rtl/>
        </w:rPr>
        <w:t>.</w:t>
      </w:r>
    </w:p>
    <w:p w:rsidR="0098597F" w:rsidRPr="00282AC9" w:rsidRDefault="0098597F" w:rsidP="00E327D7">
      <w:pPr>
        <w:rPr>
          <w:rtl/>
        </w:rPr>
      </w:pPr>
      <w:r w:rsidRPr="00282AC9">
        <w:rPr>
          <w:rFonts w:eastAsia="Calibri" w:hint="cs"/>
          <w:rtl/>
        </w:rPr>
        <w:t xml:space="preserve"> اللهم</w:t>
      </w:r>
      <w:r w:rsidR="00E96D31" w:rsidRPr="00282AC9">
        <w:rPr>
          <w:rFonts w:eastAsia="Calibri" w:hint="cs"/>
          <w:rtl/>
        </w:rPr>
        <w:t>ّ</w:t>
      </w:r>
      <w:r w:rsidRPr="00282AC9">
        <w:rPr>
          <w:rFonts w:eastAsia="Calibri" w:hint="cs"/>
          <w:rtl/>
        </w:rPr>
        <w:t xml:space="preserve"> إلا</w:t>
      </w:r>
      <w:r w:rsidR="00E96D31" w:rsidRPr="00282AC9">
        <w:rPr>
          <w:rFonts w:eastAsia="Calibri" w:hint="cs"/>
          <w:rtl/>
        </w:rPr>
        <w:t>ّ</w:t>
      </w:r>
      <w:r w:rsidRPr="00282AC9">
        <w:rPr>
          <w:rFonts w:eastAsia="Calibri" w:hint="cs"/>
          <w:rtl/>
        </w:rPr>
        <w:t xml:space="preserve"> أن ي</w:t>
      </w:r>
      <w:r w:rsidR="00E96D31" w:rsidRPr="00282AC9">
        <w:rPr>
          <w:rFonts w:eastAsia="Calibri" w:hint="cs"/>
          <w:rtl/>
        </w:rPr>
        <w:t>ُ</w:t>
      </w:r>
      <w:r w:rsidRPr="00282AC9">
        <w:rPr>
          <w:rFonts w:eastAsia="Calibri" w:hint="cs"/>
          <w:rtl/>
        </w:rPr>
        <w:t>قال: إنّ رد</w:t>
      </w:r>
      <w:r w:rsidR="00E96D31" w:rsidRPr="00282AC9">
        <w:rPr>
          <w:rFonts w:eastAsia="Calibri" w:hint="cs"/>
          <w:rtl/>
        </w:rPr>
        <w:t>ّ</w:t>
      </w:r>
      <w:r w:rsidRPr="00282AC9">
        <w:rPr>
          <w:rFonts w:eastAsia="Calibri" w:hint="cs"/>
          <w:rtl/>
        </w:rPr>
        <w:t xml:space="preserve"> الخبر من ق</w:t>
      </w:r>
      <w:r w:rsidR="00E96D31" w:rsidRPr="00282AC9">
        <w:rPr>
          <w:rFonts w:eastAsia="Calibri" w:hint="cs"/>
          <w:rtl/>
        </w:rPr>
        <w:t>ِ</w:t>
      </w:r>
      <w:r w:rsidRPr="00282AC9">
        <w:rPr>
          <w:rFonts w:eastAsia="Calibri" w:hint="cs"/>
          <w:rtl/>
        </w:rPr>
        <w:t>ب</w:t>
      </w:r>
      <w:r w:rsidR="00E96D31" w:rsidRPr="00282AC9">
        <w:rPr>
          <w:rFonts w:eastAsia="Calibri" w:hint="cs"/>
          <w:rtl/>
        </w:rPr>
        <w:t>َ</w:t>
      </w:r>
      <w:r w:rsidRPr="00282AC9">
        <w:rPr>
          <w:rFonts w:eastAsia="Calibri" w:hint="cs"/>
          <w:rtl/>
        </w:rPr>
        <w:t>لهما إنما هو بسبب كونه موضوعاً بنظرهما، كما يبدو من الحكم بكذب راويه، ومعه فلا محلّ لقاعدة التسامح</w:t>
      </w:r>
      <w:r w:rsidR="00E96D31" w:rsidRPr="00282AC9">
        <w:rPr>
          <w:rFonts w:eastAsia="Calibri" w:hint="cs"/>
          <w:rtl/>
        </w:rPr>
        <w:t>؛</w:t>
      </w:r>
      <w:r w:rsidRPr="00282AC9">
        <w:rPr>
          <w:rFonts w:eastAsia="Calibri" w:hint="cs"/>
          <w:rtl/>
        </w:rPr>
        <w:t xml:space="preserve"> لانتفاء موضوعها</w:t>
      </w:r>
      <w:r w:rsidR="00E96D31" w:rsidRPr="00282AC9">
        <w:rPr>
          <w:rFonts w:eastAsia="Calibri" w:hint="cs"/>
          <w:rtl/>
        </w:rPr>
        <w:t>،</w:t>
      </w:r>
      <w:r w:rsidRPr="00282AC9">
        <w:rPr>
          <w:rFonts w:eastAsia="Calibri" w:hint="cs"/>
          <w:rtl/>
        </w:rPr>
        <w:t xml:space="preserve"> وهو البلوغ، فتأم</w:t>
      </w:r>
      <w:r w:rsidR="00E96D31" w:rsidRPr="00282AC9">
        <w:rPr>
          <w:rFonts w:eastAsia="Calibri" w:hint="cs"/>
          <w:rtl/>
        </w:rPr>
        <w:t>َّ</w:t>
      </w:r>
      <w:r w:rsidRPr="00282AC9">
        <w:rPr>
          <w:rFonts w:eastAsia="Calibri" w:hint="cs"/>
          <w:rtl/>
        </w:rPr>
        <w:t>ل</w:t>
      </w:r>
      <w:r w:rsidR="00E96D31" w:rsidRPr="00282AC9">
        <w:rPr>
          <w:rFonts w:eastAsia="Calibri" w:hint="cs"/>
          <w:rtl/>
        </w:rPr>
        <w:t>ْ</w:t>
      </w:r>
      <w:r w:rsidRPr="00282AC9">
        <w:rPr>
          <w:rFonts w:eastAsia="Calibri" w:hint="cs"/>
          <w:rtl/>
        </w:rPr>
        <w:t>.</w:t>
      </w:r>
    </w:p>
    <w:p w:rsidR="0098597F" w:rsidRPr="00282AC9" w:rsidRDefault="0098597F" w:rsidP="00E327D7">
      <w:pPr>
        <w:rPr>
          <w:rtl/>
        </w:rPr>
      </w:pPr>
      <w:r w:rsidRPr="00282AC9">
        <w:rPr>
          <w:rFonts w:hint="cs"/>
          <w:b/>
          <w:bCs/>
          <w:rtl/>
        </w:rPr>
        <w:t>ثانياً</w:t>
      </w:r>
      <w:r w:rsidRPr="00282AC9">
        <w:rPr>
          <w:rFonts w:hint="cs"/>
          <w:rtl/>
        </w:rPr>
        <w:t xml:space="preserve">: </w:t>
      </w:r>
      <w:r w:rsidR="00E96D31" w:rsidRPr="00282AC9">
        <w:rPr>
          <w:rFonts w:hint="cs"/>
          <w:rtl/>
        </w:rPr>
        <w:t>إ</w:t>
      </w:r>
      <w:r w:rsidRPr="00282AC9">
        <w:rPr>
          <w:rFonts w:hint="cs"/>
          <w:rtl/>
        </w:rPr>
        <w:t xml:space="preserve">نها بصيغتها المشهورة، أعني صيغة </w:t>
      </w:r>
      <w:r w:rsidRPr="00282AC9">
        <w:rPr>
          <w:rFonts w:hint="eastAsia"/>
          <w:sz w:val="24"/>
          <w:szCs w:val="24"/>
          <w:rtl/>
        </w:rPr>
        <w:t>«</w:t>
      </w:r>
      <w:r w:rsidRPr="00282AC9">
        <w:rPr>
          <w:rFonts w:hint="cs"/>
          <w:rtl/>
        </w:rPr>
        <w:t>التسامح في الس</w:t>
      </w:r>
      <w:r w:rsidR="00E96D31" w:rsidRPr="00282AC9">
        <w:rPr>
          <w:rFonts w:hint="cs"/>
          <w:rtl/>
        </w:rPr>
        <w:t>ُّ</w:t>
      </w:r>
      <w:r w:rsidRPr="00282AC9">
        <w:rPr>
          <w:rFonts w:hint="cs"/>
          <w:rtl/>
        </w:rPr>
        <w:t>ن</w:t>
      </w:r>
      <w:r w:rsidR="00E96D31" w:rsidRPr="00282AC9">
        <w:rPr>
          <w:rFonts w:hint="cs"/>
          <w:rtl/>
        </w:rPr>
        <w:t>َ</w:t>
      </w:r>
      <w:r w:rsidRPr="00282AC9">
        <w:rPr>
          <w:rFonts w:hint="cs"/>
          <w:rtl/>
        </w:rPr>
        <w:t xml:space="preserve">ن أو في فضائل </w:t>
      </w:r>
      <w:r w:rsidRPr="00282AC9">
        <w:rPr>
          <w:rFonts w:hint="cs"/>
          <w:rtl/>
        </w:rPr>
        <w:lastRenderedPageBreak/>
        <w:t>الأعمال</w:t>
      </w:r>
      <w:r w:rsidRPr="00282AC9">
        <w:rPr>
          <w:rFonts w:hint="eastAsia"/>
          <w:sz w:val="24"/>
          <w:szCs w:val="24"/>
          <w:rtl/>
        </w:rPr>
        <w:t>»</w:t>
      </w:r>
      <w:r w:rsidRPr="00282AC9">
        <w:rPr>
          <w:rFonts w:hint="cs"/>
          <w:rtl/>
        </w:rPr>
        <w:t>، مطروحة</w:t>
      </w:r>
      <w:r w:rsidR="00E96D31" w:rsidRPr="00282AC9">
        <w:rPr>
          <w:rFonts w:hint="cs"/>
          <w:rtl/>
        </w:rPr>
        <w:t>ٌ</w:t>
      </w:r>
      <w:r w:rsidRPr="00282AC9">
        <w:rPr>
          <w:rFonts w:hint="cs"/>
          <w:rtl/>
        </w:rPr>
        <w:t xml:space="preserve"> في الفقه السن</w:t>
      </w:r>
      <w:r w:rsidR="00E96D31" w:rsidRPr="00282AC9">
        <w:rPr>
          <w:rFonts w:hint="cs"/>
          <w:rtl/>
        </w:rPr>
        <w:t>ّ</w:t>
      </w:r>
      <w:r w:rsidRPr="00282AC9">
        <w:rPr>
          <w:rFonts w:hint="cs"/>
          <w:rtl/>
        </w:rPr>
        <w:t>ي أيضاً، ور</w:t>
      </w:r>
      <w:r w:rsidR="00E96D31" w:rsidRPr="00282AC9">
        <w:rPr>
          <w:rFonts w:hint="cs"/>
          <w:rtl/>
        </w:rPr>
        <w:t>ُ</w:t>
      </w:r>
      <w:r w:rsidRPr="00282AC9">
        <w:rPr>
          <w:rFonts w:hint="cs"/>
          <w:rtl/>
        </w:rPr>
        <w:t>ب</w:t>
      </w:r>
      <w:r w:rsidR="00E96D31" w:rsidRPr="00282AC9">
        <w:rPr>
          <w:rFonts w:hint="cs"/>
          <w:rtl/>
        </w:rPr>
        <w:t>َ</w:t>
      </w:r>
      <w:r w:rsidRPr="00282AC9">
        <w:rPr>
          <w:rFonts w:hint="cs"/>
          <w:rtl/>
        </w:rPr>
        <w:t>ما قبل أن تكون مطروحة في الفقه الشيعي</w:t>
      </w:r>
      <w:r w:rsidR="00E96D31" w:rsidRPr="00282AC9">
        <w:rPr>
          <w:rFonts w:hint="cs"/>
          <w:rtl/>
        </w:rPr>
        <w:t>ّ</w:t>
      </w:r>
      <w:r w:rsidRPr="00282AC9">
        <w:rPr>
          <w:rFonts w:hint="cs"/>
          <w:rtl/>
        </w:rPr>
        <w:t>، فقد عب</w:t>
      </w:r>
      <w:r w:rsidR="00E96D31" w:rsidRPr="00282AC9">
        <w:rPr>
          <w:rFonts w:hint="cs"/>
          <w:rtl/>
        </w:rPr>
        <w:t>َّ</w:t>
      </w:r>
      <w:r w:rsidRPr="00282AC9">
        <w:rPr>
          <w:rFonts w:hint="cs"/>
          <w:rtl/>
        </w:rPr>
        <w:t>ر عنها الإمام أحمد بتعبير</w:t>
      </w:r>
      <w:r w:rsidR="00E96D31" w:rsidRPr="00282AC9">
        <w:rPr>
          <w:rFonts w:hint="cs"/>
          <w:rtl/>
        </w:rPr>
        <w:t>:</w:t>
      </w:r>
      <w:r w:rsidRPr="00282AC9">
        <w:rPr>
          <w:rFonts w:hint="cs"/>
          <w:rtl/>
        </w:rPr>
        <w:t xml:space="preserve"> التساهل في أخبار فضائل الأعمال، في مقابل التشد</w:t>
      </w:r>
      <w:r w:rsidR="00E96D31" w:rsidRPr="00282AC9">
        <w:rPr>
          <w:rFonts w:hint="cs"/>
          <w:rtl/>
        </w:rPr>
        <w:t>ُّ</w:t>
      </w:r>
      <w:r w:rsidRPr="00282AC9">
        <w:rPr>
          <w:rFonts w:hint="cs"/>
          <w:rtl/>
        </w:rPr>
        <w:t>د في الحرام والحلال</w:t>
      </w:r>
      <w:r w:rsidR="00E96D31" w:rsidRPr="00282AC9">
        <w:rPr>
          <w:rFonts w:hint="cs"/>
          <w:rtl/>
        </w:rPr>
        <w:t>.</w:t>
      </w:r>
      <w:r w:rsidRPr="00282AC9">
        <w:rPr>
          <w:rFonts w:hint="cs"/>
          <w:rtl/>
        </w:rPr>
        <w:t xml:space="preserve"> ومصطلح التسامح مطروح عندهم أيضاً، كما تقد</w:t>
      </w:r>
      <w:r w:rsidR="00E96D31" w:rsidRPr="00282AC9">
        <w:rPr>
          <w:rFonts w:hint="cs"/>
          <w:rtl/>
        </w:rPr>
        <w:t>َّم في كلام النووي</w:t>
      </w:r>
      <w:r w:rsidRPr="00282AC9">
        <w:rPr>
          <w:rFonts w:hint="cs"/>
          <w:rtl/>
        </w:rPr>
        <w:t xml:space="preserve">(676هـ)، وقال أيضاً: </w:t>
      </w:r>
      <w:r w:rsidRPr="00282AC9">
        <w:rPr>
          <w:rFonts w:hint="eastAsia"/>
          <w:sz w:val="24"/>
          <w:szCs w:val="24"/>
          <w:rtl/>
        </w:rPr>
        <w:t>«</w:t>
      </w:r>
      <w:r w:rsidRPr="00282AC9">
        <w:rPr>
          <w:rtl/>
        </w:rPr>
        <w:t>وقد ات</w:t>
      </w:r>
      <w:r w:rsidR="00E96D31" w:rsidRPr="00282AC9">
        <w:rPr>
          <w:rFonts w:hint="cs"/>
          <w:rtl/>
        </w:rPr>
        <w:t>َّ</w:t>
      </w:r>
      <w:r w:rsidRPr="00282AC9">
        <w:rPr>
          <w:rtl/>
        </w:rPr>
        <w:t>فق</w:t>
      </w:r>
      <w:r w:rsidRPr="00282AC9">
        <w:rPr>
          <w:rFonts w:hint="cs"/>
          <w:rtl/>
        </w:rPr>
        <w:t xml:space="preserve"> </w:t>
      </w:r>
      <w:r w:rsidRPr="00282AC9">
        <w:rPr>
          <w:rtl/>
        </w:rPr>
        <w:t>العلماء على أن الحديث المرسل والضعيف والموقوف ي</w:t>
      </w:r>
      <w:r w:rsidR="00E96D31" w:rsidRPr="00282AC9">
        <w:rPr>
          <w:rFonts w:hint="cs"/>
          <w:rtl/>
        </w:rPr>
        <w:t>ُ</w:t>
      </w:r>
      <w:r w:rsidRPr="00282AC9">
        <w:rPr>
          <w:rtl/>
        </w:rPr>
        <w:t>تسامح به في فضائل الاعمال</w:t>
      </w:r>
      <w:r w:rsidR="00E96D31" w:rsidRPr="00282AC9">
        <w:rPr>
          <w:rFonts w:hint="cs"/>
          <w:rtl/>
        </w:rPr>
        <w:t>،</w:t>
      </w:r>
      <w:r w:rsidRPr="00282AC9">
        <w:rPr>
          <w:rtl/>
        </w:rPr>
        <w:t xml:space="preserve"> وي</w:t>
      </w:r>
      <w:r w:rsidR="00E96D31" w:rsidRPr="00282AC9">
        <w:rPr>
          <w:rFonts w:hint="cs"/>
          <w:rtl/>
        </w:rPr>
        <w:t>ُ</w:t>
      </w:r>
      <w:r w:rsidRPr="00282AC9">
        <w:rPr>
          <w:rtl/>
        </w:rPr>
        <w:t>عمل بمقتضاه</w:t>
      </w:r>
      <w:r w:rsidRPr="00282AC9">
        <w:rPr>
          <w:rFonts w:hint="eastAsia"/>
          <w:sz w:val="24"/>
          <w:szCs w:val="24"/>
          <w:rtl/>
        </w:rPr>
        <w:t>»</w:t>
      </w:r>
      <w:r w:rsidRPr="00282AC9">
        <w:rPr>
          <w:vertAlign w:val="superscript"/>
          <w:rtl/>
        </w:rPr>
        <w:t>(</w:t>
      </w:r>
      <w:r w:rsidRPr="00282AC9">
        <w:rPr>
          <w:vertAlign w:val="superscript"/>
          <w:rtl/>
        </w:rPr>
        <w:endnoteReference w:id="147"/>
      </w:r>
      <w:r w:rsidRPr="00282AC9">
        <w:rPr>
          <w:vertAlign w:val="superscript"/>
          <w:rtl/>
        </w:rPr>
        <w:t>)</w:t>
      </w:r>
      <w:r w:rsidRPr="00282AC9">
        <w:rPr>
          <w:rFonts w:hint="cs"/>
          <w:rtl/>
        </w:rPr>
        <w:t>. وأمّا عند الشيعة فقد ظهرت القاعدة بهذه الصيغة في كلمات المتأخ</w:t>
      </w:r>
      <w:r w:rsidR="00E96D31" w:rsidRPr="00282AC9">
        <w:rPr>
          <w:rFonts w:hint="cs"/>
          <w:rtl/>
        </w:rPr>
        <w:t>ِّرين، بدءاً من الشهيد الأول</w:t>
      </w:r>
      <w:r w:rsidRPr="00282AC9">
        <w:rPr>
          <w:rFonts w:hint="cs"/>
          <w:rtl/>
        </w:rPr>
        <w:t>(786هـ)</w:t>
      </w:r>
      <w:r w:rsidRPr="00282AC9">
        <w:rPr>
          <w:vertAlign w:val="superscript"/>
          <w:rtl/>
        </w:rPr>
        <w:t>(</w:t>
      </w:r>
      <w:r w:rsidRPr="00282AC9">
        <w:rPr>
          <w:vertAlign w:val="superscript"/>
          <w:rtl/>
        </w:rPr>
        <w:endnoteReference w:id="148"/>
      </w:r>
      <w:r w:rsidRPr="00282AC9">
        <w:rPr>
          <w:vertAlign w:val="superscript"/>
          <w:rtl/>
        </w:rPr>
        <w:t>)</w:t>
      </w:r>
      <w:r w:rsidRPr="00282AC9">
        <w:rPr>
          <w:rFonts w:hint="cs"/>
          <w:rtl/>
        </w:rPr>
        <w:t>، وم</w:t>
      </w:r>
      <w:r w:rsidR="00E96D31" w:rsidRPr="00282AC9">
        <w:rPr>
          <w:rFonts w:hint="cs"/>
          <w:rtl/>
        </w:rPr>
        <w:t>َ</w:t>
      </w:r>
      <w:r w:rsidRPr="00282AC9">
        <w:rPr>
          <w:rFonts w:hint="cs"/>
          <w:rtl/>
        </w:rPr>
        <w:t>ن</w:t>
      </w:r>
      <w:r w:rsidR="00E96D31" w:rsidRPr="00282AC9">
        <w:rPr>
          <w:rFonts w:hint="cs"/>
          <w:rtl/>
        </w:rPr>
        <w:t>ْ</w:t>
      </w:r>
      <w:r w:rsidRPr="00282AC9">
        <w:rPr>
          <w:rFonts w:hint="cs"/>
          <w:rtl/>
        </w:rPr>
        <w:t xml:space="preserve"> تلاه، ون</w:t>
      </w:r>
      <w:r w:rsidR="00E96D31" w:rsidRPr="00282AC9">
        <w:rPr>
          <w:rFonts w:hint="cs"/>
          <w:rtl/>
        </w:rPr>
        <w:t>ُ</w:t>
      </w:r>
      <w:r w:rsidRPr="00282AC9">
        <w:rPr>
          <w:rFonts w:hint="cs"/>
          <w:rtl/>
        </w:rPr>
        <w:t>سب ذلك إلى العلا</w:t>
      </w:r>
      <w:r w:rsidR="00E96D31" w:rsidRPr="00282AC9">
        <w:rPr>
          <w:rFonts w:hint="cs"/>
          <w:rtl/>
        </w:rPr>
        <w:t>ّ</w:t>
      </w:r>
      <w:r w:rsidRPr="00282AC9">
        <w:rPr>
          <w:rFonts w:hint="cs"/>
          <w:rtl/>
        </w:rPr>
        <w:t>مة الحل</w:t>
      </w:r>
      <w:r w:rsidR="00E96D31" w:rsidRPr="00282AC9">
        <w:rPr>
          <w:rFonts w:hint="cs"/>
          <w:rtl/>
        </w:rPr>
        <w:t>ّ</w:t>
      </w:r>
      <w:r w:rsidRPr="00282AC9">
        <w:rPr>
          <w:rFonts w:hint="cs"/>
          <w:rtl/>
        </w:rPr>
        <w:t>ي في موضعين من المنتهى، كما في كلام مفاتيح الأصول المتقد</w:t>
      </w:r>
      <w:r w:rsidR="00E96D31" w:rsidRPr="00282AC9">
        <w:rPr>
          <w:rFonts w:hint="cs"/>
          <w:rtl/>
        </w:rPr>
        <w:t>ِّ</w:t>
      </w:r>
      <w:r w:rsidRPr="00282AC9">
        <w:rPr>
          <w:rFonts w:hint="cs"/>
          <w:rtl/>
        </w:rPr>
        <w:t>م، ولم نعث</w:t>
      </w:r>
      <w:r w:rsidR="00E96D31" w:rsidRPr="00282AC9">
        <w:rPr>
          <w:rFonts w:hint="cs"/>
          <w:rtl/>
        </w:rPr>
        <w:t>َ</w:t>
      </w:r>
      <w:r w:rsidRPr="00282AC9">
        <w:rPr>
          <w:rFonts w:hint="cs"/>
          <w:rtl/>
        </w:rPr>
        <w:t>ر</w:t>
      </w:r>
      <w:r w:rsidR="00E96D31" w:rsidRPr="00282AC9">
        <w:rPr>
          <w:rFonts w:hint="cs"/>
          <w:rtl/>
        </w:rPr>
        <w:t>ْ</w:t>
      </w:r>
      <w:r w:rsidRPr="00282AC9">
        <w:rPr>
          <w:rFonts w:hint="cs"/>
          <w:rtl/>
        </w:rPr>
        <w:t xml:space="preserve"> عليهما.</w:t>
      </w:r>
    </w:p>
    <w:p w:rsidR="0098597F" w:rsidRPr="00282AC9" w:rsidRDefault="0098597F" w:rsidP="004F71AA">
      <w:pPr>
        <w:shd w:val="clear" w:color="auto" w:fill="FFFFFF"/>
        <w:spacing w:line="420" w:lineRule="exact"/>
        <w:rPr>
          <w:rFonts w:ascii="Arial" w:hAnsi="Arial"/>
          <w:sz w:val="27"/>
          <w:rtl/>
        </w:rPr>
      </w:pPr>
    </w:p>
    <w:p w:rsidR="0098597F" w:rsidRPr="00282AC9" w:rsidRDefault="002A096D" w:rsidP="009C6A22">
      <w:pPr>
        <w:pStyle w:val="31"/>
        <w:rPr>
          <w:color w:val="auto"/>
          <w:rtl/>
        </w:rPr>
      </w:pPr>
      <w:r w:rsidRPr="00282AC9">
        <w:rPr>
          <w:rFonts w:hint="cs"/>
          <w:color w:val="auto"/>
          <w:rtl/>
        </w:rPr>
        <w:t>3</w:t>
      </w:r>
      <w:r w:rsidR="0098597F" w:rsidRPr="00282AC9">
        <w:rPr>
          <w:rFonts w:hint="cs"/>
          <w:color w:val="auto"/>
          <w:rtl/>
        </w:rPr>
        <w:t>ـ مستند القاعدة</w:t>
      </w:r>
    </w:p>
    <w:p w:rsidR="0098597F" w:rsidRPr="00282AC9" w:rsidRDefault="0098597F" w:rsidP="00E327D7">
      <w:pPr>
        <w:rPr>
          <w:rtl/>
        </w:rPr>
      </w:pPr>
      <w:r w:rsidRPr="00282AC9">
        <w:rPr>
          <w:rFonts w:hint="cs"/>
          <w:rtl/>
        </w:rPr>
        <w:t>بمراجعة كلمات الأعلام نجد أنهم استدل</w:t>
      </w:r>
      <w:r w:rsidR="00E96D31" w:rsidRPr="00282AC9">
        <w:rPr>
          <w:rFonts w:hint="cs"/>
          <w:rtl/>
        </w:rPr>
        <w:t>ّ</w:t>
      </w:r>
      <w:r w:rsidRPr="00282AC9">
        <w:rPr>
          <w:rFonts w:hint="cs"/>
          <w:rtl/>
        </w:rPr>
        <w:t>وا على القاعدة بعد</w:t>
      </w:r>
      <w:r w:rsidR="00E96D31" w:rsidRPr="00282AC9">
        <w:rPr>
          <w:rFonts w:hint="cs"/>
          <w:rtl/>
        </w:rPr>
        <w:t>ّ</w:t>
      </w:r>
      <w:r w:rsidRPr="00282AC9">
        <w:rPr>
          <w:rFonts w:hint="cs"/>
          <w:rtl/>
        </w:rPr>
        <w:t>ة وجوه</w:t>
      </w:r>
      <w:r w:rsidR="00E96D31" w:rsidRPr="00282AC9">
        <w:rPr>
          <w:rFonts w:hint="cs"/>
          <w:rtl/>
        </w:rPr>
        <w:t>ٍ</w:t>
      </w:r>
      <w:r w:rsidRPr="00282AC9">
        <w:rPr>
          <w:rFonts w:hint="cs"/>
          <w:rtl/>
        </w:rPr>
        <w:t xml:space="preserve">: </w:t>
      </w:r>
    </w:p>
    <w:p w:rsidR="002A096D" w:rsidRPr="00282AC9" w:rsidRDefault="002A096D" w:rsidP="004F71AA">
      <w:pPr>
        <w:spacing w:line="430" w:lineRule="exact"/>
        <w:rPr>
          <w:rtl/>
        </w:rPr>
      </w:pPr>
    </w:p>
    <w:p w:rsidR="002A096D" w:rsidRPr="00282AC9" w:rsidRDefault="002A096D" w:rsidP="002A096D">
      <w:pPr>
        <w:pStyle w:val="31"/>
        <w:rPr>
          <w:color w:val="auto"/>
          <w:rtl/>
        </w:rPr>
      </w:pPr>
      <w:r w:rsidRPr="00282AC9">
        <w:rPr>
          <w:rFonts w:hint="cs"/>
          <w:b/>
          <w:color w:val="auto"/>
          <w:rtl/>
        </w:rPr>
        <w:t>أـ</w:t>
      </w:r>
      <w:r w:rsidR="0098597F" w:rsidRPr="00282AC9">
        <w:rPr>
          <w:rFonts w:hint="cs"/>
          <w:b/>
          <w:color w:val="auto"/>
          <w:rtl/>
        </w:rPr>
        <w:t xml:space="preserve"> </w:t>
      </w:r>
      <w:r w:rsidR="0098597F" w:rsidRPr="00282AC9">
        <w:rPr>
          <w:rFonts w:hint="cs"/>
          <w:color w:val="auto"/>
          <w:rtl/>
        </w:rPr>
        <w:t>الإجماع</w:t>
      </w:r>
    </w:p>
    <w:p w:rsidR="0098597F" w:rsidRPr="00282AC9" w:rsidRDefault="0098597F" w:rsidP="00E327D7">
      <w:pPr>
        <w:rPr>
          <w:rtl/>
        </w:rPr>
      </w:pPr>
      <w:r w:rsidRPr="00282AC9">
        <w:rPr>
          <w:rFonts w:hint="cs"/>
          <w:rtl/>
        </w:rPr>
        <w:t>قال ابن فهد الحل</w:t>
      </w:r>
      <w:r w:rsidR="000D4241" w:rsidRPr="00282AC9">
        <w:rPr>
          <w:rFonts w:hint="cs"/>
          <w:rtl/>
        </w:rPr>
        <w:t>ّ</w:t>
      </w:r>
      <w:r w:rsidRPr="00282AC9">
        <w:rPr>
          <w:rFonts w:hint="cs"/>
          <w:rtl/>
        </w:rPr>
        <w:t>ي</w:t>
      </w:r>
      <w:r w:rsidR="000D4241" w:rsidRPr="00282AC9">
        <w:rPr>
          <w:rFonts w:eastAsia="Calibri" w:hint="cs"/>
          <w:rtl/>
        </w:rPr>
        <w:t>،</w:t>
      </w:r>
      <w:r w:rsidRPr="00282AC9">
        <w:rPr>
          <w:rFonts w:eastAsia="Calibri" w:hint="cs"/>
          <w:rtl/>
        </w:rPr>
        <w:t xml:space="preserve"> بعد أن أورد بعض أخبار القاعدة: </w:t>
      </w:r>
      <w:r w:rsidRPr="00282AC9">
        <w:rPr>
          <w:rFonts w:hint="eastAsia"/>
          <w:sz w:val="24"/>
          <w:szCs w:val="24"/>
          <w:rtl/>
        </w:rPr>
        <w:t>«</w:t>
      </w:r>
      <w:r w:rsidRPr="00282AC9">
        <w:rPr>
          <w:rFonts w:eastAsia="Calibri"/>
          <w:rtl/>
        </w:rPr>
        <w:t>فصار هذا المعنى مجمعا</w:t>
      </w:r>
      <w:r w:rsidRPr="00282AC9">
        <w:rPr>
          <w:rFonts w:eastAsia="Calibri" w:hint="cs"/>
          <w:rtl/>
        </w:rPr>
        <w:t>ً</w:t>
      </w:r>
      <w:r w:rsidRPr="00282AC9">
        <w:rPr>
          <w:rFonts w:eastAsia="Calibri"/>
          <w:rtl/>
        </w:rPr>
        <w:t xml:space="preserve"> عليه عند</w:t>
      </w:r>
      <w:r w:rsidRPr="00282AC9">
        <w:rPr>
          <w:rFonts w:eastAsia="Calibri" w:hint="cs"/>
          <w:rtl/>
        </w:rPr>
        <w:t xml:space="preserve"> </w:t>
      </w:r>
      <w:r w:rsidRPr="00282AC9">
        <w:rPr>
          <w:rFonts w:eastAsia="Calibri"/>
          <w:rtl/>
        </w:rPr>
        <w:t>الفريقين</w:t>
      </w:r>
      <w:r w:rsidR="000D4241" w:rsidRPr="00282AC9">
        <w:rPr>
          <w:rFonts w:hint="eastAsia"/>
          <w:sz w:val="24"/>
          <w:szCs w:val="24"/>
          <w:rtl/>
        </w:rPr>
        <w:t>»</w:t>
      </w:r>
      <w:r w:rsidRPr="00282AC9">
        <w:rPr>
          <w:vertAlign w:val="superscript"/>
          <w:rtl/>
        </w:rPr>
        <w:t>(</w:t>
      </w:r>
      <w:r w:rsidRPr="00282AC9">
        <w:rPr>
          <w:vertAlign w:val="superscript"/>
          <w:rtl/>
        </w:rPr>
        <w:endnoteReference w:id="149"/>
      </w:r>
      <w:r w:rsidRPr="00282AC9">
        <w:rPr>
          <w:vertAlign w:val="superscript"/>
          <w:rtl/>
        </w:rPr>
        <w:t>)</w:t>
      </w:r>
      <w:r w:rsidRPr="00282AC9">
        <w:rPr>
          <w:rFonts w:hint="cs"/>
          <w:rtl/>
        </w:rPr>
        <w:t>.</w:t>
      </w:r>
    </w:p>
    <w:p w:rsidR="0098597F" w:rsidRPr="00282AC9" w:rsidRDefault="0098597F" w:rsidP="00E327D7">
      <w:pPr>
        <w:rPr>
          <w:b/>
          <w:bCs/>
          <w:rtl/>
        </w:rPr>
      </w:pPr>
      <w:r w:rsidRPr="00282AC9">
        <w:rPr>
          <w:rFonts w:hint="cs"/>
          <w:b/>
          <w:bCs/>
          <w:rtl/>
        </w:rPr>
        <w:t>وي</w:t>
      </w:r>
      <w:r w:rsidR="000D4241" w:rsidRPr="00282AC9">
        <w:rPr>
          <w:rFonts w:hint="cs"/>
          <w:b/>
          <w:bCs/>
          <w:rtl/>
        </w:rPr>
        <w:t>َ</w:t>
      </w:r>
      <w:r w:rsidRPr="00282AC9">
        <w:rPr>
          <w:rFonts w:hint="cs"/>
          <w:b/>
          <w:bCs/>
          <w:rtl/>
        </w:rPr>
        <w:t>ر</w:t>
      </w:r>
      <w:r w:rsidR="000D4241" w:rsidRPr="00282AC9">
        <w:rPr>
          <w:rFonts w:hint="cs"/>
          <w:b/>
          <w:bCs/>
          <w:rtl/>
        </w:rPr>
        <w:t>ِ</w:t>
      </w:r>
      <w:r w:rsidRPr="00282AC9">
        <w:rPr>
          <w:rFonts w:hint="cs"/>
          <w:b/>
          <w:bCs/>
          <w:rtl/>
        </w:rPr>
        <w:t>د</w:t>
      </w:r>
      <w:r w:rsidR="000D4241" w:rsidRPr="00282AC9">
        <w:rPr>
          <w:rFonts w:hint="cs"/>
          <w:b/>
          <w:bCs/>
          <w:rtl/>
        </w:rPr>
        <w:t>ُ</w:t>
      </w:r>
      <w:r w:rsidRPr="00282AC9">
        <w:rPr>
          <w:rFonts w:hint="cs"/>
          <w:b/>
          <w:bCs/>
          <w:rtl/>
        </w:rPr>
        <w:t xml:space="preserve"> عليه: </w:t>
      </w:r>
    </w:p>
    <w:p w:rsidR="0098597F" w:rsidRPr="00282AC9" w:rsidRDefault="0098597F" w:rsidP="00E327D7">
      <w:pPr>
        <w:rPr>
          <w:rtl/>
        </w:rPr>
      </w:pPr>
      <w:r w:rsidRPr="00282AC9">
        <w:rPr>
          <w:rFonts w:hint="cs"/>
          <w:b/>
          <w:bCs/>
          <w:rtl/>
        </w:rPr>
        <w:t>أو</w:t>
      </w:r>
      <w:r w:rsidR="000D4241" w:rsidRPr="00282AC9">
        <w:rPr>
          <w:rFonts w:hint="cs"/>
          <w:b/>
          <w:bCs/>
          <w:rtl/>
        </w:rPr>
        <w:t>ّ</w:t>
      </w:r>
      <w:r w:rsidRPr="00282AC9">
        <w:rPr>
          <w:rFonts w:hint="cs"/>
          <w:b/>
          <w:bCs/>
          <w:rtl/>
        </w:rPr>
        <w:t>لاً</w:t>
      </w:r>
      <w:r w:rsidRPr="00282AC9">
        <w:rPr>
          <w:rFonts w:hint="cs"/>
          <w:rtl/>
        </w:rPr>
        <w:t>: إنّ دعوى كون القاعدة مجمعاً عليها بين فقهاء الفريقين غير صحيحة</w:t>
      </w:r>
      <w:r w:rsidR="000D4241" w:rsidRPr="00282AC9">
        <w:rPr>
          <w:rFonts w:hint="cs"/>
          <w:rtl/>
        </w:rPr>
        <w:t>،</w:t>
      </w:r>
      <w:r w:rsidRPr="00282AC9">
        <w:rPr>
          <w:rFonts w:hint="cs"/>
          <w:rtl/>
        </w:rPr>
        <w:t xml:space="preserve"> كما عرف</w:t>
      </w:r>
      <w:r w:rsidR="000D4241" w:rsidRPr="00282AC9">
        <w:rPr>
          <w:rFonts w:hint="cs"/>
          <w:rtl/>
        </w:rPr>
        <w:t>ْ</w:t>
      </w:r>
      <w:r w:rsidRPr="00282AC9">
        <w:rPr>
          <w:rFonts w:hint="cs"/>
          <w:rtl/>
        </w:rPr>
        <w:t>ت</w:t>
      </w:r>
      <w:r w:rsidR="000D4241" w:rsidRPr="00282AC9">
        <w:rPr>
          <w:rFonts w:hint="cs"/>
          <w:rtl/>
        </w:rPr>
        <w:t>َ</w:t>
      </w:r>
      <w:r w:rsidRPr="00282AC9">
        <w:rPr>
          <w:rFonts w:hint="cs"/>
          <w:rtl/>
        </w:rPr>
        <w:t>، فلا إجماع شيعي</w:t>
      </w:r>
      <w:r w:rsidR="000D4241" w:rsidRPr="00282AC9">
        <w:rPr>
          <w:rFonts w:hint="cs"/>
          <w:rtl/>
        </w:rPr>
        <w:t>ّ</w:t>
      </w:r>
      <w:r w:rsidRPr="00282AC9">
        <w:rPr>
          <w:rFonts w:hint="cs"/>
          <w:rtl/>
        </w:rPr>
        <w:t>اً ولا سن</w:t>
      </w:r>
      <w:r w:rsidR="000D4241" w:rsidRPr="00282AC9">
        <w:rPr>
          <w:rFonts w:hint="cs"/>
          <w:rtl/>
        </w:rPr>
        <w:t>ّ</w:t>
      </w:r>
      <w:r w:rsidRPr="00282AC9">
        <w:rPr>
          <w:rFonts w:hint="cs"/>
          <w:rtl/>
        </w:rPr>
        <w:t>ياً على المسألة. وكيف تكون المسألة إجماعية ولا نجد لها ذ</w:t>
      </w:r>
      <w:r w:rsidR="000D4241" w:rsidRPr="00282AC9">
        <w:rPr>
          <w:rFonts w:hint="cs"/>
          <w:rtl/>
        </w:rPr>
        <w:t>ِ</w:t>
      </w:r>
      <w:r w:rsidRPr="00282AC9">
        <w:rPr>
          <w:rFonts w:hint="cs"/>
          <w:rtl/>
        </w:rPr>
        <w:t>ك</w:t>
      </w:r>
      <w:r w:rsidR="000D4241" w:rsidRPr="00282AC9">
        <w:rPr>
          <w:rFonts w:hint="cs"/>
          <w:rtl/>
        </w:rPr>
        <w:t>ْ</w:t>
      </w:r>
      <w:r w:rsidRPr="00282AC9">
        <w:rPr>
          <w:rFonts w:hint="cs"/>
          <w:rtl/>
        </w:rPr>
        <w:t>راً في كلمات فقهائنا</w:t>
      </w:r>
      <w:r w:rsidR="000D4241" w:rsidRPr="00282AC9">
        <w:rPr>
          <w:rFonts w:hint="cs"/>
          <w:rtl/>
        </w:rPr>
        <w:t>،</w:t>
      </w:r>
      <w:r w:rsidRPr="00282AC9">
        <w:rPr>
          <w:rFonts w:hint="cs"/>
          <w:rtl/>
        </w:rPr>
        <w:t xml:space="preserve"> إلا</w:t>
      </w:r>
      <w:r w:rsidR="000D4241" w:rsidRPr="00282AC9">
        <w:rPr>
          <w:rFonts w:hint="cs"/>
          <w:rtl/>
        </w:rPr>
        <w:t>ّ</w:t>
      </w:r>
      <w:r w:rsidRPr="00282AC9">
        <w:rPr>
          <w:rFonts w:hint="cs"/>
          <w:rtl/>
        </w:rPr>
        <w:t xml:space="preserve"> بدءاً من الشهيد الأو</w:t>
      </w:r>
      <w:r w:rsidR="000D4241" w:rsidRPr="00282AC9">
        <w:rPr>
          <w:rFonts w:hint="cs"/>
          <w:rtl/>
        </w:rPr>
        <w:t>ّ</w:t>
      </w:r>
      <w:r w:rsidRPr="00282AC9">
        <w:rPr>
          <w:rFonts w:hint="cs"/>
          <w:rtl/>
        </w:rPr>
        <w:t>ل في القرن الثامن الهجري؟! وقد سجّ</w:t>
      </w:r>
      <w:r w:rsidR="000D4241" w:rsidRPr="00282AC9">
        <w:rPr>
          <w:rFonts w:hint="cs"/>
          <w:rtl/>
        </w:rPr>
        <w:t>َ</w:t>
      </w:r>
      <w:r w:rsidRPr="00282AC9">
        <w:rPr>
          <w:rFonts w:hint="cs"/>
          <w:rtl/>
        </w:rPr>
        <w:t>ل بعض</w:t>
      </w:r>
      <w:r w:rsidR="000D4241" w:rsidRPr="00282AC9">
        <w:rPr>
          <w:rFonts w:hint="cs"/>
          <w:rtl/>
        </w:rPr>
        <w:t>ُ</w:t>
      </w:r>
      <w:r w:rsidRPr="00282AC9">
        <w:rPr>
          <w:rFonts w:hint="cs"/>
          <w:rtl/>
        </w:rPr>
        <w:t>هم كلام الشهيد الأو</w:t>
      </w:r>
      <w:r w:rsidR="000D4241" w:rsidRPr="00282AC9">
        <w:rPr>
          <w:rFonts w:hint="cs"/>
          <w:rtl/>
        </w:rPr>
        <w:t>ّ</w:t>
      </w:r>
      <w:r w:rsidRPr="00282AC9">
        <w:rPr>
          <w:rFonts w:hint="cs"/>
          <w:rtl/>
        </w:rPr>
        <w:t>ل</w:t>
      </w:r>
      <w:r w:rsidR="000D4241" w:rsidRPr="00282AC9">
        <w:rPr>
          <w:rFonts w:hint="cs"/>
          <w:rtl/>
        </w:rPr>
        <w:t>،</w:t>
      </w:r>
      <w:r w:rsidRPr="00282AC9">
        <w:rPr>
          <w:rFonts w:hint="cs"/>
          <w:rtl/>
        </w:rPr>
        <w:t xml:space="preserve"> الذي جاء فيه: </w:t>
      </w:r>
      <w:r w:rsidRPr="00282AC9">
        <w:rPr>
          <w:rFonts w:hint="eastAsia"/>
          <w:sz w:val="24"/>
          <w:szCs w:val="24"/>
          <w:rtl/>
        </w:rPr>
        <w:t>«</w:t>
      </w:r>
      <w:r w:rsidRPr="00282AC9">
        <w:rPr>
          <w:rtl/>
        </w:rPr>
        <w:t>أحاديث الفضائل ي</w:t>
      </w:r>
      <w:r w:rsidR="000D4241" w:rsidRPr="00282AC9">
        <w:rPr>
          <w:rFonts w:hint="cs"/>
          <w:rtl/>
        </w:rPr>
        <w:t>ُ</w:t>
      </w:r>
      <w:r w:rsidRPr="00282AC9">
        <w:rPr>
          <w:rtl/>
        </w:rPr>
        <w:t>تسامح فيها عند أهل العلم</w:t>
      </w:r>
      <w:r w:rsidRPr="00282AC9">
        <w:rPr>
          <w:rFonts w:hint="eastAsia"/>
          <w:sz w:val="24"/>
          <w:szCs w:val="24"/>
          <w:rtl/>
        </w:rPr>
        <w:t>»</w:t>
      </w:r>
      <w:r w:rsidRPr="00282AC9">
        <w:rPr>
          <w:vertAlign w:val="superscript"/>
          <w:rtl/>
        </w:rPr>
        <w:t>(</w:t>
      </w:r>
      <w:r w:rsidRPr="00282AC9">
        <w:rPr>
          <w:vertAlign w:val="superscript"/>
          <w:rtl/>
        </w:rPr>
        <w:endnoteReference w:id="150"/>
      </w:r>
      <w:r w:rsidRPr="00282AC9">
        <w:rPr>
          <w:vertAlign w:val="superscript"/>
          <w:rtl/>
        </w:rPr>
        <w:t>)</w:t>
      </w:r>
      <w:r w:rsidRPr="00282AC9">
        <w:rPr>
          <w:rFonts w:hint="cs"/>
          <w:rtl/>
        </w:rPr>
        <w:t>، معتبراً أنّ هذه الجملة تدلّ على أنّ التسامح إجماعي</w:t>
      </w:r>
      <w:r w:rsidR="000D4241" w:rsidRPr="00282AC9">
        <w:rPr>
          <w:rFonts w:hint="cs"/>
          <w:rtl/>
        </w:rPr>
        <w:t>ّ</w:t>
      </w:r>
      <w:r w:rsidRPr="00282AC9">
        <w:rPr>
          <w:vertAlign w:val="superscript"/>
          <w:rtl/>
        </w:rPr>
        <w:t>(</w:t>
      </w:r>
      <w:r w:rsidRPr="00282AC9">
        <w:rPr>
          <w:vertAlign w:val="superscript"/>
          <w:rtl/>
        </w:rPr>
        <w:endnoteReference w:id="151"/>
      </w:r>
      <w:r w:rsidRPr="00282AC9">
        <w:rPr>
          <w:vertAlign w:val="superscript"/>
          <w:rtl/>
        </w:rPr>
        <w:t>)</w:t>
      </w:r>
      <w:r w:rsidRPr="00282AC9">
        <w:rPr>
          <w:rFonts w:hint="cs"/>
          <w:rtl/>
        </w:rPr>
        <w:t>، والحال أنّ هذه العبارة ينقلها الشهيد الأو</w:t>
      </w:r>
      <w:r w:rsidR="000D4241" w:rsidRPr="00282AC9">
        <w:rPr>
          <w:rFonts w:hint="cs"/>
          <w:rtl/>
        </w:rPr>
        <w:t>ّ</w:t>
      </w:r>
      <w:r w:rsidRPr="00282AC9">
        <w:rPr>
          <w:rFonts w:hint="cs"/>
          <w:rtl/>
        </w:rPr>
        <w:t>ل ـ كما يصر</w:t>
      </w:r>
      <w:r w:rsidR="000D4241" w:rsidRPr="00282AC9">
        <w:rPr>
          <w:rFonts w:hint="cs"/>
          <w:rtl/>
        </w:rPr>
        <w:t>ِّ</w:t>
      </w:r>
      <w:r w:rsidRPr="00282AC9">
        <w:rPr>
          <w:rFonts w:hint="cs"/>
          <w:rtl/>
        </w:rPr>
        <w:t>ح في مستهل</w:t>
      </w:r>
      <w:r w:rsidR="000D4241" w:rsidRPr="00282AC9">
        <w:rPr>
          <w:rFonts w:hint="cs"/>
          <w:rtl/>
        </w:rPr>
        <w:t>ّ</w:t>
      </w:r>
      <w:r w:rsidRPr="00282AC9">
        <w:rPr>
          <w:rFonts w:hint="cs"/>
          <w:rtl/>
        </w:rPr>
        <w:t xml:space="preserve"> كلامه ـ عن صاحب الروضة</w:t>
      </w:r>
      <w:r w:rsidR="000D4241" w:rsidRPr="00282AC9">
        <w:rPr>
          <w:rFonts w:hint="cs"/>
          <w:rtl/>
        </w:rPr>
        <w:t>،</w:t>
      </w:r>
      <w:r w:rsidRPr="00282AC9">
        <w:rPr>
          <w:rFonts w:hint="cs"/>
          <w:rtl/>
        </w:rPr>
        <w:t xml:space="preserve"> وهو النووي</w:t>
      </w:r>
      <w:r w:rsidRPr="00282AC9">
        <w:rPr>
          <w:vertAlign w:val="superscript"/>
          <w:rtl/>
        </w:rPr>
        <w:t>(</w:t>
      </w:r>
      <w:r w:rsidRPr="00282AC9">
        <w:rPr>
          <w:vertAlign w:val="superscript"/>
          <w:rtl/>
        </w:rPr>
        <w:endnoteReference w:id="152"/>
      </w:r>
      <w:r w:rsidRPr="00282AC9">
        <w:rPr>
          <w:vertAlign w:val="superscript"/>
          <w:rtl/>
        </w:rPr>
        <w:t>)</w:t>
      </w:r>
      <w:r w:rsidRPr="00282AC9">
        <w:rPr>
          <w:rFonts w:hint="cs"/>
          <w:rtl/>
        </w:rPr>
        <w:t>. وقد لاح</w:t>
      </w:r>
      <w:r w:rsidR="000D4241" w:rsidRPr="00282AC9">
        <w:rPr>
          <w:rFonts w:hint="cs"/>
          <w:rtl/>
        </w:rPr>
        <w:t>َ</w:t>
      </w:r>
      <w:r w:rsidRPr="00282AC9">
        <w:rPr>
          <w:rFonts w:hint="cs"/>
          <w:rtl/>
        </w:rPr>
        <w:t>ظ</w:t>
      </w:r>
      <w:r w:rsidR="000D4241" w:rsidRPr="00282AC9">
        <w:rPr>
          <w:rFonts w:hint="cs"/>
          <w:rtl/>
        </w:rPr>
        <w:t>ْ</w:t>
      </w:r>
      <w:r w:rsidRPr="00282AC9">
        <w:rPr>
          <w:rFonts w:hint="cs"/>
          <w:rtl/>
        </w:rPr>
        <w:t>نا أنّ الشهيد الثاني أفاد أنّ الأكثر جو</w:t>
      </w:r>
      <w:r w:rsidR="000D4241" w:rsidRPr="00282AC9">
        <w:rPr>
          <w:rFonts w:hint="cs"/>
          <w:rtl/>
        </w:rPr>
        <w:t>َّ</w:t>
      </w:r>
      <w:r w:rsidRPr="00282AC9">
        <w:rPr>
          <w:rFonts w:hint="cs"/>
          <w:rtl/>
        </w:rPr>
        <w:t>زوا العمل بالخبر الضعيف في فضائل الأعمال</w:t>
      </w:r>
      <w:r w:rsidRPr="00282AC9">
        <w:rPr>
          <w:vertAlign w:val="superscript"/>
          <w:rtl/>
        </w:rPr>
        <w:t>(</w:t>
      </w:r>
      <w:r w:rsidRPr="00282AC9">
        <w:rPr>
          <w:vertAlign w:val="superscript"/>
          <w:rtl/>
        </w:rPr>
        <w:endnoteReference w:id="153"/>
      </w:r>
      <w:r w:rsidRPr="00282AC9">
        <w:rPr>
          <w:vertAlign w:val="superscript"/>
          <w:rtl/>
        </w:rPr>
        <w:t>)</w:t>
      </w:r>
      <w:r w:rsidRPr="00282AC9">
        <w:rPr>
          <w:rFonts w:hint="cs"/>
          <w:rtl/>
        </w:rPr>
        <w:t>، وسيأتي نقل كلامه لاحقاً. ولكنْ حت</w:t>
      </w:r>
      <w:r w:rsidR="000D4241" w:rsidRPr="00282AC9">
        <w:rPr>
          <w:rFonts w:hint="cs"/>
          <w:rtl/>
        </w:rPr>
        <w:t>ّ</w:t>
      </w:r>
      <w:r w:rsidRPr="00282AC9">
        <w:rPr>
          <w:rFonts w:hint="cs"/>
          <w:rtl/>
        </w:rPr>
        <w:t>ى دعوى الأكثرية غير واضحة</w:t>
      </w:r>
      <w:r w:rsidR="000D4241" w:rsidRPr="00282AC9">
        <w:rPr>
          <w:rFonts w:hint="cs"/>
          <w:rtl/>
        </w:rPr>
        <w:t>ٍ؛</w:t>
      </w:r>
      <w:r w:rsidRPr="00282AC9">
        <w:rPr>
          <w:rFonts w:hint="cs"/>
          <w:rtl/>
        </w:rPr>
        <w:t xml:space="preserve"> بلحاظ ما تقد</w:t>
      </w:r>
      <w:r w:rsidR="000D4241" w:rsidRPr="00282AC9">
        <w:rPr>
          <w:rFonts w:hint="cs"/>
          <w:rtl/>
        </w:rPr>
        <w:t>َّ</w:t>
      </w:r>
      <w:r w:rsidRPr="00282AC9">
        <w:rPr>
          <w:rFonts w:hint="cs"/>
          <w:rtl/>
        </w:rPr>
        <w:t>م من سكوت كثير</w:t>
      </w:r>
      <w:r w:rsidR="000D4241" w:rsidRPr="00282AC9">
        <w:rPr>
          <w:rFonts w:hint="cs"/>
          <w:rtl/>
        </w:rPr>
        <w:t>ٍ</w:t>
      </w:r>
      <w:r w:rsidRPr="00282AC9">
        <w:rPr>
          <w:rFonts w:hint="cs"/>
          <w:rtl/>
        </w:rPr>
        <w:t xml:space="preserve"> من الفقهاء عن هذه القاعدة.</w:t>
      </w:r>
    </w:p>
    <w:p w:rsidR="0098597F" w:rsidRPr="00282AC9" w:rsidRDefault="0098597F" w:rsidP="00E327D7">
      <w:pPr>
        <w:rPr>
          <w:rtl/>
        </w:rPr>
      </w:pPr>
      <w:r w:rsidRPr="00282AC9">
        <w:rPr>
          <w:rFonts w:hint="cs"/>
          <w:b/>
          <w:bCs/>
          <w:rtl/>
        </w:rPr>
        <w:lastRenderedPageBreak/>
        <w:t>ثانياً</w:t>
      </w:r>
      <w:r w:rsidRPr="00282AC9">
        <w:rPr>
          <w:rFonts w:hint="cs"/>
          <w:rtl/>
        </w:rPr>
        <w:t>: إنّ الإجماع ـ على فرض تحق</w:t>
      </w:r>
      <w:r w:rsidR="000D4241" w:rsidRPr="00282AC9">
        <w:rPr>
          <w:rFonts w:hint="cs"/>
          <w:rtl/>
        </w:rPr>
        <w:t>ُّ</w:t>
      </w:r>
      <w:r w:rsidRPr="00282AC9">
        <w:rPr>
          <w:rFonts w:hint="cs"/>
          <w:rtl/>
        </w:rPr>
        <w:t>قه ـ ليس تعب</w:t>
      </w:r>
      <w:r w:rsidR="000D4241" w:rsidRPr="00282AC9">
        <w:rPr>
          <w:rFonts w:hint="cs"/>
          <w:rtl/>
        </w:rPr>
        <w:t>ُّ</w:t>
      </w:r>
      <w:r w:rsidRPr="00282AC9">
        <w:rPr>
          <w:rFonts w:hint="cs"/>
          <w:rtl/>
        </w:rPr>
        <w:t>دياً كاشفاً عن رأي المعصوم، فمن المرج</w:t>
      </w:r>
      <w:r w:rsidR="000D4241" w:rsidRPr="00282AC9">
        <w:rPr>
          <w:rFonts w:hint="cs"/>
          <w:rtl/>
        </w:rPr>
        <w:t>َّ</w:t>
      </w:r>
      <w:r w:rsidRPr="00282AC9">
        <w:rPr>
          <w:rFonts w:hint="cs"/>
          <w:rtl/>
        </w:rPr>
        <w:t xml:space="preserve">ح أن القائلين بالتسامح قد استندوا إلى الأخبار المذكورة في المسألة. </w:t>
      </w:r>
    </w:p>
    <w:p w:rsidR="002A096D" w:rsidRPr="00282AC9" w:rsidRDefault="002A096D" w:rsidP="005A1697">
      <w:pPr>
        <w:spacing w:line="430" w:lineRule="exact"/>
        <w:rPr>
          <w:rtl/>
        </w:rPr>
      </w:pPr>
    </w:p>
    <w:p w:rsidR="00082D5E" w:rsidRPr="00282AC9" w:rsidRDefault="00082D5E" w:rsidP="00082D5E">
      <w:pPr>
        <w:pStyle w:val="31"/>
        <w:rPr>
          <w:color w:val="auto"/>
          <w:rtl/>
        </w:rPr>
      </w:pPr>
      <w:r w:rsidRPr="00282AC9">
        <w:rPr>
          <w:rFonts w:hint="cs"/>
          <w:color w:val="auto"/>
          <w:rtl/>
        </w:rPr>
        <w:t>ب ـ</w:t>
      </w:r>
      <w:r w:rsidR="002A096D" w:rsidRPr="00282AC9">
        <w:rPr>
          <w:rFonts w:hint="cs"/>
          <w:color w:val="auto"/>
          <w:rtl/>
        </w:rPr>
        <w:t xml:space="preserve"> </w:t>
      </w:r>
      <w:r w:rsidRPr="00282AC9">
        <w:rPr>
          <w:rFonts w:hint="cs"/>
          <w:color w:val="auto"/>
          <w:rtl/>
        </w:rPr>
        <w:t>الروايات</w:t>
      </w:r>
    </w:p>
    <w:p w:rsidR="0098597F" w:rsidRPr="00282AC9" w:rsidRDefault="0098597F" w:rsidP="00805824">
      <w:pPr>
        <w:rPr>
          <w:rtl/>
        </w:rPr>
      </w:pPr>
      <w:r w:rsidRPr="00282AC9">
        <w:rPr>
          <w:rFonts w:hint="cs"/>
          <w:rtl/>
        </w:rPr>
        <w:t>وه</w:t>
      </w:r>
      <w:r w:rsidR="00082D5E" w:rsidRPr="00282AC9">
        <w:rPr>
          <w:rFonts w:hint="cs"/>
          <w:rtl/>
        </w:rPr>
        <w:t>ي</w:t>
      </w:r>
      <w:r w:rsidRPr="00282AC9">
        <w:rPr>
          <w:rFonts w:hint="cs"/>
          <w:rtl/>
        </w:rPr>
        <w:t xml:space="preserve"> العمدة، من قبيل</w:t>
      </w:r>
      <w:r w:rsidR="000D4241" w:rsidRPr="00282AC9">
        <w:rPr>
          <w:rFonts w:hint="cs"/>
          <w:rtl/>
        </w:rPr>
        <w:t>:</w:t>
      </w:r>
      <w:r w:rsidRPr="00282AC9">
        <w:rPr>
          <w:rFonts w:hint="cs"/>
          <w:rtl/>
        </w:rPr>
        <w:t xml:space="preserve"> صحيحة </w:t>
      </w:r>
      <w:r w:rsidR="000D4241" w:rsidRPr="00282AC9">
        <w:rPr>
          <w:rtl/>
        </w:rPr>
        <w:t>هشام</w:t>
      </w:r>
      <w:r w:rsidR="000D4241" w:rsidRPr="00282AC9">
        <w:rPr>
          <w:rFonts w:hint="cs"/>
          <w:rtl/>
        </w:rPr>
        <w:t xml:space="preserve"> </w:t>
      </w:r>
      <w:r w:rsidR="000D4241" w:rsidRPr="00282AC9">
        <w:rPr>
          <w:rtl/>
        </w:rPr>
        <w:t>ب</w:t>
      </w:r>
      <w:r w:rsidRPr="00282AC9">
        <w:rPr>
          <w:rtl/>
        </w:rPr>
        <w:t>ن سال</w:t>
      </w:r>
      <w:r w:rsidR="000D4241" w:rsidRPr="00282AC9">
        <w:rPr>
          <w:rtl/>
        </w:rPr>
        <w:t>م</w:t>
      </w:r>
      <w:r w:rsidR="000D4241" w:rsidRPr="00282AC9">
        <w:rPr>
          <w:rFonts w:hint="cs"/>
          <w:rtl/>
        </w:rPr>
        <w:t>،</w:t>
      </w:r>
      <w:r w:rsidRPr="00282AC9">
        <w:rPr>
          <w:rtl/>
        </w:rPr>
        <w:t xml:space="preserve"> ع</w:t>
      </w:r>
      <w:r w:rsidR="000D4241" w:rsidRPr="00282AC9">
        <w:rPr>
          <w:rtl/>
        </w:rPr>
        <w:t>ن</w:t>
      </w:r>
      <w:r w:rsidRPr="00282AC9">
        <w:rPr>
          <w:rtl/>
        </w:rPr>
        <w:t xml:space="preserve"> أبي ع</w:t>
      </w:r>
      <w:r w:rsidR="000D4241" w:rsidRPr="00282AC9">
        <w:rPr>
          <w:rtl/>
        </w:rPr>
        <w:t>ب</w:t>
      </w:r>
      <w:r w:rsidRPr="00282AC9">
        <w:rPr>
          <w:rtl/>
        </w:rPr>
        <w:t xml:space="preserve">د </w:t>
      </w:r>
      <w:r w:rsidR="006D28AF" w:rsidRPr="00282AC9">
        <w:rPr>
          <w:rtl/>
        </w:rPr>
        <w:t>الل</w:t>
      </w:r>
      <w:r w:rsidRPr="00282AC9">
        <w:rPr>
          <w:rtl/>
        </w:rPr>
        <w:t>ه</w:t>
      </w:r>
      <w:r w:rsidR="00805824" w:rsidRPr="00282AC9">
        <w:rPr>
          <w:rFonts w:ascii="Mosawi" w:hAnsi="Mosawi" w:cs="Mosawi"/>
          <w:sz w:val="22"/>
          <w:szCs w:val="22"/>
          <w:rtl/>
        </w:rPr>
        <w:t>×</w:t>
      </w:r>
      <w:r w:rsidRPr="00282AC9">
        <w:rPr>
          <w:rtl/>
        </w:rPr>
        <w:t xml:space="preserve"> قال</w:t>
      </w:r>
      <w:r w:rsidRPr="00282AC9">
        <w:rPr>
          <w:rFonts w:hint="cs"/>
          <w:rtl/>
        </w:rPr>
        <w:t xml:space="preserve">: </w:t>
      </w:r>
      <w:r w:rsidRPr="00282AC9">
        <w:rPr>
          <w:rFonts w:hint="eastAsia"/>
          <w:sz w:val="24"/>
          <w:szCs w:val="24"/>
          <w:rtl/>
        </w:rPr>
        <w:t>«</w:t>
      </w:r>
      <w:r w:rsidRPr="00282AC9">
        <w:rPr>
          <w:rtl/>
        </w:rPr>
        <w:t>م</w:t>
      </w:r>
      <w:r w:rsidR="000D4241" w:rsidRPr="00282AC9">
        <w:rPr>
          <w:rFonts w:hint="cs"/>
          <w:rtl/>
        </w:rPr>
        <w:t>َ</w:t>
      </w:r>
      <w:r w:rsidRPr="00282AC9">
        <w:rPr>
          <w:rtl/>
        </w:rPr>
        <w:t>نْ سمع ش</w:t>
      </w:r>
      <w:r w:rsidR="000D4241" w:rsidRPr="00282AC9">
        <w:rPr>
          <w:rtl/>
        </w:rPr>
        <w:t>ي</w:t>
      </w:r>
      <w:r w:rsidRPr="00282AC9">
        <w:rPr>
          <w:rtl/>
        </w:rPr>
        <w:t>ئاً من</w:t>
      </w:r>
      <w:r w:rsidR="000D4241" w:rsidRPr="00282AC9">
        <w:rPr>
          <w:rtl/>
        </w:rPr>
        <w:t xml:space="preserve"> الث</w:t>
      </w:r>
      <w:r w:rsidRPr="00282AC9">
        <w:rPr>
          <w:rtl/>
        </w:rPr>
        <w:t>واب على ش</w:t>
      </w:r>
      <w:r w:rsidR="000D4241" w:rsidRPr="00282AC9">
        <w:rPr>
          <w:rtl/>
        </w:rPr>
        <w:t>يء</w:t>
      </w:r>
      <w:r w:rsidR="000D4241" w:rsidRPr="00282AC9">
        <w:rPr>
          <w:rFonts w:hint="cs"/>
          <w:rtl/>
        </w:rPr>
        <w:t>ٍ</w:t>
      </w:r>
      <w:r w:rsidRPr="00282AC9">
        <w:rPr>
          <w:rtl/>
        </w:rPr>
        <w:t xml:space="preserve"> فصنعه كان له</w:t>
      </w:r>
      <w:r w:rsidR="000D4241" w:rsidRPr="00282AC9">
        <w:rPr>
          <w:rFonts w:hint="cs"/>
          <w:rtl/>
        </w:rPr>
        <w:t>،</w:t>
      </w:r>
      <w:r w:rsidR="00D81A37" w:rsidRPr="00282AC9">
        <w:rPr>
          <w:rtl/>
        </w:rPr>
        <w:t xml:space="preserve"> وإنْ لم</w:t>
      </w:r>
      <w:r w:rsidRPr="00282AC9">
        <w:rPr>
          <w:rtl/>
        </w:rPr>
        <w:t xml:space="preserve"> يك</w:t>
      </w:r>
      <w:r w:rsidR="00D81A37" w:rsidRPr="00282AC9">
        <w:rPr>
          <w:rFonts w:hint="cs"/>
          <w:rtl/>
        </w:rPr>
        <w:t>ُ</w:t>
      </w:r>
      <w:r w:rsidRPr="00282AC9">
        <w:rPr>
          <w:rtl/>
        </w:rPr>
        <w:t>نْ على ما بلغه</w:t>
      </w:r>
      <w:r w:rsidRPr="00282AC9">
        <w:rPr>
          <w:rFonts w:hint="eastAsia"/>
          <w:sz w:val="24"/>
          <w:szCs w:val="24"/>
          <w:rtl/>
        </w:rPr>
        <w:t>»</w:t>
      </w:r>
      <w:r w:rsidRPr="00282AC9">
        <w:rPr>
          <w:vertAlign w:val="superscript"/>
          <w:rtl/>
        </w:rPr>
        <w:t>(</w:t>
      </w:r>
      <w:r w:rsidRPr="00282AC9">
        <w:rPr>
          <w:vertAlign w:val="superscript"/>
          <w:rtl/>
        </w:rPr>
        <w:endnoteReference w:id="154"/>
      </w:r>
      <w:r w:rsidRPr="00282AC9">
        <w:rPr>
          <w:vertAlign w:val="superscript"/>
          <w:rtl/>
        </w:rPr>
        <w:t>)</w:t>
      </w:r>
      <w:r w:rsidR="00D81A37" w:rsidRPr="00282AC9">
        <w:rPr>
          <w:rFonts w:hint="cs"/>
          <w:rtl/>
        </w:rPr>
        <w:t>؛</w:t>
      </w:r>
      <w:r w:rsidRPr="00282AC9">
        <w:rPr>
          <w:rFonts w:hint="cs"/>
          <w:rtl/>
        </w:rPr>
        <w:t xml:space="preserve"> وغيرها من الأخبار</w:t>
      </w:r>
      <w:r w:rsidR="00D81A37" w:rsidRPr="00282AC9">
        <w:rPr>
          <w:rFonts w:hint="cs"/>
          <w:rtl/>
        </w:rPr>
        <w:t>،</w:t>
      </w:r>
      <w:r w:rsidRPr="00282AC9">
        <w:rPr>
          <w:rFonts w:hint="cs"/>
          <w:rtl/>
        </w:rPr>
        <w:t xml:space="preserve"> التي سنذكرها لاحقاً.</w:t>
      </w:r>
    </w:p>
    <w:p w:rsidR="0098597F" w:rsidRPr="00282AC9" w:rsidRDefault="00D81A37" w:rsidP="00044604">
      <w:pPr>
        <w:rPr>
          <w:rtl/>
        </w:rPr>
      </w:pPr>
      <w:r w:rsidRPr="00282AC9">
        <w:rPr>
          <w:rFonts w:hint="cs"/>
          <w:rtl/>
        </w:rPr>
        <w:t>ويبدو أ</w:t>
      </w:r>
      <w:r w:rsidR="0098597F" w:rsidRPr="00282AC9">
        <w:rPr>
          <w:rFonts w:hint="cs"/>
          <w:rtl/>
        </w:rPr>
        <w:t>نّ تعبير جمع</w:t>
      </w:r>
      <w:r w:rsidRPr="00282AC9">
        <w:rPr>
          <w:rFonts w:hint="cs"/>
          <w:rtl/>
        </w:rPr>
        <w:t>ٍ</w:t>
      </w:r>
      <w:r w:rsidR="0098597F" w:rsidRPr="00282AC9">
        <w:rPr>
          <w:rFonts w:hint="cs"/>
          <w:rtl/>
        </w:rPr>
        <w:t xml:space="preserve"> من الفقهاء عن القاعدة المبحوث عنها بقاعدة </w:t>
      </w:r>
      <w:r w:rsidR="0098597F" w:rsidRPr="00282AC9">
        <w:rPr>
          <w:rFonts w:hint="eastAsia"/>
          <w:sz w:val="24"/>
          <w:szCs w:val="24"/>
          <w:rtl/>
        </w:rPr>
        <w:t>«</w:t>
      </w:r>
      <w:r w:rsidR="0098597F" w:rsidRPr="00282AC9">
        <w:rPr>
          <w:rFonts w:hint="cs"/>
          <w:rtl/>
        </w:rPr>
        <w:t>م</w:t>
      </w:r>
      <w:r w:rsidRPr="00282AC9">
        <w:rPr>
          <w:rFonts w:hint="cs"/>
          <w:rtl/>
        </w:rPr>
        <w:t>َ</w:t>
      </w:r>
      <w:r w:rsidR="0098597F" w:rsidRPr="00282AC9">
        <w:rPr>
          <w:rFonts w:hint="cs"/>
          <w:rtl/>
        </w:rPr>
        <w:t>ن</w:t>
      </w:r>
      <w:r w:rsidRPr="00282AC9">
        <w:rPr>
          <w:rFonts w:hint="cs"/>
          <w:rtl/>
        </w:rPr>
        <w:t>ْ</w:t>
      </w:r>
      <w:r w:rsidR="0098597F" w:rsidRPr="00282AC9">
        <w:rPr>
          <w:rFonts w:hint="cs"/>
          <w:rtl/>
        </w:rPr>
        <w:t xml:space="preserve"> بلغ</w:t>
      </w:r>
      <w:r w:rsidR="0098597F" w:rsidRPr="00282AC9">
        <w:rPr>
          <w:rFonts w:hint="eastAsia"/>
          <w:sz w:val="24"/>
          <w:szCs w:val="24"/>
          <w:rtl/>
        </w:rPr>
        <w:t>»</w:t>
      </w:r>
      <w:r w:rsidR="0098597F" w:rsidRPr="00282AC9">
        <w:rPr>
          <w:rFonts w:hint="cs"/>
          <w:rtl/>
        </w:rPr>
        <w:t xml:space="preserve"> أكثر انسجاماً مع إنكار دلالة الأخبار على التسامح في أدلة الس</w:t>
      </w:r>
      <w:r w:rsidRPr="00282AC9">
        <w:rPr>
          <w:rFonts w:hint="cs"/>
          <w:rtl/>
        </w:rPr>
        <w:t>ُّ</w:t>
      </w:r>
      <w:r w:rsidR="0098597F" w:rsidRPr="00282AC9">
        <w:rPr>
          <w:rFonts w:hint="cs"/>
          <w:rtl/>
        </w:rPr>
        <w:t>ن</w:t>
      </w:r>
      <w:r w:rsidRPr="00282AC9">
        <w:rPr>
          <w:rFonts w:hint="cs"/>
          <w:rtl/>
        </w:rPr>
        <w:t>َ</w:t>
      </w:r>
      <w:r w:rsidR="0098597F" w:rsidRPr="00282AC9">
        <w:rPr>
          <w:rFonts w:hint="cs"/>
          <w:rtl/>
        </w:rPr>
        <w:t>ن، وأقرب إلى العنوان المأخوذ في الأخبار.</w:t>
      </w:r>
    </w:p>
    <w:p w:rsidR="0098597F" w:rsidRPr="00282AC9" w:rsidRDefault="0098597F" w:rsidP="004F71AA">
      <w:pPr>
        <w:spacing w:line="420" w:lineRule="exact"/>
        <w:rPr>
          <w:rtl/>
        </w:rPr>
      </w:pPr>
    </w:p>
    <w:p w:rsidR="0098597F" w:rsidRPr="00282AC9" w:rsidRDefault="00082D5E" w:rsidP="009C6A22">
      <w:pPr>
        <w:pStyle w:val="31"/>
        <w:rPr>
          <w:color w:val="auto"/>
          <w:rtl/>
        </w:rPr>
      </w:pPr>
      <w:r w:rsidRPr="00282AC9">
        <w:rPr>
          <w:rFonts w:hint="cs"/>
          <w:color w:val="auto"/>
          <w:rtl/>
        </w:rPr>
        <w:t>4ـ</w:t>
      </w:r>
      <w:r w:rsidR="0098597F" w:rsidRPr="00282AC9">
        <w:rPr>
          <w:rFonts w:hint="cs"/>
          <w:color w:val="auto"/>
          <w:rtl/>
        </w:rPr>
        <w:t xml:space="preserve"> هل القاعدة فقهي</w:t>
      </w:r>
      <w:r w:rsidR="00D81A37" w:rsidRPr="00282AC9">
        <w:rPr>
          <w:rFonts w:hint="cs"/>
          <w:color w:val="auto"/>
          <w:rtl/>
        </w:rPr>
        <w:t>ّ</w:t>
      </w:r>
      <w:r w:rsidR="0098597F" w:rsidRPr="00282AC9">
        <w:rPr>
          <w:rFonts w:hint="cs"/>
          <w:color w:val="auto"/>
          <w:rtl/>
        </w:rPr>
        <w:t>ة</w:t>
      </w:r>
      <w:r w:rsidR="00D81A37" w:rsidRPr="00282AC9">
        <w:rPr>
          <w:rFonts w:hint="cs"/>
          <w:color w:val="auto"/>
          <w:rtl/>
        </w:rPr>
        <w:t>ٌ</w:t>
      </w:r>
      <w:r w:rsidR="0098597F" w:rsidRPr="00282AC9">
        <w:rPr>
          <w:rFonts w:hint="cs"/>
          <w:color w:val="auto"/>
          <w:rtl/>
        </w:rPr>
        <w:t xml:space="preserve"> أم كلاميّة</w:t>
      </w:r>
      <w:r w:rsidR="00D81A37" w:rsidRPr="00282AC9">
        <w:rPr>
          <w:rFonts w:hint="cs"/>
          <w:color w:val="auto"/>
          <w:rtl/>
        </w:rPr>
        <w:t>ٌ</w:t>
      </w:r>
      <w:r w:rsidR="0098597F" w:rsidRPr="00282AC9">
        <w:rPr>
          <w:rFonts w:hint="cs"/>
          <w:color w:val="auto"/>
          <w:rtl/>
        </w:rPr>
        <w:t xml:space="preserve"> أم أصولي</w:t>
      </w:r>
      <w:r w:rsidR="00D81A37" w:rsidRPr="00282AC9">
        <w:rPr>
          <w:rFonts w:hint="cs"/>
          <w:color w:val="auto"/>
          <w:rtl/>
        </w:rPr>
        <w:t>ّ</w:t>
      </w:r>
      <w:r w:rsidR="0098597F" w:rsidRPr="00282AC9">
        <w:rPr>
          <w:rFonts w:hint="cs"/>
          <w:color w:val="auto"/>
          <w:rtl/>
        </w:rPr>
        <w:t>ة</w:t>
      </w:r>
      <w:r w:rsidR="00D81A37" w:rsidRPr="00282AC9">
        <w:rPr>
          <w:rFonts w:hint="cs"/>
          <w:color w:val="auto"/>
          <w:rtl/>
        </w:rPr>
        <w:t>ٌ</w:t>
      </w:r>
      <w:r w:rsidR="0098597F" w:rsidRPr="00282AC9">
        <w:rPr>
          <w:rFonts w:hint="cs"/>
          <w:color w:val="auto"/>
          <w:rtl/>
        </w:rPr>
        <w:t>؟</w:t>
      </w:r>
    </w:p>
    <w:p w:rsidR="0098597F" w:rsidRPr="00282AC9" w:rsidRDefault="0098597F" w:rsidP="00044604">
      <w:pPr>
        <w:rPr>
          <w:rtl/>
        </w:rPr>
      </w:pPr>
      <w:r w:rsidRPr="00282AC9">
        <w:rPr>
          <w:rFonts w:hint="cs"/>
          <w:rtl/>
        </w:rPr>
        <w:t xml:space="preserve"> لا يخفى أنّ بعض الفقهاء صن</w:t>
      </w:r>
      <w:r w:rsidR="00D81A37" w:rsidRPr="00282AC9">
        <w:rPr>
          <w:rFonts w:hint="cs"/>
          <w:rtl/>
        </w:rPr>
        <w:t>َّ</w:t>
      </w:r>
      <w:r w:rsidRPr="00282AC9">
        <w:rPr>
          <w:rFonts w:hint="cs"/>
          <w:rtl/>
        </w:rPr>
        <w:t>فوا القاعدة</w:t>
      </w:r>
      <w:r w:rsidR="00D81A37" w:rsidRPr="00282AC9">
        <w:rPr>
          <w:rFonts w:hint="cs"/>
          <w:rtl/>
        </w:rPr>
        <w:t>،</w:t>
      </w:r>
      <w:r w:rsidRPr="00282AC9">
        <w:rPr>
          <w:rFonts w:hint="cs"/>
          <w:rtl/>
        </w:rPr>
        <w:t xml:space="preserve"> وبحثوا عنها</w:t>
      </w:r>
      <w:r w:rsidR="00D81A37" w:rsidRPr="00282AC9">
        <w:rPr>
          <w:rFonts w:hint="cs"/>
          <w:rtl/>
        </w:rPr>
        <w:t>،</w:t>
      </w:r>
      <w:r w:rsidRPr="00282AC9">
        <w:rPr>
          <w:rFonts w:hint="cs"/>
          <w:rtl/>
        </w:rPr>
        <w:t xml:space="preserve"> في عداد القواعد الفقهي</w:t>
      </w:r>
      <w:r w:rsidR="00D81A37" w:rsidRPr="00282AC9">
        <w:rPr>
          <w:rFonts w:hint="cs"/>
          <w:rtl/>
        </w:rPr>
        <w:t>ّ</w:t>
      </w:r>
      <w:r w:rsidRPr="00282AC9">
        <w:rPr>
          <w:rFonts w:hint="cs"/>
          <w:rtl/>
        </w:rPr>
        <w:t>ة</w:t>
      </w:r>
      <w:r w:rsidRPr="00282AC9">
        <w:rPr>
          <w:vertAlign w:val="superscript"/>
          <w:rtl/>
        </w:rPr>
        <w:t>(</w:t>
      </w:r>
      <w:r w:rsidRPr="00282AC9">
        <w:rPr>
          <w:vertAlign w:val="superscript"/>
          <w:rtl/>
        </w:rPr>
        <w:endnoteReference w:id="155"/>
      </w:r>
      <w:r w:rsidRPr="00282AC9">
        <w:rPr>
          <w:vertAlign w:val="superscript"/>
          <w:rtl/>
        </w:rPr>
        <w:t>)</w:t>
      </w:r>
      <w:r w:rsidRPr="00282AC9">
        <w:rPr>
          <w:rFonts w:hint="cs"/>
          <w:rtl/>
        </w:rPr>
        <w:t>، بينما بحثها جمع</w:t>
      </w:r>
      <w:r w:rsidR="00D81A37" w:rsidRPr="00282AC9">
        <w:rPr>
          <w:rFonts w:hint="cs"/>
          <w:rtl/>
        </w:rPr>
        <w:t>ٌ</w:t>
      </w:r>
      <w:r w:rsidRPr="00282AC9">
        <w:rPr>
          <w:rFonts w:hint="cs"/>
          <w:rtl/>
        </w:rPr>
        <w:t xml:space="preserve"> آخر في الأصول</w:t>
      </w:r>
      <w:r w:rsidR="00D81A37" w:rsidRPr="00282AC9">
        <w:rPr>
          <w:rFonts w:hint="cs"/>
          <w:rtl/>
        </w:rPr>
        <w:t>؛</w:t>
      </w:r>
      <w:r w:rsidRPr="00282AC9">
        <w:rPr>
          <w:rFonts w:hint="cs"/>
          <w:rtl/>
        </w:rPr>
        <w:t xml:space="preserve"> إما في مبحث حج</w:t>
      </w:r>
      <w:r w:rsidR="00D81A37" w:rsidRPr="00282AC9">
        <w:rPr>
          <w:rFonts w:hint="cs"/>
          <w:rtl/>
        </w:rPr>
        <w:t>ّ</w:t>
      </w:r>
      <w:r w:rsidRPr="00282AC9">
        <w:rPr>
          <w:rFonts w:hint="cs"/>
          <w:rtl/>
        </w:rPr>
        <w:t>ية الخبر</w:t>
      </w:r>
      <w:r w:rsidR="00D81A37" w:rsidRPr="00282AC9">
        <w:rPr>
          <w:rFonts w:hint="cs"/>
          <w:rtl/>
        </w:rPr>
        <w:t>؛</w:t>
      </w:r>
      <w:r w:rsidRPr="00282AC9">
        <w:rPr>
          <w:rFonts w:hint="cs"/>
          <w:rtl/>
        </w:rPr>
        <w:t xml:space="preserve"> باعتبارها تمثّ</w:t>
      </w:r>
      <w:r w:rsidR="00D81A37" w:rsidRPr="00282AC9">
        <w:rPr>
          <w:rFonts w:hint="cs"/>
          <w:rtl/>
        </w:rPr>
        <w:t>ِ</w:t>
      </w:r>
      <w:r w:rsidRPr="00282AC9">
        <w:rPr>
          <w:rFonts w:hint="cs"/>
          <w:rtl/>
        </w:rPr>
        <w:t>ل استثناءً مم</w:t>
      </w:r>
      <w:r w:rsidR="00D81A37" w:rsidRPr="00282AC9">
        <w:rPr>
          <w:rFonts w:hint="cs"/>
          <w:rtl/>
        </w:rPr>
        <w:t>ّ</w:t>
      </w:r>
      <w:r w:rsidRPr="00282AC9">
        <w:rPr>
          <w:rFonts w:hint="cs"/>
          <w:rtl/>
        </w:rPr>
        <w:t>ا دل</w:t>
      </w:r>
      <w:r w:rsidR="00D81A37" w:rsidRPr="00282AC9">
        <w:rPr>
          <w:rFonts w:hint="cs"/>
          <w:rtl/>
        </w:rPr>
        <w:t>ّ</w:t>
      </w:r>
      <w:r w:rsidRPr="00282AC9">
        <w:rPr>
          <w:rFonts w:hint="cs"/>
          <w:rtl/>
        </w:rPr>
        <w:t xml:space="preserve"> على عدم حج</w:t>
      </w:r>
      <w:r w:rsidR="00D81A37" w:rsidRPr="00282AC9">
        <w:rPr>
          <w:rFonts w:hint="cs"/>
          <w:rtl/>
        </w:rPr>
        <w:t>ّ</w:t>
      </w:r>
      <w:r w:rsidRPr="00282AC9">
        <w:rPr>
          <w:rFonts w:hint="cs"/>
          <w:rtl/>
        </w:rPr>
        <w:t>ية الخبر الضعيف</w:t>
      </w:r>
      <w:r w:rsidR="00D81A37" w:rsidRPr="00282AC9">
        <w:rPr>
          <w:rFonts w:hint="cs"/>
          <w:rtl/>
        </w:rPr>
        <w:t>؛</w:t>
      </w:r>
      <w:r w:rsidRPr="00282AC9">
        <w:rPr>
          <w:rFonts w:hint="cs"/>
          <w:rtl/>
        </w:rPr>
        <w:t xml:space="preserve"> وإما في مبحث البراءة</w:t>
      </w:r>
      <w:r w:rsidR="00D81A37" w:rsidRPr="00282AC9">
        <w:rPr>
          <w:rFonts w:hint="cs"/>
          <w:rtl/>
        </w:rPr>
        <w:t>؛</w:t>
      </w:r>
      <w:r w:rsidRPr="00282AC9">
        <w:rPr>
          <w:rFonts w:hint="cs"/>
          <w:rtl/>
        </w:rPr>
        <w:t xml:space="preserve"> لمناسبة</w:t>
      </w:r>
      <w:r w:rsidR="00D81A37" w:rsidRPr="00282AC9">
        <w:rPr>
          <w:rFonts w:hint="cs"/>
          <w:rtl/>
        </w:rPr>
        <w:t>ٍ</w:t>
      </w:r>
      <w:r w:rsidRPr="00282AC9">
        <w:rPr>
          <w:rFonts w:hint="cs"/>
          <w:rtl/>
        </w:rPr>
        <w:t xml:space="preserve"> معي</w:t>
      </w:r>
      <w:r w:rsidR="00D81A37" w:rsidRPr="00282AC9">
        <w:rPr>
          <w:rFonts w:hint="cs"/>
          <w:rtl/>
        </w:rPr>
        <w:t>َّ</w:t>
      </w:r>
      <w:r w:rsidRPr="00282AC9">
        <w:rPr>
          <w:rFonts w:hint="cs"/>
          <w:rtl/>
        </w:rPr>
        <w:t>نة</w:t>
      </w:r>
      <w:r w:rsidRPr="00282AC9">
        <w:rPr>
          <w:vertAlign w:val="superscript"/>
          <w:rtl/>
        </w:rPr>
        <w:t>(</w:t>
      </w:r>
      <w:r w:rsidRPr="00282AC9">
        <w:rPr>
          <w:vertAlign w:val="superscript"/>
          <w:rtl/>
        </w:rPr>
        <w:endnoteReference w:id="156"/>
      </w:r>
      <w:r w:rsidRPr="00282AC9">
        <w:rPr>
          <w:vertAlign w:val="superscript"/>
          <w:rtl/>
        </w:rPr>
        <w:t>)</w:t>
      </w:r>
      <w:r w:rsidR="00D81A37" w:rsidRPr="00282AC9">
        <w:rPr>
          <w:rFonts w:hint="cs"/>
          <w:rtl/>
        </w:rPr>
        <w:t>؛</w:t>
      </w:r>
      <w:r w:rsidRPr="00282AC9">
        <w:rPr>
          <w:rFonts w:hint="cs"/>
          <w:rtl/>
        </w:rPr>
        <w:t xml:space="preserve"> ور</w:t>
      </w:r>
      <w:r w:rsidR="00D81A37" w:rsidRPr="00282AC9">
        <w:rPr>
          <w:rFonts w:hint="cs"/>
          <w:rtl/>
        </w:rPr>
        <w:t>ُ</w:t>
      </w:r>
      <w:r w:rsidRPr="00282AC9">
        <w:rPr>
          <w:rFonts w:hint="cs"/>
          <w:rtl/>
        </w:rPr>
        <w:t>ب</w:t>
      </w:r>
      <w:r w:rsidR="00D81A37" w:rsidRPr="00282AC9">
        <w:rPr>
          <w:rFonts w:hint="cs"/>
          <w:rtl/>
        </w:rPr>
        <w:t>َ</w:t>
      </w:r>
      <w:r w:rsidRPr="00282AC9">
        <w:rPr>
          <w:rFonts w:hint="cs"/>
          <w:rtl/>
        </w:rPr>
        <w:t>ما رأى بعضهم أنها قاعدة</w:t>
      </w:r>
      <w:r w:rsidR="00D81A37" w:rsidRPr="00282AC9">
        <w:rPr>
          <w:rFonts w:hint="cs"/>
          <w:rtl/>
        </w:rPr>
        <w:t>ٌ</w:t>
      </w:r>
      <w:r w:rsidRPr="00282AC9">
        <w:rPr>
          <w:rFonts w:hint="cs"/>
          <w:rtl/>
        </w:rPr>
        <w:t xml:space="preserve"> كلامية</w:t>
      </w:r>
      <w:r w:rsidR="00D81A37" w:rsidRPr="00282AC9">
        <w:rPr>
          <w:rFonts w:hint="cs"/>
          <w:rtl/>
        </w:rPr>
        <w:t>؛</w:t>
      </w:r>
      <w:r w:rsidRPr="00282AC9">
        <w:rPr>
          <w:rFonts w:hint="cs"/>
          <w:rtl/>
        </w:rPr>
        <w:t xml:space="preserve"> لأنها تطرح مبدأً في ن</w:t>
      </w:r>
      <w:r w:rsidR="00D81A37" w:rsidRPr="00282AC9">
        <w:rPr>
          <w:rFonts w:hint="cs"/>
          <w:rtl/>
        </w:rPr>
        <w:t>َ</w:t>
      </w:r>
      <w:r w:rsidRPr="00282AC9">
        <w:rPr>
          <w:rFonts w:hint="cs"/>
          <w:rtl/>
        </w:rPr>
        <w:t>ي</w:t>
      </w:r>
      <w:r w:rsidR="00D81A37" w:rsidRPr="00282AC9">
        <w:rPr>
          <w:rFonts w:hint="cs"/>
          <w:rtl/>
        </w:rPr>
        <w:t>ْ</w:t>
      </w:r>
      <w:r w:rsidRPr="00282AC9">
        <w:rPr>
          <w:rFonts w:hint="cs"/>
          <w:rtl/>
        </w:rPr>
        <w:t>ل الثواب الإلهي.</w:t>
      </w:r>
    </w:p>
    <w:p w:rsidR="00C34D84" w:rsidRPr="00282AC9" w:rsidRDefault="0098597F" w:rsidP="00044604">
      <w:pPr>
        <w:rPr>
          <w:rtl/>
        </w:rPr>
      </w:pPr>
      <w:r w:rsidRPr="00282AC9">
        <w:rPr>
          <w:rFonts w:hint="cs"/>
          <w:rtl/>
        </w:rPr>
        <w:t xml:space="preserve"> </w:t>
      </w:r>
      <w:r w:rsidRPr="00282AC9">
        <w:rPr>
          <w:rFonts w:hint="cs"/>
          <w:b/>
          <w:bCs/>
          <w:rtl/>
        </w:rPr>
        <w:t>أقول</w:t>
      </w:r>
      <w:r w:rsidRPr="00282AC9">
        <w:rPr>
          <w:rFonts w:hint="cs"/>
          <w:rtl/>
        </w:rPr>
        <w:t xml:space="preserve">: إذا كان مناط </w:t>
      </w:r>
      <w:r w:rsidRPr="00282AC9">
        <w:rPr>
          <w:rtl/>
        </w:rPr>
        <w:t>أصولية</w:t>
      </w:r>
      <w:r w:rsidRPr="00282AC9">
        <w:rPr>
          <w:rFonts w:hint="cs"/>
          <w:rtl/>
        </w:rPr>
        <w:t xml:space="preserve"> المسألة هو في كونها مم</w:t>
      </w:r>
      <w:r w:rsidR="00D81A37" w:rsidRPr="00282AC9">
        <w:rPr>
          <w:rFonts w:hint="cs"/>
          <w:rtl/>
        </w:rPr>
        <w:t>ّ</w:t>
      </w:r>
      <w:r w:rsidRPr="00282AC9">
        <w:rPr>
          <w:rFonts w:hint="cs"/>
          <w:rtl/>
        </w:rPr>
        <w:t xml:space="preserve">ا </w:t>
      </w:r>
      <w:r w:rsidRPr="00282AC9">
        <w:rPr>
          <w:rFonts w:hint="eastAsia"/>
          <w:sz w:val="24"/>
          <w:szCs w:val="24"/>
          <w:rtl/>
        </w:rPr>
        <w:t>«</w:t>
      </w:r>
      <w:r w:rsidRPr="00282AC9">
        <w:rPr>
          <w:rtl/>
        </w:rPr>
        <w:t>يترق</w:t>
      </w:r>
      <w:r w:rsidR="00D81A37" w:rsidRPr="00282AC9">
        <w:rPr>
          <w:rFonts w:hint="cs"/>
          <w:rtl/>
        </w:rPr>
        <w:t>َّ</w:t>
      </w:r>
      <w:r w:rsidRPr="00282AC9">
        <w:rPr>
          <w:rtl/>
        </w:rPr>
        <w:t xml:space="preserve">ب أن </w:t>
      </w:r>
      <w:r w:rsidRPr="00282AC9">
        <w:rPr>
          <w:rFonts w:hint="cs"/>
          <w:rtl/>
        </w:rPr>
        <w:t>ت</w:t>
      </w:r>
      <w:r w:rsidRPr="00282AC9">
        <w:rPr>
          <w:rtl/>
        </w:rPr>
        <w:t>كون دليلا</w:t>
      </w:r>
      <w:r w:rsidR="00C34D84" w:rsidRPr="00282AC9">
        <w:rPr>
          <w:rFonts w:hint="cs"/>
          <w:rtl/>
        </w:rPr>
        <w:t>ً</w:t>
      </w:r>
      <w:r w:rsidRPr="00282AC9">
        <w:rPr>
          <w:rtl/>
        </w:rPr>
        <w:t xml:space="preserve"> وعنصرا</w:t>
      </w:r>
      <w:r w:rsidRPr="00282AC9">
        <w:rPr>
          <w:rFonts w:hint="cs"/>
          <w:rtl/>
        </w:rPr>
        <w:t>ً</w:t>
      </w:r>
      <w:r w:rsidRPr="00282AC9">
        <w:rPr>
          <w:rtl/>
        </w:rPr>
        <w:t xml:space="preserve"> مشتركا</w:t>
      </w:r>
      <w:r w:rsidRPr="00282AC9">
        <w:rPr>
          <w:rFonts w:hint="cs"/>
          <w:rtl/>
        </w:rPr>
        <w:t xml:space="preserve">ً </w:t>
      </w:r>
      <w:r w:rsidRPr="00282AC9">
        <w:rPr>
          <w:rtl/>
        </w:rPr>
        <w:t>في عملية استنباط الحكم</w:t>
      </w:r>
      <w:r w:rsidRPr="00282AC9">
        <w:rPr>
          <w:rFonts w:hint="cs"/>
          <w:rtl/>
        </w:rPr>
        <w:t xml:space="preserve"> </w:t>
      </w:r>
      <w:r w:rsidRPr="00282AC9">
        <w:rPr>
          <w:rtl/>
        </w:rPr>
        <w:t>الشرعي</w:t>
      </w:r>
      <w:r w:rsidR="00D81A37" w:rsidRPr="00282AC9">
        <w:rPr>
          <w:rFonts w:hint="cs"/>
          <w:rtl/>
        </w:rPr>
        <w:t>ّ</w:t>
      </w:r>
      <w:r w:rsidR="00C34D84" w:rsidRPr="00282AC9">
        <w:rPr>
          <w:rFonts w:hint="cs"/>
          <w:rtl/>
        </w:rPr>
        <w:t>،</w:t>
      </w:r>
      <w:r w:rsidRPr="00282AC9">
        <w:rPr>
          <w:rtl/>
        </w:rPr>
        <w:t xml:space="preserve"> والاستدلال عليها</w:t>
      </w:r>
      <w:r w:rsidR="00C34D84" w:rsidRPr="00282AC9">
        <w:rPr>
          <w:rFonts w:hint="cs"/>
          <w:rtl/>
        </w:rPr>
        <w:t>،</w:t>
      </w:r>
      <w:r w:rsidRPr="00282AC9">
        <w:rPr>
          <w:rFonts w:hint="cs"/>
          <w:rtl/>
        </w:rPr>
        <w:t xml:space="preserve"> وا</w:t>
      </w:r>
      <w:r w:rsidRPr="00282AC9">
        <w:rPr>
          <w:rtl/>
        </w:rPr>
        <w:t>لبحث في كل</w:t>
      </w:r>
      <w:r w:rsidR="00D81A37" w:rsidRPr="00282AC9">
        <w:rPr>
          <w:rFonts w:hint="cs"/>
          <w:rtl/>
        </w:rPr>
        <w:t>ّ</w:t>
      </w:r>
      <w:r w:rsidRPr="00282AC9">
        <w:rPr>
          <w:rtl/>
        </w:rPr>
        <w:t xml:space="preserve"> مسألة</w:t>
      </w:r>
      <w:r w:rsidR="00D81A37" w:rsidRPr="00282AC9">
        <w:rPr>
          <w:rFonts w:hint="cs"/>
          <w:rtl/>
        </w:rPr>
        <w:t>ٍ</w:t>
      </w:r>
      <w:r w:rsidRPr="00282AC9">
        <w:rPr>
          <w:rtl/>
        </w:rPr>
        <w:t xml:space="preserve"> أصولية إنما يتناول شيئا</w:t>
      </w:r>
      <w:r w:rsidR="00D81A37" w:rsidRPr="00282AC9">
        <w:rPr>
          <w:rFonts w:hint="cs"/>
          <w:rtl/>
        </w:rPr>
        <w:t>ً</w:t>
      </w:r>
      <w:r w:rsidRPr="00282AC9">
        <w:rPr>
          <w:rFonts w:hint="cs"/>
          <w:rtl/>
        </w:rPr>
        <w:t xml:space="preserve"> </w:t>
      </w:r>
      <w:r w:rsidRPr="00282AC9">
        <w:rPr>
          <w:rtl/>
        </w:rPr>
        <w:t>مما يترق</w:t>
      </w:r>
      <w:r w:rsidR="00D81A37" w:rsidRPr="00282AC9">
        <w:rPr>
          <w:rFonts w:hint="cs"/>
          <w:rtl/>
        </w:rPr>
        <w:t>ّ</w:t>
      </w:r>
      <w:r w:rsidRPr="00282AC9">
        <w:rPr>
          <w:rtl/>
        </w:rPr>
        <w:t>ب أن يكون كذلك، ويت</w:t>
      </w:r>
      <w:r w:rsidR="00D81A37" w:rsidRPr="00282AC9">
        <w:rPr>
          <w:rFonts w:hint="cs"/>
          <w:rtl/>
        </w:rPr>
        <w:t>ّ</w:t>
      </w:r>
      <w:r w:rsidR="00C34D84" w:rsidRPr="00282AC9">
        <w:rPr>
          <w:rFonts w:hint="cs"/>
          <w:rtl/>
        </w:rPr>
        <w:t>َ</w:t>
      </w:r>
      <w:r w:rsidRPr="00282AC9">
        <w:rPr>
          <w:rtl/>
        </w:rPr>
        <w:t>جه إلى تحقيق دليلي</w:t>
      </w:r>
      <w:r w:rsidR="00D81A37" w:rsidRPr="00282AC9">
        <w:rPr>
          <w:rFonts w:hint="cs"/>
          <w:rtl/>
        </w:rPr>
        <w:t>ّ</w:t>
      </w:r>
      <w:r w:rsidRPr="00282AC9">
        <w:rPr>
          <w:rtl/>
        </w:rPr>
        <w:t>ته</w:t>
      </w:r>
      <w:r w:rsidR="00C34D84" w:rsidRPr="00282AC9">
        <w:rPr>
          <w:rFonts w:hint="cs"/>
          <w:rtl/>
        </w:rPr>
        <w:t>،</w:t>
      </w:r>
      <w:r w:rsidRPr="00282AC9">
        <w:rPr>
          <w:rtl/>
        </w:rPr>
        <w:t xml:space="preserve"> والاستدلال عليها</w:t>
      </w:r>
      <w:r w:rsidR="00C34D84" w:rsidRPr="00282AC9">
        <w:rPr>
          <w:rFonts w:hint="cs"/>
          <w:rtl/>
        </w:rPr>
        <w:t>،</w:t>
      </w:r>
      <w:r w:rsidRPr="00282AC9">
        <w:rPr>
          <w:rtl/>
        </w:rPr>
        <w:t xml:space="preserve"> إثباتا</w:t>
      </w:r>
      <w:r w:rsidRPr="00282AC9">
        <w:rPr>
          <w:rFonts w:hint="cs"/>
          <w:rtl/>
        </w:rPr>
        <w:t xml:space="preserve">ً </w:t>
      </w:r>
      <w:r w:rsidRPr="00282AC9">
        <w:rPr>
          <w:rtl/>
        </w:rPr>
        <w:t>ون</w:t>
      </w:r>
      <w:r w:rsidR="00C34D84" w:rsidRPr="00282AC9">
        <w:rPr>
          <w:rFonts w:hint="cs"/>
          <w:rtl/>
        </w:rPr>
        <w:t>َ</w:t>
      </w:r>
      <w:r w:rsidRPr="00282AC9">
        <w:rPr>
          <w:rtl/>
        </w:rPr>
        <w:t>ف</w:t>
      </w:r>
      <w:r w:rsidR="00C34D84" w:rsidRPr="00282AC9">
        <w:rPr>
          <w:rFonts w:hint="cs"/>
          <w:rtl/>
        </w:rPr>
        <w:t>ْ</w:t>
      </w:r>
      <w:r w:rsidRPr="00282AC9">
        <w:rPr>
          <w:rtl/>
        </w:rPr>
        <w:t>يا</w:t>
      </w:r>
      <w:r w:rsidRPr="00282AC9">
        <w:rPr>
          <w:rFonts w:hint="cs"/>
          <w:rtl/>
        </w:rPr>
        <w:t>ً</w:t>
      </w:r>
      <w:r w:rsidRPr="00282AC9">
        <w:rPr>
          <w:rFonts w:hint="eastAsia"/>
          <w:sz w:val="24"/>
          <w:szCs w:val="24"/>
          <w:rtl/>
        </w:rPr>
        <w:t>»</w:t>
      </w:r>
      <w:r w:rsidRPr="00282AC9">
        <w:rPr>
          <w:vertAlign w:val="superscript"/>
          <w:rtl/>
        </w:rPr>
        <w:t>(</w:t>
      </w:r>
      <w:r w:rsidRPr="00282AC9">
        <w:rPr>
          <w:vertAlign w:val="superscript"/>
          <w:rtl/>
        </w:rPr>
        <w:endnoteReference w:id="157"/>
      </w:r>
      <w:r w:rsidRPr="00282AC9">
        <w:rPr>
          <w:vertAlign w:val="superscript"/>
          <w:rtl/>
        </w:rPr>
        <w:t>)</w:t>
      </w:r>
      <w:r w:rsidRPr="00282AC9">
        <w:rPr>
          <w:rFonts w:hint="cs"/>
          <w:rtl/>
        </w:rPr>
        <w:t xml:space="preserve"> فلا ينبغي الشك</w:t>
      </w:r>
      <w:r w:rsidR="00C34D84" w:rsidRPr="00282AC9">
        <w:rPr>
          <w:rFonts w:hint="cs"/>
          <w:rtl/>
        </w:rPr>
        <w:t>ّ،</w:t>
      </w:r>
      <w:r w:rsidRPr="00282AC9">
        <w:rPr>
          <w:rFonts w:hint="cs"/>
          <w:rtl/>
        </w:rPr>
        <w:t xml:space="preserve"> ولا الاختلاف</w:t>
      </w:r>
      <w:r w:rsidR="00C34D84" w:rsidRPr="00282AC9">
        <w:rPr>
          <w:rFonts w:hint="cs"/>
          <w:rtl/>
        </w:rPr>
        <w:t>،</w:t>
      </w:r>
      <w:r w:rsidRPr="00282AC9">
        <w:rPr>
          <w:rFonts w:hint="cs"/>
          <w:rtl/>
        </w:rPr>
        <w:t xml:space="preserve"> في أن قاعدة التسامح أصولي</w:t>
      </w:r>
      <w:r w:rsidR="00C34D84" w:rsidRPr="00282AC9">
        <w:rPr>
          <w:rFonts w:hint="cs"/>
          <w:rtl/>
        </w:rPr>
        <w:t>ّ</w:t>
      </w:r>
      <w:r w:rsidRPr="00282AC9">
        <w:rPr>
          <w:rFonts w:hint="cs"/>
          <w:rtl/>
        </w:rPr>
        <w:t>ة</w:t>
      </w:r>
      <w:r w:rsidR="00C34D84" w:rsidRPr="00282AC9">
        <w:rPr>
          <w:rFonts w:hint="cs"/>
          <w:rtl/>
        </w:rPr>
        <w:t>ٌ؛</w:t>
      </w:r>
      <w:r w:rsidRPr="00282AC9">
        <w:rPr>
          <w:rFonts w:hint="cs"/>
          <w:rtl/>
        </w:rPr>
        <w:t xml:space="preserve"> لأنّ البحث يترك</w:t>
      </w:r>
      <w:r w:rsidR="00C34D84" w:rsidRPr="00282AC9">
        <w:rPr>
          <w:rFonts w:hint="cs"/>
          <w:rtl/>
        </w:rPr>
        <w:t>َّ</w:t>
      </w:r>
      <w:r w:rsidRPr="00282AC9">
        <w:rPr>
          <w:rFonts w:hint="cs"/>
          <w:rtl/>
        </w:rPr>
        <w:t>ز على دليلي</w:t>
      </w:r>
      <w:r w:rsidR="00C34D84" w:rsidRPr="00282AC9">
        <w:rPr>
          <w:rFonts w:hint="cs"/>
          <w:rtl/>
        </w:rPr>
        <w:t>ّ</w:t>
      </w:r>
      <w:r w:rsidRPr="00282AC9">
        <w:rPr>
          <w:rFonts w:hint="cs"/>
          <w:rtl/>
        </w:rPr>
        <w:t>تها</w:t>
      </w:r>
      <w:r w:rsidR="00C34D84" w:rsidRPr="00282AC9">
        <w:rPr>
          <w:rFonts w:hint="cs"/>
          <w:rtl/>
        </w:rPr>
        <w:t>؛</w:t>
      </w:r>
      <w:r w:rsidRPr="00282AC9">
        <w:rPr>
          <w:rFonts w:hint="cs"/>
          <w:rtl/>
        </w:rPr>
        <w:t xml:space="preserve"> إذ محل</w:t>
      </w:r>
      <w:r w:rsidR="00C34D84" w:rsidRPr="00282AC9">
        <w:rPr>
          <w:rFonts w:hint="cs"/>
          <w:rtl/>
        </w:rPr>
        <w:t>ّ</w:t>
      </w:r>
      <w:r w:rsidRPr="00282AC9">
        <w:rPr>
          <w:rFonts w:hint="cs"/>
          <w:rtl/>
        </w:rPr>
        <w:t xml:space="preserve"> </w:t>
      </w:r>
      <w:r w:rsidRPr="00282AC9">
        <w:rPr>
          <w:rtl/>
        </w:rPr>
        <w:t xml:space="preserve">الكلام </w:t>
      </w:r>
      <w:r w:rsidRPr="00282AC9">
        <w:rPr>
          <w:rFonts w:hint="cs"/>
          <w:rtl/>
        </w:rPr>
        <w:t xml:space="preserve">ومورد النقض والإبرام </w:t>
      </w:r>
      <w:r w:rsidRPr="00282AC9">
        <w:rPr>
          <w:rtl/>
        </w:rPr>
        <w:t xml:space="preserve">في </w:t>
      </w:r>
      <w:r w:rsidRPr="00282AC9">
        <w:rPr>
          <w:rFonts w:hint="cs"/>
          <w:rtl/>
        </w:rPr>
        <w:t>دليلي</w:t>
      </w:r>
      <w:r w:rsidR="00C34D84" w:rsidRPr="00282AC9">
        <w:rPr>
          <w:rFonts w:hint="cs"/>
          <w:rtl/>
        </w:rPr>
        <w:t>ّ</w:t>
      </w:r>
      <w:r w:rsidRPr="00282AC9">
        <w:rPr>
          <w:rFonts w:hint="cs"/>
          <w:rtl/>
        </w:rPr>
        <w:t>ة و</w:t>
      </w:r>
      <w:r w:rsidRPr="00282AC9">
        <w:rPr>
          <w:rtl/>
        </w:rPr>
        <w:t>حج</w:t>
      </w:r>
      <w:r w:rsidR="00C34D84" w:rsidRPr="00282AC9">
        <w:rPr>
          <w:rFonts w:hint="cs"/>
          <w:rtl/>
        </w:rPr>
        <w:t>ّ</w:t>
      </w:r>
      <w:r w:rsidR="00C34D84" w:rsidRPr="00282AC9">
        <w:rPr>
          <w:rtl/>
        </w:rPr>
        <w:t>ية الخبر الض</w:t>
      </w:r>
      <w:r w:rsidRPr="00282AC9">
        <w:rPr>
          <w:rtl/>
        </w:rPr>
        <w:t>عيف</w:t>
      </w:r>
      <w:r w:rsidRPr="00282AC9">
        <w:rPr>
          <w:rFonts w:hint="cs"/>
          <w:rtl/>
        </w:rPr>
        <w:t xml:space="preserve"> </w:t>
      </w:r>
      <w:r w:rsidRPr="00282AC9">
        <w:rPr>
          <w:rtl/>
        </w:rPr>
        <w:t>في ال</w:t>
      </w:r>
      <w:r w:rsidRPr="00282AC9">
        <w:rPr>
          <w:rFonts w:hint="cs"/>
          <w:rtl/>
        </w:rPr>
        <w:t>س</w:t>
      </w:r>
      <w:r w:rsidR="00C34D84" w:rsidRPr="00282AC9">
        <w:rPr>
          <w:rFonts w:hint="cs"/>
          <w:rtl/>
        </w:rPr>
        <w:t>ُّ</w:t>
      </w:r>
      <w:r w:rsidRPr="00282AC9">
        <w:rPr>
          <w:rFonts w:hint="cs"/>
          <w:rtl/>
        </w:rPr>
        <w:t>ن</w:t>
      </w:r>
      <w:r w:rsidR="00C34D84" w:rsidRPr="00282AC9">
        <w:rPr>
          <w:rFonts w:hint="cs"/>
          <w:rtl/>
        </w:rPr>
        <w:t>َ</w:t>
      </w:r>
      <w:r w:rsidRPr="00282AC9">
        <w:rPr>
          <w:rFonts w:hint="cs"/>
          <w:rtl/>
        </w:rPr>
        <w:t>ن</w:t>
      </w:r>
      <w:r w:rsidR="00C34D84" w:rsidRPr="00282AC9">
        <w:rPr>
          <w:rFonts w:hint="cs"/>
          <w:rtl/>
        </w:rPr>
        <w:t>.</w:t>
      </w:r>
    </w:p>
    <w:p w:rsidR="0098597F" w:rsidRPr="00282AC9" w:rsidRDefault="0098597F" w:rsidP="00044604">
      <w:pPr>
        <w:rPr>
          <w:rtl/>
        </w:rPr>
      </w:pPr>
      <w:r w:rsidRPr="00282AC9">
        <w:rPr>
          <w:rFonts w:hint="cs"/>
          <w:rtl/>
        </w:rPr>
        <w:t>أما لو نظرنا إلى المسألة من زاوية الرأي النهائي</w:t>
      </w:r>
      <w:r w:rsidR="00C34D84" w:rsidRPr="00282AC9">
        <w:rPr>
          <w:rFonts w:hint="cs"/>
          <w:rtl/>
        </w:rPr>
        <w:t>ّ</w:t>
      </w:r>
      <w:r w:rsidRPr="00282AC9">
        <w:rPr>
          <w:rFonts w:hint="cs"/>
          <w:rtl/>
        </w:rPr>
        <w:t xml:space="preserve"> في القاعدة</w:t>
      </w:r>
      <w:r w:rsidR="00C34D84" w:rsidRPr="00282AC9">
        <w:rPr>
          <w:rFonts w:hint="cs"/>
          <w:rtl/>
        </w:rPr>
        <w:t>،</w:t>
      </w:r>
      <w:r w:rsidRPr="00282AC9">
        <w:rPr>
          <w:rFonts w:hint="cs"/>
          <w:rtl/>
        </w:rPr>
        <w:t xml:space="preserve"> ومدى دلالة الأخبار عليها، لا من زاوية ما يتوق</w:t>
      </w:r>
      <w:r w:rsidR="00C34D84" w:rsidRPr="00282AC9">
        <w:rPr>
          <w:rFonts w:hint="cs"/>
          <w:rtl/>
        </w:rPr>
        <w:t>َّ</w:t>
      </w:r>
      <w:r w:rsidRPr="00282AC9">
        <w:rPr>
          <w:rFonts w:hint="cs"/>
          <w:rtl/>
        </w:rPr>
        <w:t>ع ويترق</w:t>
      </w:r>
      <w:r w:rsidR="00C34D84" w:rsidRPr="00282AC9">
        <w:rPr>
          <w:rFonts w:hint="cs"/>
          <w:rtl/>
        </w:rPr>
        <w:t>َّ</w:t>
      </w:r>
      <w:r w:rsidRPr="00282AC9">
        <w:rPr>
          <w:rFonts w:hint="cs"/>
          <w:rtl/>
        </w:rPr>
        <w:t>ب منها، فالرأي سيكون مختلفاً فيها باختلاف الأنظار</w:t>
      </w:r>
      <w:r w:rsidR="00C34D84" w:rsidRPr="00282AC9">
        <w:rPr>
          <w:rFonts w:hint="cs"/>
          <w:rtl/>
        </w:rPr>
        <w:t>؛</w:t>
      </w:r>
      <w:r w:rsidRPr="00282AC9">
        <w:rPr>
          <w:rFonts w:hint="cs"/>
          <w:rtl/>
        </w:rPr>
        <w:t xml:space="preserve"> فم</w:t>
      </w:r>
      <w:r w:rsidR="00C34D84" w:rsidRPr="00282AC9">
        <w:rPr>
          <w:rFonts w:hint="cs"/>
          <w:rtl/>
        </w:rPr>
        <w:t>َ</w:t>
      </w:r>
      <w:r w:rsidRPr="00282AC9">
        <w:rPr>
          <w:rFonts w:hint="cs"/>
          <w:rtl/>
        </w:rPr>
        <w:t>ن</w:t>
      </w:r>
      <w:r w:rsidR="00C34D84" w:rsidRPr="00282AC9">
        <w:rPr>
          <w:rFonts w:hint="cs"/>
          <w:rtl/>
        </w:rPr>
        <w:t>ْ</w:t>
      </w:r>
      <w:r w:rsidRPr="00282AC9">
        <w:rPr>
          <w:rFonts w:hint="cs"/>
          <w:rtl/>
        </w:rPr>
        <w:t xml:space="preserve"> اعتقد بدلالة الأخبار على التسامح</w:t>
      </w:r>
      <w:r w:rsidR="00C34D84" w:rsidRPr="00282AC9">
        <w:rPr>
          <w:rFonts w:hint="cs"/>
          <w:rtl/>
        </w:rPr>
        <w:t>،</w:t>
      </w:r>
      <w:r w:rsidRPr="00282AC9">
        <w:rPr>
          <w:rFonts w:hint="cs"/>
          <w:rtl/>
        </w:rPr>
        <w:t xml:space="preserve"> وجعل الحج</w:t>
      </w:r>
      <w:r w:rsidR="00C34D84" w:rsidRPr="00282AC9">
        <w:rPr>
          <w:rFonts w:hint="cs"/>
          <w:rtl/>
        </w:rPr>
        <w:t>ّ</w:t>
      </w:r>
      <w:r w:rsidRPr="00282AC9">
        <w:rPr>
          <w:rFonts w:hint="cs"/>
          <w:rtl/>
        </w:rPr>
        <w:t xml:space="preserve">ية للخبر الضعيف، </w:t>
      </w:r>
      <w:r w:rsidRPr="00282AC9">
        <w:rPr>
          <w:rFonts w:hint="cs"/>
          <w:rtl/>
        </w:rPr>
        <w:lastRenderedPageBreak/>
        <w:t>فالقاعدة عنده أصولي</w:t>
      </w:r>
      <w:r w:rsidR="00C34D84" w:rsidRPr="00282AC9">
        <w:rPr>
          <w:rFonts w:hint="cs"/>
          <w:rtl/>
        </w:rPr>
        <w:t>ّ</w:t>
      </w:r>
      <w:r w:rsidRPr="00282AC9">
        <w:rPr>
          <w:rFonts w:hint="cs"/>
          <w:rtl/>
        </w:rPr>
        <w:t>ة</w:t>
      </w:r>
      <w:r w:rsidR="00C34D84" w:rsidRPr="00282AC9">
        <w:rPr>
          <w:rFonts w:hint="cs"/>
          <w:rtl/>
        </w:rPr>
        <w:t>ٌ</w:t>
      </w:r>
      <w:r w:rsidRPr="00282AC9">
        <w:rPr>
          <w:vertAlign w:val="superscript"/>
          <w:rtl/>
        </w:rPr>
        <w:t>(</w:t>
      </w:r>
      <w:r w:rsidRPr="00282AC9">
        <w:rPr>
          <w:vertAlign w:val="superscript"/>
          <w:rtl/>
        </w:rPr>
        <w:endnoteReference w:id="158"/>
      </w:r>
      <w:r w:rsidRPr="00282AC9">
        <w:rPr>
          <w:vertAlign w:val="superscript"/>
          <w:rtl/>
        </w:rPr>
        <w:t>)</w:t>
      </w:r>
      <w:r w:rsidR="00C34D84" w:rsidRPr="00282AC9">
        <w:rPr>
          <w:rFonts w:hint="cs"/>
          <w:rtl/>
        </w:rPr>
        <w:t>؛</w:t>
      </w:r>
      <w:r w:rsidRPr="00282AC9">
        <w:rPr>
          <w:rFonts w:hint="cs"/>
          <w:rtl/>
        </w:rPr>
        <w:t xml:space="preserve"> وم</w:t>
      </w:r>
      <w:r w:rsidR="00C34D84" w:rsidRPr="00282AC9">
        <w:rPr>
          <w:rFonts w:hint="cs"/>
          <w:rtl/>
        </w:rPr>
        <w:t>َ</w:t>
      </w:r>
      <w:r w:rsidRPr="00282AC9">
        <w:rPr>
          <w:rFonts w:hint="cs"/>
          <w:rtl/>
        </w:rPr>
        <w:t>ن</w:t>
      </w:r>
      <w:r w:rsidR="00C34D84" w:rsidRPr="00282AC9">
        <w:rPr>
          <w:rFonts w:hint="cs"/>
          <w:rtl/>
        </w:rPr>
        <w:t>ْ</w:t>
      </w:r>
      <w:r w:rsidRPr="00282AC9">
        <w:rPr>
          <w:rFonts w:hint="cs"/>
          <w:rtl/>
        </w:rPr>
        <w:t xml:space="preserve"> رأى دلالة الروايات على جعل الاستحباب على عنوان البلوغ فالمسألة عنده فقهي</w:t>
      </w:r>
      <w:r w:rsidR="00C34D84" w:rsidRPr="00282AC9">
        <w:rPr>
          <w:rFonts w:hint="cs"/>
          <w:rtl/>
        </w:rPr>
        <w:t>ّ</w:t>
      </w:r>
      <w:r w:rsidRPr="00282AC9">
        <w:rPr>
          <w:rFonts w:hint="cs"/>
          <w:rtl/>
        </w:rPr>
        <w:t>ة</w:t>
      </w:r>
      <w:r w:rsidR="00C34D84" w:rsidRPr="00282AC9">
        <w:rPr>
          <w:rFonts w:hint="cs"/>
          <w:rtl/>
        </w:rPr>
        <w:t>ٌ</w:t>
      </w:r>
      <w:r w:rsidRPr="00282AC9">
        <w:rPr>
          <w:vertAlign w:val="superscript"/>
          <w:rtl/>
        </w:rPr>
        <w:t>(</w:t>
      </w:r>
      <w:r w:rsidRPr="00282AC9">
        <w:rPr>
          <w:vertAlign w:val="superscript"/>
          <w:rtl/>
        </w:rPr>
        <w:endnoteReference w:id="159"/>
      </w:r>
      <w:r w:rsidRPr="00282AC9">
        <w:rPr>
          <w:vertAlign w:val="superscript"/>
          <w:rtl/>
        </w:rPr>
        <w:t>)</w:t>
      </w:r>
      <w:r w:rsidR="00C34D84" w:rsidRPr="00282AC9">
        <w:rPr>
          <w:rFonts w:hint="cs"/>
          <w:rtl/>
        </w:rPr>
        <w:t>.</w:t>
      </w:r>
      <w:r w:rsidRPr="00282AC9">
        <w:rPr>
          <w:rFonts w:hint="cs"/>
          <w:rtl/>
        </w:rPr>
        <w:t xml:space="preserve"> وقد ن</w:t>
      </w:r>
      <w:r w:rsidR="00C34D84" w:rsidRPr="00282AC9">
        <w:rPr>
          <w:rFonts w:hint="cs"/>
          <w:rtl/>
        </w:rPr>
        <w:t>ُ</w:t>
      </w:r>
      <w:r w:rsidRPr="00282AC9">
        <w:rPr>
          <w:rFonts w:hint="cs"/>
          <w:rtl/>
        </w:rPr>
        <w:t>وقش ذلك بعدم صح</w:t>
      </w:r>
      <w:r w:rsidR="00C34D84" w:rsidRPr="00282AC9">
        <w:rPr>
          <w:rFonts w:hint="cs"/>
          <w:rtl/>
        </w:rPr>
        <w:t>ّ</w:t>
      </w:r>
      <w:r w:rsidRPr="00282AC9">
        <w:rPr>
          <w:rFonts w:hint="cs"/>
          <w:rtl/>
        </w:rPr>
        <w:t>ة ما ذ</w:t>
      </w:r>
      <w:r w:rsidR="00C34D84" w:rsidRPr="00282AC9">
        <w:rPr>
          <w:rFonts w:hint="cs"/>
          <w:rtl/>
        </w:rPr>
        <w:t>ُ</w:t>
      </w:r>
      <w:r w:rsidRPr="00282AC9">
        <w:rPr>
          <w:rFonts w:hint="cs"/>
          <w:rtl/>
        </w:rPr>
        <w:t>كر في توجيهه</w:t>
      </w:r>
      <w:r w:rsidRPr="00282AC9">
        <w:rPr>
          <w:vertAlign w:val="superscript"/>
          <w:rtl/>
        </w:rPr>
        <w:t>(</w:t>
      </w:r>
      <w:r w:rsidRPr="00282AC9">
        <w:rPr>
          <w:vertAlign w:val="superscript"/>
          <w:rtl/>
        </w:rPr>
        <w:endnoteReference w:id="160"/>
      </w:r>
      <w:r w:rsidRPr="00282AC9">
        <w:rPr>
          <w:vertAlign w:val="superscript"/>
          <w:rtl/>
        </w:rPr>
        <w:t>)</w:t>
      </w:r>
      <w:r w:rsidR="00C34D84" w:rsidRPr="00282AC9">
        <w:rPr>
          <w:rFonts w:hint="cs"/>
          <w:rtl/>
        </w:rPr>
        <w:t xml:space="preserve">؛ </w:t>
      </w:r>
      <w:r w:rsidRPr="00282AC9">
        <w:rPr>
          <w:rFonts w:hint="cs"/>
          <w:rtl/>
        </w:rPr>
        <w:t>وم</w:t>
      </w:r>
      <w:r w:rsidR="00C34D84" w:rsidRPr="00282AC9">
        <w:rPr>
          <w:rFonts w:hint="cs"/>
          <w:rtl/>
        </w:rPr>
        <w:t>َ</w:t>
      </w:r>
      <w:r w:rsidRPr="00282AC9">
        <w:rPr>
          <w:rFonts w:hint="cs"/>
          <w:rtl/>
        </w:rPr>
        <w:t>ن</w:t>
      </w:r>
      <w:r w:rsidR="00C34D84" w:rsidRPr="00282AC9">
        <w:rPr>
          <w:rFonts w:hint="cs"/>
          <w:rtl/>
        </w:rPr>
        <w:t>ْ</w:t>
      </w:r>
      <w:r w:rsidRPr="00282AC9">
        <w:rPr>
          <w:rFonts w:hint="cs"/>
          <w:rtl/>
        </w:rPr>
        <w:t xml:space="preserve"> رأى أنّ </w:t>
      </w:r>
      <w:r w:rsidRPr="00282AC9">
        <w:rPr>
          <w:rtl/>
        </w:rPr>
        <w:t xml:space="preserve">مفاد الروايات </w:t>
      </w:r>
      <w:r w:rsidR="003B5D87" w:rsidRPr="00282AC9">
        <w:rPr>
          <w:rtl/>
        </w:rPr>
        <w:t>هو</w:t>
      </w:r>
      <w:r w:rsidR="003B5D87" w:rsidRPr="00282AC9">
        <w:rPr>
          <w:rFonts w:hint="cs"/>
          <w:rtl/>
        </w:rPr>
        <w:t>:</w:t>
      </w:r>
      <w:r w:rsidR="003B5D87" w:rsidRPr="00282AC9">
        <w:rPr>
          <w:rFonts w:hint="eastAsia"/>
          <w:rtl/>
        </w:rPr>
        <w:t xml:space="preserve"> </w:t>
      </w:r>
      <w:r w:rsidRPr="00282AC9">
        <w:rPr>
          <w:rFonts w:hint="eastAsia"/>
          <w:sz w:val="24"/>
          <w:szCs w:val="24"/>
          <w:rtl/>
        </w:rPr>
        <w:t>«</w:t>
      </w:r>
      <w:r w:rsidRPr="00282AC9">
        <w:rPr>
          <w:rtl/>
        </w:rPr>
        <w:t>ثبوت الثواب عند خطأ</w:t>
      </w:r>
      <w:r w:rsidRPr="00282AC9">
        <w:rPr>
          <w:rFonts w:hint="cs"/>
          <w:rtl/>
        </w:rPr>
        <w:t xml:space="preserve"> </w:t>
      </w:r>
      <w:r w:rsidRPr="00282AC9">
        <w:rPr>
          <w:rtl/>
        </w:rPr>
        <w:t>ال</w:t>
      </w:r>
      <w:r w:rsidRPr="00282AC9">
        <w:rPr>
          <w:rFonts w:hint="cs"/>
          <w:rtl/>
        </w:rPr>
        <w:t>أ</w:t>
      </w:r>
      <w:r w:rsidRPr="00282AC9">
        <w:rPr>
          <w:rtl/>
        </w:rPr>
        <w:t>مارة للواقع</w:t>
      </w:r>
      <w:r w:rsidR="003B5D87" w:rsidRPr="00282AC9">
        <w:rPr>
          <w:rFonts w:hint="cs"/>
          <w:rtl/>
        </w:rPr>
        <w:t>،</w:t>
      </w:r>
      <w:r w:rsidRPr="00282AC9">
        <w:rPr>
          <w:rtl/>
        </w:rPr>
        <w:t xml:space="preserve"> ليس إلا</w:t>
      </w:r>
      <w:r w:rsidR="003B5D87" w:rsidRPr="00282AC9">
        <w:rPr>
          <w:rFonts w:hint="cs"/>
          <w:rtl/>
        </w:rPr>
        <w:t>ّ</w:t>
      </w:r>
      <w:r w:rsidRPr="00282AC9">
        <w:rPr>
          <w:rFonts w:hint="eastAsia"/>
          <w:sz w:val="24"/>
          <w:szCs w:val="24"/>
          <w:rtl/>
        </w:rPr>
        <w:t>»</w:t>
      </w:r>
      <w:r w:rsidRPr="00282AC9">
        <w:rPr>
          <w:rFonts w:hint="cs"/>
          <w:rtl/>
        </w:rPr>
        <w:t xml:space="preserve"> فالمسألة عنده كلامي</w:t>
      </w:r>
      <w:r w:rsidR="003B5D87" w:rsidRPr="00282AC9">
        <w:rPr>
          <w:rFonts w:hint="cs"/>
          <w:rtl/>
        </w:rPr>
        <w:t>ّ</w:t>
      </w:r>
      <w:r w:rsidRPr="00282AC9">
        <w:rPr>
          <w:rFonts w:hint="cs"/>
          <w:rtl/>
        </w:rPr>
        <w:t>ة</w:t>
      </w:r>
      <w:r w:rsidR="003B5D87" w:rsidRPr="00282AC9">
        <w:rPr>
          <w:rFonts w:hint="cs"/>
          <w:rtl/>
        </w:rPr>
        <w:t>ٌ</w:t>
      </w:r>
      <w:r w:rsidRPr="00282AC9">
        <w:rPr>
          <w:vertAlign w:val="superscript"/>
          <w:rtl/>
        </w:rPr>
        <w:t>(</w:t>
      </w:r>
      <w:r w:rsidRPr="00282AC9">
        <w:rPr>
          <w:vertAlign w:val="superscript"/>
          <w:rtl/>
        </w:rPr>
        <w:endnoteReference w:id="161"/>
      </w:r>
      <w:r w:rsidRPr="00282AC9">
        <w:rPr>
          <w:vertAlign w:val="superscript"/>
          <w:rtl/>
        </w:rPr>
        <w:t>)</w:t>
      </w:r>
      <w:r w:rsidR="003B5D87" w:rsidRPr="00282AC9">
        <w:rPr>
          <w:rFonts w:hint="cs"/>
          <w:rtl/>
        </w:rPr>
        <w:t>.</w:t>
      </w:r>
      <w:r w:rsidRPr="00282AC9">
        <w:rPr>
          <w:rFonts w:hint="cs"/>
          <w:rtl/>
        </w:rPr>
        <w:t xml:space="preserve"> وحيث إننا نستقرب ـ كما سيأتي ـ أنّ الأخبار لا تدل</w:t>
      </w:r>
      <w:r w:rsidR="003B5D87" w:rsidRPr="00282AC9">
        <w:rPr>
          <w:rFonts w:hint="cs"/>
          <w:rtl/>
        </w:rPr>
        <w:t>ّ</w:t>
      </w:r>
      <w:r w:rsidRPr="00282AC9">
        <w:rPr>
          <w:rFonts w:hint="cs"/>
          <w:rtl/>
        </w:rPr>
        <w:t xml:space="preserve"> على جعل الحج</w:t>
      </w:r>
      <w:r w:rsidR="003B5D87" w:rsidRPr="00282AC9">
        <w:rPr>
          <w:rFonts w:hint="cs"/>
          <w:rtl/>
        </w:rPr>
        <w:t>ّ</w:t>
      </w:r>
      <w:r w:rsidRPr="00282AC9">
        <w:rPr>
          <w:rFonts w:hint="cs"/>
          <w:rtl/>
        </w:rPr>
        <w:t>ية للخبر الضعيف</w:t>
      </w:r>
      <w:r w:rsidR="003B5D87" w:rsidRPr="00282AC9">
        <w:rPr>
          <w:rFonts w:hint="cs"/>
          <w:rtl/>
        </w:rPr>
        <w:t>،</w:t>
      </w:r>
      <w:r w:rsidRPr="00282AC9">
        <w:rPr>
          <w:rFonts w:hint="cs"/>
          <w:rtl/>
        </w:rPr>
        <w:t xml:space="preserve"> ولا الاستحباب على عنوان البلوغ، وإنما الوعد بإعطاء الثواب</w:t>
      </w:r>
      <w:r w:rsidR="003B5D87" w:rsidRPr="00282AC9">
        <w:rPr>
          <w:rFonts w:hint="cs"/>
          <w:rtl/>
        </w:rPr>
        <w:t>،</w:t>
      </w:r>
      <w:r w:rsidRPr="00282AC9">
        <w:rPr>
          <w:rFonts w:hint="cs"/>
          <w:rtl/>
        </w:rPr>
        <w:t xml:space="preserve"> فتكون المسألة المستفادة منها كلامي</w:t>
      </w:r>
      <w:r w:rsidR="003B5D87" w:rsidRPr="00282AC9">
        <w:rPr>
          <w:rFonts w:hint="cs"/>
          <w:rtl/>
        </w:rPr>
        <w:t>ّ</w:t>
      </w:r>
      <w:r w:rsidRPr="00282AC9">
        <w:rPr>
          <w:rFonts w:hint="cs"/>
          <w:rtl/>
        </w:rPr>
        <w:t>ة</w:t>
      </w:r>
      <w:r w:rsidR="003B5D87" w:rsidRPr="00282AC9">
        <w:rPr>
          <w:rFonts w:hint="cs"/>
          <w:rtl/>
        </w:rPr>
        <w:t>ً</w:t>
      </w:r>
      <w:r w:rsidRPr="00282AC9">
        <w:rPr>
          <w:rFonts w:hint="cs"/>
          <w:rtl/>
        </w:rPr>
        <w:t xml:space="preserve">. </w:t>
      </w:r>
    </w:p>
    <w:p w:rsidR="0098597F" w:rsidRPr="00282AC9" w:rsidRDefault="0098597F" w:rsidP="005A1697">
      <w:pPr>
        <w:spacing w:line="420" w:lineRule="exact"/>
      </w:pPr>
    </w:p>
    <w:p w:rsidR="0098597F" w:rsidRPr="00282AC9" w:rsidRDefault="001B574D" w:rsidP="009C6A22">
      <w:pPr>
        <w:pStyle w:val="31"/>
        <w:rPr>
          <w:color w:val="auto"/>
        </w:rPr>
      </w:pPr>
      <w:r w:rsidRPr="00282AC9">
        <w:rPr>
          <w:rFonts w:hint="cs"/>
          <w:color w:val="auto"/>
          <w:rtl/>
        </w:rPr>
        <w:t>5</w:t>
      </w:r>
      <w:r w:rsidR="0098597F" w:rsidRPr="00282AC9">
        <w:rPr>
          <w:rFonts w:hint="cs"/>
          <w:color w:val="auto"/>
          <w:rtl/>
        </w:rPr>
        <w:t>ـ مقتضى القاعدة الأو</w:t>
      </w:r>
      <w:r w:rsidR="003B5D87" w:rsidRPr="00282AC9">
        <w:rPr>
          <w:rFonts w:hint="cs"/>
          <w:color w:val="auto"/>
          <w:rtl/>
        </w:rPr>
        <w:t>ّ</w:t>
      </w:r>
      <w:r w:rsidR="0098597F" w:rsidRPr="00282AC9">
        <w:rPr>
          <w:rFonts w:hint="cs"/>
          <w:color w:val="auto"/>
          <w:rtl/>
        </w:rPr>
        <w:t>ليّة</w:t>
      </w:r>
    </w:p>
    <w:p w:rsidR="003B5D87" w:rsidRPr="00282AC9" w:rsidRDefault="0098597F" w:rsidP="00044604">
      <w:pPr>
        <w:rPr>
          <w:rtl/>
        </w:rPr>
      </w:pPr>
      <w:r w:rsidRPr="00282AC9">
        <w:rPr>
          <w:rFonts w:hint="cs"/>
          <w:rtl/>
        </w:rPr>
        <w:t>وقبل أن نذكر أدل</w:t>
      </w:r>
      <w:r w:rsidR="003B5D87" w:rsidRPr="00282AC9">
        <w:rPr>
          <w:rFonts w:hint="cs"/>
          <w:rtl/>
        </w:rPr>
        <w:t>ّ</w:t>
      </w:r>
      <w:r w:rsidRPr="00282AC9">
        <w:rPr>
          <w:rFonts w:hint="cs"/>
          <w:rtl/>
        </w:rPr>
        <w:t>ة قاعدة التسامح</w:t>
      </w:r>
      <w:r w:rsidR="003B5D87" w:rsidRPr="00282AC9">
        <w:rPr>
          <w:rFonts w:hint="cs"/>
          <w:rtl/>
        </w:rPr>
        <w:t>،</w:t>
      </w:r>
      <w:r w:rsidRPr="00282AC9">
        <w:rPr>
          <w:rFonts w:hint="cs"/>
          <w:rtl/>
        </w:rPr>
        <w:t xml:space="preserve"> ونتطر</w:t>
      </w:r>
      <w:r w:rsidR="001B574D" w:rsidRPr="00282AC9">
        <w:rPr>
          <w:rFonts w:hint="cs"/>
          <w:rtl/>
        </w:rPr>
        <w:t>َّ</w:t>
      </w:r>
      <w:r w:rsidRPr="00282AC9">
        <w:rPr>
          <w:rFonts w:hint="cs"/>
          <w:rtl/>
        </w:rPr>
        <w:t>ق ـ بإيجاز</w:t>
      </w:r>
      <w:r w:rsidR="003B5D87" w:rsidRPr="00282AC9">
        <w:rPr>
          <w:rFonts w:hint="cs"/>
          <w:rtl/>
        </w:rPr>
        <w:t>ٍ</w:t>
      </w:r>
      <w:r w:rsidRPr="00282AC9">
        <w:rPr>
          <w:rFonts w:hint="cs"/>
          <w:rtl/>
        </w:rPr>
        <w:t xml:space="preserve"> ـ إلى بعض المناقشات والملاحظات النقدي</w:t>
      </w:r>
      <w:r w:rsidR="003B5D87" w:rsidRPr="00282AC9">
        <w:rPr>
          <w:rFonts w:hint="cs"/>
          <w:rtl/>
        </w:rPr>
        <w:t>ّ</w:t>
      </w:r>
      <w:r w:rsidRPr="00282AC9">
        <w:rPr>
          <w:rFonts w:hint="cs"/>
          <w:rtl/>
        </w:rPr>
        <w:t xml:space="preserve">ة، </w:t>
      </w:r>
      <w:r w:rsidR="00674EF5" w:rsidRPr="00282AC9">
        <w:rPr>
          <w:rFonts w:hint="cs"/>
          <w:rtl/>
        </w:rPr>
        <w:t>لا بُدَّ</w:t>
      </w:r>
      <w:r w:rsidRPr="00282AC9">
        <w:rPr>
          <w:rFonts w:hint="cs"/>
          <w:rtl/>
        </w:rPr>
        <w:t xml:space="preserve"> أن نبيّ</w:t>
      </w:r>
      <w:r w:rsidR="003B5D87" w:rsidRPr="00282AC9">
        <w:rPr>
          <w:rFonts w:hint="cs"/>
          <w:rtl/>
        </w:rPr>
        <w:t>ِ</w:t>
      </w:r>
      <w:r w:rsidRPr="00282AC9">
        <w:rPr>
          <w:rFonts w:hint="cs"/>
          <w:rtl/>
        </w:rPr>
        <w:t>ن ما هو مقتضى القاعدة الأو</w:t>
      </w:r>
      <w:r w:rsidR="003B5D87" w:rsidRPr="00282AC9">
        <w:rPr>
          <w:rFonts w:hint="cs"/>
          <w:rtl/>
        </w:rPr>
        <w:t>ّ</w:t>
      </w:r>
      <w:r w:rsidRPr="00282AC9">
        <w:rPr>
          <w:rFonts w:hint="cs"/>
          <w:rtl/>
        </w:rPr>
        <w:t>لية في المسألة، أعني مسألة اعتماد الخبر الضعيف في إثبات المستحبات والس</w:t>
      </w:r>
      <w:r w:rsidR="003B5D87" w:rsidRPr="00282AC9">
        <w:rPr>
          <w:rFonts w:hint="cs"/>
          <w:rtl/>
        </w:rPr>
        <w:t>ُّ</w:t>
      </w:r>
      <w:r w:rsidRPr="00282AC9">
        <w:rPr>
          <w:rFonts w:hint="cs"/>
          <w:rtl/>
        </w:rPr>
        <w:t>ن</w:t>
      </w:r>
      <w:r w:rsidR="003B5D87" w:rsidRPr="00282AC9">
        <w:rPr>
          <w:rFonts w:hint="cs"/>
          <w:rtl/>
        </w:rPr>
        <w:t>َ</w:t>
      </w:r>
      <w:r w:rsidRPr="00282AC9">
        <w:rPr>
          <w:rFonts w:hint="cs"/>
          <w:rtl/>
        </w:rPr>
        <w:t>ن</w:t>
      </w:r>
      <w:r w:rsidR="003B5D87" w:rsidRPr="00282AC9">
        <w:rPr>
          <w:rFonts w:hint="cs"/>
          <w:rtl/>
        </w:rPr>
        <w:t>.</w:t>
      </w:r>
    </w:p>
    <w:p w:rsidR="0098597F" w:rsidRPr="00282AC9" w:rsidRDefault="0098597F" w:rsidP="00044604">
      <w:pPr>
        <w:rPr>
          <w:rtl/>
        </w:rPr>
      </w:pPr>
      <w:r w:rsidRPr="00282AC9">
        <w:rPr>
          <w:rFonts w:hint="cs"/>
          <w:rtl/>
        </w:rPr>
        <w:t xml:space="preserve">وما يمكن أن يذكر هنا في بيان القاعدة: </w:t>
      </w:r>
    </w:p>
    <w:p w:rsidR="0098597F" w:rsidRPr="00282AC9" w:rsidRDefault="0098597F" w:rsidP="00007590">
      <w:pPr>
        <w:rPr>
          <w:rtl/>
        </w:rPr>
      </w:pPr>
      <w:r w:rsidRPr="00282AC9">
        <w:rPr>
          <w:rFonts w:hint="cs"/>
          <w:b/>
          <w:bCs/>
          <w:rtl/>
        </w:rPr>
        <w:t>أو</w:t>
      </w:r>
      <w:r w:rsidR="003B5D87" w:rsidRPr="00282AC9">
        <w:rPr>
          <w:rFonts w:hint="cs"/>
          <w:b/>
          <w:bCs/>
          <w:rtl/>
        </w:rPr>
        <w:t>ّ</w:t>
      </w:r>
      <w:r w:rsidRPr="00282AC9">
        <w:rPr>
          <w:rFonts w:hint="cs"/>
          <w:b/>
          <w:bCs/>
          <w:rtl/>
        </w:rPr>
        <w:t>لاً</w:t>
      </w:r>
      <w:r w:rsidRPr="00282AC9">
        <w:rPr>
          <w:rFonts w:hint="cs"/>
          <w:rtl/>
        </w:rPr>
        <w:t xml:space="preserve">: </w:t>
      </w:r>
      <w:r w:rsidR="00007590" w:rsidRPr="00282AC9">
        <w:rPr>
          <w:rFonts w:hint="cs"/>
          <w:rtl/>
        </w:rPr>
        <w:t>إ</w:t>
      </w:r>
      <w:r w:rsidRPr="00282AC9">
        <w:rPr>
          <w:rFonts w:hint="cs"/>
          <w:rtl/>
        </w:rPr>
        <w:t>نّ المستفاد من الكتاب والسن</w:t>
      </w:r>
      <w:r w:rsidR="003B5D87" w:rsidRPr="00282AC9">
        <w:rPr>
          <w:rFonts w:hint="cs"/>
          <w:rtl/>
        </w:rPr>
        <w:t>ّ</w:t>
      </w:r>
      <w:r w:rsidRPr="00282AC9">
        <w:rPr>
          <w:rFonts w:hint="cs"/>
          <w:rtl/>
        </w:rPr>
        <w:t>ة أنّ الأحكام الشرعية</w:t>
      </w:r>
      <w:r w:rsidR="003B5D87" w:rsidRPr="00282AC9">
        <w:rPr>
          <w:rFonts w:hint="cs"/>
          <w:rtl/>
        </w:rPr>
        <w:t>،</w:t>
      </w:r>
      <w:r w:rsidRPr="00282AC9">
        <w:rPr>
          <w:rFonts w:hint="cs"/>
          <w:rtl/>
        </w:rPr>
        <w:t xml:space="preserve"> ومنها</w:t>
      </w:r>
      <w:r w:rsidR="003B5D87" w:rsidRPr="00282AC9">
        <w:rPr>
          <w:rFonts w:hint="cs"/>
          <w:rtl/>
        </w:rPr>
        <w:t>:</w:t>
      </w:r>
      <w:r w:rsidRPr="00282AC9">
        <w:rPr>
          <w:rFonts w:hint="cs"/>
          <w:rtl/>
        </w:rPr>
        <w:t xml:space="preserve"> الاستحباب</w:t>
      </w:r>
      <w:r w:rsidR="003B5D87" w:rsidRPr="00282AC9">
        <w:rPr>
          <w:rFonts w:hint="cs"/>
          <w:rtl/>
        </w:rPr>
        <w:t>،</w:t>
      </w:r>
      <w:r w:rsidRPr="00282AC9">
        <w:rPr>
          <w:rFonts w:hint="cs"/>
          <w:rtl/>
        </w:rPr>
        <w:t xml:space="preserve"> لا يجوز إثباتها بالظنون</w:t>
      </w:r>
      <w:r w:rsidR="003B5D87" w:rsidRPr="00282AC9">
        <w:rPr>
          <w:rFonts w:hint="cs"/>
          <w:rtl/>
        </w:rPr>
        <w:t>.</w:t>
      </w:r>
      <w:r w:rsidRPr="00282AC9">
        <w:rPr>
          <w:rFonts w:hint="cs"/>
          <w:rtl/>
        </w:rPr>
        <w:t xml:space="preserve"> قال تعالى: </w:t>
      </w:r>
      <w:r w:rsidR="00007590" w:rsidRPr="00282AC9">
        <w:rPr>
          <w:rFonts w:ascii="Mosawi" w:hAnsi="Mosawi" w:cs="Mosawi"/>
          <w:sz w:val="24"/>
          <w:szCs w:val="24"/>
          <w:rtl/>
        </w:rPr>
        <w:t>﴿</w:t>
      </w:r>
      <w:r w:rsidRPr="00282AC9">
        <w:rPr>
          <w:b/>
          <w:bCs/>
          <w:rtl/>
        </w:rPr>
        <w:t>وَمَا يَتَّبِعُ أَكْثَرُهُمْ إِ</w:t>
      </w:r>
      <w:r w:rsidR="00EE6DBA" w:rsidRPr="00282AC9">
        <w:rPr>
          <w:b/>
          <w:bCs/>
          <w:rtl/>
        </w:rPr>
        <w:t>لاّ</w:t>
      </w:r>
      <w:r w:rsidR="003B5D87" w:rsidRPr="00282AC9">
        <w:rPr>
          <w:rFonts w:hint="cs"/>
          <w:b/>
          <w:bCs/>
          <w:rtl/>
        </w:rPr>
        <w:t>َ</w:t>
      </w:r>
      <w:r w:rsidRPr="00282AC9">
        <w:rPr>
          <w:b/>
          <w:bCs/>
          <w:rtl/>
        </w:rPr>
        <w:t xml:space="preserve"> ظَنّاً إِنَّ الظَّنَّ لا</w:t>
      </w:r>
      <w:r w:rsidR="00007590" w:rsidRPr="00282AC9">
        <w:rPr>
          <w:rFonts w:hint="cs"/>
          <w:b/>
          <w:bCs/>
          <w:rtl/>
        </w:rPr>
        <w:t>َ</w:t>
      </w:r>
      <w:r w:rsidRPr="00282AC9">
        <w:rPr>
          <w:b/>
          <w:bCs/>
          <w:rtl/>
        </w:rPr>
        <w:t xml:space="preserve"> يُغْنِي مِنَ الْحَقِّ شَيْئاً</w:t>
      </w:r>
      <w:r w:rsidR="00007590" w:rsidRPr="00282AC9">
        <w:rPr>
          <w:rFonts w:ascii="Mosawi" w:hAnsi="Mosawi" w:cs="Mosawi"/>
          <w:sz w:val="24"/>
          <w:szCs w:val="24"/>
          <w:rtl/>
        </w:rPr>
        <w:t>﴾</w:t>
      </w:r>
      <w:r w:rsidRPr="00282AC9">
        <w:rPr>
          <w:rFonts w:hint="cs"/>
          <w:rtl/>
        </w:rPr>
        <w:t xml:space="preserve"> (يونس: 36)</w:t>
      </w:r>
      <w:r w:rsidR="003B5D87" w:rsidRPr="00282AC9">
        <w:rPr>
          <w:rFonts w:hint="cs"/>
          <w:rtl/>
        </w:rPr>
        <w:t>؛</w:t>
      </w:r>
      <w:r w:rsidRPr="00282AC9">
        <w:rPr>
          <w:rFonts w:hint="cs"/>
          <w:rtl/>
        </w:rPr>
        <w:t xml:space="preserve"> بل لا يجوز الكلام في دين الله تعالى إلا</w:t>
      </w:r>
      <w:r w:rsidR="003B5D87" w:rsidRPr="00282AC9">
        <w:rPr>
          <w:rFonts w:hint="cs"/>
          <w:rtl/>
        </w:rPr>
        <w:t>َّ</w:t>
      </w:r>
      <w:r w:rsidRPr="00282AC9">
        <w:rPr>
          <w:rFonts w:hint="cs"/>
          <w:rtl/>
        </w:rPr>
        <w:t xml:space="preserve"> بعلم</w:t>
      </w:r>
      <w:r w:rsidR="003B5D87" w:rsidRPr="00282AC9">
        <w:rPr>
          <w:rFonts w:hint="cs"/>
          <w:rtl/>
        </w:rPr>
        <w:t>ٍ</w:t>
      </w:r>
      <w:r w:rsidRPr="00282AC9">
        <w:rPr>
          <w:rFonts w:hint="cs"/>
          <w:rtl/>
        </w:rPr>
        <w:t xml:space="preserve">، قال تعالى: </w:t>
      </w:r>
      <w:r w:rsidR="00007590" w:rsidRPr="00282AC9">
        <w:rPr>
          <w:rFonts w:ascii="Mosawi" w:hAnsi="Mosawi" w:cs="Mosawi"/>
          <w:sz w:val="24"/>
          <w:szCs w:val="24"/>
          <w:rtl/>
        </w:rPr>
        <w:t>﴿</w:t>
      </w:r>
      <w:r w:rsidR="00007590" w:rsidRPr="00282AC9">
        <w:rPr>
          <w:rFonts w:hint="cs"/>
          <w:b/>
          <w:bCs/>
          <w:rtl/>
        </w:rPr>
        <w:t>آ</w:t>
      </w:r>
      <w:r w:rsidR="006D28AF" w:rsidRPr="00282AC9">
        <w:rPr>
          <w:b/>
          <w:bCs/>
          <w:rtl/>
        </w:rPr>
        <w:t>لل</w:t>
      </w:r>
      <w:r w:rsidRPr="00282AC9">
        <w:rPr>
          <w:b/>
          <w:bCs/>
          <w:rtl/>
        </w:rPr>
        <w:t>هُ أَذِنَ لَكُمْ أَمْ عَلَى اللهِ تَفْتَرُونَ</w:t>
      </w:r>
      <w:r w:rsidR="00007590" w:rsidRPr="00282AC9">
        <w:rPr>
          <w:rFonts w:ascii="Mosawi" w:hAnsi="Mosawi" w:cs="Mosawi"/>
          <w:sz w:val="24"/>
          <w:szCs w:val="24"/>
          <w:rtl/>
        </w:rPr>
        <w:t>﴾</w:t>
      </w:r>
      <w:r w:rsidRPr="00282AC9">
        <w:rPr>
          <w:rFonts w:hint="cs"/>
          <w:rtl/>
        </w:rPr>
        <w:t xml:space="preserve"> (يونس: 59)، وقال جلّ</w:t>
      </w:r>
      <w:r w:rsidR="003B5D87" w:rsidRPr="00282AC9">
        <w:rPr>
          <w:rFonts w:hint="cs"/>
          <w:rtl/>
        </w:rPr>
        <w:t>َ</w:t>
      </w:r>
      <w:r w:rsidRPr="00282AC9">
        <w:rPr>
          <w:rFonts w:hint="cs"/>
          <w:rtl/>
        </w:rPr>
        <w:t xml:space="preserve"> وعلا: </w:t>
      </w:r>
      <w:r w:rsidR="00007590" w:rsidRPr="00282AC9">
        <w:rPr>
          <w:rFonts w:ascii="Mosawi" w:hAnsi="Mosawi" w:cs="Mosawi"/>
          <w:sz w:val="24"/>
          <w:szCs w:val="24"/>
          <w:rtl/>
        </w:rPr>
        <w:t>﴿</w:t>
      </w:r>
      <w:r w:rsidR="00007590" w:rsidRPr="00282AC9">
        <w:rPr>
          <w:b/>
          <w:bCs/>
          <w:rtl/>
        </w:rPr>
        <w:t>وَل</w:t>
      </w:r>
      <w:r w:rsidRPr="00282AC9">
        <w:rPr>
          <w:b/>
          <w:bCs/>
          <w:rtl/>
        </w:rPr>
        <w:t>ا</w:t>
      </w:r>
      <w:r w:rsidR="00007590" w:rsidRPr="00282AC9">
        <w:rPr>
          <w:rFonts w:hint="cs"/>
          <w:b/>
          <w:bCs/>
          <w:rtl/>
        </w:rPr>
        <w:t>َ</w:t>
      </w:r>
      <w:r w:rsidRPr="00282AC9">
        <w:rPr>
          <w:b/>
          <w:bCs/>
          <w:rtl/>
        </w:rPr>
        <w:t xml:space="preserve"> تَقْفُ مَا لَيْسَ لَكَ بِهِ عِلْمٌ إِنَّ السَّمْعَ وَالْبَصَرَ وَالْفُؤَادَ كُلُّ أُولَئِكَ كَانَ عَنْهُ مَسْ</w:t>
      </w:r>
      <w:r w:rsidR="003B5D87" w:rsidRPr="00282AC9">
        <w:rPr>
          <w:rFonts w:hint="cs"/>
          <w:b/>
          <w:bCs/>
          <w:rtl/>
        </w:rPr>
        <w:t>ؤُ</w:t>
      </w:r>
      <w:r w:rsidRPr="00282AC9">
        <w:rPr>
          <w:b/>
          <w:bCs/>
          <w:rtl/>
        </w:rPr>
        <w:t>ولاً</w:t>
      </w:r>
      <w:r w:rsidR="00007590" w:rsidRPr="00282AC9">
        <w:rPr>
          <w:rFonts w:ascii="Mosawi" w:hAnsi="Mosawi" w:cs="Mosawi"/>
          <w:sz w:val="24"/>
          <w:szCs w:val="24"/>
          <w:rtl/>
        </w:rPr>
        <w:t>﴾</w:t>
      </w:r>
      <w:r w:rsidR="00007590" w:rsidRPr="00282AC9">
        <w:rPr>
          <w:rFonts w:hint="cs"/>
          <w:rtl/>
        </w:rPr>
        <w:t xml:space="preserve"> </w:t>
      </w:r>
      <w:r w:rsidRPr="00282AC9">
        <w:rPr>
          <w:rFonts w:hint="cs"/>
          <w:rtl/>
        </w:rPr>
        <w:t>(الإسراء: 36).</w:t>
      </w:r>
    </w:p>
    <w:p w:rsidR="0098597F" w:rsidRPr="00282AC9" w:rsidRDefault="0098597F" w:rsidP="00044604">
      <w:pPr>
        <w:rPr>
          <w:rtl/>
        </w:rPr>
      </w:pPr>
      <w:r w:rsidRPr="00282AC9">
        <w:rPr>
          <w:rFonts w:hint="cs"/>
          <w:rtl/>
        </w:rPr>
        <w:t xml:space="preserve"> أجل، ذهب مشهور الفقهاء والأصولي</w:t>
      </w:r>
      <w:r w:rsidR="003B5D87" w:rsidRPr="00282AC9">
        <w:rPr>
          <w:rFonts w:hint="cs"/>
          <w:rtl/>
        </w:rPr>
        <w:t>ّ</w:t>
      </w:r>
      <w:r w:rsidRPr="00282AC9">
        <w:rPr>
          <w:rFonts w:hint="cs"/>
          <w:rtl/>
        </w:rPr>
        <w:t>ين إلى خروج الخبر الصحيح</w:t>
      </w:r>
      <w:r w:rsidR="003B5D87" w:rsidRPr="00282AC9">
        <w:rPr>
          <w:rFonts w:hint="cs"/>
          <w:rtl/>
        </w:rPr>
        <w:t>،</w:t>
      </w:r>
      <w:r w:rsidRPr="00282AC9">
        <w:rPr>
          <w:rFonts w:hint="cs"/>
          <w:rtl/>
        </w:rPr>
        <w:t xml:space="preserve"> مع كونه ظن</w:t>
      </w:r>
      <w:r w:rsidR="003B5D87" w:rsidRPr="00282AC9">
        <w:rPr>
          <w:rFonts w:hint="cs"/>
          <w:rtl/>
        </w:rPr>
        <w:t>ّ</w:t>
      </w:r>
      <w:r w:rsidRPr="00282AC9">
        <w:rPr>
          <w:rFonts w:hint="cs"/>
          <w:rtl/>
        </w:rPr>
        <w:t>ي</w:t>
      </w:r>
      <w:r w:rsidR="003B5D87" w:rsidRPr="00282AC9">
        <w:rPr>
          <w:rFonts w:hint="cs"/>
          <w:rtl/>
        </w:rPr>
        <w:t>ّ</w:t>
      </w:r>
      <w:r w:rsidRPr="00282AC9">
        <w:rPr>
          <w:rFonts w:hint="cs"/>
          <w:rtl/>
        </w:rPr>
        <w:t xml:space="preserve"> السند</w:t>
      </w:r>
      <w:r w:rsidR="003B5D87" w:rsidRPr="00282AC9">
        <w:rPr>
          <w:rFonts w:hint="cs"/>
          <w:rtl/>
        </w:rPr>
        <w:t>،</w:t>
      </w:r>
      <w:r w:rsidRPr="00282AC9">
        <w:rPr>
          <w:rFonts w:hint="cs"/>
          <w:rtl/>
        </w:rPr>
        <w:t xml:space="preserve"> عن عموم ما دلّ على النهي عن ات</w:t>
      </w:r>
      <w:r w:rsidR="003B5D87" w:rsidRPr="00282AC9">
        <w:rPr>
          <w:rFonts w:hint="cs"/>
          <w:rtl/>
        </w:rPr>
        <w:t>ّ</w:t>
      </w:r>
      <w:r w:rsidRPr="00282AC9">
        <w:rPr>
          <w:rFonts w:hint="cs"/>
          <w:rtl/>
        </w:rPr>
        <w:t>باع الظن</w:t>
      </w:r>
      <w:r w:rsidR="003B5D87" w:rsidRPr="00282AC9">
        <w:rPr>
          <w:rFonts w:hint="cs"/>
          <w:rtl/>
        </w:rPr>
        <w:t>ّ</w:t>
      </w:r>
      <w:r w:rsidRPr="00282AC9">
        <w:rPr>
          <w:rFonts w:hint="cs"/>
          <w:rtl/>
        </w:rPr>
        <w:t>، ومستندهم في ذلك أن أدل</w:t>
      </w:r>
      <w:r w:rsidR="00D810BA" w:rsidRPr="00282AC9">
        <w:rPr>
          <w:rFonts w:hint="cs"/>
          <w:rtl/>
        </w:rPr>
        <w:t>ّ</w:t>
      </w:r>
      <w:r w:rsidRPr="00282AC9">
        <w:rPr>
          <w:rFonts w:hint="cs"/>
          <w:rtl/>
        </w:rPr>
        <w:t>ة حج</w:t>
      </w:r>
      <w:r w:rsidR="00D810BA" w:rsidRPr="00282AC9">
        <w:rPr>
          <w:rFonts w:hint="cs"/>
          <w:rtl/>
        </w:rPr>
        <w:t>ّ</w:t>
      </w:r>
      <w:r w:rsidRPr="00282AC9">
        <w:rPr>
          <w:rFonts w:hint="cs"/>
          <w:rtl/>
        </w:rPr>
        <w:t>ية الخبر قد خص</w:t>
      </w:r>
      <w:r w:rsidR="00D810BA" w:rsidRPr="00282AC9">
        <w:rPr>
          <w:rFonts w:hint="cs"/>
          <w:rtl/>
        </w:rPr>
        <w:t>ّ</w:t>
      </w:r>
      <w:r w:rsidRPr="00282AC9">
        <w:rPr>
          <w:rFonts w:hint="cs"/>
          <w:rtl/>
        </w:rPr>
        <w:t>صت الإطلاقات أو العمومات المذكورة الناهية عن ات</w:t>
      </w:r>
      <w:r w:rsidR="00D810BA" w:rsidRPr="00282AC9">
        <w:rPr>
          <w:rFonts w:hint="cs"/>
          <w:rtl/>
        </w:rPr>
        <w:t>ّ</w:t>
      </w:r>
      <w:r w:rsidRPr="00282AC9">
        <w:rPr>
          <w:rFonts w:hint="cs"/>
          <w:rtl/>
        </w:rPr>
        <w:t>باع الظن</w:t>
      </w:r>
      <w:r w:rsidR="00D810BA" w:rsidRPr="00282AC9">
        <w:rPr>
          <w:rFonts w:hint="cs"/>
          <w:rtl/>
        </w:rPr>
        <w:t>ّ</w:t>
      </w:r>
      <w:r w:rsidRPr="00282AC9">
        <w:rPr>
          <w:rFonts w:hint="cs"/>
          <w:rtl/>
        </w:rPr>
        <w:t xml:space="preserve">. </w:t>
      </w:r>
    </w:p>
    <w:p w:rsidR="0098597F" w:rsidRPr="00282AC9" w:rsidRDefault="0098597F" w:rsidP="00044604">
      <w:pPr>
        <w:rPr>
          <w:rtl/>
        </w:rPr>
      </w:pPr>
      <w:r w:rsidRPr="00282AC9">
        <w:rPr>
          <w:rFonts w:hint="cs"/>
          <w:rtl/>
        </w:rPr>
        <w:t>وفي المقام أيضاً يُد</w:t>
      </w:r>
      <w:r w:rsidR="00450D9F" w:rsidRPr="00282AC9">
        <w:rPr>
          <w:rFonts w:hint="cs"/>
          <w:rtl/>
        </w:rPr>
        <w:t>َّ</w:t>
      </w:r>
      <w:r w:rsidRPr="00282AC9">
        <w:rPr>
          <w:rFonts w:hint="cs"/>
          <w:rtl/>
        </w:rPr>
        <w:t>ع</w:t>
      </w:r>
      <w:r w:rsidR="00D810BA" w:rsidRPr="00282AC9">
        <w:rPr>
          <w:rFonts w:hint="cs"/>
          <w:rtl/>
        </w:rPr>
        <w:t>َ</w:t>
      </w:r>
      <w:r w:rsidRPr="00282AC9">
        <w:rPr>
          <w:rFonts w:hint="cs"/>
          <w:rtl/>
        </w:rPr>
        <w:t>ى أننا نخرج عن مقتضى القاعدة الأو</w:t>
      </w:r>
      <w:r w:rsidR="00450D9F" w:rsidRPr="00282AC9">
        <w:rPr>
          <w:rFonts w:hint="cs"/>
          <w:rtl/>
        </w:rPr>
        <w:t>ّ</w:t>
      </w:r>
      <w:r w:rsidRPr="00282AC9">
        <w:rPr>
          <w:rFonts w:hint="cs"/>
          <w:rtl/>
        </w:rPr>
        <w:t>لية</w:t>
      </w:r>
      <w:r w:rsidR="00450D9F" w:rsidRPr="00282AC9">
        <w:rPr>
          <w:rFonts w:hint="cs"/>
          <w:rtl/>
        </w:rPr>
        <w:t>؛</w:t>
      </w:r>
      <w:r w:rsidRPr="00282AC9">
        <w:rPr>
          <w:rFonts w:hint="cs"/>
          <w:rtl/>
        </w:rPr>
        <w:t xml:space="preserve"> لقيام الدليل أيضاً على ذلك</w:t>
      </w:r>
      <w:r w:rsidR="00450D9F" w:rsidRPr="00282AC9">
        <w:rPr>
          <w:rFonts w:hint="cs"/>
          <w:rtl/>
        </w:rPr>
        <w:t xml:space="preserve">. </w:t>
      </w:r>
      <w:r w:rsidRPr="00282AC9">
        <w:rPr>
          <w:rFonts w:hint="cs"/>
          <w:rtl/>
        </w:rPr>
        <w:t>والدليل هو الأخبار التي تجيز الإفتاء في الس</w:t>
      </w:r>
      <w:r w:rsidR="00450D9F" w:rsidRPr="00282AC9">
        <w:rPr>
          <w:rFonts w:hint="cs"/>
          <w:rtl/>
        </w:rPr>
        <w:t>ُّ</w:t>
      </w:r>
      <w:r w:rsidRPr="00282AC9">
        <w:rPr>
          <w:rFonts w:hint="cs"/>
          <w:rtl/>
        </w:rPr>
        <w:t>ن</w:t>
      </w:r>
      <w:r w:rsidR="00450D9F" w:rsidRPr="00282AC9">
        <w:rPr>
          <w:rFonts w:hint="cs"/>
          <w:rtl/>
        </w:rPr>
        <w:t>َ</w:t>
      </w:r>
      <w:r w:rsidRPr="00282AC9">
        <w:rPr>
          <w:rFonts w:hint="cs"/>
          <w:rtl/>
        </w:rPr>
        <w:t>ن بالخبر الضعيف</w:t>
      </w:r>
      <w:r w:rsidR="00450D9F" w:rsidRPr="00282AC9">
        <w:rPr>
          <w:rFonts w:hint="cs"/>
          <w:rtl/>
        </w:rPr>
        <w:t>.</w:t>
      </w:r>
      <w:r w:rsidRPr="00282AC9">
        <w:rPr>
          <w:rFonts w:hint="cs"/>
          <w:rtl/>
        </w:rPr>
        <w:t xml:space="preserve"> وهذه الأخبار أخصُّ من أدلة النهي عن ات</w:t>
      </w:r>
      <w:r w:rsidR="00450D9F" w:rsidRPr="00282AC9">
        <w:rPr>
          <w:rFonts w:hint="cs"/>
          <w:rtl/>
        </w:rPr>
        <w:t>ّ</w:t>
      </w:r>
      <w:r w:rsidRPr="00282AC9">
        <w:rPr>
          <w:rFonts w:hint="cs"/>
          <w:rtl/>
        </w:rPr>
        <w:t>باع الظن</w:t>
      </w:r>
      <w:r w:rsidR="00450D9F" w:rsidRPr="00282AC9">
        <w:rPr>
          <w:rFonts w:hint="cs"/>
          <w:rtl/>
        </w:rPr>
        <w:t>ّ،</w:t>
      </w:r>
      <w:r w:rsidRPr="00282AC9">
        <w:rPr>
          <w:rFonts w:hint="cs"/>
          <w:rtl/>
        </w:rPr>
        <w:t xml:space="preserve"> وعدم حج</w:t>
      </w:r>
      <w:r w:rsidR="00450D9F" w:rsidRPr="00282AC9">
        <w:rPr>
          <w:rFonts w:hint="cs"/>
          <w:rtl/>
        </w:rPr>
        <w:t>ّ</w:t>
      </w:r>
      <w:r w:rsidRPr="00282AC9">
        <w:rPr>
          <w:rFonts w:hint="cs"/>
          <w:rtl/>
        </w:rPr>
        <w:t>ية الخبر الضعيف، فتتقد</w:t>
      </w:r>
      <w:r w:rsidR="00450D9F" w:rsidRPr="00282AC9">
        <w:rPr>
          <w:rFonts w:hint="cs"/>
          <w:rtl/>
        </w:rPr>
        <w:t>َّ</w:t>
      </w:r>
      <w:r w:rsidRPr="00282AC9">
        <w:rPr>
          <w:rFonts w:hint="cs"/>
          <w:rtl/>
        </w:rPr>
        <w:t>م عليها تقد</w:t>
      </w:r>
      <w:r w:rsidR="00450D9F" w:rsidRPr="00282AC9">
        <w:rPr>
          <w:rFonts w:hint="cs"/>
          <w:rtl/>
        </w:rPr>
        <w:t>ُّ</w:t>
      </w:r>
      <w:r w:rsidRPr="00282AC9">
        <w:rPr>
          <w:rFonts w:hint="cs"/>
          <w:rtl/>
        </w:rPr>
        <w:t>م الخاص</w:t>
      </w:r>
      <w:r w:rsidR="00450D9F" w:rsidRPr="00282AC9">
        <w:rPr>
          <w:rFonts w:hint="cs"/>
          <w:rtl/>
        </w:rPr>
        <w:t>ّ</w:t>
      </w:r>
      <w:r w:rsidRPr="00282AC9">
        <w:rPr>
          <w:rFonts w:hint="cs"/>
          <w:rtl/>
        </w:rPr>
        <w:t xml:space="preserve"> على العام</w:t>
      </w:r>
      <w:r w:rsidR="00450D9F" w:rsidRPr="00282AC9">
        <w:rPr>
          <w:rFonts w:hint="cs"/>
          <w:rtl/>
        </w:rPr>
        <w:t>ّ.</w:t>
      </w:r>
      <w:r w:rsidRPr="00282AC9">
        <w:rPr>
          <w:rFonts w:hint="cs"/>
          <w:rtl/>
        </w:rPr>
        <w:t xml:space="preserve"> وعليه، فقاعدة التسامح</w:t>
      </w:r>
      <w:r w:rsidR="00450D9F" w:rsidRPr="00282AC9">
        <w:rPr>
          <w:rFonts w:hint="cs"/>
          <w:rtl/>
        </w:rPr>
        <w:t>؛</w:t>
      </w:r>
      <w:r w:rsidRPr="00282AC9">
        <w:rPr>
          <w:rFonts w:hint="cs"/>
          <w:rtl/>
        </w:rPr>
        <w:t xml:space="preserve"> بدلالتها على حج</w:t>
      </w:r>
      <w:r w:rsidR="00450D9F" w:rsidRPr="00282AC9">
        <w:rPr>
          <w:rFonts w:hint="cs"/>
          <w:rtl/>
        </w:rPr>
        <w:t>ّ</w:t>
      </w:r>
      <w:r w:rsidRPr="00282AC9">
        <w:rPr>
          <w:rFonts w:hint="cs"/>
          <w:rtl/>
        </w:rPr>
        <w:t>ية الخبر الضعيف في الس</w:t>
      </w:r>
      <w:r w:rsidR="00450D9F" w:rsidRPr="00282AC9">
        <w:rPr>
          <w:rFonts w:hint="cs"/>
          <w:rtl/>
        </w:rPr>
        <w:t>ُّ</w:t>
      </w:r>
      <w:r w:rsidRPr="00282AC9">
        <w:rPr>
          <w:rFonts w:hint="cs"/>
          <w:rtl/>
        </w:rPr>
        <w:t>ن</w:t>
      </w:r>
      <w:r w:rsidR="00450D9F" w:rsidRPr="00282AC9">
        <w:rPr>
          <w:rFonts w:hint="cs"/>
          <w:rtl/>
        </w:rPr>
        <w:t>َ</w:t>
      </w:r>
      <w:r w:rsidRPr="00282AC9">
        <w:rPr>
          <w:rFonts w:hint="cs"/>
          <w:rtl/>
        </w:rPr>
        <w:t>ن</w:t>
      </w:r>
      <w:r w:rsidR="00450D9F" w:rsidRPr="00282AC9">
        <w:rPr>
          <w:rFonts w:hint="cs"/>
          <w:rtl/>
        </w:rPr>
        <w:t>،</w:t>
      </w:r>
      <w:r w:rsidRPr="00282AC9">
        <w:rPr>
          <w:rFonts w:hint="cs"/>
          <w:rtl/>
        </w:rPr>
        <w:t xml:space="preserve"> تمثّ</w:t>
      </w:r>
      <w:r w:rsidR="00450D9F" w:rsidRPr="00282AC9">
        <w:rPr>
          <w:rFonts w:hint="cs"/>
          <w:rtl/>
        </w:rPr>
        <w:t>ِ</w:t>
      </w:r>
      <w:r w:rsidRPr="00282AC9">
        <w:rPr>
          <w:rFonts w:hint="cs"/>
          <w:rtl/>
        </w:rPr>
        <w:t>ل استثناء</w:t>
      </w:r>
      <w:r w:rsidR="00450D9F" w:rsidRPr="00282AC9">
        <w:rPr>
          <w:rFonts w:hint="cs"/>
          <w:rtl/>
        </w:rPr>
        <w:t>ً</w:t>
      </w:r>
      <w:r w:rsidRPr="00282AC9">
        <w:rPr>
          <w:rFonts w:hint="cs"/>
          <w:rtl/>
        </w:rPr>
        <w:t xml:space="preserve"> من القاعدة الأو</w:t>
      </w:r>
      <w:r w:rsidR="00450D9F" w:rsidRPr="00282AC9">
        <w:rPr>
          <w:rFonts w:hint="cs"/>
          <w:rtl/>
        </w:rPr>
        <w:t>ّ</w:t>
      </w:r>
      <w:r w:rsidRPr="00282AC9">
        <w:rPr>
          <w:rFonts w:hint="cs"/>
          <w:rtl/>
        </w:rPr>
        <w:t>ليّة العام</w:t>
      </w:r>
      <w:r w:rsidR="00450D9F" w:rsidRPr="00282AC9">
        <w:rPr>
          <w:rFonts w:hint="cs"/>
          <w:rtl/>
        </w:rPr>
        <w:t>ّ</w:t>
      </w:r>
      <w:r w:rsidRPr="00282AC9">
        <w:rPr>
          <w:rFonts w:hint="cs"/>
          <w:rtl/>
        </w:rPr>
        <w:t>ة، أعني قاعدة عدم حج</w:t>
      </w:r>
      <w:r w:rsidR="00450D9F" w:rsidRPr="00282AC9">
        <w:rPr>
          <w:rFonts w:hint="cs"/>
          <w:rtl/>
        </w:rPr>
        <w:t>ّ</w:t>
      </w:r>
      <w:r w:rsidRPr="00282AC9">
        <w:rPr>
          <w:rFonts w:hint="cs"/>
          <w:rtl/>
        </w:rPr>
        <w:t xml:space="preserve">ية </w:t>
      </w:r>
      <w:r w:rsidRPr="00282AC9">
        <w:rPr>
          <w:rFonts w:hint="cs"/>
          <w:rtl/>
        </w:rPr>
        <w:lastRenderedPageBreak/>
        <w:t>الظن</w:t>
      </w:r>
      <w:r w:rsidR="00450D9F" w:rsidRPr="00282AC9">
        <w:rPr>
          <w:rFonts w:hint="cs"/>
          <w:rtl/>
        </w:rPr>
        <w:t>ّ.</w:t>
      </w:r>
      <w:r w:rsidRPr="00282AC9">
        <w:rPr>
          <w:rFonts w:hint="cs"/>
          <w:rtl/>
        </w:rPr>
        <w:t xml:space="preserve"> كما أنّ قاعدة حج</w:t>
      </w:r>
      <w:r w:rsidR="00450D9F" w:rsidRPr="00282AC9">
        <w:rPr>
          <w:rFonts w:hint="cs"/>
          <w:rtl/>
        </w:rPr>
        <w:t>ّ</w:t>
      </w:r>
      <w:r w:rsidRPr="00282AC9">
        <w:rPr>
          <w:rFonts w:hint="cs"/>
          <w:rtl/>
        </w:rPr>
        <w:t>ية الخبر الصحيح في الإلزامي</w:t>
      </w:r>
      <w:r w:rsidR="00450D9F" w:rsidRPr="00282AC9">
        <w:rPr>
          <w:rFonts w:hint="cs"/>
          <w:rtl/>
        </w:rPr>
        <w:t>ّ</w:t>
      </w:r>
      <w:r w:rsidRPr="00282AC9">
        <w:rPr>
          <w:rFonts w:hint="cs"/>
          <w:rtl/>
        </w:rPr>
        <w:t>ات أو الس</w:t>
      </w:r>
      <w:r w:rsidR="00450D9F" w:rsidRPr="00282AC9">
        <w:rPr>
          <w:rFonts w:hint="cs"/>
          <w:rtl/>
        </w:rPr>
        <w:t>ُّ</w:t>
      </w:r>
      <w:r w:rsidRPr="00282AC9">
        <w:rPr>
          <w:rFonts w:hint="cs"/>
          <w:rtl/>
        </w:rPr>
        <w:t>ن</w:t>
      </w:r>
      <w:r w:rsidR="00450D9F" w:rsidRPr="00282AC9">
        <w:rPr>
          <w:rFonts w:hint="cs"/>
          <w:rtl/>
        </w:rPr>
        <w:t>َ</w:t>
      </w:r>
      <w:r w:rsidRPr="00282AC9">
        <w:rPr>
          <w:rFonts w:hint="cs"/>
          <w:rtl/>
        </w:rPr>
        <w:t>ن هي استثناء</w:t>
      </w:r>
      <w:r w:rsidR="00450D9F" w:rsidRPr="00282AC9">
        <w:rPr>
          <w:rFonts w:hint="cs"/>
          <w:rtl/>
        </w:rPr>
        <w:t>ٌ</w:t>
      </w:r>
      <w:r w:rsidRPr="00282AC9">
        <w:rPr>
          <w:rFonts w:hint="cs"/>
          <w:rtl/>
        </w:rPr>
        <w:t xml:space="preserve"> من تلك القاعدة أيضاً</w:t>
      </w:r>
      <w:r w:rsidR="00450D9F" w:rsidRPr="00282AC9">
        <w:rPr>
          <w:rFonts w:hint="cs"/>
          <w:rtl/>
        </w:rPr>
        <w:t>.</w:t>
      </w:r>
      <w:r w:rsidRPr="00282AC9">
        <w:rPr>
          <w:rFonts w:hint="cs"/>
          <w:rtl/>
        </w:rPr>
        <w:t xml:space="preserve"> فلا فرق بين استثناء</w:t>
      </w:r>
      <w:r w:rsidR="00450D9F" w:rsidRPr="00282AC9">
        <w:rPr>
          <w:rFonts w:hint="cs"/>
          <w:rtl/>
        </w:rPr>
        <w:t>ٍ</w:t>
      </w:r>
      <w:r w:rsidRPr="00282AC9">
        <w:rPr>
          <w:rFonts w:hint="cs"/>
          <w:rtl/>
        </w:rPr>
        <w:t xml:space="preserve"> وآخر</w:t>
      </w:r>
      <w:r w:rsidR="00450D9F" w:rsidRPr="00282AC9">
        <w:rPr>
          <w:rFonts w:hint="cs"/>
          <w:rtl/>
        </w:rPr>
        <w:t>؛</w:t>
      </w:r>
      <w:r w:rsidRPr="00282AC9">
        <w:rPr>
          <w:rFonts w:hint="cs"/>
          <w:rtl/>
        </w:rPr>
        <w:t xml:space="preserve"> فم</w:t>
      </w:r>
      <w:r w:rsidR="00450D9F" w:rsidRPr="00282AC9">
        <w:rPr>
          <w:rFonts w:hint="cs"/>
          <w:rtl/>
        </w:rPr>
        <w:t>َ</w:t>
      </w:r>
      <w:r w:rsidRPr="00282AC9">
        <w:rPr>
          <w:rFonts w:hint="cs"/>
          <w:rtl/>
        </w:rPr>
        <w:t>ن</w:t>
      </w:r>
      <w:r w:rsidR="00450D9F" w:rsidRPr="00282AC9">
        <w:rPr>
          <w:rFonts w:hint="cs"/>
          <w:rtl/>
        </w:rPr>
        <w:t>ْ</w:t>
      </w:r>
      <w:r w:rsidRPr="00282AC9">
        <w:rPr>
          <w:rFonts w:hint="cs"/>
          <w:rtl/>
        </w:rPr>
        <w:t xml:space="preserve"> قبل بالاستثناء الأو</w:t>
      </w:r>
      <w:r w:rsidR="00450D9F" w:rsidRPr="00282AC9">
        <w:rPr>
          <w:rFonts w:hint="cs"/>
          <w:rtl/>
        </w:rPr>
        <w:t>ّ</w:t>
      </w:r>
      <w:r w:rsidRPr="00282AC9">
        <w:rPr>
          <w:rFonts w:hint="cs"/>
          <w:rtl/>
        </w:rPr>
        <w:t>ل في الخبر الصحيح</w:t>
      </w:r>
      <w:r w:rsidR="00450D9F" w:rsidRPr="00282AC9">
        <w:rPr>
          <w:rFonts w:hint="cs"/>
          <w:rtl/>
        </w:rPr>
        <w:t>؛</w:t>
      </w:r>
      <w:r w:rsidRPr="00282AC9">
        <w:rPr>
          <w:rFonts w:hint="cs"/>
          <w:rtl/>
        </w:rPr>
        <w:t xml:space="preserve"> لقيام الدليل عليه، عليه أن يقبل بالاستثناء الثاني في الخبر الضعيف الوارد في الس</w:t>
      </w:r>
      <w:r w:rsidR="00450D9F" w:rsidRPr="00282AC9">
        <w:rPr>
          <w:rFonts w:hint="cs"/>
          <w:rtl/>
        </w:rPr>
        <w:t>ُّ</w:t>
      </w:r>
      <w:r w:rsidRPr="00282AC9">
        <w:rPr>
          <w:rFonts w:hint="cs"/>
          <w:rtl/>
        </w:rPr>
        <w:t>ن</w:t>
      </w:r>
      <w:r w:rsidR="00450D9F" w:rsidRPr="00282AC9">
        <w:rPr>
          <w:rFonts w:hint="cs"/>
          <w:rtl/>
        </w:rPr>
        <w:t>َ</w:t>
      </w:r>
      <w:r w:rsidRPr="00282AC9">
        <w:rPr>
          <w:rFonts w:hint="cs"/>
          <w:rtl/>
        </w:rPr>
        <w:t>ن</w:t>
      </w:r>
      <w:r w:rsidR="00450D9F" w:rsidRPr="00282AC9">
        <w:rPr>
          <w:rFonts w:hint="cs"/>
          <w:rtl/>
        </w:rPr>
        <w:t>؛</w:t>
      </w:r>
      <w:r w:rsidRPr="00282AC9">
        <w:rPr>
          <w:rFonts w:hint="cs"/>
          <w:rtl/>
        </w:rPr>
        <w:t xml:space="preserve"> للنكتة عينها، أعني قيام الدليل عليه.</w:t>
      </w:r>
    </w:p>
    <w:p w:rsidR="0098597F" w:rsidRPr="00282AC9" w:rsidRDefault="0098597F" w:rsidP="00044604">
      <w:pPr>
        <w:rPr>
          <w:rtl/>
        </w:rPr>
      </w:pPr>
      <w:r w:rsidRPr="00282AC9">
        <w:rPr>
          <w:rFonts w:hint="cs"/>
          <w:rtl/>
        </w:rPr>
        <w:t>هذا</w:t>
      </w:r>
      <w:r w:rsidR="00450D9F" w:rsidRPr="00282AC9">
        <w:rPr>
          <w:rFonts w:hint="cs"/>
          <w:rtl/>
        </w:rPr>
        <w:t>،</w:t>
      </w:r>
      <w:r w:rsidRPr="00282AC9">
        <w:rPr>
          <w:rFonts w:hint="cs"/>
          <w:rtl/>
        </w:rPr>
        <w:t xml:space="preserve"> ولكنْ ثم</w:t>
      </w:r>
      <w:r w:rsidR="00450D9F" w:rsidRPr="00282AC9">
        <w:rPr>
          <w:rFonts w:hint="cs"/>
          <w:rtl/>
        </w:rPr>
        <w:t>ّ</w:t>
      </w:r>
      <w:r w:rsidRPr="00282AC9">
        <w:rPr>
          <w:rFonts w:hint="cs"/>
          <w:rtl/>
        </w:rPr>
        <w:t>ة اتجاه</w:t>
      </w:r>
      <w:r w:rsidR="00450D9F" w:rsidRPr="00282AC9">
        <w:rPr>
          <w:rFonts w:hint="cs"/>
          <w:rtl/>
        </w:rPr>
        <w:t>ٌ</w:t>
      </w:r>
      <w:r w:rsidRPr="00282AC9">
        <w:rPr>
          <w:rFonts w:hint="cs"/>
          <w:rtl/>
        </w:rPr>
        <w:t xml:space="preserve"> قريب</w:t>
      </w:r>
      <w:r w:rsidR="00450D9F" w:rsidRPr="00282AC9">
        <w:rPr>
          <w:rFonts w:hint="cs"/>
          <w:rtl/>
        </w:rPr>
        <w:t>ٌ</w:t>
      </w:r>
      <w:r w:rsidRPr="00282AC9">
        <w:rPr>
          <w:rFonts w:hint="cs"/>
          <w:rtl/>
        </w:rPr>
        <w:t xml:space="preserve"> من الصواب يرى أنّ قاعدة حرمة العمل بالظن</w:t>
      </w:r>
      <w:r w:rsidR="00F71285" w:rsidRPr="00282AC9">
        <w:rPr>
          <w:rFonts w:hint="cs"/>
          <w:rtl/>
        </w:rPr>
        <w:t>ّ</w:t>
      </w:r>
      <w:r w:rsidRPr="00282AC9">
        <w:rPr>
          <w:rFonts w:hint="cs"/>
          <w:rtl/>
        </w:rPr>
        <w:t xml:space="preserve"> لم تتعر</w:t>
      </w:r>
      <w:r w:rsidR="00F71285" w:rsidRPr="00282AC9">
        <w:rPr>
          <w:rFonts w:hint="cs"/>
          <w:rtl/>
        </w:rPr>
        <w:t>ّ</w:t>
      </w:r>
      <w:r w:rsidRPr="00282AC9">
        <w:rPr>
          <w:rFonts w:hint="cs"/>
          <w:rtl/>
        </w:rPr>
        <w:t>ض للاستثناء والتخصيص مطلقاً</w:t>
      </w:r>
      <w:r w:rsidR="00F71285" w:rsidRPr="00282AC9">
        <w:rPr>
          <w:rFonts w:hint="cs"/>
          <w:rtl/>
        </w:rPr>
        <w:t>،</w:t>
      </w:r>
      <w:r w:rsidRPr="00282AC9">
        <w:rPr>
          <w:rFonts w:hint="cs"/>
          <w:rtl/>
        </w:rPr>
        <w:t xml:space="preserve"> حت</w:t>
      </w:r>
      <w:r w:rsidR="00F71285" w:rsidRPr="00282AC9">
        <w:rPr>
          <w:rFonts w:hint="cs"/>
          <w:rtl/>
        </w:rPr>
        <w:t>ّ</w:t>
      </w:r>
      <w:r w:rsidRPr="00282AC9">
        <w:rPr>
          <w:rFonts w:hint="cs"/>
          <w:rtl/>
        </w:rPr>
        <w:t>ى بلحاظ الخبر الصحيح الظن</w:t>
      </w:r>
      <w:r w:rsidR="00F71285" w:rsidRPr="00282AC9">
        <w:rPr>
          <w:rFonts w:hint="cs"/>
          <w:rtl/>
        </w:rPr>
        <w:t>ّ</w:t>
      </w:r>
      <w:r w:rsidRPr="00282AC9">
        <w:rPr>
          <w:rFonts w:hint="cs"/>
          <w:rtl/>
        </w:rPr>
        <w:t>ي، فضلاً عن الخبر الضعيف</w:t>
      </w:r>
      <w:r w:rsidR="00F71285" w:rsidRPr="00282AC9">
        <w:rPr>
          <w:rFonts w:hint="cs"/>
          <w:rtl/>
        </w:rPr>
        <w:t>؛</w:t>
      </w:r>
      <w:r w:rsidRPr="00282AC9">
        <w:rPr>
          <w:rFonts w:hint="cs"/>
          <w:rtl/>
        </w:rPr>
        <w:t xml:space="preserve"> فالخبر الصحيح الظن</w:t>
      </w:r>
      <w:r w:rsidR="00F71285" w:rsidRPr="00282AC9">
        <w:rPr>
          <w:rFonts w:hint="cs"/>
          <w:rtl/>
        </w:rPr>
        <w:t>ّ</w:t>
      </w:r>
      <w:r w:rsidRPr="00282AC9">
        <w:rPr>
          <w:rFonts w:hint="cs"/>
          <w:rtl/>
        </w:rPr>
        <w:t>ي ليس حج</w:t>
      </w:r>
      <w:r w:rsidR="00F71285" w:rsidRPr="00282AC9">
        <w:rPr>
          <w:rFonts w:hint="cs"/>
          <w:rtl/>
        </w:rPr>
        <w:t>ّ</w:t>
      </w:r>
      <w:r w:rsidRPr="00282AC9">
        <w:rPr>
          <w:rFonts w:hint="cs"/>
          <w:rtl/>
        </w:rPr>
        <w:t>ة</w:t>
      </w:r>
      <w:r w:rsidR="00F71285" w:rsidRPr="00282AC9">
        <w:rPr>
          <w:rFonts w:hint="cs"/>
          <w:rtl/>
        </w:rPr>
        <w:t>ً</w:t>
      </w:r>
      <w:r w:rsidRPr="00282AC9">
        <w:rPr>
          <w:rFonts w:hint="cs"/>
          <w:rtl/>
        </w:rPr>
        <w:t>، وإنما الحج</w:t>
      </w:r>
      <w:r w:rsidR="00F71285" w:rsidRPr="00282AC9">
        <w:rPr>
          <w:rFonts w:hint="cs"/>
          <w:rtl/>
        </w:rPr>
        <w:t>ّ</w:t>
      </w:r>
      <w:r w:rsidRPr="00282AC9">
        <w:rPr>
          <w:rFonts w:hint="cs"/>
          <w:rtl/>
        </w:rPr>
        <w:t>ة هو الخبر الموثوق نوعاً</w:t>
      </w:r>
      <w:r w:rsidR="00F71285" w:rsidRPr="00282AC9">
        <w:rPr>
          <w:rFonts w:hint="cs"/>
          <w:rtl/>
        </w:rPr>
        <w:t>.</w:t>
      </w:r>
      <w:r w:rsidRPr="00282AC9">
        <w:rPr>
          <w:rFonts w:hint="cs"/>
          <w:rtl/>
        </w:rPr>
        <w:t xml:space="preserve"> وهذا ليس خارجاً على نحو التخصيص من تحت أدل</w:t>
      </w:r>
      <w:r w:rsidR="00F71285" w:rsidRPr="00282AC9">
        <w:rPr>
          <w:rFonts w:hint="cs"/>
          <w:rtl/>
        </w:rPr>
        <w:t>ّ</w:t>
      </w:r>
      <w:r w:rsidRPr="00282AC9">
        <w:rPr>
          <w:rFonts w:hint="cs"/>
          <w:rtl/>
        </w:rPr>
        <w:t>ة عدم حج</w:t>
      </w:r>
      <w:r w:rsidR="00F71285" w:rsidRPr="00282AC9">
        <w:rPr>
          <w:rFonts w:hint="cs"/>
          <w:rtl/>
        </w:rPr>
        <w:t>ّ</w:t>
      </w:r>
      <w:r w:rsidRPr="00282AC9">
        <w:rPr>
          <w:rFonts w:hint="cs"/>
          <w:rtl/>
        </w:rPr>
        <w:t>ية الظن</w:t>
      </w:r>
      <w:r w:rsidR="00F71285" w:rsidRPr="00282AC9">
        <w:rPr>
          <w:rFonts w:hint="cs"/>
          <w:rtl/>
        </w:rPr>
        <w:t>ّ</w:t>
      </w:r>
      <w:r w:rsidRPr="00282AC9">
        <w:rPr>
          <w:rFonts w:hint="cs"/>
          <w:rtl/>
        </w:rPr>
        <w:t>، وإنما خرج عنها تخص</w:t>
      </w:r>
      <w:r w:rsidR="00F71285" w:rsidRPr="00282AC9">
        <w:rPr>
          <w:rFonts w:hint="cs"/>
          <w:rtl/>
        </w:rPr>
        <w:t>ُّ</w:t>
      </w:r>
      <w:r w:rsidRPr="00282AC9">
        <w:rPr>
          <w:rFonts w:hint="cs"/>
          <w:rtl/>
        </w:rPr>
        <w:t>صاً</w:t>
      </w:r>
      <w:r w:rsidR="00F71285" w:rsidRPr="00282AC9">
        <w:rPr>
          <w:rFonts w:hint="cs"/>
          <w:rtl/>
        </w:rPr>
        <w:t>؛</w:t>
      </w:r>
      <w:r w:rsidRPr="00282AC9">
        <w:rPr>
          <w:rFonts w:hint="cs"/>
          <w:rtl/>
        </w:rPr>
        <w:t xml:space="preserve"> لأن الوثوق علم</w:t>
      </w:r>
      <w:r w:rsidR="00F71285" w:rsidRPr="00282AC9">
        <w:rPr>
          <w:rFonts w:hint="cs"/>
          <w:rtl/>
        </w:rPr>
        <w:t>ٌ</w:t>
      </w:r>
      <w:r w:rsidRPr="00282AC9">
        <w:rPr>
          <w:rFonts w:hint="cs"/>
          <w:rtl/>
        </w:rPr>
        <w:t xml:space="preserve"> في نظر الع</w:t>
      </w:r>
      <w:r w:rsidR="00F71285" w:rsidRPr="00282AC9">
        <w:rPr>
          <w:rFonts w:hint="cs"/>
          <w:rtl/>
        </w:rPr>
        <w:t>ُ</w:t>
      </w:r>
      <w:r w:rsidRPr="00282AC9">
        <w:rPr>
          <w:rFonts w:hint="cs"/>
          <w:rtl/>
        </w:rPr>
        <w:t>ر</w:t>
      </w:r>
      <w:r w:rsidR="00F71285" w:rsidRPr="00282AC9">
        <w:rPr>
          <w:rFonts w:hint="cs"/>
          <w:rtl/>
        </w:rPr>
        <w:t>ْ</w:t>
      </w:r>
      <w:r w:rsidRPr="00282AC9">
        <w:rPr>
          <w:rFonts w:hint="cs"/>
          <w:rtl/>
        </w:rPr>
        <w:t>ف</w:t>
      </w:r>
      <w:r w:rsidR="00F71285" w:rsidRPr="00282AC9">
        <w:rPr>
          <w:rFonts w:hint="cs"/>
          <w:rtl/>
        </w:rPr>
        <w:t>.</w:t>
      </w:r>
      <w:r w:rsidRPr="00282AC9">
        <w:rPr>
          <w:rFonts w:hint="cs"/>
          <w:rtl/>
        </w:rPr>
        <w:t xml:space="preserve"> ولو تغاضينا وتنز</w:t>
      </w:r>
      <w:r w:rsidR="00F71285" w:rsidRPr="00282AC9">
        <w:rPr>
          <w:rFonts w:hint="cs"/>
          <w:rtl/>
        </w:rPr>
        <w:t>َّ</w:t>
      </w:r>
      <w:r w:rsidRPr="00282AC9">
        <w:rPr>
          <w:rFonts w:hint="cs"/>
          <w:rtl/>
        </w:rPr>
        <w:t>لنا وقلنا بالتخصيص الأو</w:t>
      </w:r>
      <w:r w:rsidR="00F71285" w:rsidRPr="00282AC9">
        <w:rPr>
          <w:rFonts w:hint="cs"/>
          <w:rtl/>
        </w:rPr>
        <w:t>ّ</w:t>
      </w:r>
      <w:r w:rsidRPr="00282AC9">
        <w:rPr>
          <w:rFonts w:hint="cs"/>
          <w:rtl/>
        </w:rPr>
        <w:t>ل، أعني خروج الخبر الظن</w:t>
      </w:r>
      <w:r w:rsidR="00F71285" w:rsidRPr="00282AC9">
        <w:rPr>
          <w:rFonts w:hint="cs"/>
          <w:rtl/>
        </w:rPr>
        <w:t>ّ</w:t>
      </w:r>
      <w:r w:rsidRPr="00282AC9">
        <w:rPr>
          <w:rFonts w:hint="cs"/>
          <w:rtl/>
        </w:rPr>
        <w:t>ي من تحت أدلة النهي عن ات</w:t>
      </w:r>
      <w:r w:rsidR="00F71285" w:rsidRPr="00282AC9">
        <w:rPr>
          <w:rFonts w:hint="cs"/>
          <w:rtl/>
        </w:rPr>
        <w:t>ّ</w:t>
      </w:r>
      <w:r w:rsidRPr="00282AC9">
        <w:rPr>
          <w:rFonts w:hint="cs"/>
          <w:rtl/>
        </w:rPr>
        <w:t>باع الظن</w:t>
      </w:r>
      <w:r w:rsidR="00F71285" w:rsidRPr="00282AC9">
        <w:rPr>
          <w:rFonts w:hint="cs"/>
          <w:rtl/>
        </w:rPr>
        <w:t>ّ</w:t>
      </w:r>
      <w:r w:rsidRPr="00282AC9">
        <w:rPr>
          <w:rFonts w:hint="cs"/>
          <w:rtl/>
        </w:rPr>
        <w:t>، فمن الصعوبة بمكان أن نوافق على الاستثناء الثاني</w:t>
      </w:r>
      <w:r w:rsidR="00F71285" w:rsidRPr="00282AC9">
        <w:rPr>
          <w:rFonts w:hint="cs"/>
          <w:rtl/>
        </w:rPr>
        <w:t>؛</w:t>
      </w:r>
      <w:r w:rsidRPr="00282AC9">
        <w:rPr>
          <w:rFonts w:hint="cs"/>
          <w:rtl/>
        </w:rPr>
        <w:t xml:space="preserve"> فهو أشد</w:t>
      </w:r>
      <w:r w:rsidR="00F71285" w:rsidRPr="00282AC9">
        <w:rPr>
          <w:rFonts w:hint="cs"/>
          <w:rtl/>
        </w:rPr>
        <w:t>ّ</w:t>
      </w:r>
      <w:r w:rsidR="001C0831" w:rsidRPr="00282AC9">
        <w:rPr>
          <w:rFonts w:hint="cs"/>
          <w:rtl/>
        </w:rPr>
        <w:t xml:space="preserve"> مؤونة من الاستثناء الأوّل؛ لأنه</w:t>
      </w:r>
      <w:r w:rsidRPr="00282AC9">
        <w:rPr>
          <w:rFonts w:hint="cs"/>
          <w:rtl/>
        </w:rPr>
        <w:t xml:space="preserve"> </w:t>
      </w:r>
      <w:r w:rsidR="001C0831" w:rsidRPr="00282AC9">
        <w:rPr>
          <w:rFonts w:hint="cs"/>
          <w:rtl/>
        </w:rPr>
        <w:t xml:space="preserve">قد يُقال بأن سيرة العقلاء جرَتْ على </w:t>
      </w:r>
      <w:r w:rsidRPr="00282AC9">
        <w:rPr>
          <w:rFonts w:hint="cs"/>
          <w:rtl/>
        </w:rPr>
        <w:t>الاستثناء الأو</w:t>
      </w:r>
      <w:r w:rsidR="00F71285" w:rsidRPr="00282AC9">
        <w:rPr>
          <w:rFonts w:hint="cs"/>
          <w:rtl/>
        </w:rPr>
        <w:t>ّ</w:t>
      </w:r>
      <w:r w:rsidRPr="00282AC9">
        <w:rPr>
          <w:rFonts w:hint="cs"/>
          <w:rtl/>
        </w:rPr>
        <w:t>ل ـ أعني حج</w:t>
      </w:r>
      <w:r w:rsidR="00F71285" w:rsidRPr="00282AC9">
        <w:rPr>
          <w:rFonts w:hint="cs"/>
          <w:rtl/>
        </w:rPr>
        <w:t>ّ</w:t>
      </w:r>
      <w:r w:rsidRPr="00282AC9">
        <w:rPr>
          <w:rFonts w:hint="cs"/>
          <w:rtl/>
        </w:rPr>
        <w:t>ية الخبر الظن</w:t>
      </w:r>
      <w:r w:rsidR="00F71285" w:rsidRPr="00282AC9">
        <w:rPr>
          <w:rFonts w:hint="cs"/>
          <w:rtl/>
        </w:rPr>
        <w:t>ّ</w:t>
      </w:r>
      <w:r w:rsidRPr="00282AC9">
        <w:rPr>
          <w:rFonts w:hint="cs"/>
          <w:rtl/>
        </w:rPr>
        <w:t>ي الصحيح ـ، أو أنه بدون الأخذ به يلزم انمحاء الدين</w:t>
      </w:r>
      <w:r w:rsidRPr="00282AC9">
        <w:rPr>
          <w:vertAlign w:val="superscript"/>
          <w:rtl/>
        </w:rPr>
        <w:t>(</w:t>
      </w:r>
      <w:r w:rsidRPr="00282AC9">
        <w:rPr>
          <w:vertAlign w:val="superscript"/>
          <w:rtl/>
        </w:rPr>
        <w:endnoteReference w:id="162"/>
      </w:r>
      <w:r w:rsidRPr="00282AC9">
        <w:rPr>
          <w:vertAlign w:val="superscript"/>
          <w:rtl/>
        </w:rPr>
        <w:t>)</w:t>
      </w:r>
      <w:r w:rsidR="001C0831" w:rsidRPr="00282AC9">
        <w:rPr>
          <w:rFonts w:hint="cs"/>
          <w:rtl/>
        </w:rPr>
        <w:t>،</w:t>
      </w:r>
      <w:r w:rsidRPr="00282AC9">
        <w:rPr>
          <w:rFonts w:hint="cs"/>
          <w:rtl/>
        </w:rPr>
        <w:t xml:space="preserve"> وهذا لا يجري في الاستثناء الثاني</w:t>
      </w:r>
      <w:r w:rsidR="001C0831" w:rsidRPr="00282AC9">
        <w:rPr>
          <w:rFonts w:hint="cs"/>
          <w:rtl/>
        </w:rPr>
        <w:t>؛ إذ لا حاجة تفرضه، بل إن</w:t>
      </w:r>
      <w:r w:rsidRPr="00282AC9">
        <w:rPr>
          <w:rFonts w:hint="cs"/>
          <w:rtl/>
        </w:rPr>
        <w:t>ه قد ت</w:t>
      </w:r>
      <w:r w:rsidR="001C0831" w:rsidRPr="00282AC9">
        <w:rPr>
          <w:rFonts w:hint="cs"/>
          <w:rtl/>
        </w:rPr>
        <w:t>ت</w:t>
      </w:r>
      <w:r w:rsidRPr="00282AC9">
        <w:rPr>
          <w:rFonts w:hint="cs"/>
          <w:rtl/>
        </w:rPr>
        <w:t>رت</w:t>
      </w:r>
      <w:r w:rsidR="001C0831" w:rsidRPr="00282AC9">
        <w:rPr>
          <w:rFonts w:hint="cs"/>
          <w:rtl/>
        </w:rPr>
        <w:t>َّ</w:t>
      </w:r>
      <w:r w:rsidRPr="00282AC9">
        <w:rPr>
          <w:rFonts w:hint="cs"/>
          <w:rtl/>
        </w:rPr>
        <w:t>ب عليه الكثير من النتائج السلبي</w:t>
      </w:r>
      <w:r w:rsidR="001C0831" w:rsidRPr="00282AC9">
        <w:rPr>
          <w:rFonts w:hint="cs"/>
          <w:rtl/>
        </w:rPr>
        <w:t>ّ</w:t>
      </w:r>
      <w:r w:rsidRPr="00282AC9">
        <w:rPr>
          <w:rFonts w:hint="cs"/>
          <w:rtl/>
        </w:rPr>
        <w:t xml:space="preserve">ة، كما سنرى. </w:t>
      </w:r>
    </w:p>
    <w:p w:rsidR="0098597F" w:rsidRPr="00282AC9" w:rsidRDefault="0098597F" w:rsidP="00007590">
      <w:pPr>
        <w:rPr>
          <w:rtl/>
        </w:rPr>
      </w:pPr>
      <w:r w:rsidRPr="00282AC9">
        <w:rPr>
          <w:rFonts w:hint="cs"/>
          <w:rtl/>
        </w:rPr>
        <w:t>وثم</w:t>
      </w:r>
      <w:r w:rsidR="001C0831" w:rsidRPr="00282AC9">
        <w:rPr>
          <w:rFonts w:hint="cs"/>
          <w:rtl/>
        </w:rPr>
        <w:t>ّ</w:t>
      </w:r>
      <w:r w:rsidRPr="00282AC9">
        <w:rPr>
          <w:rFonts w:hint="cs"/>
          <w:rtl/>
        </w:rPr>
        <w:t>ة معضلة</w:t>
      </w:r>
      <w:r w:rsidR="001C0831" w:rsidRPr="00282AC9">
        <w:rPr>
          <w:rFonts w:hint="cs"/>
          <w:rtl/>
        </w:rPr>
        <w:t>ٌ</w:t>
      </w:r>
      <w:r w:rsidRPr="00282AC9">
        <w:rPr>
          <w:vertAlign w:val="superscript"/>
          <w:rtl/>
        </w:rPr>
        <w:t>(</w:t>
      </w:r>
      <w:r w:rsidRPr="00282AC9">
        <w:rPr>
          <w:vertAlign w:val="superscript"/>
          <w:rtl/>
        </w:rPr>
        <w:endnoteReference w:id="163"/>
      </w:r>
      <w:r w:rsidRPr="00282AC9">
        <w:rPr>
          <w:vertAlign w:val="superscript"/>
          <w:rtl/>
        </w:rPr>
        <w:t>)</w:t>
      </w:r>
      <w:r w:rsidRPr="00282AC9">
        <w:rPr>
          <w:rFonts w:hint="cs"/>
          <w:rtl/>
        </w:rPr>
        <w:t xml:space="preserve"> ثانية</w:t>
      </w:r>
      <w:r w:rsidR="001C0831" w:rsidRPr="00282AC9">
        <w:rPr>
          <w:rFonts w:hint="cs"/>
          <w:rtl/>
        </w:rPr>
        <w:t>ٌ</w:t>
      </w:r>
      <w:r w:rsidRPr="00282AC9">
        <w:rPr>
          <w:rFonts w:hint="cs"/>
          <w:rtl/>
        </w:rPr>
        <w:t xml:space="preserve"> تواجه الاستثناء الثاني، وهو أنه ينافي ـ بالإضافة إلى عمومات النهي عن ات</w:t>
      </w:r>
      <w:r w:rsidR="001C0831" w:rsidRPr="00282AC9">
        <w:rPr>
          <w:rFonts w:hint="cs"/>
          <w:rtl/>
        </w:rPr>
        <w:t>ّ</w:t>
      </w:r>
      <w:r w:rsidRPr="00282AC9">
        <w:rPr>
          <w:rFonts w:hint="cs"/>
          <w:rtl/>
        </w:rPr>
        <w:t>باع الظن</w:t>
      </w:r>
      <w:r w:rsidR="001C0831" w:rsidRPr="00282AC9">
        <w:rPr>
          <w:rFonts w:hint="cs"/>
          <w:rtl/>
        </w:rPr>
        <w:t>ّ</w:t>
      </w:r>
      <w:r w:rsidRPr="00282AC9">
        <w:rPr>
          <w:rFonts w:hint="cs"/>
          <w:rtl/>
        </w:rPr>
        <w:t xml:space="preserve"> ـ منطوق</w:t>
      </w:r>
      <w:r w:rsidR="001C0831" w:rsidRPr="00282AC9">
        <w:rPr>
          <w:rFonts w:hint="cs"/>
          <w:rtl/>
        </w:rPr>
        <w:t>َ</w:t>
      </w:r>
      <w:r w:rsidRPr="00282AC9">
        <w:rPr>
          <w:rFonts w:hint="cs"/>
          <w:rtl/>
        </w:rPr>
        <w:t xml:space="preserve"> قوله تعالى: </w:t>
      </w:r>
      <w:r w:rsidR="00007590" w:rsidRPr="00282AC9">
        <w:rPr>
          <w:rFonts w:ascii="Mosawi" w:hAnsi="Mosawi" w:cs="Mosawi"/>
          <w:sz w:val="24"/>
          <w:szCs w:val="24"/>
          <w:rtl/>
        </w:rPr>
        <w:t>﴿</w:t>
      </w:r>
      <w:r w:rsidRPr="00282AC9">
        <w:rPr>
          <w:b/>
          <w:bCs/>
          <w:rtl/>
        </w:rPr>
        <w:t>يَا أَيُّهَا الَّذِينَ آَمَنُوا إِنْ جَاءَكُمْ فَاسِقٌ بِنَبَأٍ فَتَبَيَّنُوا أَنْ تُصِيبُوا قَوْماً بِجَهَالَةٍ فَتُصْبِحُوا عَلَى مَا فَعَلْتُمْ نَادِمِينَ</w:t>
      </w:r>
      <w:r w:rsidR="00007590" w:rsidRPr="00282AC9">
        <w:rPr>
          <w:rFonts w:ascii="Mosawi" w:hAnsi="Mosawi" w:cs="Mosawi"/>
          <w:sz w:val="24"/>
          <w:szCs w:val="24"/>
          <w:rtl/>
        </w:rPr>
        <w:t>﴾</w:t>
      </w:r>
      <w:r w:rsidRPr="00282AC9">
        <w:rPr>
          <w:rFonts w:hint="cs"/>
          <w:rtl/>
        </w:rPr>
        <w:t xml:space="preserve"> (الحجرات: 6)، والأمر بالتبين إرشاد</w:t>
      </w:r>
      <w:r w:rsidR="001C0831" w:rsidRPr="00282AC9">
        <w:rPr>
          <w:rFonts w:hint="cs"/>
          <w:rtl/>
        </w:rPr>
        <w:t>ٌ</w:t>
      </w:r>
      <w:r w:rsidRPr="00282AC9">
        <w:rPr>
          <w:rFonts w:hint="cs"/>
          <w:rtl/>
        </w:rPr>
        <w:t xml:space="preserve"> إلى عدم حج</w:t>
      </w:r>
      <w:r w:rsidR="001C0831" w:rsidRPr="00282AC9">
        <w:rPr>
          <w:rFonts w:hint="cs"/>
          <w:rtl/>
        </w:rPr>
        <w:t>ّ</w:t>
      </w:r>
      <w:r w:rsidRPr="00282AC9">
        <w:rPr>
          <w:rFonts w:hint="cs"/>
          <w:rtl/>
        </w:rPr>
        <w:t>ية خبر الفاسق، فيكون الأخذ به في المستحب</w:t>
      </w:r>
      <w:r w:rsidR="001C0831" w:rsidRPr="00282AC9">
        <w:rPr>
          <w:rFonts w:hint="cs"/>
          <w:rtl/>
        </w:rPr>
        <w:t>ّ</w:t>
      </w:r>
      <w:r w:rsidRPr="00282AC9">
        <w:rPr>
          <w:rFonts w:hint="cs"/>
          <w:rtl/>
        </w:rPr>
        <w:t>ات مستلزماً لتخصيص</w:t>
      </w:r>
      <w:r w:rsidR="001C0831" w:rsidRPr="00282AC9">
        <w:rPr>
          <w:rFonts w:hint="cs"/>
          <w:rtl/>
        </w:rPr>
        <w:t>ٍ</w:t>
      </w:r>
      <w:r w:rsidRPr="00282AC9">
        <w:rPr>
          <w:rFonts w:hint="cs"/>
          <w:rtl/>
        </w:rPr>
        <w:t xml:space="preserve"> آخر لعام</w:t>
      </w:r>
      <w:r w:rsidR="001C0831" w:rsidRPr="00282AC9">
        <w:rPr>
          <w:rFonts w:hint="cs"/>
          <w:rtl/>
        </w:rPr>
        <w:t>ٍّ</w:t>
      </w:r>
      <w:r w:rsidRPr="00282AC9">
        <w:rPr>
          <w:rFonts w:hint="cs"/>
          <w:rtl/>
        </w:rPr>
        <w:t xml:space="preserve"> قرآني. وهذا ما يجعل الوثوق بهذا التخصيص أشد</w:t>
      </w:r>
      <w:r w:rsidR="001C0831" w:rsidRPr="00282AC9">
        <w:rPr>
          <w:rFonts w:hint="cs"/>
          <w:rtl/>
        </w:rPr>
        <w:t>ّ</w:t>
      </w:r>
      <w:r w:rsidRPr="00282AC9">
        <w:rPr>
          <w:rFonts w:hint="cs"/>
          <w:rtl/>
        </w:rPr>
        <w:t xml:space="preserve"> مؤنة من الاستثناء الأو</w:t>
      </w:r>
      <w:r w:rsidR="001C0831" w:rsidRPr="00282AC9">
        <w:rPr>
          <w:rFonts w:hint="cs"/>
          <w:rtl/>
        </w:rPr>
        <w:t>ّ</w:t>
      </w:r>
      <w:r w:rsidRPr="00282AC9">
        <w:rPr>
          <w:rFonts w:hint="cs"/>
          <w:rtl/>
        </w:rPr>
        <w:t>ل. اللهم</w:t>
      </w:r>
      <w:r w:rsidR="001C0831" w:rsidRPr="00282AC9">
        <w:rPr>
          <w:rFonts w:hint="cs"/>
          <w:rtl/>
        </w:rPr>
        <w:t>ّ</w:t>
      </w:r>
      <w:r w:rsidRPr="00282AC9">
        <w:rPr>
          <w:rFonts w:hint="cs"/>
          <w:rtl/>
        </w:rPr>
        <w:t xml:space="preserve"> إلا</w:t>
      </w:r>
      <w:r w:rsidR="001C0831" w:rsidRPr="00282AC9">
        <w:rPr>
          <w:rFonts w:hint="cs"/>
          <w:rtl/>
        </w:rPr>
        <w:t>ّ</w:t>
      </w:r>
      <w:r w:rsidRPr="00282AC9">
        <w:rPr>
          <w:rFonts w:hint="cs"/>
          <w:rtl/>
        </w:rPr>
        <w:t xml:space="preserve"> أن ي</w:t>
      </w:r>
      <w:r w:rsidR="00A978D3" w:rsidRPr="00282AC9">
        <w:rPr>
          <w:rFonts w:hint="cs"/>
          <w:rtl/>
        </w:rPr>
        <w:t>ُ</w:t>
      </w:r>
      <w:r w:rsidRPr="00282AC9">
        <w:rPr>
          <w:rFonts w:hint="cs"/>
          <w:rtl/>
        </w:rPr>
        <w:t>قال: إن التعليل الوارد في الآية يؤش</w:t>
      </w:r>
      <w:r w:rsidR="00A978D3" w:rsidRPr="00282AC9">
        <w:rPr>
          <w:rFonts w:hint="cs"/>
          <w:rtl/>
        </w:rPr>
        <w:t>ِّ</w:t>
      </w:r>
      <w:r w:rsidRPr="00282AC9">
        <w:rPr>
          <w:rFonts w:hint="cs"/>
          <w:rtl/>
        </w:rPr>
        <w:t>ر إلى نظرها إلى الأحكام الإلزامي</w:t>
      </w:r>
      <w:r w:rsidR="00A978D3" w:rsidRPr="00282AC9">
        <w:rPr>
          <w:rFonts w:hint="cs"/>
          <w:rtl/>
        </w:rPr>
        <w:t>ّ</w:t>
      </w:r>
      <w:r w:rsidRPr="00282AC9">
        <w:rPr>
          <w:rFonts w:hint="cs"/>
          <w:rtl/>
        </w:rPr>
        <w:t>ة، دون المباحات بالمعنى الأعم</w:t>
      </w:r>
      <w:r w:rsidR="00A978D3" w:rsidRPr="00282AC9">
        <w:rPr>
          <w:rFonts w:hint="cs"/>
          <w:rtl/>
        </w:rPr>
        <w:t>ّ؛</w:t>
      </w:r>
      <w:r w:rsidRPr="00282AC9">
        <w:rPr>
          <w:rFonts w:hint="cs"/>
          <w:rtl/>
        </w:rPr>
        <w:t xml:space="preserve"> لأنّ هذه لا يترت</w:t>
      </w:r>
      <w:r w:rsidR="00A978D3" w:rsidRPr="00282AC9">
        <w:rPr>
          <w:rFonts w:hint="cs"/>
          <w:rtl/>
        </w:rPr>
        <w:t>َّ</w:t>
      </w:r>
      <w:r w:rsidRPr="00282AC9">
        <w:rPr>
          <w:rFonts w:hint="cs"/>
          <w:rtl/>
        </w:rPr>
        <w:t>ب على تركها أو الخطأ فيها ندامة</w:t>
      </w:r>
      <w:r w:rsidR="00A978D3" w:rsidRPr="00282AC9">
        <w:rPr>
          <w:rFonts w:hint="cs"/>
          <w:rtl/>
        </w:rPr>
        <w:t>ٌ</w:t>
      </w:r>
      <w:r w:rsidRPr="00282AC9">
        <w:rPr>
          <w:rFonts w:hint="cs"/>
          <w:rtl/>
        </w:rPr>
        <w:t>.</w:t>
      </w:r>
    </w:p>
    <w:p w:rsidR="0098597F" w:rsidRPr="00282AC9" w:rsidRDefault="0098597F" w:rsidP="004F097E">
      <w:pPr>
        <w:rPr>
          <w:rtl/>
        </w:rPr>
      </w:pPr>
      <w:r w:rsidRPr="00282AC9">
        <w:rPr>
          <w:rFonts w:hint="cs"/>
          <w:b/>
          <w:bCs/>
          <w:rtl/>
        </w:rPr>
        <w:t>ثانياً</w:t>
      </w:r>
      <w:r w:rsidRPr="00282AC9">
        <w:rPr>
          <w:rFonts w:hint="cs"/>
          <w:rtl/>
        </w:rPr>
        <w:t xml:space="preserve">: ذكر بعض العلماء </w:t>
      </w:r>
      <w:r w:rsidRPr="00282AC9">
        <w:rPr>
          <w:rtl/>
        </w:rPr>
        <w:t>أن</w:t>
      </w:r>
      <w:r w:rsidRPr="00282AC9">
        <w:rPr>
          <w:rFonts w:hint="cs"/>
          <w:rtl/>
        </w:rPr>
        <w:t>ّ</w:t>
      </w:r>
      <w:r w:rsidRPr="00282AC9">
        <w:rPr>
          <w:rtl/>
        </w:rPr>
        <w:t xml:space="preserve"> القول بالاستحباب</w:t>
      </w:r>
      <w:r w:rsidR="00A978D3" w:rsidRPr="00282AC9">
        <w:rPr>
          <w:rFonts w:hint="cs"/>
          <w:rtl/>
        </w:rPr>
        <w:t>،</w:t>
      </w:r>
      <w:r w:rsidRPr="00282AC9">
        <w:rPr>
          <w:rtl/>
        </w:rPr>
        <w:t xml:space="preserve"> استناداً إلى أدل</w:t>
      </w:r>
      <w:r w:rsidR="00A978D3" w:rsidRPr="00282AC9">
        <w:rPr>
          <w:rFonts w:hint="cs"/>
          <w:rtl/>
        </w:rPr>
        <w:t>ّ</w:t>
      </w:r>
      <w:r w:rsidRPr="00282AC9">
        <w:rPr>
          <w:rtl/>
        </w:rPr>
        <w:t xml:space="preserve">ة </w:t>
      </w:r>
      <w:r w:rsidR="00A978D3" w:rsidRPr="00282AC9">
        <w:rPr>
          <w:rFonts w:hint="eastAsia"/>
          <w:sz w:val="24"/>
          <w:szCs w:val="24"/>
          <w:rtl/>
        </w:rPr>
        <w:t>«</w:t>
      </w:r>
      <w:r w:rsidRPr="00282AC9">
        <w:rPr>
          <w:rtl/>
        </w:rPr>
        <w:t>م</w:t>
      </w:r>
      <w:r w:rsidR="00A978D3" w:rsidRPr="00282AC9">
        <w:rPr>
          <w:rFonts w:hint="cs"/>
          <w:rtl/>
        </w:rPr>
        <w:t>َ</w:t>
      </w:r>
      <w:r w:rsidRPr="00282AC9">
        <w:rPr>
          <w:rtl/>
        </w:rPr>
        <w:t>ن</w:t>
      </w:r>
      <w:r w:rsidR="00A978D3" w:rsidRPr="00282AC9">
        <w:rPr>
          <w:rFonts w:hint="cs"/>
          <w:rtl/>
        </w:rPr>
        <w:t>ْ</w:t>
      </w:r>
      <w:r w:rsidRPr="00282AC9">
        <w:rPr>
          <w:rtl/>
        </w:rPr>
        <w:t xml:space="preserve"> بلغ</w:t>
      </w:r>
      <w:r w:rsidR="00A978D3" w:rsidRPr="00282AC9">
        <w:rPr>
          <w:rFonts w:hint="eastAsia"/>
          <w:sz w:val="24"/>
          <w:szCs w:val="24"/>
          <w:rtl/>
        </w:rPr>
        <w:t>»</w:t>
      </w:r>
      <w:r w:rsidRPr="00282AC9">
        <w:rPr>
          <w:rtl/>
        </w:rPr>
        <w:t xml:space="preserve"> وقاعدة التسامح منافٍ لما دلّ على حرمة الكذب</w:t>
      </w:r>
      <w:r w:rsidRPr="00282AC9">
        <w:rPr>
          <w:vertAlign w:val="superscript"/>
          <w:rtl/>
        </w:rPr>
        <w:t>(</w:t>
      </w:r>
      <w:r w:rsidRPr="00282AC9">
        <w:rPr>
          <w:vertAlign w:val="superscript"/>
          <w:rtl/>
        </w:rPr>
        <w:endnoteReference w:id="164"/>
      </w:r>
      <w:r w:rsidRPr="00282AC9">
        <w:rPr>
          <w:vertAlign w:val="superscript"/>
          <w:rtl/>
        </w:rPr>
        <w:t>)</w:t>
      </w:r>
      <w:r w:rsidRPr="00282AC9">
        <w:rPr>
          <w:rtl/>
        </w:rPr>
        <w:t xml:space="preserve"> على الله</w:t>
      </w:r>
      <w:r w:rsidRPr="00282AC9">
        <w:rPr>
          <w:rFonts w:hint="cs"/>
          <w:rtl/>
        </w:rPr>
        <w:t xml:space="preserve"> تعالى</w:t>
      </w:r>
      <w:r w:rsidR="00A978D3" w:rsidRPr="00282AC9">
        <w:rPr>
          <w:rFonts w:hint="cs"/>
          <w:rtl/>
        </w:rPr>
        <w:t>:</w:t>
      </w:r>
      <w:r w:rsidRPr="00282AC9">
        <w:rPr>
          <w:rtl/>
        </w:rPr>
        <w:t xml:space="preserve"> </w:t>
      </w:r>
      <w:r w:rsidR="00007590" w:rsidRPr="00282AC9">
        <w:rPr>
          <w:rFonts w:ascii="Mosawi" w:hAnsi="Mosawi" w:cs="Mosawi"/>
          <w:sz w:val="24"/>
          <w:szCs w:val="24"/>
          <w:rtl/>
        </w:rPr>
        <w:t>﴿</w:t>
      </w:r>
      <w:r w:rsidRPr="00282AC9">
        <w:rPr>
          <w:b/>
          <w:bCs/>
          <w:rtl/>
        </w:rPr>
        <w:t>آلله</w:t>
      </w:r>
      <w:r w:rsidRPr="00282AC9">
        <w:rPr>
          <w:rFonts w:hint="cs"/>
          <w:b/>
          <w:bCs/>
          <w:rtl/>
        </w:rPr>
        <w:t>ُ</w:t>
      </w:r>
      <w:r w:rsidRPr="00282AC9">
        <w:rPr>
          <w:b/>
          <w:bCs/>
          <w:rtl/>
        </w:rPr>
        <w:t xml:space="preserve"> أ</w:t>
      </w:r>
      <w:r w:rsidRPr="00282AC9">
        <w:rPr>
          <w:rFonts w:hint="cs"/>
          <w:b/>
          <w:bCs/>
          <w:rtl/>
        </w:rPr>
        <w:t>َ</w:t>
      </w:r>
      <w:r w:rsidRPr="00282AC9">
        <w:rPr>
          <w:b/>
          <w:bCs/>
          <w:rtl/>
        </w:rPr>
        <w:t>ذ</w:t>
      </w:r>
      <w:r w:rsidRPr="00282AC9">
        <w:rPr>
          <w:rFonts w:hint="cs"/>
          <w:b/>
          <w:bCs/>
          <w:rtl/>
        </w:rPr>
        <w:t>ِ</w:t>
      </w:r>
      <w:r w:rsidRPr="00282AC9">
        <w:rPr>
          <w:b/>
          <w:bCs/>
          <w:rtl/>
        </w:rPr>
        <w:t>ن</w:t>
      </w:r>
      <w:r w:rsidRPr="00282AC9">
        <w:rPr>
          <w:rFonts w:hint="cs"/>
          <w:b/>
          <w:bCs/>
          <w:rtl/>
        </w:rPr>
        <w:t>َ</w:t>
      </w:r>
      <w:r w:rsidRPr="00282AC9">
        <w:rPr>
          <w:b/>
          <w:bCs/>
          <w:rtl/>
        </w:rPr>
        <w:t xml:space="preserve"> ل</w:t>
      </w:r>
      <w:r w:rsidRPr="00282AC9">
        <w:rPr>
          <w:rFonts w:hint="cs"/>
          <w:b/>
          <w:bCs/>
          <w:rtl/>
        </w:rPr>
        <w:t>َ</w:t>
      </w:r>
      <w:r w:rsidRPr="00282AC9">
        <w:rPr>
          <w:b/>
          <w:bCs/>
          <w:rtl/>
        </w:rPr>
        <w:t>ك</w:t>
      </w:r>
      <w:r w:rsidRPr="00282AC9">
        <w:rPr>
          <w:rFonts w:hint="cs"/>
          <w:b/>
          <w:bCs/>
          <w:rtl/>
        </w:rPr>
        <w:t>ُ</w:t>
      </w:r>
      <w:r w:rsidRPr="00282AC9">
        <w:rPr>
          <w:b/>
          <w:bCs/>
          <w:rtl/>
        </w:rPr>
        <w:t>م</w:t>
      </w:r>
      <w:r w:rsidRPr="00282AC9">
        <w:rPr>
          <w:rFonts w:hint="cs"/>
          <w:b/>
          <w:bCs/>
          <w:rtl/>
        </w:rPr>
        <w:t>ْ</w:t>
      </w:r>
      <w:r w:rsidRPr="00282AC9">
        <w:rPr>
          <w:b/>
          <w:bCs/>
          <w:rtl/>
        </w:rPr>
        <w:t xml:space="preserve"> أ</w:t>
      </w:r>
      <w:r w:rsidRPr="00282AC9">
        <w:rPr>
          <w:rFonts w:hint="cs"/>
          <w:b/>
          <w:bCs/>
          <w:rtl/>
        </w:rPr>
        <w:t>َ</w:t>
      </w:r>
      <w:r w:rsidRPr="00282AC9">
        <w:rPr>
          <w:b/>
          <w:bCs/>
          <w:rtl/>
        </w:rPr>
        <w:t>م</w:t>
      </w:r>
      <w:r w:rsidRPr="00282AC9">
        <w:rPr>
          <w:rFonts w:hint="cs"/>
          <w:b/>
          <w:bCs/>
          <w:rtl/>
        </w:rPr>
        <w:t>ْ</w:t>
      </w:r>
      <w:r w:rsidRPr="00282AC9">
        <w:rPr>
          <w:b/>
          <w:bCs/>
          <w:rtl/>
        </w:rPr>
        <w:t xml:space="preserve"> ع</w:t>
      </w:r>
      <w:r w:rsidRPr="00282AC9">
        <w:rPr>
          <w:rFonts w:hint="cs"/>
          <w:b/>
          <w:bCs/>
          <w:rtl/>
        </w:rPr>
        <w:t>َ</w:t>
      </w:r>
      <w:r w:rsidRPr="00282AC9">
        <w:rPr>
          <w:b/>
          <w:bCs/>
          <w:rtl/>
        </w:rPr>
        <w:t>ل</w:t>
      </w:r>
      <w:r w:rsidRPr="00282AC9">
        <w:rPr>
          <w:rFonts w:hint="cs"/>
          <w:b/>
          <w:bCs/>
          <w:rtl/>
        </w:rPr>
        <w:t>َ</w:t>
      </w:r>
      <w:r w:rsidRPr="00282AC9">
        <w:rPr>
          <w:b/>
          <w:bCs/>
          <w:rtl/>
        </w:rPr>
        <w:t>ى الله</w:t>
      </w:r>
      <w:r w:rsidRPr="00282AC9">
        <w:rPr>
          <w:rFonts w:hint="cs"/>
          <w:b/>
          <w:bCs/>
          <w:rtl/>
        </w:rPr>
        <w:t>ِ</w:t>
      </w:r>
      <w:r w:rsidRPr="00282AC9">
        <w:rPr>
          <w:b/>
          <w:bCs/>
          <w:rtl/>
        </w:rPr>
        <w:t xml:space="preserve"> ت</w:t>
      </w:r>
      <w:r w:rsidRPr="00282AC9">
        <w:rPr>
          <w:rFonts w:hint="cs"/>
          <w:b/>
          <w:bCs/>
          <w:rtl/>
        </w:rPr>
        <w:t>َ</w:t>
      </w:r>
      <w:r w:rsidRPr="00282AC9">
        <w:rPr>
          <w:b/>
          <w:bCs/>
          <w:rtl/>
        </w:rPr>
        <w:t>ف</w:t>
      </w:r>
      <w:r w:rsidRPr="00282AC9">
        <w:rPr>
          <w:rFonts w:hint="cs"/>
          <w:b/>
          <w:bCs/>
          <w:rtl/>
        </w:rPr>
        <w:t>ْ</w:t>
      </w:r>
      <w:r w:rsidRPr="00282AC9">
        <w:rPr>
          <w:b/>
          <w:bCs/>
          <w:rtl/>
        </w:rPr>
        <w:t>ت</w:t>
      </w:r>
      <w:r w:rsidRPr="00282AC9">
        <w:rPr>
          <w:rFonts w:hint="cs"/>
          <w:b/>
          <w:bCs/>
          <w:rtl/>
        </w:rPr>
        <w:t>َ</w:t>
      </w:r>
      <w:r w:rsidRPr="00282AC9">
        <w:rPr>
          <w:b/>
          <w:bCs/>
          <w:rtl/>
        </w:rPr>
        <w:t>ر</w:t>
      </w:r>
      <w:r w:rsidRPr="00282AC9">
        <w:rPr>
          <w:rFonts w:hint="cs"/>
          <w:b/>
          <w:bCs/>
          <w:rtl/>
        </w:rPr>
        <w:t>ُ</w:t>
      </w:r>
      <w:r w:rsidRPr="00282AC9">
        <w:rPr>
          <w:b/>
          <w:bCs/>
          <w:rtl/>
        </w:rPr>
        <w:t>ون</w:t>
      </w:r>
      <w:r w:rsidRPr="00282AC9">
        <w:rPr>
          <w:rFonts w:hint="cs"/>
          <w:b/>
          <w:bCs/>
          <w:rtl/>
        </w:rPr>
        <w:t>َ</w:t>
      </w:r>
      <w:r w:rsidR="004F097E" w:rsidRPr="00282AC9">
        <w:rPr>
          <w:rFonts w:ascii="Mosawi" w:hAnsi="Mosawi" w:cs="Mosawi"/>
          <w:sz w:val="24"/>
          <w:szCs w:val="24"/>
          <w:rtl/>
        </w:rPr>
        <w:t>﴾</w:t>
      </w:r>
      <w:r w:rsidRPr="00282AC9">
        <w:rPr>
          <w:rtl/>
        </w:rPr>
        <w:t xml:space="preserve"> (</w:t>
      </w:r>
      <w:r w:rsidRPr="00282AC9">
        <w:rPr>
          <w:rFonts w:hint="cs"/>
          <w:rtl/>
        </w:rPr>
        <w:t>يونس: 59</w:t>
      </w:r>
      <w:r w:rsidRPr="00282AC9">
        <w:rPr>
          <w:rtl/>
        </w:rPr>
        <w:t>).</w:t>
      </w:r>
    </w:p>
    <w:p w:rsidR="004B36D5" w:rsidRPr="00282AC9" w:rsidRDefault="0098597F" w:rsidP="00044604">
      <w:pPr>
        <w:rPr>
          <w:rtl/>
        </w:rPr>
      </w:pPr>
      <w:r w:rsidRPr="00282AC9">
        <w:rPr>
          <w:b/>
          <w:bCs/>
          <w:rtl/>
        </w:rPr>
        <w:lastRenderedPageBreak/>
        <w:t>و</w:t>
      </w:r>
      <w:r w:rsidRPr="00282AC9">
        <w:rPr>
          <w:rFonts w:hint="cs"/>
          <w:b/>
          <w:bCs/>
          <w:rtl/>
        </w:rPr>
        <w:t>ي</w:t>
      </w:r>
      <w:r w:rsidR="00A978D3" w:rsidRPr="00282AC9">
        <w:rPr>
          <w:rFonts w:hint="cs"/>
          <w:b/>
          <w:bCs/>
          <w:rtl/>
        </w:rPr>
        <w:t>ُ</w:t>
      </w:r>
      <w:r w:rsidRPr="00282AC9">
        <w:rPr>
          <w:rFonts w:hint="cs"/>
          <w:b/>
          <w:bCs/>
          <w:rtl/>
        </w:rPr>
        <w:t>لاح</w:t>
      </w:r>
      <w:r w:rsidR="00A978D3" w:rsidRPr="00282AC9">
        <w:rPr>
          <w:rFonts w:hint="cs"/>
          <w:b/>
          <w:bCs/>
          <w:rtl/>
        </w:rPr>
        <w:t>َ</w:t>
      </w:r>
      <w:r w:rsidRPr="00282AC9">
        <w:rPr>
          <w:rFonts w:hint="cs"/>
          <w:b/>
          <w:bCs/>
          <w:rtl/>
        </w:rPr>
        <w:t>ظ عليه</w:t>
      </w:r>
      <w:r w:rsidRPr="00282AC9">
        <w:rPr>
          <w:rtl/>
        </w:rPr>
        <w:t xml:space="preserve">: </w:t>
      </w:r>
      <w:r w:rsidR="00A978D3" w:rsidRPr="00282AC9">
        <w:rPr>
          <w:rFonts w:hint="cs"/>
          <w:rtl/>
        </w:rPr>
        <w:t>إ</w:t>
      </w:r>
      <w:r w:rsidRPr="00282AC9">
        <w:rPr>
          <w:rtl/>
        </w:rPr>
        <w:t>ن</w:t>
      </w:r>
      <w:r w:rsidRPr="00282AC9">
        <w:rPr>
          <w:rFonts w:hint="cs"/>
          <w:rtl/>
        </w:rPr>
        <w:t>ه ـ إذا لم يكن ناظراً في كلامه إلى ما ذكرناه في الوجه الأو</w:t>
      </w:r>
      <w:r w:rsidR="00A978D3" w:rsidRPr="00282AC9">
        <w:rPr>
          <w:rFonts w:hint="cs"/>
          <w:rtl/>
        </w:rPr>
        <w:t>ّ</w:t>
      </w:r>
      <w:r w:rsidRPr="00282AC9">
        <w:rPr>
          <w:rFonts w:hint="cs"/>
          <w:rtl/>
        </w:rPr>
        <w:t xml:space="preserve">ل ـ </w:t>
      </w:r>
      <w:r w:rsidRPr="00282AC9">
        <w:rPr>
          <w:rtl/>
        </w:rPr>
        <w:t>لا محل</w:t>
      </w:r>
      <w:r w:rsidRPr="00282AC9">
        <w:rPr>
          <w:rFonts w:hint="cs"/>
          <w:rtl/>
        </w:rPr>
        <w:t>ّ</w:t>
      </w:r>
      <w:r w:rsidR="00A978D3" w:rsidRPr="00282AC9">
        <w:rPr>
          <w:rFonts w:hint="cs"/>
          <w:rtl/>
        </w:rPr>
        <w:t>َ</w:t>
      </w:r>
      <w:r w:rsidRPr="00282AC9">
        <w:rPr>
          <w:rtl/>
        </w:rPr>
        <w:t xml:space="preserve"> للكذب في المقام</w:t>
      </w:r>
      <w:r w:rsidR="00A978D3" w:rsidRPr="00282AC9">
        <w:rPr>
          <w:rFonts w:hint="cs"/>
          <w:rtl/>
        </w:rPr>
        <w:t>؛</w:t>
      </w:r>
      <w:r w:rsidRPr="00282AC9">
        <w:rPr>
          <w:rtl/>
        </w:rPr>
        <w:t xml:space="preserve"> وذلك</w:t>
      </w:r>
      <w:r w:rsidRPr="00282AC9">
        <w:rPr>
          <w:rFonts w:hint="cs"/>
          <w:rtl/>
        </w:rPr>
        <w:t xml:space="preserve"> لأنّ الكذب إم</w:t>
      </w:r>
      <w:r w:rsidR="00A978D3" w:rsidRPr="00282AC9">
        <w:rPr>
          <w:rFonts w:hint="cs"/>
          <w:rtl/>
        </w:rPr>
        <w:t>ّ</w:t>
      </w:r>
      <w:r w:rsidRPr="00282AC9">
        <w:rPr>
          <w:rFonts w:hint="cs"/>
          <w:rtl/>
        </w:rPr>
        <w:t>ا أن يكون في الفتوى التي تضم</w:t>
      </w:r>
      <w:r w:rsidR="00A978D3" w:rsidRPr="00282AC9">
        <w:rPr>
          <w:rFonts w:hint="cs"/>
          <w:rtl/>
        </w:rPr>
        <w:t>َّ</w:t>
      </w:r>
      <w:r w:rsidRPr="00282AC9">
        <w:rPr>
          <w:rFonts w:hint="cs"/>
          <w:rtl/>
        </w:rPr>
        <w:t>نها الخبر الضعيف</w:t>
      </w:r>
      <w:r w:rsidR="00A978D3" w:rsidRPr="00282AC9">
        <w:rPr>
          <w:rFonts w:hint="cs"/>
          <w:rtl/>
        </w:rPr>
        <w:t>؛</w:t>
      </w:r>
      <w:r w:rsidRPr="00282AC9">
        <w:rPr>
          <w:rFonts w:hint="cs"/>
          <w:rtl/>
        </w:rPr>
        <w:t xml:space="preserve"> وإم</w:t>
      </w:r>
      <w:r w:rsidR="00A978D3" w:rsidRPr="00282AC9">
        <w:rPr>
          <w:rFonts w:hint="cs"/>
          <w:rtl/>
        </w:rPr>
        <w:t>ّ</w:t>
      </w:r>
      <w:r w:rsidRPr="00282AC9">
        <w:rPr>
          <w:rFonts w:hint="cs"/>
          <w:rtl/>
        </w:rPr>
        <w:t>ا في الإفتاء استناداً إلى الخبر الضعيف، أي في الطريق</w:t>
      </w:r>
      <w:r w:rsidR="004B36D5" w:rsidRPr="00282AC9">
        <w:rPr>
          <w:rFonts w:hint="cs"/>
          <w:rtl/>
        </w:rPr>
        <w:t>.</w:t>
      </w:r>
    </w:p>
    <w:p w:rsidR="004B36D5" w:rsidRPr="00282AC9" w:rsidRDefault="0098597F" w:rsidP="00044604">
      <w:pPr>
        <w:rPr>
          <w:rtl/>
        </w:rPr>
      </w:pPr>
      <w:r w:rsidRPr="00282AC9">
        <w:rPr>
          <w:rFonts w:hint="cs"/>
          <w:rtl/>
        </w:rPr>
        <w:t>فإنْ أراد الأو</w:t>
      </w:r>
      <w:r w:rsidR="004B36D5" w:rsidRPr="00282AC9">
        <w:rPr>
          <w:rFonts w:hint="cs"/>
          <w:rtl/>
        </w:rPr>
        <w:t>ّ</w:t>
      </w:r>
      <w:r w:rsidRPr="00282AC9">
        <w:rPr>
          <w:rFonts w:hint="cs"/>
          <w:rtl/>
        </w:rPr>
        <w:t>ل فيرد</w:t>
      </w:r>
      <w:r w:rsidR="004B36D5" w:rsidRPr="00282AC9">
        <w:rPr>
          <w:rFonts w:hint="cs"/>
          <w:rtl/>
        </w:rPr>
        <w:t>ّ</w:t>
      </w:r>
      <w:r w:rsidRPr="00282AC9">
        <w:rPr>
          <w:rFonts w:hint="cs"/>
          <w:rtl/>
        </w:rPr>
        <w:t xml:space="preserve">ه </w:t>
      </w:r>
      <w:r w:rsidRPr="00282AC9">
        <w:rPr>
          <w:rtl/>
        </w:rPr>
        <w:t>أنّ الفقيه إنما يحكم باستحباب العمل في المورد الذي جاء فيه خبر</w:t>
      </w:r>
      <w:r w:rsidR="004B36D5" w:rsidRPr="00282AC9">
        <w:rPr>
          <w:rFonts w:hint="cs"/>
          <w:rtl/>
        </w:rPr>
        <w:t>ٌ</w:t>
      </w:r>
      <w:r w:rsidRPr="00282AC9">
        <w:rPr>
          <w:rtl/>
        </w:rPr>
        <w:t xml:space="preserve"> محتمل الصدور والمطابقة للواقع، وعليه فلا يصح</w:t>
      </w:r>
      <w:r w:rsidR="004B36D5" w:rsidRPr="00282AC9">
        <w:rPr>
          <w:rFonts w:hint="cs"/>
          <w:rtl/>
        </w:rPr>
        <w:t>ّ</w:t>
      </w:r>
      <w:r w:rsidRPr="00282AC9">
        <w:rPr>
          <w:rtl/>
        </w:rPr>
        <w:t xml:space="preserve"> وصف الخبر ال</w:t>
      </w:r>
      <w:r w:rsidRPr="00282AC9">
        <w:rPr>
          <w:rFonts w:hint="cs"/>
          <w:rtl/>
        </w:rPr>
        <w:t xml:space="preserve">ضعيف مع كونه </w:t>
      </w:r>
      <w:r w:rsidRPr="00282AC9">
        <w:rPr>
          <w:rtl/>
        </w:rPr>
        <w:t>محتمل المطابق</w:t>
      </w:r>
      <w:r w:rsidRPr="00282AC9">
        <w:rPr>
          <w:rFonts w:hint="cs"/>
          <w:rtl/>
        </w:rPr>
        <w:t>ة</w:t>
      </w:r>
      <w:r w:rsidRPr="00282AC9">
        <w:rPr>
          <w:rtl/>
        </w:rPr>
        <w:t xml:space="preserve"> بالكذب</w:t>
      </w:r>
      <w:r w:rsidRPr="00282AC9">
        <w:rPr>
          <w:rFonts w:hint="cs"/>
          <w:rtl/>
        </w:rPr>
        <w:t>، إلا</w:t>
      </w:r>
      <w:r w:rsidR="004B36D5" w:rsidRPr="00282AC9">
        <w:rPr>
          <w:rFonts w:hint="cs"/>
          <w:rtl/>
        </w:rPr>
        <w:t>ّ</w:t>
      </w:r>
      <w:r w:rsidRPr="00282AC9">
        <w:rPr>
          <w:rFonts w:hint="cs"/>
          <w:rtl/>
        </w:rPr>
        <w:t xml:space="preserve"> بضرب</w:t>
      </w:r>
      <w:r w:rsidR="004B36D5" w:rsidRPr="00282AC9">
        <w:rPr>
          <w:rFonts w:hint="cs"/>
          <w:rtl/>
        </w:rPr>
        <w:t xml:space="preserve">ٍ </w:t>
      </w:r>
      <w:r w:rsidRPr="00282AC9">
        <w:rPr>
          <w:rFonts w:hint="cs"/>
          <w:rtl/>
        </w:rPr>
        <w:t>من التنزيل المحتاج إلى الدليل، كما في ات</w:t>
      </w:r>
      <w:r w:rsidR="004B36D5" w:rsidRPr="00282AC9">
        <w:rPr>
          <w:rFonts w:hint="cs"/>
          <w:rtl/>
        </w:rPr>
        <w:t>ّ</w:t>
      </w:r>
      <w:r w:rsidRPr="00282AC9">
        <w:rPr>
          <w:rFonts w:hint="cs"/>
          <w:rtl/>
        </w:rPr>
        <w:t>هام الذين يرمون المح</w:t>
      </w:r>
      <w:r w:rsidR="004B36D5" w:rsidRPr="00282AC9">
        <w:rPr>
          <w:rFonts w:hint="cs"/>
          <w:rtl/>
        </w:rPr>
        <w:t>ْ</w:t>
      </w:r>
      <w:r w:rsidRPr="00282AC9">
        <w:rPr>
          <w:rFonts w:hint="cs"/>
          <w:rtl/>
        </w:rPr>
        <w:t>ص</w:t>
      </w:r>
      <w:r w:rsidR="004B36D5" w:rsidRPr="00282AC9">
        <w:rPr>
          <w:rFonts w:hint="cs"/>
          <w:rtl/>
        </w:rPr>
        <w:t>َ</w:t>
      </w:r>
      <w:r w:rsidRPr="00282AC9">
        <w:rPr>
          <w:rFonts w:hint="cs"/>
          <w:rtl/>
        </w:rPr>
        <w:t>نات دون إقامة الشهود بأنّهم كاذبون، كما نص</w:t>
      </w:r>
      <w:r w:rsidR="004B36D5" w:rsidRPr="00282AC9">
        <w:rPr>
          <w:rFonts w:hint="cs"/>
          <w:rtl/>
        </w:rPr>
        <w:t>َّ</w:t>
      </w:r>
      <w:r w:rsidRPr="00282AC9">
        <w:rPr>
          <w:rFonts w:hint="cs"/>
          <w:rtl/>
        </w:rPr>
        <w:t xml:space="preserve"> عليه الذكر الحكيم</w:t>
      </w:r>
      <w:r w:rsidRPr="00282AC9">
        <w:rPr>
          <w:vertAlign w:val="superscript"/>
          <w:rtl/>
        </w:rPr>
        <w:t>(</w:t>
      </w:r>
      <w:r w:rsidRPr="00282AC9">
        <w:rPr>
          <w:vertAlign w:val="superscript"/>
          <w:rtl/>
        </w:rPr>
        <w:endnoteReference w:id="165"/>
      </w:r>
      <w:r w:rsidRPr="00282AC9">
        <w:rPr>
          <w:vertAlign w:val="superscript"/>
          <w:rtl/>
        </w:rPr>
        <w:t>)</w:t>
      </w:r>
      <w:r w:rsidRPr="00282AC9">
        <w:rPr>
          <w:rFonts w:hint="cs"/>
          <w:rtl/>
        </w:rPr>
        <w:t>، مع أنّهم ر</w:t>
      </w:r>
      <w:r w:rsidR="004B36D5" w:rsidRPr="00282AC9">
        <w:rPr>
          <w:rFonts w:hint="cs"/>
          <w:rtl/>
        </w:rPr>
        <w:t>ُ</w:t>
      </w:r>
      <w:r w:rsidRPr="00282AC9">
        <w:rPr>
          <w:rFonts w:hint="cs"/>
          <w:rtl/>
        </w:rPr>
        <w:t>ب</w:t>
      </w:r>
      <w:r w:rsidR="004B36D5" w:rsidRPr="00282AC9">
        <w:rPr>
          <w:rFonts w:hint="cs"/>
          <w:rtl/>
        </w:rPr>
        <w:t>ْ</w:t>
      </w:r>
      <w:r w:rsidRPr="00282AC9">
        <w:rPr>
          <w:rFonts w:hint="cs"/>
          <w:rtl/>
        </w:rPr>
        <w:t>ما كانوا صادقين وليس لهم شهود</w:t>
      </w:r>
      <w:r w:rsidRPr="00282AC9">
        <w:rPr>
          <w:rtl/>
        </w:rPr>
        <w:t>.</w:t>
      </w:r>
    </w:p>
    <w:p w:rsidR="0098597F" w:rsidRPr="00282AC9" w:rsidRDefault="0098597F" w:rsidP="00044604">
      <w:pPr>
        <w:rPr>
          <w:rtl/>
        </w:rPr>
      </w:pPr>
      <w:r w:rsidRPr="00282AC9">
        <w:rPr>
          <w:rFonts w:hint="cs"/>
          <w:rtl/>
        </w:rPr>
        <w:t>وإن</w:t>
      </w:r>
      <w:r w:rsidR="004B36D5" w:rsidRPr="00282AC9">
        <w:rPr>
          <w:rFonts w:hint="cs"/>
          <w:rtl/>
        </w:rPr>
        <w:t>ْ</w:t>
      </w:r>
      <w:r w:rsidRPr="00282AC9">
        <w:rPr>
          <w:rFonts w:hint="cs"/>
          <w:rtl/>
        </w:rPr>
        <w:t xml:space="preserve"> أراد الثاني فيرد</w:t>
      </w:r>
      <w:r w:rsidR="004B36D5" w:rsidRPr="00282AC9">
        <w:rPr>
          <w:rFonts w:hint="cs"/>
          <w:rtl/>
        </w:rPr>
        <w:t>ّ</w:t>
      </w:r>
      <w:r w:rsidRPr="00282AC9">
        <w:rPr>
          <w:rFonts w:hint="cs"/>
          <w:rtl/>
        </w:rPr>
        <w:t>ه أ</w:t>
      </w:r>
      <w:r w:rsidRPr="00282AC9">
        <w:rPr>
          <w:rtl/>
        </w:rPr>
        <w:t>نّه إذا استف</w:t>
      </w:r>
      <w:r w:rsidR="004B36D5" w:rsidRPr="00282AC9">
        <w:rPr>
          <w:rFonts w:hint="cs"/>
          <w:rtl/>
        </w:rPr>
        <w:t>َ</w:t>
      </w:r>
      <w:r w:rsidRPr="00282AC9">
        <w:rPr>
          <w:rtl/>
        </w:rPr>
        <w:t>د</w:t>
      </w:r>
      <w:r w:rsidR="004B36D5" w:rsidRPr="00282AC9">
        <w:rPr>
          <w:rFonts w:hint="cs"/>
          <w:rtl/>
        </w:rPr>
        <w:t>ْ</w:t>
      </w:r>
      <w:r w:rsidRPr="00282AC9">
        <w:rPr>
          <w:rtl/>
        </w:rPr>
        <w:t xml:space="preserve">نا من روايات </w:t>
      </w:r>
      <w:r w:rsidRPr="00282AC9">
        <w:rPr>
          <w:rFonts w:hint="eastAsia"/>
          <w:sz w:val="24"/>
          <w:szCs w:val="24"/>
          <w:rtl/>
        </w:rPr>
        <w:t>«</w:t>
      </w:r>
      <w:r w:rsidRPr="00282AC9">
        <w:rPr>
          <w:rtl/>
        </w:rPr>
        <w:t>م</w:t>
      </w:r>
      <w:r w:rsidR="004B36D5" w:rsidRPr="00282AC9">
        <w:rPr>
          <w:rFonts w:hint="cs"/>
          <w:rtl/>
        </w:rPr>
        <w:t>َنْ</w:t>
      </w:r>
      <w:r w:rsidRPr="00282AC9">
        <w:rPr>
          <w:rtl/>
        </w:rPr>
        <w:t xml:space="preserve"> بلغ</w:t>
      </w:r>
      <w:r w:rsidRPr="00282AC9">
        <w:rPr>
          <w:rFonts w:hint="eastAsia"/>
          <w:sz w:val="24"/>
          <w:szCs w:val="24"/>
          <w:rtl/>
        </w:rPr>
        <w:t>»</w:t>
      </w:r>
      <w:r w:rsidRPr="00282AC9">
        <w:rPr>
          <w:rtl/>
        </w:rPr>
        <w:t xml:space="preserve"> استحباب العمل الوارد في خبر</w:t>
      </w:r>
      <w:r w:rsidR="004B36D5" w:rsidRPr="00282AC9">
        <w:rPr>
          <w:rFonts w:hint="cs"/>
          <w:rtl/>
        </w:rPr>
        <w:t>ٍ</w:t>
      </w:r>
      <w:r w:rsidRPr="00282AC9">
        <w:rPr>
          <w:rtl/>
        </w:rPr>
        <w:t xml:space="preserve"> ضعيف، </w:t>
      </w:r>
      <w:r w:rsidR="00927649" w:rsidRPr="00282AC9">
        <w:rPr>
          <w:rFonts w:hint="cs"/>
          <w:rtl/>
        </w:rPr>
        <w:t xml:space="preserve">سواء </w:t>
      </w:r>
      <w:r w:rsidRPr="00282AC9">
        <w:rPr>
          <w:rFonts w:hint="cs"/>
          <w:rtl/>
        </w:rPr>
        <w:t xml:space="preserve">أكان الاستحباب على عنوان البلوغ أو على العنوان الوارد في الخبر الضعيف، </w:t>
      </w:r>
      <w:r w:rsidRPr="00282AC9">
        <w:rPr>
          <w:rtl/>
        </w:rPr>
        <w:t>فهذا يعني أن</w:t>
      </w:r>
      <w:r w:rsidRPr="00282AC9">
        <w:rPr>
          <w:rFonts w:hint="cs"/>
          <w:rtl/>
        </w:rPr>
        <w:t>ّ</w:t>
      </w:r>
      <w:r w:rsidRPr="00282AC9">
        <w:rPr>
          <w:rtl/>
        </w:rPr>
        <w:t xml:space="preserve"> الله تعالى قد أذن بنسبة الأمر إليه، فلا يعود الأمر من مص</w:t>
      </w:r>
      <w:r w:rsidRPr="00282AC9">
        <w:rPr>
          <w:rFonts w:hint="cs"/>
          <w:rtl/>
        </w:rPr>
        <w:t>ا</w:t>
      </w:r>
      <w:r w:rsidRPr="00282AC9">
        <w:rPr>
          <w:rtl/>
        </w:rPr>
        <w:t>د</w:t>
      </w:r>
      <w:r w:rsidRPr="00282AC9">
        <w:rPr>
          <w:rFonts w:hint="cs"/>
          <w:rtl/>
        </w:rPr>
        <w:t>ي</w:t>
      </w:r>
      <w:r w:rsidRPr="00282AC9">
        <w:rPr>
          <w:rtl/>
        </w:rPr>
        <w:t>ق الكذب والتقو</w:t>
      </w:r>
      <w:r w:rsidRPr="00282AC9">
        <w:rPr>
          <w:rFonts w:hint="cs"/>
          <w:rtl/>
        </w:rPr>
        <w:t>ّ</w:t>
      </w:r>
      <w:r w:rsidR="004B36D5" w:rsidRPr="00282AC9">
        <w:rPr>
          <w:rFonts w:hint="cs"/>
          <w:rtl/>
        </w:rPr>
        <w:t>ُ</w:t>
      </w:r>
      <w:r w:rsidRPr="00282AC9">
        <w:rPr>
          <w:rtl/>
        </w:rPr>
        <w:t>ل على الله</w:t>
      </w:r>
      <w:r w:rsidRPr="00282AC9">
        <w:rPr>
          <w:rFonts w:hint="cs"/>
          <w:rtl/>
        </w:rPr>
        <w:t xml:space="preserve"> تعالى.</w:t>
      </w:r>
    </w:p>
    <w:p w:rsidR="0098597F" w:rsidRPr="00282AC9" w:rsidRDefault="0098597F" w:rsidP="005A1697">
      <w:pPr>
        <w:spacing w:line="420" w:lineRule="exact"/>
        <w:rPr>
          <w:rtl/>
        </w:rPr>
      </w:pPr>
    </w:p>
    <w:p w:rsidR="0098597F" w:rsidRPr="00282AC9" w:rsidRDefault="001B574D" w:rsidP="001B574D">
      <w:pPr>
        <w:pStyle w:val="31"/>
        <w:rPr>
          <w:rFonts w:eastAsia="Calibri"/>
          <w:color w:val="auto"/>
        </w:rPr>
      </w:pPr>
      <w:r w:rsidRPr="00282AC9">
        <w:rPr>
          <w:rFonts w:hint="cs"/>
          <w:color w:val="auto"/>
          <w:rtl/>
        </w:rPr>
        <w:t>6</w:t>
      </w:r>
      <w:r w:rsidR="0098597F" w:rsidRPr="00282AC9">
        <w:rPr>
          <w:rFonts w:hint="cs"/>
          <w:color w:val="auto"/>
          <w:rtl/>
        </w:rPr>
        <w:t>ـ الاحتمالات الثبوتي</w:t>
      </w:r>
      <w:r w:rsidR="00927649" w:rsidRPr="00282AC9">
        <w:rPr>
          <w:rFonts w:hint="cs"/>
          <w:color w:val="auto"/>
          <w:rtl/>
        </w:rPr>
        <w:t>ّ</w:t>
      </w:r>
      <w:r w:rsidR="0098597F" w:rsidRPr="00282AC9">
        <w:rPr>
          <w:rFonts w:hint="cs"/>
          <w:color w:val="auto"/>
          <w:rtl/>
        </w:rPr>
        <w:t xml:space="preserve">ة في المراد بأخبار </w:t>
      </w:r>
      <w:r w:rsidR="0098597F" w:rsidRPr="00282AC9">
        <w:rPr>
          <w:rFonts w:hint="eastAsia"/>
          <w:color w:val="auto"/>
          <w:rtl/>
        </w:rPr>
        <w:t>«</w:t>
      </w:r>
      <w:r w:rsidR="0098597F" w:rsidRPr="00282AC9">
        <w:rPr>
          <w:rFonts w:hint="cs"/>
          <w:color w:val="auto"/>
          <w:rtl/>
        </w:rPr>
        <w:t>م</w:t>
      </w:r>
      <w:r w:rsidR="00927649" w:rsidRPr="00282AC9">
        <w:rPr>
          <w:rFonts w:hint="cs"/>
          <w:color w:val="auto"/>
          <w:rtl/>
        </w:rPr>
        <w:t>َ</w:t>
      </w:r>
      <w:r w:rsidR="0098597F" w:rsidRPr="00282AC9">
        <w:rPr>
          <w:rFonts w:hint="cs"/>
          <w:color w:val="auto"/>
          <w:rtl/>
        </w:rPr>
        <w:t>ن</w:t>
      </w:r>
      <w:r w:rsidR="00927649" w:rsidRPr="00282AC9">
        <w:rPr>
          <w:rFonts w:hint="cs"/>
          <w:color w:val="auto"/>
          <w:rtl/>
        </w:rPr>
        <w:t>ْ</w:t>
      </w:r>
      <w:r w:rsidR="0098597F" w:rsidRPr="00282AC9">
        <w:rPr>
          <w:rFonts w:hint="cs"/>
          <w:color w:val="auto"/>
          <w:rtl/>
        </w:rPr>
        <w:t xml:space="preserve"> بلغ</w:t>
      </w:r>
      <w:r w:rsidR="0098597F" w:rsidRPr="00282AC9">
        <w:rPr>
          <w:rFonts w:hint="eastAsia"/>
          <w:color w:val="auto"/>
          <w:rtl/>
        </w:rPr>
        <w:t>»</w:t>
      </w:r>
    </w:p>
    <w:p w:rsidR="0098597F" w:rsidRPr="00282AC9" w:rsidRDefault="0098597F" w:rsidP="004F097E">
      <w:pPr>
        <w:contextualSpacing/>
        <w:rPr>
          <w:rFonts w:ascii="Arial" w:eastAsia="Calibri" w:hAnsi="Arial"/>
          <w:b/>
          <w:bCs/>
          <w:sz w:val="27"/>
          <w:rtl/>
          <w:lang w:bidi="ar-LB"/>
        </w:rPr>
      </w:pPr>
      <w:r w:rsidRPr="00282AC9">
        <w:rPr>
          <w:rFonts w:ascii="Arial" w:hAnsi="Arial" w:hint="cs"/>
          <w:sz w:val="27"/>
          <w:rtl/>
        </w:rPr>
        <w:t xml:space="preserve">إنّ الاحتمالات الثبوتيّة في أخبار </w:t>
      </w:r>
      <w:r w:rsidRPr="00282AC9">
        <w:rPr>
          <w:rFonts w:hint="eastAsia"/>
          <w:sz w:val="24"/>
          <w:szCs w:val="24"/>
          <w:rtl/>
        </w:rPr>
        <w:t>«</w:t>
      </w:r>
      <w:r w:rsidRPr="00282AC9">
        <w:rPr>
          <w:rFonts w:ascii="Arial" w:hAnsi="Arial" w:hint="cs"/>
          <w:sz w:val="27"/>
          <w:rtl/>
        </w:rPr>
        <w:t>م</w:t>
      </w:r>
      <w:r w:rsidR="00927649" w:rsidRPr="00282AC9">
        <w:rPr>
          <w:rFonts w:ascii="Arial" w:hAnsi="Arial" w:hint="cs"/>
          <w:sz w:val="27"/>
          <w:rtl/>
        </w:rPr>
        <w:t>َ</w:t>
      </w:r>
      <w:r w:rsidRPr="00282AC9">
        <w:rPr>
          <w:rFonts w:ascii="Arial" w:hAnsi="Arial" w:hint="cs"/>
          <w:sz w:val="27"/>
          <w:rtl/>
        </w:rPr>
        <w:t>ن</w:t>
      </w:r>
      <w:r w:rsidR="00927649" w:rsidRPr="00282AC9">
        <w:rPr>
          <w:rFonts w:ascii="Arial" w:hAnsi="Arial" w:hint="cs"/>
          <w:sz w:val="27"/>
          <w:rtl/>
        </w:rPr>
        <w:t>ْ</w:t>
      </w:r>
      <w:r w:rsidRPr="00282AC9">
        <w:rPr>
          <w:rFonts w:ascii="Arial" w:hAnsi="Arial" w:hint="cs"/>
          <w:sz w:val="27"/>
          <w:rtl/>
        </w:rPr>
        <w:t xml:space="preserve"> بلغ</w:t>
      </w:r>
      <w:r w:rsidRPr="00282AC9">
        <w:rPr>
          <w:rFonts w:hint="eastAsia"/>
          <w:sz w:val="24"/>
          <w:szCs w:val="24"/>
          <w:rtl/>
        </w:rPr>
        <w:t>»</w:t>
      </w:r>
      <w:r w:rsidRPr="00282AC9">
        <w:rPr>
          <w:rFonts w:ascii="Arial" w:hAnsi="Arial" w:hint="cs"/>
          <w:sz w:val="27"/>
          <w:rtl/>
        </w:rPr>
        <w:t xml:space="preserve"> هي ـ ح</w:t>
      </w:r>
      <w:r w:rsidR="00927649" w:rsidRPr="00282AC9">
        <w:rPr>
          <w:rFonts w:ascii="Arial" w:hAnsi="Arial" w:hint="cs"/>
          <w:sz w:val="27"/>
          <w:rtl/>
        </w:rPr>
        <w:t>َ</w:t>
      </w:r>
      <w:r w:rsidRPr="00282AC9">
        <w:rPr>
          <w:rFonts w:ascii="Arial" w:hAnsi="Arial" w:hint="cs"/>
          <w:sz w:val="27"/>
          <w:rtl/>
        </w:rPr>
        <w:t>س</w:t>
      </w:r>
      <w:r w:rsidR="00927649" w:rsidRPr="00282AC9">
        <w:rPr>
          <w:rFonts w:ascii="Arial" w:hAnsi="Arial" w:hint="cs"/>
          <w:sz w:val="27"/>
          <w:rtl/>
        </w:rPr>
        <w:t>ْ</w:t>
      </w:r>
      <w:r w:rsidRPr="00282AC9">
        <w:rPr>
          <w:rFonts w:ascii="Arial" w:hAnsi="Arial" w:hint="cs"/>
          <w:sz w:val="27"/>
          <w:rtl/>
        </w:rPr>
        <w:t>ب ما أنهاها بعض الأعلام</w:t>
      </w:r>
      <w:r w:rsidRPr="00282AC9">
        <w:rPr>
          <w:rFonts w:ascii="Arial" w:hAnsi="Arial"/>
          <w:sz w:val="27"/>
          <w:vertAlign w:val="superscript"/>
          <w:rtl/>
        </w:rPr>
        <w:t>(</w:t>
      </w:r>
      <w:r w:rsidRPr="00282AC9">
        <w:rPr>
          <w:rFonts w:ascii="Arial" w:hAnsi="Arial"/>
          <w:sz w:val="27"/>
          <w:vertAlign w:val="superscript"/>
          <w:rtl/>
        </w:rPr>
        <w:endnoteReference w:id="166"/>
      </w:r>
      <w:r w:rsidRPr="00282AC9">
        <w:rPr>
          <w:rFonts w:ascii="Arial" w:hAnsi="Arial"/>
          <w:sz w:val="27"/>
          <w:vertAlign w:val="superscript"/>
          <w:rtl/>
        </w:rPr>
        <w:t>)</w:t>
      </w:r>
      <w:r w:rsidRPr="00282AC9">
        <w:rPr>
          <w:rFonts w:ascii="Arial" w:hAnsi="Arial" w:hint="cs"/>
          <w:sz w:val="27"/>
          <w:rtl/>
        </w:rPr>
        <w:t xml:space="preserve"> ـ خمسة</w:t>
      </w:r>
      <w:r w:rsidR="00927649" w:rsidRPr="00282AC9">
        <w:rPr>
          <w:rFonts w:ascii="Arial" w:hAnsi="Arial" w:hint="cs"/>
          <w:sz w:val="27"/>
          <w:rtl/>
        </w:rPr>
        <w:t>ٌ</w:t>
      </w:r>
      <w:r w:rsidRPr="00282AC9">
        <w:rPr>
          <w:rFonts w:ascii="Arial" w:hAnsi="Arial" w:hint="cs"/>
          <w:sz w:val="27"/>
          <w:rtl/>
        </w:rPr>
        <w:t xml:space="preserve">: </w:t>
      </w:r>
    </w:p>
    <w:p w:rsidR="0098597F" w:rsidRPr="00282AC9" w:rsidRDefault="0098597F" w:rsidP="004F097E">
      <w:pPr>
        <w:rPr>
          <w:rFonts w:ascii="Arial" w:eastAsia="Calibri" w:hAnsi="Arial"/>
          <w:sz w:val="27"/>
          <w:rtl/>
        </w:rPr>
      </w:pPr>
      <w:r w:rsidRPr="00282AC9">
        <w:rPr>
          <w:rFonts w:ascii="Arial" w:eastAsia="Calibri" w:hAnsi="Arial" w:hint="cs"/>
          <w:b/>
          <w:bCs/>
          <w:sz w:val="27"/>
          <w:rtl/>
        </w:rPr>
        <w:t>الأو</w:t>
      </w:r>
      <w:r w:rsidR="00927649" w:rsidRPr="00282AC9">
        <w:rPr>
          <w:rFonts w:ascii="Arial" w:eastAsia="Calibri" w:hAnsi="Arial" w:hint="cs"/>
          <w:b/>
          <w:bCs/>
          <w:sz w:val="27"/>
          <w:rtl/>
        </w:rPr>
        <w:t>ّ</w:t>
      </w:r>
      <w:r w:rsidRPr="00282AC9">
        <w:rPr>
          <w:rFonts w:ascii="Arial" w:eastAsia="Calibri" w:hAnsi="Arial" w:hint="cs"/>
          <w:b/>
          <w:bCs/>
          <w:sz w:val="27"/>
          <w:rtl/>
        </w:rPr>
        <w:t xml:space="preserve">ل: </w:t>
      </w:r>
      <w:r w:rsidRPr="00282AC9">
        <w:rPr>
          <w:rFonts w:ascii="Arial" w:eastAsia="Calibri" w:hAnsi="Arial" w:hint="cs"/>
          <w:sz w:val="27"/>
          <w:rtl/>
        </w:rPr>
        <w:t>أن تكون بصدد جعل ال</w:t>
      </w:r>
      <w:r w:rsidRPr="00282AC9">
        <w:rPr>
          <w:rFonts w:ascii="Arial" w:eastAsia="Calibri" w:hAnsi="Arial"/>
          <w:sz w:val="27"/>
          <w:rtl/>
        </w:rPr>
        <w:t>حج</w:t>
      </w:r>
      <w:r w:rsidR="00927649" w:rsidRPr="00282AC9">
        <w:rPr>
          <w:rFonts w:ascii="Arial" w:eastAsia="Calibri" w:hAnsi="Arial" w:hint="cs"/>
          <w:sz w:val="27"/>
          <w:rtl/>
        </w:rPr>
        <w:t>ّ</w:t>
      </w:r>
      <w:r w:rsidRPr="00282AC9">
        <w:rPr>
          <w:rFonts w:ascii="Arial" w:eastAsia="Calibri" w:hAnsi="Arial"/>
          <w:sz w:val="27"/>
          <w:rtl/>
        </w:rPr>
        <w:t xml:space="preserve">ية </w:t>
      </w:r>
      <w:r w:rsidRPr="00282AC9">
        <w:rPr>
          <w:rFonts w:ascii="Arial" w:eastAsia="Calibri" w:hAnsi="Arial" w:hint="cs"/>
          <w:sz w:val="27"/>
          <w:rtl/>
        </w:rPr>
        <w:t>الظاهرية لل</w:t>
      </w:r>
      <w:r w:rsidRPr="00282AC9">
        <w:rPr>
          <w:rFonts w:ascii="Arial" w:eastAsia="Calibri" w:hAnsi="Arial"/>
          <w:sz w:val="27"/>
          <w:rtl/>
        </w:rPr>
        <w:t xml:space="preserve">خبر الضعيف </w:t>
      </w:r>
      <w:r w:rsidRPr="00282AC9">
        <w:rPr>
          <w:rFonts w:ascii="Arial" w:eastAsia="Calibri" w:hAnsi="Arial" w:hint="cs"/>
          <w:sz w:val="27"/>
          <w:rtl/>
        </w:rPr>
        <w:t>غير المشمول لأدلة الحج</w:t>
      </w:r>
      <w:r w:rsidR="00927649" w:rsidRPr="00282AC9">
        <w:rPr>
          <w:rFonts w:ascii="Arial" w:eastAsia="Calibri" w:hAnsi="Arial" w:hint="cs"/>
          <w:sz w:val="27"/>
          <w:rtl/>
        </w:rPr>
        <w:t>ّ</w:t>
      </w:r>
      <w:r w:rsidRPr="00282AC9">
        <w:rPr>
          <w:rFonts w:ascii="Arial" w:eastAsia="Calibri" w:hAnsi="Arial" w:hint="cs"/>
          <w:sz w:val="27"/>
          <w:rtl/>
        </w:rPr>
        <w:t>ية، في</w:t>
      </w:r>
      <w:r w:rsidR="00927649" w:rsidRPr="00282AC9">
        <w:rPr>
          <w:rFonts w:ascii="Arial" w:eastAsia="Calibri" w:hAnsi="Arial" w:hint="cs"/>
          <w:sz w:val="27"/>
          <w:rtl/>
        </w:rPr>
        <w:t>ُ</w:t>
      </w:r>
      <w:r w:rsidRPr="00282AC9">
        <w:rPr>
          <w:rFonts w:ascii="Arial" w:eastAsia="Calibri" w:hAnsi="Arial" w:hint="cs"/>
          <w:sz w:val="27"/>
          <w:rtl/>
        </w:rPr>
        <w:t xml:space="preserve">ستفاد من أخبار </w:t>
      </w:r>
      <w:r w:rsidRPr="00282AC9">
        <w:rPr>
          <w:rFonts w:hint="eastAsia"/>
          <w:sz w:val="24"/>
          <w:szCs w:val="24"/>
          <w:rtl/>
        </w:rPr>
        <w:t>«</w:t>
      </w:r>
      <w:r w:rsidRPr="00282AC9">
        <w:rPr>
          <w:rFonts w:ascii="Arial" w:eastAsia="Calibri" w:hAnsi="Arial" w:hint="cs"/>
          <w:sz w:val="27"/>
          <w:rtl/>
        </w:rPr>
        <w:t>م</w:t>
      </w:r>
      <w:r w:rsidR="00927649" w:rsidRPr="00282AC9">
        <w:rPr>
          <w:rFonts w:ascii="Arial" w:eastAsia="Calibri" w:hAnsi="Arial" w:hint="cs"/>
          <w:sz w:val="27"/>
          <w:rtl/>
        </w:rPr>
        <w:t>َ</w:t>
      </w:r>
      <w:r w:rsidRPr="00282AC9">
        <w:rPr>
          <w:rFonts w:ascii="Arial" w:eastAsia="Calibri" w:hAnsi="Arial" w:hint="cs"/>
          <w:sz w:val="27"/>
          <w:rtl/>
        </w:rPr>
        <w:t>ن</w:t>
      </w:r>
      <w:r w:rsidR="00927649" w:rsidRPr="00282AC9">
        <w:rPr>
          <w:rFonts w:ascii="Arial" w:eastAsia="Calibri" w:hAnsi="Arial" w:hint="cs"/>
          <w:sz w:val="27"/>
          <w:rtl/>
        </w:rPr>
        <w:t>ْ</w:t>
      </w:r>
      <w:r w:rsidRPr="00282AC9">
        <w:rPr>
          <w:rFonts w:ascii="Arial" w:eastAsia="Calibri" w:hAnsi="Arial" w:hint="cs"/>
          <w:sz w:val="27"/>
          <w:rtl/>
        </w:rPr>
        <w:t xml:space="preserve"> بلغ</w:t>
      </w:r>
      <w:r w:rsidRPr="00282AC9">
        <w:rPr>
          <w:rFonts w:hint="eastAsia"/>
          <w:sz w:val="24"/>
          <w:szCs w:val="24"/>
          <w:rtl/>
        </w:rPr>
        <w:t>»</w:t>
      </w:r>
      <w:r w:rsidRPr="00282AC9">
        <w:rPr>
          <w:rFonts w:ascii="Arial" w:eastAsia="Calibri" w:hAnsi="Arial" w:hint="cs"/>
          <w:sz w:val="27"/>
          <w:rtl/>
        </w:rPr>
        <w:t xml:space="preserve"> إ</w:t>
      </w:r>
      <w:r w:rsidRPr="00282AC9">
        <w:rPr>
          <w:rFonts w:ascii="Arial" w:eastAsia="Calibri" w:hAnsi="Arial"/>
          <w:sz w:val="27"/>
          <w:rtl/>
        </w:rPr>
        <w:t>سقاط شرائط حج</w:t>
      </w:r>
      <w:r w:rsidR="00927649" w:rsidRPr="00282AC9">
        <w:rPr>
          <w:rFonts w:ascii="Arial" w:eastAsia="Calibri" w:hAnsi="Arial" w:hint="cs"/>
          <w:sz w:val="27"/>
          <w:rtl/>
        </w:rPr>
        <w:t>ّ</w:t>
      </w:r>
      <w:r w:rsidRPr="00282AC9">
        <w:rPr>
          <w:rFonts w:ascii="Arial" w:eastAsia="Calibri" w:hAnsi="Arial"/>
          <w:sz w:val="27"/>
          <w:rtl/>
        </w:rPr>
        <w:t>ية الخبر في باب المستحب</w:t>
      </w:r>
      <w:r w:rsidR="00927649" w:rsidRPr="00282AC9">
        <w:rPr>
          <w:rFonts w:ascii="Arial" w:eastAsia="Calibri" w:hAnsi="Arial" w:hint="cs"/>
          <w:sz w:val="27"/>
          <w:rtl/>
        </w:rPr>
        <w:t>ّ</w:t>
      </w:r>
      <w:r w:rsidRPr="00282AC9">
        <w:rPr>
          <w:rFonts w:ascii="Arial" w:eastAsia="Calibri" w:hAnsi="Arial"/>
          <w:sz w:val="27"/>
          <w:rtl/>
        </w:rPr>
        <w:t>ات، وأنه لا يعتبر فيها</w:t>
      </w:r>
      <w:r w:rsidRPr="00282AC9">
        <w:rPr>
          <w:rFonts w:ascii="Arial" w:eastAsia="Calibri" w:hAnsi="Arial" w:hint="cs"/>
          <w:sz w:val="27"/>
          <w:rtl/>
        </w:rPr>
        <w:t xml:space="preserve"> </w:t>
      </w:r>
      <w:r w:rsidRPr="00282AC9">
        <w:rPr>
          <w:rFonts w:ascii="Arial" w:eastAsia="Calibri" w:hAnsi="Arial"/>
          <w:sz w:val="27"/>
          <w:rtl/>
        </w:rPr>
        <w:t>ما اعتبر في الخبر القائم على وجوب ش</w:t>
      </w:r>
      <w:r w:rsidRPr="00282AC9">
        <w:rPr>
          <w:rFonts w:ascii="Arial" w:eastAsia="Calibri" w:hAnsi="Arial" w:hint="cs"/>
          <w:sz w:val="27"/>
          <w:rtl/>
        </w:rPr>
        <w:t>يء</w:t>
      </w:r>
      <w:r w:rsidR="00C25C52" w:rsidRPr="00282AC9">
        <w:rPr>
          <w:rFonts w:ascii="Arial" w:eastAsia="Calibri" w:hAnsi="Arial" w:hint="cs"/>
          <w:sz w:val="27"/>
          <w:rtl/>
        </w:rPr>
        <w:t>ٍ،</w:t>
      </w:r>
      <w:r w:rsidRPr="00282AC9">
        <w:rPr>
          <w:rFonts w:ascii="Arial" w:eastAsia="Calibri" w:hAnsi="Arial"/>
          <w:sz w:val="27"/>
          <w:rtl/>
        </w:rPr>
        <w:t xml:space="preserve"> من العدالة والوثاقة</w:t>
      </w:r>
      <w:r w:rsidRPr="00282AC9">
        <w:rPr>
          <w:rFonts w:ascii="Arial" w:eastAsia="Calibri" w:hAnsi="Arial" w:hint="cs"/>
          <w:sz w:val="27"/>
          <w:rtl/>
        </w:rPr>
        <w:t xml:space="preserve">. </w:t>
      </w:r>
      <w:r w:rsidRPr="00282AC9">
        <w:rPr>
          <w:rFonts w:ascii="Arial" w:eastAsia="Calibri" w:hAnsi="Arial"/>
          <w:sz w:val="27"/>
          <w:rtl/>
        </w:rPr>
        <w:t>وهذا الاحتمال هو ا</w:t>
      </w:r>
      <w:r w:rsidRPr="00282AC9">
        <w:rPr>
          <w:rFonts w:ascii="Arial" w:eastAsia="Calibri" w:hAnsi="Arial" w:hint="cs"/>
          <w:sz w:val="27"/>
          <w:rtl/>
        </w:rPr>
        <w:t xml:space="preserve">لمناسب لقولهم </w:t>
      </w:r>
      <w:r w:rsidRPr="00282AC9">
        <w:rPr>
          <w:rFonts w:ascii="Arial" w:eastAsia="Calibri" w:hAnsi="Arial"/>
          <w:sz w:val="27"/>
          <w:rtl/>
        </w:rPr>
        <w:t>ب</w:t>
      </w:r>
      <w:r w:rsidRPr="00282AC9">
        <w:rPr>
          <w:rFonts w:ascii="Arial" w:eastAsia="Calibri" w:hAnsi="Arial" w:hint="cs"/>
          <w:sz w:val="27"/>
          <w:rtl/>
        </w:rPr>
        <w:t>ال</w:t>
      </w:r>
      <w:r w:rsidRPr="00282AC9">
        <w:rPr>
          <w:rFonts w:ascii="Arial" w:eastAsia="Calibri" w:hAnsi="Arial"/>
          <w:sz w:val="27"/>
          <w:rtl/>
        </w:rPr>
        <w:t xml:space="preserve">تسامح </w:t>
      </w:r>
      <w:r w:rsidRPr="00282AC9">
        <w:rPr>
          <w:rFonts w:ascii="Arial" w:eastAsia="Calibri" w:hAnsi="Arial" w:hint="cs"/>
          <w:sz w:val="27"/>
          <w:rtl/>
        </w:rPr>
        <w:t xml:space="preserve">في </w:t>
      </w:r>
      <w:r w:rsidRPr="00282AC9">
        <w:rPr>
          <w:rFonts w:ascii="Arial" w:eastAsia="Calibri" w:hAnsi="Arial"/>
          <w:sz w:val="27"/>
          <w:rtl/>
        </w:rPr>
        <w:t>أدلة الس</w:t>
      </w:r>
      <w:r w:rsidR="00C25C52" w:rsidRPr="00282AC9">
        <w:rPr>
          <w:rFonts w:ascii="Arial" w:eastAsia="Calibri" w:hAnsi="Arial" w:hint="cs"/>
          <w:sz w:val="27"/>
          <w:rtl/>
        </w:rPr>
        <w:t>ُّ</w:t>
      </w:r>
      <w:r w:rsidRPr="00282AC9">
        <w:rPr>
          <w:rFonts w:ascii="Arial" w:eastAsia="Calibri" w:hAnsi="Arial"/>
          <w:sz w:val="27"/>
          <w:rtl/>
        </w:rPr>
        <w:t>ن</w:t>
      </w:r>
      <w:r w:rsidR="00C25C52" w:rsidRPr="00282AC9">
        <w:rPr>
          <w:rFonts w:ascii="Arial" w:eastAsia="Calibri" w:hAnsi="Arial" w:hint="cs"/>
          <w:sz w:val="27"/>
          <w:rtl/>
        </w:rPr>
        <w:t>َ</w:t>
      </w:r>
      <w:r w:rsidRPr="00282AC9">
        <w:rPr>
          <w:rFonts w:ascii="Arial" w:eastAsia="Calibri" w:hAnsi="Arial"/>
          <w:sz w:val="27"/>
          <w:rtl/>
        </w:rPr>
        <w:t>ن</w:t>
      </w:r>
      <w:r w:rsidRPr="00282AC9">
        <w:rPr>
          <w:rFonts w:ascii="Arial" w:eastAsia="Calibri" w:hAnsi="Arial" w:hint="cs"/>
          <w:sz w:val="27"/>
          <w:rtl/>
        </w:rPr>
        <w:t>.</w:t>
      </w:r>
    </w:p>
    <w:p w:rsidR="0098597F" w:rsidRPr="00282AC9" w:rsidRDefault="0098597F" w:rsidP="004F097E">
      <w:pPr>
        <w:rPr>
          <w:rFonts w:ascii="Arial" w:eastAsia="Calibri" w:hAnsi="Arial"/>
          <w:sz w:val="27"/>
          <w:rtl/>
        </w:rPr>
      </w:pPr>
      <w:r w:rsidRPr="00282AC9">
        <w:rPr>
          <w:rFonts w:ascii="Arial" w:eastAsia="Calibri" w:hAnsi="Arial" w:hint="cs"/>
          <w:b/>
          <w:bCs/>
          <w:sz w:val="27"/>
          <w:rtl/>
        </w:rPr>
        <w:t xml:space="preserve">الثاني: </w:t>
      </w:r>
      <w:r w:rsidRPr="00282AC9">
        <w:rPr>
          <w:rFonts w:ascii="Arial" w:eastAsia="Calibri" w:hAnsi="Arial" w:hint="cs"/>
          <w:sz w:val="27"/>
          <w:rtl/>
        </w:rPr>
        <w:t>أ</w:t>
      </w:r>
      <w:r w:rsidRPr="00282AC9">
        <w:rPr>
          <w:rFonts w:ascii="Arial" w:eastAsia="Calibri" w:hAnsi="Arial"/>
          <w:sz w:val="27"/>
          <w:rtl/>
        </w:rPr>
        <w:t xml:space="preserve">ن تكون في مقام </w:t>
      </w:r>
      <w:r w:rsidRPr="00282AC9">
        <w:rPr>
          <w:rFonts w:ascii="Arial" w:eastAsia="Calibri" w:hAnsi="Arial" w:hint="cs"/>
          <w:sz w:val="27"/>
          <w:rtl/>
        </w:rPr>
        <w:t>إ</w:t>
      </w:r>
      <w:r w:rsidRPr="00282AC9">
        <w:rPr>
          <w:rFonts w:ascii="Arial" w:eastAsia="Calibri" w:hAnsi="Arial"/>
          <w:sz w:val="27"/>
          <w:rtl/>
        </w:rPr>
        <w:t>نشاء استحباب</w:t>
      </w:r>
      <w:r w:rsidR="00C25C52" w:rsidRPr="00282AC9">
        <w:rPr>
          <w:rFonts w:ascii="Arial" w:eastAsia="Calibri" w:hAnsi="Arial" w:hint="cs"/>
          <w:sz w:val="27"/>
          <w:rtl/>
        </w:rPr>
        <w:t>ٍ</w:t>
      </w:r>
      <w:r w:rsidRPr="00282AC9">
        <w:rPr>
          <w:rFonts w:ascii="Arial" w:eastAsia="Calibri" w:hAnsi="Arial"/>
          <w:sz w:val="27"/>
          <w:rtl/>
        </w:rPr>
        <w:t xml:space="preserve"> واقعي</w:t>
      </w:r>
      <w:r w:rsidR="00C25C52" w:rsidRPr="00282AC9">
        <w:rPr>
          <w:rFonts w:ascii="Arial" w:eastAsia="Calibri" w:hAnsi="Arial" w:hint="cs"/>
          <w:sz w:val="27"/>
          <w:rtl/>
        </w:rPr>
        <w:t>ّ</w:t>
      </w:r>
      <w:r w:rsidRPr="00282AC9">
        <w:rPr>
          <w:rFonts w:ascii="Arial" w:eastAsia="Calibri" w:hAnsi="Arial"/>
          <w:sz w:val="27"/>
          <w:rtl/>
        </w:rPr>
        <w:t xml:space="preserve"> نفسي</w:t>
      </w:r>
      <w:r w:rsidR="00C25C52" w:rsidRPr="00282AC9">
        <w:rPr>
          <w:rFonts w:ascii="Arial" w:eastAsia="Calibri" w:hAnsi="Arial" w:hint="cs"/>
          <w:sz w:val="27"/>
          <w:rtl/>
        </w:rPr>
        <w:t>ّ</w:t>
      </w:r>
      <w:r w:rsidRPr="00282AC9">
        <w:rPr>
          <w:rFonts w:ascii="Arial" w:eastAsia="Calibri" w:hAnsi="Arial"/>
          <w:sz w:val="27"/>
          <w:rtl/>
        </w:rPr>
        <w:t xml:space="preserve"> على طبق</w:t>
      </w:r>
      <w:r w:rsidRPr="00282AC9">
        <w:rPr>
          <w:rFonts w:ascii="Arial" w:eastAsia="Calibri" w:hAnsi="Arial" w:hint="cs"/>
          <w:sz w:val="27"/>
          <w:rtl/>
        </w:rPr>
        <w:t xml:space="preserve"> </w:t>
      </w:r>
      <w:r w:rsidRPr="00282AC9">
        <w:rPr>
          <w:rFonts w:ascii="Arial" w:eastAsia="Calibri" w:hAnsi="Arial"/>
          <w:sz w:val="27"/>
          <w:rtl/>
        </w:rPr>
        <w:t>البلوغ بوصفه عنوانا ثانويا</w:t>
      </w:r>
      <w:r w:rsidRPr="00282AC9">
        <w:rPr>
          <w:rFonts w:ascii="Arial" w:eastAsia="Calibri" w:hAnsi="Arial" w:hint="cs"/>
          <w:sz w:val="27"/>
          <w:rtl/>
        </w:rPr>
        <w:t>ً، وعليه فلا ي</w:t>
      </w:r>
      <w:r w:rsidR="00C25C52" w:rsidRPr="00282AC9">
        <w:rPr>
          <w:rFonts w:ascii="Arial" w:eastAsia="Calibri" w:hAnsi="Arial" w:hint="cs"/>
          <w:sz w:val="27"/>
          <w:rtl/>
        </w:rPr>
        <w:t>ُ</w:t>
      </w:r>
      <w:r w:rsidRPr="00282AC9">
        <w:rPr>
          <w:rFonts w:ascii="Arial" w:eastAsia="Calibri" w:hAnsi="Arial" w:hint="cs"/>
          <w:sz w:val="27"/>
          <w:rtl/>
        </w:rPr>
        <w:t>فتى في مورد الخبر الضعيف باستحباب العنوان الوارد فيه، بل ي</w:t>
      </w:r>
      <w:r w:rsidR="00C25C52" w:rsidRPr="00282AC9">
        <w:rPr>
          <w:rFonts w:ascii="Arial" w:eastAsia="Calibri" w:hAnsi="Arial" w:hint="cs"/>
          <w:sz w:val="27"/>
          <w:rtl/>
        </w:rPr>
        <w:t>ُ</w:t>
      </w:r>
      <w:r w:rsidRPr="00282AC9">
        <w:rPr>
          <w:rFonts w:ascii="Arial" w:eastAsia="Calibri" w:hAnsi="Arial" w:hint="cs"/>
          <w:sz w:val="27"/>
          <w:rtl/>
        </w:rPr>
        <w:t>فتى بالاستحباب</w:t>
      </w:r>
      <w:r w:rsidR="00C25C52" w:rsidRPr="00282AC9">
        <w:rPr>
          <w:rFonts w:ascii="Arial" w:eastAsia="Calibri" w:hAnsi="Arial" w:hint="cs"/>
          <w:sz w:val="27"/>
          <w:rtl/>
        </w:rPr>
        <w:t>؛</w:t>
      </w:r>
      <w:r w:rsidRPr="00282AC9">
        <w:rPr>
          <w:rFonts w:ascii="Arial" w:eastAsia="Calibri" w:hAnsi="Arial" w:hint="cs"/>
          <w:sz w:val="27"/>
          <w:rtl/>
        </w:rPr>
        <w:t xml:space="preserve"> لكون ذلك مم</w:t>
      </w:r>
      <w:r w:rsidR="00C25C52" w:rsidRPr="00282AC9">
        <w:rPr>
          <w:rFonts w:ascii="Arial" w:eastAsia="Calibri" w:hAnsi="Arial" w:hint="cs"/>
          <w:sz w:val="27"/>
          <w:rtl/>
        </w:rPr>
        <w:t>ّ</w:t>
      </w:r>
      <w:r w:rsidRPr="00282AC9">
        <w:rPr>
          <w:rFonts w:ascii="Arial" w:eastAsia="Calibri" w:hAnsi="Arial" w:hint="cs"/>
          <w:sz w:val="27"/>
          <w:rtl/>
        </w:rPr>
        <w:t xml:space="preserve">ا قد بلغ عليه الثواب. </w:t>
      </w:r>
    </w:p>
    <w:p w:rsidR="0098597F" w:rsidRPr="00282AC9" w:rsidRDefault="0098597F" w:rsidP="004F097E">
      <w:pPr>
        <w:rPr>
          <w:rFonts w:ascii="Arial" w:eastAsia="Calibri" w:hAnsi="Arial"/>
          <w:sz w:val="27"/>
          <w:rtl/>
        </w:rPr>
      </w:pPr>
      <w:r w:rsidRPr="00282AC9">
        <w:rPr>
          <w:rFonts w:ascii="Arial" w:eastAsia="Calibri" w:hAnsi="Arial" w:hint="cs"/>
          <w:b/>
          <w:bCs/>
          <w:sz w:val="27"/>
          <w:rtl/>
        </w:rPr>
        <w:t xml:space="preserve">الثالث: </w:t>
      </w:r>
      <w:r w:rsidRPr="00282AC9">
        <w:rPr>
          <w:rFonts w:ascii="Arial" w:eastAsia="Calibri" w:hAnsi="Arial" w:hint="cs"/>
          <w:sz w:val="27"/>
          <w:rtl/>
        </w:rPr>
        <w:t xml:space="preserve">أن تكون بصدد </w:t>
      </w:r>
      <w:r w:rsidRPr="00282AC9">
        <w:rPr>
          <w:rFonts w:ascii="Arial" w:eastAsia="Calibri" w:hAnsi="Arial"/>
          <w:sz w:val="27"/>
          <w:rtl/>
        </w:rPr>
        <w:t>الإرشاد إلى حكم العقل بح</w:t>
      </w:r>
      <w:r w:rsidR="00C25C52" w:rsidRPr="00282AC9">
        <w:rPr>
          <w:rFonts w:ascii="Arial" w:eastAsia="Calibri" w:hAnsi="Arial" w:hint="cs"/>
          <w:sz w:val="27"/>
          <w:rtl/>
        </w:rPr>
        <w:t>ُ</w:t>
      </w:r>
      <w:r w:rsidRPr="00282AC9">
        <w:rPr>
          <w:rFonts w:ascii="Arial" w:eastAsia="Calibri" w:hAnsi="Arial"/>
          <w:sz w:val="27"/>
          <w:rtl/>
        </w:rPr>
        <w:t>س</w:t>
      </w:r>
      <w:r w:rsidR="00C25C52" w:rsidRPr="00282AC9">
        <w:rPr>
          <w:rFonts w:ascii="Arial" w:eastAsia="Calibri" w:hAnsi="Arial" w:hint="cs"/>
          <w:sz w:val="27"/>
          <w:rtl/>
        </w:rPr>
        <w:t>ْ</w:t>
      </w:r>
      <w:r w:rsidRPr="00282AC9">
        <w:rPr>
          <w:rFonts w:ascii="Arial" w:eastAsia="Calibri" w:hAnsi="Arial"/>
          <w:sz w:val="27"/>
          <w:rtl/>
        </w:rPr>
        <w:t>ن الاحتياط</w:t>
      </w:r>
      <w:r w:rsidRPr="00282AC9">
        <w:rPr>
          <w:rFonts w:ascii="Arial" w:eastAsia="Calibri" w:hAnsi="Arial" w:hint="cs"/>
          <w:sz w:val="27"/>
          <w:rtl/>
        </w:rPr>
        <w:t>، واستحقاق المحتاط للثواب</w:t>
      </w:r>
      <w:r w:rsidR="00C25C52" w:rsidRPr="00282AC9">
        <w:rPr>
          <w:rFonts w:ascii="Arial" w:eastAsia="Calibri" w:hAnsi="Arial" w:hint="cs"/>
          <w:sz w:val="27"/>
          <w:rtl/>
        </w:rPr>
        <w:t>؛</w:t>
      </w:r>
      <w:r w:rsidRPr="00282AC9">
        <w:rPr>
          <w:rFonts w:ascii="Arial" w:eastAsia="Calibri" w:hAnsi="Arial"/>
          <w:sz w:val="27"/>
          <w:rtl/>
        </w:rPr>
        <w:t xml:space="preserve"> لانبعاث</w:t>
      </w:r>
      <w:r w:rsidRPr="00282AC9">
        <w:rPr>
          <w:rFonts w:ascii="Arial" w:eastAsia="Calibri" w:hAnsi="Arial" w:hint="cs"/>
          <w:sz w:val="27"/>
          <w:rtl/>
        </w:rPr>
        <w:t>ه</w:t>
      </w:r>
      <w:r w:rsidRPr="00282AC9">
        <w:rPr>
          <w:rFonts w:ascii="Arial" w:eastAsia="Calibri" w:hAnsi="Arial"/>
          <w:sz w:val="27"/>
          <w:rtl/>
        </w:rPr>
        <w:t xml:space="preserve"> </w:t>
      </w:r>
      <w:r w:rsidRPr="00282AC9">
        <w:rPr>
          <w:rFonts w:ascii="Arial" w:eastAsia="Calibri" w:hAnsi="Arial" w:hint="cs"/>
          <w:sz w:val="27"/>
          <w:rtl/>
        </w:rPr>
        <w:t>نحو فعل ما ي</w:t>
      </w:r>
      <w:r w:rsidR="00C25C52" w:rsidRPr="00282AC9">
        <w:rPr>
          <w:rFonts w:ascii="Arial" w:eastAsia="Calibri" w:hAnsi="Arial" w:hint="cs"/>
          <w:sz w:val="27"/>
          <w:rtl/>
        </w:rPr>
        <w:t>ُ</w:t>
      </w:r>
      <w:r w:rsidRPr="00282AC9">
        <w:rPr>
          <w:rFonts w:ascii="Arial" w:eastAsia="Calibri" w:hAnsi="Arial" w:hint="cs"/>
          <w:sz w:val="27"/>
          <w:rtl/>
        </w:rPr>
        <w:t>حت</w:t>
      </w:r>
      <w:r w:rsidR="00C25C52" w:rsidRPr="00282AC9">
        <w:rPr>
          <w:rFonts w:ascii="Arial" w:eastAsia="Calibri" w:hAnsi="Arial" w:hint="cs"/>
          <w:sz w:val="27"/>
          <w:rtl/>
        </w:rPr>
        <w:t>َ</w:t>
      </w:r>
      <w:r w:rsidRPr="00282AC9">
        <w:rPr>
          <w:rFonts w:ascii="Arial" w:eastAsia="Calibri" w:hAnsi="Arial" w:hint="cs"/>
          <w:sz w:val="27"/>
          <w:rtl/>
        </w:rPr>
        <w:t>م</w:t>
      </w:r>
      <w:r w:rsidR="00C25C52" w:rsidRPr="00282AC9">
        <w:rPr>
          <w:rFonts w:ascii="Arial" w:eastAsia="Calibri" w:hAnsi="Arial" w:hint="cs"/>
          <w:sz w:val="27"/>
          <w:rtl/>
        </w:rPr>
        <w:t>َ</w:t>
      </w:r>
      <w:r w:rsidRPr="00282AC9">
        <w:rPr>
          <w:rFonts w:ascii="Arial" w:eastAsia="Calibri" w:hAnsi="Arial" w:hint="cs"/>
          <w:sz w:val="27"/>
          <w:rtl/>
        </w:rPr>
        <w:t>ل كونه مطلوباً للمولى،</w:t>
      </w:r>
      <w:r w:rsidRPr="00282AC9">
        <w:rPr>
          <w:rFonts w:ascii="Arial" w:eastAsia="Calibri" w:hAnsi="Arial"/>
          <w:sz w:val="27"/>
          <w:rtl/>
        </w:rPr>
        <w:t xml:space="preserve"> فيكون ترغيبا</w:t>
      </w:r>
      <w:r w:rsidRPr="00282AC9">
        <w:rPr>
          <w:rFonts w:ascii="Arial" w:eastAsia="Calibri" w:hAnsi="Arial" w:hint="cs"/>
          <w:sz w:val="27"/>
          <w:rtl/>
        </w:rPr>
        <w:t>ً</w:t>
      </w:r>
      <w:r w:rsidRPr="00282AC9">
        <w:rPr>
          <w:rFonts w:ascii="Arial" w:eastAsia="Calibri" w:hAnsi="Arial"/>
          <w:sz w:val="27"/>
          <w:rtl/>
        </w:rPr>
        <w:t xml:space="preserve"> صادرا</w:t>
      </w:r>
      <w:r w:rsidRPr="00282AC9">
        <w:rPr>
          <w:rFonts w:ascii="Arial" w:eastAsia="Calibri" w:hAnsi="Arial" w:hint="cs"/>
          <w:sz w:val="27"/>
          <w:rtl/>
        </w:rPr>
        <w:t>ً</w:t>
      </w:r>
      <w:r w:rsidRPr="00282AC9">
        <w:rPr>
          <w:rFonts w:ascii="Arial" w:eastAsia="Calibri" w:hAnsi="Arial"/>
          <w:sz w:val="27"/>
          <w:rtl/>
        </w:rPr>
        <w:t xml:space="preserve"> عن المولى بما هو عاقل</w:t>
      </w:r>
      <w:r w:rsidR="00C25C52" w:rsidRPr="00282AC9">
        <w:rPr>
          <w:rFonts w:ascii="Arial" w:eastAsia="Calibri" w:hAnsi="Arial" w:hint="cs"/>
          <w:sz w:val="27"/>
          <w:rtl/>
        </w:rPr>
        <w:t>ٌ،</w:t>
      </w:r>
      <w:r w:rsidRPr="00282AC9">
        <w:rPr>
          <w:rFonts w:ascii="Arial" w:eastAsia="Calibri" w:hAnsi="Arial"/>
          <w:sz w:val="27"/>
          <w:rtl/>
        </w:rPr>
        <w:t xml:space="preserve"> لا بما هو مولى.</w:t>
      </w:r>
      <w:r w:rsidRPr="00282AC9">
        <w:rPr>
          <w:rFonts w:ascii="Arial" w:eastAsia="Calibri" w:hAnsi="Arial" w:hint="cs"/>
          <w:sz w:val="27"/>
          <w:rtl/>
        </w:rPr>
        <w:t xml:space="preserve"> </w:t>
      </w:r>
    </w:p>
    <w:p w:rsidR="0098597F" w:rsidRPr="00282AC9" w:rsidRDefault="0098597F" w:rsidP="004F097E">
      <w:pPr>
        <w:rPr>
          <w:rFonts w:ascii="Arial" w:eastAsia="Calibri" w:hAnsi="Arial"/>
          <w:sz w:val="27"/>
          <w:rtl/>
        </w:rPr>
      </w:pPr>
      <w:r w:rsidRPr="00282AC9">
        <w:rPr>
          <w:rFonts w:ascii="Arial" w:eastAsia="Calibri" w:hAnsi="Arial"/>
          <w:b/>
          <w:bCs/>
          <w:sz w:val="27"/>
          <w:rtl/>
        </w:rPr>
        <w:lastRenderedPageBreak/>
        <w:t xml:space="preserve">الرابع: </w:t>
      </w:r>
      <w:r w:rsidRPr="00282AC9">
        <w:rPr>
          <w:rFonts w:ascii="Arial" w:eastAsia="Calibri" w:hAnsi="Arial" w:hint="cs"/>
          <w:sz w:val="27"/>
          <w:rtl/>
        </w:rPr>
        <w:t>أ</w:t>
      </w:r>
      <w:r w:rsidRPr="00282AC9">
        <w:rPr>
          <w:rFonts w:ascii="Arial" w:eastAsia="Calibri" w:hAnsi="Arial"/>
          <w:sz w:val="27"/>
          <w:rtl/>
        </w:rPr>
        <w:t xml:space="preserve">ن تكون </w:t>
      </w:r>
      <w:r w:rsidRPr="00282AC9">
        <w:rPr>
          <w:rFonts w:ascii="Arial" w:eastAsia="Calibri" w:hAnsi="Arial" w:hint="cs"/>
          <w:sz w:val="27"/>
          <w:rtl/>
        </w:rPr>
        <w:t>إخباراً و</w:t>
      </w:r>
      <w:r w:rsidRPr="00282AC9">
        <w:rPr>
          <w:rFonts w:ascii="Arial" w:eastAsia="Calibri" w:hAnsi="Arial"/>
          <w:sz w:val="27"/>
          <w:rtl/>
        </w:rPr>
        <w:t>و</w:t>
      </w:r>
      <w:r w:rsidR="00C25C52" w:rsidRPr="00282AC9">
        <w:rPr>
          <w:rFonts w:ascii="Arial" w:eastAsia="Calibri" w:hAnsi="Arial" w:hint="cs"/>
          <w:sz w:val="27"/>
          <w:rtl/>
        </w:rPr>
        <w:t>َ</w:t>
      </w:r>
      <w:r w:rsidRPr="00282AC9">
        <w:rPr>
          <w:rFonts w:ascii="Arial" w:eastAsia="Calibri" w:hAnsi="Arial"/>
          <w:sz w:val="27"/>
          <w:rtl/>
        </w:rPr>
        <w:t>ع</w:t>
      </w:r>
      <w:r w:rsidR="00C25C52" w:rsidRPr="00282AC9">
        <w:rPr>
          <w:rFonts w:ascii="Arial" w:eastAsia="Calibri" w:hAnsi="Arial" w:hint="cs"/>
          <w:sz w:val="27"/>
          <w:rtl/>
        </w:rPr>
        <w:t>ْ</w:t>
      </w:r>
      <w:r w:rsidRPr="00282AC9">
        <w:rPr>
          <w:rFonts w:ascii="Arial" w:eastAsia="Calibri" w:hAnsi="Arial"/>
          <w:sz w:val="27"/>
          <w:rtl/>
        </w:rPr>
        <w:t>دا</w:t>
      </w:r>
      <w:r w:rsidRPr="00282AC9">
        <w:rPr>
          <w:rFonts w:ascii="Arial" w:eastAsia="Calibri" w:hAnsi="Arial" w:hint="cs"/>
          <w:sz w:val="27"/>
          <w:rtl/>
        </w:rPr>
        <w:t>ً</w:t>
      </w:r>
      <w:r w:rsidRPr="00282AC9">
        <w:rPr>
          <w:rFonts w:ascii="Arial" w:eastAsia="Calibri" w:hAnsi="Arial"/>
          <w:sz w:val="27"/>
          <w:rtl/>
        </w:rPr>
        <w:t xml:space="preserve"> مولويا</w:t>
      </w:r>
      <w:r w:rsidRPr="00282AC9">
        <w:rPr>
          <w:rFonts w:ascii="Arial" w:eastAsia="Calibri" w:hAnsi="Arial" w:hint="cs"/>
          <w:sz w:val="27"/>
          <w:rtl/>
        </w:rPr>
        <w:t>ً بالثواب</w:t>
      </w:r>
      <w:r w:rsidR="00C25C52" w:rsidRPr="00282AC9">
        <w:rPr>
          <w:rFonts w:ascii="Arial" w:eastAsia="Calibri" w:hAnsi="Arial" w:hint="cs"/>
          <w:sz w:val="27"/>
          <w:rtl/>
        </w:rPr>
        <w:t>؛</w:t>
      </w:r>
      <w:r w:rsidRPr="00282AC9">
        <w:rPr>
          <w:rFonts w:ascii="Arial" w:eastAsia="Calibri" w:hAnsi="Arial"/>
          <w:sz w:val="27"/>
          <w:rtl/>
        </w:rPr>
        <w:t xml:space="preserve"> لمصلحة</w:t>
      </w:r>
      <w:r w:rsidR="00C25C52" w:rsidRPr="00282AC9">
        <w:rPr>
          <w:rFonts w:ascii="Arial" w:eastAsia="Calibri" w:hAnsi="Arial" w:hint="cs"/>
          <w:sz w:val="27"/>
          <w:rtl/>
        </w:rPr>
        <w:t>ٍ</w:t>
      </w:r>
      <w:r w:rsidRPr="00282AC9">
        <w:rPr>
          <w:rFonts w:ascii="Arial" w:eastAsia="Calibri" w:hAnsi="Arial"/>
          <w:sz w:val="27"/>
          <w:rtl/>
        </w:rPr>
        <w:t xml:space="preserve"> في نفس الو</w:t>
      </w:r>
      <w:r w:rsidR="00C25C52" w:rsidRPr="00282AC9">
        <w:rPr>
          <w:rFonts w:ascii="Arial" w:eastAsia="Calibri" w:hAnsi="Arial" w:hint="cs"/>
          <w:sz w:val="27"/>
          <w:rtl/>
        </w:rPr>
        <w:t>َ</w:t>
      </w:r>
      <w:r w:rsidRPr="00282AC9">
        <w:rPr>
          <w:rFonts w:ascii="Arial" w:eastAsia="Calibri" w:hAnsi="Arial"/>
          <w:sz w:val="27"/>
          <w:rtl/>
        </w:rPr>
        <w:t>ع</w:t>
      </w:r>
      <w:r w:rsidR="00C25C52" w:rsidRPr="00282AC9">
        <w:rPr>
          <w:rFonts w:ascii="Arial" w:eastAsia="Calibri" w:hAnsi="Arial" w:hint="cs"/>
          <w:sz w:val="27"/>
          <w:rtl/>
        </w:rPr>
        <w:t>ْ</w:t>
      </w:r>
      <w:r w:rsidRPr="00282AC9">
        <w:rPr>
          <w:rFonts w:ascii="Arial" w:eastAsia="Calibri" w:hAnsi="Arial"/>
          <w:sz w:val="27"/>
          <w:rtl/>
        </w:rPr>
        <w:t>د، ولو كانت</w:t>
      </w:r>
      <w:r w:rsidRPr="00282AC9">
        <w:rPr>
          <w:rFonts w:ascii="Arial" w:eastAsia="Calibri" w:hAnsi="Arial" w:hint="cs"/>
          <w:sz w:val="27"/>
          <w:rtl/>
        </w:rPr>
        <w:t xml:space="preserve"> </w:t>
      </w:r>
      <w:r w:rsidRPr="00282AC9">
        <w:rPr>
          <w:rFonts w:ascii="Arial" w:eastAsia="Calibri" w:hAnsi="Arial"/>
          <w:sz w:val="27"/>
          <w:rtl/>
        </w:rPr>
        <w:t>هذه المصلحة هي الترغيب في الاحتياط</w:t>
      </w:r>
      <w:r w:rsidR="00C25C52" w:rsidRPr="00282AC9">
        <w:rPr>
          <w:rFonts w:ascii="Arial" w:eastAsia="Calibri" w:hAnsi="Arial" w:hint="cs"/>
          <w:sz w:val="27"/>
          <w:rtl/>
        </w:rPr>
        <w:t>؛</w:t>
      </w:r>
      <w:r w:rsidRPr="00282AC9">
        <w:rPr>
          <w:rFonts w:ascii="Arial" w:eastAsia="Calibri" w:hAnsi="Arial"/>
          <w:sz w:val="27"/>
          <w:rtl/>
        </w:rPr>
        <w:t xml:space="preserve"> باعتبار ح</w:t>
      </w:r>
      <w:r w:rsidR="00C25C52" w:rsidRPr="00282AC9">
        <w:rPr>
          <w:rFonts w:ascii="Arial" w:eastAsia="Calibri" w:hAnsi="Arial" w:hint="cs"/>
          <w:sz w:val="27"/>
          <w:rtl/>
        </w:rPr>
        <w:t>ُ</w:t>
      </w:r>
      <w:r w:rsidRPr="00282AC9">
        <w:rPr>
          <w:rFonts w:ascii="Arial" w:eastAsia="Calibri" w:hAnsi="Arial"/>
          <w:sz w:val="27"/>
          <w:rtl/>
        </w:rPr>
        <w:t>س</w:t>
      </w:r>
      <w:r w:rsidR="00C25C52" w:rsidRPr="00282AC9">
        <w:rPr>
          <w:rFonts w:ascii="Arial" w:eastAsia="Calibri" w:hAnsi="Arial" w:hint="cs"/>
          <w:sz w:val="27"/>
          <w:rtl/>
        </w:rPr>
        <w:t>ْ</w:t>
      </w:r>
      <w:r w:rsidRPr="00282AC9">
        <w:rPr>
          <w:rFonts w:ascii="Arial" w:eastAsia="Calibri" w:hAnsi="Arial"/>
          <w:sz w:val="27"/>
          <w:rtl/>
        </w:rPr>
        <w:t>نه عقلا</w:t>
      </w:r>
      <w:r w:rsidRPr="00282AC9">
        <w:rPr>
          <w:rFonts w:ascii="Arial" w:eastAsia="Calibri" w:hAnsi="Arial" w:hint="cs"/>
          <w:sz w:val="27"/>
          <w:rtl/>
        </w:rPr>
        <w:t>ً</w:t>
      </w:r>
      <w:r w:rsidRPr="00282AC9">
        <w:rPr>
          <w:rFonts w:ascii="Arial" w:eastAsia="Calibri" w:hAnsi="Arial"/>
          <w:sz w:val="27"/>
          <w:rtl/>
        </w:rPr>
        <w:t>، وبعد حصول الوعد نقطع بالوفاء لا محالة</w:t>
      </w:r>
      <w:r w:rsidRPr="00282AC9">
        <w:rPr>
          <w:rFonts w:ascii="Arial" w:eastAsia="Calibri" w:hAnsi="Arial" w:hint="cs"/>
          <w:sz w:val="27"/>
          <w:rtl/>
        </w:rPr>
        <w:t>.</w:t>
      </w:r>
    </w:p>
    <w:p w:rsidR="0098597F" w:rsidRPr="00282AC9" w:rsidRDefault="0098597F" w:rsidP="004F097E">
      <w:pPr>
        <w:rPr>
          <w:rFonts w:ascii="Arial" w:eastAsia="Calibri" w:hAnsi="Arial"/>
          <w:sz w:val="27"/>
          <w:rtl/>
        </w:rPr>
      </w:pPr>
      <w:r w:rsidRPr="00282AC9">
        <w:rPr>
          <w:rFonts w:ascii="Arial" w:eastAsia="Calibri" w:hAnsi="Arial" w:hint="cs"/>
          <w:b/>
          <w:bCs/>
          <w:sz w:val="27"/>
          <w:rtl/>
        </w:rPr>
        <w:t xml:space="preserve">الخامس: </w:t>
      </w:r>
      <w:r w:rsidR="00C25C52" w:rsidRPr="00282AC9">
        <w:rPr>
          <w:rFonts w:ascii="Arial" w:eastAsia="Calibri" w:hAnsi="Arial" w:hint="cs"/>
          <w:sz w:val="27"/>
          <w:rtl/>
        </w:rPr>
        <w:t>إ</w:t>
      </w:r>
      <w:r w:rsidRPr="00282AC9">
        <w:rPr>
          <w:rFonts w:ascii="Arial" w:eastAsia="Calibri" w:hAnsi="Arial" w:hint="cs"/>
          <w:sz w:val="27"/>
          <w:rtl/>
        </w:rPr>
        <w:t xml:space="preserve">ن أخبار </w:t>
      </w:r>
      <w:r w:rsidRPr="00282AC9">
        <w:rPr>
          <w:rFonts w:hint="eastAsia"/>
          <w:sz w:val="24"/>
          <w:szCs w:val="24"/>
          <w:rtl/>
        </w:rPr>
        <w:t>«</w:t>
      </w:r>
      <w:r w:rsidRPr="00282AC9">
        <w:rPr>
          <w:rFonts w:ascii="Arial" w:eastAsia="Calibri" w:hAnsi="Arial" w:hint="cs"/>
          <w:sz w:val="27"/>
          <w:rtl/>
        </w:rPr>
        <w:t>م</w:t>
      </w:r>
      <w:r w:rsidR="00C25C52" w:rsidRPr="00282AC9">
        <w:rPr>
          <w:rFonts w:ascii="Arial" w:eastAsia="Calibri" w:hAnsi="Arial" w:hint="cs"/>
          <w:sz w:val="27"/>
          <w:rtl/>
        </w:rPr>
        <w:t>َ</w:t>
      </w:r>
      <w:r w:rsidRPr="00282AC9">
        <w:rPr>
          <w:rFonts w:ascii="Arial" w:eastAsia="Calibri" w:hAnsi="Arial" w:hint="cs"/>
          <w:sz w:val="27"/>
          <w:rtl/>
        </w:rPr>
        <w:t>ن</w:t>
      </w:r>
      <w:r w:rsidR="00C25C52" w:rsidRPr="00282AC9">
        <w:rPr>
          <w:rFonts w:ascii="Arial" w:eastAsia="Calibri" w:hAnsi="Arial" w:hint="cs"/>
          <w:sz w:val="27"/>
          <w:rtl/>
        </w:rPr>
        <w:t>ْ</w:t>
      </w:r>
      <w:r w:rsidRPr="00282AC9">
        <w:rPr>
          <w:rFonts w:ascii="Arial" w:eastAsia="Calibri" w:hAnsi="Arial" w:hint="cs"/>
          <w:sz w:val="27"/>
          <w:rtl/>
        </w:rPr>
        <w:t xml:space="preserve"> بلغ</w:t>
      </w:r>
      <w:r w:rsidRPr="00282AC9">
        <w:rPr>
          <w:rFonts w:hint="eastAsia"/>
          <w:sz w:val="24"/>
          <w:szCs w:val="24"/>
          <w:rtl/>
        </w:rPr>
        <w:t>»</w:t>
      </w:r>
      <w:r w:rsidRPr="00282AC9">
        <w:rPr>
          <w:rFonts w:ascii="Arial" w:eastAsia="Calibri" w:hAnsi="Arial" w:hint="cs"/>
          <w:sz w:val="27"/>
          <w:rtl/>
        </w:rPr>
        <w:t xml:space="preserve"> تهدف إلى حثّ المكل</w:t>
      </w:r>
      <w:r w:rsidR="00A804E3" w:rsidRPr="00282AC9">
        <w:rPr>
          <w:rFonts w:ascii="Arial" w:eastAsia="Calibri" w:hAnsi="Arial" w:hint="cs"/>
          <w:sz w:val="27"/>
          <w:rtl/>
        </w:rPr>
        <w:t>َّ</w:t>
      </w:r>
      <w:r w:rsidRPr="00282AC9">
        <w:rPr>
          <w:rFonts w:ascii="Arial" w:eastAsia="Calibri" w:hAnsi="Arial" w:hint="cs"/>
          <w:sz w:val="27"/>
          <w:rtl/>
        </w:rPr>
        <w:t>ف على فعل الطاعات وأعمال الخير المفروغ من خيري</w:t>
      </w:r>
      <w:r w:rsidR="00A804E3" w:rsidRPr="00282AC9">
        <w:rPr>
          <w:rFonts w:ascii="Arial" w:eastAsia="Calibri" w:hAnsi="Arial" w:hint="cs"/>
          <w:sz w:val="27"/>
          <w:rtl/>
        </w:rPr>
        <w:t>ّ</w:t>
      </w:r>
      <w:r w:rsidRPr="00282AC9">
        <w:rPr>
          <w:rFonts w:ascii="Arial" w:eastAsia="Calibri" w:hAnsi="Arial" w:hint="cs"/>
          <w:sz w:val="27"/>
          <w:rtl/>
        </w:rPr>
        <w:t>تها</w:t>
      </w:r>
      <w:r w:rsidR="00A804E3" w:rsidRPr="00282AC9">
        <w:rPr>
          <w:rFonts w:ascii="Arial" w:eastAsia="Calibri" w:hAnsi="Arial" w:hint="cs"/>
          <w:sz w:val="27"/>
          <w:rtl/>
        </w:rPr>
        <w:t>،</w:t>
      </w:r>
      <w:r w:rsidRPr="00282AC9">
        <w:rPr>
          <w:rFonts w:ascii="Arial" w:eastAsia="Calibri" w:hAnsi="Arial" w:hint="cs"/>
          <w:sz w:val="27"/>
          <w:rtl/>
        </w:rPr>
        <w:t xml:space="preserve"> والتي قد تفتر هم</w:t>
      </w:r>
      <w:r w:rsidR="00A804E3" w:rsidRPr="00282AC9">
        <w:rPr>
          <w:rFonts w:ascii="Arial" w:eastAsia="Calibri" w:hAnsi="Arial" w:hint="cs"/>
          <w:sz w:val="27"/>
          <w:rtl/>
        </w:rPr>
        <w:t>ّ</w:t>
      </w:r>
      <w:r w:rsidRPr="00282AC9">
        <w:rPr>
          <w:rFonts w:ascii="Arial" w:eastAsia="Calibri" w:hAnsi="Arial" w:hint="cs"/>
          <w:sz w:val="27"/>
          <w:rtl/>
        </w:rPr>
        <w:t>ة المكل</w:t>
      </w:r>
      <w:r w:rsidR="00A804E3" w:rsidRPr="00282AC9">
        <w:rPr>
          <w:rFonts w:ascii="Arial" w:eastAsia="Calibri" w:hAnsi="Arial" w:hint="cs"/>
          <w:sz w:val="27"/>
          <w:rtl/>
        </w:rPr>
        <w:t>َّ</w:t>
      </w:r>
      <w:r w:rsidRPr="00282AC9">
        <w:rPr>
          <w:rFonts w:ascii="Arial" w:eastAsia="Calibri" w:hAnsi="Arial" w:hint="cs"/>
          <w:sz w:val="27"/>
          <w:rtl/>
        </w:rPr>
        <w:t>فين وعزيمتهم عن فعلها</w:t>
      </w:r>
      <w:r w:rsidR="00A804E3" w:rsidRPr="00282AC9">
        <w:rPr>
          <w:rFonts w:ascii="Arial" w:eastAsia="Calibri" w:hAnsi="Arial" w:hint="cs"/>
          <w:sz w:val="27"/>
          <w:rtl/>
        </w:rPr>
        <w:t>؛</w:t>
      </w:r>
      <w:r w:rsidRPr="00282AC9">
        <w:rPr>
          <w:rFonts w:ascii="Arial" w:eastAsia="Calibri" w:hAnsi="Arial" w:hint="cs"/>
          <w:sz w:val="27"/>
          <w:rtl/>
        </w:rPr>
        <w:t xml:space="preserve"> لسبب</w:t>
      </w:r>
      <w:r w:rsidR="00A804E3" w:rsidRPr="00282AC9">
        <w:rPr>
          <w:rFonts w:ascii="Arial" w:eastAsia="Calibri" w:hAnsi="Arial" w:hint="cs"/>
          <w:sz w:val="27"/>
          <w:rtl/>
        </w:rPr>
        <w:t>ٍ</w:t>
      </w:r>
      <w:r w:rsidRPr="00282AC9">
        <w:rPr>
          <w:rFonts w:ascii="Arial" w:eastAsia="Calibri" w:hAnsi="Arial" w:hint="cs"/>
          <w:sz w:val="27"/>
          <w:rtl/>
        </w:rPr>
        <w:t xml:space="preserve"> أو آخر، فإذا ورد بشأنها ثواب</w:t>
      </w:r>
      <w:r w:rsidR="00A804E3" w:rsidRPr="00282AC9">
        <w:rPr>
          <w:rFonts w:ascii="Arial" w:eastAsia="Calibri" w:hAnsi="Arial" w:hint="cs"/>
          <w:sz w:val="27"/>
          <w:rtl/>
        </w:rPr>
        <w:t>ٌ</w:t>
      </w:r>
      <w:r w:rsidRPr="00282AC9">
        <w:rPr>
          <w:rFonts w:ascii="Arial" w:eastAsia="Calibri" w:hAnsi="Arial" w:hint="cs"/>
          <w:sz w:val="27"/>
          <w:rtl/>
        </w:rPr>
        <w:t xml:space="preserve"> معين في بعض الأخبار</w:t>
      </w:r>
      <w:r w:rsidR="00A804E3" w:rsidRPr="00282AC9">
        <w:rPr>
          <w:rFonts w:ascii="Arial" w:eastAsia="Calibri" w:hAnsi="Arial" w:hint="cs"/>
          <w:sz w:val="27"/>
          <w:rtl/>
        </w:rPr>
        <w:t>،</w:t>
      </w:r>
      <w:r w:rsidRPr="00282AC9">
        <w:rPr>
          <w:rFonts w:ascii="Arial" w:eastAsia="Calibri" w:hAnsi="Arial" w:hint="cs"/>
          <w:sz w:val="27"/>
          <w:rtl/>
        </w:rPr>
        <w:t xml:space="preserve"> وكان هذا القدر من الثواب مم</w:t>
      </w:r>
      <w:r w:rsidR="00A804E3" w:rsidRPr="00282AC9">
        <w:rPr>
          <w:rFonts w:ascii="Arial" w:eastAsia="Calibri" w:hAnsi="Arial" w:hint="cs"/>
          <w:sz w:val="27"/>
          <w:rtl/>
        </w:rPr>
        <w:t>ّ</w:t>
      </w:r>
      <w:r w:rsidRPr="00282AC9">
        <w:rPr>
          <w:rFonts w:ascii="Arial" w:eastAsia="Calibri" w:hAnsi="Arial" w:hint="cs"/>
          <w:sz w:val="27"/>
          <w:rtl/>
        </w:rPr>
        <w:t>ا لم يق</w:t>
      </w:r>
      <w:r w:rsidR="00A804E3" w:rsidRPr="00282AC9">
        <w:rPr>
          <w:rFonts w:ascii="Arial" w:eastAsia="Calibri" w:hAnsi="Arial" w:hint="cs"/>
          <w:sz w:val="27"/>
          <w:rtl/>
        </w:rPr>
        <w:t>ُ</w:t>
      </w:r>
      <w:r w:rsidRPr="00282AC9">
        <w:rPr>
          <w:rFonts w:ascii="Arial" w:eastAsia="Calibri" w:hAnsi="Arial" w:hint="cs"/>
          <w:sz w:val="27"/>
          <w:rtl/>
        </w:rPr>
        <w:t>ل</w:t>
      </w:r>
      <w:r w:rsidR="00A804E3" w:rsidRPr="00282AC9">
        <w:rPr>
          <w:rFonts w:ascii="Arial" w:eastAsia="Calibri" w:hAnsi="Arial" w:hint="cs"/>
          <w:sz w:val="27"/>
          <w:rtl/>
        </w:rPr>
        <w:t>ْ</w:t>
      </w:r>
      <w:r w:rsidRPr="00282AC9">
        <w:rPr>
          <w:rFonts w:ascii="Arial" w:eastAsia="Calibri" w:hAnsi="Arial" w:hint="cs"/>
          <w:sz w:val="27"/>
          <w:rtl/>
        </w:rPr>
        <w:t>ه النبي</w:t>
      </w:r>
      <w:r w:rsidR="00A804E3" w:rsidRPr="00282AC9">
        <w:rPr>
          <w:rFonts w:ascii="Arial" w:eastAsia="Calibri" w:hAnsi="Arial" w:hint="cs"/>
          <w:sz w:val="27"/>
          <w:rtl/>
        </w:rPr>
        <w:t>ّ</w:t>
      </w:r>
      <w:r w:rsidR="009A2A04" w:rsidRPr="00282AC9">
        <w:rPr>
          <w:rFonts w:ascii="Arial" w:eastAsia="Calibri" w:hAnsi="Arial" w:cs="Mosawi" w:hint="cs"/>
          <w:sz w:val="22"/>
          <w:szCs w:val="22"/>
          <w:rtl/>
        </w:rPr>
        <w:t>|</w:t>
      </w:r>
      <w:r w:rsidRPr="00282AC9">
        <w:rPr>
          <w:rFonts w:ascii="Arial" w:eastAsia="Calibri" w:hAnsi="Arial" w:hint="cs"/>
          <w:sz w:val="27"/>
          <w:rtl/>
        </w:rPr>
        <w:t>، فحث</w:t>
      </w:r>
      <w:r w:rsidR="00A804E3" w:rsidRPr="00282AC9">
        <w:rPr>
          <w:rFonts w:ascii="Arial" w:eastAsia="Calibri" w:hAnsi="Arial" w:hint="cs"/>
          <w:sz w:val="27"/>
          <w:rtl/>
        </w:rPr>
        <w:t>ّ</w:t>
      </w:r>
      <w:r w:rsidRPr="00282AC9">
        <w:rPr>
          <w:rFonts w:ascii="Arial" w:eastAsia="Calibri" w:hAnsi="Arial" w:hint="cs"/>
          <w:sz w:val="27"/>
          <w:rtl/>
        </w:rPr>
        <w:t>اً للمكل</w:t>
      </w:r>
      <w:r w:rsidR="00A804E3" w:rsidRPr="00282AC9">
        <w:rPr>
          <w:rFonts w:ascii="Arial" w:eastAsia="Calibri" w:hAnsi="Arial" w:hint="cs"/>
          <w:sz w:val="27"/>
          <w:rtl/>
        </w:rPr>
        <w:t>َّ</w:t>
      </w:r>
      <w:r w:rsidRPr="00282AC9">
        <w:rPr>
          <w:rFonts w:ascii="Arial" w:eastAsia="Calibri" w:hAnsi="Arial" w:hint="cs"/>
          <w:sz w:val="27"/>
          <w:rtl/>
        </w:rPr>
        <w:t>ف على عمل الخير ذاك ي</w:t>
      </w:r>
      <w:r w:rsidR="00A804E3" w:rsidRPr="00282AC9">
        <w:rPr>
          <w:rFonts w:ascii="Arial" w:eastAsia="Calibri" w:hAnsi="Arial" w:hint="cs"/>
          <w:sz w:val="27"/>
          <w:rtl/>
        </w:rPr>
        <w:t>ُ</w:t>
      </w:r>
      <w:r w:rsidRPr="00282AC9">
        <w:rPr>
          <w:rFonts w:ascii="Arial" w:eastAsia="Calibri" w:hAnsi="Arial" w:hint="cs"/>
          <w:sz w:val="27"/>
          <w:rtl/>
        </w:rPr>
        <w:t>قال له</w:t>
      </w:r>
      <w:r w:rsidR="00A804E3" w:rsidRPr="00282AC9">
        <w:rPr>
          <w:rFonts w:ascii="Arial" w:eastAsia="Calibri" w:hAnsi="Arial" w:hint="cs"/>
          <w:sz w:val="27"/>
          <w:rtl/>
        </w:rPr>
        <w:t>،</w:t>
      </w:r>
      <w:r w:rsidRPr="00282AC9">
        <w:rPr>
          <w:rFonts w:ascii="Arial" w:eastAsia="Calibri" w:hAnsi="Arial" w:hint="cs"/>
          <w:sz w:val="27"/>
          <w:rtl/>
        </w:rPr>
        <w:t xml:space="preserve"> من خلال أخبار </w:t>
      </w:r>
      <w:r w:rsidRPr="00282AC9">
        <w:rPr>
          <w:rFonts w:hint="eastAsia"/>
          <w:sz w:val="24"/>
          <w:szCs w:val="24"/>
          <w:rtl/>
        </w:rPr>
        <w:t>«</w:t>
      </w:r>
      <w:r w:rsidRPr="00282AC9">
        <w:rPr>
          <w:rFonts w:ascii="Arial" w:eastAsia="Calibri" w:hAnsi="Arial" w:hint="cs"/>
          <w:sz w:val="27"/>
          <w:rtl/>
        </w:rPr>
        <w:t>م</w:t>
      </w:r>
      <w:r w:rsidR="00A804E3" w:rsidRPr="00282AC9">
        <w:rPr>
          <w:rFonts w:ascii="Arial" w:eastAsia="Calibri" w:hAnsi="Arial" w:hint="cs"/>
          <w:sz w:val="27"/>
          <w:rtl/>
        </w:rPr>
        <w:t>َ</w:t>
      </w:r>
      <w:r w:rsidRPr="00282AC9">
        <w:rPr>
          <w:rFonts w:ascii="Arial" w:eastAsia="Calibri" w:hAnsi="Arial" w:hint="cs"/>
          <w:sz w:val="27"/>
          <w:rtl/>
        </w:rPr>
        <w:t>ن</w:t>
      </w:r>
      <w:r w:rsidR="00A804E3" w:rsidRPr="00282AC9">
        <w:rPr>
          <w:rFonts w:ascii="Arial" w:eastAsia="Calibri" w:hAnsi="Arial" w:hint="cs"/>
          <w:sz w:val="27"/>
          <w:rtl/>
        </w:rPr>
        <w:t>ْ</w:t>
      </w:r>
      <w:r w:rsidRPr="00282AC9">
        <w:rPr>
          <w:rFonts w:ascii="Arial" w:eastAsia="Calibri" w:hAnsi="Arial" w:hint="cs"/>
          <w:sz w:val="27"/>
          <w:rtl/>
        </w:rPr>
        <w:t xml:space="preserve"> بلغ</w:t>
      </w:r>
      <w:r w:rsidRPr="00282AC9">
        <w:rPr>
          <w:rFonts w:hint="eastAsia"/>
          <w:sz w:val="24"/>
          <w:szCs w:val="24"/>
          <w:rtl/>
        </w:rPr>
        <w:t>»</w:t>
      </w:r>
      <w:r w:rsidRPr="00282AC9">
        <w:rPr>
          <w:rFonts w:ascii="Arial" w:eastAsia="Calibri" w:hAnsi="Arial" w:hint="cs"/>
          <w:sz w:val="27"/>
          <w:rtl/>
        </w:rPr>
        <w:t>: إن</w:t>
      </w:r>
      <w:r w:rsidR="00A804E3" w:rsidRPr="00282AC9">
        <w:rPr>
          <w:rFonts w:ascii="Arial" w:eastAsia="Calibri" w:hAnsi="Arial" w:hint="cs"/>
          <w:sz w:val="27"/>
          <w:rtl/>
        </w:rPr>
        <w:t>ْ</w:t>
      </w:r>
      <w:r w:rsidRPr="00282AC9">
        <w:rPr>
          <w:rFonts w:ascii="Arial" w:eastAsia="Calibri" w:hAnsi="Arial" w:hint="cs"/>
          <w:sz w:val="27"/>
          <w:rtl/>
        </w:rPr>
        <w:t xml:space="preserve"> أتي</w:t>
      </w:r>
      <w:r w:rsidR="00A804E3" w:rsidRPr="00282AC9">
        <w:rPr>
          <w:rFonts w:ascii="Arial" w:eastAsia="Calibri" w:hAnsi="Arial" w:hint="cs"/>
          <w:sz w:val="27"/>
          <w:rtl/>
        </w:rPr>
        <w:t>ْ</w:t>
      </w:r>
      <w:r w:rsidRPr="00282AC9">
        <w:rPr>
          <w:rFonts w:ascii="Arial" w:eastAsia="Calibri" w:hAnsi="Arial" w:hint="cs"/>
          <w:sz w:val="27"/>
          <w:rtl/>
        </w:rPr>
        <w:t>ت</w:t>
      </w:r>
      <w:r w:rsidR="00A804E3" w:rsidRPr="00282AC9">
        <w:rPr>
          <w:rFonts w:ascii="Arial" w:eastAsia="Calibri" w:hAnsi="Arial" w:hint="cs"/>
          <w:sz w:val="27"/>
          <w:rtl/>
        </w:rPr>
        <w:t>َ</w:t>
      </w:r>
      <w:r w:rsidRPr="00282AC9">
        <w:rPr>
          <w:rFonts w:ascii="Arial" w:eastAsia="Calibri" w:hAnsi="Arial" w:hint="cs"/>
          <w:sz w:val="27"/>
          <w:rtl/>
        </w:rPr>
        <w:t xml:space="preserve"> به لأجل ذاك الثواب</w:t>
      </w:r>
      <w:r w:rsidR="00A804E3" w:rsidRPr="00282AC9">
        <w:rPr>
          <w:rFonts w:ascii="Arial" w:eastAsia="Calibri" w:hAnsi="Arial" w:hint="cs"/>
          <w:sz w:val="27"/>
          <w:rtl/>
        </w:rPr>
        <w:t>،</w:t>
      </w:r>
      <w:r w:rsidRPr="00282AC9">
        <w:rPr>
          <w:rFonts w:ascii="Arial" w:eastAsia="Calibri" w:hAnsi="Arial" w:hint="cs"/>
          <w:sz w:val="27"/>
          <w:rtl/>
        </w:rPr>
        <w:t xml:space="preserve"> أو ر</w:t>
      </w:r>
      <w:r w:rsidR="00A804E3" w:rsidRPr="00282AC9">
        <w:rPr>
          <w:rFonts w:ascii="Arial" w:eastAsia="Calibri" w:hAnsi="Arial" w:hint="cs"/>
          <w:sz w:val="27"/>
          <w:rtl/>
        </w:rPr>
        <w:t>ُ</w:t>
      </w:r>
      <w:r w:rsidRPr="00282AC9">
        <w:rPr>
          <w:rFonts w:ascii="Arial" w:eastAsia="Calibri" w:hAnsi="Arial" w:hint="cs"/>
          <w:sz w:val="27"/>
          <w:rtl/>
        </w:rPr>
        <w:t>ب</w:t>
      </w:r>
      <w:r w:rsidR="00A804E3" w:rsidRPr="00282AC9">
        <w:rPr>
          <w:rFonts w:ascii="Arial" w:eastAsia="Calibri" w:hAnsi="Arial" w:hint="cs"/>
          <w:sz w:val="27"/>
          <w:rtl/>
        </w:rPr>
        <w:t>َ</w:t>
      </w:r>
      <w:r w:rsidRPr="00282AC9">
        <w:rPr>
          <w:rFonts w:ascii="Arial" w:eastAsia="Calibri" w:hAnsi="Arial" w:hint="cs"/>
          <w:sz w:val="27"/>
          <w:rtl/>
        </w:rPr>
        <w:t>ما مطلقاً، فإن</w:t>
      </w:r>
      <w:r w:rsidR="00A804E3" w:rsidRPr="00282AC9">
        <w:rPr>
          <w:rFonts w:ascii="Arial" w:eastAsia="Calibri" w:hAnsi="Arial" w:hint="cs"/>
          <w:sz w:val="27"/>
          <w:rtl/>
        </w:rPr>
        <w:t>ّ</w:t>
      </w:r>
      <w:r w:rsidRPr="00282AC9">
        <w:rPr>
          <w:rFonts w:ascii="Arial" w:eastAsia="Calibri" w:hAnsi="Arial" w:hint="cs"/>
          <w:sz w:val="27"/>
          <w:rtl/>
        </w:rPr>
        <w:t xml:space="preserve"> الله تعالى سيعطيك الثواب الوارد في الخبر الضعيف</w:t>
      </w:r>
      <w:r w:rsidR="00A804E3" w:rsidRPr="00282AC9">
        <w:rPr>
          <w:rFonts w:ascii="Arial" w:eastAsia="Calibri" w:hAnsi="Arial" w:hint="cs"/>
          <w:sz w:val="27"/>
          <w:rtl/>
        </w:rPr>
        <w:t>،</w:t>
      </w:r>
      <w:r w:rsidRPr="00282AC9">
        <w:rPr>
          <w:rFonts w:ascii="Arial" w:eastAsia="Calibri" w:hAnsi="Arial" w:hint="cs"/>
          <w:sz w:val="27"/>
          <w:rtl/>
        </w:rPr>
        <w:t xml:space="preserve"> ولو لم يكن الأمر على ما بلغك. ولا دلالة لها على أنه يُعطى الثواب الوارد في الخبر الضعيف على العمل الذي لم تثبت خيري</w:t>
      </w:r>
      <w:r w:rsidR="00A804E3" w:rsidRPr="00282AC9">
        <w:rPr>
          <w:rFonts w:ascii="Arial" w:eastAsia="Calibri" w:hAnsi="Arial" w:hint="cs"/>
          <w:sz w:val="27"/>
          <w:rtl/>
        </w:rPr>
        <w:t>ّ</w:t>
      </w:r>
      <w:r w:rsidRPr="00282AC9">
        <w:rPr>
          <w:rFonts w:ascii="Arial" w:eastAsia="Calibri" w:hAnsi="Arial" w:hint="cs"/>
          <w:sz w:val="27"/>
          <w:rtl/>
        </w:rPr>
        <w:t xml:space="preserve">ته أصلاً في المرتبة السابقة. </w:t>
      </w:r>
    </w:p>
    <w:p w:rsidR="0098597F" w:rsidRPr="00282AC9" w:rsidRDefault="0098597F" w:rsidP="004F097E">
      <w:pPr>
        <w:rPr>
          <w:rFonts w:ascii="Arial" w:hAnsi="Arial"/>
          <w:sz w:val="27"/>
          <w:rtl/>
        </w:rPr>
      </w:pPr>
      <w:r w:rsidRPr="00282AC9">
        <w:rPr>
          <w:rFonts w:ascii="Arial" w:eastAsia="Calibri" w:hAnsi="Arial" w:hint="cs"/>
          <w:sz w:val="27"/>
          <w:rtl/>
        </w:rPr>
        <w:t xml:space="preserve">يقول السيد الشهيد في بيان هذا الاحتمال: </w:t>
      </w:r>
      <w:r w:rsidRPr="00282AC9">
        <w:rPr>
          <w:rFonts w:hint="eastAsia"/>
          <w:sz w:val="24"/>
          <w:szCs w:val="24"/>
          <w:rtl/>
        </w:rPr>
        <w:t>«</w:t>
      </w:r>
      <w:r w:rsidRPr="00282AC9">
        <w:rPr>
          <w:rFonts w:ascii="Arial" w:eastAsia="Calibri" w:hAnsi="Arial" w:hint="cs"/>
          <w:sz w:val="27"/>
          <w:rtl/>
        </w:rPr>
        <w:t xml:space="preserve">أن </w:t>
      </w:r>
      <w:r w:rsidRPr="00282AC9">
        <w:rPr>
          <w:rFonts w:ascii="Arial" w:eastAsia="Calibri" w:hAnsi="Arial"/>
          <w:sz w:val="27"/>
          <w:rtl/>
        </w:rPr>
        <w:t>يكون المقصود تكميل محر</w:t>
      </w:r>
      <w:r w:rsidR="00A804E3" w:rsidRPr="00282AC9">
        <w:rPr>
          <w:rFonts w:ascii="Arial" w:eastAsia="Calibri" w:hAnsi="Arial" w:hint="cs"/>
          <w:sz w:val="27"/>
          <w:rtl/>
        </w:rPr>
        <w:t>ّ</w:t>
      </w:r>
      <w:r w:rsidRPr="00282AC9">
        <w:rPr>
          <w:rFonts w:ascii="Arial" w:eastAsia="Calibri" w:hAnsi="Arial"/>
          <w:sz w:val="27"/>
          <w:rtl/>
        </w:rPr>
        <w:t>كية الأوامر الاستحبابي</w:t>
      </w:r>
      <w:r w:rsidRPr="00282AC9">
        <w:rPr>
          <w:rFonts w:ascii="Arial" w:eastAsia="Calibri" w:hAnsi="Arial" w:hint="cs"/>
          <w:sz w:val="27"/>
          <w:rtl/>
        </w:rPr>
        <w:t>ّ</w:t>
      </w:r>
      <w:r w:rsidRPr="00282AC9">
        <w:rPr>
          <w:rFonts w:ascii="Arial" w:eastAsia="Calibri" w:hAnsi="Arial"/>
          <w:sz w:val="27"/>
          <w:rtl/>
        </w:rPr>
        <w:t>ة فيما إذا فرض بلوغ ثواب على مستحب</w:t>
      </w:r>
      <w:r w:rsidR="00A804E3" w:rsidRPr="00282AC9">
        <w:rPr>
          <w:rFonts w:ascii="Arial" w:eastAsia="Calibri" w:hAnsi="Arial" w:hint="cs"/>
          <w:sz w:val="27"/>
          <w:rtl/>
        </w:rPr>
        <w:t>ٍّ</w:t>
      </w:r>
      <w:r w:rsidRPr="00282AC9">
        <w:rPr>
          <w:rFonts w:ascii="Arial" w:eastAsia="Calibri" w:hAnsi="Arial"/>
          <w:sz w:val="27"/>
          <w:rtl/>
        </w:rPr>
        <w:t xml:space="preserve"> مفروغ</w:t>
      </w:r>
      <w:r w:rsidR="00A804E3" w:rsidRPr="00282AC9">
        <w:rPr>
          <w:rFonts w:ascii="Arial" w:eastAsia="Calibri" w:hAnsi="Arial" w:hint="cs"/>
          <w:sz w:val="27"/>
          <w:rtl/>
        </w:rPr>
        <w:t>ٍ</w:t>
      </w:r>
      <w:r w:rsidRPr="00282AC9">
        <w:rPr>
          <w:rFonts w:ascii="Arial" w:eastAsia="Calibri" w:hAnsi="Arial"/>
          <w:sz w:val="27"/>
          <w:rtl/>
        </w:rPr>
        <w:t xml:space="preserve"> عن استحبابه</w:t>
      </w:r>
      <w:r w:rsidRPr="00282AC9">
        <w:rPr>
          <w:rFonts w:ascii="Arial" w:eastAsia="Calibri" w:hAnsi="Arial" w:hint="cs"/>
          <w:sz w:val="27"/>
          <w:rtl/>
        </w:rPr>
        <w:t>،</w:t>
      </w:r>
      <w:r w:rsidRPr="00282AC9">
        <w:rPr>
          <w:rFonts w:ascii="Arial" w:eastAsia="Calibri" w:hAnsi="Arial"/>
          <w:sz w:val="27"/>
          <w:rtl/>
        </w:rPr>
        <w:t xml:space="preserve"> ولكن</w:t>
      </w:r>
      <w:r w:rsidR="00A804E3" w:rsidRPr="00282AC9">
        <w:rPr>
          <w:rFonts w:ascii="Arial" w:eastAsia="Calibri" w:hAnsi="Arial" w:hint="cs"/>
          <w:sz w:val="27"/>
          <w:rtl/>
        </w:rPr>
        <w:t>ْ</w:t>
      </w:r>
      <w:r w:rsidRPr="00282AC9">
        <w:rPr>
          <w:rFonts w:ascii="Arial" w:eastAsia="Calibri" w:hAnsi="Arial"/>
          <w:sz w:val="27"/>
          <w:rtl/>
        </w:rPr>
        <w:t xml:space="preserve"> حيث إن</w:t>
      </w:r>
      <w:r w:rsidRPr="00282AC9">
        <w:rPr>
          <w:rFonts w:ascii="Arial" w:eastAsia="Calibri" w:hAnsi="Arial" w:hint="cs"/>
          <w:sz w:val="27"/>
          <w:rtl/>
        </w:rPr>
        <w:t>ّ</w:t>
      </w:r>
      <w:r w:rsidRPr="00282AC9">
        <w:rPr>
          <w:rFonts w:ascii="Arial" w:eastAsia="Calibri" w:hAnsi="Arial"/>
          <w:sz w:val="27"/>
          <w:rtl/>
        </w:rPr>
        <w:t xml:space="preserve"> ذلك البلوغ ليس قطعي</w:t>
      </w:r>
      <w:r w:rsidR="00A804E3" w:rsidRPr="00282AC9">
        <w:rPr>
          <w:rFonts w:ascii="Arial" w:eastAsia="Calibri" w:hAnsi="Arial" w:hint="cs"/>
          <w:sz w:val="27"/>
          <w:rtl/>
        </w:rPr>
        <w:t>ّ</w:t>
      </w:r>
      <w:r w:rsidRPr="00282AC9">
        <w:rPr>
          <w:rFonts w:ascii="Arial" w:eastAsia="Calibri" w:hAnsi="Arial"/>
          <w:sz w:val="27"/>
          <w:rtl/>
        </w:rPr>
        <w:t>ا</w:t>
      </w:r>
      <w:r w:rsidRPr="00282AC9">
        <w:rPr>
          <w:rFonts w:ascii="Arial" w:eastAsia="Calibri" w:hAnsi="Arial" w:hint="cs"/>
          <w:sz w:val="27"/>
          <w:rtl/>
        </w:rPr>
        <w:t>ً</w:t>
      </w:r>
      <w:r w:rsidRPr="00282AC9">
        <w:rPr>
          <w:rFonts w:ascii="Arial" w:eastAsia="Calibri" w:hAnsi="Arial"/>
          <w:sz w:val="27"/>
          <w:rtl/>
        </w:rPr>
        <w:t xml:space="preserve"> فتنقص وتضعف محر</w:t>
      </w:r>
      <w:r w:rsidR="00A804E3" w:rsidRPr="00282AC9">
        <w:rPr>
          <w:rFonts w:ascii="Arial" w:eastAsia="Calibri" w:hAnsi="Arial" w:hint="cs"/>
          <w:sz w:val="27"/>
          <w:rtl/>
        </w:rPr>
        <w:t>ّ</w:t>
      </w:r>
      <w:r w:rsidR="00A804E3" w:rsidRPr="00282AC9">
        <w:rPr>
          <w:rFonts w:ascii="Arial" w:eastAsia="Calibri" w:hAnsi="Arial"/>
          <w:sz w:val="27"/>
          <w:rtl/>
        </w:rPr>
        <w:t>كية الأمر الاستحبابي</w:t>
      </w:r>
      <w:r w:rsidR="00A804E3" w:rsidRPr="00282AC9">
        <w:rPr>
          <w:rFonts w:ascii="Arial" w:eastAsia="Calibri" w:hAnsi="Arial" w:hint="cs"/>
          <w:sz w:val="27"/>
          <w:rtl/>
        </w:rPr>
        <w:t>ّ،</w:t>
      </w:r>
      <w:r w:rsidR="00A804E3" w:rsidRPr="00282AC9">
        <w:rPr>
          <w:rFonts w:ascii="Arial" w:eastAsia="Calibri" w:hAnsi="Arial"/>
          <w:sz w:val="27"/>
          <w:rtl/>
        </w:rPr>
        <w:t xml:space="preserve"> ال</w:t>
      </w:r>
      <w:r w:rsidRPr="00282AC9">
        <w:rPr>
          <w:rFonts w:ascii="Arial" w:eastAsia="Calibri" w:hAnsi="Arial"/>
          <w:sz w:val="27"/>
          <w:rtl/>
        </w:rPr>
        <w:t>ذي لا ض</w:t>
      </w:r>
      <w:r w:rsidR="00A804E3" w:rsidRPr="00282AC9">
        <w:rPr>
          <w:rFonts w:ascii="Arial" w:eastAsia="Calibri" w:hAnsi="Arial" w:hint="cs"/>
          <w:sz w:val="27"/>
          <w:rtl/>
        </w:rPr>
        <w:t>َ</w:t>
      </w:r>
      <w:r w:rsidRPr="00282AC9">
        <w:rPr>
          <w:rFonts w:ascii="Arial" w:eastAsia="Calibri" w:hAnsi="Arial"/>
          <w:sz w:val="27"/>
          <w:rtl/>
        </w:rPr>
        <w:t>ي</w:t>
      </w:r>
      <w:r w:rsidR="00A804E3" w:rsidRPr="00282AC9">
        <w:rPr>
          <w:rFonts w:ascii="Arial" w:eastAsia="Calibri" w:hAnsi="Arial" w:hint="cs"/>
          <w:sz w:val="27"/>
          <w:rtl/>
        </w:rPr>
        <w:t>ْ</w:t>
      </w:r>
      <w:r w:rsidRPr="00282AC9">
        <w:rPr>
          <w:rFonts w:ascii="Arial" w:eastAsia="Calibri" w:hAnsi="Arial"/>
          <w:sz w:val="27"/>
          <w:rtl/>
        </w:rPr>
        <w:t>ر</w:t>
      </w:r>
      <w:r w:rsidR="00A804E3" w:rsidRPr="00282AC9">
        <w:rPr>
          <w:rFonts w:ascii="Arial" w:eastAsia="Calibri" w:hAnsi="Arial" w:hint="cs"/>
          <w:sz w:val="27"/>
          <w:rtl/>
        </w:rPr>
        <w:t>َ</w:t>
      </w:r>
      <w:r w:rsidRPr="00282AC9">
        <w:rPr>
          <w:rFonts w:ascii="Arial" w:eastAsia="Calibri" w:hAnsi="Arial"/>
          <w:sz w:val="27"/>
          <w:rtl/>
        </w:rPr>
        <w:t xml:space="preserve"> في تركه بح</w:t>
      </w:r>
      <w:r w:rsidR="00A804E3" w:rsidRPr="00282AC9">
        <w:rPr>
          <w:rFonts w:ascii="Arial" w:eastAsia="Calibri" w:hAnsi="Arial" w:hint="cs"/>
          <w:sz w:val="27"/>
          <w:rtl/>
        </w:rPr>
        <w:t>َ</w:t>
      </w:r>
      <w:r w:rsidRPr="00282AC9">
        <w:rPr>
          <w:rFonts w:ascii="Arial" w:eastAsia="Calibri" w:hAnsi="Arial"/>
          <w:sz w:val="27"/>
          <w:rtl/>
        </w:rPr>
        <w:t>س</w:t>
      </w:r>
      <w:r w:rsidR="00A804E3" w:rsidRPr="00282AC9">
        <w:rPr>
          <w:rFonts w:ascii="Arial" w:eastAsia="Calibri" w:hAnsi="Arial" w:hint="cs"/>
          <w:sz w:val="27"/>
          <w:rtl/>
        </w:rPr>
        <w:t>َ</w:t>
      </w:r>
      <w:r w:rsidRPr="00282AC9">
        <w:rPr>
          <w:rFonts w:ascii="Arial" w:eastAsia="Calibri" w:hAnsi="Arial"/>
          <w:sz w:val="27"/>
          <w:rtl/>
        </w:rPr>
        <w:t>ب طبعه</w:t>
      </w:r>
      <w:r w:rsidRPr="00282AC9">
        <w:rPr>
          <w:rFonts w:ascii="Arial" w:eastAsia="Calibri" w:hAnsi="Arial" w:hint="cs"/>
          <w:sz w:val="27"/>
          <w:rtl/>
        </w:rPr>
        <w:t>،</w:t>
      </w:r>
      <w:r w:rsidRPr="00282AC9">
        <w:rPr>
          <w:rFonts w:ascii="Arial" w:eastAsia="Calibri" w:hAnsi="Arial"/>
          <w:sz w:val="27"/>
          <w:rtl/>
        </w:rPr>
        <w:t xml:space="preserve"> فمن أجل حث</w:t>
      </w:r>
      <w:r w:rsidRPr="00282AC9">
        <w:rPr>
          <w:rFonts w:ascii="Arial" w:eastAsia="Calibri" w:hAnsi="Arial" w:hint="cs"/>
          <w:sz w:val="27"/>
          <w:rtl/>
        </w:rPr>
        <w:t>ِّ</w:t>
      </w:r>
      <w:r w:rsidRPr="00282AC9">
        <w:rPr>
          <w:rFonts w:ascii="Arial" w:eastAsia="Calibri" w:hAnsi="Arial"/>
          <w:sz w:val="27"/>
          <w:rtl/>
        </w:rPr>
        <w:t xml:space="preserve"> المكل</w:t>
      </w:r>
      <w:r w:rsidR="00A8334E" w:rsidRPr="00282AC9">
        <w:rPr>
          <w:rFonts w:ascii="Arial" w:eastAsia="Calibri" w:hAnsi="Arial" w:hint="cs"/>
          <w:sz w:val="27"/>
          <w:rtl/>
        </w:rPr>
        <w:t>َّ</w:t>
      </w:r>
      <w:r w:rsidRPr="00282AC9">
        <w:rPr>
          <w:rFonts w:ascii="Arial" w:eastAsia="Calibri" w:hAnsi="Arial"/>
          <w:sz w:val="27"/>
          <w:rtl/>
        </w:rPr>
        <w:t>فين على عدم إهمال المستحب</w:t>
      </w:r>
      <w:r w:rsidR="00A8334E" w:rsidRPr="00282AC9">
        <w:rPr>
          <w:rFonts w:ascii="Arial" w:eastAsia="Calibri" w:hAnsi="Arial" w:hint="cs"/>
          <w:sz w:val="27"/>
          <w:rtl/>
        </w:rPr>
        <w:t>ّ</w:t>
      </w:r>
      <w:r w:rsidRPr="00282AC9">
        <w:rPr>
          <w:rFonts w:ascii="Arial" w:eastAsia="Calibri" w:hAnsi="Arial"/>
          <w:sz w:val="27"/>
          <w:rtl/>
        </w:rPr>
        <w:t>ات</w:t>
      </w:r>
      <w:r w:rsidR="00A8334E" w:rsidRPr="00282AC9">
        <w:rPr>
          <w:rFonts w:ascii="Arial" w:eastAsia="Calibri" w:hAnsi="Arial" w:hint="cs"/>
          <w:sz w:val="27"/>
          <w:rtl/>
        </w:rPr>
        <w:t>،</w:t>
      </w:r>
      <w:r w:rsidRPr="00282AC9">
        <w:rPr>
          <w:rFonts w:ascii="Arial" w:eastAsia="Calibri" w:hAnsi="Arial"/>
          <w:sz w:val="27"/>
          <w:rtl/>
        </w:rPr>
        <w:t xml:space="preserve"> وطلبها</w:t>
      </w:r>
      <w:r w:rsidR="00A8334E" w:rsidRPr="00282AC9">
        <w:rPr>
          <w:rFonts w:ascii="Arial" w:eastAsia="Calibri" w:hAnsi="Arial" w:hint="cs"/>
          <w:sz w:val="27"/>
          <w:rtl/>
        </w:rPr>
        <w:t>،</w:t>
      </w:r>
      <w:r w:rsidRPr="00282AC9">
        <w:rPr>
          <w:rFonts w:ascii="Arial" w:eastAsia="Calibri" w:hAnsi="Arial"/>
          <w:sz w:val="27"/>
          <w:rtl/>
        </w:rPr>
        <w:t xml:space="preserve"> وعد بنفس الثواب</w:t>
      </w:r>
      <w:r w:rsidR="00A8334E" w:rsidRPr="00282AC9">
        <w:rPr>
          <w:rFonts w:ascii="Arial" w:eastAsia="Calibri" w:hAnsi="Arial" w:hint="cs"/>
          <w:sz w:val="27"/>
          <w:rtl/>
        </w:rPr>
        <w:t>،</w:t>
      </w:r>
      <w:r w:rsidRPr="00282AC9">
        <w:rPr>
          <w:rFonts w:ascii="Arial" w:eastAsia="Calibri" w:hAnsi="Arial"/>
          <w:sz w:val="27"/>
          <w:rtl/>
        </w:rPr>
        <w:t xml:space="preserve"> وأكمل محر</w:t>
      </w:r>
      <w:r w:rsidR="00A8334E" w:rsidRPr="00282AC9">
        <w:rPr>
          <w:rFonts w:ascii="Arial" w:eastAsia="Calibri" w:hAnsi="Arial" w:hint="cs"/>
          <w:sz w:val="27"/>
          <w:rtl/>
        </w:rPr>
        <w:t>ّ</w:t>
      </w:r>
      <w:r w:rsidRPr="00282AC9">
        <w:rPr>
          <w:rFonts w:ascii="Arial" w:eastAsia="Calibri" w:hAnsi="Arial"/>
          <w:sz w:val="27"/>
          <w:rtl/>
        </w:rPr>
        <w:t>كية ذلك الأمر الاستحبابي</w:t>
      </w:r>
      <w:r w:rsidR="00A8334E" w:rsidRPr="00282AC9">
        <w:rPr>
          <w:rFonts w:ascii="Arial" w:eastAsia="Calibri" w:hAnsi="Arial" w:hint="cs"/>
          <w:sz w:val="27"/>
          <w:rtl/>
        </w:rPr>
        <w:t>ّ.</w:t>
      </w:r>
      <w:r w:rsidRPr="00282AC9">
        <w:rPr>
          <w:rFonts w:ascii="Arial" w:eastAsia="Calibri" w:hAnsi="Arial"/>
          <w:sz w:val="27"/>
          <w:rtl/>
        </w:rPr>
        <w:t xml:space="preserve"> وهذا الترغيب المولوي</w:t>
      </w:r>
      <w:r w:rsidR="00A8334E" w:rsidRPr="00282AC9">
        <w:rPr>
          <w:rFonts w:ascii="Arial" w:eastAsia="Calibri" w:hAnsi="Arial" w:hint="cs"/>
          <w:sz w:val="27"/>
          <w:rtl/>
        </w:rPr>
        <w:t>،</w:t>
      </w:r>
      <w:r w:rsidRPr="00282AC9">
        <w:rPr>
          <w:rFonts w:ascii="Arial" w:eastAsia="Calibri" w:hAnsi="Arial"/>
          <w:sz w:val="27"/>
          <w:rtl/>
        </w:rPr>
        <w:t xml:space="preserve"> و</w:t>
      </w:r>
      <w:r w:rsidR="00A8334E" w:rsidRPr="00282AC9">
        <w:rPr>
          <w:rFonts w:ascii="Arial" w:eastAsia="Calibri" w:hAnsi="Arial" w:hint="cs"/>
          <w:sz w:val="27"/>
          <w:rtl/>
        </w:rPr>
        <w:t>إ</w:t>
      </w:r>
      <w:r w:rsidRPr="00282AC9">
        <w:rPr>
          <w:rFonts w:ascii="Arial" w:eastAsia="Calibri" w:hAnsi="Arial"/>
          <w:sz w:val="27"/>
          <w:rtl/>
        </w:rPr>
        <w:t>ن</w:t>
      </w:r>
      <w:r w:rsidR="00A8334E" w:rsidRPr="00282AC9">
        <w:rPr>
          <w:rFonts w:ascii="Arial" w:eastAsia="Calibri" w:hAnsi="Arial" w:hint="cs"/>
          <w:sz w:val="27"/>
          <w:rtl/>
        </w:rPr>
        <w:t>ْ</w:t>
      </w:r>
      <w:r w:rsidRPr="00282AC9">
        <w:rPr>
          <w:rFonts w:ascii="Arial" w:eastAsia="Calibri" w:hAnsi="Arial"/>
          <w:sz w:val="27"/>
          <w:rtl/>
        </w:rPr>
        <w:t xml:space="preserve"> كان طريقي</w:t>
      </w:r>
      <w:r w:rsidR="00A8334E" w:rsidRPr="00282AC9">
        <w:rPr>
          <w:rFonts w:ascii="Arial" w:eastAsia="Calibri" w:hAnsi="Arial" w:hint="cs"/>
          <w:sz w:val="27"/>
          <w:rtl/>
        </w:rPr>
        <w:t>ّ</w:t>
      </w:r>
      <w:r w:rsidRPr="00282AC9">
        <w:rPr>
          <w:rFonts w:ascii="Arial" w:eastAsia="Calibri" w:hAnsi="Arial"/>
          <w:sz w:val="27"/>
          <w:rtl/>
        </w:rPr>
        <w:t>ا</w:t>
      </w:r>
      <w:r w:rsidRPr="00282AC9">
        <w:rPr>
          <w:rFonts w:ascii="Arial" w:eastAsia="Calibri" w:hAnsi="Arial" w:hint="cs"/>
          <w:sz w:val="27"/>
          <w:rtl/>
        </w:rPr>
        <w:t>ً</w:t>
      </w:r>
      <w:r w:rsidRPr="00282AC9">
        <w:rPr>
          <w:rFonts w:ascii="Arial" w:eastAsia="Calibri" w:hAnsi="Arial"/>
          <w:sz w:val="27"/>
          <w:rtl/>
        </w:rPr>
        <w:t xml:space="preserve"> أيضا</w:t>
      </w:r>
      <w:r w:rsidRPr="00282AC9">
        <w:rPr>
          <w:rFonts w:ascii="Arial" w:eastAsia="Calibri" w:hAnsi="Arial" w:hint="cs"/>
          <w:sz w:val="27"/>
          <w:rtl/>
        </w:rPr>
        <w:t>ً</w:t>
      </w:r>
      <w:r w:rsidR="00A8334E" w:rsidRPr="00282AC9">
        <w:rPr>
          <w:rFonts w:ascii="Arial" w:eastAsia="Calibri" w:hAnsi="Arial" w:hint="cs"/>
          <w:sz w:val="27"/>
          <w:rtl/>
        </w:rPr>
        <w:t>،</w:t>
      </w:r>
      <w:r w:rsidRPr="00282AC9">
        <w:rPr>
          <w:rFonts w:ascii="Arial" w:eastAsia="Calibri" w:hAnsi="Arial"/>
          <w:sz w:val="27"/>
          <w:rtl/>
        </w:rPr>
        <w:t xml:space="preserve"> ولكن</w:t>
      </w:r>
      <w:r w:rsidR="00A8334E" w:rsidRPr="00282AC9">
        <w:rPr>
          <w:rFonts w:ascii="Arial" w:eastAsia="Calibri" w:hAnsi="Arial" w:hint="cs"/>
          <w:sz w:val="27"/>
          <w:rtl/>
        </w:rPr>
        <w:t>ّ</w:t>
      </w:r>
      <w:r w:rsidRPr="00282AC9">
        <w:rPr>
          <w:rFonts w:ascii="Arial" w:eastAsia="Calibri" w:hAnsi="Arial"/>
          <w:sz w:val="27"/>
          <w:rtl/>
        </w:rPr>
        <w:t>ه لا يستبطن طلبا</w:t>
      </w:r>
      <w:r w:rsidRPr="00282AC9">
        <w:rPr>
          <w:rFonts w:ascii="Arial" w:eastAsia="Calibri" w:hAnsi="Arial" w:hint="cs"/>
          <w:sz w:val="27"/>
          <w:rtl/>
        </w:rPr>
        <w:t>ً</w:t>
      </w:r>
      <w:r w:rsidRPr="00282AC9">
        <w:rPr>
          <w:rFonts w:ascii="Arial" w:eastAsia="Calibri" w:hAnsi="Arial"/>
          <w:sz w:val="27"/>
          <w:rtl/>
        </w:rPr>
        <w:t xml:space="preserve"> وأمرا</w:t>
      </w:r>
      <w:r w:rsidRPr="00282AC9">
        <w:rPr>
          <w:rFonts w:ascii="Arial" w:eastAsia="Calibri" w:hAnsi="Arial" w:hint="cs"/>
          <w:sz w:val="27"/>
          <w:rtl/>
        </w:rPr>
        <w:t>ً</w:t>
      </w:r>
      <w:r w:rsidR="00A8334E" w:rsidRPr="00282AC9">
        <w:rPr>
          <w:rFonts w:ascii="Arial" w:eastAsia="Calibri" w:hAnsi="Arial" w:hint="cs"/>
          <w:sz w:val="27"/>
          <w:rtl/>
        </w:rPr>
        <w:t>،</w:t>
      </w:r>
      <w:r w:rsidRPr="00282AC9">
        <w:rPr>
          <w:rFonts w:ascii="Arial" w:eastAsia="Calibri" w:hAnsi="Arial"/>
          <w:sz w:val="27"/>
          <w:rtl/>
        </w:rPr>
        <w:t xml:space="preserve"> بل مجر</w:t>
      </w:r>
      <w:r w:rsidR="00A8334E" w:rsidRPr="00282AC9">
        <w:rPr>
          <w:rFonts w:ascii="Arial" w:eastAsia="Calibri" w:hAnsi="Arial" w:hint="cs"/>
          <w:sz w:val="27"/>
          <w:rtl/>
        </w:rPr>
        <w:t>ّ</w:t>
      </w:r>
      <w:r w:rsidRPr="00282AC9">
        <w:rPr>
          <w:rFonts w:ascii="Arial" w:eastAsia="Calibri" w:hAnsi="Arial"/>
          <w:sz w:val="27"/>
          <w:rtl/>
        </w:rPr>
        <w:t>د ترغيب بالو</w:t>
      </w:r>
      <w:r w:rsidR="00A8334E" w:rsidRPr="00282AC9">
        <w:rPr>
          <w:rFonts w:ascii="Arial" w:eastAsia="Calibri" w:hAnsi="Arial" w:hint="cs"/>
          <w:sz w:val="27"/>
          <w:rtl/>
        </w:rPr>
        <w:t>َ</w:t>
      </w:r>
      <w:r w:rsidRPr="00282AC9">
        <w:rPr>
          <w:rFonts w:ascii="Arial" w:eastAsia="Calibri" w:hAnsi="Arial"/>
          <w:sz w:val="27"/>
          <w:rtl/>
        </w:rPr>
        <w:t>ع</w:t>
      </w:r>
      <w:r w:rsidR="00A8334E" w:rsidRPr="00282AC9">
        <w:rPr>
          <w:rFonts w:ascii="Arial" w:eastAsia="Calibri" w:hAnsi="Arial" w:hint="cs"/>
          <w:sz w:val="27"/>
          <w:rtl/>
        </w:rPr>
        <w:t>ْ</w:t>
      </w:r>
      <w:r w:rsidRPr="00282AC9">
        <w:rPr>
          <w:rFonts w:ascii="Arial" w:eastAsia="Calibri" w:hAnsi="Arial"/>
          <w:sz w:val="27"/>
          <w:rtl/>
        </w:rPr>
        <w:t>د المولوي على الثواب</w:t>
      </w:r>
      <w:r w:rsidR="00A8334E" w:rsidRPr="00282AC9">
        <w:rPr>
          <w:rFonts w:ascii="Arial" w:eastAsia="Calibri" w:hAnsi="Arial" w:hint="cs"/>
          <w:sz w:val="27"/>
          <w:rtl/>
        </w:rPr>
        <w:t>؛</w:t>
      </w:r>
      <w:r w:rsidRPr="00282AC9">
        <w:rPr>
          <w:rFonts w:ascii="Arial" w:eastAsia="Calibri" w:hAnsi="Arial"/>
          <w:sz w:val="27"/>
          <w:rtl/>
        </w:rPr>
        <w:t xml:space="preserve"> لجبر ضعف محر</w:t>
      </w:r>
      <w:r w:rsidR="00A8334E" w:rsidRPr="00282AC9">
        <w:rPr>
          <w:rFonts w:ascii="Arial" w:eastAsia="Calibri" w:hAnsi="Arial" w:hint="cs"/>
          <w:sz w:val="27"/>
          <w:rtl/>
        </w:rPr>
        <w:t>ّ</w:t>
      </w:r>
      <w:r w:rsidRPr="00282AC9">
        <w:rPr>
          <w:rFonts w:ascii="Arial" w:eastAsia="Calibri" w:hAnsi="Arial"/>
          <w:sz w:val="27"/>
          <w:rtl/>
        </w:rPr>
        <w:t>كية الاستحباب والطلب الن</w:t>
      </w:r>
      <w:r w:rsidR="00A8334E" w:rsidRPr="00282AC9">
        <w:rPr>
          <w:rFonts w:ascii="Arial" w:eastAsia="Calibri" w:hAnsi="Arial" w:hint="cs"/>
          <w:sz w:val="27"/>
          <w:rtl/>
        </w:rPr>
        <w:t>َّ</w:t>
      </w:r>
      <w:r w:rsidRPr="00282AC9">
        <w:rPr>
          <w:rFonts w:ascii="Arial" w:eastAsia="Calibri" w:hAnsi="Arial"/>
          <w:sz w:val="27"/>
          <w:rtl/>
        </w:rPr>
        <w:t>د</w:t>
      </w:r>
      <w:r w:rsidR="00A8334E" w:rsidRPr="00282AC9">
        <w:rPr>
          <w:rFonts w:ascii="Arial" w:eastAsia="Calibri" w:hAnsi="Arial" w:hint="cs"/>
          <w:sz w:val="27"/>
          <w:rtl/>
        </w:rPr>
        <w:t>ْ</w:t>
      </w:r>
      <w:r w:rsidRPr="00282AC9">
        <w:rPr>
          <w:rFonts w:ascii="Arial" w:eastAsia="Calibri" w:hAnsi="Arial"/>
          <w:sz w:val="27"/>
          <w:rtl/>
        </w:rPr>
        <w:t>بي</w:t>
      </w:r>
      <w:r w:rsidRPr="00282AC9">
        <w:rPr>
          <w:rFonts w:ascii="Arial" w:eastAsia="Calibri" w:hAnsi="Arial" w:hint="cs"/>
          <w:sz w:val="27"/>
          <w:rtl/>
        </w:rPr>
        <w:t>،</w:t>
      </w:r>
      <w:r w:rsidRPr="00282AC9">
        <w:rPr>
          <w:rFonts w:ascii="Arial" w:eastAsia="Calibri" w:hAnsi="Arial"/>
          <w:sz w:val="27"/>
          <w:rtl/>
        </w:rPr>
        <w:t xml:space="preserve"> وعلى هذا لا ي</w:t>
      </w:r>
      <w:r w:rsidR="00A8334E" w:rsidRPr="00282AC9">
        <w:rPr>
          <w:rFonts w:ascii="Arial" w:eastAsia="Calibri" w:hAnsi="Arial" w:hint="cs"/>
          <w:sz w:val="27"/>
          <w:rtl/>
        </w:rPr>
        <w:t>ُ</w:t>
      </w:r>
      <w:r w:rsidRPr="00282AC9">
        <w:rPr>
          <w:rFonts w:ascii="Arial" w:eastAsia="Calibri" w:hAnsi="Arial"/>
          <w:sz w:val="27"/>
          <w:rtl/>
        </w:rPr>
        <w:t>ستفاد من هذه الأخبار استحباب عمل</w:t>
      </w:r>
      <w:r w:rsidR="00A8334E" w:rsidRPr="00282AC9">
        <w:rPr>
          <w:rFonts w:ascii="Arial" w:eastAsia="Calibri" w:hAnsi="Arial" w:hint="cs"/>
          <w:sz w:val="27"/>
          <w:rtl/>
        </w:rPr>
        <w:t>ٍ</w:t>
      </w:r>
      <w:r w:rsidRPr="00282AC9">
        <w:rPr>
          <w:rFonts w:ascii="Arial" w:eastAsia="Calibri" w:hAnsi="Arial"/>
          <w:sz w:val="27"/>
          <w:rtl/>
        </w:rPr>
        <w:t xml:space="preserve"> لم يثبت خيري</w:t>
      </w:r>
      <w:r w:rsidR="00A8334E" w:rsidRPr="00282AC9">
        <w:rPr>
          <w:rFonts w:ascii="Arial" w:eastAsia="Calibri" w:hAnsi="Arial" w:hint="cs"/>
          <w:sz w:val="27"/>
          <w:rtl/>
        </w:rPr>
        <w:t>ّ</w:t>
      </w:r>
      <w:r w:rsidRPr="00282AC9">
        <w:rPr>
          <w:rFonts w:ascii="Arial" w:eastAsia="Calibri" w:hAnsi="Arial"/>
          <w:sz w:val="27"/>
          <w:rtl/>
        </w:rPr>
        <w:t>ته واستحبابه في المرتبة السابقة</w:t>
      </w:r>
      <w:r w:rsidR="00A8334E" w:rsidRPr="00282AC9">
        <w:rPr>
          <w:rFonts w:ascii="Arial" w:eastAsia="Calibri" w:hAnsi="Arial" w:hint="cs"/>
          <w:sz w:val="27"/>
          <w:rtl/>
        </w:rPr>
        <w:t>؛</w:t>
      </w:r>
      <w:r w:rsidRPr="00282AC9">
        <w:rPr>
          <w:rFonts w:ascii="Arial" w:eastAsia="Calibri" w:hAnsi="Arial"/>
          <w:sz w:val="27"/>
          <w:rtl/>
        </w:rPr>
        <w:t xml:space="preserve"> لأن ذلك قد أ</w:t>
      </w:r>
      <w:r w:rsidR="00A8334E" w:rsidRPr="00282AC9">
        <w:rPr>
          <w:rFonts w:ascii="Arial" w:eastAsia="Calibri" w:hAnsi="Arial" w:hint="cs"/>
          <w:sz w:val="27"/>
          <w:rtl/>
        </w:rPr>
        <w:t>ُ</w:t>
      </w:r>
      <w:r w:rsidRPr="00282AC9">
        <w:rPr>
          <w:rFonts w:ascii="Arial" w:eastAsia="Calibri" w:hAnsi="Arial"/>
          <w:sz w:val="27"/>
          <w:rtl/>
        </w:rPr>
        <w:t>خذ في موضوعها</w:t>
      </w:r>
      <w:r w:rsidR="00A8334E" w:rsidRPr="00282AC9">
        <w:rPr>
          <w:rFonts w:ascii="Arial" w:eastAsia="Calibri" w:hAnsi="Arial" w:hint="cs"/>
          <w:sz w:val="27"/>
          <w:rtl/>
        </w:rPr>
        <w:t>،</w:t>
      </w:r>
      <w:r w:rsidRPr="00282AC9">
        <w:rPr>
          <w:rFonts w:ascii="Arial" w:eastAsia="Calibri" w:hAnsi="Arial"/>
          <w:sz w:val="27"/>
          <w:rtl/>
        </w:rPr>
        <w:t xml:space="preserve"> فيكون التمس</w:t>
      </w:r>
      <w:r w:rsidR="00A8334E" w:rsidRPr="00282AC9">
        <w:rPr>
          <w:rFonts w:ascii="Arial" w:eastAsia="Calibri" w:hAnsi="Arial" w:hint="cs"/>
          <w:sz w:val="27"/>
          <w:rtl/>
        </w:rPr>
        <w:t>ُّ</w:t>
      </w:r>
      <w:r w:rsidRPr="00282AC9">
        <w:rPr>
          <w:rFonts w:ascii="Arial" w:eastAsia="Calibri" w:hAnsi="Arial"/>
          <w:sz w:val="27"/>
          <w:rtl/>
        </w:rPr>
        <w:t>ك بها في مورد الشك</w:t>
      </w:r>
      <w:r w:rsidR="00A8334E" w:rsidRPr="00282AC9">
        <w:rPr>
          <w:rFonts w:ascii="Arial" w:eastAsia="Calibri" w:hAnsi="Arial" w:hint="cs"/>
          <w:sz w:val="27"/>
          <w:rtl/>
        </w:rPr>
        <w:t>ّ</w:t>
      </w:r>
      <w:r w:rsidRPr="00282AC9">
        <w:rPr>
          <w:rFonts w:ascii="Arial" w:eastAsia="Calibri" w:hAnsi="Arial"/>
          <w:sz w:val="27"/>
          <w:rtl/>
        </w:rPr>
        <w:t xml:space="preserve"> في أصل الاستحباب من التمس</w:t>
      </w:r>
      <w:r w:rsidR="00A8334E" w:rsidRPr="00282AC9">
        <w:rPr>
          <w:rFonts w:ascii="Arial" w:eastAsia="Calibri" w:hAnsi="Arial" w:hint="cs"/>
          <w:sz w:val="27"/>
          <w:rtl/>
        </w:rPr>
        <w:t>ُّ</w:t>
      </w:r>
      <w:r w:rsidRPr="00282AC9">
        <w:rPr>
          <w:rFonts w:ascii="Arial" w:eastAsia="Calibri" w:hAnsi="Arial"/>
          <w:sz w:val="27"/>
          <w:rtl/>
        </w:rPr>
        <w:t>ك بالعامّ في الشبهة المصداقي</w:t>
      </w:r>
      <w:r w:rsidR="00A8334E" w:rsidRPr="00282AC9">
        <w:rPr>
          <w:rFonts w:ascii="Arial" w:eastAsia="Calibri" w:hAnsi="Arial" w:hint="cs"/>
          <w:sz w:val="27"/>
          <w:rtl/>
        </w:rPr>
        <w:t>ّ</w:t>
      </w:r>
      <w:r w:rsidRPr="00282AC9">
        <w:rPr>
          <w:rFonts w:ascii="Arial" w:eastAsia="Calibri" w:hAnsi="Arial"/>
          <w:sz w:val="27"/>
          <w:rtl/>
        </w:rPr>
        <w:t>ة، بل تكون هذه الروايات من أدل</w:t>
      </w:r>
      <w:r w:rsidR="00A8334E" w:rsidRPr="00282AC9">
        <w:rPr>
          <w:rFonts w:ascii="Arial" w:eastAsia="Calibri" w:hAnsi="Arial" w:hint="cs"/>
          <w:sz w:val="27"/>
          <w:rtl/>
        </w:rPr>
        <w:t>ّ</w:t>
      </w:r>
      <w:r w:rsidRPr="00282AC9">
        <w:rPr>
          <w:rFonts w:ascii="Arial" w:eastAsia="Calibri" w:hAnsi="Arial"/>
          <w:sz w:val="27"/>
          <w:rtl/>
        </w:rPr>
        <w:t>ة الترغيب في الطاعة والحث</w:t>
      </w:r>
      <w:r w:rsidR="00A8334E" w:rsidRPr="00282AC9">
        <w:rPr>
          <w:rFonts w:ascii="Arial" w:eastAsia="Calibri" w:hAnsi="Arial" w:hint="cs"/>
          <w:sz w:val="27"/>
          <w:rtl/>
        </w:rPr>
        <w:t>ّ</w:t>
      </w:r>
      <w:r w:rsidRPr="00282AC9">
        <w:rPr>
          <w:rFonts w:ascii="Arial" w:eastAsia="Calibri" w:hAnsi="Arial"/>
          <w:sz w:val="27"/>
          <w:rtl/>
        </w:rPr>
        <w:t xml:space="preserve"> على عدم إهمال المستحب</w:t>
      </w:r>
      <w:r w:rsidR="00A8334E" w:rsidRPr="00282AC9">
        <w:rPr>
          <w:rFonts w:ascii="Arial" w:eastAsia="Calibri" w:hAnsi="Arial" w:hint="cs"/>
          <w:sz w:val="27"/>
          <w:rtl/>
        </w:rPr>
        <w:t>ّ</w:t>
      </w:r>
      <w:r w:rsidRPr="00282AC9">
        <w:rPr>
          <w:rFonts w:ascii="Arial" w:eastAsia="Calibri" w:hAnsi="Arial"/>
          <w:sz w:val="27"/>
          <w:rtl/>
        </w:rPr>
        <w:t>ات الشرعي</w:t>
      </w:r>
      <w:r w:rsidR="00A8334E" w:rsidRPr="00282AC9">
        <w:rPr>
          <w:rFonts w:ascii="Arial" w:eastAsia="Calibri" w:hAnsi="Arial" w:hint="cs"/>
          <w:sz w:val="27"/>
          <w:rtl/>
        </w:rPr>
        <w:t>ّ</w:t>
      </w:r>
      <w:r w:rsidRPr="00282AC9">
        <w:rPr>
          <w:rFonts w:ascii="Arial" w:eastAsia="Calibri" w:hAnsi="Arial"/>
          <w:sz w:val="27"/>
          <w:rtl/>
        </w:rPr>
        <w:t>ة</w:t>
      </w:r>
      <w:r w:rsidR="00A8334E" w:rsidRPr="00282AC9">
        <w:rPr>
          <w:rFonts w:ascii="Arial" w:eastAsia="Calibri" w:hAnsi="Arial" w:hint="cs"/>
          <w:sz w:val="27"/>
          <w:rtl/>
        </w:rPr>
        <w:t>،</w:t>
      </w:r>
      <w:r w:rsidRPr="00282AC9">
        <w:rPr>
          <w:rFonts w:ascii="Arial" w:eastAsia="Calibri" w:hAnsi="Arial"/>
          <w:sz w:val="27"/>
          <w:rtl/>
        </w:rPr>
        <w:t xml:space="preserve"> من خلال جعل ثواب</w:t>
      </w:r>
      <w:r w:rsidR="00A8334E" w:rsidRPr="00282AC9">
        <w:rPr>
          <w:rFonts w:ascii="Arial" w:eastAsia="Calibri" w:hAnsi="Arial" w:hint="cs"/>
          <w:sz w:val="27"/>
          <w:rtl/>
        </w:rPr>
        <w:t>ٍ</w:t>
      </w:r>
      <w:r w:rsidRPr="00282AC9">
        <w:rPr>
          <w:rFonts w:ascii="Arial" w:eastAsia="Calibri" w:hAnsi="Arial"/>
          <w:sz w:val="27"/>
          <w:rtl/>
        </w:rPr>
        <w:t xml:space="preserve"> ترغيبي</w:t>
      </w:r>
      <w:r w:rsidR="00A8334E" w:rsidRPr="00282AC9">
        <w:rPr>
          <w:rFonts w:ascii="Arial" w:eastAsia="Calibri" w:hAnsi="Arial" w:hint="cs"/>
          <w:sz w:val="27"/>
          <w:rtl/>
        </w:rPr>
        <w:t>ّ</w:t>
      </w:r>
      <w:r w:rsidRPr="00282AC9">
        <w:rPr>
          <w:rFonts w:ascii="Arial" w:eastAsia="Calibri" w:hAnsi="Arial"/>
          <w:sz w:val="27"/>
          <w:rtl/>
        </w:rPr>
        <w:t xml:space="preserve"> تفضيلي</w:t>
      </w:r>
      <w:r w:rsidR="00A8334E" w:rsidRPr="00282AC9">
        <w:rPr>
          <w:rFonts w:ascii="Arial" w:eastAsia="Calibri" w:hAnsi="Arial" w:hint="cs"/>
          <w:sz w:val="27"/>
          <w:rtl/>
        </w:rPr>
        <w:t>ّ</w:t>
      </w:r>
      <w:r w:rsidRPr="00282AC9">
        <w:rPr>
          <w:rFonts w:ascii="Arial" w:eastAsia="Calibri" w:hAnsi="Arial"/>
          <w:sz w:val="27"/>
          <w:rtl/>
        </w:rPr>
        <w:t xml:space="preserve"> في ذلك المورد</w:t>
      </w:r>
      <w:r w:rsidRPr="00282AC9">
        <w:rPr>
          <w:rFonts w:hint="eastAsia"/>
          <w:sz w:val="24"/>
          <w:szCs w:val="24"/>
          <w:rtl/>
        </w:rPr>
        <w:t>»</w:t>
      </w:r>
      <w:r w:rsidRPr="00282AC9">
        <w:rPr>
          <w:rFonts w:ascii="Arial" w:eastAsia="Calibri" w:hAnsi="Arial"/>
          <w:sz w:val="27"/>
          <w:vertAlign w:val="superscript"/>
          <w:rtl/>
        </w:rPr>
        <w:t>(</w:t>
      </w:r>
      <w:r w:rsidRPr="00282AC9">
        <w:rPr>
          <w:rFonts w:ascii="Arial" w:eastAsia="Calibri" w:hAnsi="Arial"/>
          <w:sz w:val="27"/>
          <w:vertAlign w:val="superscript"/>
          <w:rtl/>
        </w:rPr>
        <w:endnoteReference w:id="167"/>
      </w:r>
      <w:r w:rsidRPr="00282AC9">
        <w:rPr>
          <w:rFonts w:ascii="Arial" w:eastAsia="Calibri" w:hAnsi="Arial"/>
          <w:sz w:val="27"/>
          <w:vertAlign w:val="superscript"/>
          <w:rtl/>
        </w:rPr>
        <w:t>)</w:t>
      </w:r>
      <w:r w:rsidRPr="00282AC9">
        <w:rPr>
          <w:rFonts w:ascii="Arial" w:eastAsia="Calibri" w:hAnsi="Arial"/>
          <w:sz w:val="27"/>
          <w:rtl/>
        </w:rPr>
        <w:t>.</w:t>
      </w:r>
      <w:r w:rsidRPr="00282AC9">
        <w:rPr>
          <w:rFonts w:ascii="Arial" w:hAnsi="Arial"/>
          <w:sz w:val="27"/>
          <w:rtl/>
        </w:rPr>
        <w:t xml:space="preserve"> </w:t>
      </w:r>
    </w:p>
    <w:p w:rsidR="00CB64CB" w:rsidRPr="00282AC9" w:rsidRDefault="00CB64CB" w:rsidP="005A1697">
      <w:pPr>
        <w:spacing w:line="420" w:lineRule="exact"/>
        <w:rPr>
          <w:rFonts w:ascii="Arial" w:hAnsi="Arial"/>
          <w:sz w:val="27"/>
          <w:rtl/>
        </w:rPr>
      </w:pPr>
    </w:p>
    <w:p w:rsidR="00CB64CB" w:rsidRPr="00282AC9" w:rsidRDefault="00CB64CB" w:rsidP="00CB64CB">
      <w:pPr>
        <w:pStyle w:val="31"/>
        <w:rPr>
          <w:color w:val="auto"/>
          <w:rtl/>
        </w:rPr>
      </w:pPr>
      <w:r w:rsidRPr="00282AC9">
        <w:rPr>
          <w:rFonts w:hint="cs"/>
          <w:color w:val="auto"/>
          <w:rtl/>
        </w:rPr>
        <w:t>النقاش في هذه الاحتمالات، والترجيح بينها</w:t>
      </w:r>
    </w:p>
    <w:p w:rsidR="0098597F" w:rsidRPr="00282AC9" w:rsidRDefault="0098597F" w:rsidP="004F097E">
      <w:pPr>
        <w:rPr>
          <w:rFonts w:ascii="Arial" w:eastAsia="Calibri" w:hAnsi="Arial"/>
          <w:sz w:val="27"/>
          <w:rtl/>
          <w:lang w:bidi="ar-LB"/>
        </w:rPr>
      </w:pPr>
      <w:r w:rsidRPr="00282AC9">
        <w:rPr>
          <w:rFonts w:ascii="Arial" w:eastAsia="Calibri" w:hAnsi="Arial" w:hint="cs"/>
          <w:sz w:val="27"/>
          <w:rtl/>
          <w:lang w:bidi="ar-LB"/>
        </w:rPr>
        <w:t>وقد وقع الكلام بين الأعلام في هذه الاحتمالات</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وما هو الأقرب منها إلى مفاد </w:t>
      </w:r>
      <w:r w:rsidRPr="00282AC9">
        <w:rPr>
          <w:rFonts w:ascii="Arial" w:eastAsia="Calibri" w:hAnsi="Arial" w:hint="cs"/>
          <w:sz w:val="27"/>
          <w:rtl/>
          <w:lang w:bidi="ar-LB"/>
        </w:rPr>
        <w:lastRenderedPageBreak/>
        <w:t>الأخبار</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واحتدم النقاش بينهم بطريقة</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عميقة</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ت</w:t>
      </w:r>
      <w:r w:rsidR="00A8334E" w:rsidRPr="00282AC9">
        <w:rPr>
          <w:rFonts w:ascii="Arial" w:eastAsia="Calibri" w:hAnsi="Arial" w:hint="cs"/>
          <w:sz w:val="27"/>
          <w:rtl/>
          <w:lang w:bidi="ar-LB"/>
        </w:rPr>
        <w:t>ُ</w:t>
      </w:r>
      <w:r w:rsidRPr="00282AC9">
        <w:rPr>
          <w:rFonts w:ascii="Arial" w:eastAsia="Calibri" w:hAnsi="Arial" w:hint="cs"/>
          <w:sz w:val="27"/>
          <w:rtl/>
          <w:lang w:bidi="ar-LB"/>
        </w:rPr>
        <w:t>ظ</w:t>
      </w:r>
      <w:r w:rsidR="00A8334E" w:rsidRPr="00282AC9">
        <w:rPr>
          <w:rFonts w:ascii="Arial" w:eastAsia="Calibri" w:hAnsi="Arial" w:hint="cs"/>
          <w:sz w:val="27"/>
          <w:rtl/>
          <w:lang w:bidi="ar-LB"/>
        </w:rPr>
        <w:t>ْ</w:t>
      </w:r>
      <w:r w:rsidRPr="00282AC9">
        <w:rPr>
          <w:rFonts w:ascii="Arial" w:eastAsia="Calibri" w:hAnsi="Arial" w:hint="cs"/>
          <w:sz w:val="27"/>
          <w:rtl/>
          <w:lang w:bidi="ar-LB"/>
        </w:rPr>
        <w:t>ه</w:t>
      </w:r>
      <w:r w:rsidR="00A8334E" w:rsidRPr="00282AC9">
        <w:rPr>
          <w:rFonts w:ascii="Arial" w:eastAsia="Calibri" w:hAnsi="Arial" w:hint="cs"/>
          <w:sz w:val="27"/>
          <w:rtl/>
          <w:lang w:bidi="ar-LB"/>
        </w:rPr>
        <w:t>ِ</w:t>
      </w:r>
      <w:r w:rsidRPr="00282AC9">
        <w:rPr>
          <w:rFonts w:ascii="Arial" w:eastAsia="Calibri" w:hAnsi="Arial" w:hint="cs"/>
          <w:sz w:val="27"/>
          <w:rtl/>
          <w:lang w:bidi="ar-LB"/>
        </w:rPr>
        <w:t>ر قدرة العقل الأصولي</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على التحقيق والبحث، و</w:t>
      </w:r>
      <w:r w:rsidR="00674EF5" w:rsidRPr="00282AC9">
        <w:rPr>
          <w:rFonts w:ascii="Arial" w:eastAsia="Calibri" w:hAnsi="Arial" w:hint="cs"/>
          <w:sz w:val="27"/>
          <w:rtl/>
          <w:lang w:bidi="ar-LB"/>
        </w:rPr>
        <w:t>لا سيَّما</w:t>
      </w:r>
      <w:r w:rsidRPr="00282AC9">
        <w:rPr>
          <w:rFonts w:ascii="Arial" w:eastAsia="Calibri" w:hAnsi="Arial" w:hint="cs"/>
          <w:sz w:val="27"/>
          <w:rtl/>
          <w:lang w:bidi="ar-LB"/>
        </w:rPr>
        <w:t xml:space="preserve"> على يد</w:t>
      </w:r>
      <w:r w:rsidR="00A8334E" w:rsidRPr="00282AC9">
        <w:rPr>
          <w:rFonts w:ascii="Arial" w:eastAsia="Calibri" w:hAnsi="Arial" w:hint="cs"/>
          <w:sz w:val="27"/>
          <w:rtl/>
          <w:lang w:bidi="ar-LB"/>
        </w:rPr>
        <w:t>َ</w:t>
      </w:r>
      <w:r w:rsidRPr="00282AC9">
        <w:rPr>
          <w:rFonts w:ascii="Arial" w:eastAsia="Calibri" w:hAnsi="Arial" w:hint="cs"/>
          <w:sz w:val="27"/>
          <w:rtl/>
          <w:lang w:bidi="ar-LB"/>
        </w:rPr>
        <w:t>ي</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الشيخ الأنصاري والمحق</w:t>
      </w:r>
      <w:r w:rsidR="00A8334E" w:rsidRPr="00282AC9">
        <w:rPr>
          <w:rFonts w:ascii="Arial" w:eastAsia="Calibri" w:hAnsi="Arial" w:hint="cs"/>
          <w:sz w:val="27"/>
          <w:rtl/>
          <w:lang w:bidi="ar-LB"/>
        </w:rPr>
        <w:t>ِّ</w:t>
      </w:r>
      <w:r w:rsidRPr="00282AC9">
        <w:rPr>
          <w:rFonts w:ascii="Arial" w:eastAsia="Calibri" w:hAnsi="Arial" w:hint="cs"/>
          <w:sz w:val="27"/>
          <w:rtl/>
          <w:lang w:bidi="ar-LB"/>
        </w:rPr>
        <w:t>قين من بعده، ومنهم</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ال</w:t>
      </w:r>
      <w:r w:rsidR="00A8334E" w:rsidRPr="00282AC9">
        <w:rPr>
          <w:rFonts w:ascii="Arial" w:eastAsia="Calibri" w:hAnsi="Arial" w:hint="cs"/>
          <w:sz w:val="27"/>
          <w:rtl/>
          <w:lang w:bidi="ar-LB"/>
        </w:rPr>
        <w:t>آ</w:t>
      </w:r>
      <w:r w:rsidRPr="00282AC9">
        <w:rPr>
          <w:rFonts w:ascii="Arial" w:eastAsia="Calibri" w:hAnsi="Arial" w:hint="cs"/>
          <w:sz w:val="27"/>
          <w:rtl/>
          <w:lang w:bidi="ar-LB"/>
        </w:rPr>
        <w:t>خوند الخراساني والنائيني والأصفهاني</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وطبيعي</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أنّ بحث هذه الوجوه</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وما قيل فيها</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وبشأنها</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وبيان آراء هؤلاء الأعلام ونقاشاتهم</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هو عمل</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وجهد</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خارج عن موضوع بحثنا، وهو موكول</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إلى علم الأصول، وإنما نكتفي في المقام بإطلالة</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إجمالية ومختصرة</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على بعض النقاشات المطروحة في كلام العلم</w:t>
      </w:r>
      <w:r w:rsidR="00A8334E" w:rsidRPr="00282AC9">
        <w:rPr>
          <w:rFonts w:ascii="Arial" w:eastAsia="Calibri" w:hAnsi="Arial" w:hint="cs"/>
          <w:sz w:val="27"/>
          <w:rtl/>
          <w:lang w:bidi="ar-LB"/>
        </w:rPr>
        <w:t>َ</w:t>
      </w:r>
      <w:r w:rsidRPr="00282AC9">
        <w:rPr>
          <w:rFonts w:ascii="Arial" w:eastAsia="Calibri" w:hAnsi="Arial" w:hint="cs"/>
          <w:sz w:val="27"/>
          <w:rtl/>
          <w:lang w:bidi="ar-LB"/>
        </w:rPr>
        <w:t>ي</w:t>
      </w:r>
      <w:r w:rsidR="00A8334E" w:rsidRPr="00282AC9">
        <w:rPr>
          <w:rFonts w:ascii="Arial" w:eastAsia="Calibri" w:hAnsi="Arial" w:hint="cs"/>
          <w:sz w:val="27"/>
          <w:rtl/>
          <w:lang w:bidi="ar-LB"/>
        </w:rPr>
        <w:t>ْ</w:t>
      </w:r>
      <w:r w:rsidRPr="00282AC9">
        <w:rPr>
          <w:rFonts w:ascii="Arial" w:eastAsia="Calibri" w:hAnsi="Arial" w:hint="cs"/>
          <w:sz w:val="27"/>
          <w:rtl/>
          <w:lang w:bidi="ar-LB"/>
        </w:rPr>
        <w:t>ن الخوئي والصدر</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مع ترجيح ما يمكن ترجيحه. </w:t>
      </w:r>
    </w:p>
    <w:p w:rsidR="007B68B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أما الاحتمال الأو</w:t>
      </w:r>
      <w:r w:rsidR="00A8334E" w:rsidRPr="00282AC9">
        <w:rPr>
          <w:rFonts w:ascii="Arial" w:eastAsia="Calibri" w:hAnsi="Arial" w:hint="cs"/>
          <w:b/>
          <w:bCs/>
          <w:sz w:val="27"/>
          <w:rtl/>
          <w:lang w:bidi="ar-LB"/>
        </w:rPr>
        <w:t>ّ</w:t>
      </w:r>
      <w:r w:rsidRPr="00282AC9">
        <w:rPr>
          <w:rFonts w:ascii="Arial" w:eastAsia="Calibri" w:hAnsi="Arial" w:hint="cs"/>
          <w:b/>
          <w:bCs/>
          <w:sz w:val="27"/>
          <w:rtl/>
          <w:lang w:bidi="ar-LB"/>
        </w:rPr>
        <w:t>ل</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وهو أن تكون روايات </w:t>
      </w:r>
      <w:r w:rsidR="00A8334E" w:rsidRPr="00282AC9">
        <w:rPr>
          <w:rFonts w:hint="eastAsia"/>
          <w:sz w:val="24"/>
          <w:szCs w:val="24"/>
          <w:rtl/>
        </w:rPr>
        <w:t>«</w:t>
      </w:r>
      <w:r w:rsidRPr="00282AC9">
        <w:rPr>
          <w:rFonts w:ascii="Arial" w:eastAsia="Calibri" w:hAnsi="Arial" w:hint="cs"/>
          <w:sz w:val="27"/>
          <w:rtl/>
          <w:lang w:bidi="ar-LB"/>
        </w:rPr>
        <w:t>م</w:t>
      </w:r>
      <w:r w:rsidR="00A8334E" w:rsidRPr="00282AC9">
        <w:rPr>
          <w:rFonts w:ascii="Arial" w:eastAsia="Calibri" w:hAnsi="Arial" w:hint="cs"/>
          <w:sz w:val="27"/>
          <w:rtl/>
          <w:lang w:bidi="ar-LB"/>
        </w:rPr>
        <w:t>َ</w:t>
      </w:r>
      <w:r w:rsidRPr="00282AC9">
        <w:rPr>
          <w:rFonts w:ascii="Arial" w:eastAsia="Calibri" w:hAnsi="Arial" w:hint="cs"/>
          <w:sz w:val="27"/>
          <w:rtl/>
          <w:lang w:bidi="ar-LB"/>
        </w:rPr>
        <w:t>ن</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بلغ</w:t>
      </w:r>
      <w:r w:rsidR="00A8334E" w:rsidRPr="00282AC9">
        <w:rPr>
          <w:rFonts w:hint="eastAsia"/>
          <w:sz w:val="24"/>
          <w:szCs w:val="24"/>
          <w:rtl/>
        </w:rPr>
        <w:t>»</w:t>
      </w:r>
      <w:r w:rsidRPr="00282AC9">
        <w:rPr>
          <w:rFonts w:ascii="Arial" w:eastAsia="Calibri" w:hAnsi="Arial" w:hint="cs"/>
          <w:sz w:val="27"/>
          <w:rtl/>
          <w:lang w:bidi="ar-LB"/>
        </w:rPr>
        <w:t xml:space="preserve"> بصدد جعل الحج</w:t>
      </w:r>
      <w:r w:rsidR="00A8334E" w:rsidRPr="00282AC9">
        <w:rPr>
          <w:rFonts w:ascii="Arial" w:eastAsia="Calibri" w:hAnsi="Arial" w:hint="cs"/>
          <w:sz w:val="27"/>
          <w:rtl/>
          <w:lang w:bidi="ar-LB"/>
        </w:rPr>
        <w:t>ّ</w:t>
      </w:r>
      <w:r w:rsidRPr="00282AC9">
        <w:rPr>
          <w:rFonts w:ascii="Arial" w:eastAsia="Calibri" w:hAnsi="Arial" w:hint="cs"/>
          <w:sz w:val="27"/>
          <w:rtl/>
          <w:lang w:bidi="ar-LB"/>
        </w:rPr>
        <w:t>ية الظاهرية للخبر الضعيف في المستحب</w:t>
      </w:r>
      <w:r w:rsidR="00A8334E" w:rsidRPr="00282AC9">
        <w:rPr>
          <w:rFonts w:ascii="Arial" w:eastAsia="Calibri" w:hAnsi="Arial" w:hint="cs"/>
          <w:sz w:val="27"/>
          <w:rtl/>
          <w:lang w:bidi="ar-LB"/>
        </w:rPr>
        <w:t>ّ</w:t>
      </w:r>
      <w:r w:rsidRPr="00282AC9">
        <w:rPr>
          <w:rFonts w:ascii="Arial" w:eastAsia="Calibri" w:hAnsi="Arial" w:hint="cs"/>
          <w:sz w:val="27"/>
          <w:rtl/>
          <w:lang w:bidi="ar-LB"/>
        </w:rPr>
        <w:t>ات</w:t>
      </w:r>
      <w:r w:rsidR="00A8334E" w:rsidRPr="00282AC9">
        <w:rPr>
          <w:rFonts w:ascii="Arial" w:eastAsia="Calibri" w:hAnsi="Arial" w:hint="cs"/>
          <w:sz w:val="27"/>
          <w:rtl/>
          <w:lang w:bidi="ar-LB"/>
        </w:rPr>
        <w:t>،</w:t>
      </w:r>
      <w:r w:rsidRPr="00282AC9">
        <w:rPr>
          <w:rFonts w:ascii="Arial" w:eastAsia="Calibri" w:hAnsi="Arial" w:hint="cs"/>
          <w:sz w:val="27"/>
          <w:rtl/>
          <w:lang w:bidi="ar-LB"/>
        </w:rPr>
        <w:t xml:space="preserve"> فهو الأساس في </w:t>
      </w:r>
      <w:r w:rsidR="007B68BF" w:rsidRPr="00282AC9">
        <w:rPr>
          <w:rFonts w:ascii="Arial" w:eastAsia="Calibri" w:hAnsi="Arial" w:hint="cs"/>
          <w:sz w:val="27"/>
          <w:rtl/>
          <w:lang w:bidi="ar-LB"/>
        </w:rPr>
        <w:t>قاعدة التسامح، وبانهياره تنهار.</w:t>
      </w:r>
    </w:p>
    <w:p w:rsidR="007B68BF" w:rsidRPr="00282AC9" w:rsidRDefault="0098597F" w:rsidP="004F097E">
      <w:pPr>
        <w:rPr>
          <w:rFonts w:ascii="Arial" w:eastAsia="Calibri" w:hAnsi="Arial"/>
          <w:sz w:val="27"/>
          <w:rtl/>
          <w:lang w:bidi="ar-LB"/>
        </w:rPr>
      </w:pPr>
      <w:r w:rsidRPr="00282AC9">
        <w:rPr>
          <w:rFonts w:ascii="Arial" w:eastAsia="Calibri" w:hAnsi="Arial" w:hint="cs"/>
          <w:sz w:val="27"/>
          <w:rtl/>
          <w:lang w:bidi="ar-LB"/>
        </w:rPr>
        <w:t>وقد رد</w:t>
      </w:r>
      <w:r w:rsidR="007B68BF" w:rsidRPr="00282AC9">
        <w:rPr>
          <w:rFonts w:ascii="Arial" w:eastAsia="Calibri" w:hAnsi="Arial" w:hint="cs"/>
          <w:sz w:val="27"/>
          <w:rtl/>
          <w:lang w:bidi="ar-LB"/>
        </w:rPr>
        <w:t>ّ</w:t>
      </w:r>
      <w:r w:rsidRPr="00282AC9">
        <w:rPr>
          <w:rFonts w:ascii="Arial" w:eastAsia="Calibri" w:hAnsi="Arial" w:hint="cs"/>
          <w:sz w:val="27"/>
          <w:rtl/>
          <w:lang w:bidi="ar-LB"/>
        </w:rPr>
        <w:t xml:space="preserve">ه السيد الخوئي بأنه </w:t>
      </w:r>
      <w:r w:rsidRPr="00282AC9">
        <w:rPr>
          <w:rFonts w:hint="eastAsia"/>
          <w:sz w:val="24"/>
          <w:szCs w:val="24"/>
          <w:rtl/>
          <w:lang w:bidi="ar-LB"/>
        </w:rPr>
        <w:t>«</w:t>
      </w:r>
      <w:r w:rsidRPr="00282AC9">
        <w:rPr>
          <w:rFonts w:ascii="Arial" w:eastAsia="Calibri" w:hAnsi="Arial"/>
          <w:sz w:val="27"/>
          <w:rtl/>
          <w:lang w:bidi="ar-LB"/>
        </w:rPr>
        <w:t>بعيد</w:t>
      </w:r>
      <w:r w:rsidR="007B68BF" w:rsidRPr="00282AC9">
        <w:rPr>
          <w:rFonts w:ascii="Arial" w:eastAsia="Calibri" w:hAnsi="Arial" w:hint="cs"/>
          <w:sz w:val="27"/>
          <w:rtl/>
          <w:lang w:bidi="ar-LB"/>
        </w:rPr>
        <w:t>ٌ</w:t>
      </w:r>
      <w:r w:rsidRPr="00282AC9">
        <w:rPr>
          <w:rFonts w:ascii="Arial" w:eastAsia="Calibri" w:hAnsi="Arial" w:hint="cs"/>
          <w:sz w:val="27"/>
          <w:rtl/>
          <w:lang w:bidi="ar-LB"/>
        </w:rPr>
        <w:t xml:space="preserve"> </w:t>
      </w:r>
      <w:r w:rsidRPr="00282AC9">
        <w:rPr>
          <w:rFonts w:ascii="Arial" w:eastAsia="Calibri" w:hAnsi="Arial"/>
          <w:sz w:val="27"/>
          <w:rtl/>
          <w:lang w:bidi="ar-LB"/>
        </w:rPr>
        <w:t>عن ظاهر الروايات غاية الب</w:t>
      </w:r>
      <w:r w:rsidR="007B68BF" w:rsidRPr="00282AC9">
        <w:rPr>
          <w:rFonts w:ascii="Arial" w:eastAsia="Calibri" w:hAnsi="Arial" w:hint="cs"/>
          <w:sz w:val="27"/>
          <w:rtl/>
          <w:lang w:bidi="ar-LB"/>
        </w:rPr>
        <w:t>ُ</w:t>
      </w:r>
      <w:r w:rsidRPr="00282AC9">
        <w:rPr>
          <w:rFonts w:ascii="Arial" w:eastAsia="Calibri" w:hAnsi="Arial"/>
          <w:sz w:val="27"/>
          <w:rtl/>
          <w:lang w:bidi="ar-LB"/>
        </w:rPr>
        <w:t>ع</w:t>
      </w:r>
      <w:r w:rsidR="007B68BF" w:rsidRPr="00282AC9">
        <w:rPr>
          <w:rFonts w:ascii="Arial" w:eastAsia="Calibri" w:hAnsi="Arial" w:hint="cs"/>
          <w:sz w:val="27"/>
          <w:rtl/>
          <w:lang w:bidi="ar-LB"/>
        </w:rPr>
        <w:t>ْ</w:t>
      </w:r>
      <w:r w:rsidRPr="00282AC9">
        <w:rPr>
          <w:rFonts w:ascii="Arial" w:eastAsia="Calibri" w:hAnsi="Arial"/>
          <w:sz w:val="27"/>
          <w:rtl/>
          <w:lang w:bidi="ar-LB"/>
        </w:rPr>
        <w:t>د</w:t>
      </w:r>
      <w:r w:rsidR="007B68BF" w:rsidRPr="00282AC9">
        <w:rPr>
          <w:rFonts w:ascii="Arial" w:eastAsia="Calibri" w:hAnsi="Arial" w:hint="cs"/>
          <w:sz w:val="27"/>
          <w:rtl/>
          <w:lang w:bidi="ar-LB"/>
        </w:rPr>
        <w:t>؛</w:t>
      </w:r>
      <w:r w:rsidRPr="00282AC9">
        <w:rPr>
          <w:rFonts w:ascii="Arial" w:eastAsia="Calibri" w:hAnsi="Arial"/>
          <w:sz w:val="27"/>
          <w:rtl/>
          <w:lang w:bidi="ar-LB"/>
        </w:rPr>
        <w:t xml:space="preserve"> لأن</w:t>
      </w:r>
      <w:r w:rsidRPr="00282AC9">
        <w:rPr>
          <w:rFonts w:ascii="Arial" w:eastAsia="Calibri" w:hAnsi="Arial" w:hint="cs"/>
          <w:sz w:val="27"/>
          <w:rtl/>
          <w:lang w:bidi="ar-LB"/>
        </w:rPr>
        <w:t>ّ</w:t>
      </w:r>
      <w:r w:rsidRPr="00282AC9">
        <w:rPr>
          <w:rFonts w:ascii="Arial" w:eastAsia="Calibri" w:hAnsi="Arial"/>
          <w:sz w:val="27"/>
          <w:rtl/>
          <w:lang w:bidi="ar-LB"/>
        </w:rPr>
        <w:t xml:space="preserve"> لسان الحج</w:t>
      </w:r>
      <w:r w:rsidR="007B68BF" w:rsidRPr="00282AC9">
        <w:rPr>
          <w:rFonts w:ascii="Arial" w:eastAsia="Calibri" w:hAnsi="Arial" w:hint="cs"/>
          <w:sz w:val="27"/>
          <w:rtl/>
          <w:lang w:bidi="ar-LB"/>
        </w:rPr>
        <w:t>ّ</w:t>
      </w:r>
      <w:r w:rsidRPr="00282AC9">
        <w:rPr>
          <w:rFonts w:ascii="Arial" w:eastAsia="Calibri" w:hAnsi="Arial"/>
          <w:sz w:val="27"/>
          <w:rtl/>
          <w:lang w:bidi="ar-LB"/>
        </w:rPr>
        <w:t xml:space="preserve">ية </w:t>
      </w:r>
      <w:r w:rsidRPr="00282AC9">
        <w:rPr>
          <w:rFonts w:ascii="Arial" w:eastAsia="Calibri" w:hAnsi="Arial" w:hint="cs"/>
          <w:sz w:val="27"/>
          <w:rtl/>
          <w:lang w:bidi="ar-LB"/>
        </w:rPr>
        <w:t>إ</w:t>
      </w:r>
      <w:r w:rsidRPr="00282AC9">
        <w:rPr>
          <w:rFonts w:ascii="Arial" w:eastAsia="Calibri" w:hAnsi="Arial"/>
          <w:sz w:val="27"/>
          <w:rtl/>
          <w:lang w:bidi="ar-LB"/>
        </w:rPr>
        <w:t xml:space="preserve">نما هو </w:t>
      </w:r>
      <w:r w:rsidRPr="00282AC9">
        <w:rPr>
          <w:rFonts w:ascii="Arial" w:eastAsia="Calibri" w:hAnsi="Arial" w:hint="cs"/>
          <w:sz w:val="27"/>
          <w:rtl/>
          <w:lang w:bidi="ar-LB"/>
        </w:rPr>
        <w:t>إ</w:t>
      </w:r>
      <w:r w:rsidRPr="00282AC9">
        <w:rPr>
          <w:rFonts w:ascii="Arial" w:eastAsia="Calibri" w:hAnsi="Arial"/>
          <w:sz w:val="27"/>
          <w:rtl/>
          <w:lang w:bidi="ar-LB"/>
        </w:rPr>
        <w:t>لغاء احتمال الخلاف</w:t>
      </w:r>
      <w:r w:rsidR="007B68BF" w:rsidRPr="00282AC9">
        <w:rPr>
          <w:rFonts w:ascii="Arial" w:eastAsia="Calibri" w:hAnsi="Arial" w:hint="cs"/>
          <w:sz w:val="27"/>
          <w:rtl/>
          <w:lang w:bidi="ar-LB"/>
        </w:rPr>
        <w:t>،</w:t>
      </w:r>
      <w:r w:rsidRPr="00282AC9">
        <w:rPr>
          <w:rFonts w:ascii="Arial" w:eastAsia="Calibri" w:hAnsi="Arial" w:hint="cs"/>
          <w:sz w:val="27"/>
          <w:rtl/>
          <w:lang w:bidi="ar-LB"/>
        </w:rPr>
        <w:t xml:space="preserve"> </w:t>
      </w:r>
      <w:r w:rsidRPr="00282AC9">
        <w:rPr>
          <w:rFonts w:ascii="Arial" w:eastAsia="Calibri" w:hAnsi="Arial"/>
          <w:sz w:val="27"/>
          <w:rtl/>
          <w:lang w:bidi="ar-LB"/>
        </w:rPr>
        <w:t>والبناء على أن</w:t>
      </w:r>
      <w:r w:rsidRPr="00282AC9">
        <w:rPr>
          <w:rFonts w:ascii="Arial" w:eastAsia="Calibri" w:hAnsi="Arial" w:hint="cs"/>
          <w:sz w:val="27"/>
          <w:rtl/>
          <w:lang w:bidi="ar-LB"/>
        </w:rPr>
        <w:t>ّ</w:t>
      </w:r>
      <w:r w:rsidRPr="00282AC9">
        <w:rPr>
          <w:rFonts w:ascii="Arial" w:eastAsia="Calibri" w:hAnsi="Arial"/>
          <w:sz w:val="27"/>
          <w:rtl/>
          <w:lang w:bidi="ar-LB"/>
        </w:rPr>
        <w:t xml:space="preserve"> مؤد</w:t>
      </w:r>
      <w:r w:rsidR="007B68BF" w:rsidRPr="00282AC9">
        <w:rPr>
          <w:rFonts w:ascii="Arial" w:eastAsia="Calibri" w:hAnsi="Arial" w:hint="cs"/>
          <w:sz w:val="27"/>
          <w:rtl/>
          <w:lang w:bidi="ar-LB"/>
        </w:rPr>
        <w:t>ّ</w:t>
      </w:r>
      <w:r w:rsidRPr="00282AC9">
        <w:rPr>
          <w:rFonts w:ascii="Arial" w:eastAsia="Calibri" w:hAnsi="Arial"/>
          <w:sz w:val="27"/>
          <w:rtl/>
          <w:lang w:bidi="ar-LB"/>
        </w:rPr>
        <w:t>ى الطريق هو الواقع</w:t>
      </w:r>
      <w:r w:rsidR="007B68BF" w:rsidRPr="00282AC9">
        <w:rPr>
          <w:rFonts w:ascii="Arial" w:eastAsia="Calibri" w:hAnsi="Arial" w:hint="cs"/>
          <w:sz w:val="27"/>
          <w:rtl/>
          <w:lang w:bidi="ar-LB"/>
        </w:rPr>
        <w:t>،</w:t>
      </w:r>
      <w:r w:rsidRPr="00282AC9">
        <w:rPr>
          <w:rFonts w:ascii="Arial" w:eastAsia="Calibri" w:hAnsi="Arial"/>
          <w:sz w:val="27"/>
          <w:rtl/>
          <w:lang w:bidi="ar-LB"/>
        </w:rPr>
        <w:t xml:space="preserve"> كما في أدل</w:t>
      </w:r>
      <w:r w:rsidR="007B68BF" w:rsidRPr="00282AC9">
        <w:rPr>
          <w:rFonts w:ascii="Arial" w:eastAsia="Calibri" w:hAnsi="Arial" w:hint="cs"/>
          <w:sz w:val="27"/>
          <w:rtl/>
          <w:lang w:bidi="ar-LB"/>
        </w:rPr>
        <w:t>ّ</w:t>
      </w:r>
      <w:r w:rsidRPr="00282AC9">
        <w:rPr>
          <w:rFonts w:ascii="Arial" w:eastAsia="Calibri" w:hAnsi="Arial"/>
          <w:sz w:val="27"/>
          <w:rtl/>
          <w:lang w:bidi="ar-LB"/>
        </w:rPr>
        <w:t>ة الطرق وال</w:t>
      </w:r>
      <w:r w:rsidR="007B68BF" w:rsidRPr="00282AC9">
        <w:rPr>
          <w:rFonts w:ascii="Arial" w:eastAsia="Calibri" w:hAnsi="Arial" w:hint="cs"/>
          <w:sz w:val="27"/>
          <w:rtl/>
          <w:lang w:bidi="ar-LB"/>
        </w:rPr>
        <w:t>أ</w:t>
      </w:r>
      <w:r w:rsidRPr="00282AC9">
        <w:rPr>
          <w:rFonts w:ascii="Arial" w:eastAsia="Calibri" w:hAnsi="Arial"/>
          <w:sz w:val="27"/>
          <w:rtl/>
          <w:lang w:bidi="ar-LB"/>
        </w:rPr>
        <w:t>مارات، لا فرض</w:t>
      </w:r>
      <w:r w:rsidRPr="00282AC9">
        <w:rPr>
          <w:rFonts w:ascii="Arial" w:eastAsia="Calibri" w:hAnsi="Arial" w:hint="cs"/>
          <w:sz w:val="27"/>
          <w:rtl/>
          <w:lang w:bidi="ar-LB"/>
        </w:rPr>
        <w:t xml:space="preserve"> </w:t>
      </w:r>
      <w:r w:rsidRPr="00282AC9">
        <w:rPr>
          <w:rFonts w:ascii="Arial" w:eastAsia="Calibri" w:hAnsi="Arial"/>
          <w:sz w:val="27"/>
          <w:rtl/>
          <w:lang w:bidi="ar-LB"/>
        </w:rPr>
        <w:t>عدم ثبوت المؤد</w:t>
      </w:r>
      <w:r w:rsidR="007B68BF" w:rsidRPr="00282AC9">
        <w:rPr>
          <w:rFonts w:ascii="Arial" w:eastAsia="Calibri" w:hAnsi="Arial" w:hint="cs"/>
          <w:sz w:val="27"/>
          <w:rtl/>
          <w:lang w:bidi="ar-LB"/>
        </w:rPr>
        <w:t>ّ</w:t>
      </w:r>
      <w:r w:rsidRPr="00282AC9">
        <w:rPr>
          <w:rFonts w:ascii="Arial" w:eastAsia="Calibri" w:hAnsi="Arial"/>
          <w:sz w:val="27"/>
          <w:rtl/>
          <w:lang w:bidi="ar-LB"/>
        </w:rPr>
        <w:t>ى في الواقع، كما هو لسان هذه الأخبار. فهو غير مناسب</w:t>
      </w:r>
      <w:r w:rsidR="007B68BF" w:rsidRPr="00282AC9">
        <w:rPr>
          <w:rFonts w:ascii="Arial" w:eastAsia="Calibri" w:hAnsi="Arial" w:hint="cs"/>
          <w:sz w:val="27"/>
          <w:rtl/>
          <w:lang w:bidi="ar-LB"/>
        </w:rPr>
        <w:t>ٍ</w:t>
      </w:r>
      <w:r w:rsidRPr="00282AC9">
        <w:rPr>
          <w:rFonts w:ascii="Arial" w:eastAsia="Calibri" w:hAnsi="Arial"/>
          <w:sz w:val="27"/>
          <w:rtl/>
          <w:lang w:bidi="ar-LB"/>
        </w:rPr>
        <w:t xml:space="preserve"> لبيان</w:t>
      </w:r>
      <w:r w:rsidRPr="00282AC9">
        <w:rPr>
          <w:rFonts w:ascii="Arial" w:eastAsia="Calibri" w:hAnsi="Arial" w:hint="cs"/>
          <w:sz w:val="27"/>
          <w:rtl/>
          <w:lang w:bidi="ar-LB"/>
        </w:rPr>
        <w:t xml:space="preserve"> </w:t>
      </w:r>
      <w:r w:rsidRPr="00282AC9">
        <w:rPr>
          <w:rFonts w:ascii="Arial" w:eastAsia="Calibri" w:hAnsi="Arial"/>
          <w:sz w:val="27"/>
          <w:rtl/>
          <w:lang w:bidi="ar-LB"/>
        </w:rPr>
        <w:t>حج</w:t>
      </w:r>
      <w:r w:rsidR="007B68BF" w:rsidRPr="00282AC9">
        <w:rPr>
          <w:rFonts w:ascii="Arial" w:eastAsia="Calibri" w:hAnsi="Arial" w:hint="cs"/>
          <w:sz w:val="27"/>
          <w:rtl/>
          <w:lang w:bidi="ar-LB"/>
        </w:rPr>
        <w:t>ّ</w:t>
      </w:r>
      <w:r w:rsidRPr="00282AC9">
        <w:rPr>
          <w:rFonts w:ascii="Arial" w:eastAsia="Calibri" w:hAnsi="Arial"/>
          <w:sz w:val="27"/>
          <w:rtl/>
          <w:lang w:bidi="ar-LB"/>
        </w:rPr>
        <w:t>ية الخبر الضعيف في باب المستحب</w:t>
      </w:r>
      <w:r w:rsidR="007B68BF" w:rsidRPr="00282AC9">
        <w:rPr>
          <w:rFonts w:ascii="Arial" w:eastAsia="Calibri" w:hAnsi="Arial" w:hint="cs"/>
          <w:sz w:val="27"/>
          <w:rtl/>
          <w:lang w:bidi="ar-LB"/>
        </w:rPr>
        <w:t>ّ</w:t>
      </w:r>
      <w:r w:rsidRPr="00282AC9">
        <w:rPr>
          <w:rFonts w:ascii="Arial" w:eastAsia="Calibri" w:hAnsi="Arial"/>
          <w:sz w:val="27"/>
          <w:rtl/>
          <w:lang w:bidi="ar-LB"/>
        </w:rPr>
        <w:t>ات</w:t>
      </w:r>
      <w:r w:rsidR="007B68BF" w:rsidRPr="00282AC9">
        <w:rPr>
          <w:rFonts w:ascii="Arial" w:eastAsia="Calibri" w:hAnsi="Arial" w:hint="cs"/>
          <w:sz w:val="27"/>
          <w:rtl/>
          <w:lang w:bidi="ar-LB"/>
        </w:rPr>
        <w:t>،</w:t>
      </w:r>
      <w:r w:rsidRPr="00282AC9">
        <w:rPr>
          <w:rFonts w:ascii="Arial" w:eastAsia="Calibri" w:hAnsi="Arial"/>
          <w:sz w:val="27"/>
          <w:rtl/>
          <w:lang w:bidi="ar-LB"/>
        </w:rPr>
        <w:t xml:space="preserve"> ولا أقل</w:t>
      </w:r>
      <w:r w:rsidR="007B68BF" w:rsidRPr="00282AC9">
        <w:rPr>
          <w:rFonts w:ascii="Arial" w:eastAsia="Calibri" w:hAnsi="Arial" w:hint="cs"/>
          <w:sz w:val="27"/>
          <w:rtl/>
          <w:lang w:bidi="ar-LB"/>
        </w:rPr>
        <w:t>ّ</w:t>
      </w:r>
      <w:r w:rsidRPr="00282AC9">
        <w:rPr>
          <w:rFonts w:ascii="Arial" w:eastAsia="Calibri" w:hAnsi="Arial"/>
          <w:sz w:val="27"/>
          <w:rtl/>
          <w:lang w:bidi="ar-LB"/>
        </w:rPr>
        <w:t xml:space="preserve"> من عدم دلالتها عليها</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68"/>
      </w:r>
      <w:r w:rsidRPr="00282AC9">
        <w:rPr>
          <w:rFonts w:ascii="Arial" w:eastAsia="Calibri" w:hAnsi="Arial"/>
          <w:sz w:val="27"/>
          <w:vertAlign w:val="superscript"/>
          <w:rtl/>
          <w:lang w:bidi="ar-LB"/>
        </w:rPr>
        <w:t>)</w:t>
      </w:r>
      <w:r w:rsidR="007B68BF" w:rsidRPr="00282AC9">
        <w:rPr>
          <w:rFonts w:ascii="Arial" w:eastAsia="Calibri" w:hAnsi="Arial" w:hint="cs"/>
          <w:sz w:val="27"/>
          <w:rtl/>
          <w:lang w:bidi="ar-LB"/>
        </w:rPr>
        <w:t>.</w:t>
      </w:r>
    </w:p>
    <w:p w:rsidR="0098597F" w:rsidRPr="00282AC9" w:rsidRDefault="0098597F" w:rsidP="004F097E">
      <w:pPr>
        <w:rPr>
          <w:rFonts w:ascii="Arial" w:eastAsia="Calibri" w:hAnsi="Arial"/>
          <w:sz w:val="27"/>
          <w:rtl/>
          <w:lang w:bidi="ar-LB"/>
        </w:rPr>
      </w:pPr>
      <w:r w:rsidRPr="00282AC9">
        <w:rPr>
          <w:rFonts w:ascii="Arial" w:eastAsia="Calibri" w:hAnsi="Arial" w:hint="cs"/>
          <w:sz w:val="27"/>
          <w:rtl/>
          <w:lang w:bidi="ar-LB"/>
        </w:rPr>
        <w:t>وقريب</w:t>
      </w:r>
      <w:r w:rsidR="007B68BF" w:rsidRPr="00282AC9">
        <w:rPr>
          <w:rFonts w:ascii="Arial" w:eastAsia="Calibri" w:hAnsi="Arial" w:hint="cs"/>
          <w:sz w:val="27"/>
          <w:rtl/>
          <w:lang w:bidi="ar-LB"/>
        </w:rPr>
        <w:t>ٌ</w:t>
      </w:r>
      <w:r w:rsidRPr="00282AC9">
        <w:rPr>
          <w:rFonts w:ascii="Arial" w:eastAsia="Calibri" w:hAnsi="Arial" w:hint="cs"/>
          <w:sz w:val="27"/>
          <w:rtl/>
          <w:lang w:bidi="ar-LB"/>
        </w:rPr>
        <w:t xml:space="preserve"> منه ما ذكره الإمام الخميني</w:t>
      </w:r>
      <w:r w:rsidR="007B68BF" w:rsidRPr="00282AC9">
        <w:rPr>
          <w:rFonts w:ascii="Arial" w:eastAsia="Calibri" w:hAnsi="Arial" w:hint="cs"/>
          <w:sz w:val="27"/>
          <w:rtl/>
          <w:lang w:bidi="ar-LB"/>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69"/>
      </w:r>
      <w:r w:rsidRPr="00282AC9">
        <w:rPr>
          <w:rFonts w:ascii="Arial" w:eastAsia="Calibri" w:hAnsi="Arial"/>
          <w:sz w:val="27"/>
          <w:vertAlign w:val="superscript"/>
          <w:rtl/>
          <w:lang w:bidi="ar-LB"/>
        </w:rPr>
        <w:t>)</w:t>
      </w:r>
      <w:r w:rsidRPr="00282AC9">
        <w:rPr>
          <w:rFonts w:ascii="Arial" w:eastAsia="Calibri" w:hAnsi="Arial" w:hint="cs"/>
          <w:sz w:val="27"/>
          <w:rtl/>
          <w:lang w:bidi="ar-LB"/>
        </w:rPr>
        <w:t>.</w:t>
      </w:r>
    </w:p>
    <w:p w:rsidR="0098597F" w:rsidRPr="00282AC9" w:rsidRDefault="0098597F" w:rsidP="004F097E">
      <w:pPr>
        <w:rPr>
          <w:rFonts w:ascii="Arial" w:eastAsia="Calibri" w:hAnsi="Arial"/>
          <w:sz w:val="27"/>
          <w:rtl/>
          <w:lang w:bidi="ar-LB"/>
        </w:rPr>
      </w:pPr>
      <w:r w:rsidRPr="00282AC9">
        <w:rPr>
          <w:rFonts w:ascii="Arial" w:eastAsia="Calibri" w:hAnsi="Arial" w:hint="cs"/>
          <w:sz w:val="27"/>
          <w:rtl/>
          <w:lang w:bidi="ar-LB"/>
        </w:rPr>
        <w:t>وناقشه السيد الشهيد في البحوث</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0"/>
      </w:r>
      <w:r w:rsidRPr="00282AC9">
        <w:rPr>
          <w:rFonts w:ascii="Arial" w:eastAsia="Calibri" w:hAnsi="Arial"/>
          <w:sz w:val="27"/>
          <w:vertAlign w:val="superscript"/>
          <w:rtl/>
          <w:lang w:bidi="ar-LB"/>
        </w:rPr>
        <w:t>)</w:t>
      </w:r>
      <w:r w:rsidR="007B68BF" w:rsidRPr="00282AC9">
        <w:rPr>
          <w:rFonts w:ascii="Arial" w:eastAsia="Calibri" w:hAnsi="Arial" w:hint="cs"/>
          <w:sz w:val="27"/>
          <w:rtl/>
          <w:lang w:bidi="ar-LB"/>
        </w:rPr>
        <w:t xml:space="preserve"> </w:t>
      </w:r>
      <w:r w:rsidRPr="00282AC9">
        <w:rPr>
          <w:rFonts w:ascii="Arial" w:eastAsia="Calibri" w:hAnsi="Arial" w:hint="cs"/>
          <w:sz w:val="27"/>
          <w:rtl/>
          <w:lang w:bidi="ar-LB"/>
        </w:rPr>
        <w:t xml:space="preserve">بمناقشتين: </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 xml:space="preserve">الأولى: </w:t>
      </w:r>
      <w:r w:rsidRPr="00282AC9">
        <w:rPr>
          <w:rFonts w:hint="eastAsia"/>
          <w:sz w:val="24"/>
          <w:szCs w:val="24"/>
          <w:rtl/>
          <w:lang w:bidi="ar-LB"/>
        </w:rPr>
        <w:t>«</w:t>
      </w:r>
      <w:r w:rsidR="007B68BF" w:rsidRPr="00282AC9">
        <w:rPr>
          <w:rFonts w:ascii="Arial" w:eastAsia="Calibri" w:hAnsi="Arial" w:hint="cs"/>
          <w:sz w:val="27"/>
          <w:rtl/>
          <w:lang w:bidi="ar-LB"/>
        </w:rPr>
        <w:t>إ</w:t>
      </w:r>
      <w:r w:rsidRPr="00282AC9">
        <w:rPr>
          <w:rFonts w:ascii="Arial" w:eastAsia="Calibri" w:hAnsi="Arial"/>
          <w:sz w:val="27"/>
          <w:rtl/>
          <w:lang w:bidi="ar-LB"/>
        </w:rPr>
        <w:t>ن</w:t>
      </w:r>
      <w:r w:rsidRPr="00282AC9">
        <w:rPr>
          <w:rFonts w:ascii="Arial" w:eastAsia="Calibri" w:hAnsi="Arial" w:hint="cs"/>
          <w:sz w:val="27"/>
          <w:rtl/>
          <w:lang w:bidi="ar-LB"/>
        </w:rPr>
        <w:t>ّ</w:t>
      </w:r>
      <w:r w:rsidRPr="00282AC9">
        <w:rPr>
          <w:rFonts w:ascii="Arial" w:eastAsia="Calibri" w:hAnsi="Arial"/>
          <w:sz w:val="27"/>
          <w:rtl/>
          <w:lang w:bidi="ar-LB"/>
        </w:rPr>
        <w:t xml:space="preserve"> الأمر الطريقي الظاهري لا ينحصر في أن يكون بمعنى جعل الحج</w:t>
      </w:r>
      <w:r w:rsidR="007B68BF" w:rsidRPr="00282AC9">
        <w:rPr>
          <w:rFonts w:ascii="Arial" w:eastAsia="Calibri" w:hAnsi="Arial" w:hint="cs"/>
          <w:sz w:val="27"/>
          <w:rtl/>
          <w:lang w:bidi="ar-LB"/>
        </w:rPr>
        <w:t>ّ</w:t>
      </w:r>
      <w:r w:rsidRPr="00282AC9">
        <w:rPr>
          <w:rFonts w:ascii="Arial" w:eastAsia="Calibri" w:hAnsi="Arial"/>
          <w:sz w:val="27"/>
          <w:rtl/>
          <w:lang w:bidi="ar-LB"/>
        </w:rPr>
        <w:t>ية للخبر الضعيف</w:t>
      </w:r>
      <w:r w:rsidRPr="00282AC9">
        <w:rPr>
          <w:rFonts w:ascii="Arial" w:eastAsia="Calibri" w:hAnsi="Arial" w:hint="cs"/>
          <w:sz w:val="27"/>
          <w:rtl/>
          <w:lang w:bidi="ar-LB"/>
        </w:rPr>
        <w:t xml:space="preserve">، </w:t>
      </w:r>
      <w:r w:rsidRPr="00282AC9">
        <w:rPr>
          <w:rFonts w:ascii="Arial" w:eastAsia="Calibri" w:hAnsi="Arial"/>
          <w:sz w:val="27"/>
          <w:rtl/>
          <w:lang w:bidi="ar-LB"/>
        </w:rPr>
        <w:t>بل ي</w:t>
      </w:r>
      <w:r w:rsidRPr="00282AC9">
        <w:rPr>
          <w:rFonts w:ascii="Arial" w:eastAsia="Calibri" w:hAnsi="Arial" w:hint="cs"/>
          <w:sz w:val="27"/>
          <w:rtl/>
          <w:lang w:bidi="ar-LB"/>
        </w:rPr>
        <w:t>ُ</w:t>
      </w:r>
      <w:r w:rsidRPr="00282AC9">
        <w:rPr>
          <w:rFonts w:ascii="Arial" w:eastAsia="Calibri" w:hAnsi="Arial"/>
          <w:sz w:val="27"/>
          <w:rtl/>
          <w:lang w:bidi="ar-LB"/>
        </w:rPr>
        <w:t>ع</w:t>
      </w:r>
      <w:r w:rsidR="007B68BF" w:rsidRPr="00282AC9">
        <w:rPr>
          <w:rFonts w:ascii="Arial" w:eastAsia="Calibri" w:hAnsi="Arial" w:hint="cs"/>
          <w:sz w:val="27"/>
          <w:rtl/>
          <w:lang w:bidi="ar-LB"/>
        </w:rPr>
        <w:t>ْ</w:t>
      </w:r>
      <w:r w:rsidRPr="00282AC9">
        <w:rPr>
          <w:rFonts w:ascii="Arial" w:eastAsia="Calibri" w:hAnsi="Arial"/>
          <w:sz w:val="27"/>
          <w:rtl/>
          <w:lang w:bidi="ar-LB"/>
        </w:rPr>
        <w:t>ق</w:t>
      </w:r>
      <w:r w:rsidR="007B68BF" w:rsidRPr="00282AC9">
        <w:rPr>
          <w:rFonts w:ascii="Arial" w:eastAsia="Calibri" w:hAnsi="Arial" w:hint="cs"/>
          <w:sz w:val="27"/>
          <w:rtl/>
          <w:lang w:bidi="ar-LB"/>
        </w:rPr>
        <w:t>َ</w:t>
      </w:r>
      <w:r w:rsidRPr="00282AC9">
        <w:rPr>
          <w:rFonts w:ascii="Arial" w:eastAsia="Calibri" w:hAnsi="Arial"/>
          <w:sz w:val="27"/>
          <w:rtl/>
          <w:lang w:bidi="ar-LB"/>
        </w:rPr>
        <w:t>ل ذلك على مستوى الحكم بالاحتياط</w:t>
      </w:r>
      <w:r w:rsidRPr="00282AC9">
        <w:rPr>
          <w:rFonts w:ascii="Arial" w:eastAsia="Calibri" w:hAnsi="Arial" w:hint="cs"/>
          <w:sz w:val="27"/>
          <w:rtl/>
          <w:lang w:bidi="ar-LB"/>
        </w:rPr>
        <w:t>،</w:t>
      </w:r>
      <w:r w:rsidRPr="00282AC9">
        <w:rPr>
          <w:rFonts w:ascii="Arial" w:eastAsia="Calibri" w:hAnsi="Arial"/>
          <w:sz w:val="27"/>
          <w:rtl/>
          <w:lang w:bidi="ar-LB"/>
        </w:rPr>
        <w:t xml:space="preserve"> وهو لا ينافي مع التعبير المذكور</w:t>
      </w:r>
      <w:r w:rsidRPr="00282AC9">
        <w:rPr>
          <w:rFonts w:hint="eastAsia"/>
          <w:sz w:val="24"/>
          <w:szCs w:val="24"/>
          <w:rtl/>
        </w:rPr>
        <w:t>»</w:t>
      </w:r>
      <w:r w:rsidRPr="00282AC9">
        <w:rPr>
          <w:rFonts w:ascii="Arial" w:eastAsia="Calibri" w:hAnsi="Arial"/>
          <w:sz w:val="27"/>
          <w:rtl/>
          <w:lang w:bidi="ar-LB"/>
        </w:rPr>
        <w:t>.</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 xml:space="preserve">الثانية: </w:t>
      </w:r>
      <w:r w:rsidR="007B68BF" w:rsidRPr="00282AC9">
        <w:rPr>
          <w:rFonts w:ascii="Arial" w:eastAsia="Calibri" w:hAnsi="Arial" w:hint="cs"/>
          <w:sz w:val="27"/>
          <w:rtl/>
          <w:lang w:bidi="ar-LB"/>
        </w:rPr>
        <w:t>إ</w:t>
      </w:r>
      <w:r w:rsidRPr="00282AC9">
        <w:rPr>
          <w:rFonts w:ascii="Arial" w:eastAsia="Calibri" w:hAnsi="Arial"/>
          <w:sz w:val="27"/>
          <w:rtl/>
          <w:lang w:bidi="ar-LB"/>
        </w:rPr>
        <w:t>ن</w:t>
      </w:r>
      <w:r w:rsidRPr="00282AC9">
        <w:rPr>
          <w:rFonts w:ascii="Arial" w:eastAsia="Calibri" w:hAnsi="Arial" w:hint="cs"/>
          <w:sz w:val="27"/>
          <w:rtl/>
          <w:lang w:bidi="ar-LB"/>
        </w:rPr>
        <w:t>ّ</w:t>
      </w:r>
      <w:r w:rsidRPr="00282AC9">
        <w:rPr>
          <w:rFonts w:ascii="Arial" w:eastAsia="Calibri" w:hAnsi="Arial"/>
          <w:sz w:val="27"/>
          <w:rtl/>
          <w:lang w:bidi="ar-LB"/>
        </w:rPr>
        <w:t xml:space="preserve"> </w:t>
      </w:r>
      <w:r w:rsidRPr="00282AC9">
        <w:rPr>
          <w:rFonts w:ascii="Arial" w:eastAsia="Calibri" w:hAnsi="Arial" w:hint="cs"/>
          <w:sz w:val="27"/>
          <w:rtl/>
          <w:lang w:bidi="ar-LB"/>
        </w:rPr>
        <w:t>اعتراضه إنما يتم</w:t>
      </w:r>
      <w:r w:rsidR="007B68BF" w:rsidRPr="00282AC9">
        <w:rPr>
          <w:rFonts w:ascii="Arial" w:eastAsia="Calibri" w:hAnsi="Arial" w:hint="cs"/>
          <w:sz w:val="27"/>
          <w:rtl/>
          <w:lang w:bidi="ar-LB"/>
        </w:rPr>
        <w:t>ّ</w:t>
      </w:r>
      <w:r w:rsidRPr="00282AC9">
        <w:rPr>
          <w:rFonts w:ascii="Arial" w:eastAsia="Calibri" w:hAnsi="Arial" w:hint="cs"/>
          <w:sz w:val="27"/>
          <w:rtl/>
          <w:lang w:bidi="ar-LB"/>
        </w:rPr>
        <w:t xml:space="preserve"> بناءً على </w:t>
      </w:r>
      <w:r w:rsidRPr="00282AC9">
        <w:rPr>
          <w:rFonts w:hint="eastAsia"/>
          <w:sz w:val="24"/>
          <w:szCs w:val="24"/>
          <w:rtl/>
          <w:lang w:bidi="ar-LB"/>
        </w:rPr>
        <w:t>«</w:t>
      </w:r>
      <w:r w:rsidRPr="00282AC9">
        <w:rPr>
          <w:rFonts w:ascii="Arial" w:eastAsia="Calibri" w:hAnsi="Arial"/>
          <w:sz w:val="27"/>
          <w:rtl/>
          <w:lang w:bidi="ar-LB"/>
        </w:rPr>
        <w:t>مصطلحات مدرسة الميرزا</w:t>
      </w:r>
      <w:r w:rsidR="007F36B2" w:rsidRPr="00282AC9">
        <w:rPr>
          <w:rFonts w:ascii="Arial" w:eastAsia="Calibri" w:hAnsi="Arial" w:hint="cs"/>
          <w:sz w:val="27"/>
          <w:rtl/>
          <w:lang w:bidi="ar-LB"/>
        </w:rPr>
        <w:t>،</w:t>
      </w:r>
      <w:r w:rsidRPr="00282AC9">
        <w:rPr>
          <w:rFonts w:ascii="Arial" w:eastAsia="Calibri" w:hAnsi="Arial"/>
          <w:sz w:val="27"/>
          <w:rtl/>
          <w:lang w:bidi="ar-LB"/>
        </w:rPr>
        <w:t xml:space="preserve"> من ملاحظة ألسنة الج</w:t>
      </w:r>
      <w:r w:rsidR="007F36B2" w:rsidRPr="00282AC9">
        <w:rPr>
          <w:rFonts w:ascii="Arial" w:eastAsia="Calibri" w:hAnsi="Arial" w:hint="cs"/>
          <w:sz w:val="27"/>
          <w:rtl/>
          <w:lang w:bidi="ar-LB"/>
        </w:rPr>
        <w:t>َ</w:t>
      </w:r>
      <w:r w:rsidRPr="00282AC9">
        <w:rPr>
          <w:rFonts w:ascii="Arial" w:eastAsia="Calibri" w:hAnsi="Arial"/>
          <w:sz w:val="27"/>
          <w:rtl/>
          <w:lang w:bidi="ar-LB"/>
        </w:rPr>
        <w:t>ع</w:t>
      </w:r>
      <w:r w:rsidR="007F36B2" w:rsidRPr="00282AC9">
        <w:rPr>
          <w:rFonts w:ascii="Arial" w:eastAsia="Calibri" w:hAnsi="Arial" w:hint="cs"/>
          <w:sz w:val="27"/>
          <w:rtl/>
          <w:lang w:bidi="ar-LB"/>
        </w:rPr>
        <w:t>ْ</w:t>
      </w:r>
      <w:r w:rsidRPr="00282AC9">
        <w:rPr>
          <w:rFonts w:ascii="Arial" w:eastAsia="Calibri" w:hAnsi="Arial"/>
          <w:sz w:val="27"/>
          <w:rtl/>
          <w:lang w:bidi="ar-LB"/>
        </w:rPr>
        <w:t>ل في الأحكام الظاهرية الطريقية</w:t>
      </w:r>
      <w:r w:rsidR="007F36B2" w:rsidRPr="00282AC9">
        <w:rPr>
          <w:rFonts w:ascii="Arial" w:eastAsia="Calibri" w:hAnsi="Arial" w:hint="cs"/>
          <w:sz w:val="27"/>
          <w:rtl/>
          <w:lang w:bidi="ar-LB"/>
        </w:rPr>
        <w:t>،</w:t>
      </w:r>
      <w:r w:rsidRPr="00282AC9">
        <w:rPr>
          <w:rFonts w:ascii="Arial" w:eastAsia="Calibri" w:hAnsi="Arial"/>
          <w:sz w:val="27"/>
          <w:rtl/>
          <w:lang w:bidi="ar-LB"/>
        </w:rPr>
        <w:t xml:space="preserve"> و</w:t>
      </w:r>
      <w:r w:rsidRPr="00282AC9">
        <w:rPr>
          <w:rFonts w:ascii="Arial" w:eastAsia="Calibri" w:hAnsi="Arial" w:hint="cs"/>
          <w:sz w:val="27"/>
          <w:rtl/>
          <w:lang w:bidi="ar-LB"/>
        </w:rPr>
        <w:t>أ</w:t>
      </w:r>
      <w:r w:rsidRPr="00282AC9">
        <w:rPr>
          <w:rFonts w:ascii="Arial" w:eastAsia="Calibri" w:hAnsi="Arial"/>
          <w:sz w:val="27"/>
          <w:rtl/>
          <w:lang w:bidi="ar-LB"/>
        </w:rPr>
        <w:t>نها في الأمارات بلسان ج</w:t>
      </w:r>
      <w:r w:rsidR="007F36B2" w:rsidRPr="00282AC9">
        <w:rPr>
          <w:rFonts w:ascii="Arial" w:eastAsia="Calibri" w:hAnsi="Arial" w:hint="cs"/>
          <w:sz w:val="27"/>
          <w:rtl/>
          <w:lang w:bidi="ar-LB"/>
        </w:rPr>
        <w:t>َ</w:t>
      </w:r>
      <w:r w:rsidRPr="00282AC9">
        <w:rPr>
          <w:rFonts w:ascii="Arial" w:eastAsia="Calibri" w:hAnsi="Arial"/>
          <w:sz w:val="27"/>
          <w:rtl/>
          <w:lang w:bidi="ar-LB"/>
        </w:rPr>
        <w:t>ع</w:t>
      </w:r>
      <w:r w:rsidR="007F36B2" w:rsidRPr="00282AC9">
        <w:rPr>
          <w:rFonts w:ascii="Arial" w:eastAsia="Calibri" w:hAnsi="Arial" w:hint="cs"/>
          <w:sz w:val="27"/>
          <w:rtl/>
          <w:lang w:bidi="ar-LB"/>
        </w:rPr>
        <w:t>ْ</w:t>
      </w:r>
      <w:r w:rsidRPr="00282AC9">
        <w:rPr>
          <w:rFonts w:ascii="Arial" w:eastAsia="Calibri" w:hAnsi="Arial"/>
          <w:sz w:val="27"/>
          <w:rtl/>
          <w:lang w:bidi="ar-LB"/>
        </w:rPr>
        <w:t>ل الطريقي</w:t>
      </w:r>
      <w:r w:rsidR="007F36B2" w:rsidRPr="00282AC9">
        <w:rPr>
          <w:rFonts w:ascii="Arial" w:eastAsia="Calibri" w:hAnsi="Arial" w:hint="cs"/>
          <w:sz w:val="27"/>
          <w:rtl/>
          <w:lang w:bidi="ar-LB"/>
        </w:rPr>
        <w:t>ّ</w:t>
      </w:r>
      <w:r w:rsidRPr="00282AC9">
        <w:rPr>
          <w:rFonts w:ascii="Arial" w:eastAsia="Calibri" w:hAnsi="Arial"/>
          <w:sz w:val="27"/>
          <w:rtl/>
          <w:lang w:bidi="ar-LB"/>
        </w:rPr>
        <w:t>ة، و</w:t>
      </w:r>
      <w:r w:rsidRPr="00282AC9">
        <w:rPr>
          <w:rFonts w:ascii="Arial" w:eastAsia="Calibri" w:hAnsi="Arial" w:hint="cs"/>
          <w:sz w:val="27"/>
          <w:rtl/>
          <w:lang w:bidi="ar-LB"/>
        </w:rPr>
        <w:t>إ</w:t>
      </w:r>
      <w:r w:rsidRPr="00282AC9">
        <w:rPr>
          <w:rFonts w:ascii="Arial" w:eastAsia="Calibri" w:hAnsi="Arial"/>
          <w:sz w:val="27"/>
          <w:rtl/>
          <w:lang w:bidi="ar-LB"/>
        </w:rPr>
        <w:t>لا</w:t>
      </w:r>
      <w:r w:rsidR="007F36B2" w:rsidRPr="00282AC9">
        <w:rPr>
          <w:rFonts w:ascii="Arial" w:eastAsia="Calibri" w:hAnsi="Arial" w:hint="cs"/>
          <w:sz w:val="27"/>
          <w:rtl/>
          <w:lang w:bidi="ar-LB"/>
        </w:rPr>
        <w:t>ّ</w:t>
      </w:r>
      <w:r w:rsidRPr="00282AC9">
        <w:rPr>
          <w:rFonts w:ascii="Arial" w:eastAsia="Calibri" w:hAnsi="Arial"/>
          <w:sz w:val="27"/>
          <w:rtl/>
          <w:lang w:bidi="ar-LB"/>
        </w:rPr>
        <w:t xml:space="preserve"> فقد عرف</w:t>
      </w:r>
      <w:r w:rsidR="007F36B2" w:rsidRPr="00282AC9">
        <w:rPr>
          <w:rFonts w:ascii="Arial" w:eastAsia="Calibri" w:hAnsi="Arial" w:hint="cs"/>
          <w:sz w:val="27"/>
          <w:rtl/>
          <w:lang w:bidi="ar-LB"/>
        </w:rPr>
        <w:t>ْ</w:t>
      </w:r>
      <w:r w:rsidRPr="00282AC9">
        <w:rPr>
          <w:rFonts w:ascii="Arial" w:eastAsia="Calibri" w:hAnsi="Arial"/>
          <w:sz w:val="27"/>
          <w:rtl/>
          <w:lang w:bidi="ar-LB"/>
        </w:rPr>
        <w:t>ت</w:t>
      </w:r>
      <w:r w:rsidR="007F36B2" w:rsidRPr="00282AC9">
        <w:rPr>
          <w:rFonts w:ascii="Arial" w:eastAsia="Calibri" w:hAnsi="Arial" w:hint="cs"/>
          <w:sz w:val="27"/>
          <w:rtl/>
          <w:lang w:bidi="ar-LB"/>
        </w:rPr>
        <w:t>َ</w:t>
      </w:r>
      <w:r w:rsidRPr="00282AC9">
        <w:rPr>
          <w:rFonts w:ascii="Arial" w:eastAsia="Calibri" w:hAnsi="Arial"/>
          <w:sz w:val="27"/>
          <w:rtl/>
          <w:lang w:bidi="ar-LB"/>
        </w:rPr>
        <w:t xml:space="preserve"> بما لا مزيد</w:t>
      </w:r>
      <w:r w:rsidR="007F36B2" w:rsidRPr="00282AC9">
        <w:rPr>
          <w:rFonts w:ascii="Arial" w:eastAsia="Calibri" w:hAnsi="Arial" w:hint="cs"/>
          <w:sz w:val="27"/>
          <w:rtl/>
          <w:lang w:bidi="ar-LB"/>
        </w:rPr>
        <w:t>َ</w:t>
      </w:r>
      <w:r w:rsidRPr="00282AC9">
        <w:rPr>
          <w:rFonts w:ascii="Arial" w:eastAsia="Calibri" w:hAnsi="Arial"/>
          <w:sz w:val="27"/>
          <w:rtl/>
          <w:lang w:bidi="ar-LB"/>
        </w:rPr>
        <w:t xml:space="preserve"> عليه </w:t>
      </w:r>
      <w:r w:rsidRPr="00282AC9">
        <w:rPr>
          <w:rFonts w:ascii="Arial" w:eastAsia="Calibri" w:hAnsi="Arial" w:hint="cs"/>
          <w:sz w:val="27"/>
          <w:rtl/>
          <w:lang w:bidi="ar-LB"/>
        </w:rPr>
        <w:t>أ</w:t>
      </w:r>
      <w:r w:rsidRPr="00282AC9">
        <w:rPr>
          <w:rFonts w:ascii="Arial" w:eastAsia="Calibri" w:hAnsi="Arial"/>
          <w:sz w:val="27"/>
          <w:rtl/>
          <w:lang w:bidi="ar-LB"/>
        </w:rPr>
        <w:t>ن</w:t>
      </w:r>
      <w:r w:rsidRPr="00282AC9">
        <w:rPr>
          <w:rFonts w:ascii="Arial" w:eastAsia="Calibri" w:hAnsi="Arial" w:hint="cs"/>
          <w:sz w:val="27"/>
          <w:rtl/>
          <w:lang w:bidi="ar-LB"/>
        </w:rPr>
        <w:t>ّ</w:t>
      </w:r>
      <w:r w:rsidRPr="00282AC9">
        <w:rPr>
          <w:rFonts w:ascii="Arial" w:eastAsia="Calibri" w:hAnsi="Arial"/>
          <w:sz w:val="27"/>
          <w:rtl/>
          <w:lang w:bidi="ar-LB"/>
        </w:rPr>
        <w:t xml:space="preserve"> حقيقة الحكم الظاهري</w:t>
      </w:r>
      <w:r w:rsidR="007F36B2" w:rsidRPr="00282AC9">
        <w:rPr>
          <w:rFonts w:ascii="Arial" w:eastAsia="Calibri" w:hAnsi="Arial" w:hint="cs"/>
          <w:sz w:val="27"/>
          <w:rtl/>
          <w:lang w:bidi="ar-LB"/>
        </w:rPr>
        <w:t>ّ</w:t>
      </w:r>
      <w:r w:rsidRPr="00282AC9">
        <w:rPr>
          <w:rFonts w:ascii="Arial" w:eastAsia="Calibri" w:hAnsi="Arial"/>
          <w:sz w:val="27"/>
          <w:rtl/>
          <w:lang w:bidi="ar-LB"/>
        </w:rPr>
        <w:t xml:space="preserve"> وروحه واحدة</w:t>
      </w:r>
      <w:r w:rsidR="007F36B2" w:rsidRPr="00282AC9">
        <w:rPr>
          <w:rFonts w:ascii="Arial" w:eastAsia="Calibri" w:hAnsi="Arial" w:hint="cs"/>
          <w:sz w:val="27"/>
          <w:rtl/>
          <w:lang w:bidi="ar-LB"/>
        </w:rPr>
        <w:t>ٌ،</w:t>
      </w:r>
      <w:r w:rsidRPr="00282AC9">
        <w:rPr>
          <w:rFonts w:ascii="Arial" w:eastAsia="Calibri" w:hAnsi="Arial"/>
          <w:sz w:val="27"/>
          <w:rtl/>
          <w:lang w:bidi="ar-LB"/>
        </w:rPr>
        <w:t xml:space="preserve"> سواء كان بهذا اللسان أو بغيره</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1"/>
      </w:r>
      <w:r w:rsidRPr="00282AC9">
        <w:rPr>
          <w:rFonts w:ascii="Arial" w:eastAsia="Calibri" w:hAnsi="Arial"/>
          <w:sz w:val="27"/>
          <w:vertAlign w:val="superscript"/>
          <w:rtl/>
          <w:lang w:bidi="ar-LB"/>
        </w:rPr>
        <w:t>)</w:t>
      </w:r>
      <w:r w:rsidRPr="00282AC9">
        <w:rPr>
          <w:rFonts w:ascii="Arial" w:eastAsia="Calibri" w:hAnsi="Arial"/>
          <w:sz w:val="27"/>
          <w:rtl/>
          <w:lang w:bidi="ar-LB"/>
        </w:rPr>
        <w:t>.</w:t>
      </w:r>
      <w:r w:rsidRPr="00282AC9">
        <w:rPr>
          <w:rFonts w:ascii="Arial" w:eastAsia="Calibri" w:hAnsi="Arial" w:hint="cs"/>
          <w:sz w:val="27"/>
          <w:rtl/>
          <w:lang w:bidi="ar-LB"/>
        </w:rPr>
        <w:t xml:space="preserve"> </w:t>
      </w:r>
    </w:p>
    <w:p w:rsidR="0098597F" w:rsidRPr="00282AC9" w:rsidRDefault="0098597F" w:rsidP="004F097E">
      <w:pPr>
        <w:rPr>
          <w:rFonts w:ascii="Arial" w:eastAsia="Calibri" w:hAnsi="Arial"/>
          <w:sz w:val="27"/>
          <w:rtl/>
          <w:lang w:bidi="ar-LB"/>
        </w:rPr>
      </w:pPr>
      <w:r w:rsidRPr="00282AC9">
        <w:rPr>
          <w:rFonts w:ascii="Arial" w:eastAsia="Calibri" w:hAnsi="Arial" w:hint="cs"/>
          <w:sz w:val="27"/>
          <w:rtl/>
          <w:lang w:bidi="ar-LB"/>
        </w:rPr>
        <w:t>وما طرحه السيد الشهيد في المناقشة الأولى هو وجه</w:t>
      </w:r>
      <w:r w:rsidR="00F72CAB" w:rsidRPr="00282AC9">
        <w:rPr>
          <w:rFonts w:ascii="Arial" w:eastAsia="Calibri" w:hAnsi="Arial" w:hint="cs"/>
          <w:sz w:val="27"/>
          <w:rtl/>
          <w:lang w:bidi="ar-LB"/>
        </w:rPr>
        <w:t>ٌ</w:t>
      </w:r>
      <w:r w:rsidRPr="00282AC9">
        <w:rPr>
          <w:rFonts w:ascii="Arial" w:eastAsia="Calibri" w:hAnsi="Arial" w:hint="cs"/>
          <w:sz w:val="27"/>
          <w:rtl/>
          <w:lang w:bidi="ar-LB"/>
        </w:rPr>
        <w:t xml:space="preserve"> آخر لبيان طريقيّة أخبار </w:t>
      </w:r>
      <w:r w:rsidR="00F72CAB" w:rsidRPr="00282AC9">
        <w:rPr>
          <w:rFonts w:hint="eastAsia"/>
          <w:sz w:val="24"/>
          <w:szCs w:val="24"/>
          <w:rtl/>
          <w:lang w:bidi="ar-LB"/>
        </w:rPr>
        <w:t>«</w:t>
      </w:r>
      <w:r w:rsidRPr="00282AC9">
        <w:rPr>
          <w:rFonts w:ascii="Arial" w:eastAsia="Calibri" w:hAnsi="Arial" w:hint="cs"/>
          <w:sz w:val="27"/>
          <w:rtl/>
          <w:lang w:bidi="ar-LB"/>
        </w:rPr>
        <w:t>م</w:t>
      </w:r>
      <w:r w:rsidR="00F72CAB" w:rsidRPr="00282AC9">
        <w:rPr>
          <w:rFonts w:ascii="Arial" w:eastAsia="Calibri" w:hAnsi="Arial" w:hint="cs"/>
          <w:sz w:val="27"/>
          <w:rtl/>
          <w:lang w:bidi="ar-LB"/>
        </w:rPr>
        <w:t>َ</w:t>
      </w:r>
      <w:r w:rsidRPr="00282AC9">
        <w:rPr>
          <w:rFonts w:ascii="Arial" w:eastAsia="Calibri" w:hAnsi="Arial" w:hint="cs"/>
          <w:sz w:val="27"/>
          <w:rtl/>
          <w:lang w:bidi="ar-LB"/>
        </w:rPr>
        <w:t>ن</w:t>
      </w:r>
      <w:r w:rsidR="00F72CAB" w:rsidRPr="00282AC9">
        <w:rPr>
          <w:rFonts w:ascii="Arial" w:eastAsia="Calibri" w:hAnsi="Arial" w:hint="cs"/>
          <w:sz w:val="27"/>
          <w:rtl/>
          <w:lang w:bidi="ar-LB"/>
        </w:rPr>
        <w:t>ْ</w:t>
      </w:r>
      <w:r w:rsidRPr="00282AC9">
        <w:rPr>
          <w:rFonts w:ascii="Arial" w:eastAsia="Calibri" w:hAnsi="Arial" w:hint="cs"/>
          <w:sz w:val="27"/>
          <w:rtl/>
          <w:lang w:bidi="ar-LB"/>
        </w:rPr>
        <w:t xml:space="preserve"> بلغ</w:t>
      </w:r>
      <w:r w:rsidR="00F72CAB" w:rsidRPr="00282AC9">
        <w:rPr>
          <w:rFonts w:hint="eastAsia"/>
          <w:sz w:val="24"/>
          <w:szCs w:val="24"/>
          <w:rtl/>
        </w:rPr>
        <w:t>»</w:t>
      </w:r>
      <w:r w:rsidRPr="00282AC9">
        <w:rPr>
          <w:rFonts w:ascii="Arial" w:eastAsia="Calibri" w:hAnsi="Arial" w:hint="cs"/>
          <w:sz w:val="27"/>
          <w:rtl/>
          <w:lang w:bidi="ar-LB"/>
        </w:rPr>
        <w:t>، وقد مال إلى تبنّيه في تقريرات درسه، ومفاد</w:t>
      </w:r>
      <w:r w:rsidR="00F72CAB" w:rsidRPr="00282AC9">
        <w:rPr>
          <w:rFonts w:ascii="Arial" w:eastAsia="Calibri" w:hAnsi="Arial" w:hint="cs"/>
          <w:sz w:val="27"/>
          <w:rtl/>
          <w:lang w:bidi="ar-LB"/>
        </w:rPr>
        <w:t>ُ</w:t>
      </w:r>
      <w:r w:rsidRPr="00282AC9">
        <w:rPr>
          <w:rFonts w:ascii="Arial" w:eastAsia="Calibri" w:hAnsi="Arial" w:hint="cs"/>
          <w:sz w:val="27"/>
          <w:rtl/>
          <w:lang w:bidi="ar-LB"/>
        </w:rPr>
        <w:t xml:space="preserve">ه أن </w:t>
      </w:r>
      <w:r w:rsidRPr="00282AC9">
        <w:rPr>
          <w:rFonts w:ascii="Arial" w:eastAsia="Calibri" w:hAnsi="Arial"/>
          <w:sz w:val="27"/>
          <w:rtl/>
          <w:lang w:bidi="ar-LB"/>
        </w:rPr>
        <w:t xml:space="preserve">المقصود </w:t>
      </w:r>
      <w:r w:rsidRPr="00282AC9">
        <w:rPr>
          <w:rFonts w:ascii="Arial" w:eastAsia="Calibri" w:hAnsi="Arial" w:hint="cs"/>
          <w:sz w:val="27"/>
          <w:rtl/>
          <w:lang w:bidi="ar-LB"/>
        </w:rPr>
        <w:t xml:space="preserve">بها </w:t>
      </w:r>
      <w:r w:rsidRPr="00282AC9">
        <w:rPr>
          <w:rFonts w:hint="eastAsia"/>
          <w:sz w:val="24"/>
          <w:szCs w:val="24"/>
          <w:rtl/>
          <w:lang w:bidi="ar-LB"/>
        </w:rPr>
        <w:t>«</w:t>
      </w:r>
      <w:r w:rsidRPr="00282AC9">
        <w:rPr>
          <w:rFonts w:ascii="Arial" w:eastAsia="Calibri" w:hAnsi="Arial"/>
          <w:sz w:val="27"/>
          <w:rtl/>
          <w:lang w:bidi="ar-LB"/>
        </w:rPr>
        <w:t xml:space="preserve">جعل إيجاب </w:t>
      </w:r>
      <w:r w:rsidRPr="00282AC9">
        <w:rPr>
          <w:rFonts w:ascii="Arial" w:eastAsia="Calibri" w:hAnsi="Arial"/>
          <w:sz w:val="27"/>
          <w:rtl/>
          <w:lang w:bidi="ar-LB"/>
        </w:rPr>
        <w:lastRenderedPageBreak/>
        <w:t>الاحتياط الاستحبابي</w:t>
      </w:r>
      <w:r w:rsidR="00F72CAB" w:rsidRPr="00282AC9">
        <w:rPr>
          <w:rFonts w:ascii="Arial" w:eastAsia="Calibri" w:hAnsi="Arial" w:hint="cs"/>
          <w:sz w:val="27"/>
          <w:rtl/>
          <w:lang w:bidi="ar-LB"/>
        </w:rPr>
        <w:t>ّ</w:t>
      </w:r>
      <w:r w:rsidRPr="00282AC9">
        <w:rPr>
          <w:rFonts w:ascii="Arial" w:eastAsia="Calibri" w:hAnsi="Arial"/>
          <w:sz w:val="27"/>
          <w:rtl/>
          <w:lang w:bidi="ar-LB"/>
        </w:rPr>
        <w:t xml:space="preserve"> في مورد بلوغ الثواب</w:t>
      </w:r>
      <w:r w:rsidR="00F72CAB" w:rsidRPr="00282AC9">
        <w:rPr>
          <w:rFonts w:ascii="Arial" w:eastAsia="Calibri" w:hAnsi="Arial" w:hint="cs"/>
          <w:sz w:val="27"/>
          <w:rtl/>
          <w:lang w:bidi="ar-LB"/>
        </w:rPr>
        <w:t>،</w:t>
      </w:r>
      <w:r w:rsidRPr="00282AC9">
        <w:rPr>
          <w:rFonts w:ascii="Arial" w:eastAsia="Calibri" w:hAnsi="Arial"/>
          <w:sz w:val="27"/>
          <w:rtl/>
          <w:lang w:bidi="ar-LB"/>
        </w:rPr>
        <w:t xml:space="preserve"> من دون جعل الحج</w:t>
      </w:r>
      <w:r w:rsidR="00F72CAB" w:rsidRPr="00282AC9">
        <w:rPr>
          <w:rFonts w:ascii="Arial" w:eastAsia="Calibri" w:hAnsi="Arial" w:hint="cs"/>
          <w:sz w:val="27"/>
          <w:rtl/>
          <w:lang w:bidi="ar-LB"/>
        </w:rPr>
        <w:t>ّ</w:t>
      </w:r>
      <w:r w:rsidRPr="00282AC9">
        <w:rPr>
          <w:rFonts w:ascii="Arial" w:eastAsia="Calibri" w:hAnsi="Arial"/>
          <w:sz w:val="27"/>
          <w:rtl/>
          <w:lang w:bidi="ar-LB"/>
        </w:rPr>
        <w:t>ية للخبر الضعيف</w:t>
      </w:r>
      <w:r w:rsidR="00F72CAB" w:rsidRPr="00282AC9">
        <w:rPr>
          <w:rFonts w:ascii="Arial" w:eastAsia="Calibri" w:hAnsi="Arial" w:hint="cs"/>
          <w:sz w:val="27"/>
          <w:rtl/>
          <w:lang w:bidi="ar-LB"/>
        </w:rPr>
        <w:t>،</w:t>
      </w:r>
      <w:r w:rsidRPr="00282AC9">
        <w:rPr>
          <w:rFonts w:ascii="Arial" w:eastAsia="Calibri" w:hAnsi="Arial"/>
          <w:sz w:val="27"/>
          <w:rtl/>
          <w:lang w:bidi="ar-LB"/>
        </w:rPr>
        <w:t xml:space="preserve"> وترتيب آثار ذلك علي</w:t>
      </w:r>
      <w:r w:rsidRPr="00282AC9">
        <w:rPr>
          <w:rFonts w:ascii="Arial" w:eastAsia="Calibri" w:hAnsi="Arial" w:hint="cs"/>
          <w:sz w:val="27"/>
          <w:rtl/>
          <w:lang w:bidi="ar-LB"/>
        </w:rPr>
        <w:t>ه</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2"/>
      </w:r>
      <w:r w:rsidRPr="00282AC9">
        <w:rPr>
          <w:rFonts w:ascii="Arial" w:eastAsia="Calibri" w:hAnsi="Arial"/>
          <w:sz w:val="27"/>
          <w:vertAlign w:val="superscript"/>
          <w:rtl/>
          <w:lang w:bidi="ar-LB"/>
        </w:rPr>
        <w:t>)</w:t>
      </w:r>
      <w:r w:rsidRPr="00282AC9">
        <w:rPr>
          <w:rFonts w:ascii="Arial" w:eastAsia="Calibri" w:hAnsi="Arial" w:hint="cs"/>
          <w:sz w:val="27"/>
          <w:rtl/>
          <w:lang w:bidi="ar-LB"/>
        </w:rPr>
        <w:t xml:space="preserve">. وهذا لا ينافيه تعبير: </w:t>
      </w:r>
      <w:r w:rsidRPr="00282AC9">
        <w:rPr>
          <w:rFonts w:hint="eastAsia"/>
          <w:sz w:val="24"/>
          <w:szCs w:val="24"/>
          <w:rtl/>
          <w:lang w:bidi="ar-LB"/>
        </w:rPr>
        <w:t>«</w:t>
      </w:r>
      <w:r w:rsidRPr="00282AC9">
        <w:rPr>
          <w:rFonts w:ascii="Arial" w:eastAsia="Calibri" w:hAnsi="Arial" w:hint="cs"/>
          <w:sz w:val="27"/>
          <w:rtl/>
          <w:lang w:bidi="ar-LB"/>
        </w:rPr>
        <w:t>وإن</w:t>
      </w:r>
      <w:r w:rsidR="00F72CAB" w:rsidRPr="00282AC9">
        <w:rPr>
          <w:rFonts w:ascii="Arial" w:eastAsia="Calibri" w:hAnsi="Arial" w:hint="cs"/>
          <w:sz w:val="27"/>
          <w:rtl/>
          <w:lang w:bidi="ar-LB"/>
        </w:rPr>
        <w:t>ْ</w:t>
      </w:r>
      <w:r w:rsidRPr="00282AC9">
        <w:rPr>
          <w:rFonts w:ascii="Arial" w:eastAsia="Calibri" w:hAnsi="Arial" w:hint="cs"/>
          <w:sz w:val="27"/>
          <w:rtl/>
          <w:lang w:bidi="ar-LB"/>
        </w:rPr>
        <w:t xml:space="preserve"> كان الرسول</w:t>
      </w:r>
      <w:r w:rsidR="009A2A04" w:rsidRPr="00282AC9">
        <w:rPr>
          <w:rFonts w:ascii="Arial" w:eastAsia="Calibri" w:hAnsi="Arial" w:cs="Mosawi" w:hint="cs"/>
          <w:sz w:val="22"/>
          <w:szCs w:val="22"/>
          <w:rtl/>
          <w:lang w:bidi="ar-LB"/>
        </w:rPr>
        <w:t>|</w:t>
      </w:r>
      <w:r w:rsidRPr="00282AC9">
        <w:rPr>
          <w:rFonts w:ascii="Arial" w:eastAsia="Calibri" w:hAnsi="Arial" w:hint="cs"/>
          <w:sz w:val="27"/>
          <w:rtl/>
          <w:lang w:bidi="ar-LB"/>
        </w:rPr>
        <w:t xml:space="preserve"> لم يق</w:t>
      </w:r>
      <w:r w:rsidR="00F72CAB" w:rsidRPr="00282AC9">
        <w:rPr>
          <w:rFonts w:ascii="Arial" w:eastAsia="Calibri" w:hAnsi="Arial" w:hint="cs"/>
          <w:sz w:val="27"/>
          <w:rtl/>
          <w:lang w:bidi="ar-LB"/>
        </w:rPr>
        <w:t>ُ</w:t>
      </w:r>
      <w:r w:rsidRPr="00282AC9">
        <w:rPr>
          <w:rFonts w:ascii="Arial" w:eastAsia="Calibri" w:hAnsi="Arial" w:hint="cs"/>
          <w:sz w:val="27"/>
          <w:rtl/>
          <w:lang w:bidi="ar-LB"/>
        </w:rPr>
        <w:t>ل</w:t>
      </w:r>
      <w:r w:rsidR="00F72CAB" w:rsidRPr="00282AC9">
        <w:rPr>
          <w:rFonts w:ascii="Arial" w:eastAsia="Calibri" w:hAnsi="Arial" w:hint="cs"/>
          <w:sz w:val="27"/>
          <w:rtl/>
          <w:lang w:bidi="ar-LB"/>
        </w:rPr>
        <w:t>ْ</w:t>
      </w:r>
      <w:r w:rsidRPr="00282AC9">
        <w:rPr>
          <w:rFonts w:ascii="Arial" w:eastAsia="Calibri" w:hAnsi="Arial" w:hint="cs"/>
          <w:sz w:val="27"/>
          <w:rtl/>
          <w:lang w:bidi="ar-LB"/>
        </w:rPr>
        <w:t>ه</w:t>
      </w:r>
      <w:r w:rsidRPr="00282AC9">
        <w:rPr>
          <w:rFonts w:hint="eastAsia"/>
          <w:sz w:val="24"/>
          <w:szCs w:val="24"/>
          <w:rtl/>
        </w:rPr>
        <w:t>»</w:t>
      </w:r>
      <w:r w:rsidRPr="00282AC9">
        <w:rPr>
          <w:rFonts w:ascii="Arial" w:eastAsia="Calibri" w:hAnsi="Arial" w:hint="cs"/>
          <w:sz w:val="27"/>
          <w:rtl/>
          <w:lang w:bidi="ar-LB"/>
        </w:rPr>
        <w:t>.</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أقول: ور</w:t>
      </w:r>
      <w:r w:rsidR="00F72CAB" w:rsidRPr="00282AC9">
        <w:rPr>
          <w:rFonts w:ascii="Arial" w:eastAsia="Calibri" w:hAnsi="Arial" w:hint="cs"/>
          <w:b/>
          <w:bCs/>
          <w:sz w:val="27"/>
          <w:rtl/>
          <w:lang w:bidi="ar-LB"/>
        </w:rPr>
        <w:t>ُ</w:t>
      </w:r>
      <w:r w:rsidRPr="00282AC9">
        <w:rPr>
          <w:rFonts w:ascii="Arial" w:eastAsia="Calibri" w:hAnsi="Arial" w:hint="cs"/>
          <w:b/>
          <w:bCs/>
          <w:sz w:val="27"/>
          <w:rtl/>
          <w:lang w:bidi="ar-LB"/>
        </w:rPr>
        <w:t>ب</w:t>
      </w:r>
      <w:r w:rsidR="00F72CAB" w:rsidRPr="00282AC9">
        <w:rPr>
          <w:rFonts w:ascii="Arial" w:eastAsia="Calibri" w:hAnsi="Arial" w:hint="cs"/>
          <w:b/>
          <w:bCs/>
          <w:sz w:val="27"/>
          <w:rtl/>
          <w:lang w:bidi="ar-LB"/>
        </w:rPr>
        <w:t>َ</w:t>
      </w:r>
      <w:r w:rsidRPr="00282AC9">
        <w:rPr>
          <w:rFonts w:ascii="Arial" w:eastAsia="Calibri" w:hAnsi="Arial" w:hint="cs"/>
          <w:b/>
          <w:bCs/>
          <w:sz w:val="27"/>
          <w:rtl/>
          <w:lang w:bidi="ar-LB"/>
        </w:rPr>
        <w:t>ما ي</w:t>
      </w:r>
      <w:r w:rsidR="00F72CAB" w:rsidRPr="00282AC9">
        <w:rPr>
          <w:rFonts w:ascii="Arial" w:eastAsia="Calibri" w:hAnsi="Arial" w:hint="cs"/>
          <w:b/>
          <w:bCs/>
          <w:sz w:val="27"/>
          <w:rtl/>
          <w:lang w:bidi="ar-LB"/>
        </w:rPr>
        <w:t>ُ</w:t>
      </w:r>
      <w:r w:rsidRPr="00282AC9">
        <w:rPr>
          <w:rFonts w:ascii="Arial" w:eastAsia="Calibri" w:hAnsi="Arial" w:hint="cs"/>
          <w:b/>
          <w:bCs/>
          <w:sz w:val="27"/>
          <w:rtl/>
          <w:lang w:bidi="ar-LB"/>
        </w:rPr>
        <w:t>لاح</w:t>
      </w:r>
      <w:r w:rsidR="00F72CAB" w:rsidRPr="00282AC9">
        <w:rPr>
          <w:rFonts w:ascii="Arial" w:eastAsia="Calibri" w:hAnsi="Arial" w:hint="cs"/>
          <w:b/>
          <w:bCs/>
          <w:sz w:val="27"/>
          <w:rtl/>
          <w:lang w:bidi="ar-LB"/>
        </w:rPr>
        <w:t>َ</w:t>
      </w:r>
      <w:r w:rsidRPr="00282AC9">
        <w:rPr>
          <w:rFonts w:ascii="Arial" w:eastAsia="Calibri" w:hAnsi="Arial" w:hint="cs"/>
          <w:b/>
          <w:bCs/>
          <w:sz w:val="27"/>
          <w:rtl/>
          <w:lang w:bidi="ar-LB"/>
        </w:rPr>
        <w:t>ظ عليه</w:t>
      </w:r>
      <w:r w:rsidRPr="00282AC9">
        <w:rPr>
          <w:rFonts w:ascii="Arial" w:eastAsia="Calibri" w:hAnsi="Arial" w:hint="cs"/>
          <w:sz w:val="27"/>
          <w:rtl/>
          <w:lang w:bidi="ar-LB"/>
        </w:rPr>
        <w:t xml:space="preserve">: </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أو</w:t>
      </w:r>
      <w:r w:rsidR="00F72CAB" w:rsidRPr="00282AC9">
        <w:rPr>
          <w:rFonts w:ascii="Arial" w:eastAsia="Calibri" w:hAnsi="Arial" w:hint="cs"/>
          <w:b/>
          <w:bCs/>
          <w:sz w:val="27"/>
          <w:rtl/>
          <w:lang w:bidi="ar-LB"/>
        </w:rPr>
        <w:t>ّ</w:t>
      </w:r>
      <w:r w:rsidRPr="00282AC9">
        <w:rPr>
          <w:rFonts w:ascii="Arial" w:eastAsia="Calibri" w:hAnsi="Arial" w:hint="cs"/>
          <w:b/>
          <w:bCs/>
          <w:sz w:val="27"/>
          <w:rtl/>
          <w:lang w:bidi="ar-LB"/>
        </w:rPr>
        <w:t xml:space="preserve">لاً: </w:t>
      </w:r>
      <w:r w:rsidRPr="00282AC9">
        <w:rPr>
          <w:rFonts w:ascii="Arial" w:eastAsia="Calibri" w:hAnsi="Arial" w:hint="cs"/>
          <w:sz w:val="27"/>
          <w:rtl/>
          <w:lang w:bidi="ar-LB"/>
        </w:rPr>
        <w:t>أمّا عدم منافاة التعبير المذكور مع الاحتياط في</w:t>
      </w:r>
      <w:r w:rsidR="00F72CAB" w:rsidRPr="00282AC9">
        <w:rPr>
          <w:rFonts w:ascii="Arial" w:eastAsia="Calibri" w:hAnsi="Arial" w:hint="cs"/>
          <w:sz w:val="27"/>
          <w:rtl/>
          <w:lang w:bidi="ar-LB"/>
        </w:rPr>
        <w:t>َ</w:t>
      </w:r>
      <w:r w:rsidRPr="00282AC9">
        <w:rPr>
          <w:rFonts w:ascii="Arial" w:eastAsia="Calibri" w:hAnsi="Arial" w:hint="cs"/>
          <w:sz w:val="27"/>
          <w:rtl/>
          <w:lang w:bidi="ar-LB"/>
        </w:rPr>
        <w:t>ر</w:t>
      </w:r>
      <w:r w:rsidR="00F72CAB" w:rsidRPr="00282AC9">
        <w:rPr>
          <w:rFonts w:ascii="Arial" w:eastAsia="Calibri" w:hAnsi="Arial" w:hint="cs"/>
          <w:sz w:val="27"/>
          <w:rtl/>
          <w:lang w:bidi="ar-LB"/>
        </w:rPr>
        <w:t>ِ</w:t>
      </w:r>
      <w:r w:rsidRPr="00282AC9">
        <w:rPr>
          <w:rFonts w:ascii="Arial" w:eastAsia="Calibri" w:hAnsi="Arial" w:hint="cs"/>
          <w:sz w:val="27"/>
          <w:rtl/>
          <w:lang w:bidi="ar-LB"/>
        </w:rPr>
        <w:t>د</w:t>
      </w:r>
      <w:r w:rsidR="00F72CAB" w:rsidRPr="00282AC9">
        <w:rPr>
          <w:rFonts w:ascii="Arial" w:eastAsia="Calibri" w:hAnsi="Arial" w:hint="cs"/>
          <w:sz w:val="27"/>
          <w:rtl/>
          <w:lang w:bidi="ar-LB"/>
        </w:rPr>
        <w:t>ُ</w:t>
      </w:r>
      <w:r w:rsidRPr="00282AC9">
        <w:rPr>
          <w:rFonts w:ascii="Arial" w:eastAsia="Calibri" w:hAnsi="Arial" w:hint="cs"/>
          <w:sz w:val="27"/>
          <w:rtl/>
          <w:lang w:bidi="ar-LB"/>
        </w:rPr>
        <w:t xml:space="preserve"> عليه أنّ الاحتياط</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حيث كان لمراعاة مصلحة الواقع والترغيب بإدراكه، فلا يناسبه التعبير بقوله: </w:t>
      </w:r>
      <w:r w:rsidRPr="00282AC9">
        <w:rPr>
          <w:rFonts w:hint="eastAsia"/>
          <w:sz w:val="24"/>
          <w:szCs w:val="24"/>
          <w:rtl/>
          <w:lang w:bidi="ar-LB"/>
        </w:rPr>
        <w:t>«</w:t>
      </w:r>
      <w:r w:rsidRPr="00282AC9">
        <w:rPr>
          <w:rFonts w:ascii="Arial" w:eastAsia="Calibri" w:hAnsi="Arial" w:hint="cs"/>
          <w:sz w:val="27"/>
          <w:rtl/>
          <w:lang w:bidi="ar-LB"/>
        </w:rPr>
        <w:t>وإن</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لم يكن قد قاله</w:t>
      </w:r>
      <w:r w:rsidRPr="00282AC9">
        <w:rPr>
          <w:rFonts w:hint="eastAsia"/>
          <w:sz w:val="24"/>
          <w:szCs w:val="24"/>
          <w:rtl/>
        </w:rPr>
        <w:t>»</w:t>
      </w:r>
      <w:r w:rsidRPr="00282AC9">
        <w:rPr>
          <w:rFonts w:ascii="Arial" w:eastAsia="Calibri" w:hAnsi="Arial" w:hint="cs"/>
          <w:sz w:val="27"/>
          <w:rtl/>
          <w:lang w:bidi="ar-LB"/>
        </w:rPr>
        <w:t>، بل يناسبه التعبير</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w:t>
      </w:r>
      <w:r w:rsidRPr="00282AC9">
        <w:rPr>
          <w:rFonts w:hint="eastAsia"/>
          <w:sz w:val="24"/>
          <w:szCs w:val="24"/>
          <w:rtl/>
          <w:lang w:bidi="ar-LB"/>
        </w:rPr>
        <w:t>«</w:t>
      </w:r>
      <w:r w:rsidRPr="00282AC9">
        <w:rPr>
          <w:rFonts w:ascii="Arial" w:eastAsia="Calibri" w:hAnsi="Arial" w:hint="cs"/>
          <w:sz w:val="27"/>
          <w:rtl/>
          <w:lang w:bidi="ar-LB"/>
        </w:rPr>
        <w:t>افع</w:t>
      </w:r>
      <w:r w:rsidR="00F21EF0" w:rsidRPr="00282AC9">
        <w:rPr>
          <w:rFonts w:ascii="Arial" w:eastAsia="Calibri" w:hAnsi="Arial" w:hint="cs"/>
          <w:sz w:val="27"/>
          <w:rtl/>
          <w:lang w:bidi="ar-LB"/>
        </w:rPr>
        <w:t>َ</w:t>
      </w:r>
      <w:r w:rsidRPr="00282AC9">
        <w:rPr>
          <w:rFonts w:ascii="Arial" w:eastAsia="Calibri" w:hAnsi="Arial" w:hint="cs"/>
          <w:sz w:val="27"/>
          <w:rtl/>
          <w:lang w:bidi="ar-LB"/>
        </w:rPr>
        <w:t>ل</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ذلك، فعسى أن يكون قد قاله</w:t>
      </w:r>
      <w:r w:rsidRPr="00282AC9">
        <w:rPr>
          <w:rFonts w:hint="eastAsia"/>
          <w:sz w:val="24"/>
          <w:szCs w:val="24"/>
          <w:rtl/>
        </w:rPr>
        <w:t>»</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فمنطلق الاحتياط وغايته هو عدم ف</w:t>
      </w:r>
      <w:r w:rsidR="00F21EF0" w:rsidRPr="00282AC9">
        <w:rPr>
          <w:rFonts w:ascii="Arial" w:eastAsia="Calibri" w:hAnsi="Arial" w:hint="cs"/>
          <w:sz w:val="27"/>
          <w:rtl/>
          <w:lang w:bidi="ar-LB"/>
        </w:rPr>
        <w:t>َ</w:t>
      </w:r>
      <w:r w:rsidRPr="00282AC9">
        <w:rPr>
          <w:rFonts w:ascii="Arial" w:eastAsia="Calibri" w:hAnsi="Arial" w:hint="cs"/>
          <w:sz w:val="27"/>
          <w:rtl/>
          <w:lang w:bidi="ar-LB"/>
        </w:rPr>
        <w:t>و</w:t>
      </w:r>
      <w:r w:rsidR="00F21EF0" w:rsidRPr="00282AC9">
        <w:rPr>
          <w:rFonts w:ascii="Arial" w:eastAsia="Calibri" w:hAnsi="Arial" w:hint="cs"/>
          <w:sz w:val="27"/>
          <w:rtl/>
          <w:lang w:bidi="ar-LB"/>
        </w:rPr>
        <w:t>ْ</w:t>
      </w:r>
      <w:r w:rsidRPr="00282AC9">
        <w:rPr>
          <w:rFonts w:ascii="Arial" w:eastAsia="Calibri" w:hAnsi="Arial" w:hint="cs"/>
          <w:sz w:val="27"/>
          <w:rtl/>
          <w:lang w:bidi="ar-LB"/>
        </w:rPr>
        <w:t>ت الواقع</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ورجاء إدراكه.</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 xml:space="preserve">ثانياً: </w:t>
      </w:r>
      <w:r w:rsidRPr="00282AC9">
        <w:rPr>
          <w:rFonts w:ascii="Arial" w:eastAsia="Calibri" w:hAnsi="Arial" w:hint="cs"/>
          <w:sz w:val="27"/>
          <w:rtl/>
          <w:lang w:bidi="ar-LB"/>
        </w:rPr>
        <w:t>أمّا أن الح</w:t>
      </w:r>
      <w:r w:rsidR="00F21EF0" w:rsidRPr="00282AC9">
        <w:rPr>
          <w:rFonts w:ascii="Arial" w:eastAsia="Calibri" w:hAnsi="Arial" w:hint="cs"/>
          <w:sz w:val="27"/>
          <w:rtl/>
          <w:lang w:bidi="ar-LB"/>
        </w:rPr>
        <w:t>ُ</w:t>
      </w:r>
      <w:r w:rsidRPr="00282AC9">
        <w:rPr>
          <w:rFonts w:ascii="Arial" w:eastAsia="Calibri" w:hAnsi="Arial" w:hint="cs"/>
          <w:sz w:val="27"/>
          <w:rtl/>
          <w:lang w:bidi="ar-LB"/>
        </w:rPr>
        <w:t>ج</w:t>
      </w:r>
      <w:r w:rsidR="00F21EF0" w:rsidRPr="00282AC9">
        <w:rPr>
          <w:rFonts w:ascii="Arial" w:eastAsia="Calibri" w:hAnsi="Arial" w:hint="cs"/>
          <w:sz w:val="27"/>
          <w:rtl/>
          <w:lang w:bidi="ar-LB"/>
        </w:rPr>
        <w:t>َ</w:t>
      </w:r>
      <w:r w:rsidRPr="00282AC9">
        <w:rPr>
          <w:rFonts w:ascii="Arial" w:eastAsia="Calibri" w:hAnsi="Arial" w:hint="cs"/>
          <w:sz w:val="27"/>
          <w:rtl/>
          <w:lang w:bidi="ar-LB"/>
        </w:rPr>
        <w:t>ج الظاهرية لا تحتاج إلى لسان</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خاص</w:t>
      </w:r>
      <w:r w:rsidR="00F21EF0" w:rsidRPr="00282AC9">
        <w:rPr>
          <w:rFonts w:ascii="Arial" w:eastAsia="Calibri" w:hAnsi="Arial" w:hint="cs"/>
          <w:sz w:val="27"/>
          <w:rtl/>
          <w:lang w:bidi="ar-LB"/>
        </w:rPr>
        <w:t>ّ</w:t>
      </w:r>
      <w:r w:rsidRPr="00282AC9">
        <w:rPr>
          <w:rFonts w:ascii="Arial" w:eastAsia="Calibri" w:hAnsi="Arial" w:hint="cs"/>
          <w:sz w:val="27"/>
          <w:rtl/>
          <w:lang w:bidi="ar-LB"/>
        </w:rPr>
        <w:t>، وأن الأساس فيها قو</w:t>
      </w:r>
      <w:r w:rsidR="00F21EF0" w:rsidRPr="00282AC9">
        <w:rPr>
          <w:rFonts w:ascii="Arial" w:eastAsia="Calibri" w:hAnsi="Arial" w:hint="cs"/>
          <w:sz w:val="27"/>
          <w:rtl/>
          <w:lang w:bidi="ar-LB"/>
        </w:rPr>
        <w:t>ّ</w:t>
      </w:r>
      <w:r w:rsidRPr="00282AC9">
        <w:rPr>
          <w:rFonts w:ascii="Arial" w:eastAsia="Calibri" w:hAnsi="Arial" w:hint="cs"/>
          <w:sz w:val="27"/>
          <w:rtl/>
          <w:lang w:bidi="ar-LB"/>
        </w:rPr>
        <w:t>ة الاحتمال الكاشف عن الواقع، بصرف النظر عن لسان جعل الحج</w:t>
      </w:r>
      <w:r w:rsidR="00F21EF0" w:rsidRPr="00282AC9">
        <w:rPr>
          <w:rFonts w:ascii="Arial" w:eastAsia="Calibri" w:hAnsi="Arial" w:hint="cs"/>
          <w:sz w:val="27"/>
          <w:rtl/>
          <w:lang w:bidi="ar-LB"/>
        </w:rPr>
        <w:t>ّ</w:t>
      </w:r>
      <w:r w:rsidRPr="00282AC9">
        <w:rPr>
          <w:rFonts w:ascii="Arial" w:eastAsia="Calibri" w:hAnsi="Arial" w:hint="cs"/>
          <w:sz w:val="27"/>
          <w:rtl/>
          <w:lang w:bidi="ar-LB"/>
        </w:rPr>
        <w:t>ية، فهو أمر</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لا نوافقه عليه</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والظاهر أنّ الح</w:t>
      </w:r>
      <w:r w:rsidR="00F21EF0" w:rsidRPr="00282AC9">
        <w:rPr>
          <w:rFonts w:ascii="Arial" w:eastAsia="Calibri" w:hAnsi="Arial" w:hint="cs"/>
          <w:sz w:val="27"/>
          <w:rtl/>
          <w:lang w:bidi="ar-LB"/>
        </w:rPr>
        <w:t>ُ</w:t>
      </w:r>
      <w:r w:rsidRPr="00282AC9">
        <w:rPr>
          <w:rFonts w:ascii="Arial" w:eastAsia="Calibri" w:hAnsi="Arial" w:hint="cs"/>
          <w:sz w:val="27"/>
          <w:rtl/>
          <w:lang w:bidi="ar-LB"/>
        </w:rPr>
        <w:t>ج</w:t>
      </w:r>
      <w:r w:rsidR="00F21EF0" w:rsidRPr="00282AC9">
        <w:rPr>
          <w:rFonts w:ascii="Arial" w:eastAsia="Calibri" w:hAnsi="Arial" w:hint="cs"/>
          <w:sz w:val="27"/>
          <w:rtl/>
          <w:lang w:bidi="ar-LB"/>
        </w:rPr>
        <w:t>َ</w:t>
      </w:r>
      <w:r w:rsidRPr="00282AC9">
        <w:rPr>
          <w:rFonts w:ascii="Arial" w:eastAsia="Calibri" w:hAnsi="Arial" w:hint="cs"/>
          <w:sz w:val="27"/>
          <w:rtl/>
          <w:lang w:bidi="ar-LB"/>
        </w:rPr>
        <w:t>ج الظاهرية الطريقية تعتمد على لسان</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خاص</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وتحتاج إليه، واعتماد اللسان هو أمر</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عقلائي</w:t>
      </w:r>
      <w:r w:rsidR="00F21EF0" w:rsidRPr="00282AC9">
        <w:rPr>
          <w:rFonts w:ascii="Arial" w:eastAsia="Calibri" w:hAnsi="Arial" w:hint="cs"/>
          <w:sz w:val="27"/>
          <w:rtl/>
          <w:lang w:bidi="ar-LB"/>
        </w:rPr>
        <w:t>ّ</w:t>
      </w:r>
      <w:r w:rsidRPr="00282AC9">
        <w:rPr>
          <w:rFonts w:ascii="Arial" w:eastAsia="Calibri" w:hAnsi="Arial" w:hint="cs"/>
          <w:sz w:val="27"/>
          <w:rtl/>
          <w:lang w:bidi="ar-LB"/>
        </w:rPr>
        <w:t>، والشارع لم يخرج عن سيرة العقلاء في التعبير عن أغراضه الشرعية</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مضموناً وشكلاً، ثم</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سل</w:t>
      </w:r>
      <w:r w:rsidR="00F21EF0" w:rsidRPr="00282AC9">
        <w:rPr>
          <w:rFonts w:ascii="Arial" w:eastAsia="Calibri" w:hAnsi="Arial" w:hint="cs"/>
          <w:sz w:val="27"/>
          <w:rtl/>
          <w:lang w:bidi="ar-LB"/>
        </w:rPr>
        <w:t>ّ</w:t>
      </w:r>
      <w:r w:rsidRPr="00282AC9">
        <w:rPr>
          <w:rFonts w:ascii="Arial" w:eastAsia="Calibri" w:hAnsi="Arial" w:hint="cs"/>
          <w:sz w:val="27"/>
          <w:rtl/>
          <w:lang w:bidi="ar-LB"/>
        </w:rPr>
        <w:t>منا أنّ الح</w:t>
      </w:r>
      <w:r w:rsidR="00F21EF0" w:rsidRPr="00282AC9">
        <w:rPr>
          <w:rFonts w:ascii="Arial" w:eastAsia="Calibri" w:hAnsi="Arial" w:hint="cs"/>
          <w:sz w:val="27"/>
          <w:rtl/>
          <w:lang w:bidi="ar-LB"/>
        </w:rPr>
        <w:t>ُ</w:t>
      </w:r>
      <w:r w:rsidRPr="00282AC9">
        <w:rPr>
          <w:rFonts w:ascii="Arial" w:eastAsia="Calibri" w:hAnsi="Arial" w:hint="cs"/>
          <w:sz w:val="27"/>
          <w:rtl/>
          <w:lang w:bidi="ar-LB"/>
        </w:rPr>
        <w:t>ج</w:t>
      </w:r>
      <w:r w:rsidR="00F21EF0" w:rsidRPr="00282AC9">
        <w:rPr>
          <w:rFonts w:ascii="Arial" w:eastAsia="Calibri" w:hAnsi="Arial" w:hint="cs"/>
          <w:sz w:val="27"/>
          <w:rtl/>
          <w:lang w:bidi="ar-LB"/>
        </w:rPr>
        <w:t>َ</w:t>
      </w:r>
      <w:r w:rsidRPr="00282AC9">
        <w:rPr>
          <w:rFonts w:ascii="Arial" w:eastAsia="Calibri" w:hAnsi="Arial" w:hint="cs"/>
          <w:sz w:val="27"/>
          <w:rtl/>
          <w:lang w:bidi="ar-LB"/>
        </w:rPr>
        <w:t>ج الظاهرية لا تحتاج إلى لسان</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خاص</w:t>
      </w:r>
      <w:r w:rsidR="00F21EF0" w:rsidRPr="00282AC9">
        <w:rPr>
          <w:rFonts w:ascii="Arial" w:eastAsia="Calibri" w:hAnsi="Arial" w:hint="cs"/>
          <w:sz w:val="27"/>
          <w:rtl/>
          <w:lang w:bidi="ar-LB"/>
        </w:rPr>
        <w:t>ّ</w:t>
      </w:r>
      <w:r w:rsidRPr="00282AC9">
        <w:rPr>
          <w:rFonts w:ascii="Arial" w:eastAsia="Calibri" w:hAnsi="Arial" w:hint="cs"/>
          <w:sz w:val="27"/>
          <w:rtl/>
          <w:lang w:bidi="ar-LB"/>
        </w:rPr>
        <w:t>، ولكن</w:t>
      </w:r>
      <w:r w:rsidR="00F21EF0" w:rsidRPr="00282AC9">
        <w:rPr>
          <w:rFonts w:ascii="Arial" w:eastAsia="Calibri" w:hAnsi="Arial" w:hint="cs"/>
          <w:sz w:val="27"/>
          <w:rtl/>
          <w:lang w:bidi="ar-LB"/>
        </w:rPr>
        <w:t>ْ</w:t>
      </w:r>
      <w:r w:rsidRPr="00282AC9">
        <w:rPr>
          <w:rFonts w:ascii="Arial" w:eastAsia="Calibri" w:hAnsi="Arial" w:hint="cs"/>
          <w:sz w:val="27"/>
          <w:rtl/>
          <w:lang w:bidi="ar-LB"/>
        </w:rPr>
        <w:t xml:space="preserve"> شرط أن لا يُستخدم لسان</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ينافيها، كما هو الحال في المقام، حيث صر</w:t>
      </w:r>
      <w:r w:rsidR="002F54D1" w:rsidRPr="00282AC9">
        <w:rPr>
          <w:rFonts w:ascii="Arial" w:eastAsia="Calibri" w:hAnsi="Arial" w:hint="cs"/>
          <w:sz w:val="27"/>
          <w:rtl/>
          <w:lang w:bidi="ar-LB"/>
        </w:rPr>
        <w:t>ّ</w:t>
      </w:r>
      <w:r w:rsidRPr="00282AC9">
        <w:rPr>
          <w:rFonts w:ascii="Arial" w:eastAsia="Calibri" w:hAnsi="Arial" w:hint="cs"/>
          <w:sz w:val="27"/>
          <w:rtl/>
          <w:lang w:bidi="ar-LB"/>
        </w:rPr>
        <w:t>ح</w:t>
      </w:r>
      <w:r w:rsidR="002F54D1" w:rsidRPr="00282AC9">
        <w:rPr>
          <w:rFonts w:ascii="Arial" w:eastAsia="Calibri" w:hAnsi="Arial" w:hint="cs"/>
          <w:sz w:val="27"/>
          <w:rtl/>
          <w:lang w:bidi="ar-LB"/>
        </w:rPr>
        <w:t>َ</w:t>
      </w:r>
      <w:r w:rsidRPr="00282AC9">
        <w:rPr>
          <w:rFonts w:ascii="Arial" w:eastAsia="Calibri" w:hAnsi="Arial" w:hint="cs"/>
          <w:sz w:val="27"/>
          <w:rtl/>
          <w:lang w:bidi="ar-LB"/>
        </w:rPr>
        <w:t>ت</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الأخبار بأن الثواب محفوظ</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حت</w:t>
      </w:r>
      <w:r w:rsidR="002F54D1" w:rsidRPr="00282AC9">
        <w:rPr>
          <w:rFonts w:ascii="Arial" w:eastAsia="Calibri" w:hAnsi="Arial" w:hint="cs"/>
          <w:sz w:val="27"/>
          <w:rtl/>
          <w:lang w:bidi="ar-LB"/>
        </w:rPr>
        <w:t>ّ</w:t>
      </w:r>
      <w:r w:rsidRPr="00282AC9">
        <w:rPr>
          <w:rFonts w:ascii="Arial" w:eastAsia="Calibri" w:hAnsi="Arial" w:hint="cs"/>
          <w:sz w:val="27"/>
          <w:rtl/>
          <w:lang w:bidi="ar-LB"/>
        </w:rPr>
        <w:t>ى مع كون الخبر مخالفاً للواقع.</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 xml:space="preserve">ثالثاً: </w:t>
      </w:r>
      <w:r w:rsidRPr="00282AC9">
        <w:rPr>
          <w:rFonts w:ascii="Arial" w:eastAsia="Calibri" w:hAnsi="Arial" w:hint="cs"/>
          <w:sz w:val="27"/>
          <w:rtl/>
          <w:lang w:bidi="ar-LB"/>
        </w:rPr>
        <w:t>ير</w:t>
      </w:r>
      <w:r w:rsidR="002F54D1" w:rsidRPr="00282AC9">
        <w:rPr>
          <w:rFonts w:ascii="Arial" w:eastAsia="Calibri" w:hAnsi="Arial" w:hint="cs"/>
          <w:sz w:val="27"/>
          <w:rtl/>
          <w:lang w:bidi="ar-LB"/>
        </w:rPr>
        <w:t>ِ</w:t>
      </w:r>
      <w:r w:rsidRPr="00282AC9">
        <w:rPr>
          <w:rFonts w:ascii="Arial" w:eastAsia="Calibri" w:hAnsi="Arial" w:hint="cs"/>
          <w:sz w:val="27"/>
          <w:rtl/>
          <w:lang w:bidi="ar-LB"/>
        </w:rPr>
        <w:t>د</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على أصل الاحتمال الأو</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ل ـ سواء بتفسير المشهور من ظهور أخبار </w:t>
      </w:r>
      <w:r w:rsidR="002F54D1" w:rsidRPr="00282AC9">
        <w:rPr>
          <w:rFonts w:hint="eastAsia"/>
          <w:sz w:val="24"/>
          <w:szCs w:val="24"/>
          <w:rtl/>
          <w:lang w:bidi="ar-LB"/>
        </w:rPr>
        <w:t>«</w:t>
      </w:r>
      <w:r w:rsidRPr="00282AC9">
        <w:rPr>
          <w:rFonts w:ascii="Arial" w:eastAsia="Calibri" w:hAnsi="Arial" w:hint="cs"/>
          <w:sz w:val="27"/>
          <w:rtl/>
          <w:lang w:bidi="ar-LB"/>
        </w:rPr>
        <w:t>م</w:t>
      </w:r>
      <w:r w:rsidR="002F54D1" w:rsidRPr="00282AC9">
        <w:rPr>
          <w:rFonts w:ascii="Arial" w:eastAsia="Calibri" w:hAnsi="Arial" w:hint="cs"/>
          <w:sz w:val="27"/>
          <w:rtl/>
          <w:lang w:bidi="ar-LB"/>
        </w:rPr>
        <w:t>َ</w:t>
      </w:r>
      <w:r w:rsidRPr="00282AC9">
        <w:rPr>
          <w:rFonts w:ascii="Arial" w:eastAsia="Calibri" w:hAnsi="Arial" w:hint="cs"/>
          <w:sz w:val="27"/>
          <w:rtl/>
          <w:lang w:bidi="ar-LB"/>
        </w:rPr>
        <w:t>ن</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بلغ</w:t>
      </w:r>
      <w:r w:rsidR="002F54D1" w:rsidRPr="00282AC9">
        <w:rPr>
          <w:rFonts w:hint="eastAsia"/>
          <w:sz w:val="24"/>
          <w:szCs w:val="24"/>
          <w:rtl/>
        </w:rPr>
        <w:t>»</w:t>
      </w:r>
      <w:r w:rsidRPr="00282AC9">
        <w:rPr>
          <w:rFonts w:ascii="Arial" w:eastAsia="Calibri" w:hAnsi="Arial" w:hint="cs"/>
          <w:sz w:val="27"/>
          <w:rtl/>
          <w:lang w:bidi="ar-LB"/>
        </w:rPr>
        <w:t xml:space="preserve"> في ج</w:t>
      </w:r>
      <w:r w:rsidR="002F54D1" w:rsidRPr="00282AC9">
        <w:rPr>
          <w:rFonts w:ascii="Arial" w:eastAsia="Calibri" w:hAnsi="Arial" w:hint="cs"/>
          <w:sz w:val="27"/>
          <w:rtl/>
          <w:lang w:bidi="ar-LB"/>
        </w:rPr>
        <w:t>َ</w:t>
      </w:r>
      <w:r w:rsidRPr="00282AC9">
        <w:rPr>
          <w:rFonts w:ascii="Arial" w:eastAsia="Calibri" w:hAnsi="Arial" w:hint="cs"/>
          <w:sz w:val="27"/>
          <w:rtl/>
          <w:lang w:bidi="ar-LB"/>
        </w:rPr>
        <w:t>ع</w:t>
      </w:r>
      <w:r w:rsidR="002F54D1" w:rsidRPr="00282AC9">
        <w:rPr>
          <w:rFonts w:ascii="Arial" w:eastAsia="Calibri" w:hAnsi="Arial" w:hint="cs"/>
          <w:sz w:val="27"/>
          <w:rtl/>
          <w:lang w:bidi="ar-LB"/>
        </w:rPr>
        <w:t>ْ</w:t>
      </w:r>
      <w:r w:rsidRPr="00282AC9">
        <w:rPr>
          <w:rFonts w:ascii="Arial" w:eastAsia="Calibri" w:hAnsi="Arial" w:hint="cs"/>
          <w:sz w:val="27"/>
          <w:rtl/>
          <w:lang w:bidi="ar-LB"/>
        </w:rPr>
        <w:t>ل الحج</w:t>
      </w:r>
      <w:r w:rsidR="002F54D1" w:rsidRPr="00282AC9">
        <w:rPr>
          <w:rFonts w:ascii="Arial" w:eastAsia="Calibri" w:hAnsi="Arial" w:hint="cs"/>
          <w:sz w:val="27"/>
          <w:rtl/>
          <w:lang w:bidi="ar-LB"/>
        </w:rPr>
        <w:t>ّ</w:t>
      </w:r>
      <w:r w:rsidRPr="00282AC9">
        <w:rPr>
          <w:rFonts w:ascii="Arial" w:eastAsia="Calibri" w:hAnsi="Arial" w:hint="cs"/>
          <w:sz w:val="27"/>
          <w:rtl/>
          <w:lang w:bidi="ar-LB"/>
        </w:rPr>
        <w:t>ية الظاهرية للخبر الضعيف، أو بتفسير الشهيد الصدر من ظهورها في ج</w:t>
      </w:r>
      <w:r w:rsidR="002F54D1" w:rsidRPr="00282AC9">
        <w:rPr>
          <w:rFonts w:ascii="Arial" w:eastAsia="Calibri" w:hAnsi="Arial" w:hint="cs"/>
          <w:sz w:val="27"/>
          <w:rtl/>
          <w:lang w:bidi="ar-LB"/>
        </w:rPr>
        <w:t>َ</w:t>
      </w:r>
      <w:r w:rsidRPr="00282AC9">
        <w:rPr>
          <w:rFonts w:ascii="Arial" w:eastAsia="Calibri" w:hAnsi="Arial" w:hint="cs"/>
          <w:sz w:val="27"/>
          <w:rtl/>
          <w:lang w:bidi="ar-LB"/>
        </w:rPr>
        <w:t>ع</w:t>
      </w:r>
      <w:r w:rsidR="002F54D1" w:rsidRPr="00282AC9">
        <w:rPr>
          <w:rFonts w:ascii="Arial" w:eastAsia="Calibri" w:hAnsi="Arial" w:hint="cs"/>
          <w:sz w:val="27"/>
          <w:rtl/>
          <w:lang w:bidi="ar-LB"/>
        </w:rPr>
        <w:t>ْ</w:t>
      </w:r>
      <w:r w:rsidRPr="00282AC9">
        <w:rPr>
          <w:rFonts w:ascii="Arial" w:eastAsia="Calibri" w:hAnsi="Arial" w:hint="cs"/>
          <w:sz w:val="27"/>
          <w:rtl/>
          <w:lang w:bidi="ar-LB"/>
        </w:rPr>
        <w:t>ل الاحتياط الاستحبابي</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ـ أنّ الأخبار المذكورة ليست بصدد الج</w:t>
      </w:r>
      <w:r w:rsidR="002F54D1" w:rsidRPr="00282AC9">
        <w:rPr>
          <w:rFonts w:ascii="Arial" w:eastAsia="Calibri" w:hAnsi="Arial" w:hint="cs"/>
          <w:sz w:val="27"/>
          <w:rtl/>
          <w:lang w:bidi="ar-LB"/>
        </w:rPr>
        <w:t>َ</w:t>
      </w:r>
      <w:r w:rsidRPr="00282AC9">
        <w:rPr>
          <w:rFonts w:ascii="Arial" w:eastAsia="Calibri" w:hAnsi="Arial" w:hint="cs"/>
          <w:sz w:val="27"/>
          <w:rtl/>
          <w:lang w:bidi="ar-LB"/>
        </w:rPr>
        <w:t>ع</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ل أصلاً، </w:t>
      </w:r>
      <w:r w:rsidR="002F54D1" w:rsidRPr="00282AC9">
        <w:rPr>
          <w:rFonts w:ascii="Arial" w:eastAsia="Calibri" w:hAnsi="Arial" w:hint="cs"/>
          <w:sz w:val="27"/>
          <w:rtl/>
          <w:lang w:bidi="ar-LB"/>
        </w:rPr>
        <w:t xml:space="preserve">سواء </w:t>
      </w:r>
      <w:r w:rsidRPr="00282AC9">
        <w:rPr>
          <w:rFonts w:ascii="Arial" w:eastAsia="Calibri" w:hAnsi="Arial" w:hint="cs"/>
          <w:sz w:val="27"/>
          <w:rtl/>
          <w:lang w:bidi="ar-LB"/>
        </w:rPr>
        <w:t>أكان ج</w:t>
      </w:r>
      <w:r w:rsidR="002F54D1" w:rsidRPr="00282AC9">
        <w:rPr>
          <w:rFonts w:ascii="Arial" w:eastAsia="Calibri" w:hAnsi="Arial" w:hint="cs"/>
          <w:sz w:val="27"/>
          <w:rtl/>
          <w:lang w:bidi="ar-LB"/>
        </w:rPr>
        <w:t>َ</w:t>
      </w:r>
      <w:r w:rsidRPr="00282AC9">
        <w:rPr>
          <w:rFonts w:ascii="Arial" w:eastAsia="Calibri" w:hAnsi="Arial" w:hint="cs"/>
          <w:sz w:val="27"/>
          <w:rtl/>
          <w:lang w:bidi="ar-LB"/>
        </w:rPr>
        <w:t>ع</w:t>
      </w:r>
      <w:r w:rsidR="002F54D1" w:rsidRPr="00282AC9">
        <w:rPr>
          <w:rFonts w:ascii="Arial" w:eastAsia="Calibri" w:hAnsi="Arial" w:hint="cs"/>
          <w:sz w:val="27"/>
          <w:rtl/>
          <w:lang w:bidi="ar-LB"/>
        </w:rPr>
        <w:t>ْ</w:t>
      </w:r>
      <w:r w:rsidRPr="00282AC9">
        <w:rPr>
          <w:rFonts w:ascii="Arial" w:eastAsia="Calibri" w:hAnsi="Arial" w:hint="cs"/>
          <w:sz w:val="27"/>
          <w:rtl/>
          <w:lang w:bidi="ar-LB"/>
        </w:rPr>
        <w:t>لاً للحكم الظاهري أو ج</w:t>
      </w:r>
      <w:r w:rsidR="002F54D1" w:rsidRPr="00282AC9">
        <w:rPr>
          <w:rFonts w:ascii="Arial" w:eastAsia="Calibri" w:hAnsi="Arial" w:hint="cs"/>
          <w:sz w:val="27"/>
          <w:rtl/>
          <w:lang w:bidi="ar-LB"/>
        </w:rPr>
        <w:t>َ</w:t>
      </w:r>
      <w:r w:rsidRPr="00282AC9">
        <w:rPr>
          <w:rFonts w:ascii="Arial" w:eastAsia="Calibri" w:hAnsi="Arial" w:hint="cs"/>
          <w:sz w:val="27"/>
          <w:rtl/>
          <w:lang w:bidi="ar-LB"/>
        </w:rPr>
        <w:t>ع</w:t>
      </w:r>
      <w:r w:rsidR="002F54D1" w:rsidRPr="00282AC9">
        <w:rPr>
          <w:rFonts w:ascii="Arial" w:eastAsia="Calibri" w:hAnsi="Arial" w:hint="cs"/>
          <w:sz w:val="27"/>
          <w:rtl/>
          <w:lang w:bidi="ar-LB"/>
        </w:rPr>
        <w:t>ْ</w:t>
      </w:r>
      <w:r w:rsidRPr="00282AC9">
        <w:rPr>
          <w:rFonts w:ascii="Arial" w:eastAsia="Calibri" w:hAnsi="Arial" w:hint="cs"/>
          <w:sz w:val="27"/>
          <w:rtl/>
          <w:lang w:bidi="ar-LB"/>
        </w:rPr>
        <w:t>لاً للاحتياط الاستحبابي، وإنما هي في مقام الو</w:t>
      </w:r>
      <w:r w:rsidR="002F54D1" w:rsidRPr="00282AC9">
        <w:rPr>
          <w:rFonts w:ascii="Arial" w:eastAsia="Calibri" w:hAnsi="Arial" w:hint="cs"/>
          <w:sz w:val="27"/>
          <w:rtl/>
          <w:lang w:bidi="ar-LB"/>
        </w:rPr>
        <w:t>َ</w:t>
      </w:r>
      <w:r w:rsidRPr="00282AC9">
        <w:rPr>
          <w:rFonts w:ascii="Arial" w:eastAsia="Calibri" w:hAnsi="Arial" w:hint="cs"/>
          <w:sz w:val="27"/>
          <w:rtl/>
          <w:lang w:bidi="ar-LB"/>
        </w:rPr>
        <w:t>ع</w:t>
      </w:r>
      <w:r w:rsidR="002F54D1" w:rsidRPr="00282AC9">
        <w:rPr>
          <w:rFonts w:ascii="Arial" w:eastAsia="Calibri" w:hAnsi="Arial" w:hint="cs"/>
          <w:sz w:val="27"/>
          <w:rtl/>
          <w:lang w:bidi="ar-LB"/>
        </w:rPr>
        <w:t>ْ</w:t>
      </w:r>
      <w:r w:rsidRPr="00282AC9">
        <w:rPr>
          <w:rFonts w:ascii="Arial" w:eastAsia="Calibri" w:hAnsi="Arial" w:hint="cs"/>
          <w:sz w:val="27"/>
          <w:rtl/>
          <w:lang w:bidi="ar-LB"/>
        </w:rPr>
        <w:t>د أو الإرشاد</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كما سيأتي.</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 xml:space="preserve"> وأما </w:t>
      </w:r>
      <w:r w:rsidRPr="00282AC9">
        <w:rPr>
          <w:rFonts w:ascii="Arial" w:eastAsia="Calibri" w:hAnsi="Arial"/>
          <w:b/>
          <w:bCs/>
          <w:sz w:val="27"/>
          <w:rtl/>
          <w:lang w:bidi="ar-LB"/>
        </w:rPr>
        <w:t>الاحتمال ال</w:t>
      </w:r>
      <w:r w:rsidRPr="00282AC9">
        <w:rPr>
          <w:rFonts w:ascii="Arial" w:eastAsia="Calibri" w:hAnsi="Arial" w:hint="cs"/>
          <w:b/>
          <w:bCs/>
          <w:sz w:val="27"/>
          <w:rtl/>
          <w:lang w:bidi="ar-LB"/>
        </w:rPr>
        <w:t>ثاني</w:t>
      </w:r>
      <w:r w:rsidRPr="00282AC9">
        <w:rPr>
          <w:rFonts w:ascii="Arial" w:eastAsia="Calibri" w:hAnsi="Arial"/>
          <w:sz w:val="27"/>
          <w:rtl/>
          <w:lang w:bidi="ar-LB"/>
        </w:rPr>
        <w:t xml:space="preserve"> </w:t>
      </w:r>
      <w:r w:rsidRPr="00282AC9">
        <w:rPr>
          <w:rFonts w:ascii="Arial" w:eastAsia="Calibri" w:hAnsi="Arial" w:hint="cs"/>
          <w:sz w:val="27"/>
          <w:rtl/>
          <w:lang w:bidi="ar-LB"/>
        </w:rPr>
        <w:t>فمعضلت</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ه هو صعوبة استظهاره من أخبار </w:t>
      </w:r>
      <w:r w:rsidR="002F54D1" w:rsidRPr="00282AC9">
        <w:rPr>
          <w:rFonts w:hint="eastAsia"/>
          <w:sz w:val="24"/>
          <w:szCs w:val="24"/>
          <w:rtl/>
          <w:lang w:bidi="ar-LB"/>
        </w:rPr>
        <w:t>«</w:t>
      </w:r>
      <w:r w:rsidRPr="00282AC9">
        <w:rPr>
          <w:rFonts w:ascii="Arial" w:eastAsia="Calibri" w:hAnsi="Arial" w:hint="cs"/>
          <w:sz w:val="27"/>
          <w:rtl/>
          <w:lang w:bidi="ar-LB"/>
        </w:rPr>
        <w:t>م</w:t>
      </w:r>
      <w:r w:rsidR="002F54D1" w:rsidRPr="00282AC9">
        <w:rPr>
          <w:rFonts w:ascii="Arial" w:eastAsia="Calibri" w:hAnsi="Arial" w:hint="cs"/>
          <w:sz w:val="27"/>
          <w:rtl/>
          <w:lang w:bidi="ar-LB"/>
        </w:rPr>
        <w:t>َ</w:t>
      </w:r>
      <w:r w:rsidRPr="00282AC9">
        <w:rPr>
          <w:rFonts w:ascii="Arial" w:eastAsia="Calibri" w:hAnsi="Arial" w:hint="cs"/>
          <w:sz w:val="27"/>
          <w:rtl/>
          <w:lang w:bidi="ar-LB"/>
        </w:rPr>
        <w:t>ن</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بلغ</w:t>
      </w:r>
      <w:r w:rsidR="002F54D1" w:rsidRPr="00282AC9">
        <w:rPr>
          <w:rFonts w:hint="eastAsia"/>
          <w:sz w:val="24"/>
          <w:szCs w:val="24"/>
          <w:rtl/>
        </w:rPr>
        <w:t>»</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قال السيد الخوئي</w:t>
      </w:r>
      <w:r w:rsidR="002F54D1" w:rsidRPr="00282AC9">
        <w:rPr>
          <w:rFonts w:ascii="Arial" w:eastAsia="Calibri" w:hAnsi="Arial" w:hint="cs"/>
          <w:sz w:val="27"/>
          <w:rtl/>
          <w:lang w:bidi="ar-LB"/>
        </w:rPr>
        <w:t xml:space="preserve">، </w:t>
      </w:r>
      <w:r w:rsidRPr="00282AC9">
        <w:rPr>
          <w:rFonts w:ascii="Arial" w:eastAsia="Calibri" w:hAnsi="Arial" w:hint="cs"/>
          <w:sz w:val="27"/>
          <w:rtl/>
          <w:lang w:bidi="ar-LB"/>
        </w:rPr>
        <w:t xml:space="preserve">اعتراضاً على الاحتمال المذكور: </w:t>
      </w:r>
      <w:r w:rsidRPr="00282AC9">
        <w:rPr>
          <w:rFonts w:hint="eastAsia"/>
          <w:sz w:val="24"/>
          <w:szCs w:val="24"/>
          <w:rtl/>
          <w:lang w:bidi="ar-LB"/>
        </w:rPr>
        <w:t>«</w:t>
      </w:r>
      <w:r w:rsidRPr="00282AC9">
        <w:rPr>
          <w:rFonts w:ascii="Arial" w:eastAsia="Calibri" w:hAnsi="Arial"/>
          <w:sz w:val="27"/>
          <w:rtl/>
          <w:lang w:bidi="ar-LB"/>
        </w:rPr>
        <w:t>لا دلالة</w:t>
      </w:r>
      <w:r w:rsidR="002F54D1" w:rsidRPr="00282AC9">
        <w:rPr>
          <w:rFonts w:ascii="Arial" w:eastAsia="Calibri" w:hAnsi="Arial" w:hint="cs"/>
          <w:sz w:val="27"/>
          <w:rtl/>
          <w:lang w:bidi="ar-LB"/>
        </w:rPr>
        <w:t>،</w:t>
      </w:r>
      <w:r w:rsidRPr="00282AC9">
        <w:rPr>
          <w:rFonts w:ascii="Arial" w:eastAsia="Calibri" w:hAnsi="Arial"/>
          <w:sz w:val="27"/>
          <w:rtl/>
          <w:lang w:bidi="ar-LB"/>
        </w:rPr>
        <w:t xml:space="preserve"> بل لا إشعار</w:t>
      </w:r>
      <w:r w:rsidR="002F54D1" w:rsidRPr="00282AC9">
        <w:rPr>
          <w:rFonts w:ascii="Arial" w:eastAsia="Calibri" w:hAnsi="Arial" w:hint="cs"/>
          <w:sz w:val="27"/>
          <w:rtl/>
          <w:lang w:bidi="ar-LB"/>
        </w:rPr>
        <w:t>،</w:t>
      </w:r>
      <w:r w:rsidRPr="00282AC9">
        <w:rPr>
          <w:rFonts w:ascii="Arial" w:eastAsia="Calibri" w:hAnsi="Arial"/>
          <w:sz w:val="27"/>
          <w:rtl/>
          <w:lang w:bidi="ar-LB"/>
        </w:rPr>
        <w:t xml:space="preserve"> للأخبار المذكورة على أن</w:t>
      </w:r>
      <w:r w:rsidRPr="00282AC9">
        <w:rPr>
          <w:rFonts w:ascii="Arial" w:eastAsia="Calibri" w:hAnsi="Arial" w:hint="cs"/>
          <w:sz w:val="27"/>
          <w:rtl/>
          <w:lang w:bidi="ar-LB"/>
        </w:rPr>
        <w:t>ّ</w:t>
      </w:r>
      <w:r w:rsidRPr="00282AC9">
        <w:rPr>
          <w:rFonts w:ascii="Arial" w:eastAsia="Calibri" w:hAnsi="Arial"/>
          <w:sz w:val="27"/>
          <w:rtl/>
          <w:lang w:bidi="ar-LB"/>
        </w:rPr>
        <w:t xml:space="preserve"> عنوان البلوغ</w:t>
      </w:r>
      <w:r w:rsidRPr="00282AC9">
        <w:rPr>
          <w:rFonts w:ascii="Arial" w:eastAsia="Calibri" w:hAnsi="Arial" w:hint="cs"/>
          <w:sz w:val="27"/>
          <w:rtl/>
          <w:lang w:bidi="ar-LB"/>
        </w:rPr>
        <w:t xml:space="preserve"> </w:t>
      </w:r>
      <w:r w:rsidRPr="00282AC9">
        <w:rPr>
          <w:rFonts w:ascii="Arial" w:eastAsia="Calibri" w:hAnsi="Arial"/>
          <w:sz w:val="27"/>
          <w:rtl/>
          <w:lang w:bidi="ar-LB"/>
        </w:rPr>
        <w:t>مما يوجب حدوث مصلحة</w:t>
      </w:r>
      <w:r w:rsidR="002F54D1" w:rsidRPr="00282AC9">
        <w:rPr>
          <w:rFonts w:ascii="Arial" w:eastAsia="Calibri" w:hAnsi="Arial" w:hint="cs"/>
          <w:sz w:val="27"/>
          <w:rtl/>
          <w:lang w:bidi="ar-LB"/>
        </w:rPr>
        <w:t>ٍ</w:t>
      </w:r>
      <w:r w:rsidRPr="00282AC9">
        <w:rPr>
          <w:rFonts w:ascii="Arial" w:eastAsia="Calibri" w:hAnsi="Arial"/>
          <w:sz w:val="27"/>
          <w:rtl/>
          <w:lang w:bidi="ar-LB"/>
        </w:rPr>
        <w:t xml:space="preserve"> في العمل</w:t>
      </w:r>
      <w:r w:rsidR="002F54D1" w:rsidRPr="00282AC9">
        <w:rPr>
          <w:rFonts w:ascii="Arial" w:eastAsia="Calibri" w:hAnsi="Arial" w:hint="cs"/>
          <w:sz w:val="27"/>
          <w:rtl/>
          <w:lang w:bidi="ar-LB"/>
        </w:rPr>
        <w:t>،</w:t>
      </w:r>
      <w:r w:rsidRPr="00282AC9">
        <w:rPr>
          <w:rFonts w:ascii="Arial" w:eastAsia="Calibri" w:hAnsi="Arial"/>
          <w:sz w:val="27"/>
          <w:rtl/>
          <w:lang w:bidi="ar-LB"/>
        </w:rPr>
        <w:t xml:space="preserve"> بها يصير مستحب</w:t>
      </w:r>
      <w:r w:rsidR="002F54D1" w:rsidRPr="00282AC9">
        <w:rPr>
          <w:rFonts w:ascii="Arial" w:eastAsia="Calibri" w:hAnsi="Arial" w:hint="cs"/>
          <w:sz w:val="27"/>
          <w:rtl/>
          <w:lang w:bidi="ar-LB"/>
        </w:rPr>
        <w:t>ّ</w:t>
      </w:r>
      <w:r w:rsidRPr="00282AC9">
        <w:rPr>
          <w:rFonts w:ascii="Arial" w:eastAsia="Calibri" w:hAnsi="Arial"/>
          <w:sz w:val="27"/>
          <w:rtl/>
          <w:lang w:bidi="ar-LB"/>
        </w:rPr>
        <w:t>ا</w:t>
      </w:r>
      <w:r w:rsidRPr="00282AC9">
        <w:rPr>
          <w:rFonts w:ascii="Arial" w:eastAsia="Calibri" w:hAnsi="Arial" w:hint="cs"/>
          <w:sz w:val="27"/>
          <w:rtl/>
          <w:lang w:bidi="ar-LB"/>
        </w:rPr>
        <w:t>ً</w:t>
      </w:r>
      <w:r w:rsidRPr="00282AC9">
        <w:rPr>
          <w:rFonts w:ascii="Arial" w:eastAsia="Calibri" w:hAnsi="Arial"/>
          <w:sz w:val="27"/>
          <w:rtl/>
          <w:lang w:bidi="ar-LB"/>
        </w:rPr>
        <w:t>، فالمتعين هو الاحتمال الأو</w:t>
      </w:r>
      <w:r w:rsidR="002F54D1" w:rsidRPr="00282AC9">
        <w:rPr>
          <w:rFonts w:ascii="Arial" w:eastAsia="Calibri" w:hAnsi="Arial" w:hint="cs"/>
          <w:sz w:val="27"/>
          <w:rtl/>
          <w:lang w:bidi="ar-LB"/>
        </w:rPr>
        <w:t>ّ</w:t>
      </w:r>
      <w:r w:rsidRPr="00282AC9">
        <w:rPr>
          <w:rFonts w:ascii="Arial" w:eastAsia="Calibri" w:hAnsi="Arial"/>
          <w:sz w:val="27"/>
          <w:rtl/>
          <w:lang w:bidi="ar-LB"/>
        </w:rPr>
        <w:t>ل</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3"/>
      </w:r>
      <w:r w:rsidRPr="00282AC9">
        <w:rPr>
          <w:rFonts w:ascii="Arial" w:eastAsia="Calibri" w:hAnsi="Arial"/>
          <w:sz w:val="27"/>
          <w:vertAlign w:val="superscript"/>
          <w:rtl/>
          <w:lang w:bidi="ar-LB"/>
        </w:rPr>
        <w:t>)</w:t>
      </w:r>
      <w:r w:rsidR="002F54D1" w:rsidRPr="00282AC9">
        <w:rPr>
          <w:rFonts w:ascii="Arial" w:eastAsia="Calibri" w:hAnsi="Arial" w:hint="cs"/>
          <w:sz w:val="27"/>
          <w:rtl/>
          <w:lang w:bidi="ar-LB"/>
        </w:rPr>
        <w:t>؛</w:t>
      </w:r>
      <w:r w:rsidRPr="00282AC9">
        <w:rPr>
          <w:rFonts w:ascii="Arial" w:eastAsia="Calibri" w:hAnsi="Arial" w:hint="cs"/>
          <w:sz w:val="27"/>
          <w:rtl/>
          <w:lang w:bidi="ar-LB"/>
        </w:rPr>
        <w:t xml:space="preserve"> </w:t>
      </w:r>
      <w:r w:rsidRPr="00282AC9">
        <w:rPr>
          <w:rFonts w:ascii="Arial" w:eastAsia="Calibri" w:hAnsi="Arial"/>
          <w:sz w:val="27"/>
          <w:rtl/>
          <w:lang w:bidi="ar-LB"/>
        </w:rPr>
        <w:t>ف</w:t>
      </w:r>
      <w:r w:rsidRPr="00282AC9">
        <w:rPr>
          <w:rFonts w:ascii="Arial" w:eastAsia="Calibri" w:hAnsi="Arial" w:hint="cs"/>
          <w:sz w:val="27"/>
          <w:rtl/>
          <w:lang w:bidi="ar-LB"/>
        </w:rPr>
        <w:t>إ</w:t>
      </w:r>
      <w:r w:rsidRPr="00282AC9">
        <w:rPr>
          <w:rFonts w:ascii="Arial" w:eastAsia="Calibri" w:hAnsi="Arial"/>
          <w:sz w:val="27"/>
          <w:rtl/>
          <w:lang w:bidi="ar-LB"/>
        </w:rPr>
        <w:t>ن</w:t>
      </w:r>
      <w:r w:rsidR="002F54D1" w:rsidRPr="00282AC9">
        <w:rPr>
          <w:rFonts w:ascii="Arial" w:eastAsia="Calibri" w:hAnsi="Arial" w:hint="cs"/>
          <w:sz w:val="27"/>
          <w:rtl/>
          <w:lang w:bidi="ar-LB"/>
        </w:rPr>
        <w:t>ّ</w:t>
      </w:r>
      <w:r w:rsidRPr="00282AC9">
        <w:rPr>
          <w:rFonts w:ascii="Arial" w:eastAsia="Calibri" w:hAnsi="Arial"/>
          <w:sz w:val="27"/>
          <w:rtl/>
          <w:lang w:bidi="ar-LB"/>
        </w:rPr>
        <w:t xml:space="preserve"> مفادها مجر</w:t>
      </w:r>
      <w:r w:rsidR="002F54D1" w:rsidRPr="00282AC9">
        <w:rPr>
          <w:rFonts w:ascii="Arial" w:eastAsia="Calibri" w:hAnsi="Arial" w:hint="cs"/>
          <w:sz w:val="27"/>
          <w:rtl/>
          <w:lang w:bidi="ar-LB"/>
        </w:rPr>
        <w:t>ّ</w:t>
      </w:r>
      <w:r w:rsidRPr="00282AC9">
        <w:rPr>
          <w:rFonts w:ascii="Arial" w:eastAsia="Calibri" w:hAnsi="Arial"/>
          <w:sz w:val="27"/>
          <w:rtl/>
          <w:lang w:bidi="ar-LB"/>
        </w:rPr>
        <w:t>د ال</w:t>
      </w:r>
      <w:r w:rsidRPr="00282AC9">
        <w:rPr>
          <w:rFonts w:ascii="Arial" w:eastAsia="Calibri" w:hAnsi="Arial" w:hint="cs"/>
          <w:sz w:val="27"/>
          <w:rtl/>
          <w:lang w:bidi="ar-LB"/>
        </w:rPr>
        <w:t>إ</w:t>
      </w:r>
      <w:r w:rsidRPr="00282AC9">
        <w:rPr>
          <w:rFonts w:ascii="Arial" w:eastAsia="Calibri" w:hAnsi="Arial"/>
          <w:sz w:val="27"/>
          <w:rtl/>
          <w:lang w:bidi="ar-LB"/>
        </w:rPr>
        <w:t>خبار عن فضل الله تعالى</w:t>
      </w:r>
      <w:r w:rsidRPr="00282AC9">
        <w:rPr>
          <w:rFonts w:ascii="Arial" w:eastAsia="Calibri" w:hAnsi="Arial" w:hint="cs"/>
          <w:sz w:val="27"/>
          <w:rtl/>
          <w:lang w:bidi="ar-LB"/>
        </w:rPr>
        <w:t>،</w:t>
      </w:r>
      <w:r w:rsidRPr="00282AC9">
        <w:rPr>
          <w:rFonts w:ascii="Arial" w:eastAsia="Calibri" w:hAnsi="Arial"/>
          <w:sz w:val="27"/>
          <w:rtl/>
          <w:lang w:bidi="ar-LB"/>
        </w:rPr>
        <w:t xml:space="preserve"> وأنه سبحانه بفضله ورحمته يعطي</w:t>
      </w:r>
      <w:r w:rsidRPr="00282AC9">
        <w:rPr>
          <w:rFonts w:ascii="Arial" w:eastAsia="Calibri" w:hAnsi="Arial" w:hint="cs"/>
          <w:sz w:val="27"/>
          <w:rtl/>
          <w:lang w:bidi="ar-LB"/>
        </w:rPr>
        <w:t xml:space="preserve"> </w:t>
      </w:r>
      <w:r w:rsidRPr="00282AC9">
        <w:rPr>
          <w:rFonts w:ascii="Arial" w:eastAsia="Calibri" w:hAnsi="Arial"/>
          <w:sz w:val="27"/>
          <w:rtl/>
          <w:lang w:bidi="ar-LB"/>
        </w:rPr>
        <w:t>الثواب الذي بلغ العامل، وإن</w:t>
      </w:r>
      <w:r w:rsidR="00B51549" w:rsidRPr="00282AC9">
        <w:rPr>
          <w:rFonts w:ascii="Arial" w:eastAsia="Calibri" w:hAnsi="Arial" w:hint="cs"/>
          <w:sz w:val="27"/>
          <w:rtl/>
          <w:lang w:bidi="ar-LB"/>
        </w:rPr>
        <w:t>ْ</w:t>
      </w:r>
      <w:r w:rsidRPr="00282AC9">
        <w:rPr>
          <w:rFonts w:ascii="Arial" w:eastAsia="Calibri" w:hAnsi="Arial"/>
          <w:sz w:val="27"/>
          <w:rtl/>
          <w:lang w:bidi="ar-LB"/>
        </w:rPr>
        <w:t xml:space="preserve"> كان غير مطابق</w:t>
      </w:r>
      <w:r w:rsidR="00B51549" w:rsidRPr="00282AC9">
        <w:rPr>
          <w:rFonts w:ascii="Arial" w:eastAsia="Calibri" w:hAnsi="Arial" w:hint="cs"/>
          <w:sz w:val="27"/>
          <w:rtl/>
          <w:lang w:bidi="ar-LB"/>
        </w:rPr>
        <w:t>ٍ</w:t>
      </w:r>
      <w:r w:rsidRPr="00282AC9">
        <w:rPr>
          <w:rFonts w:ascii="Arial" w:eastAsia="Calibri" w:hAnsi="Arial"/>
          <w:sz w:val="27"/>
          <w:rtl/>
          <w:lang w:bidi="ar-LB"/>
        </w:rPr>
        <w:t xml:space="preserve"> للواقع، فهي ـ كما ترى ـ غير ناظرة</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w:t>
      </w:r>
      <w:r w:rsidRPr="00282AC9">
        <w:rPr>
          <w:rFonts w:ascii="Arial" w:eastAsia="Calibri" w:hAnsi="Arial"/>
          <w:sz w:val="27"/>
          <w:rtl/>
          <w:lang w:bidi="ar-LB"/>
        </w:rPr>
        <w:t>إلى العمل، وأنه يصير مستحب</w:t>
      </w:r>
      <w:r w:rsidR="00B51549" w:rsidRPr="00282AC9">
        <w:rPr>
          <w:rFonts w:ascii="Arial" w:eastAsia="Calibri" w:hAnsi="Arial" w:hint="cs"/>
          <w:sz w:val="27"/>
          <w:rtl/>
          <w:lang w:bidi="ar-LB"/>
        </w:rPr>
        <w:t>ّ</w:t>
      </w:r>
      <w:r w:rsidRPr="00282AC9">
        <w:rPr>
          <w:rFonts w:ascii="Arial" w:eastAsia="Calibri" w:hAnsi="Arial"/>
          <w:sz w:val="27"/>
          <w:rtl/>
          <w:lang w:bidi="ar-LB"/>
        </w:rPr>
        <w:t>ا</w:t>
      </w:r>
      <w:r w:rsidRPr="00282AC9">
        <w:rPr>
          <w:rFonts w:ascii="Arial" w:eastAsia="Calibri" w:hAnsi="Arial" w:hint="cs"/>
          <w:sz w:val="27"/>
          <w:rtl/>
          <w:lang w:bidi="ar-LB"/>
        </w:rPr>
        <w:t>ً</w:t>
      </w:r>
      <w:r w:rsidRPr="00282AC9">
        <w:rPr>
          <w:rFonts w:ascii="Arial" w:eastAsia="Calibri" w:hAnsi="Arial"/>
          <w:sz w:val="27"/>
          <w:rtl/>
          <w:lang w:bidi="ar-LB"/>
        </w:rPr>
        <w:t xml:space="preserve"> لأجل طرو</w:t>
      </w:r>
      <w:r w:rsidRPr="00282AC9">
        <w:rPr>
          <w:rFonts w:ascii="Arial" w:eastAsia="Calibri" w:hAnsi="Arial" w:hint="cs"/>
          <w:sz w:val="27"/>
          <w:rtl/>
          <w:lang w:bidi="ar-LB"/>
        </w:rPr>
        <w:t>ء</w:t>
      </w:r>
      <w:r w:rsidRPr="00282AC9">
        <w:rPr>
          <w:rFonts w:ascii="Arial" w:eastAsia="Calibri" w:hAnsi="Arial"/>
          <w:sz w:val="27"/>
          <w:rtl/>
          <w:lang w:bidi="ar-LB"/>
        </w:rPr>
        <w:t xml:space="preserve"> عنوان البلوغ</w:t>
      </w:r>
      <w:r w:rsidR="00B51549"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4"/>
      </w:r>
      <w:r w:rsidRPr="00282AC9">
        <w:rPr>
          <w:rFonts w:ascii="Arial" w:eastAsia="Calibri" w:hAnsi="Arial"/>
          <w:sz w:val="27"/>
          <w:vertAlign w:val="superscript"/>
          <w:rtl/>
          <w:lang w:bidi="ar-LB"/>
        </w:rPr>
        <w:t>)</w:t>
      </w:r>
      <w:r w:rsidRPr="00282AC9">
        <w:rPr>
          <w:rFonts w:ascii="Arial" w:eastAsia="Calibri" w:hAnsi="Arial"/>
          <w:sz w:val="27"/>
          <w:rtl/>
          <w:lang w:bidi="ar-LB"/>
        </w:rPr>
        <w:t>.</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lastRenderedPageBreak/>
        <w:t>وأما الثالث</w:t>
      </w:r>
      <w:r w:rsidRPr="00282AC9">
        <w:rPr>
          <w:rFonts w:ascii="Arial" w:eastAsia="Calibri" w:hAnsi="Arial" w:hint="cs"/>
          <w:sz w:val="27"/>
          <w:rtl/>
          <w:lang w:bidi="ar-LB"/>
        </w:rPr>
        <w:t>، وهو الظاهر من السيد الخوئي</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كما مرّ للتو</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في كلامه، فلا يصح</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الاعتراض عليه ب</w:t>
      </w:r>
      <w:r w:rsidRPr="00282AC9">
        <w:rPr>
          <w:rFonts w:ascii="Arial" w:eastAsia="Calibri" w:hAnsi="Arial"/>
          <w:sz w:val="27"/>
          <w:rtl/>
          <w:lang w:bidi="ar-LB"/>
        </w:rPr>
        <w:t>أن</w:t>
      </w:r>
      <w:r w:rsidRPr="00282AC9">
        <w:rPr>
          <w:rFonts w:ascii="Arial" w:eastAsia="Calibri" w:hAnsi="Arial" w:hint="cs"/>
          <w:sz w:val="27"/>
          <w:rtl/>
          <w:lang w:bidi="ar-LB"/>
        </w:rPr>
        <w:t xml:space="preserve">ّ </w:t>
      </w:r>
      <w:r w:rsidRPr="00282AC9">
        <w:rPr>
          <w:rFonts w:ascii="Arial" w:eastAsia="Calibri" w:hAnsi="Arial"/>
          <w:sz w:val="27"/>
          <w:rtl/>
          <w:lang w:bidi="ar-LB"/>
        </w:rPr>
        <w:t>الثواب على عمل</w:t>
      </w:r>
      <w:r w:rsidR="00B51549" w:rsidRPr="00282AC9">
        <w:rPr>
          <w:rFonts w:ascii="Arial" w:eastAsia="Calibri" w:hAnsi="Arial" w:hint="cs"/>
          <w:sz w:val="27"/>
          <w:rtl/>
          <w:lang w:bidi="ar-LB"/>
        </w:rPr>
        <w:t>ٍ</w:t>
      </w:r>
      <w:r w:rsidRPr="00282AC9">
        <w:rPr>
          <w:rFonts w:ascii="Arial" w:eastAsia="Calibri" w:hAnsi="Arial"/>
          <w:sz w:val="27"/>
          <w:rtl/>
          <w:lang w:bidi="ar-LB"/>
        </w:rPr>
        <w:t xml:space="preserve"> فرع</w:t>
      </w:r>
      <w:r w:rsidR="00B51549" w:rsidRPr="00282AC9">
        <w:rPr>
          <w:rFonts w:ascii="Arial" w:eastAsia="Calibri" w:hAnsi="Arial" w:hint="cs"/>
          <w:sz w:val="27"/>
          <w:rtl/>
          <w:lang w:bidi="ar-LB"/>
        </w:rPr>
        <w:t>ُ</w:t>
      </w:r>
      <w:r w:rsidRPr="00282AC9">
        <w:rPr>
          <w:rFonts w:ascii="Arial" w:eastAsia="Calibri" w:hAnsi="Arial"/>
          <w:sz w:val="27"/>
          <w:rtl/>
          <w:lang w:bidi="ar-LB"/>
        </w:rPr>
        <w:t xml:space="preserve"> كونه مطلوبا</w:t>
      </w:r>
      <w:r w:rsidRPr="00282AC9">
        <w:rPr>
          <w:rFonts w:ascii="Arial" w:eastAsia="Calibri" w:hAnsi="Arial" w:hint="cs"/>
          <w:sz w:val="27"/>
          <w:rtl/>
          <w:lang w:bidi="ar-LB"/>
        </w:rPr>
        <w:t>ً</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لأنّ ذلك مردود</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w:t>
      </w:r>
      <w:r w:rsidRPr="00282AC9">
        <w:rPr>
          <w:rFonts w:hint="eastAsia"/>
          <w:sz w:val="24"/>
          <w:szCs w:val="24"/>
          <w:rtl/>
          <w:lang w:bidi="ar-LB"/>
        </w:rPr>
        <w:t>«</w:t>
      </w:r>
      <w:r w:rsidRPr="00282AC9">
        <w:rPr>
          <w:rFonts w:ascii="Arial" w:eastAsia="Calibri" w:hAnsi="Arial"/>
          <w:sz w:val="27"/>
          <w:rtl/>
          <w:lang w:bidi="ar-LB"/>
        </w:rPr>
        <w:t>بأنه يكفي ح</w:t>
      </w:r>
      <w:r w:rsidR="00B51549" w:rsidRPr="00282AC9">
        <w:rPr>
          <w:rFonts w:ascii="Arial" w:eastAsia="Calibri" w:hAnsi="Arial" w:hint="cs"/>
          <w:sz w:val="27"/>
          <w:rtl/>
          <w:lang w:bidi="ar-LB"/>
        </w:rPr>
        <w:t>ُ</w:t>
      </w:r>
      <w:r w:rsidRPr="00282AC9">
        <w:rPr>
          <w:rFonts w:ascii="Arial" w:eastAsia="Calibri" w:hAnsi="Arial"/>
          <w:sz w:val="27"/>
          <w:rtl/>
          <w:lang w:bidi="ar-LB"/>
        </w:rPr>
        <w:t>س</w:t>
      </w:r>
      <w:r w:rsidR="00B51549" w:rsidRPr="00282AC9">
        <w:rPr>
          <w:rFonts w:ascii="Arial" w:eastAsia="Calibri" w:hAnsi="Arial" w:hint="cs"/>
          <w:sz w:val="27"/>
          <w:rtl/>
          <w:lang w:bidi="ar-LB"/>
        </w:rPr>
        <w:t>ْ</w:t>
      </w:r>
      <w:r w:rsidRPr="00282AC9">
        <w:rPr>
          <w:rFonts w:ascii="Arial" w:eastAsia="Calibri" w:hAnsi="Arial"/>
          <w:sz w:val="27"/>
          <w:rtl/>
          <w:lang w:bidi="ar-LB"/>
        </w:rPr>
        <w:t>ن الاحتياط</w:t>
      </w:r>
      <w:r w:rsidRPr="00282AC9">
        <w:rPr>
          <w:rFonts w:ascii="Arial" w:eastAsia="Calibri" w:hAnsi="Arial" w:hint="cs"/>
          <w:sz w:val="27"/>
          <w:rtl/>
          <w:lang w:bidi="ar-LB"/>
        </w:rPr>
        <w:t xml:space="preserve"> </w:t>
      </w:r>
      <w:r w:rsidRPr="00282AC9">
        <w:rPr>
          <w:rFonts w:ascii="Arial" w:eastAsia="Calibri" w:hAnsi="Arial"/>
          <w:sz w:val="27"/>
          <w:rtl/>
          <w:lang w:bidi="ar-LB"/>
        </w:rPr>
        <w:t>عقلا</w:t>
      </w:r>
      <w:r w:rsidRPr="00282AC9">
        <w:rPr>
          <w:rFonts w:ascii="Arial" w:eastAsia="Calibri" w:hAnsi="Arial" w:hint="cs"/>
          <w:sz w:val="27"/>
          <w:rtl/>
          <w:lang w:bidi="ar-LB"/>
        </w:rPr>
        <w:t>ً</w:t>
      </w:r>
      <w:r w:rsidRPr="00282AC9">
        <w:rPr>
          <w:rFonts w:ascii="Arial" w:eastAsia="Calibri" w:hAnsi="Arial"/>
          <w:sz w:val="27"/>
          <w:rtl/>
          <w:lang w:bidi="ar-LB"/>
        </w:rPr>
        <w:t xml:space="preserve"> ملاكا</w:t>
      </w:r>
      <w:r w:rsidRPr="00282AC9">
        <w:rPr>
          <w:rFonts w:ascii="Arial" w:eastAsia="Calibri" w:hAnsi="Arial" w:hint="cs"/>
          <w:sz w:val="27"/>
          <w:rtl/>
          <w:lang w:bidi="ar-LB"/>
        </w:rPr>
        <w:t>ً</w:t>
      </w:r>
      <w:r w:rsidRPr="00282AC9">
        <w:rPr>
          <w:rFonts w:ascii="Arial" w:eastAsia="Calibri" w:hAnsi="Arial"/>
          <w:sz w:val="27"/>
          <w:rtl/>
          <w:lang w:bidi="ar-LB"/>
        </w:rPr>
        <w:t xml:space="preserve"> للثواب</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5"/>
      </w:r>
      <w:r w:rsidRPr="00282AC9">
        <w:rPr>
          <w:rFonts w:ascii="Arial" w:eastAsia="Calibri" w:hAnsi="Arial"/>
          <w:sz w:val="27"/>
          <w:vertAlign w:val="superscript"/>
          <w:rtl/>
          <w:lang w:bidi="ar-LB"/>
        </w:rPr>
        <w:t>)</w:t>
      </w:r>
      <w:r w:rsidRPr="00282AC9">
        <w:rPr>
          <w:rFonts w:ascii="Arial" w:eastAsia="Calibri" w:hAnsi="Arial" w:hint="cs"/>
          <w:sz w:val="27"/>
          <w:rtl/>
          <w:lang w:bidi="ar-LB"/>
        </w:rPr>
        <w:t>.</w:t>
      </w:r>
      <w:r w:rsidRPr="00282AC9">
        <w:rPr>
          <w:rFonts w:ascii="Arial" w:eastAsia="Calibri" w:hAnsi="Arial" w:hint="cs"/>
          <w:b/>
          <w:bCs/>
          <w:sz w:val="27"/>
          <w:rtl/>
          <w:lang w:bidi="ar-LB"/>
        </w:rPr>
        <w:t xml:space="preserve"> </w:t>
      </w:r>
      <w:r w:rsidRPr="00282AC9">
        <w:rPr>
          <w:rFonts w:ascii="Arial" w:eastAsia="Calibri" w:hAnsi="Arial" w:hint="cs"/>
          <w:sz w:val="27"/>
          <w:rtl/>
          <w:lang w:bidi="ar-LB"/>
        </w:rPr>
        <w:t>أجل، قد اعترض عليه السيد الشهيد في البحوث باعتراض</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آخر</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وهو أنه </w:t>
      </w:r>
      <w:r w:rsidRPr="00282AC9">
        <w:rPr>
          <w:rFonts w:hint="eastAsia"/>
          <w:sz w:val="24"/>
          <w:szCs w:val="24"/>
          <w:rtl/>
          <w:lang w:bidi="ar-LB"/>
        </w:rPr>
        <w:t>«</w:t>
      </w:r>
      <w:r w:rsidRPr="00282AC9">
        <w:rPr>
          <w:rFonts w:ascii="Arial" w:eastAsia="Calibri" w:hAnsi="Arial"/>
          <w:sz w:val="27"/>
          <w:rtl/>
          <w:lang w:bidi="ar-LB"/>
        </w:rPr>
        <w:t>خلاف ظاهر حال الخطاب الصادر من المولى في أنه صادر</w:t>
      </w:r>
      <w:r w:rsidR="00B51549" w:rsidRPr="00282AC9">
        <w:rPr>
          <w:rFonts w:ascii="Arial" w:eastAsia="Calibri" w:hAnsi="Arial" w:hint="cs"/>
          <w:sz w:val="27"/>
          <w:rtl/>
          <w:lang w:bidi="ar-LB"/>
        </w:rPr>
        <w:t>ٌ</w:t>
      </w:r>
      <w:r w:rsidRPr="00282AC9">
        <w:rPr>
          <w:rFonts w:ascii="Arial" w:eastAsia="Calibri" w:hAnsi="Arial"/>
          <w:sz w:val="27"/>
          <w:rtl/>
          <w:lang w:bidi="ar-LB"/>
        </w:rPr>
        <w:t xml:space="preserve"> عنه بما هو مولى</w:t>
      </w:r>
      <w:r w:rsidR="00B51549" w:rsidRPr="00282AC9">
        <w:rPr>
          <w:rFonts w:ascii="Arial" w:eastAsia="Calibri" w:hAnsi="Arial" w:hint="cs"/>
          <w:sz w:val="27"/>
          <w:rtl/>
          <w:lang w:bidi="ar-LB"/>
        </w:rPr>
        <w:t>،</w:t>
      </w:r>
      <w:r w:rsidRPr="00282AC9">
        <w:rPr>
          <w:rFonts w:ascii="Arial" w:eastAsia="Calibri" w:hAnsi="Arial"/>
          <w:sz w:val="27"/>
          <w:rtl/>
          <w:lang w:bidi="ar-LB"/>
        </w:rPr>
        <w:t xml:space="preserve"> لا بما هو عاقل</w:t>
      </w:r>
      <w:r w:rsidR="00B51549" w:rsidRPr="00282AC9">
        <w:rPr>
          <w:rFonts w:ascii="Arial" w:eastAsia="Calibri" w:hAnsi="Arial" w:hint="cs"/>
          <w:sz w:val="27"/>
          <w:rtl/>
          <w:lang w:bidi="ar-LB"/>
        </w:rPr>
        <w:t>ٌ</w:t>
      </w:r>
      <w:r w:rsidRPr="00282AC9">
        <w:rPr>
          <w:rFonts w:ascii="Arial" w:eastAsia="Calibri" w:hAnsi="Arial" w:hint="cs"/>
          <w:sz w:val="27"/>
          <w:rtl/>
          <w:lang w:bidi="ar-LB"/>
        </w:rPr>
        <w:t>،</w:t>
      </w:r>
      <w:r w:rsidRPr="00282AC9">
        <w:rPr>
          <w:rFonts w:ascii="Arial" w:eastAsia="Calibri" w:hAnsi="Arial"/>
          <w:sz w:val="27"/>
          <w:rtl/>
          <w:lang w:bidi="ar-LB"/>
        </w:rPr>
        <w:t xml:space="preserve"> سواء كان بلسان الأمر والطلب أو بلسان الو</w:t>
      </w:r>
      <w:r w:rsidR="00B51549" w:rsidRPr="00282AC9">
        <w:rPr>
          <w:rFonts w:ascii="Arial" w:eastAsia="Calibri" w:hAnsi="Arial" w:hint="cs"/>
          <w:sz w:val="27"/>
          <w:rtl/>
          <w:lang w:bidi="ar-LB"/>
        </w:rPr>
        <w:t>َ</w:t>
      </w:r>
      <w:r w:rsidRPr="00282AC9">
        <w:rPr>
          <w:rFonts w:ascii="Arial" w:eastAsia="Calibri" w:hAnsi="Arial"/>
          <w:sz w:val="27"/>
          <w:rtl/>
          <w:lang w:bidi="ar-LB"/>
        </w:rPr>
        <w:t>ع</w:t>
      </w:r>
      <w:r w:rsidR="00B51549" w:rsidRPr="00282AC9">
        <w:rPr>
          <w:rFonts w:ascii="Arial" w:eastAsia="Calibri" w:hAnsi="Arial" w:hint="cs"/>
          <w:sz w:val="27"/>
          <w:rtl/>
          <w:lang w:bidi="ar-LB"/>
        </w:rPr>
        <w:t>ْ</w:t>
      </w:r>
      <w:r w:rsidRPr="00282AC9">
        <w:rPr>
          <w:rFonts w:ascii="Arial" w:eastAsia="Calibri" w:hAnsi="Arial"/>
          <w:sz w:val="27"/>
          <w:rtl/>
          <w:lang w:bidi="ar-LB"/>
        </w:rPr>
        <w:t>د على الثواب</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6"/>
      </w:r>
      <w:r w:rsidRPr="00282AC9">
        <w:rPr>
          <w:rFonts w:ascii="Arial" w:eastAsia="Calibri" w:hAnsi="Arial"/>
          <w:sz w:val="27"/>
          <w:vertAlign w:val="superscript"/>
          <w:rtl/>
          <w:lang w:bidi="ar-LB"/>
        </w:rPr>
        <w:t>)</w:t>
      </w:r>
      <w:r w:rsidRPr="00282AC9">
        <w:rPr>
          <w:rFonts w:ascii="Arial" w:eastAsia="Calibri" w:hAnsi="Arial" w:hint="cs"/>
          <w:sz w:val="27"/>
          <w:rtl/>
          <w:lang w:bidi="ar-LB"/>
        </w:rPr>
        <w:t>.</w:t>
      </w:r>
    </w:p>
    <w:p w:rsidR="0098597F" w:rsidRPr="00282AC9" w:rsidRDefault="0098597F" w:rsidP="004F097E">
      <w:pPr>
        <w:rPr>
          <w:rFonts w:ascii="Arial" w:eastAsia="Calibri" w:hAnsi="Arial"/>
          <w:b/>
          <w:bCs/>
          <w:sz w:val="27"/>
          <w:rtl/>
          <w:lang w:bidi="ar-LB"/>
        </w:rPr>
      </w:pPr>
      <w:r w:rsidRPr="00282AC9">
        <w:rPr>
          <w:rFonts w:ascii="Arial" w:eastAsia="Calibri" w:hAnsi="Arial" w:hint="cs"/>
          <w:sz w:val="27"/>
          <w:rtl/>
          <w:lang w:bidi="ar-LB"/>
        </w:rPr>
        <w:t xml:space="preserve"> ولكن</w:t>
      </w:r>
      <w:r w:rsidR="00B51549" w:rsidRPr="00282AC9">
        <w:rPr>
          <w:rFonts w:ascii="Arial" w:eastAsia="Calibri" w:hAnsi="Arial" w:hint="cs"/>
          <w:sz w:val="27"/>
          <w:rtl/>
          <w:lang w:bidi="ar-LB"/>
        </w:rPr>
        <w:t>ّ</w:t>
      </w:r>
      <w:r w:rsidRPr="00282AC9">
        <w:rPr>
          <w:rFonts w:ascii="Arial" w:eastAsia="Calibri" w:hAnsi="Arial" w:hint="cs"/>
          <w:sz w:val="27"/>
          <w:rtl/>
          <w:lang w:bidi="ar-LB"/>
        </w:rPr>
        <w:t>ه في محل</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آخر (</w:t>
      </w:r>
      <w:r w:rsidR="00B51549" w:rsidRPr="00282AC9">
        <w:rPr>
          <w:rFonts w:ascii="Arial" w:eastAsia="Calibri" w:hAnsi="Arial" w:hint="cs"/>
          <w:sz w:val="27"/>
          <w:rtl/>
          <w:lang w:bidi="ar-LB"/>
        </w:rPr>
        <w:t xml:space="preserve">أي </w:t>
      </w:r>
      <w:r w:rsidRPr="00282AC9">
        <w:rPr>
          <w:rFonts w:ascii="Arial" w:eastAsia="Calibri" w:hAnsi="Arial" w:hint="cs"/>
          <w:sz w:val="27"/>
          <w:rtl/>
          <w:lang w:bidi="ar-LB"/>
        </w:rPr>
        <w:t xml:space="preserve">الحلقات) رأى أن هذا الاحتمال الثالث هو </w:t>
      </w:r>
      <w:r w:rsidRPr="00282AC9">
        <w:rPr>
          <w:rFonts w:ascii="Arial" w:eastAsia="Calibri" w:hAnsi="Arial"/>
          <w:sz w:val="27"/>
          <w:rtl/>
          <w:lang w:bidi="ar-LB"/>
        </w:rPr>
        <w:t xml:space="preserve">المتعين، </w:t>
      </w:r>
      <w:r w:rsidRPr="00282AC9">
        <w:rPr>
          <w:rFonts w:hint="eastAsia"/>
          <w:sz w:val="24"/>
          <w:szCs w:val="24"/>
          <w:rtl/>
          <w:lang w:bidi="ar-LB"/>
        </w:rPr>
        <w:t>«</w:t>
      </w:r>
      <w:r w:rsidRPr="00282AC9">
        <w:rPr>
          <w:rFonts w:ascii="Arial" w:eastAsia="Calibri" w:hAnsi="Arial"/>
          <w:sz w:val="27"/>
          <w:rtl/>
          <w:lang w:bidi="ar-LB"/>
        </w:rPr>
        <w:t>ولكن</w:t>
      </w:r>
      <w:r w:rsidR="00B51549" w:rsidRPr="00282AC9">
        <w:rPr>
          <w:rFonts w:ascii="Arial" w:eastAsia="Calibri" w:hAnsi="Arial" w:hint="cs"/>
          <w:sz w:val="27"/>
          <w:rtl/>
          <w:lang w:bidi="ar-LB"/>
        </w:rPr>
        <w:t>ْ</w:t>
      </w:r>
      <w:r w:rsidRPr="00282AC9">
        <w:rPr>
          <w:rFonts w:ascii="Arial" w:eastAsia="Calibri" w:hAnsi="Arial"/>
          <w:sz w:val="27"/>
          <w:rtl/>
          <w:lang w:bidi="ar-LB"/>
        </w:rPr>
        <w:t xml:space="preserve"> مع تطعيمه بالاحتمال</w:t>
      </w:r>
      <w:r w:rsidRPr="00282AC9">
        <w:rPr>
          <w:rFonts w:ascii="Arial" w:eastAsia="Calibri" w:hAnsi="Arial" w:hint="cs"/>
          <w:sz w:val="27"/>
          <w:rtl/>
          <w:lang w:bidi="ar-LB"/>
        </w:rPr>
        <w:t xml:space="preserve"> </w:t>
      </w:r>
      <w:r w:rsidRPr="00282AC9">
        <w:rPr>
          <w:rFonts w:ascii="Arial" w:eastAsia="Calibri" w:hAnsi="Arial"/>
          <w:sz w:val="27"/>
          <w:rtl/>
          <w:lang w:bidi="ar-LB"/>
        </w:rPr>
        <w:t>الرابع</w:t>
      </w:r>
      <w:r w:rsidR="00B51549" w:rsidRPr="00282AC9">
        <w:rPr>
          <w:rFonts w:ascii="Arial" w:eastAsia="Calibri" w:hAnsi="Arial" w:hint="cs"/>
          <w:sz w:val="27"/>
          <w:rtl/>
          <w:lang w:bidi="ar-LB"/>
        </w:rPr>
        <w:t>؛</w:t>
      </w:r>
      <w:r w:rsidRPr="00282AC9">
        <w:rPr>
          <w:rFonts w:ascii="Arial" w:eastAsia="Calibri" w:hAnsi="Arial"/>
          <w:sz w:val="27"/>
          <w:rtl/>
          <w:lang w:bidi="ar-LB"/>
        </w:rPr>
        <w:t xml:space="preserve"> ل</w:t>
      </w:r>
      <w:r w:rsidRPr="00282AC9">
        <w:rPr>
          <w:rFonts w:ascii="Arial" w:eastAsia="Calibri" w:hAnsi="Arial" w:hint="cs"/>
          <w:sz w:val="27"/>
          <w:rtl/>
          <w:lang w:bidi="ar-LB"/>
        </w:rPr>
        <w:t>أ</w:t>
      </w:r>
      <w:r w:rsidRPr="00282AC9">
        <w:rPr>
          <w:rFonts w:ascii="Arial" w:eastAsia="Calibri" w:hAnsi="Arial"/>
          <w:sz w:val="27"/>
          <w:rtl/>
          <w:lang w:bidi="ar-LB"/>
        </w:rPr>
        <w:t>ن الاحتمال الثالث بمفرده لا يفس</w:t>
      </w:r>
      <w:r w:rsidR="00B51549" w:rsidRPr="00282AC9">
        <w:rPr>
          <w:rFonts w:ascii="Arial" w:eastAsia="Calibri" w:hAnsi="Arial" w:hint="cs"/>
          <w:sz w:val="27"/>
          <w:rtl/>
          <w:lang w:bidi="ar-LB"/>
        </w:rPr>
        <w:t>ِّ</w:t>
      </w:r>
      <w:r w:rsidRPr="00282AC9">
        <w:rPr>
          <w:rFonts w:ascii="Arial" w:eastAsia="Calibri" w:hAnsi="Arial"/>
          <w:sz w:val="27"/>
          <w:rtl/>
          <w:lang w:bidi="ar-LB"/>
        </w:rPr>
        <w:t>ر إعطاء العامل نفس الثواب الذي</w:t>
      </w:r>
      <w:r w:rsidRPr="00282AC9">
        <w:rPr>
          <w:rFonts w:ascii="Arial" w:eastAsia="Calibri" w:hAnsi="Arial" w:hint="cs"/>
          <w:sz w:val="27"/>
          <w:rtl/>
          <w:lang w:bidi="ar-LB"/>
        </w:rPr>
        <w:t xml:space="preserve"> </w:t>
      </w:r>
      <w:r w:rsidRPr="00282AC9">
        <w:rPr>
          <w:rFonts w:ascii="Arial" w:eastAsia="Calibri" w:hAnsi="Arial"/>
          <w:sz w:val="27"/>
          <w:rtl/>
          <w:lang w:bidi="ar-LB"/>
        </w:rPr>
        <w:t>بلغه</w:t>
      </w:r>
      <w:r w:rsidR="00B51549" w:rsidRPr="00282AC9">
        <w:rPr>
          <w:rFonts w:ascii="Arial" w:eastAsia="Calibri" w:hAnsi="Arial" w:hint="cs"/>
          <w:sz w:val="27"/>
          <w:rtl/>
          <w:lang w:bidi="ar-LB"/>
        </w:rPr>
        <w:t>؛</w:t>
      </w:r>
      <w:r w:rsidRPr="00282AC9">
        <w:rPr>
          <w:rFonts w:ascii="Arial" w:eastAsia="Calibri" w:hAnsi="Arial"/>
          <w:sz w:val="27"/>
          <w:rtl/>
          <w:lang w:bidi="ar-LB"/>
        </w:rPr>
        <w:t xml:space="preserve"> ل</w:t>
      </w:r>
      <w:r w:rsidRPr="00282AC9">
        <w:rPr>
          <w:rFonts w:ascii="Arial" w:eastAsia="Calibri" w:hAnsi="Arial" w:hint="cs"/>
          <w:sz w:val="27"/>
          <w:rtl/>
          <w:lang w:bidi="ar-LB"/>
        </w:rPr>
        <w:t>أ</w:t>
      </w:r>
      <w:r w:rsidRPr="00282AC9">
        <w:rPr>
          <w:rFonts w:ascii="Arial" w:eastAsia="Calibri" w:hAnsi="Arial"/>
          <w:sz w:val="27"/>
          <w:rtl/>
          <w:lang w:bidi="ar-LB"/>
        </w:rPr>
        <w:t>ن</w:t>
      </w:r>
      <w:r w:rsidRPr="00282AC9">
        <w:rPr>
          <w:rFonts w:ascii="Arial" w:eastAsia="Calibri" w:hAnsi="Arial" w:hint="cs"/>
          <w:sz w:val="27"/>
          <w:rtl/>
          <w:lang w:bidi="ar-LB"/>
        </w:rPr>
        <w:t>ّ</w:t>
      </w:r>
      <w:r w:rsidRPr="00282AC9">
        <w:rPr>
          <w:rFonts w:ascii="Arial" w:eastAsia="Calibri" w:hAnsi="Arial"/>
          <w:sz w:val="27"/>
          <w:rtl/>
          <w:lang w:bidi="ar-LB"/>
        </w:rPr>
        <w:t xml:space="preserve"> العقل إنما يحكم باستحقاق العامل للثواب</w:t>
      </w:r>
      <w:r w:rsidRPr="00282AC9">
        <w:rPr>
          <w:rFonts w:ascii="Arial" w:eastAsia="Calibri" w:hAnsi="Arial" w:hint="cs"/>
          <w:sz w:val="27"/>
          <w:rtl/>
          <w:lang w:bidi="ar-LB"/>
        </w:rPr>
        <w:t>،</w:t>
      </w:r>
      <w:r w:rsidRPr="00282AC9">
        <w:rPr>
          <w:rFonts w:ascii="Arial" w:eastAsia="Calibri" w:hAnsi="Arial"/>
          <w:sz w:val="27"/>
          <w:rtl/>
          <w:lang w:bidi="ar-LB"/>
        </w:rPr>
        <w:t xml:space="preserve"> لا شخص ذلك</w:t>
      </w:r>
      <w:r w:rsidRPr="00282AC9">
        <w:rPr>
          <w:rFonts w:ascii="Arial" w:eastAsia="Calibri" w:hAnsi="Arial" w:hint="cs"/>
          <w:sz w:val="27"/>
          <w:rtl/>
          <w:lang w:bidi="ar-LB"/>
        </w:rPr>
        <w:t xml:space="preserve"> </w:t>
      </w:r>
      <w:r w:rsidRPr="00282AC9">
        <w:rPr>
          <w:rFonts w:ascii="Arial" w:eastAsia="Calibri" w:hAnsi="Arial"/>
          <w:sz w:val="27"/>
          <w:rtl/>
          <w:lang w:bidi="ar-LB"/>
        </w:rPr>
        <w:t>الثواب، ف</w:t>
      </w:r>
      <w:r w:rsidR="00674EF5" w:rsidRPr="00282AC9">
        <w:rPr>
          <w:rFonts w:ascii="Arial" w:eastAsia="Calibri" w:hAnsi="Arial"/>
          <w:sz w:val="27"/>
          <w:rtl/>
          <w:lang w:bidi="ar-LB"/>
        </w:rPr>
        <w:t>لا بُدَّ</w:t>
      </w:r>
      <w:r w:rsidRPr="00282AC9">
        <w:rPr>
          <w:rFonts w:ascii="Arial" w:eastAsia="Calibri" w:hAnsi="Arial"/>
          <w:sz w:val="27"/>
          <w:rtl/>
          <w:lang w:bidi="ar-LB"/>
        </w:rPr>
        <w:t xml:space="preserve"> من الالتزام بأن هذه الخصوصي</w:t>
      </w:r>
      <w:r w:rsidR="00B51549" w:rsidRPr="00282AC9">
        <w:rPr>
          <w:rFonts w:ascii="Arial" w:eastAsia="Calibri" w:hAnsi="Arial" w:hint="cs"/>
          <w:sz w:val="27"/>
          <w:rtl/>
          <w:lang w:bidi="ar-LB"/>
        </w:rPr>
        <w:t>ّ</w:t>
      </w:r>
      <w:r w:rsidRPr="00282AC9">
        <w:rPr>
          <w:rFonts w:ascii="Arial" w:eastAsia="Calibri" w:hAnsi="Arial"/>
          <w:sz w:val="27"/>
          <w:rtl/>
          <w:lang w:bidi="ar-LB"/>
        </w:rPr>
        <w:t>ة مرد</w:t>
      </w:r>
      <w:r w:rsidR="00B51549" w:rsidRPr="00282AC9">
        <w:rPr>
          <w:rFonts w:ascii="Arial" w:eastAsia="Calibri" w:hAnsi="Arial" w:hint="cs"/>
          <w:sz w:val="27"/>
          <w:rtl/>
          <w:lang w:bidi="ar-LB"/>
        </w:rPr>
        <w:t>ُّ</w:t>
      </w:r>
      <w:r w:rsidRPr="00282AC9">
        <w:rPr>
          <w:rFonts w:ascii="Arial" w:eastAsia="Calibri" w:hAnsi="Arial"/>
          <w:sz w:val="27"/>
          <w:rtl/>
          <w:lang w:bidi="ar-LB"/>
        </w:rPr>
        <w:t>ها إلى و</w:t>
      </w:r>
      <w:r w:rsidR="00B51549" w:rsidRPr="00282AC9">
        <w:rPr>
          <w:rFonts w:ascii="Arial" w:eastAsia="Calibri" w:hAnsi="Arial" w:hint="cs"/>
          <w:sz w:val="27"/>
          <w:rtl/>
          <w:lang w:bidi="ar-LB"/>
        </w:rPr>
        <w:t>َ</w:t>
      </w:r>
      <w:r w:rsidRPr="00282AC9">
        <w:rPr>
          <w:rFonts w:ascii="Arial" w:eastAsia="Calibri" w:hAnsi="Arial"/>
          <w:sz w:val="27"/>
          <w:rtl/>
          <w:lang w:bidi="ar-LB"/>
        </w:rPr>
        <w:t>ع</w:t>
      </w:r>
      <w:r w:rsidR="00B51549" w:rsidRPr="00282AC9">
        <w:rPr>
          <w:rFonts w:ascii="Arial" w:eastAsia="Calibri" w:hAnsi="Arial" w:hint="cs"/>
          <w:sz w:val="27"/>
          <w:rtl/>
          <w:lang w:bidi="ar-LB"/>
        </w:rPr>
        <w:t>ْ</w:t>
      </w:r>
      <w:r w:rsidRPr="00282AC9">
        <w:rPr>
          <w:rFonts w:ascii="Arial" w:eastAsia="Calibri" w:hAnsi="Arial"/>
          <w:sz w:val="27"/>
          <w:rtl/>
          <w:lang w:bidi="ar-LB"/>
        </w:rPr>
        <w:t>د</w:t>
      </w:r>
      <w:r w:rsidR="00B51549" w:rsidRPr="00282AC9">
        <w:rPr>
          <w:rFonts w:ascii="Arial" w:eastAsia="Calibri" w:hAnsi="Arial" w:hint="cs"/>
          <w:sz w:val="27"/>
          <w:rtl/>
          <w:lang w:bidi="ar-LB"/>
        </w:rPr>
        <w:t>ٍ</w:t>
      </w:r>
      <w:r w:rsidRPr="00282AC9">
        <w:rPr>
          <w:rFonts w:ascii="Arial" w:eastAsia="Calibri" w:hAnsi="Arial"/>
          <w:sz w:val="27"/>
          <w:rtl/>
          <w:lang w:bidi="ar-LB"/>
        </w:rPr>
        <w:t xml:space="preserve"> مولوي</w:t>
      </w:r>
      <w:r w:rsidR="00B51549" w:rsidRPr="00282AC9">
        <w:rPr>
          <w:rFonts w:ascii="Arial" w:eastAsia="Calibri" w:hAnsi="Arial" w:hint="cs"/>
          <w:sz w:val="27"/>
          <w:rtl/>
          <w:lang w:bidi="ar-LB"/>
        </w:rPr>
        <w:t>ّ</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7"/>
      </w:r>
      <w:r w:rsidRPr="00282AC9">
        <w:rPr>
          <w:rFonts w:ascii="Arial" w:eastAsia="Calibri" w:hAnsi="Arial"/>
          <w:sz w:val="27"/>
          <w:vertAlign w:val="superscript"/>
          <w:rtl/>
          <w:lang w:bidi="ar-LB"/>
        </w:rPr>
        <w:t>)</w:t>
      </w:r>
      <w:r w:rsidRPr="00282AC9">
        <w:rPr>
          <w:rFonts w:ascii="Arial" w:eastAsia="Calibri" w:hAnsi="Arial" w:hint="cs"/>
          <w:sz w:val="27"/>
          <w:rtl/>
          <w:lang w:bidi="ar-LB"/>
        </w:rPr>
        <w:t>. وما تضم</w:t>
      </w:r>
      <w:r w:rsidR="00B51549" w:rsidRPr="00282AC9">
        <w:rPr>
          <w:rFonts w:ascii="Arial" w:eastAsia="Calibri" w:hAnsi="Arial" w:hint="cs"/>
          <w:sz w:val="27"/>
          <w:rtl/>
          <w:lang w:bidi="ar-LB"/>
        </w:rPr>
        <w:t>َّ</w:t>
      </w:r>
      <w:r w:rsidRPr="00282AC9">
        <w:rPr>
          <w:rFonts w:ascii="Arial" w:eastAsia="Calibri" w:hAnsi="Arial" w:hint="cs"/>
          <w:sz w:val="27"/>
          <w:rtl/>
          <w:lang w:bidi="ar-LB"/>
        </w:rPr>
        <w:t>نه الخبر من و</w:t>
      </w:r>
      <w:r w:rsidR="00B51549" w:rsidRPr="00282AC9">
        <w:rPr>
          <w:rFonts w:ascii="Arial" w:eastAsia="Calibri" w:hAnsi="Arial" w:hint="cs"/>
          <w:sz w:val="27"/>
          <w:rtl/>
          <w:lang w:bidi="ar-LB"/>
        </w:rPr>
        <w:t>َ</w:t>
      </w:r>
      <w:r w:rsidRPr="00282AC9">
        <w:rPr>
          <w:rFonts w:ascii="Arial" w:eastAsia="Calibri" w:hAnsi="Arial" w:hint="cs"/>
          <w:sz w:val="27"/>
          <w:rtl/>
          <w:lang w:bidi="ar-LB"/>
        </w:rPr>
        <w:t>ع</w:t>
      </w:r>
      <w:r w:rsidR="00B51549" w:rsidRPr="00282AC9">
        <w:rPr>
          <w:rFonts w:ascii="Arial" w:eastAsia="Calibri" w:hAnsi="Arial" w:hint="cs"/>
          <w:sz w:val="27"/>
          <w:rtl/>
          <w:lang w:bidi="ar-LB"/>
        </w:rPr>
        <w:t>ْ</w:t>
      </w:r>
      <w:r w:rsidRPr="00282AC9">
        <w:rPr>
          <w:rFonts w:ascii="Arial" w:eastAsia="Calibri" w:hAnsi="Arial" w:hint="cs"/>
          <w:sz w:val="27"/>
          <w:rtl/>
          <w:lang w:bidi="ar-LB"/>
        </w:rPr>
        <w:t>د</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مولوي</w:t>
      </w:r>
      <w:r w:rsidR="00B51549" w:rsidRPr="00282AC9">
        <w:rPr>
          <w:rFonts w:ascii="Arial" w:eastAsia="Calibri" w:hAnsi="Arial" w:hint="cs"/>
          <w:sz w:val="27"/>
          <w:rtl/>
          <w:lang w:bidi="ar-LB"/>
        </w:rPr>
        <w:t>ّ</w:t>
      </w:r>
      <w:r w:rsidRPr="00282AC9">
        <w:rPr>
          <w:rFonts w:ascii="Arial" w:eastAsia="Calibri" w:hAnsi="Arial" w:hint="cs"/>
          <w:sz w:val="27"/>
          <w:rtl/>
          <w:lang w:bidi="ar-LB"/>
        </w:rPr>
        <w:t xml:space="preserve"> بالثواب هو ما يكفي لرد</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ما اعترض به السيد في البحوث على هذا الوجه</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بمخالفته للظاهر من الحديث في كون الخطاب صادراً عنه بصفته المولوي</w:t>
      </w:r>
      <w:r w:rsidR="00D35986" w:rsidRPr="00282AC9">
        <w:rPr>
          <w:rFonts w:ascii="Arial" w:eastAsia="Calibri" w:hAnsi="Arial" w:hint="cs"/>
          <w:sz w:val="27"/>
          <w:rtl/>
          <w:lang w:bidi="ar-LB"/>
        </w:rPr>
        <w:t>ّ</w:t>
      </w:r>
      <w:r w:rsidRPr="00282AC9">
        <w:rPr>
          <w:rFonts w:ascii="Arial" w:eastAsia="Calibri" w:hAnsi="Arial" w:hint="cs"/>
          <w:sz w:val="27"/>
          <w:rtl/>
          <w:lang w:bidi="ar-LB"/>
        </w:rPr>
        <w:t>ة، لا بصفته عاقلاً، فإنّ المولوية هي في هذا الو</w:t>
      </w:r>
      <w:r w:rsidR="00D35986" w:rsidRPr="00282AC9">
        <w:rPr>
          <w:rFonts w:ascii="Arial" w:eastAsia="Calibri" w:hAnsi="Arial" w:hint="cs"/>
          <w:sz w:val="27"/>
          <w:rtl/>
          <w:lang w:bidi="ar-LB"/>
        </w:rPr>
        <w:t>َ</w:t>
      </w:r>
      <w:r w:rsidRPr="00282AC9">
        <w:rPr>
          <w:rFonts w:ascii="Arial" w:eastAsia="Calibri" w:hAnsi="Arial" w:hint="cs"/>
          <w:sz w:val="27"/>
          <w:rtl/>
          <w:lang w:bidi="ar-LB"/>
        </w:rPr>
        <w:t>ع</w:t>
      </w:r>
      <w:r w:rsidR="00D35986" w:rsidRPr="00282AC9">
        <w:rPr>
          <w:rFonts w:ascii="Arial" w:eastAsia="Calibri" w:hAnsi="Arial" w:hint="cs"/>
          <w:sz w:val="27"/>
          <w:rtl/>
          <w:lang w:bidi="ar-LB"/>
        </w:rPr>
        <w:t>ْ</w:t>
      </w:r>
      <w:r w:rsidRPr="00282AC9">
        <w:rPr>
          <w:rFonts w:ascii="Arial" w:eastAsia="Calibri" w:hAnsi="Arial" w:hint="cs"/>
          <w:sz w:val="27"/>
          <w:rtl/>
          <w:lang w:bidi="ar-LB"/>
        </w:rPr>
        <w:t>د بالثواب المحد</w:t>
      </w:r>
      <w:r w:rsidR="00D35986" w:rsidRPr="00282AC9">
        <w:rPr>
          <w:rFonts w:ascii="Arial" w:eastAsia="Calibri" w:hAnsi="Arial" w:hint="cs"/>
          <w:sz w:val="27"/>
          <w:rtl/>
          <w:lang w:bidi="ar-LB"/>
        </w:rPr>
        <w:t>َّ</w:t>
      </w:r>
      <w:r w:rsidRPr="00282AC9">
        <w:rPr>
          <w:rFonts w:ascii="Arial" w:eastAsia="Calibri" w:hAnsi="Arial" w:hint="cs"/>
          <w:sz w:val="27"/>
          <w:rtl/>
          <w:lang w:bidi="ar-LB"/>
        </w:rPr>
        <w:t>د</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لأن العقل لا يضمن للعبد مقدار الثواب على انقياده، وإنما الذي يعرف ذلك المقدار ويضمنه للعبد هو المولى عزّ</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وجل</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وأما الرابع</w:t>
      </w:r>
      <w:r w:rsidRPr="00282AC9">
        <w:rPr>
          <w:rFonts w:ascii="Arial" w:eastAsia="Calibri" w:hAnsi="Arial" w:hint="cs"/>
          <w:sz w:val="27"/>
          <w:rtl/>
          <w:lang w:bidi="ar-LB"/>
        </w:rPr>
        <w:t xml:space="preserve"> فقد ردّ</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ه السيد الشهيد في البحوث بأنّه </w:t>
      </w:r>
      <w:r w:rsidRPr="00282AC9">
        <w:rPr>
          <w:rFonts w:hint="eastAsia"/>
          <w:sz w:val="24"/>
          <w:szCs w:val="24"/>
          <w:rtl/>
          <w:lang w:bidi="ar-LB"/>
        </w:rPr>
        <w:t>«</w:t>
      </w:r>
      <w:r w:rsidRPr="00282AC9">
        <w:rPr>
          <w:rFonts w:ascii="Arial" w:eastAsia="Calibri" w:hAnsi="Arial"/>
          <w:sz w:val="27"/>
          <w:rtl/>
          <w:lang w:bidi="ar-LB"/>
        </w:rPr>
        <w:t>خلاف ظهورها في أنها بصدد الحث</w:t>
      </w:r>
      <w:r w:rsidRPr="00282AC9">
        <w:rPr>
          <w:rFonts w:ascii="Arial" w:eastAsia="Calibri" w:hAnsi="Arial" w:hint="cs"/>
          <w:sz w:val="27"/>
          <w:rtl/>
          <w:lang w:bidi="ar-LB"/>
        </w:rPr>
        <w:t xml:space="preserve">ّ </w:t>
      </w:r>
      <w:r w:rsidRPr="00282AC9">
        <w:rPr>
          <w:rFonts w:ascii="Arial" w:eastAsia="Calibri" w:hAnsi="Arial"/>
          <w:sz w:val="27"/>
          <w:rtl/>
          <w:lang w:bidi="ar-LB"/>
        </w:rPr>
        <w:t>والترغيب والطلب</w:t>
      </w:r>
      <w:r w:rsidR="00D35986" w:rsidRPr="00282AC9">
        <w:rPr>
          <w:rFonts w:ascii="Arial" w:eastAsia="Calibri" w:hAnsi="Arial" w:hint="cs"/>
          <w:sz w:val="27"/>
          <w:rtl/>
          <w:lang w:bidi="ar-LB"/>
        </w:rPr>
        <w:t>،</w:t>
      </w:r>
      <w:r w:rsidRPr="00282AC9">
        <w:rPr>
          <w:rFonts w:ascii="Arial" w:eastAsia="Calibri" w:hAnsi="Arial"/>
          <w:sz w:val="27"/>
          <w:rtl/>
          <w:lang w:bidi="ar-LB"/>
        </w:rPr>
        <w:t xml:space="preserve"> لا مجرد ال</w:t>
      </w:r>
      <w:r w:rsidRPr="00282AC9">
        <w:rPr>
          <w:rFonts w:ascii="Arial" w:eastAsia="Calibri" w:hAnsi="Arial" w:hint="cs"/>
          <w:sz w:val="27"/>
          <w:rtl/>
          <w:lang w:bidi="ar-LB"/>
        </w:rPr>
        <w:t>إ</w:t>
      </w:r>
      <w:r w:rsidRPr="00282AC9">
        <w:rPr>
          <w:rFonts w:ascii="Arial" w:eastAsia="Calibri" w:hAnsi="Arial"/>
          <w:sz w:val="27"/>
          <w:rtl/>
          <w:lang w:bidi="ar-LB"/>
        </w:rPr>
        <w:t>خبار أو الو</w:t>
      </w:r>
      <w:r w:rsidR="00D35986" w:rsidRPr="00282AC9">
        <w:rPr>
          <w:rFonts w:ascii="Arial" w:eastAsia="Calibri" w:hAnsi="Arial" w:hint="cs"/>
          <w:sz w:val="27"/>
          <w:rtl/>
          <w:lang w:bidi="ar-LB"/>
        </w:rPr>
        <w:t>َ</w:t>
      </w:r>
      <w:r w:rsidRPr="00282AC9">
        <w:rPr>
          <w:rFonts w:ascii="Arial" w:eastAsia="Calibri" w:hAnsi="Arial"/>
          <w:sz w:val="27"/>
          <w:rtl/>
          <w:lang w:bidi="ar-LB"/>
        </w:rPr>
        <w:t>ع</w:t>
      </w:r>
      <w:r w:rsidR="00D35986" w:rsidRPr="00282AC9">
        <w:rPr>
          <w:rFonts w:ascii="Arial" w:eastAsia="Calibri" w:hAnsi="Arial" w:hint="cs"/>
          <w:sz w:val="27"/>
          <w:rtl/>
          <w:lang w:bidi="ar-LB"/>
        </w:rPr>
        <w:t>ْ</w:t>
      </w:r>
      <w:r w:rsidRPr="00282AC9">
        <w:rPr>
          <w:rFonts w:ascii="Arial" w:eastAsia="Calibri" w:hAnsi="Arial"/>
          <w:sz w:val="27"/>
          <w:rtl/>
          <w:lang w:bidi="ar-LB"/>
        </w:rPr>
        <w:t>د الص</w:t>
      </w:r>
      <w:r w:rsidR="00D35986" w:rsidRPr="00282AC9">
        <w:rPr>
          <w:rFonts w:ascii="Arial" w:eastAsia="Calibri" w:hAnsi="Arial" w:hint="cs"/>
          <w:sz w:val="27"/>
          <w:rtl/>
          <w:lang w:bidi="ar-LB"/>
        </w:rPr>
        <w:t>ِّ</w:t>
      </w:r>
      <w:r w:rsidRPr="00282AC9">
        <w:rPr>
          <w:rFonts w:ascii="Arial" w:eastAsia="Calibri" w:hAnsi="Arial"/>
          <w:sz w:val="27"/>
          <w:rtl/>
          <w:lang w:bidi="ar-LB"/>
        </w:rPr>
        <w:t>ر</w:t>
      </w:r>
      <w:r w:rsidR="00D35986" w:rsidRPr="00282AC9">
        <w:rPr>
          <w:rFonts w:ascii="Arial" w:eastAsia="Calibri" w:hAnsi="Arial" w:hint="cs"/>
          <w:sz w:val="27"/>
          <w:rtl/>
          <w:lang w:bidi="ar-LB"/>
        </w:rPr>
        <w:t>ْ</w:t>
      </w:r>
      <w:r w:rsidRPr="00282AC9">
        <w:rPr>
          <w:rFonts w:ascii="Arial" w:eastAsia="Calibri" w:hAnsi="Arial"/>
          <w:sz w:val="27"/>
          <w:rtl/>
          <w:lang w:bidi="ar-LB"/>
        </w:rPr>
        <w:t>ف</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8"/>
      </w:r>
      <w:r w:rsidRPr="00282AC9">
        <w:rPr>
          <w:rFonts w:ascii="Arial" w:eastAsia="Calibri" w:hAnsi="Arial"/>
          <w:sz w:val="27"/>
          <w:vertAlign w:val="superscript"/>
          <w:rtl/>
          <w:lang w:bidi="ar-LB"/>
        </w:rPr>
        <w:t>)</w:t>
      </w:r>
      <w:r w:rsidRPr="00282AC9">
        <w:rPr>
          <w:rFonts w:ascii="Arial" w:eastAsia="Calibri" w:hAnsi="Arial" w:hint="cs"/>
          <w:sz w:val="27"/>
          <w:rtl/>
          <w:lang w:bidi="ar-LB"/>
        </w:rPr>
        <w:t xml:space="preserve">. </w:t>
      </w:r>
    </w:p>
    <w:p w:rsidR="0098597F" w:rsidRPr="00282AC9" w:rsidRDefault="0098597F" w:rsidP="004F097E">
      <w:pPr>
        <w:rPr>
          <w:rFonts w:ascii="Arial" w:eastAsia="Calibri" w:hAnsi="Arial"/>
          <w:sz w:val="27"/>
          <w:rtl/>
          <w:lang w:bidi="ar-LB"/>
        </w:rPr>
      </w:pPr>
      <w:r w:rsidRPr="00282AC9">
        <w:rPr>
          <w:rFonts w:ascii="Arial" w:eastAsia="Calibri" w:hAnsi="Arial" w:hint="cs"/>
          <w:sz w:val="27"/>
          <w:rtl/>
          <w:lang w:bidi="ar-LB"/>
        </w:rPr>
        <w:t>وقد عرف</w:t>
      </w:r>
      <w:r w:rsidR="00D35986" w:rsidRPr="00282AC9">
        <w:rPr>
          <w:rFonts w:ascii="Arial" w:eastAsia="Calibri" w:hAnsi="Arial" w:hint="cs"/>
          <w:sz w:val="27"/>
          <w:rtl/>
          <w:lang w:bidi="ar-LB"/>
        </w:rPr>
        <w:t>ْ</w:t>
      </w:r>
      <w:r w:rsidRPr="00282AC9">
        <w:rPr>
          <w:rFonts w:ascii="Arial" w:eastAsia="Calibri" w:hAnsi="Arial" w:hint="cs"/>
          <w:sz w:val="27"/>
          <w:rtl/>
          <w:lang w:bidi="ar-LB"/>
        </w:rPr>
        <w:t>ت</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للتو</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أنّ هذا الوجه يصلح لتتميم الوجه الثالث</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ليغدو المقصود بأخبار </w:t>
      </w:r>
      <w:r w:rsidRPr="00282AC9">
        <w:rPr>
          <w:rFonts w:hint="eastAsia"/>
          <w:sz w:val="24"/>
          <w:szCs w:val="24"/>
          <w:rtl/>
          <w:lang w:bidi="ar-LB"/>
        </w:rPr>
        <w:t>«</w:t>
      </w:r>
      <w:r w:rsidRPr="00282AC9">
        <w:rPr>
          <w:rFonts w:ascii="Arial" w:eastAsia="Calibri" w:hAnsi="Arial" w:hint="cs"/>
          <w:sz w:val="27"/>
          <w:rtl/>
          <w:lang w:bidi="ar-LB"/>
        </w:rPr>
        <w:t>م</w:t>
      </w:r>
      <w:r w:rsidR="00D35986" w:rsidRPr="00282AC9">
        <w:rPr>
          <w:rFonts w:ascii="Arial" w:eastAsia="Calibri" w:hAnsi="Arial" w:hint="cs"/>
          <w:sz w:val="27"/>
          <w:rtl/>
          <w:lang w:bidi="ar-LB"/>
        </w:rPr>
        <w:t>َ</w:t>
      </w:r>
      <w:r w:rsidRPr="00282AC9">
        <w:rPr>
          <w:rFonts w:ascii="Arial" w:eastAsia="Calibri" w:hAnsi="Arial" w:hint="cs"/>
          <w:sz w:val="27"/>
          <w:rtl/>
          <w:lang w:bidi="ar-LB"/>
        </w:rPr>
        <w:t>ن</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بلغ</w:t>
      </w:r>
      <w:r w:rsidRPr="00282AC9">
        <w:rPr>
          <w:rFonts w:hint="eastAsia"/>
          <w:sz w:val="24"/>
          <w:szCs w:val="24"/>
          <w:rtl/>
        </w:rPr>
        <w:t>»</w:t>
      </w:r>
      <w:r w:rsidRPr="00282AC9">
        <w:rPr>
          <w:rFonts w:ascii="Arial" w:eastAsia="Calibri" w:hAnsi="Arial" w:hint="cs"/>
          <w:sz w:val="27"/>
          <w:rtl/>
          <w:lang w:bidi="ar-LB"/>
        </w:rPr>
        <w:t xml:space="preserve"> تقديم وإعطاء </w:t>
      </w:r>
      <w:r w:rsidRPr="00282AC9">
        <w:rPr>
          <w:rFonts w:ascii="Arial" w:eastAsia="Calibri" w:hAnsi="Arial"/>
          <w:sz w:val="27"/>
          <w:rtl/>
          <w:lang w:bidi="ar-LB"/>
        </w:rPr>
        <w:t>و</w:t>
      </w:r>
      <w:r w:rsidR="00D35986" w:rsidRPr="00282AC9">
        <w:rPr>
          <w:rFonts w:ascii="Arial" w:eastAsia="Calibri" w:hAnsi="Arial" w:hint="cs"/>
          <w:sz w:val="27"/>
          <w:rtl/>
          <w:lang w:bidi="ar-LB"/>
        </w:rPr>
        <w:t>َ</w:t>
      </w:r>
      <w:r w:rsidRPr="00282AC9">
        <w:rPr>
          <w:rFonts w:ascii="Arial" w:eastAsia="Calibri" w:hAnsi="Arial"/>
          <w:sz w:val="27"/>
          <w:rtl/>
          <w:lang w:bidi="ar-LB"/>
        </w:rPr>
        <w:t>ع</w:t>
      </w:r>
      <w:r w:rsidR="00D35986" w:rsidRPr="00282AC9">
        <w:rPr>
          <w:rFonts w:ascii="Arial" w:eastAsia="Calibri" w:hAnsi="Arial" w:hint="cs"/>
          <w:sz w:val="27"/>
          <w:rtl/>
          <w:lang w:bidi="ar-LB"/>
        </w:rPr>
        <w:t>ْ</w:t>
      </w:r>
      <w:r w:rsidRPr="00282AC9">
        <w:rPr>
          <w:rFonts w:ascii="Arial" w:eastAsia="Calibri" w:hAnsi="Arial"/>
          <w:sz w:val="27"/>
          <w:rtl/>
          <w:lang w:bidi="ar-LB"/>
        </w:rPr>
        <w:t>د</w:t>
      </w:r>
      <w:r w:rsidRPr="00282AC9">
        <w:rPr>
          <w:rFonts w:ascii="Arial" w:eastAsia="Calibri" w:hAnsi="Arial" w:hint="cs"/>
          <w:sz w:val="27"/>
          <w:rtl/>
          <w:lang w:bidi="ar-LB"/>
        </w:rPr>
        <w:t>ٍ</w:t>
      </w:r>
      <w:r w:rsidRPr="00282AC9">
        <w:rPr>
          <w:rFonts w:ascii="Arial" w:eastAsia="Calibri" w:hAnsi="Arial"/>
          <w:sz w:val="27"/>
          <w:rtl/>
          <w:lang w:bidi="ar-LB"/>
        </w:rPr>
        <w:t xml:space="preserve"> مولوي</w:t>
      </w:r>
      <w:r w:rsidR="00D35986" w:rsidRPr="00282AC9">
        <w:rPr>
          <w:rFonts w:ascii="Arial" w:eastAsia="Calibri" w:hAnsi="Arial" w:hint="cs"/>
          <w:sz w:val="27"/>
          <w:rtl/>
          <w:lang w:bidi="ar-LB"/>
        </w:rPr>
        <w:t>ٍّ</w:t>
      </w:r>
      <w:r w:rsidRPr="00282AC9">
        <w:rPr>
          <w:rFonts w:ascii="Arial" w:eastAsia="Calibri" w:hAnsi="Arial"/>
          <w:sz w:val="27"/>
          <w:rtl/>
          <w:lang w:bidi="ar-LB"/>
        </w:rPr>
        <w:t xml:space="preserve"> </w:t>
      </w:r>
      <w:r w:rsidRPr="00282AC9">
        <w:rPr>
          <w:rFonts w:ascii="Arial" w:eastAsia="Calibri" w:hAnsi="Arial" w:hint="cs"/>
          <w:sz w:val="27"/>
          <w:rtl/>
          <w:lang w:bidi="ar-LB"/>
        </w:rPr>
        <w:t xml:space="preserve">بالثواب </w:t>
      </w:r>
      <w:r w:rsidRPr="00282AC9">
        <w:rPr>
          <w:rFonts w:ascii="Arial" w:eastAsia="Calibri" w:hAnsi="Arial"/>
          <w:sz w:val="27"/>
          <w:rtl/>
          <w:lang w:bidi="ar-LB"/>
        </w:rPr>
        <w:t>لمصلحة</w:t>
      </w:r>
      <w:r w:rsidR="00D35986" w:rsidRPr="00282AC9">
        <w:rPr>
          <w:rFonts w:ascii="Arial" w:eastAsia="Calibri" w:hAnsi="Arial" w:hint="cs"/>
          <w:sz w:val="27"/>
          <w:rtl/>
          <w:lang w:bidi="ar-LB"/>
        </w:rPr>
        <w:t>ٍ</w:t>
      </w:r>
      <w:r w:rsidRPr="00282AC9">
        <w:rPr>
          <w:rFonts w:ascii="Arial" w:eastAsia="Calibri" w:hAnsi="Arial"/>
          <w:sz w:val="27"/>
          <w:rtl/>
          <w:lang w:bidi="ar-LB"/>
        </w:rPr>
        <w:t xml:space="preserve"> في نفس الوعد، ولو كانت هذه</w:t>
      </w:r>
      <w:r w:rsidRPr="00282AC9">
        <w:rPr>
          <w:rFonts w:ascii="Arial" w:eastAsia="Calibri" w:hAnsi="Arial" w:hint="cs"/>
          <w:sz w:val="27"/>
          <w:rtl/>
          <w:lang w:bidi="ar-LB"/>
        </w:rPr>
        <w:t xml:space="preserve"> </w:t>
      </w:r>
      <w:r w:rsidRPr="00282AC9">
        <w:rPr>
          <w:rFonts w:ascii="Arial" w:eastAsia="Calibri" w:hAnsi="Arial"/>
          <w:sz w:val="27"/>
          <w:rtl/>
          <w:lang w:bidi="ar-LB"/>
        </w:rPr>
        <w:t>المصلحة هي الترغيب في الاحتياط</w:t>
      </w:r>
      <w:r w:rsidR="00D35986" w:rsidRPr="00282AC9">
        <w:rPr>
          <w:rFonts w:ascii="Arial" w:eastAsia="Calibri" w:hAnsi="Arial" w:hint="cs"/>
          <w:sz w:val="27"/>
          <w:rtl/>
          <w:lang w:bidi="ar-LB"/>
        </w:rPr>
        <w:t>؛</w:t>
      </w:r>
      <w:r w:rsidRPr="00282AC9">
        <w:rPr>
          <w:rFonts w:ascii="Arial" w:eastAsia="Calibri" w:hAnsi="Arial"/>
          <w:sz w:val="27"/>
          <w:rtl/>
          <w:lang w:bidi="ar-LB"/>
        </w:rPr>
        <w:t xml:space="preserve"> باعتبار ح</w:t>
      </w:r>
      <w:r w:rsidR="00D35986" w:rsidRPr="00282AC9">
        <w:rPr>
          <w:rFonts w:ascii="Arial" w:eastAsia="Calibri" w:hAnsi="Arial" w:hint="cs"/>
          <w:sz w:val="27"/>
          <w:rtl/>
          <w:lang w:bidi="ar-LB"/>
        </w:rPr>
        <w:t>ُ</w:t>
      </w:r>
      <w:r w:rsidRPr="00282AC9">
        <w:rPr>
          <w:rFonts w:ascii="Arial" w:eastAsia="Calibri" w:hAnsi="Arial"/>
          <w:sz w:val="27"/>
          <w:rtl/>
          <w:lang w:bidi="ar-LB"/>
        </w:rPr>
        <w:t>س</w:t>
      </w:r>
      <w:r w:rsidR="00D35986" w:rsidRPr="00282AC9">
        <w:rPr>
          <w:rFonts w:ascii="Arial" w:eastAsia="Calibri" w:hAnsi="Arial" w:hint="cs"/>
          <w:sz w:val="27"/>
          <w:rtl/>
          <w:lang w:bidi="ar-LB"/>
        </w:rPr>
        <w:t>ْ</w:t>
      </w:r>
      <w:r w:rsidRPr="00282AC9">
        <w:rPr>
          <w:rFonts w:ascii="Arial" w:eastAsia="Calibri" w:hAnsi="Arial"/>
          <w:sz w:val="27"/>
          <w:rtl/>
          <w:lang w:bidi="ar-LB"/>
        </w:rPr>
        <w:t>نه عقلا</w:t>
      </w:r>
      <w:r w:rsidRPr="00282AC9">
        <w:rPr>
          <w:rFonts w:ascii="Arial" w:eastAsia="Calibri" w:hAnsi="Arial" w:hint="cs"/>
          <w:sz w:val="27"/>
          <w:rtl/>
          <w:lang w:bidi="ar-LB"/>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79"/>
      </w:r>
      <w:r w:rsidRPr="00282AC9">
        <w:rPr>
          <w:rFonts w:ascii="Arial" w:eastAsia="Calibri" w:hAnsi="Arial"/>
          <w:sz w:val="27"/>
          <w:vertAlign w:val="superscript"/>
          <w:rtl/>
          <w:lang w:bidi="ar-LB"/>
        </w:rPr>
        <w:t>)</w:t>
      </w:r>
      <w:r w:rsidRPr="00282AC9">
        <w:rPr>
          <w:rFonts w:ascii="Arial" w:eastAsia="Calibri" w:hAnsi="Arial" w:hint="cs"/>
          <w:sz w:val="27"/>
          <w:rtl/>
          <w:lang w:bidi="ar-LB"/>
        </w:rPr>
        <w:t>.</w:t>
      </w:r>
    </w:p>
    <w:p w:rsidR="0098597F" w:rsidRPr="00282AC9" w:rsidRDefault="0098597F" w:rsidP="004F097E">
      <w:pPr>
        <w:rPr>
          <w:rFonts w:ascii="Arial" w:eastAsia="Calibri" w:hAnsi="Arial"/>
          <w:sz w:val="27"/>
          <w:rtl/>
          <w:lang w:bidi="ar-LB"/>
        </w:rPr>
      </w:pPr>
      <w:r w:rsidRPr="00282AC9">
        <w:rPr>
          <w:rFonts w:ascii="Arial" w:eastAsia="Calibri" w:hAnsi="Arial" w:hint="cs"/>
          <w:sz w:val="27"/>
          <w:rtl/>
          <w:lang w:bidi="ar-LB"/>
        </w:rPr>
        <w:t>والذي يبدو أن هذا الاحتمال هو أقرب الاحتمالات، إلا</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إذا تم</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 الاحتمال الخامس ال</w:t>
      </w:r>
      <w:r w:rsidR="00D35986" w:rsidRPr="00282AC9">
        <w:rPr>
          <w:rFonts w:ascii="Arial" w:eastAsia="Calibri" w:hAnsi="Arial" w:hint="cs"/>
          <w:sz w:val="27"/>
          <w:rtl/>
          <w:lang w:bidi="ar-LB"/>
        </w:rPr>
        <w:t>تالي</w:t>
      </w:r>
      <w:r w:rsidRPr="00282AC9">
        <w:rPr>
          <w:rFonts w:ascii="Arial" w:eastAsia="Calibri" w:hAnsi="Arial" w:hint="cs"/>
          <w:sz w:val="27"/>
          <w:rtl/>
          <w:lang w:bidi="ar-LB"/>
        </w:rPr>
        <w:t>.</w:t>
      </w:r>
    </w:p>
    <w:p w:rsidR="0098597F" w:rsidRPr="00282AC9" w:rsidRDefault="0098597F" w:rsidP="004F097E">
      <w:pPr>
        <w:rPr>
          <w:rFonts w:ascii="Arial" w:eastAsia="Calibri" w:hAnsi="Arial"/>
          <w:sz w:val="27"/>
          <w:rtl/>
          <w:lang w:bidi="ar-LB"/>
        </w:rPr>
      </w:pPr>
      <w:r w:rsidRPr="00282AC9">
        <w:rPr>
          <w:rFonts w:ascii="Arial" w:eastAsia="Calibri" w:hAnsi="Arial" w:hint="cs"/>
          <w:b/>
          <w:bCs/>
          <w:sz w:val="27"/>
          <w:rtl/>
          <w:lang w:bidi="ar-LB"/>
        </w:rPr>
        <w:t>وأما الخامس</w:t>
      </w:r>
      <w:r w:rsidRPr="00282AC9">
        <w:rPr>
          <w:rFonts w:ascii="Arial" w:eastAsia="Calibri" w:hAnsi="Arial" w:hint="cs"/>
          <w:sz w:val="27"/>
          <w:rtl/>
          <w:lang w:bidi="ar-LB"/>
        </w:rPr>
        <w:t xml:space="preserve"> فعلّ</w:t>
      </w:r>
      <w:r w:rsidR="00D35986" w:rsidRPr="00282AC9">
        <w:rPr>
          <w:rFonts w:ascii="Arial" w:eastAsia="Calibri" w:hAnsi="Arial" w:hint="cs"/>
          <w:sz w:val="27"/>
          <w:rtl/>
          <w:lang w:bidi="ar-LB"/>
        </w:rPr>
        <w:t>َ</w:t>
      </w:r>
      <w:r w:rsidRPr="00282AC9">
        <w:rPr>
          <w:rFonts w:ascii="Arial" w:eastAsia="Calibri" w:hAnsi="Arial" w:hint="cs"/>
          <w:sz w:val="27"/>
          <w:rtl/>
          <w:lang w:bidi="ar-LB"/>
        </w:rPr>
        <w:t xml:space="preserve">ق عليه السيد الشهيد بأنه </w:t>
      </w:r>
      <w:r w:rsidRPr="00282AC9">
        <w:rPr>
          <w:rFonts w:hint="eastAsia"/>
          <w:sz w:val="24"/>
          <w:szCs w:val="24"/>
          <w:rtl/>
          <w:lang w:bidi="ar-LB"/>
        </w:rPr>
        <w:t>«</w:t>
      </w:r>
      <w:r w:rsidRPr="00282AC9">
        <w:rPr>
          <w:rFonts w:ascii="Arial" w:eastAsia="Calibri" w:hAnsi="Arial"/>
          <w:sz w:val="27"/>
          <w:rtl/>
          <w:lang w:bidi="ar-LB"/>
        </w:rPr>
        <w:t>و</w:t>
      </w:r>
      <w:r w:rsidRPr="00282AC9">
        <w:rPr>
          <w:rFonts w:ascii="Arial" w:eastAsia="Calibri" w:hAnsi="Arial" w:hint="cs"/>
          <w:sz w:val="27"/>
          <w:rtl/>
          <w:lang w:bidi="ar-LB"/>
        </w:rPr>
        <w:t>إ</w:t>
      </w:r>
      <w:r w:rsidRPr="00282AC9">
        <w:rPr>
          <w:rFonts w:ascii="Arial" w:eastAsia="Calibri" w:hAnsi="Arial"/>
          <w:sz w:val="27"/>
          <w:rtl/>
          <w:lang w:bidi="ar-LB"/>
        </w:rPr>
        <w:t>ن</w:t>
      </w:r>
      <w:r w:rsidR="00D35986" w:rsidRPr="00282AC9">
        <w:rPr>
          <w:rFonts w:ascii="Arial" w:eastAsia="Calibri" w:hAnsi="Arial" w:hint="cs"/>
          <w:sz w:val="27"/>
          <w:rtl/>
          <w:lang w:bidi="ar-LB"/>
        </w:rPr>
        <w:t>ْ</w:t>
      </w:r>
      <w:r w:rsidRPr="00282AC9">
        <w:rPr>
          <w:rFonts w:ascii="Arial" w:eastAsia="Calibri" w:hAnsi="Arial"/>
          <w:sz w:val="27"/>
          <w:rtl/>
          <w:lang w:bidi="ar-LB"/>
        </w:rPr>
        <w:t xml:space="preserve"> كان واردا</w:t>
      </w:r>
      <w:r w:rsidRPr="00282AC9">
        <w:rPr>
          <w:rFonts w:ascii="Arial" w:eastAsia="Calibri" w:hAnsi="Arial" w:hint="cs"/>
          <w:sz w:val="27"/>
          <w:rtl/>
          <w:lang w:bidi="ar-LB"/>
        </w:rPr>
        <w:t>ً</w:t>
      </w:r>
      <w:r w:rsidRPr="00282AC9">
        <w:rPr>
          <w:rFonts w:ascii="Arial" w:eastAsia="Calibri" w:hAnsi="Arial"/>
          <w:sz w:val="27"/>
          <w:rtl/>
          <w:lang w:bidi="ar-LB"/>
        </w:rPr>
        <w:t xml:space="preserve"> في نفسه</w:t>
      </w:r>
      <w:r w:rsidRPr="00282AC9">
        <w:rPr>
          <w:rFonts w:ascii="Arial" w:eastAsia="Calibri" w:hAnsi="Arial" w:hint="cs"/>
          <w:sz w:val="27"/>
          <w:rtl/>
          <w:lang w:bidi="ar-LB"/>
        </w:rPr>
        <w:t>،</w:t>
      </w:r>
      <w:r w:rsidRPr="00282AC9">
        <w:rPr>
          <w:rFonts w:ascii="Arial" w:eastAsia="Calibri" w:hAnsi="Arial"/>
          <w:sz w:val="27"/>
          <w:rtl/>
          <w:lang w:bidi="ar-LB"/>
        </w:rPr>
        <w:t xml:space="preserve"> وقد ي</w:t>
      </w:r>
      <w:r w:rsidR="00D35986" w:rsidRPr="00282AC9">
        <w:rPr>
          <w:rFonts w:ascii="Arial" w:eastAsia="Calibri" w:hAnsi="Arial" w:hint="cs"/>
          <w:sz w:val="27"/>
          <w:rtl/>
          <w:lang w:bidi="ar-LB"/>
        </w:rPr>
        <w:t>ُ</w:t>
      </w:r>
      <w:r w:rsidRPr="00282AC9">
        <w:rPr>
          <w:rFonts w:ascii="Arial" w:eastAsia="Calibri" w:hAnsi="Arial"/>
          <w:sz w:val="27"/>
          <w:rtl/>
          <w:lang w:bidi="ar-LB"/>
        </w:rPr>
        <w:t>ستشهد عليه بما ورد في لسان بعض الروايات</w:t>
      </w:r>
      <w:r w:rsidR="00D35986" w:rsidRPr="00282AC9">
        <w:rPr>
          <w:rFonts w:ascii="Arial" w:eastAsia="Calibri" w:hAnsi="Arial" w:hint="cs"/>
          <w:sz w:val="27"/>
          <w:rtl/>
          <w:lang w:bidi="ar-LB"/>
        </w:rPr>
        <w:t>:</w:t>
      </w:r>
      <w:r w:rsidRPr="00282AC9">
        <w:rPr>
          <w:rFonts w:ascii="Arial" w:eastAsia="Calibri" w:hAnsi="Arial"/>
          <w:sz w:val="27"/>
          <w:rtl/>
          <w:lang w:bidi="ar-LB"/>
        </w:rPr>
        <w:t xml:space="preserve"> </w:t>
      </w:r>
      <w:r w:rsidRPr="00282AC9">
        <w:rPr>
          <w:rFonts w:hint="eastAsia"/>
          <w:sz w:val="24"/>
          <w:szCs w:val="24"/>
          <w:rtl/>
          <w:lang w:bidi="ar-LB"/>
        </w:rPr>
        <w:t>«</w:t>
      </w:r>
      <w:r w:rsidRPr="00282AC9">
        <w:rPr>
          <w:rFonts w:ascii="Arial" w:eastAsia="Calibri" w:hAnsi="Arial"/>
          <w:sz w:val="27"/>
          <w:rtl/>
          <w:lang w:bidi="ar-LB"/>
        </w:rPr>
        <w:t>م</w:t>
      </w:r>
      <w:r w:rsidR="00D35986" w:rsidRPr="00282AC9">
        <w:rPr>
          <w:rFonts w:ascii="Arial" w:eastAsia="Calibri" w:hAnsi="Arial" w:hint="cs"/>
          <w:sz w:val="27"/>
          <w:rtl/>
          <w:lang w:bidi="ar-LB"/>
        </w:rPr>
        <w:t>َ</w:t>
      </w:r>
      <w:r w:rsidRPr="00282AC9">
        <w:rPr>
          <w:rFonts w:ascii="Arial" w:eastAsia="Calibri" w:hAnsi="Arial"/>
          <w:sz w:val="27"/>
          <w:rtl/>
          <w:lang w:bidi="ar-LB"/>
        </w:rPr>
        <w:t>ن</w:t>
      </w:r>
      <w:r w:rsidR="00D35986" w:rsidRPr="00282AC9">
        <w:rPr>
          <w:rFonts w:ascii="Arial" w:eastAsia="Calibri" w:hAnsi="Arial" w:hint="cs"/>
          <w:sz w:val="27"/>
          <w:rtl/>
          <w:lang w:bidi="ar-LB"/>
        </w:rPr>
        <w:t>ْ</w:t>
      </w:r>
      <w:r w:rsidRPr="00282AC9">
        <w:rPr>
          <w:rFonts w:ascii="Arial" w:eastAsia="Calibri" w:hAnsi="Arial"/>
          <w:sz w:val="27"/>
          <w:rtl/>
          <w:lang w:bidi="ar-LB"/>
        </w:rPr>
        <w:t xml:space="preserve"> بلغه ثواب</w:t>
      </w:r>
      <w:r w:rsidR="00D35986" w:rsidRPr="00282AC9">
        <w:rPr>
          <w:rFonts w:ascii="Arial" w:eastAsia="Calibri" w:hAnsi="Arial" w:hint="cs"/>
          <w:sz w:val="27"/>
          <w:rtl/>
          <w:lang w:bidi="ar-LB"/>
        </w:rPr>
        <w:t>ٌ</w:t>
      </w:r>
      <w:r w:rsidRPr="00282AC9">
        <w:rPr>
          <w:rFonts w:ascii="Arial" w:eastAsia="Calibri" w:hAnsi="Arial"/>
          <w:sz w:val="27"/>
          <w:rtl/>
          <w:lang w:bidi="ar-LB"/>
        </w:rPr>
        <w:t xml:space="preserve"> على شيء</w:t>
      </w:r>
      <w:r w:rsidR="00D35986" w:rsidRPr="00282AC9">
        <w:rPr>
          <w:rFonts w:ascii="Arial" w:eastAsia="Calibri" w:hAnsi="Arial" w:hint="cs"/>
          <w:sz w:val="27"/>
          <w:rtl/>
          <w:lang w:bidi="ar-LB"/>
        </w:rPr>
        <w:t>ٍ</w:t>
      </w:r>
      <w:r w:rsidRPr="00282AC9">
        <w:rPr>
          <w:rFonts w:ascii="Arial" w:eastAsia="Calibri" w:hAnsi="Arial"/>
          <w:sz w:val="27"/>
          <w:rtl/>
          <w:lang w:bidi="ar-LB"/>
        </w:rPr>
        <w:t xml:space="preserve"> من الخير</w:t>
      </w:r>
      <w:r w:rsidRPr="00282AC9">
        <w:rPr>
          <w:rFonts w:hint="eastAsia"/>
          <w:sz w:val="24"/>
          <w:szCs w:val="24"/>
          <w:rtl/>
        </w:rPr>
        <w:t>»</w:t>
      </w:r>
      <w:r w:rsidRPr="00282AC9">
        <w:rPr>
          <w:rFonts w:ascii="Arial" w:eastAsia="Calibri" w:hAnsi="Arial" w:hint="cs"/>
          <w:sz w:val="27"/>
          <w:rtl/>
          <w:lang w:bidi="ar-LB"/>
        </w:rPr>
        <w:t>،</w:t>
      </w:r>
      <w:r w:rsidRPr="00282AC9">
        <w:rPr>
          <w:rFonts w:ascii="Arial" w:eastAsia="Calibri" w:hAnsi="Arial"/>
          <w:sz w:val="27"/>
          <w:rtl/>
          <w:lang w:bidi="ar-LB"/>
        </w:rPr>
        <w:t xml:space="preserve"> الظاهر في المفروغية عن خيري</w:t>
      </w:r>
      <w:r w:rsidR="00D05AEC" w:rsidRPr="00282AC9">
        <w:rPr>
          <w:rFonts w:ascii="Arial" w:eastAsia="Calibri" w:hAnsi="Arial" w:hint="cs"/>
          <w:sz w:val="27"/>
          <w:rtl/>
          <w:lang w:bidi="ar-LB"/>
        </w:rPr>
        <w:t>ّ</w:t>
      </w:r>
      <w:r w:rsidR="00D05AEC" w:rsidRPr="00282AC9">
        <w:rPr>
          <w:rFonts w:ascii="Arial" w:eastAsia="Calibri" w:hAnsi="Arial"/>
          <w:sz w:val="27"/>
          <w:rtl/>
          <w:lang w:bidi="ar-LB"/>
        </w:rPr>
        <w:t>ة ورجحان العمل الّ</w:t>
      </w:r>
      <w:r w:rsidRPr="00282AC9">
        <w:rPr>
          <w:rFonts w:ascii="Arial" w:eastAsia="Calibri" w:hAnsi="Arial"/>
          <w:sz w:val="27"/>
          <w:rtl/>
          <w:lang w:bidi="ar-LB"/>
        </w:rPr>
        <w:t>ذي بلغ عليه الثواب في المرتبة السابقة</w:t>
      </w:r>
      <w:r w:rsidR="00D05AEC" w:rsidRPr="00282AC9">
        <w:rPr>
          <w:rFonts w:ascii="Arial" w:eastAsia="Calibri" w:hAnsi="Arial" w:hint="cs"/>
          <w:sz w:val="27"/>
          <w:rtl/>
          <w:lang w:bidi="ar-LB"/>
        </w:rPr>
        <w:t>،</w:t>
      </w:r>
      <w:r w:rsidRPr="00282AC9">
        <w:rPr>
          <w:rFonts w:ascii="Arial" w:eastAsia="Calibri" w:hAnsi="Arial"/>
          <w:sz w:val="27"/>
          <w:rtl/>
          <w:lang w:bidi="ar-LB"/>
        </w:rPr>
        <w:t xml:space="preserve"> </w:t>
      </w:r>
      <w:r w:rsidRPr="00282AC9">
        <w:rPr>
          <w:rFonts w:ascii="Arial" w:eastAsia="Calibri" w:hAnsi="Arial" w:hint="cs"/>
          <w:sz w:val="27"/>
          <w:rtl/>
          <w:lang w:bidi="ar-LB"/>
        </w:rPr>
        <w:t>إ</w:t>
      </w:r>
      <w:r w:rsidRPr="00282AC9">
        <w:rPr>
          <w:rFonts w:ascii="Arial" w:eastAsia="Calibri" w:hAnsi="Arial"/>
          <w:sz w:val="27"/>
          <w:rtl/>
          <w:lang w:bidi="ar-LB"/>
        </w:rPr>
        <w:t>لا</w:t>
      </w:r>
      <w:r w:rsidR="00D05AEC" w:rsidRPr="00282AC9">
        <w:rPr>
          <w:rFonts w:ascii="Arial" w:eastAsia="Calibri" w:hAnsi="Arial" w:hint="cs"/>
          <w:sz w:val="27"/>
          <w:rtl/>
          <w:lang w:bidi="ar-LB"/>
        </w:rPr>
        <w:t>ّ</w:t>
      </w:r>
      <w:r w:rsidRPr="00282AC9">
        <w:rPr>
          <w:rFonts w:ascii="Arial" w:eastAsia="Calibri" w:hAnsi="Arial"/>
          <w:sz w:val="27"/>
          <w:rtl/>
          <w:lang w:bidi="ar-LB"/>
        </w:rPr>
        <w:t xml:space="preserve"> </w:t>
      </w:r>
      <w:r w:rsidRPr="00282AC9">
        <w:rPr>
          <w:rFonts w:ascii="Arial" w:eastAsia="Calibri" w:hAnsi="Arial" w:hint="cs"/>
          <w:sz w:val="27"/>
          <w:rtl/>
          <w:lang w:bidi="ar-LB"/>
        </w:rPr>
        <w:t>أ</w:t>
      </w:r>
      <w:r w:rsidRPr="00282AC9">
        <w:rPr>
          <w:rFonts w:ascii="Arial" w:eastAsia="Calibri" w:hAnsi="Arial"/>
          <w:sz w:val="27"/>
          <w:rtl/>
          <w:lang w:bidi="ar-LB"/>
        </w:rPr>
        <w:t>ن</w:t>
      </w:r>
      <w:r w:rsidRPr="00282AC9">
        <w:rPr>
          <w:rFonts w:ascii="Arial" w:eastAsia="Calibri" w:hAnsi="Arial" w:hint="cs"/>
          <w:sz w:val="27"/>
          <w:rtl/>
          <w:lang w:bidi="ar-LB"/>
        </w:rPr>
        <w:t>ّ</w:t>
      </w:r>
      <w:r w:rsidRPr="00282AC9">
        <w:rPr>
          <w:rFonts w:ascii="Arial" w:eastAsia="Calibri" w:hAnsi="Arial"/>
          <w:sz w:val="27"/>
          <w:rtl/>
          <w:lang w:bidi="ar-LB"/>
        </w:rPr>
        <w:t xml:space="preserve"> حمل كل</w:t>
      </w:r>
      <w:r w:rsidR="00D05AEC" w:rsidRPr="00282AC9">
        <w:rPr>
          <w:rFonts w:ascii="Arial" w:eastAsia="Calibri" w:hAnsi="Arial" w:hint="cs"/>
          <w:sz w:val="27"/>
          <w:rtl/>
          <w:lang w:bidi="ar-LB"/>
        </w:rPr>
        <w:t>ّ</w:t>
      </w:r>
      <w:r w:rsidRPr="00282AC9">
        <w:rPr>
          <w:rFonts w:ascii="Arial" w:eastAsia="Calibri" w:hAnsi="Arial"/>
          <w:sz w:val="27"/>
          <w:rtl/>
          <w:lang w:bidi="ar-LB"/>
        </w:rPr>
        <w:t xml:space="preserve"> </w:t>
      </w:r>
      <w:r w:rsidRPr="00282AC9">
        <w:rPr>
          <w:rFonts w:ascii="Arial" w:eastAsia="Calibri" w:hAnsi="Arial" w:hint="cs"/>
          <w:sz w:val="27"/>
          <w:rtl/>
          <w:lang w:bidi="ar-LB"/>
        </w:rPr>
        <w:t>أ</w:t>
      </w:r>
      <w:r w:rsidRPr="00282AC9">
        <w:rPr>
          <w:rFonts w:ascii="Arial" w:eastAsia="Calibri" w:hAnsi="Arial"/>
          <w:sz w:val="27"/>
          <w:rtl/>
          <w:lang w:bidi="ar-LB"/>
        </w:rPr>
        <w:t>خبار الباب</w:t>
      </w:r>
      <w:r w:rsidR="00D05AEC" w:rsidRPr="00282AC9">
        <w:rPr>
          <w:rFonts w:ascii="Arial" w:eastAsia="Calibri" w:hAnsi="Arial" w:hint="cs"/>
          <w:sz w:val="27"/>
          <w:rtl/>
          <w:lang w:bidi="ar-LB"/>
        </w:rPr>
        <w:t>،</w:t>
      </w:r>
      <w:r w:rsidRPr="00282AC9">
        <w:rPr>
          <w:rFonts w:ascii="Arial" w:eastAsia="Calibri" w:hAnsi="Arial"/>
          <w:sz w:val="27"/>
          <w:rtl/>
          <w:lang w:bidi="ar-LB"/>
        </w:rPr>
        <w:t xml:space="preserve"> حت</w:t>
      </w:r>
      <w:r w:rsidR="00D05AEC" w:rsidRPr="00282AC9">
        <w:rPr>
          <w:rFonts w:ascii="Arial" w:eastAsia="Calibri" w:hAnsi="Arial" w:hint="cs"/>
          <w:sz w:val="27"/>
          <w:rtl/>
          <w:lang w:bidi="ar-LB"/>
        </w:rPr>
        <w:t>ّ</w:t>
      </w:r>
      <w:r w:rsidRPr="00282AC9">
        <w:rPr>
          <w:rFonts w:ascii="Arial" w:eastAsia="Calibri" w:hAnsi="Arial"/>
          <w:sz w:val="27"/>
          <w:rtl/>
          <w:lang w:bidi="ar-LB"/>
        </w:rPr>
        <w:t>ى المطلق منها</w:t>
      </w:r>
      <w:r w:rsidR="00D05AEC" w:rsidRPr="00282AC9">
        <w:rPr>
          <w:rFonts w:ascii="Arial" w:eastAsia="Calibri" w:hAnsi="Arial" w:hint="cs"/>
          <w:sz w:val="27"/>
          <w:rtl/>
          <w:lang w:bidi="ar-LB"/>
        </w:rPr>
        <w:t>،</w:t>
      </w:r>
      <w:r w:rsidRPr="00282AC9">
        <w:rPr>
          <w:rFonts w:ascii="Arial" w:eastAsia="Calibri" w:hAnsi="Arial"/>
          <w:sz w:val="27"/>
          <w:rtl/>
          <w:lang w:bidi="ar-LB"/>
        </w:rPr>
        <w:t xml:space="preserve"> على ذلك لا موجب له</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180"/>
      </w:r>
      <w:r w:rsidRPr="00282AC9">
        <w:rPr>
          <w:rFonts w:ascii="Arial" w:eastAsia="Calibri" w:hAnsi="Arial"/>
          <w:sz w:val="27"/>
          <w:vertAlign w:val="superscript"/>
          <w:rtl/>
          <w:lang w:bidi="ar-LB"/>
        </w:rPr>
        <w:t>)</w:t>
      </w:r>
      <w:r w:rsidRPr="00282AC9">
        <w:rPr>
          <w:rFonts w:ascii="Arial" w:eastAsia="Calibri" w:hAnsi="Arial" w:hint="cs"/>
          <w:sz w:val="27"/>
          <w:rtl/>
          <w:lang w:bidi="ar-LB"/>
        </w:rPr>
        <w:t>.</w:t>
      </w:r>
    </w:p>
    <w:p w:rsidR="0098597F" w:rsidRPr="00282AC9" w:rsidRDefault="0098597F" w:rsidP="004F097E">
      <w:pPr>
        <w:shd w:val="clear" w:color="auto" w:fill="FFFFFF"/>
        <w:rPr>
          <w:rFonts w:ascii="Arial" w:hAnsi="Arial"/>
          <w:sz w:val="27"/>
          <w:rtl/>
        </w:rPr>
      </w:pPr>
      <w:r w:rsidRPr="00282AC9">
        <w:rPr>
          <w:rFonts w:ascii="Arial" w:hAnsi="Arial" w:hint="cs"/>
          <w:sz w:val="27"/>
          <w:rtl/>
        </w:rPr>
        <w:lastRenderedPageBreak/>
        <w:t>وما يمكن أن نقوله بشأن الاحتمال الخامس</w:t>
      </w:r>
      <w:r w:rsidR="00D05AEC" w:rsidRPr="00282AC9">
        <w:rPr>
          <w:rFonts w:ascii="Arial" w:hAnsi="Arial" w:hint="cs"/>
          <w:sz w:val="27"/>
          <w:rtl/>
        </w:rPr>
        <w:t>،</w:t>
      </w:r>
      <w:r w:rsidRPr="00282AC9">
        <w:rPr>
          <w:rFonts w:ascii="Arial" w:hAnsi="Arial" w:hint="cs"/>
          <w:sz w:val="27"/>
          <w:rtl/>
        </w:rPr>
        <w:t xml:space="preserve"> وما أورده السيد الشهيد عليه</w:t>
      </w:r>
      <w:r w:rsidR="00D05AEC" w:rsidRPr="00282AC9">
        <w:rPr>
          <w:rFonts w:ascii="Arial" w:hAnsi="Arial" w:hint="cs"/>
          <w:sz w:val="27"/>
          <w:rtl/>
        </w:rPr>
        <w:t>،</w:t>
      </w:r>
      <w:r w:rsidRPr="00282AC9">
        <w:rPr>
          <w:rFonts w:ascii="Arial" w:hAnsi="Arial" w:hint="cs"/>
          <w:sz w:val="27"/>
          <w:rtl/>
        </w:rPr>
        <w:t xml:space="preserve"> عد</w:t>
      </w:r>
      <w:r w:rsidR="00D05AEC" w:rsidRPr="00282AC9">
        <w:rPr>
          <w:rFonts w:ascii="Arial" w:hAnsi="Arial" w:hint="cs"/>
          <w:sz w:val="27"/>
          <w:rtl/>
        </w:rPr>
        <w:t>ّ</w:t>
      </w:r>
      <w:r w:rsidRPr="00282AC9">
        <w:rPr>
          <w:rFonts w:ascii="Arial" w:hAnsi="Arial" w:hint="cs"/>
          <w:sz w:val="27"/>
          <w:rtl/>
        </w:rPr>
        <w:t xml:space="preserve">ة أمور: </w:t>
      </w:r>
    </w:p>
    <w:p w:rsidR="0098597F" w:rsidRPr="00282AC9" w:rsidRDefault="0098597F" w:rsidP="004F097E">
      <w:pPr>
        <w:rPr>
          <w:rFonts w:ascii="Arial" w:hAnsi="Arial"/>
          <w:sz w:val="27"/>
          <w:rtl/>
        </w:rPr>
      </w:pPr>
      <w:r w:rsidRPr="00282AC9">
        <w:rPr>
          <w:rFonts w:ascii="Arial" w:hAnsi="Arial" w:hint="cs"/>
          <w:b/>
          <w:bCs/>
          <w:sz w:val="27"/>
          <w:rtl/>
        </w:rPr>
        <w:t>الأمر الأو</w:t>
      </w:r>
      <w:r w:rsidR="00D05AEC" w:rsidRPr="00282AC9">
        <w:rPr>
          <w:rFonts w:ascii="Arial" w:hAnsi="Arial" w:hint="cs"/>
          <w:b/>
          <w:bCs/>
          <w:sz w:val="27"/>
          <w:rtl/>
        </w:rPr>
        <w:t>ّ</w:t>
      </w:r>
      <w:r w:rsidRPr="00282AC9">
        <w:rPr>
          <w:rFonts w:ascii="Arial" w:hAnsi="Arial" w:hint="cs"/>
          <w:b/>
          <w:bCs/>
          <w:sz w:val="27"/>
          <w:rtl/>
        </w:rPr>
        <w:t>ل</w:t>
      </w:r>
      <w:r w:rsidRPr="00282AC9">
        <w:rPr>
          <w:rFonts w:ascii="Arial" w:hAnsi="Arial" w:hint="cs"/>
          <w:sz w:val="27"/>
          <w:rtl/>
        </w:rPr>
        <w:t>: إ</w:t>
      </w:r>
      <w:r w:rsidRPr="00282AC9">
        <w:rPr>
          <w:rFonts w:ascii="Arial" w:hAnsi="Arial"/>
          <w:sz w:val="27"/>
          <w:rtl/>
        </w:rPr>
        <w:t>نّ</w:t>
      </w:r>
      <w:r w:rsidRPr="00282AC9">
        <w:rPr>
          <w:rFonts w:ascii="Arial" w:hAnsi="Arial" w:hint="cs"/>
          <w:sz w:val="27"/>
          <w:rtl/>
        </w:rPr>
        <w:t xml:space="preserve"> غاية ما تدل</w:t>
      </w:r>
      <w:r w:rsidR="00D05AEC" w:rsidRPr="00282AC9">
        <w:rPr>
          <w:rFonts w:ascii="Arial" w:hAnsi="Arial" w:hint="cs"/>
          <w:sz w:val="27"/>
          <w:rtl/>
        </w:rPr>
        <w:t>ّ</w:t>
      </w:r>
      <w:r w:rsidRPr="00282AC9">
        <w:rPr>
          <w:rFonts w:ascii="Arial" w:hAnsi="Arial" w:hint="cs"/>
          <w:sz w:val="27"/>
          <w:rtl/>
        </w:rPr>
        <w:t xml:space="preserve"> عليه أخبار </w:t>
      </w:r>
      <w:r w:rsidRPr="00282AC9">
        <w:rPr>
          <w:rFonts w:hint="eastAsia"/>
          <w:sz w:val="24"/>
          <w:szCs w:val="24"/>
          <w:rtl/>
        </w:rPr>
        <w:t>«</w:t>
      </w:r>
      <w:r w:rsidRPr="00282AC9">
        <w:rPr>
          <w:rFonts w:ascii="Arial" w:hAnsi="Arial" w:hint="cs"/>
          <w:sz w:val="27"/>
          <w:rtl/>
        </w:rPr>
        <w:t>م</w:t>
      </w:r>
      <w:r w:rsidR="00D05AEC" w:rsidRPr="00282AC9">
        <w:rPr>
          <w:rFonts w:ascii="Arial" w:hAnsi="Arial" w:hint="cs"/>
          <w:sz w:val="27"/>
          <w:rtl/>
        </w:rPr>
        <w:t>َ</w:t>
      </w:r>
      <w:r w:rsidRPr="00282AC9">
        <w:rPr>
          <w:rFonts w:ascii="Arial" w:hAnsi="Arial" w:hint="cs"/>
          <w:sz w:val="27"/>
          <w:rtl/>
        </w:rPr>
        <w:t>ن</w:t>
      </w:r>
      <w:r w:rsidR="00D05AEC" w:rsidRPr="00282AC9">
        <w:rPr>
          <w:rFonts w:ascii="Arial" w:hAnsi="Arial" w:hint="cs"/>
          <w:sz w:val="27"/>
          <w:rtl/>
        </w:rPr>
        <w:t>ْ</w:t>
      </w:r>
      <w:r w:rsidRPr="00282AC9">
        <w:rPr>
          <w:rFonts w:ascii="Arial" w:hAnsi="Arial" w:hint="cs"/>
          <w:sz w:val="27"/>
          <w:rtl/>
        </w:rPr>
        <w:t xml:space="preserve"> بلغ</w:t>
      </w:r>
      <w:r w:rsidRPr="00282AC9">
        <w:rPr>
          <w:rFonts w:hint="eastAsia"/>
          <w:sz w:val="24"/>
          <w:szCs w:val="24"/>
          <w:rtl/>
        </w:rPr>
        <w:t>»</w:t>
      </w:r>
      <w:r w:rsidR="00D05AEC" w:rsidRPr="00282AC9">
        <w:rPr>
          <w:rFonts w:ascii="Arial" w:hAnsi="Arial" w:hint="cs"/>
          <w:sz w:val="27"/>
          <w:rtl/>
        </w:rPr>
        <w:t>،</w:t>
      </w:r>
      <w:r w:rsidRPr="00282AC9">
        <w:rPr>
          <w:rFonts w:ascii="Arial" w:hAnsi="Arial" w:hint="cs"/>
          <w:sz w:val="27"/>
          <w:rtl/>
        </w:rPr>
        <w:t xml:space="preserve"> بناءً على هذا الاحتمال</w:t>
      </w:r>
      <w:r w:rsidR="00D05AEC" w:rsidRPr="00282AC9">
        <w:rPr>
          <w:rFonts w:ascii="Arial" w:hAnsi="Arial" w:hint="cs"/>
          <w:sz w:val="27"/>
          <w:rtl/>
        </w:rPr>
        <w:t>،</w:t>
      </w:r>
      <w:r w:rsidRPr="00282AC9">
        <w:rPr>
          <w:rFonts w:ascii="Arial" w:hAnsi="Arial" w:hint="cs"/>
          <w:sz w:val="27"/>
          <w:rtl/>
        </w:rPr>
        <w:t xml:space="preserve"> هو أنّ </w:t>
      </w:r>
      <w:r w:rsidRPr="00282AC9">
        <w:rPr>
          <w:rFonts w:ascii="Arial" w:hAnsi="Arial"/>
          <w:sz w:val="27"/>
          <w:rtl/>
        </w:rPr>
        <w:t>الثواب الذي يُعطاه المكل</w:t>
      </w:r>
      <w:r w:rsidR="00D05AEC" w:rsidRPr="00282AC9">
        <w:rPr>
          <w:rFonts w:ascii="Arial" w:hAnsi="Arial" w:hint="cs"/>
          <w:sz w:val="27"/>
          <w:rtl/>
        </w:rPr>
        <w:t>َّ</w:t>
      </w:r>
      <w:r w:rsidRPr="00282AC9">
        <w:rPr>
          <w:rFonts w:ascii="Arial" w:hAnsi="Arial"/>
          <w:sz w:val="27"/>
          <w:rtl/>
        </w:rPr>
        <w:t>ف ليس هو على العمل الذي لم يق</w:t>
      </w:r>
      <w:r w:rsidR="00D05AEC" w:rsidRPr="00282AC9">
        <w:rPr>
          <w:rFonts w:ascii="Arial" w:hAnsi="Arial" w:hint="cs"/>
          <w:sz w:val="27"/>
          <w:rtl/>
        </w:rPr>
        <w:t>ُ</w:t>
      </w:r>
      <w:r w:rsidRPr="00282AC9">
        <w:rPr>
          <w:rFonts w:ascii="Arial" w:hAnsi="Arial"/>
          <w:sz w:val="27"/>
          <w:rtl/>
        </w:rPr>
        <w:t>ل</w:t>
      </w:r>
      <w:r w:rsidR="00D05AEC" w:rsidRPr="00282AC9">
        <w:rPr>
          <w:rFonts w:ascii="Arial" w:hAnsi="Arial" w:hint="cs"/>
          <w:sz w:val="27"/>
          <w:rtl/>
        </w:rPr>
        <w:t>ْ</w:t>
      </w:r>
      <w:r w:rsidRPr="00282AC9">
        <w:rPr>
          <w:rFonts w:ascii="Arial" w:hAnsi="Arial"/>
          <w:sz w:val="27"/>
          <w:rtl/>
        </w:rPr>
        <w:t>ه النبي</w:t>
      </w:r>
      <w:r w:rsidR="00D05AEC" w:rsidRPr="00282AC9">
        <w:rPr>
          <w:rFonts w:ascii="Arial" w:hAnsi="Arial" w:hint="cs"/>
          <w:sz w:val="27"/>
          <w:rtl/>
        </w:rPr>
        <w:t>ّ</w:t>
      </w:r>
      <w:r w:rsidR="009A2A04" w:rsidRPr="00282AC9">
        <w:rPr>
          <w:rFonts w:ascii="Arial" w:hAnsi="Arial" w:cs="Mosawi"/>
          <w:sz w:val="22"/>
          <w:szCs w:val="22"/>
          <w:rtl/>
        </w:rPr>
        <w:t>|</w:t>
      </w:r>
      <w:r w:rsidRPr="00282AC9">
        <w:rPr>
          <w:rFonts w:ascii="Arial" w:hAnsi="Arial"/>
          <w:sz w:val="27"/>
          <w:rtl/>
        </w:rPr>
        <w:t xml:space="preserve"> من الأساس، بل على عمل </w:t>
      </w:r>
      <w:r w:rsidRPr="00282AC9">
        <w:rPr>
          <w:rFonts w:ascii="Arial" w:hAnsi="Arial" w:hint="cs"/>
          <w:sz w:val="27"/>
          <w:rtl/>
        </w:rPr>
        <w:t xml:space="preserve">الخير </w:t>
      </w:r>
      <w:r w:rsidRPr="00282AC9">
        <w:rPr>
          <w:rFonts w:ascii="Arial" w:hAnsi="Arial"/>
          <w:sz w:val="27"/>
          <w:rtl/>
        </w:rPr>
        <w:t>الذي قاله</w:t>
      </w:r>
      <w:r w:rsidR="009A2A04" w:rsidRPr="00282AC9">
        <w:rPr>
          <w:rFonts w:ascii="Arial" w:hAnsi="Arial" w:cs="Mosawi"/>
          <w:sz w:val="22"/>
          <w:szCs w:val="22"/>
          <w:rtl/>
        </w:rPr>
        <w:t>|</w:t>
      </w:r>
      <w:r w:rsidRPr="00282AC9">
        <w:rPr>
          <w:rFonts w:ascii="Arial" w:hAnsi="Arial" w:hint="cs"/>
          <w:sz w:val="27"/>
          <w:rtl/>
        </w:rPr>
        <w:t xml:space="preserve">، </w:t>
      </w:r>
      <w:r w:rsidRPr="00282AC9">
        <w:rPr>
          <w:rFonts w:ascii="Arial" w:hAnsi="Arial"/>
          <w:sz w:val="27"/>
          <w:rtl/>
        </w:rPr>
        <w:t>ولكن</w:t>
      </w:r>
      <w:r w:rsidRPr="00282AC9">
        <w:rPr>
          <w:rFonts w:ascii="Arial" w:hAnsi="Arial" w:hint="cs"/>
          <w:sz w:val="27"/>
          <w:rtl/>
        </w:rPr>
        <w:t>ْ</w:t>
      </w:r>
      <w:r w:rsidRPr="00282AC9">
        <w:rPr>
          <w:rFonts w:ascii="Arial" w:hAnsi="Arial"/>
          <w:sz w:val="27"/>
          <w:rtl/>
        </w:rPr>
        <w:t xml:space="preserve"> لم ينق</w:t>
      </w:r>
      <w:r w:rsidR="00D05AEC" w:rsidRPr="00282AC9">
        <w:rPr>
          <w:rFonts w:ascii="Arial" w:hAnsi="Arial" w:hint="cs"/>
          <w:sz w:val="27"/>
          <w:rtl/>
        </w:rPr>
        <w:t>ُ</w:t>
      </w:r>
      <w:r w:rsidRPr="00282AC9">
        <w:rPr>
          <w:rFonts w:ascii="Arial" w:hAnsi="Arial"/>
          <w:sz w:val="27"/>
          <w:rtl/>
        </w:rPr>
        <w:t>ل</w:t>
      </w:r>
      <w:r w:rsidRPr="00282AC9">
        <w:rPr>
          <w:rFonts w:ascii="Arial" w:hAnsi="Arial" w:hint="cs"/>
          <w:sz w:val="27"/>
          <w:rtl/>
        </w:rPr>
        <w:t>ْ</w:t>
      </w:r>
      <w:r w:rsidRPr="00282AC9">
        <w:rPr>
          <w:rFonts w:ascii="Arial" w:hAnsi="Arial"/>
          <w:sz w:val="27"/>
          <w:rtl/>
        </w:rPr>
        <w:t>ه الراوي طبقاً لما قاله</w:t>
      </w:r>
      <w:r w:rsidR="009A2A04" w:rsidRPr="00282AC9">
        <w:rPr>
          <w:rFonts w:ascii="Arial" w:hAnsi="Arial" w:cs="Mosawi"/>
          <w:sz w:val="22"/>
          <w:szCs w:val="22"/>
          <w:rtl/>
        </w:rPr>
        <w:t>|</w:t>
      </w:r>
      <w:r w:rsidR="00D05AEC" w:rsidRPr="00282AC9">
        <w:rPr>
          <w:rFonts w:ascii="Arial" w:hAnsi="Arial" w:hint="cs"/>
          <w:sz w:val="27"/>
          <w:rtl/>
        </w:rPr>
        <w:t>،</w:t>
      </w:r>
      <w:r w:rsidRPr="00282AC9">
        <w:rPr>
          <w:rFonts w:ascii="Arial" w:hAnsi="Arial"/>
          <w:sz w:val="27"/>
          <w:rtl/>
        </w:rPr>
        <w:t xml:space="preserve"> لجهة درجة الثواب</w:t>
      </w:r>
      <w:r w:rsidRPr="00282AC9">
        <w:rPr>
          <w:rFonts w:ascii="Arial" w:hAnsi="Arial" w:hint="cs"/>
          <w:sz w:val="27"/>
          <w:rtl/>
        </w:rPr>
        <w:t xml:space="preserve"> ومقداره</w:t>
      </w:r>
      <w:r w:rsidR="00D05AEC" w:rsidRPr="00282AC9">
        <w:rPr>
          <w:rFonts w:ascii="Arial" w:hAnsi="Arial" w:hint="cs"/>
          <w:sz w:val="27"/>
          <w:rtl/>
        </w:rPr>
        <w:t>.</w:t>
      </w:r>
      <w:r w:rsidRPr="00282AC9">
        <w:rPr>
          <w:rFonts w:ascii="Arial" w:hAnsi="Arial"/>
          <w:sz w:val="27"/>
          <w:rtl/>
        </w:rPr>
        <w:t xml:space="preserve"> فالاشتباه الذي </w:t>
      </w:r>
      <w:r w:rsidRPr="00282AC9">
        <w:rPr>
          <w:rFonts w:ascii="Arial" w:hAnsi="Arial" w:hint="cs"/>
          <w:sz w:val="27"/>
          <w:rtl/>
        </w:rPr>
        <w:t>ر</w:t>
      </w:r>
      <w:r w:rsidR="00D05AEC" w:rsidRPr="00282AC9">
        <w:rPr>
          <w:rFonts w:ascii="Arial" w:hAnsi="Arial" w:hint="cs"/>
          <w:sz w:val="27"/>
          <w:rtl/>
        </w:rPr>
        <w:t>ُ</w:t>
      </w:r>
      <w:r w:rsidRPr="00282AC9">
        <w:rPr>
          <w:rFonts w:ascii="Arial" w:hAnsi="Arial" w:hint="cs"/>
          <w:sz w:val="27"/>
          <w:rtl/>
        </w:rPr>
        <w:t>ب</w:t>
      </w:r>
      <w:r w:rsidR="00D05AEC" w:rsidRPr="00282AC9">
        <w:rPr>
          <w:rFonts w:ascii="Arial" w:hAnsi="Arial" w:hint="cs"/>
          <w:sz w:val="27"/>
          <w:rtl/>
        </w:rPr>
        <w:t>َ</w:t>
      </w:r>
      <w:r w:rsidRPr="00282AC9">
        <w:rPr>
          <w:rFonts w:ascii="Arial" w:hAnsi="Arial" w:hint="cs"/>
          <w:sz w:val="27"/>
          <w:rtl/>
        </w:rPr>
        <w:t xml:space="preserve">ما </w:t>
      </w:r>
      <w:r w:rsidRPr="00282AC9">
        <w:rPr>
          <w:rFonts w:ascii="Arial" w:hAnsi="Arial"/>
          <w:sz w:val="27"/>
          <w:rtl/>
        </w:rPr>
        <w:t>وقع فيه ناقل</w:t>
      </w:r>
      <w:r w:rsidR="00D05AEC" w:rsidRPr="00282AC9">
        <w:rPr>
          <w:rFonts w:ascii="Arial" w:hAnsi="Arial" w:hint="cs"/>
          <w:sz w:val="27"/>
          <w:rtl/>
        </w:rPr>
        <w:t>ُ</w:t>
      </w:r>
      <w:r w:rsidRPr="00282AC9">
        <w:rPr>
          <w:rFonts w:ascii="Arial" w:hAnsi="Arial"/>
          <w:sz w:val="27"/>
          <w:rtl/>
        </w:rPr>
        <w:t xml:space="preserve"> الخبر </w:t>
      </w:r>
      <w:r w:rsidRPr="00282AC9">
        <w:rPr>
          <w:rFonts w:ascii="Arial" w:hAnsi="Arial" w:hint="cs"/>
          <w:sz w:val="27"/>
          <w:rtl/>
        </w:rPr>
        <w:t>المتضم</w:t>
      </w:r>
      <w:r w:rsidR="00D05AEC" w:rsidRPr="00282AC9">
        <w:rPr>
          <w:rFonts w:ascii="Arial" w:hAnsi="Arial" w:hint="cs"/>
          <w:sz w:val="27"/>
          <w:rtl/>
        </w:rPr>
        <w:t>ِّ</w:t>
      </w:r>
      <w:r w:rsidRPr="00282AC9">
        <w:rPr>
          <w:rFonts w:ascii="Arial" w:hAnsi="Arial" w:hint="cs"/>
          <w:sz w:val="27"/>
          <w:rtl/>
        </w:rPr>
        <w:t xml:space="preserve">ن لعمل الخير أو للثواب عليه </w:t>
      </w:r>
      <w:r w:rsidRPr="00282AC9">
        <w:rPr>
          <w:rFonts w:ascii="Arial" w:hAnsi="Arial"/>
          <w:sz w:val="27"/>
          <w:rtl/>
        </w:rPr>
        <w:t xml:space="preserve">ليس هو الاشتباه في أصل صدور </w:t>
      </w:r>
      <w:r w:rsidRPr="00282AC9">
        <w:rPr>
          <w:rFonts w:ascii="Arial" w:hAnsi="Arial" w:hint="cs"/>
          <w:sz w:val="27"/>
          <w:rtl/>
        </w:rPr>
        <w:t>عمل الخير و</w:t>
      </w:r>
      <w:r w:rsidRPr="00282AC9">
        <w:rPr>
          <w:rFonts w:ascii="Arial" w:hAnsi="Arial"/>
          <w:sz w:val="27"/>
          <w:rtl/>
        </w:rPr>
        <w:t>ثواب</w:t>
      </w:r>
      <w:r w:rsidRPr="00282AC9">
        <w:rPr>
          <w:rFonts w:ascii="Arial" w:hAnsi="Arial" w:hint="cs"/>
          <w:sz w:val="27"/>
          <w:rtl/>
        </w:rPr>
        <w:t>ه</w:t>
      </w:r>
      <w:r w:rsidRPr="00282AC9">
        <w:rPr>
          <w:rFonts w:ascii="Arial" w:hAnsi="Arial"/>
          <w:sz w:val="27"/>
          <w:rtl/>
        </w:rPr>
        <w:t xml:space="preserve"> عنه</w:t>
      </w:r>
      <w:r w:rsidR="009A2A04" w:rsidRPr="00282AC9">
        <w:rPr>
          <w:rFonts w:ascii="Arial" w:hAnsi="Arial" w:cs="Mosawi"/>
          <w:sz w:val="22"/>
          <w:szCs w:val="22"/>
          <w:rtl/>
        </w:rPr>
        <w:t>|</w:t>
      </w:r>
      <w:r w:rsidRPr="00282AC9">
        <w:rPr>
          <w:rFonts w:ascii="Arial" w:hAnsi="Arial"/>
          <w:sz w:val="27"/>
          <w:rtl/>
        </w:rPr>
        <w:t>، وإنّما في مرتبة الثواب، كيفي</w:t>
      </w:r>
      <w:r w:rsidR="00D05AEC" w:rsidRPr="00282AC9">
        <w:rPr>
          <w:rFonts w:ascii="Arial" w:hAnsi="Arial" w:hint="cs"/>
          <w:sz w:val="27"/>
          <w:rtl/>
        </w:rPr>
        <w:t>ّ</w:t>
      </w:r>
      <w:r w:rsidRPr="00282AC9">
        <w:rPr>
          <w:rFonts w:ascii="Arial" w:hAnsi="Arial"/>
          <w:sz w:val="27"/>
          <w:rtl/>
        </w:rPr>
        <w:t>ة</w:t>
      </w:r>
      <w:r w:rsidRPr="00282AC9">
        <w:rPr>
          <w:rFonts w:ascii="Arial" w:hAnsi="Arial" w:hint="cs"/>
          <w:sz w:val="27"/>
          <w:rtl/>
        </w:rPr>
        <w:t>ً</w:t>
      </w:r>
      <w:r w:rsidRPr="00282AC9">
        <w:rPr>
          <w:rFonts w:ascii="Arial" w:hAnsi="Arial"/>
          <w:sz w:val="27"/>
          <w:rtl/>
        </w:rPr>
        <w:t xml:space="preserve"> وكم</w:t>
      </w:r>
      <w:r w:rsidR="00D05AEC" w:rsidRPr="00282AC9">
        <w:rPr>
          <w:rFonts w:ascii="Arial" w:hAnsi="Arial" w:hint="cs"/>
          <w:sz w:val="27"/>
          <w:rtl/>
        </w:rPr>
        <w:t>ّ</w:t>
      </w:r>
      <w:r w:rsidR="00D05AEC" w:rsidRPr="00282AC9">
        <w:rPr>
          <w:rFonts w:ascii="Arial" w:hAnsi="Arial"/>
          <w:sz w:val="27"/>
          <w:rtl/>
        </w:rPr>
        <w:t>ي</w:t>
      </w:r>
      <w:r w:rsidRPr="00282AC9">
        <w:rPr>
          <w:rFonts w:ascii="Arial" w:hAnsi="Arial"/>
          <w:sz w:val="27"/>
          <w:rtl/>
        </w:rPr>
        <w:t>ة</w:t>
      </w:r>
      <w:r w:rsidR="00D05AEC" w:rsidRPr="00282AC9">
        <w:rPr>
          <w:rFonts w:ascii="Arial" w:hAnsi="Arial" w:hint="cs"/>
          <w:sz w:val="27"/>
          <w:rtl/>
        </w:rPr>
        <w:t>ً.</w:t>
      </w:r>
      <w:r w:rsidRPr="00282AC9">
        <w:rPr>
          <w:rFonts w:ascii="Arial" w:hAnsi="Arial"/>
          <w:sz w:val="27"/>
          <w:rtl/>
        </w:rPr>
        <w:t xml:space="preserve"> </w:t>
      </w:r>
      <w:r w:rsidRPr="00282AC9">
        <w:rPr>
          <w:rFonts w:ascii="Arial" w:hAnsi="Arial" w:hint="cs"/>
          <w:sz w:val="27"/>
          <w:rtl/>
        </w:rPr>
        <w:t>فأصل مرغوبي</w:t>
      </w:r>
      <w:r w:rsidR="00D05AEC" w:rsidRPr="00282AC9">
        <w:rPr>
          <w:rFonts w:ascii="Arial" w:hAnsi="Arial" w:hint="cs"/>
          <w:sz w:val="27"/>
          <w:rtl/>
        </w:rPr>
        <w:t>ّ</w:t>
      </w:r>
      <w:r w:rsidRPr="00282AC9">
        <w:rPr>
          <w:rFonts w:ascii="Arial" w:hAnsi="Arial" w:hint="cs"/>
          <w:sz w:val="27"/>
          <w:rtl/>
        </w:rPr>
        <w:t>ة العمل وخيري</w:t>
      </w:r>
      <w:r w:rsidR="00D05AEC" w:rsidRPr="00282AC9">
        <w:rPr>
          <w:rFonts w:ascii="Arial" w:hAnsi="Arial" w:hint="cs"/>
          <w:sz w:val="27"/>
          <w:rtl/>
        </w:rPr>
        <w:t>ّ</w:t>
      </w:r>
      <w:r w:rsidRPr="00282AC9">
        <w:rPr>
          <w:rFonts w:ascii="Arial" w:hAnsi="Arial" w:hint="cs"/>
          <w:sz w:val="27"/>
          <w:rtl/>
        </w:rPr>
        <w:t>ته ـ وبالتالي كونه مستوجباً للثواب ـ هو أمر</w:t>
      </w:r>
      <w:r w:rsidR="00D05AEC" w:rsidRPr="00282AC9">
        <w:rPr>
          <w:rFonts w:ascii="Arial" w:hAnsi="Arial" w:hint="cs"/>
          <w:sz w:val="27"/>
          <w:rtl/>
        </w:rPr>
        <w:t>ٌ</w:t>
      </w:r>
      <w:r w:rsidRPr="00282AC9">
        <w:rPr>
          <w:rFonts w:ascii="Arial" w:hAnsi="Arial" w:hint="cs"/>
          <w:sz w:val="27"/>
          <w:rtl/>
        </w:rPr>
        <w:t xml:space="preserve"> مفروغ منه، وإنما التفضّ</w:t>
      </w:r>
      <w:r w:rsidR="00D05AEC" w:rsidRPr="00282AC9">
        <w:rPr>
          <w:rFonts w:ascii="Arial" w:hAnsi="Arial" w:hint="cs"/>
          <w:sz w:val="27"/>
          <w:rtl/>
        </w:rPr>
        <w:t>ُ</w:t>
      </w:r>
      <w:r w:rsidRPr="00282AC9">
        <w:rPr>
          <w:rFonts w:ascii="Arial" w:hAnsi="Arial" w:hint="cs"/>
          <w:sz w:val="27"/>
          <w:rtl/>
        </w:rPr>
        <w:t>ل الذي أضاف</w:t>
      </w:r>
      <w:r w:rsidR="00D05AEC" w:rsidRPr="00282AC9">
        <w:rPr>
          <w:rFonts w:ascii="Arial" w:hAnsi="Arial" w:hint="cs"/>
          <w:sz w:val="27"/>
          <w:rtl/>
        </w:rPr>
        <w:t>َ</w:t>
      </w:r>
      <w:r w:rsidRPr="00282AC9">
        <w:rPr>
          <w:rFonts w:ascii="Arial" w:hAnsi="Arial" w:hint="cs"/>
          <w:sz w:val="27"/>
          <w:rtl/>
        </w:rPr>
        <w:t>ت</w:t>
      </w:r>
      <w:r w:rsidR="00D05AEC" w:rsidRPr="00282AC9">
        <w:rPr>
          <w:rFonts w:ascii="Arial" w:hAnsi="Arial" w:hint="cs"/>
          <w:sz w:val="27"/>
          <w:rtl/>
        </w:rPr>
        <w:t>ْ</w:t>
      </w:r>
      <w:r w:rsidRPr="00282AC9">
        <w:rPr>
          <w:rFonts w:ascii="Arial" w:hAnsi="Arial" w:hint="cs"/>
          <w:sz w:val="27"/>
          <w:rtl/>
        </w:rPr>
        <w:t>ه هذه الروايات هو أنّ الله تعالى يعطي العبد ثواب ما بلغه</w:t>
      </w:r>
      <w:r w:rsidR="00D05AEC" w:rsidRPr="00282AC9">
        <w:rPr>
          <w:rFonts w:ascii="Arial" w:hAnsi="Arial" w:hint="cs"/>
          <w:sz w:val="27"/>
          <w:rtl/>
        </w:rPr>
        <w:t>،</w:t>
      </w:r>
      <w:r w:rsidRPr="00282AC9">
        <w:rPr>
          <w:rFonts w:ascii="Arial" w:hAnsi="Arial" w:hint="cs"/>
          <w:sz w:val="27"/>
          <w:rtl/>
        </w:rPr>
        <w:t xml:space="preserve"> ولو كان أزيد من ثواب العمل عنده واقعاً</w:t>
      </w:r>
      <w:r w:rsidR="00D05AEC" w:rsidRPr="00282AC9">
        <w:rPr>
          <w:rFonts w:ascii="Arial" w:hAnsi="Arial" w:hint="cs"/>
          <w:sz w:val="27"/>
          <w:rtl/>
        </w:rPr>
        <w:t>.</w:t>
      </w:r>
      <w:r w:rsidRPr="00282AC9">
        <w:rPr>
          <w:rFonts w:ascii="Arial" w:hAnsi="Arial" w:hint="cs"/>
          <w:sz w:val="27"/>
          <w:rtl/>
        </w:rPr>
        <w:t xml:space="preserve"> ف</w:t>
      </w:r>
      <w:r w:rsidRPr="00282AC9">
        <w:rPr>
          <w:rFonts w:ascii="Arial" w:hAnsi="Arial"/>
          <w:sz w:val="27"/>
          <w:rtl/>
        </w:rPr>
        <w:t xml:space="preserve">لو </w:t>
      </w:r>
      <w:r w:rsidRPr="00282AC9">
        <w:rPr>
          <w:rFonts w:ascii="Arial" w:hAnsi="Arial" w:hint="cs"/>
          <w:sz w:val="27"/>
          <w:rtl/>
        </w:rPr>
        <w:t xml:space="preserve">فرضنا </w:t>
      </w:r>
      <w:r w:rsidRPr="00282AC9">
        <w:rPr>
          <w:rFonts w:ascii="Arial" w:hAnsi="Arial"/>
          <w:sz w:val="27"/>
          <w:rtl/>
        </w:rPr>
        <w:t>أنّ</w:t>
      </w:r>
      <w:r w:rsidRPr="00282AC9">
        <w:rPr>
          <w:rFonts w:ascii="Arial" w:hAnsi="Arial" w:hint="cs"/>
          <w:sz w:val="27"/>
          <w:rtl/>
        </w:rPr>
        <w:t xml:space="preserve"> الرواية الضعيفة المروي</w:t>
      </w:r>
      <w:r w:rsidR="00D05AEC" w:rsidRPr="00282AC9">
        <w:rPr>
          <w:rFonts w:ascii="Arial" w:hAnsi="Arial" w:hint="cs"/>
          <w:sz w:val="27"/>
          <w:rtl/>
        </w:rPr>
        <w:t>ّ</w:t>
      </w:r>
      <w:r w:rsidRPr="00282AC9">
        <w:rPr>
          <w:rFonts w:ascii="Arial" w:hAnsi="Arial" w:hint="cs"/>
          <w:sz w:val="27"/>
          <w:rtl/>
        </w:rPr>
        <w:t>ة عنه</w:t>
      </w:r>
      <w:r w:rsidR="009A2A04" w:rsidRPr="00282AC9">
        <w:rPr>
          <w:rFonts w:ascii="Arial" w:hAnsi="Arial" w:cs="Mosawi" w:hint="cs"/>
          <w:sz w:val="22"/>
          <w:szCs w:val="22"/>
          <w:rtl/>
        </w:rPr>
        <w:t>|</w:t>
      </w:r>
      <w:r w:rsidRPr="00282AC9">
        <w:rPr>
          <w:rFonts w:ascii="Arial" w:hAnsi="Arial" w:hint="cs"/>
          <w:sz w:val="27"/>
          <w:rtl/>
        </w:rPr>
        <w:t xml:space="preserve"> تقول</w:t>
      </w:r>
      <w:r w:rsidRPr="00282AC9">
        <w:rPr>
          <w:rFonts w:ascii="Arial" w:hAnsi="Arial"/>
          <w:sz w:val="27"/>
          <w:rtl/>
        </w:rPr>
        <w:t xml:space="preserve">: </w:t>
      </w:r>
      <w:r w:rsidRPr="00282AC9">
        <w:rPr>
          <w:rFonts w:hint="eastAsia"/>
          <w:sz w:val="24"/>
          <w:szCs w:val="24"/>
          <w:rtl/>
        </w:rPr>
        <w:t>«</w:t>
      </w:r>
      <w:r w:rsidRPr="00282AC9">
        <w:rPr>
          <w:rFonts w:ascii="Arial" w:hAnsi="Arial" w:hint="cs"/>
          <w:sz w:val="27"/>
          <w:rtl/>
        </w:rPr>
        <w:t>إ</w:t>
      </w:r>
      <w:r w:rsidRPr="00282AC9">
        <w:rPr>
          <w:rFonts w:ascii="Arial" w:hAnsi="Arial"/>
          <w:sz w:val="27"/>
          <w:rtl/>
        </w:rPr>
        <w:t>نّ م</w:t>
      </w:r>
      <w:r w:rsidR="00D05AEC" w:rsidRPr="00282AC9">
        <w:rPr>
          <w:rFonts w:ascii="Arial" w:hAnsi="Arial" w:hint="cs"/>
          <w:sz w:val="27"/>
          <w:rtl/>
        </w:rPr>
        <w:t>َ</w:t>
      </w:r>
      <w:r w:rsidRPr="00282AC9">
        <w:rPr>
          <w:rFonts w:ascii="Arial" w:hAnsi="Arial"/>
          <w:sz w:val="27"/>
          <w:rtl/>
        </w:rPr>
        <w:t>ن</w:t>
      </w:r>
      <w:r w:rsidR="00D05AEC" w:rsidRPr="00282AC9">
        <w:rPr>
          <w:rFonts w:ascii="Arial" w:hAnsi="Arial" w:hint="cs"/>
          <w:sz w:val="27"/>
          <w:rtl/>
        </w:rPr>
        <w:t>ْ</w:t>
      </w:r>
      <w:r w:rsidRPr="00282AC9">
        <w:rPr>
          <w:rFonts w:ascii="Arial" w:hAnsi="Arial"/>
          <w:sz w:val="27"/>
          <w:rtl/>
        </w:rPr>
        <w:t xml:space="preserve"> </w:t>
      </w:r>
      <w:r w:rsidRPr="00282AC9">
        <w:rPr>
          <w:rFonts w:ascii="Arial" w:hAnsi="Arial" w:hint="cs"/>
          <w:sz w:val="27"/>
          <w:rtl/>
        </w:rPr>
        <w:t>تصد</w:t>
      </w:r>
      <w:r w:rsidR="00D05AEC" w:rsidRPr="00282AC9">
        <w:rPr>
          <w:rFonts w:ascii="Arial" w:hAnsi="Arial" w:hint="cs"/>
          <w:sz w:val="27"/>
          <w:rtl/>
        </w:rPr>
        <w:t>َّ</w:t>
      </w:r>
      <w:r w:rsidRPr="00282AC9">
        <w:rPr>
          <w:rFonts w:ascii="Arial" w:hAnsi="Arial" w:hint="cs"/>
          <w:sz w:val="27"/>
          <w:rtl/>
        </w:rPr>
        <w:t>ق رفعه الله درجة</w:t>
      </w:r>
      <w:r w:rsidR="00D05AEC" w:rsidRPr="00282AC9">
        <w:rPr>
          <w:rFonts w:ascii="Arial" w:hAnsi="Arial" w:hint="cs"/>
          <w:sz w:val="27"/>
          <w:rtl/>
        </w:rPr>
        <w:t>ً</w:t>
      </w:r>
      <w:r w:rsidRPr="00282AC9">
        <w:rPr>
          <w:rFonts w:ascii="Arial" w:hAnsi="Arial" w:hint="cs"/>
          <w:sz w:val="27"/>
          <w:rtl/>
        </w:rPr>
        <w:t xml:space="preserve"> في الجنة</w:t>
      </w:r>
      <w:r w:rsidRPr="00282AC9">
        <w:rPr>
          <w:rFonts w:hint="eastAsia"/>
          <w:sz w:val="24"/>
          <w:szCs w:val="24"/>
          <w:rtl/>
        </w:rPr>
        <w:t>»</w:t>
      </w:r>
      <w:r w:rsidRPr="00282AC9">
        <w:rPr>
          <w:rFonts w:ascii="Arial" w:hAnsi="Arial"/>
          <w:sz w:val="27"/>
          <w:rtl/>
        </w:rPr>
        <w:t xml:space="preserve">، </w:t>
      </w:r>
      <w:r w:rsidRPr="00282AC9">
        <w:rPr>
          <w:rFonts w:ascii="Arial" w:hAnsi="Arial" w:hint="cs"/>
          <w:sz w:val="27"/>
          <w:rtl/>
        </w:rPr>
        <w:t>فتصد</w:t>
      </w:r>
      <w:r w:rsidR="00D05AEC" w:rsidRPr="00282AC9">
        <w:rPr>
          <w:rFonts w:ascii="Arial" w:hAnsi="Arial" w:hint="cs"/>
          <w:sz w:val="27"/>
          <w:rtl/>
        </w:rPr>
        <w:t>َّ</w:t>
      </w:r>
      <w:r w:rsidRPr="00282AC9">
        <w:rPr>
          <w:rFonts w:ascii="Arial" w:hAnsi="Arial" w:hint="cs"/>
          <w:sz w:val="27"/>
          <w:rtl/>
        </w:rPr>
        <w:t>ق العبد طمعاً في هذه الدرجة، ولم يكن الأمر كما بلغه</w:t>
      </w:r>
      <w:r w:rsidR="00D05AEC" w:rsidRPr="00282AC9">
        <w:rPr>
          <w:rFonts w:ascii="Arial" w:hAnsi="Arial" w:hint="cs"/>
          <w:sz w:val="27"/>
          <w:rtl/>
        </w:rPr>
        <w:t>،</w:t>
      </w:r>
      <w:r w:rsidRPr="00282AC9">
        <w:rPr>
          <w:rFonts w:ascii="Arial" w:hAnsi="Arial" w:hint="cs"/>
          <w:sz w:val="27"/>
          <w:rtl/>
        </w:rPr>
        <w:t xml:space="preserve"> أعطاه الله تلك الدرجة. ولو فرض أن النبي</w:t>
      </w:r>
      <w:r w:rsidR="00D05AEC" w:rsidRPr="00282AC9">
        <w:rPr>
          <w:rFonts w:ascii="Arial" w:hAnsi="Arial" w:hint="cs"/>
          <w:sz w:val="27"/>
          <w:rtl/>
        </w:rPr>
        <w:t>ّ</w:t>
      </w:r>
      <w:r w:rsidR="009A2A04" w:rsidRPr="00282AC9">
        <w:rPr>
          <w:rFonts w:ascii="Arial" w:hAnsi="Arial" w:cs="Mosawi" w:hint="cs"/>
          <w:sz w:val="22"/>
          <w:szCs w:val="22"/>
          <w:rtl/>
        </w:rPr>
        <w:t>|</w:t>
      </w:r>
      <w:r w:rsidRPr="00282AC9">
        <w:rPr>
          <w:rFonts w:ascii="Arial" w:hAnsi="Arial" w:hint="cs"/>
          <w:sz w:val="27"/>
          <w:rtl/>
        </w:rPr>
        <w:t xml:space="preserve"> واقعاً كان قد قال: </w:t>
      </w:r>
      <w:r w:rsidRPr="00282AC9">
        <w:rPr>
          <w:rFonts w:hint="eastAsia"/>
          <w:sz w:val="24"/>
          <w:szCs w:val="24"/>
          <w:rtl/>
        </w:rPr>
        <w:t>«</w:t>
      </w:r>
      <w:r w:rsidRPr="00282AC9">
        <w:rPr>
          <w:rFonts w:ascii="Arial" w:hAnsi="Arial" w:hint="cs"/>
          <w:sz w:val="27"/>
          <w:rtl/>
        </w:rPr>
        <w:t>م</w:t>
      </w:r>
      <w:r w:rsidR="00D05AEC" w:rsidRPr="00282AC9">
        <w:rPr>
          <w:rFonts w:ascii="Arial" w:hAnsi="Arial" w:hint="cs"/>
          <w:sz w:val="27"/>
          <w:rtl/>
        </w:rPr>
        <w:t>َ</w:t>
      </w:r>
      <w:r w:rsidRPr="00282AC9">
        <w:rPr>
          <w:rFonts w:ascii="Arial" w:hAnsi="Arial" w:hint="cs"/>
          <w:sz w:val="27"/>
          <w:rtl/>
        </w:rPr>
        <w:t>ن</w:t>
      </w:r>
      <w:r w:rsidR="00D05AEC" w:rsidRPr="00282AC9">
        <w:rPr>
          <w:rFonts w:ascii="Arial" w:hAnsi="Arial" w:hint="cs"/>
          <w:sz w:val="27"/>
          <w:rtl/>
        </w:rPr>
        <w:t>ْ</w:t>
      </w:r>
      <w:r w:rsidRPr="00282AC9">
        <w:rPr>
          <w:rFonts w:ascii="Arial" w:hAnsi="Arial" w:hint="cs"/>
          <w:sz w:val="27"/>
          <w:rtl/>
        </w:rPr>
        <w:t xml:space="preserve"> تصد</w:t>
      </w:r>
      <w:r w:rsidR="00D05AEC" w:rsidRPr="00282AC9">
        <w:rPr>
          <w:rFonts w:ascii="Arial" w:hAnsi="Arial" w:hint="cs"/>
          <w:sz w:val="27"/>
          <w:rtl/>
        </w:rPr>
        <w:t>َّ</w:t>
      </w:r>
      <w:r w:rsidRPr="00282AC9">
        <w:rPr>
          <w:rFonts w:ascii="Arial" w:hAnsi="Arial" w:hint="cs"/>
          <w:sz w:val="27"/>
          <w:rtl/>
        </w:rPr>
        <w:t>ق كان له درجة</w:t>
      </w:r>
      <w:r w:rsidRPr="00282AC9">
        <w:rPr>
          <w:rFonts w:hint="eastAsia"/>
          <w:sz w:val="24"/>
          <w:szCs w:val="24"/>
          <w:rtl/>
        </w:rPr>
        <w:t>»</w:t>
      </w:r>
      <w:r w:rsidRPr="00282AC9">
        <w:rPr>
          <w:rFonts w:ascii="Arial" w:hAnsi="Arial" w:hint="cs"/>
          <w:sz w:val="27"/>
          <w:rtl/>
        </w:rPr>
        <w:t>، لكن</w:t>
      </w:r>
      <w:r w:rsidR="00D05AEC" w:rsidRPr="00282AC9">
        <w:rPr>
          <w:rFonts w:ascii="Arial" w:hAnsi="Arial" w:hint="cs"/>
          <w:sz w:val="27"/>
          <w:rtl/>
        </w:rPr>
        <w:t>ّ</w:t>
      </w:r>
      <w:r w:rsidRPr="00282AC9">
        <w:rPr>
          <w:rFonts w:ascii="Arial" w:hAnsi="Arial" w:hint="cs"/>
          <w:sz w:val="27"/>
          <w:rtl/>
        </w:rPr>
        <w:t xml:space="preserve"> الرواية الضعيفة نقل</w:t>
      </w:r>
      <w:r w:rsidR="00D05AEC" w:rsidRPr="00282AC9">
        <w:rPr>
          <w:rFonts w:ascii="Arial" w:hAnsi="Arial" w:hint="cs"/>
          <w:sz w:val="27"/>
          <w:rtl/>
        </w:rPr>
        <w:t>َ</w:t>
      </w:r>
      <w:r w:rsidRPr="00282AC9">
        <w:rPr>
          <w:rFonts w:ascii="Arial" w:hAnsi="Arial" w:hint="cs"/>
          <w:sz w:val="27"/>
          <w:rtl/>
        </w:rPr>
        <w:t>ت</w:t>
      </w:r>
      <w:r w:rsidR="00D05AEC" w:rsidRPr="00282AC9">
        <w:rPr>
          <w:rFonts w:ascii="Arial" w:hAnsi="Arial" w:hint="cs"/>
          <w:sz w:val="27"/>
          <w:rtl/>
        </w:rPr>
        <w:t>ْ</w:t>
      </w:r>
      <w:r w:rsidRPr="00282AC9">
        <w:rPr>
          <w:rFonts w:ascii="Arial" w:hAnsi="Arial" w:hint="cs"/>
          <w:sz w:val="27"/>
          <w:rtl/>
        </w:rPr>
        <w:t xml:space="preserve"> عنه</w:t>
      </w:r>
      <w:r w:rsidR="009A2A04" w:rsidRPr="00282AC9">
        <w:rPr>
          <w:rFonts w:ascii="Arial" w:hAnsi="Arial" w:cs="Mosawi" w:hint="cs"/>
          <w:sz w:val="22"/>
          <w:szCs w:val="22"/>
          <w:rtl/>
        </w:rPr>
        <w:t>|</w:t>
      </w:r>
      <w:r w:rsidRPr="00282AC9">
        <w:rPr>
          <w:rFonts w:ascii="Arial" w:hAnsi="Arial" w:hint="cs"/>
          <w:sz w:val="27"/>
          <w:rtl/>
        </w:rPr>
        <w:t xml:space="preserve">: </w:t>
      </w:r>
      <w:r w:rsidRPr="00282AC9">
        <w:rPr>
          <w:rFonts w:hint="eastAsia"/>
          <w:sz w:val="24"/>
          <w:szCs w:val="24"/>
          <w:rtl/>
        </w:rPr>
        <w:t>«</w:t>
      </w:r>
      <w:r w:rsidRPr="00282AC9">
        <w:rPr>
          <w:rFonts w:ascii="Arial" w:hAnsi="Arial" w:hint="cs"/>
          <w:sz w:val="27"/>
          <w:rtl/>
        </w:rPr>
        <w:t>أنّ من تصد</w:t>
      </w:r>
      <w:r w:rsidR="00D05AEC" w:rsidRPr="00282AC9">
        <w:rPr>
          <w:rFonts w:ascii="Arial" w:hAnsi="Arial" w:hint="cs"/>
          <w:sz w:val="27"/>
          <w:rtl/>
        </w:rPr>
        <w:t>َّ</w:t>
      </w:r>
      <w:r w:rsidRPr="00282AC9">
        <w:rPr>
          <w:rFonts w:ascii="Arial" w:hAnsi="Arial" w:hint="cs"/>
          <w:sz w:val="27"/>
          <w:rtl/>
        </w:rPr>
        <w:t>ق له درجتان</w:t>
      </w:r>
      <w:r w:rsidRPr="00282AC9">
        <w:rPr>
          <w:rFonts w:hint="eastAsia"/>
          <w:sz w:val="24"/>
          <w:szCs w:val="24"/>
          <w:rtl/>
        </w:rPr>
        <w:t>»</w:t>
      </w:r>
      <w:r w:rsidRPr="00282AC9">
        <w:rPr>
          <w:rFonts w:ascii="Arial" w:hAnsi="Arial" w:hint="cs"/>
          <w:sz w:val="27"/>
          <w:rtl/>
        </w:rPr>
        <w:t>، وتصد</w:t>
      </w:r>
      <w:r w:rsidR="00D05AEC" w:rsidRPr="00282AC9">
        <w:rPr>
          <w:rFonts w:ascii="Arial" w:hAnsi="Arial" w:hint="cs"/>
          <w:sz w:val="27"/>
          <w:rtl/>
        </w:rPr>
        <w:t>َّ</w:t>
      </w:r>
      <w:r w:rsidRPr="00282AC9">
        <w:rPr>
          <w:rFonts w:ascii="Arial" w:hAnsi="Arial" w:hint="cs"/>
          <w:sz w:val="27"/>
          <w:rtl/>
        </w:rPr>
        <w:t>ق العبد</w:t>
      </w:r>
      <w:r w:rsidR="00D05AEC" w:rsidRPr="00282AC9">
        <w:rPr>
          <w:rFonts w:ascii="Arial" w:hAnsi="Arial" w:hint="cs"/>
          <w:sz w:val="27"/>
          <w:rtl/>
        </w:rPr>
        <w:t>؛</w:t>
      </w:r>
      <w:r w:rsidRPr="00282AC9">
        <w:rPr>
          <w:rFonts w:ascii="Arial" w:hAnsi="Arial" w:hint="cs"/>
          <w:sz w:val="27"/>
          <w:rtl/>
        </w:rPr>
        <w:t xml:space="preserve"> طمعاً بالدرجتين،</w:t>
      </w:r>
      <w:r w:rsidRPr="00282AC9">
        <w:rPr>
          <w:rFonts w:ascii="Arial" w:hAnsi="Arial"/>
          <w:sz w:val="27"/>
          <w:rtl/>
        </w:rPr>
        <w:t xml:space="preserve"> فإنّ الله </w:t>
      </w:r>
      <w:r w:rsidRPr="00282AC9">
        <w:rPr>
          <w:rFonts w:ascii="Arial" w:hAnsi="Arial" w:hint="cs"/>
          <w:sz w:val="27"/>
          <w:rtl/>
        </w:rPr>
        <w:t xml:space="preserve">تعالى </w:t>
      </w:r>
      <w:r w:rsidRPr="00282AC9">
        <w:rPr>
          <w:rFonts w:ascii="Arial" w:hAnsi="Arial"/>
          <w:sz w:val="27"/>
          <w:rtl/>
        </w:rPr>
        <w:t>سيكون عند ح</w:t>
      </w:r>
      <w:r w:rsidR="00D05AEC" w:rsidRPr="00282AC9">
        <w:rPr>
          <w:rFonts w:ascii="Arial" w:hAnsi="Arial" w:hint="cs"/>
          <w:sz w:val="27"/>
          <w:rtl/>
        </w:rPr>
        <w:t>ُ</w:t>
      </w:r>
      <w:r w:rsidRPr="00282AC9">
        <w:rPr>
          <w:rFonts w:ascii="Arial" w:hAnsi="Arial"/>
          <w:sz w:val="27"/>
          <w:rtl/>
        </w:rPr>
        <w:t>س</w:t>
      </w:r>
      <w:r w:rsidR="00D05AEC" w:rsidRPr="00282AC9">
        <w:rPr>
          <w:rFonts w:ascii="Arial" w:hAnsi="Arial" w:hint="cs"/>
          <w:sz w:val="27"/>
          <w:rtl/>
        </w:rPr>
        <w:t>ْ</w:t>
      </w:r>
      <w:r w:rsidRPr="00282AC9">
        <w:rPr>
          <w:rFonts w:ascii="Arial" w:hAnsi="Arial"/>
          <w:sz w:val="27"/>
          <w:rtl/>
        </w:rPr>
        <w:t>ن ظن</w:t>
      </w:r>
      <w:r w:rsidR="00D05AEC" w:rsidRPr="00282AC9">
        <w:rPr>
          <w:rFonts w:ascii="Arial" w:hAnsi="Arial" w:hint="cs"/>
          <w:sz w:val="27"/>
          <w:rtl/>
        </w:rPr>
        <w:t>ّ</w:t>
      </w:r>
      <w:r w:rsidRPr="00282AC9">
        <w:rPr>
          <w:rFonts w:ascii="Arial" w:hAnsi="Arial"/>
          <w:sz w:val="27"/>
          <w:rtl/>
        </w:rPr>
        <w:t xml:space="preserve"> عبده به</w:t>
      </w:r>
      <w:r w:rsidR="00D05AEC" w:rsidRPr="00282AC9">
        <w:rPr>
          <w:rFonts w:ascii="Arial" w:hAnsi="Arial" w:hint="cs"/>
          <w:sz w:val="27"/>
          <w:rtl/>
        </w:rPr>
        <w:t>،</w:t>
      </w:r>
      <w:r w:rsidRPr="00282AC9">
        <w:rPr>
          <w:rFonts w:ascii="Arial" w:hAnsi="Arial"/>
          <w:sz w:val="27"/>
          <w:rtl/>
        </w:rPr>
        <w:t xml:space="preserve"> ويعطيه ال</w:t>
      </w:r>
      <w:r w:rsidRPr="00282AC9">
        <w:rPr>
          <w:rFonts w:ascii="Arial" w:hAnsi="Arial" w:hint="cs"/>
          <w:sz w:val="27"/>
          <w:rtl/>
        </w:rPr>
        <w:t>درج</w:t>
      </w:r>
      <w:r w:rsidRPr="00282AC9">
        <w:rPr>
          <w:rFonts w:ascii="Arial" w:hAnsi="Arial"/>
          <w:sz w:val="27"/>
          <w:rtl/>
        </w:rPr>
        <w:t>تين</w:t>
      </w:r>
      <w:r w:rsidR="00D05AEC" w:rsidRPr="00282AC9">
        <w:rPr>
          <w:rFonts w:ascii="Arial" w:hAnsi="Arial" w:hint="cs"/>
          <w:sz w:val="27"/>
          <w:rtl/>
        </w:rPr>
        <w:t>.</w:t>
      </w:r>
      <w:r w:rsidRPr="00282AC9">
        <w:rPr>
          <w:rFonts w:ascii="Arial" w:hAnsi="Arial" w:hint="cs"/>
          <w:sz w:val="27"/>
          <w:rtl/>
        </w:rPr>
        <w:t xml:space="preserve"> وفي المثالين ي</w:t>
      </w:r>
      <w:r w:rsidR="00D05AEC" w:rsidRPr="00282AC9">
        <w:rPr>
          <w:rFonts w:ascii="Arial" w:hAnsi="Arial" w:hint="cs"/>
          <w:sz w:val="27"/>
          <w:rtl/>
        </w:rPr>
        <w:t>ُ</w:t>
      </w:r>
      <w:r w:rsidRPr="00282AC9">
        <w:rPr>
          <w:rFonts w:ascii="Arial" w:hAnsi="Arial" w:hint="cs"/>
          <w:sz w:val="27"/>
          <w:rtl/>
        </w:rPr>
        <w:t>لاح</w:t>
      </w:r>
      <w:r w:rsidR="00D05AEC" w:rsidRPr="00282AC9">
        <w:rPr>
          <w:rFonts w:ascii="Arial" w:hAnsi="Arial" w:hint="cs"/>
          <w:sz w:val="27"/>
          <w:rtl/>
        </w:rPr>
        <w:t>َ</w:t>
      </w:r>
      <w:r w:rsidRPr="00282AC9">
        <w:rPr>
          <w:rFonts w:ascii="Arial" w:hAnsi="Arial" w:hint="cs"/>
          <w:sz w:val="27"/>
          <w:rtl/>
        </w:rPr>
        <w:t>ظ أنّ أصل العمل ثابت</w:t>
      </w:r>
      <w:r w:rsidR="00D05AEC" w:rsidRPr="00282AC9">
        <w:rPr>
          <w:rFonts w:ascii="Arial" w:hAnsi="Arial" w:hint="cs"/>
          <w:sz w:val="27"/>
          <w:rtl/>
        </w:rPr>
        <w:t>ُ</w:t>
      </w:r>
      <w:r w:rsidRPr="00282AC9">
        <w:rPr>
          <w:rFonts w:ascii="Arial" w:hAnsi="Arial" w:hint="cs"/>
          <w:sz w:val="27"/>
          <w:rtl/>
        </w:rPr>
        <w:t xml:space="preserve"> المشروعي</w:t>
      </w:r>
      <w:r w:rsidR="00D05AEC" w:rsidRPr="00282AC9">
        <w:rPr>
          <w:rFonts w:ascii="Arial" w:hAnsi="Arial" w:hint="cs"/>
          <w:sz w:val="27"/>
          <w:rtl/>
        </w:rPr>
        <w:t>ّ</w:t>
      </w:r>
      <w:r w:rsidRPr="00282AC9">
        <w:rPr>
          <w:rFonts w:ascii="Arial" w:hAnsi="Arial" w:hint="cs"/>
          <w:sz w:val="27"/>
          <w:rtl/>
        </w:rPr>
        <w:t>ة بدليل</w:t>
      </w:r>
      <w:r w:rsidR="00D05AEC" w:rsidRPr="00282AC9">
        <w:rPr>
          <w:rFonts w:ascii="Arial" w:hAnsi="Arial" w:hint="cs"/>
          <w:sz w:val="27"/>
          <w:rtl/>
        </w:rPr>
        <w:t>ٍ</w:t>
      </w:r>
      <w:r w:rsidRPr="00282AC9">
        <w:rPr>
          <w:rFonts w:ascii="Arial" w:hAnsi="Arial" w:hint="cs"/>
          <w:sz w:val="27"/>
          <w:rtl/>
        </w:rPr>
        <w:t xml:space="preserve"> آخر، وأنه من أعمال الخير والبر</w:t>
      </w:r>
      <w:r w:rsidR="00D05AEC" w:rsidRPr="00282AC9">
        <w:rPr>
          <w:rFonts w:ascii="Arial" w:hAnsi="Arial" w:hint="cs"/>
          <w:sz w:val="27"/>
          <w:rtl/>
        </w:rPr>
        <w:t>ّ</w:t>
      </w:r>
      <w:r w:rsidRPr="00282AC9">
        <w:rPr>
          <w:rFonts w:ascii="Arial" w:hAnsi="Arial" w:hint="cs"/>
          <w:sz w:val="27"/>
          <w:rtl/>
        </w:rPr>
        <w:t xml:space="preserve"> والصدقة. وبناءً على هذا التفسير لا شمول لهذه الأخبار لصورة الشك</w:t>
      </w:r>
      <w:r w:rsidR="00D05AEC" w:rsidRPr="00282AC9">
        <w:rPr>
          <w:rFonts w:ascii="Arial" w:hAnsi="Arial" w:hint="cs"/>
          <w:sz w:val="27"/>
          <w:rtl/>
        </w:rPr>
        <w:t>ّ</w:t>
      </w:r>
      <w:r w:rsidRPr="00282AC9">
        <w:rPr>
          <w:rFonts w:ascii="Arial" w:hAnsi="Arial" w:hint="cs"/>
          <w:sz w:val="27"/>
          <w:rtl/>
        </w:rPr>
        <w:t xml:space="preserve"> في صدور الحديث المتضم</w:t>
      </w:r>
      <w:r w:rsidR="00D05AEC" w:rsidRPr="00282AC9">
        <w:rPr>
          <w:rFonts w:ascii="Arial" w:hAnsi="Arial" w:hint="cs"/>
          <w:sz w:val="27"/>
          <w:rtl/>
        </w:rPr>
        <w:t>ِّ</w:t>
      </w:r>
      <w:r w:rsidRPr="00282AC9">
        <w:rPr>
          <w:rFonts w:ascii="Arial" w:hAnsi="Arial" w:hint="cs"/>
          <w:sz w:val="27"/>
          <w:rtl/>
        </w:rPr>
        <w:t>ن للثواب</w:t>
      </w:r>
      <w:r w:rsidRPr="00282AC9">
        <w:rPr>
          <w:rFonts w:ascii="Arial" w:hAnsi="Arial"/>
          <w:sz w:val="27"/>
          <w:rtl/>
        </w:rPr>
        <w:t>.</w:t>
      </w:r>
      <w:r w:rsidRPr="00282AC9">
        <w:rPr>
          <w:rFonts w:ascii="Arial" w:hAnsi="Arial" w:hint="cs"/>
          <w:sz w:val="27"/>
          <w:rtl/>
        </w:rPr>
        <w:t xml:space="preserve"> </w:t>
      </w:r>
    </w:p>
    <w:p w:rsidR="00E20861" w:rsidRPr="00282AC9" w:rsidRDefault="0098597F" w:rsidP="004F097E">
      <w:pPr>
        <w:rPr>
          <w:rtl/>
        </w:rPr>
      </w:pPr>
      <w:r w:rsidRPr="00282AC9">
        <w:rPr>
          <w:rFonts w:hint="cs"/>
          <w:b/>
          <w:bCs/>
          <w:rtl/>
        </w:rPr>
        <w:t>الأمر الثاني</w:t>
      </w:r>
      <w:r w:rsidRPr="00282AC9">
        <w:rPr>
          <w:rFonts w:hint="cs"/>
          <w:rtl/>
        </w:rPr>
        <w:t>: إنّ هذا الوجه فيما يبدو ليس مجر</w:t>
      </w:r>
      <w:r w:rsidR="00D05AEC" w:rsidRPr="00282AC9">
        <w:rPr>
          <w:rFonts w:hint="cs"/>
          <w:rtl/>
        </w:rPr>
        <w:t>ّ</w:t>
      </w:r>
      <w:r w:rsidRPr="00282AC9">
        <w:rPr>
          <w:rFonts w:hint="cs"/>
          <w:rtl/>
        </w:rPr>
        <w:t>د احتمال</w:t>
      </w:r>
      <w:r w:rsidR="00E20861" w:rsidRPr="00282AC9">
        <w:rPr>
          <w:rFonts w:hint="cs"/>
          <w:rtl/>
        </w:rPr>
        <w:t>ٍ</w:t>
      </w:r>
      <w:r w:rsidRPr="00282AC9">
        <w:rPr>
          <w:rFonts w:hint="cs"/>
          <w:rtl/>
        </w:rPr>
        <w:t xml:space="preserve"> مطروح</w:t>
      </w:r>
      <w:r w:rsidR="00E20861" w:rsidRPr="00282AC9">
        <w:rPr>
          <w:rFonts w:hint="cs"/>
          <w:rtl/>
        </w:rPr>
        <w:t>ٍ</w:t>
      </w:r>
      <w:r w:rsidRPr="00282AC9">
        <w:rPr>
          <w:rFonts w:hint="cs"/>
          <w:rtl/>
        </w:rPr>
        <w:t xml:space="preserve"> حديثاً</w:t>
      </w:r>
      <w:r w:rsidRPr="00282AC9">
        <w:rPr>
          <w:vertAlign w:val="superscript"/>
          <w:rtl/>
        </w:rPr>
        <w:t>(</w:t>
      </w:r>
      <w:r w:rsidRPr="00282AC9">
        <w:rPr>
          <w:vertAlign w:val="superscript"/>
          <w:rtl/>
        </w:rPr>
        <w:endnoteReference w:id="181"/>
      </w:r>
      <w:r w:rsidRPr="00282AC9">
        <w:rPr>
          <w:vertAlign w:val="superscript"/>
          <w:rtl/>
        </w:rPr>
        <w:t>)</w:t>
      </w:r>
      <w:r w:rsidRPr="00282AC9">
        <w:rPr>
          <w:rFonts w:hint="cs"/>
          <w:rtl/>
        </w:rPr>
        <w:t>، بل هو مطروح</w:t>
      </w:r>
      <w:r w:rsidR="00E20861" w:rsidRPr="00282AC9">
        <w:rPr>
          <w:rFonts w:hint="cs"/>
          <w:rtl/>
        </w:rPr>
        <w:t>ٌ</w:t>
      </w:r>
      <w:r w:rsidRPr="00282AC9">
        <w:rPr>
          <w:rFonts w:hint="cs"/>
          <w:rtl/>
        </w:rPr>
        <w:t xml:space="preserve"> في كلمات السابقين</w:t>
      </w:r>
      <w:r w:rsidR="00E20861" w:rsidRPr="00282AC9">
        <w:rPr>
          <w:rFonts w:hint="cs"/>
          <w:rtl/>
        </w:rPr>
        <w:t>؛</w:t>
      </w:r>
      <w:r w:rsidRPr="00282AC9">
        <w:rPr>
          <w:rFonts w:hint="cs"/>
          <w:rtl/>
        </w:rPr>
        <w:t xml:space="preserve"> فقد نقله الشيخ البهائي عن بعض الفضلاء، وأنه قال: </w:t>
      </w:r>
      <w:r w:rsidRPr="00282AC9">
        <w:rPr>
          <w:rFonts w:hint="eastAsia"/>
          <w:sz w:val="24"/>
          <w:szCs w:val="24"/>
          <w:rtl/>
        </w:rPr>
        <w:t>«</w:t>
      </w:r>
      <w:r w:rsidR="00E20861" w:rsidRPr="00282AC9">
        <w:rPr>
          <w:rFonts w:hint="cs"/>
          <w:rtl/>
        </w:rPr>
        <w:t>إ</w:t>
      </w:r>
      <w:r w:rsidRPr="00282AC9">
        <w:rPr>
          <w:rFonts w:hint="cs"/>
          <w:rtl/>
        </w:rPr>
        <w:t>ن معنى قولهم: يجوز العمل بالحديث الضعيف في فضائل الأعمال</w:t>
      </w:r>
      <w:r w:rsidR="00E20861" w:rsidRPr="00282AC9">
        <w:rPr>
          <w:rFonts w:hint="cs"/>
          <w:rtl/>
        </w:rPr>
        <w:t>،</w:t>
      </w:r>
      <w:r w:rsidRPr="00282AC9">
        <w:rPr>
          <w:rFonts w:hint="cs"/>
          <w:rtl/>
        </w:rPr>
        <w:t xml:space="preserve"> دون مسائل الحلال والحرام، أنه إذا ورد حديث</w:t>
      </w:r>
      <w:r w:rsidR="00E20861" w:rsidRPr="00282AC9">
        <w:rPr>
          <w:rFonts w:hint="cs"/>
          <w:rtl/>
        </w:rPr>
        <w:t>ٌ</w:t>
      </w:r>
      <w:r w:rsidRPr="00282AC9">
        <w:rPr>
          <w:rFonts w:hint="cs"/>
          <w:rtl/>
        </w:rPr>
        <w:t xml:space="preserve"> صحيح</w:t>
      </w:r>
      <w:r w:rsidR="00E20861" w:rsidRPr="00282AC9">
        <w:rPr>
          <w:rFonts w:hint="cs"/>
          <w:rtl/>
        </w:rPr>
        <w:t>ٌ</w:t>
      </w:r>
      <w:r w:rsidRPr="00282AC9">
        <w:rPr>
          <w:rFonts w:hint="cs"/>
          <w:rtl/>
        </w:rPr>
        <w:t xml:space="preserve"> أو ح</w:t>
      </w:r>
      <w:r w:rsidR="00E20861" w:rsidRPr="00282AC9">
        <w:rPr>
          <w:rFonts w:hint="cs"/>
          <w:rtl/>
        </w:rPr>
        <w:t>َ</w:t>
      </w:r>
      <w:r w:rsidRPr="00282AC9">
        <w:rPr>
          <w:rFonts w:hint="cs"/>
          <w:rtl/>
        </w:rPr>
        <w:t>س</w:t>
      </w:r>
      <w:r w:rsidR="00E20861" w:rsidRPr="00282AC9">
        <w:rPr>
          <w:rFonts w:hint="cs"/>
          <w:rtl/>
        </w:rPr>
        <w:t>َ</w:t>
      </w:r>
      <w:r w:rsidRPr="00282AC9">
        <w:rPr>
          <w:rFonts w:hint="cs"/>
          <w:rtl/>
        </w:rPr>
        <w:t>ن</w:t>
      </w:r>
      <w:r w:rsidR="00E20861" w:rsidRPr="00282AC9">
        <w:rPr>
          <w:rFonts w:hint="cs"/>
          <w:rtl/>
        </w:rPr>
        <w:t>ٌ</w:t>
      </w:r>
      <w:r w:rsidRPr="00282AC9">
        <w:rPr>
          <w:rFonts w:hint="cs"/>
          <w:rtl/>
        </w:rPr>
        <w:t xml:space="preserve"> في استحباب عمل</w:t>
      </w:r>
      <w:r w:rsidR="00E20861" w:rsidRPr="00282AC9">
        <w:rPr>
          <w:rFonts w:hint="cs"/>
          <w:rtl/>
        </w:rPr>
        <w:t>ٍ</w:t>
      </w:r>
      <w:r w:rsidRPr="00282AC9">
        <w:rPr>
          <w:rFonts w:hint="cs"/>
          <w:rtl/>
        </w:rPr>
        <w:t>، وورد حديث</w:t>
      </w:r>
      <w:r w:rsidR="00E20861" w:rsidRPr="00282AC9">
        <w:rPr>
          <w:rFonts w:hint="cs"/>
          <w:rtl/>
        </w:rPr>
        <w:t>ٌ</w:t>
      </w:r>
      <w:r w:rsidRPr="00282AC9">
        <w:rPr>
          <w:rFonts w:hint="cs"/>
          <w:rtl/>
        </w:rPr>
        <w:t xml:space="preserve"> ضعيف</w:t>
      </w:r>
      <w:r w:rsidR="00E20861" w:rsidRPr="00282AC9">
        <w:rPr>
          <w:rFonts w:hint="cs"/>
          <w:rtl/>
        </w:rPr>
        <w:t>ٌ</w:t>
      </w:r>
      <w:r w:rsidRPr="00282AC9">
        <w:rPr>
          <w:rFonts w:hint="cs"/>
          <w:rtl/>
        </w:rPr>
        <w:t xml:space="preserve"> في أن ثوابه كذا وكذا</w:t>
      </w:r>
      <w:r w:rsidR="00E20861" w:rsidRPr="00282AC9">
        <w:rPr>
          <w:rFonts w:hint="cs"/>
          <w:rtl/>
        </w:rPr>
        <w:t>،</w:t>
      </w:r>
      <w:r w:rsidRPr="00282AC9">
        <w:rPr>
          <w:rFonts w:hint="cs"/>
          <w:rtl/>
        </w:rPr>
        <w:t xml:space="preserve"> جاز العمل بذلك الحديث الضعيف، والحكم بترت</w:t>
      </w:r>
      <w:r w:rsidR="00E20861" w:rsidRPr="00282AC9">
        <w:rPr>
          <w:rFonts w:hint="cs"/>
          <w:rtl/>
        </w:rPr>
        <w:t>ُّ</w:t>
      </w:r>
      <w:r w:rsidRPr="00282AC9">
        <w:rPr>
          <w:rFonts w:hint="cs"/>
          <w:rtl/>
        </w:rPr>
        <w:t>ب ذلك الثواب على ذلك الفعل</w:t>
      </w:r>
      <w:r w:rsidRPr="00282AC9">
        <w:rPr>
          <w:rFonts w:hint="eastAsia"/>
          <w:sz w:val="24"/>
          <w:szCs w:val="24"/>
          <w:rtl/>
        </w:rPr>
        <w:t>»</w:t>
      </w:r>
      <w:r w:rsidRPr="00282AC9">
        <w:rPr>
          <w:vertAlign w:val="superscript"/>
          <w:rtl/>
        </w:rPr>
        <w:t>(</w:t>
      </w:r>
      <w:r w:rsidRPr="00282AC9">
        <w:rPr>
          <w:vertAlign w:val="superscript"/>
          <w:rtl/>
        </w:rPr>
        <w:endnoteReference w:id="182"/>
      </w:r>
      <w:r w:rsidRPr="00282AC9">
        <w:rPr>
          <w:vertAlign w:val="superscript"/>
          <w:rtl/>
        </w:rPr>
        <w:t>)</w:t>
      </w:r>
      <w:r w:rsidR="00E20861" w:rsidRPr="00282AC9">
        <w:rPr>
          <w:rFonts w:hint="cs"/>
          <w:rtl/>
        </w:rPr>
        <w:t>.</w:t>
      </w:r>
    </w:p>
    <w:p w:rsidR="00E20861" w:rsidRPr="00282AC9" w:rsidRDefault="0098597F" w:rsidP="004F097E">
      <w:pPr>
        <w:rPr>
          <w:rtl/>
        </w:rPr>
      </w:pPr>
      <w:r w:rsidRPr="00282AC9">
        <w:rPr>
          <w:rFonts w:hint="cs"/>
          <w:rtl/>
        </w:rPr>
        <w:t>ويبدو أيضاً من الشيخ الح</w:t>
      </w:r>
      <w:r w:rsidR="00E20861" w:rsidRPr="00282AC9">
        <w:rPr>
          <w:rFonts w:hint="cs"/>
          <w:rtl/>
        </w:rPr>
        <w:t>ُ</w:t>
      </w:r>
      <w:r w:rsidRPr="00282AC9">
        <w:rPr>
          <w:rFonts w:hint="cs"/>
          <w:rtl/>
        </w:rPr>
        <w:t>ر</w:t>
      </w:r>
      <w:r w:rsidR="00E20861" w:rsidRPr="00282AC9">
        <w:rPr>
          <w:rFonts w:hint="cs"/>
          <w:rtl/>
        </w:rPr>
        <w:t>ّ</w:t>
      </w:r>
      <w:r w:rsidRPr="00282AC9">
        <w:rPr>
          <w:rFonts w:hint="cs"/>
          <w:rtl/>
        </w:rPr>
        <w:t xml:space="preserve"> العاملي الم</w:t>
      </w:r>
      <w:r w:rsidR="00E20861" w:rsidRPr="00282AC9">
        <w:rPr>
          <w:rFonts w:hint="cs"/>
          <w:rtl/>
        </w:rPr>
        <w:t>َ</w:t>
      </w:r>
      <w:r w:rsidRPr="00282AC9">
        <w:rPr>
          <w:rFonts w:hint="cs"/>
          <w:rtl/>
        </w:rPr>
        <w:t>ي</w:t>
      </w:r>
      <w:r w:rsidR="00E20861" w:rsidRPr="00282AC9">
        <w:rPr>
          <w:rFonts w:hint="cs"/>
          <w:rtl/>
        </w:rPr>
        <w:t>ْ</w:t>
      </w:r>
      <w:r w:rsidRPr="00282AC9">
        <w:rPr>
          <w:rFonts w:hint="cs"/>
          <w:rtl/>
        </w:rPr>
        <w:t xml:space="preserve">ل إليه، قال: </w:t>
      </w:r>
      <w:r w:rsidRPr="00282AC9">
        <w:rPr>
          <w:rFonts w:hint="eastAsia"/>
          <w:sz w:val="24"/>
          <w:szCs w:val="24"/>
          <w:rtl/>
        </w:rPr>
        <w:t>«</w:t>
      </w:r>
      <w:r w:rsidRPr="00282AC9">
        <w:rPr>
          <w:rtl/>
        </w:rPr>
        <w:t>واع</w:t>
      </w:r>
      <w:r w:rsidR="00E20861" w:rsidRPr="00282AC9">
        <w:rPr>
          <w:rFonts w:hint="cs"/>
          <w:rtl/>
        </w:rPr>
        <w:t>ْ</w:t>
      </w:r>
      <w:r w:rsidRPr="00282AC9">
        <w:rPr>
          <w:rtl/>
        </w:rPr>
        <w:t>ل</w:t>
      </w:r>
      <w:r w:rsidR="00E20861" w:rsidRPr="00282AC9">
        <w:rPr>
          <w:rFonts w:hint="cs"/>
          <w:rtl/>
        </w:rPr>
        <w:t>َ</w:t>
      </w:r>
      <w:r w:rsidRPr="00282AC9">
        <w:rPr>
          <w:rtl/>
        </w:rPr>
        <w:t>م</w:t>
      </w:r>
      <w:r w:rsidRPr="00282AC9">
        <w:rPr>
          <w:rFonts w:hint="cs"/>
          <w:rtl/>
        </w:rPr>
        <w:t>ْ</w:t>
      </w:r>
      <w:r w:rsidRPr="00282AC9">
        <w:rPr>
          <w:rtl/>
        </w:rPr>
        <w:t xml:space="preserve"> أن</w:t>
      </w:r>
      <w:r w:rsidRPr="00282AC9">
        <w:rPr>
          <w:rFonts w:hint="cs"/>
          <w:rtl/>
        </w:rPr>
        <w:t>ّ</w:t>
      </w:r>
      <w:r w:rsidRPr="00282AC9">
        <w:rPr>
          <w:rtl/>
        </w:rPr>
        <w:t xml:space="preserve"> هذه الأحاديث لا تدل</w:t>
      </w:r>
      <w:r w:rsidRPr="00282AC9">
        <w:rPr>
          <w:rFonts w:hint="cs"/>
          <w:rtl/>
        </w:rPr>
        <w:t>ّ</w:t>
      </w:r>
      <w:r w:rsidRPr="00282AC9">
        <w:rPr>
          <w:rtl/>
        </w:rPr>
        <w:t xml:space="preserve"> على إثبات الاستحباب بالخبر الضعيف،</w:t>
      </w:r>
      <w:r w:rsidRPr="00282AC9">
        <w:rPr>
          <w:rFonts w:hint="cs"/>
          <w:rtl/>
        </w:rPr>
        <w:t xml:space="preserve"> </w:t>
      </w:r>
      <w:r w:rsidRPr="00282AC9">
        <w:rPr>
          <w:rtl/>
        </w:rPr>
        <w:t xml:space="preserve">ولا على إثبات الإباحة به، بل </w:t>
      </w:r>
      <w:r w:rsidR="00674EF5" w:rsidRPr="00282AC9">
        <w:rPr>
          <w:rtl/>
        </w:rPr>
        <w:t>لا بُدَّ</w:t>
      </w:r>
      <w:r w:rsidRPr="00282AC9">
        <w:rPr>
          <w:rtl/>
        </w:rPr>
        <w:t xml:space="preserve"> من </w:t>
      </w:r>
      <w:r w:rsidRPr="00282AC9">
        <w:rPr>
          <w:rtl/>
        </w:rPr>
        <w:lastRenderedPageBreak/>
        <w:t>العلم بالإباحة والمشروعي</w:t>
      </w:r>
      <w:r w:rsidRPr="00282AC9">
        <w:rPr>
          <w:rFonts w:hint="cs"/>
          <w:rtl/>
        </w:rPr>
        <w:t>ّ</w:t>
      </w:r>
      <w:r w:rsidRPr="00282AC9">
        <w:rPr>
          <w:rtl/>
        </w:rPr>
        <w:t>ة والاستحباب من</w:t>
      </w:r>
      <w:r w:rsidRPr="00282AC9">
        <w:rPr>
          <w:rFonts w:hint="cs"/>
          <w:rtl/>
        </w:rPr>
        <w:t xml:space="preserve"> </w:t>
      </w:r>
      <w:r w:rsidRPr="00282AC9">
        <w:rPr>
          <w:rtl/>
        </w:rPr>
        <w:t>طريق</w:t>
      </w:r>
      <w:r w:rsidR="00E20861" w:rsidRPr="00282AC9">
        <w:rPr>
          <w:rFonts w:hint="cs"/>
          <w:rtl/>
        </w:rPr>
        <w:t>ٍ</w:t>
      </w:r>
      <w:r w:rsidRPr="00282AC9">
        <w:rPr>
          <w:rtl/>
        </w:rPr>
        <w:t xml:space="preserve"> معتمد</w:t>
      </w:r>
      <w:r w:rsidRPr="00282AC9">
        <w:rPr>
          <w:rFonts w:hint="cs"/>
          <w:rtl/>
        </w:rPr>
        <w:t>،</w:t>
      </w:r>
      <w:r w:rsidRPr="00282AC9">
        <w:rPr>
          <w:rtl/>
        </w:rPr>
        <w:t xml:space="preserve"> وإن</w:t>
      </w:r>
      <w:r w:rsidRPr="00282AC9">
        <w:rPr>
          <w:rFonts w:hint="cs"/>
          <w:rtl/>
        </w:rPr>
        <w:t>ّ</w:t>
      </w:r>
      <w:r w:rsidRPr="00282AC9">
        <w:rPr>
          <w:rtl/>
        </w:rPr>
        <w:t>ما يثبت بالخبر الضعيف ترت</w:t>
      </w:r>
      <w:r w:rsidRPr="00282AC9">
        <w:rPr>
          <w:rFonts w:hint="cs"/>
          <w:rtl/>
        </w:rPr>
        <w:t>ّ</w:t>
      </w:r>
      <w:r w:rsidR="00E20861" w:rsidRPr="00282AC9">
        <w:rPr>
          <w:rFonts w:hint="cs"/>
          <w:rtl/>
        </w:rPr>
        <w:t>ُ</w:t>
      </w:r>
      <w:r w:rsidRPr="00282AC9">
        <w:rPr>
          <w:rtl/>
        </w:rPr>
        <w:t>ب الثواب أو مقداره</w:t>
      </w:r>
      <w:r w:rsidR="00E20861" w:rsidRPr="00282AC9">
        <w:rPr>
          <w:rFonts w:hint="cs"/>
          <w:rtl/>
        </w:rPr>
        <w:t>،</w:t>
      </w:r>
      <w:r w:rsidRPr="00282AC9">
        <w:rPr>
          <w:rtl/>
        </w:rPr>
        <w:t xml:space="preserve"> لا غير</w:t>
      </w:r>
      <w:r w:rsidRPr="00282AC9">
        <w:rPr>
          <w:rFonts w:hint="eastAsia"/>
          <w:sz w:val="24"/>
          <w:szCs w:val="24"/>
          <w:rtl/>
        </w:rPr>
        <w:t>»</w:t>
      </w:r>
      <w:r w:rsidRPr="00282AC9">
        <w:rPr>
          <w:vertAlign w:val="superscript"/>
          <w:rtl/>
        </w:rPr>
        <w:t>(</w:t>
      </w:r>
      <w:r w:rsidRPr="00282AC9">
        <w:rPr>
          <w:vertAlign w:val="superscript"/>
          <w:rtl/>
        </w:rPr>
        <w:endnoteReference w:id="183"/>
      </w:r>
      <w:r w:rsidRPr="00282AC9">
        <w:rPr>
          <w:vertAlign w:val="superscript"/>
          <w:rtl/>
        </w:rPr>
        <w:t>)</w:t>
      </w:r>
      <w:r w:rsidRPr="00282AC9">
        <w:rPr>
          <w:rFonts w:hint="cs"/>
          <w:rtl/>
        </w:rPr>
        <w:t>.</w:t>
      </w:r>
    </w:p>
    <w:p w:rsidR="00E20861" w:rsidRPr="00282AC9" w:rsidRDefault="0098597F" w:rsidP="004F097E">
      <w:pPr>
        <w:rPr>
          <w:rtl/>
        </w:rPr>
      </w:pPr>
      <w:r w:rsidRPr="00282AC9">
        <w:rPr>
          <w:rFonts w:hint="cs"/>
          <w:rtl/>
        </w:rPr>
        <w:t>وقد حكاه الشيخ الأنصاري</w:t>
      </w:r>
      <w:r w:rsidRPr="00282AC9">
        <w:rPr>
          <w:vertAlign w:val="superscript"/>
          <w:rtl/>
        </w:rPr>
        <w:t>(</w:t>
      </w:r>
      <w:r w:rsidRPr="00282AC9">
        <w:rPr>
          <w:vertAlign w:val="superscript"/>
          <w:rtl/>
        </w:rPr>
        <w:endnoteReference w:id="184"/>
      </w:r>
      <w:r w:rsidRPr="00282AC9">
        <w:rPr>
          <w:vertAlign w:val="superscript"/>
          <w:rtl/>
        </w:rPr>
        <w:t>)</w:t>
      </w:r>
      <w:r w:rsidRPr="00282AC9">
        <w:rPr>
          <w:rFonts w:hint="cs"/>
          <w:rtl/>
        </w:rPr>
        <w:t xml:space="preserve"> عن جماعة</w:t>
      </w:r>
      <w:r w:rsidR="00E20861" w:rsidRPr="00282AC9">
        <w:rPr>
          <w:rFonts w:hint="cs"/>
          <w:rtl/>
        </w:rPr>
        <w:t>ٍ.</w:t>
      </w:r>
    </w:p>
    <w:p w:rsidR="0098597F" w:rsidRPr="00282AC9" w:rsidRDefault="0098597F" w:rsidP="004F097E">
      <w:pPr>
        <w:rPr>
          <w:rtl/>
        </w:rPr>
      </w:pPr>
      <w:r w:rsidRPr="00282AC9">
        <w:rPr>
          <w:rFonts w:hint="cs"/>
          <w:rtl/>
        </w:rPr>
        <w:t>وذهب إليه بعض علماء السن</w:t>
      </w:r>
      <w:r w:rsidR="00E20861" w:rsidRPr="00282AC9">
        <w:rPr>
          <w:rFonts w:hint="cs"/>
          <w:rtl/>
        </w:rPr>
        <w:t>ّ</w:t>
      </w:r>
      <w:r w:rsidRPr="00282AC9">
        <w:rPr>
          <w:rFonts w:hint="cs"/>
          <w:rtl/>
        </w:rPr>
        <w:t>ة مم</w:t>
      </w:r>
      <w:r w:rsidR="00E20861" w:rsidRPr="00282AC9">
        <w:rPr>
          <w:rFonts w:hint="cs"/>
          <w:rtl/>
        </w:rPr>
        <w:t>َّ</w:t>
      </w:r>
      <w:r w:rsidRPr="00282AC9">
        <w:rPr>
          <w:rFonts w:hint="cs"/>
          <w:rtl/>
        </w:rPr>
        <w:t>ن</w:t>
      </w:r>
      <w:r w:rsidR="00E20861" w:rsidRPr="00282AC9">
        <w:rPr>
          <w:rFonts w:hint="cs"/>
          <w:rtl/>
        </w:rPr>
        <w:t>ْ</w:t>
      </w:r>
      <w:r w:rsidRPr="00282AC9">
        <w:rPr>
          <w:rFonts w:hint="cs"/>
          <w:rtl/>
        </w:rPr>
        <w:t xml:space="preserve"> تقد</w:t>
      </w:r>
      <w:r w:rsidR="00E20861" w:rsidRPr="00282AC9">
        <w:rPr>
          <w:rFonts w:hint="cs"/>
          <w:rtl/>
        </w:rPr>
        <w:t>َّ</w:t>
      </w:r>
      <w:r w:rsidRPr="00282AC9">
        <w:rPr>
          <w:rFonts w:hint="cs"/>
          <w:rtl/>
        </w:rPr>
        <w:t>م</w:t>
      </w:r>
      <w:r w:rsidR="00E20861" w:rsidRPr="00282AC9">
        <w:rPr>
          <w:rFonts w:hint="cs"/>
          <w:rtl/>
        </w:rPr>
        <w:t>َ</w:t>
      </w:r>
      <w:r w:rsidRPr="00282AC9">
        <w:rPr>
          <w:rFonts w:hint="cs"/>
          <w:rtl/>
        </w:rPr>
        <w:t>ت</w:t>
      </w:r>
      <w:r w:rsidR="00E20861" w:rsidRPr="00282AC9">
        <w:rPr>
          <w:rFonts w:hint="cs"/>
          <w:rtl/>
        </w:rPr>
        <w:t>ْ</w:t>
      </w:r>
      <w:r w:rsidRPr="00282AC9">
        <w:rPr>
          <w:rFonts w:hint="cs"/>
          <w:rtl/>
        </w:rPr>
        <w:t xml:space="preserve"> كلماتهم. </w:t>
      </w:r>
    </w:p>
    <w:p w:rsidR="00E20861" w:rsidRPr="00282AC9" w:rsidRDefault="0098597F" w:rsidP="004F097E">
      <w:pPr>
        <w:rPr>
          <w:rtl/>
        </w:rPr>
      </w:pPr>
      <w:r w:rsidRPr="00282AC9">
        <w:rPr>
          <w:rFonts w:hint="cs"/>
          <w:b/>
          <w:bCs/>
          <w:rtl/>
        </w:rPr>
        <w:t>الأمر الثالث</w:t>
      </w:r>
      <w:r w:rsidRPr="00282AC9">
        <w:rPr>
          <w:rFonts w:hint="cs"/>
          <w:rtl/>
        </w:rPr>
        <w:t>: إنّ ما يدل</w:t>
      </w:r>
      <w:r w:rsidR="00E20861" w:rsidRPr="00282AC9">
        <w:rPr>
          <w:rFonts w:hint="cs"/>
          <w:rtl/>
        </w:rPr>
        <w:t>ّ</w:t>
      </w:r>
      <w:r w:rsidRPr="00282AC9">
        <w:rPr>
          <w:rFonts w:hint="cs"/>
          <w:rtl/>
        </w:rPr>
        <w:t xml:space="preserve"> على ترجيح هذ</w:t>
      </w:r>
      <w:r w:rsidR="00E20861" w:rsidRPr="00282AC9">
        <w:rPr>
          <w:rFonts w:hint="cs"/>
          <w:rtl/>
        </w:rPr>
        <w:t>ا</w:t>
      </w:r>
      <w:r w:rsidRPr="00282AC9">
        <w:rPr>
          <w:rFonts w:hint="cs"/>
          <w:rtl/>
        </w:rPr>
        <w:t xml:space="preserve"> الوجه هو بعض الروايات، من قبيل: ما رواه الصدوق</w:t>
      </w:r>
      <w:r w:rsidR="00E20861" w:rsidRPr="00282AC9">
        <w:rPr>
          <w:rFonts w:hint="cs"/>
          <w:rtl/>
        </w:rPr>
        <w:t>،</w:t>
      </w:r>
      <w:r w:rsidRPr="00282AC9">
        <w:rPr>
          <w:rFonts w:hint="cs"/>
          <w:rtl/>
        </w:rPr>
        <w:t xml:space="preserve"> عن</w:t>
      </w:r>
      <w:r w:rsidRPr="00282AC9">
        <w:rPr>
          <w:rFonts w:eastAsia="Calibri"/>
          <w:rtl/>
        </w:rPr>
        <w:t xml:space="preserve"> </w:t>
      </w:r>
      <w:r w:rsidRPr="00282AC9">
        <w:rPr>
          <w:rtl/>
        </w:rPr>
        <w:t>أبي</w:t>
      </w:r>
      <w:r w:rsidRPr="00282AC9">
        <w:rPr>
          <w:rFonts w:hint="cs"/>
          <w:rtl/>
        </w:rPr>
        <w:t xml:space="preserve">ه </w:t>
      </w:r>
      <w:r w:rsidRPr="00282AC9">
        <w:rPr>
          <w:rtl/>
        </w:rPr>
        <w:t>قال</w:t>
      </w:r>
      <w:r w:rsidRPr="00282AC9">
        <w:rPr>
          <w:rFonts w:hint="cs"/>
          <w:rtl/>
        </w:rPr>
        <w:t xml:space="preserve">: </w:t>
      </w:r>
      <w:r w:rsidRPr="00282AC9">
        <w:rPr>
          <w:rtl/>
        </w:rPr>
        <w:t>حد</w:t>
      </w:r>
      <w:r w:rsidR="00E20861" w:rsidRPr="00282AC9">
        <w:rPr>
          <w:rFonts w:hint="cs"/>
          <w:rtl/>
        </w:rPr>
        <w:t>َّ</w:t>
      </w:r>
      <w:r w:rsidRPr="00282AC9">
        <w:rPr>
          <w:rtl/>
        </w:rPr>
        <w:t>ثني علي</w:t>
      </w:r>
      <w:r w:rsidR="00E20861" w:rsidRPr="00282AC9">
        <w:rPr>
          <w:rFonts w:hint="cs"/>
          <w:rtl/>
        </w:rPr>
        <w:t>ّ</w:t>
      </w:r>
      <w:r w:rsidRPr="00282AC9">
        <w:rPr>
          <w:rtl/>
        </w:rPr>
        <w:t xml:space="preserve"> بن موسى</w:t>
      </w:r>
      <w:r w:rsidRPr="00282AC9">
        <w:rPr>
          <w:rFonts w:hint="cs"/>
          <w:rtl/>
        </w:rPr>
        <w:t>،</w:t>
      </w:r>
      <w:r w:rsidRPr="00282AC9">
        <w:rPr>
          <w:rtl/>
        </w:rPr>
        <w:t xml:space="preserve"> عن أحمد بن محمد</w:t>
      </w:r>
      <w:r w:rsidRPr="00282AC9">
        <w:rPr>
          <w:rFonts w:hint="cs"/>
          <w:rtl/>
        </w:rPr>
        <w:t>،</w:t>
      </w:r>
      <w:r w:rsidRPr="00282AC9">
        <w:rPr>
          <w:rtl/>
        </w:rPr>
        <w:t xml:space="preserve"> عن علي</w:t>
      </w:r>
      <w:r w:rsidR="00E20861" w:rsidRPr="00282AC9">
        <w:rPr>
          <w:rFonts w:hint="cs"/>
          <w:rtl/>
        </w:rPr>
        <w:t>ّ</w:t>
      </w:r>
      <w:r w:rsidRPr="00282AC9">
        <w:rPr>
          <w:rtl/>
        </w:rPr>
        <w:t xml:space="preserve"> بن</w:t>
      </w:r>
      <w:r w:rsidRPr="00282AC9">
        <w:rPr>
          <w:rFonts w:hint="cs"/>
          <w:rtl/>
        </w:rPr>
        <w:t xml:space="preserve"> </w:t>
      </w:r>
      <w:r w:rsidRPr="00282AC9">
        <w:rPr>
          <w:rtl/>
        </w:rPr>
        <w:t>الحكم</w:t>
      </w:r>
      <w:r w:rsidRPr="00282AC9">
        <w:rPr>
          <w:rFonts w:hint="cs"/>
          <w:rtl/>
        </w:rPr>
        <w:t>،</w:t>
      </w:r>
      <w:r w:rsidRPr="00282AC9">
        <w:rPr>
          <w:rtl/>
        </w:rPr>
        <w:t xml:space="preserve"> عن هاشم بن صفوان</w:t>
      </w:r>
      <w:r w:rsidRPr="00282AC9">
        <w:rPr>
          <w:rFonts w:hint="cs"/>
          <w:rtl/>
        </w:rPr>
        <w:t>،</w:t>
      </w:r>
      <w:r w:rsidRPr="00282AC9">
        <w:rPr>
          <w:rtl/>
        </w:rPr>
        <w:t xml:space="preserve"> عن أبي عبد الله</w:t>
      </w:r>
      <w:r w:rsidR="006944EC" w:rsidRPr="00282AC9">
        <w:rPr>
          <w:rFonts w:ascii="Mosawi" w:hAnsi="Mosawi" w:cs="Mosawi"/>
          <w:sz w:val="22"/>
          <w:szCs w:val="22"/>
          <w:rtl/>
        </w:rPr>
        <w:t>×</w:t>
      </w:r>
      <w:r w:rsidRPr="00282AC9">
        <w:rPr>
          <w:rtl/>
        </w:rPr>
        <w:t xml:space="preserve"> قال: </w:t>
      </w:r>
      <w:r w:rsidRPr="00282AC9">
        <w:rPr>
          <w:rFonts w:hint="eastAsia"/>
          <w:sz w:val="24"/>
          <w:szCs w:val="24"/>
          <w:rtl/>
        </w:rPr>
        <w:t>«</w:t>
      </w:r>
      <w:r w:rsidRPr="00282AC9">
        <w:rPr>
          <w:rtl/>
        </w:rPr>
        <w:t>م</w:t>
      </w:r>
      <w:r w:rsidR="00E20861" w:rsidRPr="00282AC9">
        <w:rPr>
          <w:rFonts w:hint="cs"/>
          <w:rtl/>
        </w:rPr>
        <w:t>َ</w:t>
      </w:r>
      <w:r w:rsidRPr="00282AC9">
        <w:rPr>
          <w:rtl/>
        </w:rPr>
        <w:t>ن</w:t>
      </w:r>
      <w:r w:rsidR="00E20861" w:rsidRPr="00282AC9">
        <w:rPr>
          <w:rFonts w:hint="cs"/>
          <w:rtl/>
        </w:rPr>
        <w:t>ْ</w:t>
      </w:r>
      <w:r w:rsidRPr="00282AC9">
        <w:rPr>
          <w:rtl/>
        </w:rPr>
        <w:t xml:space="preserve"> بلغه </w:t>
      </w:r>
      <w:r w:rsidRPr="00282AC9">
        <w:rPr>
          <w:rFonts w:hint="cs"/>
          <w:rtl/>
        </w:rPr>
        <w:t>شيء</w:t>
      </w:r>
      <w:r w:rsidR="00E20861" w:rsidRPr="00282AC9">
        <w:rPr>
          <w:rFonts w:hint="cs"/>
          <w:rtl/>
        </w:rPr>
        <w:t>ٌ</w:t>
      </w:r>
      <w:r w:rsidRPr="00282AC9">
        <w:rPr>
          <w:rFonts w:hint="cs"/>
          <w:rtl/>
        </w:rPr>
        <w:t xml:space="preserve"> </w:t>
      </w:r>
      <w:r w:rsidRPr="00282AC9">
        <w:rPr>
          <w:rtl/>
        </w:rPr>
        <w:t>من الثواب على ش</w:t>
      </w:r>
      <w:r w:rsidRPr="00282AC9">
        <w:rPr>
          <w:rFonts w:hint="cs"/>
          <w:rtl/>
        </w:rPr>
        <w:t>يء</w:t>
      </w:r>
      <w:r w:rsidR="00E20861" w:rsidRPr="00282AC9">
        <w:rPr>
          <w:rFonts w:hint="cs"/>
          <w:rtl/>
        </w:rPr>
        <w:t>ٍ</w:t>
      </w:r>
      <w:r w:rsidRPr="00282AC9">
        <w:rPr>
          <w:rtl/>
        </w:rPr>
        <w:t xml:space="preserve"> من خير</w:t>
      </w:r>
      <w:r w:rsidR="00E20861" w:rsidRPr="00282AC9">
        <w:rPr>
          <w:rFonts w:hint="cs"/>
          <w:rtl/>
        </w:rPr>
        <w:t>ٍ،</w:t>
      </w:r>
      <w:r w:rsidRPr="00282AC9">
        <w:rPr>
          <w:rtl/>
        </w:rPr>
        <w:t xml:space="preserve"> فعمله</w:t>
      </w:r>
      <w:r w:rsidR="00E20861" w:rsidRPr="00282AC9">
        <w:rPr>
          <w:rFonts w:hint="cs"/>
          <w:rtl/>
        </w:rPr>
        <w:t>،</w:t>
      </w:r>
      <w:r w:rsidRPr="00282AC9">
        <w:rPr>
          <w:rtl/>
        </w:rPr>
        <w:t xml:space="preserve"> كان له أجر</w:t>
      </w:r>
      <w:r w:rsidR="00E20861" w:rsidRPr="00282AC9">
        <w:rPr>
          <w:rFonts w:hint="cs"/>
          <w:rtl/>
        </w:rPr>
        <w:t>ُ</w:t>
      </w:r>
      <w:r w:rsidRPr="00282AC9">
        <w:rPr>
          <w:rtl/>
        </w:rPr>
        <w:t xml:space="preserve"> ذلك</w:t>
      </w:r>
      <w:r w:rsidR="00E20861" w:rsidRPr="00282AC9">
        <w:rPr>
          <w:rFonts w:hint="cs"/>
          <w:rtl/>
        </w:rPr>
        <w:t>،</w:t>
      </w:r>
      <w:r w:rsidRPr="00282AC9">
        <w:rPr>
          <w:rtl/>
        </w:rPr>
        <w:t xml:space="preserve"> وإن</w:t>
      </w:r>
      <w:r w:rsidR="00E20861" w:rsidRPr="00282AC9">
        <w:rPr>
          <w:rFonts w:hint="cs"/>
          <w:rtl/>
        </w:rPr>
        <w:t>ْ</w:t>
      </w:r>
      <w:r w:rsidRPr="00282AC9">
        <w:rPr>
          <w:rtl/>
        </w:rPr>
        <w:t xml:space="preserve"> كان رسول</w:t>
      </w:r>
      <w:r w:rsidRPr="00282AC9">
        <w:rPr>
          <w:rFonts w:hint="cs"/>
          <w:rtl/>
        </w:rPr>
        <w:t xml:space="preserve"> </w:t>
      </w:r>
      <w:r w:rsidRPr="00282AC9">
        <w:rPr>
          <w:rtl/>
        </w:rPr>
        <w:t>الله</w:t>
      </w:r>
      <w:r w:rsidR="009A2A04" w:rsidRPr="00282AC9">
        <w:rPr>
          <w:rFonts w:ascii="Mosawi" w:hAnsi="Mosawi" w:cs="Mosawi" w:hint="cs"/>
          <w:sz w:val="22"/>
          <w:szCs w:val="22"/>
          <w:rtl/>
        </w:rPr>
        <w:t>|</w:t>
      </w:r>
      <w:r w:rsidRPr="00282AC9">
        <w:rPr>
          <w:rtl/>
        </w:rPr>
        <w:t xml:space="preserve"> لم يق</w:t>
      </w:r>
      <w:r w:rsidR="00E20861" w:rsidRPr="00282AC9">
        <w:rPr>
          <w:rFonts w:hint="cs"/>
          <w:rtl/>
        </w:rPr>
        <w:t>ُ</w:t>
      </w:r>
      <w:r w:rsidRPr="00282AC9">
        <w:rPr>
          <w:rtl/>
        </w:rPr>
        <w:t>ل</w:t>
      </w:r>
      <w:r w:rsidR="00E20861" w:rsidRPr="00282AC9">
        <w:rPr>
          <w:rFonts w:hint="cs"/>
          <w:rtl/>
        </w:rPr>
        <w:t>ْ</w:t>
      </w:r>
      <w:r w:rsidRPr="00282AC9">
        <w:rPr>
          <w:rtl/>
        </w:rPr>
        <w:t>ه</w:t>
      </w:r>
      <w:r w:rsidRPr="00282AC9">
        <w:rPr>
          <w:rFonts w:hint="eastAsia"/>
          <w:sz w:val="24"/>
          <w:szCs w:val="24"/>
          <w:rtl/>
        </w:rPr>
        <w:t>»</w:t>
      </w:r>
      <w:r w:rsidRPr="00282AC9">
        <w:rPr>
          <w:vertAlign w:val="superscript"/>
          <w:rtl/>
        </w:rPr>
        <w:t>(</w:t>
      </w:r>
      <w:r w:rsidRPr="00282AC9">
        <w:rPr>
          <w:vertAlign w:val="superscript"/>
          <w:rtl/>
        </w:rPr>
        <w:endnoteReference w:id="185"/>
      </w:r>
      <w:r w:rsidRPr="00282AC9">
        <w:rPr>
          <w:vertAlign w:val="superscript"/>
          <w:rtl/>
        </w:rPr>
        <w:t>)</w:t>
      </w:r>
      <w:r w:rsidRPr="00282AC9">
        <w:rPr>
          <w:rtl/>
        </w:rPr>
        <w:t>.</w:t>
      </w:r>
    </w:p>
    <w:p w:rsidR="00E20861" w:rsidRPr="00282AC9" w:rsidRDefault="0098597F" w:rsidP="004F097E">
      <w:pPr>
        <w:rPr>
          <w:rtl/>
        </w:rPr>
      </w:pPr>
      <w:r w:rsidRPr="00282AC9">
        <w:rPr>
          <w:rFonts w:hint="cs"/>
          <w:rtl/>
        </w:rPr>
        <w:t>وهي واضحة</w:t>
      </w:r>
      <w:r w:rsidR="00E20861" w:rsidRPr="00282AC9">
        <w:rPr>
          <w:rFonts w:hint="cs"/>
          <w:rtl/>
        </w:rPr>
        <w:t>ُ</w:t>
      </w:r>
      <w:r w:rsidRPr="00282AC9">
        <w:rPr>
          <w:rFonts w:hint="cs"/>
          <w:rtl/>
        </w:rPr>
        <w:t xml:space="preserve"> الدلالة على أنّ </w:t>
      </w:r>
      <w:r w:rsidRPr="00282AC9">
        <w:rPr>
          <w:rtl/>
        </w:rPr>
        <w:t>خيري</w:t>
      </w:r>
      <w:r w:rsidRPr="00282AC9">
        <w:rPr>
          <w:rFonts w:hint="cs"/>
          <w:rtl/>
        </w:rPr>
        <w:t>ّ</w:t>
      </w:r>
      <w:r w:rsidRPr="00282AC9">
        <w:rPr>
          <w:rtl/>
        </w:rPr>
        <w:t>ة العمل ثابتة</w:t>
      </w:r>
      <w:r w:rsidR="00E20861" w:rsidRPr="00282AC9">
        <w:rPr>
          <w:rFonts w:hint="cs"/>
          <w:rtl/>
        </w:rPr>
        <w:t>ٌ</w:t>
      </w:r>
      <w:r w:rsidRPr="00282AC9">
        <w:rPr>
          <w:rtl/>
        </w:rPr>
        <w:t xml:space="preserve"> بدليل</w:t>
      </w:r>
      <w:r w:rsidR="00E20861" w:rsidRPr="00282AC9">
        <w:rPr>
          <w:rFonts w:hint="cs"/>
          <w:rtl/>
        </w:rPr>
        <w:t>ٍ</w:t>
      </w:r>
      <w:r w:rsidRPr="00282AC9">
        <w:rPr>
          <w:rtl/>
        </w:rPr>
        <w:t xml:space="preserve"> سابق على البلوغ</w:t>
      </w:r>
      <w:r w:rsidR="00E20861" w:rsidRPr="00282AC9">
        <w:rPr>
          <w:rFonts w:hint="cs"/>
          <w:rtl/>
        </w:rPr>
        <w:t>.</w:t>
      </w:r>
    </w:p>
    <w:p w:rsidR="0098597F" w:rsidRPr="00282AC9" w:rsidRDefault="00674EF5" w:rsidP="004F097E">
      <w:pPr>
        <w:rPr>
          <w:rtl/>
        </w:rPr>
      </w:pPr>
      <w:r w:rsidRPr="00282AC9">
        <w:rPr>
          <w:rFonts w:hint="cs"/>
          <w:rtl/>
        </w:rPr>
        <w:t>بَيْدَ</w:t>
      </w:r>
      <w:r w:rsidR="0098597F" w:rsidRPr="00282AC9">
        <w:rPr>
          <w:rFonts w:hint="cs"/>
          <w:rtl/>
        </w:rPr>
        <w:t xml:space="preserve"> أنّ الرواية ضعيفة السند بعلي</w:t>
      </w:r>
      <w:r w:rsidR="00E20861" w:rsidRPr="00282AC9">
        <w:rPr>
          <w:rFonts w:hint="cs"/>
          <w:rtl/>
        </w:rPr>
        <w:t>ّ</w:t>
      </w:r>
      <w:r w:rsidR="0098597F" w:rsidRPr="00282AC9">
        <w:rPr>
          <w:rFonts w:hint="cs"/>
          <w:rtl/>
        </w:rPr>
        <w:t xml:space="preserve"> بن موسى.</w:t>
      </w:r>
    </w:p>
    <w:p w:rsidR="00F449D7" w:rsidRPr="00282AC9" w:rsidRDefault="0098597F" w:rsidP="004F097E">
      <w:pPr>
        <w:rPr>
          <w:rtl/>
        </w:rPr>
      </w:pPr>
      <w:r w:rsidRPr="00282AC9">
        <w:rPr>
          <w:rFonts w:hint="cs"/>
          <w:rtl/>
        </w:rPr>
        <w:t xml:space="preserve"> والدلالة عينها نجدها في</w:t>
      </w:r>
      <w:r w:rsidR="00F449D7" w:rsidRPr="00282AC9">
        <w:rPr>
          <w:rFonts w:hint="cs"/>
          <w:rtl/>
        </w:rPr>
        <w:t xml:space="preserve"> </w:t>
      </w:r>
      <w:r w:rsidRPr="00282AC9">
        <w:rPr>
          <w:rFonts w:hint="cs"/>
          <w:rtl/>
        </w:rPr>
        <w:t xml:space="preserve">ما </w:t>
      </w:r>
      <w:r w:rsidRPr="00282AC9">
        <w:rPr>
          <w:rtl/>
        </w:rPr>
        <w:t>رو</w:t>
      </w:r>
      <w:r w:rsidRPr="00282AC9">
        <w:rPr>
          <w:rFonts w:hint="cs"/>
          <w:rtl/>
        </w:rPr>
        <w:t>اه</w:t>
      </w:r>
      <w:r w:rsidRPr="00282AC9">
        <w:rPr>
          <w:rtl/>
        </w:rPr>
        <w:t xml:space="preserve"> الصدوق</w:t>
      </w:r>
      <w:r w:rsidR="00F449D7" w:rsidRPr="00282AC9">
        <w:rPr>
          <w:rFonts w:hint="cs"/>
          <w:rtl/>
        </w:rPr>
        <w:t>،</w:t>
      </w:r>
      <w:r w:rsidRPr="00282AC9">
        <w:rPr>
          <w:rtl/>
        </w:rPr>
        <w:t xml:space="preserve"> عن محمد بن يعقوب</w:t>
      </w:r>
      <w:r w:rsidR="00F449D7" w:rsidRPr="00282AC9">
        <w:rPr>
          <w:rFonts w:hint="cs"/>
          <w:rtl/>
        </w:rPr>
        <w:t>،</w:t>
      </w:r>
      <w:r w:rsidRPr="00282AC9">
        <w:rPr>
          <w:rtl/>
        </w:rPr>
        <w:t xml:space="preserve"> بطرقه إلى الأئم</w:t>
      </w:r>
      <w:r w:rsidR="00F449D7" w:rsidRPr="00282AC9">
        <w:rPr>
          <w:rFonts w:hint="cs"/>
          <w:rtl/>
        </w:rPr>
        <w:t>ّ</w:t>
      </w:r>
      <w:r w:rsidRPr="00282AC9">
        <w:rPr>
          <w:rtl/>
        </w:rPr>
        <w:t>ة</w:t>
      </w:r>
      <w:r w:rsidR="00876ECA" w:rsidRPr="00282AC9">
        <w:rPr>
          <w:rFonts w:ascii="Mosawi" w:hAnsi="Mosawi" w:cs="Mosawi" w:hint="cs"/>
          <w:sz w:val="22"/>
          <w:szCs w:val="22"/>
          <w:rtl/>
        </w:rPr>
        <w:t>^</w:t>
      </w:r>
      <w:r w:rsidRPr="00282AC9">
        <w:rPr>
          <w:rtl/>
        </w:rPr>
        <w:t xml:space="preserve">: </w:t>
      </w:r>
      <w:r w:rsidRPr="00282AC9">
        <w:rPr>
          <w:rFonts w:hint="eastAsia"/>
          <w:sz w:val="24"/>
          <w:szCs w:val="24"/>
          <w:rtl/>
        </w:rPr>
        <w:t>«</w:t>
      </w:r>
      <w:r w:rsidRPr="00282AC9">
        <w:rPr>
          <w:rFonts w:hint="cs"/>
          <w:rtl/>
        </w:rPr>
        <w:t>إ</w:t>
      </w:r>
      <w:r w:rsidRPr="00282AC9">
        <w:rPr>
          <w:rtl/>
        </w:rPr>
        <w:t>ن</w:t>
      </w:r>
      <w:r w:rsidRPr="00282AC9">
        <w:rPr>
          <w:rFonts w:hint="cs"/>
          <w:rtl/>
        </w:rPr>
        <w:t>ّ</w:t>
      </w:r>
      <w:r w:rsidRPr="00282AC9">
        <w:rPr>
          <w:rtl/>
        </w:rPr>
        <w:t xml:space="preserve"> م</w:t>
      </w:r>
      <w:r w:rsidR="00F449D7" w:rsidRPr="00282AC9">
        <w:rPr>
          <w:rFonts w:hint="cs"/>
          <w:rtl/>
        </w:rPr>
        <w:t>َ</w:t>
      </w:r>
      <w:r w:rsidRPr="00282AC9">
        <w:rPr>
          <w:rtl/>
        </w:rPr>
        <w:t>ن</w:t>
      </w:r>
      <w:r w:rsidR="00F449D7" w:rsidRPr="00282AC9">
        <w:rPr>
          <w:rFonts w:hint="cs"/>
          <w:rtl/>
        </w:rPr>
        <w:t>ْ</w:t>
      </w:r>
      <w:r w:rsidRPr="00282AC9">
        <w:rPr>
          <w:rFonts w:hint="cs"/>
          <w:rtl/>
        </w:rPr>
        <w:t xml:space="preserve"> </w:t>
      </w:r>
      <w:r w:rsidRPr="00282AC9">
        <w:rPr>
          <w:rtl/>
        </w:rPr>
        <w:t>بلغه ش</w:t>
      </w:r>
      <w:r w:rsidRPr="00282AC9">
        <w:rPr>
          <w:rFonts w:hint="cs"/>
          <w:rtl/>
        </w:rPr>
        <w:t>يء</w:t>
      </w:r>
      <w:r w:rsidR="00F449D7" w:rsidRPr="00282AC9">
        <w:rPr>
          <w:rFonts w:hint="cs"/>
          <w:rtl/>
        </w:rPr>
        <w:t>ٌ</w:t>
      </w:r>
      <w:r w:rsidRPr="00282AC9">
        <w:rPr>
          <w:rtl/>
        </w:rPr>
        <w:t xml:space="preserve"> من الخير</w:t>
      </w:r>
      <w:r w:rsidR="00F449D7" w:rsidRPr="00282AC9">
        <w:rPr>
          <w:rFonts w:hint="cs"/>
          <w:rtl/>
        </w:rPr>
        <w:t>،</w:t>
      </w:r>
      <w:r w:rsidRPr="00282AC9">
        <w:rPr>
          <w:rtl/>
        </w:rPr>
        <w:t xml:space="preserve"> فعمل به</w:t>
      </w:r>
      <w:r w:rsidR="00F449D7" w:rsidRPr="00282AC9">
        <w:rPr>
          <w:rFonts w:hint="cs"/>
          <w:rtl/>
        </w:rPr>
        <w:t>،</w:t>
      </w:r>
      <w:r w:rsidRPr="00282AC9">
        <w:rPr>
          <w:rtl/>
        </w:rPr>
        <w:t xml:space="preserve"> كان له من الثواب ما بلغه</w:t>
      </w:r>
      <w:r w:rsidR="00F449D7" w:rsidRPr="00282AC9">
        <w:rPr>
          <w:rFonts w:hint="cs"/>
          <w:rtl/>
        </w:rPr>
        <w:t>،</w:t>
      </w:r>
      <w:r w:rsidRPr="00282AC9">
        <w:rPr>
          <w:rtl/>
        </w:rPr>
        <w:t xml:space="preserve"> و</w:t>
      </w:r>
      <w:r w:rsidRPr="00282AC9">
        <w:rPr>
          <w:rFonts w:hint="cs"/>
          <w:rtl/>
        </w:rPr>
        <w:t>إ</w:t>
      </w:r>
      <w:r w:rsidRPr="00282AC9">
        <w:rPr>
          <w:rtl/>
        </w:rPr>
        <w:t>ن</w:t>
      </w:r>
      <w:r w:rsidRPr="00282AC9">
        <w:rPr>
          <w:rFonts w:hint="cs"/>
          <w:rtl/>
        </w:rPr>
        <w:t>ْ</w:t>
      </w:r>
      <w:r w:rsidRPr="00282AC9">
        <w:rPr>
          <w:rtl/>
        </w:rPr>
        <w:t xml:space="preserve"> لم يكن ال</w:t>
      </w:r>
      <w:r w:rsidRPr="00282AC9">
        <w:rPr>
          <w:rFonts w:hint="cs"/>
          <w:rtl/>
        </w:rPr>
        <w:t>أ</w:t>
      </w:r>
      <w:r w:rsidRPr="00282AC9">
        <w:rPr>
          <w:rtl/>
        </w:rPr>
        <w:t>مر كما ن</w:t>
      </w:r>
      <w:r w:rsidR="00F449D7" w:rsidRPr="00282AC9">
        <w:rPr>
          <w:rFonts w:hint="cs"/>
          <w:rtl/>
        </w:rPr>
        <w:t>ُ</w:t>
      </w:r>
      <w:r w:rsidRPr="00282AC9">
        <w:rPr>
          <w:rtl/>
        </w:rPr>
        <w:t>قل إليه</w:t>
      </w:r>
      <w:r w:rsidRPr="00282AC9">
        <w:rPr>
          <w:rFonts w:hint="eastAsia"/>
          <w:sz w:val="24"/>
          <w:szCs w:val="24"/>
          <w:rtl/>
        </w:rPr>
        <w:t>»</w:t>
      </w:r>
      <w:r w:rsidRPr="00282AC9">
        <w:rPr>
          <w:vertAlign w:val="superscript"/>
          <w:rtl/>
        </w:rPr>
        <w:t>(</w:t>
      </w:r>
      <w:r w:rsidRPr="00282AC9">
        <w:rPr>
          <w:vertAlign w:val="superscript"/>
          <w:rtl/>
        </w:rPr>
        <w:endnoteReference w:id="186"/>
      </w:r>
      <w:r w:rsidRPr="00282AC9">
        <w:rPr>
          <w:vertAlign w:val="superscript"/>
          <w:rtl/>
        </w:rPr>
        <w:t>)</w:t>
      </w:r>
      <w:r w:rsidRPr="00282AC9">
        <w:rPr>
          <w:rtl/>
        </w:rPr>
        <w:t>.</w:t>
      </w:r>
    </w:p>
    <w:p w:rsidR="0098597F" w:rsidRPr="00282AC9" w:rsidRDefault="0098597F" w:rsidP="004F097E">
      <w:pPr>
        <w:rPr>
          <w:rtl/>
        </w:rPr>
      </w:pPr>
      <w:r w:rsidRPr="00282AC9">
        <w:rPr>
          <w:rFonts w:hint="cs"/>
          <w:rtl/>
        </w:rPr>
        <w:t>وهذه أيضاً ضعيفة السند بالإرسال، فتصلح لتأييد سابقتها.</w:t>
      </w:r>
    </w:p>
    <w:p w:rsidR="0098597F" w:rsidRPr="00282AC9" w:rsidRDefault="0098597F" w:rsidP="004F097E">
      <w:pPr>
        <w:rPr>
          <w:rtl/>
        </w:rPr>
      </w:pPr>
      <w:r w:rsidRPr="00282AC9">
        <w:rPr>
          <w:rtl/>
        </w:rPr>
        <w:t>و</w:t>
      </w:r>
      <w:r w:rsidRPr="00282AC9">
        <w:rPr>
          <w:rFonts w:hint="cs"/>
          <w:rtl/>
        </w:rPr>
        <w:t xml:space="preserve">في </w:t>
      </w:r>
      <w:r w:rsidRPr="00282AC9">
        <w:rPr>
          <w:rtl/>
        </w:rPr>
        <w:t>خبر</w:t>
      </w:r>
      <w:r w:rsidRPr="00282AC9">
        <w:rPr>
          <w:rFonts w:hint="cs"/>
          <w:rtl/>
        </w:rPr>
        <w:t xml:space="preserve"> </w:t>
      </w:r>
      <w:r w:rsidRPr="00282AC9">
        <w:rPr>
          <w:rtl/>
        </w:rPr>
        <w:t>مح</w:t>
      </w:r>
      <w:r w:rsidR="00F449D7" w:rsidRPr="00282AC9">
        <w:rPr>
          <w:rtl/>
        </w:rPr>
        <w:t>م</w:t>
      </w:r>
      <w:r w:rsidRPr="00282AC9">
        <w:rPr>
          <w:rtl/>
        </w:rPr>
        <w:t>د بن مروان قال</w:t>
      </w:r>
      <w:r w:rsidRPr="00282AC9">
        <w:rPr>
          <w:rFonts w:hint="cs"/>
          <w:rtl/>
        </w:rPr>
        <w:t xml:space="preserve">: </w:t>
      </w:r>
      <w:r w:rsidRPr="00282AC9">
        <w:rPr>
          <w:rtl/>
        </w:rPr>
        <w:t>سمعت</w:t>
      </w:r>
      <w:r w:rsidR="00F449D7" w:rsidRPr="00282AC9">
        <w:rPr>
          <w:rFonts w:hint="cs"/>
          <w:rtl/>
        </w:rPr>
        <w:t>ُ</w:t>
      </w:r>
      <w:r w:rsidRPr="00282AC9">
        <w:rPr>
          <w:rtl/>
        </w:rPr>
        <w:t xml:space="preserve"> أبا جعف</w:t>
      </w:r>
      <w:r w:rsidR="00F449D7" w:rsidRPr="00282AC9">
        <w:rPr>
          <w:rtl/>
        </w:rPr>
        <w:t>ر</w:t>
      </w:r>
      <w:r w:rsidR="009A2A04" w:rsidRPr="00282AC9">
        <w:rPr>
          <w:rFonts w:ascii="Mosawi" w:hAnsi="Mosawi" w:cs="Mosawi"/>
          <w:sz w:val="22"/>
          <w:szCs w:val="22"/>
          <w:rtl/>
        </w:rPr>
        <w:t>×</w:t>
      </w:r>
      <w:r w:rsidRPr="00282AC9">
        <w:rPr>
          <w:rtl/>
        </w:rPr>
        <w:t xml:space="preserve"> يقول</w:t>
      </w:r>
      <w:r w:rsidRPr="00282AC9">
        <w:rPr>
          <w:rFonts w:hint="cs"/>
          <w:rtl/>
        </w:rPr>
        <w:t xml:space="preserve">: </w:t>
      </w:r>
      <w:r w:rsidRPr="00282AC9">
        <w:rPr>
          <w:rFonts w:hint="eastAsia"/>
          <w:sz w:val="24"/>
          <w:szCs w:val="24"/>
          <w:rtl/>
        </w:rPr>
        <w:t>«</w:t>
      </w:r>
      <w:r w:rsidRPr="00282AC9">
        <w:rPr>
          <w:rtl/>
        </w:rPr>
        <w:t>م</w:t>
      </w:r>
      <w:r w:rsidR="00F449D7" w:rsidRPr="00282AC9">
        <w:rPr>
          <w:rFonts w:hint="cs"/>
          <w:rtl/>
        </w:rPr>
        <w:t>َ</w:t>
      </w:r>
      <w:r w:rsidRPr="00282AC9">
        <w:rPr>
          <w:rtl/>
        </w:rPr>
        <w:t>ن</w:t>
      </w:r>
      <w:r w:rsidR="00F449D7" w:rsidRPr="00282AC9">
        <w:rPr>
          <w:rFonts w:hint="cs"/>
          <w:rtl/>
        </w:rPr>
        <w:t>ْ</w:t>
      </w:r>
      <w:r w:rsidRPr="00282AC9">
        <w:rPr>
          <w:rtl/>
        </w:rPr>
        <w:t xml:space="preserve"> بلغه ثوابٌ من </w:t>
      </w:r>
      <w:r w:rsidR="006D28AF" w:rsidRPr="00282AC9">
        <w:rPr>
          <w:rtl/>
        </w:rPr>
        <w:t>الل</w:t>
      </w:r>
      <w:r w:rsidR="00A40022" w:rsidRPr="00282AC9">
        <w:rPr>
          <w:rtl/>
        </w:rPr>
        <w:t>ه على عم</w:t>
      </w:r>
      <w:r w:rsidR="00A40022" w:rsidRPr="00282AC9">
        <w:rPr>
          <w:rFonts w:hint="cs"/>
          <w:rtl/>
        </w:rPr>
        <w:t>لٍ</w:t>
      </w:r>
      <w:r w:rsidR="00F449D7" w:rsidRPr="00282AC9">
        <w:rPr>
          <w:rFonts w:hint="cs"/>
          <w:rtl/>
        </w:rPr>
        <w:t>،</w:t>
      </w:r>
      <w:r w:rsidRPr="00282AC9">
        <w:rPr>
          <w:rtl/>
        </w:rPr>
        <w:t xml:space="preserve"> فعمل ذلك العمل</w:t>
      </w:r>
      <w:r w:rsidR="00F449D7" w:rsidRPr="00282AC9">
        <w:rPr>
          <w:rFonts w:hint="cs"/>
          <w:rtl/>
        </w:rPr>
        <w:t>؛</w:t>
      </w:r>
      <w:r w:rsidRPr="00282AC9">
        <w:rPr>
          <w:rtl/>
        </w:rPr>
        <w:t xml:space="preserve"> التماس ذلك</w:t>
      </w:r>
      <w:r w:rsidR="00F449D7" w:rsidRPr="00282AC9">
        <w:rPr>
          <w:rtl/>
        </w:rPr>
        <w:t xml:space="preserve"> الث</w:t>
      </w:r>
      <w:r w:rsidRPr="00282AC9">
        <w:rPr>
          <w:rtl/>
        </w:rPr>
        <w:t>واب</w:t>
      </w:r>
      <w:r w:rsidR="00F449D7" w:rsidRPr="00282AC9">
        <w:rPr>
          <w:rFonts w:hint="cs"/>
          <w:rtl/>
        </w:rPr>
        <w:t>،</w:t>
      </w:r>
      <w:r w:rsidRPr="00282AC9">
        <w:rPr>
          <w:rtl/>
        </w:rPr>
        <w:t xml:space="preserve"> أوتيه</w:t>
      </w:r>
      <w:r w:rsidR="00F449D7" w:rsidRPr="00282AC9">
        <w:rPr>
          <w:rFonts w:hint="cs"/>
          <w:rtl/>
        </w:rPr>
        <w:t>،</w:t>
      </w:r>
      <w:r w:rsidRPr="00282AC9">
        <w:rPr>
          <w:rtl/>
        </w:rPr>
        <w:t xml:space="preserve"> وإن</w:t>
      </w:r>
      <w:r w:rsidR="00F449D7" w:rsidRPr="00282AC9">
        <w:rPr>
          <w:rFonts w:hint="cs"/>
          <w:rtl/>
        </w:rPr>
        <w:t>ْ</w:t>
      </w:r>
      <w:r w:rsidRPr="00282AC9">
        <w:rPr>
          <w:rtl/>
        </w:rPr>
        <w:t xml:space="preserve"> لم يكن الحديث كما بلغه</w:t>
      </w:r>
      <w:r w:rsidRPr="00282AC9">
        <w:rPr>
          <w:rFonts w:hint="eastAsia"/>
          <w:sz w:val="24"/>
          <w:szCs w:val="24"/>
          <w:rtl/>
        </w:rPr>
        <w:t>»</w:t>
      </w:r>
      <w:r w:rsidRPr="00282AC9">
        <w:rPr>
          <w:vertAlign w:val="superscript"/>
          <w:rtl/>
        </w:rPr>
        <w:t>(</w:t>
      </w:r>
      <w:r w:rsidRPr="00282AC9">
        <w:rPr>
          <w:vertAlign w:val="superscript"/>
          <w:rtl/>
        </w:rPr>
        <w:endnoteReference w:id="187"/>
      </w:r>
      <w:r w:rsidRPr="00282AC9">
        <w:rPr>
          <w:vertAlign w:val="superscript"/>
          <w:rtl/>
        </w:rPr>
        <w:t>)</w:t>
      </w:r>
      <w:r w:rsidRPr="00282AC9">
        <w:rPr>
          <w:rFonts w:hint="cs"/>
          <w:rtl/>
        </w:rPr>
        <w:t xml:space="preserve">، </w:t>
      </w:r>
      <w:r w:rsidRPr="00282AC9">
        <w:rPr>
          <w:rtl/>
        </w:rPr>
        <w:t>فإنه</w:t>
      </w:r>
      <w:r w:rsidR="00F449D7" w:rsidRPr="00282AC9">
        <w:rPr>
          <w:rFonts w:hint="cs"/>
          <w:rtl/>
        </w:rPr>
        <w:t>؛</w:t>
      </w:r>
      <w:r w:rsidRPr="00282AC9">
        <w:rPr>
          <w:rtl/>
        </w:rPr>
        <w:t xml:space="preserve"> </w:t>
      </w:r>
      <w:r w:rsidRPr="00282AC9">
        <w:rPr>
          <w:rFonts w:hint="cs"/>
          <w:rtl/>
        </w:rPr>
        <w:t>وبلحاظ ذ</w:t>
      </w:r>
      <w:r w:rsidR="00F449D7" w:rsidRPr="00282AC9">
        <w:rPr>
          <w:rFonts w:hint="cs"/>
          <w:rtl/>
        </w:rPr>
        <w:t>َ</w:t>
      </w:r>
      <w:r w:rsidRPr="00282AC9">
        <w:rPr>
          <w:rFonts w:hint="cs"/>
          <w:rtl/>
        </w:rPr>
        <w:t>ي</w:t>
      </w:r>
      <w:r w:rsidR="00F449D7" w:rsidRPr="00282AC9">
        <w:rPr>
          <w:rFonts w:hint="cs"/>
          <w:rtl/>
        </w:rPr>
        <w:t>ْ</w:t>
      </w:r>
      <w:r w:rsidRPr="00282AC9">
        <w:rPr>
          <w:rFonts w:hint="cs"/>
          <w:rtl/>
        </w:rPr>
        <w:t>له</w:t>
      </w:r>
      <w:r w:rsidR="00F449D7" w:rsidRPr="00282AC9">
        <w:rPr>
          <w:rFonts w:hint="cs"/>
          <w:rtl/>
        </w:rPr>
        <w:t>،</w:t>
      </w:r>
      <w:r w:rsidRPr="00282AC9">
        <w:rPr>
          <w:rFonts w:hint="cs"/>
          <w:rtl/>
        </w:rPr>
        <w:t xml:space="preserve"> </w:t>
      </w:r>
      <w:r w:rsidRPr="00282AC9">
        <w:rPr>
          <w:rtl/>
        </w:rPr>
        <w:t>م</w:t>
      </w:r>
      <w:r w:rsidR="00F449D7" w:rsidRPr="00282AC9">
        <w:rPr>
          <w:rFonts w:hint="cs"/>
          <w:rtl/>
        </w:rPr>
        <w:t>ُ</w:t>
      </w:r>
      <w:r w:rsidRPr="00282AC9">
        <w:rPr>
          <w:rtl/>
        </w:rPr>
        <w:t>ش</w:t>
      </w:r>
      <w:r w:rsidR="00F449D7" w:rsidRPr="00282AC9">
        <w:rPr>
          <w:rFonts w:hint="cs"/>
          <w:rtl/>
        </w:rPr>
        <w:t>ْ</w:t>
      </w:r>
      <w:r w:rsidRPr="00282AC9">
        <w:rPr>
          <w:rtl/>
        </w:rPr>
        <w:t>ع</w:t>
      </w:r>
      <w:r w:rsidR="00F449D7" w:rsidRPr="00282AC9">
        <w:rPr>
          <w:rFonts w:hint="cs"/>
          <w:rtl/>
        </w:rPr>
        <w:t>ِ</w:t>
      </w:r>
      <w:r w:rsidRPr="00282AC9">
        <w:rPr>
          <w:rtl/>
        </w:rPr>
        <w:t>ر</w:t>
      </w:r>
      <w:r w:rsidR="00F449D7" w:rsidRPr="00282AC9">
        <w:rPr>
          <w:rFonts w:hint="cs"/>
          <w:rtl/>
        </w:rPr>
        <w:t>ٌ</w:t>
      </w:r>
      <w:r w:rsidRPr="00282AC9">
        <w:rPr>
          <w:rtl/>
        </w:rPr>
        <w:t xml:space="preserve"> </w:t>
      </w:r>
      <w:r w:rsidRPr="00282AC9">
        <w:rPr>
          <w:rFonts w:hint="cs"/>
          <w:rtl/>
        </w:rPr>
        <w:t>ـ إن</w:t>
      </w:r>
      <w:r w:rsidR="00F449D7" w:rsidRPr="00282AC9">
        <w:rPr>
          <w:rFonts w:hint="cs"/>
          <w:rtl/>
        </w:rPr>
        <w:t>ْ</w:t>
      </w:r>
      <w:r w:rsidRPr="00282AC9">
        <w:rPr>
          <w:rFonts w:hint="cs"/>
          <w:rtl/>
        </w:rPr>
        <w:t xml:space="preserve"> لم يكن </w:t>
      </w:r>
      <w:r w:rsidRPr="00282AC9">
        <w:rPr>
          <w:rtl/>
        </w:rPr>
        <w:t>ظاهر</w:t>
      </w:r>
      <w:r w:rsidRPr="00282AC9">
        <w:rPr>
          <w:rFonts w:hint="cs"/>
          <w:rtl/>
        </w:rPr>
        <w:t>اً</w:t>
      </w:r>
      <w:r w:rsidRPr="00282AC9">
        <w:rPr>
          <w:rtl/>
        </w:rPr>
        <w:t xml:space="preserve"> </w:t>
      </w:r>
      <w:r w:rsidRPr="00282AC9">
        <w:rPr>
          <w:rFonts w:hint="cs"/>
          <w:rtl/>
        </w:rPr>
        <w:t xml:space="preserve">ـ </w:t>
      </w:r>
      <w:r w:rsidRPr="00282AC9">
        <w:rPr>
          <w:rtl/>
        </w:rPr>
        <w:t>بأنّ الحديث ح</w:t>
      </w:r>
      <w:r w:rsidR="00F449D7" w:rsidRPr="00282AC9">
        <w:rPr>
          <w:rFonts w:hint="cs"/>
          <w:rtl/>
        </w:rPr>
        <w:t>َ</w:t>
      </w:r>
      <w:r w:rsidRPr="00282AC9">
        <w:rPr>
          <w:rtl/>
        </w:rPr>
        <w:t>ت</w:t>
      </w:r>
      <w:r w:rsidR="00F449D7" w:rsidRPr="00282AC9">
        <w:rPr>
          <w:rFonts w:hint="cs"/>
          <w:rtl/>
        </w:rPr>
        <w:t>ْ</w:t>
      </w:r>
      <w:r w:rsidRPr="00282AC9">
        <w:rPr>
          <w:rtl/>
        </w:rPr>
        <w:t>ماً صادر</w:t>
      </w:r>
      <w:r w:rsidR="00F449D7" w:rsidRPr="00282AC9">
        <w:rPr>
          <w:rFonts w:hint="cs"/>
          <w:rtl/>
        </w:rPr>
        <w:t>ٌ</w:t>
      </w:r>
      <w:r w:rsidRPr="00282AC9">
        <w:rPr>
          <w:rtl/>
        </w:rPr>
        <w:t xml:space="preserve"> عنه</w:t>
      </w:r>
      <w:r w:rsidR="009A2A04" w:rsidRPr="00282AC9">
        <w:rPr>
          <w:rtl/>
        </w:rPr>
        <w:t>|</w:t>
      </w:r>
      <w:r w:rsidR="00F449D7" w:rsidRPr="00282AC9">
        <w:rPr>
          <w:rFonts w:hint="cs"/>
          <w:rtl/>
        </w:rPr>
        <w:t>،</w:t>
      </w:r>
      <w:r w:rsidRPr="00282AC9">
        <w:rPr>
          <w:rtl/>
        </w:rPr>
        <w:t xml:space="preserve"> لكن</w:t>
      </w:r>
      <w:r w:rsidRPr="00282AC9">
        <w:rPr>
          <w:rFonts w:hint="cs"/>
          <w:rtl/>
        </w:rPr>
        <w:t>ّ الراوي</w:t>
      </w:r>
      <w:r w:rsidRPr="00282AC9">
        <w:rPr>
          <w:rtl/>
        </w:rPr>
        <w:t xml:space="preserve"> لم يبلغه كما هو، أي </w:t>
      </w:r>
      <w:r w:rsidRPr="00282AC9">
        <w:rPr>
          <w:rFonts w:hint="cs"/>
          <w:rtl/>
        </w:rPr>
        <w:t xml:space="preserve">إنّ </w:t>
      </w:r>
      <w:r w:rsidRPr="00282AC9">
        <w:rPr>
          <w:rtl/>
        </w:rPr>
        <w:t xml:space="preserve">أصل بلوغ الحديث </w:t>
      </w:r>
      <w:r w:rsidRPr="00282AC9">
        <w:rPr>
          <w:rFonts w:hint="cs"/>
          <w:rtl/>
        </w:rPr>
        <w:t>المتضم</w:t>
      </w:r>
      <w:r w:rsidR="00F449D7" w:rsidRPr="00282AC9">
        <w:rPr>
          <w:rFonts w:hint="cs"/>
          <w:rtl/>
        </w:rPr>
        <w:t>ِّ</w:t>
      </w:r>
      <w:r w:rsidRPr="00282AC9">
        <w:rPr>
          <w:rFonts w:hint="cs"/>
          <w:rtl/>
        </w:rPr>
        <w:t xml:space="preserve">ن للثواب </w:t>
      </w:r>
      <w:r w:rsidRPr="00282AC9">
        <w:rPr>
          <w:rtl/>
        </w:rPr>
        <w:t>ثابت</w:t>
      </w:r>
      <w:r w:rsidR="00F449D7" w:rsidRPr="00282AC9">
        <w:rPr>
          <w:rFonts w:hint="cs"/>
          <w:rtl/>
        </w:rPr>
        <w:t>ٌ</w:t>
      </w:r>
      <w:r w:rsidRPr="00282AC9">
        <w:rPr>
          <w:rFonts w:hint="cs"/>
          <w:rtl/>
        </w:rPr>
        <w:t>.</w:t>
      </w:r>
    </w:p>
    <w:p w:rsidR="0098597F" w:rsidRPr="00282AC9" w:rsidRDefault="0098597F" w:rsidP="004F097E">
      <w:pPr>
        <w:rPr>
          <w:rtl/>
        </w:rPr>
      </w:pPr>
      <w:r w:rsidRPr="00282AC9">
        <w:rPr>
          <w:rtl/>
        </w:rPr>
        <w:t>و</w:t>
      </w:r>
      <w:r w:rsidRPr="00282AC9">
        <w:rPr>
          <w:rFonts w:hint="cs"/>
          <w:rtl/>
        </w:rPr>
        <w:t>لكنْ في المقابل يوجد طائفة</w:t>
      </w:r>
      <w:r w:rsidR="00F449D7" w:rsidRPr="00282AC9">
        <w:rPr>
          <w:rFonts w:hint="cs"/>
          <w:rtl/>
        </w:rPr>
        <w:t>ٌ</w:t>
      </w:r>
      <w:r w:rsidRPr="00282AC9">
        <w:rPr>
          <w:rFonts w:hint="cs"/>
          <w:rtl/>
        </w:rPr>
        <w:t xml:space="preserve"> أخرى من الأخبار ـ وفيها الصحيح ـ مطلقة</w:t>
      </w:r>
      <w:r w:rsidR="00F449D7" w:rsidRPr="00282AC9">
        <w:rPr>
          <w:rFonts w:hint="cs"/>
          <w:rtl/>
        </w:rPr>
        <w:t>ٌ</w:t>
      </w:r>
      <w:r w:rsidRPr="00282AC9">
        <w:rPr>
          <w:rFonts w:hint="cs"/>
          <w:rtl/>
        </w:rPr>
        <w:t xml:space="preserve"> من هذه ال</w:t>
      </w:r>
      <w:r w:rsidR="009977BD" w:rsidRPr="00282AC9">
        <w:rPr>
          <w:rFonts w:hint="cs"/>
          <w:rtl/>
        </w:rPr>
        <w:t xml:space="preserve">جهة، وتدلّ على أنّ العمل البالغ، </w:t>
      </w:r>
      <w:r w:rsidRPr="00282AC9">
        <w:rPr>
          <w:rFonts w:hint="cs"/>
          <w:rtl/>
        </w:rPr>
        <w:t>سواء</w:t>
      </w:r>
      <w:r w:rsidR="009977BD" w:rsidRPr="00282AC9">
        <w:rPr>
          <w:rFonts w:hint="cs"/>
          <w:rtl/>
        </w:rPr>
        <w:t>ٌ</w:t>
      </w:r>
      <w:r w:rsidRPr="00282AC9">
        <w:rPr>
          <w:rFonts w:hint="cs"/>
          <w:rtl/>
        </w:rPr>
        <w:t xml:space="preserve"> كان مفروغاً من خيريّته أم لا، ي</w:t>
      </w:r>
      <w:r w:rsidR="009977BD" w:rsidRPr="00282AC9">
        <w:rPr>
          <w:rFonts w:hint="cs"/>
          <w:rtl/>
        </w:rPr>
        <w:t>ُ</w:t>
      </w:r>
      <w:r w:rsidRPr="00282AC9">
        <w:rPr>
          <w:rFonts w:hint="cs"/>
          <w:rtl/>
        </w:rPr>
        <w:t>ؤج</w:t>
      </w:r>
      <w:r w:rsidR="009977BD" w:rsidRPr="00282AC9">
        <w:rPr>
          <w:rFonts w:hint="cs"/>
          <w:rtl/>
        </w:rPr>
        <w:t>َ</w:t>
      </w:r>
      <w:r w:rsidRPr="00282AC9">
        <w:rPr>
          <w:rFonts w:hint="cs"/>
          <w:rtl/>
        </w:rPr>
        <w:t>ر صاحبه وي</w:t>
      </w:r>
      <w:r w:rsidR="009977BD" w:rsidRPr="00282AC9">
        <w:rPr>
          <w:rFonts w:hint="cs"/>
          <w:rtl/>
        </w:rPr>
        <w:t>ُ</w:t>
      </w:r>
      <w:r w:rsidRPr="00282AC9">
        <w:rPr>
          <w:rFonts w:hint="cs"/>
          <w:rtl/>
        </w:rPr>
        <w:t>ثاب على فعله بالثواب الوارد في الخبر الضعيف</w:t>
      </w:r>
      <w:r w:rsidR="009977BD" w:rsidRPr="00282AC9">
        <w:rPr>
          <w:rFonts w:hint="cs"/>
          <w:rtl/>
        </w:rPr>
        <w:t>.</w:t>
      </w:r>
      <w:r w:rsidRPr="00282AC9">
        <w:rPr>
          <w:rFonts w:hint="cs"/>
          <w:rtl/>
        </w:rPr>
        <w:t xml:space="preserve"> ومن هذه الطائفة</w:t>
      </w:r>
      <w:r w:rsidR="009977BD" w:rsidRPr="00282AC9">
        <w:rPr>
          <w:rFonts w:hint="cs"/>
          <w:rtl/>
        </w:rPr>
        <w:t>:</w:t>
      </w:r>
      <w:r w:rsidRPr="00282AC9">
        <w:rPr>
          <w:rFonts w:hint="cs"/>
          <w:rtl/>
        </w:rPr>
        <w:t xml:space="preserve"> </w:t>
      </w:r>
      <w:r w:rsidRPr="00282AC9">
        <w:rPr>
          <w:rtl/>
        </w:rPr>
        <w:t>صحيحة هشام</w:t>
      </w:r>
      <w:r w:rsidR="009977BD" w:rsidRPr="00282AC9">
        <w:rPr>
          <w:rFonts w:hint="cs"/>
          <w:rtl/>
        </w:rPr>
        <w:t>،</w:t>
      </w:r>
      <w:r w:rsidRPr="00282AC9">
        <w:rPr>
          <w:rtl/>
        </w:rPr>
        <w:t xml:space="preserve"> عن أبي عبد الله</w:t>
      </w:r>
      <w:r w:rsidR="009A2A04" w:rsidRPr="00282AC9">
        <w:rPr>
          <w:rFonts w:ascii="Mosawi" w:hAnsi="Mosawi" w:cs="Mosawi"/>
          <w:sz w:val="22"/>
          <w:szCs w:val="22"/>
          <w:rtl/>
        </w:rPr>
        <w:t>×</w:t>
      </w:r>
      <w:r w:rsidRPr="00282AC9">
        <w:rPr>
          <w:rtl/>
        </w:rPr>
        <w:t xml:space="preserve"> قال: </w:t>
      </w:r>
      <w:r w:rsidRPr="00282AC9">
        <w:rPr>
          <w:rFonts w:hint="eastAsia"/>
          <w:sz w:val="24"/>
          <w:szCs w:val="24"/>
          <w:rtl/>
        </w:rPr>
        <w:t>«</w:t>
      </w:r>
      <w:r w:rsidRPr="00282AC9">
        <w:rPr>
          <w:rtl/>
        </w:rPr>
        <w:t>م</w:t>
      </w:r>
      <w:r w:rsidR="009977BD" w:rsidRPr="00282AC9">
        <w:rPr>
          <w:rFonts w:hint="cs"/>
          <w:rtl/>
        </w:rPr>
        <w:t>َ</w:t>
      </w:r>
      <w:r w:rsidRPr="00282AC9">
        <w:rPr>
          <w:rtl/>
        </w:rPr>
        <w:t>ن</w:t>
      </w:r>
      <w:r w:rsidR="009977BD" w:rsidRPr="00282AC9">
        <w:rPr>
          <w:rFonts w:hint="cs"/>
          <w:rtl/>
        </w:rPr>
        <w:t>ْ</w:t>
      </w:r>
      <w:r w:rsidRPr="00282AC9">
        <w:rPr>
          <w:rtl/>
        </w:rPr>
        <w:t xml:space="preserve"> بلغه عن النبي</w:t>
      </w:r>
      <w:r w:rsidR="009977BD" w:rsidRPr="00282AC9">
        <w:rPr>
          <w:rFonts w:hint="cs"/>
          <w:rtl/>
        </w:rPr>
        <w:t>ّ</w:t>
      </w:r>
      <w:r w:rsidR="009A2A04" w:rsidRPr="00282AC9">
        <w:rPr>
          <w:rFonts w:ascii="Mosawi" w:hAnsi="Mosawi" w:cs="Mosawi"/>
          <w:sz w:val="22"/>
          <w:szCs w:val="22"/>
          <w:rtl/>
        </w:rPr>
        <w:t>|</w:t>
      </w:r>
      <w:r w:rsidRPr="00282AC9">
        <w:rPr>
          <w:rtl/>
        </w:rPr>
        <w:t xml:space="preserve"> شيء</w:t>
      </w:r>
      <w:r w:rsidR="009977BD" w:rsidRPr="00282AC9">
        <w:rPr>
          <w:rFonts w:hint="cs"/>
          <w:rtl/>
        </w:rPr>
        <w:t>ٌ</w:t>
      </w:r>
      <w:r w:rsidRPr="00282AC9">
        <w:rPr>
          <w:rtl/>
        </w:rPr>
        <w:t xml:space="preserve"> من الثواب</w:t>
      </w:r>
      <w:r w:rsidR="009977BD" w:rsidRPr="00282AC9">
        <w:rPr>
          <w:rFonts w:hint="cs"/>
          <w:rtl/>
        </w:rPr>
        <w:t>،</w:t>
      </w:r>
      <w:r w:rsidRPr="00282AC9">
        <w:rPr>
          <w:rtl/>
        </w:rPr>
        <w:t xml:space="preserve"> فعمله</w:t>
      </w:r>
      <w:r w:rsidRPr="00282AC9">
        <w:rPr>
          <w:rFonts w:hint="cs"/>
          <w:rtl/>
        </w:rPr>
        <w:t>،</w:t>
      </w:r>
      <w:r w:rsidRPr="00282AC9">
        <w:rPr>
          <w:rtl/>
        </w:rPr>
        <w:t xml:space="preserve"> كان أجر</w:t>
      </w:r>
      <w:r w:rsidR="009977BD" w:rsidRPr="00282AC9">
        <w:rPr>
          <w:rFonts w:hint="cs"/>
          <w:rtl/>
        </w:rPr>
        <w:t>ُ</w:t>
      </w:r>
      <w:r w:rsidRPr="00282AC9">
        <w:rPr>
          <w:rtl/>
        </w:rPr>
        <w:t xml:space="preserve"> ذلك له</w:t>
      </w:r>
      <w:r w:rsidRPr="00282AC9">
        <w:rPr>
          <w:rFonts w:hint="cs"/>
          <w:rtl/>
        </w:rPr>
        <w:t>،</w:t>
      </w:r>
      <w:r w:rsidRPr="00282AC9">
        <w:rPr>
          <w:rtl/>
        </w:rPr>
        <w:t xml:space="preserve"> وإن</w:t>
      </w:r>
      <w:r w:rsidR="009977BD" w:rsidRPr="00282AC9">
        <w:rPr>
          <w:rFonts w:hint="cs"/>
          <w:rtl/>
        </w:rPr>
        <w:t>ْ</w:t>
      </w:r>
      <w:r w:rsidR="009977BD" w:rsidRPr="00282AC9">
        <w:rPr>
          <w:rtl/>
        </w:rPr>
        <w:t xml:space="preserve"> كان رسول الله</w:t>
      </w:r>
      <w:r w:rsidR="009A2A04" w:rsidRPr="00282AC9">
        <w:rPr>
          <w:rFonts w:ascii="Mosawi" w:hAnsi="Mosawi" w:cs="Mosawi"/>
          <w:sz w:val="22"/>
          <w:szCs w:val="22"/>
          <w:rtl/>
        </w:rPr>
        <w:t>|</w:t>
      </w:r>
      <w:r w:rsidR="009977BD" w:rsidRPr="00282AC9">
        <w:rPr>
          <w:rtl/>
        </w:rPr>
        <w:t xml:space="preserve"> لم </w:t>
      </w:r>
      <w:r w:rsidR="009977BD" w:rsidRPr="00282AC9">
        <w:rPr>
          <w:rFonts w:hint="cs"/>
          <w:rtl/>
        </w:rPr>
        <w:t>يقُ</w:t>
      </w:r>
      <w:r w:rsidRPr="00282AC9">
        <w:rPr>
          <w:rtl/>
        </w:rPr>
        <w:t>ل</w:t>
      </w:r>
      <w:r w:rsidR="009977BD" w:rsidRPr="00282AC9">
        <w:rPr>
          <w:rFonts w:hint="cs"/>
          <w:rtl/>
        </w:rPr>
        <w:t>ْ</w:t>
      </w:r>
      <w:r w:rsidRPr="00282AC9">
        <w:rPr>
          <w:rtl/>
        </w:rPr>
        <w:t>ه</w:t>
      </w:r>
      <w:r w:rsidRPr="00282AC9">
        <w:rPr>
          <w:rFonts w:hint="eastAsia"/>
          <w:sz w:val="24"/>
          <w:szCs w:val="24"/>
          <w:rtl/>
        </w:rPr>
        <w:t>»</w:t>
      </w:r>
      <w:r w:rsidRPr="00282AC9">
        <w:rPr>
          <w:vertAlign w:val="superscript"/>
          <w:rtl/>
        </w:rPr>
        <w:t>(</w:t>
      </w:r>
      <w:r w:rsidRPr="00282AC9">
        <w:rPr>
          <w:vertAlign w:val="superscript"/>
          <w:rtl/>
        </w:rPr>
        <w:endnoteReference w:id="188"/>
      </w:r>
      <w:r w:rsidRPr="00282AC9">
        <w:rPr>
          <w:vertAlign w:val="superscript"/>
          <w:rtl/>
        </w:rPr>
        <w:t>)</w:t>
      </w:r>
      <w:r w:rsidR="009977BD" w:rsidRPr="00282AC9">
        <w:rPr>
          <w:rFonts w:hint="cs"/>
          <w:rtl/>
        </w:rPr>
        <w:t>؛</w:t>
      </w:r>
      <w:r w:rsidRPr="00282AC9">
        <w:rPr>
          <w:rFonts w:hint="cs"/>
          <w:rtl/>
        </w:rPr>
        <w:t xml:space="preserve"> وفي </w:t>
      </w:r>
      <w:r w:rsidRPr="00282AC9">
        <w:rPr>
          <w:rtl/>
        </w:rPr>
        <w:t>صحيح</w:t>
      </w:r>
      <w:r w:rsidRPr="00282AC9">
        <w:rPr>
          <w:rFonts w:hint="cs"/>
          <w:rtl/>
        </w:rPr>
        <w:t>ة</w:t>
      </w:r>
      <w:r w:rsidR="009977BD" w:rsidRPr="00282AC9">
        <w:rPr>
          <w:rFonts w:hint="cs"/>
          <w:rtl/>
        </w:rPr>
        <w:t>ٍ</w:t>
      </w:r>
      <w:r w:rsidRPr="00282AC9">
        <w:rPr>
          <w:rFonts w:hint="cs"/>
          <w:rtl/>
        </w:rPr>
        <w:t xml:space="preserve"> أخرى ل</w:t>
      </w:r>
      <w:r w:rsidRPr="00282AC9">
        <w:rPr>
          <w:rtl/>
        </w:rPr>
        <w:t>هشام بن سال</w:t>
      </w:r>
      <w:r w:rsidR="009977BD" w:rsidRPr="00282AC9">
        <w:rPr>
          <w:rtl/>
        </w:rPr>
        <w:t>م</w:t>
      </w:r>
      <w:r w:rsidR="009977BD" w:rsidRPr="00282AC9">
        <w:rPr>
          <w:rFonts w:hint="cs"/>
          <w:rtl/>
        </w:rPr>
        <w:t>،</w:t>
      </w:r>
      <w:r w:rsidRPr="00282AC9">
        <w:rPr>
          <w:rtl/>
        </w:rPr>
        <w:t xml:space="preserve"> عن أبي عبد </w:t>
      </w:r>
      <w:r w:rsidR="006D28AF" w:rsidRPr="00282AC9">
        <w:rPr>
          <w:rtl/>
        </w:rPr>
        <w:t>الل</w:t>
      </w:r>
      <w:r w:rsidRPr="00282AC9">
        <w:rPr>
          <w:rtl/>
        </w:rPr>
        <w:t>ه</w:t>
      </w:r>
      <w:r w:rsidR="009A2A04" w:rsidRPr="00282AC9">
        <w:rPr>
          <w:rFonts w:ascii="Mosawi" w:hAnsi="Mosawi" w:cs="Mosawi" w:hint="cs"/>
          <w:sz w:val="22"/>
          <w:szCs w:val="22"/>
          <w:rtl/>
        </w:rPr>
        <w:t>×</w:t>
      </w:r>
      <w:r w:rsidRPr="00282AC9">
        <w:rPr>
          <w:rtl/>
        </w:rPr>
        <w:t xml:space="preserve"> قال</w:t>
      </w:r>
      <w:r w:rsidRPr="00282AC9">
        <w:rPr>
          <w:rFonts w:hint="cs"/>
          <w:rtl/>
        </w:rPr>
        <w:t xml:space="preserve">: </w:t>
      </w:r>
      <w:r w:rsidRPr="00282AC9">
        <w:rPr>
          <w:rFonts w:hint="eastAsia"/>
          <w:sz w:val="24"/>
          <w:szCs w:val="24"/>
          <w:rtl/>
        </w:rPr>
        <w:t>«</w:t>
      </w:r>
      <w:r w:rsidRPr="00282AC9">
        <w:rPr>
          <w:rtl/>
        </w:rPr>
        <w:t>م</w:t>
      </w:r>
      <w:r w:rsidR="009977BD" w:rsidRPr="00282AC9">
        <w:rPr>
          <w:rFonts w:hint="cs"/>
          <w:rtl/>
        </w:rPr>
        <w:t>َ</w:t>
      </w:r>
      <w:r w:rsidRPr="00282AC9">
        <w:rPr>
          <w:rtl/>
        </w:rPr>
        <w:t>ن</w:t>
      </w:r>
      <w:r w:rsidR="009977BD" w:rsidRPr="00282AC9">
        <w:rPr>
          <w:rFonts w:hint="cs"/>
          <w:rtl/>
        </w:rPr>
        <w:t>ْ</w:t>
      </w:r>
      <w:r w:rsidRPr="00282AC9">
        <w:rPr>
          <w:rtl/>
        </w:rPr>
        <w:t xml:space="preserve"> سمع شيئاً من</w:t>
      </w:r>
      <w:r w:rsidR="009977BD" w:rsidRPr="00282AC9">
        <w:rPr>
          <w:rtl/>
        </w:rPr>
        <w:t xml:space="preserve"> الث</w:t>
      </w:r>
      <w:r w:rsidRPr="00282AC9">
        <w:rPr>
          <w:rtl/>
        </w:rPr>
        <w:t>واب على شيءٍ</w:t>
      </w:r>
      <w:r w:rsidR="009977BD" w:rsidRPr="00282AC9">
        <w:rPr>
          <w:rFonts w:hint="cs"/>
          <w:rtl/>
        </w:rPr>
        <w:t>،</w:t>
      </w:r>
      <w:r w:rsidRPr="00282AC9">
        <w:rPr>
          <w:rtl/>
        </w:rPr>
        <w:t xml:space="preserve"> فصنعه</w:t>
      </w:r>
      <w:r w:rsidR="009977BD" w:rsidRPr="00282AC9">
        <w:rPr>
          <w:rFonts w:hint="cs"/>
          <w:rtl/>
        </w:rPr>
        <w:t>،</w:t>
      </w:r>
      <w:r w:rsidRPr="00282AC9">
        <w:rPr>
          <w:rtl/>
        </w:rPr>
        <w:t xml:space="preserve"> كان له</w:t>
      </w:r>
      <w:r w:rsidR="009977BD" w:rsidRPr="00282AC9">
        <w:rPr>
          <w:rFonts w:hint="cs"/>
          <w:rtl/>
        </w:rPr>
        <w:t>،</w:t>
      </w:r>
      <w:r w:rsidRPr="00282AC9">
        <w:rPr>
          <w:rtl/>
        </w:rPr>
        <w:t xml:space="preserve"> وإن</w:t>
      </w:r>
      <w:r w:rsidR="009977BD" w:rsidRPr="00282AC9">
        <w:rPr>
          <w:rFonts w:hint="cs"/>
          <w:rtl/>
        </w:rPr>
        <w:t>ْ</w:t>
      </w:r>
      <w:r w:rsidRPr="00282AC9">
        <w:rPr>
          <w:rtl/>
        </w:rPr>
        <w:t xml:space="preserve"> لم يكن على ما بلغه</w:t>
      </w:r>
      <w:r w:rsidRPr="00282AC9">
        <w:rPr>
          <w:rFonts w:hint="eastAsia"/>
          <w:sz w:val="24"/>
          <w:szCs w:val="24"/>
          <w:rtl/>
        </w:rPr>
        <w:t>»</w:t>
      </w:r>
      <w:r w:rsidRPr="00282AC9">
        <w:rPr>
          <w:vertAlign w:val="superscript"/>
          <w:rtl/>
        </w:rPr>
        <w:t>(</w:t>
      </w:r>
      <w:r w:rsidRPr="00282AC9">
        <w:rPr>
          <w:vertAlign w:val="superscript"/>
          <w:rtl/>
        </w:rPr>
        <w:endnoteReference w:id="189"/>
      </w:r>
      <w:r w:rsidRPr="00282AC9">
        <w:rPr>
          <w:vertAlign w:val="superscript"/>
          <w:rtl/>
        </w:rPr>
        <w:t>)</w:t>
      </w:r>
      <w:r w:rsidRPr="00282AC9">
        <w:rPr>
          <w:rFonts w:hint="cs"/>
          <w:rtl/>
        </w:rPr>
        <w:t>.</w:t>
      </w:r>
      <w:r w:rsidRPr="00282AC9">
        <w:rPr>
          <w:rtl/>
        </w:rPr>
        <w:t xml:space="preserve"> </w:t>
      </w:r>
    </w:p>
    <w:p w:rsidR="0098597F" w:rsidRPr="00282AC9" w:rsidRDefault="0098597F" w:rsidP="004F097E">
      <w:pPr>
        <w:rPr>
          <w:rFonts w:eastAsia="Calibri"/>
          <w:rtl/>
        </w:rPr>
      </w:pPr>
      <w:r w:rsidRPr="00282AC9">
        <w:rPr>
          <w:rFonts w:eastAsia="Calibri" w:hint="cs"/>
          <w:rtl/>
        </w:rPr>
        <w:lastRenderedPageBreak/>
        <w:t>والسؤال: هل من تعارض</w:t>
      </w:r>
      <w:r w:rsidR="009977BD" w:rsidRPr="00282AC9">
        <w:rPr>
          <w:rFonts w:eastAsia="Calibri" w:hint="cs"/>
          <w:rtl/>
        </w:rPr>
        <w:t>ٍ</w:t>
      </w:r>
      <w:r w:rsidRPr="00282AC9">
        <w:rPr>
          <w:rFonts w:eastAsia="Calibri" w:hint="cs"/>
          <w:rtl/>
        </w:rPr>
        <w:t xml:space="preserve"> بين الطائفتين؟ وما هو وجه الجمع؟</w:t>
      </w:r>
    </w:p>
    <w:p w:rsidR="0098597F" w:rsidRPr="00282AC9" w:rsidRDefault="0098597F" w:rsidP="004F097E">
      <w:pPr>
        <w:rPr>
          <w:rFonts w:eastAsia="Calibri"/>
          <w:rtl/>
        </w:rPr>
      </w:pPr>
      <w:r w:rsidRPr="00282AC9">
        <w:rPr>
          <w:rFonts w:eastAsia="Calibri" w:hint="cs"/>
          <w:rtl/>
        </w:rPr>
        <w:t xml:space="preserve"> ذهب الشيخ الأنصاري والسيد الشهيد ـ وهما المعترفان</w:t>
      </w:r>
      <w:r w:rsidR="009977BD" w:rsidRPr="00282AC9">
        <w:rPr>
          <w:rFonts w:eastAsia="Calibri" w:hint="cs"/>
          <w:rtl/>
        </w:rPr>
        <w:t>،</w:t>
      </w:r>
      <w:r w:rsidRPr="00282AC9">
        <w:rPr>
          <w:rFonts w:eastAsia="Calibri" w:hint="cs"/>
          <w:rtl/>
        </w:rPr>
        <w:t xml:space="preserve"> بنظر الطائفة الأولى</w:t>
      </w:r>
      <w:r w:rsidR="009977BD" w:rsidRPr="00282AC9">
        <w:rPr>
          <w:rFonts w:eastAsia="Calibri" w:hint="cs"/>
          <w:rtl/>
        </w:rPr>
        <w:t>،</w:t>
      </w:r>
      <w:r w:rsidRPr="00282AC9">
        <w:rPr>
          <w:rFonts w:eastAsia="Calibri" w:hint="cs"/>
          <w:rtl/>
        </w:rPr>
        <w:t xml:space="preserve"> إلى صورة المفروغيّة عن كون العمل خ</w:t>
      </w:r>
      <w:r w:rsidR="00CB0406" w:rsidRPr="00282AC9">
        <w:rPr>
          <w:rFonts w:eastAsia="Calibri" w:hint="cs"/>
          <w:rtl/>
        </w:rPr>
        <w:t>َ</w:t>
      </w:r>
      <w:r w:rsidRPr="00282AC9">
        <w:rPr>
          <w:rFonts w:eastAsia="Calibri" w:hint="cs"/>
          <w:rtl/>
        </w:rPr>
        <w:t>ي</w:t>
      </w:r>
      <w:r w:rsidR="00CB0406" w:rsidRPr="00282AC9">
        <w:rPr>
          <w:rFonts w:eastAsia="Calibri" w:hint="cs"/>
          <w:rtl/>
        </w:rPr>
        <w:t>ْ</w:t>
      </w:r>
      <w:r w:rsidRPr="00282AC9">
        <w:rPr>
          <w:rFonts w:eastAsia="Calibri" w:hint="cs"/>
          <w:rtl/>
        </w:rPr>
        <w:t xml:space="preserve">راً في نفسه ـ إلى </w:t>
      </w:r>
      <w:r w:rsidRPr="00282AC9">
        <w:rPr>
          <w:rFonts w:hint="eastAsia"/>
          <w:sz w:val="24"/>
          <w:szCs w:val="24"/>
          <w:rtl/>
        </w:rPr>
        <w:t>«</w:t>
      </w:r>
      <w:r w:rsidRPr="00282AC9">
        <w:rPr>
          <w:rFonts w:eastAsia="Calibri" w:hint="cs"/>
          <w:rtl/>
        </w:rPr>
        <w:t>أ</w:t>
      </w:r>
      <w:r w:rsidRPr="00282AC9">
        <w:rPr>
          <w:rFonts w:eastAsia="Calibri"/>
          <w:rtl/>
        </w:rPr>
        <w:t>ن</w:t>
      </w:r>
      <w:r w:rsidRPr="00282AC9">
        <w:rPr>
          <w:rFonts w:eastAsia="Calibri" w:hint="cs"/>
          <w:rtl/>
        </w:rPr>
        <w:t>ّ</w:t>
      </w:r>
      <w:r w:rsidRPr="00282AC9">
        <w:rPr>
          <w:rFonts w:eastAsia="Calibri"/>
          <w:rtl/>
        </w:rPr>
        <w:t xml:space="preserve"> حمل كل</w:t>
      </w:r>
      <w:r w:rsidR="00CB0406" w:rsidRPr="00282AC9">
        <w:rPr>
          <w:rFonts w:eastAsia="Calibri" w:hint="cs"/>
          <w:rtl/>
        </w:rPr>
        <w:t>ّ</w:t>
      </w:r>
      <w:r w:rsidRPr="00282AC9">
        <w:rPr>
          <w:rFonts w:eastAsia="Calibri"/>
          <w:rtl/>
        </w:rPr>
        <w:t xml:space="preserve"> </w:t>
      </w:r>
      <w:r w:rsidRPr="00282AC9">
        <w:rPr>
          <w:rFonts w:eastAsia="Calibri" w:hint="cs"/>
          <w:rtl/>
        </w:rPr>
        <w:t>أ</w:t>
      </w:r>
      <w:r w:rsidRPr="00282AC9">
        <w:rPr>
          <w:rFonts w:eastAsia="Calibri"/>
          <w:rtl/>
        </w:rPr>
        <w:t>خبار الباب</w:t>
      </w:r>
      <w:r w:rsidR="00CB0406" w:rsidRPr="00282AC9">
        <w:rPr>
          <w:rFonts w:eastAsia="Calibri" w:hint="cs"/>
          <w:rtl/>
        </w:rPr>
        <w:t>،</w:t>
      </w:r>
      <w:r w:rsidRPr="00282AC9">
        <w:rPr>
          <w:rFonts w:eastAsia="Calibri"/>
          <w:rtl/>
        </w:rPr>
        <w:t xml:space="preserve"> حت</w:t>
      </w:r>
      <w:r w:rsidR="00CB0406" w:rsidRPr="00282AC9">
        <w:rPr>
          <w:rFonts w:eastAsia="Calibri" w:hint="cs"/>
          <w:rtl/>
        </w:rPr>
        <w:t>ّ</w:t>
      </w:r>
      <w:r w:rsidRPr="00282AC9">
        <w:rPr>
          <w:rFonts w:eastAsia="Calibri"/>
          <w:rtl/>
        </w:rPr>
        <w:t>ى المطلق منها</w:t>
      </w:r>
      <w:r w:rsidR="00CB0406" w:rsidRPr="00282AC9">
        <w:rPr>
          <w:rFonts w:eastAsia="Calibri" w:hint="cs"/>
          <w:rtl/>
        </w:rPr>
        <w:t>،</w:t>
      </w:r>
      <w:r w:rsidRPr="00282AC9">
        <w:rPr>
          <w:rFonts w:eastAsia="Calibri"/>
          <w:rtl/>
        </w:rPr>
        <w:t xml:space="preserve"> على ذلك</w:t>
      </w:r>
      <w:r w:rsidRPr="00282AC9">
        <w:rPr>
          <w:rFonts w:eastAsia="Calibri"/>
          <w:vertAlign w:val="superscript"/>
          <w:rtl/>
        </w:rPr>
        <w:t>(</w:t>
      </w:r>
      <w:r w:rsidRPr="00282AC9">
        <w:rPr>
          <w:rFonts w:eastAsia="Calibri"/>
          <w:vertAlign w:val="superscript"/>
          <w:rtl/>
        </w:rPr>
        <w:endnoteReference w:id="190"/>
      </w:r>
      <w:r w:rsidRPr="00282AC9">
        <w:rPr>
          <w:rFonts w:eastAsia="Calibri"/>
          <w:vertAlign w:val="superscript"/>
          <w:rtl/>
        </w:rPr>
        <w:t>)</w:t>
      </w:r>
      <w:r w:rsidRPr="00282AC9">
        <w:rPr>
          <w:rFonts w:eastAsia="Calibri"/>
          <w:rtl/>
        </w:rPr>
        <w:t xml:space="preserve"> لا موجب له</w:t>
      </w:r>
      <w:r w:rsidRPr="00282AC9">
        <w:rPr>
          <w:rFonts w:hint="eastAsia"/>
          <w:sz w:val="24"/>
          <w:szCs w:val="24"/>
          <w:rtl/>
        </w:rPr>
        <w:t>»</w:t>
      </w:r>
      <w:r w:rsidRPr="00282AC9">
        <w:rPr>
          <w:rFonts w:eastAsia="Calibri"/>
          <w:vertAlign w:val="superscript"/>
          <w:rtl/>
        </w:rPr>
        <w:t>(</w:t>
      </w:r>
      <w:r w:rsidRPr="00282AC9">
        <w:rPr>
          <w:rFonts w:eastAsia="Calibri"/>
          <w:vertAlign w:val="superscript"/>
          <w:rtl/>
        </w:rPr>
        <w:endnoteReference w:id="191"/>
      </w:r>
      <w:r w:rsidRPr="00282AC9">
        <w:rPr>
          <w:rFonts w:eastAsia="Calibri"/>
          <w:vertAlign w:val="superscript"/>
          <w:rtl/>
        </w:rPr>
        <w:t>)</w:t>
      </w:r>
      <w:r w:rsidRPr="00282AC9">
        <w:rPr>
          <w:rFonts w:eastAsia="Calibri" w:hint="cs"/>
          <w:rtl/>
        </w:rPr>
        <w:t xml:space="preserve"> و</w:t>
      </w:r>
      <w:r w:rsidR="00A40022" w:rsidRPr="00282AC9">
        <w:rPr>
          <w:rFonts w:hint="eastAsia"/>
          <w:sz w:val="24"/>
          <w:szCs w:val="24"/>
          <w:rtl/>
        </w:rPr>
        <w:t>«</w:t>
      </w:r>
      <w:r w:rsidRPr="00282AC9">
        <w:rPr>
          <w:rFonts w:eastAsia="Calibri" w:hint="cs"/>
          <w:rtl/>
        </w:rPr>
        <w:t>في إطلاق البواقي كفاية</w:t>
      </w:r>
      <w:r w:rsidR="00CB0406" w:rsidRPr="00282AC9">
        <w:rPr>
          <w:rFonts w:eastAsia="Calibri" w:hint="cs"/>
          <w:rtl/>
        </w:rPr>
        <w:t>ٌ</w:t>
      </w:r>
      <w:r w:rsidRPr="00282AC9">
        <w:rPr>
          <w:rFonts w:hint="eastAsia"/>
          <w:sz w:val="24"/>
          <w:szCs w:val="24"/>
          <w:rtl/>
        </w:rPr>
        <w:t>»</w:t>
      </w:r>
      <w:r w:rsidRPr="00282AC9">
        <w:rPr>
          <w:rFonts w:eastAsia="Calibri"/>
          <w:vertAlign w:val="superscript"/>
          <w:rtl/>
        </w:rPr>
        <w:t>(</w:t>
      </w:r>
      <w:r w:rsidRPr="00282AC9">
        <w:rPr>
          <w:rFonts w:eastAsia="Calibri"/>
          <w:vertAlign w:val="superscript"/>
          <w:rtl/>
        </w:rPr>
        <w:endnoteReference w:id="192"/>
      </w:r>
      <w:r w:rsidRPr="00282AC9">
        <w:rPr>
          <w:rFonts w:eastAsia="Calibri"/>
          <w:vertAlign w:val="superscript"/>
          <w:rtl/>
        </w:rPr>
        <w:t>)</w:t>
      </w:r>
      <w:r w:rsidRPr="00282AC9">
        <w:rPr>
          <w:rFonts w:eastAsia="Calibri" w:hint="cs"/>
          <w:rtl/>
        </w:rPr>
        <w:t xml:space="preserve">. </w:t>
      </w:r>
    </w:p>
    <w:p w:rsidR="0098597F" w:rsidRPr="00282AC9" w:rsidRDefault="0098597F" w:rsidP="004F097E">
      <w:pPr>
        <w:rPr>
          <w:rFonts w:eastAsia="Calibri"/>
          <w:rtl/>
        </w:rPr>
      </w:pPr>
      <w:r w:rsidRPr="00282AC9">
        <w:rPr>
          <w:rFonts w:eastAsia="Calibri" w:hint="cs"/>
          <w:rtl/>
        </w:rPr>
        <w:t>ولا مجال</w:t>
      </w:r>
      <w:r w:rsidR="00CB0406" w:rsidRPr="00282AC9">
        <w:rPr>
          <w:rFonts w:eastAsia="Calibri" w:hint="cs"/>
          <w:rtl/>
        </w:rPr>
        <w:t>َ</w:t>
      </w:r>
      <w:r w:rsidRPr="00282AC9">
        <w:rPr>
          <w:rFonts w:eastAsia="Calibri" w:hint="cs"/>
          <w:rtl/>
        </w:rPr>
        <w:t xml:space="preserve"> للاعتراض على كلامهما </w:t>
      </w:r>
      <w:r w:rsidR="007818E0" w:rsidRPr="00282AC9">
        <w:rPr>
          <w:rFonts w:eastAsia="Calibri" w:hint="cs"/>
          <w:rtl/>
        </w:rPr>
        <w:t>بأ</w:t>
      </w:r>
      <w:r w:rsidRPr="00282AC9">
        <w:rPr>
          <w:rFonts w:eastAsia="Calibri" w:hint="cs"/>
          <w:rtl/>
        </w:rPr>
        <w:t>نّه ما دام</w:t>
      </w:r>
      <w:r w:rsidR="007818E0" w:rsidRPr="00282AC9">
        <w:rPr>
          <w:rFonts w:eastAsia="Calibri" w:hint="cs"/>
          <w:rtl/>
        </w:rPr>
        <w:t>ت</w:t>
      </w:r>
      <w:r w:rsidRPr="00282AC9">
        <w:rPr>
          <w:rFonts w:eastAsia="Calibri" w:hint="cs"/>
          <w:rtl/>
        </w:rPr>
        <w:t xml:space="preserve"> طائفة من الأخبار مطلقة والأخرى مقي</w:t>
      </w:r>
      <w:r w:rsidR="007818E0" w:rsidRPr="00282AC9">
        <w:rPr>
          <w:rFonts w:eastAsia="Calibri" w:hint="cs"/>
          <w:rtl/>
        </w:rPr>
        <w:t>ّ</w:t>
      </w:r>
      <w:r w:rsidRPr="00282AC9">
        <w:rPr>
          <w:rFonts w:eastAsia="Calibri" w:hint="cs"/>
          <w:rtl/>
        </w:rPr>
        <w:t>دة فيحمل المطلق على المقيّد</w:t>
      </w:r>
      <w:r w:rsidR="007818E0" w:rsidRPr="00282AC9">
        <w:rPr>
          <w:rFonts w:eastAsia="Calibri" w:hint="cs"/>
          <w:rtl/>
        </w:rPr>
        <w:t xml:space="preserve">؛ </w:t>
      </w:r>
      <w:r w:rsidRPr="00282AC9">
        <w:rPr>
          <w:rFonts w:eastAsia="Calibri" w:hint="cs"/>
          <w:rtl/>
        </w:rPr>
        <w:t>لأنه يمكن أن ي</w:t>
      </w:r>
      <w:r w:rsidR="007818E0" w:rsidRPr="00282AC9">
        <w:rPr>
          <w:rFonts w:eastAsia="Calibri" w:hint="cs"/>
          <w:rtl/>
        </w:rPr>
        <w:t>ُ</w:t>
      </w:r>
      <w:r w:rsidRPr="00282AC9">
        <w:rPr>
          <w:rFonts w:eastAsia="Calibri" w:hint="cs"/>
          <w:rtl/>
        </w:rPr>
        <w:t xml:space="preserve">جاب على ذلك: إنّ </w:t>
      </w:r>
      <w:r w:rsidRPr="00282AC9">
        <w:rPr>
          <w:rFonts w:hint="eastAsia"/>
          <w:sz w:val="24"/>
          <w:szCs w:val="24"/>
          <w:rtl/>
        </w:rPr>
        <w:t>«</w:t>
      </w:r>
      <w:r w:rsidRPr="00282AC9">
        <w:rPr>
          <w:rFonts w:eastAsia="Calibri" w:hint="cs"/>
          <w:rtl/>
        </w:rPr>
        <w:t>المقي</w:t>
      </w:r>
      <w:r w:rsidR="007818E0" w:rsidRPr="00282AC9">
        <w:rPr>
          <w:rFonts w:eastAsia="Calibri" w:hint="cs"/>
          <w:rtl/>
        </w:rPr>
        <w:t>ّ</w:t>
      </w:r>
      <w:r w:rsidRPr="00282AC9">
        <w:rPr>
          <w:rFonts w:eastAsia="Calibri" w:hint="cs"/>
          <w:rtl/>
        </w:rPr>
        <w:t>د هنا لا يعارض المطلق حت</w:t>
      </w:r>
      <w:r w:rsidR="007818E0" w:rsidRPr="00282AC9">
        <w:rPr>
          <w:rFonts w:eastAsia="Calibri" w:hint="cs"/>
          <w:rtl/>
        </w:rPr>
        <w:t>ّ</w:t>
      </w:r>
      <w:r w:rsidRPr="00282AC9">
        <w:rPr>
          <w:rFonts w:eastAsia="Calibri" w:hint="cs"/>
          <w:rtl/>
        </w:rPr>
        <w:t>ى يحمل المطلق عليه</w:t>
      </w:r>
      <w:r w:rsidRPr="00282AC9">
        <w:rPr>
          <w:rFonts w:hint="eastAsia"/>
          <w:sz w:val="24"/>
          <w:szCs w:val="24"/>
          <w:rtl/>
        </w:rPr>
        <w:t>»</w:t>
      </w:r>
      <w:r w:rsidRPr="00282AC9">
        <w:rPr>
          <w:rFonts w:eastAsia="Calibri"/>
          <w:vertAlign w:val="superscript"/>
          <w:rtl/>
        </w:rPr>
        <w:t>(</w:t>
      </w:r>
      <w:r w:rsidRPr="00282AC9">
        <w:rPr>
          <w:rFonts w:eastAsia="Calibri"/>
          <w:vertAlign w:val="superscript"/>
          <w:rtl/>
        </w:rPr>
        <w:endnoteReference w:id="193"/>
      </w:r>
      <w:r w:rsidRPr="00282AC9">
        <w:rPr>
          <w:rFonts w:eastAsia="Calibri"/>
          <w:vertAlign w:val="superscript"/>
          <w:rtl/>
        </w:rPr>
        <w:t>)</w:t>
      </w:r>
      <w:r w:rsidR="007818E0" w:rsidRPr="00282AC9">
        <w:rPr>
          <w:rFonts w:eastAsia="Calibri" w:hint="cs"/>
          <w:rtl/>
        </w:rPr>
        <w:t>.</w:t>
      </w:r>
      <w:r w:rsidRPr="00282AC9">
        <w:rPr>
          <w:rFonts w:eastAsia="Calibri" w:hint="cs"/>
          <w:rtl/>
        </w:rPr>
        <w:t xml:space="preserve"> والوجه في عدم التعارض والتنافي بينهما أن الطائفتين في المقام مثبتتان.</w:t>
      </w:r>
    </w:p>
    <w:p w:rsidR="0098597F" w:rsidRPr="00282AC9" w:rsidRDefault="0098597F" w:rsidP="004F097E">
      <w:pPr>
        <w:rPr>
          <w:rFonts w:eastAsia="Calibri"/>
          <w:rtl/>
        </w:rPr>
      </w:pPr>
      <w:r w:rsidRPr="00282AC9">
        <w:rPr>
          <w:rFonts w:eastAsia="Calibri" w:hint="cs"/>
          <w:rtl/>
        </w:rPr>
        <w:t>ونلاحظ على ذلك أنّ هذه الأخبار من الطائفتين هي بمجموعها تشير إلى معنى</w:t>
      </w:r>
      <w:r w:rsidR="007818E0" w:rsidRPr="00282AC9">
        <w:rPr>
          <w:rFonts w:eastAsia="Calibri" w:hint="cs"/>
          <w:rtl/>
        </w:rPr>
        <w:t>ً</w:t>
      </w:r>
      <w:r w:rsidRPr="00282AC9">
        <w:rPr>
          <w:rFonts w:eastAsia="Calibri" w:hint="cs"/>
          <w:rtl/>
        </w:rPr>
        <w:t xml:space="preserve"> واحد</w:t>
      </w:r>
      <w:r w:rsidR="007818E0" w:rsidRPr="00282AC9">
        <w:rPr>
          <w:rFonts w:eastAsia="Calibri" w:hint="cs"/>
          <w:rtl/>
        </w:rPr>
        <w:t>ٍ</w:t>
      </w:r>
      <w:r w:rsidRPr="00282AC9">
        <w:rPr>
          <w:rFonts w:eastAsia="Calibri" w:hint="cs"/>
          <w:rtl/>
        </w:rPr>
        <w:t>، أو ق</w:t>
      </w:r>
      <w:r w:rsidR="007818E0" w:rsidRPr="00282AC9">
        <w:rPr>
          <w:rFonts w:eastAsia="Calibri" w:hint="cs"/>
          <w:rtl/>
        </w:rPr>
        <w:t>ُ</w:t>
      </w:r>
      <w:r w:rsidRPr="00282AC9">
        <w:rPr>
          <w:rFonts w:eastAsia="Calibri" w:hint="cs"/>
          <w:rtl/>
        </w:rPr>
        <w:t>ل</w:t>
      </w:r>
      <w:r w:rsidR="007818E0" w:rsidRPr="00282AC9">
        <w:rPr>
          <w:rFonts w:eastAsia="Calibri" w:hint="cs"/>
          <w:rtl/>
        </w:rPr>
        <w:t>ْ</w:t>
      </w:r>
      <w:r w:rsidRPr="00282AC9">
        <w:rPr>
          <w:rFonts w:eastAsia="Calibri" w:hint="cs"/>
          <w:rtl/>
        </w:rPr>
        <w:t>: هي بصدد بيان موضوع</w:t>
      </w:r>
      <w:r w:rsidR="007818E0" w:rsidRPr="00282AC9">
        <w:rPr>
          <w:rFonts w:eastAsia="Calibri" w:hint="cs"/>
          <w:rtl/>
        </w:rPr>
        <w:t>ٍ</w:t>
      </w:r>
      <w:r w:rsidRPr="00282AC9">
        <w:rPr>
          <w:rFonts w:eastAsia="Calibri" w:hint="cs"/>
          <w:rtl/>
        </w:rPr>
        <w:t xml:space="preserve"> ومطلوب</w:t>
      </w:r>
      <w:r w:rsidR="007818E0" w:rsidRPr="00282AC9">
        <w:rPr>
          <w:rFonts w:eastAsia="Calibri" w:hint="cs"/>
          <w:rtl/>
        </w:rPr>
        <w:t>ٍ</w:t>
      </w:r>
      <w:r w:rsidRPr="00282AC9">
        <w:rPr>
          <w:rFonts w:eastAsia="Calibri" w:hint="cs"/>
          <w:rtl/>
        </w:rPr>
        <w:t xml:space="preserve"> واحد، فلا معنى للتفكيك بينها</w:t>
      </w:r>
      <w:r w:rsidR="007818E0" w:rsidRPr="00282AC9">
        <w:rPr>
          <w:rFonts w:eastAsia="Calibri" w:hint="cs"/>
          <w:rtl/>
        </w:rPr>
        <w:t>،</w:t>
      </w:r>
      <w:r w:rsidRPr="00282AC9">
        <w:rPr>
          <w:rFonts w:eastAsia="Calibri" w:hint="cs"/>
          <w:rtl/>
        </w:rPr>
        <w:t xml:space="preserve"> وقراءتها بهذه الطريقة التجزيئيّة، واعتبار بعضها مطلقاً والآخر مقي</w:t>
      </w:r>
      <w:r w:rsidR="007818E0" w:rsidRPr="00282AC9">
        <w:rPr>
          <w:rFonts w:eastAsia="Calibri" w:hint="cs"/>
          <w:rtl/>
        </w:rPr>
        <w:t>ّ</w:t>
      </w:r>
      <w:r w:rsidRPr="00282AC9">
        <w:rPr>
          <w:rFonts w:eastAsia="Calibri" w:hint="cs"/>
          <w:rtl/>
        </w:rPr>
        <w:t>داً، ومن ثم</w:t>
      </w:r>
      <w:r w:rsidR="007818E0" w:rsidRPr="00282AC9">
        <w:rPr>
          <w:rFonts w:eastAsia="Calibri" w:hint="cs"/>
          <w:rtl/>
        </w:rPr>
        <w:t>ّ</w:t>
      </w:r>
      <w:r w:rsidRPr="00282AC9">
        <w:rPr>
          <w:rFonts w:eastAsia="Calibri" w:hint="cs"/>
          <w:rtl/>
        </w:rPr>
        <w:t xml:space="preserve"> دعوى أنّ المقي</w:t>
      </w:r>
      <w:r w:rsidR="007818E0" w:rsidRPr="00282AC9">
        <w:rPr>
          <w:rFonts w:eastAsia="Calibri" w:hint="cs"/>
          <w:rtl/>
        </w:rPr>
        <w:t>ّ</w:t>
      </w:r>
      <w:r w:rsidRPr="00282AC9">
        <w:rPr>
          <w:rFonts w:eastAsia="Calibri" w:hint="cs"/>
          <w:rtl/>
        </w:rPr>
        <w:t>د لا ينافي المطلق، بل يتعين قراءتها بطريقة</w:t>
      </w:r>
      <w:r w:rsidR="007818E0" w:rsidRPr="00282AC9">
        <w:rPr>
          <w:rFonts w:eastAsia="Calibri" w:hint="cs"/>
          <w:rtl/>
        </w:rPr>
        <w:t>ٍ</w:t>
      </w:r>
      <w:r w:rsidRPr="00282AC9">
        <w:rPr>
          <w:rFonts w:eastAsia="Calibri" w:hint="cs"/>
          <w:rtl/>
        </w:rPr>
        <w:t xml:space="preserve"> مجموعية</w:t>
      </w:r>
      <w:r w:rsidR="007818E0" w:rsidRPr="00282AC9">
        <w:rPr>
          <w:rFonts w:eastAsia="Calibri" w:hint="cs"/>
          <w:rtl/>
        </w:rPr>
        <w:t>؛</w:t>
      </w:r>
      <w:r w:rsidRPr="00282AC9">
        <w:rPr>
          <w:rFonts w:eastAsia="Calibri" w:hint="cs"/>
          <w:rtl/>
        </w:rPr>
        <w:t xml:space="preserve"> لأنها تشير إلى معنى</w:t>
      </w:r>
      <w:r w:rsidR="007818E0" w:rsidRPr="00282AC9">
        <w:rPr>
          <w:rFonts w:eastAsia="Calibri" w:hint="cs"/>
          <w:rtl/>
        </w:rPr>
        <w:t>ً</w:t>
      </w:r>
      <w:r w:rsidRPr="00282AC9">
        <w:rPr>
          <w:rFonts w:eastAsia="Calibri" w:hint="cs"/>
          <w:rtl/>
        </w:rPr>
        <w:t xml:space="preserve"> واحد، فيحمل المطلق على المقي</w:t>
      </w:r>
      <w:r w:rsidR="007818E0" w:rsidRPr="00282AC9">
        <w:rPr>
          <w:rFonts w:eastAsia="Calibri" w:hint="cs"/>
          <w:rtl/>
        </w:rPr>
        <w:t>ّ</w:t>
      </w:r>
      <w:r w:rsidRPr="00282AC9">
        <w:rPr>
          <w:rFonts w:eastAsia="Calibri" w:hint="cs"/>
          <w:rtl/>
        </w:rPr>
        <w:t xml:space="preserve">د. </w:t>
      </w:r>
    </w:p>
    <w:p w:rsidR="0098597F" w:rsidRPr="00282AC9" w:rsidRDefault="0098597F" w:rsidP="004F097E">
      <w:pPr>
        <w:rPr>
          <w:rFonts w:eastAsia="Calibri"/>
          <w:rtl/>
        </w:rPr>
      </w:pPr>
      <w:r w:rsidRPr="00282AC9">
        <w:rPr>
          <w:rFonts w:eastAsia="Calibri" w:hint="cs"/>
          <w:rtl/>
        </w:rPr>
        <w:t>على أنّ الطائفة الثانية تحتمل النظر إلى ما جاء في الأولى</w:t>
      </w:r>
      <w:r w:rsidR="007818E0" w:rsidRPr="00282AC9">
        <w:rPr>
          <w:rFonts w:eastAsia="Calibri" w:hint="cs"/>
          <w:rtl/>
        </w:rPr>
        <w:t>؛</w:t>
      </w:r>
      <w:r w:rsidRPr="00282AC9">
        <w:rPr>
          <w:rFonts w:eastAsia="Calibri" w:hint="cs"/>
          <w:rtl/>
        </w:rPr>
        <w:t xml:space="preserve"> ف</w:t>
      </w:r>
      <w:r w:rsidRPr="00282AC9">
        <w:rPr>
          <w:rFonts w:hint="cs"/>
          <w:rtl/>
        </w:rPr>
        <w:t>صحيحة هشام الثانية ر</w:t>
      </w:r>
      <w:r w:rsidR="007818E0" w:rsidRPr="00282AC9">
        <w:rPr>
          <w:rFonts w:hint="cs"/>
          <w:rtl/>
        </w:rPr>
        <w:t>ُ</w:t>
      </w:r>
      <w:r w:rsidRPr="00282AC9">
        <w:rPr>
          <w:rFonts w:hint="cs"/>
          <w:rtl/>
        </w:rPr>
        <w:t>ب</w:t>
      </w:r>
      <w:r w:rsidR="007818E0" w:rsidRPr="00282AC9">
        <w:rPr>
          <w:rFonts w:hint="cs"/>
          <w:rtl/>
        </w:rPr>
        <w:t>َ</w:t>
      </w:r>
      <w:r w:rsidRPr="00282AC9">
        <w:rPr>
          <w:rFonts w:hint="cs"/>
          <w:rtl/>
        </w:rPr>
        <w:t>ما كان النظر في قوله</w:t>
      </w:r>
      <w:r w:rsidR="009A2A04" w:rsidRPr="00282AC9">
        <w:rPr>
          <w:rFonts w:ascii="Mosawi" w:hAnsi="Mosawi" w:cs="Mosawi" w:hint="cs"/>
          <w:sz w:val="22"/>
          <w:szCs w:val="22"/>
          <w:rtl/>
        </w:rPr>
        <w:t>×</w:t>
      </w:r>
      <w:r w:rsidRPr="00282AC9">
        <w:rPr>
          <w:rFonts w:hint="cs"/>
          <w:rtl/>
        </w:rPr>
        <w:t xml:space="preserve"> فيها: </w:t>
      </w:r>
      <w:r w:rsidRPr="00282AC9">
        <w:rPr>
          <w:rFonts w:hint="eastAsia"/>
          <w:sz w:val="24"/>
          <w:szCs w:val="24"/>
          <w:rtl/>
        </w:rPr>
        <w:t>«</w:t>
      </w:r>
      <w:r w:rsidRPr="00282AC9">
        <w:rPr>
          <w:rFonts w:hint="cs"/>
          <w:rtl/>
        </w:rPr>
        <w:t>وإن</w:t>
      </w:r>
      <w:r w:rsidR="007818E0" w:rsidRPr="00282AC9">
        <w:rPr>
          <w:rFonts w:hint="cs"/>
          <w:rtl/>
        </w:rPr>
        <w:t>ْ</w:t>
      </w:r>
      <w:r w:rsidRPr="00282AC9">
        <w:rPr>
          <w:rFonts w:hint="cs"/>
          <w:rtl/>
        </w:rPr>
        <w:t xml:space="preserve"> لم يكن كما بلغه</w:t>
      </w:r>
      <w:r w:rsidRPr="00282AC9">
        <w:rPr>
          <w:rFonts w:hint="eastAsia"/>
          <w:sz w:val="24"/>
          <w:szCs w:val="24"/>
          <w:rtl/>
        </w:rPr>
        <w:t>»</w:t>
      </w:r>
      <w:r w:rsidRPr="00282AC9">
        <w:rPr>
          <w:rFonts w:hint="cs"/>
          <w:rtl/>
        </w:rPr>
        <w:t xml:space="preserve"> ليس إلى الخطأ في أصل نقل الثواب، بل في درجته.</w:t>
      </w:r>
      <w:r w:rsidRPr="00282AC9">
        <w:rPr>
          <w:rFonts w:eastAsia="Calibri" w:hint="cs"/>
          <w:rtl/>
        </w:rPr>
        <w:t xml:space="preserve"> </w:t>
      </w:r>
      <w:r w:rsidRPr="00282AC9">
        <w:rPr>
          <w:rFonts w:hint="cs"/>
          <w:rtl/>
        </w:rPr>
        <w:t xml:space="preserve">والاحتمال عينه </w:t>
      </w:r>
      <w:r w:rsidR="007818E0" w:rsidRPr="00282AC9">
        <w:rPr>
          <w:rFonts w:hint="cs"/>
          <w:rtl/>
        </w:rPr>
        <w:t>ـ</w:t>
      </w:r>
      <w:r w:rsidRPr="00282AC9">
        <w:rPr>
          <w:rFonts w:hint="cs"/>
          <w:rtl/>
        </w:rPr>
        <w:t xml:space="preserve"> ولو بدرجة</w:t>
      </w:r>
      <w:r w:rsidR="007818E0" w:rsidRPr="00282AC9">
        <w:rPr>
          <w:rFonts w:hint="cs"/>
          <w:rtl/>
        </w:rPr>
        <w:t>ٍ</w:t>
      </w:r>
      <w:r w:rsidRPr="00282AC9">
        <w:rPr>
          <w:rFonts w:hint="cs"/>
          <w:rtl/>
        </w:rPr>
        <w:t xml:space="preserve"> أضعف </w:t>
      </w:r>
      <w:r w:rsidR="007818E0" w:rsidRPr="00282AC9">
        <w:rPr>
          <w:rFonts w:hint="cs"/>
          <w:rtl/>
        </w:rPr>
        <w:t>ـ</w:t>
      </w:r>
      <w:r w:rsidRPr="00282AC9">
        <w:rPr>
          <w:rFonts w:hint="cs"/>
          <w:rtl/>
        </w:rPr>
        <w:t xml:space="preserve"> واردٌ في صحيحة هشام الأولى</w:t>
      </w:r>
      <w:r w:rsidR="007818E0" w:rsidRPr="00282AC9">
        <w:rPr>
          <w:rFonts w:hint="cs"/>
          <w:rtl/>
        </w:rPr>
        <w:t>؛</w:t>
      </w:r>
      <w:r w:rsidRPr="00282AC9">
        <w:rPr>
          <w:rFonts w:hint="cs"/>
          <w:rtl/>
        </w:rPr>
        <w:t xml:space="preserve"> بلحاظ أن الشيء من الثواب في قوله: </w:t>
      </w:r>
      <w:r w:rsidRPr="00282AC9">
        <w:rPr>
          <w:rFonts w:hint="eastAsia"/>
          <w:sz w:val="24"/>
          <w:szCs w:val="24"/>
          <w:rtl/>
        </w:rPr>
        <w:t>«</w:t>
      </w:r>
      <w:r w:rsidRPr="00282AC9">
        <w:rPr>
          <w:rtl/>
        </w:rPr>
        <w:t>م</w:t>
      </w:r>
      <w:r w:rsidR="007818E0" w:rsidRPr="00282AC9">
        <w:rPr>
          <w:rFonts w:hint="cs"/>
          <w:rtl/>
        </w:rPr>
        <w:t>َ</w:t>
      </w:r>
      <w:r w:rsidRPr="00282AC9">
        <w:rPr>
          <w:rtl/>
        </w:rPr>
        <w:t>ن</w:t>
      </w:r>
      <w:r w:rsidR="007818E0" w:rsidRPr="00282AC9">
        <w:rPr>
          <w:rFonts w:hint="cs"/>
          <w:rtl/>
        </w:rPr>
        <w:t>ْ</w:t>
      </w:r>
      <w:r w:rsidRPr="00282AC9">
        <w:rPr>
          <w:rtl/>
        </w:rPr>
        <w:t xml:space="preserve"> بلغه</w:t>
      </w:r>
      <w:r w:rsidRPr="00282AC9">
        <w:rPr>
          <w:rFonts w:hint="cs"/>
          <w:rtl/>
        </w:rPr>
        <w:t xml:space="preserve"> </w:t>
      </w:r>
      <w:r w:rsidRPr="00282AC9">
        <w:rPr>
          <w:rtl/>
        </w:rPr>
        <w:t>شيء</w:t>
      </w:r>
      <w:r w:rsidR="007818E0" w:rsidRPr="00282AC9">
        <w:rPr>
          <w:rFonts w:hint="cs"/>
          <w:rtl/>
        </w:rPr>
        <w:t>ٌ</w:t>
      </w:r>
      <w:r w:rsidRPr="00282AC9">
        <w:rPr>
          <w:rtl/>
        </w:rPr>
        <w:t xml:space="preserve"> من الثواب</w:t>
      </w:r>
      <w:r w:rsidRPr="00282AC9">
        <w:rPr>
          <w:rFonts w:hint="eastAsia"/>
          <w:sz w:val="24"/>
          <w:szCs w:val="24"/>
          <w:rtl/>
        </w:rPr>
        <w:t>»</w:t>
      </w:r>
      <w:r w:rsidRPr="00282AC9">
        <w:rPr>
          <w:rFonts w:hint="cs"/>
          <w:rtl/>
        </w:rPr>
        <w:t xml:space="preserve"> أقرب إلى إرادة حص</w:t>
      </w:r>
      <w:r w:rsidR="007818E0" w:rsidRPr="00282AC9">
        <w:rPr>
          <w:rFonts w:hint="cs"/>
          <w:rtl/>
        </w:rPr>
        <w:t>ّ</w:t>
      </w:r>
      <w:r w:rsidRPr="00282AC9">
        <w:rPr>
          <w:rFonts w:hint="cs"/>
          <w:rtl/>
        </w:rPr>
        <w:t>ةٍ من الثواب</w:t>
      </w:r>
      <w:r w:rsidR="007818E0" w:rsidRPr="00282AC9">
        <w:rPr>
          <w:rFonts w:hint="cs"/>
          <w:rtl/>
        </w:rPr>
        <w:t>،</w:t>
      </w:r>
      <w:r w:rsidRPr="00282AC9">
        <w:rPr>
          <w:rFonts w:hint="cs"/>
          <w:rtl/>
        </w:rPr>
        <w:t xml:space="preserve"> وهي الحصة المجامعة لكون العمل خ</w:t>
      </w:r>
      <w:r w:rsidR="007818E0" w:rsidRPr="00282AC9">
        <w:rPr>
          <w:rFonts w:hint="cs"/>
          <w:rtl/>
        </w:rPr>
        <w:t>َ</w:t>
      </w:r>
      <w:r w:rsidRPr="00282AC9">
        <w:rPr>
          <w:rFonts w:hint="cs"/>
          <w:rtl/>
        </w:rPr>
        <w:t>ي</w:t>
      </w:r>
      <w:r w:rsidR="007818E0" w:rsidRPr="00282AC9">
        <w:rPr>
          <w:rFonts w:hint="cs"/>
          <w:rtl/>
        </w:rPr>
        <w:t>ْ</w:t>
      </w:r>
      <w:r w:rsidRPr="00282AC9">
        <w:rPr>
          <w:rFonts w:hint="cs"/>
          <w:rtl/>
        </w:rPr>
        <w:t>راً في نفسه، وإلا</w:t>
      </w:r>
      <w:r w:rsidR="007818E0" w:rsidRPr="00282AC9">
        <w:rPr>
          <w:rFonts w:hint="cs"/>
          <w:rtl/>
        </w:rPr>
        <w:t>ّ</w:t>
      </w:r>
      <w:r w:rsidRPr="00282AC9">
        <w:rPr>
          <w:rFonts w:hint="cs"/>
          <w:rtl/>
        </w:rPr>
        <w:t xml:space="preserve"> لم يكن ثم</w:t>
      </w:r>
      <w:r w:rsidR="007818E0" w:rsidRPr="00282AC9">
        <w:rPr>
          <w:rFonts w:hint="cs"/>
          <w:rtl/>
        </w:rPr>
        <w:t>ّ</w:t>
      </w:r>
      <w:r w:rsidRPr="00282AC9">
        <w:rPr>
          <w:rFonts w:hint="cs"/>
          <w:rtl/>
        </w:rPr>
        <w:t>ة داع</w:t>
      </w:r>
      <w:r w:rsidR="007818E0" w:rsidRPr="00282AC9">
        <w:rPr>
          <w:rFonts w:hint="cs"/>
          <w:rtl/>
        </w:rPr>
        <w:t>ٍ</w:t>
      </w:r>
      <w:r w:rsidRPr="00282AC9">
        <w:rPr>
          <w:rFonts w:hint="cs"/>
          <w:rtl/>
        </w:rPr>
        <w:t xml:space="preserve"> للتعبير المذكور</w:t>
      </w:r>
      <w:r w:rsidR="007818E0" w:rsidRPr="00282AC9">
        <w:rPr>
          <w:rFonts w:hint="cs"/>
          <w:rtl/>
        </w:rPr>
        <w:t>،</w:t>
      </w:r>
      <w:r w:rsidRPr="00282AC9">
        <w:rPr>
          <w:rFonts w:hint="cs"/>
          <w:rtl/>
        </w:rPr>
        <w:t xml:space="preserve"> واقتصر على القول: </w:t>
      </w:r>
      <w:r w:rsidRPr="00282AC9">
        <w:rPr>
          <w:rFonts w:hint="eastAsia"/>
          <w:sz w:val="24"/>
          <w:szCs w:val="24"/>
          <w:rtl/>
        </w:rPr>
        <w:t>«</w:t>
      </w:r>
      <w:r w:rsidRPr="00282AC9">
        <w:rPr>
          <w:rFonts w:hint="cs"/>
          <w:rtl/>
        </w:rPr>
        <w:t>بلغه ثواب</w:t>
      </w:r>
      <w:r w:rsidR="007818E0" w:rsidRPr="00282AC9">
        <w:rPr>
          <w:rFonts w:hint="cs"/>
          <w:rtl/>
        </w:rPr>
        <w:t>ٌ</w:t>
      </w:r>
      <w:r w:rsidRPr="00282AC9">
        <w:rPr>
          <w:rFonts w:hint="eastAsia"/>
          <w:sz w:val="24"/>
          <w:szCs w:val="24"/>
          <w:rtl/>
        </w:rPr>
        <w:t>»</w:t>
      </w:r>
      <w:r w:rsidRPr="00282AC9">
        <w:rPr>
          <w:rFonts w:hint="cs"/>
          <w:rtl/>
        </w:rPr>
        <w:t xml:space="preserve">، وأما الضمير في قوله: </w:t>
      </w:r>
      <w:r w:rsidRPr="00282AC9">
        <w:rPr>
          <w:rFonts w:hint="eastAsia"/>
          <w:sz w:val="24"/>
          <w:szCs w:val="24"/>
          <w:rtl/>
        </w:rPr>
        <w:t>«</w:t>
      </w:r>
      <w:r w:rsidRPr="00282AC9">
        <w:rPr>
          <w:rtl/>
        </w:rPr>
        <w:t>وإن</w:t>
      </w:r>
      <w:r w:rsidR="007818E0" w:rsidRPr="00282AC9">
        <w:rPr>
          <w:rFonts w:hint="cs"/>
          <w:rtl/>
        </w:rPr>
        <w:t>ْ</w:t>
      </w:r>
      <w:r w:rsidRPr="00282AC9">
        <w:rPr>
          <w:rtl/>
        </w:rPr>
        <w:t xml:space="preserve"> كان رسول الله</w:t>
      </w:r>
      <w:r w:rsidR="009A2A04" w:rsidRPr="00282AC9">
        <w:rPr>
          <w:rFonts w:ascii="Mosawi" w:hAnsi="Mosawi" w:cs="Mosawi"/>
          <w:sz w:val="22"/>
          <w:szCs w:val="22"/>
          <w:rtl/>
        </w:rPr>
        <w:t>|</w:t>
      </w:r>
      <w:r w:rsidRPr="00282AC9">
        <w:rPr>
          <w:rtl/>
        </w:rPr>
        <w:t xml:space="preserve"> لم يق</w:t>
      </w:r>
      <w:r w:rsidR="007818E0" w:rsidRPr="00282AC9">
        <w:rPr>
          <w:rFonts w:hint="cs"/>
          <w:rtl/>
        </w:rPr>
        <w:t>ُ</w:t>
      </w:r>
      <w:r w:rsidRPr="00282AC9">
        <w:rPr>
          <w:rtl/>
        </w:rPr>
        <w:t>ل</w:t>
      </w:r>
      <w:r w:rsidR="007818E0" w:rsidRPr="00282AC9">
        <w:rPr>
          <w:rFonts w:hint="cs"/>
          <w:rtl/>
        </w:rPr>
        <w:t>ْ</w:t>
      </w:r>
      <w:r w:rsidRPr="00282AC9">
        <w:rPr>
          <w:rtl/>
        </w:rPr>
        <w:t>ه</w:t>
      </w:r>
      <w:r w:rsidRPr="00282AC9">
        <w:rPr>
          <w:rFonts w:hint="eastAsia"/>
          <w:sz w:val="24"/>
          <w:szCs w:val="24"/>
          <w:rtl/>
        </w:rPr>
        <w:t>»</w:t>
      </w:r>
      <w:r w:rsidRPr="00282AC9">
        <w:rPr>
          <w:rFonts w:hint="cs"/>
          <w:rtl/>
        </w:rPr>
        <w:t xml:space="preserve"> فهو يعود إلى الشيء</w:t>
      </w:r>
      <w:r w:rsidR="007818E0" w:rsidRPr="00282AC9">
        <w:rPr>
          <w:rFonts w:hint="cs"/>
          <w:rtl/>
        </w:rPr>
        <w:t>،</w:t>
      </w:r>
      <w:r w:rsidRPr="00282AC9">
        <w:rPr>
          <w:rFonts w:hint="cs"/>
          <w:rtl/>
        </w:rPr>
        <w:t xml:space="preserve"> لا إلى الثواب، في</w:t>
      </w:r>
      <w:r w:rsidR="007818E0" w:rsidRPr="00282AC9">
        <w:rPr>
          <w:rFonts w:hint="cs"/>
          <w:rtl/>
        </w:rPr>
        <w:t>ُ</w:t>
      </w:r>
      <w:r w:rsidRPr="00282AC9">
        <w:rPr>
          <w:rFonts w:hint="cs"/>
          <w:rtl/>
        </w:rPr>
        <w:t>راد به ما أ</w:t>
      </w:r>
      <w:r w:rsidR="007818E0" w:rsidRPr="00282AC9">
        <w:rPr>
          <w:rFonts w:hint="cs"/>
          <w:rtl/>
        </w:rPr>
        <w:t>ُ</w:t>
      </w:r>
      <w:r w:rsidRPr="00282AC9">
        <w:rPr>
          <w:rFonts w:hint="cs"/>
          <w:rtl/>
        </w:rPr>
        <w:t>ريد بالشيء.</w:t>
      </w:r>
    </w:p>
    <w:p w:rsidR="0098597F" w:rsidRPr="00282AC9" w:rsidRDefault="00642296" w:rsidP="004F097E">
      <w:pPr>
        <w:rPr>
          <w:rtl/>
        </w:rPr>
      </w:pPr>
      <w:r w:rsidRPr="00282AC9">
        <w:rPr>
          <w:rFonts w:eastAsia="Calibri" w:hint="cs"/>
          <w:rtl/>
        </w:rPr>
        <w:t>و</w:t>
      </w:r>
      <w:r w:rsidR="0098597F" w:rsidRPr="00282AC9">
        <w:rPr>
          <w:rFonts w:eastAsia="Calibri" w:hint="cs"/>
          <w:rtl/>
        </w:rPr>
        <w:t>بالإضافة إلى أنّ الأخذ بالإطلاق يترت</w:t>
      </w:r>
      <w:r w:rsidR="007818E0" w:rsidRPr="00282AC9">
        <w:rPr>
          <w:rFonts w:eastAsia="Calibri" w:hint="cs"/>
          <w:rtl/>
        </w:rPr>
        <w:t>َّ</w:t>
      </w:r>
      <w:r w:rsidR="0098597F" w:rsidRPr="00282AC9">
        <w:rPr>
          <w:rFonts w:eastAsia="Calibri" w:hint="cs"/>
          <w:rtl/>
        </w:rPr>
        <w:t>ب عليه بعض الت</w:t>
      </w:r>
      <w:r w:rsidR="007818E0" w:rsidRPr="00282AC9">
        <w:rPr>
          <w:rFonts w:eastAsia="Calibri" w:hint="cs"/>
          <w:rtl/>
        </w:rPr>
        <w:t>َّ</w:t>
      </w:r>
      <w:r w:rsidR="0098597F" w:rsidRPr="00282AC9">
        <w:rPr>
          <w:rFonts w:eastAsia="Calibri" w:hint="cs"/>
          <w:rtl/>
        </w:rPr>
        <w:t>ب</w:t>
      </w:r>
      <w:r w:rsidR="007818E0" w:rsidRPr="00282AC9">
        <w:rPr>
          <w:rFonts w:eastAsia="Calibri" w:hint="cs"/>
          <w:rtl/>
        </w:rPr>
        <w:t>ِ</w:t>
      </w:r>
      <w:r w:rsidR="0098597F" w:rsidRPr="00282AC9">
        <w:rPr>
          <w:rFonts w:eastAsia="Calibri" w:hint="cs"/>
          <w:rtl/>
        </w:rPr>
        <w:t>عات الآتية</w:t>
      </w:r>
      <w:r w:rsidRPr="00282AC9">
        <w:rPr>
          <w:rFonts w:eastAsia="Calibri" w:hint="cs"/>
          <w:rtl/>
        </w:rPr>
        <w:t>،</w:t>
      </w:r>
      <w:r w:rsidR="0098597F" w:rsidRPr="00282AC9">
        <w:rPr>
          <w:rFonts w:eastAsia="Calibri" w:hint="cs"/>
          <w:rtl/>
        </w:rPr>
        <w:t xml:space="preserve"> </w:t>
      </w:r>
      <w:r w:rsidRPr="00282AC9">
        <w:rPr>
          <w:rFonts w:eastAsia="Calibri" w:hint="cs"/>
          <w:rtl/>
        </w:rPr>
        <w:t>ف</w:t>
      </w:r>
      <w:r w:rsidR="0098597F" w:rsidRPr="00282AC9">
        <w:rPr>
          <w:rFonts w:eastAsia="Calibri" w:hint="cs"/>
          <w:rtl/>
        </w:rPr>
        <w:t>إن ذلك يدفعنا إلى التشكيك في أصل دلالة الطائفة الثانية على الإطلاق.</w:t>
      </w:r>
    </w:p>
    <w:p w:rsidR="0098597F" w:rsidRPr="00282AC9" w:rsidRDefault="0098597F" w:rsidP="004F097E">
      <w:pPr>
        <w:rPr>
          <w:rtl/>
        </w:rPr>
      </w:pPr>
      <w:r w:rsidRPr="00282AC9">
        <w:rPr>
          <w:rFonts w:hint="cs"/>
          <w:b/>
          <w:bCs/>
          <w:rtl/>
        </w:rPr>
        <w:t>الأمر الرابع</w:t>
      </w:r>
      <w:r w:rsidRPr="00282AC9">
        <w:rPr>
          <w:rFonts w:hint="cs"/>
          <w:rtl/>
        </w:rPr>
        <w:t>: إذا ات</w:t>
      </w:r>
      <w:r w:rsidR="00642296" w:rsidRPr="00282AC9">
        <w:rPr>
          <w:rFonts w:hint="cs"/>
          <w:rtl/>
        </w:rPr>
        <w:t>ّ</w:t>
      </w:r>
      <w:r w:rsidRPr="00282AC9">
        <w:rPr>
          <w:rFonts w:hint="cs"/>
          <w:rtl/>
        </w:rPr>
        <w:t>ضح دلالة الأخبار على هذا المعنى فإيجاد تفسير</w:t>
      </w:r>
      <w:r w:rsidR="00642296" w:rsidRPr="00282AC9">
        <w:rPr>
          <w:rFonts w:hint="cs"/>
          <w:rtl/>
        </w:rPr>
        <w:t>ٍ</w:t>
      </w:r>
      <w:r w:rsidRPr="00282AC9">
        <w:rPr>
          <w:rFonts w:hint="cs"/>
          <w:rtl/>
        </w:rPr>
        <w:t xml:space="preserve"> ثبوتي</w:t>
      </w:r>
      <w:r w:rsidR="00642296" w:rsidRPr="00282AC9">
        <w:rPr>
          <w:rFonts w:hint="cs"/>
          <w:rtl/>
        </w:rPr>
        <w:t>ّ</w:t>
      </w:r>
      <w:r w:rsidRPr="00282AC9">
        <w:rPr>
          <w:rFonts w:hint="cs"/>
          <w:rtl/>
        </w:rPr>
        <w:t xml:space="preserve"> له ليس عسيراً، فمن الممكن القول</w:t>
      </w:r>
      <w:r w:rsidR="00642296" w:rsidRPr="00282AC9">
        <w:rPr>
          <w:rFonts w:hint="cs"/>
          <w:rtl/>
        </w:rPr>
        <w:t>:</w:t>
      </w:r>
      <w:r w:rsidRPr="00282AC9">
        <w:rPr>
          <w:rFonts w:hint="cs"/>
          <w:rtl/>
        </w:rPr>
        <w:t xml:space="preserve"> إن هذا الثواب الذي ي</w:t>
      </w:r>
      <w:r w:rsidR="00642296" w:rsidRPr="00282AC9">
        <w:rPr>
          <w:rFonts w:hint="cs"/>
          <w:rtl/>
        </w:rPr>
        <w:t>ُ</w:t>
      </w:r>
      <w:r w:rsidRPr="00282AC9">
        <w:rPr>
          <w:rFonts w:hint="cs"/>
          <w:rtl/>
        </w:rPr>
        <w:t>عطاه العبد هو تفض</w:t>
      </w:r>
      <w:r w:rsidR="00642296" w:rsidRPr="00282AC9">
        <w:rPr>
          <w:rFonts w:hint="cs"/>
          <w:rtl/>
        </w:rPr>
        <w:t>ُّ</w:t>
      </w:r>
      <w:r w:rsidRPr="00282AC9">
        <w:rPr>
          <w:rFonts w:hint="cs"/>
          <w:rtl/>
        </w:rPr>
        <w:t>ل</w:t>
      </w:r>
      <w:r w:rsidR="00642296" w:rsidRPr="00282AC9">
        <w:rPr>
          <w:rFonts w:hint="cs"/>
          <w:rtl/>
        </w:rPr>
        <w:t>ٌ</w:t>
      </w:r>
      <w:r w:rsidRPr="00282AC9">
        <w:rPr>
          <w:rFonts w:hint="cs"/>
          <w:rtl/>
        </w:rPr>
        <w:t xml:space="preserve"> من الله تعالى، أي إنّ هذه الأخبار تنبئ عن سعة كرم الله تعالى</w:t>
      </w:r>
      <w:r w:rsidR="00642296" w:rsidRPr="00282AC9">
        <w:rPr>
          <w:rFonts w:hint="cs"/>
          <w:rtl/>
        </w:rPr>
        <w:t>،</w:t>
      </w:r>
      <w:r w:rsidRPr="00282AC9">
        <w:rPr>
          <w:rFonts w:hint="cs"/>
          <w:rtl/>
        </w:rPr>
        <w:t xml:space="preserve"> وأنه عند ح</w:t>
      </w:r>
      <w:r w:rsidR="00642296" w:rsidRPr="00282AC9">
        <w:rPr>
          <w:rFonts w:hint="cs"/>
          <w:rtl/>
        </w:rPr>
        <w:t>ُ</w:t>
      </w:r>
      <w:r w:rsidRPr="00282AC9">
        <w:rPr>
          <w:rFonts w:hint="cs"/>
          <w:rtl/>
        </w:rPr>
        <w:t>س</w:t>
      </w:r>
      <w:r w:rsidR="00642296" w:rsidRPr="00282AC9">
        <w:rPr>
          <w:rFonts w:hint="cs"/>
          <w:rtl/>
        </w:rPr>
        <w:t>ْ</w:t>
      </w:r>
      <w:r w:rsidRPr="00282AC9">
        <w:rPr>
          <w:rFonts w:hint="cs"/>
          <w:rtl/>
        </w:rPr>
        <w:t>ن ظن</w:t>
      </w:r>
      <w:r w:rsidR="00642296" w:rsidRPr="00282AC9">
        <w:rPr>
          <w:rFonts w:hint="cs"/>
          <w:rtl/>
        </w:rPr>
        <w:t>ِّ</w:t>
      </w:r>
      <w:r w:rsidRPr="00282AC9">
        <w:rPr>
          <w:rFonts w:hint="cs"/>
          <w:rtl/>
        </w:rPr>
        <w:t xml:space="preserve"> عبده </w:t>
      </w:r>
      <w:r w:rsidRPr="00282AC9">
        <w:rPr>
          <w:rFonts w:hint="cs"/>
          <w:rtl/>
        </w:rPr>
        <w:lastRenderedPageBreak/>
        <w:t>به، وأنه يريد مكافأة العبد المنقاد له، وهي لا تخلو من و</w:t>
      </w:r>
      <w:r w:rsidR="00642296" w:rsidRPr="00282AC9">
        <w:rPr>
          <w:rFonts w:hint="cs"/>
          <w:rtl/>
        </w:rPr>
        <w:t>َ</w:t>
      </w:r>
      <w:r w:rsidRPr="00282AC9">
        <w:rPr>
          <w:rFonts w:hint="cs"/>
          <w:rtl/>
        </w:rPr>
        <w:t>ع</w:t>
      </w:r>
      <w:r w:rsidR="00642296" w:rsidRPr="00282AC9">
        <w:rPr>
          <w:rFonts w:hint="cs"/>
          <w:rtl/>
        </w:rPr>
        <w:t>ْ</w:t>
      </w:r>
      <w:r w:rsidRPr="00282AC9">
        <w:rPr>
          <w:rFonts w:hint="cs"/>
          <w:rtl/>
        </w:rPr>
        <w:t>د</w:t>
      </w:r>
      <w:r w:rsidR="00642296" w:rsidRPr="00282AC9">
        <w:rPr>
          <w:rFonts w:hint="cs"/>
          <w:rtl/>
        </w:rPr>
        <w:t>ٍ</w:t>
      </w:r>
      <w:r w:rsidRPr="00282AC9">
        <w:rPr>
          <w:rFonts w:hint="cs"/>
          <w:rtl/>
        </w:rPr>
        <w:t xml:space="preserve"> إلهي</w:t>
      </w:r>
      <w:r w:rsidR="00642296" w:rsidRPr="00282AC9">
        <w:rPr>
          <w:rFonts w:hint="cs"/>
          <w:rtl/>
        </w:rPr>
        <w:t>ّ</w:t>
      </w:r>
      <w:r w:rsidRPr="00282AC9">
        <w:rPr>
          <w:rFonts w:hint="cs"/>
          <w:rtl/>
        </w:rPr>
        <w:t xml:space="preserve"> بذلك</w:t>
      </w:r>
      <w:r w:rsidR="00642296" w:rsidRPr="00282AC9">
        <w:rPr>
          <w:rFonts w:hint="cs"/>
          <w:rtl/>
        </w:rPr>
        <w:t>.</w:t>
      </w:r>
      <w:r w:rsidRPr="00282AC9">
        <w:rPr>
          <w:rFonts w:hint="cs"/>
          <w:rtl/>
        </w:rPr>
        <w:t xml:space="preserve"> ومن الممكن القول أيضاً: إن الغرض من هذه الأخبار </w:t>
      </w:r>
      <w:r w:rsidR="00642296" w:rsidRPr="00282AC9">
        <w:rPr>
          <w:rFonts w:hint="cs"/>
          <w:rtl/>
        </w:rPr>
        <w:t>ـ</w:t>
      </w:r>
      <w:r w:rsidRPr="00282AC9">
        <w:rPr>
          <w:rFonts w:hint="cs"/>
          <w:rtl/>
        </w:rPr>
        <w:t xml:space="preserve"> كما ذكر السيد الشهيد ـ هو تكميل محر</w:t>
      </w:r>
      <w:r w:rsidR="00642296" w:rsidRPr="00282AC9">
        <w:rPr>
          <w:rFonts w:hint="cs"/>
          <w:rtl/>
        </w:rPr>
        <w:t>ّكي</w:t>
      </w:r>
      <w:r w:rsidRPr="00282AC9">
        <w:rPr>
          <w:rFonts w:hint="cs"/>
          <w:rtl/>
        </w:rPr>
        <w:t>ة الأوامر الاستحبابي</w:t>
      </w:r>
      <w:r w:rsidR="00642296" w:rsidRPr="00282AC9">
        <w:rPr>
          <w:rFonts w:hint="cs"/>
          <w:rtl/>
        </w:rPr>
        <w:t>ّ</w:t>
      </w:r>
      <w:r w:rsidRPr="00282AC9">
        <w:rPr>
          <w:rFonts w:hint="cs"/>
          <w:rtl/>
        </w:rPr>
        <w:t>ة.</w:t>
      </w:r>
    </w:p>
    <w:p w:rsidR="00642296" w:rsidRPr="00282AC9" w:rsidRDefault="0098597F" w:rsidP="005A1697">
      <w:pPr>
        <w:spacing w:line="420" w:lineRule="exact"/>
        <w:rPr>
          <w:rFonts w:ascii="Arial" w:eastAsia="Calibri" w:hAnsi="Arial"/>
          <w:sz w:val="27"/>
          <w:rtl/>
          <w:lang w:bidi="ar-LB"/>
        </w:rPr>
      </w:pPr>
      <w:r w:rsidRPr="00282AC9">
        <w:rPr>
          <w:rFonts w:ascii="Arial" w:hAnsi="Arial" w:hint="cs"/>
          <w:b/>
          <w:bCs/>
          <w:sz w:val="27"/>
          <w:rtl/>
          <w:lang w:bidi="ar-LB"/>
        </w:rPr>
        <w:t xml:space="preserve">وختام الكلام: </w:t>
      </w:r>
      <w:r w:rsidR="00642296" w:rsidRPr="00282AC9">
        <w:rPr>
          <w:rFonts w:ascii="Arial" w:hAnsi="Arial" w:hint="cs"/>
          <w:sz w:val="27"/>
          <w:rtl/>
          <w:lang w:bidi="ar-LB"/>
        </w:rPr>
        <w:t>إ</w:t>
      </w:r>
      <w:r w:rsidRPr="00282AC9">
        <w:rPr>
          <w:rFonts w:ascii="Arial" w:hAnsi="Arial" w:hint="cs"/>
          <w:sz w:val="27"/>
          <w:rtl/>
          <w:lang w:bidi="ar-LB"/>
        </w:rPr>
        <w:t>نّه في حال تمّ الاحتمال الخامس يتعيّ</w:t>
      </w:r>
      <w:r w:rsidR="00642296" w:rsidRPr="00282AC9">
        <w:rPr>
          <w:rFonts w:ascii="Arial" w:hAnsi="Arial" w:hint="cs"/>
          <w:sz w:val="27"/>
          <w:rtl/>
          <w:lang w:bidi="ar-LB"/>
        </w:rPr>
        <w:t>َ</w:t>
      </w:r>
      <w:r w:rsidRPr="00282AC9">
        <w:rPr>
          <w:rFonts w:ascii="Arial" w:hAnsi="Arial" w:hint="cs"/>
          <w:sz w:val="27"/>
          <w:rtl/>
          <w:lang w:bidi="ar-LB"/>
        </w:rPr>
        <w:t xml:space="preserve">ن حمل أخبار </w:t>
      </w:r>
      <w:r w:rsidRPr="00282AC9">
        <w:rPr>
          <w:rFonts w:hint="eastAsia"/>
          <w:sz w:val="24"/>
          <w:szCs w:val="24"/>
          <w:rtl/>
          <w:lang w:bidi="ar-LB"/>
        </w:rPr>
        <w:t>«</w:t>
      </w:r>
      <w:r w:rsidRPr="00282AC9">
        <w:rPr>
          <w:rFonts w:ascii="Arial" w:hAnsi="Arial" w:hint="cs"/>
          <w:sz w:val="27"/>
          <w:rtl/>
          <w:lang w:bidi="ar-LB"/>
        </w:rPr>
        <w:t>م</w:t>
      </w:r>
      <w:r w:rsidR="00642296" w:rsidRPr="00282AC9">
        <w:rPr>
          <w:rFonts w:ascii="Arial" w:hAnsi="Arial" w:hint="cs"/>
          <w:sz w:val="27"/>
          <w:rtl/>
          <w:lang w:bidi="ar-LB"/>
        </w:rPr>
        <w:t>َ</w:t>
      </w:r>
      <w:r w:rsidRPr="00282AC9">
        <w:rPr>
          <w:rFonts w:ascii="Arial" w:hAnsi="Arial" w:hint="cs"/>
          <w:sz w:val="27"/>
          <w:rtl/>
          <w:lang w:bidi="ar-LB"/>
        </w:rPr>
        <w:t>ن</w:t>
      </w:r>
      <w:r w:rsidR="00642296" w:rsidRPr="00282AC9">
        <w:rPr>
          <w:rFonts w:ascii="Arial" w:hAnsi="Arial" w:hint="cs"/>
          <w:sz w:val="27"/>
          <w:rtl/>
          <w:lang w:bidi="ar-LB"/>
        </w:rPr>
        <w:t>ْ</w:t>
      </w:r>
      <w:r w:rsidRPr="00282AC9">
        <w:rPr>
          <w:rFonts w:ascii="Arial" w:hAnsi="Arial" w:hint="cs"/>
          <w:sz w:val="27"/>
          <w:rtl/>
          <w:lang w:bidi="ar-LB"/>
        </w:rPr>
        <w:t xml:space="preserve"> بلغ</w:t>
      </w:r>
      <w:r w:rsidRPr="00282AC9">
        <w:rPr>
          <w:rFonts w:hint="eastAsia"/>
          <w:sz w:val="24"/>
          <w:szCs w:val="24"/>
          <w:rtl/>
        </w:rPr>
        <w:t>»</w:t>
      </w:r>
      <w:r w:rsidRPr="00282AC9">
        <w:rPr>
          <w:rFonts w:ascii="Arial" w:hAnsi="Arial" w:hint="cs"/>
          <w:sz w:val="27"/>
          <w:rtl/>
          <w:lang w:bidi="ar-LB"/>
        </w:rPr>
        <w:t xml:space="preserve"> عليه</w:t>
      </w:r>
      <w:r w:rsidR="00642296" w:rsidRPr="00282AC9">
        <w:rPr>
          <w:rFonts w:ascii="Arial" w:hAnsi="Arial" w:hint="cs"/>
          <w:sz w:val="27"/>
          <w:rtl/>
          <w:lang w:bidi="ar-LB"/>
        </w:rPr>
        <w:t xml:space="preserve">. </w:t>
      </w:r>
      <w:r w:rsidR="00642296" w:rsidRPr="00282AC9">
        <w:rPr>
          <w:rFonts w:ascii="Arial" w:eastAsia="Calibri" w:hAnsi="Arial" w:hint="cs"/>
          <w:sz w:val="27"/>
          <w:rtl/>
          <w:lang w:bidi="ar-LB"/>
        </w:rPr>
        <w:t>و</w:t>
      </w:r>
      <w:r w:rsidRPr="00282AC9">
        <w:rPr>
          <w:rFonts w:ascii="Arial" w:eastAsia="Calibri" w:hAnsi="Arial" w:hint="cs"/>
          <w:sz w:val="27"/>
          <w:rtl/>
          <w:lang w:bidi="ar-LB"/>
        </w:rPr>
        <w:t>نقطة الضعف فيه ه</w:t>
      </w:r>
      <w:r w:rsidR="00642296" w:rsidRPr="00282AC9">
        <w:rPr>
          <w:rFonts w:ascii="Arial" w:eastAsia="Calibri" w:hAnsi="Arial" w:hint="cs"/>
          <w:sz w:val="27"/>
          <w:rtl/>
          <w:lang w:bidi="ar-LB"/>
        </w:rPr>
        <w:t>ي</w:t>
      </w:r>
      <w:r w:rsidRPr="00282AC9">
        <w:rPr>
          <w:rFonts w:ascii="Arial" w:eastAsia="Calibri" w:hAnsi="Arial" w:hint="cs"/>
          <w:sz w:val="27"/>
          <w:rtl/>
          <w:lang w:bidi="ar-LB"/>
        </w:rPr>
        <w:t xml:space="preserve"> ضعف الأخبار الدال</w:t>
      </w:r>
      <w:r w:rsidR="00642296" w:rsidRPr="00282AC9">
        <w:rPr>
          <w:rFonts w:ascii="Arial" w:eastAsia="Calibri" w:hAnsi="Arial" w:hint="cs"/>
          <w:sz w:val="27"/>
          <w:rtl/>
          <w:lang w:bidi="ar-LB"/>
        </w:rPr>
        <w:t>ّ</w:t>
      </w:r>
      <w:r w:rsidRPr="00282AC9">
        <w:rPr>
          <w:rFonts w:ascii="Arial" w:eastAsia="Calibri" w:hAnsi="Arial" w:hint="cs"/>
          <w:sz w:val="27"/>
          <w:rtl/>
          <w:lang w:bidi="ar-LB"/>
        </w:rPr>
        <w:t>ة عليه سنداً</w:t>
      </w:r>
      <w:r w:rsidR="00642296" w:rsidRPr="00282AC9">
        <w:rPr>
          <w:rFonts w:ascii="Arial" w:eastAsia="Calibri" w:hAnsi="Arial" w:hint="cs"/>
          <w:sz w:val="27"/>
          <w:rtl/>
          <w:lang w:bidi="ar-LB"/>
        </w:rPr>
        <w:t xml:space="preserve">. </w:t>
      </w:r>
      <w:r w:rsidRPr="00282AC9">
        <w:rPr>
          <w:rFonts w:ascii="Arial" w:eastAsia="Calibri" w:hAnsi="Arial" w:hint="cs"/>
          <w:sz w:val="27"/>
          <w:rtl/>
          <w:lang w:bidi="ar-LB"/>
        </w:rPr>
        <w:t>لكن</w:t>
      </w:r>
      <w:r w:rsidR="00642296" w:rsidRPr="00282AC9">
        <w:rPr>
          <w:rFonts w:ascii="Arial" w:eastAsia="Calibri" w:hAnsi="Arial" w:hint="cs"/>
          <w:sz w:val="27"/>
          <w:rtl/>
          <w:lang w:bidi="ar-LB"/>
        </w:rPr>
        <w:t>ّ</w:t>
      </w:r>
      <w:r w:rsidRPr="00282AC9">
        <w:rPr>
          <w:rFonts w:ascii="Arial" w:eastAsia="Calibri" w:hAnsi="Arial" w:hint="cs"/>
          <w:sz w:val="27"/>
          <w:rtl/>
          <w:lang w:bidi="ar-LB"/>
        </w:rPr>
        <w:t xml:space="preserve">ه </w:t>
      </w:r>
      <w:r w:rsidR="00642296" w:rsidRPr="00282AC9">
        <w:rPr>
          <w:rFonts w:ascii="Arial" w:eastAsia="Calibri" w:hAnsi="Arial" w:hint="cs"/>
          <w:sz w:val="27"/>
          <w:rtl/>
          <w:lang w:bidi="ar-LB"/>
        </w:rPr>
        <w:t>ـ</w:t>
      </w:r>
      <w:r w:rsidRPr="00282AC9">
        <w:rPr>
          <w:rFonts w:ascii="Arial" w:eastAsia="Calibri" w:hAnsi="Arial" w:hint="cs"/>
          <w:sz w:val="27"/>
          <w:rtl/>
          <w:lang w:bidi="ar-LB"/>
        </w:rPr>
        <w:t xml:space="preserve"> رغم ذلك ـ</w:t>
      </w:r>
      <w:r w:rsidR="00642296" w:rsidRPr="00282AC9">
        <w:rPr>
          <w:rFonts w:ascii="Arial" w:eastAsia="Calibri" w:hAnsi="Arial" w:hint="cs"/>
          <w:sz w:val="27"/>
          <w:rtl/>
          <w:lang w:bidi="ar-LB"/>
        </w:rPr>
        <w:t xml:space="preserve"> يبقى محتَمَلاً.</w:t>
      </w:r>
    </w:p>
    <w:p w:rsidR="00642296" w:rsidRPr="00282AC9" w:rsidRDefault="0098597F" w:rsidP="005A1697">
      <w:pPr>
        <w:spacing w:line="420" w:lineRule="exact"/>
        <w:rPr>
          <w:rFonts w:ascii="Arial" w:hAnsi="Arial"/>
          <w:sz w:val="27"/>
          <w:rtl/>
          <w:lang w:bidi="ar-LB"/>
        </w:rPr>
      </w:pPr>
      <w:r w:rsidRPr="00282AC9">
        <w:rPr>
          <w:rFonts w:ascii="Arial" w:eastAsia="Calibri" w:hAnsi="Arial" w:hint="cs"/>
          <w:sz w:val="27"/>
          <w:rtl/>
          <w:lang w:bidi="ar-LB"/>
        </w:rPr>
        <w:t xml:space="preserve">وأما إذا </w:t>
      </w:r>
      <w:r w:rsidRPr="00282AC9">
        <w:rPr>
          <w:rFonts w:ascii="Arial" w:hAnsi="Arial" w:hint="cs"/>
          <w:sz w:val="27"/>
          <w:rtl/>
          <w:lang w:bidi="ar-LB"/>
        </w:rPr>
        <w:t xml:space="preserve">لم يتمّ فالأقرب عندها حمل أخبار </w:t>
      </w:r>
      <w:r w:rsidRPr="00282AC9">
        <w:rPr>
          <w:rFonts w:hint="eastAsia"/>
          <w:sz w:val="24"/>
          <w:szCs w:val="24"/>
          <w:rtl/>
          <w:lang w:bidi="ar-LB"/>
        </w:rPr>
        <w:t>«</w:t>
      </w:r>
      <w:r w:rsidRPr="00282AC9">
        <w:rPr>
          <w:rFonts w:ascii="Arial" w:hAnsi="Arial" w:hint="cs"/>
          <w:sz w:val="27"/>
          <w:rtl/>
          <w:lang w:bidi="ar-LB"/>
        </w:rPr>
        <w:t>م</w:t>
      </w:r>
      <w:r w:rsidR="00642296" w:rsidRPr="00282AC9">
        <w:rPr>
          <w:rFonts w:ascii="Arial" w:hAnsi="Arial" w:hint="cs"/>
          <w:sz w:val="27"/>
          <w:rtl/>
          <w:lang w:bidi="ar-LB"/>
        </w:rPr>
        <w:t>َ</w:t>
      </w:r>
      <w:r w:rsidRPr="00282AC9">
        <w:rPr>
          <w:rFonts w:ascii="Arial" w:hAnsi="Arial" w:hint="cs"/>
          <w:sz w:val="27"/>
          <w:rtl/>
          <w:lang w:bidi="ar-LB"/>
        </w:rPr>
        <w:t>ن</w:t>
      </w:r>
      <w:r w:rsidR="00642296" w:rsidRPr="00282AC9">
        <w:rPr>
          <w:rFonts w:ascii="Arial" w:hAnsi="Arial" w:hint="cs"/>
          <w:sz w:val="27"/>
          <w:rtl/>
          <w:lang w:bidi="ar-LB"/>
        </w:rPr>
        <w:t>ْ</w:t>
      </w:r>
      <w:r w:rsidRPr="00282AC9">
        <w:rPr>
          <w:rFonts w:ascii="Arial" w:hAnsi="Arial" w:hint="cs"/>
          <w:sz w:val="27"/>
          <w:rtl/>
          <w:lang w:bidi="ar-LB"/>
        </w:rPr>
        <w:t xml:space="preserve"> بلغ</w:t>
      </w:r>
      <w:r w:rsidRPr="00282AC9">
        <w:rPr>
          <w:rFonts w:hint="eastAsia"/>
          <w:sz w:val="24"/>
          <w:szCs w:val="24"/>
          <w:rtl/>
        </w:rPr>
        <w:t>»</w:t>
      </w:r>
      <w:r w:rsidRPr="00282AC9">
        <w:rPr>
          <w:rFonts w:ascii="Arial" w:hAnsi="Arial" w:hint="cs"/>
          <w:sz w:val="27"/>
          <w:rtl/>
          <w:lang w:bidi="ar-LB"/>
        </w:rPr>
        <w:t xml:space="preserve"> </w:t>
      </w:r>
      <w:r w:rsidRPr="00282AC9">
        <w:rPr>
          <w:rFonts w:ascii="Arial" w:eastAsia="Calibri" w:hAnsi="Arial" w:hint="cs"/>
          <w:sz w:val="27"/>
          <w:rtl/>
          <w:lang w:bidi="ar-LB"/>
        </w:rPr>
        <w:t xml:space="preserve">على الاحتمال </w:t>
      </w:r>
      <w:r w:rsidRPr="00282AC9">
        <w:rPr>
          <w:rFonts w:ascii="Arial" w:hAnsi="Arial" w:hint="cs"/>
          <w:sz w:val="27"/>
          <w:rtl/>
          <w:lang w:bidi="ar-LB"/>
        </w:rPr>
        <w:t>الثالث مطع</w:t>
      </w:r>
      <w:r w:rsidR="00642296" w:rsidRPr="00282AC9">
        <w:rPr>
          <w:rFonts w:ascii="Arial" w:hAnsi="Arial" w:hint="cs"/>
          <w:sz w:val="27"/>
          <w:rtl/>
          <w:lang w:bidi="ar-LB"/>
        </w:rPr>
        <w:t>َّ</w:t>
      </w:r>
      <w:r w:rsidRPr="00282AC9">
        <w:rPr>
          <w:rFonts w:ascii="Arial" w:hAnsi="Arial" w:hint="cs"/>
          <w:sz w:val="27"/>
          <w:rtl/>
          <w:lang w:bidi="ar-LB"/>
        </w:rPr>
        <w:t>ماً بالرابع</w:t>
      </w:r>
      <w:r w:rsidR="00642296" w:rsidRPr="00282AC9">
        <w:rPr>
          <w:rFonts w:ascii="Arial" w:hAnsi="Arial" w:hint="cs"/>
          <w:sz w:val="27"/>
          <w:rtl/>
          <w:lang w:bidi="ar-LB"/>
        </w:rPr>
        <w:t>.</w:t>
      </w:r>
    </w:p>
    <w:p w:rsidR="00642296" w:rsidRPr="00282AC9" w:rsidRDefault="0098597F" w:rsidP="005A1697">
      <w:pPr>
        <w:spacing w:line="420" w:lineRule="exact"/>
        <w:rPr>
          <w:rFonts w:ascii="Arial" w:hAnsi="Arial"/>
          <w:sz w:val="27"/>
          <w:rtl/>
          <w:lang w:bidi="ar-LB"/>
        </w:rPr>
      </w:pPr>
      <w:r w:rsidRPr="00282AC9">
        <w:rPr>
          <w:rFonts w:ascii="Arial" w:hAnsi="Arial" w:hint="cs"/>
          <w:sz w:val="27"/>
          <w:rtl/>
          <w:lang w:bidi="ar-LB"/>
        </w:rPr>
        <w:t>وأما الوجهان الأو</w:t>
      </w:r>
      <w:r w:rsidR="00642296" w:rsidRPr="00282AC9">
        <w:rPr>
          <w:rFonts w:ascii="Arial" w:hAnsi="Arial" w:hint="cs"/>
          <w:sz w:val="27"/>
          <w:rtl/>
          <w:lang w:bidi="ar-LB"/>
        </w:rPr>
        <w:t>ّ</w:t>
      </w:r>
      <w:r w:rsidRPr="00282AC9">
        <w:rPr>
          <w:rFonts w:ascii="Arial" w:hAnsi="Arial" w:hint="cs"/>
          <w:sz w:val="27"/>
          <w:rtl/>
          <w:lang w:bidi="ar-LB"/>
        </w:rPr>
        <w:t>ل والثاني فلا دلالة للأخبار عليهما</w:t>
      </w:r>
      <w:r w:rsidR="00642296" w:rsidRPr="00282AC9">
        <w:rPr>
          <w:rFonts w:ascii="Arial" w:hAnsi="Arial" w:hint="cs"/>
          <w:sz w:val="27"/>
          <w:rtl/>
          <w:lang w:bidi="ar-LB"/>
        </w:rPr>
        <w:t>،</w:t>
      </w:r>
      <w:r w:rsidRPr="00282AC9">
        <w:rPr>
          <w:rFonts w:ascii="Arial" w:hAnsi="Arial" w:hint="cs"/>
          <w:sz w:val="27"/>
          <w:rtl/>
          <w:lang w:bidi="ar-LB"/>
        </w:rPr>
        <w:t xml:space="preserve"> كما سلف</w:t>
      </w:r>
      <w:r w:rsidR="00642296" w:rsidRPr="00282AC9">
        <w:rPr>
          <w:rFonts w:ascii="Arial" w:hAnsi="Arial" w:hint="cs"/>
          <w:sz w:val="27"/>
          <w:rtl/>
          <w:lang w:bidi="ar-LB"/>
        </w:rPr>
        <w:t>.</w:t>
      </w:r>
    </w:p>
    <w:p w:rsidR="00642296" w:rsidRPr="00282AC9" w:rsidRDefault="0098597F" w:rsidP="005A1697">
      <w:pPr>
        <w:spacing w:line="420" w:lineRule="exact"/>
        <w:rPr>
          <w:rFonts w:ascii="Arial" w:hAnsi="Arial"/>
          <w:sz w:val="27"/>
          <w:rtl/>
          <w:lang w:bidi="ar-LB"/>
        </w:rPr>
      </w:pPr>
      <w:r w:rsidRPr="00282AC9">
        <w:rPr>
          <w:rFonts w:ascii="Arial" w:hAnsi="Arial" w:hint="cs"/>
          <w:sz w:val="27"/>
          <w:rtl/>
          <w:lang w:bidi="ar-LB"/>
        </w:rPr>
        <w:t>وعليه، تسقط قاعدة التسامح في أدلة الس</w:t>
      </w:r>
      <w:r w:rsidR="00642296" w:rsidRPr="00282AC9">
        <w:rPr>
          <w:rFonts w:ascii="Arial" w:hAnsi="Arial" w:hint="cs"/>
          <w:sz w:val="27"/>
          <w:rtl/>
          <w:lang w:bidi="ar-LB"/>
        </w:rPr>
        <w:t>ُّ</w:t>
      </w:r>
      <w:r w:rsidRPr="00282AC9">
        <w:rPr>
          <w:rFonts w:ascii="Arial" w:hAnsi="Arial" w:hint="cs"/>
          <w:sz w:val="27"/>
          <w:rtl/>
          <w:lang w:bidi="ar-LB"/>
        </w:rPr>
        <w:t>ن</w:t>
      </w:r>
      <w:r w:rsidR="00642296" w:rsidRPr="00282AC9">
        <w:rPr>
          <w:rFonts w:ascii="Arial" w:hAnsi="Arial" w:hint="cs"/>
          <w:sz w:val="27"/>
          <w:rtl/>
          <w:lang w:bidi="ar-LB"/>
        </w:rPr>
        <w:t>َ</w:t>
      </w:r>
      <w:r w:rsidRPr="00282AC9">
        <w:rPr>
          <w:rFonts w:ascii="Arial" w:hAnsi="Arial" w:hint="cs"/>
          <w:sz w:val="27"/>
          <w:rtl/>
          <w:lang w:bidi="ar-LB"/>
        </w:rPr>
        <w:t>ن عن الاعتبار، ويتبين أنه لا أصل لها</w:t>
      </w:r>
      <w:r w:rsidR="00642296" w:rsidRPr="00282AC9">
        <w:rPr>
          <w:rFonts w:ascii="Arial" w:hAnsi="Arial" w:hint="cs"/>
          <w:sz w:val="27"/>
          <w:rtl/>
          <w:lang w:bidi="ar-LB"/>
        </w:rPr>
        <w:t>.</w:t>
      </w:r>
    </w:p>
    <w:p w:rsidR="00642296" w:rsidRPr="00282AC9" w:rsidRDefault="0098597F" w:rsidP="005A1697">
      <w:pPr>
        <w:spacing w:line="420" w:lineRule="exact"/>
        <w:rPr>
          <w:rFonts w:ascii="Arial" w:hAnsi="Arial"/>
          <w:sz w:val="27"/>
          <w:rtl/>
          <w:lang w:bidi="ar-LB"/>
        </w:rPr>
      </w:pPr>
      <w:r w:rsidRPr="00282AC9">
        <w:rPr>
          <w:rFonts w:ascii="Arial" w:hAnsi="Arial" w:hint="cs"/>
          <w:sz w:val="27"/>
          <w:rtl/>
          <w:lang w:bidi="ar-LB"/>
        </w:rPr>
        <w:t>ويؤي</w:t>
      </w:r>
      <w:r w:rsidR="00642296" w:rsidRPr="00282AC9">
        <w:rPr>
          <w:rFonts w:ascii="Arial" w:hAnsi="Arial" w:hint="cs"/>
          <w:sz w:val="27"/>
          <w:rtl/>
          <w:lang w:bidi="ar-LB"/>
        </w:rPr>
        <w:t>ِّ</w:t>
      </w:r>
      <w:r w:rsidRPr="00282AC9">
        <w:rPr>
          <w:rFonts w:ascii="Arial" w:hAnsi="Arial" w:hint="cs"/>
          <w:sz w:val="27"/>
          <w:rtl/>
          <w:lang w:bidi="ar-LB"/>
        </w:rPr>
        <w:t>د ذلك أنّ هذه الأخبار</w:t>
      </w:r>
      <w:r w:rsidR="00642296" w:rsidRPr="00282AC9">
        <w:rPr>
          <w:rFonts w:ascii="Arial" w:hAnsi="Arial" w:hint="cs"/>
          <w:sz w:val="27"/>
          <w:rtl/>
          <w:lang w:bidi="ar-LB"/>
        </w:rPr>
        <w:t>،</w:t>
      </w:r>
      <w:r w:rsidRPr="00282AC9">
        <w:rPr>
          <w:rFonts w:ascii="Arial" w:hAnsi="Arial" w:hint="cs"/>
          <w:sz w:val="27"/>
          <w:rtl/>
          <w:lang w:bidi="ar-LB"/>
        </w:rPr>
        <w:t xml:space="preserve"> مع كونها في متناول الأصحاب والفقهاء، لم يحتمل أحد</w:t>
      </w:r>
      <w:r w:rsidR="00642296" w:rsidRPr="00282AC9">
        <w:rPr>
          <w:rFonts w:ascii="Arial" w:hAnsi="Arial" w:hint="cs"/>
          <w:sz w:val="27"/>
          <w:rtl/>
          <w:lang w:bidi="ar-LB"/>
        </w:rPr>
        <w:t>ٌ</w:t>
      </w:r>
      <w:r w:rsidRPr="00282AC9">
        <w:rPr>
          <w:rFonts w:ascii="Arial" w:hAnsi="Arial" w:hint="cs"/>
          <w:sz w:val="27"/>
          <w:rtl/>
          <w:lang w:bidi="ar-LB"/>
        </w:rPr>
        <w:t xml:space="preserve"> منهم ـ باستثناء المتأخ</w:t>
      </w:r>
      <w:r w:rsidR="00642296" w:rsidRPr="00282AC9">
        <w:rPr>
          <w:rFonts w:ascii="Arial" w:hAnsi="Arial" w:hint="cs"/>
          <w:sz w:val="27"/>
          <w:rtl/>
          <w:lang w:bidi="ar-LB"/>
        </w:rPr>
        <w:t>ِّ</w:t>
      </w:r>
      <w:r w:rsidRPr="00282AC9">
        <w:rPr>
          <w:rFonts w:ascii="Arial" w:hAnsi="Arial" w:hint="cs"/>
          <w:sz w:val="27"/>
          <w:rtl/>
          <w:lang w:bidi="ar-LB"/>
        </w:rPr>
        <w:t>رين ـ دلالتها على التسامح في أدلة الس</w:t>
      </w:r>
      <w:r w:rsidR="00642296" w:rsidRPr="00282AC9">
        <w:rPr>
          <w:rFonts w:ascii="Arial" w:hAnsi="Arial" w:hint="cs"/>
          <w:sz w:val="27"/>
          <w:rtl/>
          <w:lang w:bidi="ar-LB"/>
        </w:rPr>
        <w:t>ُّ</w:t>
      </w:r>
      <w:r w:rsidRPr="00282AC9">
        <w:rPr>
          <w:rFonts w:ascii="Arial" w:hAnsi="Arial" w:hint="cs"/>
          <w:sz w:val="27"/>
          <w:rtl/>
          <w:lang w:bidi="ar-LB"/>
        </w:rPr>
        <w:t>ن</w:t>
      </w:r>
      <w:r w:rsidR="00642296" w:rsidRPr="00282AC9">
        <w:rPr>
          <w:rFonts w:ascii="Arial" w:hAnsi="Arial" w:hint="cs"/>
          <w:sz w:val="27"/>
          <w:rtl/>
          <w:lang w:bidi="ar-LB"/>
        </w:rPr>
        <w:t>َن.</w:t>
      </w:r>
    </w:p>
    <w:p w:rsidR="0098597F" w:rsidRPr="00282AC9" w:rsidRDefault="0098597F" w:rsidP="005A1697">
      <w:pPr>
        <w:spacing w:line="420" w:lineRule="exact"/>
        <w:rPr>
          <w:rFonts w:ascii="Arial" w:eastAsia="Calibri" w:hAnsi="Arial"/>
          <w:sz w:val="27"/>
          <w:rtl/>
          <w:lang w:bidi="ar-LB"/>
        </w:rPr>
      </w:pPr>
      <w:r w:rsidRPr="00282AC9">
        <w:rPr>
          <w:rFonts w:ascii="Arial" w:hAnsi="Arial" w:hint="cs"/>
          <w:sz w:val="27"/>
          <w:rtl/>
          <w:lang w:bidi="ar-LB"/>
        </w:rPr>
        <w:t>وأما الاحتمال الأول فلا دلالة لها عليه، ولو سل</w:t>
      </w:r>
      <w:r w:rsidR="00642296" w:rsidRPr="00282AC9">
        <w:rPr>
          <w:rFonts w:ascii="Arial" w:hAnsi="Arial" w:hint="cs"/>
          <w:sz w:val="27"/>
          <w:rtl/>
          <w:lang w:bidi="ar-LB"/>
        </w:rPr>
        <w:t>َّ</w:t>
      </w:r>
      <w:r w:rsidRPr="00282AC9">
        <w:rPr>
          <w:rFonts w:ascii="Arial" w:hAnsi="Arial" w:hint="cs"/>
          <w:sz w:val="27"/>
          <w:rtl/>
          <w:lang w:bidi="ar-LB"/>
        </w:rPr>
        <w:t>منا بدلالة بعضها عليه ففي كفايتها لإثبات المسألة الأصولي</w:t>
      </w:r>
      <w:r w:rsidR="00D37D2C" w:rsidRPr="00282AC9">
        <w:rPr>
          <w:rFonts w:ascii="Arial" w:hAnsi="Arial" w:hint="cs"/>
          <w:sz w:val="27"/>
          <w:rtl/>
          <w:lang w:bidi="ar-LB"/>
        </w:rPr>
        <w:t>ّ</w:t>
      </w:r>
      <w:r w:rsidRPr="00282AC9">
        <w:rPr>
          <w:rFonts w:ascii="Arial" w:hAnsi="Arial" w:hint="cs"/>
          <w:sz w:val="27"/>
          <w:rtl/>
          <w:lang w:bidi="ar-LB"/>
        </w:rPr>
        <w:t>ة المخالفة للقاعدة تأم</w:t>
      </w:r>
      <w:r w:rsidR="00D37D2C" w:rsidRPr="00282AC9">
        <w:rPr>
          <w:rFonts w:ascii="Arial" w:hAnsi="Arial" w:hint="cs"/>
          <w:sz w:val="27"/>
          <w:rtl/>
          <w:lang w:bidi="ar-LB"/>
        </w:rPr>
        <w:t>ُّ</w:t>
      </w:r>
      <w:r w:rsidRPr="00282AC9">
        <w:rPr>
          <w:rFonts w:ascii="Arial" w:hAnsi="Arial" w:hint="cs"/>
          <w:sz w:val="27"/>
          <w:rtl/>
          <w:lang w:bidi="ar-LB"/>
        </w:rPr>
        <w:t>ل</w:t>
      </w:r>
      <w:r w:rsidR="00D37D2C" w:rsidRPr="00282AC9">
        <w:rPr>
          <w:rFonts w:ascii="Arial" w:hAnsi="Arial" w:hint="cs"/>
          <w:sz w:val="27"/>
          <w:rtl/>
          <w:lang w:bidi="ar-LB"/>
        </w:rPr>
        <w:t>ٌ</w:t>
      </w:r>
      <w:r w:rsidRPr="00282AC9">
        <w:rPr>
          <w:rFonts w:ascii="Arial" w:hAnsi="Arial" w:hint="cs"/>
          <w:sz w:val="27"/>
          <w:rtl/>
          <w:lang w:bidi="ar-LB"/>
        </w:rPr>
        <w:t xml:space="preserve"> كبير. </w:t>
      </w:r>
    </w:p>
    <w:p w:rsidR="0098597F" w:rsidRPr="00282AC9" w:rsidRDefault="0098597F" w:rsidP="005A1697">
      <w:pPr>
        <w:spacing w:line="420" w:lineRule="exact"/>
        <w:rPr>
          <w:rFonts w:ascii="Arial" w:eastAsia="Calibri" w:hAnsi="Arial"/>
          <w:sz w:val="27"/>
          <w:rtl/>
          <w:lang w:bidi="ar-LB"/>
        </w:rPr>
      </w:pPr>
      <w:r w:rsidRPr="00282AC9">
        <w:rPr>
          <w:rFonts w:ascii="Arial" w:hAnsi="Arial" w:hint="cs"/>
          <w:sz w:val="27"/>
          <w:rtl/>
          <w:lang w:bidi="ar-LB"/>
        </w:rPr>
        <w:t xml:space="preserve">ومع </w:t>
      </w:r>
      <w:r w:rsidRPr="00282AC9">
        <w:rPr>
          <w:rFonts w:ascii="Arial" w:eastAsia="Calibri" w:hAnsi="Arial" w:hint="cs"/>
          <w:sz w:val="27"/>
          <w:rtl/>
          <w:lang w:bidi="ar-LB"/>
        </w:rPr>
        <w:t>سقوط القاعدة</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وانكشاف ضعفها</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لا يبقى ثم</w:t>
      </w:r>
      <w:r w:rsidR="00D37D2C" w:rsidRPr="00282AC9">
        <w:rPr>
          <w:rFonts w:ascii="Arial" w:eastAsia="Calibri" w:hAnsi="Arial" w:hint="cs"/>
          <w:sz w:val="27"/>
          <w:rtl/>
          <w:lang w:bidi="ar-LB"/>
        </w:rPr>
        <w:t>ّ</w:t>
      </w:r>
      <w:r w:rsidRPr="00282AC9">
        <w:rPr>
          <w:rFonts w:ascii="Arial" w:eastAsia="Calibri" w:hAnsi="Arial" w:hint="cs"/>
          <w:sz w:val="27"/>
          <w:rtl/>
          <w:lang w:bidi="ar-LB"/>
        </w:rPr>
        <w:t>ة حاجة لبعض البحوث التفصيلية</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والفروع المرتبطة بها</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باستثناء بعض النقاط الآتية</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التي نرى أهم</w:t>
      </w:r>
      <w:r w:rsidR="00D37D2C" w:rsidRPr="00282AC9">
        <w:rPr>
          <w:rFonts w:ascii="Arial" w:eastAsia="Calibri" w:hAnsi="Arial" w:hint="cs"/>
          <w:sz w:val="27"/>
          <w:rtl/>
          <w:lang w:bidi="ar-LB"/>
        </w:rPr>
        <w:t>ّي</w:t>
      </w:r>
      <w:r w:rsidRPr="00282AC9">
        <w:rPr>
          <w:rFonts w:ascii="Arial" w:eastAsia="Calibri" w:hAnsi="Arial" w:hint="cs"/>
          <w:sz w:val="27"/>
          <w:rtl/>
          <w:lang w:bidi="ar-LB"/>
        </w:rPr>
        <w:t>ة التطر</w:t>
      </w:r>
      <w:r w:rsidR="00D37D2C" w:rsidRPr="00282AC9">
        <w:rPr>
          <w:rFonts w:ascii="Arial" w:eastAsia="Calibri" w:hAnsi="Arial" w:hint="cs"/>
          <w:sz w:val="27"/>
          <w:rtl/>
          <w:lang w:bidi="ar-LB"/>
        </w:rPr>
        <w:t>ُّ</w:t>
      </w:r>
      <w:r w:rsidRPr="00282AC9">
        <w:rPr>
          <w:rFonts w:ascii="Arial" w:eastAsia="Calibri" w:hAnsi="Arial" w:hint="cs"/>
          <w:sz w:val="27"/>
          <w:rtl/>
          <w:lang w:bidi="ar-LB"/>
        </w:rPr>
        <w:t>ق إليها</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لصلتها ببحثنا ومقاربتنا للمسألة.</w:t>
      </w:r>
    </w:p>
    <w:p w:rsidR="0098597F" w:rsidRPr="00282AC9" w:rsidRDefault="0098597F" w:rsidP="005A1697">
      <w:pPr>
        <w:spacing w:line="420" w:lineRule="exact"/>
        <w:rPr>
          <w:rFonts w:ascii="Arial" w:eastAsia="Calibri" w:hAnsi="Arial"/>
          <w:sz w:val="27"/>
          <w:rtl/>
          <w:lang w:bidi="ar-LB"/>
        </w:rPr>
      </w:pPr>
    </w:p>
    <w:p w:rsidR="0098597F" w:rsidRPr="00282AC9" w:rsidRDefault="001B574D" w:rsidP="00E15FDC">
      <w:pPr>
        <w:pStyle w:val="31"/>
        <w:rPr>
          <w:rFonts w:eastAsia="Calibri"/>
          <w:color w:val="auto"/>
          <w:rtl/>
          <w:lang w:bidi="ar-LB"/>
        </w:rPr>
      </w:pPr>
      <w:r w:rsidRPr="00282AC9">
        <w:rPr>
          <w:rFonts w:eastAsia="Calibri" w:hint="cs"/>
          <w:color w:val="auto"/>
          <w:rtl/>
          <w:lang w:bidi="ar-LB"/>
        </w:rPr>
        <w:t>7</w:t>
      </w:r>
      <w:r w:rsidR="0098597F" w:rsidRPr="00282AC9">
        <w:rPr>
          <w:rFonts w:eastAsia="Calibri" w:hint="cs"/>
          <w:color w:val="auto"/>
          <w:rtl/>
          <w:lang w:bidi="ar-LB"/>
        </w:rPr>
        <w:t xml:space="preserve">ـ </w:t>
      </w:r>
      <w:r w:rsidR="0098597F" w:rsidRPr="00282AC9">
        <w:rPr>
          <w:rFonts w:eastAsia="Calibri"/>
          <w:color w:val="auto"/>
          <w:rtl/>
          <w:lang w:bidi="ar-LB"/>
        </w:rPr>
        <w:t>النتائج السلبي</w:t>
      </w:r>
      <w:r w:rsidR="00D37D2C" w:rsidRPr="00282AC9">
        <w:rPr>
          <w:rFonts w:eastAsia="Calibri" w:hint="cs"/>
          <w:color w:val="auto"/>
          <w:rtl/>
          <w:lang w:bidi="ar-LB"/>
        </w:rPr>
        <w:t>ّ</w:t>
      </w:r>
      <w:r w:rsidR="0098597F" w:rsidRPr="00282AC9">
        <w:rPr>
          <w:rFonts w:eastAsia="Calibri"/>
          <w:color w:val="auto"/>
          <w:rtl/>
          <w:lang w:bidi="ar-LB"/>
        </w:rPr>
        <w:t xml:space="preserve">ة </w:t>
      </w:r>
      <w:r w:rsidR="00E15FDC" w:rsidRPr="00282AC9">
        <w:rPr>
          <w:rFonts w:eastAsia="Calibri" w:hint="cs"/>
          <w:color w:val="auto"/>
          <w:rtl/>
          <w:lang w:bidi="ar-LB"/>
        </w:rPr>
        <w:t>ل</w:t>
      </w:r>
      <w:r w:rsidR="0098597F" w:rsidRPr="00282AC9">
        <w:rPr>
          <w:rFonts w:eastAsia="Calibri" w:hint="cs"/>
          <w:color w:val="auto"/>
          <w:rtl/>
          <w:lang w:bidi="ar-LB"/>
        </w:rPr>
        <w:t>لأخذ ب</w:t>
      </w:r>
      <w:r w:rsidR="0098597F" w:rsidRPr="00282AC9">
        <w:rPr>
          <w:rFonts w:eastAsia="Calibri"/>
          <w:color w:val="auto"/>
          <w:rtl/>
          <w:lang w:bidi="ar-LB"/>
        </w:rPr>
        <w:t>هذه القاعدة</w:t>
      </w:r>
    </w:p>
    <w:p w:rsidR="0098597F" w:rsidRPr="00282AC9" w:rsidRDefault="0098597F" w:rsidP="005A1697">
      <w:pPr>
        <w:spacing w:line="420" w:lineRule="exact"/>
        <w:rPr>
          <w:rFonts w:ascii="Arial" w:eastAsia="Calibri" w:hAnsi="Arial"/>
          <w:sz w:val="27"/>
          <w:rtl/>
          <w:lang w:bidi="ar-LB"/>
        </w:rPr>
      </w:pPr>
      <w:r w:rsidRPr="00282AC9">
        <w:rPr>
          <w:rFonts w:ascii="Arial" w:eastAsia="Calibri" w:hAnsi="Arial" w:hint="cs"/>
          <w:sz w:val="27"/>
          <w:rtl/>
          <w:lang w:bidi="ar-LB"/>
        </w:rPr>
        <w:t>بالإضافة إلى ما تقد</w:t>
      </w:r>
      <w:r w:rsidR="00D37D2C" w:rsidRPr="00282AC9">
        <w:rPr>
          <w:rFonts w:ascii="Arial" w:eastAsia="Calibri" w:hAnsi="Arial" w:hint="cs"/>
          <w:sz w:val="27"/>
          <w:rtl/>
          <w:lang w:bidi="ar-LB"/>
        </w:rPr>
        <w:t>َّ</w:t>
      </w:r>
      <w:r w:rsidRPr="00282AC9">
        <w:rPr>
          <w:rFonts w:ascii="Arial" w:eastAsia="Calibri" w:hAnsi="Arial" w:hint="cs"/>
          <w:sz w:val="27"/>
          <w:rtl/>
          <w:lang w:bidi="ar-LB"/>
        </w:rPr>
        <w:t>م</w:t>
      </w:r>
      <w:r w:rsidR="00D37D2C" w:rsidRPr="00282AC9">
        <w:rPr>
          <w:rFonts w:ascii="Arial" w:eastAsia="Calibri" w:hAnsi="Arial" w:hint="cs"/>
          <w:sz w:val="27"/>
          <w:rtl/>
          <w:lang w:bidi="ar-LB"/>
        </w:rPr>
        <w:t xml:space="preserve"> ـ</w:t>
      </w:r>
      <w:r w:rsidRPr="00282AC9">
        <w:rPr>
          <w:rFonts w:ascii="Arial" w:eastAsia="Calibri" w:hAnsi="Arial" w:hint="cs"/>
          <w:sz w:val="27"/>
          <w:rtl/>
          <w:lang w:bidi="ar-LB"/>
        </w:rPr>
        <w:t xml:space="preserve"> من عدم تماميّة الدليل على قاعدة التسامح</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بناءً على التفسير المشهور لها</w:t>
      </w:r>
      <w:r w:rsidR="00D37D2C" w:rsidRPr="00282AC9">
        <w:rPr>
          <w:rFonts w:ascii="Arial" w:eastAsia="Calibri" w:hAnsi="Arial" w:hint="cs"/>
          <w:sz w:val="27"/>
          <w:rtl/>
          <w:lang w:bidi="ar-LB"/>
        </w:rPr>
        <w:t xml:space="preserve"> ـ</w:t>
      </w:r>
      <w:r w:rsidRPr="00282AC9">
        <w:rPr>
          <w:rFonts w:ascii="Arial" w:eastAsia="Calibri" w:hAnsi="Arial" w:hint="cs"/>
          <w:sz w:val="27"/>
          <w:rtl/>
          <w:lang w:bidi="ar-LB"/>
        </w:rPr>
        <w:t xml:space="preserve"> فقد ترت</w:t>
      </w:r>
      <w:r w:rsidR="00D37D2C" w:rsidRPr="00282AC9">
        <w:rPr>
          <w:rFonts w:ascii="Arial" w:eastAsia="Calibri" w:hAnsi="Arial" w:hint="cs"/>
          <w:sz w:val="27"/>
          <w:rtl/>
          <w:lang w:bidi="ar-LB"/>
        </w:rPr>
        <w:t>َّ</w:t>
      </w:r>
      <w:r w:rsidRPr="00282AC9">
        <w:rPr>
          <w:rFonts w:ascii="Arial" w:eastAsia="Calibri" w:hAnsi="Arial" w:hint="cs"/>
          <w:sz w:val="27"/>
          <w:rtl/>
          <w:lang w:bidi="ar-LB"/>
        </w:rPr>
        <w:t>ب على الأخذ بها العديد من النتائج السلبي</w:t>
      </w:r>
      <w:r w:rsidR="00D37D2C" w:rsidRPr="00282AC9">
        <w:rPr>
          <w:rFonts w:ascii="Arial" w:eastAsia="Calibri" w:hAnsi="Arial" w:hint="cs"/>
          <w:sz w:val="27"/>
          <w:rtl/>
          <w:lang w:bidi="ar-LB"/>
        </w:rPr>
        <w:t>ّ</w:t>
      </w:r>
      <w:r w:rsidRPr="00282AC9">
        <w:rPr>
          <w:rFonts w:ascii="Arial" w:eastAsia="Calibri" w:hAnsi="Arial" w:hint="cs"/>
          <w:sz w:val="27"/>
          <w:rtl/>
          <w:lang w:bidi="ar-LB"/>
        </w:rPr>
        <w:t>ة وغير المحمودة</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على الصعيدين النظري</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والعملي</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وهذا في الواقع من المؤش</w:t>
      </w:r>
      <w:r w:rsidR="00D37D2C" w:rsidRPr="00282AC9">
        <w:rPr>
          <w:rFonts w:ascii="Arial" w:eastAsia="Calibri" w:hAnsi="Arial" w:hint="cs"/>
          <w:sz w:val="27"/>
          <w:rtl/>
          <w:lang w:bidi="ar-LB"/>
        </w:rPr>
        <w:t>ِّ</w:t>
      </w:r>
      <w:r w:rsidRPr="00282AC9">
        <w:rPr>
          <w:rFonts w:ascii="Arial" w:eastAsia="Calibri" w:hAnsi="Arial" w:hint="cs"/>
          <w:sz w:val="27"/>
          <w:rtl/>
          <w:lang w:bidi="ar-LB"/>
        </w:rPr>
        <w:t>رات على عدم إرادة التفسير المشهور لها</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لأن ما يترت</w:t>
      </w:r>
      <w:r w:rsidR="00D37D2C" w:rsidRPr="00282AC9">
        <w:rPr>
          <w:rFonts w:ascii="Arial" w:eastAsia="Calibri" w:hAnsi="Arial" w:hint="cs"/>
          <w:sz w:val="27"/>
          <w:rtl/>
          <w:lang w:bidi="ar-LB"/>
        </w:rPr>
        <w:t>َّ</w:t>
      </w:r>
      <w:r w:rsidRPr="00282AC9">
        <w:rPr>
          <w:rFonts w:ascii="Arial" w:eastAsia="Calibri" w:hAnsi="Arial" w:hint="cs"/>
          <w:sz w:val="27"/>
          <w:rtl/>
          <w:lang w:bidi="ar-LB"/>
        </w:rPr>
        <w:t>ب عليه مفاسد كثيرة لا يصدر عن المشر</w:t>
      </w:r>
      <w:r w:rsidR="00D37D2C" w:rsidRPr="00282AC9">
        <w:rPr>
          <w:rFonts w:ascii="Arial" w:eastAsia="Calibri" w:hAnsi="Arial" w:hint="cs"/>
          <w:sz w:val="27"/>
          <w:rtl/>
          <w:lang w:bidi="ar-LB"/>
        </w:rPr>
        <w:t>ِّ</w:t>
      </w:r>
      <w:r w:rsidRPr="00282AC9">
        <w:rPr>
          <w:rFonts w:ascii="Arial" w:eastAsia="Calibri" w:hAnsi="Arial" w:hint="cs"/>
          <w:sz w:val="27"/>
          <w:rtl/>
          <w:lang w:bidi="ar-LB"/>
        </w:rPr>
        <w:t>ع الحكيم</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أو لا يكون مراداً له</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وهذه بعض النتائج التي أفرزها الأخذ بهذه القاعدة: </w:t>
      </w:r>
    </w:p>
    <w:p w:rsidR="00E15FDC" w:rsidRPr="00282AC9" w:rsidRDefault="00E15FDC" w:rsidP="00E15FDC">
      <w:pPr>
        <w:pStyle w:val="31"/>
        <w:rPr>
          <w:rFonts w:eastAsia="Calibri"/>
          <w:color w:val="auto"/>
          <w:rtl/>
          <w:lang w:bidi="ar-LB"/>
        </w:rPr>
      </w:pPr>
      <w:r w:rsidRPr="00282AC9">
        <w:rPr>
          <w:rFonts w:eastAsia="Calibri" w:hint="cs"/>
          <w:color w:val="auto"/>
          <w:rtl/>
          <w:lang w:bidi="ar-LB"/>
        </w:rPr>
        <w:lastRenderedPageBreak/>
        <w:t>أ</w:t>
      </w:r>
      <w:r w:rsidR="0098597F" w:rsidRPr="00282AC9">
        <w:rPr>
          <w:rFonts w:eastAsia="Calibri" w:hint="cs"/>
          <w:color w:val="auto"/>
          <w:rtl/>
          <w:lang w:bidi="ar-LB"/>
        </w:rPr>
        <w:t xml:space="preserve">ـ </w:t>
      </w:r>
      <w:r w:rsidRPr="00282AC9">
        <w:rPr>
          <w:rFonts w:eastAsia="Calibri" w:hint="cs"/>
          <w:color w:val="auto"/>
          <w:rtl/>
          <w:lang w:bidi="ar-LB"/>
        </w:rPr>
        <w:t>التهيئة لتقبُّل الأخبار الواهية</w:t>
      </w:r>
    </w:p>
    <w:p w:rsidR="00D37D2C" w:rsidRPr="00282AC9" w:rsidRDefault="0098597F" w:rsidP="004F097E">
      <w:pPr>
        <w:contextualSpacing/>
        <w:rPr>
          <w:rFonts w:ascii="Arial" w:eastAsia="Calibri" w:hAnsi="Arial"/>
          <w:sz w:val="27"/>
          <w:rtl/>
          <w:lang w:bidi="ar-LB"/>
        </w:rPr>
      </w:pPr>
      <w:r w:rsidRPr="00282AC9">
        <w:rPr>
          <w:rFonts w:ascii="Arial" w:eastAsia="Calibri" w:hAnsi="Arial" w:hint="cs"/>
          <w:sz w:val="27"/>
          <w:rtl/>
          <w:lang w:bidi="ar-LB"/>
        </w:rPr>
        <w:t>إنّ هذه القاعدة قد هيّ</w:t>
      </w:r>
      <w:r w:rsidR="00D37D2C" w:rsidRPr="00282AC9">
        <w:rPr>
          <w:rFonts w:ascii="Arial" w:eastAsia="Calibri" w:hAnsi="Arial" w:hint="cs"/>
          <w:sz w:val="27"/>
          <w:rtl/>
          <w:lang w:bidi="ar-LB"/>
        </w:rPr>
        <w:t>َ</w:t>
      </w:r>
      <w:r w:rsidRPr="00282AC9">
        <w:rPr>
          <w:rFonts w:ascii="Arial" w:eastAsia="Calibri" w:hAnsi="Arial" w:hint="cs"/>
          <w:sz w:val="27"/>
          <w:rtl/>
          <w:lang w:bidi="ar-LB"/>
        </w:rPr>
        <w:t>أ</w:t>
      </w:r>
      <w:r w:rsidR="00D37D2C" w:rsidRPr="00282AC9">
        <w:rPr>
          <w:rFonts w:ascii="Arial" w:eastAsia="Calibri" w:hAnsi="Arial" w:hint="cs"/>
          <w:sz w:val="27"/>
          <w:rtl/>
          <w:lang w:bidi="ar-LB"/>
        </w:rPr>
        <w:t>َ</w:t>
      </w:r>
      <w:r w:rsidRPr="00282AC9">
        <w:rPr>
          <w:rFonts w:ascii="Arial" w:eastAsia="Calibri" w:hAnsi="Arial" w:hint="cs"/>
          <w:sz w:val="27"/>
          <w:rtl/>
          <w:lang w:bidi="ar-LB"/>
        </w:rPr>
        <w:t>ت</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النفوس لتقبّ</w:t>
      </w:r>
      <w:r w:rsidR="00D37D2C" w:rsidRPr="00282AC9">
        <w:rPr>
          <w:rFonts w:ascii="Arial" w:eastAsia="Calibri" w:hAnsi="Arial" w:hint="cs"/>
          <w:sz w:val="27"/>
          <w:rtl/>
          <w:lang w:bidi="ar-LB"/>
        </w:rPr>
        <w:t>ُ</w:t>
      </w:r>
      <w:r w:rsidRPr="00282AC9">
        <w:rPr>
          <w:rFonts w:ascii="Arial" w:eastAsia="Calibri" w:hAnsi="Arial" w:hint="cs"/>
          <w:sz w:val="27"/>
          <w:rtl/>
          <w:lang w:bidi="ar-LB"/>
        </w:rPr>
        <w:t>ل الأخبار الواهية والخرافية، وخلق</w:t>
      </w:r>
      <w:r w:rsidR="00D37D2C" w:rsidRPr="00282AC9">
        <w:rPr>
          <w:rFonts w:ascii="Arial" w:eastAsia="Calibri" w:hAnsi="Arial" w:hint="cs"/>
          <w:sz w:val="27"/>
          <w:rtl/>
          <w:lang w:bidi="ar-LB"/>
        </w:rPr>
        <w:t>َ</w:t>
      </w:r>
      <w:r w:rsidRPr="00282AC9">
        <w:rPr>
          <w:rFonts w:ascii="Arial" w:eastAsia="Calibri" w:hAnsi="Arial" w:hint="cs"/>
          <w:sz w:val="27"/>
          <w:rtl/>
          <w:lang w:bidi="ar-LB"/>
        </w:rPr>
        <w:t>ت</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أرضي</w:t>
      </w:r>
      <w:r w:rsidR="00D37D2C" w:rsidRPr="00282AC9">
        <w:rPr>
          <w:rFonts w:ascii="Arial" w:eastAsia="Calibri" w:hAnsi="Arial" w:hint="cs"/>
          <w:sz w:val="27"/>
          <w:rtl/>
          <w:lang w:bidi="ar-LB"/>
        </w:rPr>
        <w:t>ّ</w:t>
      </w:r>
      <w:r w:rsidRPr="00282AC9">
        <w:rPr>
          <w:rFonts w:ascii="Arial" w:eastAsia="Calibri" w:hAnsi="Arial" w:hint="cs"/>
          <w:sz w:val="27"/>
          <w:rtl/>
          <w:lang w:bidi="ar-LB"/>
        </w:rPr>
        <w:t>ة</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ملائمة لذلك</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حيث ي</w:t>
      </w:r>
      <w:r w:rsidR="00D37D2C" w:rsidRPr="00282AC9">
        <w:rPr>
          <w:rFonts w:ascii="Arial" w:eastAsia="Calibri" w:hAnsi="Arial" w:hint="cs"/>
          <w:sz w:val="27"/>
          <w:rtl/>
          <w:lang w:bidi="ar-LB"/>
        </w:rPr>
        <w:t>ُ</w:t>
      </w:r>
      <w:r w:rsidRPr="00282AC9">
        <w:rPr>
          <w:rFonts w:ascii="Arial" w:eastAsia="Calibri" w:hAnsi="Arial" w:hint="cs"/>
          <w:sz w:val="27"/>
          <w:rtl/>
          <w:lang w:bidi="ar-LB"/>
        </w:rPr>
        <w:t>لاح</w:t>
      </w:r>
      <w:r w:rsidR="00D37D2C" w:rsidRPr="00282AC9">
        <w:rPr>
          <w:rFonts w:ascii="Arial" w:eastAsia="Calibri" w:hAnsi="Arial" w:hint="cs"/>
          <w:sz w:val="27"/>
          <w:rtl/>
          <w:lang w:bidi="ar-LB"/>
        </w:rPr>
        <w:t>َ</w:t>
      </w:r>
      <w:r w:rsidRPr="00282AC9">
        <w:rPr>
          <w:rFonts w:ascii="Arial" w:eastAsia="Calibri" w:hAnsi="Arial" w:hint="cs"/>
          <w:sz w:val="27"/>
          <w:rtl/>
          <w:lang w:bidi="ar-LB"/>
        </w:rPr>
        <w:t>ظ أنّ الأذهان المسكونة بهذه القاعدة تحاول جاهدة</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إيجاد تبريرٍ لكل</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تراث الغلو</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بل لكل</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خبر</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ضعيف لا أصل له</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وهذا ما فتح الباب واسعاً أمام تسر</w:t>
      </w:r>
      <w:r w:rsidR="00D37D2C" w:rsidRPr="00282AC9">
        <w:rPr>
          <w:rFonts w:ascii="Arial" w:eastAsia="Calibri" w:hAnsi="Arial" w:hint="cs"/>
          <w:sz w:val="27"/>
          <w:rtl/>
          <w:lang w:bidi="ar-LB"/>
        </w:rPr>
        <w:t>ُّ</w:t>
      </w:r>
      <w:r w:rsidRPr="00282AC9">
        <w:rPr>
          <w:rFonts w:ascii="Arial" w:eastAsia="Calibri" w:hAnsi="Arial" w:hint="cs"/>
          <w:sz w:val="27"/>
          <w:rtl/>
          <w:lang w:bidi="ar-LB"/>
        </w:rPr>
        <w:t>ب الأكاذيب والموضوعات</w:t>
      </w:r>
      <w:r w:rsidR="00D37D2C" w:rsidRPr="00282AC9">
        <w:rPr>
          <w:rFonts w:ascii="Arial" w:eastAsia="Calibri" w:hAnsi="Arial" w:hint="cs"/>
          <w:sz w:val="27"/>
          <w:rtl/>
          <w:lang w:bidi="ar-LB"/>
        </w:rPr>
        <w:t xml:space="preserve">، </w:t>
      </w:r>
      <w:r w:rsidRPr="00282AC9">
        <w:rPr>
          <w:rFonts w:ascii="Arial" w:eastAsia="Calibri" w:hAnsi="Arial" w:hint="cs"/>
          <w:sz w:val="27"/>
          <w:rtl/>
          <w:lang w:bidi="ar-LB"/>
        </w:rPr>
        <w:t>و</w:t>
      </w:r>
      <w:r w:rsidR="00674EF5" w:rsidRPr="00282AC9">
        <w:rPr>
          <w:rFonts w:ascii="Arial" w:eastAsia="Calibri" w:hAnsi="Arial" w:hint="cs"/>
          <w:sz w:val="27"/>
          <w:rtl/>
          <w:lang w:bidi="ar-LB"/>
        </w:rPr>
        <w:t>لا سيَّما</w:t>
      </w:r>
      <w:r w:rsidRPr="00282AC9">
        <w:rPr>
          <w:rFonts w:ascii="Arial" w:eastAsia="Calibri" w:hAnsi="Arial" w:hint="cs"/>
          <w:sz w:val="27"/>
          <w:rtl/>
          <w:lang w:bidi="ar-LB"/>
        </w:rPr>
        <w:t xml:space="preserve"> التي تبالغ بالحديث عن ثواب الله تعالى العظيم والجزيل على بعض الأعمال الس</w:t>
      </w:r>
      <w:r w:rsidR="00D37D2C" w:rsidRPr="00282AC9">
        <w:rPr>
          <w:rFonts w:ascii="Arial" w:eastAsia="Calibri" w:hAnsi="Arial" w:hint="cs"/>
          <w:sz w:val="27"/>
          <w:rtl/>
          <w:lang w:bidi="ar-LB"/>
        </w:rPr>
        <w:t>َّ</w:t>
      </w:r>
      <w:r w:rsidRPr="00282AC9">
        <w:rPr>
          <w:rFonts w:ascii="Arial" w:eastAsia="Calibri" w:hAnsi="Arial" w:hint="cs"/>
          <w:sz w:val="27"/>
          <w:rtl/>
          <w:lang w:bidi="ar-LB"/>
        </w:rPr>
        <w:t>ه</w:t>
      </w:r>
      <w:r w:rsidR="00D37D2C" w:rsidRPr="00282AC9">
        <w:rPr>
          <w:rFonts w:ascii="Arial" w:eastAsia="Calibri" w:hAnsi="Arial" w:hint="cs"/>
          <w:sz w:val="27"/>
          <w:rtl/>
          <w:lang w:bidi="ar-LB"/>
        </w:rPr>
        <w:t>ْ</w:t>
      </w:r>
      <w:r w:rsidRPr="00282AC9">
        <w:rPr>
          <w:rFonts w:ascii="Arial" w:eastAsia="Calibri" w:hAnsi="Arial" w:hint="cs"/>
          <w:sz w:val="27"/>
          <w:rtl/>
          <w:lang w:bidi="ar-LB"/>
        </w:rPr>
        <w:t>لة، بحج</w:t>
      </w:r>
      <w:r w:rsidR="00D37D2C" w:rsidRPr="00282AC9">
        <w:rPr>
          <w:rFonts w:ascii="Arial" w:eastAsia="Calibri" w:hAnsi="Arial" w:hint="cs"/>
          <w:sz w:val="27"/>
          <w:rtl/>
          <w:lang w:bidi="ar-LB"/>
        </w:rPr>
        <w:t>ّ</w:t>
      </w:r>
      <w:r w:rsidRPr="00282AC9">
        <w:rPr>
          <w:rFonts w:ascii="Arial" w:eastAsia="Calibri" w:hAnsi="Arial" w:hint="cs"/>
          <w:sz w:val="27"/>
          <w:rtl/>
          <w:lang w:bidi="ar-LB"/>
        </w:rPr>
        <w:t>ة أنّ الخبر حت</w:t>
      </w:r>
      <w:r w:rsidR="00D37D2C" w:rsidRPr="00282AC9">
        <w:rPr>
          <w:rFonts w:ascii="Arial" w:eastAsia="Calibri" w:hAnsi="Arial" w:hint="cs"/>
          <w:sz w:val="27"/>
          <w:rtl/>
          <w:lang w:bidi="ar-LB"/>
        </w:rPr>
        <w:t>ّ</w:t>
      </w:r>
      <w:r w:rsidRPr="00282AC9">
        <w:rPr>
          <w:rFonts w:ascii="Arial" w:eastAsia="Calibri" w:hAnsi="Arial" w:hint="cs"/>
          <w:sz w:val="27"/>
          <w:rtl/>
          <w:lang w:bidi="ar-LB"/>
        </w:rPr>
        <w:t>ى لو رواه الكذ</w:t>
      </w:r>
      <w:r w:rsidR="00D37D2C" w:rsidRPr="00282AC9">
        <w:rPr>
          <w:rFonts w:ascii="Arial" w:eastAsia="Calibri" w:hAnsi="Arial" w:hint="cs"/>
          <w:sz w:val="27"/>
          <w:rtl/>
          <w:lang w:bidi="ar-LB"/>
        </w:rPr>
        <w:t>ّ</w:t>
      </w:r>
      <w:r w:rsidRPr="00282AC9">
        <w:rPr>
          <w:rFonts w:ascii="Arial" w:eastAsia="Calibri" w:hAnsi="Arial" w:hint="cs"/>
          <w:sz w:val="27"/>
          <w:rtl/>
          <w:lang w:bidi="ar-LB"/>
        </w:rPr>
        <w:t>ابون فاحتمال صدقهم قائم</w:t>
      </w:r>
      <w:r w:rsidR="00D37D2C" w:rsidRPr="00282AC9">
        <w:rPr>
          <w:rFonts w:ascii="Arial" w:eastAsia="Calibri" w:hAnsi="Arial" w:hint="cs"/>
          <w:sz w:val="27"/>
          <w:rtl/>
          <w:lang w:bidi="ar-LB"/>
        </w:rPr>
        <w:t>ٌ</w:t>
      </w:r>
      <w:r w:rsidRPr="00282AC9">
        <w:rPr>
          <w:rFonts w:ascii="Arial" w:eastAsia="Calibri" w:hAnsi="Arial" w:hint="cs"/>
          <w:sz w:val="27"/>
          <w:rtl/>
          <w:lang w:bidi="ar-LB"/>
        </w:rPr>
        <w:t>، ولذا يجوز نقله، بل يجوز الإفتاء على ضوئه بالاستحباب</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بناءً على المشهور</w:t>
      </w:r>
      <w:r w:rsidR="00D37D2C" w:rsidRPr="00282AC9">
        <w:rPr>
          <w:rFonts w:ascii="Arial" w:eastAsia="Calibri" w:hAnsi="Arial" w:hint="cs"/>
          <w:sz w:val="27"/>
          <w:rtl/>
          <w:lang w:bidi="ar-LB"/>
        </w:rPr>
        <w:t>.</w:t>
      </w:r>
    </w:p>
    <w:p w:rsidR="000133D6" w:rsidRPr="00282AC9" w:rsidRDefault="0098597F" w:rsidP="005A1697">
      <w:pPr>
        <w:spacing w:line="420" w:lineRule="exact"/>
        <w:contextualSpacing/>
        <w:rPr>
          <w:rFonts w:ascii="Arial" w:eastAsia="Calibri" w:hAnsi="Arial"/>
          <w:sz w:val="27"/>
          <w:rtl/>
          <w:lang w:bidi="ar-LB"/>
        </w:rPr>
      </w:pPr>
      <w:r w:rsidRPr="00282AC9">
        <w:rPr>
          <w:rFonts w:ascii="Arial" w:eastAsia="Calibri" w:hAnsi="Arial" w:hint="cs"/>
          <w:sz w:val="27"/>
          <w:rtl/>
          <w:lang w:bidi="ar-LB"/>
        </w:rPr>
        <w:t>وقد أسل</w:t>
      </w:r>
      <w:r w:rsidR="00D37D2C" w:rsidRPr="00282AC9">
        <w:rPr>
          <w:rFonts w:ascii="Arial" w:eastAsia="Calibri" w:hAnsi="Arial" w:hint="cs"/>
          <w:sz w:val="27"/>
          <w:rtl/>
          <w:lang w:bidi="ar-LB"/>
        </w:rPr>
        <w:t>َ</w:t>
      </w:r>
      <w:r w:rsidRPr="00282AC9">
        <w:rPr>
          <w:rFonts w:ascii="Arial" w:eastAsia="Calibri" w:hAnsi="Arial" w:hint="cs"/>
          <w:sz w:val="27"/>
          <w:rtl/>
          <w:lang w:bidi="ar-LB"/>
        </w:rPr>
        <w:t>ف</w:t>
      </w:r>
      <w:r w:rsidR="00D37D2C" w:rsidRPr="00282AC9">
        <w:rPr>
          <w:rFonts w:ascii="Arial" w:eastAsia="Calibri" w:hAnsi="Arial" w:hint="cs"/>
          <w:sz w:val="27"/>
          <w:rtl/>
          <w:lang w:bidi="ar-LB"/>
        </w:rPr>
        <w:t>ْ</w:t>
      </w:r>
      <w:r w:rsidRPr="00282AC9">
        <w:rPr>
          <w:rFonts w:ascii="Arial" w:eastAsia="Calibri" w:hAnsi="Arial" w:hint="cs"/>
          <w:sz w:val="27"/>
          <w:rtl/>
          <w:lang w:bidi="ar-LB"/>
        </w:rPr>
        <w:t>نا أن صلاة الرغائب</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مع أنها ـ فيما يبدو من بعض الشواهد ـ موضوعة</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 من ق</w:t>
      </w:r>
      <w:r w:rsidR="00D37D2C" w:rsidRPr="00282AC9">
        <w:rPr>
          <w:rFonts w:ascii="Arial" w:eastAsia="Calibri" w:hAnsi="Arial" w:hint="cs"/>
          <w:sz w:val="27"/>
          <w:rtl/>
          <w:lang w:bidi="ar-LB"/>
        </w:rPr>
        <w:t>ِ</w:t>
      </w:r>
      <w:r w:rsidRPr="00282AC9">
        <w:rPr>
          <w:rFonts w:ascii="Arial" w:eastAsia="Calibri" w:hAnsi="Arial" w:hint="cs"/>
          <w:sz w:val="27"/>
          <w:rtl/>
          <w:lang w:bidi="ar-LB"/>
        </w:rPr>
        <w:t>ب</w:t>
      </w:r>
      <w:r w:rsidR="00D37D2C" w:rsidRPr="00282AC9">
        <w:rPr>
          <w:rFonts w:ascii="Arial" w:eastAsia="Calibri" w:hAnsi="Arial" w:hint="cs"/>
          <w:sz w:val="27"/>
          <w:rtl/>
          <w:lang w:bidi="ar-LB"/>
        </w:rPr>
        <w:t>َ</w:t>
      </w:r>
      <w:r w:rsidRPr="00282AC9">
        <w:rPr>
          <w:rFonts w:ascii="Arial" w:eastAsia="Calibri" w:hAnsi="Arial" w:hint="cs"/>
          <w:sz w:val="27"/>
          <w:rtl/>
          <w:lang w:bidi="ar-LB"/>
        </w:rPr>
        <w:t>ل بعض الصوفي</w:t>
      </w:r>
      <w:r w:rsidR="00D37D2C" w:rsidRPr="00282AC9">
        <w:rPr>
          <w:rFonts w:ascii="Arial" w:eastAsia="Calibri" w:hAnsi="Arial" w:hint="cs"/>
          <w:sz w:val="27"/>
          <w:rtl/>
          <w:lang w:bidi="ar-LB"/>
        </w:rPr>
        <w:t>ّ</w:t>
      </w:r>
      <w:r w:rsidRPr="00282AC9">
        <w:rPr>
          <w:rFonts w:ascii="Arial" w:eastAsia="Calibri" w:hAnsi="Arial" w:hint="cs"/>
          <w:sz w:val="27"/>
          <w:rtl/>
          <w:lang w:bidi="ar-LB"/>
        </w:rPr>
        <w:t xml:space="preserve">ة، </w:t>
      </w:r>
      <w:r w:rsidR="000133D6" w:rsidRPr="00282AC9">
        <w:rPr>
          <w:rFonts w:ascii="Arial" w:eastAsia="Calibri" w:hAnsi="Arial" w:hint="cs"/>
          <w:sz w:val="27"/>
          <w:rtl/>
          <w:lang w:bidi="ar-LB"/>
        </w:rPr>
        <w:t xml:space="preserve">تمّ إضفاء الشرعيّة عليها </w:t>
      </w:r>
      <w:r w:rsidRPr="00282AC9">
        <w:rPr>
          <w:rFonts w:ascii="Arial" w:eastAsia="Calibri" w:hAnsi="Arial" w:hint="cs"/>
          <w:sz w:val="27"/>
          <w:rtl/>
          <w:lang w:bidi="ar-LB"/>
        </w:rPr>
        <w:t xml:space="preserve">بـ </w:t>
      </w:r>
      <w:r w:rsidRPr="00282AC9">
        <w:rPr>
          <w:rFonts w:hint="eastAsia"/>
          <w:sz w:val="24"/>
          <w:szCs w:val="24"/>
          <w:rtl/>
          <w:lang w:bidi="ar-LB"/>
        </w:rPr>
        <w:t>«</w:t>
      </w:r>
      <w:r w:rsidRPr="00282AC9">
        <w:rPr>
          <w:rFonts w:ascii="Arial" w:eastAsia="Calibri" w:hAnsi="Arial" w:hint="cs"/>
          <w:sz w:val="27"/>
          <w:rtl/>
          <w:lang w:bidi="ar-LB"/>
        </w:rPr>
        <w:t>بركة</w:t>
      </w:r>
      <w:r w:rsidRPr="00282AC9">
        <w:rPr>
          <w:rFonts w:hint="eastAsia"/>
          <w:sz w:val="24"/>
          <w:szCs w:val="24"/>
          <w:rtl/>
        </w:rPr>
        <w:t>»</w:t>
      </w:r>
      <w:r w:rsidRPr="00282AC9">
        <w:rPr>
          <w:rFonts w:ascii="Arial" w:eastAsia="Calibri" w:hAnsi="Arial" w:hint="cs"/>
          <w:sz w:val="27"/>
          <w:rtl/>
          <w:lang w:bidi="ar-LB"/>
        </w:rPr>
        <w:t xml:space="preserve"> قاعدة التسامح</w:t>
      </w:r>
      <w:r w:rsidR="000133D6" w:rsidRPr="00282AC9">
        <w:rPr>
          <w:rFonts w:ascii="Arial" w:eastAsia="Calibri" w:hAnsi="Arial" w:hint="cs"/>
          <w:sz w:val="27"/>
          <w:rtl/>
          <w:lang w:bidi="ar-LB"/>
        </w:rPr>
        <w:t>.</w:t>
      </w:r>
    </w:p>
    <w:p w:rsidR="000133D6" w:rsidRPr="00282AC9" w:rsidRDefault="0098597F" w:rsidP="004F097E">
      <w:pPr>
        <w:contextualSpacing/>
        <w:rPr>
          <w:rFonts w:ascii="Arial" w:eastAsia="Calibri" w:hAnsi="Arial"/>
          <w:sz w:val="27"/>
          <w:rtl/>
          <w:lang w:bidi="ar-LB"/>
        </w:rPr>
      </w:pPr>
      <w:r w:rsidRPr="00282AC9">
        <w:rPr>
          <w:rFonts w:ascii="Arial" w:eastAsia="Calibri" w:hAnsi="Arial" w:hint="cs"/>
          <w:sz w:val="27"/>
          <w:rtl/>
          <w:lang w:bidi="ar-LB"/>
        </w:rPr>
        <w:t>إنّ المتتب</w:t>
      </w:r>
      <w:r w:rsidR="000133D6" w:rsidRPr="00282AC9">
        <w:rPr>
          <w:rFonts w:ascii="Arial" w:eastAsia="Calibri" w:hAnsi="Arial" w:hint="cs"/>
          <w:sz w:val="27"/>
          <w:rtl/>
          <w:lang w:bidi="ar-LB"/>
        </w:rPr>
        <w:t>ِّ</w:t>
      </w:r>
      <w:r w:rsidRPr="00282AC9">
        <w:rPr>
          <w:rFonts w:ascii="Arial" w:eastAsia="Calibri" w:hAnsi="Arial" w:hint="cs"/>
          <w:sz w:val="27"/>
          <w:rtl/>
          <w:lang w:bidi="ar-LB"/>
        </w:rPr>
        <w:t>ع لموارد الاستشهاد بالقاعدة في الفروع الفقهيّة المختلفة سيكتشف أنّه في ضوئها قد تمّ استنباط مئات الفتاوى</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وأ</w:t>
      </w:r>
      <w:r w:rsidR="000133D6" w:rsidRPr="00282AC9">
        <w:rPr>
          <w:rFonts w:ascii="Arial" w:eastAsia="Calibri" w:hAnsi="Arial" w:hint="cs"/>
          <w:sz w:val="27"/>
          <w:rtl/>
          <w:lang w:bidi="ar-LB"/>
        </w:rPr>
        <w:t>ُ</w:t>
      </w:r>
      <w:r w:rsidRPr="00282AC9">
        <w:rPr>
          <w:rFonts w:ascii="Arial" w:eastAsia="Calibri" w:hAnsi="Arial" w:hint="cs"/>
          <w:sz w:val="27"/>
          <w:rtl/>
          <w:lang w:bidi="ar-LB"/>
        </w:rPr>
        <w:t>دخلت آلاف الأخبار الضعيفة</w:t>
      </w:r>
      <w:r w:rsidR="000133D6" w:rsidRPr="00282AC9">
        <w:rPr>
          <w:rFonts w:ascii="Arial" w:eastAsia="Calibri" w:hAnsi="Arial" w:hint="cs"/>
          <w:sz w:val="27"/>
          <w:rtl/>
          <w:lang w:bidi="ar-LB"/>
        </w:rPr>
        <w:t xml:space="preserve">، </w:t>
      </w:r>
      <w:r w:rsidRPr="00282AC9">
        <w:rPr>
          <w:rFonts w:ascii="Arial" w:eastAsia="Calibri" w:hAnsi="Arial" w:hint="cs"/>
          <w:sz w:val="27"/>
          <w:rtl/>
          <w:lang w:bidi="ar-LB"/>
        </w:rPr>
        <w:t>ور</w:t>
      </w:r>
      <w:r w:rsidR="000133D6" w:rsidRPr="00282AC9">
        <w:rPr>
          <w:rFonts w:ascii="Arial" w:eastAsia="Calibri" w:hAnsi="Arial" w:hint="cs"/>
          <w:sz w:val="27"/>
          <w:rtl/>
          <w:lang w:bidi="ar-LB"/>
        </w:rPr>
        <w:t>ُ</w:t>
      </w:r>
      <w:r w:rsidRPr="00282AC9">
        <w:rPr>
          <w:rFonts w:ascii="Arial" w:eastAsia="Calibri" w:hAnsi="Arial" w:hint="cs"/>
          <w:sz w:val="27"/>
          <w:rtl/>
          <w:lang w:bidi="ar-LB"/>
        </w:rPr>
        <w:t>ب</w:t>
      </w:r>
      <w:r w:rsidR="000133D6" w:rsidRPr="00282AC9">
        <w:rPr>
          <w:rFonts w:ascii="Arial" w:eastAsia="Calibri" w:hAnsi="Arial" w:hint="cs"/>
          <w:sz w:val="27"/>
          <w:rtl/>
          <w:lang w:bidi="ar-LB"/>
        </w:rPr>
        <w:t>َ</w:t>
      </w:r>
      <w:r w:rsidRPr="00282AC9">
        <w:rPr>
          <w:rFonts w:ascii="Arial" w:eastAsia="Calibri" w:hAnsi="Arial" w:hint="cs"/>
          <w:sz w:val="27"/>
          <w:rtl/>
          <w:lang w:bidi="ar-LB"/>
        </w:rPr>
        <w:t>ما الموضوعة</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إلى الفضاء الديني عموماً</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والفقهي خصوصاً</w:t>
      </w:r>
      <w:r w:rsidR="000133D6" w:rsidRPr="00282AC9">
        <w:rPr>
          <w:rFonts w:ascii="Arial" w:eastAsia="Calibri" w:hAnsi="Arial" w:hint="cs"/>
          <w:sz w:val="27"/>
          <w:rtl/>
          <w:lang w:bidi="ar-LB"/>
        </w:rPr>
        <w:t>.</w:t>
      </w:r>
    </w:p>
    <w:p w:rsidR="0098597F" w:rsidRPr="00282AC9" w:rsidRDefault="0098597F" w:rsidP="004F097E">
      <w:pPr>
        <w:contextualSpacing/>
        <w:rPr>
          <w:rFonts w:ascii="Arial" w:eastAsia="Calibri" w:hAnsi="Arial"/>
          <w:sz w:val="27"/>
          <w:rtl/>
          <w:lang w:bidi="ar-LB"/>
        </w:rPr>
      </w:pPr>
      <w:r w:rsidRPr="00282AC9">
        <w:rPr>
          <w:rFonts w:ascii="Arial" w:eastAsia="Calibri" w:hAnsi="Arial" w:hint="cs"/>
          <w:sz w:val="27"/>
          <w:rtl/>
          <w:lang w:bidi="ar-LB"/>
        </w:rPr>
        <w:t>ولم يقتصر الأمر في</w:t>
      </w:r>
      <w:r w:rsidR="000133D6" w:rsidRPr="00282AC9">
        <w:rPr>
          <w:rFonts w:ascii="Arial" w:eastAsia="Calibri" w:hAnsi="Arial" w:hint="cs"/>
          <w:sz w:val="27"/>
          <w:rtl/>
          <w:lang w:bidi="ar-LB"/>
        </w:rPr>
        <w:t xml:space="preserve"> </w:t>
      </w:r>
      <w:r w:rsidRPr="00282AC9">
        <w:rPr>
          <w:rFonts w:ascii="Arial" w:eastAsia="Calibri" w:hAnsi="Arial" w:hint="cs"/>
          <w:sz w:val="27"/>
          <w:rtl/>
          <w:lang w:bidi="ar-LB"/>
        </w:rPr>
        <w:t>ما أدخل</w:t>
      </w:r>
      <w:r w:rsidR="000133D6" w:rsidRPr="00282AC9">
        <w:rPr>
          <w:rFonts w:ascii="Arial" w:eastAsia="Calibri" w:hAnsi="Arial" w:hint="cs"/>
          <w:sz w:val="27"/>
          <w:rtl/>
          <w:lang w:bidi="ar-LB"/>
        </w:rPr>
        <w:t>َ</w:t>
      </w:r>
      <w:r w:rsidRPr="00282AC9">
        <w:rPr>
          <w:rFonts w:ascii="Arial" w:eastAsia="Calibri" w:hAnsi="Arial" w:hint="cs"/>
          <w:sz w:val="27"/>
          <w:rtl/>
          <w:lang w:bidi="ar-LB"/>
        </w:rPr>
        <w:t>ت</w:t>
      </w:r>
      <w:r w:rsidR="000133D6" w:rsidRPr="00282AC9">
        <w:rPr>
          <w:rFonts w:ascii="Arial" w:eastAsia="Calibri" w:hAnsi="Arial" w:hint="cs"/>
          <w:sz w:val="27"/>
          <w:rtl/>
          <w:lang w:bidi="ar-LB"/>
        </w:rPr>
        <w:t>ْ</w:t>
      </w:r>
      <w:r w:rsidRPr="00282AC9">
        <w:rPr>
          <w:rFonts w:ascii="Arial" w:eastAsia="Calibri" w:hAnsi="Arial" w:hint="cs"/>
          <w:sz w:val="27"/>
          <w:rtl/>
          <w:lang w:bidi="ar-LB"/>
        </w:rPr>
        <w:t>ه القاعدة وأضف</w:t>
      </w:r>
      <w:r w:rsidR="000133D6" w:rsidRPr="00282AC9">
        <w:rPr>
          <w:rFonts w:ascii="Arial" w:eastAsia="Calibri" w:hAnsi="Arial" w:hint="cs"/>
          <w:sz w:val="27"/>
          <w:rtl/>
          <w:lang w:bidi="ar-LB"/>
        </w:rPr>
        <w:t>َ</w:t>
      </w:r>
      <w:r w:rsidRPr="00282AC9">
        <w:rPr>
          <w:rFonts w:ascii="Arial" w:eastAsia="Calibri" w:hAnsi="Arial" w:hint="cs"/>
          <w:sz w:val="27"/>
          <w:rtl/>
          <w:lang w:bidi="ar-LB"/>
        </w:rPr>
        <w:t>ت</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عليه نوعاً من الشرعي</w:t>
      </w:r>
      <w:r w:rsidR="000133D6" w:rsidRPr="00282AC9">
        <w:rPr>
          <w:rFonts w:ascii="Arial" w:eastAsia="Calibri" w:hAnsi="Arial" w:hint="cs"/>
          <w:sz w:val="27"/>
          <w:rtl/>
          <w:lang w:bidi="ar-LB"/>
        </w:rPr>
        <w:t>ّ</w:t>
      </w:r>
      <w:r w:rsidRPr="00282AC9">
        <w:rPr>
          <w:rFonts w:ascii="Arial" w:eastAsia="Calibri" w:hAnsi="Arial" w:hint="cs"/>
          <w:sz w:val="27"/>
          <w:rtl/>
          <w:lang w:bidi="ar-LB"/>
        </w:rPr>
        <w:t>ة على التراث الشيعي الضعيف</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بل امتد</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ذلك إلى تراث الغلاة، وكذلك التراث السن</w:t>
      </w:r>
      <w:r w:rsidR="000133D6" w:rsidRPr="00282AC9">
        <w:rPr>
          <w:rFonts w:ascii="Arial" w:eastAsia="Calibri" w:hAnsi="Arial" w:hint="cs"/>
          <w:sz w:val="27"/>
          <w:rtl/>
          <w:lang w:bidi="ar-LB"/>
        </w:rPr>
        <w:t>ّ</w:t>
      </w:r>
      <w:r w:rsidRPr="00282AC9">
        <w:rPr>
          <w:rFonts w:ascii="Arial" w:eastAsia="Calibri" w:hAnsi="Arial" w:hint="cs"/>
          <w:sz w:val="27"/>
          <w:rtl/>
          <w:lang w:bidi="ar-LB"/>
        </w:rPr>
        <w:t>ي</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حت</w:t>
      </w:r>
      <w:r w:rsidR="000133D6" w:rsidRPr="00282AC9">
        <w:rPr>
          <w:rFonts w:ascii="Arial" w:eastAsia="Calibri" w:hAnsi="Arial" w:hint="cs"/>
          <w:sz w:val="27"/>
          <w:rtl/>
          <w:lang w:bidi="ar-LB"/>
        </w:rPr>
        <w:t>ّ</w:t>
      </w:r>
      <w:r w:rsidRPr="00282AC9">
        <w:rPr>
          <w:rFonts w:ascii="Arial" w:eastAsia="Calibri" w:hAnsi="Arial" w:hint="cs"/>
          <w:sz w:val="27"/>
          <w:rtl/>
          <w:lang w:bidi="ar-LB"/>
        </w:rPr>
        <w:t>ى الذي حكم أهل السن</w:t>
      </w:r>
      <w:r w:rsidR="000133D6" w:rsidRPr="00282AC9">
        <w:rPr>
          <w:rFonts w:ascii="Arial" w:eastAsia="Calibri" w:hAnsi="Arial" w:hint="cs"/>
          <w:sz w:val="27"/>
          <w:rtl/>
          <w:lang w:bidi="ar-LB"/>
        </w:rPr>
        <w:t>ّ</w:t>
      </w:r>
      <w:r w:rsidRPr="00282AC9">
        <w:rPr>
          <w:rFonts w:ascii="Arial" w:eastAsia="Calibri" w:hAnsi="Arial" w:hint="cs"/>
          <w:sz w:val="27"/>
          <w:rtl/>
          <w:lang w:bidi="ar-LB"/>
        </w:rPr>
        <w:t>ة بو</w:t>
      </w:r>
      <w:r w:rsidR="000133D6" w:rsidRPr="00282AC9">
        <w:rPr>
          <w:rFonts w:ascii="Arial" w:eastAsia="Calibri" w:hAnsi="Arial" w:hint="cs"/>
          <w:sz w:val="27"/>
          <w:rtl/>
          <w:lang w:bidi="ar-LB"/>
        </w:rPr>
        <w:t>َ</w:t>
      </w:r>
      <w:r w:rsidRPr="00282AC9">
        <w:rPr>
          <w:rFonts w:ascii="Arial" w:eastAsia="Calibri" w:hAnsi="Arial" w:hint="cs"/>
          <w:sz w:val="27"/>
          <w:rtl/>
          <w:lang w:bidi="ar-LB"/>
        </w:rPr>
        <w:t>ه</w:t>
      </w:r>
      <w:r w:rsidR="000133D6" w:rsidRPr="00282AC9">
        <w:rPr>
          <w:rFonts w:ascii="Arial" w:eastAsia="Calibri" w:hAnsi="Arial" w:hint="cs"/>
          <w:sz w:val="27"/>
          <w:rtl/>
          <w:lang w:bidi="ar-LB"/>
        </w:rPr>
        <w:t>ْ</w:t>
      </w:r>
      <w:r w:rsidRPr="00282AC9">
        <w:rPr>
          <w:rFonts w:ascii="Arial" w:eastAsia="Calibri" w:hAnsi="Arial" w:hint="cs"/>
          <w:sz w:val="27"/>
          <w:rtl/>
          <w:lang w:bidi="ar-LB"/>
        </w:rPr>
        <w:t>نه</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وكل</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هذا التراث كان من السهل رفضه</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بسبب و</w:t>
      </w:r>
      <w:r w:rsidR="000133D6" w:rsidRPr="00282AC9">
        <w:rPr>
          <w:rFonts w:ascii="Arial" w:eastAsia="Calibri" w:hAnsi="Arial" w:hint="cs"/>
          <w:sz w:val="27"/>
          <w:rtl/>
          <w:lang w:bidi="ar-LB"/>
        </w:rPr>
        <w:t>َ</w:t>
      </w:r>
      <w:r w:rsidRPr="00282AC9">
        <w:rPr>
          <w:rFonts w:ascii="Arial" w:eastAsia="Calibri" w:hAnsi="Arial" w:hint="cs"/>
          <w:sz w:val="27"/>
          <w:rtl/>
          <w:lang w:bidi="ar-LB"/>
        </w:rPr>
        <w:t>ه</w:t>
      </w:r>
      <w:r w:rsidR="000133D6" w:rsidRPr="00282AC9">
        <w:rPr>
          <w:rFonts w:ascii="Arial" w:eastAsia="Calibri" w:hAnsi="Arial" w:hint="cs"/>
          <w:sz w:val="27"/>
          <w:rtl/>
          <w:lang w:bidi="ar-LB"/>
        </w:rPr>
        <w:t>ْ</w:t>
      </w:r>
      <w:r w:rsidRPr="00282AC9">
        <w:rPr>
          <w:rFonts w:ascii="Arial" w:eastAsia="Calibri" w:hAnsi="Arial" w:hint="cs"/>
          <w:sz w:val="27"/>
          <w:rtl/>
          <w:lang w:bidi="ar-LB"/>
        </w:rPr>
        <w:t>نه وعدم صح</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ته سنداً، </w:t>
      </w:r>
      <w:r w:rsidR="00674EF5" w:rsidRPr="00282AC9">
        <w:rPr>
          <w:rFonts w:ascii="Arial" w:eastAsia="Calibri" w:hAnsi="Arial" w:hint="cs"/>
          <w:sz w:val="27"/>
          <w:rtl/>
          <w:lang w:bidi="ar-LB"/>
        </w:rPr>
        <w:t>بَيْدَ</w:t>
      </w:r>
      <w:r w:rsidRPr="00282AC9">
        <w:rPr>
          <w:rFonts w:ascii="Arial" w:eastAsia="Calibri" w:hAnsi="Arial" w:hint="cs"/>
          <w:sz w:val="27"/>
          <w:rtl/>
          <w:lang w:bidi="ar-LB"/>
        </w:rPr>
        <w:t xml:space="preserve"> أنّ القاعدة سم</w:t>
      </w:r>
      <w:r w:rsidR="000133D6" w:rsidRPr="00282AC9">
        <w:rPr>
          <w:rFonts w:ascii="Arial" w:eastAsia="Calibri" w:hAnsi="Arial" w:hint="cs"/>
          <w:sz w:val="27"/>
          <w:rtl/>
          <w:lang w:bidi="ar-LB"/>
        </w:rPr>
        <w:t>َ</w:t>
      </w:r>
      <w:r w:rsidRPr="00282AC9">
        <w:rPr>
          <w:rFonts w:ascii="Arial" w:eastAsia="Calibri" w:hAnsi="Arial" w:hint="cs"/>
          <w:sz w:val="27"/>
          <w:rtl/>
          <w:lang w:bidi="ar-LB"/>
        </w:rPr>
        <w:t>ح</w:t>
      </w:r>
      <w:r w:rsidR="000133D6" w:rsidRPr="00282AC9">
        <w:rPr>
          <w:rFonts w:ascii="Arial" w:eastAsia="Calibri" w:hAnsi="Arial" w:hint="cs"/>
          <w:sz w:val="27"/>
          <w:rtl/>
          <w:lang w:bidi="ar-LB"/>
        </w:rPr>
        <w:t>َ</w:t>
      </w:r>
      <w:r w:rsidRPr="00282AC9">
        <w:rPr>
          <w:rFonts w:ascii="Arial" w:eastAsia="Calibri" w:hAnsi="Arial" w:hint="cs"/>
          <w:sz w:val="27"/>
          <w:rtl/>
          <w:lang w:bidi="ar-LB"/>
        </w:rPr>
        <w:t>ت</w:t>
      </w:r>
      <w:r w:rsidR="000133D6" w:rsidRPr="00282AC9">
        <w:rPr>
          <w:rFonts w:ascii="Arial" w:eastAsia="Calibri" w:hAnsi="Arial" w:hint="cs"/>
          <w:sz w:val="27"/>
          <w:rtl/>
          <w:lang w:bidi="ar-LB"/>
        </w:rPr>
        <w:t>ْ</w:t>
      </w:r>
      <w:r w:rsidRPr="00282AC9">
        <w:rPr>
          <w:rFonts w:ascii="Arial" w:eastAsia="Calibri" w:hAnsi="Arial" w:hint="cs"/>
          <w:sz w:val="27"/>
          <w:rtl/>
          <w:lang w:bidi="ar-LB"/>
        </w:rPr>
        <w:t xml:space="preserve"> بإبقائه </w:t>
      </w:r>
      <w:r w:rsidRPr="00282AC9">
        <w:rPr>
          <w:rFonts w:hint="eastAsia"/>
          <w:sz w:val="24"/>
          <w:szCs w:val="24"/>
          <w:rtl/>
          <w:lang w:bidi="ar-LB"/>
        </w:rPr>
        <w:t>«</w:t>
      </w:r>
      <w:r w:rsidRPr="00282AC9">
        <w:rPr>
          <w:rFonts w:ascii="Arial" w:eastAsia="Calibri" w:hAnsi="Arial" w:hint="cs"/>
          <w:sz w:val="27"/>
          <w:rtl/>
          <w:lang w:bidi="ar-LB"/>
        </w:rPr>
        <w:t>حي</w:t>
      </w:r>
      <w:r w:rsidR="000133D6" w:rsidRPr="00282AC9">
        <w:rPr>
          <w:rFonts w:ascii="Arial" w:eastAsia="Calibri" w:hAnsi="Arial" w:hint="cs"/>
          <w:sz w:val="27"/>
          <w:rtl/>
          <w:lang w:bidi="ar-LB"/>
        </w:rPr>
        <w:t>ّ</w:t>
      </w:r>
      <w:r w:rsidRPr="00282AC9">
        <w:rPr>
          <w:rFonts w:ascii="Arial" w:eastAsia="Calibri" w:hAnsi="Arial" w:hint="cs"/>
          <w:sz w:val="27"/>
          <w:rtl/>
          <w:lang w:bidi="ar-LB"/>
        </w:rPr>
        <w:t>اً</w:t>
      </w:r>
      <w:r w:rsidRPr="00282AC9">
        <w:rPr>
          <w:rFonts w:hint="eastAsia"/>
          <w:sz w:val="24"/>
          <w:szCs w:val="24"/>
          <w:rtl/>
        </w:rPr>
        <w:t>»</w:t>
      </w:r>
      <w:r w:rsidRPr="00282AC9">
        <w:rPr>
          <w:rFonts w:ascii="Arial" w:eastAsia="Calibri" w:hAnsi="Arial" w:hint="cs"/>
          <w:sz w:val="27"/>
          <w:rtl/>
          <w:lang w:bidi="ar-LB"/>
        </w:rPr>
        <w:t xml:space="preserve"> وقيد التداول.</w:t>
      </w:r>
    </w:p>
    <w:p w:rsidR="00E15FDC" w:rsidRPr="00282AC9" w:rsidRDefault="00E15FDC" w:rsidP="005A1697">
      <w:pPr>
        <w:spacing w:line="410" w:lineRule="exact"/>
        <w:contextualSpacing/>
        <w:rPr>
          <w:rFonts w:ascii="Arial" w:eastAsia="Calibri" w:hAnsi="Arial"/>
          <w:sz w:val="27"/>
          <w:lang w:bidi="ar-LB"/>
        </w:rPr>
      </w:pPr>
    </w:p>
    <w:p w:rsidR="00F73315" w:rsidRPr="00282AC9" w:rsidRDefault="00F73315" w:rsidP="00F73315">
      <w:pPr>
        <w:pStyle w:val="31"/>
        <w:rPr>
          <w:color w:val="auto"/>
          <w:rtl/>
        </w:rPr>
      </w:pPr>
      <w:r w:rsidRPr="00282AC9">
        <w:rPr>
          <w:rFonts w:hint="cs"/>
          <w:color w:val="auto"/>
          <w:rtl/>
        </w:rPr>
        <w:t xml:space="preserve">ب </w:t>
      </w:r>
      <w:r w:rsidR="0098597F" w:rsidRPr="00282AC9">
        <w:rPr>
          <w:rFonts w:hint="cs"/>
          <w:color w:val="auto"/>
          <w:rtl/>
        </w:rPr>
        <w:t xml:space="preserve">ـ </w:t>
      </w:r>
      <w:r w:rsidRPr="00282AC9">
        <w:rPr>
          <w:rFonts w:hint="cs"/>
          <w:color w:val="auto"/>
          <w:rtl/>
        </w:rPr>
        <w:t>التصوُّر السيّئ عن الدين والمؤمنين</w:t>
      </w:r>
    </w:p>
    <w:p w:rsidR="0098597F" w:rsidRPr="00282AC9" w:rsidRDefault="0098597F" w:rsidP="004F097E">
      <w:pPr>
        <w:contextualSpacing/>
        <w:rPr>
          <w:rFonts w:ascii="Arial" w:eastAsia="Calibri" w:hAnsi="Arial"/>
          <w:sz w:val="27"/>
          <w:lang w:bidi="ar-LB"/>
        </w:rPr>
      </w:pPr>
      <w:r w:rsidRPr="00282AC9">
        <w:rPr>
          <w:rFonts w:ascii="Arial" w:hAnsi="Arial" w:hint="cs"/>
          <w:sz w:val="27"/>
          <w:rtl/>
        </w:rPr>
        <w:t>إنّ قاعدة التسامح</w:t>
      </w:r>
      <w:r w:rsidR="000133D6" w:rsidRPr="00282AC9">
        <w:rPr>
          <w:rFonts w:ascii="Arial" w:hAnsi="Arial" w:hint="cs"/>
          <w:sz w:val="27"/>
          <w:rtl/>
        </w:rPr>
        <w:t xml:space="preserve"> ـ</w:t>
      </w:r>
      <w:r w:rsidRPr="00282AC9">
        <w:rPr>
          <w:rFonts w:ascii="Arial" w:hAnsi="Arial" w:hint="cs"/>
          <w:sz w:val="27"/>
          <w:rtl/>
        </w:rPr>
        <w:t xml:space="preserve"> و</w:t>
      </w:r>
      <w:r w:rsidR="00674EF5" w:rsidRPr="00282AC9">
        <w:rPr>
          <w:rFonts w:ascii="Arial" w:hAnsi="Arial" w:hint="cs"/>
          <w:sz w:val="27"/>
          <w:rtl/>
        </w:rPr>
        <w:t>لا سيَّما</w:t>
      </w:r>
      <w:r w:rsidRPr="00282AC9">
        <w:rPr>
          <w:rFonts w:ascii="Arial" w:hAnsi="Arial" w:hint="cs"/>
          <w:sz w:val="27"/>
          <w:rtl/>
        </w:rPr>
        <w:t xml:space="preserve"> بلحاظ بعض التوس</w:t>
      </w:r>
      <w:r w:rsidR="000133D6" w:rsidRPr="00282AC9">
        <w:rPr>
          <w:rFonts w:ascii="Arial" w:hAnsi="Arial" w:hint="cs"/>
          <w:sz w:val="27"/>
          <w:rtl/>
        </w:rPr>
        <w:t>ُّ</w:t>
      </w:r>
      <w:r w:rsidRPr="00282AC9">
        <w:rPr>
          <w:rFonts w:ascii="Arial" w:hAnsi="Arial" w:hint="cs"/>
          <w:sz w:val="27"/>
          <w:rtl/>
        </w:rPr>
        <w:t>عات التي شهد</w:t>
      </w:r>
      <w:r w:rsidR="000133D6" w:rsidRPr="00282AC9">
        <w:rPr>
          <w:rFonts w:ascii="Arial" w:hAnsi="Arial" w:hint="cs"/>
          <w:sz w:val="27"/>
          <w:rtl/>
        </w:rPr>
        <w:t>َ</w:t>
      </w:r>
      <w:r w:rsidRPr="00282AC9">
        <w:rPr>
          <w:rFonts w:ascii="Arial" w:hAnsi="Arial" w:hint="cs"/>
          <w:sz w:val="27"/>
          <w:rtl/>
        </w:rPr>
        <w:t>ت</w:t>
      </w:r>
      <w:r w:rsidR="000133D6" w:rsidRPr="00282AC9">
        <w:rPr>
          <w:rFonts w:ascii="Arial" w:hAnsi="Arial" w:hint="cs"/>
          <w:sz w:val="27"/>
          <w:rtl/>
        </w:rPr>
        <w:t>ْ</w:t>
      </w:r>
      <w:r w:rsidRPr="00282AC9">
        <w:rPr>
          <w:rFonts w:ascii="Arial" w:hAnsi="Arial" w:hint="cs"/>
          <w:sz w:val="27"/>
          <w:rtl/>
        </w:rPr>
        <w:t>ها</w:t>
      </w:r>
      <w:r w:rsidR="000133D6" w:rsidRPr="00282AC9">
        <w:rPr>
          <w:rFonts w:ascii="Arial" w:hAnsi="Arial" w:hint="cs"/>
          <w:sz w:val="27"/>
          <w:rtl/>
        </w:rPr>
        <w:t>،</w:t>
      </w:r>
      <w:r w:rsidRPr="00282AC9">
        <w:rPr>
          <w:rFonts w:ascii="Arial" w:hAnsi="Arial" w:hint="cs"/>
          <w:sz w:val="27"/>
          <w:rtl/>
        </w:rPr>
        <w:t xml:space="preserve"> ومنها</w:t>
      </w:r>
      <w:r w:rsidR="000133D6" w:rsidRPr="00282AC9">
        <w:rPr>
          <w:rFonts w:ascii="Arial" w:hAnsi="Arial" w:hint="cs"/>
          <w:sz w:val="27"/>
          <w:rtl/>
        </w:rPr>
        <w:t>:</w:t>
      </w:r>
      <w:r w:rsidRPr="00282AC9">
        <w:rPr>
          <w:rFonts w:ascii="Arial" w:hAnsi="Arial" w:hint="cs"/>
          <w:sz w:val="27"/>
          <w:rtl/>
        </w:rPr>
        <w:t xml:space="preserve"> تطبيقها على العناوين أو الأحكام التي ينتزع منها مفاهيم عام</w:t>
      </w:r>
      <w:r w:rsidR="000133D6" w:rsidRPr="00282AC9">
        <w:rPr>
          <w:rFonts w:ascii="Arial" w:hAnsi="Arial" w:hint="cs"/>
          <w:sz w:val="27"/>
          <w:rtl/>
        </w:rPr>
        <w:t>ّ</w:t>
      </w:r>
      <w:r w:rsidRPr="00282AC9">
        <w:rPr>
          <w:rFonts w:ascii="Arial" w:hAnsi="Arial" w:hint="cs"/>
          <w:sz w:val="27"/>
          <w:rtl/>
        </w:rPr>
        <w:t>ة</w:t>
      </w:r>
      <w:r w:rsidR="000133D6" w:rsidRPr="00282AC9">
        <w:rPr>
          <w:rFonts w:ascii="Arial" w:hAnsi="Arial" w:hint="cs"/>
          <w:sz w:val="27"/>
          <w:rtl/>
        </w:rPr>
        <w:t xml:space="preserve"> ـ</w:t>
      </w:r>
      <w:r w:rsidRPr="00282AC9">
        <w:rPr>
          <w:rFonts w:ascii="Arial" w:hAnsi="Arial" w:hint="cs"/>
          <w:sz w:val="27"/>
          <w:rtl/>
        </w:rPr>
        <w:t xml:space="preserve"> قد أعط</w:t>
      </w:r>
      <w:r w:rsidR="000133D6" w:rsidRPr="00282AC9">
        <w:rPr>
          <w:rFonts w:ascii="Arial" w:hAnsi="Arial" w:hint="cs"/>
          <w:sz w:val="27"/>
          <w:rtl/>
        </w:rPr>
        <w:t>َ</w:t>
      </w:r>
      <w:r w:rsidRPr="00282AC9">
        <w:rPr>
          <w:rFonts w:ascii="Arial" w:hAnsi="Arial" w:hint="cs"/>
          <w:sz w:val="27"/>
          <w:rtl/>
        </w:rPr>
        <w:t>ت</w:t>
      </w:r>
      <w:r w:rsidR="000133D6" w:rsidRPr="00282AC9">
        <w:rPr>
          <w:rFonts w:ascii="Arial" w:hAnsi="Arial" w:hint="cs"/>
          <w:sz w:val="27"/>
          <w:rtl/>
        </w:rPr>
        <w:t>ْ</w:t>
      </w:r>
      <w:r w:rsidRPr="00282AC9">
        <w:rPr>
          <w:rFonts w:ascii="Arial" w:hAnsi="Arial" w:hint="cs"/>
          <w:sz w:val="27"/>
          <w:rtl/>
        </w:rPr>
        <w:t xml:space="preserve"> تصو</w:t>
      </w:r>
      <w:r w:rsidR="000133D6" w:rsidRPr="00282AC9">
        <w:rPr>
          <w:rFonts w:ascii="Arial" w:hAnsi="Arial" w:hint="cs"/>
          <w:sz w:val="27"/>
          <w:rtl/>
        </w:rPr>
        <w:t>ُّ</w:t>
      </w:r>
      <w:r w:rsidRPr="00282AC9">
        <w:rPr>
          <w:rFonts w:ascii="Arial" w:hAnsi="Arial" w:hint="cs"/>
          <w:sz w:val="27"/>
          <w:rtl/>
        </w:rPr>
        <w:t>رات سي</w:t>
      </w:r>
      <w:r w:rsidR="00F73315" w:rsidRPr="00282AC9">
        <w:rPr>
          <w:rFonts w:ascii="Arial" w:hAnsi="Arial" w:hint="cs"/>
          <w:sz w:val="27"/>
          <w:rtl/>
        </w:rPr>
        <w:t>ِّ</w:t>
      </w:r>
      <w:r w:rsidRPr="00282AC9">
        <w:rPr>
          <w:rFonts w:ascii="Arial" w:hAnsi="Arial" w:hint="cs"/>
          <w:sz w:val="27"/>
          <w:rtl/>
        </w:rPr>
        <w:t>ئة ومشوّ</w:t>
      </w:r>
      <w:r w:rsidR="00F73315" w:rsidRPr="00282AC9">
        <w:rPr>
          <w:rFonts w:ascii="Arial" w:hAnsi="Arial" w:hint="cs"/>
          <w:sz w:val="27"/>
          <w:rtl/>
        </w:rPr>
        <w:t>َ</w:t>
      </w:r>
      <w:r w:rsidRPr="00282AC9">
        <w:rPr>
          <w:rFonts w:ascii="Arial" w:hAnsi="Arial" w:hint="cs"/>
          <w:sz w:val="27"/>
          <w:rtl/>
        </w:rPr>
        <w:t>هة عن الدين أو الجماعة المؤمنة، وساهم</w:t>
      </w:r>
      <w:r w:rsidR="000133D6" w:rsidRPr="00282AC9">
        <w:rPr>
          <w:rFonts w:ascii="Arial" w:hAnsi="Arial" w:hint="cs"/>
          <w:sz w:val="27"/>
          <w:rtl/>
        </w:rPr>
        <w:t>َ</w:t>
      </w:r>
      <w:r w:rsidRPr="00282AC9">
        <w:rPr>
          <w:rFonts w:ascii="Arial" w:hAnsi="Arial" w:hint="cs"/>
          <w:sz w:val="27"/>
          <w:rtl/>
        </w:rPr>
        <w:t>ت</w:t>
      </w:r>
      <w:r w:rsidR="000133D6" w:rsidRPr="00282AC9">
        <w:rPr>
          <w:rFonts w:ascii="Arial" w:hAnsi="Arial" w:hint="cs"/>
          <w:sz w:val="27"/>
          <w:rtl/>
        </w:rPr>
        <w:t>ْ</w:t>
      </w:r>
      <w:r w:rsidRPr="00282AC9">
        <w:rPr>
          <w:rFonts w:ascii="Arial" w:hAnsi="Arial" w:hint="cs"/>
          <w:sz w:val="27"/>
          <w:rtl/>
        </w:rPr>
        <w:t xml:space="preserve"> ـ من خلال ما أتاح</w:t>
      </w:r>
      <w:r w:rsidR="000133D6" w:rsidRPr="00282AC9">
        <w:rPr>
          <w:rFonts w:ascii="Arial" w:hAnsi="Arial" w:hint="cs"/>
          <w:sz w:val="27"/>
          <w:rtl/>
        </w:rPr>
        <w:t>َ</w:t>
      </w:r>
      <w:r w:rsidRPr="00282AC9">
        <w:rPr>
          <w:rFonts w:ascii="Arial" w:hAnsi="Arial" w:hint="cs"/>
          <w:sz w:val="27"/>
          <w:rtl/>
        </w:rPr>
        <w:t>ت</w:t>
      </w:r>
      <w:r w:rsidR="000133D6" w:rsidRPr="00282AC9">
        <w:rPr>
          <w:rFonts w:ascii="Arial" w:hAnsi="Arial" w:hint="cs"/>
          <w:sz w:val="27"/>
          <w:rtl/>
        </w:rPr>
        <w:t>ْ</w:t>
      </w:r>
      <w:r w:rsidRPr="00282AC9">
        <w:rPr>
          <w:rFonts w:ascii="Arial" w:hAnsi="Arial" w:hint="cs"/>
          <w:sz w:val="27"/>
          <w:rtl/>
        </w:rPr>
        <w:t>ه من سعة</w:t>
      </w:r>
      <w:r w:rsidR="000133D6" w:rsidRPr="00282AC9">
        <w:rPr>
          <w:rFonts w:ascii="Arial" w:hAnsi="Arial" w:hint="cs"/>
          <w:sz w:val="27"/>
          <w:rtl/>
        </w:rPr>
        <w:t>ٍ</w:t>
      </w:r>
      <w:r w:rsidRPr="00282AC9">
        <w:rPr>
          <w:rFonts w:ascii="Arial" w:hAnsi="Arial" w:hint="cs"/>
          <w:sz w:val="27"/>
          <w:rtl/>
        </w:rPr>
        <w:t xml:space="preserve"> في الأخذ بالأخبار الضعيفة ـ في </w:t>
      </w:r>
      <w:r w:rsidRPr="00282AC9">
        <w:rPr>
          <w:rFonts w:ascii="Arial" w:eastAsia="Calibri" w:hAnsi="Arial" w:hint="cs"/>
          <w:sz w:val="27"/>
          <w:rtl/>
        </w:rPr>
        <w:t xml:space="preserve">الترويج </w:t>
      </w:r>
      <w:r w:rsidRPr="00282AC9">
        <w:rPr>
          <w:rFonts w:ascii="Arial" w:hAnsi="Arial" w:hint="cs"/>
          <w:sz w:val="27"/>
          <w:rtl/>
        </w:rPr>
        <w:t>ل</w:t>
      </w:r>
      <w:r w:rsidRPr="00282AC9">
        <w:rPr>
          <w:rFonts w:ascii="Arial" w:hAnsi="Arial"/>
          <w:sz w:val="27"/>
          <w:rtl/>
        </w:rPr>
        <w:t>لكثير من المفاهيم القلقة والملتبسة</w:t>
      </w:r>
      <w:r w:rsidR="000133D6" w:rsidRPr="00282AC9">
        <w:rPr>
          <w:rFonts w:ascii="Arial" w:hAnsi="Arial" w:hint="cs"/>
          <w:sz w:val="27"/>
          <w:rtl/>
        </w:rPr>
        <w:t>،</w:t>
      </w:r>
      <w:r w:rsidRPr="00282AC9">
        <w:rPr>
          <w:rFonts w:ascii="Arial" w:hAnsi="Arial"/>
          <w:sz w:val="27"/>
          <w:rtl/>
        </w:rPr>
        <w:t xml:space="preserve"> </w:t>
      </w:r>
      <w:r w:rsidRPr="00282AC9">
        <w:rPr>
          <w:rFonts w:ascii="Arial" w:hAnsi="Arial" w:hint="cs"/>
          <w:sz w:val="27"/>
          <w:rtl/>
        </w:rPr>
        <w:t xml:space="preserve">بل </w:t>
      </w:r>
      <w:r w:rsidRPr="00282AC9">
        <w:rPr>
          <w:rFonts w:ascii="Arial" w:hAnsi="Arial"/>
          <w:sz w:val="27"/>
          <w:rtl/>
        </w:rPr>
        <w:t>الأفكار المصادمة للتعاليم الإسلامية الصحيحة</w:t>
      </w:r>
      <w:r w:rsidRPr="00282AC9">
        <w:rPr>
          <w:rFonts w:ascii="Arial" w:hAnsi="Arial" w:hint="cs"/>
          <w:sz w:val="27"/>
          <w:rtl/>
        </w:rPr>
        <w:t xml:space="preserve">. وبيان ذلك: إنّ </w:t>
      </w:r>
      <w:r w:rsidRPr="00282AC9">
        <w:rPr>
          <w:rFonts w:ascii="Calibri" w:eastAsia="Calibri" w:hAnsi="Calibri" w:hint="cs"/>
          <w:sz w:val="27"/>
          <w:rtl/>
        </w:rPr>
        <w:t>الكثير من الأخبار الضعيفة تتضم</w:t>
      </w:r>
      <w:r w:rsidR="000133D6" w:rsidRPr="00282AC9">
        <w:rPr>
          <w:rFonts w:ascii="Calibri" w:eastAsia="Calibri" w:hAnsi="Calibri" w:hint="cs"/>
          <w:sz w:val="27"/>
          <w:rtl/>
        </w:rPr>
        <w:t>َّ</w:t>
      </w:r>
      <w:r w:rsidRPr="00282AC9">
        <w:rPr>
          <w:rFonts w:ascii="Calibri" w:eastAsia="Calibri" w:hAnsi="Calibri" w:hint="cs"/>
          <w:sz w:val="27"/>
          <w:rtl/>
        </w:rPr>
        <w:t>ن مفاهيم إسلامية عام</w:t>
      </w:r>
      <w:r w:rsidR="000133D6" w:rsidRPr="00282AC9">
        <w:rPr>
          <w:rFonts w:ascii="Calibri" w:eastAsia="Calibri" w:hAnsi="Calibri" w:hint="cs"/>
          <w:sz w:val="27"/>
          <w:rtl/>
        </w:rPr>
        <w:t>ّ</w:t>
      </w:r>
      <w:r w:rsidRPr="00282AC9">
        <w:rPr>
          <w:rFonts w:ascii="Calibri" w:eastAsia="Calibri" w:hAnsi="Calibri" w:hint="cs"/>
          <w:sz w:val="27"/>
          <w:rtl/>
        </w:rPr>
        <w:t>ة مت</w:t>
      </w:r>
      <w:r w:rsidR="000133D6" w:rsidRPr="00282AC9">
        <w:rPr>
          <w:rFonts w:ascii="Calibri" w:eastAsia="Calibri" w:hAnsi="Calibri" w:hint="cs"/>
          <w:sz w:val="27"/>
          <w:rtl/>
        </w:rPr>
        <w:t>ّ</w:t>
      </w:r>
      <w:r w:rsidRPr="00282AC9">
        <w:rPr>
          <w:rFonts w:ascii="Calibri" w:eastAsia="Calibri" w:hAnsi="Calibri" w:hint="cs"/>
          <w:sz w:val="27"/>
          <w:rtl/>
        </w:rPr>
        <w:t>صلة بالحياة والإنسان، وهذه المفاهيم لا مجال للتسامح في أدل</w:t>
      </w:r>
      <w:r w:rsidR="000133D6" w:rsidRPr="00282AC9">
        <w:rPr>
          <w:rFonts w:ascii="Calibri" w:eastAsia="Calibri" w:hAnsi="Calibri" w:hint="cs"/>
          <w:sz w:val="27"/>
          <w:rtl/>
        </w:rPr>
        <w:t>ّ</w:t>
      </w:r>
      <w:r w:rsidRPr="00282AC9">
        <w:rPr>
          <w:rFonts w:ascii="Calibri" w:eastAsia="Calibri" w:hAnsi="Calibri" w:hint="cs"/>
          <w:sz w:val="27"/>
          <w:rtl/>
        </w:rPr>
        <w:t>تها؛ لأنّ قاعدة التسامح ـ لو تمّ</w:t>
      </w:r>
      <w:r w:rsidR="000133D6" w:rsidRPr="00282AC9">
        <w:rPr>
          <w:rFonts w:ascii="Calibri" w:eastAsia="Calibri" w:hAnsi="Calibri" w:hint="cs"/>
          <w:sz w:val="27"/>
          <w:rtl/>
        </w:rPr>
        <w:t>َ</w:t>
      </w:r>
      <w:r w:rsidRPr="00282AC9">
        <w:rPr>
          <w:rFonts w:ascii="Calibri" w:eastAsia="Calibri" w:hAnsi="Calibri" w:hint="cs"/>
          <w:sz w:val="27"/>
          <w:rtl/>
        </w:rPr>
        <w:t>ت</w:t>
      </w:r>
      <w:r w:rsidR="000133D6" w:rsidRPr="00282AC9">
        <w:rPr>
          <w:rFonts w:ascii="Calibri" w:eastAsia="Calibri" w:hAnsi="Calibri" w:hint="cs"/>
          <w:sz w:val="27"/>
          <w:rtl/>
        </w:rPr>
        <w:t>ْ</w:t>
      </w:r>
      <w:r w:rsidRPr="00282AC9">
        <w:rPr>
          <w:rFonts w:ascii="Calibri" w:eastAsia="Calibri" w:hAnsi="Calibri" w:hint="cs"/>
          <w:sz w:val="27"/>
          <w:rtl/>
        </w:rPr>
        <w:t xml:space="preserve"> في نفسها ـ</w:t>
      </w:r>
      <w:r w:rsidR="008475DA" w:rsidRPr="00282AC9">
        <w:rPr>
          <w:rFonts w:ascii="Calibri" w:eastAsia="Calibri" w:hAnsi="Calibri" w:hint="cs"/>
          <w:sz w:val="27"/>
          <w:rtl/>
        </w:rPr>
        <w:t xml:space="preserve"> إن</w:t>
      </w:r>
      <w:r w:rsidRPr="00282AC9">
        <w:rPr>
          <w:rFonts w:ascii="Calibri" w:eastAsia="Calibri" w:hAnsi="Calibri" w:hint="cs"/>
          <w:sz w:val="27"/>
          <w:rtl/>
        </w:rPr>
        <w:t>ما يؤخ</w:t>
      </w:r>
      <w:r w:rsidR="008475DA" w:rsidRPr="00282AC9">
        <w:rPr>
          <w:rFonts w:ascii="Calibri" w:eastAsia="Calibri" w:hAnsi="Calibri" w:hint="cs"/>
          <w:sz w:val="27"/>
          <w:rtl/>
        </w:rPr>
        <w:t>َ</w:t>
      </w:r>
      <w:r w:rsidRPr="00282AC9">
        <w:rPr>
          <w:rFonts w:ascii="Calibri" w:eastAsia="Calibri" w:hAnsi="Calibri" w:hint="cs"/>
          <w:sz w:val="27"/>
          <w:rtl/>
        </w:rPr>
        <w:t xml:space="preserve">ذ بها في </w:t>
      </w:r>
      <w:r w:rsidRPr="00282AC9">
        <w:rPr>
          <w:rFonts w:ascii="Calibri" w:eastAsia="Calibri" w:hAnsi="Calibri" w:hint="cs"/>
          <w:sz w:val="27"/>
          <w:rtl/>
        </w:rPr>
        <w:lastRenderedPageBreak/>
        <w:t>مجال المستحب</w:t>
      </w:r>
      <w:r w:rsidR="008475DA" w:rsidRPr="00282AC9">
        <w:rPr>
          <w:rFonts w:ascii="Calibri" w:eastAsia="Calibri" w:hAnsi="Calibri" w:hint="cs"/>
          <w:sz w:val="27"/>
          <w:rtl/>
        </w:rPr>
        <w:t>ّ</w:t>
      </w:r>
      <w:r w:rsidRPr="00282AC9">
        <w:rPr>
          <w:rFonts w:ascii="Calibri" w:eastAsia="Calibri" w:hAnsi="Calibri" w:hint="cs"/>
          <w:sz w:val="27"/>
          <w:rtl/>
        </w:rPr>
        <w:t>ات، ور</w:t>
      </w:r>
      <w:r w:rsidR="008475DA" w:rsidRPr="00282AC9">
        <w:rPr>
          <w:rFonts w:ascii="Calibri" w:eastAsia="Calibri" w:hAnsi="Calibri" w:hint="cs"/>
          <w:sz w:val="27"/>
          <w:rtl/>
        </w:rPr>
        <w:t>ُ</w:t>
      </w:r>
      <w:r w:rsidRPr="00282AC9">
        <w:rPr>
          <w:rFonts w:ascii="Calibri" w:eastAsia="Calibri" w:hAnsi="Calibri" w:hint="cs"/>
          <w:sz w:val="27"/>
          <w:rtl/>
        </w:rPr>
        <w:t>ب</w:t>
      </w:r>
      <w:r w:rsidR="008475DA" w:rsidRPr="00282AC9">
        <w:rPr>
          <w:rFonts w:ascii="Calibri" w:eastAsia="Calibri" w:hAnsi="Calibri" w:hint="cs"/>
          <w:sz w:val="27"/>
          <w:rtl/>
        </w:rPr>
        <w:t>َ</w:t>
      </w:r>
      <w:r w:rsidRPr="00282AC9">
        <w:rPr>
          <w:rFonts w:ascii="Calibri" w:eastAsia="Calibri" w:hAnsi="Calibri" w:hint="cs"/>
          <w:sz w:val="27"/>
          <w:rtl/>
        </w:rPr>
        <w:t>ما المكروهات أيضاً، وأما تعميمها إلى المفاهيم فلا و</w:t>
      </w:r>
      <w:r w:rsidR="008475DA" w:rsidRPr="00282AC9">
        <w:rPr>
          <w:rFonts w:ascii="Calibri" w:eastAsia="Calibri" w:hAnsi="Calibri" w:hint="cs"/>
          <w:sz w:val="27"/>
          <w:rtl/>
        </w:rPr>
        <w:t>َ</w:t>
      </w:r>
      <w:r w:rsidRPr="00282AC9">
        <w:rPr>
          <w:rFonts w:ascii="Calibri" w:eastAsia="Calibri" w:hAnsi="Calibri" w:hint="cs"/>
          <w:sz w:val="27"/>
          <w:rtl/>
        </w:rPr>
        <w:t>ج</w:t>
      </w:r>
      <w:r w:rsidR="008475DA" w:rsidRPr="00282AC9">
        <w:rPr>
          <w:rFonts w:ascii="Calibri" w:eastAsia="Calibri" w:hAnsi="Calibri" w:hint="cs"/>
          <w:sz w:val="27"/>
          <w:rtl/>
        </w:rPr>
        <w:t>ْ</w:t>
      </w:r>
      <w:r w:rsidRPr="00282AC9">
        <w:rPr>
          <w:rFonts w:ascii="Calibri" w:eastAsia="Calibri" w:hAnsi="Calibri" w:hint="cs"/>
          <w:sz w:val="27"/>
          <w:rtl/>
        </w:rPr>
        <w:t>ه</w:t>
      </w:r>
      <w:r w:rsidR="008475DA" w:rsidRPr="00282AC9">
        <w:rPr>
          <w:rFonts w:ascii="Calibri" w:eastAsia="Calibri" w:hAnsi="Calibri" w:hint="cs"/>
          <w:sz w:val="27"/>
          <w:rtl/>
        </w:rPr>
        <w:t>َ</w:t>
      </w:r>
      <w:r w:rsidRPr="00282AC9">
        <w:rPr>
          <w:rFonts w:ascii="Calibri" w:eastAsia="Calibri" w:hAnsi="Calibri" w:hint="cs"/>
          <w:sz w:val="27"/>
          <w:rtl/>
        </w:rPr>
        <w:t xml:space="preserve"> له إطلاقاً، و</w:t>
      </w:r>
      <w:r w:rsidR="00674EF5" w:rsidRPr="00282AC9">
        <w:rPr>
          <w:rFonts w:ascii="Calibri" w:eastAsia="Calibri" w:hAnsi="Calibri" w:hint="cs"/>
          <w:sz w:val="27"/>
          <w:rtl/>
        </w:rPr>
        <w:t>لا سيَّما</w:t>
      </w:r>
      <w:r w:rsidRPr="00282AC9">
        <w:rPr>
          <w:rFonts w:ascii="Calibri" w:eastAsia="Calibri" w:hAnsi="Calibri" w:hint="cs"/>
          <w:sz w:val="27"/>
          <w:rtl/>
        </w:rPr>
        <w:t xml:space="preserve"> أنّ هذا التساهل في أدل</w:t>
      </w:r>
      <w:r w:rsidR="008475DA" w:rsidRPr="00282AC9">
        <w:rPr>
          <w:rFonts w:ascii="Calibri" w:eastAsia="Calibri" w:hAnsi="Calibri" w:hint="cs"/>
          <w:sz w:val="27"/>
          <w:rtl/>
        </w:rPr>
        <w:t>ّ</w:t>
      </w:r>
      <w:r w:rsidRPr="00282AC9">
        <w:rPr>
          <w:rFonts w:ascii="Calibri" w:eastAsia="Calibri" w:hAnsi="Calibri" w:hint="cs"/>
          <w:sz w:val="27"/>
          <w:rtl/>
        </w:rPr>
        <w:t>ة المفاهيم الإسلامية العام</w:t>
      </w:r>
      <w:r w:rsidR="008475DA" w:rsidRPr="00282AC9">
        <w:rPr>
          <w:rFonts w:ascii="Calibri" w:eastAsia="Calibri" w:hAnsi="Calibri" w:hint="cs"/>
          <w:sz w:val="27"/>
          <w:rtl/>
        </w:rPr>
        <w:t>ّ</w:t>
      </w:r>
      <w:r w:rsidRPr="00282AC9">
        <w:rPr>
          <w:rFonts w:ascii="Calibri" w:eastAsia="Calibri" w:hAnsi="Calibri" w:hint="cs"/>
          <w:sz w:val="27"/>
          <w:rtl/>
        </w:rPr>
        <w:t>ة ساهم في تقديم صورة</w:t>
      </w:r>
      <w:r w:rsidR="008475DA" w:rsidRPr="00282AC9">
        <w:rPr>
          <w:rFonts w:ascii="Calibri" w:eastAsia="Calibri" w:hAnsi="Calibri" w:hint="cs"/>
          <w:sz w:val="27"/>
          <w:rtl/>
        </w:rPr>
        <w:t>ٍ</w:t>
      </w:r>
      <w:r w:rsidRPr="00282AC9">
        <w:rPr>
          <w:rFonts w:ascii="Calibri" w:eastAsia="Calibri" w:hAnsi="Calibri" w:hint="cs"/>
          <w:sz w:val="27"/>
          <w:rtl/>
        </w:rPr>
        <w:t xml:space="preserve"> مشو</w:t>
      </w:r>
      <w:r w:rsidR="008475DA" w:rsidRPr="00282AC9">
        <w:rPr>
          <w:rFonts w:ascii="Calibri" w:eastAsia="Calibri" w:hAnsi="Calibri" w:hint="cs"/>
          <w:sz w:val="27"/>
          <w:rtl/>
        </w:rPr>
        <w:t>َّ</w:t>
      </w:r>
      <w:r w:rsidRPr="00282AC9">
        <w:rPr>
          <w:rFonts w:ascii="Calibri" w:eastAsia="Calibri" w:hAnsi="Calibri" w:hint="cs"/>
          <w:sz w:val="27"/>
          <w:rtl/>
        </w:rPr>
        <w:t>هة عن الإسلام</w:t>
      </w:r>
      <w:r w:rsidR="008475DA" w:rsidRPr="00282AC9">
        <w:rPr>
          <w:rFonts w:ascii="Calibri" w:eastAsia="Calibri" w:hAnsi="Calibri" w:hint="cs"/>
          <w:sz w:val="27"/>
          <w:rtl/>
        </w:rPr>
        <w:t>،</w:t>
      </w:r>
      <w:r w:rsidRPr="00282AC9">
        <w:rPr>
          <w:rFonts w:ascii="Calibri" w:eastAsia="Calibri" w:hAnsi="Calibri" w:hint="cs"/>
          <w:sz w:val="27"/>
          <w:rtl/>
        </w:rPr>
        <w:t xml:space="preserve"> وعن موقفه ورؤيته في كثير</w:t>
      </w:r>
      <w:r w:rsidR="008475DA" w:rsidRPr="00282AC9">
        <w:rPr>
          <w:rFonts w:ascii="Calibri" w:eastAsia="Calibri" w:hAnsi="Calibri" w:hint="cs"/>
          <w:sz w:val="27"/>
          <w:rtl/>
        </w:rPr>
        <w:t>ٍ</w:t>
      </w:r>
      <w:r w:rsidRPr="00282AC9">
        <w:rPr>
          <w:rFonts w:ascii="Calibri" w:eastAsia="Calibri" w:hAnsi="Calibri" w:hint="cs"/>
          <w:sz w:val="27"/>
          <w:rtl/>
        </w:rPr>
        <w:t xml:space="preserve"> من القضايا. </w:t>
      </w:r>
    </w:p>
    <w:p w:rsidR="008475DA" w:rsidRPr="00282AC9" w:rsidRDefault="0098597F" w:rsidP="004F097E">
      <w:pPr>
        <w:contextualSpacing/>
        <w:rPr>
          <w:rFonts w:ascii="Arial" w:hAnsi="Arial"/>
          <w:sz w:val="27"/>
          <w:rtl/>
          <w:lang w:bidi="ar-LB"/>
        </w:rPr>
      </w:pPr>
      <w:r w:rsidRPr="00282AC9">
        <w:rPr>
          <w:rFonts w:ascii="Calibri" w:eastAsia="Calibri" w:hAnsi="Calibri" w:hint="cs"/>
          <w:sz w:val="27"/>
          <w:rtl/>
          <w:lang w:bidi="ar-LB"/>
        </w:rPr>
        <w:t>إنّ المفاهيم الإسلامي</w:t>
      </w:r>
      <w:r w:rsidR="008475DA" w:rsidRPr="00282AC9">
        <w:rPr>
          <w:rFonts w:ascii="Calibri" w:eastAsia="Calibri" w:hAnsi="Calibri" w:hint="cs"/>
          <w:sz w:val="27"/>
          <w:rtl/>
          <w:lang w:bidi="ar-LB"/>
        </w:rPr>
        <w:t>ّ</w:t>
      </w:r>
      <w:r w:rsidRPr="00282AC9">
        <w:rPr>
          <w:rFonts w:ascii="Calibri" w:eastAsia="Calibri" w:hAnsi="Calibri" w:hint="cs"/>
          <w:sz w:val="27"/>
          <w:rtl/>
          <w:lang w:bidi="ar-LB"/>
        </w:rPr>
        <w:t>ة</w:t>
      </w:r>
      <w:r w:rsidR="008475DA" w:rsidRPr="00282AC9">
        <w:rPr>
          <w:rFonts w:ascii="Calibri" w:eastAsia="Calibri" w:hAnsi="Calibri" w:hint="cs"/>
          <w:sz w:val="27"/>
          <w:rtl/>
          <w:lang w:bidi="ar-LB"/>
        </w:rPr>
        <w:t>،</w:t>
      </w:r>
      <w:r w:rsidRPr="00282AC9">
        <w:rPr>
          <w:rFonts w:ascii="Calibri" w:eastAsia="Calibri" w:hAnsi="Calibri" w:hint="cs"/>
          <w:sz w:val="27"/>
          <w:rtl/>
          <w:lang w:bidi="ar-LB"/>
        </w:rPr>
        <w:t xml:space="preserve"> من قبيل: الزهد، الحر</w:t>
      </w:r>
      <w:r w:rsidR="008475DA" w:rsidRPr="00282AC9">
        <w:rPr>
          <w:rFonts w:ascii="Calibri" w:eastAsia="Calibri" w:hAnsi="Calibri" w:hint="cs"/>
          <w:sz w:val="27"/>
          <w:rtl/>
          <w:lang w:bidi="ar-LB"/>
        </w:rPr>
        <w:t>ّ</w:t>
      </w:r>
      <w:r w:rsidRPr="00282AC9">
        <w:rPr>
          <w:rFonts w:ascii="Calibri" w:eastAsia="Calibri" w:hAnsi="Calibri" w:hint="cs"/>
          <w:sz w:val="27"/>
          <w:rtl/>
          <w:lang w:bidi="ar-LB"/>
        </w:rPr>
        <w:t>ية، العز</w:t>
      </w:r>
      <w:r w:rsidR="008475DA" w:rsidRPr="00282AC9">
        <w:rPr>
          <w:rFonts w:ascii="Calibri" w:eastAsia="Calibri" w:hAnsi="Calibri" w:hint="cs"/>
          <w:sz w:val="27"/>
          <w:rtl/>
          <w:lang w:bidi="ar-LB"/>
        </w:rPr>
        <w:t>ّ</w:t>
      </w:r>
      <w:r w:rsidRPr="00282AC9">
        <w:rPr>
          <w:rFonts w:ascii="Calibri" w:eastAsia="Calibri" w:hAnsi="Calibri" w:hint="cs"/>
          <w:sz w:val="27"/>
          <w:rtl/>
          <w:lang w:bidi="ar-LB"/>
        </w:rPr>
        <w:t>ة، القوّة، النظرة إلى المرأة وموقعها في الحياة</w:t>
      </w:r>
      <w:r w:rsidR="008475DA" w:rsidRPr="00282AC9">
        <w:rPr>
          <w:rFonts w:ascii="Calibri" w:eastAsia="Calibri" w:hAnsi="Calibri" w:hint="cs"/>
          <w:sz w:val="27"/>
          <w:rtl/>
          <w:lang w:bidi="ar-LB"/>
        </w:rPr>
        <w:t>،</w:t>
      </w:r>
      <w:r w:rsidRPr="00282AC9">
        <w:rPr>
          <w:rFonts w:ascii="Calibri" w:eastAsia="Calibri" w:hAnsi="Calibri" w:hint="cs"/>
          <w:sz w:val="27"/>
          <w:rtl/>
          <w:lang w:bidi="ar-LB"/>
        </w:rPr>
        <w:t xml:space="preserve"> وسواها من المفاهيم، لا يمكن أن يتمّ إثباتها وبلورة الموقف الإسلامي منها استناداً إلى أخبار</w:t>
      </w:r>
      <w:r w:rsidR="008475DA" w:rsidRPr="00282AC9">
        <w:rPr>
          <w:rFonts w:ascii="Calibri" w:eastAsia="Calibri" w:hAnsi="Calibri" w:hint="cs"/>
          <w:sz w:val="27"/>
          <w:rtl/>
          <w:lang w:bidi="ar-LB"/>
        </w:rPr>
        <w:t>ٍ</w:t>
      </w:r>
      <w:r w:rsidRPr="00282AC9">
        <w:rPr>
          <w:rFonts w:ascii="Calibri" w:eastAsia="Calibri" w:hAnsi="Calibri" w:hint="cs"/>
          <w:sz w:val="27"/>
          <w:rtl/>
          <w:lang w:bidi="ar-LB"/>
        </w:rPr>
        <w:t xml:space="preserve"> واهية</w:t>
      </w:r>
      <w:r w:rsidR="008475DA" w:rsidRPr="00282AC9">
        <w:rPr>
          <w:rFonts w:ascii="Calibri" w:eastAsia="Calibri" w:hAnsi="Calibri" w:hint="cs"/>
          <w:sz w:val="27"/>
          <w:rtl/>
          <w:lang w:bidi="ar-LB"/>
        </w:rPr>
        <w:t>ٍ</w:t>
      </w:r>
      <w:r w:rsidRPr="00282AC9">
        <w:rPr>
          <w:rFonts w:ascii="Calibri" w:eastAsia="Calibri" w:hAnsi="Calibri" w:hint="cs"/>
          <w:sz w:val="27"/>
          <w:rtl/>
          <w:lang w:bidi="ar-LB"/>
        </w:rPr>
        <w:t xml:space="preserve"> وضعيفة</w:t>
      </w:r>
      <w:r w:rsidR="008475DA" w:rsidRPr="00282AC9">
        <w:rPr>
          <w:rFonts w:ascii="Calibri" w:eastAsia="Calibri" w:hAnsi="Calibri" w:hint="cs"/>
          <w:sz w:val="27"/>
          <w:rtl/>
          <w:lang w:bidi="ar-LB"/>
        </w:rPr>
        <w:t>ِ</w:t>
      </w:r>
      <w:r w:rsidRPr="00282AC9">
        <w:rPr>
          <w:rFonts w:ascii="Calibri" w:eastAsia="Calibri" w:hAnsi="Calibri" w:hint="cs"/>
          <w:sz w:val="27"/>
          <w:rtl/>
          <w:lang w:bidi="ar-LB"/>
        </w:rPr>
        <w:t xml:space="preserve"> السند، و</w:t>
      </w:r>
      <w:r w:rsidR="00674EF5" w:rsidRPr="00282AC9">
        <w:rPr>
          <w:rFonts w:ascii="Calibri" w:eastAsia="Calibri" w:hAnsi="Calibri" w:hint="cs"/>
          <w:sz w:val="27"/>
          <w:rtl/>
          <w:lang w:bidi="ar-LB"/>
        </w:rPr>
        <w:t>لا سيَّما</w:t>
      </w:r>
      <w:r w:rsidRPr="00282AC9">
        <w:rPr>
          <w:rFonts w:ascii="Calibri" w:eastAsia="Calibri" w:hAnsi="Calibri" w:hint="cs"/>
          <w:sz w:val="27"/>
          <w:rtl/>
          <w:lang w:bidi="ar-LB"/>
        </w:rPr>
        <w:t xml:space="preserve"> أنّ أمثال هذه المفاهيم تعكس صورة الإسلام العام</w:t>
      </w:r>
      <w:r w:rsidR="008475DA" w:rsidRPr="00282AC9">
        <w:rPr>
          <w:rFonts w:ascii="Calibri" w:eastAsia="Calibri" w:hAnsi="Calibri" w:hint="cs"/>
          <w:sz w:val="27"/>
          <w:rtl/>
          <w:lang w:bidi="ar-LB"/>
        </w:rPr>
        <w:t>ّ</w:t>
      </w:r>
      <w:r w:rsidRPr="00282AC9">
        <w:rPr>
          <w:rFonts w:ascii="Calibri" w:eastAsia="Calibri" w:hAnsi="Calibri" w:hint="cs"/>
          <w:sz w:val="27"/>
          <w:rtl/>
          <w:lang w:bidi="ar-LB"/>
        </w:rPr>
        <w:t>ة</w:t>
      </w:r>
      <w:r w:rsidR="008475DA" w:rsidRPr="00282AC9">
        <w:rPr>
          <w:rFonts w:ascii="Calibri" w:eastAsia="Calibri" w:hAnsi="Calibri" w:hint="cs"/>
          <w:sz w:val="27"/>
          <w:rtl/>
          <w:lang w:bidi="ar-LB"/>
        </w:rPr>
        <w:t>،</w:t>
      </w:r>
      <w:r w:rsidRPr="00282AC9">
        <w:rPr>
          <w:rFonts w:ascii="Calibri" w:eastAsia="Calibri" w:hAnsi="Calibri" w:hint="cs"/>
          <w:sz w:val="27"/>
          <w:rtl/>
          <w:lang w:bidi="ar-LB"/>
        </w:rPr>
        <w:t xml:space="preserve"> ويتفاعل معها الناس، ولها تأثير</w:t>
      </w:r>
      <w:r w:rsidR="008475DA" w:rsidRPr="00282AC9">
        <w:rPr>
          <w:rFonts w:ascii="Calibri" w:eastAsia="Calibri" w:hAnsi="Calibri" w:hint="cs"/>
          <w:sz w:val="27"/>
          <w:rtl/>
          <w:lang w:bidi="ar-LB"/>
        </w:rPr>
        <w:t>ٌ</w:t>
      </w:r>
      <w:r w:rsidRPr="00282AC9">
        <w:rPr>
          <w:rFonts w:ascii="Calibri" w:eastAsia="Calibri" w:hAnsi="Calibri" w:hint="cs"/>
          <w:sz w:val="27"/>
          <w:rtl/>
          <w:lang w:bidi="ar-LB"/>
        </w:rPr>
        <w:t xml:space="preserve"> بالغ في نفوسهم</w:t>
      </w:r>
      <w:r w:rsidR="008475DA" w:rsidRPr="00282AC9">
        <w:rPr>
          <w:rFonts w:ascii="Calibri" w:eastAsia="Calibri" w:hAnsi="Calibri" w:hint="cs"/>
          <w:sz w:val="27"/>
          <w:rtl/>
          <w:lang w:bidi="ar-LB"/>
        </w:rPr>
        <w:t>،</w:t>
      </w:r>
      <w:r w:rsidRPr="00282AC9">
        <w:rPr>
          <w:rFonts w:ascii="Calibri" w:eastAsia="Calibri" w:hAnsi="Calibri" w:hint="cs"/>
          <w:sz w:val="27"/>
          <w:rtl/>
          <w:lang w:bidi="ar-LB"/>
        </w:rPr>
        <w:t xml:space="preserve"> أكثر مم</w:t>
      </w:r>
      <w:r w:rsidR="008475DA" w:rsidRPr="00282AC9">
        <w:rPr>
          <w:rFonts w:ascii="Calibri" w:eastAsia="Calibri" w:hAnsi="Calibri" w:hint="cs"/>
          <w:sz w:val="27"/>
          <w:rtl/>
          <w:lang w:bidi="ar-LB"/>
        </w:rPr>
        <w:t>ّ</w:t>
      </w:r>
      <w:r w:rsidRPr="00282AC9">
        <w:rPr>
          <w:rFonts w:ascii="Calibri" w:eastAsia="Calibri" w:hAnsi="Calibri" w:hint="cs"/>
          <w:sz w:val="27"/>
          <w:rtl/>
          <w:lang w:bidi="ar-LB"/>
        </w:rPr>
        <w:t>ا تعكسه بعض الأحكام الشرعية الجزئيّة والتفصيلية</w:t>
      </w:r>
      <w:r w:rsidRPr="00282AC9">
        <w:rPr>
          <w:rFonts w:ascii="Calibri" w:eastAsia="Calibri" w:hAnsi="Calibri"/>
          <w:sz w:val="27"/>
          <w:vertAlign w:val="superscript"/>
          <w:rtl/>
          <w:lang w:bidi="ar-LB"/>
        </w:rPr>
        <w:t>(</w:t>
      </w:r>
      <w:r w:rsidRPr="00282AC9">
        <w:rPr>
          <w:rFonts w:ascii="Calibri" w:eastAsia="Calibri" w:hAnsi="Calibri"/>
          <w:sz w:val="27"/>
          <w:vertAlign w:val="superscript"/>
          <w:rtl/>
          <w:lang w:bidi="ar-LB"/>
        </w:rPr>
        <w:endnoteReference w:id="194"/>
      </w:r>
      <w:r w:rsidRPr="00282AC9">
        <w:rPr>
          <w:rFonts w:ascii="Calibri" w:eastAsia="Calibri" w:hAnsi="Calibri"/>
          <w:sz w:val="27"/>
          <w:vertAlign w:val="superscript"/>
          <w:rtl/>
          <w:lang w:bidi="ar-LB"/>
        </w:rPr>
        <w:t>)</w:t>
      </w:r>
      <w:r w:rsidR="008475DA" w:rsidRPr="00282AC9">
        <w:rPr>
          <w:rFonts w:ascii="Calibri" w:eastAsia="Calibri" w:hAnsi="Calibri" w:hint="cs"/>
          <w:sz w:val="27"/>
          <w:rtl/>
          <w:lang w:bidi="ar-LB"/>
        </w:rPr>
        <w:t>،</w:t>
      </w:r>
      <w:r w:rsidRPr="00282AC9">
        <w:rPr>
          <w:rFonts w:ascii="Calibri" w:eastAsia="Calibri" w:hAnsi="Calibri" w:hint="cs"/>
          <w:sz w:val="27"/>
          <w:rtl/>
          <w:lang w:bidi="ar-LB"/>
        </w:rPr>
        <w:t xml:space="preserve"> التي يرفض الفقهاء التسامح في أدل</w:t>
      </w:r>
      <w:r w:rsidR="008475DA" w:rsidRPr="00282AC9">
        <w:rPr>
          <w:rFonts w:ascii="Calibri" w:eastAsia="Calibri" w:hAnsi="Calibri" w:hint="cs"/>
          <w:sz w:val="27"/>
          <w:rtl/>
          <w:lang w:bidi="ar-LB"/>
        </w:rPr>
        <w:t>ّ</w:t>
      </w:r>
      <w:r w:rsidRPr="00282AC9">
        <w:rPr>
          <w:rFonts w:ascii="Calibri" w:eastAsia="Calibri" w:hAnsi="Calibri" w:hint="cs"/>
          <w:sz w:val="27"/>
          <w:rtl/>
          <w:lang w:bidi="ar-LB"/>
        </w:rPr>
        <w:t>تها.</w:t>
      </w:r>
    </w:p>
    <w:p w:rsidR="006A0DD0" w:rsidRPr="00282AC9" w:rsidRDefault="0098597F" w:rsidP="004F097E">
      <w:pPr>
        <w:contextualSpacing/>
        <w:rPr>
          <w:rFonts w:ascii="Arial" w:eastAsia="Calibri" w:hAnsi="Arial"/>
          <w:sz w:val="27"/>
          <w:rtl/>
        </w:rPr>
      </w:pPr>
      <w:r w:rsidRPr="00282AC9">
        <w:rPr>
          <w:rFonts w:ascii="Arial" w:hAnsi="Arial" w:hint="cs"/>
          <w:sz w:val="27"/>
          <w:rtl/>
        </w:rPr>
        <w:t>وكما أن تطبيق القاعدة على المفاهيم بشكل</w:t>
      </w:r>
      <w:r w:rsidR="008475DA" w:rsidRPr="00282AC9">
        <w:rPr>
          <w:rFonts w:ascii="Arial" w:hAnsi="Arial" w:hint="cs"/>
          <w:sz w:val="27"/>
          <w:rtl/>
        </w:rPr>
        <w:t>ٍ</w:t>
      </w:r>
      <w:r w:rsidRPr="00282AC9">
        <w:rPr>
          <w:rFonts w:ascii="Arial" w:hAnsi="Arial" w:hint="cs"/>
          <w:sz w:val="27"/>
          <w:rtl/>
        </w:rPr>
        <w:t xml:space="preserve"> مباشر غير مبر</w:t>
      </w:r>
      <w:r w:rsidR="008475DA" w:rsidRPr="00282AC9">
        <w:rPr>
          <w:rFonts w:ascii="Arial" w:hAnsi="Arial" w:hint="cs"/>
          <w:sz w:val="27"/>
          <w:rtl/>
        </w:rPr>
        <w:t>َّ</w:t>
      </w:r>
      <w:r w:rsidRPr="00282AC9">
        <w:rPr>
          <w:rFonts w:ascii="Arial" w:hAnsi="Arial" w:hint="cs"/>
          <w:sz w:val="27"/>
          <w:rtl/>
        </w:rPr>
        <w:t>ر، ويترت</w:t>
      </w:r>
      <w:r w:rsidR="008475DA" w:rsidRPr="00282AC9">
        <w:rPr>
          <w:rFonts w:ascii="Arial" w:hAnsi="Arial" w:hint="cs"/>
          <w:sz w:val="27"/>
          <w:rtl/>
        </w:rPr>
        <w:t>َّ</w:t>
      </w:r>
      <w:r w:rsidRPr="00282AC9">
        <w:rPr>
          <w:rFonts w:ascii="Arial" w:hAnsi="Arial" w:hint="cs"/>
          <w:sz w:val="27"/>
          <w:rtl/>
        </w:rPr>
        <w:t>ب عليه ما ذكرناه من السلبي</w:t>
      </w:r>
      <w:r w:rsidR="008475DA" w:rsidRPr="00282AC9">
        <w:rPr>
          <w:rFonts w:ascii="Arial" w:hAnsi="Arial" w:hint="cs"/>
          <w:sz w:val="27"/>
          <w:rtl/>
        </w:rPr>
        <w:t>ّ</w:t>
      </w:r>
      <w:r w:rsidRPr="00282AC9">
        <w:rPr>
          <w:rFonts w:ascii="Arial" w:hAnsi="Arial" w:hint="cs"/>
          <w:sz w:val="27"/>
          <w:rtl/>
        </w:rPr>
        <w:t>ة، فإن تطبيقها على مجمل</w:t>
      </w:r>
      <w:r w:rsidRPr="00282AC9">
        <w:rPr>
          <w:rFonts w:ascii="Arial" w:eastAsia="Calibri" w:hAnsi="Arial" w:hint="cs"/>
          <w:sz w:val="27"/>
          <w:rtl/>
        </w:rPr>
        <w:t xml:space="preserve"> المستحب</w:t>
      </w:r>
      <w:r w:rsidR="008475DA" w:rsidRPr="00282AC9">
        <w:rPr>
          <w:rFonts w:ascii="Arial" w:eastAsia="Calibri" w:hAnsi="Arial" w:hint="cs"/>
          <w:sz w:val="27"/>
          <w:rtl/>
        </w:rPr>
        <w:t>ّ</w:t>
      </w:r>
      <w:r w:rsidRPr="00282AC9">
        <w:rPr>
          <w:rFonts w:ascii="Arial" w:eastAsia="Calibri" w:hAnsi="Arial" w:hint="cs"/>
          <w:sz w:val="27"/>
          <w:rtl/>
        </w:rPr>
        <w:t>ات والمكروهات المبثوثة في الكتب الفقهية</w:t>
      </w:r>
      <w:r w:rsidR="008475DA" w:rsidRPr="00282AC9">
        <w:rPr>
          <w:rFonts w:ascii="Arial" w:eastAsia="Calibri" w:hAnsi="Arial" w:hint="cs"/>
          <w:sz w:val="27"/>
          <w:rtl/>
        </w:rPr>
        <w:t>،</w:t>
      </w:r>
      <w:r w:rsidRPr="00282AC9">
        <w:rPr>
          <w:rFonts w:ascii="Arial" w:eastAsia="Calibri" w:hAnsi="Arial" w:hint="cs"/>
          <w:sz w:val="27"/>
          <w:rtl/>
        </w:rPr>
        <w:t xml:space="preserve"> والتي تبلغ آلاف الفتاوى، يؤد</w:t>
      </w:r>
      <w:r w:rsidR="008475DA" w:rsidRPr="00282AC9">
        <w:rPr>
          <w:rFonts w:ascii="Arial" w:eastAsia="Calibri" w:hAnsi="Arial" w:hint="cs"/>
          <w:sz w:val="27"/>
          <w:rtl/>
        </w:rPr>
        <w:t>ّ</w:t>
      </w:r>
      <w:r w:rsidRPr="00282AC9">
        <w:rPr>
          <w:rFonts w:ascii="Arial" w:eastAsia="Calibri" w:hAnsi="Arial" w:hint="cs"/>
          <w:sz w:val="27"/>
          <w:rtl/>
        </w:rPr>
        <w:t>ي إلى النتيجة عينها</w:t>
      </w:r>
      <w:r w:rsidR="008475DA" w:rsidRPr="00282AC9">
        <w:rPr>
          <w:rFonts w:ascii="Arial" w:eastAsia="Calibri" w:hAnsi="Arial" w:hint="cs"/>
          <w:sz w:val="27"/>
          <w:rtl/>
        </w:rPr>
        <w:t xml:space="preserve">؛ </w:t>
      </w:r>
      <w:r w:rsidRPr="00282AC9">
        <w:rPr>
          <w:rFonts w:ascii="Arial" w:eastAsia="Calibri" w:hAnsi="Arial" w:hint="cs"/>
          <w:sz w:val="27"/>
          <w:rtl/>
        </w:rPr>
        <w:t>لأن هذا العدد الكبير جد</w:t>
      </w:r>
      <w:r w:rsidR="008475DA" w:rsidRPr="00282AC9">
        <w:rPr>
          <w:rFonts w:ascii="Arial" w:eastAsia="Calibri" w:hAnsi="Arial" w:hint="cs"/>
          <w:sz w:val="27"/>
          <w:rtl/>
        </w:rPr>
        <w:t>ّ</w:t>
      </w:r>
      <w:r w:rsidRPr="00282AC9">
        <w:rPr>
          <w:rFonts w:ascii="Arial" w:eastAsia="Calibri" w:hAnsi="Arial" w:hint="cs"/>
          <w:sz w:val="27"/>
          <w:rtl/>
        </w:rPr>
        <w:t>اً من المستحب</w:t>
      </w:r>
      <w:r w:rsidR="008475DA" w:rsidRPr="00282AC9">
        <w:rPr>
          <w:rFonts w:ascii="Arial" w:eastAsia="Calibri" w:hAnsi="Arial" w:hint="cs"/>
          <w:sz w:val="27"/>
          <w:rtl/>
        </w:rPr>
        <w:t>ّ</w:t>
      </w:r>
      <w:r w:rsidRPr="00282AC9">
        <w:rPr>
          <w:rFonts w:ascii="Arial" w:eastAsia="Calibri" w:hAnsi="Arial" w:hint="cs"/>
          <w:sz w:val="27"/>
          <w:rtl/>
        </w:rPr>
        <w:t>ات والمكروهات هو بنفسه يعطي ويعكس تصو</w:t>
      </w:r>
      <w:r w:rsidR="008475DA" w:rsidRPr="00282AC9">
        <w:rPr>
          <w:rFonts w:ascii="Arial" w:eastAsia="Calibri" w:hAnsi="Arial" w:hint="cs"/>
          <w:sz w:val="27"/>
          <w:rtl/>
        </w:rPr>
        <w:t>ُّ</w:t>
      </w:r>
      <w:r w:rsidRPr="00282AC9">
        <w:rPr>
          <w:rFonts w:ascii="Arial" w:eastAsia="Calibri" w:hAnsi="Arial" w:hint="cs"/>
          <w:sz w:val="27"/>
          <w:rtl/>
        </w:rPr>
        <w:t>راً خاص</w:t>
      </w:r>
      <w:r w:rsidR="008475DA" w:rsidRPr="00282AC9">
        <w:rPr>
          <w:rFonts w:ascii="Arial" w:eastAsia="Calibri" w:hAnsi="Arial" w:hint="cs"/>
          <w:sz w:val="27"/>
          <w:rtl/>
        </w:rPr>
        <w:t>ّ</w:t>
      </w:r>
      <w:r w:rsidRPr="00282AC9">
        <w:rPr>
          <w:rFonts w:ascii="Arial" w:eastAsia="Calibri" w:hAnsi="Arial" w:hint="cs"/>
          <w:sz w:val="27"/>
          <w:rtl/>
        </w:rPr>
        <w:t>اً عن الإسلام ورؤيته للأمور</w:t>
      </w:r>
      <w:r w:rsidR="006A0DD0" w:rsidRPr="00282AC9">
        <w:rPr>
          <w:rFonts w:ascii="Arial" w:eastAsia="Calibri" w:hAnsi="Arial" w:hint="cs"/>
          <w:sz w:val="27"/>
          <w:rtl/>
        </w:rPr>
        <w:t>.</w:t>
      </w:r>
      <w:r w:rsidRPr="00282AC9">
        <w:rPr>
          <w:rFonts w:ascii="Arial" w:eastAsia="Calibri" w:hAnsi="Arial" w:hint="cs"/>
          <w:sz w:val="27"/>
          <w:rtl/>
        </w:rPr>
        <w:t xml:space="preserve"> فصورة الإسلام لا ت</w:t>
      </w:r>
      <w:r w:rsidR="008475DA" w:rsidRPr="00282AC9">
        <w:rPr>
          <w:rFonts w:ascii="Arial" w:eastAsia="Calibri" w:hAnsi="Arial" w:hint="cs"/>
          <w:sz w:val="27"/>
          <w:rtl/>
        </w:rPr>
        <w:t>ُ</w:t>
      </w:r>
      <w:r w:rsidRPr="00282AC9">
        <w:rPr>
          <w:rFonts w:ascii="Arial" w:eastAsia="Calibri" w:hAnsi="Arial" w:hint="cs"/>
          <w:sz w:val="27"/>
          <w:rtl/>
        </w:rPr>
        <w:t>ؤخ</w:t>
      </w:r>
      <w:r w:rsidR="008475DA" w:rsidRPr="00282AC9">
        <w:rPr>
          <w:rFonts w:ascii="Arial" w:eastAsia="Calibri" w:hAnsi="Arial" w:hint="cs"/>
          <w:sz w:val="27"/>
          <w:rtl/>
        </w:rPr>
        <w:t>َ</w:t>
      </w:r>
      <w:r w:rsidRPr="00282AC9">
        <w:rPr>
          <w:rFonts w:ascii="Arial" w:eastAsia="Calibri" w:hAnsi="Arial" w:hint="cs"/>
          <w:sz w:val="27"/>
          <w:rtl/>
        </w:rPr>
        <w:t>ذ من الواجبات والمحر</w:t>
      </w:r>
      <w:r w:rsidR="008475DA" w:rsidRPr="00282AC9">
        <w:rPr>
          <w:rFonts w:ascii="Arial" w:eastAsia="Calibri" w:hAnsi="Arial" w:hint="cs"/>
          <w:sz w:val="27"/>
          <w:rtl/>
        </w:rPr>
        <w:t>َّ</w:t>
      </w:r>
      <w:r w:rsidRPr="00282AC9">
        <w:rPr>
          <w:rFonts w:ascii="Arial" w:eastAsia="Calibri" w:hAnsi="Arial" w:hint="cs"/>
          <w:sz w:val="27"/>
          <w:rtl/>
        </w:rPr>
        <w:t>مات فح</w:t>
      </w:r>
      <w:r w:rsidR="008475DA" w:rsidRPr="00282AC9">
        <w:rPr>
          <w:rFonts w:ascii="Arial" w:eastAsia="Calibri" w:hAnsi="Arial" w:hint="cs"/>
          <w:sz w:val="27"/>
          <w:rtl/>
        </w:rPr>
        <w:t>َ</w:t>
      </w:r>
      <w:r w:rsidRPr="00282AC9">
        <w:rPr>
          <w:rFonts w:ascii="Arial" w:eastAsia="Calibri" w:hAnsi="Arial" w:hint="cs"/>
          <w:sz w:val="27"/>
          <w:rtl/>
        </w:rPr>
        <w:t>س</w:t>
      </w:r>
      <w:r w:rsidR="008475DA" w:rsidRPr="00282AC9">
        <w:rPr>
          <w:rFonts w:ascii="Arial" w:eastAsia="Calibri" w:hAnsi="Arial" w:hint="cs"/>
          <w:sz w:val="27"/>
          <w:rtl/>
        </w:rPr>
        <w:t>ْ</w:t>
      </w:r>
      <w:r w:rsidRPr="00282AC9">
        <w:rPr>
          <w:rFonts w:ascii="Arial" w:eastAsia="Calibri" w:hAnsi="Arial" w:hint="cs"/>
          <w:sz w:val="27"/>
          <w:rtl/>
        </w:rPr>
        <w:t>ب، بل ومن الس</w:t>
      </w:r>
      <w:r w:rsidR="008475DA" w:rsidRPr="00282AC9">
        <w:rPr>
          <w:rFonts w:ascii="Arial" w:eastAsia="Calibri" w:hAnsi="Arial" w:hint="cs"/>
          <w:sz w:val="27"/>
          <w:rtl/>
        </w:rPr>
        <w:t>ُّ</w:t>
      </w:r>
      <w:r w:rsidRPr="00282AC9">
        <w:rPr>
          <w:rFonts w:ascii="Arial" w:eastAsia="Calibri" w:hAnsi="Arial" w:hint="cs"/>
          <w:sz w:val="27"/>
          <w:rtl/>
        </w:rPr>
        <w:t>ن</w:t>
      </w:r>
      <w:r w:rsidR="008475DA" w:rsidRPr="00282AC9">
        <w:rPr>
          <w:rFonts w:ascii="Arial" w:eastAsia="Calibri" w:hAnsi="Arial" w:hint="cs"/>
          <w:sz w:val="27"/>
          <w:rtl/>
        </w:rPr>
        <w:t>َ</w:t>
      </w:r>
      <w:r w:rsidRPr="00282AC9">
        <w:rPr>
          <w:rFonts w:ascii="Arial" w:eastAsia="Calibri" w:hAnsi="Arial" w:hint="cs"/>
          <w:sz w:val="27"/>
          <w:rtl/>
        </w:rPr>
        <w:t>ن أيضاً، فالتساهل في أسانيدها س</w:t>
      </w:r>
      <w:r w:rsidR="006A0DD0" w:rsidRPr="00282AC9">
        <w:rPr>
          <w:rFonts w:ascii="Arial" w:eastAsia="Calibri" w:hAnsi="Arial" w:hint="cs"/>
          <w:sz w:val="27"/>
          <w:rtl/>
        </w:rPr>
        <w:t>وف ينعكس على صورة الإسلام نفسه.</w:t>
      </w:r>
    </w:p>
    <w:p w:rsidR="00E15FDC" w:rsidRPr="00282AC9" w:rsidRDefault="00E15FDC" w:rsidP="00106AA7">
      <w:pPr>
        <w:spacing w:line="420" w:lineRule="exact"/>
        <w:contextualSpacing/>
        <w:rPr>
          <w:rFonts w:ascii="Arial" w:eastAsia="Calibri" w:hAnsi="Arial"/>
          <w:sz w:val="27"/>
          <w:rtl/>
        </w:rPr>
      </w:pPr>
    </w:p>
    <w:p w:rsidR="00E15FDC" w:rsidRPr="00282AC9" w:rsidRDefault="00D43662" w:rsidP="00E15FDC">
      <w:pPr>
        <w:pStyle w:val="31"/>
        <w:rPr>
          <w:rFonts w:eastAsia="Calibri"/>
          <w:color w:val="auto"/>
          <w:rtl/>
        </w:rPr>
      </w:pPr>
      <w:r w:rsidRPr="00282AC9">
        <w:rPr>
          <w:rFonts w:eastAsia="Calibri" w:hint="cs"/>
          <w:color w:val="auto"/>
          <w:rtl/>
        </w:rPr>
        <w:t>أمثلةٌ واقعيّة</w:t>
      </w:r>
    </w:p>
    <w:p w:rsidR="0098597F" w:rsidRPr="00282AC9" w:rsidRDefault="0098597F" w:rsidP="004F097E">
      <w:pPr>
        <w:contextualSpacing/>
        <w:rPr>
          <w:rFonts w:ascii="Arial" w:eastAsia="Calibri" w:hAnsi="Arial"/>
          <w:sz w:val="27"/>
          <w:lang w:bidi="ar-LB"/>
        </w:rPr>
      </w:pPr>
      <w:r w:rsidRPr="00282AC9">
        <w:rPr>
          <w:rFonts w:ascii="Arial" w:hAnsi="Arial" w:hint="cs"/>
          <w:sz w:val="27"/>
          <w:rtl/>
        </w:rPr>
        <w:t>وإليك بعض الأمثلة على التسامح في الأحكام المت</w:t>
      </w:r>
      <w:r w:rsidR="006A0DD0" w:rsidRPr="00282AC9">
        <w:rPr>
          <w:rFonts w:ascii="Arial" w:hAnsi="Arial" w:hint="cs"/>
          <w:sz w:val="27"/>
          <w:rtl/>
        </w:rPr>
        <w:t>ّ</w:t>
      </w:r>
      <w:r w:rsidRPr="00282AC9">
        <w:rPr>
          <w:rFonts w:ascii="Arial" w:hAnsi="Arial" w:hint="cs"/>
          <w:sz w:val="27"/>
          <w:rtl/>
        </w:rPr>
        <w:t>صلة بالمفاهيم</w:t>
      </w:r>
      <w:r w:rsidR="006A0DD0" w:rsidRPr="00282AC9">
        <w:rPr>
          <w:rFonts w:ascii="Arial" w:hAnsi="Arial" w:hint="cs"/>
          <w:sz w:val="27"/>
          <w:rtl/>
        </w:rPr>
        <w:t>،</w:t>
      </w:r>
      <w:r w:rsidRPr="00282AC9">
        <w:rPr>
          <w:rFonts w:ascii="Arial" w:hAnsi="Arial" w:hint="cs"/>
          <w:sz w:val="27"/>
          <w:rtl/>
        </w:rPr>
        <w:t xml:space="preserve"> وما تركه من انعكاسات</w:t>
      </w:r>
      <w:r w:rsidR="006A0DD0" w:rsidRPr="00282AC9">
        <w:rPr>
          <w:rFonts w:ascii="Arial" w:hAnsi="Arial" w:hint="cs"/>
          <w:sz w:val="27"/>
          <w:rtl/>
        </w:rPr>
        <w:t>ٍ</w:t>
      </w:r>
      <w:r w:rsidRPr="00282AC9">
        <w:rPr>
          <w:rFonts w:ascii="Arial" w:hAnsi="Arial" w:hint="cs"/>
          <w:sz w:val="27"/>
          <w:rtl/>
        </w:rPr>
        <w:t xml:space="preserve"> سلبي</w:t>
      </w:r>
      <w:r w:rsidR="006A0DD0" w:rsidRPr="00282AC9">
        <w:rPr>
          <w:rFonts w:ascii="Arial" w:hAnsi="Arial" w:hint="cs"/>
          <w:sz w:val="27"/>
          <w:rtl/>
        </w:rPr>
        <w:t>ّ</w:t>
      </w:r>
      <w:r w:rsidRPr="00282AC9">
        <w:rPr>
          <w:rFonts w:ascii="Arial" w:hAnsi="Arial" w:hint="cs"/>
          <w:sz w:val="27"/>
          <w:rtl/>
        </w:rPr>
        <w:t xml:space="preserve">ة: </w:t>
      </w:r>
    </w:p>
    <w:p w:rsidR="0098597F" w:rsidRPr="00282AC9" w:rsidRDefault="00F73315" w:rsidP="004F097E">
      <w:pPr>
        <w:contextualSpacing/>
        <w:rPr>
          <w:rFonts w:ascii="Arial" w:eastAsia="Calibri" w:hAnsi="Arial"/>
          <w:sz w:val="27"/>
          <w:rtl/>
          <w:lang w:bidi="ar-LB"/>
        </w:rPr>
      </w:pPr>
      <w:r w:rsidRPr="00282AC9">
        <w:rPr>
          <w:rFonts w:ascii="Arial" w:hAnsi="Arial" w:hint="cs"/>
          <w:b/>
          <w:bCs/>
          <w:sz w:val="27"/>
          <w:rtl/>
        </w:rPr>
        <w:t>1</w:t>
      </w:r>
      <w:r w:rsidR="0098597F" w:rsidRPr="00282AC9">
        <w:rPr>
          <w:rFonts w:ascii="Arial" w:hAnsi="Arial" w:hint="cs"/>
          <w:b/>
          <w:bCs/>
          <w:sz w:val="27"/>
          <w:rtl/>
        </w:rPr>
        <w:t>ـ ذم</w:t>
      </w:r>
      <w:r w:rsidR="006A0DD0" w:rsidRPr="00282AC9">
        <w:rPr>
          <w:rFonts w:ascii="Arial" w:hAnsi="Arial" w:hint="cs"/>
          <w:b/>
          <w:bCs/>
          <w:sz w:val="27"/>
          <w:rtl/>
        </w:rPr>
        <w:t>ّ</w:t>
      </w:r>
      <w:r w:rsidR="0098597F" w:rsidRPr="00282AC9">
        <w:rPr>
          <w:rFonts w:ascii="Arial" w:hAnsi="Arial" w:hint="cs"/>
          <w:b/>
          <w:bCs/>
          <w:sz w:val="27"/>
          <w:rtl/>
        </w:rPr>
        <w:t xml:space="preserve"> بعض الأعراق: </w:t>
      </w:r>
      <w:r w:rsidR="0098597F" w:rsidRPr="00282AC9">
        <w:rPr>
          <w:rFonts w:ascii="Arial" w:hAnsi="Arial" w:hint="cs"/>
          <w:sz w:val="27"/>
          <w:rtl/>
        </w:rPr>
        <w:t>تضم</w:t>
      </w:r>
      <w:r w:rsidR="006A0DD0" w:rsidRPr="00282AC9">
        <w:rPr>
          <w:rFonts w:ascii="Arial" w:hAnsi="Arial" w:hint="cs"/>
          <w:sz w:val="27"/>
          <w:rtl/>
        </w:rPr>
        <w:t>ّ</w:t>
      </w:r>
      <w:r w:rsidR="0098597F" w:rsidRPr="00282AC9">
        <w:rPr>
          <w:rFonts w:ascii="Arial" w:hAnsi="Arial" w:hint="cs"/>
          <w:sz w:val="27"/>
          <w:rtl/>
        </w:rPr>
        <w:t xml:space="preserve">نت بعض </w:t>
      </w:r>
      <w:r w:rsidR="0098597F" w:rsidRPr="00282AC9">
        <w:rPr>
          <w:rFonts w:ascii="Arial" w:hAnsi="Arial"/>
          <w:sz w:val="27"/>
          <w:rtl/>
        </w:rPr>
        <w:t xml:space="preserve">الروايات </w:t>
      </w:r>
      <w:r w:rsidR="0098597F" w:rsidRPr="00282AC9">
        <w:rPr>
          <w:rFonts w:ascii="Arial" w:hAnsi="Arial" w:hint="cs"/>
          <w:sz w:val="27"/>
          <w:rtl/>
        </w:rPr>
        <w:t xml:space="preserve">الضعيفة </w:t>
      </w:r>
      <w:r w:rsidR="0098597F" w:rsidRPr="00282AC9">
        <w:rPr>
          <w:rFonts w:ascii="Arial" w:hAnsi="Arial"/>
          <w:sz w:val="27"/>
          <w:rtl/>
        </w:rPr>
        <w:t>ذم</w:t>
      </w:r>
      <w:r w:rsidR="006A0DD0" w:rsidRPr="00282AC9">
        <w:rPr>
          <w:rFonts w:ascii="Arial" w:hAnsi="Arial" w:hint="cs"/>
          <w:sz w:val="27"/>
          <w:rtl/>
        </w:rPr>
        <w:t>ّ</w:t>
      </w:r>
      <w:r w:rsidR="0098597F" w:rsidRPr="00282AC9">
        <w:rPr>
          <w:rFonts w:ascii="Arial" w:hAnsi="Arial" w:hint="cs"/>
          <w:sz w:val="27"/>
          <w:rtl/>
        </w:rPr>
        <w:t>اً</w:t>
      </w:r>
      <w:r w:rsidR="0098597F" w:rsidRPr="00282AC9">
        <w:rPr>
          <w:rFonts w:ascii="Arial" w:hAnsi="Arial"/>
          <w:sz w:val="27"/>
          <w:rtl/>
        </w:rPr>
        <w:t xml:space="preserve"> </w:t>
      </w:r>
      <w:r w:rsidR="0098597F" w:rsidRPr="00282AC9">
        <w:rPr>
          <w:rFonts w:ascii="Arial" w:hAnsi="Arial" w:hint="cs"/>
          <w:sz w:val="27"/>
          <w:rtl/>
        </w:rPr>
        <w:t>ل</w:t>
      </w:r>
      <w:r w:rsidR="0098597F" w:rsidRPr="00282AC9">
        <w:rPr>
          <w:rFonts w:ascii="Arial" w:hAnsi="Arial"/>
          <w:sz w:val="27"/>
          <w:rtl/>
        </w:rPr>
        <w:t>بعض الأقوام</w:t>
      </w:r>
      <w:r w:rsidR="0098597F" w:rsidRPr="00282AC9">
        <w:rPr>
          <w:rFonts w:ascii="Arial" w:hAnsi="Arial" w:hint="cs"/>
          <w:sz w:val="27"/>
          <w:rtl/>
        </w:rPr>
        <w:t xml:space="preserve"> (كالأكراد مثلاً)</w:t>
      </w:r>
      <w:r w:rsidR="006A0DD0" w:rsidRPr="00282AC9">
        <w:rPr>
          <w:rFonts w:ascii="Arial" w:hAnsi="Arial" w:hint="cs"/>
          <w:sz w:val="27"/>
          <w:rtl/>
        </w:rPr>
        <w:t>،</w:t>
      </w:r>
      <w:r w:rsidR="0098597F" w:rsidRPr="00282AC9">
        <w:rPr>
          <w:rFonts w:ascii="Arial" w:hAnsi="Arial" w:hint="cs"/>
          <w:sz w:val="27"/>
          <w:rtl/>
        </w:rPr>
        <w:t xml:space="preserve"> أو الشرائح الاجتماعية (كذوي العاهات)</w:t>
      </w:r>
      <w:r w:rsidR="006A0DD0" w:rsidRPr="00282AC9">
        <w:rPr>
          <w:rFonts w:ascii="Arial" w:hAnsi="Arial" w:hint="cs"/>
          <w:sz w:val="27"/>
          <w:rtl/>
        </w:rPr>
        <w:t>،</w:t>
      </w:r>
      <w:r w:rsidR="0098597F" w:rsidRPr="00282AC9">
        <w:rPr>
          <w:rFonts w:ascii="Arial" w:hAnsi="Arial" w:hint="cs"/>
          <w:sz w:val="27"/>
          <w:rtl/>
        </w:rPr>
        <w:t xml:space="preserve"> و</w:t>
      </w:r>
      <w:r w:rsidR="0098597F" w:rsidRPr="00282AC9">
        <w:rPr>
          <w:rFonts w:ascii="Arial" w:hAnsi="Arial"/>
          <w:sz w:val="27"/>
          <w:rtl/>
        </w:rPr>
        <w:t>دعو</w:t>
      </w:r>
      <w:r w:rsidR="0098597F" w:rsidRPr="00282AC9">
        <w:rPr>
          <w:rFonts w:ascii="Arial" w:hAnsi="Arial" w:hint="cs"/>
          <w:sz w:val="27"/>
          <w:rtl/>
        </w:rPr>
        <w:t>ة</w:t>
      </w:r>
      <w:r w:rsidR="0098597F" w:rsidRPr="00282AC9">
        <w:rPr>
          <w:rFonts w:ascii="Arial" w:hAnsi="Arial"/>
          <w:sz w:val="27"/>
          <w:rtl/>
        </w:rPr>
        <w:t xml:space="preserve"> إلى مقاطعتهم اجتماعياً واقتصادياً</w:t>
      </w:r>
      <w:r w:rsidR="006A0DD0" w:rsidRPr="00282AC9">
        <w:rPr>
          <w:rFonts w:ascii="Arial" w:hAnsi="Arial" w:hint="cs"/>
          <w:sz w:val="27"/>
          <w:rtl/>
        </w:rPr>
        <w:t>.</w:t>
      </w:r>
      <w:r w:rsidR="0098597F" w:rsidRPr="00282AC9">
        <w:rPr>
          <w:rFonts w:ascii="Arial" w:hAnsi="Arial"/>
          <w:sz w:val="27"/>
          <w:rtl/>
        </w:rPr>
        <w:t xml:space="preserve"> </w:t>
      </w:r>
      <w:r w:rsidR="0098597F" w:rsidRPr="00282AC9">
        <w:rPr>
          <w:rFonts w:ascii="Arial" w:hAnsi="Arial" w:hint="cs"/>
          <w:sz w:val="27"/>
          <w:rtl/>
        </w:rPr>
        <w:t>وهذه الأخبار</w:t>
      </w:r>
      <w:r w:rsidR="0098597F" w:rsidRPr="00282AC9">
        <w:rPr>
          <w:rFonts w:ascii="Arial" w:hAnsi="Arial"/>
          <w:sz w:val="27"/>
          <w:vertAlign w:val="superscript"/>
          <w:rtl/>
        </w:rPr>
        <w:t>(</w:t>
      </w:r>
      <w:r w:rsidR="0098597F" w:rsidRPr="00282AC9">
        <w:rPr>
          <w:rFonts w:ascii="Arial" w:hAnsi="Arial"/>
          <w:sz w:val="27"/>
          <w:vertAlign w:val="superscript"/>
          <w:rtl/>
        </w:rPr>
        <w:endnoteReference w:id="195"/>
      </w:r>
      <w:r w:rsidR="0098597F" w:rsidRPr="00282AC9">
        <w:rPr>
          <w:rFonts w:ascii="Arial" w:hAnsi="Arial"/>
          <w:sz w:val="27"/>
          <w:vertAlign w:val="superscript"/>
          <w:rtl/>
        </w:rPr>
        <w:t>)</w:t>
      </w:r>
      <w:r w:rsidR="006A0DD0" w:rsidRPr="00282AC9">
        <w:rPr>
          <w:rFonts w:ascii="Arial" w:hAnsi="Arial" w:hint="cs"/>
          <w:sz w:val="27"/>
          <w:rtl/>
        </w:rPr>
        <w:t>،</w:t>
      </w:r>
      <w:r w:rsidR="0098597F" w:rsidRPr="00282AC9">
        <w:rPr>
          <w:rFonts w:ascii="Arial" w:hAnsi="Arial" w:hint="cs"/>
          <w:sz w:val="27"/>
          <w:rtl/>
        </w:rPr>
        <w:t xml:space="preserve"> مع ضعفها السندي، قد أفتى بها بعض الفقهاء</w:t>
      </w:r>
      <w:r w:rsidR="0098597F" w:rsidRPr="00282AC9">
        <w:rPr>
          <w:rFonts w:ascii="Arial" w:hAnsi="Arial"/>
          <w:sz w:val="27"/>
          <w:vertAlign w:val="superscript"/>
          <w:rtl/>
        </w:rPr>
        <w:t>(</w:t>
      </w:r>
      <w:r w:rsidR="0098597F" w:rsidRPr="00282AC9">
        <w:rPr>
          <w:rFonts w:ascii="Arial" w:hAnsi="Arial"/>
          <w:sz w:val="27"/>
          <w:vertAlign w:val="superscript"/>
          <w:rtl/>
        </w:rPr>
        <w:endnoteReference w:id="196"/>
      </w:r>
      <w:r w:rsidR="0098597F" w:rsidRPr="00282AC9">
        <w:rPr>
          <w:rFonts w:ascii="Arial" w:hAnsi="Arial"/>
          <w:sz w:val="27"/>
          <w:vertAlign w:val="superscript"/>
          <w:rtl/>
        </w:rPr>
        <w:t>)</w:t>
      </w:r>
      <w:r w:rsidR="006A0DD0" w:rsidRPr="00282AC9">
        <w:rPr>
          <w:rFonts w:ascii="Arial" w:hAnsi="Arial" w:hint="cs"/>
          <w:sz w:val="27"/>
          <w:rtl/>
        </w:rPr>
        <w:t>؛</w:t>
      </w:r>
      <w:r w:rsidR="0098597F" w:rsidRPr="00282AC9">
        <w:rPr>
          <w:rFonts w:ascii="Arial" w:hAnsi="Arial" w:hint="cs"/>
          <w:sz w:val="27"/>
          <w:rtl/>
        </w:rPr>
        <w:t xml:space="preserve"> استناداً إلى قاعدة التسامح</w:t>
      </w:r>
      <w:r w:rsidR="0098597F" w:rsidRPr="00282AC9">
        <w:rPr>
          <w:rFonts w:ascii="Arial" w:hAnsi="Arial"/>
          <w:sz w:val="27"/>
          <w:vertAlign w:val="superscript"/>
          <w:rtl/>
        </w:rPr>
        <w:t>(</w:t>
      </w:r>
      <w:r w:rsidR="0098597F" w:rsidRPr="00282AC9">
        <w:rPr>
          <w:rFonts w:ascii="Arial" w:hAnsi="Arial"/>
          <w:sz w:val="27"/>
          <w:vertAlign w:val="superscript"/>
          <w:rtl/>
        </w:rPr>
        <w:endnoteReference w:id="197"/>
      </w:r>
      <w:r w:rsidR="0098597F" w:rsidRPr="00282AC9">
        <w:rPr>
          <w:rFonts w:ascii="Arial" w:hAnsi="Arial"/>
          <w:sz w:val="27"/>
          <w:vertAlign w:val="superscript"/>
          <w:rtl/>
        </w:rPr>
        <w:t>)</w:t>
      </w:r>
      <w:r w:rsidR="006A0DD0" w:rsidRPr="00282AC9">
        <w:rPr>
          <w:rFonts w:ascii="Arial" w:hAnsi="Arial" w:hint="cs"/>
          <w:sz w:val="27"/>
          <w:rtl/>
        </w:rPr>
        <w:t>.</w:t>
      </w:r>
      <w:r w:rsidR="0098597F" w:rsidRPr="00282AC9">
        <w:rPr>
          <w:rFonts w:ascii="Arial" w:hAnsi="Arial" w:hint="cs"/>
          <w:sz w:val="27"/>
          <w:rtl/>
        </w:rPr>
        <w:t xml:space="preserve"> وهذا م</w:t>
      </w:r>
      <w:r w:rsidR="006A0DD0" w:rsidRPr="00282AC9">
        <w:rPr>
          <w:rFonts w:ascii="Arial" w:hAnsi="Arial" w:hint="cs"/>
          <w:sz w:val="27"/>
          <w:rtl/>
        </w:rPr>
        <w:t>ا</w:t>
      </w:r>
      <w:r w:rsidR="0098597F" w:rsidRPr="00282AC9">
        <w:rPr>
          <w:rFonts w:ascii="Arial" w:hAnsi="Arial" w:hint="cs"/>
          <w:sz w:val="27"/>
          <w:rtl/>
        </w:rPr>
        <w:t xml:space="preserve"> تسب</w:t>
      </w:r>
      <w:r w:rsidR="006A0DD0" w:rsidRPr="00282AC9">
        <w:rPr>
          <w:rFonts w:ascii="Arial" w:hAnsi="Arial" w:hint="cs"/>
          <w:sz w:val="27"/>
          <w:rtl/>
        </w:rPr>
        <w:t>َّ</w:t>
      </w:r>
      <w:r w:rsidR="0098597F" w:rsidRPr="00282AC9">
        <w:rPr>
          <w:rFonts w:ascii="Arial" w:hAnsi="Arial" w:hint="cs"/>
          <w:sz w:val="27"/>
          <w:rtl/>
        </w:rPr>
        <w:t>ب بتقديم نظرة</w:t>
      </w:r>
      <w:r w:rsidR="006A0DD0" w:rsidRPr="00282AC9">
        <w:rPr>
          <w:rFonts w:ascii="Arial" w:hAnsi="Arial" w:hint="cs"/>
          <w:sz w:val="27"/>
          <w:rtl/>
        </w:rPr>
        <w:t>ٍ</w:t>
      </w:r>
      <w:r w:rsidR="0098597F" w:rsidRPr="00282AC9">
        <w:rPr>
          <w:rFonts w:ascii="Arial" w:hAnsi="Arial" w:hint="cs"/>
          <w:sz w:val="27"/>
          <w:rtl/>
        </w:rPr>
        <w:t xml:space="preserve"> سلبية عن التشريع الإسلامي</w:t>
      </w:r>
      <w:r w:rsidR="006A0DD0" w:rsidRPr="00282AC9">
        <w:rPr>
          <w:rFonts w:ascii="Arial" w:hAnsi="Arial" w:hint="cs"/>
          <w:sz w:val="27"/>
          <w:rtl/>
        </w:rPr>
        <w:t>ّ،</w:t>
      </w:r>
      <w:r w:rsidR="0098597F" w:rsidRPr="00282AC9">
        <w:rPr>
          <w:rFonts w:ascii="Arial" w:hAnsi="Arial" w:hint="cs"/>
          <w:sz w:val="27"/>
          <w:rtl/>
        </w:rPr>
        <w:t xml:space="preserve"> وأوحى بإقراره بهذه النظرة ال</w:t>
      </w:r>
      <w:r w:rsidR="0098597F" w:rsidRPr="00282AC9">
        <w:rPr>
          <w:rFonts w:ascii="Arial" w:hAnsi="Arial"/>
          <w:sz w:val="27"/>
          <w:rtl/>
        </w:rPr>
        <w:t>عنصري</w:t>
      </w:r>
      <w:r w:rsidR="006A0DD0" w:rsidRPr="00282AC9">
        <w:rPr>
          <w:rFonts w:ascii="Arial" w:hAnsi="Arial" w:hint="cs"/>
          <w:sz w:val="27"/>
          <w:rtl/>
        </w:rPr>
        <w:t>ّ</w:t>
      </w:r>
      <w:r w:rsidR="0098597F" w:rsidRPr="00282AC9">
        <w:rPr>
          <w:rFonts w:ascii="Arial" w:hAnsi="Arial"/>
          <w:sz w:val="27"/>
          <w:rtl/>
        </w:rPr>
        <w:t xml:space="preserve">ة </w:t>
      </w:r>
      <w:r w:rsidR="0098597F" w:rsidRPr="00282AC9">
        <w:rPr>
          <w:rFonts w:ascii="Arial" w:hAnsi="Arial" w:hint="cs"/>
          <w:sz w:val="27"/>
          <w:rtl/>
        </w:rPr>
        <w:t>المقيتة تجاه هؤلاء! مع أن الإسلام إنما جاء برفض كل</w:t>
      </w:r>
      <w:r w:rsidR="006A0DD0" w:rsidRPr="00282AC9">
        <w:rPr>
          <w:rFonts w:ascii="Arial" w:hAnsi="Arial" w:hint="cs"/>
          <w:sz w:val="27"/>
          <w:rtl/>
        </w:rPr>
        <w:t>ّ</w:t>
      </w:r>
      <w:r w:rsidR="0098597F" w:rsidRPr="00282AC9">
        <w:rPr>
          <w:rFonts w:ascii="Arial" w:hAnsi="Arial" w:hint="cs"/>
          <w:sz w:val="27"/>
          <w:rtl/>
        </w:rPr>
        <w:t xml:space="preserve"> أشكال العنصري</w:t>
      </w:r>
      <w:r w:rsidR="006A0DD0" w:rsidRPr="00282AC9">
        <w:rPr>
          <w:rFonts w:ascii="Arial" w:hAnsi="Arial" w:hint="cs"/>
          <w:sz w:val="27"/>
          <w:rtl/>
        </w:rPr>
        <w:t>ّ</w:t>
      </w:r>
      <w:r w:rsidR="0098597F" w:rsidRPr="00282AC9">
        <w:rPr>
          <w:rFonts w:ascii="Arial" w:hAnsi="Arial" w:hint="cs"/>
          <w:sz w:val="27"/>
          <w:rtl/>
        </w:rPr>
        <w:t>ة</w:t>
      </w:r>
      <w:r w:rsidR="006A0DD0" w:rsidRPr="00282AC9">
        <w:rPr>
          <w:rFonts w:ascii="Arial" w:hAnsi="Arial" w:hint="cs"/>
          <w:sz w:val="27"/>
          <w:rtl/>
        </w:rPr>
        <w:t>.</w:t>
      </w:r>
      <w:r w:rsidR="0098597F" w:rsidRPr="00282AC9">
        <w:rPr>
          <w:rFonts w:ascii="Arial" w:hAnsi="Arial"/>
          <w:sz w:val="27"/>
          <w:rtl/>
        </w:rPr>
        <w:t xml:space="preserve"> </w:t>
      </w:r>
      <w:r w:rsidR="0098597F" w:rsidRPr="00282AC9">
        <w:rPr>
          <w:rFonts w:ascii="Arial" w:hAnsi="Arial" w:hint="cs"/>
          <w:sz w:val="27"/>
          <w:rtl/>
        </w:rPr>
        <w:t>وهكذا</w:t>
      </w:r>
      <w:r w:rsidR="006A0DD0" w:rsidRPr="00282AC9">
        <w:rPr>
          <w:rFonts w:ascii="Arial" w:hAnsi="Arial" w:hint="cs"/>
          <w:sz w:val="27"/>
          <w:rtl/>
        </w:rPr>
        <w:t>،</w:t>
      </w:r>
      <w:r w:rsidR="0098597F" w:rsidRPr="00282AC9">
        <w:rPr>
          <w:rFonts w:ascii="Arial" w:hAnsi="Arial" w:hint="cs"/>
          <w:sz w:val="27"/>
          <w:rtl/>
        </w:rPr>
        <w:t xml:space="preserve"> فإنّ الروايات الواردة في ذمّ المرأة</w:t>
      </w:r>
      <w:r w:rsidR="006A0DD0" w:rsidRPr="00282AC9">
        <w:rPr>
          <w:rFonts w:ascii="Arial" w:hAnsi="Arial" w:hint="cs"/>
          <w:sz w:val="27"/>
          <w:rtl/>
        </w:rPr>
        <w:t>،</w:t>
      </w:r>
      <w:r w:rsidR="0098597F" w:rsidRPr="00282AC9">
        <w:rPr>
          <w:rFonts w:ascii="Arial" w:hAnsi="Arial" w:hint="cs"/>
          <w:sz w:val="27"/>
          <w:rtl/>
        </w:rPr>
        <w:t xml:space="preserve"> والمبيّ</w:t>
      </w:r>
      <w:r w:rsidR="006A0DD0" w:rsidRPr="00282AC9">
        <w:rPr>
          <w:rFonts w:ascii="Arial" w:hAnsi="Arial" w:hint="cs"/>
          <w:sz w:val="27"/>
          <w:rtl/>
        </w:rPr>
        <w:t>ِ</w:t>
      </w:r>
      <w:r w:rsidR="0098597F" w:rsidRPr="00282AC9">
        <w:rPr>
          <w:rFonts w:ascii="Arial" w:hAnsi="Arial" w:hint="cs"/>
          <w:sz w:val="27"/>
          <w:rtl/>
        </w:rPr>
        <w:t>نة لنقصان عقلها وحظ</w:t>
      </w:r>
      <w:r w:rsidR="006A0DD0" w:rsidRPr="00282AC9">
        <w:rPr>
          <w:rFonts w:ascii="Arial" w:hAnsi="Arial" w:hint="cs"/>
          <w:sz w:val="27"/>
          <w:rtl/>
        </w:rPr>
        <w:t>ّ</w:t>
      </w:r>
      <w:r w:rsidR="0098597F" w:rsidRPr="00282AC9">
        <w:rPr>
          <w:rFonts w:ascii="Arial" w:hAnsi="Arial" w:hint="cs"/>
          <w:sz w:val="27"/>
          <w:rtl/>
        </w:rPr>
        <w:t>ها وإيمانها</w:t>
      </w:r>
      <w:r w:rsidR="006A0DD0" w:rsidRPr="00282AC9">
        <w:rPr>
          <w:rFonts w:ascii="Arial" w:hAnsi="Arial" w:hint="cs"/>
          <w:sz w:val="27"/>
          <w:rtl/>
        </w:rPr>
        <w:t>،</w:t>
      </w:r>
      <w:r w:rsidR="0098597F" w:rsidRPr="00282AC9">
        <w:rPr>
          <w:rFonts w:ascii="Arial" w:hAnsi="Arial" w:hint="cs"/>
          <w:sz w:val="27"/>
          <w:rtl/>
        </w:rPr>
        <w:t xml:space="preserve"> والداعية إلى ترك مشاورتها</w:t>
      </w:r>
      <w:r w:rsidR="006A0DD0" w:rsidRPr="00282AC9">
        <w:rPr>
          <w:rFonts w:ascii="Arial" w:hAnsi="Arial" w:hint="cs"/>
          <w:sz w:val="27"/>
          <w:rtl/>
        </w:rPr>
        <w:t>...</w:t>
      </w:r>
      <w:r w:rsidR="0098597F" w:rsidRPr="00282AC9">
        <w:rPr>
          <w:rFonts w:ascii="Arial" w:hAnsi="Arial"/>
          <w:sz w:val="27"/>
          <w:vertAlign w:val="superscript"/>
          <w:rtl/>
        </w:rPr>
        <w:t>(</w:t>
      </w:r>
      <w:r w:rsidR="0098597F" w:rsidRPr="00282AC9">
        <w:rPr>
          <w:rFonts w:ascii="Arial" w:hAnsi="Arial"/>
          <w:sz w:val="27"/>
          <w:vertAlign w:val="superscript"/>
          <w:rtl/>
        </w:rPr>
        <w:endnoteReference w:id="198"/>
      </w:r>
      <w:r w:rsidR="0098597F" w:rsidRPr="00282AC9">
        <w:rPr>
          <w:rFonts w:ascii="Arial" w:hAnsi="Arial"/>
          <w:sz w:val="27"/>
          <w:vertAlign w:val="superscript"/>
          <w:rtl/>
        </w:rPr>
        <w:t>)</w:t>
      </w:r>
      <w:r w:rsidR="0098597F" w:rsidRPr="00282AC9">
        <w:rPr>
          <w:rFonts w:ascii="Arial" w:hAnsi="Arial" w:hint="cs"/>
          <w:sz w:val="27"/>
          <w:rtl/>
        </w:rPr>
        <w:t xml:space="preserve">، إنّ </w:t>
      </w:r>
      <w:r w:rsidR="0098597F" w:rsidRPr="00282AC9">
        <w:rPr>
          <w:rFonts w:ascii="Arial" w:hAnsi="Arial" w:hint="cs"/>
          <w:sz w:val="27"/>
          <w:rtl/>
        </w:rPr>
        <w:lastRenderedPageBreak/>
        <w:t>هذه روايات</w:t>
      </w:r>
      <w:r w:rsidR="006A0DD0" w:rsidRPr="00282AC9">
        <w:rPr>
          <w:rFonts w:ascii="Arial" w:hAnsi="Arial" w:hint="cs"/>
          <w:sz w:val="27"/>
          <w:rtl/>
        </w:rPr>
        <w:t>ٌ</w:t>
      </w:r>
      <w:r w:rsidR="0098597F" w:rsidRPr="00282AC9">
        <w:rPr>
          <w:rFonts w:ascii="Arial" w:hAnsi="Arial" w:hint="cs"/>
          <w:sz w:val="27"/>
          <w:rtl/>
        </w:rPr>
        <w:t xml:space="preserve"> ضعيفة، </w:t>
      </w:r>
      <w:r w:rsidR="00674EF5" w:rsidRPr="00282AC9">
        <w:rPr>
          <w:rFonts w:ascii="Arial" w:hAnsi="Arial" w:hint="cs"/>
          <w:sz w:val="27"/>
          <w:rtl/>
        </w:rPr>
        <w:t>بَيْدَ</w:t>
      </w:r>
      <w:r w:rsidR="0098597F" w:rsidRPr="00282AC9">
        <w:rPr>
          <w:rFonts w:ascii="Arial" w:hAnsi="Arial" w:hint="cs"/>
          <w:sz w:val="27"/>
          <w:rtl/>
        </w:rPr>
        <w:t xml:space="preserve"> أنّ بعضهم لم ي</w:t>
      </w:r>
      <w:r w:rsidR="006A0DD0" w:rsidRPr="00282AC9">
        <w:rPr>
          <w:rFonts w:ascii="Arial" w:hAnsi="Arial" w:hint="cs"/>
          <w:sz w:val="27"/>
          <w:rtl/>
        </w:rPr>
        <w:t>َ</w:t>
      </w:r>
      <w:r w:rsidR="0098597F" w:rsidRPr="00282AC9">
        <w:rPr>
          <w:rFonts w:ascii="Arial" w:hAnsi="Arial" w:hint="cs"/>
          <w:sz w:val="27"/>
          <w:rtl/>
        </w:rPr>
        <w:t>ر</w:t>
      </w:r>
      <w:r w:rsidR="006A0DD0" w:rsidRPr="00282AC9">
        <w:rPr>
          <w:rFonts w:ascii="Arial" w:hAnsi="Arial" w:hint="cs"/>
          <w:sz w:val="27"/>
          <w:rtl/>
        </w:rPr>
        <w:t>َ</w:t>
      </w:r>
      <w:r w:rsidR="0098597F" w:rsidRPr="00282AC9">
        <w:rPr>
          <w:rFonts w:ascii="Arial" w:hAnsi="Arial" w:hint="cs"/>
          <w:sz w:val="27"/>
          <w:rtl/>
        </w:rPr>
        <w:t xml:space="preserve"> مانعاً من الالتزام بمفادها</w:t>
      </w:r>
      <w:r w:rsidR="006A0DD0" w:rsidRPr="00282AC9">
        <w:rPr>
          <w:rFonts w:ascii="Arial" w:hAnsi="Arial" w:hint="cs"/>
          <w:sz w:val="27"/>
          <w:rtl/>
        </w:rPr>
        <w:t>؛</w:t>
      </w:r>
      <w:r w:rsidR="0098597F" w:rsidRPr="00282AC9">
        <w:rPr>
          <w:rFonts w:ascii="Arial" w:hAnsi="Arial" w:hint="cs"/>
          <w:sz w:val="27"/>
          <w:rtl/>
        </w:rPr>
        <w:t xml:space="preserve"> لأنّها لا تتضم</w:t>
      </w:r>
      <w:r w:rsidR="006A0DD0" w:rsidRPr="00282AC9">
        <w:rPr>
          <w:rFonts w:ascii="Arial" w:hAnsi="Arial" w:hint="cs"/>
          <w:sz w:val="27"/>
          <w:rtl/>
        </w:rPr>
        <w:t>َّ</w:t>
      </w:r>
      <w:r w:rsidR="0098597F" w:rsidRPr="00282AC9">
        <w:rPr>
          <w:rFonts w:ascii="Arial" w:hAnsi="Arial" w:hint="cs"/>
          <w:sz w:val="27"/>
          <w:rtl/>
        </w:rPr>
        <w:t>ن أحكاماً إلزامية</w:t>
      </w:r>
      <w:r w:rsidR="0098597F" w:rsidRPr="00282AC9">
        <w:rPr>
          <w:rFonts w:ascii="Arial" w:hAnsi="Arial"/>
          <w:sz w:val="27"/>
          <w:vertAlign w:val="superscript"/>
          <w:rtl/>
        </w:rPr>
        <w:t>(</w:t>
      </w:r>
      <w:r w:rsidR="0098597F" w:rsidRPr="00282AC9">
        <w:rPr>
          <w:rFonts w:ascii="Arial" w:hAnsi="Arial"/>
          <w:sz w:val="27"/>
          <w:vertAlign w:val="superscript"/>
          <w:rtl/>
        </w:rPr>
        <w:endnoteReference w:id="199"/>
      </w:r>
      <w:r w:rsidR="0098597F" w:rsidRPr="00282AC9">
        <w:rPr>
          <w:rFonts w:ascii="Arial" w:hAnsi="Arial"/>
          <w:sz w:val="27"/>
          <w:vertAlign w:val="superscript"/>
          <w:rtl/>
        </w:rPr>
        <w:t>)</w:t>
      </w:r>
      <w:r w:rsidR="0098597F" w:rsidRPr="00282AC9">
        <w:rPr>
          <w:rFonts w:ascii="Arial" w:hAnsi="Arial" w:hint="cs"/>
          <w:sz w:val="27"/>
          <w:rtl/>
        </w:rPr>
        <w:t>، مع أنّها تعكس صورة الإسلام عن المرأة، وهي صورة</w:t>
      </w:r>
      <w:r w:rsidR="006A0DD0" w:rsidRPr="00282AC9">
        <w:rPr>
          <w:rFonts w:ascii="Arial" w:hAnsi="Arial" w:hint="cs"/>
          <w:sz w:val="27"/>
          <w:rtl/>
        </w:rPr>
        <w:t>ٌ</w:t>
      </w:r>
      <w:r w:rsidR="0098597F" w:rsidRPr="00282AC9">
        <w:rPr>
          <w:rFonts w:ascii="Arial" w:hAnsi="Arial" w:hint="cs"/>
          <w:sz w:val="27"/>
          <w:rtl/>
        </w:rPr>
        <w:t xml:space="preserve"> محل</w:t>
      </w:r>
      <w:r w:rsidR="006A0DD0" w:rsidRPr="00282AC9">
        <w:rPr>
          <w:rFonts w:ascii="Arial" w:hAnsi="Arial" w:hint="cs"/>
          <w:sz w:val="27"/>
          <w:rtl/>
        </w:rPr>
        <w:t>ّ</w:t>
      </w:r>
      <w:r w:rsidR="0098597F" w:rsidRPr="00282AC9">
        <w:rPr>
          <w:rFonts w:ascii="Arial" w:hAnsi="Arial" w:hint="cs"/>
          <w:sz w:val="27"/>
          <w:rtl/>
        </w:rPr>
        <w:t xml:space="preserve"> ج</w:t>
      </w:r>
      <w:r w:rsidR="006A0DD0" w:rsidRPr="00282AC9">
        <w:rPr>
          <w:rFonts w:ascii="Arial" w:hAnsi="Arial" w:hint="cs"/>
          <w:sz w:val="27"/>
          <w:rtl/>
        </w:rPr>
        <w:t>َ</w:t>
      </w:r>
      <w:r w:rsidR="0098597F" w:rsidRPr="00282AC9">
        <w:rPr>
          <w:rFonts w:ascii="Arial" w:hAnsi="Arial" w:hint="cs"/>
          <w:sz w:val="27"/>
          <w:rtl/>
        </w:rPr>
        <w:t>د</w:t>
      </w:r>
      <w:r w:rsidR="006A0DD0" w:rsidRPr="00282AC9">
        <w:rPr>
          <w:rFonts w:ascii="Arial" w:hAnsi="Arial" w:hint="cs"/>
          <w:sz w:val="27"/>
          <w:rtl/>
        </w:rPr>
        <w:t>َ</w:t>
      </w:r>
      <w:r w:rsidR="0098597F" w:rsidRPr="00282AC9">
        <w:rPr>
          <w:rFonts w:ascii="Arial" w:hAnsi="Arial" w:hint="cs"/>
          <w:sz w:val="27"/>
          <w:rtl/>
        </w:rPr>
        <w:t>ل</w:t>
      </w:r>
      <w:r w:rsidR="006A0DD0" w:rsidRPr="00282AC9">
        <w:rPr>
          <w:rFonts w:ascii="Arial" w:hAnsi="Arial" w:hint="cs"/>
          <w:sz w:val="27"/>
          <w:rtl/>
        </w:rPr>
        <w:t>ٍ</w:t>
      </w:r>
      <w:r w:rsidR="0098597F" w:rsidRPr="00282AC9">
        <w:rPr>
          <w:rFonts w:ascii="Arial" w:hAnsi="Arial" w:hint="cs"/>
          <w:sz w:val="27"/>
          <w:rtl/>
        </w:rPr>
        <w:t xml:space="preserve"> كبير، ور</w:t>
      </w:r>
      <w:r w:rsidR="006A0DD0" w:rsidRPr="00282AC9">
        <w:rPr>
          <w:rFonts w:ascii="Arial" w:hAnsi="Arial" w:hint="cs"/>
          <w:sz w:val="27"/>
          <w:rtl/>
        </w:rPr>
        <w:t>ُ</w:t>
      </w:r>
      <w:r w:rsidR="0098597F" w:rsidRPr="00282AC9">
        <w:rPr>
          <w:rFonts w:ascii="Arial" w:hAnsi="Arial" w:hint="cs"/>
          <w:sz w:val="27"/>
          <w:rtl/>
        </w:rPr>
        <w:t>ب</w:t>
      </w:r>
      <w:r w:rsidR="006A0DD0" w:rsidRPr="00282AC9">
        <w:rPr>
          <w:rFonts w:ascii="Arial" w:hAnsi="Arial" w:hint="cs"/>
          <w:sz w:val="27"/>
          <w:rtl/>
        </w:rPr>
        <w:t>َ</w:t>
      </w:r>
      <w:r w:rsidR="0098597F" w:rsidRPr="00282AC9">
        <w:rPr>
          <w:rFonts w:ascii="Arial" w:hAnsi="Arial" w:hint="cs"/>
          <w:sz w:val="27"/>
          <w:rtl/>
        </w:rPr>
        <w:t>ما يرى البعض أنها السبب وراء القمع الذي تتعر</w:t>
      </w:r>
      <w:r w:rsidR="006A0DD0" w:rsidRPr="00282AC9">
        <w:rPr>
          <w:rFonts w:ascii="Arial" w:hAnsi="Arial" w:hint="cs"/>
          <w:sz w:val="27"/>
          <w:rtl/>
        </w:rPr>
        <w:t>َّ</w:t>
      </w:r>
      <w:r w:rsidR="0098597F" w:rsidRPr="00282AC9">
        <w:rPr>
          <w:rFonts w:ascii="Arial" w:hAnsi="Arial" w:hint="cs"/>
          <w:sz w:val="27"/>
          <w:rtl/>
        </w:rPr>
        <w:t>ض له المرأة في الكثير من الدول العربي</w:t>
      </w:r>
      <w:r w:rsidR="006A0DD0" w:rsidRPr="00282AC9">
        <w:rPr>
          <w:rFonts w:ascii="Arial" w:hAnsi="Arial" w:hint="cs"/>
          <w:sz w:val="27"/>
          <w:rtl/>
        </w:rPr>
        <w:t>ّ</w:t>
      </w:r>
      <w:r w:rsidR="0098597F" w:rsidRPr="00282AC9">
        <w:rPr>
          <w:rFonts w:ascii="Arial" w:hAnsi="Arial" w:hint="cs"/>
          <w:sz w:val="27"/>
          <w:rtl/>
        </w:rPr>
        <w:t>ة والإسلامية.</w:t>
      </w:r>
    </w:p>
    <w:p w:rsidR="0098597F" w:rsidRPr="00282AC9" w:rsidRDefault="00F73315" w:rsidP="004F097E">
      <w:pPr>
        <w:contextualSpacing/>
        <w:rPr>
          <w:rFonts w:ascii="Arial" w:hAnsi="Arial"/>
          <w:sz w:val="27"/>
          <w:rtl/>
        </w:rPr>
      </w:pPr>
      <w:r w:rsidRPr="00282AC9">
        <w:rPr>
          <w:rFonts w:ascii="Arial" w:hAnsi="Arial" w:hint="cs"/>
          <w:b/>
          <w:bCs/>
          <w:sz w:val="27"/>
          <w:rtl/>
          <w:lang w:bidi="ar-LB"/>
        </w:rPr>
        <w:t>2</w:t>
      </w:r>
      <w:r w:rsidR="0098597F" w:rsidRPr="00282AC9">
        <w:rPr>
          <w:rFonts w:ascii="Arial" w:hAnsi="Arial" w:hint="cs"/>
          <w:b/>
          <w:bCs/>
          <w:sz w:val="27"/>
          <w:rtl/>
          <w:lang w:bidi="ar-LB"/>
        </w:rPr>
        <w:t>ـ النظرة إلى الطب</w:t>
      </w:r>
      <w:r w:rsidR="006A0DD0" w:rsidRPr="00282AC9">
        <w:rPr>
          <w:rFonts w:ascii="Arial" w:hAnsi="Arial" w:hint="cs"/>
          <w:b/>
          <w:bCs/>
          <w:sz w:val="27"/>
          <w:rtl/>
          <w:lang w:bidi="ar-LB"/>
        </w:rPr>
        <w:t>ّ</w:t>
      </w:r>
      <w:r w:rsidR="0098597F" w:rsidRPr="00282AC9">
        <w:rPr>
          <w:rFonts w:ascii="Arial" w:hAnsi="Arial" w:hint="cs"/>
          <w:b/>
          <w:bCs/>
          <w:sz w:val="27"/>
          <w:rtl/>
          <w:lang w:bidi="ar-LB"/>
        </w:rPr>
        <w:t xml:space="preserve"> والمداواة: </w:t>
      </w:r>
      <w:r w:rsidR="0098597F" w:rsidRPr="00282AC9">
        <w:rPr>
          <w:rFonts w:ascii="Arial" w:hAnsi="Arial" w:hint="cs"/>
          <w:sz w:val="27"/>
          <w:rtl/>
          <w:lang w:bidi="ar-LB"/>
        </w:rPr>
        <w:t>نلاحظ أن العلا</w:t>
      </w:r>
      <w:r w:rsidR="006A0DD0" w:rsidRPr="00282AC9">
        <w:rPr>
          <w:rFonts w:ascii="Arial" w:hAnsi="Arial" w:hint="cs"/>
          <w:sz w:val="27"/>
          <w:rtl/>
          <w:lang w:bidi="ar-LB"/>
        </w:rPr>
        <w:t>ّ</w:t>
      </w:r>
      <w:r w:rsidR="0098597F" w:rsidRPr="00282AC9">
        <w:rPr>
          <w:rFonts w:ascii="Arial" w:hAnsi="Arial" w:hint="cs"/>
          <w:sz w:val="27"/>
          <w:rtl/>
          <w:lang w:bidi="ar-LB"/>
        </w:rPr>
        <w:t>مة المجلسي يعترف أنّ كتاب طب</w:t>
      </w:r>
      <w:r w:rsidR="006A0DD0" w:rsidRPr="00282AC9">
        <w:rPr>
          <w:rFonts w:ascii="Arial" w:hAnsi="Arial" w:hint="cs"/>
          <w:sz w:val="27"/>
          <w:rtl/>
          <w:lang w:bidi="ar-LB"/>
        </w:rPr>
        <w:t>ّ</w:t>
      </w:r>
      <w:r w:rsidR="0098597F" w:rsidRPr="00282AC9">
        <w:rPr>
          <w:rFonts w:ascii="Arial" w:hAnsi="Arial" w:hint="cs"/>
          <w:sz w:val="27"/>
          <w:rtl/>
          <w:lang w:bidi="ar-LB"/>
        </w:rPr>
        <w:t xml:space="preserve"> الأئمة</w:t>
      </w:r>
      <w:r w:rsidR="001743CC" w:rsidRPr="00282AC9">
        <w:rPr>
          <w:rFonts w:ascii="Mosawi" w:hAnsi="Mosawi" w:cs="Mosawi"/>
          <w:sz w:val="22"/>
          <w:szCs w:val="22"/>
          <w:rtl/>
        </w:rPr>
        <w:t>^</w:t>
      </w:r>
      <w:r w:rsidR="0098597F" w:rsidRPr="00282AC9">
        <w:rPr>
          <w:rFonts w:ascii="Arial" w:hAnsi="Arial" w:hint="cs"/>
          <w:sz w:val="27"/>
          <w:rtl/>
          <w:lang w:bidi="ar-LB"/>
        </w:rPr>
        <w:t xml:space="preserve"> </w:t>
      </w:r>
      <w:r w:rsidR="0098597F" w:rsidRPr="00282AC9">
        <w:rPr>
          <w:rFonts w:hint="eastAsia"/>
          <w:sz w:val="24"/>
          <w:szCs w:val="24"/>
          <w:rtl/>
        </w:rPr>
        <w:t>«</w:t>
      </w:r>
      <w:r w:rsidR="0098597F" w:rsidRPr="00282AC9">
        <w:rPr>
          <w:rFonts w:ascii="Arial" w:hAnsi="Arial"/>
          <w:sz w:val="27"/>
          <w:rtl/>
        </w:rPr>
        <w:t>ليس في درجة سائر الكتب</w:t>
      </w:r>
      <w:r w:rsidR="006A0DD0" w:rsidRPr="00282AC9">
        <w:rPr>
          <w:rFonts w:ascii="Arial" w:hAnsi="Arial" w:hint="cs"/>
          <w:sz w:val="27"/>
          <w:rtl/>
        </w:rPr>
        <w:t>؛</w:t>
      </w:r>
      <w:r w:rsidR="0098597F" w:rsidRPr="00282AC9">
        <w:rPr>
          <w:rFonts w:ascii="Arial" w:hAnsi="Arial"/>
          <w:sz w:val="27"/>
          <w:rtl/>
        </w:rPr>
        <w:t xml:space="preserve"> لجهالة مؤل</w:t>
      </w:r>
      <w:r w:rsidR="006A0DD0" w:rsidRPr="00282AC9">
        <w:rPr>
          <w:rFonts w:ascii="Arial" w:hAnsi="Arial" w:hint="cs"/>
          <w:sz w:val="27"/>
          <w:rtl/>
        </w:rPr>
        <w:t>ِّ</w:t>
      </w:r>
      <w:r w:rsidR="0098597F" w:rsidRPr="00282AC9">
        <w:rPr>
          <w:rFonts w:ascii="Arial" w:hAnsi="Arial"/>
          <w:sz w:val="27"/>
          <w:rtl/>
        </w:rPr>
        <w:t>فه</w:t>
      </w:r>
      <w:r w:rsidR="0098597F" w:rsidRPr="00282AC9">
        <w:rPr>
          <w:rFonts w:hint="eastAsia"/>
          <w:sz w:val="24"/>
          <w:szCs w:val="24"/>
          <w:rtl/>
        </w:rPr>
        <w:t>»</w:t>
      </w:r>
      <w:r w:rsidR="006A0DD0" w:rsidRPr="00282AC9">
        <w:rPr>
          <w:rFonts w:ascii="Arial" w:hAnsi="Arial" w:hint="cs"/>
          <w:sz w:val="27"/>
          <w:rtl/>
        </w:rPr>
        <w:t>.</w:t>
      </w:r>
      <w:r w:rsidR="0098597F" w:rsidRPr="00282AC9">
        <w:rPr>
          <w:rFonts w:ascii="Arial" w:hAnsi="Arial" w:hint="cs"/>
          <w:sz w:val="27"/>
          <w:rtl/>
        </w:rPr>
        <w:t xml:space="preserve"> ولكنه يعقّ</w:t>
      </w:r>
      <w:r w:rsidR="006A0DD0" w:rsidRPr="00282AC9">
        <w:rPr>
          <w:rFonts w:ascii="Arial" w:hAnsi="Arial" w:hint="cs"/>
          <w:sz w:val="27"/>
          <w:rtl/>
        </w:rPr>
        <w:t>ِ</w:t>
      </w:r>
      <w:r w:rsidR="0098597F" w:rsidRPr="00282AC9">
        <w:rPr>
          <w:rFonts w:ascii="Arial" w:hAnsi="Arial" w:hint="cs"/>
          <w:sz w:val="27"/>
          <w:rtl/>
        </w:rPr>
        <w:t xml:space="preserve">ب على ذلك قائلاً: </w:t>
      </w:r>
      <w:r w:rsidR="0098597F" w:rsidRPr="00282AC9">
        <w:rPr>
          <w:rFonts w:hint="eastAsia"/>
          <w:sz w:val="24"/>
          <w:szCs w:val="24"/>
          <w:rtl/>
        </w:rPr>
        <w:t>«</w:t>
      </w:r>
      <w:r w:rsidR="0098597F" w:rsidRPr="00282AC9">
        <w:rPr>
          <w:rFonts w:ascii="Arial" w:hAnsi="Arial"/>
          <w:sz w:val="27"/>
          <w:rtl/>
        </w:rPr>
        <w:t>ولا يضر</w:t>
      </w:r>
      <w:r w:rsidR="006A0DD0" w:rsidRPr="00282AC9">
        <w:rPr>
          <w:rFonts w:ascii="Arial" w:hAnsi="Arial" w:hint="cs"/>
          <w:sz w:val="27"/>
          <w:rtl/>
        </w:rPr>
        <w:t>ّ</w:t>
      </w:r>
      <w:r w:rsidR="0098597F" w:rsidRPr="00282AC9">
        <w:rPr>
          <w:rFonts w:ascii="Arial" w:hAnsi="Arial"/>
          <w:sz w:val="27"/>
          <w:rtl/>
        </w:rPr>
        <w:t xml:space="preserve"> ذلك</w:t>
      </w:r>
      <w:r w:rsidR="006A0DD0" w:rsidRPr="00282AC9">
        <w:rPr>
          <w:rFonts w:ascii="Arial" w:hAnsi="Arial" w:hint="cs"/>
          <w:sz w:val="27"/>
          <w:rtl/>
        </w:rPr>
        <w:t>؛</w:t>
      </w:r>
      <w:r w:rsidR="0098597F" w:rsidRPr="00282AC9">
        <w:rPr>
          <w:rFonts w:ascii="Arial" w:hAnsi="Arial"/>
          <w:sz w:val="27"/>
          <w:rtl/>
        </w:rPr>
        <w:t xml:space="preserve"> إذ قليل منه يتعلّ</w:t>
      </w:r>
      <w:r w:rsidR="006A0DD0" w:rsidRPr="00282AC9">
        <w:rPr>
          <w:rFonts w:ascii="Arial" w:hAnsi="Arial" w:hint="cs"/>
          <w:sz w:val="27"/>
          <w:rtl/>
        </w:rPr>
        <w:t>َ</w:t>
      </w:r>
      <w:r w:rsidR="0098597F" w:rsidRPr="00282AC9">
        <w:rPr>
          <w:rFonts w:ascii="Arial" w:hAnsi="Arial"/>
          <w:sz w:val="27"/>
          <w:rtl/>
        </w:rPr>
        <w:t>ق بالأحكام الفرعية، وفي الأدوية والأدعية لا نحتاج إلى الأسانيد القويّة</w:t>
      </w:r>
      <w:r w:rsidR="0098597F" w:rsidRPr="00282AC9">
        <w:rPr>
          <w:rFonts w:hint="eastAsia"/>
          <w:sz w:val="24"/>
          <w:szCs w:val="24"/>
          <w:rtl/>
        </w:rPr>
        <w:t>»</w:t>
      </w:r>
      <w:r w:rsidR="006A0DD0" w:rsidRPr="00282AC9">
        <w:rPr>
          <w:rFonts w:ascii="Arial" w:eastAsia="Calibri" w:hAnsi="Arial"/>
          <w:sz w:val="27"/>
          <w:vertAlign w:val="superscript"/>
          <w:rtl/>
        </w:rPr>
        <w:t>(</w:t>
      </w:r>
      <w:r w:rsidR="006A0DD0" w:rsidRPr="00282AC9">
        <w:rPr>
          <w:rFonts w:ascii="Arial" w:eastAsia="Calibri" w:hAnsi="Arial"/>
          <w:sz w:val="27"/>
          <w:vertAlign w:val="superscript"/>
          <w:rtl/>
        </w:rPr>
        <w:endnoteReference w:id="200"/>
      </w:r>
      <w:r w:rsidR="006A0DD0" w:rsidRPr="00282AC9">
        <w:rPr>
          <w:rFonts w:ascii="Arial" w:eastAsia="Calibri" w:hAnsi="Arial"/>
          <w:sz w:val="27"/>
          <w:vertAlign w:val="superscript"/>
          <w:rtl/>
        </w:rPr>
        <w:t>)</w:t>
      </w:r>
      <w:r w:rsidR="006A0DD0" w:rsidRPr="00282AC9">
        <w:rPr>
          <w:rFonts w:ascii="Arial" w:hAnsi="Arial" w:hint="cs"/>
          <w:sz w:val="27"/>
          <w:rtl/>
        </w:rPr>
        <w:t>.</w:t>
      </w:r>
      <w:r w:rsidR="0098597F" w:rsidRPr="00282AC9">
        <w:rPr>
          <w:rFonts w:ascii="Arial" w:hAnsi="Arial" w:hint="cs"/>
          <w:sz w:val="27"/>
          <w:rtl/>
        </w:rPr>
        <w:t xml:space="preserve"> مع أ</w:t>
      </w:r>
      <w:r w:rsidR="0098597F" w:rsidRPr="00282AC9">
        <w:rPr>
          <w:rFonts w:ascii="Arial" w:hAnsi="Arial"/>
          <w:sz w:val="27"/>
          <w:rtl/>
        </w:rPr>
        <w:t>نّ الروايات الطبّية</w:t>
      </w:r>
      <w:r w:rsidR="00CB433F" w:rsidRPr="00282AC9">
        <w:rPr>
          <w:rFonts w:ascii="Arial" w:hAnsi="Arial" w:hint="cs"/>
          <w:sz w:val="27"/>
          <w:rtl/>
        </w:rPr>
        <w:t>،</w:t>
      </w:r>
      <w:r w:rsidR="0098597F" w:rsidRPr="00282AC9">
        <w:rPr>
          <w:rFonts w:ascii="Arial" w:hAnsi="Arial"/>
          <w:sz w:val="27"/>
          <w:rtl/>
        </w:rPr>
        <w:t xml:space="preserve"> وإنْ لم ترتبط بالعمل والسلوك، لكن</w:t>
      </w:r>
      <w:r w:rsidR="00CB433F" w:rsidRPr="00282AC9">
        <w:rPr>
          <w:rFonts w:ascii="Arial" w:hAnsi="Arial" w:hint="cs"/>
          <w:sz w:val="27"/>
          <w:rtl/>
        </w:rPr>
        <w:t>ّ</w:t>
      </w:r>
      <w:r w:rsidR="0098597F" w:rsidRPr="00282AC9">
        <w:rPr>
          <w:rFonts w:ascii="Arial" w:hAnsi="Arial"/>
          <w:sz w:val="27"/>
          <w:rtl/>
        </w:rPr>
        <w:t>ها ترتبط ب</w:t>
      </w:r>
      <w:r w:rsidR="0098597F" w:rsidRPr="00282AC9">
        <w:rPr>
          <w:rFonts w:ascii="Arial" w:hAnsi="Arial" w:hint="cs"/>
          <w:sz w:val="27"/>
          <w:rtl/>
        </w:rPr>
        <w:t>نظرة الإسلام إلى الطب</w:t>
      </w:r>
      <w:r w:rsidR="00CB433F" w:rsidRPr="00282AC9">
        <w:rPr>
          <w:rFonts w:ascii="Arial" w:hAnsi="Arial" w:hint="cs"/>
          <w:sz w:val="27"/>
          <w:rtl/>
        </w:rPr>
        <w:t>ّ</w:t>
      </w:r>
      <w:r w:rsidR="0098597F" w:rsidRPr="00282AC9">
        <w:rPr>
          <w:rFonts w:ascii="Arial" w:hAnsi="Arial" w:hint="cs"/>
          <w:sz w:val="27"/>
          <w:rtl/>
        </w:rPr>
        <w:t xml:space="preserve"> من جهة، وهي نظرة</w:t>
      </w:r>
      <w:r w:rsidR="00CB433F" w:rsidRPr="00282AC9">
        <w:rPr>
          <w:rFonts w:ascii="Arial" w:hAnsi="Arial" w:hint="cs"/>
          <w:sz w:val="27"/>
          <w:rtl/>
        </w:rPr>
        <w:t>ٌ</w:t>
      </w:r>
      <w:r w:rsidR="0098597F" w:rsidRPr="00282AC9">
        <w:rPr>
          <w:rFonts w:ascii="Arial" w:hAnsi="Arial" w:hint="cs"/>
          <w:sz w:val="27"/>
          <w:rtl/>
        </w:rPr>
        <w:t xml:space="preserve"> إذا أ</w:t>
      </w:r>
      <w:r w:rsidR="00CB433F" w:rsidRPr="00282AC9">
        <w:rPr>
          <w:rFonts w:ascii="Arial" w:hAnsi="Arial" w:hint="cs"/>
          <w:sz w:val="27"/>
          <w:rtl/>
        </w:rPr>
        <w:t>ُ</w:t>
      </w:r>
      <w:r w:rsidR="0098597F" w:rsidRPr="00282AC9">
        <w:rPr>
          <w:rFonts w:ascii="Arial" w:hAnsi="Arial" w:hint="cs"/>
          <w:sz w:val="27"/>
          <w:rtl/>
        </w:rPr>
        <w:t>ريد أخذ</w:t>
      </w:r>
      <w:r w:rsidR="00CB433F" w:rsidRPr="00282AC9">
        <w:rPr>
          <w:rFonts w:ascii="Arial" w:hAnsi="Arial" w:hint="cs"/>
          <w:sz w:val="27"/>
          <w:rtl/>
        </w:rPr>
        <w:t>ُ</w:t>
      </w:r>
      <w:r w:rsidR="0098597F" w:rsidRPr="00282AC9">
        <w:rPr>
          <w:rFonts w:ascii="Arial" w:hAnsi="Arial" w:hint="cs"/>
          <w:sz w:val="27"/>
          <w:rtl/>
        </w:rPr>
        <w:t>ها من خلال ما جاء في مثل هذا الكتاب فهي تعطي انطباعاً وتصو</w:t>
      </w:r>
      <w:r w:rsidR="00CB433F" w:rsidRPr="00282AC9">
        <w:rPr>
          <w:rFonts w:ascii="Arial" w:hAnsi="Arial" w:hint="cs"/>
          <w:sz w:val="27"/>
          <w:rtl/>
        </w:rPr>
        <w:t>ُّ</w:t>
      </w:r>
      <w:r w:rsidR="0098597F" w:rsidRPr="00282AC9">
        <w:rPr>
          <w:rFonts w:ascii="Arial" w:hAnsi="Arial" w:hint="cs"/>
          <w:sz w:val="27"/>
          <w:rtl/>
        </w:rPr>
        <w:t>راً بدائياً، وهي ترتبط ب</w:t>
      </w:r>
      <w:r w:rsidR="0098597F" w:rsidRPr="00282AC9">
        <w:rPr>
          <w:rFonts w:ascii="Arial" w:hAnsi="Arial"/>
          <w:sz w:val="27"/>
          <w:rtl/>
        </w:rPr>
        <w:t>صحّة الإنسان</w:t>
      </w:r>
      <w:r w:rsidR="0098597F" w:rsidRPr="00282AC9">
        <w:rPr>
          <w:rFonts w:ascii="Arial" w:hAnsi="Arial" w:hint="cs"/>
          <w:sz w:val="27"/>
          <w:rtl/>
        </w:rPr>
        <w:t xml:space="preserve"> من جهة</w:t>
      </w:r>
      <w:r w:rsidR="00CB433F" w:rsidRPr="00282AC9">
        <w:rPr>
          <w:rFonts w:ascii="Arial" w:hAnsi="Arial" w:hint="cs"/>
          <w:sz w:val="27"/>
          <w:rtl/>
        </w:rPr>
        <w:t>ٍ</w:t>
      </w:r>
      <w:r w:rsidR="0098597F" w:rsidRPr="00282AC9">
        <w:rPr>
          <w:rFonts w:ascii="Arial" w:hAnsi="Arial" w:hint="cs"/>
          <w:sz w:val="27"/>
          <w:rtl/>
        </w:rPr>
        <w:t xml:space="preserve"> أخرى</w:t>
      </w:r>
      <w:r w:rsidR="0098597F" w:rsidRPr="00282AC9">
        <w:rPr>
          <w:rFonts w:ascii="Arial" w:hAnsi="Arial"/>
          <w:sz w:val="27"/>
          <w:rtl/>
        </w:rPr>
        <w:t>، مم</w:t>
      </w:r>
      <w:r w:rsidR="00CB433F" w:rsidRPr="00282AC9">
        <w:rPr>
          <w:rFonts w:ascii="Arial" w:hAnsi="Arial" w:hint="cs"/>
          <w:sz w:val="27"/>
          <w:rtl/>
        </w:rPr>
        <w:t>ّ</w:t>
      </w:r>
      <w:r w:rsidR="0098597F" w:rsidRPr="00282AC9">
        <w:rPr>
          <w:rFonts w:ascii="Arial" w:hAnsi="Arial"/>
          <w:sz w:val="27"/>
          <w:rtl/>
        </w:rPr>
        <w:t>ا لا يصح</w:t>
      </w:r>
      <w:r w:rsidR="00CB433F" w:rsidRPr="00282AC9">
        <w:rPr>
          <w:rFonts w:ascii="Arial" w:hAnsi="Arial" w:hint="cs"/>
          <w:sz w:val="27"/>
          <w:rtl/>
        </w:rPr>
        <w:t>ّ</w:t>
      </w:r>
      <w:r w:rsidR="0098597F" w:rsidRPr="00282AC9">
        <w:rPr>
          <w:rFonts w:ascii="Arial" w:hAnsi="Arial"/>
          <w:sz w:val="27"/>
          <w:rtl/>
        </w:rPr>
        <w:t xml:space="preserve"> التساهل فيها وتعريضها للمخاطر</w:t>
      </w:r>
      <w:r w:rsidR="00CB433F" w:rsidRPr="00282AC9">
        <w:rPr>
          <w:rFonts w:ascii="Arial" w:hAnsi="Arial" w:hint="cs"/>
          <w:sz w:val="27"/>
          <w:rtl/>
        </w:rPr>
        <w:t>.</w:t>
      </w:r>
      <w:r w:rsidR="0098597F" w:rsidRPr="00282AC9">
        <w:rPr>
          <w:rFonts w:ascii="Arial" w:hAnsi="Arial"/>
          <w:sz w:val="27"/>
          <w:rtl/>
        </w:rPr>
        <w:t xml:space="preserve"> فلا يسوغ وضع</w:t>
      </w:r>
      <w:r w:rsidR="0098597F" w:rsidRPr="00282AC9">
        <w:rPr>
          <w:rFonts w:ascii="Arial" w:hAnsi="Arial" w:hint="cs"/>
          <w:sz w:val="27"/>
          <w:rtl/>
        </w:rPr>
        <w:t>ُ</w:t>
      </w:r>
      <w:r w:rsidR="0098597F" w:rsidRPr="00282AC9">
        <w:rPr>
          <w:rFonts w:ascii="Arial" w:hAnsi="Arial"/>
          <w:sz w:val="27"/>
          <w:rtl/>
        </w:rPr>
        <w:t xml:space="preserve"> الأحاديث ذات الطابع العلاجيّ ـ قبل توثيقها ـ في متناول عام</w:t>
      </w:r>
      <w:r w:rsidR="00CB433F" w:rsidRPr="00282AC9">
        <w:rPr>
          <w:rFonts w:ascii="Arial" w:hAnsi="Arial" w:hint="cs"/>
          <w:sz w:val="27"/>
          <w:rtl/>
        </w:rPr>
        <w:t>ّ</w:t>
      </w:r>
      <w:r w:rsidR="0098597F" w:rsidRPr="00282AC9">
        <w:rPr>
          <w:rFonts w:ascii="Arial" w:hAnsi="Arial"/>
          <w:sz w:val="27"/>
          <w:rtl/>
        </w:rPr>
        <w:t>ة الناس، كوصفات وإرشادات طبيّة منصوص</w:t>
      </w:r>
      <w:r w:rsidR="00CB433F" w:rsidRPr="00282AC9">
        <w:rPr>
          <w:rFonts w:ascii="Arial" w:hAnsi="Arial" w:hint="cs"/>
          <w:sz w:val="27"/>
          <w:rtl/>
        </w:rPr>
        <w:t>ٍ</w:t>
      </w:r>
      <w:r w:rsidR="0098597F" w:rsidRPr="00282AC9">
        <w:rPr>
          <w:rFonts w:ascii="Arial" w:hAnsi="Arial"/>
          <w:sz w:val="27"/>
          <w:rtl/>
        </w:rPr>
        <w:t xml:space="preserve"> عليها، خ</w:t>
      </w:r>
      <w:r w:rsidR="00CB433F" w:rsidRPr="00282AC9">
        <w:rPr>
          <w:rFonts w:ascii="Arial" w:hAnsi="Arial" w:hint="cs"/>
          <w:sz w:val="27"/>
          <w:rtl/>
        </w:rPr>
        <w:t>َ</w:t>
      </w:r>
      <w:r w:rsidR="0098597F" w:rsidRPr="00282AC9">
        <w:rPr>
          <w:rFonts w:ascii="Arial" w:hAnsi="Arial"/>
          <w:sz w:val="27"/>
          <w:rtl/>
        </w:rPr>
        <w:t>و</w:t>
      </w:r>
      <w:r w:rsidR="00CB433F" w:rsidRPr="00282AC9">
        <w:rPr>
          <w:rFonts w:ascii="Arial" w:hAnsi="Arial" w:hint="cs"/>
          <w:sz w:val="27"/>
          <w:rtl/>
        </w:rPr>
        <w:t>ْ</w:t>
      </w:r>
      <w:r w:rsidR="0098597F" w:rsidRPr="00282AC9">
        <w:rPr>
          <w:rFonts w:ascii="Arial" w:hAnsi="Arial"/>
          <w:sz w:val="27"/>
          <w:rtl/>
        </w:rPr>
        <w:t>فاً من آثارها السلبيّة المحتملة</w:t>
      </w:r>
      <w:r w:rsidR="0098597F" w:rsidRPr="00282AC9">
        <w:rPr>
          <w:rFonts w:ascii="Arial" w:hAnsi="Arial" w:hint="cs"/>
          <w:sz w:val="27"/>
          <w:rtl/>
        </w:rPr>
        <w:t xml:space="preserve"> على صح</w:t>
      </w:r>
      <w:r w:rsidR="00CB433F" w:rsidRPr="00282AC9">
        <w:rPr>
          <w:rFonts w:ascii="Arial" w:hAnsi="Arial" w:hint="cs"/>
          <w:sz w:val="27"/>
          <w:rtl/>
        </w:rPr>
        <w:t>ّ</w:t>
      </w:r>
      <w:r w:rsidR="0098597F" w:rsidRPr="00282AC9">
        <w:rPr>
          <w:rFonts w:ascii="Arial" w:hAnsi="Arial" w:hint="cs"/>
          <w:sz w:val="27"/>
          <w:rtl/>
        </w:rPr>
        <w:t>تهم</w:t>
      </w:r>
      <w:r w:rsidR="0098597F" w:rsidRPr="00282AC9">
        <w:rPr>
          <w:rFonts w:ascii="Arial" w:hAnsi="Arial"/>
          <w:sz w:val="27"/>
          <w:rtl/>
        </w:rPr>
        <w:t>.</w:t>
      </w:r>
    </w:p>
    <w:p w:rsidR="0098597F" w:rsidRPr="00282AC9" w:rsidRDefault="00F73315" w:rsidP="004F097E">
      <w:pPr>
        <w:rPr>
          <w:rFonts w:eastAsia="Calibri"/>
        </w:rPr>
      </w:pPr>
      <w:r w:rsidRPr="00282AC9">
        <w:rPr>
          <w:rFonts w:eastAsia="Calibri" w:hint="cs"/>
          <w:b/>
          <w:bCs/>
          <w:rtl/>
        </w:rPr>
        <w:t>3</w:t>
      </w:r>
      <w:r w:rsidR="0098597F" w:rsidRPr="00282AC9">
        <w:rPr>
          <w:rFonts w:eastAsia="Calibri" w:hint="cs"/>
          <w:b/>
          <w:bCs/>
          <w:rtl/>
        </w:rPr>
        <w:t>ـ شرعنة السلوكيات المشوِّهة لصورة المذهب</w:t>
      </w:r>
      <w:r w:rsidR="0098597F" w:rsidRPr="00282AC9">
        <w:rPr>
          <w:rFonts w:eastAsia="Calibri" w:hint="cs"/>
          <w:rtl/>
        </w:rPr>
        <w:t>: فقد أفتى بعض</w:t>
      </w:r>
      <w:r w:rsidR="00CB433F" w:rsidRPr="00282AC9">
        <w:rPr>
          <w:rFonts w:eastAsia="Calibri" w:hint="cs"/>
          <w:rtl/>
        </w:rPr>
        <w:t>ٌ</w:t>
      </w:r>
      <w:r w:rsidR="0098597F" w:rsidRPr="00282AC9">
        <w:rPr>
          <w:rFonts w:eastAsia="Calibri" w:hint="cs"/>
          <w:rtl/>
        </w:rPr>
        <w:t xml:space="preserve"> باستحباب ممارسة التطبير</w:t>
      </w:r>
      <w:r w:rsidR="00CB433F" w:rsidRPr="00282AC9">
        <w:rPr>
          <w:rFonts w:eastAsia="Calibri" w:hint="cs"/>
          <w:rtl/>
        </w:rPr>
        <w:t>،</w:t>
      </w:r>
      <w:r w:rsidR="0098597F" w:rsidRPr="00282AC9">
        <w:rPr>
          <w:rFonts w:eastAsia="Calibri" w:hint="cs"/>
          <w:rtl/>
        </w:rPr>
        <w:t xml:space="preserve"> والذي ي</w:t>
      </w:r>
      <w:r w:rsidR="00CB433F" w:rsidRPr="00282AC9">
        <w:rPr>
          <w:rFonts w:eastAsia="Calibri" w:hint="cs"/>
          <w:rtl/>
        </w:rPr>
        <w:t>ُ</w:t>
      </w:r>
      <w:r w:rsidR="0098597F" w:rsidRPr="00282AC9">
        <w:rPr>
          <w:rFonts w:eastAsia="Calibri" w:hint="cs"/>
          <w:rtl/>
        </w:rPr>
        <w:t>ق</w:t>
      </w:r>
      <w:r w:rsidR="00CB433F" w:rsidRPr="00282AC9">
        <w:rPr>
          <w:rFonts w:eastAsia="Calibri" w:hint="cs"/>
          <w:rtl/>
        </w:rPr>
        <w:t>ْ</w:t>
      </w:r>
      <w:r w:rsidR="0098597F" w:rsidRPr="00282AC9">
        <w:rPr>
          <w:rFonts w:eastAsia="Calibri" w:hint="cs"/>
          <w:rtl/>
        </w:rPr>
        <w:t>د</w:t>
      </w:r>
      <w:r w:rsidR="00CB433F" w:rsidRPr="00282AC9">
        <w:rPr>
          <w:rFonts w:eastAsia="Calibri" w:hint="cs"/>
          <w:rtl/>
        </w:rPr>
        <w:t>ِ</w:t>
      </w:r>
      <w:r w:rsidR="0098597F" w:rsidRPr="00282AC9">
        <w:rPr>
          <w:rFonts w:eastAsia="Calibri" w:hint="cs"/>
          <w:rtl/>
        </w:rPr>
        <w:t>م بعض</w:t>
      </w:r>
      <w:r w:rsidR="00CB433F" w:rsidRPr="00282AC9">
        <w:rPr>
          <w:rFonts w:eastAsia="Calibri" w:hint="cs"/>
          <w:rtl/>
        </w:rPr>
        <w:t>ٌ</w:t>
      </w:r>
      <w:r w:rsidR="0098597F" w:rsidRPr="00282AC9">
        <w:rPr>
          <w:rFonts w:eastAsia="Calibri" w:hint="cs"/>
          <w:rtl/>
        </w:rPr>
        <w:t xml:space="preserve"> عليه في أيام عاشوراء</w:t>
      </w:r>
      <w:r w:rsidR="00CB433F" w:rsidRPr="00282AC9">
        <w:rPr>
          <w:rFonts w:eastAsia="Calibri" w:hint="cs"/>
          <w:rtl/>
        </w:rPr>
        <w:t>؛</w:t>
      </w:r>
      <w:r w:rsidR="0098597F" w:rsidRPr="00282AC9">
        <w:rPr>
          <w:rFonts w:eastAsia="Calibri" w:hint="cs"/>
          <w:rtl/>
        </w:rPr>
        <w:t xml:space="preserve"> لورود خبر</w:t>
      </w:r>
      <w:r w:rsidR="00CB433F" w:rsidRPr="00282AC9">
        <w:rPr>
          <w:rFonts w:eastAsia="Calibri" w:hint="cs"/>
          <w:rtl/>
        </w:rPr>
        <w:t>ٍ</w:t>
      </w:r>
      <w:r w:rsidR="0098597F" w:rsidRPr="00282AC9">
        <w:rPr>
          <w:rFonts w:eastAsia="Calibri" w:hint="cs"/>
          <w:rtl/>
        </w:rPr>
        <w:t xml:space="preserve"> مرسل ينصّ على أنّ السيدة زينب</w:t>
      </w:r>
      <w:r w:rsidR="009A2A04" w:rsidRPr="00282AC9">
        <w:rPr>
          <w:rFonts w:ascii="Mosawi" w:hAnsi="Mosawi" w:cs="Mosawi" w:hint="cs"/>
          <w:sz w:val="22"/>
          <w:szCs w:val="22"/>
          <w:rtl/>
        </w:rPr>
        <w:t>÷</w:t>
      </w:r>
      <w:r w:rsidR="0098597F" w:rsidRPr="00282AC9">
        <w:rPr>
          <w:rFonts w:eastAsia="Calibri" w:hint="cs"/>
          <w:rtl/>
        </w:rPr>
        <w:t xml:space="preserve"> نطحت رأسها بمقدم المحمل</w:t>
      </w:r>
      <w:r w:rsidR="00CB433F" w:rsidRPr="00282AC9">
        <w:rPr>
          <w:rFonts w:eastAsia="Calibri" w:hint="cs"/>
          <w:rtl/>
        </w:rPr>
        <w:t>،</w:t>
      </w:r>
      <w:r w:rsidR="0098597F" w:rsidRPr="00282AC9">
        <w:rPr>
          <w:rFonts w:eastAsia="Calibri" w:hint="cs"/>
          <w:rtl/>
        </w:rPr>
        <w:t xml:space="preserve"> حت</w:t>
      </w:r>
      <w:r w:rsidR="00CB433F" w:rsidRPr="00282AC9">
        <w:rPr>
          <w:rFonts w:eastAsia="Calibri" w:hint="cs"/>
          <w:rtl/>
        </w:rPr>
        <w:t>ّ</w:t>
      </w:r>
      <w:r w:rsidR="0098597F" w:rsidRPr="00282AC9">
        <w:rPr>
          <w:rFonts w:eastAsia="Calibri" w:hint="cs"/>
          <w:rtl/>
        </w:rPr>
        <w:t>ى سال الدم من تحت القناع</w:t>
      </w:r>
      <w:r w:rsidR="0098597F" w:rsidRPr="00282AC9">
        <w:rPr>
          <w:rFonts w:eastAsia="Calibri"/>
          <w:vertAlign w:val="superscript"/>
          <w:rtl/>
        </w:rPr>
        <w:t>(</w:t>
      </w:r>
      <w:r w:rsidR="0098597F" w:rsidRPr="00282AC9">
        <w:rPr>
          <w:rFonts w:eastAsia="Calibri"/>
          <w:vertAlign w:val="superscript"/>
          <w:rtl/>
        </w:rPr>
        <w:endnoteReference w:id="201"/>
      </w:r>
      <w:r w:rsidR="0098597F" w:rsidRPr="00282AC9">
        <w:rPr>
          <w:rFonts w:eastAsia="Calibri"/>
          <w:vertAlign w:val="superscript"/>
          <w:rtl/>
        </w:rPr>
        <w:t>)</w:t>
      </w:r>
      <w:r w:rsidR="0098597F" w:rsidRPr="00282AC9">
        <w:rPr>
          <w:rFonts w:eastAsia="Calibri"/>
          <w:rtl/>
        </w:rPr>
        <w:t>.</w:t>
      </w:r>
      <w:r w:rsidR="0098597F" w:rsidRPr="00282AC9">
        <w:rPr>
          <w:rFonts w:eastAsia="Calibri" w:hint="cs"/>
          <w:rtl/>
        </w:rPr>
        <w:t xml:space="preserve"> و</w:t>
      </w:r>
      <w:r w:rsidR="00CB433F" w:rsidRPr="00282AC9">
        <w:rPr>
          <w:rFonts w:eastAsia="Calibri" w:hint="cs"/>
          <w:rtl/>
        </w:rPr>
        <w:t xml:space="preserve">مع كون </w:t>
      </w:r>
      <w:r w:rsidR="0098597F" w:rsidRPr="00282AC9">
        <w:rPr>
          <w:rFonts w:eastAsia="Calibri" w:hint="cs"/>
          <w:rtl/>
        </w:rPr>
        <w:t>الخبر ضعيفاً فإنّ البعض استند إليه في الإفتاء باستحباب التطبير</w:t>
      </w:r>
      <w:r w:rsidR="00CB433F" w:rsidRPr="00282AC9">
        <w:rPr>
          <w:rFonts w:eastAsia="Calibri" w:hint="cs"/>
          <w:rtl/>
        </w:rPr>
        <w:t>؛</w:t>
      </w:r>
      <w:r w:rsidR="0098597F" w:rsidRPr="00282AC9">
        <w:rPr>
          <w:rFonts w:eastAsia="Calibri" w:hint="cs"/>
          <w:rtl/>
        </w:rPr>
        <w:t xml:space="preserve"> للتسامح في أدلة الس</w:t>
      </w:r>
      <w:r w:rsidR="00CB433F" w:rsidRPr="00282AC9">
        <w:rPr>
          <w:rFonts w:eastAsia="Calibri" w:hint="cs"/>
          <w:rtl/>
        </w:rPr>
        <w:t>ُّ</w:t>
      </w:r>
      <w:r w:rsidR="0098597F" w:rsidRPr="00282AC9">
        <w:rPr>
          <w:rFonts w:eastAsia="Calibri" w:hint="cs"/>
          <w:rtl/>
        </w:rPr>
        <w:t>ن</w:t>
      </w:r>
      <w:r w:rsidR="00CB433F" w:rsidRPr="00282AC9">
        <w:rPr>
          <w:rFonts w:eastAsia="Calibri" w:hint="cs"/>
          <w:rtl/>
        </w:rPr>
        <w:t>َ</w:t>
      </w:r>
      <w:r w:rsidR="0098597F" w:rsidRPr="00282AC9">
        <w:rPr>
          <w:rFonts w:eastAsia="Calibri" w:hint="cs"/>
          <w:rtl/>
        </w:rPr>
        <w:t>ن، مع أنّ هذه الممارسة العام</w:t>
      </w:r>
      <w:r w:rsidR="00CB433F" w:rsidRPr="00282AC9">
        <w:rPr>
          <w:rFonts w:eastAsia="Calibri" w:hint="cs"/>
          <w:rtl/>
        </w:rPr>
        <w:t>ّ</w:t>
      </w:r>
      <w:r w:rsidR="0098597F" w:rsidRPr="00282AC9">
        <w:rPr>
          <w:rFonts w:eastAsia="Calibri" w:hint="cs"/>
          <w:rtl/>
        </w:rPr>
        <w:t>ة تعطي انطباعاً سلبي</w:t>
      </w:r>
      <w:r w:rsidR="00CB433F" w:rsidRPr="00282AC9">
        <w:rPr>
          <w:rFonts w:eastAsia="Calibri" w:hint="cs"/>
          <w:rtl/>
        </w:rPr>
        <w:t>ّ</w:t>
      </w:r>
      <w:r w:rsidR="0098597F" w:rsidRPr="00282AC9">
        <w:rPr>
          <w:rFonts w:eastAsia="Calibri" w:hint="cs"/>
          <w:rtl/>
        </w:rPr>
        <w:t>اً عن المذهب، كما أوض</w:t>
      </w:r>
      <w:r w:rsidR="00CB433F" w:rsidRPr="00282AC9">
        <w:rPr>
          <w:rFonts w:eastAsia="Calibri" w:hint="cs"/>
          <w:rtl/>
        </w:rPr>
        <w:t>َحْ</w:t>
      </w:r>
      <w:r w:rsidR="0098597F" w:rsidRPr="00282AC9">
        <w:rPr>
          <w:rFonts w:eastAsia="Calibri" w:hint="cs"/>
          <w:rtl/>
        </w:rPr>
        <w:t xml:space="preserve">نا ذلك في كتاب </w:t>
      </w:r>
      <w:r w:rsidR="00CB433F" w:rsidRPr="00282AC9">
        <w:rPr>
          <w:rFonts w:eastAsia="Calibri" w:hint="cs"/>
          <w:rtl/>
        </w:rPr>
        <w:t>(</w:t>
      </w:r>
      <w:r w:rsidR="0098597F" w:rsidRPr="00282AC9">
        <w:rPr>
          <w:rFonts w:eastAsia="Calibri" w:hint="cs"/>
          <w:rtl/>
        </w:rPr>
        <w:t>فقه الشعائر</w:t>
      </w:r>
      <w:r w:rsidR="00CB433F" w:rsidRPr="00282AC9">
        <w:rPr>
          <w:rFonts w:eastAsia="Calibri" w:hint="cs"/>
          <w:rtl/>
        </w:rPr>
        <w:t>)</w:t>
      </w:r>
      <w:r w:rsidR="0098597F" w:rsidRPr="00282AC9">
        <w:rPr>
          <w:rFonts w:eastAsia="Calibri" w:hint="cs"/>
          <w:rtl/>
        </w:rPr>
        <w:t xml:space="preserve">. </w:t>
      </w:r>
    </w:p>
    <w:p w:rsidR="0098597F" w:rsidRPr="00282AC9" w:rsidRDefault="00F73315" w:rsidP="004F097E">
      <w:pPr>
        <w:rPr>
          <w:rFonts w:eastAsia="Calibri"/>
          <w:rtl/>
        </w:rPr>
      </w:pPr>
      <w:r w:rsidRPr="00282AC9">
        <w:rPr>
          <w:rFonts w:eastAsia="Calibri" w:hint="cs"/>
          <w:b/>
          <w:bCs/>
          <w:rtl/>
        </w:rPr>
        <w:t>4</w:t>
      </w:r>
      <w:r w:rsidR="0098597F" w:rsidRPr="00282AC9">
        <w:rPr>
          <w:rFonts w:eastAsia="Calibri" w:hint="cs"/>
          <w:b/>
          <w:bCs/>
          <w:rtl/>
        </w:rPr>
        <w:t>ـ نحوسة الأي</w:t>
      </w:r>
      <w:r w:rsidR="00CB433F" w:rsidRPr="00282AC9">
        <w:rPr>
          <w:rFonts w:eastAsia="Calibri" w:hint="cs"/>
          <w:b/>
          <w:bCs/>
          <w:rtl/>
        </w:rPr>
        <w:t>ّ</w:t>
      </w:r>
      <w:r w:rsidR="0098597F" w:rsidRPr="00282AC9">
        <w:rPr>
          <w:rFonts w:eastAsia="Calibri" w:hint="cs"/>
          <w:b/>
          <w:bCs/>
          <w:rtl/>
        </w:rPr>
        <w:t>ام</w:t>
      </w:r>
      <w:r w:rsidR="0098597F" w:rsidRPr="00282AC9">
        <w:rPr>
          <w:rFonts w:eastAsia="Calibri" w:hint="cs"/>
          <w:rtl/>
        </w:rPr>
        <w:t>: لو أننا أخذ</w:t>
      </w:r>
      <w:r w:rsidR="00CB433F" w:rsidRPr="00282AC9">
        <w:rPr>
          <w:rFonts w:eastAsia="Calibri" w:hint="cs"/>
          <w:rtl/>
        </w:rPr>
        <w:t>نا</w:t>
      </w:r>
      <w:r w:rsidR="0098597F" w:rsidRPr="00282AC9">
        <w:rPr>
          <w:rFonts w:eastAsia="Calibri" w:hint="cs"/>
          <w:rtl/>
        </w:rPr>
        <w:t xml:space="preserve"> بعين الاعتبار الفتاوى المشهورة التي تقول بكراهة الزواج والقمر في برج العقرب، وكراهة إيقاع العقد يوم الأربعاء،</w:t>
      </w:r>
      <w:r w:rsidR="0098597F" w:rsidRPr="00282AC9">
        <w:rPr>
          <w:rFonts w:eastAsia="Calibri"/>
          <w:rtl/>
        </w:rPr>
        <w:t xml:space="preserve"> </w:t>
      </w:r>
      <w:r w:rsidR="0098597F" w:rsidRPr="00282AC9">
        <w:rPr>
          <w:rFonts w:eastAsia="Calibri" w:hint="cs"/>
          <w:rtl/>
        </w:rPr>
        <w:t xml:space="preserve">أو </w:t>
      </w:r>
      <w:r w:rsidR="0098597F" w:rsidRPr="00282AC9">
        <w:rPr>
          <w:rFonts w:eastAsia="Calibri"/>
          <w:rtl/>
        </w:rPr>
        <w:t>إيقاعه في أحد الأيّام المنحوسة في الشهر</w:t>
      </w:r>
      <w:r w:rsidR="00C13D0C" w:rsidRPr="00282AC9">
        <w:rPr>
          <w:rFonts w:eastAsia="Calibri" w:hint="cs"/>
          <w:rtl/>
        </w:rPr>
        <w:t>،</w:t>
      </w:r>
      <w:r w:rsidR="0098597F" w:rsidRPr="00282AC9">
        <w:rPr>
          <w:rFonts w:eastAsia="Calibri"/>
          <w:rtl/>
        </w:rPr>
        <w:t xml:space="preserve"> وهي الثالث</w:t>
      </w:r>
      <w:r w:rsidR="00C13D0C" w:rsidRPr="00282AC9">
        <w:rPr>
          <w:rFonts w:eastAsia="Calibri" w:hint="cs"/>
          <w:rtl/>
        </w:rPr>
        <w:t>،</w:t>
      </w:r>
      <w:r w:rsidR="0098597F" w:rsidRPr="00282AC9">
        <w:rPr>
          <w:rFonts w:eastAsia="Calibri"/>
          <w:rtl/>
        </w:rPr>
        <w:t xml:space="preserve"> والخامس، والثالث عشر، والسادس عشر، والحادي والعشرون، والرابع والعشرون</w:t>
      </w:r>
      <w:r w:rsidR="00C13D0C" w:rsidRPr="00282AC9">
        <w:rPr>
          <w:rFonts w:eastAsia="Calibri" w:hint="cs"/>
          <w:rtl/>
        </w:rPr>
        <w:t>،</w:t>
      </w:r>
      <w:r w:rsidR="0098597F" w:rsidRPr="00282AC9">
        <w:rPr>
          <w:rFonts w:eastAsia="Calibri"/>
          <w:rtl/>
        </w:rPr>
        <w:t xml:space="preserve"> والخامس والعشرون</w:t>
      </w:r>
      <w:r w:rsidR="00C13D0C" w:rsidRPr="00282AC9">
        <w:rPr>
          <w:rFonts w:eastAsia="Calibri" w:hint="cs"/>
          <w:rtl/>
        </w:rPr>
        <w:t>،</w:t>
      </w:r>
      <w:r w:rsidR="0098597F" w:rsidRPr="00282AC9">
        <w:rPr>
          <w:rFonts w:eastAsia="Calibri" w:hint="cs"/>
          <w:rtl/>
        </w:rPr>
        <w:t xml:space="preserve"> أو كراهة </w:t>
      </w:r>
      <w:r w:rsidR="0098597F" w:rsidRPr="00282AC9">
        <w:rPr>
          <w:rFonts w:eastAsia="Calibri"/>
          <w:rtl/>
        </w:rPr>
        <w:t>إيقاعه في محاق الشهر</w:t>
      </w:r>
      <w:r w:rsidR="00C13D0C" w:rsidRPr="00282AC9">
        <w:rPr>
          <w:rFonts w:eastAsia="Calibri" w:hint="cs"/>
          <w:rtl/>
        </w:rPr>
        <w:t>،</w:t>
      </w:r>
      <w:r w:rsidR="0098597F" w:rsidRPr="00282AC9">
        <w:rPr>
          <w:rFonts w:eastAsia="Calibri"/>
          <w:rtl/>
        </w:rPr>
        <w:t xml:space="preserve"> وهو الليلتان أو الثلاث من آخر الشهر</w:t>
      </w:r>
      <w:r w:rsidR="0098597F" w:rsidRPr="00282AC9">
        <w:rPr>
          <w:rFonts w:eastAsia="Calibri"/>
          <w:vertAlign w:val="superscript"/>
          <w:rtl/>
        </w:rPr>
        <w:t>(</w:t>
      </w:r>
      <w:r w:rsidR="0098597F" w:rsidRPr="00282AC9">
        <w:rPr>
          <w:rFonts w:eastAsia="Calibri"/>
          <w:vertAlign w:val="superscript"/>
          <w:rtl/>
        </w:rPr>
        <w:endnoteReference w:id="202"/>
      </w:r>
      <w:r w:rsidR="0098597F" w:rsidRPr="00282AC9">
        <w:rPr>
          <w:rFonts w:eastAsia="Calibri"/>
          <w:vertAlign w:val="superscript"/>
          <w:rtl/>
        </w:rPr>
        <w:t>)</w:t>
      </w:r>
      <w:r w:rsidR="00C13D0C" w:rsidRPr="00282AC9">
        <w:rPr>
          <w:rFonts w:eastAsia="Calibri" w:hint="cs"/>
          <w:rtl/>
        </w:rPr>
        <w:t>،</w:t>
      </w:r>
      <w:r w:rsidR="0098597F" w:rsidRPr="00282AC9">
        <w:rPr>
          <w:rFonts w:eastAsia="Calibri" w:hint="cs"/>
          <w:rtl/>
        </w:rPr>
        <w:t xml:space="preserve"> </w:t>
      </w:r>
      <w:r w:rsidR="00C13D0C" w:rsidRPr="00282AC9">
        <w:rPr>
          <w:rFonts w:eastAsia="Calibri" w:hint="cs"/>
          <w:rtl/>
        </w:rPr>
        <w:t>و</w:t>
      </w:r>
      <w:r w:rsidR="0098597F" w:rsidRPr="00282AC9">
        <w:rPr>
          <w:rFonts w:eastAsia="Calibri" w:hint="cs"/>
          <w:rtl/>
        </w:rPr>
        <w:t>هي فتاوى تمّ بناؤها على قاعدة التسامح، فإنّ هذا يعطي تصو</w:t>
      </w:r>
      <w:r w:rsidR="00C13D0C" w:rsidRPr="00282AC9">
        <w:rPr>
          <w:rFonts w:eastAsia="Calibri" w:hint="cs"/>
          <w:rtl/>
        </w:rPr>
        <w:t>ُّ</w:t>
      </w:r>
      <w:r w:rsidR="0098597F" w:rsidRPr="00282AC9">
        <w:rPr>
          <w:rFonts w:eastAsia="Calibri" w:hint="cs"/>
          <w:rtl/>
        </w:rPr>
        <w:t>راً حس</w:t>
      </w:r>
      <w:r w:rsidR="00C13D0C" w:rsidRPr="00282AC9">
        <w:rPr>
          <w:rFonts w:eastAsia="Calibri" w:hint="cs"/>
          <w:rtl/>
        </w:rPr>
        <w:t>ّ</w:t>
      </w:r>
      <w:r w:rsidR="0098597F" w:rsidRPr="00282AC9">
        <w:rPr>
          <w:rFonts w:eastAsia="Calibri" w:hint="cs"/>
          <w:rtl/>
        </w:rPr>
        <w:t>اساً عن نظرة الإسلام للزمن، وانقسامه إلى</w:t>
      </w:r>
      <w:r w:rsidR="00C13D0C" w:rsidRPr="00282AC9">
        <w:rPr>
          <w:rFonts w:eastAsia="Calibri" w:hint="cs"/>
          <w:rtl/>
        </w:rPr>
        <w:t>:</w:t>
      </w:r>
      <w:r w:rsidR="0098597F" w:rsidRPr="00282AC9">
        <w:rPr>
          <w:rFonts w:eastAsia="Calibri" w:hint="cs"/>
          <w:rtl/>
        </w:rPr>
        <w:t xml:space="preserve"> أيام سعد</w:t>
      </w:r>
      <w:r w:rsidR="00C13D0C" w:rsidRPr="00282AC9">
        <w:rPr>
          <w:rFonts w:eastAsia="Calibri" w:hint="cs"/>
          <w:rtl/>
        </w:rPr>
        <w:t>؛</w:t>
      </w:r>
      <w:r w:rsidR="0098597F" w:rsidRPr="00282AC9">
        <w:rPr>
          <w:rFonts w:eastAsia="Calibri" w:hint="cs"/>
          <w:rtl/>
        </w:rPr>
        <w:t xml:space="preserve"> وأيام نحس</w:t>
      </w:r>
      <w:r w:rsidR="00C13D0C" w:rsidRPr="00282AC9">
        <w:rPr>
          <w:rFonts w:eastAsia="Calibri" w:hint="cs"/>
          <w:rtl/>
        </w:rPr>
        <w:t>.</w:t>
      </w:r>
      <w:r w:rsidR="0098597F" w:rsidRPr="00282AC9">
        <w:rPr>
          <w:rFonts w:eastAsia="Calibri" w:hint="cs"/>
          <w:rtl/>
        </w:rPr>
        <w:t xml:space="preserve"> أيعقل أن نقد</w:t>
      </w:r>
      <w:r w:rsidR="00C13D0C" w:rsidRPr="00282AC9">
        <w:rPr>
          <w:rFonts w:eastAsia="Calibri" w:hint="cs"/>
          <w:rtl/>
        </w:rPr>
        <w:t>ِّ</w:t>
      </w:r>
      <w:r w:rsidR="0098597F" w:rsidRPr="00282AC9">
        <w:rPr>
          <w:rFonts w:eastAsia="Calibri" w:hint="cs"/>
          <w:rtl/>
        </w:rPr>
        <w:t>م تصو</w:t>
      </w:r>
      <w:r w:rsidR="00C13D0C" w:rsidRPr="00282AC9">
        <w:rPr>
          <w:rFonts w:eastAsia="Calibri" w:hint="cs"/>
          <w:rtl/>
        </w:rPr>
        <w:t>ُّ</w:t>
      </w:r>
      <w:r w:rsidR="0098597F" w:rsidRPr="00282AC9">
        <w:rPr>
          <w:rFonts w:eastAsia="Calibri" w:hint="cs"/>
          <w:rtl/>
        </w:rPr>
        <w:t xml:space="preserve">راً عن نحوسة الأيام استناداً </w:t>
      </w:r>
      <w:r w:rsidR="0098597F" w:rsidRPr="00282AC9">
        <w:rPr>
          <w:rFonts w:eastAsia="Calibri" w:hint="cs"/>
          <w:rtl/>
        </w:rPr>
        <w:lastRenderedPageBreak/>
        <w:t>إلى أخبار</w:t>
      </w:r>
      <w:r w:rsidR="00C13D0C" w:rsidRPr="00282AC9">
        <w:rPr>
          <w:rFonts w:eastAsia="Calibri" w:hint="cs"/>
          <w:rtl/>
        </w:rPr>
        <w:t>ٍ</w:t>
      </w:r>
      <w:r w:rsidR="0098597F" w:rsidRPr="00282AC9">
        <w:rPr>
          <w:rFonts w:eastAsia="Calibri" w:hint="cs"/>
          <w:rtl/>
        </w:rPr>
        <w:t xml:space="preserve"> ضعيفة</w:t>
      </w:r>
      <w:r w:rsidR="00C13D0C" w:rsidRPr="00282AC9">
        <w:rPr>
          <w:rFonts w:eastAsia="Calibri" w:hint="cs"/>
          <w:rtl/>
        </w:rPr>
        <w:t>ٍ</w:t>
      </w:r>
      <w:r w:rsidR="0098597F" w:rsidRPr="00282AC9">
        <w:rPr>
          <w:rFonts w:eastAsia="Calibri" w:hint="cs"/>
          <w:rtl/>
        </w:rPr>
        <w:t xml:space="preserve"> واهية؟ إنّ هذا أمر</w:t>
      </w:r>
      <w:r w:rsidR="00C13D0C" w:rsidRPr="00282AC9">
        <w:rPr>
          <w:rFonts w:eastAsia="Calibri" w:hint="cs"/>
          <w:rtl/>
        </w:rPr>
        <w:t>ٌ</w:t>
      </w:r>
      <w:r w:rsidR="0098597F" w:rsidRPr="00282AC9">
        <w:rPr>
          <w:rFonts w:eastAsia="Calibri" w:hint="cs"/>
          <w:rtl/>
        </w:rPr>
        <w:t xml:space="preserve"> في غاية الغرابة! إننا نرفض فكرة نحوسة الأيام</w:t>
      </w:r>
      <w:r w:rsidR="00C13D0C" w:rsidRPr="00282AC9">
        <w:rPr>
          <w:rFonts w:eastAsia="Calibri" w:hint="cs"/>
          <w:rtl/>
        </w:rPr>
        <w:t>،</w:t>
      </w:r>
      <w:r w:rsidR="0098597F" w:rsidRPr="00282AC9">
        <w:rPr>
          <w:rFonts w:eastAsia="Calibri" w:hint="cs"/>
          <w:rtl/>
        </w:rPr>
        <w:t xml:space="preserve"> كما أوضحنا ذلك في بعض ما كتبناه</w:t>
      </w:r>
      <w:r w:rsidR="0098597F" w:rsidRPr="00282AC9">
        <w:rPr>
          <w:rFonts w:eastAsia="Calibri"/>
          <w:vertAlign w:val="superscript"/>
          <w:rtl/>
        </w:rPr>
        <w:t>(</w:t>
      </w:r>
      <w:r w:rsidR="0098597F" w:rsidRPr="00282AC9">
        <w:rPr>
          <w:rFonts w:eastAsia="Calibri"/>
          <w:vertAlign w:val="superscript"/>
          <w:rtl/>
        </w:rPr>
        <w:endnoteReference w:id="203"/>
      </w:r>
      <w:r w:rsidR="0098597F" w:rsidRPr="00282AC9">
        <w:rPr>
          <w:rFonts w:eastAsia="Calibri"/>
          <w:vertAlign w:val="superscript"/>
          <w:rtl/>
        </w:rPr>
        <w:t>)</w:t>
      </w:r>
      <w:r w:rsidR="0098597F" w:rsidRPr="00282AC9">
        <w:rPr>
          <w:rFonts w:eastAsia="Calibri" w:hint="cs"/>
          <w:rtl/>
        </w:rPr>
        <w:t>.</w:t>
      </w:r>
    </w:p>
    <w:p w:rsidR="00F73315" w:rsidRPr="00282AC9" w:rsidRDefault="00F73315" w:rsidP="00106AA7">
      <w:pPr>
        <w:spacing w:line="430" w:lineRule="exact"/>
        <w:rPr>
          <w:rFonts w:eastAsia="Calibri"/>
        </w:rPr>
      </w:pPr>
    </w:p>
    <w:p w:rsidR="00F73315" w:rsidRPr="00282AC9" w:rsidRDefault="00F73315" w:rsidP="00F73315">
      <w:pPr>
        <w:pStyle w:val="31"/>
        <w:rPr>
          <w:color w:val="auto"/>
          <w:rtl/>
        </w:rPr>
      </w:pPr>
      <w:r w:rsidRPr="00282AC9">
        <w:rPr>
          <w:rFonts w:hint="cs"/>
          <w:color w:val="auto"/>
          <w:rtl/>
        </w:rPr>
        <w:t xml:space="preserve">ج </w:t>
      </w:r>
      <w:r w:rsidR="0098597F" w:rsidRPr="00282AC9">
        <w:rPr>
          <w:rFonts w:hint="cs"/>
          <w:color w:val="auto"/>
          <w:rtl/>
        </w:rPr>
        <w:t>ـ التزهيد بالواجبات</w:t>
      </w:r>
    </w:p>
    <w:p w:rsidR="0098597F" w:rsidRPr="00282AC9" w:rsidRDefault="0098597F" w:rsidP="004F097E">
      <w:pPr>
        <w:rPr>
          <w:rFonts w:eastAsia="Calibri"/>
          <w:rtl/>
        </w:rPr>
      </w:pPr>
      <w:r w:rsidRPr="00282AC9">
        <w:rPr>
          <w:rtl/>
        </w:rPr>
        <w:t>إن</w:t>
      </w:r>
      <w:r w:rsidRPr="00282AC9">
        <w:rPr>
          <w:rFonts w:hint="cs"/>
          <w:rtl/>
        </w:rPr>
        <w:t>ّ</w:t>
      </w:r>
      <w:r w:rsidRPr="00282AC9">
        <w:rPr>
          <w:rtl/>
        </w:rPr>
        <w:t xml:space="preserve"> الالتزام بقاعدة التسامح</w:t>
      </w:r>
      <w:r w:rsidR="00C13D0C" w:rsidRPr="00282AC9">
        <w:rPr>
          <w:rFonts w:hint="cs"/>
          <w:rtl/>
        </w:rPr>
        <w:t>،</w:t>
      </w:r>
      <w:r w:rsidRPr="00282AC9">
        <w:rPr>
          <w:rtl/>
        </w:rPr>
        <w:t xml:space="preserve"> وإضفاء الشرعي</w:t>
      </w:r>
      <w:r w:rsidRPr="00282AC9">
        <w:rPr>
          <w:rFonts w:hint="cs"/>
          <w:rtl/>
        </w:rPr>
        <w:t>ّ</w:t>
      </w:r>
      <w:r w:rsidRPr="00282AC9">
        <w:rPr>
          <w:rtl/>
        </w:rPr>
        <w:t>ة على العمل العبادي</w:t>
      </w:r>
      <w:r w:rsidR="00C13D0C" w:rsidRPr="00282AC9">
        <w:rPr>
          <w:rFonts w:hint="cs"/>
          <w:rtl/>
        </w:rPr>
        <w:t>ّ</w:t>
      </w:r>
      <w:r w:rsidRPr="00282AC9">
        <w:rPr>
          <w:rtl/>
        </w:rPr>
        <w:t xml:space="preserve"> استناداً إليها، سوف يؤد</w:t>
      </w:r>
      <w:r w:rsidR="00C13D0C" w:rsidRPr="00282AC9">
        <w:rPr>
          <w:rFonts w:hint="cs"/>
          <w:rtl/>
        </w:rPr>
        <w:t>ّ</w:t>
      </w:r>
      <w:r w:rsidRPr="00282AC9">
        <w:rPr>
          <w:rtl/>
        </w:rPr>
        <w:t>ي إلى حالة</w:t>
      </w:r>
      <w:r w:rsidR="00C13D0C" w:rsidRPr="00282AC9">
        <w:rPr>
          <w:rFonts w:hint="cs"/>
          <w:rtl/>
        </w:rPr>
        <w:t>ٍ</w:t>
      </w:r>
      <w:r w:rsidRPr="00282AC9">
        <w:rPr>
          <w:rtl/>
        </w:rPr>
        <w:t xml:space="preserve"> من الارتخاء لدى الكثير من المؤمنين</w:t>
      </w:r>
      <w:r w:rsidRPr="00282AC9">
        <w:rPr>
          <w:rFonts w:hint="cs"/>
          <w:rtl/>
        </w:rPr>
        <w:t>،</w:t>
      </w:r>
      <w:r w:rsidRPr="00282AC9">
        <w:rPr>
          <w:rtl/>
        </w:rPr>
        <w:t xml:space="preserve"> فتضعف هم</w:t>
      </w:r>
      <w:r w:rsidR="00C13D0C" w:rsidRPr="00282AC9">
        <w:rPr>
          <w:rFonts w:hint="cs"/>
          <w:rtl/>
        </w:rPr>
        <w:t>ّ</w:t>
      </w:r>
      <w:r w:rsidRPr="00282AC9">
        <w:rPr>
          <w:rtl/>
        </w:rPr>
        <w:t xml:space="preserve">تهم عن </w:t>
      </w:r>
      <w:r w:rsidRPr="00282AC9">
        <w:rPr>
          <w:rFonts w:hint="cs"/>
          <w:rtl/>
        </w:rPr>
        <w:t>تهذيب النفس ومجاهدتها</w:t>
      </w:r>
      <w:r w:rsidR="00C13D0C" w:rsidRPr="00282AC9">
        <w:rPr>
          <w:rFonts w:hint="cs"/>
          <w:rtl/>
        </w:rPr>
        <w:t>،</w:t>
      </w:r>
      <w:r w:rsidRPr="00282AC9">
        <w:rPr>
          <w:rFonts w:hint="cs"/>
          <w:rtl/>
        </w:rPr>
        <w:t xml:space="preserve"> وعن </w:t>
      </w:r>
      <w:r w:rsidRPr="00282AC9">
        <w:rPr>
          <w:rtl/>
        </w:rPr>
        <w:t>القيام بالمسؤوليات الديني</w:t>
      </w:r>
      <w:r w:rsidRPr="00282AC9">
        <w:rPr>
          <w:rFonts w:hint="cs"/>
          <w:rtl/>
        </w:rPr>
        <w:t>ّ</w:t>
      </w:r>
      <w:r w:rsidRPr="00282AC9">
        <w:rPr>
          <w:rtl/>
        </w:rPr>
        <w:t>ة الأساسي</w:t>
      </w:r>
      <w:r w:rsidRPr="00282AC9">
        <w:rPr>
          <w:rFonts w:hint="cs"/>
          <w:rtl/>
        </w:rPr>
        <w:t>ّ</w:t>
      </w:r>
      <w:r w:rsidRPr="00282AC9">
        <w:rPr>
          <w:rtl/>
        </w:rPr>
        <w:t>ة والمهام</w:t>
      </w:r>
      <w:r w:rsidR="00C13D0C" w:rsidRPr="00282AC9">
        <w:rPr>
          <w:rFonts w:hint="cs"/>
          <w:rtl/>
        </w:rPr>
        <w:t>ّ</w:t>
      </w:r>
      <w:r w:rsidRPr="00282AC9">
        <w:rPr>
          <w:rtl/>
        </w:rPr>
        <w:t xml:space="preserve"> الجهادي</w:t>
      </w:r>
      <w:r w:rsidRPr="00282AC9">
        <w:rPr>
          <w:rFonts w:hint="cs"/>
          <w:rtl/>
        </w:rPr>
        <w:t>ّ</w:t>
      </w:r>
      <w:r w:rsidR="00C13D0C" w:rsidRPr="00282AC9">
        <w:rPr>
          <w:rtl/>
        </w:rPr>
        <w:t>ة، على اعتبار أن</w:t>
      </w:r>
      <w:r w:rsidRPr="00282AC9">
        <w:rPr>
          <w:rtl/>
        </w:rPr>
        <w:t>هم ركنوا إلى رواية</w:t>
      </w:r>
      <w:r w:rsidR="00C13D0C" w:rsidRPr="00282AC9">
        <w:rPr>
          <w:rFonts w:hint="cs"/>
          <w:rtl/>
        </w:rPr>
        <w:t>ٍ</w:t>
      </w:r>
      <w:r w:rsidRPr="00282AC9">
        <w:rPr>
          <w:rtl/>
        </w:rPr>
        <w:t xml:space="preserve"> هنا أو هناك قد جعل</w:t>
      </w:r>
      <w:r w:rsidR="00C13D0C" w:rsidRPr="00282AC9">
        <w:rPr>
          <w:rFonts w:hint="cs"/>
          <w:rtl/>
        </w:rPr>
        <w:t>َ</w:t>
      </w:r>
      <w:r w:rsidRPr="00282AC9">
        <w:rPr>
          <w:rtl/>
        </w:rPr>
        <w:t>ت</w:t>
      </w:r>
      <w:r w:rsidR="00C13D0C" w:rsidRPr="00282AC9">
        <w:rPr>
          <w:rFonts w:hint="cs"/>
          <w:rtl/>
        </w:rPr>
        <w:t>ْ</w:t>
      </w:r>
      <w:r w:rsidRPr="00282AC9">
        <w:rPr>
          <w:rtl/>
        </w:rPr>
        <w:t xml:space="preserve"> لهم ثواباً عظيماً على عمل</w:t>
      </w:r>
      <w:r w:rsidR="00C13D0C" w:rsidRPr="00282AC9">
        <w:rPr>
          <w:rFonts w:hint="cs"/>
          <w:rtl/>
        </w:rPr>
        <w:t>ٍ</w:t>
      </w:r>
      <w:r w:rsidRPr="00282AC9">
        <w:rPr>
          <w:rtl/>
        </w:rPr>
        <w:t xml:space="preserve"> صغير</w:t>
      </w:r>
      <w:r w:rsidR="00C13D0C" w:rsidRPr="00282AC9">
        <w:rPr>
          <w:rFonts w:hint="cs"/>
          <w:rtl/>
        </w:rPr>
        <w:t>،</w:t>
      </w:r>
      <w:r w:rsidRPr="00282AC9">
        <w:rPr>
          <w:rtl/>
        </w:rPr>
        <w:t xml:space="preserve"> وأعط</w:t>
      </w:r>
      <w:r w:rsidR="00C13D0C" w:rsidRPr="00282AC9">
        <w:rPr>
          <w:rFonts w:hint="cs"/>
          <w:rtl/>
        </w:rPr>
        <w:t>َ</w:t>
      </w:r>
      <w:r w:rsidRPr="00282AC9">
        <w:rPr>
          <w:rtl/>
        </w:rPr>
        <w:t>ت</w:t>
      </w:r>
      <w:r w:rsidR="00C13D0C" w:rsidRPr="00282AC9">
        <w:rPr>
          <w:rFonts w:hint="cs"/>
          <w:rtl/>
        </w:rPr>
        <w:t>ْ</w:t>
      </w:r>
      <w:r w:rsidRPr="00282AC9">
        <w:rPr>
          <w:rtl/>
        </w:rPr>
        <w:t xml:space="preserve">هم ضماناً </w:t>
      </w:r>
      <w:r w:rsidR="00C13D0C" w:rsidRPr="00282AC9">
        <w:rPr>
          <w:rFonts w:hint="cs"/>
          <w:rtl/>
        </w:rPr>
        <w:t>ب</w:t>
      </w:r>
      <w:r w:rsidRPr="00282AC9">
        <w:rPr>
          <w:rtl/>
        </w:rPr>
        <w:t>عدم دخول النار</w:t>
      </w:r>
      <w:r w:rsidR="00C13D0C" w:rsidRPr="00282AC9">
        <w:rPr>
          <w:rFonts w:hint="cs"/>
          <w:rtl/>
        </w:rPr>
        <w:t xml:space="preserve">؛ </w:t>
      </w:r>
      <w:r w:rsidRPr="00282AC9">
        <w:rPr>
          <w:rtl/>
        </w:rPr>
        <w:t xml:space="preserve">بسبب هذا العمل، كما هو الحال في </w:t>
      </w:r>
      <w:r w:rsidRPr="00282AC9">
        <w:rPr>
          <w:rFonts w:hint="cs"/>
          <w:rtl/>
        </w:rPr>
        <w:t xml:space="preserve">ثواب </w:t>
      </w:r>
      <w:r w:rsidRPr="00282AC9">
        <w:rPr>
          <w:rtl/>
        </w:rPr>
        <w:t xml:space="preserve">صلاة الرغائب، </w:t>
      </w:r>
      <w:r w:rsidRPr="00282AC9">
        <w:rPr>
          <w:rFonts w:hint="cs"/>
          <w:rtl/>
        </w:rPr>
        <w:t xml:space="preserve">أو ثواب بعض الزيارات. </w:t>
      </w:r>
      <w:r w:rsidRPr="00282AC9">
        <w:rPr>
          <w:rtl/>
        </w:rPr>
        <w:t>إنّ هذا الثواب العظيم سيدفع الكثيرين إلى الزهد بالأعمال الكبيرة</w:t>
      </w:r>
      <w:r w:rsidR="00C13D0C" w:rsidRPr="00282AC9">
        <w:rPr>
          <w:rFonts w:hint="cs"/>
          <w:rtl/>
        </w:rPr>
        <w:t>،</w:t>
      </w:r>
      <w:r w:rsidRPr="00282AC9">
        <w:rPr>
          <w:rtl/>
        </w:rPr>
        <w:t xml:space="preserve"> والمسؤوليات الاجتماعية المهم</w:t>
      </w:r>
      <w:r w:rsidR="00C13D0C" w:rsidRPr="00282AC9">
        <w:rPr>
          <w:rFonts w:hint="cs"/>
          <w:rtl/>
        </w:rPr>
        <w:t>ّ</w:t>
      </w:r>
      <w:r w:rsidRPr="00282AC9">
        <w:rPr>
          <w:rtl/>
        </w:rPr>
        <w:t>ة، مكتفين ب</w:t>
      </w:r>
      <w:r w:rsidRPr="00282AC9">
        <w:rPr>
          <w:rFonts w:hint="cs"/>
          <w:rtl/>
        </w:rPr>
        <w:t>ـ</w:t>
      </w:r>
      <w:r w:rsidR="00C13D0C" w:rsidRPr="00282AC9">
        <w:rPr>
          <w:rFonts w:hint="cs"/>
          <w:rtl/>
        </w:rPr>
        <w:t xml:space="preserve"> </w:t>
      </w:r>
      <w:r w:rsidR="00C13D0C" w:rsidRPr="00282AC9">
        <w:rPr>
          <w:rFonts w:hint="eastAsia"/>
          <w:sz w:val="24"/>
          <w:szCs w:val="24"/>
          <w:rtl/>
        </w:rPr>
        <w:t>«</w:t>
      </w:r>
      <w:r w:rsidRPr="00282AC9">
        <w:rPr>
          <w:rtl/>
        </w:rPr>
        <w:t>الانتصارات</w:t>
      </w:r>
      <w:r w:rsidRPr="00282AC9">
        <w:rPr>
          <w:rFonts w:hint="eastAsia"/>
          <w:sz w:val="24"/>
          <w:szCs w:val="24"/>
          <w:rtl/>
        </w:rPr>
        <w:t>»</w:t>
      </w:r>
      <w:r w:rsidRPr="00282AC9">
        <w:rPr>
          <w:rtl/>
        </w:rPr>
        <w:t xml:space="preserve"> الس</w:t>
      </w:r>
      <w:r w:rsidR="00C13D0C" w:rsidRPr="00282AC9">
        <w:rPr>
          <w:rFonts w:hint="cs"/>
          <w:rtl/>
        </w:rPr>
        <w:t>َّ</w:t>
      </w:r>
      <w:r w:rsidRPr="00282AC9">
        <w:rPr>
          <w:rtl/>
        </w:rPr>
        <w:t>ه</w:t>
      </w:r>
      <w:r w:rsidR="00C13D0C" w:rsidRPr="00282AC9">
        <w:rPr>
          <w:rFonts w:hint="cs"/>
          <w:rtl/>
        </w:rPr>
        <w:t>ْ</w:t>
      </w:r>
      <w:r w:rsidRPr="00282AC9">
        <w:rPr>
          <w:rtl/>
        </w:rPr>
        <w:t>لة التي تضمنها لهم قاعدة التسامح في أدلة الس</w:t>
      </w:r>
      <w:r w:rsidR="00C13D0C" w:rsidRPr="00282AC9">
        <w:rPr>
          <w:rFonts w:hint="cs"/>
          <w:rtl/>
        </w:rPr>
        <w:t>ُّ</w:t>
      </w:r>
      <w:r w:rsidRPr="00282AC9">
        <w:rPr>
          <w:rtl/>
        </w:rPr>
        <w:t>ن</w:t>
      </w:r>
      <w:r w:rsidR="00C13D0C" w:rsidRPr="00282AC9">
        <w:rPr>
          <w:rFonts w:hint="cs"/>
          <w:rtl/>
        </w:rPr>
        <w:t>َ</w:t>
      </w:r>
      <w:r w:rsidRPr="00282AC9">
        <w:rPr>
          <w:rtl/>
        </w:rPr>
        <w:t>ن.</w:t>
      </w:r>
      <w:r w:rsidRPr="00282AC9">
        <w:rPr>
          <w:rFonts w:hint="cs"/>
          <w:rtl/>
        </w:rPr>
        <w:t xml:space="preserve"> </w:t>
      </w:r>
      <w:r w:rsidRPr="00282AC9">
        <w:rPr>
          <w:rtl/>
        </w:rPr>
        <w:t xml:space="preserve">والحقيقة </w:t>
      </w:r>
      <w:r w:rsidRPr="00282AC9">
        <w:rPr>
          <w:rFonts w:hint="cs"/>
          <w:rtl/>
        </w:rPr>
        <w:t>أ</w:t>
      </w:r>
      <w:r w:rsidRPr="00282AC9">
        <w:rPr>
          <w:rtl/>
        </w:rPr>
        <w:t>نّ</w:t>
      </w:r>
      <w:r w:rsidRPr="00282AC9">
        <w:rPr>
          <w:rFonts w:hint="cs"/>
          <w:rtl/>
        </w:rPr>
        <w:t xml:space="preserve"> </w:t>
      </w:r>
      <w:r w:rsidRPr="00282AC9">
        <w:rPr>
          <w:rtl/>
        </w:rPr>
        <w:t>التوس</w:t>
      </w:r>
      <w:r w:rsidR="00C13D0C" w:rsidRPr="00282AC9">
        <w:rPr>
          <w:rFonts w:hint="cs"/>
          <w:rtl/>
        </w:rPr>
        <w:t>ُّ</w:t>
      </w:r>
      <w:r w:rsidRPr="00282AC9">
        <w:rPr>
          <w:rtl/>
        </w:rPr>
        <w:t xml:space="preserve">ع </w:t>
      </w:r>
      <w:r w:rsidRPr="00282AC9">
        <w:rPr>
          <w:rFonts w:hint="cs"/>
          <w:rtl/>
        </w:rPr>
        <w:t>الذي عرف</w:t>
      </w:r>
      <w:r w:rsidR="00C13D0C" w:rsidRPr="00282AC9">
        <w:rPr>
          <w:rFonts w:hint="cs"/>
          <w:rtl/>
        </w:rPr>
        <w:t>َ</w:t>
      </w:r>
      <w:r w:rsidRPr="00282AC9">
        <w:rPr>
          <w:rFonts w:hint="cs"/>
          <w:rtl/>
        </w:rPr>
        <w:t>ت</w:t>
      </w:r>
      <w:r w:rsidR="00C13D0C" w:rsidRPr="00282AC9">
        <w:rPr>
          <w:rFonts w:hint="cs"/>
          <w:rtl/>
        </w:rPr>
        <w:t>ْ</w:t>
      </w:r>
      <w:r w:rsidRPr="00282AC9">
        <w:rPr>
          <w:rFonts w:hint="cs"/>
          <w:rtl/>
        </w:rPr>
        <w:t xml:space="preserve">ه </w:t>
      </w:r>
      <w:r w:rsidRPr="00282AC9">
        <w:rPr>
          <w:rtl/>
        </w:rPr>
        <w:t>القاعدة،</w:t>
      </w:r>
      <w:r w:rsidRPr="00282AC9">
        <w:rPr>
          <w:rFonts w:hint="cs"/>
          <w:rtl/>
        </w:rPr>
        <w:t xml:space="preserve"> وأبواب</w:t>
      </w:r>
      <w:r w:rsidRPr="00282AC9">
        <w:rPr>
          <w:rtl/>
        </w:rPr>
        <w:t xml:space="preserve"> التسامح </w:t>
      </w:r>
      <w:r w:rsidRPr="00282AC9">
        <w:rPr>
          <w:rFonts w:hint="cs"/>
          <w:rtl/>
        </w:rPr>
        <w:t>الذي دخل</w:t>
      </w:r>
      <w:r w:rsidR="00C13D0C" w:rsidRPr="00282AC9">
        <w:rPr>
          <w:rFonts w:hint="cs"/>
          <w:rtl/>
        </w:rPr>
        <w:t>َ</w:t>
      </w:r>
      <w:r w:rsidRPr="00282AC9">
        <w:rPr>
          <w:rFonts w:hint="cs"/>
          <w:rtl/>
        </w:rPr>
        <w:t>ت</w:t>
      </w:r>
      <w:r w:rsidR="00C13D0C" w:rsidRPr="00282AC9">
        <w:rPr>
          <w:rFonts w:hint="cs"/>
          <w:rtl/>
        </w:rPr>
        <w:t>ْ</w:t>
      </w:r>
      <w:r w:rsidRPr="00282AC9">
        <w:rPr>
          <w:rFonts w:hint="cs"/>
          <w:rtl/>
        </w:rPr>
        <w:t>ها</w:t>
      </w:r>
      <w:r w:rsidR="00C13D0C" w:rsidRPr="00282AC9">
        <w:rPr>
          <w:rFonts w:hint="cs"/>
          <w:rtl/>
        </w:rPr>
        <w:t>،</w:t>
      </w:r>
      <w:r w:rsidRPr="00282AC9">
        <w:rPr>
          <w:rFonts w:hint="cs"/>
          <w:rtl/>
        </w:rPr>
        <w:t xml:space="preserve"> </w:t>
      </w:r>
      <w:r w:rsidRPr="00282AC9">
        <w:rPr>
          <w:rtl/>
        </w:rPr>
        <w:t xml:space="preserve">قد </w:t>
      </w:r>
      <w:r w:rsidRPr="00282AC9">
        <w:rPr>
          <w:rFonts w:hint="cs"/>
          <w:rtl/>
        </w:rPr>
        <w:t>زاد المحاذير</w:t>
      </w:r>
      <w:r w:rsidR="00C13D0C" w:rsidRPr="00282AC9">
        <w:rPr>
          <w:rFonts w:hint="cs"/>
          <w:rtl/>
        </w:rPr>
        <w:t>،</w:t>
      </w:r>
      <w:r w:rsidRPr="00282AC9">
        <w:rPr>
          <w:rtl/>
        </w:rPr>
        <w:t xml:space="preserve"> </w:t>
      </w:r>
      <w:r w:rsidRPr="00282AC9">
        <w:rPr>
          <w:rFonts w:hint="cs"/>
          <w:rtl/>
        </w:rPr>
        <w:t xml:space="preserve">وأدخل </w:t>
      </w:r>
      <w:r w:rsidRPr="00282AC9">
        <w:rPr>
          <w:rtl/>
        </w:rPr>
        <w:t>الكثير من تراث الوض</w:t>
      </w:r>
      <w:r w:rsidR="00C13D0C" w:rsidRPr="00282AC9">
        <w:rPr>
          <w:rFonts w:hint="cs"/>
          <w:rtl/>
        </w:rPr>
        <w:t>ّ</w:t>
      </w:r>
      <w:r w:rsidRPr="00282AC9">
        <w:rPr>
          <w:rtl/>
        </w:rPr>
        <w:t>اعين إلى الفضاء ال</w:t>
      </w:r>
      <w:r w:rsidRPr="00282AC9">
        <w:rPr>
          <w:rFonts w:hint="cs"/>
          <w:rtl/>
        </w:rPr>
        <w:t>ديني</w:t>
      </w:r>
      <w:r w:rsidR="00C13D0C" w:rsidRPr="00282AC9">
        <w:rPr>
          <w:rFonts w:hint="cs"/>
          <w:rtl/>
        </w:rPr>
        <w:t>ّ.</w:t>
      </w:r>
      <w:r w:rsidRPr="00282AC9">
        <w:rPr>
          <w:rFonts w:hint="cs"/>
          <w:rtl/>
        </w:rPr>
        <w:t xml:space="preserve"> </w:t>
      </w:r>
      <w:r w:rsidR="00C13D0C" w:rsidRPr="00282AC9">
        <w:rPr>
          <w:rFonts w:hint="cs"/>
          <w:rtl/>
        </w:rPr>
        <w:t>و</w:t>
      </w:r>
      <w:r w:rsidRPr="00282AC9">
        <w:rPr>
          <w:rFonts w:hint="cs"/>
          <w:rtl/>
        </w:rPr>
        <w:t xml:space="preserve">سوف نشير </w:t>
      </w:r>
      <w:r w:rsidR="00C13D0C" w:rsidRPr="00282AC9">
        <w:rPr>
          <w:rFonts w:hint="cs"/>
          <w:rtl/>
        </w:rPr>
        <w:t xml:space="preserve">في النقطة اللاحقة </w:t>
      </w:r>
      <w:r w:rsidRPr="00282AC9">
        <w:rPr>
          <w:rFonts w:hint="cs"/>
          <w:rtl/>
        </w:rPr>
        <w:t>إلى بعض الأبواب التي توس</w:t>
      </w:r>
      <w:r w:rsidR="00C13D0C" w:rsidRPr="00282AC9">
        <w:rPr>
          <w:rFonts w:hint="cs"/>
          <w:rtl/>
        </w:rPr>
        <w:t>َّ</w:t>
      </w:r>
      <w:r w:rsidRPr="00282AC9">
        <w:rPr>
          <w:rFonts w:hint="cs"/>
          <w:rtl/>
        </w:rPr>
        <w:t>عت القاعدة لتشملها.</w:t>
      </w:r>
    </w:p>
    <w:p w:rsidR="00D43662" w:rsidRPr="00282AC9" w:rsidRDefault="00D43662" w:rsidP="00106AA7">
      <w:pPr>
        <w:spacing w:line="420" w:lineRule="exact"/>
        <w:rPr>
          <w:rFonts w:eastAsia="Calibri"/>
        </w:rPr>
      </w:pPr>
    </w:p>
    <w:p w:rsidR="00D43662" w:rsidRPr="00282AC9" w:rsidRDefault="00D43662" w:rsidP="00D43662">
      <w:pPr>
        <w:pStyle w:val="31"/>
        <w:rPr>
          <w:rFonts w:eastAsia="Calibri"/>
          <w:color w:val="auto"/>
          <w:rtl/>
          <w:lang w:bidi="ar-LB"/>
        </w:rPr>
      </w:pPr>
      <w:r w:rsidRPr="00282AC9">
        <w:rPr>
          <w:rFonts w:eastAsia="Calibri" w:hint="cs"/>
          <w:color w:val="auto"/>
          <w:rtl/>
          <w:lang w:bidi="ar-LB"/>
        </w:rPr>
        <w:t xml:space="preserve">د </w:t>
      </w:r>
      <w:r w:rsidR="0098597F" w:rsidRPr="00282AC9">
        <w:rPr>
          <w:rFonts w:eastAsia="Calibri" w:hint="cs"/>
          <w:color w:val="auto"/>
          <w:rtl/>
          <w:lang w:bidi="ar-LB"/>
        </w:rPr>
        <w:t>ـ بناء الق</w:t>
      </w:r>
      <w:r w:rsidR="00C13D0C" w:rsidRPr="00282AC9">
        <w:rPr>
          <w:rFonts w:eastAsia="Calibri" w:hint="cs"/>
          <w:color w:val="auto"/>
          <w:rtl/>
          <w:lang w:bidi="ar-LB"/>
        </w:rPr>
        <w:t>ِ</w:t>
      </w:r>
      <w:r w:rsidR="0098597F" w:rsidRPr="00282AC9">
        <w:rPr>
          <w:rFonts w:eastAsia="Calibri" w:hint="cs"/>
          <w:color w:val="auto"/>
          <w:rtl/>
          <w:lang w:bidi="ar-LB"/>
        </w:rPr>
        <w:t>ي</w:t>
      </w:r>
      <w:r w:rsidR="00C13D0C" w:rsidRPr="00282AC9">
        <w:rPr>
          <w:rFonts w:eastAsia="Calibri" w:hint="cs"/>
          <w:color w:val="auto"/>
          <w:rtl/>
          <w:lang w:bidi="ar-LB"/>
        </w:rPr>
        <w:t>َ</w:t>
      </w:r>
      <w:r w:rsidR="0098597F" w:rsidRPr="00282AC9">
        <w:rPr>
          <w:rFonts w:eastAsia="Calibri" w:hint="cs"/>
          <w:color w:val="auto"/>
          <w:rtl/>
          <w:lang w:bidi="ar-LB"/>
        </w:rPr>
        <w:t xml:space="preserve">م </w:t>
      </w:r>
      <w:r w:rsidR="0098597F" w:rsidRPr="00282AC9">
        <w:rPr>
          <w:rFonts w:eastAsia="Calibri"/>
          <w:color w:val="auto"/>
          <w:rtl/>
          <w:lang w:bidi="ar-LB"/>
        </w:rPr>
        <w:t>الأخلاق</w:t>
      </w:r>
      <w:r w:rsidR="0098597F" w:rsidRPr="00282AC9">
        <w:rPr>
          <w:rFonts w:eastAsia="Calibri" w:hint="cs"/>
          <w:color w:val="auto"/>
          <w:rtl/>
          <w:lang w:bidi="ar-LB"/>
        </w:rPr>
        <w:t>ية على أسس</w:t>
      </w:r>
      <w:r w:rsidR="00C13D0C" w:rsidRPr="00282AC9">
        <w:rPr>
          <w:rFonts w:eastAsia="Calibri" w:hint="cs"/>
          <w:color w:val="auto"/>
          <w:rtl/>
          <w:lang w:bidi="ar-LB"/>
        </w:rPr>
        <w:t>ٍ</w:t>
      </w:r>
      <w:r w:rsidR="0098597F" w:rsidRPr="00282AC9">
        <w:rPr>
          <w:rFonts w:eastAsia="Calibri" w:hint="cs"/>
          <w:color w:val="auto"/>
          <w:rtl/>
          <w:lang w:bidi="ar-LB"/>
        </w:rPr>
        <w:t xml:space="preserve"> ضعيفة</w:t>
      </w:r>
    </w:p>
    <w:p w:rsidR="0098597F" w:rsidRPr="00282AC9" w:rsidRDefault="0098597F" w:rsidP="004F097E">
      <w:pPr>
        <w:contextualSpacing/>
        <w:rPr>
          <w:rFonts w:ascii="Arial" w:eastAsia="Calibri" w:hAnsi="Arial"/>
          <w:b/>
          <w:bCs/>
          <w:sz w:val="27"/>
          <w:lang w:bidi="ar-LB"/>
        </w:rPr>
      </w:pPr>
      <w:r w:rsidRPr="00282AC9">
        <w:rPr>
          <w:rFonts w:ascii="Arial" w:eastAsia="Calibri" w:hAnsi="Arial" w:hint="cs"/>
          <w:sz w:val="27"/>
          <w:rtl/>
          <w:lang w:bidi="ar-LB"/>
        </w:rPr>
        <w:t>إنّ المجال الأخلاقي هو بنظر الفقهاء من ال</w:t>
      </w:r>
      <w:r w:rsidR="00EE6DBA" w:rsidRPr="00282AC9">
        <w:rPr>
          <w:rFonts w:ascii="Arial" w:eastAsia="Calibri" w:hAnsi="Arial" w:hint="cs"/>
          <w:sz w:val="27"/>
          <w:rtl/>
          <w:lang w:bidi="ar-LB"/>
        </w:rPr>
        <w:t>مجالات</w:t>
      </w:r>
      <w:r w:rsidRPr="00282AC9">
        <w:rPr>
          <w:rFonts w:ascii="Arial" w:eastAsia="Calibri" w:hAnsi="Arial" w:hint="cs"/>
          <w:sz w:val="27"/>
          <w:rtl/>
          <w:lang w:bidi="ar-LB"/>
        </w:rPr>
        <w:t xml:space="preserve"> التي تدخل في نطاق الس</w:t>
      </w:r>
      <w:r w:rsidR="00C13D0C" w:rsidRPr="00282AC9">
        <w:rPr>
          <w:rFonts w:ascii="Arial" w:eastAsia="Calibri" w:hAnsi="Arial" w:hint="cs"/>
          <w:sz w:val="27"/>
          <w:rtl/>
          <w:lang w:bidi="ar-LB"/>
        </w:rPr>
        <w:t>ُّ</w:t>
      </w:r>
      <w:r w:rsidRPr="00282AC9">
        <w:rPr>
          <w:rFonts w:ascii="Arial" w:eastAsia="Calibri" w:hAnsi="Arial" w:hint="cs"/>
          <w:sz w:val="27"/>
          <w:rtl/>
          <w:lang w:bidi="ar-LB"/>
        </w:rPr>
        <w:t>ن</w:t>
      </w:r>
      <w:r w:rsidR="00C13D0C" w:rsidRPr="00282AC9">
        <w:rPr>
          <w:rFonts w:ascii="Arial" w:eastAsia="Calibri" w:hAnsi="Arial" w:hint="cs"/>
          <w:sz w:val="27"/>
          <w:rtl/>
          <w:lang w:bidi="ar-LB"/>
        </w:rPr>
        <w:t>َ</w:t>
      </w:r>
      <w:r w:rsidRPr="00282AC9">
        <w:rPr>
          <w:rFonts w:ascii="Arial" w:eastAsia="Calibri" w:hAnsi="Arial" w:hint="cs"/>
          <w:sz w:val="27"/>
          <w:rtl/>
          <w:lang w:bidi="ar-LB"/>
        </w:rPr>
        <w:t>ن، فيمكن التسامح فيها بالاعتماد على الأخبار الضعيفة</w:t>
      </w:r>
      <w:r w:rsidR="00C13D0C" w:rsidRPr="00282AC9">
        <w:rPr>
          <w:rFonts w:ascii="Arial" w:eastAsia="Calibri" w:hAnsi="Arial" w:hint="cs"/>
          <w:sz w:val="27"/>
          <w:rtl/>
          <w:lang w:bidi="ar-LB"/>
        </w:rPr>
        <w:t>.</w:t>
      </w:r>
      <w:r w:rsidRPr="00282AC9">
        <w:rPr>
          <w:rFonts w:ascii="Arial" w:eastAsia="Calibri" w:hAnsi="Arial" w:hint="cs"/>
          <w:sz w:val="27"/>
          <w:rtl/>
          <w:lang w:bidi="ar-LB"/>
        </w:rPr>
        <w:t xml:space="preserve"> وهذا الأمر له تأثير</w:t>
      </w:r>
      <w:r w:rsidR="00C13D0C" w:rsidRPr="00282AC9">
        <w:rPr>
          <w:rFonts w:ascii="Arial" w:eastAsia="Calibri" w:hAnsi="Arial" w:hint="cs"/>
          <w:sz w:val="27"/>
          <w:rtl/>
          <w:lang w:bidi="ar-LB"/>
        </w:rPr>
        <w:t>ٌ</w:t>
      </w:r>
      <w:r w:rsidRPr="00282AC9">
        <w:rPr>
          <w:rFonts w:ascii="Arial" w:eastAsia="Calibri" w:hAnsi="Arial" w:hint="cs"/>
          <w:sz w:val="27"/>
          <w:rtl/>
          <w:lang w:bidi="ar-LB"/>
        </w:rPr>
        <w:t xml:space="preserve"> سلبي</w:t>
      </w:r>
      <w:r w:rsidR="00C13D0C" w:rsidRPr="00282AC9">
        <w:rPr>
          <w:rFonts w:ascii="Arial" w:eastAsia="Calibri" w:hAnsi="Arial" w:hint="cs"/>
          <w:sz w:val="27"/>
          <w:rtl/>
          <w:lang w:bidi="ar-LB"/>
        </w:rPr>
        <w:t>ّ</w:t>
      </w:r>
      <w:r w:rsidRPr="00282AC9">
        <w:rPr>
          <w:rFonts w:ascii="Arial" w:eastAsia="Calibri" w:hAnsi="Arial" w:hint="cs"/>
          <w:sz w:val="27"/>
          <w:rtl/>
          <w:lang w:bidi="ar-LB"/>
        </w:rPr>
        <w:t xml:space="preserve"> بالغ على سلوكيات الفرد المسلم، كما سنرى بعض أمثلته</w:t>
      </w:r>
      <w:r w:rsidR="00C13D0C" w:rsidRPr="00282AC9">
        <w:rPr>
          <w:rFonts w:ascii="Arial" w:eastAsia="Calibri" w:hAnsi="Arial" w:hint="cs"/>
          <w:sz w:val="27"/>
          <w:rtl/>
          <w:lang w:bidi="ar-LB"/>
        </w:rPr>
        <w:t>.</w:t>
      </w:r>
      <w:r w:rsidRPr="00282AC9">
        <w:rPr>
          <w:rFonts w:ascii="Arial" w:eastAsia="Calibri" w:hAnsi="Arial" w:hint="cs"/>
          <w:sz w:val="27"/>
          <w:rtl/>
          <w:lang w:bidi="ar-LB"/>
        </w:rPr>
        <w:t xml:space="preserve"> و</w:t>
      </w:r>
      <w:r w:rsidRPr="00282AC9">
        <w:rPr>
          <w:rFonts w:ascii="Arial" w:eastAsia="Calibri" w:hAnsi="Arial"/>
          <w:sz w:val="27"/>
          <w:rtl/>
          <w:lang w:bidi="ar-LB"/>
        </w:rPr>
        <w:t>ما ي</w:t>
      </w:r>
      <w:r w:rsidRPr="00282AC9">
        <w:rPr>
          <w:rFonts w:ascii="Arial" w:eastAsia="Calibri" w:hAnsi="Arial" w:hint="cs"/>
          <w:sz w:val="27"/>
          <w:rtl/>
          <w:lang w:bidi="ar-LB"/>
        </w:rPr>
        <w:t>زيد في الطين ب</w:t>
      </w:r>
      <w:r w:rsidR="00C13D0C" w:rsidRPr="00282AC9">
        <w:rPr>
          <w:rFonts w:ascii="Arial" w:eastAsia="Calibri" w:hAnsi="Arial" w:hint="cs"/>
          <w:sz w:val="27"/>
          <w:rtl/>
          <w:lang w:bidi="ar-LB"/>
        </w:rPr>
        <w:t>ِ</w:t>
      </w:r>
      <w:r w:rsidRPr="00282AC9">
        <w:rPr>
          <w:rFonts w:ascii="Arial" w:eastAsia="Calibri" w:hAnsi="Arial" w:hint="cs"/>
          <w:sz w:val="27"/>
          <w:rtl/>
          <w:lang w:bidi="ar-LB"/>
        </w:rPr>
        <w:t>ل</w:t>
      </w:r>
      <w:r w:rsidR="00C13D0C" w:rsidRPr="00282AC9">
        <w:rPr>
          <w:rFonts w:ascii="Arial" w:eastAsia="Calibri" w:hAnsi="Arial" w:hint="cs"/>
          <w:sz w:val="27"/>
          <w:rtl/>
          <w:lang w:bidi="ar-LB"/>
        </w:rPr>
        <w:t>ّ</w:t>
      </w:r>
      <w:r w:rsidRPr="00282AC9">
        <w:rPr>
          <w:rFonts w:ascii="Arial" w:eastAsia="Calibri" w:hAnsi="Arial" w:hint="cs"/>
          <w:sz w:val="27"/>
          <w:rtl/>
          <w:lang w:bidi="ar-LB"/>
        </w:rPr>
        <w:t>ة</w:t>
      </w:r>
      <w:r w:rsidR="00C13D0C" w:rsidRPr="00282AC9">
        <w:rPr>
          <w:rFonts w:ascii="Arial" w:eastAsia="Calibri" w:hAnsi="Arial" w:hint="cs"/>
          <w:sz w:val="27"/>
          <w:rtl/>
          <w:lang w:bidi="ar-LB"/>
        </w:rPr>
        <w:t>ً،</w:t>
      </w:r>
      <w:r w:rsidRPr="00282AC9">
        <w:rPr>
          <w:rFonts w:ascii="Arial" w:eastAsia="Calibri" w:hAnsi="Arial" w:hint="cs"/>
          <w:sz w:val="27"/>
          <w:rtl/>
          <w:lang w:bidi="ar-LB"/>
        </w:rPr>
        <w:t xml:space="preserve"> وي</w:t>
      </w:r>
      <w:r w:rsidRPr="00282AC9">
        <w:rPr>
          <w:rFonts w:ascii="Arial" w:eastAsia="Calibri" w:hAnsi="Arial"/>
          <w:sz w:val="27"/>
          <w:rtl/>
          <w:lang w:bidi="ar-LB"/>
        </w:rPr>
        <w:t>دعو للاستغراب</w:t>
      </w:r>
      <w:r w:rsidR="00C13D0C" w:rsidRPr="00282AC9">
        <w:rPr>
          <w:rFonts w:ascii="Arial" w:eastAsia="Calibri" w:hAnsi="Arial" w:hint="cs"/>
          <w:sz w:val="27"/>
          <w:rtl/>
          <w:lang w:bidi="ar-LB"/>
        </w:rPr>
        <w:t>،</w:t>
      </w:r>
      <w:r w:rsidRPr="00282AC9">
        <w:rPr>
          <w:rFonts w:ascii="Arial" w:eastAsia="Calibri" w:hAnsi="Arial"/>
          <w:sz w:val="27"/>
          <w:rtl/>
          <w:lang w:bidi="ar-LB"/>
        </w:rPr>
        <w:t xml:space="preserve"> أنّ العقل الفقهي</w:t>
      </w:r>
      <w:r w:rsidR="00C13D0C" w:rsidRPr="00282AC9">
        <w:rPr>
          <w:rFonts w:ascii="Arial" w:eastAsia="Calibri" w:hAnsi="Arial" w:hint="cs"/>
          <w:sz w:val="27"/>
          <w:rtl/>
          <w:lang w:bidi="ar-LB"/>
        </w:rPr>
        <w:t>ّ</w:t>
      </w:r>
      <w:r w:rsidR="00C13D0C" w:rsidRPr="00282AC9">
        <w:rPr>
          <w:rFonts w:ascii="Arial" w:eastAsia="Calibri" w:hAnsi="Arial"/>
          <w:sz w:val="27"/>
          <w:rtl/>
          <w:lang w:bidi="ar-LB"/>
        </w:rPr>
        <w:t xml:space="preserve"> لا يزال بعيداً إلى حد</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كبير عن التأصيل النظري للفقه التربوي</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ويتعامل مع الموضوع بشيء</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من الاستخفاف</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كونه يت</w:t>
      </w:r>
      <w:r w:rsidR="00C13D0C" w:rsidRPr="00282AC9">
        <w:rPr>
          <w:rFonts w:ascii="Arial" w:eastAsia="Calibri" w:hAnsi="Arial" w:hint="cs"/>
          <w:sz w:val="27"/>
          <w:rtl/>
          <w:lang w:bidi="ar-LB"/>
        </w:rPr>
        <w:t>ّ</w:t>
      </w:r>
      <w:r w:rsidRPr="00282AC9">
        <w:rPr>
          <w:rFonts w:ascii="Arial" w:eastAsia="Calibri" w:hAnsi="Arial"/>
          <w:sz w:val="27"/>
          <w:rtl/>
          <w:lang w:bidi="ar-LB"/>
        </w:rPr>
        <w:t xml:space="preserve">صل بالأخلاقيات والآداب المحكومة </w:t>
      </w:r>
      <w:r w:rsidRPr="00282AC9">
        <w:rPr>
          <w:rFonts w:ascii="Arial" w:eastAsia="Calibri" w:hAnsi="Arial" w:hint="cs"/>
          <w:sz w:val="27"/>
          <w:rtl/>
          <w:lang w:bidi="ar-LB"/>
        </w:rPr>
        <w:t>ـ</w:t>
      </w:r>
      <w:r w:rsidRPr="00282AC9">
        <w:rPr>
          <w:rFonts w:ascii="Arial" w:eastAsia="Calibri" w:hAnsi="Arial"/>
          <w:sz w:val="27"/>
          <w:rtl/>
          <w:lang w:bidi="ar-LB"/>
        </w:rPr>
        <w:t xml:space="preserve"> لدى هذا العقل </w:t>
      </w:r>
      <w:r w:rsidRPr="00282AC9">
        <w:rPr>
          <w:rFonts w:ascii="Arial" w:eastAsia="Calibri" w:hAnsi="Arial" w:hint="cs"/>
          <w:sz w:val="27"/>
          <w:rtl/>
          <w:lang w:bidi="ar-LB"/>
        </w:rPr>
        <w:t xml:space="preserve">ـ </w:t>
      </w:r>
      <w:r w:rsidRPr="00282AC9">
        <w:rPr>
          <w:rFonts w:ascii="Arial" w:eastAsia="Calibri" w:hAnsi="Arial"/>
          <w:sz w:val="27"/>
          <w:rtl/>
          <w:lang w:bidi="ar-LB"/>
        </w:rPr>
        <w:t>بقاعدة التسامح في أدل</w:t>
      </w:r>
      <w:r w:rsidR="00C13D0C" w:rsidRPr="00282AC9">
        <w:rPr>
          <w:rFonts w:ascii="Arial" w:eastAsia="Calibri" w:hAnsi="Arial" w:hint="cs"/>
          <w:sz w:val="27"/>
          <w:rtl/>
          <w:lang w:bidi="ar-LB"/>
        </w:rPr>
        <w:t>ّ</w:t>
      </w:r>
      <w:r w:rsidRPr="00282AC9">
        <w:rPr>
          <w:rFonts w:ascii="Arial" w:eastAsia="Calibri" w:hAnsi="Arial"/>
          <w:sz w:val="27"/>
          <w:rtl/>
          <w:lang w:bidi="ar-LB"/>
        </w:rPr>
        <w:t>ة الس</w:t>
      </w:r>
      <w:r w:rsidR="00C13D0C" w:rsidRPr="00282AC9">
        <w:rPr>
          <w:rFonts w:ascii="Arial" w:eastAsia="Calibri" w:hAnsi="Arial" w:hint="cs"/>
          <w:sz w:val="27"/>
          <w:rtl/>
          <w:lang w:bidi="ar-LB"/>
        </w:rPr>
        <w:t>ُّ</w:t>
      </w:r>
      <w:r w:rsidRPr="00282AC9">
        <w:rPr>
          <w:rFonts w:ascii="Arial" w:eastAsia="Calibri" w:hAnsi="Arial"/>
          <w:sz w:val="27"/>
          <w:rtl/>
          <w:lang w:bidi="ar-LB"/>
        </w:rPr>
        <w:t>ن</w:t>
      </w:r>
      <w:r w:rsidR="00C13D0C" w:rsidRPr="00282AC9">
        <w:rPr>
          <w:rFonts w:ascii="Arial" w:eastAsia="Calibri" w:hAnsi="Arial" w:hint="cs"/>
          <w:sz w:val="27"/>
          <w:rtl/>
          <w:lang w:bidi="ar-LB"/>
        </w:rPr>
        <w:t>َ</w:t>
      </w:r>
      <w:r w:rsidRPr="00282AC9">
        <w:rPr>
          <w:rFonts w:ascii="Arial" w:eastAsia="Calibri" w:hAnsi="Arial"/>
          <w:sz w:val="27"/>
          <w:rtl/>
          <w:lang w:bidi="ar-LB"/>
        </w:rPr>
        <w:t>ن</w:t>
      </w:r>
      <w:r w:rsidR="00C13D0C" w:rsidRPr="00282AC9">
        <w:rPr>
          <w:rFonts w:ascii="Arial" w:eastAsia="Calibri" w:hAnsi="Arial" w:hint="cs"/>
          <w:sz w:val="27"/>
          <w:rtl/>
          <w:lang w:bidi="ar-LB"/>
        </w:rPr>
        <w:t>.</w:t>
      </w:r>
      <w:r w:rsidRPr="00282AC9">
        <w:rPr>
          <w:rFonts w:ascii="Arial" w:eastAsia="Calibri" w:hAnsi="Arial"/>
          <w:sz w:val="27"/>
          <w:rtl/>
          <w:lang w:bidi="ar-LB"/>
        </w:rPr>
        <w:t xml:space="preserve"> </w:t>
      </w:r>
      <w:r w:rsidR="00C13D0C" w:rsidRPr="00282AC9">
        <w:rPr>
          <w:rFonts w:ascii="Arial" w:eastAsia="Calibri" w:hAnsi="Arial" w:hint="cs"/>
          <w:sz w:val="27"/>
          <w:rtl/>
          <w:lang w:bidi="ar-LB"/>
        </w:rPr>
        <w:t>ومضافاً</w:t>
      </w:r>
      <w:r w:rsidRPr="00282AC9">
        <w:rPr>
          <w:rFonts w:ascii="Arial" w:eastAsia="Calibri" w:hAnsi="Arial"/>
          <w:sz w:val="27"/>
          <w:rtl/>
          <w:lang w:bidi="ar-LB"/>
        </w:rPr>
        <w:t xml:space="preserve"> </w:t>
      </w:r>
      <w:r w:rsidR="00C13D0C" w:rsidRPr="00282AC9">
        <w:rPr>
          <w:rFonts w:ascii="Arial" w:eastAsia="Calibri" w:hAnsi="Arial" w:hint="cs"/>
          <w:sz w:val="27"/>
          <w:rtl/>
          <w:lang w:bidi="ar-LB"/>
        </w:rPr>
        <w:t>إ</w:t>
      </w:r>
      <w:r w:rsidRPr="00282AC9">
        <w:rPr>
          <w:rFonts w:ascii="Arial" w:eastAsia="Calibri" w:hAnsi="Arial"/>
          <w:sz w:val="27"/>
          <w:rtl/>
          <w:lang w:bidi="ar-LB"/>
        </w:rPr>
        <w:t>لى ذلك</w:t>
      </w:r>
      <w:r w:rsidRPr="00282AC9">
        <w:rPr>
          <w:rFonts w:ascii="Arial" w:eastAsia="Calibri" w:hAnsi="Arial" w:hint="cs"/>
          <w:sz w:val="27"/>
          <w:rtl/>
          <w:lang w:bidi="ar-LB"/>
        </w:rPr>
        <w:t>،</w:t>
      </w:r>
      <w:r w:rsidRPr="00282AC9">
        <w:rPr>
          <w:rFonts w:ascii="Arial" w:eastAsia="Calibri" w:hAnsi="Arial"/>
          <w:sz w:val="27"/>
          <w:rtl/>
          <w:lang w:bidi="ar-LB"/>
        </w:rPr>
        <w:t xml:space="preserve"> فإنّ نمط الاستنباط الفقهي</w:t>
      </w:r>
      <w:r w:rsidR="00C13D0C" w:rsidRPr="00282AC9">
        <w:rPr>
          <w:rFonts w:ascii="Arial" w:eastAsia="Calibri" w:hAnsi="Arial" w:hint="cs"/>
          <w:sz w:val="27"/>
          <w:rtl/>
          <w:lang w:bidi="ar-LB"/>
        </w:rPr>
        <w:t>ّ</w:t>
      </w:r>
      <w:r w:rsidRPr="00282AC9">
        <w:rPr>
          <w:rFonts w:ascii="Arial" w:eastAsia="Calibri" w:hAnsi="Arial"/>
          <w:sz w:val="27"/>
          <w:rtl/>
          <w:lang w:bidi="ar-LB"/>
        </w:rPr>
        <w:t xml:space="preserve"> السائد لا يساعد على إنتاج فقه</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من هذا القبيل</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لأنّه يعتمد منهجاً تفكيكياً ذا آلي</w:t>
      </w:r>
      <w:r w:rsidR="00C13D0C" w:rsidRPr="00282AC9">
        <w:rPr>
          <w:rFonts w:ascii="Arial" w:eastAsia="Calibri" w:hAnsi="Arial" w:hint="cs"/>
          <w:sz w:val="27"/>
          <w:rtl/>
          <w:lang w:bidi="ar-LB"/>
        </w:rPr>
        <w:t>ّ</w:t>
      </w:r>
      <w:r w:rsidRPr="00282AC9">
        <w:rPr>
          <w:rFonts w:ascii="Arial" w:eastAsia="Calibri" w:hAnsi="Arial"/>
          <w:sz w:val="27"/>
          <w:rtl/>
          <w:lang w:bidi="ar-LB"/>
        </w:rPr>
        <w:t>ات</w:t>
      </w:r>
      <w:r w:rsidR="00C13D0C" w:rsidRPr="00282AC9">
        <w:rPr>
          <w:rFonts w:ascii="Arial" w:eastAsia="Calibri" w:hAnsi="Arial" w:hint="cs"/>
          <w:sz w:val="27"/>
          <w:rtl/>
          <w:lang w:bidi="ar-LB"/>
        </w:rPr>
        <w:t>ٍ</w:t>
      </w:r>
      <w:r w:rsidRPr="00282AC9">
        <w:rPr>
          <w:rFonts w:ascii="Arial" w:eastAsia="Calibri" w:hAnsi="Arial"/>
          <w:sz w:val="27"/>
          <w:rtl/>
          <w:lang w:bidi="ar-LB"/>
        </w:rPr>
        <w:t xml:space="preserve"> صناعية لا تُعنى كثيراً بالاعتبارات التربوي</w:t>
      </w:r>
      <w:r w:rsidR="00C13D0C" w:rsidRPr="00282AC9">
        <w:rPr>
          <w:rFonts w:ascii="Arial" w:eastAsia="Calibri" w:hAnsi="Arial" w:hint="cs"/>
          <w:sz w:val="27"/>
          <w:rtl/>
          <w:lang w:bidi="ar-LB"/>
        </w:rPr>
        <w:t>ّ</w:t>
      </w:r>
      <w:r w:rsidRPr="00282AC9">
        <w:rPr>
          <w:rFonts w:ascii="Arial" w:eastAsia="Calibri" w:hAnsi="Arial"/>
          <w:sz w:val="27"/>
          <w:rtl/>
          <w:lang w:bidi="ar-LB"/>
        </w:rPr>
        <w:t>ة والأخلاقية، ولا تأخذ ذلك بعين الاعتبار في الممارسة الاجتهادي</w:t>
      </w:r>
      <w:r w:rsidR="00C13D0C" w:rsidRPr="00282AC9">
        <w:rPr>
          <w:rFonts w:ascii="Arial" w:eastAsia="Calibri" w:hAnsi="Arial" w:hint="cs"/>
          <w:sz w:val="27"/>
          <w:rtl/>
          <w:lang w:bidi="ar-LB"/>
        </w:rPr>
        <w:t>ّ</w:t>
      </w:r>
      <w:r w:rsidRPr="00282AC9">
        <w:rPr>
          <w:rFonts w:ascii="Arial" w:eastAsia="Calibri" w:hAnsi="Arial"/>
          <w:sz w:val="27"/>
          <w:rtl/>
          <w:lang w:bidi="ar-LB"/>
        </w:rPr>
        <w:t>ة</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وهذا المنحى </w:t>
      </w:r>
      <w:r w:rsidRPr="00282AC9">
        <w:rPr>
          <w:rFonts w:ascii="Arial" w:eastAsia="Calibri" w:hAnsi="Arial"/>
          <w:sz w:val="27"/>
          <w:rtl/>
          <w:lang w:bidi="ar-LB"/>
        </w:rPr>
        <w:lastRenderedPageBreak/>
        <w:t>التفكيكي في العملية الاجتهادية ليس خافياً على هؤلاء الفقهاء، بل إنهم يتبن</w:t>
      </w:r>
      <w:r w:rsidR="00C13D0C" w:rsidRPr="00282AC9">
        <w:rPr>
          <w:rFonts w:ascii="Arial" w:eastAsia="Calibri" w:hAnsi="Arial" w:hint="cs"/>
          <w:sz w:val="27"/>
          <w:rtl/>
          <w:lang w:bidi="ar-LB"/>
        </w:rPr>
        <w:t>َّ</w:t>
      </w:r>
      <w:r w:rsidRPr="00282AC9">
        <w:rPr>
          <w:rFonts w:ascii="Arial" w:eastAsia="Calibri" w:hAnsi="Arial"/>
          <w:sz w:val="27"/>
          <w:rtl/>
          <w:lang w:bidi="ar-LB"/>
        </w:rPr>
        <w:t>و</w:t>
      </w:r>
      <w:r w:rsidR="00C13D0C" w:rsidRPr="00282AC9">
        <w:rPr>
          <w:rFonts w:ascii="Arial" w:eastAsia="Calibri" w:hAnsi="Arial" w:hint="cs"/>
          <w:sz w:val="27"/>
          <w:rtl/>
          <w:lang w:bidi="ar-LB"/>
        </w:rPr>
        <w:t>ْ</w:t>
      </w:r>
      <w:r w:rsidRPr="00282AC9">
        <w:rPr>
          <w:rFonts w:ascii="Arial" w:eastAsia="Calibri" w:hAnsi="Arial"/>
          <w:sz w:val="27"/>
          <w:rtl/>
          <w:lang w:bidi="ar-LB"/>
        </w:rPr>
        <w:t>نه عن و</w:t>
      </w:r>
      <w:r w:rsidR="00C13D0C" w:rsidRPr="00282AC9">
        <w:rPr>
          <w:rFonts w:ascii="Arial" w:eastAsia="Calibri" w:hAnsi="Arial" w:hint="cs"/>
          <w:sz w:val="27"/>
          <w:rtl/>
          <w:lang w:bidi="ar-LB"/>
        </w:rPr>
        <w:t>َ</w:t>
      </w:r>
      <w:r w:rsidRPr="00282AC9">
        <w:rPr>
          <w:rFonts w:ascii="Arial" w:eastAsia="Calibri" w:hAnsi="Arial"/>
          <w:sz w:val="27"/>
          <w:rtl/>
          <w:lang w:bidi="ar-LB"/>
        </w:rPr>
        <w:t>ع</w:t>
      </w:r>
      <w:r w:rsidR="00C13D0C" w:rsidRPr="00282AC9">
        <w:rPr>
          <w:rFonts w:ascii="Arial" w:eastAsia="Calibri" w:hAnsi="Arial" w:hint="cs"/>
          <w:sz w:val="27"/>
          <w:rtl/>
          <w:lang w:bidi="ar-LB"/>
        </w:rPr>
        <w:t>ْ</w:t>
      </w:r>
      <w:r w:rsidRPr="00282AC9">
        <w:rPr>
          <w:rFonts w:ascii="Arial" w:eastAsia="Calibri" w:hAnsi="Arial"/>
          <w:sz w:val="27"/>
          <w:rtl/>
          <w:lang w:bidi="ar-LB"/>
        </w:rPr>
        <w:t>ي</w:t>
      </w:r>
      <w:r w:rsidR="00C13D0C" w:rsidRPr="00282AC9">
        <w:rPr>
          <w:rFonts w:ascii="Arial" w:eastAsia="Calibri" w:hAnsi="Arial" w:hint="cs"/>
          <w:sz w:val="27"/>
          <w:rtl/>
          <w:lang w:bidi="ar-LB"/>
        </w:rPr>
        <w:t>ٍ</w:t>
      </w:r>
      <w:r w:rsidRPr="00282AC9">
        <w:rPr>
          <w:rFonts w:ascii="Arial" w:eastAsia="Calibri" w:hAnsi="Arial"/>
          <w:sz w:val="27"/>
          <w:rtl/>
          <w:lang w:bidi="ar-LB"/>
        </w:rPr>
        <w:t xml:space="preserve"> تام</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لاعتقادهم بأنّ ذلك ضروري</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من الناحية المنهجي</w:t>
      </w:r>
      <w:r w:rsidR="00C13D0C" w:rsidRPr="00282AC9">
        <w:rPr>
          <w:rFonts w:ascii="Arial" w:eastAsia="Calibri" w:hAnsi="Arial" w:hint="cs"/>
          <w:sz w:val="27"/>
          <w:rtl/>
          <w:lang w:bidi="ar-LB"/>
        </w:rPr>
        <w:t>ّ</w:t>
      </w:r>
      <w:r w:rsidRPr="00282AC9">
        <w:rPr>
          <w:rFonts w:ascii="Arial" w:eastAsia="Calibri" w:hAnsi="Arial"/>
          <w:sz w:val="27"/>
          <w:rtl/>
          <w:lang w:bidi="ar-LB"/>
        </w:rPr>
        <w:t>ة</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منعاً لتداخل العلوم المختلفة ذات الآلي</w:t>
      </w:r>
      <w:r w:rsidR="00C13D0C" w:rsidRPr="00282AC9">
        <w:rPr>
          <w:rFonts w:ascii="Arial" w:eastAsia="Calibri" w:hAnsi="Arial" w:hint="cs"/>
          <w:sz w:val="27"/>
          <w:rtl/>
          <w:lang w:bidi="ar-LB"/>
        </w:rPr>
        <w:t>ّ</w:t>
      </w:r>
      <w:r w:rsidRPr="00282AC9">
        <w:rPr>
          <w:rFonts w:ascii="Arial" w:eastAsia="Calibri" w:hAnsi="Arial"/>
          <w:sz w:val="27"/>
          <w:rtl/>
          <w:lang w:bidi="ar-LB"/>
        </w:rPr>
        <w:t>ات المتنو</w:t>
      </w:r>
      <w:r w:rsidR="00C13D0C" w:rsidRPr="00282AC9">
        <w:rPr>
          <w:rFonts w:ascii="Arial" w:eastAsia="Calibri" w:hAnsi="Arial" w:hint="cs"/>
          <w:sz w:val="27"/>
          <w:rtl/>
          <w:lang w:bidi="ar-LB"/>
        </w:rPr>
        <w:t>ِّ</w:t>
      </w:r>
      <w:r w:rsidRPr="00282AC9">
        <w:rPr>
          <w:rFonts w:ascii="Arial" w:eastAsia="Calibri" w:hAnsi="Arial"/>
          <w:sz w:val="27"/>
          <w:rtl/>
          <w:lang w:bidi="ar-LB"/>
        </w:rPr>
        <w:t>عة</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ولذا كثيراً ما يواجهنا في كلام بعض الفقهاء اعتراضهم على دلالة حديث</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معيّن بأنّ مفاده ليس حكماً شرعياً إلزامي</w:t>
      </w:r>
      <w:r w:rsidR="00C13D0C" w:rsidRPr="00282AC9">
        <w:rPr>
          <w:rFonts w:ascii="Arial" w:eastAsia="Calibri" w:hAnsi="Arial" w:hint="cs"/>
          <w:sz w:val="27"/>
          <w:rtl/>
          <w:lang w:bidi="ar-LB"/>
        </w:rPr>
        <w:t>ّ</w:t>
      </w:r>
      <w:r w:rsidRPr="00282AC9">
        <w:rPr>
          <w:rFonts w:ascii="Arial" w:eastAsia="Calibri" w:hAnsi="Arial"/>
          <w:sz w:val="27"/>
          <w:rtl/>
          <w:lang w:bidi="ar-LB"/>
        </w:rPr>
        <w:t>اً</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وإنّما هو حكم</w:t>
      </w:r>
      <w:r w:rsidR="00C13D0C" w:rsidRPr="00282AC9">
        <w:rPr>
          <w:rFonts w:ascii="Arial" w:eastAsia="Calibri" w:hAnsi="Arial" w:hint="cs"/>
          <w:sz w:val="27"/>
          <w:rtl/>
          <w:lang w:bidi="ar-LB"/>
        </w:rPr>
        <w:t>ٌ</w:t>
      </w:r>
      <w:r w:rsidRPr="00282AC9">
        <w:rPr>
          <w:rFonts w:ascii="Arial" w:eastAsia="Calibri" w:hAnsi="Arial"/>
          <w:sz w:val="27"/>
          <w:rtl/>
          <w:lang w:bidi="ar-LB"/>
        </w:rPr>
        <w:t xml:space="preserve"> أخلاقي</w:t>
      </w:r>
      <w:r w:rsidR="00C13D0C" w:rsidRPr="00282AC9">
        <w:rPr>
          <w:rFonts w:ascii="Arial" w:eastAsia="Calibri" w:hAnsi="Arial" w:hint="cs"/>
          <w:sz w:val="27"/>
          <w:rtl/>
          <w:lang w:bidi="ar-LB"/>
        </w:rPr>
        <w:t>ّ</w:t>
      </w:r>
      <w:r w:rsidRPr="00282AC9">
        <w:rPr>
          <w:rFonts w:ascii="Arial" w:eastAsia="Calibri" w:hAnsi="Arial"/>
          <w:sz w:val="27"/>
          <w:rtl/>
          <w:lang w:bidi="ar-LB"/>
        </w:rPr>
        <w:t>، أو ي</w:t>
      </w:r>
      <w:r w:rsidR="00C13D0C" w:rsidRPr="00282AC9">
        <w:rPr>
          <w:rFonts w:ascii="Arial" w:eastAsia="Calibri" w:hAnsi="Arial" w:hint="cs"/>
          <w:sz w:val="27"/>
          <w:rtl/>
          <w:lang w:bidi="ar-LB"/>
        </w:rPr>
        <w:t>ُ</w:t>
      </w:r>
      <w:r w:rsidRPr="00282AC9">
        <w:rPr>
          <w:rFonts w:ascii="Arial" w:eastAsia="Calibri" w:hAnsi="Arial"/>
          <w:sz w:val="27"/>
          <w:rtl/>
          <w:lang w:bidi="ar-LB"/>
        </w:rPr>
        <w:t xml:space="preserve">قال: </w:t>
      </w:r>
      <w:r w:rsidRPr="00282AC9">
        <w:rPr>
          <w:rFonts w:hint="eastAsia"/>
          <w:sz w:val="24"/>
          <w:szCs w:val="24"/>
          <w:rtl/>
        </w:rPr>
        <w:t>«</w:t>
      </w:r>
      <w:r w:rsidRPr="00282AC9">
        <w:rPr>
          <w:rFonts w:ascii="Arial" w:eastAsia="Calibri" w:hAnsi="Arial"/>
          <w:sz w:val="27"/>
          <w:rtl/>
          <w:lang w:bidi="ar-LB"/>
        </w:rPr>
        <w:t>إنّ هذه المسألة أخلاقي</w:t>
      </w:r>
      <w:r w:rsidR="00C13D0C" w:rsidRPr="00282AC9">
        <w:rPr>
          <w:rFonts w:ascii="Arial" w:eastAsia="Calibri" w:hAnsi="Arial" w:hint="cs"/>
          <w:sz w:val="27"/>
          <w:rtl/>
          <w:lang w:bidi="ar-LB"/>
        </w:rPr>
        <w:t>ّ</w:t>
      </w:r>
      <w:r w:rsidRPr="00282AC9">
        <w:rPr>
          <w:rFonts w:ascii="Arial" w:eastAsia="Calibri" w:hAnsi="Arial"/>
          <w:sz w:val="27"/>
          <w:rtl/>
          <w:lang w:bidi="ar-LB"/>
        </w:rPr>
        <w:t>ة</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وليست فقهية</w:t>
      </w:r>
      <w:r w:rsidRPr="00282AC9">
        <w:rPr>
          <w:rFonts w:hint="eastAsia"/>
          <w:sz w:val="24"/>
          <w:szCs w:val="24"/>
          <w:rtl/>
        </w:rPr>
        <w:t>»</w:t>
      </w:r>
      <w:r w:rsidRPr="00282AC9">
        <w:rPr>
          <w:rFonts w:ascii="Arial" w:eastAsia="Calibri" w:hAnsi="Arial"/>
          <w:sz w:val="27"/>
          <w:vertAlign w:val="superscript"/>
          <w:rtl/>
          <w:lang w:bidi="ar-LB"/>
        </w:rPr>
        <w:t>(</w:t>
      </w:r>
      <w:r w:rsidRPr="00282AC9">
        <w:rPr>
          <w:rFonts w:ascii="Arial" w:eastAsia="Calibri" w:hAnsi="Arial"/>
          <w:sz w:val="27"/>
          <w:vertAlign w:val="superscript"/>
          <w:rtl/>
          <w:lang w:bidi="ar-LB"/>
        </w:rPr>
        <w:endnoteReference w:id="204"/>
      </w:r>
      <w:r w:rsidRPr="00282AC9">
        <w:rPr>
          <w:rFonts w:ascii="Arial" w:eastAsia="Calibri" w:hAnsi="Arial"/>
          <w:sz w:val="27"/>
          <w:vertAlign w:val="superscript"/>
          <w:rtl/>
          <w:lang w:bidi="ar-LB"/>
        </w:rPr>
        <w:t>)</w:t>
      </w:r>
      <w:r w:rsidR="00C13D0C" w:rsidRPr="00282AC9">
        <w:rPr>
          <w:rFonts w:ascii="Arial" w:eastAsia="Calibri" w:hAnsi="Arial"/>
          <w:sz w:val="27"/>
          <w:rtl/>
          <w:lang w:bidi="ar-LB"/>
        </w:rPr>
        <w:t>!</w:t>
      </w:r>
      <w:r w:rsidRPr="00282AC9">
        <w:rPr>
          <w:rFonts w:ascii="Arial" w:eastAsia="Calibri" w:hAnsi="Arial"/>
          <w:sz w:val="27"/>
          <w:rtl/>
          <w:lang w:bidi="ar-LB"/>
        </w:rPr>
        <w:t xml:space="preserve"> وهذه الثنائية </w:t>
      </w:r>
      <w:r w:rsidRPr="00282AC9">
        <w:rPr>
          <w:rFonts w:ascii="Arial" w:eastAsia="Calibri" w:hAnsi="Arial" w:hint="cs"/>
          <w:sz w:val="27"/>
          <w:rtl/>
          <w:lang w:bidi="ar-LB"/>
        </w:rPr>
        <w:t>في تصنيف الد</w:t>
      </w:r>
      <w:r w:rsidR="00C13D0C" w:rsidRPr="00282AC9">
        <w:rPr>
          <w:rFonts w:ascii="Arial" w:eastAsia="Calibri" w:hAnsi="Arial" w:hint="cs"/>
          <w:sz w:val="27"/>
          <w:rtl/>
          <w:lang w:bidi="ar-LB"/>
        </w:rPr>
        <w:t>ِّ</w:t>
      </w:r>
      <w:r w:rsidRPr="00282AC9">
        <w:rPr>
          <w:rFonts w:ascii="Arial" w:eastAsia="Calibri" w:hAnsi="Arial" w:hint="cs"/>
          <w:sz w:val="27"/>
          <w:rtl/>
          <w:lang w:bidi="ar-LB"/>
        </w:rPr>
        <w:t xml:space="preserve">ين </w:t>
      </w:r>
      <w:r w:rsidRPr="00282AC9">
        <w:rPr>
          <w:rFonts w:ascii="Arial" w:eastAsia="Calibri" w:hAnsi="Arial"/>
          <w:sz w:val="27"/>
          <w:rtl/>
          <w:lang w:bidi="ar-LB"/>
        </w:rPr>
        <w:t>قد تعطيك انطباعاً مخادعاً بأنّ الفقه هو مجر</w:t>
      </w:r>
      <w:r w:rsidR="00C13D0C" w:rsidRPr="00282AC9">
        <w:rPr>
          <w:rFonts w:ascii="Arial" w:eastAsia="Calibri" w:hAnsi="Arial" w:hint="cs"/>
          <w:sz w:val="27"/>
          <w:rtl/>
          <w:lang w:bidi="ar-LB"/>
        </w:rPr>
        <w:t>ّ</w:t>
      </w:r>
      <w:r w:rsidRPr="00282AC9">
        <w:rPr>
          <w:rFonts w:ascii="Arial" w:eastAsia="Calibri" w:hAnsi="Arial"/>
          <w:sz w:val="27"/>
          <w:rtl/>
          <w:lang w:bidi="ar-LB"/>
        </w:rPr>
        <w:t>د تعاليم جامدة</w:t>
      </w:r>
      <w:r w:rsidR="00C13D0C" w:rsidRPr="00282AC9">
        <w:rPr>
          <w:rFonts w:ascii="Arial" w:eastAsia="Calibri" w:hAnsi="Arial" w:hint="cs"/>
          <w:sz w:val="27"/>
          <w:rtl/>
          <w:lang w:bidi="ar-LB"/>
        </w:rPr>
        <w:t>،</w:t>
      </w:r>
      <w:r w:rsidRPr="00282AC9">
        <w:rPr>
          <w:rFonts w:ascii="Arial" w:eastAsia="Calibri" w:hAnsi="Arial"/>
          <w:sz w:val="27"/>
          <w:rtl/>
          <w:lang w:bidi="ar-LB"/>
        </w:rPr>
        <w:t xml:space="preserve"> لا تمتّ إلى الأخلاق بصلة</w:t>
      </w:r>
      <w:r w:rsidR="00C13D0C" w:rsidRPr="00282AC9">
        <w:rPr>
          <w:rFonts w:ascii="Arial" w:eastAsia="Calibri" w:hAnsi="Arial" w:hint="cs"/>
          <w:sz w:val="27"/>
          <w:rtl/>
          <w:lang w:bidi="ar-LB"/>
        </w:rPr>
        <w:t>ٍ</w:t>
      </w:r>
      <w:r w:rsidRPr="00282AC9">
        <w:rPr>
          <w:rFonts w:ascii="Arial" w:eastAsia="Calibri" w:hAnsi="Arial"/>
          <w:sz w:val="27"/>
          <w:rtl/>
          <w:lang w:bidi="ar-LB"/>
        </w:rPr>
        <w:t>، والحال أنّ الأخلاق هي روح الفقه.</w:t>
      </w:r>
    </w:p>
    <w:p w:rsidR="0098597F" w:rsidRPr="00282AC9" w:rsidRDefault="0098597F" w:rsidP="004F097E">
      <w:pPr>
        <w:contextualSpacing/>
        <w:rPr>
          <w:rFonts w:ascii="Arial" w:eastAsia="Calibri" w:hAnsi="Arial"/>
          <w:sz w:val="27"/>
          <w:rtl/>
        </w:rPr>
      </w:pPr>
      <w:r w:rsidRPr="00282AC9">
        <w:rPr>
          <w:rFonts w:ascii="Arial" w:eastAsia="Calibri" w:hAnsi="Arial"/>
          <w:sz w:val="27"/>
          <w:rtl/>
        </w:rPr>
        <w:t>إننا نسج</w:t>
      </w:r>
      <w:r w:rsidR="00C13D0C" w:rsidRPr="00282AC9">
        <w:rPr>
          <w:rFonts w:ascii="Arial" w:eastAsia="Calibri" w:hAnsi="Arial" w:hint="cs"/>
          <w:sz w:val="27"/>
          <w:rtl/>
        </w:rPr>
        <w:t>ِّ</w:t>
      </w:r>
      <w:r w:rsidRPr="00282AC9">
        <w:rPr>
          <w:rFonts w:ascii="Arial" w:eastAsia="Calibri" w:hAnsi="Arial"/>
          <w:sz w:val="27"/>
          <w:rtl/>
        </w:rPr>
        <w:t>ل تحف</w:t>
      </w:r>
      <w:r w:rsidR="00C13D0C" w:rsidRPr="00282AC9">
        <w:rPr>
          <w:rFonts w:ascii="Arial" w:eastAsia="Calibri" w:hAnsi="Arial" w:hint="cs"/>
          <w:sz w:val="27"/>
          <w:rtl/>
        </w:rPr>
        <w:t>ُّ</w:t>
      </w:r>
      <w:r w:rsidRPr="00282AC9">
        <w:rPr>
          <w:rFonts w:ascii="Arial" w:eastAsia="Calibri" w:hAnsi="Arial"/>
          <w:sz w:val="27"/>
          <w:rtl/>
        </w:rPr>
        <w:t>ظاً منهجي</w:t>
      </w:r>
      <w:r w:rsidR="00C13D0C" w:rsidRPr="00282AC9">
        <w:rPr>
          <w:rFonts w:ascii="Arial" w:eastAsia="Calibri" w:hAnsi="Arial" w:hint="cs"/>
          <w:sz w:val="27"/>
          <w:rtl/>
        </w:rPr>
        <w:t>ّ</w:t>
      </w:r>
      <w:r w:rsidRPr="00282AC9">
        <w:rPr>
          <w:rFonts w:ascii="Arial" w:eastAsia="Calibri" w:hAnsi="Arial"/>
          <w:sz w:val="27"/>
          <w:rtl/>
        </w:rPr>
        <w:t>اً سريعاً على هذا الن</w:t>
      </w:r>
      <w:r w:rsidR="00C13D0C" w:rsidRPr="00282AC9">
        <w:rPr>
          <w:rFonts w:ascii="Arial" w:eastAsia="Calibri" w:hAnsi="Arial" w:hint="cs"/>
          <w:sz w:val="27"/>
          <w:rtl/>
        </w:rPr>
        <w:t>َّ</w:t>
      </w:r>
      <w:r w:rsidRPr="00282AC9">
        <w:rPr>
          <w:rFonts w:ascii="Arial" w:eastAsia="Calibri" w:hAnsi="Arial"/>
          <w:sz w:val="27"/>
          <w:rtl/>
        </w:rPr>
        <w:t>م</w:t>
      </w:r>
      <w:r w:rsidR="00C13D0C" w:rsidRPr="00282AC9">
        <w:rPr>
          <w:rFonts w:ascii="Arial" w:eastAsia="Calibri" w:hAnsi="Arial" w:hint="cs"/>
          <w:sz w:val="27"/>
          <w:rtl/>
        </w:rPr>
        <w:t>َ</w:t>
      </w:r>
      <w:r w:rsidRPr="00282AC9">
        <w:rPr>
          <w:rFonts w:ascii="Arial" w:eastAsia="Calibri" w:hAnsi="Arial"/>
          <w:sz w:val="27"/>
          <w:rtl/>
        </w:rPr>
        <w:t>ط الاجتهادي</w:t>
      </w:r>
      <w:r w:rsidR="00C13D0C" w:rsidRPr="00282AC9">
        <w:rPr>
          <w:rFonts w:ascii="Arial" w:eastAsia="Calibri" w:hAnsi="Arial" w:hint="cs"/>
          <w:sz w:val="27"/>
          <w:rtl/>
        </w:rPr>
        <w:t>ّ،</w:t>
      </w:r>
      <w:r w:rsidRPr="00282AC9">
        <w:rPr>
          <w:rFonts w:ascii="Arial" w:eastAsia="Calibri" w:hAnsi="Arial"/>
          <w:sz w:val="27"/>
          <w:rtl/>
        </w:rPr>
        <w:t xml:space="preserve"> وحاصله: إنّ هذا التفكيك الصارم بين الفقه والأخلاق غير دقيق</w:t>
      </w:r>
      <w:r w:rsidR="00C13D0C" w:rsidRPr="00282AC9">
        <w:rPr>
          <w:rFonts w:ascii="Arial" w:eastAsia="Calibri" w:hAnsi="Arial" w:hint="cs"/>
          <w:sz w:val="27"/>
          <w:rtl/>
        </w:rPr>
        <w:t>؛</w:t>
      </w:r>
      <w:r w:rsidRPr="00282AC9">
        <w:rPr>
          <w:rFonts w:ascii="Arial" w:eastAsia="Calibri" w:hAnsi="Arial"/>
          <w:sz w:val="27"/>
          <w:rtl/>
        </w:rPr>
        <w:t xml:space="preserve"> لأنّه عُمِلَ </w:t>
      </w:r>
      <w:r w:rsidRPr="00282AC9">
        <w:rPr>
          <w:rFonts w:ascii="Arial" w:eastAsia="Calibri" w:hAnsi="Arial" w:hint="cs"/>
          <w:sz w:val="27"/>
          <w:rtl/>
        </w:rPr>
        <w:t xml:space="preserve">في ضوئه </w:t>
      </w:r>
      <w:r w:rsidRPr="00282AC9">
        <w:rPr>
          <w:rFonts w:ascii="Arial" w:eastAsia="Calibri" w:hAnsi="Arial"/>
          <w:sz w:val="27"/>
          <w:rtl/>
        </w:rPr>
        <w:t>على عزل التقنين والتشريع عن الاعتبارات التربوي</w:t>
      </w:r>
      <w:r w:rsidR="00C13D0C" w:rsidRPr="00282AC9">
        <w:rPr>
          <w:rFonts w:ascii="Arial" w:eastAsia="Calibri" w:hAnsi="Arial" w:hint="cs"/>
          <w:sz w:val="27"/>
          <w:rtl/>
        </w:rPr>
        <w:t>ّ</w:t>
      </w:r>
      <w:r w:rsidRPr="00282AC9">
        <w:rPr>
          <w:rFonts w:ascii="Arial" w:eastAsia="Calibri" w:hAnsi="Arial"/>
          <w:sz w:val="27"/>
          <w:rtl/>
        </w:rPr>
        <w:t>ة والأخلاقي</w:t>
      </w:r>
      <w:r w:rsidR="00C13D0C" w:rsidRPr="00282AC9">
        <w:rPr>
          <w:rFonts w:ascii="Arial" w:eastAsia="Calibri" w:hAnsi="Arial" w:hint="cs"/>
          <w:sz w:val="27"/>
          <w:rtl/>
        </w:rPr>
        <w:t>ّ</w:t>
      </w:r>
      <w:r w:rsidRPr="00282AC9">
        <w:rPr>
          <w:rFonts w:ascii="Arial" w:eastAsia="Calibri" w:hAnsi="Arial"/>
          <w:sz w:val="27"/>
          <w:rtl/>
        </w:rPr>
        <w:t>ة، وكأنّ الفقيه يمارس مهم</w:t>
      </w:r>
      <w:r w:rsidR="00C13D0C" w:rsidRPr="00282AC9">
        <w:rPr>
          <w:rFonts w:ascii="Arial" w:eastAsia="Calibri" w:hAnsi="Arial" w:hint="cs"/>
          <w:sz w:val="27"/>
          <w:rtl/>
        </w:rPr>
        <w:t>ّ</w:t>
      </w:r>
      <w:r w:rsidRPr="00282AC9">
        <w:rPr>
          <w:rFonts w:ascii="Arial" w:eastAsia="Calibri" w:hAnsi="Arial"/>
          <w:sz w:val="27"/>
          <w:rtl/>
        </w:rPr>
        <w:t>ته الاجتهادية في جزيرة</w:t>
      </w:r>
      <w:r w:rsidR="00C13D0C" w:rsidRPr="00282AC9">
        <w:rPr>
          <w:rFonts w:ascii="Arial" w:eastAsia="Calibri" w:hAnsi="Arial" w:hint="cs"/>
          <w:sz w:val="27"/>
          <w:rtl/>
        </w:rPr>
        <w:t>ٍ</w:t>
      </w:r>
      <w:r w:rsidRPr="00282AC9">
        <w:rPr>
          <w:rFonts w:ascii="Arial" w:eastAsia="Calibri" w:hAnsi="Arial"/>
          <w:sz w:val="27"/>
          <w:rtl/>
        </w:rPr>
        <w:t xml:space="preserve"> معزولة لا وجود للإنسان فيها! أو كأنّ الفقه مجر</w:t>
      </w:r>
      <w:r w:rsidR="00C13D0C" w:rsidRPr="00282AC9">
        <w:rPr>
          <w:rFonts w:ascii="Arial" w:eastAsia="Calibri" w:hAnsi="Arial" w:hint="cs"/>
          <w:sz w:val="27"/>
          <w:rtl/>
        </w:rPr>
        <w:t>ّ</w:t>
      </w:r>
      <w:r w:rsidRPr="00282AC9">
        <w:rPr>
          <w:rFonts w:ascii="Arial" w:eastAsia="Calibri" w:hAnsi="Arial"/>
          <w:sz w:val="27"/>
          <w:rtl/>
        </w:rPr>
        <w:t>د قوالب جامدة لا علاقة له بالاعتبارات الأخلاقي</w:t>
      </w:r>
      <w:r w:rsidR="00C13D0C" w:rsidRPr="00282AC9">
        <w:rPr>
          <w:rFonts w:ascii="Arial" w:eastAsia="Calibri" w:hAnsi="Arial" w:hint="cs"/>
          <w:sz w:val="27"/>
          <w:rtl/>
        </w:rPr>
        <w:t>ّ</w:t>
      </w:r>
      <w:r w:rsidRPr="00282AC9">
        <w:rPr>
          <w:rFonts w:ascii="Arial" w:eastAsia="Calibri" w:hAnsi="Arial"/>
          <w:sz w:val="27"/>
          <w:rtl/>
        </w:rPr>
        <w:t>ة والروحي</w:t>
      </w:r>
      <w:r w:rsidR="00C13D0C" w:rsidRPr="00282AC9">
        <w:rPr>
          <w:rFonts w:ascii="Arial" w:eastAsia="Calibri" w:hAnsi="Arial" w:hint="cs"/>
          <w:sz w:val="27"/>
          <w:rtl/>
        </w:rPr>
        <w:t>ّ</w:t>
      </w:r>
      <w:r w:rsidRPr="00282AC9">
        <w:rPr>
          <w:rFonts w:ascii="Arial" w:eastAsia="Calibri" w:hAnsi="Arial"/>
          <w:sz w:val="27"/>
          <w:rtl/>
        </w:rPr>
        <w:t>ة</w:t>
      </w:r>
      <w:r w:rsidR="00AA0C53" w:rsidRPr="00282AC9">
        <w:rPr>
          <w:rFonts w:ascii="Arial" w:eastAsia="Calibri" w:hAnsi="Arial" w:hint="cs"/>
          <w:sz w:val="27"/>
          <w:rtl/>
        </w:rPr>
        <w:t>.</w:t>
      </w:r>
      <w:r w:rsidRPr="00282AC9">
        <w:rPr>
          <w:rFonts w:ascii="Arial" w:eastAsia="Calibri" w:hAnsi="Arial"/>
          <w:sz w:val="27"/>
          <w:rtl/>
        </w:rPr>
        <w:t xml:space="preserve"> مع أنّ الأخلاق في الحقيقة ينبغي أن تكون روح القوانين، و</w:t>
      </w:r>
      <w:r w:rsidR="00674EF5" w:rsidRPr="00282AC9">
        <w:rPr>
          <w:rFonts w:ascii="Arial" w:eastAsia="Calibri" w:hAnsi="Arial"/>
          <w:sz w:val="27"/>
          <w:rtl/>
        </w:rPr>
        <w:t>لا بُدَّ</w:t>
      </w:r>
      <w:r w:rsidRPr="00282AC9">
        <w:rPr>
          <w:rFonts w:ascii="Arial" w:eastAsia="Calibri" w:hAnsi="Arial"/>
          <w:sz w:val="27"/>
          <w:rtl/>
        </w:rPr>
        <w:t xml:space="preserve"> أن يستهديها المقن</w:t>
      </w:r>
      <w:r w:rsidR="00AA0C53" w:rsidRPr="00282AC9">
        <w:rPr>
          <w:rFonts w:ascii="Arial" w:eastAsia="Calibri" w:hAnsi="Arial" w:hint="cs"/>
          <w:sz w:val="27"/>
          <w:rtl/>
        </w:rPr>
        <w:t>ِّ</w:t>
      </w:r>
      <w:r w:rsidRPr="00282AC9">
        <w:rPr>
          <w:rFonts w:ascii="Arial" w:eastAsia="Calibri" w:hAnsi="Arial"/>
          <w:sz w:val="27"/>
          <w:rtl/>
        </w:rPr>
        <w:t>ن</w:t>
      </w:r>
      <w:r w:rsidR="00AA0C53" w:rsidRPr="00282AC9">
        <w:rPr>
          <w:rFonts w:ascii="Arial" w:eastAsia="Calibri" w:hAnsi="Arial" w:hint="cs"/>
          <w:sz w:val="27"/>
          <w:rtl/>
        </w:rPr>
        <w:t>؛</w:t>
      </w:r>
      <w:r w:rsidRPr="00282AC9">
        <w:rPr>
          <w:rFonts w:ascii="Arial" w:eastAsia="Calibri" w:hAnsi="Arial"/>
          <w:sz w:val="27"/>
          <w:rtl/>
        </w:rPr>
        <w:t xml:space="preserve"> باعتبارها واحدة</w:t>
      </w:r>
      <w:r w:rsidR="00AA0C53" w:rsidRPr="00282AC9">
        <w:rPr>
          <w:rFonts w:ascii="Arial" w:eastAsia="Calibri" w:hAnsi="Arial" w:hint="cs"/>
          <w:sz w:val="27"/>
          <w:rtl/>
        </w:rPr>
        <w:t>ً</w:t>
      </w:r>
      <w:r w:rsidRPr="00282AC9">
        <w:rPr>
          <w:rFonts w:ascii="Arial" w:eastAsia="Calibri" w:hAnsi="Arial"/>
          <w:sz w:val="27"/>
          <w:rtl/>
        </w:rPr>
        <w:t xml:space="preserve"> من أهم</w:t>
      </w:r>
      <w:r w:rsidR="00AA0C53" w:rsidRPr="00282AC9">
        <w:rPr>
          <w:rFonts w:ascii="Arial" w:eastAsia="Calibri" w:hAnsi="Arial" w:hint="cs"/>
          <w:sz w:val="27"/>
          <w:rtl/>
        </w:rPr>
        <w:t>ّ</w:t>
      </w:r>
      <w:r w:rsidRPr="00282AC9">
        <w:rPr>
          <w:rFonts w:ascii="Arial" w:eastAsia="Calibri" w:hAnsi="Arial"/>
          <w:sz w:val="27"/>
          <w:rtl/>
        </w:rPr>
        <w:t xml:space="preserve"> مقاصد الد</w:t>
      </w:r>
      <w:r w:rsidR="00AA0C53" w:rsidRPr="00282AC9">
        <w:rPr>
          <w:rFonts w:ascii="Arial" w:eastAsia="Calibri" w:hAnsi="Arial" w:hint="cs"/>
          <w:sz w:val="27"/>
          <w:rtl/>
        </w:rPr>
        <w:t>ِّ</w:t>
      </w:r>
      <w:r w:rsidRPr="00282AC9">
        <w:rPr>
          <w:rFonts w:ascii="Arial" w:eastAsia="Calibri" w:hAnsi="Arial"/>
          <w:sz w:val="27"/>
          <w:rtl/>
        </w:rPr>
        <w:t>ين، وفقاً لقول رسول الله</w:t>
      </w:r>
      <w:r w:rsidR="009A2A04" w:rsidRPr="00282AC9">
        <w:rPr>
          <w:rFonts w:ascii="Arial" w:eastAsia="Calibri" w:hAnsi="Arial" w:cs="Mosawi"/>
          <w:sz w:val="22"/>
          <w:szCs w:val="22"/>
          <w:rtl/>
        </w:rPr>
        <w:t>|</w:t>
      </w:r>
      <w:r w:rsidRPr="00282AC9">
        <w:rPr>
          <w:rFonts w:ascii="Arial" w:eastAsia="Calibri" w:hAnsi="Arial"/>
          <w:sz w:val="27"/>
          <w:rtl/>
        </w:rPr>
        <w:t xml:space="preserve">: </w:t>
      </w:r>
      <w:r w:rsidRPr="00282AC9">
        <w:rPr>
          <w:rFonts w:hint="eastAsia"/>
          <w:sz w:val="24"/>
          <w:szCs w:val="24"/>
          <w:rtl/>
        </w:rPr>
        <w:t>«</w:t>
      </w:r>
      <w:r w:rsidRPr="00282AC9">
        <w:rPr>
          <w:rFonts w:ascii="Arial" w:eastAsia="Calibri" w:hAnsi="Arial"/>
          <w:sz w:val="27"/>
          <w:rtl/>
        </w:rPr>
        <w:t>إنما ب</w:t>
      </w:r>
      <w:r w:rsidR="00AA0C53" w:rsidRPr="00282AC9">
        <w:rPr>
          <w:rFonts w:ascii="Arial" w:eastAsia="Calibri" w:hAnsi="Arial" w:hint="cs"/>
          <w:sz w:val="27"/>
          <w:rtl/>
        </w:rPr>
        <w:t>ُ</w:t>
      </w:r>
      <w:r w:rsidRPr="00282AC9">
        <w:rPr>
          <w:rFonts w:ascii="Arial" w:eastAsia="Calibri" w:hAnsi="Arial"/>
          <w:sz w:val="27"/>
          <w:rtl/>
        </w:rPr>
        <w:t>عث</w:t>
      </w:r>
      <w:r w:rsidR="00AA0C53" w:rsidRPr="00282AC9">
        <w:rPr>
          <w:rFonts w:ascii="Arial" w:eastAsia="Calibri" w:hAnsi="Arial" w:hint="cs"/>
          <w:sz w:val="27"/>
          <w:rtl/>
        </w:rPr>
        <w:t>ْ</w:t>
      </w:r>
      <w:r w:rsidRPr="00282AC9">
        <w:rPr>
          <w:rFonts w:ascii="Arial" w:eastAsia="Calibri" w:hAnsi="Arial"/>
          <w:sz w:val="27"/>
          <w:rtl/>
        </w:rPr>
        <w:t>ت</w:t>
      </w:r>
      <w:r w:rsidR="00AA0C53" w:rsidRPr="00282AC9">
        <w:rPr>
          <w:rFonts w:ascii="Arial" w:eastAsia="Calibri" w:hAnsi="Arial" w:hint="cs"/>
          <w:sz w:val="27"/>
          <w:rtl/>
        </w:rPr>
        <w:t>ُ</w:t>
      </w:r>
      <w:r w:rsidRPr="00282AC9">
        <w:rPr>
          <w:rFonts w:ascii="Arial" w:eastAsia="Calibri" w:hAnsi="Arial"/>
          <w:sz w:val="27"/>
          <w:rtl/>
        </w:rPr>
        <w:t xml:space="preserve"> لأتم</w:t>
      </w:r>
      <w:r w:rsidR="00AA0C53" w:rsidRPr="00282AC9">
        <w:rPr>
          <w:rFonts w:ascii="Arial" w:eastAsia="Calibri" w:hAnsi="Arial" w:hint="cs"/>
          <w:sz w:val="27"/>
          <w:rtl/>
        </w:rPr>
        <w:t>ِّ</w:t>
      </w:r>
      <w:r w:rsidRPr="00282AC9">
        <w:rPr>
          <w:rFonts w:ascii="Arial" w:eastAsia="Calibri" w:hAnsi="Arial"/>
          <w:sz w:val="27"/>
          <w:rtl/>
        </w:rPr>
        <w:t>م مكارم الأخلاق</w:t>
      </w:r>
      <w:r w:rsidRPr="00282AC9">
        <w:rPr>
          <w:rFonts w:hint="eastAsia"/>
          <w:sz w:val="24"/>
          <w:szCs w:val="24"/>
          <w:rtl/>
        </w:rPr>
        <w:t>»</w:t>
      </w:r>
      <w:r w:rsidRPr="00282AC9">
        <w:rPr>
          <w:rFonts w:ascii="Arial" w:eastAsia="Calibri" w:hAnsi="Arial"/>
          <w:sz w:val="27"/>
          <w:vertAlign w:val="superscript"/>
          <w:rtl/>
        </w:rPr>
        <w:t>(</w:t>
      </w:r>
      <w:r w:rsidRPr="00282AC9">
        <w:rPr>
          <w:rFonts w:ascii="Arial" w:eastAsia="Calibri" w:hAnsi="Arial"/>
          <w:sz w:val="27"/>
          <w:vertAlign w:val="superscript"/>
          <w:rtl/>
        </w:rPr>
        <w:endnoteReference w:id="205"/>
      </w:r>
      <w:r w:rsidRPr="00282AC9">
        <w:rPr>
          <w:rFonts w:ascii="Arial" w:eastAsia="Calibri" w:hAnsi="Arial"/>
          <w:sz w:val="27"/>
          <w:vertAlign w:val="superscript"/>
          <w:rtl/>
        </w:rPr>
        <w:t>)</w:t>
      </w:r>
      <w:r w:rsidRPr="00282AC9">
        <w:rPr>
          <w:rFonts w:ascii="Arial" w:eastAsia="Calibri" w:hAnsi="Arial"/>
          <w:sz w:val="27"/>
          <w:rtl/>
        </w:rPr>
        <w:t>.</w:t>
      </w:r>
    </w:p>
    <w:p w:rsidR="0098597F" w:rsidRPr="00282AC9" w:rsidRDefault="0098597F" w:rsidP="004F097E">
      <w:pPr>
        <w:contextualSpacing/>
        <w:rPr>
          <w:rFonts w:ascii="Arial" w:eastAsia="Calibri" w:hAnsi="Arial"/>
          <w:sz w:val="27"/>
          <w:rtl/>
        </w:rPr>
      </w:pPr>
      <w:r w:rsidRPr="00282AC9">
        <w:rPr>
          <w:rFonts w:ascii="Arial" w:eastAsia="Calibri" w:hAnsi="Arial"/>
          <w:sz w:val="27"/>
          <w:rtl/>
        </w:rPr>
        <w:t>وقد كان لهذا المنهج التفكيكي</w:t>
      </w:r>
      <w:r w:rsidR="00AA0C53" w:rsidRPr="00282AC9">
        <w:rPr>
          <w:rFonts w:ascii="Arial" w:eastAsia="Calibri" w:hAnsi="Arial" w:hint="cs"/>
          <w:sz w:val="27"/>
          <w:rtl/>
        </w:rPr>
        <w:t>،</w:t>
      </w:r>
      <w:r w:rsidRPr="00282AC9">
        <w:rPr>
          <w:rFonts w:ascii="Arial" w:eastAsia="Calibri" w:hAnsi="Arial"/>
          <w:sz w:val="27"/>
          <w:rtl/>
        </w:rPr>
        <w:t xml:space="preserve"> </w:t>
      </w:r>
      <w:r w:rsidRPr="00282AC9">
        <w:rPr>
          <w:rFonts w:ascii="Arial" w:eastAsia="Calibri" w:hAnsi="Arial" w:hint="cs"/>
          <w:sz w:val="27"/>
          <w:rtl/>
        </w:rPr>
        <w:t>الذي يغفل مقاصد التشريع</w:t>
      </w:r>
      <w:r w:rsidR="00AA0C53" w:rsidRPr="00282AC9">
        <w:rPr>
          <w:rFonts w:ascii="Arial" w:eastAsia="Calibri" w:hAnsi="Arial" w:hint="cs"/>
          <w:sz w:val="27"/>
          <w:rtl/>
        </w:rPr>
        <w:t>،</w:t>
      </w:r>
      <w:r w:rsidRPr="00282AC9">
        <w:rPr>
          <w:rFonts w:ascii="Arial" w:eastAsia="Calibri" w:hAnsi="Arial" w:hint="cs"/>
          <w:sz w:val="27"/>
          <w:rtl/>
        </w:rPr>
        <w:t xml:space="preserve"> ويتعامل مع النصوص بطريقة</w:t>
      </w:r>
      <w:r w:rsidR="00AA0C53" w:rsidRPr="00282AC9">
        <w:rPr>
          <w:rFonts w:ascii="Arial" w:eastAsia="Calibri" w:hAnsi="Arial" w:hint="cs"/>
          <w:sz w:val="27"/>
          <w:rtl/>
        </w:rPr>
        <w:t>ٍ</w:t>
      </w:r>
      <w:r w:rsidRPr="00282AC9">
        <w:rPr>
          <w:rFonts w:ascii="Arial" w:eastAsia="Calibri" w:hAnsi="Arial" w:hint="cs"/>
          <w:sz w:val="27"/>
          <w:rtl/>
        </w:rPr>
        <w:t xml:space="preserve"> هندسي</w:t>
      </w:r>
      <w:r w:rsidR="00AA0C53" w:rsidRPr="00282AC9">
        <w:rPr>
          <w:rFonts w:ascii="Arial" w:eastAsia="Calibri" w:hAnsi="Arial" w:hint="cs"/>
          <w:sz w:val="27"/>
          <w:rtl/>
        </w:rPr>
        <w:t xml:space="preserve">ّة، </w:t>
      </w:r>
      <w:r w:rsidRPr="00282AC9">
        <w:rPr>
          <w:rFonts w:ascii="Arial" w:eastAsia="Calibri" w:hAnsi="Arial"/>
          <w:sz w:val="27"/>
          <w:rtl/>
        </w:rPr>
        <w:t>نتائج غير محمودة على ال</w:t>
      </w:r>
      <w:r w:rsidR="00EE6DBA" w:rsidRPr="00282AC9">
        <w:rPr>
          <w:rFonts w:ascii="Arial" w:eastAsia="Calibri" w:hAnsi="Arial"/>
          <w:sz w:val="27"/>
          <w:rtl/>
        </w:rPr>
        <w:t>مجال</w:t>
      </w:r>
      <w:r w:rsidRPr="00282AC9">
        <w:rPr>
          <w:rFonts w:ascii="Arial" w:eastAsia="Calibri" w:hAnsi="Arial"/>
          <w:sz w:val="27"/>
          <w:rtl/>
        </w:rPr>
        <w:t>ين الفقهي</w:t>
      </w:r>
      <w:r w:rsidR="00AA0C53" w:rsidRPr="00282AC9">
        <w:rPr>
          <w:rFonts w:ascii="Arial" w:eastAsia="Calibri" w:hAnsi="Arial" w:hint="cs"/>
          <w:sz w:val="27"/>
          <w:rtl/>
        </w:rPr>
        <w:t>ّ</w:t>
      </w:r>
      <w:r w:rsidRPr="00282AC9">
        <w:rPr>
          <w:rFonts w:ascii="Arial" w:eastAsia="Calibri" w:hAnsi="Arial"/>
          <w:sz w:val="27"/>
          <w:rtl/>
        </w:rPr>
        <w:t xml:space="preserve"> والتربوي</w:t>
      </w:r>
      <w:r w:rsidR="00AA0C53" w:rsidRPr="00282AC9">
        <w:rPr>
          <w:rFonts w:ascii="Arial" w:eastAsia="Calibri" w:hAnsi="Arial" w:hint="cs"/>
          <w:sz w:val="27"/>
          <w:rtl/>
        </w:rPr>
        <w:t>ّ</w:t>
      </w:r>
      <w:r w:rsidRPr="00282AC9">
        <w:rPr>
          <w:rFonts w:ascii="Arial" w:eastAsia="Calibri" w:hAnsi="Arial"/>
          <w:sz w:val="27"/>
          <w:rtl/>
        </w:rPr>
        <w:t xml:space="preserve"> معاً</w:t>
      </w:r>
      <w:r w:rsidR="00AA0C53" w:rsidRPr="00282AC9">
        <w:rPr>
          <w:rFonts w:ascii="Arial" w:eastAsia="Calibri" w:hAnsi="Arial" w:hint="cs"/>
          <w:sz w:val="27"/>
          <w:rtl/>
        </w:rPr>
        <w:t>.</w:t>
      </w:r>
      <w:r w:rsidRPr="00282AC9">
        <w:rPr>
          <w:rFonts w:ascii="Arial" w:eastAsia="Calibri" w:hAnsi="Arial"/>
          <w:sz w:val="27"/>
          <w:rtl/>
        </w:rPr>
        <w:t xml:space="preserve"> إن</w:t>
      </w:r>
      <w:r w:rsidRPr="00282AC9">
        <w:rPr>
          <w:rFonts w:ascii="Arial" w:eastAsia="Calibri" w:hAnsi="Arial" w:hint="cs"/>
          <w:sz w:val="27"/>
          <w:rtl/>
        </w:rPr>
        <w:t xml:space="preserve">ّ </w:t>
      </w:r>
      <w:r w:rsidRPr="00282AC9">
        <w:rPr>
          <w:rFonts w:ascii="Arial" w:eastAsia="Calibri" w:hAnsi="Arial"/>
          <w:sz w:val="27"/>
          <w:rtl/>
        </w:rPr>
        <w:t xml:space="preserve">عزل الفقه عن الأخلاق والتربية </w:t>
      </w:r>
      <w:r w:rsidRPr="00282AC9">
        <w:rPr>
          <w:rFonts w:ascii="Arial" w:eastAsia="Calibri" w:hAnsi="Arial" w:hint="cs"/>
          <w:sz w:val="27"/>
          <w:rtl/>
        </w:rPr>
        <w:t xml:space="preserve">سيجعلنا </w:t>
      </w:r>
      <w:r w:rsidRPr="00282AC9">
        <w:rPr>
          <w:rFonts w:ascii="Arial" w:eastAsia="Calibri" w:hAnsi="Arial"/>
          <w:sz w:val="27"/>
          <w:rtl/>
        </w:rPr>
        <w:t>أمام نتائج فقهي</w:t>
      </w:r>
      <w:r w:rsidR="00AA0C53" w:rsidRPr="00282AC9">
        <w:rPr>
          <w:rFonts w:ascii="Arial" w:eastAsia="Calibri" w:hAnsi="Arial" w:hint="cs"/>
          <w:sz w:val="27"/>
          <w:rtl/>
        </w:rPr>
        <w:t>ّ</w:t>
      </w:r>
      <w:r w:rsidRPr="00282AC9">
        <w:rPr>
          <w:rFonts w:ascii="Arial" w:eastAsia="Calibri" w:hAnsi="Arial"/>
          <w:sz w:val="27"/>
          <w:rtl/>
        </w:rPr>
        <w:t>ة تشكّ</w:t>
      </w:r>
      <w:r w:rsidR="00AA0C53" w:rsidRPr="00282AC9">
        <w:rPr>
          <w:rFonts w:ascii="Arial" w:eastAsia="Calibri" w:hAnsi="Arial" w:hint="cs"/>
          <w:sz w:val="27"/>
          <w:rtl/>
        </w:rPr>
        <w:t>ِ</w:t>
      </w:r>
      <w:r w:rsidRPr="00282AC9">
        <w:rPr>
          <w:rFonts w:ascii="Arial" w:eastAsia="Calibri" w:hAnsi="Arial"/>
          <w:sz w:val="27"/>
          <w:rtl/>
        </w:rPr>
        <w:t>ل فاجعة</w:t>
      </w:r>
      <w:r w:rsidR="00AA0C53" w:rsidRPr="00282AC9">
        <w:rPr>
          <w:rFonts w:ascii="Arial" w:eastAsia="Calibri" w:hAnsi="Arial" w:hint="cs"/>
          <w:sz w:val="27"/>
          <w:rtl/>
        </w:rPr>
        <w:t>ً</w:t>
      </w:r>
      <w:r w:rsidRPr="00282AC9">
        <w:rPr>
          <w:rFonts w:ascii="Arial" w:eastAsia="Calibri" w:hAnsi="Arial"/>
          <w:sz w:val="27"/>
          <w:rtl/>
        </w:rPr>
        <w:t xml:space="preserve"> من الناحيتين الأخلاقية والتربوية</w:t>
      </w:r>
      <w:r w:rsidRPr="00282AC9">
        <w:rPr>
          <w:rFonts w:ascii="Arial" w:eastAsia="Calibri" w:hAnsi="Arial"/>
          <w:sz w:val="27"/>
          <w:vertAlign w:val="superscript"/>
          <w:rtl/>
        </w:rPr>
        <w:t>(</w:t>
      </w:r>
      <w:r w:rsidRPr="00282AC9">
        <w:rPr>
          <w:rFonts w:ascii="Arial" w:eastAsia="Calibri" w:hAnsi="Arial"/>
          <w:sz w:val="27"/>
          <w:vertAlign w:val="superscript"/>
          <w:rtl/>
        </w:rPr>
        <w:endnoteReference w:id="206"/>
      </w:r>
      <w:r w:rsidRPr="00282AC9">
        <w:rPr>
          <w:rFonts w:ascii="Arial" w:eastAsia="Calibri" w:hAnsi="Arial"/>
          <w:sz w:val="27"/>
          <w:vertAlign w:val="superscript"/>
          <w:rtl/>
        </w:rPr>
        <w:t>)</w:t>
      </w:r>
      <w:r w:rsidRPr="00282AC9">
        <w:rPr>
          <w:rFonts w:ascii="Arial" w:eastAsia="Calibri" w:hAnsi="Arial" w:hint="cs"/>
          <w:sz w:val="27"/>
          <w:rtl/>
        </w:rPr>
        <w:t>.</w:t>
      </w:r>
      <w:r w:rsidRPr="00282AC9">
        <w:rPr>
          <w:rFonts w:ascii="Arial" w:eastAsia="Calibri" w:hAnsi="Arial"/>
          <w:sz w:val="27"/>
          <w:rtl/>
        </w:rPr>
        <w:t xml:space="preserve"> </w:t>
      </w:r>
    </w:p>
    <w:p w:rsidR="0098597F" w:rsidRPr="00282AC9" w:rsidRDefault="0098597F" w:rsidP="004F097E">
      <w:pPr>
        <w:contextualSpacing/>
        <w:rPr>
          <w:rFonts w:ascii="Arial" w:eastAsia="Calibri" w:hAnsi="Arial"/>
          <w:sz w:val="27"/>
          <w:rtl/>
        </w:rPr>
      </w:pPr>
      <w:r w:rsidRPr="00282AC9">
        <w:rPr>
          <w:rFonts w:ascii="Arial" w:eastAsia="Calibri" w:hAnsi="Arial"/>
          <w:sz w:val="27"/>
          <w:rtl/>
        </w:rPr>
        <w:t>و</w:t>
      </w:r>
      <w:r w:rsidRPr="00282AC9">
        <w:rPr>
          <w:rFonts w:ascii="Arial" w:eastAsia="Calibri" w:hAnsi="Arial" w:hint="cs"/>
          <w:sz w:val="27"/>
          <w:rtl/>
        </w:rPr>
        <w:t>من باب المثال</w:t>
      </w:r>
      <w:r w:rsidR="00AA0C53" w:rsidRPr="00282AC9">
        <w:rPr>
          <w:rFonts w:ascii="Arial" w:eastAsia="Calibri" w:hAnsi="Arial" w:hint="cs"/>
          <w:sz w:val="27"/>
          <w:rtl/>
        </w:rPr>
        <w:t>:</w:t>
      </w:r>
      <w:r w:rsidRPr="00282AC9">
        <w:rPr>
          <w:rFonts w:ascii="Arial" w:eastAsia="Calibri" w:hAnsi="Arial" w:hint="cs"/>
          <w:sz w:val="27"/>
          <w:rtl/>
        </w:rPr>
        <w:t xml:space="preserve"> </w:t>
      </w:r>
      <w:r w:rsidRPr="00282AC9">
        <w:rPr>
          <w:rFonts w:ascii="Arial" w:eastAsia="Calibri" w:hAnsi="Arial"/>
          <w:sz w:val="27"/>
          <w:rtl/>
        </w:rPr>
        <w:t>لك أن تتساءل</w:t>
      </w:r>
      <w:r w:rsidR="00AA0C53" w:rsidRPr="00282AC9">
        <w:rPr>
          <w:rFonts w:ascii="Arial" w:eastAsia="Calibri" w:hAnsi="Arial" w:hint="cs"/>
          <w:sz w:val="27"/>
          <w:rtl/>
        </w:rPr>
        <w:t>: عند</w:t>
      </w:r>
      <w:r w:rsidRPr="00282AC9">
        <w:rPr>
          <w:rFonts w:ascii="Arial" w:eastAsia="Calibri" w:hAnsi="Arial"/>
          <w:sz w:val="27"/>
          <w:rtl/>
        </w:rPr>
        <w:t xml:space="preserve"> الحديث الفقهي</w:t>
      </w:r>
      <w:r w:rsidR="00AA0C53" w:rsidRPr="00282AC9">
        <w:rPr>
          <w:rFonts w:ascii="Arial" w:eastAsia="Calibri" w:hAnsi="Arial" w:hint="cs"/>
          <w:sz w:val="27"/>
          <w:rtl/>
        </w:rPr>
        <w:t>ّ</w:t>
      </w:r>
      <w:r w:rsidRPr="00282AC9">
        <w:rPr>
          <w:rFonts w:ascii="Arial" w:eastAsia="Calibri" w:hAnsi="Arial"/>
          <w:sz w:val="27"/>
          <w:rtl/>
        </w:rPr>
        <w:t xml:space="preserve"> عن مشروعية التورية اختياراً</w:t>
      </w:r>
      <w:r w:rsidR="00AA0C53" w:rsidRPr="00282AC9">
        <w:rPr>
          <w:rFonts w:ascii="Arial" w:eastAsia="Calibri" w:hAnsi="Arial" w:hint="cs"/>
          <w:sz w:val="27"/>
          <w:rtl/>
        </w:rPr>
        <w:t xml:space="preserve"> ـ</w:t>
      </w:r>
      <w:r w:rsidRPr="00282AC9">
        <w:rPr>
          <w:rFonts w:ascii="Arial" w:eastAsia="Calibri" w:hAnsi="Arial"/>
          <w:sz w:val="27"/>
          <w:rtl/>
        </w:rPr>
        <w:t xml:space="preserve"> دون ملزم</w:t>
      </w:r>
      <w:r w:rsidR="00AA0C53" w:rsidRPr="00282AC9">
        <w:rPr>
          <w:rFonts w:ascii="Arial" w:eastAsia="Calibri" w:hAnsi="Arial" w:hint="cs"/>
          <w:sz w:val="27"/>
          <w:rtl/>
        </w:rPr>
        <w:t>ٍ</w:t>
      </w:r>
      <w:r w:rsidRPr="00282AC9">
        <w:rPr>
          <w:rFonts w:ascii="Arial" w:eastAsia="Calibri" w:hAnsi="Arial"/>
          <w:sz w:val="27"/>
          <w:rtl/>
        </w:rPr>
        <w:t xml:space="preserve"> لها، كما في حالات الاضطرار</w:t>
      </w:r>
      <w:r w:rsidR="00AA0C53" w:rsidRPr="00282AC9">
        <w:rPr>
          <w:rFonts w:ascii="Arial" w:eastAsia="Calibri" w:hAnsi="Arial" w:hint="cs"/>
          <w:sz w:val="27"/>
          <w:rtl/>
        </w:rPr>
        <w:t xml:space="preserve"> </w:t>
      </w:r>
      <w:r w:rsidRPr="00282AC9">
        <w:rPr>
          <w:rFonts w:ascii="Arial" w:eastAsia="Calibri" w:hAnsi="Arial" w:hint="cs"/>
          <w:sz w:val="27"/>
          <w:rtl/>
        </w:rPr>
        <w:t>ـ</w:t>
      </w:r>
      <w:r w:rsidRPr="00282AC9">
        <w:rPr>
          <w:rFonts w:ascii="Arial" w:eastAsia="Calibri" w:hAnsi="Arial"/>
          <w:sz w:val="27"/>
          <w:rtl/>
        </w:rPr>
        <w:t xml:space="preserve"> إلى أي</w:t>
      </w:r>
      <w:r w:rsidR="00AA0C53" w:rsidRPr="00282AC9">
        <w:rPr>
          <w:rFonts w:ascii="Arial" w:eastAsia="Calibri" w:hAnsi="Arial" w:hint="cs"/>
          <w:sz w:val="27"/>
          <w:rtl/>
        </w:rPr>
        <w:t>ّ</w:t>
      </w:r>
      <w:r w:rsidRPr="00282AC9">
        <w:rPr>
          <w:rFonts w:ascii="Arial" w:eastAsia="Calibri" w:hAnsi="Arial"/>
          <w:sz w:val="27"/>
          <w:rtl/>
        </w:rPr>
        <w:t xml:space="preserve"> حد</w:t>
      </w:r>
      <w:r w:rsidRPr="00282AC9">
        <w:rPr>
          <w:rFonts w:ascii="Arial" w:eastAsia="Calibri" w:hAnsi="Arial" w:hint="cs"/>
          <w:sz w:val="27"/>
          <w:rtl/>
        </w:rPr>
        <w:t>ّ</w:t>
      </w:r>
      <w:r w:rsidR="00AA0C53" w:rsidRPr="00282AC9">
        <w:rPr>
          <w:rFonts w:ascii="Arial" w:eastAsia="Calibri" w:hAnsi="Arial" w:hint="cs"/>
          <w:sz w:val="27"/>
          <w:rtl/>
        </w:rPr>
        <w:t>ٍ</w:t>
      </w:r>
      <w:r w:rsidRPr="00282AC9">
        <w:rPr>
          <w:rFonts w:ascii="Arial" w:eastAsia="Calibri" w:hAnsi="Arial"/>
          <w:sz w:val="27"/>
          <w:rtl/>
        </w:rPr>
        <w:t xml:space="preserve"> يراعي الفقيه </w:t>
      </w:r>
      <w:r w:rsidRPr="00282AC9">
        <w:rPr>
          <w:rFonts w:ascii="Arial" w:eastAsia="Calibri" w:hAnsi="Arial" w:hint="cs"/>
          <w:sz w:val="27"/>
          <w:rtl/>
        </w:rPr>
        <w:t>البُع</w:t>
      </w:r>
      <w:r w:rsidR="00AA0C53" w:rsidRPr="00282AC9">
        <w:rPr>
          <w:rFonts w:ascii="Arial" w:eastAsia="Calibri" w:hAnsi="Arial" w:hint="cs"/>
          <w:sz w:val="27"/>
          <w:rtl/>
        </w:rPr>
        <w:t>ْ</w:t>
      </w:r>
      <w:r w:rsidRPr="00282AC9">
        <w:rPr>
          <w:rFonts w:ascii="Arial" w:eastAsia="Calibri" w:hAnsi="Arial" w:hint="cs"/>
          <w:sz w:val="27"/>
          <w:rtl/>
        </w:rPr>
        <w:t>د</w:t>
      </w:r>
      <w:r w:rsidRPr="00282AC9">
        <w:rPr>
          <w:rFonts w:ascii="Arial" w:eastAsia="Calibri" w:hAnsi="Arial"/>
          <w:sz w:val="27"/>
          <w:rtl/>
        </w:rPr>
        <w:t xml:space="preserve"> الأخلاقي</w:t>
      </w:r>
      <w:r w:rsidR="00AA0C53" w:rsidRPr="00282AC9">
        <w:rPr>
          <w:rFonts w:ascii="Arial" w:eastAsia="Calibri" w:hAnsi="Arial" w:hint="cs"/>
          <w:sz w:val="27"/>
          <w:rtl/>
        </w:rPr>
        <w:t>ّ</w:t>
      </w:r>
      <w:r w:rsidRPr="00282AC9">
        <w:rPr>
          <w:rFonts w:ascii="Arial" w:eastAsia="Calibri" w:hAnsi="Arial"/>
          <w:sz w:val="27"/>
          <w:rtl/>
        </w:rPr>
        <w:t xml:space="preserve"> والتربوي</w:t>
      </w:r>
      <w:r w:rsidR="00AA0C53" w:rsidRPr="00282AC9">
        <w:rPr>
          <w:rFonts w:ascii="Arial" w:eastAsia="Calibri" w:hAnsi="Arial" w:hint="cs"/>
          <w:sz w:val="27"/>
          <w:rtl/>
        </w:rPr>
        <w:t>ّ،</w:t>
      </w:r>
      <w:r w:rsidRPr="00282AC9">
        <w:rPr>
          <w:rFonts w:ascii="Arial" w:eastAsia="Calibri" w:hAnsi="Arial"/>
          <w:sz w:val="27"/>
          <w:rtl/>
        </w:rPr>
        <w:t xml:space="preserve"> ويستهديه، مع أن التورية ترب</w:t>
      </w:r>
      <w:r w:rsidR="00AA0C53" w:rsidRPr="00282AC9">
        <w:rPr>
          <w:rFonts w:ascii="Arial" w:eastAsia="Calibri" w:hAnsi="Arial" w:hint="cs"/>
          <w:sz w:val="27"/>
          <w:rtl/>
        </w:rPr>
        <w:t>ّ</w:t>
      </w:r>
      <w:r w:rsidRPr="00282AC9">
        <w:rPr>
          <w:rFonts w:ascii="Arial" w:eastAsia="Calibri" w:hAnsi="Arial"/>
          <w:sz w:val="27"/>
          <w:rtl/>
        </w:rPr>
        <w:t>ي الإنسان على قول خلاف الحقيقة؟!</w:t>
      </w:r>
    </w:p>
    <w:p w:rsidR="0098597F" w:rsidRPr="00282AC9" w:rsidRDefault="0098597F" w:rsidP="004F097E">
      <w:pPr>
        <w:contextualSpacing/>
        <w:rPr>
          <w:rFonts w:ascii="Arial" w:eastAsia="Calibri" w:hAnsi="Arial"/>
          <w:sz w:val="27"/>
          <w:rtl/>
        </w:rPr>
      </w:pPr>
      <w:r w:rsidRPr="00282AC9">
        <w:rPr>
          <w:rFonts w:ascii="Arial" w:eastAsia="Calibri" w:hAnsi="Arial"/>
          <w:sz w:val="27"/>
          <w:rtl/>
        </w:rPr>
        <w:t>وإلى أي حد</w:t>
      </w:r>
      <w:r w:rsidRPr="00282AC9">
        <w:rPr>
          <w:rFonts w:ascii="Arial" w:eastAsia="Calibri" w:hAnsi="Arial" w:hint="cs"/>
          <w:sz w:val="27"/>
          <w:rtl/>
        </w:rPr>
        <w:t>ّ</w:t>
      </w:r>
      <w:r w:rsidR="00AA0C53" w:rsidRPr="00282AC9">
        <w:rPr>
          <w:rFonts w:ascii="Arial" w:eastAsia="Calibri" w:hAnsi="Arial" w:hint="cs"/>
          <w:sz w:val="27"/>
          <w:rtl/>
        </w:rPr>
        <w:t>ٍ</w:t>
      </w:r>
      <w:r w:rsidRPr="00282AC9">
        <w:rPr>
          <w:rFonts w:ascii="Arial" w:eastAsia="Calibri" w:hAnsi="Arial"/>
          <w:sz w:val="27"/>
          <w:rtl/>
        </w:rPr>
        <w:t xml:space="preserve"> يراعي ذلك عند الحديث عن بعض الح</w:t>
      </w:r>
      <w:r w:rsidR="00AA0C53" w:rsidRPr="00282AC9">
        <w:rPr>
          <w:rFonts w:ascii="Arial" w:eastAsia="Calibri" w:hAnsi="Arial" w:hint="cs"/>
          <w:sz w:val="27"/>
          <w:rtl/>
        </w:rPr>
        <w:t>ِ</w:t>
      </w:r>
      <w:r w:rsidRPr="00282AC9">
        <w:rPr>
          <w:rFonts w:ascii="Arial" w:eastAsia="Calibri" w:hAnsi="Arial"/>
          <w:sz w:val="27"/>
          <w:rtl/>
        </w:rPr>
        <w:t>ي</w:t>
      </w:r>
      <w:r w:rsidR="00AA0C53" w:rsidRPr="00282AC9">
        <w:rPr>
          <w:rFonts w:ascii="Arial" w:eastAsia="Calibri" w:hAnsi="Arial" w:hint="cs"/>
          <w:sz w:val="27"/>
          <w:rtl/>
        </w:rPr>
        <w:t>َ</w:t>
      </w:r>
      <w:r w:rsidRPr="00282AC9">
        <w:rPr>
          <w:rFonts w:ascii="Arial" w:eastAsia="Calibri" w:hAnsi="Arial"/>
          <w:sz w:val="27"/>
          <w:rtl/>
        </w:rPr>
        <w:t>ل الشرعيّة</w:t>
      </w:r>
      <w:r w:rsidR="00AA0C53" w:rsidRPr="00282AC9">
        <w:rPr>
          <w:rFonts w:ascii="Arial" w:eastAsia="Calibri" w:hAnsi="Arial" w:hint="cs"/>
          <w:sz w:val="27"/>
          <w:rtl/>
        </w:rPr>
        <w:t>،</w:t>
      </w:r>
      <w:r w:rsidRPr="00282AC9">
        <w:rPr>
          <w:rFonts w:ascii="Arial" w:eastAsia="Calibri" w:hAnsi="Arial"/>
          <w:sz w:val="27"/>
          <w:rtl/>
        </w:rPr>
        <w:t xml:space="preserve"> في الر</w:t>
      </w:r>
      <w:r w:rsidR="00AA0C53" w:rsidRPr="00282AC9">
        <w:rPr>
          <w:rFonts w:ascii="Arial" w:eastAsia="Calibri" w:hAnsi="Arial" w:hint="cs"/>
          <w:sz w:val="27"/>
          <w:rtl/>
        </w:rPr>
        <w:t>ِّ</w:t>
      </w:r>
      <w:r w:rsidRPr="00282AC9">
        <w:rPr>
          <w:rFonts w:ascii="Arial" w:eastAsia="Calibri" w:hAnsi="Arial"/>
          <w:sz w:val="27"/>
          <w:rtl/>
        </w:rPr>
        <w:t>با أو غيره</w:t>
      </w:r>
      <w:r w:rsidR="00AA0C53" w:rsidRPr="00282AC9">
        <w:rPr>
          <w:rFonts w:ascii="Arial" w:eastAsia="Calibri" w:hAnsi="Arial" w:hint="cs"/>
          <w:sz w:val="27"/>
          <w:rtl/>
        </w:rPr>
        <w:t>،</w:t>
      </w:r>
      <w:r w:rsidRPr="00282AC9">
        <w:rPr>
          <w:rFonts w:ascii="Arial" w:eastAsia="Calibri" w:hAnsi="Arial"/>
          <w:sz w:val="27"/>
          <w:rtl/>
        </w:rPr>
        <w:t xml:space="preserve"> والتي قد لا يكون لها ضرورة</w:t>
      </w:r>
      <w:r w:rsidR="00AA0C53" w:rsidRPr="00282AC9">
        <w:rPr>
          <w:rFonts w:ascii="Arial" w:eastAsia="Calibri" w:hAnsi="Arial" w:hint="cs"/>
          <w:sz w:val="27"/>
          <w:rtl/>
        </w:rPr>
        <w:t>ٌ</w:t>
      </w:r>
      <w:r w:rsidRPr="00282AC9">
        <w:rPr>
          <w:rFonts w:ascii="Arial" w:eastAsia="Calibri" w:hAnsi="Arial"/>
          <w:sz w:val="27"/>
          <w:rtl/>
        </w:rPr>
        <w:t xml:space="preserve"> ملح</w:t>
      </w:r>
      <w:r w:rsidR="00AA0C53" w:rsidRPr="00282AC9">
        <w:rPr>
          <w:rFonts w:ascii="Arial" w:eastAsia="Calibri" w:hAnsi="Arial" w:hint="cs"/>
          <w:sz w:val="27"/>
          <w:rtl/>
        </w:rPr>
        <w:t>ّ</w:t>
      </w:r>
      <w:r w:rsidRPr="00282AC9">
        <w:rPr>
          <w:rFonts w:ascii="Arial" w:eastAsia="Calibri" w:hAnsi="Arial"/>
          <w:sz w:val="27"/>
          <w:rtl/>
        </w:rPr>
        <w:t xml:space="preserve">ة؟ </w:t>
      </w:r>
    </w:p>
    <w:p w:rsidR="0044652C" w:rsidRPr="00282AC9" w:rsidRDefault="0098597F" w:rsidP="004F097E">
      <w:pPr>
        <w:contextualSpacing/>
        <w:rPr>
          <w:rFonts w:ascii="Arial" w:eastAsia="Calibri" w:hAnsi="Arial"/>
          <w:sz w:val="27"/>
          <w:rtl/>
        </w:rPr>
      </w:pPr>
      <w:r w:rsidRPr="00282AC9">
        <w:rPr>
          <w:rFonts w:ascii="Arial" w:eastAsia="Calibri" w:hAnsi="Arial"/>
          <w:sz w:val="27"/>
          <w:rtl/>
        </w:rPr>
        <w:t>صحيح</w:t>
      </w:r>
      <w:r w:rsidR="00AA0C53" w:rsidRPr="00282AC9">
        <w:rPr>
          <w:rFonts w:ascii="Arial" w:eastAsia="Calibri" w:hAnsi="Arial" w:hint="cs"/>
          <w:sz w:val="27"/>
          <w:rtl/>
        </w:rPr>
        <w:t>ٌ</w:t>
      </w:r>
      <w:r w:rsidRPr="00282AC9">
        <w:rPr>
          <w:rFonts w:ascii="Arial" w:eastAsia="Calibri" w:hAnsi="Arial"/>
          <w:sz w:val="27"/>
          <w:rtl/>
        </w:rPr>
        <w:t xml:space="preserve"> أنّ المسائل الأخلاقيّة قد تأتي في كلمات الفقهاء قسيماً لل</w:t>
      </w:r>
      <w:r w:rsidRPr="00282AC9">
        <w:rPr>
          <w:rFonts w:ascii="Arial" w:eastAsia="Calibri" w:hAnsi="Arial" w:hint="cs"/>
          <w:sz w:val="27"/>
          <w:rtl/>
        </w:rPr>
        <w:t>أحكام</w:t>
      </w:r>
      <w:r w:rsidRPr="00282AC9">
        <w:rPr>
          <w:rFonts w:ascii="Arial" w:eastAsia="Calibri" w:hAnsi="Arial"/>
          <w:sz w:val="27"/>
          <w:rtl/>
        </w:rPr>
        <w:t xml:space="preserve"> الإلزامي</w:t>
      </w:r>
      <w:r w:rsidR="00AA0C53" w:rsidRPr="00282AC9">
        <w:rPr>
          <w:rFonts w:ascii="Arial" w:eastAsia="Calibri" w:hAnsi="Arial" w:hint="cs"/>
          <w:sz w:val="27"/>
          <w:rtl/>
        </w:rPr>
        <w:t>ّ</w:t>
      </w:r>
      <w:r w:rsidRPr="00282AC9">
        <w:rPr>
          <w:rFonts w:ascii="Arial" w:eastAsia="Calibri" w:hAnsi="Arial"/>
          <w:sz w:val="27"/>
          <w:rtl/>
        </w:rPr>
        <w:t>ة</w:t>
      </w:r>
      <w:r w:rsidR="0044652C" w:rsidRPr="00282AC9">
        <w:rPr>
          <w:rFonts w:ascii="Arial" w:eastAsia="Calibri" w:hAnsi="Arial"/>
          <w:sz w:val="27"/>
          <w:vertAlign w:val="superscript"/>
          <w:rtl/>
        </w:rPr>
        <w:t>(</w:t>
      </w:r>
      <w:r w:rsidR="0044652C" w:rsidRPr="00282AC9">
        <w:rPr>
          <w:rFonts w:ascii="Arial" w:eastAsia="Calibri" w:hAnsi="Arial"/>
          <w:sz w:val="27"/>
          <w:vertAlign w:val="superscript"/>
          <w:rtl/>
        </w:rPr>
        <w:endnoteReference w:id="207"/>
      </w:r>
      <w:r w:rsidR="0044652C" w:rsidRPr="00282AC9">
        <w:rPr>
          <w:rFonts w:ascii="Arial" w:eastAsia="Calibri" w:hAnsi="Arial"/>
          <w:sz w:val="27"/>
          <w:vertAlign w:val="superscript"/>
          <w:rtl/>
        </w:rPr>
        <w:t>)</w:t>
      </w:r>
      <w:r w:rsidR="0044652C" w:rsidRPr="00282AC9">
        <w:rPr>
          <w:rFonts w:ascii="Arial" w:eastAsia="Calibri" w:hAnsi="Arial" w:hint="cs"/>
          <w:sz w:val="27"/>
          <w:rtl/>
        </w:rPr>
        <w:t>.</w:t>
      </w:r>
      <w:r w:rsidRPr="00282AC9">
        <w:rPr>
          <w:rFonts w:ascii="Arial" w:eastAsia="Calibri" w:hAnsi="Arial"/>
          <w:sz w:val="27"/>
          <w:rtl/>
        </w:rPr>
        <w:t xml:space="preserve"> وبالتالي قد ي</w:t>
      </w:r>
      <w:r w:rsidR="00AA0C53" w:rsidRPr="00282AC9">
        <w:rPr>
          <w:rFonts w:ascii="Arial" w:eastAsia="Calibri" w:hAnsi="Arial" w:hint="cs"/>
          <w:sz w:val="27"/>
          <w:rtl/>
        </w:rPr>
        <w:t>ُ</w:t>
      </w:r>
      <w:r w:rsidRPr="00282AC9">
        <w:rPr>
          <w:rFonts w:ascii="Arial" w:eastAsia="Calibri" w:hAnsi="Arial"/>
          <w:sz w:val="27"/>
          <w:rtl/>
        </w:rPr>
        <w:t>قال: إن هذا اصطلاح</w:t>
      </w:r>
      <w:r w:rsidR="00AA0C53" w:rsidRPr="00282AC9">
        <w:rPr>
          <w:rFonts w:ascii="Arial" w:eastAsia="Calibri" w:hAnsi="Arial" w:hint="cs"/>
          <w:sz w:val="27"/>
          <w:rtl/>
        </w:rPr>
        <w:t>ٌ،</w:t>
      </w:r>
      <w:r w:rsidRPr="00282AC9">
        <w:rPr>
          <w:rFonts w:ascii="Arial" w:eastAsia="Calibri" w:hAnsi="Arial"/>
          <w:sz w:val="27"/>
          <w:rtl/>
        </w:rPr>
        <w:t xml:space="preserve"> ولا مشاح</w:t>
      </w:r>
      <w:r w:rsidR="00AA0C53" w:rsidRPr="00282AC9">
        <w:rPr>
          <w:rFonts w:ascii="Arial" w:eastAsia="Calibri" w:hAnsi="Arial" w:hint="cs"/>
          <w:sz w:val="27"/>
          <w:rtl/>
        </w:rPr>
        <w:t>ّ</w:t>
      </w:r>
      <w:r w:rsidRPr="00282AC9">
        <w:rPr>
          <w:rFonts w:ascii="Arial" w:eastAsia="Calibri" w:hAnsi="Arial"/>
          <w:sz w:val="27"/>
          <w:rtl/>
        </w:rPr>
        <w:t>ة في المصطلحات، كما أنّ من الطبيعي أن من حقّ الفقيه أن لا يرى في هذه الآية أو في ذاك الحديث دلالة إلزامي</w:t>
      </w:r>
      <w:r w:rsidR="0044652C" w:rsidRPr="00282AC9">
        <w:rPr>
          <w:rFonts w:ascii="Arial" w:eastAsia="Calibri" w:hAnsi="Arial" w:hint="cs"/>
          <w:sz w:val="27"/>
          <w:rtl/>
        </w:rPr>
        <w:t>ّ</w:t>
      </w:r>
      <w:r w:rsidRPr="00282AC9">
        <w:rPr>
          <w:rFonts w:ascii="Arial" w:eastAsia="Calibri" w:hAnsi="Arial"/>
          <w:sz w:val="27"/>
          <w:rtl/>
        </w:rPr>
        <w:t>ة</w:t>
      </w:r>
      <w:r w:rsidR="0044652C" w:rsidRPr="00282AC9">
        <w:rPr>
          <w:rFonts w:ascii="Arial" w:eastAsia="Calibri" w:hAnsi="Arial" w:hint="cs"/>
          <w:sz w:val="27"/>
          <w:rtl/>
        </w:rPr>
        <w:t>.</w:t>
      </w:r>
    </w:p>
    <w:p w:rsidR="0098597F" w:rsidRPr="00282AC9" w:rsidRDefault="0044652C" w:rsidP="004F097E">
      <w:pPr>
        <w:contextualSpacing/>
        <w:rPr>
          <w:rFonts w:ascii="Arial" w:eastAsia="Calibri" w:hAnsi="Arial"/>
          <w:b/>
          <w:bCs/>
          <w:sz w:val="27"/>
          <w:rtl/>
          <w:lang w:bidi="ar-LB"/>
        </w:rPr>
      </w:pPr>
      <w:r w:rsidRPr="00282AC9">
        <w:rPr>
          <w:rFonts w:ascii="Arial" w:eastAsia="Calibri" w:hAnsi="Arial" w:hint="cs"/>
          <w:sz w:val="27"/>
          <w:rtl/>
        </w:rPr>
        <w:lastRenderedPageBreak/>
        <w:t xml:space="preserve">لكنْ </w:t>
      </w:r>
      <w:r w:rsidR="0098597F" w:rsidRPr="00282AC9">
        <w:rPr>
          <w:rFonts w:ascii="Arial" w:eastAsia="Calibri" w:hAnsi="Arial"/>
          <w:sz w:val="27"/>
          <w:rtl/>
        </w:rPr>
        <w:t>أقول</w:t>
      </w:r>
      <w:r w:rsidRPr="00282AC9">
        <w:rPr>
          <w:rFonts w:ascii="Arial" w:eastAsia="Calibri" w:hAnsi="Arial" w:hint="cs"/>
          <w:sz w:val="27"/>
          <w:rtl/>
        </w:rPr>
        <w:t>:</w:t>
      </w:r>
      <w:r w:rsidR="0098597F" w:rsidRPr="00282AC9">
        <w:rPr>
          <w:rFonts w:ascii="Arial" w:eastAsia="Calibri" w:hAnsi="Arial"/>
          <w:sz w:val="27"/>
          <w:rtl/>
        </w:rPr>
        <w:t xml:space="preserve"> هذا صحيح</w:t>
      </w:r>
      <w:r w:rsidRPr="00282AC9">
        <w:rPr>
          <w:rFonts w:ascii="Arial" w:eastAsia="Calibri" w:hAnsi="Arial" w:hint="cs"/>
          <w:sz w:val="27"/>
          <w:rtl/>
        </w:rPr>
        <w:t>ٌ،</w:t>
      </w:r>
      <w:r w:rsidR="0098597F" w:rsidRPr="00282AC9">
        <w:rPr>
          <w:rFonts w:ascii="Arial" w:eastAsia="Calibri" w:hAnsi="Arial"/>
          <w:sz w:val="27"/>
          <w:rtl/>
        </w:rPr>
        <w:t xml:space="preserve"> ولا نمانع من ذلك</w:t>
      </w:r>
      <w:r w:rsidRPr="00282AC9">
        <w:rPr>
          <w:rFonts w:ascii="Arial" w:eastAsia="Calibri" w:hAnsi="Arial" w:hint="cs"/>
          <w:sz w:val="27"/>
          <w:rtl/>
        </w:rPr>
        <w:t xml:space="preserve">. </w:t>
      </w:r>
      <w:r w:rsidR="0098597F" w:rsidRPr="00282AC9">
        <w:rPr>
          <w:rFonts w:ascii="Arial" w:eastAsia="Calibri" w:hAnsi="Arial"/>
          <w:sz w:val="27"/>
          <w:rtl/>
        </w:rPr>
        <w:t>ولكنّ المشكلة هي أنّه مع الأخذ بعين الاعتبار المبنى الفقهي</w:t>
      </w:r>
      <w:r w:rsidRPr="00282AC9">
        <w:rPr>
          <w:rFonts w:ascii="Arial" w:eastAsia="Calibri" w:hAnsi="Arial" w:hint="cs"/>
          <w:sz w:val="27"/>
          <w:rtl/>
        </w:rPr>
        <w:t>ّ</w:t>
      </w:r>
      <w:r w:rsidR="0098597F" w:rsidRPr="00282AC9">
        <w:rPr>
          <w:rFonts w:ascii="Arial" w:eastAsia="Calibri" w:hAnsi="Arial"/>
          <w:sz w:val="27"/>
          <w:rtl/>
        </w:rPr>
        <w:t xml:space="preserve"> القائل: إنّ الأحكام غير الإلزامي</w:t>
      </w:r>
      <w:r w:rsidRPr="00282AC9">
        <w:rPr>
          <w:rFonts w:ascii="Arial" w:eastAsia="Calibri" w:hAnsi="Arial" w:hint="cs"/>
          <w:sz w:val="27"/>
          <w:rtl/>
        </w:rPr>
        <w:t>ّ</w:t>
      </w:r>
      <w:r w:rsidR="0098597F" w:rsidRPr="00282AC9">
        <w:rPr>
          <w:rFonts w:ascii="Arial" w:eastAsia="Calibri" w:hAnsi="Arial"/>
          <w:sz w:val="27"/>
          <w:rtl/>
        </w:rPr>
        <w:t>ة (الاستحباب، الكراهة، الإباحة) لا يتعيّ</w:t>
      </w:r>
      <w:r w:rsidRPr="00282AC9">
        <w:rPr>
          <w:rFonts w:ascii="Arial" w:eastAsia="Calibri" w:hAnsi="Arial" w:hint="cs"/>
          <w:sz w:val="27"/>
          <w:rtl/>
        </w:rPr>
        <w:t>َ</w:t>
      </w:r>
      <w:r w:rsidR="0098597F" w:rsidRPr="00282AC9">
        <w:rPr>
          <w:rFonts w:ascii="Arial" w:eastAsia="Calibri" w:hAnsi="Arial"/>
          <w:sz w:val="27"/>
          <w:rtl/>
        </w:rPr>
        <w:t>ن على المجتهد دراستها</w:t>
      </w:r>
      <w:r w:rsidRPr="00282AC9">
        <w:rPr>
          <w:rFonts w:ascii="Arial" w:eastAsia="Calibri" w:hAnsi="Arial" w:hint="cs"/>
          <w:sz w:val="27"/>
          <w:rtl/>
        </w:rPr>
        <w:t>،</w:t>
      </w:r>
      <w:r w:rsidR="0098597F" w:rsidRPr="00282AC9">
        <w:rPr>
          <w:rFonts w:ascii="Arial" w:eastAsia="Calibri" w:hAnsi="Arial"/>
          <w:sz w:val="27"/>
          <w:rtl/>
        </w:rPr>
        <w:t xml:space="preserve"> والاجتهاد فيها</w:t>
      </w:r>
      <w:r w:rsidR="0098597F" w:rsidRPr="00282AC9">
        <w:rPr>
          <w:rFonts w:ascii="Arial" w:eastAsia="Calibri" w:hAnsi="Arial"/>
          <w:sz w:val="27"/>
          <w:vertAlign w:val="superscript"/>
          <w:rtl/>
        </w:rPr>
        <w:t>(</w:t>
      </w:r>
      <w:r w:rsidR="0098597F" w:rsidRPr="00282AC9">
        <w:rPr>
          <w:rFonts w:ascii="Arial" w:eastAsia="Calibri" w:hAnsi="Arial"/>
          <w:sz w:val="27"/>
          <w:vertAlign w:val="superscript"/>
          <w:rtl/>
        </w:rPr>
        <w:endnoteReference w:id="208"/>
      </w:r>
      <w:r w:rsidR="0098597F" w:rsidRPr="00282AC9">
        <w:rPr>
          <w:rFonts w:ascii="Arial" w:eastAsia="Calibri" w:hAnsi="Arial"/>
          <w:sz w:val="27"/>
          <w:vertAlign w:val="superscript"/>
          <w:rtl/>
        </w:rPr>
        <w:t>)</w:t>
      </w:r>
      <w:r w:rsidRPr="00282AC9">
        <w:rPr>
          <w:rFonts w:ascii="Arial" w:eastAsia="Calibri" w:hAnsi="Arial" w:hint="cs"/>
          <w:sz w:val="27"/>
          <w:rtl/>
        </w:rPr>
        <w:t>،</w:t>
      </w:r>
      <w:r w:rsidR="0098597F" w:rsidRPr="00282AC9">
        <w:rPr>
          <w:rFonts w:ascii="Arial" w:eastAsia="Calibri" w:hAnsi="Arial"/>
          <w:sz w:val="27"/>
          <w:rtl/>
        </w:rPr>
        <w:t xml:space="preserve"> فستكون النتيجة </w:t>
      </w:r>
      <w:r w:rsidRPr="00282AC9">
        <w:rPr>
          <w:rFonts w:ascii="Arial" w:eastAsia="Calibri" w:hAnsi="Arial" w:hint="cs"/>
          <w:sz w:val="27"/>
          <w:rtl/>
        </w:rPr>
        <w:t>أنّ</w:t>
      </w:r>
      <w:r w:rsidR="0098597F" w:rsidRPr="00282AC9">
        <w:rPr>
          <w:rFonts w:ascii="Arial" w:eastAsia="Calibri" w:hAnsi="Arial"/>
          <w:sz w:val="27"/>
          <w:rtl/>
        </w:rPr>
        <w:t xml:space="preserve"> الفقيه</w:t>
      </w:r>
      <w:r w:rsidR="0098597F" w:rsidRPr="00282AC9">
        <w:rPr>
          <w:rFonts w:ascii="Arial" w:eastAsia="Calibri" w:hAnsi="Arial" w:hint="cs"/>
          <w:sz w:val="27"/>
          <w:rtl/>
        </w:rPr>
        <w:t xml:space="preserve"> </w:t>
      </w:r>
      <w:r w:rsidR="0098597F" w:rsidRPr="00282AC9">
        <w:rPr>
          <w:rFonts w:ascii="Arial" w:eastAsia="Calibri" w:hAnsi="Arial"/>
          <w:sz w:val="27"/>
          <w:rtl/>
        </w:rPr>
        <w:t>غير</w:t>
      </w:r>
      <w:r w:rsidRPr="00282AC9">
        <w:rPr>
          <w:rFonts w:ascii="Arial" w:eastAsia="Calibri" w:hAnsi="Arial" w:hint="cs"/>
          <w:sz w:val="27"/>
          <w:rtl/>
        </w:rPr>
        <w:t>ُ</w:t>
      </w:r>
      <w:r w:rsidR="0098597F" w:rsidRPr="00282AC9">
        <w:rPr>
          <w:rFonts w:ascii="Arial" w:eastAsia="Calibri" w:hAnsi="Arial"/>
          <w:sz w:val="27"/>
          <w:rtl/>
        </w:rPr>
        <w:t xml:space="preserve"> ملز</w:t>
      </w:r>
      <w:r w:rsidRPr="00282AC9">
        <w:rPr>
          <w:rFonts w:ascii="Arial" w:eastAsia="Calibri" w:hAnsi="Arial" w:hint="cs"/>
          <w:sz w:val="27"/>
          <w:rtl/>
        </w:rPr>
        <w:t>َ</w:t>
      </w:r>
      <w:r w:rsidR="0098597F" w:rsidRPr="00282AC9">
        <w:rPr>
          <w:rFonts w:ascii="Arial" w:eastAsia="Calibri" w:hAnsi="Arial"/>
          <w:sz w:val="27"/>
          <w:rtl/>
        </w:rPr>
        <w:t>م</w:t>
      </w:r>
      <w:r w:rsidRPr="00282AC9">
        <w:rPr>
          <w:rFonts w:ascii="Arial" w:eastAsia="Calibri" w:hAnsi="Arial" w:hint="cs"/>
          <w:sz w:val="27"/>
          <w:rtl/>
        </w:rPr>
        <w:t>ٍ</w:t>
      </w:r>
      <w:r w:rsidR="0098597F" w:rsidRPr="00282AC9">
        <w:rPr>
          <w:rFonts w:ascii="Arial" w:eastAsia="Calibri" w:hAnsi="Arial"/>
          <w:sz w:val="27"/>
          <w:rtl/>
        </w:rPr>
        <w:t xml:space="preserve"> بالبحث في القضايا الأخلاقية، وبالتالي لا يلزمه استحضار واستهداء كل</w:t>
      </w:r>
      <w:r w:rsidRPr="00282AC9">
        <w:rPr>
          <w:rFonts w:ascii="Arial" w:eastAsia="Calibri" w:hAnsi="Arial" w:hint="cs"/>
          <w:sz w:val="27"/>
          <w:rtl/>
        </w:rPr>
        <w:t>ّ</w:t>
      </w:r>
      <w:r w:rsidR="0098597F" w:rsidRPr="00282AC9">
        <w:rPr>
          <w:rFonts w:ascii="Arial" w:eastAsia="Calibri" w:hAnsi="Arial"/>
          <w:sz w:val="27"/>
          <w:rtl/>
        </w:rPr>
        <w:t xml:space="preserve"> هذا التراث الوارد في نطاق الأخلاق في عمله الفقهي</w:t>
      </w:r>
      <w:r w:rsidRPr="00282AC9">
        <w:rPr>
          <w:rFonts w:ascii="Arial" w:eastAsia="Calibri" w:hAnsi="Arial" w:hint="cs"/>
          <w:sz w:val="27"/>
          <w:rtl/>
        </w:rPr>
        <w:t>ّ</w:t>
      </w:r>
      <w:r w:rsidR="0098597F" w:rsidRPr="00282AC9">
        <w:rPr>
          <w:rFonts w:ascii="Arial" w:eastAsia="Calibri" w:hAnsi="Arial"/>
          <w:sz w:val="27"/>
          <w:rtl/>
        </w:rPr>
        <w:t xml:space="preserve">، مع أنّ هذا التراث </w:t>
      </w:r>
      <w:r w:rsidR="0098597F" w:rsidRPr="00282AC9">
        <w:rPr>
          <w:rFonts w:ascii="Arial" w:eastAsia="Calibri" w:hAnsi="Arial" w:hint="cs"/>
          <w:sz w:val="27"/>
          <w:rtl/>
        </w:rPr>
        <w:t>هو تراث</w:t>
      </w:r>
      <w:r w:rsidRPr="00282AC9">
        <w:rPr>
          <w:rFonts w:ascii="Arial" w:eastAsia="Calibri" w:hAnsi="Arial" w:hint="cs"/>
          <w:sz w:val="27"/>
          <w:rtl/>
        </w:rPr>
        <w:t>ٌ</w:t>
      </w:r>
      <w:r w:rsidR="0098597F" w:rsidRPr="00282AC9">
        <w:rPr>
          <w:rFonts w:ascii="Arial" w:eastAsia="Calibri" w:hAnsi="Arial" w:hint="cs"/>
          <w:sz w:val="27"/>
          <w:rtl/>
        </w:rPr>
        <w:t xml:space="preserve"> غني</w:t>
      </w:r>
      <w:r w:rsidRPr="00282AC9">
        <w:rPr>
          <w:rFonts w:ascii="Arial" w:eastAsia="Calibri" w:hAnsi="Arial" w:hint="cs"/>
          <w:sz w:val="27"/>
          <w:rtl/>
        </w:rPr>
        <w:t>ّ</w:t>
      </w:r>
      <w:r w:rsidR="0098597F" w:rsidRPr="00282AC9">
        <w:rPr>
          <w:rFonts w:ascii="Arial" w:eastAsia="Calibri" w:hAnsi="Arial" w:hint="cs"/>
          <w:sz w:val="27"/>
          <w:rtl/>
        </w:rPr>
        <w:t>، وقد أصابه ما أصاب غيره من الو</w:t>
      </w:r>
      <w:r w:rsidRPr="00282AC9">
        <w:rPr>
          <w:rFonts w:ascii="Arial" w:eastAsia="Calibri" w:hAnsi="Arial" w:hint="cs"/>
          <w:sz w:val="27"/>
          <w:rtl/>
        </w:rPr>
        <w:t>َ</w:t>
      </w:r>
      <w:r w:rsidR="0098597F" w:rsidRPr="00282AC9">
        <w:rPr>
          <w:rFonts w:ascii="Arial" w:eastAsia="Calibri" w:hAnsi="Arial" w:hint="cs"/>
          <w:sz w:val="27"/>
          <w:rtl/>
        </w:rPr>
        <w:t>ض</w:t>
      </w:r>
      <w:r w:rsidRPr="00282AC9">
        <w:rPr>
          <w:rFonts w:ascii="Arial" w:eastAsia="Calibri" w:hAnsi="Arial" w:hint="cs"/>
          <w:sz w:val="27"/>
          <w:rtl/>
        </w:rPr>
        <w:t>ْ</w:t>
      </w:r>
      <w:r w:rsidR="0098597F" w:rsidRPr="00282AC9">
        <w:rPr>
          <w:rFonts w:ascii="Arial" w:eastAsia="Calibri" w:hAnsi="Arial" w:hint="cs"/>
          <w:sz w:val="27"/>
          <w:rtl/>
        </w:rPr>
        <w:t>ع أو التأويل والتحريف، فيحتاج إلى دراسة</w:t>
      </w:r>
      <w:r w:rsidRPr="00282AC9">
        <w:rPr>
          <w:rFonts w:ascii="Arial" w:eastAsia="Calibri" w:hAnsi="Arial" w:hint="cs"/>
          <w:sz w:val="27"/>
          <w:rtl/>
        </w:rPr>
        <w:t>ٍ</w:t>
      </w:r>
      <w:r w:rsidR="0098597F" w:rsidRPr="00282AC9">
        <w:rPr>
          <w:rFonts w:ascii="Arial" w:eastAsia="Calibri" w:hAnsi="Arial" w:hint="cs"/>
          <w:sz w:val="27"/>
          <w:rtl/>
        </w:rPr>
        <w:t xml:space="preserve"> نقديّة موس</w:t>
      </w:r>
      <w:r w:rsidRPr="00282AC9">
        <w:rPr>
          <w:rFonts w:ascii="Arial" w:eastAsia="Calibri" w:hAnsi="Arial" w:hint="cs"/>
          <w:sz w:val="27"/>
          <w:rtl/>
        </w:rPr>
        <w:t>َّ</w:t>
      </w:r>
      <w:r w:rsidR="0098597F" w:rsidRPr="00282AC9">
        <w:rPr>
          <w:rFonts w:ascii="Arial" w:eastAsia="Calibri" w:hAnsi="Arial" w:hint="cs"/>
          <w:sz w:val="27"/>
          <w:rtl/>
        </w:rPr>
        <w:t>عة، ولا ي</w:t>
      </w:r>
      <w:r w:rsidRPr="00282AC9">
        <w:rPr>
          <w:rFonts w:ascii="Arial" w:eastAsia="Calibri" w:hAnsi="Arial" w:hint="cs"/>
          <w:sz w:val="27"/>
          <w:rtl/>
        </w:rPr>
        <w:t>َ</w:t>
      </w:r>
      <w:r w:rsidR="0098597F" w:rsidRPr="00282AC9">
        <w:rPr>
          <w:rFonts w:ascii="Arial" w:eastAsia="Calibri" w:hAnsi="Arial" w:hint="cs"/>
          <w:sz w:val="27"/>
          <w:rtl/>
        </w:rPr>
        <w:t>س</w:t>
      </w:r>
      <w:r w:rsidRPr="00282AC9">
        <w:rPr>
          <w:rFonts w:ascii="Arial" w:eastAsia="Calibri" w:hAnsi="Arial" w:hint="cs"/>
          <w:sz w:val="27"/>
          <w:rtl/>
        </w:rPr>
        <w:t>َ</w:t>
      </w:r>
      <w:r w:rsidR="0098597F" w:rsidRPr="00282AC9">
        <w:rPr>
          <w:rFonts w:ascii="Arial" w:eastAsia="Calibri" w:hAnsi="Arial" w:hint="cs"/>
          <w:sz w:val="27"/>
          <w:rtl/>
        </w:rPr>
        <w:t>ع الفقيه إهماله</w:t>
      </w:r>
      <w:r w:rsidRPr="00282AC9">
        <w:rPr>
          <w:rFonts w:ascii="Arial" w:eastAsia="Calibri" w:hAnsi="Arial" w:hint="cs"/>
          <w:sz w:val="27"/>
          <w:rtl/>
        </w:rPr>
        <w:t>،</w:t>
      </w:r>
      <w:r w:rsidR="0098597F" w:rsidRPr="00282AC9">
        <w:rPr>
          <w:rFonts w:ascii="Arial" w:eastAsia="Calibri" w:hAnsi="Arial" w:hint="cs"/>
          <w:sz w:val="27"/>
          <w:rtl/>
        </w:rPr>
        <w:t xml:space="preserve"> كيف وهو أقرب ما يكون إلى ال</w:t>
      </w:r>
      <w:r w:rsidR="0098597F" w:rsidRPr="00282AC9">
        <w:rPr>
          <w:rFonts w:ascii="Arial" w:eastAsia="Calibri" w:hAnsi="Arial"/>
          <w:sz w:val="27"/>
          <w:rtl/>
        </w:rPr>
        <w:t xml:space="preserve">مقاصد </w:t>
      </w:r>
      <w:r w:rsidR="0098597F" w:rsidRPr="00282AC9">
        <w:rPr>
          <w:rFonts w:ascii="Arial" w:eastAsia="Calibri" w:hAnsi="Arial" w:hint="cs"/>
          <w:sz w:val="27"/>
          <w:rtl/>
        </w:rPr>
        <w:t>ال</w:t>
      </w:r>
      <w:r w:rsidR="0098597F" w:rsidRPr="00282AC9">
        <w:rPr>
          <w:rFonts w:ascii="Arial" w:eastAsia="Calibri" w:hAnsi="Arial"/>
          <w:sz w:val="27"/>
          <w:rtl/>
        </w:rPr>
        <w:t>كل</w:t>
      </w:r>
      <w:r w:rsidRPr="00282AC9">
        <w:rPr>
          <w:rFonts w:ascii="Arial" w:eastAsia="Calibri" w:hAnsi="Arial" w:hint="cs"/>
          <w:sz w:val="27"/>
          <w:rtl/>
        </w:rPr>
        <w:t>ِّ</w:t>
      </w:r>
      <w:r w:rsidRPr="00282AC9">
        <w:rPr>
          <w:rFonts w:ascii="Arial" w:eastAsia="Calibri" w:hAnsi="Arial"/>
          <w:sz w:val="27"/>
          <w:rtl/>
        </w:rPr>
        <w:t>ي</w:t>
      </w:r>
      <w:r w:rsidR="0098597F" w:rsidRPr="00282AC9">
        <w:rPr>
          <w:rFonts w:ascii="Arial" w:eastAsia="Calibri" w:hAnsi="Arial"/>
          <w:sz w:val="27"/>
          <w:rtl/>
        </w:rPr>
        <w:t xml:space="preserve">ة </w:t>
      </w:r>
      <w:r w:rsidR="0098597F" w:rsidRPr="00282AC9">
        <w:rPr>
          <w:rFonts w:ascii="Arial" w:eastAsia="Calibri" w:hAnsi="Arial" w:hint="cs"/>
          <w:sz w:val="27"/>
          <w:rtl/>
        </w:rPr>
        <w:t xml:space="preserve">التي </w:t>
      </w:r>
      <w:r w:rsidR="00674EF5" w:rsidRPr="00282AC9">
        <w:rPr>
          <w:rFonts w:ascii="Arial" w:eastAsia="Calibri" w:hAnsi="Arial" w:hint="cs"/>
          <w:sz w:val="27"/>
          <w:rtl/>
        </w:rPr>
        <w:t>لا بُدَّ</w:t>
      </w:r>
      <w:r w:rsidR="0098597F" w:rsidRPr="00282AC9">
        <w:rPr>
          <w:rFonts w:ascii="Arial" w:eastAsia="Calibri" w:hAnsi="Arial" w:hint="cs"/>
          <w:sz w:val="27"/>
          <w:rtl/>
        </w:rPr>
        <w:t xml:space="preserve"> من</w:t>
      </w:r>
      <w:r w:rsidR="0098597F" w:rsidRPr="00282AC9">
        <w:rPr>
          <w:rFonts w:ascii="Arial" w:eastAsia="Calibri" w:hAnsi="Arial"/>
          <w:sz w:val="27"/>
          <w:rtl/>
        </w:rPr>
        <w:t xml:space="preserve"> استهد</w:t>
      </w:r>
      <w:r w:rsidR="0098597F" w:rsidRPr="00282AC9">
        <w:rPr>
          <w:rFonts w:ascii="Arial" w:eastAsia="Calibri" w:hAnsi="Arial" w:hint="cs"/>
          <w:sz w:val="27"/>
          <w:rtl/>
        </w:rPr>
        <w:t>ائ</w:t>
      </w:r>
      <w:r w:rsidR="0098597F" w:rsidRPr="00282AC9">
        <w:rPr>
          <w:rFonts w:ascii="Arial" w:eastAsia="Calibri" w:hAnsi="Arial"/>
          <w:sz w:val="27"/>
          <w:rtl/>
        </w:rPr>
        <w:t xml:space="preserve">ها في </w:t>
      </w:r>
      <w:r w:rsidR="0098597F" w:rsidRPr="00282AC9">
        <w:rPr>
          <w:rFonts w:ascii="Arial" w:eastAsia="Calibri" w:hAnsi="Arial" w:hint="cs"/>
          <w:sz w:val="27"/>
          <w:rtl/>
        </w:rPr>
        <w:t>ال</w:t>
      </w:r>
      <w:r w:rsidR="0098597F" w:rsidRPr="00282AC9">
        <w:rPr>
          <w:rFonts w:ascii="Arial" w:eastAsia="Calibri" w:hAnsi="Arial"/>
          <w:sz w:val="27"/>
          <w:rtl/>
        </w:rPr>
        <w:t>عمل الفقهي</w:t>
      </w:r>
      <w:r w:rsidRPr="00282AC9">
        <w:rPr>
          <w:rFonts w:ascii="Arial" w:eastAsia="Calibri" w:hAnsi="Arial" w:hint="cs"/>
          <w:sz w:val="27"/>
          <w:rtl/>
        </w:rPr>
        <w:t>؛</w:t>
      </w:r>
      <w:r w:rsidR="0098597F" w:rsidRPr="00282AC9">
        <w:rPr>
          <w:rFonts w:ascii="Arial" w:eastAsia="Calibri" w:hAnsi="Arial"/>
          <w:sz w:val="27"/>
          <w:rtl/>
        </w:rPr>
        <w:t xml:space="preserve"> كي لا نكون أمام فتاوى بعيدة عن روح الأخلاق</w:t>
      </w:r>
      <w:r w:rsidRPr="00282AC9">
        <w:rPr>
          <w:rFonts w:ascii="Arial" w:eastAsia="Calibri" w:hAnsi="Arial" w:hint="cs"/>
          <w:sz w:val="27"/>
          <w:rtl/>
        </w:rPr>
        <w:t>؟!</w:t>
      </w:r>
    </w:p>
    <w:p w:rsidR="0098597F" w:rsidRPr="00282AC9" w:rsidRDefault="0098597F" w:rsidP="004F097E">
      <w:pPr>
        <w:contextualSpacing/>
        <w:rPr>
          <w:rFonts w:ascii="Arial" w:eastAsia="Calibri" w:hAnsi="Arial"/>
          <w:sz w:val="27"/>
          <w:rtl/>
        </w:rPr>
      </w:pPr>
      <w:r w:rsidRPr="00282AC9">
        <w:rPr>
          <w:rFonts w:ascii="Arial" w:eastAsia="Calibri" w:hAnsi="Arial" w:hint="cs"/>
          <w:sz w:val="27"/>
          <w:rtl/>
        </w:rPr>
        <w:t xml:space="preserve">وختاماً أقول: </w:t>
      </w:r>
      <w:r w:rsidRPr="00282AC9">
        <w:rPr>
          <w:rFonts w:ascii="Arial" w:hAnsi="Arial" w:hint="cs"/>
          <w:sz w:val="27"/>
          <w:rtl/>
        </w:rPr>
        <w:t>إ</w:t>
      </w:r>
      <w:r w:rsidRPr="00282AC9">
        <w:rPr>
          <w:rFonts w:ascii="Arial" w:hAnsi="Arial"/>
          <w:sz w:val="27"/>
          <w:rtl/>
        </w:rPr>
        <w:t>نّ هذه المحاذير ما كانت لتغيب عن ذهن ال</w:t>
      </w:r>
      <w:r w:rsidRPr="00282AC9">
        <w:rPr>
          <w:rFonts w:ascii="Arial" w:hAnsi="Arial" w:hint="cs"/>
          <w:sz w:val="27"/>
          <w:rtl/>
        </w:rPr>
        <w:t>إما</w:t>
      </w:r>
      <w:r w:rsidRPr="00282AC9">
        <w:rPr>
          <w:rFonts w:ascii="Arial" w:hAnsi="Arial"/>
          <w:sz w:val="27"/>
          <w:rtl/>
        </w:rPr>
        <w:t>م</w:t>
      </w:r>
      <w:r w:rsidR="009A2A04" w:rsidRPr="00282AC9">
        <w:rPr>
          <w:rFonts w:ascii="Arial" w:hAnsi="Arial" w:cs="Mosawi"/>
          <w:sz w:val="22"/>
          <w:szCs w:val="22"/>
          <w:rtl/>
        </w:rPr>
        <w:t>×</w:t>
      </w:r>
      <w:r w:rsidRPr="00282AC9">
        <w:rPr>
          <w:rFonts w:ascii="Arial" w:hAnsi="Arial" w:hint="cs"/>
          <w:sz w:val="27"/>
          <w:rtl/>
        </w:rPr>
        <w:t xml:space="preserve"> </w:t>
      </w:r>
      <w:r w:rsidRPr="00282AC9">
        <w:rPr>
          <w:rFonts w:ascii="Arial" w:hAnsi="Arial"/>
          <w:sz w:val="27"/>
          <w:rtl/>
        </w:rPr>
        <w:t xml:space="preserve">عندما </w:t>
      </w:r>
      <w:r w:rsidRPr="00282AC9">
        <w:rPr>
          <w:rFonts w:ascii="Arial" w:hAnsi="Arial" w:hint="cs"/>
          <w:sz w:val="27"/>
          <w:rtl/>
        </w:rPr>
        <w:t>تكل</w:t>
      </w:r>
      <w:r w:rsidR="0044652C" w:rsidRPr="00282AC9">
        <w:rPr>
          <w:rFonts w:ascii="Arial" w:hAnsi="Arial" w:hint="cs"/>
          <w:sz w:val="27"/>
          <w:rtl/>
        </w:rPr>
        <w:t>َّ</w:t>
      </w:r>
      <w:r w:rsidRPr="00282AC9">
        <w:rPr>
          <w:rFonts w:ascii="Arial" w:hAnsi="Arial" w:hint="cs"/>
          <w:sz w:val="27"/>
          <w:rtl/>
        </w:rPr>
        <w:t>م بمضمون الأخبار المتقد</w:t>
      </w:r>
      <w:r w:rsidR="0044652C" w:rsidRPr="00282AC9">
        <w:rPr>
          <w:rFonts w:ascii="Arial" w:hAnsi="Arial" w:hint="cs"/>
          <w:sz w:val="27"/>
          <w:rtl/>
        </w:rPr>
        <w:t>ِّ</w:t>
      </w:r>
      <w:r w:rsidRPr="00282AC9">
        <w:rPr>
          <w:rFonts w:ascii="Arial" w:hAnsi="Arial" w:hint="cs"/>
          <w:sz w:val="27"/>
          <w:rtl/>
        </w:rPr>
        <w:t>مة</w:t>
      </w:r>
      <w:r w:rsidRPr="00282AC9">
        <w:rPr>
          <w:rFonts w:ascii="Arial" w:hAnsi="Arial"/>
          <w:sz w:val="27"/>
          <w:rtl/>
        </w:rPr>
        <w:t xml:space="preserve">، </w:t>
      </w:r>
      <w:r w:rsidRPr="00282AC9">
        <w:rPr>
          <w:rFonts w:ascii="Arial" w:hAnsi="Arial" w:hint="cs"/>
          <w:sz w:val="27"/>
          <w:rtl/>
        </w:rPr>
        <w:t>وعليه يمكن القول: إنّ المحاذير المذكورة هي من قبيل</w:t>
      </w:r>
      <w:r w:rsidR="0044652C" w:rsidRPr="00282AC9">
        <w:rPr>
          <w:rFonts w:ascii="Arial" w:hAnsi="Arial" w:hint="cs"/>
          <w:sz w:val="27"/>
          <w:rtl/>
        </w:rPr>
        <w:t>:</w:t>
      </w:r>
      <w:r w:rsidRPr="00282AC9">
        <w:rPr>
          <w:rFonts w:ascii="Arial" w:hAnsi="Arial" w:hint="cs"/>
          <w:sz w:val="27"/>
          <w:rtl/>
        </w:rPr>
        <w:t xml:space="preserve"> القرائن المحتف</w:t>
      </w:r>
      <w:r w:rsidR="0044652C" w:rsidRPr="00282AC9">
        <w:rPr>
          <w:rFonts w:ascii="Arial" w:hAnsi="Arial" w:hint="cs"/>
          <w:sz w:val="27"/>
          <w:rtl/>
        </w:rPr>
        <w:t>ّ</w:t>
      </w:r>
      <w:r w:rsidRPr="00282AC9">
        <w:rPr>
          <w:rFonts w:ascii="Arial" w:hAnsi="Arial" w:hint="cs"/>
          <w:sz w:val="27"/>
          <w:rtl/>
        </w:rPr>
        <w:t>ة بالنص</w:t>
      </w:r>
      <w:r w:rsidR="0044652C" w:rsidRPr="00282AC9">
        <w:rPr>
          <w:rFonts w:ascii="Arial" w:hAnsi="Arial" w:hint="cs"/>
          <w:sz w:val="27"/>
          <w:rtl/>
        </w:rPr>
        <w:t>ّ،</w:t>
      </w:r>
      <w:r w:rsidRPr="00282AC9">
        <w:rPr>
          <w:rFonts w:ascii="Arial" w:hAnsi="Arial" w:hint="cs"/>
          <w:sz w:val="27"/>
          <w:rtl/>
        </w:rPr>
        <w:t xml:space="preserve"> مم</w:t>
      </w:r>
      <w:r w:rsidR="0044652C" w:rsidRPr="00282AC9">
        <w:rPr>
          <w:rFonts w:ascii="Arial" w:hAnsi="Arial" w:hint="cs"/>
          <w:sz w:val="27"/>
          <w:rtl/>
        </w:rPr>
        <w:t>ّ</w:t>
      </w:r>
      <w:r w:rsidRPr="00282AC9">
        <w:rPr>
          <w:rFonts w:ascii="Arial" w:hAnsi="Arial" w:hint="cs"/>
          <w:sz w:val="27"/>
          <w:rtl/>
        </w:rPr>
        <w:t>ا يمنع من التوس</w:t>
      </w:r>
      <w:r w:rsidR="0044652C" w:rsidRPr="00282AC9">
        <w:rPr>
          <w:rFonts w:ascii="Arial" w:hAnsi="Arial" w:hint="cs"/>
          <w:sz w:val="27"/>
          <w:rtl/>
        </w:rPr>
        <w:t>ُّ</w:t>
      </w:r>
      <w:r w:rsidRPr="00282AC9">
        <w:rPr>
          <w:rFonts w:ascii="Arial" w:hAnsi="Arial" w:hint="cs"/>
          <w:sz w:val="27"/>
          <w:rtl/>
        </w:rPr>
        <w:t>ع في فهمه إلى الحد</w:t>
      </w:r>
      <w:r w:rsidR="0044652C" w:rsidRPr="00282AC9">
        <w:rPr>
          <w:rFonts w:ascii="Arial" w:hAnsi="Arial" w:hint="cs"/>
          <w:sz w:val="27"/>
          <w:rtl/>
        </w:rPr>
        <w:t>ّ</w:t>
      </w:r>
      <w:r w:rsidRPr="00282AC9">
        <w:rPr>
          <w:rFonts w:ascii="Arial" w:hAnsi="Arial" w:hint="cs"/>
          <w:sz w:val="27"/>
          <w:rtl/>
        </w:rPr>
        <w:t xml:space="preserve"> الذي يوقع </w:t>
      </w:r>
      <w:r w:rsidR="0044652C" w:rsidRPr="00282AC9">
        <w:rPr>
          <w:rFonts w:ascii="Arial" w:hAnsi="Arial" w:hint="cs"/>
          <w:sz w:val="27"/>
          <w:rtl/>
        </w:rPr>
        <w:t xml:space="preserve">في </w:t>
      </w:r>
      <w:r w:rsidRPr="00282AC9">
        <w:rPr>
          <w:rFonts w:ascii="Arial" w:hAnsi="Arial" w:hint="cs"/>
          <w:sz w:val="27"/>
          <w:rtl/>
        </w:rPr>
        <w:t>المحذور</w:t>
      </w:r>
      <w:r w:rsidR="0044652C" w:rsidRPr="00282AC9">
        <w:rPr>
          <w:rFonts w:ascii="Arial" w:hAnsi="Arial" w:hint="cs"/>
          <w:sz w:val="27"/>
          <w:rtl/>
        </w:rPr>
        <w:t>؛</w:t>
      </w:r>
      <w:r w:rsidRPr="00282AC9">
        <w:rPr>
          <w:rFonts w:ascii="Arial" w:hAnsi="Arial" w:hint="cs"/>
          <w:sz w:val="27"/>
          <w:rtl/>
        </w:rPr>
        <w:t xml:space="preserve"> أو ق</w:t>
      </w:r>
      <w:r w:rsidR="0044652C" w:rsidRPr="00282AC9">
        <w:rPr>
          <w:rFonts w:ascii="Arial" w:hAnsi="Arial" w:hint="cs"/>
          <w:sz w:val="27"/>
          <w:rtl/>
        </w:rPr>
        <w:t>ُ</w:t>
      </w:r>
      <w:r w:rsidRPr="00282AC9">
        <w:rPr>
          <w:rFonts w:ascii="Arial" w:hAnsi="Arial" w:hint="cs"/>
          <w:sz w:val="27"/>
          <w:rtl/>
        </w:rPr>
        <w:t>ل</w:t>
      </w:r>
      <w:r w:rsidR="0044652C" w:rsidRPr="00282AC9">
        <w:rPr>
          <w:rFonts w:ascii="Arial" w:hAnsi="Arial" w:hint="cs"/>
          <w:sz w:val="27"/>
          <w:rtl/>
        </w:rPr>
        <w:t>ْ</w:t>
      </w:r>
      <w:r w:rsidRPr="00282AC9">
        <w:rPr>
          <w:rFonts w:ascii="Arial" w:hAnsi="Arial" w:hint="cs"/>
          <w:sz w:val="27"/>
          <w:rtl/>
        </w:rPr>
        <w:t>: إنّه سيكون شاهداً إضافي</w:t>
      </w:r>
      <w:r w:rsidR="0044652C" w:rsidRPr="00282AC9">
        <w:rPr>
          <w:rFonts w:ascii="Arial" w:hAnsi="Arial" w:hint="cs"/>
          <w:sz w:val="27"/>
          <w:rtl/>
        </w:rPr>
        <w:t>ّ</w:t>
      </w:r>
      <w:r w:rsidRPr="00282AC9">
        <w:rPr>
          <w:rFonts w:ascii="Arial" w:hAnsi="Arial" w:hint="cs"/>
          <w:sz w:val="27"/>
          <w:rtl/>
        </w:rPr>
        <w:t>اً على</w:t>
      </w:r>
      <w:r w:rsidRPr="00282AC9">
        <w:rPr>
          <w:rFonts w:ascii="Arial" w:hAnsi="Arial"/>
          <w:sz w:val="27"/>
          <w:rtl/>
        </w:rPr>
        <w:t xml:space="preserve"> أن مراده</w:t>
      </w:r>
      <w:r w:rsidR="009A2A04" w:rsidRPr="00282AC9">
        <w:rPr>
          <w:rFonts w:ascii="Arial" w:hAnsi="Arial" w:cs="Mosawi"/>
          <w:sz w:val="22"/>
          <w:szCs w:val="22"/>
          <w:rtl/>
        </w:rPr>
        <w:t>×</w:t>
      </w:r>
      <w:r w:rsidRPr="00282AC9">
        <w:rPr>
          <w:rFonts w:ascii="Arial" w:hAnsi="Arial"/>
          <w:sz w:val="27"/>
          <w:rtl/>
        </w:rPr>
        <w:t xml:space="preserve"> </w:t>
      </w:r>
      <w:r w:rsidRPr="00282AC9">
        <w:rPr>
          <w:rFonts w:ascii="Arial" w:hAnsi="Arial" w:hint="cs"/>
          <w:sz w:val="27"/>
          <w:rtl/>
        </w:rPr>
        <w:t xml:space="preserve">ليس </w:t>
      </w:r>
      <w:r w:rsidRPr="00282AC9">
        <w:rPr>
          <w:rFonts w:ascii="Arial" w:hAnsi="Arial"/>
          <w:sz w:val="27"/>
          <w:rtl/>
        </w:rPr>
        <w:t>هو ما فهمه القوم</w:t>
      </w:r>
      <w:r w:rsidRPr="00282AC9">
        <w:rPr>
          <w:rFonts w:ascii="Arial" w:hAnsi="Arial" w:hint="cs"/>
          <w:sz w:val="27"/>
          <w:rtl/>
        </w:rPr>
        <w:t xml:space="preserve"> من روايات </w:t>
      </w:r>
      <w:r w:rsidR="0044652C" w:rsidRPr="00282AC9">
        <w:rPr>
          <w:rFonts w:hint="eastAsia"/>
          <w:sz w:val="24"/>
          <w:szCs w:val="24"/>
          <w:rtl/>
        </w:rPr>
        <w:t>«</w:t>
      </w:r>
      <w:r w:rsidRPr="00282AC9">
        <w:rPr>
          <w:rFonts w:ascii="Arial" w:hAnsi="Arial" w:hint="cs"/>
          <w:sz w:val="27"/>
          <w:rtl/>
        </w:rPr>
        <w:t>م</w:t>
      </w:r>
      <w:r w:rsidR="0044652C" w:rsidRPr="00282AC9">
        <w:rPr>
          <w:rFonts w:ascii="Arial" w:hAnsi="Arial" w:hint="cs"/>
          <w:sz w:val="27"/>
          <w:rtl/>
        </w:rPr>
        <w:t>َ</w:t>
      </w:r>
      <w:r w:rsidRPr="00282AC9">
        <w:rPr>
          <w:rFonts w:ascii="Arial" w:hAnsi="Arial" w:hint="cs"/>
          <w:sz w:val="27"/>
          <w:rtl/>
        </w:rPr>
        <w:t>ن</w:t>
      </w:r>
      <w:r w:rsidR="0044652C" w:rsidRPr="00282AC9">
        <w:rPr>
          <w:rFonts w:ascii="Arial" w:hAnsi="Arial" w:hint="cs"/>
          <w:sz w:val="27"/>
          <w:rtl/>
        </w:rPr>
        <w:t>ْ</w:t>
      </w:r>
      <w:r w:rsidRPr="00282AC9">
        <w:rPr>
          <w:rFonts w:ascii="Arial" w:hAnsi="Arial" w:hint="cs"/>
          <w:sz w:val="27"/>
          <w:rtl/>
        </w:rPr>
        <w:t xml:space="preserve"> بلغ</w:t>
      </w:r>
      <w:r w:rsidR="0044652C" w:rsidRPr="00282AC9">
        <w:rPr>
          <w:rFonts w:hint="eastAsia"/>
          <w:sz w:val="24"/>
          <w:szCs w:val="24"/>
          <w:rtl/>
        </w:rPr>
        <w:t>»</w:t>
      </w:r>
      <w:r w:rsidRPr="00282AC9">
        <w:rPr>
          <w:rFonts w:ascii="Arial" w:hAnsi="Arial" w:hint="cs"/>
          <w:sz w:val="27"/>
          <w:rtl/>
        </w:rPr>
        <w:t>.</w:t>
      </w:r>
    </w:p>
    <w:p w:rsidR="0098597F" w:rsidRPr="00282AC9" w:rsidRDefault="0098597F" w:rsidP="004F097E">
      <w:pPr>
        <w:contextualSpacing/>
        <w:rPr>
          <w:rFonts w:ascii="Arial" w:eastAsia="Calibri" w:hAnsi="Arial"/>
          <w:sz w:val="27"/>
          <w:rtl/>
        </w:rPr>
      </w:pPr>
    </w:p>
    <w:p w:rsidR="00E83C22" w:rsidRPr="00282AC9" w:rsidRDefault="0098597F" w:rsidP="004F097E">
      <w:pPr>
        <w:ind w:firstLine="0"/>
        <w:jc w:val="right"/>
        <w:rPr>
          <w:rtl/>
        </w:rPr>
      </w:pPr>
      <w:r w:rsidRPr="00282AC9">
        <w:rPr>
          <w:rFonts w:ascii="Arial" w:eastAsia="Calibri" w:hAnsi="Arial" w:hint="cs"/>
          <w:b/>
          <w:bCs/>
          <w:sz w:val="27"/>
          <w:rtl/>
        </w:rPr>
        <w:t>ـ يتبع ـ</w:t>
      </w:r>
    </w:p>
    <w:p w:rsidR="00E83C22" w:rsidRPr="00282AC9" w:rsidRDefault="00E83C22" w:rsidP="00106AA7">
      <w:pPr>
        <w:spacing w:line="440" w:lineRule="exact"/>
        <w:rPr>
          <w:rtl/>
        </w:rPr>
      </w:pPr>
    </w:p>
    <w:p w:rsidR="00E83C22" w:rsidRPr="00282AC9" w:rsidRDefault="00E83C22" w:rsidP="00106AA7">
      <w:pPr>
        <w:spacing w:line="440" w:lineRule="exact"/>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A716AC">
      <w:pPr>
        <w:spacing w:line="450" w:lineRule="exact"/>
        <w:rPr>
          <w:rtl/>
        </w:rPr>
      </w:pPr>
    </w:p>
    <w:p w:rsidR="00E83C22" w:rsidRPr="00282AC9" w:rsidRDefault="00E83C22" w:rsidP="00E45F8D">
      <w:pPr>
        <w:spacing w:line="440" w:lineRule="exact"/>
        <w:rPr>
          <w:rtl/>
        </w:rPr>
      </w:pPr>
    </w:p>
    <w:p w:rsidR="00E83C22" w:rsidRPr="00282AC9" w:rsidRDefault="00B37544" w:rsidP="00B37544">
      <w:pPr>
        <w:pStyle w:val="11"/>
        <w:spacing w:line="216" w:lineRule="auto"/>
        <w:rPr>
          <w:rtl/>
        </w:rPr>
      </w:pPr>
      <w:bookmarkStart w:id="16" w:name="_Toc87011491"/>
      <w:r w:rsidRPr="00282AC9">
        <w:rPr>
          <w:rtl/>
        </w:rPr>
        <w:t>الهيمنة الذكوري</w:t>
      </w:r>
      <w:r w:rsidRPr="00282AC9">
        <w:rPr>
          <w:rFonts w:hint="cs"/>
          <w:rtl/>
        </w:rPr>
        <w:t>ّ</w:t>
      </w:r>
      <w:r w:rsidRPr="00282AC9">
        <w:rPr>
          <w:rtl/>
        </w:rPr>
        <w:t>ة</w:t>
      </w:r>
      <w:bookmarkEnd w:id="16"/>
    </w:p>
    <w:p w:rsidR="00E83C22" w:rsidRPr="00282AC9" w:rsidRDefault="00B37544" w:rsidP="00B37544">
      <w:pPr>
        <w:pStyle w:val="11"/>
        <w:spacing w:line="216" w:lineRule="auto"/>
        <w:rPr>
          <w:sz w:val="26"/>
          <w:szCs w:val="42"/>
          <w:rtl/>
        </w:rPr>
      </w:pPr>
      <w:bookmarkStart w:id="17" w:name="_Toc87011492"/>
      <w:r w:rsidRPr="00282AC9">
        <w:rPr>
          <w:sz w:val="26"/>
          <w:szCs w:val="42"/>
          <w:rtl/>
        </w:rPr>
        <w:t>بين التشريع الديني</w:t>
      </w:r>
      <w:r w:rsidRPr="00282AC9">
        <w:rPr>
          <w:rFonts w:hint="cs"/>
          <w:sz w:val="26"/>
          <w:szCs w:val="42"/>
          <w:rtl/>
        </w:rPr>
        <w:t>ّ</w:t>
      </w:r>
      <w:r w:rsidRPr="00282AC9">
        <w:rPr>
          <w:sz w:val="26"/>
          <w:szCs w:val="42"/>
          <w:rtl/>
        </w:rPr>
        <w:t xml:space="preserve"> والأعراف الاجتماعي</w:t>
      </w:r>
      <w:r w:rsidRPr="00282AC9">
        <w:rPr>
          <w:rFonts w:hint="cs"/>
          <w:sz w:val="26"/>
          <w:szCs w:val="42"/>
          <w:rtl/>
        </w:rPr>
        <w:t>ّ</w:t>
      </w:r>
      <w:r w:rsidRPr="00282AC9">
        <w:rPr>
          <w:sz w:val="26"/>
          <w:szCs w:val="42"/>
          <w:rtl/>
        </w:rPr>
        <w:t>ة</w:t>
      </w:r>
      <w:bookmarkEnd w:id="17"/>
    </w:p>
    <w:p w:rsidR="00E83C22" w:rsidRPr="00282AC9" w:rsidRDefault="00E83C22" w:rsidP="00E45F8D">
      <w:pPr>
        <w:spacing w:line="440" w:lineRule="exact"/>
        <w:rPr>
          <w:rtl/>
        </w:rPr>
      </w:pPr>
    </w:p>
    <w:p w:rsidR="00E83C22" w:rsidRPr="00282AC9" w:rsidRDefault="00237CF0" w:rsidP="00B37544">
      <w:pPr>
        <w:pStyle w:val="Author"/>
        <w:rPr>
          <w:rtl/>
        </w:rPr>
      </w:pPr>
      <w:bookmarkStart w:id="18" w:name="_Toc87011493"/>
      <w:r w:rsidRPr="00282AC9">
        <w:rPr>
          <w:rFonts w:hint="cs"/>
          <w:rtl/>
          <w:lang w:bidi="ar-YE"/>
        </w:rPr>
        <w:t>الشيخ حسن الصف</w:t>
      </w:r>
      <w:r w:rsidR="00B37544" w:rsidRPr="00282AC9">
        <w:rPr>
          <w:rFonts w:hint="cs"/>
          <w:rtl/>
          <w:lang w:bidi="ar-YE"/>
        </w:rPr>
        <w:t>ار</w:t>
      </w:r>
      <w:r w:rsidR="00527634" w:rsidRPr="00282AC9">
        <w:rPr>
          <w:rFonts w:cs="Taher" w:hint="cs"/>
          <w:vertAlign w:val="superscript"/>
          <w:rtl/>
        </w:rPr>
        <w:t>(</w:t>
      </w:r>
      <w:r w:rsidR="00527634" w:rsidRPr="00282AC9">
        <w:rPr>
          <w:rFonts w:cs="Taher"/>
          <w:vertAlign w:val="superscript"/>
          <w:rtl/>
        </w:rPr>
        <w:footnoteReference w:customMarkFollows="1" w:id="4"/>
        <w:t>*)</w:t>
      </w:r>
      <w:bookmarkEnd w:id="18"/>
    </w:p>
    <w:p w:rsidR="00E83C22" w:rsidRPr="00282AC9" w:rsidRDefault="00E83C22" w:rsidP="00E45F8D">
      <w:pPr>
        <w:spacing w:line="440" w:lineRule="exact"/>
        <w:rPr>
          <w:rtl/>
        </w:rPr>
      </w:pPr>
    </w:p>
    <w:p w:rsidR="009C6A22" w:rsidRPr="00282AC9" w:rsidRDefault="00D43662" w:rsidP="00B37544">
      <w:pPr>
        <w:pStyle w:val="31"/>
        <w:rPr>
          <w:rFonts w:eastAsiaTheme="minorHAnsi"/>
          <w:color w:val="auto"/>
          <w:rtl/>
          <w:lang w:bidi="ar-YE"/>
        </w:rPr>
      </w:pPr>
      <w:r w:rsidRPr="00282AC9">
        <w:rPr>
          <w:rFonts w:eastAsiaTheme="minorHAnsi" w:hint="cs"/>
          <w:color w:val="auto"/>
          <w:rtl/>
          <w:lang w:bidi="ar-YE"/>
        </w:rPr>
        <w:t>تمهيدٌ</w:t>
      </w:r>
    </w:p>
    <w:p w:rsidR="009C6A22" w:rsidRPr="00282AC9" w:rsidRDefault="009C6A22" w:rsidP="00106AA7">
      <w:pPr>
        <w:rPr>
          <w:rtl/>
        </w:rPr>
      </w:pPr>
      <w:r w:rsidRPr="00282AC9">
        <w:rPr>
          <w:rtl/>
        </w:rPr>
        <w:t>تُعَدّ العلاقة الزوجي</w:t>
      </w:r>
      <w:r w:rsidR="00D43662" w:rsidRPr="00282AC9">
        <w:rPr>
          <w:rFonts w:hint="cs"/>
          <w:rtl/>
        </w:rPr>
        <w:t>ّ</w:t>
      </w:r>
      <w:r w:rsidRPr="00282AC9">
        <w:rPr>
          <w:rtl/>
        </w:rPr>
        <w:t>ة إحدى أخصّ وأوثق العلاقات بين بني البشر. فالعلاقة بين الزوجين مفتوحة</w:t>
      </w:r>
      <w:r w:rsidR="00CD7186" w:rsidRPr="00282AC9">
        <w:rPr>
          <w:rFonts w:hint="cs"/>
          <w:rtl/>
        </w:rPr>
        <w:t>ٌ</w:t>
      </w:r>
      <w:r w:rsidRPr="00282AC9">
        <w:rPr>
          <w:rtl/>
        </w:rPr>
        <w:t xml:space="preserve"> على جانبي الروح والجسد، </w:t>
      </w:r>
      <w:r w:rsidR="00CD7186" w:rsidRPr="00282AC9">
        <w:rPr>
          <w:rFonts w:hint="cs"/>
          <w:rtl/>
        </w:rPr>
        <w:t>مضافاً إ</w:t>
      </w:r>
      <w:r w:rsidRPr="00282AC9">
        <w:rPr>
          <w:rtl/>
        </w:rPr>
        <w:t>لى التداخل والاندماج النفسي بينهما، حت</w:t>
      </w:r>
      <w:r w:rsidR="00CD7186" w:rsidRPr="00282AC9">
        <w:rPr>
          <w:rFonts w:hint="cs"/>
          <w:rtl/>
        </w:rPr>
        <w:t>ّ</w:t>
      </w:r>
      <w:r w:rsidRPr="00282AC9">
        <w:rPr>
          <w:rtl/>
        </w:rPr>
        <w:t>ى وصف القرآن الكريم هذه العلاقة باعتبارها نوعاً من الس</w:t>
      </w:r>
      <w:r w:rsidR="00CD7186" w:rsidRPr="00282AC9">
        <w:rPr>
          <w:rFonts w:hint="cs"/>
          <w:rtl/>
        </w:rPr>
        <w:t>َّ</w:t>
      </w:r>
      <w:r w:rsidRPr="00282AC9">
        <w:rPr>
          <w:rtl/>
        </w:rPr>
        <w:t>ك</w:t>
      </w:r>
      <w:r w:rsidR="00CD7186" w:rsidRPr="00282AC9">
        <w:rPr>
          <w:rFonts w:hint="cs"/>
          <w:rtl/>
        </w:rPr>
        <w:t>َ</w:t>
      </w:r>
      <w:r w:rsidRPr="00282AC9">
        <w:rPr>
          <w:rtl/>
        </w:rPr>
        <w:t>ن لنفس الإنسان، قال تعال</w:t>
      </w:r>
      <w:r w:rsidRPr="00282AC9">
        <w:rPr>
          <w:rFonts w:hint="cs"/>
          <w:rtl/>
        </w:rPr>
        <w:t>ى</w:t>
      </w:r>
      <w:r w:rsidRPr="00282AC9">
        <w:rPr>
          <w:rtl/>
        </w:rPr>
        <w:t xml:space="preserve">: </w:t>
      </w:r>
      <w:r w:rsidR="00C5291F" w:rsidRPr="00282AC9">
        <w:rPr>
          <w:rFonts w:ascii="Mosawi" w:hAnsi="Mosawi" w:cs="Mosawi"/>
          <w:sz w:val="24"/>
          <w:szCs w:val="24"/>
          <w:rtl/>
        </w:rPr>
        <w:t>﴿</w:t>
      </w:r>
      <w:r w:rsidRPr="00282AC9">
        <w:rPr>
          <w:b/>
          <w:bCs/>
          <w:rtl/>
        </w:rPr>
        <w:t>وَمِنْ آيَاتِهِ أَنْ خَلَقَ لَكُم م</w:t>
      </w:r>
      <w:r w:rsidR="00313735" w:rsidRPr="00282AC9">
        <w:rPr>
          <w:b/>
          <w:bCs/>
          <w:rtl/>
        </w:rPr>
        <w:t>ِّ</w:t>
      </w:r>
      <w:r w:rsidRPr="00282AC9">
        <w:rPr>
          <w:b/>
          <w:bCs/>
          <w:rtl/>
        </w:rPr>
        <w:t>نْ أَنفُسِكُمْ أَزْوَاجاً</w:t>
      </w:r>
      <w:r w:rsidR="00CD7186" w:rsidRPr="00282AC9">
        <w:rPr>
          <w:b/>
          <w:bCs/>
          <w:rtl/>
        </w:rPr>
        <w:t xml:space="preserve"> ل</w:t>
      </w:r>
      <w:r w:rsidR="00CD7186" w:rsidRPr="00282AC9">
        <w:rPr>
          <w:rFonts w:hint="cs"/>
          <w:b/>
          <w:bCs/>
          <w:rtl/>
        </w:rPr>
        <w:t>ِّ</w:t>
      </w:r>
      <w:r w:rsidRPr="00282AC9">
        <w:rPr>
          <w:b/>
          <w:bCs/>
          <w:rtl/>
        </w:rPr>
        <w:t>تَسْكُنُوا إِلَيْهَا</w:t>
      </w:r>
      <w:r w:rsidR="00C5291F" w:rsidRPr="00282AC9">
        <w:rPr>
          <w:rFonts w:ascii="Mosawi" w:hAnsi="Mosawi" w:cs="Mosawi"/>
          <w:sz w:val="24"/>
          <w:szCs w:val="24"/>
          <w:rtl/>
        </w:rPr>
        <w:t>﴾</w:t>
      </w:r>
      <w:r w:rsidRPr="00282AC9">
        <w:rPr>
          <w:rtl/>
        </w:rPr>
        <w:t>، فالزوج وفق التعبير القرآني س</w:t>
      </w:r>
      <w:r w:rsidR="00CD7186" w:rsidRPr="00282AC9">
        <w:rPr>
          <w:rFonts w:hint="cs"/>
          <w:rtl/>
        </w:rPr>
        <w:t>َ</w:t>
      </w:r>
      <w:r w:rsidRPr="00282AC9">
        <w:rPr>
          <w:rtl/>
        </w:rPr>
        <w:t>ك</w:t>
      </w:r>
      <w:r w:rsidR="00CD7186" w:rsidRPr="00282AC9">
        <w:rPr>
          <w:rFonts w:hint="cs"/>
          <w:rtl/>
        </w:rPr>
        <w:t>َ</w:t>
      </w:r>
      <w:r w:rsidRPr="00282AC9">
        <w:rPr>
          <w:rtl/>
        </w:rPr>
        <w:t>ن</w:t>
      </w:r>
      <w:r w:rsidR="00CD7186" w:rsidRPr="00282AC9">
        <w:rPr>
          <w:rFonts w:hint="cs"/>
          <w:rtl/>
        </w:rPr>
        <w:t>ٌ</w:t>
      </w:r>
      <w:r w:rsidRPr="00282AC9">
        <w:rPr>
          <w:rtl/>
        </w:rPr>
        <w:t xml:space="preserve"> لزوجته، والزوجة س</w:t>
      </w:r>
      <w:r w:rsidR="00CD7186" w:rsidRPr="00282AC9">
        <w:rPr>
          <w:rFonts w:hint="cs"/>
          <w:rtl/>
        </w:rPr>
        <w:t>َ</w:t>
      </w:r>
      <w:r w:rsidRPr="00282AC9">
        <w:rPr>
          <w:rtl/>
        </w:rPr>
        <w:t>ك</w:t>
      </w:r>
      <w:r w:rsidR="00CD7186" w:rsidRPr="00282AC9">
        <w:rPr>
          <w:rFonts w:hint="cs"/>
          <w:rtl/>
        </w:rPr>
        <w:t>َ</w:t>
      </w:r>
      <w:r w:rsidRPr="00282AC9">
        <w:rPr>
          <w:rtl/>
        </w:rPr>
        <w:t>ن</w:t>
      </w:r>
      <w:r w:rsidR="00CD7186" w:rsidRPr="00282AC9">
        <w:rPr>
          <w:rFonts w:hint="cs"/>
          <w:rtl/>
        </w:rPr>
        <w:t>ٌ</w:t>
      </w:r>
      <w:r w:rsidRPr="00282AC9">
        <w:rPr>
          <w:rtl/>
        </w:rPr>
        <w:t xml:space="preserve"> لزوجها. </w:t>
      </w:r>
    </w:p>
    <w:p w:rsidR="009C6A22" w:rsidRPr="00282AC9" w:rsidRDefault="009C6A22" w:rsidP="00106AA7">
      <w:pPr>
        <w:rPr>
          <w:rtl/>
        </w:rPr>
      </w:pPr>
      <w:r w:rsidRPr="00282AC9">
        <w:rPr>
          <w:rtl/>
        </w:rPr>
        <w:t>وأشار</w:t>
      </w:r>
      <w:r w:rsidR="00D43662" w:rsidRPr="00282AC9">
        <w:rPr>
          <w:rFonts w:hint="cs"/>
          <w:rtl/>
        </w:rPr>
        <w:t>َ</w:t>
      </w:r>
      <w:r w:rsidRPr="00282AC9">
        <w:rPr>
          <w:rtl/>
        </w:rPr>
        <w:t>ت</w:t>
      </w:r>
      <w:r w:rsidR="00D43662" w:rsidRPr="00282AC9">
        <w:rPr>
          <w:rFonts w:hint="cs"/>
          <w:rtl/>
        </w:rPr>
        <w:t>ْ</w:t>
      </w:r>
      <w:r w:rsidRPr="00282AC9">
        <w:rPr>
          <w:rtl/>
        </w:rPr>
        <w:t xml:space="preserve"> آية</w:t>
      </w:r>
      <w:r w:rsidR="00CD7186" w:rsidRPr="00282AC9">
        <w:rPr>
          <w:rFonts w:hint="cs"/>
          <w:rtl/>
        </w:rPr>
        <w:t>ٌ</w:t>
      </w:r>
      <w:r w:rsidRPr="00282AC9">
        <w:rPr>
          <w:rtl/>
        </w:rPr>
        <w:t xml:space="preserve"> قرآنية أخرى إلى وصف العلاقة الزوجي</w:t>
      </w:r>
      <w:r w:rsidR="00CD7186" w:rsidRPr="00282AC9">
        <w:rPr>
          <w:rFonts w:hint="cs"/>
          <w:rtl/>
        </w:rPr>
        <w:t>ّ</w:t>
      </w:r>
      <w:r w:rsidRPr="00282AC9">
        <w:rPr>
          <w:rtl/>
        </w:rPr>
        <w:t xml:space="preserve">ة باللباس، فالزوج بمنزلة </w:t>
      </w:r>
      <w:r w:rsidR="006D28AF" w:rsidRPr="00282AC9">
        <w:rPr>
          <w:rtl/>
        </w:rPr>
        <w:t>الل</w:t>
      </w:r>
      <w:r w:rsidRPr="00282AC9">
        <w:rPr>
          <w:rtl/>
        </w:rPr>
        <w:t>باس للزوجة</w:t>
      </w:r>
      <w:r w:rsidR="00CD7186" w:rsidRPr="00282AC9">
        <w:rPr>
          <w:rFonts w:hint="cs"/>
          <w:rtl/>
        </w:rPr>
        <w:t>،</w:t>
      </w:r>
      <w:r w:rsidRPr="00282AC9">
        <w:rPr>
          <w:rtl/>
        </w:rPr>
        <w:t xml:space="preserve"> والعكس صحيح، قال تعالى: </w:t>
      </w:r>
      <w:r w:rsidR="00C5291F" w:rsidRPr="00282AC9">
        <w:rPr>
          <w:rFonts w:ascii="Mosawi" w:hAnsi="Mosawi" w:cs="Mosawi"/>
          <w:sz w:val="24"/>
          <w:szCs w:val="24"/>
          <w:rtl/>
        </w:rPr>
        <w:t>﴿</w:t>
      </w:r>
      <w:r w:rsidRPr="00282AC9">
        <w:rPr>
          <w:b/>
          <w:bCs/>
          <w:rtl/>
        </w:rPr>
        <w:t>هُنَّ لِبَاسٌ لَّكُمْ وَأَنتُمْ لِبَاسٌ لَّهُنَّ</w:t>
      </w:r>
      <w:r w:rsidR="00C5291F" w:rsidRPr="00282AC9">
        <w:rPr>
          <w:rFonts w:ascii="Mosawi" w:hAnsi="Mosawi" w:cs="Mosawi"/>
          <w:sz w:val="24"/>
          <w:szCs w:val="24"/>
          <w:rtl/>
        </w:rPr>
        <w:t>﴾</w:t>
      </w:r>
      <w:r w:rsidR="00CD7186" w:rsidRPr="00282AC9">
        <w:rPr>
          <w:rFonts w:hint="cs"/>
          <w:rtl/>
        </w:rPr>
        <w:t>.</w:t>
      </w:r>
      <w:r w:rsidRPr="00282AC9">
        <w:rPr>
          <w:rtl/>
        </w:rPr>
        <w:t xml:space="preserve"> ومن المعلوم أنّ علاقة الإنسان بلباسه تمتاز بالالتصاق في المقام الأو</w:t>
      </w:r>
      <w:r w:rsidR="00CD7186" w:rsidRPr="00282AC9">
        <w:rPr>
          <w:rFonts w:hint="cs"/>
          <w:rtl/>
        </w:rPr>
        <w:t>ّ</w:t>
      </w:r>
      <w:r w:rsidRPr="00282AC9">
        <w:rPr>
          <w:rtl/>
        </w:rPr>
        <w:t>ل، حيث يلتصق اللباس بالجسم تماماً، وحينما يصف القرآن الكريم العلاقة الزوجية ب</w:t>
      </w:r>
      <w:r w:rsidR="006D28AF" w:rsidRPr="00282AC9">
        <w:rPr>
          <w:rtl/>
        </w:rPr>
        <w:t>الل</w:t>
      </w:r>
      <w:r w:rsidRPr="00282AC9">
        <w:rPr>
          <w:rtl/>
        </w:rPr>
        <w:t>باس فإنّ ذلك من باب التمثيل لحالة الق</w:t>
      </w:r>
      <w:r w:rsidR="00CD7186" w:rsidRPr="00282AC9">
        <w:rPr>
          <w:rFonts w:hint="cs"/>
          <w:rtl/>
        </w:rPr>
        <w:t>ُ</w:t>
      </w:r>
      <w:r w:rsidRPr="00282AC9">
        <w:rPr>
          <w:rtl/>
        </w:rPr>
        <w:t>ر</w:t>
      </w:r>
      <w:r w:rsidR="00CD7186" w:rsidRPr="00282AC9">
        <w:rPr>
          <w:rFonts w:hint="cs"/>
          <w:rtl/>
        </w:rPr>
        <w:t>ْ</w:t>
      </w:r>
      <w:r w:rsidRPr="00282AC9">
        <w:rPr>
          <w:rtl/>
        </w:rPr>
        <w:t>ب الشديد إلى حدِّ الالتصاق بين الزوجين. كما يأتي وصف العلاقة الزوجي</w:t>
      </w:r>
      <w:r w:rsidR="00CD7186" w:rsidRPr="00282AC9">
        <w:rPr>
          <w:rFonts w:hint="cs"/>
          <w:rtl/>
        </w:rPr>
        <w:t>ّ</w:t>
      </w:r>
      <w:r w:rsidRPr="00282AC9">
        <w:rPr>
          <w:rtl/>
        </w:rPr>
        <w:t>ة ب</w:t>
      </w:r>
      <w:r w:rsidR="006D28AF" w:rsidRPr="00282AC9">
        <w:rPr>
          <w:rtl/>
        </w:rPr>
        <w:t>الل</w:t>
      </w:r>
      <w:r w:rsidRPr="00282AC9">
        <w:rPr>
          <w:rtl/>
        </w:rPr>
        <w:t>باس</w:t>
      </w:r>
      <w:r w:rsidR="00CD7186" w:rsidRPr="00282AC9">
        <w:rPr>
          <w:rFonts w:hint="cs"/>
          <w:rtl/>
        </w:rPr>
        <w:t>؛</w:t>
      </w:r>
      <w:r w:rsidRPr="00282AC9">
        <w:rPr>
          <w:rtl/>
        </w:rPr>
        <w:t xml:space="preserve"> لما في </w:t>
      </w:r>
      <w:r w:rsidR="006D28AF" w:rsidRPr="00282AC9">
        <w:rPr>
          <w:rtl/>
        </w:rPr>
        <w:t>الل</w:t>
      </w:r>
      <w:r w:rsidRPr="00282AC9">
        <w:rPr>
          <w:rtl/>
        </w:rPr>
        <w:t>باس من حماية للجسم، من البرد والح</w:t>
      </w:r>
      <w:r w:rsidR="00CD7186" w:rsidRPr="00282AC9">
        <w:rPr>
          <w:rFonts w:hint="cs"/>
          <w:rtl/>
        </w:rPr>
        <w:t>َ</w:t>
      </w:r>
      <w:r w:rsidRPr="00282AC9">
        <w:rPr>
          <w:rtl/>
        </w:rPr>
        <w:t>رّ والغبار وسائر العوامل الخارجية</w:t>
      </w:r>
      <w:r w:rsidR="00CD7186" w:rsidRPr="00282AC9">
        <w:rPr>
          <w:rFonts w:hint="cs"/>
          <w:rtl/>
        </w:rPr>
        <w:t>،</w:t>
      </w:r>
      <w:r w:rsidRPr="00282AC9">
        <w:rPr>
          <w:rtl/>
        </w:rPr>
        <w:t xml:space="preserve"> التي يمكن أن تؤث</w:t>
      </w:r>
      <w:r w:rsidR="00CD7186" w:rsidRPr="00282AC9">
        <w:rPr>
          <w:rFonts w:hint="cs"/>
          <w:rtl/>
        </w:rPr>
        <w:t>ِّ</w:t>
      </w:r>
      <w:r w:rsidRPr="00282AC9">
        <w:rPr>
          <w:rtl/>
        </w:rPr>
        <w:t>ر على الإنسان</w:t>
      </w:r>
      <w:r w:rsidR="00CD7186" w:rsidRPr="00282AC9">
        <w:rPr>
          <w:rFonts w:hint="cs"/>
          <w:rtl/>
        </w:rPr>
        <w:t>.</w:t>
      </w:r>
      <w:r w:rsidRPr="00282AC9">
        <w:rPr>
          <w:rtl/>
        </w:rPr>
        <w:t xml:space="preserve"> ومضمون ذلك أنّ العلاقة الزوجية يفترض بها أن توفّ</w:t>
      </w:r>
      <w:r w:rsidR="00CD7186" w:rsidRPr="00282AC9">
        <w:rPr>
          <w:rFonts w:hint="cs"/>
          <w:rtl/>
        </w:rPr>
        <w:t>ِ</w:t>
      </w:r>
      <w:r w:rsidRPr="00282AC9">
        <w:rPr>
          <w:rtl/>
        </w:rPr>
        <w:t>ر الحماية المتبادلة بين الزوجين. وإضافة إلى ذلك يأتي وصف العلاقة الزوجية ب</w:t>
      </w:r>
      <w:r w:rsidR="006D28AF" w:rsidRPr="00282AC9">
        <w:rPr>
          <w:rtl/>
        </w:rPr>
        <w:t>الل</w:t>
      </w:r>
      <w:r w:rsidRPr="00282AC9">
        <w:rPr>
          <w:rtl/>
        </w:rPr>
        <w:t>باس</w:t>
      </w:r>
      <w:r w:rsidR="00CD7186" w:rsidRPr="00282AC9">
        <w:rPr>
          <w:rFonts w:hint="cs"/>
          <w:rtl/>
        </w:rPr>
        <w:t>؛</w:t>
      </w:r>
      <w:r w:rsidRPr="00282AC9">
        <w:rPr>
          <w:rtl/>
        </w:rPr>
        <w:t xml:space="preserve"> لما في اللباس من ستر لعورة الإنسان، حيث تمثّ</w:t>
      </w:r>
      <w:r w:rsidR="00CD7186" w:rsidRPr="00282AC9">
        <w:rPr>
          <w:rFonts w:hint="cs"/>
          <w:rtl/>
        </w:rPr>
        <w:t>ِ</w:t>
      </w:r>
      <w:r w:rsidRPr="00282AC9">
        <w:rPr>
          <w:rtl/>
        </w:rPr>
        <w:t xml:space="preserve">ل </w:t>
      </w:r>
      <w:r w:rsidRPr="00282AC9">
        <w:rPr>
          <w:rtl/>
        </w:rPr>
        <w:lastRenderedPageBreak/>
        <w:t>العلاقة الزوجية ستراً أخلاقيّاً للإنسان. وأخيراً جاء وصف الزواج ب</w:t>
      </w:r>
      <w:r w:rsidR="006D28AF" w:rsidRPr="00282AC9">
        <w:rPr>
          <w:rtl/>
        </w:rPr>
        <w:t>الل</w:t>
      </w:r>
      <w:r w:rsidRPr="00282AC9">
        <w:rPr>
          <w:rtl/>
        </w:rPr>
        <w:t>باس</w:t>
      </w:r>
      <w:r w:rsidR="00CD7186" w:rsidRPr="00282AC9">
        <w:rPr>
          <w:rFonts w:hint="cs"/>
          <w:rtl/>
        </w:rPr>
        <w:t>؛</w:t>
      </w:r>
      <w:r w:rsidRPr="00282AC9">
        <w:rPr>
          <w:rtl/>
        </w:rPr>
        <w:t xml:space="preserve"> لما في اللباس من زينة</w:t>
      </w:r>
      <w:r w:rsidR="00CD7186" w:rsidRPr="00282AC9">
        <w:rPr>
          <w:rFonts w:hint="cs"/>
          <w:rtl/>
        </w:rPr>
        <w:t>ٍ</w:t>
      </w:r>
      <w:r w:rsidRPr="00282AC9">
        <w:rPr>
          <w:rtl/>
        </w:rPr>
        <w:t xml:space="preserve">، </w:t>
      </w:r>
      <w:r w:rsidR="00CD7186" w:rsidRPr="00282AC9">
        <w:rPr>
          <w:rFonts w:hint="cs"/>
          <w:rtl/>
        </w:rPr>
        <w:t>فكما</w:t>
      </w:r>
      <w:r w:rsidRPr="00282AC9">
        <w:rPr>
          <w:rtl/>
        </w:rPr>
        <w:t xml:space="preserve"> يتجمّ</w:t>
      </w:r>
      <w:r w:rsidR="00CD7186" w:rsidRPr="00282AC9">
        <w:rPr>
          <w:rFonts w:hint="cs"/>
          <w:rtl/>
        </w:rPr>
        <w:t>َ</w:t>
      </w:r>
      <w:r w:rsidRPr="00282AC9">
        <w:rPr>
          <w:rtl/>
        </w:rPr>
        <w:t>ل الإنسان بلباسه هو يتجمّ</w:t>
      </w:r>
      <w:r w:rsidR="00CD7186" w:rsidRPr="00282AC9">
        <w:rPr>
          <w:rFonts w:hint="cs"/>
          <w:rtl/>
        </w:rPr>
        <w:t>َ</w:t>
      </w:r>
      <w:r w:rsidRPr="00282AC9">
        <w:rPr>
          <w:rtl/>
        </w:rPr>
        <w:t>ل كذلك بالعلاقة الزوجي</w:t>
      </w:r>
      <w:r w:rsidR="00CD7186" w:rsidRPr="00282AC9">
        <w:rPr>
          <w:rFonts w:hint="cs"/>
          <w:rtl/>
        </w:rPr>
        <w:t>ّ</w:t>
      </w:r>
      <w:r w:rsidRPr="00282AC9">
        <w:rPr>
          <w:rtl/>
        </w:rPr>
        <w:t xml:space="preserve">ة في حياته الاجتماعية، فالزوج بمنزلة الزينة للزوجة، والعكس بالعكس. </w:t>
      </w:r>
    </w:p>
    <w:p w:rsidR="009C6A22" w:rsidRPr="00282AC9" w:rsidRDefault="009C6A22" w:rsidP="00A716AC">
      <w:pPr>
        <w:spacing w:line="430" w:lineRule="exact"/>
        <w:rPr>
          <w:rtl/>
        </w:rPr>
      </w:pPr>
    </w:p>
    <w:p w:rsidR="009C6A22" w:rsidRPr="00282AC9" w:rsidRDefault="00930AB7" w:rsidP="00930AB7">
      <w:pPr>
        <w:pStyle w:val="31"/>
        <w:rPr>
          <w:color w:val="auto"/>
          <w:lang w:bidi="ar-YE"/>
        </w:rPr>
      </w:pPr>
      <w:r w:rsidRPr="00282AC9">
        <w:rPr>
          <w:rFonts w:hint="cs"/>
          <w:color w:val="auto"/>
          <w:rtl/>
          <w:lang w:bidi="ar-YE"/>
        </w:rPr>
        <w:t xml:space="preserve">ضرورة الاختيار العقلانيّ في العلاقة الزوجيّة </w:t>
      </w:r>
    </w:p>
    <w:p w:rsidR="009C6A22" w:rsidRPr="00282AC9" w:rsidRDefault="009C6A22" w:rsidP="00106AA7">
      <w:pPr>
        <w:rPr>
          <w:rtl/>
        </w:rPr>
      </w:pPr>
      <w:r w:rsidRPr="00282AC9">
        <w:rPr>
          <w:rtl/>
        </w:rPr>
        <w:t>وعليه، ينبغي أ</w:t>
      </w:r>
      <w:r w:rsidR="00CD7186" w:rsidRPr="00282AC9">
        <w:rPr>
          <w:rFonts w:hint="cs"/>
          <w:rtl/>
        </w:rPr>
        <w:t>ن لا</w:t>
      </w:r>
      <w:r w:rsidRPr="00282AC9">
        <w:rPr>
          <w:rtl/>
        </w:rPr>
        <w:t xml:space="preserve"> يدخل الإنسان في العلاقة الزوجية إ</w:t>
      </w:r>
      <w:r w:rsidR="00EE6DBA" w:rsidRPr="00282AC9">
        <w:rPr>
          <w:rtl/>
        </w:rPr>
        <w:t>لاّ</w:t>
      </w:r>
      <w:r w:rsidRPr="00282AC9">
        <w:rPr>
          <w:rtl/>
        </w:rPr>
        <w:t xml:space="preserve"> بعد دراسة</w:t>
      </w:r>
      <w:r w:rsidR="00CD7186" w:rsidRPr="00282AC9">
        <w:rPr>
          <w:rFonts w:hint="cs"/>
          <w:rtl/>
        </w:rPr>
        <w:t>ٍ</w:t>
      </w:r>
      <w:r w:rsidRPr="00282AC9">
        <w:rPr>
          <w:rtl/>
        </w:rPr>
        <w:t xml:space="preserve"> وتأنٍّ؛ لأنّها ليست كأيّ</w:t>
      </w:r>
      <w:r w:rsidR="00CD7186" w:rsidRPr="00282AC9">
        <w:rPr>
          <w:rFonts w:hint="cs"/>
          <w:rtl/>
        </w:rPr>
        <w:t>ِ</w:t>
      </w:r>
      <w:r w:rsidRPr="00282AC9">
        <w:rPr>
          <w:rtl/>
        </w:rPr>
        <w:t xml:space="preserve"> علاقة</w:t>
      </w:r>
      <w:r w:rsidR="00CD7186" w:rsidRPr="00282AC9">
        <w:rPr>
          <w:rFonts w:hint="cs"/>
          <w:rtl/>
        </w:rPr>
        <w:t>ٍ</w:t>
      </w:r>
      <w:r w:rsidRPr="00282AC9">
        <w:rPr>
          <w:rtl/>
        </w:rPr>
        <w:t xml:space="preserve"> أخرى. فالعلاقة الزوجي</w:t>
      </w:r>
      <w:r w:rsidR="00CD7186" w:rsidRPr="00282AC9">
        <w:rPr>
          <w:rFonts w:hint="cs"/>
          <w:rtl/>
        </w:rPr>
        <w:t>ّ</w:t>
      </w:r>
      <w:r w:rsidRPr="00282AC9">
        <w:rPr>
          <w:rtl/>
        </w:rPr>
        <w:t>ة ليست مح</w:t>
      </w:r>
      <w:r w:rsidR="00EE6DBA" w:rsidRPr="00282AC9">
        <w:rPr>
          <w:rtl/>
        </w:rPr>
        <w:t>لاّ</w:t>
      </w:r>
      <w:r w:rsidR="00CD7186" w:rsidRPr="00282AC9">
        <w:rPr>
          <w:rFonts w:hint="cs"/>
          <w:rtl/>
        </w:rPr>
        <w:t>ً</w:t>
      </w:r>
      <w:r w:rsidRPr="00282AC9">
        <w:rPr>
          <w:rtl/>
        </w:rPr>
        <w:t xml:space="preserve"> مستأجراً يختار الإنسان أخ</w:t>
      </w:r>
      <w:r w:rsidR="00EE6DBA" w:rsidRPr="00282AC9">
        <w:rPr>
          <w:rtl/>
        </w:rPr>
        <w:t>لاّ</w:t>
      </w:r>
      <w:r w:rsidRPr="00282AC9">
        <w:rPr>
          <w:rtl/>
        </w:rPr>
        <w:t>ء</w:t>
      </w:r>
      <w:r w:rsidR="003D081F" w:rsidRPr="00282AC9">
        <w:rPr>
          <w:rFonts w:hint="cs"/>
          <w:rtl/>
        </w:rPr>
        <w:t>َ</w:t>
      </w:r>
      <w:r w:rsidRPr="00282AC9">
        <w:rPr>
          <w:rtl/>
        </w:rPr>
        <w:t>ه متى شاء، وإنّما هو شراكة</w:t>
      </w:r>
      <w:r w:rsidR="003D081F" w:rsidRPr="00282AC9">
        <w:rPr>
          <w:rFonts w:hint="cs"/>
          <w:rtl/>
        </w:rPr>
        <w:t>ٌ</w:t>
      </w:r>
      <w:r w:rsidRPr="00282AC9">
        <w:rPr>
          <w:rtl/>
        </w:rPr>
        <w:t xml:space="preserve"> مصيرية في الحياة، حيث يتحوّ</w:t>
      </w:r>
      <w:r w:rsidR="003D081F" w:rsidRPr="00282AC9">
        <w:rPr>
          <w:rFonts w:hint="cs"/>
          <w:rtl/>
        </w:rPr>
        <w:t>َ</w:t>
      </w:r>
      <w:r w:rsidRPr="00282AC9">
        <w:rPr>
          <w:rtl/>
        </w:rPr>
        <w:t>ل الزوج إلى جزء</w:t>
      </w:r>
      <w:r w:rsidR="003D081F" w:rsidRPr="00282AC9">
        <w:rPr>
          <w:rFonts w:hint="cs"/>
          <w:rtl/>
        </w:rPr>
        <w:t>ٍ</w:t>
      </w:r>
      <w:r w:rsidRPr="00282AC9">
        <w:rPr>
          <w:rtl/>
        </w:rPr>
        <w:t xml:space="preserve"> أساس من حياة زوجته</w:t>
      </w:r>
      <w:r w:rsidR="003D081F" w:rsidRPr="00282AC9">
        <w:rPr>
          <w:rFonts w:hint="cs"/>
          <w:rtl/>
        </w:rPr>
        <w:t>،</w:t>
      </w:r>
      <w:r w:rsidRPr="00282AC9">
        <w:rPr>
          <w:rtl/>
        </w:rPr>
        <w:t xml:space="preserve"> والزوجة كذلك</w:t>
      </w:r>
      <w:r w:rsidR="003D081F" w:rsidRPr="00282AC9">
        <w:rPr>
          <w:rFonts w:hint="cs"/>
          <w:rtl/>
        </w:rPr>
        <w:t>؛</w:t>
      </w:r>
      <w:r w:rsidRPr="00282AC9">
        <w:rPr>
          <w:rtl/>
        </w:rPr>
        <w:t xml:space="preserve"> نتيجة الشراكة العميقة والتداخل القائم بين الطرفين. </w:t>
      </w:r>
    </w:p>
    <w:p w:rsidR="009C6A22" w:rsidRPr="00282AC9" w:rsidRDefault="009C6A22" w:rsidP="00106AA7">
      <w:pPr>
        <w:rPr>
          <w:rtl/>
        </w:rPr>
      </w:pPr>
      <w:r w:rsidRPr="00282AC9">
        <w:rPr>
          <w:rtl/>
        </w:rPr>
        <w:t>لذلك ينبغي أن تؤسّ</w:t>
      </w:r>
      <w:r w:rsidR="003D081F" w:rsidRPr="00282AC9">
        <w:rPr>
          <w:rFonts w:hint="cs"/>
          <w:rtl/>
        </w:rPr>
        <w:t>َ</w:t>
      </w:r>
      <w:r w:rsidRPr="00282AC9">
        <w:rPr>
          <w:rtl/>
        </w:rPr>
        <w:t>س هذه العلاقة على أساس</w:t>
      </w:r>
      <w:r w:rsidR="003D081F" w:rsidRPr="00282AC9">
        <w:rPr>
          <w:rFonts w:hint="cs"/>
          <w:rtl/>
        </w:rPr>
        <w:t>ٍ</w:t>
      </w:r>
      <w:r w:rsidRPr="00282AC9">
        <w:rPr>
          <w:rtl/>
        </w:rPr>
        <w:t xml:space="preserve"> صحيح سليم، وإ</w:t>
      </w:r>
      <w:r w:rsidR="00EE6DBA" w:rsidRPr="00282AC9">
        <w:rPr>
          <w:rtl/>
        </w:rPr>
        <w:t>لاّ</w:t>
      </w:r>
      <w:r w:rsidR="003D081F" w:rsidRPr="00282AC9">
        <w:rPr>
          <w:rFonts w:hint="cs"/>
          <w:rtl/>
        </w:rPr>
        <w:t>َ</w:t>
      </w:r>
      <w:r w:rsidRPr="00282AC9">
        <w:rPr>
          <w:rtl/>
        </w:rPr>
        <w:t xml:space="preserve"> فإنّ التأثيرات السلبية ستكون كبيرة</w:t>
      </w:r>
      <w:r w:rsidR="003D081F" w:rsidRPr="00282AC9">
        <w:rPr>
          <w:rFonts w:hint="cs"/>
          <w:rtl/>
        </w:rPr>
        <w:t>ً</w:t>
      </w:r>
      <w:r w:rsidRPr="00282AC9">
        <w:rPr>
          <w:rtl/>
        </w:rPr>
        <w:t xml:space="preserve"> على شخصية الإنسان وحياته. ومن أهمّ الأسس في إنشاء العلاقة الزوجية ح</w:t>
      </w:r>
      <w:r w:rsidR="003D081F" w:rsidRPr="00282AC9">
        <w:rPr>
          <w:rFonts w:hint="cs"/>
          <w:rtl/>
        </w:rPr>
        <w:t>ُ</w:t>
      </w:r>
      <w:r w:rsidRPr="00282AC9">
        <w:rPr>
          <w:rtl/>
        </w:rPr>
        <w:t>س</w:t>
      </w:r>
      <w:r w:rsidR="003D081F" w:rsidRPr="00282AC9">
        <w:rPr>
          <w:rFonts w:hint="cs"/>
          <w:rtl/>
        </w:rPr>
        <w:t>ْ</w:t>
      </w:r>
      <w:r w:rsidRPr="00282AC9">
        <w:rPr>
          <w:rtl/>
        </w:rPr>
        <w:t>ن الاختيار، بحيث ي</w:t>
      </w:r>
      <w:r w:rsidR="003D081F" w:rsidRPr="00282AC9">
        <w:rPr>
          <w:rFonts w:hint="cs"/>
          <w:rtl/>
        </w:rPr>
        <w:t>ُ</w:t>
      </w:r>
      <w:r w:rsidRPr="00282AC9">
        <w:rPr>
          <w:rtl/>
        </w:rPr>
        <w:t>ح</w:t>
      </w:r>
      <w:r w:rsidR="003D081F" w:rsidRPr="00282AC9">
        <w:rPr>
          <w:rFonts w:hint="cs"/>
          <w:rtl/>
        </w:rPr>
        <w:t>ْ</w:t>
      </w:r>
      <w:r w:rsidRPr="00282AC9">
        <w:rPr>
          <w:rtl/>
        </w:rPr>
        <w:t>س</w:t>
      </w:r>
      <w:r w:rsidR="003D081F" w:rsidRPr="00282AC9">
        <w:rPr>
          <w:rFonts w:hint="cs"/>
          <w:rtl/>
        </w:rPr>
        <w:t>ِ</w:t>
      </w:r>
      <w:r w:rsidRPr="00282AC9">
        <w:rPr>
          <w:rtl/>
        </w:rPr>
        <w:t>ن كلٌّ من الطرفين اختيار شريكه، فلا يكون الاختيار منبعثاً من حالة</w:t>
      </w:r>
      <w:r w:rsidR="003D081F" w:rsidRPr="00282AC9">
        <w:rPr>
          <w:rFonts w:hint="cs"/>
          <w:rtl/>
        </w:rPr>
        <w:t>ٍ</w:t>
      </w:r>
      <w:r w:rsidRPr="00282AC9">
        <w:rPr>
          <w:rtl/>
        </w:rPr>
        <w:t xml:space="preserve"> عاطفية، أو على نحوٍ ارتجالي</w:t>
      </w:r>
      <w:r w:rsidR="003D081F" w:rsidRPr="00282AC9">
        <w:rPr>
          <w:rFonts w:hint="cs"/>
          <w:rtl/>
        </w:rPr>
        <w:t>ّ</w:t>
      </w:r>
      <w:r w:rsidRPr="00282AC9">
        <w:rPr>
          <w:rtl/>
        </w:rPr>
        <w:t>، وأ</w:t>
      </w:r>
      <w:r w:rsidR="003D081F" w:rsidRPr="00282AC9">
        <w:rPr>
          <w:rFonts w:hint="cs"/>
          <w:rtl/>
        </w:rPr>
        <w:t>ن لا</w:t>
      </w:r>
      <w:r w:rsidRPr="00282AC9">
        <w:rPr>
          <w:rtl/>
        </w:rPr>
        <w:t xml:space="preserve"> يأتي نتيجة فرض</w:t>
      </w:r>
      <w:r w:rsidR="003D081F" w:rsidRPr="00282AC9">
        <w:rPr>
          <w:rFonts w:hint="cs"/>
          <w:rtl/>
        </w:rPr>
        <w:t>ٍ</w:t>
      </w:r>
      <w:r w:rsidRPr="00282AC9">
        <w:rPr>
          <w:rtl/>
        </w:rPr>
        <w:t xml:space="preserve"> أو إكراه، فلا يصحّ أن يُف</w:t>
      </w:r>
      <w:r w:rsidR="003D081F" w:rsidRPr="00282AC9">
        <w:rPr>
          <w:rFonts w:hint="cs"/>
          <w:rtl/>
        </w:rPr>
        <w:t>ْ</w:t>
      </w:r>
      <w:r w:rsidRPr="00282AC9">
        <w:rPr>
          <w:rtl/>
        </w:rPr>
        <w:t>ر</w:t>
      </w:r>
      <w:r w:rsidR="003D081F" w:rsidRPr="00282AC9">
        <w:rPr>
          <w:rFonts w:hint="cs"/>
          <w:rtl/>
        </w:rPr>
        <w:t>َ</w:t>
      </w:r>
      <w:r w:rsidRPr="00282AC9">
        <w:rPr>
          <w:rtl/>
        </w:rPr>
        <w:t>ض على رجل</w:t>
      </w:r>
      <w:r w:rsidR="003D081F" w:rsidRPr="00282AC9">
        <w:rPr>
          <w:rFonts w:hint="cs"/>
          <w:rtl/>
        </w:rPr>
        <w:t>ٍ</w:t>
      </w:r>
      <w:r w:rsidRPr="00282AC9">
        <w:rPr>
          <w:rtl/>
        </w:rPr>
        <w:t xml:space="preserve"> قرار زواجه من امرأة</w:t>
      </w:r>
      <w:r w:rsidR="003D081F" w:rsidRPr="00282AC9">
        <w:rPr>
          <w:rFonts w:hint="cs"/>
          <w:rtl/>
        </w:rPr>
        <w:t>ٍ</w:t>
      </w:r>
      <w:r w:rsidRPr="00282AC9">
        <w:rPr>
          <w:rtl/>
        </w:rPr>
        <w:t>، ولا أن يُف</w:t>
      </w:r>
      <w:r w:rsidR="003D081F" w:rsidRPr="00282AC9">
        <w:rPr>
          <w:rFonts w:hint="cs"/>
          <w:rtl/>
        </w:rPr>
        <w:t>ْ</w:t>
      </w:r>
      <w:r w:rsidRPr="00282AC9">
        <w:rPr>
          <w:rtl/>
        </w:rPr>
        <w:t>ر</w:t>
      </w:r>
      <w:r w:rsidR="003D081F" w:rsidRPr="00282AC9">
        <w:rPr>
          <w:rFonts w:hint="cs"/>
          <w:rtl/>
        </w:rPr>
        <w:t>َ</w:t>
      </w:r>
      <w:r w:rsidRPr="00282AC9">
        <w:rPr>
          <w:rtl/>
        </w:rPr>
        <w:t>ض على امرأة</w:t>
      </w:r>
      <w:r w:rsidR="003D081F" w:rsidRPr="00282AC9">
        <w:rPr>
          <w:rFonts w:hint="cs"/>
          <w:rtl/>
        </w:rPr>
        <w:t>ٍ</w:t>
      </w:r>
      <w:r w:rsidRPr="00282AC9">
        <w:rPr>
          <w:rtl/>
        </w:rPr>
        <w:t xml:space="preserve"> زوج</w:t>
      </w:r>
      <w:r w:rsidR="003D081F" w:rsidRPr="00282AC9">
        <w:rPr>
          <w:rFonts w:hint="cs"/>
          <w:rtl/>
        </w:rPr>
        <w:t>ٌ</w:t>
      </w:r>
      <w:r w:rsidRPr="00282AC9">
        <w:rPr>
          <w:rtl/>
        </w:rPr>
        <w:t xml:space="preserve"> بغير رضاها.</w:t>
      </w:r>
    </w:p>
    <w:p w:rsidR="009C6A22" w:rsidRPr="00282AC9" w:rsidRDefault="009C6A22" w:rsidP="00A716AC">
      <w:pPr>
        <w:spacing w:line="420" w:lineRule="exact"/>
        <w:rPr>
          <w:rtl/>
        </w:rPr>
      </w:pPr>
    </w:p>
    <w:p w:rsidR="009C6A22" w:rsidRPr="00282AC9" w:rsidRDefault="009C6A22" w:rsidP="007441EF">
      <w:pPr>
        <w:pStyle w:val="31"/>
        <w:rPr>
          <w:color w:val="auto"/>
          <w:lang w:bidi="ar-YE"/>
        </w:rPr>
      </w:pPr>
      <w:r w:rsidRPr="00282AC9">
        <w:rPr>
          <w:color w:val="auto"/>
          <w:rtl/>
          <w:lang w:bidi="ar-YE"/>
        </w:rPr>
        <w:t>المرأة</w:t>
      </w:r>
      <w:r w:rsidRPr="00282AC9">
        <w:rPr>
          <w:color w:val="auto"/>
          <w:lang w:bidi="ar-YE"/>
        </w:rPr>
        <w:t xml:space="preserve"> </w:t>
      </w:r>
      <w:r w:rsidRPr="00282AC9">
        <w:rPr>
          <w:color w:val="auto"/>
          <w:rtl/>
          <w:lang w:bidi="ar-YE"/>
        </w:rPr>
        <w:t>وقرار</w:t>
      </w:r>
      <w:r w:rsidRPr="00282AC9">
        <w:rPr>
          <w:color w:val="auto"/>
          <w:lang w:bidi="ar-YE"/>
        </w:rPr>
        <w:t xml:space="preserve"> </w:t>
      </w:r>
      <w:r w:rsidRPr="00282AC9">
        <w:rPr>
          <w:color w:val="auto"/>
          <w:rtl/>
          <w:lang w:bidi="ar-YE"/>
        </w:rPr>
        <w:t>الزواج</w:t>
      </w:r>
      <w:r w:rsidR="007441EF" w:rsidRPr="00282AC9">
        <w:rPr>
          <w:rFonts w:hint="cs"/>
          <w:color w:val="auto"/>
          <w:rtl/>
          <w:lang w:bidi="ar-YE"/>
        </w:rPr>
        <w:t>، بين الولاية والاستقلالية والشراكة</w:t>
      </w:r>
    </w:p>
    <w:p w:rsidR="003D081F" w:rsidRPr="00282AC9" w:rsidRDefault="009C6A22" w:rsidP="00106AA7">
      <w:pPr>
        <w:rPr>
          <w:rtl/>
        </w:rPr>
      </w:pPr>
      <w:r w:rsidRPr="00282AC9">
        <w:rPr>
          <w:rtl/>
        </w:rPr>
        <w:t>يأتي السؤال هنا حول ما إذا كان للمرأة حقّ</w:t>
      </w:r>
      <w:r w:rsidR="003D081F" w:rsidRPr="00282AC9">
        <w:rPr>
          <w:rFonts w:hint="cs"/>
          <w:rtl/>
        </w:rPr>
        <w:t>ُ</w:t>
      </w:r>
      <w:r w:rsidRPr="00282AC9">
        <w:rPr>
          <w:rtl/>
        </w:rPr>
        <w:t xml:space="preserve"> ات</w:t>
      </w:r>
      <w:r w:rsidR="003D081F" w:rsidRPr="00282AC9">
        <w:rPr>
          <w:rFonts w:hint="cs"/>
          <w:rtl/>
        </w:rPr>
        <w:t>ّ</w:t>
      </w:r>
      <w:r w:rsidRPr="00282AC9">
        <w:rPr>
          <w:rtl/>
        </w:rPr>
        <w:t>خاذ القرار في أمر زواجها وحدها، أم يلزم ات</w:t>
      </w:r>
      <w:r w:rsidR="003D081F" w:rsidRPr="00282AC9">
        <w:rPr>
          <w:rFonts w:hint="cs"/>
          <w:rtl/>
        </w:rPr>
        <w:t>ّ</w:t>
      </w:r>
      <w:r w:rsidRPr="00282AC9">
        <w:rPr>
          <w:rtl/>
        </w:rPr>
        <w:t>خاذ أحدٍ آخر قرار زواجها نيابة</w:t>
      </w:r>
      <w:r w:rsidR="003D081F" w:rsidRPr="00282AC9">
        <w:rPr>
          <w:rFonts w:hint="cs"/>
          <w:rtl/>
        </w:rPr>
        <w:t>ً</w:t>
      </w:r>
      <w:r w:rsidRPr="00282AC9">
        <w:rPr>
          <w:rtl/>
        </w:rPr>
        <w:t xml:space="preserve"> عنها؟ وتنبع أهم</w:t>
      </w:r>
      <w:r w:rsidR="003D081F" w:rsidRPr="00282AC9">
        <w:rPr>
          <w:rFonts w:hint="cs"/>
          <w:rtl/>
        </w:rPr>
        <w:t>ّ</w:t>
      </w:r>
      <w:r w:rsidRPr="00282AC9">
        <w:rPr>
          <w:rtl/>
        </w:rPr>
        <w:t>ية السؤال انطلاقاً من خطورة هذا القرار على مستقبلها، فهي التي ستكون تحت قوامة الزوج</w:t>
      </w:r>
      <w:r w:rsidR="003D081F" w:rsidRPr="00282AC9">
        <w:rPr>
          <w:rFonts w:hint="cs"/>
          <w:rtl/>
        </w:rPr>
        <w:t>؛</w:t>
      </w:r>
      <w:r w:rsidRPr="00282AC9">
        <w:rPr>
          <w:rtl/>
        </w:rPr>
        <w:t xml:space="preserve"> على النقيض من الرجل</w:t>
      </w:r>
      <w:r w:rsidR="003D081F" w:rsidRPr="00282AC9">
        <w:rPr>
          <w:rFonts w:hint="cs"/>
          <w:rtl/>
        </w:rPr>
        <w:t>،</w:t>
      </w:r>
      <w:r w:rsidRPr="00282AC9">
        <w:rPr>
          <w:rtl/>
        </w:rPr>
        <w:t xml:space="preserve"> الذي سيكون صاحب السّ</w:t>
      </w:r>
      <w:r w:rsidR="003D081F" w:rsidRPr="00282AC9">
        <w:rPr>
          <w:rFonts w:hint="cs"/>
          <w:rtl/>
        </w:rPr>
        <w:t>ُ</w:t>
      </w:r>
      <w:r w:rsidRPr="00282AC9">
        <w:rPr>
          <w:rtl/>
        </w:rPr>
        <w:t>ل</w:t>
      </w:r>
      <w:r w:rsidR="003D081F" w:rsidRPr="00282AC9">
        <w:rPr>
          <w:rFonts w:hint="cs"/>
          <w:rtl/>
        </w:rPr>
        <w:t>ْ</w:t>
      </w:r>
      <w:r w:rsidRPr="00282AC9">
        <w:rPr>
          <w:rtl/>
        </w:rPr>
        <w:t>طة</w:t>
      </w:r>
      <w:r w:rsidR="003D081F" w:rsidRPr="00282AC9">
        <w:rPr>
          <w:rFonts w:hint="cs"/>
          <w:rtl/>
        </w:rPr>
        <w:t>،</w:t>
      </w:r>
      <w:r w:rsidRPr="00282AC9">
        <w:rPr>
          <w:rtl/>
        </w:rPr>
        <w:t xml:space="preserve"> وبيده قرار الطلاق</w:t>
      </w:r>
      <w:r w:rsidR="003D081F" w:rsidRPr="00282AC9">
        <w:rPr>
          <w:rFonts w:hint="cs"/>
          <w:rtl/>
        </w:rPr>
        <w:t>.</w:t>
      </w:r>
      <w:r w:rsidRPr="00282AC9">
        <w:rPr>
          <w:rtl/>
        </w:rPr>
        <w:t xml:space="preserve"> كما أنّ المرأة هي الطرف الأكثر انفعالاً وتأثّ</w:t>
      </w:r>
      <w:r w:rsidR="003D081F" w:rsidRPr="00282AC9">
        <w:rPr>
          <w:rFonts w:hint="cs"/>
          <w:rtl/>
        </w:rPr>
        <w:t>ُ</w:t>
      </w:r>
      <w:r w:rsidRPr="00282AC9">
        <w:rPr>
          <w:rtl/>
        </w:rPr>
        <w:t>راً في الحياة الزوجية</w:t>
      </w:r>
      <w:r w:rsidR="003D081F" w:rsidRPr="00282AC9">
        <w:rPr>
          <w:rFonts w:hint="cs"/>
          <w:rtl/>
        </w:rPr>
        <w:t>.</w:t>
      </w:r>
      <w:r w:rsidRPr="00282AC9">
        <w:rPr>
          <w:rtl/>
        </w:rPr>
        <w:t xml:space="preserve"> وعليه، فهي معني</w:t>
      </w:r>
      <w:r w:rsidR="003D081F" w:rsidRPr="00282AC9">
        <w:rPr>
          <w:rFonts w:hint="cs"/>
          <w:rtl/>
        </w:rPr>
        <w:t>ّ</w:t>
      </w:r>
      <w:r w:rsidRPr="00282AC9">
        <w:rPr>
          <w:rtl/>
        </w:rPr>
        <w:t>ة</w:t>
      </w:r>
      <w:r w:rsidR="003D081F" w:rsidRPr="00282AC9">
        <w:rPr>
          <w:rFonts w:hint="cs"/>
          <w:rtl/>
        </w:rPr>
        <w:t>ٌ</w:t>
      </w:r>
      <w:r w:rsidRPr="00282AC9">
        <w:rPr>
          <w:rtl/>
        </w:rPr>
        <w:t xml:space="preserve"> مباشرة باتّخاذ قرار الزواج، فهل لها حقّ</w:t>
      </w:r>
      <w:r w:rsidR="003D081F" w:rsidRPr="00282AC9">
        <w:rPr>
          <w:rFonts w:hint="cs"/>
          <w:rtl/>
        </w:rPr>
        <w:t>ُ</w:t>
      </w:r>
      <w:r w:rsidR="003D081F" w:rsidRPr="00282AC9">
        <w:rPr>
          <w:rtl/>
        </w:rPr>
        <w:t xml:space="preserve"> اتّخاذ القرار بالزواج أم لا؟</w:t>
      </w:r>
    </w:p>
    <w:p w:rsidR="009C6A22" w:rsidRPr="00282AC9" w:rsidRDefault="009C6A22" w:rsidP="00106AA7">
      <w:pPr>
        <w:rPr>
          <w:rtl/>
        </w:rPr>
      </w:pPr>
      <w:r w:rsidRPr="00282AC9">
        <w:rPr>
          <w:rtl/>
        </w:rPr>
        <w:t>ينبغي القول</w:t>
      </w:r>
      <w:r w:rsidR="003D081F" w:rsidRPr="00282AC9">
        <w:rPr>
          <w:rFonts w:hint="cs"/>
          <w:rtl/>
        </w:rPr>
        <w:t>:</w:t>
      </w:r>
      <w:r w:rsidRPr="00282AC9">
        <w:rPr>
          <w:rtl/>
        </w:rPr>
        <w:t xml:space="preserve"> إنّ هذا الموضوع لم يكن محلّ</w:t>
      </w:r>
      <w:r w:rsidR="003D081F" w:rsidRPr="00282AC9">
        <w:rPr>
          <w:rFonts w:hint="cs"/>
          <w:rtl/>
        </w:rPr>
        <w:t>َ</w:t>
      </w:r>
      <w:r w:rsidRPr="00282AC9">
        <w:rPr>
          <w:rtl/>
        </w:rPr>
        <w:t xml:space="preserve"> بحث في العصور الماضية، حين كانت المرأة تعاني التهميش الشديد، والنظرة الد</w:t>
      </w:r>
      <w:r w:rsidR="00F4475D" w:rsidRPr="00282AC9">
        <w:rPr>
          <w:rFonts w:hint="cs"/>
          <w:rtl/>
        </w:rPr>
        <w:t>ُّ</w:t>
      </w:r>
      <w:r w:rsidRPr="00282AC9">
        <w:rPr>
          <w:rtl/>
        </w:rPr>
        <w:t>ونية، نتيجة اله</w:t>
      </w:r>
      <w:r w:rsidR="00F4475D" w:rsidRPr="00282AC9">
        <w:rPr>
          <w:rFonts w:hint="cs"/>
          <w:rtl/>
        </w:rPr>
        <w:t>َ</w:t>
      </w:r>
      <w:r w:rsidRPr="00282AC9">
        <w:rPr>
          <w:rtl/>
        </w:rPr>
        <w:t>ي</w:t>
      </w:r>
      <w:r w:rsidR="00F4475D" w:rsidRPr="00282AC9">
        <w:rPr>
          <w:rFonts w:hint="cs"/>
          <w:rtl/>
        </w:rPr>
        <w:t>ْ</w:t>
      </w:r>
      <w:r w:rsidRPr="00282AC9">
        <w:rPr>
          <w:rtl/>
        </w:rPr>
        <w:t xml:space="preserve">منة الذكورية </w:t>
      </w:r>
      <w:r w:rsidRPr="00282AC9">
        <w:rPr>
          <w:rtl/>
        </w:rPr>
        <w:lastRenderedPageBreak/>
        <w:t>المتفش</w:t>
      </w:r>
      <w:r w:rsidR="00F4475D" w:rsidRPr="00282AC9">
        <w:rPr>
          <w:rFonts w:hint="cs"/>
          <w:rtl/>
        </w:rPr>
        <w:t>ِّ</w:t>
      </w:r>
      <w:r w:rsidRPr="00282AC9">
        <w:rPr>
          <w:rtl/>
        </w:rPr>
        <w:t>ية، لذلك لم يكن للمرأة رأي</w:t>
      </w:r>
      <w:r w:rsidR="00F4475D" w:rsidRPr="00282AC9">
        <w:rPr>
          <w:rFonts w:hint="cs"/>
          <w:rtl/>
        </w:rPr>
        <w:t>ٌ</w:t>
      </w:r>
      <w:r w:rsidRPr="00282AC9">
        <w:rPr>
          <w:rtl/>
        </w:rPr>
        <w:t xml:space="preserve"> ي</w:t>
      </w:r>
      <w:r w:rsidR="00F4475D" w:rsidRPr="00282AC9">
        <w:rPr>
          <w:rFonts w:hint="cs"/>
          <w:rtl/>
        </w:rPr>
        <w:t>ُ</w:t>
      </w:r>
      <w:r w:rsidRPr="00282AC9">
        <w:rPr>
          <w:rtl/>
        </w:rPr>
        <w:t>ذ</w:t>
      </w:r>
      <w:r w:rsidR="00F4475D" w:rsidRPr="00282AC9">
        <w:rPr>
          <w:rFonts w:hint="cs"/>
          <w:rtl/>
        </w:rPr>
        <w:t>ْ</w:t>
      </w:r>
      <w:r w:rsidRPr="00282AC9">
        <w:rPr>
          <w:rtl/>
        </w:rPr>
        <w:t>ك</w:t>
      </w:r>
      <w:r w:rsidR="00F4475D" w:rsidRPr="00282AC9">
        <w:rPr>
          <w:rFonts w:hint="cs"/>
          <w:rtl/>
        </w:rPr>
        <w:t>َ</w:t>
      </w:r>
      <w:r w:rsidRPr="00282AC9">
        <w:rPr>
          <w:rtl/>
        </w:rPr>
        <w:t>ر في تحديد مصيرها، بل لم يكن ي</w:t>
      </w:r>
      <w:r w:rsidR="00F4475D" w:rsidRPr="00282AC9">
        <w:rPr>
          <w:rFonts w:hint="cs"/>
          <w:rtl/>
        </w:rPr>
        <w:t>ُ</w:t>
      </w:r>
      <w:r w:rsidRPr="00282AC9">
        <w:rPr>
          <w:rtl/>
        </w:rPr>
        <w:t>ن</w:t>
      </w:r>
      <w:r w:rsidR="00F4475D" w:rsidRPr="00282AC9">
        <w:rPr>
          <w:rFonts w:hint="cs"/>
          <w:rtl/>
        </w:rPr>
        <w:t>ْ</w:t>
      </w:r>
      <w:r w:rsidRPr="00282AC9">
        <w:rPr>
          <w:rtl/>
        </w:rPr>
        <w:t>ظ</w:t>
      </w:r>
      <w:r w:rsidR="00F4475D" w:rsidRPr="00282AC9">
        <w:rPr>
          <w:rFonts w:hint="cs"/>
          <w:rtl/>
        </w:rPr>
        <w:t>َ</w:t>
      </w:r>
      <w:r w:rsidRPr="00282AC9">
        <w:rPr>
          <w:rtl/>
        </w:rPr>
        <w:t xml:space="preserve">ر </w:t>
      </w:r>
      <w:r w:rsidR="00F4475D" w:rsidRPr="00282AC9">
        <w:rPr>
          <w:rFonts w:hint="cs"/>
          <w:rtl/>
        </w:rPr>
        <w:t>إلى ا</w:t>
      </w:r>
      <w:r w:rsidRPr="00282AC9">
        <w:rPr>
          <w:rtl/>
        </w:rPr>
        <w:t>لمرأة باعتبارها في مرتبة</w:t>
      </w:r>
      <w:r w:rsidR="00F4475D" w:rsidRPr="00282AC9">
        <w:rPr>
          <w:rFonts w:hint="cs"/>
          <w:rtl/>
        </w:rPr>
        <w:t>ٍ</w:t>
      </w:r>
      <w:r w:rsidRPr="00282AC9">
        <w:rPr>
          <w:rtl/>
        </w:rPr>
        <w:t xml:space="preserve"> موازية للرجل، وإنّما هي في مرتبة</w:t>
      </w:r>
      <w:r w:rsidR="00F4475D" w:rsidRPr="00282AC9">
        <w:rPr>
          <w:rFonts w:hint="cs"/>
          <w:rtl/>
        </w:rPr>
        <w:t>ٍ</w:t>
      </w:r>
      <w:r w:rsidRPr="00282AC9">
        <w:rPr>
          <w:rtl/>
        </w:rPr>
        <w:t xml:space="preserve"> دون الرجل، كما في بعض الحضارات والتنظيمات الاجتماعية القديمة. </w:t>
      </w:r>
    </w:p>
    <w:p w:rsidR="009C6A22" w:rsidRPr="00282AC9" w:rsidRDefault="009C6A22" w:rsidP="00106AA7">
      <w:pPr>
        <w:rPr>
          <w:rtl/>
        </w:rPr>
      </w:pPr>
      <w:r w:rsidRPr="00282AC9">
        <w:rPr>
          <w:rtl/>
        </w:rPr>
        <w:t>لقد ساهم ظهور الإسلام في بروز تغيير</w:t>
      </w:r>
      <w:r w:rsidR="00F4475D" w:rsidRPr="00282AC9">
        <w:rPr>
          <w:rFonts w:hint="cs"/>
          <w:rtl/>
        </w:rPr>
        <w:t>ٍ</w:t>
      </w:r>
      <w:r w:rsidRPr="00282AC9">
        <w:rPr>
          <w:rtl/>
        </w:rPr>
        <w:t xml:space="preserve"> ج</w:t>
      </w:r>
      <w:r w:rsidR="00F4475D" w:rsidRPr="00282AC9">
        <w:rPr>
          <w:rFonts w:hint="cs"/>
          <w:rtl/>
        </w:rPr>
        <w:t>َ</w:t>
      </w:r>
      <w:r w:rsidRPr="00282AC9">
        <w:rPr>
          <w:rtl/>
        </w:rPr>
        <w:t>ذ</w:t>
      </w:r>
      <w:r w:rsidR="00F4475D" w:rsidRPr="00282AC9">
        <w:rPr>
          <w:rFonts w:hint="cs"/>
          <w:rtl/>
        </w:rPr>
        <w:t>ْ</w:t>
      </w:r>
      <w:r w:rsidRPr="00282AC9">
        <w:rPr>
          <w:rtl/>
        </w:rPr>
        <w:t>ريٍّ في ن</w:t>
      </w:r>
      <w:r w:rsidR="00F4475D" w:rsidRPr="00282AC9">
        <w:rPr>
          <w:rFonts w:hint="cs"/>
          <w:rtl/>
        </w:rPr>
        <w:t>َ</w:t>
      </w:r>
      <w:r w:rsidRPr="00282AC9">
        <w:rPr>
          <w:rtl/>
        </w:rPr>
        <w:t>م</w:t>
      </w:r>
      <w:r w:rsidR="00F4475D" w:rsidRPr="00282AC9">
        <w:rPr>
          <w:rFonts w:hint="cs"/>
          <w:rtl/>
        </w:rPr>
        <w:t>َ</w:t>
      </w:r>
      <w:r w:rsidRPr="00282AC9">
        <w:rPr>
          <w:rtl/>
        </w:rPr>
        <w:t>ط التعامل مع المرأة</w:t>
      </w:r>
      <w:r w:rsidR="00F4475D" w:rsidRPr="00282AC9">
        <w:rPr>
          <w:rFonts w:hint="cs"/>
          <w:rtl/>
        </w:rPr>
        <w:t>،</w:t>
      </w:r>
      <w:r w:rsidRPr="00282AC9">
        <w:rPr>
          <w:rtl/>
        </w:rPr>
        <w:t xml:space="preserve"> الجاري في الأقوام السابقة. ولكن</w:t>
      </w:r>
      <w:r w:rsidR="00F4475D" w:rsidRPr="00282AC9">
        <w:rPr>
          <w:rFonts w:hint="cs"/>
          <w:rtl/>
        </w:rPr>
        <w:t>ْ</w:t>
      </w:r>
      <w:r w:rsidRPr="00282AC9">
        <w:rPr>
          <w:rtl/>
        </w:rPr>
        <w:t xml:space="preserve"> ما الذي أضافه الإسلام حيال امتلاك المرأة قرارها في الزواج؟ </w:t>
      </w:r>
    </w:p>
    <w:p w:rsidR="009C6A22" w:rsidRPr="00282AC9" w:rsidRDefault="009C6A22" w:rsidP="00106AA7">
      <w:pPr>
        <w:rPr>
          <w:rtl/>
        </w:rPr>
      </w:pPr>
      <w:r w:rsidRPr="00282AC9">
        <w:rPr>
          <w:rtl/>
        </w:rPr>
        <w:t>حقيقة الأمر</w:t>
      </w:r>
      <w:r w:rsidR="00F4475D" w:rsidRPr="00282AC9">
        <w:rPr>
          <w:rFonts w:hint="cs"/>
          <w:rtl/>
        </w:rPr>
        <w:t xml:space="preserve"> أن</w:t>
      </w:r>
      <w:r w:rsidRPr="00282AC9">
        <w:rPr>
          <w:rtl/>
        </w:rPr>
        <w:t xml:space="preserve"> هناك نقاش</w:t>
      </w:r>
      <w:r w:rsidR="00F4475D" w:rsidRPr="00282AC9">
        <w:rPr>
          <w:rFonts w:hint="cs"/>
          <w:rtl/>
        </w:rPr>
        <w:t>اً</w:t>
      </w:r>
      <w:r w:rsidRPr="00282AC9">
        <w:rPr>
          <w:rtl/>
        </w:rPr>
        <w:t xml:space="preserve"> محتدم</w:t>
      </w:r>
      <w:r w:rsidR="00F4475D" w:rsidRPr="00282AC9">
        <w:rPr>
          <w:rFonts w:hint="cs"/>
          <w:rtl/>
        </w:rPr>
        <w:t>اً</w:t>
      </w:r>
      <w:r w:rsidRPr="00282AC9">
        <w:rPr>
          <w:rtl/>
        </w:rPr>
        <w:t xml:space="preserve"> بين فقهاء الإسلام حيال موضوع حقّ المرأة في ات</w:t>
      </w:r>
      <w:r w:rsidR="00F4475D" w:rsidRPr="00282AC9">
        <w:rPr>
          <w:rFonts w:hint="cs"/>
          <w:rtl/>
        </w:rPr>
        <w:t>ّ</w:t>
      </w:r>
      <w:r w:rsidRPr="00282AC9">
        <w:rPr>
          <w:rtl/>
        </w:rPr>
        <w:t>خاذ قرار الزواج. ولقد بلغ من اختلاف الفقهاء في مسألة تزويج المرأة نفسها حدّاً جعل أحد العلماء الكبار؛ الشيخ يوسف البحراني، يقول في كتابه الحدائق</w:t>
      </w:r>
      <w:r w:rsidR="00F4475D" w:rsidRPr="00282AC9">
        <w:rPr>
          <w:rFonts w:hint="cs"/>
          <w:rtl/>
        </w:rPr>
        <w:t>:</w:t>
      </w:r>
      <w:r w:rsidRPr="00282AC9">
        <w:rPr>
          <w:rtl/>
        </w:rPr>
        <w:t xml:space="preserve"> </w:t>
      </w:r>
      <w:r w:rsidRPr="00282AC9">
        <w:rPr>
          <w:sz w:val="24"/>
          <w:szCs w:val="24"/>
          <w:rtl/>
        </w:rPr>
        <w:t>«</w:t>
      </w:r>
      <w:r w:rsidRPr="00282AC9">
        <w:rPr>
          <w:rtl/>
        </w:rPr>
        <w:t>وقد ع</w:t>
      </w:r>
      <w:r w:rsidR="00F4475D" w:rsidRPr="00282AC9">
        <w:rPr>
          <w:rFonts w:hint="cs"/>
          <w:rtl/>
        </w:rPr>
        <w:t>َ</w:t>
      </w:r>
      <w:r w:rsidRPr="00282AC9">
        <w:rPr>
          <w:rtl/>
        </w:rPr>
        <w:t>دّ</w:t>
      </w:r>
      <w:r w:rsidR="00F4475D" w:rsidRPr="00282AC9">
        <w:rPr>
          <w:rFonts w:hint="cs"/>
          <w:rtl/>
        </w:rPr>
        <w:t>َ</w:t>
      </w:r>
      <w:r w:rsidRPr="00282AC9">
        <w:rPr>
          <w:rtl/>
        </w:rPr>
        <w:t>ها الأصحاب من أمّهات المسائل، ومعضلات المشاكل، وقد ص</w:t>
      </w:r>
      <w:r w:rsidR="00F4475D" w:rsidRPr="00282AC9">
        <w:rPr>
          <w:rFonts w:hint="cs"/>
          <w:rtl/>
        </w:rPr>
        <w:t>ُ</w:t>
      </w:r>
      <w:r w:rsidRPr="00282AC9">
        <w:rPr>
          <w:rtl/>
        </w:rPr>
        <w:t>ن</w:t>
      </w:r>
      <w:r w:rsidR="00F4475D" w:rsidRPr="00282AC9">
        <w:rPr>
          <w:rFonts w:hint="cs"/>
          <w:rtl/>
        </w:rPr>
        <w:t>ِّ</w:t>
      </w:r>
      <w:r w:rsidRPr="00282AC9">
        <w:rPr>
          <w:rtl/>
        </w:rPr>
        <w:t>فت فيها الرسائل، وكثر السؤال عنها والسائل، وأطنب جملة</w:t>
      </w:r>
      <w:r w:rsidR="00F4475D" w:rsidRPr="00282AC9">
        <w:rPr>
          <w:rFonts w:hint="cs"/>
          <w:rtl/>
        </w:rPr>
        <w:t>ٌ</w:t>
      </w:r>
      <w:r w:rsidRPr="00282AC9">
        <w:rPr>
          <w:rtl/>
        </w:rPr>
        <w:t xml:space="preserve"> من الأصحاب فيها الاستدلال لهذه الأقوال</w:t>
      </w:r>
      <w:r w:rsidR="00F4475D" w:rsidRPr="00282AC9">
        <w:rPr>
          <w:rFonts w:hint="cs"/>
          <w:rtl/>
        </w:rPr>
        <w:t>،</w:t>
      </w:r>
      <w:r w:rsidRPr="00282AC9">
        <w:rPr>
          <w:rtl/>
        </w:rPr>
        <w:t xml:space="preserve"> وأكثروا فيها القيل والقال</w:t>
      </w:r>
      <w:r w:rsidRPr="00282AC9">
        <w:rPr>
          <w:sz w:val="24"/>
          <w:szCs w:val="24"/>
          <w:rtl/>
        </w:rPr>
        <w:t>»</w:t>
      </w:r>
      <w:r w:rsidRPr="00282AC9">
        <w:rPr>
          <w:vertAlign w:val="superscript"/>
          <w:rtl/>
        </w:rPr>
        <w:t>(</w:t>
      </w:r>
      <w:r w:rsidRPr="00282AC9">
        <w:rPr>
          <w:vertAlign w:val="superscript"/>
          <w:rtl/>
        </w:rPr>
        <w:endnoteReference w:id="209"/>
      </w:r>
      <w:r w:rsidRPr="00282AC9">
        <w:rPr>
          <w:vertAlign w:val="superscript"/>
          <w:rtl/>
        </w:rPr>
        <w:t>)</w:t>
      </w:r>
      <w:r w:rsidR="00F4475D" w:rsidRPr="00282AC9">
        <w:rPr>
          <w:rFonts w:hint="cs"/>
          <w:rtl/>
        </w:rPr>
        <w:t>.</w:t>
      </w:r>
      <w:r w:rsidRPr="00282AC9">
        <w:rPr>
          <w:rtl/>
        </w:rPr>
        <w:t xml:space="preserve"> وهذا ما يشير إلى مدى التعقيد المحيط بهذه المسألة. </w:t>
      </w:r>
    </w:p>
    <w:p w:rsidR="008019BE" w:rsidRPr="00282AC9" w:rsidRDefault="008019BE" w:rsidP="00106AA7">
      <w:pPr>
        <w:rPr>
          <w:rtl/>
        </w:rPr>
      </w:pPr>
      <w:r w:rsidRPr="00282AC9">
        <w:rPr>
          <w:rtl/>
        </w:rPr>
        <w:t>أمّا عن أهمّ الأقوال في مسألة حقّ المرأة في تزويج نفسها فهناك ثلاثة أقوال</w:t>
      </w:r>
      <w:r w:rsidRPr="00282AC9">
        <w:rPr>
          <w:rFonts w:hint="cs"/>
          <w:rtl/>
        </w:rPr>
        <w:t>:</w:t>
      </w:r>
    </w:p>
    <w:p w:rsidR="009C6A22" w:rsidRPr="00282AC9" w:rsidRDefault="009C6A22" w:rsidP="00A716AC">
      <w:pPr>
        <w:spacing w:line="420" w:lineRule="exact"/>
        <w:rPr>
          <w:rtl/>
        </w:rPr>
      </w:pPr>
    </w:p>
    <w:p w:rsidR="009C6A22" w:rsidRPr="00282AC9" w:rsidRDefault="008019BE" w:rsidP="008019BE">
      <w:pPr>
        <w:pStyle w:val="31"/>
        <w:rPr>
          <w:color w:val="auto"/>
        </w:rPr>
      </w:pPr>
      <w:r w:rsidRPr="00282AC9">
        <w:rPr>
          <w:rFonts w:hint="cs"/>
          <w:color w:val="auto"/>
          <w:rtl/>
        </w:rPr>
        <w:t xml:space="preserve">1ـ </w:t>
      </w:r>
      <w:r w:rsidR="009C6A22" w:rsidRPr="00282AC9">
        <w:rPr>
          <w:color w:val="auto"/>
          <w:rtl/>
        </w:rPr>
        <w:t>قرار</w:t>
      </w:r>
      <w:r w:rsidR="00F4475D" w:rsidRPr="00282AC9">
        <w:rPr>
          <w:rFonts w:hint="cs"/>
          <w:color w:val="auto"/>
          <w:rtl/>
        </w:rPr>
        <w:t>ُ</w:t>
      </w:r>
      <w:r w:rsidR="009C6A22" w:rsidRPr="00282AC9">
        <w:rPr>
          <w:color w:val="auto"/>
          <w:rtl/>
        </w:rPr>
        <w:t>ها</w:t>
      </w:r>
      <w:r w:rsidR="009C6A22" w:rsidRPr="00282AC9">
        <w:rPr>
          <w:color w:val="auto"/>
        </w:rPr>
        <w:t xml:space="preserve"> </w:t>
      </w:r>
      <w:r w:rsidR="009C6A22" w:rsidRPr="00282AC9">
        <w:rPr>
          <w:color w:val="auto"/>
          <w:rtl/>
        </w:rPr>
        <w:t>بيد</w:t>
      </w:r>
      <w:r w:rsidR="009C6A22" w:rsidRPr="00282AC9">
        <w:rPr>
          <w:color w:val="auto"/>
        </w:rPr>
        <w:t xml:space="preserve"> </w:t>
      </w:r>
      <w:r w:rsidR="009C6A22" w:rsidRPr="00282AC9">
        <w:rPr>
          <w:color w:val="auto"/>
          <w:rtl/>
        </w:rPr>
        <w:t>ولي</w:t>
      </w:r>
      <w:r w:rsidR="00F4475D" w:rsidRPr="00282AC9">
        <w:rPr>
          <w:rFonts w:hint="cs"/>
          <w:color w:val="auto"/>
          <w:rtl/>
        </w:rPr>
        <w:t>ِّ</w:t>
      </w:r>
      <w:r w:rsidR="009C6A22" w:rsidRPr="00282AC9">
        <w:rPr>
          <w:color w:val="auto"/>
          <w:rtl/>
        </w:rPr>
        <w:t>ها</w:t>
      </w:r>
    </w:p>
    <w:p w:rsidR="00E00038" w:rsidRPr="00282AC9" w:rsidRDefault="009C6A22" w:rsidP="00106AA7">
      <w:pPr>
        <w:rPr>
          <w:rtl/>
        </w:rPr>
      </w:pPr>
      <w:r w:rsidRPr="00282AC9">
        <w:rPr>
          <w:rtl/>
        </w:rPr>
        <w:t>يحصر القول الأو</w:t>
      </w:r>
      <w:r w:rsidR="00183CD0" w:rsidRPr="00282AC9">
        <w:rPr>
          <w:rFonts w:hint="cs"/>
          <w:rtl/>
        </w:rPr>
        <w:t>ّ</w:t>
      </w:r>
      <w:r w:rsidRPr="00282AC9">
        <w:rPr>
          <w:rtl/>
        </w:rPr>
        <w:t>ل قرار التزويج بيد الولي</w:t>
      </w:r>
      <w:r w:rsidR="00183CD0" w:rsidRPr="00282AC9">
        <w:rPr>
          <w:rFonts w:hint="cs"/>
          <w:rtl/>
        </w:rPr>
        <w:t>ّ</w:t>
      </w:r>
      <w:r w:rsidRPr="00282AC9">
        <w:rPr>
          <w:rtl/>
        </w:rPr>
        <w:t xml:space="preserve"> فقط</w:t>
      </w:r>
      <w:r w:rsidR="00183CD0" w:rsidRPr="00282AC9">
        <w:rPr>
          <w:rFonts w:hint="cs"/>
          <w:rtl/>
        </w:rPr>
        <w:t>؛</w:t>
      </w:r>
      <w:r w:rsidRPr="00282AC9">
        <w:rPr>
          <w:rtl/>
        </w:rPr>
        <w:t xml:space="preserve"> إذ يرى جملة</w:t>
      </w:r>
      <w:r w:rsidR="00183CD0" w:rsidRPr="00282AC9">
        <w:rPr>
          <w:rFonts w:hint="cs"/>
          <w:rtl/>
        </w:rPr>
        <w:t>ٌ</w:t>
      </w:r>
      <w:r w:rsidRPr="00282AC9">
        <w:rPr>
          <w:rtl/>
        </w:rPr>
        <w:t xml:space="preserve"> من الفقهاء </w:t>
      </w:r>
      <w:r w:rsidR="00183CD0" w:rsidRPr="00282AC9">
        <w:rPr>
          <w:rFonts w:hint="cs"/>
          <w:rtl/>
        </w:rPr>
        <w:t xml:space="preserve">ـ </w:t>
      </w:r>
      <w:r w:rsidRPr="00282AC9">
        <w:rPr>
          <w:rtl/>
        </w:rPr>
        <w:t xml:space="preserve">من مختلف المذاهب </w:t>
      </w:r>
      <w:r w:rsidR="00183CD0" w:rsidRPr="00282AC9">
        <w:rPr>
          <w:rFonts w:hint="cs"/>
          <w:rtl/>
        </w:rPr>
        <w:t xml:space="preserve">ـ </w:t>
      </w:r>
      <w:r w:rsidRPr="00282AC9">
        <w:rPr>
          <w:rtl/>
        </w:rPr>
        <w:t xml:space="preserve">أنّ قرار الزواج بالنسبة </w:t>
      </w:r>
      <w:r w:rsidR="00183CD0" w:rsidRPr="00282AC9">
        <w:rPr>
          <w:rFonts w:hint="cs"/>
          <w:rtl/>
        </w:rPr>
        <w:t>إلى ا</w:t>
      </w:r>
      <w:r w:rsidRPr="00282AC9">
        <w:rPr>
          <w:rtl/>
        </w:rPr>
        <w:t>لبنت الب</w:t>
      </w:r>
      <w:r w:rsidR="00183CD0" w:rsidRPr="00282AC9">
        <w:rPr>
          <w:rFonts w:hint="cs"/>
          <w:rtl/>
        </w:rPr>
        <w:t>ِ</w:t>
      </w:r>
      <w:r w:rsidRPr="00282AC9">
        <w:rPr>
          <w:rtl/>
        </w:rPr>
        <w:t>ك</w:t>
      </w:r>
      <w:r w:rsidR="00183CD0" w:rsidRPr="00282AC9">
        <w:rPr>
          <w:rFonts w:hint="cs"/>
          <w:rtl/>
        </w:rPr>
        <w:t>ْ</w:t>
      </w:r>
      <w:r w:rsidRPr="00282AC9">
        <w:rPr>
          <w:rtl/>
        </w:rPr>
        <w:t>ر محصور</w:t>
      </w:r>
      <w:r w:rsidR="00183CD0" w:rsidRPr="00282AC9">
        <w:rPr>
          <w:rFonts w:hint="cs"/>
          <w:rtl/>
        </w:rPr>
        <w:t>ٌ</w:t>
      </w:r>
      <w:r w:rsidRPr="00282AC9">
        <w:rPr>
          <w:rtl/>
        </w:rPr>
        <w:t xml:space="preserve"> بيد وليّ</w:t>
      </w:r>
      <w:r w:rsidR="00183CD0" w:rsidRPr="00282AC9">
        <w:rPr>
          <w:rFonts w:hint="cs"/>
          <w:rtl/>
        </w:rPr>
        <w:t>ِ</w:t>
      </w:r>
      <w:r w:rsidRPr="00282AC9">
        <w:rPr>
          <w:rtl/>
        </w:rPr>
        <w:t>ها، الذي قد يكون الأب أو الجدّ للأب</w:t>
      </w:r>
      <w:r w:rsidR="00183CD0" w:rsidRPr="00282AC9">
        <w:rPr>
          <w:rFonts w:hint="cs"/>
          <w:rtl/>
        </w:rPr>
        <w:t>.</w:t>
      </w:r>
      <w:r w:rsidRPr="00282AC9">
        <w:rPr>
          <w:rtl/>
        </w:rPr>
        <w:t xml:space="preserve"> وعلى رأي المذاهب السن</w:t>
      </w:r>
      <w:r w:rsidR="00183CD0" w:rsidRPr="00282AC9">
        <w:rPr>
          <w:rFonts w:hint="cs"/>
          <w:rtl/>
        </w:rPr>
        <w:t>ّ</w:t>
      </w:r>
      <w:r w:rsidRPr="00282AC9">
        <w:rPr>
          <w:rtl/>
        </w:rPr>
        <w:t xml:space="preserve">ية ينتقل القرار </w:t>
      </w:r>
      <w:r w:rsidR="00183CD0" w:rsidRPr="00282AC9">
        <w:rPr>
          <w:rFonts w:hint="cs"/>
          <w:rtl/>
        </w:rPr>
        <w:t>إلى ا</w:t>
      </w:r>
      <w:r w:rsidRPr="00282AC9">
        <w:rPr>
          <w:rtl/>
        </w:rPr>
        <w:t>لع</w:t>
      </w:r>
      <w:r w:rsidR="00183CD0" w:rsidRPr="00282AC9">
        <w:rPr>
          <w:rFonts w:hint="cs"/>
          <w:rtl/>
        </w:rPr>
        <w:t>َ</w:t>
      </w:r>
      <w:r w:rsidRPr="00282AC9">
        <w:rPr>
          <w:rtl/>
        </w:rPr>
        <w:t>ص</w:t>
      </w:r>
      <w:r w:rsidR="00183CD0" w:rsidRPr="00282AC9">
        <w:rPr>
          <w:rFonts w:hint="cs"/>
          <w:rtl/>
        </w:rPr>
        <w:t>َ</w:t>
      </w:r>
      <w:r w:rsidRPr="00282AC9">
        <w:rPr>
          <w:rtl/>
        </w:rPr>
        <w:t>بة</w:t>
      </w:r>
      <w:r w:rsidR="00183CD0" w:rsidRPr="00282AC9">
        <w:rPr>
          <w:rFonts w:hint="cs"/>
          <w:rtl/>
        </w:rPr>
        <w:t>،</w:t>
      </w:r>
      <w:r w:rsidRPr="00282AC9">
        <w:rPr>
          <w:rtl/>
        </w:rPr>
        <w:t xml:space="preserve"> من أعمام</w:t>
      </w:r>
      <w:r w:rsidR="00183CD0" w:rsidRPr="00282AC9">
        <w:rPr>
          <w:rFonts w:hint="cs"/>
          <w:rtl/>
        </w:rPr>
        <w:t>ٍ</w:t>
      </w:r>
      <w:r w:rsidRPr="00282AC9">
        <w:rPr>
          <w:rtl/>
        </w:rPr>
        <w:t xml:space="preserve"> وأخوال</w:t>
      </w:r>
      <w:r w:rsidR="00183CD0" w:rsidRPr="00282AC9">
        <w:rPr>
          <w:rFonts w:hint="cs"/>
          <w:rtl/>
        </w:rPr>
        <w:t>ٍ</w:t>
      </w:r>
      <w:r w:rsidR="00E00038" w:rsidRPr="00282AC9">
        <w:rPr>
          <w:rFonts w:hint="cs"/>
          <w:rtl/>
        </w:rPr>
        <w:t>،</w:t>
      </w:r>
      <w:r w:rsidRPr="00282AC9">
        <w:rPr>
          <w:rtl/>
        </w:rPr>
        <w:t xml:space="preserve"> في حال وفاة الأب والجدّ</w:t>
      </w:r>
      <w:r w:rsidR="00E00038" w:rsidRPr="00282AC9">
        <w:rPr>
          <w:rFonts w:hint="cs"/>
          <w:rtl/>
        </w:rPr>
        <w:t>.</w:t>
      </w:r>
    </w:p>
    <w:p w:rsidR="00E00038" w:rsidRPr="00282AC9" w:rsidRDefault="009C6A22" w:rsidP="00106AA7">
      <w:pPr>
        <w:rPr>
          <w:rtl/>
        </w:rPr>
      </w:pPr>
      <w:r w:rsidRPr="00282AC9">
        <w:rPr>
          <w:rtl/>
        </w:rPr>
        <w:t>وبذلك لا قرار للبنت في أمر زواجها</w:t>
      </w:r>
      <w:r w:rsidR="00E00038" w:rsidRPr="00282AC9">
        <w:rPr>
          <w:rFonts w:hint="cs"/>
          <w:rtl/>
        </w:rPr>
        <w:t>،</w:t>
      </w:r>
      <w:r w:rsidRPr="00282AC9">
        <w:rPr>
          <w:rtl/>
        </w:rPr>
        <w:t xml:space="preserve"> وفقاً لهذا الرأي</w:t>
      </w:r>
      <w:r w:rsidR="00E00038" w:rsidRPr="00282AC9">
        <w:rPr>
          <w:rFonts w:hint="cs"/>
          <w:rtl/>
        </w:rPr>
        <w:t>.</w:t>
      </w:r>
    </w:p>
    <w:p w:rsidR="00E00038" w:rsidRPr="00282AC9" w:rsidRDefault="009C6A22" w:rsidP="00106AA7">
      <w:pPr>
        <w:rPr>
          <w:rtl/>
        </w:rPr>
      </w:pPr>
      <w:r w:rsidRPr="00282AC9">
        <w:rPr>
          <w:rtl/>
        </w:rPr>
        <w:t>واستدلّ هذا الفريق من الفقهاء بجملة</w:t>
      </w:r>
      <w:r w:rsidR="00E00038" w:rsidRPr="00282AC9">
        <w:rPr>
          <w:rFonts w:hint="cs"/>
          <w:rtl/>
        </w:rPr>
        <w:t>ٍ</w:t>
      </w:r>
      <w:r w:rsidRPr="00282AC9">
        <w:rPr>
          <w:rtl/>
        </w:rPr>
        <w:t xml:space="preserve"> من الروايات، ومن ذلك</w:t>
      </w:r>
      <w:r w:rsidR="00E00038" w:rsidRPr="00282AC9">
        <w:rPr>
          <w:rFonts w:hint="cs"/>
          <w:rtl/>
        </w:rPr>
        <w:t xml:space="preserve">: </w:t>
      </w:r>
      <w:r w:rsidRPr="00282AC9">
        <w:rPr>
          <w:rtl/>
        </w:rPr>
        <w:t>صحيحة فضل بن عبد الملك</w:t>
      </w:r>
      <w:r w:rsidR="00E00038" w:rsidRPr="00282AC9">
        <w:rPr>
          <w:rFonts w:hint="cs"/>
          <w:rtl/>
        </w:rPr>
        <w:t>،</w:t>
      </w:r>
      <w:r w:rsidRPr="00282AC9">
        <w:rPr>
          <w:rtl/>
        </w:rPr>
        <w:t xml:space="preserve"> عن أبي عبد</w:t>
      </w:r>
      <w:r w:rsidR="00E00038" w:rsidRPr="00282AC9">
        <w:rPr>
          <w:rFonts w:hint="cs"/>
          <w:rtl/>
        </w:rPr>
        <w:t xml:space="preserve"> </w:t>
      </w:r>
      <w:r w:rsidRPr="00282AC9">
        <w:rPr>
          <w:rtl/>
        </w:rPr>
        <w:t>الله الصادق</w:t>
      </w:r>
      <w:r w:rsidR="009A2A04" w:rsidRPr="00282AC9">
        <w:rPr>
          <w:rFonts w:cs="Mosawi"/>
          <w:sz w:val="22"/>
          <w:szCs w:val="22"/>
          <w:rtl/>
        </w:rPr>
        <w:t>×</w:t>
      </w:r>
      <w:r w:rsidRPr="00282AC9">
        <w:rPr>
          <w:rtl/>
        </w:rPr>
        <w:t xml:space="preserve"> أنه قال: </w:t>
      </w:r>
      <w:r w:rsidRPr="00282AC9">
        <w:rPr>
          <w:sz w:val="24"/>
          <w:szCs w:val="24"/>
          <w:rtl/>
        </w:rPr>
        <w:t>«</w:t>
      </w:r>
      <w:r w:rsidRPr="00282AC9">
        <w:rPr>
          <w:rtl/>
        </w:rPr>
        <w:t>لا تُستأم</w:t>
      </w:r>
      <w:r w:rsidR="00E00038" w:rsidRPr="00282AC9">
        <w:rPr>
          <w:rFonts w:hint="cs"/>
          <w:rtl/>
        </w:rPr>
        <w:t>َ</w:t>
      </w:r>
      <w:r w:rsidRPr="00282AC9">
        <w:rPr>
          <w:rtl/>
        </w:rPr>
        <w:t>ر الجارية التي بين أبو</w:t>
      </w:r>
      <w:r w:rsidR="00E00038" w:rsidRPr="00282AC9">
        <w:rPr>
          <w:rFonts w:hint="cs"/>
          <w:rtl/>
        </w:rPr>
        <w:t>َ</w:t>
      </w:r>
      <w:r w:rsidRPr="00282AC9">
        <w:rPr>
          <w:rtl/>
        </w:rPr>
        <w:t>ي</w:t>
      </w:r>
      <w:r w:rsidR="00E00038" w:rsidRPr="00282AC9">
        <w:rPr>
          <w:rFonts w:hint="cs"/>
          <w:rtl/>
        </w:rPr>
        <w:t>ْ</w:t>
      </w:r>
      <w:r w:rsidRPr="00282AC9">
        <w:rPr>
          <w:rtl/>
        </w:rPr>
        <w:t>ها، إذا أراد أبوها أن يزوّ</w:t>
      </w:r>
      <w:r w:rsidR="00E00038" w:rsidRPr="00282AC9">
        <w:rPr>
          <w:rFonts w:hint="cs"/>
          <w:rtl/>
        </w:rPr>
        <w:t>ِ</w:t>
      </w:r>
      <w:r w:rsidRPr="00282AC9">
        <w:rPr>
          <w:rtl/>
        </w:rPr>
        <w:t>جها هو أنظر لها</w:t>
      </w:r>
      <w:r w:rsidRPr="00282AC9">
        <w:rPr>
          <w:sz w:val="24"/>
          <w:szCs w:val="24"/>
          <w:rtl/>
        </w:rPr>
        <w:t>»</w:t>
      </w:r>
      <w:r w:rsidRPr="00282AC9">
        <w:rPr>
          <w:vertAlign w:val="superscript"/>
          <w:rtl/>
        </w:rPr>
        <w:t>(</w:t>
      </w:r>
      <w:r w:rsidRPr="00282AC9">
        <w:rPr>
          <w:vertAlign w:val="superscript"/>
          <w:rtl/>
        </w:rPr>
        <w:endnoteReference w:id="210"/>
      </w:r>
      <w:r w:rsidRPr="00282AC9">
        <w:rPr>
          <w:vertAlign w:val="superscript"/>
          <w:rtl/>
        </w:rPr>
        <w:t>)</w:t>
      </w:r>
      <w:r w:rsidRPr="00282AC9">
        <w:rPr>
          <w:rtl/>
        </w:rPr>
        <w:t>، أي إنّ البنت لا ر</w:t>
      </w:r>
      <w:r w:rsidR="00E00038" w:rsidRPr="00282AC9">
        <w:rPr>
          <w:rFonts w:hint="cs"/>
          <w:rtl/>
        </w:rPr>
        <w:t>َ</w:t>
      </w:r>
      <w:r w:rsidRPr="00282AC9">
        <w:rPr>
          <w:rtl/>
        </w:rPr>
        <w:t>أ</w:t>
      </w:r>
      <w:r w:rsidR="00E00038" w:rsidRPr="00282AC9">
        <w:rPr>
          <w:rFonts w:hint="cs"/>
          <w:rtl/>
        </w:rPr>
        <w:t>ْ</w:t>
      </w:r>
      <w:r w:rsidRPr="00282AC9">
        <w:rPr>
          <w:rtl/>
        </w:rPr>
        <w:t>ي</w:t>
      </w:r>
      <w:r w:rsidR="00E00038" w:rsidRPr="00282AC9">
        <w:rPr>
          <w:rFonts w:hint="cs"/>
          <w:rtl/>
        </w:rPr>
        <w:t>َ</w:t>
      </w:r>
      <w:r w:rsidRPr="00282AC9">
        <w:rPr>
          <w:rtl/>
        </w:rPr>
        <w:t xml:space="preserve"> لها إذا ما قرّ</w:t>
      </w:r>
      <w:r w:rsidR="00E00038" w:rsidRPr="00282AC9">
        <w:rPr>
          <w:rFonts w:hint="cs"/>
          <w:rtl/>
        </w:rPr>
        <w:t>َ</w:t>
      </w:r>
      <w:r w:rsidRPr="00282AC9">
        <w:rPr>
          <w:rtl/>
        </w:rPr>
        <w:t>ر والدها تزويجها</w:t>
      </w:r>
      <w:r w:rsidR="00E00038" w:rsidRPr="00282AC9">
        <w:rPr>
          <w:rFonts w:hint="cs"/>
          <w:rtl/>
        </w:rPr>
        <w:t>.</w:t>
      </w:r>
    </w:p>
    <w:p w:rsidR="00281D88" w:rsidRPr="00282AC9" w:rsidRDefault="009C6A22" w:rsidP="00106AA7">
      <w:pPr>
        <w:rPr>
          <w:rtl/>
        </w:rPr>
      </w:pPr>
      <w:r w:rsidRPr="00282AC9">
        <w:rPr>
          <w:rtl/>
        </w:rPr>
        <w:t>واستدلّوا كذلك برواية</w:t>
      </w:r>
      <w:r w:rsidR="00E00038" w:rsidRPr="00282AC9">
        <w:rPr>
          <w:rFonts w:hint="cs"/>
          <w:rtl/>
        </w:rPr>
        <w:t>ٍ</w:t>
      </w:r>
      <w:r w:rsidRPr="00282AC9">
        <w:rPr>
          <w:rtl/>
        </w:rPr>
        <w:t xml:space="preserve"> أخرى عن الإمام الصادق</w:t>
      </w:r>
      <w:r w:rsidR="009A2A04" w:rsidRPr="00282AC9">
        <w:rPr>
          <w:rFonts w:cs="Mosawi" w:hint="cs"/>
          <w:sz w:val="22"/>
          <w:szCs w:val="22"/>
          <w:rtl/>
        </w:rPr>
        <w:t>×</w:t>
      </w:r>
      <w:r w:rsidRPr="00282AC9">
        <w:rPr>
          <w:rtl/>
        </w:rPr>
        <w:t>، كما في صحيحة الحلبي</w:t>
      </w:r>
      <w:r w:rsidR="00E00038" w:rsidRPr="00282AC9">
        <w:rPr>
          <w:rFonts w:hint="cs"/>
          <w:rtl/>
        </w:rPr>
        <w:t>ّ،</w:t>
      </w:r>
      <w:r w:rsidRPr="00282AC9">
        <w:rPr>
          <w:rtl/>
        </w:rPr>
        <w:t xml:space="preserve"> في الجارية يزوّ</w:t>
      </w:r>
      <w:r w:rsidR="00E00038" w:rsidRPr="00282AC9">
        <w:rPr>
          <w:rFonts w:hint="cs"/>
          <w:rtl/>
        </w:rPr>
        <w:t>ِ</w:t>
      </w:r>
      <w:r w:rsidRPr="00282AC9">
        <w:rPr>
          <w:rtl/>
        </w:rPr>
        <w:t>جها أبوها بغير رضاً منها، أنه قال</w:t>
      </w:r>
      <w:r w:rsidR="009A2A04" w:rsidRPr="00282AC9">
        <w:rPr>
          <w:rFonts w:cs="Mosawi" w:hint="cs"/>
          <w:sz w:val="22"/>
          <w:szCs w:val="22"/>
          <w:rtl/>
        </w:rPr>
        <w:t>×</w:t>
      </w:r>
      <w:r w:rsidRPr="00282AC9">
        <w:rPr>
          <w:rtl/>
        </w:rPr>
        <w:t xml:space="preserve">: </w:t>
      </w:r>
      <w:r w:rsidRPr="00282AC9">
        <w:rPr>
          <w:sz w:val="24"/>
          <w:szCs w:val="24"/>
          <w:rtl/>
        </w:rPr>
        <w:t>«</w:t>
      </w:r>
      <w:r w:rsidRPr="00282AC9">
        <w:rPr>
          <w:rtl/>
        </w:rPr>
        <w:t>ليس لها مع أبيها أمر</w:t>
      </w:r>
      <w:r w:rsidR="00281D88" w:rsidRPr="00282AC9">
        <w:rPr>
          <w:rFonts w:hint="cs"/>
          <w:rtl/>
        </w:rPr>
        <w:t>ٌ</w:t>
      </w:r>
      <w:r w:rsidRPr="00282AC9">
        <w:rPr>
          <w:rtl/>
        </w:rPr>
        <w:t xml:space="preserve">، </w:t>
      </w:r>
      <w:r w:rsidRPr="00282AC9">
        <w:rPr>
          <w:rtl/>
        </w:rPr>
        <w:lastRenderedPageBreak/>
        <w:t>إذا أنكحها جاز نكاحها</w:t>
      </w:r>
      <w:r w:rsidR="00281D88" w:rsidRPr="00282AC9">
        <w:rPr>
          <w:rFonts w:hint="cs"/>
          <w:rtl/>
        </w:rPr>
        <w:t>،</w:t>
      </w:r>
      <w:r w:rsidRPr="00282AC9">
        <w:rPr>
          <w:rtl/>
        </w:rPr>
        <w:t xml:space="preserve"> وإن</w:t>
      </w:r>
      <w:r w:rsidR="00281D88" w:rsidRPr="00282AC9">
        <w:rPr>
          <w:rFonts w:hint="cs"/>
          <w:rtl/>
        </w:rPr>
        <w:t>ْ</w:t>
      </w:r>
      <w:r w:rsidRPr="00282AC9">
        <w:rPr>
          <w:rtl/>
        </w:rPr>
        <w:t xml:space="preserve"> كانت كارهة</w:t>
      </w:r>
      <w:r w:rsidR="00281D88" w:rsidRPr="00282AC9">
        <w:rPr>
          <w:rFonts w:hint="cs"/>
          <w:rtl/>
        </w:rPr>
        <w:t>ً</w:t>
      </w:r>
      <w:r w:rsidRPr="00282AC9">
        <w:rPr>
          <w:sz w:val="24"/>
          <w:szCs w:val="24"/>
          <w:rtl/>
        </w:rPr>
        <w:t>»</w:t>
      </w:r>
      <w:r w:rsidRPr="00282AC9">
        <w:rPr>
          <w:vertAlign w:val="superscript"/>
          <w:rtl/>
        </w:rPr>
        <w:t>(</w:t>
      </w:r>
      <w:r w:rsidRPr="00282AC9">
        <w:rPr>
          <w:vertAlign w:val="superscript"/>
          <w:rtl/>
        </w:rPr>
        <w:endnoteReference w:id="211"/>
      </w:r>
      <w:r w:rsidRPr="00282AC9">
        <w:rPr>
          <w:vertAlign w:val="superscript"/>
          <w:rtl/>
        </w:rPr>
        <w:t>)</w:t>
      </w:r>
      <w:r w:rsidR="00281D88" w:rsidRPr="00282AC9">
        <w:rPr>
          <w:rFonts w:hint="cs"/>
          <w:rtl/>
        </w:rPr>
        <w:t>.</w:t>
      </w:r>
    </w:p>
    <w:p w:rsidR="00281D88" w:rsidRPr="00282AC9" w:rsidRDefault="009C6A22" w:rsidP="00106AA7">
      <w:pPr>
        <w:rPr>
          <w:rtl/>
        </w:rPr>
      </w:pPr>
      <w:r w:rsidRPr="00282AC9">
        <w:rPr>
          <w:rtl/>
        </w:rPr>
        <w:t>وقد استند هذا الفريق من الفقهاء الشيعة على هذه الروايات، وقالوا بأنّ القرار بيد الولي</w:t>
      </w:r>
      <w:r w:rsidR="00281D88" w:rsidRPr="00282AC9">
        <w:rPr>
          <w:rFonts w:hint="cs"/>
          <w:rtl/>
        </w:rPr>
        <w:t>ّ.</w:t>
      </w:r>
    </w:p>
    <w:p w:rsidR="00281D88" w:rsidRPr="00282AC9" w:rsidRDefault="009C6A22" w:rsidP="00106AA7">
      <w:pPr>
        <w:rPr>
          <w:rtl/>
        </w:rPr>
      </w:pPr>
      <w:r w:rsidRPr="00282AC9">
        <w:rPr>
          <w:rtl/>
        </w:rPr>
        <w:t>ويوافقهم في ذلك الشافعية والمالكية</w:t>
      </w:r>
      <w:r w:rsidR="00281D88" w:rsidRPr="00282AC9">
        <w:rPr>
          <w:rFonts w:hint="cs"/>
          <w:rtl/>
        </w:rPr>
        <w:t>،</w:t>
      </w:r>
      <w:r w:rsidRPr="00282AC9">
        <w:rPr>
          <w:rtl/>
        </w:rPr>
        <w:t xml:space="preserve"> حيث قالوا؛ تثبت الولاية إجباريّاً للأب، وللجدّ عند عدمه</w:t>
      </w:r>
      <w:r w:rsidR="00281D88" w:rsidRPr="00282AC9">
        <w:rPr>
          <w:rFonts w:hint="cs"/>
          <w:rtl/>
        </w:rPr>
        <w:t>.</w:t>
      </w:r>
      <w:r w:rsidRPr="00282AC9">
        <w:rPr>
          <w:rtl/>
        </w:rPr>
        <w:t xml:space="preserve"> فللأب تزويج الب</w:t>
      </w:r>
      <w:r w:rsidR="00281D88" w:rsidRPr="00282AC9">
        <w:rPr>
          <w:rFonts w:hint="cs"/>
          <w:rtl/>
        </w:rPr>
        <w:t>ِ</w:t>
      </w:r>
      <w:r w:rsidRPr="00282AC9">
        <w:rPr>
          <w:rtl/>
        </w:rPr>
        <w:t>ك</w:t>
      </w:r>
      <w:r w:rsidR="00281D88" w:rsidRPr="00282AC9">
        <w:rPr>
          <w:rFonts w:hint="cs"/>
          <w:rtl/>
        </w:rPr>
        <w:t>ْ</w:t>
      </w:r>
      <w:r w:rsidRPr="00282AC9">
        <w:rPr>
          <w:rtl/>
        </w:rPr>
        <w:t>ر</w:t>
      </w:r>
      <w:r w:rsidR="00281D88" w:rsidRPr="00282AC9">
        <w:rPr>
          <w:rFonts w:hint="cs"/>
          <w:rtl/>
        </w:rPr>
        <w:t>،</w:t>
      </w:r>
      <w:r w:rsidRPr="00282AC9">
        <w:rPr>
          <w:rtl/>
        </w:rPr>
        <w:t xml:space="preserve"> صغيرة</w:t>
      </w:r>
      <w:r w:rsidR="00281D88" w:rsidRPr="00282AC9">
        <w:rPr>
          <w:rFonts w:hint="cs"/>
          <w:rtl/>
        </w:rPr>
        <w:t>ً</w:t>
      </w:r>
      <w:r w:rsidRPr="00282AC9">
        <w:rPr>
          <w:rtl/>
        </w:rPr>
        <w:t xml:space="preserve"> أو كبيرة</w:t>
      </w:r>
      <w:r w:rsidR="00281D88" w:rsidRPr="00282AC9">
        <w:rPr>
          <w:rFonts w:hint="cs"/>
          <w:rtl/>
        </w:rPr>
        <w:t>ً،</w:t>
      </w:r>
      <w:r w:rsidRPr="00282AC9">
        <w:rPr>
          <w:rtl/>
        </w:rPr>
        <w:t xml:space="preserve"> بغير إذنها، ويستحب</w:t>
      </w:r>
      <w:r w:rsidR="00281D88" w:rsidRPr="00282AC9">
        <w:rPr>
          <w:rFonts w:hint="cs"/>
          <w:rtl/>
        </w:rPr>
        <w:t>ّ</w:t>
      </w:r>
      <w:r w:rsidR="00281D88" w:rsidRPr="00282AC9">
        <w:rPr>
          <w:rtl/>
        </w:rPr>
        <w:t xml:space="preserve"> استئذانها.</w:t>
      </w:r>
    </w:p>
    <w:p w:rsidR="009C6A22" w:rsidRPr="00282AC9" w:rsidRDefault="009C6A22" w:rsidP="00106AA7">
      <w:pPr>
        <w:rPr>
          <w:rtl/>
        </w:rPr>
      </w:pPr>
      <w:r w:rsidRPr="00282AC9">
        <w:rPr>
          <w:rtl/>
        </w:rPr>
        <w:t>وجماع القول عند هذا الفريق</w:t>
      </w:r>
      <w:r w:rsidR="00281D88" w:rsidRPr="00282AC9">
        <w:rPr>
          <w:rFonts w:hint="cs"/>
          <w:rtl/>
        </w:rPr>
        <w:t>:</w:t>
      </w:r>
      <w:r w:rsidRPr="00282AC9">
        <w:rPr>
          <w:rtl/>
        </w:rPr>
        <w:t xml:space="preserve"> </w:t>
      </w:r>
      <w:r w:rsidR="00281D88" w:rsidRPr="00282AC9">
        <w:rPr>
          <w:rFonts w:hint="cs"/>
          <w:rtl/>
        </w:rPr>
        <w:t>إ</w:t>
      </w:r>
      <w:r w:rsidRPr="00282AC9">
        <w:rPr>
          <w:rtl/>
        </w:rPr>
        <w:t>نّ البنت لا قرار لها في أمر زواجها، وإنّما ي</w:t>
      </w:r>
      <w:r w:rsidR="008019BE" w:rsidRPr="00282AC9">
        <w:rPr>
          <w:rFonts w:hint="cs"/>
          <w:rtl/>
        </w:rPr>
        <w:t>ُ</w:t>
      </w:r>
      <w:r w:rsidRPr="00282AC9">
        <w:rPr>
          <w:rtl/>
        </w:rPr>
        <w:t>ت</w:t>
      </w:r>
      <w:r w:rsidR="008019BE" w:rsidRPr="00282AC9">
        <w:rPr>
          <w:rFonts w:hint="cs"/>
          <w:rtl/>
        </w:rPr>
        <w:t>َّ</w:t>
      </w:r>
      <w:r w:rsidRPr="00282AC9">
        <w:rPr>
          <w:rtl/>
        </w:rPr>
        <w:t>خذ بالنيابة عنها أخطر</w:t>
      </w:r>
      <w:r w:rsidR="008019BE" w:rsidRPr="00282AC9">
        <w:rPr>
          <w:rFonts w:hint="cs"/>
          <w:rtl/>
        </w:rPr>
        <w:t>ُ</w:t>
      </w:r>
      <w:r w:rsidRPr="00282AC9">
        <w:rPr>
          <w:rtl/>
        </w:rPr>
        <w:t xml:space="preserve"> قرار</w:t>
      </w:r>
      <w:r w:rsidR="008019BE" w:rsidRPr="00282AC9">
        <w:rPr>
          <w:rFonts w:hint="cs"/>
          <w:rtl/>
        </w:rPr>
        <w:t>ٍ</w:t>
      </w:r>
      <w:r w:rsidRPr="00282AC9">
        <w:rPr>
          <w:rtl/>
        </w:rPr>
        <w:t xml:space="preserve"> يتحدّ</w:t>
      </w:r>
      <w:r w:rsidR="008019BE" w:rsidRPr="00282AC9">
        <w:rPr>
          <w:rFonts w:hint="cs"/>
          <w:rtl/>
        </w:rPr>
        <w:t>َ</w:t>
      </w:r>
      <w:r w:rsidRPr="00282AC9">
        <w:rPr>
          <w:rtl/>
        </w:rPr>
        <w:t xml:space="preserve">د بموجبه مصيرها ومستقبلها. </w:t>
      </w:r>
    </w:p>
    <w:p w:rsidR="009C6A22" w:rsidRPr="00282AC9" w:rsidRDefault="009C6A22" w:rsidP="00A716AC">
      <w:pPr>
        <w:spacing w:line="420" w:lineRule="exact"/>
        <w:rPr>
          <w:rtl/>
        </w:rPr>
      </w:pPr>
    </w:p>
    <w:p w:rsidR="009C6A22" w:rsidRPr="00282AC9" w:rsidRDefault="008019BE" w:rsidP="00B37544">
      <w:pPr>
        <w:pStyle w:val="31"/>
        <w:rPr>
          <w:color w:val="auto"/>
          <w:lang w:bidi="ar-YE"/>
        </w:rPr>
      </w:pPr>
      <w:r w:rsidRPr="00282AC9">
        <w:rPr>
          <w:rFonts w:hint="cs"/>
          <w:color w:val="auto"/>
          <w:rtl/>
          <w:lang w:bidi="ar-YE"/>
        </w:rPr>
        <w:t xml:space="preserve">2ـ </w:t>
      </w:r>
      <w:r w:rsidR="009C6A22" w:rsidRPr="00282AC9">
        <w:rPr>
          <w:color w:val="auto"/>
          <w:rtl/>
          <w:lang w:bidi="ar-YE"/>
        </w:rPr>
        <w:t>القرار</w:t>
      </w:r>
      <w:r w:rsidR="009C6A22" w:rsidRPr="00282AC9">
        <w:rPr>
          <w:color w:val="auto"/>
          <w:lang w:bidi="ar-YE"/>
        </w:rPr>
        <w:t xml:space="preserve"> </w:t>
      </w:r>
      <w:r w:rsidR="009C6A22" w:rsidRPr="00282AC9">
        <w:rPr>
          <w:color w:val="auto"/>
          <w:rtl/>
          <w:lang w:bidi="ar-YE"/>
        </w:rPr>
        <w:t>بيد</w:t>
      </w:r>
      <w:r w:rsidR="009C6A22" w:rsidRPr="00282AC9">
        <w:rPr>
          <w:color w:val="auto"/>
          <w:lang w:bidi="ar-YE"/>
        </w:rPr>
        <w:t xml:space="preserve"> </w:t>
      </w:r>
      <w:r w:rsidR="009C6A22" w:rsidRPr="00282AC9">
        <w:rPr>
          <w:color w:val="auto"/>
          <w:rtl/>
          <w:lang w:bidi="ar-YE"/>
        </w:rPr>
        <w:t>الفتاة</w:t>
      </w:r>
    </w:p>
    <w:p w:rsidR="008019BE" w:rsidRPr="00282AC9" w:rsidRDefault="009C6A22" w:rsidP="00106AA7">
      <w:pPr>
        <w:rPr>
          <w:rtl/>
        </w:rPr>
      </w:pPr>
      <w:r w:rsidRPr="00282AC9">
        <w:rPr>
          <w:rtl/>
        </w:rPr>
        <w:t>أمّا في القول الثاني فقد ذهب فريق</w:t>
      </w:r>
      <w:r w:rsidR="008019BE" w:rsidRPr="00282AC9">
        <w:rPr>
          <w:rFonts w:hint="cs"/>
          <w:rtl/>
        </w:rPr>
        <w:t>ٌ</w:t>
      </w:r>
      <w:r w:rsidRPr="00282AC9">
        <w:rPr>
          <w:rtl/>
        </w:rPr>
        <w:t xml:space="preserve"> آخر من الفقهاء إلى القول بأنّ قرار الزواج هو بيد البنت، وليس بيد الولي</w:t>
      </w:r>
      <w:r w:rsidR="008019BE" w:rsidRPr="00282AC9">
        <w:rPr>
          <w:rFonts w:hint="cs"/>
          <w:rtl/>
        </w:rPr>
        <w:t>ّ</w:t>
      </w:r>
      <w:r w:rsidRPr="00282AC9">
        <w:rPr>
          <w:rtl/>
        </w:rPr>
        <w:t>، ما دامت بالغة</w:t>
      </w:r>
      <w:r w:rsidR="008019BE" w:rsidRPr="00282AC9">
        <w:rPr>
          <w:rFonts w:hint="cs"/>
          <w:rtl/>
        </w:rPr>
        <w:t>ً</w:t>
      </w:r>
      <w:r w:rsidRPr="00282AC9">
        <w:rPr>
          <w:rtl/>
        </w:rPr>
        <w:t xml:space="preserve"> عاقلة</w:t>
      </w:r>
      <w:r w:rsidR="008019BE" w:rsidRPr="00282AC9">
        <w:rPr>
          <w:rFonts w:hint="cs"/>
          <w:rtl/>
        </w:rPr>
        <w:t>ً</w:t>
      </w:r>
      <w:r w:rsidRPr="00282AC9">
        <w:rPr>
          <w:rtl/>
        </w:rPr>
        <w:t xml:space="preserve"> رشيدة</w:t>
      </w:r>
      <w:r w:rsidR="008019BE" w:rsidRPr="00282AC9">
        <w:rPr>
          <w:rFonts w:hint="cs"/>
          <w:rtl/>
        </w:rPr>
        <w:t>ً</w:t>
      </w:r>
      <w:r w:rsidR="008019BE" w:rsidRPr="00282AC9">
        <w:rPr>
          <w:rtl/>
        </w:rPr>
        <w:t>.</w:t>
      </w:r>
    </w:p>
    <w:p w:rsidR="0070791B" w:rsidRPr="00282AC9" w:rsidRDefault="009C6A22" w:rsidP="00106AA7">
      <w:pPr>
        <w:rPr>
          <w:rtl/>
        </w:rPr>
      </w:pPr>
      <w:r w:rsidRPr="00282AC9">
        <w:rPr>
          <w:rtl/>
        </w:rPr>
        <w:t>وعلّ</w:t>
      </w:r>
      <w:r w:rsidR="008019BE" w:rsidRPr="00282AC9">
        <w:rPr>
          <w:rFonts w:hint="cs"/>
          <w:rtl/>
        </w:rPr>
        <w:t>َ</w:t>
      </w:r>
      <w:r w:rsidRPr="00282AC9">
        <w:rPr>
          <w:rtl/>
        </w:rPr>
        <w:t>لوا ذلك بأنّ الأصل في الشريعة هو سلطة الإنسان على نفسه</w:t>
      </w:r>
      <w:r w:rsidR="008019BE" w:rsidRPr="00282AC9">
        <w:rPr>
          <w:rFonts w:hint="cs"/>
          <w:rtl/>
        </w:rPr>
        <w:t>.</w:t>
      </w:r>
      <w:r w:rsidRPr="00282AC9">
        <w:rPr>
          <w:rtl/>
        </w:rPr>
        <w:t xml:space="preserve"> و</w:t>
      </w:r>
      <w:r w:rsidR="008019BE" w:rsidRPr="00282AC9">
        <w:rPr>
          <w:rFonts w:hint="cs"/>
          <w:rtl/>
        </w:rPr>
        <w:t>ل</w:t>
      </w:r>
      <w:r w:rsidRPr="00282AC9">
        <w:rPr>
          <w:rtl/>
        </w:rPr>
        <w:t>كون المرأة إنساناً فهي كذلك مسلّ</w:t>
      </w:r>
      <w:r w:rsidR="008019BE" w:rsidRPr="00282AC9">
        <w:rPr>
          <w:rFonts w:hint="cs"/>
          <w:rtl/>
        </w:rPr>
        <w:t>َ</w:t>
      </w:r>
      <w:r w:rsidRPr="00282AC9">
        <w:rPr>
          <w:rtl/>
        </w:rPr>
        <w:t>طة</w:t>
      </w:r>
      <w:r w:rsidR="008019BE" w:rsidRPr="00282AC9">
        <w:rPr>
          <w:rFonts w:hint="cs"/>
          <w:rtl/>
        </w:rPr>
        <w:t>ٌ</w:t>
      </w:r>
      <w:r w:rsidRPr="00282AC9">
        <w:rPr>
          <w:rtl/>
        </w:rPr>
        <w:t xml:space="preserve"> على نفسها، وإ</w:t>
      </w:r>
      <w:r w:rsidR="00EE6DBA" w:rsidRPr="00282AC9">
        <w:rPr>
          <w:rtl/>
        </w:rPr>
        <w:t>لاّ</w:t>
      </w:r>
      <w:r w:rsidRPr="00282AC9">
        <w:rPr>
          <w:rtl/>
        </w:rPr>
        <w:t xml:space="preserve"> فما الذي يجعل الرجل يمتلك قراره بيده </w:t>
      </w:r>
      <w:r w:rsidR="0070791B" w:rsidRPr="00282AC9">
        <w:rPr>
          <w:rtl/>
        </w:rPr>
        <w:t>فيما ينتزع ذلك الحقّ من المرأة؟</w:t>
      </w:r>
    </w:p>
    <w:p w:rsidR="009C6A22" w:rsidRPr="00282AC9" w:rsidRDefault="0070791B" w:rsidP="00106AA7">
      <w:pPr>
        <w:rPr>
          <w:rtl/>
        </w:rPr>
      </w:pPr>
      <w:r w:rsidRPr="00282AC9">
        <w:rPr>
          <w:rFonts w:hint="cs"/>
          <w:rtl/>
        </w:rPr>
        <w:t>و</w:t>
      </w:r>
      <w:r w:rsidR="009C6A22" w:rsidRPr="00282AC9">
        <w:rPr>
          <w:rtl/>
        </w:rPr>
        <w:t>هنا يمكن القول بوجود استثناءٍ في عدم منح المرأة حقّ تزويج نفسها، لكن</w:t>
      </w:r>
      <w:r w:rsidRPr="00282AC9">
        <w:rPr>
          <w:rFonts w:hint="cs"/>
          <w:rtl/>
        </w:rPr>
        <w:t>ّ</w:t>
      </w:r>
      <w:r w:rsidR="009C6A22" w:rsidRPr="00282AC9">
        <w:rPr>
          <w:rtl/>
        </w:rPr>
        <w:t xml:space="preserve"> ذلك يستلزم دليلاً واضحاً</w:t>
      </w:r>
      <w:r w:rsidRPr="00282AC9">
        <w:rPr>
          <w:rFonts w:hint="cs"/>
          <w:rtl/>
        </w:rPr>
        <w:t>،</w:t>
      </w:r>
      <w:r w:rsidR="009C6A22" w:rsidRPr="00282AC9">
        <w:rPr>
          <w:rtl/>
        </w:rPr>
        <w:t xml:space="preserve"> وهو غير موجود</w:t>
      </w:r>
      <w:r w:rsidRPr="00282AC9">
        <w:rPr>
          <w:rFonts w:hint="cs"/>
          <w:rtl/>
        </w:rPr>
        <w:t>ٍ</w:t>
      </w:r>
      <w:r w:rsidR="009C6A22" w:rsidRPr="00282AC9">
        <w:rPr>
          <w:rtl/>
        </w:rPr>
        <w:t xml:space="preserve">، وفقاً لهذا الفريق من الفقهاء. </w:t>
      </w:r>
    </w:p>
    <w:p w:rsidR="009C6A22" w:rsidRPr="00282AC9" w:rsidRDefault="009C6A22" w:rsidP="00106AA7">
      <w:pPr>
        <w:rPr>
          <w:rtl/>
        </w:rPr>
      </w:pPr>
      <w:r w:rsidRPr="00282AC9">
        <w:rPr>
          <w:rtl/>
        </w:rPr>
        <w:t>ويستند هؤلاء الفقهاء أيضاً إلى جملة</w:t>
      </w:r>
      <w:r w:rsidR="0070791B" w:rsidRPr="00282AC9">
        <w:rPr>
          <w:rFonts w:hint="cs"/>
          <w:rtl/>
        </w:rPr>
        <w:t>ٍ</w:t>
      </w:r>
      <w:r w:rsidRPr="00282AC9">
        <w:rPr>
          <w:rtl/>
        </w:rPr>
        <w:t xml:space="preserve"> من الأدل</w:t>
      </w:r>
      <w:r w:rsidR="0070791B" w:rsidRPr="00282AC9">
        <w:rPr>
          <w:rFonts w:hint="cs"/>
          <w:rtl/>
        </w:rPr>
        <w:t>ّ</w:t>
      </w:r>
      <w:r w:rsidRPr="00282AC9">
        <w:rPr>
          <w:rtl/>
        </w:rPr>
        <w:t>ة والنصوص الدينية الدال</w:t>
      </w:r>
      <w:r w:rsidR="0070791B" w:rsidRPr="00282AC9">
        <w:rPr>
          <w:rFonts w:hint="cs"/>
          <w:rtl/>
        </w:rPr>
        <w:t>ّ</w:t>
      </w:r>
      <w:r w:rsidRPr="00282AC9">
        <w:rPr>
          <w:rtl/>
        </w:rPr>
        <w:t>ة على أنّ الفتاة الب</w:t>
      </w:r>
      <w:r w:rsidR="0070791B" w:rsidRPr="00282AC9">
        <w:rPr>
          <w:rFonts w:hint="cs"/>
          <w:rtl/>
        </w:rPr>
        <w:t>ِ</w:t>
      </w:r>
      <w:r w:rsidRPr="00282AC9">
        <w:rPr>
          <w:rtl/>
        </w:rPr>
        <w:t>ك</w:t>
      </w:r>
      <w:r w:rsidR="0070791B" w:rsidRPr="00282AC9">
        <w:rPr>
          <w:rFonts w:hint="cs"/>
          <w:rtl/>
        </w:rPr>
        <w:t>ْ</w:t>
      </w:r>
      <w:r w:rsidRPr="00282AC9">
        <w:rPr>
          <w:rtl/>
        </w:rPr>
        <w:t>ر تستقلّ بقرار تزويج نفسها، ومن ذلك</w:t>
      </w:r>
      <w:r w:rsidR="0070791B" w:rsidRPr="00282AC9">
        <w:rPr>
          <w:rFonts w:hint="cs"/>
          <w:rtl/>
        </w:rPr>
        <w:t>:</w:t>
      </w:r>
      <w:r w:rsidRPr="00282AC9">
        <w:rPr>
          <w:rtl/>
        </w:rPr>
        <w:t xml:space="preserve"> ما ر</w:t>
      </w:r>
      <w:r w:rsidR="0070791B" w:rsidRPr="00282AC9">
        <w:rPr>
          <w:rFonts w:hint="cs"/>
          <w:rtl/>
        </w:rPr>
        <w:t>ُ</w:t>
      </w:r>
      <w:r w:rsidRPr="00282AC9">
        <w:rPr>
          <w:rtl/>
        </w:rPr>
        <w:t>وي عن زرارة</w:t>
      </w:r>
      <w:r w:rsidR="0070791B" w:rsidRPr="00282AC9">
        <w:rPr>
          <w:rFonts w:hint="cs"/>
          <w:rtl/>
        </w:rPr>
        <w:t>،</w:t>
      </w:r>
      <w:r w:rsidRPr="00282AC9">
        <w:rPr>
          <w:rtl/>
        </w:rPr>
        <w:t xml:space="preserve"> عن الإمام الباقر</w:t>
      </w:r>
      <w:r w:rsidR="009A2A04" w:rsidRPr="00282AC9">
        <w:rPr>
          <w:rFonts w:cs="Mosawi"/>
          <w:sz w:val="22"/>
          <w:szCs w:val="22"/>
          <w:rtl/>
        </w:rPr>
        <w:t>×</w:t>
      </w:r>
      <w:r w:rsidRPr="00282AC9">
        <w:rPr>
          <w:rtl/>
        </w:rPr>
        <w:t xml:space="preserve"> أنه قال: </w:t>
      </w:r>
      <w:r w:rsidRPr="00282AC9">
        <w:rPr>
          <w:sz w:val="24"/>
          <w:szCs w:val="24"/>
          <w:rtl/>
        </w:rPr>
        <w:t>«</w:t>
      </w:r>
      <w:r w:rsidRPr="00282AC9">
        <w:rPr>
          <w:rtl/>
        </w:rPr>
        <w:t>إذا كانت امرأة</w:t>
      </w:r>
      <w:r w:rsidR="0070791B" w:rsidRPr="00282AC9">
        <w:rPr>
          <w:rFonts w:hint="cs"/>
          <w:rtl/>
        </w:rPr>
        <w:t>ٌ</w:t>
      </w:r>
      <w:r w:rsidRPr="00282AC9">
        <w:rPr>
          <w:rtl/>
        </w:rPr>
        <w:t xml:space="preserve"> مالكة</w:t>
      </w:r>
      <w:r w:rsidR="0070791B" w:rsidRPr="00282AC9">
        <w:rPr>
          <w:rFonts w:hint="cs"/>
          <w:rtl/>
        </w:rPr>
        <w:t>ٌ</w:t>
      </w:r>
      <w:r w:rsidRPr="00282AC9">
        <w:rPr>
          <w:rtl/>
        </w:rPr>
        <w:t xml:space="preserve"> أمرها</w:t>
      </w:r>
      <w:r w:rsidR="0070791B" w:rsidRPr="00282AC9">
        <w:rPr>
          <w:rFonts w:hint="cs"/>
          <w:rtl/>
        </w:rPr>
        <w:t>،</w:t>
      </w:r>
      <w:r w:rsidRPr="00282AC9">
        <w:rPr>
          <w:rtl/>
        </w:rPr>
        <w:t xml:space="preserve"> تبيع وتشتري وتعتق وتشهد وتعطي من مالها ما شاءت</w:t>
      </w:r>
      <w:r w:rsidR="0070791B" w:rsidRPr="00282AC9">
        <w:rPr>
          <w:rFonts w:hint="cs"/>
          <w:rtl/>
        </w:rPr>
        <w:t>،</w:t>
      </w:r>
      <w:r w:rsidRPr="00282AC9">
        <w:rPr>
          <w:rtl/>
        </w:rPr>
        <w:t xml:space="preserve"> فإنّ أمرها جائز</w:t>
      </w:r>
      <w:r w:rsidR="0070791B" w:rsidRPr="00282AC9">
        <w:rPr>
          <w:rFonts w:hint="cs"/>
          <w:rtl/>
        </w:rPr>
        <w:t>ٌ،</w:t>
      </w:r>
      <w:r w:rsidRPr="00282AC9">
        <w:rPr>
          <w:rtl/>
        </w:rPr>
        <w:t xml:space="preserve"> تزوج إنْ شاء</w:t>
      </w:r>
      <w:r w:rsidR="0070791B" w:rsidRPr="00282AC9">
        <w:rPr>
          <w:rFonts w:hint="cs"/>
          <w:rtl/>
        </w:rPr>
        <w:t>َ</w:t>
      </w:r>
      <w:r w:rsidRPr="00282AC9">
        <w:rPr>
          <w:rtl/>
        </w:rPr>
        <w:t>ت</w:t>
      </w:r>
      <w:r w:rsidR="0070791B" w:rsidRPr="00282AC9">
        <w:rPr>
          <w:rFonts w:hint="cs"/>
          <w:rtl/>
        </w:rPr>
        <w:t>ْ</w:t>
      </w:r>
      <w:r w:rsidRPr="00282AC9">
        <w:rPr>
          <w:rtl/>
        </w:rPr>
        <w:t xml:space="preserve"> بغير إذن وليّ</w:t>
      </w:r>
      <w:r w:rsidR="0070791B" w:rsidRPr="00282AC9">
        <w:rPr>
          <w:rFonts w:hint="cs"/>
          <w:rtl/>
        </w:rPr>
        <w:t>ِ</w:t>
      </w:r>
      <w:r w:rsidRPr="00282AC9">
        <w:rPr>
          <w:rtl/>
        </w:rPr>
        <w:t>ها</w:t>
      </w:r>
      <w:r w:rsidR="0070791B" w:rsidRPr="00282AC9">
        <w:rPr>
          <w:rFonts w:hint="cs"/>
          <w:rtl/>
        </w:rPr>
        <w:t>؛</w:t>
      </w:r>
      <w:r w:rsidRPr="00282AC9">
        <w:rPr>
          <w:rtl/>
        </w:rPr>
        <w:t xml:space="preserve"> وإن</w:t>
      </w:r>
      <w:r w:rsidR="0070791B" w:rsidRPr="00282AC9">
        <w:rPr>
          <w:rFonts w:hint="cs"/>
          <w:rtl/>
        </w:rPr>
        <w:t>ْ</w:t>
      </w:r>
      <w:r w:rsidRPr="00282AC9">
        <w:rPr>
          <w:rtl/>
        </w:rPr>
        <w:t xml:space="preserve"> لم تكن كذلك فلا يجوز تزويجها إ</w:t>
      </w:r>
      <w:r w:rsidR="00EE6DBA" w:rsidRPr="00282AC9">
        <w:rPr>
          <w:rtl/>
        </w:rPr>
        <w:t>لاّ</w:t>
      </w:r>
      <w:r w:rsidRPr="00282AC9">
        <w:rPr>
          <w:rtl/>
        </w:rPr>
        <w:t xml:space="preserve"> بإذن وليّ</w:t>
      </w:r>
      <w:r w:rsidR="0070791B" w:rsidRPr="00282AC9">
        <w:rPr>
          <w:rFonts w:hint="cs"/>
          <w:rtl/>
        </w:rPr>
        <w:t>ِ</w:t>
      </w:r>
      <w:r w:rsidRPr="00282AC9">
        <w:rPr>
          <w:rtl/>
        </w:rPr>
        <w:t>ها</w:t>
      </w:r>
      <w:r w:rsidRPr="00282AC9">
        <w:rPr>
          <w:sz w:val="24"/>
          <w:szCs w:val="24"/>
          <w:rtl/>
        </w:rPr>
        <w:t>»</w:t>
      </w:r>
      <w:r w:rsidRPr="00282AC9">
        <w:rPr>
          <w:vertAlign w:val="superscript"/>
          <w:rtl/>
        </w:rPr>
        <w:t>(</w:t>
      </w:r>
      <w:r w:rsidRPr="00282AC9">
        <w:rPr>
          <w:vertAlign w:val="superscript"/>
          <w:rtl/>
        </w:rPr>
        <w:endnoteReference w:id="212"/>
      </w:r>
      <w:r w:rsidRPr="00282AC9">
        <w:rPr>
          <w:vertAlign w:val="superscript"/>
          <w:rtl/>
        </w:rPr>
        <w:t>)</w:t>
      </w:r>
      <w:r w:rsidR="0070791B" w:rsidRPr="00282AC9">
        <w:rPr>
          <w:rFonts w:hint="cs"/>
          <w:rtl/>
        </w:rPr>
        <w:t>.</w:t>
      </w:r>
      <w:r w:rsidRPr="00282AC9">
        <w:rPr>
          <w:rtl/>
        </w:rPr>
        <w:t xml:space="preserve"> ومضمون ذلك </w:t>
      </w:r>
      <w:r w:rsidR="002649D2" w:rsidRPr="00282AC9">
        <w:rPr>
          <w:rFonts w:hint="cs"/>
          <w:rtl/>
        </w:rPr>
        <w:t xml:space="preserve">ـ </w:t>
      </w:r>
      <w:r w:rsidRPr="00282AC9">
        <w:rPr>
          <w:rtl/>
        </w:rPr>
        <w:t>وفقاً للرواية</w:t>
      </w:r>
      <w:r w:rsidR="002649D2" w:rsidRPr="00282AC9">
        <w:rPr>
          <w:rFonts w:hint="cs"/>
          <w:rtl/>
        </w:rPr>
        <w:t xml:space="preserve"> ـ</w:t>
      </w:r>
      <w:r w:rsidRPr="00282AC9">
        <w:rPr>
          <w:rtl/>
        </w:rPr>
        <w:t xml:space="preserve"> </w:t>
      </w:r>
      <w:r w:rsidR="002649D2" w:rsidRPr="00282AC9">
        <w:rPr>
          <w:rFonts w:hint="cs"/>
          <w:rtl/>
        </w:rPr>
        <w:t xml:space="preserve">أن </w:t>
      </w:r>
      <w:r w:rsidRPr="00282AC9">
        <w:rPr>
          <w:rtl/>
        </w:rPr>
        <w:t>حقّ</w:t>
      </w:r>
      <w:r w:rsidR="002649D2" w:rsidRPr="00282AC9">
        <w:rPr>
          <w:rFonts w:hint="cs"/>
          <w:rtl/>
        </w:rPr>
        <w:t>َ</w:t>
      </w:r>
      <w:r w:rsidRPr="00282AC9">
        <w:rPr>
          <w:rtl/>
        </w:rPr>
        <w:t xml:space="preserve"> المرأة في تزويج نفسها</w:t>
      </w:r>
      <w:r w:rsidR="002649D2" w:rsidRPr="00282AC9">
        <w:rPr>
          <w:rFonts w:hint="cs"/>
          <w:rtl/>
        </w:rPr>
        <w:t>،</w:t>
      </w:r>
      <w:r w:rsidRPr="00282AC9">
        <w:rPr>
          <w:rtl/>
        </w:rPr>
        <w:t xml:space="preserve"> </w:t>
      </w:r>
      <w:r w:rsidR="002649D2" w:rsidRPr="00282AC9">
        <w:rPr>
          <w:rtl/>
        </w:rPr>
        <w:t>بغير إذنٍ من وليّها</w:t>
      </w:r>
      <w:r w:rsidR="002649D2" w:rsidRPr="00282AC9">
        <w:rPr>
          <w:rFonts w:hint="cs"/>
          <w:rtl/>
        </w:rPr>
        <w:t>،</w:t>
      </w:r>
      <w:r w:rsidR="002649D2" w:rsidRPr="00282AC9">
        <w:rPr>
          <w:rtl/>
        </w:rPr>
        <w:t xml:space="preserve"> يتقي</w:t>
      </w:r>
      <w:r w:rsidR="002649D2" w:rsidRPr="00282AC9">
        <w:rPr>
          <w:rFonts w:hint="cs"/>
          <w:rtl/>
        </w:rPr>
        <w:t>َّ</w:t>
      </w:r>
      <w:r w:rsidR="002649D2" w:rsidRPr="00282AC9">
        <w:rPr>
          <w:rtl/>
        </w:rPr>
        <w:t xml:space="preserve">د </w:t>
      </w:r>
      <w:r w:rsidRPr="00282AC9">
        <w:rPr>
          <w:rtl/>
        </w:rPr>
        <w:t>باستقلالي</w:t>
      </w:r>
      <w:r w:rsidR="002649D2" w:rsidRPr="00282AC9">
        <w:rPr>
          <w:rFonts w:hint="cs"/>
          <w:rtl/>
        </w:rPr>
        <w:t>ّ</w:t>
      </w:r>
      <w:r w:rsidRPr="00282AC9">
        <w:rPr>
          <w:rtl/>
        </w:rPr>
        <w:t>تها المالي</w:t>
      </w:r>
      <w:r w:rsidR="002649D2" w:rsidRPr="00282AC9">
        <w:rPr>
          <w:rFonts w:hint="cs"/>
          <w:rtl/>
        </w:rPr>
        <w:t>ّ</w:t>
      </w:r>
      <w:r w:rsidRPr="00282AC9">
        <w:rPr>
          <w:rtl/>
        </w:rPr>
        <w:t>ة، ور</w:t>
      </w:r>
      <w:r w:rsidR="002649D2" w:rsidRPr="00282AC9">
        <w:rPr>
          <w:rFonts w:hint="cs"/>
          <w:rtl/>
        </w:rPr>
        <w:t>ُ</w:t>
      </w:r>
      <w:r w:rsidRPr="00282AC9">
        <w:rPr>
          <w:rtl/>
        </w:rPr>
        <w:t>ش</w:t>
      </w:r>
      <w:r w:rsidR="002649D2" w:rsidRPr="00282AC9">
        <w:rPr>
          <w:rFonts w:hint="cs"/>
          <w:rtl/>
        </w:rPr>
        <w:t>ْ</w:t>
      </w:r>
      <w:r w:rsidRPr="00282AC9">
        <w:rPr>
          <w:rtl/>
        </w:rPr>
        <w:t>دها العقلي</w:t>
      </w:r>
      <w:r w:rsidR="002649D2" w:rsidRPr="00282AC9">
        <w:rPr>
          <w:rFonts w:hint="cs"/>
          <w:rtl/>
        </w:rPr>
        <w:t>.</w:t>
      </w:r>
    </w:p>
    <w:p w:rsidR="00F901C7" w:rsidRPr="00282AC9" w:rsidRDefault="009C6A22" w:rsidP="00106AA7">
      <w:pPr>
        <w:rPr>
          <w:rtl/>
        </w:rPr>
      </w:pPr>
      <w:r w:rsidRPr="00282AC9">
        <w:rPr>
          <w:rtl/>
        </w:rPr>
        <w:t>وضمن هذا السياق نقل السيّد محسن الحكيم</w:t>
      </w:r>
      <w:r w:rsidR="002649D2" w:rsidRPr="00282AC9">
        <w:rPr>
          <w:rFonts w:hint="cs"/>
          <w:rtl/>
        </w:rPr>
        <w:t>،</w:t>
      </w:r>
      <w:r w:rsidRPr="00282AC9">
        <w:rPr>
          <w:rtl/>
        </w:rPr>
        <w:t xml:space="preserve"> في المستمسك</w:t>
      </w:r>
      <w:r w:rsidR="002649D2" w:rsidRPr="00282AC9">
        <w:rPr>
          <w:rFonts w:hint="cs"/>
          <w:rtl/>
        </w:rPr>
        <w:t>،</w:t>
      </w:r>
      <w:r w:rsidRPr="00282AC9">
        <w:rPr>
          <w:rtl/>
        </w:rPr>
        <w:t xml:space="preserve"> خبر ابن عباس، أنّ جاريةً ب</w:t>
      </w:r>
      <w:r w:rsidR="002649D2" w:rsidRPr="00282AC9">
        <w:rPr>
          <w:rFonts w:hint="cs"/>
          <w:rtl/>
        </w:rPr>
        <w:t>ِ</w:t>
      </w:r>
      <w:r w:rsidRPr="00282AC9">
        <w:rPr>
          <w:rtl/>
        </w:rPr>
        <w:t>ك</w:t>
      </w:r>
      <w:r w:rsidR="002649D2" w:rsidRPr="00282AC9">
        <w:rPr>
          <w:rFonts w:hint="cs"/>
          <w:rtl/>
        </w:rPr>
        <w:t>ْ</w:t>
      </w:r>
      <w:r w:rsidRPr="00282AC9">
        <w:rPr>
          <w:rtl/>
        </w:rPr>
        <w:t>راً جاء</w:t>
      </w:r>
      <w:r w:rsidR="002649D2" w:rsidRPr="00282AC9">
        <w:rPr>
          <w:rFonts w:hint="cs"/>
          <w:rtl/>
        </w:rPr>
        <w:t>َ</w:t>
      </w:r>
      <w:r w:rsidRPr="00282AC9">
        <w:rPr>
          <w:rtl/>
        </w:rPr>
        <w:t>ت</w:t>
      </w:r>
      <w:r w:rsidR="002649D2" w:rsidRPr="00282AC9">
        <w:rPr>
          <w:rFonts w:hint="cs"/>
          <w:rtl/>
        </w:rPr>
        <w:t>ْ</w:t>
      </w:r>
      <w:r w:rsidRPr="00282AC9">
        <w:rPr>
          <w:rtl/>
        </w:rPr>
        <w:t xml:space="preserve"> إلى النبي</w:t>
      </w:r>
      <w:r w:rsidR="002649D2" w:rsidRPr="00282AC9">
        <w:rPr>
          <w:rFonts w:hint="cs"/>
          <w:rtl/>
        </w:rPr>
        <w:t>ّ</w:t>
      </w:r>
      <w:r w:rsidR="009A2A04" w:rsidRPr="00282AC9">
        <w:rPr>
          <w:rFonts w:cs="Mosawi"/>
          <w:sz w:val="22"/>
          <w:szCs w:val="22"/>
          <w:rtl/>
        </w:rPr>
        <w:t>|</w:t>
      </w:r>
      <w:r w:rsidR="002649D2" w:rsidRPr="00282AC9">
        <w:rPr>
          <w:rFonts w:hint="cs"/>
          <w:rtl/>
        </w:rPr>
        <w:t>،</w:t>
      </w:r>
      <w:r w:rsidRPr="00282AC9">
        <w:rPr>
          <w:rtl/>
        </w:rPr>
        <w:t xml:space="preserve"> فقالت: إنّ أبي زوّ</w:t>
      </w:r>
      <w:r w:rsidR="002649D2" w:rsidRPr="00282AC9">
        <w:rPr>
          <w:rFonts w:hint="cs"/>
          <w:rtl/>
        </w:rPr>
        <w:t>َ</w:t>
      </w:r>
      <w:r w:rsidRPr="00282AC9">
        <w:rPr>
          <w:rtl/>
        </w:rPr>
        <w:t>ج</w:t>
      </w:r>
      <w:r w:rsidR="002649D2" w:rsidRPr="00282AC9">
        <w:rPr>
          <w:rFonts w:hint="cs"/>
          <w:rtl/>
        </w:rPr>
        <w:t>َ</w:t>
      </w:r>
      <w:r w:rsidRPr="00282AC9">
        <w:rPr>
          <w:rtl/>
        </w:rPr>
        <w:t>ني من ابن أخ</w:t>
      </w:r>
      <w:r w:rsidR="002649D2" w:rsidRPr="00282AC9">
        <w:rPr>
          <w:rFonts w:hint="cs"/>
          <w:rtl/>
        </w:rPr>
        <w:t>ٍ</w:t>
      </w:r>
      <w:r w:rsidRPr="00282AC9">
        <w:rPr>
          <w:rtl/>
        </w:rPr>
        <w:t xml:space="preserve"> له</w:t>
      </w:r>
      <w:r w:rsidR="002649D2" w:rsidRPr="00282AC9">
        <w:rPr>
          <w:rFonts w:hint="cs"/>
          <w:rtl/>
        </w:rPr>
        <w:t>؛</w:t>
      </w:r>
      <w:r w:rsidRPr="00282AC9">
        <w:rPr>
          <w:rtl/>
        </w:rPr>
        <w:t xml:space="preserve"> ليرفع خسيسته</w:t>
      </w:r>
      <w:r w:rsidR="002649D2" w:rsidRPr="00282AC9">
        <w:rPr>
          <w:rFonts w:hint="cs"/>
          <w:rtl/>
        </w:rPr>
        <w:t>،</w:t>
      </w:r>
      <w:r w:rsidRPr="00282AC9">
        <w:rPr>
          <w:rtl/>
        </w:rPr>
        <w:t xml:space="preserve"> وأنا له كارهة</w:t>
      </w:r>
      <w:r w:rsidR="002649D2" w:rsidRPr="00282AC9">
        <w:rPr>
          <w:rFonts w:hint="cs"/>
          <w:rtl/>
        </w:rPr>
        <w:t>ٌ</w:t>
      </w:r>
      <w:r w:rsidRPr="00282AC9">
        <w:rPr>
          <w:rtl/>
        </w:rPr>
        <w:t>، فقال</w:t>
      </w:r>
      <w:r w:rsidR="009A2A04" w:rsidRPr="00282AC9">
        <w:rPr>
          <w:rFonts w:cs="Mosawi"/>
          <w:sz w:val="22"/>
          <w:szCs w:val="22"/>
          <w:rtl/>
        </w:rPr>
        <w:t>|</w:t>
      </w:r>
      <w:r w:rsidRPr="00282AC9">
        <w:rPr>
          <w:rtl/>
        </w:rPr>
        <w:t xml:space="preserve">: </w:t>
      </w:r>
      <w:r w:rsidRPr="00282AC9">
        <w:rPr>
          <w:sz w:val="24"/>
          <w:szCs w:val="24"/>
          <w:rtl/>
        </w:rPr>
        <w:t>«</w:t>
      </w:r>
      <w:r w:rsidRPr="00282AC9">
        <w:rPr>
          <w:rtl/>
        </w:rPr>
        <w:t>أجيزي ما صنع أبوك</w:t>
      </w:r>
      <w:r w:rsidR="002649D2" w:rsidRPr="00282AC9">
        <w:rPr>
          <w:rFonts w:hint="cs"/>
          <w:rtl/>
        </w:rPr>
        <w:t>ِ</w:t>
      </w:r>
      <w:r w:rsidRPr="00282AC9">
        <w:rPr>
          <w:sz w:val="24"/>
          <w:szCs w:val="24"/>
          <w:rtl/>
        </w:rPr>
        <w:t>»</w:t>
      </w:r>
      <w:r w:rsidRPr="00282AC9">
        <w:rPr>
          <w:rtl/>
        </w:rPr>
        <w:t xml:space="preserve">، فقالت: لا رغبة </w:t>
      </w:r>
      <w:r w:rsidRPr="00282AC9">
        <w:rPr>
          <w:rtl/>
        </w:rPr>
        <w:lastRenderedPageBreak/>
        <w:t>لي في</w:t>
      </w:r>
      <w:r w:rsidR="002649D2" w:rsidRPr="00282AC9">
        <w:rPr>
          <w:rFonts w:hint="cs"/>
          <w:rtl/>
        </w:rPr>
        <w:t xml:space="preserve"> </w:t>
      </w:r>
      <w:r w:rsidRPr="00282AC9">
        <w:rPr>
          <w:rtl/>
        </w:rPr>
        <w:t>ما صنع أبي، قال</w:t>
      </w:r>
      <w:r w:rsidR="009A2A04" w:rsidRPr="00282AC9">
        <w:rPr>
          <w:rFonts w:cs="Mosawi"/>
          <w:sz w:val="22"/>
          <w:szCs w:val="22"/>
          <w:rtl/>
        </w:rPr>
        <w:t>|</w:t>
      </w:r>
      <w:r w:rsidRPr="00282AC9">
        <w:rPr>
          <w:rtl/>
        </w:rPr>
        <w:t xml:space="preserve">: </w:t>
      </w:r>
      <w:r w:rsidRPr="00282AC9">
        <w:rPr>
          <w:sz w:val="24"/>
          <w:szCs w:val="24"/>
          <w:rtl/>
        </w:rPr>
        <w:t>«</w:t>
      </w:r>
      <w:r w:rsidRPr="00282AC9">
        <w:rPr>
          <w:rtl/>
        </w:rPr>
        <w:t>فاذهبي</w:t>
      </w:r>
      <w:r w:rsidR="002649D2" w:rsidRPr="00282AC9">
        <w:rPr>
          <w:rFonts w:hint="cs"/>
          <w:rtl/>
        </w:rPr>
        <w:t>،</w:t>
      </w:r>
      <w:r w:rsidRPr="00282AC9">
        <w:rPr>
          <w:rtl/>
        </w:rPr>
        <w:t xml:space="preserve"> فانكحي م</w:t>
      </w:r>
      <w:r w:rsidR="002649D2" w:rsidRPr="00282AC9">
        <w:rPr>
          <w:rFonts w:hint="cs"/>
          <w:rtl/>
        </w:rPr>
        <w:t>َ</w:t>
      </w:r>
      <w:r w:rsidRPr="00282AC9">
        <w:rPr>
          <w:rtl/>
        </w:rPr>
        <w:t>ن</w:t>
      </w:r>
      <w:r w:rsidR="002649D2" w:rsidRPr="00282AC9">
        <w:rPr>
          <w:rFonts w:hint="cs"/>
          <w:rtl/>
        </w:rPr>
        <w:t>ْ</w:t>
      </w:r>
      <w:r w:rsidRPr="00282AC9">
        <w:rPr>
          <w:rtl/>
        </w:rPr>
        <w:t xml:space="preserve"> ش</w:t>
      </w:r>
      <w:r w:rsidR="002649D2" w:rsidRPr="00282AC9">
        <w:rPr>
          <w:rFonts w:hint="cs"/>
          <w:rtl/>
        </w:rPr>
        <w:t>ِ</w:t>
      </w:r>
      <w:r w:rsidRPr="00282AC9">
        <w:rPr>
          <w:rtl/>
        </w:rPr>
        <w:t>ئ</w:t>
      </w:r>
      <w:r w:rsidR="002649D2" w:rsidRPr="00282AC9">
        <w:rPr>
          <w:rFonts w:hint="cs"/>
          <w:rtl/>
        </w:rPr>
        <w:t>ْ</w:t>
      </w:r>
      <w:r w:rsidRPr="00282AC9">
        <w:rPr>
          <w:rtl/>
        </w:rPr>
        <w:t>تِ</w:t>
      </w:r>
      <w:r w:rsidRPr="00282AC9">
        <w:rPr>
          <w:sz w:val="24"/>
          <w:szCs w:val="24"/>
          <w:rtl/>
        </w:rPr>
        <w:t>»</w:t>
      </w:r>
      <w:r w:rsidRPr="00282AC9">
        <w:rPr>
          <w:vertAlign w:val="superscript"/>
          <w:rtl/>
        </w:rPr>
        <w:t>(</w:t>
      </w:r>
      <w:r w:rsidRPr="00282AC9">
        <w:rPr>
          <w:vertAlign w:val="superscript"/>
          <w:rtl/>
        </w:rPr>
        <w:endnoteReference w:id="213"/>
      </w:r>
      <w:r w:rsidRPr="00282AC9">
        <w:rPr>
          <w:vertAlign w:val="superscript"/>
          <w:rtl/>
        </w:rPr>
        <w:t>)</w:t>
      </w:r>
      <w:r w:rsidR="002649D2" w:rsidRPr="00282AC9">
        <w:rPr>
          <w:rFonts w:hint="cs"/>
          <w:rtl/>
        </w:rPr>
        <w:t>.</w:t>
      </w:r>
    </w:p>
    <w:p w:rsidR="00F901C7" w:rsidRPr="00282AC9" w:rsidRDefault="009C6A22" w:rsidP="00106AA7">
      <w:pPr>
        <w:rPr>
          <w:rtl/>
        </w:rPr>
      </w:pPr>
      <w:r w:rsidRPr="00282AC9">
        <w:rPr>
          <w:rtl/>
        </w:rPr>
        <w:t>وقد ورد هذا الحديث عن ابن ماجة</w:t>
      </w:r>
      <w:r w:rsidRPr="00282AC9">
        <w:rPr>
          <w:vertAlign w:val="superscript"/>
          <w:rtl/>
        </w:rPr>
        <w:t>(</w:t>
      </w:r>
      <w:r w:rsidRPr="00282AC9">
        <w:rPr>
          <w:vertAlign w:val="superscript"/>
          <w:rtl/>
        </w:rPr>
        <w:endnoteReference w:id="214"/>
      </w:r>
      <w:r w:rsidRPr="00282AC9">
        <w:rPr>
          <w:vertAlign w:val="superscript"/>
          <w:rtl/>
        </w:rPr>
        <w:t>)</w:t>
      </w:r>
      <w:r w:rsidR="00F901C7" w:rsidRPr="00282AC9">
        <w:rPr>
          <w:rtl/>
        </w:rPr>
        <w:t>.</w:t>
      </w:r>
    </w:p>
    <w:p w:rsidR="009C6A22" w:rsidRPr="00282AC9" w:rsidRDefault="009C6A22" w:rsidP="00106AA7">
      <w:pPr>
        <w:rPr>
          <w:rtl/>
        </w:rPr>
      </w:pPr>
      <w:r w:rsidRPr="00282AC9">
        <w:rPr>
          <w:rtl/>
        </w:rPr>
        <w:t>وبناءً على هذه الأدل</w:t>
      </w:r>
      <w:r w:rsidR="00F901C7" w:rsidRPr="00282AC9">
        <w:rPr>
          <w:rFonts w:hint="cs"/>
          <w:rtl/>
        </w:rPr>
        <w:t>ّ</w:t>
      </w:r>
      <w:r w:rsidRPr="00282AC9">
        <w:rPr>
          <w:rtl/>
        </w:rPr>
        <w:t>ة وأمثالها ذهب إلى هذا الرأي كثير</w:t>
      </w:r>
      <w:r w:rsidR="00F901C7" w:rsidRPr="00282AC9">
        <w:rPr>
          <w:rFonts w:hint="cs"/>
          <w:rtl/>
        </w:rPr>
        <w:t>ٌ</w:t>
      </w:r>
      <w:r w:rsidRPr="00282AC9">
        <w:rPr>
          <w:rtl/>
        </w:rPr>
        <w:t xml:space="preserve"> من العلماء</w:t>
      </w:r>
      <w:r w:rsidR="00F901C7" w:rsidRPr="00282AC9">
        <w:rPr>
          <w:rFonts w:hint="cs"/>
          <w:rtl/>
        </w:rPr>
        <w:t>،</w:t>
      </w:r>
      <w:r w:rsidRPr="00282AC9">
        <w:rPr>
          <w:rtl/>
        </w:rPr>
        <w:t xml:space="preserve"> المتقدّ</w:t>
      </w:r>
      <w:r w:rsidR="00F901C7" w:rsidRPr="00282AC9">
        <w:rPr>
          <w:rFonts w:hint="cs"/>
          <w:rtl/>
        </w:rPr>
        <w:t>ِ</w:t>
      </w:r>
      <w:r w:rsidRPr="00282AC9">
        <w:rPr>
          <w:rtl/>
        </w:rPr>
        <w:t>مين والمتأخّرين، وأصبح هو الرأي المشهور</w:t>
      </w:r>
      <w:r w:rsidR="00F901C7" w:rsidRPr="00282AC9">
        <w:rPr>
          <w:rFonts w:hint="cs"/>
          <w:rtl/>
        </w:rPr>
        <w:t xml:space="preserve">، </w:t>
      </w:r>
      <w:r w:rsidRPr="00282AC9">
        <w:rPr>
          <w:rtl/>
        </w:rPr>
        <w:t>حت</w:t>
      </w:r>
      <w:r w:rsidR="00F901C7" w:rsidRPr="00282AC9">
        <w:rPr>
          <w:rFonts w:hint="cs"/>
          <w:rtl/>
        </w:rPr>
        <w:t>ّ</w:t>
      </w:r>
      <w:r w:rsidRPr="00282AC9">
        <w:rPr>
          <w:rtl/>
        </w:rPr>
        <w:t xml:space="preserve">ى </w:t>
      </w:r>
      <w:r w:rsidR="00F901C7" w:rsidRPr="00282AC9">
        <w:rPr>
          <w:rFonts w:hint="cs"/>
          <w:rtl/>
        </w:rPr>
        <w:t>أ</w:t>
      </w:r>
      <w:r w:rsidRPr="00282AC9">
        <w:rPr>
          <w:rtl/>
        </w:rPr>
        <w:t>نّ بعض الفقهاء ادّعى الإجماع على هذا الرأي</w:t>
      </w:r>
      <w:r w:rsidR="00F901C7" w:rsidRPr="00282AC9">
        <w:rPr>
          <w:rFonts w:hint="cs"/>
          <w:rtl/>
        </w:rPr>
        <w:t>،</w:t>
      </w:r>
      <w:r w:rsidRPr="00282AC9">
        <w:rPr>
          <w:rtl/>
        </w:rPr>
        <w:t xml:space="preserve"> كما عند السيّد المرتضى، وصاحب الجواهر، والشهيدين في </w:t>
      </w:r>
      <w:r w:rsidR="006D28AF" w:rsidRPr="00282AC9">
        <w:rPr>
          <w:rtl/>
        </w:rPr>
        <w:t>الل</w:t>
      </w:r>
      <w:r w:rsidRPr="00282AC9">
        <w:rPr>
          <w:rtl/>
        </w:rPr>
        <w:t>معة</w:t>
      </w:r>
      <w:r w:rsidR="00F901C7" w:rsidRPr="00282AC9">
        <w:rPr>
          <w:rFonts w:hint="cs"/>
          <w:rtl/>
        </w:rPr>
        <w:t xml:space="preserve"> والروضة،</w:t>
      </w:r>
      <w:r w:rsidRPr="00282AC9">
        <w:rPr>
          <w:rtl/>
        </w:rPr>
        <w:t xml:space="preserve"> ومال إلى هذا الرأي السيّد الشيرازي في بحثه الاستدلالي</w:t>
      </w:r>
      <w:r w:rsidR="00F901C7" w:rsidRPr="00282AC9">
        <w:rPr>
          <w:rFonts w:hint="cs"/>
          <w:rtl/>
        </w:rPr>
        <w:t>ّ</w:t>
      </w:r>
      <w:r w:rsidRPr="00282AC9">
        <w:rPr>
          <w:rtl/>
        </w:rPr>
        <w:t xml:space="preserve">، حيث قال: </w:t>
      </w:r>
      <w:r w:rsidRPr="00282AC9">
        <w:rPr>
          <w:sz w:val="24"/>
          <w:szCs w:val="24"/>
          <w:rtl/>
        </w:rPr>
        <w:t>«</w:t>
      </w:r>
      <w:r w:rsidRPr="00282AC9">
        <w:rPr>
          <w:rtl/>
        </w:rPr>
        <w:t>والأقرب في النظر أنّ الولاية بيدها وحدها</w:t>
      </w:r>
      <w:r w:rsidR="00F901C7" w:rsidRPr="00282AC9">
        <w:rPr>
          <w:rFonts w:hint="cs"/>
          <w:rtl/>
        </w:rPr>
        <w:t>؛</w:t>
      </w:r>
      <w:r w:rsidRPr="00282AC9">
        <w:rPr>
          <w:rtl/>
        </w:rPr>
        <w:t xml:space="preserve"> للأدلة التي تقدّ</w:t>
      </w:r>
      <w:r w:rsidR="00F901C7" w:rsidRPr="00282AC9">
        <w:rPr>
          <w:rFonts w:hint="cs"/>
          <w:rtl/>
        </w:rPr>
        <w:t>َ</w:t>
      </w:r>
      <w:r w:rsidRPr="00282AC9">
        <w:rPr>
          <w:rtl/>
        </w:rPr>
        <w:t>م</w:t>
      </w:r>
      <w:r w:rsidR="00F901C7" w:rsidRPr="00282AC9">
        <w:rPr>
          <w:rFonts w:hint="cs"/>
          <w:rtl/>
        </w:rPr>
        <w:t>َ</w:t>
      </w:r>
      <w:r w:rsidRPr="00282AC9">
        <w:rPr>
          <w:rtl/>
        </w:rPr>
        <w:t>ت</w:t>
      </w:r>
      <w:r w:rsidR="00F901C7" w:rsidRPr="00282AC9">
        <w:rPr>
          <w:rFonts w:hint="cs"/>
          <w:rtl/>
        </w:rPr>
        <w:t>ْ.</w:t>
      </w:r>
      <w:r w:rsidRPr="00282AC9">
        <w:rPr>
          <w:rtl/>
        </w:rPr>
        <w:t xml:space="preserve"> ولا تقاومها سائر الأدلة</w:t>
      </w:r>
      <w:r w:rsidR="00F901C7" w:rsidRPr="00282AC9">
        <w:rPr>
          <w:rFonts w:hint="cs"/>
          <w:rtl/>
        </w:rPr>
        <w:t>؛</w:t>
      </w:r>
      <w:r w:rsidRPr="00282AC9">
        <w:rPr>
          <w:rtl/>
        </w:rPr>
        <w:t xml:space="preserve"> إذ إنّ أدلة سائر الأقوال، بالإضافة إلى منافاتها للأدلّة العام</w:t>
      </w:r>
      <w:r w:rsidR="00F901C7" w:rsidRPr="00282AC9">
        <w:rPr>
          <w:rFonts w:hint="cs"/>
          <w:rtl/>
        </w:rPr>
        <w:t>ّ</w:t>
      </w:r>
      <w:r w:rsidRPr="00282AC9">
        <w:rPr>
          <w:rtl/>
        </w:rPr>
        <w:t>ة، مثل</w:t>
      </w:r>
      <w:r w:rsidR="00F901C7" w:rsidRPr="00282AC9">
        <w:rPr>
          <w:rFonts w:hint="cs"/>
          <w:rtl/>
        </w:rPr>
        <w:t>:</w:t>
      </w:r>
      <w:r w:rsidRPr="00282AC9">
        <w:rPr>
          <w:rtl/>
        </w:rPr>
        <w:t xml:space="preserve"> </w:t>
      </w:r>
      <w:r w:rsidRPr="00282AC9">
        <w:rPr>
          <w:sz w:val="24"/>
          <w:szCs w:val="24"/>
          <w:rtl/>
        </w:rPr>
        <w:t>«</w:t>
      </w:r>
      <w:r w:rsidRPr="00282AC9">
        <w:rPr>
          <w:rtl/>
        </w:rPr>
        <w:t>الناس مسلّ</w:t>
      </w:r>
      <w:r w:rsidR="00F901C7" w:rsidRPr="00282AC9">
        <w:rPr>
          <w:rFonts w:hint="cs"/>
          <w:rtl/>
        </w:rPr>
        <w:t>َ</w:t>
      </w:r>
      <w:r w:rsidRPr="00282AC9">
        <w:rPr>
          <w:rtl/>
        </w:rPr>
        <w:t>طون</w:t>
      </w:r>
      <w:r w:rsidRPr="00282AC9">
        <w:rPr>
          <w:sz w:val="24"/>
          <w:szCs w:val="24"/>
          <w:rtl/>
        </w:rPr>
        <w:t>»</w:t>
      </w:r>
      <w:r w:rsidRPr="00282AC9">
        <w:rPr>
          <w:rtl/>
        </w:rPr>
        <w:t xml:space="preserve"> ونحوه، </w:t>
      </w:r>
      <w:r w:rsidR="00674EF5" w:rsidRPr="00282AC9">
        <w:rPr>
          <w:rtl/>
        </w:rPr>
        <w:t>لا بُدَّ</w:t>
      </w:r>
      <w:r w:rsidRPr="00282AC9">
        <w:rPr>
          <w:rtl/>
        </w:rPr>
        <w:t xml:space="preserve"> أن ت</w:t>
      </w:r>
      <w:r w:rsidR="00F901C7" w:rsidRPr="00282AC9">
        <w:rPr>
          <w:rFonts w:hint="cs"/>
          <w:rtl/>
        </w:rPr>
        <w:t>ُ</w:t>
      </w:r>
      <w:r w:rsidRPr="00282AC9">
        <w:rPr>
          <w:rtl/>
        </w:rPr>
        <w:t>ح</w:t>
      </w:r>
      <w:r w:rsidR="00F901C7" w:rsidRPr="00282AC9">
        <w:rPr>
          <w:rFonts w:hint="cs"/>
          <w:rtl/>
        </w:rPr>
        <w:t>ْ</w:t>
      </w:r>
      <w:r w:rsidRPr="00282AC9">
        <w:rPr>
          <w:rtl/>
        </w:rPr>
        <w:t>م</w:t>
      </w:r>
      <w:r w:rsidR="00F901C7" w:rsidRPr="00282AC9">
        <w:rPr>
          <w:rFonts w:hint="cs"/>
          <w:rtl/>
        </w:rPr>
        <w:t>َ</w:t>
      </w:r>
      <w:r w:rsidRPr="00282AC9">
        <w:rPr>
          <w:rtl/>
        </w:rPr>
        <w:t>ل على نوع</w:t>
      </w:r>
      <w:r w:rsidR="00F901C7" w:rsidRPr="00282AC9">
        <w:rPr>
          <w:rFonts w:hint="cs"/>
          <w:rtl/>
        </w:rPr>
        <w:t>ٍ</w:t>
      </w:r>
      <w:r w:rsidRPr="00282AC9">
        <w:rPr>
          <w:rtl/>
        </w:rPr>
        <w:t xml:space="preserve"> من الأدب</w:t>
      </w:r>
      <w:r w:rsidRPr="00282AC9">
        <w:rPr>
          <w:sz w:val="24"/>
          <w:szCs w:val="24"/>
          <w:rtl/>
        </w:rPr>
        <w:t>»</w:t>
      </w:r>
      <w:r w:rsidRPr="00282AC9">
        <w:rPr>
          <w:vertAlign w:val="superscript"/>
          <w:rtl/>
        </w:rPr>
        <w:t>(</w:t>
      </w:r>
      <w:r w:rsidRPr="00282AC9">
        <w:rPr>
          <w:vertAlign w:val="superscript"/>
          <w:rtl/>
        </w:rPr>
        <w:endnoteReference w:id="215"/>
      </w:r>
      <w:r w:rsidRPr="00282AC9">
        <w:rPr>
          <w:vertAlign w:val="superscript"/>
          <w:rtl/>
        </w:rPr>
        <w:t>)</w:t>
      </w:r>
      <w:r w:rsidR="00F901C7" w:rsidRPr="00282AC9">
        <w:rPr>
          <w:rFonts w:hint="cs"/>
          <w:rtl/>
        </w:rPr>
        <w:t>.</w:t>
      </w:r>
      <w:r w:rsidRPr="00282AC9">
        <w:rPr>
          <w:rtl/>
        </w:rPr>
        <w:t xml:space="preserve"> فهو يرى في بحثه الاستدلالي</w:t>
      </w:r>
      <w:r w:rsidR="00F901C7" w:rsidRPr="00282AC9">
        <w:rPr>
          <w:rFonts w:hint="cs"/>
          <w:rtl/>
        </w:rPr>
        <w:t>ّ</w:t>
      </w:r>
      <w:r w:rsidRPr="00282AC9">
        <w:rPr>
          <w:rtl/>
        </w:rPr>
        <w:t xml:space="preserve"> أنّ أخذ المرأة الإذن من ولي</w:t>
      </w:r>
      <w:r w:rsidR="00F901C7" w:rsidRPr="00282AC9">
        <w:rPr>
          <w:rFonts w:hint="cs"/>
          <w:rtl/>
        </w:rPr>
        <w:t>ّ</w:t>
      </w:r>
      <w:r w:rsidRPr="00282AC9">
        <w:rPr>
          <w:rtl/>
        </w:rPr>
        <w:t>ها في الزواج يأتي من باب التأدّ</w:t>
      </w:r>
      <w:r w:rsidR="00F901C7" w:rsidRPr="00282AC9">
        <w:rPr>
          <w:rFonts w:hint="cs"/>
          <w:rtl/>
        </w:rPr>
        <w:t>ُ</w:t>
      </w:r>
      <w:r w:rsidRPr="00282AC9">
        <w:rPr>
          <w:rtl/>
        </w:rPr>
        <w:t>ب وح</w:t>
      </w:r>
      <w:r w:rsidR="00F901C7" w:rsidRPr="00282AC9">
        <w:rPr>
          <w:rFonts w:hint="cs"/>
          <w:rtl/>
        </w:rPr>
        <w:t>َ</w:t>
      </w:r>
      <w:r w:rsidRPr="00282AC9">
        <w:rPr>
          <w:rtl/>
        </w:rPr>
        <w:t>س</w:t>
      </w:r>
      <w:r w:rsidR="00F901C7" w:rsidRPr="00282AC9">
        <w:rPr>
          <w:rFonts w:hint="cs"/>
          <w:rtl/>
        </w:rPr>
        <w:t>ْ</w:t>
      </w:r>
      <w:r w:rsidRPr="00282AC9">
        <w:rPr>
          <w:rtl/>
        </w:rPr>
        <w:t>ب، وإنْ قال في فتاواه العملي</w:t>
      </w:r>
      <w:r w:rsidR="00F901C7" w:rsidRPr="00282AC9">
        <w:rPr>
          <w:rFonts w:hint="cs"/>
          <w:rtl/>
        </w:rPr>
        <w:t>ّ</w:t>
      </w:r>
      <w:r w:rsidRPr="00282AC9">
        <w:rPr>
          <w:rtl/>
        </w:rPr>
        <w:t xml:space="preserve">ة بالاحتياط. </w:t>
      </w:r>
    </w:p>
    <w:p w:rsidR="00F901C7" w:rsidRPr="00282AC9" w:rsidRDefault="00F901C7" w:rsidP="00A716AC">
      <w:pPr>
        <w:spacing w:line="420" w:lineRule="exact"/>
        <w:rPr>
          <w:rtl/>
        </w:rPr>
      </w:pPr>
    </w:p>
    <w:p w:rsidR="00F901C7" w:rsidRPr="00282AC9" w:rsidRDefault="00F901C7" w:rsidP="00F901C7">
      <w:pPr>
        <w:pStyle w:val="31"/>
        <w:rPr>
          <w:color w:val="auto"/>
          <w:rtl/>
        </w:rPr>
      </w:pPr>
      <w:r w:rsidRPr="00282AC9">
        <w:rPr>
          <w:rFonts w:hint="cs"/>
          <w:color w:val="auto"/>
          <w:rtl/>
        </w:rPr>
        <w:t>3ـ الأمر إليهما معاً</w:t>
      </w:r>
    </w:p>
    <w:p w:rsidR="009C6A22" w:rsidRPr="00282AC9" w:rsidRDefault="009C6A22" w:rsidP="00106AA7">
      <w:pPr>
        <w:rPr>
          <w:rtl/>
        </w:rPr>
      </w:pPr>
      <w:r w:rsidRPr="00282AC9">
        <w:rPr>
          <w:rtl/>
        </w:rPr>
        <w:t>وذهب فريق</w:t>
      </w:r>
      <w:r w:rsidR="00F901C7" w:rsidRPr="00282AC9">
        <w:rPr>
          <w:rFonts w:hint="cs"/>
          <w:rtl/>
        </w:rPr>
        <w:t>ٌ</w:t>
      </w:r>
      <w:r w:rsidRPr="00282AC9">
        <w:rPr>
          <w:rtl/>
        </w:rPr>
        <w:t xml:space="preserve"> ثالث من الفقهاء إلى الج</w:t>
      </w:r>
      <w:r w:rsidR="00F901C7" w:rsidRPr="00282AC9">
        <w:rPr>
          <w:rFonts w:hint="cs"/>
          <w:rtl/>
        </w:rPr>
        <w:t>َ</w:t>
      </w:r>
      <w:r w:rsidRPr="00282AC9">
        <w:rPr>
          <w:rtl/>
        </w:rPr>
        <w:t>م</w:t>
      </w:r>
      <w:r w:rsidR="00F901C7" w:rsidRPr="00282AC9">
        <w:rPr>
          <w:rFonts w:hint="cs"/>
          <w:rtl/>
        </w:rPr>
        <w:t>ْ</w:t>
      </w:r>
      <w:r w:rsidRPr="00282AC9">
        <w:rPr>
          <w:rtl/>
        </w:rPr>
        <w:t>ع بين الأمرين، على نحو</w:t>
      </w:r>
      <w:r w:rsidR="00F901C7" w:rsidRPr="00282AC9">
        <w:rPr>
          <w:rFonts w:hint="cs"/>
          <w:rtl/>
        </w:rPr>
        <w:t>ٍ</w:t>
      </w:r>
      <w:r w:rsidRPr="00282AC9">
        <w:rPr>
          <w:rtl/>
        </w:rPr>
        <w:t xml:space="preserve"> يفضي إلى الاشتراك</w:t>
      </w:r>
      <w:r w:rsidR="007A251F" w:rsidRPr="00282AC9">
        <w:rPr>
          <w:rFonts w:hint="cs"/>
          <w:rtl/>
        </w:rPr>
        <w:t>،</w:t>
      </w:r>
      <w:r w:rsidRPr="00282AC9">
        <w:rPr>
          <w:rtl/>
        </w:rPr>
        <w:t xml:space="preserve"> في اتّخاذ قرار التزويج، بين موافقة الولي</w:t>
      </w:r>
      <w:r w:rsidR="007A251F" w:rsidRPr="00282AC9">
        <w:rPr>
          <w:rFonts w:hint="cs"/>
          <w:rtl/>
        </w:rPr>
        <w:t>ّ</w:t>
      </w:r>
      <w:r w:rsidRPr="00282AC9">
        <w:rPr>
          <w:rtl/>
        </w:rPr>
        <w:t xml:space="preserve"> ورضا البنت</w:t>
      </w:r>
      <w:r w:rsidR="007A251F" w:rsidRPr="00282AC9">
        <w:rPr>
          <w:rFonts w:hint="cs"/>
          <w:rtl/>
        </w:rPr>
        <w:t>،</w:t>
      </w:r>
      <w:r w:rsidRPr="00282AC9">
        <w:rPr>
          <w:rtl/>
        </w:rPr>
        <w:t xml:space="preserve"> على حدٍّ سواء. وبهذا يشترط في صحة التزويج إحراز موافقة المرأة ووليّها، فإن</w:t>
      </w:r>
      <w:r w:rsidR="007A251F" w:rsidRPr="00282AC9">
        <w:rPr>
          <w:rFonts w:hint="cs"/>
          <w:rtl/>
        </w:rPr>
        <w:t>ْ</w:t>
      </w:r>
      <w:r w:rsidRPr="00282AC9">
        <w:rPr>
          <w:rtl/>
        </w:rPr>
        <w:t xml:space="preserve"> تم</w:t>
      </w:r>
      <w:r w:rsidR="007A251F" w:rsidRPr="00282AC9">
        <w:rPr>
          <w:rFonts w:hint="cs"/>
          <w:rtl/>
        </w:rPr>
        <w:t>ّ</w:t>
      </w:r>
      <w:r w:rsidRPr="00282AC9">
        <w:rPr>
          <w:rtl/>
        </w:rPr>
        <w:t xml:space="preserve"> إحراز موافقة أحدهما دون الآخر فلا يصحّ الزواج. </w:t>
      </w:r>
    </w:p>
    <w:p w:rsidR="00B37544" w:rsidRPr="00282AC9" w:rsidRDefault="00B37544" w:rsidP="00A716AC">
      <w:pPr>
        <w:spacing w:line="430" w:lineRule="exact"/>
        <w:rPr>
          <w:rtl/>
        </w:rPr>
      </w:pPr>
    </w:p>
    <w:p w:rsidR="009C6A22" w:rsidRPr="00282AC9" w:rsidRDefault="009C6A22" w:rsidP="00B37544">
      <w:pPr>
        <w:pStyle w:val="31"/>
        <w:rPr>
          <w:color w:val="auto"/>
          <w:lang w:bidi="ar-YE"/>
        </w:rPr>
      </w:pPr>
      <w:r w:rsidRPr="00282AC9">
        <w:rPr>
          <w:color w:val="auto"/>
          <w:rtl/>
          <w:lang w:bidi="ar-YE"/>
        </w:rPr>
        <w:t>تطو</w:t>
      </w:r>
      <w:r w:rsidR="007A251F" w:rsidRPr="00282AC9">
        <w:rPr>
          <w:rFonts w:hint="cs"/>
          <w:color w:val="auto"/>
          <w:rtl/>
          <w:lang w:bidi="ar-YE"/>
        </w:rPr>
        <w:t>ُّ</w:t>
      </w:r>
      <w:r w:rsidRPr="00282AC9">
        <w:rPr>
          <w:color w:val="auto"/>
          <w:rtl/>
          <w:lang w:bidi="ar-YE"/>
        </w:rPr>
        <w:t>ر</w:t>
      </w:r>
      <w:r w:rsidRPr="00282AC9">
        <w:rPr>
          <w:color w:val="auto"/>
          <w:lang w:bidi="ar-YE"/>
        </w:rPr>
        <w:t xml:space="preserve"> </w:t>
      </w:r>
      <w:r w:rsidRPr="00282AC9">
        <w:rPr>
          <w:color w:val="auto"/>
          <w:rtl/>
          <w:lang w:bidi="ar-YE"/>
        </w:rPr>
        <w:t>العصر</w:t>
      </w:r>
      <w:r w:rsidRPr="00282AC9">
        <w:rPr>
          <w:color w:val="auto"/>
          <w:lang w:bidi="ar-YE"/>
        </w:rPr>
        <w:t xml:space="preserve"> </w:t>
      </w:r>
      <w:r w:rsidRPr="00282AC9">
        <w:rPr>
          <w:color w:val="auto"/>
          <w:rtl/>
          <w:lang w:bidi="ar-YE"/>
        </w:rPr>
        <w:t>و</w:t>
      </w:r>
      <w:r w:rsidR="00ED351D" w:rsidRPr="00282AC9">
        <w:rPr>
          <w:rFonts w:hint="cs"/>
          <w:color w:val="auto"/>
          <w:rtl/>
          <w:lang w:bidi="ar-YE"/>
        </w:rPr>
        <w:t xml:space="preserve">تغيُّر </w:t>
      </w:r>
      <w:r w:rsidRPr="00282AC9">
        <w:rPr>
          <w:color w:val="auto"/>
          <w:rtl/>
          <w:lang w:bidi="ar-YE"/>
        </w:rPr>
        <w:t>ظروف</w:t>
      </w:r>
      <w:r w:rsidRPr="00282AC9">
        <w:rPr>
          <w:color w:val="auto"/>
          <w:lang w:bidi="ar-YE"/>
        </w:rPr>
        <w:t xml:space="preserve"> </w:t>
      </w:r>
      <w:r w:rsidRPr="00282AC9">
        <w:rPr>
          <w:color w:val="auto"/>
          <w:rtl/>
          <w:lang w:bidi="ar-YE"/>
        </w:rPr>
        <w:t>الحياة</w:t>
      </w:r>
    </w:p>
    <w:p w:rsidR="009C6A22" w:rsidRPr="00282AC9" w:rsidRDefault="009C6A22" w:rsidP="00106AA7">
      <w:pPr>
        <w:rPr>
          <w:rtl/>
        </w:rPr>
      </w:pPr>
      <w:r w:rsidRPr="00282AC9">
        <w:rPr>
          <w:rtl/>
        </w:rPr>
        <w:t>لقد كان هذا الج</w:t>
      </w:r>
      <w:r w:rsidR="007A251F" w:rsidRPr="00282AC9">
        <w:rPr>
          <w:rFonts w:hint="cs"/>
          <w:rtl/>
        </w:rPr>
        <w:t>َ</w:t>
      </w:r>
      <w:r w:rsidRPr="00282AC9">
        <w:rPr>
          <w:rtl/>
        </w:rPr>
        <w:t>د</w:t>
      </w:r>
      <w:r w:rsidR="007A251F" w:rsidRPr="00282AC9">
        <w:rPr>
          <w:rFonts w:hint="cs"/>
          <w:rtl/>
        </w:rPr>
        <w:t>َ</w:t>
      </w:r>
      <w:r w:rsidRPr="00282AC9">
        <w:rPr>
          <w:rtl/>
        </w:rPr>
        <w:t>ل الفقهي سيّد الموقف في أوقات</w:t>
      </w:r>
      <w:r w:rsidR="007A251F" w:rsidRPr="00282AC9">
        <w:rPr>
          <w:rFonts w:hint="cs"/>
          <w:rtl/>
        </w:rPr>
        <w:t>ٍ</w:t>
      </w:r>
      <w:r w:rsidRPr="00282AC9">
        <w:rPr>
          <w:rtl/>
        </w:rPr>
        <w:t xml:space="preserve"> سالفة، في حين بات الناس يعيشون اليوم في عصر</w:t>
      </w:r>
      <w:r w:rsidR="007A251F" w:rsidRPr="00282AC9">
        <w:rPr>
          <w:rFonts w:hint="cs"/>
          <w:rtl/>
        </w:rPr>
        <w:t>ٍ</w:t>
      </w:r>
      <w:r w:rsidRPr="00282AC9">
        <w:rPr>
          <w:rtl/>
        </w:rPr>
        <w:t xml:space="preserve"> مختلف تماماً. فقد انتزع البشر في العصر الراهن ح</w:t>
      </w:r>
      <w:r w:rsidR="007A251F" w:rsidRPr="00282AC9">
        <w:rPr>
          <w:rFonts w:hint="cs"/>
          <w:rtl/>
        </w:rPr>
        <w:t>ُ</w:t>
      </w:r>
      <w:r w:rsidRPr="00282AC9">
        <w:rPr>
          <w:rtl/>
        </w:rPr>
        <w:t>ر</w:t>
      </w:r>
      <w:r w:rsidR="007A251F" w:rsidRPr="00282AC9">
        <w:rPr>
          <w:rFonts w:hint="cs"/>
          <w:rtl/>
        </w:rPr>
        <w:t>ِّ</w:t>
      </w:r>
      <w:r w:rsidRPr="00282AC9">
        <w:rPr>
          <w:rtl/>
        </w:rPr>
        <w:t>ياتهم، وبات الإنسان، رجلاً أو امرأة، أحرص ما يكون على انتزاع حقّ</w:t>
      </w:r>
      <w:r w:rsidR="007A251F" w:rsidRPr="00282AC9">
        <w:rPr>
          <w:rFonts w:hint="cs"/>
          <w:rtl/>
        </w:rPr>
        <w:t>ِ</w:t>
      </w:r>
      <w:r w:rsidRPr="00282AC9">
        <w:rPr>
          <w:rtl/>
        </w:rPr>
        <w:t>ه في ات</w:t>
      </w:r>
      <w:r w:rsidR="007A251F" w:rsidRPr="00282AC9">
        <w:rPr>
          <w:rFonts w:hint="cs"/>
          <w:rtl/>
        </w:rPr>
        <w:t>ّ</w:t>
      </w:r>
      <w:r w:rsidRPr="00282AC9">
        <w:rPr>
          <w:rtl/>
        </w:rPr>
        <w:t>خاذ القرارات التي تحدّ</w:t>
      </w:r>
      <w:r w:rsidR="007A251F" w:rsidRPr="00282AC9">
        <w:rPr>
          <w:rFonts w:hint="cs"/>
          <w:rtl/>
        </w:rPr>
        <w:t>ِ</w:t>
      </w:r>
      <w:r w:rsidRPr="00282AC9">
        <w:rPr>
          <w:rtl/>
        </w:rPr>
        <w:t>د مصيره</w:t>
      </w:r>
      <w:r w:rsidR="007A251F" w:rsidRPr="00282AC9">
        <w:rPr>
          <w:rFonts w:hint="cs"/>
          <w:rtl/>
        </w:rPr>
        <w:t>.</w:t>
      </w:r>
      <w:r w:rsidRPr="00282AC9">
        <w:rPr>
          <w:rtl/>
        </w:rPr>
        <w:t xml:space="preserve"> وساهم</w:t>
      </w:r>
      <w:r w:rsidR="007A251F" w:rsidRPr="00282AC9">
        <w:rPr>
          <w:rFonts w:hint="cs"/>
          <w:rtl/>
        </w:rPr>
        <w:t>َ</w:t>
      </w:r>
      <w:r w:rsidRPr="00282AC9">
        <w:rPr>
          <w:rtl/>
        </w:rPr>
        <w:t>ت</w:t>
      </w:r>
      <w:r w:rsidR="007A251F" w:rsidRPr="00282AC9">
        <w:rPr>
          <w:rFonts w:hint="cs"/>
          <w:rtl/>
        </w:rPr>
        <w:t>ْ</w:t>
      </w:r>
      <w:r w:rsidRPr="00282AC9">
        <w:rPr>
          <w:rtl/>
        </w:rPr>
        <w:t xml:space="preserve"> في ذلك المواثيق الدولية لحقوق الإنسان، التي جاءت مؤكّ</w:t>
      </w:r>
      <w:r w:rsidR="007A251F" w:rsidRPr="00282AC9">
        <w:rPr>
          <w:rFonts w:hint="cs"/>
          <w:rtl/>
        </w:rPr>
        <w:t>ِ</w:t>
      </w:r>
      <w:r w:rsidRPr="00282AC9">
        <w:rPr>
          <w:rtl/>
        </w:rPr>
        <w:t>دة</w:t>
      </w:r>
      <w:r w:rsidR="007A251F" w:rsidRPr="00282AC9">
        <w:rPr>
          <w:rFonts w:hint="cs"/>
          <w:rtl/>
        </w:rPr>
        <w:t>ً</w:t>
      </w:r>
      <w:r w:rsidRPr="00282AC9">
        <w:rPr>
          <w:rtl/>
        </w:rPr>
        <w:t xml:space="preserve"> على الحقوق الفردي</w:t>
      </w:r>
      <w:r w:rsidR="007A251F" w:rsidRPr="00282AC9">
        <w:rPr>
          <w:rFonts w:hint="cs"/>
          <w:rtl/>
        </w:rPr>
        <w:t>ّ</w:t>
      </w:r>
      <w:r w:rsidRPr="00282AC9">
        <w:rPr>
          <w:rtl/>
        </w:rPr>
        <w:t>ة. فإذا كانت هذه س</w:t>
      </w:r>
      <w:r w:rsidR="007A251F" w:rsidRPr="00282AC9">
        <w:rPr>
          <w:rFonts w:hint="cs"/>
          <w:rtl/>
        </w:rPr>
        <w:t>ِ</w:t>
      </w:r>
      <w:r w:rsidRPr="00282AC9">
        <w:rPr>
          <w:rtl/>
        </w:rPr>
        <w:t>م</w:t>
      </w:r>
      <w:r w:rsidR="007A251F" w:rsidRPr="00282AC9">
        <w:rPr>
          <w:rFonts w:hint="cs"/>
          <w:rtl/>
        </w:rPr>
        <w:t>َ</w:t>
      </w:r>
      <w:r w:rsidRPr="00282AC9">
        <w:rPr>
          <w:rtl/>
        </w:rPr>
        <w:t>ات العصر الراهن الذي يعيشه الناس فمن الصعوبة بمكان</w:t>
      </w:r>
      <w:r w:rsidR="007A251F" w:rsidRPr="00282AC9">
        <w:rPr>
          <w:rFonts w:hint="cs"/>
          <w:rtl/>
        </w:rPr>
        <w:t>ٍ</w:t>
      </w:r>
      <w:r w:rsidRPr="00282AC9">
        <w:rPr>
          <w:rtl/>
        </w:rPr>
        <w:t xml:space="preserve"> أن نطب</w:t>
      </w:r>
      <w:r w:rsidR="007A251F" w:rsidRPr="00282AC9">
        <w:rPr>
          <w:rFonts w:hint="cs"/>
          <w:rtl/>
        </w:rPr>
        <w:t>ِّ</w:t>
      </w:r>
      <w:r w:rsidRPr="00282AC9">
        <w:rPr>
          <w:rtl/>
        </w:rPr>
        <w:t>ق رأياً فقهيّاً ينتزع حقّ الفتاة في إبداء رأيها في أهمّ شأن</w:t>
      </w:r>
      <w:r w:rsidR="007A251F" w:rsidRPr="00282AC9">
        <w:rPr>
          <w:rFonts w:hint="cs"/>
          <w:rtl/>
        </w:rPr>
        <w:t>ٍ</w:t>
      </w:r>
      <w:r w:rsidRPr="00282AC9">
        <w:rPr>
          <w:rtl/>
        </w:rPr>
        <w:t xml:space="preserve"> من شؤونها</w:t>
      </w:r>
      <w:r w:rsidR="007A251F" w:rsidRPr="00282AC9">
        <w:rPr>
          <w:rFonts w:hint="cs"/>
          <w:rtl/>
        </w:rPr>
        <w:t xml:space="preserve">، </w:t>
      </w:r>
      <w:r w:rsidRPr="00282AC9">
        <w:rPr>
          <w:rtl/>
        </w:rPr>
        <w:t>وهو الزواج، وترك ذلك الحقّ لوالدها أو وليّ</w:t>
      </w:r>
      <w:r w:rsidR="007A251F" w:rsidRPr="00282AC9">
        <w:rPr>
          <w:rFonts w:hint="cs"/>
          <w:rtl/>
        </w:rPr>
        <w:t>ِ</w:t>
      </w:r>
      <w:r w:rsidRPr="00282AC9">
        <w:rPr>
          <w:rtl/>
        </w:rPr>
        <w:t xml:space="preserve">ها، أو أن تواجه الفتاة بـ </w:t>
      </w:r>
      <w:r w:rsidRPr="00282AC9">
        <w:rPr>
          <w:sz w:val="24"/>
          <w:szCs w:val="24"/>
          <w:rtl/>
        </w:rPr>
        <w:lastRenderedPageBreak/>
        <w:t>«</w:t>
      </w:r>
      <w:r w:rsidRPr="00282AC9">
        <w:rPr>
          <w:rtl/>
        </w:rPr>
        <w:t>فيتو</w:t>
      </w:r>
      <w:r w:rsidRPr="00282AC9">
        <w:rPr>
          <w:sz w:val="24"/>
          <w:szCs w:val="24"/>
          <w:rtl/>
        </w:rPr>
        <w:t>»</w:t>
      </w:r>
      <w:r w:rsidRPr="00282AC9">
        <w:rPr>
          <w:rtl/>
        </w:rPr>
        <w:t xml:space="preserve"> من وليّ</w:t>
      </w:r>
      <w:r w:rsidR="007A251F" w:rsidRPr="00282AC9">
        <w:rPr>
          <w:rFonts w:hint="cs"/>
          <w:rtl/>
        </w:rPr>
        <w:t>ِ</w:t>
      </w:r>
      <w:r w:rsidRPr="00282AC9">
        <w:rPr>
          <w:rtl/>
        </w:rPr>
        <w:t>ها يمنعها من الزواج بم</w:t>
      </w:r>
      <w:r w:rsidR="007A251F" w:rsidRPr="00282AC9">
        <w:rPr>
          <w:rFonts w:hint="cs"/>
          <w:rtl/>
        </w:rPr>
        <w:t>َ</w:t>
      </w:r>
      <w:r w:rsidRPr="00282AC9">
        <w:rPr>
          <w:rtl/>
        </w:rPr>
        <w:t>ن</w:t>
      </w:r>
      <w:r w:rsidR="007A251F" w:rsidRPr="00282AC9">
        <w:rPr>
          <w:rFonts w:hint="cs"/>
          <w:rtl/>
        </w:rPr>
        <w:t>ْ</w:t>
      </w:r>
      <w:r w:rsidRPr="00282AC9">
        <w:rPr>
          <w:rtl/>
        </w:rPr>
        <w:t xml:space="preserve"> تختاره، مع ما يترت</w:t>
      </w:r>
      <w:r w:rsidR="007A251F" w:rsidRPr="00282AC9">
        <w:rPr>
          <w:rFonts w:hint="cs"/>
          <w:rtl/>
        </w:rPr>
        <w:t>َّ</w:t>
      </w:r>
      <w:r w:rsidRPr="00282AC9">
        <w:rPr>
          <w:rtl/>
        </w:rPr>
        <w:t xml:space="preserve">ب على ذلك من عواقب وتداعيات. </w:t>
      </w:r>
    </w:p>
    <w:p w:rsidR="00F44F55" w:rsidRPr="00282AC9" w:rsidRDefault="009C6A22" w:rsidP="00106AA7">
      <w:pPr>
        <w:rPr>
          <w:rtl/>
        </w:rPr>
      </w:pPr>
      <w:r w:rsidRPr="00282AC9">
        <w:rPr>
          <w:rtl/>
        </w:rPr>
        <w:t>وإضافة</w:t>
      </w:r>
      <w:r w:rsidR="007A251F" w:rsidRPr="00282AC9">
        <w:rPr>
          <w:rFonts w:hint="cs"/>
          <w:rtl/>
        </w:rPr>
        <w:t>ً</w:t>
      </w:r>
      <w:r w:rsidRPr="00282AC9">
        <w:rPr>
          <w:rtl/>
        </w:rPr>
        <w:t xml:space="preserve"> إلى اختلاف ظروف العصر</w:t>
      </w:r>
      <w:r w:rsidR="007A251F" w:rsidRPr="00282AC9">
        <w:rPr>
          <w:rFonts w:hint="cs"/>
          <w:rtl/>
        </w:rPr>
        <w:t>،</w:t>
      </w:r>
      <w:r w:rsidRPr="00282AC9">
        <w:rPr>
          <w:rtl/>
        </w:rPr>
        <w:t xml:space="preserve"> يأتي تغيّ</w:t>
      </w:r>
      <w:r w:rsidR="007A251F" w:rsidRPr="00282AC9">
        <w:rPr>
          <w:rFonts w:hint="cs"/>
          <w:rtl/>
        </w:rPr>
        <w:t>ُ</w:t>
      </w:r>
      <w:r w:rsidRPr="00282AC9">
        <w:rPr>
          <w:rtl/>
        </w:rPr>
        <w:t>ر الظروف الاجتماعية عاملاً ثانياً، يصبّ في ترجيح كفّة الفتاة في حقّ اختيار وتحديد مصير حياتها الزوجي</w:t>
      </w:r>
      <w:r w:rsidR="007A251F" w:rsidRPr="00282AC9">
        <w:rPr>
          <w:rFonts w:hint="cs"/>
          <w:rtl/>
        </w:rPr>
        <w:t>ّ</w:t>
      </w:r>
      <w:r w:rsidRPr="00282AC9">
        <w:rPr>
          <w:rtl/>
        </w:rPr>
        <w:t>ة</w:t>
      </w:r>
      <w:r w:rsidR="007A251F" w:rsidRPr="00282AC9">
        <w:rPr>
          <w:rFonts w:hint="cs"/>
          <w:rtl/>
        </w:rPr>
        <w:t>.</w:t>
      </w:r>
    </w:p>
    <w:p w:rsidR="009C6A22" w:rsidRPr="00282AC9" w:rsidRDefault="009C6A22" w:rsidP="00106AA7">
      <w:pPr>
        <w:rPr>
          <w:rtl/>
        </w:rPr>
      </w:pPr>
      <w:r w:rsidRPr="00282AC9">
        <w:rPr>
          <w:rtl/>
        </w:rPr>
        <w:t>فقد يصدق القول</w:t>
      </w:r>
      <w:r w:rsidR="007A251F" w:rsidRPr="00282AC9">
        <w:rPr>
          <w:rFonts w:hint="cs"/>
          <w:rtl/>
        </w:rPr>
        <w:t>:</w:t>
      </w:r>
      <w:r w:rsidRPr="00282AC9">
        <w:rPr>
          <w:rtl/>
        </w:rPr>
        <w:t xml:space="preserve"> إنّ أباها </w:t>
      </w:r>
      <w:r w:rsidRPr="00282AC9">
        <w:rPr>
          <w:sz w:val="24"/>
          <w:szCs w:val="24"/>
          <w:rtl/>
        </w:rPr>
        <w:t>«</w:t>
      </w:r>
      <w:r w:rsidRPr="00282AC9">
        <w:rPr>
          <w:rtl/>
        </w:rPr>
        <w:t>هو أنظر لها</w:t>
      </w:r>
      <w:r w:rsidRPr="00282AC9">
        <w:rPr>
          <w:sz w:val="24"/>
          <w:szCs w:val="24"/>
          <w:rtl/>
        </w:rPr>
        <w:t>»</w:t>
      </w:r>
      <w:r w:rsidRPr="00282AC9">
        <w:rPr>
          <w:rtl/>
        </w:rPr>
        <w:t xml:space="preserve"> ضمن الظروف الاجتماعي</w:t>
      </w:r>
      <w:r w:rsidR="00F44F55" w:rsidRPr="00282AC9">
        <w:rPr>
          <w:rFonts w:hint="cs"/>
          <w:rtl/>
        </w:rPr>
        <w:t>ّ</w:t>
      </w:r>
      <w:r w:rsidRPr="00282AC9">
        <w:rPr>
          <w:rtl/>
        </w:rPr>
        <w:t>ة التي كانت سائدة</w:t>
      </w:r>
      <w:r w:rsidR="00F44F55" w:rsidRPr="00282AC9">
        <w:rPr>
          <w:rFonts w:hint="cs"/>
          <w:rtl/>
        </w:rPr>
        <w:t>ً</w:t>
      </w:r>
      <w:r w:rsidRPr="00282AC9">
        <w:rPr>
          <w:rtl/>
        </w:rPr>
        <w:t xml:space="preserve"> قديماً، حيث كانت المرأة تعاني التهميش والأ</w:t>
      </w:r>
      <w:r w:rsidR="00F44F55" w:rsidRPr="00282AC9">
        <w:rPr>
          <w:rFonts w:hint="cs"/>
          <w:rtl/>
        </w:rPr>
        <w:t>ُ</w:t>
      </w:r>
      <w:r w:rsidRPr="00282AC9">
        <w:rPr>
          <w:rtl/>
        </w:rPr>
        <w:t>م</w:t>
      </w:r>
      <w:r w:rsidR="00F44F55" w:rsidRPr="00282AC9">
        <w:rPr>
          <w:rFonts w:hint="cs"/>
          <w:rtl/>
        </w:rPr>
        <w:t>ّ</w:t>
      </w:r>
      <w:r w:rsidRPr="00282AC9">
        <w:rPr>
          <w:rtl/>
        </w:rPr>
        <w:t>ية وعدم الإلمام بما يجري في مجتمعها، وبذلك قد تكون فاقدة</w:t>
      </w:r>
      <w:r w:rsidR="00F44F55" w:rsidRPr="00282AC9">
        <w:rPr>
          <w:rFonts w:hint="cs"/>
          <w:rtl/>
        </w:rPr>
        <w:t>ً</w:t>
      </w:r>
      <w:r w:rsidRPr="00282AC9">
        <w:rPr>
          <w:rtl/>
        </w:rPr>
        <w:t xml:space="preserve"> للقدرة على التشخيص، ومعرفة الناس، ومن ثم اتّخاذ القرار المناسب. </w:t>
      </w:r>
    </w:p>
    <w:p w:rsidR="009C6A22" w:rsidRPr="00282AC9" w:rsidRDefault="009C6A22" w:rsidP="00106AA7">
      <w:pPr>
        <w:rPr>
          <w:rtl/>
        </w:rPr>
      </w:pPr>
      <w:r w:rsidRPr="00282AC9">
        <w:rPr>
          <w:rtl/>
        </w:rPr>
        <w:t>غير أنّ جميع ذلك قد تغيّ</w:t>
      </w:r>
      <w:r w:rsidR="00F44F55" w:rsidRPr="00282AC9">
        <w:rPr>
          <w:rFonts w:hint="cs"/>
          <w:rtl/>
        </w:rPr>
        <w:t>َ</w:t>
      </w:r>
      <w:r w:rsidRPr="00282AC9">
        <w:rPr>
          <w:rtl/>
        </w:rPr>
        <w:t>ر تماماً</w:t>
      </w:r>
      <w:r w:rsidR="00F44F55" w:rsidRPr="00282AC9">
        <w:rPr>
          <w:rFonts w:hint="cs"/>
          <w:rtl/>
        </w:rPr>
        <w:t>؛</w:t>
      </w:r>
      <w:r w:rsidRPr="00282AC9">
        <w:rPr>
          <w:rtl/>
        </w:rPr>
        <w:t xml:space="preserve"> فالمرأة اليوم ليست كما كانت نظيرتها بالأمس. فقد باتت المرأة أكثر تعليماً</w:t>
      </w:r>
      <w:r w:rsidR="00F44F55" w:rsidRPr="00282AC9">
        <w:rPr>
          <w:rFonts w:hint="cs"/>
          <w:rtl/>
        </w:rPr>
        <w:t>،</w:t>
      </w:r>
      <w:r w:rsidRPr="00282AC9">
        <w:rPr>
          <w:rtl/>
        </w:rPr>
        <w:t xml:space="preserve"> وأكثر اطّلاعاً ومعرفة بمجتمعها، ولم يَعُدْ مستساغاً</w:t>
      </w:r>
      <w:r w:rsidR="00F44F55" w:rsidRPr="00282AC9">
        <w:rPr>
          <w:rFonts w:hint="cs"/>
          <w:rtl/>
        </w:rPr>
        <w:t>،</w:t>
      </w:r>
      <w:r w:rsidRPr="00282AC9">
        <w:rPr>
          <w:rtl/>
        </w:rPr>
        <w:t xml:space="preserve"> ولا مقبولاً</w:t>
      </w:r>
      <w:r w:rsidR="00F44F55" w:rsidRPr="00282AC9">
        <w:rPr>
          <w:rFonts w:hint="cs"/>
          <w:rtl/>
        </w:rPr>
        <w:t>،</w:t>
      </w:r>
      <w:r w:rsidRPr="00282AC9">
        <w:rPr>
          <w:rtl/>
        </w:rPr>
        <w:t xml:space="preserve"> النظر إليها اليوم على نحو الاستصغار والد</w:t>
      </w:r>
      <w:r w:rsidR="00F44F55" w:rsidRPr="00282AC9">
        <w:rPr>
          <w:rFonts w:hint="cs"/>
          <w:rtl/>
        </w:rPr>
        <w:t>ُّ</w:t>
      </w:r>
      <w:r w:rsidRPr="00282AC9">
        <w:rPr>
          <w:rtl/>
        </w:rPr>
        <w:t>ونية، وكأنّها غائبة</w:t>
      </w:r>
      <w:r w:rsidR="00F44F55" w:rsidRPr="00282AC9">
        <w:rPr>
          <w:rFonts w:hint="cs"/>
          <w:rtl/>
        </w:rPr>
        <w:t>ٌ</w:t>
      </w:r>
      <w:r w:rsidRPr="00282AC9">
        <w:rPr>
          <w:rtl/>
        </w:rPr>
        <w:t xml:space="preserve"> عن محيطها، وجاهلة</w:t>
      </w:r>
      <w:r w:rsidR="00F44F55" w:rsidRPr="00282AC9">
        <w:rPr>
          <w:rFonts w:hint="cs"/>
          <w:rtl/>
        </w:rPr>
        <w:t>ٌ</w:t>
      </w:r>
      <w:r w:rsidRPr="00282AC9">
        <w:rPr>
          <w:rtl/>
        </w:rPr>
        <w:t xml:space="preserve"> بمجتمعها</w:t>
      </w:r>
      <w:r w:rsidR="00F44F55" w:rsidRPr="00282AC9">
        <w:rPr>
          <w:rFonts w:hint="cs"/>
          <w:rtl/>
        </w:rPr>
        <w:t>.</w:t>
      </w:r>
      <w:r w:rsidRPr="00282AC9">
        <w:rPr>
          <w:rtl/>
        </w:rPr>
        <w:t xml:space="preserve"> وبعض</w:t>
      </w:r>
      <w:r w:rsidR="00F44F55" w:rsidRPr="00282AC9">
        <w:rPr>
          <w:rFonts w:hint="cs"/>
          <w:rtl/>
        </w:rPr>
        <w:t>ُ</w:t>
      </w:r>
      <w:r w:rsidRPr="00282AC9">
        <w:rPr>
          <w:rtl/>
        </w:rPr>
        <w:t xml:space="preserve"> بنات اليوم أعلم</w:t>
      </w:r>
      <w:r w:rsidR="00F44F55" w:rsidRPr="00282AC9">
        <w:rPr>
          <w:rFonts w:hint="cs"/>
          <w:rtl/>
        </w:rPr>
        <w:t>ُ</w:t>
      </w:r>
      <w:r w:rsidRPr="00282AC9">
        <w:rPr>
          <w:rtl/>
        </w:rPr>
        <w:t xml:space="preserve"> من آبائهنّ بأحوال المجتمع، وظروف العصر، </w:t>
      </w:r>
      <w:r w:rsidR="00F44F55" w:rsidRPr="00282AC9">
        <w:rPr>
          <w:rFonts w:hint="cs"/>
          <w:rtl/>
        </w:rPr>
        <w:t xml:space="preserve">ولا </w:t>
      </w:r>
      <w:r w:rsidRPr="00282AC9">
        <w:rPr>
          <w:rtl/>
        </w:rPr>
        <w:t>سيّ</w:t>
      </w:r>
      <w:r w:rsidR="00F44F55" w:rsidRPr="00282AC9">
        <w:rPr>
          <w:rFonts w:hint="cs"/>
          <w:rtl/>
        </w:rPr>
        <w:t>َ</w:t>
      </w:r>
      <w:r w:rsidRPr="00282AC9">
        <w:rPr>
          <w:rtl/>
        </w:rPr>
        <w:t>ما مع توف</w:t>
      </w:r>
      <w:r w:rsidR="00F44F55" w:rsidRPr="00282AC9">
        <w:rPr>
          <w:rFonts w:hint="cs"/>
          <w:rtl/>
        </w:rPr>
        <w:t>ُّ</w:t>
      </w:r>
      <w:r w:rsidRPr="00282AC9">
        <w:rPr>
          <w:rtl/>
        </w:rPr>
        <w:t>ر الدراسات والبحوث، ووسائل التواصل الاجتماعي، وشبكة العلاقات واسعة الانتشار. وقد أثبت</w:t>
      </w:r>
      <w:r w:rsidR="00F44F55" w:rsidRPr="00282AC9">
        <w:rPr>
          <w:rFonts w:hint="cs"/>
          <w:rtl/>
        </w:rPr>
        <w:t>َ</w:t>
      </w:r>
      <w:r w:rsidRPr="00282AC9">
        <w:rPr>
          <w:rtl/>
        </w:rPr>
        <w:t>ت</w:t>
      </w:r>
      <w:r w:rsidR="00F44F55" w:rsidRPr="00282AC9">
        <w:rPr>
          <w:rFonts w:hint="cs"/>
          <w:rtl/>
        </w:rPr>
        <w:t>ْ</w:t>
      </w:r>
      <w:r w:rsidRPr="00282AC9">
        <w:rPr>
          <w:rtl/>
        </w:rPr>
        <w:t xml:space="preserve"> الأحداث هذه الحقيقة، فلطالما روى آباء</w:t>
      </w:r>
      <w:r w:rsidR="00F44F55" w:rsidRPr="00282AC9">
        <w:rPr>
          <w:rFonts w:hint="cs"/>
          <w:rtl/>
        </w:rPr>
        <w:t>ٌ</w:t>
      </w:r>
      <w:r w:rsidRPr="00282AC9">
        <w:rPr>
          <w:rtl/>
        </w:rPr>
        <w:t xml:space="preserve"> عن خاطبين تقدّ</w:t>
      </w:r>
      <w:r w:rsidR="00F44F55" w:rsidRPr="00282AC9">
        <w:rPr>
          <w:rFonts w:hint="cs"/>
          <w:rtl/>
        </w:rPr>
        <w:t>َ</w:t>
      </w:r>
      <w:r w:rsidRPr="00282AC9">
        <w:rPr>
          <w:rtl/>
        </w:rPr>
        <w:t>موا لبناتهم، فلم</w:t>
      </w:r>
      <w:r w:rsidR="00F44F55" w:rsidRPr="00282AC9">
        <w:rPr>
          <w:rFonts w:hint="cs"/>
          <w:rtl/>
        </w:rPr>
        <w:t>ّ</w:t>
      </w:r>
      <w:r w:rsidRPr="00282AC9">
        <w:rPr>
          <w:rtl/>
        </w:rPr>
        <w:t>ا كل</w:t>
      </w:r>
      <w:r w:rsidR="00F44F55" w:rsidRPr="00282AC9">
        <w:rPr>
          <w:rFonts w:hint="cs"/>
          <w:rtl/>
        </w:rPr>
        <w:t>َّ</w:t>
      </w:r>
      <w:r w:rsidRPr="00282AC9">
        <w:rPr>
          <w:rtl/>
        </w:rPr>
        <w:t>موه</w:t>
      </w:r>
      <w:r w:rsidR="00F44F55" w:rsidRPr="00282AC9">
        <w:rPr>
          <w:rFonts w:hint="cs"/>
          <w:rtl/>
        </w:rPr>
        <w:t>ُ</w:t>
      </w:r>
      <w:r w:rsidRPr="00282AC9">
        <w:rPr>
          <w:rtl/>
        </w:rPr>
        <w:t>نّ في ذلك ذهبت البنات للتنقيب بأنفسهنّ عن أولئك الخاطبين، وتوف</w:t>
      </w:r>
      <w:r w:rsidR="00F44F55" w:rsidRPr="00282AC9">
        <w:rPr>
          <w:rFonts w:hint="cs"/>
          <w:rtl/>
        </w:rPr>
        <w:t>َّ</w:t>
      </w:r>
      <w:r w:rsidRPr="00282AC9">
        <w:rPr>
          <w:rtl/>
        </w:rPr>
        <w:t>ر</w:t>
      </w:r>
      <w:r w:rsidR="00F44F55" w:rsidRPr="00282AC9">
        <w:rPr>
          <w:rFonts w:hint="cs"/>
          <w:rtl/>
        </w:rPr>
        <w:t>ْ</w:t>
      </w:r>
      <w:r w:rsidRPr="00282AC9">
        <w:rPr>
          <w:rtl/>
        </w:rPr>
        <w:t>ن</w:t>
      </w:r>
      <w:r w:rsidR="00F44F55" w:rsidRPr="00282AC9">
        <w:rPr>
          <w:rFonts w:hint="cs"/>
          <w:rtl/>
        </w:rPr>
        <w:t>َ</w:t>
      </w:r>
      <w:r w:rsidRPr="00282AC9">
        <w:rPr>
          <w:rtl/>
        </w:rPr>
        <w:t xml:space="preserve"> على كمٍّ كبير من المعلومات والتفاصيل عنهم، على نحوٍ لم يكن يخطر على بال الآباء</w:t>
      </w:r>
      <w:r w:rsidR="00F44F55" w:rsidRPr="00282AC9">
        <w:rPr>
          <w:rFonts w:hint="cs"/>
          <w:rtl/>
        </w:rPr>
        <w:t>.</w:t>
      </w:r>
      <w:r w:rsidRPr="00282AC9">
        <w:rPr>
          <w:rtl/>
        </w:rPr>
        <w:t xml:space="preserve"> وهذا ما يشير إلى أنّ بنات اليوم ل</w:t>
      </w:r>
      <w:r w:rsidR="00F44F55" w:rsidRPr="00282AC9">
        <w:rPr>
          <w:rFonts w:hint="cs"/>
          <w:rtl/>
        </w:rPr>
        <w:t>سْنَ</w:t>
      </w:r>
      <w:r w:rsidRPr="00282AC9">
        <w:rPr>
          <w:rtl/>
        </w:rPr>
        <w:t xml:space="preserve"> كبنات الأمس. </w:t>
      </w:r>
    </w:p>
    <w:p w:rsidR="009C6A22" w:rsidRPr="00282AC9" w:rsidRDefault="009C6A22" w:rsidP="00A716AC">
      <w:pPr>
        <w:spacing w:line="420" w:lineRule="exact"/>
        <w:rPr>
          <w:rtl/>
        </w:rPr>
      </w:pPr>
    </w:p>
    <w:p w:rsidR="009C6A22" w:rsidRPr="00282AC9" w:rsidRDefault="009C6A22" w:rsidP="00B37544">
      <w:pPr>
        <w:pStyle w:val="31"/>
        <w:rPr>
          <w:color w:val="auto"/>
          <w:lang w:bidi="ar-YE"/>
        </w:rPr>
      </w:pPr>
      <w:r w:rsidRPr="00282AC9">
        <w:rPr>
          <w:color w:val="auto"/>
          <w:rtl/>
          <w:lang w:bidi="ar-YE"/>
        </w:rPr>
        <w:t>الأمّة</w:t>
      </w:r>
      <w:r w:rsidRPr="00282AC9">
        <w:rPr>
          <w:color w:val="auto"/>
          <w:lang w:bidi="ar-YE"/>
        </w:rPr>
        <w:t xml:space="preserve"> </w:t>
      </w:r>
      <w:r w:rsidRPr="00282AC9">
        <w:rPr>
          <w:color w:val="auto"/>
          <w:rtl/>
          <w:lang w:bidi="ar-YE"/>
        </w:rPr>
        <w:t>والتحدّي</w:t>
      </w:r>
      <w:r w:rsidRPr="00282AC9">
        <w:rPr>
          <w:color w:val="auto"/>
          <w:lang w:bidi="ar-YE"/>
        </w:rPr>
        <w:t xml:space="preserve"> </w:t>
      </w:r>
      <w:r w:rsidRPr="00282AC9">
        <w:rPr>
          <w:color w:val="auto"/>
          <w:rtl/>
          <w:lang w:bidi="ar-YE"/>
        </w:rPr>
        <w:t>الحضاري</w:t>
      </w:r>
    </w:p>
    <w:p w:rsidR="009C6A22" w:rsidRPr="00282AC9" w:rsidRDefault="009C6A22" w:rsidP="00106AA7">
      <w:pPr>
        <w:rPr>
          <w:rtl/>
        </w:rPr>
      </w:pPr>
      <w:r w:rsidRPr="00282AC9">
        <w:rPr>
          <w:rtl/>
        </w:rPr>
        <w:t>وقد باتت الأمّة اليوم تعيش تحدّياً حضاريّاً ج</w:t>
      </w:r>
      <w:r w:rsidR="00F44F55" w:rsidRPr="00282AC9">
        <w:rPr>
          <w:rFonts w:hint="cs"/>
          <w:rtl/>
        </w:rPr>
        <w:t>ِ</w:t>
      </w:r>
      <w:r w:rsidRPr="00282AC9">
        <w:rPr>
          <w:rtl/>
        </w:rPr>
        <w:t>دّ</w:t>
      </w:r>
      <w:r w:rsidR="00F44F55" w:rsidRPr="00282AC9">
        <w:rPr>
          <w:rFonts w:hint="cs"/>
          <w:rtl/>
        </w:rPr>
        <w:t>ِ</w:t>
      </w:r>
      <w:r w:rsidR="00F44F55" w:rsidRPr="00282AC9">
        <w:rPr>
          <w:rtl/>
        </w:rPr>
        <w:t>ي</w:t>
      </w:r>
      <w:r w:rsidRPr="00282AC9">
        <w:rPr>
          <w:rtl/>
        </w:rPr>
        <w:t>اً، بلغ حدّ</w:t>
      </w:r>
      <w:r w:rsidR="00F44F55" w:rsidRPr="00282AC9">
        <w:rPr>
          <w:rFonts w:hint="cs"/>
          <w:rtl/>
        </w:rPr>
        <w:t>َ</w:t>
      </w:r>
      <w:r w:rsidRPr="00282AC9">
        <w:rPr>
          <w:rtl/>
        </w:rPr>
        <w:t xml:space="preserve"> اتّهام الإسلام بأنّه لا يقرّ الح</w:t>
      </w:r>
      <w:r w:rsidR="00F44F55" w:rsidRPr="00282AC9">
        <w:rPr>
          <w:rFonts w:hint="cs"/>
          <w:rtl/>
        </w:rPr>
        <w:t>ُ</w:t>
      </w:r>
      <w:r w:rsidRPr="00282AC9">
        <w:rPr>
          <w:rtl/>
        </w:rPr>
        <w:t>ر</w:t>
      </w:r>
      <w:r w:rsidR="00F44F55" w:rsidRPr="00282AC9">
        <w:rPr>
          <w:rFonts w:hint="cs"/>
          <w:rtl/>
        </w:rPr>
        <w:t>ِّ</w:t>
      </w:r>
      <w:r w:rsidRPr="00282AC9">
        <w:rPr>
          <w:rtl/>
        </w:rPr>
        <w:t>يات، ولا يعترف بحقوق الإنسان، ويضطهد المرأة. وما من شك</w:t>
      </w:r>
      <w:r w:rsidR="00F44F55" w:rsidRPr="00282AC9">
        <w:rPr>
          <w:rFonts w:hint="cs"/>
          <w:rtl/>
        </w:rPr>
        <w:t>ٍّ</w:t>
      </w:r>
      <w:r w:rsidRPr="00282AC9">
        <w:rPr>
          <w:rtl/>
        </w:rPr>
        <w:t xml:space="preserve"> أنّ بعض الآراء الفقهي</w:t>
      </w:r>
      <w:r w:rsidR="00F44F55" w:rsidRPr="00282AC9">
        <w:rPr>
          <w:rFonts w:hint="cs"/>
          <w:rtl/>
        </w:rPr>
        <w:t>ّ</w:t>
      </w:r>
      <w:r w:rsidRPr="00282AC9">
        <w:rPr>
          <w:rtl/>
        </w:rPr>
        <w:t>ة تساهم في تعزيز تلك الاتّهامات، وتفسح المجال واسعاً لتشويه س</w:t>
      </w:r>
      <w:r w:rsidR="00F44F55" w:rsidRPr="00282AC9">
        <w:rPr>
          <w:rFonts w:hint="cs"/>
          <w:rtl/>
        </w:rPr>
        <w:t>ُ</w:t>
      </w:r>
      <w:r w:rsidRPr="00282AC9">
        <w:rPr>
          <w:rtl/>
        </w:rPr>
        <w:t>م</w:t>
      </w:r>
      <w:r w:rsidR="00F44F55" w:rsidRPr="00282AC9">
        <w:rPr>
          <w:rFonts w:hint="cs"/>
          <w:rtl/>
        </w:rPr>
        <w:t>ْ</w:t>
      </w:r>
      <w:r w:rsidRPr="00282AC9">
        <w:rPr>
          <w:rtl/>
        </w:rPr>
        <w:t>ع</w:t>
      </w:r>
      <w:r w:rsidR="00F44F55" w:rsidRPr="00282AC9">
        <w:rPr>
          <w:rFonts w:hint="cs"/>
          <w:rtl/>
        </w:rPr>
        <w:t>َ</w:t>
      </w:r>
      <w:r w:rsidRPr="00282AC9">
        <w:rPr>
          <w:rtl/>
        </w:rPr>
        <w:t xml:space="preserve">ة الإسلام. </w:t>
      </w:r>
    </w:p>
    <w:p w:rsidR="009C6A22" w:rsidRPr="00282AC9" w:rsidRDefault="009C6A22" w:rsidP="00106AA7">
      <w:pPr>
        <w:rPr>
          <w:rtl/>
        </w:rPr>
      </w:pPr>
      <w:r w:rsidRPr="00282AC9">
        <w:rPr>
          <w:rtl/>
        </w:rPr>
        <w:t xml:space="preserve">من هنا يغدو من </w:t>
      </w:r>
      <w:r w:rsidR="006D28AF" w:rsidRPr="00282AC9">
        <w:rPr>
          <w:rtl/>
        </w:rPr>
        <w:t>الل</w:t>
      </w:r>
      <w:r w:rsidRPr="00282AC9">
        <w:rPr>
          <w:rtl/>
        </w:rPr>
        <w:t>ازم أخذ ظروف العصر الراهن بعين الاعتبار حين النظر في تلك الآراء الفقهي</w:t>
      </w:r>
      <w:r w:rsidR="00026357" w:rsidRPr="00282AC9">
        <w:rPr>
          <w:rFonts w:hint="cs"/>
          <w:rtl/>
        </w:rPr>
        <w:t>ّ</w:t>
      </w:r>
      <w:r w:rsidRPr="00282AC9">
        <w:rPr>
          <w:rtl/>
        </w:rPr>
        <w:t>ة المتعلّ</w:t>
      </w:r>
      <w:r w:rsidR="00026357" w:rsidRPr="00282AC9">
        <w:rPr>
          <w:rFonts w:hint="cs"/>
          <w:rtl/>
        </w:rPr>
        <w:t>ِ</w:t>
      </w:r>
      <w:r w:rsidRPr="00282AC9">
        <w:rPr>
          <w:rtl/>
        </w:rPr>
        <w:t>قة بالمرأة</w:t>
      </w:r>
      <w:r w:rsidR="00026357" w:rsidRPr="00282AC9">
        <w:rPr>
          <w:rFonts w:hint="cs"/>
          <w:rtl/>
        </w:rPr>
        <w:t>؛</w:t>
      </w:r>
      <w:r w:rsidRPr="00282AC9">
        <w:rPr>
          <w:rtl/>
        </w:rPr>
        <w:t xml:space="preserve"> إذ ينبغي </w:t>
      </w:r>
      <w:r w:rsidR="00026357" w:rsidRPr="00282AC9">
        <w:rPr>
          <w:rFonts w:hint="cs"/>
          <w:rtl/>
        </w:rPr>
        <w:t>أن لا</w:t>
      </w:r>
      <w:r w:rsidRPr="00282AC9">
        <w:rPr>
          <w:rtl/>
        </w:rPr>
        <w:t xml:space="preserve"> نغفل واقع العصر الراهن عند بحث الشأن الخاصّ بالمرأة فقهيّاً</w:t>
      </w:r>
      <w:r w:rsidR="00026357" w:rsidRPr="00282AC9">
        <w:rPr>
          <w:rFonts w:hint="cs"/>
          <w:rtl/>
        </w:rPr>
        <w:t>؛</w:t>
      </w:r>
      <w:r w:rsidRPr="00282AC9">
        <w:rPr>
          <w:rtl/>
        </w:rPr>
        <w:t xml:space="preserve"> بغرض ترجيح أحد الآراء، مع أهم</w:t>
      </w:r>
      <w:r w:rsidR="00026357" w:rsidRPr="00282AC9">
        <w:rPr>
          <w:rFonts w:hint="cs"/>
          <w:rtl/>
        </w:rPr>
        <w:t>ّ</w:t>
      </w:r>
      <w:r w:rsidRPr="00282AC9">
        <w:rPr>
          <w:rtl/>
        </w:rPr>
        <w:t>ية النظر في تأثيرات اختيار أو ترجيح أيّ حكمٍ شرعيٍّ على سمعة الإسلام</w:t>
      </w:r>
      <w:r w:rsidR="00026357" w:rsidRPr="00282AC9">
        <w:rPr>
          <w:rFonts w:hint="cs"/>
          <w:rtl/>
        </w:rPr>
        <w:t>،</w:t>
      </w:r>
      <w:r w:rsidRPr="00282AC9">
        <w:rPr>
          <w:rtl/>
        </w:rPr>
        <w:t xml:space="preserve"> وواقع المسلمين. </w:t>
      </w:r>
    </w:p>
    <w:p w:rsidR="009C6A22" w:rsidRPr="00282AC9" w:rsidRDefault="00026357" w:rsidP="00106AA7">
      <w:pPr>
        <w:rPr>
          <w:rtl/>
        </w:rPr>
      </w:pPr>
      <w:r w:rsidRPr="00282AC9">
        <w:rPr>
          <w:rFonts w:hint="cs"/>
          <w:rtl/>
        </w:rPr>
        <w:lastRenderedPageBreak/>
        <w:t xml:space="preserve">ولا </w:t>
      </w:r>
      <w:r w:rsidR="009C6A22" w:rsidRPr="00282AC9">
        <w:rPr>
          <w:rtl/>
        </w:rPr>
        <w:t>سيّ</w:t>
      </w:r>
      <w:r w:rsidRPr="00282AC9">
        <w:rPr>
          <w:rFonts w:hint="cs"/>
          <w:rtl/>
        </w:rPr>
        <w:t>َ</w:t>
      </w:r>
      <w:r w:rsidR="009C6A22" w:rsidRPr="00282AC9">
        <w:rPr>
          <w:rtl/>
        </w:rPr>
        <w:t>ما أننا ما نزال نواجه استغلالاً لبعض الآراء الفقهي</w:t>
      </w:r>
      <w:r w:rsidRPr="00282AC9">
        <w:rPr>
          <w:rFonts w:hint="cs"/>
          <w:rtl/>
        </w:rPr>
        <w:t>ّ</w:t>
      </w:r>
      <w:r w:rsidR="009C6A22" w:rsidRPr="00282AC9">
        <w:rPr>
          <w:rtl/>
        </w:rPr>
        <w:t>ة المتقادمة في تعزيز بعض العادات والأعراف، وإمضائها في المجتمع، ومنها</w:t>
      </w:r>
      <w:r w:rsidRPr="00282AC9">
        <w:rPr>
          <w:rFonts w:hint="cs"/>
          <w:rtl/>
        </w:rPr>
        <w:t>:</w:t>
      </w:r>
      <w:r w:rsidR="009C6A22" w:rsidRPr="00282AC9">
        <w:rPr>
          <w:rtl/>
        </w:rPr>
        <w:t xml:space="preserve"> تلك المتعلّ</w:t>
      </w:r>
      <w:r w:rsidRPr="00282AC9">
        <w:rPr>
          <w:rFonts w:hint="cs"/>
          <w:rtl/>
        </w:rPr>
        <w:t>ِ</w:t>
      </w:r>
      <w:r w:rsidR="009C6A22" w:rsidRPr="00282AC9">
        <w:rPr>
          <w:rtl/>
        </w:rPr>
        <w:t>قة بمسألة تكافؤ الن</w:t>
      </w:r>
      <w:r w:rsidRPr="00282AC9">
        <w:rPr>
          <w:rFonts w:hint="cs"/>
          <w:rtl/>
        </w:rPr>
        <w:t>َّ</w:t>
      </w:r>
      <w:r w:rsidR="009C6A22" w:rsidRPr="00282AC9">
        <w:rPr>
          <w:rtl/>
        </w:rPr>
        <w:t>س</w:t>
      </w:r>
      <w:r w:rsidRPr="00282AC9">
        <w:rPr>
          <w:rFonts w:hint="cs"/>
          <w:rtl/>
        </w:rPr>
        <w:t>َ</w:t>
      </w:r>
      <w:r w:rsidR="009C6A22" w:rsidRPr="00282AC9">
        <w:rPr>
          <w:rtl/>
        </w:rPr>
        <w:t>ب بين الزوجين، الذي يعني أنّ أيّ شخصٍ تزوّ</w:t>
      </w:r>
      <w:r w:rsidRPr="00282AC9">
        <w:rPr>
          <w:rFonts w:hint="cs"/>
          <w:rtl/>
        </w:rPr>
        <w:t>َ</w:t>
      </w:r>
      <w:r w:rsidR="009C6A22" w:rsidRPr="00282AC9">
        <w:rPr>
          <w:rtl/>
        </w:rPr>
        <w:t>جت إحدى أقاربه من شخصٍ يعتبره هو من قبيلة</w:t>
      </w:r>
      <w:r w:rsidRPr="00282AC9">
        <w:rPr>
          <w:rFonts w:hint="cs"/>
          <w:rtl/>
        </w:rPr>
        <w:t>ٍ</w:t>
      </w:r>
      <w:r w:rsidR="009C6A22" w:rsidRPr="00282AC9">
        <w:rPr>
          <w:rtl/>
        </w:rPr>
        <w:t xml:space="preserve"> أو عائلة</w:t>
      </w:r>
      <w:r w:rsidRPr="00282AC9">
        <w:rPr>
          <w:rFonts w:hint="cs"/>
          <w:rtl/>
        </w:rPr>
        <w:t>ٍ</w:t>
      </w:r>
      <w:r w:rsidR="009C6A22" w:rsidRPr="00282AC9">
        <w:rPr>
          <w:rtl/>
        </w:rPr>
        <w:t xml:space="preserve"> أقلّ شأناً</w:t>
      </w:r>
      <w:r w:rsidRPr="00282AC9">
        <w:rPr>
          <w:rFonts w:hint="cs"/>
          <w:rtl/>
        </w:rPr>
        <w:t>،</w:t>
      </w:r>
      <w:r w:rsidR="009C6A22" w:rsidRPr="00282AC9">
        <w:rPr>
          <w:rtl/>
        </w:rPr>
        <w:t xml:space="preserve"> وأدنى مكانة</w:t>
      </w:r>
      <w:r w:rsidRPr="00282AC9">
        <w:rPr>
          <w:rFonts w:hint="cs"/>
          <w:rtl/>
        </w:rPr>
        <w:t>ً</w:t>
      </w:r>
      <w:r w:rsidRPr="00282AC9">
        <w:rPr>
          <w:rtl/>
        </w:rPr>
        <w:t xml:space="preserve"> من قبيلته، فله أن</w:t>
      </w:r>
      <w:r w:rsidR="009C6A22" w:rsidRPr="00282AC9">
        <w:rPr>
          <w:rtl/>
        </w:rPr>
        <w:t xml:space="preserve"> يرفع قضي</w:t>
      </w:r>
      <w:r w:rsidRPr="00282AC9">
        <w:rPr>
          <w:rFonts w:hint="cs"/>
          <w:rtl/>
        </w:rPr>
        <w:t>ّ</w:t>
      </w:r>
      <w:r w:rsidR="009C6A22" w:rsidRPr="00282AC9">
        <w:rPr>
          <w:rtl/>
        </w:rPr>
        <w:t>ة في المحكمة</w:t>
      </w:r>
      <w:r w:rsidRPr="00282AC9">
        <w:rPr>
          <w:rFonts w:hint="cs"/>
          <w:rtl/>
        </w:rPr>
        <w:t>؛</w:t>
      </w:r>
      <w:r w:rsidR="009C6A22" w:rsidRPr="00282AC9">
        <w:rPr>
          <w:rtl/>
        </w:rPr>
        <w:t xml:space="preserve"> للتفريق بينهما. وهذا ما حصل بالفعل </w:t>
      </w:r>
      <w:r w:rsidRPr="00282AC9">
        <w:rPr>
          <w:rtl/>
        </w:rPr>
        <w:t>في المملكة</w:t>
      </w:r>
      <w:r w:rsidRPr="00282AC9">
        <w:rPr>
          <w:rFonts w:hint="cs"/>
          <w:rtl/>
        </w:rPr>
        <w:t>،</w:t>
      </w:r>
      <w:r w:rsidRPr="00282AC9">
        <w:rPr>
          <w:rtl/>
        </w:rPr>
        <w:t xml:space="preserve"> </w:t>
      </w:r>
      <w:r w:rsidR="009C6A22" w:rsidRPr="00282AC9">
        <w:rPr>
          <w:rtl/>
        </w:rPr>
        <w:t>في حالات</w:t>
      </w:r>
      <w:r w:rsidRPr="00282AC9">
        <w:rPr>
          <w:rFonts w:hint="cs"/>
          <w:rtl/>
        </w:rPr>
        <w:t>ٍ</w:t>
      </w:r>
      <w:r w:rsidR="009C6A22" w:rsidRPr="00282AC9">
        <w:rPr>
          <w:rtl/>
        </w:rPr>
        <w:t xml:space="preserve"> متكرّ</w:t>
      </w:r>
      <w:r w:rsidRPr="00282AC9">
        <w:rPr>
          <w:rFonts w:hint="cs"/>
          <w:rtl/>
        </w:rPr>
        <w:t>ِ</w:t>
      </w:r>
      <w:r w:rsidRPr="00282AC9">
        <w:rPr>
          <w:rtl/>
        </w:rPr>
        <w:t>رة</w:t>
      </w:r>
      <w:r w:rsidR="009C6A22" w:rsidRPr="00282AC9">
        <w:rPr>
          <w:rtl/>
        </w:rPr>
        <w:t>، حيث انشغلت الصحافة المحلّ</w:t>
      </w:r>
      <w:r w:rsidRPr="00282AC9">
        <w:rPr>
          <w:rFonts w:hint="cs"/>
          <w:rtl/>
        </w:rPr>
        <w:t>ِ</w:t>
      </w:r>
      <w:r w:rsidR="009C6A22" w:rsidRPr="00282AC9">
        <w:rPr>
          <w:rtl/>
        </w:rPr>
        <w:t>ية والرأي العام</w:t>
      </w:r>
      <w:r w:rsidRPr="00282AC9">
        <w:rPr>
          <w:rFonts w:hint="cs"/>
          <w:rtl/>
        </w:rPr>
        <w:t xml:space="preserve">ّ </w:t>
      </w:r>
      <w:r w:rsidR="009C6A22" w:rsidRPr="00282AC9">
        <w:rPr>
          <w:rtl/>
        </w:rPr>
        <w:t>في الآونة الأخيرة بقضي</w:t>
      </w:r>
      <w:r w:rsidRPr="00282AC9">
        <w:rPr>
          <w:rFonts w:hint="cs"/>
          <w:rtl/>
        </w:rPr>
        <w:t>ّ</w:t>
      </w:r>
      <w:r w:rsidR="009C6A22" w:rsidRPr="00282AC9">
        <w:rPr>
          <w:rtl/>
        </w:rPr>
        <w:t>ة</w:t>
      </w:r>
      <w:r w:rsidRPr="00282AC9">
        <w:rPr>
          <w:rFonts w:hint="cs"/>
          <w:rtl/>
        </w:rPr>
        <w:t>ٍ</w:t>
      </w:r>
      <w:r w:rsidR="009C6A22" w:rsidRPr="00282AC9">
        <w:rPr>
          <w:rtl/>
        </w:rPr>
        <w:t xml:space="preserve"> من هذا القبيل، كما ورد في صحيفة الحياة</w:t>
      </w:r>
      <w:r w:rsidRPr="00282AC9">
        <w:rPr>
          <w:rFonts w:hint="cs"/>
          <w:rtl/>
        </w:rPr>
        <w:t>،</w:t>
      </w:r>
      <w:r w:rsidR="009C6A22" w:rsidRPr="00282AC9">
        <w:rPr>
          <w:rtl/>
        </w:rPr>
        <w:t xml:space="preserve"> بتاريخ 29 جمادى الآخرة 1437</w:t>
      </w:r>
      <w:r w:rsidRPr="00282AC9">
        <w:rPr>
          <w:rFonts w:hint="cs"/>
          <w:rtl/>
        </w:rPr>
        <w:t>هـ،</w:t>
      </w:r>
      <w:r w:rsidR="009C6A22" w:rsidRPr="00282AC9">
        <w:rPr>
          <w:rtl/>
        </w:rPr>
        <w:t xml:space="preserve"> بعنوان: </w:t>
      </w:r>
      <w:r w:rsidR="009C6A22" w:rsidRPr="00282AC9">
        <w:rPr>
          <w:sz w:val="24"/>
          <w:szCs w:val="24"/>
          <w:rtl/>
        </w:rPr>
        <w:t>«</w:t>
      </w:r>
      <w:r w:rsidR="009C6A22" w:rsidRPr="00282AC9">
        <w:rPr>
          <w:rtl/>
        </w:rPr>
        <w:t>حكم قضائي</w:t>
      </w:r>
      <w:r w:rsidRPr="00282AC9">
        <w:rPr>
          <w:rFonts w:hint="cs"/>
          <w:rtl/>
        </w:rPr>
        <w:t>ّ</w:t>
      </w:r>
      <w:r w:rsidR="009C6A22" w:rsidRPr="00282AC9">
        <w:rPr>
          <w:rtl/>
        </w:rPr>
        <w:t xml:space="preserve"> بفسخ فتاة</w:t>
      </w:r>
      <w:r w:rsidRPr="00282AC9">
        <w:rPr>
          <w:rFonts w:hint="cs"/>
          <w:rtl/>
        </w:rPr>
        <w:t>ٍ</w:t>
      </w:r>
      <w:r w:rsidR="009C6A22" w:rsidRPr="00282AC9">
        <w:rPr>
          <w:rtl/>
        </w:rPr>
        <w:t xml:space="preserve"> سعودية من زوجها</w:t>
      </w:r>
      <w:r w:rsidR="009C6A22" w:rsidRPr="00282AC9">
        <w:rPr>
          <w:sz w:val="24"/>
          <w:szCs w:val="24"/>
          <w:rtl/>
        </w:rPr>
        <w:t>»</w:t>
      </w:r>
      <w:r w:rsidR="009C6A22" w:rsidRPr="00282AC9">
        <w:rPr>
          <w:rtl/>
        </w:rPr>
        <w:t>، علماً بأنّ زوجها يعمل جنديّاً في القوات المسل</w:t>
      </w:r>
      <w:r w:rsidR="008E5626" w:rsidRPr="00282AC9">
        <w:rPr>
          <w:rFonts w:hint="cs"/>
          <w:rtl/>
        </w:rPr>
        <w:t>َّ</w:t>
      </w:r>
      <w:r w:rsidR="009C6A22" w:rsidRPr="00282AC9">
        <w:rPr>
          <w:rtl/>
        </w:rPr>
        <w:t>حة، وهو من المقاتلين على الحدّ الجنوبي، وذلك تحت مبرّ</w:t>
      </w:r>
      <w:r w:rsidR="008E5626" w:rsidRPr="00282AC9">
        <w:rPr>
          <w:rFonts w:hint="cs"/>
          <w:rtl/>
        </w:rPr>
        <w:t>ِ</w:t>
      </w:r>
      <w:r w:rsidR="009C6A22" w:rsidRPr="00282AC9">
        <w:rPr>
          <w:rtl/>
        </w:rPr>
        <w:t>ر عدم تكافؤ الن</w:t>
      </w:r>
      <w:r w:rsidR="008E5626" w:rsidRPr="00282AC9">
        <w:rPr>
          <w:rFonts w:hint="cs"/>
          <w:rtl/>
        </w:rPr>
        <w:t>َّ</w:t>
      </w:r>
      <w:r w:rsidR="009C6A22" w:rsidRPr="00282AC9">
        <w:rPr>
          <w:rtl/>
        </w:rPr>
        <w:t>س</w:t>
      </w:r>
      <w:r w:rsidR="008E5626" w:rsidRPr="00282AC9">
        <w:rPr>
          <w:rFonts w:hint="cs"/>
          <w:rtl/>
        </w:rPr>
        <w:t>َ</w:t>
      </w:r>
      <w:r w:rsidR="009C6A22" w:rsidRPr="00282AC9">
        <w:rPr>
          <w:rtl/>
        </w:rPr>
        <w:t>ب، ومردّ</w:t>
      </w:r>
      <w:r w:rsidR="008E5626" w:rsidRPr="00282AC9">
        <w:rPr>
          <w:rFonts w:hint="cs"/>
          <w:rtl/>
        </w:rPr>
        <w:t>ُ</w:t>
      </w:r>
      <w:r w:rsidR="009C6A22" w:rsidRPr="00282AC9">
        <w:rPr>
          <w:rtl/>
        </w:rPr>
        <w:t xml:space="preserve"> ذلك إلى أنّ أعمام الزوجة رفعوا دعوى لإحدى محاكم الرياض، وقد نظر</w:t>
      </w:r>
      <w:r w:rsidR="008E5626" w:rsidRPr="00282AC9">
        <w:rPr>
          <w:rFonts w:hint="cs"/>
          <w:rtl/>
        </w:rPr>
        <w:t>َ</w:t>
      </w:r>
      <w:r w:rsidR="009C6A22" w:rsidRPr="00282AC9">
        <w:rPr>
          <w:rtl/>
        </w:rPr>
        <w:t>ت</w:t>
      </w:r>
      <w:r w:rsidR="008E5626" w:rsidRPr="00282AC9">
        <w:rPr>
          <w:rFonts w:hint="cs"/>
          <w:rtl/>
        </w:rPr>
        <w:t>ْ</w:t>
      </w:r>
      <w:r w:rsidR="009C6A22" w:rsidRPr="00282AC9">
        <w:rPr>
          <w:rtl/>
        </w:rPr>
        <w:t xml:space="preserve"> المحكمة في الدّ</w:t>
      </w:r>
      <w:r w:rsidR="008E5626" w:rsidRPr="00282AC9">
        <w:rPr>
          <w:rFonts w:hint="cs"/>
          <w:rtl/>
        </w:rPr>
        <w:t>َ</w:t>
      </w:r>
      <w:r w:rsidR="009C6A22" w:rsidRPr="00282AC9">
        <w:rPr>
          <w:rtl/>
        </w:rPr>
        <w:t>عوى، فيما لجأ</w:t>
      </w:r>
      <w:r w:rsidR="008E5626" w:rsidRPr="00282AC9">
        <w:rPr>
          <w:rFonts w:hint="cs"/>
          <w:rtl/>
        </w:rPr>
        <w:t>َ</w:t>
      </w:r>
      <w:r w:rsidR="009C6A22" w:rsidRPr="00282AC9">
        <w:rPr>
          <w:rtl/>
        </w:rPr>
        <w:t>ت</w:t>
      </w:r>
      <w:r w:rsidR="008E5626" w:rsidRPr="00282AC9">
        <w:rPr>
          <w:rFonts w:hint="cs"/>
          <w:rtl/>
        </w:rPr>
        <w:t>ْ</w:t>
      </w:r>
      <w:r w:rsidR="009C6A22" w:rsidRPr="00282AC9">
        <w:rPr>
          <w:rtl/>
        </w:rPr>
        <w:t xml:space="preserve"> الزوجة إلى بثّ</w:t>
      </w:r>
      <w:r w:rsidR="008E5626" w:rsidRPr="00282AC9">
        <w:rPr>
          <w:rFonts w:hint="cs"/>
          <w:rtl/>
        </w:rPr>
        <w:t>ِ</w:t>
      </w:r>
      <w:r w:rsidR="009C6A22" w:rsidRPr="00282AC9">
        <w:rPr>
          <w:rtl/>
        </w:rPr>
        <w:t xml:space="preserve"> معاناتها من خلال مقطع</w:t>
      </w:r>
      <w:r w:rsidR="008E5626" w:rsidRPr="00282AC9">
        <w:rPr>
          <w:rFonts w:hint="cs"/>
          <w:rtl/>
        </w:rPr>
        <w:t>ٍ</w:t>
      </w:r>
      <w:r w:rsidR="009C6A22" w:rsidRPr="00282AC9">
        <w:rPr>
          <w:rtl/>
        </w:rPr>
        <w:t xml:space="preserve"> مصوّ</w:t>
      </w:r>
      <w:r w:rsidR="008E5626" w:rsidRPr="00282AC9">
        <w:rPr>
          <w:rFonts w:hint="cs"/>
          <w:rtl/>
        </w:rPr>
        <w:t>َ</w:t>
      </w:r>
      <w:r w:rsidR="009C6A22" w:rsidRPr="00282AC9">
        <w:rPr>
          <w:rtl/>
        </w:rPr>
        <w:t>ر انتشر عبر مواقع التواصل الاجتماعي، وقد كانت تستغيث</w:t>
      </w:r>
      <w:r w:rsidR="008E5626" w:rsidRPr="00282AC9">
        <w:rPr>
          <w:rFonts w:hint="cs"/>
          <w:rtl/>
        </w:rPr>
        <w:t>،</w:t>
      </w:r>
      <w:r w:rsidR="009C6A22" w:rsidRPr="00282AC9">
        <w:rPr>
          <w:rtl/>
        </w:rPr>
        <w:t xml:space="preserve"> وتأمل من الملك، وولي</w:t>
      </w:r>
      <w:r w:rsidR="00643D70" w:rsidRPr="00282AC9">
        <w:rPr>
          <w:rFonts w:hint="cs"/>
          <w:rtl/>
        </w:rPr>
        <w:t>ّ</w:t>
      </w:r>
      <w:r w:rsidR="009C6A22" w:rsidRPr="00282AC9">
        <w:rPr>
          <w:rtl/>
        </w:rPr>
        <w:t xml:space="preserve"> العهد، ووزارة العدل، معالجة أمرها، وإعادة النظر في قرار المحكمة؛ لكونها حاملاً، ويشغل بالها كثيراً التفكير في مستقبلها ومصير وليدها المرتقب، </w:t>
      </w:r>
      <w:r w:rsidR="00643D70" w:rsidRPr="00282AC9">
        <w:rPr>
          <w:rFonts w:hint="cs"/>
          <w:rtl/>
        </w:rPr>
        <w:t xml:space="preserve">ولا </w:t>
      </w:r>
      <w:r w:rsidR="009C6A22" w:rsidRPr="00282AC9">
        <w:rPr>
          <w:rtl/>
        </w:rPr>
        <w:t>سيّ</w:t>
      </w:r>
      <w:r w:rsidR="00643D70" w:rsidRPr="00282AC9">
        <w:rPr>
          <w:rFonts w:hint="cs"/>
          <w:rtl/>
        </w:rPr>
        <w:t>َ</w:t>
      </w:r>
      <w:r w:rsidR="009C6A22" w:rsidRPr="00282AC9">
        <w:rPr>
          <w:rtl/>
        </w:rPr>
        <w:t>ما أنّها تتشب</w:t>
      </w:r>
      <w:r w:rsidR="00643D70" w:rsidRPr="00282AC9">
        <w:rPr>
          <w:rFonts w:hint="cs"/>
          <w:rtl/>
        </w:rPr>
        <w:t>َّ</w:t>
      </w:r>
      <w:r w:rsidR="009C6A22" w:rsidRPr="00282AC9">
        <w:rPr>
          <w:rtl/>
        </w:rPr>
        <w:t>ث بزوجها، وهو كذلك لا يريد التخلّي عنها. وهذه ليست القضية الأولى ولا الوحيدة التي تنظرها المحاكم في قضايا تكافؤ الن</w:t>
      </w:r>
      <w:r w:rsidR="00643D70" w:rsidRPr="00282AC9">
        <w:rPr>
          <w:rFonts w:hint="cs"/>
          <w:rtl/>
        </w:rPr>
        <w:t>َّ</w:t>
      </w:r>
      <w:r w:rsidR="009C6A22" w:rsidRPr="00282AC9">
        <w:rPr>
          <w:rtl/>
        </w:rPr>
        <w:t>س</w:t>
      </w:r>
      <w:r w:rsidR="00643D70" w:rsidRPr="00282AC9">
        <w:rPr>
          <w:rFonts w:hint="cs"/>
          <w:rtl/>
        </w:rPr>
        <w:t>َ</w:t>
      </w:r>
      <w:r w:rsidR="009C6A22" w:rsidRPr="00282AC9">
        <w:rPr>
          <w:rtl/>
        </w:rPr>
        <w:t>ب، فقد نظر</w:t>
      </w:r>
      <w:r w:rsidR="00643D70" w:rsidRPr="00282AC9">
        <w:rPr>
          <w:rFonts w:hint="cs"/>
          <w:rtl/>
        </w:rPr>
        <w:t>َ</w:t>
      </w:r>
      <w:r w:rsidR="009C6A22" w:rsidRPr="00282AC9">
        <w:rPr>
          <w:rtl/>
        </w:rPr>
        <w:t>ت</w:t>
      </w:r>
      <w:r w:rsidR="00643D70" w:rsidRPr="00282AC9">
        <w:rPr>
          <w:rFonts w:hint="cs"/>
          <w:rtl/>
        </w:rPr>
        <w:t>ْ</w:t>
      </w:r>
      <w:r w:rsidR="009C6A22" w:rsidRPr="00282AC9">
        <w:rPr>
          <w:rtl/>
        </w:rPr>
        <w:t xml:space="preserve"> المحاكم السعودية </w:t>
      </w:r>
      <w:r w:rsidR="00643D70" w:rsidRPr="00282AC9">
        <w:rPr>
          <w:rFonts w:hint="cs"/>
          <w:rtl/>
        </w:rPr>
        <w:t xml:space="preserve">في </w:t>
      </w:r>
      <w:r w:rsidR="009C6A22" w:rsidRPr="00282AC9">
        <w:rPr>
          <w:rtl/>
        </w:rPr>
        <w:t>أكثر من 63 دعوى لفسخ عقد نكاح</w:t>
      </w:r>
      <w:r w:rsidR="00643D70" w:rsidRPr="00282AC9">
        <w:rPr>
          <w:rFonts w:hint="cs"/>
          <w:rtl/>
        </w:rPr>
        <w:t>ٍ؛</w:t>
      </w:r>
      <w:r w:rsidR="009C6A22" w:rsidRPr="00282AC9">
        <w:rPr>
          <w:rtl/>
        </w:rPr>
        <w:t xml:space="preserve"> بمبرّ</w:t>
      </w:r>
      <w:r w:rsidR="00643D70" w:rsidRPr="00282AC9">
        <w:rPr>
          <w:rFonts w:hint="cs"/>
          <w:rtl/>
        </w:rPr>
        <w:t>ِ</w:t>
      </w:r>
      <w:r w:rsidR="009C6A22" w:rsidRPr="00282AC9">
        <w:rPr>
          <w:rtl/>
        </w:rPr>
        <w:t>ر عدم تكافؤ الن</w:t>
      </w:r>
      <w:r w:rsidR="00643D70" w:rsidRPr="00282AC9">
        <w:rPr>
          <w:rFonts w:hint="cs"/>
          <w:rtl/>
        </w:rPr>
        <w:t>َّ</w:t>
      </w:r>
      <w:r w:rsidR="009C6A22" w:rsidRPr="00282AC9">
        <w:rPr>
          <w:rtl/>
        </w:rPr>
        <w:t>س</w:t>
      </w:r>
      <w:r w:rsidR="00643D70" w:rsidRPr="00282AC9">
        <w:rPr>
          <w:rFonts w:hint="cs"/>
          <w:rtl/>
        </w:rPr>
        <w:t>َ</w:t>
      </w:r>
      <w:r w:rsidR="009C6A22" w:rsidRPr="00282AC9">
        <w:rPr>
          <w:rtl/>
        </w:rPr>
        <w:t xml:space="preserve">ب. </w:t>
      </w:r>
    </w:p>
    <w:p w:rsidR="009C6A22" w:rsidRPr="00282AC9" w:rsidRDefault="009C6A22" w:rsidP="00A716AC">
      <w:pPr>
        <w:spacing w:line="420" w:lineRule="exact"/>
        <w:rPr>
          <w:rtl/>
        </w:rPr>
      </w:pPr>
    </w:p>
    <w:p w:rsidR="009C6A22" w:rsidRPr="00282AC9" w:rsidRDefault="009C6A22" w:rsidP="00B37544">
      <w:pPr>
        <w:pStyle w:val="31"/>
        <w:rPr>
          <w:color w:val="auto"/>
          <w:lang w:bidi="ar-YE"/>
        </w:rPr>
      </w:pPr>
      <w:r w:rsidRPr="00282AC9">
        <w:rPr>
          <w:color w:val="auto"/>
          <w:rtl/>
          <w:lang w:bidi="ar-YE"/>
        </w:rPr>
        <w:t>مشكلة</w:t>
      </w:r>
      <w:r w:rsidRPr="00282AC9">
        <w:rPr>
          <w:color w:val="auto"/>
          <w:lang w:bidi="ar-YE"/>
        </w:rPr>
        <w:t xml:space="preserve"> </w:t>
      </w:r>
      <w:r w:rsidRPr="00282AC9">
        <w:rPr>
          <w:color w:val="auto"/>
          <w:rtl/>
          <w:lang w:bidi="ar-YE"/>
        </w:rPr>
        <w:t>تكافؤ</w:t>
      </w:r>
      <w:r w:rsidRPr="00282AC9">
        <w:rPr>
          <w:color w:val="auto"/>
          <w:lang w:bidi="ar-YE"/>
        </w:rPr>
        <w:t xml:space="preserve"> </w:t>
      </w:r>
      <w:r w:rsidRPr="00282AC9">
        <w:rPr>
          <w:color w:val="auto"/>
          <w:rtl/>
          <w:lang w:bidi="ar-YE"/>
        </w:rPr>
        <w:t>الن</w:t>
      </w:r>
      <w:r w:rsidR="00643D70" w:rsidRPr="00282AC9">
        <w:rPr>
          <w:rFonts w:hint="cs"/>
          <w:color w:val="auto"/>
          <w:rtl/>
          <w:lang w:bidi="ar-YE"/>
        </w:rPr>
        <w:t>َّ</w:t>
      </w:r>
      <w:r w:rsidRPr="00282AC9">
        <w:rPr>
          <w:color w:val="auto"/>
          <w:rtl/>
          <w:lang w:bidi="ar-YE"/>
        </w:rPr>
        <w:t>س</w:t>
      </w:r>
      <w:r w:rsidR="00643D70" w:rsidRPr="00282AC9">
        <w:rPr>
          <w:rFonts w:hint="cs"/>
          <w:color w:val="auto"/>
          <w:rtl/>
          <w:lang w:bidi="ar-YE"/>
        </w:rPr>
        <w:t>َ</w:t>
      </w:r>
      <w:r w:rsidRPr="00282AC9">
        <w:rPr>
          <w:color w:val="auto"/>
          <w:rtl/>
          <w:lang w:bidi="ar-YE"/>
        </w:rPr>
        <w:t>ب</w:t>
      </w:r>
    </w:p>
    <w:p w:rsidR="009C6A22" w:rsidRPr="00282AC9" w:rsidRDefault="009C6A22" w:rsidP="00106AA7">
      <w:pPr>
        <w:rPr>
          <w:rtl/>
        </w:rPr>
      </w:pPr>
      <w:r w:rsidRPr="00282AC9">
        <w:rPr>
          <w:rtl/>
        </w:rPr>
        <w:t>ينبغي الإشارة إلى أنّ هناك نقاشاً فقهيّاً يحيط بمسألة تكافؤ الن</w:t>
      </w:r>
      <w:r w:rsidR="00643D70" w:rsidRPr="00282AC9">
        <w:rPr>
          <w:rFonts w:hint="cs"/>
          <w:rtl/>
        </w:rPr>
        <w:t>َّ</w:t>
      </w:r>
      <w:r w:rsidRPr="00282AC9">
        <w:rPr>
          <w:rtl/>
        </w:rPr>
        <w:t>س</w:t>
      </w:r>
      <w:r w:rsidR="00643D70" w:rsidRPr="00282AC9">
        <w:rPr>
          <w:rFonts w:hint="cs"/>
          <w:rtl/>
        </w:rPr>
        <w:t>َ</w:t>
      </w:r>
      <w:r w:rsidRPr="00282AC9">
        <w:rPr>
          <w:rtl/>
        </w:rPr>
        <w:t>ب</w:t>
      </w:r>
      <w:r w:rsidR="00643D70" w:rsidRPr="00282AC9">
        <w:rPr>
          <w:rFonts w:hint="cs"/>
          <w:rtl/>
        </w:rPr>
        <w:t>؛</w:t>
      </w:r>
      <w:r w:rsidR="00643D70" w:rsidRPr="00282AC9">
        <w:rPr>
          <w:rtl/>
        </w:rPr>
        <w:t xml:space="preserve"> إذ</w:t>
      </w:r>
      <w:r w:rsidRPr="00282AC9">
        <w:rPr>
          <w:rtl/>
        </w:rPr>
        <w:t xml:space="preserve"> </w:t>
      </w:r>
      <w:r w:rsidR="00E52141" w:rsidRPr="00282AC9">
        <w:rPr>
          <w:rFonts w:hint="cs"/>
          <w:rtl/>
        </w:rPr>
        <w:t>خلافاً</w:t>
      </w:r>
      <w:r w:rsidRPr="00282AC9">
        <w:rPr>
          <w:rtl/>
        </w:rPr>
        <w:t xml:space="preserve"> </w:t>
      </w:r>
      <w:r w:rsidR="00E52141" w:rsidRPr="00282AC9">
        <w:rPr>
          <w:rFonts w:hint="cs"/>
          <w:rtl/>
        </w:rPr>
        <w:t>ل</w:t>
      </w:r>
      <w:r w:rsidRPr="00282AC9">
        <w:rPr>
          <w:rtl/>
        </w:rPr>
        <w:t>مسألة التكافؤ في الد</w:t>
      </w:r>
      <w:r w:rsidR="00643D70" w:rsidRPr="00282AC9">
        <w:rPr>
          <w:rFonts w:hint="cs"/>
          <w:rtl/>
        </w:rPr>
        <w:t>ِّ</w:t>
      </w:r>
      <w:r w:rsidRPr="00282AC9">
        <w:rPr>
          <w:rtl/>
        </w:rPr>
        <w:t>ين</w:t>
      </w:r>
      <w:r w:rsidR="00E52141" w:rsidRPr="00282AC9">
        <w:rPr>
          <w:rFonts w:hint="cs"/>
          <w:rtl/>
        </w:rPr>
        <w:t>،</w:t>
      </w:r>
      <w:r w:rsidRPr="00282AC9">
        <w:rPr>
          <w:rtl/>
        </w:rPr>
        <w:t xml:space="preserve"> المت</w:t>
      </w:r>
      <w:r w:rsidR="00643D70" w:rsidRPr="00282AC9">
        <w:rPr>
          <w:rFonts w:hint="cs"/>
          <w:rtl/>
        </w:rPr>
        <w:t>َّ</w:t>
      </w:r>
      <w:r w:rsidRPr="00282AC9">
        <w:rPr>
          <w:rtl/>
        </w:rPr>
        <w:t>فق عليها بين المسلمين</w:t>
      </w:r>
      <w:r w:rsidR="00643D70" w:rsidRPr="00282AC9">
        <w:rPr>
          <w:rFonts w:hint="cs"/>
          <w:rtl/>
        </w:rPr>
        <w:t>؛</w:t>
      </w:r>
      <w:r w:rsidRPr="00282AC9">
        <w:rPr>
          <w:rtl/>
        </w:rPr>
        <w:t xml:space="preserve"> استناداً إلى الحديث: </w:t>
      </w:r>
      <w:r w:rsidRPr="00282AC9">
        <w:rPr>
          <w:sz w:val="24"/>
          <w:szCs w:val="24"/>
          <w:rtl/>
        </w:rPr>
        <w:t>«</w:t>
      </w:r>
      <w:r w:rsidRPr="00282AC9">
        <w:rPr>
          <w:rtl/>
        </w:rPr>
        <w:t>المسلم كف</w:t>
      </w:r>
      <w:r w:rsidR="00643D70" w:rsidRPr="00282AC9">
        <w:rPr>
          <w:rFonts w:hint="cs"/>
          <w:rtl/>
        </w:rPr>
        <w:t>ؤ</w:t>
      </w:r>
      <w:r w:rsidRPr="00282AC9">
        <w:rPr>
          <w:rtl/>
        </w:rPr>
        <w:t xml:space="preserve"> للمسلمة</w:t>
      </w:r>
      <w:r w:rsidRPr="00282AC9">
        <w:rPr>
          <w:sz w:val="24"/>
          <w:szCs w:val="24"/>
          <w:rtl/>
        </w:rPr>
        <w:t>»</w:t>
      </w:r>
      <w:r w:rsidRPr="00282AC9">
        <w:rPr>
          <w:vertAlign w:val="superscript"/>
          <w:rtl/>
        </w:rPr>
        <w:t>(</w:t>
      </w:r>
      <w:r w:rsidRPr="00282AC9">
        <w:rPr>
          <w:vertAlign w:val="superscript"/>
          <w:rtl/>
        </w:rPr>
        <w:endnoteReference w:id="216"/>
      </w:r>
      <w:r w:rsidRPr="00282AC9">
        <w:rPr>
          <w:vertAlign w:val="superscript"/>
          <w:rtl/>
        </w:rPr>
        <w:t>)</w:t>
      </w:r>
      <w:r w:rsidRPr="00282AC9">
        <w:rPr>
          <w:rtl/>
        </w:rPr>
        <w:t>، ظلّت مسألة التكافؤ في الن</w:t>
      </w:r>
      <w:r w:rsidR="00643D70" w:rsidRPr="00282AC9">
        <w:rPr>
          <w:rFonts w:hint="cs"/>
          <w:rtl/>
        </w:rPr>
        <w:t>َّ</w:t>
      </w:r>
      <w:r w:rsidRPr="00282AC9">
        <w:rPr>
          <w:rtl/>
        </w:rPr>
        <w:t>س</w:t>
      </w:r>
      <w:r w:rsidR="00643D70" w:rsidRPr="00282AC9">
        <w:rPr>
          <w:rFonts w:hint="cs"/>
          <w:rtl/>
        </w:rPr>
        <w:t>َ</w:t>
      </w:r>
      <w:r w:rsidRPr="00282AC9">
        <w:rPr>
          <w:rtl/>
        </w:rPr>
        <w:t>ب محلّ خلاف</w:t>
      </w:r>
      <w:r w:rsidR="00E52141" w:rsidRPr="00282AC9">
        <w:rPr>
          <w:rFonts w:hint="cs"/>
          <w:rtl/>
        </w:rPr>
        <w:t>ٍ</w:t>
      </w:r>
      <w:r w:rsidRPr="00282AC9">
        <w:rPr>
          <w:rtl/>
        </w:rPr>
        <w:t xml:space="preserve"> بين فقهاء المسلمين</w:t>
      </w:r>
      <w:r w:rsidR="00E52141" w:rsidRPr="00282AC9">
        <w:rPr>
          <w:rFonts w:hint="cs"/>
          <w:rtl/>
        </w:rPr>
        <w:t>.</w:t>
      </w:r>
      <w:r w:rsidRPr="00282AC9">
        <w:rPr>
          <w:rtl/>
        </w:rPr>
        <w:t xml:space="preserve"> وفي حين لا اعتبار لمسألة تكافؤ الن</w:t>
      </w:r>
      <w:r w:rsidR="00E52141" w:rsidRPr="00282AC9">
        <w:rPr>
          <w:rFonts w:hint="cs"/>
          <w:rtl/>
        </w:rPr>
        <w:t>َّ</w:t>
      </w:r>
      <w:r w:rsidRPr="00282AC9">
        <w:rPr>
          <w:rtl/>
        </w:rPr>
        <w:t>س</w:t>
      </w:r>
      <w:r w:rsidR="00E52141" w:rsidRPr="00282AC9">
        <w:rPr>
          <w:rFonts w:hint="cs"/>
          <w:rtl/>
        </w:rPr>
        <w:t>َ</w:t>
      </w:r>
      <w:r w:rsidRPr="00282AC9">
        <w:rPr>
          <w:rtl/>
        </w:rPr>
        <w:t>ب عند فقهاء الإمامي</w:t>
      </w:r>
      <w:r w:rsidR="00E52141" w:rsidRPr="00282AC9">
        <w:rPr>
          <w:rFonts w:hint="cs"/>
          <w:rtl/>
        </w:rPr>
        <w:t>ّ</w:t>
      </w:r>
      <w:r w:rsidRPr="00282AC9">
        <w:rPr>
          <w:rtl/>
        </w:rPr>
        <w:t>ة، فلا يشترط عندهم أن يكون الزوج متكافئ الن</w:t>
      </w:r>
      <w:r w:rsidR="00E52141" w:rsidRPr="00282AC9">
        <w:rPr>
          <w:rFonts w:hint="cs"/>
          <w:rtl/>
        </w:rPr>
        <w:t>َّ</w:t>
      </w:r>
      <w:r w:rsidRPr="00282AC9">
        <w:rPr>
          <w:rtl/>
        </w:rPr>
        <w:t>س</w:t>
      </w:r>
      <w:r w:rsidR="00E52141" w:rsidRPr="00282AC9">
        <w:rPr>
          <w:rFonts w:hint="cs"/>
          <w:rtl/>
        </w:rPr>
        <w:t>َ</w:t>
      </w:r>
      <w:r w:rsidRPr="00282AC9">
        <w:rPr>
          <w:rtl/>
        </w:rPr>
        <w:t>ب مع الزوجة، خالفهم في ذلك الحنفي</w:t>
      </w:r>
      <w:r w:rsidR="00E52141" w:rsidRPr="00282AC9">
        <w:rPr>
          <w:rFonts w:hint="cs"/>
          <w:rtl/>
        </w:rPr>
        <w:t>ّ</w:t>
      </w:r>
      <w:r w:rsidRPr="00282AC9">
        <w:rPr>
          <w:rtl/>
        </w:rPr>
        <w:t>ة والشافعي</w:t>
      </w:r>
      <w:r w:rsidR="00E52141" w:rsidRPr="00282AC9">
        <w:rPr>
          <w:rFonts w:hint="cs"/>
          <w:rtl/>
        </w:rPr>
        <w:t>ّ</w:t>
      </w:r>
      <w:r w:rsidRPr="00282AC9">
        <w:rPr>
          <w:rtl/>
        </w:rPr>
        <w:t>ة والحنابلة، الذين استدلّ</w:t>
      </w:r>
      <w:r w:rsidR="00E52141" w:rsidRPr="00282AC9">
        <w:rPr>
          <w:rFonts w:hint="cs"/>
          <w:rtl/>
        </w:rPr>
        <w:t>ُ</w:t>
      </w:r>
      <w:r w:rsidRPr="00282AC9">
        <w:rPr>
          <w:rtl/>
        </w:rPr>
        <w:t>وا على رأيهم بقول الخليفة عمر بن الخط</w:t>
      </w:r>
      <w:r w:rsidR="00E52141" w:rsidRPr="00282AC9">
        <w:rPr>
          <w:rFonts w:hint="cs"/>
          <w:rtl/>
        </w:rPr>
        <w:t>ّ</w:t>
      </w:r>
      <w:r w:rsidRPr="00282AC9">
        <w:rPr>
          <w:rtl/>
        </w:rPr>
        <w:t xml:space="preserve">اب: </w:t>
      </w:r>
      <w:r w:rsidRPr="00282AC9">
        <w:rPr>
          <w:sz w:val="24"/>
          <w:szCs w:val="24"/>
          <w:rtl/>
        </w:rPr>
        <w:t>«</w:t>
      </w:r>
      <w:r w:rsidRPr="00282AC9">
        <w:rPr>
          <w:rtl/>
        </w:rPr>
        <w:t>لأمنعنّ</w:t>
      </w:r>
      <w:r w:rsidR="00E52141" w:rsidRPr="00282AC9">
        <w:rPr>
          <w:rFonts w:hint="cs"/>
          <w:rtl/>
        </w:rPr>
        <w:t>َ</w:t>
      </w:r>
      <w:r w:rsidRPr="00282AC9">
        <w:rPr>
          <w:rtl/>
        </w:rPr>
        <w:t xml:space="preserve"> فروج ذوات الأحساب إ</w:t>
      </w:r>
      <w:r w:rsidR="00EE6DBA" w:rsidRPr="00282AC9">
        <w:rPr>
          <w:rtl/>
        </w:rPr>
        <w:t>لاّ</w:t>
      </w:r>
      <w:r w:rsidR="00E52141" w:rsidRPr="00282AC9">
        <w:rPr>
          <w:rFonts w:hint="cs"/>
          <w:rtl/>
        </w:rPr>
        <w:t>َ</w:t>
      </w:r>
      <w:r w:rsidRPr="00282AC9">
        <w:rPr>
          <w:rtl/>
        </w:rPr>
        <w:t xml:space="preserve"> من الأكفاء</w:t>
      </w:r>
      <w:r w:rsidR="00E52141" w:rsidRPr="00282AC9">
        <w:rPr>
          <w:sz w:val="24"/>
          <w:szCs w:val="24"/>
          <w:rtl/>
        </w:rPr>
        <w:t>»</w:t>
      </w:r>
      <w:r w:rsidRPr="00282AC9">
        <w:rPr>
          <w:rtl/>
        </w:rPr>
        <w:t>، قال: قلت</w:t>
      </w:r>
      <w:r w:rsidR="00E52141" w:rsidRPr="00282AC9">
        <w:rPr>
          <w:rFonts w:hint="cs"/>
          <w:rtl/>
        </w:rPr>
        <w:t>ُ</w:t>
      </w:r>
      <w:r w:rsidRPr="00282AC9">
        <w:rPr>
          <w:rtl/>
        </w:rPr>
        <w:t>: وما الأكفاء</w:t>
      </w:r>
      <w:r w:rsidR="00E52141" w:rsidRPr="00282AC9">
        <w:rPr>
          <w:rFonts w:hint="cs"/>
          <w:rtl/>
        </w:rPr>
        <w:t>؟</w:t>
      </w:r>
      <w:r w:rsidRPr="00282AC9">
        <w:rPr>
          <w:rtl/>
        </w:rPr>
        <w:t xml:space="preserve"> قال: </w:t>
      </w:r>
      <w:r w:rsidR="00E52141" w:rsidRPr="00282AC9">
        <w:rPr>
          <w:sz w:val="24"/>
          <w:szCs w:val="24"/>
          <w:rtl/>
        </w:rPr>
        <w:t>«</w:t>
      </w:r>
      <w:r w:rsidRPr="00282AC9">
        <w:rPr>
          <w:rtl/>
        </w:rPr>
        <w:t>في الح</w:t>
      </w:r>
      <w:r w:rsidR="00E52141" w:rsidRPr="00282AC9">
        <w:rPr>
          <w:rFonts w:hint="cs"/>
          <w:rtl/>
        </w:rPr>
        <w:t>َ</w:t>
      </w:r>
      <w:r w:rsidRPr="00282AC9">
        <w:rPr>
          <w:rtl/>
        </w:rPr>
        <w:t>س</w:t>
      </w:r>
      <w:r w:rsidR="00E52141" w:rsidRPr="00282AC9">
        <w:rPr>
          <w:rFonts w:hint="cs"/>
          <w:rtl/>
        </w:rPr>
        <w:t>َ</w:t>
      </w:r>
      <w:r w:rsidRPr="00282AC9">
        <w:rPr>
          <w:rtl/>
        </w:rPr>
        <w:t>ب</w:t>
      </w:r>
      <w:r w:rsidRPr="00282AC9">
        <w:rPr>
          <w:sz w:val="24"/>
          <w:szCs w:val="24"/>
          <w:rtl/>
        </w:rPr>
        <w:t>»</w:t>
      </w:r>
      <w:r w:rsidRPr="00282AC9">
        <w:rPr>
          <w:vertAlign w:val="superscript"/>
          <w:rtl/>
        </w:rPr>
        <w:t>(</w:t>
      </w:r>
      <w:r w:rsidRPr="00282AC9">
        <w:rPr>
          <w:vertAlign w:val="superscript"/>
          <w:rtl/>
        </w:rPr>
        <w:endnoteReference w:id="217"/>
      </w:r>
      <w:r w:rsidRPr="00282AC9">
        <w:rPr>
          <w:vertAlign w:val="superscript"/>
          <w:rtl/>
        </w:rPr>
        <w:t>)</w:t>
      </w:r>
      <w:r w:rsidRPr="00282AC9">
        <w:rPr>
          <w:rtl/>
        </w:rPr>
        <w:t xml:space="preserve">، </w:t>
      </w:r>
      <w:r w:rsidRPr="00282AC9">
        <w:rPr>
          <w:rtl/>
        </w:rPr>
        <w:lastRenderedPageBreak/>
        <w:t>والاعتبار عندهم في الن</w:t>
      </w:r>
      <w:r w:rsidR="00E52141" w:rsidRPr="00282AC9">
        <w:rPr>
          <w:rFonts w:hint="cs"/>
          <w:rtl/>
        </w:rPr>
        <w:t>َّ</w:t>
      </w:r>
      <w:r w:rsidRPr="00282AC9">
        <w:rPr>
          <w:rtl/>
        </w:rPr>
        <w:t>س</w:t>
      </w:r>
      <w:r w:rsidR="00E52141" w:rsidRPr="00282AC9">
        <w:rPr>
          <w:rFonts w:hint="cs"/>
          <w:rtl/>
        </w:rPr>
        <w:t>َ</w:t>
      </w:r>
      <w:r w:rsidRPr="00282AC9">
        <w:rPr>
          <w:rtl/>
        </w:rPr>
        <w:t>ب للآباء، حيث قالوا</w:t>
      </w:r>
      <w:r w:rsidR="00E52141" w:rsidRPr="00282AC9">
        <w:rPr>
          <w:rFonts w:hint="cs"/>
          <w:rtl/>
        </w:rPr>
        <w:t>:</w:t>
      </w:r>
      <w:r w:rsidRPr="00282AC9">
        <w:rPr>
          <w:rtl/>
        </w:rPr>
        <w:t xml:space="preserve"> إنّ الأعجميَّ أباً</w:t>
      </w:r>
      <w:r w:rsidR="00E52141" w:rsidRPr="00282AC9">
        <w:rPr>
          <w:rFonts w:hint="cs"/>
          <w:rtl/>
        </w:rPr>
        <w:t>،</w:t>
      </w:r>
      <w:r w:rsidRPr="00282AC9">
        <w:rPr>
          <w:rtl/>
        </w:rPr>
        <w:t xml:space="preserve"> وإن</w:t>
      </w:r>
      <w:r w:rsidR="00E52141" w:rsidRPr="00282AC9">
        <w:rPr>
          <w:rFonts w:hint="cs"/>
          <w:rtl/>
        </w:rPr>
        <w:t>ْ</w:t>
      </w:r>
      <w:r w:rsidRPr="00282AC9">
        <w:rPr>
          <w:rtl/>
        </w:rPr>
        <w:t xml:space="preserve"> كانت أمّ</w:t>
      </w:r>
      <w:r w:rsidR="00E52141" w:rsidRPr="00282AC9">
        <w:rPr>
          <w:rFonts w:hint="cs"/>
          <w:rtl/>
        </w:rPr>
        <w:t>ُ</w:t>
      </w:r>
      <w:r w:rsidRPr="00282AC9">
        <w:rPr>
          <w:rtl/>
        </w:rPr>
        <w:t>ه عربي</w:t>
      </w:r>
      <w:r w:rsidR="00E52141" w:rsidRPr="00282AC9">
        <w:rPr>
          <w:rFonts w:hint="cs"/>
          <w:rtl/>
        </w:rPr>
        <w:t>ّ</w:t>
      </w:r>
      <w:r w:rsidRPr="00282AC9">
        <w:rPr>
          <w:rtl/>
        </w:rPr>
        <w:t>ة</w:t>
      </w:r>
      <w:r w:rsidR="00E52141" w:rsidRPr="00282AC9">
        <w:rPr>
          <w:rFonts w:hint="cs"/>
          <w:rtl/>
        </w:rPr>
        <w:t>ً</w:t>
      </w:r>
      <w:r w:rsidRPr="00282AC9">
        <w:rPr>
          <w:rtl/>
        </w:rPr>
        <w:t>، فليس كفؤاً للعربي</w:t>
      </w:r>
      <w:r w:rsidR="00E52141" w:rsidRPr="00282AC9">
        <w:rPr>
          <w:rFonts w:hint="cs"/>
          <w:rtl/>
        </w:rPr>
        <w:t>ّ</w:t>
      </w:r>
      <w:r w:rsidRPr="00282AC9">
        <w:rPr>
          <w:rtl/>
        </w:rPr>
        <w:t>ة، وإن</w:t>
      </w:r>
      <w:r w:rsidR="00E52141" w:rsidRPr="00282AC9">
        <w:rPr>
          <w:rFonts w:hint="cs"/>
          <w:rtl/>
        </w:rPr>
        <w:t>ْ</w:t>
      </w:r>
      <w:r w:rsidRPr="00282AC9">
        <w:rPr>
          <w:rtl/>
        </w:rPr>
        <w:t xml:space="preserve"> كانت أمّ</w:t>
      </w:r>
      <w:r w:rsidR="00E52141" w:rsidRPr="00282AC9">
        <w:rPr>
          <w:rFonts w:hint="cs"/>
          <w:rtl/>
        </w:rPr>
        <w:t>ُ</w:t>
      </w:r>
      <w:r w:rsidRPr="00282AC9">
        <w:rPr>
          <w:rtl/>
        </w:rPr>
        <w:t>ها أعجمي</w:t>
      </w:r>
      <w:r w:rsidR="00E52141" w:rsidRPr="00282AC9">
        <w:rPr>
          <w:rFonts w:hint="cs"/>
          <w:rtl/>
        </w:rPr>
        <w:t>ّ</w:t>
      </w:r>
      <w:r w:rsidRPr="00282AC9">
        <w:rPr>
          <w:rtl/>
        </w:rPr>
        <w:t>ة</w:t>
      </w:r>
      <w:r w:rsidR="00E52141" w:rsidRPr="00282AC9">
        <w:rPr>
          <w:rFonts w:hint="cs"/>
          <w:rtl/>
        </w:rPr>
        <w:t>ً</w:t>
      </w:r>
      <w:r w:rsidRPr="00282AC9">
        <w:rPr>
          <w:rtl/>
        </w:rPr>
        <w:t xml:space="preserve">. </w:t>
      </w:r>
    </w:p>
    <w:p w:rsidR="009C6A22" w:rsidRPr="00282AC9" w:rsidRDefault="009C6A22" w:rsidP="00106AA7">
      <w:pPr>
        <w:rPr>
          <w:rtl/>
        </w:rPr>
      </w:pPr>
      <w:r w:rsidRPr="00282AC9">
        <w:rPr>
          <w:rtl/>
        </w:rPr>
        <w:t>وذهب المذهب المالكي إلى عدم اعتبار الن</w:t>
      </w:r>
      <w:r w:rsidR="00E52141" w:rsidRPr="00282AC9">
        <w:rPr>
          <w:rFonts w:hint="cs"/>
          <w:rtl/>
        </w:rPr>
        <w:t>َّ</w:t>
      </w:r>
      <w:r w:rsidRPr="00282AC9">
        <w:rPr>
          <w:rtl/>
        </w:rPr>
        <w:t>س</w:t>
      </w:r>
      <w:r w:rsidR="00E52141" w:rsidRPr="00282AC9">
        <w:rPr>
          <w:rFonts w:hint="cs"/>
          <w:rtl/>
        </w:rPr>
        <w:t>َ</w:t>
      </w:r>
      <w:r w:rsidRPr="00282AC9">
        <w:rPr>
          <w:rtl/>
        </w:rPr>
        <w:t xml:space="preserve">ب، كما المذهب الإمامي، حيث قال مالك: </w:t>
      </w:r>
      <w:r w:rsidRPr="00282AC9">
        <w:rPr>
          <w:sz w:val="24"/>
          <w:szCs w:val="24"/>
          <w:rtl/>
        </w:rPr>
        <w:t>«</w:t>
      </w:r>
      <w:r w:rsidRPr="00282AC9">
        <w:rPr>
          <w:rtl/>
        </w:rPr>
        <w:t>أهل الإسلام كل</w:t>
      </w:r>
      <w:r w:rsidR="00E52141" w:rsidRPr="00282AC9">
        <w:rPr>
          <w:rFonts w:hint="cs"/>
          <w:rtl/>
        </w:rPr>
        <w:t>ُّ</w:t>
      </w:r>
      <w:r w:rsidRPr="00282AC9">
        <w:rPr>
          <w:rtl/>
        </w:rPr>
        <w:t>هم بعض</w:t>
      </w:r>
      <w:r w:rsidR="00E52141" w:rsidRPr="00282AC9">
        <w:rPr>
          <w:rFonts w:hint="cs"/>
          <w:rtl/>
        </w:rPr>
        <w:t>ُ</w:t>
      </w:r>
      <w:r w:rsidRPr="00282AC9">
        <w:rPr>
          <w:rtl/>
        </w:rPr>
        <w:t>هم أكفاء بعض</w:t>
      </w:r>
      <w:r w:rsidR="00E52141" w:rsidRPr="00282AC9">
        <w:rPr>
          <w:rFonts w:hint="cs"/>
          <w:rtl/>
        </w:rPr>
        <w:t>ٍ</w:t>
      </w:r>
      <w:r w:rsidRPr="00282AC9">
        <w:rPr>
          <w:rtl/>
        </w:rPr>
        <w:t xml:space="preserve">؛ لقوله تعالى: </w:t>
      </w:r>
      <w:r w:rsidR="00C5291F" w:rsidRPr="00282AC9">
        <w:rPr>
          <w:rFonts w:ascii="Mosawi" w:hAnsi="Mosawi" w:cs="Mosawi"/>
          <w:sz w:val="24"/>
          <w:szCs w:val="24"/>
          <w:rtl/>
        </w:rPr>
        <w:t>﴿</w:t>
      </w:r>
      <w:r w:rsidR="00E52141" w:rsidRPr="00282AC9">
        <w:rPr>
          <w:b/>
          <w:bCs/>
          <w:rtl/>
        </w:rPr>
        <w:t>إِنَّا خَلَقْنَاكُم</w:t>
      </w:r>
      <w:r w:rsidR="00E52141" w:rsidRPr="00282AC9">
        <w:rPr>
          <w:rFonts w:hint="cs"/>
          <w:b/>
          <w:bCs/>
          <w:rtl/>
        </w:rPr>
        <w:t>ْ</w:t>
      </w:r>
      <w:r w:rsidR="00E52141" w:rsidRPr="00282AC9">
        <w:rPr>
          <w:b/>
          <w:bCs/>
          <w:rtl/>
        </w:rPr>
        <w:t xml:space="preserve"> م</w:t>
      </w:r>
      <w:r w:rsidR="00E52141" w:rsidRPr="00282AC9">
        <w:rPr>
          <w:rFonts w:hint="cs"/>
          <w:b/>
          <w:bCs/>
          <w:rtl/>
        </w:rPr>
        <w:t>ِ</w:t>
      </w:r>
      <w:r w:rsidRPr="00282AC9">
        <w:rPr>
          <w:b/>
          <w:bCs/>
          <w:rtl/>
        </w:rPr>
        <w:t>ن</w:t>
      </w:r>
      <w:r w:rsidR="00E52141" w:rsidRPr="00282AC9">
        <w:rPr>
          <w:rFonts w:hint="cs"/>
          <w:b/>
          <w:bCs/>
          <w:rtl/>
        </w:rPr>
        <w:t>ْ</w:t>
      </w:r>
      <w:r w:rsidRPr="00282AC9">
        <w:rPr>
          <w:b/>
          <w:bCs/>
          <w:rtl/>
        </w:rPr>
        <w:t xml:space="preserve"> ذَكَرٍ وَأُن</w:t>
      </w:r>
      <w:r w:rsidR="00E52141" w:rsidRPr="00282AC9">
        <w:rPr>
          <w:rFonts w:hint="cs"/>
          <w:b/>
          <w:bCs/>
          <w:rtl/>
        </w:rPr>
        <w:t>ْ</w:t>
      </w:r>
      <w:r w:rsidRPr="00282AC9">
        <w:rPr>
          <w:b/>
          <w:bCs/>
          <w:rtl/>
        </w:rPr>
        <w:t xml:space="preserve">ثَى </w:t>
      </w:r>
      <w:r w:rsidRPr="00282AC9">
        <w:rPr>
          <w:rFonts w:hint="cs"/>
          <w:b/>
          <w:bCs/>
          <w:rtl/>
        </w:rPr>
        <w:t>وَجَعَلْنَاكُمْ</w:t>
      </w:r>
      <w:r w:rsidRPr="00282AC9">
        <w:rPr>
          <w:b/>
          <w:bCs/>
          <w:rtl/>
        </w:rPr>
        <w:t xml:space="preserve"> </w:t>
      </w:r>
      <w:r w:rsidRPr="00282AC9">
        <w:rPr>
          <w:rFonts w:hint="cs"/>
          <w:b/>
          <w:bCs/>
          <w:rtl/>
        </w:rPr>
        <w:t>شُعُوباً</w:t>
      </w:r>
      <w:r w:rsidRPr="00282AC9">
        <w:rPr>
          <w:b/>
          <w:bCs/>
          <w:rtl/>
        </w:rPr>
        <w:t xml:space="preserve"> </w:t>
      </w:r>
      <w:r w:rsidRPr="00282AC9">
        <w:rPr>
          <w:rFonts w:hint="cs"/>
          <w:b/>
          <w:bCs/>
          <w:rtl/>
        </w:rPr>
        <w:t>وَقَبَائِلَ</w:t>
      </w:r>
      <w:r w:rsidRPr="00282AC9">
        <w:rPr>
          <w:b/>
          <w:bCs/>
          <w:rtl/>
        </w:rPr>
        <w:t xml:space="preserve"> </w:t>
      </w:r>
      <w:r w:rsidRPr="00282AC9">
        <w:rPr>
          <w:rFonts w:hint="cs"/>
          <w:b/>
          <w:bCs/>
          <w:rtl/>
        </w:rPr>
        <w:t>لِتَعَارَفُوا</w:t>
      </w:r>
      <w:r w:rsidRPr="00282AC9">
        <w:rPr>
          <w:b/>
          <w:bCs/>
          <w:rtl/>
        </w:rPr>
        <w:t xml:space="preserve"> </w:t>
      </w:r>
      <w:r w:rsidRPr="00282AC9">
        <w:rPr>
          <w:rFonts w:hint="cs"/>
          <w:b/>
          <w:bCs/>
          <w:rtl/>
        </w:rPr>
        <w:t>إِنَّ</w:t>
      </w:r>
      <w:r w:rsidRPr="00282AC9">
        <w:rPr>
          <w:b/>
          <w:bCs/>
          <w:rtl/>
        </w:rPr>
        <w:t xml:space="preserve"> </w:t>
      </w:r>
      <w:r w:rsidRPr="00282AC9">
        <w:rPr>
          <w:rFonts w:hint="cs"/>
          <w:b/>
          <w:bCs/>
          <w:rtl/>
        </w:rPr>
        <w:t>أَكْرَمَكُمْ</w:t>
      </w:r>
      <w:r w:rsidRPr="00282AC9">
        <w:rPr>
          <w:b/>
          <w:bCs/>
          <w:rtl/>
        </w:rPr>
        <w:t xml:space="preserve"> </w:t>
      </w:r>
      <w:r w:rsidRPr="00282AC9">
        <w:rPr>
          <w:rFonts w:hint="cs"/>
          <w:b/>
          <w:bCs/>
          <w:rtl/>
        </w:rPr>
        <w:t>عِن</w:t>
      </w:r>
      <w:r w:rsidR="00E52141" w:rsidRPr="00282AC9">
        <w:rPr>
          <w:rFonts w:hint="cs"/>
          <w:b/>
          <w:bCs/>
          <w:rtl/>
        </w:rPr>
        <w:t>ْ</w:t>
      </w:r>
      <w:r w:rsidRPr="00282AC9">
        <w:rPr>
          <w:rFonts w:hint="cs"/>
          <w:b/>
          <w:bCs/>
          <w:rtl/>
        </w:rPr>
        <w:t>دَ</w:t>
      </w:r>
      <w:r w:rsidRPr="00282AC9">
        <w:rPr>
          <w:b/>
          <w:bCs/>
          <w:rtl/>
        </w:rPr>
        <w:t xml:space="preserve"> </w:t>
      </w:r>
      <w:r w:rsidR="00C06BE6" w:rsidRPr="00282AC9">
        <w:rPr>
          <w:rFonts w:hint="cs"/>
          <w:b/>
          <w:bCs/>
          <w:rtl/>
        </w:rPr>
        <w:t>الله</w:t>
      </w:r>
      <w:r w:rsidRPr="00282AC9">
        <w:rPr>
          <w:b/>
          <w:bCs/>
          <w:rtl/>
        </w:rPr>
        <w:t xml:space="preserve"> </w:t>
      </w:r>
      <w:r w:rsidRPr="00282AC9">
        <w:rPr>
          <w:rFonts w:hint="cs"/>
          <w:b/>
          <w:bCs/>
          <w:rtl/>
        </w:rPr>
        <w:t>أَتْقَاكُمْ</w:t>
      </w:r>
      <w:r w:rsidR="00C5291F" w:rsidRPr="00282AC9">
        <w:rPr>
          <w:rFonts w:ascii="Mosawi" w:hAnsi="Mosawi" w:cs="Mosawi"/>
          <w:sz w:val="24"/>
          <w:szCs w:val="24"/>
          <w:rtl/>
        </w:rPr>
        <w:t>﴾</w:t>
      </w:r>
      <w:r w:rsidRPr="00282AC9">
        <w:rPr>
          <w:rFonts w:hint="cs"/>
          <w:sz w:val="24"/>
          <w:szCs w:val="24"/>
          <w:rtl/>
        </w:rPr>
        <w:t>»</w:t>
      </w:r>
      <w:r w:rsidRPr="00282AC9">
        <w:rPr>
          <w:vertAlign w:val="superscript"/>
          <w:rtl/>
        </w:rPr>
        <w:t>(</w:t>
      </w:r>
      <w:r w:rsidRPr="00282AC9">
        <w:rPr>
          <w:vertAlign w:val="superscript"/>
          <w:rtl/>
        </w:rPr>
        <w:endnoteReference w:id="218"/>
      </w:r>
      <w:r w:rsidRPr="00282AC9">
        <w:rPr>
          <w:vertAlign w:val="superscript"/>
          <w:rtl/>
        </w:rPr>
        <w:t>)</w:t>
      </w:r>
      <w:r w:rsidRPr="00282AC9">
        <w:rPr>
          <w:rtl/>
        </w:rPr>
        <w:t xml:space="preserve">. </w:t>
      </w:r>
    </w:p>
    <w:p w:rsidR="003D6BF1" w:rsidRPr="00282AC9" w:rsidRDefault="009C6A22" w:rsidP="00106AA7">
      <w:pPr>
        <w:rPr>
          <w:rtl/>
        </w:rPr>
      </w:pPr>
      <w:r w:rsidRPr="00282AC9">
        <w:rPr>
          <w:rtl/>
        </w:rPr>
        <w:t>وقال الحنفي</w:t>
      </w:r>
      <w:r w:rsidR="003D6BF1" w:rsidRPr="00282AC9">
        <w:rPr>
          <w:rFonts w:hint="cs"/>
          <w:rtl/>
        </w:rPr>
        <w:t>ّ</w:t>
      </w:r>
      <w:r w:rsidRPr="00282AC9">
        <w:rPr>
          <w:rtl/>
        </w:rPr>
        <w:t xml:space="preserve">ة: </w:t>
      </w:r>
      <w:r w:rsidRPr="00282AC9">
        <w:rPr>
          <w:sz w:val="24"/>
          <w:szCs w:val="24"/>
          <w:rtl/>
        </w:rPr>
        <w:t>«</w:t>
      </w:r>
      <w:r w:rsidRPr="00282AC9">
        <w:rPr>
          <w:rtl/>
        </w:rPr>
        <w:t>العرب بعضهم أكفاء</w:t>
      </w:r>
      <w:r w:rsidR="003D6BF1" w:rsidRPr="00282AC9">
        <w:rPr>
          <w:rFonts w:hint="cs"/>
          <w:rtl/>
        </w:rPr>
        <w:t>ٌ</w:t>
      </w:r>
      <w:r w:rsidRPr="00282AC9">
        <w:rPr>
          <w:rtl/>
        </w:rPr>
        <w:t xml:space="preserve"> لبعض</w:t>
      </w:r>
      <w:r w:rsidR="003D6BF1" w:rsidRPr="00282AC9">
        <w:rPr>
          <w:rFonts w:hint="cs"/>
          <w:rtl/>
        </w:rPr>
        <w:t>ٍ؛</w:t>
      </w:r>
      <w:r w:rsidRPr="00282AC9">
        <w:rPr>
          <w:rtl/>
        </w:rPr>
        <w:t xml:space="preserve"> بالنص</w:t>
      </w:r>
      <w:r w:rsidR="003D6BF1" w:rsidRPr="00282AC9">
        <w:rPr>
          <w:rFonts w:hint="cs"/>
          <w:rtl/>
        </w:rPr>
        <w:t>ّ.</w:t>
      </w:r>
      <w:r w:rsidRPr="00282AC9">
        <w:rPr>
          <w:rtl/>
        </w:rPr>
        <w:t xml:space="preserve"> ولا تكون العرب كف</w:t>
      </w:r>
      <w:r w:rsidR="003D6BF1" w:rsidRPr="00282AC9">
        <w:rPr>
          <w:rFonts w:hint="cs"/>
          <w:rtl/>
        </w:rPr>
        <w:t>ؤ</w:t>
      </w:r>
      <w:r w:rsidRPr="00282AC9">
        <w:rPr>
          <w:rtl/>
        </w:rPr>
        <w:t>اً لقريش</w:t>
      </w:r>
      <w:r w:rsidR="003D6BF1" w:rsidRPr="00282AC9">
        <w:rPr>
          <w:rFonts w:hint="cs"/>
          <w:rtl/>
        </w:rPr>
        <w:t>؛</w:t>
      </w:r>
      <w:r w:rsidRPr="00282AC9">
        <w:rPr>
          <w:rtl/>
        </w:rPr>
        <w:t xml:space="preserve"> لفضيلة قريش على سائر العرب... والموالي بعضهم أكفاء لبعض</w:t>
      </w:r>
      <w:r w:rsidR="003D6BF1" w:rsidRPr="00282AC9">
        <w:rPr>
          <w:rFonts w:hint="cs"/>
          <w:rtl/>
        </w:rPr>
        <w:t>ٍ؛</w:t>
      </w:r>
      <w:r w:rsidRPr="00282AC9">
        <w:rPr>
          <w:rtl/>
        </w:rPr>
        <w:t xml:space="preserve"> بالنص</w:t>
      </w:r>
      <w:r w:rsidR="003D6BF1" w:rsidRPr="00282AC9">
        <w:rPr>
          <w:rFonts w:hint="cs"/>
          <w:rtl/>
        </w:rPr>
        <w:t>ّ.</w:t>
      </w:r>
      <w:r w:rsidRPr="00282AC9">
        <w:rPr>
          <w:rtl/>
        </w:rPr>
        <w:t xml:space="preserve"> ولا تكون الموالي أكفاء</w:t>
      </w:r>
      <w:r w:rsidR="003D6BF1" w:rsidRPr="00282AC9">
        <w:rPr>
          <w:rFonts w:hint="cs"/>
          <w:rtl/>
        </w:rPr>
        <w:t>ً</w:t>
      </w:r>
      <w:r w:rsidRPr="00282AC9">
        <w:rPr>
          <w:rtl/>
        </w:rPr>
        <w:t xml:space="preserve"> للعرب</w:t>
      </w:r>
      <w:r w:rsidR="003D6BF1" w:rsidRPr="00282AC9">
        <w:rPr>
          <w:rFonts w:hint="cs"/>
          <w:rtl/>
        </w:rPr>
        <w:t>؛</w:t>
      </w:r>
      <w:r w:rsidRPr="00282AC9">
        <w:rPr>
          <w:rtl/>
        </w:rPr>
        <w:t xml:space="preserve"> لفضل العرب على العجم</w:t>
      </w:r>
      <w:r w:rsidRPr="00282AC9">
        <w:rPr>
          <w:sz w:val="24"/>
          <w:szCs w:val="24"/>
          <w:rtl/>
        </w:rPr>
        <w:t>»</w:t>
      </w:r>
      <w:r w:rsidRPr="00282AC9">
        <w:rPr>
          <w:vertAlign w:val="superscript"/>
          <w:rtl/>
        </w:rPr>
        <w:t>(</w:t>
      </w:r>
      <w:r w:rsidRPr="00282AC9">
        <w:rPr>
          <w:vertAlign w:val="superscript"/>
          <w:rtl/>
        </w:rPr>
        <w:endnoteReference w:id="219"/>
      </w:r>
      <w:r w:rsidRPr="00282AC9">
        <w:rPr>
          <w:vertAlign w:val="superscript"/>
          <w:rtl/>
        </w:rPr>
        <w:t>)</w:t>
      </w:r>
      <w:r w:rsidR="003D6BF1" w:rsidRPr="00282AC9">
        <w:rPr>
          <w:rFonts w:hint="cs"/>
          <w:rtl/>
        </w:rPr>
        <w:t>.</w:t>
      </w:r>
    </w:p>
    <w:p w:rsidR="003D6BF1" w:rsidRPr="00282AC9" w:rsidRDefault="003D6BF1" w:rsidP="00106AA7">
      <w:pPr>
        <w:rPr>
          <w:rtl/>
        </w:rPr>
      </w:pPr>
      <w:r w:rsidRPr="00282AC9">
        <w:rPr>
          <w:rtl/>
        </w:rPr>
        <w:t>وكذلك قال الشافعية.</w:t>
      </w:r>
    </w:p>
    <w:p w:rsidR="003D6BF1" w:rsidRPr="00282AC9" w:rsidRDefault="009C6A22" w:rsidP="00106AA7">
      <w:pPr>
        <w:rPr>
          <w:rtl/>
        </w:rPr>
      </w:pPr>
      <w:r w:rsidRPr="00282AC9">
        <w:rPr>
          <w:rtl/>
        </w:rPr>
        <w:t>والأصحّ عند الحنفي</w:t>
      </w:r>
      <w:r w:rsidR="003D6BF1" w:rsidRPr="00282AC9">
        <w:rPr>
          <w:rFonts w:hint="cs"/>
          <w:rtl/>
        </w:rPr>
        <w:t>ّ</w:t>
      </w:r>
      <w:r w:rsidRPr="00282AC9">
        <w:rPr>
          <w:rtl/>
        </w:rPr>
        <w:t>ة أنّ العجمي لا يكون كفؤاً للعربي</w:t>
      </w:r>
      <w:r w:rsidR="003D6BF1" w:rsidRPr="00282AC9">
        <w:rPr>
          <w:rFonts w:hint="cs"/>
          <w:rtl/>
        </w:rPr>
        <w:t>ّ،</w:t>
      </w:r>
      <w:r w:rsidRPr="00282AC9">
        <w:rPr>
          <w:rtl/>
        </w:rPr>
        <w:t xml:space="preserve"> ولو كان عالماً أو سلطاناً، فهو ليس كفؤاً للزواج من عربي</w:t>
      </w:r>
      <w:r w:rsidR="003D6BF1" w:rsidRPr="00282AC9">
        <w:rPr>
          <w:rFonts w:hint="cs"/>
          <w:rtl/>
        </w:rPr>
        <w:t>ّ</w:t>
      </w:r>
      <w:r w:rsidRPr="00282AC9">
        <w:rPr>
          <w:rtl/>
        </w:rPr>
        <w:t>ة</w:t>
      </w:r>
      <w:r w:rsidR="003D6BF1" w:rsidRPr="00282AC9">
        <w:rPr>
          <w:rFonts w:hint="cs"/>
          <w:rtl/>
        </w:rPr>
        <w:t>ٍ</w:t>
      </w:r>
      <w:r w:rsidR="003D6BF1" w:rsidRPr="00282AC9">
        <w:rPr>
          <w:rtl/>
        </w:rPr>
        <w:t>.</w:t>
      </w:r>
    </w:p>
    <w:p w:rsidR="009C6A22" w:rsidRPr="00282AC9" w:rsidRDefault="009C6A22" w:rsidP="00106AA7">
      <w:pPr>
        <w:rPr>
          <w:rtl/>
        </w:rPr>
      </w:pPr>
      <w:r w:rsidRPr="00282AC9">
        <w:rPr>
          <w:rtl/>
        </w:rPr>
        <w:t>وذهب بعض الفقهاء إلى القول بالتكافؤ استناداً إلى الح</w:t>
      </w:r>
      <w:r w:rsidR="003D6BF1" w:rsidRPr="00282AC9">
        <w:rPr>
          <w:rFonts w:hint="cs"/>
          <w:rtl/>
        </w:rPr>
        <w:t>ِ</w:t>
      </w:r>
      <w:r w:rsidRPr="00282AC9">
        <w:rPr>
          <w:rtl/>
        </w:rPr>
        <w:t>ر</w:t>
      </w:r>
      <w:r w:rsidR="003D6BF1" w:rsidRPr="00282AC9">
        <w:rPr>
          <w:rFonts w:hint="cs"/>
          <w:rtl/>
        </w:rPr>
        <w:t>ْ</w:t>
      </w:r>
      <w:r w:rsidRPr="00282AC9">
        <w:rPr>
          <w:rtl/>
        </w:rPr>
        <w:t>فة والم</w:t>
      </w:r>
      <w:r w:rsidR="003D6BF1" w:rsidRPr="00282AC9">
        <w:rPr>
          <w:rFonts w:hint="cs"/>
          <w:rtl/>
        </w:rPr>
        <w:t>ِ</w:t>
      </w:r>
      <w:r w:rsidRPr="00282AC9">
        <w:rPr>
          <w:rtl/>
        </w:rPr>
        <w:t>ه</w:t>
      </w:r>
      <w:r w:rsidR="003D6BF1" w:rsidRPr="00282AC9">
        <w:rPr>
          <w:rFonts w:hint="cs"/>
          <w:rtl/>
        </w:rPr>
        <w:t>ْ</w:t>
      </w:r>
      <w:r w:rsidRPr="00282AC9">
        <w:rPr>
          <w:rtl/>
        </w:rPr>
        <w:t>نة</w:t>
      </w:r>
      <w:r w:rsidR="003D6BF1" w:rsidRPr="00282AC9">
        <w:rPr>
          <w:rFonts w:hint="cs"/>
          <w:rtl/>
        </w:rPr>
        <w:t>؛</w:t>
      </w:r>
      <w:r w:rsidR="003D6BF1" w:rsidRPr="00282AC9">
        <w:rPr>
          <w:rtl/>
        </w:rPr>
        <w:t xml:space="preserve"> فقد ذهب جمهور فقهاء أهل الس</w:t>
      </w:r>
      <w:r w:rsidRPr="00282AC9">
        <w:rPr>
          <w:rtl/>
        </w:rPr>
        <w:t>ن</w:t>
      </w:r>
      <w:r w:rsidR="003D6BF1" w:rsidRPr="00282AC9">
        <w:rPr>
          <w:rFonts w:hint="cs"/>
          <w:rtl/>
        </w:rPr>
        <w:t>ّ</w:t>
      </w:r>
      <w:r w:rsidRPr="00282AC9">
        <w:rPr>
          <w:rtl/>
        </w:rPr>
        <w:t>ة إلى القول</w:t>
      </w:r>
      <w:r w:rsidR="003D6BF1" w:rsidRPr="00282AC9">
        <w:rPr>
          <w:rFonts w:hint="cs"/>
          <w:rtl/>
        </w:rPr>
        <w:t>:</w:t>
      </w:r>
      <w:r w:rsidRPr="00282AC9">
        <w:rPr>
          <w:rtl/>
        </w:rPr>
        <w:t xml:space="preserve"> إنّ الرجل صاحب الصناعة أو الح</w:t>
      </w:r>
      <w:r w:rsidR="003D6BF1" w:rsidRPr="00282AC9">
        <w:rPr>
          <w:rFonts w:hint="cs"/>
          <w:rtl/>
        </w:rPr>
        <w:t>ِ</w:t>
      </w:r>
      <w:r w:rsidRPr="00282AC9">
        <w:rPr>
          <w:rtl/>
        </w:rPr>
        <w:t>ر</w:t>
      </w:r>
      <w:r w:rsidR="003D6BF1" w:rsidRPr="00282AC9">
        <w:rPr>
          <w:rFonts w:hint="cs"/>
          <w:rtl/>
        </w:rPr>
        <w:t>ْ</w:t>
      </w:r>
      <w:r w:rsidRPr="00282AC9">
        <w:rPr>
          <w:rtl/>
        </w:rPr>
        <w:t>فة الدنيئة أو الخسيسة ليس كفؤاً لبنت صاحب الصناعة أو الح</w:t>
      </w:r>
      <w:r w:rsidR="003D6BF1" w:rsidRPr="00282AC9">
        <w:rPr>
          <w:rFonts w:hint="cs"/>
          <w:rtl/>
        </w:rPr>
        <w:t>ِ</w:t>
      </w:r>
      <w:r w:rsidRPr="00282AC9">
        <w:rPr>
          <w:rtl/>
        </w:rPr>
        <w:t>ر</w:t>
      </w:r>
      <w:r w:rsidR="003D6BF1" w:rsidRPr="00282AC9">
        <w:rPr>
          <w:rFonts w:hint="cs"/>
          <w:rtl/>
        </w:rPr>
        <w:t>ْ</w:t>
      </w:r>
      <w:r w:rsidRPr="00282AC9">
        <w:rPr>
          <w:rtl/>
        </w:rPr>
        <w:t>فة الرفيعة أو الشريفة؛ لأنّ الناس يتفاخرون بشرف ح</w:t>
      </w:r>
      <w:r w:rsidR="003D6BF1" w:rsidRPr="00282AC9">
        <w:rPr>
          <w:rFonts w:hint="cs"/>
          <w:rtl/>
        </w:rPr>
        <w:t>ِ</w:t>
      </w:r>
      <w:r w:rsidRPr="00282AC9">
        <w:rPr>
          <w:rtl/>
        </w:rPr>
        <w:t>ر</w:t>
      </w:r>
      <w:r w:rsidR="003D6BF1" w:rsidRPr="00282AC9">
        <w:rPr>
          <w:rFonts w:hint="cs"/>
          <w:rtl/>
        </w:rPr>
        <w:t>َ</w:t>
      </w:r>
      <w:r w:rsidRPr="00282AC9">
        <w:rPr>
          <w:rtl/>
        </w:rPr>
        <w:t>فهم. وقال الحنفي</w:t>
      </w:r>
      <w:r w:rsidR="003D6BF1" w:rsidRPr="00282AC9">
        <w:rPr>
          <w:rFonts w:hint="cs"/>
          <w:rtl/>
        </w:rPr>
        <w:t>ّ</w:t>
      </w:r>
      <w:r w:rsidRPr="00282AC9">
        <w:rPr>
          <w:rtl/>
        </w:rPr>
        <w:t xml:space="preserve">ة: </w:t>
      </w:r>
      <w:r w:rsidRPr="00282AC9">
        <w:rPr>
          <w:sz w:val="24"/>
          <w:szCs w:val="24"/>
          <w:rtl/>
        </w:rPr>
        <w:t>«</w:t>
      </w:r>
      <w:r w:rsidRPr="00282AC9">
        <w:rPr>
          <w:rtl/>
        </w:rPr>
        <w:t>تثبت الكفاءة بين الحرفتين في جنس</w:t>
      </w:r>
      <w:r w:rsidR="00BF27A5" w:rsidRPr="00282AC9">
        <w:rPr>
          <w:rFonts w:hint="cs"/>
          <w:rtl/>
        </w:rPr>
        <w:t>ٍ</w:t>
      </w:r>
      <w:r w:rsidRPr="00282AC9">
        <w:rPr>
          <w:rtl/>
        </w:rPr>
        <w:t xml:space="preserve"> واحد، كالبز</w:t>
      </w:r>
      <w:r w:rsidR="00BF27A5" w:rsidRPr="00282AC9">
        <w:rPr>
          <w:rFonts w:hint="cs"/>
          <w:rtl/>
        </w:rPr>
        <w:t>ّ</w:t>
      </w:r>
      <w:r w:rsidRPr="00282AC9">
        <w:rPr>
          <w:rtl/>
        </w:rPr>
        <w:t>از مع البز</w:t>
      </w:r>
      <w:r w:rsidR="00BF27A5" w:rsidRPr="00282AC9">
        <w:rPr>
          <w:rFonts w:hint="cs"/>
          <w:rtl/>
        </w:rPr>
        <w:t>ّ</w:t>
      </w:r>
      <w:r w:rsidRPr="00282AC9">
        <w:rPr>
          <w:rtl/>
        </w:rPr>
        <w:t>از، والحائك مع الحائك</w:t>
      </w:r>
      <w:r w:rsidR="00BF27A5" w:rsidRPr="00282AC9">
        <w:rPr>
          <w:rFonts w:hint="cs"/>
          <w:rtl/>
        </w:rPr>
        <w:t>؛</w:t>
      </w:r>
      <w:r w:rsidRPr="00282AC9">
        <w:rPr>
          <w:rtl/>
        </w:rPr>
        <w:t xml:space="preserve"> وتثبت عند اختلاف جنس الح</w:t>
      </w:r>
      <w:r w:rsidR="00BF27A5" w:rsidRPr="00282AC9">
        <w:rPr>
          <w:rFonts w:hint="cs"/>
          <w:rtl/>
        </w:rPr>
        <w:t>ِ</w:t>
      </w:r>
      <w:r w:rsidRPr="00282AC9">
        <w:rPr>
          <w:rtl/>
        </w:rPr>
        <w:t>ر</w:t>
      </w:r>
      <w:r w:rsidR="00BF27A5" w:rsidRPr="00282AC9">
        <w:rPr>
          <w:rFonts w:hint="cs"/>
          <w:rtl/>
        </w:rPr>
        <w:t>ْ</w:t>
      </w:r>
      <w:r w:rsidRPr="00282AC9">
        <w:rPr>
          <w:rtl/>
        </w:rPr>
        <w:t>فة إذا كان يقارب بعضها بعضاً، كالبز</w:t>
      </w:r>
      <w:r w:rsidR="00BF27A5" w:rsidRPr="00282AC9">
        <w:rPr>
          <w:rFonts w:hint="cs"/>
          <w:rtl/>
        </w:rPr>
        <w:t>ّ</w:t>
      </w:r>
      <w:r w:rsidRPr="00282AC9">
        <w:rPr>
          <w:rtl/>
        </w:rPr>
        <w:t>از مع الصائغ، والصائغ مع العط</w:t>
      </w:r>
      <w:r w:rsidR="00BF27A5" w:rsidRPr="00282AC9">
        <w:rPr>
          <w:rFonts w:hint="cs"/>
          <w:rtl/>
        </w:rPr>
        <w:t>ّ</w:t>
      </w:r>
      <w:r w:rsidRPr="00282AC9">
        <w:rPr>
          <w:rtl/>
        </w:rPr>
        <w:t>ار</w:t>
      </w:r>
      <w:r w:rsidR="00BF27A5" w:rsidRPr="00282AC9">
        <w:rPr>
          <w:rFonts w:hint="cs"/>
          <w:rtl/>
        </w:rPr>
        <w:t>؛</w:t>
      </w:r>
      <w:r w:rsidRPr="00282AC9">
        <w:rPr>
          <w:rtl/>
        </w:rPr>
        <w:t xml:space="preserve"> ولا تثبت فيما لا مقاربة بينهما، كالعط</w:t>
      </w:r>
      <w:r w:rsidR="00BF27A5" w:rsidRPr="00282AC9">
        <w:rPr>
          <w:rFonts w:hint="cs"/>
          <w:rtl/>
        </w:rPr>
        <w:t>ّ</w:t>
      </w:r>
      <w:r w:rsidRPr="00282AC9">
        <w:rPr>
          <w:rtl/>
        </w:rPr>
        <w:t>ار مع البيطار، والبز</w:t>
      </w:r>
      <w:r w:rsidR="00BF27A5" w:rsidRPr="00282AC9">
        <w:rPr>
          <w:rFonts w:hint="cs"/>
          <w:rtl/>
        </w:rPr>
        <w:t>ّ</w:t>
      </w:r>
      <w:r w:rsidRPr="00282AC9">
        <w:rPr>
          <w:rtl/>
        </w:rPr>
        <w:t>از مع الخر</w:t>
      </w:r>
      <w:r w:rsidR="00BF27A5" w:rsidRPr="00282AC9">
        <w:rPr>
          <w:rFonts w:hint="cs"/>
          <w:rtl/>
        </w:rPr>
        <w:t>ّ</w:t>
      </w:r>
      <w:r w:rsidRPr="00282AC9">
        <w:rPr>
          <w:rtl/>
        </w:rPr>
        <w:t>از</w:t>
      </w:r>
      <w:r w:rsidRPr="00282AC9">
        <w:rPr>
          <w:sz w:val="24"/>
          <w:szCs w:val="24"/>
          <w:rtl/>
        </w:rPr>
        <w:t>»</w:t>
      </w:r>
      <w:r w:rsidRPr="00282AC9">
        <w:rPr>
          <w:vertAlign w:val="superscript"/>
          <w:rtl/>
        </w:rPr>
        <w:t>(</w:t>
      </w:r>
      <w:r w:rsidRPr="00282AC9">
        <w:rPr>
          <w:vertAlign w:val="superscript"/>
          <w:rtl/>
        </w:rPr>
        <w:endnoteReference w:id="220"/>
      </w:r>
      <w:r w:rsidRPr="00282AC9">
        <w:rPr>
          <w:vertAlign w:val="superscript"/>
          <w:rtl/>
        </w:rPr>
        <w:t>)</w:t>
      </w:r>
      <w:r w:rsidRPr="00282AC9">
        <w:rPr>
          <w:rtl/>
        </w:rPr>
        <w:t xml:space="preserve">. </w:t>
      </w:r>
    </w:p>
    <w:p w:rsidR="00BF27A5" w:rsidRPr="00282AC9" w:rsidRDefault="009C6A22" w:rsidP="00106AA7">
      <w:pPr>
        <w:rPr>
          <w:rtl/>
        </w:rPr>
      </w:pPr>
      <w:r w:rsidRPr="00282AC9">
        <w:rPr>
          <w:rtl/>
        </w:rPr>
        <w:t>ولنا أن نتصوّ</w:t>
      </w:r>
      <w:r w:rsidR="00BF27A5" w:rsidRPr="00282AC9">
        <w:rPr>
          <w:rFonts w:hint="cs"/>
          <w:rtl/>
        </w:rPr>
        <w:t>َ</w:t>
      </w:r>
      <w:r w:rsidRPr="00282AC9">
        <w:rPr>
          <w:rtl/>
        </w:rPr>
        <w:t>ر مدى التعقيد الذي لا مبرّ</w:t>
      </w:r>
      <w:r w:rsidR="00BF27A5" w:rsidRPr="00282AC9">
        <w:rPr>
          <w:rFonts w:hint="cs"/>
          <w:rtl/>
        </w:rPr>
        <w:t>ِ</w:t>
      </w:r>
      <w:r w:rsidRPr="00282AC9">
        <w:rPr>
          <w:rtl/>
        </w:rPr>
        <w:t>ر له في جميع هذه الأقوال</w:t>
      </w:r>
      <w:r w:rsidR="00BF27A5" w:rsidRPr="00282AC9">
        <w:rPr>
          <w:rFonts w:hint="cs"/>
          <w:rtl/>
        </w:rPr>
        <w:t>.</w:t>
      </w:r>
    </w:p>
    <w:p w:rsidR="009C6A22" w:rsidRPr="00282AC9" w:rsidRDefault="009C6A22" w:rsidP="00106AA7">
      <w:pPr>
        <w:rPr>
          <w:rtl/>
        </w:rPr>
      </w:pPr>
      <w:r w:rsidRPr="00282AC9">
        <w:rPr>
          <w:rtl/>
        </w:rPr>
        <w:t>والأغرب أنّ جميع ما سبق هو من كلام الفقهاء الذين يقر</w:t>
      </w:r>
      <w:r w:rsidR="002A3B21" w:rsidRPr="00282AC9">
        <w:rPr>
          <w:rFonts w:hint="cs"/>
          <w:rtl/>
        </w:rPr>
        <w:t>ؤ</w:t>
      </w:r>
      <w:r w:rsidRPr="00282AC9">
        <w:rPr>
          <w:rtl/>
        </w:rPr>
        <w:t>ون قول رسول الله</w:t>
      </w:r>
      <w:r w:rsidR="009A2A04" w:rsidRPr="00282AC9">
        <w:rPr>
          <w:rFonts w:cs="Mosawi"/>
          <w:sz w:val="22"/>
          <w:szCs w:val="22"/>
          <w:rtl/>
        </w:rPr>
        <w:t>|</w:t>
      </w:r>
      <w:r w:rsidRPr="00282AC9">
        <w:rPr>
          <w:rtl/>
        </w:rPr>
        <w:t xml:space="preserve">: </w:t>
      </w:r>
      <w:r w:rsidRPr="00282AC9">
        <w:rPr>
          <w:sz w:val="24"/>
          <w:szCs w:val="24"/>
          <w:rtl/>
        </w:rPr>
        <w:t>«</w:t>
      </w:r>
      <w:r w:rsidRPr="00282AC9">
        <w:rPr>
          <w:rtl/>
        </w:rPr>
        <w:t>كل</w:t>
      </w:r>
      <w:r w:rsidR="00BF27A5" w:rsidRPr="00282AC9">
        <w:rPr>
          <w:rFonts w:hint="cs"/>
          <w:rtl/>
        </w:rPr>
        <w:t>ُّ</w:t>
      </w:r>
      <w:r w:rsidRPr="00282AC9">
        <w:rPr>
          <w:rtl/>
        </w:rPr>
        <w:t>كم لآدم</w:t>
      </w:r>
      <w:r w:rsidR="00BF27A5" w:rsidRPr="00282AC9">
        <w:rPr>
          <w:rFonts w:hint="cs"/>
          <w:rtl/>
        </w:rPr>
        <w:t>،</w:t>
      </w:r>
      <w:r w:rsidRPr="00282AC9">
        <w:rPr>
          <w:rtl/>
        </w:rPr>
        <w:t xml:space="preserve"> وآدم من تراب</w:t>
      </w:r>
      <w:r w:rsidR="00BF27A5" w:rsidRPr="00282AC9">
        <w:rPr>
          <w:rFonts w:hint="cs"/>
          <w:rtl/>
        </w:rPr>
        <w:t>ٍ</w:t>
      </w:r>
      <w:r w:rsidRPr="00282AC9">
        <w:rPr>
          <w:rtl/>
        </w:rPr>
        <w:t>، لا فضل لعربي</w:t>
      </w:r>
      <w:r w:rsidR="00BF27A5" w:rsidRPr="00282AC9">
        <w:rPr>
          <w:rFonts w:hint="cs"/>
          <w:rtl/>
        </w:rPr>
        <w:t>ٍّ</w:t>
      </w:r>
      <w:r w:rsidRPr="00282AC9">
        <w:rPr>
          <w:rtl/>
        </w:rPr>
        <w:t xml:space="preserve"> على عجمي</w:t>
      </w:r>
      <w:r w:rsidR="00BF27A5" w:rsidRPr="00282AC9">
        <w:rPr>
          <w:rFonts w:hint="cs"/>
          <w:rtl/>
        </w:rPr>
        <w:t>ٍّ،</w:t>
      </w:r>
      <w:r w:rsidRPr="00282AC9">
        <w:rPr>
          <w:rtl/>
        </w:rPr>
        <w:t xml:space="preserve"> ولا لعجمي</w:t>
      </w:r>
      <w:r w:rsidR="00BF27A5" w:rsidRPr="00282AC9">
        <w:rPr>
          <w:rFonts w:hint="cs"/>
          <w:rtl/>
        </w:rPr>
        <w:t>ٍّ</w:t>
      </w:r>
      <w:r w:rsidRPr="00282AC9">
        <w:rPr>
          <w:rtl/>
        </w:rPr>
        <w:t xml:space="preserve"> على عربي</w:t>
      </w:r>
      <w:r w:rsidR="00BF27A5" w:rsidRPr="00282AC9">
        <w:rPr>
          <w:rFonts w:hint="cs"/>
          <w:rtl/>
        </w:rPr>
        <w:t>ٍّ،</w:t>
      </w:r>
      <w:r w:rsidRPr="00282AC9">
        <w:rPr>
          <w:rtl/>
        </w:rPr>
        <w:t xml:space="preserve"> ولا لأبيض على أحمر</w:t>
      </w:r>
      <w:r w:rsidRPr="00282AC9">
        <w:rPr>
          <w:sz w:val="24"/>
          <w:szCs w:val="24"/>
          <w:rtl/>
        </w:rPr>
        <w:t>»</w:t>
      </w:r>
      <w:r w:rsidRPr="00282AC9">
        <w:rPr>
          <w:rtl/>
        </w:rPr>
        <w:t>، لكن</w:t>
      </w:r>
      <w:r w:rsidR="00BF27A5" w:rsidRPr="00282AC9">
        <w:rPr>
          <w:rFonts w:hint="cs"/>
          <w:rtl/>
        </w:rPr>
        <w:t>ّ</w:t>
      </w:r>
      <w:r w:rsidRPr="00282AC9">
        <w:rPr>
          <w:rtl/>
        </w:rPr>
        <w:t xml:space="preserve">هم يجعلون ذلك في باب الاستثناء. </w:t>
      </w:r>
    </w:p>
    <w:p w:rsidR="00A716AC" w:rsidRPr="00282AC9" w:rsidRDefault="00A716AC" w:rsidP="00A716AC">
      <w:pPr>
        <w:spacing w:line="420" w:lineRule="exact"/>
        <w:rPr>
          <w:rtl/>
        </w:rPr>
      </w:pPr>
    </w:p>
    <w:p w:rsidR="009C6A22" w:rsidRPr="00282AC9" w:rsidRDefault="00ED351D" w:rsidP="00B37544">
      <w:pPr>
        <w:pStyle w:val="31"/>
        <w:rPr>
          <w:color w:val="auto"/>
          <w:lang w:bidi="ar-YE"/>
        </w:rPr>
      </w:pPr>
      <w:r w:rsidRPr="00282AC9">
        <w:rPr>
          <w:rFonts w:hint="cs"/>
          <w:color w:val="auto"/>
          <w:rtl/>
          <w:lang w:bidi="ar-YE"/>
        </w:rPr>
        <w:t xml:space="preserve">لزوم </w:t>
      </w:r>
      <w:r w:rsidR="009C6A22" w:rsidRPr="00282AC9">
        <w:rPr>
          <w:color w:val="auto"/>
          <w:rtl/>
          <w:lang w:bidi="ar-YE"/>
        </w:rPr>
        <w:t>اختيار</w:t>
      </w:r>
      <w:r w:rsidR="009C6A22" w:rsidRPr="00282AC9">
        <w:rPr>
          <w:color w:val="auto"/>
          <w:lang w:bidi="ar-YE"/>
        </w:rPr>
        <w:t xml:space="preserve"> </w:t>
      </w:r>
      <w:r w:rsidR="009C6A22" w:rsidRPr="00282AC9">
        <w:rPr>
          <w:color w:val="auto"/>
          <w:rtl/>
          <w:lang w:bidi="ar-YE"/>
        </w:rPr>
        <w:t>الآراء</w:t>
      </w:r>
      <w:r w:rsidR="009C6A22" w:rsidRPr="00282AC9">
        <w:rPr>
          <w:color w:val="auto"/>
          <w:lang w:bidi="ar-YE"/>
        </w:rPr>
        <w:t xml:space="preserve"> </w:t>
      </w:r>
      <w:r w:rsidR="009C6A22" w:rsidRPr="00282AC9">
        <w:rPr>
          <w:color w:val="auto"/>
          <w:rtl/>
          <w:lang w:bidi="ar-YE"/>
        </w:rPr>
        <w:t>الفقهي</w:t>
      </w:r>
      <w:r w:rsidR="00BF27A5" w:rsidRPr="00282AC9">
        <w:rPr>
          <w:rFonts w:hint="cs"/>
          <w:color w:val="auto"/>
          <w:rtl/>
          <w:lang w:bidi="ar-YE"/>
        </w:rPr>
        <w:t>ّ</w:t>
      </w:r>
      <w:r w:rsidR="009C6A22" w:rsidRPr="00282AC9">
        <w:rPr>
          <w:color w:val="auto"/>
          <w:rtl/>
          <w:lang w:bidi="ar-YE"/>
        </w:rPr>
        <w:t>ة</w:t>
      </w:r>
      <w:r w:rsidR="009C6A22" w:rsidRPr="00282AC9">
        <w:rPr>
          <w:color w:val="auto"/>
          <w:lang w:bidi="ar-YE"/>
        </w:rPr>
        <w:t xml:space="preserve"> </w:t>
      </w:r>
      <w:r w:rsidR="009C6A22" w:rsidRPr="00282AC9">
        <w:rPr>
          <w:color w:val="auto"/>
          <w:rtl/>
          <w:lang w:bidi="ar-YE"/>
        </w:rPr>
        <w:t>المناسبة</w:t>
      </w:r>
    </w:p>
    <w:p w:rsidR="009C6A22" w:rsidRPr="00282AC9" w:rsidRDefault="009C6A22" w:rsidP="00106AA7">
      <w:pPr>
        <w:rPr>
          <w:rtl/>
        </w:rPr>
      </w:pPr>
      <w:r w:rsidRPr="00282AC9">
        <w:rPr>
          <w:rtl/>
        </w:rPr>
        <w:t>من الواضح أنّ الآراء الفقهي</w:t>
      </w:r>
      <w:r w:rsidR="00BF27A5" w:rsidRPr="00282AC9">
        <w:rPr>
          <w:rFonts w:hint="cs"/>
          <w:rtl/>
        </w:rPr>
        <w:t>ّ</w:t>
      </w:r>
      <w:r w:rsidRPr="00282AC9">
        <w:rPr>
          <w:rtl/>
        </w:rPr>
        <w:t>ة التي ذهب</w:t>
      </w:r>
      <w:r w:rsidR="00BF27A5" w:rsidRPr="00282AC9">
        <w:rPr>
          <w:rFonts w:hint="cs"/>
          <w:rtl/>
        </w:rPr>
        <w:t>َ</w:t>
      </w:r>
      <w:r w:rsidRPr="00282AC9">
        <w:rPr>
          <w:rtl/>
        </w:rPr>
        <w:t>ت</w:t>
      </w:r>
      <w:r w:rsidR="00BF27A5" w:rsidRPr="00282AC9">
        <w:rPr>
          <w:rFonts w:hint="cs"/>
          <w:rtl/>
        </w:rPr>
        <w:t>ْ</w:t>
      </w:r>
      <w:r w:rsidRPr="00282AC9">
        <w:rPr>
          <w:rtl/>
        </w:rPr>
        <w:t xml:space="preserve"> إلى القول بتكافؤ الن</w:t>
      </w:r>
      <w:r w:rsidR="00BF27A5" w:rsidRPr="00282AC9">
        <w:rPr>
          <w:rFonts w:hint="cs"/>
          <w:rtl/>
        </w:rPr>
        <w:t>َّ</w:t>
      </w:r>
      <w:r w:rsidRPr="00282AC9">
        <w:rPr>
          <w:rtl/>
        </w:rPr>
        <w:t>س</w:t>
      </w:r>
      <w:r w:rsidR="00BF27A5" w:rsidRPr="00282AC9">
        <w:rPr>
          <w:rFonts w:hint="cs"/>
          <w:rtl/>
        </w:rPr>
        <w:t>َ</w:t>
      </w:r>
      <w:r w:rsidRPr="00282AC9">
        <w:rPr>
          <w:rtl/>
        </w:rPr>
        <w:t>ب كانت متأثّ</w:t>
      </w:r>
      <w:r w:rsidR="00BF27A5" w:rsidRPr="00282AC9">
        <w:rPr>
          <w:rFonts w:hint="cs"/>
          <w:rtl/>
        </w:rPr>
        <w:t>ِ</w:t>
      </w:r>
      <w:r w:rsidRPr="00282AC9">
        <w:rPr>
          <w:rtl/>
        </w:rPr>
        <w:t>رة</w:t>
      </w:r>
      <w:r w:rsidR="00BF27A5" w:rsidRPr="00282AC9">
        <w:rPr>
          <w:rFonts w:hint="cs"/>
          <w:rtl/>
        </w:rPr>
        <w:t>ً</w:t>
      </w:r>
      <w:r w:rsidRPr="00282AC9">
        <w:rPr>
          <w:rtl/>
        </w:rPr>
        <w:t xml:space="preserve"> بظروف البيئة الاجتماعية والثقافية السائدة في زمانهم. ولكن</w:t>
      </w:r>
      <w:r w:rsidR="00BF27A5" w:rsidRPr="00282AC9">
        <w:rPr>
          <w:rFonts w:hint="cs"/>
          <w:rtl/>
        </w:rPr>
        <w:t>ْ</w:t>
      </w:r>
      <w:r w:rsidRPr="00282AC9">
        <w:rPr>
          <w:rtl/>
        </w:rPr>
        <w:t xml:space="preserve"> ماذا عن العصر </w:t>
      </w:r>
      <w:r w:rsidRPr="00282AC9">
        <w:rPr>
          <w:rtl/>
        </w:rPr>
        <w:lastRenderedPageBreak/>
        <w:t>الراهن</w:t>
      </w:r>
      <w:r w:rsidR="00BF27A5" w:rsidRPr="00282AC9">
        <w:rPr>
          <w:rFonts w:hint="cs"/>
          <w:rtl/>
        </w:rPr>
        <w:t>،</w:t>
      </w:r>
      <w:r w:rsidRPr="00282AC9">
        <w:rPr>
          <w:rtl/>
        </w:rPr>
        <w:t xml:space="preserve"> بكلّ تحدّ</w:t>
      </w:r>
      <w:r w:rsidR="00BF27A5" w:rsidRPr="00282AC9">
        <w:rPr>
          <w:rFonts w:hint="cs"/>
          <w:rtl/>
        </w:rPr>
        <w:t>ِ</w:t>
      </w:r>
      <w:r w:rsidRPr="00282AC9">
        <w:rPr>
          <w:rtl/>
        </w:rPr>
        <w:t>ياته، المختلفة كل</w:t>
      </w:r>
      <w:r w:rsidR="00BF27A5" w:rsidRPr="00282AC9">
        <w:rPr>
          <w:rFonts w:hint="cs"/>
          <w:rtl/>
        </w:rPr>
        <w:t>ِّ</w:t>
      </w:r>
      <w:r w:rsidR="00BF27A5" w:rsidRPr="00282AC9">
        <w:rPr>
          <w:rtl/>
        </w:rPr>
        <w:t>ي</w:t>
      </w:r>
      <w:r w:rsidRPr="00282AC9">
        <w:rPr>
          <w:rtl/>
        </w:rPr>
        <w:t>اً عن ظروف العصور القديمة؟ وهل يصحّ أن يبقى المسلمون في العصر الحديث محكومين بهذه الآراء المتقادمة؟ نحن وإنْ كنّا نحترم تلك الاجتهادات ضمن سياقاتها المغايرة، إ</w:t>
      </w:r>
      <w:r w:rsidR="00EE6DBA" w:rsidRPr="00282AC9">
        <w:rPr>
          <w:rtl/>
        </w:rPr>
        <w:t>لاّ</w:t>
      </w:r>
      <w:r w:rsidRPr="00282AC9">
        <w:rPr>
          <w:rtl/>
        </w:rPr>
        <w:t xml:space="preserve"> أنّنا إذا انفت</w:t>
      </w:r>
      <w:r w:rsidR="00BF27A5" w:rsidRPr="00282AC9">
        <w:rPr>
          <w:rFonts w:hint="cs"/>
          <w:rtl/>
        </w:rPr>
        <w:t>َ</w:t>
      </w:r>
      <w:r w:rsidRPr="00282AC9">
        <w:rPr>
          <w:rtl/>
        </w:rPr>
        <w:t>ح</w:t>
      </w:r>
      <w:r w:rsidR="00BF27A5" w:rsidRPr="00282AC9">
        <w:rPr>
          <w:rFonts w:hint="cs"/>
          <w:rtl/>
        </w:rPr>
        <w:t>ْ</w:t>
      </w:r>
      <w:r w:rsidRPr="00282AC9">
        <w:rPr>
          <w:rtl/>
        </w:rPr>
        <w:t>نا على النصوص والمبادئ الدينية، وأخ</w:t>
      </w:r>
      <w:r w:rsidR="009F20E5" w:rsidRPr="00282AC9">
        <w:rPr>
          <w:rFonts w:hint="cs"/>
          <w:rtl/>
        </w:rPr>
        <w:t>َ</w:t>
      </w:r>
      <w:r w:rsidRPr="00282AC9">
        <w:rPr>
          <w:rtl/>
        </w:rPr>
        <w:t>ذ</w:t>
      </w:r>
      <w:r w:rsidR="009F20E5" w:rsidRPr="00282AC9">
        <w:rPr>
          <w:rFonts w:hint="cs"/>
          <w:rtl/>
        </w:rPr>
        <w:t>ْ</w:t>
      </w:r>
      <w:r w:rsidRPr="00282AC9">
        <w:rPr>
          <w:rtl/>
        </w:rPr>
        <w:t>نا بعين الاعتبار التحدّ</w:t>
      </w:r>
      <w:r w:rsidR="009F20E5" w:rsidRPr="00282AC9">
        <w:rPr>
          <w:rFonts w:hint="cs"/>
          <w:rtl/>
        </w:rPr>
        <w:t>ِ</w:t>
      </w:r>
      <w:r w:rsidRPr="00282AC9">
        <w:rPr>
          <w:rtl/>
        </w:rPr>
        <w:t>يات والظروف المعاصرة، فإنّ ذلك يتطلّ</w:t>
      </w:r>
      <w:r w:rsidR="009F20E5" w:rsidRPr="00282AC9">
        <w:rPr>
          <w:rFonts w:hint="cs"/>
          <w:rtl/>
        </w:rPr>
        <w:t>َ</w:t>
      </w:r>
      <w:r w:rsidRPr="00282AC9">
        <w:rPr>
          <w:rtl/>
        </w:rPr>
        <w:t>ب منا ترجيح الآراء الأكثر تسامحاً وانسجاماً مع مبادئ الدين وروح العصر</w:t>
      </w:r>
      <w:r w:rsidR="009F20E5" w:rsidRPr="00282AC9">
        <w:rPr>
          <w:rFonts w:hint="cs"/>
          <w:rtl/>
        </w:rPr>
        <w:t xml:space="preserve">، ولا </w:t>
      </w:r>
      <w:r w:rsidRPr="00282AC9">
        <w:rPr>
          <w:rtl/>
        </w:rPr>
        <w:t>سيّ</w:t>
      </w:r>
      <w:r w:rsidR="009F20E5" w:rsidRPr="00282AC9">
        <w:rPr>
          <w:rFonts w:hint="cs"/>
          <w:rtl/>
        </w:rPr>
        <w:t>َ</w:t>
      </w:r>
      <w:r w:rsidRPr="00282AC9">
        <w:rPr>
          <w:rtl/>
        </w:rPr>
        <w:t>ما أنّ تطبيق مسألة تكافؤ الن</w:t>
      </w:r>
      <w:r w:rsidR="009F20E5" w:rsidRPr="00282AC9">
        <w:rPr>
          <w:rFonts w:hint="cs"/>
          <w:rtl/>
        </w:rPr>
        <w:t>َّ</w:t>
      </w:r>
      <w:r w:rsidRPr="00282AC9">
        <w:rPr>
          <w:rtl/>
        </w:rPr>
        <w:t>س</w:t>
      </w:r>
      <w:r w:rsidR="009F20E5" w:rsidRPr="00282AC9">
        <w:rPr>
          <w:rFonts w:hint="cs"/>
          <w:rtl/>
        </w:rPr>
        <w:t>َ</w:t>
      </w:r>
      <w:r w:rsidRPr="00282AC9">
        <w:rPr>
          <w:rtl/>
        </w:rPr>
        <w:t>ب غير</w:t>
      </w:r>
      <w:r w:rsidR="009F20E5" w:rsidRPr="00282AC9">
        <w:rPr>
          <w:rFonts w:hint="cs"/>
          <w:rtl/>
        </w:rPr>
        <w:t>ُ</w:t>
      </w:r>
      <w:r w:rsidRPr="00282AC9">
        <w:rPr>
          <w:rtl/>
        </w:rPr>
        <w:t xml:space="preserve"> داخل</w:t>
      </w:r>
      <w:r w:rsidR="009F20E5" w:rsidRPr="00282AC9">
        <w:rPr>
          <w:rFonts w:hint="cs"/>
          <w:rtl/>
        </w:rPr>
        <w:t>ٍ</w:t>
      </w:r>
      <w:r w:rsidRPr="00282AC9">
        <w:rPr>
          <w:rtl/>
        </w:rPr>
        <w:t xml:space="preserve"> في باب الإلزام والوجوب، وإنّما غاية</w:t>
      </w:r>
      <w:r w:rsidR="009F20E5" w:rsidRPr="00282AC9">
        <w:rPr>
          <w:rFonts w:hint="cs"/>
          <w:rtl/>
        </w:rPr>
        <w:t>ُ</w:t>
      </w:r>
      <w:r w:rsidRPr="00282AC9">
        <w:rPr>
          <w:rtl/>
        </w:rPr>
        <w:t xml:space="preserve"> ما ي</w:t>
      </w:r>
      <w:r w:rsidR="009F20E5" w:rsidRPr="00282AC9">
        <w:rPr>
          <w:rFonts w:hint="cs"/>
          <w:rtl/>
        </w:rPr>
        <w:t>ُ</w:t>
      </w:r>
      <w:r w:rsidRPr="00282AC9">
        <w:rPr>
          <w:rtl/>
        </w:rPr>
        <w:t>قال</w:t>
      </w:r>
      <w:r w:rsidR="009F20E5" w:rsidRPr="00282AC9">
        <w:rPr>
          <w:rFonts w:hint="cs"/>
          <w:rtl/>
        </w:rPr>
        <w:t>:</w:t>
      </w:r>
      <w:r w:rsidRPr="00282AC9">
        <w:rPr>
          <w:rtl/>
        </w:rPr>
        <w:t xml:space="preserve"> إنّه حقٌّ من الحقوق، التي يمكن التنازل عنها، إذا ما تعارض</w:t>
      </w:r>
      <w:r w:rsidR="009F20E5" w:rsidRPr="00282AC9">
        <w:rPr>
          <w:rFonts w:hint="cs"/>
          <w:rtl/>
        </w:rPr>
        <w:t>َ</w:t>
      </w:r>
      <w:r w:rsidRPr="00282AC9">
        <w:rPr>
          <w:rtl/>
        </w:rPr>
        <w:t>ت</w:t>
      </w:r>
      <w:r w:rsidR="009F20E5" w:rsidRPr="00282AC9">
        <w:rPr>
          <w:rFonts w:hint="cs"/>
          <w:rtl/>
        </w:rPr>
        <w:t>ْ</w:t>
      </w:r>
      <w:r w:rsidRPr="00282AC9">
        <w:rPr>
          <w:rtl/>
        </w:rPr>
        <w:t xml:space="preserve"> مع ما هو أهمّ وأ</w:t>
      </w:r>
      <w:r w:rsidR="009F20E5" w:rsidRPr="00282AC9">
        <w:rPr>
          <w:rFonts w:hint="cs"/>
          <w:rtl/>
        </w:rPr>
        <w:t>َ</w:t>
      </w:r>
      <w:r w:rsidRPr="00282AC9">
        <w:rPr>
          <w:rtl/>
        </w:rPr>
        <w:t>و</w:t>
      </w:r>
      <w:r w:rsidR="009F20E5" w:rsidRPr="00282AC9">
        <w:rPr>
          <w:rFonts w:hint="cs"/>
          <w:rtl/>
        </w:rPr>
        <w:t>ْ</w:t>
      </w:r>
      <w:r w:rsidRPr="00282AC9">
        <w:rPr>
          <w:rtl/>
        </w:rPr>
        <w:t xml:space="preserve">لى. </w:t>
      </w:r>
    </w:p>
    <w:p w:rsidR="009C6A22" w:rsidRPr="00282AC9" w:rsidRDefault="009C6A22" w:rsidP="00106AA7">
      <w:pPr>
        <w:rPr>
          <w:rtl/>
        </w:rPr>
      </w:pPr>
      <w:r w:rsidRPr="00282AC9">
        <w:rPr>
          <w:rtl/>
        </w:rPr>
        <w:t>من هنا، وت</w:t>
      </w:r>
      <w:r w:rsidR="009F20E5" w:rsidRPr="00282AC9">
        <w:rPr>
          <w:rFonts w:hint="cs"/>
          <w:rtl/>
        </w:rPr>
        <w:t>َ</w:t>
      </w:r>
      <w:r w:rsidRPr="00282AC9">
        <w:rPr>
          <w:rtl/>
        </w:rPr>
        <w:t>ب</w:t>
      </w:r>
      <w:r w:rsidR="009F20E5" w:rsidRPr="00282AC9">
        <w:rPr>
          <w:rFonts w:hint="cs"/>
          <w:rtl/>
        </w:rPr>
        <w:t>َ</w:t>
      </w:r>
      <w:r w:rsidRPr="00282AC9">
        <w:rPr>
          <w:rtl/>
        </w:rPr>
        <w:t>عاً لظروف العصر الراهن، ينبغي الأخذ بعين الاعتبار رأي الفتاة في مسألة الزواج. وإذا كانت تصرّ</w:t>
      </w:r>
      <w:r w:rsidR="009F20E5" w:rsidRPr="00282AC9">
        <w:rPr>
          <w:rFonts w:hint="cs"/>
          <w:rtl/>
        </w:rPr>
        <w:t>ُ</w:t>
      </w:r>
      <w:r w:rsidRPr="00282AC9">
        <w:rPr>
          <w:rtl/>
        </w:rPr>
        <w:t xml:space="preserve"> على الزواج من شاب</w:t>
      </w:r>
      <w:r w:rsidR="009F20E5" w:rsidRPr="00282AC9">
        <w:rPr>
          <w:rFonts w:hint="cs"/>
          <w:rtl/>
        </w:rPr>
        <w:t>ٍّ</w:t>
      </w:r>
      <w:r w:rsidRPr="00282AC9">
        <w:rPr>
          <w:rtl/>
        </w:rPr>
        <w:t xml:space="preserve"> معيّ</w:t>
      </w:r>
      <w:r w:rsidR="009F20E5" w:rsidRPr="00282AC9">
        <w:rPr>
          <w:rFonts w:hint="cs"/>
          <w:rtl/>
        </w:rPr>
        <w:t>َ</w:t>
      </w:r>
      <w:r w:rsidRPr="00282AC9">
        <w:rPr>
          <w:rtl/>
        </w:rPr>
        <w:t>ن فإنّ رأيها ينبغي أن يكون محلّ</w:t>
      </w:r>
      <w:r w:rsidR="009F20E5" w:rsidRPr="00282AC9">
        <w:rPr>
          <w:rFonts w:hint="cs"/>
          <w:rtl/>
        </w:rPr>
        <w:t>َ</w:t>
      </w:r>
      <w:r w:rsidRPr="00282AC9">
        <w:rPr>
          <w:rtl/>
        </w:rPr>
        <w:t xml:space="preserve"> احترام</w:t>
      </w:r>
      <w:r w:rsidR="009F20E5" w:rsidRPr="00282AC9">
        <w:rPr>
          <w:rFonts w:hint="cs"/>
          <w:rtl/>
        </w:rPr>
        <w:t>ٍ</w:t>
      </w:r>
      <w:r w:rsidRPr="00282AC9">
        <w:rPr>
          <w:rtl/>
        </w:rPr>
        <w:t>، وذلك بالنظر إلى التداعيات الخطيرة المتوق</w:t>
      </w:r>
      <w:r w:rsidR="009F20E5" w:rsidRPr="00282AC9">
        <w:rPr>
          <w:rFonts w:hint="cs"/>
          <w:rtl/>
        </w:rPr>
        <w:t>َّ</w:t>
      </w:r>
      <w:r w:rsidRPr="00282AC9">
        <w:rPr>
          <w:rtl/>
        </w:rPr>
        <w:t>عة في حال تم</w:t>
      </w:r>
      <w:r w:rsidR="009F20E5" w:rsidRPr="00282AC9">
        <w:rPr>
          <w:rFonts w:hint="cs"/>
          <w:rtl/>
        </w:rPr>
        <w:t>ّ</w:t>
      </w:r>
      <w:r w:rsidRPr="00282AC9">
        <w:rPr>
          <w:rtl/>
        </w:rPr>
        <w:t xml:space="preserve"> صرفها </w:t>
      </w:r>
      <w:r w:rsidR="009F20E5" w:rsidRPr="00282AC9">
        <w:rPr>
          <w:rtl/>
        </w:rPr>
        <w:t xml:space="preserve">تحت ضغط العائلة </w:t>
      </w:r>
      <w:r w:rsidRPr="00282AC9">
        <w:rPr>
          <w:rtl/>
        </w:rPr>
        <w:t>عن الزواج مم</w:t>
      </w:r>
      <w:r w:rsidR="009F20E5" w:rsidRPr="00282AC9">
        <w:rPr>
          <w:rFonts w:hint="cs"/>
          <w:rtl/>
        </w:rPr>
        <w:t>َّ</w:t>
      </w:r>
      <w:r w:rsidRPr="00282AC9">
        <w:rPr>
          <w:rtl/>
        </w:rPr>
        <w:t>ن</w:t>
      </w:r>
      <w:r w:rsidR="009F20E5" w:rsidRPr="00282AC9">
        <w:rPr>
          <w:rFonts w:hint="cs"/>
          <w:rtl/>
        </w:rPr>
        <w:t>ْ</w:t>
      </w:r>
      <w:r w:rsidRPr="00282AC9">
        <w:rPr>
          <w:rtl/>
        </w:rPr>
        <w:t xml:space="preserve"> </w:t>
      </w:r>
      <w:r w:rsidR="009F20E5" w:rsidRPr="00282AC9">
        <w:rPr>
          <w:rtl/>
        </w:rPr>
        <w:t>تريد</w:t>
      </w:r>
      <w:r w:rsidR="009F20E5" w:rsidRPr="00282AC9">
        <w:rPr>
          <w:rFonts w:hint="cs"/>
          <w:rtl/>
        </w:rPr>
        <w:t>.</w:t>
      </w:r>
      <w:r w:rsidR="009F20E5" w:rsidRPr="00282AC9">
        <w:rPr>
          <w:rtl/>
        </w:rPr>
        <w:t xml:space="preserve"> وغاية ما هناك أن</w:t>
      </w:r>
      <w:r w:rsidRPr="00282AC9">
        <w:rPr>
          <w:rtl/>
        </w:rPr>
        <w:t xml:space="preserve"> يجري الحديث معها، ومحاولة إقناعها بصرف النظر عن ذلك الزواج، إذا كانت هناك مبرّ</w:t>
      </w:r>
      <w:r w:rsidR="009F20E5" w:rsidRPr="00282AC9">
        <w:rPr>
          <w:rFonts w:hint="cs"/>
          <w:rtl/>
        </w:rPr>
        <w:t>ِ</w:t>
      </w:r>
      <w:r w:rsidRPr="00282AC9">
        <w:rPr>
          <w:rtl/>
        </w:rPr>
        <w:t>رات</w:t>
      </w:r>
      <w:r w:rsidR="009F20E5" w:rsidRPr="00282AC9">
        <w:rPr>
          <w:rFonts w:hint="cs"/>
          <w:rtl/>
        </w:rPr>
        <w:t>ٌ</w:t>
      </w:r>
      <w:r w:rsidRPr="00282AC9">
        <w:rPr>
          <w:rtl/>
        </w:rPr>
        <w:t xml:space="preserve"> صحيحة، وإ</w:t>
      </w:r>
      <w:r w:rsidR="00EE6DBA" w:rsidRPr="00282AC9">
        <w:rPr>
          <w:rtl/>
        </w:rPr>
        <w:t>لاّ</w:t>
      </w:r>
      <w:r w:rsidRPr="00282AC9">
        <w:rPr>
          <w:rtl/>
        </w:rPr>
        <w:t xml:space="preserve"> فلا جدوى من الضغط عليها إذا تشبّ</w:t>
      </w:r>
      <w:r w:rsidR="009F20E5" w:rsidRPr="00282AC9">
        <w:rPr>
          <w:rFonts w:hint="cs"/>
          <w:rtl/>
        </w:rPr>
        <w:t>َ</w:t>
      </w:r>
      <w:r w:rsidRPr="00282AC9">
        <w:rPr>
          <w:rtl/>
        </w:rPr>
        <w:t>ث</w:t>
      </w:r>
      <w:r w:rsidR="009F20E5" w:rsidRPr="00282AC9">
        <w:rPr>
          <w:rFonts w:hint="cs"/>
          <w:rtl/>
        </w:rPr>
        <w:t>َ</w:t>
      </w:r>
      <w:r w:rsidRPr="00282AC9">
        <w:rPr>
          <w:rtl/>
        </w:rPr>
        <w:t>ت</w:t>
      </w:r>
      <w:r w:rsidR="009F20E5" w:rsidRPr="00282AC9">
        <w:rPr>
          <w:rFonts w:hint="cs"/>
          <w:rtl/>
        </w:rPr>
        <w:t>ْ</w:t>
      </w:r>
      <w:r w:rsidRPr="00282AC9">
        <w:rPr>
          <w:rtl/>
        </w:rPr>
        <w:t xml:space="preserve"> برأيها</w:t>
      </w:r>
      <w:r w:rsidR="009F20E5" w:rsidRPr="00282AC9">
        <w:rPr>
          <w:rFonts w:hint="cs"/>
          <w:rtl/>
        </w:rPr>
        <w:t>؛</w:t>
      </w:r>
      <w:r w:rsidRPr="00282AC9">
        <w:rPr>
          <w:rtl/>
        </w:rPr>
        <w:t xml:space="preserve"> لما في ذلك من عواقب غير محمودة</w:t>
      </w:r>
      <w:r w:rsidR="009F20E5" w:rsidRPr="00282AC9">
        <w:rPr>
          <w:rFonts w:hint="cs"/>
          <w:rtl/>
        </w:rPr>
        <w:t>ٍ</w:t>
      </w:r>
      <w:r w:rsidRPr="00282AC9">
        <w:rPr>
          <w:rtl/>
        </w:rPr>
        <w:t xml:space="preserve"> إذا تزو</w:t>
      </w:r>
      <w:r w:rsidR="009F20E5" w:rsidRPr="00282AC9">
        <w:rPr>
          <w:rFonts w:hint="cs"/>
          <w:rtl/>
        </w:rPr>
        <w:t>َّ</w:t>
      </w:r>
      <w:r w:rsidRPr="00282AC9">
        <w:rPr>
          <w:rtl/>
        </w:rPr>
        <w:t>ج</w:t>
      </w:r>
      <w:r w:rsidR="009F20E5" w:rsidRPr="00282AC9">
        <w:rPr>
          <w:rFonts w:hint="cs"/>
          <w:rtl/>
        </w:rPr>
        <w:t>َ</w:t>
      </w:r>
      <w:r w:rsidRPr="00282AC9">
        <w:rPr>
          <w:rtl/>
        </w:rPr>
        <w:t>ت</w:t>
      </w:r>
      <w:r w:rsidR="009F20E5" w:rsidRPr="00282AC9">
        <w:rPr>
          <w:rFonts w:hint="cs"/>
          <w:rtl/>
        </w:rPr>
        <w:t>ْ</w:t>
      </w:r>
      <w:r w:rsidRPr="00282AC9">
        <w:rPr>
          <w:rtl/>
        </w:rPr>
        <w:t xml:space="preserve"> لاحقاً بم</w:t>
      </w:r>
      <w:r w:rsidR="009F20E5" w:rsidRPr="00282AC9">
        <w:rPr>
          <w:rFonts w:hint="cs"/>
          <w:rtl/>
        </w:rPr>
        <w:t>َ</w:t>
      </w:r>
      <w:r w:rsidRPr="00282AC9">
        <w:rPr>
          <w:rtl/>
        </w:rPr>
        <w:t>ن</w:t>
      </w:r>
      <w:r w:rsidR="009F20E5" w:rsidRPr="00282AC9">
        <w:rPr>
          <w:rFonts w:hint="cs"/>
          <w:rtl/>
        </w:rPr>
        <w:t>ْ</w:t>
      </w:r>
      <w:r w:rsidRPr="00282AC9">
        <w:rPr>
          <w:rtl/>
        </w:rPr>
        <w:t xml:space="preserve"> لا ترغب فيه</w:t>
      </w:r>
      <w:r w:rsidR="009F20E5" w:rsidRPr="00282AC9">
        <w:rPr>
          <w:rFonts w:hint="cs"/>
          <w:rtl/>
        </w:rPr>
        <w:t>؛</w:t>
      </w:r>
      <w:r w:rsidRPr="00282AC9">
        <w:rPr>
          <w:rtl/>
        </w:rPr>
        <w:t xml:space="preserve"> حيث ستفقد الاستقرار في علاقتها الزوجي</w:t>
      </w:r>
      <w:r w:rsidR="009F20E5" w:rsidRPr="00282AC9">
        <w:rPr>
          <w:rFonts w:hint="cs"/>
          <w:rtl/>
        </w:rPr>
        <w:t>ّ</w:t>
      </w:r>
      <w:r w:rsidRPr="00282AC9">
        <w:rPr>
          <w:rtl/>
        </w:rPr>
        <w:t>ة الجديدة</w:t>
      </w:r>
      <w:r w:rsidR="009F20E5" w:rsidRPr="00282AC9">
        <w:rPr>
          <w:rFonts w:hint="cs"/>
          <w:rtl/>
        </w:rPr>
        <w:t>؛</w:t>
      </w:r>
      <w:r w:rsidRPr="00282AC9">
        <w:rPr>
          <w:rtl/>
        </w:rPr>
        <w:t xml:space="preserve"> بالنظر لانشدادها وعواطفها المنشغلة بأحدٍ آخر. </w:t>
      </w:r>
    </w:p>
    <w:p w:rsidR="009C6A22" w:rsidRPr="00282AC9" w:rsidRDefault="009F20E5" w:rsidP="00106AA7">
      <w:pPr>
        <w:rPr>
          <w:rtl/>
        </w:rPr>
      </w:pPr>
      <w:r w:rsidRPr="00282AC9">
        <w:rPr>
          <w:rtl/>
        </w:rPr>
        <w:t>والحال نفسه مع الش</w:t>
      </w:r>
      <w:r w:rsidR="009C6A22" w:rsidRPr="00282AC9">
        <w:rPr>
          <w:rtl/>
        </w:rPr>
        <w:t>اب</w:t>
      </w:r>
      <w:r w:rsidRPr="00282AC9">
        <w:rPr>
          <w:rFonts w:hint="cs"/>
          <w:rtl/>
        </w:rPr>
        <w:t>ّ</w:t>
      </w:r>
      <w:r w:rsidR="009C6A22" w:rsidRPr="00282AC9">
        <w:rPr>
          <w:rtl/>
        </w:rPr>
        <w:t xml:space="preserve"> الذي جرى رفض ارتباطه بالفتاة التي يحب</w:t>
      </w:r>
      <w:r w:rsidRPr="00282AC9">
        <w:rPr>
          <w:rFonts w:hint="cs"/>
          <w:rtl/>
        </w:rPr>
        <w:t>ّ؛</w:t>
      </w:r>
      <w:r w:rsidR="009C6A22" w:rsidRPr="00282AC9">
        <w:rPr>
          <w:rtl/>
        </w:rPr>
        <w:t xml:space="preserve"> إذ ستكون علاقته الزوجي</w:t>
      </w:r>
      <w:r w:rsidRPr="00282AC9">
        <w:rPr>
          <w:rFonts w:hint="cs"/>
          <w:rtl/>
        </w:rPr>
        <w:t>ّ</w:t>
      </w:r>
      <w:r w:rsidR="009C6A22" w:rsidRPr="00282AC9">
        <w:rPr>
          <w:rtl/>
        </w:rPr>
        <w:t>ة المستقبلي</w:t>
      </w:r>
      <w:r w:rsidRPr="00282AC9">
        <w:rPr>
          <w:rFonts w:hint="cs"/>
          <w:rtl/>
        </w:rPr>
        <w:t>ّ</w:t>
      </w:r>
      <w:r w:rsidR="009C6A22" w:rsidRPr="00282AC9">
        <w:rPr>
          <w:rtl/>
        </w:rPr>
        <w:t>ة غير مستقر</w:t>
      </w:r>
      <w:r w:rsidRPr="00282AC9">
        <w:rPr>
          <w:rFonts w:hint="cs"/>
          <w:rtl/>
        </w:rPr>
        <w:t>ّ</w:t>
      </w:r>
      <w:r w:rsidR="009C6A22" w:rsidRPr="00282AC9">
        <w:rPr>
          <w:rtl/>
        </w:rPr>
        <w:t>ة</w:t>
      </w:r>
      <w:r w:rsidRPr="00282AC9">
        <w:rPr>
          <w:rFonts w:hint="cs"/>
          <w:rtl/>
        </w:rPr>
        <w:t>ٍ؛</w:t>
      </w:r>
      <w:r w:rsidR="009C6A22" w:rsidRPr="00282AC9">
        <w:rPr>
          <w:rtl/>
        </w:rPr>
        <w:t xml:space="preserve"> لانشداده إلى فتاة</w:t>
      </w:r>
      <w:r w:rsidRPr="00282AC9">
        <w:rPr>
          <w:rFonts w:hint="cs"/>
          <w:rtl/>
        </w:rPr>
        <w:t>ٍ</w:t>
      </w:r>
      <w:r w:rsidR="009C6A22" w:rsidRPr="00282AC9">
        <w:rPr>
          <w:rtl/>
        </w:rPr>
        <w:t xml:space="preserve"> أخرى</w:t>
      </w:r>
      <w:r w:rsidRPr="00282AC9">
        <w:rPr>
          <w:rFonts w:hint="cs"/>
          <w:rtl/>
        </w:rPr>
        <w:t>.</w:t>
      </w:r>
      <w:r w:rsidR="009C6A22" w:rsidRPr="00282AC9">
        <w:rPr>
          <w:rtl/>
        </w:rPr>
        <w:t xml:space="preserve"> </w:t>
      </w:r>
      <w:r w:rsidRPr="00282AC9">
        <w:rPr>
          <w:rFonts w:hint="cs"/>
          <w:rtl/>
        </w:rPr>
        <w:t xml:space="preserve">وجميع ذلك </w:t>
      </w:r>
      <w:r w:rsidR="009C6A22" w:rsidRPr="00282AC9">
        <w:rPr>
          <w:rtl/>
        </w:rPr>
        <w:t>يقود إلى بروز مشاكل ج</w:t>
      </w:r>
      <w:r w:rsidRPr="00282AC9">
        <w:rPr>
          <w:rFonts w:hint="cs"/>
          <w:rtl/>
        </w:rPr>
        <w:t>ِ</w:t>
      </w:r>
      <w:r w:rsidR="009C6A22" w:rsidRPr="00282AC9">
        <w:rPr>
          <w:rtl/>
        </w:rPr>
        <w:t>دّ</w:t>
      </w:r>
      <w:r w:rsidRPr="00282AC9">
        <w:rPr>
          <w:rFonts w:hint="cs"/>
          <w:rtl/>
        </w:rPr>
        <w:t>ِ</w:t>
      </w:r>
      <w:r w:rsidR="009C6A22" w:rsidRPr="00282AC9">
        <w:rPr>
          <w:rtl/>
        </w:rPr>
        <w:t>ية، ر</w:t>
      </w:r>
      <w:r w:rsidRPr="00282AC9">
        <w:rPr>
          <w:rFonts w:hint="cs"/>
          <w:rtl/>
        </w:rPr>
        <w:t>ُ</w:t>
      </w:r>
      <w:r w:rsidR="009C6A22" w:rsidRPr="00282AC9">
        <w:rPr>
          <w:rtl/>
        </w:rPr>
        <w:t>ب</w:t>
      </w:r>
      <w:r w:rsidRPr="00282AC9">
        <w:rPr>
          <w:rFonts w:hint="cs"/>
          <w:rtl/>
        </w:rPr>
        <w:t>َ</w:t>
      </w:r>
      <w:r w:rsidR="009C6A22" w:rsidRPr="00282AC9">
        <w:rPr>
          <w:rtl/>
        </w:rPr>
        <w:t>ما قاد</w:t>
      </w:r>
      <w:r w:rsidRPr="00282AC9">
        <w:rPr>
          <w:rFonts w:hint="cs"/>
          <w:rtl/>
        </w:rPr>
        <w:t>َ</w:t>
      </w:r>
      <w:r w:rsidR="009C6A22" w:rsidRPr="00282AC9">
        <w:rPr>
          <w:rtl/>
        </w:rPr>
        <w:t>ت</w:t>
      </w:r>
      <w:r w:rsidRPr="00282AC9">
        <w:rPr>
          <w:rFonts w:hint="cs"/>
          <w:rtl/>
        </w:rPr>
        <w:t>ْ</w:t>
      </w:r>
      <w:r w:rsidR="009C6A22" w:rsidRPr="00282AC9">
        <w:rPr>
          <w:rtl/>
        </w:rPr>
        <w:t xml:space="preserve"> إلى انحرافات</w:t>
      </w:r>
      <w:r w:rsidRPr="00282AC9">
        <w:rPr>
          <w:rFonts w:hint="cs"/>
          <w:rtl/>
        </w:rPr>
        <w:t>ٍ</w:t>
      </w:r>
      <w:r w:rsidR="009C6A22" w:rsidRPr="00282AC9">
        <w:rPr>
          <w:rtl/>
        </w:rPr>
        <w:t xml:space="preserve"> أخلاقية، وتفكّ</w:t>
      </w:r>
      <w:r w:rsidRPr="00282AC9">
        <w:rPr>
          <w:rFonts w:hint="cs"/>
          <w:rtl/>
        </w:rPr>
        <w:t>ُ</w:t>
      </w:r>
      <w:r w:rsidR="009C6A22" w:rsidRPr="00282AC9">
        <w:rPr>
          <w:rtl/>
        </w:rPr>
        <w:t>ك</w:t>
      </w:r>
      <w:r w:rsidRPr="00282AC9">
        <w:rPr>
          <w:rFonts w:hint="cs"/>
          <w:rtl/>
        </w:rPr>
        <w:t>ٍ</w:t>
      </w:r>
      <w:r w:rsidR="009C6A22" w:rsidRPr="00282AC9">
        <w:rPr>
          <w:rtl/>
        </w:rPr>
        <w:t xml:space="preserve"> أ</w:t>
      </w:r>
      <w:r w:rsidRPr="00282AC9">
        <w:rPr>
          <w:rFonts w:hint="cs"/>
          <w:rtl/>
        </w:rPr>
        <w:t>ُ</w:t>
      </w:r>
      <w:r w:rsidR="009C6A22" w:rsidRPr="00282AC9">
        <w:rPr>
          <w:rtl/>
        </w:rPr>
        <w:t>س</w:t>
      </w:r>
      <w:r w:rsidRPr="00282AC9">
        <w:rPr>
          <w:rFonts w:hint="cs"/>
          <w:rtl/>
        </w:rPr>
        <w:t>َ</w:t>
      </w:r>
      <w:r w:rsidR="009C6A22" w:rsidRPr="00282AC9">
        <w:rPr>
          <w:rtl/>
        </w:rPr>
        <w:t>ر</w:t>
      </w:r>
      <w:r w:rsidRPr="00282AC9">
        <w:rPr>
          <w:rFonts w:hint="cs"/>
          <w:rtl/>
        </w:rPr>
        <w:t>ِ</w:t>
      </w:r>
      <w:r w:rsidR="009C6A22" w:rsidRPr="00282AC9">
        <w:rPr>
          <w:rtl/>
        </w:rPr>
        <w:t>ي</w:t>
      </w:r>
      <w:r w:rsidRPr="00282AC9">
        <w:rPr>
          <w:rFonts w:hint="cs"/>
          <w:rtl/>
        </w:rPr>
        <w:t>ّ</w:t>
      </w:r>
      <w:r w:rsidR="009C6A22" w:rsidRPr="00282AC9">
        <w:rPr>
          <w:rtl/>
        </w:rPr>
        <w:t>. لذلك ينبغي إعادة النظر في هذا الأمر، على نحوٍ يكون هنالك إقرار</w:t>
      </w:r>
      <w:r w:rsidRPr="00282AC9">
        <w:rPr>
          <w:rFonts w:hint="cs"/>
          <w:rtl/>
        </w:rPr>
        <w:t>ٌ</w:t>
      </w:r>
      <w:r w:rsidR="009C6A22" w:rsidRPr="00282AC9">
        <w:rPr>
          <w:rtl/>
        </w:rPr>
        <w:t xml:space="preserve"> بحقّ الفتاة في قرار الزواج بم</w:t>
      </w:r>
      <w:r w:rsidRPr="00282AC9">
        <w:rPr>
          <w:rFonts w:hint="cs"/>
          <w:rtl/>
        </w:rPr>
        <w:t>َ</w:t>
      </w:r>
      <w:r w:rsidR="009C6A22" w:rsidRPr="00282AC9">
        <w:rPr>
          <w:rtl/>
        </w:rPr>
        <w:t>ن</w:t>
      </w:r>
      <w:r w:rsidRPr="00282AC9">
        <w:rPr>
          <w:rFonts w:hint="cs"/>
          <w:rtl/>
        </w:rPr>
        <w:t>ْ</w:t>
      </w:r>
      <w:r w:rsidR="009C6A22" w:rsidRPr="00282AC9">
        <w:rPr>
          <w:rtl/>
        </w:rPr>
        <w:t xml:space="preserve"> تشاء، وعلى الأسرة أن تمحضها الرأي، وتساعدها في ترشيد قرارها، مع حفظ حقّ</w:t>
      </w:r>
      <w:r w:rsidRPr="00282AC9">
        <w:rPr>
          <w:rFonts w:hint="cs"/>
          <w:rtl/>
        </w:rPr>
        <w:t>ِ</w:t>
      </w:r>
      <w:r w:rsidR="009C6A22" w:rsidRPr="00282AC9">
        <w:rPr>
          <w:rtl/>
        </w:rPr>
        <w:t>ها في اتّخاذ القرار النهائي.</w:t>
      </w:r>
    </w:p>
    <w:p w:rsidR="00A716AC" w:rsidRPr="00282AC9" w:rsidRDefault="00A716AC" w:rsidP="00A716AC">
      <w:pPr>
        <w:spacing w:line="420" w:lineRule="exact"/>
        <w:rPr>
          <w:rtl/>
        </w:rPr>
      </w:pPr>
    </w:p>
    <w:p w:rsidR="009C6A22" w:rsidRPr="00282AC9" w:rsidRDefault="009C6A22" w:rsidP="00B37544">
      <w:pPr>
        <w:pStyle w:val="31"/>
        <w:rPr>
          <w:rFonts w:eastAsiaTheme="minorHAnsi"/>
          <w:color w:val="auto"/>
          <w:rtl/>
          <w:lang w:bidi="ar-YE"/>
        </w:rPr>
      </w:pPr>
      <w:r w:rsidRPr="00282AC9">
        <w:rPr>
          <w:rFonts w:eastAsiaTheme="minorHAnsi"/>
          <w:color w:val="auto"/>
          <w:rtl/>
          <w:lang w:bidi="ar-YE"/>
        </w:rPr>
        <w:t>قوامة الرجل واستقلال</w:t>
      </w:r>
      <w:r w:rsidR="00ED351D" w:rsidRPr="00282AC9">
        <w:rPr>
          <w:rFonts w:eastAsiaTheme="minorHAnsi" w:hint="cs"/>
          <w:color w:val="auto"/>
          <w:rtl/>
          <w:lang w:bidi="ar-YE"/>
        </w:rPr>
        <w:t>ية</w:t>
      </w:r>
      <w:r w:rsidRPr="00282AC9">
        <w:rPr>
          <w:rFonts w:eastAsiaTheme="minorHAnsi"/>
          <w:color w:val="auto"/>
          <w:rtl/>
          <w:lang w:bidi="ar-YE"/>
        </w:rPr>
        <w:t xml:space="preserve"> المرأة</w:t>
      </w:r>
      <w:r w:rsidR="00ED351D" w:rsidRPr="00282AC9">
        <w:rPr>
          <w:rFonts w:eastAsiaTheme="minorHAnsi" w:hint="cs"/>
          <w:color w:val="auto"/>
          <w:rtl/>
          <w:lang w:bidi="ar-YE"/>
        </w:rPr>
        <w:t>، تكاملٌ أم تضادّ؟</w:t>
      </w:r>
    </w:p>
    <w:p w:rsidR="009C6A22" w:rsidRPr="00282AC9" w:rsidRDefault="009C6A22" w:rsidP="00106AA7">
      <w:pPr>
        <w:rPr>
          <w:rtl/>
        </w:rPr>
      </w:pPr>
      <w:r w:rsidRPr="00282AC9">
        <w:rPr>
          <w:rtl/>
        </w:rPr>
        <w:t>هناك ق</w:t>
      </w:r>
      <w:r w:rsidR="009F20E5" w:rsidRPr="00282AC9">
        <w:rPr>
          <w:rFonts w:hint="cs"/>
          <w:rtl/>
        </w:rPr>
        <w:t>ِ</w:t>
      </w:r>
      <w:r w:rsidRPr="00282AC9">
        <w:rPr>
          <w:rtl/>
        </w:rPr>
        <w:t>ي</w:t>
      </w:r>
      <w:r w:rsidR="009F20E5" w:rsidRPr="00282AC9">
        <w:rPr>
          <w:rFonts w:hint="cs"/>
          <w:rtl/>
        </w:rPr>
        <w:t>َ</w:t>
      </w:r>
      <w:r w:rsidRPr="00282AC9">
        <w:rPr>
          <w:rtl/>
        </w:rPr>
        <w:t>م</w:t>
      </w:r>
      <w:r w:rsidR="009F20E5" w:rsidRPr="00282AC9">
        <w:rPr>
          <w:rFonts w:hint="cs"/>
          <w:rtl/>
        </w:rPr>
        <w:t>ٌ</w:t>
      </w:r>
      <w:r w:rsidRPr="00282AC9">
        <w:rPr>
          <w:rtl/>
        </w:rPr>
        <w:t xml:space="preserve"> أساس أرادها الله سبحانه وتعالى أن تحكم مسار العلاقات بين أبناء البشر، في مختلف الدوائر. ولعلّ</w:t>
      </w:r>
      <w:r w:rsidR="00336207" w:rsidRPr="00282AC9">
        <w:rPr>
          <w:rFonts w:hint="cs"/>
          <w:rtl/>
        </w:rPr>
        <w:t>َ</w:t>
      </w:r>
      <w:r w:rsidRPr="00282AC9">
        <w:rPr>
          <w:rtl/>
        </w:rPr>
        <w:t xml:space="preserve"> من أبرز تلك الق</w:t>
      </w:r>
      <w:r w:rsidR="00336207" w:rsidRPr="00282AC9">
        <w:rPr>
          <w:rFonts w:hint="cs"/>
          <w:rtl/>
        </w:rPr>
        <w:t>ِ</w:t>
      </w:r>
      <w:r w:rsidRPr="00282AC9">
        <w:rPr>
          <w:rtl/>
        </w:rPr>
        <w:t>ي</w:t>
      </w:r>
      <w:r w:rsidR="00336207" w:rsidRPr="00282AC9">
        <w:rPr>
          <w:rFonts w:hint="cs"/>
          <w:rtl/>
        </w:rPr>
        <w:t>َ</w:t>
      </w:r>
      <w:r w:rsidRPr="00282AC9">
        <w:rPr>
          <w:rtl/>
        </w:rPr>
        <w:t>م</w:t>
      </w:r>
      <w:r w:rsidR="00336207" w:rsidRPr="00282AC9">
        <w:rPr>
          <w:rFonts w:hint="cs"/>
          <w:rtl/>
        </w:rPr>
        <w:t>:</w:t>
      </w:r>
      <w:r w:rsidRPr="00282AC9">
        <w:rPr>
          <w:rtl/>
        </w:rPr>
        <w:t xml:space="preserve"> قيمة الع</w:t>
      </w:r>
      <w:r w:rsidR="00336207" w:rsidRPr="00282AC9">
        <w:rPr>
          <w:rFonts w:hint="cs"/>
          <w:rtl/>
        </w:rPr>
        <w:t>َ</w:t>
      </w:r>
      <w:r w:rsidRPr="00282AC9">
        <w:rPr>
          <w:rtl/>
        </w:rPr>
        <w:t>د</w:t>
      </w:r>
      <w:r w:rsidR="00336207" w:rsidRPr="00282AC9">
        <w:rPr>
          <w:rFonts w:hint="cs"/>
          <w:rtl/>
        </w:rPr>
        <w:t>ْ</w:t>
      </w:r>
      <w:r w:rsidRPr="00282AC9">
        <w:rPr>
          <w:rtl/>
        </w:rPr>
        <w:t>ل، فهي قيمة</w:t>
      </w:r>
      <w:r w:rsidR="00336207" w:rsidRPr="00282AC9">
        <w:rPr>
          <w:rFonts w:hint="cs"/>
          <w:rtl/>
        </w:rPr>
        <w:t>ٌ</w:t>
      </w:r>
      <w:r w:rsidRPr="00282AC9">
        <w:rPr>
          <w:rtl/>
        </w:rPr>
        <w:t xml:space="preserve"> بالغة </w:t>
      </w:r>
      <w:r w:rsidRPr="00282AC9">
        <w:rPr>
          <w:rtl/>
        </w:rPr>
        <w:lastRenderedPageBreak/>
        <w:t>الأهم</w:t>
      </w:r>
      <w:r w:rsidR="00336207" w:rsidRPr="00282AC9">
        <w:rPr>
          <w:rFonts w:hint="cs"/>
          <w:rtl/>
        </w:rPr>
        <w:t>ّ</w:t>
      </w:r>
      <w:r w:rsidRPr="00282AC9">
        <w:rPr>
          <w:rtl/>
        </w:rPr>
        <w:t>ية</w:t>
      </w:r>
      <w:r w:rsidR="00336207" w:rsidRPr="00282AC9">
        <w:rPr>
          <w:rFonts w:hint="cs"/>
          <w:rtl/>
        </w:rPr>
        <w:t>؛</w:t>
      </w:r>
      <w:r w:rsidRPr="00282AC9">
        <w:rPr>
          <w:rtl/>
        </w:rPr>
        <w:t xml:space="preserve"> وقيمة احترام إنسانية الإنسان</w:t>
      </w:r>
      <w:r w:rsidR="00336207" w:rsidRPr="00282AC9">
        <w:rPr>
          <w:rFonts w:hint="cs"/>
          <w:rtl/>
        </w:rPr>
        <w:t>،</w:t>
      </w:r>
      <w:r w:rsidRPr="00282AC9">
        <w:rPr>
          <w:rtl/>
        </w:rPr>
        <w:t xml:space="preserve"> وحفظ كرامته. </w:t>
      </w:r>
    </w:p>
    <w:p w:rsidR="009C6A22" w:rsidRPr="00282AC9" w:rsidRDefault="009C6A22" w:rsidP="00106AA7">
      <w:pPr>
        <w:rPr>
          <w:rtl/>
        </w:rPr>
      </w:pPr>
      <w:r w:rsidRPr="00282AC9">
        <w:rPr>
          <w:rtl/>
        </w:rPr>
        <w:t>إنّ هناك دوائر مختلفة للعلاقات الإنسانية، تبدأ بالعائلة ثم</w:t>
      </w:r>
      <w:r w:rsidR="00336207" w:rsidRPr="00282AC9">
        <w:rPr>
          <w:rFonts w:hint="cs"/>
          <w:rtl/>
        </w:rPr>
        <w:t>ّ</w:t>
      </w:r>
      <w:r w:rsidRPr="00282AC9">
        <w:rPr>
          <w:rtl/>
        </w:rPr>
        <w:t xml:space="preserve"> المجتمع، ثم</w:t>
      </w:r>
      <w:r w:rsidR="00336207" w:rsidRPr="00282AC9">
        <w:rPr>
          <w:rFonts w:hint="cs"/>
          <w:rtl/>
        </w:rPr>
        <w:t>ّ</w:t>
      </w:r>
      <w:r w:rsidRPr="00282AC9">
        <w:rPr>
          <w:rtl/>
        </w:rPr>
        <w:t xml:space="preserve"> الوطن، ثم</w:t>
      </w:r>
      <w:r w:rsidR="00336207" w:rsidRPr="00282AC9">
        <w:rPr>
          <w:rFonts w:hint="cs"/>
          <w:rtl/>
        </w:rPr>
        <w:t>ّ</w:t>
      </w:r>
      <w:r w:rsidRPr="00282AC9">
        <w:rPr>
          <w:rtl/>
        </w:rPr>
        <w:t xml:space="preserve"> الأم</w:t>
      </w:r>
      <w:r w:rsidR="00336207" w:rsidRPr="00282AC9">
        <w:rPr>
          <w:rFonts w:hint="cs"/>
          <w:rtl/>
        </w:rPr>
        <w:t>ّ</w:t>
      </w:r>
      <w:r w:rsidRPr="00282AC9">
        <w:rPr>
          <w:rtl/>
        </w:rPr>
        <w:t>ة، وأخيراً الدائرة الإنساني</w:t>
      </w:r>
      <w:r w:rsidR="00336207" w:rsidRPr="00282AC9">
        <w:rPr>
          <w:rFonts w:hint="cs"/>
          <w:rtl/>
        </w:rPr>
        <w:t>ّ</w:t>
      </w:r>
      <w:r w:rsidRPr="00282AC9">
        <w:rPr>
          <w:rtl/>
        </w:rPr>
        <w:t xml:space="preserve">ة. </w:t>
      </w:r>
    </w:p>
    <w:p w:rsidR="009C6A22" w:rsidRPr="00282AC9" w:rsidRDefault="009C6A22" w:rsidP="00106AA7">
      <w:pPr>
        <w:rPr>
          <w:rtl/>
        </w:rPr>
      </w:pPr>
      <w:r w:rsidRPr="00282AC9">
        <w:rPr>
          <w:rtl/>
        </w:rPr>
        <w:t>ومن غير الخافي أنّ الدائرة الأكثر التصاقاً بالإنسان هي دائرة العائلة</w:t>
      </w:r>
      <w:r w:rsidR="00336207" w:rsidRPr="00282AC9">
        <w:rPr>
          <w:rFonts w:hint="cs"/>
          <w:rtl/>
        </w:rPr>
        <w:t>؛</w:t>
      </w:r>
      <w:r w:rsidRPr="00282AC9">
        <w:rPr>
          <w:rtl/>
        </w:rPr>
        <w:t xml:space="preserve"> فهي الدائرة الأولى التي يرى الفرد الضوء فيها، وينشأ في ك</w:t>
      </w:r>
      <w:r w:rsidR="00336207" w:rsidRPr="00282AC9">
        <w:rPr>
          <w:rFonts w:hint="cs"/>
          <w:rtl/>
        </w:rPr>
        <w:t>َ</w:t>
      </w:r>
      <w:r w:rsidRPr="00282AC9">
        <w:rPr>
          <w:rtl/>
        </w:rPr>
        <w:t>ن</w:t>
      </w:r>
      <w:r w:rsidR="00336207" w:rsidRPr="00282AC9">
        <w:rPr>
          <w:rFonts w:hint="cs"/>
          <w:rtl/>
        </w:rPr>
        <w:t>َ</w:t>
      </w:r>
      <w:r w:rsidRPr="00282AC9">
        <w:rPr>
          <w:rtl/>
        </w:rPr>
        <w:t>فها، ويتأثّ</w:t>
      </w:r>
      <w:r w:rsidR="00336207" w:rsidRPr="00282AC9">
        <w:rPr>
          <w:rFonts w:hint="cs"/>
          <w:rtl/>
        </w:rPr>
        <w:t>َ</w:t>
      </w:r>
      <w:r w:rsidRPr="00282AC9">
        <w:rPr>
          <w:rtl/>
        </w:rPr>
        <w:t>ر بها</w:t>
      </w:r>
      <w:r w:rsidR="00336207" w:rsidRPr="00282AC9">
        <w:rPr>
          <w:rFonts w:hint="cs"/>
          <w:rtl/>
        </w:rPr>
        <w:t>،</w:t>
      </w:r>
      <w:r w:rsidRPr="00282AC9">
        <w:rPr>
          <w:rtl/>
        </w:rPr>
        <w:t xml:space="preserve"> وضمن هذه الدائرة يبدأ في تلمّ</w:t>
      </w:r>
      <w:r w:rsidR="00336207" w:rsidRPr="00282AC9">
        <w:rPr>
          <w:rFonts w:hint="cs"/>
          <w:rtl/>
        </w:rPr>
        <w:t>ُ</w:t>
      </w:r>
      <w:r w:rsidRPr="00282AC9">
        <w:rPr>
          <w:rtl/>
        </w:rPr>
        <w:t>س الق</w:t>
      </w:r>
      <w:r w:rsidR="00336207" w:rsidRPr="00282AC9">
        <w:rPr>
          <w:rFonts w:hint="cs"/>
          <w:rtl/>
        </w:rPr>
        <w:t>ِ</w:t>
      </w:r>
      <w:r w:rsidRPr="00282AC9">
        <w:rPr>
          <w:rtl/>
        </w:rPr>
        <w:t>ي</w:t>
      </w:r>
      <w:r w:rsidR="00336207" w:rsidRPr="00282AC9">
        <w:rPr>
          <w:rFonts w:hint="cs"/>
          <w:rtl/>
        </w:rPr>
        <w:t>َ</w:t>
      </w:r>
      <w:r w:rsidRPr="00282AC9">
        <w:rPr>
          <w:rtl/>
        </w:rPr>
        <w:t>م العام</w:t>
      </w:r>
      <w:r w:rsidR="00336207" w:rsidRPr="00282AC9">
        <w:rPr>
          <w:rFonts w:hint="cs"/>
          <w:rtl/>
        </w:rPr>
        <w:t>ّ</w:t>
      </w:r>
      <w:r w:rsidRPr="00282AC9">
        <w:rPr>
          <w:rtl/>
        </w:rPr>
        <w:t>ة، وتعلّ</w:t>
      </w:r>
      <w:r w:rsidR="00336207" w:rsidRPr="00282AC9">
        <w:rPr>
          <w:rFonts w:hint="cs"/>
          <w:rtl/>
        </w:rPr>
        <w:t>ُ</w:t>
      </w:r>
      <w:r w:rsidRPr="00282AC9">
        <w:rPr>
          <w:rtl/>
        </w:rPr>
        <w:t>م الالتزام بها</w:t>
      </w:r>
      <w:r w:rsidR="00336207" w:rsidRPr="00282AC9">
        <w:rPr>
          <w:rFonts w:hint="cs"/>
          <w:rtl/>
        </w:rPr>
        <w:t>.</w:t>
      </w:r>
      <w:r w:rsidRPr="00282AC9">
        <w:rPr>
          <w:rtl/>
        </w:rPr>
        <w:t xml:space="preserve"> فمتى ما نشأ في عائلة</w:t>
      </w:r>
      <w:r w:rsidR="00336207" w:rsidRPr="00282AC9">
        <w:rPr>
          <w:rFonts w:hint="cs"/>
          <w:rtl/>
        </w:rPr>
        <w:t>ٍ</w:t>
      </w:r>
      <w:r w:rsidRPr="00282AC9">
        <w:rPr>
          <w:rtl/>
        </w:rPr>
        <w:t xml:space="preserve"> تحترم ق</w:t>
      </w:r>
      <w:r w:rsidR="00336207" w:rsidRPr="00282AC9">
        <w:rPr>
          <w:rFonts w:hint="cs"/>
          <w:rtl/>
        </w:rPr>
        <w:t>ِ</w:t>
      </w:r>
      <w:r w:rsidRPr="00282AC9">
        <w:rPr>
          <w:rtl/>
        </w:rPr>
        <w:t>ي</w:t>
      </w:r>
      <w:r w:rsidR="00336207" w:rsidRPr="00282AC9">
        <w:rPr>
          <w:rFonts w:hint="cs"/>
          <w:rtl/>
        </w:rPr>
        <w:t>َ</w:t>
      </w:r>
      <w:r w:rsidRPr="00282AC9">
        <w:rPr>
          <w:rtl/>
        </w:rPr>
        <w:t>م العدالة والح</w:t>
      </w:r>
      <w:r w:rsidR="00336207" w:rsidRPr="00282AC9">
        <w:rPr>
          <w:rFonts w:hint="cs"/>
          <w:rtl/>
        </w:rPr>
        <w:t>ُ</w:t>
      </w:r>
      <w:r w:rsidRPr="00282AC9">
        <w:rPr>
          <w:rtl/>
        </w:rPr>
        <w:t>ر</w:t>
      </w:r>
      <w:r w:rsidR="00336207" w:rsidRPr="00282AC9">
        <w:rPr>
          <w:rFonts w:hint="cs"/>
          <w:rtl/>
        </w:rPr>
        <w:t>ِّ</w:t>
      </w:r>
      <w:r w:rsidRPr="00282AC9">
        <w:rPr>
          <w:rtl/>
        </w:rPr>
        <w:t>ية والكرامة وسائر حقوق الإنسان فإنّه سيترب</w:t>
      </w:r>
      <w:r w:rsidR="00336207" w:rsidRPr="00282AC9">
        <w:rPr>
          <w:rFonts w:hint="cs"/>
          <w:rtl/>
        </w:rPr>
        <w:t>ّ</w:t>
      </w:r>
      <w:r w:rsidRPr="00282AC9">
        <w:rPr>
          <w:rtl/>
        </w:rPr>
        <w:t>ى على هذه الق</w:t>
      </w:r>
      <w:r w:rsidR="00336207" w:rsidRPr="00282AC9">
        <w:rPr>
          <w:rFonts w:hint="cs"/>
          <w:rtl/>
        </w:rPr>
        <w:t>ِ</w:t>
      </w:r>
      <w:r w:rsidRPr="00282AC9">
        <w:rPr>
          <w:rtl/>
        </w:rPr>
        <w:t>ي</w:t>
      </w:r>
      <w:r w:rsidR="00336207" w:rsidRPr="00282AC9">
        <w:rPr>
          <w:rFonts w:hint="cs"/>
          <w:rtl/>
        </w:rPr>
        <w:t>َ</w:t>
      </w:r>
      <w:r w:rsidRPr="00282AC9">
        <w:rPr>
          <w:rtl/>
        </w:rPr>
        <w:t>م، وسيزعجه مخالفتها ضمن أيّ دائرة</w:t>
      </w:r>
      <w:r w:rsidR="00336207" w:rsidRPr="00282AC9">
        <w:rPr>
          <w:rFonts w:hint="cs"/>
          <w:rtl/>
        </w:rPr>
        <w:t>ٍ</w:t>
      </w:r>
      <w:r w:rsidRPr="00282AC9">
        <w:rPr>
          <w:rtl/>
        </w:rPr>
        <w:t xml:space="preserve"> أخرى، وسيكون له موقف</w:t>
      </w:r>
      <w:r w:rsidR="00336207" w:rsidRPr="00282AC9">
        <w:rPr>
          <w:rFonts w:hint="cs"/>
          <w:rtl/>
        </w:rPr>
        <w:t>ٌ</w:t>
      </w:r>
      <w:r w:rsidRPr="00282AC9">
        <w:rPr>
          <w:rtl/>
        </w:rPr>
        <w:t xml:space="preserve"> حاسم في حال مواجهته لأيِّ اعتداء</w:t>
      </w:r>
      <w:r w:rsidR="00336207" w:rsidRPr="00282AC9">
        <w:rPr>
          <w:rFonts w:hint="cs"/>
          <w:rtl/>
        </w:rPr>
        <w:t>ٍ</w:t>
      </w:r>
      <w:r w:rsidRPr="00282AC9">
        <w:rPr>
          <w:rtl/>
        </w:rPr>
        <w:t xml:space="preserve"> على هذه الق</w:t>
      </w:r>
      <w:r w:rsidR="00336207" w:rsidRPr="00282AC9">
        <w:rPr>
          <w:rFonts w:hint="cs"/>
          <w:rtl/>
        </w:rPr>
        <w:t>ِ</w:t>
      </w:r>
      <w:r w:rsidRPr="00282AC9">
        <w:rPr>
          <w:rtl/>
        </w:rPr>
        <w:t>ي</w:t>
      </w:r>
      <w:r w:rsidR="00336207" w:rsidRPr="00282AC9">
        <w:rPr>
          <w:rFonts w:hint="cs"/>
          <w:rtl/>
        </w:rPr>
        <w:t>َ</w:t>
      </w:r>
      <w:r w:rsidRPr="00282AC9">
        <w:rPr>
          <w:rtl/>
        </w:rPr>
        <w:t>م ضمن محيطه الاجتماعي</w:t>
      </w:r>
      <w:r w:rsidR="00336207" w:rsidRPr="00282AC9">
        <w:rPr>
          <w:rFonts w:hint="cs"/>
          <w:rtl/>
        </w:rPr>
        <w:t>ّ</w:t>
      </w:r>
      <w:r w:rsidRPr="00282AC9">
        <w:rPr>
          <w:rtl/>
        </w:rPr>
        <w:t>. وعلى النقيض من ذلك</w:t>
      </w:r>
      <w:r w:rsidR="00336207" w:rsidRPr="00282AC9">
        <w:rPr>
          <w:rFonts w:hint="cs"/>
          <w:rtl/>
        </w:rPr>
        <w:t>،</w:t>
      </w:r>
      <w:r w:rsidRPr="00282AC9">
        <w:rPr>
          <w:rtl/>
        </w:rPr>
        <w:t xml:space="preserve"> إذا ما عاش الفرد أجواء الق</w:t>
      </w:r>
      <w:r w:rsidR="00336207" w:rsidRPr="00282AC9">
        <w:rPr>
          <w:rFonts w:hint="cs"/>
          <w:rtl/>
        </w:rPr>
        <w:t>َ</w:t>
      </w:r>
      <w:r w:rsidRPr="00282AC9">
        <w:rPr>
          <w:rtl/>
        </w:rPr>
        <w:t>م</w:t>
      </w:r>
      <w:r w:rsidR="00336207" w:rsidRPr="00282AC9">
        <w:rPr>
          <w:rFonts w:hint="cs"/>
          <w:rtl/>
        </w:rPr>
        <w:t>ْ</w:t>
      </w:r>
      <w:r w:rsidRPr="00282AC9">
        <w:rPr>
          <w:rtl/>
        </w:rPr>
        <w:t>ع وانتهاك حقوقه الإنسانية ضمن محيطه العائلي</w:t>
      </w:r>
      <w:r w:rsidR="00336207" w:rsidRPr="00282AC9">
        <w:rPr>
          <w:rFonts w:hint="cs"/>
          <w:rtl/>
        </w:rPr>
        <w:t xml:space="preserve">ّ </w:t>
      </w:r>
      <w:r w:rsidRPr="00282AC9">
        <w:rPr>
          <w:rtl/>
        </w:rPr>
        <w:t>فإنّه سيتقبّ</w:t>
      </w:r>
      <w:r w:rsidR="00336207" w:rsidRPr="00282AC9">
        <w:rPr>
          <w:rFonts w:hint="cs"/>
          <w:rtl/>
        </w:rPr>
        <w:t>َ</w:t>
      </w:r>
      <w:r w:rsidRPr="00282AC9">
        <w:rPr>
          <w:rtl/>
        </w:rPr>
        <w:t>ل ذات الانتهاكات إذا مورست بحقّ</w:t>
      </w:r>
      <w:r w:rsidR="00336207" w:rsidRPr="00282AC9">
        <w:rPr>
          <w:rFonts w:hint="cs"/>
          <w:rtl/>
        </w:rPr>
        <w:t>ِ</w:t>
      </w:r>
      <w:r w:rsidRPr="00282AC9">
        <w:rPr>
          <w:rtl/>
        </w:rPr>
        <w:t>ه ضمن محيطه الاجتماعي</w:t>
      </w:r>
      <w:r w:rsidR="00336207" w:rsidRPr="00282AC9">
        <w:rPr>
          <w:rFonts w:hint="cs"/>
          <w:rtl/>
        </w:rPr>
        <w:t>ّ</w:t>
      </w:r>
      <w:r w:rsidRPr="00282AC9">
        <w:rPr>
          <w:rtl/>
        </w:rPr>
        <w:t xml:space="preserve"> الأوسع، ولن يجد أدنى غرابة</w:t>
      </w:r>
      <w:r w:rsidR="00336207" w:rsidRPr="00282AC9">
        <w:rPr>
          <w:rFonts w:hint="cs"/>
          <w:rtl/>
        </w:rPr>
        <w:t>ٍ</w:t>
      </w:r>
      <w:r w:rsidRPr="00282AC9">
        <w:rPr>
          <w:rtl/>
        </w:rPr>
        <w:t xml:space="preserve"> في خضوعه للق</w:t>
      </w:r>
      <w:r w:rsidR="00336207" w:rsidRPr="00282AC9">
        <w:rPr>
          <w:rFonts w:hint="cs"/>
          <w:rtl/>
        </w:rPr>
        <w:t>َ</w:t>
      </w:r>
      <w:r w:rsidRPr="00282AC9">
        <w:rPr>
          <w:rtl/>
        </w:rPr>
        <w:t>م</w:t>
      </w:r>
      <w:r w:rsidR="00336207" w:rsidRPr="00282AC9">
        <w:rPr>
          <w:rFonts w:hint="cs"/>
          <w:rtl/>
        </w:rPr>
        <w:t>ْ</w:t>
      </w:r>
      <w:r w:rsidRPr="00282AC9">
        <w:rPr>
          <w:rtl/>
        </w:rPr>
        <w:t xml:space="preserve">ع في المدرسة أو الشارع أو مكان العمل. </w:t>
      </w:r>
    </w:p>
    <w:p w:rsidR="009C6A22" w:rsidRPr="00282AC9" w:rsidRDefault="009C6A22" w:rsidP="00106AA7">
      <w:pPr>
        <w:rPr>
          <w:rtl/>
        </w:rPr>
      </w:pPr>
      <w:r w:rsidRPr="00282AC9">
        <w:rPr>
          <w:rtl/>
        </w:rPr>
        <w:t>فالعائلة هي الدائرة الأساس التي ينبغي أن تتكرّ</w:t>
      </w:r>
      <w:r w:rsidR="00336207" w:rsidRPr="00282AC9">
        <w:rPr>
          <w:rFonts w:hint="cs"/>
          <w:rtl/>
        </w:rPr>
        <w:t>َ</w:t>
      </w:r>
      <w:r w:rsidRPr="00282AC9">
        <w:rPr>
          <w:rtl/>
        </w:rPr>
        <w:t>س فيها الق</w:t>
      </w:r>
      <w:r w:rsidR="00336207" w:rsidRPr="00282AC9">
        <w:rPr>
          <w:rFonts w:hint="cs"/>
          <w:rtl/>
        </w:rPr>
        <w:t>ِ</w:t>
      </w:r>
      <w:r w:rsidRPr="00282AC9">
        <w:rPr>
          <w:rtl/>
        </w:rPr>
        <w:t>ي</w:t>
      </w:r>
      <w:r w:rsidR="00336207" w:rsidRPr="00282AC9">
        <w:rPr>
          <w:rFonts w:hint="cs"/>
          <w:rtl/>
        </w:rPr>
        <w:t>َ</w:t>
      </w:r>
      <w:r w:rsidRPr="00282AC9">
        <w:rPr>
          <w:rtl/>
        </w:rPr>
        <w:t>م، وتتعزّ</w:t>
      </w:r>
      <w:r w:rsidR="00336207" w:rsidRPr="00282AC9">
        <w:rPr>
          <w:rFonts w:hint="cs"/>
          <w:rtl/>
        </w:rPr>
        <w:t>َ</w:t>
      </w:r>
      <w:r w:rsidRPr="00282AC9">
        <w:rPr>
          <w:rtl/>
        </w:rPr>
        <w:t>ز من خلالها سلوكي</w:t>
      </w:r>
      <w:r w:rsidR="00336207" w:rsidRPr="00282AC9">
        <w:rPr>
          <w:rFonts w:hint="cs"/>
          <w:rtl/>
        </w:rPr>
        <w:t>ّ</w:t>
      </w:r>
      <w:r w:rsidRPr="00282AC9">
        <w:rPr>
          <w:rtl/>
        </w:rPr>
        <w:t>ات الالتزام بها. ويمكن ملاحظة التزام المجتمعات المتحضّ</w:t>
      </w:r>
      <w:r w:rsidR="00336207" w:rsidRPr="00282AC9">
        <w:rPr>
          <w:rFonts w:hint="cs"/>
          <w:rtl/>
        </w:rPr>
        <w:t>ِ</w:t>
      </w:r>
      <w:r w:rsidRPr="00282AC9">
        <w:rPr>
          <w:rtl/>
        </w:rPr>
        <w:t>رة بتعزيز هذه الق</w:t>
      </w:r>
      <w:r w:rsidR="00336207" w:rsidRPr="00282AC9">
        <w:rPr>
          <w:rFonts w:hint="cs"/>
          <w:rtl/>
        </w:rPr>
        <w:t>ِ</w:t>
      </w:r>
      <w:r w:rsidRPr="00282AC9">
        <w:rPr>
          <w:rtl/>
        </w:rPr>
        <w:t>ي</w:t>
      </w:r>
      <w:r w:rsidR="00336207" w:rsidRPr="00282AC9">
        <w:rPr>
          <w:rFonts w:hint="cs"/>
          <w:rtl/>
        </w:rPr>
        <w:t>َ</w:t>
      </w:r>
      <w:r w:rsidRPr="00282AC9">
        <w:rPr>
          <w:rtl/>
        </w:rPr>
        <w:t>م ضمن المحيط العائلي</w:t>
      </w:r>
      <w:r w:rsidR="00753FE5" w:rsidRPr="00282AC9">
        <w:rPr>
          <w:rFonts w:hint="cs"/>
          <w:rtl/>
        </w:rPr>
        <w:t>ّ</w:t>
      </w:r>
      <w:r w:rsidRPr="00282AC9">
        <w:rPr>
          <w:rtl/>
        </w:rPr>
        <w:t xml:space="preserve"> في المقام الأو</w:t>
      </w:r>
      <w:r w:rsidR="00753FE5" w:rsidRPr="00282AC9">
        <w:rPr>
          <w:rFonts w:hint="cs"/>
          <w:rtl/>
        </w:rPr>
        <w:t>ّ</w:t>
      </w:r>
      <w:r w:rsidRPr="00282AC9">
        <w:rPr>
          <w:rtl/>
        </w:rPr>
        <w:t>ل؛ لإدراكها التامّ بأنّ انتهاك هذه الق</w:t>
      </w:r>
      <w:r w:rsidR="00753FE5" w:rsidRPr="00282AC9">
        <w:rPr>
          <w:rFonts w:hint="cs"/>
          <w:rtl/>
        </w:rPr>
        <w:t>ِ</w:t>
      </w:r>
      <w:r w:rsidRPr="00282AC9">
        <w:rPr>
          <w:rtl/>
        </w:rPr>
        <w:t>ي</w:t>
      </w:r>
      <w:r w:rsidR="00753FE5" w:rsidRPr="00282AC9">
        <w:rPr>
          <w:rFonts w:hint="cs"/>
          <w:rtl/>
        </w:rPr>
        <w:t>َ</w:t>
      </w:r>
      <w:r w:rsidRPr="00282AC9">
        <w:rPr>
          <w:rtl/>
        </w:rPr>
        <w:t>م ضمن دائرة العائلة سيجعلها منتهكة</w:t>
      </w:r>
      <w:r w:rsidR="00753FE5" w:rsidRPr="00282AC9">
        <w:rPr>
          <w:rFonts w:hint="cs"/>
          <w:rtl/>
        </w:rPr>
        <w:t>ً</w:t>
      </w:r>
      <w:r w:rsidRPr="00282AC9">
        <w:rPr>
          <w:rtl/>
        </w:rPr>
        <w:t xml:space="preserve"> ومهدورة</w:t>
      </w:r>
      <w:r w:rsidR="00753FE5" w:rsidRPr="00282AC9">
        <w:rPr>
          <w:rFonts w:hint="cs"/>
          <w:rtl/>
        </w:rPr>
        <w:t>ً</w:t>
      </w:r>
      <w:r w:rsidRPr="00282AC9">
        <w:rPr>
          <w:rtl/>
        </w:rPr>
        <w:t xml:space="preserve"> في باقي</w:t>
      </w:r>
      <w:r w:rsidR="00753FE5" w:rsidRPr="00282AC9">
        <w:rPr>
          <w:rtl/>
        </w:rPr>
        <w:t xml:space="preserve"> الدوائر والس</w:t>
      </w:r>
      <w:r w:rsidRPr="00282AC9">
        <w:rPr>
          <w:rtl/>
        </w:rPr>
        <w:t xml:space="preserve">احات. </w:t>
      </w:r>
    </w:p>
    <w:p w:rsidR="00A716AC" w:rsidRPr="00282AC9" w:rsidRDefault="00A716AC" w:rsidP="00A716AC">
      <w:pPr>
        <w:spacing w:line="420" w:lineRule="exact"/>
        <w:rPr>
          <w:rtl/>
        </w:rPr>
      </w:pPr>
    </w:p>
    <w:p w:rsidR="009C6A22" w:rsidRPr="00282AC9" w:rsidRDefault="009C6A22" w:rsidP="004D4A3A">
      <w:pPr>
        <w:pStyle w:val="31"/>
        <w:rPr>
          <w:color w:val="auto"/>
        </w:rPr>
      </w:pPr>
      <w:r w:rsidRPr="00282AC9">
        <w:rPr>
          <w:color w:val="auto"/>
          <w:rtl/>
          <w:lang w:bidi="ar-YE"/>
        </w:rPr>
        <w:t>التزام</w:t>
      </w:r>
      <w:r w:rsidRPr="00282AC9">
        <w:rPr>
          <w:color w:val="auto"/>
          <w:lang w:bidi="ar-YE"/>
        </w:rPr>
        <w:t xml:space="preserve"> </w:t>
      </w:r>
      <w:r w:rsidRPr="00282AC9">
        <w:rPr>
          <w:color w:val="auto"/>
          <w:rtl/>
          <w:lang w:bidi="ar-YE"/>
        </w:rPr>
        <w:t>الق</w:t>
      </w:r>
      <w:r w:rsidRPr="00282AC9">
        <w:rPr>
          <w:rFonts w:hint="cs"/>
          <w:color w:val="auto"/>
          <w:rtl/>
          <w:lang w:bidi="ar-YE"/>
        </w:rPr>
        <w:t>ِ</w:t>
      </w:r>
      <w:r w:rsidRPr="00282AC9">
        <w:rPr>
          <w:color w:val="auto"/>
          <w:rtl/>
          <w:lang w:bidi="ar-YE"/>
        </w:rPr>
        <w:t>ي</w:t>
      </w:r>
      <w:r w:rsidRPr="00282AC9">
        <w:rPr>
          <w:rFonts w:hint="cs"/>
          <w:color w:val="auto"/>
          <w:rtl/>
          <w:lang w:bidi="ar-YE"/>
        </w:rPr>
        <w:t>َ</w:t>
      </w:r>
      <w:r w:rsidRPr="00282AC9">
        <w:rPr>
          <w:color w:val="auto"/>
          <w:rtl/>
          <w:lang w:bidi="ar-YE"/>
        </w:rPr>
        <w:t>م</w:t>
      </w:r>
      <w:r w:rsidRPr="00282AC9">
        <w:rPr>
          <w:color w:val="auto"/>
          <w:lang w:bidi="ar-YE"/>
        </w:rPr>
        <w:t xml:space="preserve"> </w:t>
      </w:r>
      <w:r w:rsidR="004D4A3A" w:rsidRPr="00282AC9">
        <w:rPr>
          <w:color w:val="auto"/>
          <w:rtl/>
          <w:lang w:bidi="ar-YE"/>
        </w:rPr>
        <w:t>ف</w:t>
      </w:r>
      <w:r w:rsidR="004D4A3A" w:rsidRPr="00282AC9">
        <w:rPr>
          <w:rFonts w:hint="cs"/>
          <w:color w:val="auto"/>
          <w:rtl/>
        </w:rPr>
        <w:t>ي البيت العائلي</w:t>
      </w:r>
    </w:p>
    <w:p w:rsidR="009C6A22" w:rsidRPr="00282AC9" w:rsidRDefault="009C6A22" w:rsidP="00106AA7">
      <w:pPr>
        <w:rPr>
          <w:rtl/>
        </w:rPr>
      </w:pPr>
      <w:r w:rsidRPr="00282AC9">
        <w:rPr>
          <w:rtl/>
        </w:rPr>
        <w:t>وهذا ما يمكن تلمّ</w:t>
      </w:r>
      <w:r w:rsidR="00753FE5" w:rsidRPr="00282AC9">
        <w:rPr>
          <w:rFonts w:hint="cs"/>
          <w:rtl/>
        </w:rPr>
        <w:t>ُ</w:t>
      </w:r>
      <w:r w:rsidRPr="00282AC9">
        <w:rPr>
          <w:rtl/>
        </w:rPr>
        <w:t>سه ضمن التعاليم الديني</w:t>
      </w:r>
      <w:r w:rsidR="00753FE5" w:rsidRPr="00282AC9">
        <w:rPr>
          <w:rFonts w:hint="cs"/>
          <w:rtl/>
        </w:rPr>
        <w:t>ّ</w:t>
      </w:r>
      <w:r w:rsidRPr="00282AC9">
        <w:rPr>
          <w:rtl/>
        </w:rPr>
        <w:t>ة</w:t>
      </w:r>
      <w:r w:rsidR="00753FE5" w:rsidRPr="00282AC9">
        <w:rPr>
          <w:rFonts w:hint="cs"/>
          <w:rtl/>
        </w:rPr>
        <w:t>؛</w:t>
      </w:r>
      <w:r w:rsidRPr="00282AC9">
        <w:rPr>
          <w:rtl/>
        </w:rPr>
        <w:t xml:space="preserve"> فالدين حينما يأمر بالعدل فإنّه لا يأمر بذلك على مستوى الحالة السياسي</w:t>
      </w:r>
      <w:r w:rsidR="00753FE5" w:rsidRPr="00282AC9">
        <w:rPr>
          <w:rFonts w:hint="cs"/>
          <w:rtl/>
        </w:rPr>
        <w:t>ّ</w:t>
      </w:r>
      <w:r w:rsidRPr="00282AC9">
        <w:rPr>
          <w:rtl/>
        </w:rPr>
        <w:t xml:space="preserve">ة أو الاجتماعية </w:t>
      </w:r>
      <w:r w:rsidR="00753FE5" w:rsidRPr="00282AC9">
        <w:rPr>
          <w:rFonts w:hint="cs"/>
          <w:rtl/>
        </w:rPr>
        <w:t>ف</w:t>
      </w:r>
      <w:r w:rsidRPr="00282AC9">
        <w:rPr>
          <w:rtl/>
        </w:rPr>
        <w:t>ح</w:t>
      </w:r>
      <w:r w:rsidR="00753FE5" w:rsidRPr="00282AC9">
        <w:rPr>
          <w:rFonts w:hint="cs"/>
          <w:rtl/>
        </w:rPr>
        <w:t>َ</w:t>
      </w:r>
      <w:r w:rsidRPr="00282AC9">
        <w:rPr>
          <w:rtl/>
        </w:rPr>
        <w:t>س</w:t>
      </w:r>
      <w:r w:rsidR="00753FE5" w:rsidRPr="00282AC9">
        <w:rPr>
          <w:rFonts w:hint="cs"/>
          <w:rtl/>
        </w:rPr>
        <w:t>ْ</w:t>
      </w:r>
      <w:r w:rsidRPr="00282AC9">
        <w:rPr>
          <w:rtl/>
        </w:rPr>
        <w:t>ب، وإنّما ضمن المحيط العائلي بالدرجة الأولى، وحينما يقرّ</w:t>
      </w:r>
      <w:r w:rsidR="00753FE5" w:rsidRPr="00282AC9">
        <w:rPr>
          <w:rFonts w:hint="cs"/>
          <w:rtl/>
        </w:rPr>
        <w:t>ِ</w:t>
      </w:r>
      <w:r w:rsidRPr="00282AC9">
        <w:rPr>
          <w:rtl/>
        </w:rPr>
        <w:t>ر احترام كرامة الإنسان فهو يقرّ</w:t>
      </w:r>
      <w:r w:rsidR="00753FE5" w:rsidRPr="00282AC9">
        <w:rPr>
          <w:rFonts w:hint="cs"/>
          <w:rtl/>
        </w:rPr>
        <w:t>ِ</w:t>
      </w:r>
      <w:r w:rsidRPr="00282AC9">
        <w:rPr>
          <w:rtl/>
        </w:rPr>
        <w:t>رها بدءاً من العائلة</w:t>
      </w:r>
      <w:r w:rsidR="00753FE5" w:rsidRPr="00282AC9">
        <w:rPr>
          <w:rFonts w:hint="cs"/>
          <w:rtl/>
        </w:rPr>
        <w:t xml:space="preserve">. </w:t>
      </w:r>
      <w:r w:rsidRPr="00282AC9">
        <w:rPr>
          <w:rtl/>
        </w:rPr>
        <w:t>ونجد أبرز تجلّ</w:t>
      </w:r>
      <w:r w:rsidR="00753FE5" w:rsidRPr="00282AC9">
        <w:rPr>
          <w:rFonts w:hint="cs"/>
          <w:rtl/>
        </w:rPr>
        <w:t>ِ</w:t>
      </w:r>
      <w:r w:rsidRPr="00282AC9">
        <w:rPr>
          <w:rtl/>
        </w:rPr>
        <w:t>يات ذلك في تكرار التأكيد على رعاية حدود الله لستّ مر</w:t>
      </w:r>
      <w:r w:rsidR="00753FE5" w:rsidRPr="00282AC9">
        <w:rPr>
          <w:rFonts w:hint="cs"/>
          <w:rtl/>
        </w:rPr>
        <w:t>ّ</w:t>
      </w:r>
      <w:r w:rsidRPr="00282AC9">
        <w:rPr>
          <w:rtl/>
        </w:rPr>
        <w:t>ات</w:t>
      </w:r>
      <w:r w:rsidR="00753FE5" w:rsidRPr="00282AC9">
        <w:rPr>
          <w:rFonts w:hint="cs"/>
          <w:rtl/>
        </w:rPr>
        <w:t>ٍ</w:t>
      </w:r>
      <w:r w:rsidRPr="00282AC9">
        <w:rPr>
          <w:rtl/>
        </w:rPr>
        <w:t xml:space="preserve"> في آيتين قرآني</w:t>
      </w:r>
      <w:r w:rsidR="00753FE5" w:rsidRPr="00282AC9">
        <w:rPr>
          <w:rFonts w:hint="cs"/>
          <w:rtl/>
        </w:rPr>
        <w:t>ّ</w:t>
      </w:r>
      <w:r w:rsidRPr="00282AC9">
        <w:rPr>
          <w:rtl/>
        </w:rPr>
        <w:t>تين</w:t>
      </w:r>
      <w:r w:rsidR="00753FE5" w:rsidRPr="00282AC9">
        <w:rPr>
          <w:rFonts w:hint="cs"/>
          <w:rtl/>
        </w:rPr>
        <w:t>،</w:t>
      </w:r>
      <w:r w:rsidRPr="00282AC9">
        <w:rPr>
          <w:rtl/>
        </w:rPr>
        <w:t xml:space="preserve"> من سورة البقرة، تتناولان الشأن العائلي</w:t>
      </w:r>
      <w:r w:rsidR="00753FE5" w:rsidRPr="00282AC9">
        <w:rPr>
          <w:rFonts w:hint="cs"/>
          <w:rtl/>
        </w:rPr>
        <w:t>،</w:t>
      </w:r>
      <w:r w:rsidRPr="00282AC9">
        <w:rPr>
          <w:rtl/>
        </w:rPr>
        <w:t xml:space="preserve"> قال تعالى: </w:t>
      </w:r>
      <w:r w:rsidR="00C5291F" w:rsidRPr="00282AC9">
        <w:rPr>
          <w:rFonts w:ascii="Mosawi" w:hAnsi="Mosawi" w:cs="Mosawi"/>
          <w:sz w:val="24"/>
          <w:szCs w:val="24"/>
          <w:rtl/>
        </w:rPr>
        <w:t>﴿</w:t>
      </w:r>
      <w:r w:rsidR="00753FE5" w:rsidRPr="00282AC9">
        <w:rPr>
          <w:b/>
          <w:bCs/>
          <w:rtl/>
        </w:rPr>
        <w:t>الطَّل</w:t>
      </w:r>
      <w:r w:rsidRPr="00282AC9">
        <w:rPr>
          <w:b/>
          <w:bCs/>
          <w:rtl/>
        </w:rPr>
        <w:t>اقُ مَرَّتَانِ فَإِمْسَاكٌ بِمَعْرُوفٍ</w:t>
      </w:r>
      <w:r w:rsidR="00753FE5" w:rsidRPr="00282AC9">
        <w:rPr>
          <w:b/>
          <w:bCs/>
          <w:rtl/>
        </w:rPr>
        <w:t xml:space="preserve"> أَوْ تَسْرِيحٌ بِإِحْسَانٍ وَل</w:t>
      </w:r>
      <w:r w:rsidRPr="00282AC9">
        <w:rPr>
          <w:b/>
          <w:bCs/>
          <w:rtl/>
        </w:rPr>
        <w:t>ا يَحِلُّ لَكُمْ أَن تَأْخُذُوا مِمَّا آتَيْتُمُوهُنَّ شَيْئاً إِ</w:t>
      </w:r>
      <w:r w:rsidR="00EE6DBA" w:rsidRPr="00282AC9">
        <w:rPr>
          <w:b/>
          <w:bCs/>
          <w:rtl/>
        </w:rPr>
        <w:t>لاّ</w:t>
      </w:r>
      <w:r w:rsidR="00753FE5" w:rsidRPr="00282AC9">
        <w:rPr>
          <w:rFonts w:hint="cs"/>
          <w:b/>
          <w:bCs/>
          <w:rtl/>
        </w:rPr>
        <w:t>َ</w:t>
      </w:r>
      <w:r w:rsidRPr="00282AC9">
        <w:rPr>
          <w:b/>
          <w:bCs/>
          <w:rtl/>
        </w:rPr>
        <w:t xml:space="preserve"> أَن يَخَافَا أَ</w:t>
      </w:r>
      <w:r w:rsidR="00EE6DBA" w:rsidRPr="00282AC9">
        <w:rPr>
          <w:b/>
          <w:bCs/>
          <w:rtl/>
        </w:rPr>
        <w:t>لاّ</w:t>
      </w:r>
      <w:r w:rsidR="00753FE5" w:rsidRPr="00282AC9">
        <w:rPr>
          <w:rFonts w:hint="cs"/>
          <w:b/>
          <w:bCs/>
          <w:rtl/>
        </w:rPr>
        <w:t>َ</w:t>
      </w:r>
      <w:r w:rsidRPr="00282AC9">
        <w:rPr>
          <w:b/>
          <w:bCs/>
          <w:rtl/>
        </w:rPr>
        <w:t xml:space="preserve"> يُقِيمَا حُدُودَ </w:t>
      </w:r>
      <w:r w:rsidR="00C06BE6" w:rsidRPr="00282AC9">
        <w:rPr>
          <w:b/>
          <w:bCs/>
          <w:rtl/>
        </w:rPr>
        <w:t>الله</w:t>
      </w:r>
      <w:r w:rsidRPr="00282AC9">
        <w:rPr>
          <w:b/>
          <w:bCs/>
          <w:rtl/>
        </w:rPr>
        <w:t xml:space="preserve"> فَإِنْ خِفْتُمْ أَ</w:t>
      </w:r>
      <w:r w:rsidR="00EE6DBA" w:rsidRPr="00282AC9">
        <w:rPr>
          <w:b/>
          <w:bCs/>
          <w:rtl/>
        </w:rPr>
        <w:t>لاّ</w:t>
      </w:r>
      <w:r w:rsidR="00753FE5" w:rsidRPr="00282AC9">
        <w:rPr>
          <w:rFonts w:hint="cs"/>
          <w:b/>
          <w:bCs/>
          <w:rtl/>
        </w:rPr>
        <w:t>َ</w:t>
      </w:r>
      <w:r w:rsidRPr="00282AC9">
        <w:rPr>
          <w:b/>
          <w:bCs/>
          <w:rtl/>
        </w:rPr>
        <w:t xml:space="preserve"> يُقِيمَا حُدُودَ </w:t>
      </w:r>
      <w:r w:rsidR="00C06BE6" w:rsidRPr="00282AC9">
        <w:rPr>
          <w:b/>
          <w:bCs/>
          <w:rtl/>
        </w:rPr>
        <w:t>الله</w:t>
      </w:r>
      <w:r w:rsidR="00753FE5" w:rsidRPr="00282AC9">
        <w:rPr>
          <w:b/>
          <w:bCs/>
          <w:rtl/>
        </w:rPr>
        <w:t xml:space="preserve"> فَل</w:t>
      </w:r>
      <w:r w:rsidRPr="00282AC9">
        <w:rPr>
          <w:b/>
          <w:bCs/>
          <w:rtl/>
        </w:rPr>
        <w:t>ا جُنَاحَ عَلَيْهِمَا فِي</w:t>
      </w:r>
      <w:r w:rsidR="00A716AC" w:rsidRPr="00282AC9">
        <w:rPr>
          <w:rFonts w:hint="cs"/>
          <w:b/>
          <w:bCs/>
          <w:rtl/>
        </w:rPr>
        <w:t xml:space="preserve"> </w:t>
      </w:r>
      <w:r w:rsidRPr="00282AC9">
        <w:rPr>
          <w:b/>
          <w:bCs/>
          <w:rtl/>
        </w:rPr>
        <w:t xml:space="preserve">مَا افْتَدَتْ بِهِ تِلْكَ حُدُودُ </w:t>
      </w:r>
      <w:r w:rsidR="00C06BE6" w:rsidRPr="00282AC9">
        <w:rPr>
          <w:b/>
          <w:bCs/>
          <w:rtl/>
        </w:rPr>
        <w:t>الله</w:t>
      </w:r>
      <w:r w:rsidR="00753FE5" w:rsidRPr="00282AC9">
        <w:rPr>
          <w:b/>
          <w:bCs/>
          <w:rtl/>
        </w:rPr>
        <w:t xml:space="preserve"> فَل</w:t>
      </w:r>
      <w:r w:rsidRPr="00282AC9">
        <w:rPr>
          <w:b/>
          <w:bCs/>
          <w:rtl/>
        </w:rPr>
        <w:t>ا تَعْتَدُوهَا وَمَن</w:t>
      </w:r>
      <w:r w:rsidR="00753FE5" w:rsidRPr="00282AC9">
        <w:rPr>
          <w:rFonts w:hint="cs"/>
          <w:b/>
          <w:bCs/>
          <w:rtl/>
        </w:rPr>
        <w:t>ْ</w:t>
      </w:r>
      <w:r w:rsidRPr="00282AC9">
        <w:rPr>
          <w:b/>
          <w:bCs/>
          <w:rtl/>
        </w:rPr>
        <w:t xml:space="preserve"> يَتَعَدَّ حُدُودَ </w:t>
      </w:r>
      <w:r w:rsidR="00C06BE6" w:rsidRPr="00282AC9">
        <w:rPr>
          <w:b/>
          <w:bCs/>
          <w:rtl/>
        </w:rPr>
        <w:t>الله</w:t>
      </w:r>
      <w:r w:rsidRPr="00282AC9">
        <w:rPr>
          <w:b/>
          <w:bCs/>
          <w:rtl/>
        </w:rPr>
        <w:t xml:space="preserve"> فَأُولَـ</w:t>
      </w:r>
      <w:r w:rsidRPr="00282AC9">
        <w:rPr>
          <w:rFonts w:hint="cs"/>
          <w:b/>
          <w:bCs/>
          <w:rtl/>
        </w:rPr>
        <w:t>ئِكَ</w:t>
      </w:r>
      <w:r w:rsidRPr="00282AC9">
        <w:rPr>
          <w:b/>
          <w:bCs/>
          <w:rtl/>
        </w:rPr>
        <w:t xml:space="preserve"> </w:t>
      </w:r>
      <w:r w:rsidRPr="00282AC9">
        <w:rPr>
          <w:rFonts w:hint="cs"/>
          <w:b/>
          <w:bCs/>
          <w:rtl/>
        </w:rPr>
        <w:t>هُمُ</w:t>
      </w:r>
      <w:r w:rsidRPr="00282AC9">
        <w:rPr>
          <w:b/>
          <w:bCs/>
          <w:rtl/>
        </w:rPr>
        <w:t xml:space="preserve"> </w:t>
      </w:r>
      <w:r w:rsidRPr="00282AC9">
        <w:rPr>
          <w:rFonts w:hint="cs"/>
          <w:b/>
          <w:bCs/>
          <w:rtl/>
        </w:rPr>
        <w:t>الظَّالِمُونَ</w:t>
      </w:r>
      <w:r w:rsidRPr="00282AC9">
        <w:rPr>
          <w:b/>
          <w:bCs/>
          <w:rtl/>
        </w:rPr>
        <w:t xml:space="preserve"> </w:t>
      </w:r>
      <w:r w:rsidRPr="00282AC9">
        <w:rPr>
          <w:b/>
          <w:bCs/>
          <w:rtl/>
        </w:rPr>
        <w:lastRenderedPageBreak/>
        <w:t xml:space="preserve">* </w:t>
      </w:r>
      <w:r w:rsidRPr="00282AC9">
        <w:rPr>
          <w:rFonts w:hint="cs"/>
          <w:b/>
          <w:bCs/>
          <w:rtl/>
        </w:rPr>
        <w:t>فَإِن</w:t>
      </w:r>
      <w:r w:rsidR="00753FE5" w:rsidRPr="00282AC9">
        <w:rPr>
          <w:rFonts w:hint="cs"/>
          <w:b/>
          <w:bCs/>
          <w:rtl/>
        </w:rPr>
        <w:t>ْ</w:t>
      </w:r>
      <w:r w:rsidRPr="00282AC9">
        <w:rPr>
          <w:b/>
          <w:bCs/>
          <w:rtl/>
        </w:rPr>
        <w:t xml:space="preserve"> </w:t>
      </w:r>
      <w:r w:rsidRPr="00282AC9">
        <w:rPr>
          <w:rFonts w:hint="cs"/>
          <w:b/>
          <w:bCs/>
          <w:rtl/>
        </w:rPr>
        <w:t>طَلَّقَهَا</w:t>
      </w:r>
      <w:r w:rsidRPr="00282AC9">
        <w:rPr>
          <w:b/>
          <w:bCs/>
          <w:rtl/>
        </w:rPr>
        <w:t xml:space="preserve"> </w:t>
      </w:r>
      <w:r w:rsidR="00753FE5" w:rsidRPr="00282AC9">
        <w:rPr>
          <w:rFonts w:hint="cs"/>
          <w:b/>
          <w:bCs/>
          <w:rtl/>
        </w:rPr>
        <w:t>فَل</w:t>
      </w:r>
      <w:r w:rsidRPr="00282AC9">
        <w:rPr>
          <w:rFonts w:hint="cs"/>
          <w:b/>
          <w:bCs/>
          <w:rtl/>
        </w:rPr>
        <w:t>ا</w:t>
      </w:r>
      <w:r w:rsidRPr="00282AC9">
        <w:rPr>
          <w:b/>
          <w:bCs/>
          <w:rtl/>
        </w:rPr>
        <w:t xml:space="preserve"> </w:t>
      </w:r>
      <w:r w:rsidRPr="00282AC9">
        <w:rPr>
          <w:rFonts w:hint="cs"/>
          <w:b/>
          <w:bCs/>
          <w:rtl/>
        </w:rPr>
        <w:t>تَحِلُّ</w:t>
      </w:r>
      <w:r w:rsidRPr="00282AC9">
        <w:rPr>
          <w:b/>
          <w:bCs/>
          <w:rtl/>
        </w:rPr>
        <w:t xml:space="preserve"> </w:t>
      </w:r>
      <w:r w:rsidRPr="00282AC9">
        <w:rPr>
          <w:rFonts w:hint="cs"/>
          <w:b/>
          <w:bCs/>
          <w:rtl/>
        </w:rPr>
        <w:t>لَهُ</w:t>
      </w:r>
      <w:r w:rsidRPr="00282AC9">
        <w:rPr>
          <w:b/>
          <w:bCs/>
          <w:rtl/>
        </w:rPr>
        <w:t xml:space="preserve"> </w:t>
      </w:r>
      <w:r w:rsidRPr="00282AC9">
        <w:rPr>
          <w:rFonts w:hint="cs"/>
          <w:b/>
          <w:bCs/>
          <w:rtl/>
        </w:rPr>
        <w:t>مِن</w:t>
      </w:r>
      <w:r w:rsidR="00753FE5" w:rsidRPr="00282AC9">
        <w:rPr>
          <w:rFonts w:hint="cs"/>
          <w:b/>
          <w:bCs/>
          <w:rtl/>
        </w:rPr>
        <w:t>ْ</w:t>
      </w:r>
      <w:r w:rsidRPr="00282AC9">
        <w:rPr>
          <w:b/>
          <w:bCs/>
          <w:rtl/>
        </w:rPr>
        <w:t xml:space="preserve"> </w:t>
      </w:r>
      <w:r w:rsidRPr="00282AC9">
        <w:rPr>
          <w:rFonts w:hint="cs"/>
          <w:b/>
          <w:bCs/>
          <w:rtl/>
        </w:rPr>
        <w:t>بَعْدُ</w:t>
      </w:r>
      <w:r w:rsidRPr="00282AC9">
        <w:rPr>
          <w:b/>
          <w:bCs/>
          <w:rtl/>
        </w:rPr>
        <w:t xml:space="preserve"> </w:t>
      </w:r>
      <w:r w:rsidRPr="00282AC9">
        <w:rPr>
          <w:rFonts w:hint="cs"/>
          <w:b/>
          <w:bCs/>
          <w:rtl/>
        </w:rPr>
        <w:t>حَتَّى</w:t>
      </w:r>
      <w:r w:rsidRPr="00282AC9">
        <w:rPr>
          <w:b/>
          <w:bCs/>
          <w:rtl/>
        </w:rPr>
        <w:t xml:space="preserve"> </w:t>
      </w:r>
      <w:r w:rsidRPr="00282AC9">
        <w:rPr>
          <w:rFonts w:hint="cs"/>
          <w:b/>
          <w:bCs/>
          <w:rtl/>
        </w:rPr>
        <w:t>تَن</w:t>
      </w:r>
      <w:r w:rsidR="00753FE5" w:rsidRPr="00282AC9">
        <w:rPr>
          <w:rFonts w:hint="cs"/>
          <w:b/>
          <w:bCs/>
          <w:rtl/>
        </w:rPr>
        <w:t>ْ</w:t>
      </w:r>
      <w:r w:rsidRPr="00282AC9">
        <w:rPr>
          <w:rFonts w:hint="cs"/>
          <w:b/>
          <w:bCs/>
          <w:rtl/>
        </w:rPr>
        <w:t>كِحَ</w:t>
      </w:r>
      <w:r w:rsidRPr="00282AC9">
        <w:rPr>
          <w:b/>
          <w:bCs/>
          <w:rtl/>
        </w:rPr>
        <w:t xml:space="preserve"> </w:t>
      </w:r>
      <w:r w:rsidRPr="00282AC9">
        <w:rPr>
          <w:rFonts w:hint="cs"/>
          <w:b/>
          <w:bCs/>
          <w:rtl/>
        </w:rPr>
        <w:t>زَوْجاً</w:t>
      </w:r>
      <w:r w:rsidRPr="00282AC9">
        <w:rPr>
          <w:b/>
          <w:bCs/>
          <w:rtl/>
        </w:rPr>
        <w:t xml:space="preserve"> </w:t>
      </w:r>
      <w:r w:rsidRPr="00282AC9">
        <w:rPr>
          <w:rFonts w:hint="cs"/>
          <w:b/>
          <w:bCs/>
          <w:rtl/>
        </w:rPr>
        <w:t>غَيْرَهُ</w:t>
      </w:r>
      <w:r w:rsidRPr="00282AC9">
        <w:rPr>
          <w:b/>
          <w:bCs/>
          <w:rtl/>
        </w:rPr>
        <w:t xml:space="preserve"> </w:t>
      </w:r>
      <w:r w:rsidRPr="00282AC9">
        <w:rPr>
          <w:rFonts w:hint="cs"/>
          <w:b/>
          <w:bCs/>
          <w:rtl/>
        </w:rPr>
        <w:t>فَإِن</w:t>
      </w:r>
      <w:r w:rsidR="00753FE5" w:rsidRPr="00282AC9">
        <w:rPr>
          <w:rFonts w:hint="cs"/>
          <w:b/>
          <w:bCs/>
          <w:rtl/>
        </w:rPr>
        <w:t>ْ</w:t>
      </w:r>
      <w:r w:rsidRPr="00282AC9">
        <w:rPr>
          <w:b/>
          <w:bCs/>
          <w:rtl/>
        </w:rPr>
        <w:t xml:space="preserve"> </w:t>
      </w:r>
      <w:r w:rsidRPr="00282AC9">
        <w:rPr>
          <w:rFonts w:hint="cs"/>
          <w:b/>
          <w:bCs/>
          <w:rtl/>
        </w:rPr>
        <w:t>طَلَّقَهَا</w:t>
      </w:r>
      <w:r w:rsidRPr="00282AC9">
        <w:rPr>
          <w:b/>
          <w:bCs/>
          <w:rtl/>
        </w:rPr>
        <w:t xml:space="preserve"> </w:t>
      </w:r>
      <w:r w:rsidR="00753FE5" w:rsidRPr="00282AC9">
        <w:rPr>
          <w:rFonts w:hint="cs"/>
          <w:b/>
          <w:bCs/>
          <w:rtl/>
        </w:rPr>
        <w:t>فَل</w:t>
      </w:r>
      <w:r w:rsidRPr="00282AC9">
        <w:rPr>
          <w:rFonts w:hint="cs"/>
          <w:b/>
          <w:bCs/>
          <w:rtl/>
        </w:rPr>
        <w:t>ا</w:t>
      </w:r>
      <w:r w:rsidRPr="00282AC9">
        <w:rPr>
          <w:b/>
          <w:bCs/>
          <w:rtl/>
        </w:rPr>
        <w:t xml:space="preserve"> </w:t>
      </w:r>
      <w:r w:rsidRPr="00282AC9">
        <w:rPr>
          <w:rFonts w:hint="cs"/>
          <w:b/>
          <w:bCs/>
          <w:rtl/>
        </w:rPr>
        <w:t>جُنَاحَ</w:t>
      </w:r>
      <w:r w:rsidRPr="00282AC9">
        <w:rPr>
          <w:b/>
          <w:bCs/>
          <w:rtl/>
        </w:rPr>
        <w:t xml:space="preserve"> </w:t>
      </w:r>
      <w:r w:rsidRPr="00282AC9">
        <w:rPr>
          <w:rFonts w:hint="cs"/>
          <w:b/>
          <w:bCs/>
          <w:rtl/>
        </w:rPr>
        <w:t>عَلَيْهِمَا</w:t>
      </w:r>
      <w:r w:rsidRPr="00282AC9">
        <w:rPr>
          <w:b/>
          <w:bCs/>
          <w:rtl/>
        </w:rPr>
        <w:t xml:space="preserve"> </w:t>
      </w:r>
      <w:r w:rsidRPr="00282AC9">
        <w:rPr>
          <w:rFonts w:hint="cs"/>
          <w:b/>
          <w:bCs/>
          <w:rtl/>
        </w:rPr>
        <w:t>أَن</w:t>
      </w:r>
      <w:r w:rsidR="00753FE5" w:rsidRPr="00282AC9">
        <w:rPr>
          <w:rFonts w:hint="cs"/>
          <w:b/>
          <w:bCs/>
          <w:rtl/>
        </w:rPr>
        <w:t>ْ</w:t>
      </w:r>
      <w:r w:rsidRPr="00282AC9">
        <w:rPr>
          <w:b/>
          <w:bCs/>
          <w:rtl/>
        </w:rPr>
        <w:t xml:space="preserve"> </w:t>
      </w:r>
      <w:r w:rsidRPr="00282AC9">
        <w:rPr>
          <w:rFonts w:hint="cs"/>
          <w:b/>
          <w:bCs/>
          <w:rtl/>
        </w:rPr>
        <w:t>يَتَرَاجَعَا</w:t>
      </w:r>
      <w:r w:rsidRPr="00282AC9">
        <w:rPr>
          <w:b/>
          <w:bCs/>
          <w:rtl/>
        </w:rPr>
        <w:t xml:space="preserve"> </w:t>
      </w:r>
      <w:r w:rsidRPr="00282AC9">
        <w:rPr>
          <w:rFonts w:hint="cs"/>
          <w:b/>
          <w:bCs/>
          <w:rtl/>
        </w:rPr>
        <w:t>إِن</w:t>
      </w:r>
      <w:r w:rsidR="00753FE5" w:rsidRPr="00282AC9">
        <w:rPr>
          <w:rFonts w:hint="cs"/>
          <w:b/>
          <w:bCs/>
          <w:rtl/>
        </w:rPr>
        <w:t>ْ</w:t>
      </w:r>
      <w:r w:rsidRPr="00282AC9">
        <w:rPr>
          <w:b/>
          <w:bCs/>
          <w:rtl/>
        </w:rPr>
        <w:t xml:space="preserve"> </w:t>
      </w:r>
      <w:r w:rsidRPr="00282AC9">
        <w:rPr>
          <w:rFonts w:hint="cs"/>
          <w:b/>
          <w:bCs/>
          <w:rtl/>
        </w:rPr>
        <w:t>ظَنَّا</w:t>
      </w:r>
      <w:r w:rsidRPr="00282AC9">
        <w:rPr>
          <w:b/>
          <w:bCs/>
          <w:rtl/>
        </w:rPr>
        <w:t xml:space="preserve"> </w:t>
      </w:r>
      <w:r w:rsidRPr="00282AC9">
        <w:rPr>
          <w:rFonts w:hint="cs"/>
          <w:b/>
          <w:bCs/>
          <w:rtl/>
        </w:rPr>
        <w:t>أَن</w:t>
      </w:r>
      <w:r w:rsidR="00753FE5" w:rsidRPr="00282AC9">
        <w:rPr>
          <w:rFonts w:hint="cs"/>
          <w:b/>
          <w:bCs/>
          <w:rtl/>
        </w:rPr>
        <w:t>ْ</w:t>
      </w:r>
      <w:r w:rsidRPr="00282AC9">
        <w:rPr>
          <w:b/>
          <w:bCs/>
          <w:rtl/>
        </w:rPr>
        <w:t xml:space="preserve"> </w:t>
      </w:r>
      <w:r w:rsidRPr="00282AC9">
        <w:rPr>
          <w:rFonts w:hint="cs"/>
          <w:b/>
          <w:bCs/>
          <w:rtl/>
        </w:rPr>
        <w:t>يُقِيمَا</w:t>
      </w:r>
      <w:r w:rsidRPr="00282AC9">
        <w:rPr>
          <w:b/>
          <w:bCs/>
          <w:rtl/>
        </w:rPr>
        <w:t xml:space="preserve"> </w:t>
      </w:r>
      <w:r w:rsidRPr="00282AC9">
        <w:rPr>
          <w:rFonts w:hint="cs"/>
          <w:b/>
          <w:bCs/>
          <w:rtl/>
        </w:rPr>
        <w:t>حُدُودَ</w:t>
      </w:r>
      <w:r w:rsidRPr="00282AC9">
        <w:rPr>
          <w:b/>
          <w:bCs/>
          <w:rtl/>
        </w:rPr>
        <w:t xml:space="preserve"> </w:t>
      </w:r>
      <w:r w:rsidR="00C06BE6" w:rsidRPr="00282AC9">
        <w:rPr>
          <w:rFonts w:hint="cs"/>
          <w:b/>
          <w:bCs/>
          <w:rtl/>
        </w:rPr>
        <w:t>الله</w:t>
      </w:r>
      <w:r w:rsidRPr="00282AC9">
        <w:rPr>
          <w:b/>
          <w:bCs/>
          <w:rtl/>
        </w:rPr>
        <w:t xml:space="preserve"> </w:t>
      </w:r>
      <w:r w:rsidRPr="00282AC9">
        <w:rPr>
          <w:rFonts w:hint="cs"/>
          <w:b/>
          <w:bCs/>
          <w:rtl/>
        </w:rPr>
        <w:t>وَتِلْكَ</w:t>
      </w:r>
      <w:r w:rsidRPr="00282AC9">
        <w:rPr>
          <w:b/>
          <w:bCs/>
          <w:rtl/>
        </w:rPr>
        <w:t xml:space="preserve"> </w:t>
      </w:r>
      <w:r w:rsidRPr="00282AC9">
        <w:rPr>
          <w:rFonts w:hint="cs"/>
          <w:b/>
          <w:bCs/>
          <w:rtl/>
        </w:rPr>
        <w:t>حُدُودُ</w:t>
      </w:r>
      <w:r w:rsidRPr="00282AC9">
        <w:rPr>
          <w:b/>
          <w:bCs/>
          <w:rtl/>
        </w:rPr>
        <w:t xml:space="preserve"> </w:t>
      </w:r>
      <w:r w:rsidR="00C06BE6" w:rsidRPr="00282AC9">
        <w:rPr>
          <w:rFonts w:hint="cs"/>
          <w:b/>
          <w:bCs/>
          <w:rtl/>
        </w:rPr>
        <w:t>الله</w:t>
      </w:r>
      <w:r w:rsidR="00753FE5" w:rsidRPr="00282AC9">
        <w:rPr>
          <w:b/>
          <w:bCs/>
          <w:rtl/>
        </w:rPr>
        <w:t xml:space="preserve"> يُبَي</w:t>
      </w:r>
      <w:r w:rsidR="00753FE5" w:rsidRPr="00282AC9">
        <w:rPr>
          <w:rFonts w:hint="cs"/>
          <w:b/>
          <w:bCs/>
          <w:rtl/>
        </w:rPr>
        <w:t>ِّ</w:t>
      </w:r>
      <w:r w:rsidRPr="00282AC9">
        <w:rPr>
          <w:b/>
          <w:bCs/>
          <w:rtl/>
        </w:rPr>
        <w:t>نُهَا لِقَوْمٍ يَعْلَمُونَ</w:t>
      </w:r>
      <w:r w:rsidR="00C5291F" w:rsidRPr="00282AC9">
        <w:rPr>
          <w:rFonts w:ascii="Mosawi" w:hAnsi="Mosawi" w:cs="Mosawi"/>
          <w:sz w:val="24"/>
          <w:szCs w:val="24"/>
          <w:rtl/>
        </w:rPr>
        <w:t>﴾</w:t>
      </w:r>
      <w:r w:rsidR="00753FE5" w:rsidRPr="00282AC9">
        <w:rPr>
          <w:rFonts w:hint="cs"/>
          <w:rtl/>
        </w:rPr>
        <w:t>.</w:t>
      </w:r>
      <w:r w:rsidRPr="00282AC9">
        <w:rPr>
          <w:rtl/>
        </w:rPr>
        <w:t xml:space="preserve"> وقد جاء التأكيد على </w:t>
      </w:r>
      <w:r w:rsidR="00C5291F" w:rsidRPr="00282AC9">
        <w:rPr>
          <w:rFonts w:ascii="Mosawi" w:hAnsi="Mosawi" w:cs="Mosawi"/>
          <w:sz w:val="24"/>
          <w:szCs w:val="24"/>
          <w:rtl/>
        </w:rPr>
        <w:t>﴿</w:t>
      </w:r>
      <w:r w:rsidRPr="00282AC9">
        <w:rPr>
          <w:b/>
          <w:bCs/>
          <w:rtl/>
        </w:rPr>
        <w:t xml:space="preserve">حُدُودُ </w:t>
      </w:r>
      <w:r w:rsidR="00C06BE6" w:rsidRPr="00282AC9">
        <w:rPr>
          <w:b/>
          <w:bCs/>
          <w:rtl/>
        </w:rPr>
        <w:t>الله</w:t>
      </w:r>
      <w:r w:rsidR="00753FE5" w:rsidRPr="00282AC9">
        <w:rPr>
          <w:rFonts w:hint="cs"/>
          <w:b/>
          <w:bCs/>
          <w:rtl/>
        </w:rPr>
        <w:t>ِ</w:t>
      </w:r>
      <w:r w:rsidR="00C5291F" w:rsidRPr="00282AC9">
        <w:rPr>
          <w:rFonts w:ascii="Mosawi" w:hAnsi="Mosawi" w:cs="Mosawi"/>
          <w:sz w:val="24"/>
          <w:szCs w:val="24"/>
          <w:rtl/>
        </w:rPr>
        <w:t>﴾</w:t>
      </w:r>
      <w:r w:rsidRPr="00282AC9">
        <w:rPr>
          <w:rtl/>
        </w:rPr>
        <w:t xml:space="preserve"> لستّ مر</w:t>
      </w:r>
      <w:r w:rsidR="00753FE5" w:rsidRPr="00282AC9">
        <w:rPr>
          <w:rFonts w:hint="cs"/>
          <w:rtl/>
        </w:rPr>
        <w:t>ّ</w:t>
      </w:r>
      <w:r w:rsidRPr="00282AC9">
        <w:rPr>
          <w:rtl/>
        </w:rPr>
        <w:t>ات</w:t>
      </w:r>
      <w:r w:rsidR="00753FE5" w:rsidRPr="00282AC9">
        <w:rPr>
          <w:rFonts w:hint="cs"/>
          <w:rtl/>
        </w:rPr>
        <w:t>ٍ؛</w:t>
      </w:r>
      <w:r w:rsidRPr="00282AC9">
        <w:rPr>
          <w:rtl/>
        </w:rPr>
        <w:t xml:space="preserve"> بغرض التدليل على ضرورة أن تكون العائلة منطلقاً لرعاية الحدود، واحترام الق</w:t>
      </w:r>
      <w:r w:rsidR="00753FE5" w:rsidRPr="00282AC9">
        <w:rPr>
          <w:rFonts w:hint="cs"/>
          <w:rtl/>
        </w:rPr>
        <w:t>ِ</w:t>
      </w:r>
      <w:r w:rsidRPr="00282AC9">
        <w:rPr>
          <w:rtl/>
        </w:rPr>
        <w:t>ي</w:t>
      </w:r>
      <w:r w:rsidR="00753FE5" w:rsidRPr="00282AC9">
        <w:rPr>
          <w:rFonts w:hint="cs"/>
          <w:rtl/>
        </w:rPr>
        <w:t>َ</w:t>
      </w:r>
      <w:r w:rsidRPr="00282AC9">
        <w:rPr>
          <w:rtl/>
        </w:rPr>
        <w:t>م، سواء في دائرة المجتمع أم الوطن أم الأم</w:t>
      </w:r>
      <w:r w:rsidR="00753FE5" w:rsidRPr="00282AC9">
        <w:rPr>
          <w:rFonts w:hint="cs"/>
          <w:rtl/>
        </w:rPr>
        <w:t>ّ</w:t>
      </w:r>
      <w:r w:rsidRPr="00282AC9">
        <w:rPr>
          <w:rtl/>
        </w:rPr>
        <w:t>ة، وصولاً إلى دائرة الأ</w:t>
      </w:r>
      <w:r w:rsidR="00753FE5" w:rsidRPr="00282AC9">
        <w:rPr>
          <w:rFonts w:hint="cs"/>
          <w:rtl/>
        </w:rPr>
        <w:t>ُ</w:t>
      </w:r>
      <w:r w:rsidRPr="00282AC9">
        <w:rPr>
          <w:rtl/>
        </w:rPr>
        <w:t>س</w:t>
      </w:r>
      <w:r w:rsidR="00753FE5" w:rsidRPr="00282AC9">
        <w:rPr>
          <w:rFonts w:hint="cs"/>
          <w:rtl/>
        </w:rPr>
        <w:t>ْ</w:t>
      </w:r>
      <w:r w:rsidRPr="00282AC9">
        <w:rPr>
          <w:rtl/>
        </w:rPr>
        <w:t>ر</w:t>
      </w:r>
      <w:r w:rsidR="00753FE5" w:rsidRPr="00282AC9">
        <w:rPr>
          <w:rFonts w:hint="cs"/>
          <w:rtl/>
        </w:rPr>
        <w:t>َ</w:t>
      </w:r>
      <w:r w:rsidRPr="00282AC9">
        <w:rPr>
          <w:rtl/>
        </w:rPr>
        <w:t>ة الإنساني</w:t>
      </w:r>
      <w:r w:rsidR="00753FE5" w:rsidRPr="00282AC9">
        <w:rPr>
          <w:rFonts w:hint="cs"/>
          <w:rtl/>
        </w:rPr>
        <w:t>ّ</w:t>
      </w:r>
      <w:r w:rsidRPr="00282AC9">
        <w:rPr>
          <w:rtl/>
        </w:rPr>
        <w:t xml:space="preserve">ة. </w:t>
      </w:r>
    </w:p>
    <w:p w:rsidR="008263C7" w:rsidRPr="00282AC9" w:rsidRDefault="009C6A22" w:rsidP="00106AA7">
      <w:pPr>
        <w:rPr>
          <w:rtl/>
        </w:rPr>
      </w:pPr>
      <w:r w:rsidRPr="00282AC9">
        <w:rPr>
          <w:rtl/>
        </w:rPr>
        <w:t>فحين يشدّ</w:t>
      </w:r>
      <w:r w:rsidR="00753FE5" w:rsidRPr="00282AC9">
        <w:rPr>
          <w:rFonts w:hint="cs"/>
          <w:rtl/>
        </w:rPr>
        <w:t>ِ</w:t>
      </w:r>
      <w:r w:rsidRPr="00282AC9">
        <w:rPr>
          <w:rtl/>
        </w:rPr>
        <w:t>د الدين على تحقيق العدالة على كلّ الصُّع</w:t>
      </w:r>
      <w:r w:rsidR="00753FE5" w:rsidRPr="00282AC9">
        <w:rPr>
          <w:rFonts w:hint="cs"/>
          <w:rtl/>
        </w:rPr>
        <w:t>ُ</w:t>
      </w:r>
      <w:r w:rsidRPr="00282AC9">
        <w:rPr>
          <w:rtl/>
        </w:rPr>
        <w:t>د</w:t>
      </w:r>
      <w:r w:rsidR="00753FE5" w:rsidRPr="00282AC9">
        <w:rPr>
          <w:rFonts w:hint="cs"/>
          <w:rtl/>
        </w:rPr>
        <w:t>،</w:t>
      </w:r>
      <w:r w:rsidRPr="00282AC9">
        <w:rPr>
          <w:rtl/>
        </w:rPr>
        <w:t xml:space="preserve"> الاجتماعية والسياسية</w:t>
      </w:r>
      <w:r w:rsidR="00753FE5" w:rsidRPr="00282AC9">
        <w:rPr>
          <w:rFonts w:hint="cs"/>
          <w:rtl/>
        </w:rPr>
        <w:t>،</w:t>
      </w:r>
      <w:r w:rsidRPr="00282AC9">
        <w:rPr>
          <w:rtl/>
        </w:rPr>
        <w:t xml:space="preserve"> وفي العلاقات الدولية</w:t>
      </w:r>
      <w:r w:rsidR="00753FE5" w:rsidRPr="00282AC9">
        <w:rPr>
          <w:rFonts w:hint="cs"/>
          <w:rtl/>
        </w:rPr>
        <w:t>،</w:t>
      </w:r>
      <w:r w:rsidRPr="00282AC9">
        <w:rPr>
          <w:rtl/>
        </w:rPr>
        <w:t xml:space="preserve"> فإنّ نقطة الانطلاق لتحقيقها يبدأ من العائلة أيضاً، قال تعالى</w:t>
      </w:r>
      <w:r w:rsidR="008263C7" w:rsidRPr="00282AC9">
        <w:rPr>
          <w:rtl/>
        </w:rPr>
        <w:t xml:space="preserve"> في</w:t>
      </w:r>
      <w:r w:rsidR="008263C7" w:rsidRPr="00282AC9">
        <w:rPr>
          <w:rFonts w:hint="cs"/>
          <w:rtl/>
        </w:rPr>
        <w:t xml:space="preserve"> </w:t>
      </w:r>
      <w:r w:rsidR="008263C7" w:rsidRPr="00282AC9">
        <w:rPr>
          <w:rtl/>
        </w:rPr>
        <w:t>ما يرتبط بتعدّ</w:t>
      </w:r>
      <w:r w:rsidR="008263C7" w:rsidRPr="00282AC9">
        <w:rPr>
          <w:rFonts w:hint="cs"/>
          <w:rtl/>
        </w:rPr>
        <w:t>ُ</w:t>
      </w:r>
      <w:r w:rsidR="008263C7" w:rsidRPr="00282AC9">
        <w:rPr>
          <w:rtl/>
        </w:rPr>
        <w:t>د الزوجات</w:t>
      </w:r>
      <w:r w:rsidRPr="00282AC9">
        <w:rPr>
          <w:rtl/>
        </w:rPr>
        <w:t xml:space="preserve">: </w:t>
      </w:r>
      <w:r w:rsidR="00C5291F" w:rsidRPr="00282AC9">
        <w:rPr>
          <w:rFonts w:ascii="Mosawi" w:hAnsi="Mosawi" w:cs="Mosawi"/>
          <w:sz w:val="24"/>
          <w:szCs w:val="24"/>
          <w:rtl/>
        </w:rPr>
        <w:t>﴿</w:t>
      </w:r>
      <w:r w:rsidRPr="00282AC9">
        <w:rPr>
          <w:b/>
          <w:bCs/>
          <w:rtl/>
        </w:rPr>
        <w:t>فَإِنْ خِفْتُمْ أَ</w:t>
      </w:r>
      <w:r w:rsidR="002A3B21" w:rsidRPr="00282AC9">
        <w:rPr>
          <w:rFonts w:hint="cs"/>
          <w:b/>
          <w:bCs/>
          <w:rtl/>
        </w:rPr>
        <w:t>نْ لاَ</w:t>
      </w:r>
      <w:r w:rsidRPr="00282AC9">
        <w:rPr>
          <w:b/>
          <w:bCs/>
          <w:rtl/>
        </w:rPr>
        <w:t xml:space="preserve"> تَعْدِلُوا فَوَاحِدَةً</w:t>
      </w:r>
      <w:r w:rsidR="00C5291F" w:rsidRPr="00282AC9">
        <w:rPr>
          <w:rFonts w:ascii="Mosawi" w:hAnsi="Mosawi" w:cs="Mosawi"/>
          <w:sz w:val="24"/>
          <w:szCs w:val="24"/>
          <w:rtl/>
        </w:rPr>
        <w:t>﴾</w:t>
      </w:r>
      <w:r w:rsidR="008263C7" w:rsidRPr="00282AC9">
        <w:rPr>
          <w:rtl/>
        </w:rPr>
        <w:t>.</w:t>
      </w:r>
    </w:p>
    <w:p w:rsidR="009C6A22" w:rsidRPr="00282AC9" w:rsidRDefault="009C6A22" w:rsidP="00106AA7">
      <w:pPr>
        <w:rPr>
          <w:rtl/>
        </w:rPr>
      </w:pPr>
      <w:r w:rsidRPr="00282AC9">
        <w:rPr>
          <w:rtl/>
        </w:rPr>
        <w:t>كما ينسحب ذلك على التزام العدالة بين الأولاد</w:t>
      </w:r>
      <w:r w:rsidR="008263C7" w:rsidRPr="00282AC9">
        <w:rPr>
          <w:rFonts w:hint="cs"/>
          <w:rtl/>
        </w:rPr>
        <w:t>،</w:t>
      </w:r>
      <w:r w:rsidRPr="00282AC9">
        <w:rPr>
          <w:rtl/>
        </w:rPr>
        <w:t xml:space="preserve"> والمساواة بينهم في المعاملة</w:t>
      </w:r>
      <w:r w:rsidR="008263C7" w:rsidRPr="00282AC9">
        <w:rPr>
          <w:rFonts w:hint="cs"/>
          <w:rtl/>
        </w:rPr>
        <w:t>؛</w:t>
      </w:r>
      <w:r w:rsidRPr="00282AC9">
        <w:rPr>
          <w:rtl/>
        </w:rPr>
        <w:t xml:space="preserve"> فقد ورد عن أمير المؤمنين</w:t>
      </w:r>
      <w:r w:rsidR="009A2A04" w:rsidRPr="00282AC9">
        <w:rPr>
          <w:rFonts w:cs="Mosawi" w:hint="cs"/>
          <w:sz w:val="22"/>
          <w:szCs w:val="22"/>
          <w:rtl/>
        </w:rPr>
        <w:t>×</w:t>
      </w:r>
      <w:r w:rsidR="008263C7" w:rsidRPr="00282AC9">
        <w:rPr>
          <w:rtl/>
        </w:rPr>
        <w:t xml:space="preserve"> أن</w:t>
      </w:r>
      <w:r w:rsidRPr="00282AC9">
        <w:rPr>
          <w:rtl/>
        </w:rPr>
        <w:t xml:space="preserve">ه قال: </w:t>
      </w:r>
      <w:r w:rsidRPr="00282AC9">
        <w:rPr>
          <w:sz w:val="24"/>
          <w:szCs w:val="24"/>
          <w:rtl/>
        </w:rPr>
        <w:t>«</w:t>
      </w:r>
      <w:r w:rsidRPr="00282AC9">
        <w:rPr>
          <w:rtl/>
        </w:rPr>
        <w:t>أبصَرَ رسول الله</w:t>
      </w:r>
      <w:r w:rsidR="009A2A04" w:rsidRPr="00282AC9">
        <w:rPr>
          <w:rFonts w:cs="Mosawi"/>
          <w:sz w:val="22"/>
          <w:szCs w:val="22"/>
          <w:rtl/>
        </w:rPr>
        <w:t>|</w:t>
      </w:r>
      <w:r w:rsidRPr="00282AC9">
        <w:rPr>
          <w:rtl/>
        </w:rPr>
        <w:t xml:space="preserve"> رَجُلاً لَهُ وَلَدانِ</w:t>
      </w:r>
      <w:r w:rsidR="008263C7" w:rsidRPr="00282AC9">
        <w:rPr>
          <w:rFonts w:hint="cs"/>
          <w:rtl/>
        </w:rPr>
        <w:t>،</w:t>
      </w:r>
      <w:r w:rsidRPr="00282AC9">
        <w:rPr>
          <w:rtl/>
        </w:rPr>
        <w:t xml:space="preserve"> فَقَبَّلَ أحَدَهُما وتَرَكَ الآخَرَ</w:t>
      </w:r>
      <w:r w:rsidR="008263C7" w:rsidRPr="00282AC9">
        <w:rPr>
          <w:rFonts w:hint="cs"/>
          <w:rtl/>
        </w:rPr>
        <w:t>،</w:t>
      </w:r>
      <w:r w:rsidRPr="00282AC9">
        <w:rPr>
          <w:rtl/>
        </w:rPr>
        <w:t xml:space="preserve"> فَقالَ</w:t>
      </w:r>
      <w:r w:rsidR="009A2A04" w:rsidRPr="00282AC9">
        <w:rPr>
          <w:rFonts w:cs="Mosawi"/>
          <w:sz w:val="22"/>
          <w:szCs w:val="22"/>
          <w:rtl/>
        </w:rPr>
        <w:t>|</w:t>
      </w:r>
      <w:r w:rsidRPr="00282AC9">
        <w:rPr>
          <w:rtl/>
        </w:rPr>
        <w:t>: فَهَلاّ</w:t>
      </w:r>
      <w:r w:rsidR="008263C7" w:rsidRPr="00282AC9">
        <w:rPr>
          <w:rFonts w:hint="cs"/>
          <w:rtl/>
        </w:rPr>
        <w:t>َ</w:t>
      </w:r>
      <w:r w:rsidRPr="00282AC9">
        <w:rPr>
          <w:rtl/>
        </w:rPr>
        <w:t xml:space="preserve"> واسَي</w:t>
      </w:r>
      <w:r w:rsidR="008263C7" w:rsidRPr="00282AC9">
        <w:rPr>
          <w:rFonts w:hint="cs"/>
          <w:rtl/>
        </w:rPr>
        <w:t>ْ</w:t>
      </w:r>
      <w:r w:rsidRPr="00282AC9">
        <w:rPr>
          <w:rtl/>
        </w:rPr>
        <w:t>تَ بَينَهُما</w:t>
      </w:r>
      <w:r w:rsidRPr="00282AC9">
        <w:rPr>
          <w:sz w:val="24"/>
          <w:szCs w:val="24"/>
          <w:rtl/>
        </w:rPr>
        <w:t>»</w:t>
      </w:r>
      <w:r w:rsidRPr="00282AC9">
        <w:rPr>
          <w:sz w:val="27"/>
          <w:vertAlign w:val="superscript"/>
          <w:rtl/>
        </w:rPr>
        <w:t>(</w:t>
      </w:r>
      <w:r w:rsidRPr="00282AC9">
        <w:rPr>
          <w:sz w:val="27"/>
          <w:vertAlign w:val="superscript"/>
          <w:rtl/>
        </w:rPr>
        <w:endnoteReference w:id="221"/>
      </w:r>
      <w:r w:rsidRPr="00282AC9">
        <w:rPr>
          <w:sz w:val="27"/>
          <w:vertAlign w:val="superscript"/>
          <w:rtl/>
        </w:rPr>
        <w:t>)</w:t>
      </w:r>
      <w:r w:rsidR="008263C7" w:rsidRPr="00282AC9">
        <w:rPr>
          <w:rFonts w:hint="cs"/>
          <w:rtl/>
        </w:rPr>
        <w:t>؛</w:t>
      </w:r>
      <w:r w:rsidRPr="00282AC9">
        <w:rPr>
          <w:rtl/>
        </w:rPr>
        <w:t xml:space="preserve"> وجاء في حديث</w:t>
      </w:r>
      <w:r w:rsidR="008263C7" w:rsidRPr="00282AC9">
        <w:rPr>
          <w:rFonts w:hint="cs"/>
          <w:rtl/>
        </w:rPr>
        <w:t>ٍ</w:t>
      </w:r>
      <w:r w:rsidRPr="00282AC9">
        <w:rPr>
          <w:rtl/>
        </w:rPr>
        <w:t xml:space="preserve"> آخر عن رسول الله</w:t>
      </w:r>
      <w:r w:rsidR="009A2A04" w:rsidRPr="00282AC9">
        <w:rPr>
          <w:rFonts w:cs="Mosawi"/>
          <w:sz w:val="22"/>
          <w:szCs w:val="22"/>
          <w:rtl/>
        </w:rPr>
        <w:t>|</w:t>
      </w:r>
      <w:r w:rsidRPr="00282AC9">
        <w:rPr>
          <w:rtl/>
        </w:rPr>
        <w:t xml:space="preserve"> أنّه قال: </w:t>
      </w:r>
      <w:r w:rsidRPr="00282AC9">
        <w:rPr>
          <w:sz w:val="24"/>
          <w:szCs w:val="24"/>
          <w:rtl/>
        </w:rPr>
        <w:t>«</w:t>
      </w:r>
      <w:r w:rsidRPr="00282AC9">
        <w:rPr>
          <w:rtl/>
        </w:rPr>
        <w:t>ات</w:t>
      </w:r>
      <w:r w:rsidR="008263C7" w:rsidRPr="00282AC9">
        <w:rPr>
          <w:rFonts w:hint="cs"/>
          <w:rtl/>
        </w:rPr>
        <w:t>َّ</w:t>
      </w:r>
      <w:r w:rsidRPr="00282AC9">
        <w:rPr>
          <w:rtl/>
        </w:rPr>
        <w:t>قوا الله</w:t>
      </w:r>
      <w:r w:rsidR="008263C7" w:rsidRPr="00282AC9">
        <w:rPr>
          <w:rFonts w:hint="cs"/>
          <w:rtl/>
        </w:rPr>
        <w:t>،</w:t>
      </w:r>
      <w:r w:rsidRPr="00282AC9">
        <w:rPr>
          <w:rtl/>
        </w:rPr>
        <w:t xml:space="preserve"> واعدلوا بين أولادكم</w:t>
      </w:r>
      <w:r w:rsidRPr="00282AC9">
        <w:rPr>
          <w:sz w:val="24"/>
          <w:szCs w:val="24"/>
          <w:rtl/>
        </w:rPr>
        <w:t>»</w:t>
      </w:r>
      <w:r w:rsidRPr="00282AC9">
        <w:rPr>
          <w:sz w:val="27"/>
          <w:vertAlign w:val="superscript"/>
          <w:rtl/>
        </w:rPr>
        <w:t>(</w:t>
      </w:r>
      <w:r w:rsidRPr="00282AC9">
        <w:rPr>
          <w:sz w:val="27"/>
          <w:vertAlign w:val="superscript"/>
          <w:rtl/>
        </w:rPr>
        <w:endnoteReference w:id="222"/>
      </w:r>
      <w:r w:rsidRPr="00282AC9">
        <w:rPr>
          <w:sz w:val="27"/>
          <w:vertAlign w:val="superscript"/>
          <w:rtl/>
        </w:rPr>
        <w:t>)</w:t>
      </w:r>
      <w:r w:rsidR="008263C7" w:rsidRPr="00282AC9">
        <w:rPr>
          <w:rFonts w:hint="cs"/>
          <w:rtl/>
        </w:rPr>
        <w:t>.</w:t>
      </w:r>
      <w:r w:rsidRPr="00282AC9">
        <w:rPr>
          <w:rtl/>
        </w:rPr>
        <w:t xml:space="preserve"> إنّ معاناة الأبناء من التمييز داخل الأسرة سيجعلهم يتقبّ</w:t>
      </w:r>
      <w:r w:rsidR="00267BA4" w:rsidRPr="00282AC9">
        <w:rPr>
          <w:rFonts w:hint="cs"/>
          <w:rtl/>
        </w:rPr>
        <w:t>َ</w:t>
      </w:r>
      <w:r w:rsidR="00267BA4" w:rsidRPr="00282AC9">
        <w:rPr>
          <w:rtl/>
        </w:rPr>
        <w:t>لون التمييز على الص</w:t>
      </w:r>
      <w:r w:rsidRPr="00282AC9">
        <w:rPr>
          <w:rtl/>
        </w:rPr>
        <w:t>عيد</w:t>
      </w:r>
      <w:r w:rsidR="00267BA4" w:rsidRPr="00282AC9">
        <w:rPr>
          <w:rFonts w:hint="cs"/>
          <w:rtl/>
        </w:rPr>
        <w:t>َيْن</w:t>
      </w:r>
      <w:r w:rsidR="00267BA4" w:rsidRPr="00282AC9">
        <w:rPr>
          <w:rtl/>
        </w:rPr>
        <w:t xml:space="preserve"> الاجتماعي والس</w:t>
      </w:r>
      <w:r w:rsidRPr="00282AC9">
        <w:rPr>
          <w:rtl/>
        </w:rPr>
        <w:t xml:space="preserve">ياسي. </w:t>
      </w:r>
    </w:p>
    <w:p w:rsidR="009C6A22" w:rsidRPr="00282AC9" w:rsidRDefault="009C6A22" w:rsidP="00106AA7">
      <w:pPr>
        <w:rPr>
          <w:rtl/>
        </w:rPr>
      </w:pPr>
      <w:r w:rsidRPr="00282AC9">
        <w:rPr>
          <w:rtl/>
        </w:rPr>
        <w:t>واستطراداً</w:t>
      </w:r>
      <w:r w:rsidR="00267BA4" w:rsidRPr="00282AC9">
        <w:rPr>
          <w:rtl/>
        </w:rPr>
        <w:t xml:space="preserve"> ينبغي الوقوف عند الفهم الملت</w:t>
      </w:r>
      <w:r w:rsidR="00267BA4" w:rsidRPr="00282AC9">
        <w:rPr>
          <w:rFonts w:hint="cs"/>
          <w:rtl/>
        </w:rPr>
        <w:t>َ</w:t>
      </w:r>
      <w:r w:rsidR="00267BA4" w:rsidRPr="00282AC9">
        <w:rPr>
          <w:rtl/>
        </w:rPr>
        <w:t>ب</w:t>
      </w:r>
      <w:r w:rsidR="00267BA4" w:rsidRPr="00282AC9">
        <w:rPr>
          <w:rFonts w:hint="cs"/>
          <w:rtl/>
        </w:rPr>
        <w:t>ِ</w:t>
      </w:r>
      <w:r w:rsidRPr="00282AC9">
        <w:rPr>
          <w:rtl/>
        </w:rPr>
        <w:t>س لمسألة قوامة الرجل على الزوجة في المجتمعات المسلمة</w:t>
      </w:r>
      <w:r w:rsidR="00267BA4" w:rsidRPr="00282AC9">
        <w:rPr>
          <w:rFonts w:hint="cs"/>
          <w:rtl/>
        </w:rPr>
        <w:t>؛</w:t>
      </w:r>
      <w:r w:rsidRPr="00282AC9">
        <w:rPr>
          <w:rtl/>
        </w:rPr>
        <w:t xml:space="preserve"> انطلاقاً من الآية الكريمة </w:t>
      </w:r>
      <w:r w:rsidR="00C5291F" w:rsidRPr="00282AC9">
        <w:rPr>
          <w:rFonts w:ascii="Mosawi" w:hAnsi="Mosawi" w:cs="Mosawi"/>
          <w:sz w:val="24"/>
          <w:szCs w:val="24"/>
          <w:rtl/>
        </w:rPr>
        <w:t>﴿</w:t>
      </w:r>
      <w:r w:rsidRPr="00282AC9">
        <w:rPr>
          <w:b/>
          <w:bCs/>
          <w:rtl/>
        </w:rPr>
        <w:t>الر</w:t>
      </w:r>
      <w:r w:rsidR="00313735" w:rsidRPr="00282AC9">
        <w:rPr>
          <w:b/>
          <w:bCs/>
          <w:rtl/>
        </w:rPr>
        <w:t>ِّ</w:t>
      </w:r>
      <w:r w:rsidRPr="00282AC9">
        <w:rPr>
          <w:b/>
          <w:bCs/>
          <w:rtl/>
        </w:rPr>
        <w:t>جَالُ قَوَّامُونَ عَلَى الن</w:t>
      </w:r>
      <w:r w:rsidR="00313735" w:rsidRPr="00282AC9">
        <w:rPr>
          <w:b/>
          <w:bCs/>
          <w:rtl/>
        </w:rPr>
        <w:t>ِّ</w:t>
      </w:r>
      <w:r w:rsidRPr="00282AC9">
        <w:rPr>
          <w:b/>
          <w:bCs/>
          <w:rtl/>
        </w:rPr>
        <w:t>سَاءِ</w:t>
      </w:r>
      <w:r w:rsidR="00C5291F" w:rsidRPr="00282AC9">
        <w:rPr>
          <w:rFonts w:ascii="Mosawi" w:hAnsi="Mosawi" w:cs="Mosawi"/>
          <w:sz w:val="24"/>
          <w:szCs w:val="24"/>
          <w:rtl/>
        </w:rPr>
        <w:t>﴾</w:t>
      </w:r>
      <w:r w:rsidR="00267BA4" w:rsidRPr="00282AC9">
        <w:rPr>
          <w:rFonts w:hint="cs"/>
          <w:rtl/>
        </w:rPr>
        <w:t>،</w:t>
      </w:r>
      <w:r w:rsidRPr="00282AC9">
        <w:rPr>
          <w:rtl/>
        </w:rPr>
        <w:t xml:space="preserve"> فهل تعني القوامة الإلغاء التامّ لشخصي</w:t>
      </w:r>
      <w:r w:rsidR="00267BA4" w:rsidRPr="00282AC9">
        <w:rPr>
          <w:rFonts w:hint="cs"/>
          <w:rtl/>
        </w:rPr>
        <w:t>ّ</w:t>
      </w:r>
      <w:r w:rsidRPr="00282AC9">
        <w:rPr>
          <w:rtl/>
        </w:rPr>
        <w:t>ة المرأة</w:t>
      </w:r>
      <w:r w:rsidR="00267BA4" w:rsidRPr="00282AC9">
        <w:rPr>
          <w:rFonts w:hint="cs"/>
          <w:rtl/>
        </w:rPr>
        <w:t>،</w:t>
      </w:r>
      <w:r w:rsidRPr="00282AC9">
        <w:rPr>
          <w:rtl/>
        </w:rPr>
        <w:t xml:space="preserve"> كما قد يفهم بعض</w:t>
      </w:r>
      <w:r w:rsidR="00267BA4" w:rsidRPr="00282AC9">
        <w:rPr>
          <w:rFonts w:hint="cs"/>
          <w:rtl/>
        </w:rPr>
        <w:t>ٌ</w:t>
      </w:r>
      <w:r w:rsidR="00267BA4" w:rsidRPr="00282AC9">
        <w:rPr>
          <w:rtl/>
        </w:rPr>
        <w:t>؟ وهل معنى ذلك أن</w:t>
      </w:r>
      <w:r w:rsidRPr="00282AC9">
        <w:rPr>
          <w:rtl/>
        </w:rPr>
        <w:t xml:space="preserve"> تتنازل المرأة عن شخصيّتها وكيانها لصالح الرجل، على نحوٍ تكون فيه خاضعة</w:t>
      </w:r>
      <w:r w:rsidR="00267BA4" w:rsidRPr="00282AC9">
        <w:rPr>
          <w:rFonts w:hint="cs"/>
          <w:rtl/>
        </w:rPr>
        <w:t>ً</w:t>
      </w:r>
      <w:r w:rsidRPr="00282AC9">
        <w:rPr>
          <w:rtl/>
        </w:rPr>
        <w:t xml:space="preserve"> للسلطة المطلقة للزوج في كلّ المجالات؟ </w:t>
      </w:r>
    </w:p>
    <w:p w:rsidR="009C6A22" w:rsidRPr="00282AC9" w:rsidRDefault="009C6A22" w:rsidP="00106AA7">
      <w:pPr>
        <w:rPr>
          <w:rtl/>
        </w:rPr>
      </w:pPr>
      <w:r w:rsidRPr="00282AC9">
        <w:rPr>
          <w:rtl/>
        </w:rPr>
        <w:t>ينبغي أن نقول بوضوح</w:t>
      </w:r>
      <w:r w:rsidR="00267BA4" w:rsidRPr="00282AC9">
        <w:rPr>
          <w:rFonts w:hint="cs"/>
          <w:rtl/>
        </w:rPr>
        <w:t>ٍ:</w:t>
      </w:r>
      <w:r w:rsidRPr="00282AC9">
        <w:rPr>
          <w:rtl/>
        </w:rPr>
        <w:t xml:space="preserve"> إنّ القوامة التي تفهم على هذا النحو لا ي</w:t>
      </w:r>
      <w:r w:rsidR="00267BA4" w:rsidRPr="00282AC9">
        <w:rPr>
          <w:rFonts w:hint="cs"/>
          <w:rtl/>
        </w:rPr>
        <w:t>ُ</w:t>
      </w:r>
      <w:r w:rsidRPr="00282AC9">
        <w:rPr>
          <w:rtl/>
        </w:rPr>
        <w:t>ق</w:t>
      </w:r>
      <w:r w:rsidR="00267BA4" w:rsidRPr="00282AC9">
        <w:rPr>
          <w:rFonts w:hint="cs"/>
          <w:rtl/>
        </w:rPr>
        <w:t>ِ</w:t>
      </w:r>
      <w:r w:rsidRPr="00282AC9">
        <w:rPr>
          <w:rtl/>
        </w:rPr>
        <w:t>رّ</w:t>
      </w:r>
      <w:r w:rsidR="00267BA4" w:rsidRPr="00282AC9">
        <w:rPr>
          <w:rFonts w:hint="cs"/>
          <w:rtl/>
        </w:rPr>
        <w:t>ُ</w:t>
      </w:r>
      <w:r w:rsidRPr="00282AC9">
        <w:rPr>
          <w:rtl/>
        </w:rPr>
        <w:t>ها الد</w:t>
      </w:r>
      <w:r w:rsidR="00267BA4" w:rsidRPr="00282AC9">
        <w:rPr>
          <w:rFonts w:hint="cs"/>
          <w:rtl/>
        </w:rPr>
        <w:t>ِّ</w:t>
      </w:r>
      <w:r w:rsidRPr="00282AC9">
        <w:rPr>
          <w:rtl/>
        </w:rPr>
        <w:t>ين، ولا يقيم لها الفقه الإسلامي و</w:t>
      </w:r>
      <w:r w:rsidR="00267BA4" w:rsidRPr="00282AC9">
        <w:rPr>
          <w:rFonts w:hint="cs"/>
          <w:rtl/>
        </w:rPr>
        <w:t>َ</w:t>
      </w:r>
      <w:r w:rsidRPr="00282AC9">
        <w:rPr>
          <w:rtl/>
        </w:rPr>
        <w:t>ز</w:t>
      </w:r>
      <w:r w:rsidR="00267BA4" w:rsidRPr="00282AC9">
        <w:rPr>
          <w:rFonts w:hint="cs"/>
          <w:rtl/>
        </w:rPr>
        <w:t>ْ</w:t>
      </w:r>
      <w:r w:rsidRPr="00282AC9">
        <w:rPr>
          <w:rtl/>
        </w:rPr>
        <w:t>ناً</w:t>
      </w:r>
      <w:r w:rsidR="00267BA4" w:rsidRPr="00282AC9">
        <w:rPr>
          <w:rFonts w:hint="cs"/>
          <w:rtl/>
        </w:rPr>
        <w:t>.</w:t>
      </w:r>
      <w:r w:rsidRPr="00282AC9">
        <w:rPr>
          <w:rtl/>
        </w:rPr>
        <w:t xml:space="preserve"> لكنّ مجتمعاتنا كانت وما تزال ترزح تحت ه</w:t>
      </w:r>
      <w:r w:rsidR="00267BA4" w:rsidRPr="00282AC9">
        <w:rPr>
          <w:rFonts w:hint="cs"/>
          <w:rtl/>
        </w:rPr>
        <w:t>َ</w:t>
      </w:r>
      <w:r w:rsidRPr="00282AC9">
        <w:rPr>
          <w:rtl/>
        </w:rPr>
        <w:t>ي</w:t>
      </w:r>
      <w:r w:rsidR="00267BA4" w:rsidRPr="00282AC9">
        <w:rPr>
          <w:rFonts w:hint="cs"/>
          <w:rtl/>
        </w:rPr>
        <w:t>ْ</w:t>
      </w:r>
      <w:r w:rsidRPr="00282AC9">
        <w:rPr>
          <w:rtl/>
        </w:rPr>
        <w:t>منة الأعراف والتقاليد الذ</w:t>
      </w:r>
      <w:r w:rsidR="00267BA4" w:rsidRPr="00282AC9">
        <w:rPr>
          <w:rFonts w:hint="cs"/>
          <w:rtl/>
        </w:rPr>
        <w:t>ُّ</w:t>
      </w:r>
      <w:r w:rsidRPr="00282AC9">
        <w:rPr>
          <w:rtl/>
        </w:rPr>
        <w:t>كورية</w:t>
      </w:r>
      <w:r w:rsidR="00267BA4" w:rsidRPr="00282AC9">
        <w:rPr>
          <w:rFonts w:hint="cs"/>
          <w:rtl/>
        </w:rPr>
        <w:t>،</w:t>
      </w:r>
      <w:r w:rsidRPr="00282AC9">
        <w:rPr>
          <w:rtl/>
        </w:rPr>
        <w:t xml:space="preserve"> التي لا يمتّ بعض</w:t>
      </w:r>
      <w:r w:rsidR="00267BA4" w:rsidRPr="00282AC9">
        <w:rPr>
          <w:rFonts w:hint="cs"/>
          <w:rtl/>
        </w:rPr>
        <w:t>ُ</w:t>
      </w:r>
      <w:r w:rsidRPr="00282AC9">
        <w:rPr>
          <w:rtl/>
        </w:rPr>
        <w:t xml:space="preserve">ها </w:t>
      </w:r>
      <w:r w:rsidR="00267BA4" w:rsidRPr="00282AC9">
        <w:rPr>
          <w:rFonts w:hint="cs"/>
          <w:rtl/>
        </w:rPr>
        <w:t>إلى ا</w:t>
      </w:r>
      <w:r w:rsidRPr="00282AC9">
        <w:rPr>
          <w:rtl/>
        </w:rPr>
        <w:t>لد</w:t>
      </w:r>
      <w:r w:rsidR="00267BA4" w:rsidRPr="00282AC9">
        <w:rPr>
          <w:rFonts w:hint="cs"/>
          <w:rtl/>
        </w:rPr>
        <w:t>ِّ</w:t>
      </w:r>
      <w:r w:rsidRPr="00282AC9">
        <w:rPr>
          <w:rtl/>
        </w:rPr>
        <w:t>ين بصلة</w:t>
      </w:r>
      <w:r w:rsidR="00267BA4" w:rsidRPr="00282AC9">
        <w:rPr>
          <w:rFonts w:hint="cs"/>
          <w:rtl/>
        </w:rPr>
        <w:t>ٍ</w:t>
      </w:r>
      <w:r w:rsidRPr="00282AC9">
        <w:rPr>
          <w:rtl/>
        </w:rPr>
        <w:t>، وما هو إ</w:t>
      </w:r>
      <w:r w:rsidR="00EE6DBA" w:rsidRPr="00282AC9">
        <w:rPr>
          <w:rtl/>
        </w:rPr>
        <w:t>لاّ</w:t>
      </w:r>
      <w:r w:rsidRPr="00282AC9">
        <w:rPr>
          <w:rtl/>
        </w:rPr>
        <w:t xml:space="preserve"> التكل</w:t>
      </w:r>
      <w:r w:rsidR="00267BA4" w:rsidRPr="00282AC9">
        <w:rPr>
          <w:rFonts w:hint="cs"/>
          <w:rtl/>
        </w:rPr>
        <w:t>ُّ</w:t>
      </w:r>
      <w:r w:rsidRPr="00282AC9">
        <w:rPr>
          <w:rtl/>
        </w:rPr>
        <w:t>ف في تطويع النصوص الدينية بغ</w:t>
      </w:r>
      <w:r w:rsidR="00267BA4" w:rsidRPr="00282AC9">
        <w:rPr>
          <w:rFonts w:hint="cs"/>
          <w:rtl/>
        </w:rPr>
        <w:t>َ</w:t>
      </w:r>
      <w:r w:rsidRPr="00282AC9">
        <w:rPr>
          <w:rtl/>
        </w:rPr>
        <w:t>ر</w:t>
      </w:r>
      <w:r w:rsidR="00267BA4" w:rsidRPr="00282AC9">
        <w:rPr>
          <w:rFonts w:hint="cs"/>
          <w:rtl/>
        </w:rPr>
        <w:t>َ</w:t>
      </w:r>
      <w:r w:rsidRPr="00282AC9">
        <w:rPr>
          <w:rtl/>
        </w:rPr>
        <w:t>ض إسباغ الشرعي</w:t>
      </w:r>
      <w:r w:rsidR="00267BA4" w:rsidRPr="00282AC9">
        <w:rPr>
          <w:rFonts w:hint="cs"/>
          <w:rtl/>
        </w:rPr>
        <w:t>ّ</w:t>
      </w:r>
      <w:r w:rsidRPr="00282AC9">
        <w:rPr>
          <w:rtl/>
        </w:rPr>
        <w:t>ة على تلك الأعراف والتقاليد.</w:t>
      </w:r>
    </w:p>
    <w:p w:rsidR="00A716AC" w:rsidRPr="00282AC9" w:rsidRDefault="00A716AC" w:rsidP="00A716AC">
      <w:pPr>
        <w:spacing w:line="420" w:lineRule="exact"/>
        <w:rPr>
          <w:rtl/>
        </w:rPr>
      </w:pPr>
    </w:p>
    <w:p w:rsidR="009C6A22" w:rsidRPr="00282AC9" w:rsidRDefault="009C6A22" w:rsidP="00B37544">
      <w:pPr>
        <w:pStyle w:val="31"/>
        <w:rPr>
          <w:color w:val="auto"/>
          <w:lang w:bidi="ar-YE"/>
        </w:rPr>
      </w:pPr>
      <w:r w:rsidRPr="00282AC9">
        <w:rPr>
          <w:color w:val="auto"/>
          <w:rtl/>
          <w:lang w:bidi="ar-YE"/>
        </w:rPr>
        <w:t>هل</w:t>
      </w:r>
      <w:r w:rsidRPr="00282AC9">
        <w:rPr>
          <w:color w:val="auto"/>
          <w:lang w:bidi="ar-YE"/>
        </w:rPr>
        <w:t xml:space="preserve"> </w:t>
      </w:r>
      <w:r w:rsidRPr="00282AC9">
        <w:rPr>
          <w:color w:val="auto"/>
          <w:rtl/>
          <w:lang w:bidi="ar-YE"/>
        </w:rPr>
        <w:t>للرجل</w:t>
      </w:r>
      <w:r w:rsidRPr="00282AC9">
        <w:rPr>
          <w:color w:val="auto"/>
          <w:lang w:bidi="ar-YE"/>
        </w:rPr>
        <w:t xml:space="preserve"> </w:t>
      </w:r>
      <w:r w:rsidRPr="00282AC9">
        <w:rPr>
          <w:color w:val="auto"/>
          <w:rtl/>
          <w:lang w:bidi="ar-YE"/>
        </w:rPr>
        <w:t>سلط</w:t>
      </w:r>
      <w:r w:rsidRPr="00282AC9">
        <w:rPr>
          <w:rFonts w:hint="cs"/>
          <w:color w:val="auto"/>
          <w:rtl/>
        </w:rPr>
        <w:t>ةٌ</w:t>
      </w:r>
      <w:r w:rsidRPr="00282AC9">
        <w:rPr>
          <w:color w:val="auto"/>
          <w:lang w:bidi="ar-YE"/>
        </w:rPr>
        <w:t xml:space="preserve"> </w:t>
      </w:r>
      <w:r w:rsidRPr="00282AC9">
        <w:rPr>
          <w:color w:val="auto"/>
          <w:rtl/>
          <w:lang w:bidi="ar-YE"/>
        </w:rPr>
        <w:t>على</w:t>
      </w:r>
      <w:r w:rsidRPr="00282AC9">
        <w:rPr>
          <w:color w:val="auto"/>
          <w:lang w:bidi="ar-YE"/>
        </w:rPr>
        <w:t xml:space="preserve"> </w:t>
      </w:r>
      <w:r w:rsidRPr="00282AC9">
        <w:rPr>
          <w:color w:val="auto"/>
          <w:rtl/>
          <w:lang w:bidi="ar-YE"/>
        </w:rPr>
        <w:t>زوجته؟</w:t>
      </w:r>
    </w:p>
    <w:p w:rsidR="009C6A22" w:rsidRPr="00282AC9" w:rsidRDefault="009C6A22" w:rsidP="00106AA7">
      <w:pPr>
        <w:rPr>
          <w:rtl/>
        </w:rPr>
      </w:pPr>
      <w:r w:rsidRPr="00282AC9">
        <w:rPr>
          <w:rtl/>
        </w:rPr>
        <w:t>فهل للرجل أدنى سيطرة</w:t>
      </w:r>
      <w:r w:rsidR="00267BA4" w:rsidRPr="00282AC9">
        <w:rPr>
          <w:rFonts w:hint="cs"/>
          <w:rtl/>
        </w:rPr>
        <w:t>ٍ</w:t>
      </w:r>
      <w:r w:rsidRPr="00282AC9">
        <w:rPr>
          <w:rtl/>
        </w:rPr>
        <w:t xml:space="preserve"> على معتقدات وأفكار زوجته؟ ك</w:t>
      </w:r>
      <w:r w:rsidR="00EE6DBA" w:rsidRPr="00282AC9">
        <w:rPr>
          <w:rtl/>
        </w:rPr>
        <w:t>لاّ</w:t>
      </w:r>
      <w:r w:rsidR="00267BA4" w:rsidRPr="00282AC9">
        <w:rPr>
          <w:rFonts w:hint="cs"/>
          <w:rtl/>
        </w:rPr>
        <w:t>َ؛</w:t>
      </w:r>
      <w:r w:rsidRPr="00282AC9">
        <w:rPr>
          <w:rtl/>
        </w:rPr>
        <w:t xml:space="preserve"> حيث </w:t>
      </w:r>
      <w:r w:rsidR="00267BA4" w:rsidRPr="00282AC9">
        <w:rPr>
          <w:rtl/>
        </w:rPr>
        <w:t xml:space="preserve">إنّ العلاقة </w:t>
      </w:r>
      <w:r w:rsidR="00267BA4" w:rsidRPr="00282AC9">
        <w:rPr>
          <w:rtl/>
        </w:rPr>
        <w:lastRenderedPageBreak/>
        <w:t>بين الزوجين على الص</w:t>
      </w:r>
      <w:r w:rsidRPr="00282AC9">
        <w:rPr>
          <w:rtl/>
        </w:rPr>
        <w:t>عيد الفكري</w:t>
      </w:r>
      <w:r w:rsidR="00267BA4" w:rsidRPr="00282AC9">
        <w:rPr>
          <w:rFonts w:hint="cs"/>
          <w:rtl/>
        </w:rPr>
        <w:t>ّ</w:t>
      </w:r>
      <w:r w:rsidRPr="00282AC9">
        <w:rPr>
          <w:rtl/>
        </w:rPr>
        <w:t xml:space="preserve"> كالعلاقة بين أيّ اثنين من الناس</w:t>
      </w:r>
      <w:r w:rsidR="00267BA4" w:rsidRPr="00282AC9">
        <w:rPr>
          <w:rFonts w:hint="cs"/>
          <w:rtl/>
        </w:rPr>
        <w:t>؛</w:t>
      </w:r>
      <w:r w:rsidRPr="00282AC9">
        <w:rPr>
          <w:rtl/>
        </w:rPr>
        <w:t xml:space="preserve"> فقد تختلف الزوجة مع زوجها ع</w:t>
      </w:r>
      <w:r w:rsidR="00267BA4" w:rsidRPr="00282AC9">
        <w:rPr>
          <w:rFonts w:hint="cs"/>
          <w:rtl/>
        </w:rPr>
        <w:t>َ</w:t>
      </w:r>
      <w:r w:rsidRPr="00282AC9">
        <w:rPr>
          <w:rtl/>
        </w:rPr>
        <w:t>ق</w:t>
      </w:r>
      <w:r w:rsidR="00267BA4" w:rsidRPr="00282AC9">
        <w:rPr>
          <w:rFonts w:hint="cs"/>
          <w:rtl/>
        </w:rPr>
        <w:t>ْ</w:t>
      </w:r>
      <w:r w:rsidRPr="00282AC9">
        <w:rPr>
          <w:rtl/>
        </w:rPr>
        <w:t>ديّاً أو فكريّاً، ولا سبيل له عليها</w:t>
      </w:r>
      <w:r w:rsidR="00267BA4" w:rsidRPr="00282AC9">
        <w:rPr>
          <w:rFonts w:hint="cs"/>
          <w:rtl/>
        </w:rPr>
        <w:t xml:space="preserve">، </w:t>
      </w:r>
      <w:r w:rsidRPr="00282AC9">
        <w:rPr>
          <w:rtl/>
        </w:rPr>
        <w:t>إ</w:t>
      </w:r>
      <w:r w:rsidR="00EE6DBA" w:rsidRPr="00282AC9">
        <w:rPr>
          <w:rtl/>
        </w:rPr>
        <w:t>لاّ</w:t>
      </w:r>
      <w:r w:rsidR="00267BA4" w:rsidRPr="00282AC9">
        <w:rPr>
          <w:rFonts w:hint="cs"/>
          <w:rtl/>
        </w:rPr>
        <w:t>َ</w:t>
      </w:r>
      <w:r w:rsidRPr="00282AC9">
        <w:rPr>
          <w:rtl/>
        </w:rPr>
        <w:t xml:space="preserve"> محاولة اقناعها برأيه، أو الاقتناع برأيها، من خلال النقاش وتبادل الآراء</w:t>
      </w:r>
      <w:r w:rsidR="00267BA4" w:rsidRPr="00282AC9">
        <w:rPr>
          <w:rFonts w:hint="cs"/>
          <w:rtl/>
        </w:rPr>
        <w:t>؛</w:t>
      </w:r>
      <w:r w:rsidRPr="00282AC9">
        <w:rPr>
          <w:rtl/>
        </w:rPr>
        <w:t xml:space="preserve"> فإنْ لم تقتنع الزوجة بوجهة نظر زوجها فلا يحقّ له إجبار</w:t>
      </w:r>
      <w:r w:rsidR="00267BA4" w:rsidRPr="00282AC9">
        <w:rPr>
          <w:rFonts w:hint="cs"/>
          <w:rtl/>
        </w:rPr>
        <w:t>ُ</w:t>
      </w:r>
      <w:r w:rsidRPr="00282AC9">
        <w:rPr>
          <w:rtl/>
        </w:rPr>
        <w:t xml:space="preserve">ها على النزول عند رأيه. </w:t>
      </w:r>
    </w:p>
    <w:p w:rsidR="009C6A22" w:rsidRPr="00282AC9" w:rsidRDefault="009C6A22" w:rsidP="00106AA7">
      <w:pPr>
        <w:rPr>
          <w:rtl/>
        </w:rPr>
      </w:pPr>
      <w:r w:rsidRPr="00282AC9">
        <w:rPr>
          <w:rtl/>
        </w:rPr>
        <w:t>وعلى غرار ذلك</w:t>
      </w:r>
      <w:r w:rsidR="00267BA4" w:rsidRPr="00282AC9">
        <w:rPr>
          <w:rFonts w:hint="cs"/>
          <w:rtl/>
        </w:rPr>
        <w:t>،</w:t>
      </w:r>
      <w:r w:rsidRPr="00282AC9">
        <w:rPr>
          <w:rtl/>
        </w:rPr>
        <w:t xml:space="preserve"> إذا كانت الزوجة كتابي</w:t>
      </w:r>
      <w:r w:rsidR="00267BA4" w:rsidRPr="00282AC9">
        <w:rPr>
          <w:rFonts w:hint="cs"/>
          <w:rtl/>
        </w:rPr>
        <w:t>ّ</w:t>
      </w:r>
      <w:r w:rsidRPr="00282AC9">
        <w:rPr>
          <w:rtl/>
        </w:rPr>
        <w:t>ة</w:t>
      </w:r>
      <w:r w:rsidR="00267BA4" w:rsidRPr="00282AC9">
        <w:rPr>
          <w:rFonts w:hint="cs"/>
          <w:rtl/>
        </w:rPr>
        <w:t>ً</w:t>
      </w:r>
      <w:r w:rsidRPr="00282AC9">
        <w:rPr>
          <w:rtl/>
        </w:rPr>
        <w:t xml:space="preserve"> مثلاً، بناءً على جواز زواج المسلم من الكتابي</w:t>
      </w:r>
      <w:r w:rsidR="00267BA4" w:rsidRPr="00282AC9">
        <w:rPr>
          <w:rFonts w:hint="cs"/>
          <w:rtl/>
        </w:rPr>
        <w:t>ّ</w:t>
      </w:r>
      <w:r w:rsidRPr="00282AC9">
        <w:rPr>
          <w:rtl/>
        </w:rPr>
        <w:t>ة</w:t>
      </w:r>
      <w:r w:rsidR="00267BA4" w:rsidRPr="00282AC9">
        <w:rPr>
          <w:rFonts w:hint="cs"/>
          <w:rtl/>
        </w:rPr>
        <w:t>؛</w:t>
      </w:r>
      <w:r w:rsidRPr="00282AC9">
        <w:rPr>
          <w:rtl/>
        </w:rPr>
        <w:t xml:space="preserve"> لقوله تعالى: </w:t>
      </w:r>
      <w:r w:rsidR="00C5291F" w:rsidRPr="00282AC9">
        <w:rPr>
          <w:rFonts w:ascii="Mosawi" w:hAnsi="Mosawi" w:cs="Mosawi"/>
          <w:sz w:val="24"/>
          <w:szCs w:val="24"/>
          <w:rtl/>
        </w:rPr>
        <w:t>﴿</w:t>
      </w:r>
      <w:r w:rsidRPr="00282AC9">
        <w:rPr>
          <w:b/>
          <w:bCs/>
          <w:rtl/>
        </w:rPr>
        <w:t>وَطَعَامُ الَّذِينَ أُوتُوا الْكِتَ</w:t>
      </w:r>
      <w:r w:rsidR="00267BA4" w:rsidRPr="00282AC9">
        <w:rPr>
          <w:b/>
          <w:bCs/>
          <w:rtl/>
        </w:rPr>
        <w:t>ابَ حِلٌّ ل</w:t>
      </w:r>
      <w:r w:rsidR="00267BA4" w:rsidRPr="00282AC9">
        <w:rPr>
          <w:rFonts w:hint="cs"/>
          <w:b/>
          <w:bCs/>
          <w:rtl/>
        </w:rPr>
        <w:t>َ</w:t>
      </w:r>
      <w:r w:rsidR="00267BA4" w:rsidRPr="00282AC9">
        <w:rPr>
          <w:b/>
          <w:bCs/>
          <w:rtl/>
        </w:rPr>
        <w:t>كُمْ وَطَعَامُكُمْ حِلٌّ ل</w:t>
      </w:r>
      <w:r w:rsidR="00267BA4" w:rsidRPr="00282AC9">
        <w:rPr>
          <w:rFonts w:hint="cs"/>
          <w:b/>
          <w:bCs/>
          <w:rtl/>
        </w:rPr>
        <w:t>َ</w:t>
      </w:r>
      <w:r w:rsidRPr="00282AC9">
        <w:rPr>
          <w:b/>
          <w:bCs/>
          <w:rtl/>
        </w:rPr>
        <w:t>هُمْ وَالْمُحْصَنَاتُ مِنَ الْمُؤْمِنَاتِ وَالْمُحْصَنَاتُ مِنَ الَّذِينَ أُوتُوا الْكِتَابَ مِن</w:t>
      </w:r>
      <w:r w:rsidR="00267BA4" w:rsidRPr="00282AC9">
        <w:rPr>
          <w:rFonts w:hint="cs"/>
          <w:b/>
          <w:bCs/>
          <w:rtl/>
        </w:rPr>
        <w:t>ْ</w:t>
      </w:r>
      <w:r w:rsidRPr="00282AC9">
        <w:rPr>
          <w:b/>
          <w:bCs/>
          <w:rtl/>
        </w:rPr>
        <w:t xml:space="preserve"> قَبْلِكُمْ</w:t>
      </w:r>
      <w:r w:rsidR="00C5291F" w:rsidRPr="00282AC9">
        <w:rPr>
          <w:rFonts w:ascii="Mosawi" w:hAnsi="Mosawi" w:cs="Mosawi"/>
          <w:sz w:val="24"/>
          <w:szCs w:val="24"/>
          <w:rtl/>
        </w:rPr>
        <w:t>﴾</w:t>
      </w:r>
      <w:r w:rsidRPr="00282AC9">
        <w:rPr>
          <w:rtl/>
        </w:rPr>
        <w:t>، فلا يحقّ للزوج أن يجبر زوجته الكتابي</w:t>
      </w:r>
      <w:r w:rsidR="00267BA4" w:rsidRPr="00282AC9">
        <w:rPr>
          <w:rFonts w:hint="cs"/>
          <w:rtl/>
        </w:rPr>
        <w:t>ّ</w:t>
      </w:r>
      <w:r w:rsidRPr="00282AC9">
        <w:rPr>
          <w:rtl/>
        </w:rPr>
        <w:t xml:space="preserve">ة على اعتناق الإسلام، قال تعالى: </w:t>
      </w:r>
      <w:r w:rsidR="00C5291F" w:rsidRPr="00282AC9">
        <w:rPr>
          <w:rFonts w:ascii="Mosawi" w:hAnsi="Mosawi" w:cs="Mosawi"/>
          <w:sz w:val="24"/>
          <w:szCs w:val="24"/>
          <w:rtl/>
        </w:rPr>
        <w:t>﴿</w:t>
      </w:r>
      <w:r w:rsidRPr="00282AC9">
        <w:rPr>
          <w:b/>
          <w:bCs/>
          <w:rtl/>
        </w:rPr>
        <w:t>لا</w:t>
      </w:r>
      <w:r w:rsidRPr="00282AC9">
        <w:rPr>
          <w:rFonts w:hint="cs"/>
          <w:b/>
          <w:bCs/>
          <w:rtl/>
        </w:rPr>
        <w:t>َ</w:t>
      </w:r>
      <w:r w:rsidR="00406BD5" w:rsidRPr="00282AC9">
        <w:rPr>
          <w:b/>
          <w:bCs/>
          <w:rtl/>
        </w:rPr>
        <w:t xml:space="preserve"> إِكْرَاهَ فِي الد</w:t>
      </w:r>
      <w:r w:rsidR="00406BD5" w:rsidRPr="00282AC9">
        <w:rPr>
          <w:rFonts w:hint="cs"/>
          <w:b/>
          <w:bCs/>
          <w:rtl/>
        </w:rPr>
        <w:t>ِّ</w:t>
      </w:r>
      <w:r w:rsidRPr="00282AC9">
        <w:rPr>
          <w:b/>
          <w:bCs/>
          <w:rtl/>
        </w:rPr>
        <w:t>ينِ</w:t>
      </w:r>
      <w:r w:rsidR="00C5291F" w:rsidRPr="00282AC9">
        <w:rPr>
          <w:rFonts w:ascii="Mosawi" w:hAnsi="Mosawi" w:cs="Mosawi"/>
          <w:sz w:val="24"/>
          <w:szCs w:val="24"/>
          <w:rtl/>
        </w:rPr>
        <w:t>﴾</w:t>
      </w:r>
      <w:r w:rsidRPr="00282AC9">
        <w:rPr>
          <w:rtl/>
        </w:rPr>
        <w:t>.</w:t>
      </w:r>
    </w:p>
    <w:p w:rsidR="009C6A22" w:rsidRPr="00282AC9" w:rsidRDefault="009C6A22" w:rsidP="00106AA7">
      <w:pPr>
        <w:rPr>
          <w:rtl/>
        </w:rPr>
      </w:pPr>
      <w:r w:rsidRPr="00282AC9">
        <w:rPr>
          <w:rtl/>
        </w:rPr>
        <w:t>إنّنا بإزاء تشريع</w:t>
      </w:r>
      <w:r w:rsidR="00406BD5" w:rsidRPr="00282AC9">
        <w:rPr>
          <w:rFonts w:hint="cs"/>
          <w:rtl/>
        </w:rPr>
        <w:t>ٍ</w:t>
      </w:r>
      <w:r w:rsidRPr="00282AC9">
        <w:rPr>
          <w:rtl/>
        </w:rPr>
        <w:t xml:space="preserve"> صارم يحمي ح</w:t>
      </w:r>
      <w:r w:rsidR="00406BD5" w:rsidRPr="00282AC9">
        <w:rPr>
          <w:rFonts w:hint="cs"/>
          <w:rtl/>
        </w:rPr>
        <w:t>ُ</w:t>
      </w:r>
      <w:r w:rsidRPr="00282AC9">
        <w:rPr>
          <w:rtl/>
        </w:rPr>
        <w:t>ر</w:t>
      </w:r>
      <w:r w:rsidR="00406BD5" w:rsidRPr="00282AC9">
        <w:rPr>
          <w:rFonts w:hint="cs"/>
          <w:rtl/>
        </w:rPr>
        <w:t>ِّ</w:t>
      </w:r>
      <w:r w:rsidRPr="00282AC9">
        <w:rPr>
          <w:rtl/>
        </w:rPr>
        <w:t>ية الإنسان الديني</w:t>
      </w:r>
      <w:r w:rsidR="00406BD5" w:rsidRPr="00282AC9">
        <w:rPr>
          <w:rFonts w:hint="cs"/>
          <w:rtl/>
        </w:rPr>
        <w:t>ّ</w:t>
      </w:r>
      <w:r w:rsidRPr="00282AC9">
        <w:rPr>
          <w:rtl/>
        </w:rPr>
        <w:t>ة والع</w:t>
      </w:r>
      <w:r w:rsidR="00406BD5" w:rsidRPr="00282AC9">
        <w:rPr>
          <w:rFonts w:hint="cs"/>
          <w:rtl/>
        </w:rPr>
        <w:t>َ</w:t>
      </w:r>
      <w:r w:rsidRPr="00282AC9">
        <w:rPr>
          <w:rtl/>
        </w:rPr>
        <w:t>ق</w:t>
      </w:r>
      <w:r w:rsidR="00406BD5" w:rsidRPr="00282AC9">
        <w:rPr>
          <w:rFonts w:hint="cs"/>
          <w:rtl/>
        </w:rPr>
        <w:t>ْ</w:t>
      </w:r>
      <w:r w:rsidRPr="00282AC9">
        <w:rPr>
          <w:rtl/>
        </w:rPr>
        <w:t>دية</w:t>
      </w:r>
      <w:r w:rsidR="00406BD5" w:rsidRPr="00282AC9">
        <w:rPr>
          <w:rFonts w:hint="cs"/>
          <w:rtl/>
        </w:rPr>
        <w:t>.</w:t>
      </w:r>
      <w:r w:rsidRPr="00282AC9">
        <w:rPr>
          <w:rtl/>
        </w:rPr>
        <w:t xml:space="preserve"> فكون الرجل زوجاً وقوّاماً عليها لا يعني تعطيل تلك القيمة الأساس؛ قيمة الح</w:t>
      </w:r>
      <w:r w:rsidR="00406BD5" w:rsidRPr="00282AC9">
        <w:rPr>
          <w:rFonts w:hint="cs"/>
          <w:rtl/>
        </w:rPr>
        <w:t>ُ</w:t>
      </w:r>
      <w:r w:rsidRPr="00282AC9">
        <w:rPr>
          <w:rtl/>
        </w:rPr>
        <w:t>ر</w:t>
      </w:r>
      <w:r w:rsidR="00406BD5" w:rsidRPr="00282AC9">
        <w:rPr>
          <w:rFonts w:hint="cs"/>
          <w:rtl/>
        </w:rPr>
        <w:t>ِّ</w:t>
      </w:r>
      <w:r w:rsidRPr="00282AC9">
        <w:rPr>
          <w:rtl/>
        </w:rPr>
        <w:t>ية الديني</w:t>
      </w:r>
      <w:r w:rsidR="00406BD5" w:rsidRPr="00282AC9">
        <w:rPr>
          <w:rFonts w:hint="cs"/>
          <w:rtl/>
        </w:rPr>
        <w:t>ّ</w:t>
      </w:r>
      <w:r w:rsidRPr="00282AC9">
        <w:rPr>
          <w:rtl/>
        </w:rPr>
        <w:t>ة والفكري</w:t>
      </w:r>
      <w:r w:rsidR="00406BD5" w:rsidRPr="00282AC9">
        <w:rPr>
          <w:rFonts w:hint="cs"/>
          <w:rtl/>
        </w:rPr>
        <w:t>ّ</w:t>
      </w:r>
      <w:r w:rsidRPr="00282AC9">
        <w:rPr>
          <w:rtl/>
        </w:rPr>
        <w:t>ة</w:t>
      </w:r>
      <w:r w:rsidR="00406BD5" w:rsidRPr="00282AC9">
        <w:rPr>
          <w:rFonts w:hint="cs"/>
          <w:rtl/>
        </w:rPr>
        <w:t>.</w:t>
      </w:r>
      <w:r w:rsidRPr="00282AC9">
        <w:rPr>
          <w:rtl/>
        </w:rPr>
        <w:t xml:space="preserve"> وت</w:t>
      </w:r>
      <w:r w:rsidR="00406BD5" w:rsidRPr="00282AC9">
        <w:rPr>
          <w:rFonts w:hint="cs"/>
          <w:rtl/>
        </w:rPr>
        <w:t>َ</w:t>
      </w:r>
      <w:r w:rsidRPr="00282AC9">
        <w:rPr>
          <w:rtl/>
        </w:rPr>
        <w:t>ب</w:t>
      </w:r>
      <w:r w:rsidR="00406BD5" w:rsidRPr="00282AC9">
        <w:rPr>
          <w:rFonts w:hint="cs"/>
          <w:rtl/>
        </w:rPr>
        <w:t>َ</w:t>
      </w:r>
      <w:r w:rsidRPr="00282AC9">
        <w:rPr>
          <w:rtl/>
        </w:rPr>
        <w:t>عاً لذلك لا يجوز للزوج إجبار زوجته على اعتناق الإسلام، تماماً كما لا يحقّ</w:t>
      </w:r>
      <w:r w:rsidR="00406BD5" w:rsidRPr="00282AC9">
        <w:rPr>
          <w:rFonts w:hint="cs"/>
          <w:rtl/>
        </w:rPr>
        <w:t>ُ</w:t>
      </w:r>
      <w:r w:rsidRPr="00282AC9">
        <w:rPr>
          <w:rtl/>
        </w:rPr>
        <w:t xml:space="preserve"> له إجبار أيّ أحدٍ آخر. </w:t>
      </w:r>
    </w:p>
    <w:p w:rsidR="009C6A22" w:rsidRPr="00282AC9" w:rsidRDefault="009C6A22" w:rsidP="00106AA7">
      <w:pPr>
        <w:rPr>
          <w:rtl/>
        </w:rPr>
      </w:pPr>
      <w:r w:rsidRPr="00282AC9">
        <w:rPr>
          <w:rtl/>
        </w:rPr>
        <w:t>وينسحب ذلك أيضاً على الأزواج المختلفين مذهبيّاً، بناء</w:t>
      </w:r>
      <w:r w:rsidR="00406BD5" w:rsidRPr="00282AC9">
        <w:rPr>
          <w:rFonts w:hint="cs"/>
          <w:rtl/>
        </w:rPr>
        <w:t>ً</w:t>
      </w:r>
      <w:r w:rsidRPr="00282AC9">
        <w:rPr>
          <w:rtl/>
        </w:rPr>
        <w:t xml:space="preserve"> على جواز الزواج بين المسلمين</w:t>
      </w:r>
      <w:r w:rsidR="00406BD5" w:rsidRPr="00282AC9">
        <w:rPr>
          <w:rFonts w:hint="cs"/>
          <w:rtl/>
        </w:rPr>
        <w:t>،</w:t>
      </w:r>
      <w:r w:rsidRPr="00282AC9">
        <w:rPr>
          <w:rtl/>
        </w:rPr>
        <w:t xml:space="preserve"> على اختلاف مذاهبهم. </w:t>
      </w:r>
      <w:r w:rsidR="00406BD5" w:rsidRPr="00282AC9">
        <w:rPr>
          <w:rFonts w:hint="cs"/>
          <w:rtl/>
        </w:rPr>
        <w:t>ف</w:t>
      </w:r>
      <w:r w:rsidRPr="00282AC9">
        <w:rPr>
          <w:rtl/>
        </w:rPr>
        <w:t>لو كان أحد الزوجين من أتباع مذهب</w:t>
      </w:r>
      <w:r w:rsidR="00406BD5" w:rsidRPr="00282AC9">
        <w:rPr>
          <w:rFonts w:hint="cs"/>
          <w:rtl/>
        </w:rPr>
        <w:t>ٍ</w:t>
      </w:r>
      <w:r w:rsidRPr="00282AC9">
        <w:rPr>
          <w:rtl/>
        </w:rPr>
        <w:t xml:space="preserve"> معيّ</w:t>
      </w:r>
      <w:r w:rsidR="00406BD5" w:rsidRPr="00282AC9">
        <w:rPr>
          <w:rFonts w:hint="cs"/>
          <w:rtl/>
        </w:rPr>
        <w:t>َ</w:t>
      </w:r>
      <w:r w:rsidRPr="00282AC9">
        <w:rPr>
          <w:rtl/>
        </w:rPr>
        <w:t>ن، والآخر من أتباع مذهبٍ آخر، فلا يجوز للزوج أن يجبر زوجته على ترك مذهبها</w:t>
      </w:r>
      <w:r w:rsidR="00406BD5" w:rsidRPr="00282AC9">
        <w:rPr>
          <w:rFonts w:hint="cs"/>
          <w:rtl/>
        </w:rPr>
        <w:t>،</w:t>
      </w:r>
      <w:r w:rsidRPr="00282AC9">
        <w:rPr>
          <w:rtl/>
        </w:rPr>
        <w:t xml:space="preserve"> واعتناق مذهبه</w:t>
      </w:r>
      <w:r w:rsidR="00406BD5" w:rsidRPr="00282AC9">
        <w:rPr>
          <w:rFonts w:hint="cs"/>
          <w:rtl/>
        </w:rPr>
        <w:t>.</w:t>
      </w:r>
      <w:r w:rsidRPr="00282AC9">
        <w:rPr>
          <w:rtl/>
        </w:rPr>
        <w:t xml:space="preserve"> إنّ زواج الرجل من امرأة</w:t>
      </w:r>
      <w:r w:rsidR="00406BD5" w:rsidRPr="00282AC9">
        <w:rPr>
          <w:rFonts w:hint="cs"/>
          <w:rtl/>
        </w:rPr>
        <w:t>ٍ</w:t>
      </w:r>
      <w:r w:rsidRPr="00282AC9">
        <w:rPr>
          <w:rtl/>
        </w:rPr>
        <w:t xml:space="preserve"> مختلفة عنه مذهبيّاً لا يعطيه الحقّ في تغيير مذهبها، أو فرض رأيه الع</w:t>
      </w:r>
      <w:r w:rsidR="00406BD5" w:rsidRPr="00282AC9">
        <w:rPr>
          <w:rFonts w:hint="cs"/>
          <w:rtl/>
        </w:rPr>
        <w:t>َ</w:t>
      </w:r>
      <w:r w:rsidRPr="00282AC9">
        <w:rPr>
          <w:rtl/>
        </w:rPr>
        <w:t>ق</w:t>
      </w:r>
      <w:r w:rsidR="00406BD5" w:rsidRPr="00282AC9">
        <w:rPr>
          <w:rFonts w:hint="cs"/>
          <w:rtl/>
        </w:rPr>
        <w:t>ْ</w:t>
      </w:r>
      <w:r w:rsidRPr="00282AC9">
        <w:rPr>
          <w:rtl/>
        </w:rPr>
        <w:t>دي</w:t>
      </w:r>
      <w:r w:rsidR="00406BD5" w:rsidRPr="00282AC9">
        <w:rPr>
          <w:rFonts w:hint="cs"/>
          <w:rtl/>
        </w:rPr>
        <w:t>ّ</w:t>
      </w:r>
      <w:r w:rsidRPr="00282AC9">
        <w:rPr>
          <w:rtl/>
        </w:rPr>
        <w:t xml:space="preserve"> عليها</w:t>
      </w:r>
      <w:r w:rsidR="00406BD5" w:rsidRPr="00282AC9">
        <w:rPr>
          <w:rFonts w:hint="cs"/>
          <w:rtl/>
        </w:rPr>
        <w:t>.</w:t>
      </w:r>
      <w:r w:rsidRPr="00282AC9">
        <w:rPr>
          <w:rtl/>
        </w:rPr>
        <w:t xml:space="preserve"> وكذلك الأمر حيال مختلف التوجّ</w:t>
      </w:r>
      <w:r w:rsidR="00406BD5" w:rsidRPr="00282AC9">
        <w:rPr>
          <w:rFonts w:hint="cs"/>
          <w:rtl/>
        </w:rPr>
        <w:t>ُ</w:t>
      </w:r>
      <w:r w:rsidRPr="00282AC9">
        <w:rPr>
          <w:rtl/>
        </w:rPr>
        <w:t>هات الفكري</w:t>
      </w:r>
      <w:r w:rsidR="00406BD5" w:rsidRPr="00282AC9">
        <w:rPr>
          <w:rFonts w:hint="cs"/>
          <w:rtl/>
        </w:rPr>
        <w:t>ّ</w:t>
      </w:r>
      <w:r w:rsidRPr="00282AC9">
        <w:rPr>
          <w:rtl/>
        </w:rPr>
        <w:t>ة والميول الديني</w:t>
      </w:r>
      <w:r w:rsidR="00406BD5" w:rsidRPr="00282AC9">
        <w:rPr>
          <w:rFonts w:hint="cs"/>
          <w:rtl/>
        </w:rPr>
        <w:t>ّ</w:t>
      </w:r>
      <w:r w:rsidRPr="00282AC9">
        <w:rPr>
          <w:rtl/>
        </w:rPr>
        <w:t>ة</w:t>
      </w:r>
      <w:r w:rsidR="00406BD5" w:rsidRPr="00282AC9">
        <w:rPr>
          <w:rFonts w:hint="cs"/>
          <w:rtl/>
        </w:rPr>
        <w:t>،</w:t>
      </w:r>
      <w:r w:rsidRPr="00282AC9">
        <w:rPr>
          <w:rtl/>
        </w:rPr>
        <w:t xml:space="preserve"> التي لا يجوز للزوج أن يفرضها على زوجته، أو يكرهها على اعتناقها</w:t>
      </w:r>
      <w:r w:rsidR="00406BD5" w:rsidRPr="00282AC9">
        <w:rPr>
          <w:rFonts w:hint="cs"/>
          <w:rtl/>
        </w:rPr>
        <w:t>،</w:t>
      </w:r>
      <w:r w:rsidRPr="00282AC9">
        <w:rPr>
          <w:rtl/>
        </w:rPr>
        <w:t xml:space="preserve"> بأيِّ حالٍ من الأحوال</w:t>
      </w:r>
      <w:r w:rsidR="00406BD5" w:rsidRPr="00282AC9">
        <w:rPr>
          <w:rFonts w:hint="cs"/>
          <w:rtl/>
        </w:rPr>
        <w:t>.</w:t>
      </w:r>
      <w:r w:rsidRPr="00282AC9">
        <w:rPr>
          <w:rtl/>
        </w:rPr>
        <w:t xml:space="preserve"> وقد شهدنا في وقتٍ من الأوقات محاولات</w:t>
      </w:r>
      <w:r w:rsidR="00406BD5" w:rsidRPr="00282AC9">
        <w:rPr>
          <w:rFonts w:hint="cs"/>
          <w:rtl/>
        </w:rPr>
        <w:t>ِ</w:t>
      </w:r>
      <w:r w:rsidRPr="00282AC9">
        <w:rPr>
          <w:rtl/>
        </w:rPr>
        <w:t xml:space="preserve"> إجبار</w:t>
      </w:r>
      <w:r w:rsidR="00406BD5" w:rsidRPr="00282AC9">
        <w:rPr>
          <w:rFonts w:hint="cs"/>
          <w:rtl/>
        </w:rPr>
        <w:t>ِ</w:t>
      </w:r>
      <w:r w:rsidRPr="00282AC9">
        <w:rPr>
          <w:rtl/>
        </w:rPr>
        <w:t xml:space="preserve"> بعض الأزواج زوجاتهم على تقليد مرجع</w:t>
      </w:r>
      <w:r w:rsidR="00406BD5" w:rsidRPr="00282AC9">
        <w:rPr>
          <w:rFonts w:hint="cs"/>
          <w:rtl/>
        </w:rPr>
        <w:t>ٍ</w:t>
      </w:r>
      <w:r w:rsidRPr="00282AC9">
        <w:rPr>
          <w:rtl/>
        </w:rPr>
        <w:t xml:space="preserve"> ديني</w:t>
      </w:r>
      <w:r w:rsidR="00406BD5" w:rsidRPr="00282AC9">
        <w:rPr>
          <w:rFonts w:hint="cs"/>
          <w:rtl/>
        </w:rPr>
        <w:t>ّ،</w:t>
      </w:r>
      <w:r w:rsidRPr="00282AC9">
        <w:rPr>
          <w:rtl/>
        </w:rPr>
        <w:t xml:space="preserve"> دون غيره، الأمر الذي قاد بعضهم إلى الانفصال</w:t>
      </w:r>
      <w:r w:rsidR="00406BD5" w:rsidRPr="00282AC9">
        <w:rPr>
          <w:rFonts w:hint="cs"/>
          <w:rtl/>
        </w:rPr>
        <w:t>؛</w:t>
      </w:r>
      <w:r w:rsidRPr="00282AC9">
        <w:rPr>
          <w:rtl/>
        </w:rPr>
        <w:t xml:space="preserve"> نتيجة هذا الجهل المركّ</w:t>
      </w:r>
      <w:r w:rsidR="00406BD5" w:rsidRPr="00282AC9">
        <w:rPr>
          <w:rFonts w:hint="cs"/>
          <w:rtl/>
        </w:rPr>
        <w:t>َ</w:t>
      </w:r>
      <w:r w:rsidRPr="00282AC9">
        <w:rPr>
          <w:rtl/>
        </w:rPr>
        <w:t>ب بالد</w:t>
      </w:r>
      <w:r w:rsidR="00406BD5" w:rsidRPr="00282AC9">
        <w:rPr>
          <w:rFonts w:hint="cs"/>
          <w:rtl/>
        </w:rPr>
        <w:t>ِّ</w:t>
      </w:r>
      <w:r w:rsidRPr="00282AC9">
        <w:rPr>
          <w:rtl/>
        </w:rPr>
        <w:t>ين.</w:t>
      </w:r>
    </w:p>
    <w:p w:rsidR="009C6A22" w:rsidRPr="00282AC9" w:rsidRDefault="009C6A22" w:rsidP="00106AA7">
      <w:pPr>
        <w:rPr>
          <w:rtl/>
        </w:rPr>
      </w:pPr>
      <w:r w:rsidRPr="00282AC9">
        <w:rPr>
          <w:rtl/>
        </w:rPr>
        <w:t>ومم</w:t>
      </w:r>
      <w:r w:rsidR="00406BD5" w:rsidRPr="00282AC9">
        <w:rPr>
          <w:rFonts w:hint="cs"/>
          <w:rtl/>
        </w:rPr>
        <w:t>ّ</w:t>
      </w:r>
      <w:r w:rsidRPr="00282AC9">
        <w:rPr>
          <w:rtl/>
        </w:rPr>
        <w:t>ا ي</w:t>
      </w:r>
      <w:r w:rsidR="00406BD5" w:rsidRPr="00282AC9">
        <w:rPr>
          <w:rFonts w:hint="cs"/>
          <w:rtl/>
        </w:rPr>
        <w:t>ُ</w:t>
      </w:r>
      <w:r w:rsidRPr="00282AC9">
        <w:rPr>
          <w:rtl/>
        </w:rPr>
        <w:t>ذ</w:t>
      </w:r>
      <w:r w:rsidR="00406BD5" w:rsidRPr="00282AC9">
        <w:rPr>
          <w:rFonts w:hint="cs"/>
          <w:rtl/>
        </w:rPr>
        <w:t>ْ</w:t>
      </w:r>
      <w:r w:rsidRPr="00282AC9">
        <w:rPr>
          <w:rtl/>
        </w:rPr>
        <w:t>ك</w:t>
      </w:r>
      <w:r w:rsidR="00406BD5" w:rsidRPr="00282AC9">
        <w:rPr>
          <w:rFonts w:hint="cs"/>
          <w:rtl/>
        </w:rPr>
        <w:t>َ</w:t>
      </w:r>
      <w:r w:rsidRPr="00282AC9">
        <w:rPr>
          <w:rtl/>
        </w:rPr>
        <w:t>ر في هذا الشأن أنّ الإمامين زين العابدين</w:t>
      </w:r>
      <w:r w:rsidR="00406BD5" w:rsidRPr="00282AC9">
        <w:rPr>
          <w:rFonts w:hint="cs"/>
          <w:rtl/>
        </w:rPr>
        <w:t xml:space="preserve"> </w:t>
      </w:r>
      <w:r w:rsidRPr="00282AC9">
        <w:rPr>
          <w:rtl/>
        </w:rPr>
        <w:t>والباقر</w:t>
      </w:r>
      <w:r w:rsidR="009A2A04" w:rsidRPr="00282AC9">
        <w:rPr>
          <w:rFonts w:cs="Mosawi" w:hint="cs"/>
          <w:sz w:val="22"/>
          <w:szCs w:val="22"/>
          <w:rtl/>
        </w:rPr>
        <w:t>’</w:t>
      </w:r>
      <w:r w:rsidRPr="00282AC9">
        <w:rPr>
          <w:rtl/>
        </w:rPr>
        <w:t xml:space="preserve"> كانت لهما زوجتان خارجي</w:t>
      </w:r>
      <w:r w:rsidR="00406BD5" w:rsidRPr="00282AC9">
        <w:rPr>
          <w:rFonts w:hint="cs"/>
          <w:rtl/>
        </w:rPr>
        <w:t>ّ</w:t>
      </w:r>
      <w:r w:rsidRPr="00282AC9">
        <w:rPr>
          <w:rtl/>
        </w:rPr>
        <w:t>تان، وما طلّ</w:t>
      </w:r>
      <w:r w:rsidR="00406BD5" w:rsidRPr="00282AC9">
        <w:rPr>
          <w:rFonts w:hint="cs"/>
          <w:rtl/>
        </w:rPr>
        <w:t>َ</w:t>
      </w:r>
      <w:r w:rsidRPr="00282AC9">
        <w:rPr>
          <w:rtl/>
        </w:rPr>
        <w:t>قاهما إ</w:t>
      </w:r>
      <w:r w:rsidR="00EE6DBA" w:rsidRPr="00282AC9">
        <w:rPr>
          <w:rtl/>
        </w:rPr>
        <w:t>لاّ</w:t>
      </w:r>
      <w:r w:rsidRPr="00282AC9">
        <w:rPr>
          <w:rtl/>
        </w:rPr>
        <w:t xml:space="preserve"> لإظهارهما التنقّ</w:t>
      </w:r>
      <w:r w:rsidR="00406BD5" w:rsidRPr="00282AC9">
        <w:rPr>
          <w:rFonts w:hint="cs"/>
          <w:rtl/>
        </w:rPr>
        <w:t>ُ</w:t>
      </w:r>
      <w:r w:rsidRPr="00282AC9">
        <w:rPr>
          <w:rtl/>
        </w:rPr>
        <w:t>ص من عليّ</w:t>
      </w:r>
      <w:r w:rsidR="00406BD5" w:rsidRPr="00282AC9">
        <w:rPr>
          <w:rFonts w:hint="cs"/>
          <w:rtl/>
        </w:rPr>
        <w:t>ٍ</w:t>
      </w:r>
      <w:r w:rsidR="009A2A04" w:rsidRPr="00282AC9">
        <w:rPr>
          <w:rFonts w:cs="Mosawi" w:hint="cs"/>
          <w:sz w:val="22"/>
          <w:szCs w:val="22"/>
          <w:rtl/>
        </w:rPr>
        <w:t>×</w:t>
      </w:r>
      <w:r w:rsidRPr="00282AC9">
        <w:rPr>
          <w:rtl/>
        </w:rPr>
        <w:t xml:space="preserve"> وسبّ</w:t>
      </w:r>
      <w:r w:rsidR="00406BD5" w:rsidRPr="00282AC9">
        <w:rPr>
          <w:rFonts w:hint="cs"/>
          <w:rtl/>
        </w:rPr>
        <w:t>ِ</w:t>
      </w:r>
      <w:r w:rsidRPr="00282AC9">
        <w:rPr>
          <w:rtl/>
        </w:rPr>
        <w:t>ه</w:t>
      </w:r>
      <w:r w:rsidR="00406BD5" w:rsidRPr="00282AC9">
        <w:rPr>
          <w:rFonts w:hint="cs"/>
          <w:rtl/>
        </w:rPr>
        <w:t>.</w:t>
      </w:r>
      <w:r w:rsidRPr="00282AC9">
        <w:rPr>
          <w:rtl/>
        </w:rPr>
        <w:t xml:space="preserve"> وجاء في رواية</w:t>
      </w:r>
      <w:r w:rsidR="00406BD5" w:rsidRPr="00282AC9">
        <w:rPr>
          <w:rFonts w:hint="cs"/>
          <w:rtl/>
        </w:rPr>
        <w:t>ٍ</w:t>
      </w:r>
      <w:r w:rsidRPr="00282AC9">
        <w:rPr>
          <w:rtl/>
        </w:rPr>
        <w:t xml:space="preserve"> عن الإمام الباقر</w:t>
      </w:r>
      <w:r w:rsidR="009A2A04" w:rsidRPr="00282AC9">
        <w:rPr>
          <w:rFonts w:cs="Mosawi"/>
          <w:sz w:val="22"/>
          <w:szCs w:val="22"/>
          <w:rtl/>
        </w:rPr>
        <w:t>×</w:t>
      </w:r>
      <w:r w:rsidRPr="00282AC9">
        <w:rPr>
          <w:rtl/>
        </w:rPr>
        <w:t xml:space="preserve"> أنه كان له امرأة</w:t>
      </w:r>
      <w:r w:rsidR="00406BD5" w:rsidRPr="00282AC9">
        <w:rPr>
          <w:rFonts w:hint="cs"/>
          <w:rtl/>
        </w:rPr>
        <w:t>ٌ،</w:t>
      </w:r>
      <w:r w:rsidR="00406BD5" w:rsidRPr="00282AC9">
        <w:rPr>
          <w:rtl/>
        </w:rPr>
        <w:t xml:space="preserve"> يقال لها: أ</w:t>
      </w:r>
      <w:r w:rsidRPr="00282AC9">
        <w:rPr>
          <w:rtl/>
        </w:rPr>
        <w:t>مّ علي</w:t>
      </w:r>
      <w:r w:rsidR="00406BD5" w:rsidRPr="00282AC9">
        <w:rPr>
          <w:rFonts w:hint="cs"/>
          <w:rtl/>
        </w:rPr>
        <w:t>ّ،</w:t>
      </w:r>
      <w:r w:rsidRPr="00282AC9">
        <w:rPr>
          <w:rtl/>
        </w:rPr>
        <w:t xml:space="preserve"> وكانت ترى رأي الخوارج، قال: فأد</w:t>
      </w:r>
      <w:r w:rsidR="00406BD5" w:rsidRPr="00282AC9">
        <w:rPr>
          <w:rFonts w:hint="cs"/>
          <w:rtl/>
        </w:rPr>
        <w:t>َ</w:t>
      </w:r>
      <w:r w:rsidRPr="00282AC9">
        <w:rPr>
          <w:rtl/>
        </w:rPr>
        <w:t>ر</w:t>
      </w:r>
      <w:r w:rsidR="00406BD5" w:rsidRPr="00282AC9">
        <w:rPr>
          <w:rFonts w:hint="cs"/>
          <w:rtl/>
        </w:rPr>
        <w:t>ْ</w:t>
      </w:r>
      <w:r w:rsidRPr="00282AC9">
        <w:rPr>
          <w:rtl/>
        </w:rPr>
        <w:t>ت</w:t>
      </w:r>
      <w:r w:rsidR="00406BD5" w:rsidRPr="00282AC9">
        <w:rPr>
          <w:rFonts w:hint="cs"/>
          <w:rtl/>
        </w:rPr>
        <w:t>ُ</w:t>
      </w:r>
      <w:r w:rsidRPr="00282AC9">
        <w:rPr>
          <w:rtl/>
        </w:rPr>
        <w:t>ها ليلة</w:t>
      </w:r>
      <w:r w:rsidR="00406BD5" w:rsidRPr="00282AC9">
        <w:rPr>
          <w:rFonts w:hint="cs"/>
          <w:rtl/>
        </w:rPr>
        <w:t>ً</w:t>
      </w:r>
      <w:r w:rsidRPr="00282AC9">
        <w:rPr>
          <w:rtl/>
        </w:rPr>
        <w:t xml:space="preserve"> إلى الصبح أن ترجع عن رأيها</w:t>
      </w:r>
      <w:r w:rsidR="00406BD5" w:rsidRPr="00282AC9">
        <w:rPr>
          <w:rFonts w:hint="cs"/>
          <w:rtl/>
        </w:rPr>
        <w:t>،</w:t>
      </w:r>
      <w:r w:rsidRPr="00282AC9">
        <w:rPr>
          <w:rtl/>
        </w:rPr>
        <w:t xml:space="preserve"> وتولّى أمير المؤمنين</w:t>
      </w:r>
      <w:r w:rsidR="009A2A04" w:rsidRPr="00282AC9">
        <w:rPr>
          <w:rFonts w:cs="Mosawi"/>
          <w:sz w:val="22"/>
          <w:szCs w:val="22"/>
          <w:rtl/>
        </w:rPr>
        <w:t>×</w:t>
      </w:r>
      <w:r w:rsidR="00406BD5" w:rsidRPr="00282AC9">
        <w:rPr>
          <w:rFonts w:hint="cs"/>
          <w:rtl/>
        </w:rPr>
        <w:t>،</w:t>
      </w:r>
      <w:r w:rsidRPr="00282AC9">
        <w:rPr>
          <w:rtl/>
        </w:rPr>
        <w:t xml:space="preserve"> </w:t>
      </w:r>
      <w:r w:rsidRPr="00282AC9">
        <w:rPr>
          <w:rtl/>
        </w:rPr>
        <w:lastRenderedPageBreak/>
        <w:t>فامتنع</w:t>
      </w:r>
      <w:r w:rsidR="00406BD5" w:rsidRPr="00282AC9">
        <w:rPr>
          <w:rFonts w:hint="cs"/>
          <w:rtl/>
        </w:rPr>
        <w:t>َ</w:t>
      </w:r>
      <w:r w:rsidRPr="00282AC9">
        <w:rPr>
          <w:rtl/>
        </w:rPr>
        <w:t>ت</w:t>
      </w:r>
      <w:r w:rsidR="00406BD5" w:rsidRPr="00282AC9">
        <w:rPr>
          <w:rFonts w:hint="cs"/>
          <w:rtl/>
        </w:rPr>
        <w:t>ْ</w:t>
      </w:r>
      <w:r w:rsidRPr="00282AC9">
        <w:rPr>
          <w:rtl/>
        </w:rPr>
        <w:t xml:space="preserve"> عليَّ، فلمّا أصبح</w:t>
      </w:r>
      <w:r w:rsidR="004F01A0" w:rsidRPr="00282AC9">
        <w:rPr>
          <w:rFonts w:hint="cs"/>
          <w:rtl/>
        </w:rPr>
        <w:t>ْ</w:t>
      </w:r>
      <w:r w:rsidRPr="00282AC9">
        <w:rPr>
          <w:rtl/>
        </w:rPr>
        <w:t>ت</w:t>
      </w:r>
      <w:r w:rsidR="004F01A0" w:rsidRPr="00282AC9">
        <w:rPr>
          <w:rFonts w:hint="cs"/>
          <w:rtl/>
        </w:rPr>
        <w:t>ُ</w:t>
      </w:r>
      <w:r w:rsidRPr="00282AC9">
        <w:rPr>
          <w:rtl/>
        </w:rPr>
        <w:t xml:space="preserve"> طلّ</w:t>
      </w:r>
      <w:r w:rsidR="00406BD5" w:rsidRPr="00282AC9">
        <w:rPr>
          <w:rFonts w:hint="cs"/>
          <w:rtl/>
        </w:rPr>
        <w:t>َ</w:t>
      </w:r>
      <w:r w:rsidRPr="00282AC9">
        <w:rPr>
          <w:rtl/>
        </w:rPr>
        <w:t>ق</w:t>
      </w:r>
      <w:r w:rsidR="00406BD5" w:rsidRPr="00282AC9">
        <w:rPr>
          <w:rFonts w:hint="cs"/>
          <w:rtl/>
        </w:rPr>
        <w:t>ْ</w:t>
      </w:r>
      <w:r w:rsidRPr="00282AC9">
        <w:rPr>
          <w:rtl/>
        </w:rPr>
        <w:t>ت</w:t>
      </w:r>
      <w:r w:rsidR="00406BD5" w:rsidRPr="00282AC9">
        <w:rPr>
          <w:rFonts w:hint="cs"/>
          <w:rtl/>
        </w:rPr>
        <w:t>ُ</w:t>
      </w:r>
      <w:r w:rsidRPr="00282AC9">
        <w:rPr>
          <w:rtl/>
        </w:rPr>
        <w:t>ها</w:t>
      </w:r>
      <w:r w:rsidRPr="00282AC9">
        <w:rPr>
          <w:vertAlign w:val="superscript"/>
          <w:rtl/>
        </w:rPr>
        <w:t>(</w:t>
      </w:r>
      <w:r w:rsidRPr="00282AC9">
        <w:rPr>
          <w:vertAlign w:val="superscript"/>
          <w:rtl/>
        </w:rPr>
        <w:endnoteReference w:id="223"/>
      </w:r>
      <w:r w:rsidRPr="00282AC9">
        <w:rPr>
          <w:vertAlign w:val="superscript"/>
          <w:rtl/>
        </w:rPr>
        <w:t>)</w:t>
      </w:r>
      <w:r w:rsidRPr="00282AC9">
        <w:rPr>
          <w:rtl/>
        </w:rPr>
        <w:t>.</w:t>
      </w:r>
    </w:p>
    <w:p w:rsidR="004F01A0" w:rsidRPr="00282AC9" w:rsidRDefault="009C6A22" w:rsidP="00106AA7">
      <w:pPr>
        <w:rPr>
          <w:rtl/>
        </w:rPr>
      </w:pPr>
      <w:r w:rsidRPr="00282AC9">
        <w:rPr>
          <w:rtl/>
        </w:rPr>
        <w:t>ور</w:t>
      </w:r>
      <w:r w:rsidR="004F01A0" w:rsidRPr="00282AC9">
        <w:rPr>
          <w:rFonts w:hint="cs"/>
          <w:rtl/>
        </w:rPr>
        <w:t>ُ</w:t>
      </w:r>
      <w:r w:rsidRPr="00282AC9">
        <w:rPr>
          <w:rtl/>
        </w:rPr>
        <w:t>وي عن مالك بن أعين أنه دخل على أبي جعفر</w:t>
      </w:r>
      <w:r w:rsidR="009A2A04" w:rsidRPr="00282AC9">
        <w:rPr>
          <w:rFonts w:cs="Mosawi"/>
          <w:sz w:val="22"/>
          <w:szCs w:val="22"/>
          <w:rtl/>
        </w:rPr>
        <w:t>×</w:t>
      </w:r>
      <w:r w:rsidR="004F01A0" w:rsidRPr="00282AC9">
        <w:rPr>
          <w:rFonts w:hint="cs"/>
          <w:rtl/>
        </w:rPr>
        <w:t>،</w:t>
      </w:r>
      <w:r w:rsidRPr="00282AC9">
        <w:rPr>
          <w:rtl/>
        </w:rPr>
        <w:t xml:space="preserve"> وعليه ملحفة</w:t>
      </w:r>
      <w:r w:rsidR="004F01A0" w:rsidRPr="00282AC9">
        <w:rPr>
          <w:rFonts w:hint="cs"/>
          <w:rtl/>
        </w:rPr>
        <w:t>ٌ</w:t>
      </w:r>
      <w:r w:rsidRPr="00282AC9">
        <w:rPr>
          <w:rtl/>
        </w:rPr>
        <w:t xml:space="preserve"> حمراء</w:t>
      </w:r>
      <w:r w:rsidR="004F01A0" w:rsidRPr="00282AC9">
        <w:rPr>
          <w:rFonts w:hint="cs"/>
          <w:rtl/>
        </w:rPr>
        <w:t>،</w:t>
      </w:r>
      <w:r w:rsidRPr="00282AC9">
        <w:rPr>
          <w:rtl/>
        </w:rPr>
        <w:t xml:space="preserve"> فقال: إن الث</w:t>
      </w:r>
      <w:r w:rsidR="004F01A0" w:rsidRPr="00282AC9">
        <w:rPr>
          <w:rFonts w:hint="cs"/>
          <w:rtl/>
        </w:rPr>
        <w:t>َّ</w:t>
      </w:r>
      <w:r w:rsidRPr="00282AC9">
        <w:rPr>
          <w:rtl/>
        </w:rPr>
        <w:t>ق</w:t>
      </w:r>
      <w:r w:rsidR="004F01A0" w:rsidRPr="00282AC9">
        <w:rPr>
          <w:rFonts w:hint="cs"/>
          <w:rtl/>
        </w:rPr>
        <w:t>َ</w:t>
      </w:r>
      <w:r w:rsidRPr="00282AC9">
        <w:rPr>
          <w:rtl/>
        </w:rPr>
        <w:t>في</w:t>
      </w:r>
      <w:r w:rsidR="004F01A0" w:rsidRPr="00282AC9">
        <w:rPr>
          <w:rFonts w:hint="cs"/>
          <w:rtl/>
        </w:rPr>
        <w:t>ّ</w:t>
      </w:r>
      <w:r w:rsidRPr="00282AC9">
        <w:rPr>
          <w:rtl/>
        </w:rPr>
        <w:t>ة أكره</w:t>
      </w:r>
      <w:r w:rsidR="004F01A0" w:rsidRPr="00282AC9">
        <w:rPr>
          <w:rFonts w:hint="cs"/>
          <w:rtl/>
        </w:rPr>
        <w:t>َ</w:t>
      </w:r>
      <w:r w:rsidRPr="00282AC9">
        <w:rPr>
          <w:rtl/>
        </w:rPr>
        <w:t>ت</w:t>
      </w:r>
      <w:r w:rsidR="004F01A0" w:rsidRPr="00282AC9">
        <w:rPr>
          <w:rFonts w:hint="cs"/>
          <w:rtl/>
        </w:rPr>
        <w:t>ْ</w:t>
      </w:r>
      <w:r w:rsidRPr="00282AC9">
        <w:rPr>
          <w:rtl/>
        </w:rPr>
        <w:t>ني على لبسها</w:t>
      </w:r>
      <w:r w:rsidR="004F01A0" w:rsidRPr="00282AC9">
        <w:rPr>
          <w:rFonts w:hint="cs"/>
          <w:rtl/>
        </w:rPr>
        <w:t>،</w:t>
      </w:r>
      <w:r w:rsidRPr="00282AC9">
        <w:rPr>
          <w:rtl/>
        </w:rPr>
        <w:t xml:space="preserve"> وأنا أُحبّها ـ إلى أن قال</w:t>
      </w:r>
      <w:r w:rsidR="004F01A0" w:rsidRPr="00282AC9">
        <w:rPr>
          <w:rFonts w:hint="cs"/>
          <w:rtl/>
        </w:rPr>
        <w:t xml:space="preserve"> ـ</w:t>
      </w:r>
      <w:r w:rsidR="004F01A0" w:rsidRPr="00282AC9">
        <w:rPr>
          <w:rtl/>
        </w:rPr>
        <w:t>:</w:t>
      </w:r>
      <w:r w:rsidR="004F01A0" w:rsidRPr="00282AC9">
        <w:rPr>
          <w:rFonts w:hint="cs"/>
          <w:rtl/>
        </w:rPr>
        <w:t xml:space="preserve"> </w:t>
      </w:r>
      <w:r w:rsidRPr="00282AC9">
        <w:rPr>
          <w:rtl/>
        </w:rPr>
        <w:t>ثمّ دخلت</w:t>
      </w:r>
      <w:r w:rsidR="004F01A0" w:rsidRPr="00282AC9">
        <w:rPr>
          <w:rFonts w:hint="cs"/>
          <w:rtl/>
        </w:rPr>
        <w:t>ُ</w:t>
      </w:r>
      <w:r w:rsidRPr="00282AC9">
        <w:rPr>
          <w:rtl/>
        </w:rPr>
        <w:t xml:space="preserve"> عليه وقد طلّ</w:t>
      </w:r>
      <w:r w:rsidR="004F01A0" w:rsidRPr="00282AC9">
        <w:rPr>
          <w:rFonts w:hint="cs"/>
          <w:rtl/>
        </w:rPr>
        <w:t>َ</w:t>
      </w:r>
      <w:r w:rsidRPr="00282AC9">
        <w:rPr>
          <w:rtl/>
        </w:rPr>
        <w:t>قها، فقال: سمعت</w:t>
      </w:r>
      <w:r w:rsidR="004F01A0" w:rsidRPr="00282AC9">
        <w:rPr>
          <w:rFonts w:hint="cs"/>
          <w:rtl/>
        </w:rPr>
        <w:t>ُ</w:t>
      </w:r>
      <w:r w:rsidRPr="00282AC9">
        <w:rPr>
          <w:rtl/>
        </w:rPr>
        <w:t>ها تبرأ من عليّ</w:t>
      </w:r>
      <w:r w:rsidR="004F01A0" w:rsidRPr="00282AC9">
        <w:rPr>
          <w:rFonts w:hint="cs"/>
          <w:rtl/>
        </w:rPr>
        <w:t>ٍ،</w:t>
      </w:r>
      <w:r w:rsidRPr="00282AC9">
        <w:rPr>
          <w:rtl/>
        </w:rPr>
        <w:t xml:space="preserve"> فلم يسعني أن أُم</w:t>
      </w:r>
      <w:r w:rsidR="004F01A0" w:rsidRPr="00282AC9">
        <w:rPr>
          <w:rFonts w:hint="cs"/>
          <w:rtl/>
        </w:rPr>
        <w:t>ْ</w:t>
      </w:r>
      <w:r w:rsidRPr="00282AC9">
        <w:rPr>
          <w:rtl/>
        </w:rPr>
        <w:t>س</w:t>
      </w:r>
      <w:r w:rsidR="004F01A0" w:rsidRPr="00282AC9">
        <w:rPr>
          <w:rFonts w:hint="cs"/>
          <w:rtl/>
        </w:rPr>
        <w:t>ِ</w:t>
      </w:r>
      <w:r w:rsidRPr="00282AC9">
        <w:rPr>
          <w:rtl/>
        </w:rPr>
        <w:t>ك</w:t>
      </w:r>
      <w:r w:rsidR="004F01A0" w:rsidRPr="00282AC9">
        <w:rPr>
          <w:rFonts w:hint="cs"/>
          <w:rtl/>
        </w:rPr>
        <w:t>َ</w:t>
      </w:r>
      <w:r w:rsidRPr="00282AC9">
        <w:rPr>
          <w:rtl/>
        </w:rPr>
        <w:t>ها وهي تبرأ</w:t>
      </w:r>
      <w:r w:rsidR="004F01A0" w:rsidRPr="00282AC9">
        <w:rPr>
          <w:rFonts w:hint="cs"/>
          <w:rtl/>
        </w:rPr>
        <w:t>ُ</w:t>
      </w:r>
      <w:r w:rsidRPr="00282AC9">
        <w:rPr>
          <w:rtl/>
        </w:rPr>
        <w:t xml:space="preserve"> منه</w:t>
      </w:r>
      <w:r w:rsidRPr="00282AC9">
        <w:rPr>
          <w:sz w:val="24"/>
          <w:szCs w:val="24"/>
          <w:rtl/>
        </w:rPr>
        <w:t>»</w:t>
      </w:r>
      <w:r w:rsidRPr="00282AC9">
        <w:rPr>
          <w:vertAlign w:val="superscript"/>
          <w:rtl/>
        </w:rPr>
        <w:t>(</w:t>
      </w:r>
      <w:r w:rsidRPr="00282AC9">
        <w:rPr>
          <w:vertAlign w:val="superscript"/>
          <w:rtl/>
        </w:rPr>
        <w:endnoteReference w:id="224"/>
      </w:r>
      <w:r w:rsidRPr="00282AC9">
        <w:rPr>
          <w:vertAlign w:val="superscript"/>
          <w:rtl/>
        </w:rPr>
        <w:t>)</w:t>
      </w:r>
      <w:r w:rsidR="004F01A0" w:rsidRPr="00282AC9">
        <w:rPr>
          <w:rFonts w:hint="cs"/>
          <w:rtl/>
        </w:rPr>
        <w:t>.</w:t>
      </w:r>
    </w:p>
    <w:p w:rsidR="009C6A22" w:rsidRPr="00282AC9" w:rsidRDefault="009C6A22" w:rsidP="00106AA7">
      <w:pPr>
        <w:rPr>
          <w:rtl/>
        </w:rPr>
      </w:pPr>
      <w:r w:rsidRPr="00282AC9">
        <w:rPr>
          <w:rtl/>
        </w:rPr>
        <w:t>وعدا عن ذلك لم يكن ليأبه الإمام بأنْ يكون لامرأته رأي</w:t>
      </w:r>
      <w:r w:rsidR="004F01A0" w:rsidRPr="00282AC9">
        <w:rPr>
          <w:rFonts w:hint="cs"/>
          <w:rtl/>
        </w:rPr>
        <w:t>ٌ</w:t>
      </w:r>
      <w:r w:rsidRPr="00282AC9">
        <w:rPr>
          <w:rtl/>
        </w:rPr>
        <w:t xml:space="preserve"> مختلف</w:t>
      </w:r>
      <w:r w:rsidR="004F01A0" w:rsidRPr="00282AC9">
        <w:rPr>
          <w:rFonts w:hint="cs"/>
          <w:rtl/>
        </w:rPr>
        <w:t>ٌ؛</w:t>
      </w:r>
      <w:r w:rsidRPr="00282AC9">
        <w:rPr>
          <w:rtl/>
        </w:rPr>
        <w:t xml:space="preserve"> فقد كانت جعدة بنت الأشعث زوجة</w:t>
      </w:r>
      <w:r w:rsidR="004F01A0" w:rsidRPr="00282AC9">
        <w:rPr>
          <w:rFonts w:hint="cs"/>
          <w:rtl/>
        </w:rPr>
        <w:t>ً</w:t>
      </w:r>
      <w:r w:rsidRPr="00282AC9">
        <w:rPr>
          <w:rtl/>
        </w:rPr>
        <w:t xml:space="preserve"> للإمام الحسن</w:t>
      </w:r>
      <w:r w:rsidR="009A2A04" w:rsidRPr="00282AC9">
        <w:rPr>
          <w:rFonts w:cs="Mosawi"/>
          <w:sz w:val="22"/>
          <w:szCs w:val="22"/>
          <w:rtl/>
        </w:rPr>
        <w:t>×</w:t>
      </w:r>
      <w:r w:rsidRPr="00282AC9">
        <w:rPr>
          <w:rtl/>
        </w:rPr>
        <w:t>، وكان لها انتماء</w:t>
      </w:r>
      <w:r w:rsidR="004F01A0" w:rsidRPr="00282AC9">
        <w:rPr>
          <w:rFonts w:hint="cs"/>
          <w:rtl/>
        </w:rPr>
        <w:t>ٌ</w:t>
      </w:r>
      <w:r w:rsidRPr="00282AC9">
        <w:rPr>
          <w:rtl/>
        </w:rPr>
        <w:t xml:space="preserve"> سياسي</w:t>
      </w:r>
      <w:r w:rsidR="004F01A0" w:rsidRPr="00282AC9">
        <w:rPr>
          <w:rFonts w:hint="cs"/>
          <w:rtl/>
        </w:rPr>
        <w:t>ّ</w:t>
      </w:r>
      <w:r w:rsidRPr="00282AC9">
        <w:rPr>
          <w:rtl/>
        </w:rPr>
        <w:t xml:space="preserve"> وع</w:t>
      </w:r>
      <w:r w:rsidR="004F01A0" w:rsidRPr="00282AC9">
        <w:rPr>
          <w:rFonts w:hint="cs"/>
          <w:rtl/>
        </w:rPr>
        <w:t>َ</w:t>
      </w:r>
      <w:r w:rsidRPr="00282AC9">
        <w:rPr>
          <w:rtl/>
        </w:rPr>
        <w:t>ق</w:t>
      </w:r>
      <w:r w:rsidR="004F01A0" w:rsidRPr="00282AC9">
        <w:rPr>
          <w:rFonts w:hint="cs"/>
          <w:rtl/>
        </w:rPr>
        <w:t>ْ</w:t>
      </w:r>
      <w:r w:rsidRPr="00282AC9">
        <w:rPr>
          <w:rtl/>
        </w:rPr>
        <w:t>دي</w:t>
      </w:r>
      <w:r w:rsidR="004F01A0" w:rsidRPr="00282AC9">
        <w:rPr>
          <w:rFonts w:hint="cs"/>
          <w:rtl/>
        </w:rPr>
        <w:t>ّ</w:t>
      </w:r>
      <w:r w:rsidRPr="00282AC9">
        <w:rPr>
          <w:rtl/>
        </w:rPr>
        <w:t xml:space="preserve"> مغاير</w:t>
      </w:r>
      <w:r w:rsidR="004F01A0" w:rsidRPr="00282AC9">
        <w:rPr>
          <w:rFonts w:hint="cs"/>
          <w:rtl/>
        </w:rPr>
        <w:t>ٌ</w:t>
      </w:r>
      <w:r w:rsidRPr="00282AC9">
        <w:rPr>
          <w:rtl/>
        </w:rPr>
        <w:t xml:space="preserve"> للإمام، ولم يكن الإمام</w:t>
      </w:r>
      <w:r w:rsidR="00167C73" w:rsidRPr="00282AC9">
        <w:rPr>
          <w:rFonts w:cs="Mosawi"/>
          <w:sz w:val="22"/>
          <w:szCs w:val="22"/>
          <w:rtl/>
        </w:rPr>
        <w:t>×</w:t>
      </w:r>
      <w:r w:rsidRPr="00282AC9">
        <w:rPr>
          <w:rtl/>
        </w:rPr>
        <w:t xml:space="preserve"> ليقسرها على النزول عند رأيه. </w:t>
      </w:r>
    </w:p>
    <w:p w:rsidR="00A716AC" w:rsidRPr="00282AC9" w:rsidRDefault="00A716AC" w:rsidP="00A716AC">
      <w:pPr>
        <w:spacing w:line="430" w:lineRule="exact"/>
        <w:rPr>
          <w:rtl/>
        </w:rPr>
      </w:pPr>
    </w:p>
    <w:p w:rsidR="009C6A22" w:rsidRPr="00282AC9" w:rsidRDefault="009C6A22" w:rsidP="00B37544">
      <w:pPr>
        <w:pStyle w:val="31"/>
        <w:rPr>
          <w:color w:val="auto"/>
          <w:lang w:bidi="ar-YE"/>
        </w:rPr>
      </w:pPr>
      <w:r w:rsidRPr="00282AC9">
        <w:rPr>
          <w:color w:val="auto"/>
          <w:rtl/>
          <w:lang w:bidi="ar-YE"/>
        </w:rPr>
        <w:t>استضعاف</w:t>
      </w:r>
      <w:r w:rsidRPr="00282AC9">
        <w:rPr>
          <w:color w:val="auto"/>
          <w:lang w:bidi="ar-YE"/>
        </w:rPr>
        <w:t xml:space="preserve"> </w:t>
      </w:r>
      <w:r w:rsidRPr="00282AC9">
        <w:rPr>
          <w:color w:val="auto"/>
          <w:rtl/>
          <w:lang w:bidi="ar-YE"/>
        </w:rPr>
        <w:t>المرأة</w:t>
      </w:r>
      <w:r w:rsidR="004F01A0" w:rsidRPr="00282AC9">
        <w:rPr>
          <w:rFonts w:hint="cs"/>
          <w:color w:val="auto"/>
          <w:rtl/>
          <w:lang w:bidi="ar-YE"/>
        </w:rPr>
        <w:t>،</w:t>
      </w:r>
      <w:r w:rsidRPr="00282AC9">
        <w:rPr>
          <w:color w:val="auto"/>
          <w:lang w:bidi="ar-YE"/>
        </w:rPr>
        <w:t xml:space="preserve"> </w:t>
      </w:r>
      <w:r w:rsidRPr="00282AC9">
        <w:rPr>
          <w:color w:val="auto"/>
          <w:rtl/>
          <w:lang w:bidi="ar-YE"/>
        </w:rPr>
        <w:t>وانتهاك</w:t>
      </w:r>
      <w:r w:rsidRPr="00282AC9">
        <w:rPr>
          <w:color w:val="auto"/>
          <w:lang w:bidi="ar-YE"/>
        </w:rPr>
        <w:t xml:space="preserve"> </w:t>
      </w:r>
      <w:r w:rsidRPr="00282AC9">
        <w:rPr>
          <w:color w:val="auto"/>
          <w:rtl/>
          <w:lang w:bidi="ar-YE"/>
        </w:rPr>
        <w:t>سلطتها</w:t>
      </w:r>
      <w:r w:rsidRPr="00282AC9">
        <w:rPr>
          <w:color w:val="auto"/>
          <w:lang w:bidi="ar-YE"/>
        </w:rPr>
        <w:t xml:space="preserve"> </w:t>
      </w:r>
      <w:r w:rsidRPr="00282AC9">
        <w:rPr>
          <w:color w:val="auto"/>
          <w:rtl/>
          <w:lang w:bidi="ar-YE"/>
        </w:rPr>
        <w:t>المالي</w:t>
      </w:r>
      <w:r w:rsidR="004F01A0" w:rsidRPr="00282AC9">
        <w:rPr>
          <w:rFonts w:hint="cs"/>
          <w:color w:val="auto"/>
          <w:rtl/>
          <w:lang w:bidi="ar-YE"/>
        </w:rPr>
        <w:t>ّ</w:t>
      </w:r>
      <w:r w:rsidRPr="00282AC9">
        <w:rPr>
          <w:color w:val="auto"/>
          <w:rtl/>
          <w:lang w:bidi="ar-YE"/>
        </w:rPr>
        <w:t>ة</w:t>
      </w:r>
    </w:p>
    <w:p w:rsidR="009C6A22" w:rsidRPr="00282AC9" w:rsidRDefault="009C6A22" w:rsidP="00106AA7">
      <w:pPr>
        <w:rPr>
          <w:rtl/>
        </w:rPr>
      </w:pPr>
      <w:r w:rsidRPr="00282AC9">
        <w:rPr>
          <w:rtl/>
        </w:rPr>
        <w:t>تمثّل سلطة الإنسان على أمواله وممتلكاته أحد أهمّ تجلّ</w:t>
      </w:r>
      <w:r w:rsidR="004F01A0" w:rsidRPr="00282AC9">
        <w:rPr>
          <w:rFonts w:hint="cs"/>
          <w:rtl/>
        </w:rPr>
        <w:t>ِ</w:t>
      </w:r>
      <w:r w:rsidRPr="00282AC9">
        <w:rPr>
          <w:rtl/>
        </w:rPr>
        <w:t>يات الشعور بالذات وممارسة القدرة</w:t>
      </w:r>
      <w:r w:rsidR="004F01A0" w:rsidRPr="00282AC9">
        <w:rPr>
          <w:rFonts w:hint="cs"/>
          <w:rtl/>
        </w:rPr>
        <w:t>؛</w:t>
      </w:r>
      <w:r w:rsidRPr="00282AC9">
        <w:rPr>
          <w:rtl/>
        </w:rPr>
        <w:t xml:space="preserve"> ذلك لأنّ حبّ</w:t>
      </w:r>
      <w:r w:rsidR="0088514C" w:rsidRPr="00282AC9">
        <w:rPr>
          <w:rFonts w:hint="cs"/>
          <w:rtl/>
        </w:rPr>
        <w:t>َ</w:t>
      </w:r>
      <w:r w:rsidRPr="00282AC9">
        <w:rPr>
          <w:rtl/>
        </w:rPr>
        <w:t xml:space="preserve"> التملّ</w:t>
      </w:r>
      <w:r w:rsidR="004F01A0" w:rsidRPr="00282AC9">
        <w:rPr>
          <w:rFonts w:hint="cs"/>
          <w:rtl/>
        </w:rPr>
        <w:t>ُ</w:t>
      </w:r>
      <w:r w:rsidRPr="00282AC9">
        <w:rPr>
          <w:rtl/>
        </w:rPr>
        <w:t>ك نزعة</w:t>
      </w:r>
      <w:r w:rsidR="004F01A0" w:rsidRPr="00282AC9">
        <w:rPr>
          <w:rFonts w:hint="cs"/>
          <w:rtl/>
        </w:rPr>
        <w:t>ٌ</w:t>
      </w:r>
      <w:r w:rsidRPr="00282AC9">
        <w:rPr>
          <w:rtl/>
        </w:rPr>
        <w:t xml:space="preserve"> فطري</w:t>
      </w:r>
      <w:r w:rsidR="004F01A0" w:rsidRPr="00282AC9">
        <w:rPr>
          <w:rFonts w:hint="cs"/>
          <w:rtl/>
        </w:rPr>
        <w:t>ّ</w:t>
      </w:r>
      <w:r w:rsidRPr="00282AC9">
        <w:rPr>
          <w:rtl/>
        </w:rPr>
        <w:t>ة في نفس الإنسان، فإذا ما حاز شي</w:t>
      </w:r>
      <w:r w:rsidR="0088514C" w:rsidRPr="00282AC9">
        <w:rPr>
          <w:rFonts w:hint="cs"/>
          <w:rtl/>
        </w:rPr>
        <w:t>ئاً</w:t>
      </w:r>
      <w:r w:rsidRPr="00282AC9">
        <w:rPr>
          <w:rtl/>
        </w:rPr>
        <w:t xml:space="preserve"> فإنّه يريد أن يشعر بالح</w:t>
      </w:r>
      <w:r w:rsidR="0088514C" w:rsidRPr="00282AC9">
        <w:rPr>
          <w:rFonts w:hint="cs"/>
          <w:rtl/>
        </w:rPr>
        <w:t>ُ</w:t>
      </w:r>
      <w:r w:rsidRPr="00282AC9">
        <w:rPr>
          <w:rtl/>
        </w:rPr>
        <w:t>ر</w:t>
      </w:r>
      <w:r w:rsidR="0088514C" w:rsidRPr="00282AC9">
        <w:rPr>
          <w:rFonts w:hint="cs"/>
          <w:rtl/>
        </w:rPr>
        <w:t>ِّ</w:t>
      </w:r>
      <w:r w:rsidRPr="00282AC9">
        <w:rPr>
          <w:rtl/>
        </w:rPr>
        <w:t>ية التام</w:t>
      </w:r>
      <w:r w:rsidR="0088514C" w:rsidRPr="00282AC9">
        <w:rPr>
          <w:rFonts w:hint="cs"/>
          <w:rtl/>
        </w:rPr>
        <w:t>ّ</w:t>
      </w:r>
      <w:r w:rsidRPr="00282AC9">
        <w:rPr>
          <w:rtl/>
        </w:rPr>
        <w:t>ة في التصر</w:t>
      </w:r>
      <w:r w:rsidR="0088514C" w:rsidRPr="00282AC9">
        <w:rPr>
          <w:rFonts w:hint="cs"/>
          <w:rtl/>
        </w:rPr>
        <w:t>ُّ</w:t>
      </w:r>
      <w:r w:rsidRPr="00282AC9">
        <w:rPr>
          <w:rtl/>
        </w:rPr>
        <w:t>ف فيه، ومن ثم</w:t>
      </w:r>
      <w:r w:rsidR="0088514C" w:rsidRPr="00282AC9">
        <w:rPr>
          <w:rFonts w:hint="cs"/>
          <w:rtl/>
        </w:rPr>
        <w:t>ّ</w:t>
      </w:r>
      <w:r w:rsidRPr="00282AC9">
        <w:rPr>
          <w:rtl/>
        </w:rPr>
        <w:t xml:space="preserve"> يعتبر أيّ تعويق</w:t>
      </w:r>
      <w:r w:rsidR="0088514C" w:rsidRPr="00282AC9">
        <w:rPr>
          <w:rFonts w:hint="cs"/>
          <w:rtl/>
        </w:rPr>
        <w:t>ٍ</w:t>
      </w:r>
      <w:r w:rsidRPr="00282AC9">
        <w:rPr>
          <w:rtl/>
        </w:rPr>
        <w:t xml:space="preserve"> لهذه الح</w:t>
      </w:r>
      <w:r w:rsidR="0088514C" w:rsidRPr="00282AC9">
        <w:rPr>
          <w:rFonts w:hint="cs"/>
          <w:rtl/>
        </w:rPr>
        <w:t>ُ</w:t>
      </w:r>
      <w:r w:rsidRPr="00282AC9">
        <w:rPr>
          <w:rtl/>
        </w:rPr>
        <w:t>ر</w:t>
      </w:r>
      <w:r w:rsidR="0088514C" w:rsidRPr="00282AC9">
        <w:rPr>
          <w:rFonts w:hint="cs"/>
          <w:rtl/>
        </w:rPr>
        <w:t>ِّ</w:t>
      </w:r>
      <w:r w:rsidRPr="00282AC9">
        <w:rPr>
          <w:rtl/>
        </w:rPr>
        <w:t>ية انتقاصاً لذاته، وانتهاكاً لحقّ</w:t>
      </w:r>
      <w:r w:rsidR="0088514C" w:rsidRPr="00282AC9">
        <w:rPr>
          <w:rFonts w:hint="cs"/>
          <w:rtl/>
        </w:rPr>
        <w:t>ِ</w:t>
      </w:r>
      <w:r w:rsidRPr="00282AC9">
        <w:rPr>
          <w:rtl/>
        </w:rPr>
        <w:t>ه. وتقوم كلّ الشرائع والأديان والنظم الاجتماعي</w:t>
      </w:r>
      <w:r w:rsidR="0088514C" w:rsidRPr="00282AC9">
        <w:rPr>
          <w:rFonts w:hint="cs"/>
          <w:rtl/>
        </w:rPr>
        <w:t>ّ</w:t>
      </w:r>
      <w:r w:rsidRPr="00282AC9">
        <w:rPr>
          <w:rtl/>
        </w:rPr>
        <w:t>ة على احترام سلطة الإنسان على ماله، يتصر</w:t>
      </w:r>
      <w:r w:rsidR="0088514C" w:rsidRPr="00282AC9">
        <w:rPr>
          <w:rFonts w:hint="cs"/>
          <w:rtl/>
        </w:rPr>
        <w:t>َّ</w:t>
      </w:r>
      <w:r w:rsidRPr="00282AC9">
        <w:rPr>
          <w:rtl/>
        </w:rPr>
        <w:t>ف فيه كيف يشاء، وتجرّ</w:t>
      </w:r>
      <w:r w:rsidR="0088514C" w:rsidRPr="00282AC9">
        <w:rPr>
          <w:rFonts w:hint="cs"/>
          <w:rtl/>
        </w:rPr>
        <w:t>ِ</w:t>
      </w:r>
      <w:r w:rsidRPr="00282AC9">
        <w:rPr>
          <w:rtl/>
        </w:rPr>
        <w:t>م التعدّ</w:t>
      </w:r>
      <w:r w:rsidR="0088514C" w:rsidRPr="00282AC9">
        <w:rPr>
          <w:rFonts w:hint="cs"/>
          <w:rtl/>
        </w:rPr>
        <w:t>ِ</w:t>
      </w:r>
      <w:r w:rsidRPr="00282AC9">
        <w:rPr>
          <w:rtl/>
        </w:rPr>
        <w:t xml:space="preserve">ي على أموال الغير، أو تعويقهم </w:t>
      </w:r>
      <w:r w:rsidR="0088514C" w:rsidRPr="00282AC9">
        <w:rPr>
          <w:rFonts w:hint="cs"/>
          <w:rtl/>
        </w:rPr>
        <w:t>ع</w:t>
      </w:r>
      <w:r w:rsidRPr="00282AC9">
        <w:rPr>
          <w:rtl/>
        </w:rPr>
        <w:t>ن التصرّ</w:t>
      </w:r>
      <w:r w:rsidR="0088514C" w:rsidRPr="00282AC9">
        <w:rPr>
          <w:rFonts w:hint="cs"/>
          <w:rtl/>
        </w:rPr>
        <w:t>ُ</w:t>
      </w:r>
      <w:r w:rsidRPr="00282AC9">
        <w:rPr>
          <w:rtl/>
        </w:rPr>
        <w:t xml:space="preserve">ف في أموالهم. </w:t>
      </w:r>
    </w:p>
    <w:p w:rsidR="00A716AC" w:rsidRPr="00282AC9" w:rsidRDefault="00A716AC" w:rsidP="00A716AC">
      <w:pPr>
        <w:spacing w:line="420" w:lineRule="exact"/>
        <w:rPr>
          <w:rtl/>
        </w:rPr>
      </w:pPr>
    </w:p>
    <w:p w:rsidR="009C6A22" w:rsidRPr="00282AC9" w:rsidRDefault="009C6A22" w:rsidP="00B37544">
      <w:pPr>
        <w:pStyle w:val="31"/>
        <w:rPr>
          <w:color w:val="auto"/>
          <w:lang w:bidi="ar-YE"/>
        </w:rPr>
      </w:pPr>
      <w:r w:rsidRPr="00282AC9">
        <w:rPr>
          <w:color w:val="auto"/>
          <w:rtl/>
          <w:lang w:bidi="ar-YE"/>
        </w:rPr>
        <w:t>الناس</w:t>
      </w:r>
      <w:r w:rsidR="00861959" w:rsidRPr="00282AC9">
        <w:rPr>
          <w:rFonts w:hint="cs"/>
          <w:color w:val="auto"/>
          <w:rtl/>
        </w:rPr>
        <w:t xml:space="preserve"> ـ ومنهم المرأة ـ</w:t>
      </w:r>
      <w:r w:rsidRPr="00282AC9">
        <w:rPr>
          <w:color w:val="auto"/>
          <w:lang w:bidi="ar-YE"/>
        </w:rPr>
        <w:t xml:space="preserve"> </w:t>
      </w:r>
      <w:r w:rsidRPr="00282AC9">
        <w:rPr>
          <w:color w:val="auto"/>
          <w:rtl/>
          <w:lang w:bidi="ar-YE"/>
        </w:rPr>
        <w:t>مُسلّ</w:t>
      </w:r>
      <w:r w:rsidR="0088514C" w:rsidRPr="00282AC9">
        <w:rPr>
          <w:rFonts w:hint="cs"/>
          <w:color w:val="auto"/>
          <w:rtl/>
          <w:lang w:bidi="ar-YE"/>
        </w:rPr>
        <w:t>َ</w:t>
      </w:r>
      <w:r w:rsidRPr="00282AC9">
        <w:rPr>
          <w:color w:val="auto"/>
          <w:rtl/>
          <w:lang w:bidi="ar-YE"/>
        </w:rPr>
        <w:t>طون</w:t>
      </w:r>
      <w:r w:rsidRPr="00282AC9">
        <w:rPr>
          <w:color w:val="auto"/>
          <w:lang w:bidi="ar-YE"/>
        </w:rPr>
        <w:t xml:space="preserve"> </w:t>
      </w:r>
      <w:r w:rsidRPr="00282AC9">
        <w:rPr>
          <w:color w:val="auto"/>
          <w:rtl/>
          <w:lang w:bidi="ar-YE"/>
        </w:rPr>
        <w:t>على</w:t>
      </w:r>
      <w:r w:rsidRPr="00282AC9">
        <w:rPr>
          <w:color w:val="auto"/>
          <w:lang w:bidi="ar-YE"/>
        </w:rPr>
        <w:t xml:space="preserve"> </w:t>
      </w:r>
      <w:r w:rsidRPr="00282AC9">
        <w:rPr>
          <w:color w:val="auto"/>
          <w:rtl/>
          <w:lang w:bidi="ar-YE"/>
        </w:rPr>
        <w:t>أموالهم</w:t>
      </w:r>
    </w:p>
    <w:p w:rsidR="009C6A22" w:rsidRPr="00282AC9" w:rsidRDefault="009C6A22" w:rsidP="00106AA7">
      <w:pPr>
        <w:rPr>
          <w:rtl/>
        </w:rPr>
      </w:pPr>
      <w:r w:rsidRPr="00282AC9">
        <w:rPr>
          <w:rtl/>
        </w:rPr>
        <w:t xml:space="preserve">إنّ هناك </w:t>
      </w:r>
      <w:r w:rsidR="0088514C" w:rsidRPr="00282AC9">
        <w:rPr>
          <w:rFonts w:hint="cs"/>
          <w:rtl/>
        </w:rPr>
        <w:t>ال</w:t>
      </w:r>
      <w:r w:rsidRPr="00282AC9">
        <w:rPr>
          <w:rtl/>
        </w:rPr>
        <w:t>كثير من النصوص الدينية التي تؤيّ</w:t>
      </w:r>
      <w:r w:rsidR="0088514C" w:rsidRPr="00282AC9">
        <w:rPr>
          <w:rFonts w:hint="cs"/>
          <w:rtl/>
        </w:rPr>
        <w:t>ِ</w:t>
      </w:r>
      <w:r w:rsidRPr="00282AC9">
        <w:rPr>
          <w:rtl/>
        </w:rPr>
        <w:t>د المفهوم القاضي بحقّ الفرد ح</w:t>
      </w:r>
      <w:r w:rsidR="0088514C" w:rsidRPr="00282AC9">
        <w:rPr>
          <w:rFonts w:hint="cs"/>
          <w:rtl/>
        </w:rPr>
        <w:t>َ</w:t>
      </w:r>
      <w:r w:rsidRPr="00282AC9">
        <w:rPr>
          <w:rtl/>
        </w:rPr>
        <w:t>ص</w:t>
      </w:r>
      <w:r w:rsidR="0088514C" w:rsidRPr="00282AC9">
        <w:rPr>
          <w:rFonts w:hint="cs"/>
          <w:rtl/>
        </w:rPr>
        <w:t>ْ</w:t>
      </w:r>
      <w:r w:rsidRPr="00282AC9">
        <w:rPr>
          <w:rtl/>
        </w:rPr>
        <w:t>راً في التصر</w:t>
      </w:r>
      <w:r w:rsidR="0088514C" w:rsidRPr="00282AC9">
        <w:rPr>
          <w:rFonts w:hint="cs"/>
          <w:rtl/>
        </w:rPr>
        <w:t>ُّ</w:t>
      </w:r>
      <w:r w:rsidRPr="00282AC9">
        <w:rPr>
          <w:rtl/>
        </w:rPr>
        <w:t>ف بأمواله وممتلكاته</w:t>
      </w:r>
      <w:r w:rsidR="0088514C" w:rsidRPr="00282AC9">
        <w:rPr>
          <w:rFonts w:hint="cs"/>
          <w:rtl/>
        </w:rPr>
        <w:t xml:space="preserve">، </w:t>
      </w:r>
      <w:r w:rsidRPr="00282AC9">
        <w:rPr>
          <w:rtl/>
        </w:rPr>
        <w:t>ومنها</w:t>
      </w:r>
      <w:r w:rsidR="0088514C" w:rsidRPr="00282AC9">
        <w:rPr>
          <w:rFonts w:hint="cs"/>
          <w:rtl/>
        </w:rPr>
        <w:t>:</w:t>
      </w:r>
      <w:r w:rsidRPr="00282AC9">
        <w:rPr>
          <w:rtl/>
        </w:rPr>
        <w:t xml:space="preserve"> الحديث الوارد عن رسول الله</w:t>
      </w:r>
      <w:r w:rsidR="009A2A04" w:rsidRPr="00282AC9">
        <w:rPr>
          <w:rFonts w:cs="Mosawi"/>
          <w:sz w:val="22"/>
          <w:szCs w:val="22"/>
          <w:rtl/>
        </w:rPr>
        <w:t>|</w:t>
      </w:r>
      <w:r w:rsidRPr="00282AC9">
        <w:rPr>
          <w:rtl/>
        </w:rPr>
        <w:t xml:space="preserve"> أنه قال: </w:t>
      </w:r>
      <w:r w:rsidRPr="00282AC9">
        <w:rPr>
          <w:sz w:val="24"/>
          <w:szCs w:val="24"/>
          <w:rtl/>
        </w:rPr>
        <w:t>«</w:t>
      </w:r>
      <w:r w:rsidRPr="00282AC9">
        <w:rPr>
          <w:rtl/>
        </w:rPr>
        <w:t>الناس مسلّ</w:t>
      </w:r>
      <w:r w:rsidR="0088514C" w:rsidRPr="00282AC9">
        <w:rPr>
          <w:rFonts w:hint="cs"/>
          <w:rtl/>
        </w:rPr>
        <w:t>َ</w:t>
      </w:r>
      <w:r w:rsidRPr="00282AC9">
        <w:rPr>
          <w:rtl/>
        </w:rPr>
        <w:t>طون على أموالهم</w:t>
      </w:r>
      <w:r w:rsidRPr="00282AC9">
        <w:rPr>
          <w:sz w:val="24"/>
          <w:szCs w:val="24"/>
          <w:rtl/>
        </w:rPr>
        <w:t>»</w:t>
      </w:r>
      <w:r w:rsidRPr="00282AC9">
        <w:rPr>
          <w:vertAlign w:val="superscript"/>
          <w:rtl/>
        </w:rPr>
        <w:t>(</w:t>
      </w:r>
      <w:r w:rsidRPr="00282AC9">
        <w:rPr>
          <w:vertAlign w:val="superscript"/>
          <w:rtl/>
        </w:rPr>
        <w:endnoteReference w:id="225"/>
      </w:r>
      <w:r w:rsidRPr="00282AC9">
        <w:rPr>
          <w:vertAlign w:val="superscript"/>
          <w:rtl/>
        </w:rPr>
        <w:t>)</w:t>
      </w:r>
      <w:r w:rsidR="00AC150C" w:rsidRPr="00282AC9">
        <w:rPr>
          <w:rFonts w:hint="cs"/>
          <w:rtl/>
        </w:rPr>
        <w:t>.</w:t>
      </w:r>
      <w:r w:rsidRPr="00282AC9">
        <w:rPr>
          <w:rtl/>
        </w:rPr>
        <w:t xml:space="preserve"> ورغم أنّ هذا الحديث مرس</w:t>
      </w:r>
      <w:r w:rsidR="00AC150C" w:rsidRPr="00282AC9">
        <w:rPr>
          <w:rFonts w:hint="cs"/>
          <w:rtl/>
        </w:rPr>
        <w:t>َ</w:t>
      </w:r>
      <w:r w:rsidRPr="00282AC9">
        <w:rPr>
          <w:rtl/>
        </w:rPr>
        <w:t>ل</w:t>
      </w:r>
      <w:r w:rsidR="00AC150C" w:rsidRPr="00282AC9">
        <w:rPr>
          <w:rFonts w:hint="cs"/>
          <w:rtl/>
        </w:rPr>
        <w:t>ٌ</w:t>
      </w:r>
      <w:r w:rsidRPr="00282AC9">
        <w:rPr>
          <w:rtl/>
        </w:rPr>
        <w:t xml:space="preserve"> عند فقهاء الحديث من ناحية السند، إ</w:t>
      </w:r>
      <w:r w:rsidR="00EE6DBA" w:rsidRPr="00282AC9">
        <w:rPr>
          <w:rtl/>
        </w:rPr>
        <w:t>لاّ</w:t>
      </w:r>
      <w:r w:rsidRPr="00282AC9">
        <w:rPr>
          <w:rtl/>
        </w:rPr>
        <w:t xml:space="preserve"> أنّه لقي قبولاً عند العلماء والفقهاء</w:t>
      </w:r>
      <w:r w:rsidR="00AC150C" w:rsidRPr="00282AC9">
        <w:rPr>
          <w:rFonts w:hint="cs"/>
          <w:rtl/>
        </w:rPr>
        <w:t>،</w:t>
      </w:r>
      <w:r w:rsidRPr="00282AC9">
        <w:rPr>
          <w:rtl/>
        </w:rPr>
        <w:t xml:space="preserve"> الذين عملوا به</w:t>
      </w:r>
      <w:r w:rsidR="00AC150C" w:rsidRPr="00282AC9">
        <w:rPr>
          <w:rFonts w:hint="cs"/>
          <w:rtl/>
        </w:rPr>
        <w:t>،</w:t>
      </w:r>
      <w:r w:rsidRPr="00282AC9">
        <w:rPr>
          <w:rtl/>
        </w:rPr>
        <w:t xml:space="preserve"> واستندوا إليه في مختلف أبواب الفقه، بل ارتقى إلى أن يكون قاعدة</w:t>
      </w:r>
      <w:r w:rsidR="00AC150C" w:rsidRPr="00282AC9">
        <w:rPr>
          <w:rFonts w:hint="cs"/>
          <w:rtl/>
        </w:rPr>
        <w:t>ً</w:t>
      </w:r>
      <w:r w:rsidRPr="00282AC9">
        <w:rPr>
          <w:rtl/>
        </w:rPr>
        <w:t xml:space="preserve"> من القواعد الفقهية التي تتفر</w:t>
      </w:r>
      <w:r w:rsidR="00AC150C" w:rsidRPr="00282AC9">
        <w:rPr>
          <w:rFonts w:hint="cs"/>
          <w:rtl/>
        </w:rPr>
        <w:t>َّ</w:t>
      </w:r>
      <w:r w:rsidRPr="00282AC9">
        <w:rPr>
          <w:rtl/>
        </w:rPr>
        <w:t xml:space="preserve">ع عنها المسائل والأحكام. </w:t>
      </w:r>
    </w:p>
    <w:p w:rsidR="009C6A22" w:rsidRPr="00282AC9" w:rsidRDefault="009C6A22" w:rsidP="00106AA7">
      <w:pPr>
        <w:rPr>
          <w:rtl/>
        </w:rPr>
      </w:pPr>
      <w:r w:rsidRPr="00282AC9">
        <w:rPr>
          <w:rtl/>
        </w:rPr>
        <w:t>وورد عنه</w:t>
      </w:r>
      <w:r w:rsidR="009A2A04" w:rsidRPr="00282AC9">
        <w:rPr>
          <w:rFonts w:cs="Mosawi"/>
          <w:sz w:val="22"/>
          <w:szCs w:val="22"/>
          <w:rtl/>
        </w:rPr>
        <w:t>|</w:t>
      </w:r>
      <w:r w:rsidRPr="00282AC9">
        <w:rPr>
          <w:rtl/>
        </w:rPr>
        <w:t xml:space="preserve"> أنه قال: </w:t>
      </w:r>
      <w:r w:rsidRPr="00282AC9">
        <w:rPr>
          <w:sz w:val="24"/>
          <w:szCs w:val="24"/>
          <w:rtl/>
        </w:rPr>
        <w:t>«</w:t>
      </w:r>
      <w:r w:rsidR="00AC150C" w:rsidRPr="00282AC9">
        <w:rPr>
          <w:rtl/>
        </w:rPr>
        <w:t>ح</w:t>
      </w:r>
      <w:r w:rsidR="00AC150C" w:rsidRPr="00282AC9">
        <w:rPr>
          <w:rFonts w:hint="cs"/>
          <w:rtl/>
        </w:rPr>
        <w:t>ُ</w:t>
      </w:r>
      <w:r w:rsidR="00AC150C" w:rsidRPr="00282AC9">
        <w:rPr>
          <w:rtl/>
        </w:rPr>
        <w:t>ر</w:t>
      </w:r>
      <w:r w:rsidR="00AC150C" w:rsidRPr="00282AC9">
        <w:rPr>
          <w:rFonts w:hint="cs"/>
          <w:rtl/>
        </w:rPr>
        <w:t>ْ</w:t>
      </w:r>
      <w:r w:rsidR="00AC150C" w:rsidRPr="00282AC9">
        <w:rPr>
          <w:rtl/>
        </w:rPr>
        <w:t>مةُ مال المسلم كح</w:t>
      </w:r>
      <w:r w:rsidR="00AC150C" w:rsidRPr="00282AC9">
        <w:rPr>
          <w:rFonts w:hint="cs"/>
          <w:rtl/>
        </w:rPr>
        <w:t>ُ</w:t>
      </w:r>
      <w:r w:rsidR="00AC150C" w:rsidRPr="00282AC9">
        <w:rPr>
          <w:rtl/>
        </w:rPr>
        <w:t>ر</w:t>
      </w:r>
      <w:r w:rsidR="00AC150C" w:rsidRPr="00282AC9">
        <w:rPr>
          <w:rFonts w:hint="cs"/>
          <w:rtl/>
        </w:rPr>
        <w:t>ْ</w:t>
      </w:r>
      <w:r w:rsidR="00AC150C" w:rsidRPr="00282AC9">
        <w:rPr>
          <w:rtl/>
        </w:rPr>
        <w:t>مة دمه</w:t>
      </w:r>
      <w:r w:rsidRPr="00282AC9">
        <w:rPr>
          <w:sz w:val="24"/>
          <w:szCs w:val="24"/>
          <w:rtl/>
        </w:rPr>
        <w:t>»</w:t>
      </w:r>
      <w:r w:rsidRPr="00282AC9">
        <w:rPr>
          <w:vertAlign w:val="superscript"/>
          <w:rtl/>
        </w:rPr>
        <w:t>(</w:t>
      </w:r>
      <w:r w:rsidRPr="00282AC9">
        <w:rPr>
          <w:vertAlign w:val="superscript"/>
          <w:rtl/>
        </w:rPr>
        <w:endnoteReference w:id="226"/>
      </w:r>
      <w:r w:rsidRPr="00282AC9">
        <w:rPr>
          <w:vertAlign w:val="superscript"/>
          <w:rtl/>
        </w:rPr>
        <w:t>)</w:t>
      </w:r>
      <w:r w:rsidR="00AC150C" w:rsidRPr="00282AC9">
        <w:rPr>
          <w:rFonts w:hint="cs"/>
          <w:rtl/>
        </w:rPr>
        <w:t>.</w:t>
      </w:r>
      <w:r w:rsidRPr="00282AC9">
        <w:rPr>
          <w:rtl/>
        </w:rPr>
        <w:t xml:space="preserve"> وفي ذلك إشارة</w:t>
      </w:r>
      <w:r w:rsidR="00AC150C" w:rsidRPr="00282AC9">
        <w:rPr>
          <w:rFonts w:hint="cs"/>
          <w:rtl/>
        </w:rPr>
        <w:t>ٌ</w:t>
      </w:r>
      <w:r w:rsidRPr="00282AC9">
        <w:rPr>
          <w:rtl/>
        </w:rPr>
        <w:t xml:space="preserve"> عميقة إلى ق</w:t>
      </w:r>
      <w:r w:rsidR="00AC150C" w:rsidRPr="00282AC9">
        <w:rPr>
          <w:rFonts w:hint="cs"/>
          <w:rtl/>
        </w:rPr>
        <w:t>ُ</w:t>
      </w:r>
      <w:r w:rsidRPr="00282AC9">
        <w:rPr>
          <w:rtl/>
        </w:rPr>
        <w:t>د</w:t>
      </w:r>
      <w:r w:rsidR="00AC150C" w:rsidRPr="00282AC9">
        <w:rPr>
          <w:rFonts w:hint="cs"/>
          <w:rtl/>
        </w:rPr>
        <w:t>ْ</w:t>
      </w:r>
      <w:r w:rsidRPr="00282AC9">
        <w:rPr>
          <w:rtl/>
        </w:rPr>
        <w:t>سية الحقوق المالية الفردية، على نحو</w:t>
      </w:r>
      <w:r w:rsidR="00AC150C" w:rsidRPr="00282AC9">
        <w:rPr>
          <w:rFonts w:hint="cs"/>
          <w:rtl/>
        </w:rPr>
        <w:t>ٍ</w:t>
      </w:r>
      <w:r w:rsidRPr="00282AC9">
        <w:rPr>
          <w:rtl/>
        </w:rPr>
        <w:t xml:space="preserve"> يساويها بحرمة الدماء</w:t>
      </w:r>
      <w:r w:rsidR="00AC150C" w:rsidRPr="00282AC9">
        <w:rPr>
          <w:rFonts w:hint="cs"/>
          <w:rtl/>
        </w:rPr>
        <w:t>؛</w:t>
      </w:r>
      <w:r w:rsidRPr="00282AC9">
        <w:rPr>
          <w:rtl/>
        </w:rPr>
        <w:t xml:space="preserve"> فكما أنّه لا يحقّ لأحدٍ التصر</w:t>
      </w:r>
      <w:r w:rsidR="00AC150C" w:rsidRPr="00282AC9">
        <w:rPr>
          <w:rFonts w:hint="cs"/>
          <w:rtl/>
        </w:rPr>
        <w:t>ُّ</w:t>
      </w:r>
      <w:r w:rsidRPr="00282AC9">
        <w:rPr>
          <w:rtl/>
        </w:rPr>
        <w:t>ف بدماء الناس</w:t>
      </w:r>
      <w:r w:rsidR="00AC150C" w:rsidRPr="00282AC9">
        <w:rPr>
          <w:rFonts w:hint="cs"/>
          <w:rtl/>
        </w:rPr>
        <w:t>،</w:t>
      </w:r>
      <w:r w:rsidRPr="00282AC9">
        <w:rPr>
          <w:rtl/>
        </w:rPr>
        <w:t xml:space="preserve"> بأيّ صورة</w:t>
      </w:r>
      <w:r w:rsidR="00AC150C" w:rsidRPr="00282AC9">
        <w:rPr>
          <w:rFonts w:hint="cs"/>
          <w:rtl/>
        </w:rPr>
        <w:t>ٍ</w:t>
      </w:r>
      <w:r w:rsidRPr="00282AC9">
        <w:rPr>
          <w:rtl/>
        </w:rPr>
        <w:t xml:space="preserve"> من الص</w:t>
      </w:r>
      <w:r w:rsidR="00AC150C" w:rsidRPr="00282AC9">
        <w:rPr>
          <w:rFonts w:hint="cs"/>
          <w:rtl/>
        </w:rPr>
        <w:t>ُّ</w:t>
      </w:r>
      <w:r w:rsidRPr="00282AC9">
        <w:rPr>
          <w:rtl/>
        </w:rPr>
        <w:t>و</w:t>
      </w:r>
      <w:r w:rsidR="00AC150C" w:rsidRPr="00282AC9">
        <w:rPr>
          <w:rFonts w:hint="cs"/>
          <w:rtl/>
        </w:rPr>
        <w:t>َ</w:t>
      </w:r>
      <w:r w:rsidRPr="00282AC9">
        <w:rPr>
          <w:rtl/>
        </w:rPr>
        <w:t xml:space="preserve">ر، فكذلك الحال مع أموالهم </w:t>
      </w:r>
      <w:r w:rsidRPr="00282AC9">
        <w:rPr>
          <w:rtl/>
        </w:rPr>
        <w:lastRenderedPageBreak/>
        <w:t>وممتلكاتهم.</w:t>
      </w:r>
    </w:p>
    <w:p w:rsidR="009C6A22" w:rsidRPr="00282AC9" w:rsidRDefault="009C6A22" w:rsidP="00106AA7">
      <w:pPr>
        <w:rPr>
          <w:rtl/>
        </w:rPr>
      </w:pPr>
      <w:r w:rsidRPr="00282AC9">
        <w:rPr>
          <w:rtl/>
        </w:rPr>
        <w:t>وعنه</w:t>
      </w:r>
      <w:r w:rsidR="009A2A04" w:rsidRPr="00282AC9">
        <w:rPr>
          <w:rFonts w:cs="Mosawi"/>
          <w:sz w:val="22"/>
          <w:szCs w:val="22"/>
          <w:rtl/>
        </w:rPr>
        <w:t>|</w:t>
      </w:r>
      <w:r w:rsidRPr="00282AC9">
        <w:rPr>
          <w:rFonts w:hint="cs"/>
          <w:rtl/>
        </w:rPr>
        <w:t xml:space="preserve">: </w:t>
      </w:r>
      <w:r w:rsidRPr="00282AC9">
        <w:rPr>
          <w:sz w:val="24"/>
          <w:szCs w:val="24"/>
          <w:rtl/>
        </w:rPr>
        <w:t>«</w:t>
      </w:r>
      <w:r w:rsidRPr="00282AC9">
        <w:rPr>
          <w:rtl/>
        </w:rPr>
        <w:t>لا يحلّ مال</w:t>
      </w:r>
      <w:r w:rsidR="00AC150C" w:rsidRPr="00282AC9">
        <w:rPr>
          <w:rFonts w:hint="cs"/>
          <w:rtl/>
        </w:rPr>
        <w:t>ُ</w:t>
      </w:r>
      <w:r w:rsidRPr="00282AC9">
        <w:rPr>
          <w:rtl/>
        </w:rPr>
        <w:t xml:space="preserve"> امرئ</w:t>
      </w:r>
      <w:r w:rsidR="00AC150C" w:rsidRPr="00282AC9">
        <w:rPr>
          <w:rFonts w:hint="cs"/>
          <w:rtl/>
        </w:rPr>
        <w:t>ٍ</w:t>
      </w:r>
      <w:r w:rsidRPr="00282AC9">
        <w:rPr>
          <w:rtl/>
        </w:rPr>
        <w:t xml:space="preserve"> مسلم</w:t>
      </w:r>
      <w:r w:rsidR="00AC150C" w:rsidRPr="00282AC9">
        <w:rPr>
          <w:rFonts w:hint="cs"/>
          <w:rtl/>
        </w:rPr>
        <w:t>ٍ</w:t>
      </w:r>
      <w:r w:rsidRPr="00282AC9">
        <w:rPr>
          <w:rtl/>
        </w:rPr>
        <w:t xml:space="preserve"> إ</w:t>
      </w:r>
      <w:r w:rsidR="00EE6DBA" w:rsidRPr="00282AC9">
        <w:rPr>
          <w:rtl/>
        </w:rPr>
        <w:t>لاّ</w:t>
      </w:r>
      <w:r w:rsidRPr="00282AC9">
        <w:rPr>
          <w:rtl/>
        </w:rPr>
        <w:t xml:space="preserve"> بطيب نفس</w:t>
      </w:r>
      <w:r w:rsidR="00AC150C" w:rsidRPr="00282AC9">
        <w:rPr>
          <w:rFonts w:hint="cs"/>
          <w:rtl/>
        </w:rPr>
        <w:t>ٍ</w:t>
      </w:r>
      <w:r w:rsidRPr="00282AC9">
        <w:rPr>
          <w:rtl/>
        </w:rPr>
        <w:t xml:space="preserve"> منه</w:t>
      </w:r>
      <w:r w:rsidRPr="00282AC9">
        <w:rPr>
          <w:sz w:val="24"/>
          <w:szCs w:val="24"/>
          <w:rtl/>
        </w:rPr>
        <w:t>»</w:t>
      </w:r>
      <w:r w:rsidRPr="00282AC9">
        <w:rPr>
          <w:vertAlign w:val="superscript"/>
          <w:rtl/>
        </w:rPr>
        <w:t>(</w:t>
      </w:r>
      <w:r w:rsidRPr="00282AC9">
        <w:rPr>
          <w:vertAlign w:val="superscript"/>
          <w:rtl/>
        </w:rPr>
        <w:endnoteReference w:id="227"/>
      </w:r>
      <w:r w:rsidRPr="00282AC9">
        <w:rPr>
          <w:vertAlign w:val="superscript"/>
          <w:rtl/>
        </w:rPr>
        <w:t>)</w:t>
      </w:r>
      <w:r w:rsidRPr="00282AC9">
        <w:rPr>
          <w:rtl/>
        </w:rPr>
        <w:t>.</w:t>
      </w:r>
    </w:p>
    <w:p w:rsidR="00BD4596" w:rsidRPr="00282AC9" w:rsidRDefault="009C6A22" w:rsidP="00106AA7">
      <w:pPr>
        <w:rPr>
          <w:rtl/>
        </w:rPr>
      </w:pPr>
      <w:r w:rsidRPr="00282AC9">
        <w:rPr>
          <w:rtl/>
        </w:rPr>
        <w:t>وجاء عن الإمام جعفر الصادق</w:t>
      </w:r>
      <w:r w:rsidR="009A2A04" w:rsidRPr="00282AC9">
        <w:rPr>
          <w:rFonts w:cs="Mosawi" w:hint="cs"/>
          <w:sz w:val="22"/>
          <w:szCs w:val="22"/>
          <w:rtl/>
        </w:rPr>
        <w:t>×</w:t>
      </w:r>
      <w:r w:rsidRPr="00282AC9">
        <w:rPr>
          <w:rtl/>
        </w:rPr>
        <w:t xml:space="preserve"> أنّه قال: </w:t>
      </w:r>
      <w:r w:rsidRPr="00282AC9">
        <w:rPr>
          <w:sz w:val="24"/>
          <w:szCs w:val="24"/>
          <w:rtl/>
        </w:rPr>
        <w:t>«</w:t>
      </w:r>
      <w:r w:rsidRPr="00282AC9">
        <w:rPr>
          <w:rtl/>
        </w:rPr>
        <w:t>إنّ لصاحب المال أن يعمل بماله ما شاء</w:t>
      </w:r>
      <w:r w:rsidR="00AC150C" w:rsidRPr="00282AC9">
        <w:rPr>
          <w:rFonts w:hint="cs"/>
          <w:rtl/>
        </w:rPr>
        <w:t>،</w:t>
      </w:r>
      <w:r w:rsidRPr="00282AC9">
        <w:rPr>
          <w:rtl/>
        </w:rPr>
        <w:t xml:space="preserve"> ما دام حيّاً</w:t>
      </w:r>
      <w:r w:rsidR="00AC150C" w:rsidRPr="00282AC9">
        <w:rPr>
          <w:rFonts w:hint="cs"/>
          <w:rtl/>
        </w:rPr>
        <w:t>؛</w:t>
      </w:r>
      <w:r w:rsidRPr="00282AC9">
        <w:rPr>
          <w:rtl/>
        </w:rPr>
        <w:t xml:space="preserve"> إن</w:t>
      </w:r>
      <w:r w:rsidR="00AC150C" w:rsidRPr="00282AC9">
        <w:rPr>
          <w:rFonts w:hint="cs"/>
          <w:rtl/>
        </w:rPr>
        <w:t>ْ</w:t>
      </w:r>
      <w:r w:rsidRPr="00282AC9">
        <w:rPr>
          <w:rtl/>
        </w:rPr>
        <w:t xml:space="preserve"> شاء و</w:t>
      </w:r>
      <w:r w:rsidR="00AC150C" w:rsidRPr="00282AC9">
        <w:rPr>
          <w:rFonts w:hint="cs"/>
          <w:rtl/>
        </w:rPr>
        <w:t>َ</w:t>
      </w:r>
      <w:r w:rsidRPr="00282AC9">
        <w:rPr>
          <w:rtl/>
        </w:rPr>
        <w:t>ه</w:t>
      </w:r>
      <w:r w:rsidR="00AC150C" w:rsidRPr="00282AC9">
        <w:rPr>
          <w:rFonts w:hint="cs"/>
          <w:rtl/>
        </w:rPr>
        <w:t>َ</w:t>
      </w:r>
      <w:r w:rsidRPr="00282AC9">
        <w:rPr>
          <w:rtl/>
        </w:rPr>
        <w:t>به</w:t>
      </w:r>
      <w:r w:rsidR="00AC150C" w:rsidRPr="00282AC9">
        <w:rPr>
          <w:rFonts w:hint="cs"/>
          <w:rtl/>
        </w:rPr>
        <w:t>؛</w:t>
      </w:r>
      <w:r w:rsidRPr="00282AC9">
        <w:rPr>
          <w:rtl/>
        </w:rPr>
        <w:t xml:space="preserve"> وإن</w:t>
      </w:r>
      <w:r w:rsidR="00AC150C" w:rsidRPr="00282AC9">
        <w:rPr>
          <w:rFonts w:hint="cs"/>
          <w:rtl/>
        </w:rPr>
        <w:t>ْ</w:t>
      </w:r>
      <w:r w:rsidRPr="00282AC9">
        <w:rPr>
          <w:rtl/>
        </w:rPr>
        <w:t xml:space="preserve"> شاء تصدّ</w:t>
      </w:r>
      <w:r w:rsidR="00AC150C" w:rsidRPr="00282AC9">
        <w:rPr>
          <w:rFonts w:hint="cs"/>
          <w:rtl/>
        </w:rPr>
        <w:t>َ</w:t>
      </w:r>
      <w:r w:rsidRPr="00282AC9">
        <w:rPr>
          <w:rtl/>
        </w:rPr>
        <w:t>ق به</w:t>
      </w:r>
      <w:r w:rsidR="00AC150C" w:rsidRPr="00282AC9">
        <w:rPr>
          <w:rFonts w:hint="cs"/>
          <w:rtl/>
        </w:rPr>
        <w:t>؛</w:t>
      </w:r>
      <w:r w:rsidRPr="00282AC9">
        <w:rPr>
          <w:rtl/>
        </w:rPr>
        <w:t xml:space="preserve"> وإن</w:t>
      </w:r>
      <w:r w:rsidR="00AC150C" w:rsidRPr="00282AC9">
        <w:rPr>
          <w:rFonts w:hint="cs"/>
          <w:rtl/>
        </w:rPr>
        <w:t>ْ</w:t>
      </w:r>
      <w:r w:rsidRPr="00282AC9">
        <w:rPr>
          <w:rtl/>
        </w:rPr>
        <w:t xml:space="preserve"> شاء تركه إلى أن يأتيه الموت</w:t>
      </w:r>
      <w:r w:rsidRPr="00282AC9">
        <w:rPr>
          <w:sz w:val="24"/>
          <w:szCs w:val="24"/>
          <w:rtl/>
        </w:rPr>
        <w:t>»</w:t>
      </w:r>
      <w:r w:rsidRPr="00282AC9">
        <w:rPr>
          <w:vertAlign w:val="superscript"/>
          <w:rtl/>
        </w:rPr>
        <w:t>(</w:t>
      </w:r>
      <w:r w:rsidRPr="00282AC9">
        <w:rPr>
          <w:vertAlign w:val="superscript"/>
          <w:rtl/>
        </w:rPr>
        <w:endnoteReference w:id="228"/>
      </w:r>
      <w:r w:rsidRPr="00282AC9">
        <w:rPr>
          <w:vertAlign w:val="superscript"/>
          <w:rtl/>
        </w:rPr>
        <w:t>)</w:t>
      </w:r>
      <w:r w:rsidR="00AC150C" w:rsidRPr="00282AC9">
        <w:rPr>
          <w:rFonts w:hint="cs"/>
          <w:rtl/>
        </w:rPr>
        <w:t>.</w:t>
      </w:r>
      <w:r w:rsidRPr="00282AC9">
        <w:rPr>
          <w:rtl/>
        </w:rPr>
        <w:t xml:space="preserve"> ويؤكّ</w:t>
      </w:r>
      <w:r w:rsidR="00AC150C" w:rsidRPr="00282AC9">
        <w:rPr>
          <w:rFonts w:hint="cs"/>
          <w:rtl/>
        </w:rPr>
        <w:t>ِ</w:t>
      </w:r>
      <w:r w:rsidRPr="00282AC9">
        <w:rPr>
          <w:rtl/>
        </w:rPr>
        <w:t>د هذا النص</w:t>
      </w:r>
      <w:r w:rsidR="00BD4596" w:rsidRPr="00282AC9">
        <w:rPr>
          <w:rFonts w:hint="cs"/>
          <w:rtl/>
        </w:rPr>
        <w:t>ّ</w:t>
      </w:r>
      <w:r w:rsidRPr="00282AC9">
        <w:rPr>
          <w:rtl/>
        </w:rPr>
        <w:t xml:space="preserve"> سلطة الفرد وحقّ</w:t>
      </w:r>
      <w:r w:rsidR="00BD4596" w:rsidRPr="00282AC9">
        <w:rPr>
          <w:rFonts w:hint="cs"/>
          <w:rtl/>
        </w:rPr>
        <w:t>َ</w:t>
      </w:r>
      <w:r w:rsidRPr="00282AC9">
        <w:rPr>
          <w:rtl/>
        </w:rPr>
        <w:t>ه في التصر</w:t>
      </w:r>
      <w:r w:rsidR="00BD4596" w:rsidRPr="00282AC9">
        <w:rPr>
          <w:rFonts w:hint="cs"/>
          <w:rtl/>
        </w:rPr>
        <w:t>ُّ</w:t>
      </w:r>
      <w:r w:rsidRPr="00282AC9">
        <w:rPr>
          <w:rtl/>
        </w:rPr>
        <w:t>ف بماله ما دام على قيد الحياة، حت</w:t>
      </w:r>
      <w:r w:rsidR="00BD4596" w:rsidRPr="00282AC9">
        <w:rPr>
          <w:rFonts w:hint="cs"/>
          <w:rtl/>
        </w:rPr>
        <w:t>ّ</w:t>
      </w:r>
      <w:r w:rsidRPr="00282AC9">
        <w:rPr>
          <w:rtl/>
        </w:rPr>
        <w:t xml:space="preserve">ى إذا ما </w:t>
      </w:r>
      <w:r w:rsidR="00BD4596" w:rsidRPr="00282AC9">
        <w:rPr>
          <w:rtl/>
        </w:rPr>
        <w:t>توفي انتقل ذلك الحقّ إلى ورثته.</w:t>
      </w:r>
    </w:p>
    <w:p w:rsidR="00BD4596" w:rsidRPr="00282AC9" w:rsidRDefault="009C6A22" w:rsidP="00106AA7">
      <w:pPr>
        <w:rPr>
          <w:rtl/>
        </w:rPr>
      </w:pPr>
      <w:r w:rsidRPr="00282AC9">
        <w:rPr>
          <w:rtl/>
        </w:rPr>
        <w:t>وورد في رواية</w:t>
      </w:r>
      <w:r w:rsidR="00BD4596" w:rsidRPr="00282AC9">
        <w:rPr>
          <w:rFonts w:hint="cs"/>
          <w:rtl/>
        </w:rPr>
        <w:t>ٍ</w:t>
      </w:r>
      <w:r w:rsidRPr="00282AC9">
        <w:rPr>
          <w:rtl/>
        </w:rPr>
        <w:t xml:space="preserve"> أخرى عنه</w:t>
      </w:r>
      <w:r w:rsidR="009A2A04" w:rsidRPr="00282AC9">
        <w:rPr>
          <w:rFonts w:cs="Mosawi"/>
          <w:sz w:val="22"/>
          <w:szCs w:val="22"/>
          <w:rtl/>
        </w:rPr>
        <w:t>×</w:t>
      </w:r>
      <w:r w:rsidRPr="00282AC9">
        <w:rPr>
          <w:rtl/>
        </w:rPr>
        <w:t xml:space="preserve"> أنه قال: </w:t>
      </w:r>
      <w:r w:rsidRPr="00282AC9">
        <w:rPr>
          <w:sz w:val="24"/>
          <w:szCs w:val="24"/>
          <w:rtl/>
        </w:rPr>
        <w:t>«</w:t>
      </w:r>
      <w:r w:rsidRPr="00282AC9">
        <w:rPr>
          <w:rtl/>
        </w:rPr>
        <w:t>صاحب المال أحقّ</w:t>
      </w:r>
      <w:r w:rsidR="00BD4596" w:rsidRPr="00282AC9">
        <w:rPr>
          <w:rFonts w:hint="cs"/>
          <w:rtl/>
        </w:rPr>
        <w:t>ُ</w:t>
      </w:r>
      <w:r w:rsidRPr="00282AC9">
        <w:rPr>
          <w:rtl/>
        </w:rPr>
        <w:t xml:space="preserve"> بماله ما دام فيه شيء</w:t>
      </w:r>
      <w:r w:rsidR="00BD4596" w:rsidRPr="00282AC9">
        <w:rPr>
          <w:rFonts w:hint="cs"/>
          <w:rtl/>
        </w:rPr>
        <w:t>ٌ</w:t>
      </w:r>
      <w:r w:rsidRPr="00282AC9">
        <w:rPr>
          <w:rtl/>
        </w:rPr>
        <w:t xml:space="preserve"> من الروح</w:t>
      </w:r>
      <w:r w:rsidR="00BD4596" w:rsidRPr="00282AC9">
        <w:rPr>
          <w:rFonts w:hint="cs"/>
          <w:rtl/>
        </w:rPr>
        <w:t>،</w:t>
      </w:r>
      <w:r w:rsidRPr="00282AC9">
        <w:rPr>
          <w:rtl/>
        </w:rPr>
        <w:t xml:space="preserve"> يضعه حيث شاء</w:t>
      </w:r>
      <w:r w:rsidRPr="00282AC9">
        <w:rPr>
          <w:sz w:val="24"/>
          <w:szCs w:val="24"/>
          <w:rtl/>
        </w:rPr>
        <w:t>»</w:t>
      </w:r>
      <w:r w:rsidRPr="00282AC9">
        <w:rPr>
          <w:vertAlign w:val="superscript"/>
          <w:rtl/>
        </w:rPr>
        <w:t>(</w:t>
      </w:r>
      <w:r w:rsidRPr="00282AC9">
        <w:rPr>
          <w:vertAlign w:val="superscript"/>
          <w:rtl/>
        </w:rPr>
        <w:endnoteReference w:id="229"/>
      </w:r>
      <w:r w:rsidRPr="00282AC9">
        <w:rPr>
          <w:vertAlign w:val="superscript"/>
          <w:rtl/>
        </w:rPr>
        <w:t>)</w:t>
      </w:r>
      <w:r w:rsidR="00BD4596" w:rsidRPr="00282AC9">
        <w:rPr>
          <w:rtl/>
        </w:rPr>
        <w:t>.</w:t>
      </w:r>
    </w:p>
    <w:p w:rsidR="009C6A22" w:rsidRPr="00282AC9" w:rsidRDefault="009C6A22" w:rsidP="00106AA7">
      <w:pPr>
        <w:rPr>
          <w:rtl/>
        </w:rPr>
      </w:pPr>
      <w:r w:rsidRPr="00282AC9">
        <w:rPr>
          <w:rtl/>
        </w:rPr>
        <w:t>وبذلك تشك</w:t>
      </w:r>
      <w:r w:rsidR="00BD4596" w:rsidRPr="00282AC9">
        <w:rPr>
          <w:rFonts w:hint="cs"/>
          <w:rtl/>
        </w:rPr>
        <w:t>ِّ</w:t>
      </w:r>
      <w:r w:rsidRPr="00282AC9">
        <w:rPr>
          <w:rtl/>
        </w:rPr>
        <w:t>ل سلطة الفرد على ماله وممتلكاته قاعدة</w:t>
      </w:r>
      <w:r w:rsidR="00BD4596" w:rsidRPr="00282AC9">
        <w:rPr>
          <w:rFonts w:hint="cs"/>
          <w:rtl/>
        </w:rPr>
        <w:t>ً</w:t>
      </w:r>
      <w:r w:rsidRPr="00282AC9">
        <w:rPr>
          <w:rtl/>
        </w:rPr>
        <w:t xml:space="preserve"> عام</w:t>
      </w:r>
      <w:r w:rsidR="00BD4596" w:rsidRPr="00282AC9">
        <w:rPr>
          <w:rFonts w:hint="cs"/>
          <w:rtl/>
        </w:rPr>
        <w:t>ّ</w:t>
      </w:r>
      <w:r w:rsidRPr="00282AC9">
        <w:rPr>
          <w:rtl/>
        </w:rPr>
        <w:t>ة</w:t>
      </w:r>
      <w:r w:rsidR="00BD4596" w:rsidRPr="00282AC9">
        <w:rPr>
          <w:rFonts w:hint="cs"/>
          <w:rtl/>
        </w:rPr>
        <w:t>،</w:t>
      </w:r>
      <w:r w:rsidRPr="00282AC9">
        <w:rPr>
          <w:rtl/>
        </w:rPr>
        <w:t xml:space="preserve"> تجمع عليها الشرائع والأديان والقوانين. </w:t>
      </w:r>
    </w:p>
    <w:p w:rsidR="009C6A22" w:rsidRPr="00282AC9" w:rsidRDefault="009C6A22" w:rsidP="00106AA7">
      <w:pPr>
        <w:rPr>
          <w:rtl/>
        </w:rPr>
      </w:pPr>
      <w:r w:rsidRPr="00282AC9">
        <w:rPr>
          <w:rtl/>
        </w:rPr>
        <w:t>وهنالك استثناءات</w:t>
      </w:r>
      <w:r w:rsidR="00BD4596" w:rsidRPr="00282AC9">
        <w:rPr>
          <w:rFonts w:hint="cs"/>
          <w:rtl/>
        </w:rPr>
        <w:t>ٌ</w:t>
      </w:r>
      <w:r w:rsidRPr="00282AC9">
        <w:rPr>
          <w:rtl/>
        </w:rPr>
        <w:t xml:space="preserve"> يفقد فيها الفرد حقّ</w:t>
      </w:r>
      <w:r w:rsidR="00BD4596" w:rsidRPr="00282AC9">
        <w:rPr>
          <w:rFonts w:hint="cs"/>
          <w:rtl/>
        </w:rPr>
        <w:t>َ</w:t>
      </w:r>
      <w:r w:rsidRPr="00282AC9">
        <w:rPr>
          <w:rtl/>
        </w:rPr>
        <w:t xml:space="preserve"> التصر</w:t>
      </w:r>
      <w:r w:rsidR="00BD4596" w:rsidRPr="00282AC9">
        <w:rPr>
          <w:rFonts w:hint="cs"/>
          <w:rtl/>
        </w:rPr>
        <w:t>ُّ</w:t>
      </w:r>
      <w:r w:rsidRPr="00282AC9">
        <w:rPr>
          <w:rtl/>
        </w:rPr>
        <w:t>ف في</w:t>
      </w:r>
      <w:r w:rsidR="00BD4596" w:rsidRPr="00282AC9">
        <w:rPr>
          <w:rFonts w:hint="cs"/>
          <w:rtl/>
        </w:rPr>
        <w:t xml:space="preserve"> </w:t>
      </w:r>
      <w:r w:rsidRPr="00282AC9">
        <w:rPr>
          <w:rtl/>
        </w:rPr>
        <w:t>ما يملك</w:t>
      </w:r>
      <w:r w:rsidR="00BD4596" w:rsidRPr="00282AC9">
        <w:rPr>
          <w:rFonts w:hint="cs"/>
          <w:rtl/>
        </w:rPr>
        <w:t>؛</w:t>
      </w:r>
      <w:r w:rsidRPr="00282AC9">
        <w:rPr>
          <w:rtl/>
        </w:rPr>
        <w:t xml:space="preserve"> لتنتقل معها صلاحية التصر</w:t>
      </w:r>
      <w:r w:rsidR="00BD4596" w:rsidRPr="00282AC9">
        <w:rPr>
          <w:rFonts w:hint="cs"/>
          <w:rtl/>
        </w:rPr>
        <w:t>ُّ</w:t>
      </w:r>
      <w:r w:rsidRPr="00282AC9">
        <w:rPr>
          <w:rtl/>
        </w:rPr>
        <w:t>ف إلى غيره. كما لو كان المالك صغيراً في السنّ، أو مجنوناً، أو غير راشد</w:t>
      </w:r>
      <w:r w:rsidR="00BD4596" w:rsidRPr="00282AC9">
        <w:rPr>
          <w:rFonts w:hint="cs"/>
          <w:rtl/>
        </w:rPr>
        <w:t>ٍ</w:t>
      </w:r>
      <w:r w:rsidRPr="00282AC9">
        <w:rPr>
          <w:rtl/>
        </w:rPr>
        <w:t>، فإنه يفقد بذلك حقّ</w:t>
      </w:r>
      <w:r w:rsidR="00BD4596" w:rsidRPr="00282AC9">
        <w:rPr>
          <w:rFonts w:hint="cs"/>
          <w:rtl/>
        </w:rPr>
        <w:t>َ</w:t>
      </w:r>
      <w:r w:rsidRPr="00282AC9">
        <w:rPr>
          <w:rtl/>
        </w:rPr>
        <w:t xml:space="preserve"> التصر</w:t>
      </w:r>
      <w:r w:rsidR="00BD4596" w:rsidRPr="00282AC9">
        <w:rPr>
          <w:rFonts w:hint="cs"/>
          <w:rtl/>
        </w:rPr>
        <w:t>ُّ</w:t>
      </w:r>
      <w:r w:rsidRPr="00282AC9">
        <w:rPr>
          <w:rtl/>
        </w:rPr>
        <w:t>ف في ماله، بل إنّ من الظلم إعطاء حقّ التصر</w:t>
      </w:r>
      <w:r w:rsidR="00BD4596" w:rsidRPr="00282AC9">
        <w:rPr>
          <w:rFonts w:hint="cs"/>
          <w:rtl/>
        </w:rPr>
        <w:t>ُّ</w:t>
      </w:r>
      <w:r w:rsidRPr="00282AC9">
        <w:rPr>
          <w:rtl/>
        </w:rPr>
        <w:t>ف لم</w:t>
      </w:r>
      <w:r w:rsidR="00BD4596" w:rsidRPr="00282AC9">
        <w:rPr>
          <w:rFonts w:hint="cs"/>
          <w:rtl/>
        </w:rPr>
        <w:t>َ</w:t>
      </w:r>
      <w:r w:rsidRPr="00282AC9">
        <w:rPr>
          <w:rtl/>
        </w:rPr>
        <w:t>ن</w:t>
      </w:r>
      <w:r w:rsidR="00BD4596" w:rsidRPr="00282AC9">
        <w:rPr>
          <w:rFonts w:hint="cs"/>
          <w:rtl/>
        </w:rPr>
        <w:t>ْ</w:t>
      </w:r>
      <w:r w:rsidRPr="00282AC9">
        <w:rPr>
          <w:rtl/>
        </w:rPr>
        <w:t xml:space="preserve"> كان هذا حاله؛ لأنّه سيبدّ</w:t>
      </w:r>
      <w:r w:rsidR="00BD4596" w:rsidRPr="00282AC9">
        <w:rPr>
          <w:rFonts w:hint="cs"/>
          <w:rtl/>
        </w:rPr>
        <w:t>ِ</w:t>
      </w:r>
      <w:r w:rsidRPr="00282AC9">
        <w:rPr>
          <w:rtl/>
        </w:rPr>
        <w:t>د أمواله ه</w:t>
      </w:r>
      <w:r w:rsidR="00BD4596" w:rsidRPr="00282AC9">
        <w:rPr>
          <w:rFonts w:hint="cs"/>
          <w:rtl/>
        </w:rPr>
        <w:t>َ</w:t>
      </w:r>
      <w:r w:rsidRPr="00282AC9">
        <w:rPr>
          <w:rtl/>
        </w:rPr>
        <w:t>د</w:t>
      </w:r>
      <w:r w:rsidR="00BD4596" w:rsidRPr="00282AC9">
        <w:rPr>
          <w:rFonts w:hint="cs"/>
          <w:rtl/>
        </w:rPr>
        <w:t>ْ</w:t>
      </w:r>
      <w:r w:rsidRPr="00282AC9">
        <w:rPr>
          <w:rtl/>
        </w:rPr>
        <w:t xml:space="preserve">راً. </w:t>
      </w:r>
    </w:p>
    <w:p w:rsidR="009C6A22" w:rsidRPr="00282AC9" w:rsidRDefault="009C6A22" w:rsidP="00106AA7">
      <w:pPr>
        <w:rPr>
          <w:rtl/>
        </w:rPr>
      </w:pPr>
      <w:r w:rsidRPr="00282AC9">
        <w:rPr>
          <w:rtl/>
        </w:rPr>
        <w:t>ويعالج المشرّ</w:t>
      </w:r>
      <w:r w:rsidR="00BD4596" w:rsidRPr="00282AC9">
        <w:rPr>
          <w:rFonts w:hint="cs"/>
          <w:rtl/>
        </w:rPr>
        <w:t>ِ</w:t>
      </w:r>
      <w:r w:rsidRPr="00282AC9">
        <w:rPr>
          <w:rtl/>
        </w:rPr>
        <w:t>عون هذه الحالات بتعيين الول</w:t>
      </w:r>
      <w:r w:rsidR="00BD4596" w:rsidRPr="00282AC9">
        <w:rPr>
          <w:rFonts w:hint="cs"/>
          <w:rtl/>
        </w:rPr>
        <w:t>يّ</w:t>
      </w:r>
      <w:r w:rsidRPr="00282AC9">
        <w:rPr>
          <w:rtl/>
        </w:rPr>
        <w:t xml:space="preserve"> على أمثال هؤلاء الأشخاص، ليكون للولي</w:t>
      </w:r>
      <w:r w:rsidR="00BD4596" w:rsidRPr="00282AC9">
        <w:rPr>
          <w:rFonts w:hint="cs"/>
          <w:rtl/>
        </w:rPr>
        <w:t>ّ</w:t>
      </w:r>
      <w:r w:rsidRPr="00282AC9">
        <w:rPr>
          <w:rtl/>
        </w:rPr>
        <w:t xml:space="preserve"> حقّ التصر</w:t>
      </w:r>
      <w:r w:rsidR="00BD4596" w:rsidRPr="00282AC9">
        <w:rPr>
          <w:rFonts w:hint="cs"/>
          <w:rtl/>
        </w:rPr>
        <w:t>ُّ</w:t>
      </w:r>
      <w:r w:rsidRPr="00282AC9">
        <w:rPr>
          <w:rtl/>
        </w:rPr>
        <w:t>ف في المال، في</w:t>
      </w:r>
      <w:r w:rsidR="00BD4596" w:rsidRPr="00282AC9">
        <w:rPr>
          <w:rFonts w:hint="cs"/>
          <w:rtl/>
        </w:rPr>
        <w:t xml:space="preserve"> </w:t>
      </w:r>
      <w:r w:rsidRPr="00282AC9">
        <w:rPr>
          <w:rtl/>
        </w:rPr>
        <w:t>ما يصبّ في مصلحة المول</w:t>
      </w:r>
      <w:r w:rsidR="00BD4596" w:rsidRPr="00282AC9">
        <w:rPr>
          <w:rFonts w:hint="cs"/>
          <w:rtl/>
        </w:rPr>
        <w:t>َّ</w:t>
      </w:r>
      <w:r w:rsidRPr="00282AC9">
        <w:rPr>
          <w:rtl/>
        </w:rPr>
        <w:t>ى عليه</w:t>
      </w:r>
      <w:r w:rsidR="00BD4596" w:rsidRPr="00282AC9">
        <w:rPr>
          <w:rFonts w:hint="cs"/>
          <w:rtl/>
        </w:rPr>
        <w:t>؛</w:t>
      </w:r>
      <w:r w:rsidRPr="00282AC9">
        <w:rPr>
          <w:rtl/>
        </w:rPr>
        <w:t xml:space="preserve"> فإذا كبر الصغير، أو شفي المجنون، أو صلح الفاقد للرشد، تنتقل له حينها صلاحية التصر</w:t>
      </w:r>
      <w:r w:rsidR="00BD4596" w:rsidRPr="00282AC9">
        <w:rPr>
          <w:rFonts w:hint="cs"/>
          <w:rtl/>
        </w:rPr>
        <w:t>ُّ</w:t>
      </w:r>
      <w:r w:rsidRPr="00282AC9">
        <w:rPr>
          <w:rtl/>
        </w:rPr>
        <w:t>ف كاملة</w:t>
      </w:r>
      <w:r w:rsidR="00BD4596" w:rsidRPr="00282AC9">
        <w:rPr>
          <w:rFonts w:hint="cs"/>
          <w:rtl/>
        </w:rPr>
        <w:t>؛</w:t>
      </w:r>
      <w:r w:rsidRPr="00282AC9">
        <w:rPr>
          <w:rtl/>
        </w:rPr>
        <w:t xml:space="preserve"> باعتباره صاحب المال الأصلي</w:t>
      </w:r>
      <w:r w:rsidR="00432AFF" w:rsidRPr="00282AC9">
        <w:rPr>
          <w:rFonts w:hint="cs"/>
          <w:rtl/>
        </w:rPr>
        <w:t>ّ</w:t>
      </w:r>
      <w:r w:rsidRPr="00282AC9">
        <w:rPr>
          <w:rtl/>
        </w:rPr>
        <w:t xml:space="preserve">. </w:t>
      </w:r>
    </w:p>
    <w:p w:rsidR="00A716AC" w:rsidRPr="00282AC9" w:rsidRDefault="00A716AC" w:rsidP="00A716AC">
      <w:pPr>
        <w:spacing w:line="420" w:lineRule="exact"/>
        <w:rPr>
          <w:rtl/>
        </w:rPr>
      </w:pPr>
    </w:p>
    <w:p w:rsidR="009C6A22" w:rsidRPr="00282AC9" w:rsidRDefault="009C6A22" w:rsidP="00861959">
      <w:pPr>
        <w:pStyle w:val="31"/>
        <w:rPr>
          <w:color w:val="auto"/>
          <w:lang w:bidi="ar-YE"/>
        </w:rPr>
      </w:pPr>
      <w:r w:rsidRPr="00282AC9">
        <w:rPr>
          <w:color w:val="auto"/>
          <w:rtl/>
          <w:lang w:bidi="ar-YE"/>
        </w:rPr>
        <w:t>أهليّة</w:t>
      </w:r>
      <w:r w:rsidRPr="00282AC9">
        <w:rPr>
          <w:color w:val="auto"/>
          <w:lang w:bidi="ar-YE"/>
        </w:rPr>
        <w:t xml:space="preserve"> </w:t>
      </w:r>
      <w:r w:rsidRPr="00282AC9">
        <w:rPr>
          <w:color w:val="auto"/>
          <w:rtl/>
          <w:lang w:bidi="ar-YE"/>
        </w:rPr>
        <w:t>المرأة</w:t>
      </w:r>
      <w:r w:rsidR="00861959" w:rsidRPr="00282AC9">
        <w:rPr>
          <w:rFonts w:hint="cs"/>
          <w:color w:val="auto"/>
          <w:rtl/>
          <w:lang w:bidi="ar-YE"/>
        </w:rPr>
        <w:t xml:space="preserve"> لولايتها على مالها </w:t>
      </w:r>
    </w:p>
    <w:p w:rsidR="00432AFF" w:rsidRPr="00282AC9" w:rsidRDefault="009C6A22" w:rsidP="00106AA7">
      <w:pPr>
        <w:rPr>
          <w:rtl/>
        </w:rPr>
      </w:pPr>
      <w:r w:rsidRPr="00282AC9">
        <w:rPr>
          <w:rtl/>
        </w:rPr>
        <w:t xml:space="preserve">وإذا كان هذا الأمر يبدو في غاية الوضوح حيال أمر الأولاد الذكور، </w:t>
      </w:r>
      <w:r w:rsidR="00432AFF" w:rsidRPr="00282AC9">
        <w:rPr>
          <w:rtl/>
        </w:rPr>
        <w:t>فماذا عنه حيال الفتيات والنساء؟</w:t>
      </w:r>
      <w:r w:rsidR="00432AFF" w:rsidRPr="00282AC9">
        <w:rPr>
          <w:rFonts w:hint="cs"/>
          <w:rtl/>
        </w:rPr>
        <w:t xml:space="preserve"> و</w:t>
      </w:r>
      <w:r w:rsidRPr="00282AC9">
        <w:rPr>
          <w:rtl/>
        </w:rPr>
        <w:t>هل للبنت حقّ التصر</w:t>
      </w:r>
      <w:r w:rsidR="00432AFF" w:rsidRPr="00282AC9">
        <w:rPr>
          <w:rFonts w:hint="cs"/>
          <w:rtl/>
        </w:rPr>
        <w:t>ُّ</w:t>
      </w:r>
      <w:r w:rsidRPr="00282AC9">
        <w:rPr>
          <w:rtl/>
        </w:rPr>
        <w:t>ف في مالها حينما تكبر وتصبح بالغة</w:t>
      </w:r>
      <w:r w:rsidR="00432AFF" w:rsidRPr="00282AC9">
        <w:rPr>
          <w:rFonts w:hint="cs"/>
          <w:rtl/>
        </w:rPr>
        <w:t>ً</w:t>
      </w:r>
      <w:r w:rsidRPr="00282AC9">
        <w:rPr>
          <w:rtl/>
        </w:rPr>
        <w:t xml:space="preserve"> عاقلة</w:t>
      </w:r>
      <w:r w:rsidR="00432AFF" w:rsidRPr="00282AC9">
        <w:rPr>
          <w:rFonts w:hint="cs"/>
          <w:rtl/>
        </w:rPr>
        <w:t>ً</w:t>
      </w:r>
      <w:r w:rsidRPr="00282AC9">
        <w:rPr>
          <w:rtl/>
        </w:rPr>
        <w:t xml:space="preserve"> راشدة</w:t>
      </w:r>
      <w:r w:rsidR="00432AFF" w:rsidRPr="00282AC9">
        <w:rPr>
          <w:rFonts w:hint="cs"/>
          <w:rtl/>
        </w:rPr>
        <w:t>ً،</w:t>
      </w:r>
      <w:r w:rsidRPr="00282AC9">
        <w:rPr>
          <w:rtl/>
        </w:rPr>
        <w:t xml:space="preserve"> أم أنّ هناك ولاية</w:t>
      </w:r>
      <w:r w:rsidR="00432AFF" w:rsidRPr="00282AC9">
        <w:rPr>
          <w:rFonts w:hint="cs"/>
          <w:rtl/>
        </w:rPr>
        <w:t>ً</w:t>
      </w:r>
      <w:r w:rsidR="00432AFF" w:rsidRPr="00282AC9">
        <w:rPr>
          <w:rtl/>
        </w:rPr>
        <w:t xml:space="preserve"> مستمرّة عليها؟</w:t>
      </w:r>
    </w:p>
    <w:p w:rsidR="00432AFF" w:rsidRPr="00282AC9" w:rsidRDefault="009C6A22" w:rsidP="00106AA7">
      <w:pPr>
        <w:rPr>
          <w:rtl/>
        </w:rPr>
      </w:pPr>
      <w:r w:rsidRPr="00282AC9">
        <w:rPr>
          <w:rtl/>
        </w:rPr>
        <w:t>هناك مجتمعات</w:t>
      </w:r>
      <w:r w:rsidR="00432AFF" w:rsidRPr="00282AC9">
        <w:rPr>
          <w:rFonts w:hint="cs"/>
          <w:rtl/>
        </w:rPr>
        <w:t>ٌ</w:t>
      </w:r>
      <w:r w:rsidRPr="00282AC9">
        <w:rPr>
          <w:rtl/>
        </w:rPr>
        <w:t xml:space="preserve"> لا ترى للمرأة صلاحية التصر</w:t>
      </w:r>
      <w:r w:rsidR="00432AFF" w:rsidRPr="00282AC9">
        <w:rPr>
          <w:rFonts w:hint="cs"/>
          <w:rtl/>
        </w:rPr>
        <w:t>ُّ</w:t>
      </w:r>
      <w:r w:rsidRPr="00282AC9">
        <w:rPr>
          <w:rtl/>
        </w:rPr>
        <w:t>ف في أموالها، وإنّما تكون محصورة</w:t>
      </w:r>
      <w:r w:rsidR="00432AFF" w:rsidRPr="00282AC9">
        <w:rPr>
          <w:rFonts w:hint="cs"/>
          <w:rtl/>
        </w:rPr>
        <w:t>ً</w:t>
      </w:r>
      <w:r w:rsidRPr="00282AC9">
        <w:rPr>
          <w:rtl/>
        </w:rPr>
        <w:t xml:space="preserve"> في الرجل القائم على شؤونها، أباً أو زوجاً</w:t>
      </w:r>
      <w:r w:rsidR="00432AFF" w:rsidRPr="00282AC9">
        <w:rPr>
          <w:rFonts w:hint="cs"/>
          <w:rtl/>
        </w:rPr>
        <w:t>.</w:t>
      </w:r>
    </w:p>
    <w:p w:rsidR="00432AFF" w:rsidRPr="00282AC9" w:rsidRDefault="009C6A22" w:rsidP="00106AA7">
      <w:pPr>
        <w:rPr>
          <w:rtl/>
        </w:rPr>
      </w:pPr>
      <w:r w:rsidRPr="00282AC9">
        <w:rPr>
          <w:rtl/>
        </w:rPr>
        <w:t>ومردّ</w:t>
      </w:r>
      <w:r w:rsidR="00432AFF" w:rsidRPr="00282AC9">
        <w:rPr>
          <w:rFonts w:hint="cs"/>
          <w:rtl/>
        </w:rPr>
        <w:t>ُ</w:t>
      </w:r>
      <w:r w:rsidRPr="00282AC9">
        <w:rPr>
          <w:rtl/>
        </w:rPr>
        <w:t xml:space="preserve"> ذلك إلى النظرة الد</w:t>
      </w:r>
      <w:r w:rsidR="00432AFF" w:rsidRPr="00282AC9">
        <w:rPr>
          <w:rFonts w:hint="cs"/>
          <w:rtl/>
        </w:rPr>
        <w:t>ُّ</w:t>
      </w:r>
      <w:r w:rsidRPr="00282AC9">
        <w:rPr>
          <w:rtl/>
        </w:rPr>
        <w:t>ونية تجاه المرأة</w:t>
      </w:r>
      <w:r w:rsidR="00432AFF" w:rsidRPr="00282AC9">
        <w:rPr>
          <w:rFonts w:hint="cs"/>
          <w:rtl/>
        </w:rPr>
        <w:t>.</w:t>
      </w:r>
    </w:p>
    <w:p w:rsidR="009C6A22" w:rsidRPr="00282AC9" w:rsidRDefault="009C6A22" w:rsidP="00106AA7">
      <w:pPr>
        <w:rPr>
          <w:rtl/>
        </w:rPr>
      </w:pPr>
      <w:r w:rsidRPr="00282AC9">
        <w:rPr>
          <w:rtl/>
        </w:rPr>
        <w:lastRenderedPageBreak/>
        <w:t>غير أنّ الإسلام يرفض هذا التسل</w:t>
      </w:r>
      <w:r w:rsidR="00432AFF" w:rsidRPr="00282AC9">
        <w:rPr>
          <w:rFonts w:hint="cs"/>
          <w:rtl/>
        </w:rPr>
        <w:t>ُّ</w:t>
      </w:r>
      <w:r w:rsidRPr="00282AC9">
        <w:rPr>
          <w:rtl/>
        </w:rPr>
        <w:t>ط</w:t>
      </w:r>
      <w:r w:rsidR="00432AFF" w:rsidRPr="00282AC9">
        <w:rPr>
          <w:rFonts w:hint="cs"/>
          <w:rtl/>
        </w:rPr>
        <w:t>،</w:t>
      </w:r>
      <w:r w:rsidRPr="00282AC9">
        <w:rPr>
          <w:rtl/>
        </w:rPr>
        <w:t xml:space="preserve"> جملة</w:t>
      </w:r>
      <w:r w:rsidR="00432AFF" w:rsidRPr="00282AC9">
        <w:rPr>
          <w:rFonts w:hint="cs"/>
          <w:rtl/>
        </w:rPr>
        <w:t>ً</w:t>
      </w:r>
      <w:r w:rsidRPr="00282AC9">
        <w:rPr>
          <w:rtl/>
        </w:rPr>
        <w:t xml:space="preserve"> وتفصيلاً. </w:t>
      </w:r>
    </w:p>
    <w:p w:rsidR="009C6A22" w:rsidRPr="00282AC9" w:rsidRDefault="009C6A22" w:rsidP="00106AA7">
      <w:pPr>
        <w:rPr>
          <w:rtl/>
        </w:rPr>
      </w:pPr>
      <w:r w:rsidRPr="00282AC9">
        <w:rPr>
          <w:rtl/>
        </w:rPr>
        <w:t>إنّ الشريعة الإسلامية تقرّ</w:t>
      </w:r>
      <w:r w:rsidR="00432AFF" w:rsidRPr="00282AC9">
        <w:rPr>
          <w:rFonts w:hint="cs"/>
          <w:rtl/>
        </w:rPr>
        <w:t>ِ</w:t>
      </w:r>
      <w:r w:rsidRPr="00282AC9">
        <w:rPr>
          <w:rtl/>
        </w:rPr>
        <w:t>ر على نحو</w:t>
      </w:r>
      <w:r w:rsidR="00432AFF" w:rsidRPr="00282AC9">
        <w:rPr>
          <w:rFonts w:hint="cs"/>
          <w:rtl/>
        </w:rPr>
        <w:t>ٍ</w:t>
      </w:r>
      <w:r w:rsidRPr="00282AC9">
        <w:rPr>
          <w:rtl/>
        </w:rPr>
        <w:t xml:space="preserve"> قاطع بأنّ للمرأة، كما الرجل تماماً، أهليّة التمل</w:t>
      </w:r>
      <w:r w:rsidR="00432AFF" w:rsidRPr="00282AC9">
        <w:rPr>
          <w:rFonts w:hint="cs"/>
          <w:rtl/>
        </w:rPr>
        <w:t>ُّ</w:t>
      </w:r>
      <w:r w:rsidRPr="00282AC9">
        <w:rPr>
          <w:rtl/>
        </w:rPr>
        <w:t>ك وحقّ التصر</w:t>
      </w:r>
      <w:r w:rsidR="00432AFF" w:rsidRPr="00282AC9">
        <w:rPr>
          <w:rFonts w:hint="cs"/>
          <w:rtl/>
        </w:rPr>
        <w:t>ُّ</w:t>
      </w:r>
      <w:r w:rsidRPr="00282AC9">
        <w:rPr>
          <w:rtl/>
        </w:rPr>
        <w:t>ف في أموالها وممتلكاتها</w:t>
      </w:r>
      <w:r w:rsidR="00432AFF" w:rsidRPr="00282AC9">
        <w:rPr>
          <w:rFonts w:hint="cs"/>
          <w:rtl/>
        </w:rPr>
        <w:t>؛</w:t>
      </w:r>
      <w:r w:rsidRPr="00282AC9">
        <w:rPr>
          <w:rtl/>
        </w:rPr>
        <w:t xml:space="preserve"> ذلك أنّ الحديث الشريف: </w:t>
      </w:r>
      <w:r w:rsidRPr="00282AC9">
        <w:rPr>
          <w:sz w:val="24"/>
          <w:szCs w:val="24"/>
          <w:rtl/>
        </w:rPr>
        <w:t>«</w:t>
      </w:r>
      <w:r w:rsidRPr="00282AC9">
        <w:rPr>
          <w:rtl/>
        </w:rPr>
        <w:t>الناس مسلّ</w:t>
      </w:r>
      <w:r w:rsidR="00432AFF" w:rsidRPr="00282AC9">
        <w:rPr>
          <w:rFonts w:hint="cs"/>
          <w:rtl/>
        </w:rPr>
        <w:t>َ</w:t>
      </w:r>
      <w:r w:rsidRPr="00282AC9">
        <w:rPr>
          <w:rtl/>
        </w:rPr>
        <w:t>طون على أموالهم</w:t>
      </w:r>
      <w:r w:rsidRPr="00282AC9">
        <w:rPr>
          <w:sz w:val="24"/>
          <w:szCs w:val="24"/>
          <w:rtl/>
        </w:rPr>
        <w:t>»</w:t>
      </w:r>
      <w:r w:rsidRPr="00282AC9">
        <w:rPr>
          <w:rtl/>
        </w:rPr>
        <w:t xml:space="preserve"> يصدق على المرأة تماماً، باعتبارها جزءاً من الناس</w:t>
      </w:r>
      <w:r w:rsidR="00432AFF" w:rsidRPr="00282AC9">
        <w:rPr>
          <w:rFonts w:hint="cs"/>
          <w:rtl/>
        </w:rPr>
        <w:t>؛</w:t>
      </w:r>
      <w:r w:rsidRPr="00282AC9">
        <w:rPr>
          <w:rtl/>
        </w:rPr>
        <w:t xml:space="preserve"> وكذلك الحال مع الحديث الآخر: </w:t>
      </w:r>
      <w:r w:rsidRPr="00282AC9">
        <w:rPr>
          <w:sz w:val="24"/>
          <w:szCs w:val="24"/>
          <w:rtl/>
        </w:rPr>
        <w:t>«</w:t>
      </w:r>
      <w:r w:rsidRPr="00282AC9">
        <w:rPr>
          <w:rtl/>
        </w:rPr>
        <w:t>لا يحلّ مال</w:t>
      </w:r>
      <w:r w:rsidR="00432AFF" w:rsidRPr="00282AC9">
        <w:rPr>
          <w:rFonts w:hint="cs"/>
          <w:rtl/>
        </w:rPr>
        <w:t>ُ</w:t>
      </w:r>
      <w:r w:rsidRPr="00282AC9">
        <w:rPr>
          <w:rtl/>
        </w:rPr>
        <w:t xml:space="preserve"> أمرئ</w:t>
      </w:r>
      <w:r w:rsidR="00432AFF" w:rsidRPr="00282AC9">
        <w:rPr>
          <w:rFonts w:hint="cs"/>
          <w:rtl/>
        </w:rPr>
        <w:t>ٍ</w:t>
      </w:r>
      <w:r w:rsidRPr="00282AC9">
        <w:rPr>
          <w:rtl/>
        </w:rPr>
        <w:t xml:space="preserve"> مسلم</w:t>
      </w:r>
      <w:r w:rsidR="00432AFF" w:rsidRPr="00282AC9">
        <w:rPr>
          <w:rFonts w:hint="cs"/>
          <w:rtl/>
        </w:rPr>
        <w:t>ٍ</w:t>
      </w:r>
      <w:r w:rsidRPr="00282AC9">
        <w:rPr>
          <w:rtl/>
        </w:rPr>
        <w:t xml:space="preserve"> إ</w:t>
      </w:r>
      <w:r w:rsidR="00EE6DBA" w:rsidRPr="00282AC9">
        <w:rPr>
          <w:rtl/>
        </w:rPr>
        <w:t>لاّ</w:t>
      </w:r>
      <w:r w:rsidRPr="00282AC9">
        <w:rPr>
          <w:rtl/>
        </w:rPr>
        <w:t xml:space="preserve"> بطيب نفس</w:t>
      </w:r>
      <w:r w:rsidR="00432AFF" w:rsidRPr="00282AC9">
        <w:rPr>
          <w:rFonts w:hint="cs"/>
          <w:rtl/>
        </w:rPr>
        <w:t>ٍ</w:t>
      </w:r>
      <w:r w:rsidRPr="00282AC9">
        <w:rPr>
          <w:rtl/>
        </w:rPr>
        <w:t xml:space="preserve"> منه</w:t>
      </w:r>
      <w:r w:rsidRPr="00282AC9">
        <w:rPr>
          <w:sz w:val="24"/>
          <w:szCs w:val="24"/>
          <w:rtl/>
        </w:rPr>
        <w:t>»</w:t>
      </w:r>
      <w:r w:rsidRPr="00282AC9">
        <w:rPr>
          <w:rtl/>
        </w:rPr>
        <w:t>. وبذلك تكون المرأة كالرجل، لها استقلالي</w:t>
      </w:r>
      <w:r w:rsidR="00432AFF" w:rsidRPr="00282AC9">
        <w:rPr>
          <w:rFonts w:hint="cs"/>
          <w:rtl/>
        </w:rPr>
        <w:t>ّ</w:t>
      </w:r>
      <w:r w:rsidRPr="00282AC9">
        <w:rPr>
          <w:rtl/>
        </w:rPr>
        <w:t>تها التام</w:t>
      </w:r>
      <w:r w:rsidR="00432AFF" w:rsidRPr="00282AC9">
        <w:rPr>
          <w:rFonts w:hint="cs"/>
          <w:rtl/>
        </w:rPr>
        <w:t>ّ</w:t>
      </w:r>
      <w:r w:rsidRPr="00282AC9">
        <w:rPr>
          <w:rtl/>
        </w:rPr>
        <w:t>ة في قرارها المالي</w:t>
      </w:r>
      <w:r w:rsidR="00432AFF" w:rsidRPr="00282AC9">
        <w:rPr>
          <w:rFonts w:hint="cs"/>
          <w:rtl/>
        </w:rPr>
        <w:t>ّ</w:t>
      </w:r>
      <w:r w:rsidRPr="00282AC9">
        <w:rPr>
          <w:rtl/>
        </w:rPr>
        <w:t>، ووضعها الاقتصادي</w:t>
      </w:r>
      <w:r w:rsidR="00432AFF" w:rsidRPr="00282AC9">
        <w:rPr>
          <w:rFonts w:hint="cs"/>
          <w:rtl/>
        </w:rPr>
        <w:t>ّ.</w:t>
      </w:r>
      <w:r w:rsidRPr="00282AC9">
        <w:rPr>
          <w:rtl/>
        </w:rPr>
        <w:t xml:space="preserve"> كما لها حقّ التمل</w:t>
      </w:r>
      <w:r w:rsidR="00432AFF" w:rsidRPr="00282AC9">
        <w:rPr>
          <w:rFonts w:hint="cs"/>
          <w:rtl/>
        </w:rPr>
        <w:t>ُّ</w:t>
      </w:r>
      <w:r w:rsidRPr="00282AC9">
        <w:rPr>
          <w:rtl/>
        </w:rPr>
        <w:t>ك عبر مختلف الوسائل المتاحة</w:t>
      </w:r>
      <w:r w:rsidR="00432AFF" w:rsidRPr="00282AC9">
        <w:rPr>
          <w:rFonts w:hint="cs"/>
          <w:rtl/>
        </w:rPr>
        <w:t>.</w:t>
      </w:r>
      <w:r w:rsidRPr="00282AC9">
        <w:rPr>
          <w:rtl/>
        </w:rPr>
        <w:t xml:space="preserve"> ومتى تمل</w:t>
      </w:r>
      <w:r w:rsidR="00432AFF" w:rsidRPr="00282AC9">
        <w:rPr>
          <w:rFonts w:hint="cs"/>
          <w:rtl/>
        </w:rPr>
        <w:t>َّ</w:t>
      </w:r>
      <w:r w:rsidRPr="00282AC9">
        <w:rPr>
          <w:rtl/>
        </w:rPr>
        <w:t>كت أصبحت المتصر</w:t>
      </w:r>
      <w:r w:rsidR="00432AFF" w:rsidRPr="00282AC9">
        <w:rPr>
          <w:rFonts w:hint="cs"/>
          <w:rtl/>
        </w:rPr>
        <w:t>ِّ</w:t>
      </w:r>
      <w:r w:rsidRPr="00282AC9">
        <w:rPr>
          <w:rtl/>
        </w:rPr>
        <w:t>ف الوحيد بمالها وأملاكها، ولا ولاية لأحدٍ عليها</w:t>
      </w:r>
      <w:r w:rsidR="00432AFF" w:rsidRPr="00282AC9">
        <w:rPr>
          <w:rFonts w:hint="cs"/>
          <w:rtl/>
        </w:rPr>
        <w:t>.</w:t>
      </w:r>
      <w:r w:rsidRPr="00282AC9">
        <w:rPr>
          <w:rtl/>
        </w:rPr>
        <w:t xml:space="preserve"> فالأب ليس وليّاً على ابنته في تصر</w:t>
      </w:r>
      <w:r w:rsidR="00432AFF" w:rsidRPr="00282AC9">
        <w:rPr>
          <w:rFonts w:hint="cs"/>
          <w:rtl/>
        </w:rPr>
        <w:t>ُّ</w:t>
      </w:r>
      <w:r w:rsidRPr="00282AC9">
        <w:rPr>
          <w:rtl/>
        </w:rPr>
        <w:t>فاتها المالي</w:t>
      </w:r>
      <w:r w:rsidR="00432AFF" w:rsidRPr="00282AC9">
        <w:rPr>
          <w:rFonts w:hint="cs"/>
          <w:rtl/>
        </w:rPr>
        <w:t>ّ</w:t>
      </w:r>
      <w:r w:rsidRPr="00282AC9">
        <w:rPr>
          <w:rtl/>
        </w:rPr>
        <w:t>ة إذا كانت بالغة عاقلة راشدة، كما لا يحقّ له التصر</w:t>
      </w:r>
      <w:r w:rsidR="00432AFF" w:rsidRPr="00282AC9">
        <w:rPr>
          <w:rFonts w:hint="cs"/>
          <w:rtl/>
        </w:rPr>
        <w:t>ُّ</w:t>
      </w:r>
      <w:r w:rsidRPr="00282AC9">
        <w:rPr>
          <w:rtl/>
        </w:rPr>
        <w:t>ف بشيء</w:t>
      </w:r>
      <w:r w:rsidR="00432AFF" w:rsidRPr="00282AC9">
        <w:rPr>
          <w:rFonts w:hint="cs"/>
          <w:rtl/>
        </w:rPr>
        <w:t>ٍ</w:t>
      </w:r>
      <w:r w:rsidRPr="00282AC9">
        <w:rPr>
          <w:rtl/>
        </w:rPr>
        <w:t xml:space="preserve"> من مال ابنته إ</w:t>
      </w:r>
      <w:r w:rsidR="00EE6DBA" w:rsidRPr="00282AC9">
        <w:rPr>
          <w:rtl/>
        </w:rPr>
        <w:t>لاّ</w:t>
      </w:r>
      <w:r w:rsidRPr="00282AC9">
        <w:rPr>
          <w:rtl/>
        </w:rPr>
        <w:t xml:space="preserve"> بإذنها وموافقتها</w:t>
      </w:r>
      <w:r w:rsidR="00432AFF" w:rsidRPr="00282AC9">
        <w:rPr>
          <w:rFonts w:hint="cs"/>
          <w:rtl/>
        </w:rPr>
        <w:t>؛</w:t>
      </w:r>
      <w:r w:rsidRPr="00282AC9">
        <w:rPr>
          <w:rtl/>
        </w:rPr>
        <w:t xml:space="preserve"> فإن</w:t>
      </w:r>
      <w:r w:rsidR="00432AFF" w:rsidRPr="00282AC9">
        <w:rPr>
          <w:rFonts w:hint="cs"/>
          <w:rtl/>
        </w:rPr>
        <w:t>ْ</w:t>
      </w:r>
      <w:r w:rsidRPr="00282AC9">
        <w:rPr>
          <w:rtl/>
        </w:rPr>
        <w:t xml:space="preserve"> أجاز</w:t>
      </w:r>
      <w:r w:rsidR="00432AFF" w:rsidRPr="00282AC9">
        <w:rPr>
          <w:rFonts w:hint="cs"/>
          <w:rtl/>
        </w:rPr>
        <w:t>َ</w:t>
      </w:r>
      <w:r w:rsidRPr="00282AC9">
        <w:rPr>
          <w:rtl/>
        </w:rPr>
        <w:t>ت</w:t>
      </w:r>
      <w:r w:rsidR="00432AFF" w:rsidRPr="00282AC9">
        <w:rPr>
          <w:rFonts w:hint="cs"/>
          <w:rtl/>
        </w:rPr>
        <w:t>ْ</w:t>
      </w:r>
      <w:r w:rsidRPr="00282AC9">
        <w:rPr>
          <w:rtl/>
        </w:rPr>
        <w:t xml:space="preserve"> لأبيها التصر</w:t>
      </w:r>
      <w:r w:rsidR="00432AFF" w:rsidRPr="00282AC9">
        <w:rPr>
          <w:rFonts w:hint="cs"/>
          <w:rtl/>
        </w:rPr>
        <w:t>ُّ</w:t>
      </w:r>
      <w:r w:rsidRPr="00282AC9">
        <w:rPr>
          <w:rtl/>
        </w:rPr>
        <w:t>ف، وإ</w:t>
      </w:r>
      <w:r w:rsidR="00EE6DBA" w:rsidRPr="00282AC9">
        <w:rPr>
          <w:rtl/>
        </w:rPr>
        <w:t>لاّ</w:t>
      </w:r>
      <w:r w:rsidRPr="00282AC9">
        <w:rPr>
          <w:rtl/>
        </w:rPr>
        <w:t xml:space="preserve"> فلا يجوز له ذلك، </w:t>
      </w:r>
      <w:r w:rsidR="00432AFF" w:rsidRPr="00282AC9">
        <w:rPr>
          <w:rFonts w:hint="cs"/>
          <w:rtl/>
        </w:rPr>
        <w:t>و</w:t>
      </w:r>
      <w:r w:rsidRPr="00282AC9">
        <w:rPr>
          <w:rtl/>
        </w:rPr>
        <w:t>هو في هذا الأمر كالأجنبي</w:t>
      </w:r>
      <w:r w:rsidR="00432AFF" w:rsidRPr="00282AC9">
        <w:rPr>
          <w:rFonts w:hint="cs"/>
          <w:rtl/>
        </w:rPr>
        <w:t>ّ</w:t>
      </w:r>
      <w:r w:rsidRPr="00282AC9">
        <w:rPr>
          <w:rtl/>
        </w:rPr>
        <w:t xml:space="preserve">. </w:t>
      </w:r>
    </w:p>
    <w:p w:rsidR="009C6A22" w:rsidRPr="00282AC9" w:rsidRDefault="009C6A22" w:rsidP="00106AA7">
      <w:pPr>
        <w:rPr>
          <w:rtl/>
        </w:rPr>
      </w:pPr>
      <w:r w:rsidRPr="00282AC9">
        <w:rPr>
          <w:rtl/>
        </w:rPr>
        <w:t>والحال نفسه ينطبق على الزوج، فلا قيمومة للرجل على زوجته في الشأن المالي</w:t>
      </w:r>
      <w:r w:rsidR="00432AFF" w:rsidRPr="00282AC9">
        <w:rPr>
          <w:rFonts w:hint="cs"/>
          <w:rtl/>
        </w:rPr>
        <w:t>ّ؛</w:t>
      </w:r>
      <w:r w:rsidRPr="00282AC9">
        <w:rPr>
          <w:rtl/>
        </w:rPr>
        <w:t xml:space="preserve"> فهي صاحبة الملك أن</w:t>
      </w:r>
      <w:r w:rsidR="00432AFF" w:rsidRPr="00282AC9">
        <w:rPr>
          <w:rFonts w:hint="cs"/>
          <w:rtl/>
        </w:rPr>
        <w:t>ّ</w:t>
      </w:r>
      <w:r w:rsidRPr="00282AC9">
        <w:rPr>
          <w:rtl/>
        </w:rPr>
        <w:t>ى حاز</w:t>
      </w:r>
      <w:r w:rsidR="00432AFF" w:rsidRPr="00282AC9">
        <w:rPr>
          <w:rFonts w:hint="cs"/>
          <w:rtl/>
        </w:rPr>
        <w:t>َ</w:t>
      </w:r>
      <w:r w:rsidRPr="00282AC9">
        <w:rPr>
          <w:rtl/>
        </w:rPr>
        <w:t>ت</w:t>
      </w:r>
      <w:r w:rsidR="00432AFF" w:rsidRPr="00282AC9">
        <w:rPr>
          <w:rFonts w:hint="cs"/>
          <w:rtl/>
        </w:rPr>
        <w:t>ْ</w:t>
      </w:r>
      <w:r w:rsidRPr="00282AC9">
        <w:rPr>
          <w:rtl/>
        </w:rPr>
        <w:t xml:space="preserve"> عليه، سواء من خلال الإرث أو المهر الم</w:t>
      </w:r>
      <w:r w:rsidR="00C20DE3" w:rsidRPr="00282AC9">
        <w:rPr>
          <w:rFonts w:hint="cs"/>
          <w:rtl/>
        </w:rPr>
        <w:t>ُ</w:t>
      </w:r>
      <w:r w:rsidRPr="00282AC9">
        <w:rPr>
          <w:rtl/>
        </w:rPr>
        <w:t>ع</w:t>
      </w:r>
      <w:r w:rsidR="00C20DE3" w:rsidRPr="00282AC9">
        <w:rPr>
          <w:rFonts w:hint="cs"/>
          <w:rtl/>
        </w:rPr>
        <w:t>ْ</w:t>
      </w:r>
      <w:r w:rsidRPr="00282AC9">
        <w:rPr>
          <w:rtl/>
        </w:rPr>
        <w:t>ط</w:t>
      </w:r>
      <w:r w:rsidR="00C20DE3" w:rsidRPr="00282AC9">
        <w:rPr>
          <w:rFonts w:hint="cs"/>
          <w:rtl/>
        </w:rPr>
        <w:t>َ</w:t>
      </w:r>
      <w:r w:rsidRPr="00282AC9">
        <w:rPr>
          <w:rtl/>
        </w:rPr>
        <w:t xml:space="preserve">ى لها، قال تعالى: </w:t>
      </w:r>
      <w:r w:rsidR="00C5291F" w:rsidRPr="00282AC9">
        <w:rPr>
          <w:rFonts w:ascii="Mosawi" w:hAnsi="Mosawi" w:cs="Mosawi"/>
          <w:sz w:val="24"/>
          <w:szCs w:val="24"/>
          <w:rtl/>
        </w:rPr>
        <w:t>﴿</w:t>
      </w:r>
      <w:r w:rsidRPr="00282AC9">
        <w:rPr>
          <w:b/>
          <w:bCs/>
          <w:rtl/>
        </w:rPr>
        <w:t>وَآتُوا الن</w:t>
      </w:r>
      <w:r w:rsidR="00313735" w:rsidRPr="00282AC9">
        <w:rPr>
          <w:b/>
          <w:bCs/>
          <w:rtl/>
        </w:rPr>
        <w:t>ِّ</w:t>
      </w:r>
      <w:r w:rsidRPr="00282AC9">
        <w:rPr>
          <w:b/>
          <w:bCs/>
          <w:rtl/>
        </w:rPr>
        <w:t>سَاءَ صَدُقَاتِهِنَّ نِحْلَةً فَإِن</w:t>
      </w:r>
      <w:r w:rsidR="00C20DE3" w:rsidRPr="00282AC9">
        <w:rPr>
          <w:rFonts w:hint="cs"/>
          <w:b/>
          <w:bCs/>
          <w:rtl/>
        </w:rPr>
        <w:t>ْ</w:t>
      </w:r>
      <w:r w:rsidRPr="00282AC9">
        <w:rPr>
          <w:b/>
          <w:bCs/>
          <w:rtl/>
        </w:rPr>
        <w:t xml:space="preserve"> طِبْنَ لَكُمْ عَن</w:t>
      </w:r>
      <w:r w:rsidR="00C20DE3" w:rsidRPr="00282AC9">
        <w:rPr>
          <w:rFonts w:hint="cs"/>
          <w:b/>
          <w:bCs/>
          <w:rtl/>
        </w:rPr>
        <w:t>ْ</w:t>
      </w:r>
      <w:r w:rsidR="00C20DE3" w:rsidRPr="00282AC9">
        <w:rPr>
          <w:b/>
          <w:bCs/>
          <w:rtl/>
        </w:rPr>
        <w:t xml:space="preserve"> شَيْءٍ م</w:t>
      </w:r>
      <w:r w:rsidR="00C20DE3" w:rsidRPr="00282AC9">
        <w:rPr>
          <w:rFonts w:hint="cs"/>
          <w:b/>
          <w:bCs/>
          <w:rtl/>
        </w:rPr>
        <w:t>ِ</w:t>
      </w:r>
      <w:r w:rsidRPr="00282AC9">
        <w:rPr>
          <w:b/>
          <w:bCs/>
          <w:rtl/>
        </w:rPr>
        <w:t>نْهُ نَفْساً فَكُلُوهُ هَنِيئاً مَّرِيئاً</w:t>
      </w:r>
      <w:r w:rsidR="00C5291F" w:rsidRPr="00282AC9">
        <w:rPr>
          <w:rFonts w:ascii="Mosawi" w:hAnsi="Mosawi" w:cs="Mosawi"/>
          <w:sz w:val="24"/>
          <w:szCs w:val="24"/>
          <w:rtl/>
        </w:rPr>
        <w:t>﴾</w:t>
      </w:r>
      <w:r w:rsidR="00C20DE3" w:rsidRPr="00282AC9">
        <w:rPr>
          <w:rFonts w:hint="cs"/>
          <w:rtl/>
        </w:rPr>
        <w:t>.</w:t>
      </w:r>
      <w:r w:rsidRPr="00282AC9">
        <w:rPr>
          <w:rtl/>
        </w:rPr>
        <w:t xml:space="preserve"> والصداق الوارد في الآية الكريمة جاء بمعنى المهر، فإن</w:t>
      </w:r>
      <w:r w:rsidR="00C20DE3" w:rsidRPr="00282AC9">
        <w:rPr>
          <w:rFonts w:hint="cs"/>
          <w:rtl/>
        </w:rPr>
        <w:t>ْ</w:t>
      </w:r>
      <w:r w:rsidRPr="00282AC9">
        <w:rPr>
          <w:rtl/>
        </w:rPr>
        <w:t xml:space="preserve"> أ</w:t>
      </w:r>
      <w:r w:rsidR="00C20DE3" w:rsidRPr="00282AC9">
        <w:rPr>
          <w:rFonts w:hint="cs"/>
          <w:rtl/>
        </w:rPr>
        <w:t>ُ</w:t>
      </w:r>
      <w:r w:rsidRPr="00282AC9">
        <w:rPr>
          <w:rtl/>
        </w:rPr>
        <w:t>عط</w:t>
      </w:r>
      <w:r w:rsidR="00C20DE3" w:rsidRPr="00282AC9">
        <w:rPr>
          <w:rFonts w:hint="cs"/>
          <w:rtl/>
        </w:rPr>
        <w:t>ِ</w:t>
      </w:r>
      <w:r w:rsidRPr="00282AC9">
        <w:rPr>
          <w:rtl/>
        </w:rPr>
        <w:t>ي</w:t>
      </w:r>
      <w:r w:rsidR="00C20DE3" w:rsidRPr="00282AC9">
        <w:rPr>
          <w:rFonts w:hint="cs"/>
          <w:rtl/>
        </w:rPr>
        <w:t>َ</w:t>
      </w:r>
      <w:r w:rsidRPr="00282AC9">
        <w:rPr>
          <w:rtl/>
        </w:rPr>
        <w:t xml:space="preserve"> للمرأة </w:t>
      </w:r>
      <w:r w:rsidR="00C5291F" w:rsidRPr="00282AC9">
        <w:rPr>
          <w:rFonts w:ascii="Mosawi" w:hAnsi="Mosawi" w:cs="Mosawi"/>
          <w:sz w:val="24"/>
          <w:szCs w:val="24"/>
          <w:rtl/>
        </w:rPr>
        <w:t>﴿</w:t>
      </w:r>
      <w:r w:rsidRPr="00282AC9">
        <w:rPr>
          <w:b/>
          <w:bCs/>
          <w:rtl/>
        </w:rPr>
        <w:t>نِحْلَةً</w:t>
      </w:r>
      <w:r w:rsidR="00C5291F" w:rsidRPr="00282AC9">
        <w:rPr>
          <w:rFonts w:ascii="Mosawi" w:hAnsi="Mosawi" w:cs="Mosawi"/>
          <w:sz w:val="24"/>
          <w:szCs w:val="24"/>
          <w:rtl/>
        </w:rPr>
        <w:t>﴾</w:t>
      </w:r>
      <w:r w:rsidR="00C20DE3" w:rsidRPr="00282AC9">
        <w:rPr>
          <w:rFonts w:hint="cs"/>
          <w:rtl/>
        </w:rPr>
        <w:t>،</w:t>
      </w:r>
      <w:r w:rsidRPr="00282AC9">
        <w:rPr>
          <w:rtl/>
        </w:rPr>
        <w:t xml:space="preserve"> </w:t>
      </w:r>
      <w:r w:rsidR="00C20DE3" w:rsidRPr="00282AC9">
        <w:rPr>
          <w:rFonts w:hint="cs"/>
          <w:rtl/>
        </w:rPr>
        <w:t>أي</w:t>
      </w:r>
      <w:r w:rsidRPr="00282AC9">
        <w:rPr>
          <w:rtl/>
        </w:rPr>
        <w:t xml:space="preserve"> هبة</w:t>
      </w:r>
      <w:r w:rsidR="00C20DE3" w:rsidRPr="00282AC9">
        <w:rPr>
          <w:rFonts w:hint="cs"/>
          <w:rtl/>
        </w:rPr>
        <w:t>ً</w:t>
      </w:r>
      <w:r w:rsidRPr="00282AC9">
        <w:rPr>
          <w:rtl/>
        </w:rPr>
        <w:t xml:space="preserve"> وعطي</w:t>
      </w:r>
      <w:r w:rsidR="00C20DE3" w:rsidRPr="00282AC9">
        <w:rPr>
          <w:rFonts w:hint="cs"/>
          <w:rtl/>
        </w:rPr>
        <w:t>ّ</w:t>
      </w:r>
      <w:r w:rsidRPr="00282AC9">
        <w:rPr>
          <w:rtl/>
        </w:rPr>
        <w:t>ة</w:t>
      </w:r>
      <w:r w:rsidR="00C20DE3" w:rsidRPr="00282AC9">
        <w:rPr>
          <w:rFonts w:hint="cs"/>
          <w:rtl/>
        </w:rPr>
        <w:t>ً</w:t>
      </w:r>
      <w:r w:rsidRPr="00282AC9">
        <w:rPr>
          <w:rtl/>
        </w:rPr>
        <w:t>، فقد أصبح</w:t>
      </w:r>
      <w:r w:rsidR="00C20DE3" w:rsidRPr="00282AC9">
        <w:rPr>
          <w:rFonts w:hint="cs"/>
          <w:rtl/>
        </w:rPr>
        <w:t>َ</w:t>
      </w:r>
      <w:r w:rsidRPr="00282AC9">
        <w:rPr>
          <w:rtl/>
        </w:rPr>
        <w:t>ت</w:t>
      </w:r>
      <w:r w:rsidR="00C20DE3" w:rsidRPr="00282AC9">
        <w:rPr>
          <w:rFonts w:hint="cs"/>
          <w:rtl/>
        </w:rPr>
        <w:t>ْ</w:t>
      </w:r>
      <w:r w:rsidRPr="00282AC9">
        <w:rPr>
          <w:rtl/>
        </w:rPr>
        <w:t xml:space="preserve"> صاحبة الحقّ المطلق فيه</w:t>
      </w:r>
      <w:r w:rsidR="00C20DE3" w:rsidRPr="00282AC9">
        <w:rPr>
          <w:rFonts w:hint="cs"/>
          <w:rtl/>
        </w:rPr>
        <w:t>.</w:t>
      </w:r>
      <w:r w:rsidRPr="00282AC9">
        <w:rPr>
          <w:rtl/>
        </w:rPr>
        <w:t xml:space="preserve"> إذا أعط</w:t>
      </w:r>
      <w:r w:rsidR="00C20DE3" w:rsidRPr="00282AC9">
        <w:rPr>
          <w:rFonts w:hint="cs"/>
          <w:rtl/>
        </w:rPr>
        <w:t>َ</w:t>
      </w:r>
      <w:r w:rsidRPr="00282AC9">
        <w:rPr>
          <w:rtl/>
        </w:rPr>
        <w:t>ت</w:t>
      </w:r>
      <w:r w:rsidR="00C20DE3" w:rsidRPr="00282AC9">
        <w:rPr>
          <w:rFonts w:hint="cs"/>
          <w:rtl/>
        </w:rPr>
        <w:t>ْ</w:t>
      </w:r>
      <w:r w:rsidRPr="00282AC9">
        <w:rPr>
          <w:rtl/>
        </w:rPr>
        <w:t xml:space="preserve"> هي حقّ التصر</w:t>
      </w:r>
      <w:r w:rsidR="00C20DE3" w:rsidRPr="00282AC9">
        <w:rPr>
          <w:rFonts w:hint="cs"/>
          <w:rtl/>
        </w:rPr>
        <w:t>ُّ</w:t>
      </w:r>
      <w:r w:rsidRPr="00282AC9">
        <w:rPr>
          <w:rtl/>
        </w:rPr>
        <w:t>ف بمهرها لأيّ</w:t>
      </w:r>
      <w:r w:rsidR="00C20DE3" w:rsidRPr="00282AC9">
        <w:rPr>
          <w:rFonts w:hint="cs"/>
          <w:rtl/>
        </w:rPr>
        <w:t>ِ</w:t>
      </w:r>
      <w:r w:rsidRPr="00282AC9">
        <w:rPr>
          <w:rtl/>
        </w:rPr>
        <w:t xml:space="preserve"> أحدٍ فله ذلك، وإ</w:t>
      </w:r>
      <w:r w:rsidR="00EE6DBA" w:rsidRPr="00282AC9">
        <w:rPr>
          <w:rtl/>
        </w:rPr>
        <w:t>لاّ</w:t>
      </w:r>
      <w:r w:rsidRPr="00282AC9">
        <w:rPr>
          <w:rtl/>
        </w:rPr>
        <w:t xml:space="preserve"> فلا. وهذا ما ينطبق على سائر الممتلكات الواقعة تحت يد المرأة، من إرث</w:t>
      </w:r>
      <w:r w:rsidR="00C20DE3" w:rsidRPr="00282AC9">
        <w:rPr>
          <w:rFonts w:hint="cs"/>
          <w:rtl/>
        </w:rPr>
        <w:t>ٍ</w:t>
      </w:r>
      <w:r w:rsidRPr="00282AC9">
        <w:rPr>
          <w:rtl/>
        </w:rPr>
        <w:t xml:space="preserve"> أو هدية</w:t>
      </w:r>
      <w:r w:rsidR="00C20DE3" w:rsidRPr="00282AC9">
        <w:rPr>
          <w:rFonts w:hint="cs"/>
          <w:rtl/>
        </w:rPr>
        <w:t>ٍ</w:t>
      </w:r>
      <w:r w:rsidRPr="00282AC9">
        <w:rPr>
          <w:rtl/>
        </w:rPr>
        <w:t xml:space="preserve"> أو تجارة، فهو ملكها</w:t>
      </w:r>
      <w:r w:rsidR="00C20DE3" w:rsidRPr="00282AC9">
        <w:rPr>
          <w:rFonts w:hint="cs"/>
          <w:rtl/>
        </w:rPr>
        <w:t>،</w:t>
      </w:r>
      <w:r w:rsidRPr="00282AC9">
        <w:rPr>
          <w:rtl/>
        </w:rPr>
        <w:t xml:space="preserve"> وتحت تصر</w:t>
      </w:r>
      <w:r w:rsidR="00C20DE3" w:rsidRPr="00282AC9">
        <w:rPr>
          <w:rFonts w:hint="cs"/>
          <w:rtl/>
        </w:rPr>
        <w:t>ُّ</w:t>
      </w:r>
      <w:r w:rsidRPr="00282AC9">
        <w:rPr>
          <w:rtl/>
        </w:rPr>
        <w:t>فها وحدها، ولا يصحّ للزوج أن يتصر</w:t>
      </w:r>
      <w:r w:rsidR="00C20DE3" w:rsidRPr="00282AC9">
        <w:rPr>
          <w:rFonts w:hint="cs"/>
          <w:rtl/>
        </w:rPr>
        <w:t>َّ</w:t>
      </w:r>
      <w:r w:rsidRPr="00282AC9">
        <w:rPr>
          <w:rtl/>
        </w:rPr>
        <w:t>ف في شيء</w:t>
      </w:r>
      <w:r w:rsidR="00C20DE3" w:rsidRPr="00282AC9">
        <w:rPr>
          <w:rFonts w:hint="cs"/>
          <w:rtl/>
        </w:rPr>
        <w:t>ٍ</w:t>
      </w:r>
      <w:r w:rsidRPr="00282AC9">
        <w:rPr>
          <w:rtl/>
        </w:rPr>
        <w:t xml:space="preserve"> من أموال زوجته إ</w:t>
      </w:r>
      <w:r w:rsidR="00EE6DBA" w:rsidRPr="00282AC9">
        <w:rPr>
          <w:rtl/>
        </w:rPr>
        <w:t>لاّ</w:t>
      </w:r>
      <w:r w:rsidRPr="00282AC9">
        <w:rPr>
          <w:rtl/>
        </w:rPr>
        <w:t xml:space="preserve"> بإذنها ورضاها. هذا ما أجمع عليه الفقهاء في كلّ المذاهب الإسلامي</w:t>
      </w:r>
      <w:r w:rsidR="00C20DE3" w:rsidRPr="00282AC9">
        <w:rPr>
          <w:rFonts w:hint="cs"/>
          <w:rtl/>
        </w:rPr>
        <w:t>ّ</w:t>
      </w:r>
      <w:r w:rsidRPr="00282AC9">
        <w:rPr>
          <w:rtl/>
        </w:rPr>
        <w:t xml:space="preserve">ة. </w:t>
      </w:r>
    </w:p>
    <w:p w:rsidR="00A716AC" w:rsidRPr="00282AC9" w:rsidRDefault="00A716AC" w:rsidP="00A716AC">
      <w:pPr>
        <w:spacing w:line="420" w:lineRule="exact"/>
        <w:rPr>
          <w:rtl/>
        </w:rPr>
      </w:pPr>
    </w:p>
    <w:p w:rsidR="009C6A22" w:rsidRPr="00282AC9" w:rsidRDefault="009C6A22" w:rsidP="00861959">
      <w:pPr>
        <w:pStyle w:val="31"/>
        <w:rPr>
          <w:color w:val="auto"/>
        </w:rPr>
      </w:pPr>
      <w:r w:rsidRPr="00282AC9">
        <w:rPr>
          <w:color w:val="auto"/>
          <w:rtl/>
          <w:lang w:bidi="ar-YE"/>
        </w:rPr>
        <w:t>حقّ</w:t>
      </w:r>
      <w:r w:rsidR="00861959" w:rsidRPr="00282AC9">
        <w:rPr>
          <w:rFonts w:hint="cs"/>
          <w:color w:val="auto"/>
          <w:rtl/>
        </w:rPr>
        <w:t xml:space="preserve"> المرأة في</w:t>
      </w:r>
      <w:r w:rsidRPr="00282AC9">
        <w:rPr>
          <w:color w:val="auto"/>
          <w:lang w:bidi="ar-YE"/>
        </w:rPr>
        <w:t xml:space="preserve"> </w:t>
      </w:r>
      <w:r w:rsidRPr="00282AC9">
        <w:rPr>
          <w:color w:val="auto"/>
          <w:rtl/>
          <w:lang w:bidi="ar-YE"/>
        </w:rPr>
        <w:t>العمل</w:t>
      </w:r>
      <w:r w:rsidRPr="00282AC9">
        <w:rPr>
          <w:color w:val="auto"/>
          <w:lang w:bidi="ar-YE"/>
        </w:rPr>
        <w:t xml:space="preserve"> </w:t>
      </w:r>
      <w:r w:rsidR="00861959" w:rsidRPr="00282AC9">
        <w:rPr>
          <w:color w:val="auto"/>
          <w:rtl/>
          <w:lang w:bidi="ar-YE"/>
        </w:rPr>
        <w:t>وا</w:t>
      </w:r>
      <w:r w:rsidR="00861959" w:rsidRPr="00282AC9">
        <w:rPr>
          <w:rFonts w:hint="cs"/>
          <w:color w:val="auto"/>
          <w:rtl/>
        </w:rPr>
        <w:t>لاكتساب</w:t>
      </w:r>
    </w:p>
    <w:p w:rsidR="009C6A22" w:rsidRPr="00282AC9" w:rsidRDefault="009C6A22" w:rsidP="00106AA7">
      <w:pPr>
        <w:rPr>
          <w:rtl/>
        </w:rPr>
      </w:pPr>
      <w:r w:rsidRPr="00282AC9">
        <w:rPr>
          <w:rtl/>
        </w:rPr>
        <w:t>للمرأة حقّ</w:t>
      </w:r>
      <w:r w:rsidR="00C20DE3" w:rsidRPr="00282AC9">
        <w:rPr>
          <w:rFonts w:hint="cs"/>
          <w:rtl/>
        </w:rPr>
        <w:t>ُ</w:t>
      </w:r>
      <w:r w:rsidRPr="00282AC9">
        <w:rPr>
          <w:rtl/>
        </w:rPr>
        <w:t xml:space="preserve"> العمل والكسب</w:t>
      </w:r>
      <w:r w:rsidR="00C20DE3" w:rsidRPr="00282AC9">
        <w:rPr>
          <w:rFonts w:hint="cs"/>
          <w:rtl/>
        </w:rPr>
        <w:t>،</w:t>
      </w:r>
      <w:r w:rsidRPr="00282AC9">
        <w:rPr>
          <w:rtl/>
        </w:rPr>
        <w:t xml:space="preserve"> كما </w:t>
      </w:r>
      <w:r w:rsidR="00C20DE3" w:rsidRPr="00282AC9">
        <w:rPr>
          <w:rFonts w:hint="cs"/>
          <w:rtl/>
        </w:rPr>
        <w:t>ل</w:t>
      </w:r>
      <w:r w:rsidRPr="00282AC9">
        <w:rPr>
          <w:rtl/>
        </w:rPr>
        <w:t>لرجل تماماً. وإذا كان هناك من تفصيل</w:t>
      </w:r>
      <w:r w:rsidR="00C20DE3" w:rsidRPr="00282AC9">
        <w:rPr>
          <w:rFonts w:hint="cs"/>
          <w:rtl/>
        </w:rPr>
        <w:t>ٍ</w:t>
      </w:r>
      <w:r w:rsidRPr="00282AC9">
        <w:rPr>
          <w:rtl/>
        </w:rPr>
        <w:t xml:space="preserve"> في هذا الشأن فهو ذاك المتعل</w:t>
      </w:r>
      <w:r w:rsidR="00C20DE3" w:rsidRPr="00282AC9">
        <w:rPr>
          <w:rFonts w:hint="cs"/>
          <w:rtl/>
        </w:rPr>
        <w:t>ِّ</w:t>
      </w:r>
      <w:r w:rsidRPr="00282AC9">
        <w:rPr>
          <w:rtl/>
        </w:rPr>
        <w:t>ق بعمل المرأة المتزو</w:t>
      </w:r>
      <w:r w:rsidR="00C20DE3" w:rsidRPr="00282AC9">
        <w:rPr>
          <w:rFonts w:hint="cs"/>
          <w:rtl/>
        </w:rPr>
        <w:t>ِّ</w:t>
      </w:r>
      <w:r w:rsidRPr="00282AC9">
        <w:rPr>
          <w:rtl/>
        </w:rPr>
        <w:t xml:space="preserve">جة، وما إذا كان ينبغي لها أخذ الإذن من زوجها؟ </w:t>
      </w:r>
    </w:p>
    <w:p w:rsidR="009C6A22" w:rsidRPr="00282AC9" w:rsidRDefault="009C6A22" w:rsidP="00106AA7">
      <w:pPr>
        <w:rPr>
          <w:rtl/>
        </w:rPr>
      </w:pPr>
      <w:r w:rsidRPr="00282AC9">
        <w:rPr>
          <w:rtl/>
        </w:rPr>
        <w:t xml:space="preserve">والجواب </w:t>
      </w:r>
      <w:r w:rsidR="00C20DE3" w:rsidRPr="00282AC9">
        <w:rPr>
          <w:rFonts w:hint="cs"/>
          <w:rtl/>
        </w:rPr>
        <w:t>عن</w:t>
      </w:r>
      <w:r w:rsidRPr="00282AC9">
        <w:rPr>
          <w:rtl/>
        </w:rPr>
        <w:t xml:space="preserve"> ذلك أنّها لا تحتاج إلى إذن زوجها للعمل والتكس</w:t>
      </w:r>
      <w:r w:rsidR="00C20DE3" w:rsidRPr="00282AC9">
        <w:rPr>
          <w:rFonts w:hint="cs"/>
          <w:rtl/>
        </w:rPr>
        <w:t>ُّ</w:t>
      </w:r>
      <w:r w:rsidRPr="00282AC9">
        <w:rPr>
          <w:rtl/>
        </w:rPr>
        <w:t xml:space="preserve">ب متى كان </w:t>
      </w:r>
      <w:r w:rsidRPr="00282AC9">
        <w:rPr>
          <w:rtl/>
        </w:rPr>
        <w:lastRenderedPageBreak/>
        <w:t>عملها من داخل بيتها، كأن</w:t>
      </w:r>
      <w:r w:rsidR="00C20DE3" w:rsidRPr="00282AC9">
        <w:rPr>
          <w:rFonts w:hint="cs"/>
          <w:rtl/>
        </w:rPr>
        <w:t>ْ</w:t>
      </w:r>
      <w:r w:rsidRPr="00282AC9">
        <w:rPr>
          <w:rtl/>
        </w:rPr>
        <w:t xml:space="preserve"> يكون عملها من بُع</w:t>
      </w:r>
      <w:r w:rsidR="00C20DE3" w:rsidRPr="00282AC9">
        <w:rPr>
          <w:rFonts w:hint="cs"/>
          <w:rtl/>
        </w:rPr>
        <w:t>ْ</w:t>
      </w:r>
      <w:r w:rsidRPr="00282AC9">
        <w:rPr>
          <w:rtl/>
        </w:rPr>
        <w:t>د</w:t>
      </w:r>
      <w:r w:rsidR="00C20DE3" w:rsidRPr="00282AC9">
        <w:rPr>
          <w:rFonts w:hint="cs"/>
          <w:rtl/>
        </w:rPr>
        <w:t>ٍ</w:t>
      </w:r>
      <w:r w:rsidRPr="00282AC9">
        <w:rPr>
          <w:rtl/>
        </w:rPr>
        <w:t xml:space="preserve"> باستخدام الحاسب الآلي</w:t>
      </w:r>
      <w:r w:rsidR="00C20DE3" w:rsidRPr="00282AC9">
        <w:rPr>
          <w:rFonts w:hint="cs"/>
          <w:rtl/>
        </w:rPr>
        <w:t>ّ</w:t>
      </w:r>
      <w:r w:rsidRPr="00282AC9">
        <w:rPr>
          <w:rtl/>
        </w:rPr>
        <w:t>، والاستفادة من شبكة الإنترنت، كما بات معروفاً في سوق العمل، أو من خلال الكتابة ومراسلة الص</w:t>
      </w:r>
      <w:r w:rsidR="002548A4" w:rsidRPr="00282AC9">
        <w:rPr>
          <w:rFonts w:hint="cs"/>
          <w:rtl/>
        </w:rPr>
        <w:t>ُّ</w:t>
      </w:r>
      <w:r w:rsidRPr="00282AC9">
        <w:rPr>
          <w:rtl/>
        </w:rPr>
        <w:t>ح</w:t>
      </w:r>
      <w:r w:rsidR="002548A4" w:rsidRPr="00282AC9">
        <w:rPr>
          <w:rFonts w:hint="cs"/>
          <w:rtl/>
        </w:rPr>
        <w:t>ُ</w:t>
      </w:r>
      <w:r w:rsidRPr="00282AC9">
        <w:rPr>
          <w:rtl/>
        </w:rPr>
        <w:t xml:space="preserve">ف، أو خياطة الملابس، أو النسيج، أو أعمال التجميل والمكياج، فلا سبيل له عليها في جميع ذلك. </w:t>
      </w:r>
    </w:p>
    <w:p w:rsidR="009C6A22" w:rsidRPr="00282AC9" w:rsidRDefault="009C6A22" w:rsidP="00A716AC">
      <w:pPr>
        <w:spacing w:line="420" w:lineRule="exact"/>
        <w:rPr>
          <w:rtl/>
        </w:rPr>
      </w:pPr>
      <w:r w:rsidRPr="00282AC9">
        <w:rPr>
          <w:rtl/>
        </w:rPr>
        <w:t>ومردّ</w:t>
      </w:r>
      <w:r w:rsidR="002548A4" w:rsidRPr="00282AC9">
        <w:rPr>
          <w:rFonts w:hint="cs"/>
          <w:rtl/>
        </w:rPr>
        <w:t>ُ</w:t>
      </w:r>
      <w:r w:rsidRPr="00282AC9">
        <w:rPr>
          <w:rtl/>
        </w:rPr>
        <w:t xml:space="preserve"> ذلك إلى أنّ للزوج على زوجته حقّ</w:t>
      </w:r>
      <w:r w:rsidR="002548A4" w:rsidRPr="00282AC9">
        <w:rPr>
          <w:rFonts w:hint="cs"/>
          <w:rtl/>
        </w:rPr>
        <w:t>َ</w:t>
      </w:r>
      <w:r w:rsidRPr="00282AC9">
        <w:rPr>
          <w:rtl/>
        </w:rPr>
        <w:t>ين فقط، هما</w:t>
      </w:r>
      <w:r w:rsidR="002548A4" w:rsidRPr="00282AC9">
        <w:rPr>
          <w:rFonts w:hint="cs"/>
          <w:rtl/>
        </w:rPr>
        <w:t>:</w:t>
      </w:r>
      <w:r w:rsidRPr="00282AC9">
        <w:rPr>
          <w:rtl/>
        </w:rPr>
        <w:t xml:space="preserve"> حقّ الاستمتاع</w:t>
      </w:r>
      <w:r w:rsidR="002548A4" w:rsidRPr="00282AC9">
        <w:rPr>
          <w:rFonts w:hint="cs"/>
          <w:rtl/>
        </w:rPr>
        <w:t>؛</w:t>
      </w:r>
      <w:r w:rsidRPr="00282AC9">
        <w:rPr>
          <w:rtl/>
        </w:rPr>
        <w:t xml:space="preserve"> وحقّ المساكنة</w:t>
      </w:r>
      <w:r w:rsidR="002548A4" w:rsidRPr="00282AC9">
        <w:rPr>
          <w:rFonts w:hint="cs"/>
          <w:rtl/>
        </w:rPr>
        <w:t>.</w:t>
      </w:r>
      <w:r w:rsidRPr="00282AC9">
        <w:rPr>
          <w:rtl/>
        </w:rPr>
        <w:t xml:space="preserve"> وما دام عملها لا يتعارض مع هذين الحقّ</w:t>
      </w:r>
      <w:r w:rsidR="002548A4" w:rsidRPr="00282AC9">
        <w:rPr>
          <w:rFonts w:hint="cs"/>
          <w:rtl/>
        </w:rPr>
        <w:t>َ</w:t>
      </w:r>
      <w:r w:rsidRPr="00282AC9">
        <w:rPr>
          <w:rtl/>
        </w:rPr>
        <w:t xml:space="preserve">ين فلا حاجة لها لاستئذان زوجها في العمل. </w:t>
      </w:r>
    </w:p>
    <w:p w:rsidR="002548A4" w:rsidRPr="00282AC9" w:rsidRDefault="009C6A22" w:rsidP="00A716AC">
      <w:pPr>
        <w:spacing w:line="420" w:lineRule="exact"/>
        <w:rPr>
          <w:rtl/>
        </w:rPr>
      </w:pPr>
      <w:r w:rsidRPr="00282AC9">
        <w:rPr>
          <w:rtl/>
        </w:rPr>
        <w:t xml:space="preserve">أما إذا كان عمل الزوجة يستلزم خروجها من البيت فعندها ينبغي </w:t>
      </w:r>
      <w:r w:rsidR="002548A4" w:rsidRPr="00282AC9">
        <w:rPr>
          <w:rFonts w:hint="cs"/>
          <w:rtl/>
        </w:rPr>
        <w:t>أن لا</w:t>
      </w:r>
      <w:r w:rsidRPr="00282AC9">
        <w:rPr>
          <w:rtl/>
        </w:rPr>
        <w:t xml:space="preserve"> يتعارض مع حقّ المساكنة، وذلك بناءً على الرأي الفقهي القائل بعدم صح</w:t>
      </w:r>
      <w:r w:rsidR="002548A4" w:rsidRPr="00282AC9">
        <w:rPr>
          <w:rFonts w:hint="cs"/>
          <w:rtl/>
        </w:rPr>
        <w:t>ّ</w:t>
      </w:r>
      <w:r w:rsidRPr="00282AC9">
        <w:rPr>
          <w:rtl/>
        </w:rPr>
        <w:t>ة خروج المرأة من بيت زوجها إ</w:t>
      </w:r>
      <w:r w:rsidR="00EE6DBA" w:rsidRPr="00282AC9">
        <w:rPr>
          <w:rtl/>
        </w:rPr>
        <w:t>لاّ</w:t>
      </w:r>
      <w:r w:rsidRPr="00282AC9">
        <w:rPr>
          <w:rtl/>
        </w:rPr>
        <w:t xml:space="preserve"> بإذنه، على اختلاف</w:t>
      </w:r>
      <w:r w:rsidR="002548A4" w:rsidRPr="00282AC9">
        <w:rPr>
          <w:rFonts w:hint="cs"/>
          <w:rtl/>
        </w:rPr>
        <w:t>ٍ</w:t>
      </w:r>
      <w:r w:rsidRPr="00282AC9">
        <w:rPr>
          <w:rtl/>
        </w:rPr>
        <w:t xml:space="preserve"> تفصيلي</w:t>
      </w:r>
      <w:r w:rsidR="002548A4" w:rsidRPr="00282AC9">
        <w:rPr>
          <w:rFonts w:hint="cs"/>
          <w:rtl/>
        </w:rPr>
        <w:t>ّ</w:t>
      </w:r>
      <w:r w:rsidRPr="00282AC9">
        <w:rPr>
          <w:rtl/>
        </w:rPr>
        <w:t xml:space="preserve"> بين الفقهاء حول ما إذا كان وجوب الاستئذان بالخروج على نحو الإطلاق أم أنّ الوجوب لا يقع إ</w:t>
      </w:r>
      <w:r w:rsidR="00EE6DBA" w:rsidRPr="00282AC9">
        <w:rPr>
          <w:rtl/>
        </w:rPr>
        <w:t>لاّ</w:t>
      </w:r>
      <w:r w:rsidRPr="00282AC9">
        <w:rPr>
          <w:rtl/>
        </w:rPr>
        <w:t xml:space="preserve"> في حال زاحم خروجها حقّ</w:t>
      </w:r>
      <w:r w:rsidR="002548A4" w:rsidRPr="00282AC9">
        <w:rPr>
          <w:rFonts w:hint="cs"/>
          <w:rtl/>
        </w:rPr>
        <w:t>َ</w:t>
      </w:r>
      <w:r w:rsidRPr="00282AC9">
        <w:rPr>
          <w:rtl/>
        </w:rPr>
        <w:t>ه في الاستمتاع</w:t>
      </w:r>
      <w:r w:rsidR="002548A4" w:rsidRPr="00282AC9">
        <w:rPr>
          <w:rFonts w:hint="cs"/>
          <w:rtl/>
        </w:rPr>
        <w:t>؛</w:t>
      </w:r>
      <w:r w:rsidRPr="00282AC9">
        <w:rPr>
          <w:rtl/>
        </w:rPr>
        <w:t xml:space="preserve"> حيث يرى بعض الفقهاء بأنّ استئذان المرأة في الخروج من المنزل ليس واجباً على نحو الإطلاق، ما دام لا يتعارض مع حقّ الاستمتاع</w:t>
      </w:r>
      <w:r w:rsidR="002548A4" w:rsidRPr="00282AC9">
        <w:rPr>
          <w:rFonts w:hint="cs"/>
          <w:rtl/>
        </w:rPr>
        <w:t>؛</w:t>
      </w:r>
      <w:r w:rsidRPr="00282AC9">
        <w:rPr>
          <w:rtl/>
        </w:rPr>
        <w:t xml:space="preserve"> في حين يرى فقهاء آخرون عدم جواز خروج المرأة من البيت مطلقاً إ</w:t>
      </w:r>
      <w:r w:rsidR="00EE6DBA" w:rsidRPr="00282AC9">
        <w:rPr>
          <w:rtl/>
        </w:rPr>
        <w:t>لاّ</w:t>
      </w:r>
      <w:r w:rsidR="002548A4" w:rsidRPr="00282AC9">
        <w:rPr>
          <w:rtl/>
        </w:rPr>
        <w:t xml:space="preserve"> بإذن زوجها.</w:t>
      </w:r>
    </w:p>
    <w:p w:rsidR="009C6A22" w:rsidRPr="00282AC9" w:rsidRDefault="009C6A22" w:rsidP="00A716AC">
      <w:pPr>
        <w:spacing w:line="420" w:lineRule="exact"/>
        <w:rPr>
          <w:rtl/>
        </w:rPr>
      </w:pPr>
      <w:r w:rsidRPr="00282AC9">
        <w:rPr>
          <w:rtl/>
        </w:rPr>
        <w:t>وبناءً على الرأي الأخير إذا أجاز لزوجته الخروج للعمل، أو كان ذلك مشروطاً في عقد الزواج، فإنّ الأ</w:t>
      </w:r>
      <w:r w:rsidR="002548A4" w:rsidRPr="00282AC9">
        <w:rPr>
          <w:rFonts w:hint="cs"/>
          <w:rtl/>
        </w:rPr>
        <w:t>َ</w:t>
      </w:r>
      <w:r w:rsidRPr="00282AC9">
        <w:rPr>
          <w:rtl/>
        </w:rPr>
        <w:t>ج</w:t>
      </w:r>
      <w:r w:rsidR="002548A4" w:rsidRPr="00282AC9">
        <w:rPr>
          <w:rFonts w:hint="cs"/>
          <w:rtl/>
        </w:rPr>
        <w:t>ْ</w:t>
      </w:r>
      <w:r w:rsidRPr="00282AC9">
        <w:rPr>
          <w:rtl/>
        </w:rPr>
        <w:t>ر الذي تحصل عليه لقاء عملها يكون حقّ</w:t>
      </w:r>
      <w:r w:rsidR="002548A4" w:rsidRPr="00282AC9">
        <w:rPr>
          <w:rFonts w:hint="cs"/>
          <w:rtl/>
        </w:rPr>
        <w:t>َ</w:t>
      </w:r>
      <w:r w:rsidRPr="00282AC9">
        <w:rPr>
          <w:rtl/>
        </w:rPr>
        <w:t>ها وملكاً لها و</w:t>
      </w:r>
      <w:r w:rsidR="002548A4" w:rsidRPr="00282AC9">
        <w:rPr>
          <w:rFonts w:hint="cs"/>
          <w:rtl/>
        </w:rPr>
        <w:t>َ</w:t>
      </w:r>
      <w:r w:rsidRPr="00282AC9">
        <w:rPr>
          <w:rtl/>
        </w:rPr>
        <w:t>ح</w:t>
      </w:r>
      <w:r w:rsidR="002548A4" w:rsidRPr="00282AC9">
        <w:rPr>
          <w:rFonts w:hint="cs"/>
          <w:rtl/>
        </w:rPr>
        <w:t>ْ</w:t>
      </w:r>
      <w:r w:rsidRPr="00282AC9">
        <w:rPr>
          <w:rtl/>
        </w:rPr>
        <w:t>دها، ولا يصح</w:t>
      </w:r>
      <w:r w:rsidR="002548A4" w:rsidRPr="00282AC9">
        <w:rPr>
          <w:rFonts w:hint="cs"/>
          <w:rtl/>
        </w:rPr>
        <w:t>ّ</w:t>
      </w:r>
      <w:r w:rsidRPr="00282AC9">
        <w:rPr>
          <w:rtl/>
        </w:rPr>
        <w:t xml:space="preserve"> للزوج أن يتصر</w:t>
      </w:r>
      <w:r w:rsidR="002548A4" w:rsidRPr="00282AC9">
        <w:rPr>
          <w:rFonts w:hint="cs"/>
          <w:rtl/>
        </w:rPr>
        <w:t>َّ</w:t>
      </w:r>
      <w:r w:rsidRPr="00282AC9">
        <w:rPr>
          <w:rtl/>
        </w:rPr>
        <w:t>ف في شيءٍ منه إ</w:t>
      </w:r>
      <w:r w:rsidR="00EE6DBA" w:rsidRPr="00282AC9">
        <w:rPr>
          <w:rtl/>
        </w:rPr>
        <w:t>لاّ</w:t>
      </w:r>
      <w:r w:rsidRPr="00282AC9">
        <w:rPr>
          <w:rtl/>
        </w:rPr>
        <w:t xml:space="preserve"> بإذنها ورضاها.</w:t>
      </w:r>
    </w:p>
    <w:p w:rsidR="009C6A22" w:rsidRPr="00282AC9" w:rsidRDefault="009C6A22" w:rsidP="00C75E73">
      <w:pPr>
        <w:spacing w:line="440" w:lineRule="exact"/>
        <w:rPr>
          <w:rtl/>
        </w:rPr>
      </w:pPr>
    </w:p>
    <w:p w:rsidR="009C6A22" w:rsidRPr="00282AC9" w:rsidRDefault="009C6A22" w:rsidP="00861959">
      <w:pPr>
        <w:pStyle w:val="31"/>
        <w:rPr>
          <w:color w:val="auto"/>
          <w:lang w:bidi="ar-YE"/>
        </w:rPr>
      </w:pPr>
      <w:r w:rsidRPr="00282AC9">
        <w:rPr>
          <w:color w:val="auto"/>
          <w:rtl/>
          <w:lang w:bidi="ar-YE"/>
        </w:rPr>
        <w:t>النفقة</w:t>
      </w:r>
      <w:r w:rsidRPr="00282AC9">
        <w:rPr>
          <w:color w:val="auto"/>
          <w:lang w:bidi="ar-YE"/>
        </w:rPr>
        <w:t xml:space="preserve"> </w:t>
      </w:r>
      <w:r w:rsidRPr="00282AC9">
        <w:rPr>
          <w:color w:val="auto"/>
          <w:rtl/>
          <w:lang w:bidi="ar-YE"/>
        </w:rPr>
        <w:t>حقّ</w:t>
      </w:r>
      <w:r w:rsidR="002548A4" w:rsidRPr="00282AC9">
        <w:rPr>
          <w:rFonts w:hint="cs"/>
          <w:color w:val="auto"/>
          <w:rtl/>
          <w:lang w:bidi="ar-YE"/>
        </w:rPr>
        <w:t>ٌ</w:t>
      </w:r>
      <w:r w:rsidRPr="00282AC9">
        <w:rPr>
          <w:color w:val="auto"/>
          <w:lang w:bidi="ar-YE"/>
        </w:rPr>
        <w:t xml:space="preserve"> </w:t>
      </w:r>
      <w:r w:rsidRPr="00282AC9">
        <w:rPr>
          <w:color w:val="auto"/>
          <w:rtl/>
          <w:lang w:bidi="ar-YE"/>
        </w:rPr>
        <w:t>ثابت</w:t>
      </w:r>
      <w:r w:rsidRPr="00282AC9">
        <w:rPr>
          <w:color w:val="auto"/>
          <w:lang w:bidi="ar-YE"/>
        </w:rPr>
        <w:t xml:space="preserve"> </w:t>
      </w:r>
      <w:r w:rsidRPr="00282AC9">
        <w:rPr>
          <w:color w:val="auto"/>
          <w:rtl/>
          <w:lang w:bidi="ar-YE"/>
        </w:rPr>
        <w:t>لل</w:t>
      </w:r>
      <w:r w:rsidR="00861959" w:rsidRPr="00282AC9">
        <w:rPr>
          <w:rFonts w:hint="cs"/>
          <w:color w:val="auto"/>
          <w:rtl/>
          <w:lang w:bidi="ar-YE"/>
        </w:rPr>
        <w:t>زوجة</w:t>
      </w:r>
    </w:p>
    <w:p w:rsidR="009C6A22" w:rsidRPr="00282AC9" w:rsidRDefault="009C6A22" w:rsidP="00A716AC">
      <w:pPr>
        <w:spacing w:line="420" w:lineRule="exact"/>
        <w:rPr>
          <w:rtl/>
        </w:rPr>
      </w:pPr>
      <w:r w:rsidRPr="00282AC9">
        <w:rPr>
          <w:rtl/>
        </w:rPr>
        <w:t>إنّ حقّ النفقة ثابت</w:t>
      </w:r>
      <w:r w:rsidR="002548A4" w:rsidRPr="00282AC9">
        <w:rPr>
          <w:rFonts w:hint="cs"/>
          <w:rtl/>
        </w:rPr>
        <w:t>ٌ</w:t>
      </w:r>
      <w:r w:rsidRPr="00282AC9">
        <w:rPr>
          <w:rtl/>
        </w:rPr>
        <w:t xml:space="preserve"> للمرأة على الزوج في كلّ الأحوال، حت</w:t>
      </w:r>
      <w:r w:rsidR="002548A4" w:rsidRPr="00282AC9">
        <w:rPr>
          <w:rFonts w:hint="cs"/>
          <w:rtl/>
        </w:rPr>
        <w:t>ّ</w:t>
      </w:r>
      <w:r w:rsidRPr="00282AC9">
        <w:rPr>
          <w:rtl/>
        </w:rPr>
        <w:t>ى لو كانت غني</w:t>
      </w:r>
      <w:r w:rsidR="002548A4" w:rsidRPr="00282AC9">
        <w:rPr>
          <w:rFonts w:hint="cs"/>
          <w:rtl/>
        </w:rPr>
        <w:t>ّ</w:t>
      </w:r>
      <w:r w:rsidRPr="00282AC9">
        <w:rPr>
          <w:rtl/>
        </w:rPr>
        <w:t>ة</w:t>
      </w:r>
      <w:r w:rsidR="002548A4" w:rsidRPr="00282AC9">
        <w:rPr>
          <w:rFonts w:hint="cs"/>
          <w:rtl/>
        </w:rPr>
        <w:t>ً</w:t>
      </w:r>
      <w:r w:rsidRPr="00282AC9">
        <w:rPr>
          <w:rtl/>
        </w:rPr>
        <w:t xml:space="preserve"> غير محتاجة</w:t>
      </w:r>
      <w:r w:rsidR="002548A4" w:rsidRPr="00282AC9">
        <w:rPr>
          <w:rFonts w:hint="cs"/>
          <w:rtl/>
        </w:rPr>
        <w:t>ٍ</w:t>
      </w:r>
      <w:r w:rsidR="00647CF6" w:rsidRPr="00282AC9">
        <w:rPr>
          <w:rFonts w:hint="cs"/>
          <w:rtl/>
        </w:rPr>
        <w:t>.</w:t>
      </w:r>
      <w:r w:rsidRPr="00282AC9">
        <w:rPr>
          <w:rtl/>
        </w:rPr>
        <w:t xml:space="preserve"> وذلك بخلاف نفقة الرجل على والد</w:t>
      </w:r>
      <w:r w:rsidR="002548A4" w:rsidRPr="00282AC9">
        <w:rPr>
          <w:rFonts w:hint="cs"/>
          <w:rtl/>
        </w:rPr>
        <w:t>َ</w:t>
      </w:r>
      <w:r w:rsidRPr="00282AC9">
        <w:rPr>
          <w:rtl/>
        </w:rPr>
        <w:t>ي</w:t>
      </w:r>
      <w:r w:rsidR="002548A4" w:rsidRPr="00282AC9">
        <w:rPr>
          <w:rFonts w:hint="cs"/>
          <w:rtl/>
        </w:rPr>
        <w:t>ْ</w:t>
      </w:r>
      <w:r w:rsidRPr="00282AC9">
        <w:rPr>
          <w:rtl/>
        </w:rPr>
        <w:t>ه، التي لا تكون واجبة</w:t>
      </w:r>
      <w:r w:rsidR="00647CF6" w:rsidRPr="00282AC9">
        <w:rPr>
          <w:rFonts w:hint="cs"/>
          <w:rtl/>
        </w:rPr>
        <w:t>ً</w:t>
      </w:r>
      <w:r w:rsidRPr="00282AC9">
        <w:rPr>
          <w:rtl/>
        </w:rPr>
        <w:t xml:space="preserve"> عليه إ</w:t>
      </w:r>
      <w:r w:rsidR="00EE6DBA" w:rsidRPr="00282AC9">
        <w:rPr>
          <w:rtl/>
        </w:rPr>
        <w:t>لاّ</w:t>
      </w:r>
      <w:r w:rsidRPr="00282AC9">
        <w:rPr>
          <w:rtl/>
        </w:rPr>
        <w:t xml:space="preserve"> إذا كان الوالدان محتاجين، وليست واجبة</w:t>
      </w:r>
      <w:r w:rsidR="00647CF6" w:rsidRPr="00282AC9">
        <w:rPr>
          <w:rFonts w:hint="cs"/>
          <w:rtl/>
        </w:rPr>
        <w:t>ً</w:t>
      </w:r>
      <w:r w:rsidRPr="00282AC9">
        <w:rPr>
          <w:rtl/>
        </w:rPr>
        <w:t xml:space="preserve"> في حال كان الوالدان مقتدر</w:t>
      </w:r>
      <w:r w:rsidR="00647CF6" w:rsidRPr="00282AC9">
        <w:rPr>
          <w:rFonts w:hint="cs"/>
          <w:rtl/>
        </w:rPr>
        <w:t>َ</w:t>
      </w:r>
      <w:r w:rsidRPr="00282AC9">
        <w:rPr>
          <w:rtl/>
        </w:rPr>
        <w:t>ي</w:t>
      </w:r>
      <w:r w:rsidR="00647CF6" w:rsidRPr="00282AC9">
        <w:rPr>
          <w:rFonts w:hint="cs"/>
          <w:rtl/>
        </w:rPr>
        <w:t>ْ</w:t>
      </w:r>
      <w:r w:rsidRPr="00282AC9">
        <w:rPr>
          <w:rtl/>
        </w:rPr>
        <w:t>ن ماليّاً</w:t>
      </w:r>
      <w:r w:rsidR="00647CF6" w:rsidRPr="00282AC9">
        <w:rPr>
          <w:rFonts w:hint="cs"/>
          <w:rtl/>
        </w:rPr>
        <w:t>.</w:t>
      </w:r>
      <w:r w:rsidRPr="00282AC9">
        <w:rPr>
          <w:rtl/>
        </w:rPr>
        <w:t xml:space="preserve"> وكذلك الحال بالنسبة </w:t>
      </w:r>
      <w:r w:rsidR="00647CF6" w:rsidRPr="00282AC9">
        <w:rPr>
          <w:rFonts w:hint="cs"/>
          <w:rtl/>
        </w:rPr>
        <w:t xml:space="preserve">إلى </w:t>
      </w:r>
      <w:r w:rsidRPr="00282AC9">
        <w:rPr>
          <w:rtl/>
        </w:rPr>
        <w:t>نفقة الأب على الأولاد، فهي غير واجبة</w:t>
      </w:r>
      <w:r w:rsidR="00647CF6" w:rsidRPr="00282AC9">
        <w:rPr>
          <w:rFonts w:hint="cs"/>
          <w:rtl/>
        </w:rPr>
        <w:t>ٍ</w:t>
      </w:r>
      <w:r w:rsidRPr="00282AC9">
        <w:rPr>
          <w:rtl/>
        </w:rPr>
        <w:t xml:space="preserve"> إذا ما كان الأولاد مقتدرين ماليّاً. لكن</w:t>
      </w:r>
      <w:r w:rsidR="00647CF6" w:rsidRPr="00282AC9">
        <w:rPr>
          <w:rFonts w:hint="cs"/>
          <w:rtl/>
        </w:rPr>
        <w:t>ّ</w:t>
      </w:r>
      <w:r w:rsidRPr="00282AC9">
        <w:rPr>
          <w:rtl/>
        </w:rPr>
        <w:t xml:space="preserve"> حقّ المرأة في النفقة لا يسقط أبداً، فهو حقّ</w:t>
      </w:r>
      <w:r w:rsidR="00647CF6" w:rsidRPr="00282AC9">
        <w:rPr>
          <w:rFonts w:hint="cs"/>
          <w:rtl/>
        </w:rPr>
        <w:t>ٌ</w:t>
      </w:r>
      <w:r w:rsidRPr="00282AC9">
        <w:rPr>
          <w:rtl/>
        </w:rPr>
        <w:t xml:space="preserve"> ثابت في كلّ الأحوال، سواء كانت محتاجة</w:t>
      </w:r>
      <w:r w:rsidR="00647CF6" w:rsidRPr="00282AC9">
        <w:rPr>
          <w:rFonts w:hint="cs"/>
          <w:rtl/>
        </w:rPr>
        <w:t>ً</w:t>
      </w:r>
      <w:r w:rsidRPr="00282AC9">
        <w:rPr>
          <w:rtl/>
        </w:rPr>
        <w:t xml:space="preserve"> لتلك النفقة أم كانت ثري</w:t>
      </w:r>
      <w:r w:rsidR="00647CF6" w:rsidRPr="00282AC9">
        <w:rPr>
          <w:rFonts w:hint="cs"/>
          <w:rtl/>
        </w:rPr>
        <w:t>ّ</w:t>
      </w:r>
      <w:r w:rsidRPr="00282AC9">
        <w:rPr>
          <w:rtl/>
        </w:rPr>
        <w:t>ة</w:t>
      </w:r>
      <w:r w:rsidR="00647CF6" w:rsidRPr="00282AC9">
        <w:rPr>
          <w:rFonts w:hint="cs"/>
          <w:rtl/>
        </w:rPr>
        <w:t>ً</w:t>
      </w:r>
      <w:r w:rsidRPr="00282AC9">
        <w:rPr>
          <w:rtl/>
        </w:rPr>
        <w:t xml:space="preserve"> غير محتاجة</w:t>
      </w:r>
      <w:r w:rsidR="00647CF6" w:rsidRPr="00282AC9">
        <w:rPr>
          <w:rFonts w:hint="cs"/>
          <w:rtl/>
        </w:rPr>
        <w:t>ٍ</w:t>
      </w:r>
      <w:r w:rsidRPr="00282AC9">
        <w:rPr>
          <w:rtl/>
        </w:rPr>
        <w:t xml:space="preserve">. </w:t>
      </w:r>
    </w:p>
    <w:p w:rsidR="009C6A22" w:rsidRPr="00282AC9" w:rsidRDefault="009C6A22" w:rsidP="00B37544">
      <w:pPr>
        <w:pStyle w:val="31"/>
        <w:rPr>
          <w:color w:val="auto"/>
          <w:lang w:bidi="ar-YE"/>
        </w:rPr>
      </w:pPr>
      <w:r w:rsidRPr="00282AC9">
        <w:rPr>
          <w:color w:val="auto"/>
          <w:rtl/>
          <w:lang w:bidi="ar-YE"/>
        </w:rPr>
        <w:lastRenderedPageBreak/>
        <w:t>ابتزاز</w:t>
      </w:r>
      <w:r w:rsidRPr="00282AC9">
        <w:rPr>
          <w:color w:val="auto"/>
          <w:lang w:bidi="ar-YE"/>
        </w:rPr>
        <w:t xml:space="preserve"> </w:t>
      </w:r>
      <w:r w:rsidRPr="00282AC9">
        <w:rPr>
          <w:color w:val="auto"/>
          <w:rtl/>
          <w:lang w:bidi="ar-YE"/>
        </w:rPr>
        <w:t>المرأة</w:t>
      </w:r>
      <w:r w:rsidRPr="00282AC9">
        <w:rPr>
          <w:color w:val="auto"/>
          <w:lang w:bidi="ar-YE"/>
        </w:rPr>
        <w:t xml:space="preserve"> </w:t>
      </w:r>
      <w:r w:rsidRPr="00282AC9">
        <w:rPr>
          <w:color w:val="auto"/>
          <w:rtl/>
          <w:lang w:bidi="ar-YE"/>
        </w:rPr>
        <w:t>ماليّاً</w:t>
      </w:r>
    </w:p>
    <w:p w:rsidR="009C6A22" w:rsidRPr="00282AC9" w:rsidRDefault="009C6A22" w:rsidP="00C75E73">
      <w:pPr>
        <w:spacing w:line="404" w:lineRule="exact"/>
        <w:rPr>
          <w:rtl/>
        </w:rPr>
      </w:pPr>
      <w:r w:rsidRPr="00282AC9">
        <w:rPr>
          <w:rtl/>
        </w:rPr>
        <w:t>المرأة هي صاحبة الحقّ والمتصر</w:t>
      </w:r>
      <w:r w:rsidR="00647CF6" w:rsidRPr="00282AC9">
        <w:rPr>
          <w:rFonts w:hint="cs"/>
          <w:rtl/>
        </w:rPr>
        <w:t>ِّ</w:t>
      </w:r>
      <w:r w:rsidRPr="00282AC9">
        <w:rPr>
          <w:rtl/>
        </w:rPr>
        <w:t>ف الوحيد في أموالها وأملاكها</w:t>
      </w:r>
      <w:r w:rsidR="00016D67" w:rsidRPr="00282AC9">
        <w:rPr>
          <w:rFonts w:hint="cs"/>
          <w:rtl/>
        </w:rPr>
        <w:t>،</w:t>
      </w:r>
      <w:r w:rsidRPr="00282AC9">
        <w:rPr>
          <w:rtl/>
        </w:rPr>
        <w:t xml:space="preserve"> وليس من حقّ أحدٍ، لا أباً ولا أخاً ولا زوجاً، التصر</w:t>
      </w:r>
      <w:r w:rsidR="00016D67" w:rsidRPr="00282AC9">
        <w:rPr>
          <w:rFonts w:hint="cs"/>
          <w:rtl/>
        </w:rPr>
        <w:t>ُّ</w:t>
      </w:r>
      <w:r w:rsidRPr="00282AC9">
        <w:rPr>
          <w:rtl/>
        </w:rPr>
        <w:t>ف في شيءٍ من أموال المرأة إ</w:t>
      </w:r>
      <w:r w:rsidR="00EE6DBA" w:rsidRPr="00282AC9">
        <w:rPr>
          <w:rtl/>
        </w:rPr>
        <w:t>لاّ</w:t>
      </w:r>
      <w:r w:rsidRPr="00282AC9">
        <w:rPr>
          <w:rtl/>
        </w:rPr>
        <w:t xml:space="preserve"> بإذنها ورضاها</w:t>
      </w:r>
      <w:r w:rsidR="00016D67" w:rsidRPr="00282AC9">
        <w:rPr>
          <w:rFonts w:hint="cs"/>
          <w:rtl/>
        </w:rPr>
        <w:t>.</w:t>
      </w:r>
      <w:r w:rsidRPr="00282AC9">
        <w:rPr>
          <w:rtl/>
        </w:rPr>
        <w:t xml:space="preserve"> وقد استخدم القرآن الكريم تعبيراً دقيقاً</w:t>
      </w:r>
      <w:r w:rsidR="00016D67" w:rsidRPr="00282AC9">
        <w:rPr>
          <w:rtl/>
        </w:rPr>
        <w:t xml:space="preserve"> في هذا الص</w:t>
      </w:r>
      <w:r w:rsidR="00016D67" w:rsidRPr="00282AC9">
        <w:rPr>
          <w:rFonts w:hint="cs"/>
          <w:rtl/>
        </w:rPr>
        <w:t>َّ</w:t>
      </w:r>
      <w:r w:rsidR="00016D67" w:rsidRPr="00282AC9">
        <w:rPr>
          <w:rtl/>
        </w:rPr>
        <w:t>د</w:t>
      </w:r>
      <w:r w:rsidRPr="00282AC9">
        <w:rPr>
          <w:rtl/>
        </w:rPr>
        <w:t xml:space="preserve">د، قال تعالى: </w:t>
      </w:r>
      <w:r w:rsidR="00C5291F" w:rsidRPr="00282AC9">
        <w:rPr>
          <w:rFonts w:ascii="Mosawi" w:hAnsi="Mosawi" w:cs="Mosawi"/>
          <w:sz w:val="24"/>
          <w:szCs w:val="24"/>
          <w:rtl/>
        </w:rPr>
        <w:t>﴿</w:t>
      </w:r>
      <w:r w:rsidRPr="00282AC9">
        <w:rPr>
          <w:b/>
          <w:bCs/>
          <w:rtl/>
        </w:rPr>
        <w:t>فَإِن</w:t>
      </w:r>
      <w:r w:rsidR="00016D67" w:rsidRPr="00282AC9">
        <w:rPr>
          <w:rFonts w:hint="cs"/>
          <w:b/>
          <w:bCs/>
          <w:rtl/>
        </w:rPr>
        <w:t>ْ</w:t>
      </w:r>
      <w:r w:rsidRPr="00282AC9">
        <w:rPr>
          <w:b/>
          <w:bCs/>
          <w:rtl/>
        </w:rPr>
        <w:t xml:space="preserve"> طِبْنَ لَكُمْ عَن</w:t>
      </w:r>
      <w:r w:rsidR="00016D67" w:rsidRPr="00282AC9">
        <w:rPr>
          <w:rFonts w:hint="cs"/>
          <w:b/>
          <w:bCs/>
          <w:rtl/>
        </w:rPr>
        <w:t>ْ</w:t>
      </w:r>
      <w:r w:rsidR="00016D67" w:rsidRPr="00282AC9">
        <w:rPr>
          <w:b/>
          <w:bCs/>
          <w:rtl/>
        </w:rPr>
        <w:t xml:space="preserve"> شَيْءٍ م</w:t>
      </w:r>
      <w:r w:rsidR="00016D67" w:rsidRPr="00282AC9">
        <w:rPr>
          <w:rFonts w:hint="cs"/>
          <w:b/>
          <w:bCs/>
          <w:rtl/>
        </w:rPr>
        <w:t>ِ</w:t>
      </w:r>
      <w:r w:rsidRPr="00282AC9">
        <w:rPr>
          <w:b/>
          <w:bCs/>
          <w:rtl/>
        </w:rPr>
        <w:t>نْهُ نَفْساً فَكُلُوهُ هَنِيئاً</w:t>
      </w:r>
      <w:r w:rsidR="00016D67" w:rsidRPr="00282AC9">
        <w:rPr>
          <w:b/>
          <w:bCs/>
          <w:rtl/>
        </w:rPr>
        <w:t xml:space="preserve"> م</w:t>
      </w:r>
      <w:r w:rsidR="00016D67" w:rsidRPr="00282AC9">
        <w:rPr>
          <w:rFonts w:hint="cs"/>
          <w:b/>
          <w:bCs/>
          <w:rtl/>
        </w:rPr>
        <w:t>َ</w:t>
      </w:r>
      <w:r w:rsidRPr="00282AC9">
        <w:rPr>
          <w:b/>
          <w:bCs/>
          <w:rtl/>
        </w:rPr>
        <w:t>رِيئاً</w:t>
      </w:r>
      <w:r w:rsidR="00C5291F" w:rsidRPr="00282AC9">
        <w:rPr>
          <w:rFonts w:ascii="Mosawi" w:hAnsi="Mosawi" w:cs="Mosawi"/>
          <w:sz w:val="24"/>
          <w:szCs w:val="24"/>
          <w:rtl/>
        </w:rPr>
        <w:t>﴾</w:t>
      </w:r>
      <w:r w:rsidRPr="00282AC9">
        <w:rPr>
          <w:rtl/>
        </w:rPr>
        <w:t>، ويعني ذلك أنّ الاستثناء الوحيد لأخذ شيءٍ من أموال المرأة إذا كان ذلك عن طيب نفس</w:t>
      </w:r>
      <w:r w:rsidR="00B55E95" w:rsidRPr="00282AC9">
        <w:rPr>
          <w:rFonts w:hint="cs"/>
          <w:rtl/>
        </w:rPr>
        <w:t>ٍ</w:t>
      </w:r>
      <w:r w:rsidRPr="00282AC9">
        <w:rPr>
          <w:rtl/>
        </w:rPr>
        <w:t xml:space="preserve"> منها، لا أن يجري الاستحواذ على مالها بالابتزاز، وممارسة الضغوط عليها، كما بات يجري في كثير</w:t>
      </w:r>
      <w:r w:rsidR="00B55E95" w:rsidRPr="00282AC9">
        <w:rPr>
          <w:rFonts w:hint="cs"/>
          <w:rtl/>
        </w:rPr>
        <w:t>ٍ</w:t>
      </w:r>
      <w:r w:rsidRPr="00282AC9">
        <w:rPr>
          <w:rtl/>
        </w:rPr>
        <w:t xml:space="preserve"> من القضايا والحالات. </w:t>
      </w:r>
    </w:p>
    <w:p w:rsidR="009C6A22" w:rsidRPr="00282AC9" w:rsidRDefault="009C6A22" w:rsidP="00106AA7">
      <w:pPr>
        <w:rPr>
          <w:rtl/>
        </w:rPr>
      </w:pPr>
      <w:r w:rsidRPr="00282AC9">
        <w:rPr>
          <w:rtl/>
        </w:rPr>
        <w:t>والاستحواذ على هذا النحو على مال المرأة، زوجة</w:t>
      </w:r>
      <w:r w:rsidR="00B55E95" w:rsidRPr="00282AC9">
        <w:rPr>
          <w:rFonts w:hint="cs"/>
          <w:rtl/>
        </w:rPr>
        <w:t>ً</w:t>
      </w:r>
      <w:r w:rsidRPr="00282AC9">
        <w:rPr>
          <w:rtl/>
        </w:rPr>
        <w:t xml:space="preserve"> أو بنتاً أو أختاً، أمر</w:t>
      </w:r>
      <w:r w:rsidR="00B55E95" w:rsidRPr="00282AC9">
        <w:rPr>
          <w:rFonts w:hint="cs"/>
          <w:rtl/>
        </w:rPr>
        <w:t>ٌ</w:t>
      </w:r>
      <w:r w:rsidRPr="00282AC9">
        <w:rPr>
          <w:rtl/>
        </w:rPr>
        <w:t xml:space="preserve"> غير جائز</w:t>
      </w:r>
      <w:r w:rsidR="00B55E95" w:rsidRPr="00282AC9">
        <w:rPr>
          <w:rFonts w:hint="cs"/>
          <w:rtl/>
        </w:rPr>
        <w:t>ٍ</w:t>
      </w:r>
      <w:r w:rsidRPr="00282AC9">
        <w:rPr>
          <w:rtl/>
        </w:rPr>
        <w:t xml:space="preserve"> شرعاً</w:t>
      </w:r>
      <w:r w:rsidR="00B55E95" w:rsidRPr="00282AC9">
        <w:rPr>
          <w:rFonts w:hint="cs"/>
          <w:rtl/>
        </w:rPr>
        <w:t>.</w:t>
      </w:r>
      <w:r w:rsidRPr="00282AC9">
        <w:rPr>
          <w:rtl/>
        </w:rPr>
        <w:t xml:space="preserve"> ومن ذلك</w:t>
      </w:r>
      <w:r w:rsidR="00B55E95" w:rsidRPr="00282AC9">
        <w:rPr>
          <w:rFonts w:hint="cs"/>
          <w:rtl/>
        </w:rPr>
        <w:t xml:space="preserve">: </w:t>
      </w:r>
      <w:r w:rsidRPr="00282AC9">
        <w:rPr>
          <w:rtl/>
        </w:rPr>
        <w:t>ما يفعله بعض الآباء الذين يحرمون بناتهم العاملات من الزواج</w:t>
      </w:r>
      <w:r w:rsidR="00B55E95" w:rsidRPr="00282AC9">
        <w:rPr>
          <w:rFonts w:hint="cs"/>
          <w:rtl/>
        </w:rPr>
        <w:t>؛</w:t>
      </w:r>
      <w:r w:rsidRPr="00282AC9">
        <w:rPr>
          <w:rtl/>
        </w:rPr>
        <w:t xml:space="preserve"> طمعاً في دخلهنّ</w:t>
      </w:r>
      <w:r w:rsidR="00B55E95" w:rsidRPr="00282AC9">
        <w:rPr>
          <w:rFonts w:hint="cs"/>
          <w:rtl/>
        </w:rPr>
        <w:t>.</w:t>
      </w:r>
      <w:r w:rsidRPr="00282AC9">
        <w:rPr>
          <w:rtl/>
        </w:rPr>
        <w:t xml:space="preserve"> وقد نشر</w:t>
      </w:r>
      <w:r w:rsidR="00B55E95" w:rsidRPr="00282AC9">
        <w:rPr>
          <w:rFonts w:hint="cs"/>
          <w:rtl/>
        </w:rPr>
        <w:t>َ</w:t>
      </w:r>
      <w:r w:rsidRPr="00282AC9">
        <w:rPr>
          <w:rtl/>
        </w:rPr>
        <w:t>ت</w:t>
      </w:r>
      <w:r w:rsidR="00B55E95" w:rsidRPr="00282AC9">
        <w:rPr>
          <w:rFonts w:hint="cs"/>
          <w:rtl/>
        </w:rPr>
        <w:t>ْ</w:t>
      </w:r>
      <w:r w:rsidRPr="00282AC9">
        <w:rPr>
          <w:rtl/>
        </w:rPr>
        <w:t xml:space="preserve"> إحدى الصحف السعودي</w:t>
      </w:r>
      <w:r w:rsidR="00B55E95" w:rsidRPr="00282AC9">
        <w:rPr>
          <w:rFonts w:hint="cs"/>
          <w:rtl/>
        </w:rPr>
        <w:t>ّ</w:t>
      </w:r>
      <w:r w:rsidRPr="00282AC9">
        <w:rPr>
          <w:rtl/>
        </w:rPr>
        <w:t>ة قبل فترة عن امرأة</w:t>
      </w:r>
      <w:r w:rsidR="00B55E95" w:rsidRPr="00282AC9">
        <w:rPr>
          <w:rFonts w:hint="cs"/>
          <w:rtl/>
        </w:rPr>
        <w:t>ٍ</w:t>
      </w:r>
      <w:r w:rsidRPr="00282AC9">
        <w:rPr>
          <w:rtl/>
        </w:rPr>
        <w:t xml:space="preserve"> لم يتسنَّ لها الزواج إ</w:t>
      </w:r>
      <w:r w:rsidR="00EE6DBA" w:rsidRPr="00282AC9">
        <w:rPr>
          <w:rtl/>
        </w:rPr>
        <w:t>لاّ</w:t>
      </w:r>
      <w:r w:rsidRPr="00282AC9">
        <w:rPr>
          <w:rtl/>
        </w:rPr>
        <w:t xml:space="preserve"> بعد وفاة أبيها، وقد بلغ</w:t>
      </w:r>
      <w:r w:rsidR="00B55E95" w:rsidRPr="00282AC9">
        <w:rPr>
          <w:rFonts w:hint="cs"/>
          <w:rtl/>
        </w:rPr>
        <w:t>َ</w:t>
      </w:r>
      <w:r w:rsidRPr="00282AC9">
        <w:rPr>
          <w:rtl/>
        </w:rPr>
        <w:t>ت</w:t>
      </w:r>
      <w:r w:rsidR="00B55E95" w:rsidRPr="00282AC9">
        <w:rPr>
          <w:rFonts w:hint="cs"/>
          <w:rtl/>
        </w:rPr>
        <w:t>ْ</w:t>
      </w:r>
      <w:r w:rsidRPr="00282AC9">
        <w:rPr>
          <w:rtl/>
        </w:rPr>
        <w:t xml:space="preserve"> الأربعين من العمر</w:t>
      </w:r>
      <w:r w:rsidR="00B55E95" w:rsidRPr="00282AC9">
        <w:rPr>
          <w:rFonts w:hint="cs"/>
          <w:rtl/>
        </w:rPr>
        <w:t>؛</w:t>
      </w:r>
      <w:r w:rsidRPr="00282AC9">
        <w:rPr>
          <w:rtl/>
        </w:rPr>
        <w:t xml:space="preserve"> وذلك لأنّ أباها درج على الاستحواذ على أجرها الشهري</w:t>
      </w:r>
      <w:r w:rsidR="00B55E95" w:rsidRPr="00282AC9">
        <w:rPr>
          <w:rFonts w:hint="cs"/>
          <w:rtl/>
        </w:rPr>
        <w:t>ّ،</w:t>
      </w:r>
      <w:r w:rsidRPr="00282AC9">
        <w:rPr>
          <w:rtl/>
        </w:rPr>
        <w:t xml:space="preserve"> ولا يريد أن يخسر ذلك. ولطالما تحج</w:t>
      </w:r>
      <w:r w:rsidR="00B55E95" w:rsidRPr="00282AC9">
        <w:rPr>
          <w:rFonts w:hint="cs"/>
          <w:rtl/>
        </w:rPr>
        <w:t>َّ</w:t>
      </w:r>
      <w:r w:rsidRPr="00282AC9">
        <w:rPr>
          <w:rtl/>
        </w:rPr>
        <w:t>ج بعض الآباء في رفضهم لطالبي الزواج من بناتهم بأنّ الخاطب إنّما يطلب يد ابنته ط</w:t>
      </w:r>
      <w:r w:rsidR="00B55E95" w:rsidRPr="00282AC9">
        <w:rPr>
          <w:rFonts w:hint="cs"/>
          <w:rtl/>
        </w:rPr>
        <w:t>َ</w:t>
      </w:r>
      <w:r w:rsidRPr="00282AC9">
        <w:rPr>
          <w:rtl/>
        </w:rPr>
        <w:t>م</w:t>
      </w:r>
      <w:r w:rsidR="00B55E95" w:rsidRPr="00282AC9">
        <w:rPr>
          <w:rFonts w:hint="cs"/>
          <w:rtl/>
        </w:rPr>
        <w:t>َ</w:t>
      </w:r>
      <w:r w:rsidRPr="00282AC9">
        <w:rPr>
          <w:rtl/>
        </w:rPr>
        <w:t>عاً في مالها، والصحيح أنّ هذا الأب هو الطامع في أموال ابنته</w:t>
      </w:r>
      <w:r w:rsidR="00B55E95" w:rsidRPr="00282AC9">
        <w:rPr>
          <w:rFonts w:hint="cs"/>
          <w:rtl/>
        </w:rPr>
        <w:t>،</w:t>
      </w:r>
      <w:r w:rsidRPr="00282AC9">
        <w:rPr>
          <w:rtl/>
        </w:rPr>
        <w:t xml:space="preserve"> لا ذاك الخاطب، ويُع</w:t>
      </w:r>
      <w:r w:rsidR="00B55E95" w:rsidRPr="00282AC9">
        <w:rPr>
          <w:rFonts w:hint="cs"/>
          <w:rtl/>
        </w:rPr>
        <w:t>َ</w:t>
      </w:r>
      <w:r w:rsidRPr="00282AC9">
        <w:rPr>
          <w:rtl/>
        </w:rPr>
        <w:t>دّ تصرّ</w:t>
      </w:r>
      <w:r w:rsidR="00B55E95" w:rsidRPr="00282AC9">
        <w:rPr>
          <w:rFonts w:hint="cs"/>
          <w:rtl/>
        </w:rPr>
        <w:t>ُ</w:t>
      </w:r>
      <w:r w:rsidRPr="00282AC9">
        <w:rPr>
          <w:rtl/>
        </w:rPr>
        <w:t>ف الأب هذا شكلاً من أشكال الج</w:t>
      </w:r>
      <w:r w:rsidR="00B55E95" w:rsidRPr="00282AC9">
        <w:rPr>
          <w:rFonts w:hint="cs"/>
          <w:rtl/>
        </w:rPr>
        <w:t>َ</w:t>
      </w:r>
      <w:r w:rsidRPr="00282AC9">
        <w:rPr>
          <w:rtl/>
        </w:rPr>
        <w:t>و</w:t>
      </w:r>
      <w:r w:rsidR="00B55E95" w:rsidRPr="00282AC9">
        <w:rPr>
          <w:rFonts w:hint="cs"/>
          <w:rtl/>
        </w:rPr>
        <w:t>ْ</w:t>
      </w:r>
      <w:r w:rsidRPr="00282AC9">
        <w:rPr>
          <w:rtl/>
        </w:rPr>
        <w:t>ر المحر</w:t>
      </w:r>
      <w:r w:rsidR="00B55E95" w:rsidRPr="00282AC9">
        <w:rPr>
          <w:rFonts w:hint="cs"/>
          <w:rtl/>
        </w:rPr>
        <w:t>َّ</w:t>
      </w:r>
      <w:r w:rsidRPr="00282AC9">
        <w:rPr>
          <w:rtl/>
        </w:rPr>
        <w:t>م شرعاً.</w:t>
      </w:r>
    </w:p>
    <w:p w:rsidR="009C6A22" w:rsidRPr="00282AC9" w:rsidRDefault="009C6A22" w:rsidP="00106AA7">
      <w:pPr>
        <w:rPr>
          <w:rtl/>
        </w:rPr>
      </w:pPr>
      <w:r w:rsidRPr="00282AC9">
        <w:rPr>
          <w:rtl/>
        </w:rPr>
        <w:t>وتعجّ الصحافة المحل</w:t>
      </w:r>
      <w:r w:rsidR="00B55E95" w:rsidRPr="00282AC9">
        <w:rPr>
          <w:rFonts w:hint="cs"/>
          <w:rtl/>
        </w:rPr>
        <w:t>ّ</w:t>
      </w:r>
      <w:r w:rsidRPr="00282AC9">
        <w:rPr>
          <w:rtl/>
        </w:rPr>
        <w:t>ية بالتقارير والتحقيقات التي تتناول هذا النوع من القضايا</w:t>
      </w:r>
      <w:r w:rsidR="00B55E95" w:rsidRPr="00282AC9">
        <w:rPr>
          <w:rFonts w:hint="cs"/>
          <w:rtl/>
        </w:rPr>
        <w:t>.</w:t>
      </w:r>
      <w:r w:rsidRPr="00282AC9">
        <w:rPr>
          <w:rtl/>
        </w:rPr>
        <w:t xml:space="preserve"> فما يزال هنالك إخوة</w:t>
      </w:r>
      <w:r w:rsidR="00B55E95" w:rsidRPr="00282AC9">
        <w:rPr>
          <w:rFonts w:hint="cs"/>
          <w:rtl/>
        </w:rPr>
        <w:t>ٌ</w:t>
      </w:r>
      <w:r w:rsidRPr="00282AC9">
        <w:rPr>
          <w:rtl/>
        </w:rPr>
        <w:t xml:space="preserve"> يمنعون أخواتهم من استلام نصيبهنّ من إرث أبيهم</w:t>
      </w:r>
      <w:r w:rsidR="00B55E95" w:rsidRPr="00282AC9">
        <w:rPr>
          <w:rFonts w:hint="cs"/>
          <w:rtl/>
        </w:rPr>
        <w:t>؛</w:t>
      </w:r>
      <w:r w:rsidRPr="00282AC9">
        <w:rPr>
          <w:rtl/>
        </w:rPr>
        <w:t xml:space="preserve"> استضعافاً لهنّ</w:t>
      </w:r>
      <w:r w:rsidR="00B55E95" w:rsidRPr="00282AC9">
        <w:rPr>
          <w:rFonts w:hint="cs"/>
          <w:rtl/>
        </w:rPr>
        <w:t>.</w:t>
      </w:r>
      <w:r w:rsidRPr="00282AC9">
        <w:rPr>
          <w:rtl/>
        </w:rPr>
        <w:t xml:space="preserve"> ومما يفاقم ذلك انتشار ثقافة الع</w:t>
      </w:r>
      <w:r w:rsidR="00B55E95" w:rsidRPr="00282AC9">
        <w:rPr>
          <w:rFonts w:hint="cs"/>
          <w:rtl/>
        </w:rPr>
        <w:t>َ</w:t>
      </w:r>
      <w:r w:rsidRPr="00282AC9">
        <w:rPr>
          <w:rtl/>
        </w:rPr>
        <w:t>ي</w:t>
      </w:r>
      <w:r w:rsidR="00B55E95" w:rsidRPr="00282AC9">
        <w:rPr>
          <w:rFonts w:hint="cs"/>
          <w:rtl/>
        </w:rPr>
        <w:t>ْ</w:t>
      </w:r>
      <w:r w:rsidRPr="00282AC9">
        <w:rPr>
          <w:rtl/>
        </w:rPr>
        <w:t>ب حيال رفع القضايا أمام المحاكم، ومطالبة النساء بحقوقهنّ من إخوانهنّ، على اعتبار أنّ الدخول في مشاكل قضائي</w:t>
      </w:r>
      <w:r w:rsidR="00B55E95" w:rsidRPr="00282AC9">
        <w:rPr>
          <w:rFonts w:hint="cs"/>
          <w:rtl/>
        </w:rPr>
        <w:t>ّ</w:t>
      </w:r>
      <w:r w:rsidRPr="00282AC9">
        <w:rPr>
          <w:rtl/>
        </w:rPr>
        <w:t>ة مع ال</w:t>
      </w:r>
      <w:r w:rsidR="00B55E95" w:rsidRPr="00282AC9">
        <w:rPr>
          <w:rFonts w:hint="cs"/>
          <w:rtl/>
        </w:rPr>
        <w:t>إ</w:t>
      </w:r>
      <w:r w:rsidRPr="00282AC9">
        <w:rPr>
          <w:rtl/>
        </w:rPr>
        <w:t>خوة</w:t>
      </w:r>
      <w:r w:rsidR="00C772AF" w:rsidRPr="00282AC9">
        <w:rPr>
          <w:rFonts w:hint="cs"/>
          <w:rtl/>
        </w:rPr>
        <w:t>؛</w:t>
      </w:r>
      <w:r w:rsidRPr="00282AC9">
        <w:rPr>
          <w:rtl/>
        </w:rPr>
        <w:t xml:space="preserve"> لقاء حفنة</w:t>
      </w:r>
      <w:r w:rsidR="00C772AF" w:rsidRPr="00282AC9">
        <w:rPr>
          <w:rFonts w:hint="cs"/>
          <w:rtl/>
        </w:rPr>
        <w:t>ٍ</w:t>
      </w:r>
      <w:r w:rsidRPr="00282AC9">
        <w:rPr>
          <w:rtl/>
        </w:rPr>
        <w:t xml:space="preserve"> من المال</w:t>
      </w:r>
      <w:r w:rsidR="00C772AF" w:rsidRPr="00282AC9">
        <w:rPr>
          <w:rFonts w:hint="cs"/>
          <w:rtl/>
        </w:rPr>
        <w:t>،</w:t>
      </w:r>
      <w:r w:rsidRPr="00282AC9">
        <w:rPr>
          <w:rtl/>
        </w:rPr>
        <w:t xml:space="preserve"> هو أمر</w:t>
      </w:r>
      <w:r w:rsidR="00C772AF" w:rsidRPr="00282AC9">
        <w:rPr>
          <w:rFonts w:hint="cs"/>
          <w:rtl/>
        </w:rPr>
        <w:t>ٌ</w:t>
      </w:r>
      <w:r w:rsidRPr="00282AC9">
        <w:rPr>
          <w:rtl/>
        </w:rPr>
        <w:t xml:space="preserve"> معيب! إضافة إلى الأعراف والتقاليد المحل</w:t>
      </w:r>
      <w:r w:rsidR="00C772AF" w:rsidRPr="00282AC9">
        <w:rPr>
          <w:rFonts w:hint="cs"/>
          <w:rtl/>
        </w:rPr>
        <w:t>ّ</w:t>
      </w:r>
      <w:r w:rsidRPr="00282AC9">
        <w:rPr>
          <w:rtl/>
        </w:rPr>
        <w:t>ية، حيث تبدو إجراءات التقاضي أمام المحاكم غير مشجّ</w:t>
      </w:r>
      <w:r w:rsidR="00C772AF" w:rsidRPr="00282AC9">
        <w:rPr>
          <w:rFonts w:hint="cs"/>
          <w:rtl/>
        </w:rPr>
        <w:t>ِ</w:t>
      </w:r>
      <w:r w:rsidRPr="00282AC9">
        <w:rPr>
          <w:rtl/>
        </w:rPr>
        <w:t>عة</w:t>
      </w:r>
      <w:r w:rsidR="00C772AF" w:rsidRPr="00282AC9">
        <w:rPr>
          <w:rFonts w:hint="cs"/>
          <w:rtl/>
        </w:rPr>
        <w:t>ٍ</w:t>
      </w:r>
      <w:r w:rsidRPr="00282AC9">
        <w:rPr>
          <w:rtl/>
        </w:rPr>
        <w:t xml:space="preserve"> للمرأة في كثير</w:t>
      </w:r>
      <w:r w:rsidR="00C772AF" w:rsidRPr="00282AC9">
        <w:rPr>
          <w:rFonts w:hint="cs"/>
          <w:rtl/>
        </w:rPr>
        <w:t>ٍ</w:t>
      </w:r>
      <w:r w:rsidRPr="00282AC9">
        <w:rPr>
          <w:rtl/>
        </w:rPr>
        <w:t xml:space="preserve"> من الأحيان، ما يؤدّي إلى ضياع وخسارة الحقوق. </w:t>
      </w:r>
    </w:p>
    <w:p w:rsidR="009C6A22" w:rsidRPr="00282AC9" w:rsidRDefault="00C772AF" w:rsidP="00106AA7">
      <w:pPr>
        <w:rPr>
          <w:rtl/>
        </w:rPr>
      </w:pPr>
      <w:r w:rsidRPr="00282AC9">
        <w:rPr>
          <w:rtl/>
        </w:rPr>
        <w:t>وفي هذا الصد</w:t>
      </w:r>
      <w:r w:rsidR="009C6A22" w:rsidRPr="00282AC9">
        <w:rPr>
          <w:rtl/>
        </w:rPr>
        <w:t>د نشرت صحيفة المدينة</w:t>
      </w:r>
      <w:r w:rsidRPr="00282AC9">
        <w:rPr>
          <w:rFonts w:hint="cs"/>
          <w:rtl/>
        </w:rPr>
        <w:t>،</w:t>
      </w:r>
      <w:r w:rsidR="009C6A22" w:rsidRPr="00282AC9">
        <w:rPr>
          <w:rtl/>
        </w:rPr>
        <w:t xml:space="preserve"> في عددها ليوم 6 فبراير 2016</w:t>
      </w:r>
      <w:r w:rsidRPr="00282AC9">
        <w:rPr>
          <w:rFonts w:hint="cs"/>
          <w:rtl/>
        </w:rPr>
        <w:t>م،</w:t>
      </w:r>
      <w:r w:rsidR="009C6A22" w:rsidRPr="00282AC9">
        <w:rPr>
          <w:rtl/>
        </w:rPr>
        <w:t xml:space="preserve"> تحقيقاً لافتاً بعنوان: </w:t>
      </w:r>
      <w:r w:rsidR="009C6A22" w:rsidRPr="00282AC9">
        <w:rPr>
          <w:sz w:val="24"/>
          <w:szCs w:val="24"/>
          <w:rtl/>
        </w:rPr>
        <w:t>«</w:t>
      </w:r>
      <w:r w:rsidR="009C6A22" w:rsidRPr="00282AC9">
        <w:rPr>
          <w:rtl/>
        </w:rPr>
        <w:t>جاهلية القرن الحادي والعشرين..</w:t>
      </w:r>
      <w:r w:rsidRPr="00282AC9">
        <w:rPr>
          <w:rFonts w:hint="cs"/>
          <w:rtl/>
        </w:rPr>
        <w:t>.،</w:t>
      </w:r>
      <w:r w:rsidR="009C6A22" w:rsidRPr="00282AC9">
        <w:rPr>
          <w:rtl/>
        </w:rPr>
        <w:t xml:space="preserve"> وأد ميراث النساء</w:t>
      </w:r>
      <w:r w:rsidR="009C6A22" w:rsidRPr="00282AC9">
        <w:rPr>
          <w:sz w:val="24"/>
          <w:szCs w:val="24"/>
          <w:rtl/>
        </w:rPr>
        <w:t>»</w:t>
      </w:r>
      <w:r w:rsidR="009C6A22" w:rsidRPr="00282AC9">
        <w:rPr>
          <w:rtl/>
        </w:rPr>
        <w:t>، وتناولت الصحيفة عدداً من الدراسات الجامعية حول الموضوع، ومن ذلك</w:t>
      </w:r>
      <w:r w:rsidRPr="00282AC9">
        <w:rPr>
          <w:rFonts w:hint="cs"/>
          <w:rtl/>
        </w:rPr>
        <w:t>:</w:t>
      </w:r>
      <w:r w:rsidR="009C6A22" w:rsidRPr="00282AC9">
        <w:rPr>
          <w:rtl/>
        </w:rPr>
        <w:t xml:space="preserve"> ما أشارت له دراسة مصرية تقول</w:t>
      </w:r>
      <w:r w:rsidRPr="00282AC9">
        <w:rPr>
          <w:rFonts w:hint="cs"/>
          <w:rtl/>
        </w:rPr>
        <w:t>:</w:t>
      </w:r>
      <w:r w:rsidRPr="00282AC9">
        <w:rPr>
          <w:rtl/>
        </w:rPr>
        <w:t xml:space="preserve"> إنّ 95</w:t>
      </w:r>
      <w:r w:rsidRPr="00282AC9">
        <w:rPr>
          <w:rFonts w:hint="cs"/>
          <w:rtl/>
        </w:rPr>
        <w:t xml:space="preserve">% </w:t>
      </w:r>
      <w:r w:rsidR="009C6A22" w:rsidRPr="00282AC9">
        <w:rPr>
          <w:rtl/>
        </w:rPr>
        <w:t>من نساء الصعيد محرومات</w:t>
      </w:r>
      <w:r w:rsidRPr="00282AC9">
        <w:rPr>
          <w:rFonts w:hint="cs"/>
          <w:rtl/>
        </w:rPr>
        <w:t>ٌ</w:t>
      </w:r>
      <w:r w:rsidR="009C6A22" w:rsidRPr="00282AC9">
        <w:rPr>
          <w:rtl/>
        </w:rPr>
        <w:t xml:space="preserve"> من الميراث</w:t>
      </w:r>
      <w:r w:rsidRPr="00282AC9">
        <w:rPr>
          <w:rFonts w:hint="cs"/>
          <w:rtl/>
        </w:rPr>
        <w:t>.</w:t>
      </w:r>
      <w:r w:rsidR="009C6A22" w:rsidRPr="00282AC9">
        <w:rPr>
          <w:rtl/>
        </w:rPr>
        <w:t xml:space="preserve"> ولنا أن نتخيّ</w:t>
      </w:r>
      <w:r w:rsidRPr="00282AC9">
        <w:rPr>
          <w:rFonts w:hint="cs"/>
          <w:rtl/>
        </w:rPr>
        <w:t>َ</w:t>
      </w:r>
      <w:r w:rsidR="009C6A22" w:rsidRPr="00282AC9">
        <w:rPr>
          <w:rtl/>
        </w:rPr>
        <w:t xml:space="preserve">ل هذه </w:t>
      </w:r>
      <w:r w:rsidR="009C6A22" w:rsidRPr="00282AC9">
        <w:rPr>
          <w:rtl/>
        </w:rPr>
        <w:lastRenderedPageBreak/>
        <w:t>النسبة الهائلة في مجتمع</w:t>
      </w:r>
      <w:r w:rsidRPr="00282AC9">
        <w:rPr>
          <w:rFonts w:hint="cs"/>
          <w:rtl/>
        </w:rPr>
        <w:t>ٍ</w:t>
      </w:r>
      <w:r w:rsidR="009C6A22" w:rsidRPr="00282AC9">
        <w:rPr>
          <w:rtl/>
        </w:rPr>
        <w:t xml:space="preserve"> مسلم يعيش في هذا القرن</w:t>
      </w:r>
      <w:r w:rsidRPr="00282AC9">
        <w:rPr>
          <w:rFonts w:hint="cs"/>
          <w:rtl/>
        </w:rPr>
        <w:t>.</w:t>
      </w:r>
      <w:r w:rsidRPr="00282AC9">
        <w:rPr>
          <w:rtl/>
        </w:rPr>
        <w:t xml:space="preserve"> كما أثبتت الدراسة أنّ 38</w:t>
      </w:r>
      <w:r w:rsidRPr="00282AC9">
        <w:rPr>
          <w:rFonts w:hint="cs"/>
          <w:rtl/>
        </w:rPr>
        <w:t xml:space="preserve">% </w:t>
      </w:r>
      <w:r w:rsidR="009C6A22" w:rsidRPr="00282AC9">
        <w:rPr>
          <w:rtl/>
        </w:rPr>
        <w:t>من النساء لا يطالبن بحقهنّ في الميراث</w:t>
      </w:r>
      <w:r w:rsidRPr="00282AC9">
        <w:rPr>
          <w:rFonts w:hint="cs"/>
          <w:rtl/>
        </w:rPr>
        <w:t>؛</w:t>
      </w:r>
      <w:r w:rsidR="009C6A22" w:rsidRPr="00282AC9">
        <w:rPr>
          <w:rtl/>
        </w:rPr>
        <w:t xml:space="preserve"> لمعرفتهنّ باستحالة حصولهن</w:t>
      </w:r>
      <w:r w:rsidRPr="00282AC9">
        <w:rPr>
          <w:rFonts w:hint="cs"/>
          <w:rtl/>
        </w:rPr>
        <w:t>ّ</w:t>
      </w:r>
      <w:r w:rsidR="009C6A22" w:rsidRPr="00282AC9">
        <w:rPr>
          <w:rtl/>
        </w:rPr>
        <w:t xml:space="preserve"> على هذا الحقّ!</w:t>
      </w:r>
      <w:r w:rsidRPr="00282AC9">
        <w:rPr>
          <w:rtl/>
        </w:rPr>
        <w:t xml:space="preserve"> في حين اعتبر 29</w:t>
      </w:r>
      <w:r w:rsidRPr="00282AC9">
        <w:rPr>
          <w:rFonts w:hint="cs"/>
          <w:rtl/>
        </w:rPr>
        <w:t xml:space="preserve">% </w:t>
      </w:r>
      <w:r w:rsidR="009C6A22" w:rsidRPr="00282AC9">
        <w:rPr>
          <w:rtl/>
        </w:rPr>
        <w:t>من العي</w:t>
      </w:r>
      <w:r w:rsidRPr="00282AC9">
        <w:rPr>
          <w:rFonts w:hint="cs"/>
          <w:rtl/>
        </w:rPr>
        <w:t>ِّ</w:t>
      </w:r>
      <w:r w:rsidR="009C6A22" w:rsidRPr="00282AC9">
        <w:rPr>
          <w:rtl/>
        </w:rPr>
        <w:t xml:space="preserve">نة الخاصة بالدراسة أنّ تقاليد وعادات العائلة تمنعهنّ من المطالبة بالميراث. </w:t>
      </w:r>
    </w:p>
    <w:p w:rsidR="00C772AF" w:rsidRPr="00282AC9" w:rsidRDefault="009C6A22" w:rsidP="00106AA7">
      <w:pPr>
        <w:rPr>
          <w:rtl/>
        </w:rPr>
      </w:pPr>
      <w:r w:rsidRPr="00282AC9">
        <w:rPr>
          <w:rtl/>
        </w:rPr>
        <w:t>وتجدر الإشارة هنا إلى أنّ بعض الأزواج يستندون إلى بعض المروي</w:t>
      </w:r>
      <w:r w:rsidR="00C772AF" w:rsidRPr="00282AC9">
        <w:rPr>
          <w:rFonts w:hint="cs"/>
          <w:rtl/>
        </w:rPr>
        <w:t>ّ</w:t>
      </w:r>
      <w:r w:rsidRPr="00282AC9">
        <w:rPr>
          <w:rtl/>
        </w:rPr>
        <w:t>ات في تخويل أنفسهم حقّ التصر</w:t>
      </w:r>
      <w:r w:rsidR="00C772AF" w:rsidRPr="00282AC9">
        <w:rPr>
          <w:rFonts w:hint="cs"/>
          <w:rtl/>
        </w:rPr>
        <w:t>ُّ</w:t>
      </w:r>
      <w:r w:rsidRPr="00282AC9">
        <w:rPr>
          <w:rtl/>
        </w:rPr>
        <w:t>ف بأموال زوجاتهم. ومن ذلك</w:t>
      </w:r>
      <w:r w:rsidR="00C772AF" w:rsidRPr="00282AC9">
        <w:rPr>
          <w:rFonts w:hint="cs"/>
          <w:rtl/>
        </w:rPr>
        <w:t>:</w:t>
      </w:r>
      <w:r w:rsidRPr="00282AC9">
        <w:rPr>
          <w:rtl/>
        </w:rPr>
        <w:t xml:space="preserve"> ما ورد</w:t>
      </w:r>
      <w:r w:rsidR="00C772AF" w:rsidRPr="00282AC9">
        <w:rPr>
          <w:rFonts w:hint="cs"/>
          <w:rtl/>
        </w:rPr>
        <w:t xml:space="preserve"> من</w:t>
      </w:r>
      <w:r w:rsidRPr="00282AC9">
        <w:rPr>
          <w:rtl/>
        </w:rPr>
        <w:t xml:space="preserve"> </w:t>
      </w:r>
      <w:r w:rsidRPr="00282AC9">
        <w:rPr>
          <w:sz w:val="24"/>
          <w:szCs w:val="24"/>
          <w:rtl/>
        </w:rPr>
        <w:t>«</w:t>
      </w:r>
      <w:r w:rsidRPr="00282AC9">
        <w:rPr>
          <w:rtl/>
        </w:rPr>
        <w:t>أنْ ليس للمرأة أن تتصر</w:t>
      </w:r>
      <w:r w:rsidR="00C772AF" w:rsidRPr="00282AC9">
        <w:rPr>
          <w:rFonts w:hint="cs"/>
          <w:rtl/>
        </w:rPr>
        <w:t>َّ</w:t>
      </w:r>
      <w:r w:rsidRPr="00282AC9">
        <w:rPr>
          <w:rtl/>
        </w:rPr>
        <w:t>ف في مالها</w:t>
      </w:r>
      <w:r w:rsidR="00C772AF" w:rsidRPr="00282AC9">
        <w:rPr>
          <w:rFonts w:hint="cs"/>
          <w:rtl/>
        </w:rPr>
        <w:t>،</w:t>
      </w:r>
      <w:r w:rsidRPr="00282AC9">
        <w:rPr>
          <w:rtl/>
        </w:rPr>
        <w:t xml:space="preserve"> حت</w:t>
      </w:r>
      <w:r w:rsidR="00C772AF" w:rsidRPr="00282AC9">
        <w:rPr>
          <w:rFonts w:hint="cs"/>
          <w:rtl/>
        </w:rPr>
        <w:t>ّ</w:t>
      </w:r>
      <w:r w:rsidRPr="00282AC9">
        <w:rPr>
          <w:rtl/>
        </w:rPr>
        <w:t>ى في أمور البر</w:t>
      </w:r>
      <w:r w:rsidR="00C772AF" w:rsidRPr="00282AC9">
        <w:rPr>
          <w:rFonts w:hint="cs"/>
          <w:rtl/>
        </w:rPr>
        <w:t>ّ،</w:t>
      </w:r>
      <w:r w:rsidRPr="00282AC9">
        <w:rPr>
          <w:rtl/>
        </w:rPr>
        <w:t xml:space="preserve"> إ</w:t>
      </w:r>
      <w:r w:rsidR="00EE6DBA" w:rsidRPr="00282AC9">
        <w:rPr>
          <w:rtl/>
        </w:rPr>
        <w:t>لاّ</w:t>
      </w:r>
      <w:r w:rsidRPr="00282AC9">
        <w:rPr>
          <w:rtl/>
        </w:rPr>
        <w:t xml:space="preserve"> بإذن زوجها</w:t>
      </w:r>
      <w:r w:rsidRPr="00282AC9">
        <w:rPr>
          <w:sz w:val="24"/>
          <w:szCs w:val="24"/>
          <w:rtl/>
        </w:rPr>
        <w:t>»</w:t>
      </w:r>
      <w:r w:rsidR="00C772AF" w:rsidRPr="00282AC9">
        <w:rPr>
          <w:rFonts w:hint="cs"/>
          <w:rtl/>
        </w:rPr>
        <w:t>.</w:t>
      </w:r>
    </w:p>
    <w:p w:rsidR="009C6A22" w:rsidRPr="00282AC9" w:rsidRDefault="009C6A22" w:rsidP="00106AA7">
      <w:pPr>
        <w:rPr>
          <w:rtl/>
        </w:rPr>
      </w:pPr>
      <w:r w:rsidRPr="00282AC9">
        <w:rPr>
          <w:rtl/>
        </w:rPr>
        <w:t>إ</w:t>
      </w:r>
      <w:r w:rsidR="00EE6DBA" w:rsidRPr="00282AC9">
        <w:rPr>
          <w:rtl/>
        </w:rPr>
        <w:t>لاّ</w:t>
      </w:r>
      <w:r w:rsidRPr="00282AC9">
        <w:rPr>
          <w:rtl/>
        </w:rPr>
        <w:t xml:space="preserve"> أنّ هذه الرواية وأمثالها تتصادم وآيات</w:t>
      </w:r>
      <w:r w:rsidR="00C772AF" w:rsidRPr="00282AC9">
        <w:rPr>
          <w:rFonts w:hint="cs"/>
          <w:rtl/>
        </w:rPr>
        <w:t>ٍ</w:t>
      </w:r>
      <w:r w:rsidRPr="00282AC9">
        <w:rPr>
          <w:rtl/>
        </w:rPr>
        <w:t xml:space="preserve"> قرآني</w:t>
      </w:r>
      <w:r w:rsidR="00C772AF" w:rsidRPr="00282AC9">
        <w:rPr>
          <w:rFonts w:hint="cs"/>
          <w:rtl/>
        </w:rPr>
        <w:t>ّ</w:t>
      </w:r>
      <w:r w:rsidRPr="00282AC9">
        <w:rPr>
          <w:rtl/>
        </w:rPr>
        <w:t>ة واضحة</w:t>
      </w:r>
      <w:r w:rsidR="00C772AF" w:rsidRPr="00282AC9">
        <w:rPr>
          <w:rFonts w:hint="cs"/>
          <w:rtl/>
        </w:rPr>
        <w:t>؛</w:t>
      </w:r>
      <w:r w:rsidRPr="00282AC9">
        <w:rPr>
          <w:rtl/>
        </w:rPr>
        <w:t xml:space="preserve"> كما تصادم نصوصاً قطعي</w:t>
      </w:r>
      <w:r w:rsidR="00C772AF" w:rsidRPr="00282AC9">
        <w:rPr>
          <w:rFonts w:hint="cs"/>
          <w:rtl/>
        </w:rPr>
        <w:t>ّ</w:t>
      </w:r>
      <w:r w:rsidRPr="00282AC9">
        <w:rPr>
          <w:rtl/>
        </w:rPr>
        <w:t>ة من السن</w:t>
      </w:r>
      <w:r w:rsidR="00C772AF" w:rsidRPr="00282AC9">
        <w:rPr>
          <w:rFonts w:hint="cs"/>
          <w:rtl/>
        </w:rPr>
        <w:t>ّ</w:t>
      </w:r>
      <w:r w:rsidRPr="00282AC9">
        <w:rPr>
          <w:rtl/>
        </w:rPr>
        <w:t>ة النبوي</w:t>
      </w:r>
      <w:r w:rsidR="00C772AF" w:rsidRPr="00282AC9">
        <w:rPr>
          <w:rFonts w:hint="cs"/>
          <w:rtl/>
        </w:rPr>
        <w:t>ّ</w:t>
      </w:r>
      <w:r w:rsidRPr="00282AC9">
        <w:rPr>
          <w:rtl/>
        </w:rPr>
        <w:t>ة</w:t>
      </w:r>
      <w:r w:rsidR="00C772AF" w:rsidRPr="00282AC9">
        <w:rPr>
          <w:rFonts w:hint="cs"/>
          <w:rtl/>
        </w:rPr>
        <w:t>.</w:t>
      </w:r>
      <w:r w:rsidRPr="00282AC9">
        <w:rPr>
          <w:rtl/>
        </w:rPr>
        <w:t xml:space="preserve"> ناهيك عن مصادمتها لقواعد أساسي</w:t>
      </w:r>
      <w:r w:rsidR="00C772AF" w:rsidRPr="00282AC9">
        <w:rPr>
          <w:rFonts w:hint="cs"/>
          <w:rtl/>
        </w:rPr>
        <w:t>ّ</w:t>
      </w:r>
      <w:r w:rsidRPr="00282AC9">
        <w:rPr>
          <w:rtl/>
        </w:rPr>
        <w:t>ة في الفقه</w:t>
      </w:r>
      <w:r w:rsidR="00C772AF" w:rsidRPr="00282AC9">
        <w:rPr>
          <w:rFonts w:hint="cs"/>
          <w:rtl/>
        </w:rPr>
        <w:t>.</w:t>
      </w:r>
      <w:r w:rsidRPr="00282AC9">
        <w:rPr>
          <w:rtl/>
        </w:rPr>
        <w:t xml:space="preserve"> لذلك لا يمكن القبول بها. وقد حمل بعض الفقهاء الرواية على الاستحباب، بحيث يستحب</w:t>
      </w:r>
      <w:r w:rsidR="00C772AF" w:rsidRPr="00282AC9">
        <w:rPr>
          <w:rFonts w:hint="cs"/>
          <w:rtl/>
        </w:rPr>
        <w:t>ّ</w:t>
      </w:r>
      <w:r w:rsidRPr="00282AC9">
        <w:rPr>
          <w:rtl/>
        </w:rPr>
        <w:t xml:space="preserve"> للمرأة، وفق هذا الرأي، أ</w:t>
      </w:r>
      <w:r w:rsidR="00C772AF" w:rsidRPr="00282AC9">
        <w:rPr>
          <w:rFonts w:hint="cs"/>
          <w:rtl/>
        </w:rPr>
        <w:t>ن لا</w:t>
      </w:r>
      <w:r w:rsidRPr="00282AC9">
        <w:rPr>
          <w:rtl/>
        </w:rPr>
        <w:t xml:space="preserve"> تنفق من أموالها في مختلف أوجه البر</w:t>
      </w:r>
      <w:r w:rsidR="00C772AF" w:rsidRPr="00282AC9">
        <w:rPr>
          <w:rFonts w:hint="cs"/>
          <w:rtl/>
        </w:rPr>
        <w:t>ّ</w:t>
      </w:r>
      <w:r w:rsidRPr="00282AC9">
        <w:rPr>
          <w:rtl/>
        </w:rPr>
        <w:t xml:space="preserve"> إ</w:t>
      </w:r>
      <w:r w:rsidR="00EE6DBA" w:rsidRPr="00282AC9">
        <w:rPr>
          <w:rtl/>
        </w:rPr>
        <w:t>لاّ</w:t>
      </w:r>
      <w:r w:rsidRPr="00282AC9">
        <w:rPr>
          <w:rtl/>
        </w:rPr>
        <w:t xml:space="preserve"> بإذن زوجها. </w:t>
      </w:r>
    </w:p>
    <w:p w:rsidR="00C75E73" w:rsidRPr="00282AC9" w:rsidRDefault="00C75E73" w:rsidP="00C75E73">
      <w:pPr>
        <w:spacing w:line="420" w:lineRule="exact"/>
        <w:rPr>
          <w:rtl/>
        </w:rPr>
      </w:pPr>
    </w:p>
    <w:p w:rsidR="009C6A22" w:rsidRPr="00282AC9" w:rsidRDefault="009C6A22" w:rsidP="00861959">
      <w:pPr>
        <w:pStyle w:val="31"/>
        <w:rPr>
          <w:color w:val="auto"/>
          <w:lang w:bidi="ar-YE"/>
        </w:rPr>
      </w:pPr>
      <w:r w:rsidRPr="00282AC9">
        <w:rPr>
          <w:color w:val="auto"/>
          <w:rtl/>
          <w:lang w:bidi="ar-YE"/>
        </w:rPr>
        <w:t>مساعدة</w:t>
      </w:r>
      <w:r w:rsidR="00861959" w:rsidRPr="00282AC9">
        <w:rPr>
          <w:rFonts w:hint="cs"/>
          <w:color w:val="auto"/>
          <w:rtl/>
        </w:rPr>
        <w:t xml:space="preserve"> الزوجة </w:t>
      </w:r>
      <w:r w:rsidRPr="00282AC9">
        <w:rPr>
          <w:color w:val="auto"/>
          <w:rtl/>
          <w:lang w:bidi="ar-YE"/>
        </w:rPr>
        <w:t>لزوج</w:t>
      </w:r>
      <w:r w:rsidR="00861959" w:rsidRPr="00282AC9">
        <w:rPr>
          <w:rFonts w:hint="cs"/>
          <w:color w:val="auto"/>
          <w:rtl/>
          <w:lang w:bidi="ar-YE"/>
        </w:rPr>
        <w:t>ها</w:t>
      </w:r>
    </w:p>
    <w:p w:rsidR="009C6A22" w:rsidRPr="00282AC9" w:rsidRDefault="009C6A22" w:rsidP="00106AA7">
      <w:pPr>
        <w:rPr>
          <w:rtl/>
        </w:rPr>
      </w:pPr>
      <w:r w:rsidRPr="00282AC9">
        <w:rPr>
          <w:rtl/>
        </w:rPr>
        <w:t>وحين ينصّ الحكم الشرعي على حقّ المرأة وحدها في التصر</w:t>
      </w:r>
      <w:r w:rsidR="00C772AF" w:rsidRPr="00282AC9">
        <w:rPr>
          <w:rFonts w:hint="cs"/>
          <w:rtl/>
        </w:rPr>
        <w:t>ُّ</w:t>
      </w:r>
      <w:r w:rsidRPr="00282AC9">
        <w:rPr>
          <w:rtl/>
        </w:rPr>
        <w:t>ف بأموالها فإنّ ذلك لا يعني ن</w:t>
      </w:r>
      <w:r w:rsidR="00C772AF" w:rsidRPr="00282AC9">
        <w:rPr>
          <w:rFonts w:hint="cs"/>
          <w:rtl/>
        </w:rPr>
        <w:t>َ</w:t>
      </w:r>
      <w:r w:rsidRPr="00282AC9">
        <w:rPr>
          <w:rtl/>
        </w:rPr>
        <w:t>أ</w:t>
      </w:r>
      <w:r w:rsidR="00C772AF" w:rsidRPr="00282AC9">
        <w:rPr>
          <w:rFonts w:hint="cs"/>
          <w:rtl/>
        </w:rPr>
        <w:t>ْ</w:t>
      </w:r>
      <w:r w:rsidRPr="00282AC9">
        <w:rPr>
          <w:rtl/>
        </w:rPr>
        <w:t>ي</w:t>
      </w:r>
      <w:r w:rsidR="00C772AF" w:rsidRPr="00282AC9">
        <w:rPr>
          <w:rFonts w:hint="cs"/>
          <w:rtl/>
        </w:rPr>
        <w:t>َ</w:t>
      </w:r>
      <w:r w:rsidRPr="00282AC9">
        <w:rPr>
          <w:rtl/>
        </w:rPr>
        <w:t>ها عن دعم أ</w:t>
      </w:r>
      <w:r w:rsidR="00C772AF" w:rsidRPr="00282AC9">
        <w:rPr>
          <w:rFonts w:hint="cs"/>
          <w:rtl/>
        </w:rPr>
        <w:t>ُ</w:t>
      </w:r>
      <w:r w:rsidRPr="00282AC9">
        <w:rPr>
          <w:rtl/>
        </w:rPr>
        <w:t>س</w:t>
      </w:r>
      <w:r w:rsidR="00C772AF" w:rsidRPr="00282AC9">
        <w:rPr>
          <w:rFonts w:hint="cs"/>
          <w:rtl/>
        </w:rPr>
        <w:t>ْ</w:t>
      </w:r>
      <w:r w:rsidRPr="00282AC9">
        <w:rPr>
          <w:rtl/>
        </w:rPr>
        <w:t>ر</w:t>
      </w:r>
      <w:r w:rsidR="00C772AF" w:rsidRPr="00282AC9">
        <w:rPr>
          <w:rFonts w:hint="cs"/>
          <w:rtl/>
        </w:rPr>
        <w:t>َ</w:t>
      </w:r>
      <w:r w:rsidRPr="00282AC9">
        <w:rPr>
          <w:rtl/>
        </w:rPr>
        <w:t>تها</w:t>
      </w:r>
      <w:r w:rsidR="00C772AF" w:rsidRPr="00282AC9">
        <w:rPr>
          <w:rFonts w:hint="cs"/>
          <w:rtl/>
        </w:rPr>
        <w:t xml:space="preserve">، </w:t>
      </w:r>
      <w:r w:rsidRPr="00282AC9">
        <w:rPr>
          <w:rtl/>
        </w:rPr>
        <w:t>وخاص</w:t>
      </w:r>
      <w:r w:rsidR="00C772AF" w:rsidRPr="00282AC9">
        <w:rPr>
          <w:rFonts w:hint="cs"/>
          <w:rtl/>
        </w:rPr>
        <w:t>ّ</w:t>
      </w:r>
      <w:r w:rsidRPr="00282AC9">
        <w:rPr>
          <w:rtl/>
        </w:rPr>
        <w:t>ة إذا كان الزوج من محدودي الد</w:t>
      </w:r>
      <w:r w:rsidR="00C772AF" w:rsidRPr="00282AC9">
        <w:rPr>
          <w:rFonts w:hint="cs"/>
          <w:rtl/>
        </w:rPr>
        <w:t>َّ</w:t>
      </w:r>
      <w:r w:rsidRPr="00282AC9">
        <w:rPr>
          <w:rtl/>
        </w:rPr>
        <w:t>خ</w:t>
      </w:r>
      <w:r w:rsidR="00C772AF" w:rsidRPr="00282AC9">
        <w:rPr>
          <w:rFonts w:hint="cs"/>
          <w:rtl/>
        </w:rPr>
        <w:t>ْ</w:t>
      </w:r>
      <w:r w:rsidRPr="00282AC9">
        <w:rPr>
          <w:rtl/>
        </w:rPr>
        <w:t>ل، وذلك على قاعدة الع</w:t>
      </w:r>
      <w:r w:rsidR="00C772AF" w:rsidRPr="00282AC9">
        <w:rPr>
          <w:rFonts w:hint="cs"/>
          <w:rtl/>
        </w:rPr>
        <w:t>ِ</w:t>
      </w:r>
      <w:r w:rsidRPr="00282AC9">
        <w:rPr>
          <w:rtl/>
        </w:rPr>
        <w:t>ش</w:t>
      </w:r>
      <w:r w:rsidR="00C772AF" w:rsidRPr="00282AC9">
        <w:rPr>
          <w:rFonts w:hint="cs"/>
          <w:rtl/>
        </w:rPr>
        <w:t>ْ</w:t>
      </w:r>
      <w:r w:rsidRPr="00282AC9">
        <w:rPr>
          <w:rtl/>
        </w:rPr>
        <w:t>رة الح</w:t>
      </w:r>
      <w:r w:rsidR="00C772AF" w:rsidRPr="00282AC9">
        <w:rPr>
          <w:rFonts w:hint="cs"/>
          <w:rtl/>
        </w:rPr>
        <w:t>َ</w:t>
      </w:r>
      <w:r w:rsidRPr="00282AC9">
        <w:rPr>
          <w:rtl/>
        </w:rPr>
        <w:t>س</w:t>
      </w:r>
      <w:r w:rsidR="00C772AF" w:rsidRPr="00282AC9">
        <w:rPr>
          <w:rFonts w:hint="cs"/>
          <w:rtl/>
        </w:rPr>
        <w:t>َ</w:t>
      </w:r>
      <w:r w:rsidRPr="00282AC9">
        <w:rPr>
          <w:rtl/>
        </w:rPr>
        <w:t>نة والحياة المشتركة بينهما</w:t>
      </w:r>
      <w:r w:rsidR="00C772AF" w:rsidRPr="00282AC9">
        <w:rPr>
          <w:rFonts w:hint="cs"/>
          <w:rtl/>
        </w:rPr>
        <w:t>.</w:t>
      </w:r>
      <w:r w:rsidRPr="00282AC9">
        <w:rPr>
          <w:rtl/>
        </w:rPr>
        <w:t xml:space="preserve"> وما عسى أن تفعل المرأة بالمال إذا لم تخدم به أ</w:t>
      </w:r>
      <w:r w:rsidR="00C772AF" w:rsidRPr="00282AC9">
        <w:rPr>
          <w:rFonts w:hint="cs"/>
          <w:rtl/>
        </w:rPr>
        <w:t>ُ</w:t>
      </w:r>
      <w:r w:rsidRPr="00282AC9">
        <w:rPr>
          <w:rtl/>
        </w:rPr>
        <w:t>س</w:t>
      </w:r>
      <w:r w:rsidR="00C772AF" w:rsidRPr="00282AC9">
        <w:rPr>
          <w:rFonts w:hint="cs"/>
          <w:rtl/>
        </w:rPr>
        <w:t>ْ</w:t>
      </w:r>
      <w:r w:rsidRPr="00282AC9">
        <w:rPr>
          <w:rtl/>
        </w:rPr>
        <w:t>ر</w:t>
      </w:r>
      <w:r w:rsidR="00C772AF" w:rsidRPr="00282AC9">
        <w:rPr>
          <w:rFonts w:hint="cs"/>
          <w:rtl/>
        </w:rPr>
        <w:t>َ</w:t>
      </w:r>
      <w:r w:rsidRPr="00282AC9">
        <w:rPr>
          <w:rtl/>
        </w:rPr>
        <w:t>ت</w:t>
      </w:r>
      <w:r w:rsidR="00C772AF" w:rsidRPr="00282AC9">
        <w:rPr>
          <w:rFonts w:hint="cs"/>
          <w:rtl/>
        </w:rPr>
        <w:t>َ</w:t>
      </w:r>
      <w:r w:rsidRPr="00282AC9">
        <w:rPr>
          <w:rtl/>
        </w:rPr>
        <w:t xml:space="preserve">ها، </w:t>
      </w:r>
      <w:r w:rsidR="00A72C40" w:rsidRPr="00282AC9">
        <w:rPr>
          <w:rFonts w:hint="cs"/>
          <w:rtl/>
        </w:rPr>
        <w:t xml:space="preserve">ولا </w:t>
      </w:r>
      <w:r w:rsidRPr="00282AC9">
        <w:rPr>
          <w:rtl/>
        </w:rPr>
        <w:t>سيّ</w:t>
      </w:r>
      <w:r w:rsidR="00A72C40" w:rsidRPr="00282AC9">
        <w:rPr>
          <w:rFonts w:hint="cs"/>
          <w:rtl/>
        </w:rPr>
        <w:t>َ</w:t>
      </w:r>
      <w:r w:rsidRPr="00282AC9">
        <w:rPr>
          <w:rtl/>
        </w:rPr>
        <w:t>ما أنّ بعض النساء يمارس</w:t>
      </w:r>
      <w:r w:rsidR="00A72C40" w:rsidRPr="00282AC9">
        <w:rPr>
          <w:rFonts w:hint="cs"/>
          <w:rtl/>
        </w:rPr>
        <w:t>ْ</w:t>
      </w:r>
      <w:r w:rsidRPr="00282AC9">
        <w:rPr>
          <w:rtl/>
        </w:rPr>
        <w:t>ن</w:t>
      </w:r>
      <w:r w:rsidR="00A72C40" w:rsidRPr="00282AC9">
        <w:rPr>
          <w:rFonts w:hint="cs"/>
          <w:rtl/>
        </w:rPr>
        <w:t>َ</w:t>
      </w:r>
      <w:r w:rsidRPr="00282AC9">
        <w:rPr>
          <w:rtl/>
        </w:rPr>
        <w:t xml:space="preserve"> حق</w:t>
      </w:r>
      <w:r w:rsidR="00A72C40" w:rsidRPr="00282AC9">
        <w:rPr>
          <w:rFonts w:hint="cs"/>
          <w:rtl/>
        </w:rPr>
        <w:t>َّ</w:t>
      </w:r>
      <w:r w:rsidRPr="00282AC9">
        <w:rPr>
          <w:rtl/>
        </w:rPr>
        <w:t>هنّ في التصر</w:t>
      </w:r>
      <w:r w:rsidR="00A72C40" w:rsidRPr="00282AC9">
        <w:rPr>
          <w:rFonts w:hint="cs"/>
          <w:rtl/>
        </w:rPr>
        <w:t>ُّ</w:t>
      </w:r>
      <w:r w:rsidRPr="00282AC9">
        <w:rPr>
          <w:rtl/>
        </w:rPr>
        <w:t xml:space="preserve">ف بأموالهنّ </w:t>
      </w:r>
      <w:r w:rsidR="00A72C40" w:rsidRPr="00282AC9">
        <w:rPr>
          <w:rFonts w:hint="cs"/>
          <w:rtl/>
        </w:rPr>
        <w:t xml:space="preserve">بشكلٍ خاطئ؛ كما في </w:t>
      </w:r>
      <w:r w:rsidRPr="00282AC9">
        <w:rPr>
          <w:rtl/>
        </w:rPr>
        <w:t>تبديدها على التبض</w:t>
      </w:r>
      <w:r w:rsidR="00A72C40" w:rsidRPr="00282AC9">
        <w:rPr>
          <w:rFonts w:hint="cs"/>
          <w:rtl/>
        </w:rPr>
        <w:t>ُّ</w:t>
      </w:r>
      <w:r w:rsidRPr="00282AC9">
        <w:rPr>
          <w:rtl/>
        </w:rPr>
        <w:t>ع وملاحقة صرعات الموضة واقتناء الكماليات، في الوقت الذي يعوز منزل أ</w:t>
      </w:r>
      <w:r w:rsidR="00A72C40" w:rsidRPr="00282AC9">
        <w:rPr>
          <w:rFonts w:hint="cs"/>
          <w:rtl/>
        </w:rPr>
        <w:t>ُ</w:t>
      </w:r>
      <w:r w:rsidRPr="00282AC9">
        <w:rPr>
          <w:rtl/>
        </w:rPr>
        <w:t>س</w:t>
      </w:r>
      <w:r w:rsidR="00A72C40" w:rsidRPr="00282AC9">
        <w:rPr>
          <w:rFonts w:hint="cs"/>
          <w:rtl/>
        </w:rPr>
        <w:t>ْ</w:t>
      </w:r>
      <w:r w:rsidRPr="00282AC9">
        <w:rPr>
          <w:rtl/>
        </w:rPr>
        <w:t>ر</w:t>
      </w:r>
      <w:r w:rsidR="00A72C40" w:rsidRPr="00282AC9">
        <w:rPr>
          <w:rFonts w:hint="cs"/>
          <w:rtl/>
        </w:rPr>
        <w:t>َ</w:t>
      </w:r>
      <w:r w:rsidRPr="00282AC9">
        <w:rPr>
          <w:rtl/>
        </w:rPr>
        <w:t>تها أشياء أساسي</w:t>
      </w:r>
      <w:r w:rsidR="00A72C40" w:rsidRPr="00282AC9">
        <w:rPr>
          <w:rFonts w:hint="cs"/>
          <w:rtl/>
        </w:rPr>
        <w:t>ّ</w:t>
      </w:r>
      <w:r w:rsidRPr="00282AC9">
        <w:rPr>
          <w:rtl/>
        </w:rPr>
        <w:t>ة! وفي حين يمكن القول</w:t>
      </w:r>
      <w:r w:rsidR="00A72C40" w:rsidRPr="00282AC9">
        <w:rPr>
          <w:rFonts w:hint="cs"/>
          <w:rtl/>
        </w:rPr>
        <w:t>:</w:t>
      </w:r>
      <w:r w:rsidRPr="00282AC9">
        <w:rPr>
          <w:rtl/>
        </w:rPr>
        <w:t xml:space="preserve"> إنّه لا يجب على المرأة من الناحية الشرعي</w:t>
      </w:r>
      <w:r w:rsidR="00A72C40" w:rsidRPr="00282AC9">
        <w:rPr>
          <w:rFonts w:hint="cs"/>
          <w:rtl/>
        </w:rPr>
        <w:t>ّ</w:t>
      </w:r>
      <w:r w:rsidRPr="00282AC9">
        <w:rPr>
          <w:rtl/>
        </w:rPr>
        <w:t>ة أن تنفق على أسرتها، ولكن</w:t>
      </w:r>
      <w:r w:rsidR="00A72C40" w:rsidRPr="00282AC9">
        <w:rPr>
          <w:rFonts w:hint="cs"/>
          <w:rtl/>
        </w:rPr>
        <w:t>ْ</w:t>
      </w:r>
      <w:r w:rsidRPr="00282AC9">
        <w:rPr>
          <w:rtl/>
        </w:rPr>
        <w:t xml:space="preserve"> ماذا عن الناحية الأخلاقية، وتأثير ذلك على حياة الأ</w:t>
      </w:r>
      <w:r w:rsidR="00A72C40" w:rsidRPr="00282AC9">
        <w:rPr>
          <w:rFonts w:hint="cs"/>
          <w:rtl/>
        </w:rPr>
        <w:t>ُ</w:t>
      </w:r>
      <w:r w:rsidRPr="00282AC9">
        <w:rPr>
          <w:rtl/>
        </w:rPr>
        <w:t>س</w:t>
      </w:r>
      <w:r w:rsidR="00A72C40" w:rsidRPr="00282AC9">
        <w:rPr>
          <w:rFonts w:hint="cs"/>
          <w:rtl/>
        </w:rPr>
        <w:t>ْ</w:t>
      </w:r>
      <w:r w:rsidRPr="00282AC9">
        <w:rPr>
          <w:rtl/>
        </w:rPr>
        <w:t>ر</w:t>
      </w:r>
      <w:r w:rsidR="00A72C40" w:rsidRPr="00282AC9">
        <w:rPr>
          <w:rFonts w:hint="cs"/>
          <w:rtl/>
        </w:rPr>
        <w:t>َ</w:t>
      </w:r>
      <w:r w:rsidRPr="00282AC9">
        <w:rPr>
          <w:rtl/>
        </w:rPr>
        <w:t>ة؟ وفق هذه الاعتبارات ينبغي للمرأة صاحبة الد</w:t>
      </w:r>
      <w:r w:rsidR="00A72C40" w:rsidRPr="00282AC9">
        <w:rPr>
          <w:rFonts w:hint="cs"/>
          <w:rtl/>
        </w:rPr>
        <w:t>َّ</w:t>
      </w:r>
      <w:r w:rsidRPr="00282AC9">
        <w:rPr>
          <w:rtl/>
        </w:rPr>
        <w:t>خ</w:t>
      </w:r>
      <w:r w:rsidR="00A72C40" w:rsidRPr="00282AC9">
        <w:rPr>
          <w:rFonts w:hint="cs"/>
          <w:rtl/>
        </w:rPr>
        <w:t>ْ</w:t>
      </w:r>
      <w:r w:rsidRPr="00282AC9">
        <w:rPr>
          <w:rtl/>
        </w:rPr>
        <w:t>ل المالي أن تعين زوجها، وترفّ</w:t>
      </w:r>
      <w:r w:rsidR="00A72C40" w:rsidRPr="00282AC9">
        <w:rPr>
          <w:rFonts w:hint="cs"/>
          <w:rtl/>
        </w:rPr>
        <w:t>ِ</w:t>
      </w:r>
      <w:r w:rsidRPr="00282AC9">
        <w:rPr>
          <w:rtl/>
        </w:rPr>
        <w:t>ه عن أ</w:t>
      </w:r>
      <w:r w:rsidR="00A72C40" w:rsidRPr="00282AC9">
        <w:rPr>
          <w:rFonts w:hint="cs"/>
          <w:rtl/>
        </w:rPr>
        <w:t>ُ</w:t>
      </w:r>
      <w:r w:rsidRPr="00282AC9">
        <w:rPr>
          <w:rtl/>
        </w:rPr>
        <w:t>س</w:t>
      </w:r>
      <w:r w:rsidR="00A72C40" w:rsidRPr="00282AC9">
        <w:rPr>
          <w:rFonts w:hint="cs"/>
          <w:rtl/>
        </w:rPr>
        <w:t>ْ</w:t>
      </w:r>
      <w:r w:rsidRPr="00282AC9">
        <w:rPr>
          <w:rtl/>
        </w:rPr>
        <w:t>ر</w:t>
      </w:r>
      <w:r w:rsidR="00A72C40" w:rsidRPr="00282AC9">
        <w:rPr>
          <w:rFonts w:hint="cs"/>
          <w:rtl/>
        </w:rPr>
        <w:t>َ</w:t>
      </w:r>
      <w:r w:rsidRPr="00282AC9">
        <w:rPr>
          <w:rtl/>
        </w:rPr>
        <w:t>تها؛ لأنّ قيمة المال تكمن في توفيره الراحة للإنسان ولم</w:t>
      </w:r>
      <w:r w:rsidR="00A72C40" w:rsidRPr="00282AC9">
        <w:rPr>
          <w:rFonts w:hint="cs"/>
          <w:rtl/>
        </w:rPr>
        <w:t>َ</w:t>
      </w:r>
      <w:r w:rsidRPr="00282AC9">
        <w:rPr>
          <w:rtl/>
        </w:rPr>
        <w:t>ن</w:t>
      </w:r>
      <w:r w:rsidR="00A72C40" w:rsidRPr="00282AC9">
        <w:rPr>
          <w:rFonts w:hint="cs"/>
          <w:rtl/>
        </w:rPr>
        <w:t>ْ</w:t>
      </w:r>
      <w:r w:rsidRPr="00282AC9">
        <w:rPr>
          <w:rtl/>
        </w:rPr>
        <w:t xml:space="preserve"> حوله</w:t>
      </w:r>
      <w:r w:rsidR="00A72C40" w:rsidRPr="00282AC9">
        <w:rPr>
          <w:rFonts w:hint="cs"/>
          <w:rtl/>
        </w:rPr>
        <w:t>.</w:t>
      </w:r>
      <w:r w:rsidRPr="00282AC9">
        <w:rPr>
          <w:rtl/>
        </w:rPr>
        <w:t xml:space="preserve"> وهذا الخطاب يعني المرأة المقتدرة</w:t>
      </w:r>
      <w:r w:rsidR="00A72C40" w:rsidRPr="00282AC9">
        <w:rPr>
          <w:rFonts w:hint="cs"/>
          <w:rtl/>
        </w:rPr>
        <w:t>،</w:t>
      </w:r>
      <w:r w:rsidRPr="00282AC9">
        <w:rPr>
          <w:rtl/>
        </w:rPr>
        <w:t xml:space="preserve"> كما يعني الرجل المقتدر</w:t>
      </w:r>
      <w:r w:rsidR="00A72C40" w:rsidRPr="00282AC9">
        <w:rPr>
          <w:rFonts w:hint="cs"/>
          <w:rtl/>
        </w:rPr>
        <w:t>؛</w:t>
      </w:r>
      <w:r w:rsidRPr="00282AC9">
        <w:rPr>
          <w:rtl/>
        </w:rPr>
        <w:t xml:space="preserve"> حيث ينبغي للمرأة أن تشارك مجتمعها</w:t>
      </w:r>
      <w:r w:rsidR="00A72C40" w:rsidRPr="00282AC9">
        <w:rPr>
          <w:rFonts w:hint="cs"/>
          <w:rtl/>
        </w:rPr>
        <w:t>،</w:t>
      </w:r>
      <w:r w:rsidRPr="00282AC9">
        <w:rPr>
          <w:rtl/>
        </w:rPr>
        <w:t xml:space="preserve"> وتساعد أ</w:t>
      </w:r>
      <w:r w:rsidR="00A72C40" w:rsidRPr="00282AC9">
        <w:rPr>
          <w:rFonts w:hint="cs"/>
          <w:rtl/>
        </w:rPr>
        <w:t>ُ</w:t>
      </w:r>
      <w:r w:rsidRPr="00282AC9">
        <w:rPr>
          <w:rtl/>
        </w:rPr>
        <w:t>س</w:t>
      </w:r>
      <w:r w:rsidR="00A72C40" w:rsidRPr="00282AC9">
        <w:rPr>
          <w:rFonts w:hint="cs"/>
          <w:rtl/>
        </w:rPr>
        <w:t>ْ</w:t>
      </w:r>
      <w:r w:rsidRPr="00282AC9">
        <w:rPr>
          <w:rtl/>
        </w:rPr>
        <w:t>ر</w:t>
      </w:r>
      <w:r w:rsidR="00A72C40" w:rsidRPr="00282AC9">
        <w:rPr>
          <w:rFonts w:hint="cs"/>
          <w:rtl/>
        </w:rPr>
        <w:t>َ</w:t>
      </w:r>
      <w:r w:rsidRPr="00282AC9">
        <w:rPr>
          <w:rtl/>
        </w:rPr>
        <w:t>تها، شريطة أن يكون جميع ذلك عن طيب نفس</w:t>
      </w:r>
      <w:r w:rsidR="00A72C40" w:rsidRPr="00282AC9">
        <w:rPr>
          <w:rFonts w:hint="cs"/>
          <w:rtl/>
        </w:rPr>
        <w:t>ٍ</w:t>
      </w:r>
      <w:r w:rsidRPr="00282AC9">
        <w:rPr>
          <w:rtl/>
        </w:rPr>
        <w:t xml:space="preserve"> منها، وليس ف</w:t>
      </w:r>
      <w:r w:rsidR="00A72C40" w:rsidRPr="00282AC9">
        <w:rPr>
          <w:rFonts w:hint="cs"/>
          <w:rtl/>
        </w:rPr>
        <w:t>َ</w:t>
      </w:r>
      <w:r w:rsidRPr="00282AC9">
        <w:rPr>
          <w:rtl/>
        </w:rPr>
        <w:t>ر</w:t>
      </w:r>
      <w:r w:rsidR="00A72C40" w:rsidRPr="00282AC9">
        <w:rPr>
          <w:rFonts w:hint="cs"/>
          <w:rtl/>
        </w:rPr>
        <w:t>ْ</w:t>
      </w:r>
      <w:r w:rsidRPr="00282AC9">
        <w:rPr>
          <w:rtl/>
        </w:rPr>
        <w:t>ضاً عليها</w:t>
      </w:r>
      <w:r w:rsidR="00A72C40" w:rsidRPr="00282AC9">
        <w:rPr>
          <w:rFonts w:hint="cs"/>
          <w:rtl/>
        </w:rPr>
        <w:t>،</w:t>
      </w:r>
      <w:r w:rsidRPr="00282AC9">
        <w:rPr>
          <w:rtl/>
        </w:rPr>
        <w:t xml:space="preserve"> ولا ابتزازاً لها.</w:t>
      </w:r>
    </w:p>
    <w:p w:rsidR="009C6A22" w:rsidRPr="00282AC9" w:rsidRDefault="009C6A22" w:rsidP="00106AA7">
      <w:pPr>
        <w:rPr>
          <w:rtl/>
        </w:rPr>
      </w:pPr>
      <w:r w:rsidRPr="00282AC9">
        <w:rPr>
          <w:rtl/>
        </w:rPr>
        <w:t>إنّ الو</w:t>
      </w:r>
      <w:r w:rsidR="00A72C40" w:rsidRPr="00282AC9">
        <w:rPr>
          <w:rFonts w:hint="cs"/>
          <w:rtl/>
        </w:rPr>
        <w:t>َ</w:t>
      </w:r>
      <w:r w:rsidRPr="00282AC9">
        <w:rPr>
          <w:rtl/>
        </w:rPr>
        <w:t>س</w:t>
      </w:r>
      <w:r w:rsidR="00A72C40" w:rsidRPr="00282AC9">
        <w:rPr>
          <w:rFonts w:hint="cs"/>
          <w:rtl/>
        </w:rPr>
        <w:t>َ</w:t>
      </w:r>
      <w:r w:rsidRPr="00282AC9">
        <w:rPr>
          <w:rtl/>
        </w:rPr>
        <w:t>ط النسائي بحاجة</w:t>
      </w:r>
      <w:r w:rsidR="00A72C40" w:rsidRPr="00282AC9">
        <w:rPr>
          <w:rFonts w:hint="cs"/>
          <w:rtl/>
        </w:rPr>
        <w:t>ٍ</w:t>
      </w:r>
      <w:r w:rsidRPr="00282AC9">
        <w:rPr>
          <w:rtl/>
        </w:rPr>
        <w:t xml:space="preserve"> إلى ثقافة</w:t>
      </w:r>
      <w:r w:rsidR="00A72C40" w:rsidRPr="00282AC9">
        <w:rPr>
          <w:rFonts w:hint="cs"/>
          <w:rtl/>
        </w:rPr>
        <w:t>ٍ</w:t>
      </w:r>
      <w:r w:rsidRPr="00282AC9">
        <w:rPr>
          <w:rtl/>
        </w:rPr>
        <w:t xml:space="preserve"> واعية</w:t>
      </w:r>
      <w:r w:rsidR="00A72C40" w:rsidRPr="00282AC9">
        <w:rPr>
          <w:rFonts w:hint="cs"/>
          <w:rtl/>
        </w:rPr>
        <w:t>،</w:t>
      </w:r>
      <w:r w:rsidRPr="00282AC9">
        <w:rPr>
          <w:rtl/>
        </w:rPr>
        <w:t xml:space="preserve"> تدفع المرأة إلى وضع الأولوي</w:t>
      </w:r>
      <w:r w:rsidR="00A72C40" w:rsidRPr="00282AC9">
        <w:rPr>
          <w:rFonts w:hint="cs"/>
          <w:rtl/>
        </w:rPr>
        <w:t>ّ</w:t>
      </w:r>
      <w:r w:rsidRPr="00282AC9">
        <w:rPr>
          <w:rtl/>
        </w:rPr>
        <w:t xml:space="preserve">ات </w:t>
      </w:r>
      <w:r w:rsidRPr="00282AC9">
        <w:rPr>
          <w:rtl/>
        </w:rPr>
        <w:lastRenderedPageBreak/>
        <w:t>حيال مسألة الإنفاق، على نحو</w:t>
      </w:r>
      <w:r w:rsidR="00A72C40" w:rsidRPr="00282AC9">
        <w:rPr>
          <w:rFonts w:hint="cs"/>
          <w:rtl/>
        </w:rPr>
        <w:t>ٍ</w:t>
      </w:r>
      <w:r w:rsidRPr="00282AC9">
        <w:rPr>
          <w:rtl/>
        </w:rPr>
        <w:t xml:space="preserve"> تأخذ بعين الاعتبار الوضع العائلي</w:t>
      </w:r>
      <w:r w:rsidR="00A72C40" w:rsidRPr="00282AC9">
        <w:rPr>
          <w:rFonts w:hint="cs"/>
          <w:rtl/>
        </w:rPr>
        <w:t>ّ،</w:t>
      </w:r>
      <w:r w:rsidRPr="00282AC9">
        <w:rPr>
          <w:rtl/>
        </w:rPr>
        <w:t xml:space="preserve"> وحاجة الأرحام</w:t>
      </w:r>
      <w:r w:rsidR="00A72C40" w:rsidRPr="00282AC9">
        <w:rPr>
          <w:rFonts w:hint="cs"/>
          <w:rtl/>
        </w:rPr>
        <w:t>،</w:t>
      </w:r>
      <w:r w:rsidRPr="00282AC9">
        <w:rPr>
          <w:rtl/>
        </w:rPr>
        <w:t xml:space="preserve"> ومساعدة المجتمع. </w:t>
      </w:r>
    </w:p>
    <w:p w:rsidR="009C6A22" w:rsidRPr="00282AC9" w:rsidRDefault="009C6A22" w:rsidP="00106AA7">
      <w:pPr>
        <w:rPr>
          <w:rtl/>
        </w:rPr>
      </w:pPr>
    </w:p>
    <w:p w:rsidR="009C6A22" w:rsidRPr="00282AC9" w:rsidRDefault="009C6A22" w:rsidP="00B37544">
      <w:pPr>
        <w:pStyle w:val="31"/>
        <w:rPr>
          <w:rFonts w:eastAsiaTheme="minorHAnsi"/>
          <w:color w:val="auto"/>
          <w:rtl/>
          <w:lang w:bidi="ar-YE"/>
        </w:rPr>
      </w:pPr>
      <w:r w:rsidRPr="00282AC9">
        <w:rPr>
          <w:rFonts w:eastAsiaTheme="minorHAnsi"/>
          <w:color w:val="auto"/>
          <w:rtl/>
          <w:lang w:bidi="ar-YE"/>
        </w:rPr>
        <w:t>كيف نواجه العنف ضدّ المرأة؟</w:t>
      </w:r>
    </w:p>
    <w:p w:rsidR="009C6A22" w:rsidRPr="00282AC9" w:rsidRDefault="009C6A22" w:rsidP="00C75E73">
      <w:pPr>
        <w:spacing w:line="420" w:lineRule="exact"/>
        <w:rPr>
          <w:rtl/>
        </w:rPr>
      </w:pPr>
      <w:r w:rsidRPr="00282AC9">
        <w:rPr>
          <w:rtl/>
        </w:rPr>
        <w:t>شاءت الحكمة الإلهي</w:t>
      </w:r>
      <w:r w:rsidR="00A72C40" w:rsidRPr="00282AC9">
        <w:rPr>
          <w:rFonts w:hint="cs"/>
          <w:rtl/>
        </w:rPr>
        <w:t>ّ</w:t>
      </w:r>
      <w:r w:rsidRPr="00282AC9">
        <w:rPr>
          <w:rtl/>
        </w:rPr>
        <w:t>ة أن يت</w:t>
      </w:r>
      <w:r w:rsidR="00A72C40" w:rsidRPr="00282AC9">
        <w:rPr>
          <w:rFonts w:hint="cs"/>
          <w:rtl/>
        </w:rPr>
        <w:t>ّ</w:t>
      </w:r>
      <w:r w:rsidRPr="00282AC9">
        <w:rPr>
          <w:rtl/>
        </w:rPr>
        <w:t>صف كلٌّ من الرجل والمرأة بصفات</w:t>
      </w:r>
      <w:r w:rsidR="00A72C40" w:rsidRPr="00282AC9">
        <w:rPr>
          <w:rFonts w:hint="cs"/>
          <w:rtl/>
        </w:rPr>
        <w:t>ٍ</w:t>
      </w:r>
      <w:r w:rsidRPr="00282AC9">
        <w:rPr>
          <w:rtl/>
        </w:rPr>
        <w:t xml:space="preserve"> متفاوتة، وأن يضطلعا بأدوار مختلفة في هذه الحياة. ومن ذلك أن تظهر سمات القو</w:t>
      </w:r>
      <w:r w:rsidR="00073B5B" w:rsidRPr="00282AC9">
        <w:rPr>
          <w:rFonts w:hint="cs"/>
          <w:rtl/>
        </w:rPr>
        <w:t>ّ</w:t>
      </w:r>
      <w:r w:rsidRPr="00282AC9">
        <w:rPr>
          <w:rtl/>
        </w:rPr>
        <w:t>ة والخشونة في شخصية الرجل، وأن يتجلّ</w:t>
      </w:r>
      <w:r w:rsidR="00073B5B" w:rsidRPr="00282AC9">
        <w:rPr>
          <w:rFonts w:hint="cs"/>
          <w:rtl/>
        </w:rPr>
        <w:t>َ</w:t>
      </w:r>
      <w:r w:rsidRPr="00282AC9">
        <w:rPr>
          <w:rtl/>
        </w:rPr>
        <w:t>ى الل</w:t>
      </w:r>
      <w:r w:rsidR="00073B5B" w:rsidRPr="00282AC9">
        <w:rPr>
          <w:rFonts w:hint="cs"/>
          <w:rtl/>
        </w:rPr>
        <w:t>ِّ</w:t>
      </w:r>
      <w:r w:rsidRPr="00282AC9">
        <w:rPr>
          <w:rtl/>
        </w:rPr>
        <w:t>ين والعطف والحنان في شخصية المرأة</w:t>
      </w:r>
      <w:r w:rsidR="00073B5B" w:rsidRPr="00282AC9">
        <w:rPr>
          <w:rFonts w:hint="cs"/>
          <w:rtl/>
        </w:rPr>
        <w:t>؛</w:t>
      </w:r>
      <w:r w:rsidRPr="00282AC9">
        <w:rPr>
          <w:rtl/>
        </w:rPr>
        <w:t xml:space="preserve"> لأن طبيعة </w:t>
      </w:r>
      <w:r w:rsidR="00EE6DBA" w:rsidRPr="00282AC9">
        <w:rPr>
          <w:rtl/>
        </w:rPr>
        <w:t>دَوْر</w:t>
      </w:r>
      <w:r w:rsidRPr="00282AC9">
        <w:rPr>
          <w:rtl/>
        </w:rPr>
        <w:t xml:space="preserve"> الرجل في الحياة تتطل</w:t>
      </w:r>
      <w:r w:rsidR="00073B5B" w:rsidRPr="00282AC9">
        <w:rPr>
          <w:rFonts w:hint="cs"/>
          <w:rtl/>
        </w:rPr>
        <w:t>َّ</w:t>
      </w:r>
      <w:r w:rsidRPr="00282AC9">
        <w:rPr>
          <w:rtl/>
        </w:rPr>
        <w:t>ب جانباً من القو</w:t>
      </w:r>
      <w:r w:rsidR="00073B5B" w:rsidRPr="00282AC9">
        <w:rPr>
          <w:rFonts w:hint="cs"/>
          <w:rtl/>
        </w:rPr>
        <w:t>ّ</w:t>
      </w:r>
      <w:r w:rsidRPr="00282AC9">
        <w:rPr>
          <w:rtl/>
        </w:rPr>
        <w:t>ة الجسدية، وطباعاً أقرب إلى الصلابة والخشونة.</w:t>
      </w:r>
    </w:p>
    <w:p w:rsidR="009C6A22" w:rsidRPr="00282AC9" w:rsidRDefault="009C6A22" w:rsidP="00C75E73">
      <w:pPr>
        <w:spacing w:line="420" w:lineRule="exact"/>
        <w:rPr>
          <w:rtl/>
        </w:rPr>
      </w:pPr>
      <w:r w:rsidRPr="00282AC9">
        <w:rPr>
          <w:rtl/>
        </w:rPr>
        <w:t>أمّا طبيعة ال</w:t>
      </w:r>
      <w:r w:rsidR="00073B5B" w:rsidRPr="00282AC9">
        <w:rPr>
          <w:rtl/>
        </w:rPr>
        <w:t>د</w:t>
      </w:r>
      <w:r w:rsidR="00073B5B" w:rsidRPr="00282AC9">
        <w:rPr>
          <w:rFonts w:hint="cs"/>
          <w:rtl/>
        </w:rPr>
        <w:t>َّ</w:t>
      </w:r>
      <w:r w:rsidR="00EE6DBA" w:rsidRPr="00282AC9">
        <w:rPr>
          <w:rtl/>
        </w:rPr>
        <w:t>وْر</w:t>
      </w:r>
      <w:r w:rsidRPr="00282AC9">
        <w:rPr>
          <w:rtl/>
        </w:rPr>
        <w:t xml:space="preserve"> الإنساني</w:t>
      </w:r>
      <w:r w:rsidR="00073B5B" w:rsidRPr="00282AC9">
        <w:rPr>
          <w:rFonts w:hint="cs"/>
          <w:rtl/>
        </w:rPr>
        <w:t>ّ</w:t>
      </w:r>
      <w:r w:rsidRPr="00282AC9">
        <w:rPr>
          <w:rtl/>
        </w:rPr>
        <w:t xml:space="preserve"> العظيم الذي تقوم به الأنثى في الحياة فيقتضى أن تكون شخصيتها ممتلئة</w:t>
      </w:r>
      <w:r w:rsidR="00073B5B" w:rsidRPr="00282AC9">
        <w:rPr>
          <w:rFonts w:hint="cs"/>
          <w:rtl/>
        </w:rPr>
        <w:t>ً</w:t>
      </w:r>
      <w:r w:rsidRPr="00282AC9">
        <w:rPr>
          <w:rtl/>
        </w:rPr>
        <w:t xml:space="preserve"> بالعطف والحنان والنعومة</w:t>
      </w:r>
      <w:r w:rsidR="00073B5B" w:rsidRPr="00282AC9">
        <w:rPr>
          <w:rFonts w:hint="cs"/>
          <w:rtl/>
        </w:rPr>
        <w:t>.</w:t>
      </w:r>
      <w:r w:rsidRPr="00282AC9">
        <w:rPr>
          <w:rtl/>
        </w:rPr>
        <w:t xml:space="preserve"> وهذا الجانب العاطفي تحديداً هو ما يحتاجه الذ</w:t>
      </w:r>
      <w:r w:rsidR="00073B5B" w:rsidRPr="00282AC9">
        <w:rPr>
          <w:rFonts w:hint="cs"/>
          <w:rtl/>
        </w:rPr>
        <w:t>َّ</w:t>
      </w:r>
      <w:r w:rsidRPr="00282AC9">
        <w:rPr>
          <w:rtl/>
        </w:rPr>
        <w:t>ك</w:t>
      </w:r>
      <w:r w:rsidR="00073B5B" w:rsidRPr="00282AC9">
        <w:rPr>
          <w:rFonts w:hint="cs"/>
          <w:rtl/>
        </w:rPr>
        <w:t>َ</w:t>
      </w:r>
      <w:r w:rsidRPr="00282AC9">
        <w:rPr>
          <w:rtl/>
        </w:rPr>
        <w:t>ر من شقّ</w:t>
      </w:r>
      <w:r w:rsidR="00073B5B" w:rsidRPr="00282AC9">
        <w:rPr>
          <w:rFonts w:hint="cs"/>
          <w:rtl/>
        </w:rPr>
        <w:t>ِ</w:t>
      </w:r>
      <w:r w:rsidRPr="00282AC9">
        <w:rPr>
          <w:rtl/>
        </w:rPr>
        <w:t>ه الآخر، أي الأنثى، بدءاً من اللحظة التي يتكو</w:t>
      </w:r>
      <w:r w:rsidR="00073B5B" w:rsidRPr="00282AC9">
        <w:rPr>
          <w:rFonts w:hint="cs"/>
          <w:rtl/>
        </w:rPr>
        <w:t>َّ</w:t>
      </w:r>
      <w:r w:rsidRPr="00282AC9">
        <w:rPr>
          <w:rtl/>
        </w:rPr>
        <w:t>ن جنيناً في رحمها، لتتحم</w:t>
      </w:r>
      <w:r w:rsidR="00073B5B" w:rsidRPr="00282AC9">
        <w:rPr>
          <w:rFonts w:hint="cs"/>
          <w:rtl/>
        </w:rPr>
        <w:t>َّ</w:t>
      </w:r>
      <w:r w:rsidRPr="00282AC9">
        <w:rPr>
          <w:rtl/>
        </w:rPr>
        <w:t>ل عندها آلام الحمل، ثم</w:t>
      </w:r>
      <w:r w:rsidR="00073B5B" w:rsidRPr="00282AC9">
        <w:rPr>
          <w:rFonts w:hint="cs"/>
          <w:rtl/>
        </w:rPr>
        <w:t>ّ</w:t>
      </w:r>
      <w:r w:rsidRPr="00282AC9">
        <w:rPr>
          <w:rtl/>
        </w:rPr>
        <w:t xml:space="preserve"> مخاض الولادة الخطير، ذلك المخاض الذي لو خ</w:t>
      </w:r>
      <w:r w:rsidR="00073B5B" w:rsidRPr="00282AC9">
        <w:rPr>
          <w:rFonts w:hint="cs"/>
          <w:rtl/>
        </w:rPr>
        <w:t>ُ</w:t>
      </w:r>
      <w:r w:rsidRPr="00282AC9">
        <w:rPr>
          <w:rtl/>
        </w:rPr>
        <w:t>ي</w:t>
      </w:r>
      <w:r w:rsidR="00073B5B" w:rsidRPr="00282AC9">
        <w:rPr>
          <w:rFonts w:hint="cs"/>
          <w:rtl/>
        </w:rPr>
        <w:t>ِّ</w:t>
      </w:r>
      <w:r w:rsidRPr="00282AC9">
        <w:rPr>
          <w:rtl/>
        </w:rPr>
        <w:t>ر</w:t>
      </w:r>
      <w:r w:rsidR="00073B5B" w:rsidRPr="00282AC9">
        <w:rPr>
          <w:rFonts w:hint="cs"/>
          <w:rtl/>
        </w:rPr>
        <w:t>َ</w:t>
      </w:r>
      <w:r w:rsidRPr="00282AC9">
        <w:rPr>
          <w:rtl/>
        </w:rPr>
        <w:t>ت</w:t>
      </w:r>
      <w:r w:rsidR="00073B5B" w:rsidRPr="00282AC9">
        <w:rPr>
          <w:rFonts w:hint="cs"/>
          <w:rtl/>
        </w:rPr>
        <w:t>ْ</w:t>
      </w:r>
      <w:r w:rsidRPr="00282AC9">
        <w:rPr>
          <w:rtl/>
        </w:rPr>
        <w:t xml:space="preserve"> أيّ</w:t>
      </w:r>
      <w:r w:rsidR="00073B5B" w:rsidRPr="00282AC9">
        <w:rPr>
          <w:rFonts w:hint="cs"/>
          <w:rtl/>
        </w:rPr>
        <w:t>ُ</w:t>
      </w:r>
      <w:r w:rsidRPr="00282AC9">
        <w:rPr>
          <w:rtl/>
        </w:rPr>
        <w:t xml:space="preserve"> امرأة تكابده بين حياتها وحياة مولودها لآثرت معظم الأمّهات حياة وليدها على نفسها.</w:t>
      </w:r>
    </w:p>
    <w:p w:rsidR="009C6A22" w:rsidRPr="00282AC9" w:rsidRDefault="009C6A22" w:rsidP="00C75E73">
      <w:pPr>
        <w:spacing w:line="420" w:lineRule="exact"/>
        <w:rPr>
          <w:rtl/>
        </w:rPr>
      </w:pPr>
      <w:r w:rsidRPr="00282AC9">
        <w:rPr>
          <w:rtl/>
        </w:rPr>
        <w:t>إنّ الحنان الذي يتغذّ</w:t>
      </w:r>
      <w:r w:rsidR="00073B5B" w:rsidRPr="00282AC9">
        <w:rPr>
          <w:rFonts w:hint="cs"/>
          <w:rtl/>
        </w:rPr>
        <w:t>َ</w:t>
      </w:r>
      <w:r w:rsidRPr="00282AC9">
        <w:rPr>
          <w:rtl/>
        </w:rPr>
        <w:t>ى منه الإنسان مع حليب أم</w:t>
      </w:r>
      <w:r w:rsidR="00073B5B" w:rsidRPr="00282AC9">
        <w:rPr>
          <w:rFonts w:hint="cs"/>
          <w:rtl/>
        </w:rPr>
        <w:t>ّ</w:t>
      </w:r>
      <w:r w:rsidRPr="00282AC9">
        <w:rPr>
          <w:rtl/>
        </w:rPr>
        <w:t>ه، حين تحوطه بأحضانها، وتفديه بنفسها، وتغمره برعايتها، ليلاً ونهاراً، هو ذات الحنان والعطف الذي يحتاجه الرجل من المرأة، حت</w:t>
      </w:r>
      <w:r w:rsidR="00073B5B" w:rsidRPr="00282AC9">
        <w:rPr>
          <w:rFonts w:hint="cs"/>
          <w:rtl/>
        </w:rPr>
        <w:t>ّ</w:t>
      </w:r>
      <w:r w:rsidRPr="00282AC9">
        <w:rPr>
          <w:rtl/>
        </w:rPr>
        <w:t>ى يبنيا معاً حياة</w:t>
      </w:r>
      <w:r w:rsidR="00073B5B" w:rsidRPr="00282AC9">
        <w:rPr>
          <w:rFonts w:hint="cs"/>
          <w:rtl/>
        </w:rPr>
        <w:t>ً</w:t>
      </w:r>
      <w:r w:rsidRPr="00282AC9">
        <w:rPr>
          <w:rtl/>
        </w:rPr>
        <w:t xml:space="preserve"> زوجي</w:t>
      </w:r>
      <w:r w:rsidR="00073B5B" w:rsidRPr="00282AC9">
        <w:rPr>
          <w:rFonts w:hint="cs"/>
          <w:rtl/>
        </w:rPr>
        <w:t>ّ</w:t>
      </w:r>
      <w:r w:rsidRPr="00282AC9">
        <w:rPr>
          <w:rtl/>
        </w:rPr>
        <w:t>ة سعيدة، حيث تجتذبه بنعومتها وعطفها وحب</w:t>
      </w:r>
      <w:r w:rsidR="00073B5B" w:rsidRPr="00282AC9">
        <w:rPr>
          <w:rFonts w:hint="cs"/>
          <w:rtl/>
        </w:rPr>
        <w:t>ِّ</w:t>
      </w:r>
      <w:r w:rsidRPr="00282AC9">
        <w:rPr>
          <w:rtl/>
        </w:rPr>
        <w:t>ها، وذلك بأجمعه ما ينبغي أن يكون محلّ تقدير الرجل.</w:t>
      </w:r>
    </w:p>
    <w:p w:rsidR="009C6A22" w:rsidRPr="00282AC9" w:rsidRDefault="009C6A22" w:rsidP="00C75E73">
      <w:pPr>
        <w:spacing w:line="420" w:lineRule="exact"/>
        <w:rPr>
          <w:rtl/>
        </w:rPr>
      </w:pPr>
      <w:r w:rsidRPr="00282AC9">
        <w:rPr>
          <w:rtl/>
        </w:rPr>
        <w:t>إلا</w:t>
      </w:r>
      <w:r w:rsidR="00073B5B" w:rsidRPr="00282AC9">
        <w:rPr>
          <w:rFonts w:hint="cs"/>
          <w:rtl/>
        </w:rPr>
        <w:t>ّ</w:t>
      </w:r>
      <w:r w:rsidRPr="00282AC9">
        <w:rPr>
          <w:rtl/>
        </w:rPr>
        <w:t xml:space="preserve"> </w:t>
      </w:r>
      <w:r w:rsidR="00073B5B" w:rsidRPr="00282AC9">
        <w:rPr>
          <w:rFonts w:hint="cs"/>
          <w:rtl/>
        </w:rPr>
        <w:t>أن العكس قد يحصل</w:t>
      </w:r>
      <w:r w:rsidRPr="00282AC9">
        <w:rPr>
          <w:rtl/>
        </w:rPr>
        <w:t xml:space="preserve">، </w:t>
      </w:r>
      <w:r w:rsidR="00073B5B" w:rsidRPr="00282AC9">
        <w:rPr>
          <w:rFonts w:hint="cs"/>
          <w:rtl/>
        </w:rPr>
        <w:t>فتكون</w:t>
      </w:r>
      <w:r w:rsidRPr="00282AC9">
        <w:rPr>
          <w:rtl/>
        </w:rPr>
        <w:t xml:space="preserve"> هذه الرق</w:t>
      </w:r>
      <w:r w:rsidR="00073B5B" w:rsidRPr="00282AC9">
        <w:rPr>
          <w:rFonts w:hint="cs"/>
          <w:rtl/>
        </w:rPr>
        <w:t>ّ</w:t>
      </w:r>
      <w:r w:rsidRPr="00282AC9">
        <w:rPr>
          <w:rtl/>
        </w:rPr>
        <w:t>ة والحالة العاطفي</w:t>
      </w:r>
      <w:r w:rsidR="00073B5B" w:rsidRPr="00282AC9">
        <w:rPr>
          <w:rFonts w:hint="cs"/>
          <w:rtl/>
        </w:rPr>
        <w:t>ّ</w:t>
      </w:r>
      <w:r w:rsidRPr="00282AC9">
        <w:rPr>
          <w:rtl/>
        </w:rPr>
        <w:t>ة عند المرأة في الكثير من الأحيان دافعاً لاستقواء الرجل عليها</w:t>
      </w:r>
      <w:r w:rsidR="00073B5B" w:rsidRPr="00282AC9">
        <w:rPr>
          <w:rFonts w:hint="cs"/>
          <w:rtl/>
        </w:rPr>
        <w:t xml:space="preserve">. </w:t>
      </w:r>
      <w:r w:rsidRPr="00282AC9">
        <w:rPr>
          <w:rtl/>
        </w:rPr>
        <w:t>ولعلّ ذلك انعكاساً لطبيعة الإنسان عند الشعور بالقو</w:t>
      </w:r>
      <w:r w:rsidR="00A82DA2" w:rsidRPr="00282AC9">
        <w:rPr>
          <w:rFonts w:hint="cs"/>
          <w:rtl/>
        </w:rPr>
        <w:t>ّ</w:t>
      </w:r>
      <w:r w:rsidRPr="00282AC9">
        <w:rPr>
          <w:rtl/>
        </w:rPr>
        <w:t>ة تجاه م</w:t>
      </w:r>
      <w:r w:rsidR="00A82DA2" w:rsidRPr="00282AC9">
        <w:rPr>
          <w:rFonts w:hint="cs"/>
          <w:rtl/>
        </w:rPr>
        <w:t>َ</w:t>
      </w:r>
      <w:r w:rsidRPr="00282AC9">
        <w:rPr>
          <w:rtl/>
        </w:rPr>
        <w:t>ن</w:t>
      </w:r>
      <w:r w:rsidR="00A82DA2" w:rsidRPr="00282AC9">
        <w:rPr>
          <w:rFonts w:hint="cs"/>
          <w:rtl/>
        </w:rPr>
        <w:t>ْ</w:t>
      </w:r>
      <w:r w:rsidRPr="00282AC9">
        <w:rPr>
          <w:rtl/>
        </w:rPr>
        <w:t xml:space="preserve"> هم أضعف منه</w:t>
      </w:r>
      <w:r w:rsidR="00A82DA2" w:rsidRPr="00282AC9">
        <w:rPr>
          <w:rFonts w:hint="cs"/>
          <w:rtl/>
        </w:rPr>
        <w:t>؛</w:t>
      </w:r>
      <w:r w:rsidRPr="00282AC9">
        <w:rPr>
          <w:rtl/>
        </w:rPr>
        <w:t xml:space="preserve"> حيث يجد في ذلك إغراءً وتشجيعاً على الاعتداء والتجاوز على حقوق الآخرين</w:t>
      </w:r>
      <w:r w:rsidR="00A82DA2" w:rsidRPr="00282AC9">
        <w:rPr>
          <w:rFonts w:hint="cs"/>
          <w:rtl/>
        </w:rPr>
        <w:t>.</w:t>
      </w:r>
      <w:r w:rsidRPr="00282AC9">
        <w:rPr>
          <w:rtl/>
        </w:rPr>
        <w:t xml:space="preserve"> وهذا عين ما نجده من تعسّ</w:t>
      </w:r>
      <w:r w:rsidR="00A82DA2" w:rsidRPr="00282AC9">
        <w:rPr>
          <w:rFonts w:hint="cs"/>
          <w:rtl/>
        </w:rPr>
        <w:t>ُ</w:t>
      </w:r>
      <w:r w:rsidRPr="00282AC9">
        <w:rPr>
          <w:rtl/>
        </w:rPr>
        <w:t>ف السلطات بحقّ الشعوب، وتجبّ</w:t>
      </w:r>
      <w:r w:rsidR="00A82DA2" w:rsidRPr="00282AC9">
        <w:rPr>
          <w:rFonts w:hint="cs"/>
          <w:rtl/>
        </w:rPr>
        <w:t>ُ</w:t>
      </w:r>
      <w:r w:rsidRPr="00282AC9">
        <w:rPr>
          <w:rtl/>
        </w:rPr>
        <w:t>ر الأغنياء على الفقراء، وتعنّ</w:t>
      </w:r>
      <w:r w:rsidR="00A82DA2" w:rsidRPr="00282AC9">
        <w:rPr>
          <w:rFonts w:hint="cs"/>
          <w:rtl/>
        </w:rPr>
        <w:t>ُ</w:t>
      </w:r>
      <w:r w:rsidRPr="00282AC9">
        <w:rPr>
          <w:rtl/>
        </w:rPr>
        <w:t>ت أرباب العمل على العاملين، في مصداق</w:t>
      </w:r>
      <w:r w:rsidR="00A82DA2" w:rsidRPr="00282AC9">
        <w:rPr>
          <w:rFonts w:hint="cs"/>
          <w:rtl/>
        </w:rPr>
        <w:t>ٍ</w:t>
      </w:r>
      <w:r w:rsidRPr="00282AC9">
        <w:rPr>
          <w:rtl/>
        </w:rPr>
        <w:t xml:space="preserve"> للآية الكريمة: </w:t>
      </w:r>
      <w:r w:rsidR="00C5291F" w:rsidRPr="00282AC9">
        <w:rPr>
          <w:rFonts w:ascii="Mosawi" w:hAnsi="Mosawi" w:cs="Mosawi"/>
          <w:sz w:val="24"/>
          <w:szCs w:val="24"/>
          <w:rtl/>
        </w:rPr>
        <w:t>﴿</w:t>
      </w:r>
      <w:r w:rsidRPr="00282AC9">
        <w:rPr>
          <w:b/>
          <w:bCs/>
          <w:rtl/>
        </w:rPr>
        <w:t>إِنَّ الإِنْسَانَ لَيَطْغَى * أَنْ رَآَهُ اسْتَغْنَى</w:t>
      </w:r>
      <w:r w:rsidR="00C5291F" w:rsidRPr="00282AC9">
        <w:rPr>
          <w:rFonts w:ascii="Mosawi" w:hAnsi="Mosawi" w:cs="Mosawi"/>
          <w:sz w:val="24"/>
          <w:szCs w:val="24"/>
          <w:rtl/>
        </w:rPr>
        <w:t>﴾</w:t>
      </w:r>
      <w:r w:rsidRPr="00282AC9">
        <w:rPr>
          <w:rtl/>
        </w:rPr>
        <w:t>.</w:t>
      </w:r>
    </w:p>
    <w:p w:rsidR="009C6A22" w:rsidRPr="00282AC9" w:rsidRDefault="009C6A22" w:rsidP="00B37544">
      <w:pPr>
        <w:pStyle w:val="31"/>
        <w:rPr>
          <w:color w:val="auto"/>
          <w:lang w:bidi="ar-YE"/>
        </w:rPr>
      </w:pPr>
      <w:r w:rsidRPr="00282AC9">
        <w:rPr>
          <w:color w:val="auto"/>
          <w:rtl/>
          <w:lang w:bidi="ar-YE"/>
        </w:rPr>
        <w:lastRenderedPageBreak/>
        <w:t>المرأة</w:t>
      </w:r>
      <w:r w:rsidRPr="00282AC9">
        <w:rPr>
          <w:color w:val="auto"/>
          <w:lang w:bidi="ar-YE"/>
        </w:rPr>
        <w:t xml:space="preserve"> </w:t>
      </w:r>
      <w:r w:rsidRPr="00282AC9">
        <w:rPr>
          <w:color w:val="auto"/>
          <w:rtl/>
          <w:lang w:bidi="ar-YE"/>
        </w:rPr>
        <w:t>تعاني</w:t>
      </w:r>
      <w:r w:rsidRPr="00282AC9">
        <w:rPr>
          <w:color w:val="auto"/>
          <w:lang w:bidi="ar-YE"/>
        </w:rPr>
        <w:t xml:space="preserve"> </w:t>
      </w:r>
      <w:r w:rsidR="004252C9" w:rsidRPr="00282AC9">
        <w:rPr>
          <w:rFonts w:hint="cs"/>
          <w:color w:val="auto"/>
          <w:rtl/>
        </w:rPr>
        <w:t xml:space="preserve">من </w:t>
      </w:r>
      <w:r w:rsidRPr="00282AC9">
        <w:rPr>
          <w:color w:val="auto"/>
          <w:rtl/>
          <w:lang w:bidi="ar-YE"/>
        </w:rPr>
        <w:t>العنف</w:t>
      </w:r>
      <w:r w:rsidR="004252C9" w:rsidRPr="00282AC9">
        <w:rPr>
          <w:rFonts w:hint="cs"/>
          <w:color w:val="auto"/>
          <w:rtl/>
          <w:lang w:bidi="ar-YE"/>
        </w:rPr>
        <w:t xml:space="preserve"> إلى اليوم</w:t>
      </w:r>
    </w:p>
    <w:p w:rsidR="009C6A22" w:rsidRPr="00282AC9" w:rsidRDefault="009C6A22" w:rsidP="00106AA7">
      <w:pPr>
        <w:rPr>
          <w:rtl/>
        </w:rPr>
      </w:pPr>
      <w:r w:rsidRPr="00282AC9">
        <w:rPr>
          <w:rtl/>
        </w:rPr>
        <w:t>ورغم التقد</w:t>
      </w:r>
      <w:r w:rsidR="00A82DA2" w:rsidRPr="00282AC9">
        <w:rPr>
          <w:rFonts w:hint="cs"/>
          <w:rtl/>
        </w:rPr>
        <w:t>ُّ</w:t>
      </w:r>
      <w:r w:rsidRPr="00282AC9">
        <w:rPr>
          <w:rtl/>
        </w:rPr>
        <w:t>م الهائل الذي شهد</w:t>
      </w:r>
      <w:r w:rsidR="00A82DA2" w:rsidRPr="00282AC9">
        <w:rPr>
          <w:rFonts w:hint="cs"/>
          <w:rtl/>
        </w:rPr>
        <w:t>َ</w:t>
      </w:r>
      <w:r w:rsidRPr="00282AC9">
        <w:rPr>
          <w:rtl/>
        </w:rPr>
        <w:t>ت</w:t>
      </w:r>
      <w:r w:rsidR="00A82DA2" w:rsidRPr="00282AC9">
        <w:rPr>
          <w:rFonts w:hint="cs"/>
          <w:rtl/>
        </w:rPr>
        <w:t>ْ</w:t>
      </w:r>
      <w:r w:rsidRPr="00282AC9">
        <w:rPr>
          <w:rtl/>
        </w:rPr>
        <w:t>ه البشرية، إلا</w:t>
      </w:r>
      <w:r w:rsidR="00A82DA2" w:rsidRPr="00282AC9">
        <w:rPr>
          <w:rFonts w:hint="cs"/>
          <w:rtl/>
        </w:rPr>
        <w:t>ّ</w:t>
      </w:r>
      <w:r w:rsidRPr="00282AC9">
        <w:rPr>
          <w:rtl/>
        </w:rPr>
        <w:t xml:space="preserve"> أنّ المرأة لا تزال ه</w:t>
      </w:r>
      <w:r w:rsidR="00A82DA2" w:rsidRPr="00282AC9">
        <w:rPr>
          <w:rFonts w:hint="cs"/>
          <w:rtl/>
        </w:rPr>
        <w:t>َ</w:t>
      </w:r>
      <w:r w:rsidRPr="00282AC9">
        <w:rPr>
          <w:rtl/>
        </w:rPr>
        <w:t>د</w:t>
      </w:r>
      <w:r w:rsidR="00A82DA2" w:rsidRPr="00282AC9">
        <w:rPr>
          <w:rFonts w:hint="cs"/>
          <w:rtl/>
        </w:rPr>
        <w:t>َ</w:t>
      </w:r>
      <w:r w:rsidRPr="00282AC9">
        <w:rPr>
          <w:rtl/>
        </w:rPr>
        <w:t>فاً للعنف والعدوان الصادر عن الرجل. مع تطو</w:t>
      </w:r>
      <w:r w:rsidR="00A82DA2" w:rsidRPr="00282AC9">
        <w:rPr>
          <w:rFonts w:hint="cs"/>
          <w:rtl/>
        </w:rPr>
        <w:t>ّ</w:t>
      </w:r>
      <w:r w:rsidRPr="00282AC9">
        <w:rPr>
          <w:rtl/>
        </w:rPr>
        <w:t>ر أوضاع المرأة في العصر الراهن، على نحو</w:t>
      </w:r>
      <w:r w:rsidR="00A82DA2" w:rsidRPr="00282AC9">
        <w:rPr>
          <w:rFonts w:hint="cs"/>
          <w:rtl/>
        </w:rPr>
        <w:t>ٍ</w:t>
      </w:r>
      <w:r w:rsidRPr="00282AC9">
        <w:rPr>
          <w:rtl/>
        </w:rPr>
        <w:t xml:space="preserve"> مغاير لمعظم فترات التاريخ، بحيث لم تع</w:t>
      </w:r>
      <w:r w:rsidR="00A82DA2" w:rsidRPr="00282AC9">
        <w:rPr>
          <w:rFonts w:hint="cs"/>
          <w:rtl/>
        </w:rPr>
        <w:t>ُ</w:t>
      </w:r>
      <w:r w:rsidRPr="00282AC9">
        <w:rPr>
          <w:rtl/>
        </w:rPr>
        <w:t>د</w:t>
      </w:r>
      <w:r w:rsidR="00A82DA2" w:rsidRPr="00282AC9">
        <w:rPr>
          <w:rFonts w:hint="cs"/>
          <w:rtl/>
        </w:rPr>
        <w:t>ْ</w:t>
      </w:r>
      <w:r w:rsidRPr="00282AC9">
        <w:rPr>
          <w:rtl/>
        </w:rPr>
        <w:t xml:space="preserve"> المرأة اليوم كما كانت بالأمس، </w:t>
      </w:r>
      <w:r w:rsidR="00A82DA2" w:rsidRPr="00282AC9">
        <w:rPr>
          <w:rFonts w:hint="cs"/>
          <w:rtl/>
        </w:rPr>
        <w:t xml:space="preserve">ولا </w:t>
      </w:r>
      <w:r w:rsidRPr="00282AC9">
        <w:rPr>
          <w:rtl/>
        </w:rPr>
        <w:t>سي</w:t>
      </w:r>
      <w:r w:rsidR="00A82DA2" w:rsidRPr="00282AC9">
        <w:rPr>
          <w:rFonts w:hint="cs"/>
          <w:rtl/>
        </w:rPr>
        <w:t>َّ</w:t>
      </w:r>
      <w:r w:rsidRPr="00282AC9">
        <w:rPr>
          <w:rtl/>
        </w:rPr>
        <w:t xml:space="preserve">ما </w:t>
      </w:r>
      <w:r w:rsidR="00A82DA2" w:rsidRPr="00282AC9">
        <w:rPr>
          <w:rFonts w:hint="cs"/>
          <w:rtl/>
        </w:rPr>
        <w:t xml:space="preserve">أنها </w:t>
      </w:r>
      <w:r w:rsidRPr="00282AC9">
        <w:rPr>
          <w:rtl/>
        </w:rPr>
        <w:t>قد امتلك</w:t>
      </w:r>
      <w:r w:rsidR="00A82DA2" w:rsidRPr="00282AC9">
        <w:rPr>
          <w:rFonts w:hint="cs"/>
          <w:rtl/>
        </w:rPr>
        <w:t>َ</w:t>
      </w:r>
      <w:r w:rsidRPr="00282AC9">
        <w:rPr>
          <w:rtl/>
        </w:rPr>
        <w:t>ت</w:t>
      </w:r>
      <w:r w:rsidR="00A82DA2" w:rsidRPr="00282AC9">
        <w:rPr>
          <w:rFonts w:hint="cs"/>
          <w:rtl/>
        </w:rPr>
        <w:t>ْ</w:t>
      </w:r>
      <w:r w:rsidRPr="00282AC9">
        <w:rPr>
          <w:rtl/>
        </w:rPr>
        <w:t xml:space="preserve"> كثيراً من مقو</w:t>
      </w:r>
      <w:r w:rsidR="00A82DA2" w:rsidRPr="00282AC9">
        <w:rPr>
          <w:rFonts w:hint="cs"/>
          <w:rtl/>
        </w:rPr>
        <w:t>ّ</w:t>
      </w:r>
      <w:r w:rsidRPr="00282AC9">
        <w:rPr>
          <w:rtl/>
        </w:rPr>
        <w:t>مات القو</w:t>
      </w:r>
      <w:r w:rsidR="00A82DA2" w:rsidRPr="00282AC9">
        <w:rPr>
          <w:rFonts w:hint="cs"/>
          <w:rtl/>
        </w:rPr>
        <w:t>ّ</w:t>
      </w:r>
      <w:r w:rsidRPr="00282AC9">
        <w:rPr>
          <w:rtl/>
        </w:rPr>
        <w:t>ة التي كان ينفرد بها الرجل على مرّ العصور، فقد أصبح بيدها المال والعلم والمكانة الاجتماعية والوظيفية، وبالرغم من كلّ</w:t>
      </w:r>
      <w:r w:rsidR="00A82DA2" w:rsidRPr="00282AC9">
        <w:rPr>
          <w:rFonts w:hint="cs"/>
          <w:rtl/>
        </w:rPr>
        <w:t>ِ</w:t>
      </w:r>
      <w:r w:rsidRPr="00282AC9">
        <w:rPr>
          <w:rtl/>
        </w:rPr>
        <w:t xml:space="preserve"> ذلك لم تتجاوز المرأة بعد</w:t>
      </w:r>
      <w:r w:rsidR="00A82DA2" w:rsidRPr="00282AC9">
        <w:rPr>
          <w:rFonts w:hint="cs"/>
          <w:rtl/>
        </w:rPr>
        <w:t>ُ</w:t>
      </w:r>
      <w:r w:rsidRPr="00282AC9">
        <w:rPr>
          <w:rtl/>
        </w:rPr>
        <w:t xml:space="preserve"> حالة المعاناة من العنف والعدوان الصادر عن الرجل.</w:t>
      </w:r>
    </w:p>
    <w:p w:rsidR="009C6A22" w:rsidRPr="00282AC9" w:rsidRDefault="009C6A22" w:rsidP="00C75E73">
      <w:pPr>
        <w:spacing w:line="410" w:lineRule="exact"/>
        <w:rPr>
          <w:rtl/>
        </w:rPr>
      </w:pPr>
      <w:r w:rsidRPr="00282AC9">
        <w:rPr>
          <w:rtl/>
        </w:rPr>
        <w:t>ولعلّ أبرز دليل على ذلك هو إعلان منظ</w:t>
      </w:r>
      <w:r w:rsidR="00D84336" w:rsidRPr="00282AC9">
        <w:rPr>
          <w:rFonts w:hint="cs"/>
          <w:rtl/>
        </w:rPr>
        <w:t>ّ</w:t>
      </w:r>
      <w:r w:rsidRPr="00282AC9">
        <w:rPr>
          <w:rtl/>
        </w:rPr>
        <w:t>مة الأمم المتحدة يوم 25 نوفمبر من كل</w:t>
      </w:r>
      <w:r w:rsidR="00D84336" w:rsidRPr="00282AC9">
        <w:rPr>
          <w:rFonts w:hint="cs"/>
          <w:rtl/>
        </w:rPr>
        <w:t>ّ</w:t>
      </w:r>
      <w:r w:rsidRPr="00282AC9">
        <w:rPr>
          <w:rtl/>
        </w:rPr>
        <w:t xml:space="preserve"> عام</w:t>
      </w:r>
      <w:r w:rsidR="00D84336" w:rsidRPr="00282AC9">
        <w:rPr>
          <w:rFonts w:hint="cs"/>
          <w:rtl/>
        </w:rPr>
        <w:t>ٍ</w:t>
      </w:r>
      <w:r w:rsidRPr="00282AC9">
        <w:rPr>
          <w:rtl/>
        </w:rPr>
        <w:t xml:space="preserve"> يوماً دوليّاً للقضاء على العنف ضد</w:t>
      </w:r>
      <w:r w:rsidR="00D84336" w:rsidRPr="00282AC9">
        <w:rPr>
          <w:rFonts w:hint="cs"/>
          <w:rtl/>
        </w:rPr>
        <w:t>ّ</w:t>
      </w:r>
      <w:r w:rsidRPr="00282AC9">
        <w:rPr>
          <w:rtl/>
        </w:rPr>
        <w:t xml:space="preserve"> المرأة، حيث لا تزال تعتبر المرأة ضحي</w:t>
      </w:r>
      <w:r w:rsidR="00D84336" w:rsidRPr="00282AC9">
        <w:rPr>
          <w:rFonts w:hint="cs"/>
          <w:rtl/>
        </w:rPr>
        <w:t>ّ</w:t>
      </w:r>
      <w:r w:rsidRPr="00282AC9">
        <w:rPr>
          <w:rtl/>
        </w:rPr>
        <w:t>ة العنف والعدوان على شخصي</w:t>
      </w:r>
      <w:r w:rsidR="00D84336" w:rsidRPr="00282AC9">
        <w:rPr>
          <w:rFonts w:hint="cs"/>
          <w:rtl/>
        </w:rPr>
        <w:t>ّ</w:t>
      </w:r>
      <w:r w:rsidRPr="00282AC9">
        <w:rPr>
          <w:rtl/>
        </w:rPr>
        <w:t>تها وحقوقها في معظم دول العالم.</w:t>
      </w:r>
    </w:p>
    <w:p w:rsidR="009C6A22" w:rsidRPr="00282AC9" w:rsidRDefault="009C6A22" w:rsidP="00106AA7">
      <w:pPr>
        <w:rPr>
          <w:rtl/>
        </w:rPr>
      </w:pPr>
      <w:r w:rsidRPr="00282AC9">
        <w:rPr>
          <w:rtl/>
        </w:rPr>
        <w:t>واللافت أنّ الإحصاءات الأ</w:t>
      </w:r>
      <w:r w:rsidR="00D84336" w:rsidRPr="00282AC9">
        <w:rPr>
          <w:rFonts w:hint="cs"/>
          <w:rtl/>
        </w:rPr>
        <w:t>ُ</w:t>
      </w:r>
      <w:r w:rsidRPr="00282AC9">
        <w:rPr>
          <w:rtl/>
        </w:rPr>
        <w:t>م</w:t>
      </w:r>
      <w:r w:rsidR="00D84336" w:rsidRPr="00282AC9">
        <w:rPr>
          <w:rFonts w:hint="cs"/>
          <w:rtl/>
        </w:rPr>
        <w:t>َ</w:t>
      </w:r>
      <w:r w:rsidRPr="00282AC9">
        <w:rPr>
          <w:rtl/>
        </w:rPr>
        <w:t>مية، بح</w:t>
      </w:r>
      <w:r w:rsidR="00D84336" w:rsidRPr="00282AC9">
        <w:rPr>
          <w:rFonts w:hint="cs"/>
          <w:rtl/>
        </w:rPr>
        <w:t>َ</w:t>
      </w:r>
      <w:r w:rsidRPr="00282AC9">
        <w:rPr>
          <w:rtl/>
        </w:rPr>
        <w:t>س</w:t>
      </w:r>
      <w:r w:rsidR="00D84336" w:rsidRPr="00282AC9">
        <w:rPr>
          <w:rFonts w:hint="cs"/>
          <w:rtl/>
        </w:rPr>
        <w:t>َ</w:t>
      </w:r>
      <w:r w:rsidRPr="00282AC9">
        <w:rPr>
          <w:rtl/>
        </w:rPr>
        <w:t>ب شعبة السك</w:t>
      </w:r>
      <w:r w:rsidR="00D84336" w:rsidRPr="00282AC9">
        <w:rPr>
          <w:rFonts w:hint="cs"/>
          <w:rtl/>
        </w:rPr>
        <w:t>ّ</w:t>
      </w:r>
      <w:r w:rsidRPr="00282AC9">
        <w:rPr>
          <w:rtl/>
        </w:rPr>
        <w:t>ان في الأمم المتحدة، تشير إلى أنّ النساء يمثلن 49</w:t>
      </w:r>
      <w:r w:rsidR="00D84336" w:rsidRPr="00282AC9">
        <w:rPr>
          <w:rFonts w:hint="cs"/>
          <w:rtl/>
        </w:rPr>
        <w:t>,</w:t>
      </w:r>
      <w:r w:rsidR="00D84336" w:rsidRPr="00282AC9">
        <w:rPr>
          <w:rtl/>
        </w:rPr>
        <w:t>7</w:t>
      </w:r>
      <w:r w:rsidR="00D84336" w:rsidRPr="00282AC9">
        <w:rPr>
          <w:rFonts w:hint="cs"/>
          <w:rtl/>
        </w:rPr>
        <w:t xml:space="preserve">% </w:t>
      </w:r>
      <w:r w:rsidRPr="00282AC9">
        <w:rPr>
          <w:rtl/>
        </w:rPr>
        <w:t>من تعداد السكان العالمي، أي إنهنّ يمث</w:t>
      </w:r>
      <w:r w:rsidR="00D84336" w:rsidRPr="00282AC9">
        <w:rPr>
          <w:rFonts w:hint="cs"/>
          <w:rtl/>
        </w:rPr>
        <w:t>ِّ</w:t>
      </w:r>
      <w:r w:rsidRPr="00282AC9">
        <w:rPr>
          <w:rtl/>
        </w:rPr>
        <w:t>ل</w:t>
      </w:r>
      <w:r w:rsidR="00D84336" w:rsidRPr="00282AC9">
        <w:rPr>
          <w:rFonts w:hint="cs"/>
          <w:rtl/>
        </w:rPr>
        <w:t>ْ</w:t>
      </w:r>
      <w:r w:rsidRPr="00282AC9">
        <w:rPr>
          <w:rtl/>
        </w:rPr>
        <w:t>ن</w:t>
      </w:r>
      <w:r w:rsidR="00D84336" w:rsidRPr="00282AC9">
        <w:rPr>
          <w:rFonts w:hint="cs"/>
          <w:rtl/>
        </w:rPr>
        <w:t>َ</w:t>
      </w:r>
      <w:r w:rsidRPr="00282AC9">
        <w:rPr>
          <w:rtl/>
        </w:rPr>
        <w:t xml:space="preserve"> أقلّ من نصف البشري</w:t>
      </w:r>
      <w:r w:rsidR="00D84336" w:rsidRPr="00282AC9">
        <w:rPr>
          <w:rFonts w:hint="cs"/>
          <w:rtl/>
        </w:rPr>
        <w:t>ّ</w:t>
      </w:r>
      <w:r w:rsidRPr="00282AC9">
        <w:rPr>
          <w:rtl/>
        </w:rPr>
        <w:t>ة بنسبة</w:t>
      </w:r>
      <w:r w:rsidR="00D84336" w:rsidRPr="00282AC9">
        <w:rPr>
          <w:rFonts w:hint="cs"/>
          <w:rtl/>
        </w:rPr>
        <w:t>ٍ</w:t>
      </w:r>
      <w:r w:rsidRPr="00282AC9">
        <w:rPr>
          <w:rtl/>
        </w:rPr>
        <w:t xml:space="preserve"> ضئيلة، لكن</w:t>
      </w:r>
      <w:r w:rsidR="00D84336" w:rsidRPr="00282AC9">
        <w:rPr>
          <w:rFonts w:hint="cs"/>
          <w:rtl/>
        </w:rPr>
        <w:t>ّ</w:t>
      </w:r>
      <w:r w:rsidRPr="00282AC9">
        <w:rPr>
          <w:rtl/>
        </w:rPr>
        <w:t>هن</w:t>
      </w:r>
      <w:r w:rsidR="00D84336" w:rsidRPr="00282AC9">
        <w:rPr>
          <w:rFonts w:hint="cs"/>
          <w:rtl/>
        </w:rPr>
        <w:t>ّ</w:t>
      </w:r>
      <w:r w:rsidRPr="00282AC9">
        <w:rPr>
          <w:rtl/>
        </w:rPr>
        <w:t xml:space="preserve"> مع ذلك كنّ</w:t>
      </w:r>
      <w:r w:rsidR="00D84336" w:rsidRPr="00282AC9">
        <w:rPr>
          <w:rFonts w:hint="cs"/>
          <w:rtl/>
        </w:rPr>
        <w:t>َ</w:t>
      </w:r>
      <w:r w:rsidRPr="00282AC9">
        <w:rPr>
          <w:rtl/>
        </w:rPr>
        <w:t xml:space="preserve"> ولا زل</w:t>
      </w:r>
      <w:r w:rsidR="00D84336" w:rsidRPr="00282AC9">
        <w:rPr>
          <w:rFonts w:hint="cs"/>
          <w:rtl/>
        </w:rPr>
        <w:t>ْ</w:t>
      </w:r>
      <w:r w:rsidRPr="00282AC9">
        <w:rPr>
          <w:rtl/>
        </w:rPr>
        <w:t>ن</w:t>
      </w:r>
      <w:r w:rsidR="00D84336" w:rsidRPr="00282AC9">
        <w:rPr>
          <w:rFonts w:hint="cs"/>
          <w:rtl/>
        </w:rPr>
        <w:t>َ</w:t>
      </w:r>
      <w:r w:rsidRPr="00282AC9">
        <w:rPr>
          <w:rtl/>
        </w:rPr>
        <w:t xml:space="preserve"> يمث</w:t>
      </w:r>
      <w:r w:rsidR="00D84336" w:rsidRPr="00282AC9">
        <w:rPr>
          <w:rFonts w:hint="cs"/>
          <w:rtl/>
        </w:rPr>
        <w:t>ِّ</w:t>
      </w:r>
      <w:r w:rsidRPr="00282AC9">
        <w:rPr>
          <w:rtl/>
        </w:rPr>
        <w:t>ل</w:t>
      </w:r>
      <w:r w:rsidR="00D84336" w:rsidRPr="00282AC9">
        <w:rPr>
          <w:rFonts w:hint="cs"/>
          <w:rtl/>
        </w:rPr>
        <w:t>ْ</w:t>
      </w:r>
      <w:r w:rsidRPr="00282AC9">
        <w:rPr>
          <w:rtl/>
        </w:rPr>
        <w:t>ن</w:t>
      </w:r>
      <w:r w:rsidR="00D84336" w:rsidRPr="00282AC9">
        <w:rPr>
          <w:rFonts w:hint="cs"/>
          <w:rtl/>
        </w:rPr>
        <w:t>َ</w:t>
      </w:r>
      <w:r w:rsidRPr="00282AC9">
        <w:rPr>
          <w:rtl/>
        </w:rPr>
        <w:t xml:space="preserve"> النسبة العظمى من ضحايا العنف، في الدول النامية والدول المتقد</w:t>
      </w:r>
      <w:r w:rsidR="00D84336" w:rsidRPr="00282AC9">
        <w:rPr>
          <w:rFonts w:hint="cs"/>
          <w:rtl/>
        </w:rPr>
        <w:t>ّ</w:t>
      </w:r>
      <w:r w:rsidRPr="00282AC9">
        <w:rPr>
          <w:rtl/>
        </w:rPr>
        <w:t>مة على حدٍّ سواء.</w:t>
      </w:r>
    </w:p>
    <w:p w:rsidR="009C6A22" w:rsidRPr="00282AC9" w:rsidRDefault="009C6A22" w:rsidP="00106AA7">
      <w:pPr>
        <w:rPr>
          <w:rtl/>
        </w:rPr>
      </w:pPr>
      <w:r w:rsidRPr="00282AC9">
        <w:rPr>
          <w:rtl/>
        </w:rPr>
        <w:t>فقد أشار</w:t>
      </w:r>
      <w:r w:rsidR="00D84336" w:rsidRPr="00282AC9">
        <w:rPr>
          <w:rFonts w:hint="cs"/>
          <w:rtl/>
        </w:rPr>
        <w:t>َ</w:t>
      </w:r>
      <w:r w:rsidRPr="00282AC9">
        <w:rPr>
          <w:rtl/>
        </w:rPr>
        <w:t>ت</w:t>
      </w:r>
      <w:r w:rsidR="00D84336" w:rsidRPr="00282AC9">
        <w:rPr>
          <w:rFonts w:hint="cs"/>
          <w:rtl/>
        </w:rPr>
        <w:t>ْ</w:t>
      </w:r>
      <w:r w:rsidRPr="00282AC9">
        <w:rPr>
          <w:rtl/>
        </w:rPr>
        <w:t xml:space="preserve"> الإحصاءات الصادرة عن الأمم المتحدة</w:t>
      </w:r>
      <w:r w:rsidR="00D84336" w:rsidRPr="00282AC9">
        <w:rPr>
          <w:rFonts w:hint="cs"/>
          <w:rtl/>
        </w:rPr>
        <w:t>،</w:t>
      </w:r>
      <w:r w:rsidRPr="00282AC9">
        <w:rPr>
          <w:rtl/>
        </w:rPr>
        <w:t xml:space="preserve"> بمناسبة اليوم العالمي للقضاء على العنف ضد</w:t>
      </w:r>
      <w:r w:rsidR="00D84336" w:rsidRPr="00282AC9">
        <w:rPr>
          <w:rFonts w:hint="cs"/>
          <w:rtl/>
        </w:rPr>
        <w:t>ّ</w:t>
      </w:r>
      <w:r w:rsidRPr="00282AC9">
        <w:rPr>
          <w:rtl/>
        </w:rPr>
        <w:t xml:space="preserve"> المرأة، إلى أرقام مزعجة</w:t>
      </w:r>
      <w:r w:rsidR="00D84336" w:rsidRPr="00282AC9">
        <w:rPr>
          <w:rFonts w:hint="cs"/>
          <w:rtl/>
        </w:rPr>
        <w:t>؛</w:t>
      </w:r>
      <w:r w:rsidRPr="00282AC9">
        <w:rPr>
          <w:rtl/>
        </w:rPr>
        <w:t xml:space="preserve"> ففي الولايات المت</w:t>
      </w:r>
      <w:r w:rsidR="00D84336" w:rsidRPr="00282AC9">
        <w:rPr>
          <w:rFonts w:hint="cs"/>
          <w:rtl/>
        </w:rPr>
        <w:t>ّ</w:t>
      </w:r>
      <w:r w:rsidRPr="00282AC9">
        <w:rPr>
          <w:rtl/>
        </w:rPr>
        <w:t>حدة الأمريكية وحدها تتعر</w:t>
      </w:r>
      <w:r w:rsidR="00D84336" w:rsidRPr="00282AC9">
        <w:rPr>
          <w:rFonts w:hint="cs"/>
          <w:rtl/>
        </w:rPr>
        <w:t>ّ</w:t>
      </w:r>
      <w:r w:rsidRPr="00282AC9">
        <w:rPr>
          <w:rtl/>
        </w:rPr>
        <w:t>ض امرأة</w:t>
      </w:r>
      <w:r w:rsidR="00D84336" w:rsidRPr="00282AC9">
        <w:rPr>
          <w:rFonts w:hint="cs"/>
          <w:rtl/>
        </w:rPr>
        <w:t>ٌ</w:t>
      </w:r>
      <w:r w:rsidRPr="00282AC9">
        <w:rPr>
          <w:rtl/>
        </w:rPr>
        <w:t xml:space="preserve"> للضرب على يد زوجها أو شريكها كلّ 15 ثانية</w:t>
      </w:r>
      <w:r w:rsidR="00D84336" w:rsidRPr="00282AC9">
        <w:rPr>
          <w:rFonts w:hint="cs"/>
          <w:rtl/>
        </w:rPr>
        <w:t>؛</w:t>
      </w:r>
      <w:r w:rsidRPr="00282AC9">
        <w:rPr>
          <w:rtl/>
        </w:rPr>
        <w:t xml:space="preserve"> وفي روسيا تتعر</w:t>
      </w:r>
      <w:r w:rsidR="00D84336" w:rsidRPr="00282AC9">
        <w:rPr>
          <w:rFonts w:hint="cs"/>
          <w:rtl/>
        </w:rPr>
        <w:t>ّ</w:t>
      </w:r>
      <w:r w:rsidRPr="00282AC9">
        <w:rPr>
          <w:rtl/>
        </w:rPr>
        <w:t>ض 3600 امرأة للضرب يوميّاً على أيدي أزواجهنّ.</w:t>
      </w:r>
    </w:p>
    <w:p w:rsidR="00C75E73" w:rsidRPr="00282AC9" w:rsidRDefault="00C75E73" w:rsidP="00C75E73">
      <w:pPr>
        <w:spacing w:line="420" w:lineRule="exact"/>
        <w:rPr>
          <w:rtl/>
        </w:rPr>
      </w:pPr>
    </w:p>
    <w:p w:rsidR="009C6A22" w:rsidRPr="00282AC9" w:rsidRDefault="009C6A22" w:rsidP="00B37544">
      <w:pPr>
        <w:pStyle w:val="31"/>
        <w:rPr>
          <w:color w:val="auto"/>
          <w:lang w:bidi="ar-YE"/>
        </w:rPr>
      </w:pPr>
      <w:r w:rsidRPr="00282AC9">
        <w:rPr>
          <w:color w:val="auto"/>
          <w:rtl/>
          <w:lang w:bidi="ar-YE"/>
        </w:rPr>
        <w:t>لماذا</w:t>
      </w:r>
      <w:r w:rsidRPr="00282AC9">
        <w:rPr>
          <w:color w:val="auto"/>
          <w:lang w:bidi="ar-YE"/>
        </w:rPr>
        <w:t xml:space="preserve"> </w:t>
      </w:r>
      <w:r w:rsidRPr="00282AC9">
        <w:rPr>
          <w:color w:val="auto"/>
          <w:rtl/>
          <w:lang w:bidi="ar-YE"/>
        </w:rPr>
        <w:t>تضطهد</w:t>
      </w:r>
      <w:r w:rsidRPr="00282AC9">
        <w:rPr>
          <w:color w:val="auto"/>
          <w:lang w:bidi="ar-YE"/>
        </w:rPr>
        <w:t xml:space="preserve"> </w:t>
      </w:r>
      <w:r w:rsidRPr="00282AC9">
        <w:rPr>
          <w:color w:val="auto"/>
          <w:rtl/>
          <w:lang w:bidi="ar-YE"/>
        </w:rPr>
        <w:t>المرأة؟</w:t>
      </w:r>
    </w:p>
    <w:p w:rsidR="009C6A22" w:rsidRPr="00282AC9" w:rsidRDefault="009C6A22" w:rsidP="00106AA7">
      <w:pPr>
        <w:rPr>
          <w:rtl/>
        </w:rPr>
      </w:pPr>
      <w:r w:rsidRPr="00282AC9">
        <w:rPr>
          <w:rtl/>
        </w:rPr>
        <w:t>هناك جملة</w:t>
      </w:r>
      <w:r w:rsidR="00D84336" w:rsidRPr="00282AC9">
        <w:rPr>
          <w:rFonts w:hint="cs"/>
          <w:rtl/>
        </w:rPr>
        <w:t>ٌ</w:t>
      </w:r>
      <w:r w:rsidRPr="00282AC9">
        <w:rPr>
          <w:rtl/>
        </w:rPr>
        <w:t xml:space="preserve"> من الأسباب تقف خلف تزايد حالات الاعتداء والعنف ضد</w:t>
      </w:r>
      <w:r w:rsidR="00D84336" w:rsidRPr="00282AC9">
        <w:rPr>
          <w:rFonts w:hint="cs"/>
          <w:rtl/>
        </w:rPr>
        <w:t>ّ</w:t>
      </w:r>
      <w:r w:rsidRPr="00282AC9">
        <w:rPr>
          <w:rtl/>
        </w:rPr>
        <w:t xml:space="preserve"> المرأة. فبالإضافة إلى تفشّ</w:t>
      </w:r>
      <w:r w:rsidR="00D84336" w:rsidRPr="00282AC9">
        <w:rPr>
          <w:rFonts w:hint="cs"/>
          <w:rtl/>
        </w:rPr>
        <w:t>ِ</w:t>
      </w:r>
      <w:r w:rsidRPr="00282AC9">
        <w:rPr>
          <w:rtl/>
        </w:rPr>
        <w:t>ي حالة الاستقواء الجسدي</w:t>
      </w:r>
      <w:r w:rsidR="00D84336" w:rsidRPr="00282AC9">
        <w:rPr>
          <w:rFonts w:hint="cs"/>
          <w:rtl/>
        </w:rPr>
        <w:t>ّ</w:t>
      </w:r>
      <w:r w:rsidRPr="00282AC9">
        <w:rPr>
          <w:rtl/>
        </w:rPr>
        <w:t xml:space="preserve"> على المرأة عند الرجال عام</w:t>
      </w:r>
      <w:r w:rsidR="00D84336" w:rsidRPr="00282AC9">
        <w:rPr>
          <w:rFonts w:hint="cs"/>
          <w:rtl/>
        </w:rPr>
        <w:t>ّ</w:t>
      </w:r>
      <w:r w:rsidRPr="00282AC9">
        <w:rPr>
          <w:rtl/>
        </w:rPr>
        <w:t>ة، هناك أيضاً ثقافة</w:t>
      </w:r>
      <w:r w:rsidR="00D84336" w:rsidRPr="00282AC9">
        <w:rPr>
          <w:rFonts w:hint="cs"/>
          <w:rtl/>
        </w:rPr>
        <w:t>ٌ</w:t>
      </w:r>
      <w:r w:rsidRPr="00282AC9">
        <w:rPr>
          <w:rtl/>
        </w:rPr>
        <w:t xml:space="preserve"> شائعة عند كثير من المجتمعات تبرّ</w:t>
      </w:r>
      <w:r w:rsidR="00D84336" w:rsidRPr="00282AC9">
        <w:rPr>
          <w:rFonts w:hint="cs"/>
          <w:rtl/>
        </w:rPr>
        <w:t>ِ</w:t>
      </w:r>
      <w:r w:rsidRPr="00282AC9">
        <w:rPr>
          <w:rtl/>
        </w:rPr>
        <w:t>ر ه</w:t>
      </w:r>
      <w:r w:rsidR="00D84336" w:rsidRPr="00282AC9">
        <w:rPr>
          <w:rFonts w:hint="cs"/>
          <w:rtl/>
        </w:rPr>
        <w:t>َ</w:t>
      </w:r>
      <w:r w:rsidRPr="00282AC9">
        <w:rPr>
          <w:rtl/>
        </w:rPr>
        <w:t>ي</w:t>
      </w:r>
      <w:r w:rsidR="00D84336" w:rsidRPr="00282AC9">
        <w:rPr>
          <w:rFonts w:hint="cs"/>
          <w:rtl/>
        </w:rPr>
        <w:t>ْ</w:t>
      </w:r>
      <w:r w:rsidRPr="00282AC9">
        <w:rPr>
          <w:rtl/>
        </w:rPr>
        <w:t>م</w:t>
      </w:r>
      <w:r w:rsidR="00D84336" w:rsidRPr="00282AC9">
        <w:rPr>
          <w:rFonts w:hint="cs"/>
          <w:rtl/>
        </w:rPr>
        <w:t>َ</w:t>
      </w:r>
      <w:r w:rsidRPr="00282AC9">
        <w:rPr>
          <w:rtl/>
        </w:rPr>
        <w:t>نة الرجل على المرأة، لمجرّ</w:t>
      </w:r>
      <w:r w:rsidR="00D84336" w:rsidRPr="00282AC9">
        <w:rPr>
          <w:rFonts w:hint="cs"/>
          <w:rtl/>
        </w:rPr>
        <w:t>َ</w:t>
      </w:r>
      <w:r w:rsidRPr="00282AC9">
        <w:rPr>
          <w:rtl/>
        </w:rPr>
        <w:t>د كونها امرأة</w:t>
      </w:r>
      <w:r w:rsidR="00D84336" w:rsidRPr="00282AC9">
        <w:rPr>
          <w:rFonts w:hint="cs"/>
          <w:rtl/>
        </w:rPr>
        <w:t>ً</w:t>
      </w:r>
      <w:r w:rsidRPr="00282AC9">
        <w:rPr>
          <w:rtl/>
        </w:rPr>
        <w:t xml:space="preserve"> وح</w:t>
      </w:r>
      <w:r w:rsidR="00D84336" w:rsidRPr="00282AC9">
        <w:rPr>
          <w:rFonts w:hint="cs"/>
          <w:rtl/>
        </w:rPr>
        <w:t>َ</w:t>
      </w:r>
      <w:r w:rsidRPr="00282AC9">
        <w:rPr>
          <w:rtl/>
        </w:rPr>
        <w:t>س</w:t>
      </w:r>
      <w:r w:rsidR="00D84336" w:rsidRPr="00282AC9">
        <w:rPr>
          <w:rFonts w:hint="cs"/>
          <w:rtl/>
        </w:rPr>
        <w:t>ْ</w:t>
      </w:r>
      <w:r w:rsidRPr="00282AC9">
        <w:rPr>
          <w:rtl/>
        </w:rPr>
        <w:t>ب.</w:t>
      </w:r>
    </w:p>
    <w:p w:rsidR="009C6A22" w:rsidRPr="00282AC9" w:rsidRDefault="009C6A22" w:rsidP="00106AA7">
      <w:pPr>
        <w:rPr>
          <w:rtl/>
        </w:rPr>
      </w:pPr>
      <w:r w:rsidRPr="00282AC9">
        <w:rPr>
          <w:rtl/>
        </w:rPr>
        <w:t>والأنكى من ذلك حين تسبغ الصبغة الديني</w:t>
      </w:r>
      <w:r w:rsidR="00D84336" w:rsidRPr="00282AC9">
        <w:rPr>
          <w:rFonts w:hint="cs"/>
          <w:rtl/>
        </w:rPr>
        <w:t>ّ</w:t>
      </w:r>
      <w:r w:rsidRPr="00282AC9">
        <w:rPr>
          <w:rtl/>
        </w:rPr>
        <w:t>ة لحالة اله</w:t>
      </w:r>
      <w:r w:rsidR="00D84336" w:rsidRPr="00282AC9">
        <w:rPr>
          <w:rFonts w:hint="cs"/>
          <w:rtl/>
        </w:rPr>
        <w:t>َ</w:t>
      </w:r>
      <w:r w:rsidRPr="00282AC9">
        <w:rPr>
          <w:rtl/>
        </w:rPr>
        <w:t>ي</w:t>
      </w:r>
      <w:r w:rsidR="00D84336" w:rsidRPr="00282AC9">
        <w:rPr>
          <w:rFonts w:hint="cs"/>
          <w:rtl/>
        </w:rPr>
        <w:t>ْ</w:t>
      </w:r>
      <w:r w:rsidRPr="00282AC9">
        <w:rPr>
          <w:rtl/>
        </w:rPr>
        <w:t>م</w:t>
      </w:r>
      <w:r w:rsidR="00D84336" w:rsidRPr="00282AC9">
        <w:rPr>
          <w:rFonts w:hint="cs"/>
          <w:rtl/>
        </w:rPr>
        <w:t>َ</w:t>
      </w:r>
      <w:r w:rsidRPr="00282AC9">
        <w:rPr>
          <w:rtl/>
        </w:rPr>
        <w:t>نة الذ</w:t>
      </w:r>
      <w:r w:rsidR="00D84336" w:rsidRPr="00282AC9">
        <w:rPr>
          <w:rFonts w:hint="cs"/>
          <w:rtl/>
        </w:rPr>
        <w:t>ُّ</w:t>
      </w:r>
      <w:r w:rsidRPr="00282AC9">
        <w:rPr>
          <w:rtl/>
        </w:rPr>
        <w:t>كورية على المرأة في المجتمعات المحافظة، مع أنّ الد</w:t>
      </w:r>
      <w:r w:rsidR="001D4349" w:rsidRPr="00282AC9">
        <w:rPr>
          <w:rFonts w:hint="cs"/>
          <w:rtl/>
        </w:rPr>
        <w:t>ِّ</w:t>
      </w:r>
      <w:r w:rsidRPr="00282AC9">
        <w:rPr>
          <w:rtl/>
        </w:rPr>
        <w:t>ين لا يقبل بالظلم على أيِّ نحوٍ كان</w:t>
      </w:r>
      <w:r w:rsidR="001D4349" w:rsidRPr="00282AC9">
        <w:rPr>
          <w:rFonts w:hint="cs"/>
          <w:rtl/>
        </w:rPr>
        <w:t>.</w:t>
      </w:r>
      <w:r w:rsidRPr="00282AC9">
        <w:rPr>
          <w:rtl/>
        </w:rPr>
        <w:t xml:space="preserve"> بل العكس </w:t>
      </w:r>
      <w:r w:rsidRPr="00282AC9">
        <w:rPr>
          <w:rtl/>
        </w:rPr>
        <w:lastRenderedPageBreak/>
        <w:t>هو الصحيح</w:t>
      </w:r>
      <w:r w:rsidR="001D4349" w:rsidRPr="00282AC9">
        <w:rPr>
          <w:rFonts w:hint="cs"/>
          <w:rtl/>
        </w:rPr>
        <w:t>؛</w:t>
      </w:r>
      <w:r w:rsidRPr="00282AC9">
        <w:rPr>
          <w:rtl/>
        </w:rPr>
        <w:t xml:space="preserve"> فالد</w:t>
      </w:r>
      <w:r w:rsidR="001D4349" w:rsidRPr="00282AC9">
        <w:rPr>
          <w:rFonts w:hint="cs"/>
          <w:rtl/>
        </w:rPr>
        <w:t>ِّ</w:t>
      </w:r>
      <w:r w:rsidRPr="00282AC9">
        <w:rPr>
          <w:rtl/>
        </w:rPr>
        <w:t>ين يدعو لتقدير المرأة واحترامها.</w:t>
      </w:r>
    </w:p>
    <w:p w:rsidR="009C6A22" w:rsidRPr="00282AC9" w:rsidRDefault="009C6A22" w:rsidP="00106AA7">
      <w:pPr>
        <w:rPr>
          <w:rtl/>
        </w:rPr>
      </w:pPr>
      <w:r w:rsidRPr="00282AC9">
        <w:rPr>
          <w:rtl/>
        </w:rPr>
        <w:t>فقد أورد ابن عساكر عن أمير المؤمنين علي</w:t>
      </w:r>
      <w:r w:rsidR="001D4349" w:rsidRPr="00282AC9">
        <w:rPr>
          <w:rFonts w:hint="cs"/>
          <w:rtl/>
        </w:rPr>
        <w:t>ّ</w:t>
      </w:r>
      <w:r w:rsidRPr="00282AC9">
        <w:rPr>
          <w:rtl/>
        </w:rPr>
        <w:t xml:space="preserve"> بن أبي طالب</w:t>
      </w:r>
      <w:r w:rsidR="009A2A04" w:rsidRPr="00282AC9">
        <w:rPr>
          <w:rFonts w:cs="Mosawi" w:hint="cs"/>
          <w:sz w:val="22"/>
          <w:szCs w:val="22"/>
          <w:rtl/>
        </w:rPr>
        <w:t>×</w:t>
      </w:r>
      <w:r w:rsidR="001D4349" w:rsidRPr="00282AC9">
        <w:rPr>
          <w:rFonts w:hint="cs"/>
          <w:rtl/>
        </w:rPr>
        <w:t>،</w:t>
      </w:r>
      <w:r w:rsidRPr="00282AC9">
        <w:rPr>
          <w:rtl/>
        </w:rPr>
        <w:t xml:space="preserve"> عن رسول الله</w:t>
      </w:r>
      <w:r w:rsidR="009A2A04" w:rsidRPr="00282AC9">
        <w:rPr>
          <w:rFonts w:cs="Mosawi"/>
          <w:sz w:val="22"/>
          <w:szCs w:val="22"/>
          <w:rtl/>
        </w:rPr>
        <w:t>|</w:t>
      </w:r>
      <w:r w:rsidRPr="00282AC9">
        <w:rPr>
          <w:rtl/>
        </w:rPr>
        <w:t xml:space="preserve"> أنه قال: </w:t>
      </w:r>
      <w:r w:rsidRPr="00282AC9">
        <w:rPr>
          <w:sz w:val="24"/>
          <w:szCs w:val="24"/>
          <w:rtl/>
        </w:rPr>
        <w:t>«</w:t>
      </w:r>
      <w:r w:rsidRPr="00282AC9">
        <w:rPr>
          <w:rtl/>
        </w:rPr>
        <w:t>خير</w:t>
      </w:r>
      <w:r w:rsidR="001D4349" w:rsidRPr="00282AC9">
        <w:rPr>
          <w:rFonts w:hint="cs"/>
          <w:rtl/>
        </w:rPr>
        <w:t>ُ</w:t>
      </w:r>
      <w:r w:rsidRPr="00282AC9">
        <w:rPr>
          <w:rtl/>
        </w:rPr>
        <w:t>كم خير</w:t>
      </w:r>
      <w:r w:rsidR="001D4349" w:rsidRPr="00282AC9">
        <w:rPr>
          <w:rFonts w:hint="cs"/>
          <w:rtl/>
        </w:rPr>
        <w:t>ُ</w:t>
      </w:r>
      <w:r w:rsidRPr="00282AC9">
        <w:rPr>
          <w:rtl/>
        </w:rPr>
        <w:t>كم لأهله</w:t>
      </w:r>
      <w:r w:rsidR="001D4349" w:rsidRPr="00282AC9">
        <w:rPr>
          <w:rFonts w:hint="cs"/>
          <w:rtl/>
        </w:rPr>
        <w:t>،</w:t>
      </w:r>
      <w:r w:rsidRPr="00282AC9">
        <w:rPr>
          <w:rtl/>
        </w:rPr>
        <w:t xml:space="preserve"> وأنا خير</w:t>
      </w:r>
      <w:r w:rsidR="001D4349" w:rsidRPr="00282AC9">
        <w:rPr>
          <w:rFonts w:hint="cs"/>
          <w:rtl/>
        </w:rPr>
        <w:t>ُ</w:t>
      </w:r>
      <w:r w:rsidRPr="00282AC9">
        <w:rPr>
          <w:rtl/>
        </w:rPr>
        <w:t>كم لأهلي، ما أكرم النساء إلا</w:t>
      </w:r>
      <w:r w:rsidR="001D4349" w:rsidRPr="00282AC9">
        <w:rPr>
          <w:rFonts w:hint="cs"/>
          <w:rtl/>
        </w:rPr>
        <w:t>ّ</w:t>
      </w:r>
      <w:r w:rsidRPr="00282AC9">
        <w:rPr>
          <w:rtl/>
        </w:rPr>
        <w:t xml:space="preserve"> كريم</w:t>
      </w:r>
      <w:r w:rsidR="001D4349" w:rsidRPr="00282AC9">
        <w:rPr>
          <w:rFonts w:hint="cs"/>
          <w:rtl/>
        </w:rPr>
        <w:t>ٌ،</w:t>
      </w:r>
      <w:r w:rsidRPr="00282AC9">
        <w:rPr>
          <w:rtl/>
        </w:rPr>
        <w:t xml:space="preserve"> وما أهانهنّ إلا</w:t>
      </w:r>
      <w:r w:rsidR="001D4349" w:rsidRPr="00282AC9">
        <w:rPr>
          <w:rFonts w:hint="cs"/>
          <w:rtl/>
        </w:rPr>
        <w:t>ّ</w:t>
      </w:r>
      <w:r w:rsidRPr="00282AC9">
        <w:rPr>
          <w:rtl/>
        </w:rPr>
        <w:t xml:space="preserve"> لئيم</w:t>
      </w:r>
      <w:r w:rsidR="001D4349" w:rsidRPr="00282AC9">
        <w:rPr>
          <w:rFonts w:hint="cs"/>
          <w:rtl/>
        </w:rPr>
        <w:t>ٌ</w:t>
      </w:r>
      <w:r w:rsidRPr="00282AC9">
        <w:rPr>
          <w:sz w:val="24"/>
          <w:szCs w:val="24"/>
          <w:rtl/>
        </w:rPr>
        <w:t>»</w:t>
      </w:r>
      <w:r w:rsidRPr="00282AC9">
        <w:rPr>
          <w:vertAlign w:val="superscript"/>
          <w:rtl/>
        </w:rPr>
        <w:t>(</w:t>
      </w:r>
      <w:r w:rsidRPr="00282AC9">
        <w:rPr>
          <w:vertAlign w:val="superscript"/>
          <w:rtl/>
        </w:rPr>
        <w:endnoteReference w:id="230"/>
      </w:r>
      <w:r w:rsidRPr="00282AC9">
        <w:rPr>
          <w:vertAlign w:val="superscript"/>
          <w:rtl/>
        </w:rPr>
        <w:t>)</w:t>
      </w:r>
      <w:r w:rsidRPr="00282AC9">
        <w:rPr>
          <w:rtl/>
        </w:rPr>
        <w:t>. واللافت أنّ القناعات السائدة وسط النساء أنفسهن</w:t>
      </w:r>
      <w:r w:rsidR="001D4349" w:rsidRPr="00282AC9">
        <w:rPr>
          <w:rFonts w:hint="cs"/>
          <w:rtl/>
        </w:rPr>
        <w:t>ّ</w:t>
      </w:r>
      <w:r w:rsidRPr="00282AC9">
        <w:rPr>
          <w:rtl/>
        </w:rPr>
        <w:t xml:space="preserve"> قد تشك</w:t>
      </w:r>
      <w:r w:rsidR="001D4349" w:rsidRPr="00282AC9">
        <w:rPr>
          <w:rFonts w:hint="cs"/>
          <w:rtl/>
        </w:rPr>
        <w:t>ِّ</w:t>
      </w:r>
      <w:r w:rsidRPr="00282AC9">
        <w:rPr>
          <w:rtl/>
        </w:rPr>
        <w:t>ل عاملاً آخر من عوامل انتشار العنف ضد</w:t>
      </w:r>
      <w:r w:rsidR="001D4349" w:rsidRPr="00282AC9">
        <w:rPr>
          <w:rFonts w:hint="cs"/>
          <w:rtl/>
        </w:rPr>
        <w:t>ّ</w:t>
      </w:r>
      <w:r w:rsidRPr="00282AC9">
        <w:rPr>
          <w:rtl/>
        </w:rPr>
        <w:t xml:space="preserve"> المرأة</w:t>
      </w:r>
      <w:r w:rsidR="001D4349" w:rsidRPr="00282AC9">
        <w:rPr>
          <w:rFonts w:hint="cs"/>
          <w:rtl/>
        </w:rPr>
        <w:t xml:space="preserve">؛ </w:t>
      </w:r>
      <w:r w:rsidRPr="00282AC9">
        <w:rPr>
          <w:rtl/>
        </w:rPr>
        <w:t>فقد أشارت الإحصاءات إلى أن 50</w:t>
      </w:r>
      <w:r w:rsidR="001D4349" w:rsidRPr="00282AC9">
        <w:rPr>
          <w:rFonts w:hint="cs"/>
          <w:rtl/>
        </w:rPr>
        <w:t>%</w:t>
      </w:r>
      <w:r w:rsidRPr="00282AC9">
        <w:rPr>
          <w:rtl/>
        </w:rPr>
        <w:t xml:space="preserve"> من النساء في العالم يعتقد</w:t>
      </w:r>
      <w:r w:rsidR="001D4349" w:rsidRPr="00282AC9">
        <w:rPr>
          <w:rFonts w:hint="cs"/>
          <w:rtl/>
        </w:rPr>
        <w:t>ْ</w:t>
      </w:r>
      <w:r w:rsidRPr="00282AC9">
        <w:rPr>
          <w:rtl/>
        </w:rPr>
        <w:t>ن</w:t>
      </w:r>
      <w:r w:rsidR="001D4349" w:rsidRPr="00282AC9">
        <w:rPr>
          <w:rFonts w:hint="cs"/>
          <w:rtl/>
        </w:rPr>
        <w:t>َ</w:t>
      </w:r>
      <w:r w:rsidRPr="00282AC9">
        <w:rPr>
          <w:rtl/>
        </w:rPr>
        <w:t xml:space="preserve"> أنّ العنف المرتكب ضدهنّ من ق</w:t>
      </w:r>
      <w:r w:rsidR="001D4349" w:rsidRPr="00282AC9">
        <w:rPr>
          <w:rFonts w:hint="cs"/>
          <w:rtl/>
        </w:rPr>
        <w:t>ِ</w:t>
      </w:r>
      <w:r w:rsidRPr="00282AC9">
        <w:rPr>
          <w:rtl/>
        </w:rPr>
        <w:t>ب</w:t>
      </w:r>
      <w:r w:rsidR="001D4349" w:rsidRPr="00282AC9">
        <w:rPr>
          <w:rFonts w:hint="cs"/>
          <w:rtl/>
        </w:rPr>
        <w:t>َ</w:t>
      </w:r>
      <w:r w:rsidRPr="00282AC9">
        <w:rPr>
          <w:rtl/>
        </w:rPr>
        <w:t>ل الرجل هو عنف</w:t>
      </w:r>
      <w:r w:rsidR="001D4349" w:rsidRPr="00282AC9">
        <w:rPr>
          <w:rFonts w:hint="cs"/>
          <w:rtl/>
        </w:rPr>
        <w:t>ٌ</w:t>
      </w:r>
      <w:r w:rsidRPr="00282AC9">
        <w:rPr>
          <w:rtl/>
        </w:rPr>
        <w:t xml:space="preserve"> مبرّ</w:t>
      </w:r>
      <w:r w:rsidR="001D4349" w:rsidRPr="00282AC9">
        <w:rPr>
          <w:rFonts w:hint="cs"/>
          <w:rtl/>
        </w:rPr>
        <w:t>َ</w:t>
      </w:r>
      <w:r w:rsidRPr="00282AC9">
        <w:rPr>
          <w:rtl/>
        </w:rPr>
        <w:t>ر، ما يعني القبول ضمناً بالوقوع ضحي</w:t>
      </w:r>
      <w:r w:rsidR="00535478" w:rsidRPr="00282AC9">
        <w:rPr>
          <w:rFonts w:hint="cs"/>
          <w:rtl/>
        </w:rPr>
        <w:t>ّ</w:t>
      </w:r>
      <w:r w:rsidRPr="00282AC9">
        <w:rPr>
          <w:rtl/>
        </w:rPr>
        <w:t>ة</w:t>
      </w:r>
      <w:r w:rsidR="00535478" w:rsidRPr="00282AC9">
        <w:rPr>
          <w:rFonts w:hint="cs"/>
          <w:rtl/>
        </w:rPr>
        <w:t>ً</w:t>
      </w:r>
      <w:r w:rsidRPr="00282AC9">
        <w:rPr>
          <w:rtl/>
        </w:rPr>
        <w:t xml:space="preserve"> للعنف المرتكب بحقهن</w:t>
      </w:r>
      <w:r w:rsidR="00535478" w:rsidRPr="00282AC9">
        <w:rPr>
          <w:rFonts w:hint="cs"/>
          <w:rtl/>
        </w:rPr>
        <w:t>ّ</w:t>
      </w:r>
      <w:r w:rsidRPr="00282AC9">
        <w:rPr>
          <w:rtl/>
        </w:rPr>
        <w:t>، وذلك بالنظر إلى ن</w:t>
      </w:r>
      <w:r w:rsidR="00535478" w:rsidRPr="00282AC9">
        <w:rPr>
          <w:rFonts w:hint="cs"/>
          <w:rtl/>
        </w:rPr>
        <w:t>َ</w:t>
      </w:r>
      <w:r w:rsidRPr="00282AC9">
        <w:rPr>
          <w:rtl/>
        </w:rPr>
        <w:t>م</w:t>
      </w:r>
      <w:r w:rsidR="00535478" w:rsidRPr="00282AC9">
        <w:rPr>
          <w:rFonts w:hint="cs"/>
          <w:rtl/>
        </w:rPr>
        <w:t>َ</w:t>
      </w:r>
      <w:r w:rsidRPr="00282AC9">
        <w:rPr>
          <w:rtl/>
        </w:rPr>
        <w:t>ط التربية النفسية والمجتمعية ال</w:t>
      </w:r>
      <w:r w:rsidR="00535478" w:rsidRPr="00282AC9">
        <w:rPr>
          <w:rFonts w:hint="cs"/>
          <w:rtl/>
        </w:rPr>
        <w:t>ت</w:t>
      </w:r>
      <w:r w:rsidRPr="00282AC9">
        <w:rPr>
          <w:rtl/>
        </w:rPr>
        <w:t>ي درج</w:t>
      </w:r>
      <w:r w:rsidR="00535478" w:rsidRPr="00282AC9">
        <w:rPr>
          <w:rFonts w:hint="cs"/>
          <w:rtl/>
        </w:rPr>
        <w:t>ْ</w:t>
      </w:r>
      <w:r w:rsidRPr="00282AC9">
        <w:rPr>
          <w:rtl/>
        </w:rPr>
        <w:t>ن</w:t>
      </w:r>
      <w:r w:rsidR="00535478" w:rsidRPr="00282AC9">
        <w:rPr>
          <w:rFonts w:hint="cs"/>
          <w:rtl/>
        </w:rPr>
        <w:t>َ</w:t>
      </w:r>
      <w:r w:rsidRPr="00282AC9">
        <w:rPr>
          <w:rtl/>
        </w:rPr>
        <w:t xml:space="preserve"> عليها.</w:t>
      </w:r>
    </w:p>
    <w:p w:rsidR="00C75E73" w:rsidRPr="00282AC9" w:rsidRDefault="00C75E73" w:rsidP="00C75E73">
      <w:pPr>
        <w:spacing w:line="420" w:lineRule="exact"/>
        <w:rPr>
          <w:rtl/>
        </w:rPr>
      </w:pPr>
    </w:p>
    <w:p w:rsidR="009C6A22" w:rsidRPr="00282AC9" w:rsidRDefault="004252C9" w:rsidP="00B37544">
      <w:pPr>
        <w:pStyle w:val="31"/>
        <w:rPr>
          <w:color w:val="auto"/>
          <w:lang w:bidi="ar-YE"/>
        </w:rPr>
      </w:pPr>
      <w:r w:rsidRPr="00282AC9">
        <w:rPr>
          <w:rFonts w:hint="cs"/>
          <w:color w:val="auto"/>
          <w:rtl/>
          <w:lang w:bidi="ar-YE"/>
        </w:rPr>
        <w:t>ضرور</w:t>
      </w:r>
      <w:r w:rsidRPr="00282AC9">
        <w:rPr>
          <w:rFonts w:hint="cs"/>
          <w:color w:val="auto"/>
          <w:rtl/>
        </w:rPr>
        <w:t>ة ال</w:t>
      </w:r>
      <w:r w:rsidR="009C6A22" w:rsidRPr="00282AC9">
        <w:rPr>
          <w:color w:val="auto"/>
          <w:rtl/>
          <w:lang w:bidi="ar-YE"/>
        </w:rPr>
        <w:t>تغي</w:t>
      </w:r>
      <w:r w:rsidRPr="00282AC9">
        <w:rPr>
          <w:rFonts w:hint="cs"/>
          <w:color w:val="auto"/>
          <w:rtl/>
          <w:lang w:bidi="ar-YE"/>
        </w:rPr>
        <w:t>ير</w:t>
      </w:r>
      <w:r w:rsidR="009C6A22" w:rsidRPr="00282AC9">
        <w:rPr>
          <w:color w:val="auto"/>
          <w:lang w:bidi="ar-YE"/>
        </w:rPr>
        <w:t xml:space="preserve"> </w:t>
      </w:r>
      <w:r w:rsidRPr="00282AC9">
        <w:rPr>
          <w:rFonts w:hint="cs"/>
          <w:color w:val="auto"/>
          <w:rtl/>
          <w:lang w:bidi="ar-YE"/>
        </w:rPr>
        <w:t>ال</w:t>
      </w:r>
      <w:r w:rsidR="009C6A22" w:rsidRPr="00282AC9">
        <w:rPr>
          <w:color w:val="auto"/>
          <w:rtl/>
          <w:lang w:bidi="ar-YE"/>
        </w:rPr>
        <w:t>ثقافي</w:t>
      </w:r>
      <w:r w:rsidR="00535478" w:rsidRPr="00282AC9">
        <w:rPr>
          <w:rFonts w:hint="cs"/>
          <w:color w:val="auto"/>
          <w:rtl/>
          <w:lang w:bidi="ar-YE"/>
        </w:rPr>
        <w:t>ّ</w:t>
      </w:r>
    </w:p>
    <w:p w:rsidR="009C6A22" w:rsidRPr="00282AC9" w:rsidRDefault="009C6A22" w:rsidP="00106AA7">
      <w:pPr>
        <w:rPr>
          <w:rtl/>
        </w:rPr>
      </w:pPr>
      <w:r w:rsidRPr="00282AC9">
        <w:rPr>
          <w:rtl/>
        </w:rPr>
        <w:t>لقد آن الأوان أنْ تتغيّ</w:t>
      </w:r>
      <w:r w:rsidR="00535478" w:rsidRPr="00282AC9">
        <w:rPr>
          <w:rFonts w:hint="cs"/>
          <w:rtl/>
        </w:rPr>
        <w:t>َ</w:t>
      </w:r>
      <w:r w:rsidRPr="00282AC9">
        <w:rPr>
          <w:rtl/>
        </w:rPr>
        <w:t>ر ثقافة القبول بوقوع المرأة ضحية العنف، تحت غطاء</w:t>
      </w:r>
      <w:r w:rsidR="00535478" w:rsidRPr="00282AC9">
        <w:rPr>
          <w:rFonts w:hint="cs"/>
          <w:rtl/>
        </w:rPr>
        <w:t>ٍ</w:t>
      </w:r>
      <w:r w:rsidRPr="00282AC9">
        <w:rPr>
          <w:rtl/>
        </w:rPr>
        <w:t xml:space="preserve"> أو آخر، في مختلف المجتمعات. ولعلّ من وسائل التغيير على هذا الصعيد أن يجري تصحيح الثقافة الديني</w:t>
      </w:r>
      <w:r w:rsidR="00535478" w:rsidRPr="00282AC9">
        <w:rPr>
          <w:rFonts w:hint="cs"/>
          <w:rtl/>
        </w:rPr>
        <w:t>ّ</w:t>
      </w:r>
      <w:r w:rsidRPr="00282AC9">
        <w:rPr>
          <w:rtl/>
        </w:rPr>
        <w:t>ة الشائعة، من خلال إثارة النصوص الديني</w:t>
      </w:r>
      <w:r w:rsidR="00535478" w:rsidRPr="00282AC9">
        <w:rPr>
          <w:rFonts w:hint="cs"/>
          <w:rtl/>
        </w:rPr>
        <w:t>ّ</w:t>
      </w:r>
      <w:r w:rsidRPr="00282AC9">
        <w:rPr>
          <w:rtl/>
        </w:rPr>
        <w:t>ة الصحيحة</w:t>
      </w:r>
      <w:r w:rsidR="00535478" w:rsidRPr="00282AC9">
        <w:rPr>
          <w:rFonts w:hint="cs"/>
          <w:rtl/>
        </w:rPr>
        <w:t>،</w:t>
      </w:r>
      <w:r w:rsidRPr="00282AC9">
        <w:rPr>
          <w:rtl/>
        </w:rPr>
        <w:t xml:space="preserve"> التي تحترم كيان المرأة، وتوصي بها خ</w:t>
      </w:r>
      <w:r w:rsidR="00535478" w:rsidRPr="00282AC9">
        <w:rPr>
          <w:rFonts w:hint="cs"/>
          <w:rtl/>
        </w:rPr>
        <w:t>َ</w:t>
      </w:r>
      <w:r w:rsidRPr="00282AC9">
        <w:rPr>
          <w:rtl/>
        </w:rPr>
        <w:t>ي</w:t>
      </w:r>
      <w:r w:rsidR="00535478" w:rsidRPr="00282AC9">
        <w:rPr>
          <w:rFonts w:hint="cs"/>
          <w:rtl/>
        </w:rPr>
        <w:t>ْ</w:t>
      </w:r>
      <w:r w:rsidRPr="00282AC9">
        <w:rPr>
          <w:rtl/>
        </w:rPr>
        <w:t>راً</w:t>
      </w:r>
      <w:r w:rsidR="00535478" w:rsidRPr="00282AC9">
        <w:rPr>
          <w:rFonts w:hint="cs"/>
          <w:rtl/>
        </w:rPr>
        <w:t>.</w:t>
      </w:r>
      <w:r w:rsidRPr="00282AC9">
        <w:rPr>
          <w:rtl/>
        </w:rPr>
        <w:t xml:space="preserve"> وكم في القرآن الكريم وفي السن</w:t>
      </w:r>
      <w:r w:rsidR="00535478" w:rsidRPr="00282AC9">
        <w:rPr>
          <w:rFonts w:hint="cs"/>
          <w:rtl/>
        </w:rPr>
        <w:t>ّ</w:t>
      </w:r>
      <w:r w:rsidRPr="00282AC9">
        <w:rPr>
          <w:rtl/>
        </w:rPr>
        <w:t>ة الشريفة من النصوص التي تشيد بمكانة المرأة، طفلة</w:t>
      </w:r>
      <w:r w:rsidR="00535478" w:rsidRPr="00282AC9">
        <w:rPr>
          <w:rFonts w:hint="cs"/>
          <w:rtl/>
        </w:rPr>
        <w:t>ً</w:t>
      </w:r>
      <w:r w:rsidRPr="00282AC9">
        <w:rPr>
          <w:rtl/>
        </w:rPr>
        <w:t xml:space="preserve"> وأختاً وزوجة وأمّاً؟ لكنّ النصوص الأكثر انتشاراً هي التي تدعم المزيد من ه</w:t>
      </w:r>
      <w:r w:rsidR="00535478" w:rsidRPr="00282AC9">
        <w:rPr>
          <w:rFonts w:hint="cs"/>
          <w:rtl/>
        </w:rPr>
        <w:t>َ</w:t>
      </w:r>
      <w:r w:rsidRPr="00282AC9">
        <w:rPr>
          <w:rtl/>
        </w:rPr>
        <w:t>ي</w:t>
      </w:r>
      <w:r w:rsidR="00535478" w:rsidRPr="00282AC9">
        <w:rPr>
          <w:rFonts w:hint="cs"/>
          <w:rtl/>
        </w:rPr>
        <w:t>ْ</w:t>
      </w:r>
      <w:r w:rsidRPr="00282AC9">
        <w:rPr>
          <w:rtl/>
        </w:rPr>
        <w:t>م</w:t>
      </w:r>
      <w:r w:rsidR="00535478" w:rsidRPr="00282AC9">
        <w:rPr>
          <w:rFonts w:hint="cs"/>
          <w:rtl/>
        </w:rPr>
        <w:t>َ</w:t>
      </w:r>
      <w:r w:rsidRPr="00282AC9">
        <w:rPr>
          <w:rtl/>
        </w:rPr>
        <w:t>نة الرجل على المرأة، مع ما يصاحب تلك النصوص من ترجمة</w:t>
      </w:r>
      <w:r w:rsidR="00535478" w:rsidRPr="00282AC9">
        <w:rPr>
          <w:rFonts w:hint="cs"/>
          <w:rtl/>
        </w:rPr>
        <w:t>ٍ</w:t>
      </w:r>
      <w:r w:rsidRPr="00282AC9">
        <w:rPr>
          <w:rtl/>
        </w:rPr>
        <w:t xml:space="preserve"> متعس</w:t>
      </w:r>
      <w:r w:rsidR="00535478" w:rsidRPr="00282AC9">
        <w:rPr>
          <w:rFonts w:hint="cs"/>
          <w:rtl/>
        </w:rPr>
        <w:t>ِّ</w:t>
      </w:r>
      <w:r w:rsidRPr="00282AC9">
        <w:rPr>
          <w:rtl/>
        </w:rPr>
        <w:t>فة، وعلى النحو الذي يخدم حالة الاستقواء على المرأة، ومن ذلك</w:t>
      </w:r>
      <w:r w:rsidR="00535478" w:rsidRPr="00282AC9">
        <w:rPr>
          <w:rFonts w:hint="cs"/>
          <w:rtl/>
        </w:rPr>
        <w:t>:</w:t>
      </w:r>
      <w:r w:rsidRPr="00282AC9">
        <w:rPr>
          <w:rtl/>
        </w:rPr>
        <w:t xml:space="preserve"> الآية الكريمة</w:t>
      </w:r>
      <w:r w:rsidR="00535478" w:rsidRPr="00282AC9">
        <w:rPr>
          <w:rFonts w:hint="cs"/>
          <w:rtl/>
        </w:rPr>
        <w:t>:</w:t>
      </w:r>
      <w:r w:rsidRPr="00282AC9">
        <w:rPr>
          <w:rtl/>
        </w:rPr>
        <w:t xml:space="preserve"> </w:t>
      </w:r>
      <w:r w:rsidR="00C5291F" w:rsidRPr="00282AC9">
        <w:rPr>
          <w:rFonts w:ascii="Mosawi" w:hAnsi="Mosawi" w:cs="Mosawi"/>
          <w:sz w:val="24"/>
          <w:szCs w:val="24"/>
          <w:rtl/>
        </w:rPr>
        <w:t>﴿</w:t>
      </w:r>
      <w:r w:rsidRPr="00282AC9">
        <w:rPr>
          <w:b/>
          <w:bCs/>
          <w:rtl/>
        </w:rPr>
        <w:t>الرِّجَالُ قَوَّامُونَ عَلَى النِّسَاءِ</w:t>
      </w:r>
      <w:r w:rsidR="00C5291F" w:rsidRPr="00282AC9">
        <w:rPr>
          <w:rFonts w:ascii="Mosawi" w:hAnsi="Mosawi" w:cs="Mosawi"/>
          <w:sz w:val="24"/>
          <w:szCs w:val="24"/>
          <w:rtl/>
        </w:rPr>
        <w:t>﴾</w:t>
      </w:r>
      <w:r w:rsidRPr="00282AC9">
        <w:rPr>
          <w:rtl/>
        </w:rPr>
        <w:t>، إلى جانب الروايات الواردة في هذا السياق، من قبيل</w:t>
      </w:r>
      <w:r w:rsidR="00535478" w:rsidRPr="00282AC9">
        <w:rPr>
          <w:rFonts w:hint="cs"/>
          <w:rtl/>
        </w:rPr>
        <w:t>:</w:t>
      </w:r>
      <w:r w:rsidRPr="00282AC9">
        <w:rPr>
          <w:rtl/>
        </w:rPr>
        <w:t xml:space="preserve"> </w:t>
      </w:r>
      <w:r w:rsidRPr="00282AC9">
        <w:rPr>
          <w:sz w:val="24"/>
          <w:szCs w:val="24"/>
          <w:rtl/>
        </w:rPr>
        <w:t>«</w:t>
      </w:r>
      <w:r w:rsidRPr="00282AC9">
        <w:rPr>
          <w:rtl/>
        </w:rPr>
        <w:t>لو كنت</w:t>
      </w:r>
      <w:r w:rsidR="00535478" w:rsidRPr="00282AC9">
        <w:rPr>
          <w:rFonts w:hint="cs"/>
          <w:rtl/>
        </w:rPr>
        <w:t>ُ</w:t>
      </w:r>
      <w:r w:rsidRPr="00282AC9">
        <w:rPr>
          <w:rtl/>
        </w:rPr>
        <w:t xml:space="preserve"> آمر أحداً بالسجود لأحدٍ لأمرت</w:t>
      </w:r>
      <w:r w:rsidR="00535478" w:rsidRPr="00282AC9">
        <w:rPr>
          <w:rFonts w:hint="cs"/>
          <w:rtl/>
        </w:rPr>
        <w:t>ُ</w:t>
      </w:r>
      <w:r w:rsidRPr="00282AC9">
        <w:rPr>
          <w:rtl/>
        </w:rPr>
        <w:t xml:space="preserve"> المرأة بالسجود لزوجها</w:t>
      </w:r>
      <w:r w:rsidRPr="00282AC9">
        <w:rPr>
          <w:sz w:val="24"/>
          <w:szCs w:val="24"/>
          <w:rtl/>
        </w:rPr>
        <w:t>»</w:t>
      </w:r>
      <w:r w:rsidRPr="00282AC9">
        <w:rPr>
          <w:rtl/>
        </w:rPr>
        <w:t>.</w:t>
      </w:r>
    </w:p>
    <w:p w:rsidR="009C6A22" w:rsidRPr="00282AC9" w:rsidRDefault="009C6A22" w:rsidP="00106AA7">
      <w:pPr>
        <w:rPr>
          <w:rtl/>
        </w:rPr>
      </w:pPr>
      <w:r w:rsidRPr="00282AC9">
        <w:rPr>
          <w:rtl/>
        </w:rPr>
        <w:t>في مقابل ذلك يجري تجاهل كثير</w:t>
      </w:r>
      <w:r w:rsidR="00535478" w:rsidRPr="00282AC9">
        <w:rPr>
          <w:rFonts w:hint="cs"/>
          <w:rtl/>
        </w:rPr>
        <w:t>ٍ</w:t>
      </w:r>
      <w:r w:rsidRPr="00282AC9">
        <w:rPr>
          <w:rtl/>
        </w:rPr>
        <w:t xml:space="preserve"> من النصوص الأخرى</w:t>
      </w:r>
      <w:r w:rsidR="007E4CF5" w:rsidRPr="00282AC9">
        <w:rPr>
          <w:rFonts w:hint="cs"/>
          <w:rtl/>
        </w:rPr>
        <w:t>،</w:t>
      </w:r>
      <w:r w:rsidRPr="00282AC9">
        <w:rPr>
          <w:rtl/>
        </w:rPr>
        <w:t xml:space="preserve"> التي تؤكّ</w:t>
      </w:r>
      <w:r w:rsidR="007E4CF5" w:rsidRPr="00282AC9">
        <w:rPr>
          <w:rFonts w:hint="cs"/>
          <w:rtl/>
        </w:rPr>
        <w:t>ِ</w:t>
      </w:r>
      <w:r w:rsidRPr="00282AC9">
        <w:rPr>
          <w:rtl/>
        </w:rPr>
        <w:t>د مكانة المرأة</w:t>
      </w:r>
      <w:r w:rsidR="007E4CF5" w:rsidRPr="00282AC9">
        <w:rPr>
          <w:rFonts w:hint="cs"/>
          <w:rtl/>
        </w:rPr>
        <w:t>.</w:t>
      </w:r>
      <w:r w:rsidRPr="00282AC9">
        <w:rPr>
          <w:rtl/>
        </w:rPr>
        <w:t xml:space="preserve"> ومن ذلك</w:t>
      </w:r>
      <w:r w:rsidR="007E4CF5" w:rsidRPr="00282AC9">
        <w:rPr>
          <w:rFonts w:hint="cs"/>
          <w:rtl/>
        </w:rPr>
        <w:t>:</w:t>
      </w:r>
      <w:r w:rsidRPr="00282AC9">
        <w:rPr>
          <w:rtl/>
        </w:rPr>
        <w:t xml:space="preserve"> النص</w:t>
      </w:r>
      <w:r w:rsidR="007E4CF5" w:rsidRPr="00282AC9">
        <w:rPr>
          <w:rFonts w:hint="cs"/>
          <w:rtl/>
        </w:rPr>
        <w:t>ّ</w:t>
      </w:r>
      <w:r w:rsidRPr="00282AC9">
        <w:rPr>
          <w:rtl/>
        </w:rPr>
        <w:t xml:space="preserve"> الوارد عن النبي</w:t>
      </w:r>
      <w:r w:rsidR="007E4CF5" w:rsidRPr="00282AC9">
        <w:rPr>
          <w:rFonts w:hint="cs"/>
          <w:rtl/>
        </w:rPr>
        <w:t>ّ</w:t>
      </w:r>
      <w:r w:rsidR="009A2A04" w:rsidRPr="00282AC9">
        <w:rPr>
          <w:rFonts w:cs="Mosawi"/>
          <w:sz w:val="22"/>
          <w:szCs w:val="22"/>
          <w:rtl/>
        </w:rPr>
        <w:t>|</w:t>
      </w:r>
      <w:r w:rsidRPr="00282AC9">
        <w:rPr>
          <w:rtl/>
        </w:rPr>
        <w:t xml:space="preserve">: </w:t>
      </w:r>
      <w:r w:rsidRPr="00282AC9">
        <w:rPr>
          <w:sz w:val="24"/>
          <w:szCs w:val="24"/>
          <w:rtl/>
        </w:rPr>
        <w:t>«</w:t>
      </w:r>
      <w:r w:rsidRPr="00282AC9">
        <w:rPr>
          <w:rtl/>
        </w:rPr>
        <w:t>الجن</w:t>
      </w:r>
      <w:r w:rsidR="007E4CF5" w:rsidRPr="00282AC9">
        <w:rPr>
          <w:rFonts w:hint="cs"/>
          <w:rtl/>
        </w:rPr>
        <w:t>ّ</w:t>
      </w:r>
      <w:r w:rsidRPr="00282AC9">
        <w:rPr>
          <w:rtl/>
        </w:rPr>
        <w:t>ة تحت أقدام الأمّهات</w:t>
      </w:r>
      <w:r w:rsidRPr="00282AC9">
        <w:rPr>
          <w:sz w:val="24"/>
          <w:szCs w:val="24"/>
          <w:rtl/>
        </w:rPr>
        <w:t>»</w:t>
      </w:r>
      <w:r w:rsidRPr="00282AC9">
        <w:rPr>
          <w:vertAlign w:val="superscript"/>
          <w:rtl/>
        </w:rPr>
        <w:t>(</w:t>
      </w:r>
      <w:r w:rsidRPr="00282AC9">
        <w:rPr>
          <w:vertAlign w:val="superscript"/>
          <w:rtl/>
        </w:rPr>
        <w:endnoteReference w:id="231"/>
      </w:r>
      <w:r w:rsidRPr="00282AC9">
        <w:rPr>
          <w:vertAlign w:val="superscript"/>
          <w:rtl/>
        </w:rPr>
        <w:t>)</w:t>
      </w:r>
      <w:r w:rsidR="007E4CF5" w:rsidRPr="00282AC9">
        <w:rPr>
          <w:rFonts w:hint="cs"/>
          <w:rtl/>
        </w:rPr>
        <w:t>؛</w:t>
      </w:r>
      <w:r w:rsidRPr="00282AC9">
        <w:rPr>
          <w:rtl/>
        </w:rPr>
        <w:t xml:space="preserve"> و</w:t>
      </w:r>
      <w:r w:rsidRPr="00282AC9">
        <w:rPr>
          <w:sz w:val="24"/>
          <w:szCs w:val="24"/>
          <w:rtl/>
        </w:rPr>
        <w:t>«</w:t>
      </w:r>
      <w:r w:rsidRPr="00282AC9">
        <w:rPr>
          <w:rtl/>
        </w:rPr>
        <w:t>تحت أقدام الأمهات روضة</w:t>
      </w:r>
      <w:r w:rsidR="007E4CF5" w:rsidRPr="00282AC9">
        <w:rPr>
          <w:rFonts w:hint="cs"/>
          <w:rtl/>
        </w:rPr>
        <w:t>ٌ</w:t>
      </w:r>
      <w:r w:rsidRPr="00282AC9">
        <w:rPr>
          <w:rtl/>
        </w:rPr>
        <w:t xml:space="preserve"> من رياض الجن</w:t>
      </w:r>
      <w:r w:rsidR="007E4CF5" w:rsidRPr="00282AC9">
        <w:rPr>
          <w:rFonts w:hint="cs"/>
          <w:rtl/>
        </w:rPr>
        <w:t>ّ</w:t>
      </w:r>
      <w:r w:rsidRPr="00282AC9">
        <w:rPr>
          <w:rtl/>
        </w:rPr>
        <w:t>ة</w:t>
      </w:r>
      <w:r w:rsidRPr="00282AC9">
        <w:rPr>
          <w:sz w:val="24"/>
          <w:szCs w:val="24"/>
          <w:rtl/>
        </w:rPr>
        <w:t>»</w:t>
      </w:r>
      <w:r w:rsidRPr="00282AC9">
        <w:rPr>
          <w:vertAlign w:val="superscript"/>
          <w:rtl/>
        </w:rPr>
        <w:t>(</w:t>
      </w:r>
      <w:r w:rsidRPr="00282AC9">
        <w:rPr>
          <w:vertAlign w:val="superscript"/>
          <w:rtl/>
        </w:rPr>
        <w:endnoteReference w:id="232"/>
      </w:r>
      <w:r w:rsidRPr="00282AC9">
        <w:rPr>
          <w:vertAlign w:val="superscript"/>
          <w:rtl/>
        </w:rPr>
        <w:t>)</w:t>
      </w:r>
      <w:r w:rsidR="007E4CF5" w:rsidRPr="00282AC9">
        <w:rPr>
          <w:rFonts w:hint="cs"/>
          <w:rtl/>
        </w:rPr>
        <w:t>؛</w:t>
      </w:r>
      <w:r w:rsidRPr="00282AC9">
        <w:rPr>
          <w:rtl/>
        </w:rPr>
        <w:t xml:space="preserve"> وفي رواية أخرى: </w:t>
      </w:r>
      <w:r w:rsidRPr="00282AC9">
        <w:rPr>
          <w:sz w:val="24"/>
          <w:szCs w:val="24"/>
          <w:rtl/>
        </w:rPr>
        <w:t>«</w:t>
      </w:r>
      <w:r w:rsidRPr="00282AC9">
        <w:rPr>
          <w:rtl/>
        </w:rPr>
        <w:t>جاء رجل</w:t>
      </w:r>
      <w:r w:rsidR="007E4CF5" w:rsidRPr="00282AC9">
        <w:rPr>
          <w:rFonts w:hint="cs"/>
          <w:rtl/>
        </w:rPr>
        <w:t>ٌ</w:t>
      </w:r>
      <w:r w:rsidRPr="00282AC9">
        <w:rPr>
          <w:rtl/>
        </w:rPr>
        <w:t xml:space="preserve"> إلى النبي</w:t>
      </w:r>
      <w:r w:rsidR="007E4CF5" w:rsidRPr="00282AC9">
        <w:rPr>
          <w:rFonts w:hint="cs"/>
          <w:rtl/>
        </w:rPr>
        <w:t>ّ</w:t>
      </w:r>
      <w:r w:rsidR="009A2A04" w:rsidRPr="00282AC9">
        <w:rPr>
          <w:rFonts w:cs="Mosawi"/>
          <w:sz w:val="22"/>
          <w:szCs w:val="22"/>
          <w:rtl/>
        </w:rPr>
        <w:t>|</w:t>
      </w:r>
      <w:r w:rsidR="007E4CF5" w:rsidRPr="00282AC9">
        <w:rPr>
          <w:rFonts w:hint="cs"/>
          <w:rtl/>
        </w:rPr>
        <w:t xml:space="preserve"> </w:t>
      </w:r>
      <w:r w:rsidRPr="00282AC9">
        <w:rPr>
          <w:rtl/>
        </w:rPr>
        <w:t>فقال: يا رسول الله، مَنْ أبرّ؟ قال: أمّك، قال: ثم</w:t>
      </w:r>
      <w:r w:rsidR="007E4CF5" w:rsidRPr="00282AC9">
        <w:rPr>
          <w:rFonts w:hint="cs"/>
          <w:rtl/>
        </w:rPr>
        <w:t>ّ</w:t>
      </w:r>
      <w:r w:rsidRPr="00282AC9">
        <w:rPr>
          <w:rtl/>
        </w:rPr>
        <w:t xml:space="preserve"> مَنْ؟ قال: أمّك، قال: ثم</w:t>
      </w:r>
      <w:r w:rsidR="007E4CF5" w:rsidRPr="00282AC9">
        <w:rPr>
          <w:rFonts w:hint="cs"/>
          <w:rtl/>
        </w:rPr>
        <w:t>ّ</w:t>
      </w:r>
      <w:r w:rsidRPr="00282AC9">
        <w:rPr>
          <w:rtl/>
        </w:rPr>
        <w:t xml:space="preserve"> مَنْ؟ قال: أمّك، قال: ثم</w:t>
      </w:r>
      <w:r w:rsidR="007E4CF5" w:rsidRPr="00282AC9">
        <w:rPr>
          <w:rFonts w:hint="cs"/>
          <w:rtl/>
        </w:rPr>
        <w:t>ّ</w:t>
      </w:r>
      <w:r w:rsidR="007E4CF5" w:rsidRPr="00282AC9">
        <w:rPr>
          <w:rtl/>
        </w:rPr>
        <w:t xml:space="preserve"> م</w:t>
      </w:r>
      <w:r w:rsidR="007E4CF5" w:rsidRPr="00282AC9">
        <w:rPr>
          <w:rFonts w:hint="cs"/>
          <w:rtl/>
        </w:rPr>
        <w:t>َ</w:t>
      </w:r>
      <w:r w:rsidRPr="00282AC9">
        <w:rPr>
          <w:rtl/>
        </w:rPr>
        <w:t>نْ؟ قال: أباك</w:t>
      </w:r>
      <w:r w:rsidRPr="00282AC9">
        <w:rPr>
          <w:sz w:val="24"/>
          <w:szCs w:val="24"/>
          <w:rtl/>
        </w:rPr>
        <w:t>»</w:t>
      </w:r>
      <w:r w:rsidRPr="00282AC9">
        <w:rPr>
          <w:vertAlign w:val="superscript"/>
          <w:rtl/>
        </w:rPr>
        <w:t>(</w:t>
      </w:r>
      <w:r w:rsidRPr="00282AC9">
        <w:rPr>
          <w:vertAlign w:val="superscript"/>
          <w:rtl/>
        </w:rPr>
        <w:endnoteReference w:id="233"/>
      </w:r>
      <w:r w:rsidRPr="00282AC9">
        <w:rPr>
          <w:vertAlign w:val="superscript"/>
          <w:rtl/>
        </w:rPr>
        <w:t>)</w:t>
      </w:r>
      <w:r w:rsidR="007E4CF5" w:rsidRPr="00282AC9">
        <w:rPr>
          <w:rFonts w:hint="cs"/>
          <w:rtl/>
        </w:rPr>
        <w:t>؛</w:t>
      </w:r>
      <w:r w:rsidRPr="00282AC9">
        <w:rPr>
          <w:rtl/>
        </w:rPr>
        <w:t xml:space="preserve"> وفي صحيح مسلم: </w:t>
      </w:r>
      <w:r w:rsidRPr="00282AC9">
        <w:rPr>
          <w:sz w:val="24"/>
          <w:szCs w:val="24"/>
          <w:rtl/>
        </w:rPr>
        <w:t>«</w:t>
      </w:r>
      <w:r w:rsidR="007E4CF5" w:rsidRPr="00282AC9">
        <w:rPr>
          <w:rtl/>
        </w:rPr>
        <w:t>قال رج</w:t>
      </w:r>
      <w:r w:rsidRPr="00282AC9">
        <w:rPr>
          <w:rtl/>
        </w:rPr>
        <w:t>لٌ</w:t>
      </w:r>
      <w:r w:rsidR="007E4CF5" w:rsidRPr="00282AC9">
        <w:rPr>
          <w:rFonts w:hint="cs"/>
          <w:rtl/>
        </w:rPr>
        <w:t>:</w:t>
      </w:r>
      <w:r w:rsidR="007E4CF5" w:rsidRPr="00282AC9">
        <w:rPr>
          <w:rtl/>
        </w:rPr>
        <w:t xml:space="preserve"> يا رسول</w:t>
      </w:r>
      <w:r w:rsidRPr="00282AC9">
        <w:rPr>
          <w:rtl/>
        </w:rPr>
        <w:t xml:space="preserve"> </w:t>
      </w:r>
      <w:r w:rsidR="006D28AF" w:rsidRPr="00282AC9">
        <w:rPr>
          <w:rtl/>
        </w:rPr>
        <w:t>الل</w:t>
      </w:r>
      <w:r w:rsidR="007E4CF5" w:rsidRPr="00282AC9">
        <w:rPr>
          <w:rtl/>
        </w:rPr>
        <w:t>ه</w:t>
      </w:r>
      <w:r w:rsidR="007E4CF5" w:rsidRPr="00282AC9">
        <w:rPr>
          <w:rFonts w:hint="cs"/>
          <w:rtl/>
        </w:rPr>
        <w:t>،</w:t>
      </w:r>
      <w:r w:rsidR="007E4CF5" w:rsidRPr="00282AC9">
        <w:rPr>
          <w:rtl/>
        </w:rPr>
        <w:t xml:space="preserve"> مَنْ أحقُّ الناس بحُسْن الص</w:t>
      </w:r>
      <w:r w:rsidR="007E4CF5" w:rsidRPr="00282AC9">
        <w:rPr>
          <w:rFonts w:hint="cs"/>
          <w:rtl/>
        </w:rPr>
        <w:t>ُّ</w:t>
      </w:r>
      <w:r w:rsidR="007E4CF5" w:rsidRPr="00282AC9">
        <w:rPr>
          <w:rtl/>
        </w:rPr>
        <w:t>ح</w:t>
      </w:r>
      <w:r w:rsidR="007E4CF5" w:rsidRPr="00282AC9">
        <w:rPr>
          <w:rFonts w:hint="cs"/>
          <w:rtl/>
        </w:rPr>
        <w:t>ْ</w:t>
      </w:r>
      <w:r w:rsidR="007E4CF5" w:rsidRPr="00282AC9">
        <w:rPr>
          <w:rtl/>
        </w:rPr>
        <w:t>بة</w:t>
      </w:r>
      <w:r w:rsidR="007E4CF5" w:rsidRPr="00282AC9">
        <w:rPr>
          <w:rFonts w:hint="cs"/>
          <w:rtl/>
        </w:rPr>
        <w:t>؟</w:t>
      </w:r>
      <w:r w:rsidR="007E4CF5" w:rsidRPr="00282AC9">
        <w:rPr>
          <w:rtl/>
        </w:rPr>
        <w:t xml:space="preserve"> قال</w:t>
      </w:r>
      <w:r w:rsidR="007E4CF5" w:rsidRPr="00282AC9">
        <w:rPr>
          <w:rFonts w:hint="cs"/>
          <w:rtl/>
        </w:rPr>
        <w:t>:</w:t>
      </w:r>
      <w:r w:rsidR="007E4CF5" w:rsidRPr="00282AC9">
        <w:rPr>
          <w:rtl/>
        </w:rPr>
        <w:t xml:space="preserve"> أ</w:t>
      </w:r>
      <w:r w:rsidRPr="00282AC9">
        <w:rPr>
          <w:rtl/>
        </w:rPr>
        <w:t>مُّكَ</w:t>
      </w:r>
      <w:r w:rsidR="007E4CF5" w:rsidRPr="00282AC9">
        <w:rPr>
          <w:rFonts w:hint="cs"/>
          <w:rtl/>
        </w:rPr>
        <w:t>،</w:t>
      </w:r>
      <w:r w:rsidR="007E4CF5" w:rsidRPr="00282AC9">
        <w:rPr>
          <w:rtl/>
        </w:rPr>
        <w:t xml:space="preserve"> ثمّ أ</w:t>
      </w:r>
      <w:r w:rsidRPr="00282AC9">
        <w:rPr>
          <w:rtl/>
        </w:rPr>
        <w:t>مُّكَ</w:t>
      </w:r>
      <w:r w:rsidR="007E4CF5" w:rsidRPr="00282AC9">
        <w:rPr>
          <w:rFonts w:hint="cs"/>
          <w:rtl/>
        </w:rPr>
        <w:t>،</w:t>
      </w:r>
      <w:r w:rsidR="007E4CF5" w:rsidRPr="00282AC9">
        <w:rPr>
          <w:rtl/>
        </w:rPr>
        <w:t xml:space="preserve"> ثمّ أ</w:t>
      </w:r>
      <w:r w:rsidRPr="00282AC9">
        <w:rPr>
          <w:rtl/>
        </w:rPr>
        <w:t>مُّكَ</w:t>
      </w:r>
      <w:r w:rsidRPr="00282AC9">
        <w:rPr>
          <w:sz w:val="24"/>
          <w:szCs w:val="24"/>
          <w:rtl/>
        </w:rPr>
        <w:t>»</w:t>
      </w:r>
      <w:r w:rsidRPr="00282AC9">
        <w:rPr>
          <w:vertAlign w:val="superscript"/>
          <w:rtl/>
        </w:rPr>
        <w:t>(</w:t>
      </w:r>
      <w:r w:rsidRPr="00282AC9">
        <w:rPr>
          <w:vertAlign w:val="superscript"/>
          <w:rtl/>
        </w:rPr>
        <w:endnoteReference w:id="234"/>
      </w:r>
      <w:r w:rsidRPr="00282AC9">
        <w:rPr>
          <w:vertAlign w:val="superscript"/>
          <w:rtl/>
        </w:rPr>
        <w:t>)</w:t>
      </w:r>
      <w:r w:rsidR="007E4CF5" w:rsidRPr="00282AC9">
        <w:rPr>
          <w:rFonts w:hint="cs"/>
          <w:rtl/>
        </w:rPr>
        <w:t>.</w:t>
      </w:r>
      <w:r w:rsidRPr="00282AC9">
        <w:rPr>
          <w:rtl/>
        </w:rPr>
        <w:t xml:space="preserve"> أوَل</w:t>
      </w:r>
      <w:r w:rsidR="007E4CF5" w:rsidRPr="00282AC9">
        <w:rPr>
          <w:rFonts w:hint="cs"/>
          <w:rtl/>
        </w:rPr>
        <w:t>َ</w:t>
      </w:r>
      <w:r w:rsidRPr="00282AC9">
        <w:rPr>
          <w:rtl/>
        </w:rPr>
        <w:t>ي</w:t>
      </w:r>
      <w:r w:rsidR="007E4CF5" w:rsidRPr="00282AC9">
        <w:rPr>
          <w:rFonts w:hint="cs"/>
          <w:rtl/>
        </w:rPr>
        <w:t>ْ</w:t>
      </w:r>
      <w:r w:rsidRPr="00282AC9">
        <w:rPr>
          <w:rtl/>
        </w:rPr>
        <w:t>س</w:t>
      </w:r>
      <w:r w:rsidR="007E4CF5" w:rsidRPr="00282AC9">
        <w:rPr>
          <w:rFonts w:hint="cs"/>
          <w:rtl/>
        </w:rPr>
        <w:t>َ</w:t>
      </w:r>
      <w:r w:rsidRPr="00282AC9">
        <w:rPr>
          <w:rtl/>
        </w:rPr>
        <w:t>ت</w:t>
      </w:r>
      <w:r w:rsidR="007E4CF5" w:rsidRPr="00282AC9">
        <w:rPr>
          <w:rFonts w:hint="cs"/>
          <w:rtl/>
        </w:rPr>
        <w:t>ْ</w:t>
      </w:r>
      <w:r w:rsidRPr="00282AC9">
        <w:rPr>
          <w:rtl/>
        </w:rPr>
        <w:t xml:space="preserve"> هذه الأمّ هي </w:t>
      </w:r>
      <w:r w:rsidRPr="00282AC9">
        <w:rPr>
          <w:rtl/>
        </w:rPr>
        <w:lastRenderedPageBreak/>
        <w:t>نفسها المرأة التي يجري تبرير اله</w:t>
      </w:r>
      <w:r w:rsidR="007E4CF5" w:rsidRPr="00282AC9">
        <w:rPr>
          <w:rFonts w:hint="cs"/>
          <w:rtl/>
        </w:rPr>
        <w:t>َ</w:t>
      </w:r>
      <w:r w:rsidRPr="00282AC9">
        <w:rPr>
          <w:rtl/>
        </w:rPr>
        <w:t>ي</w:t>
      </w:r>
      <w:r w:rsidR="007E4CF5" w:rsidRPr="00282AC9">
        <w:rPr>
          <w:rFonts w:hint="cs"/>
          <w:rtl/>
        </w:rPr>
        <w:t>ْ</w:t>
      </w:r>
      <w:r w:rsidRPr="00282AC9">
        <w:rPr>
          <w:rtl/>
        </w:rPr>
        <w:t>م</w:t>
      </w:r>
      <w:r w:rsidR="007E4CF5" w:rsidRPr="00282AC9">
        <w:rPr>
          <w:rFonts w:hint="cs"/>
          <w:rtl/>
        </w:rPr>
        <w:t>َ</w:t>
      </w:r>
      <w:r w:rsidRPr="00282AC9">
        <w:rPr>
          <w:rtl/>
        </w:rPr>
        <w:t>نة عليها بكلّ السُّب</w:t>
      </w:r>
      <w:r w:rsidR="007E4CF5" w:rsidRPr="00282AC9">
        <w:rPr>
          <w:rFonts w:hint="cs"/>
          <w:rtl/>
        </w:rPr>
        <w:t>ُ</w:t>
      </w:r>
      <w:r w:rsidRPr="00282AC9">
        <w:rPr>
          <w:rtl/>
        </w:rPr>
        <w:t>ل.</w:t>
      </w:r>
    </w:p>
    <w:p w:rsidR="009C6A22" w:rsidRPr="00282AC9" w:rsidRDefault="007E4CF5" w:rsidP="00106AA7">
      <w:pPr>
        <w:rPr>
          <w:rtl/>
        </w:rPr>
      </w:pPr>
      <w:r w:rsidRPr="00282AC9">
        <w:rPr>
          <w:rtl/>
        </w:rPr>
        <w:t>وقد ورد في الس</w:t>
      </w:r>
      <w:r w:rsidR="009C6A22" w:rsidRPr="00282AC9">
        <w:rPr>
          <w:rtl/>
        </w:rPr>
        <w:t>ياق نصوص</w:t>
      </w:r>
      <w:r w:rsidRPr="00282AC9">
        <w:rPr>
          <w:rFonts w:hint="cs"/>
          <w:rtl/>
        </w:rPr>
        <w:t>ٌ</w:t>
      </w:r>
      <w:r w:rsidR="009C6A22" w:rsidRPr="00282AC9">
        <w:rPr>
          <w:rtl/>
        </w:rPr>
        <w:t xml:space="preserve"> كثيرة تحضّ على ح</w:t>
      </w:r>
      <w:r w:rsidRPr="00282AC9">
        <w:rPr>
          <w:rFonts w:hint="cs"/>
          <w:rtl/>
        </w:rPr>
        <w:t>ُ</w:t>
      </w:r>
      <w:r w:rsidR="009C6A22" w:rsidRPr="00282AC9">
        <w:rPr>
          <w:rtl/>
        </w:rPr>
        <w:t>س</w:t>
      </w:r>
      <w:r w:rsidRPr="00282AC9">
        <w:rPr>
          <w:rFonts w:hint="cs"/>
          <w:rtl/>
        </w:rPr>
        <w:t>ْ</w:t>
      </w:r>
      <w:r w:rsidR="009C6A22" w:rsidRPr="00282AC9">
        <w:rPr>
          <w:rtl/>
        </w:rPr>
        <w:t>ن التعامل مع الزوجة، والنهي عن إيذائها</w:t>
      </w:r>
      <w:r w:rsidR="00413454" w:rsidRPr="00282AC9">
        <w:rPr>
          <w:rFonts w:hint="cs"/>
          <w:rtl/>
        </w:rPr>
        <w:t>؛</w:t>
      </w:r>
      <w:r w:rsidR="009C6A22" w:rsidRPr="00282AC9">
        <w:rPr>
          <w:rtl/>
        </w:rPr>
        <w:t xml:space="preserve"> فقد ورد عن رسول الله</w:t>
      </w:r>
      <w:r w:rsidR="009A2A04" w:rsidRPr="00282AC9">
        <w:rPr>
          <w:rFonts w:cs="Mosawi"/>
          <w:sz w:val="22"/>
          <w:szCs w:val="22"/>
          <w:rtl/>
        </w:rPr>
        <w:t>|</w:t>
      </w:r>
      <w:r w:rsidR="009C6A22" w:rsidRPr="00282AC9">
        <w:t xml:space="preserve"> </w:t>
      </w:r>
      <w:r w:rsidR="009C6A22" w:rsidRPr="00282AC9">
        <w:rPr>
          <w:rtl/>
        </w:rPr>
        <w:t xml:space="preserve">أنه قال: </w:t>
      </w:r>
      <w:r w:rsidR="009C6A22" w:rsidRPr="00282AC9">
        <w:rPr>
          <w:sz w:val="24"/>
          <w:szCs w:val="24"/>
          <w:rtl/>
        </w:rPr>
        <w:t>«</w:t>
      </w:r>
      <w:r w:rsidR="009C6A22" w:rsidRPr="00282AC9">
        <w:rPr>
          <w:rtl/>
        </w:rPr>
        <w:t>ألا وإن</w:t>
      </w:r>
      <w:r w:rsidR="00413454" w:rsidRPr="00282AC9">
        <w:rPr>
          <w:rFonts w:hint="cs"/>
          <w:rtl/>
        </w:rPr>
        <w:t>ّ</w:t>
      </w:r>
      <w:r w:rsidR="009C6A22" w:rsidRPr="00282AC9">
        <w:rPr>
          <w:rtl/>
        </w:rPr>
        <w:t xml:space="preserve"> الله عزّ</w:t>
      </w:r>
      <w:r w:rsidR="00413454" w:rsidRPr="00282AC9">
        <w:rPr>
          <w:rFonts w:hint="cs"/>
          <w:rtl/>
        </w:rPr>
        <w:t>َ</w:t>
      </w:r>
      <w:r w:rsidR="00413454" w:rsidRPr="00282AC9">
        <w:rPr>
          <w:rtl/>
        </w:rPr>
        <w:t xml:space="preserve"> وجل</w:t>
      </w:r>
      <w:r w:rsidR="00413454" w:rsidRPr="00282AC9">
        <w:rPr>
          <w:rFonts w:hint="cs"/>
          <w:rtl/>
        </w:rPr>
        <w:t>َّ</w:t>
      </w:r>
      <w:r w:rsidR="009C6A22" w:rsidRPr="00282AC9">
        <w:rPr>
          <w:rtl/>
        </w:rPr>
        <w:t xml:space="preserve"> ورسوله بريئان مم</w:t>
      </w:r>
      <w:r w:rsidR="00413454" w:rsidRPr="00282AC9">
        <w:rPr>
          <w:rFonts w:hint="cs"/>
          <w:rtl/>
        </w:rPr>
        <w:t>َّ</w:t>
      </w:r>
      <w:r w:rsidR="009C6A22" w:rsidRPr="00282AC9">
        <w:rPr>
          <w:rtl/>
        </w:rPr>
        <w:t>ن</w:t>
      </w:r>
      <w:r w:rsidR="00413454" w:rsidRPr="00282AC9">
        <w:rPr>
          <w:rFonts w:hint="cs"/>
          <w:rtl/>
        </w:rPr>
        <w:t>ْ</w:t>
      </w:r>
      <w:r w:rsidR="009C6A22" w:rsidRPr="00282AC9">
        <w:rPr>
          <w:rtl/>
        </w:rPr>
        <w:t xml:space="preserve"> أضرّ بامرأة</w:t>
      </w:r>
      <w:r w:rsidR="00413454" w:rsidRPr="00282AC9">
        <w:rPr>
          <w:rFonts w:hint="cs"/>
          <w:rtl/>
        </w:rPr>
        <w:t>ٍ</w:t>
      </w:r>
      <w:r w:rsidR="009C6A22" w:rsidRPr="00282AC9">
        <w:rPr>
          <w:rtl/>
        </w:rPr>
        <w:t xml:space="preserve"> حت</w:t>
      </w:r>
      <w:r w:rsidR="00413454" w:rsidRPr="00282AC9">
        <w:rPr>
          <w:rFonts w:hint="cs"/>
          <w:rtl/>
        </w:rPr>
        <w:t>ّ</w:t>
      </w:r>
      <w:r w:rsidR="009C6A22" w:rsidRPr="00282AC9">
        <w:rPr>
          <w:rtl/>
        </w:rPr>
        <w:t>ى تختلع منه</w:t>
      </w:r>
      <w:r w:rsidR="009C6A22" w:rsidRPr="00282AC9">
        <w:rPr>
          <w:sz w:val="24"/>
          <w:szCs w:val="24"/>
          <w:rtl/>
        </w:rPr>
        <w:t>»</w:t>
      </w:r>
      <w:r w:rsidR="009C6A22" w:rsidRPr="00282AC9">
        <w:rPr>
          <w:sz w:val="27"/>
          <w:vertAlign w:val="superscript"/>
          <w:rtl/>
        </w:rPr>
        <w:t>(</w:t>
      </w:r>
      <w:r w:rsidR="009C6A22" w:rsidRPr="00282AC9">
        <w:rPr>
          <w:sz w:val="27"/>
          <w:vertAlign w:val="superscript"/>
          <w:rtl/>
        </w:rPr>
        <w:endnoteReference w:id="235"/>
      </w:r>
      <w:r w:rsidR="009C6A22" w:rsidRPr="00282AC9">
        <w:rPr>
          <w:sz w:val="27"/>
          <w:vertAlign w:val="superscript"/>
          <w:rtl/>
        </w:rPr>
        <w:t>)</w:t>
      </w:r>
      <w:r w:rsidR="009C6A22" w:rsidRPr="00282AC9">
        <w:rPr>
          <w:rtl/>
        </w:rPr>
        <w:t>، أ</w:t>
      </w:r>
      <w:r w:rsidR="00167C73" w:rsidRPr="00282AC9">
        <w:rPr>
          <w:rFonts w:hint="cs"/>
          <w:rtl/>
        </w:rPr>
        <w:t>ي</w:t>
      </w:r>
      <w:r w:rsidR="009C6A22" w:rsidRPr="00282AC9">
        <w:rPr>
          <w:rtl/>
        </w:rPr>
        <w:t xml:space="preserve"> إنّ الله سبحانه ورسوله بريئان مم</w:t>
      </w:r>
      <w:r w:rsidR="00413454" w:rsidRPr="00282AC9">
        <w:rPr>
          <w:rFonts w:hint="cs"/>
          <w:rtl/>
        </w:rPr>
        <w:t>َّ</w:t>
      </w:r>
      <w:r w:rsidR="009C6A22" w:rsidRPr="00282AC9">
        <w:rPr>
          <w:rtl/>
        </w:rPr>
        <w:t>ن</w:t>
      </w:r>
      <w:r w:rsidR="00413454" w:rsidRPr="00282AC9">
        <w:rPr>
          <w:rFonts w:hint="cs"/>
          <w:rtl/>
        </w:rPr>
        <w:t>ْ</w:t>
      </w:r>
      <w:r w:rsidR="009C6A22" w:rsidRPr="00282AC9">
        <w:rPr>
          <w:rtl/>
        </w:rPr>
        <w:t xml:space="preserve"> يضرّ بامرأته حت</w:t>
      </w:r>
      <w:r w:rsidR="00413454" w:rsidRPr="00282AC9">
        <w:rPr>
          <w:rFonts w:hint="cs"/>
          <w:rtl/>
        </w:rPr>
        <w:t>ّ</w:t>
      </w:r>
      <w:r w:rsidR="009C6A22" w:rsidRPr="00282AC9">
        <w:rPr>
          <w:rtl/>
        </w:rPr>
        <w:t>ى يلجئها إلى طلب الطلاق منه</w:t>
      </w:r>
      <w:r w:rsidR="00413454" w:rsidRPr="00282AC9">
        <w:rPr>
          <w:rFonts w:hint="cs"/>
          <w:rtl/>
        </w:rPr>
        <w:t>؛</w:t>
      </w:r>
      <w:r w:rsidR="009C6A22" w:rsidRPr="00282AC9">
        <w:rPr>
          <w:rtl/>
        </w:rPr>
        <w:t xml:space="preserve"> كما ورد عن النبي</w:t>
      </w:r>
      <w:r w:rsidR="00413454" w:rsidRPr="00282AC9">
        <w:rPr>
          <w:rFonts w:hint="cs"/>
          <w:rtl/>
        </w:rPr>
        <w:t>ّ</w:t>
      </w:r>
      <w:r w:rsidR="009A2A04" w:rsidRPr="00282AC9">
        <w:rPr>
          <w:rFonts w:cs="Mosawi"/>
          <w:sz w:val="22"/>
          <w:szCs w:val="22"/>
          <w:rtl/>
        </w:rPr>
        <w:t>|</w:t>
      </w:r>
      <w:r w:rsidR="009C6A22" w:rsidRPr="00282AC9">
        <w:t xml:space="preserve"> </w:t>
      </w:r>
      <w:r w:rsidR="009C6A22" w:rsidRPr="00282AC9">
        <w:rPr>
          <w:rtl/>
        </w:rPr>
        <w:t xml:space="preserve">أنه قال: </w:t>
      </w:r>
      <w:r w:rsidR="009C6A22" w:rsidRPr="00282AC9">
        <w:rPr>
          <w:sz w:val="24"/>
          <w:szCs w:val="24"/>
          <w:rtl/>
        </w:rPr>
        <w:t>«</w:t>
      </w:r>
      <w:r w:rsidR="009C6A22" w:rsidRPr="00282AC9">
        <w:rPr>
          <w:rtl/>
        </w:rPr>
        <w:t>إني لأعجب مم</w:t>
      </w:r>
      <w:r w:rsidR="00413454" w:rsidRPr="00282AC9">
        <w:rPr>
          <w:rFonts w:hint="cs"/>
          <w:rtl/>
        </w:rPr>
        <w:t>َّ</w:t>
      </w:r>
      <w:r w:rsidR="009C6A22" w:rsidRPr="00282AC9">
        <w:rPr>
          <w:rtl/>
        </w:rPr>
        <w:t>ن</w:t>
      </w:r>
      <w:r w:rsidR="00413454" w:rsidRPr="00282AC9">
        <w:rPr>
          <w:rFonts w:hint="cs"/>
          <w:rtl/>
        </w:rPr>
        <w:t>ْ</w:t>
      </w:r>
      <w:r w:rsidR="009C6A22" w:rsidRPr="00282AC9">
        <w:rPr>
          <w:rtl/>
        </w:rPr>
        <w:t xml:space="preserve"> يضرب امرأته وهو بالضرب أ</w:t>
      </w:r>
      <w:r w:rsidR="00413454" w:rsidRPr="00282AC9">
        <w:rPr>
          <w:rFonts w:hint="cs"/>
          <w:rtl/>
        </w:rPr>
        <w:t>َ</w:t>
      </w:r>
      <w:r w:rsidR="009C6A22" w:rsidRPr="00282AC9">
        <w:rPr>
          <w:rtl/>
        </w:rPr>
        <w:t>و</w:t>
      </w:r>
      <w:r w:rsidR="00413454" w:rsidRPr="00282AC9">
        <w:rPr>
          <w:rFonts w:hint="cs"/>
          <w:rtl/>
        </w:rPr>
        <w:t>ْ</w:t>
      </w:r>
      <w:r w:rsidR="009C6A22" w:rsidRPr="00282AC9">
        <w:rPr>
          <w:rtl/>
        </w:rPr>
        <w:t>لى منها</w:t>
      </w:r>
      <w:r w:rsidR="009C6A22" w:rsidRPr="00282AC9">
        <w:rPr>
          <w:sz w:val="24"/>
          <w:szCs w:val="24"/>
          <w:rtl/>
        </w:rPr>
        <w:t>»</w:t>
      </w:r>
      <w:r w:rsidR="009C6A22" w:rsidRPr="00282AC9">
        <w:rPr>
          <w:sz w:val="27"/>
          <w:vertAlign w:val="superscript"/>
          <w:rtl/>
        </w:rPr>
        <w:t>(</w:t>
      </w:r>
      <w:r w:rsidR="009C6A22" w:rsidRPr="00282AC9">
        <w:rPr>
          <w:sz w:val="27"/>
          <w:vertAlign w:val="superscript"/>
          <w:rtl/>
        </w:rPr>
        <w:endnoteReference w:id="236"/>
      </w:r>
      <w:r w:rsidR="009C6A22" w:rsidRPr="00282AC9">
        <w:rPr>
          <w:sz w:val="27"/>
          <w:vertAlign w:val="superscript"/>
          <w:rtl/>
        </w:rPr>
        <w:t>)</w:t>
      </w:r>
      <w:r w:rsidR="00413454" w:rsidRPr="00282AC9">
        <w:rPr>
          <w:rFonts w:hint="cs"/>
          <w:rtl/>
        </w:rPr>
        <w:t>؛</w:t>
      </w:r>
      <w:r w:rsidR="009C6A22" w:rsidRPr="00282AC9">
        <w:rPr>
          <w:rtl/>
        </w:rPr>
        <w:t xml:space="preserve"> وقال أمير المؤمنين</w:t>
      </w:r>
      <w:r w:rsidR="009A2A04" w:rsidRPr="00282AC9">
        <w:rPr>
          <w:rFonts w:cs="Mosawi" w:hint="cs"/>
          <w:sz w:val="22"/>
          <w:szCs w:val="22"/>
          <w:rtl/>
        </w:rPr>
        <w:t>×</w:t>
      </w:r>
      <w:r w:rsidR="009C6A22" w:rsidRPr="00282AC9">
        <w:rPr>
          <w:rtl/>
        </w:rPr>
        <w:t>:</w:t>
      </w:r>
      <w:r w:rsidR="009C6A22" w:rsidRPr="00282AC9">
        <w:t xml:space="preserve"> </w:t>
      </w:r>
      <w:r w:rsidR="009C6A22" w:rsidRPr="00282AC9">
        <w:rPr>
          <w:sz w:val="24"/>
          <w:szCs w:val="24"/>
          <w:rtl/>
        </w:rPr>
        <w:t>«</w:t>
      </w:r>
      <w:r w:rsidR="009C6A22" w:rsidRPr="00282AC9">
        <w:rPr>
          <w:rtl/>
        </w:rPr>
        <w:t>إنّ النساء عند الرجال لا يملك</w:t>
      </w:r>
      <w:r w:rsidR="00413454" w:rsidRPr="00282AC9">
        <w:rPr>
          <w:rFonts w:hint="cs"/>
          <w:rtl/>
        </w:rPr>
        <w:t>ْ</w:t>
      </w:r>
      <w:r w:rsidR="009C6A22" w:rsidRPr="00282AC9">
        <w:rPr>
          <w:rtl/>
        </w:rPr>
        <w:t>ن</w:t>
      </w:r>
      <w:r w:rsidR="00413454" w:rsidRPr="00282AC9">
        <w:rPr>
          <w:rFonts w:hint="cs"/>
          <w:rtl/>
        </w:rPr>
        <w:t>َ</w:t>
      </w:r>
      <w:r w:rsidR="009C6A22" w:rsidRPr="00282AC9">
        <w:rPr>
          <w:rtl/>
        </w:rPr>
        <w:t xml:space="preserve"> لأنفسهنَّ خ</w:t>
      </w:r>
      <w:r w:rsidR="00413454" w:rsidRPr="00282AC9">
        <w:rPr>
          <w:rFonts w:hint="cs"/>
          <w:rtl/>
        </w:rPr>
        <w:t>َ</w:t>
      </w:r>
      <w:r w:rsidR="009C6A22" w:rsidRPr="00282AC9">
        <w:rPr>
          <w:rtl/>
        </w:rPr>
        <w:t>ي</w:t>
      </w:r>
      <w:r w:rsidR="00413454" w:rsidRPr="00282AC9">
        <w:rPr>
          <w:rFonts w:hint="cs"/>
          <w:rtl/>
        </w:rPr>
        <w:t>ْ</w:t>
      </w:r>
      <w:r w:rsidR="009C6A22" w:rsidRPr="00282AC9">
        <w:rPr>
          <w:rtl/>
        </w:rPr>
        <w:t>راً ولا ن</w:t>
      </w:r>
      <w:r w:rsidR="00413454" w:rsidRPr="00282AC9">
        <w:rPr>
          <w:rFonts w:hint="cs"/>
          <w:rtl/>
        </w:rPr>
        <w:t>َ</w:t>
      </w:r>
      <w:r w:rsidR="009C6A22" w:rsidRPr="00282AC9">
        <w:rPr>
          <w:rtl/>
        </w:rPr>
        <w:t>ف</w:t>
      </w:r>
      <w:r w:rsidR="00413454" w:rsidRPr="00282AC9">
        <w:rPr>
          <w:rFonts w:hint="cs"/>
          <w:rtl/>
        </w:rPr>
        <w:t>ْ</w:t>
      </w:r>
      <w:r w:rsidR="009C6A22" w:rsidRPr="00282AC9">
        <w:rPr>
          <w:rtl/>
        </w:rPr>
        <w:t>عاً، وإنهنَّ أمانة</w:t>
      </w:r>
      <w:r w:rsidR="00413454" w:rsidRPr="00282AC9">
        <w:rPr>
          <w:rFonts w:hint="cs"/>
          <w:rtl/>
        </w:rPr>
        <w:t>ُ</w:t>
      </w:r>
      <w:r w:rsidR="009C6A22" w:rsidRPr="00282AC9">
        <w:rPr>
          <w:rtl/>
        </w:rPr>
        <w:t xml:space="preserve"> </w:t>
      </w:r>
      <w:r w:rsidR="006D28AF" w:rsidRPr="00282AC9">
        <w:rPr>
          <w:rtl/>
        </w:rPr>
        <w:t>الل</w:t>
      </w:r>
      <w:r w:rsidR="009C6A22" w:rsidRPr="00282AC9">
        <w:rPr>
          <w:rtl/>
        </w:rPr>
        <w:t>ه‏ عندكم</w:t>
      </w:r>
      <w:r w:rsidR="00413454" w:rsidRPr="00282AC9">
        <w:rPr>
          <w:rFonts w:hint="cs"/>
          <w:rtl/>
        </w:rPr>
        <w:t>،</w:t>
      </w:r>
      <w:r w:rsidR="009C6A22" w:rsidRPr="00282AC9">
        <w:rPr>
          <w:rtl/>
        </w:rPr>
        <w:t xml:space="preserve"> فلا تضارّوه</w:t>
      </w:r>
      <w:r w:rsidR="00413454" w:rsidRPr="00282AC9">
        <w:rPr>
          <w:rFonts w:hint="cs"/>
          <w:rtl/>
        </w:rPr>
        <w:t>ُ</w:t>
      </w:r>
      <w:r w:rsidR="009C6A22" w:rsidRPr="00282AC9">
        <w:rPr>
          <w:rtl/>
        </w:rPr>
        <w:t>نَّ ولا تعضلوه</w:t>
      </w:r>
      <w:r w:rsidR="00413454" w:rsidRPr="00282AC9">
        <w:rPr>
          <w:rFonts w:hint="cs"/>
          <w:rtl/>
        </w:rPr>
        <w:t>ُ</w:t>
      </w:r>
      <w:r w:rsidR="009C6A22" w:rsidRPr="00282AC9">
        <w:rPr>
          <w:rtl/>
        </w:rPr>
        <w:t>نَّ</w:t>
      </w:r>
      <w:r w:rsidR="009C6A22" w:rsidRPr="00282AC9">
        <w:rPr>
          <w:sz w:val="24"/>
          <w:szCs w:val="24"/>
          <w:rtl/>
        </w:rPr>
        <w:t>»</w:t>
      </w:r>
      <w:r w:rsidR="009C6A22" w:rsidRPr="00282AC9">
        <w:rPr>
          <w:sz w:val="27"/>
          <w:vertAlign w:val="superscript"/>
          <w:rtl/>
        </w:rPr>
        <w:t>(</w:t>
      </w:r>
      <w:r w:rsidR="009C6A22" w:rsidRPr="00282AC9">
        <w:rPr>
          <w:sz w:val="27"/>
          <w:vertAlign w:val="superscript"/>
          <w:rtl/>
        </w:rPr>
        <w:endnoteReference w:id="237"/>
      </w:r>
      <w:r w:rsidR="009C6A22" w:rsidRPr="00282AC9">
        <w:rPr>
          <w:sz w:val="27"/>
          <w:vertAlign w:val="superscript"/>
          <w:rtl/>
        </w:rPr>
        <w:t>)</w:t>
      </w:r>
      <w:r w:rsidR="009C6A22" w:rsidRPr="00282AC9">
        <w:rPr>
          <w:rtl/>
        </w:rPr>
        <w:t>.</w:t>
      </w:r>
    </w:p>
    <w:p w:rsidR="009C6A22" w:rsidRPr="00282AC9" w:rsidRDefault="009C6A22" w:rsidP="00106AA7">
      <w:pPr>
        <w:rPr>
          <w:rtl/>
        </w:rPr>
      </w:pPr>
      <w:r w:rsidRPr="00282AC9">
        <w:rPr>
          <w:rtl/>
        </w:rPr>
        <w:t>هنا يمكن القول</w:t>
      </w:r>
      <w:r w:rsidR="00413454" w:rsidRPr="00282AC9">
        <w:rPr>
          <w:rFonts w:hint="cs"/>
          <w:rtl/>
        </w:rPr>
        <w:t>:</w:t>
      </w:r>
      <w:r w:rsidRPr="00282AC9">
        <w:rPr>
          <w:rtl/>
        </w:rPr>
        <w:t xml:space="preserve"> إنّه لا عبرة للحالات القليلة الشاذ</w:t>
      </w:r>
      <w:r w:rsidR="00413454" w:rsidRPr="00282AC9">
        <w:rPr>
          <w:rFonts w:hint="cs"/>
          <w:rtl/>
        </w:rPr>
        <w:t>ّ</w:t>
      </w:r>
      <w:r w:rsidRPr="00282AC9">
        <w:rPr>
          <w:rtl/>
        </w:rPr>
        <w:t>ة التي تكون فيها المرأة هي المعتدية على الزوج، فلا يمكن تبرير حالات الاعتداء على المرأة بوجود نسبة</w:t>
      </w:r>
      <w:r w:rsidR="00413454" w:rsidRPr="00282AC9">
        <w:rPr>
          <w:rFonts w:hint="cs"/>
          <w:rtl/>
        </w:rPr>
        <w:t>ٍ</w:t>
      </w:r>
      <w:r w:rsidRPr="00282AC9">
        <w:rPr>
          <w:rtl/>
        </w:rPr>
        <w:t xml:space="preserve"> من حالات الاعتداء الصادرة عن بعض النساء ضدّ أزواجهن</w:t>
      </w:r>
      <w:r w:rsidR="00413454" w:rsidRPr="00282AC9">
        <w:rPr>
          <w:rFonts w:hint="cs"/>
          <w:rtl/>
        </w:rPr>
        <w:t>ّ</w:t>
      </w:r>
      <w:r w:rsidRPr="00282AC9">
        <w:rPr>
          <w:rtl/>
        </w:rPr>
        <w:t xml:space="preserve">. إنّ مجتمعاتنا الإسلامية في أمسّ الحاجة </w:t>
      </w:r>
      <w:r w:rsidR="00413454" w:rsidRPr="00282AC9">
        <w:rPr>
          <w:rFonts w:hint="cs"/>
          <w:rtl/>
        </w:rPr>
        <w:t>إلى ا</w:t>
      </w:r>
      <w:r w:rsidRPr="00282AC9">
        <w:rPr>
          <w:rtl/>
        </w:rPr>
        <w:t>لثقافة التي تعيد للمرأة كرامتها</w:t>
      </w:r>
      <w:r w:rsidR="00413454" w:rsidRPr="00282AC9">
        <w:rPr>
          <w:rFonts w:hint="cs"/>
          <w:rtl/>
        </w:rPr>
        <w:t>، ولا</w:t>
      </w:r>
      <w:r w:rsidRPr="00282AC9">
        <w:rPr>
          <w:rtl/>
        </w:rPr>
        <w:t xml:space="preserve"> سيّ</w:t>
      </w:r>
      <w:r w:rsidR="00413454" w:rsidRPr="00282AC9">
        <w:rPr>
          <w:rFonts w:hint="cs"/>
          <w:rtl/>
        </w:rPr>
        <w:t>َ</w:t>
      </w:r>
      <w:r w:rsidRPr="00282AC9">
        <w:rPr>
          <w:rtl/>
        </w:rPr>
        <w:t xml:space="preserve">ما </w:t>
      </w:r>
      <w:r w:rsidR="00630266" w:rsidRPr="00282AC9">
        <w:rPr>
          <w:rFonts w:hint="cs"/>
          <w:rtl/>
        </w:rPr>
        <w:t>أن</w:t>
      </w:r>
      <w:r w:rsidRPr="00282AC9">
        <w:rPr>
          <w:rtl/>
        </w:rPr>
        <w:t xml:space="preserve"> مظاهر إيذاء المرأة، والعنف الأ</w:t>
      </w:r>
      <w:r w:rsidR="00630266" w:rsidRPr="00282AC9">
        <w:rPr>
          <w:rFonts w:hint="cs"/>
          <w:rtl/>
        </w:rPr>
        <w:t>ُ</w:t>
      </w:r>
      <w:r w:rsidRPr="00282AC9">
        <w:rPr>
          <w:rtl/>
        </w:rPr>
        <w:t>س</w:t>
      </w:r>
      <w:r w:rsidR="00630266" w:rsidRPr="00282AC9">
        <w:rPr>
          <w:rFonts w:hint="cs"/>
          <w:rtl/>
        </w:rPr>
        <w:t>َ</w:t>
      </w:r>
      <w:r w:rsidRPr="00282AC9">
        <w:rPr>
          <w:rtl/>
        </w:rPr>
        <w:t>ري</w:t>
      </w:r>
      <w:r w:rsidR="00630266" w:rsidRPr="00282AC9">
        <w:rPr>
          <w:rFonts w:hint="cs"/>
          <w:rtl/>
        </w:rPr>
        <w:t>ّ</w:t>
      </w:r>
      <w:r w:rsidRPr="00282AC9">
        <w:rPr>
          <w:rtl/>
        </w:rPr>
        <w:t xml:space="preserve"> في مجتمعاتنا، </w:t>
      </w:r>
      <w:r w:rsidR="00630266" w:rsidRPr="00282AC9">
        <w:rPr>
          <w:rFonts w:hint="cs"/>
          <w:rtl/>
        </w:rPr>
        <w:t xml:space="preserve">قد </w:t>
      </w:r>
      <w:r w:rsidR="00026413" w:rsidRPr="00282AC9">
        <w:rPr>
          <w:rFonts w:hint="cs"/>
          <w:rtl/>
        </w:rPr>
        <w:t>أ</w:t>
      </w:r>
      <w:r w:rsidR="00630266" w:rsidRPr="00282AC9">
        <w:rPr>
          <w:rFonts w:hint="cs"/>
          <w:rtl/>
        </w:rPr>
        <w:t xml:space="preserve">صبحت </w:t>
      </w:r>
      <w:r w:rsidRPr="00282AC9">
        <w:rPr>
          <w:rtl/>
        </w:rPr>
        <w:t>تنال من س</w:t>
      </w:r>
      <w:r w:rsidR="00630266" w:rsidRPr="00282AC9">
        <w:rPr>
          <w:rFonts w:hint="cs"/>
          <w:rtl/>
        </w:rPr>
        <w:t>ُ</w:t>
      </w:r>
      <w:r w:rsidRPr="00282AC9">
        <w:rPr>
          <w:rtl/>
        </w:rPr>
        <w:t>م</w:t>
      </w:r>
      <w:r w:rsidR="00630266" w:rsidRPr="00282AC9">
        <w:rPr>
          <w:rFonts w:hint="cs"/>
          <w:rtl/>
        </w:rPr>
        <w:t>ْ</w:t>
      </w:r>
      <w:r w:rsidRPr="00282AC9">
        <w:rPr>
          <w:rtl/>
        </w:rPr>
        <w:t>عة ديننا الحنيف، وت</w:t>
      </w:r>
      <w:r w:rsidR="00630266" w:rsidRPr="00282AC9">
        <w:rPr>
          <w:rFonts w:hint="cs"/>
          <w:rtl/>
        </w:rPr>
        <w:t>ُ</w:t>
      </w:r>
      <w:r w:rsidRPr="00282AC9">
        <w:rPr>
          <w:rtl/>
        </w:rPr>
        <w:t>شوّ</w:t>
      </w:r>
      <w:r w:rsidR="00630266" w:rsidRPr="00282AC9">
        <w:rPr>
          <w:rFonts w:hint="cs"/>
          <w:rtl/>
        </w:rPr>
        <w:t>ِ</w:t>
      </w:r>
      <w:r w:rsidRPr="00282AC9">
        <w:rPr>
          <w:rtl/>
        </w:rPr>
        <w:t>ه صورته على مستوى العالم.</w:t>
      </w:r>
    </w:p>
    <w:p w:rsidR="00C75E73" w:rsidRPr="00282AC9" w:rsidRDefault="00C75E73" w:rsidP="00C75E73">
      <w:pPr>
        <w:spacing w:line="420" w:lineRule="exact"/>
        <w:rPr>
          <w:rtl/>
        </w:rPr>
      </w:pPr>
    </w:p>
    <w:p w:rsidR="009C6A22" w:rsidRPr="00282AC9" w:rsidRDefault="009C6A22" w:rsidP="00B37544">
      <w:pPr>
        <w:pStyle w:val="31"/>
        <w:rPr>
          <w:color w:val="auto"/>
          <w:lang w:bidi="ar-YE"/>
        </w:rPr>
      </w:pPr>
      <w:r w:rsidRPr="00282AC9">
        <w:rPr>
          <w:color w:val="auto"/>
          <w:rtl/>
          <w:lang w:bidi="ar-YE"/>
        </w:rPr>
        <w:t>حت</w:t>
      </w:r>
      <w:r w:rsidRPr="00282AC9">
        <w:rPr>
          <w:rFonts w:hint="cs"/>
          <w:color w:val="auto"/>
          <w:rtl/>
          <w:lang w:bidi="ar-YE"/>
        </w:rPr>
        <w:t>ّ</w:t>
      </w:r>
      <w:r w:rsidRPr="00282AC9">
        <w:rPr>
          <w:color w:val="auto"/>
          <w:rtl/>
          <w:lang w:bidi="ar-YE"/>
        </w:rPr>
        <w:t>ى</w:t>
      </w:r>
      <w:r w:rsidRPr="00282AC9">
        <w:rPr>
          <w:color w:val="auto"/>
          <w:lang w:bidi="ar-YE"/>
        </w:rPr>
        <w:t xml:space="preserve"> </w:t>
      </w:r>
      <w:r w:rsidRPr="00282AC9">
        <w:rPr>
          <w:color w:val="auto"/>
          <w:rtl/>
          <w:lang w:bidi="ar-YE"/>
        </w:rPr>
        <w:t>نعرف</w:t>
      </w:r>
      <w:r w:rsidRPr="00282AC9">
        <w:rPr>
          <w:color w:val="auto"/>
          <w:lang w:bidi="ar-YE"/>
        </w:rPr>
        <w:t xml:space="preserve"> </w:t>
      </w:r>
      <w:r w:rsidRPr="00282AC9">
        <w:rPr>
          <w:color w:val="auto"/>
          <w:rtl/>
          <w:lang w:bidi="ar-YE"/>
        </w:rPr>
        <w:t>ق</w:t>
      </w:r>
      <w:r w:rsidR="00630266" w:rsidRPr="00282AC9">
        <w:rPr>
          <w:rFonts w:hint="cs"/>
          <w:color w:val="auto"/>
          <w:rtl/>
          <w:lang w:bidi="ar-YE"/>
        </w:rPr>
        <w:t>َ</w:t>
      </w:r>
      <w:r w:rsidRPr="00282AC9">
        <w:rPr>
          <w:color w:val="auto"/>
          <w:rtl/>
          <w:lang w:bidi="ar-YE"/>
        </w:rPr>
        <w:t>د</w:t>
      </w:r>
      <w:r w:rsidR="00630266" w:rsidRPr="00282AC9">
        <w:rPr>
          <w:rFonts w:hint="cs"/>
          <w:color w:val="auto"/>
          <w:rtl/>
          <w:lang w:bidi="ar-YE"/>
        </w:rPr>
        <w:t>ْ</w:t>
      </w:r>
      <w:r w:rsidRPr="00282AC9">
        <w:rPr>
          <w:color w:val="auto"/>
          <w:rtl/>
          <w:lang w:bidi="ar-YE"/>
        </w:rPr>
        <w:t>رها</w:t>
      </w:r>
    </w:p>
    <w:p w:rsidR="009C6A22" w:rsidRPr="00282AC9" w:rsidRDefault="009C6A22" w:rsidP="00106AA7">
      <w:pPr>
        <w:rPr>
          <w:rtl/>
        </w:rPr>
      </w:pPr>
      <w:r w:rsidRPr="00282AC9">
        <w:rPr>
          <w:rtl/>
        </w:rPr>
        <w:t>ولغرض إدراك قيمة المرأة واحترام مكانتها ينبغي ف</w:t>
      </w:r>
      <w:r w:rsidR="00630266" w:rsidRPr="00282AC9">
        <w:rPr>
          <w:rFonts w:hint="cs"/>
          <w:rtl/>
        </w:rPr>
        <w:t>َ</w:t>
      </w:r>
      <w:r w:rsidRPr="00282AC9">
        <w:rPr>
          <w:rtl/>
        </w:rPr>
        <w:t>ه</w:t>
      </w:r>
      <w:r w:rsidR="00630266" w:rsidRPr="00282AC9">
        <w:rPr>
          <w:rFonts w:hint="cs"/>
          <w:rtl/>
        </w:rPr>
        <w:t>ْ</w:t>
      </w:r>
      <w:r w:rsidRPr="00282AC9">
        <w:rPr>
          <w:rtl/>
        </w:rPr>
        <w:t>م أدوارها العظيمة في الحياة. وي</w:t>
      </w:r>
      <w:r w:rsidR="00630266" w:rsidRPr="00282AC9">
        <w:rPr>
          <w:rFonts w:hint="cs"/>
          <w:rtl/>
        </w:rPr>
        <w:t>ُ</w:t>
      </w:r>
      <w:r w:rsidRPr="00282AC9">
        <w:rPr>
          <w:rtl/>
        </w:rPr>
        <w:t>ذ</w:t>
      </w:r>
      <w:r w:rsidR="00630266" w:rsidRPr="00282AC9">
        <w:rPr>
          <w:rFonts w:hint="cs"/>
          <w:rtl/>
        </w:rPr>
        <w:t>ْ</w:t>
      </w:r>
      <w:r w:rsidRPr="00282AC9">
        <w:rPr>
          <w:rtl/>
        </w:rPr>
        <w:t>ك</w:t>
      </w:r>
      <w:r w:rsidR="00630266" w:rsidRPr="00282AC9">
        <w:rPr>
          <w:rFonts w:hint="cs"/>
          <w:rtl/>
        </w:rPr>
        <w:t>َ</w:t>
      </w:r>
      <w:r w:rsidRPr="00282AC9">
        <w:rPr>
          <w:rtl/>
        </w:rPr>
        <w:t>ر في هذا السياق أنّ مستشفى</w:t>
      </w:r>
      <w:r w:rsidR="00630266" w:rsidRPr="00282AC9">
        <w:rPr>
          <w:rFonts w:hint="cs"/>
          <w:rtl/>
        </w:rPr>
        <w:t>ً</w:t>
      </w:r>
      <w:r w:rsidRPr="00282AC9">
        <w:rPr>
          <w:rtl/>
        </w:rPr>
        <w:t xml:space="preserve"> صينيّاً عرض القيام بتجربة</w:t>
      </w:r>
      <w:r w:rsidR="00630266" w:rsidRPr="00282AC9">
        <w:rPr>
          <w:rFonts w:hint="cs"/>
          <w:rtl/>
        </w:rPr>
        <w:t>ٍ</w:t>
      </w:r>
      <w:r w:rsidRPr="00282AC9">
        <w:rPr>
          <w:rtl/>
        </w:rPr>
        <w:t xml:space="preserve"> مصطنعة على رجال</w:t>
      </w:r>
      <w:r w:rsidR="00630266" w:rsidRPr="00282AC9">
        <w:rPr>
          <w:rFonts w:hint="cs"/>
          <w:rtl/>
        </w:rPr>
        <w:t>ٍ</w:t>
      </w:r>
      <w:r w:rsidRPr="00282AC9">
        <w:rPr>
          <w:rtl/>
        </w:rPr>
        <w:t xml:space="preserve"> متطوعين، توض</w:t>
      </w:r>
      <w:r w:rsidR="00630266" w:rsidRPr="00282AC9">
        <w:rPr>
          <w:rFonts w:hint="cs"/>
          <w:rtl/>
        </w:rPr>
        <w:t>ِّ</w:t>
      </w:r>
      <w:r w:rsidRPr="00282AC9">
        <w:rPr>
          <w:rtl/>
        </w:rPr>
        <w:t>ح مدى المعاناة والآلام التي تنتاب المرأة أثناء المخاض والولادة، وقد استجاب للتجربة نحو 100 رجل</w:t>
      </w:r>
      <w:r w:rsidR="00630266" w:rsidRPr="00282AC9">
        <w:rPr>
          <w:rFonts w:hint="cs"/>
          <w:rtl/>
        </w:rPr>
        <w:t>ٍ</w:t>
      </w:r>
      <w:r w:rsidRPr="00282AC9">
        <w:rPr>
          <w:rtl/>
        </w:rPr>
        <w:t>، وتم</w:t>
      </w:r>
      <w:r w:rsidR="00630266" w:rsidRPr="00282AC9">
        <w:rPr>
          <w:rFonts w:hint="cs"/>
          <w:rtl/>
        </w:rPr>
        <w:t>ّ</w:t>
      </w:r>
      <w:r w:rsidRPr="00282AC9">
        <w:rPr>
          <w:rtl/>
        </w:rPr>
        <w:t xml:space="preserve"> وضع أجهزة فوق منطقة البطن عندهم، بحيث تحدث الأجهزة صدمات</w:t>
      </w:r>
      <w:r w:rsidR="00630266" w:rsidRPr="00282AC9">
        <w:rPr>
          <w:rFonts w:hint="cs"/>
          <w:rtl/>
        </w:rPr>
        <w:t>ٍ</w:t>
      </w:r>
      <w:r w:rsidRPr="00282AC9">
        <w:rPr>
          <w:rtl/>
        </w:rPr>
        <w:t xml:space="preserve"> كهربائية مشابهة</w:t>
      </w:r>
      <w:r w:rsidR="00630266" w:rsidRPr="00282AC9">
        <w:rPr>
          <w:rFonts w:hint="cs"/>
          <w:rtl/>
        </w:rPr>
        <w:t>ٍ</w:t>
      </w:r>
      <w:r w:rsidRPr="00282AC9">
        <w:rPr>
          <w:rtl/>
        </w:rPr>
        <w:t xml:space="preserve"> لآلام الولادة، لمد</w:t>
      </w:r>
      <w:r w:rsidR="00630266" w:rsidRPr="00282AC9">
        <w:rPr>
          <w:rFonts w:hint="cs"/>
          <w:rtl/>
        </w:rPr>
        <w:t>ّ</w:t>
      </w:r>
      <w:r w:rsidRPr="00282AC9">
        <w:rPr>
          <w:rtl/>
        </w:rPr>
        <w:t>ة</w:t>
      </w:r>
      <w:r w:rsidR="00630266" w:rsidRPr="00282AC9">
        <w:rPr>
          <w:rFonts w:hint="cs"/>
          <w:rtl/>
        </w:rPr>
        <w:t>ٍ</w:t>
      </w:r>
      <w:r w:rsidRPr="00282AC9">
        <w:rPr>
          <w:rtl/>
        </w:rPr>
        <w:t xml:space="preserve"> تتراوح بين خمس وعشر دقائق، وكانت تلك كافية للتسب</w:t>
      </w:r>
      <w:r w:rsidR="00630266" w:rsidRPr="00282AC9">
        <w:rPr>
          <w:rFonts w:hint="cs"/>
          <w:rtl/>
        </w:rPr>
        <w:t>ُّ</w:t>
      </w:r>
      <w:r w:rsidRPr="00282AC9">
        <w:rPr>
          <w:rtl/>
        </w:rPr>
        <w:t>ب بأوجاع مبر</w:t>
      </w:r>
      <w:r w:rsidR="00630266" w:rsidRPr="00282AC9">
        <w:rPr>
          <w:rFonts w:hint="cs"/>
          <w:rtl/>
        </w:rPr>
        <w:t>ّ</w:t>
      </w:r>
      <w:r w:rsidRPr="00282AC9">
        <w:rPr>
          <w:rtl/>
        </w:rPr>
        <w:t>حة، تجعل المتطو</w:t>
      </w:r>
      <w:r w:rsidR="00630266" w:rsidRPr="00282AC9">
        <w:rPr>
          <w:rFonts w:hint="cs"/>
          <w:rtl/>
        </w:rPr>
        <w:t>ِّ</w:t>
      </w:r>
      <w:r w:rsidRPr="00282AC9">
        <w:rPr>
          <w:rtl/>
        </w:rPr>
        <w:t>ع يتلو</w:t>
      </w:r>
      <w:r w:rsidR="00630266" w:rsidRPr="00282AC9">
        <w:rPr>
          <w:rFonts w:hint="cs"/>
          <w:rtl/>
        </w:rPr>
        <w:t>ّ</w:t>
      </w:r>
      <w:r w:rsidRPr="00282AC9">
        <w:rPr>
          <w:rtl/>
        </w:rPr>
        <w:t xml:space="preserve">ى ألماً، حتى </w:t>
      </w:r>
      <w:r w:rsidR="00630266" w:rsidRPr="00282AC9">
        <w:rPr>
          <w:rFonts w:hint="cs"/>
          <w:rtl/>
        </w:rPr>
        <w:t>أ</w:t>
      </w:r>
      <w:r w:rsidRPr="00282AC9">
        <w:rPr>
          <w:rtl/>
        </w:rPr>
        <w:t>نّ أحد المتطو</w:t>
      </w:r>
      <w:r w:rsidR="00630266" w:rsidRPr="00282AC9">
        <w:rPr>
          <w:rFonts w:hint="cs"/>
          <w:rtl/>
        </w:rPr>
        <w:t>ِّ</w:t>
      </w:r>
      <w:r w:rsidRPr="00282AC9">
        <w:rPr>
          <w:rtl/>
        </w:rPr>
        <w:t>عين لم يستط</w:t>
      </w:r>
      <w:r w:rsidR="00630266" w:rsidRPr="00282AC9">
        <w:rPr>
          <w:rFonts w:hint="cs"/>
          <w:rtl/>
        </w:rPr>
        <w:t>ِ</w:t>
      </w:r>
      <w:r w:rsidRPr="00282AC9">
        <w:rPr>
          <w:rtl/>
        </w:rPr>
        <w:t>ع</w:t>
      </w:r>
      <w:r w:rsidR="00630266" w:rsidRPr="00282AC9">
        <w:rPr>
          <w:rFonts w:hint="cs"/>
          <w:rtl/>
        </w:rPr>
        <w:t>ْ</w:t>
      </w:r>
      <w:r w:rsidRPr="00282AC9">
        <w:rPr>
          <w:rtl/>
        </w:rPr>
        <w:t xml:space="preserve"> تحم</w:t>
      </w:r>
      <w:r w:rsidR="00630266" w:rsidRPr="00282AC9">
        <w:rPr>
          <w:rFonts w:hint="cs"/>
          <w:rtl/>
        </w:rPr>
        <w:t>ُّ</w:t>
      </w:r>
      <w:r w:rsidRPr="00282AC9">
        <w:rPr>
          <w:rtl/>
        </w:rPr>
        <w:t>ل الآلام لأكثر من دقيقة</w:t>
      </w:r>
      <w:r w:rsidR="00630266" w:rsidRPr="00282AC9">
        <w:rPr>
          <w:rFonts w:hint="cs"/>
          <w:rtl/>
        </w:rPr>
        <w:t>ٍ</w:t>
      </w:r>
      <w:r w:rsidRPr="00282AC9">
        <w:rPr>
          <w:rtl/>
        </w:rPr>
        <w:t xml:space="preserve"> إلى دقيقتين فقط، وانسحب من التجربة</w:t>
      </w:r>
      <w:r w:rsidR="00630266" w:rsidRPr="00282AC9">
        <w:rPr>
          <w:rFonts w:hint="cs"/>
          <w:rtl/>
        </w:rPr>
        <w:t>.</w:t>
      </w:r>
      <w:r w:rsidRPr="00282AC9">
        <w:rPr>
          <w:rtl/>
        </w:rPr>
        <w:t xml:space="preserve"> ويقول القائمون على التجربة</w:t>
      </w:r>
      <w:r w:rsidR="00630266" w:rsidRPr="00282AC9">
        <w:rPr>
          <w:rFonts w:hint="cs"/>
          <w:rtl/>
        </w:rPr>
        <w:t>:</w:t>
      </w:r>
      <w:r w:rsidRPr="00282AC9">
        <w:rPr>
          <w:rtl/>
        </w:rPr>
        <w:t xml:space="preserve"> إنّ أكثر المتطو</w:t>
      </w:r>
      <w:r w:rsidR="00630266" w:rsidRPr="00282AC9">
        <w:rPr>
          <w:rFonts w:hint="cs"/>
          <w:rtl/>
        </w:rPr>
        <w:t>ِّ</w:t>
      </w:r>
      <w:r w:rsidRPr="00282AC9">
        <w:rPr>
          <w:rtl/>
        </w:rPr>
        <w:t>عين لم يستطيعوا تحم</w:t>
      </w:r>
      <w:r w:rsidR="00630266" w:rsidRPr="00282AC9">
        <w:rPr>
          <w:rFonts w:hint="cs"/>
          <w:rtl/>
        </w:rPr>
        <w:t>ُّ</w:t>
      </w:r>
      <w:r w:rsidRPr="00282AC9">
        <w:rPr>
          <w:rtl/>
        </w:rPr>
        <w:t>ل آلام التجربة المصطنعة، مع أنّها لا يمكن أن تضاهي آلام الولادة الحقيقي</w:t>
      </w:r>
      <w:r w:rsidR="00630266" w:rsidRPr="00282AC9">
        <w:rPr>
          <w:rFonts w:hint="cs"/>
          <w:rtl/>
        </w:rPr>
        <w:t>ّ</w:t>
      </w:r>
      <w:r w:rsidRPr="00282AC9">
        <w:rPr>
          <w:rtl/>
        </w:rPr>
        <w:t>ة</w:t>
      </w:r>
      <w:r w:rsidRPr="00282AC9">
        <w:rPr>
          <w:vertAlign w:val="superscript"/>
          <w:rtl/>
        </w:rPr>
        <w:t>(</w:t>
      </w:r>
      <w:r w:rsidRPr="00282AC9">
        <w:rPr>
          <w:vertAlign w:val="superscript"/>
          <w:rtl/>
        </w:rPr>
        <w:endnoteReference w:id="238"/>
      </w:r>
      <w:r w:rsidRPr="00282AC9">
        <w:rPr>
          <w:vertAlign w:val="superscript"/>
          <w:rtl/>
        </w:rPr>
        <w:t>)</w:t>
      </w:r>
      <w:r w:rsidR="00630266" w:rsidRPr="00282AC9">
        <w:rPr>
          <w:rtl/>
        </w:rPr>
        <w:t>. ينبغي للر</w:t>
      </w:r>
      <w:r w:rsidRPr="00282AC9">
        <w:rPr>
          <w:rtl/>
        </w:rPr>
        <w:t>جل أن يدرك حجم الألم الذي تكبّ</w:t>
      </w:r>
      <w:r w:rsidR="00630266" w:rsidRPr="00282AC9">
        <w:rPr>
          <w:rFonts w:hint="cs"/>
          <w:rtl/>
        </w:rPr>
        <w:t>َ</w:t>
      </w:r>
      <w:r w:rsidRPr="00282AC9">
        <w:rPr>
          <w:rtl/>
        </w:rPr>
        <w:t>د</w:t>
      </w:r>
      <w:r w:rsidR="00630266" w:rsidRPr="00282AC9">
        <w:rPr>
          <w:rFonts w:hint="cs"/>
          <w:rtl/>
        </w:rPr>
        <w:t>َ</w:t>
      </w:r>
      <w:r w:rsidRPr="00282AC9">
        <w:rPr>
          <w:rtl/>
        </w:rPr>
        <w:t>ت</w:t>
      </w:r>
      <w:r w:rsidR="00630266" w:rsidRPr="00282AC9">
        <w:rPr>
          <w:rFonts w:hint="cs"/>
          <w:rtl/>
        </w:rPr>
        <w:t>ْ</w:t>
      </w:r>
      <w:r w:rsidRPr="00282AC9">
        <w:rPr>
          <w:rtl/>
        </w:rPr>
        <w:t xml:space="preserve">ه زوجته لتنجب له أطفالاً، فهي بين </w:t>
      </w:r>
      <w:r w:rsidRPr="00282AC9">
        <w:rPr>
          <w:rtl/>
        </w:rPr>
        <w:lastRenderedPageBreak/>
        <w:t>الحمل والولادة كانت في حقيقة الأمر بين الحياة والموت، هذا إنْ لم تكن شارف</w:t>
      </w:r>
      <w:r w:rsidR="00A805C7" w:rsidRPr="00282AC9">
        <w:rPr>
          <w:rFonts w:hint="cs"/>
          <w:rtl/>
        </w:rPr>
        <w:t>َ</w:t>
      </w:r>
      <w:r w:rsidRPr="00282AC9">
        <w:rPr>
          <w:rtl/>
        </w:rPr>
        <w:t>ت</w:t>
      </w:r>
      <w:r w:rsidR="00A805C7" w:rsidRPr="00282AC9">
        <w:rPr>
          <w:rFonts w:hint="cs"/>
          <w:rtl/>
        </w:rPr>
        <w:t>ْ</w:t>
      </w:r>
      <w:r w:rsidRPr="00282AC9">
        <w:rPr>
          <w:rtl/>
        </w:rPr>
        <w:t xml:space="preserve"> على الموت فعلاً، فكيف للرجل أن يكافئها على صنيعها هذا</w:t>
      </w:r>
      <w:r w:rsidR="00A805C7" w:rsidRPr="00282AC9">
        <w:rPr>
          <w:rFonts w:hint="cs"/>
          <w:rtl/>
        </w:rPr>
        <w:t>؟!</w:t>
      </w:r>
      <w:r w:rsidRPr="00282AC9">
        <w:rPr>
          <w:rtl/>
        </w:rPr>
        <w:t xml:space="preserve"> </w:t>
      </w:r>
    </w:p>
    <w:p w:rsidR="009C6A22" w:rsidRPr="00282AC9" w:rsidRDefault="009C6A22" w:rsidP="00106AA7">
      <w:pPr>
        <w:rPr>
          <w:rtl/>
        </w:rPr>
      </w:pPr>
      <w:r w:rsidRPr="00282AC9">
        <w:rPr>
          <w:rtl/>
        </w:rPr>
        <w:t>إنّ قسوة الأزواج على زوجاتهم تترك أثرها السلبي</w:t>
      </w:r>
      <w:r w:rsidR="00A805C7" w:rsidRPr="00282AC9">
        <w:rPr>
          <w:rFonts w:hint="cs"/>
          <w:rtl/>
        </w:rPr>
        <w:t>ّ</w:t>
      </w:r>
      <w:r w:rsidRPr="00282AC9">
        <w:rPr>
          <w:rtl/>
        </w:rPr>
        <w:t xml:space="preserve"> والدائم في نفوس الأبناء. ويؤكّ</w:t>
      </w:r>
      <w:r w:rsidR="00A805C7" w:rsidRPr="00282AC9">
        <w:rPr>
          <w:rFonts w:hint="cs"/>
          <w:rtl/>
        </w:rPr>
        <w:t>ِ</w:t>
      </w:r>
      <w:r w:rsidRPr="00282AC9">
        <w:rPr>
          <w:rtl/>
        </w:rPr>
        <w:t>د تقرير</w:t>
      </w:r>
      <w:r w:rsidR="00A805C7" w:rsidRPr="00282AC9">
        <w:rPr>
          <w:rFonts w:hint="cs"/>
          <w:rtl/>
        </w:rPr>
        <w:t>ٌ</w:t>
      </w:r>
      <w:r w:rsidRPr="00282AC9">
        <w:rPr>
          <w:rtl/>
        </w:rPr>
        <w:t xml:space="preserve"> علمي</w:t>
      </w:r>
      <w:r w:rsidR="00A805C7" w:rsidRPr="00282AC9">
        <w:rPr>
          <w:rFonts w:hint="cs"/>
          <w:rtl/>
        </w:rPr>
        <w:t>ّ</w:t>
      </w:r>
      <w:r w:rsidRPr="00282AC9">
        <w:rPr>
          <w:rtl/>
        </w:rPr>
        <w:t xml:space="preserve"> نفسي</w:t>
      </w:r>
      <w:r w:rsidR="00A805C7" w:rsidRPr="00282AC9">
        <w:rPr>
          <w:rFonts w:hint="cs"/>
          <w:rtl/>
        </w:rPr>
        <w:t>ّ</w:t>
      </w:r>
      <w:r w:rsidRPr="00282AC9">
        <w:rPr>
          <w:rtl/>
        </w:rPr>
        <w:t xml:space="preserve"> أنّ علاقة الرجل بأبنائه تتأث</w:t>
      </w:r>
      <w:r w:rsidR="00A805C7" w:rsidRPr="00282AC9">
        <w:rPr>
          <w:rFonts w:hint="cs"/>
          <w:rtl/>
        </w:rPr>
        <w:t>َّ</w:t>
      </w:r>
      <w:r w:rsidRPr="00282AC9">
        <w:rPr>
          <w:rtl/>
        </w:rPr>
        <w:t>ر إلى حدٍّ كبير بعلاقته بزوجته أمّ أطفاله</w:t>
      </w:r>
      <w:r w:rsidR="00A805C7" w:rsidRPr="00282AC9">
        <w:rPr>
          <w:rFonts w:hint="cs"/>
          <w:rtl/>
        </w:rPr>
        <w:t>.</w:t>
      </w:r>
      <w:r w:rsidRPr="00282AC9">
        <w:rPr>
          <w:rtl/>
        </w:rPr>
        <w:t xml:space="preserve"> ويعل</w:t>
      </w:r>
      <w:r w:rsidR="00A805C7" w:rsidRPr="00282AC9">
        <w:rPr>
          <w:rFonts w:hint="cs"/>
          <w:rtl/>
        </w:rPr>
        <w:t>ِّ</w:t>
      </w:r>
      <w:r w:rsidRPr="00282AC9">
        <w:rPr>
          <w:rtl/>
        </w:rPr>
        <w:t xml:space="preserve">ل التقرير بأن </w:t>
      </w:r>
      <w:r w:rsidR="00A805C7" w:rsidRPr="00282AC9">
        <w:rPr>
          <w:rtl/>
        </w:rPr>
        <w:t>انعكاس</w:t>
      </w:r>
      <w:r w:rsidR="00A805C7" w:rsidRPr="00282AC9">
        <w:rPr>
          <w:rFonts w:hint="cs"/>
          <w:rtl/>
        </w:rPr>
        <w:t>َ</w:t>
      </w:r>
      <w:r w:rsidR="00A805C7" w:rsidRPr="00282AC9">
        <w:rPr>
          <w:rtl/>
        </w:rPr>
        <w:t xml:space="preserve"> </w:t>
      </w:r>
      <w:r w:rsidR="00A805C7" w:rsidRPr="00282AC9">
        <w:rPr>
          <w:rFonts w:hint="cs"/>
          <w:rtl/>
        </w:rPr>
        <w:t xml:space="preserve">رؤية </w:t>
      </w:r>
      <w:r w:rsidRPr="00282AC9">
        <w:rPr>
          <w:rtl/>
        </w:rPr>
        <w:t>الأولاد الصغار أباهم يسيء معاملة أم</w:t>
      </w:r>
      <w:r w:rsidR="00A805C7" w:rsidRPr="00282AC9">
        <w:rPr>
          <w:rFonts w:hint="cs"/>
          <w:rtl/>
        </w:rPr>
        <w:t>ِّ</w:t>
      </w:r>
      <w:r w:rsidRPr="00282AC9">
        <w:rPr>
          <w:rtl/>
        </w:rPr>
        <w:t>هم بالضرب والإهانة يكون مدمّ</w:t>
      </w:r>
      <w:r w:rsidR="00A805C7" w:rsidRPr="00282AC9">
        <w:rPr>
          <w:rFonts w:hint="cs"/>
          <w:rtl/>
        </w:rPr>
        <w:t>ِ</w:t>
      </w:r>
      <w:r w:rsidRPr="00282AC9">
        <w:rPr>
          <w:rtl/>
        </w:rPr>
        <w:t>راً على نفسي</w:t>
      </w:r>
      <w:r w:rsidR="00A805C7" w:rsidRPr="00282AC9">
        <w:rPr>
          <w:rFonts w:hint="cs"/>
          <w:rtl/>
        </w:rPr>
        <w:t>ّ</w:t>
      </w:r>
      <w:r w:rsidRPr="00282AC9">
        <w:rPr>
          <w:rtl/>
        </w:rPr>
        <w:t>تهم ومشاعرهم؛ لكونهم ير</w:t>
      </w:r>
      <w:r w:rsidR="00A805C7" w:rsidRPr="00282AC9">
        <w:rPr>
          <w:rFonts w:hint="cs"/>
          <w:rtl/>
        </w:rPr>
        <w:t>َ</w:t>
      </w:r>
      <w:r w:rsidRPr="00282AC9">
        <w:rPr>
          <w:rtl/>
        </w:rPr>
        <w:t>و</w:t>
      </w:r>
      <w:r w:rsidR="00A805C7" w:rsidRPr="00282AC9">
        <w:rPr>
          <w:rFonts w:hint="cs"/>
          <w:rtl/>
        </w:rPr>
        <w:t>ْ</w:t>
      </w:r>
      <w:r w:rsidRPr="00282AC9">
        <w:rPr>
          <w:rtl/>
        </w:rPr>
        <w:t>ن أمّهم</w:t>
      </w:r>
      <w:r w:rsidR="00A805C7" w:rsidRPr="00282AC9">
        <w:rPr>
          <w:rFonts w:hint="cs"/>
          <w:rtl/>
        </w:rPr>
        <w:t>،</w:t>
      </w:r>
      <w:r w:rsidRPr="00282AC9">
        <w:rPr>
          <w:rtl/>
        </w:rPr>
        <w:t xml:space="preserve"> التي يعتبرونها ملجأهم الأخير</w:t>
      </w:r>
      <w:r w:rsidR="00A805C7" w:rsidRPr="00282AC9">
        <w:rPr>
          <w:rFonts w:hint="cs"/>
          <w:rtl/>
        </w:rPr>
        <w:t>،</w:t>
      </w:r>
      <w:r w:rsidRPr="00282AC9">
        <w:rPr>
          <w:rtl/>
        </w:rPr>
        <w:t xml:space="preserve"> في تلك الحالة المزرية.</w:t>
      </w:r>
    </w:p>
    <w:p w:rsidR="009C6A22" w:rsidRPr="00282AC9" w:rsidRDefault="009C6A22" w:rsidP="00106AA7">
      <w:pPr>
        <w:rPr>
          <w:rtl/>
        </w:rPr>
      </w:pPr>
      <w:r w:rsidRPr="00282AC9">
        <w:rPr>
          <w:rtl/>
        </w:rPr>
        <w:t>وتشير الإحصاءات إلى أنّ نسبة</w:t>
      </w:r>
      <w:r w:rsidR="00A805C7" w:rsidRPr="00282AC9">
        <w:rPr>
          <w:rFonts w:hint="cs"/>
          <w:rtl/>
        </w:rPr>
        <w:t>ً</w:t>
      </w:r>
      <w:r w:rsidRPr="00282AC9">
        <w:rPr>
          <w:rtl/>
        </w:rPr>
        <w:t xml:space="preserve"> كبيرة من الأبناء الذين يكرهون آباءهم</w:t>
      </w:r>
      <w:r w:rsidR="00A805C7" w:rsidRPr="00282AC9">
        <w:rPr>
          <w:rFonts w:hint="cs"/>
          <w:rtl/>
        </w:rPr>
        <w:t>،</w:t>
      </w:r>
      <w:r w:rsidRPr="00282AC9">
        <w:rPr>
          <w:rtl/>
        </w:rPr>
        <w:t xml:space="preserve"> وقد يُسيئون إليهم، إنما يفعلون ذلك نتيجة</w:t>
      </w:r>
      <w:r w:rsidR="00A805C7" w:rsidRPr="00282AC9">
        <w:rPr>
          <w:rFonts w:hint="cs"/>
          <w:rtl/>
        </w:rPr>
        <w:t>ً</w:t>
      </w:r>
      <w:r w:rsidRPr="00282AC9">
        <w:rPr>
          <w:rtl/>
        </w:rPr>
        <w:t xml:space="preserve"> لرد</w:t>
      </w:r>
      <w:r w:rsidR="00A805C7" w:rsidRPr="00282AC9">
        <w:rPr>
          <w:rFonts w:hint="cs"/>
          <w:rtl/>
        </w:rPr>
        <w:t>ّ</w:t>
      </w:r>
      <w:r w:rsidRPr="00282AC9">
        <w:rPr>
          <w:rtl/>
        </w:rPr>
        <w:t xml:space="preserve"> فعلهم على ما رأ</w:t>
      </w:r>
      <w:r w:rsidR="00A805C7" w:rsidRPr="00282AC9">
        <w:rPr>
          <w:rFonts w:hint="cs"/>
          <w:rtl/>
        </w:rPr>
        <w:t>َ</w:t>
      </w:r>
      <w:r w:rsidRPr="00282AC9">
        <w:rPr>
          <w:rtl/>
        </w:rPr>
        <w:t>و</w:t>
      </w:r>
      <w:r w:rsidR="00A805C7" w:rsidRPr="00282AC9">
        <w:rPr>
          <w:rFonts w:hint="cs"/>
          <w:rtl/>
        </w:rPr>
        <w:t>ْ</w:t>
      </w:r>
      <w:r w:rsidRPr="00282AC9">
        <w:rPr>
          <w:rtl/>
        </w:rPr>
        <w:t>ه من سوء معاملة الآباء لأمّهاتهم</w:t>
      </w:r>
      <w:r w:rsidR="00A805C7" w:rsidRPr="00282AC9">
        <w:rPr>
          <w:rFonts w:hint="cs"/>
          <w:rtl/>
        </w:rPr>
        <w:t>.</w:t>
      </w:r>
      <w:r w:rsidRPr="00282AC9">
        <w:rPr>
          <w:rtl/>
        </w:rPr>
        <w:t xml:space="preserve"> ولا تفسير لتصر</w:t>
      </w:r>
      <w:r w:rsidR="00026413" w:rsidRPr="00282AC9">
        <w:rPr>
          <w:rFonts w:hint="cs"/>
          <w:rtl/>
        </w:rPr>
        <w:t>ُّ</w:t>
      </w:r>
      <w:r w:rsidRPr="00282AC9">
        <w:rPr>
          <w:rtl/>
        </w:rPr>
        <w:t>ف الأبناء إ</w:t>
      </w:r>
      <w:r w:rsidR="00EE6DBA" w:rsidRPr="00282AC9">
        <w:rPr>
          <w:rtl/>
        </w:rPr>
        <w:t>لاّ</w:t>
      </w:r>
      <w:r w:rsidRPr="00282AC9">
        <w:rPr>
          <w:rtl/>
        </w:rPr>
        <w:t xml:space="preserve"> بأنه نوع</w:t>
      </w:r>
      <w:r w:rsidR="00A805C7" w:rsidRPr="00282AC9">
        <w:rPr>
          <w:rFonts w:hint="cs"/>
          <w:rtl/>
        </w:rPr>
        <w:t>ٌ</w:t>
      </w:r>
      <w:r w:rsidRPr="00282AC9">
        <w:rPr>
          <w:rtl/>
        </w:rPr>
        <w:t xml:space="preserve"> من الانتقام اللاواعي من تصر</w:t>
      </w:r>
      <w:r w:rsidR="00A805C7" w:rsidRPr="00282AC9">
        <w:rPr>
          <w:rFonts w:hint="cs"/>
          <w:rtl/>
        </w:rPr>
        <w:t>ُّ</w:t>
      </w:r>
      <w:r w:rsidRPr="00282AC9">
        <w:rPr>
          <w:rtl/>
        </w:rPr>
        <w:t>ف الأب بحقّ أمّ</w:t>
      </w:r>
      <w:r w:rsidR="00A805C7" w:rsidRPr="00282AC9">
        <w:rPr>
          <w:rFonts w:hint="cs"/>
          <w:rtl/>
        </w:rPr>
        <w:t>ِ</w:t>
      </w:r>
      <w:r w:rsidRPr="00282AC9">
        <w:rPr>
          <w:rtl/>
        </w:rPr>
        <w:t>هم</w:t>
      </w:r>
      <w:r w:rsidR="00A805C7" w:rsidRPr="00282AC9">
        <w:rPr>
          <w:rFonts w:hint="cs"/>
          <w:rtl/>
        </w:rPr>
        <w:t>.</w:t>
      </w:r>
      <w:r w:rsidRPr="00282AC9">
        <w:rPr>
          <w:rtl/>
        </w:rPr>
        <w:t xml:space="preserve"> ويضيف التقرير</w:t>
      </w:r>
      <w:r w:rsidR="00A805C7" w:rsidRPr="00282AC9">
        <w:rPr>
          <w:rFonts w:hint="cs"/>
          <w:rtl/>
        </w:rPr>
        <w:t>:</w:t>
      </w:r>
      <w:r w:rsidRPr="00282AC9">
        <w:rPr>
          <w:rtl/>
        </w:rPr>
        <w:t xml:space="preserve"> </w:t>
      </w:r>
      <w:r w:rsidR="00A805C7" w:rsidRPr="00282AC9">
        <w:rPr>
          <w:rFonts w:hint="cs"/>
          <w:rtl/>
        </w:rPr>
        <w:t>إ</w:t>
      </w:r>
      <w:r w:rsidRPr="00282AC9">
        <w:rPr>
          <w:rtl/>
        </w:rPr>
        <w:t>نه</w:t>
      </w:r>
      <w:r w:rsidR="00A805C7" w:rsidRPr="00282AC9">
        <w:rPr>
          <w:rFonts w:hint="cs"/>
          <w:rtl/>
        </w:rPr>
        <w:t>،</w:t>
      </w:r>
      <w:r w:rsidRPr="00282AC9">
        <w:rPr>
          <w:rtl/>
        </w:rPr>
        <w:t xml:space="preserve"> بالرغم من اعتقاد بعض الآباء أنّ زوجاتهم هن</w:t>
      </w:r>
      <w:r w:rsidR="00A805C7" w:rsidRPr="00282AC9">
        <w:rPr>
          <w:rFonts w:hint="cs"/>
          <w:rtl/>
        </w:rPr>
        <w:t>َّ</w:t>
      </w:r>
      <w:r w:rsidRPr="00282AC9">
        <w:rPr>
          <w:rtl/>
        </w:rPr>
        <w:t xml:space="preserve"> م</w:t>
      </w:r>
      <w:r w:rsidR="00A805C7" w:rsidRPr="00282AC9">
        <w:rPr>
          <w:rFonts w:hint="cs"/>
          <w:rtl/>
        </w:rPr>
        <w:t>َ</w:t>
      </w:r>
      <w:r w:rsidRPr="00282AC9">
        <w:rPr>
          <w:rtl/>
        </w:rPr>
        <w:t>ن</w:t>
      </w:r>
      <w:r w:rsidR="00A805C7" w:rsidRPr="00282AC9">
        <w:rPr>
          <w:rFonts w:hint="cs"/>
          <w:rtl/>
        </w:rPr>
        <w:t>ْ</w:t>
      </w:r>
      <w:r w:rsidRPr="00282AC9">
        <w:rPr>
          <w:rtl/>
        </w:rPr>
        <w:t xml:space="preserve"> يقم</w:t>
      </w:r>
      <w:r w:rsidR="00A805C7" w:rsidRPr="00282AC9">
        <w:rPr>
          <w:rFonts w:hint="cs"/>
          <w:rtl/>
        </w:rPr>
        <w:t>ْ</w:t>
      </w:r>
      <w:r w:rsidRPr="00282AC9">
        <w:rPr>
          <w:rtl/>
        </w:rPr>
        <w:t>ن</w:t>
      </w:r>
      <w:r w:rsidR="00A805C7" w:rsidRPr="00282AC9">
        <w:rPr>
          <w:rFonts w:hint="cs"/>
          <w:rtl/>
        </w:rPr>
        <w:t>َ</w:t>
      </w:r>
      <w:r w:rsidRPr="00282AC9">
        <w:rPr>
          <w:rtl/>
        </w:rPr>
        <w:t xml:space="preserve"> بزرع كراهية الأبناء لهم، إ</w:t>
      </w:r>
      <w:r w:rsidR="00EE6DBA" w:rsidRPr="00282AC9">
        <w:rPr>
          <w:rtl/>
        </w:rPr>
        <w:t>لاّ</w:t>
      </w:r>
      <w:r w:rsidRPr="00282AC9">
        <w:rPr>
          <w:rtl/>
        </w:rPr>
        <w:t xml:space="preserve"> أنّ ذلك الاعتقاد خاطئ</w:t>
      </w:r>
      <w:r w:rsidR="00A805C7" w:rsidRPr="00282AC9">
        <w:rPr>
          <w:rFonts w:hint="cs"/>
          <w:rtl/>
        </w:rPr>
        <w:t>ٌ،</w:t>
      </w:r>
      <w:r w:rsidRPr="00282AC9">
        <w:rPr>
          <w:rtl/>
        </w:rPr>
        <w:t xml:space="preserve"> جملة</w:t>
      </w:r>
      <w:r w:rsidR="00A805C7" w:rsidRPr="00282AC9">
        <w:rPr>
          <w:rFonts w:hint="cs"/>
          <w:rtl/>
        </w:rPr>
        <w:t>ً</w:t>
      </w:r>
      <w:r w:rsidRPr="00282AC9">
        <w:rPr>
          <w:rtl/>
        </w:rPr>
        <w:t xml:space="preserve"> وتفصيلاً، فما يلحظه الأبناء من سوء معاملة الأب لأمّ</w:t>
      </w:r>
      <w:r w:rsidR="00A95A7B" w:rsidRPr="00282AC9">
        <w:rPr>
          <w:rFonts w:hint="cs"/>
          <w:rtl/>
        </w:rPr>
        <w:t>ِ</w:t>
      </w:r>
      <w:r w:rsidRPr="00282AC9">
        <w:rPr>
          <w:rtl/>
        </w:rPr>
        <w:t>هم هو الذي يزرع شيئاً من الكراهية في نفوسهم تجاه الأب.</w:t>
      </w:r>
    </w:p>
    <w:p w:rsidR="009C6A22" w:rsidRPr="00282AC9" w:rsidRDefault="009C6A22" w:rsidP="00106AA7">
      <w:pPr>
        <w:rPr>
          <w:rtl/>
        </w:rPr>
      </w:pPr>
      <w:r w:rsidRPr="00282AC9">
        <w:rPr>
          <w:rtl/>
        </w:rPr>
        <w:t>ولطالما سمعنا من الأبناء</w:t>
      </w:r>
      <w:r w:rsidR="00A95A7B" w:rsidRPr="00282AC9">
        <w:rPr>
          <w:rFonts w:hint="cs"/>
          <w:rtl/>
        </w:rPr>
        <w:t>،</w:t>
      </w:r>
      <w:r w:rsidRPr="00282AC9">
        <w:rPr>
          <w:rtl/>
        </w:rPr>
        <w:t xml:space="preserve"> حت</w:t>
      </w:r>
      <w:r w:rsidR="00A95A7B" w:rsidRPr="00282AC9">
        <w:rPr>
          <w:rFonts w:hint="cs"/>
          <w:rtl/>
        </w:rPr>
        <w:t>ّ</w:t>
      </w:r>
      <w:r w:rsidRPr="00282AC9">
        <w:rPr>
          <w:rtl/>
        </w:rPr>
        <w:t>ى العقلاء والمتديّ</w:t>
      </w:r>
      <w:r w:rsidR="00A95A7B" w:rsidRPr="00282AC9">
        <w:rPr>
          <w:rFonts w:hint="cs"/>
          <w:rtl/>
        </w:rPr>
        <w:t>ِ</w:t>
      </w:r>
      <w:r w:rsidRPr="00282AC9">
        <w:rPr>
          <w:rtl/>
        </w:rPr>
        <w:t>نين منهم</w:t>
      </w:r>
      <w:r w:rsidR="00A95A7B" w:rsidRPr="00282AC9">
        <w:rPr>
          <w:rFonts w:hint="cs"/>
          <w:rtl/>
        </w:rPr>
        <w:t>،</w:t>
      </w:r>
      <w:r w:rsidRPr="00282AC9">
        <w:rPr>
          <w:rtl/>
        </w:rPr>
        <w:t xml:space="preserve"> مم</w:t>
      </w:r>
      <w:r w:rsidR="00A95A7B" w:rsidRPr="00282AC9">
        <w:rPr>
          <w:rFonts w:hint="cs"/>
          <w:rtl/>
        </w:rPr>
        <w:t>َّ</w:t>
      </w:r>
      <w:r w:rsidRPr="00282AC9">
        <w:rPr>
          <w:rtl/>
        </w:rPr>
        <w:t>ن</w:t>
      </w:r>
      <w:r w:rsidR="00A95A7B" w:rsidRPr="00282AC9">
        <w:rPr>
          <w:rFonts w:hint="cs"/>
          <w:rtl/>
        </w:rPr>
        <w:t>ْ</w:t>
      </w:r>
      <w:r w:rsidRPr="00282AC9">
        <w:rPr>
          <w:rtl/>
        </w:rPr>
        <w:t xml:space="preserve"> يأتون على سيرة آبائهم الراحلين بالإشادة، إ</w:t>
      </w:r>
      <w:r w:rsidR="00EE6DBA" w:rsidRPr="00282AC9">
        <w:rPr>
          <w:rtl/>
        </w:rPr>
        <w:t>لاّ</w:t>
      </w:r>
      <w:r w:rsidRPr="00282AC9">
        <w:rPr>
          <w:rtl/>
        </w:rPr>
        <w:t xml:space="preserve"> أنّهم لا يملكون مع ذلك إ</w:t>
      </w:r>
      <w:r w:rsidR="00EE6DBA" w:rsidRPr="00282AC9">
        <w:rPr>
          <w:rtl/>
        </w:rPr>
        <w:t>لاّ</w:t>
      </w:r>
      <w:r w:rsidRPr="00282AC9">
        <w:rPr>
          <w:rtl/>
        </w:rPr>
        <w:t xml:space="preserve"> التصريح بمرارة</w:t>
      </w:r>
      <w:r w:rsidR="00A95A7B" w:rsidRPr="00282AC9">
        <w:rPr>
          <w:rFonts w:hint="cs"/>
          <w:rtl/>
        </w:rPr>
        <w:t>ٍ</w:t>
      </w:r>
      <w:r w:rsidRPr="00282AC9">
        <w:rPr>
          <w:rtl/>
        </w:rPr>
        <w:t xml:space="preserve"> عن مآخذهم على قسوة الأب على أمّ</w:t>
      </w:r>
      <w:r w:rsidR="00A95A7B" w:rsidRPr="00282AC9">
        <w:rPr>
          <w:rFonts w:hint="cs"/>
          <w:rtl/>
        </w:rPr>
        <w:t>ِ</w:t>
      </w:r>
      <w:r w:rsidRPr="00282AC9">
        <w:rPr>
          <w:rtl/>
        </w:rPr>
        <w:t>هم، وكأن</w:t>
      </w:r>
      <w:r w:rsidR="00A95A7B" w:rsidRPr="00282AC9">
        <w:rPr>
          <w:rFonts w:hint="cs"/>
          <w:rtl/>
        </w:rPr>
        <w:t>َّ</w:t>
      </w:r>
      <w:r w:rsidRPr="00282AC9">
        <w:rPr>
          <w:rtl/>
        </w:rPr>
        <w:t xml:space="preserve"> ذلك الجرح النفسي</w:t>
      </w:r>
      <w:r w:rsidR="00A95A7B" w:rsidRPr="00282AC9">
        <w:rPr>
          <w:rFonts w:hint="cs"/>
          <w:rtl/>
        </w:rPr>
        <w:t>ّ</w:t>
      </w:r>
      <w:r w:rsidRPr="00282AC9">
        <w:rPr>
          <w:rtl/>
        </w:rPr>
        <w:t xml:space="preserve"> يأبى أن يندمل في نفوسهم. لذلك ينبغي للأب</w:t>
      </w:r>
      <w:r w:rsidR="00A95A7B" w:rsidRPr="00282AC9">
        <w:rPr>
          <w:rFonts w:hint="cs"/>
          <w:rtl/>
        </w:rPr>
        <w:t>،</w:t>
      </w:r>
      <w:r w:rsidRPr="00282AC9">
        <w:rPr>
          <w:rtl/>
        </w:rPr>
        <w:t xml:space="preserve"> الذي يحبّ أبناءه ويريد إكرامهم، أن يضع في اعتباره أنّ تعامله مع زوجته أمّهم له </w:t>
      </w:r>
      <w:r w:rsidR="00EE6DBA" w:rsidRPr="00282AC9">
        <w:rPr>
          <w:rtl/>
        </w:rPr>
        <w:t>دَوْر</w:t>
      </w:r>
      <w:r w:rsidR="00A95A7B" w:rsidRPr="00282AC9">
        <w:rPr>
          <w:rFonts w:hint="cs"/>
          <w:rtl/>
        </w:rPr>
        <w:t>ٌ</w:t>
      </w:r>
      <w:r w:rsidRPr="00282AC9">
        <w:rPr>
          <w:rtl/>
        </w:rPr>
        <w:t xml:space="preserve"> كبير في إشعار الأبناء بالكرامة والتقدير. </w:t>
      </w:r>
    </w:p>
    <w:p w:rsidR="00E83C22" w:rsidRPr="00282AC9" w:rsidRDefault="009C6A22" w:rsidP="00106AA7">
      <w:pPr>
        <w:rPr>
          <w:rtl/>
        </w:rPr>
      </w:pPr>
      <w:r w:rsidRPr="00282AC9">
        <w:rPr>
          <w:sz w:val="27"/>
          <w:rtl/>
        </w:rPr>
        <w:t>علينا جميعاً أن نستذكر جهود أمّهاتنا، وأن نستمطر لهنّ الرحمات</w:t>
      </w:r>
      <w:r w:rsidR="00A95A7B" w:rsidRPr="00282AC9">
        <w:rPr>
          <w:rFonts w:hint="cs"/>
          <w:sz w:val="27"/>
          <w:rtl/>
        </w:rPr>
        <w:t>،</w:t>
      </w:r>
      <w:r w:rsidRPr="00282AC9">
        <w:rPr>
          <w:sz w:val="27"/>
          <w:rtl/>
        </w:rPr>
        <w:t xml:space="preserve"> وأن نقابل جهود وأتعاب زوجاتنا بالتقدير، وأن نحترم مشاعر بناتنا، كما يعلّ</w:t>
      </w:r>
      <w:r w:rsidR="00A95A7B" w:rsidRPr="00282AC9">
        <w:rPr>
          <w:rFonts w:hint="cs"/>
          <w:sz w:val="27"/>
          <w:rtl/>
        </w:rPr>
        <w:t>ِ</w:t>
      </w:r>
      <w:r w:rsidRPr="00282AC9">
        <w:rPr>
          <w:sz w:val="27"/>
          <w:rtl/>
        </w:rPr>
        <w:t>منا الد</w:t>
      </w:r>
      <w:r w:rsidR="00A95A7B" w:rsidRPr="00282AC9">
        <w:rPr>
          <w:rFonts w:hint="cs"/>
          <w:sz w:val="27"/>
          <w:rtl/>
        </w:rPr>
        <w:t>ِّ</w:t>
      </w:r>
      <w:r w:rsidRPr="00282AC9">
        <w:rPr>
          <w:sz w:val="27"/>
          <w:rtl/>
        </w:rPr>
        <w:t>ين، وترب</w:t>
      </w:r>
      <w:r w:rsidR="00A95A7B" w:rsidRPr="00282AC9">
        <w:rPr>
          <w:rFonts w:hint="cs"/>
          <w:sz w:val="27"/>
          <w:rtl/>
        </w:rPr>
        <w:t>ِّ</w:t>
      </w:r>
      <w:r w:rsidRPr="00282AC9">
        <w:rPr>
          <w:sz w:val="27"/>
          <w:rtl/>
        </w:rPr>
        <w:t>ينا تعاليم النبي</w:t>
      </w:r>
      <w:r w:rsidR="00A95A7B" w:rsidRPr="00282AC9">
        <w:rPr>
          <w:rFonts w:hint="cs"/>
          <w:sz w:val="27"/>
          <w:rtl/>
        </w:rPr>
        <w:t>ّ</w:t>
      </w:r>
      <w:r w:rsidR="009A2A04" w:rsidRPr="00282AC9">
        <w:rPr>
          <w:rFonts w:cs="Mosawi"/>
          <w:sz w:val="22"/>
          <w:szCs w:val="22"/>
          <w:rtl/>
        </w:rPr>
        <w:t>|</w:t>
      </w:r>
      <w:r w:rsidR="00A95A7B" w:rsidRPr="00282AC9">
        <w:rPr>
          <w:rFonts w:hint="cs"/>
          <w:sz w:val="27"/>
          <w:rtl/>
        </w:rPr>
        <w:t xml:space="preserve">، </w:t>
      </w:r>
      <w:r w:rsidRPr="00282AC9">
        <w:rPr>
          <w:sz w:val="27"/>
          <w:rtl/>
        </w:rPr>
        <w:t>الذي كان مضرب المثل في التعامل الح</w:t>
      </w:r>
      <w:r w:rsidR="00A95A7B" w:rsidRPr="00282AC9">
        <w:rPr>
          <w:rFonts w:hint="cs"/>
          <w:sz w:val="27"/>
          <w:rtl/>
        </w:rPr>
        <w:t>َ</w:t>
      </w:r>
      <w:r w:rsidRPr="00282AC9">
        <w:rPr>
          <w:sz w:val="27"/>
          <w:rtl/>
        </w:rPr>
        <w:t>س</w:t>
      </w:r>
      <w:r w:rsidR="00A95A7B" w:rsidRPr="00282AC9">
        <w:rPr>
          <w:rFonts w:hint="cs"/>
          <w:sz w:val="27"/>
          <w:rtl/>
        </w:rPr>
        <w:t>َ</w:t>
      </w:r>
      <w:r w:rsidRPr="00282AC9">
        <w:rPr>
          <w:sz w:val="27"/>
          <w:rtl/>
        </w:rPr>
        <w:t>ن مع أزواجه وبناته، ذلك التعامل الذي ينبغي أن نقتدي به</w:t>
      </w:r>
      <w:r w:rsidR="00A95A7B" w:rsidRPr="00282AC9">
        <w:rPr>
          <w:rFonts w:hint="cs"/>
          <w:sz w:val="27"/>
          <w:rtl/>
        </w:rPr>
        <w:t>،</w:t>
      </w:r>
      <w:r w:rsidRPr="00282AC9">
        <w:rPr>
          <w:sz w:val="27"/>
          <w:rtl/>
        </w:rPr>
        <w:t xml:space="preserve"> وهو القائل</w:t>
      </w:r>
      <w:r w:rsidR="009A2A04" w:rsidRPr="00282AC9">
        <w:rPr>
          <w:rFonts w:cs="Mosawi"/>
          <w:sz w:val="22"/>
          <w:szCs w:val="22"/>
          <w:rtl/>
        </w:rPr>
        <w:t>|</w:t>
      </w:r>
      <w:r w:rsidRPr="00282AC9">
        <w:rPr>
          <w:sz w:val="27"/>
          <w:rtl/>
        </w:rPr>
        <w:t xml:space="preserve">: </w:t>
      </w:r>
      <w:r w:rsidRPr="00282AC9">
        <w:rPr>
          <w:sz w:val="24"/>
          <w:szCs w:val="24"/>
          <w:rtl/>
        </w:rPr>
        <w:t>«</w:t>
      </w:r>
      <w:r w:rsidRPr="00282AC9">
        <w:rPr>
          <w:sz w:val="27"/>
          <w:rtl/>
        </w:rPr>
        <w:t>خير</w:t>
      </w:r>
      <w:r w:rsidR="00A95A7B" w:rsidRPr="00282AC9">
        <w:rPr>
          <w:rFonts w:hint="cs"/>
          <w:sz w:val="27"/>
          <w:rtl/>
        </w:rPr>
        <w:t>ُ</w:t>
      </w:r>
      <w:r w:rsidRPr="00282AC9">
        <w:rPr>
          <w:sz w:val="27"/>
          <w:rtl/>
        </w:rPr>
        <w:t>كم خير</w:t>
      </w:r>
      <w:r w:rsidR="00A95A7B" w:rsidRPr="00282AC9">
        <w:rPr>
          <w:rFonts w:hint="cs"/>
          <w:sz w:val="27"/>
          <w:rtl/>
        </w:rPr>
        <w:t>ُ</w:t>
      </w:r>
      <w:r w:rsidRPr="00282AC9">
        <w:rPr>
          <w:sz w:val="27"/>
          <w:rtl/>
        </w:rPr>
        <w:t>كم لأهله</w:t>
      </w:r>
      <w:r w:rsidR="00A95A7B" w:rsidRPr="00282AC9">
        <w:rPr>
          <w:rFonts w:hint="cs"/>
          <w:sz w:val="27"/>
          <w:rtl/>
        </w:rPr>
        <w:t>،</w:t>
      </w:r>
      <w:r w:rsidRPr="00282AC9">
        <w:rPr>
          <w:sz w:val="27"/>
          <w:rtl/>
        </w:rPr>
        <w:t xml:space="preserve"> وأنا خير</w:t>
      </w:r>
      <w:r w:rsidR="00A95A7B" w:rsidRPr="00282AC9">
        <w:rPr>
          <w:rFonts w:hint="cs"/>
          <w:sz w:val="27"/>
          <w:rtl/>
        </w:rPr>
        <w:t>ُ</w:t>
      </w:r>
      <w:r w:rsidRPr="00282AC9">
        <w:rPr>
          <w:sz w:val="27"/>
          <w:rtl/>
        </w:rPr>
        <w:t>كم لأهلي</w:t>
      </w:r>
      <w:r w:rsidRPr="00282AC9">
        <w:rPr>
          <w:sz w:val="24"/>
          <w:szCs w:val="24"/>
          <w:rtl/>
        </w:rPr>
        <w:t>»</w:t>
      </w:r>
      <w:r w:rsidRPr="00282AC9">
        <w:rPr>
          <w:sz w:val="27"/>
          <w:rtl/>
        </w:rPr>
        <w:t>.</w:t>
      </w:r>
    </w:p>
    <w:p w:rsidR="00E83C22" w:rsidRPr="00282AC9" w:rsidRDefault="00E83C22" w:rsidP="00106AA7">
      <w:pPr>
        <w:rPr>
          <w:rtl/>
        </w:rPr>
      </w:pPr>
    </w:p>
    <w:p w:rsidR="00E83C22" w:rsidRPr="00282AC9" w:rsidRDefault="00E83C22" w:rsidP="00D1080C">
      <w:pPr>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lastRenderedPageBreak/>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A748E5">
      <w:pPr>
        <w:spacing w:line="460" w:lineRule="exact"/>
        <w:rPr>
          <w:rtl/>
        </w:rPr>
      </w:pPr>
    </w:p>
    <w:p w:rsidR="00E83C22" w:rsidRPr="00282AC9" w:rsidRDefault="00E83C22" w:rsidP="00A748E5">
      <w:pPr>
        <w:spacing w:line="460" w:lineRule="exact"/>
        <w:rPr>
          <w:rtl/>
        </w:rPr>
      </w:pPr>
    </w:p>
    <w:p w:rsidR="00E83C22" w:rsidRPr="00282AC9" w:rsidRDefault="005A1BD7" w:rsidP="005A1BD7">
      <w:pPr>
        <w:pStyle w:val="11"/>
        <w:spacing w:line="216" w:lineRule="auto"/>
        <w:rPr>
          <w:rtl/>
        </w:rPr>
      </w:pPr>
      <w:bookmarkStart w:id="19" w:name="_Toc87011494"/>
      <w:r w:rsidRPr="00282AC9">
        <w:rPr>
          <w:rFonts w:hint="cs"/>
          <w:rtl/>
        </w:rPr>
        <w:t>توبة المرتدّ الفطري</w:t>
      </w:r>
      <w:bookmarkEnd w:id="19"/>
    </w:p>
    <w:p w:rsidR="00E83C22" w:rsidRPr="00282AC9" w:rsidRDefault="005A1BD7" w:rsidP="005A1BD7">
      <w:pPr>
        <w:pStyle w:val="11"/>
        <w:spacing w:line="216" w:lineRule="auto"/>
        <w:rPr>
          <w:sz w:val="26"/>
          <w:szCs w:val="42"/>
          <w:rtl/>
        </w:rPr>
      </w:pPr>
      <w:bookmarkStart w:id="20" w:name="_Toc87011495"/>
      <w:r w:rsidRPr="00282AC9">
        <w:rPr>
          <w:rFonts w:hint="cs"/>
          <w:sz w:val="26"/>
          <w:szCs w:val="42"/>
          <w:rtl/>
        </w:rPr>
        <w:t>قراءةٌ فقهيّة جديدة</w:t>
      </w:r>
      <w:bookmarkEnd w:id="20"/>
    </w:p>
    <w:p w:rsidR="00E83C22" w:rsidRPr="00282AC9" w:rsidRDefault="00E83C22" w:rsidP="00A748E5">
      <w:pPr>
        <w:spacing w:line="440" w:lineRule="exact"/>
        <w:rPr>
          <w:rtl/>
        </w:rPr>
      </w:pPr>
    </w:p>
    <w:p w:rsidR="00E83C22" w:rsidRPr="00282AC9" w:rsidRDefault="005A1BD7" w:rsidP="005A1BD7">
      <w:pPr>
        <w:pStyle w:val="Author"/>
        <w:rPr>
          <w:rtl/>
        </w:rPr>
      </w:pPr>
      <w:bookmarkStart w:id="21" w:name="_Toc87011496"/>
      <w:r w:rsidRPr="00282AC9">
        <w:rPr>
          <w:rFonts w:hint="cs"/>
          <w:rtl/>
        </w:rPr>
        <w:t>د. إبراهيم زارع</w:t>
      </w:r>
      <w:r w:rsidR="00527634" w:rsidRPr="00282AC9">
        <w:rPr>
          <w:rFonts w:cs="Taher" w:hint="cs"/>
          <w:vertAlign w:val="superscript"/>
          <w:rtl/>
        </w:rPr>
        <w:t>(</w:t>
      </w:r>
      <w:r w:rsidR="00527634" w:rsidRPr="00282AC9">
        <w:rPr>
          <w:rFonts w:cs="Taher"/>
          <w:vertAlign w:val="superscript"/>
          <w:rtl/>
        </w:rPr>
        <w:footnoteReference w:customMarkFollows="1" w:id="5"/>
        <w:t>*)</w:t>
      </w:r>
      <w:bookmarkEnd w:id="21"/>
    </w:p>
    <w:p w:rsidR="00E83C22" w:rsidRPr="00282AC9" w:rsidRDefault="00E83C22" w:rsidP="005A1BD7">
      <w:pPr>
        <w:pStyle w:val="Author"/>
        <w:rPr>
          <w:rtl/>
        </w:rPr>
      </w:pPr>
      <w:bookmarkStart w:id="22" w:name="_Toc87011497"/>
      <w:r w:rsidRPr="00282AC9">
        <w:rPr>
          <w:rFonts w:hint="cs"/>
          <w:rtl/>
        </w:rPr>
        <w:t xml:space="preserve">ترجمة: </w:t>
      </w:r>
      <w:r w:rsidR="005A1BD7" w:rsidRPr="00282AC9">
        <w:rPr>
          <w:rFonts w:hint="cs"/>
          <w:rtl/>
        </w:rPr>
        <w:t>حسن علي مطر</w:t>
      </w:r>
      <w:bookmarkEnd w:id="22"/>
    </w:p>
    <w:p w:rsidR="00E83C22" w:rsidRPr="00282AC9" w:rsidRDefault="00E83C22" w:rsidP="00A748E5">
      <w:pPr>
        <w:spacing w:line="440" w:lineRule="exact"/>
        <w:rPr>
          <w:rtl/>
        </w:rPr>
      </w:pPr>
    </w:p>
    <w:p w:rsidR="005A1BD7" w:rsidRPr="00282AC9" w:rsidRDefault="005A1BD7" w:rsidP="00AA149D">
      <w:pPr>
        <w:pStyle w:val="31"/>
        <w:rPr>
          <w:color w:val="auto"/>
          <w:rtl/>
        </w:rPr>
      </w:pPr>
      <w:r w:rsidRPr="00282AC9">
        <w:rPr>
          <w:rFonts w:hint="cs"/>
          <w:color w:val="auto"/>
          <w:rtl/>
        </w:rPr>
        <w:t>مقدّمة</w:t>
      </w:r>
      <w:r w:rsidR="004029EF" w:rsidRPr="00282AC9">
        <w:rPr>
          <w:rFonts w:hint="cs"/>
          <w:color w:val="auto"/>
          <w:rtl/>
        </w:rPr>
        <w:t>ٌ</w:t>
      </w:r>
    </w:p>
    <w:p w:rsidR="005A1BD7" w:rsidRPr="00282AC9" w:rsidRDefault="005A1BD7" w:rsidP="00C75E73">
      <w:pPr>
        <w:rPr>
          <w:sz w:val="27"/>
          <w:rtl/>
        </w:rPr>
      </w:pPr>
      <w:r w:rsidRPr="00282AC9">
        <w:rPr>
          <w:rFonts w:hint="cs"/>
          <w:sz w:val="27"/>
          <w:rtl/>
        </w:rPr>
        <w:t>يحظى مفهوم التوبة في القرآن الكريم باهتمام</w:t>
      </w:r>
      <w:r w:rsidR="00C33F70" w:rsidRPr="00282AC9">
        <w:rPr>
          <w:rFonts w:hint="cs"/>
          <w:sz w:val="27"/>
          <w:rtl/>
        </w:rPr>
        <w:t>ٍ</w:t>
      </w:r>
      <w:r w:rsidRPr="00282AC9">
        <w:rPr>
          <w:rFonts w:hint="cs"/>
          <w:sz w:val="27"/>
          <w:rtl/>
        </w:rPr>
        <w:t xml:space="preserve"> خاص</w:t>
      </w:r>
      <w:r w:rsidR="00C33F70" w:rsidRPr="00282AC9">
        <w:rPr>
          <w:rFonts w:hint="cs"/>
          <w:sz w:val="27"/>
          <w:rtl/>
        </w:rPr>
        <w:t>ّ</w:t>
      </w:r>
      <w:r w:rsidRPr="00282AC9">
        <w:rPr>
          <w:rFonts w:hint="cs"/>
          <w:sz w:val="27"/>
          <w:rtl/>
        </w:rPr>
        <w:t>، حت</w:t>
      </w:r>
      <w:r w:rsidR="00C33F70" w:rsidRPr="00282AC9">
        <w:rPr>
          <w:rFonts w:hint="cs"/>
          <w:sz w:val="27"/>
          <w:rtl/>
        </w:rPr>
        <w:t>ّ</w:t>
      </w:r>
      <w:r w:rsidRPr="00282AC9">
        <w:rPr>
          <w:rFonts w:hint="cs"/>
          <w:sz w:val="27"/>
          <w:rtl/>
        </w:rPr>
        <w:t>ى تكر</w:t>
      </w:r>
      <w:r w:rsidR="00377C09" w:rsidRPr="00282AC9">
        <w:rPr>
          <w:rFonts w:hint="cs"/>
          <w:sz w:val="27"/>
          <w:rtl/>
        </w:rPr>
        <w:t>َّ</w:t>
      </w:r>
      <w:r w:rsidRPr="00282AC9">
        <w:rPr>
          <w:rFonts w:hint="cs"/>
          <w:sz w:val="27"/>
          <w:rtl/>
        </w:rPr>
        <w:t>ر</w:t>
      </w:r>
      <w:r w:rsidR="00377C09" w:rsidRPr="00282AC9">
        <w:rPr>
          <w:rFonts w:hint="cs"/>
          <w:sz w:val="27"/>
          <w:rtl/>
        </w:rPr>
        <w:t>َ</w:t>
      </w:r>
      <w:r w:rsidRPr="00282AC9">
        <w:rPr>
          <w:rFonts w:hint="cs"/>
          <w:sz w:val="27"/>
          <w:rtl/>
        </w:rPr>
        <w:t>ت</w:t>
      </w:r>
      <w:r w:rsidR="00377C09" w:rsidRPr="00282AC9">
        <w:rPr>
          <w:rFonts w:hint="cs"/>
          <w:sz w:val="27"/>
          <w:rtl/>
        </w:rPr>
        <w:t>ْ</w:t>
      </w:r>
      <w:r w:rsidRPr="00282AC9">
        <w:rPr>
          <w:rFonts w:hint="cs"/>
          <w:sz w:val="27"/>
          <w:rtl/>
        </w:rPr>
        <w:t xml:space="preserve"> مفردة التوبة ومشتق</w:t>
      </w:r>
      <w:r w:rsidR="00377C09" w:rsidRPr="00282AC9">
        <w:rPr>
          <w:rFonts w:hint="cs"/>
          <w:sz w:val="27"/>
          <w:rtl/>
        </w:rPr>
        <w:t>ّ</w:t>
      </w:r>
      <w:r w:rsidRPr="00282AC9">
        <w:rPr>
          <w:rFonts w:hint="cs"/>
          <w:sz w:val="27"/>
          <w:rtl/>
        </w:rPr>
        <w:t>اتها في القرآن 92 مرّة، كما تكر</w:t>
      </w:r>
      <w:r w:rsidR="00377C09" w:rsidRPr="00282AC9">
        <w:rPr>
          <w:rFonts w:hint="cs"/>
          <w:sz w:val="27"/>
          <w:rtl/>
        </w:rPr>
        <w:t>ّ</w:t>
      </w:r>
      <w:r w:rsidRPr="00282AC9">
        <w:rPr>
          <w:rFonts w:hint="cs"/>
          <w:sz w:val="27"/>
          <w:rtl/>
        </w:rPr>
        <w:t>رت كلمة الاستغفار ومشتق</w:t>
      </w:r>
      <w:r w:rsidR="00377C09" w:rsidRPr="00282AC9">
        <w:rPr>
          <w:rFonts w:hint="cs"/>
          <w:sz w:val="27"/>
          <w:rtl/>
        </w:rPr>
        <w:t>ّ</w:t>
      </w:r>
      <w:r w:rsidRPr="00282AC9">
        <w:rPr>
          <w:rFonts w:hint="cs"/>
          <w:sz w:val="27"/>
          <w:rtl/>
        </w:rPr>
        <w:t xml:space="preserve">اتها 45 مرّة. وقد تمّ اعتبار التوبة في الحقوق الجزائية للإسلام </w:t>
      </w:r>
      <w:r w:rsidR="00377C09" w:rsidRPr="00282AC9">
        <w:rPr>
          <w:rFonts w:hint="cs"/>
          <w:sz w:val="27"/>
          <w:rtl/>
        </w:rPr>
        <w:t>إحدى</w:t>
      </w:r>
      <w:r w:rsidRPr="00282AC9">
        <w:rPr>
          <w:rFonts w:hint="cs"/>
          <w:sz w:val="27"/>
          <w:rtl/>
        </w:rPr>
        <w:t xml:space="preserve"> موارد سقوط العقاب، ويتم</w:t>
      </w:r>
      <w:r w:rsidR="00377C09" w:rsidRPr="00282AC9">
        <w:rPr>
          <w:rFonts w:hint="cs"/>
          <w:sz w:val="27"/>
          <w:rtl/>
        </w:rPr>
        <w:t>ّ</w:t>
      </w:r>
      <w:r w:rsidRPr="00282AC9">
        <w:rPr>
          <w:rFonts w:hint="cs"/>
          <w:sz w:val="27"/>
          <w:rtl/>
        </w:rPr>
        <w:t xml:space="preserve"> بيانها بوصفها تأسيساً حقوقي</w:t>
      </w:r>
      <w:r w:rsidR="008E0DBB" w:rsidRPr="00282AC9">
        <w:rPr>
          <w:rFonts w:hint="cs"/>
          <w:sz w:val="27"/>
          <w:rtl/>
        </w:rPr>
        <w:t>ّ</w:t>
      </w:r>
      <w:r w:rsidRPr="00282AC9">
        <w:rPr>
          <w:rFonts w:hint="cs"/>
          <w:sz w:val="27"/>
          <w:rtl/>
        </w:rPr>
        <w:t>اً. وقد بحث الفقهاء آثارها الحقوقية في ضوء الآيات والروايات.</w:t>
      </w:r>
    </w:p>
    <w:p w:rsidR="005A1BD7" w:rsidRPr="00282AC9" w:rsidRDefault="005A1BD7" w:rsidP="00C75E73">
      <w:pPr>
        <w:rPr>
          <w:sz w:val="27"/>
          <w:rtl/>
        </w:rPr>
      </w:pPr>
      <w:r w:rsidRPr="00282AC9">
        <w:rPr>
          <w:rFonts w:hint="cs"/>
          <w:sz w:val="27"/>
          <w:rtl/>
        </w:rPr>
        <w:t>والتوبة لغة</w:t>
      </w:r>
      <w:r w:rsidR="008E0DBB" w:rsidRPr="00282AC9">
        <w:rPr>
          <w:rFonts w:hint="cs"/>
          <w:sz w:val="27"/>
          <w:rtl/>
        </w:rPr>
        <w:t>ً</w:t>
      </w:r>
      <w:r w:rsidRPr="00282AC9">
        <w:rPr>
          <w:rFonts w:hint="cs"/>
          <w:sz w:val="27"/>
          <w:rtl/>
        </w:rPr>
        <w:t xml:space="preserve"> من مادة </w:t>
      </w:r>
      <w:r w:rsidRPr="00282AC9">
        <w:rPr>
          <w:rFonts w:hint="eastAsia"/>
          <w:sz w:val="24"/>
          <w:szCs w:val="24"/>
          <w:rtl/>
        </w:rPr>
        <w:t>«</w:t>
      </w:r>
      <w:r w:rsidRPr="00282AC9">
        <w:rPr>
          <w:rFonts w:hint="cs"/>
          <w:sz w:val="27"/>
          <w:rtl/>
        </w:rPr>
        <w:t>تَوَبَ</w:t>
      </w:r>
      <w:r w:rsidRPr="00282AC9">
        <w:rPr>
          <w:rFonts w:hint="eastAsia"/>
          <w:sz w:val="24"/>
          <w:szCs w:val="24"/>
          <w:rtl/>
        </w:rPr>
        <w:t>»</w:t>
      </w:r>
      <w:r w:rsidR="008E0DBB" w:rsidRPr="00282AC9">
        <w:rPr>
          <w:rFonts w:hint="cs"/>
          <w:sz w:val="27"/>
          <w:rtl/>
        </w:rPr>
        <w:t>،</w:t>
      </w:r>
      <w:r w:rsidRPr="00282AC9">
        <w:rPr>
          <w:rFonts w:hint="cs"/>
          <w:sz w:val="27"/>
          <w:rtl/>
        </w:rPr>
        <w:t xml:space="preserve"> بمعنى العودة والرجوع. قال صاحب (مقاييس اللغة): </w:t>
      </w:r>
      <w:r w:rsidRPr="00282AC9">
        <w:rPr>
          <w:rFonts w:hint="eastAsia"/>
          <w:sz w:val="24"/>
          <w:szCs w:val="24"/>
          <w:rtl/>
        </w:rPr>
        <w:t>«</w:t>
      </w:r>
      <w:r w:rsidRPr="00282AC9">
        <w:rPr>
          <w:rFonts w:hint="cs"/>
          <w:sz w:val="27"/>
          <w:rtl/>
        </w:rPr>
        <w:t>توب ـ التاء والواو والباء ـ كلمة</w:t>
      </w:r>
      <w:r w:rsidR="008E0DBB" w:rsidRPr="00282AC9">
        <w:rPr>
          <w:rFonts w:hint="cs"/>
          <w:sz w:val="27"/>
          <w:rtl/>
        </w:rPr>
        <w:t>ٌ</w:t>
      </w:r>
      <w:r w:rsidRPr="00282AC9">
        <w:rPr>
          <w:rFonts w:hint="cs"/>
          <w:sz w:val="27"/>
          <w:rtl/>
        </w:rPr>
        <w:t xml:space="preserve"> واحدة تدلّ </w:t>
      </w:r>
      <w:r w:rsidRPr="00282AC9">
        <w:rPr>
          <w:sz w:val="27"/>
          <w:rtl/>
        </w:rPr>
        <w:t>على الرجوع. ي</w:t>
      </w:r>
      <w:r w:rsidR="008E0DBB" w:rsidRPr="00282AC9">
        <w:rPr>
          <w:rFonts w:hint="cs"/>
          <w:sz w:val="27"/>
          <w:rtl/>
        </w:rPr>
        <w:t>ُ</w:t>
      </w:r>
      <w:r w:rsidRPr="00282AC9">
        <w:rPr>
          <w:sz w:val="27"/>
          <w:rtl/>
        </w:rPr>
        <w:t>قال</w:t>
      </w:r>
      <w:r w:rsidR="008E0DBB" w:rsidRPr="00282AC9">
        <w:rPr>
          <w:rFonts w:hint="cs"/>
          <w:sz w:val="27"/>
          <w:rtl/>
        </w:rPr>
        <w:t>:</w:t>
      </w:r>
      <w:r w:rsidRPr="00282AC9">
        <w:rPr>
          <w:sz w:val="27"/>
          <w:rtl/>
        </w:rPr>
        <w:t xml:space="preserve"> تاب من ذنبه، أي رجع عنه</w:t>
      </w:r>
      <w:r w:rsidRPr="00282AC9">
        <w:rPr>
          <w:rFonts w:hint="cs"/>
          <w:sz w:val="27"/>
          <w:rtl/>
        </w:rPr>
        <w:t>،</w:t>
      </w:r>
      <w:r w:rsidRPr="00282AC9">
        <w:rPr>
          <w:sz w:val="27"/>
          <w:rtl/>
        </w:rPr>
        <w:t xml:space="preserve"> يتوب إلى الله توبة ومتابا</w:t>
      </w:r>
      <w:r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239"/>
      </w:r>
      <w:r w:rsidRPr="00282AC9">
        <w:rPr>
          <w:sz w:val="27"/>
          <w:vertAlign w:val="superscript"/>
          <w:rtl/>
        </w:rPr>
        <w:t>)</w:t>
      </w:r>
      <w:r w:rsidRPr="00282AC9">
        <w:rPr>
          <w:rFonts w:hint="cs"/>
          <w:sz w:val="27"/>
          <w:rtl/>
        </w:rPr>
        <w:t>. وقال المحق</w:t>
      </w:r>
      <w:r w:rsidR="008E0DBB" w:rsidRPr="00282AC9">
        <w:rPr>
          <w:rFonts w:hint="cs"/>
          <w:sz w:val="27"/>
          <w:rtl/>
        </w:rPr>
        <w:t>ِّ</w:t>
      </w:r>
      <w:r w:rsidRPr="00282AC9">
        <w:rPr>
          <w:rFonts w:hint="cs"/>
          <w:sz w:val="27"/>
          <w:rtl/>
        </w:rPr>
        <w:t xml:space="preserve">ق الأردبيلي في كتاب (مجمع الفائدة والبرهان): </w:t>
      </w:r>
      <w:r w:rsidRPr="00282AC9">
        <w:rPr>
          <w:rFonts w:hint="eastAsia"/>
          <w:sz w:val="24"/>
          <w:szCs w:val="24"/>
          <w:rtl/>
        </w:rPr>
        <w:t>«</w:t>
      </w:r>
      <w:r w:rsidRPr="00282AC9">
        <w:rPr>
          <w:rFonts w:hint="cs"/>
          <w:sz w:val="27"/>
          <w:rtl/>
        </w:rPr>
        <w:t>التوبة هي الندامة والعزم على عدم الفعل؛ لكون الذنب قبيحاً ممنوعاً، وامتثالاً لأمر الله</w:t>
      </w:r>
      <w:r w:rsidR="008E0DBB" w:rsidRPr="00282AC9">
        <w:rPr>
          <w:rFonts w:hint="cs"/>
          <w:sz w:val="27"/>
          <w:rtl/>
        </w:rPr>
        <w:t>،</w:t>
      </w:r>
      <w:r w:rsidRPr="00282AC9">
        <w:rPr>
          <w:rFonts w:hint="cs"/>
          <w:sz w:val="27"/>
          <w:rtl/>
        </w:rPr>
        <w:t xml:space="preserve"> ولم يكن غير ذلك مقصوداً</w:t>
      </w:r>
      <w:r w:rsidRPr="00282AC9">
        <w:rPr>
          <w:rFonts w:hint="eastAsia"/>
          <w:sz w:val="24"/>
          <w:szCs w:val="24"/>
          <w:rtl/>
        </w:rPr>
        <w:t>»</w:t>
      </w:r>
      <w:r w:rsidRPr="00282AC9">
        <w:rPr>
          <w:sz w:val="27"/>
          <w:vertAlign w:val="superscript"/>
          <w:rtl/>
        </w:rPr>
        <w:t>(</w:t>
      </w:r>
      <w:r w:rsidRPr="00282AC9">
        <w:rPr>
          <w:rStyle w:val="af9"/>
          <w:sz w:val="27"/>
          <w:rtl/>
        </w:rPr>
        <w:endnoteReference w:id="240"/>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يُستفاد من هذا التعريف أمران:</w:t>
      </w:r>
    </w:p>
    <w:p w:rsidR="005A1BD7" w:rsidRPr="00282AC9" w:rsidRDefault="005A1BD7" w:rsidP="00C75E73">
      <w:pPr>
        <w:rPr>
          <w:sz w:val="27"/>
          <w:rtl/>
        </w:rPr>
      </w:pPr>
      <w:r w:rsidRPr="00282AC9">
        <w:rPr>
          <w:rFonts w:hint="cs"/>
          <w:sz w:val="27"/>
          <w:rtl/>
        </w:rPr>
        <w:t>1ـ الندم: توبة.</w:t>
      </w:r>
    </w:p>
    <w:p w:rsidR="008E0DBB" w:rsidRPr="00282AC9" w:rsidRDefault="005A1BD7" w:rsidP="00C75E73">
      <w:pPr>
        <w:rPr>
          <w:sz w:val="27"/>
          <w:rtl/>
        </w:rPr>
      </w:pPr>
      <w:r w:rsidRPr="00282AC9">
        <w:rPr>
          <w:rFonts w:hint="cs"/>
          <w:sz w:val="27"/>
          <w:rtl/>
        </w:rPr>
        <w:t>2ـ عدم الفعل (ترك المعصية) يجب أن يكون بسبب ق</w:t>
      </w:r>
      <w:r w:rsidR="008E0DBB" w:rsidRPr="00282AC9">
        <w:rPr>
          <w:rFonts w:hint="cs"/>
          <w:sz w:val="27"/>
          <w:rtl/>
        </w:rPr>
        <w:t>ُ</w:t>
      </w:r>
      <w:r w:rsidRPr="00282AC9">
        <w:rPr>
          <w:rFonts w:hint="cs"/>
          <w:sz w:val="27"/>
          <w:rtl/>
        </w:rPr>
        <w:t>ب</w:t>
      </w:r>
      <w:r w:rsidR="008E0DBB" w:rsidRPr="00282AC9">
        <w:rPr>
          <w:rFonts w:hint="cs"/>
          <w:sz w:val="27"/>
          <w:rtl/>
        </w:rPr>
        <w:t>ْ</w:t>
      </w:r>
      <w:r w:rsidRPr="00282AC9">
        <w:rPr>
          <w:rFonts w:hint="cs"/>
          <w:sz w:val="27"/>
          <w:rtl/>
        </w:rPr>
        <w:t>حه الشرعي</w:t>
      </w:r>
      <w:r w:rsidR="008E0DBB" w:rsidRPr="00282AC9">
        <w:rPr>
          <w:rFonts w:hint="cs"/>
          <w:sz w:val="27"/>
          <w:rtl/>
        </w:rPr>
        <w:t xml:space="preserve">، </w:t>
      </w:r>
      <w:r w:rsidRPr="00282AC9">
        <w:rPr>
          <w:rFonts w:hint="cs"/>
          <w:sz w:val="27"/>
          <w:rtl/>
        </w:rPr>
        <w:t xml:space="preserve">بمعنى أن </w:t>
      </w:r>
      <w:r w:rsidRPr="00282AC9">
        <w:rPr>
          <w:rFonts w:hint="cs"/>
          <w:sz w:val="27"/>
          <w:rtl/>
        </w:rPr>
        <w:lastRenderedPageBreak/>
        <w:t>عدم الفعل يجب أن لا يكون بسبب عدم القدرة عليه، وإنما لأنه ممنوع</w:t>
      </w:r>
      <w:r w:rsidR="008E0DBB" w:rsidRPr="00282AC9">
        <w:rPr>
          <w:rFonts w:hint="cs"/>
          <w:sz w:val="27"/>
          <w:rtl/>
        </w:rPr>
        <w:t>ٌ؛</w:t>
      </w:r>
      <w:r w:rsidRPr="00282AC9">
        <w:rPr>
          <w:rFonts w:hint="cs"/>
          <w:sz w:val="27"/>
          <w:rtl/>
        </w:rPr>
        <w:t xml:space="preserve"> أو لأنه قبيح</w:t>
      </w:r>
      <w:r w:rsidR="008E0DBB" w:rsidRPr="00282AC9">
        <w:rPr>
          <w:rFonts w:hint="cs"/>
          <w:sz w:val="27"/>
          <w:rtl/>
        </w:rPr>
        <w:t>ٌ</w:t>
      </w:r>
      <w:r w:rsidRPr="00282AC9">
        <w:rPr>
          <w:rFonts w:hint="cs"/>
          <w:sz w:val="27"/>
          <w:rtl/>
        </w:rPr>
        <w:t>.</w:t>
      </w:r>
    </w:p>
    <w:p w:rsidR="008E0DBB" w:rsidRPr="00282AC9" w:rsidRDefault="005A1BD7" w:rsidP="002971A0">
      <w:pPr>
        <w:rPr>
          <w:sz w:val="27"/>
          <w:rtl/>
        </w:rPr>
      </w:pPr>
      <w:r w:rsidRPr="00282AC9">
        <w:rPr>
          <w:rFonts w:hint="cs"/>
          <w:sz w:val="27"/>
          <w:rtl/>
        </w:rPr>
        <w:t>ومن هنا فإن مجرّد عدم الفعل لا يُع</w:t>
      </w:r>
      <w:r w:rsidR="008E0DBB" w:rsidRPr="00282AC9">
        <w:rPr>
          <w:rFonts w:hint="cs"/>
          <w:sz w:val="27"/>
          <w:rtl/>
        </w:rPr>
        <w:t>َ</w:t>
      </w:r>
      <w:r w:rsidRPr="00282AC9">
        <w:rPr>
          <w:rFonts w:hint="cs"/>
          <w:sz w:val="27"/>
          <w:rtl/>
        </w:rPr>
        <w:t>دّ توبة</w:t>
      </w:r>
      <w:r w:rsidR="008E0DBB" w:rsidRPr="00282AC9">
        <w:rPr>
          <w:rFonts w:hint="cs"/>
          <w:sz w:val="27"/>
          <w:rtl/>
        </w:rPr>
        <w:t>ً.</w:t>
      </w:r>
    </w:p>
    <w:p w:rsidR="005A1BD7" w:rsidRPr="00282AC9" w:rsidRDefault="005A1BD7" w:rsidP="002971A0">
      <w:pPr>
        <w:spacing w:line="418" w:lineRule="exact"/>
        <w:rPr>
          <w:sz w:val="27"/>
          <w:rtl/>
        </w:rPr>
      </w:pPr>
      <w:r w:rsidRPr="00282AC9">
        <w:rPr>
          <w:rFonts w:hint="cs"/>
          <w:sz w:val="27"/>
          <w:rtl/>
        </w:rPr>
        <w:t>وأما الشيخ البهائي فقد اشترط في تعريف التوبة ـ بالإضافة إلى الن</w:t>
      </w:r>
      <w:r w:rsidR="008E0DBB" w:rsidRPr="00282AC9">
        <w:rPr>
          <w:rFonts w:hint="cs"/>
          <w:sz w:val="27"/>
          <w:rtl/>
        </w:rPr>
        <w:t>َّ</w:t>
      </w:r>
      <w:r w:rsidRPr="00282AC9">
        <w:rPr>
          <w:rFonts w:hint="cs"/>
          <w:sz w:val="27"/>
          <w:rtl/>
        </w:rPr>
        <w:t>د</w:t>
      </w:r>
      <w:r w:rsidR="008E0DBB" w:rsidRPr="00282AC9">
        <w:rPr>
          <w:rFonts w:hint="cs"/>
          <w:sz w:val="27"/>
          <w:rtl/>
        </w:rPr>
        <w:t>َ</w:t>
      </w:r>
      <w:r w:rsidRPr="00282AC9">
        <w:rPr>
          <w:rFonts w:hint="cs"/>
          <w:sz w:val="27"/>
          <w:rtl/>
        </w:rPr>
        <w:t>م وعدم الفعل</w:t>
      </w:r>
      <w:r w:rsidR="008E0DBB" w:rsidRPr="00282AC9">
        <w:rPr>
          <w:rFonts w:hint="cs"/>
          <w:sz w:val="27"/>
          <w:rtl/>
        </w:rPr>
        <w:t>؛</w:t>
      </w:r>
      <w:r w:rsidRPr="00282AC9">
        <w:rPr>
          <w:rFonts w:hint="cs"/>
          <w:sz w:val="27"/>
          <w:rtl/>
        </w:rPr>
        <w:t xml:space="preserve"> بسبب قبحه الشرعي ـ عقد الع</w:t>
      </w:r>
      <w:r w:rsidR="008E0DBB" w:rsidRPr="00282AC9">
        <w:rPr>
          <w:rFonts w:hint="cs"/>
          <w:sz w:val="27"/>
          <w:rtl/>
        </w:rPr>
        <w:t>َ</w:t>
      </w:r>
      <w:r w:rsidRPr="00282AC9">
        <w:rPr>
          <w:rFonts w:hint="cs"/>
          <w:sz w:val="27"/>
          <w:rtl/>
        </w:rPr>
        <w:t>ز</w:t>
      </w:r>
      <w:r w:rsidR="008E0DBB" w:rsidRPr="00282AC9">
        <w:rPr>
          <w:rFonts w:hint="cs"/>
          <w:sz w:val="27"/>
          <w:rtl/>
        </w:rPr>
        <w:t>ْ</w:t>
      </w:r>
      <w:r w:rsidRPr="00282AC9">
        <w:rPr>
          <w:rFonts w:hint="cs"/>
          <w:sz w:val="27"/>
          <w:rtl/>
        </w:rPr>
        <w:t>م الأبدي</w:t>
      </w:r>
      <w:r w:rsidR="008E0DBB" w:rsidRPr="00282AC9">
        <w:rPr>
          <w:rFonts w:hint="cs"/>
          <w:sz w:val="27"/>
          <w:rtl/>
        </w:rPr>
        <w:t>ّ</w:t>
      </w:r>
      <w:r w:rsidRPr="00282AC9">
        <w:rPr>
          <w:rFonts w:hint="cs"/>
          <w:sz w:val="27"/>
          <w:rtl/>
        </w:rPr>
        <w:t xml:space="preserve"> على ترك العودة إلى الذنب والمعصية أيضاً</w:t>
      </w:r>
      <w:r w:rsidRPr="00282AC9">
        <w:rPr>
          <w:sz w:val="27"/>
          <w:vertAlign w:val="superscript"/>
          <w:rtl/>
        </w:rPr>
        <w:t>(</w:t>
      </w:r>
      <w:r w:rsidRPr="00282AC9">
        <w:rPr>
          <w:rStyle w:val="af9"/>
          <w:sz w:val="27"/>
          <w:rtl/>
        </w:rPr>
        <w:endnoteReference w:id="241"/>
      </w:r>
      <w:r w:rsidRPr="00282AC9">
        <w:rPr>
          <w:sz w:val="27"/>
          <w:vertAlign w:val="superscript"/>
          <w:rtl/>
        </w:rPr>
        <w:t>)</w:t>
      </w:r>
      <w:r w:rsidRPr="00282AC9">
        <w:rPr>
          <w:rFonts w:hint="cs"/>
          <w:sz w:val="27"/>
          <w:rtl/>
        </w:rPr>
        <w:t xml:space="preserve">. </w:t>
      </w:r>
    </w:p>
    <w:p w:rsidR="008E0DBB" w:rsidRPr="00282AC9" w:rsidRDefault="005A1BD7" w:rsidP="002971A0">
      <w:pPr>
        <w:spacing w:line="418" w:lineRule="exact"/>
        <w:rPr>
          <w:sz w:val="27"/>
          <w:rtl/>
        </w:rPr>
      </w:pPr>
      <w:r w:rsidRPr="00282AC9">
        <w:rPr>
          <w:rFonts w:hint="cs"/>
          <w:sz w:val="27"/>
          <w:rtl/>
        </w:rPr>
        <w:t>وعليه فإن التوبة تعني العودة من الذنب والأعمال الإجرامية، والن</w:t>
      </w:r>
      <w:r w:rsidR="008E0DBB" w:rsidRPr="00282AC9">
        <w:rPr>
          <w:rFonts w:hint="cs"/>
          <w:sz w:val="27"/>
          <w:rtl/>
        </w:rPr>
        <w:t>َّ</w:t>
      </w:r>
      <w:r w:rsidRPr="00282AC9">
        <w:rPr>
          <w:rFonts w:hint="cs"/>
          <w:sz w:val="27"/>
          <w:rtl/>
        </w:rPr>
        <w:t>د</w:t>
      </w:r>
      <w:r w:rsidR="008E0DBB" w:rsidRPr="00282AC9">
        <w:rPr>
          <w:rFonts w:hint="cs"/>
          <w:sz w:val="27"/>
          <w:rtl/>
        </w:rPr>
        <w:t>َ</w:t>
      </w:r>
      <w:r w:rsidRPr="00282AC9">
        <w:rPr>
          <w:rFonts w:hint="cs"/>
          <w:sz w:val="27"/>
          <w:rtl/>
        </w:rPr>
        <w:t>م عن الأعمال الماضية، والس</w:t>
      </w:r>
      <w:r w:rsidR="008E0DBB" w:rsidRPr="00282AC9">
        <w:rPr>
          <w:rFonts w:hint="cs"/>
          <w:sz w:val="27"/>
          <w:rtl/>
        </w:rPr>
        <w:t>َّ</w:t>
      </w:r>
      <w:r w:rsidRPr="00282AC9">
        <w:rPr>
          <w:rFonts w:hint="cs"/>
          <w:sz w:val="27"/>
          <w:rtl/>
        </w:rPr>
        <w:t>ع</w:t>
      </w:r>
      <w:r w:rsidR="008E0DBB" w:rsidRPr="00282AC9">
        <w:rPr>
          <w:rFonts w:hint="cs"/>
          <w:sz w:val="27"/>
          <w:rtl/>
        </w:rPr>
        <w:t>ْ</w:t>
      </w:r>
      <w:r w:rsidRPr="00282AC9">
        <w:rPr>
          <w:rFonts w:hint="cs"/>
          <w:sz w:val="27"/>
          <w:rtl/>
        </w:rPr>
        <w:t>ي إلى القيام بالأعمال الصحيحة والح</w:t>
      </w:r>
      <w:r w:rsidR="008E0DBB" w:rsidRPr="00282AC9">
        <w:rPr>
          <w:rFonts w:hint="cs"/>
          <w:sz w:val="27"/>
          <w:rtl/>
        </w:rPr>
        <w:t>َ</w:t>
      </w:r>
      <w:r w:rsidRPr="00282AC9">
        <w:rPr>
          <w:rFonts w:hint="cs"/>
          <w:sz w:val="27"/>
          <w:rtl/>
        </w:rPr>
        <w:t>س</w:t>
      </w:r>
      <w:r w:rsidR="008E0DBB" w:rsidRPr="00282AC9">
        <w:rPr>
          <w:rFonts w:hint="cs"/>
          <w:sz w:val="27"/>
          <w:rtl/>
        </w:rPr>
        <w:t>َ</w:t>
      </w:r>
      <w:r w:rsidRPr="00282AC9">
        <w:rPr>
          <w:rFonts w:hint="cs"/>
          <w:sz w:val="27"/>
          <w:rtl/>
        </w:rPr>
        <w:t>نة، وعدم تكرار الأخطاء السابقة</w:t>
      </w:r>
      <w:r w:rsidRPr="00282AC9">
        <w:rPr>
          <w:sz w:val="27"/>
          <w:vertAlign w:val="superscript"/>
          <w:rtl/>
        </w:rPr>
        <w:t>(</w:t>
      </w:r>
      <w:r w:rsidRPr="00282AC9">
        <w:rPr>
          <w:rStyle w:val="af9"/>
          <w:sz w:val="27"/>
          <w:rtl/>
        </w:rPr>
        <w:endnoteReference w:id="242"/>
      </w:r>
      <w:r w:rsidRPr="00282AC9">
        <w:rPr>
          <w:sz w:val="27"/>
          <w:vertAlign w:val="superscript"/>
          <w:rtl/>
        </w:rPr>
        <w:t>)</w:t>
      </w:r>
      <w:r w:rsidR="008E0DBB" w:rsidRPr="00282AC9">
        <w:rPr>
          <w:rFonts w:hint="cs"/>
          <w:sz w:val="27"/>
          <w:rtl/>
        </w:rPr>
        <w:t>.</w:t>
      </w:r>
    </w:p>
    <w:p w:rsidR="005A1BD7" w:rsidRPr="00282AC9" w:rsidRDefault="005A1BD7" w:rsidP="002971A0">
      <w:pPr>
        <w:spacing w:line="418" w:lineRule="exact"/>
        <w:rPr>
          <w:sz w:val="27"/>
          <w:rtl/>
        </w:rPr>
      </w:pPr>
      <w:r w:rsidRPr="00282AC9">
        <w:rPr>
          <w:rFonts w:hint="cs"/>
          <w:sz w:val="27"/>
          <w:rtl/>
        </w:rPr>
        <w:t>وعلى هذا الأساس فإن التوبة تقوم على ثلاثة عناصر، وهي: الن</w:t>
      </w:r>
      <w:r w:rsidR="008E0DBB" w:rsidRPr="00282AC9">
        <w:rPr>
          <w:rFonts w:hint="cs"/>
          <w:sz w:val="27"/>
          <w:rtl/>
        </w:rPr>
        <w:t>َّ</w:t>
      </w:r>
      <w:r w:rsidRPr="00282AC9">
        <w:rPr>
          <w:rFonts w:hint="cs"/>
          <w:sz w:val="27"/>
          <w:rtl/>
        </w:rPr>
        <w:t>د</w:t>
      </w:r>
      <w:r w:rsidR="008E0DBB" w:rsidRPr="00282AC9">
        <w:rPr>
          <w:rFonts w:hint="cs"/>
          <w:sz w:val="27"/>
          <w:rtl/>
        </w:rPr>
        <w:t>َ</w:t>
      </w:r>
      <w:r w:rsidRPr="00282AC9">
        <w:rPr>
          <w:rFonts w:hint="cs"/>
          <w:sz w:val="27"/>
          <w:rtl/>
        </w:rPr>
        <w:t>م، والاعتذار، وعدم الع</w:t>
      </w:r>
      <w:r w:rsidR="008E0DBB" w:rsidRPr="00282AC9">
        <w:rPr>
          <w:rFonts w:hint="cs"/>
          <w:sz w:val="27"/>
          <w:rtl/>
        </w:rPr>
        <w:t>َ</w:t>
      </w:r>
      <w:r w:rsidRPr="00282AC9">
        <w:rPr>
          <w:rFonts w:hint="cs"/>
          <w:sz w:val="27"/>
          <w:rtl/>
        </w:rPr>
        <w:t>و</w:t>
      </w:r>
      <w:r w:rsidR="008E0DBB" w:rsidRPr="00282AC9">
        <w:rPr>
          <w:rFonts w:hint="cs"/>
          <w:sz w:val="27"/>
          <w:rtl/>
        </w:rPr>
        <w:t>ْ</w:t>
      </w:r>
      <w:r w:rsidRPr="00282AC9">
        <w:rPr>
          <w:rFonts w:hint="cs"/>
          <w:sz w:val="27"/>
          <w:rtl/>
        </w:rPr>
        <w:t>دة إلى الذنوب السابقة.</w:t>
      </w:r>
    </w:p>
    <w:p w:rsidR="005A1BD7" w:rsidRPr="00282AC9" w:rsidRDefault="005A1BD7" w:rsidP="002971A0">
      <w:pPr>
        <w:spacing w:line="418" w:lineRule="exact"/>
        <w:rPr>
          <w:sz w:val="27"/>
          <w:rtl/>
        </w:rPr>
      </w:pPr>
      <w:r w:rsidRPr="00282AC9">
        <w:rPr>
          <w:rFonts w:hint="cs"/>
          <w:sz w:val="27"/>
          <w:rtl/>
        </w:rPr>
        <w:t>إن التوبة أمر</w:t>
      </w:r>
      <w:r w:rsidR="008E0DBB" w:rsidRPr="00282AC9">
        <w:rPr>
          <w:rFonts w:hint="cs"/>
          <w:sz w:val="27"/>
          <w:rtl/>
        </w:rPr>
        <w:t>ٌ</w:t>
      </w:r>
      <w:r w:rsidRPr="00282AC9">
        <w:rPr>
          <w:rFonts w:hint="cs"/>
          <w:sz w:val="27"/>
          <w:rtl/>
        </w:rPr>
        <w:t xml:space="preserve"> يستدعي م</w:t>
      </w:r>
      <w:r w:rsidR="008E0DBB" w:rsidRPr="00282AC9">
        <w:rPr>
          <w:rFonts w:hint="cs"/>
          <w:sz w:val="27"/>
          <w:rtl/>
        </w:rPr>
        <w:t>َ</w:t>
      </w:r>
      <w:r w:rsidRPr="00282AC9">
        <w:rPr>
          <w:rFonts w:hint="cs"/>
          <w:sz w:val="27"/>
          <w:rtl/>
        </w:rPr>
        <w:t>ح</w:t>
      </w:r>
      <w:r w:rsidR="008E0DBB" w:rsidRPr="00282AC9">
        <w:rPr>
          <w:rFonts w:hint="cs"/>
          <w:sz w:val="27"/>
          <w:rtl/>
        </w:rPr>
        <w:t>ْ</w:t>
      </w:r>
      <w:r w:rsidRPr="00282AC9">
        <w:rPr>
          <w:rFonts w:hint="cs"/>
          <w:sz w:val="27"/>
          <w:rtl/>
        </w:rPr>
        <w:t>و جميع الآثار المشؤومة المترت</w:t>
      </w:r>
      <w:r w:rsidR="008E0DBB" w:rsidRPr="00282AC9">
        <w:rPr>
          <w:rFonts w:hint="cs"/>
          <w:sz w:val="27"/>
          <w:rtl/>
        </w:rPr>
        <w:t>ِّ</w:t>
      </w:r>
      <w:r w:rsidRPr="00282AC9">
        <w:rPr>
          <w:rFonts w:hint="cs"/>
          <w:sz w:val="27"/>
          <w:rtl/>
        </w:rPr>
        <w:t>بة على الذنوب والمعاصي، ويحلّ محل</w:t>
      </w:r>
      <w:r w:rsidR="008E0DBB" w:rsidRPr="00282AC9">
        <w:rPr>
          <w:rFonts w:hint="cs"/>
          <w:sz w:val="27"/>
          <w:rtl/>
        </w:rPr>
        <w:t>َّ</w:t>
      </w:r>
      <w:r w:rsidRPr="00282AC9">
        <w:rPr>
          <w:rFonts w:hint="cs"/>
          <w:sz w:val="27"/>
          <w:rtl/>
        </w:rPr>
        <w:t>ها ضمير</w:t>
      </w:r>
      <w:r w:rsidR="008E0DBB" w:rsidRPr="00282AC9">
        <w:rPr>
          <w:rFonts w:hint="cs"/>
          <w:sz w:val="27"/>
          <w:rtl/>
        </w:rPr>
        <w:t>ٌ</w:t>
      </w:r>
      <w:r w:rsidRPr="00282AC9">
        <w:rPr>
          <w:rFonts w:hint="cs"/>
          <w:sz w:val="27"/>
          <w:rtl/>
        </w:rPr>
        <w:t xml:space="preserve"> طاهر</w:t>
      </w:r>
      <w:r w:rsidR="008E0DBB" w:rsidRPr="00282AC9">
        <w:rPr>
          <w:rFonts w:hint="cs"/>
          <w:sz w:val="27"/>
          <w:rtl/>
        </w:rPr>
        <w:t>،</w:t>
      </w:r>
      <w:r w:rsidRPr="00282AC9">
        <w:rPr>
          <w:rFonts w:hint="cs"/>
          <w:sz w:val="27"/>
          <w:rtl/>
        </w:rPr>
        <w:t xml:space="preserve"> ونفس</w:t>
      </w:r>
      <w:r w:rsidR="008E0DBB" w:rsidRPr="00282AC9">
        <w:rPr>
          <w:rFonts w:hint="cs"/>
          <w:sz w:val="27"/>
          <w:rtl/>
        </w:rPr>
        <w:t>ٌ</w:t>
      </w:r>
      <w:r w:rsidRPr="00282AC9">
        <w:rPr>
          <w:rFonts w:hint="cs"/>
          <w:sz w:val="27"/>
          <w:rtl/>
        </w:rPr>
        <w:t xml:space="preserve"> مطمئن</w:t>
      </w:r>
      <w:r w:rsidR="008E0DBB" w:rsidRPr="00282AC9">
        <w:rPr>
          <w:rFonts w:hint="cs"/>
          <w:sz w:val="27"/>
          <w:rtl/>
        </w:rPr>
        <w:t>ّ</w:t>
      </w:r>
      <w:r w:rsidRPr="00282AC9">
        <w:rPr>
          <w:rFonts w:hint="cs"/>
          <w:sz w:val="27"/>
          <w:rtl/>
        </w:rPr>
        <w:t xml:space="preserve">ة. وفي ذلك يقول الله تعالى في القرآن الكريم: </w:t>
      </w:r>
      <w:r w:rsidR="00C5291F" w:rsidRPr="00282AC9">
        <w:rPr>
          <w:rFonts w:ascii="Mosawi" w:hAnsi="Mosawi" w:cs="Mosawi"/>
          <w:sz w:val="24"/>
          <w:szCs w:val="24"/>
          <w:rtl/>
        </w:rPr>
        <w:t>﴿</w:t>
      </w:r>
      <w:r w:rsidRPr="00282AC9">
        <w:rPr>
          <w:b/>
          <w:bCs/>
          <w:sz w:val="27"/>
          <w:rtl/>
        </w:rPr>
        <w:t>إِلا</w:t>
      </w:r>
      <w:r w:rsidRPr="00282AC9">
        <w:rPr>
          <w:rFonts w:hint="cs"/>
          <w:b/>
          <w:bCs/>
          <w:sz w:val="27"/>
          <w:rtl/>
        </w:rPr>
        <w:t>َّ</w:t>
      </w:r>
      <w:r w:rsidRPr="00282AC9">
        <w:rPr>
          <w:b/>
          <w:bCs/>
          <w:sz w:val="27"/>
          <w:rtl/>
        </w:rPr>
        <w:t xml:space="preserve"> مَنْ تَابَ وَآمَنَ وَعَمِلَ عَمَلاً صَالِحاً فَأُولَئِكَ يُبَدِّلُ </w:t>
      </w:r>
      <w:r w:rsidR="006D28AF" w:rsidRPr="00282AC9">
        <w:rPr>
          <w:b/>
          <w:bCs/>
          <w:sz w:val="27"/>
          <w:rtl/>
        </w:rPr>
        <w:t>الل</w:t>
      </w:r>
      <w:r w:rsidRPr="00282AC9">
        <w:rPr>
          <w:b/>
          <w:bCs/>
          <w:sz w:val="27"/>
          <w:rtl/>
        </w:rPr>
        <w:t>هُ سَيِّئَاتِهِمْ حَسَنَاتٍ</w:t>
      </w:r>
      <w:r w:rsidRPr="00282AC9">
        <w:rPr>
          <w:rFonts w:hint="cs"/>
          <w:b/>
          <w:bCs/>
          <w:sz w:val="27"/>
          <w:rtl/>
        </w:rPr>
        <w:t>...</w:t>
      </w:r>
      <w:r w:rsidR="00C5291F" w:rsidRPr="00282AC9">
        <w:rPr>
          <w:rFonts w:ascii="Mosawi" w:hAnsi="Mosawi" w:cs="Mosawi"/>
          <w:sz w:val="24"/>
          <w:szCs w:val="24"/>
          <w:rtl/>
        </w:rPr>
        <w:t>﴾</w:t>
      </w:r>
      <w:r w:rsidRPr="00282AC9">
        <w:rPr>
          <w:rFonts w:hint="cs"/>
          <w:sz w:val="27"/>
          <w:rtl/>
        </w:rPr>
        <w:t xml:space="preserve"> (الفرقان: 70).</w:t>
      </w:r>
    </w:p>
    <w:p w:rsidR="008E0DBB" w:rsidRPr="00282AC9" w:rsidRDefault="005A1BD7" w:rsidP="002971A0">
      <w:pPr>
        <w:rPr>
          <w:sz w:val="27"/>
          <w:rtl/>
        </w:rPr>
      </w:pPr>
      <w:r w:rsidRPr="00282AC9">
        <w:rPr>
          <w:rFonts w:hint="cs"/>
          <w:sz w:val="27"/>
          <w:rtl/>
        </w:rPr>
        <w:t>وقال رسول الله</w:t>
      </w:r>
      <w:r w:rsidR="009A2A04" w:rsidRPr="00282AC9">
        <w:rPr>
          <w:rFonts w:cs="Mosawi" w:hint="cs"/>
          <w:sz w:val="22"/>
          <w:szCs w:val="22"/>
          <w:rtl/>
        </w:rPr>
        <w:t>|</w:t>
      </w:r>
      <w:r w:rsidRPr="00282AC9">
        <w:rPr>
          <w:rFonts w:hint="cs"/>
          <w:sz w:val="27"/>
          <w:rtl/>
        </w:rPr>
        <w:t xml:space="preserve">: </w:t>
      </w:r>
      <w:r w:rsidRPr="00282AC9">
        <w:rPr>
          <w:rFonts w:hint="eastAsia"/>
          <w:sz w:val="24"/>
          <w:szCs w:val="24"/>
          <w:rtl/>
        </w:rPr>
        <w:t>«</w:t>
      </w:r>
      <w:r w:rsidRPr="00282AC9">
        <w:rPr>
          <w:rFonts w:hint="cs"/>
          <w:sz w:val="27"/>
          <w:rtl/>
        </w:rPr>
        <w:t>الن</w:t>
      </w:r>
      <w:r w:rsidR="008E0DBB" w:rsidRPr="00282AC9">
        <w:rPr>
          <w:rFonts w:hint="cs"/>
          <w:sz w:val="27"/>
          <w:rtl/>
        </w:rPr>
        <w:t>َّ</w:t>
      </w:r>
      <w:r w:rsidRPr="00282AC9">
        <w:rPr>
          <w:rFonts w:hint="cs"/>
          <w:sz w:val="27"/>
          <w:rtl/>
        </w:rPr>
        <w:t>د</w:t>
      </w:r>
      <w:r w:rsidR="008E0DBB" w:rsidRPr="00282AC9">
        <w:rPr>
          <w:rFonts w:hint="cs"/>
          <w:sz w:val="27"/>
          <w:rtl/>
        </w:rPr>
        <w:t>َ</w:t>
      </w:r>
      <w:r w:rsidRPr="00282AC9">
        <w:rPr>
          <w:rFonts w:hint="cs"/>
          <w:sz w:val="27"/>
          <w:rtl/>
        </w:rPr>
        <w:t>م على الذنب توبة</w:t>
      </w:r>
      <w:r w:rsidR="008E0DBB"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243"/>
      </w:r>
      <w:r w:rsidRPr="00282AC9">
        <w:rPr>
          <w:sz w:val="27"/>
          <w:vertAlign w:val="superscript"/>
          <w:rtl/>
        </w:rPr>
        <w:t>)</w:t>
      </w:r>
      <w:r w:rsidR="008E0DBB" w:rsidRPr="00282AC9">
        <w:rPr>
          <w:rFonts w:hint="cs"/>
          <w:sz w:val="27"/>
          <w:rtl/>
        </w:rPr>
        <w:t>.</w:t>
      </w:r>
    </w:p>
    <w:p w:rsidR="005A1BD7" w:rsidRPr="00282AC9" w:rsidRDefault="005A1BD7" w:rsidP="002971A0">
      <w:pPr>
        <w:spacing w:line="418" w:lineRule="exact"/>
        <w:rPr>
          <w:sz w:val="27"/>
          <w:rtl/>
        </w:rPr>
      </w:pPr>
      <w:r w:rsidRPr="00282AC9">
        <w:rPr>
          <w:rFonts w:hint="cs"/>
          <w:sz w:val="27"/>
          <w:rtl/>
        </w:rPr>
        <w:t>وبعبارة</w:t>
      </w:r>
      <w:r w:rsidR="008E0DBB" w:rsidRPr="00282AC9">
        <w:rPr>
          <w:rFonts w:hint="cs"/>
          <w:sz w:val="27"/>
          <w:rtl/>
        </w:rPr>
        <w:t>ٍ</w:t>
      </w:r>
      <w:r w:rsidRPr="00282AC9">
        <w:rPr>
          <w:rFonts w:hint="cs"/>
          <w:sz w:val="27"/>
          <w:rtl/>
        </w:rPr>
        <w:t xml:space="preserve"> أخرى</w:t>
      </w:r>
      <w:r w:rsidR="008E0DBB" w:rsidRPr="00282AC9">
        <w:rPr>
          <w:rFonts w:hint="cs"/>
          <w:sz w:val="27"/>
          <w:rtl/>
        </w:rPr>
        <w:t>:</w:t>
      </w:r>
      <w:r w:rsidRPr="00282AC9">
        <w:rPr>
          <w:rFonts w:hint="cs"/>
          <w:sz w:val="27"/>
          <w:rtl/>
        </w:rPr>
        <w:t xml:space="preserve"> يمكن القول: إن التوبة الحقيقية تستتبع ندماً خاص</w:t>
      </w:r>
      <w:r w:rsidR="008E0DBB" w:rsidRPr="00282AC9">
        <w:rPr>
          <w:rFonts w:hint="cs"/>
          <w:sz w:val="27"/>
          <w:rtl/>
        </w:rPr>
        <w:t>ّاً</w:t>
      </w:r>
      <w:r w:rsidRPr="00282AC9">
        <w:rPr>
          <w:rFonts w:hint="cs"/>
          <w:sz w:val="27"/>
          <w:rtl/>
        </w:rPr>
        <w:t xml:space="preserve"> يحول دون تكرار الأعمال السابقة. </w:t>
      </w:r>
    </w:p>
    <w:p w:rsidR="005A1BD7" w:rsidRPr="00282AC9" w:rsidRDefault="005A1BD7" w:rsidP="002971A0">
      <w:pPr>
        <w:spacing w:line="418" w:lineRule="exact"/>
        <w:rPr>
          <w:sz w:val="27"/>
          <w:rtl/>
        </w:rPr>
      </w:pPr>
      <w:r w:rsidRPr="00282AC9">
        <w:rPr>
          <w:rFonts w:hint="cs"/>
          <w:sz w:val="27"/>
          <w:rtl/>
        </w:rPr>
        <w:t>وفي المأثور عن الإمام علي</w:t>
      </w:r>
      <w:r w:rsidR="00F13D55" w:rsidRPr="00282AC9">
        <w:rPr>
          <w:rFonts w:hint="cs"/>
          <w:sz w:val="27"/>
          <w:rtl/>
        </w:rPr>
        <w:t>ّ</w:t>
      </w:r>
      <w:r w:rsidR="009A2A04" w:rsidRPr="00282AC9">
        <w:rPr>
          <w:rFonts w:cs="Mosawi" w:hint="cs"/>
          <w:sz w:val="22"/>
          <w:szCs w:val="22"/>
          <w:rtl/>
        </w:rPr>
        <w:t>×</w:t>
      </w:r>
      <w:r w:rsidRPr="00282AC9">
        <w:rPr>
          <w:rFonts w:hint="cs"/>
          <w:sz w:val="27"/>
          <w:rtl/>
        </w:rPr>
        <w:t xml:space="preserve"> قال: </w:t>
      </w:r>
      <w:r w:rsidRPr="00282AC9">
        <w:rPr>
          <w:rFonts w:hint="eastAsia"/>
          <w:sz w:val="24"/>
          <w:szCs w:val="24"/>
          <w:rtl/>
        </w:rPr>
        <w:t>«</w:t>
      </w:r>
      <w:r w:rsidRPr="00282AC9">
        <w:rPr>
          <w:rFonts w:hint="cs"/>
          <w:sz w:val="27"/>
          <w:rtl/>
        </w:rPr>
        <w:t>الندم على الذنب يمنع عن معاودته</w:t>
      </w:r>
      <w:r w:rsidRPr="00282AC9">
        <w:rPr>
          <w:rFonts w:hint="eastAsia"/>
          <w:sz w:val="24"/>
          <w:szCs w:val="24"/>
          <w:rtl/>
        </w:rPr>
        <w:t>»</w:t>
      </w:r>
      <w:r w:rsidRPr="00282AC9">
        <w:rPr>
          <w:sz w:val="27"/>
          <w:vertAlign w:val="superscript"/>
          <w:rtl/>
        </w:rPr>
        <w:t>(</w:t>
      </w:r>
      <w:r w:rsidRPr="00282AC9">
        <w:rPr>
          <w:rStyle w:val="af9"/>
          <w:sz w:val="27"/>
          <w:rtl/>
        </w:rPr>
        <w:endnoteReference w:id="244"/>
      </w:r>
      <w:r w:rsidRPr="00282AC9">
        <w:rPr>
          <w:sz w:val="27"/>
          <w:vertAlign w:val="superscript"/>
          <w:rtl/>
        </w:rPr>
        <w:t>)</w:t>
      </w:r>
      <w:r w:rsidRPr="00282AC9">
        <w:rPr>
          <w:rFonts w:hint="cs"/>
          <w:sz w:val="27"/>
          <w:rtl/>
        </w:rPr>
        <w:t>.</w:t>
      </w:r>
    </w:p>
    <w:p w:rsidR="005A1BD7" w:rsidRPr="00282AC9" w:rsidRDefault="00F13D55" w:rsidP="002971A0">
      <w:pPr>
        <w:spacing w:line="418" w:lineRule="exact"/>
        <w:rPr>
          <w:sz w:val="27"/>
          <w:rtl/>
        </w:rPr>
      </w:pPr>
      <w:r w:rsidRPr="00282AC9">
        <w:rPr>
          <w:rFonts w:hint="cs"/>
          <w:sz w:val="27"/>
          <w:rtl/>
        </w:rPr>
        <w:t>و</w:t>
      </w:r>
      <w:r w:rsidR="005A1BD7" w:rsidRPr="00282AC9">
        <w:rPr>
          <w:rFonts w:hint="cs"/>
          <w:sz w:val="27"/>
          <w:rtl/>
        </w:rPr>
        <w:t xml:space="preserve">نسعى في هذه المقالة إلى بيان الإجابة عن الأسئلة </w:t>
      </w:r>
      <w:r w:rsidRPr="00282AC9">
        <w:rPr>
          <w:rFonts w:hint="cs"/>
          <w:sz w:val="27"/>
          <w:rtl/>
        </w:rPr>
        <w:t>التالية</w:t>
      </w:r>
      <w:r w:rsidR="005A1BD7" w:rsidRPr="00282AC9">
        <w:rPr>
          <w:rFonts w:hint="cs"/>
          <w:sz w:val="27"/>
          <w:rtl/>
        </w:rPr>
        <w:t>:</w:t>
      </w:r>
    </w:p>
    <w:p w:rsidR="005A1BD7" w:rsidRPr="00282AC9" w:rsidRDefault="00F13D55" w:rsidP="002971A0">
      <w:pPr>
        <w:spacing w:line="418" w:lineRule="exact"/>
        <w:rPr>
          <w:sz w:val="27"/>
          <w:rtl/>
        </w:rPr>
      </w:pPr>
      <w:r w:rsidRPr="00282AC9">
        <w:rPr>
          <w:rFonts w:hint="cs"/>
          <w:sz w:val="27"/>
          <w:rtl/>
        </w:rPr>
        <w:t>1</w:t>
      </w:r>
      <w:r w:rsidR="005A1BD7" w:rsidRPr="00282AC9">
        <w:rPr>
          <w:rFonts w:hint="cs"/>
          <w:sz w:val="27"/>
          <w:rtl/>
        </w:rPr>
        <w:t>ـ ما هي الآثار الفقهي</w:t>
      </w:r>
      <w:r w:rsidRPr="00282AC9">
        <w:rPr>
          <w:rFonts w:hint="cs"/>
          <w:sz w:val="27"/>
          <w:rtl/>
        </w:rPr>
        <w:t>ّ</w:t>
      </w:r>
      <w:r w:rsidR="005A1BD7" w:rsidRPr="00282AC9">
        <w:rPr>
          <w:rFonts w:hint="cs"/>
          <w:sz w:val="27"/>
          <w:rtl/>
        </w:rPr>
        <w:t>ة التي ترتفع عن المرتدّ بالتوبة؟</w:t>
      </w:r>
    </w:p>
    <w:p w:rsidR="005A1BD7" w:rsidRPr="00282AC9" w:rsidRDefault="00F13D55" w:rsidP="002971A0">
      <w:pPr>
        <w:spacing w:line="418" w:lineRule="exact"/>
        <w:rPr>
          <w:sz w:val="27"/>
          <w:rtl/>
        </w:rPr>
      </w:pPr>
      <w:r w:rsidRPr="00282AC9">
        <w:rPr>
          <w:rFonts w:hint="cs"/>
          <w:sz w:val="27"/>
          <w:rtl/>
        </w:rPr>
        <w:t>2</w:t>
      </w:r>
      <w:r w:rsidR="005A1BD7" w:rsidRPr="00282AC9">
        <w:rPr>
          <w:rFonts w:hint="cs"/>
          <w:sz w:val="27"/>
          <w:rtl/>
        </w:rPr>
        <w:t>ـ هل صحيح</w:t>
      </w:r>
      <w:r w:rsidRPr="00282AC9">
        <w:rPr>
          <w:rFonts w:hint="cs"/>
          <w:sz w:val="27"/>
          <w:rtl/>
        </w:rPr>
        <w:t>ٌ</w:t>
      </w:r>
      <w:r w:rsidR="005A1BD7" w:rsidRPr="00282AC9">
        <w:rPr>
          <w:rFonts w:hint="cs"/>
          <w:sz w:val="27"/>
          <w:rtl/>
        </w:rPr>
        <w:t xml:space="preserve"> ما قاله الكثير من الفقهاء بأن توبة المرتد</w:t>
      </w:r>
      <w:r w:rsidRPr="00282AC9">
        <w:rPr>
          <w:rFonts w:hint="cs"/>
          <w:sz w:val="27"/>
          <w:rtl/>
        </w:rPr>
        <w:t>ّ</w:t>
      </w:r>
      <w:r w:rsidR="005A1BD7" w:rsidRPr="00282AC9">
        <w:rPr>
          <w:rFonts w:hint="cs"/>
          <w:sz w:val="27"/>
          <w:rtl/>
        </w:rPr>
        <w:t xml:space="preserve"> لا تزيل حت</w:t>
      </w:r>
      <w:r w:rsidRPr="00282AC9">
        <w:rPr>
          <w:rFonts w:hint="cs"/>
          <w:sz w:val="27"/>
          <w:rtl/>
        </w:rPr>
        <w:t>ّ</w:t>
      </w:r>
      <w:r w:rsidR="005A1BD7" w:rsidRPr="00282AC9">
        <w:rPr>
          <w:rFonts w:hint="cs"/>
          <w:sz w:val="27"/>
          <w:rtl/>
        </w:rPr>
        <w:t>ى نج</w:t>
      </w:r>
      <w:r w:rsidRPr="00282AC9">
        <w:rPr>
          <w:rFonts w:hint="cs"/>
          <w:sz w:val="27"/>
          <w:rtl/>
        </w:rPr>
        <w:t>ا</w:t>
      </w:r>
      <w:r w:rsidR="005A1BD7" w:rsidRPr="00282AC9">
        <w:rPr>
          <w:rFonts w:hint="cs"/>
          <w:sz w:val="27"/>
          <w:rtl/>
        </w:rPr>
        <w:t>سته؟ و</w:t>
      </w:r>
      <w:r w:rsidRPr="00282AC9">
        <w:rPr>
          <w:rFonts w:hint="cs"/>
          <w:sz w:val="27"/>
          <w:rtl/>
        </w:rPr>
        <w:t>أ</w:t>
      </w:r>
      <w:r w:rsidR="005A1BD7" w:rsidRPr="00282AC9">
        <w:rPr>
          <w:rFonts w:hint="cs"/>
          <w:sz w:val="27"/>
          <w:rtl/>
        </w:rPr>
        <w:t>ن توبته لا ت</w:t>
      </w:r>
      <w:r w:rsidRPr="00282AC9">
        <w:rPr>
          <w:rFonts w:hint="cs"/>
          <w:sz w:val="27"/>
          <w:rtl/>
        </w:rPr>
        <w:t>ُ</w:t>
      </w:r>
      <w:r w:rsidR="005A1BD7" w:rsidRPr="00282AC9">
        <w:rPr>
          <w:rFonts w:hint="cs"/>
          <w:sz w:val="27"/>
          <w:rtl/>
        </w:rPr>
        <w:t>ق</w:t>
      </w:r>
      <w:r w:rsidRPr="00282AC9">
        <w:rPr>
          <w:rFonts w:hint="cs"/>
          <w:sz w:val="27"/>
          <w:rtl/>
        </w:rPr>
        <w:t>ْ</w:t>
      </w:r>
      <w:r w:rsidR="005A1BD7" w:rsidRPr="00282AC9">
        <w:rPr>
          <w:rFonts w:hint="cs"/>
          <w:sz w:val="27"/>
          <w:rtl/>
        </w:rPr>
        <w:t>ب</w:t>
      </w:r>
      <w:r w:rsidRPr="00282AC9">
        <w:rPr>
          <w:rFonts w:hint="cs"/>
          <w:sz w:val="27"/>
          <w:rtl/>
        </w:rPr>
        <w:t>َ</w:t>
      </w:r>
      <w:r w:rsidR="005A1BD7" w:rsidRPr="00282AC9">
        <w:rPr>
          <w:rFonts w:hint="cs"/>
          <w:sz w:val="27"/>
          <w:rtl/>
        </w:rPr>
        <w:t>ل حت</w:t>
      </w:r>
      <w:r w:rsidRPr="00282AC9">
        <w:rPr>
          <w:rFonts w:hint="cs"/>
          <w:sz w:val="27"/>
          <w:rtl/>
        </w:rPr>
        <w:t>ّ</w:t>
      </w:r>
      <w:r w:rsidR="005A1BD7" w:rsidRPr="00282AC9">
        <w:rPr>
          <w:rFonts w:hint="cs"/>
          <w:sz w:val="27"/>
          <w:rtl/>
        </w:rPr>
        <w:t>ى من ق</w:t>
      </w:r>
      <w:r w:rsidRPr="00282AC9">
        <w:rPr>
          <w:rFonts w:hint="cs"/>
          <w:sz w:val="27"/>
          <w:rtl/>
        </w:rPr>
        <w:t>ِ</w:t>
      </w:r>
      <w:r w:rsidR="005A1BD7" w:rsidRPr="00282AC9">
        <w:rPr>
          <w:rFonts w:hint="cs"/>
          <w:sz w:val="27"/>
          <w:rtl/>
        </w:rPr>
        <w:t>ب</w:t>
      </w:r>
      <w:r w:rsidRPr="00282AC9">
        <w:rPr>
          <w:rFonts w:hint="cs"/>
          <w:sz w:val="27"/>
          <w:rtl/>
        </w:rPr>
        <w:t>َ</w:t>
      </w:r>
      <w:r w:rsidR="005A1BD7" w:rsidRPr="00282AC9">
        <w:rPr>
          <w:rFonts w:hint="cs"/>
          <w:sz w:val="27"/>
          <w:rtl/>
        </w:rPr>
        <w:t>ل الله؟</w:t>
      </w:r>
    </w:p>
    <w:p w:rsidR="005A1BD7" w:rsidRPr="00282AC9" w:rsidRDefault="00F13D55" w:rsidP="002971A0">
      <w:pPr>
        <w:spacing w:line="418" w:lineRule="exact"/>
        <w:rPr>
          <w:sz w:val="27"/>
          <w:rtl/>
        </w:rPr>
      </w:pPr>
      <w:r w:rsidRPr="00282AC9">
        <w:rPr>
          <w:rFonts w:hint="cs"/>
          <w:sz w:val="27"/>
          <w:rtl/>
        </w:rPr>
        <w:t>3</w:t>
      </w:r>
      <w:r w:rsidR="005A1BD7" w:rsidRPr="00282AC9">
        <w:rPr>
          <w:rFonts w:hint="cs"/>
          <w:sz w:val="27"/>
          <w:rtl/>
        </w:rPr>
        <w:t>ـ لو تاب المرتد</w:t>
      </w:r>
      <w:r w:rsidRPr="00282AC9">
        <w:rPr>
          <w:rFonts w:hint="cs"/>
          <w:sz w:val="27"/>
          <w:rtl/>
        </w:rPr>
        <w:t>ّ</w:t>
      </w:r>
      <w:r w:rsidR="005A1BD7" w:rsidRPr="00282AC9">
        <w:rPr>
          <w:rFonts w:hint="cs"/>
          <w:sz w:val="27"/>
          <w:rtl/>
        </w:rPr>
        <w:t xml:space="preserve"> الفطري قبل إقامة البيّ</w:t>
      </w:r>
      <w:r w:rsidRPr="00282AC9">
        <w:rPr>
          <w:rFonts w:hint="cs"/>
          <w:sz w:val="27"/>
          <w:rtl/>
        </w:rPr>
        <w:t>ِ</w:t>
      </w:r>
      <w:r w:rsidR="005A1BD7" w:rsidRPr="00282AC9">
        <w:rPr>
          <w:rFonts w:hint="cs"/>
          <w:sz w:val="27"/>
          <w:rtl/>
        </w:rPr>
        <w:t>نة عليه، أو كان في دار الكفر ولم يُج</w:t>
      </w:r>
      <w:r w:rsidRPr="00282AC9">
        <w:rPr>
          <w:rFonts w:hint="cs"/>
          <w:sz w:val="27"/>
          <w:rtl/>
        </w:rPr>
        <w:t>ْ</w:t>
      </w:r>
      <w:r w:rsidR="005A1BD7" w:rsidRPr="00282AC9">
        <w:rPr>
          <w:rFonts w:hint="cs"/>
          <w:sz w:val="27"/>
          <w:rtl/>
        </w:rPr>
        <w:t>رَ عليه الحدّ وتاب هناك، فهل تُق</w:t>
      </w:r>
      <w:r w:rsidRPr="00282AC9">
        <w:rPr>
          <w:rFonts w:hint="cs"/>
          <w:sz w:val="27"/>
          <w:rtl/>
        </w:rPr>
        <w:t>ْ</w:t>
      </w:r>
      <w:r w:rsidR="005A1BD7" w:rsidRPr="00282AC9">
        <w:rPr>
          <w:rFonts w:hint="cs"/>
          <w:sz w:val="27"/>
          <w:rtl/>
        </w:rPr>
        <w:t>ب</w:t>
      </w:r>
      <w:r w:rsidRPr="00282AC9">
        <w:rPr>
          <w:rFonts w:hint="cs"/>
          <w:sz w:val="27"/>
          <w:rtl/>
        </w:rPr>
        <w:t>َ</w:t>
      </w:r>
      <w:r w:rsidR="005A1BD7" w:rsidRPr="00282AC9">
        <w:rPr>
          <w:rFonts w:hint="cs"/>
          <w:sz w:val="27"/>
          <w:rtl/>
        </w:rPr>
        <w:t>ل توبته في مثل هذه الحالة</w:t>
      </w:r>
      <w:r w:rsidRPr="00282AC9">
        <w:rPr>
          <w:rFonts w:hint="cs"/>
          <w:sz w:val="27"/>
          <w:rtl/>
        </w:rPr>
        <w:t>؟</w:t>
      </w:r>
      <w:r w:rsidR="005A1BD7" w:rsidRPr="00282AC9">
        <w:rPr>
          <w:rFonts w:hint="cs"/>
          <w:sz w:val="27"/>
          <w:rtl/>
        </w:rPr>
        <w:t xml:space="preserve"> وهل يرفع ذلك حكم القتل عنه؟</w:t>
      </w:r>
    </w:p>
    <w:p w:rsidR="005A1BD7" w:rsidRPr="00282AC9" w:rsidRDefault="009D19B8" w:rsidP="00831CC9">
      <w:pPr>
        <w:pStyle w:val="31"/>
        <w:rPr>
          <w:color w:val="auto"/>
          <w:rtl/>
        </w:rPr>
      </w:pPr>
      <w:r w:rsidRPr="00282AC9">
        <w:rPr>
          <w:rFonts w:hint="cs"/>
          <w:color w:val="auto"/>
          <w:rtl/>
        </w:rPr>
        <w:lastRenderedPageBreak/>
        <w:t xml:space="preserve">قبول </w:t>
      </w:r>
      <w:r w:rsidR="005A1BD7" w:rsidRPr="00282AC9">
        <w:rPr>
          <w:rFonts w:hint="cs"/>
          <w:color w:val="auto"/>
          <w:rtl/>
        </w:rPr>
        <w:t xml:space="preserve">التوبة من </w:t>
      </w:r>
      <w:r w:rsidRPr="00282AC9">
        <w:rPr>
          <w:rFonts w:hint="cs"/>
          <w:color w:val="auto"/>
          <w:rtl/>
        </w:rPr>
        <w:t xml:space="preserve">المرتدّ، آراء </w:t>
      </w:r>
      <w:r w:rsidR="00A14133" w:rsidRPr="00282AC9">
        <w:rPr>
          <w:rFonts w:hint="cs"/>
          <w:color w:val="auto"/>
          <w:rtl/>
        </w:rPr>
        <w:t>فقهاء</w:t>
      </w:r>
      <w:r w:rsidR="00831CC9" w:rsidRPr="00282AC9">
        <w:rPr>
          <w:rFonts w:hint="cs"/>
          <w:color w:val="auto"/>
          <w:rtl/>
        </w:rPr>
        <w:t xml:space="preserve"> المسلمين</w:t>
      </w:r>
      <w:r w:rsidR="00A14133" w:rsidRPr="00282AC9">
        <w:rPr>
          <w:rFonts w:hint="cs"/>
          <w:color w:val="auto"/>
          <w:rtl/>
        </w:rPr>
        <w:t xml:space="preserve"> </w:t>
      </w:r>
      <w:r w:rsidRPr="00282AC9">
        <w:rPr>
          <w:rFonts w:hint="cs"/>
          <w:color w:val="auto"/>
          <w:rtl/>
        </w:rPr>
        <w:t>وأدلّ</w:t>
      </w:r>
      <w:r w:rsidR="00A14133" w:rsidRPr="00282AC9">
        <w:rPr>
          <w:rFonts w:hint="cs"/>
          <w:color w:val="auto"/>
          <w:rtl/>
        </w:rPr>
        <w:t>تهم</w:t>
      </w:r>
    </w:p>
    <w:p w:rsidR="005A1BD7" w:rsidRPr="00282AC9" w:rsidRDefault="005A1BD7" w:rsidP="002971A0">
      <w:pPr>
        <w:spacing w:line="410" w:lineRule="exact"/>
        <w:rPr>
          <w:sz w:val="27"/>
          <w:rtl/>
        </w:rPr>
      </w:pPr>
      <w:r w:rsidRPr="00282AC9">
        <w:rPr>
          <w:rFonts w:hint="cs"/>
          <w:sz w:val="27"/>
          <w:rtl/>
        </w:rPr>
        <w:t>يت</w:t>
      </w:r>
      <w:r w:rsidR="00F13D55" w:rsidRPr="00282AC9">
        <w:rPr>
          <w:rFonts w:hint="cs"/>
          <w:sz w:val="27"/>
          <w:rtl/>
        </w:rPr>
        <w:t>ّ</w:t>
      </w:r>
      <w:r w:rsidRPr="00282AC9">
        <w:rPr>
          <w:rFonts w:hint="cs"/>
          <w:sz w:val="27"/>
          <w:rtl/>
        </w:rPr>
        <w:t>فق الفقهاء في تعريف الارتداد ـ مع شيء</w:t>
      </w:r>
      <w:r w:rsidR="00F13D55" w:rsidRPr="00282AC9">
        <w:rPr>
          <w:rFonts w:hint="cs"/>
          <w:sz w:val="27"/>
          <w:rtl/>
        </w:rPr>
        <w:t>ٍ</w:t>
      </w:r>
      <w:r w:rsidRPr="00282AC9">
        <w:rPr>
          <w:rFonts w:hint="cs"/>
          <w:sz w:val="27"/>
          <w:rtl/>
        </w:rPr>
        <w:t xml:space="preserve"> من الاختلاف ـ على هذا المعنى، وهو أن الارتداد يعني الخروج عن الإسلام والدخول في الكفر</w:t>
      </w:r>
      <w:r w:rsidRPr="00282AC9">
        <w:rPr>
          <w:sz w:val="27"/>
          <w:vertAlign w:val="superscript"/>
          <w:rtl/>
        </w:rPr>
        <w:t>(</w:t>
      </w:r>
      <w:r w:rsidRPr="00282AC9">
        <w:rPr>
          <w:rStyle w:val="af9"/>
          <w:sz w:val="27"/>
          <w:rtl/>
        </w:rPr>
        <w:endnoteReference w:id="245"/>
      </w:r>
      <w:r w:rsidRPr="00282AC9">
        <w:rPr>
          <w:sz w:val="27"/>
          <w:vertAlign w:val="superscript"/>
          <w:rtl/>
        </w:rPr>
        <w:t>)</w:t>
      </w:r>
      <w:r w:rsidR="00F13D55" w:rsidRPr="00282AC9">
        <w:rPr>
          <w:rFonts w:hint="cs"/>
          <w:sz w:val="27"/>
          <w:rtl/>
        </w:rPr>
        <w:t>.</w:t>
      </w:r>
      <w:r w:rsidRPr="00282AC9">
        <w:rPr>
          <w:rFonts w:hint="cs"/>
          <w:sz w:val="27"/>
          <w:rtl/>
        </w:rPr>
        <w:t xml:space="preserve"> والتوبة ب</w:t>
      </w:r>
      <w:r w:rsidR="00EE6DBA" w:rsidRPr="00282AC9">
        <w:rPr>
          <w:rFonts w:hint="cs"/>
          <w:sz w:val="27"/>
          <w:rtl/>
        </w:rPr>
        <w:t>دَوْر</w:t>
      </w:r>
      <w:r w:rsidRPr="00282AC9">
        <w:rPr>
          <w:rFonts w:hint="cs"/>
          <w:sz w:val="27"/>
          <w:rtl/>
        </w:rPr>
        <w:t>ها في هذه الموارد هي اعتناق الإسلام والنطق بالشهادتين.</w:t>
      </w:r>
    </w:p>
    <w:p w:rsidR="005A1BD7" w:rsidRPr="00282AC9" w:rsidRDefault="005A1BD7" w:rsidP="00C75E73">
      <w:pPr>
        <w:rPr>
          <w:sz w:val="27"/>
          <w:rtl/>
        </w:rPr>
      </w:pPr>
      <w:r w:rsidRPr="00282AC9">
        <w:rPr>
          <w:rFonts w:hint="cs"/>
          <w:sz w:val="27"/>
          <w:rtl/>
        </w:rPr>
        <w:t>وهناك في قبول أو عدم قبول توبة المرتد</w:t>
      </w:r>
      <w:r w:rsidR="00F13D55" w:rsidRPr="00282AC9">
        <w:rPr>
          <w:rFonts w:hint="cs"/>
          <w:sz w:val="27"/>
          <w:rtl/>
        </w:rPr>
        <w:t>ّ</w:t>
      </w:r>
      <w:r w:rsidRPr="00282AC9">
        <w:rPr>
          <w:rFonts w:hint="cs"/>
          <w:sz w:val="27"/>
          <w:rtl/>
        </w:rPr>
        <w:t xml:space="preserve"> (الفطري أو الملّي) ثلاثة آراء:</w:t>
      </w:r>
    </w:p>
    <w:p w:rsidR="002971A0" w:rsidRPr="00282AC9" w:rsidRDefault="002971A0" w:rsidP="002971A0">
      <w:pPr>
        <w:spacing w:line="420" w:lineRule="exact"/>
        <w:rPr>
          <w:rtl/>
        </w:rPr>
      </w:pPr>
    </w:p>
    <w:p w:rsidR="00A14133" w:rsidRPr="00282AC9" w:rsidRDefault="005A1BD7" w:rsidP="00A14133">
      <w:pPr>
        <w:pStyle w:val="31"/>
        <w:rPr>
          <w:color w:val="auto"/>
          <w:rtl/>
        </w:rPr>
      </w:pPr>
      <w:r w:rsidRPr="00282AC9">
        <w:rPr>
          <w:rFonts w:hint="cs"/>
          <w:color w:val="auto"/>
          <w:rtl/>
        </w:rPr>
        <w:t xml:space="preserve">1ـ </w:t>
      </w:r>
      <w:r w:rsidR="00A14133" w:rsidRPr="00282AC9">
        <w:rPr>
          <w:rFonts w:hint="cs"/>
          <w:color w:val="auto"/>
          <w:rtl/>
        </w:rPr>
        <w:t>عدم القبول مطلقاً</w:t>
      </w:r>
    </w:p>
    <w:p w:rsidR="00F13D55" w:rsidRPr="00282AC9" w:rsidRDefault="005A1BD7" w:rsidP="00C75E73">
      <w:pPr>
        <w:rPr>
          <w:sz w:val="27"/>
          <w:rtl/>
        </w:rPr>
      </w:pPr>
      <w:r w:rsidRPr="00282AC9">
        <w:rPr>
          <w:rFonts w:hint="cs"/>
          <w:sz w:val="27"/>
          <w:rtl/>
        </w:rPr>
        <w:t>يرى بعض فقهاء العامّة أن عقوبة الارتداد على كل</w:t>
      </w:r>
      <w:r w:rsidR="00F13D55" w:rsidRPr="00282AC9">
        <w:rPr>
          <w:rFonts w:hint="cs"/>
          <w:sz w:val="27"/>
          <w:rtl/>
        </w:rPr>
        <w:t>ّ</w:t>
      </w:r>
      <w:r w:rsidRPr="00282AC9">
        <w:rPr>
          <w:rFonts w:hint="cs"/>
          <w:sz w:val="27"/>
          <w:rtl/>
        </w:rPr>
        <w:t xml:space="preserve"> حال</w:t>
      </w:r>
      <w:r w:rsidR="00F13D55" w:rsidRPr="00282AC9">
        <w:rPr>
          <w:rFonts w:hint="cs"/>
          <w:sz w:val="27"/>
          <w:rtl/>
        </w:rPr>
        <w:t>ٍ</w:t>
      </w:r>
      <w:r w:rsidRPr="00282AC9">
        <w:rPr>
          <w:rFonts w:hint="cs"/>
          <w:sz w:val="27"/>
          <w:rtl/>
        </w:rPr>
        <w:t xml:space="preserve"> هي القتل، سواء تاب المرتد أم لم يت</w:t>
      </w:r>
      <w:r w:rsidR="00F13D55" w:rsidRPr="00282AC9">
        <w:rPr>
          <w:rFonts w:hint="cs"/>
          <w:sz w:val="27"/>
          <w:rtl/>
        </w:rPr>
        <w:t>ُ</w:t>
      </w:r>
      <w:r w:rsidRPr="00282AC9">
        <w:rPr>
          <w:rFonts w:hint="cs"/>
          <w:sz w:val="27"/>
          <w:rtl/>
        </w:rPr>
        <w:t>ب</w:t>
      </w:r>
      <w:r w:rsidR="00F13D55" w:rsidRPr="00282AC9">
        <w:rPr>
          <w:rFonts w:hint="cs"/>
          <w:sz w:val="27"/>
          <w:rtl/>
        </w:rPr>
        <w:t>ْ</w:t>
      </w:r>
      <w:r w:rsidRPr="00282AC9">
        <w:rPr>
          <w:rFonts w:hint="cs"/>
          <w:sz w:val="27"/>
          <w:rtl/>
        </w:rPr>
        <w:t xml:space="preserve">. قال الحسن البصري: </w:t>
      </w:r>
      <w:r w:rsidRPr="00282AC9">
        <w:rPr>
          <w:rFonts w:hint="eastAsia"/>
          <w:sz w:val="24"/>
          <w:szCs w:val="24"/>
          <w:rtl/>
        </w:rPr>
        <w:t>«</w:t>
      </w:r>
      <w:r w:rsidRPr="00282AC9">
        <w:rPr>
          <w:rFonts w:hint="cs"/>
          <w:sz w:val="27"/>
          <w:rtl/>
        </w:rPr>
        <w:t>المرتد</w:t>
      </w:r>
      <w:r w:rsidR="00F13D55" w:rsidRPr="00282AC9">
        <w:rPr>
          <w:rFonts w:hint="cs"/>
          <w:sz w:val="27"/>
          <w:rtl/>
        </w:rPr>
        <w:t>ّ</w:t>
      </w:r>
      <w:r w:rsidRPr="00282AC9">
        <w:rPr>
          <w:rFonts w:hint="cs"/>
          <w:sz w:val="27"/>
          <w:rtl/>
        </w:rPr>
        <w:t xml:space="preserve"> يُق</w:t>
      </w:r>
      <w:r w:rsidR="00F13D55" w:rsidRPr="00282AC9">
        <w:rPr>
          <w:rFonts w:hint="cs"/>
          <w:sz w:val="27"/>
          <w:rtl/>
        </w:rPr>
        <w:t>ْ</w:t>
      </w:r>
      <w:r w:rsidRPr="00282AC9">
        <w:rPr>
          <w:rFonts w:hint="cs"/>
          <w:sz w:val="27"/>
          <w:rtl/>
        </w:rPr>
        <w:t>ت</w:t>
      </w:r>
      <w:r w:rsidR="00F13D55" w:rsidRPr="00282AC9">
        <w:rPr>
          <w:rFonts w:hint="cs"/>
          <w:sz w:val="27"/>
          <w:rtl/>
        </w:rPr>
        <w:t>َ</w:t>
      </w:r>
      <w:r w:rsidRPr="00282AC9">
        <w:rPr>
          <w:rFonts w:hint="cs"/>
          <w:sz w:val="27"/>
          <w:rtl/>
        </w:rPr>
        <w:t>ل بغير استتابة</w:t>
      </w:r>
      <w:r w:rsidR="00F13D55"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246"/>
      </w:r>
      <w:r w:rsidRPr="00282AC9">
        <w:rPr>
          <w:sz w:val="27"/>
          <w:vertAlign w:val="superscript"/>
          <w:rtl/>
        </w:rPr>
        <w:t>)</w:t>
      </w:r>
      <w:r w:rsidR="00F13D55" w:rsidRPr="00282AC9">
        <w:rPr>
          <w:rFonts w:hint="cs"/>
          <w:sz w:val="27"/>
          <w:rtl/>
        </w:rPr>
        <w:t>.</w:t>
      </w:r>
    </w:p>
    <w:p w:rsidR="005A1BD7" w:rsidRPr="00282AC9" w:rsidRDefault="005A1BD7" w:rsidP="00C75E73">
      <w:pPr>
        <w:rPr>
          <w:sz w:val="27"/>
          <w:rtl/>
        </w:rPr>
      </w:pPr>
      <w:r w:rsidRPr="00282AC9">
        <w:rPr>
          <w:rFonts w:hint="cs"/>
          <w:sz w:val="27"/>
          <w:rtl/>
        </w:rPr>
        <w:t>وقد استدل</w:t>
      </w:r>
      <w:r w:rsidR="00F13D55" w:rsidRPr="00282AC9">
        <w:rPr>
          <w:rFonts w:hint="cs"/>
          <w:sz w:val="27"/>
          <w:rtl/>
        </w:rPr>
        <w:t>ّ</w:t>
      </w:r>
      <w:r w:rsidRPr="00282AC9">
        <w:rPr>
          <w:rFonts w:hint="cs"/>
          <w:sz w:val="27"/>
          <w:rtl/>
        </w:rPr>
        <w:t>وا لهذا الرأي بجملة</w:t>
      </w:r>
      <w:r w:rsidR="00F13D55" w:rsidRPr="00282AC9">
        <w:rPr>
          <w:rFonts w:hint="cs"/>
          <w:sz w:val="27"/>
          <w:rtl/>
        </w:rPr>
        <w:t>ٍ من الأدلة، ومن</w:t>
      </w:r>
      <w:r w:rsidRPr="00282AC9">
        <w:rPr>
          <w:rFonts w:hint="cs"/>
          <w:sz w:val="27"/>
          <w:rtl/>
        </w:rPr>
        <w:t>ها:</w:t>
      </w:r>
    </w:p>
    <w:p w:rsidR="005A1BD7" w:rsidRPr="00282AC9" w:rsidRDefault="005A1BD7" w:rsidP="00C75E73">
      <w:pPr>
        <w:rPr>
          <w:sz w:val="27"/>
          <w:rtl/>
        </w:rPr>
      </w:pPr>
      <w:r w:rsidRPr="00282AC9">
        <w:rPr>
          <w:rFonts w:hint="cs"/>
          <w:b/>
          <w:bCs/>
          <w:sz w:val="27"/>
          <w:rtl/>
        </w:rPr>
        <w:t>أـ إطلاق بعض الروايات</w:t>
      </w:r>
      <w:r w:rsidRPr="00282AC9">
        <w:rPr>
          <w:rFonts w:hint="cs"/>
          <w:sz w:val="27"/>
          <w:rtl/>
        </w:rPr>
        <w:t>، مثل</w:t>
      </w:r>
      <w:r w:rsidR="00F13D55" w:rsidRPr="00282AC9">
        <w:rPr>
          <w:rFonts w:hint="cs"/>
          <w:sz w:val="27"/>
          <w:rtl/>
        </w:rPr>
        <w:t>:</w:t>
      </w:r>
      <w:r w:rsidRPr="00282AC9">
        <w:rPr>
          <w:rFonts w:hint="cs"/>
          <w:sz w:val="27"/>
          <w:rtl/>
        </w:rPr>
        <w:t xml:space="preserve"> الحديث المأثور عن النبي</w:t>
      </w:r>
      <w:r w:rsidR="00F13D55" w:rsidRPr="00282AC9">
        <w:rPr>
          <w:rFonts w:hint="cs"/>
          <w:sz w:val="27"/>
          <w:rtl/>
        </w:rPr>
        <w:t>ّ</w:t>
      </w:r>
      <w:r w:rsidRPr="00282AC9">
        <w:rPr>
          <w:rFonts w:hint="cs"/>
          <w:sz w:val="27"/>
          <w:rtl/>
        </w:rPr>
        <w:t xml:space="preserve"> الأكرم</w:t>
      </w:r>
      <w:r w:rsidR="009A2A04" w:rsidRPr="00282AC9">
        <w:rPr>
          <w:rFonts w:cs="Mosawi" w:hint="cs"/>
          <w:sz w:val="22"/>
          <w:szCs w:val="22"/>
          <w:rtl/>
        </w:rPr>
        <w:t>|</w:t>
      </w:r>
      <w:r w:rsidRPr="00282AC9">
        <w:rPr>
          <w:rFonts w:hint="cs"/>
          <w:sz w:val="27"/>
          <w:rtl/>
        </w:rPr>
        <w:t xml:space="preserve"> أنه قال: </w:t>
      </w:r>
      <w:r w:rsidRPr="00282AC9">
        <w:rPr>
          <w:rFonts w:hint="eastAsia"/>
          <w:sz w:val="24"/>
          <w:szCs w:val="24"/>
          <w:rtl/>
        </w:rPr>
        <w:t>«</w:t>
      </w:r>
      <w:r w:rsidRPr="00282AC9">
        <w:rPr>
          <w:rFonts w:hint="cs"/>
          <w:sz w:val="27"/>
          <w:rtl/>
        </w:rPr>
        <w:t>م</w:t>
      </w:r>
      <w:r w:rsidR="00F13D55" w:rsidRPr="00282AC9">
        <w:rPr>
          <w:rFonts w:hint="cs"/>
          <w:sz w:val="27"/>
          <w:rtl/>
        </w:rPr>
        <w:t>َ</w:t>
      </w:r>
      <w:r w:rsidRPr="00282AC9">
        <w:rPr>
          <w:rFonts w:hint="cs"/>
          <w:sz w:val="27"/>
          <w:rtl/>
        </w:rPr>
        <w:t>ن</w:t>
      </w:r>
      <w:r w:rsidR="00F13D55" w:rsidRPr="00282AC9">
        <w:rPr>
          <w:rFonts w:hint="cs"/>
          <w:sz w:val="27"/>
          <w:rtl/>
        </w:rPr>
        <w:t>ْ</w:t>
      </w:r>
      <w:r w:rsidRPr="00282AC9">
        <w:rPr>
          <w:rFonts w:hint="cs"/>
          <w:sz w:val="27"/>
          <w:rtl/>
        </w:rPr>
        <w:t xml:space="preserve"> بدّ</w:t>
      </w:r>
      <w:r w:rsidR="00F13D55" w:rsidRPr="00282AC9">
        <w:rPr>
          <w:rFonts w:hint="cs"/>
          <w:sz w:val="27"/>
          <w:rtl/>
        </w:rPr>
        <w:t>َ</w:t>
      </w:r>
      <w:r w:rsidRPr="00282AC9">
        <w:rPr>
          <w:rFonts w:hint="cs"/>
          <w:sz w:val="27"/>
          <w:rtl/>
        </w:rPr>
        <w:t>ل دينه فاقتلوه</w:t>
      </w:r>
      <w:r w:rsidRPr="00282AC9">
        <w:rPr>
          <w:rFonts w:hint="eastAsia"/>
          <w:sz w:val="24"/>
          <w:szCs w:val="24"/>
          <w:rtl/>
        </w:rPr>
        <w:t>»</w:t>
      </w:r>
      <w:r w:rsidRPr="00282AC9">
        <w:rPr>
          <w:sz w:val="27"/>
          <w:vertAlign w:val="superscript"/>
          <w:rtl/>
        </w:rPr>
        <w:t>(</w:t>
      </w:r>
      <w:r w:rsidRPr="00282AC9">
        <w:rPr>
          <w:rStyle w:val="af9"/>
          <w:sz w:val="27"/>
          <w:rtl/>
        </w:rPr>
        <w:endnoteReference w:id="247"/>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b/>
          <w:bCs/>
          <w:sz w:val="27"/>
          <w:rtl/>
        </w:rPr>
        <w:t>ب ـ عمل الصحابة</w:t>
      </w:r>
      <w:r w:rsidRPr="00282AC9">
        <w:rPr>
          <w:rFonts w:hint="cs"/>
          <w:sz w:val="27"/>
          <w:rtl/>
        </w:rPr>
        <w:t>: دخل معاذ [ابن جبل] على أبي موسى الأشعري، وسأله عن شخص</w:t>
      </w:r>
      <w:r w:rsidR="00303C4E" w:rsidRPr="00282AC9">
        <w:rPr>
          <w:rFonts w:hint="cs"/>
          <w:sz w:val="27"/>
          <w:rtl/>
        </w:rPr>
        <w:t>ٍ</w:t>
      </w:r>
      <w:r w:rsidRPr="00282AC9">
        <w:rPr>
          <w:rFonts w:hint="cs"/>
          <w:sz w:val="27"/>
          <w:rtl/>
        </w:rPr>
        <w:t xml:space="preserve"> كان عنده</w:t>
      </w:r>
      <w:r w:rsidR="00303C4E" w:rsidRPr="00282AC9">
        <w:rPr>
          <w:rFonts w:hint="cs"/>
          <w:sz w:val="27"/>
          <w:rtl/>
        </w:rPr>
        <w:t>،</w:t>
      </w:r>
      <w:r w:rsidRPr="00282AC9">
        <w:rPr>
          <w:rFonts w:hint="cs"/>
          <w:sz w:val="27"/>
          <w:rtl/>
        </w:rPr>
        <w:t xml:space="preserve"> فقال أبو موسى: إنه رجل</w:t>
      </w:r>
      <w:r w:rsidR="00303C4E" w:rsidRPr="00282AC9">
        <w:rPr>
          <w:rFonts w:hint="cs"/>
          <w:sz w:val="27"/>
          <w:rtl/>
        </w:rPr>
        <w:t>ٌ</w:t>
      </w:r>
      <w:r w:rsidRPr="00282AC9">
        <w:rPr>
          <w:rFonts w:hint="cs"/>
          <w:sz w:val="27"/>
          <w:rtl/>
        </w:rPr>
        <w:t xml:space="preserve"> كان يهودي</w:t>
      </w:r>
      <w:r w:rsidR="00303C4E" w:rsidRPr="00282AC9">
        <w:rPr>
          <w:rFonts w:hint="cs"/>
          <w:sz w:val="27"/>
          <w:rtl/>
        </w:rPr>
        <w:t>ّ</w:t>
      </w:r>
      <w:r w:rsidRPr="00282AC9">
        <w:rPr>
          <w:rFonts w:hint="cs"/>
          <w:sz w:val="27"/>
          <w:rtl/>
        </w:rPr>
        <w:t>اً ثمّ أسلم، ثم</w:t>
      </w:r>
      <w:r w:rsidR="00303C4E" w:rsidRPr="00282AC9">
        <w:rPr>
          <w:rFonts w:hint="cs"/>
          <w:sz w:val="27"/>
          <w:rtl/>
        </w:rPr>
        <w:t>ّ</w:t>
      </w:r>
      <w:r w:rsidRPr="00282AC9">
        <w:rPr>
          <w:rFonts w:hint="cs"/>
          <w:sz w:val="27"/>
          <w:rtl/>
        </w:rPr>
        <w:t xml:space="preserve"> عاد إلى اليهودي</w:t>
      </w:r>
      <w:r w:rsidR="00303C4E" w:rsidRPr="00282AC9">
        <w:rPr>
          <w:rFonts w:hint="cs"/>
          <w:sz w:val="27"/>
          <w:rtl/>
        </w:rPr>
        <w:t>ّ</w:t>
      </w:r>
      <w:r w:rsidRPr="00282AC9">
        <w:rPr>
          <w:rFonts w:hint="cs"/>
          <w:sz w:val="27"/>
          <w:rtl/>
        </w:rPr>
        <w:t>ة</w:t>
      </w:r>
      <w:r w:rsidR="00303C4E" w:rsidRPr="00282AC9">
        <w:rPr>
          <w:rFonts w:hint="cs"/>
          <w:sz w:val="27"/>
          <w:rtl/>
        </w:rPr>
        <w:t>،</w:t>
      </w:r>
      <w:r w:rsidRPr="00282AC9">
        <w:rPr>
          <w:rFonts w:hint="cs"/>
          <w:sz w:val="27"/>
          <w:rtl/>
        </w:rPr>
        <w:t xml:space="preserve"> فقال معاذ: لا أجلس حت</w:t>
      </w:r>
      <w:r w:rsidR="00303C4E" w:rsidRPr="00282AC9">
        <w:rPr>
          <w:rFonts w:hint="cs"/>
          <w:sz w:val="27"/>
          <w:rtl/>
        </w:rPr>
        <w:t>ّ</w:t>
      </w:r>
      <w:r w:rsidRPr="00282AC9">
        <w:rPr>
          <w:rFonts w:hint="cs"/>
          <w:sz w:val="27"/>
          <w:rtl/>
        </w:rPr>
        <w:t>ى تقيم عليه حكم الله ورسوله</w:t>
      </w:r>
      <w:r w:rsidR="00303C4E" w:rsidRPr="00282AC9">
        <w:rPr>
          <w:rFonts w:hint="cs"/>
          <w:sz w:val="27"/>
          <w:rtl/>
        </w:rPr>
        <w:t>،</w:t>
      </w:r>
      <w:r w:rsidRPr="00282AC9">
        <w:rPr>
          <w:rFonts w:hint="cs"/>
          <w:sz w:val="27"/>
          <w:rtl/>
        </w:rPr>
        <w:t xml:space="preserve"> فتقتله. فكر</w:t>
      </w:r>
      <w:r w:rsidR="00303C4E" w:rsidRPr="00282AC9">
        <w:rPr>
          <w:rFonts w:hint="cs"/>
          <w:sz w:val="27"/>
          <w:rtl/>
        </w:rPr>
        <w:t>َّ</w:t>
      </w:r>
      <w:r w:rsidRPr="00282AC9">
        <w:rPr>
          <w:rFonts w:hint="cs"/>
          <w:sz w:val="27"/>
          <w:rtl/>
        </w:rPr>
        <w:t>ر ذلك ثلاثاً، حت</w:t>
      </w:r>
      <w:r w:rsidR="00303C4E" w:rsidRPr="00282AC9">
        <w:rPr>
          <w:rFonts w:hint="cs"/>
          <w:sz w:val="27"/>
          <w:rtl/>
        </w:rPr>
        <w:t>ّ</w:t>
      </w:r>
      <w:r w:rsidRPr="00282AC9">
        <w:rPr>
          <w:rFonts w:hint="cs"/>
          <w:sz w:val="27"/>
          <w:rtl/>
        </w:rPr>
        <w:t>ى أمر أبو موسى بقتله</w:t>
      </w:r>
      <w:r w:rsidRPr="00282AC9">
        <w:rPr>
          <w:sz w:val="27"/>
          <w:vertAlign w:val="superscript"/>
          <w:rtl/>
        </w:rPr>
        <w:t>(</w:t>
      </w:r>
      <w:r w:rsidRPr="00282AC9">
        <w:rPr>
          <w:rStyle w:val="af9"/>
          <w:sz w:val="27"/>
          <w:rtl/>
        </w:rPr>
        <w:endnoteReference w:id="248"/>
      </w:r>
      <w:r w:rsidRPr="00282AC9">
        <w:rPr>
          <w:sz w:val="27"/>
          <w:vertAlign w:val="superscript"/>
          <w:rtl/>
        </w:rPr>
        <w:t>)</w:t>
      </w:r>
      <w:r w:rsidRPr="00282AC9">
        <w:rPr>
          <w:rFonts w:hint="cs"/>
          <w:sz w:val="27"/>
          <w:rtl/>
        </w:rPr>
        <w:t>. إن هذا الكلام من معاذ، وتأييده على المستوى العملي</w:t>
      </w:r>
      <w:r w:rsidR="00303C4E" w:rsidRPr="00282AC9">
        <w:rPr>
          <w:rFonts w:hint="cs"/>
          <w:sz w:val="27"/>
          <w:rtl/>
        </w:rPr>
        <w:t>ّ</w:t>
      </w:r>
      <w:r w:rsidRPr="00282AC9">
        <w:rPr>
          <w:rFonts w:hint="cs"/>
          <w:sz w:val="27"/>
          <w:rtl/>
        </w:rPr>
        <w:t xml:space="preserve"> من ق</w:t>
      </w:r>
      <w:r w:rsidR="00303C4E" w:rsidRPr="00282AC9">
        <w:rPr>
          <w:rFonts w:hint="cs"/>
          <w:sz w:val="27"/>
          <w:rtl/>
        </w:rPr>
        <w:t>ِ</w:t>
      </w:r>
      <w:r w:rsidRPr="00282AC9">
        <w:rPr>
          <w:rFonts w:hint="cs"/>
          <w:sz w:val="27"/>
          <w:rtl/>
        </w:rPr>
        <w:t>ب</w:t>
      </w:r>
      <w:r w:rsidR="00303C4E" w:rsidRPr="00282AC9">
        <w:rPr>
          <w:rFonts w:hint="cs"/>
          <w:sz w:val="27"/>
          <w:rtl/>
        </w:rPr>
        <w:t>َ</w:t>
      </w:r>
      <w:r w:rsidRPr="00282AC9">
        <w:rPr>
          <w:rFonts w:hint="cs"/>
          <w:sz w:val="27"/>
          <w:rtl/>
        </w:rPr>
        <w:t>ل أبي موسى الأشعري ـ وكلاهما صحابي</w:t>
      </w:r>
      <w:r w:rsidR="00303C4E" w:rsidRPr="00282AC9">
        <w:rPr>
          <w:rFonts w:hint="cs"/>
          <w:sz w:val="27"/>
          <w:rtl/>
        </w:rPr>
        <w:t>ٌّ</w:t>
      </w:r>
      <w:r w:rsidRPr="00282AC9">
        <w:rPr>
          <w:rFonts w:hint="cs"/>
          <w:sz w:val="27"/>
          <w:rtl/>
        </w:rPr>
        <w:t xml:space="preserve"> ـ</w:t>
      </w:r>
      <w:r w:rsidR="00303C4E" w:rsidRPr="00282AC9">
        <w:rPr>
          <w:rFonts w:hint="cs"/>
          <w:sz w:val="27"/>
          <w:rtl/>
        </w:rPr>
        <w:t xml:space="preserve">، </w:t>
      </w:r>
      <w:r w:rsidRPr="00282AC9">
        <w:rPr>
          <w:rFonts w:hint="cs"/>
          <w:sz w:val="27"/>
          <w:rtl/>
        </w:rPr>
        <w:t>مع عدم ذكر التوبة في مورد انتساب حكم الله ورسوله، يثبت أن المرتد</w:t>
      </w:r>
      <w:r w:rsidR="00303C4E" w:rsidRPr="00282AC9">
        <w:rPr>
          <w:rFonts w:hint="cs"/>
          <w:sz w:val="27"/>
          <w:rtl/>
        </w:rPr>
        <w:t>ّ</w:t>
      </w:r>
      <w:r w:rsidRPr="00282AC9">
        <w:rPr>
          <w:rFonts w:hint="cs"/>
          <w:sz w:val="27"/>
          <w:rtl/>
        </w:rPr>
        <w:t xml:space="preserve"> يجب قتله</w:t>
      </w:r>
      <w:r w:rsidR="00303C4E" w:rsidRPr="00282AC9">
        <w:rPr>
          <w:rFonts w:hint="cs"/>
          <w:sz w:val="27"/>
          <w:rtl/>
        </w:rPr>
        <w:t>،</w:t>
      </w:r>
      <w:r w:rsidRPr="00282AC9">
        <w:rPr>
          <w:rFonts w:hint="cs"/>
          <w:sz w:val="27"/>
          <w:rtl/>
        </w:rPr>
        <w:t xml:space="preserve"> دون استتابته</w:t>
      </w:r>
      <w:r w:rsidRPr="00282AC9">
        <w:rPr>
          <w:sz w:val="27"/>
          <w:vertAlign w:val="superscript"/>
          <w:rtl/>
        </w:rPr>
        <w:t>(</w:t>
      </w:r>
      <w:r w:rsidRPr="00282AC9">
        <w:rPr>
          <w:rStyle w:val="af9"/>
          <w:sz w:val="27"/>
          <w:rtl/>
        </w:rPr>
        <w:endnoteReference w:id="249"/>
      </w:r>
      <w:r w:rsidRPr="00282AC9">
        <w:rPr>
          <w:sz w:val="27"/>
          <w:vertAlign w:val="superscript"/>
          <w:rtl/>
        </w:rPr>
        <w:t>)</w:t>
      </w:r>
      <w:r w:rsidRPr="00282AC9">
        <w:rPr>
          <w:rFonts w:hint="cs"/>
          <w:sz w:val="27"/>
          <w:rtl/>
        </w:rPr>
        <w:t>.</w:t>
      </w:r>
    </w:p>
    <w:p w:rsidR="002971A0" w:rsidRPr="00282AC9" w:rsidRDefault="002971A0" w:rsidP="002971A0">
      <w:pPr>
        <w:spacing w:line="420" w:lineRule="exact"/>
        <w:rPr>
          <w:rtl/>
        </w:rPr>
      </w:pPr>
    </w:p>
    <w:p w:rsidR="00A14133" w:rsidRPr="00282AC9" w:rsidRDefault="005A1BD7" w:rsidP="00A14133">
      <w:pPr>
        <w:pStyle w:val="31"/>
        <w:rPr>
          <w:color w:val="auto"/>
          <w:rtl/>
        </w:rPr>
      </w:pPr>
      <w:r w:rsidRPr="00282AC9">
        <w:rPr>
          <w:rFonts w:hint="cs"/>
          <w:color w:val="auto"/>
          <w:rtl/>
        </w:rPr>
        <w:t xml:space="preserve">2ـ </w:t>
      </w:r>
      <w:r w:rsidR="00A14133" w:rsidRPr="00282AC9">
        <w:rPr>
          <w:rFonts w:hint="cs"/>
          <w:color w:val="auto"/>
          <w:rtl/>
        </w:rPr>
        <w:t>القبول مطلقاً</w:t>
      </w:r>
    </w:p>
    <w:p w:rsidR="00303C4E" w:rsidRPr="00282AC9" w:rsidRDefault="005A1BD7" w:rsidP="00C75E73">
      <w:pPr>
        <w:rPr>
          <w:sz w:val="27"/>
          <w:rtl/>
        </w:rPr>
      </w:pPr>
      <w:r w:rsidRPr="00282AC9">
        <w:rPr>
          <w:rFonts w:hint="cs"/>
          <w:sz w:val="27"/>
          <w:rtl/>
        </w:rPr>
        <w:t>يذهب أكثر فقهاء أهل السن</w:t>
      </w:r>
      <w:r w:rsidR="00303C4E" w:rsidRPr="00282AC9">
        <w:rPr>
          <w:rFonts w:hint="cs"/>
          <w:sz w:val="27"/>
          <w:rtl/>
        </w:rPr>
        <w:t>ّ</w:t>
      </w:r>
      <w:r w:rsidRPr="00282AC9">
        <w:rPr>
          <w:rFonts w:hint="cs"/>
          <w:sz w:val="27"/>
          <w:rtl/>
        </w:rPr>
        <w:t>ة إلى الاعتقاد بقبول توبة كل</w:t>
      </w:r>
      <w:r w:rsidR="00303C4E" w:rsidRPr="00282AC9">
        <w:rPr>
          <w:rFonts w:hint="cs"/>
          <w:sz w:val="27"/>
          <w:rtl/>
        </w:rPr>
        <w:t>ّ</w:t>
      </w:r>
      <w:r w:rsidRPr="00282AC9">
        <w:rPr>
          <w:rFonts w:hint="cs"/>
          <w:sz w:val="27"/>
          <w:rtl/>
        </w:rPr>
        <w:t xml:space="preserve"> مرتد</w:t>
      </w:r>
      <w:r w:rsidR="00303C4E" w:rsidRPr="00282AC9">
        <w:rPr>
          <w:rFonts w:hint="cs"/>
          <w:sz w:val="27"/>
          <w:rtl/>
        </w:rPr>
        <w:t>ٍّ،</w:t>
      </w:r>
      <w:r w:rsidRPr="00282AC9">
        <w:rPr>
          <w:rFonts w:hint="cs"/>
          <w:sz w:val="27"/>
          <w:rtl/>
        </w:rPr>
        <w:t xml:space="preserve"> سواء أكان مرتد</w:t>
      </w:r>
      <w:r w:rsidR="00303C4E" w:rsidRPr="00282AC9">
        <w:rPr>
          <w:rFonts w:hint="cs"/>
          <w:sz w:val="27"/>
          <w:rtl/>
        </w:rPr>
        <w:t>ّ</w:t>
      </w:r>
      <w:r w:rsidRPr="00282AC9">
        <w:rPr>
          <w:rFonts w:hint="cs"/>
          <w:sz w:val="27"/>
          <w:rtl/>
        </w:rPr>
        <w:t>اً عن فطرة</w:t>
      </w:r>
      <w:r w:rsidR="00303C4E" w:rsidRPr="00282AC9">
        <w:rPr>
          <w:rFonts w:hint="cs"/>
          <w:sz w:val="27"/>
          <w:rtl/>
        </w:rPr>
        <w:t>ٍ</w:t>
      </w:r>
      <w:r w:rsidRPr="00282AC9">
        <w:rPr>
          <w:rFonts w:hint="cs"/>
          <w:sz w:val="27"/>
          <w:rtl/>
        </w:rPr>
        <w:t xml:space="preserve"> أو مرتد</w:t>
      </w:r>
      <w:r w:rsidR="00303C4E" w:rsidRPr="00282AC9">
        <w:rPr>
          <w:rFonts w:hint="cs"/>
          <w:sz w:val="27"/>
          <w:rtl/>
        </w:rPr>
        <w:t>ّ</w:t>
      </w:r>
      <w:r w:rsidRPr="00282AC9">
        <w:rPr>
          <w:rFonts w:hint="cs"/>
          <w:sz w:val="27"/>
          <w:rtl/>
        </w:rPr>
        <w:t>اً عن ملّة</w:t>
      </w:r>
      <w:r w:rsidR="00303C4E" w:rsidRPr="00282AC9">
        <w:rPr>
          <w:rFonts w:hint="cs"/>
          <w:sz w:val="27"/>
          <w:rtl/>
        </w:rPr>
        <w:t>ٍ</w:t>
      </w:r>
      <w:r w:rsidRPr="00282AC9">
        <w:rPr>
          <w:rFonts w:hint="cs"/>
          <w:sz w:val="27"/>
          <w:rtl/>
        </w:rPr>
        <w:t>. وعليه يجب استتابة المرتد</w:t>
      </w:r>
      <w:r w:rsidR="00303C4E" w:rsidRPr="00282AC9">
        <w:rPr>
          <w:rFonts w:hint="cs"/>
          <w:sz w:val="27"/>
          <w:rtl/>
        </w:rPr>
        <w:t>ّ</w:t>
      </w:r>
      <w:r w:rsidRPr="00282AC9">
        <w:rPr>
          <w:rFonts w:hint="cs"/>
          <w:sz w:val="27"/>
          <w:rtl/>
        </w:rPr>
        <w:t xml:space="preserve"> قبل تطبيق العقوبة عليه؛ فإذا لم يت</w:t>
      </w:r>
      <w:r w:rsidR="00303C4E" w:rsidRPr="00282AC9">
        <w:rPr>
          <w:rFonts w:hint="cs"/>
          <w:sz w:val="27"/>
          <w:rtl/>
        </w:rPr>
        <w:t>ُ</w:t>
      </w:r>
      <w:r w:rsidRPr="00282AC9">
        <w:rPr>
          <w:rFonts w:hint="cs"/>
          <w:sz w:val="27"/>
          <w:rtl/>
        </w:rPr>
        <w:t>ب</w:t>
      </w:r>
      <w:r w:rsidR="00303C4E" w:rsidRPr="00282AC9">
        <w:rPr>
          <w:rFonts w:hint="cs"/>
          <w:sz w:val="27"/>
          <w:rtl/>
        </w:rPr>
        <w:t>ْ</w:t>
      </w:r>
      <w:r w:rsidRPr="00282AC9">
        <w:rPr>
          <w:rFonts w:hint="cs"/>
          <w:sz w:val="27"/>
          <w:rtl/>
        </w:rPr>
        <w:t xml:space="preserve"> أجري عليه حدّ القتل. قال ابن قدامة: </w:t>
      </w:r>
      <w:r w:rsidRPr="00282AC9">
        <w:rPr>
          <w:rFonts w:hint="eastAsia"/>
          <w:sz w:val="24"/>
          <w:szCs w:val="24"/>
          <w:rtl/>
        </w:rPr>
        <w:t>«</w:t>
      </w:r>
      <w:r w:rsidRPr="00282AC9">
        <w:rPr>
          <w:rFonts w:hint="cs"/>
          <w:sz w:val="27"/>
          <w:rtl/>
        </w:rPr>
        <w:t>إنه [أي المرتد</w:t>
      </w:r>
      <w:r w:rsidR="00303C4E" w:rsidRPr="00282AC9">
        <w:rPr>
          <w:rFonts w:hint="cs"/>
          <w:sz w:val="27"/>
          <w:rtl/>
        </w:rPr>
        <w:t>ّ</w:t>
      </w:r>
      <w:r w:rsidRPr="00282AC9">
        <w:rPr>
          <w:rFonts w:hint="cs"/>
          <w:sz w:val="27"/>
          <w:rtl/>
        </w:rPr>
        <w:t>]</w:t>
      </w:r>
      <w:r w:rsidRPr="00282AC9">
        <w:rPr>
          <w:sz w:val="27"/>
          <w:rtl/>
        </w:rPr>
        <w:t xml:space="preserve"> </w:t>
      </w:r>
      <w:r w:rsidR="00303C4E" w:rsidRPr="00282AC9">
        <w:rPr>
          <w:rFonts w:hint="cs"/>
          <w:sz w:val="27"/>
          <w:rtl/>
        </w:rPr>
        <w:t>لا يُقتل حتى يُستتاب</w:t>
      </w:r>
      <w:r w:rsidRPr="00282AC9">
        <w:rPr>
          <w:rFonts w:hint="cs"/>
          <w:sz w:val="27"/>
          <w:rtl/>
        </w:rPr>
        <w:t>..</w:t>
      </w:r>
      <w:r w:rsidRPr="00282AC9">
        <w:rPr>
          <w:sz w:val="27"/>
          <w:rtl/>
        </w:rPr>
        <w:t xml:space="preserve">. </w:t>
      </w:r>
      <w:r w:rsidRPr="00282AC9">
        <w:rPr>
          <w:rFonts w:hint="cs"/>
          <w:sz w:val="27"/>
          <w:rtl/>
        </w:rPr>
        <w:t>هذا قول أكثر أهل العلم</w:t>
      </w:r>
      <w:r w:rsidRPr="00282AC9">
        <w:rPr>
          <w:rFonts w:hint="eastAsia"/>
          <w:sz w:val="24"/>
          <w:szCs w:val="24"/>
          <w:rtl/>
        </w:rPr>
        <w:t>»</w:t>
      </w:r>
      <w:r w:rsidRPr="00282AC9">
        <w:rPr>
          <w:sz w:val="27"/>
          <w:vertAlign w:val="superscript"/>
          <w:rtl/>
        </w:rPr>
        <w:t>(</w:t>
      </w:r>
      <w:r w:rsidRPr="00282AC9">
        <w:rPr>
          <w:rStyle w:val="af9"/>
          <w:sz w:val="27"/>
          <w:rtl/>
        </w:rPr>
        <w:endnoteReference w:id="250"/>
      </w:r>
      <w:r w:rsidRPr="00282AC9">
        <w:rPr>
          <w:sz w:val="27"/>
          <w:vertAlign w:val="superscript"/>
          <w:rtl/>
        </w:rPr>
        <w:t>)</w:t>
      </w:r>
      <w:r w:rsidR="00303C4E" w:rsidRPr="00282AC9">
        <w:rPr>
          <w:rFonts w:hint="cs"/>
          <w:sz w:val="27"/>
          <w:rtl/>
        </w:rPr>
        <w:t>.</w:t>
      </w:r>
    </w:p>
    <w:p w:rsidR="00303C4E" w:rsidRPr="00282AC9" w:rsidRDefault="005A1BD7" w:rsidP="00C75E73">
      <w:pPr>
        <w:rPr>
          <w:sz w:val="27"/>
          <w:rtl/>
        </w:rPr>
      </w:pPr>
      <w:r w:rsidRPr="00282AC9">
        <w:rPr>
          <w:rFonts w:hint="cs"/>
          <w:sz w:val="27"/>
          <w:rtl/>
        </w:rPr>
        <w:t>وهذا هو رأي أبي حنيفة والشافعي</w:t>
      </w:r>
      <w:r w:rsidR="00303C4E" w:rsidRPr="00282AC9">
        <w:rPr>
          <w:rFonts w:hint="cs"/>
          <w:sz w:val="27"/>
          <w:rtl/>
        </w:rPr>
        <w:t>ّ</w:t>
      </w:r>
      <w:r w:rsidRPr="00282AC9">
        <w:rPr>
          <w:rFonts w:hint="cs"/>
          <w:sz w:val="27"/>
          <w:rtl/>
        </w:rPr>
        <w:t xml:space="preserve"> ومالك وعموم فقهاء أهل السن</w:t>
      </w:r>
      <w:r w:rsidR="00303C4E" w:rsidRPr="00282AC9">
        <w:rPr>
          <w:rFonts w:hint="cs"/>
          <w:sz w:val="27"/>
          <w:rtl/>
        </w:rPr>
        <w:t>ّة.</w:t>
      </w:r>
    </w:p>
    <w:p w:rsidR="005A1BD7" w:rsidRPr="00282AC9" w:rsidRDefault="005A1BD7" w:rsidP="00C75E73">
      <w:pPr>
        <w:rPr>
          <w:sz w:val="27"/>
          <w:rtl/>
        </w:rPr>
      </w:pPr>
      <w:r w:rsidRPr="00282AC9">
        <w:rPr>
          <w:rFonts w:hint="cs"/>
          <w:sz w:val="27"/>
          <w:rtl/>
        </w:rPr>
        <w:t>وقد استدل</w:t>
      </w:r>
      <w:r w:rsidR="00303C4E" w:rsidRPr="00282AC9">
        <w:rPr>
          <w:rFonts w:hint="cs"/>
          <w:sz w:val="27"/>
          <w:rtl/>
        </w:rPr>
        <w:t>ّ</w:t>
      </w:r>
      <w:r w:rsidRPr="00282AC9">
        <w:rPr>
          <w:rFonts w:hint="cs"/>
          <w:sz w:val="27"/>
          <w:rtl/>
        </w:rPr>
        <w:t xml:space="preserve"> لهذا الرأي بأدل</w:t>
      </w:r>
      <w:r w:rsidR="00303C4E" w:rsidRPr="00282AC9">
        <w:rPr>
          <w:rFonts w:hint="cs"/>
          <w:sz w:val="27"/>
          <w:rtl/>
        </w:rPr>
        <w:t>ّ</w:t>
      </w:r>
      <w:r w:rsidRPr="00282AC9">
        <w:rPr>
          <w:rFonts w:hint="cs"/>
          <w:sz w:val="27"/>
          <w:rtl/>
        </w:rPr>
        <w:t>ة</w:t>
      </w:r>
      <w:r w:rsidR="00303C4E" w:rsidRPr="00282AC9">
        <w:rPr>
          <w:rFonts w:hint="cs"/>
          <w:sz w:val="27"/>
          <w:rtl/>
        </w:rPr>
        <w:t>ٍ أيضاً، ومن</w:t>
      </w:r>
      <w:r w:rsidRPr="00282AC9">
        <w:rPr>
          <w:rFonts w:hint="cs"/>
          <w:sz w:val="27"/>
          <w:rtl/>
        </w:rPr>
        <w:t>ها:</w:t>
      </w:r>
    </w:p>
    <w:p w:rsidR="00303C4E" w:rsidRPr="00282AC9" w:rsidRDefault="005A1BD7" w:rsidP="00C75E73">
      <w:pPr>
        <w:rPr>
          <w:sz w:val="27"/>
          <w:rtl/>
        </w:rPr>
      </w:pPr>
      <w:r w:rsidRPr="00282AC9">
        <w:rPr>
          <w:rFonts w:hint="cs"/>
          <w:b/>
          <w:bCs/>
          <w:sz w:val="27"/>
          <w:rtl/>
        </w:rPr>
        <w:lastRenderedPageBreak/>
        <w:t>أـ سيرة النبي</w:t>
      </w:r>
      <w:r w:rsidR="00303C4E" w:rsidRPr="00282AC9">
        <w:rPr>
          <w:rFonts w:hint="cs"/>
          <w:b/>
          <w:bCs/>
          <w:sz w:val="27"/>
          <w:rtl/>
        </w:rPr>
        <w:t>ّ</w:t>
      </w:r>
      <w:r w:rsidRPr="00282AC9">
        <w:rPr>
          <w:rFonts w:hint="cs"/>
          <w:b/>
          <w:bCs/>
          <w:sz w:val="27"/>
          <w:rtl/>
        </w:rPr>
        <w:t xml:space="preserve"> الأكرم</w:t>
      </w:r>
      <w:r w:rsidR="009A2A04" w:rsidRPr="00282AC9">
        <w:rPr>
          <w:rFonts w:cs="Mosawi" w:hint="cs"/>
          <w:b/>
          <w:bCs/>
          <w:sz w:val="22"/>
          <w:szCs w:val="22"/>
          <w:rtl/>
        </w:rPr>
        <w:t>|</w:t>
      </w:r>
      <w:r w:rsidRPr="00282AC9">
        <w:rPr>
          <w:rFonts w:hint="cs"/>
          <w:sz w:val="27"/>
          <w:rtl/>
        </w:rPr>
        <w:t>: عندما أرسل النبي</w:t>
      </w:r>
      <w:r w:rsidR="00303C4E" w:rsidRPr="00282AC9">
        <w:rPr>
          <w:rFonts w:hint="cs"/>
          <w:sz w:val="27"/>
          <w:rtl/>
        </w:rPr>
        <w:t>ّ</w:t>
      </w:r>
      <w:r w:rsidR="009A2A04" w:rsidRPr="00282AC9">
        <w:rPr>
          <w:rFonts w:cs="Mosawi" w:hint="cs"/>
          <w:sz w:val="22"/>
          <w:szCs w:val="22"/>
          <w:rtl/>
        </w:rPr>
        <w:t>|</w:t>
      </w:r>
      <w:r w:rsidRPr="00282AC9">
        <w:rPr>
          <w:rFonts w:hint="cs"/>
          <w:sz w:val="27"/>
          <w:rtl/>
        </w:rPr>
        <w:t xml:space="preserve"> معاذاً إلى اليمن قال له: </w:t>
      </w:r>
      <w:r w:rsidRPr="00282AC9">
        <w:rPr>
          <w:rFonts w:hint="eastAsia"/>
          <w:sz w:val="24"/>
          <w:szCs w:val="24"/>
          <w:rtl/>
        </w:rPr>
        <w:t>«</w:t>
      </w:r>
      <w:r w:rsidRPr="00282AC9">
        <w:rPr>
          <w:sz w:val="27"/>
          <w:rtl/>
        </w:rPr>
        <w:t>أي</w:t>
      </w:r>
      <w:r w:rsidR="00303C4E" w:rsidRPr="00282AC9">
        <w:rPr>
          <w:rFonts w:hint="cs"/>
          <w:sz w:val="27"/>
          <w:rtl/>
        </w:rPr>
        <w:t>ّ</w:t>
      </w:r>
      <w:r w:rsidRPr="00282AC9">
        <w:rPr>
          <w:sz w:val="27"/>
          <w:rtl/>
        </w:rPr>
        <w:t>ما رجل</w:t>
      </w:r>
      <w:r w:rsidR="00303C4E" w:rsidRPr="00282AC9">
        <w:rPr>
          <w:rFonts w:hint="cs"/>
          <w:sz w:val="27"/>
          <w:rtl/>
        </w:rPr>
        <w:t>ٍ</w:t>
      </w:r>
      <w:r w:rsidRPr="00282AC9">
        <w:rPr>
          <w:sz w:val="27"/>
          <w:rtl/>
        </w:rPr>
        <w:t xml:space="preserve"> ارتد</w:t>
      </w:r>
      <w:r w:rsidR="00303C4E" w:rsidRPr="00282AC9">
        <w:rPr>
          <w:rFonts w:hint="cs"/>
          <w:sz w:val="27"/>
          <w:rtl/>
        </w:rPr>
        <w:t>ّ</w:t>
      </w:r>
      <w:r w:rsidRPr="00282AC9">
        <w:rPr>
          <w:sz w:val="27"/>
          <w:rtl/>
        </w:rPr>
        <w:t xml:space="preserve"> عن الإسلام فاد</w:t>
      </w:r>
      <w:r w:rsidR="00303C4E" w:rsidRPr="00282AC9">
        <w:rPr>
          <w:rFonts w:hint="cs"/>
          <w:sz w:val="27"/>
          <w:rtl/>
        </w:rPr>
        <w:t>ْ</w:t>
      </w:r>
      <w:r w:rsidRPr="00282AC9">
        <w:rPr>
          <w:sz w:val="27"/>
          <w:rtl/>
        </w:rPr>
        <w:t>ع</w:t>
      </w:r>
      <w:r w:rsidR="00303C4E" w:rsidRPr="00282AC9">
        <w:rPr>
          <w:rFonts w:hint="cs"/>
          <w:sz w:val="27"/>
          <w:rtl/>
        </w:rPr>
        <w:t>ُ</w:t>
      </w:r>
      <w:r w:rsidRPr="00282AC9">
        <w:rPr>
          <w:sz w:val="27"/>
          <w:rtl/>
        </w:rPr>
        <w:t>ه، فإن</w:t>
      </w:r>
      <w:r w:rsidR="00303C4E" w:rsidRPr="00282AC9">
        <w:rPr>
          <w:rFonts w:hint="cs"/>
          <w:sz w:val="27"/>
          <w:rtl/>
        </w:rPr>
        <w:t>ْ</w:t>
      </w:r>
      <w:r w:rsidRPr="00282AC9">
        <w:rPr>
          <w:sz w:val="27"/>
          <w:rtl/>
        </w:rPr>
        <w:t xml:space="preserve"> تاب فاقب</w:t>
      </w:r>
      <w:r w:rsidR="00303C4E" w:rsidRPr="00282AC9">
        <w:rPr>
          <w:rFonts w:hint="cs"/>
          <w:sz w:val="27"/>
          <w:rtl/>
        </w:rPr>
        <w:t>َ</w:t>
      </w:r>
      <w:r w:rsidRPr="00282AC9">
        <w:rPr>
          <w:sz w:val="27"/>
          <w:rtl/>
        </w:rPr>
        <w:t>ل</w:t>
      </w:r>
      <w:r w:rsidR="00303C4E" w:rsidRPr="00282AC9">
        <w:rPr>
          <w:rFonts w:hint="cs"/>
          <w:sz w:val="27"/>
          <w:rtl/>
        </w:rPr>
        <w:t>ْ</w:t>
      </w:r>
      <w:r w:rsidRPr="00282AC9">
        <w:rPr>
          <w:sz w:val="27"/>
          <w:rtl/>
        </w:rPr>
        <w:t xml:space="preserve"> منه</w:t>
      </w:r>
      <w:r w:rsidRPr="00282AC9">
        <w:rPr>
          <w:rFonts w:hint="cs"/>
          <w:sz w:val="27"/>
          <w:rtl/>
        </w:rPr>
        <w:t>،</w:t>
      </w:r>
      <w:r w:rsidRPr="00282AC9">
        <w:rPr>
          <w:sz w:val="27"/>
          <w:rtl/>
        </w:rPr>
        <w:t xml:space="preserve"> وإن</w:t>
      </w:r>
      <w:r w:rsidR="00303C4E" w:rsidRPr="00282AC9">
        <w:rPr>
          <w:rFonts w:hint="cs"/>
          <w:sz w:val="27"/>
          <w:rtl/>
        </w:rPr>
        <w:t>ْ</w:t>
      </w:r>
      <w:r w:rsidRPr="00282AC9">
        <w:rPr>
          <w:sz w:val="27"/>
          <w:rtl/>
        </w:rPr>
        <w:t xml:space="preserve"> لم يت</w:t>
      </w:r>
      <w:r w:rsidR="00303C4E" w:rsidRPr="00282AC9">
        <w:rPr>
          <w:rFonts w:hint="cs"/>
          <w:sz w:val="27"/>
          <w:rtl/>
        </w:rPr>
        <w:t>ُ</w:t>
      </w:r>
      <w:r w:rsidRPr="00282AC9">
        <w:rPr>
          <w:sz w:val="27"/>
          <w:rtl/>
        </w:rPr>
        <w:t>ب</w:t>
      </w:r>
      <w:r w:rsidR="00303C4E" w:rsidRPr="00282AC9">
        <w:rPr>
          <w:rFonts w:hint="cs"/>
          <w:sz w:val="27"/>
          <w:rtl/>
        </w:rPr>
        <w:t>ْ</w:t>
      </w:r>
      <w:r w:rsidRPr="00282AC9">
        <w:rPr>
          <w:sz w:val="27"/>
          <w:rtl/>
        </w:rPr>
        <w:t xml:space="preserve"> فاضر</w:t>
      </w:r>
      <w:r w:rsidR="00303C4E" w:rsidRPr="00282AC9">
        <w:rPr>
          <w:rFonts w:hint="cs"/>
          <w:sz w:val="27"/>
          <w:rtl/>
        </w:rPr>
        <w:t>ِ</w:t>
      </w:r>
      <w:r w:rsidRPr="00282AC9">
        <w:rPr>
          <w:sz w:val="27"/>
          <w:rtl/>
        </w:rPr>
        <w:t>ب</w:t>
      </w:r>
      <w:r w:rsidR="00303C4E" w:rsidRPr="00282AC9">
        <w:rPr>
          <w:rFonts w:hint="cs"/>
          <w:sz w:val="27"/>
          <w:rtl/>
        </w:rPr>
        <w:t>ْ</w:t>
      </w:r>
      <w:r w:rsidRPr="00282AC9">
        <w:rPr>
          <w:sz w:val="27"/>
          <w:rtl/>
        </w:rPr>
        <w:t xml:space="preserve"> عنقه</w:t>
      </w:r>
      <w:r w:rsidRPr="00282AC9">
        <w:rPr>
          <w:rFonts w:hint="eastAsia"/>
          <w:sz w:val="24"/>
          <w:szCs w:val="24"/>
          <w:rtl/>
        </w:rPr>
        <w:t>»</w:t>
      </w:r>
      <w:r w:rsidRPr="00282AC9">
        <w:rPr>
          <w:sz w:val="27"/>
          <w:vertAlign w:val="superscript"/>
          <w:rtl/>
        </w:rPr>
        <w:t>(</w:t>
      </w:r>
      <w:r w:rsidRPr="00282AC9">
        <w:rPr>
          <w:rStyle w:val="af9"/>
          <w:sz w:val="27"/>
          <w:rtl/>
        </w:rPr>
        <w:endnoteReference w:id="251"/>
      </w:r>
      <w:r w:rsidRPr="00282AC9">
        <w:rPr>
          <w:sz w:val="27"/>
          <w:vertAlign w:val="superscript"/>
          <w:rtl/>
        </w:rPr>
        <w:t>)</w:t>
      </w:r>
      <w:r w:rsidR="00303C4E" w:rsidRPr="00282AC9">
        <w:rPr>
          <w:rFonts w:hint="cs"/>
          <w:sz w:val="27"/>
          <w:rtl/>
        </w:rPr>
        <w:t>.</w:t>
      </w:r>
    </w:p>
    <w:p w:rsidR="005A1BD7" w:rsidRPr="00282AC9" w:rsidRDefault="005A1BD7" w:rsidP="00C75E73">
      <w:pPr>
        <w:rPr>
          <w:sz w:val="27"/>
          <w:rtl/>
        </w:rPr>
      </w:pPr>
      <w:r w:rsidRPr="00282AC9">
        <w:rPr>
          <w:rFonts w:hint="cs"/>
          <w:sz w:val="27"/>
          <w:rtl/>
        </w:rPr>
        <w:t>وكذلك في مورد امرأة</w:t>
      </w:r>
      <w:r w:rsidR="00303C4E" w:rsidRPr="00282AC9">
        <w:rPr>
          <w:rFonts w:hint="cs"/>
          <w:sz w:val="27"/>
          <w:rtl/>
        </w:rPr>
        <w:t>ٍ</w:t>
      </w:r>
      <w:r w:rsidRPr="00282AC9">
        <w:rPr>
          <w:rFonts w:hint="cs"/>
          <w:sz w:val="27"/>
          <w:rtl/>
        </w:rPr>
        <w:t xml:space="preserve"> ت</w:t>
      </w:r>
      <w:r w:rsidR="00303C4E" w:rsidRPr="00282AC9">
        <w:rPr>
          <w:rFonts w:hint="cs"/>
          <w:sz w:val="27"/>
          <w:rtl/>
        </w:rPr>
        <w:t>ُ</w:t>
      </w:r>
      <w:r w:rsidRPr="00282AC9">
        <w:rPr>
          <w:rFonts w:hint="cs"/>
          <w:sz w:val="27"/>
          <w:rtl/>
        </w:rPr>
        <w:t>د</w:t>
      </w:r>
      <w:r w:rsidR="00303C4E" w:rsidRPr="00282AC9">
        <w:rPr>
          <w:rFonts w:hint="cs"/>
          <w:sz w:val="27"/>
          <w:rtl/>
        </w:rPr>
        <w:t>ْ</w:t>
      </w:r>
      <w:r w:rsidRPr="00282AC9">
        <w:rPr>
          <w:rFonts w:hint="cs"/>
          <w:sz w:val="27"/>
          <w:rtl/>
        </w:rPr>
        <w:t>ع</w:t>
      </w:r>
      <w:r w:rsidR="00303C4E" w:rsidRPr="00282AC9">
        <w:rPr>
          <w:rFonts w:hint="cs"/>
          <w:sz w:val="27"/>
          <w:rtl/>
        </w:rPr>
        <w:t>َ</w:t>
      </w:r>
      <w:r w:rsidRPr="00282AC9">
        <w:rPr>
          <w:rFonts w:hint="cs"/>
          <w:sz w:val="27"/>
          <w:rtl/>
        </w:rPr>
        <w:t xml:space="preserve">ى </w:t>
      </w:r>
      <w:r w:rsidRPr="00282AC9">
        <w:rPr>
          <w:rFonts w:hint="eastAsia"/>
          <w:sz w:val="24"/>
          <w:szCs w:val="24"/>
          <w:rtl/>
        </w:rPr>
        <w:t>«</w:t>
      </w:r>
      <w:r w:rsidRPr="00282AC9">
        <w:rPr>
          <w:rFonts w:hint="cs"/>
          <w:sz w:val="27"/>
          <w:rtl/>
        </w:rPr>
        <w:t>أم</w:t>
      </w:r>
      <w:r w:rsidR="00303C4E" w:rsidRPr="00282AC9">
        <w:rPr>
          <w:rFonts w:hint="cs"/>
          <w:sz w:val="27"/>
          <w:rtl/>
        </w:rPr>
        <w:t>ّ</w:t>
      </w:r>
      <w:r w:rsidRPr="00282AC9">
        <w:rPr>
          <w:rFonts w:hint="cs"/>
          <w:sz w:val="27"/>
          <w:rtl/>
        </w:rPr>
        <w:t xml:space="preserve"> مروان</w:t>
      </w:r>
      <w:r w:rsidRPr="00282AC9">
        <w:rPr>
          <w:rFonts w:hint="eastAsia"/>
          <w:sz w:val="24"/>
          <w:szCs w:val="24"/>
          <w:rtl/>
        </w:rPr>
        <w:t>»</w:t>
      </w:r>
      <w:r w:rsidRPr="00282AC9">
        <w:rPr>
          <w:rFonts w:hint="cs"/>
          <w:sz w:val="27"/>
          <w:rtl/>
        </w:rPr>
        <w:t xml:space="preserve"> ارتدّ</w:t>
      </w:r>
      <w:r w:rsidR="00303C4E" w:rsidRPr="00282AC9">
        <w:rPr>
          <w:rFonts w:hint="cs"/>
          <w:sz w:val="27"/>
          <w:rtl/>
        </w:rPr>
        <w:t>َ</w:t>
      </w:r>
      <w:r w:rsidRPr="00282AC9">
        <w:rPr>
          <w:rFonts w:hint="cs"/>
          <w:sz w:val="27"/>
          <w:rtl/>
        </w:rPr>
        <w:t>ت</w:t>
      </w:r>
      <w:r w:rsidR="00303C4E" w:rsidRPr="00282AC9">
        <w:rPr>
          <w:rFonts w:hint="cs"/>
          <w:sz w:val="27"/>
          <w:rtl/>
        </w:rPr>
        <w:t>ْ عن الإسلام، فأمر</w:t>
      </w:r>
      <w:r w:rsidRPr="00282AC9">
        <w:rPr>
          <w:sz w:val="27"/>
          <w:rtl/>
        </w:rPr>
        <w:t xml:space="preserve"> </w:t>
      </w:r>
      <w:r w:rsidRPr="00282AC9">
        <w:rPr>
          <w:rFonts w:hint="cs"/>
          <w:sz w:val="27"/>
          <w:rtl/>
        </w:rPr>
        <w:t>[النبي</w:t>
      </w:r>
      <w:r w:rsidR="00303C4E" w:rsidRPr="00282AC9">
        <w:rPr>
          <w:rFonts w:hint="cs"/>
          <w:sz w:val="27"/>
          <w:rtl/>
        </w:rPr>
        <w:t>ّ</w:t>
      </w:r>
      <w:r w:rsidRPr="00282AC9">
        <w:rPr>
          <w:rFonts w:hint="cs"/>
          <w:sz w:val="27"/>
          <w:rtl/>
        </w:rPr>
        <w:t>] أن ت</w:t>
      </w:r>
      <w:r w:rsidR="00303C4E" w:rsidRPr="00282AC9">
        <w:rPr>
          <w:rFonts w:hint="cs"/>
          <w:sz w:val="27"/>
          <w:rtl/>
        </w:rPr>
        <w:t>ُ</w:t>
      </w:r>
      <w:r w:rsidRPr="00282AC9">
        <w:rPr>
          <w:rFonts w:hint="cs"/>
          <w:sz w:val="27"/>
          <w:rtl/>
        </w:rPr>
        <w:t>ستتاب</w:t>
      </w:r>
      <w:r w:rsidRPr="00282AC9">
        <w:rPr>
          <w:sz w:val="27"/>
          <w:rtl/>
        </w:rPr>
        <w:t xml:space="preserve">، </w:t>
      </w:r>
      <w:r w:rsidRPr="00282AC9">
        <w:rPr>
          <w:rFonts w:hint="cs"/>
          <w:sz w:val="27"/>
          <w:rtl/>
        </w:rPr>
        <w:t>فإن</w:t>
      </w:r>
      <w:r w:rsidR="00303C4E" w:rsidRPr="00282AC9">
        <w:rPr>
          <w:rFonts w:hint="cs"/>
          <w:sz w:val="27"/>
          <w:rtl/>
        </w:rPr>
        <w:t>ْ</w:t>
      </w:r>
      <w:r w:rsidRPr="00282AC9">
        <w:rPr>
          <w:rFonts w:hint="cs"/>
          <w:sz w:val="27"/>
          <w:rtl/>
        </w:rPr>
        <w:t xml:space="preserve"> تاب</w:t>
      </w:r>
      <w:r w:rsidR="00303C4E" w:rsidRPr="00282AC9">
        <w:rPr>
          <w:rFonts w:hint="cs"/>
          <w:sz w:val="27"/>
          <w:rtl/>
        </w:rPr>
        <w:t>َ</w:t>
      </w:r>
      <w:r w:rsidRPr="00282AC9">
        <w:rPr>
          <w:rFonts w:hint="cs"/>
          <w:sz w:val="27"/>
          <w:rtl/>
        </w:rPr>
        <w:t>ت</w:t>
      </w:r>
      <w:r w:rsidR="00303C4E" w:rsidRPr="00282AC9">
        <w:rPr>
          <w:rFonts w:hint="cs"/>
          <w:sz w:val="27"/>
          <w:rtl/>
        </w:rPr>
        <w:t>ْ</w:t>
      </w:r>
      <w:r w:rsidRPr="00282AC9">
        <w:rPr>
          <w:sz w:val="27"/>
          <w:rtl/>
        </w:rPr>
        <w:t xml:space="preserve">، </w:t>
      </w:r>
      <w:r w:rsidRPr="00282AC9">
        <w:rPr>
          <w:rFonts w:hint="cs"/>
          <w:sz w:val="27"/>
          <w:rtl/>
        </w:rPr>
        <w:t>وإلا</w:t>
      </w:r>
      <w:r w:rsidR="00303C4E" w:rsidRPr="00282AC9">
        <w:rPr>
          <w:rFonts w:hint="cs"/>
          <w:sz w:val="27"/>
          <w:rtl/>
        </w:rPr>
        <w:t>ّ</w:t>
      </w:r>
      <w:r w:rsidRPr="00282AC9">
        <w:rPr>
          <w:rFonts w:hint="cs"/>
          <w:sz w:val="27"/>
          <w:rtl/>
        </w:rPr>
        <w:t xml:space="preserve"> ق</w:t>
      </w:r>
      <w:r w:rsidR="00303C4E" w:rsidRPr="00282AC9">
        <w:rPr>
          <w:rFonts w:hint="cs"/>
          <w:sz w:val="27"/>
          <w:rtl/>
        </w:rPr>
        <w:t>ُ</w:t>
      </w:r>
      <w:r w:rsidRPr="00282AC9">
        <w:rPr>
          <w:rFonts w:hint="cs"/>
          <w:sz w:val="27"/>
          <w:rtl/>
        </w:rPr>
        <w:t>تل</w:t>
      </w:r>
      <w:r w:rsidR="00303C4E" w:rsidRPr="00282AC9">
        <w:rPr>
          <w:rFonts w:hint="cs"/>
          <w:sz w:val="27"/>
          <w:rtl/>
        </w:rPr>
        <w:t>َ</w:t>
      </w:r>
      <w:r w:rsidRPr="00282AC9">
        <w:rPr>
          <w:rFonts w:hint="cs"/>
          <w:sz w:val="27"/>
          <w:rtl/>
        </w:rPr>
        <w:t>ت</w:t>
      </w:r>
      <w:r w:rsidR="00303C4E"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252"/>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إن هاتين الروايتين تدلا</w:t>
      </w:r>
      <w:r w:rsidR="00303C4E" w:rsidRPr="00282AC9">
        <w:rPr>
          <w:rFonts w:hint="cs"/>
          <w:sz w:val="27"/>
          <w:rtl/>
        </w:rPr>
        <w:t>ّ</w:t>
      </w:r>
      <w:r w:rsidRPr="00282AC9">
        <w:rPr>
          <w:rFonts w:hint="cs"/>
          <w:sz w:val="27"/>
          <w:rtl/>
        </w:rPr>
        <w:t>ن ب</w:t>
      </w:r>
      <w:r w:rsidR="00EE6DBA" w:rsidRPr="00282AC9">
        <w:rPr>
          <w:rFonts w:hint="cs"/>
          <w:sz w:val="27"/>
          <w:rtl/>
        </w:rPr>
        <w:t>دَوْر</w:t>
      </w:r>
      <w:r w:rsidRPr="00282AC9">
        <w:rPr>
          <w:rFonts w:hint="cs"/>
          <w:sz w:val="27"/>
          <w:rtl/>
        </w:rPr>
        <w:t>هما على وجوب الاستتابة قبل تطبيق حكم الارتداد.</w:t>
      </w:r>
    </w:p>
    <w:p w:rsidR="005A1BD7" w:rsidRPr="00282AC9" w:rsidRDefault="005A1BD7" w:rsidP="00C75E73">
      <w:pPr>
        <w:rPr>
          <w:sz w:val="27"/>
          <w:rtl/>
        </w:rPr>
      </w:pPr>
      <w:r w:rsidRPr="00282AC9">
        <w:rPr>
          <w:rFonts w:hint="cs"/>
          <w:b/>
          <w:bCs/>
          <w:sz w:val="27"/>
          <w:rtl/>
        </w:rPr>
        <w:t>ب ـ عمل الصحابة</w:t>
      </w:r>
      <w:r w:rsidRPr="00282AC9">
        <w:rPr>
          <w:rFonts w:hint="cs"/>
          <w:sz w:val="27"/>
          <w:rtl/>
        </w:rPr>
        <w:t>: جاء شخص</w:t>
      </w:r>
      <w:r w:rsidR="00993BFC" w:rsidRPr="00282AC9">
        <w:rPr>
          <w:rFonts w:hint="cs"/>
          <w:sz w:val="27"/>
          <w:rtl/>
        </w:rPr>
        <w:t>ٌ</w:t>
      </w:r>
      <w:r w:rsidRPr="00282AC9">
        <w:rPr>
          <w:rFonts w:hint="cs"/>
          <w:sz w:val="27"/>
          <w:rtl/>
        </w:rPr>
        <w:t xml:space="preserve"> من ق</w:t>
      </w:r>
      <w:r w:rsidR="00993BFC" w:rsidRPr="00282AC9">
        <w:rPr>
          <w:rFonts w:hint="cs"/>
          <w:sz w:val="27"/>
          <w:rtl/>
        </w:rPr>
        <w:t>ِ</w:t>
      </w:r>
      <w:r w:rsidRPr="00282AC9">
        <w:rPr>
          <w:rFonts w:hint="cs"/>
          <w:sz w:val="27"/>
          <w:rtl/>
        </w:rPr>
        <w:t>ب</w:t>
      </w:r>
      <w:r w:rsidR="00993BFC" w:rsidRPr="00282AC9">
        <w:rPr>
          <w:rFonts w:hint="cs"/>
          <w:sz w:val="27"/>
          <w:rtl/>
        </w:rPr>
        <w:t>َ</w:t>
      </w:r>
      <w:r w:rsidRPr="00282AC9">
        <w:rPr>
          <w:rFonts w:hint="cs"/>
          <w:sz w:val="27"/>
          <w:rtl/>
        </w:rPr>
        <w:t>ل أبي موسى الأشعري إلى عمر، ونقل له خبر ارتداد شخص</w:t>
      </w:r>
      <w:r w:rsidR="00993BFC" w:rsidRPr="00282AC9">
        <w:rPr>
          <w:rFonts w:hint="cs"/>
          <w:sz w:val="27"/>
          <w:rtl/>
        </w:rPr>
        <w:t>ٍ،</w:t>
      </w:r>
      <w:r w:rsidRPr="00282AC9">
        <w:rPr>
          <w:rFonts w:hint="cs"/>
          <w:sz w:val="27"/>
          <w:rtl/>
        </w:rPr>
        <w:t xml:space="preserve"> فسأله عمر: </w:t>
      </w:r>
      <w:r w:rsidRPr="00282AC9">
        <w:rPr>
          <w:sz w:val="27"/>
          <w:rtl/>
        </w:rPr>
        <w:t xml:space="preserve">ما </w:t>
      </w:r>
      <w:r w:rsidRPr="00282AC9">
        <w:rPr>
          <w:rFonts w:hint="cs"/>
          <w:sz w:val="27"/>
          <w:rtl/>
        </w:rPr>
        <w:t>فعلت</w:t>
      </w:r>
      <w:r w:rsidR="00993BFC" w:rsidRPr="00282AC9">
        <w:rPr>
          <w:rFonts w:hint="cs"/>
          <w:sz w:val="27"/>
          <w:rtl/>
        </w:rPr>
        <w:t>ُ</w:t>
      </w:r>
      <w:r w:rsidRPr="00282AC9">
        <w:rPr>
          <w:rFonts w:hint="cs"/>
          <w:sz w:val="27"/>
          <w:rtl/>
        </w:rPr>
        <w:t>م به</w:t>
      </w:r>
      <w:r w:rsidRPr="00282AC9">
        <w:rPr>
          <w:sz w:val="27"/>
          <w:rtl/>
        </w:rPr>
        <w:t xml:space="preserve">؟ قال: </w:t>
      </w:r>
      <w:r w:rsidRPr="00282AC9">
        <w:rPr>
          <w:rFonts w:hint="cs"/>
          <w:sz w:val="27"/>
          <w:rtl/>
        </w:rPr>
        <w:t>قرّ</w:t>
      </w:r>
      <w:r w:rsidR="00993BFC" w:rsidRPr="00282AC9">
        <w:rPr>
          <w:rFonts w:hint="cs"/>
          <w:sz w:val="27"/>
          <w:rtl/>
        </w:rPr>
        <w:t>َ</w:t>
      </w:r>
      <w:r w:rsidRPr="00282AC9">
        <w:rPr>
          <w:rFonts w:hint="cs"/>
          <w:sz w:val="27"/>
          <w:rtl/>
        </w:rPr>
        <w:t>بناه فضر</w:t>
      </w:r>
      <w:r w:rsidR="00993BFC" w:rsidRPr="00282AC9">
        <w:rPr>
          <w:rFonts w:hint="cs"/>
          <w:sz w:val="27"/>
          <w:rtl/>
        </w:rPr>
        <w:t>َ</w:t>
      </w:r>
      <w:r w:rsidRPr="00282AC9">
        <w:rPr>
          <w:rFonts w:hint="cs"/>
          <w:sz w:val="27"/>
          <w:rtl/>
        </w:rPr>
        <w:t>ب</w:t>
      </w:r>
      <w:r w:rsidR="00993BFC" w:rsidRPr="00282AC9">
        <w:rPr>
          <w:rFonts w:hint="cs"/>
          <w:sz w:val="27"/>
          <w:rtl/>
        </w:rPr>
        <w:t>ْ</w:t>
      </w:r>
      <w:r w:rsidRPr="00282AC9">
        <w:rPr>
          <w:rFonts w:hint="cs"/>
          <w:sz w:val="27"/>
          <w:rtl/>
        </w:rPr>
        <w:t>نا عنقه</w:t>
      </w:r>
      <w:r w:rsidR="00993BFC" w:rsidRPr="00282AC9">
        <w:rPr>
          <w:rFonts w:hint="cs"/>
          <w:sz w:val="27"/>
          <w:rtl/>
        </w:rPr>
        <w:t xml:space="preserve">، </w:t>
      </w:r>
      <w:r w:rsidRPr="00282AC9">
        <w:rPr>
          <w:rFonts w:hint="cs"/>
          <w:sz w:val="27"/>
          <w:rtl/>
        </w:rPr>
        <w:t>فقال عمر</w:t>
      </w:r>
      <w:r w:rsidRPr="00282AC9">
        <w:rPr>
          <w:sz w:val="27"/>
          <w:rtl/>
        </w:rPr>
        <w:t xml:space="preserve">: </w:t>
      </w:r>
      <w:r w:rsidRPr="00282AC9">
        <w:rPr>
          <w:rFonts w:hint="cs"/>
          <w:sz w:val="27"/>
          <w:rtl/>
        </w:rPr>
        <w:t>فهلا</w:t>
      </w:r>
      <w:r w:rsidR="00993BFC" w:rsidRPr="00282AC9">
        <w:rPr>
          <w:rFonts w:hint="cs"/>
          <w:sz w:val="27"/>
          <w:rtl/>
        </w:rPr>
        <w:t>ّ</w:t>
      </w:r>
      <w:r w:rsidRPr="00282AC9">
        <w:rPr>
          <w:rFonts w:hint="cs"/>
          <w:sz w:val="27"/>
          <w:rtl/>
        </w:rPr>
        <w:t xml:space="preserve"> حبستموه ثلاثاً</w:t>
      </w:r>
      <w:r w:rsidRPr="00282AC9">
        <w:rPr>
          <w:sz w:val="27"/>
          <w:rtl/>
        </w:rPr>
        <w:t xml:space="preserve">، </w:t>
      </w:r>
      <w:r w:rsidRPr="00282AC9">
        <w:rPr>
          <w:rFonts w:hint="cs"/>
          <w:sz w:val="27"/>
          <w:rtl/>
        </w:rPr>
        <w:t>فأطعمتموه كل</w:t>
      </w:r>
      <w:r w:rsidR="00993BFC" w:rsidRPr="00282AC9">
        <w:rPr>
          <w:rFonts w:hint="cs"/>
          <w:sz w:val="27"/>
          <w:rtl/>
        </w:rPr>
        <w:t>ّ</w:t>
      </w:r>
      <w:r w:rsidRPr="00282AC9">
        <w:rPr>
          <w:rFonts w:hint="cs"/>
          <w:sz w:val="27"/>
          <w:rtl/>
        </w:rPr>
        <w:t xml:space="preserve"> يوم</w:t>
      </w:r>
      <w:r w:rsidR="00993BFC" w:rsidRPr="00282AC9">
        <w:rPr>
          <w:rFonts w:hint="cs"/>
          <w:sz w:val="27"/>
          <w:rtl/>
        </w:rPr>
        <w:t>ٍ</w:t>
      </w:r>
      <w:r w:rsidRPr="00282AC9">
        <w:rPr>
          <w:rFonts w:hint="cs"/>
          <w:sz w:val="27"/>
          <w:rtl/>
        </w:rPr>
        <w:t xml:space="preserve"> رغيفاً</w:t>
      </w:r>
      <w:r w:rsidRPr="00282AC9">
        <w:rPr>
          <w:sz w:val="27"/>
          <w:rtl/>
        </w:rPr>
        <w:t xml:space="preserve">، </w:t>
      </w:r>
      <w:r w:rsidRPr="00282AC9">
        <w:rPr>
          <w:rFonts w:hint="cs"/>
          <w:sz w:val="27"/>
          <w:rtl/>
        </w:rPr>
        <w:t>واستتبتموه</w:t>
      </w:r>
      <w:r w:rsidR="00993BFC" w:rsidRPr="00282AC9">
        <w:rPr>
          <w:rFonts w:hint="cs"/>
          <w:sz w:val="27"/>
          <w:rtl/>
        </w:rPr>
        <w:t>؛</w:t>
      </w:r>
      <w:r w:rsidRPr="00282AC9">
        <w:rPr>
          <w:sz w:val="27"/>
          <w:rtl/>
        </w:rPr>
        <w:t xml:space="preserve"> </w:t>
      </w:r>
      <w:r w:rsidRPr="00282AC9">
        <w:rPr>
          <w:rFonts w:hint="cs"/>
          <w:sz w:val="27"/>
          <w:rtl/>
        </w:rPr>
        <w:t>لعل</w:t>
      </w:r>
      <w:r w:rsidR="00993BFC" w:rsidRPr="00282AC9">
        <w:rPr>
          <w:rFonts w:hint="cs"/>
          <w:sz w:val="27"/>
          <w:rtl/>
        </w:rPr>
        <w:t>ّ</w:t>
      </w:r>
      <w:r w:rsidRPr="00282AC9">
        <w:rPr>
          <w:rFonts w:hint="cs"/>
          <w:sz w:val="27"/>
          <w:rtl/>
        </w:rPr>
        <w:t>ه يتوب، أو يُراجع أمر الله</w:t>
      </w:r>
      <w:r w:rsidRPr="00282AC9">
        <w:rPr>
          <w:sz w:val="27"/>
          <w:rtl/>
        </w:rPr>
        <w:t>؟ ثم</w:t>
      </w:r>
      <w:r w:rsidR="00993BFC" w:rsidRPr="00282AC9">
        <w:rPr>
          <w:rFonts w:hint="cs"/>
          <w:sz w:val="27"/>
          <w:rtl/>
        </w:rPr>
        <w:t>ّ</w:t>
      </w:r>
      <w:r w:rsidRPr="00282AC9">
        <w:rPr>
          <w:sz w:val="27"/>
          <w:rtl/>
        </w:rPr>
        <w:t xml:space="preserve"> قال: </w:t>
      </w:r>
      <w:r w:rsidRPr="00282AC9">
        <w:rPr>
          <w:rFonts w:hint="eastAsia"/>
          <w:sz w:val="24"/>
          <w:szCs w:val="24"/>
          <w:rtl/>
        </w:rPr>
        <w:t>«</w:t>
      </w:r>
      <w:r w:rsidRPr="00282AC9">
        <w:rPr>
          <w:rFonts w:hint="cs"/>
          <w:sz w:val="27"/>
          <w:rtl/>
        </w:rPr>
        <w:t>اللهم</w:t>
      </w:r>
      <w:r w:rsidR="00993BFC" w:rsidRPr="00282AC9">
        <w:rPr>
          <w:rFonts w:hint="cs"/>
          <w:sz w:val="27"/>
          <w:rtl/>
        </w:rPr>
        <w:t>ّ</w:t>
      </w:r>
      <w:r w:rsidR="008D1884" w:rsidRPr="00282AC9">
        <w:rPr>
          <w:rFonts w:hint="cs"/>
          <w:sz w:val="27"/>
          <w:rtl/>
        </w:rPr>
        <w:t>،</w:t>
      </w:r>
      <w:r w:rsidRPr="00282AC9">
        <w:rPr>
          <w:rFonts w:hint="cs"/>
          <w:sz w:val="27"/>
          <w:rtl/>
        </w:rPr>
        <w:t xml:space="preserve"> إني لم أحضر</w:t>
      </w:r>
      <w:r w:rsidRPr="00282AC9">
        <w:rPr>
          <w:sz w:val="27"/>
          <w:rtl/>
        </w:rPr>
        <w:t xml:space="preserve">، </w:t>
      </w:r>
      <w:r w:rsidRPr="00282AC9">
        <w:rPr>
          <w:rFonts w:hint="cs"/>
          <w:sz w:val="27"/>
          <w:rtl/>
        </w:rPr>
        <w:t>ولم</w:t>
      </w:r>
      <w:r w:rsidRPr="00282AC9">
        <w:rPr>
          <w:sz w:val="27"/>
          <w:rtl/>
        </w:rPr>
        <w:t xml:space="preserve"> آمُر، </w:t>
      </w:r>
      <w:r w:rsidRPr="00282AC9">
        <w:rPr>
          <w:rFonts w:hint="cs"/>
          <w:sz w:val="27"/>
          <w:rtl/>
        </w:rPr>
        <w:t>ولم أر</w:t>
      </w:r>
      <w:r w:rsidR="00993BFC" w:rsidRPr="00282AC9">
        <w:rPr>
          <w:rFonts w:hint="cs"/>
          <w:sz w:val="27"/>
          <w:rtl/>
        </w:rPr>
        <w:t>ْ</w:t>
      </w:r>
      <w:r w:rsidRPr="00282AC9">
        <w:rPr>
          <w:rFonts w:hint="cs"/>
          <w:sz w:val="27"/>
          <w:rtl/>
        </w:rPr>
        <w:t>ض</w:t>
      </w:r>
      <w:r w:rsidR="00993BFC" w:rsidRPr="00282AC9">
        <w:rPr>
          <w:rFonts w:hint="cs"/>
          <w:sz w:val="27"/>
          <w:rtl/>
        </w:rPr>
        <w:t>َ</w:t>
      </w:r>
      <w:r w:rsidRPr="00282AC9">
        <w:rPr>
          <w:rFonts w:hint="cs"/>
          <w:sz w:val="27"/>
          <w:rtl/>
        </w:rPr>
        <w:t xml:space="preserve"> إذ بلغني</w:t>
      </w:r>
      <w:r w:rsidRPr="00282AC9">
        <w:rPr>
          <w:rFonts w:hint="eastAsia"/>
          <w:sz w:val="24"/>
          <w:szCs w:val="24"/>
          <w:rtl/>
        </w:rPr>
        <w:t>»</w:t>
      </w:r>
      <w:r w:rsidRPr="00282AC9">
        <w:rPr>
          <w:sz w:val="27"/>
          <w:vertAlign w:val="superscript"/>
          <w:rtl/>
        </w:rPr>
        <w:t>(</w:t>
      </w:r>
      <w:r w:rsidRPr="00282AC9">
        <w:rPr>
          <w:rStyle w:val="af9"/>
          <w:sz w:val="27"/>
          <w:rtl/>
        </w:rPr>
        <w:endnoteReference w:id="253"/>
      </w:r>
      <w:r w:rsidRPr="00282AC9">
        <w:rPr>
          <w:sz w:val="27"/>
          <w:vertAlign w:val="superscript"/>
          <w:rtl/>
        </w:rPr>
        <w:t>)</w:t>
      </w:r>
      <w:r w:rsidRPr="00282AC9">
        <w:rPr>
          <w:rFonts w:hint="cs"/>
          <w:sz w:val="27"/>
          <w:rtl/>
        </w:rPr>
        <w:t>.</w:t>
      </w:r>
    </w:p>
    <w:p w:rsidR="002971A0" w:rsidRPr="00282AC9" w:rsidRDefault="002971A0" w:rsidP="002971A0">
      <w:pPr>
        <w:spacing w:line="420" w:lineRule="exact"/>
        <w:rPr>
          <w:rtl/>
        </w:rPr>
      </w:pPr>
    </w:p>
    <w:p w:rsidR="00805DA5" w:rsidRPr="00282AC9" w:rsidRDefault="005A1BD7" w:rsidP="00805DA5">
      <w:pPr>
        <w:pStyle w:val="31"/>
        <w:rPr>
          <w:color w:val="auto"/>
          <w:rtl/>
        </w:rPr>
      </w:pPr>
      <w:r w:rsidRPr="00282AC9">
        <w:rPr>
          <w:rFonts w:hint="cs"/>
          <w:color w:val="auto"/>
          <w:rtl/>
        </w:rPr>
        <w:t xml:space="preserve">3ـ </w:t>
      </w:r>
      <w:r w:rsidR="00805DA5" w:rsidRPr="00282AC9">
        <w:rPr>
          <w:rFonts w:hint="cs"/>
          <w:color w:val="auto"/>
          <w:rtl/>
        </w:rPr>
        <w:t>التفريق بين المرتدّ الفطريّ والمرتدّ الملّي</w:t>
      </w:r>
    </w:p>
    <w:p w:rsidR="005A1BD7" w:rsidRPr="00282AC9" w:rsidRDefault="005A1BD7" w:rsidP="00C75E73">
      <w:pPr>
        <w:rPr>
          <w:sz w:val="27"/>
          <w:rtl/>
        </w:rPr>
      </w:pPr>
      <w:r w:rsidRPr="00282AC9">
        <w:rPr>
          <w:rFonts w:hint="cs"/>
          <w:sz w:val="27"/>
          <w:rtl/>
        </w:rPr>
        <w:t>لقد ميّ</w:t>
      </w:r>
      <w:r w:rsidR="00993BFC" w:rsidRPr="00282AC9">
        <w:rPr>
          <w:rFonts w:hint="cs"/>
          <w:sz w:val="27"/>
          <w:rtl/>
        </w:rPr>
        <w:t>َ</w:t>
      </w:r>
      <w:r w:rsidRPr="00282AC9">
        <w:rPr>
          <w:rFonts w:hint="cs"/>
          <w:sz w:val="27"/>
          <w:rtl/>
        </w:rPr>
        <w:t>ز أكثر فقهاء الإمامي</w:t>
      </w:r>
      <w:r w:rsidR="00993BFC" w:rsidRPr="00282AC9">
        <w:rPr>
          <w:rFonts w:hint="cs"/>
          <w:sz w:val="27"/>
          <w:rtl/>
        </w:rPr>
        <w:t>ّ</w:t>
      </w:r>
      <w:r w:rsidRPr="00282AC9">
        <w:rPr>
          <w:rFonts w:hint="cs"/>
          <w:sz w:val="27"/>
          <w:rtl/>
        </w:rPr>
        <w:t>ة بين المرتد</w:t>
      </w:r>
      <w:r w:rsidR="00993BFC" w:rsidRPr="00282AC9">
        <w:rPr>
          <w:rFonts w:hint="cs"/>
          <w:sz w:val="27"/>
          <w:rtl/>
        </w:rPr>
        <w:t>ّ</w:t>
      </w:r>
      <w:r w:rsidRPr="00282AC9">
        <w:rPr>
          <w:rFonts w:hint="cs"/>
          <w:sz w:val="27"/>
          <w:rtl/>
        </w:rPr>
        <w:t xml:space="preserve"> الفطري والمل</w:t>
      </w:r>
      <w:r w:rsidR="00993BFC" w:rsidRPr="00282AC9">
        <w:rPr>
          <w:rFonts w:hint="cs"/>
          <w:sz w:val="27"/>
          <w:rtl/>
        </w:rPr>
        <w:t>ّ</w:t>
      </w:r>
      <w:r w:rsidRPr="00282AC9">
        <w:rPr>
          <w:rFonts w:hint="cs"/>
          <w:sz w:val="27"/>
          <w:rtl/>
        </w:rPr>
        <w:t>ي، وقالوا: المرأة المرتد</w:t>
      </w:r>
      <w:r w:rsidR="00993BFC" w:rsidRPr="00282AC9">
        <w:rPr>
          <w:rFonts w:hint="cs"/>
          <w:sz w:val="27"/>
          <w:rtl/>
        </w:rPr>
        <w:t>ّ</w:t>
      </w:r>
      <w:r w:rsidRPr="00282AC9">
        <w:rPr>
          <w:rFonts w:hint="cs"/>
          <w:sz w:val="27"/>
          <w:rtl/>
        </w:rPr>
        <w:t>ة عن مل</w:t>
      </w:r>
      <w:r w:rsidR="00993BFC" w:rsidRPr="00282AC9">
        <w:rPr>
          <w:rFonts w:hint="cs"/>
          <w:sz w:val="27"/>
          <w:rtl/>
        </w:rPr>
        <w:t>ّ</w:t>
      </w:r>
      <w:r w:rsidRPr="00282AC9">
        <w:rPr>
          <w:rFonts w:hint="cs"/>
          <w:sz w:val="27"/>
          <w:rtl/>
        </w:rPr>
        <w:t>ة</w:t>
      </w:r>
      <w:r w:rsidR="00993BFC" w:rsidRPr="00282AC9">
        <w:rPr>
          <w:rFonts w:hint="cs"/>
          <w:sz w:val="27"/>
          <w:rtl/>
        </w:rPr>
        <w:t>ٍ</w:t>
      </w:r>
      <w:r w:rsidRPr="00282AC9">
        <w:rPr>
          <w:rFonts w:hint="cs"/>
          <w:sz w:val="27"/>
          <w:rtl/>
        </w:rPr>
        <w:t xml:space="preserve"> أو عن فطرة</w:t>
      </w:r>
      <w:r w:rsidR="00993BFC" w:rsidRPr="00282AC9">
        <w:rPr>
          <w:rFonts w:hint="cs"/>
          <w:sz w:val="27"/>
          <w:rtl/>
        </w:rPr>
        <w:t>ٍ</w:t>
      </w:r>
      <w:r w:rsidRPr="00282AC9">
        <w:rPr>
          <w:rFonts w:hint="cs"/>
          <w:sz w:val="27"/>
          <w:rtl/>
        </w:rPr>
        <w:t xml:space="preserve"> ت</w:t>
      </w:r>
      <w:r w:rsidR="00993BFC" w:rsidRPr="00282AC9">
        <w:rPr>
          <w:rFonts w:hint="cs"/>
          <w:sz w:val="27"/>
          <w:rtl/>
        </w:rPr>
        <w:t>ُ</w:t>
      </w:r>
      <w:r w:rsidRPr="00282AC9">
        <w:rPr>
          <w:rFonts w:hint="cs"/>
          <w:sz w:val="27"/>
          <w:rtl/>
        </w:rPr>
        <w:t>ستتاب، فيجب عرض الإسلام عليها، فإن</w:t>
      </w:r>
      <w:r w:rsidR="00993BFC" w:rsidRPr="00282AC9">
        <w:rPr>
          <w:rFonts w:hint="cs"/>
          <w:sz w:val="27"/>
          <w:rtl/>
        </w:rPr>
        <w:t>ْ</w:t>
      </w:r>
      <w:r w:rsidRPr="00282AC9">
        <w:rPr>
          <w:rFonts w:hint="cs"/>
          <w:sz w:val="27"/>
          <w:rtl/>
        </w:rPr>
        <w:t xml:space="preserve"> تابت</w:t>
      </w:r>
      <w:r w:rsidR="00993BFC" w:rsidRPr="00282AC9">
        <w:rPr>
          <w:rFonts w:hint="cs"/>
          <w:sz w:val="27"/>
          <w:rtl/>
        </w:rPr>
        <w:t>،</w:t>
      </w:r>
      <w:r w:rsidRPr="00282AC9">
        <w:rPr>
          <w:rFonts w:hint="cs"/>
          <w:sz w:val="27"/>
          <w:rtl/>
        </w:rPr>
        <w:t xml:space="preserve"> وإلا</w:t>
      </w:r>
      <w:r w:rsidR="00993BFC" w:rsidRPr="00282AC9">
        <w:rPr>
          <w:rFonts w:hint="cs"/>
          <w:sz w:val="27"/>
          <w:rtl/>
        </w:rPr>
        <w:t>ّ</w:t>
      </w:r>
      <w:r w:rsidRPr="00282AC9">
        <w:rPr>
          <w:rFonts w:hint="cs"/>
          <w:sz w:val="27"/>
          <w:rtl/>
        </w:rPr>
        <w:t xml:space="preserve"> قتلت. وإن</w:t>
      </w:r>
      <w:r w:rsidR="00993BFC" w:rsidRPr="00282AC9">
        <w:rPr>
          <w:rFonts w:hint="cs"/>
          <w:sz w:val="27"/>
          <w:rtl/>
        </w:rPr>
        <w:t>ْ</w:t>
      </w:r>
      <w:r w:rsidRPr="00282AC9">
        <w:rPr>
          <w:rFonts w:hint="cs"/>
          <w:sz w:val="27"/>
          <w:rtl/>
        </w:rPr>
        <w:t xml:space="preserve"> كان المرتد عن فطرة</w:t>
      </w:r>
      <w:r w:rsidR="00993BFC" w:rsidRPr="00282AC9">
        <w:rPr>
          <w:rFonts w:hint="cs"/>
          <w:sz w:val="27"/>
          <w:rtl/>
        </w:rPr>
        <w:t>ٍ</w:t>
      </w:r>
      <w:r w:rsidRPr="00282AC9">
        <w:rPr>
          <w:rFonts w:hint="cs"/>
          <w:sz w:val="27"/>
          <w:rtl/>
        </w:rPr>
        <w:t xml:space="preserve"> رجلاً فإنه ي</w:t>
      </w:r>
      <w:r w:rsidR="00993BFC" w:rsidRPr="00282AC9">
        <w:rPr>
          <w:rFonts w:hint="cs"/>
          <w:sz w:val="27"/>
          <w:rtl/>
        </w:rPr>
        <w:t>ُ</w:t>
      </w:r>
      <w:r w:rsidRPr="00282AC9">
        <w:rPr>
          <w:rFonts w:hint="cs"/>
          <w:sz w:val="27"/>
          <w:rtl/>
        </w:rPr>
        <w:t>قتل دون استتابة</w:t>
      </w:r>
      <w:r w:rsidR="00993BFC" w:rsidRPr="00282AC9">
        <w:rPr>
          <w:rFonts w:hint="cs"/>
          <w:sz w:val="27"/>
          <w:rtl/>
        </w:rPr>
        <w:t>ٍ</w:t>
      </w:r>
      <w:r w:rsidRPr="00282AC9">
        <w:rPr>
          <w:rFonts w:hint="cs"/>
          <w:sz w:val="27"/>
          <w:rtl/>
        </w:rPr>
        <w:t>. وقد اد</w:t>
      </w:r>
      <w:r w:rsidR="00993BFC" w:rsidRPr="00282AC9">
        <w:rPr>
          <w:rFonts w:hint="cs"/>
          <w:sz w:val="27"/>
          <w:rtl/>
        </w:rPr>
        <w:t>ّ</w:t>
      </w:r>
      <w:r w:rsidRPr="00282AC9">
        <w:rPr>
          <w:rFonts w:hint="cs"/>
          <w:sz w:val="27"/>
          <w:rtl/>
        </w:rPr>
        <w:t>عى صاحب (جواهر الكلام) الإجماع على ذلك</w:t>
      </w:r>
      <w:r w:rsidRPr="00282AC9">
        <w:rPr>
          <w:sz w:val="27"/>
          <w:vertAlign w:val="superscript"/>
          <w:rtl/>
        </w:rPr>
        <w:t>(</w:t>
      </w:r>
      <w:r w:rsidRPr="00282AC9">
        <w:rPr>
          <w:rStyle w:val="af9"/>
          <w:sz w:val="27"/>
          <w:rtl/>
        </w:rPr>
        <w:endnoteReference w:id="254"/>
      </w:r>
      <w:r w:rsidRPr="00282AC9">
        <w:rPr>
          <w:sz w:val="27"/>
          <w:vertAlign w:val="superscript"/>
          <w:rtl/>
        </w:rPr>
        <w:t>)</w:t>
      </w:r>
      <w:r w:rsidRPr="00282AC9">
        <w:rPr>
          <w:rFonts w:hint="cs"/>
          <w:sz w:val="27"/>
          <w:rtl/>
        </w:rPr>
        <w:t xml:space="preserve">. وقد اختار </w:t>
      </w:r>
      <w:r w:rsidRPr="00282AC9">
        <w:rPr>
          <w:rFonts w:hint="eastAsia"/>
          <w:sz w:val="24"/>
          <w:szCs w:val="24"/>
          <w:rtl/>
        </w:rPr>
        <w:t>«</w:t>
      </w:r>
      <w:r w:rsidRPr="00282AC9">
        <w:rPr>
          <w:rFonts w:hint="cs"/>
          <w:sz w:val="27"/>
          <w:rtl/>
        </w:rPr>
        <w:t>واصل بن عطاء</w:t>
      </w:r>
      <w:r w:rsidRPr="00282AC9">
        <w:rPr>
          <w:rFonts w:hint="eastAsia"/>
          <w:sz w:val="24"/>
          <w:szCs w:val="24"/>
          <w:rtl/>
        </w:rPr>
        <w:t>»</w:t>
      </w:r>
      <w:r w:rsidRPr="00282AC9">
        <w:rPr>
          <w:rFonts w:hint="cs"/>
          <w:sz w:val="27"/>
          <w:rtl/>
        </w:rPr>
        <w:t xml:space="preserve"> ـ من بين علماء السن</w:t>
      </w:r>
      <w:r w:rsidR="00993BFC" w:rsidRPr="00282AC9">
        <w:rPr>
          <w:rFonts w:hint="cs"/>
          <w:sz w:val="27"/>
          <w:rtl/>
        </w:rPr>
        <w:t>ّ</w:t>
      </w:r>
      <w:r w:rsidRPr="00282AC9">
        <w:rPr>
          <w:rFonts w:hint="cs"/>
          <w:sz w:val="27"/>
          <w:rtl/>
        </w:rPr>
        <w:t>ة ـ هذا الرأي، وقال بأن المرتد</w:t>
      </w:r>
      <w:r w:rsidR="00993BFC" w:rsidRPr="00282AC9">
        <w:rPr>
          <w:rFonts w:hint="cs"/>
          <w:sz w:val="27"/>
          <w:rtl/>
        </w:rPr>
        <w:t>ّ</w:t>
      </w:r>
      <w:r w:rsidRPr="00282AC9">
        <w:rPr>
          <w:rFonts w:hint="cs"/>
          <w:sz w:val="27"/>
          <w:rtl/>
        </w:rPr>
        <w:t xml:space="preserve"> الفطري لا ي</w:t>
      </w:r>
      <w:r w:rsidR="00993BFC" w:rsidRPr="00282AC9">
        <w:rPr>
          <w:rFonts w:hint="cs"/>
          <w:sz w:val="27"/>
          <w:rtl/>
        </w:rPr>
        <w:t>ُ</w:t>
      </w:r>
      <w:r w:rsidRPr="00282AC9">
        <w:rPr>
          <w:rFonts w:hint="cs"/>
          <w:sz w:val="27"/>
          <w:rtl/>
        </w:rPr>
        <w:t>ستتاب</w:t>
      </w:r>
      <w:r w:rsidR="00993BFC" w:rsidRPr="00282AC9">
        <w:rPr>
          <w:rFonts w:hint="cs"/>
          <w:sz w:val="27"/>
          <w:rtl/>
        </w:rPr>
        <w:t>،</w:t>
      </w:r>
      <w:r w:rsidRPr="00282AC9">
        <w:rPr>
          <w:rFonts w:hint="cs"/>
          <w:sz w:val="27"/>
          <w:rtl/>
        </w:rPr>
        <w:t xml:space="preserve"> وحكمه القتل</w:t>
      </w:r>
      <w:r w:rsidRPr="00282AC9">
        <w:rPr>
          <w:sz w:val="27"/>
          <w:vertAlign w:val="superscript"/>
          <w:rtl/>
        </w:rPr>
        <w:t>(</w:t>
      </w:r>
      <w:r w:rsidRPr="00282AC9">
        <w:rPr>
          <w:rStyle w:val="af9"/>
          <w:sz w:val="27"/>
          <w:rtl/>
        </w:rPr>
        <w:endnoteReference w:id="255"/>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إن مبنى هذا التفصيل بين فقهاء الإمامي</w:t>
      </w:r>
      <w:r w:rsidR="00993BFC" w:rsidRPr="00282AC9">
        <w:rPr>
          <w:rFonts w:hint="cs"/>
          <w:sz w:val="27"/>
          <w:rtl/>
        </w:rPr>
        <w:t>ّ</w:t>
      </w:r>
      <w:r w:rsidRPr="00282AC9">
        <w:rPr>
          <w:rFonts w:hint="cs"/>
          <w:sz w:val="27"/>
          <w:rtl/>
        </w:rPr>
        <w:t>ة يستند إلى روايات المعصومين</w:t>
      </w:r>
      <w:r w:rsidR="00876ECA" w:rsidRPr="00282AC9">
        <w:rPr>
          <w:rFonts w:cs="Mosawi" w:hint="cs"/>
          <w:sz w:val="22"/>
          <w:szCs w:val="22"/>
          <w:rtl/>
        </w:rPr>
        <w:t>^</w:t>
      </w:r>
      <w:r w:rsidRPr="00282AC9">
        <w:rPr>
          <w:rFonts w:hint="cs"/>
          <w:sz w:val="27"/>
          <w:rtl/>
        </w:rPr>
        <w:t>؛ وهي تنقسم إلى ثلاثة أقسام:</w:t>
      </w:r>
    </w:p>
    <w:p w:rsidR="005A1BD7" w:rsidRPr="00282AC9" w:rsidRDefault="005A1BD7" w:rsidP="00C75E73">
      <w:pPr>
        <w:rPr>
          <w:sz w:val="27"/>
          <w:rtl/>
        </w:rPr>
      </w:pPr>
      <w:r w:rsidRPr="00282AC9">
        <w:rPr>
          <w:rFonts w:hint="cs"/>
          <w:sz w:val="27"/>
          <w:rtl/>
        </w:rPr>
        <w:t>1ـ هناك من الروايات ما يدل</w:t>
      </w:r>
      <w:r w:rsidR="00993BFC" w:rsidRPr="00282AC9">
        <w:rPr>
          <w:rFonts w:hint="cs"/>
          <w:sz w:val="27"/>
          <w:rtl/>
        </w:rPr>
        <w:t>ّ</w:t>
      </w:r>
      <w:r w:rsidRPr="00282AC9">
        <w:rPr>
          <w:rFonts w:hint="cs"/>
          <w:sz w:val="27"/>
          <w:rtl/>
        </w:rPr>
        <w:t xml:space="preserve"> بشكل</w:t>
      </w:r>
      <w:r w:rsidR="00993BFC" w:rsidRPr="00282AC9">
        <w:rPr>
          <w:rFonts w:hint="cs"/>
          <w:sz w:val="27"/>
          <w:rtl/>
        </w:rPr>
        <w:t>ٍ</w:t>
      </w:r>
      <w:r w:rsidRPr="00282AC9">
        <w:rPr>
          <w:rFonts w:hint="cs"/>
          <w:sz w:val="27"/>
          <w:rtl/>
        </w:rPr>
        <w:t xml:space="preserve"> مطلق على أن المرتد ي</w:t>
      </w:r>
      <w:r w:rsidR="00993BFC" w:rsidRPr="00282AC9">
        <w:rPr>
          <w:rFonts w:hint="cs"/>
          <w:sz w:val="27"/>
          <w:rtl/>
        </w:rPr>
        <w:t>ُ</w:t>
      </w:r>
      <w:r w:rsidRPr="00282AC9">
        <w:rPr>
          <w:rFonts w:hint="cs"/>
          <w:sz w:val="27"/>
          <w:rtl/>
        </w:rPr>
        <w:t xml:space="preserve">قتل، دون أن يُستتاب: </w:t>
      </w:r>
      <w:r w:rsidRPr="00282AC9">
        <w:rPr>
          <w:rFonts w:hint="eastAsia"/>
          <w:sz w:val="24"/>
          <w:szCs w:val="24"/>
          <w:rtl/>
        </w:rPr>
        <w:t>«</w:t>
      </w:r>
      <w:r w:rsidRPr="00282AC9">
        <w:rPr>
          <w:rFonts w:hint="cs"/>
          <w:sz w:val="27"/>
          <w:rtl/>
        </w:rPr>
        <w:t>سألت</w:t>
      </w:r>
      <w:r w:rsidR="00993BFC" w:rsidRPr="00282AC9">
        <w:rPr>
          <w:rFonts w:hint="cs"/>
          <w:sz w:val="27"/>
          <w:rtl/>
        </w:rPr>
        <w:t>ُ</w:t>
      </w:r>
      <w:r w:rsidRPr="00282AC9">
        <w:rPr>
          <w:rFonts w:hint="cs"/>
          <w:sz w:val="27"/>
          <w:rtl/>
        </w:rPr>
        <w:t xml:space="preserve"> أبا جعفر</w:t>
      </w:r>
      <w:r w:rsidR="009A2A04" w:rsidRPr="00282AC9">
        <w:rPr>
          <w:rFonts w:cs="Mosawi"/>
          <w:sz w:val="22"/>
          <w:szCs w:val="22"/>
          <w:rtl/>
        </w:rPr>
        <w:t>×</w:t>
      </w:r>
      <w:r w:rsidRPr="00282AC9">
        <w:rPr>
          <w:sz w:val="27"/>
          <w:rtl/>
        </w:rPr>
        <w:t xml:space="preserve"> </w:t>
      </w:r>
      <w:r w:rsidRPr="00282AC9">
        <w:rPr>
          <w:rFonts w:hint="cs"/>
          <w:sz w:val="27"/>
          <w:rtl/>
        </w:rPr>
        <w:t>عن المرتد</w:t>
      </w:r>
      <w:r w:rsidR="00993BFC" w:rsidRPr="00282AC9">
        <w:rPr>
          <w:rFonts w:hint="cs"/>
          <w:sz w:val="27"/>
          <w:rtl/>
        </w:rPr>
        <w:t>ّ؟</w:t>
      </w:r>
      <w:r w:rsidRPr="00282AC9">
        <w:rPr>
          <w:sz w:val="27"/>
          <w:rtl/>
        </w:rPr>
        <w:t xml:space="preserve"> </w:t>
      </w:r>
      <w:r w:rsidRPr="00282AC9">
        <w:rPr>
          <w:rFonts w:hint="cs"/>
          <w:sz w:val="27"/>
          <w:rtl/>
        </w:rPr>
        <w:t>فقال:</w:t>
      </w:r>
      <w:r w:rsidRPr="00282AC9">
        <w:rPr>
          <w:sz w:val="27"/>
          <w:rtl/>
        </w:rPr>
        <w:t xml:space="preserve"> </w:t>
      </w:r>
      <w:r w:rsidRPr="00282AC9">
        <w:rPr>
          <w:rFonts w:hint="cs"/>
          <w:sz w:val="27"/>
          <w:rtl/>
        </w:rPr>
        <w:t>م</w:t>
      </w:r>
      <w:r w:rsidR="00993BFC" w:rsidRPr="00282AC9">
        <w:rPr>
          <w:rFonts w:hint="cs"/>
          <w:sz w:val="27"/>
          <w:rtl/>
        </w:rPr>
        <w:t>َ</w:t>
      </w:r>
      <w:r w:rsidRPr="00282AC9">
        <w:rPr>
          <w:rFonts w:hint="cs"/>
          <w:sz w:val="27"/>
          <w:rtl/>
        </w:rPr>
        <w:t>ن</w:t>
      </w:r>
      <w:r w:rsidR="00993BFC" w:rsidRPr="00282AC9">
        <w:rPr>
          <w:rFonts w:hint="cs"/>
          <w:sz w:val="27"/>
          <w:rtl/>
        </w:rPr>
        <w:t>ْ</w:t>
      </w:r>
      <w:r w:rsidRPr="00282AC9">
        <w:rPr>
          <w:rFonts w:hint="cs"/>
          <w:sz w:val="27"/>
          <w:rtl/>
        </w:rPr>
        <w:t xml:space="preserve"> رغب عن الإسلام، وكفر بما أ</w:t>
      </w:r>
      <w:r w:rsidR="00993BFC" w:rsidRPr="00282AC9">
        <w:rPr>
          <w:rFonts w:hint="cs"/>
          <w:sz w:val="27"/>
          <w:rtl/>
        </w:rPr>
        <w:t>ُ</w:t>
      </w:r>
      <w:r w:rsidRPr="00282AC9">
        <w:rPr>
          <w:rFonts w:hint="cs"/>
          <w:sz w:val="27"/>
          <w:rtl/>
        </w:rPr>
        <w:t>نزل على محمد</w:t>
      </w:r>
      <w:r w:rsidR="009A2A04" w:rsidRPr="00282AC9">
        <w:rPr>
          <w:rFonts w:cs="Mosawi" w:hint="cs"/>
          <w:sz w:val="22"/>
          <w:szCs w:val="22"/>
          <w:rtl/>
        </w:rPr>
        <w:t>|</w:t>
      </w:r>
      <w:r w:rsidRPr="00282AC9">
        <w:rPr>
          <w:rFonts w:hint="cs"/>
          <w:sz w:val="27"/>
          <w:rtl/>
        </w:rPr>
        <w:t xml:space="preserve"> بعد إسلامه، فلا توبة له، وقد وجب قتل</w:t>
      </w:r>
      <w:r w:rsidR="00993BFC" w:rsidRPr="00282AC9">
        <w:rPr>
          <w:rFonts w:hint="cs"/>
          <w:sz w:val="27"/>
          <w:rtl/>
        </w:rPr>
        <w:t>ُ</w:t>
      </w:r>
      <w:r w:rsidRPr="00282AC9">
        <w:rPr>
          <w:rFonts w:hint="cs"/>
          <w:sz w:val="27"/>
          <w:rtl/>
        </w:rPr>
        <w:t>ه، وبان</w:t>
      </w:r>
      <w:r w:rsidR="00993BFC" w:rsidRPr="00282AC9">
        <w:rPr>
          <w:rFonts w:hint="cs"/>
          <w:sz w:val="27"/>
          <w:rtl/>
        </w:rPr>
        <w:t>َ</w:t>
      </w:r>
      <w:r w:rsidRPr="00282AC9">
        <w:rPr>
          <w:rFonts w:hint="cs"/>
          <w:sz w:val="27"/>
          <w:rtl/>
        </w:rPr>
        <w:t>ت</w:t>
      </w:r>
      <w:r w:rsidR="00993BFC" w:rsidRPr="00282AC9">
        <w:rPr>
          <w:rFonts w:hint="cs"/>
          <w:sz w:val="27"/>
          <w:rtl/>
        </w:rPr>
        <w:t>ْ</w:t>
      </w:r>
      <w:r w:rsidRPr="00282AC9">
        <w:rPr>
          <w:rFonts w:hint="cs"/>
          <w:sz w:val="27"/>
          <w:rtl/>
        </w:rPr>
        <w:t xml:space="preserve"> منه </w:t>
      </w:r>
      <w:r w:rsidR="00993BFC" w:rsidRPr="00282AC9">
        <w:rPr>
          <w:rFonts w:hint="cs"/>
          <w:sz w:val="27"/>
          <w:rtl/>
        </w:rPr>
        <w:t>ا</w:t>
      </w:r>
      <w:r w:rsidRPr="00282AC9">
        <w:rPr>
          <w:rFonts w:hint="cs"/>
          <w:sz w:val="27"/>
          <w:rtl/>
        </w:rPr>
        <w:t>مرأته، ويقسّ</w:t>
      </w:r>
      <w:r w:rsidR="00993BFC" w:rsidRPr="00282AC9">
        <w:rPr>
          <w:rFonts w:hint="cs"/>
          <w:sz w:val="27"/>
          <w:rtl/>
        </w:rPr>
        <w:t>َ</w:t>
      </w:r>
      <w:r w:rsidRPr="00282AC9">
        <w:rPr>
          <w:rFonts w:hint="cs"/>
          <w:sz w:val="27"/>
          <w:rtl/>
        </w:rPr>
        <w:t>م ما ترك على وُل</w:t>
      </w:r>
      <w:r w:rsidR="00993BFC" w:rsidRPr="00282AC9">
        <w:rPr>
          <w:rFonts w:hint="cs"/>
          <w:sz w:val="27"/>
          <w:rtl/>
        </w:rPr>
        <w:t>ْ</w:t>
      </w:r>
      <w:r w:rsidRPr="00282AC9">
        <w:rPr>
          <w:rFonts w:hint="cs"/>
          <w:sz w:val="27"/>
          <w:rtl/>
        </w:rPr>
        <w:t>د</w:t>
      </w:r>
      <w:r w:rsidR="00993BFC" w:rsidRPr="00282AC9">
        <w:rPr>
          <w:rFonts w:hint="cs"/>
          <w:sz w:val="27"/>
          <w:rtl/>
        </w:rPr>
        <w:t>ِ</w:t>
      </w:r>
      <w:r w:rsidRPr="00282AC9">
        <w:rPr>
          <w:rFonts w:hint="cs"/>
          <w:sz w:val="27"/>
          <w:rtl/>
        </w:rPr>
        <w:t>ه</w:t>
      </w:r>
      <w:r w:rsidRPr="00282AC9">
        <w:rPr>
          <w:rFonts w:hint="eastAsia"/>
          <w:sz w:val="24"/>
          <w:szCs w:val="24"/>
          <w:rtl/>
        </w:rPr>
        <w:t>»</w:t>
      </w:r>
      <w:r w:rsidRPr="00282AC9">
        <w:rPr>
          <w:sz w:val="27"/>
          <w:vertAlign w:val="superscript"/>
          <w:rtl/>
        </w:rPr>
        <w:t>(</w:t>
      </w:r>
      <w:r w:rsidRPr="00282AC9">
        <w:rPr>
          <w:rStyle w:val="af9"/>
          <w:sz w:val="27"/>
          <w:rtl/>
        </w:rPr>
        <w:endnoteReference w:id="256"/>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2ـ القسم الثاني</w:t>
      </w:r>
      <w:r w:rsidR="00993BFC" w:rsidRPr="00282AC9">
        <w:rPr>
          <w:rFonts w:hint="cs"/>
          <w:sz w:val="27"/>
          <w:rtl/>
        </w:rPr>
        <w:t xml:space="preserve"> من الروايات</w:t>
      </w:r>
      <w:r w:rsidRPr="00282AC9">
        <w:rPr>
          <w:rFonts w:hint="cs"/>
          <w:sz w:val="27"/>
          <w:rtl/>
        </w:rPr>
        <w:t xml:space="preserve"> يدل</w:t>
      </w:r>
      <w:r w:rsidR="00993BFC" w:rsidRPr="00282AC9">
        <w:rPr>
          <w:rFonts w:hint="cs"/>
          <w:sz w:val="27"/>
          <w:rtl/>
        </w:rPr>
        <w:t>ّ</w:t>
      </w:r>
      <w:r w:rsidRPr="00282AC9">
        <w:rPr>
          <w:rFonts w:hint="cs"/>
          <w:sz w:val="27"/>
          <w:rtl/>
        </w:rPr>
        <w:t xml:space="preserve"> بشكل</w:t>
      </w:r>
      <w:r w:rsidR="00993BFC" w:rsidRPr="00282AC9">
        <w:rPr>
          <w:rFonts w:hint="cs"/>
          <w:sz w:val="27"/>
          <w:rtl/>
        </w:rPr>
        <w:t>ٍ</w:t>
      </w:r>
      <w:r w:rsidRPr="00282AC9">
        <w:rPr>
          <w:rFonts w:hint="cs"/>
          <w:sz w:val="27"/>
          <w:rtl/>
        </w:rPr>
        <w:t xml:space="preserve"> مطلق على أن توبة المسلم ت</w:t>
      </w:r>
      <w:r w:rsidR="00993BFC" w:rsidRPr="00282AC9">
        <w:rPr>
          <w:rFonts w:hint="cs"/>
          <w:sz w:val="27"/>
          <w:rtl/>
        </w:rPr>
        <w:t>ُ</w:t>
      </w:r>
      <w:r w:rsidRPr="00282AC9">
        <w:rPr>
          <w:rFonts w:hint="cs"/>
          <w:sz w:val="27"/>
          <w:rtl/>
        </w:rPr>
        <w:t>ق</w:t>
      </w:r>
      <w:r w:rsidR="00993BFC" w:rsidRPr="00282AC9">
        <w:rPr>
          <w:rFonts w:hint="cs"/>
          <w:sz w:val="27"/>
          <w:rtl/>
        </w:rPr>
        <w:t>ْ</w:t>
      </w:r>
      <w:r w:rsidRPr="00282AC9">
        <w:rPr>
          <w:rFonts w:hint="cs"/>
          <w:sz w:val="27"/>
          <w:rtl/>
        </w:rPr>
        <w:t>ب</w:t>
      </w:r>
      <w:r w:rsidR="00993BFC" w:rsidRPr="00282AC9">
        <w:rPr>
          <w:rFonts w:hint="cs"/>
          <w:sz w:val="27"/>
          <w:rtl/>
        </w:rPr>
        <w:t>َ</w:t>
      </w:r>
      <w:r w:rsidRPr="00282AC9">
        <w:rPr>
          <w:rFonts w:hint="cs"/>
          <w:sz w:val="27"/>
          <w:rtl/>
        </w:rPr>
        <w:t>ل بعد الارتداد، فإن</w:t>
      </w:r>
      <w:r w:rsidR="00993BFC" w:rsidRPr="00282AC9">
        <w:rPr>
          <w:rFonts w:hint="cs"/>
          <w:sz w:val="27"/>
          <w:rtl/>
        </w:rPr>
        <w:t>ْ</w:t>
      </w:r>
      <w:r w:rsidRPr="00282AC9">
        <w:rPr>
          <w:rFonts w:hint="cs"/>
          <w:sz w:val="27"/>
          <w:rtl/>
        </w:rPr>
        <w:t xml:space="preserve"> لم يت</w:t>
      </w:r>
      <w:r w:rsidR="00993BFC" w:rsidRPr="00282AC9">
        <w:rPr>
          <w:rFonts w:hint="cs"/>
          <w:sz w:val="27"/>
          <w:rtl/>
        </w:rPr>
        <w:t>ُ</w:t>
      </w:r>
      <w:r w:rsidRPr="00282AC9">
        <w:rPr>
          <w:rFonts w:hint="cs"/>
          <w:sz w:val="27"/>
          <w:rtl/>
        </w:rPr>
        <w:t>ب</w:t>
      </w:r>
      <w:r w:rsidR="00993BFC" w:rsidRPr="00282AC9">
        <w:rPr>
          <w:rFonts w:hint="cs"/>
          <w:sz w:val="27"/>
          <w:rtl/>
        </w:rPr>
        <w:t>ْ</w:t>
      </w:r>
      <w:r w:rsidRPr="00282AC9">
        <w:rPr>
          <w:rFonts w:hint="cs"/>
          <w:sz w:val="27"/>
          <w:rtl/>
        </w:rPr>
        <w:t xml:space="preserve"> يُق</w:t>
      </w:r>
      <w:r w:rsidR="00993BFC" w:rsidRPr="00282AC9">
        <w:rPr>
          <w:rFonts w:hint="cs"/>
          <w:sz w:val="27"/>
          <w:rtl/>
        </w:rPr>
        <w:t>ْ</w:t>
      </w:r>
      <w:r w:rsidRPr="00282AC9">
        <w:rPr>
          <w:rFonts w:hint="cs"/>
          <w:sz w:val="27"/>
          <w:rtl/>
        </w:rPr>
        <w:t>ت</w:t>
      </w:r>
      <w:r w:rsidR="00993BFC" w:rsidRPr="00282AC9">
        <w:rPr>
          <w:rFonts w:hint="cs"/>
          <w:sz w:val="27"/>
          <w:rtl/>
        </w:rPr>
        <w:t>َ</w:t>
      </w:r>
      <w:r w:rsidRPr="00282AC9">
        <w:rPr>
          <w:rFonts w:hint="cs"/>
          <w:sz w:val="27"/>
          <w:rtl/>
        </w:rPr>
        <w:t>ل</w:t>
      </w:r>
      <w:r w:rsidR="00993BFC" w:rsidRPr="00282AC9">
        <w:rPr>
          <w:rFonts w:hint="cs"/>
          <w:sz w:val="27"/>
          <w:rtl/>
        </w:rPr>
        <w:t>.</w:t>
      </w:r>
      <w:r w:rsidRPr="00282AC9">
        <w:rPr>
          <w:rFonts w:hint="cs"/>
          <w:sz w:val="27"/>
          <w:rtl/>
        </w:rPr>
        <w:t xml:space="preserve"> فعن أبي جعفر</w:t>
      </w:r>
      <w:r w:rsidR="009A2A04" w:rsidRPr="00282AC9">
        <w:rPr>
          <w:rFonts w:cs="Mosawi" w:hint="cs"/>
          <w:sz w:val="22"/>
          <w:szCs w:val="22"/>
          <w:rtl/>
        </w:rPr>
        <w:t>×</w:t>
      </w:r>
      <w:r w:rsidRPr="00282AC9">
        <w:rPr>
          <w:rFonts w:hint="cs"/>
          <w:sz w:val="27"/>
          <w:rtl/>
        </w:rPr>
        <w:t xml:space="preserve"> أنه قال: </w:t>
      </w:r>
      <w:r w:rsidRPr="00282AC9">
        <w:rPr>
          <w:rFonts w:hint="eastAsia"/>
          <w:sz w:val="24"/>
          <w:szCs w:val="24"/>
          <w:rtl/>
        </w:rPr>
        <w:t>«</w:t>
      </w:r>
      <w:r w:rsidRPr="00282AC9">
        <w:rPr>
          <w:rFonts w:hint="cs"/>
          <w:sz w:val="27"/>
          <w:rtl/>
        </w:rPr>
        <w:t>م</w:t>
      </w:r>
      <w:r w:rsidR="00993BFC" w:rsidRPr="00282AC9">
        <w:rPr>
          <w:rFonts w:hint="cs"/>
          <w:sz w:val="27"/>
          <w:rtl/>
        </w:rPr>
        <w:t>َ</w:t>
      </w:r>
      <w:r w:rsidRPr="00282AC9">
        <w:rPr>
          <w:rFonts w:hint="cs"/>
          <w:sz w:val="27"/>
          <w:rtl/>
        </w:rPr>
        <w:t>ن</w:t>
      </w:r>
      <w:r w:rsidR="00993BFC" w:rsidRPr="00282AC9">
        <w:rPr>
          <w:rFonts w:hint="cs"/>
          <w:sz w:val="27"/>
          <w:rtl/>
        </w:rPr>
        <w:t>ْ</w:t>
      </w:r>
      <w:r w:rsidRPr="00282AC9">
        <w:rPr>
          <w:rFonts w:hint="cs"/>
          <w:sz w:val="27"/>
          <w:rtl/>
        </w:rPr>
        <w:t xml:space="preserve"> جحد نبي</w:t>
      </w:r>
      <w:r w:rsidR="00993BFC" w:rsidRPr="00282AC9">
        <w:rPr>
          <w:rFonts w:hint="cs"/>
          <w:sz w:val="27"/>
          <w:rtl/>
        </w:rPr>
        <w:t>ّ</w:t>
      </w:r>
      <w:r w:rsidRPr="00282AC9">
        <w:rPr>
          <w:rFonts w:hint="cs"/>
          <w:sz w:val="27"/>
          <w:rtl/>
        </w:rPr>
        <w:t>اً م</w:t>
      </w:r>
      <w:r w:rsidR="00993BFC" w:rsidRPr="00282AC9">
        <w:rPr>
          <w:rFonts w:hint="cs"/>
          <w:sz w:val="27"/>
          <w:rtl/>
        </w:rPr>
        <w:t>ُ</w:t>
      </w:r>
      <w:r w:rsidRPr="00282AC9">
        <w:rPr>
          <w:rFonts w:hint="cs"/>
          <w:sz w:val="27"/>
          <w:rtl/>
        </w:rPr>
        <w:t>رس</w:t>
      </w:r>
      <w:r w:rsidR="00993BFC" w:rsidRPr="00282AC9">
        <w:rPr>
          <w:rFonts w:hint="cs"/>
          <w:sz w:val="27"/>
          <w:rtl/>
        </w:rPr>
        <w:t>َ</w:t>
      </w:r>
      <w:r w:rsidRPr="00282AC9">
        <w:rPr>
          <w:rFonts w:hint="cs"/>
          <w:sz w:val="27"/>
          <w:rtl/>
        </w:rPr>
        <w:t>لاً نبوّ</w:t>
      </w:r>
      <w:r w:rsidR="00993BFC" w:rsidRPr="00282AC9">
        <w:rPr>
          <w:rFonts w:hint="cs"/>
          <w:sz w:val="27"/>
          <w:rtl/>
        </w:rPr>
        <w:t>َ</w:t>
      </w:r>
      <w:r w:rsidRPr="00282AC9">
        <w:rPr>
          <w:rFonts w:hint="cs"/>
          <w:sz w:val="27"/>
          <w:rtl/>
        </w:rPr>
        <w:t>ته</w:t>
      </w:r>
      <w:r w:rsidR="00993BFC" w:rsidRPr="00282AC9">
        <w:rPr>
          <w:rFonts w:hint="cs"/>
          <w:sz w:val="27"/>
          <w:rtl/>
        </w:rPr>
        <w:t>،</w:t>
      </w:r>
      <w:r w:rsidRPr="00282AC9">
        <w:rPr>
          <w:rFonts w:hint="cs"/>
          <w:sz w:val="27"/>
          <w:rtl/>
        </w:rPr>
        <w:t xml:space="preserve"> وكذّ</w:t>
      </w:r>
      <w:r w:rsidR="00993BFC" w:rsidRPr="00282AC9">
        <w:rPr>
          <w:rFonts w:hint="cs"/>
          <w:sz w:val="27"/>
          <w:rtl/>
        </w:rPr>
        <w:t>َ</w:t>
      </w:r>
      <w:r w:rsidRPr="00282AC9">
        <w:rPr>
          <w:rFonts w:hint="cs"/>
          <w:sz w:val="27"/>
          <w:rtl/>
        </w:rPr>
        <w:t>به، فدمه مباح</w:t>
      </w:r>
      <w:r w:rsidR="00541EA4" w:rsidRPr="00282AC9">
        <w:rPr>
          <w:rFonts w:hint="cs"/>
          <w:sz w:val="27"/>
          <w:rtl/>
        </w:rPr>
        <w:t>ٌ</w:t>
      </w:r>
      <w:r w:rsidRPr="00282AC9">
        <w:rPr>
          <w:rFonts w:hint="eastAsia"/>
          <w:sz w:val="24"/>
          <w:szCs w:val="24"/>
          <w:rtl/>
        </w:rPr>
        <w:t>»</w:t>
      </w:r>
      <w:r w:rsidR="00541EA4" w:rsidRPr="00282AC9">
        <w:rPr>
          <w:rFonts w:hint="cs"/>
          <w:sz w:val="27"/>
          <w:rtl/>
        </w:rPr>
        <w:t>،</w:t>
      </w:r>
      <w:r w:rsidRPr="00282AC9">
        <w:rPr>
          <w:rFonts w:hint="cs"/>
          <w:sz w:val="27"/>
          <w:rtl/>
        </w:rPr>
        <w:t xml:space="preserve"> قال</w:t>
      </w:r>
      <w:r w:rsidR="00541EA4" w:rsidRPr="00282AC9">
        <w:rPr>
          <w:rFonts w:hint="cs"/>
          <w:sz w:val="27"/>
          <w:rtl/>
        </w:rPr>
        <w:t>:</w:t>
      </w:r>
      <w:r w:rsidRPr="00282AC9">
        <w:rPr>
          <w:rFonts w:hint="cs"/>
          <w:sz w:val="27"/>
          <w:rtl/>
        </w:rPr>
        <w:t xml:space="preserve"> فقلت</w:t>
      </w:r>
      <w:r w:rsidR="00541EA4" w:rsidRPr="00282AC9">
        <w:rPr>
          <w:rFonts w:hint="cs"/>
          <w:sz w:val="27"/>
          <w:rtl/>
        </w:rPr>
        <w:t>ُ</w:t>
      </w:r>
      <w:r w:rsidRPr="00282AC9">
        <w:rPr>
          <w:rFonts w:hint="cs"/>
          <w:sz w:val="27"/>
          <w:rtl/>
        </w:rPr>
        <w:t xml:space="preserve"> له:</w:t>
      </w:r>
      <w:r w:rsidRPr="00282AC9">
        <w:rPr>
          <w:sz w:val="27"/>
          <w:rtl/>
        </w:rPr>
        <w:t xml:space="preserve"> أ</w:t>
      </w:r>
      <w:r w:rsidRPr="00282AC9">
        <w:rPr>
          <w:rFonts w:hint="cs"/>
          <w:sz w:val="27"/>
          <w:rtl/>
        </w:rPr>
        <w:t>رأي</w:t>
      </w:r>
      <w:r w:rsidR="00541EA4" w:rsidRPr="00282AC9">
        <w:rPr>
          <w:rFonts w:hint="cs"/>
          <w:sz w:val="27"/>
          <w:rtl/>
        </w:rPr>
        <w:t>ْ</w:t>
      </w:r>
      <w:r w:rsidRPr="00282AC9">
        <w:rPr>
          <w:rFonts w:hint="cs"/>
          <w:sz w:val="27"/>
          <w:rtl/>
        </w:rPr>
        <w:t>ت</w:t>
      </w:r>
      <w:r w:rsidR="00541EA4" w:rsidRPr="00282AC9">
        <w:rPr>
          <w:rFonts w:hint="cs"/>
          <w:sz w:val="27"/>
          <w:rtl/>
        </w:rPr>
        <w:t>َ</w:t>
      </w:r>
      <w:r w:rsidRPr="00282AC9">
        <w:rPr>
          <w:rFonts w:hint="cs"/>
          <w:sz w:val="27"/>
          <w:rtl/>
        </w:rPr>
        <w:t xml:space="preserve"> م</w:t>
      </w:r>
      <w:r w:rsidR="00541EA4" w:rsidRPr="00282AC9">
        <w:rPr>
          <w:rFonts w:hint="cs"/>
          <w:sz w:val="27"/>
          <w:rtl/>
        </w:rPr>
        <w:t>َ</w:t>
      </w:r>
      <w:r w:rsidRPr="00282AC9">
        <w:rPr>
          <w:rFonts w:hint="cs"/>
          <w:sz w:val="27"/>
          <w:rtl/>
        </w:rPr>
        <w:t>ن</w:t>
      </w:r>
      <w:r w:rsidR="00541EA4" w:rsidRPr="00282AC9">
        <w:rPr>
          <w:rFonts w:hint="cs"/>
          <w:sz w:val="27"/>
          <w:rtl/>
        </w:rPr>
        <w:t>ْ</w:t>
      </w:r>
      <w:r w:rsidRPr="00282AC9">
        <w:rPr>
          <w:rFonts w:hint="cs"/>
          <w:sz w:val="27"/>
          <w:rtl/>
        </w:rPr>
        <w:t xml:space="preserve"> جحد الإمام منكم، ما حاله؟ فقال: </w:t>
      </w:r>
      <w:r w:rsidRPr="00282AC9">
        <w:rPr>
          <w:rFonts w:hint="eastAsia"/>
          <w:sz w:val="24"/>
          <w:szCs w:val="24"/>
          <w:rtl/>
        </w:rPr>
        <w:lastRenderedPageBreak/>
        <w:t>«</w:t>
      </w:r>
      <w:r w:rsidRPr="00282AC9">
        <w:rPr>
          <w:sz w:val="27"/>
          <w:rtl/>
        </w:rPr>
        <w:t>م</w:t>
      </w:r>
      <w:r w:rsidR="00541EA4" w:rsidRPr="00282AC9">
        <w:rPr>
          <w:rFonts w:hint="cs"/>
          <w:sz w:val="27"/>
          <w:rtl/>
        </w:rPr>
        <w:t>َ</w:t>
      </w:r>
      <w:r w:rsidRPr="00282AC9">
        <w:rPr>
          <w:sz w:val="27"/>
          <w:rtl/>
        </w:rPr>
        <w:t>ن</w:t>
      </w:r>
      <w:r w:rsidR="00541EA4" w:rsidRPr="00282AC9">
        <w:rPr>
          <w:rFonts w:hint="cs"/>
          <w:sz w:val="27"/>
          <w:rtl/>
        </w:rPr>
        <w:t>ْ</w:t>
      </w:r>
      <w:r w:rsidRPr="00282AC9">
        <w:rPr>
          <w:rFonts w:hint="cs"/>
          <w:sz w:val="27"/>
          <w:rtl/>
        </w:rPr>
        <w:t xml:space="preserve"> جحد إماماً برئ من الله</w:t>
      </w:r>
      <w:r w:rsidR="00541EA4" w:rsidRPr="00282AC9">
        <w:rPr>
          <w:rFonts w:hint="cs"/>
          <w:sz w:val="27"/>
          <w:rtl/>
        </w:rPr>
        <w:t>،</w:t>
      </w:r>
      <w:r w:rsidRPr="00282AC9">
        <w:rPr>
          <w:rFonts w:hint="cs"/>
          <w:sz w:val="27"/>
          <w:rtl/>
        </w:rPr>
        <w:t xml:space="preserve"> وبرئ منه ومن دينه، فهو كافر</w:t>
      </w:r>
      <w:r w:rsidR="00541EA4" w:rsidRPr="00282AC9">
        <w:rPr>
          <w:rFonts w:hint="cs"/>
          <w:sz w:val="27"/>
          <w:rtl/>
        </w:rPr>
        <w:t>ٌ</w:t>
      </w:r>
      <w:r w:rsidRPr="00282AC9">
        <w:rPr>
          <w:rFonts w:hint="cs"/>
          <w:sz w:val="27"/>
          <w:rtl/>
        </w:rPr>
        <w:t xml:space="preserve"> مرتد</w:t>
      </w:r>
      <w:r w:rsidR="00541EA4" w:rsidRPr="00282AC9">
        <w:rPr>
          <w:rFonts w:hint="cs"/>
          <w:sz w:val="27"/>
          <w:rtl/>
        </w:rPr>
        <w:t>ّ</w:t>
      </w:r>
      <w:r w:rsidRPr="00282AC9">
        <w:rPr>
          <w:rFonts w:hint="cs"/>
          <w:sz w:val="27"/>
          <w:rtl/>
        </w:rPr>
        <w:t xml:space="preserve"> عن الإسلام؛ لأن الإمام من الله، ودينه دين الله، وم</w:t>
      </w:r>
      <w:r w:rsidR="00541EA4" w:rsidRPr="00282AC9">
        <w:rPr>
          <w:rFonts w:hint="cs"/>
          <w:sz w:val="27"/>
          <w:rtl/>
        </w:rPr>
        <w:t>َ</w:t>
      </w:r>
      <w:r w:rsidRPr="00282AC9">
        <w:rPr>
          <w:rFonts w:hint="cs"/>
          <w:sz w:val="27"/>
          <w:rtl/>
        </w:rPr>
        <w:t>ن</w:t>
      </w:r>
      <w:r w:rsidR="00541EA4" w:rsidRPr="00282AC9">
        <w:rPr>
          <w:rFonts w:hint="cs"/>
          <w:sz w:val="27"/>
          <w:rtl/>
        </w:rPr>
        <w:t>ْ</w:t>
      </w:r>
      <w:r w:rsidRPr="00282AC9">
        <w:rPr>
          <w:rFonts w:hint="cs"/>
          <w:sz w:val="27"/>
          <w:rtl/>
        </w:rPr>
        <w:t xml:space="preserve"> برئ من دين الله فهو كافر</w:t>
      </w:r>
      <w:r w:rsidR="00541EA4" w:rsidRPr="00282AC9">
        <w:rPr>
          <w:rFonts w:hint="cs"/>
          <w:sz w:val="27"/>
          <w:rtl/>
        </w:rPr>
        <w:t>ٌ</w:t>
      </w:r>
      <w:r w:rsidRPr="00282AC9">
        <w:rPr>
          <w:rFonts w:hint="cs"/>
          <w:sz w:val="27"/>
          <w:rtl/>
        </w:rPr>
        <w:t>، ودمه مباح</w:t>
      </w:r>
      <w:r w:rsidR="00541EA4" w:rsidRPr="00282AC9">
        <w:rPr>
          <w:rFonts w:hint="cs"/>
          <w:sz w:val="27"/>
          <w:rtl/>
        </w:rPr>
        <w:t>ٌ</w:t>
      </w:r>
      <w:r w:rsidRPr="00282AC9">
        <w:rPr>
          <w:rFonts w:hint="cs"/>
          <w:sz w:val="27"/>
          <w:rtl/>
        </w:rPr>
        <w:t xml:space="preserve"> في تلك الحال، إلا</w:t>
      </w:r>
      <w:r w:rsidR="00541EA4" w:rsidRPr="00282AC9">
        <w:rPr>
          <w:rFonts w:hint="cs"/>
          <w:sz w:val="27"/>
          <w:rtl/>
        </w:rPr>
        <w:t>ّ</w:t>
      </w:r>
      <w:r w:rsidRPr="00282AC9">
        <w:rPr>
          <w:rFonts w:hint="cs"/>
          <w:sz w:val="27"/>
          <w:rtl/>
        </w:rPr>
        <w:t xml:space="preserve"> أن يرجع ويتوب إلى الله ـ عزّ</w:t>
      </w:r>
      <w:r w:rsidR="00541EA4" w:rsidRPr="00282AC9">
        <w:rPr>
          <w:rFonts w:hint="cs"/>
          <w:sz w:val="27"/>
          <w:rtl/>
        </w:rPr>
        <w:t>َ</w:t>
      </w:r>
      <w:r w:rsidRPr="00282AC9">
        <w:rPr>
          <w:rFonts w:hint="cs"/>
          <w:sz w:val="27"/>
          <w:rtl/>
        </w:rPr>
        <w:t xml:space="preserve"> وجل</w:t>
      </w:r>
      <w:r w:rsidR="00541EA4" w:rsidRPr="00282AC9">
        <w:rPr>
          <w:rFonts w:hint="cs"/>
          <w:sz w:val="27"/>
          <w:rtl/>
        </w:rPr>
        <w:t>َّ</w:t>
      </w:r>
      <w:r w:rsidRPr="00282AC9">
        <w:rPr>
          <w:rFonts w:hint="cs"/>
          <w:sz w:val="27"/>
          <w:rtl/>
        </w:rPr>
        <w:t xml:space="preserve"> ـ ممّا قال</w:t>
      </w:r>
      <w:r w:rsidRPr="00282AC9">
        <w:rPr>
          <w:rFonts w:hint="eastAsia"/>
          <w:sz w:val="24"/>
          <w:szCs w:val="24"/>
          <w:rtl/>
        </w:rPr>
        <w:t>»</w:t>
      </w:r>
      <w:r w:rsidRPr="00282AC9">
        <w:rPr>
          <w:sz w:val="27"/>
          <w:vertAlign w:val="superscript"/>
          <w:rtl/>
        </w:rPr>
        <w:t>(</w:t>
      </w:r>
      <w:r w:rsidRPr="00282AC9">
        <w:rPr>
          <w:rStyle w:val="af9"/>
          <w:sz w:val="27"/>
          <w:rtl/>
        </w:rPr>
        <w:endnoteReference w:id="257"/>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3ـ القسم الثالث ه</w:t>
      </w:r>
      <w:r w:rsidR="00661F65" w:rsidRPr="00282AC9">
        <w:rPr>
          <w:rFonts w:hint="cs"/>
          <w:sz w:val="27"/>
          <w:rtl/>
        </w:rPr>
        <w:t>و</w:t>
      </w:r>
      <w:r w:rsidRPr="00282AC9">
        <w:rPr>
          <w:rFonts w:hint="cs"/>
          <w:sz w:val="27"/>
          <w:rtl/>
        </w:rPr>
        <w:t xml:space="preserve"> الروايات التي تفرّ</w:t>
      </w:r>
      <w:r w:rsidR="00661F65" w:rsidRPr="00282AC9">
        <w:rPr>
          <w:rFonts w:hint="cs"/>
          <w:sz w:val="27"/>
          <w:rtl/>
        </w:rPr>
        <w:t>ِ</w:t>
      </w:r>
      <w:r w:rsidRPr="00282AC9">
        <w:rPr>
          <w:rFonts w:hint="cs"/>
          <w:sz w:val="27"/>
          <w:rtl/>
        </w:rPr>
        <w:t>ق بين المرتد</w:t>
      </w:r>
      <w:r w:rsidR="00661F65" w:rsidRPr="00282AC9">
        <w:rPr>
          <w:rFonts w:hint="cs"/>
          <w:sz w:val="27"/>
          <w:rtl/>
        </w:rPr>
        <w:t>ّ</w:t>
      </w:r>
      <w:r w:rsidRPr="00282AC9">
        <w:rPr>
          <w:rFonts w:hint="cs"/>
          <w:sz w:val="27"/>
          <w:rtl/>
        </w:rPr>
        <w:t xml:space="preserve"> الفطري والمرتد</w:t>
      </w:r>
      <w:r w:rsidR="00661F65" w:rsidRPr="00282AC9">
        <w:rPr>
          <w:rFonts w:hint="cs"/>
          <w:sz w:val="27"/>
          <w:rtl/>
        </w:rPr>
        <w:t>ّ</w:t>
      </w:r>
      <w:r w:rsidRPr="00282AC9">
        <w:rPr>
          <w:rFonts w:hint="cs"/>
          <w:sz w:val="27"/>
          <w:rtl/>
        </w:rPr>
        <w:t xml:space="preserve"> الملّي، واعتبرت حكم المرتد</w:t>
      </w:r>
      <w:r w:rsidR="00661F65" w:rsidRPr="00282AC9">
        <w:rPr>
          <w:rFonts w:hint="cs"/>
          <w:sz w:val="27"/>
          <w:rtl/>
        </w:rPr>
        <w:t>ّ</w:t>
      </w:r>
      <w:r w:rsidRPr="00282AC9">
        <w:rPr>
          <w:rFonts w:hint="cs"/>
          <w:sz w:val="27"/>
          <w:rtl/>
        </w:rPr>
        <w:t xml:space="preserve"> الفطري إذا كان رجلاً هو القتل</w:t>
      </w:r>
      <w:r w:rsidR="00661F65" w:rsidRPr="00282AC9">
        <w:rPr>
          <w:rFonts w:hint="cs"/>
          <w:sz w:val="27"/>
          <w:rtl/>
        </w:rPr>
        <w:t>،</w:t>
      </w:r>
      <w:r w:rsidRPr="00282AC9">
        <w:rPr>
          <w:rFonts w:hint="cs"/>
          <w:sz w:val="27"/>
          <w:rtl/>
        </w:rPr>
        <w:t xml:space="preserve"> دون أن يعرض الحاكم عليه التوبة</w:t>
      </w:r>
      <w:r w:rsidR="00661F65" w:rsidRPr="00282AC9">
        <w:rPr>
          <w:rFonts w:hint="cs"/>
          <w:sz w:val="27"/>
          <w:rtl/>
        </w:rPr>
        <w:t>؛</w:t>
      </w:r>
      <w:r w:rsidRPr="00282AC9">
        <w:rPr>
          <w:rFonts w:hint="cs"/>
          <w:sz w:val="27"/>
          <w:rtl/>
        </w:rPr>
        <w:t xml:space="preserve"> وأما المرتد المل</w:t>
      </w:r>
      <w:r w:rsidR="00661F65" w:rsidRPr="00282AC9">
        <w:rPr>
          <w:rFonts w:hint="cs"/>
          <w:sz w:val="27"/>
          <w:rtl/>
        </w:rPr>
        <w:t>ّ</w:t>
      </w:r>
      <w:r w:rsidRPr="00282AC9">
        <w:rPr>
          <w:rFonts w:hint="cs"/>
          <w:sz w:val="27"/>
          <w:rtl/>
        </w:rPr>
        <w:t>ي فلا ي</w:t>
      </w:r>
      <w:r w:rsidR="00661F65" w:rsidRPr="00282AC9">
        <w:rPr>
          <w:rFonts w:hint="cs"/>
          <w:sz w:val="27"/>
          <w:rtl/>
        </w:rPr>
        <w:t>ُ</w:t>
      </w:r>
      <w:r w:rsidRPr="00282AC9">
        <w:rPr>
          <w:rFonts w:hint="cs"/>
          <w:sz w:val="27"/>
          <w:rtl/>
        </w:rPr>
        <w:t>ق</w:t>
      </w:r>
      <w:r w:rsidR="00661F65" w:rsidRPr="00282AC9">
        <w:rPr>
          <w:rFonts w:hint="cs"/>
          <w:sz w:val="27"/>
          <w:rtl/>
        </w:rPr>
        <w:t>ْ</w:t>
      </w:r>
      <w:r w:rsidRPr="00282AC9">
        <w:rPr>
          <w:rFonts w:hint="cs"/>
          <w:sz w:val="27"/>
          <w:rtl/>
        </w:rPr>
        <w:t>ت</w:t>
      </w:r>
      <w:r w:rsidR="00661F65" w:rsidRPr="00282AC9">
        <w:rPr>
          <w:rFonts w:hint="cs"/>
          <w:sz w:val="27"/>
          <w:rtl/>
        </w:rPr>
        <w:t>َ</w:t>
      </w:r>
      <w:r w:rsidRPr="00282AC9">
        <w:rPr>
          <w:rFonts w:hint="cs"/>
          <w:sz w:val="27"/>
          <w:rtl/>
        </w:rPr>
        <w:t>ل إلا</w:t>
      </w:r>
      <w:r w:rsidR="00661F65" w:rsidRPr="00282AC9">
        <w:rPr>
          <w:rFonts w:hint="cs"/>
          <w:sz w:val="27"/>
          <w:rtl/>
        </w:rPr>
        <w:t>ّ</w:t>
      </w:r>
      <w:r w:rsidRPr="00282AC9">
        <w:rPr>
          <w:rFonts w:hint="cs"/>
          <w:sz w:val="27"/>
          <w:rtl/>
        </w:rPr>
        <w:t xml:space="preserve"> إذا ع</w:t>
      </w:r>
      <w:r w:rsidR="00661F65" w:rsidRPr="00282AC9">
        <w:rPr>
          <w:rFonts w:hint="cs"/>
          <w:sz w:val="27"/>
          <w:rtl/>
        </w:rPr>
        <w:t>ُ</w:t>
      </w:r>
      <w:r w:rsidRPr="00282AC9">
        <w:rPr>
          <w:rFonts w:hint="cs"/>
          <w:sz w:val="27"/>
          <w:rtl/>
        </w:rPr>
        <w:t>رض</w:t>
      </w:r>
      <w:r w:rsidR="00661F65" w:rsidRPr="00282AC9">
        <w:rPr>
          <w:rFonts w:hint="cs"/>
          <w:sz w:val="27"/>
          <w:rtl/>
        </w:rPr>
        <w:t>َ</w:t>
      </w:r>
      <w:r w:rsidRPr="00282AC9">
        <w:rPr>
          <w:rFonts w:hint="cs"/>
          <w:sz w:val="27"/>
          <w:rtl/>
        </w:rPr>
        <w:t>ت</w:t>
      </w:r>
      <w:r w:rsidR="00661F65" w:rsidRPr="00282AC9">
        <w:rPr>
          <w:rFonts w:hint="cs"/>
          <w:sz w:val="27"/>
          <w:rtl/>
        </w:rPr>
        <w:t>ْ</w:t>
      </w:r>
      <w:r w:rsidRPr="00282AC9">
        <w:rPr>
          <w:rFonts w:hint="cs"/>
          <w:sz w:val="27"/>
          <w:rtl/>
        </w:rPr>
        <w:t xml:space="preserve"> عليه التوبة</w:t>
      </w:r>
      <w:r w:rsidR="00661F65" w:rsidRPr="00282AC9">
        <w:rPr>
          <w:rFonts w:hint="cs"/>
          <w:sz w:val="27"/>
          <w:rtl/>
        </w:rPr>
        <w:t>،</w:t>
      </w:r>
      <w:r w:rsidRPr="00282AC9">
        <w:rPr>
          <w:rFonts w:hint="cs"/>
          <w:sz w:val="27"/>
          <w:rtl/>
        </w:rPr>
        <w:t xml:space="preserve"> وامتنع عن الرجوع إلى الإسلام: </w:t>
      </w:r>
      <w:r w:rsidRPr="00282AC9">
        <w:rPr>
          <w:rFonts w:hint="eastAsia"/>
          <w:sz w:val="24"/>
          <w:szCs w:val="24"/>
          <w:rtl/>
        </w:rPr>
        <w:t>«</w:t>
      </w:r>
      <w:r w:rsidRPr="00282AC9">
        <w:rPr>
          <w:sz w:val="27"/>
          <w:rtl/>
        </w:rPr>
        <w:t xml:space="preserve">عن </w:t>
      </w:r>
      <w:r w:rsidRPr="00282AC9">
        <w:rPr>
          <w:rFonts w:hint="cs"/>
          <w:sz w:val="27"/>
          <w:rtl/>
        </w:rPr>
        <w:t>أخيه أبي الحسن</w:t>
      </w:r>
      <w:r w:rsidR="009A2A04" w:rsidRPr="00282AC9">
        <w:rPr>
          <w:rFonts w:cs="Mosawi"/>
          <w:sz w:val="22"/>
          <w:szCs w:val="22"/>
          <w:rtl/>
        </w:rPr>
        <w:t>×</w:t>
      </w:r>
      <w:r w:rsidRPr="00282AC9">
        <w:rPr>
          <w:sz w:val="27"/>
          <w:rtl/>
        </w:rPr>
        <w:t xml:space="preserve"> </w:t>
      </w:r>
      <w:r w:rsidRPr="00282AC9">
        <w:rPr>
          <w:rFonts w:hint="cs"/>
          <w:sz w:val="27"/>
          <w:rtl/>
        </w:rPr>
        <w:t>قال</w:t>
      </w:r>
      <w:r w:rsidRPr="00282AC9">
        <w:rPr>
          <w:sz w:val="27"/>
          <w:rtl/>
        </w:rPr>
        <w:t>:</w:t>
      </w:r>
      <w:r w:rsidRPr="00282AC9">
        <w:rPr>
          <w:rFonts w:hint="cs"/>
          <w:sz w:val="27"/>
          <w:rtl/>
        </w:rPr>
        <w:t xml:space="preserve"> سألت</w:t>
      </w:r>
      <w:r w:rsidR="00661F65" w:rsidRPr="00282AC9">
        <w:rPr>
          <w:rFonts w:hint="cs"/>
          <w:sz w:val="27"/>
          <w:rtl/>
        </w:rPr>
        <w:t>ُه عن مسل</w:t>
      </w:r>
      <w:r w:rsidRPr="00282AC9">
        <w:rPr>
          <w:rFonts w:hint="cs"/>
          <w:sz w:val="27"/>
          <w:rtl/>
        </w:rPr>
        <w:t>م</w:t>
      </w:r>
      <w:r w:rsidR="00661F65" w:rsidRPr="00282AC9">
        <w:rPr>
          <w:rFonts w:hint="cs"/>
          <w:sz w:val="27"/>
          <w:rtl/>
        </w:rPr>
        <w:t>ٍ</w:t>
      </w:r>
      <w:r w:rsidRPr="00282AC9">
        <w:rPr>
          <w:rFonts w:hint="cs"/>
          <w:sz w:val="27"/>
          <w:rtl/>
        </w:rPr>
        <w:t xml:space="preserve"> تنصّ</w:t>
      </w:r>
      <w:r w:rsidR="00661F65" w:rsidRPr="00282AC9">
        <w:rPr>
          <w:rFonts w:hint="cs"/>
          <w:sz w:val="27"/>
          <w:rtl/>
        </w:rPr>
        <w:t>َ</w:t>
      </w:r>
      <w:r w:rsidRPr="00282AC9">
        <w:rPr>
          <w:rFonts w:hint="cs"/>
          <w:sz w:val="27"/>
          <w:rtl/>
        </w:rPr>
        <w:t>ر؟ قال يُقتل</w:t>
      </w:r>
      <w:r w:rsidR="00661F65" w:rsidRPr="00282AC9">
        <w:rPr>
          <w:rFonts w:hint="cs"/>
          <w:sz w:val="27"/>
          <w:rtl/>
        </w:rPr>
        <w:t>،</w:t>
      </w:r>
      <w:r w:rsidRPr="00282AC9">
        <w:rPr>
          <w:rFonts w:hint="cs"/>
          <w:sz w:val="27"/>
          <w:rtl/>
        </w:rPr>
        <w:t xml:space="preserve"> ولا يُستتاب. قلت</w:t>
      </w:r>
      <w:r w:rsidR="00661F65" w:rsidRPr="00282AC9">
        <w:rPr>
          <w:rFonts w:hint="cs"/>
          <w:sz w:val="27"/>
          <w:rtl/>
        </w:rPr>
        <w:t>ُ</w:t>
      </w:r>
      <w:r w:rsidRPr="00282AC9">
        <w:rPr>
          <w:rFonts w:hint="cs"/>
          <w:sz w:val="27"/>
          <w:rtl/>
        </w:rPr>
        <w:t>: فنصراني</w:t>
      </w:r>
      <w:r w:rsidR="00661F65" w:rsidRPr="00282AC9">
        <w:rPr>
          <w:rFonts w:hint="cs"/>
          <w:sz w:val="27"/>
          <w:rtl/>
        </w:rPr>
        <w:t>ٌّ</w:t>
      </w:r>
      <w:r w:rsidRPr="00282AC9">
        <w:rPr>
          <w:rFonts w:hint="cs"/>
          <w:sz w:val="27"/>
          <w:rtl/>
        </w:rPr>
        <w:t xml:space="preserve"> أسلم ثم</w:t>
      </w:r>
      <w:r w:rsidR="00661F65" w:rsidRPr="00282AC9">
        <w:rPr>
          <w:rFonts w:hint="cs"/>
          <w:sz w:val="27"/>
          <w:rtl/>
        </w:rPr>
        <w:t>ّ</w:t>
      </w:r>
      <w:r w:rsidRPr="00282AC9">
        <w:rPr>
          <w:rFonts w:hint="cs"/>
          <w:sz w:val="27"/>
          <w:rtl/>
        </w:rPr>
        <w:t xml:space="preserve"> ارتد</w:t>
      </w:r>
      <w:r w:rsidR="00661F65" w:rsidRPr="00282AC9">
        <w:rPr>
          <w:rFonts w:hint="cs"/>
          <w:sz w:val="27"/>
          <w:rtl/>
        </w:rPr>
        <w:t>ّ</w:t>
      </w:r>
      <w:r w:rsidRPr="00282AC9">
        <w:rPr>
          <w:rFonts w:hint="cs"/>
          <w:sz w:val="27"/>
          <w:rtl/>
        </w:rPr>
        <w:t>؟ قال: يُستتاب، فإن</w:t>
      </w:r>
      <w:r w:rsidR="00661F65" w:rsidRPr="00282AC9">
        <w:rPr>
          <w:rFonts w:hint="cs"/>
          <w:sz w:val="27"/>
          <w:rtl/>
        </w:rPr>
        <w:t>ْ</w:t>
      </w:r>
      <w:r w:rsidRPr="00282AC9">
        <w:rPr>
          <w:rFonts w:hint="cs"/>
          <w:sz w:val="27"/>
          <w:rtl/>
        </w:rPr>
        <w:t xml:space="preserve"> رجع</w:t>
      </w:r>
      <w:r w:rsidR="00661F65" w:rsidRPr="00282AC9">
        <w:rPr>
          <w:rFonts w:hint="cs"/>
          <w:sz w:val="27"/>
          <w:rtl/>
        </w:rPr>
        <w:t>،</w:t>
      </w:r>
      <w:r w:rsidRPr="00282AC9">
        <w:rPr>
          <w:rFonts w:hint="cs"/>
          <w:sz w:val="27"/>
          <w:rtl/>
        </w:rPr>
        <w:t xml:space="preserve"> وإلا</w:t>
      </w:r>
      <w:r w:rsidR="00661F65" w:rsidRPr="00282AC9">
        <w:rPr>
          <w:rFonts w:hint="cs"/>
          <w:sz w:val="27"/>
          <w:rtl/>
        </w:rPr>
        <w:t>ّ</w:t>
      </w:r>
      <w:r w:rsidRPr="00282AC9">
        <w:rPr>
          <w:rFonts w:hint="cs"/>
          <w:sz w:val="27"/>
          <w:rtl/>
        </w:rPr>
        <w:t xml:space="preserve"> قُتل</w:t>
      </w:r>
      <w:r w:rsidRPr="00282AC9">
        <w:rPr>
          <w:rFonts w:hint="eastAsia"/>
          <w:sz w:val="24"/>
          <w:szCs w:val="24"/>
          <w:rtl/>
        </w:rPr>
        <w:t>»</w:t>
      </w:r>
      <w:r w:rsidRPr="00282AC9">
        <w:rPr>
          <w:sz w:val="27"/>
          <w:vertAlign w:val="superscript"/>
          <w:rtl/>
        </w:rPr>
        <w:t>(</w:t>
      </w:r>
      <w:r w:rsidRPr="00282AC9">
        <w:rPr>
          <w:rStyle w:val="af9"/>
          <w:sz w:val="27"/>
          <w:rtl/>
        </w:rPr>
        <w:endnoteReference w:id="258"/>
      </w:r>
      <w:r w:rsidRPr="00282AC9">
        <w:rPr>
          <w:sz w:val="27"/>
          <w:vertAlign w:val="superscript"/>
          <w:rtl/>
        </w:rPr>
        <w:t>)</w:t>
      </w:r>
      <w:r w:rsidRPr="00282AC9">
        <w:rPr>
          <w:rFonts w:hint="cs"/>
          <w:sz w:val="27"/>
          <w:rtl/>
        </w:rPr>
        <w:t>.</w:t>
      </w:r>
    </w:p>
    <w:p w:rsidR="00D27788" w:rsidRPr="00282AC9" w:rsidRDefault="005A1BD7" w:rsidP="00C75E73">
      <w:pPr>
        <w:rPr>
          <w:sz w:val="27"/>
          <w:rtl/>
        </w:rPr>
      </w:pPr>
      <w:r w:rsidRPr="00282AC9">
        <w:rPr>
          <w:rFonts w:hint="cs"/>
          <w:sz w:val="27"/>
          <w:rtl/>
        </w:rPr>
        <w:t>وقد ذهب الفقهاء ـ في مقام الجمع بين هذه الطوائف الثلاثة من الروايات ـ إلى القول بالتفصيل، واعتبروا روايات الطائفة الثالثة مقيّ</w:t>
      </w:r>
      <w:r w:rsidR="00D27788" w:rsidRPr="00282AC9">
        <w:rPr>
          <w:rFonts w:hint="cs"/>
          <w:sz w:val="27"/>
          <w:rtl/>
        </w:rPr>
        <w:t>ِ</w:t>
      </w:r>
      <w:r w:rsidRPr="00282AC9">
        <w:rPr>
          <w:rFonts w:hint="cs"/>
          <w:sz w:val="27"/>
          <w:rtl/>
        </w:rPr>
        <w:t>دة ومفسّ</w:t>
      </w:r>
      <w:r w:rsidR="00D27788" w:rsidRPr="00282AC9">
        <w:rPr>
          <w:rFonts w:hint="cs"/>
          <w:sz w:val="27"/>
          <w:rtl/>
        </w:rPr>
        <w:t>ِ</w:t>
      </w:r>
      <w:r w:rsidRPr="00282AC9">
        <w:rPr>
          <w:rFonts w:hint="cs"/>
          <w:sz w:val="27"/>
          <w:rtl/>
        </w:rPr>
        <w:t>رة لروايات الطائفتين الأولى والثانية. وقالوا: إن المراد من روايات الطائفة الأولى ـ الروايات التي تعتبر عقوبة المرتد</w:t>
      </w:r>
      <w:r w:rsidR="00D27788" w:rsidRPr="00282AC9">
        <w:rPr>
          <w:rFonts w:hint="cs"/>
          <w:sz w:val="27"/>
          <w:rtl/>
        </w:rPr>
        <w:t>ّ</w:t>
      </w:r>
      <w:r w:rsidRPr="00282AC9">
        <w:rPr>
          <w:rFonts w:hint="cs"/>
          <w:sz w:val="27"/>
          <w:rtl/>
        </w:rPr>
        <w:t xml:space="preserve"> هي القتل مطلقاً ـ هو المرتد</w:t>
      </w:r>
      <w:r w:rsidR="00D27788" w:rsidRPr="00282AC9">
        <w:rPr>
          <w:rFonts w:hint="cs"/>
          <w:sz w:val="27"/>
          <w:rtl/>
        </w:rPr>
        <w:t>ّ</w:t>
      </w:r>
      <w:r w:rsidRPr="00282AC9">
        <w:rPr>
          <w:rFonts w:hint="cs"/>
          <w:sz w:val="27"/>
          <w:rtl/>
        </w:rPr>
        <w:t xml:space="preserve"> الفطري</w:t>
      </w:r>
      <w:r w:rsidR="00D27788" w:rsidRPr="00282AC9">
        <w:rPr>
          <w:rFonts w:hint="cs"/>
          <w:sz w:val="27"/>
          <w:rtl/>
        </w:rPr>
        <w:t xml:space="preserve">؛ </w:t>
      </w:r>
      <w:r w:rsidRPr="00282AC9">
        <w:rPr>
          <w:rFonts w:hint="cs"/>
          <w:sz w:val="27"/>
          <w:rtl/>
        </w:rPr>
        <w:t>وإن المراد من روايات الطائفة الثانية ـ الروايات التي تقبل توبة المرتد</w:t>
      </w:r>
      <w:r w:rsidR="00D27788" w:rsidRPr="00282AC9">
        <w:rPr>
          <w:rFonts w:hint="cs"/>
          <w:sz w:val="27"/>
          <w:rtl/>
        </w:rPr>
        <w:t>ّ</w:t>
      </w:r>
      <w:r w:rsidRPr="00282AC9">
        <w:rPr>
          <w:rFonts w:hint="cs"/>
          <w:sz w:val="27"/>
          <w:rtl/>
        </w:rPr>
        <w:t xml:space="preserve"> بعد الارتداد بالمطلق ـ هو المرتد</w:t>
      </w:r>
      <w:r w:rsidR="00D27788" w:rsidRPr="00282AC9">
        <w:rPr>
          <w:rFonts w:hint="cs"/>
          <w:sz w:val="27"/>
          <w:rtl/>
        </w:rPr>
        <w:t>ّ الملّي.</w:t>
      </w:r>
    </w:p>
    <w:p w:rsidR="00D27788" w:rsidRPr="00282AC9" w:rsidRDefault="005A1BD7" w:rsidP="00C75E73">
      <w:pPr>
        <w:rPr>
          <w:sz w:val="27"/>
          <w:rtl/>
        </w:rPr>
      </w:pPr>
      <w:r w:rsidRPr="00282AC9">
        <w:rPr>
          <w:rFonts w:hint="cs"/>
          <w:sz w:val="27"/>
          <w:rtl/>
        </w:rPr>
        <w:t>ولكن</w:t>
      </w:r>
      <w:r w:rsidR="00D27788" w:rsidRPr="00282AC9">
        <w:rPr>
          <w:rFonts w:hint="cs"/>
          <w:sz w:val="27"/>
          <w:rtl/>
        </w:rPr>
        <w:t>ْ</w:t>
      </w:r>
      <w:r w:rsidRPr="00282AC9">
        <w:rPr>
          <w:rFonts w:hint="cs"/>
          <w:sz w:val="27"/>
          <w:rtl/>
        </w:rPr>
        <w:t xml:space="preserve"> لو أمعن</w:t>
      </w:r>
      <w:r w:rsidR="00D27788" w:rsidRPr="00282AC9">
        <w:rPr>
          <w:rFonts w:hint="cs"/>
          <w:sz w:val="27"/>
          <w:rtl/>
        </w:rPr>
        <w:t>ّ</w:t>
      </w:r>
      <w:r w:rsidRPr="00282AC9">
        <w:rPr>
          <w:rFonts w:hint="cs"/>
          <w:sz w:val="27"/>
          <w:rtl/>
        </w:rPr>
        <w:t>ا النظر في هذه الروايات سوف ندرك أن كل</w:t>
      </w:r>
      <w:r w:rsidR="00D27788" w:rsidRPr="00282AC9">
        <w:rPr>
          <w:rFonts w:hint="cs"/>
          <w:sz w:val="27"/>
          <w:rtl/>
        </w:rPr>
        <w:t>ّ</w:t>
      </w:r>
      <w:r w:rsidRPr="00282AC9">
        <w:rPr>
          <w:rFonts w:hint="cs"/>
          <w:sz w:val="27"/>
          <w:rtl/>
        </w:rPr>
        <w:t xml:space="preserve"> واحد</w:t>
      </w:r>
      <w:r w:rsidR="00D27788" w:rsidRPr="00282AC9">
        <w:rPr>
          <w:rFonts w:hint="cs"/>
          <w:sz w:val="27"/>
          <w:rtl/>
        </w:rPr>
        <w:t>ٍ</w:t>
      </w:r>
      <w:r w:rsidRPr="00282AC9">
        <w:rPr>
          <w:rFonts w:hint="cs"/>
          <w:sz w:val="27"/>
          <w:rtl/>
        </w:rPr>
        <w:t xml:space="preserve"> من هذه الطوائف الثلاثة من الروايات قد ذكر</w:t>
      </w:r>
      <w:r w:rsidR="00D27788" w:rsidRPr="00282AC9">
        <w:rPr>
          <w:rFonts w:hint="cs"/>
          <w:sz w:val="27"/>
          <w:rtl/>
        </w:rPr>
        <w:t>َ</w:t>
      </w:r>
      <w:r w:rsidRPr="00282AC9">
        <w:rPr>
          <w:rFonts w:hint="cs"/>
          <w:sz w:val="27"/>
          <w:rtl/>
        </w:rPr>
        <w:t>ت</w:t>
      </w:r>
      <w:r w:rsidR="00D27788" w:rsidRPr="00282AC9">
        <w:rPr>
          <w:rFonts w:hint="cs"/>
          <w:sz w:val="27"/>
          <w:rtl/>
        </w:rPr>
        <w:t>ْ</w:t>
      </w:r>
      <w:r w:rsidRPr="00282AC9">
        <w:rPr>
          <w:rFonts w:hint="cs"/>
          <w:sz w:val="27"/>
          <w:rtl/>
        </w:rPr>
        <w:t xml:space="preserve"> أحكاماً مختلفة، بحيث لا نستطيع أن نجعل روايات الطائفة الثالثة شارحة</w:t>
      </w:r>
      <w:r w:rsidR="00D27788" w:rsidRPr="00282AC9">
        <w:rPr>
          <w:rFonts w:hint="cs"/>
          <w:sz w:val="27"/>
          <w:rtl/>
        </w:rPr>
        <w:t>ً</w:t>
      </w:r>
      <w:r w:rsidRPr="00282AC9">
        <w:rPr>
          <w:rFonts w:hint="cs"/>
          <w:sz w:val="27"/>
          <w:rtl/>
        </w:rPr>
        <w:t xml:space="preserve"> ومفسّ</w:t>
      </w:r>
      <w:r w:rsidR="00D27788" w:rsidRPr="00282AC9">
        <w:rPr>
          <w:rFonts w:hint="cs"/>
          <w:sz w:val="27"/>
          <w:rtl/>
        </w:rPr>
        <w:t>ِ</w:t>
      </w:r>
      <w:r w:rsidRPr="00282AC9">
        <w:rPr>
          <w:rFonts w:hint="cs"/>
          <w:sz w:val="27"/>
          <w:rtl/>
        </w:rPr>
        <w:t>رة</w:t>
      </w:r>
      <w:r w:rsidR="00D27788" w:rsidRPr="00282AC9">
        <w:rPr>
          <w:rFonts w:hint="cs"/>
          <w:sz w:val="27"/>
          <w:rtl/>
        </w:rPr>
        <w:t>ً</w:t>
      </w:r>
      <w:r w:rsidRPr="00282AC9">
        <w:rPr>
          <w:rFonts w:hint="cs"/>
          <w:sz w:val="27"/>
          <w:rtl/>
        </w:rPr>
        <w:t xml:space="preserve"> ل</w:t>
      </w:r>
      <w:r w:rsidR="00D27788" w:rsidRPr="00282AC9">
        <w:rPr>
          <w:rFonts w:hint="cs"/>
          <w:sz w:val="27"/>
          <w:rtl/>
        </w:rPr>
        <w:t>روايات الطائفة الأولى والثانية.</w:t>
      </w:r>
    </w:p>
    <w:p w:rsidR="005A1BD7" w:rsidRPr="00282AC9" w:rsidRDefault="005A1BD7" w:rsidP="00C75E73">
      <w:pPr>
        <w:rPr>
          <w:sz w:val="27"/>
          <w:rtl/>
        </w:rPr>
      </w:pPr>
      <w:r w:rsidRPr="00282AC9">
        <w:rPr>
          <w:rFonts w:hint="cs"/>
          <w:sz w:val="27"/>
          <w:rtl/>
        </w:rPr>
        <w:t>إن ما ورد في روايات الطائفة الثالثة هو بحث الاستتابة، وموضوعها هو الحاكم الشرعي</w:t>
      </w:r>
      <w:r w:rsidR="00D27788" w:rsidRPr="00282AC9">
        <w:rPr>
          <w:rFonts w:hint="cs"/>
          <w:sz w:val="27"/>
          <w:rtl/>
        </w:rPr>
        <w:t>ّ</w:t>
      </w:r>
      <w:r w:rsidRPr="00282AC9">
        <w:rPr>
          <w:rFonts w:hint="cs"/>
          <w:sz w:val="27"/>
          <w:rtl/>
        </w:rPr>
        <w:t xml:space="preserve"> بوصفه منفّ</w:t>
      </w:r>
      <w:r w:rsidR="00D27788" w:rsidRPr="00282AC9">
        <w:rPr>
          <w:rFonts w:hint="cs"/>
          <w:sz w:val="27"/>
          <w:rtl/>
        </w:rPr>
        <w:t>ِ</w:t>
      </w:r>
      <w:r w:rsidRPr="00282AC9">
        <w:rPr>
          <w:rFonts w:hint="cs"/>
          <w:sz w:val="27"/>
          <w:rtl/>
        </w:rPr>
        <w:t>ذاً ومطبّ</w:t>
      </w:r>
      <w:r w:rsidR="00D27788" w:rsidRPr="00282AC9">
        <w:rPr>
          <w:rFonts w:hint="cs"/>
          <w:sz w:val="27"/>
          <w:rtl/>
        </w:rPr>
        <w:t>ِ</w:t>
      </w:r>
      <w:r w:rsidRPr="00282AC9">
        <w:rPr>
          <w:rFonts w:hint="cs"/>
          <w:sz w:val="27"/>
          <w:rtl/>
        </w:rPr>
        <w:t>قاً لحكم الارتداد</w:t>
      </w:r>
      <w:r w:rsidR="00D27788" w:rsidRPr="00282AC9">
        <w:rPr>
          <w:rFonts w:hint="cs"/>
          <w:sz w:val="27"/>
          <w:rtl/>
        </w:rPr>
        <w:t>؛</w:t>
      </w:r>
      <w:r w:rsidRPr="00282AC9">
        <w:rPr>
          <w:rFonts w:hint="cs"/>
          <w:sz w:val="27"/>
          <w:rtl/>
        </w:rPr>
        <w:t xml:space="preserve"> وأما في روايات الطائفة الأولى والثانية فقد ورد البحث عن مطلق التوبة، وموضوعها هو الشخص المرتد</w:t>
      </w:r>
      <w:r w:rsidR="00D27788" w:rsidRPr="00282AC9">
        <w:rPr>
          <w:rFonts w:hint="cs"/>
          <w:sz w:val="27"/>
          <w:rtl/>
        </w:rPr>
        <w:t>ّ</w:t>
      </w:r>
      <w:r w:rsidRPr="00282AC9">
        <w:rPr>
          <w:rFonts w:hint="cs"/>
          <w:sz w:val="27"/>
          <w:rtl/>
        </w:rPr>
        <w:t>. وبعبارة</w:t>
      </w:r>
      <w:r w:rsidR="00D27788" w:rsidRPr="00282AC9">
        <w:rPr>
          <w:rFonts w:hint="cs"/>
          <w:sz w:val="27"/>
          <w:rtl/>
        </w:rPr>
        <w:t>ٍ</w:t>
      </w:r>
      <w:r w:rsidRPr="00282AC9">
        <w:rPr>
          <w:rFonts w:hint="cs"/>
          <w:sz w:val="27"/>
          <w:rtl/>
        </w:rPr>
        <w:t xml:space="preserve"> أخرى: في روايات الطائفة الثالثة قيل للحاكم الشرعي</w:t>
      </w:r>
      <w:r w:rsidR="00D27788" w:rsidRPr="00282AC9">
        <w:rPr>
          <w:rFonts w:hint="cs"/>
          <w:sz w:val="27"/>
          <w:rtl/>
        </w:rPr>
        <w:t>ّ</w:t>
      </w:r>
      <w:r w:rsidRPr="00282AC9">
        <w:rPr>
          <w:rFonts w:hint="cs"/>
          <w:sz w:val="27"/>
          <w:rtl/>
        </w:rPr>
        <w:t>: إذا تم</w:t>
      </w:r>
      <w:r w:rsidR="00D27788" w:rsidRPr="00282AC9">
        <w:rPr>
          <w:rFonts w:hint="cs"/>
          <w:sz w:val="27"/>
          <w:rtl/>
        </w:rPr>
        <w:t>ّ</w:t>
      </w:r>
      <w:r w:rsidRPr="00282AC9">
        <w:rPr>
          <w:rFonts w:hint="cs"/>
          <w:sz w:val="27"/>
          <w:rtl/>
        </w:rPr>
        <w:t xml:space="preserve"> إثبات تحق</w:t>
      </w:r>
      <w:r w:rsidR="00D27788" w:rsidRPr="00282AC9">
        <w:rPr>
          <w:rFonts w:hint="cs"/>
          <w:sz w:val="27"/>
          <w:rtl/>
        </w:rPr>
        <w:t>ُّ</w:t>
      </w:r>
      <w:r w:rsidRPr="00282AC9">
        <w:rPr>
          <w:rFonts w:hint="cs"/>
          <w:sz w:val="27"/>
          <w:rtl/>
        </w:rPr>
        <w:t>ق الارتداد لن ت</w:t>
      </w:r>
      <w:r w:rsidR="00D27788" w:rsidRPr="00282AC9">
        <w:rPr>
          <w:rFonts w:hint="cs"/>
          <w:sz w:val="27"/>
          <w:rtl/>
        </w:rPr>
        <w:t>ُ</w:t>
      </w:r>
      <w:r w:rsidRPr="00282AC9">
        <w:rPr>
          <w:rFonts w:hint="cs"/>
          <w:sz w:val="27"/>
          <w:rtl/>
        </w:rPr>
        <w:t>ق</w:t>
      </w:r>
      <w:r w:rsidR="00D27788" w:rsidRPr="00282AC9">
        <w:rPr>
          <w:rFonts w:hint="cs"/>
          <w:sz w:val="27"/>
          <w:rtl/>
        </w:rPr>
        <w:t>ْ</w:t>
      </w:r>
      <w:r w:rsidRPr="00282AC9">
        <w:rPr>
          <w:rFonts w:hint="cs"/>
          <w:sz w:val="27"/>
          <w:rtl/>
        </w:rPr>
        <w:t>ب</w:t>
      </w:r>
      <w:r w:rsidR="00D27788" w:rsidRPr="00282AC9">
        <w:rPr>
          <w:rFonts w:hint="cs"/>
          <w:sz w:val="27"/>
          <w:rtl/>
        </w:rPr>
        <w:t>َ</w:t>
      </w:r>
      <w:r w:rsidRPr="00282AC9">
        <w:rPr>
          <w:rFonts w:hint="cs"/>
          <w:sz w:val="27"/>
          <w:rtl/>
        </w:rPr>
        <w:t>ل بعدها توبة المرتد</w:t>
      </w:r>
      <w:r w:rsidR="00D27788" w:rsidRPr="00282AC9">
        <w:rPr>
          <w:rFonts w:hint="cs"/>
          <w:sz w:val="27"/>
          <w:rtl/>
        </w:rPr>
        <w:t>ّ</w:t>
      </w:r>
      <w:r w:rsidRPr="00282AC9">
        <w:rPr>
          <w:rFonts w:hint="cs"/>
          <w:sz w:val="27"/>
          <w:rtl/>
        </w:rPr>
        <w:t xml:space="preserve"> الفطري</w:t>
      </w:r>
      <w:r w:rsidR="00D27788" w:rsidRPr="00282AC9">
        <w:rPr>
          <w:rFonts w:hint="cs"/>
          <w:sz w:val="27"/>
          <w:rtl/>
        </w:rPr>
        <w:t>.</w:t>
      </w:r>
      <w:r w:rsidRPr="00282AC9">
        <w:rPr>
          <w:rFonts w:hint="cs"/>
          <w:sz w:val="27"/>
          <w:rtl/>
        </w:rPr>
        <w:t xml:space="preserve"> ي</w:t>
      </w:r>
      <w:r w:rsidR="00D27788" w:rsidRPr="00282AC9">
        <w:rPr>
          <w:rFonts w:hint="cs"/>
          <w:sz w:val="27"/>
          <w:rtl/>
        </w:rPr>
        <w:t>ُ</w:t>
      </w:r>
      <w:r w:rsidRPr="00282AC9">
        <w:rPr>
          <w:rFonts w:hint="cs"/>
          <w:sz w:val="27"/>
          <w:rtl/>
        </w:rPr>
        <w:t>ضاف إلى ذلك</w:t>
      </w:r>
      <w:r w:rsidR="00D27788" w:rsidRPr="00282AC9">
        <w:rPr>
          <w:rFonts w:hint="cs"/>
          <w:sz w:val="27"/>
          <w:rtl/>
        </w:rPr>
        <w:t>:</w:t>
      </w:r>
      <w:r w:rsidRPr="00282AC9">
        <w:rPr>
          <w:rFonts w:hint="cs"/>
          <w:sz w:val="27"/>
          <w:rtl/>
        </w:rPr>
        <w:t xml:space="preserve"> لا يجب على الحاكم أن يطلب التوبة من المرتد</w:t>
      </w:r>
      <w:r w:rsidR="00D27788" w:rsidRPr="00282AC9">
        <w:rPr>
          <w:rFonts w:hint="cs"/>
          <w:sz w:val="27"/>
          <w:rtl/>
        </w:rPr>
        <w:t>ّ</w:t>
      </w:r>
      <w:r w:rsidRPr="00282AC9">
        <w:rPr>
          <w:rFonts w:hint="cs"/>
          <w:sz w:val="27"/>
          <w:rtl/>
        </w:rPr>
        <w:t xml:space="preserve"> الفطري</w:t>
      </w:r>
      <w:r w:rsidR="00D27788" w:rsidRPr="00282AC9">
        <w:rPr>
          <w:rFonts w:hint="cs"/>
          <w:sz w:val="27"/>
          <w:rtl/>
        </w:rPr>
        <w:t>.</w:t>
      </w:r>
      <w:r w:rsidRPr="00282AC9">
        <w:rPr>
          <w:rFonts w:hint="cs"/>
          <w:sz w:val="27"/>
          <w:rtl/>
        </w:rPr>
        <w:t xml:space="preserve"> وأما في روايات الطائفة الأولى والثانية فقد قيل لشخص المرتد</w:t>
      </w:r>
      <w:r w:rsidR="00D27788" w:rsidRPr="00282AC9">
        <w:rPr>
          <w:rFonts w:hint="cs"/>
          <w:sz w:val="27"/>
          <w:rtl/>
        </w:rPr>
        <w:t>ّ</w:t>
      </w:r>
      <w:r w:rsidRPr="00282AC9">
        <w:rPr>
          <w:rFonts w:hint="cs"/>
          <w:sz w:val="27"/>
          <w:rtl/>
        </w:rPr>
        <w:t>: إن توبتك لا ت</w:t>
      </w:r>
      <w:r w:rsidR="00D27788" w:rsidRPr="00282AC9">
        <w:rPr>
          <w:rFonts w:hint="cs"/>
          <w:sz w:val="27"/>
          <w:rtl/>
        </w:rPr>
        <w:t>ُ</w:t>
      </w:r>
      <w:r w:rsidRPr="00282AC9">
        <w:rPr>
          <w:rFonts w:hint="cs"/>
          <w:sz w:val="27"/>
          <w:rtl/>
        </w:rPr>
        <w:t>ق</w:t>
      </w:r>
      <w:r w:rsidR="00D27788" w:rsidRPr="00282AC9">
        <w:rPr>
          <w:rFonts w:hint="cs"/>
          <w:sz w:val="27"/>
          <w:rtl/>
        </w:rPr>
        <w:t>ْ</w:t>
      </w:r>
      <w:r w:rsidRPr="00282AC9">
        <w:rPr>
          <w:rFonts w:hint="cs"/>
          <w:sz w:val="27"/>
          <w:rtl/>
        </w:rPr>
        <w:t>ب</w:t>
      </w:r>
      <w:r w:rsidR="00D27788" w:rsidRPr="00282AC9">
        <w:rPr>
          <w:rFonts w:hint="cs"/>
          <w:sz w:val="27"/>
          <w:rtl/>
        </w:rPr>
        <w:t>َ</w:t>
      </w:r>
      <w:r w:rsidRPr="00282AC9">
        <w:rPr>
          <w:rFonts w:hint="cs"/>
          <w:sz w:val="27"/>
          <w:rtl/>
        </w:rPr>
        <w:t>ل (كما في الطائفة الأولى)، أو إن توبتك مقبولة</w:t>
      </w:r>
      <w:r w:rsidR="00D27788" w:rsidRPr="00282AC9">
        <w:rPr>
          <w:rFonts w:hint="cs"/>
          <w:sz w:val="27"/>
          <w:rtl/>
        </w:rPr>
        <w:t>ٌ</w:t>
      </w:r>
      <w:r w:rsidRPr="00282AC9">
        <w:rPr>
          <w:rFonts w:hint="cs"/>
          <w:sz w:val="27"/>
          <w:rtl/>
        </w:rPr>
        <w:t xml:space="preserve"> (كما في الطائفة الثانية)</w:t>
      </w:r>
      <w:r w:rsidR="00D27788" w:rsidRPr="00282AC9">
        <w:rPr>
          <w:rFonts w:hint="cs"/>
          <w:sz w:val="27"/>
          <w:rtl/>
        </w:rPr>
        <w:t>.</w:t>
      </w:r>
      <w:r w:rsidRPr="00282AC9">
        <w:rPr>
          <w:rFonts w:hint="cs"/>
          <w:sz w:val="27"/>
          <w:rtl/>
        </w:rPr>
        <w:t xml:space="preserve"> وبذلك يقع التعارض بين هاتين الطائفتين من الروايات</w:t>
      </w:r>
      <w:r w:rsidR="00D27788" w:rsidRPr="00282AC9">
        <w:rPr>
          <w:rFonts w:hint="cs"/>
          <w:sz w:val="27"/>
          <w:rtl/>
        </w:rPr>
        <w:t>.</w:t>
      </w:r>
      <w:r w:rsidRPr="00282AC9">
        <w:rPr>
          <w:rFonts w:hint="cs"/>
          <w:sz w:val="27"/>
          <w:rtl/>
        </w:rPr>
        <w:t xml:space="preserve"> ويتم</w:t>
      </w:r>
      <w:r w:rsidR="00D27788" w:rsidRPr="00282AC9">
        <w:rPr>
          <w:rFonts w:hint="cs"/>
          <w:sz w:val="27"/>
          <w:rtl/>
        </w:rPr>
        <w:t>ّ</w:t>
      </w:r>
      <w:r w:rsidRPr="00282AC9">
        <w:rPr>
          <w:rFonts w:hint="cs"/>
          <w:sz w:val="27"/>
          <w:rtl/>
        </w:rPr>
        <w:t xml:space="preserve"> التعرّ</w:t>
      </w:r>
      <w:r w:rsidR="00D27788" w:rsidRPr="00282AC9">
        <w:rPr>
          <w:rFonts w:hint="cs"/>
          <w:sz w:val="27"/>
          <w:rtl/>
        </w:rPr>
        <w:t>ُ</w:t>
      </w:r>
      <w:r w:rsidRPr="00282AC9">
        <w:rPr>
          <w:rFonts w:hint="cs"/>
          <w:sz w:val="27"/>
          <w:rtl/>
        </w:rPr>
        <w:t xml:space="preserve">ض إلى هذا الموضوع في بحث الإجابة </w:t>
      </w:r>
      <w:r w:rsidR="00D27788" w:rsidRPr="00282AC9">
        <w:rPr>
          <w:rFonts w:hint="cs"/>
          <w:sz w:val="27"/>
          <w:rtl/>
        </w:rPr>
        <w:t>عن</w:t>
      </w:r>
      <w:r w:rsidRPr="00282AC9">
        <w:rPr>
          <w:rFonts w:hint="cs"/>
          <w:sz w:val="27"/>
          <w:rtl/>
        </w:rPr>
        <w:t xml:space="preserve"> أدل</w:t>
      </w:r>
      <w:r w:rsidR="00D27788" w:rsidRPr="00282AC9">
        <w:rPr>
          <w:rFonts w:hint="cs"/>
          <w:sz w:val="27"/>
          <w:rtl/>
        </w:rPr>
        <w:t>ّ</w:t>
      </w:r>
      <w:r w:rsidRPr="00282AC9">
        <w:rPr>
          <w:rFonts w:hint="cs"/>
          <w:sz w:val="27"/>
          <w:rtl/>
        </w:rPr>
        <w:t>ة الفقهاء في مورد عدم قبول توبة المرتد</w:t>
      </w:r>
      <w:r w:rsidR="00D27788" w:rsidRPr="00282AC9">
        <w:rPr>
          <w:rFonts w:hint="cs"/>
          <w:sz w:val="27"/>
          <w:rtl/>
        </w:rPr>
        <w:t>ّ</w:t>
      </w:r>
      <w:r w:rsidRPr="00282AC9">
        <w:rPr>
          <w:rFonts w:hint="cs"/>
          <w:sz w:val="27"/>
          <w:rtl/>
        </w:rPr>
        <w:t>.</w:t>
      </w:r>
    </w:p>
    <w:p w:rsidR="00831CC9" w:rsidRPr="00282AC9" w:rsidRDefault="00831CC9" w:rsidP="00831CC9">
      <w:pPr>
        <w:pStyle w:val="31"/>
        <w:rPr>
          <w:color w:val="auto"/>
          <w:rtl/>
        </w:rPr>
      </w:pPr>
      <w:r w:rsidRPr="00282AC9">
        <w:rPr>
          <w:rFonts w:hint="cs"/>
          <w:color w:val="auto"/>
          <w:rtl/>
        </w:rPr>
        <w:lastRenderedPageBreak/>
        <w:t>مذاهب فقهاء الإماميّة في توبة المرتدّ الفطري</w:t>
      </w:r>
    </w:p>
    <w:p w:rsidR="005A1BD7" w:rsidRPr="00282AC9" w:rsidRDefault="005A1BD7" w:rsidP="00C75E73">
      <w:pPr>
        <w:rPr>
          <w:sz w:val="27"/>
          <w:rtl/>
        </w:rPr>
      </w:pPr>
      <w:r w:rsidRPr="00282AC9">
        <w:rPr>
          <w:rFonts w:hint="cs"/>
          <w:sz w:val="27"/>
          <w:rtl/>
        </w:rPr>
        <w:t>وبحث</w:t>
      </w:r>
      <w:r w:rsidR="00D27788" w:rsidRPr="00282AC9">
        <w:rPr>
          <w:rFonts w:hint="cs"/>
          <w:sz w:val="27"/>
          <w:rtl/>
        </w:rPr>
        <w:t>ُ</w:t>
      </w:r>
      <w:r w:rsidRPr="00282AC9">
        <w:rPr>
          <w:rFonts w:hint="cs"/>
          <w:sz w:val="27"/>
          <w:rtl/>
        </w:rPr>
        <w:t>نا هنا يدور حول ما قاله فقهاء الإمامي</w:t>
      </w:r>
      <w:r w:rsidR="00FF654F" w:rsidRPr="00282AC9">
        <w:rPr>
          <w:rFonts w:hint="cs"/>
          <w:sz w:val="27"/>
          <w:rtl/>
        </w:rPr>
        <w:t>ّ</w:t>
      </w:r>
      <w:r w:rsidRPr="00282AC9">
        <w:rPr>
          <w:rFonts w:hint="cs"/>
          <w:sz w:val="27"/>
          <w:rtl/>
        </w:rPr>
        <w:t>ة بشأن توبة المرتد</w:t>
      </w:r>
      <w:r w:rsidR="00FF654F" w:rsidRPr="00282AC9">
        <w:rPr>
          <w:rFonts w:hint="cs"/>
          <w:sz w:val="27"/>
          <w:rtl/>
        </w:rPr>
        <w:t>ّ</w:t>
      </w:r>
      <w:r w:rsidRPr="00282AC9">
        <w:rPr>
          <w:rFonts w:hint="cs"/>
          <w:sz w:val="27"/>
          <w:rtl/>
        </w:rPr>
        <w:t xml:space="preserve"> الفطري</w:t>
      </w:r>
      <w:r w:rsidR="00FF654F" w:rsidRPr="00282AC9">
        <w:rPr>
          <w:rFonts w:hint="cs"/>
          <w:sz w:val="27"/>
          <w:rtl/>
        </w:rPr>
        <w:t>،</w:t>
      </w:r>
      <w:r w:rsidRPr="00282AC9">
        <w:rPr>
          <w:rFonts w:hint="cs"/>
          <w:sz w:val="27"/>
          <w:rtl/>
        </w:rPr>
        <w:t xml:space="preserve"> من أن المرتد</w:t>
      </w:r>
      <w:r w:rsidR="00FF654F" w:rsidRPr="00282AC9">
        <w:rPr>
          <w:rFonts w:hint="cs"/>
          <w:sz w:val="27"/>
          <w:rtl/>
        </w:rPr>
        <w:t>ّ</w:t>
      </w:r>
      <w:r w:rsidRPr="00282AC9">
        <w:rPr>
          <w:rFonts w:hint="cs"/>
          <w:sz w:val="27"/>
          <w:rtl/>
        </w:rPr>
        <w:t xml:space="preserve"> الفطري إذا تاب لا ت</w:t>
      </w:r>
      <w:r w:rsidR="00FF654F" w:rsidRPr="00282AC9">
        <w:rPr>
          <w:rFonts w:hint="cs"/>
          <w:sz w:val="27"/>
          <w:rtl/>
        </w:rPr>
        <w:t>ُ</w:t>
      </w:r>
      <w:r w:rsidRPr="00282AC9">
        <w:rPr>
          <w:rFonts w:hint="cs"/>
          <w:sz w:val="27"/>
          <w:rtl/>
        </w:rPr>
        <w:t>ق</w:t>
      </w:r>
      <w:r w:rsidR="00FF654F" w:rsidRPr="00282AC9">
        <w:rPr>
          <w:rFonts w:hint="cs"/>
          <w:sz w:val="27"/>
          <w:rtl/>
        </w:rPr>
        <w:t>ْ</w:t>
      </w:r>
      <w:r w:rsidRPr="00282AC9">
        <w:rPr>
          <w:rFonts w:hint="cs"/>
          <w:sz w:val="27"/>
          <w:rtl/>
        </w:rPr>
        <w:t>ب</w:t>
      </w:r>
      <w:r w:rsidR="00FF654F" w:rsidRPr="00282AC9">
        <w:rPr>
          <w:rFonts w:hint="cs"/>
          <w:sz w:val="27"/>
          <w:rtl/>
        </w:rPr>
        <w:t>َ</w:t>
      </w:r>
      <w:r w:rsidRPr="00282AC9">
        <w:rPr>
          <w:rFonts w:hint="cs"/>
          <w:sz w:val="27"/>
          <w:rtl/>
        </w:rPr>
        <w:t>ل توبته ظاهراً، وت</w:t>
      </w:r>
      <w:r w:rsidR="00FF654F" w:rsidRPr="00282AC9">
        <w:rPr>
          <w:rFonts w:hint="cs"/>
          <w:sz w:val="27"/>
          <w:rtl/>
        </w:rPr>
        <w:t>ُ</w:t>
      </w:r>
      <w:r w:rsidRPr="00282AC9">
        <w:rPr>
          <w:rFonts w:hint="cs"/>
          <w:sz w:val="27"/>
          <w:rtl/>
        </w:rPr>
        <w:t>ج</w:t>
      </w:r>
      <w:r w:rsidR="00FF654F" w:rsidRPr="00282AC9">
        <w:rPr>
          <w:rFonts w:hint="cs"/>
          <w:sz w:val="27"/>
          <w:rtl/>
        </w:rPr>
        <w:t>ْ</w:t>
      </w:r>
      <w:r w:rsidRPr="00282AC9">
        <w:rPr>
          <w:rFonts w:hint="cs"/>
          <w:sz w:val="27"/>
          <w:rtl/>
        </w:rPr>
        <w:t>ر</w:t>
      </w:r>
      <w:r w:rsidR="00FF654F" w:rsidRPr="00282AC9">
        <w:rPr>
          <w:rFonts w:hint="cs"/>
          <w:sz w:val="27"/>
          <w:rtl/>
        </w:rPr>
        <w:t>َ</w:t>
      </w:r>
      <w:r w:rsidRPr="00282AC9">
        <w:rPr>
          <w:rFonts w:hint="cs"/>
          <w:sz w:val="27"/>
          <w:rtl/>
        </w:rPr>
        <w:t>ى في حق</w:t>
      </w:r>
      <w:r w:rsidR="00820645" w:rsidRPr="00282AC9">
        <w:rPr>
          <w:rFonts w:hint="cs"/>
          <w:sz w:val="27"/>
          <w:rtl/>
        </w:rPr>
        <w:t>ِّ</w:t>
      </w:r>
      <w:r w:rsidRPr="00282AC9">
        <w:rPr>
          <w:rFonts w:hint="cs"/>
          <w:sz w:val="27"/>
          <w:rtl/>
        </w:rPr>
        <w:t>ه الأحكام الثلاثة، من القتل، وانتفاء الزوجية، وتقسيم أمواله على الورثة. فهل هذا الحكم صحيح</w:t>
      </w:r>
      <w:r w:rsidR="00820645" w:rsidRPr="00282AC9">
        <w:rPr>
          <w:rFonts w:hint="cs"/>
          <w:sz w:val="27"/>
          <w:rtl/>
        </w:rPr>
        <w:t>ٌ</w:t>
      </w:r>
      <w:r w:rsidRPr="00282AC9">
        <w:rPr>
          <w:rFonts w:hint="cs"/>
          <w:sz w:val="27"/>
          <w:rtl/>
        </w:rPr>
        <w:t xml:space="preserve"> أم لا؟ و</w:t>
      </w:r>
      <w:r w:rsidRPr="00282AC9">
        <w:rPr>
          <w:sz w:val="27"/>
          <w:rtl/>
        </w:rPr>
        <w:t>لو تاب المرتد الفطري قبل إقامة البيّ</w:t>
      </w:r>
      <w:r w:rsidR="00820645" w:rsidRPr="00282AC9">
        <w:rPr>
          <w:rFonts w:hint="cs"/>
          <w:sz w:val="27"/>
          <w:rtl/>
        </w:rPr>
        <w:t>ِ</w:t>
      </w:r>
      <w:r w:rsidRPr="00282AC9">
        <w:rPr>
          <w:sz w:val="27"/>
          <w:rtl/>
        </w:rPr>
        <w:t>نة عليه</w:t>
      </w:r>
      <w:r w:rsidRPr="00282AC9">
        <w:rPr>
          <w:rFonts w:hint="cs"/>
          <w:sz w:val="27"/>
          <w:rtl/>
        </w:rPr>
        <w:t xml:space="preserve"> (دون إكراه</w:t>
      </w:r>
      <w:r w:rsidR="00820645" w:rsidRPr="00282AC9">
        <w:rPr>
          <w:rFonts w:hint="cs"/>
          <w:sz w:val="27"/>
          <w:rtl/>
        </w:rPr>
        <w:t>ٍ</w:t>
      </w:r>
      <w:r w:rsidRPr="00282AC9">
        <w:rPr>
          <w:rFonts w:hint="cs"/>
          <w:sz w:val="27"/>
          <w:rtl/>
        </w:rPr>
        <w:t xml:space="preserve"> أو إجبار</w:t>
      </w:r>
      <w:r w:rsidR="00820645" w:rsidRPr="00282AC9">
        <w:rPr>
          <w:rFonts w:hint="cs"/>
          <w:sz w:val="27"/>
          <w:rtl/>
        </w:rPr>
        <w:t>ٍ</w:t>
      </w:r>
      <w:r w:rsidRPr="00282AC9">
        <w:rPr>
          <w:rFonts w:hint="cs"/>
          <w:sz w:val="27"/>
          <w:rtl/>
        </w:rPr>
        <w:t>)</w:t>
      </w:r>
      <w:r w:rsidRPr="00282AC9">
        <w:rPr>
          <w:sz w:val="27"/>
          <w:rtl/>
        </w:rPr>
        <w:t>، أو كان في دار الكفر ولم يُج</w:t>
      </w:r>
      <w:r w:rsidR="00820645" w:rsidRPr="00282AC9">
        <w:rPr>
          <w:rFonts w:hint="cs"/>
          <w:sz w:val="27"/>
          <w:rtl/>
        </w:rPr>
        <w:t>ْ</w:t>
      </w:r>
      <w:r w:rsidRPr="00282AC9">
        <w:rPr>
          <w:sz w:val="27"/>
          <w:rtl/>
        </w:rPr>
        <w:t>رَ عليه الحدّ وتاب هناك، فهل تُق</w:t>
      </w:r>
      <w:r w:rsidR="00820645" w:rsidRPr="00282AC9">
        <w:rPr>
          <w:rFonts w:hint="cs"/>
          <w:sz w:val="27"/>
          <w:rtl/>
        </w:rPr>
        <w:t>ْ</w:t>
      </w:r>
      <w:r w:rsidRPr="00282AC9">
        <w:rPr>
          <w:sz w:val="27"/>
          <w:rtl/>
        </w:rPr>
        <w:t>ب</w:t>
      </w:r>
      <w:r w:rsidR="00820645" w:rsidRPr="00282AC9">
        <w:rPr>
          <w:rFonts w:hint="cs"/>
          <w:sz w:val="27"/>
          <w:rtl/>
        </w:rPr>
        <w:t>َ</w:t>
      </w:r>
      <w:r w:rsidRPr="00282AC9">
        <w:rPr>
          <w:sz w:val="27"/>
          <w:rtl/>
        </w:rPr>
        <w:t>ل توبته في مثل هذه الحالة</w:t>
      </w:r>
      <w:r w:rsidR="00820645" w:rsidRPr="00282AC9">
        <w:rPr>
          <w:rFonts w:hint="cs"/>
          <w:sz w:val="27"/>
          <w:rtl/>
        </w:rPr>
        <w:t>؟</w:t>
      </w:r>
      <w:r w:rsidRPr="00282AC9">
        <w:rPr>
          <w:sz w:val="27"/>
          <w:rtl/>
        </w:rPr>
        <w:t xml:space="preserve"> وهل يرفع ذلك حكم القتل عنه؟</w:t>
      </w:r>
    </w:p>
    <w:p w:rsidR="005A1BD7" w:rsidRPr="00282AC9" w:rsidRDefault="005A1BD7" w:rsidP="002971A0">
      <w:pPr>
        <w:spacing w:line="410" w:lineRule="exact"/>
        <w:rPr>
          <w:sz w:val="27"/>
          <w:rtl/>
        </w:rPr>
      </w:pPr>
      <w:r w:rsidRPr="00282AC9">
        <w:rPr>
          <w:rFonts w:hint="cs"/>
          <w:sz w:val="27"/>
          <w:rtl/>
        </w:rPr>
        <w:t>لقد ورد في تعريف المرتد</w:t>
      </w:r>
      <w:r w:rsidR="00820645" w:rsidRPr="00282AC9">
        <w:rPr>
          <w:rFonts w:hint="cs"/>
          <w:sz w:val="27"/>
          <w:rtl/>
        </w:rPr>
        <w:t>ّ</w:t>
      </w:r>
      <w:r w:rsidRPr="00282AC9">
        <w:rPr>
          <w:rFonts w:hint="cs"/>
          <w:sz w:val="27"/>
          <w:rtl/>
        </w:rPr>
        <w:t xml:space="preserve"> الفطري: هو الذي يكون أحد والد</w:t>
      </w:r>
      <w:r w:rsidR="00820645" w:rsidRPr="00282AC9">
        <w:rPr>
          <w:rFonts w:hint="cs"/>
          <w:sz w:val="27"/>
          <w:rtl/>
        </w:rPr>
        <w:t>َ</w:t>
      </w:r>
      <w:r w:rsidRPr="00282AC9">
        <w:rPr>
          <w:rFonts w:hint="cs"/>
          <w:sz w:val="27"/>
          <w:rtl/>
        </w:rPr>
        <w:t>ي</w:t>
      </w:r>
      <w:r w:rsidR="00820645" w:rsidRPr="00282AC9">
        <w:rPr>
          <w:rFonts w:hint="cs"/>
          <w:sz w:val="27"/>
          <w:rtl/>
        </w:rPr>
        <w:t>ْ</w:t>
      </w:r>
      <w:r w:rsidRPr="00282AC9">
        <w:rPr>
          <w:rFonts w:hint="cs"/>
          <w:sz w:val="27"/>
          <w:rtl/>
        </w:rPr>
        <w:t>ه مسلماً حين انعقاد نطفته، ويختار الإسلام بعد بلوغه، ثم</w:t>
      </w:r>
      <w:r w:rsidR="00820645" w:rsidRPr="00282AC9">
        <w:rPr>
          <w:rFonts w:hint="cs"/>
          <w:sz w:val="27"/>
          <w:rtl/>
        </w:rPr>
        <w:t>ّ</w:t>
      </w:r>
      <w:r w:rsidRPr="00282AC9">
        <w:rPr>
          <w:rFonts w:hint="cs"/>
          <w:sz w:val="27"/>
          <w:rtl/>
        </w:rPr>
        <w:t xml:space="preserve"> يخرج من الإسلام بعد ذلك</w:t>
      </w:r>
      <w:r w:rsidRPr="00282AC9">
        <w:rPr>
          <w:sz w:val="27"/>
          <w:vertAlign w:val="superscript"/>
          <w:rtl/>
        </w:rPr>
        <w:t>(</w:t>
      </w:r>
      <w:r w:rsidRPr="00282AC9">
        <w:rPr>
          <w:rStyle w:val="af9"/>
          <w:sz w:val="27"/>
          <w:rtl/>
        </w:rPr>
        <w:endnoteReference w:id="259"/>
      </w:r>
      <w:r w:rsidRPr="00282AC9">
        <w:rPr>
          <w:sz w:val="27"/>
          <w:vertAlign w:val="superscript"/>
          <w:rtl/>
        </w:rPr>
        <w:t>)</w:t>
      </w:r>
      <w:r w:rsidRPr="00282AC9">
        <w:rPr>
          <w:rFonts w:hint="cs"/>
          <w:sz w:val="27"/>
          <w:rtl/>
        </w:rPr>
        <w:t>.</w:t>
      </w:r>
    </w:p>
    <w:p w:rsidR="005A1BD7" w:rsidRPr="00282AC9" w:rsidRDefault="00820645" w:rsidP="00C75E73">
      <w:pPr>
        <w:rPr>
          <w:sz w:val="27"/>
          <w:rtl/>
        </w:rPr>
      </w:pPr>
      <w:r w:rsidRPr="00282AC9">
        <w:rPr>
          <w:rFonts w:hint="cs"/>
          <w:sz w:val="27"/>
          <w:rtl/>
        </w:rPr>
        <w:t>و</w:t>
      </w:r>
      <w:r w:rsidR="005A1BD7" w:rsidRPr="00282AC9">
        <w:rPr>
          <w:rFonts w:hint="cs"/>
          <w:sz w:val="27"/>
          <w:rtl/>
        </w:rPr>
        <w:t>هناك بين فقهاء الإمامية في</w:t>
      </w:r>
      <w:r w:rsidRPr="00282AC9">
        <w:rPr>
          <w:rFonts w:hint="cs"/>
          <w:sz w:val="27"/>
          <w:rtl/>
        </w:rPr>
        <w:t xml:space="preserve"> </w:t>
      </w:r>
      <w:r w:rsidR="005A1BD7" w:rsidRPr="00282AC9">
        <w:rPr>
          <w:rFonts w:hint="cs"/>
          <w:sz w:val="27"/>
          <w:rtl/>
        </w:rPr>
        <w:t>ما يتعل</w:t>
      </w:r>
      <w:r w:rsidRPr="00282AC9">
        <w:rPr>
          <w:rFonts w:hint="cs"/>
          <w:sz w:val="27"/>
          <w:rtl/>
        </w:rPr>
        <w:t>َّ</w:t>
      </w:r>
      <w:r w:rsidR="005A1BD7" w:rsidRPr="00282AC9">
        <w:rPr>
          <w:rFonts w:hint="cs"/>
          <w:sz w:val="27"/>
          <w:rtl/>
        </w:rPr>
        <w:t>ق بعدم قبول توبة المرتد</w:t>
      </w:r>
      <w:r w:rsidRPr="00282AC9">
        <w:rPr>
          <w:rFonts w:hint="cs"/>
          <w:sz w:val="27"/>
          <w:rtl/>
        </w:rPr>
        <w:t>ّ،</w:t>
      </w:r>
      <w:r w:rsidR="005A1BD7" w:rsidRPr="00282AC9">
        <w:rPr>
          <w:rFonts w:hint="cs"/>
          <w:sz w:val="27"/>
          <w:rtl/>
        </w:rPr>
        <w:t xml:space="preserve"> والأحكام المرتبطة به، ثلاثة آراء، على النحو </w:t>
      </w:r>
      <w:r w:rsidRPr="00282AC9">
        <w:rPr>
          <w:rFonts w:hint="cs"/>
          <w:sz w:val="27"/>
          <w:rtl/>
        </w:rPr>
        <w:t>التالي</w:t>
      </w:r>
      <w:r w:rsidR="005A1BD7" w:rsidRPr="00282AC9">
        <w:rPr>
          <w:rFonts w:hint="cs"/>
          <w:sz w:val="27"/>
          <w:rtl/>
        </w:rPr>
        <w:t>:</w:t>
      </w:r>
    </w:p>
    <w:p w:rsidR="005A1BD7" w:rsidRPr="00282AC9" w:rsidRDefault="005A1BD7" w:rsidP="00C75E73">
      <w:pPr>
        <w:rPr>
          <w:sz w:val="27"/>
          <w:rtl/>
        </w:rPr>
      </w:pPr>
      <w:r w:rsidRPr="00282AC9">
        <w:rPr>
          <w:rFonts w:hint="cs"/>
          <w:sz w:val="27"/>
          <w:rtl/>
        </w:rPr>
        <w:t>1ـ ذهب مشهور الفقهاء إلى القول بأن توبة المرتد</w:t>
      </w:r>
      <w:r w:rsidR="00820645" w:rsidRPr="00282AC9">
        <w:rPr>
          <w:rFonts w:hint="cs"/>
          <w:sz w:val="27"/>
          <w:rtl/>
        </w:rPr>
        <w:t>ّ</w:t>
      </w:r>
      <w:r w:rsidRPr="00282AC9">
        <w:rPr>
          <w:rFonts w:hint="cs"/>
          <w:sz w:val="27"/>
          <w:rtl/>
        </w:rPr>
        <w:t xml:space="preserve"> عن فطرة</w:t>
      </w:r>
      <w:r w:rsidR="00820645" w:rsidRPr="00282AC9">
        <w:rPr>
          <w:rFonts w:hint="cs"/>
          <w:sz w:val="27"/>
          <w:rtl/>
        </w:rPr>
        <w:t>ٍ</w:t>
      </w:r>
      <w:r w:rsidRPr="00282AC9">
        <w:rPr>
          <w:rFonts w:hint="cs"/>
          <w:sz w:val="27"/>
          <w:rtl/>
        </w:rPr>
        <w:t xml:space="preserve"> لا تقبل أبداً: </w:t>
      </w:r>
      <w:r w:rsidRPr="00282AC9">
        <w:rPr>
          <w:rFonts w:hint="eastAsia"/>
          <w:sz w:val="24"/>
          <w:szCs w:val="24"/>
          <w:rtl/>
        </w:rPr>
        <w:t>«</w:t>
      </w:r>
      <w:r w:rsidRPr="00282AC9">
        <w:rPr>
          <w:sz w:val="27"/>
          <w:rtl/>
        </w:rPr>
        <w:t>ينبغي أن يعلم أن الإسلام يطه</w:t>
      </w:r>
      <w:r w:rsidRPr="00282AC9">
        <w:rPr>
          <w:rFonts w:hint="cs"/>
          <w:sz w:val="27"/>
          <w:rtl/>
        </w:rPr>
        <w:t>ّ</w:t>
      </w:r>
      <w:r w:rsidR="00820645" w:rsidRPr="00282AC9">
        <w:rPr>
          <w:rFonts w:hint="cs"/>
          <w:sz w:val="27"/>
          <w:rtl/>
        </w:rPr>
        <w:t>ِ</w:t>
      </w:r>
      <w:r w:rsidRPr="00282AC9">
        <w:rPr>
          <w:sz w:val="27"/>
          <w:rtl/>
        </w:rPr>
        <w:t>ر عن نجاسة الكفر بجميع أقسامه</w:t>
      </w:r>
      <w:r w:rsidR="00820645" w:rsidRPr="00282AC9">
        <w:rPr>
          <w:rFonts w:hint="cs"/>
          <w:sz w:val="27"/>
          <w:rtl/>
        </w:rPr>
        <w:t>،</w:t>
      </w:r>
      <w:r w:rsidRPr="00282AC9">
        <w:rPr>
          <w:sz w:val="27"/>
          <w:rtl/>
        </w:rPr>
        <w:t xml:space="preserve"> إلا</w:t>
      </w:r>
      <w:r w:rsidR="00820645" w:rsidRPr="00282AC9">
        <w:rPr>
          <w:rFonts w:hint="cs"/>
          <w:sz w:val="27"/>
          <w:rtl/>
        </w:rPr>
        <w:t>ّ</w:t>
      </w:r>
      <w:r w:rsidRPr="00282AC9">
        <w:rPr>
          <w:sz w:val="27"/>
          <w:rtl/>
        </w:rPr>
        <w:t xml:space="preserve"> الارتداد الفطري</w:t>
      </w:r>
      <w:r w:rsidR="00820645" w:rsidRPr="00282AC9">
        <w:rPr>
          <w:rFonts w:hint="cs"/>
          <w:sz w:val="27"/>
          <w:rtl/>
        </w:rPr>
        <w:t>ّ</w:t>
      </w:r>
      <w:r w:rsidRPr="00282AC9">
        <w:rPr>
          <w:sz w:val="27"/>
          <w:rtl/>
        </w:rPr>
        <w:t xml:space="preserve"> من الرجل خاص</w:t>
      </w:r>
      <w:r w:rsidR="00820645" w:rsidRPr="00282AC9">
        <w:rPr>
          <w:rFonts w:hint="cs"/>
          <w:sz w:val="27"/>
          <w:rtl/>
        </w:rPr>
        <w:t>ّ</w:t>
      </w:r>
      <w:r w:rsidRPr="00282AC9">
        <w:rPr>
          <w:sz w:val="27"/>
          <w:rtl/>
        </w:rPr>
        <w:t>ة</w:t>
      </w:r>
      <w:r w:rsidR="00820645" w:rsidRPr="00282AC9">
        <w:rPr>
          <w:rFonts w:hint="cs"/>
          <w:sz w:val="27"/>
          <w:rtl/>
        </w:rPr>
        <w:t>ً،</w:t>
      </w:r>
      <w:r w:rsidRPr="00282AC9">
        <w:rPr>
          <w:sz w:val="27"/>
          <w:rtl/>
        </w:rPr>
        <w:t xml:space="preserve"> دون المرأة...</w:t>
      </w:r>
      <w:r w:rsidR="00820645" w:rsidRPr="00282AC9">
        <w:rPr>
          <w:rFonts w:hint="cs"/>
          <w:sz w:val="27"/>
          <w:rtl/>
        </w:rPr>
        <w:t>؛</w:t>
      </w:r>
      <w:r w:rsidRPr="00282AC9">
        <w:rPr>
          <w:sz w:val="27"/>
          <w:rtl/>
        </w:rPr>
        <w:t xml:space="preserve"> للأصل</w:t>
      </w:r>
      <w:r w:rsidRPr="00282AC9">
        <w:rPr>
          <w:rFonts w:hint="cs"/>
          <w:sz w:val="27"/>
          <w:rtl/>
        </w:rPr>
        <w:t>؛</w:t>
      </w:r>
      <w:r w:rsidRPr="00282AC9">
        <w:rPr>
          <w:sz w:val="27"/>
          <w:rtl/>
        </w:rPr>
        <w:t xml:space="preserve"> بمعنى الاستصحاب لموضوع الكفر نفسه، ولحكمه من النجاسة ونحوها، وإطلاق ما في مواريث كشف اللثام من الإجماع على عدم قبول توبته</w:t>
      </w:r>
      <w:r w:rsidRPr="00282AC9">
        <w:rPr>
          <w:rFonts w:hint="eastAsia"/>
          <w:sz w:val="24"/>
          <w:szCs w:val="24"/>
          <w:rtl/>
        </w:rPr>
        <w:t>»</w:t>
      </w:r>
      <w:r w:rsidRPr="00282AC9">
        <w:rPr>
          <w:sz w:val="27"/>
          <w:vertAlign w:val="superscript"/>
          <w:rtl/>
        </w:rPr>
        <w:t>(</w:t>
      </w:r>
      <w:r w:rsidRPr="00282AC9">
        <w:rPr>
          <w:rStyle w:val="af9"/>
          <w:sz w:val="27"/>
          <w:rtl/>
        </w:rPr>
        <w:endnoteReference w:id="260"/>
      </w:r>
      <w:r w:rsidRPr="00282AC9">
        <w:rPr>
          <w:sz w:val="27"/>
          <w:vertAlign w:val="superscript"/>
          <w:rtl/>
        </w:rPr>
        <w:t>)</w:t>
      </w:r>
      <w:r w:rsidRPr="00282AC9">
        <w:rPr>
          <w:rFonts w:hint="cs"/>
          <w:sz w:val="27"/>
          <w:rtl/>
        </w:rPr>
        <w:t>. وقال صاحب (شرائع الإسلام): إن هذا الشخص (المرتد</w:t>
      </w:r>
      <w:r w:rsidR="00820645" w:rsidRPr="00282AC9">
        <w:rPr>
          <w:rFonts w:hint="cs"/>
          <w:sz w:val="27"/>
          <w:rtl/>
        </w:rPr>
        <w:t>ّ</w:t>
      </w:r>
      <w:r w:rsidRPr="00282AC9">
        <w:rPr>
          <w:rFonts w:hint="cs"/>
          <w:sz w:val="27"/>
          <w:rtl/>
        </w:rPr>
        <w:t xml:space="preserve"> الفطري) إذا عاد إلى الإسلام لا يُق</w:t>
      </w:r>
      <w:r w:rsidR="00820645" w:rsidRPr="00282AC9">
        <w:rPr>
          <w:rFonts w:hint="cs"/>
          <w:sz w:val="27"/>
          <w:rtl/>
        </w:rPr>
        <w:t>ْ</w:t>
      </w:r>
      <w:r w:rsidRPr="00282AC9">
        <w:rPr>
          <w:rFonts w:hint="cs"/>
          <w:sz w:val="27"/>
          <w:rtl/>
        </w:rPr>
        <w:t>ب</w:t>
      </w:r>
      <w:r w:rsidR="00820645" w:rsidRPr="00282AC9">
        <w:rPr>
          <w:rFonts w:hint="cs"/>
          <w:sz w:val="27"/>
          <w:rtl/>
        </w:rPr>
        <w:t>َ</w:t>
      </w:r>
      <w:r w:rsidRPr="00282AC9">
        <w:rPr>
          <w:rFonts w:hint="cs"/>
          <w:sz w:val="27"/>
          <w:rtl/>
        </w:rPr>
        <w:t>ل منه، وتجري عليه الأحكام الثلاثة</w:t>
      </w:r>
      <w:r w:rsidRPr="00282AC9">
        <w:rPr>
          <w:sz w:val="27"/>
          <w:vertAlign w:val="superscript"/>
          <w:rtl/>
        </w:rPr>
        <w:t>(</w:t>
      </w:r>
      <w:r w:rsidRPr="00282AC9">
        <w:rPr>
          <w:rStyle w:val="af9"/>
          <w:sz w:val="27"/>
          <w:rtl/>
        </w:rPr>
        <w:endnoteReference w:id="261"/>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2ـ هناك م</w:t>
      </w:r>
      <w:r w:rsidR="00820645" w:rsidRPr="00282AC9">
        <w:rPr>
          <w:rFonts w:hint="cs"/>
          <w:sz w:val="27"/>
          <w:rtl/>
        </w:rPr>
        <w:t>َ</w:t>
      </w:r>
      <w:r w:rsidRPr="00282AC9">
        <w:rPr>
          <w:rFonts w:hint="cs"/>
          <w:sz w:val="27"/>
          <w:rtl/>
        </w:rPr>
        <w:t>ن</w:t>
      </w:r>
      <w:r w:rsidR="00820645" w:rsidRPr="00282AC9">
        <w:rPr>
          <w:rFonts w:hint="cs"/>
          <w:sz w:val="27"/>
          <w:rtl/>
        </w:rPr>
        <w:t>ْ</w:t>
      </w:r>
      <w:r w:rsidRPr="00282AC9">
        <w:rPr>
          <w:rFonts w:hint="cs"/>
          <w:sz w:val="27"/>
          <w:rtl/>
        </w:rPr>
        <w:t xml:space="preserve"> قال بأن توبة المرتد</w:t>
      </w:r>
      <w:r w:rsidR="00820645" w:rsidRPr="00282AC9">
        <w:rPr>
          <w:rFonts w:hint="cs"/>
          <w:sz w:val="27"/>
          <w:rtl/>
        </w:rPr>
        <w:t>ّ</w:t>
      </w:r>
      <w:r w:rsidRPr="00282AC9">
        <w:rPr>
          <w:rFonts w:hint="cs"/>
          <w:sz w:val="27"/>
          <w:rtl/>
        </w:rPr>
        <w:t xml:space="preserve"> ت</w:t>
      </w:r>
      <w:r w:rsidR="00820645" w:rsidRPr="00282AC9">
        <w:rPr>
          <w:rFonts w:hint="cs"/>
          <w:sz w:val="27"/>
          <w:rtl/>
        </w:rPr>
        <w:t>ُ</w:t>
      </w:r>
      <w:r w:rsidRPr="00282AC9">
        <w:rPr>
          <w:rFonts w:hint="cs"/>
          <w:sz w:val="27"/>
          <w:rtl/>
        </w:rPr>
        <w:t>ق</w:t>
      </w:r>
      <w:r w:rsidR="00820645" w:rsidRPr="00282AC9">
        <w:rPr>
          <w:rFonts w:hint="cs"/>
          <w:sz w:val="27"/>
          <w:rtl/>
        </w:rPr>
        <w:t>ْ</w:t>
      </w:r>
      <w:r w:rsidRPr="00282AC9">
        <w:rPr>
          <w:rFonts w:hint="cs"/>
          <w:sz w:val="27"/>
          <w:rtl/>
        </w:rPr>
        <w:t>ب</w:t>
      </w:r>
      <w:r w:rsidR="00820645" w:rsidRPr="00282AC9">
        <w:rPr>
          <w:rFonts w:hint="cs"/>
          <w:sz w:val="27"/>
          <w:rtl/>
        </w:rPr>
        <w:t>َ</w:t>
      </w:r>
      <w:r w:rsidRPr="00282AC9">
        <w:rPr>
          <w:rFonts w:hint="cs"/>
          <w:sz w:val="27"/>
          <w:rtl/>
        </w:rPr>
        <w:t>ل على كلتا الحالتين (سواء أكان المرتد</w:t>
      </w:r>
      <w:r w:rsidR="00820645" w:rsidRPr="00282AC9">
        <w:rPr>
          <w:rFonts w:hint="cs"/>
          <w:sz w:val="27"/>
          <w:rtl/>
        </w:rPr>
        <w:t>ّ</w:t>
      </w:r>
      <w:r w:rsidRPr="00282AC9">
        <w:rPr>
          <w:rFonts w:hint="cs"/>
          <w:sz w:val="27"/>
          <w:rtl/>
        </w:rPr>
        <w:t xml:space="preserve"> فطري</w:t>
      </w:r>
      <w:r w:rsidR="00820645" w:rsidRPr="00282AC9">
        <w:rPr>
          <w:rFonts w:hint="cs"/>
          <w:sz w:val="27"/>
          <w:rtl/>
        </w:rPr>
        <w:t>ّ</w:t>
      </w:r>
      <w:r w:rsidRPr="00282AC9">
        <w:rPr>
          <w:rFonts w:hint="cs"/>
          <w:sz w:val="27"/>
          <w:rtl/>
        </w:rPr>
        <w:t>اً أو مل</w:t>
      </w:r>
      <w:r w:rsidR="00820645" w:rsidRPr="00282AC9">
        <w:rPr>
          <w:rFonts w:hint="cs"/>
          <w:sz w:val="27"/>
          <w:rtl/>
        </w:rPr>
        <w:t>ِّ</w:t>
      </w:r>
      <w:r w:rsidRPr="00282AC9">
        <w:rPr>
          <w:rFonts w:hint="cs"/>
          <w:sz w:val="27"/>
          <w:rtl/>
        </w:rPr>
        <w:t xml:space="preserve">ياً). وهذه هو مختار ابن </w:t>
      </w:r>
      <w:r w:rsidR="00820645" w:rsidRPr="00282AC9">
        <w:rPr>
          <w:rFonts w:hint="cs"/>
          <w:sz w:val="27"/>
          <w:rtl/>
        </w:rPr>
        <w:t>ال</w:t>
      </w:r>
      <w:r w:rsidRPr="00282AC9">
        <w:rPr>
          <w:rFonts w:hint="cs"/>
          <w:sz w:val="27"/>
          <w:rtl/>
        </w:rPr>
        <w:t>ج</w:t>
      </w:r>
      <w:r w:rsidR="00820645" w:rsidRPr="00282AC9">
        <w:rPr>
          <w:rFonts w:hint="cs"/>
          <w:sz w:val="27"/>
          <w:rtl/>
        </w:rPr>
        <w:t>ُ</w:t>
      </w:r>
      <w:r w:rsidRPr="00282AC9">
        <w:rPr>
          <w:rFonts w:hint="cs"/>
          <w:sz w:val="27"/>
          <w:rtl/>
        </w:rPr>
        <w:t>ن</w:t>
      </w:r>
      <w:r w:rsidR="00820645" w:rsidRPr="00282AC9">
        <w:rPr>
          <w:rFonts w:hint="cs"/>
          <w:sz w:val="27"/>
          <w:rtl/>
        </w:rPr>
        <w:t>َ</w:t>
      </w:r>
      <w:r w:rsidRPr="00282AC9">
        <w:rPr>
          <w:rFonts w:hint="cs"/>
          <w:sz w:val="27"/>
          <w:rtl/>
        </w:rPr>
        <w:t>ي</w:t>
      </w:r>
      <w:r w:rsidR="00820645" w:rsidRPr="00282AC9">
        <w:rPr>
          <w:rFonts w:hint="cs"/>
          <w:sz w:val="27"/>
          <w:rtl/>
        </w:rPr>
        <w:t>ْ</w:t>
      </w:r>
      <w:r w:rsidRPr="00282AC9">
        <w:rPr>
          <w:rFonts w:hint="cs"/>
          <w:sz w:val="27"/>
          <w:rtl/>
        </w:rPr>
        <w:t>د؛ حيث رأى للارتداد قسماً واحداً فقط، وأن المرتد</w:t>
      </w:r>
      <w:r w:rsidR="007F3860" w:rsidRPr="00282AC9">
        <w:rPr>
          <w:rFonts w:hint="cs"/>
          <w:sz w:val="27"/>
          <w:rtl/>
        </w:rPr>
        <w:t>ّ</w:t>
      </w:r>
      <w:r w:rsidRPr="00282AC9">
        <w:rPr>
          <w:rFonts w:hint="cs"/>
          <w:sz w:val="27"/>
          <w:rtl/>
        </w:rPr>
        <w:t xml:space="preserve"> ي</w:t>
      </w:r>
      <w:r w:rsidR="007F3860" w:rsidRPr="00282AC9">
        <w:rPr>
          <w:rFonts w:hint="cs"/>
          <w:sz w:val="27"/>
          <w:rtl/>
        </w:rPr>
        <w:t>ُ</w:t>
      </w:r>
      <w:r w:rsidRPr="00282AC9">
        <w:rPr>
          <w:rFonts w:hint="cs"/>
          <w:sz w:val="27"/>
          <w:rtl/>
        </w:rPr>
        <w:t>ستتاب</w:t>
      </w:r>
      <w:r w:rsidR="007F3860" w:rsidRPr="00282AC9">
        <w:rPr>
          <w:rFonts w:hint="cs"/>
          <w:sz w:val="27"/>
          <w:rtl/>
        </w:rPr>
        <w:t>؛</w:t>
      </w:r>
      <w:r w:rsidRPr="00282AC9">
        <w:rPr>
          <w:rFonts w:hint="cs"/>
          <w:sz w:val="27"/>
          <w:rtl/>
        </w:rPr>
        <w:t xml:space="preserve"> فإن</w:t>
      </w:r>
      <w:r w:rsidR="007F3860" w:rsidRPr="00282AC9">
        <w:rPr>
          <w:rFonts w:hint="cs"/>
          <w:sz w:val="27"/>
          <w:rtl/>
        </w:rPr>
        <w:t>ْ</w:t>
      </w:r>
      <w:r w:rsidRPr="00282AC9">
        <w:rPr>
          <w:rFonts w:hint="cs"/>
          <w:sz w:val="27"/>
          <w:rtl/>
        </w:rPr>
        <w:t xml:space="preserve"> تاب</w:t>
      </w:r>
      <w:r w:rsidR="007F3860" w:rsidRPr="00282AC9">
        <w:rPr>
          <w:rFonts w:hint="cs"/>
          <w:sz w:val="27"/>
          <w:rtl/>
        </w:rPr>
        <w:t>؛</w:t>
      </w:r>
      <w:r w:rsidRPr="00282AC9">
        <w:rPr>
          <w:rFonts w:hint="cs"/>
          <w:sz w:val="27"/>
          <w:rtl/>
        </w:rPr>
        <w:t xml:space="preserve"> وإلا</w:t>
      </w:r>
      <w:r w:rsidR="007F3860" w:rsidRPr="00282AC9">
        <w:rPr>
          <w:rFonts w:hint="cs"/>
          <w:sz w:val="27"/>
          <w:rtl/>
        </w:rPr>
        <w:t>ّ</w:t>
      </w:r>
      <w:r w:rsidRPr="00282AC9">
        <w:rPr>
          <w:rFonts w:hint="cs"/>
          <w:sz w:val="27"/>
          <w:rtl/>
        </w:rPr>
        <w:t xml:space="preserve"> فإنه يقتل</w:t>
      </w:r>
      <w:r w:rsidRPr="00282AC9">
        <w:rPr>
          <w:sz w:val="27"/>
          <w:vertAlign w:val="superscript"/>
          <w:rtl/>
        </w:rPr>
        <w:t>(</w:t>
      </w:r>
      <w:r w:rsidRPr="00282AC9">
        <w:rPr>
          <w:rStyle w:val="af9"/>
          <w:sz w:val="27"/>
          <w:rtl/>
        </w:rPr>
        <w:endnoteReference w:id="262"/>
      </w:r>
      <w:r w:rsidRPr="00282AC9">
        <w:rPr>
          <w:sz w:val="27"/>
          <w:vertAlign w:val="superscript"/>
          <w:rtl/>
        </w:rPr>
        <w:t>)</w:t>
      </w:r>
      <w:r w:rsidRPr="00282AC9">
        <w:rPr>
          <w:rFonts w:hint="cs"/>
          <w:sz w:val="27"/>
          <w:rtl/>
        </w:rPr>
        <w:t>. وقد مال الفيض الكاشاني إلى هذا الرأي</w:t>
      </w:r>
      <w:r w:rsidR="007F3860" w:rsidRPr="00282AC9">
        <w:rPr>
          <w:rFonts w:hint="cs"/>
          <w:sz w:val="27"/>
          <w:rtl/>
        </w:rPr>
        <w:t>،</w:t>
      </w:r>
      <w:r w:rsidRPr="00282AC9">
        <w:rPr>
          <w:rFonts w:hint="cs"/>
          <w:sz w:val="27"/>
          <w:rtl/>
        </w:rPr>
        <w:t xml:space="preserve"> وقال</w:t>
      </w:r>
      <w:r w:rsidR="007F3860" w:rsidRPr="00282AC9">
        <w:rPr>
          <w:rFonts w:hint="cs"/>
          <w:sz w:val="27"/>
          <w:rtl/>
        </w:rPr>
        <w:t>:</w:t>
      </w:r>
      <w:r w:rsidRPr="00282AC9">
        <w:rPr>
          <w:rFonts w:hint="cs"/>
          <w:sz w:val="27"/>
          <w:rtl/>
        </w:rPr>
        <w:t xml:space="preserve"> إنه يوافق الاحتياط</w:t>
      </w:r>
      <w:r w:rsidRPr="00282AC9">
        <w:rPr>
          <w:sz w:val="27"/>
          <w:vertAlign w:val="superscript"/>
          <w:rtl/>
        </w:rPr>
        <w:t>(</w:t>
      </w:r>
      <w:r w:rsidRPr="00282AC9">
        <w:rPr>
          <w:rStyle w:val="af9"/>
          <w:sz w:val="27"/>
          <w:rtl/>
        </w:rPr>
        <w:endnoteReference w:id="263"/>
      </w:r>
      <w:r w:rsidRPr="00282AC9">
        <w:rPr>
          <w:sz w:val="27"/>
          <w:vertAlign w:val="superscript"/>
          <w:rtl/>
        </w:rPr>
        <w:t>)</w:t>
      </w:r>
      <w:r w:rsidRPr="00282AC9">
        <w:rPr>
          <w:rFonts w:hint="cs"/>
          <w:sz w:val="27"/>
          <w:rtl/>
        </w:rPr>
        <w:t>. كما يُستفاد هذا الرأي من بعض كلمات ابن البر</w:t>
      </w:r>
      <w:r w:rsidR="007F3860" w:rsidRPr="00282AC9">
        <w:rPr>
          <w:rFonts w:hint="cs"/>
          <w:sz w:val="27"/>
          <w:rtl/>
        </w:rPr>
        <w:t>ّ</w:t>
      </w:r>
      <w:r w:rsidRPr="00282AC9">
        <w:rPr>
          <w:rFonts w:hint="cs"/>
          <w:sz w:val="27"/>
          <w:rtl/>
        </w:rPr>
        <w:t>اج أيضاً</w:t>
      </w:r>
      <w:r w:rsidR="007F3860" w:rsidRPr="00282AC9">
        <w:rPr>
          <w:rFonts w:hint="cs"/>
          <w:sz w:val="27"/>
          <w:rtl/>
        </w:rPr>
        <w:t>؛</w:t>
      </w:r>
      <w:r w:rsidRPr="00282AC9">
        <w:rPr>
          <w:rFonts w:hint="cs"/>
          <w:sz w:val="27"/>
          <w:rtl/>
        </w:rPr>
        <w:t xml:space="preserve"> وذلك إذ يقول: </w:t>
      </w:r>
      <w:r w:rsidRPr="00282AC9">
        <w:rPr>
          <w:rFonts w:hint="eastAsia"/>
          <w:sz w:val="24"/>
          <w:szCs w:val="24"/>
          <w:rtl/>
        </w:rPr>
        <w:t>«</w:t>
      </w:r>
      <w:r w:rsidRPr="00282AC9">
        <w:rPr>
          <w:sz w:val="27"/>
          <w:rtl/>
        </w:rPr>
        <w:t>و</w:t>
      </w:r>
      <w:r w:rsidRPr="00282AC9">
        <w:rPr>
          <w:rFonts w:hint="cs"/>
          <w:sz w:val="27"/>
          <w:rtl/>
        </w:rPr>
        <w:t>إ</w:t>
      </w:r>
      <w:r w:rsidRPr="00282AC9">
        <w:rPr>
          <w:sz w:val="27"/>
          <w:rtl/>
        </w:rPr>
        <w:t xml:space="preserve">ذا </w:t>
      </w:r>
      <w:r w:rsidR="007F3860" w:rsidRPr="00282AC9">
        <w:rPr>
          <w:rFonts w:hint="cs"/>
          <w:sz w:val="27"/>
          <w:rtl/>
        </w:rPr>
        <w:t>ك</w:t>
      </w:r>
      <w:r w:rsidRPr="00282AC9">
        <w:rPr>
          <w:sz w:val="27"/>
          <w:rtl/>
        </w:rPr>
        <w:t>ان المرتد</w:t>
      </w:r>
      <w:r w:rsidR="007F3860" w:rsidRPr="00282AC9">
        <w:rPr>
          <w:rFonts w:hint="cs"/>
          <w:sz w:val="27"/>
          <w:rtl/>
        </w:rPr>
        <w:t>ّ</w:t>
      </w:r>
      <w:r w:rsidRPr="00282AC9">
        <w:rPr>
          <w:sz w:val="27"/>
          <w:rtl/>
        </w:rPr>
        <w:t xml:space="preserve"> مولودا</w:t>
      </w:r>
      <w:r w:rsidRPr="00282AC9">
        <w:rPr>
          <w:rFonts w:hint="cs"/>
          <w:sz w:val="27"/>
          <w:rtl/>
        </w:rPr>
        <w:t>ً</w:t>
      </w:r>
      <w:r w:rsidRPr="00282AC9">
        <w:rPr>
          <w:sz w:val="27"/>
          <w:rtl/>
        </w:rPr>
        <w:t xml:space="preserve"> </w:t>
      </w:r>
      <w:r w:rsidR="007F3860" w:rsidRPr="00282AC9">
        <w:rPr>
          <w:rFonts w:hint="cs"/>
          <w:sz w:val="27"/>
          <w:rtl/>
        </w:rPr>
        <w:t>على</w:t>
      </w:r>
      <w:r w:rsidRPr="00282AC9">
        <w:rPr>
          <w:sz w:val="27"/>
          <w:rtl/>
        </w:rPr>
        <w:t xml:space="preserve"> فطر</w:t>
      </w:r>
      <w:r w:rsidRPr="00282AC9">
        <w:rPr>
          <w:rFonts w:hint="cs"/>
          <w:sz w:val="27"/>
          <w:rtl/>
        </w:rPr>
        <w:t>ة</w:t>
      </w:r>
      <w:r w:rsidRPr="00282AC9">
        <w:rPr>
          <w:sz w:val="27"/>
          <w:rtl/>
        </w:rPr>
        <w:t xml:space="preserve"> ال</w:t>
      </w:r>
      <w:r w:rsidRPr="00282AC9">
        <w:rPr>
          <w:rFonts w:hint="cs"/>
          <w:sz w:val="27"/>
          <w:rtl/>
        </w:rPr>
        <w:t>إ</w:t>
      </w:r>
      <w:r w:rsidRPr="00282AC9">
        <w:rPr>
          <w:sz w:val="27"/>
          <w:rtl/>
        </w:rPr>
        <w:t>سلام وجب قتله من غ</w:t>
      </w:r>
      <w:r w:rsidRPr="00282AC9">
        <w:rPr>
          <w:rFonts w:hint="cs"/>
          <w:sz w:val="27"/>
          <w:rtl/>
        </w:rPr>
        <w:t>ي</w:t>
      </w:r>
      <w:r w:rsidRPr="00282AC9">
        <w:rPr>
          <w:rFonts w:hint="eastAsia"/>
          <w:sz w:val="27"/>
          <w:rtl/>
        </w:rPr>
        <w:t>ر</w:t>
      </w:r>
      <w:r w:rsidRPr="00282AC9">
        <w:rPr>
          <w:sz w:val="27"/>
          <w:rtl/>
        </w:rPr>
        <w:t xml:space="preserve"> استتاب</w:t>
      </w:r>
      <w:r w:rsidRPr="00282AC9">
        <w:rPr>
          <w:rFonts w:hint="cs"/>
          <w:sz w:val="27"/>
          <w:rtl/>
        </w:rPr>
        <w:t>ة</w:t>
      </w:r>
      <w:r w:rsidR="007F3860" w:rsidRPr="00282AC9">
        <w:rPr>
          <w:rFonts w:hint="cs"/>
          <w:sz w:val="27"/>
          <w:rtl/>
        </w:rPr>
        <w:t>ٍ؛</w:t>
      </w:r>
      <w:r w:rsidRPr="00282AC9">
        <w:rPr>
          <w:sz w:val="27"/>
          <w:rtl/>
        </w:rPr>
        <w:t xml:space="preserve"> ف</w:t>
      </w:r>
      <w:r w:rsidRPr="00282AC9">
        <w:rPr>
          <w:rFonts w:hint="cs"/>
          <w:sz w:val="27"/>
          <w:rtl/>
        </w:rPr>
        <w:t>إ</w:t>
      </w:r>
      <w:r w:rsidRPr="00282AC9">
        <w:rPr>
          <w:sz w:val="27"/>
          <w:rtl/>
        </w:rPr>
        <w:t>ن</w:t>
      </w:r>
      <w:r w:rsidR="007F3860" w:rsidRPr="00282AC9">
        <w:rPr>
          <w:rFonts w:hint="cs"/>
          <w:sz w:val="27"/>
          <w:rtl/>
        </w:rPr>
        <w:t>ْ</w:t>
      </w:r>
      <w:r w:rsidRPr="00282AC9">
        <w:rPr>
          <w:sz w:val="27"/>
          <w:rtl/>
        </w:rPr>
        <w:t xml:space="preserve"> تاب لم </w:t>
      </w:r>
      <w:r w:rsidRPr="00282AC9">
        <w:rPr>
          <w:rFonts w:hint="cs"/>
          <w:sz w:val="27"/>
          <w:rtl/>
        </w:rPr>
        <w:t>يك</w:t>
      </w:r>
      <w:r w:rsidRPr="00282AC9">
        <w:rPr>
          <w:rFonts w:hint="eastAsia"/>
          <w:sz w:val="27"/>
          <w:rtl/>
        </w:rPr>
        <w:t>ن</w:t>
      </w:r>
      <w:r w:rsidRPr="00282AC9">
        <w:rPr>
          <w:sz w:val="27"/>
          <w:rtl/>
        </w:rPr>
        <w:t xml:space="preserve"> ل</w:t>
      </w:r>
      <w:r w:rsidRPr="00282AC9">
        <w:rPr>
          <w:rFonts w:hint="cs"/>
          <w:sz w:val="27"/>
          <w:rtl/>
        </w:rPr>
        <w:t>أ</w:t>
      </w:r>
      <w:r w:rsidRPr="00282AC9">
        <w:rPr>
          <w:sz w:val="27"/>
          <w:rtl/>
        </w:rPr>
        <w:t>حد</w:t>
      </w:r>
      <w:r w:rsidR="007F3860" w:rsidRPr="00282AC9">
        <w:rPr>
          <w:rFonts w:hint="cs"/>
          <w:sz w:val="27"/>
          <w:rtl/>
        </w:rPr>
        <w:t>ٍ</w:t>
      </w:r>
      <w:r w:rsidRPr="00282AC9">
        <w:rPr>
          <w:sz w:val="27"/>
          <w:rtl/>
        </w:rPr>
        <w:t xml:space="preserve"> عل</w:t>
      </w:r>
      <w:r w:rsidRPr="00282AC9">
        <w:rPr>
          <w:rFonts w:hint="cs"/>
          <w:sz w:val="27"/>
          <w:rtl/>
        </w:rPr>
        <w:t>ي</w:t>
      </w:r>
      <w:r w:rsidRPr="00282AC9">
        <w:rPr>
          <w:rFonts w:hint="eastAsia"/>
          <w:sz w:val="27"/>
          <w:rtl/>
        </w:rPr>
        <w:t>ه</w:t>
      </w:r>
      <w:r w:rsidRPr="00282AC9">
        <w:rPr>
          <w:sz w:val="27"/>
          <w:rtl/>
        </w:rPr>
        <w:t xml:space="preserve"> سب</w:t>
      </w:r>
      <w:r w:rsidRPr="00282AC9">
        <w:rPr>
          <w:rFonts w:hint="cs"/>
          <w:sz w:val="27"/>
          <w:rtl/>
        </w:rPr>
        <w:t>ي</w:t>
      </w:r>
      <w:r w:rsidRPr="00282AC9">
        <w:rPr>
          <w:rFonts w:hint="eastAsia"/>
          <w:sz w:val="27"/>
          <w:rtl/>
        </w:rPr>
        <w:t>ل</w:t>
      </w:r>
      <w:r w:rsidR="007F3860"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264"/>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وقد نبّ</w:t>
      </w:r>
      <w:r w:rsidR="007F3860" w:rsidRPr="00282AC9">
        <w:rPr>
          <w:rFonts w:hint="cs"/>
          <w:sz w:val="27"/>
          <w:rtl/>
        </w:rPr>
        <w:t>ّ</w:t>
      </w:r>
      <w:r w:rsidRPr="00282AC9">
        <w:rPr>
          <w:rFonts w:hint="cs"/>
          <w:sz w:val="27"/>
          <w:rtl/>
        </w:rPr>
        <w:t>ه الشهيد الثاني في (مسالك الأفهام) إلى أن مشهور الفقهاء يُن</w:t>
      </w:r>
      <w:r w:rsidR="007F3860" w:rsidRPr="00282AC9">
        <w:rPr>
          <w:rFonts w:hint="cs"/>
          <w:sz w:val="27"/>
          <w:rtl/>
        </w:rPr>
        <w:t>ْ</w:t>
      </w:r>
      <w:r w:rsidRPr="00282AC9">
        <w:rPr>
          <w:rFonts w:hint="cs"/>
          <w:sz w:val="27"/>
          <w:rtl/>
        </w:rPr>
        <w:t>ك</w:t>
      </w:r>
      <w:r w:rsidR="007F3860" w:rsidRPr="00282AC9">
        <w:rPr>
          <w:rFonts w:hint="cs"/>
          <w:sz w:val="27"/>
          <w:rtl/>
        </w:rPr>
        <w:t>ِ</w:t>
      </w:r>
      <w:r w:rsidRPr="00282AC9">
        <w:rPr>
          <w:rFonts w:hint="cs"/>
          <w:sz w:val="27"/>
          <w:rtl/>
        </w:rPr>
        <w:t>ر قبول توبة المرتد</w:t>
      </w:r>
      <w:r w:rsidR="007F3860" w:rsidRPr="00282AC9">
        <w:rPr>
          <w:rFonts w:hint="cs"/>
          <w:sz w:val="27"/>
          <w:rtl/>
        </w:rPr>
        <w:t>ّ</w:t>
      </w:r>
      <w:r w:rsidRPr="00282AC9">
        <w:rPr>
          <w:rFonts w:hint="cs"/>
          <w:sz w:val="27"/>
          <w:rtl/>
        </w:rPr>
        <w:t>، إلا</w:t>
      </w:r>
      <w:r w:rsidR="007F3860" w:rsidRPr="00282AC9">
        <w:rPr>
          <w:rFonts w:hint="cs"/>
          <w:sz w:val="27"/>
          <w:rtl/>
        </w:rPr>
        <w:t>ّ</w:t>
      </w:r>
      <w:r w:rsidRPr="00282AC9">
        <w:rPr>
          <w:rFonts w:hint="cs"/>
          <w:sz w:val="27"/>
          <w:rtl/>
        </w:rPr>
        <w:t xml:space="preserve"> أن لسان الأدل</w:t>
      </w:r>
      <w:r w:rsidR="007F3860" w:rsidRPr="00282AC9">
        <w:rPr>
          <w:rFonts w:hint="cs"/>
          <w:sz w:val="27"/>
          <w:rtl/>
        </w:rPr>
        <w:t>ّ</w:t>
      </w:r>
      <w:r w:rsidRPr="00282AC9">
        <w:rPr>
          <w:rFonts w:hint="cs"/>
          <w:sz w:val="27"/>
          <w:rtl/>
        </w:rPr>
        <w:t>ة المعتبرة في التوبة لسان</w:t>
      </w:r>
      <w:r w:rsidR="007F3860" w:rsidRPr="00282AC9">
        <w:rPr>
          <w:rFonts w:hint="cs"/>
          <w:sz w:val="27"/>
          <w:rtl/>
        </w:rPr>
        <w:t>ٌ</w:t>
      </w:r>
      <w:r w:rsidRPr="00282AC9">
        <w:rPr>
          <w:rFonts w:hint="cs"/>
          <w:sz w:val="27"/>
          <w:rtl/>
        </w:rPr>
        <w:t xml:space="preserve"> عام</w:t>
      </w:r>
      <w:r w:rsidR="007F3860" w:rsidRPr="00282AC9">
        <w:rPr>
          <w:rFonts w:hint="cs"/>
          <w:sz w:val="27"/>
          <w:rtl/>
        </w:rPr>
        <w:t>ّ</w:t>
      </w:r>
      <w:r w:rsidRPr="00282AC9">
        <w:rPr>
          <w:rFonts w:hint="cs"/>
          <w:sz w:val="27"/>
          <w:rtl/>
        </w:rPr>
        <w:t xml:space="preserve"> ومطلق</w:t>
      </w:r>
      <w:r w:rsidR="007F3860" w:rsidRPr="00282AC9">
        <w:rPr>
          <w:rFonts w:hint="cs"/>
          <w:sz w:val="27"/>
          <w:rtl/>
        </w:rPr>
        <w:t>،</w:t>
      </w:r>
      <w:r w:rsidRPr="00282AC9">
        <w:rPr>
          <w:rFonts w:hint="cs"/>
          <w:sz w:val="27"/>
          <w:rtl/>
        </w:rPr>
        <w:t xml:space="preserve"> يشمل حت</w:t>
      </w:r>
      <w:r w:rsidR="007F3860" w:rsidRPr="00282AC9">
        <w:rPr>
          <w:rFonts w:hint="cs"/>
          <w:sz w:val="27"/>
          <w:rtl/>
        </w:rPr>
        <w:t>ّ</w:t>
      </w:r>
      <w:r w:rsidRPr="00282AC9">
        <w:rPr>
          <w:rFonts w:hint="cs"/>
          <w:sz w:val="27"/>
          <w:rtl/>
        </w:rPr>
        <w:t>ى مورد بحث توبة المرتد</w:t>
      </w:r>
      <w:r w:rsidR="007F3860" w:rsidRPr="00282AC9">
        <w:rPr>
          <w:rFonts w:hint="cs"/>
          <w:sz w:val="27"/>
          <w:rtl/>
        </w:rPr>
        <w:t>ّ</w:t>
      </w:r>
      <w:r w:rsidRPr="00282AC9">
        <w:rPr>
          <w:rFonts w:hint="cs"/>
          <w:sz w:val="27"/>
          <w:rtl/>
        </w:rPr>
        <w:t xml:space="preserve"> أيضاً</w:t>
      </w:r>
      <w:r w:rsidRPr="00282AC9">
        <w:rPr>
          <w:sz w:val="27"/>
          <w:vertAlign w:val="superscript"/>
          <w:rtl/>
        </w:rPr>
        <w:t>(</w:t>
      </w:r>
      <w:r w:rsidRPr="00282AC9">
        <w:rPr>
          <w:rStyle w:val="af9"/>
          <w:sz w:val="27"/>
          <w:rtl/>
        </w:rPr>
        <w:endnoteReference w:id="265"/>
      </w:r>
      <w:r w:rsidRPr="00282AC9">
        <w:rPr>
          <w:sz w:val="27"/>
          <w:vertAlign w:val="superscript"/>
          <w:rtl/>
        </w:rPr>
        <w:t>)</w:t>
      </w:r>
      <w:r w:rsidRPr="00282AC9">
        <w:rPr>
          <w:rFonts w:hint="cs"/>
          <w:sz w:val="27"/>
          <w:rtl/>
        </w:rPr>
        <w:t>. وقد صرّ</w:t>
      </w:r>
      <w:r w:rsidR="007F3860" w:rsidRPr="00282AC9">
        <w:rPr>
          <w:rFonts w:hint="cs"/>
          <w:sz w:val="27"/>
          <w:rtl/>
        </w:rPr>
        <w:t>َ</w:t>
      </w:r>
      <w:r w:rsidRPr="00282AC9">
        <w:rPr>
          <w:rFonts w:hint="cs"/>
          <w:sz w:val="27"/>
          <w:rtl/>
        </w:rPr>
        <w:t>ح الشهيد الثاني في موضع</w:t>
      </w:r>
      <w:r w:rsidR="007F3860" w:rsidRPr="00282AC9">
        <w:rPr>
          <w:rFonts w:hint="cs"/>
          <w:sz w:val="27"/>
          <w:rtl/>
        </w:rPr>
        <w:t>ٍ</w:t>
      </w:r>
      <w:r w:rsidRPr="00282AC9">
        <w:rPr>
          <w:rFonts w:hint="cs"/>
          <w:sz w:val="27"/>
          <w:rtl/>
        </w:rPr>
        <w:t xml:space="preserve"> آخر ـ بعد تقرير رأي </w:t>
      </w:r>
      <w:r w:rsidRPr="00282AC9">
        <w:rPr>
          <w:rFonts w:hint="cs"/>
          <w:sz w:val="27"/>
          <w:rtl/>
        </w:rPr>
        <w:lastRenderedPageBreak/>
        <w:t>الإسكافي ـ قائلاً: الأقوى قبول توبة المرتد</w:t>
      </w:r>
      <w:r w:rsidR="007F3860" w:rsidRPr="00282AC9">
        <w:rPr>
          <w:rFonts w:hint="cs"/>
          <w:sz w:val="27"/>
          <w:rtl/>
        </w:rPr>
        <w:t>ّ</w:t>
      </w:r>
      <w:r w:rsidRPr="00282AC9">
        <w:rPr>
          <w:rFonts w:hint="cs"/>
          <w:sz w:val="27"/>
          <w:rtl/>
        </w:rPr>
        <w:t xml:space="preserve"> مطلقاً. وقد ذهب صاحب (جواهر الكلام) إلى الاعتقاد بأن الشهيد الثاني يميل إلى رأي الإسكافي</w:t>
      </w:r>
      <w:r w:rsidRPr="00282AC9">
        <w:rPr>
          <w:sz w:val="27"/>
          <w:vertAlign w:val="superscript"/>
          <w:rtl/>
        </w:rPr>
        <w:t>(</w:t>
      </w:r>
      <w:r w:rsidRPr="00282AC9">
        <w:rPr>
          <w:rStyle w:val="af9"/>
          <w:sz w:val="27"/>
          <w:rtl/>
        </w:rPr>
        <w:endnoteReference w:id="266"/>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3ـ الاختلاف في الآثار المترت</w:t>
      </w:r>
      <w:r w:rsidR="007F3860" w:rsidRPr="00282AC9">
        <w:rPr>
          <w:rFonts w:hint="cs"/>
          <w:sz w:val="27"/>
          <w:rtl/>
        </w:rPr>
        <w:t>ِّ</w:t>
      </w:r>
      <w:r w:rsidRPr="00282AC9">
        <w:rPr>
          <w:rFonts w:hint="cs"/>
          <w:sz w:val="27"/>
          <w:rtl/>
        </w:rPr>
        <w:t>بة على الارتداد</w:t>
      </w:r>
      <w:r w:rsidR="007F3860" w:rsidRPr="00282AC9">
        <w:rPr>
          <w:rFonts w:hint="cs"/>
          <w:sz w:val="27"/>
          <w:rtl/>
        </w:rPr>
        <w:t>،</w:t>
      </w:r>
      <w:r w:rsidRPr="00282AC9">
        <w:rPr>
          <w:rFonts w:hint="cs"/>
          <w:sz w:val="27"/>
          <w:rtl/>
        </w:rPr>
        <w:t xml:space="preserve"> بمعنى أن توبة المرتد</w:t>
      </w:r>
      <w:r w:rsidR="007F3860" w:rsidRPr="00282AC9">
        <w:rPr>
          <w:rFonts w:hint="cs"/>
          <w:sz w:val="27"/>
          <w:rtl/>
        </w:rPr>
        <w:t>ّ</w:t>
      </w:r>
      <w:r w:rsidRPr="00282AC9">
        <w:rPr>
          <w:rFonts w:hint="cs"/>
          <w:sz w:val="27"/>
          <w:rtl/>
        </w:rPr>
        <w:t xml:space="preserve"> الفطري لا تأثير لها بالنسبة إلى عودة الأموال، وحل</w:t>
      </w:r>
      <w:r w:rsidR="007F3860" w:rsidRPr="00282AC9">
        <w:rPr>
          <w:rFonts w:hint="cs"/>
          <w:sz w:val="27"/>
          <w:rtl/>
        </w:rPr>
        <w:t>ِّ</w:t>
      </w:r>
      <w:r w:rsidRPr="00282AC9">
        <w:rPr>
          <w:rFonts w:hint="cs"/>
          <w:sz w:val="27"/>
          <w:rtl/>
        </w:rPr>
        <w:t>ية الزوجة، وعقوبة القتل (لا تُق</w:t>
      </w:r>
      <w:r w:rsidR="007F3860" w:rsidRPr="00282AC9">
        <w:rPr>
          <w:rFonts w:hint="cs"/>
          <w:sz w:val="27"/>
          <w:rtl/>
        </w:rPr>
        <w:t>ْ</w:t>
      </w:r>
      <w:r w:rsidRPr="00282AC9">
        <w:rPr>
          <w:rFonts w:hint="cs"/>
          <w:sz w:val="27"/>
          <w:rtl/>
        </w:rPr>
        <w:t>ب</w:t>
      </w:r>
      <w:r w:rsidR="007F3860" w:rsidRPr="00282AC9">
        <w:rPr>
          <w:rFonts w:hint="cs"/>
          <w:sz w:val="27"/>
          <w:rtl/>
        </w:rPr>
        <w:t>َ</w:t>
      </w:r>
      <w:r w:rsidRPr="00282AC9">
        <w:rPr>
          <w:rFonts w:hint="cs"/>
          <w:sz w:val="27"/>
          <w:rtl/>
        </w:rPr>
        <w:t>ل ظاهراً)، إلا</w:t>
      </w:r>
      <w:r w:rsidR="007F3860" w:rsidRPr="00282AC9">
        <w:rPr>
          <w:rFonts w:hint="cs"/>
          <w:sz w:val="27"/>
          <w:rtl/>
        </w:rPr>
        <w:t>ّ</w:t>
      </w:r>
      <w:r w:rsidRPr="00282AC9">
        <w:rPr>
          <w:rFonts w:hint="cs"/>
          <w:sz w:val="27"/>
          <w:rtl/>
        </w:rPr>
        <w:t xml:space="preserve"> أنها مؤث</w:t>
      </w:r>
      <w:r w:rsidR="007F3860" w:rsidRPr="00282AC9">
        <w:rPr>
          <w:rFonts w:hint="cs"/>
          <w:sz w:val="27"/>
          <w:rtl/>
        </w:rPr>
        <w:t>ِّ</w:t>
      </w:r>
      <w:r w:rsidRPr="00282AC9">
        <w:rPr>
          <w:rFonts w:hint="cs"/>
          <w:sz w:val="27"/>
          <w:rtl/>
        </w:rPr>
        <w:t>رة بالنسبة إلى سائر الآثار الأخرى، من قبيل: صحّة العبادة، وحل</w:t>
      </w:r>
      <w:r w:rsidR="007F3860" w:rsidRPr="00282AC9">
        <w:rPr>
          <w:rFonts w:hint="cs"/>
          <w:sz w:val="27"/>
          <w:rtl/>
        </w:rPr>
        <w:t>ِّي</w:t>
      </w:r>
      <w:r w:rsidRPr="00282AC9">
        <w:rPr>
          <w:rFonts w:hint="cs"/>
          <w:sz w:val="27"/>
          <w:rtl/>
        </w:rPr>
        <w:t>ة الذبيحة، وطهارة البدن</w:t>
      </w:r>
      <w:r w:rsidR="007F3860" w:rsidRPr="00282AC9">
        <w:rPr>
          <w:rFonts w:hint="cs"/>
          <w:sz w:val="27"/>
          <w:rtl/>
        </w:rPr>
        <w:t>،</w:t>
      </w:r>
      <w:r w:rsidRPr="00282AC9">
        <w:rPr>
          <w:rFonts w:hint="cs"/>
          <w:sz w:val="27"/>
          <w:rtl/>
        </w:rPr>
        <w:t xml:space="preserve"> وما إلى ذلك، وت</w:t>
      </w:r>
      <w:r w:rsidR="007F3860" w:rsidRPr="00282AC9">
        <w:rPr>
          <w:rFonts w:hint="cs"/>
          <w:sz w:val="27"/>
          <w:rtl/>
        </w:rPr>
        <w:t>ُ</w:t>
      </w:r>
      <w:r w:rsidRPr="00282AC9">
        <w:rPr>
          <w:rFonts w:hint="cs"/>
          <w:sz w:val="27"/>
          <w:rtl/>
        </w:rPr>
        <w:t>ق</w:t>
      </w:r>
      <w:r w:rsidR="007F3860" w:rsidRPr="00282AC9">
        <w:rPr>
          <w:rFonts w:hint="cs"/>
          <w:sz w:val="27"/>
          <w:rtl/>
        </w:rPr>
        <w:t>ْ</w:t>
      </w:r>
      <w:r w:rsidRPr="00282AC9">
        <w:rPr>
          <w:rFonts w:hint="cs"/>
          <w:sz w:val="27"/>
          <w:rtl/>
        </w:rPr>
        <w:t>ب</w:t>
      </w:r>
      <w:r w:rsidR="007F3860" w:rsidRPr="00282AC9">
        <w:rPr>
          <w:rFonts w:hint="cs"/>
          <w:sz w:val="27"/>
          <w:rtl/>
        </w:rPr>
        <w:t>َ</w:t>
      </w:r>
      <w:r w:rsidRPr="00282AC9">
        <w:rPr>
          <w:rFonts w:hint="cs"/>
          <w:sz w:val="27"/>
          <w:rtl/>
        </w:rPr>
        <w:t>ل توبته (ت</w:t>
      </w:r>
      <w:r w:rsidR="007F3860" w:rsidRPr="00282AC9">
        <w:rPr>
          <w:rFonts w:hint="cs"/>
          <w:sz w:val="27"/>
          <w:rtl/>
        </w:rPr>
        <w:t>ُ</w:t>
      </w:r>
      <w:r w:rsidRPr="00282AC9">
        <w:rPr>
          <w:rFonts w:hint="cs"/>
          <w:sz w:val="27"/>
          <w:rtl/>
        </w:rPr>
        <w:t>ق</w:t>
      </w:r>
      <w:r w:rsidR="007F3860" w:rsidRPr="00282AC9">
        <w:rPr>
          <w:rFonts w:hint="cs"/>
          <w:sz w:val="27"/>
          <w:rtl/>
        </w:rPr>
        <w:t>ْ</w:t>
      </w:r>
      <w:r w:rsidRPr="00282AC9">
        <w:rPr>
          <w:rFonts w:hint="cs"/>
          <w:sz w:val="27"/>
          <w:rtl/>
        </w:rPr>
        <w:t>ب</w:t>
      </w:r>
      <w:r w:rsidR="007F3860" w:rsidRPr="00282AC9">
        <w:rPr>
          <w:rFonts w:hint="cs"/>
          <w:sz w:val="27"/>
          <w:rtl/>
        </w:rPr>
        <w:t>َ</w:t>
      </w:r>
      <w:r w:rsidRPr="00282AC9">
        <w:rPr>
          <w:rFonts w:hint="cs"/>
          <w:sz w:val="27"/>
          <w:rtl/>
        </w:rPr>
        <w:t>ل باطناً)</w:t>
      </w:r>
      <w:r w:rsidRPr="00282AC9">
        <w:rPr>
          <w:sz w:val="27"/>
          <w:vertAlign w:val="superscript"/>
          <w:rtl/>
        </w:rPr>
        <w:t>(</w:t>
      </w:r>
      <w:r w:rsidRPr="00282AC9">
        <w:rPr>
          <w:rStyle w:val="af9"/>
          <w:sz w:val="27"/>
          <w:rtl/>
        </w:rPr>
        <w:endnoteReference w:id="267"/>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sz w:val="27"/>
          <w:rtl/>
        </w:rPr>
        <w:t>و</w:t>
      </w:r>
      <w:r w:rsidRPr="00282AC9">
        <w:rPr>
          <w:rFonts w:hint="cs"/>
          <w:sz w:val="27"/>
          <w:rtl/>
        </w:rPr>
        <w:t xml:space="preserve">الآن علينا أن نرى </w:t>
      </w:r>
      <w:r w:rsidRPr="00282AC9">
        <w:rPr>
          <w:sz w:val="27"/>
          <w:rtl/>
        </w:rPr>
        <w:t xml:space="preserve">لو </w:t>
      </w:r>
      <w:r w:rsidRPr="00282AC9">
        <w:rPr>
          <w:rFonts w:hint="cs"/>
          <w:sz w:val="27"/>
          <w:rtl/>
        </w:rPr>
        <w:t>أن</w:t>
      </w:r>
      <w:r w:rsidRPr="00282AC9">
        <w:rPr>
          <w:sz w:val="27"/>
          <w:rtl/>
        </w:rPr>
        <w:t xml:space="preserve"> المرتد</w:t>
      </w:r>
      <w:r w:rsidR="007F3860" w:rsidRPr="00282AC9">
        <w:rPr>
          <w:rFonts w:hint="cs"/>
          <w:sz w:val="27"/>
          <w:rtl/>
        </w:rPr>
        <w:t>ّ</w:t>
      </w:r>
      <w:r w:rsidRPr="00282AC9">
        <w:rPr>
          <w:sz w:val="27"/>
          <w:rtl/>
        </w:rPr>
        <w:t xml:space="preserve"> الفطري</w:t>
      </w:r>
      <w:r w:rsidRPr="00282AC9">
        <w:rPr>
          <w:rFonts w:hint="cs"/>
          <w:sz w:val="27"/>
          <w:rtl/>
        </w:rPr>
        <w:t xml:space="preserve"> تاب</w:t>
      </w:r>
      <w:r w:rsidRPr="00282AC9">
        <w:rPr>
          <w:sz w:val="27"/>
          <w:rtl/>
        </w:rPr>
        <w:t xml:space="preserve"> قبل إقامة البيّ</w:t>
      </w:r>
      <w:r w:rsidR="007F3860" w:rsidRPr="00282AC9">
        <w:rPr>
          <w:rFonts w:hint="cs"/>
          <w:sz w:val="27"/>
          <w:rtl/>
        </w:rPr>
        <w:t>ِ</w:t>
      </w:r>
      <w:r w:rsidRPr="00282AC9">
        <w:rPr>
          <w:sz w:val="27"/>
          <w:rtl/>
        </w:rPr>
        <w:t>نة عليه (دون إكراه</w:t>
      </w:r>
      <w:r w:rsidR="007F3860" w:rsidRPr="00282AC9">
        <w:rPr>
          <w:rFonts w:hint="cs"/>
          <w:sz w:val="27"/>
          <w:rtl/>
        </w:rPr>
        <w:t>ٍ</w:t>
      </w:r>
      <w:r w:rsidRPr="00282AC9">
        <w:rPr>
          <w:sz w:val="27"/>
          <w:rtl/>
        </w:rPr>
        <w:t xml:space="preserve"> أو إجبار</w:t>
      </w:r>
      <w:r w:rsidR="007F3860" w:rsidRPr="00282AC9">
        <w:rPr>
          <w:rFonts w:hint="cs"/>
          <w:sz w:val="27"/>
          <w:rtl/>
        </w:rPr>
        <w:t>ٍ</w:t>
      </w:r>
      <w:r w:rsidRPr="00282AC9">
        <w:rPr>
          <w:sz w:val="27"/>
          <w:rtl/>
        </w:rPr>
        <w:t>)، أو كان في دار الكفر ولم</w:t>
      </w:r>
      <w:r w:rsidRPr="00282AC9">
        <w:rPr>
          <w:rFonts w:hint="cs"/>
          <w:sz w:val="27"/>
          <w:rtl/>
        </w:rPr>
        <w:t xml:space="preserve"> يكن إجراء</w:t>
      </w:r>
      <w:r w:rsidRPr="00282AC9">
        <w:rPr>
          <w:sz w:val="27"/>
          <w:rtl/>
        </w:rPr>
        <w:t xml:space="preserve"> الحدّ</w:t>
      </w:r>
      <w:r w:rsidRPr="00282AC9">
        <w:rPr>
          <w:rFonts w:hint="cs"/>
          <w:sz w:val="27"/>
          <w:rtl/>
        </w:rPr>
        <w:t xml:space="preserve"> عليه</w:t>
      </w:r>
      <w:r w:rsidRPr="00282AC9">
        <w:rPr>
          <w:sz w:val="27"/>
          <w:rtl/>
        </w:rPr>
        <w:t xml:space="preserve"> </w:t>
      </w:r>
      <w:r w:rsidRPr="00282AC9">
        <w:rPr>
          <w:rFonts w:hint="cs"/>
          <w:sz w:val="27"/>
          <w:rtl/>
        </w:rPr>
        <w:t xml:space="preserve">ممكناً </w:t>
      </w:r>
      <w:r w:rsidRPr="00282AC9">
        <w:rPr>
          <w:sz w:val="27"/>
          <w:rtl/>
        </w:rPr>
        <w:t>وتاب هناك، فهل تُق</w:t>
      </w:r>
      <w:r w:rsidR="007F3860" w:rsidRPr="00282AC9">
        <w:rPr>
          <w:rFonts w:hint="cs"/>
          <w:sz w:val="27"/>
          <w:rtl/>
        </w:rPr>
        <w:t>ْ</w:t>
      </w:r>
      <w:r w:rsidRPr="00282AC9">
        <w:rPr>
          <w:sz w:val="27"/>
          <w:rtl/>
        </w:rPr>
        <w:t>ب</w:t>
      </w:r>
      <w:r w:rsidR="007F3860" w:rsidRPr="00282AC9">
        <w:rPr>
          <w:rFonts w:hint="cs"/>
          <w:sz w:val="27"/>
          <w:rtl/>
        </w:rPr>
        <w:t>َ</w:t>
      </w:r>
      <w:r w:rsidRPr="00282AC9">
        <w:rPr>
          <w:sz w:val="27"/>
          <w:rtl/>
        </w:rPr>
        <w:t>ل توبته في مثل هذه الحالة؟</w:t>
      </w:r>
    </w:p>
    <w:p w:rsidR="002971A0" w:rsidRPr="00282AC9" w:rsidRDefault="002971A0" w:rsidP="002971A0">
      <w:pPr>
        <w:spacing w:line="420" w:lineRule="exact"/>
        <w:rPr>
          <w:rtl/>
        </w:rPr>
      </w:pPr>
    </w:p>
    <w:p w:rsidR="00647FB7" w:rsidRPr="00282AC9" w:rsidRDefault="00647FB7" w:rsidP="00647FB7">
      <w:pPr>
        <w:pStyle w:val="31"/>
        <w:rPr>
          <w:color w:val="auto"/>
          <w:rtl/>
        </w:rPr>
      </w:pPr>
      <w:r w:rsidRPr="00282AC9">
        <w:rPr>
          <w:rFonts w:hint="cs"/>
          <w:color w:val="auto"/>
          <w:rtl/>
        </w:rPr>
        <w:t>طرق إثبات قبول التوبة</w:t>
      </w:r>
    </w:p>
    <w:p w:rsidR="005A1BD7" w:rsidRPr="00282AC9" w:rsidRDefault="005A1BD7" w:rsidP="00C75E73">
      <w:pPr>
        <w:rPr>
          <w:sz w:val="27"/>
          <w:rtl/>
        </w:rPr>
      </w:pPr>
      <w:r w:rsidRPr="00282AC9">
        <w:rPr>
          <w:rFonts w:hint="cs"/>
          <w:sz w:val="27"/>
          <w:rtl/>
        </w:rPr>
        <w:t>هناك طريقان لإثبات قبول توبة المرتد</w:t>
      </w:r>
      <w:r w:rsidR="007F3860" w:rsidRPr="00282AC9">
        <w:rPr>
          <w:rFonts w:hint="cs"/>
          <w:sz w:val="27"/>
          <w:rtl/>
        </w:rPr>
        <w:t>ّ</w:t>
      </w:r>
      <w:r w:rsidRPr="00282AC9">
        <w:rPr>
          <w:rFonts w:hint="cs"/>
          <w:sz w:val="27"/>
          <w:rtl/>
        </w:rPr>
        <w:t xml:space="preserve"> الفطري، وهما:</w:t>
      </w:r>
    </w:p>
    <w:p w:rsidR="005A1BD7" w:rsidRPr="00282AC9" w:rsidRDefault="005A1BD7" w:rsidP="00C75E73">
      <w:pPr>
        <w:rPr>
          <w:sz w:val="27"/>
          <w:rtl/>
        </w:rPr>
      </w:pPr>
      <w:r w:rsidRPr="00282AC9">
        <w:rPr>
          <w:rFonts w:hint="cs"/>
          <w:sz w:val="27"/>
          <w:rtl/>
        </w:rPr>
        <w:t>1ـ البحث في آيات القرآن</w:t>
      </w:r>
      <w:r w:rsidR="009F66B9" w:rsidRPr="00282AC9">
        <w:rPr>
          <w:rFonts w:hint="cs"/>
          <w:sz w:val="27"/>
          <w:rtl/>
        </w:rPr>
        <w:t xml:space="preserve"> الكريم</w:t>
      </w:r>
      <w:r w:rsidRPr="00282AC9">
        <w:rPr>
          <w:rFonts w:hint="cs"/>
          <w:sz w:val="27"/>
          <w:rtl/>
        </w:rPr>
        <w:t>، والروايات المأثورة عن الأئم</w:t>
      </w:r>
      <w:r w:rsidR="009F66B9" w:rsidRPr="00282AC9">
        <w:rPr>
          <w:rFonts w:hint="cs"/>
          <w:sz w:val="27"/>
          <w:rtl/>
        </w:rPr>
        <w:t>ّ</w:t>
      </w:r>
      <w:r w:rsidRPr="00282AC9">
        <w:rPr>
          <w:rFonts w:hint="cs"/>
          <w:sz w:val="27"/>
          <w:rtl/>
        </w:rPr>
        <w:t>ة المعصومين</w:t>
      </w:r>
      <w:r w:rsidR="00876ECA" w:rsidRPr="00282AC9">
        <w:rPr>
          <w:rFonts w:cs="Mosawi" w:hint="cs"/>
          <w:sz w:val="22"/>
          <w:szCs w:val="22"/>
          <w:rtl/>
        </w:rPr>
        <w:t>^</w:t>
      </w:r>
      <w:r w:rsidRPr="00282AC9">
        <w:rPr>
          <w:rFonts w:hint="cs"/>
          <w:sz w:val="27"/>
          <w:rtl/>
        </w:rPr>
        <w:t>، وكلمات الفقهاء، والحصول على الأدل</w:t>
      </w:r>
      <w:r w:rsidR="009F66B9" w:rsidRPr="00282AC9">
        <w:rPr>
          <w:rFonts w:hint="cs"/>
          <w:sz w:val="27"/>
          <w:rtl/>
        </w:rPr>
        <w:t>ّ</w:t>
      </w:r>
      <w:r w:rsidRPr="00282AC9">
        <w:rPr>
          <w:rFonts w:hint="cs"/>
          <w:sz w:val="27"/>
          <w:rtl/>
        </w:rPr>
        <w:t>ة التي يمكن بواسطتها قبول توبة المرتد</w:t>
      </w:r>
      <w:r w:rsidR="009F66B9" w:rsidRPr="00282AC9">
        <w:rPr>
          <w:rFonts w:hint="cs"/>
          <w:sz w:val="27"/>
          <w:rtl/>
        </w:rPr>
        <w:t>ّ</w:t>
      </w:r>
      <w:r w:rsidRPr="00282AC9">
        <w:rPr>
          <w:rFonts w:hint="cs"/>
          <w:sz w:val="27"/>
          <w:rtl/>
        </w:rPr>
        <w:t xml:space="preserve"> الفطري، على ما سيأتي تفصيله.</w:t>
      </w:r>
    </w:p>
    <w:p w:rsidR="005A1BD7" w:rsidRPr="00282AC9" w:rsidRDefault="005A1BD7" w:rsidP="00C75E73">
      <w:pPr>
        <w:rPr>
          <w:sz w:val="27"/>
          <w:rtl/>
        </w:rPr>
      </w:pPr>
      <w:r w:rsidRPr="00282AC9">
        <w:rPr>
          <w:rFonts w:hint="cs"/>
          <w:sz w:val="27"/>
          <w:rtl/>
        </w:rPr>
        <w:t>2ـ لو قبلنا بأن أصل حكم الارتداد هو حكم</w:t>
      </w:r>
      <w:r w:rsidR="009F66B9" w:rsidRPr="00282AC9">
        <w:rPr>
          <w:rFonts w:hint="cs"/>
          <w:sz w:val="27"/>
          <w:rtl/>
        </w:rPr>
        <w:t>ٌ</w:t>
      </w:r>
      <w:r w:rsidRPr="00282AC9">
        <w:rPr>
          <w:rFonts w:hint="cs"/>
          <w:sz w:val="27"/>
          <w:rtl/>
        </w:rPr>
        <w:t xml:space="preserve"> حكومي</w:t>
      </w:r>
      <w:r w:rsidR="009F66B9" w:rsidRPr="00282AC9">
        <w:rPr>
          <w:rFonts w:hint="cs"/>
          <w:sz w:val="27"/>
          <w:rtl/>
        </w:rPr>
        <w:t>ّ</w:t>
      </w:r>
      <w:r w:rsidRPr="00282AC9">
        <w:rPr>
          <w:rFonts w:hint="cs"/>
          <w:sz w:val="27"/>
          <w:rtl/>
        </w:rPr>
        <w:t xml:space="preserve"> ـ على ما أثبتناه في مقالة</w:t>
      </w:r>
      <w:r w:rsidR="009F66B9" w:rsidRPr="00282AC9">
        <w:rPr>
          <w:rFonts w:hint="cs"/>
          <w:sz w:val="27"/>
          <w:rtl/>
        </w:rPr>
        <w:t>ٍ</w:t>
      </w:r>
      <w:r w:rsidRPr="00282AC9">
        <w:rPr>
          <w:rFonts w:hint="cs"/>
          <w:sz w:val="27"/>
          <w:rtl/>
        </w:rPr>
        <w:t xml:space="preserve"> سابقة لنا ـ</w:t>
      </w:r>
      <w:r w:rsidR="009F66B9" w:rsidRPr="00282AC9">
        <w:rPr>
          <w:rFonts w:hint="cs"/>
          <w:sz w:val="27"/>
          <w:rtl/>
        </w:rPr>
        <w:t>،</w:t>
      </w:r>
      <w:r w:rsidRPr="00282AC9">
        <w:rPr>
          <w:rFonts w:hint="cs"/>
          <w:sz w:val="27"/>
          <w:rtl/>
        </w:rPr>
        <w:t xml:space="preserve"> وكان يمكن للحاكم الإسلامي</w:t>
      </w:r>
      <w:r w:rsidR="009F66B9" w:rsidRPr="00282AC9">
        <w:rPr>
          <w:rFonts w:hint="cs"/>
          <w:sz w:val="27"/>
          <w:rtl/>
        </w:rPr>
        <w:t>ّ</w:t>
      </w:r>
      <w:r w:rsidRPr="00282AC9">
        <w:rPr>
          <w:rFonts w:hint="cs"/>
          <w:sz w:val="27"/>
          <w:rtl/>
        </w:rPr>
        <w:t xml:space="preserve"> أن يقرّ</w:t>
      </w:r>
      <w:r w:rsidR="009F66B9" w:rsidRPr="00282AC9">
        <w:rPr>
          <w:rFonts w:hint="cs"/>
          <w:sz w:val="27"/>
          <w:rtl/>
        </w:rPr>
        <w:t>ِ</w:t>
      </w:r>
      <w:r w:rsidRPr="00282AC9">
        <w:rPr>
          <w:rFonts w:hint="cs"/>
          <w:sz w:val="27"/>
          <w:rtl/>
        </w:rPr>
        <w:t>ر الحكم بشأن المرتد</w:t>
      </w:r>
      <w:r w:rsidR="009F66B9" w:rsidRPr="00282AC9">
        <w:rPr>
          <w:rFonts w:hint="cs"/>
          <w:sz w:val="27"/>
          <w:rtl/>
        </w:rPr>
        <w:t>ّ</w:t>
      </w:r>
      <w:r w:rsidRPr="00282AC9">
        <w:rPr>
          <w:rFonts w:hint="cs"/>
          <w:sz w:val="27"/>
          <w:rtl/>
        </w:rPr>
        <w:t xml:space="preserve"> على أساس شرائط ومقتضيات الزمان والمكان والظروف الثقافية والسياسية للمجتمع الإسلامي، فعندها نحصل ـ لا محالة ـ على نتيجة</w:t>
      </w:r>
      <w:r w:rsidR="009F66B9" w:rsidRPr="00282AC9">
        <w:rPr>
          <w:rFonts w:hint="cs"/>
          <w:sz w:val="27"/>
          <w:rtl/>
        </w:rPr>
        <w:t>ٍ</w:t>
      </w:r>
      <w:r w:rsidRPr="00282AC9">
        <w:rPr>
          <w:rFonts w:hint="cs"/>
          <w:sz w:val="27"/>
          <w:rtl/>
        </w:rPr>
        <w:t xml:space="preserve"> مفادها</w:t>
      </w:r>
      <w:r w:rsidR="009F66B9" w:rsidRPr="00282AC9">
        <w:rPr>
          <w:rFonts w:hint="cs"/>
          <w:sz w:val="27"/>
          <w:rtl/>
        </w:rPr>
        <w:t>:</w:t>
      </w:r>
      <w:r w:rsidRPr="00282AC9">
        <w:rPr>
          <w:rFonts w:hint="cs"/>
          <w:sz w:val="27"/>
          <w:rtl/>
        </w:rPr>
        <w:t xml:space="preserve"> </w:t>
      </w:r>
      <w:r w:rsidR="009F66B9" w:rsidRPr="00282AC9">
        <w:rPr>
          <w:rFonts w:hint="cs"/>
          <w:sz w:val="27"/>
          <w:rtl/>
        </w:rPr>
        <w:t>إ</w:t>
      </w:r>
      <w:r w:rsidRPr="00282AC9">
        <w:rPr>
          <w:rFonts w:hint="cs"/>
          <w:sz w:val="27"/>
          <w:rtl/>
        </w:rPr>
        <w:t>ن شخص الحاكم الإسلامي هو الذي ينبغي عليه أن يت</w:t>
      </w:r>
      <w:r w:rsidR="009F66B9" w:rsidRPr="00282AC9">
        <w:rPr>
          <w:rFonts w:hint="cs"/>
          <w:sz w:val="27"/>
          <w:rtl/>
        </w:rPr>
        <w:t>ّ</w:t>
      </w:r>
      <w:r w:rsidRPr="00282AC9">
        <w:rPr>
          <w:rFonts w:hint="cs"/>
          <w:sz w:val="27"/>
          <w:rtl/>
        </w:rPr>
        <w:t>خذ القرار المناسب بشأن توبة المرتد</w:t>
      </w:r>
      <w:r w:rsidR="009F66B9" w:rsidRPr="00282AC9">
        <w:rPr>
          <w:rFonts w:hint="cs"/>
          <w:sz w:val="27"/>
          <w:rtl/>
        </w:rPr>
        <w:t>ّ</w:t>
      </w:r>
      <w:r w:rsidRPr="00282AC9">
        <w:rPr>
          <w:rFonts w:hint="cs"/>
          <w:sz w:val="27"/>
          <w:rtl/>
        </w:rPr>
        <w:t>، وإذا اقتض</w:t>
      </w:r>
      <w:r w:rsidR="009F66B9" w:rsidRPr="00282AC9">
        <w:rPr>
          <w:rFonts w:hint="cs"/>
          <w:sz w:val="27"/>
          <w:rtl/>
        </w:rPr>
        <w:t>َ</w:t>
      </w:r>
      <w:r w:rsidRPr="00282AC9">
        <w:rPr>
          <w:rFonts w:hint="cs"/>
          <w:sz w:val="27"/>
          <w:rtl/>
        </w:rPr>
        <w:t>ت</w:t>
      </w:r>
      <w:r w:rsidR="009F66B9" w:rsidRPr="00282AC9">
        <w:rPr>
          <w:rFonts w:hint="cs"/>
          <w:sz w:val="27"/>
          <w:rtl/>
        </w:rPr>
        <w:t>ْ</w:t>
      </w:r>
      <w:r w:rsidRPr="00282AC9">
        <w:rPr>
          <w:rFonts w:hint="cs"/>
          <w:sz w:val="27"/>
          <w:rtl/>
        </w:rPr>
        <w:t xml:space="preserve"> الشرائط الثقافية والسياسية في المجتمع أمكنه قبول توبته، كما يوجد على ذلك الكثير من الموارد والمصاديق. وقبل كل</w:t>
      </w:r>
      <w:r w:rsidR="009F66B9" w:rsidRPr="00282AC9">
        <w:rPr>
          <w:rFonts w:hint="cs"/>
          <w:sz w:val="27"/>
          <w:rtl/>
        </w:rPr>
        <w:t>ّ</w:t>
      </w:r>
      <w:r w:rsidRPr="00282AC9">
        <w:rPr>
          <w:rFonts w:hint="cs"/>
          <w:sz w:val="27"/>
          <w:rtl/>
        </w:rPr>
        <w:t xml:space="preserve"> شيء </w:t>
      </w:r>
      <w:r w:rsidR="00674EF5" w:rsidRPr="00282AC9">
        <w:rPr>
          <w:rFonts w:hint="cs"/>
          <w:sz w:val="27"/>
          <w:rtl/>
        </w:rPr>
        <w:t>لا بُدَّ</w:t>
      </w:r>
      <w:r w:rsidRPr="00282AC9">
        <w:rPr>
          <w:rFonts w:hint="cs"/>
          <w:sz w:val="27"/>
          <w:rtl/>
        </w:rPr>
        <w:t xml:space="preserve"> من إثبات هذه المسألة في ضوء الآيات والروايات، والعمل بعد ذلك على بحث قبول توبة المرتد</w:t>
      </w:r>
      <w:r w:rsidR="009F66B9" w:rsidRPr="00282AC9">
        <w:rPr>
          <w:rFonts w:hint="cs"/>
          <w:sz w:val="27"/>
          <w:rtl/>
        </w:rPr>
        <w:t>ّ</w:t>
      </w:r>
      <w:r w:rsidRPr="00282AC9">
        <w:rPr>
          <w:rFonts w:hint="cs"/>
          <w:sz w:val="27"/>
          <w:rtl/>
        </w:rPr>
        <w:t xml:space="preserve"> في مقام التطبيق.</w:t>
      </w:r>
    </w:p>
    <w:p w:rsidR="002971A0" w:rsidRPr="00282AC9" w:rsidRDefault="002971A0" w:rsidP="002971A0">
      <w:pPr>
        <w:spacing w:line="430" w:lineRule="exact"/>
        <w:rPr>
          <w:rtl/>
        </w:rPr>
      </w:pPr>
    </w:p>
    <w:p w:rsidR="005A1BD7" w:rsidRPr="00282AC9" w:rsidRDefault="00647FB7" w:rsidP="009F66B9">
      <w:pPr>
        <w:pStyle w:val="31"/>
        <w:rPr>
          <w:color w:val="auto"/>
          <w:rtl/>
        </w:rPr>
      </w:pPr>
      <w:r w:rsidRPr="00282AC9">
        <w:rPr>
          <w:rFonts w:hint="cs"/>
          <w:color w:val="auto"/>
          <w:rtl/>
        </w:rPr>
        <w:t xml:space="preserve">1ـ </w:t>
      </w:r>
      <w:r w:rsidR="00E72301" w:rsidRPr="00282AC9">
        <w:rPr>
          <w:rFonts w:hint="cs"/>
          <w:color w:val="auto"/>
          <w:rtl/>
        </w:rPr>
        <w:t>ال</w:t>
      </w:r>
      <w:r w:rsidR="005A1BD7" w:rsidRPr="00282AC9">
        <w:rPr>
          <w:rFonts w:hint="cs"/>
          <w:color w:val="auto"/>
          <w:rtl/>
        </w:rPr>
        <w:t>أدل</w:t>
      </w:r>
      <w:r w:rsidR="009F66B9" w:rsidRPr="00282AC9">
        <w:rPr>
          <w:rFonts w:hint="cs"/>
          <w:color w:val="auto"/>
          <w:rtl/>
        </w:rPr>
        <w:t>ّ</w:t>
      </w:r>
      <w:r w:rsidR="005A1BD7" w:rsidRPr="00282AC9">
        <w:rPr>
          <w:rFonts w:hint="cs"/>
          <w:color w:val="auto"/>
          <w:rtl/>
        </w:rPr>
        <w:t xml:space="preserve">ة </w:t>
      </w:r>
      <w:r w:rsidR="00E72301" w:rsidRPr="00282AC9">
        <w:rPr>
          <w:rFonts w:hint="cs"/>
          <w:color w:val="auto"/>
          <w:rtl/>
        </w:rPr>
        <w:t>الأوّلية ل</w:t>
      </w:r>
      <w:r w:rsidR="005A1BD7" w:rsidRPr="00282AC9">
        <w:rPr>
          <w:rFonts w:hint="cs"/>
          <w:color w:val="auto"/>
          <w:rtl/>
        </w:rPr>
        <w:t>رفع حكم القتل ع</w:t>
      </w:r>
      <w:r w:rsidR="009F66B9" w:rsidRPr="00282AC9">
        <w:rPr>
          <w:rFonts w:hint="cs"/>
          <w:color w:val="auto"/>
          <w:rtl/>
        </w:rPr>
        <w:t>ن</w:t>
      </w:r>
      <w:r w:rsidR="005A1BD7" w:rsidRPr="00282AC9">
        <w:rPr>
          <w:rFonts w:hint="cs"/>
          <w:color w:val="auto"/>
          <w:rtl/>
        </w:rPr>
        <w:t xml:space="preserve"> المرتد</w:t>
      </w:r>
      <w:r w:rsidR="009F66B9" w:rsidRPr="00282AC9">
        <w:rPr>
          <w:rFonts w:hint="cs"/>
          <w:color w:val="auto"/>
          <w:rtl/>
        </w:rPr>
        <w:t>ّ</w:t>
      </w:r>
      <w:r w:rsidR="005A1BD7" w:rsidRPr="00282AC9">
        <w:rPr>
          <w:rFonts w:hint="cs"/>
          <w:color w:val="auto"/>
          <w:rtl/>
        </w:rPr>
        <w:t xml:space="preserve"> الفطري</w:t>
      </w:r>
    </w:p>
    <w:p w:rsidR="005A1BD7" w:rsidRPr="00282AC9" w:rsidRDefault="005A1BD7" w:rsidP="00C75E73">
      <w:pPr>
        <w:rPr>
          <w:sz w:val="27"/>
          <w:rtl/>
        </w:rPr>
      </w:pPr>
      <w:r w:rsidRPr="00282AC9">
        <w:rPr>
          <w:rFonts w:hint="cs"/>
          <w:sz w:val="27"/>
          <w:rtl/>
        </w:rPr>
        <w:t>هناك توافق</w:t>
      </w:r>
      <w:r w:rsidR="008D1884" w:rsidRPr="00282AC9">
        <w:rPr>
          <w:rFonts w:hint="cs"/>
          <w:sz w:val="27"/>
          <w:rtl/>
        </w:rPr>
        <w:t>ٌ</w:t>
      </w:r>
      <w:r w:rsidRPr="00282AC9">
        <w:rPr>
          <w:rFonts w:hint="cs"/>
          <w:sz w:val="27"/>
          <w:rtl/>
        </w:rPr>
        <w:t xml:space="preserve"> تقريباً بين جميع الفقهاء حول هذه المسألة، وهي أن هذه الأحكام </w:t>
      </w:r>
      <w:r w:rsidRPr="00282AC9">
        <w:rPr>
          <w:rFonts w:hint="cs"/>
          <w:sz w:val="27"/>
          <w:rtl/>
        </w:rPr>
        <w:lastRenderedPageBreak/>
        <w:t>الثلاثة لا ترتفع عن المرتد</w:t>
      </w:r>
      <w:r w:rsidR="009F66B9" w:rsidRPr="00282AC9">
        <w:rPr>
          <w:rFonts w:hint="cs"/>
          <w:sz w:val="27"/>
          <w:rtl/>
        </w:rPr>
        <w:t>ّ</w:t>
      </w:r>
      <w:r w:rsidRPr="00282AC9">
        <w:rPr>
          <w:rFonts w:hint="cs"/>
          <w:sz w:val="27"/>
          <w:rtl/>
        </w:rPr>
        <w:t xml:space="preserve"> الفطري</w:t>
      </w:r>
      <w:r w:rsidR="009F66B9" w:rsidRPr="00282AC9">
        <w:rPr>
          <w:rFonts w:hint="cs"/>
          <w:sz w:val="27"/>
          <w:rtl/>
        </w:rPr>
        <w:t>.</w:t>
      </w:r>
      <w:r w:rsidRPr="00282AC9">
        <w:rPr>
          <w:rFonts w:hint="cs"/>
          <w:sz w:val="27"/>
          <w:rtl/>
        </w:rPr>
        <w:t xml:space="preserve"> وقد استدل</w:t>
      </w:r>
      <w:r w:rsidR="009F66B9" w:rsidRPr="00282AC9">
        <w:rPr>
          <w:rFonts w:hint="cs"/>
          <w:sz w:val="27"/>
          <w:rtl/>
        </w:rPr>
        <w:t>ّ</w:t>
      </w:r>
      <w:r w:rsidRPr="00282AC9">
        <w:rPr>
          <w:rFonts w:hint="cs"/>
          <w:sz w:val="27"/>
          <w:rtl/>
        </w:rPr>
        <w:t xml:space="preserve">وا لذلك </w:t>
      </w:r>
      <w:r w:rsidR="009F66B9" w:rsidRPr="00282AC9">
        <w:rPr>
          <w:rFonts w:hint="cs"/>
          <w:sz w:val="27"/>
          <w:rtl/>
        </w:rPr>
        <w:t>بما يلي</w:t>
      </w:r>
      <w:r w:rsidRPr="00282AC9">
        <w:rPr>
          <w:rFonts w:hint="cs"/>
          <w:sz w:val="27"/>
          <w:rtl/>
        </w:rPr>
        <w:t>:</w:t>
      </w:r>
    </w:p>
    <w:p w:rsidR="00981610" w:rsidRPr="00282AC9" w:rsidRDefault="00981610" w:rsidP="007D7AAA">
      <w:pPr>
        <w:spacing w:line="320" w:lineRule="exact"/>
        <w:rPr>
          <w:sz w:val="27"/>
          <w:rtl/>
        </w:rPr>
      </w:pPr>
    </w:p>
    <w:p w:rsidR="00981610" w:rsidRPr="00282AC9" w:rsidRDefault="00981610" w:rsidP="00981610">
      <w:pPr>
        <w:pStyle w:val="31"/>
        <w:rPr>
          <w:color w:val="auto"/>
          <w:rtl/>
        </w:rPr>
      </w:pPr>
      <w:r w:rsidRPr="00282AC9">
        <w:rPr>
          <w:rFonts w:hint="cs"/>
          <w:color w:val="auto"/>
          <w:rtl/>
        </w:rPr>
        <w:t>أ</w:t>
      </w:r>
      <w:r w:rsidR="005A1BD7" w:rsidRPr="00282AC9">
        <w:rPr>
          <w:rFonts w:hint="cs"/>
          <w:color w:val="auto"/>
          <w:rtl/>
        </w:rPr>
        <w:t>ـ الرواي</w:t>
      </w:r>
      <w:r w:rsidR="009F66B9" w:rsidRPr="00282AC9">
        <w:rPr>
          <w:rFonts w:hint="cs"/>
          <w:color w:val="auto"/>
          <w:rtl/>
        </w:rPr>
        <w:t>ات</w:t>
      </w:r>
    </w:p>
    <w:p w:rsidR="005A1BD7" w:rsidRPr="00282AC9" w:rsidRDefault="005A1BD7" w:rsidP="007D7AAA">
      <w:pPr>
        <w:spacing w:line="380" w:lineRule="exact"/>
        <w:rPr>
          <w:sz w:val="27"/>
          <w:rtl/>
        </w:rPr>
      </w:pPr>
      <w:r w:rsidRPr="00282AC9">
        <w:rPr>
          <w:rFonts w:hint="eastAsia"/>
          <w:sz w:val="24"/>
          <w:szCs w:val="24"/>
          <w:rtl/>
        </w:rPr>
        <w:t>«</w:t>
      </w:r>
      <w:r w:rsidRPr="00282AC9">
        <w:rPr>
          <w:rFonts w:hint="cs"/>
          <w:sz w:val="27"/>
          <w:rtl/>
        </w:rPr>
        <w:t>سألت</w:t>
      </w:r>
      <w:r w:rsidR="009F66B9" w:rsidRPr="00282AC9">
        <w:rPr>
          <w:rFonts w:hint="cs"/>
          <w:sz w:val="27"/>
          <w:rtl/>
        </w:rPr>
        <w:t>ُ</w:t>
      </w:r>
      <w:r w:rsidRPr="00282AC9">
        <w:rPr>
          <w:rFonts w:hint="cs"/>
          <w:sz w:val="27"/>
          <w:rtl/>
        </w:rPr>
        <w:t xml:space="preserve"> أبا جعفر</w:t>
      </w:r>
      <w:r w:rsidR="009A2A04" w:rsidRPr="00282AC9">
        <w:rPr>
          <w:rFonts w:cs="Mosawi" w:hint="cs"/>
          <w:sz w:val="22"/>
          <w:szCs w:val="22"/>
          <w:rtl/>
        </w:rPr>
        <w:t>×</w:t>
      </w:r>
      <w:r w:rsidRPr="00282AC9">
        <w:rPr>
          <w:rFonts w:hint="cs"/>
          <w:sz w:val="27"/>
          <w:rtl/>
        </w:rPr>
        <w:t xml:space="preserve"> عن المرتد؟ فقال: م</w:t>
      </w:r>
      <w:r w:rsidR="00661847" w:rsidRPr="00282AC9">
        <w:rPr>
          <w:rFonts w:hint="cs"/>
          <w:sz w:val="27"/>
          <w:rtl/>
        </w:rPr>
        <w:t>َ</w:t>
      </w:r>
      <w:r w:rsidRPr="00282AC9">
        <w:rPr>
          <w:rFonts w:hint="cs"/>
          <w:sz w:val="27"/>
          <w:rtl/>
        </w:rPr>
        <w:t>ن</w:t>
      </w:r>
      <w:r w:rsidR="00661847" w:rsidRPr="00282AC9">
        <w:rPr>
          <w:rFonts w:hint="cs"/>
          <w:sz w:val="27"/>
          <w:rtl/>
        </w:rPr>
        <w:t>ْ</w:t>
      </w:r>
      <w:r w:rsidRPr="00282AC9">
        <w:rPr>
          <w:rFonts w:hint="cs"/>
          <w:sz w:val="27"/>
          <w:rtl/>
        </w:rPr>
        <w:t xml:space="preserve"> رغب عن الإسلام، وكفر بما أ</w:t>
      </w:r>
      <w:r w:rsidR="00661847" w:rsidRPr="00282AC9">
        <w:rPr>
          <w:rFonts w:hint="cs"/>
          <w:sz w:val="27"/>
          <w:rtl/>
        </w:rPr>
        <w:t>ُ</w:t>
      </w:r>
      <w:r w:rsidRPr="00282AC9">
        <w:rPr>
          <w:rFonts w:hint="cs"/>
          <w:sz w:val="27"/>
          <w:rtl/>
        </w:rPr>
        <w:t>نزل على محمد</w:t>
      </w:r>
      <w:r w:rsidR="00661847" w:rsidRPr="00282AC9">
        <w:rPr>
          <w:rFonts w:hint="cs"/>
          <w:sz w:val="27"/>
          <w:rtl/>
        </w:rPr>
        <w:t>ٍ</w:t>
      </w:r>
      <w:r w:rsidR="009A2A04" w:rsidRPr="00282AC9">
        <w:rPr>
          <w:rFonts w:cs="Mosawi" w:hint="cs"/>
          <w:sz w:val="22"/>
          <w:szCs w:val="22"/>
          <w:rtl/>
        </w:rPr>
        <w:t>|</w:t>
      </w:r>
      <w:r w:rsidR="00661847" w:rsidRPr="00282AC9">
        <w:rPr>
          <w:rFonts w:hint="cs"/>
          <w:sz w:val="27"/>
          <w:rtl/>
        </w:rPr>
        <w:t>،</w:t>
      </w:r>
      <w:r w:rsidRPr="00282AC9">
        <w:rPr>
          <w:rFonts w:hint="cs"/>
          <w:sz w:val="27"/>
          <w:rtl/>
        </w:rPr>
        <w:t xml:space="preserve"> بعد إسلامه، فلا توبة له، وقد وجب قتله، وبان</w:t>
      </w:r>
      <w:r w:rsidR="00661847" w:rsidRPr="00282AC9">
        <w:rPr>
          <w:rFonts w:hint="cs"/>
          <w:sz w:val="27"/>
          <w:rtl/>
        </w:rPr>
        <w:t>َ</w:t>
      </w:r>
      <w:r w:rsidRPr="00282AC9">
        <w:rPr>
          <w:rFonts w:hint="cs"/>
          <w:sz w:val="27"/>
          <w:rtl/>
        </w:rPr>
        <w:t>ت</w:t>
      </w:r>
      <w:r w:rsidR="00661847" w:rsidRPr="00282AC9">
        <w:rPr>
          <w:rFonts w:hint="cs"/>
          <w:sz w:val="27"/>
          <w:rtl/>
        </w:rPr>
        <w:t>ْ</w:t>
      </w:r>
      <w:r w:rsidRPr="00282AC9">
        <w:rPr>
          <w:rFonts w:hint="cs"/>
          <w:sz w:val="27"/>
          <w:rtl/>
        </w:rPr>
        <w:t xml:space="preserve"> منه امرأت</w:t>
      </w:r>
      <w:r w:rsidR="00661847" w:rsidRPr="00282AC9">
        <w:rPr>
          <w:rFonts w:hint="cs"/>
          <w:sz w:val="27"/>
          <w:rtl/>
        </w:rPr>
        <w:t>ُ</w:t>
      </w:r>
      <w:r w:rsidRPr="00282AC9">
        <w:rPr>
          <w:rFonts w:hint="cs"/>
          <w:sz w:val="27"/>
          <w:rtl/>
        </w:rPr>
        <w:t>ه، ويُقسّ</w:t>
      </w:r>
      <w:r w:rsidR="00661847" w:rsidRPr="00282AC9">
        <w:rPr>
          <w:rFonts w:hint="cs"/>
          <w:sz w:val="27"/>
          <w:rtl/>
        </w:rPr>
        <w:t>َ</w:t>
      </w:r>
      <w:r w:rsidRPr="00282AC9">
        <w:rPr>
          <w:rFonts w:hint="cs"/>
          <w:sz w:val="27"/>
          <w:rtl/>
        </w:rPr>
        <w:t>م ما ترك على وُل</w:t>
      </w:r>
      <w:r w:rsidR="00661847" w:rsidRPr="00282AC9">
        <w:rPr>
          <w:rFonts w:hint="cs"/>
          <w:sz w:val="27"/>
          <w:rtl/>
        </w:rPr>
        <w:t>ْ</w:t>
      </w:r>
      <w:r w:rsidRPr="00282AC9">
        <w:rPr>
          <w:rFonts w:hint="cs"/>
          <w:sz w:val="27"/>
          <w:rtl/>
        </w:rPr>
        <w:t>ده</w:t>
      </w:r>
      <w:r w:rsidRPr="00282AC9">
        <w:rPr>
          <w:rFonts w:hint="eastAsia"/>
          <w:sz w:val="24"/>
          <w:szCs w:val="24"/>
          <w:rtl/>
        </w:rPr>
        <w:t>»</w:t>
      </w:r>
      <w:r w:rsidRPr="00282AC9">
        <w:rPr>
          <w:sz w:val="27"/>
          <w:vertAlign w:val="superscript"/>
          <w:rtl/>
        </w:rPr>
        <w:t>(</w:t>
      </w:r>
      <w:r w:rsidRPr="00282AC9">
        <w:rPr>
          <w:rStyle w:val="af9"/>
          <w:sz w:val="27"/>
          <w:rtl/>
        </w:rPr>
        <w:endnoteReference w:id="268"/>
      </w:r>
      <w:r w:rsidRPr="00282AC9">
        <w:rPr>
          <w:sz w:val="27"/>
          <w:vertAlign w:val="superscript"/>
          <w:rtl/>
        </w:rPr>
        <w:t>)</w:t>
      </w:r>
      <w:r w:rsidRPr="00282AC9">
        <w:rPr>
          <w:rFonts w:hint="cs"/>
          <w:sz w:val="27"/>
          <w:rtl/>
        </w:rPr>
        <w:t xml:space="preserve">. إن التعبير بـ </w:t>
      </w:r>
      <w:r w:rsidRPr="00282AC9">
        <w:rPr>
          <w:rFonts w:hint="eastAsia"/>
          <w:sz w:val="24"/>
          <w:szCs w:val="24"/>
          <w:rtl/>
        </w:rPr>
        <w:t>«</w:t>
      </w:r>
      <w:r w:rsidRPr="00282AC9">
        <w:rPr>
          <w:rFonts w:hint="cs"/>
          <w:sz w:val="27"/>
          <w:rtl/>
        </w:rPr>
        <w:t>فلا توبة له</w:t>
      </w:r>
      <w:r w:rsidRPr="00282AC9">
        <w:rPr>
          <w:rFonts w:hint="eastAsia"/>
          <w:sz w:val="24"/>
          <w:szCs w:val="24"/>
          <w:rtl/>
        </w:rPr>
        <w:t>»</w:t>
      </w:r>
      <w:r w:rsidRPr="00282AC9">
        <w:rPr>
          <w:rFonts w:hint="cs"/>
          <w:sz w:val="27"/>
          <w:rtl/>
        </w:rPr>
        <w:t xml:space="preserve"> مطلق</w:t>
      </w:r>
      <w:r w:rsidR="00661847" w:rsidRPr="00282AC9">
        <w:rPr>
          <w:rFonts w:hint="cs"/>
          <w:sz w:val="27"/>
          <w:rtl/>
        </w:rPr>
        <w:t>ٌ</w:t>
      </w:r>
      <w:r w:rsidRPr="00282AC9">
        <w:rPr>
          <w:rFonts w:hint="cs"/>
          <w:sz w:val="27"/>
          <w:rtl/>
        </w:rPr>
        <w:t>، وبذلك فإنه يشمل التوبة بعد قيام البي</w:t>
      </w:r>
      <w:r w:rsidR="00661847" w:rsidRPr="00282AC9">
        <w:rPr>
          <w:rFonts w:hint="cs"/>
          <w:sz w:val="27"/>
          <w:rtl/>
        </w:rPr>
        <w:t>ِّ</w:t>
      </w:r>
      <w:r w:rsidRPr="00282AC9">
        <w:rPr>
          <w:rFonts w:hint="cs"/>
          <w:sz w:val="27"/>
          <w:rtl/>
        </w:rPr>
        <w:t>نة وقبلها أيضاً</w:t>
      </w:r>
      <w:r w:rsidR="00661847" w:rsidRPr="00282AC9">
        <w:rPr>
          <w:rFonts w:hint="cs"/>
          <w:sz w:val="27"/>
          <w:rtl/>
        </w:rPr>
        <w:t>.</w:t>
      </w:r>
      <w:r w:rsidRPr="00282AC9">
        <w:rPr>
          <w:rFonts w:hint="cs"/>
          <w:sz w:val="27"/>
          <w:rtl/>
        </w:rPr>
        <w:t xml:space="preserve"> وهذا التعبير يُخص</w:t>
      </w:r>
      <w:r w:rsidR="00661847" w:rsidRPr="00282AC9">
        <w:rPr>
          <w:rFonts w:hint="cs"/>
          <w:sz w:val="27"/>
          <w:rtl/>
        </w:rPr>
        <w:t>ِّ</w:t>
      </w:r>
      <w:r w:rsidRPr="00282AC9">
        <w:rPr>
          <w:rFonts w:hint="cs"/>
          <w:sz w:val="27"/>
          <w:rtl/>
        </w:rPr>
        <w:t>ص أدل</w:t>
      </w:r>
      <w:r w:rsidR="00661847" w:rsidRPr="00282AC9">
        <w:rPr>
          <w:rFonts w:hint="cs"/>
          <w:sz w:val="27"/>
          <w:rtl/>
        </w:rPr>
        <w:t>ّ</w:t>
      </w:r>
      <w:r w:rsidRPr="00282AC9">
        <w:rPr>
          <w:rFonts w:hint="cs"/>
          <w:sz w:val="27"/>
          <w:rtl/>
        </w:rPr>
        <w:t>ة التوبة بالنسبة إلى هذه الأحكام الثلاثة: (القتل، والبينونة عن الزوجة، وتقسيم المال)؛ لأنه قد جعل التوبة بالنسبة إلى هذه الأحكام من قبيل</w:t>
      </w:r>
      <w:r w:rsidR="00661847" w:rsidRPr="00282AC9">
        <w:rPr>
          <w:rFonts w:hint="cs"/>
          <w:sz w:val="27"/>
          <w:rtl/>
        </w:rPr>
        <w:t>:</w:t>
      </w:r>
      <w:r w:rsidRPr="00282AC9">
        <w:rPr>
          <w:rFonts w:hint="cs"/>
          <w:sz w:val="27"/>
          <w:rtl/>
        </w:rPr>
        <w:t xml:space="preserve"> عدم التوبة</w:t>
      </w:r>
      <w:r w:rsidRPr="00282AC9">
        <w:rPr>
          <w:sz w:val="27"/>
          <w:vertAlign w:val="superscript"/>
          <w:rtl/>
        </w:rPr>
        <w:t>(</w:t>
      </w:r>
      <w:r w:rsidRPr="00282AC9">
        <w:rPr>
          <w:rStyle w:val="af9"/>
          <w:sz w:val="27"/>
          <w:rtl/>
        </w:rPr>
        <w:endnoteReference w:id="269"/>
      </w:r>
      <w:r w:rsidRPr="00282AC9">
        <w:rPr>
          <w:sz w:val="27"/>
          <w:vertAlign w:val="superscript"/>
          <w:rtl/>
        </w:rPr>
        <w:t>)</w:t>
      </w:r>
      <w:r w:rsidRPr="00282AC9">
        <w:rPr>
          <w:rFonts w:hint="cs"/>
          <w:sz w:val="27"/>
          <w:rtl/>
        </w:rPr>
        <w:t>.</w:t>
      </w:r>
    </w:p>
    <w:p w:rsidR="00981610" w:rsidRPr="00282AC9" w:rsidRDefault="00981610" w:rsidP="007D7AAA">
      <w:pPr>
        <w:spacing w:line="320" w:lineRule="exact"/>
        <w:rPr>
          <w:sz w:val="27"/>
          <w:rtl/>
        </w:rPr>
      </w:pPr>
    </w:p>
    <w:p w:rsidR="00981610" w:rsidRPr="00282AC9" w:rsidRDefault="00981610" w:rsidP="00981610">
      <w:pPr>
        <w:pStyle w:val="31"/>
        <w:rPr>
          <w:color w:val="auto"/>
          <w:rtl/>
        </w:rPr>
      </w:pPr>
      <w:r w:rsidRPr="00282AC9">
        <w:rPr>
          <w:rFonts w:hint="cs"/>
          <w:color w:val="auto"/>
          <w:rtl/>
        </w:rPr>
        <w:t xml:space="preserve">ب </w:t>
      </w:r>
      <w:r w:rsidR="005A1BD7" w:rsidRPr="00282AC9">
        <w:rPr>
          <w:rFonts w:hint="cs"/>
          <w:color w:val="auto"/>
          <w:rtl/>
        </w:rPr>
        <w:t>ـ الإجماع</w:t>
      </w:r>
    </w:p>
    <w:p w:rsidR="005A1BD7" w:rsidRPr="00282AC9" w:rsidRDefault="005A1BD7" w:rsidP="007D7AAA">
      <w:pPr>
        <w:spacing w:line="380" w:lineRule="exact"/>
        <w:rPr>
          <w:sz w:val="27"/>
          <w:rtl/>
        </w:rPr>
      </w:pPr>
      <w:r w:rsidRPr="00282AC9">
        <w:rPr>
          <w:rFonts w:hint="cs"/>
          <w:sz w:val="27"/>
          <w:rtl/>
        </w:rPr>
        <w:t>ذهب بعض الفقهاء إلى اد</w:t>
      </w:r>
      <w:r w:rsidR="00661847" w:rsidRPr="00282AC9">
        <w:rPr>
          <w:rFonts w:hint="cs"/>
          <w:sz w:val="27"/>
          <w:rtl/>
        </w:rPr>
        <w:t>ّ</w:t>
      </w:r>
      <w:r w:rsidRPr="00282AC9">
        <w:rPr>
          <w:rFonts w:hint="cs"/>
          <w:sz w:val="27"/>
          <w:rtl/>
        </w:rPr>
        <w:t>عاء الإجماع من قِب</w:t>
      </w:r>
      <w:r w:rsidR="00661847" w:rsidRPr="00282AC9">
        <w:rPr>
          <w:rFonts w:hint="cs"/>
          <w:sz w:val="27"/>
          <w:rtl/>
        </w:rPr>
        <w:t>َ</w:t>
      </w:r>
      <w:r w:rsidRPr="00282AC9">
        <w:rPr>
          <w:rFonts w:hint="cs"/>
          <w:sz w:val="27"/>
          <w:rtl/>
        </w:rPr>
        <w:t>ل الإمامي</w:t>
      </w:r>
      <w:r w:rsidR="00661847" w:rsidRPr="00282AC9">
        <w:rPr>
          <w:rFonts w:hint="cs"/>
          <w:sz w:val="27"/>
          <w:rtl/>
        </w:rPr>
        <w:t>ّ</w:t>
      </w:r>
      <w:r w:rsidRPr="00282AC9">
        <w:rPr>
          <w:rFonts w:hint="cs"/>
          <w:sz w:val="27"/>
          <w:rtl/>
        </w:rPr>
        <w:t>ة على قتل المرتد</w:t>
      </w:r>
      <w:r w:rsidR="00661847" w:rsidRPr="00282AC9">
        <w:rPr>
          <w:rFonts w:hint="cs"/>
          <w:sz w:val="27"/>
          <w:rtl/>
        </w:rPr>
        <w:t>ّ،</w:t>
      </w:r>
      <w:r w:rsidRPr="00282AC9">
        <w:rPr>
          <w:rFonts w:hint="cs"/>
          <w:sz w:val="27"/>
          <w:rtl/>
        </w:rPr>
        <w:t xml:space="preserve"> دون أن يخالف في ذلك أحد</w:t>
      </w:r>
      <w:r w:rsidR="00661847" w:rsidRPr="00282AC9">
        <w:rPr>
          <w:rFonts w:hint="cs"/>
          <w:sz w:val="27"/>
          <w:rtl/>
        </w:rPr>
        <w:t>ٌ</w:t>
      </w:r>
      <w:r w:rsidRPr="00282AC9">
        <w:rPr>
          <w:sz w:val="27"/>
          <w:vertAlign w:val="superscript"/>
          <w:rtl/>
        </w:rPr>
        <w:t>(</w:t>
      </w:r>
      <w:r w:rsidRPr="00282AC9">
        <w:rPr>
          <w:rStyle w:val="af9"/>
          <w:sz w:val="27"/>
          <w:rtl/>
        </w:rPr>
        <w:endnoteReference w:id="270"/>
      </w:r>
      <w:r w:rsidRPr="00282AC9">
        <w:rPr>
          <w:sz w:val="27"/>
          <w:vertAlign w:val="superscript"/>
          <w:rtl/>
        </w:rPr>
        <w:t>)</w:t>
      </w:r>
      <w:r w:rsidRPr="00282AC9">
        <w:rPr>
          <w:rFonts w:hint="cs"/>
          <w:sz w:val="27"/>
          <w:rtl/>
        </w:rPr>
        <w:t>. قال صاحب (جواهر الكلام) ـ بعد نقل كلام المحق</w:t>
      </w:r>
      <w:r w:rsidR="00661847" w:rsidRPr="00282AC9">
        <w:rPr>
          <w:rFonts w:hint="cs"/>
          <w:sz w:val="27"/>
          <w:rtl/>
        </w:rPr>
        <w:t>ِّ</w:t>
      </w:r>
      <w:r w:rsidRPr="00282AC9">
        <w:rPr>
          <w:rFonts w:hint="cs"/>
          <w:sz w:val="27"/>
          <w:rtl/>
        </w:rPr>
        <w:t>ق الحلي؛ إذ يقول: لا يُق</w:t>
      </w:r>
      <w:r w:rsidR="00661847" w:rsidRPr="00282AC9">
        <w:rPr>
          <w:rFonts w:hint="cs"/>
          <w:sz w:val="27"/>
          <w:rtl/>
        </w:rPr>
        <w:t>ْ</w:t>
      </w:r>
      <w:r w:rsidRPr="00282AC9">
        <w:rPr>
          <w:rFonts w:hint="cs"/>
          <w:sz w:val="27"/>
          <w:rtl/>
        </w:rPr>
        <w:t>ب</w:t>
      </w:r>
      <w:r w:rsidR="00661847" w:rsidRPr="00282AC9">
        <w:rPr>
          <w:rFonts w:hint="cs"/>
          <w:sz w:val="27"/>
          <w:rtl/>
        </w:rPr>
        <w:t>َ</w:t>
      </w:r>
      <w:r w:rsidRPr="00282AC9">
        <w:rPr>
          <w:rFonts w:hint="cs"/>
          <w:sz w:val="27"/>
          <w:rtl/>
        </w:rPr>
        <w:t>ل إسلام المرتد</w:t>
      </w:r>
      <w:r w:rsidR="00661847" w:rsidRPr="00282AC9">
        <w:rPr>
          <w:rFonts w:hint="cs"/>
          <w:sz w:val="27"/>
          <w:rtl/>
        </w:rPr>
        <w:t>ّ</w:t>
      </w:r>
      <w:r w:rsidRPr="00282AC9">
        <w:rPr>
          <w:rFonts w:hint="cs"/>
          <w:sz w:val="27"/>
          <w:rtl/>
        </w:rPr>
        <w:t xml:space="preserve"> الفطري، وقتله واجب</w:t>
      </w:r>
      <w:r w:rsidR="00661847" w:rsidRPr="00282AC9">
        <w:rPr>
          <w:rFonts w:hint="cs"/>
          <w:sz w:val="27"/>
          <w:rtl/>
        </w:rPr>
        <w:t>ٌ،</w:t>
      </w:r>
      <w:r w:rsidRPr="00282AC9">
        <w:rPr>
          <w:rFonts w:hint="cs"/>
          <w:sz w:val="27"/>
          <w:rtl/>
        </w:rPr>
        <w:t xml:space="preserve"> وتبين منه زوجته ... ـ</w:t>
      </w:r>
      <w:r w:rsidR="00661847" w:rsidRPr="00282AC9">
        <w:rPr>
          <w:rFonts w:hint="cs"/>
          <w:sz w:val="27"/>
          <w:rtl/>
        </w:rPr>
        <w:t>:</w:t>
      </w:r>
      <w:r w:rsidRPr="00282AC9">
        <w:rPr>
          <w:rFonts w:hint="cs"/>
          <w:sz w:val="27"/>
          <w:rtl/>
        </w:rPr>
        <w:t xml:space="preserve"> لم أج</w:t>
      </w:r>
      <w:r w:rsidR="00661847" w:rsidRPr="00282AC9">
        <w:rPr>
          <w:rFonts w:hint="cs"/>
          <w:sz w:val="27"/>
          <w:rtl/>
        </w:rPr>
        <w:t>ِ</w:t>
      </w:r>
      <w:r w:rsidRPr="00282AC9">
        <w:rPr>
          <w:rFonts w:hint="cs"/>
          <w:sz w:val="27"/>
          <w:rtl/>
        </w:rPr>
        <w:t>د</w:t>
      </w:r>
      <w:r w:rsidR="00661847" w:rsidRPr="00282AC9">
        <w:rPr>
          <w:rFonts w:hint="cs"/>
          <w:sz w:val="27"/>
          <w:rtl/>
        </w:rPr>
        <w:t>ْ</w:t>
      </w:r>
      <w:r w:rsidRPr="00282AC9">
        <w:rPr>
          <w:rFonts w:hint="cs"/>
          <w:sz w:val="27"/>
          <w:rtl/>
        </w:rPr>
        <w:t xml:space="preserve"> خلافاً معتدّاً به في هذه المسألة، بل عليها كلا النوعين من الإجماع (المنقول والمحصّ</w:t>
      </w:r>
      <w:r w:rsidR="00661847" w:rsidRPr="00282AC9">
        <w:rPr>
          <w:rFonts w:hint="cs"/>
          <w:sz w:val="27"/>
          <w:rtl/>
        </w:rPr>
        <w:t>َ</w:t>
      </w:r>
      <w:r w:rsidRPr="00282AC9">
        <w:rPr>
          <w:rFonts w:hint="cs"/>
          <w:sz w:val="27"/>
          <w:rtl/>
        </w:rPr>
        <w:t>ل)</w:t>
      </w:r>
      <w:r w:rsidRPr="00282AC9">
        <w:rPr>
          <w:sz w:val="27"/>
          <w:vertAlign w:val="superscript"/>
          <w:rtl/>
        </w:rPr>
        <w:t>(</w:t>
      </w:r>
      <w:r w:rsidRPr="00282AC9">
        <w:rPr>
          <w:rStyle w:val="af9"/>
          <w:sz w:val="27"/>
          <w:rtl/>
        </w:rPr>
        <w:endnoteReference w:id="271"/>
      </w:r>
      <w:r w:rsidRPr="00282AC9">
        <w:rPr>
          <w:sz w:val="27"/>
          <w:vertAlign w:val="superscript"/>
          <w:rtl/>
        </w:rPr>
        <w:t>)</w:t>
      </w:r>
      <w:r w:rsidRPr="00282AC9">
        <w:rPr>
          <w:rFonts w:hint="cs"/>
          <w:sz w:val="27"/>
          <w:rtl/>
        </w:rPr>
        <w:t>.</w:t>
      </w:r>
    </w:p>
    <w:p w:rsidR="00981610" w:rsidRPr="00282AC9" w:rsidRDefault="00981610" w:rsidP="007D7AAA">
      <w:pPr>
        <w:spacing w:line="300" w:lineRule="exact"/>
        <w:rPr>
          <w:sz w:val="27"/>
          <w:rtl/>
        </w:rPr>
      </w:pPr>
    </w:p>
    <w:p w:rsidR="00981610" w:rsidRPr="00282AC9" w:rsidRDefault="00981610" w:rsidP="00981610">
      <w:pPr>
        <w:pStyle w:val="31"/>
        <w:rPr>
          <w:color w:val="auto"/>
          <w:rtl/>
        </w:rPr>
      </w:pPr>
      <w:r w:rsidRPr="00282AC9">
        <w:rPr>
          <w:rFonts w:hint="cs"/>
          <w:color w:val="auto"/>
          <w:rtl/>
        </w:rPr>
        <w:t xml:space="preserve">ج </w:t>
      </w:r>
      <w:r w:rsidR="005A1BD7" w:rsidRPr="00282AC9">
        <w:rPr>
          <w:rFonts w:hint="cs"/>
          <w:color w:val="auto"/>
          <w:rtl/>
        </w:rPr>
        <w:t xml:space="preserve">ـ </w:t>
      </w:r>
      <w:r w:rsidRPr="00282AC9">
        <w:rPr>
          <w:rFonts w:hint="cs"/>
          <w:color w:val="auto"/>
          <w:rtl/>
        </w:rPr>
        <w:t>الاستصحاب</w:t>
      </w:r>
    </w:p>
    <w:p w:rsidR="005A1BD7" w:rsidRPr="00282AC9" w:rsidRDefault="005A1BD7" w:rsidP="007D7AAA">
      <w:pPr>
        <w:spacing w:line="380" w:lineRule="exact"/>
        <w:rPr>
          <w:sz w:val="27"/>
          <w:rtl/>
        </w:rPr>
      </w:pPr>
      <w:r w:rsidRPr="00282AC9">
        <w:rPr>
          <w:rFonts w:hint="cs"/>
          <w:sz w:val="27"/>
          <w:rtl/>
        </w:rPr>
        <w:t>يجري الاستصحاب الموضوعي والح</w:t>
      </w:r>
      <w:r w:rsidR="00661847" w:rsidRPr="00282AC9">
        <w:rPr>
          <w:rFonts w:hint="cs"/>
          <w:sz w:val="27"/>
          <w:rtl/>
        </w:rPr>
        <w:t>ُ</w:t>
      </w:r>
      <w:r w:rsidRPr="00282AC9">
        <w:rPr>
          <w:rFonts w:hint="cs"/>
          <w:sz w:val="27"/>
          <w:rtl/>
        </w:rPr>
        <w:t>ك</w:t>
      </w:r>
      <w:r w:rsidR="00661847" w:rsidRPr="00282AC9">
        <w:rPr>
          <w:rFonts w:hint="cs"/>
          <w:sz w:val="27"/>
          <w:rtl/>
        </w:rPr>
        <w:t>ْ</w:t>
      </w:r>
      <w:r w:rsidRPr="00282AC9">
        <w:rPr>
          <w:rFonts w:hint="cs"/>
          <w:sz w:val="27"/>
          <w:rtl/>
        </w:rPr>
        <w:t>مي في مورد المرتد التائب؛ إذ مع الشك</w:t>
      </w:r>
      <w:r w:rsidR="00661847" w:rsidRPr="00282AC9">
        <w:rPr>
          <w:rFonts w:hint="cs"/>
          <w:sz w:val="27"/>
          <w:rtl/>
        </w:rPr>
        <w:t>ّ</w:t>
      </w:r>
      <w:r w:rsidRPr="00282AC9">
        <w:rPr>
          <w:rFonts w:hint="cs"/>
          <w:sz w:val="27"/>
          <w:rtl/>
        </w:rPr>
        <w:t xml:space="preserve"> في رفع موضوع الكفر بالتوبة أو عدم رفع هذه الأحكام يبقى الكفر باستصحاب الموضوع، وفي حالة بقاء الكفر باستصحاب الحكم يثبت بقاء أحكام الكفر أيضاً</w:t>
      </w:r>
      <w:r w:rsidRPr="00282AC9">
        <w:rPr>
          <w:sz w:val="27"/>
          <w:vertAlign w:val="superscript"/>
          <w:rtl/>
        </w:rPr>
        <w:t>(</w:t>
      </w:r>
      <w:r w:rsidRPr="00282AC9">
        <w:rPr>
          <w:rStyle w:val="af9"/>
          <w:sz w:val="27"/>
          <w:rtl/>
        </w:rPr>
        <w:endnoteReference w:id="272"/>
      </w:r>
      <w:r w:rsidRPr="00282AC9">
        <w:rPr>
          <w:sz w:val="27"/>
          <w:vertAlign w:val="superscript"/>
          <w:rtl/>
        </w:rPr>
        <w:t>)</w:t>
      </w:r>
      <w:r w:rsidRPr="00282AC9">
        <w:rPr>
          <w:rFonts w:hint="cs"/>
          <w:sz w:val="27"/>
          <w:rtl/>
        </w:rPr>
        <w:t>. وهناك م</w:t>
      </w:r>
      <w:r w:rsidR="00661847" w:rsidRPr="00282AC9">
        <w:rPr>
          <w:rFonts w:hint="cs"/>
          <w:sz w:val="27"/>
          <w:rtl/>
        </w:rPr>
        <w:t>َ</w:t>
      </w:r>
      <w:r w:rsidRPr="00282AC9">
        <w:rPr>
          <w:rFonts w:hint="cs"/>
          <w:sz w:val="27"/>
          <w:rtl/>
        </w:rPr>
        <w:t>ن</w:t>
      </w:r>
      <w:r w:rsidR="00661847" w:rsidRPr="00282AC9">
        <w:rPr>
          <w:rFonts w:hint="cs"/>
          <w:sz w:val="27"/>
          <w:rtl/>
        </w:rPr>
        <w:t>ْ</w:t>
      </w:r>
      <w:r w:rsidRPr="00282AC9">
        <w:rPr>
          <w:rFonts w:hint="cs"/>
          <w:sz w:val="27"/>
          <w:rtl/>
        </w:rPr>
        <w:t xml:space="preserve"> قال بجريان الاستصحاب الح</w:t>
      </w:r>
      <w:r w:rsidR="00661847" w:rsidRPr="00282AC9">
        <w:rPr>
          <w:rFonts w:hint="cs"/>
          <w:sz w:val="27"/>
          <w:rtl/>
        </w:rPr>
        <w:t>ُ</w:t>
      </w:r>
      <w:r w:rsidRPr="00282AC9">
        <w:rPr>
          <w:rFonts w:hint="cs"/>
          <w:sz w:val="27"/>
          <w:rtl/>
        </w:rPr>
        <w:t>ك</w:t>
      </w:r>
      <w:r w:rsidR="00661847" w:rsidRPr="00282AC9">
        <w:rPr>
          <w:rFonts w:hint="cs"/>
          <w:sz w:val="27"/>
          <w:rtl/>
        </w:rPr>
        <w:t>ْ</w:t>
      </w:r>
      <w:r w:rsidRPr="00282AC9">
        <w:rPr>
          <w:rFonts w:hint="cs"/>
          <w:sz w:val="27"/>
          <w:rtl/>
        </w:rPr>
        <w:t>مي في مورد المرتد</w:t>
      </w:r>
      <w:r w:rsidR="00661847" w:rsidRPr="00282AC9">
        <w:rPr>
          <w:rFonts w:hint="cs"/>
          <w:sz w:val="27"/>
          <w:rtl/>
        </w:rPr>
        <w:t>ّ</w:t>
      </w:r>
      <w:r w:rsidRPr="00282AC9">
        <w:rPr>
          <w:rFonts w:hint="cs"/>
          <w:sz w:val="27"/>
          <w:rtl/>
        </w:rPr>
        <w:t xml:space="preserve"> الفطري بعد التوبة؛ إذ مع فرض قبول توبته وإسلامه لا يوجد دليل</w:t>
      </w:r>
      <w:r w:rsidR="00661847" w:rsidRPr="00282AC9">
        <w:rPr>
          <w:rFonts w:hint="cs"/>
          <w:sz w:val="27"/>
          <w:rtl/>
        </w:rPr>
        <w:t>ٌ</w:t>
      </w:r>
      <w:r w:rsidRPr="00282AC9">
        <w:rPr>
          <w:rFonts w:hint="cs"/>
          <w:sz w:val="27"/>
          <w:rtl/>
        </w:rPr>
        <w:t xml:space="preserve"> على طهارته؛ إذ لا يوجد عموم  يدل</w:t>
      </w:r>
      <w:r w:rsidR="00661847" w:rsidRPr="00282AC9">
        <w:rPr>
          <w:rFonts w:hint="cs"/>
          <w:sz w:val="27"/>
          <w:rtl/>
        </w:rPr>
        <w:t>ّ</w:t>
      </w:r>
      <w:r w:rsidRPr="00282AC9">
        <w:rPr>
          <w:rFonts w:hint="cs"/>
          <w:sz w:val="27"/>
          <w:rtl/>
        </w:rPr>
        <w:t xml:space="preserve"> على طهارة كل</w:t>
      </w:r>
      <w:r w:rsidR="00661847" w:rsidRPr="00282AC9">
        <w:rPr>
          <w:rFonts w:hint="cs"/>
          <w:sz w:val="27"/>
          <w:rtl/>
        </w:rPr>
        <w:t>ّ</w:t>
      </w:r>
      <w:r w:rsidRPr="00282AC9">
        <w:rPr>
          <w:rFonts w:hint="cs"/>
          <w:sz w:val="27"/>
          <w:rtl/>
        </w:rPr>
        <w:t xml:space="preserve"> مسلم</w:t>
      </w:r>
      <w:r w:rsidR="00661847" w:rsidRPr="00282AC9">
        <w:rPr>
          <w:rFonts w:hint="cs"/>
          <w:sz w:val="27"/>
          <w:rtl/>
        </w:rPr>
        <w:t>ٍ</w:t>
      </w:r>
      <w:r w:rsidRPr="00282AC9">
        <w:rPr>
          <w:rFonts w:hint="cs"/>
          <w:sz w:val="27"/>
          <w:rtl/>
        </w:rPr>
        <w:t>. وعليه فإن مقتضى الاستصحاب هو بقاء حكم النجاسة على حاله</w:t>
      </w:r>
      <w:r w:rsidRPr="00282AC9">
        <w:rPr>
          <w:sz w:val="27"/>
          <w:vertAlign w:val="superscript"/>
          <w:rtl/>
        </w:rPr>
        <w:t>(</w:t>
      </w:r>
      <w:r w:rsidRPr="00282AC9">
        <w:rPr>
          <w:rStyle w:val="af9"/>
          <w:sz w:val="27"/>
          <w:rtl/>
        </w:rPr>
        <w:endnoteReference w:id="273"/>
      </w:r>
      <w:r w:rsidRPr="00282AC9">
        <w:rPr>
          <w:sz w:val="27"/>
          <w:vertAlign w:val="superscript"/>
          <w:rtl/>
        </w:rPr>
        <w:t>)</w:t>
      </w:r>
      <w:r w:rsidRPr="00282AC9">
        <w:rPr>
          <w:rFonts w:hint="cs"/>
          <w:sz w:val="27"/>
          <w:rtl/>
        </w:rPr>
        <w:t>، وبطبيعة الحال لن ترتفع عنه الأحكام الأخرى أيضاً.</w:t>
      </w:r>
    </w:p>
    <w:p w:rsidR="00CE77E3" w:rsidRPr="00282AC9" w:rsidRDefault="00CE77E3" w:rsidP="007D7AAA">
      <w:pPr>
        <w:spacing w:line="320" w:lineRule="exact"/>
        <w:rPr>
          <w:sz w:val="27"/>
          <w:rtl/>
        </w:rPr>
      </w:pPr>
    </w:p>
    <w:p w:rsidR="00CE77E3" w:rsidRPr="00282AC9" w:rsidRDefault="00CE77E3" w:rsidP="00CE77E3">
      <w:pPr>
        <w:pStyle w:val="31"/>
        <w:rPr>
          <w:color w:val="auto"/>
          <w:rtl/>
        </w:rPr>
      </w:pPr>
      <w:r w:rsidRPr="00282AC9">
        <w:rPr>
          <w:rFonts w:hint="cs"/>
          <w:color w:val="auto"/>
          <w:rtl/>
        </w:rPr>
        <w:t>نقدٌ ونقاش</w:t>
      </w:r>
    </w:p>
    <w:p w:rsidR="005A1BD7" w:rsidRPr="00282AC9" w:rsidRDefault="005A1BD7" w:rsidP="00C75E73">
      <w:pPr>
        <w:rPr>
          <w:sz w:val="27"/>
          <w:rtl/>
        </w:rPr>
      </w:pPr>
      <w:r w:rsidRPr="00282AC9">
        <w:rPr>
          <w:rFonts w:hint="cs"/>
          <w:sz w:val="27"/>
          <w:rtl/>
        </w:rPr>
        <w:t>وفي مقام الإجابة عن هذه الأدل</w:t>
      </w:r>
      <w:r w:rsidR="009F66B9" w:rsidRPr="00282AC9">
        <w:rPr>
          <w:rFonts w:hint="cs"/>
          <w:sz w:val="27"/>
          <w:rtl/>
        </w:rPr>
        <w:t>ّ</w:t>
      </w:r>
      <w:r w:rsidRPr="00282AC9">
        <w:rPr>
          <w:rFonts w:hint="cs"/>
          <w:sz w:val="27"/>
          <w:rtl/>
        </w:rPr>
        <w:t>ة يمكن القول:</w:t>
      </w:r>
    </w:p>
    <w:p w:rsidR="005A1BD7" w:rsidRPr="00282AC9" w:rsidRDefault="005A1BD7" w:rsidP="00C75E73">
      <w:pPr>
        <w:rPr>
          <w:sz w:val="27"/>
          <w:rtl/>
        </w:rPr>
      </w:pPr>
      <w:r w:rsidRPr="00282AC9">
        <w:rPr>
          <w:rFonts w:hint="cs"/>
          <w:b/>
          <w:bCs/>
          <w:sz w:val="27"/>
          <w:rtl/>
        </w:rPr>
        <w:lastRenderedPageBreak/>
        <w:t>الجواب عن دليل الإجماع</w:t>
      </w:r>
      <w:r w:rsidRPr="00282AC9">
        <w:rPr>
          <w:rFonts w:hint="cs"/>
          <w:sz w:val="27"/>
          <w:rtl/>
        </w:rPr>
        <w:t>: هناك في تحليل الإجماع بعض النقاط الجديرة بالتأمّ</w:t>
      </w:r>
      <w:r w:rsidR="0046295D" w:rsidRPr="00282AC9">
        <w:rPr>
          <w:rFonts w:hint="cs"/>
          <w:sz w:val="27"/>
          <w:rtl/>
        </w:rPr>
        <w:t>ُ</w:t>
      </w:r>
      <w:r w:rsidRPr="00282AC9">
        <w:rPr>
          <w:rFonts w:hint="cs"/>
          <w:sz w:val="27"/>
          <w:rtl/>
        </w:rPr>
        <w:t>ل. فإن أصل</w:t>
      </w:r>
      <w:r w:rsidR="0046295D" w:rsidRPr="00282AC9">
        <w:rPr>
          <w:rFonts w:hint="cs"/>
          <w:sz w:val="27"/>
          <w:rtl/>
        </w:rPr>
        <w:t>َ</w:t>
      </w:r>
      <w:r w:rsidRPr="00282AC9">
        <w:rPr>
          <w:rFonts w:hint="cs"/>
          <w:sz w:val="27"/>
          <w:rtl/>
        </w:rPr>
        <w:t xml:space="preserve"> تحق</w:t>
      </w:r>
      <w:r w:rsidR="0046295D" w:rsidRPr="00282AC9">
        <w:rPr>
          <w:rFonts w:hint="cs"/>
          <w:sz w:val="27"/>
          <w:rtl/>
        </w:rPr>
        <w:t>ُّ</w:t>
      </w:r>
      <w:r w:rsidRPr="00282AC9">
        <w:rPr>
          <w:rFonts w:hint="cs"/>
          <w:sz w:val="27"/>
          <w:rtl/>
        </w:rPr>
        <w:t xml:space="preserve">ق الإجماع، مع وجود مخالفين من أمثال: ابن </w:t>
      </w:r>
      <w:r w:rsidR="0046295D" w:rsidRPr="00282AC9">
        <w:rPr>
          <w:rFonts w:hint="cs"/>
          <w:sz w:val="27"/>
          <w:rtl/>
        </w:rPr>
        <w:t>ال</w:t>
      </w:r>
      <w:r w:rsidRPr="00282AC9">
        <w:rPr>
          <w:rFonts w:hint="cs"/>
          <w:sz w:val="27"/>
          <w:rtl/>
        </w:rPr>
        <w:t>ج</w:t>
      </w:r>
      <w:r w:rsidR="0046295D" w:rsidRPr="00282AC9">
        <w:rPr>
          <w:rFonts w:hint="cs"/>
          <w:sz w:val="27"/>
          <w:rtl/>
        </w:rPr>
        <w:t>ُ</w:t>
      </w:r>
      <w:r w:rsidRPr="00282AC9">
        <w:rPr>
          <w:rFonts w:hint="cs"/>
          <w:sz w:val="27"/>
          <w:rtl/>
        </w:rPr>
        <w:t>ن</w:t>
      </w:r>
      <w:r w:rsidR="0046295D" w:rsidRPr="00282AC9">
        <w:rPr>
          <w:rFonts w:hint="cs"/>
          <w:sz w:val="27"/>
          <w:rtl/>
        </w:rPr>
        <w:t>َ</w:t>
      </w:r>
      <w:r w:rsidRPr="00282AC9">
        <w:rPr>
          <w:rFonts w:hint="cs"/>
          <w:sz w:val="27"/>
          <w:rtl/>
        </w:rPr>
        <w:t>ي</w:t>
      </w:r>
      <w:r w:rsidR="0046295D" w:rsidRPr="00282AC9">
        <w:rPr>
          <w:rFonts w:hint="cs"/>
          <w:sz w:val="27"/>
          <w:rtl/>
        </w:rPr>
        <w:t>ْ</w:t>
      </w:r>
      <w:r w:rsidRPr="00282AC9">
        <w:rPr>
          <w:rFonts w:hint="cs"/>
          <w:sz w:val="27"/>
          <w:rtl/>
        </w:rPr>
        <w:t>د والإسكافي، موضع</w:t>
      </w:r>
      <w:r w:rsidR="0046295D" w:rsidRPr="00282AC9">
        <w:rPr>
          <w:rFonts w:hint="cs"/>
          <w:sz w:val="27"/>
          <w:rtl/>
        </w:rPr>
        <w:t>ُ</w:t>
      </w:r>
      <w:r w:rsidRPr="00282AC9">
        <w:rPr>
          <w:rFonts w:hint="cs"/>
          <w:sz w:val="27"/>
          <w:rtl/>
        </w:rPr>
        <w:t xml:space="preserve"> تأمّ</w:t>
      </w:r>
      <w:r w:rsidR="0046295D" w:rsidRPr="00282AC9">
        <w:rPr>
          <w:rFonts w:hint="cs"/>
          <w:sz w:val="27"/>
          <w:rtl/>
        </w:rPr>
        <w:t>ُ</w:t>
      </w:r>
      <w:r w:rsidRPr="00282AC9">
        <w:rPr>
          <w:rFonts w:hint="cs"/>
          <w:sz w:val="27"/>
          <w:rtl/>
        </w:rPr>
        <w:t>ل</w:t>
      </w:r>
      <w:r w:rsidR="0046295D" w:rsidRPr="00282AC9">
        <w:rPr>
          <w:rFonts w:hint="cs"/>
          <w:sz w:val="27"/>
          <w:rtl/>
        </w:rPr>
        <w:t>ٍ</w:t>
      </w:r>
      <w:r w:rsidRPr="00282AC9">
        <w:rPr>
          <w:rFonts w:hint="cs"/>
          <w:sz w:val="27"/>
          <w:rtl/>
        </w:rPr>
        <w:t>. وعليه ي</w:t>
      </w:r>
      <w:r w:rsidR="0046295D" w:rsidRPr="00282AC9">
        <w:rPr>
          <w:rFonts w:hint="cs"/>
          <w:sz w:val="27"/>
          <w:rtl/>
        </w:rPr>
        <w:t>ُ</w:t>
      </w:r>
      <w:r w:rsidRPr="00282AC9">
        <w:rPr>
          <w:rFonts w:hint="cs"/>
          <w:sz w:val="27"/>
          <w:rtl/>
        </w:rPr>
        <w:t>حت</w:t>
      </w:r>
      <w:r w:rsidR="0046295D" w:rsidRPr="00282AC9">
        <w:rPr>
          <w:rFonts w:hint="cs"/>
          <w:sz w:val="27"/>
          <w:rtl/>
        </w:rPr>
        <w:t>َ</w:t>
      </w:r>
      <w:r w:rsidRPr="00282AC9">
        <w:rPr>
          <w:rFonts w:hint="cs"/>
          <w:sz w:val="27"/>
          <w:rtl/>
        </w:rPr>
        <w:t>م</w:t>
      </w:r>
      <w:r w:rsidR="0046295D" w:rsidRPr="00282AC9">
        <w:rPr>
          <w:rFonts w:hint="cs"/>
          <w:sz w:val="27"/>
          <w:rtl/>
        </w:rPr>
        <w:t>َ</w:t>
      </w:r>
      <w:r w:rsidRPr="00282AC9">
        <w:rPr>
          <w:rFonts w:hint="cs"/>
          <w:sz w:val="27"/>
          <w:rtl/>
        </w:rPr>
        <w:t>ل أن يكون المراد من الإجماع هنا هو ات</w:t>
      </w:r>
      <w:r w:rsidR="0046295D" w:rsidRPr="00282AC9">
        <w:rPr>
          <w:rFonts w:hint="cs"/>
          <w:sz w:val="27"/>
          <w:rtl/>
        </w:rPr>
        <w:t>ّ</w:t>
      </w:r>
      <w:r w:rsidRPr="00282AC9">
        <w:rPr>
          <w:rFonts w:hint="cs"/>
          <w:sz w:val="27"/>
          <w:rtl/>
        </w:rPr>
        <w:t>فاق أكثر الإمامي</w:t>
      </w:r>
      <w:r w:rsidR="0046295D" w:rsidRPr="00282AC9">
        <w:rPr>
          <w:rFonts w:hint="cs"/>
          <w:sz w:val="27"/>
          <w:rtl/>
        </w:rPr>
        <w:t>ّ</w:t>
      </w:r>
      <w:r w:rsidRPr="00282AC9">
        <w:rPr>
          <w:rFonts w:hint="cs"/>
          <w:sz w:val="27"/>
          <w:rtl/>
        </w:rPr>
        <w:t>ة</w:t>
      </w:r>
      <w:r w:rsidR="0046295D" w:rsidRPr="00282AC9">
        <w:rPr>
          <w:rFonts w:hint="cs"/>
          <w:sz w:val="27"/>
          <w:rtl/>
        </w:rPr>
        <w:t>،</w:t>
      </w:r>
      <w:r w:rsidRPr="00282AC9">
        <w:rPr>
          <w:rFonts w:hint="cs"/>
          <w:sz w:val="27"/>
          <w:rtl/>
        </w:rPr>
        <w:t xml:space="preserve"> وليس جميعهم، كما ذُكر هذا الاحتمال من ق</w:t>
      </w:r>
      <w:r w:rsidR="0046295D" w:rsidRPr="00282AC9">
        <w:rPr>
          <w:rFonts w:hint="cs"/>
          <w:sz w:val="27"/>
          <w:rtl/>
        </w:rPr>
        <w:t>ِ</w:t>
      </w:r>
      <w:r w:rsidRPr="00282AC9">
        <w:rPr>
          <w:rFonts w:hint="cs"/>
          <w:sz w:val="27"/>
          <w:rtl/>
        </w:rPr>
        <w:t>ب</w:t>
      </w:r>
      <w:r w:rsidR="0046295D" w:rsidRPr="00282AC9">
        <w:rPr>
          <w:rFonts w:hint="cs"/>
          <w:sz w:val="27"/>
          <w:rtl/>
        </w:rPr>
        <w:t>َ</w:t>
      </w:r>
      <w:r w:rsidRPr="00282AC9">
        <w:rPr>
          <w:rFonts w:hint="cs"/>
          <w:sz w:val="27"/>
          <w:rtl/>
        </w:rPr>
        <w:t>ل صاحب (الحدائق الناضرة)</w:t>
      </w:r>
      <w:r w:rsidRPr="00282AC9">
        <w:rPr>
          <w:sz w:val="27"/>
          <w:vertAlign w:val="superscript"/>
          <w:rtl/>
        </w:rPr>
        <w:t>(</w:t>
      </w:r>
      <w:r w:rsidRPr="00282AC9">
        <w:rPr>
          <w:rStyle w:val="af9"/>
          <w:sz w:val="27"/>
          <w:rtl/>
        </w:rPr>
        <w:endnoteReference w:id="274"/>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النقطة الأخرى أن هذا الإجماع المد</w:t>
      </w:r>
      <w:r w:rsidR="0046295D" w:rsidRPr="00282AC9">
        <w:rPr>
          <w:rFonts w:hint="cs"/>
          <w:sz w:val="27"/>
          <w:rtl/>
        </w:rPr>
        <w:t>َّ</w:t>
      </w:r>
      <w:r w:rsidRPr="00282AC9">
        <w:rPr>
          <w:rFonts w:hint="cs"/>
          <w:sz w:val="27"/>
          <w:rtl/>
        </w:rPr>
        <w:t>عى لو تمّ إحرازه فإنه</w:t>
      </w:r>
      <w:r w:rsidR="0046295D" w:rsidRPr="00282AC9">
        <w:rPr>
          <w:rFonts w:hint="cs"/>
          <w:sz w:val="27"/>
          <w:rtl/>
        </w:rPr>
        <w:t>؛</w:t>
      </w:r>
      <w:r w:rsidRPr="00282AC9">
        <w:rPr>
          <w:rFonts w:hint="cs"/>
          <w:sz w:val="27"/>
          <w:rtl/>
        </w:rPr>
        <w:t xml:space="preserve"> بسبب مدركي</w:t>
      </w:r>
      <w:r w:rsidR="0046295D" w:rsidRPr="00282AC9">
        <w:rPr>
          <w:rFonts w:hint="cs"/>
          <w:sz w:val="27"/>
          <w:rtl/>
        </w:rPr>
        <w:t>ّ</w:t>
      </w:r>
      <w:r w:rsidRPr="00282AC9">
        <w:rPr>
          <w:rFonts w:hint="cs"/>
          <w:sz w:val="27"/>
          <w:rtl/>
        </w:rPr>
        <w:t>ته أو احتمال مدركي</w:t>
      </w:r>
      <w:r w:rsidR="0046295D" w:rsidRPr="00282AC9">
        <w:rPr>
          <w:rFonts w:hint="cs"/>
          <w:sz w:val="27"/>
          <w:rtl/>
        </w:rPr>
        <w:t>ّ</w:t>
      </w:r>
      <w:r w:rsidRPr="00282AC9">
        <w:rPr>
          <w:rFonts w:hint="cs"/>
          <w:sz w:val="27"/>
          <w:rtl/>
        </w:rPr>
        <w:t>ته، لا يمكن أن يكون حج</w:t>
      </w:r>
      <w:r w:rsidR="0046295D" w:rsidRPr="00282AC9">
        <w:rPr>
          <w:rFonts w:hint="cs"/>
          <w:sz w:val="27"/>
          <w:rtl/>
        </w:rPr>
        <w:t>ّ</w:t>
      </w:r>
      <w:r w:rsidRPr="00282AC9">
        <w:rPr>
          <w:rFonts w:hint="cs"/>
          <w:sz w:val="27"/>
          <w:rtl/>
        </w:rPr>
        <w:t>ة</w:t>
      </w:r>
      <w:r w:rsidR="0046295D" w:rsidRPr="00282AC9">
        <w:rPr>
          <w:rFonts w:hint="cs"/>
          <w:sz w:val="27"/>
          <w:rtl/>
        </w:rPr>
        <w:t>ً</w:t>
      </w:r>
      <w:r w:rsidRPr="00282AC9">
        <w:rPr>
          <w:rFonts w:hint="cs"/>
          <w:sz w:val="27"/>
          <w:rtl/>
        </w:rPr>
        <w:t>، ولا يُع</w:t>
      </w:r>
      <w:r w:rsidR="0046295D" w:rsidRPr="00282AC9">
        <w:rPr>
          <w:rFonts w:hint="cs"/>
          <w:sz w:val="27"/>
          <w:rtl/>
        </w:rPr>
        <w:t>َدّ دليلاً مستقلاًّ</w:t>
      </w:r>
      <w:r w:rsidRPr="00282AC9">
        <w:rPr>
          <w:rFonts w:hint="cs"/>
          <w:sz w:val="27"/>
          <w:rtl/>
        </w:rPr>
        <w:t xml:space="preserve">. فقد ورد التعبير بـ </w:t>
      </w:r>
      <w:r w:rsidRPr="00282AC9">
        <w:rPr>
          <w:rFonts w:hint="eastAsia"/>
          <w:sz w:val="24"/>
          <w:szCs w:val="24"/>
          <w:rtl/>
        </w:rPr>
        <w:t>«</w:t>
      </w:r>
      <w:r w:rsidRPr="00282AC9">
        <w:rPr>
          <w:rFonts w:hint="cs"/>
          <w:sz w:val="27"/>
          <w:rtl/>
        </w:rPr>
        <w:t>لا يُستتاب</w:t>
      </w:r>
      <w:r w:rsidRPr="00282AC9">
        <w:rPr>
          <w:rFonts w:hint="eastAsia"/>
          <w:sz w:val="24"/>
          <w:szCs w:val="24"/>
          <w:rtl/>
        </w:rPr>
        <w:t>»</w:t>
      </w:r>
      <w:r w:rsidRPr="00282AC9">
        <w:rPr>
          <w:rFonts w:hint="cs"/>
          <w:sz w:val="27"/>
          <w:rtl/>
        </w:rPr>
        <w:t xml:space="preserve"> في خمسة موارد أو ست</w:t>
      </w:r>
      <w:r w:rsidR="0046295D" w:rsidRPr="00282AC9">
        <w:rPr>
          <w:rFonts w:hint="cs"/>
          <w:sz w:val="27"/>
          <w:rtl/>
        </w:rPr>
        <w:t>ّ</w:t>
      </w:r>
      <w:r w:rsidRPr="00282AC9">
        <w:rPr>
          <w:rFonts w:hint="cs"/>
          <w:sz w:val="27"/>
          <w:rtl/>
        </w:rPr>
        <w:t xml:space="preserve">ة، كما ورد التعبير بـ </w:t>
      </w:r>
      <w:r w:rsidRPr="00282AC9">
        <w:rPr>
          <w:rFonts w:hint="eastAsia"/>
          <w:sz w:val="24"/>
          <w:szCs w:val="24"/>
          <w:rtl/>
        </w:rPr>
        <w:t>«</w:t>
      </w:r>
      <w:r w:rsidRPr="00282AC9">
        <w:rPr>
          <w:rFonts w:hint="cs"/>
          <w:sz w:val="27"/>
          <w:rtl/>
        </w:rPr>
        <w:t>لن ت</w:t>
      </w:r>
      <w:r w:rsidR="0046295D" w:rsidRPr="00282AC9">
        <w:rPr>
          <w:rFonts w:hint="cs"/>
          <w:sz w:val="27"/>
          <w:rtl/>
        </w:rPr>
        <w:t>ُ</w:t>
      </w:r>
      <w:r w:rsidRPr="00282AC9">
        <w:rPr>
          <w:rFonts w:hint="cs"/>
          <w:sz w:val="27"/>
          <w:rtl/>
        </w:rPr>
        <w:t>ق</w:t>
      </w:r>
      <w:r w:rsidR="0046295D" w:rsidRPr="00282AC9">
        <w:rPr>
          <w:rFonts w:hint="cs"/>
          <w:sz w:val="27"/>
          <w:rtl/>
        </w:rPr>
        <w:t>ْ</w:t>
      </w:r>
      <w:r w:rsidRPr="00282AC9">
        <w:rPr>
          <w:rFonts w:hint="cs"/>
          <w:sz w:val="27"/>
          <w:rtl/>
        </w:rPr>
        <w:t>ب</w:t>
      </w:r>
      <w:r w:rsidR="0046295D" w:rsidRPr="00282AC9">
        <w:rPr>
          <w:rFonts w:hint="cs"/>
          <w:sz w:val="27"/>
          <w:rtl/>
        </w:rPr>
        <w:t>َ</w:t>
      </w:r>
      <w:r w:rsidRPr="00282AC9">
        <w:rPr>
          <w:rFonts w:hint="cs"/>
          <w:sz w:val="27"/>
          <w:rtl/>
        </w:rPr>
        <w:t>ل توبته</w:t>
      </w:r>
      <w:r w:rsidRPr="00282AC9">
        <w:rPr>
          <w:rFonts w:hint="eastAsia"/>
          <w:sz w:val="24"/>
          <w:szCs w:val="24"/>
          <w:rtl/>
        </w:rPr>
        <w:t>»</w:t>
      </w:r>
      <w:r w:rsidRPr="00282AC9">
        <w:rPr>
          <w:rFonts w:hint="cs"/>
          <w:sz w:val="27"/>
          <w:rtl/>
        </w:rPr>
        <w:t xml:space="preserve"> في ست</w:t>
      </w:r>
      <w:r w:rsidR="0046295D" w:rsidRPr="00282AC9">
        <w:rPr>
          <w:rFonts w:hint="cs"/>
          <w:sz w:val="27"/>
          <w:rtl/>
        </w:rPr>
        <w:t>ّ</w:t>
      </w:r>
      <w:r w:rsidRPr="00282AC9">
        <w:rPr>
          <w:rFonts w:hint="cs"/>
          <w:sz w:val="27"/>
          <w:rtl/>
        </w:rPr>
        <w:t xml:space="preserve">ة موارد أو سبعة، حيث </w:t>
      </w:r>
      <w:r w:rsidR="0046295D" w:rsidRPr="00282AC9">
        <w:rPr>
          <w:rFonts w:hint="cs"/>
          <w:sz w:val="27"/>
          <w:rtl/>
        </w:rPr>
        <w:t>إ</w:t>
      </w:r>
      <w:r w:rsidRPr="00282AC9">
        <w:rPr>
          <w:rFonts w:hint="cs"/>
          <w:sz w:val="27"/>
          <w:rtl/>
        </w:rPr>
        <w:t>ن التعبير الأو</w:t>
      </w:r>
      <w:r w:rsidR="0046295D" w:rsidRPr="00282AC9">
        <w:rPr>
          <w:rFonts w:hint="cs"/>
          <w:sz w:val="27"/>
          <w:rtl/>
        </w:rPr>
        <w:t>ّ</w:t>
      </w:r>
      <w:r w:rsidRPr="00282AC9">
        <w:rPr>
          <w:rFonts w:hint="cs"/>
          <w:sz w:val="27"/>
          <w:rtl/>
        </w:rPr>
        <w:t>ل أعم</w:t>
      </w:r>
      <w:r w:rsidR="0046295D" w:rsidRPr="00282AC9">
        <w:rPr>
          <w:rFonts w:hint="cs"/>
          <w:sz w:val="27"/>
          <w:rtl/>
        </w:rPr>
        <w:t>ّ</w:t>
      </w:r>
      <w:r w:rsidRPr="00282AC9">
        <w:rPr>
          <w:rFonts w:hint="cs"/>
          <w:sz w:val="27"/>
          <w:rtl/>
        </w:rPr>
        <w:t xml:space="preserve"> من توبة المرتد</w:t>
      </w:r>
      <w:r w:rsidR="0046295D" w:rsidRPr="00282AC9">
        <w:rPr>
          <w:rFonts w:hint="cs"/>
          <w:sz w:val="27"/>
          <w:rtl/>
        </w:rPr>
        <w:t>ّ</w:t>
      </w:r>
      <w:r w:rsidRPr="00282AC9">
        <w:rPr>
          <w:rFonts w:hint="cs"/>
          <w:sz w:val="27"/>
          <w:rtl/>
        </w:rPr>
        <w:t xml:space="preserve"> وعدمها، بمعنى أنه لا يطلب من المرتد</w:t>
      </w:r>
      <w:r w:rsidR="0046295D" w:rsidRPr="00282AC9">
        <w:rPr>
          <w:rFonts w:hint="cs"/>
          <w:sz w:val="27"/>
          <w:rtl/>
        </w:rPr>
        <w:t>ّ</w:t>
      </w:r>
      <w:r w:rsidRPr="00282AC9">
        <w:rPr>
          <w:rFonts w:hint="cs"/>
          <w:sz w:val="27"/>
          <w:rtl/>
        </w:rPr>
        <w:t xml:space="preserve"> أن يتوب، </w:t>
      </w:r>
      <w:r w:rsidR="00674EF5" w:rsidRPr="00282AC9">
        <w:rPr>
          <w:rFonts w:hint="cs"/>
          <w:sz w:val="27"/>
          <w:rtl/>
        </w:rPr>
        <w:t>بَيْدَ</w:t>
      </w:r>
      <w:r w:rsidRPr="00282AC9">
        <w:rPr>
          <w:rFonts w:hint="cs"/>
          <w:sz w:val="27"/>
          <w:rtl/>
        </w:rPr>
        <w:t xml:space="preserve"> أنه في حالة التوبة لا يكون لسان الروايات ناظراً إليها.</w:t>
      </w:r>
    </w:p>
    <w:p w:rsidR="005A1BD7" w:rsidRPr="00282AC9" w:rsidRDefault="0046295D" w:rsidP="00C75E73">
      <w:pPr>
        <w:rPr>
          <w:sz w:val="27"/>
          <w:rtl/>
        </w:rPr>
      </w:pPr>
      <w:r w:rsidRPr="00282AC9">
        <w:rPr>
          <w:rFonts w:hint="cs"/>
          <w:b/>
          <w:bCs/>
          <w:sz w:val="27"/>
          <w:rtl/>
        </w:rPr>
        <w:t>وفي الجواب عن دليل</w:t>
      </w:r>
      <w:r w:rsidR="005A1BD7" w:rsidRPr="00282AC9">
        <w:rPr>
          <w:rFonts w:hint="cs"/>
          <w:b/>
          <w:bCs/>
          <w:sz w:val="27"/>
          <w:rtl/>
        </w:rPr>
        <w:t xml:space="preserve"> الاستصحاب</w:t>
      </w:r>
      <w:r w:rsidR="005A1BD7" w:rsidRPr="00282AC9">
        <w:rPr>
          <w:rFonts w:hint="cs"/>
          <w:sz w:val="27"/>
          <w:rtl/>
        </w:rPr>
        <w:t xml:space="preserve"> يمكن القول: إنه مع تغيّ</w:t>
      </w:r>
      <w:r w:rsidRPr="00282AC9">
        <w:rPr>
          <w:rFonts w:hint="cs"/>
          <w:sz w:val="27"/>
          <w:rtl/>
        </w:rPr>
        <w:t>ُ</w:t>
      </w:r>
      <w:r w:rsidR="005A1BD7" w:rsidRPr="00282AC9">
        <w:rPr>
          <w:rFonts w:hint="cs"/>
          <w:sz w:val="27"/>
          <w:rtl/>
        </w:rPr>
        <w:t>ر الموضوع لا يمكن استصحاب بقاء الحكم، كما ذكر ذلك الكثير من الفقهاء</w:t>
      </w:r>
      <w:r w:rsidRPr="00282AC9">
        <w:rPr>
          <w:rFonts w:hint="cs"/>
          <w:sz w:val="27"/>
          <w:rtl/>
        </w:rPr>
        <w:t>؛</w:t>
      </w:r>
      <w:r w:rsidR="005A1BD7" w:rsidRPr="00282AC9">
        <w:rPr>
          <w:rFonts w:hint="cs"/>
          <w:sz w:val="27"/>
          <w:rtl/>
        </w:rPr>
        <w:t xml:space="preserve"> وذلك لأن الحكم بنجاسته كان يستند إلى موضوع الكفر، والآن قد انتفى هذا الموضوع</w:t>
      </w:r>
      <w:r w:rsidRPr="00282AC9">
        <w:rPr>
          <w:rFonts w:hint="cs"/>
          <w:sz w:val="27"/>
          <w:rtl/>
        </w:rPr>
        <w:t>،</w:t>
      </w:r>
      <w:r w:rsidR="005A1BD7" w:rsidRPr="00282AC9">
        <w:rPr>
          <w:rFonts w:hint="cs"/>
          <w:sz w:val="27"/>
          <w:rtl/>
        </w:rPr>
        <w:t xml:space="preserve"> ولا يصدق عنوان الكفر على هذا الشخص</w:t>
      </w:r>
      <w:r w:rsidRPr="00282AC9">
        <w:rPr>
          <w:rFonts w:hint="cs"/>
          <w:sz w:val="27"/>
          <w:rtl/>
        </w:rPr>
        <w:t>.</w:t>
      </w:r>
      <w:r w:rsidR="005A1BD7" w:rsidRPr="00282AC9">
        <w:rPr>
          <w:rFonts w:hint="cs"/>
          <w:sz w:val="27"/>
          <w:rtl/>
        </w:rPr>
        <w:t xml:space="preserve"> وعلى هذا الأساس لا يصحّ إجراء أصل الاستصحاب مع تغيّ</w:t>
      </w:r>
      <w:r w:rsidRPr="00282AC9">
        <w:rPr>
          <w:rFonts w:hint="cs"/>
          <w:sz w:val="27"/>
          <w:rtl/>
        </w:rPr>
        <w:t>ُ</w:t>
      </w:r>
      <w:r w:rsidR="005A1BD7" w:rsidRPr="00282AC9">
        <w:rPr>
          <w:rFonts w:hint="cs"/>
          <w:sz w:val="27"/>
          <w:rtl/>
        </w:rPr>
        <w:t>ر الموضوع</w:t>
      </w:r>
      <w:r w:rsidRPr="00282AC9">
        <w:rPr>
          <w:rFonts w:hint="cs"/>
          <w:sz w:val="27"/>
          <w:rtl/>
        </w:rPr>
        <w:t>؛</w:t>
      </w:r>
      <w:r w:rsidR="005A1BD7" w:rsidRPr="00282AC9">
        <w:rPr>
          <w:rFonts w:hint="cs"/>
          <w:sz w:val="27"/>
          <w:rtl/>
        </w:rPr>
        <w:t xml:space="preserve"> إذ مع الالتفات إلى توبة الشخص المرتد</w:t>
      </w:r>
      <w:r w:rsidRPr="00282AC9">
        <w:rPr>
          <w:rFonts w:hint="cs"/>
          <w:sz w:val="27"/>
          <w:rtl/>
        </w:rPr>
        <w:t>ّ</w:t>
      </w:r>
      <w:r w:rsidR="005A1BD7" w:rsidRPr="00282AC9">
        <w:rPr>
          <w:rFonts w:hint="cs"/>
          <w:sz w:val="27"/>
          <w:rtl/>
        </w:rPr>
        <w:t xml:space="preserve"> يكون قد تغيّ</w:t>
      </w:r>
      <w:r w:rsidRPr="00282AC9">
        <w:rPr>
          <w:rFonts w:hint="cs"/>
          <w:sz w:val="27"/>
          <w:rtl/>
        </w:rPr>
        <w:t>َ</w:t>
      </w:r>
      <w:r w:rsidR="005A1BD7" w:rsidRPr="00282AC9">
        <w:rPr>
          <w:rFonts w:hint="cs"/>
          <w:sz w:val="27"/>
          <w:rtl/>
        </w:rPr>
        <w:t>ر عنوان الكفر إلى الإسلام</w:t>
      </w:r>
      <w:r w:rsidRPr="00282AC9">
        <w:rPr>
          <w:rFonts w:hint="cs"/>
          <w:sz w:val="27"/>
          <w:rtl/>
        </w:rPr>
        <w:t>.</w:t>
      </w:r>
      <w:r w:rsidR="005A1BD7" w:rsidRPr="00282AC9">
        <w:rPr>
          <w:rFonts w:hint="cs"/>
          <w:sz w:val="27"/>
          <w:rtl/>
        </w:rPr>
        <w:t xml:space="preserve"> وعليه</w:t>
      </w:r>
      <w:r w:rsidRPr="00282AC9">
        <w:rPr>
          <w:rFonts w:hint="cs"/>
          <w:sz w:val="27"/>
          <w:rtl/>
        </w:rPr>
        <w:t>؛</w:t>
      </w:r>
      <w:r w:rsidR="005A1BD7" w:rsidRPr="00282AC9">
        <w:rPr>
          <w:rFonts w:hint="cs"/>
          <w:sz w:val="27"/>
          <w:rtl/>
        </w:rPr>
        <w:t xml:space="preserve"> حيث لا يصحّ التمسّ</w:t>
      </w:r>
      <w:r w:rsidRPr="00282AC9">
        <w:rPr>
          <w:rFonts w:hint="cs"/>
          <w:sz w:val="27"/>
          <w:rtl/>
        </w:rPr>
        <w:t>ُ</w:t>
      </w:r>
      <w:r w:rsidR="005A1BD7" w:rsidRPr="00282AC9">
        <w:rPr>
          <w:rFonts w:hint="cs"/>
          <w:sz w:val="27"/>
          <w:rtl/>
        </w:rPr>
        <w:t>ك بالاستصحاب، يجب الاستناد إلى أصل الطهارة، واعتبار المرتد</w:t>
      </w:r>
      <w:r w:rsidRPr="00282AC9">
        <w:rPr>
          <w:rFonts w:hint="cs"/>
          <w:sz w:val="27"/>
          <w:rtl/>
        </w:rPr>
        <w:t>ّ</w:t>
      </w:r>
      <w:r w:rsidR="005A1BD7" w:rsidRPr="00282AC9">
        <w:rPr>
          <w:rFonts w:hint="cs"/>
          <w:sz w:val="27"/>
          <w:rtl/>
        </w:rPr>
        <w:t xml:space="preserve"> التائب طاهراً</w:t>
      </w:r>
      <w:r w:rsidR="005A1BD7" w:rsidRPr="00282AC9">
        <w:rPr>
          <w:sz w:val="27"/>
          <w:vertAlign w:val="superscript"/>
          <w:rtl/>
        </w:rPr>
        <w:t>(</w:t>
      </w:r>
      <w:r w:rsidR="005A1BD7" w:rsidRPr="00282AC9">
        <w:rPr>
          <w:rStyle w:val="af9"/>
          <w:sz w:val="27"/>
          <w:rtl/>
        </w:rPr>
        <w:endnoteReference w:id="275"/>
      </w:r>
      <w:r w:rsidR="005A1BD7" w:rsidRPr="00282AC9">
        <w:rPr>
          <w:sz w:val="27"/>
          <w:vertAlign w:val="superscript"/>
          <w:rtl/>
        </w:rPr>
        <w:t>)</w:t>
      </w:r>
      <w:r w:rsidR="005A1BD7" w:rsidRPr="00282AC9">
        <w:rPr>
          <w:rFonts w:hint="cs"/>
          <w:sz w:val="27"/>
          <w:rtl/>
        </w:rPr>
        <w:t>.</w:t>
      </w:r>
    </w:p>
    <w:p w:rsidR="004325D7" w:rsidRPr="00282AC9" w:rsidRDefault="004325D7" w:rsidP="00C75E73">
      <w:pPr>
        <w:rPr>
          <w:sz w:val="27"/>
          <w:rtl/>
        </w:rPr>
      </w:pPr>
      <w:r w:rsidRPr="00282AC9">
        <w:rPr>
          <w:rFonts w:hint="cs"/>
          <w:b/>
          <w:bCs/>
          <w:sz w:val="27"/>
          <w:rtl/>
        </w:rPr>
        <w:t>وفي الجواب عن الاستدلال ب</w:t>
      </w:r>
      <w:r w:rsidR="005A1BD7" w:rsidRPr="00282AC9">
        <w:rPr>
          <w:rFonts w:hint="cs"/>
          <w:b/>
          <w:bCs/>
          <w:sz w:val="27"/>
          <w:rtl/>
        </w:rPr>
        <w:t>رواية محمد بن مسلم</w:t>
      </w:r>
      <w:r w:rsidR="005A1BD7" w:rsidRPr="00282AC9">
        <w:rPr>
          <w:rFonts w:hint="cs"/>
          <w:sz w:val="27"/>
          <w:rtl/>
        </w:rPr>
        <w:t xml:space="preserve"> يجب القول: لا يمكن إثبات بقاء تلك الأحكام الثلاثة في مورد الشخص الذي يتوب قبل إقامة البيّ</w:t>
      </w:r>
      <w:r w:rsidRPr="00282AC9">
        <w:rPr>
          <w:rFonts w:hint="cs"/>
          <w:sz w:val="27"/>
          <w:rtl/>
        </w:rPr>
        <w:t>ِنة عليه.</w:t>
      </w:r>
    </w:p>
    <w:p w:rsidR="004325D7" w:rsidRPr="00282AC9" w:rsidRDefault="005A1BD7" w:rsidP="00C75E73">
      <w:pPr>
        <w:rPr>
          <w:sz w:val="27"/>
          <w:rtl/>
        </w:rPr>
      </w:pPr>
      <w:r w:rsidRPr="00282AC9">
        <w:rPr>
          <w:rFonts w:hint="cs"/>
          <w:sz w:val="27"/>
          <w:rtl/>
        </w:rPr>
        <w:t>و</w:t>
      </w:r>
      <w:r w:rsidR="00674EF5" w:rsidRPr="00282AC9">
        <w:rPr>
          <w:rFonts w:hint="cs"/>
          <w:sz w:val="27"/>
          <w:rtl/>
        </w:rPr>
        <w:t>لا بُدَّ</w:t>
      </w:r>
      <w:r w:rsidRPr="00282AC9">
        <w:rPr>
          <w:rFonts w:hint="cs"/>
          <w:sz w:val="27"/>
          <w:rtl/>
        </w:rPr>
        <w:t xml:space="preserve"> أو</w:t>
      </w:r>
      <w:r w:rsidR="004325D7" w:rsidRPr="00282AC9">
        <w:rPr>
          <w:rFonts w:hint="cs"/>
          <w:sz w:val="27"/>
          <w:rtl/>
        </w:rPr>
        <w:t>ّ</w:t>
      </w:r>
      <w:r w:rsidRPr="00282AC9">
        <w:rPr>
          <w:rFonts w:hint="cs"/>
          <w:sz w:val="27"/>
          <w:rtl/>
        </w:rPr>
        <w:t>لاً من ذكر نصّ الرواية، ثم</w:t>
      </w:r>
      <w:r w:rsidR="004325D7" w:rsidRPr="00282AC9">
        <w:rPr>
          <w:rFonts w:hint="cs"/>
          <w:sz w:val="27"/>
          <w:rtl/>
        </w:rPr>
        <w:t>ّ</w:t>
      </w:r>
      <w:r w:rsidRPr="00282AC9">
        <w:rPr>
          <w:rFonts w:hint="cs"/>
          <w:sz w:val="27"/>
          <w:rtl/>
        </w:rPr>
        <w:t xml:space="preserve"> العمل على طرح الأدل</w:t>
      </w:r>
      <w:r w:rsidR="004325D7" w:rsidRPr="00282AC9">
        <w:rPr>
          <w:rFonts w:hint="cs"/>
          <w:sz w:val="27"/>
          <w:rtl/>
        </w:rPr>
        <w:t>ّة:</w:t>
      </w:r>
    </w:p>
    <w:p w:rsidR="005A1BD7" w:rsidRPr="00282AC9" w:rsidRDefault="005A1BD7" w:rsidP="00C75E73">
      <w:pPr>
        <w:rPr>
          <w:sz w:val="27"/>
          <w:rtl/>
        </w:rPr>
      </w:pPr>
      <w:r w:rsidRPr="00282AC9">
        <w:rPr>
          <w:rFonts w:hint="eastAsia"/>
          <w:sz w:val="24"/>
          <w:szCs w:val="24"/>
          <w:rtl/>
        </w:rPr>
        <w:t>«</w:t>
      </w:r>
      <w:r w:rsidRPr="00282AC9">
        <w:rPr>
          <w:rFonts w:hint="cs"/>
          <w:sz w:val="27"/>
          <w:rtl/>
        </w:rPr>
        <w:t>سألت</w:t>
      </w:r>
      <w:r w:rsidR="004325D7" w:rsidRPr="00282AC9">
        <w:rPr>
          <w:rFonts w:hint="cs"/>
          <w:sz w:val="27"/>
          <w:rtl/>
        </w:rPr>
        <w:t>ُ</w:t>
      </w:r>
      <w:r w:rsidRPr="00282AC9">
        <w:rPr>
          <w:rFonts w:hint="cs"/>
          <w:sz w:val="27"/>
          <w:rtl/>
        </w:rPr>
        <w:t xml:space="preserve"> أبا جعفر</w:t>
      </w:r>
      <w:r w:rsidR="009A2A04" w:rsidRPr="00282AC9">
        <w:rPr>
          <w:rFonts w:cs="Mosawi"/>
          <w:sz w:val="22"/>
          <w:szCs w:val="22"/>
          <w:rtl/>
        </w:rPr>
        <w:t>×</w:t>
      </w:r>
      <w:r w:rsidRPr="00282AC9">
        <w:rPr>
          <w:sz w:val="27"/>
          <w:rtl/>
        </w:rPr>
        <w:t xml:space="preserve"> </w:t>
      </w:r>
      <w:r w:rsidRPr="00282AC9">
        <w:rPr>
          <w:rFonts w:hint="cs"/>
          <w:sz w:val="27"/>
          <w:rtl/>
        </w:rPr>
        <w:t>عن المرتد</w:t>
      </w:r>
      <w:r w:rsidR="004325D7" w:rsidRPr="00282AC9">
        <w:rPr>
          <w:rFonts w:hint="cs"/>
          <w:sz w:val="27"/>
          <w:rtl/>
        </w:rPr>
        <w:t>ّ؟</w:t>
      </w:r>
      <w:r w:rsidRPr="00282AC9">
        <w:rPr>
          <w:sz w:val="27"/>
          <w:rtl/>
        </w:rPr>
        <w:t xml:space="preserve"> </w:t>
      </w:r>
      <w:r w:rsidRPr="00282AC9">
        <w:rPr>
          <w:rFonts w:hint="cs"/>
          <w:sz w:val="27"/>
          <w:rtl/>
        </w:rPr>
        <w:t>فقال:</w:t>
      </w:r>
      <w:r w:rsidRPr="00282AC9">
        <w:rPr>
          <w:sz w:val="27"/>
          <w:rtl/>
        </w:rPr>
        <w:t xml:space="preserve"> </w:t>
      </w:r>
      <w:r w:rsidRPr="00282AC9">
        <w:rPr>
          <w:rFonts w:hint="cs"/>
          <w:sz w:val="27"/>
          <w:rtl/>
        </w:rPr>
        <w:t>م</w:t>
      </w:r>
      <w:r w:rsidR="004325D7" w:rsidRPr="00282AC9">
        <w:rPr>
          <w:rFonts w:hint="cs"/>
          <w:sz w:val="27"/>
          <w:rtl/>
        </w:rPr>
        <w:t>َ</w:t>
      </w:r>
      <w:r w:rsidRPr="00282AC9">
        <w:rPr>
          <w:rFonts w:hint="cs"/>
          <w:sz w:val="27"/>
          <w:rtl/>
        </w:rPr>
        <w:t>ن</w:t>
      </w:r>
      <w:r w:rsidR="004325D7" w:rsidRPr="00282AC9">
        <w:rPr>
          <w:rFonts w:hint="cs"/>
          <w:sz w:val="27"/>
          <w:rtl/>
        </w:rPr>
        <w:t>ْ</w:t>
      </w:r>
      <w:r w:rsidRPr="00282AC9">
        <w:rPr>
          <w:rFonts w:hint="cs"/>
          <w:sz w:val="27"/>
          <w:rtl/>
        </w:rPr>
        <w:t xml:space="preserve"> رغب عن الإسلام، وكفر بما أ</w:t>
      </w:r>
      <w:r w:rsidR="004325D7" w:rsidRPr="00282AC9">
        <w:rPr>
          <w:rFonts w:hint="cs"/>
          <w:sz w:val="27"/>
          <w:rtl/>
        </w:rPr>
        <w:t>ُ</w:t>
      </w:r>
      <w:r w:rsidRPr="00282AC9">
        <w:rPr>
          <w:rFonts w:hint="cs"/>
          <w:sz w:val="27"/>
          <w:rtl/>
        </w:rPr>
        <w:t>نزل على محم</w:t>
      </w:r>
      <w:r w:rsidR="004325D7" w:rsidRPr="00282AC9">
        <w:rPr>
          <w:rFonts w:hint="cs"/>
          <w:sz w:val="27"/>
          <w:rtl/>
        </w:rPr>
        <w:t>ّ</w:t>
      </w:r>
      <w:r w:rsidRPr="00282AC9">
        <w:rPr>
          <w:rFonts w:hint="cs"/>
          <w:sz w:val="27"/>
          <w:rtl/>
        </w:rPr>
        <w:t>د</w:t>
      </w:r>
      <w:r w:rsidR="004325D7" w:rsidRPr="00282AC9">
        <w:rPr>
          <w:rFonts w:hint="cs"/>
          <w:sz w:val="27"/>
          <w:rtl/>
        </w:rPr>
        <w:t>ٍ</w:t>
      </w:r>
      <w:r w:rsidR="009A2A04" w:rsidRPr="00282AC9">
        <w:rPr>
          <w:rFonts w:cs="Mosawi" w:hint="cs"/>
          <w:sz w:val="22"/>
          <w:szCs w:val="22"/>
          <w:rtl/>
        </w:rPr>
        <w:t>|</w:t>
      </w:r>
      <w:r w:rsidR="004325D7" w:rsidRPr="00282AC9">
        <w:rPr>
          <w:rFonts w:hint="cs"/>
          <w:sz w:val="27"/>
          <w:rtl/>
        </w:rPr>
        <w:t>،</w:t>
      </w:r>
      <w:r w:rsidRPr="00282AC9">
        <w:rPr>
          <w:rFonts w:hint="cs"/>
          <w:sz w:val="27"/>
          <w:rtl/>
        </w:rPr>
        <w:t xml:space="preserve"> بعد إسلامه، فلا توبة له، وقد وجب قتله، وبان</w:t>
      </w:r>
      <w:r w:rsidR="004325D7" w:rsidRPr="00282AC9">
        <w:rPr>
          <w:rFonts w:hint="cs"/>
          <w:sz w:val="27"/>
          <w:rtl/>
        </w:rPr>
        <w:t>َ</w:t>
      </w:r>
      <w:r w:rsidRPr="00282AC9">
        <w:rPr>
          <w:rFonts w:hint="cs"/>
          <w:sz w:val="27"/>
          <w:rtl/>
        </w:rPr>
        <w:t>ت</w:t>
      </w:r>
      <w:r w:rsidR="004325D7" w:rsidRPr="00282AC9">
        <w:rPr>
          <w:rFonts w:hint="cs"/>
          <w:sz w:val="27"/>
          <w:rtl/>
        </w:rPr>
        <w:t>ْ</w:t>
      </w:r>
      <w:r w:rsidRPr="00282AC9">
        <w:rPr>
          <w:rFonts w:hint="cs"/>
          <w:sz w:val="27"/>
          <w:rtl/>
        </w:rPr>
        <w:t xml:space="preserve"> منه </w:t>
      </w:r>
      <w:r w:rsidR="004325D7" w:rsidRPr="00282AC9">
        <w:rPr>
          <w:rFonts w:hint="cs"/>
          <w:sz w:val="27"/>
          <w:rtl/>
        </w:rPr>
        <w:t>ا</w:t>
      </w:r>
      <w:r w:rsidRPr="00282AC9">
        <w:rPr>
          <w:rFonts w:hint="cs"/>
          <w:sz w:val="27"/>
          <w:rtl/>
        </w:rPr>
        <w:t>مرأته، ويقسّ</w:t>
      </w:r>
      <w:r w:rsidR="004325D7" w:rsidRPr="00282AC9">
        <w:rPr>
          <w:rFonts w:hint="cs"/>
          <w:sz w:val="27"/>
          <w:rtl/>
        </w:rPr>
        <w:t>َ</w:t>
      </w:r>
      <w:r w:rsidRPr="00282AC9">
        <w:rPr>
          <w:rFonts w:hint="cs"/>
          <w:sz w:val="27"/>
          <w:rtl/>
        </w:rPr>
        <w:t>م ما ترك على وُل</w:t>
      </w:r>
      <w:r w:rsidR="004325D7" w:rsidRPr="00282AC9">
        <w:rPr>
          <w:rFonts w:hint="cs"/>
          <w:sz w:val="27"/>
          <w:rtl/>
        </w:rPr>
        <w:t>ْ</w:t>
      </w:r>
      <w:r w:rsidRPr="00282AC9">
        <w:rPr>
          <w:rFonts w:hint="cs"/>
          <w:sz w:val="27"/>
          <w:rtl/>
        </w:rPr>
        <w:t>ده</w:t>
      </w:r>
      <w:r w:rsidRPr="00282AC9">
        <w:rPr>
          <w:rFonts w:hint="eastAsia"/>
          <w:sz w:val="24"/>
          <w:szCs w:val="24"/>
          <w:rtl/>
        </w:rPr>
        <w:t>»</w:t>
      </w:r>
      <w:r w:rsidRPr="00282AC9">
        <w:rPr>
          <w:sz w:val="27"/>
          <w:vertAlign w:val="superscript"/>
          <w:rtl/>
        </w:rPr>
        <w:t>(</w:t>
      </w:r>
      <w:r w:rsidRPr="00282AC9">
        <w:rPr>
          <w:sz w:val="27"/>
          <w:vertAlign w:val="superscript"/>
          <w:rtl/>
        </w:rPr>
        <w:endnoteReference w:id="276"/>
      </w:r>
      <w:r w:rsidRPr="00282AC9">
        <w:rPr>
          <w:sz w:val="27"/>
          <w:vertAlign w:val="superscript"/>
          <w:rtl/>
        </w:rPr>
        <w:t>)</w:t>
      </w:r>
      <w:r w:rsidRPr="00282AC9">
        <w:rPr>
          <w:rFonts w:hint="cs"/>
          <w:sz w:val="27"/>
          <w:rtl/>
        </w:rPr>
        <w:t xml:space="preserve">. </w:t>
      </w:r>
    </w:p>
    <w:p w:rsidR="004325D7" w:rsidRPr="00282AC9" w:rsidRDefault="005A1BD7" w:rsidP="00C75E73">
      <w:pPr>
        <w:rPr>
          <w:sz w:val="27"/>
          <w:rtl/>
        </w:rPr>
      </w:pPr>
      <w:r w:rsidRPr="00282AC9">
        <w:rPr>
          <w:rFonts w:hint="cs"/>
          <w:sz w:val="27"/>
          <w:rtl/>
        </w:rPr>
        <w:t>بعد ملاحظة هذا الكلام المطلق من ق</w:t>
      </w:r>
      <w:r w:rsidR="004325D7" w:rsidRPr="00282AC9">
        <w:rPr>
          <w:rFonts w:hint="cs"/>
          <w:sz w:val="27"/>
          <w:rtl/>
        </w:rPr>
        <w:t>ِ</w:t>
      </w:r>
      <w:r w:rsidRPr="00282AC9">
        <w:rPr>
          <w:rFonts w:hint="cs"/>
          <w:sz w:val="27"/>
          <w:rtl/>
        </w:rPr>
        <w:t>ب</w:t>
      </w:r>
      <w:r w:rsidR="004325D7" w:rsidRPr="00282AC9">
        <w:rPr>
          <w:rFonts w:hint="cs"/>
          <w:sz w:val="27"/>
          <w:rtl/>
        </w:rPr>
        <w:t>َ</w:t>
      </w:r>
      <w:r w:rsidRPr="00282AC9">
        <w:rPr>
          <w:rFonts w:hint="cs"/>
          <w:sz w:val="27"/>
          <w:rtl/>
        </w:rPr>
        <w:t>ل الإمام</w:t>
      </w:r>
      <w:r w:rsidR="009A2A04" w:rsidRPr="00282AC9">
        <w:rPr>
          <w:rFonts w:cs="Mosawi" w:hint="cs"/>
          <w:sz w:val="22"/>
          <w:szCs w:val="22"/>
          <w:rtl/>
        </w:rPr>
        <w:t>×</w:t>
      </w:r>
      <w:r w:rsidRPr="00282AC9">
        <w:rPr>
          <w:rFonts w:hint="cs"/>
          <w:sz w:val="27"/>
          <w:rtl/>
        </w:rPr>
        <w:t xml:space="preserve"> يمكن القول: إن هذه الرواية تشتمل على عموم</w:t>
      </w:r>
      <w:r w:rsidR="004325D7" w:rsidRPr="00282AC9">
        <w:rPr>
          <w:rFonts w:hint="cs"/>
          <w:sz w:val="27"/>
          <w:rtl/>
        </w:rPr>
        <w:t>ٍ</w:t>
      </w:r>
      <w:r w:rsidRPr="00282AC9">
        <w:rPr>
          <w:rFonts w:hint="cs"/>
          <w:sz w:val="27"/>
          <w:rtl/>
        </w:rPr>
        <w:t>، ولا يُع</w:t>
      </w:r>
      <w:r w:rsidR="004325D7" w:rsidRPr="00282AC9">
        <w:rPr>
          <w:rFonts w:hint="cs"/>
          <w:sz w:val="27"/>
          <w:rtl/>
        </w:rPr>
        <w:t>ْ</w:t>
      </w:r>
      <w:r w:rsidRPr="00282AC9">
        <w:rPr>
          <w:rFonts w:hint="cs"/>
          <w:sz w:val="27"/>
          <w:rtl/>
        </w:rPr>
        <w:t>ل</w:t>
      </w:r>
      <w:r w:rsidR="004325D7" w:rsidRPr="00282AC9">
        <w:rPr>
          <w:rFonts w:hint="cs"/>
          <w:sz w:val="27"/>
          <w:rtl/>
        </w:rPr>
        <w:t>َ</w:t>
      </w:r>
      <w:r w:rsidRPr="00282AC9">
        <w:rPr>
          <w:rFonts w:hint="cs"/>
          <w:sz w:val="27"/>
          <w:rtl/>
        </w:rPr>
        <w:t>م ما إذا كان هذا الحكم متعل</w:t>
      </w:r>
      <w:r w:rsidR="004325D7" w:rsidRPr="00282AC9">
        <w:rPr>
          <w:rFonts w:hint="cs"/>
          <w:sz w:val="27"/>
          <w:rtl/>
        </w:rPr>
        <w:t>ِّ</w:t>
      </w:r>
      <w:r w:rsidRPr="00282AC9">
        <w:rPr>
          <w:rFonts w:hint="cs"/>
          <w:sz w:val="27"/>
          <w:rtl/>
        </w:rPr>
        <w:t>قاً بالمرتد</w:t>
      </w:r>
      <w:r w:rsidR="004325D7" w:rsidRPr="00282AC9">
        <w:rPr>
          <w:rFonts w:hint="cs"/>
          <w:sz w:val="27"/>
          <w:rtl/>
        </w:rPr>
        <w:t>ّ</w:t>
      </w:r>
      <w:r w:rsidRPr="00282AC9">
        <w:rPr>
          <w:rFonts w:hint="cs"/>
          <w:sz w:val="27"/>
          <w:rtl/>
        </w:rPr>
        <w:t xml:space="preserve"> الفطري أم المرتد</w:t>
      </w:r>
      <w:r w:rsidR="004325D7" w:rsidRPr="00282AC9">
        <w:rPr>
          <w:rFonts w:hint="cs"/>
          <w:sz w:val="27"/>
          <w:rtl/>
        </w:rPr>
        <w:t>ّ الملّي.</w:t>
      </w:r>
    </w:p>
    <w:p w:rsidR="004325D7" w:rsidRPr="00282AC9" w:rsidRDefault="005A1BD7" w:rsidP="00C75E73">
      <w:pPr>
        <w:rPr>
          <w:sz w:val="27"/>
          <w:rtl/>
        </w:rPr>
      </w:pPr>
      <w:r w:rsidRPr="00282AC9">
        <w:rPr>
          <w:rFonts w:hint="cs"/>
          <w:b/>
          <w:bCs/>
          <w:sz w:val="27"/>
          <w:rtl/>
        </w:rPr>
        <w:lastRenderedPageBreak/>
        <w:t>فإن</w:t>
      </w:r>
      <w:r w:rsidR="004325D7" w:rsidRPr="00282AC9">
        <w:rPr>
          <w:rFonts w:hint="cs"/>
          <w:b/>
          <w:bCs/>
          <w:sz w:val="27"/>
          <w:rtl/>
        </w:rPr>
        <w:t>ْ</w:t>
      </w:r>
      <w:r w:rsidRPr="00282AC9">
        <w:rPr>
          <w:rFonts w:hint="cs"/>
          <w:b/>
          <w:bCs/>
          <w:sz w:val="27"/>
          <w:rtl/>
        </w:rPr>
        <w:t xml:space="preserve"> قلنا في الجواب</w:t>
      </w:r>
      <w:r w:rsidRPr="00282AC9">
        <w:rPr>
          <w:rFonts w:hint="cs"/>
          <w:sz w:val="27"/>
          <w:rtl/>
        </w:rPr>
        <w:t>: إن مراد هذه الرواية ـ بعد ملاحظة الروايات الأخرى التي تفص</w:t>
      </w:r>
      <w:r w:rsidR="004325D7" w:rsidRPr="00282AC9">
        <w:rPr>
          <w:rFonts w:hint="cs"/>
          <w:sz w:val="27"/>
          <w:rtl/>
        </w:rPr>
        <w:t>ّ</w:t>
      </w:r>
      <w:r w:rsidRPr="00282AC9">
        <w:rPr>
          <w:rFonts w:hint="cs"/>
          <w:sz w:val="27"/>
          <w:rtl/>
        </w:rPr>
        <w:t xml:space="preserve">ل </w:t>
      </w:r>
      <w:r w:rsidR="004325D7" w:rsidRPr="00282AC9">
        <w:rPr>
          <w:rFonts w:hint="cs"/>
          <w:sz w:val="27"/>
          <w:rtl/>
        </w:rPr>
        <w:t xml:space="preserve">بين </w:t>
      </w:r>
      <w:r w:rsidRPr="00282AC9">
        <w:rPr>
          <w:rFonts w:hint="cs"/>
          <w:sz w:val="27"/>
          <w:rtl/>
        </w:rPr>
        <w:t>حكم المرتد</w:t>
      </w:r>
      <w:r w:rsidR="004325D7" w:rsidRPr="00282AC9">
        <w:rPr>
          <w:rFonts w:hint="cs"/>
          <w:sz w:val="27"/>
          <w:rtl/>
        </w:rPr>
        <w:t>ّ</w:t>
      </w:r>
      <w:r w:rsidRPr="00282AC9">
        <w:rPr>
          <w:rFonts w:hint="cs"/>
          <w:sz w:val="27"/>
          <w:rtl/>
        </w:rPr>
        <w:t xml:space="preserve"> الملّي </w:t>
      </w:r>
      <w:r w:rsidR="004325D7" w:rsidRPr="00282AC9">
        <w:rPr>
          <w:rFonts w:hint="cs"/>
          <w:sz w:val="27"/>
          <w:rtl/>
        </w:rPr>
        <w:t>وحكم</w:t>
      </w:r>
      <w:r w:rsidRPr="00282AC9">
        <w:rPr>
          <w:rFonts w:hint="cs"/>
          <w:sz w:val="27"/>
          <w:rtl/>
        </w:rPr>
        <w:t xml:space="preserve"> المرتد</w:t>
      </w:r>
      <w:r w:rsidR="004325D7" w:rsidRPr="00282AC9">
        <w:rPr>
          <w:rFonts w:hint="cs"/>
          <w:sz w:val="27"/>
          <w:rtl/>
        </w:rPr>
        <w:t>ّ</w:t>
      </w:r>
      <w:r w:rsidRPr="00282AC9">
        <w:rPr>
          <w:rFonts w:hint="cs"/>
          <w:sz w:val="27"/>
          <w:rtl/>
        </w:rPr>
        <w:t xml:space="preserve"> الفطري ـ هو المرتد</w:t>
      </w:r>
      <w:r w:rsidR="004325D7" w:rsidRPr="00282AC9">
        <w:rPr>
          <w:rFonts w:hint="cs"/>
          <w:sz w:val="27"/>
          <w:rtl/>
        </w:rPr>
        <w:t>ّ</w:t>
      </w:r>
      <w:r w:rsidRPr="00282AC9">
        <w:rPr>
          <w:rFonts w:hint="cs"/>
          <w:sz w:val="27"/>
          <w:rtl/>
        </w:rPr>
        <w:t xml:space="preserve"> الفطري</w:t>
      </w:r>
      <w:r w:rsidR="004325D7" w:rsidRPr="00282AC9">
        <w:rPr>
          <w:rFonts w:hint="cs"/>
          <w:sz w:val="27"/>
          <w:rtl/>
        </w:rPr>
        <w:t>،</w:t>
      </w:r>
      <w:r w:rsidRPr="00282AC9">
        <w:rPr>
          <w:rFonts w:hint="cs"/>
          <w:sz w:val="27"/>
          <w:rtl/>
        </w:rPr>
        <w:t xml:space="preserve"> دون الملّي</w:t>
      </w:r>
      <w:r w:rsidR="004325D7" w:rsidRPr="00282AC9">
        <w:rPr>
          <w:rFonts w:hint="cs"/>
          <w:sz w:val="27"/>
          <w:rtl/>
        </w:rPr>
        <w:t>.</w:t>
      </w:r>
    </w:p>
    <w:p w:rsidR="00770A4B" w:rsidRPr="00282AC9" w:rsidRDefault="004325D7" w:rsidP="00C75E73">
      <w:pPr>
        <w:rPr>
          <w:sz w:val="27"/>
          <w:rtl/>
        </w:rPr>
      </w:pPr>
      <w:r w:rsidRPr="00282AC9">
        <w:rPr>
          <w:rFonts w:hint="cs"/>
          <w:b/>
          <w:bCs/>
          <w:sz w:val="27"/>
          <w:rtl/>
        </w:rPr>
        <w:t>ف</w:t>
      </w:r>
      <w:r w:rsidR="005A1BD7" w:rsidRPr="00282AC9">
        <w:rPr>
          <w:rFonts w:hint="cs"/>
          <w:b/>
          <w:bCs/>
          <w:sz w:val="27"/>
          <w:rtl/>
        </w:rPr>
        <w:t>سوف نقول</w:t>
      </w:r>
      <w:r w:rsidR="005A1BD7" w:rsidRPr="00282AC9">
        <w:rPr>
          <w:rFonts w:hint="cs"/>
          <w:sz w:val="27"/>
          <w:rtl/>
        </w:rPr>
        <w:t>: مع الالتفات إلى هذه الروايات التي تبيّ</w:t>
      </w:r>
      <w:r w:rsidRPr="00282AC9">
        <w:rPr>
          <w:rFonts w:hint="cs"/>
          <w:sz w:val="27"/>
          <w:rtl/>
        </w:rPr>
        <w:t>ِ</w:t>
      </w:r>
      <w:r w:rsidR="005A1BD7" w:rsidRPr="00282AC9">
        <w:rPr>
          <w:rFonts w:hint="cs"/>
          <w:sz w:val="27"/>
          <w:rtl/>
        </w:rPr>
        <w:t xml:space="preserve">ن المراد من هذه الرواية يجب أن يكون المراد من عبارة </w:t>
      </w:r>
      <w:r w:rsidR="005A1BD7" w:rsidRPr="00282AC9">
        <w:rPr>
          <w:rFonts w:hint="eastAsia"/>
          <w:sz w:val="24"/>
          <w:szCs w:val="24"/>
          <w:rtl/>
        </w:rPr>
        <w:t>«</w:t>
      </w:r>
      <w:r w:rsidR="005A1BD7" w:rsidRPr="00282AC9">
        <w:rPr>
          <w:rFonts w:hint="cs"/>
          <w:sz w:val="27"/>
          <w:rtl/>
        </w:rPr>
        <w:t>فلا توبة له</w:t>
      </w:r>
      <w:r w:rsidR="005A1BD7" w:rsidRPr="00282AC9">
        <w:rPr>
          <w:rFonts w:hint="eastAsia"/>
          <w:sz w:val="24"/>
          <w:szCs w:val="24"/>
          <w:rtl/>
        </w:rPr>
        <w:t>»</w:t>
      </w:r>
      <w:r w:rsidR="005A1BD7" w:rsidRPr="00282AC9">
        <w:rPr>
          <w:rFonts w:hint="cs"/>
          <w:sz w:val="27"/>
          <w:rtl/>
        </w:rPr>
        <w:t xml:space="preserve"> هو </w:t>
      </w:r>
      <w:r w:rsidR="005A1BD7" w:rsidRPr="00282AC9">
        <w:rPr>
          <w:rFonts w:hint="eastAsia"/>
          <w:sz w:val="24"/>
          <w:szCs w:val="24"/>
          <w:rtl/>
        </w:rPr>
        <w:t>«</w:t>
      </w:r>
      <w:r w:rsidR="005A1BD7" w:rsidRPr="00282AC9">
        <w:rPr>
          <w:rFonts w:hint="cs"/>
          <w:sz w:val="27"/>
          <w:rtl/>
        </w:rPr>
        <w:t xml:space="preserve">الاستتابة، ويجب تفسير </w:t>
      </w:r>
      <w:r w:rsidR="005A1BD7" w:rsidRPr="00282AC9">
        <w:rPr>
          <w:rFonts w:hint="eastAsia"/>
          <w:sz w:val="24"/>
          <w:szCs w:val="24"/>
          <w:rtl/>
        </w:rPr>
        <w:t>«</w:t>
      </w:r>
      <w:r w:rsidR="005A1BD7" w:rsidRPr="00282AC9">
        <w:rPr>
          <w:sz w:val="27"/>
          <w:rtl/>
        </w:rPr>
        <w:t>فلا توبة له</w:t>
      </w:r>
      <w:r w:rsidR="005A1BD7" w:rsidRPr="00282AC9">
        <w:rPr>
          <w:rFonts w:hint="eastAsia"/>
          <w:sz w:val="24"/>
          <w:szCs w:val="24"/>
          <w:rtl/>
        </w:rPr>
        <w:t>»</w:t>
      </w:r>
      <w:r w:rsidR="005A1BD7" w:rsidRPr="00282AC9">
        <w:rPr>
          <w:rFonts w:hint="cs"/>
          <w:sz w:val="27"/>
          <w:rtl/>
        </w:rPr>
        <w:t xml:space="preserve"> طبقاً لتلك الرواية المبيّنة أيضاً</w:t>
      </w:r>
      <w:r w:rsidR="008D1884" w:rsidRPr="00282AC9">
        <w:rPr>
          <w:rFonts w:hint="cs"/>
          <w:sz w:val="27"/>
          <w:rtl/>
        </w:rPr>
        <w:t>،</w:t>
      </w:r>
      <w:r w:rsidR="005A1BD7" w:rsidRPr="00282AC9">
        <w:rPr>
          <w:rFonts w:hint="cs"/>
          <w:sz w:val="27"/>
          <w:rtl/>
        </w:rPr>
        <w:t xml:space="preserve"> بمعنى أنه لا يجب على الحاكم الشرعي</w:t>
      </w:r>
      <w:r w:rsidRPr="00282AC9">
        <w:rPr>
          <w:rFonts w:hint="cs"/>
          <w:sz w:val="27"/>
          <w:rtl/>
        </w:rPr>
        <w:t>ّ</w:t>
      </w:r>
      <w:r w:rsidR="005A1BD7" w:rsidRPr="00282AC9">
        <w:rPr>
          <w:rFonts w:hint="cs"/>
          <w:sz w:val="27"/>
          <w:rtl/>
        </w:rPr>
        <w:t xml:space="preserve"> أن يستتيب المرتد</w:t>
      </w:r>
      <w:r w:rsidRPr="00282AC9">
        <w:rPr>
          <w:rFonts w:hint="cs"/>
          <w:sz w:val="27"/>
          <w:rtl/>
        </w:rPr>
        <w:t>ّ</w:t>
      </w:r>
      <w:r w:rsidR="005A1BD7" w:rsidRPr="00282AC9">
        <w:rPr>
          <w:rFonts w:hint="cs"/>
          <w:sz w:val="27"/>
          <w:rtl/>
        </w:rPr>
        <w:t xml:space="preserve"> الفطري كما يستتيب المرتد</w:t>
      </w:r>
      <w:r w:rsidR="00770A4B" w:rsidRPr="00282AC9">
        <w:rPr>
          <w:rFonts w:hint="cs"/>
          <w:sz w:val="27"/>
          <w:rtl/>
        </w:rPr>
        <w:t>ّ</w:t>
      </w:r>
      <w:r w:rsidR="005A1BD7" w:rsidRPr="00282AC9">
        <w:rPr>
          <w:rFonts w:hint="cs"/>
          <w:sz w:val="27"/>
          <w:rtl/>
        </w:rPr>
        <w:t xml:space="preserve"> الملّي أيضاً. وعلى هذا الأساس</w:t>
      </w:r>
      <w:r w:rsidR="00770A4B" w:rsidRPr="00282AC9">
        <w:rPr>
          <w:rFonts w:hint="cs"/>
          <w:sz w:val="27"/>
          <w:rtl/>
        </w:rPr>
        <w:t>؛</w:t>
      </w:r>
      <w:r w:rsidR="005A1BD7" w:rsidRPr="00282AC9">
        <w:rPr>
          <w:rFonts w:hint="cs"/>
          <w:sz w:val="27"/>
          <w:rtl/>
        </w:rPr>
        <w:t xml:space="preserve"> حيث تمّ نفي الاستتابة في الروايات الأخرى، يت</w:t>
      </w:r>
      <w:r w:rsidR="00770A4B" w:rsidRPr="00282AC9">
        <w:rPr>
          <w:rFonts w:hint="cs"/>
          <w:sz w:val="27"/>
          <w:rtl/>
        </w:rPr>
        <w:t>ّ</w:t>
      </w:r>
      <w:r w:rsidR="005A1BD7" w:rsidRPr="00282AC9">
        <w:rPr>
          <w:rFonts w:hint="cs"/>
          <w:sz w:val="27"/>
          <w:rtl/>
        </w:rPr>
        <w:t>ضح أن المراد من التوبة هي الاستتابة بعد إقامة البيّ</w:t>
      </w:r>
      <w:r w:rsidR="00770A4B" w:rsidRPr="00282AC9">
        <w:rPr>
          <w:rFonts w:hint="cs"/>
          <w:sz w:val="27"/>
          <w:rtl/>
        </w:rPr>
        <w:t>ِ</w:t>
      </w:r>
      <w:r w:rsidR="005A1BD7" w:rsidRPr="00282AC9">
        <w:rPr>
          <w:rFonts w:hint="cs"/>
          <w:sz w:val="27"/>
          <w:rtl/>
        </w:rPr>
        <w:t>نة؛ إذ ورد بعد هذه العبارة مباشرة</w:t>
      </w:r>
      <w:r w:rsidR="00770A4B" w:rsidRPr="00282AC9">
        <w:rPr>
          <w:rFonts w:hint="cs"/>
          <w:sz w:val="27"/>
          <w:rtl/>
        </w:rPr>
        <w:t>ً</w:t>
      </w:r>
      <w:r w:rsidR="005A1BD7" w:rsidRPr="00282AC9">
        <w:rPr>
          <w:rFonts w:hint="cs"/>
          <w:sz w:val="27"/>
          <w:rtl/>
        </w:rPr>
        <w:t xml:space="preserve"> ذكر: وجوب القتل، وبينونة الزوجة، وتقسيم الأموال. وإن هذا البيان يُف</w:t>
      </w:r>
      <w:r w:rsidR="00770A4B" w:rsidRPr="00282AC9">
        <w:rPr>
          <w:rFonts w:hint="cs"/>
          <w:sz w:val="27"/>
          <w:rtl/>
        </w:rPr>
        <w:t>ْ</w:t>
      </w:r>
      <w:r w:rsidR="005A1BD7" w:rsidRPr="00282AC9">
        <w:rPr>
          <w:rFonts w:hint="cs"/>
          <w:sz w:val="27"/>
          <w:rtl/>
        </w:rPr>
        <w:t>ه</w:t>
      </w:r>
      <w:r w:rsidR="00770A4B" w:rsidRPr="00282AC9">
        <w:rPr>
          <w:rFonts w:hint="cs"/>
          <w:sz w:val="27"/>
          <w:rtl/>
        </w:rPr>
        <w:t>َ</w:t>
      </w:r>
      <w:r w:rsidR="005A1BD7" w:rsidRPr="00282AC9">
        <w:rPr>
          <w:rFonts w:hint="cs"/>
          <w:sz w:val="27"/>
          <w:rtl/>
        </w:rPr>
        <w:t xml:space="preserve">م منه أن المراد هو نفي استحقاق التوبة، ببيان أن الحاكم الشرعي لا ينتظر توبته، بل يمكنه </w:t>
      </w:r>
      <w:r w:rsidR="00770A4B" w:rsidRPr="00282AC9">
        <w:rPr>
          <w:rFonts w:hint="cs"/>
          <w:sz w:val="27"/>
          <w:rtl/>
        </w:rPr>
        <w:t>أ</w:t>
      </w:r>
      <w:r w:rsidR="005A1BD7" w:rsidRPr="00282AC9">
        <w:rPr>
          <w:rFonts w:hint="cs"/>
          <w:sz w:val="27"/>
          <w:rtl/>
        </w:rPr>
        <w:t>ن يطب</w:t>
      </w:r>
      <w:r w:rsidR="00770A4B" w:rsidRPr="00282AC9">
        <w:rPr>
          <w:rFonts w:hint="cs"/>
          <w:sz w:val="27"/>
          <w:rtl/>
        </w:rPr>
        <w:t>ِّ</w:t>
      </w:r>
      <w:r w:rsidR="005A1BD7" w:rsidRPr="00282AC9">
        <w:rPr>
          <w:rFonts w:hint="cs"/>
          <w:sz w:val="27"/>
          <w:rtl/>
        </w:rPr>
        <w:t>ق عليه حكم القتل وغيره من الأحكام</w:t>
      </w:r>
      <w:r w:rsidR="00770A4B" w:rsidRPr="00282AC9">
        <w:rPr>
          <w:rFonts w:hint="cs"/>
          <w:sz w:val="27"/>
          <w:rtl/>
        </w:rPr>
        <w:t>،</w:t>
      </w:r>
      <w:r w:rsidR="005A1BD7" w:rsidRPr="00282AC9">
        <w:rPr>
          <w:rFonts w:hint="cs"/>
          <w:sz w:val="27"/>
          <w:rtl/>
        </w:rPr>
        <w:t xml:space="preserve"> دون مناقشة ما إذا كان سوف يتوب أم لا، ودون أن يُطالبه بالتوبة</w:t>
      </w:r>
      <w:r w:rsidR="005A1BD7" w:rsidRPr="00282AC9">
        <w:rPr>
          <w:sz w:val="27"/>
          <w:vertAlign w:val="superscript"/>
          <w:rtl/>
        </w:rPr>
        <w:t>(</w:t>
      </w:r>
      <w:r w:rsidR="005A1BD7" w:rsidRPr="00282AC9">
        <w:rPr>
          <w:rStyle w:val="af9"/>
          <w:sz w:val="27"/>
          <w:rtl/>
        </w:rPr>
        <w:endnoteReference w:id="277"/>
      </w:r>
      <w:r w:rsidR="005A1BD7" w:rsidRPr="00282AC9">
        <w:rPr>
          <w:sz w:val="27"/>
          <w:vertAlign w:val="superscript"/>
          <w:rtl/>
        </w:rPr>
        <w:t>)</w:t>
      </w:r>
      <w:r w:rsidR="00770A4B" w:rsidRPr="00282AC9">
        <w:rPr>
          <w:rFonts w:hint="cs"/>
          <w:sz w:val="27"/>
          <w:rtl/>
        </w:rPr>
        <w:t>.</w:t>
      </w:r>
    </w:p>
    <w:p w:rsidR="00770A4B" w:rsidRPr="00282AC9" w:rsidRDefault="005A1BD7" w:rsidP="00C75E73">
      <w:pPr>
        <w:rPr>
          <w:sz w:val="27"/>
          <w:rtl/>
        </w:rPr>
      </w:pPr>
      <w:r w:rsidRPr="00282AC9">
        <w:rPr>
          <w:rFonts w:hint="cs"/>
          <w:sz w:val="27"/>
          <w:rtl/>
        </w:rPr>
        <w:t>ولذلك فإن الإمام الخميني</w:t>
      </w:r>
      <w:r w:rsidR="009A2A04" w:rsidRPr="00282AC9">
        <w:rPr>
          <w:rFonts w:cs="Mosawi" w:hint="cs"/>
          <w:sz w:val="22"/>
          <w:szCs w:val="22"/>
          <w:rtl/>
        </w:rPr>
        <w:t>&amp;</w:t>
      </w:r>
      <w:r w:rsidRPr="00282AC9">
        <w:rPr>
          <w:rFonts w:hint="cs"/>
          <w:sz w:val="27"/>
          <w:rtl/>
        </w:rPr>
        <w:t xml:space="preserve"> رفض إطلاق الرواية (بمعنى أنه قد فسّ</w:t>
      </w:r>
      <w:r w:rsidR="00770A4B" w:rsidRPr="00282AC9">
        <w:rPr>
          <w:rFonts w:hint="cs"/>
          <w:sz w:val="27"/>
          <w:rtl/>
        </w:rPr>
        <w:t>َ</w:t>
      </w:r>
      <w:r w:rsidRPr="00282AC9">
        <w:rPr>
          <w:rFonts w:hint="cs"/>
          <w:sz w:val="27"/>
          <w:rtl/>
        </w:rPr>
        <w:t xml:space="preserve">ر عبارة </w:t>
      </w:r>
      <w:r w:rsidRPr="00282AC9">
        <w:rPr>
          <w:rFonts w:hint="eastAsia"/>
          <w:sz w:val="24"/>
          <w:szCs w:val="24"/>
          <w:rtl/>
        </w:rPr>
        <w:t>«</w:t>
      </w:r>
      <w:r w:rsidRPr="00282AC9">
        <w:rPr>
          <w:rFonts w:hint="cs"/>
          <w:sz w:val="27"/>
          <w:rtl/>
        </w:rPr>
        <w:t>فلا توبة له</w:t>
      </w:r>
      <w:r w:rsidRPr="00282AC9">
        <w:rPr>
          <w:rFonts w:hint="eastAsia"/>
          <w:sz w:val="24"/>
          <w:szCs w:val="24"/>
          <w:rtl/>
        </w:rPr>
        <w:t>»</w:t>
      </w:r>
      <w:r w:rsidRPr="00282AC9">
        <w:rPr>
          <w:rFonts w:hint="cs"/>
          <w:sz w:val="27"/>
          <w:rtl/>
        </w:rPr>
        <w:t xml:space="preserve"> بمعنى </w:t>
      </w:r>
      <w:r w:rsidRPr="00282AC9">
        <w:rPr>
          <w:rFonts w:hint="eastAsia"/>
          <w:sz w:val="24"/>
          <w:szCs w:val="24"/>
          <w:rtl/>
        </w:rPr>
        <w:t>«</w:t>
      </w:r>
      <w:r w:rsidRPr="00282AC9">
        <w:rPr>
          <w:rFonts w:hint="cs"/>
          <w:sz w:val="27"/>
          <w:rtl/>
        </w:rPr>
        <w:t>لا يُستتاب</w:t>
      </w:r>
      <w:r w:rsidRPr="00282AC9">
        <w:rPr>
          <w:rFonts w:hint="eastAsia"/>
          <w:sz w:val="24"/>
          <w:szCs w:val="24"/>
          <w:rtl/>
        </w:rPr>
        <w:t>»</w:t>
      </w:r>
      <w:r w:rsidRPr="00282AC9">
        <w:rPr>
          <w:rFonts w:hint="cs"/>
          <w:sz w:val="27"/>
          <w:rtl/>
        </w:rPr>
        <w:t>)، بل اعتبرها مثل سائر الروايات الأخرى</w:t>
      </w:r>
      <w:r w:rsidR="00770A4B" w:rsidRPr="00282AC9">
        <w:rPr>
          <w:rFonts w:hint="cs"/>
          <w:sz w:val="27"/>
          <w:rtl/>
        </w:rPr>
        <w:t>،</w:t>
      </w:r>
      <w:r w:rsidRPr="00282AC9">
        <w:rPr>
          <w:rFonts w:hint="cs"/>
          <w:sz w:val="27"/>
          <w:rtl/>
        </w:rPr>
        <w:t xml:space="preserve"> التي كانت تدلّ على أن المرتد</w:t>
      </w:r>
      <w:r w:rsidR="00770A4B" w:rsidRPr="00282AC9">
        <w:rPr>
          <w:rFonts w:hint="cs"/>
          <w:sz w:val="27"/>
          <w:rtl/>
        </w:rPr>
        <w:t>ّ</w:t>
      </w:r>
      <w:r w:rsidRPr="00282AC9">
        <w:rPr>
          <w:rFonts w:hint="cs"/>
          <w:sz w:val="27"/>
          <w:rtl/>
        </w:rPr>
        <w:t xml:space="preserve"> الملّي يُستتاب ولا يُق</w:t>
      </w:r>
      <w:r w:rsidR="00770A4B" w:rsidRPr="00282AC9">
        <w:rPr>
          <w:rFonts w:hint="cs"/>
          <w:sz w:val="27"/>
          <w:rtl/>
        </w:rPr>
        <w:t>ْ</w:t>
      </w:r>
      <w:r w:rsidRPr="00282AC9">
        <w:rPr>
          <w:rFonts w:hint="cs"/>
          <w:sz w:val="27"/>
          <w:rtl/>
        </w:rPr>
        <w:t>ت</w:t>
      </w:r>
      <w:r w:rsidR="00770A4B" w:rsidRPr="00282AC9">
        <w:rPr>
          <w:rFonts w:hint="cs"/>
          <w:sz w:val="27"/>
          <w:rtl/>
        </w:rPr>
        <w:t>َ</w:t>
      </w:r>
      <w:r w:rsidRPr="00282AC9">
        <w:rPr>
          <w:rFonts w:hint="cs"/>
          <w:sz w:val="27"/>
          <w:rtl/>
        </w:rPr>
        <w:t>ل، وأما المرتد</w:t>
      </w:r>
      <w:r w:rsidR="00770A4B" w:rsidRPr="00282AC9">
        <w:rPr>
          <w:rFonts w:hint="cs"/>
          <w:sz w:val="27"/>
          <w:rtl/>
        </w:rPr>
        <w:t>ّ</w:t>
      </w:r>
      <w:r w:rsidRPr="00282AC9">
        <w:rPr>
          <w:rFonts w:hint="cs"/>
          <w:sz w:val="27"/>
          <w:rtl/>
        </w:rPr>
        <w:t xml:space="preserve"> الفطري فلا يُستتاب، وأن على الإمام أن يقتله دون استتابة</w:t>
      </w:r>
      <w:r w:rsidR="00770A4B" w:rsidRPr="00282AC9">
        <w:rPr>
          <w:rFonts w:hint="cs"/>
          <w:sz w:val="27"/>
          <w:rtl/>
        </w:rPr>
        <w:t>ٍ. قال</w:t>
      </w:r>
      <w:r w:rsidRPr="00282AC9">
        <w:rPr>
          <w:rFonts w:hint="cs"/>
          <w:sz w:val="27"/>
          <w:rtl/>
        </w:rPr>
        <w:t xml:space="preserve">: </w:t>
      </w:r>
      <w:r w:rsidRPr="00282AC9">
        <w:rPr>
          <w:rFonts w:hint="eastAsia"/>
          <w:sz w:val="24"/>
          <w:szCs w:val="24"/>
          <w:rtl/>
        </w:rPr>
        <w:t>«</w:t>
      </w:r>
      <w:r w:rsidRPr="00282AC9">
        <w:rPr>
          <w:sz w:val="27"/>
          <w:rtl/>
        </w:rPr>
        <w:t>الظاهر أن الصحيح</w:t>
      </w:r>
      <w:r w:rsidR="00770A4B" w:rsidRPr="00282AC9">
        <w:rPr>
          <w:rFonts w:hint="cs"/>
          <w:sz w:val="27"/>
          <w:rtl/>
        </w:rPr>
        <w:t>ة</w:t>
      </w:r>
      <w:r w:rsidRPr="00282AC9">
        <w:rPr>
          <w:sz w:val="27"/>
          <w:rtl/>
        </w:rPr>
        <w:t xml:space="preserve"> نظير غيرها من الروايات الوارد</w:t>
      </w:r>
      <w:r w:rsidR="008D1884" w:rsidRPr="00282AC9">
        <w:rPr>
          <w:rFonts w:hint="cs"/>
          <w:sz w:val="27"/>
          <w:rtl/>
        </w:rPr>
        <w:t>ة</w:t>
      </w:r>
      <w:r w:rsidRPr="00282AC9">
        <w:rPr>
          <w:sz w:val="27"/>
          <w:rtl/>
        </w:rPr>
        <w:t xml:space="preserve"> في الباب</w:t>
      </w:r>
      <w:r w:rsidRPr="00282AC9">
        <w:rPr>
          <w:rFonts w:hint="cs"/>
          <w:sz w:val="27"/>
          <w:rtl/>
        </w:rPr>
        <w:t>،</w:t>
      </w:r>
      <w:r w:rsidRPr="00282AC9">
        <w:rPr>
          <w:sz w:val="27"/>
          <w:rtl/>
        </w:rPr>
        <w:t xml:space="preserve"> الدال</w:t>
      </w:r>
      <w:r w:rsidR="00770A4B" w:rsidRPr="00282AC9">
        <w:rPr>
          <w:rFonts w:hint="cs"/>
          <w:sz w:val="27"/>
          <w:rtl/>
        </w:rPr>
        <w:t>ّ</w:t>
      </w:r>
      <w:r w:rsidRPr="00282AC9">
        <w:rPr>
          <w:rFonts w:hint="cs"/>
          <w:sz w:val="27"/>
          <w:rtl/>
        </w:rPr>
        <w:t>ة</w:t>
      </w:r>
      <w:r w:rsidRPr="00282AC9">
        <w:rPr>
          <w:sz w:val="27"/>
          <w:rtl/>
        </w:rPr>
        <w:t xml:space="preserve"> على أن المرتد</w:t>
      </w:r>
      <w:r w:rsidR="00770A4B" w:rsidRPr="00282AC9">
        <w:rPr>
          <w:rFonts w:hint="cs"/>
          <w:sz w:val="27"/>
          <w:rtl/>
        </w:rPr>
        <w:t>ّ</w:t>
      </w:r>
      <w:r w:rsidRPr="00282AC9">
        <w:rPr>
          <w:sz w:val="27"/>
          <w:rtl/>
        </w:rPr>
        <w:t xml:space="preserve"> المل</w:t>
      </w:r>
      <w:r w:rsidR="00770A4B" w:rsidRPr="00282AC9">
        <w:rPr>
          <w:rFonts w:hint="cs"/>
          <w:sz w:val="27"/>
          <w:rtl/>
        </w:rPr>
        <w:t>ّ</w:t>
      </w:r>
      <w:r w:rsidRPr="00282AC9">
        <w:rPr>
          <w:sz w:val="27"/>
          <w:rtl/>
        </w:rPr>
        <w:t>ي يستتاب ولا ي</w:t>
      </w:r>
      <w:r w:rsidR="00770A4B" w:rsidRPr="00282AC9">
        <w:rPr>
          <w:rFonts w:hint="cs"/>
          <w:sz w:val="27"/>
          <w:rtl/>
        </w:rPr>
        <w:t>ُ</w:t>
      </w:r>
      <w:r w:rsidRPr="00282AC9">
        <w:rPr>
          <w:sz w:val="27"/>
          <w:rtl/>
        </w:rPr>
        <w:t>ق</w:t>
      </w:r>
      <w:r w:rsidR="00770A4B" w:rsidRPr="00282AC9">
        <w:rPr>
          <w:rFonts w:hint="cs"/>
          <w:sz w:val="27"/>
          <w:rtl/>
        </w:rPr>
        <w:t>ْ</w:t>
      </w:r>
      <w:r w:rsidRPr="00282AC9">
        <w:rPr>
          <w:sz w:val="27"/>
          <w:rtl/>
        </w:rPr>
        <w:t>ت</w:t>
      </w:r>
      <w:r w:rsidR="00770A4B" w:rsidRPr="00282AC9">
        <w:rPr>
          <w:rFonts w:hint="cs"/>
          <w:sz w:val="27"/>
          <w:rtl/>
        </w:rPr>
        <w:t>َ</w:t>
      </w:r>
      <w:r w:rsidRPr="00282AC9">
        <w:rPr>
          <w:sz w:val="27"/>
          <w:rtl/>
        </w:rPr>
        <w:t>ل، والفطري لا يستتاب</w:t>
      </w:r>
      <w:r w:rsidR="00770A4B" w:rsidRPr="00282AC9">
        <w:rPr>
          <w:rFonts w:hint="cs"/>
          <w:sz w:val="27"/>
          <w:rtl/>
        </w:rPr>
        <w:t>،</w:t>
      </w:r>
      <w:r w:rsidRPr="00282AC9">
        <w:rPr>
          <w:sz w:val="27"/>
          <w:rtl/>
        </w:rPr>
        <w:t>‌ وعلى ال</w:t>
      </w:r>
      <w:r w:rsidRPr="00282AC9">
        <w:rPr>
          <w:rFonts w:hint="cs"/>
          <w:sz w:val="27"/>
          <w:rtl/>
        </w:rPr>
        <w:t>إ</w:t>
      </w:r>
      <w:r w:rsidRPr="00282AC9">
        <w:rPr>
          <w:sz w:val="27"/>
          <w:rtl/>
        </w:rPr>
        <w:t>مام أن يقتله بلا استتابة</w:t>
      </w:r>
      <w:r w:rsidR="00770A4B" w:rsidRPr="00282AC9">
        <w:rPr>
          <w:rFonts w:hint="cs"/>
          <w:sz w:val="27"/>
          <w:rtl/>
        </w:rPr>
        <w:t>ٍ.</w:t>
      </w:r>
      <w:r w:rsidRPr="00282AC9">
        <w:rPr>
          <w:sz w:val="27"/>
          <w:rtl/>
        </w:rPr>
        <w:t xml:space="preserve"> فلا إطلاق فيها</w:t>
      </w:r>
      <w:r w:rsidRPr="00282AC9">
        <w:rPr>
          <w:rFonts w:hint="eastAsia"/>
          <w:sz w:val="24"/>
          <w:szCs w:val="24"/>
          <w:rtl/>
        </w:rPr>
        <w:t>»</w:t>
      </w:r>
      <w:r w:rsidRPr="00282AC9">
        <w:rPr>
          <w:sz w:val="27"/>
          <w:vertAlign w:val="superscript"/>
          <w:rtl/>
        </w:rPr>
        <w:t>(</w:t>
      </w:r>
      <w:r w:rsidRPr="00282AC9">
        <w:rPr>
          <w:rStyle w:val="af9"/>
          <w:sz w:val="27"/>
          <w:rtl/>
        </w:rPr>
        <w:endnoteReference w:id="278"/>
      </w:r>
      <w:r w:rsidRPr="00282AC9">
        <w:rPr>
          <w:sz w:val="27"/>
          <w:vertAlign w:val="superscript"/>
          <w:rtl/>
        </w:rPr>
        <w:t>)</w:t>
      </w:r>
      <w:r w:rsidR="00770A4B" w:rsidRPr="00282AC9">
        <w:rPr>
          <w:rFonts w:hint="cs"/>
          <w:sz w:val="27"/>
          <w:rtl/>
        </w:rPr>
        <w:t>.</w:t>
      </w:r>
    </w:p>
    <w:p w:rsidR="005A1BD7" w:rsidRPr="00282AC9" w:rsidRDefault="005A1BD7" w:rsidP="00C75E73">
      <w:pPr>
        <w:rPr>
          <w:sz w:val="27"/>
          <w:rtl/>
        </w:rPr>
      </w:pPr>
      <w:r w:rsidRPr="00282AC9">
        <w:rPr>
          <w:rFonts w:hint="cs"/>
          <w:sz w:val="27"/>
          <w:rtl/>
        </w:rPr>
        <w:t xml:space="preserve">وقد احتمل </w:t>
      </w:r>
      <w:r w:rsidR="00770A4B" w:rsidRPr="00282AC9">
        <w:rPr>
          <w:rFonts w:hint="cs"/>
          <w:sz w:val="27"/>
          <w:rtl/>
        </w:rPr>
        <w:t>السيد</w:t>
      </w:r>
      <w:r w:rsidRPr="00282AC9">
        <w:rPr>
          <w:rFonts w:hint="cs"/>
          <w:sz w:val="27"/>
          <w:rtl/>
        </w:rPr>
        <w:t xml:space="preserve"> الموسوي الأردبيلي في تفسير عبارة</w:t>
      </w:r>
      <w:r w:rsidR="00770A4B" w:rsidRPr="00282AC9">
        <w:rPr>
          <w:rFonts w:hint="cs"/>
          <w:sz w:val="27"/>
          <w:rtl/>
        </w:rPr>
        <w:t>:</w:t>
      </w:r>
      <w:r w:rsidRPr="00282AC9">
        <w:rPr>
          <w:rFonts w:hint="cs"/>
          <w:sz w:val="27"/>
          <w:rtl/>
        </w:rPr>
        <w:t xml:space="preserve"> </w:t>
      </w:r>
      <w:r w:rsidRPr="00282AC9">
        <w:rPr>
          <w:rFonts w:hint="eastAsia"/>
          <w:sz w:val="24"/>
          <w:szCs w:val="24"/>
          <w:rtl/>
        </w:rPr>
        <w:t>«</w:t>
      </w:r>
      <w:r w:rsidRPr="00282AC9">
        <w:rPr>
          <w:rFonts w:hint="cs"/>
          <w:sz w:val="27"/>
          <w:rtl/>
        </w:rPr>
        <w:t>فلا توبة له</w:t>
      </w:r>
      <w:r w:rsidRPr="00282AC9">
        <w:rPr>
          <w:rFonts w:hint="eastAsia"/>
          <w:sz w:val="24"/>
          <w:szCs w:val="24"/>
          <w:rtl/>
        </w:rPr>
        <w:t>»</w:t>
      </w:r>
      <w:r w:rsidRPr="00282AC9">
        <w:rPr>
          <w:rFonts w:hint="cs"/>
          <w:sz w:val="27"/>
          <w:rtl/>
        </w:rPr>
        <w:t xml:space="preserve"> أن مثل هذا الشخص لا يحصل له إمكان الرجوع عن ارتداده، ولا يُوفّ</w:t>
      </w:r>
      <w:r w:rsidR="00770A4B" w:rsidRPr="00282AC9">
        <w:rPr>
          <w:rFonts w:hint="cs"/>
          <w:sz w:val="27"/>
          <w:rtl/>
        </w:rPr>
        <w:t>َ</w:t>
      </w:r>
      <w:r w:rsidRPr="00282AC9">
        <w:rPr>
          <w:rFonts w:hint="cs"/>
          <w:sz w:val="27"/>
          <w:rtl/>
        </w:rPr>
        <w:t>ق إلى ذلك</w:t>
      </w:r>
      <w:r w:rsidR="00770A4B" w:rsidRPr="00282AC9">
        <w:rPr>
          <w:rFonts w:hint="cs"/>
          <w:sz w:val="27"/>
          <w:rtl/>
        </w:rPr>
        <w:t>؛</w:t>
      </w:r>
      <w:r w:rsidRPr="00282AC9">
        <w:rPr>
          <w:rFonts w:hint="cs"/>
          <w:sz w:val="27"/>
          <w:rtl/>
        </w:rPr>
        <w:t xml:space="preserve"> أو يحتمل أن تكون هذه الرواية في مقام التشديد والمبالغة في الكفر</w:t>
      </w:r>
      <w:r w:rsidR="00770A4B" w:rsidRPr="00282AC9">
        <w:rPr>
          <w:rFonts w:hint="cs"/>
          <w:sz w:val="27"/>
          <w:rtl/>
        </w:rPr>
        <w:t>.</w:t>
      </w:r>
      <w:r w:rsidRPr="00282AC9">
        <w:rPr>
          <w:rFonts w:hint="cs"/>
          <w:sz w:val="27"/>
          <w:rtl/>
        </w:rPr>
        <w:t xml:space="preserve"> كما نجد ما يُشبه ذلك في الكثير من الروايات الأخرى أيضاً</w:t>
      </w:r>
      <w:r w:rsidRPr="00282AC9">
        <w:rPr>
          <w:sz w:val="27"/>
          <w:vertAlign w:val="superscript"/>
          <w:rtl/>
        </w:rPr>
        <w:t>(</w:t>
      </w:r>
      <w:r w:rsidRPr="00282AC9">
        <w:rPr>
          <w:rStyle w:val="af9"/>
          <w:sz w:val="27"/>
          <w:rtl/>
        </w:rPr>
        <w:endnoteReference w:id="279"/>
      </w:r>
      <w:r w:rsidRPr="00282AC9">
        <w:rPr>
          <w:sz w:val="27"/>
          <w:vertAlign w:val="superscript"/>
          <w:rtl/>
        </w:rPr>
        <w:t>)</w:t>
      </w:r>
      <w:r w:rsidRPr="00282AC9">
        <w:rPr>
          <w:rFonts w:hint="cs"/>
          <w:sz w:val="27"/>
          <w:rtl/>
        </w:rPr>
        <w:t>.</w:t>
      </w:r>
    </w:p>
    <w:p w:rsidR="007D7AAA" w:rsidRPr="00282AC9" w:rsidRDefault="007D7AAA" w:rsidP="007D7AAA">
      <w:pPr>
        <w:spacing w:line="420" w:lineRule="exact"/>
        <w:rPr>
          <w:rtl/>
        </w:rPr>
      </w:pPr>
    </w:p>
    <w:p w:rsidR="00637F45" w:rsidRPr="00282AC9" w:rsidRDefault="00981610" w:rsidP="009B624B">
      <w:pPr>
        <w:pStyle w:val="31"/>
        <w:rPr>
          <w:color w:val="auto"/>
          <w:rtl/>
        </w:rPr>
      </w:pPr>
      <w:r w:rsidRPr="00282AC9">
        <w:rPr>
          <w:rFonts w:hint="cs"/>
          <w:color w:val="auto"/>
          <w:rtl/>
        </w:rPr>
        <w:t xml:space="preserve">د ـ </w:t>
      </w:r>
      <w:r w:rsidR="00637F45" w:rsidRPr="00282AC9">
        <w:rPr>
          <w:rFonts w:hint="cs"/>
          <w:color w:val="auto"/>
          <w:rtl/>
        </w:rPr>
        <w:t>الدليل الأ</w:t>
      </w:r>
      <w:r w:rsidR="009B624B" w:rsidRPr="00282AC9">
        <w:rPr>
          <w:rFonts w:hint="cs"/>
          <w:color w:val="auto"/>
          <w:rtl/>
        </w:rPr>
        <w:t>صل لرفع حكم القتل</w:t>
      </w:r>
    </w:p>
    <w:p w:rsidR="005A1BD7" w:rsidRPr="00282AC9" w:rsidRDefault="005A1BD7" w:rsidP="00C75E73">
      <w:pPr>
        <w:rPr>
          <w:sz w:val="27"/>
          <w:rtl/>
        </w:rPr>
      </w:pPr>
      <w:r w:rsidRPr="00282AC9">
        <w:rPr>
          <w:rFonts w:hint="cs"/>
          <w:sz w:val="27"/>
          <w:rtl/>
        </w:rPr>
        <w:t>وبالإضافة إلى هذه الأدل</w:t>
      </w:r>
      <w:r w:rsidR="00770A4B" w:rsidRPr="00282AC9">
        <w:rPr>
          <w:rFonts w:hint="cs"/>
          <w:sz w:val="27"/>
          <w:rtl/>
        </w:rPr>
        <w:t>ّ</w:t>
      </w:r>
      <w:r w:rsidRPr="00282AC9">
        <w:rPr>
          <w:rFonts w:hint="cs"/>
          <w:sz w:val="27"/>
          <w:rtl/>
        </w:rPr>
        <w:t>ة، فإن الدليل الأصلي</w:t>
      </w:r>
      <w:r w:rsidR="00770A4B" w:rsidRPr="00282AC9">
        <w:rPr>
          <w:rFonts w:hint="cs"/>
          <w:sz w:val="27"/>
          <w:rtl/>
        </w:rPr>
        <w:t>ّ</w:t>
      </w:r>
      <w:r w:rsidRPr="00282AC9">
        <w:rPr>
          <w:rFonts w:hint="cs"/>
          <w:sz w:val="27"/>
          <w:rtl/>
        </w:rPr>
        <w:t xml:space="preserve"> الذي يمكن لنا أن نذكره في مورد رفع حكم القتل عن المرتد</w:t>
      </w:r>
      <w:r w:rsidR="00770A4B" w:rsidRPr="00282AC9">
        <w:rPr>
          <w:rFonts w:hint="cs"/>
          <w:sz w:val="27"/>
          <w:rtl/>
        </w:rPr>
        <w:t>ّ</w:t>
      </w:r>
      <w:r w:rsidRPr="00282AC9">
        <w:rPr>
          <w:rFonts w:hint="cs"/>
          <w:sz w:val="27"/>
          <w:rtl/>
        </w:rPr>
        <w:t xml:space="preserve"> الفطري الذي يتوب قبل أن تطاله يد الحاكم الشرعي هو تعارض هذه الرواية مع بعض الروايات في مورد المرتد</w:t>
      </w:r>
      <w:r w:rsidR="0056633B" w:rsidRPr="00282AC9">
        <w:rPr>
          <w:rFonts w:hint="cs"/>
          <w:sz w:val="27"/>
          <w:rtl/>
        </w:rPr>
        <w:t>ّ</w:t>
      </w:r>
      <w:r w:rsidRPr="00282AC9">
        <w:rPr>
          <w:rFonts w:hint="cs"/>
          <w:sz w:val="27"/>
          <w:rtl/>
        </w:rPr>
        <w:t xml:space="preserve">. </w:t>
      </w:r>
      <w:r w:rsidR="0056633B" w:rsidRPr="00282AC9">
        <w:rPr>
          <w:rFonts w:hint="cs"/>
          <w:sz w:val="27"/>
          <w:rtl/>
        </w:rPr>
        <w:t>و</w:t>
      </w:r>
      <w:r w:rsidRPr="00282AC9">
        <w:rPr>
          <w:rFonts w:hint="cs"/>
          <w:sz w:val="27"/>
          <w:rtl/>
        </w:rPr>
        <w:t>من ذلك</w:t>
      </w:r>
      <w:r w:rsidR="0056633B" w:rsidRPr="00282AC9">
        <w:rPr>
          <w:rFonts w:hint="cs"/>
          <w:sz w:val="27"/>
          <w:rtl/>
        </w:rPr>
        <w:t>،</w:t>
      </w:r>
      <w:r w:rsidRPr="00282AC9">
        <w:rPr>
          <w:rFonts w:hint="cs"/>
          <w:sz w:val="27"/>
          <w:rtl/>
        </w:rPr>
        <w:t xml:space="preserve"> على </w:t>
      </w:r>
      <w:r w:rsidRPr="00282AC9">
        <w:rPr>
          <w:rFonts w:hint="cs"/>
          <w:sz w:val="27"/>
          <w:rtl/>
        </w:rPr>
        <w:lastRenderedPageBreak/>
        <w:t>سبيل المثال</w:t>
      </w:r>
      <w:r w:rsidR="0056633B" w:rsidRPr="00282AC9">
        <w:rPr>
          <w:rFonts w:hint="cs"/>
          <w:sz w:val="27"/>
          <w:rtl/>
        </w:rPr>
        <w:t>:</w:t>
      </w:r>
      <w:r w:rsidRPr="00282AC9">
        <w:rPr>
          <w:rFonts w:hint="cs"/>
          <w:sz w:val="27"/>
          <w:rtl/>
        </w:rPr>
        <w:t xml:space="preserve"> ما جاء في رواية محمد بن مسلم، عن الإمام أبي جعفر الباقر</w:t>
      </w:r>
      <w:r w:rsidR="009A2A04" w:rsidRPr="00282AC9">
        <w:rPr>
          <w:rFonts w:cs="Mosawi" w:hint="cs"/>
          <w:sz w:val="22"/>
          <w:szCs w:val="22"/>
          <w:rtl/>
        </w:rPr>
        <w:t>×</w:t>
      </w:r>
      <w:r w:rsidRPr="00282AC9">
        <w:rPr>
          <w:rFonts w:hint="cs"/>
          <w:sz w:val="27"/>
          <w:rtl/>
        </w:rPr>
        <w:t xml:space="preserve"> أنه قال: </w:t>
      </w:r>
      <w:r w:rsidRPr="00282AC9">
        <w:rPr>
          <w:rFonts w:hint="eastAsia"/>
          <w:sz w:val="24"/>
          <w:szCs w:val="24"/>
          <w:rtl/>
        </w:rPr>
        <w:t>«</w:t>
      </w:r>
      <w:r w:rsidRPr="00282AC9">
        <w:rPr>
          <w:rFonts w:hint="cs"/>
          <w:sz w:val="27"/>
          <w:rtl/>
        </w:rPr>
        <w:t>م</w:t>
      </w:r>
      <w:r w:rsidR="0056633B" w:rsidRPr="00282AC9">
        <w:rPr>
          <w:rFonts w:hint="cs"/>
          <w:sz w:val="27"/>
          <w:rtl/>
        </w:rPr>
        <w:t>َ</w:t>
      </w:r>
      <w:r w:rsidRPr="00282AC9">
        <w:rPr>
          <w:rFonts w:hint="cs"/>
          <w:sz w:val="27"/>
          <w:rtl/>
        </w:rPr>
        <w:t>ن</w:t>
      </w:r>
      <w:r w:rsidR="0056633B" w:rsidRPr="00282AC9">
        <w:rPr>
          <w:rFonts w:hint="cs"/>
          <w:sz w:val="27"/>
          <w:rtl/>
        </w:rPr>
        <w:t>ْ</w:t>
      </w:r>
      <w:r w:rsidRPr="00282AC9">
        <w:rPr>
          <w:rFonts w:hint="cs"/>
          <w:sz w:val="27"/>
          <w:rtl/>
        </w:rPr>
        <w:t xml:space="preserve"> جحد نبي</w:t>
      </w:r>
      <w:r w:rsidR="0056633B" w:rsidRPr="00282AC9">
        <w:rPr>
          <w:rFonts w:hint="cs"/>
          <w:sz w:val="27"/>
          <w:rtl/>
        </w:rPr>
        <w:t>ّ</w:t>
      </w:r>
      <w:r w:rsidRPr="00282AC9">
        <w:rPr>
          <w:rFonts w:hint="cs"/>
          <w:sz w:val="27"/>
          <w:rtl/>
        </w:rPr>
        <w:t>اً مرس</w:t>
      </w:r>
      <w:r w:rsidR="0056633B" w:rsidRPr="00282AC9">
        <w:rPr>
          <w:rFonts w:hint="cs"/>
          <w:sz w:val="27"/>
          <w:rtl/>
        </w:rPr>
        <w:t>َ</w:t>
      </w:r>
      <w:r w:rsidRPr="00282AC9">
        <w:rPr>
          <w:rFonts w:hint="cs"/>
          <w:sz w:val="27"/>
          <w:rtl/>
        </w:rPr>
        <w:t>لاً نبوّته</w:t>
      </w:r>
      <w:r w:rsidR="0056633B" w:rsidRPr="00282AC9">
        <w:rPr>
          <w:rFonts w:hint="cs"/>
          <w:sz w:val="27"/>
          <w:rtl/>
        </w:rPr>
        <w:t>،</w:t>
      </w:r>
      <w:r w:rsidRPr="00282AC9">
        <w:rPr>
          <w:rFonts w:hint="cs"/>
          <w:sz w:val="27"/>
          <w:rtl/>
        </w:rPr>
        <w:t xml:space="preserve"> وكذّ</w:t>
      </w:r>
      <w:r w:rsidR="0056633B" w:rsidRPr="00282AC9">
        <w:rPr>
          <w:rFonts w:hint="cs"/>
          <w:sz w:val="27"/>
          <w:rtl/>
        </w:rPr>
        <w:t>َ</w:t>
      </w:r>
      <w:r w:rsidRPr="00282AC9">
        <w:rPr>
          <w:rFonts w:hint="cs"/>
          <w:sz w:val="27"/>
          <w:rtl/>
        </w:rPr>
        <w:t>به، فدم</w:t>
      </w:r>
      <w:r w:rsidR="0056633B" w:rsidRPr="00282AC9">
        <w:rPr>
          <w:rFonts w:hint="cs"/>
          <w:sz w:val="27"/>
          <w:rtl/>
        </w:rPr>
        <w:t>ُ</w:t>
      </w:r>
      <w:r w:rsidRPr="00282AC9">
        <w:rPr>
          <w:rFonts w:hint="cs"/>
          <w:sz w:val="27"/>
          <w:rtl/>
        </w:rPr>
        <w:t>ه مباح</w:t>
      </w:r>
      <w:r w:rsidR="0056633B" w:rsidRPr="00282AC9">
        <w:rPr>
          <w:rFonts w:hint="cs"/>
          <w:sz w:val="27"/>
          <w:rtl/>
        </w:rPr>
        <w:t>ٌ</w:t>
      </w:r>
      <w:r w:rsidRPr="00282AC9">
        <w:rPr>
          <w:rFonts w:hint="eastAsia"/>
          <w:sz w:val="24"/>
          <w:szCs w:val="24"/>
          <w:rtl/>
        </w:rPr>
        <w:t>»</w:t>
      </w:r>
      <w:r w:rsidR="0056633B" w:rsidRPr="00282AC9">
        <w:rPr>
          <w:rFonts w:hint="cs"/>
          <w:sz w:val="27"/>
          <w:rtl/>
        </w:rPr>
        <w:t>،</w:t>
      </w:r>
      <w:r w:rsidRPr="00282AC9">
        <w:rPr>
          <w:rFonts w:hint="cs"/>
          <w:sz w:val="27"/>
          <w:rtl/>
        </w:rPr>
        <w:t xml:space="preserve"> قال</w:t>
      </w:r>
      <w:r w:rsidR="0056633B" w:rsidRPr="00282AC9">
        <w:rPr>
          <w:rFonts w:hint="cs"/>
          <w:sz w:val="27"/>
          <w:rtl/>
        </w:rPr>
        <w:t>:</w:t>
      </w:r>
      <w:r w:rsidRPr="00282AC9">
        <w:rPr>
          <w:rFonts w:hint="cs"/>
          <w:sz w:val="27"/>
          <w:rtl/>
        </w:rPr>
        <w:t xml:space="preserve"> فقلت</w:t>
      </w:r>
      <w:r w:rsidR="0056633B" w:rsidRPr="00282AC9">
        <w:rPr>
          <w:rFonts w:hint="cs"/>
          <w:sz w:val="27"/>
          <w:rtl/>
        </w:rPr>
        <w:t>ُ</w:t>
      </w:r>
      <w:r w:rsidRPr="00282AC9">
        <w:rPr>
          <w:rFonts w:hint="cs"/>
          <w:sz w:val="27"/>
          <w:rtl/>
        </w:rPr>
        <w:t xml:space="preserve"> له:</w:t>
      </w:r>
      <w:r w:rsidRPr="00282AC9">
        <w:rPr>
          <w:sz w:val="27"/>
          <w:rtl/>
        </w:rPr>
        <w:t xml:space="preserve"> أ</w:t>
      </w:r>
      <w:r w:rsidRPr="00282AC9">
        <w:rPr>
          <w:rFonts w:hint="cs"/>
          <w:sz w:val="27"/>
          <w:rtl/>
        </w:rPr>
        <w:t>رأي</w:t>
      </w:r>
      <w:r w:rsidR="0056633B" w:rsidRPr="00282AC9">
        <w:rPr>
          <w:rFonts w:hint="cs"/>
          <w:sz w:val="27"/>
          <w:rtl/>
        </w:rPr>
        <w:t>ْ</w:t>
      </w:r>
      <w:r w:rsidRPr="00282AC9">
        <w:rPr>
          <w:rFonts w:hint="cs"/>
          <w:sz w:val="27"/>
          <w:rtl/>
        </w:rPr>
        <w:t>ت</w:t>
      </w:r>
      <w:r w:rsidR="0056633B" w:rsidRPr="00282AC9">
        <w:rPr>
          <w:rFonts w:hint="cs"/>
          <w:sz w:val="27"/>
          <w:rtl/>
        </w:rPr>
        <w:t>َ</w:t>
      </w:r>
      <w:r w:rsidRPr="00282AC9">
        <w:rPr>
          <w:rFonts w:hint="cs"/>
          <w:sz w:val="27"/>
          <w:rtl/>
        </w:rPr>
        <w:t xml:space="preserve"> م</w:t>
      </w:r>
      <w:r w:rsidR="0056633B" w:rsidRPr="00282AC9">
        <w:rPr>
          <w:rFonts w:hint="cs"/>
          <w:sz w:val="27"/>
          <w:rtl/>
        </w:rPr>
        <w:t>َ</w:t>
      </w:r>
      <w:r w:rsidRPr="00282AC9">
        <w:rPr>
          <w:rFonts w:hint="cs"/>
          <w:sz w:val="27"/>
          <w:rtl/>
        </w:rPr>
        <w:t>ن</w:t>
      </w:r>
      <w:r w:rsidR="0056633B" w:rsidRPr="00282AC9">
        <w:rPr>
          <w:rFonts w:hint="cs"/>
          <w:sz w:val="27"/>
          <w:rtl/>
        </w:rPr>
        <w:t>ْ</w:t>
      </w:r>
      <w:r w:rsidRPr="00282AC9">
        <w:rPr>
          <w:rFonts w:hint="cs"/>
          <w:sz w:val="27"/>
          <w:rtl/>
        </w:rPr>
        <w:t xml:space="preserve"> جحد الإمام منكم، ما حاله؟ فقال: </w:t>
      </w:r>
      <w:r w:rsidRPr="00282AC9">
        <w:rPr>
          <w:rFonts w:hint="eastAsia"/>
          <w:sz w:val="24"/>
          <w:szCs w:val="24"/>
          <w:rtl/>
        </w:rPr>
        <w:t>«</w:t>
      </w:r>
      <w:r w:rsidRPr="00282AC9">
        <w:rPr>
          <w:sz w:val="27"/>
          <w:rtl/>
        </w:rPr>
        <w:t>م</w:t>
      </w:r>
      <w:r w:rsidR="0056633B" w:rsidRPr="00282AC9">
        <w:rPr>
          <w:rFonts w:hint="cs"/>
          <w:sz w:val="27"/>
          <w:rtl/>
        </w:rPr>
        <w:t>َ</w:t>
      </w:r>
      <w:r w:rsidRPr="00282AC9">
        <w:rPr>
          <w:sz w:val="27"/>
          <w:rtl/>
        </w:rPr>
        <w:t>ن</w:t>
      </w:r>
      <w:r w:rsidR="0056633B" w:rsidRPr="00282AC9">
        <w:rPr>
          <w:rFonts w:hint="cs"/>
          <w:sz w:val="27"/>
          <w:rtl/>
        </w:rPr>
        <w:t>ْ</w:t>
      </w:r>
      <w:r w:rsidRPr="00282AC9">
        <w:rPr>
          <w:rFonts w:hint="cs"/>
          <w:sz w:val="27"/>
          <w:rtl/>
        </w:rPr>
        <w:t xml:space="preserve"> جحد إماماً برئ من الله</w:t>
      </w:r>
      <w:r w:rsidR="0056633B" w:rsidRPr="00282AC9">
        <w:rPr>
          <w:rFonts w:hint="cs"/>
          <w:sz w:val="27"/>
          <w:rtl/>
        </w:rPr>
        <w:t xml:space="preserve">، </w:t>
      </w:r>
      <w:r w:rsidRPr="00282AC9">
        <w:rPr>
          <w:rFonts w:hint="cs"/>
          <w:sz w:val="27"/>
          <w:rtl/>
        </w:rPr>
        <w:t>وبرئ منه ومن دينه، فهو كافر</w:t>
      </w:r>
      <w:r w:rsidR="0056633B" w:rsidRPr="00282AC9">
        <w:rPr>
          <w:rFonts w:hint="cs"/>
          <w:sz w:val="27"/>
          <w:rtl/>
        </w:rPr>
        <w:t>ٌ</w:t>
      </w:r>
      <w:r w:rsidRPr="00282AC9">
        <w:rPr>
          <w:rFonts w:hint="cs"/>
          <w:sz w:val="27"/>
          <w:rtl/>
        </w:rPr>
        <w:t xml:space="preserve"> مرتد</w:t>
      </w:r>
      <w:r w:rsidR="0056633B" w:rsidRPr="00282AC9">
        <w:rPr>
          <w:rFonts w:hint="cs"/>
          <w:sz w:val="27"/>
          <w:rtl/>
        </w:rPr>
        <w:t>ّ</w:t>
      </w:r>
      <w:r w:rsidRPr="00282AC9">
        <w:rPr>
          <w:rFonts w:hint="cs"/>
          <w:sz w:val="27"/>
          <w:rtl/>
        </w:rPr>
        <w:t xml:space="preserve"> عن الإسلام؛ لأن الإمام من الله، ودينه دين الله، وم</w:t>
      </w:r>
      <w:r w:rsidR="0056633B" w:rsidRPr="00282AC9">
        <w:rPr>
          <w:rFonts w:hint="cs"/>
          <w:sz w:val="27"/>
          <w:rtl/>
        </w:rPr>
        <w:t>َ</w:t>
      </w:r>
      <w:r w:rsidRPr="00282AC9">
        <w:rPr>
          <w:rFonts w:hint="cs"/>
          <w:sz w:val="27"/>
          <w:rtl/>
        </w:rPr>
        <w:t>ن</w:t>
      </w:r>
      <w:r w:rsidR="0056633B" w:rsidRPr="00282AC9">
        <w:rPr>
          <w:rFonts w:hint="cs"/>
          <w:sz w:val="27"/>
          <w:rtl/>
        </w:rPr>
        <w:t>ْ</w:t>
      </w:r>
      <w:r w:rsidRPr="00282AC9">
        <w:rPr>
          <w:rFonts w:hint="cs"/>
          <w:sz w:val="27"/>
          <w:rtl/>
        </w:rPr>
        <w:t xml:space="preserve"> برئ من دين الله فهو كافر</w:t>
      </w:r>
      <w:r w:rsidR="0056633B" w:rsidRPr="00282AC9">
        <w:rPr>
          <w:rFonts w:hint="cs"/>
          <w:sz w:val="27"/>
          <w:rtl/>
        </w:rPr>
        <w:t>ٌ</w:t>
      </w:r>
      <w:r w:rsidRPr="00282AC9">
        <w:rPr>
          <w:rFonts w:hint="cs"/>
          <w:sz w:val="27"/>
          <w:rtl/>
        </w:rPr>
        <w:t>، ودم</w:t>
      </w:r>
      <w:r w:rsidR="0056633B" w:rsidRPr="00282AC9">
        <w:rPr>
          <w:rFonts w:hint="cs"/>
          <w:sz w:val="27"/>
          <w:rtl/>
        </w:rPr>
        <w:t>ُ</w:t>
      </w:r>
      <w:r w:rsidRPr="00282AC9">
        <w:rPr>
          <w:rFonts w:hint="cs"/>
          <w:sz w:val="27"/>
          <w:rtl/>
        </w:rPr>
        <w:t>ه مباح</w:t>
      </w:r>
      <w:r w:rsidR="0056633B" w:rsidRPr="00282AC9">
        <w:rPr>
          <w:rFonts w:hint="cs"/>
          <w:sz w:val="27"/>
          <w:rtl/>
        </w:rPr>
        <w:t>ٌ</w:t>
      </w:r>
      <w:r w:rsidRPr="00282AC9">
        <w:rPr>
          <w:rFonts w:hint="cs"/>
          <w:sz w:val="27"/>
          <w:rtl/>
        </w:rPr>
        <w:t xml:space="preserve"> في تلك الحال، إلا</w:t>
      </w:r>
      <w:r w:rsidR="0056633B" w:rsidRPr="00282AC9">
        <w:rPr>
          <w:rFonts w:hint="cs"/>
          <w:sz w:val="27"/>
          <w:rtl/>
        </w:rPr>
        <w:t>ّ</w:t>
      </w:r>
      <w:r w:rsidRPr="00282AC9">
        <w:rPr>
          <w:rFonts w:hint="cs"/>
          <w:sz w:val="27"/>
          <w:rtl/>
        </w:rPr>
        <w:t xml:space="preserve"> أن يرجع ويتوب إلى الله ـ عزّ</w:t>
      </w:r>
      <w:r w:rsidR="0056633B" w:rsidRPr="00282AC9">
        <w:rPr>
          <w:rFonts w:hint="cs"/>
          <w:sz w:val="27"/>
          <w:rtl/>
        </w:rPr>
        <w:t>َ</w:t>
      </w:r>
      <w:r w:rsidRPr="00282AC9">
        <w:rPr>
          <w:rFonts w:hint="cs"/>
          <w:sz w:val="27"/>
          <w:rtl/>
        </w:rPr>
        <w:t xml:space="preserve"> وجل</w:t>
      </w:r>
      <w:r w:rsidR="0056633B" w:rsidRPr="00282AC9">
        <w:rPr>
          <w:rFonts w:hint="cs"/>
          <w:sz w:val="27"/>
          <w:rtl/>
        </w:rPr>
        <w:t>َّ</w:t>
      </w:r>
      <w:r w:rsidRPr="00282AC9">
        <w:rPr>
          <w:rFonts w:hint="cs"/>
          <w:sz w:val="27"/>
          <w:rtl/>
        </w:rPr>
        <w:t xml:space="preserve"> ـ ممّا قال</w:t>
      </w:r>
      <w:r w:rsidRPr="00282AC9">
        <w:rPr>
          <w:rFonts w:hint="eastAsia"/>
          <w:sz w:val="24"/>
          <w:szCs w:val="24"/>
          <w:rtl/>
        </w:rPr>
        <w:t>»</w:t>
      </w:r>
      <w:r w:rsidRPr="00282AC9">
        <w:rPr>
          <w:sz w:val="27"/>
          <w:vertAlign w:val="superscript"/>
          <w:rtl/>
        </w:rPr>
        <w:t>(</w:t>
      </w:r>
      <w:r w:rsidRPr="00282AC9">
        <w:rPr>
          <w:sz w:val="27"/>
          <w:vertAlign w:val="superscript"/>
          <w:rtl/>
        </w:rPr>
        <w:endnoteReference w:id="280"/>
      </w:r>
      <w:r w:rsidRPr="00282AC9">
        <w:rPr>
          <w:sz w:val="27"/>
          <w:vertAlign w:val="superscript"/>
          <w:rtl/>
        </w:rPr>
        <w:t>)</w:t>
      </w:r>
      <w:r w:rsidRPr="00282AC9">
        <w:rPr>
          <w:rFonts w:hint="cs"/>
          <w:sz w:val="27"/>
          <w:rtl/>
        </w:rPr>
        <w:t>.</w:t>
      </w:r>
    </w:p>
    <w:p w:rsidR="005A1BD7" w:rsidRPr="00282AC9" w:rsidRDefault="005A1BD7" w:rsidP="008F042E">
      <w:pPr>
        <w:spacing w:line="418" w:lineRule="exact"/>
        <w:rPr>
          <w:sz w:val="27"/>
          <w:rtl/>
        </w:rPr>
      </w:pPr>
      <w:r w:rsidRPr="00282AC9">
        <w:rPr>
          <w:rFonts w:hint="cs"/>
          <w:sz w:val="27"/>
          <w:rtl/>
        </w:rPr>
        <w:t>وعلى الرغم من اشتمال هذه الرواية على عموم</w:t>
      </w:r>
      <w:r w:rsidR="0056633B" w:rsidRPr="00282AC9">
        <w:rPr>
          <w:rFonts w:hint="cs"/>
          <w:sz w:val="27"/>
          <w:rtl/>
        </w:rPr>
        <w:t>ٍ</w:t>
      </w:r>
      <w:r w:rsidRPr="00282AC9">
        <w:rPr>
          <w:rFonts w:hint="cs"/>
          <w:sz w:val="27"/>
          <w:rtl/>
        </w:rPr>
        <w:t>، إلا</w:t>
      </w:r>
      <w:r w:rsidR="0056633B" w:rsidRPr="00282AC9">
        <w:rPr>
          <w:rFonts w:hint="cs"/>
          <w:sz w:val="27"/>
          <w:rtl/>
        </w:rPr>
        <w:t>ّ</w:t>
      </w:r>
      <w:r w:rsidRPr="00282AC9">
        <w:rPr>
          <w:rFonts w:hint="cs"/>
          <w:sz w:val="27"/>
          <w:rtl/>
        </w:rPr>
        <w:t xml:space="preserve"> أنها تعارض الرواية التي ورد التعبير فيها بـ </w:t>
      </w:r>
      <w:r w:rsidRPr="00282AC9">
        <w:rPr>
          <w:rFonts w:hint="eastAsia"/>
          <w:sz w:val="24"/>
          <w:szCs w:val="24"/>
          <w:rtl/>
        </w:rPr>
        <w:t>«</w:t>
      </w:r>
      <w:r w:rsidRPr="00282AC9">
        <w:rPr>
          <w:rFonts w:hint="cs"/>
          <w:sz w:val="27"/>
          <w:rtl/>
        </w:rPr>
        <w:t>فلا توبة له</w:t>
      </w:r>
      <w:r w:rsidRPr="00282AC9">
        <w:rPr>
          <w:rFonts w:hint="eastAsia"/>
          <w:sz w:val="24"/>
          <w:szCs w:val="24"/>
          <w:rtl/>
        </w:rPr>
        <w:t>»</w:t>
      </w:r>
      <w:r w:rsidRPr="00282AC9">
        <w:rPr>
          <w:rFonts w:hint="cs"/>
          <w:sz w:val="27"/>
          <w:rtl/>
        </w:rPr>
        <w:t>، بحيث لم يتم</w:t>
      </w:r>
      <w:r w:rsidR="0056633B" w:rsidRPr="00282AC9">
        <w:rPr>
          <w:rFonts w:hint="cs"/>
          <w:sz w:val="27"/>
          <w:rtl/>
        </w:rPr>
        <w:t>ّ</w:t>
      </w:r>
      <w:r w:rsidRPr="00282AC9">
        <w:rPr>
          <w:rFonts w:hint="cs"/>
          <w:sz w:val="27"/>
          <w:rtl/>
        </w:rPr>
        <w:t xml:space="preserve"> في أيّ</w:t>
      </w:r>
      <w:r w:rsidR="0056633B" w:rsidRPr="00282AC9">
        <w:rPr>
          <w:rFonts w:hint="cs"/>
          <w:sz w:val="27"/>
          <w:rtl/>
        </w:rPr>
        <w:t>ٍ</w:t>
      </w:r>
      <w:r w:rsidRPr="00282AC9">
        <w:rPr>
          <w:rFonts w:hint="cs"/>
          <w:sz w:val="27"/>
          <w:rtl/>
        </w:rPr>
        <w:t xml:space="preserve"> من الروايات </w:t>
      </w:r>
      <w:r w:rsidR="0056633B" w:rsidRPr="00282AC9">
        <w:rPr>
          <w:rFonts w:hint="cs"/>
          <w:sz w:val="27"/>
          <w:rtl/>
        </w:rPr>
        <w:t xml:space="preserve">ذكرُ </w:t>
      </w:r>
      <w:r w:rsidRPr="00282AC9">
        <w:rPr>
          <w:rFonts w:hint="cs"/>
          <w:sz w:val="27"/>
          <w:rtl/>
        </w:rPr>
        <w:t>ما إذا كان المرتد</w:t>
      </w:r>
      <w:r w:rsidR="0056633B" w:rsidRPr="00282AC9">
        <w:rPr>
          <w:rFonts w:hint="cs"/>
          <w:sz w:val="27"/>
          <w:rtl/>
        </w:rPr>
        <w:t>ّ</w:t>
      </w:r>
      <w:r w:rsidRPr="00282AC9">
        <w:rPr>
          <w:rFonts w:hint="cs"/>
          <w:sz w:val="27"/>
          <w:rtl/>
        </w:rPr>
        <w:t xml:space="preserve"> فطري</w:t>
      </w:r>
      <w:r w:rsidR="0056633B" w:rsidRPr="00282AC9">
        <w:rPr>
          <w:rFonts w:hint="cs"/>
          <w:sz w:val="27"/>
          <w:rtl/>
        </w:rPr>
        <w:t>ّ</w:t>
      </w:r>
      <w:r w:rsidRPr="00282AC9">
        <w:rPr>
          <w:rFonts w:hint="cs"/>
          <w:sz w:val="27"/>
          <w:rtl/>
        </w:rPr>
        <w:t>اً أو مل</w:t>
      </w:r>
      <w:r w:rsidR="0056633B" w:rsidRPr="00282AC9">
        <w:rPr>
          <w:rFonts w:hint="cs"/>
          <w:sz w:val="27"/>
          <w:rtl/>
        </w:rPr>
        <w:t>ِّ</w:t>
      </w:r>
      <w:r w:rsidRPr="00282AC9">
        <w:rPr>
          <w:rFonts w:hint="cs"/>
          <w:sz w:val="27"/>
          <w:rtl/>
        </w:rPr>
        <w:t>ياً، وفي إحداها يتم</w:t>
      </w:r>
      <w:r w:rsidR="0056633B" w:rsidRPr="00282AC9">
        <w:rPr>
          <w:rFonts w:hint="cs"/>
          <w:sz w:val="27"/>
          <w:rtl/>
        </w:rPr>
        <w:t>ّ</w:t>
      </w:r>
      <w:r w:rsidRPr="00282AC9">
        <w:rPr>
          <w:rFonts w:hint="cs"/>
          <w:sz w:val="27"/>
          <w:rtl/>
        </w:rPr>
        <w:t xml:space="preserve"> قبول توبة المرتد</w:t>
      </w:r>
      <w:r w:rsidR="0056633B" w:rsidRPr="00282AC9">
        <w:rPr>
          <w:rFonts w:hint="cs"/>
          <w:sz w:val="27"/>
          <w:rtl/>
        </w:rPr>
        <w:t>ّ</w:t>
      </w:r>
      <w:r w:rsidRPr="00282AC9">
        <w:rPr>
          <w:rFonts w:hint="cs"/>
          <w:sz w:val="27"/>
          <w:rtl/>
        </w:rPr>
        <w:t xml:space="preserve"> مطلقاً، وفي الأخرى يتمّ رفض </w:t>
      </w:r>
      <w:r w:rsidRPr="00282AC9">
        <w:rPr>
          <w:sz w:val="27"/>
          <w:rtl/>
        </w:rPr>
        <w:t>توبة المرتد</w:t>
      </w:r>
      <w:r w:rsidR="0056633B" w:rsidRPr="00282AC9">
        <w:rPr>
          <w:rFonts w:hint="cs"/>
          <w:sz w:val="27"/>
          <w:rtl/>
        </w:rPr>
        <w:t>ّ</w:t>
      </w:r>
      <w:r w:rsidRPr="00282AC9">
        <w:rPr>
          <w:sz w:val="27"/>
          <w:rtl/>
        </w:rPr>
        <w:t xml:space="preserve"> مطلقاً</w:t>
      </w:r>
      <w:r w:rsidRPr="00282AC9">
        <w:rPr>
          <w:rFonts w:hint="cs"/>
          <w:sz w:val="27"/>
          <w:rtl/>
        </w:rPr>
        <w:t xml:space="preserve">. </w:t>
      </w:r>
    </w:p>
    <w:p w:rsidR="005A1BD7" w:rsidRPr="00282AC9" w:rsidRDefault="005A1BD7" w:rsidP="007D7AAA">
      <w:pPr>
        <w:spacing w:line="422" w:lineRule="exact"/>
        <w:rPr>
          <w:sz w:val="27"/>
          <w:rtl/>
        </w:rPr>
      </w:pPr>
      <w:r w:rsidRPr="00282AC9">
        <w:rPr>
          <w:rFonts w:hint="cs"/>
          <w:sz w:val="27"/>
          <w:rtl/>
        </w:rPr>
        <w:t>وعليه</w:t>
      </w:r>
      <w:r w:rsidR="0056633B" w:rsidRPr="00282AC9">
        <w:rPr>
          <w:rFonts w:hint="cs"/>
          <w:sz w:val="27"/>
          <w:rtl/>
        </w:rPr>
        <w:t>،</w:t>
      </w:r>
      <w:r w:rsidRPr="00282AC9">
        <w:rPr>
          <w:rFonts w:hint="cs"/>
          <w:sz w:val="27"/>
          <w:rtl/>
        </w:rPr>
        <w:t xml:space="preserve"> </w:t>
      </w:r>
      <w:r w:rsidRPr="00282AC9">
        <w:rPr>
          <w:rFonts w:hint="cs"/>
          <w:b/>
          <w:bCs/>
          <w:sz w:val="27"/>
          <w:rtl/>
        </w:rPr>
        <w:t>لو قيل</w:t>
      </w:r>
      <w:r w:rsidR="0056633B" w:rsidRPr="00282AC9">
        <w:rPr>
          <w:rFonts w:hint="cs"/>
          <w:sz w:val="27"/>
          <w:rtl/>
        </w:rPr>
        <w:t>:</w:t>
      </w:r>
      <w:r w:rsidRPr="00282AC9">
        <w:rPr>
          <w:rFonts w:hint="cs"/>
          <w:sz w:val="27"/>
          <w:rtl/>
        </w:rPr>
        <w:t xml:space="preserve"> إنه يجب الرجوع في هذا المورد إلى الروايات التي تميّ</w:t>
      </w:r>
      <w:r w:rsidR="0056633B" w:rsidRPr="00282AC9">
        <w:rPr>
          <w:rFonts w:hint="cs"/>
          <w:sz w:val="27"/>
          <w:rtl/>
        </w:rPr>
        <w:t>ِ</w:t>
      </w:r>
      <w:r w:rsidRPr="00282AC9">
        <w:rPr>
          <w:rFonts w:hint="cs"/>
          <w:sz w:val="27"/>
          <w:rtl/>
        </w:rPr>
        <w:t>ز بين المرتد</w:t>
      </w:r>
      <w:r w:rsidR="0056633B" w:rsidRPr="00282AC9">
        <w:rPr>
          <w:rFonts w:hint="cs"/>
          <w:sz w:val="27"/>
          <w:rtl/>
        </w:rPr>
        <w:t>ّ</w:t>
      </w:r>
      <w:r w:rsidRPr="00282AC9">
        <w:rPr>
          <w:rFonts w:hint="cs"/>
          <w:sz w:val="27"/>
          <w:rtl/>
        </w:rPr>
        <w:t xml:space="preserve"> الفطري والمرتد</w:t>
      </w:r>
      <w:r w:rsidR="0056633B" w:rsidRPr="00282AC9">
        <w:rPr>
          <w:rFonts w:hint="cs"/>
          <w:sz w:val="27"/>
          <w:rtl/>
        </w:rPr>
        <w:t>ّ</w:t>
      </w:r>
      <w:r w:rsidRPr="00282AC9">
        <w:rPr>
          <w:rFonts w:hint="cs"/>
          <w:sz w:val="27"/>
          <w:rtl/>
        </w:rPr>
        <w:t xml:space="preserve"> الملّي </w:t>
      </w:r>
      <w:r w:rsidR="0056633B" w:rsidRPr="00282AC9">
        <w:rPr>
          <w:rFonts w:hint="cs"/>
          <w:b/>
          <w:bCs/>
          <w:sz w:val="27"/>
          <w:rtl/>
        </w:rPr>
        <w:t>ف</w:t>
      </w:r>
      <w:r w:rsidRPr="00282AC9">
        <w:rPr>
          <w:rFonts w:hint="cs"/>
          <w:b/>
          <w:bCs/>
          <w:sz w:val="27"/>
          <w:rtl/>
        </w:rPr>
        <w:t>سوف نقول</w:t>
      </w:r>
      <w:r w:rsidRPr="00282AC9">
        <w:rPr>
          <w:rFonts w:hint="cs"/>
          <w:sz w:val="27"/>
          <w:rtl/>
        </w:rPr>
        <w:t>: إنه لم ير</w:t>
      </w:r>
      <w:r w:rsidR="0056633B" w:rsidRPr="00282AC9">
        <w:rPr>
          <w:rFonts w:hint="cs"/>
          <w:sz w:val="27"/>
          <w:rtl/>
        </w:rPr>
        <w:t>ِ</w:t>
      </w:r>
      <w:r w:rsidRPr="00282AC9">
        <w:rPr>
          <w:rFonts w:hint="cs"/>
          <w:sz w:val="27"/>
          <w:rtl/>
        </w:rPr>
        <w:t>د</w:t>
      </w:r>
      <w:r w:rsidR="0056633B" w:rsidRPr="00282AC9">
        <w:rPr>
          <w:rFonts w:hint="cs"/>
          <w:sz w:val="27"/>
          <w:rtl/>
        </w:rPr>
        <w:t>ْ</w:t>
      </w:r>
      <w:r w:rsidRPr="00282AC9">
        <w:rPr>
          <w:rFonts w:hint="cs"/>
          <w:sz w:val="27"/>
          <w:rtl/>
        </w:rPr>
        <w:t xml:space="preserve"> في تلك الروايات بحث</w:t>
      </w:r>
      <w:r w:rsidR="0056633B" w:rsidRPr="00282AC9">
        <w:rPr>
          <w:rFonts w:hint="cs"/>
          <w:sz w:val="27"/>
          <w:rtl/>
        </w:rPr>
        <w:t>ٌ</w:t>
      </w:r>
      <w:r w:rsidRPr="00282AC9">
        <w:rPr>
          <w:rFonts w:hint="cs"/>
          <w:sz w:val="27"/>
          <w:rtl/>
        </w:rPr>
        <w:t xml:space="preserve"> عن التوبة من ق</w:t>
      </w:r>
      <w:r w:rsidR="0056633B" w:rsidRPr="00282AC9">
        <w:rPr>
          <w:rFonts w:hint="cs"/>
          <w:sz w:val="27"/>
          <w:rtl/>
        </w:rPr>
        <w:t>ِ</w:t>
      </w:r>
      <w:r w:rsidRPr="00282AC9">
        <w:rPr>
          <w:rFonts w:hint="cs"/>
          <w:sz w:val="27"/>
          <w:rtl/>
        </w:rPr>
        <w:t>ب</w:t>
      </w:r>
      <w:r w:rsidR="0056633B" w:rsidRPr="00282AC9">
        <w:rPr>
          <w:rFonts w:hint="cs"/>
          <w:sz w:val="27"/>
          <w:rtl/>
        </w:rPr>
        <w:t>َ</w:t>
      </w:r>
      <w:r w:rsidRPr="00282AC9">
        <w:rPr>
          <w:rFonts w:hint="cs"/>
          <w:sz w:val="27"/>
          <w:rtl/>
        </w:rPr>
        <w:t>ل الشخص المرتد</w:t>
      </w:r>
      <w:r w:rsidR="0056633B" w:rsidRPr="00282AC9">
        <w:rPr>
          <w:rFonts w:hint="cs"/>
          <w:sz w:val="27"/>
          <w:rtl/>
        </w:rPr>
        <w:t>ّ</w:t>
      </w:r>
      <w:r w:rsidRPr="00282AC9">
        <w:rPr>
          <w:rFonts w:hint="cs"/>
          <w:sz w:val="27"/>
          <w:rtl/>
        </w:rPr>
        <w:t>، وما إذا كانت تقبل توبته أم لا، بل إن البحث فيها عن الاستتابة من قِب</w:t>
      </w:r>
      <w:r w:rsidR="0056633B" w:rsidRPr="00282AC9">
        <w:rPr>
          <w:rFonts w:hint="cs"/>
          <w:sz w:val="27"/>
          <w:rtl/>
        </w:rPr>
        <w:t>َ</w:t>
      </w:r>
      <w:r w:rsidRPr="00282AC9">
        <w:rPr>
          <w:rFonts w:hint="cs"/>
          <w:sz w:val="27"/>
          <w:rtl/>
        </w:rPr>
        <w:t>ل الحاكم، وإن موضوع الاستتابة يكون لما بعد إثبات الارتداد</w:t>
      </w:r>
      <w:r w:rsidR="00F33ED6" w:rsidRPr="00282AC9">
        <w:rPr>
          <w:rFonts w:hint="cs"/>
          <w:sz w:val="27"/>
          <w:rtl/>
        </w:rPr>
        <w:t>.</w:t>
      </w:r>
      <w:r w:rsidRPr="00282AC9">
        <w:rPr>
          <w:rFonts w:hint="cs"/>
          <w:sz w:val="27"/>
          <w:rtl/>
        </w:rPr>
        <w:t xml:space="preserve"> </w:t>
      </w:r>
      <w:r w:rsidR="00674EF5" w:rsidRPr="00282AC9">
        <w:rPr>
          <w:rFonts w:hint="cs"/>
          <w:sz w:val="27"/>
          <w:rtl/>
        </w:rPr>
        <w:t>بَيْدَ</w:t>
      </w:r>
      <w:r w:rsidRPr="00282AC9">
        <w:rPr>
          <w:rFonts w:hint="cs"/>
          <w:sz w:val="27"/>
          <w:rtl/>
        </w:rPr>
        <w:t xml:space="preserve"> أن موضوع هذه الرواية التي يستند إليها الفقهاء في إثبات عدم قبول التوبة من المرتد</w:t>
      </w:r>
      <w:r w:rsidR="00F33ED6" w:rsidRPr="00282AC9">
        <w:rPr>
          <w:rFonts w:hint="cs"/>
          <w:sz w:val="27"/>
          <w:rtl/>
        </w:rPr>
        <w:t>ّ</w:t>
      </w:r>
      <w:r w:rsidRPr="00282AC9">
        <w:rPr>
          <w:rFonts w:hint="cs"/>
          <w:sz w:val="27"/>
          <w:rtl/>
        </w:rPr>
        <w:t xml:space="preserve"> عن فطرة</w:t>
      </w:r>
      <w:r w:rsidR="00F33ED6" w:rsidRPr="00282AC9">
        <w:rPr>
          <w:rFonts w:hint="cs"/>
          <w:sz w:val="27"/>
          <w:rtl/>
        </w:rPr>
        <w:t>ٍ</w:t>
      </w:r>
      <w:r w:rsidRPr="00282AC9">
        <w:rPr>
          <w:rFonts w:hint="cs"/>
          <w:sz w:val="27"/>
          <w:rtl/>
        </w:rPr>
        <w:t xml:space="preserve"> هو بحث مطلق التوبة من ق</w:t>
      </w:r>
      <w:r w:rsidR="00F33ED6" w:rsidRPr="00282AC9">
        <w:rPr>
          <w:rFonts w:hint="cs"/>
          <w:sz w:val="27"/>
          <w:rtl/>
        </w:rPr>
        <w:t>ِ</w:t>
      </w:r>
      <w:r w:rsidRPr="00282AC9">
        <w:rPr>
          <w:rFonts w:hint="cs"/>
          <w:sz w:val="27"/>
          <w:rtl/>
        </w:rPr>
        <w:t>ب</w:t>
      </w:r>
      <w:r w:rsidR="00F33ED6" w:rsidRPr="00282AC9">
        <w:rPr>
          <w:rFonts w:hint="cs"/>
          <w:sz w:val="27"/>
          <w:rtl/>
        </w:rPr>
        <w:t>َ</w:t>
      </w:r>
      <w:r w:rsidRPr="00282AC9">
        <w:rPr>
          <w:rFonts w:hint="cs"/>
          <w:sz w:val="27"/>
          <w:rtl/>
        </w:rPr>
        <w:t>ل الشخص المرتد</w:t>
      </w:r>
      <w:r w:rsidR="00F33ED6" w:rsidRPr="00282AC9">
        <w:rPr>
          <w:rFonts w:hint="cs"/>
          <w:sz w:val="27"/>
          <w:rtl/>
        </w:rPr>
        <w:t>ّ</w:t>
      </w:r>
      <w:r w:rsidRPr="00282AC9">
        <w:rPr>
          <w:rFonts w:hint="cs"/>
          <w:sz w:val="27"/>
          <w:rtl/>
        </w:rPr>
        <w:t>. وبعبارة</w:t>
      </w:r>
      <w:r w:rsidR="00F33ED6" w:rsidRPr="00282AC9">
        <w:rPr>
          <w:rFonts w:hint="cs"/>
          <w:sz w:val="27"/>
          <w:rtl/>
        </w:rPr>
        <w:t>ٍ</w:t>
      </w:r>
      <w:r w:rsidRPr="00282AC9">
        <w:rPr>
          <w:rFonts w:hint="cs"/>
          <w:sz w:val="27"/>
          <w:rtl/>
        </w:rPr>
        <w:t xml:space="preserve"> أخرى: إن التوبة قبل إثبات الارتداد تدخل ضمن دائرة منطقة الفراغ من الروايات، والتي لا يوجد فيها أي</w:t>
      </w:r>
      <w:r w:rsidR="00F33ED6" w:rsidRPr="00282AC9">
        <w:rPr>
          <w:rFonts w:hint="cs"/>
          <w:sz w:val="27"/>
          <w:rtl/>
        </w:rPr>
        <w:t>ّ</w:t>
      </w:r>
      <w:r w:rsidRPr="00282AC9">
        <w:rPr>
          <w:rFonts w:hint="cs"/>
          <w:sz w:val="27"/>
          <w:rtl/>
        </w:rPr>
        <w:t xml:space="preserve"> حكم</w:t>
      </w:r>
      <w:r w:rsidR="00F33ED6" w:rsidRPr="00282AC9">
        <w:rPr>
          <w:rFonts w:hint="cs"/>
          <w:sz w:val="27"/>
          <w:rtl/>
        </w:rPr>
        <w:t>ٍ</w:t>
      </w:r>
      <w:r w:rsidRPr="00282AC9">
        <w:rPr>
          <w:rFonts w:hint="cs"/>
          <w:sz w:val="27"/>
          <w:rtl/>
        </w:rPr>
        <w:t xml:space="preserve"> صريح في الروايات عليها، ويجب ات</w:t>
      </w:r>
      <w:r w:rsidR="00F33ED6" w:rsidRPr="00282AC9">
        <w:rPr>
          <w:rFonts w:hint="cs"/>
          <w:sz w:val="27"/>
          <w:rtl/>
        </w:rPr>
        <w:t>ّ</w:t>
      </w:r>
      <w:r w:rsidRPr="00282AC9">
        <w:rPr>
          <w:rFonts w:hint="cs"/>
          <w:sz w:val="27"/>
          <w:rtl/>
        </w:rPr>
        <w:t>خاذ القرار في موردها على أساس إطلاقات وعمومات الآيات والروايات. وعليه إذا كانت الروايتان متعارضتين من جميع الجهات وجب البحث عن وجه</w:t>
      </w:r>
      <w:r w:rsidR="00F33ED6" w:rsidRPr="00282AC9">
        <w:rPr>
          <w:rFonts w:hint="cs"/>
          <w:sz w:val="27"/>
          <w:rtl/>
        </w:rPr>
        <w:t>ٍ</w:t>
      </w:r>
      <w:r w:rsidRPr="00282AC9">
        <w:rPr>
          <w:rFonts w:hint="cs"/>
          <w:sz w:val="27"/>
          <w:rtl/>
        </w:rPr>
        <w:t xml:space="preserve"> لترجيح إحداهما على الأخرى. والذي يمكن الاستفادة منه </w:t>
      </w:r>
      <w:r w:rsidR="00F33ED6" w:rsidRPr="00282AC9">
        <w:rPr>
          <w:rFonts w:hint="cs"/>
          <w:sz w:val="27"/>
          <w:rtl/>
        </w:rPr>
        <w:t>كمرجِّحٍ</w:t>
      </w:r>
      <w:r w:rsidRPr="00282AC9">
        <w:rPr>
          <w:rFonts w:hint="cs"/>
          <w:sz w:val="27"/>
          <w:rtl/>
        </w:rPr>
        <w:t xml:space="preserve"> هو موافقة الروايات لآيات القرآن الكريم. وبعبارة</w:t>
      </w:r>
      <w:r w:rsidR="00F33ED6" w:rsidRPr="00282AC9">
        <w:rPr>
          <w:rFonts w:hint="cs"/>
          <w:sz w:val="27"/>
          <w:rtl/>
        </w:rPr>
        <w:t>ٍ</w:t>
      </w:r>
      <w:r w:rsidRPr="00282AC9">
        <w:rPr>
          <w:rFonts w:hint="cs"/>
          <w:sz w:val="27"/>
          <w:rtl/>
        </w:rPr>
        <w:t xml:space="preserve"> أخرى: لو فسّ</w:t>
      </w:r>
      <w:r w:rsidR="00F33ED6" w:rsidRPr="00282AC9">
        <w:rPr>
          <w:rFonts w:hint="cs"/>
          <w:sz w:val="27"/>
          <w:rtl/>
        </w:rPr>
        <w:t>َ</w:t>
      </w:r>
      <w:r w:rsidRPr="00282AC9">
        <w:rPr>
          <w:rFonts w:hint="cs"/>
          <w:sz w:val="27"/>
          <w:rtl/>
        </w:rPr>
        <w:t>رنا عبارة</w:t>
      </w:r>
      <w:r w:rsidR="00F33ED6" w:rsidRPr="00282AC9">
        <w:rPr>
          <w:rFonts w:hint="cs"/>
          <w:sz w:val="27"/>
          <w:rtl/>
        </w:rPr>
        <w:t xml:space="preserve">: </w:t>
      </w:r>
      <w:r w:rsidRPr="00282AC9">
        <w:rPr>
          <w:rFonts w:hint="eastAsia"/>
          <w:sz w:val="24"/>
          <w:szCs w:val="24"/>
          <w:rtl/>
        </w:rPr>
        <w:t>«</w:t>
      </w:r>
      <w:r w:rsidRPr="00282AC9">
        <w:rPr>
          <w:rFonts w:hint="cs"/>
          <w:sz w:val="27"/>
          <w:rtl/>
        </w:rPr>
        <w:t>فلا توبة له</w:t>
      </w:r>
      <w:r w:rsidRPr="00282AC9">
        <w:rPr>
          <w:rFonts w:hint="eastAsia"/>
          <w:sz w:val="24"/>
          <w:szCs w:val="24"/>
          <w:rtl/>
        </w:rPr>
        <w:t>»</w:t>
      </w:r>
      <w:r w:rsidRPr="00282AC9">
        <w:rPr>
          <w:rFonts w:hint="cs"/>
          <w:sz w:val="27"/>
          <w:rtl/>
        </w:rPr>
        <w:t xml:space="preserve"> بمعناها الحقيقي، واعتبرناها بشكل</w:t>
      </w:r>
      <w:r w:rsidR="00F33ED6" w:rsidRPr="00282AC9">
        <w:rPr>
          <w:rFonts w:hint="cs"/>
          <w:sz w:val="27"/>
          <w:rtl/>
        </w:rPr>
        <w:t>ٍ</w:t>
      </w:r>
      <w:r w:rsidRPr="00282AC9">
        <w:rPr>
          <w:rFonts w:hint="cs"/>
          <w:sz w:val="27"/>
          <w:rtl/>
        </w:rPr>
        <w:t xml:space="preserve"> مطلق، فسوف تتعارض مع آيات مطلق التوبة</w:t>
      </w:r>
      <w:r w:rsidR="00F33ED6" w:rsidRPr="00282AC9">
        <w:rPr>
          <w:rFonts w:hint="cs"/>
          <w:sz w:val="27"/>
          <w:rtl/>
        </w:rPr>
        <w:t>،</w:t>
      </w:r>
      <w:r w:rsidRPr="00282AC9">
        <w:rPr>
          <w:rFonts w:hint="cs"/>
          <w:sz w:val="27"/>
          <w:rtl/>
        </w:rPr>
        <w:t xml:space="preserve"> وآيات التوبة في باب الارتداد. وعلى هذا الأساس فإن الرواية </w:t>
      </w:r>
      <w:r w:rsidR="00F33ED6" w:rsidRPr="00282AC9">
        <w:rPr>
          <w:rFonts w:hint="cs"/>
          <w:sz w:val="27"/>
          <w:rtl/>
        </w:rPr>
        <w:t>المتقدِّمة</w:t>
      </w:r>
      <w:r w:rsidRPr="00282AC9">
        <w:rPr>
          <w:rFonts w:hint="cs"/>
          <w:sz w:val="27"/>
          <w:rtl/>
        </w:rPr>
        <w:t xml:space="preserve"> يجب أن تكون ناظرة</w:t>
      </w:r>
      <w:r w:rsidR="00F33ED6" w:rsidRPr="00282AC9">
        <w:rPr>
          <w:rFonts w:hint="cs"/>
          <w:sz w:val="27"/>
          <w:rtl/>
        </w:rPr>
        <w:t>ً</w:t>
      </w:r>
      <w:r w:rsidRPr="00282AC9">
        <w:rPr>
          <w:rFonts w:hint="cs"/>
          <w:sz w:val="27"/>
          <w:rtl/>
        </w:rPr>
        <w:t xml:space="preserve"> إلى التوبة بعد إقامة البي</w:t>
      </w:r>
      <w:r w:rsidR="00F33ED6" w:rsidRPr="00282AC9">
        <w:rPr>
          <w:rFonts w:hint="cs"/>
          <w:sz w:val="27"/>
          <w:rtl/>
        </w:rPr>
        <w:t>ِّ</w:t>
      </w:r>
      <w:r w:rsidRPr="00282AC9">
        <w:rPr>
          <w:rFonts w:hint="cs"/>
          <w:sz w:val="27"/>
          <w:rtl/>
        </w:rPr>
        <w:t>نة عند الحاكم</w:t>
      </w:r>
      <w:r w:rsidR="00F33ED6" w:rsidRPr="00282AC9">
        <w:rPr>
          <w:rFonts w:hint="cs"/>
          <w:sz w:val="27"/>
          <w:rtl/>
        </w:rPr>
        <w:t>،</w:t>
      </w:r>
      <w:r w:rsidRPr="00282AC9">
        <w:rPr>
          <w:rFonts w:hint="cs"/>
          <w:sz w:val="27"/>
          <w:rtl/>
        </w:rPr>
        <w:t xml:space="preserve"> وليس قبلها، وفي مثل هذه الحالة لو تاب المرتد</w:t>
      </w:r>
      <w:r w:rsidR="00F33ED6" w:rsidRPr="00282AC9">
        <w:rPr>
          <w:rFonts w:hint="cs"/>
          <w:sz w:val="27"/>
          <w:rtl/>
        </w:rPr>
        <w:t>ّ</w:t>
      </w:r>
      <w:r w:rsidRPr="00282AC9">
        <w:rPr>
          <w:rFonts w:hint="cs"/>
          <w:sz w:val="27"/>
          <w:rtl/>
        </w:rPr>
        <w:t xml:space="preserve"> الفطري قبل إقامة البي</w:t>
      </w:r>
      <w:r w:rsidR="00F33ED6" w:rsidRPr="00282AC9">
        <w:rPr>
          <w:rFonts w:hint="cs"/>
          <w:sz w:val="27"/>
          <w:rtl/>
        </w:rPr>
        <w:t>ِّ</w:t>
      </w:r>
      <w:r w:rsidRPr="00282AC9">
        <w:rPr>
          <w:rFonts w:hint="cs"/>
          <w:sz w:val="27"/>
          <w:rtl/>
        </w:rPr>
        <w:t>نة سوف يتم</w:t>
      </w:r>
      <w:r w:rsidR="00F33ED6" w:rsidRPr="00282AC9">
        <w:rPr>
          <w:rFonts w:hint="cs"/>
          <w:sz w:val="27"/>
          <w:rtl/>
        </w:rPr>
        <w:t>ّ</w:t>
      </w:r>
      <w:r w:rsidRPr="00282AC9">
        <w:rPr>
          <w:rFonts w:hint="cs"/>
          <w:sz w:val="27"/>
          <w:rtl/>
        </w:rPr>
        <w:t xml:space="preserve"> رفع الحدّ عنه.</w:t>
      </w:r>
    </w:p>
    <w:p w:rsidR="005A1BD7" w:rsidRPr="00282AC9" w:rsidRDefault="00981610" w:rsidP="00637F45">
      <w:pPr>
        <w:pStyle w:val="31"/>
        <w:rPr>
          <w:color w:val="auto"/>
          <w:rtl/>
        </w:rPr>
      </w:pPr>
      <w:r w:rsidRPr="00282AC9">
        <w:rPr>
          <w:rFonts w:hint="cs"/>
          <w:color w:val="auto"/>
          <w:rtl/>
        </w:rPr>
        <w:lastRenderedPageBreak/>
        <w:t xml:space="preserve">هـ ـ </w:t>
      </w:r>
      <w:r w:rsidR="005A1BD7" w:rsidRPr="00282AC9">
        <w:rPr>
          <w:rFonts w:hint="cs"/>
          <w:color w:val="auto"/>
          <w:rtl/>
        </w:rPr>
        <w:t xml:space="preserve">آيات القرآن </w:t>
      </w:r>
      <w:r w:rsidR="00637F45" w:rsidRPr="00282AC9">
        <w:rPr>
          <w:rFonts w:hint="cs"/>
          <w:color w:val="auto"/>
          <w:rtl/>
        </w:rPr>
        <w:t>و</w:t>
      </w:r>
      <w:r w:rsidR="005A1BD7" w:rsidRPr="00282AC9">
        <w:rPr>
          <w:rFonts w:hint="cs"/>
          <w:color w:val="auto"/>
          <w:rtl/>
        </w:rPr>
        <w:t>قبول توبة المرتد</w:t>
      </w:r>
      <w:r w:rsidR="00F33ED6" w:rsidRPr="00282AC9">
        <w:rPr>
          <w:rFonts w:hint="cs"/>
          <w:color w:val="auto"/>
          <w:rtl/>
        </w:rPr>
        <w:t>ّ</w:t>
      </w:r>
      <w:r w:rsidR="00637F45" w:rsidRPr="00282AC9">
        <w:rPr>
          <w:rFonts w:hint="cs"/>
          <w:color w:val="auto"/>
          <w:rtl/>
        </w:rPr>
        <w:t>، بين التصريح والتلويح</w:t>
      </w:r>
    </w:p>
    <w:p w:rsidR="005A1BD7" w:rsidRPr="00282AC9" w:rsidRDefault="005A1BD7" w:rsidP="008F042E">
      <w:pPr>
        <w:spacing w:line="410" w:lineRule="exact"/>
        <w:rPr>
          <w:sz w:val="27"/>
          <w:rtl/>
        </w:rPr>
      </w:pPr>
      <w:r w:rsidRPr="00282AC9">
        <w:rPr>
          <w:rFonts w:hint="cs"/>
          <w:sz w:val="27"/>
          <w:rtl/>
        </w:rPr>
        <w:t xml:space="preserve">قال الله تعالى في القرآن الكريم: </w:t>
      </w:r>
      <w:r w:rsidR="00C5291F" w:rsidRPr="00282AC9">
        <w:rPr>
          <w:rFonts w:ascii="Mosawi" w:hAnsi="Mosawi" w:cs="Mosawi"/>
          <w:sz w:val="24"/>
          <w:szCs w:val="24"/>
          <w:rtl/>
        </w:rPr>
        <w:t>﴿</w:t>
      </w:r>
      <w:r w:rsidRPr="00282AC9">
        <w:rPr>
          <w:b/>
          <w:bCs/>
          <w:sz w:val="27"/>
          <w:rtl/>
        </w:rPr>
        <w:t>قُلْ يَا</w:t>
      </w:r>
      <w:r w:rsidRPr="00282AC9">
        <w:rPr>
          <w:rFonts w:hint="cs"/>
          <w:b/>
          <w:bCs/>
          <w:sz w:val="27"/>
          <w:rtl/>
        </w:rPr>
        <w:t xml:space="preserve"> </w:t>
      </w:r>
      <w:r w:rsidRPr="00282AC9">
        <w:rPr>
          <w:b/>
          <w:bCs/>
          <w:sz w:val="27"/>
          <w:rtl/>
        </w:rPr>
        <w:t>عِبَادِيَ الَّذِينَ أَسْرَفُوا عَلَى أَنْ</w:t>
      </w:r>
      <w:r w:rsidR="00F33ED6" w:rsidRPr="00282AC9">
        <w:rPr>
          <w:b/>
          <w:bCs/>
          <w:sz w:val="27"/>
          <w:rtl/>
        </w:rPr>
        <w:t>فُسِهِمْ ل</w:t>
      </w:r>
      <w:r w:rsidRPr="00282AC9">
        <w:rPr>
          <w:b/>
          <w:bCs/>
          <w:sz w:val="27"/>
          <w:rtl/>
        </w:rPr>
        <w:t xml:space="preserve">ا تَقْنَطُوا مِنْ رَحْمَةِ </w:t>
      </w:r>
      <w:r w:rsidR="006D28AF" w:rsidRPr="00282AC9">
        <w:rPr>
          <w:b/>
          <w:bCs/>
          <w:sz w:val="27"/>
          <w:rtl/>
        </w:rPr>
        <w:t>الل</w:t>
      </w:r>
      <w:r w:rsidRPr="00282AC9">
        <w:rPr>
          <w:b/>
          <w:bCs/>
          <w:sz w:val="27"/>
          <w:rtl/>
        </w:rPr>
        <w:t xml:space="preserve">هِ إِنَّ </w:t>
      </w:r>
      <w:r w:rsidR="006D28AF" w:rsidRPr="00282AC9">
        <w:rPr>
          <w:b/>
          <w:bCs/>
          <w:sz w:val="27"/>
          <w:rtl/>
        </w:rPr>
        <w:t>الل</w:t>
      </w:r>
      <w:r w:rsidRPr="00282AC9">
        <w:rPr>
          <w:b/>
          <w:bCs/>
          <w:sz w:val="27"/>
          <w:rtl/>
        </w:rPr>
        <w:t>هَ يَغْفِرُ الذُّنُوبَ جَمِيعاً</w:t>
      </w:r>
      <w:r w:rsidR="00C5291F" w:rsidRPr="00282AC9">
        <w:rPr>
          <w:rFonts w:ascii="Mosawi" w:hAnsi="Mosawi" w:cs="Mosawi"/>
          <w:sz w:val="24"/>
          <w:szCs w:val="24"/>
          <w:rtl/>
        </w:rPr>
        <w:t>﴾</w:t>
      </w:r>
      <w:r w:rsidRPr="00282AC9">
        <w:rPr>
          <w:rFonts w:hint="cs"/>
          <w:sz w:val="27"/>
          <w:rtl/>
        </w:rPr>
        <w:t xml:space="preserve"> (الزمر: 53).</w:t>
      </w:r>
    </w:p>
    <w:p w:rsidR="005A1BD7" w:rsidRPr="00282AC9" w:rsidRDefault="005A1BD7" w:rsidP="00C75E73">
      <w:pPr>
        <w:rPr>
          <w:sz w:val="27"/>
          <w:rtl/>
        </w:rPr>
      </w:pPr>
      <w:r w:rsidRPr="00282AC9">
        <w:rPr>
          <w:rFonts w:hint="cs"/>
          <w:sz w:val="27"/>
          <w:rtl/>
        </w:rPr>
        <w:t>إن الأدل</w:t>
      </w:r>
      <w:r w:rsidR="00F33ED6" w:rsidRPr="00282AC9">
        <w:rPr>
          <w:rFonts w:hint="cs"/>
          <w:sz w:val="27"/>
          <w:rtl/>
        </w:rPr>
        <w:t>ّ</w:t>
      </w:r>
      <w:r w:rsidRPr="00282AC9">
        <w:rPr>
          <w:rFonts w:hint="cs"/>
          <w:sz w:val="27"/>
          <w:rtl/>
        </w:rPr>
        <w:t>ة النقلية والعقلية على قبول التوبة الحقيقية</w:t>
      </w:r>
      <w:r w:rsidR="006A3CED" w:rsidRPr="00282AC9">
        <w:rPr>
          <w:rFonts w:hint="cs"/>
          <w:sz w:val="27"/>
          <w:rtl/>
        </w:rPr>
        <w:t>،</w:t>
      </w:r>
      <w:r w:rsidRPr="00282AC9">
        <w:rPr>
          <w:rFonts w:hint="cs"/>
          <w:sz w:val="27"/>
          <w:rtl/>
        </w:rPr>
        <w:t xml:space="preserve"> بالشرائط المقرّ</w:t>
      </w:r>
      <w:r w:rsidR="00C23009" w:rsidRPr="00282AC9">
        <w:rPr>
          <w:rFonts w:hint="cs"/>
          <w:sz w:val="27"/>
          <w:rtl/>
        </w:rPr>
        <w:t>َ</w:t>
      </w:r>
      <w:r w:rsidRPr="00282AC9">
        <w:rPr>
          <w:rFonts w:hint="cs"/>
          <w:sz w:val="27"/>
          <w:rtl/>
        </w:rPr>
        <w:t>رة من قِب</w:t>
      </w:r>
      <w:r w:rsidR="00C23009" w:rsidRPr="00282AC9">
        <w:rPr>
          <w:rFonts w:hint="cs"/>
          <w:sz w:val="27"/>
          <w:rtl/>
        </w:rPr>
        <w:t>َ</w:t>
      </w:r>
      <w:r w:rsidRPr="00282AC9">
        <w:rPr>
          <w:rFonts w:hint="cs"/>
          <w:sz w:val="27"/>
          <w:rtl/>
        </w:rPr>
        <w:t>ل الله سبحانه وتعالى، بحيث لا يمكن تخصيصها أو تقييدها</w:t>
      </w:r>
      <w:r w:rsidR="006A3CED" w:rsidRPr="00282AC9">
        <w:rPr>
          <w:rFonts w:hint="cs"/>
          <w:sz w:val="27"/>
          <w:rtl/>
        </w:rPr>
        <w:t>.</w:t>
      </w:r>
      <w:r w:rsidRPr="00282AC9">
        <w:rPr>
          <w:rFonts w:hint="cs"/>
          <w:sz w:val="27"/>
          <w:rtl/>
        </w:rPr>
        <w:t xml:space="preserve"> وإن المورد الوحيد الذي لا تنفع معه التوبة</w:t>
      </w:r>
      <w:r w:rsidR="006A3CED" w:rsidRPr="00282AC9">
        <w:rPr>
          <w:rFonts w:hint="cs"/>
          <w:sz w:val="27"/>
          <w:rtl/>
        </w:rPr>
        <w:t xml:space="preserve"> أن يشارف الشخص على الموت وي</w:t>
      </w:r>
      <w:r w:rsidRPr="00282AC9">
        <w:rPr>
          <w:rFonts w:hint="cs"/>
          <w:sz w:val="27"/>
          <w:rtl/>
        </w:rPr>
        <w:t xml:space="preserve">حتضر؛ إذ يقول تعالى: </w:t>
      </w:r>
      <w:r w:rsidR="00C5291F" w:rsidRPr="00282AC9">
        <w:rPr>
          <w:rFonts w:ascii="Mosawi" w:hAnsi="Mosawi" w:cs="Mosawi"/>
          <w:sz w:val="24"/>
          <w:szCs w:val="24"/>
          <w:rtl/>
        </w:rPr>
        <w:t>﴿</w:t>
      </w:r>
      <w:r w:rsidRPr="00282AC9">
        <w:rPr>
          <w:b/>
          <w:bCs/>
          <w:sz w:val="27"/>
          <w:rtl/>
        </w:rPr>
        <w:t>وَلَيْسَتِ التَّوْبَةُ لِلَّذِينَ يَعْمَلُونَ السَّيِّئَاتِ حَتَّى إِذَا حَضَرَ أَحَدَهُمُ ا</w:t>
      </w:r>
      <w:r w:rsidR="006A3CED" w:rsidRPr="00282AC9">
        <w:rPr>
          <w:b/>
          <w:bCs/>
          <w:sz w:val="27"/>
          <w:rtl/>
        </w:rPr>
        <w:t>لْمَوْتُ قَالَ إِنِّي تُبْتُ ال</w:t>
      </w:r>
      <w:r w:rsidRPr="00282AC9">
        <w:rPr>
          <w:b/>
          <w:bCs/>
          <w:sz w:val="27"/>
          <w:rtl/>
        </w:rPr>
        <w:t>آنَ</w:t>
      </w:r>
      <w:r w:rsidRPr="00282AC9">
        <w:rPr>
          <w:rFonts w:hint="cs"/>
          <w:b/>
          <w:bCs/>
          <w:sz w:val="27"/>
          <w:rtl/>
        </w:rPr>
        <w:t>...</w:t>
      </w:r>
      <w:r w:rsidR="00C5291F" w:rsidRPr="00282AC9">
        <w:rPr>
          <w:rFonts w:ascii="Mosawi" w:hAnsi="Mosawi" w:cs="Mosawi"/>
          <w:sz w:val="24"/>
          <w:szCs w:val="24"/>
          <w:rtl/>
        </w:rPr>
        <w:t>﴾</w:t>
      </w:r>
      <w:r w:rsidRPr="00282AC9">
        <w:rPr>
          <w:rFonts w:hint="cs"/>
          <w:sz w:val="27"/>
          <w:rtl/>
        </w:rPr>
        <w:t xml:space="preserve"> (النساء: 18).</w:t>
      </w:r>
    </w:p>
    <w:p w:rsidR="005A1BD7" w:rsidRPr="00282AC9" w:rsidRDefault="005A1BD7" w:rsidP="00C75E73">
      <w:pPr>
        <w:rPr>
          <w:sz w:val="27"/>
          <w:rtl/>
        </w:rPr>
      </w:pPr>
      <w:r w:rsidRPr="00282AC9">
        <w:rPr>
          <w:rFonts w:hint="cs"/>
          <w:sz w:val="27"/>
          <w:rtl/>
        </w:rPr>
        <w:t>وبالإضافة إلى ذلك</w:t>
      </w:r>
      <w:r w:rsidR="006A3CED" w:rsidRPr="00282AC9">
        <w:rPr>
          <w:rFonts w:hint="cs"/>
          <w:sz w:val="27"/>
          <w:rtl/>
        </w:rPr>
        <w:t>،</w:t>
      </w:r>
      <w:r w:rsidRPr="00282AC9">
        <w:rPr>
          <w:rFonts w:hint="cs"/>
          <w:sz w:val="27"/>
          <w:rtl/>
        </w:rPr>
        <w:t xml:space="preserve"> هناك بعض الآيات الأخرى التي تدل</w:t>
      </w:r>
      <w:r w:rsidR="006A3CED" w:rsidRPr="00282AC9">
        <w:rPr>
          <w:rFonts w:hint="cs"/>
          <w:sz w:val="27"/>
          <w:rtl/>
        </w:rPr>
        <w:t>ّ</w:t>
      </w:r>
      <w:r w:rsidRPr="00282AC9">
        <w:rPr>
          <w:rFonts w:hint="cs"/>
          <w:sz w:val="27"/>
          <w:rtl/>
        </w:rPr>
        <w:t xml:space="preserve"> على قبول توبة المرتد</w:t>
      </w:r>
      <w:r w:rsidR="006A3CED" w:rsidRPr="00282AC9">
        <w:rPr>
          <w:rFonts w:hint="cs"/>
          <w:sz w:val="27"/>
          <w:rtl/>
        </w:rPr>
        <w:t>ّ تلويحاً، ومن</w:t>
      </w:r>
      <w:r w:rsidRPr="00282AC9">
        <w:rPr>
          <w:rFonts w:hint="cs"/>
          <w:sz w:val="27"/>
          <w:rtl/>
        </w:rPr>
        <w:t>ها</w:t>
      </w:r>
      <w:r w:rsidR="006A3CED" w:rsidRPr="00282AC9">
        <w:rPr>
          <w:rFonts w:hint="cs"/>
          <w:sz w:val="27"/>
          <w:rtl/>
        </w:rPr>
        <w:t>:</w:t>
      </w:r>
      <w:r w:rsidRPr="00282AC9">
        <w:rPr>
          <w:rFonts w:hint="cs"/>
          <w:sz w:val="27"/>
          <w:rtl/>
        </w:rPr>
        <w:t xml:space="preserve"> قوله تعالى: </w:t>
      </w:r>
      <w:r w:rsidR="00C5291F" w:rsidRPr="00282AC9">
        <w:rPr>
          <w:rFonts w:ascii="Mosawi" w:hAnsi="Mosawi" w:cs="Mosawi"/>
          <w:sz w:val="24"/>
          <w:szCs w:val="24"/>
          <w:rtl/>
        </w:rPr>
        <w:t>﴿</w:t>
      </w:r>
      <w:r w:rsidRPr="00282AC9">
        <w:rPr>
          <w:b/>
          <w:bCs/>
          <w:sz w:val="27"/>
          <w:rtl/>
        </w:rPr>
        <w:t>وَمَنْ يَرْتَدِدْ مِنْكُمْ عَنْ دِينِهِ فَيَمُتْ وَهُوَ كَافِرٌ فَأُولَئِكَ حَبِطَتْ أَعْمَالُهُمْ فِي ا</w:t>
      </w:r>
      <w:r w:rsidR="0082505E" w:rsidRPr="00282AC9">
        <w:rPr>
          <w:b/>
          <w:bCs/>
          <w:sz w:val="27"/>
          <w:rtl/>
        </w:rPr>
        <w:t>لدُّنْيَا وَال</w:t>
      </w:r>
      <w:r w:rsidRPr="00282AC9">
        <w:rPr>
          <w:b/>
          <w:bCs/>
          <w:sz w:val="27"/>
          <w:rtl/>
        </w:rPr>
        <w:t>آخِرَةِ وَأُولَئِكَ أَصْحَابُ النَّارِ هُمْ فِيهَا خَالِدُونَ</w:t>
      </w:r>
      <w:r w:rsidR="00C5291F" w:rsidRPr="00282AC9">
        <w:rPr>
          <w:rFonts w:ascii="Mosawi" w:hAnsi="Mosawi" w:cs="Mosawi"/>
          <w:sz w:val="24"/>
          <w:szCs w:val="24"/>
          <w:rtl/>
        </w:rPr>
        <w:t>﴾</w:t>
      </w:r>
      <w:r w:rsidR="006A3CED" w:rsidRPr="00282AC9">
        <w:rPr>
          <w:rFonts w:hint="cs"/>
          <w:sz w:val="27"/>
          <w:rtl/>
        </w:rPr>
        <w:t xml:space="preserve"> (البقرة: 217)</w:t>
      </w:r>
      <w:r w:rsidR="0082505E" w:rsidRPr="00282AC9">
        <w:rPr>
          <w:rFonts w:hint="cs"/>
          <w:sz w:val="27"/>
          <w:rtl/>
        </w:rPr>
        <w:t>،</w:t>
      </w:r>
      <w:r w:rsidRPr="00282AC9">
        <w:rPr>
          <w:rFonts w:hint="cs"/>
          <w:sz w:val="27"/>
          <w:rtl/>
        </w:rPr>
        <w:t xml:space="preserve"> بتقريب أن كلمة </w:t>
      </w:r>
      <w:r w:rsidRPr="00282AC9">
        <w:rPr>
          <w:rFonts w:hint="eastAsia"/>
          <w:sz w:val="24"/>
          <w:szCs w:val="24"/>
          <w:rtl/>
        </w:rPr>
        <w:t>«</w:t>
      </w:r>
      <w:r w:rsidRPr="00282AC9">
        <w:rPr>
          <w:rFonts w:hint="cs"/>
          <w:sz w:val="27"/>
          <w:rtl/>
        </w:rPr>
        <w:t>حَبِطَ</w:t>
      </w:r>
      <w:r w:rsidRPr="00282AC9">
        <w:rPr>
          <w:rFonts w:hint="eastAsia"/>
          <w:sz w:val="24"/>
          <w:szCs w:val="24"/>
          <w:rtl/>
        </w:rPr>
        <w:t>»</w:t>
      </w:r>
      <w:r w:rsidRPr="00282AC9">
        <w:rPr>
          <w:rFonts w:hint="cs"/>
          <w:sz w:val="27"/>
          <w:rtl/>
        </w:rPr>
        <w:t xml:space="preserve"> تدل</w:t>
      </w:r>
      <w:r w:rsidR="0082505E" w:rsidRPr="00282AC9">
        <w:rPr>
          <w:rFonts w:hint="cs"/>
          <w:sz w:val="27"/>
          <w:rtl/>
        </w:rPr>
        <w:t>ّ</w:t>
      </w:r>
      <w:r w:rsidRPr="00282AC9">
        <w:rPr>
          <w:rFonts w:hint="cs"/>
          <w:sz w:val="27"/>
          <w:rtl/>
        </w:rPr>
        <w:t xml:space="preserve"> على بطلان العمل وعدم تأثيره، ولم يُن</w:t>
      </w:r>
      <w:r w:rsidR="0082505E" w:rsidRPr="00282AC9">
        <w:rPr>
          <w:rFonts w:hint="cs"/>
          <w:sz w:val="27"/>
          <w:rtl/>
        </w:rPr>
        <w:t>ْ</w:t>
      </w:r>
      <w:r w:rsidRPr="00282AC9">
        <w:rPr>
          <w:rFonts w:hint="cs"/>
          <w:sz w:val="27"/>
          <w:rtl/>
        </w:rPr>
        <w:t>س</w:t>
      </w:r>
      <w:r w:rsidR="0082505E" w:rsidRPr="00282AC9">
        <w:rPr>
          <w:rFonts w:hint="cs"/>
          <w:sz w:val="27"/>
          <w:rtl/>
        </w:rPr>
        <w:t>َ</w:t>
      </w:r>
      <w:r w:rsidRPr="00282AC9">
        <w:rPr>
          <w:rFonts w:hint="cs"/>
          <w:sz w:val="27"/>
          <w:rtl/>
        </w:rPr>
        <w:t>ب هذا المعنى في القرآن إلى غير العمل</w:t>
      </w:r>
      <w:r w:rsidRPr="00282AC9">
        <w:rPr>
          <w:sz w:val="27"/>
          <w:vertAlign w:val="superscript"/>
          <w:rtl/>
        </w:rPr>
        <w:t>(</w:t>
      </w:r>
      <w:r w:rsidRPr="00282AC9">
        <w:rPr>
          <w:rStyle w:val="af9"/>
          <w:sz w:val="27"/>
          <w:rtl/>
        </w:rPr>
        <w:endnoteReference w:id="281"/>
      </w:r>
      <w:r w:rsidRPr="00282AC9">
        <w:rPr>
          <w:sz w:val="27"/>
          <w:vertAlign w:val="superscript"/>
          <w:rtl/>
        </w:rPr>
        <w:t>)</w:t>
      </w:r>
      <w:r w:rsidR="0082505E" w:rsidRPr="00282AC9">
        <w:rPr>
          <w:rFonts w:hint="cs"/>
          <w:sz w:val="27"/>
          <w:rtl/>
        </w:rPr>
        <w:t>.</w:t>
      </w:r>
      <w:r w:rsidRPr="00282AC9">
        <w:rPr>
          <w:rFonts w:hint="cs"/>
          <w:sz w:val="27"/>
          <w:rtl/>
        </w:rPr>
        <w:t xml:space="preserve"> ولا يمكن تفسير معنى حبط الأعمال في الدنيا على إجراء الأحكام وعقوبات المرتد</w:t>
      </w:r>
      <w:r w:rsidR="0082505E" w:rsidRPr="00282AC9">
        <w:rPr>
          <w:rFonts w:hint="cs"/>
          <w:sz w:val="27"/>
          <w:rtl/>
        </w:rPr>
        <w:t>ّ</w:t>
      </w:r>
      <w:r w:rsidRPr="00282AC9">
        <w:rPr>
          <w:rFonts w:hint="cs"/>
          <w:sz w:val="27"/>
          <w:rtl/>
        </w:rPr>
        <w:t>، كما ذهب إلى ذلك بعض المفس</w:t>
      </w:r>
      <w:r w:rsidR="0082505E" w:rsidRPr="00282AC9">
        <w:rPr>
          <w:rFonts w:hint="cs"/>
          <w:sz w:val="27"/>
          <w:rtl/>
        </w:rPr>
        <w:t>ِّ</w:t>
      </w:r>
      <w:r w:rsidRPr="00282AC9">
        <w:rPr>
          <w:rFonts w:hint="cs"/>
          <w:sz w:val="27"/>
          <w:rtl/>
        </w:rPr>
        <w:t>رين</w:t>
      </w:r>
      <w:r w:rsidRPr="00282AC9">
        <w:rPr>
          <w:sz w:val="27"/>
          <w:vertAlign w:val="superscript"/>
          <w:rtl/>
        </w:rPr>
        <w:t>(</w:t>
      </w:r>
      <w:r w:rsidRPr="00282AC9">
        <w:rPr>
          <w:rStyle w:val="af9"/>
          <w:sz w:val="27"/>
          <w:rtl/>
        </w:rPr>
        <w:endnoteReference w:id="282"/>
      </w:r>
      <w:r w:rsidRPr="00282AC9">
        <w:rPr>
          <w:sz w:val="27"/>
          <w:vertAlign w:val="superscript"/>
          <w:rtl/>
        </w:rPr>
        <w:t>)</w:t>
      </w:r>
      <w:r w:rsidRPr="00282AC9">
        <w:rPr>
          <w:rFonts w:hint="cs"/>
          <w:sz w:val="27"/>
          <w:rtl/>
        </w:rPr>
        <w:t>. وقال السيد اليزدي في العروة الوثقى: إن هذه الآية تدل</w:t>
      </w:r>
      <w:r w:rsidR="0082505E" w:rsidRPr="00282AC9">
        <w:rPr>
          <w:rFonts w:hint="cs"/>
          <w:sz w:val="27"/>
          <w:rtl/>
        </w:rPr>
        <w:t>ّ</w:t>
      </w:r>
      <w:r w:rsidRPr="00282AC9">
        <w:rPr>
          <w:rFonts w:hint="cs"/>
          <w:sz w:val="27"/>
          <w:rtl/>
        </w:rPr>
        <w:t xml:space="preserve"> على قبول التوبة من المرتد</w:t>
      </w:r>
      <w:r w:rsidR="0082505E" w:rsidRPr="00282AC9">
        <w:rPr>
          <w:rFonts w:hint="cs"/>
          <w:sz w:val="27"/>
          <w:rtl/>
        </w:rPr>
        <w:t>ّ</w:t>
      </w:r>
      <w:r w:rsidRPr="00282AC9">
        <w:rPr>
          <w:rFonts w:hint="cs"/>
          <w:sz w:val="27"/>
          <w:rtl/>
        </w:rPr>
        <w:t xml:space="preserve"> الفطري</w:t>
      </w:r>
      <w:r w:rsidR="0082505E" w:rsidRPr="00282AC9">
        <w:rPr>
          <w:rFonts w:hint="cs"/>
          <w:sz w:val="27"/>
          <w:rtl/>
        </w:rPr>
        <w:t>.</w:t>
      </w:r>
      <w:r w:rsidRPr="00282AC9">
        <w:rPr>
          <w:rFonts w:hint="cs"/>
          <w:sz w:val="27"/>
          <w:rtl/>
        </w:rPr>
        <w:t xml:space="preserve"> وعليه</w:t>
      </w:r>
      <w:r w:rsidR="0082505E" w:rsidRPr="00282AC9">
        <w:rPr>
          <w:rFonts w:hint="cs"/>
          <w:sz w:val="27"/>
          <w:rtl/>
        </w:rPr>
        <w:t>،</w:t>
      </w:r>
      <w:r w:rsidRPr="00282AC9">
        <w:rPr>
          <w:rFonts w:hint="cs"/>
          <w:sz w:val="27"/>
          <w:rtl/>
        </w:rPr>
        <w:t xml:space="preserve"> ليس هناك وجه</w:t>
      </w:r>
      <w:r w:rsidR="0082505E" w:rsidRPr="00282AC9">
        <w:rPr>
          <w:rFonts w:hint="cs"/>
          <w:sz w:val="27"/>
          <w:rtl/>
        </w:rPr>
        <w:t>ٌ</w:t>
      </w:r>
      <w:r w:rsidRPr="00282AC9">
        <w:rPr>
          <w:rFonts w:hint="cs"/>
          <w:sz w:val="27"/>
          <w:rtl/>
        </w:rPr>
        <w:t xml:space="preserve"> لما ذكره البعض من عدم قبول توبة المرتد</w:t>
      </w:r>
      <w:r w:rsidR="0082505E" w:rsidRPr="00282AC9">
        <w:rPr>
          <w:rFonts w:hint="cs"/>
          <w:sz w:val="27"/>
          <w:rtl/>
        </w:rPr>
        <w:t>ّ</w:t>
      </w:r>
      <w:r w:rsidRPr="00282AC9">
        <w:rPr>
          <w:rFonts w:hint="cs"/>
          <w:sz w:val="27"/>
          <w:rtl/>
        </w:rPr>
        <w:t xml:space="preserve"> عن فطرة</w:t>
      </w:r>
      <w:r w:rsidR="0082505E" w:rsidRPr="00282AC9">
        <w:rPr>
          <w:rFonts w:hint="cs"/>
          <w:sz w:val="27"/>
          <w:rtl/>
        </w:rPr>
        <w:t>ٍ</w:t>
      </w:r>
      <w:r w:rsidRPr="00282AC9">
        <w:rPr>
          <w:sz w:val="27"/>
          <w:vertAlign w:val="superscript"/>
          <w:rtl/>
        </w:rPr>
        <w:t>(</w:t>
      </w:r>
      <w:r w:rsidRPr="00282AC9">
        <w:rPr>
          <w:rStyle w:val="af9"/>
          <w:sz w:val="27"/>
          <w:rtl/>
        </w:rPr>
        <w:endnoteReference w:id="283"/>
      </w:r>
      <w:r w:rsidRPr="00282AC9">
        <w:rPr>
          <w:sz w:val="27"/>
          <w:vertAlign w:val="superscript"/>
          <w:rtl/>
        </w:rPr>
        <w:t>)</w:t>
      </w:r>
      <w:r w:rsidRPr="00282AC9">
        <w:rPr>
          <w:rFonts w:hint="cs"/>
          <w:sz w:val="27"/>
          <w:rtl/>
        </w:rPr>
        <w:t xml:space="preserve">. إن قيد </w:t>
      </w:r>
      <w:r w:rsidRPr="00282AC9">
        <w:rPr>
          <w:rFonts w:hint="eastAsia"/>
          <w:sz w:val="24"/>
          <w:szCs w:val="24"/>
          <w:rtl/>
        </w:rPr>
        <w:t>«</w:t>
      </w:r>
      <w:r w:rsidRPr="00282AC9">
        <w:rPr>
          <w:rFonts w:hint="cs"/>
          <w:sz w:val="27"/>
          <w:rtl/>
        </w:rPr>
        <w:t>فيم</w:t>
      </w:r>
      <w:r w:rsidR="0082505E" w:rsidRPr="00282AC9">
        <w:rPr>
          <w:rFonts w:hint="cs"/>
          <w:sz w:val="27"/>
          <w:rtl/>
        </w:rPr>
        <w:t>ُ</w:t>
      </w:r>
      <w:r w:rsidRPr="00282AC9">
        <w:rPr>
          <w:rFonts w:hint="cs"/>
          <w:sz w:val="27"/>
          <w:rtl/>
        </w:rPr>
        <w:t>ت</w:t>
      </w:r>
      <w:r w:rsidR="0082505E" w:rsidRPr="00282AC9">
        <w:rPr>
          <w:rFonts w:hint="cs"/>
          <w:sz w:val="27"/>
          <w:rtl/>
        </w:rPr>
        <w:t>ْ</w:t>
      </w:r>
      <w:r w:rsidRPr="00282AC9">
        <w:rPr>
          <w:rFonts w:hint="cs"/>
          <w:sz w:val="27"/>
          <w:rtl/>
        </w:rPr>
        <w:t xml:space="preserve"> وهو كافر</w:t>
      </w:r>
      <w:r w:rsidR="0082505E" w:rsidRPr="00282AC9">
        <w:rPr>
          <w:rFonts w:hint="cs"/>
          <w:sz w:val="27"/>
          <w:rtl/>
        </w:rPr>
        <w:t>ٌ</w:t>
      </w:r>
      <w:r w:rsidRPr="00282AC9">
        <w:rPr>
          <w:rFonts w:hint="eastAsia"/>
          <w:sz w:val="24"/>
          <w:szCs w:val="24"/>
          <w:rtl/>
        </w:rPr>
        <w:t>»</w:t>
      </w:r>
      <w:r w:rsidRPr="00282AC9">
        <w:rPr>
          <w:rFonts w:hint="cs"/>
          <w:sz w:val="27"/>
          <w:rtl/>
        </w:rPr>
        <w:t xml:space="preserve"> يُف</w:t>
      </w:r>
      <w:r w:rsidR="0082505E" w:rsidRPr="00282AC9">
        <w:rPr>
          <w:rFonts w:hint="cs"/>
          <w:sz w:val="27"/>
          <w:rtl/>
        </w:rPr>
        <w:t>ْ</w:t>
      </w:r>
      <w:r w:rsidRPr="00282AC9">
        <w:rPr>
          <w:rFonts w:hint="cs"/>
          <w:sz w:val="27"/>
          <w:rtl/>
        </w:rPr>
        <w:t>ه</w:t>
      </w:r>
      <w:r w:rsidR="0082505E" w:rsidRPr="00282AC9">
        <w:rPr>
          <w:rFonts w:hint="cs"/>
          <w:sz w:val="27"/>
          <w:rtl/>
        </w:rPr>
        <w:t>َ</w:t>
      </w:r>
      <w:r w:rsidRPr="00282AC9">
        <w:rPr>
          <w:rFonts w:hint="cs"/>
          <w:sz w:val="27"/>
          <w:rtl/>
        </w:rPr>
        <w:t>م منه أن هؤلاء الأشخاص يمكن أن لا يكونوا كافرين أثناء الموت، وهذا الأمر يدلّ على أن باب التوبة مفتوح</w:t>
      </w:r>
      <w:r w:rsidR="0082505E" w:rsidRPr="00282AC9">
        <w:rPr>
          <w:rFonts w:hint="cs"/>
          <w:sz w:val="27"/>
          <w:rtl/>
        </w:rPr>
        <w:t>ٌ</w:t>
      </w:r>
      <w:r w:rsidRPr="00282AC9">
        <w:rPr>
          <w:rFonts w:hint="cs"/>
          <w:sz w:val="27"/>
          <w:rtl/>
        </w:rPr>
        <w:t>.</w:t>
      </w:r>
    </w:p>
    <w:p w:rsidR="005A1BD7" w:rsidRPr="00282AC9" w:rsidRDefault="005A1BD7" w:rsidP="00C75E73">
      <w:pPr>
        <w:rPr>
          <w:sz w:val="27"/>
          <w:rtl/>
        </w:rPr>
      </w:pPr>
      <w:r w:rsidRPr="00282AC9">
        <w:rPr>
          <w:rFonts w:hint="cs"/>
          <w:sz w:val="27"/>
          <w:rtl/>
        </w:rPr>
        <w:t xml:space="preserve">وقال الله تعالى: </w:t>
      </w:r>
      <w:r w:rsidR="00C5291F" w:rsidRPr="00282AC9">
        <w:rPr>
          <w:rFonts w:ascii="Mosawi" w:hAnsi="Mosawi" w:cs="Mosawi"/>
          <w:sz w:val="24"/>
          <w:szCs w:val="24"/>
          <w:rtl/>
        </w:rPr>
        <w:t>﴿</w:t>
      </w:r>
      <w:r w:rsidRPr="00282AC9">
        <w:rPr>
          <w:b/>
          <w:bCs/>
          <w:sz w:val="27"/>
          <w:rtl/>
        </w:rPr>
        <w:t>وَمَنْ يَبْتَغِ غَيْرَ ال</w:t>
      </w:r>
      <w:r w:rsidR="0082505E" w:rsidRPr="00282AC9">
        <w:rPr>
          <w:b/>
          <w:bCs/>
          <w:sz w:val="27"/>
          <w:rtl/>
        </w:rPr>
        <w:t>إِسْل</w:t>
      </w:r>
      <w:r w:rsidRPr="00282AC9">
        <w:rPr>
          <w:b/>
          <w:bCs/>
          <w:sz w:val="27"/>
          <w:rtl/>
        </w:rPr>
        <w:t xml:space="preserve">امِ دِيناً فَلَنْ يُقْبَلَ مِنْهُ وَهُوَ فِي الآخِرَةِ مِنَ الْخَاسِرِينَ </w:t>
      </w:r>
      <w:r w:rsidRPr="00282AC9">
        <w:rPr>
          <w:rFonts w:hint="cs"/>
          <w:b/>
          <w:bCs/>
          <w:sz w:val="27"/>
          <w:rtl/>
        </w:rPr>
        <w:t>*</w:t>
      </w:r>
      <w:r w:rsidRPr="00282AC9">
        <w:rPr>
          <w:b/>
          <w:bCs/>
          <w:sz w:val="27"/>
          <w:rtl/>
        </w:rPr>
        <w:t xml:space="preserve"> كَيْفَ يَهْدِي اللهُ قَوْماً كَفَرُوا بَعْدَ إِيمَانِهِمْ وَشَهِدُوا أَنَّ الرَّسُولَ حَقٌّ </w:t>
      </w:r>
      <w:r w:rsidRPr="00282AC9">
        <w:rPr>
          <w:rFonts w:hint="cs"/>
          <w:b/>
          <w:bCs/>
          <w:sz w:val="27"/>
          <w:rtl/>
        </w:rPr>
        <w:t>...</w:t>
      </w:r>
      <w:r w:rsidRPr="00282AC9">
        <w:rPr>
          <w:b/>
          <w:bCs/>
          <w:sz w:val="27"/>
          <w:rtl/>
        </w:rPr>
        <w:t xml:space="preserve"> </w:t>
      </w:r>
      <w:r w:rsidRPr="00282AC9">
        <w:rPr>
          <w:rFonts w:hint="cs"/>
          <w:b/>
          <w:bCs/>
          <w:sz w:val="27"/>
          <w:rtl/>
        </w:rPr>
        <w:t>*</w:t>
      </w:r>
      <w:r w:rsidRPr="00282AC9">
        <w:rPr>
          <w:b/>
          <w:bCs/>
          <w:sz w:val="27"/>
          <w:rtl/>
        </w:rPr>
        <w:t xml:space="preserve"> إِلا</w:t>
      </w:r>
      <w:r w:rsidRPr="00282AC9">
        <w:rPr>
          <w:rFonts w:hint="cs"/>
          <w:b/>
          <w:bCs/>
          <w:sz w:val="27"/>
          <w:rtl/>
        </w:rPr>
        <w:t>َّ</w:t>
      </w:r>
      <w:r w:rsidRPr="00282AC9">
        <w:rPr>
          <w:b/>
          <w:bCs/>
          <w:sz w:val="27"/>
          <w:rtl/>
        </w:rPr>
        <w:t xml:space="preserve"> الَّذِينَ تَابُوا مِنْ بَعْدِ ذَلِكَ وَأَصْلَحُوا فَإِنَّ اللهَ غَفُورٌ رَحِيمٌ</w:t>
      </w:r>
      <w:r w:rsidR="00C5291F" w:rsidRPr="00282AC9">
        <w:rPr>
          <w:rFonts w:ascii="Mosawi" w:hAnsi="Mosawi" w:cs="Mosawi"/>
          <w:sz w:val="24"/>
          <w:szCs w:val="24"/>
          <w:rtl/>
        </w:rPr>
        <w:t>﴾</w:t>
      </w:r>
      <w:r w:rsidRPr="00282AC9">
        <w:rPr>
          <w:rFonts w:hint="cs"/>
          <w:sz w:val="27"/>
          <w:rtl/>
        </w:rPr>
        <w:t xml:space="preserve"> (آل عمران: 85 ـ 89).</w:t>
      </w:r>
    </w:p>
    <w:p w:rsidR="005A1BD7" w:rsidRPr="00282AC9" w:rsidRDefault="005A1BD7" w:rsidP="00C75E73">
      <w:pPr>
        <w:rPr>
          <w:sz w:val="27"/>
          <w:rtl/>
        </w:rPr>
      </w:pPr>
      <w:r w:rsidRPr="00282AC9">
        <w:rPr>
          <w:rFonts w:hint="cs"/>
          <w:sz w:val="27"/>
          <w:rtl/>
        </w:rPr>
        <w:t>تشتمل هذه الآية على استثناء تمّ منحه للمرتد</w:t>
      </w:r>
      <w:r w:rsidR="004A7828" w:rsidRPr="00282AC9">
        <w:rPr>
          <w:rFonts w:hint="cs"/>
          <w:sz w:val="27"/>
          <w:rtl/>
        </w:rPr>
        <w:t>ّ</w:t>
      </w:r>
      <w:r w:rsidRPr="00282AC9">
        <w:rPr>
          <w:rFonts w:hint="cs"/>
          <w:sz w:val="27"/>
          <w:rtl/>
        </w:rPr>
        <w:t>ين من العذاب</w:t>
      </w:r>
      <w:r w:rsidR="004A7828" w:rsidRPr="00282AC9">
        <w:rPr>
          <w:rFonts w:hint="cs"/>
          <w:sz w:val="27"/>
          <w:rtl/>
        </w:rPr>
        <w:t>.</w:t>
      </w:r>
      <w:r w:rsidRPr="00282AC9">
        <w:rPr>
          <w:rFonts w:hint="cs"/>
          <w:sz w:val="27"/>
          <w:rtl/>
        </w:rPr>
        <w:t xml:space="preserve"> وعليه</w:t>
      </w:r>
      <w:r w:rsidR="004A7828" w:rsidRPr="00282AC9">
        <w:rPr>
          <w:rFonts w:hint="cs"/>
          <w:sz w:val="27"/>
          <w:rtl/>
        </w:rPr>
        <w:t>،</w:t>
      </w:r>
      <w:r w:rsidRPr="00282AC9">
        <w:rPr>
          <w:rFonts w:hint="cs"/>
          <w:sz w:val="27"/>
          <w:rtl/>
        </w:rPr>
        <w:t xml:space="preserve"> فإن هذا يدل</w:t>
      </w:r>
      <w:r w:rsidR="004A7828" w:rsidRPr="00282AC9">
        <w:rPr>
          <w:rFonts w:hint="cs"/>
          <w:sz w:val="27"/>
          <w:rtl/>
        </w:rPr>
        <w:t>ّ</w:t>
      </w:r>
      <w:r w:rsidRPr="00282AC9">
        <w:rPr>
          <w:rFonts w:hint="cs"/>
          <w:sz w:val="27"/>
          <w:rtl/>
        </w:rPr>
        <w:t xml:space="preserve"> على إمكان قبول التوبة من المرتد</w:t>
      </w:r>
      <w:r w:rsidR="004A7828" w:rsidRPr="00282AC9">
        <w:rPr>
          <w:rFonts w:hint="cs"/>
          <w:sz w:val="27"/>
          <w:rtl/>
        </w:rPr>
        <w:t>ّ</w:t>
      </w:r>
      <w:r w:rsidRPr="00282AC9">
        <w:rPr>
          <w:rFonts w:hint="cs"/>
          <w:sz w:val="27"/>
          <w:rtl/>
        </w:rPr>
        <w:t>، ولم ير</w:t>
      </w:r>
      <w:r w:rsidR="004A7828" w:rsidRPr="00282AC9">
        <w:rPr>
          <w:rFonts w:hint="cs"/>
          <w:sz w:val="27"/>
          <w:rtl/>
        </w:rPr>
        <w:t>ِ</w:t>
      </w:r>
      <w:r w:rsidRPr="00282AC9">
        <w:rPr>
          <w:rFonts w:hint="cs"/>
          <w:sz w:val="27"/>
          <w:rtl/>
        </w:rPr>
        <w:t>د</w:t>
      </w:r>
      <w:r w:rsidR="004A7828" w:rsidRPr="00282AC9">
        <w:rPr>
          <w:rFonts w:hint="cs"/>
          <w:sz w:val="27"/>
          <w:rtl/>
        </w:rPr>
        <w:t>ْ</w:t>
      </w:r>
      <w:r w:rsidRPr="00282AC9">
        <w:rPr>
          <w:rFonts w:hint="cs"/>
          <w:sz w:val="27"/>
          <w:rtl/>
        </w:rPr>
        <w:t xml:space="preserve"> قيد</w:t>
      </w:r>
      <w:r w:rsidR="004A7828" w:rsidRPr="00282AC9">
        <w:rPr>
          <w:rFonts w:hint="cs"/>
          <w:sz w:val="27"/>
          <w:rtl/>
        </w:rPr>
        <w:t>ٌ</w:t>
      </w:r>
      <w:r w:rsidRPr="00282AC9">
        <w:rPr>
          <w:rFonts w:hint="cs"/>
          <w:sz w:val="27"/>
          <w:rtl/>
        </w:rPr>
        <w:t xml:space="preserve"> في مورد تخصيص هذه التوبة بالمرتد</w:t>
      </w:r>
      <w:r w:rsidR="004A7828" w:rsidRPr="00282AC9">
        <w:rPr>
          <w:rFonts w:hint="cs"/>
          <w:sz w:val="27"/>
          <w:rtl/>
        </w:rPr>
        <w:t>ّ</w:t>
      </w:r>
      <w:r w:rsidRPr="00282AC9">
        <w:rPr>
          <w:rFonts w:hint="cs"/>
          <w:sz w:val="27"/>
          <w:rtl/>
        </w:rPr>
        <w:t xml:space="preserve"> الملّي. وقد ذهب بعض الفقهاء إلى القول في مورد هذه الآية: </w:t>
      </w:r>
      <w:r w:rsidRPr="00282AC9">
        <w:rPr>
          <w:rFonts w:hint="eastAsia"/>
          <w:sz w:val="24"/>
          <w:szCs w:val="24"/>
          <w:rtl/>
        </w:rPr>
        <w:t>«</w:t>
      </w:r>
      <w:r w:rsidRPr="00282AC9">
        <w:rPr>
          <w:rFonts w:hint="cs"/>
          <w:sz w:val="27"/>
          <w:rtl/>
        </w:rPr>
        <w:t>يُستفاد من هذه الآية الأخيرة أن الله سبحانه وتعالى يقبل توبة المرتد</w:t>
      </w:r>
      <w:r w:rsidR="004A7828" w:rsidRPr="00282AC9">
        <w:rPr>
          <w:rFonts w:hint="cs"/>
          <w:sz w:val="27"/>
          <w:rtl/>
        </w:rPr>
        <w:t>ّ</w:t>
      </w:r>
      <w:r w:rsidRPr="00282AC9">
        <w:rPr>
          <w:rFonts w:hint="cs"/>
          <w:sz w:val="27"/>
          <w:rtl/>
        </w:rPr>
        <w:t xml:space="preserve"> ـ سواء أكان مرتد</w:t>
      </w:r>
      <w:r w:rsidR="004A7828" w:rsidRPr="00282AC9">
        <w:rPr>
          <w:rFonts w:hint="cs"/>
          <w:sz w:val="27"/>
          <w:rtl/>
        </w:rPr>
        <w:t>ّ</w:t>
      </w:r>
      <w:r w:rsidRPr="00282AC9">
        <w:rPr>
          <w:rFonts w:hint="cs"/>
          <w:sz w:val="27"/>
          <w:rtl/>
        </w:rPr>
        <w:t>اً عن فطرة</w:t>
      </w:r>
      <w:r w:rsidR="004A7828" w:rsidRPr="00282AC9">
        <w:rPr>
          <w:rFonts w:hint="cs"/>
          <w:sz w:val="27"/>
          <w:rtl/>
        </w:rPr>
        <w:t>ٍ</w:t>
      </w:r>
      <w:r w:rsidRPr="00282AC9">
        <w:rPr>
          <w:rFonts w:hint="cs"/>
          <w:sz w:val="27"/>
          <w:rtl/>
        </w:rPr>
        <w:t xml:space="preserve"> أو مرتد</w:t>
      </w:r>
      <w:r w:rsidR="004A7828" w:rsidRPr="00282AC9">
        <w:rPr>
          <w:rFonts w:hint="cs"/>
          <w:sz w:val="27"/>
          <w:rtl/>
        </w:rPr>
        <w:t>ّ</w:t>
      </w:r>
      <w:r w:rsidRPr="00282AC9">
        <w:rPr>
          <w:rFonts w:hint="cs"/>
          <w:sz w:val="27"/>
          <w:rtl/>
        </w:rPr>
        <w:t>اً عن ملّة ـ</w:t>
      </w:r>
      <w:r w:rsidR="004A7828" w:rsidRPr="00282AC9">
        <w:rPr>
          <w:rFonts w:hint="cs"/>
          <w:sz w:val="27"/>
          <w:rtl/>
        </w:rPr>
        <w:t>؛</w:t>
      </w:r>
      <w:r w:rsidRPr="00282AC9">
        <w:rPr>
          <w:rFonts w:hint="cs"/>
          <w:sz w:val="27"/>
          <w:rtl/>
        </w:rPr>
        <w:t xml:space="preserve"> وذلك إذ ورد في الآية </w:t>
      </w:r>
      <w:r w:rsidR="004A7828" w:rsidRPr="00282AC9">
        <w:rPr>
          <w:rFonts w:hint="cs"/>
          <w:sz w:val="27"/>
          <w:rtl/>
        </w:rPr>
        <w:t>86</w:t>
      </w:r>
      <w:r w:rsidRPr="00282AC9">
        <w:rPr>
          <w:rFonts w:hint="cs"/>
          <w:sz w:val="27"/>
          <w:rtl/>
        </w:rPr>
        <w:t xml:space="preserve"> التعبير بـ </w:t>
      </w:r>
      <w:r w:rsidRPr="00282AC9">
        <w:rPr>
          <w:rFonts w:hint="eastAsia"/>
          <w:sz w:val="24"/>
          <w:szCs w:val="24"/>
          <w:rtl/>
        </w:rPr>
        <w:t>«</w:t>
      </w:r>
      <w:r w:rsidRPr="00282AC9">
        <w:rPr>
          <w:rFonts w:hint="cs"/>
          <w:sz w:val="27"/>
          <w:rtl/>
        </w:rPr>
        <w:t>كفروا بعد إيمانهم</w:t>
      </w:r>
      <w:r w:rsidRPr="00282AC9">
        <w:rPr>
          <w:rFonts w:hint="eastAsia"/>
          <w:sz w:val="24"/>
          <w:szCs w:val="24"/>
          <w:rtl/>
        </w:rPr>
        <w:t>»</w:t>
      </w:r>
      <w:r w:rsidRPr="00282AC9">
        <w:rPr>
          <w:rFonts w:hint="cs"/>
          <w:sz w:val="27"/>
          <w:rtl/>
        </w:rPr>
        <w:t xml:space="preserve">، والكفر بعد </w:t>
      </w:r>
      <w:r w:rsidRPr="00282AC9">
        <w:rPr>
          <w:rFonts w:hint="cs"/>
          <w:sz w:val="27"/>
          <w:rtl/>
        </w:rPr>
        <w:lastRenderedPageBreak/>
        <w:t>الإيمان أعم</w:t>
      </w:r>
      <w:r w:rsidR="004A7828" w:rsidRPr="00282AC9">
        <w:rPr>
          <w:rFonts w:hint="cs"/>
          <w:sz w:val="27"/>
          <w:rtl/>
        </w:rPr>
        <w:t>ّ</w:t>
      </w:r>
      <w:r w:rsidRPr="00282AC9">
        <w:rPr>
          <w:rFonts w:hint="cs"/>
          <w:sz w:val="27"/>
          <w:rtl/>
        </w:rPr>
        <w:t xml:space="preserve"> من أن يكون مسبوقاً بالكفر (المرتد</w:t>
      </w:r>
      <w:r w:rsidR="004A7828" w:rsidRPr="00282AC9">
        <w:rPr>
          <w:rFonts w:hint="cs"/>
          <w:sz w:val="27"/>
          <w:rtl/>
        </w:rPr>
        <w:t>ّ</w:t>
      </w:r>
      <w:r w:rsidRPr="00282AC9">
        <w:rPr>
          <w:rFonts w:hint="cs"/>
          <w:sz w:val="27"/>
          <w:rtl/>
        </w:rPr>
        <w:t xml:space="preserve"> الملّي) أو لا يكون مسبوقاً بالكفر (المرتد</w:t>
      </w:r>
      <w:r w:rsidR="004A7828" w:rsidRPr="00282AC9">
        <w:rPr>
          <w:rFonts w:hint="cs"/>
          <w:sz w:val="27"/>
          <w:rtl/>
        </w:rPr>
        <w:t>ّ</w:t>
      </w:r>
      <w:r w:rsidRPr="00282AC9">
        <w:rPr>
          <w:rFonts w:hint="cs"/>
          <w:sz w:val="27"/>
          <w:rtl/>
        </w:rPr>
        <w:t xml:space="preserve"> الفطري)</w:t>
      </w:r>
      <w:r w:rsidRPr="00282AC9">
        <w:rPr>
          <w:rFonts w:hint="eastAsia"/>
          <w:sz w:val="24"/>
          <w:szCs w:val="24"/>
          <w:rtl/>
        </w:rPr>
        <w:t>»</w:t>
      </w:r>
      <w:r w:rsidRPr="00282AC9">
        <w:rPr>
          <w:sz w:val="27"/>
          <w:vertAlign w:val="superscript"/>
          <w:rtl/>
        </w:rPr>
        <w:t>(</w:t>
      </w:r>
      <w:r w:rsidRPr="00282AC9">
        <w:rPr>
          <w:rStyle w:val="af9"/>
          <w:sz w:val="27"/>
          <w:rtl/>
        </w:rPr>
        <w:endnoteReference w:id="284"/>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وقال بعض المفس</w:t>
      </w:r>
      <w:r w:rsidR="004A7828" w:rsidRPr="00282AC9">
        <w:rPr>
          <w:rFonts w:hint="cs"/>
          <w:sz w:val="27"/>
          <w:rtl/>
        </w:rPr>
        <w:t>ِّ</w:t>
      </w:r>
      <w:r w:rsidRPr="00282AC9">
        <w:rPr>
          <w:rFonts w:hint="cs"/>
          <w:sz w:val="27"/>
          <w:rtl/>
        </w:rPr>
        <w:t xml:space="preserve">رين في تفسير هذه الآية: </w:t>
      </w:r>
      <w:r w:rsidRPr="00282AC9">
        <w:rPr>
          <w:rFonts w:hint="eastAsia"/>
          <w:sz w:val="24"/>
          <w:szCs w:val="24"/>
          <w:rtl/>
        </w:rPr>
        <w:t>«</w:t>
      </w:r>
      <w:r w:rsidRPr="00282AC9">
        <w:rPr>
          <w:rFonts w:hint="cs"/>
          <w:sz w:val="27"/>
          <w:rtl/>
        </w:rPr>
        <w:t>استشهد</w:t>
      </w:r>
      <w:r w:rsidR="004A7828" w:rsidRPr="00282AC9">
        <w:rPr>
          <w:rFonts w:hint="cs"/>
          <w:sz w:val="27"/>
          <w:rtl/>
        </w:rPr>
        <w:t>َ</w:t>
      </w:r>
      <w:r w:rsidRPr="00282AC9">
        <w:rPr>
          <w:rFonts w:hint="cs"/>
          <w:sz w:val="27"/>
          <w:rtl/>
        </w:rPr>
        <w:t>ت</w:t>
      </w:r>
      <w:r w:rsidR="004A7828" w:rsidRPr="00282AC9">
        <w:rPr>
          <w:rFonts w:hint="cs"/>
          <w:sz w:val="27"/>
          <w:rtl/>
        </w:rPr>
        <w:t>ْ</w:t>
      </w:r>
      <w:r w:rsidRPr="00282AC9">
        <w:rPr>
          <w:rFonts w:hint="cs"/>
          <w:sz w:val="27"/>
          <w:rtl/>
        </w:rPr>
        <w:t xml:space="preserve"> جماعة</w:t>
      </w:r>
      <w:r w:rsidR="004A7828" w:rsidRPr="00282AC9">
        <w:rPr>
          <w:rFonts w:hint="cs"/>
          <w:sz w:val="27"/>
          <w:rtl/>
        </w:rPr>
        <w:t>ٌ</w:t>
      </w:r>
      <w:r w:rsidRPr="00282AC9">
        <w:rPr>
          <w:rFonts w:hint="cs"/>
          <w:sz w:val="27"/>
          <w:rtl/>
        </w:rPr>
        <w:t xml:space="preserve"> بهذه الآية لإثبات عدم قبول توبة المرتد</w:t>
      </w:r>
      <w:r w:rsidR="004A7828" w:rsidRPr="00282AC9">
        <w:rPr>
          <w:rFonts w:hint="cs"/>
          <w:sz w:val="27"/>
          <w:rtl/>
        </w:rPr>
        <w:t>ّ</w:t>
      </w:r>
      <w:r w:rsidRPr="00282AC9">
        <w:rPr>
          <w:rFonts w:hint="cs"/>
          <w:sz w:val="27"/>
          <w:rtl/>
        </w:rPr>
        <w:t>، إلا</w:t>
      </w:r>
      <w:r w:rsidR="004A7828" w:rsidRPr="00282AC9">
        <w:rPr>
          <w:rFonts w:hint="cs"/>
          <w:sz w:val="27"/>
          <w:rtl/>
        </w:rPr>
        <w:t>ّ</w:t>
      </w:r>
      <w:r w:rsidRPr="00282AC9">
        <w:rPr>
          <w:rFonts w:hint="cs"/>
          <w:sz w:val="27"/>
          <w:rtl/>
        </w:rPr>
        <w:t xml:space="preserve"> أن هذا الكلام مخالف</w:t>
      </w:r>
      <w:r w:rsidR="004A7828" w:rsidRPr="00282AC9">
        <w:rPr>
          <w:rFonts w:hint="cs"/>
          <w:sz w:val="27"/>
          <w:rtl/>
        </w:rPr>
        <w:t>ٌ</w:t>
      </w:r>
      <w:r w:rsidRPr="00282AC9">
        <w:rPr>
          <w:rFonts w:hint="cs"/>
          <w:sz w:val="27"/>
          <w:rtl/>
        </w:rPr>
        <w:t xml:space="preserve"> للتحقيق؛ وذلك لأن الأدل</w:t>
      </w:r>
      <w:r w:rsidR="004A7828" w:rsidRPr="00282AC9">
        <w:rPr>
          <w:rFonts w:hint="cs"/>
          <w:sz w:val="27"/>
          <w:rtl/>
        </w:rPr>
        <w:t>ّ</w:t>
      </w:r>
      <w:r w:rsidRPr="00282AC9">
        <w:rPr>
          <w:rFonts w:hint="cs"/>
          <w:sz w:val="27"/>
          <w:rtl/>
        </w:rPr>
        <w:t>ة الأربعة، من الكتاب والسن</w:t>
      </w:r>
      <w:r w:rsidR="00922B8E" w:rsidRPr="00282AC9">
        <w:rPr>
          <w:rFonts w:hint="cs"/>
          <w:sz w:val="27"/>
          <w:rtl/>
        </w:rPr>
        <w:t>ّ</w:t>
      </w:r>
      <w:r w:rsidRPr="00282AC9">
        <w:rPr>
          <w:rFonts w:hint="cs"/>
          <w:sz w:val="27"/>
          <w:rtl/>
        </w:rPr>
        <w:t>ة والإجماع والعقل</w:t>
      </w:r>
      <w:r w:rsidR="00922B8E" w:rsidRPr="00282AC9">
        <w:rPr>
          <w:rFonts w:hint="cs"/>
          <w:sz w:val="27"/>
          <w:rtl/>
        </w:rPr>
        <w:t>،</w:t>
      </w:r>
      <w:r w:rsidRPr="00282AC9">
        <w:rPr>
          <w:rFonts w:hint="cs"/>
          <w:sz w:val="27"/>
          <w:rtl/>
        </w:rPr>
        <w:t xml:space="preserve"> قائمة</w:t>
      </w:r>
      <w:r w:rsidR="00922B8E" w:rsidRPr="00282AC9">
        <w:rPr>
          <w:rFonts w:hint="cs"/>
          <w:sz w:val="27"/>
          <w:rtl/>
        </w:rPr>
        <w:t>ٌ</w:t>
      </w:r>
      <w:r w:rsidRPr="00282AC9">
        <w:rPr>
          <w:rFonts w:hint="cs"/>
          <w:sz w:val="27"/>
          <w:rtl/>
        </w:rPr>
        <w:t xml:space="preserve"> على قبول التوبة. بل نقول: لو لم تُق</w:t>
      </w:r>
      <w:r w:rsidR="00922B8E" w:rsidRPr="00282AC9">
        <w:rPr>
          <w:rFonts w:hint="cs"/>
          <w:sz w:val="27"/>
          <w:rtl/>
        </w:rPr>
        <w:t>ْ</w:t>
      </w:r>
      <w:r w:rsidRPr="00282AC9">
        <w:rPr>
          <w:rFonts w:hint="cs"/>
          <w:sz w:val="27"/>
          <w:rtl/>
        </w:rPr>
        <w:t>ب</w:t>
      </w:r>
      <w:r w:rsidR="00922B8E" w:rsidRPr="00282AC9">
        <w:rPr>
          <w:rFonts w:hint="cs"/>
          <w:sz w:val="27"/>
          <w:rtl/>
        </w:rPr>
        <w:t>َ</w:t>
      </w:r>
      <w:r w:rsidRPr="00282AC9">
        <w:rPr>
          <w:rFonts w:hint="cs"/>
          <w:sz w:val="27"/>
          <w:rtl/>
        </w:rPr>
        <w:t>ل توبة المرتد</w:t>
      </w:r>
      <w:r w:rsidR="00922B8E" w:rsidRPr="00282AC9">
        <w:rPr>
          <w:rFonts w:hint="cs"/>
          <w:sz w:val="27"/>
          <w:rtl/>
        </w:rPr>
        <w:t>ّ</w:t>
      </w:r>
      <w:r w:rsidRPr="00282AC9">
        <w:rPr>
          <w:rFonts w:hint="cs"/>
          <w:sz w:val="27"/>
          <w:rtl/>
        </w:rPr>
        <w:t xml:space="preserve"> فهل يكون مكل</w:t>
      </w:r>
      <w:r w:rsidR="00922B8E" w:rsidRPr="00282AC9">
        <w:rPr>
          <w:rFonts w:hint="cs"/>
          <w:sz w:val="27"/>
          <w:rtl/>
        </w:rPr>
        <w:t>َّ</w:t>
      </w:r>
      <w:r w:rsidRPr="00282AC9">
        <w:rPr>
          <w:rFonts w:hint="cs"/>
          <w:sz w:val="27"/>
          <w:rtl/>
        </w:rPr>
        <w:t>فاً بالتكاليف الشرعية، من قبيل: الصلاة وسائر العبادات</w:t>
      </w:r>
      <w:r w:rsidR="00922B8E" w:rsidRPr="00282AC9">
        <w:rPr>
          <w:rFonts w:hint="cs"/>
          <w:sz w:val="27"/>
          <w:rtl/>
        </w:rPr>
        <w:t>،</w:t>
      </w:r>
      <w:r w:rsidRPr="00282AC9">
        <w:rPr>
          <w:rFonts w:hint="cs"/>
          <w:sz w:val="27"/>
          <w:rtl/>
        </w:rPr>
        <w:t xml:space="preserve"> أم لا؟ إن</w:t>
      </w:r>
      <w:r w:rsidR="00922B8E" w:rsidRPr="00282AC9">
        <w:rPr>
          <w:rFonts w:hint="cs"/>
          <w:sz w:val="27"/>
          <w:rtl/>
        </w:rPr>
        <w:t>ْ</w:t>
      </w:r>
      <w:r w:rsidRPr="00282AC9">
        <w:rPr>
          <w:rFonts w:hint="cs"/>
          <w:sz w:val="27"/>
          <w:rtl/>
        </w:rPr>
        <w:t xml:space="preserve"> قلت</w:t>
      </w:r>
      <w:r w:rsidR="00922B8E" w:rsidRPr="00282AC9">
        <w:rPr>
          <w:rFonts w:hint="cs"/>
          <w:sz w:val="27"/>
          <w:rtl/>
        </w:rPr>
        <w:t>ُ</w:t>
      </w:r>
      <w:r w:rsidRPr="00282AC9">
        <w:rPr>
          <w:rFonts w:hint="cs"/>
          <w:sz w:val="27"/>
          <w:rtl/>
        </w:rPr>
        <w:t>م: إنه مكل</w:t>
      </w:r>
      <w:r w:rsidR="00922B8E" w:rsidRPr="00282AC9">
        <w:rPr>
          <w:rFonts w:hint="cs"/>
          <w:sz w:val="27"/>
          <w:rtl/>
        </w:rPr>
        <w:t>َّ</w:t>
      </w:r>
      <w:r w:rsidRPr="00282AC9">
        <w:rPr>
          <w:rFonts w:hint="cs"/>
          <w:sz w:val="27"/>
          <w:rtl/>
        </w:rPr>
        <w:t>ف بها كان هذا من التكليف بما لا يُطاق؛ لأن الإيمان شرط</w:t>
      </w:r>
      <w:r w:rsidR="00922B8E" w:rsidRPr="00282AC9">
        <w:rPr>
          <w:rFonts w:hint="cs"/>
          <w:sz w:val="27"/>
          <w:rtl/>
        </w:rPr>
        <w:t>ٌ</w:t>
      </w:r>
      <w:r w:rsidRPr="00282AC9">
        <w:rPr>
          <w:rFonts w:hint="cs"/>
          <w:sz w:val="27"/>
          <w:rtl/>
        </w:rPr>
        <w:t xml:space="preserve"> في صح</w:t>
      </w:r>
      <w:r w:rsidR="00922B8E" w:rsidRPr="00282AC9">
        <w:rPr>
          <w:rFonts w:hint="cs"/>
          <w:sz w:val="27"/>
          <w:rtl/>
        </w:rPr>
        <w:t>ّ</w:t>
      </w:r>
      <w:r w:rsidRPr="00282AC9">
        <w:rPr>
          <w:rFonts w:hint="cs"/>
          <w:sz w:val="27"/>
          <w:rtl/>
        </w:rPr>
        <w:t>ة جميع العبادات</w:t>
      </w:r>
      <w:r w:rsidR="00922B8E" w:rsidRPr="00282AC9">
        <w:rPr>
          <w:rFonts w:hint="cs"/>
          <w:sz w:val="27"/>
          <w:rtl/>
        </w:rPr>
        <w:t>؛</w:t>
      </w:r>
      <w:r w:rsidRPr="00282AC9">
        <w:rPr>
          <w:rFonts w:hint="cs"/>
          <w:sz w:val="27"/>
          <w:rtl/>
        </w:rPr>
        <w:t xml:space="preserve"> وإن</w:t>
      </w:r>
      <w:r w:rsidR="00922B8E" w:rsidRPr="00282AC9">
        <w:rPr>
          <w:rFonts w:hint="cs"/>
          <w:sz w:val="27"/>
          <w:rtl/>
        </w:rPr>
        <w:t>ْ</w:t>
      </w:r>
      <w:r w:rsidRPr="00282AC9">
        <w:rPr>
          <w:rFonts w:hint="cs"/>
          <w:sz w:val="27"/>
          <w:rtl/>
        </w:rPr>
        <w:t xml:space="preserve"> قلت</w:t>
      </w:r>
      <w:r w:rsidR="00922B8E" w:rsidRPr="00282AC9">
        <w:rPr>
          <w:rFonts w:hint="cs"/>
          <w:sz w:val="27"/>
          <w:rtl/>
        </w:rPr>
        <w:t>ُ</w:t>
      </w:r>
      <w:r w:rsidRPr="00282AC9">
        <w:rPr>
          <w:rFonts w:hint="cs"/>
          <w:sz w:val="27"/>
          <w:rtl/>
        </w:rPr>
        <w:t>م: إنه غير مكل</w:t>
      </w:r>
      <w:r w:rsidR="00922B8E" w:rsidRPr="00282AC9">
        <w:rPr>
          <w:rFonts w:hint="cs"/>
          <w:sz w:val="27"/>
          <w:rtl/>
        </w:rPr>
        <w:t>َّ</w:t>
      </w:r>
      <w:r w:rsidRPr="00282AC9">
        <w:rPr>
          <w:rFonts w:hint="cs"/>
          <w:sz w:val="27"/>
          <w:rtl/>
        </w:rPr>
        <w:t>ف بها كان هذا مخالفاً لضرورة الإسلام. ثم</w:t>
      </w:r>
      <w:r w:rsidR="00922B8E" w:rsidRPr="00282AC9">
        <w:rPr>
          <w:rFonts w:hint="cs"/>
          <w:sz w:val="27"/>
          <w:rtl/>
        </w:rPr>
        <w:t>ّ</w:t>
      </w:r>
      <w:r w:rsidRPr="00282AC9">
        <w:rPr>
          <w:rFonts w:hint="cs"/>
          <w:sz w:val="27"/>
          <w:rtl/>
        </w:rPr>
        <w:t xml:space="preserve"> إن هذه الآية لا تدل</w:t>
      </w:r>
      <w:r w:rsidR="00922B8E" w:rsidRPr="00282AC9">
        <w:rPr>
          <w:rFonts w:hint="cs"/>
          <w:sz w:val="27"/>
          <w:rtl/>
        </w:rPr>
        <w:t>ّ</w:t>
      </w:r>
      <w:r w:rsidRPr="00282AC9">
        <w:rPr>
          <w:rFonts w:hint="cs"/>
          <w:sz w:val="27"/>
          <w:rtl/>
        </w:rPr>
        <w:t xml:space="preserve"> على عدم قبول توبة المرتد</w:t>
      </w:r>
      <w:r w:rsidR="00922B8E"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285"/>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 xml:space="preserve">وجاء في تفسير كنز الدقائق، في تفسير قوله تعالى: </w:t>
      </w:r>
      <w:r w:rsidR="00C5291F" w:rsidRPr="00282AC9">
        <w:rPr>
          <w:rFonts w:ascii="Mosawi" w:hAnsi="Mosawi" w:cs="Mosawi"/>
          <w:sz w:val="24"/>
          <w:szCs w:val="24"/>
          <w:rtl/>
        </w:rPr>
        <w:t>﴿</w:t>
      </w:r>
      <w:r w:rsidRPr="00282AC9">
        <w:rPr>
          <w:b/>
          <w:bCs/>
          <w:sz w:val="27"/>
          <w:rtl/>
        </w:rPr>
        <w:t>إِلا</w:t>
      </w:r>
      <w:r w:rsidRPr="00282AC9">
        <w:rPr>
          <w:rFonts w:hint="cs"/>
          <w:b/>
          <w:bCs/>
          <w:sz w:val="27"/>
          <w:rtl/>
        </w:rPr>
        <w:t>َّ</w:t>
      </w:r>
      <w:r w:rsidRPr="00282AC9">
        <w:rPr>
          <w:b/>
          <w:bCs/>
          <w:sz w:val="27"/>
          <w:rtl/>
        </w:rPr>
        <w:t xml:space="preserve"> الَّذِينَ تَابُوا مِنْ بَعْدِ ذَلِكَ وَأَصْلَحُوا فَإِنَّ </w:t>
      </w:r>
      <w:r w:rsidR="006D28AF" w:rsidRPr="00282AC9">
        <w:rPr>
          <w:b/>
          <w:bCs/>
          <w:sz w:val="27"/>
          <w:rtl/>
        </w:rPr>
        <w:t>الل</w:t>
      </w:r>
      <w:r w:rsidRPr="00282AC9">
        <w:rPr>
          <w:b/>
          <w:bCs/>
          <w:sz w:val="27"/>
          <w:rtl/>
        </w:rPr>
        <w:t>هَ غَفُورٌ رَحِيمٌ</w:t>
      </w:r>
      <w:r w:rsidR="00C5291F" w:rsidRPr="00282AC9">
        <w:rPr>
          <w:rFonts w:ascii="Mosawi" w:hAnsi="Mosawi" w:cs="Mosawi"/>
          <w:sz w:val="24"/>
          <w:szCs w:val="24"/>
          <w:rtl/>
        </w:rPr>
        <w:t>﴾</w:t>
      </w:r>
      <w:r w:rsidRPr="00282AC9">
        <w:rPr>
          <w:rFonts w:hint="cs"/>
          <w:sz w:val="27"/>
          <w:rtl/>
        </w:rPr>
        <w:t xml:space="preserve"> (آل عمران: 89): </w:t>
      </w:r>
      <w:r w:rsidRPr="00282AC9">
        <w:rPr>
          <w:rFonts w:hint="eastAsia"/>
          <w:sz w:val="24"/>
          <w:szCs w:val="24"/>
          <w:rtl/>
        </w:rPr>
        <w:t>«</w:t>
      </w:r>
      <w:r w:rsidRPr="00282AC9">
        <w:rPr>
          <w:rFonts w:hint="cs"/>
          <w:sz w:val="27"/>
          <w:rtl/>
        </w:rPr>
        <w:t>أي بعد الارتداد، و</w:t>
      </w:r>
      <w:r w:rsidRPr="00282AC9">
        <w:rPr>
          <w:rFonts w:hint="eastAsia"/>
          <w:sz w:val="24"/>
          <w:szCs w:val="24"/>
          <w:rtl/>
        </w:rPr>
        <w:t>«</w:t>
      </w:r>
      <w:r w:rsidRPr="00282AC9">
        <w:rPr>
          <w:rFonts w:hint="cs"/>
          <w:sz w:val="27"/>
          <w:rtl/>
        </w:rPr>
        <w:t>أصلحوا</w:t>
      </w:r>
      <w:r w:rsidRPr="00282AC9">
        <w:rPr>
          <w:rFonts w:hint="eastAsia"/>
          <w:sz w:val="24"/>
          <w:szCs w:val="24"/>
          <w:rtl/>
        </w:rPr>
        <w:t>»</w:t>
      </w:r>
      <w:r w:rsidRPr="00282AC9">
        <w:rPr>
          <w:rFonts w:hint="cs"/>
          <w:sz w:val="27"/>
          <w:rtl/>
        </w:rPr>
        <w:t xml:space="preserve"> ما أفسدوا، أو دخلوا في الصلاح، فإن الله غفور</w:t>
      </w:r>
      <w:r w:rsidR="00922B8E" w:rsidRPr="00282AC9">
        <w:rPr>
          <w:rFonts w:hint="cs"/>
          <w:sz w:val="27"/>
          <w:rtl/>
        </w:rPr>
        <w:t>ٌ:</w:t>
      </w:r>
      <w:r w:rsidRPr="00282AC9">
        <w:rPr>
          <w:rFonts w:hint="cs"/>
          <w:sz w:val="27"/>
          <w:rtl/>
        </w:rPr>
        <w:t xml:space="preserve"> يقبل توبته، رحيم</w:t>
      </w:r>
      <w:r w:rsidR="00922B8E" w:rsidRPr="00282AC9">
        <w:rPr>
          <w:rFonts w:hint="cs"/>
          <w:sz w:val="27"/>
          <w:rtl/>
        </w:rPr>
        <w:t>ٌ:</w:t>
      </w:r>
      <w:r w:rsidRPr="00282AC9">
        <w:rPr>
          <w:rFonts w:hint="cs"/>
          <w:sz w:val="27"/>
          <w:rtl/>
        </w:rPr>
        <w:t xml:space="preserve"> يتفض</w:t>
      </w:r>
      <w:r w:rsidR="00922B8E" w:rsidRPr="00282AC9">
        <w:rPr>
          <w:rFonts w:hint="cs"/>
          <w:sz w:val="27"/>
          <w:rtl/>
        </w:rPr>
        <w:t>َّ</w:t>
      </w:r>
      <w:r w:rsidRPr="00282AC9">
        <w:rPr>
          <w:rFonts w:hint="cs"/>
          <w:sz w:val="27"/>
          <w:rtl/>
        </w:rPr>
        <w:t>ل عليه</w:t>
      </w:r>
      <w:r w:rsidRPr="00282AC9">
        <w:rPr>
          <w:rFonts w:hint="eastAsia"/>
          <w:sz w:val="24"/>
          <w:szCs w:val="24"/>
          <w:rtl/>
        </w:rPr>
        <w:t>»</w:t>
      </w:r>
      <w:r w:rsidRPr="00282AC9">
        <w:rPr>
          <w:sz w:val="27"/>
          <w:vertAlign w:val="superscript"/>
          <w:rtl/>
        </w:rPr>
        <w:t>(</w:t>
      </w:r>
      <w:r w:rsidRPr="00282AC9">
        <w:rPr>
          <w:rStyle w:val="af9"/>
          <w:sz w:val="27"/>
          <w:rtl/>
        </w:rPr>
        <w:endnoteReference w:id="286"/>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وجاء في تفسير مجمع البيان</w:t>
      </w:r>
      <w:r w:rsidR="00922B8E" w:rsidRPr="00282AC9">
        <w:rPr>
          <w:rFonts w:hint="cs"/>
          <w:sz w:val="27"/>
          <w:rtl/>
        </w:rPr>
        <w:t>،</w:t>
      </w:r>
      <w:r w:rsidRPr="00282AC9">
        <w:rPr>
          <w:rFonts w:hint="cs"/>
          <w:sz w:val="27"/>
          <w:rtl/>
        </w:rPr>
        <w:t xml:space="preserve"> في شأن نزول هذه الآية: </w:t>
      </w:r>
      <w:r w:rsidRPr="00282AC9">
        <w:rPr>
          <w:rFonts w:hint="eastAsia"/>
          <w:sz w:val="24"/>
          <w:szCs w:val="24"/>
          <w:rtl/>
        </w:rPr>
        <w:t>«</w:t>
      </w:r>
      <w:r w:rsidRPr="00282AC9">
        <w:rPr>
          <w:rFonts w:hint="cs"/>
          <w:sz w:val="27"/>
          <w:rtl/>
        </w:rPr>
        <w:t>قيل: نزلت الآيات في رجل</w:t>
      </w:r>
      <w:r w:rsidR="00922B8E" w:rsidRPr="00282AC9">
        <w:rPr>
          <w:rFonts w:hint="cs"/>
          <w:sz w:val="27"/>
          <w:rtl/>
        </w:rPr>
        <w:t>ٍ</w:t>
      </w:r>
      <w:r w:rsidRPr="00282AC9">
        <w:rPr>
          <w:rFonts w:hint="cs"/>
          <w:sz w:val="27"/>
          <w:rtl/>
        </w:rPr>
        <w:t xml:space="preserve"> من الأنصار يُقال له</w:t>
      </w:r>
      <w:r w:rsidR="00922B8E" w:rsidRPr="00282AC9">
        <w:rPr>
          <w:rFonts w:hint="cs"/>
          <w:sz w:val="27"/>
          <w:rtl/>
        </w:rPr>
        <w:t>:</w:t>
      </w:r>
      <w:r w:rsidRPr="00282AC9">
        <w:rPr>
          <w:rFonts w:hint="cs"/>
          <w:sz w:val="27"/>
          <w:rtl/>
        </w:rPr>
        <w:t xml:space="preserve"> حارث بن سويد بن الصامت، وكان قتل المحذّر بن زياد البلوي</w:t>
      </w:r>
      <w:r w:rsidR="00922B8E" w:rsidRPr="00282AC9">
        <w:rPr>
          <w:rFonts w:hint="cs"/>
          <w:sz w:val="27"/>
          <w:rtl/>
        </w:rPr>
        <w:t>،</w:t>
      </w:r>
      <w:r w:rsidRPr="00282AC9">
        <w:rPr>
          <w:rFonts w:hint="cs"/>
          <w:sz w:val="27"/>
          <w:rtl/>
        </w:rPr>
        <w:t xml:space="preserve"> غدراً</w:t>
      </w:r>
      <w:r w:rsidR="00922B8E" w:rsidRPr="00282AC9">
        <w:rPr>
          <w:rFonts w:hint="cs"/>
          <w:sz w:val="27"/>
          <w:rtl/>
        </w:rPr>
        <w:t>،</w:t>
      </w:r>
      <w:r w:rsidRPr="00282AC9">
        <w:rPr>
          <w:rFonts w:hint="cs"/>
          <w:sz w:val="27"/>
          <w:rtl/>
        </w:rPr>
        <w:t xml:space="preserve"> وهرب</w:t>
      </w:r>
      <w:r w:rsidR="00922B8E" w:rsidRPr="00282AC9">
        <w:rPr>
          <w:rFonts w:hint="cs"/>
          <w:sz w:val="27"/>
          <w:rtl/>
        </w:rPr>
        <w:t>،</w:t>
      </w:r>
      <w:r w:rsidRPr="00282AC9">
        <w:rPr>
          <w:rFonts w:hint="cs"/>
          <w:sz w:val="27"/>
          <w:rtl/>
        </w:rPr>
        <w:t xml:space="preserve"> وارتد</w:t>
      </w:r>
      <w:r w:rsidR="00922B8E" w:rsidRPr="00282AC9">
        <w:rPr>
          <w:rFonts w:hint="cs"/>
          <w:sz w:val="27"/>
          <w:rtl/>
        </w:rPr>
        <w:t>ّ</w:t>
      </w:r>
      <w:r w:rsidRPr="00282AC9">
        <w:rPr>
          <w:rFonts w:hint="cs"/>
          <w:sz w:val="27"/>
          <w:rtl/>
        </w:rPr>
        <w:t xml:space="preserve"> عن الإسلام</w:t>
      </w:r>
      <w:r w:rsidR="00922B8E" w:rsidRPr="00282AC9">
        <w:rPr>
          <w:rFonts w:hint="cs"/>
          <w:sz w:val="27"/>
          <w:rtl/>
        </w:rPr>
        <w:t>،</w:t>
      </w:r>
      <w:r w:rsidRPr="00282AC9">
        <w:rPr>
          <w:rFonts w:hint="cs"/>
          <w:sz w:val="27"/>
          <w:rtl/>
        </w:rPr>
        <w:t xml:space="preserve"> ولحق بمك</w:t>
      </w:r>
      <w:r w:rsidR="00922B8E" w:rsidRPr="00282AC9">
        <w:rPr>
          <w:rFonts w:hint="cs"/>
          <w:sz w:val="27"/>
          <w:rtl/>
        </w:rPr>
        <w:t>ّ</w:t>
      </w:r>
      <w:r w:rsidRPr="00282AC9">
        <w:rPr>
          <w:rFonts w:hint="cs"/>
          <w:sz w:val="27"/>
          <w:rtl/>
        </w:rPr>
        <w:t>ة، ثم</w:t>
      </w:r>
      <w:r w:rsidR="00922B8E" w:rsidRPr="00282AC9">
        <w:rPr>
          <w:rFonts w:hint="cs"/>
          <w:sz w:val="27"/>
          <w:rtl/>
        </w:rPr>
        <w:t>ّ</w:t>
      </w:r>
      <w:r w:rsidRPr="00282AC9">
        <w:rPr>
          <w:rFonts w:hint="cs"/>
          <w:sz w:val="27"/>
          <w:rtl/>
        </w:rPr>
        <w:t xml:space="preserve"> ندم، فأرسل إلى قومه أن يسألوا رسول الله</w:t>
      </w:r>
      <w:r w:rsidR="009A2A04" w:rsidRPr="00282AC9">
        <w:rPr>
          <w:rFonts w:cs="Mosawi" w:hint="cs"/>
          <w:sz w:val="22"/>
          <w:szCs w:val="22"/>
          <w:rtl/>
        </w:rPr>
        <w:t>|</w:t>
      </w:r>
      <w:r w:rsidR="00922B8E" w:rsidRPr="00282AC9">
        <w:rPr>
          <w:rFonts w:hint="cs"/>
          <w:sz w:val="27"/>
          <w:rtl/>
        </w:rPr>
        <w:t>:</w:t>
      </w:r>
      <w:r w:rsidRPr="00282AC9">
        <w:rPr>
          <w:rFonts w:hint="cs"/>
          <w:sz w:val="27"/>
          <w:rtl/>
        </w:rPr>
        <w:t xml:space="preserve"> هل لي من توبة؟ فسألوا؛ فنزلت الآية إلى قوله: </w:t>
      </w:r>
      <w:r w:rsidR="00C5291F" w:rsidRPr="00282AC9">
        <w:rPr>
          <w:rFonts w:ascii="Mosawi" w:hAnsi="Mosawi" w:cs="Mosawi"/>
          <w:sz w:val="24"/>
          <w:szCs w:val="24"/>
          <w:rtl/>
        </w:rPr>
        <w:t>﴿</w:t>
      </w:r>
      <w:r w:rsidRPr="00282AC9">
        <w:rPr>
          <w:b/>
          <w:bCs/>
          <w:sz w:val="27"/>
          <w:rtl/>
        </w:rPr>
        <w:t>إِ</w:t>
      </w:r>
      <w:r w:rsidR="00EE6DBA" w:rsidRPr="00282AC9">
        <w:rPr>
          <w:b/>
          <w:bCs/>
          <w:sz w:val="27"/>
          <w:rtl/>
        </w:rPr>
        <w:t>لاّ</w:t>
      </w:r>
      <w:r w:rsidRPr="00282AC9">
        <w:rPr>
          <w:b/>
          <w:bCs/>
          <w:sz w:val="27"/>
          <w:rtl/>
        </w:rPr>
        <w:t xml:space="preserve"> الَّذِينَ تَابُو</w:t>
      </w:r>
      <w:r w:rsidRPr="00282AC9">
        <w:rPr>
          <w:rFonts w:hint="cs"/>
          <w:b/>
          <w:bCs/>
          <w:sz w:val="27"/>
          <w:rtl/>
        </w:rPr>
        <w:t>ا</w:t>
      </w:r>
      <w:r w:rsidR="00C5291F" w:rsidRPr="00282AC9">
        <w:rPr>
          <w:rFonts w:ascii="Mosawi" w:hAnsi="Mosawi" w:cs="Mosawi"/>
          <w:sz w:val="24"/>
          <w:szCs w:val="24"/>
          <w:rtl/>
        </w:rPr>
        <w:t>﴾</w:t>
      </w:r>
      <w:r w:rsidRPr="00282AC9">
        <w:rPr>
          <w:rFonts w:hint="cs"/>
          <w:sz w:val="27"/>
          <w:rtl/>
        </w:rPr>
        <w:t>؛ فحملها إليه رجل</w:t>
      </w:r>
      <w:r w:rsidR="00922B8E" w:rsidRPr="00282AC9">
        <w:rPr>
          <w:rFonts w:hint="cs"/>
          <w:sz w:val="27"/>
          <w:rtl/>
        </w:rPr>
        <w:t>ٌ</w:t>
      </w:r>
      <w:r w:rsidRPr="00282AC9">
        <w:rPr>
          <w:rFonts w:hint="cs"/>
          <w:sz w:val="27"/>
          <w:rtl/>
        </w:rPr>
        <w:t xml:space="preserve"> من قومه، فقال: إني لأعلم أنك لصدوق</w:t>
      </w:r>
      <w:r w:rsidR="00922B8E" w:rsidRPr="00282AC9">
        <w:rPr>
          <w:rFonts w:hint="cs"/>
          <w:sz w:val="27"/>
          <w:rtl/>
        </w:rPr>
        <w:t>ٌ</w:t>
      </w:r>
      <w:r w:rsidRPr="00282AC9">
        <w:rPr>
          <w:rFonts w:hint="cs"/>
          <w:sz w:val="27"/>
          <w:rtl/>
        </w:rPr>
        <w:t>، ورسول الله أصدق منك، وأن الله أصدق الثلاثة، ورجع إلى المدينة</w:t>
      </w:r>
      <w:r w:rsidR="00334B4D" w:rsidRPr="00282AC9">
        <w:rPr>
          <w:rFonts w:hint="cs"/>
          <w:sz w:val="27"/>
          <w:rtl/>
        </w:rPr>
        <w:t>،</w:t>
      </w:r>
      <w:r w:rsidRPr="00282AC9">
        <w:rPr>
          <w:rFonts w:hint="cs"/>
          <w:sz w:val="27"/>
          <w:rtl/>
        </w:rPr>
        <w:t xml:space="preserve"> وتاب</w:t>
      </w:r>
      <w:r w:rsidR="00334B4D" w:rsidRPr="00282AC9">
        <w:rPr>
          <w:rFonts w:hint="cs"/>
          <w:sz w:val="27"/>
          <w:rtl/>
        </w:rPr>
        <w:t>،</w:t>
      </w:r>
      <w:r w:rsidRPr="00282AC9">
        <w:rPr>
          <w:rFonts w:hint="cs"/>
          <w:sz w:val="27"/>
          <w:rtl/>
        </w:rPr>
        <w:t xml:space="preserve"> وحسن إسلامه</w:t>
      </w:r>
      <w:r w:rsidRPr="00282AC9">
        <w:rPr>
          <w:rFonts w:hint="eastAsia"/>
          <w:sz w:val="24"/>
          <w:szCs w:val="24"/>
          <w:rtl/>
        </w:rPr>
        <w:t>»</w:t>
      </w:r>
      <w:r w:rsidRPr="00282AC9">
        <w:rPr>
          <w:sz w:val="27"/>
          <w:vertAlign w:val="superscript"/>
          <w:rtl/>
        </w:rPr>
        <w:t>(</w:t>
      </w:r>
      <w:r w:rsidRPr="00282AC9">
        <w:rPr>
          <w:rStyle w:val="af9"/>
          <w:sz w:val="27"/>
          <w:rtl/>
        </w:rPr>
        <w:endnoteReference w:id="287"/>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 xml:space="preserve">وقال تعالى: </w:t>
      </w:r>
      <w:r w:rsidR="00C5291F" w:rsidRPr="00282AC9">
        <w:rPr>
          <w:rFonts w:ascii="Mosawi" w:hAnsi="Mosawi" w:cs="Mosawi"/>
          <w:sz w:val="24"/>
          <w:szCs w:val="24"/>
          <w:rtl/>
        </w:rPr>
        <w:t>﴿</w:t>
      </w:r>
      <w:r w:rsidRPr="00282AC9">
        <w:rPr>
          <w:b/>
          <w:bCs/>
          <w:sz w:val="27"/>
          <w:rtl/>
        </w:rPr>
        <w:t>إِنَّ الَّذِينَ كَفَرُوا بَعْدَ إِيمَانِهِمْ ثُمَّ ازْدَادُوا كُفْراً لَنْ تُقْبَلَ تَوْبَتُهُمْ وَأُولَئِكَ هُمُ الضَّالُّونَ</w:t>
      </w:r>
      <w:r w:rsidR="00C5291F" w:rsidRPr="00282AC9">
        <w:rPr>
          <w:rFonts w:ascii="Mosawi" w:hAnsi="Mosawi" w:cs="Mosawi"/>
          <w:sz w:val="24"/>
          <w:szCs w:val="24"/>
          <w:rtl/>
        </w:rPr>
        <w:t>﴾</w:t>
      </w:r>
      <w:r w:rsidRPr="00282AC9">
        <w:rPr>
          <w:rFonts w:hint="cs"/>
          <w:sz w:val="27"/>
          <w:rtl/>
        </w:rPr>
        <w:t xml:space="preserve"> (آل عمران: 90).</w:t>
      </w:r>
    </w:p>
    <w:p w:rsidR="005A1BD7" w:rsidRPr="00282AC9" w:rsidRDefault="005A1BD7" w:rsidP="00C75E73">
      <w:pPr>
        <w:rPr>
          <w:sz w:val="27"/>
          <w:rtl/>
        </w:rPr>
      </w:pPr>
      <w:r w:rsidRPr="00282AC9">
        <w:rPr>
          <w:rFonts w:hint="cs"/>
          <w:sz w:val="27"/>
          <w:rtl/>
        </w:rPr>
        <w:t>إن هذه الآية وإن</w:t>
      </w:r>
      <w:r w:rsidR="00334B4D" w:rsidRPr="00282AC9">
        <w:rPr>
          <w:rFonts w:hint="cs"/>
          <w:sz w:val="27"/>
          <w:rtl/>
        </w:rPr>
        <w:t>ْ</w:t>
      </w:r>
      <w:r w:rsidRPr="00282AC9">
        <w:rPr>
          <w:rFonts w:hint="cs"/>
          <w:sz w:val="27"/>
          <w:rtl/>
        </w:rPr>
        <w:t xml:space="preserve"> كانت تدل</w:t>
      </w:r>
      <w:r w:rsidR="00334B4D" w:rsidRPr="00282AC9">
        <w:rPr>
          <w:rFonts w:hint="cs"/>
          <w:sz w:val="27"/>
          <w:rtl/>
        </w:rPr>
        <w:t>ّ</w:t>
      </w:r>
      <w:r w:rsidRPr="00282AC9">
        <w:rPr>
          <w:rFonts w:hint="cs"/>
          <w:sz w:val="27"/>
          <w:rtl/>
        </w:rPr>
        <w:t xml:space="preserve"> على عدم قبول التوبة منهم بشكل</w:t>
      </w:r>
      <w:r w:rsidR="00334B4D" w:rsidRPr="00282AC9">
        <w:rPr>
          <w:rFonts w:hint="cs"/>
          <w:sz w:val="27"/>
          <w:rtl/>
        </w:rPr>
        <w:t>ٍ</w:t>
      </w:r>
      <w:r w:rsidRPr="00282AC9">
        <w:rPr>
          <w:rFonts w:hint="cs"/>
          <w:sz w:val="27"/>
          <w:rtl/>
        </w:rPr>
        <w:t xml:space="preserve"> دائم، ولكن</w:t>
      </w:r>
      <w:r w:rsidR="00334B4D" w:rsidRPr="00282AC9">
        <w:rPr>
          <w:rFonts w:hint="cs"/>
          <w:sz w:val="27"/>
          <w:rtl/>
        </w:rPr>
        <w:t>ْ</w:t>
      </w:r>
      <w:r w:rsidRPr="00282AC9">
        <w:rPr>
          <w:rFonts w:hint="cs"/>
          <w:sz w:val="27"/>
          <w:rtl/>
        </w:rPr>
        <w:t xml:space="preserve"> حيث </w:t>
      </w:r>
      <w:r w:rsidR="00334B4D" w:rsidRPr="00282AC9">
        <w:rPr>
          <w:rFonts w:hint="cs"/>
          <w:sz w:val="27"/>
          <w:rtl/>
        </w:rPr>
        <w:t>إ</w:t>
      </w:r>
      <w:r w:rsidRPr="00282AC9">
        <w:rPr>
          <w:rFonts w:hint="cs"/>
          <w:sz w:val="27"/>
          <w:rtl/>
        </w:rPr>
        <w:t>ن آيات التوبة لا تقبل التخصيص أو التقييد قال المفس</w:t>
      </w:r>
      <w:r w:rsidR="00334B4D" w:rsidRPr="00282AC9">
        <w:rPr>
          <w:rFonts w:hint="cs"/>
          <w:sz w:val="27"/>
          <w:rtl/>
        </w:rPr>
        <w:t>ِّ</w:t>
      </w:r>
      <w:r w:rsidRPr="00282AC9">
        <w:rPr>
          <w:rFonts w:hint="cs"/>
          <w:sz w:val="27"/>
          <w:rtl/>
        </w:rPr>
        <w:t>رون في تفسيرها وتقريبها:</w:t>
      </w:r>
    </w:p>
    <w:p w:rsidR="005A1BD7" w:rsidRPr="00282AC9" w:rsidRDefault="005A1BD7" w:rsidP="00C75E73">
      <w:pPr>
        <w:rPr>
          <w:sz w:val="27"/>
          <w:rtl/>
        </w:rPr>
      </w:pPr>
      <w:r w:rsidRPr="00282AC9">
        <w:rPr>
          <w:rFonts w:hint="cs"/>
          <w:sz w:val="27"/>
          <w:rtl/>
        </w:rPr>
        <w:t>1ـ إن سبب عدم قبول توبتهم أنها لا تقع منهم على وجه الإخلاص</w:t>
      </w:r>
      <w:r w:rsidR="00334B4D" w:rsidRPr="00282AC9">
        <w:rPr>
          <w:rFonts w:hint="cs"/>
          <w:sz w:val="27"/>
          <w:rtl/>
        </w:rPr>
        <w:t>؛</w:t>
      </w:r>
      <w:r w:rsidRPr="00282AC9">
        <w:rPr>
          <w:rFonts w:hint="cs"/>
          <w:sz w:val="27"/>
          <w:rtl/>
        </w:rPr>
        <w:t xml:space="preserve"> والشاهد على ذلك ما ورد في نهاية هذه الآية من القول: </w:t>
      </w:r>
      <w:r w:rsidRPr="00282AC9">
        <w:rPr>
          <w:rFonts w:hint="eastAsia"/>
          <w:sz w:val="24"/>
          <w:szCs w:val="24"/>
          <w:rtl/>
        </w:rPr>
        <w:t>«</w:t>
      </w:r>
      <w:r w:rsidRPr="00282AC9">
        <w:rPr>
          <w:sz w:val="27"/>
          <w:rtl/>
        </w:rPr>
        <w:t>أُولَئِكَ هُمُ الضَّالُّونَ</w:t>
      </w:r>
      <w:r w:rsidRPr="00282AC9">
        <w:rPr>
          <w:rFonts w:hint="eastAsia"/>
          <w:sz w:val="24"/>
          <w:szCs w:val="24"/>
          <w:rtl/>
        </w:rPr>
        <w:t>»</w:t>
      </w:r>
      <w:r w:rsidRPr="00282AC9">
        <w:rPr>
          <w:sz w:val="27"/>
          <w:vertAlign w:val="superscript"/>
          <w:rtl/>
        </w:rPr>
        <w:t>(</w:t>
      </w:r>
      <w:r w:rsidRPr="00282AC9">
        <w:rPr>
          <w:rStyle w:val="af9"/>
          <w:sz w:val="27"/>
          <w:rtl/>
        </w:rPr>
        <w:endnoteReference w:id="288"/>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2ـ هناك م</w:t>
      </w:r>
      <w:r w:rsidR="00334B4D" w:rsidRPr="00282AC9">
        <w:rPr>
          <w:rFonts w:hint="cs"/>
          <w:sz w:val="27"/>
          <w:rtl/>
        </w:rPr>
        <w:t>َ</w:t>
      </w:r>
      <w:r w:rsidRPr="00282AC9">
        <w:rPr>
          <w:rFonts w:hint="cs"/>
          <w:sz w:val="27"/>
          <w:rtl/>
        </w:rPr>
        <w:t>ن</w:t>
      </w:r>
      <w:r w:rsidR="00334B4D" w:rsidRPr="00282AC9">
        <w:rPr>
          <w:rFonts w:hint="cs"/>
          <w:sz w:val="27"/>
          <w:rtl/>
        </w:rPr>
        <w:t>ْ</w:t>
      </w:r>
      <w:r w:rsidRPr="00282AC9">
        <w:rPr>
          <w:rFonts w:hint="cs"/>
          <w:sz w:val="27"/>
          <w:rtl/>
        </w:rPr>
        <w:t xml:space="preserve"> فس</w:t>
      </w:r>
      <w:r w:rsidR="00334B4D" w:rsidRPr="00282AC9">
        <w:rPr>
          <w:rFonts w:hint="cs"/>
          <w:sz w:val="27"/>
          <w:rtl/>
        </w:rPr>
        <w:t>َّ</w:t>
      </w:r>
      <w:r w:rsidRPr="00282AC9">
        <w:rPr>
          <w:rFonts w:hint="cs"/>
          <w:sz w:val="27"/>
          <w:rtl/>
        </w:rPr>
        <w:t>ر هذه التوبة بالتوبة التي تكون قبل الموت، وهي لا ت</w:t>
      </w:r>
      <w:r w:rsidR="00334B4D" w:rsidRPr="00282AC9">
        <w:rPr>
          <w:rFonts w:hint="cs"/>
          <w:sz w:val="27"/>
          <w:rtl/>
        </w:rPr>
        <w:t>ُ</w:t>
      </w:r>
      <w:r w:rsidRPr="00282AC9">
        <w:rPr>
          <w:rFonts w:hint="cs"/>
          <w:sz w:val="27"/>
          <w:rtl/>
        </w:rPr>
        <w:t>ق</w:t>
      </w:r>
      <w:r w:rsidR="00334B4D" w:rsidRPr="00282AC9">
        <w:rPr>
          <w:rFonts w:hint="cs"/>
          <w:sz w:val="27"/>
          <w:rtl/>
        </w:rPr>
        <w:t>ْ</w:t>
      </w:r>
      <w:r w:rsidRPr="00282AC9">
        <w:rPr>
          <w:rFonts w:hint="cs"/>
          <w:sz w:val="27"/>
          <w:rtl/>
        </w:rPr>
        <w:t>ب</w:t>
      </w:r>
      <w:r w:rsidR="00334B4D" w:rsidRPr="00282AC9">
        <w:rPr>
          <w:rFonts w:hint="cs"/>
          <w:sz w:val="27"/>
          <w:rtl/>
        </w:rPr>
        <w:t>َ</w:t>
      </w:r>
      <w:r w:rsidRPr="00282AC9">
        <w:rPr>
          <w:rFonts w:hint="cs"/>
          <w:sz w:val="27"/>
          <w:rtl/>
        </w:rPr>
        <w:t>ل</w:t>
      </w:r>
      <w:r w:rsidR="00334B4D" w:rsidRPr="00282AC9">
        <w:rPr>
          <w:rFonts w:hint="cs"/>
          <w:sz w:val="27"/>
          <w:rtl/>
        </w:rPr>
        <w:t>؛</w:t>
      </w:r>
      <w:r w:rsidRPr="00282AC9">
        <w:rPr>
          <w:rFonts w:hint="cs"/>
          <w:sz w:val="27"/>
          <w:rtl/>
        </w:rPr>
        <w:t xml:space="preserve"> طبقاً لقوله تعالى: </w:t>
      </w:r>
      <w:r w:rsidR="00C5291F" w:rsidRPr="00282AC9">
        <w:rPr>
          <w:rFonts w:ascii="Mosawi" w:hAnsi="Mosawi" w:cs="Mosawi"/>
          <w:sz w:val="24"/>
          <w:szCs w:val="24"/>
          <w:rtl/>
        </w:rPr>
        <w:t>﴿</w:t>
      </w:r>
      <w:r w:rsidRPr="00282AC9">
        <w:rPr>
          <w:b/>
          <w:bCs/>
          <w:sz w:val="27"/>
          <w:rtl/>
        </w:rPr>
        <w:t>وَلَيْسَتِ التَّوْبَةُ لِلَّذِينَ يَعْمَلُونَ السَّيِّئَاتِ حَتَّى إِذَا حَضَرَ أَحَدَهُمُ ا</w:t>
      </w:r>
      <w:r w:rsidR="00334B4D" w:rsidRPr="00282AC9">
        <w:rPr>
          <w:b/>
          <w:bCs/>
          <w:sz w:val="27"/>
          <w:rtl/>
        </w:rPr>
        <w:t xml:space="preserve">لْمَوْتُ قَالَ </w:t>
      </w:r>
      <w:r w:rsidR="00334B4D" w:rsidRPr="00282AC9">
        <w:rPr>
          <w:b/>
          <w:bCs/>
          <w:sz w:val="27"/>
          <w:rtl/>
        </w:rPr>
        <w:lastRenderedPageBreak/>
        <w:t>إِنِّي تُبْتُ ال</w:t>
      </w:r>
      <w:r w:rsidRPr="00282AC9">
        <w:rPr>
          <w:b/>
          <w:bCs/>
          <w:sz w:val="27"/>
          <w:rtl/>
        </w:rPr>
        <w:t>آنَ</w:t>
      </w:r>
      <w:r w:rsidRPr="00282AC9">
        <w:rPr>
          <w:rFonts w:hint="cs"/>
          <w:b/>
          <w:bCs/>
          <w:sz w:val="27"/>
          <w:rtl/>
        </w:rPr>
        <w:t>...</w:t>
      </w:r>
      <w:r w:rsidR="00C5291F" w:rsidRPr="00282AC9">
        <w:rPr>
          <w:rFonts w:ascii="Mosawi" w:hAnsi="Mosawi" w:cs="Mosawi"/>
          <w:sz w:val="24"/>
          <w:szCs w:val="24"/>
          <w:rtl/>
        </w:rPr>
        <w:t>﴾</w:t>
      </w:r>
      <w:r w:rsidRPr="00282AC9">
        <w:rPr>
          <w:rFonts w:hint="cs"/>
          <w:sz w:val="27"/>
          <w:rtl/>
        </w:rPr>
        <w:t xml:space="preserve"> (النساء: 18)</w:t>
      </w:r>
      <w:r w:rsidRPr="00282AC9">
        <w:rPr>
          <w:rFonts w:hint="eastAsia"/>
          <w:sz w:val="24"/>
          <w:szCs w:val="24"/>
          <w:rtl/>
        </w:rPr>
        <w:t>»</w:t>
      </w:r>
      <w:r w:rsidRPr="00282AC9">
        <w:rPr>
          <w:sz w:val="27"/>
          <w:vertAlign w:val="superscript"/>
          <w:rtl/>
        </w:rPr>
        <w:t>(</w:t>
      </w:r>
      <w:r w:rsidRPr="00282AC9">
        <w:rPr>
          <w:rStyle w:val="af9"/>
          <w:sz w:val="27"/>
          <w:rtl/>
        </w:rPr>
        <w:endnoteReference w:id="289"/>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3ـ هناك م</w:t>
      </w:r>
      <w:r w:rsidR="00D55334" w:rsidRPr="00282AC9">
        <w:rPr>
          <w:rFonts w:hint="cs"/>
          <w:sz w:val="27"/>
          <w:rtl/>
        </w:rPr>
        <w:t>َ</w:t>
      </w:r>
      <w:r w:rsidRPr="00282AC9">
        <w:rPr>
          <w:rFonts w:hint="cs"/>
          <w:sz w:val="27"/>
          <w:rtl/>
        </w:rPr>
        <w:t>ن</w:t>
      </w:r>
      <w:r w:rsidR="00D55334" w:rsidRPr="00282AC9">
        <w:rPr>
          <w:rFonts w:hint="cs"/>
          <w:sz w:val="27"/>
          <w:rtl/>
        </w:rPr>
        <w:t>ْ</w:t>
      </w:r>
      <w:r w:rsidRPr="00282AC9">
        <w:rPr>
          <w:rFonts w:hint="cs"/>
          <w:sz w:val="27"/>
          <w:rtl/>
        </w:rPr>
        <w:t xml:space="preserve"> يرى أن التوبة الحقيقية لا تصدر عنهم، وإنما هي مجرّد توبة نفاق</w:t>
      </w:r>
      <w:r w:rsidR="00D55334" w:rsidRPr="00282AC9">
        <w:rPr>
          <w:rFonts w:hint="cs"/>
          <w:sz w:val="27"/>
          <w:rtl/>
        </w:rPr>
        <w:t>ٍ،</w:t>
      </w:r>
      <w:r w:rsidRPr="00282AC9">
        <w:rPr>
          <w:rFonts w:hint="cs"/>
          <w:sz w:val="27"/>
          <w:rtl/>
        </w:rPr>
        <w:t xml:space="preserve"> وليست توبة</w:t>
      </w:r>
      <w:r w:rsidR="00D55334" w:rsidRPr="00282AC9">
        <w:rPr>
          <w:rFonts w:hint="cs"/>
          <w:sz w:val="27"/>
          <w:rtl/>
        </w:rPr>
        <w:t>ً</w:t>
      </w:r>
      <w:r w:rsidRPr="00282AC9">
        <w:rPr>
          <w:rFonts w:hint="cs"/>
          <w:sz w:val="27"/>
          <w:rtl/>
        </w:rPr>
        <w:t xml:space="preserve"> حقيقية، ومن هنا فإنها لا تُق</w:t>
      </w:r>
      <w:r w:rsidR="00D55334" w:rsidRPr="00282AC9">
        <w:rPr>
          <w:rFonts w:hint="cs"/>
          <w:sz w:val="27"/>
          <w:rtl/>
        </w:rPr>
        <w:t>ْ</w:t>
      </w:r>
      <w:r w:rsidRPr="00282AC9">
        <w:rPr>
          <w:rFonts w:hint="cs"/>
          <w:sz w:val="27"/>
          <w:rtl/>
        </w:rPr>
        <w:t>ب</w:t>
      </w:r>
      <w:r w:rsidR="00D55334" w:rsidRPr="00282AC9">
        <w:rPr>
          <w:rFonts w:hint="cs"/>
          <w:sz w:val="27"/>
          <w:rtl/>
        </w:rPr>
        <w:t>َ</w:t>
      </w:r>
      <w:r w:rsidRPr="00282AC9">
        <w:rPr>
          <w:rFonts w:hint="cs"/>
          <w:sz w:val="27"/>
          <w:rtl/>
        </w:rPr>
        <w:t>ل منهم</w:t>
      </w:r>
      <w:r w:rsidRPr="00282AC9">
        <w:rPr>
          <w:sz w:val="27"/>
          <w:vertAlign w:val="superscript"/>
          <w:rtl/>
        </w:rPr>
        <w:t>(</w:t>
      </w:r>
      <w:r w:rsidRPr="00282AC9">
        <w:rPr>
          <w:rStyle w:val="af9"/>
          <w:sz w:val="27"/>
          <w:rtl/>
        </w:rPr>
        <w:endnoteReference w:id="290"/>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 xml:space="preserve">وعلى </w:t>
      </w:r>
      <w:r w:rsidR="00D55334" w:rsidRPr="00282AC9">
        <w:rPr>
          <w:rFonts w:hint="cs"/>
          <w:sz w:val="27"/>
          <w:rtl/>
        </w:rPr>
        <w:t>أيّ</w:t>
      </w:r>
      <w:r w:rsidRPr="00282AC9">
        <w:rPr>
          <w:rFonts w:hint="cs"/>
          <w:sz w:val="27"/>
          <w:rtl/>
        </w:rPr>
        <w:t xml:space="preserve"> حال لو أ</w:t>
      </w:r>
      <w:r w:rsidR="00D55334" w:rsidRPr="00282AC9">
        <w:rPr>
          <w:rFonts w:hint="cs"/>
          <w:sz w:val="27"/>
          <w:rtl/>
        </w:rPr>
        <w:t>ُ</w:t>
      </w:r>
      <w:r w:rsidRPr="00282AC9">
        <w:rPr>
          <w:rFonts w:hint="cs"/>
          <w:sz w:val="27"/>
          <w:rtl/>
        </w:rPr>
        <w:t>خذ</w:t>
      </w:r>
      <w:r w:rsidR="00D55334" w:rsidRPr="00282AC9">
        <w:rPr>
          <w:rFonts w:hint="cs"/>
          <w:sz w:val="27"/>
          <w:rtl/>
        </w:rPr>
        <w:t>َ</w:t>
      </w:r>
      <w:r w:rsidRPr="00282AC9">
        <w:rPr>
          <w:rFonts w:hint="cs"/>
          <w:sz w:val="27"/>
          <w:rtl/>
        </w:rPr>
        <w:t>ت</w:t>
      </w:r>
      <w:r w:rsidR="00D55334" w:rsidRPr="00282AC9">
        <w:rPr>
          <w:rFonts w:hint="cs"/>
          <w:sz w:val="27"/>
          <w:rtl/>
        </w:rPr>
        <w:t>ْ</w:t>
      </w:r>
      <w:r w:rsidRPr="00282AC9">
        <w:rPr>
          <w:rFonts w:hint="cs"/>
          <w:sz w:val="27"/>
          <w:rtl/>
        </w:rPr>
        <w:t xml:space="preserve"> هذه الآية على إطلاقها فإنها تشمل المرتد</w:t>
      </w:r>
      <w:r w:rsidR="00D55334" w:rsidRPr="00282AC9">
        <w:rPr>
          <w:rFonts w:hint="cs"/>
          <w:sz w:val="27"/>
          <w:rtl/>
        </w:rPr>
        <w:t>ّ</w:t>
      </w:r>
      <w:r w:rsidRPr="00282AC9">
        <w:rPr>
          <w:rFonts w:hint="cs"/>
          <w:sz w:val="27"/>
          <w:rtl/>
        </w:rPr>
        <w:t>ة عن فطرة</w:t>
      </w:r>
      <w:r w:rsidR="00D55334" w:rsidRPr="00282AC9">
        <w:rPr>
          <w:rFonts w:hint="cs"/>
          <w:sz w:val="27"/>
          <w:rtl/>
        </w:rPr>
        <w:t>ٍ</w:t>
      </w:r>
      <w:r w:rsidRPr="00282AC9">
        <w:rPr>
          <w:rFonts w:hint="cs"/>
          <w:sz w:val="27"/>
          <w:rtl/>
        </w:rPr>
        <w:t xml:space="preserve"> وملّة</w:t>
      </w:r>
      <w:r w:rsidR="00D55334" w:rsidRPr="00282AC9">
        <w:rPr>
          <w:rFonts w:hint="cs"/>
          <w:sz w:val="27"/>
          <w:rtl/>
        </w:rPr>
        <w:t>ٍ</w:t>
      </w:r>
      <w:r w:rsidRPr="00282AC9">
        <w:rPr>
          <w:rFonts w:hint="cs"/>
          <w:sz w:val="27"/>
          <w:rtl/>
        </w:rPr>
        <w:t xml:space="preserve"> أيضاً، في حين أن توبتها ت</w:t>
      </w:r>
      <w:r w:rsidR="00D55334" w:rsidRPr="00282AC9">
        <w:rPr>
          <w:rFonts w:hint="cs"/>
          <w:sz w:val="27"/>
          <w:rtl/>
        </w:rPr>
        <w:t>ُ</w:t>
      </w:r>
      <w:r w:rsidRPr="00282AC9">
        <w:rPr>
          <w:rFonts w:hint="cs"/>
          <w:sz w:val="27"/>
          <w:rtl/>
        </w:rPr>
        <w:t>ق</w:t>
      </w:r>
      <w:r w:rsidR="00D55334" w:rsidRPr="00282AC9">
        <w:rPr>
          <w:rFonts w:hint="cs"/>
          <w:sz w:val="27"/>
          <w:rtl/>
        </w:rPr>
        <w:t>ْ</w:t>
      </w:r>
      <w:r w:rsidRPr="00282AC9">
        <w:rPr>
          <w:rFonts w:hint="cs"/>
          <w:sz w:val="27"/>
          <w:rtl/>
        </w:rPr>
        <w:t>ب</w:t>
      </w:r>
      <w:r w:rsidR="00D55334" w:rsidRPr="00282AC9">
        <w:rPr>
          <w:rFonts w:hint="cs"/>
          <w:sz w:val="27"/>
          <w:rtl/>
        </w:rPr>
        <w:t>َ</w:t>
      </w:r>
      <w:r w:rsidRPr="00282AC9">
        <w:rPr>
          <w:rFonts w:hint="cs"/>
          <w:sz w:val="27"/>
          <w:rtl/>
        </w:rPr>
        <w:t>ل بإجماع الفريقين.</w:t>
      </w:r>
    </w:p>
    <w:p w:rsidR="005A1BD7" w:rsidRPr="00282AC9" w:rsidRDefault="005A1BD7" w:rsidP="00C75E73">
      <w:pPr>
        <w:rPr>
          <w:sz w:val="27"/>
          <w:rtl/>
        </w:rPr>
      </w:pPr>
      <w:r w:rsidRPr="00282AC9">
        <w:rPr>
          <w:rFonts w:hint="cs"/>
          <w:sz w:val="27"/>
          <w:rtl/>
        </w:rPr>
        <w:t xml:space="preserve">وقال تعالى: </w:t>
      </w:r>
      <w:r w:rsidR="00C5291F" w:rsidRPr="00282AC9">
        <w:rPr>
          <w:rFonts w:ascii="Mosawi" w:hAnsi="Mosawi" w:cs="Mosawi"/>
          <w:sz w:val="24"/>
          <w:szCs w:val="24"/>
          <w:rtl/>
        </w:rPr>
        <w:t>﴿</w:t>
      </w:r>
      <w:r w:rsidRPr="00282AC9">
        <w:rPr>
          <w:b/>
          <w:bCs/>
          <w:sz w:val="27"/>
          <w:rtl/>
        </w:rPr>
        <w:t xml:space="preserve">إِنَّ الَّذِينَ آمَنُوا ثُمَّ كَفَرُوا ثُمَّ آمَنُوا ثُمَّ كَفَرُوا ثُمَّ ازْدَادُوا كُفْراً لَمْ يَكُنِ </w:t>
      </w:r>
      <w:r w:rsidR="006D28AF" w:rsidRPr="00282AC9">
        <w:rPr>
          <w:b/>
          <w:bCs/>
          <w:sz w:val="27"/>
          <w:rtl/>
        </w:rPr>
        <w:t>الل</w:t>
      </w:r>
      <w:r w:rsidR="00D55334" w:rsidRPr="00282AC9">
        <w:rPr>
          <w:b/>
          <w:bCs/>
          <w:sz w:val="27"/>
          <w:rtl/>
        </w:rPr>
        <w:t>هُ لِيَغْفِرَ لَهُمْ وَل</w:t>
      </w:r>
      <w:r w:rsidRPr="00282AC9">
        <w:rPr>
          <w:b/>
          <w:bCs/>
          <w:sz w:val="27"/>
          <w:rtl/>
        </w:rPr>
        <w:t>ا لِيَهْدِيَهُمْ سَبِيلاً</w:t>
      </w:r>
      <w:r w:rsidR="00C5291F" w:rsidRPr="00282AC9">
        <w:rPr>
          <w:rFonts w:ascii="Mosawi" w:hAnsi="Mosawi" w:cs="Mosawi"/>
          <w:sz w:val="24"/>
          <w:szCs w:val="24"/>
          <w:rtl/>
        </w:rPr>
        <w:t>﴾</w:t>
      </w:r>
      <w:r w:rsidRPr="00282AC9">
        <w:rPr>
          <w:rFonts w:hint="cs"/>
          <w:sz w:val="27"/>
          <w:rtl/>
        </w:rPr>
        <w:t xml:space="preserve"> (النساء: 137).</w:t>
      </w:r>
    </w:p>
    <w:p w:rsidR="005A1BD7" w:rsidRPr="00282AC9" w:rsidRDefault="005A1BD7" w:rsidP="00C75E73">
      <w:pPr>
        <w:rPr>
          <w:sz w:val="27"/>
          <w:rtl/>
        </w:rPr>
      </w:pPr>
      <w:r w:rsidRPr="00282AC9">
        <w:rPr>
          <w:rFonts w:hint="cs"/>
          <w:sz w:val="27"/>
          <w:rtl/>
        </w:rPr>
        <w:t>إن هذه الآية وإن</w:t>
      </w:r>
      <w:r w:rsidR="00D55334" w:rsidRPr="00282AC9">
        <w:rPr>
          <w:rFonts w:hint="cs"/>
          <w:sz w:val="27"/>
          <w:rtl/>
        </w:rPr>
        <w:t>ْ</w:t>
      </w:r>
      <w:r w:rsidRPr="00282AC9">
        <w:rPr>
          <w:rFonts w:hint="cs"/>
          <w:sz w:val="27"/>
          <w:rtl/>
        </w:rPr>
        <w:t xml:space="preserve"> كانت تدلّ على عدم الغفران الإلهي</w:t>
      </w:r>
      <w:r w:rsidR="00D55334" w:rsidRPr="00282AC9">
        <w:rPr>
          <w:rFonts w:hint="cs"/>
          <w:sz w:val="27"/>
          <w:rtl/>
        </w:rPr>
        <w:t>ّ</w:t>
      </w:r>
      <w:r w:rsidRPr="00282AC9">
        <w:rPr>
          <w:rFonts w:hint="cs"/>
          <w:sz w:val="27"/>
          <w:rtl/>
        </w:rPr>
        <w:t xml:space="preserve"> </w:t>
      </w:r>
      <w:r w:rsidR="00D55334" w:rsidRPr="00282AC9">
        <w:rPr>
          <w:rFonts w:hint="cs"/>
          <w:sz w:val="27"/>
          <w:rtl/>
        </w:rPr>
        <w:t>ل</w:t>
      </w:r>
      <w:r w:rsidRPr="00282AC9">
        <w:rPr>
          <w:rFonts w:hint="cs"/>
          <w:sz w:val="27"/>
          <w:rtl/>
        </w:rPr>
        <w:t>لمرتد</w:t>
      </w:r>
      <w:r w:rsidR="00D55334" w:rsidRPr="00282AC9">
        <w:rPr>
          <w:rFonts w:hint="cs"/>
          <w:sz w:val="27"/>
          <w:rtl/>
        </w:rPr>
        <w:t>ّ</w:t>
      </w:r>
      <w:r w:rsidRPr="00282AC9">
        <w:rPr>
          <w:rFonts w:hint="cs"/>
          <w:sz w:val="27"/>
          <w:rtl/>
        </w:rPr>
        <w:t>ين، ولكنها تشتمل على بعض النقاط أيضاً، وهي:</w:t>
      </w:r>
    </w:p>
    <w:p w:rsidR="005A1BD7" w:rsidRPr="00282AC9" w:rsidRDefault="005A1BD7" w:rsidP="00C75E73">
      <w:pPr>
        <w:rPr>
          <w:sz w:val="27"/>
          <w:rtl/>
        </w:rPr>
      </w:pPr>
      <w:r w:rsidRPr="00282AC9">
        <w:rPr>
          <w:rFonts w:hint="cs"/>
          <w:sz w:val="27"/>
          <w:rtl/>
        </w:rPr>
        <w:t>1ـ طبقاً لهذه الآية كان هذا الشخص مؤمناً في أو</w:t>
      </w:r>
      <w:r w:rsidR="00D55334" w:rsidRPr="00282AC9">
        <w:rPr>
          <w:rFonts w:hint="cs"/>
          <w:sz w:val="27"/>
          <w:rtl/>
        </w:rPr>
        <w:t>ّ</w:t>
      </w:r>
      <w:r w:rsidRPr="00282AC9">
        <w:rPr>
          <w:rFonts w:hint="cs"/>
          <w:sz w:val="27"/>
          <w:rtl/>
        </w:rPr>
        <w:t>ل الأمر، ثم</w:t>
      </w:r>
      <w:r w:rsidR="00D55334" w:rsidRPr="00282AC9">
        <w:rPr>
          <w:rFonts w:hint="cs"/>
          <w:sz w:val="27"/>
          <w:rtl/>
        </w:rPr>
        <w:t>ّ</w:t>
      </w:r>
      <w:r w:rsidRPr="00282AC9">
        <w:rPr>
          <w:rFonts w:hint="cs"/>
          <w:sz w:val="27"/>
          <w:rtl/>
        </w:rPr>
        <w:t xml:space="preserve"> يكفر، ثمّ يؤمن؛ الأمر الذي يُثبت أن توبته الأولى قد قُب</w:t>
      </w:r>
      <w:r w:rsidR="002E0F41" w:rsidRPr="00282AC9">
        <w:rPr>
          <w:rFonts w:hint="cs"/>
          <w:sz w:val="27"/>
          <w:rtl/>
        </w:rPr>
        <w:t>ِ</w:t>
      </w:r>
      <w:r w:rsidRPr="00282AC9">
        <w:rPr>
          <w:rFonts w:hint="cs"/>
          <w:sz w:val="27"/>
          <w:rtl/>
        </w:rPr>
        <w:t>ل</w:t>
      </w:r>
      <w:r w:rsidR="002E0F41" w:rsidRPr="00282AC9">
        <w:rPr>
          <w:rFonts w:hint="cs"/>
          <w:sz w:val="27"/>
          <w:rtl/>
        </w:rPr>
        <w:t>َ</w:t>
      </w:r>
      <w:r w:rsidRPr="00282AC9">
        <w:rPr>
          <w:rFonts w:hint="cs"/>
          <w:sz w:val="27"/>
          <w:rtl/>
        </w:rPr>
        <w:t xml:space="preserve">ت، وقد تمّ التعبير عنها بـ </w:t>
      </w:r>
      <w:r w:rsidRPr="00282AC9">
        <w:rPr>
          <w:rFonts w:hint="eastAsia"/>
          <w:sz w:val="24"/>
          <w:szCs w:val="24"/>
          <w:rtl/>
        </w:rPr>
        <w:t>«</w:t>
      </w:r>
      <w:r w:rsidRPr="00282AC9">
        <w:rPr>
          <w:rFonts w:hint="cs"/>
          <w:sz w:val="27"/>
          <w:rtl/>
        </w:rPr>
        <w:t>ثمّ آمنوا</w:t>
      </w:r>
      <w:r w:rsidRPr="00282AC9">
        <w:rPr>
          <w:rFonts w:hint="eastAsia"/>
          <w:sz w:val="24"/>
          <w:szCs w:val="24"/>
          <w:rtl/>
        </w:rPr>
        <w:t>»</w:t>
      </w:r>
      <w:r w:rsidR="002E0F41" w:rsidRPr="00282AC9">
        <w:rPr>
          <w:rFonts w:hint="cs"/>
          <w:sz w:val="27"/>
          <w:rtl/>
        </w:rPr>
        <w:t>.</w:t>
      </w:r>
      <w:r w:rsidRPr="00282AC9">
        <w:rPr>
          <w:rFonts w:hint="cs"/>
          <w:sz w:val="27"/>
          <w:rtl/>
        </w:rPr>
        <w:t xml:space="preserve"> ولذلك ذهب بعض فقهاء أهل السن</w:t>
      </w:r>
      <w:r w:rsidR="002E0F41" w:rsidRPr="00282AC9">
        <w:rPr>
          <w:rFonts w:hint="cs"/>
          <w:sz w:val="27"/>
          <w:rtl/>
        </w:rPr>
        <w:t>ّ</w:t>
      </w:r>
      <w:r w:rsidRPr="00282AC9">
        <w:rPr>
          <w:rFonts w:hint="cs"/>
          <w:sz w:val="27"/>
          <w:rtl/>
        </w:rPr>
        <w:t>ة ـ في ضوء هذه الآية ـ إلى عدم قبول التوبة من المرتد</w:t>
      </w:r>
      <w:r w:rsidR="002E0F41" w:rsidRPr="00282AC9">
        <w:rPr>
          <w:rFonts w:hint="cs"/>
          <w:sz w:val="27"/>
          <w:rtl/>
        </w:rPr>
        <w:t>ّ</w:t>
      </w:r>
      <w:r w:rsidRPr="00282AC9">
        <w:rPr>
          <w:rFonts w:hint="cs"/>
          <w:sz w:val="27"/>
          <w:rtl/>
        </w:rPr>
        <w:t xml:space="preserve"> إذا تكر</w:t>
      </w:r>
      <w:r w:rsidR="002E0F41" w:rsidRPr="00282AC9">
        <w:rPr>
          <w:rFonts w:hint="cs"/>
          <w:sz w:val="27"/>
          <w:rtl/>
        </w:rPr>
        <w:t>َّ</w:t>
      </w:r>
      <w:r w:rsidRPr="00282AC9">
        <w:rPr>
          <w:rFonts w:hint="cs"/>
          <w:sz w:val="27"/>
          <w:rtl/>
        </w:rPr>
        <w:t>ر ارتداده، ولكن</w:t>
      </w:r>
      <w:r w:rsidR="002E0F41" w:rsidRPr="00282AC9">
        <w:rPr>
          <w:rFonts w:hint="cs"/>
          <w:sz w:val="27"/>
          <w:rtl/>
        </w:rPr>
        <w:t>ّ</w:t>
      </w:r>
      <w:r w:rsidRPr="00282AC9">
        <w:rPr>
          <w:rFonts w:hint="cs"/>
          <w:sz w:val="27"/>
          <w:rtl/>
        </w:rPr>
        <w:t xml:space="preserve"> توبته ت</w:t>
      </w:r>
      <w:r w:rsidR="002E0F41" w:rsidRPr="00282AC9">
        <w:rPr>
          <w:rFonts w:hint="cs"/>
          <w:sz w:val="27"/>
          <w:rtl/>
        </w:rPr>
        <w:t>ُ</w:t>
      </w:r>
      <w:r w:rsidRPr="00282AC9">
        <w:rPr>
          <w:rFonts w:hint="cs"/>
          <w:sz w:val="27"/>
          <w:rtl/>
        </w:rPr>
        <w:t>ق</w:t>
      </w:r>
      <w:r w:rsidR="002E0F41" w:rsidRPr="00282AC9">
        <w:rPr>
          <w:rFonts w:hint="cs"/>
          <w:sz w:val="27"/>
          <w:rtl/>
        </w:rPr>
        <w:t>ْ</w:t>
      </w:r>
      <w:r w:rsidRPr="00282AC9">
        <w:rPr>
          <w:rFonts w:hint="cs"/>
          <w:sz w:val="27"/>
          <w:rtl/>
        </w:rPr>
        <w:t>ب</w:t>
      </w:r>
      <w:r w:rsidR="002E0F41" w:rsidRPr="00282AC9">
        <w:rPr>
          <w:rFonts w:hint="cs"/>
          <w:sz w:val="27"/>
          <w:rtl/>
        </w:rPr>
        <w:t>َ</w:t>
      </w:r>
      <w:r w:rsidRPr="00282AC9">
        <w:rPr>
          <w:rFonts w:hint="cs"/>
          <w:sz w:val="27"/>
          <w:rtl/>
        </w:rPr>
        <w:t>ل في المرّة الأولى فقط</w:t>
      </w:r>
      <w:r w:rsidRPr="00282AC9">
        <w:rPr>
          <w:sz w:val="27"/>
          <w:vertAlign w:val="superscript"/>
          <w:rtl/>
        </w:rPr>
        <w:t>(</w:t>
      </w:r>
      <w:r w:rsidRPr="00282AC9">
        <w:rPr>
          <w:rStyle w:val="af9"/>
          <w:sz w:val="27"/>
          <w:rtl/>
        </w:rPr>
        <w:endnoteReference w:id="291"/>
      </w:r>
      <w:r w:rsidRPr="00282AC9">
        <w:rPr>
          <w:sz w:val="27"/>
          <w:vertAlign w:val="superscript"/>
          <w:rtl/>
        </w:rPr>
        <w:t>)</w:t>
      </w:r>
      <w:r w:rsidRPr="00282AC9">
        <w:rPr>
          <w:rFonts w:hint="cs"/>
          <w:sz w:val="27"/>
          <w:rtl/>
        </w:rPr>
        <w:t>.</w:t>
      </w:r>
    </w:p>
    <w:p w:rsidR="005A1BD7" w:rsidRPr="00282AC9" w:rsidRDefault="005A1BD7" w:rsidP="00C75E73">
      <w:pPr>
        <w:rPr>
          <w:sz w:val="27"/>
          <w:rtl/>
        </w:rPr>
      </w:pPr>
      <w:r w:rsidRPr="00282AC9">
        <w:rPr>
          <w:rFonts w:hint="cs"/>
          <w:sz w:val="27"/>
          <w:rtl/>
        </w:rPr>
        <w:t>وقال بعض المفس</w:t>
      </w:r>
      <w:r w:rsidR="002E0F41" w:rsidRPr="00282AC9">
        <w:rPr>
          <w:rFonts w:hint="cs"/>
          <w:sz w:val="27"/>
          <w:rtl/>
        </w:rPr>
        <w:t>ِّ</w:t>
      </w:r>
      <w:r w:rsidRPr="00282AC9">
        <w:rPr>
          <w:rFonts w:hint="cs"/>
          <w:sz w:val="27"/>
          <w:rtl/>
        </w:rPr>
        <w:t xml:space="preserve">رين في مورد هذه الآية: </w:t>
      </w:r>
      <w:r w:rsidRPr="00282AC9">
        <w:rPr>
          <w:rFonts w:hint="eastAsia"/>
          <w:sz w:val="24"/>
          <w:szCs w:val="24"/>
          <w:rtl/>
        </w:rPr>
        <w:t>«</w:t>
      </w:r>
      <w:r w:rsidRPr="00282AC9">
        <w:rPr>
          <w:rFonts w:hint="cs"/>
          <w:sz w:val="27"/>
          <w:rtl/>
        </w:rPr>
        <w:t>إن هذه الآية قد نزلت في المرتد</w:t>
      </w:r>
      <w:r w:rsidR="002E0F41" w:rsidRPr="00282AC9">
        <w:rPr>
          <w:rFonts w:hint="cs"/>
          <w:sz w:val="27"/>
          <w:rtl/>
        </w:rPr>
        <w:t xml:space="preserve">ّ؛ </w:t>
      </w:r>
      <w:r w:rsidRPr="00282AC9">
        <w:rPr>
          <w:rFonts w:hint="cs"/>
          <w:sz w:val="27"/>
          <w:rtl/>
        </w:rPr>
        <w:t>إما عن ملّة</w:t>
      </w:r>
      <w:r w:rsidR="002E0F41" w:rsidRPr="00282AC9">
        <w:rPr>
          <w:rFonts w:hint="cs"/>
          <w:sz w:val="27"/>
          <w:rtl/>
        </w:rPr>
        <w:t>ٍ،</w:t>
      </w:r>
      <w:r w:rsidRPr="00282AC9">
        <w:rPr>
          <w:rFonts w:hint="cs"/>
          <w:sz w:val="27"/>
          <w:rtl/>
        </w:rPr>
        <w:t xml:space="preserve"> كما هو ظاهر عبارة</w:t>
      </w:r>
      <w:r w:rsidR="002E0F41" w:rsidRPr="00282AC9">
        <w:rPr>
          <w:rFonts w:hint="cs"/>
          <w:sz w:val="27"/>
          <w:rtl/>
        </w:rPr>
        <w:t>:</w:t>
      </w:r>
      <w:r w:rsidRPr="00282AC9">
        <w:rPr>
          <w:rFonts w:hint="cs"/>
          <w:sz w:val="27"/>
          <w:rtl/>
        </w:rPr>
        <w:t xml:space="preserve"> </w:t>
      </w:r>
      <w:r w:rsidRPr="00282AC9">
        <w:rPr>
          <w:rFonts w:hint="eastAsia"/>
          <w:sz w:val="24"/>
          <w:szCs w:val="24"/>
          <w:rtl/>
        </w:rPr>
        <w:t>«</w:t>
      </w:r>
      <w:r w:rsidRPr="00282AC9">
        <w:rPr>
          <w:rFonts w:hint="cs"/>
          <w:sz w:val="27"/>
          <w:rtl/>
        </w:rPr>
        <w:t>إن الذين آمنوا</w:t>
      </w:r>
      <w:r w:rsidRPr="00282AC9">
        <w:rPr>
          <w:rFonts w:hint="eastAsia"/>
          <w:sz w:val="24"/>
          <w:szCs w:val="24"/>
          <w:rtl/>
        </w:rPr>
        <w:t>»</w:t>
      </w:r>
      <w:r w:rsidR="002E0F41" w:rsidRPr="00282AC9">
        <w:rPr>
          <w:rFonts w:hint="cs"/>
          <w:sz w:val="27"/>
          <w:rtl/>
        </w:rPr>
        <w:t>،</w:t>
      </w:r>
      <w:r w:rsidRPr="00282AC9">
        <w:rPr>
          <w:rFonts w:hint="cs"/>
          <w:sz w:val="27"/>
          <w:rtl/>
        </w:rPr>
        <w:t xml:space="preserve"> أنهم قد دخلوا إلى الإيمان من الكفر</w:t>
      </w:r>
      <w:r w:rsidR="002E0F41" w:rsidRPr="00282AC9">
        <w:rPr>
          <w:rFonts w:hint="cs"/>
          <w:sz w:val="27"/>
          <w:rtl/>
        </w:rPr>
        <w:t>؛</w:t>
      </w:r>
      <w:r w:rsidRPr="00282AC9">
        <w:rPr>
          <w:rFonts w:hint="cs"/>
          <w:sz w:val="27"/>
          <w:rtl/>
        </w:rPr>
        <w:t xml:space="preserve"> أو الأعم</w:t>
      </w:r>
      <w:r w:rsidR="002E0F41" w:rsidRPr="00282AC9">
        <w:rPr>
          <w:rFonts w:hint="cs"/>
          <w:sz w:val="27"/>
          <w:rtl/>
        </w:rPr>
        <w:t>ّ</w:t>
      </w:r>
      <w:r w:rsidRPr="00282AC9">
        <w:rPr>
          <w:rFonts w:hint="cs"/>
          <w:sz w:val="27"/>
          <w:rtl/>
        </w:rPr>
        <w:t xml:space="preserve"> من الملّي والفطري، بمعنى الأشخاص الذين يكون لهم إيمان</w:t>
      </w:r>
      <w:r w:rsidR="002E0F41" w:rsidRPr="00282AC9">
        <w:rPr>
          <w:rFonts w:hint="cs"/>
          <w:sz w:val="27"/>
          <w:rtl/>
        </w:rPr>
        <w:t>ٌ،</w:t>
      </w:r>
      <w:r w:rsidRPr="00282AC9">
        <w:rPr>
          <w:rFonts w:hint="cs"/>
          <w:sz w:val="27"/>
          <w:rtl/>
        </w:rPr>
        <w:t xml:space="preserve"> ثم</w:t>
      </w:r>
      <w:r w:rsidR="002E0F41" w:rsidRPr="00282AC9">
        <w:rPr>
          <w:rFonts w:hint="cs"/>
          <w:sz w:val="27"/>
          <w:rtl/>
        </w:rPr>
        <w:t>ّ</w:t>
      </w:r>
      <w:r w:rsidRPr="00282AC9">
        <w:rPr>
          <w:rFonts w:hint="cs"/>
          <w:sz w:val="27"/>
          <w:rtl/>
        </w:rPr>
        <w:t xml:space="preserve"> يرتد</w:t>
      </w:r>
      <w:r w:rsidR="002E0F41" w:rsidRPr="00282AC9">
        <w:rPr>
          <w:rFonts w:hint="cs"/>
          <w:sz w:val="27"/>
          <w:rtl/>
        </w:rPr>
        <w:t>ّ</w:t>
      </w:r>
      <w:r w:rsidRPr="00282AC9">
        <w:rPr>
          <w:rFonts w:hint="cs"/>
          <w:sz w:val="27"/>
          <w:rtl/>
        </w:rPr>
        <w:t>ون بالكفر، ولو بإنكار واحد</w:t>
      </w:r>
      <w:r w:rsidR="002E0F41" w:rsidRPr="00282AC9">
        <w:rPr>
          <w:rFonts w:hint="cs"/>
          <w:sz w:val="27"/>
          <w:rtl/>
        </w:rPr>
        <w:t>ٍ</w:t>
      </w:r>
      <w:r w:rsidRPr="00282AC9">
        <w:rPr>
          <w:rFonts w:hint="cs"/>
          <w:sz w:val="27"/>
          <w:rtl/>
        </w:rPr>
        <w:t xml:space="preserve"> من ضروريات الدين</w:t>
      </w:r>
      <w:r w:rsidR="002E0F41" w:rsidRPr="00282AC9">
        <w:rPr>
          <w:rFonts w:hint="cs"/>
          <w:sz w:val="27"/>
          <w:rtl/>
        </w:rPr>
        <w:t>،</w:t>
      </w:r>
      <w:r w:rsidRPr="00282AC9">
        <w:rPr>
          <w:rFonts w:hint="cs"/>
          <w:sz w:val="27"/>
          <w:rtl/>
        </w:rPr>
        <w:t xml:space="preserve"> أو بإدخال بدعة</w:t>
      </w:r>
      <w:r w:rsidR="002E0F41" w:rsidRPr="00282AC9">
        <w:rPr>
          <w:rFonts w:hint="cs"/>
          <w:sz w:val="27"/>
          <w:rtl/>
        </w:rPr>
        <w:t>ٍ</w:t>
      </w:r>
      <w:r w:rsidRPr="00282AC9">
        <w:rPr>
          <w:rFonts w:hint="cs"/>
          <w:sz w:val="27"/>
          <w:rtl/>
        </w:rPr>
        <w:t xml:space="preserve"> في الدين</w:t>
      </w:r>
      <w:r w:rsidR="002E0F41" w:rsidRPr="00282AC9">
        <w:rPr>
          <w:rFonts w:hint="cs"/>
          <w:sz w:val="27"/>
          <w:rtl/>
        </w:rPr>
        <w:t>،</w:t>
      </w:r>
      <w:r w:rsidRPr="00282AC9">
        <w:rPr>
          <w:rFonts w:hint="cs"/>
          <w:sz w:val="27"/>
          <w:rtl/>
        </w:rPr>
        <w:t xml:space="preserve"> ثم تابوا وعادوا إلى الإيمان (ثمّ آمنوا)؛ حيث يُستفاد من هذه الجملة أن توبة المرتد</w:t>
      </w:r>
      <w:r w:rsidR="002E0F41" w:rsidRPr="00282AC9">
        <w:rPr>
          <w:rFonts w:hint="cs"/>
          <w:sz w:val="27"/>
          <w:rtl/>
        </w:rPr>
        <w:t>ّ</w:t>
      </w:r>
      <w:r w:rsidRPr="00282AC9">
        <w:rPr>
          <w:rFonts w:hint="cs"/>
          <w:sz w:val="27"/>
          <w:rtl/>
        </w:rPr>
        <w:t xml:space="preserve"> مقبولة</w:t>
      </w:r>
      <w:r w:rsidR="002E0F41" w:rsidRPr="00282AC9">
        <w:rPr>
          <w:rFonts w:hint="cs"/>
          <w:sz w:val="27"/>
          <w:rtl/>
        </w:rPr>
        <w:t>ٌ،</w:t>
      </w:r>
      <w:r w:rsidRPr="00282AC9">
        <w:rPr>
          <w:rFonts w:hint="cs"/>
          <w:sz w:val="27"/>
          <w:rtl/>
        </w:rPr>
        <w:t xml:space="preserve"> سواء أكان مل</w:t>
      </w:r>
      <w:r w:rsidR="002E0F41" w:rsidRPr="00282AC9">
        <w:rPr>
          <w:rFonts w:hint="cs"/>
          <w:sz w:val="27"/>
          <w:rtl/>
        </w:rPr>
        <w:t>ِّ</w:t>
      </w:r>
      <w:r w:rsidRPr="00282AC9">
        <w:rPr>
          <w:rFonts w:hint="cs"/>
          <w:sz w:val="27"/>
          <w:rtl/>
        </w:rPr>
        <w:t>ياً أم فطرياً</w:t>
      </w:r>
      <w:r w:rsidR="002E0F41" w:rsidRPr="00282AC9">
        <w:rPr>
          <w:rFonts w:hint="cs"/>
          <w:sz w:val="27"/>
          <w:rtl/>
        </w:rPr>
        <w:t>.</w:t>
      </w:r>
      <w:r w:rsidRPr="00282AC9">
        <w:rPr>
          <w:rFonts w:hint="cs"/>
          <w:sz w:val="27"/>
          <w:rtl/>
        </w:rPr>
        <w:t xml:space="preserve"> وهذا هو الحق</w:t>
      </w:r>
      <w:r w:rsidR="002E0F41" w:rsidRPr="00282AC9">
        <w:rPr>
          <w:rFonts w:hint="cs"/>
          <w:sz w:val="27"/>
          <w:rtl/>
        </w:rPr>
        <w:t>ّ.</w:t>
      </w:r>
      <w:r w:rsidRPr="00282AC9">
        <w:rPr>
          <w:rFonts w:hint="cs"/>
          <w:sz w:val="27"/>
          <w:rtl/>
        </w:rPr>
        <w:t xml:space="preserve"> ولا يتم</w:t>
      </w:r>
      <w:r w:rsidR="002E0F41" w:rsidRPr="00282AC9">
        <w:rPr>
          <w:rFonts w:hint="cs"/>
          <w:sz w:val="27"/>
          <w:rtl/>
        </w:rPr>
        <w:t>ّ</w:t>
      </w:r>
      <w:r w:rsidRPr="00282AC9">
        <w:rPr>
          <w:rFonts w:hint="cs"/>
          <w:sz w:val="27"/>
          <w:rtl/>
        </w:rPr>
        <w:t xml:space="preserve"> ترتيب أحكام المرتد</w:t>
      </w:r>
      <w:r w:rsidR="002E0F41" w:rsidRPr="00282AC9">
        <w:rPr>
          <w:rFonts w:hint="cs"/>
          <w:sz w:val="27"/>
          <w:rtl/>
        </w:rPr>
        <w:t>ّ</w:t>
      </w:r>
      <w:r w:rsidRPr="00282AC9">
        <w:rPr>
          <w:rFonts w:hint="cs"/>
          <w:sz w:val="27"/>
          <w:rtl/>
        </w:rPr>
        <w:t xml:space="preserve"> عليه، فيمكنه العودة إلى زوجته، ويمتلك ماله، ويطهر بدنه</w:t>
      </w:r>
      <w:r w:rsidR="002E0F41" w:rsidRPr="00282AC9">
        <w:rPr>
          <w:rFonts w:hint="cs"/>
          <w:sz w:val="27"/>
          <w:rtl/>
        </w:rPr>
        <w:t>.</w:t>
      </w:r>
      <w:r w:rsidRPr="00282AC9">
        <w:rPr>
          <w:rFonts w:hint="cs"/>
          <w:sz w:val="27"/>
          <w:rtl/>
        </w:rPr>
        <w:t xml:space="preserve"> وأما قتله</w:t>
      </w:r>
      <w:r w:rsidR="002E0F41" w:rsidRPr="00282AC9">
        <w:rPr>
          <w:rFonts w:hint="cs"/>
          <w:sz w:val="27"/>
          <w:rtl/>
        </w:rPr>
        <w:t>؛</w:t>
      </w:r>
      <w:r w:rsidRPr="00282AC9">
        <w:rPr>
          <w:rFonts w:hint="cs"/>
          <w:sz w:val="27"/>
          <w:rtl/>
        </w:rPr>
        <w:t xml:space="preserve"> فإن</w:t>
      </w:r>
      <w:r w:rsidR="002E0F41" w:rsidRPr="00282AC9">
        <w:rPr>
          <w:rFonts w:hint="cs"/>
          <w:sz w:val="27"/>
          <w:rtl/>
        </w:rPr>
        <w:t>ْ</w:t>
      </w:r>
      <w:r w:rsidRPr="00282AC9">
        <w:rPr>
          <w:rFonts w:hint="cs"/>
          <w:sz w:val="27"/>
          <w:rtl/>
        </w:rPr>
        <w:t xml:space="preserve"> كانت توبته قبل ثبوت ارتداده فيُرف</w:t>
      </w:r>
      <w:r w:rsidR="002E0F41" w:rsidRPr="00282AC9">
        <w:rPr>
          <w:rFonts w:hint="cs"/>
          <w:sz w:val="27"/>
          <w:rtl/>
        </w:rPr>
        <w:t>َ</w:t>
      </w:r>
      <w:r w:rsidRPr="00282AC9">
        <w:rPr>
          <w:rFonts w:hint="cs"/>
          <w:sz w:val="27"/>
          <w:rtl/>
        </w:rPr>
        <w:t>ع</w:t>
      </w:r>
      <w:r w:rsidR="002E0F41" w:rsidRPr="00282AC9">
        <w:rPr>
          <w:rFonts w:hint="cs"/>
          <w:sz w:val="27"/>
          <w:rtl/>
        </w:rPr>
        <w:t>ْ</w:t>
      </w:r>
      <w:r w:rsidRPr="00282AC9">
        <w:rPr>
          <w:rFonts w:hint="cs"/>
          <w:sz w:val="27"/>
          <w:rtl/>
        </w:rPr>
        <w:t xml:space="preserve"> عنه</w:t>
      </w:r>
      <w:r w:rsidR="002E0F41" w:rsidRPr="00282AC9">
        <w:rPr>
          <w:rFonts w:hint="cs"/>
          <w:sz w:val="27"/>
          <w:rtl/>
        </w:rPr>
        <w:t>؛</w:t>
      </w:r>
      <w:r w:rsidRPr="00282AC9">
        <w:rPr>
          <w:rFonts w:hint="cs"/>
          <w:sz w:val="27"/>
          <w:rtl/>
        </w:rPr>
        <w:t xml:space="preserve"> وإن</w:t>
      </w:r>
      <w:r w:rsidR="002E0F41" w:rsidRPr="00282AC9">
        <w:rPr>
          <w:rFonts w:hint="cs"/>
          <w:sz w:val="27"/>
          <w:rtl/>
        </w:rPr>
        <w:t>ْ</w:t>
      </w:r>
      <w:r w:rsidRPr="00282AC9">
        <w:rPr>
          <w:rFonts w:hint="cs"/>
          <w:sz w:val="27"/>
          <w:rtl/>
        </w:rPr>
        <w:t xml:space="preserve"> كانت بعد ثبوت الارتداد فإنه ي</w:t>
      </w:r>
      <w:r w:rsidR="002E0F41" w:rsidRPr="00282AC9">
        <w:rPr>
          <w:rFonts w:hint="cs"/>
          <w:sz w:val="27"/>
          <w:rtl/>
        </w:rPr>
        <w:t>ُ</w:t>
      </w:r>
      <w:r w:rsidRPr="00282AC9">
        <w:rPr>
          <w:rFonts w:hint="cs"/>
          <w:sz w:val="27"/>
          <w:rtl/>
        </w:rPr>
        <w:t>ق</w:t>
      </w:r>
      <w:r w:rsidR="002E0F41" w:rsidRPr="00282AC9">
        <w:rPr>
          <w:rFonts w:hint="cs"/>
          <w:sz w:val="27"/>
          <w:rtl/>
        </w:rPr>
        <w:t>ْ</w:t>
      </w:r>
      <w:r w:rsidRPr="00282AC9">
        <w:rPr>
          <w:rFonts w:hint="cs"/>
          <w:sz w:val="27"/>
          <w:rtl/>
        </w:rPr>
        <w:t>ت</w:t>
      </w:r>
      <w:r w:rsidR="002E0F41" w:rsidRPr="00282AC9">
        <w:rPr>
          <w:rFonts w:hint="cs"/>
          <w:sz w:val="27"/>
          <w:rtl/>
        </w:rPr>
        <w:t>َ</w:t>
      </w:r>
      <w:r w:rsidRPr="00282AC9">
        <w:rPr>
          <w:rFonts w:hint="cs"/>
          <w:sz w:val="27"/>
          <w:rtl/>
        </w:rPr>
        <w:t>ل إن</w:t>
      </w:r>
      <w:r w:rsidR="002E0F41" w:rsidRPr="00282AC9">
        <w:rPr>
          <w:rFonts w:hint="cs"/>
          <w:sz w:val="27"/>
          <w:rtl/>
        </w:rPr>
        <w:t>ْ</w:t>
      </w:r>
      <w:r w:rsidRPr="00282AC9">
        <w:rPr>
          <w:rFonts w:hint="cs"/>
          <w:sz w:val="27"/>
          <w:rtl/>
        </w:rPr>
        <w:t xml:space="preserve"> كان فطري</w:t>
      </w:r>
      <w:r w:rsidR="002E0F41" w:rsidRPr="00282AC9">
        <w:rPr>
          <w:rFonts w:hint="cs"/>
          <w:sz w:val="27"/>
          <w:rtl/>
        </w:rPr>
        <w:t>ّ</w:t>
      </w:r>
      <w:r w:rsidRPr="00282AC9">
        <w:rPr>
          <w:rFonts w:hint="cs"/>
          <w:sz w:val="27"/>
          <w:rtl/>
        </w:rPr>
        <w:t>اً</w:t>
      </w:r>
      <w:r w:rsidR="002E0F41" w:rsidRPr="00282AC9">
        <w:rPr>
          <w:rFonts w:hint="cs"/>
          <w:sz w:val="27"/>
          <w:rtl/>
        </w:rPr>
        <w:t>.</w:t>
      </w:r>
      <w:r w:rsidRPr="00282AC9">
        <w:rPr>
          <w:rFonts w:hint="cs"/>
          <w:sz w:val="27"/>
          <w:rtl/>
        </w:rPr>
        <w:t xml:space="preserve"> ولو أن هذا المرتد</w:t>
      </w:r>
      <w:r w:rsidR="002E0F41" w:rsidRPr="00282AC9">
        <w:rPr>
          <w:rFonts w:hint="cs"/>
          <w:sz w:val="27"/>
          <w:rtl/>
        </w:rPr>
        <w:t>ّ</w:t>
      </w:r>
      <w:r w:rsidRPr="00282AC9">
        <w:rPr>
          <w:rFonts w:hint="cs"/>
          <w:sz w:val="27"/>
          <w:rtl/>
        </w:rPr>
        <w:t xml:space="preserve"> كفر مر</w:t>
      </w:r>
      <w:r w:rsidR="002E0F41" w:rsidRPr="00282AC9">
        <w:rPr>
          <w:rFonts w:hint="cs"/>
          <w:sz w:val="27"/>
          <w:rtl/>
        </w:rPr>
        <w:t>ّ</w:t>
      </w:r>
      <w:r w:rsidRPr="00282AC9">
        <w:rPr>
          <w:rFonts w:hint="cs"/>
          <w:sz w:val="27"/>
          <w:rtl/>
        </w:rPr>
        <w:t>تين بعد التوبة، وبق</w:t>
      </w:r>
      <w:r w:rsidR="002E0F41" w:rsidRPr="00282AC9">
        <w:rPr>
          <w:rFonts w:hint="cs"/>
          <w:sz w:val="27"/>
          <w:rtl/>
        </w:rPr>
        <w:t>ي</w:t>
      </w:r>
      <w:r w:rsidRPr="00282AC9">
        <w:rPr>
          <w:rFonts w:hint="cs"/>
          <w:sz w:val="27"/>
          <w:rtl/>
        </w:rPr>
        <w:t xml:space="preserve"> على كفره وارتداده حت</w:t>
      </w:r>
      <w:r w:rsidR="002E0F41" w:rsidRPr="00282AC9">
        <w:rPr>
          <w:rFonts w:hint="cs"/>
          <w:sz w:val="27"/>
          <w:rtl/>
        </w:rPr>
        <w:t>ّ</w:t>
      </w:r>
      <w:r w:rsidRPr="00282AC9">
        <w:rPr>
          <w:rFonts w:hint="cs"/>
          <w:sz w:val="27"/>
          <w:rtl/>
        </w:rPr>
        <w:t>ى مات على ذلك ـ كما هو مفاد (ثم</w:t>
      </w:r>
      <w:r w:rsidR="00D370BE" w:rsidRPr="00282AC9">
        <w:rPr>
          <w:rFonts w:hint="cs"/>
          <w:sz w:val="27"/>
          <w:rtl/>
        </w:rPr>
        <w:t>ّ</w:t>
      </w:r>
      <w:r w:rsidRPr="00282AC9">
        <w:rPr>
          <w:rFonts w:hint="cs"/>
          <w:sz w:val="27"/>
          <w:rtl/>
        </w:rPr>
        <w:t xml:space="preserve"> ازدادوا ك</w:t>
      </w:r>
      <w:r w:rsidR="00D370BE" w:rsidRPr="00282AC9">
        <w:rPr>
          <w:rFonts w:hint="cs"/>
          <w:sz w:val="27"/>
          <w:rtl/>
        </w:rPr>
        <w:t>ُ</w:t>
      </w:r>
      <w:r w:rsidRPr="00282AC9">
        <w:rPr>
          <w:rFonts w:hint="cs"/>
          <w:sz w:val="27"/>
          <w:rtl/>
        </w:rPr>
        <w:t>ف</w:t>
      </w:r>
      <w:r w:rsidR="00D370BE" w:rsidRPr="00282AC9">
        <w:rPr>
          <w:rFonts w:hint="cs"/>
          <w:sz w:val="27"/>
          <w:rtl/>
        </w:rPr>
        <w:t>ْ</w:t>
      </w:r>
      <w:r w:rsidRPr="00282AC9">
        <w:rPr>
          <w:rFonts w:hint="cs"/>
          <w:sz w:val="27"/>
          <w:rtl/>
        </w:rPr>
        <w:t>راً) ـ فلم يكن الله ليغفر له؛ لأنه مات كافراً، والكافر لا تشمله الرحمة والمغفرة</w:t>
      </w:r>
      <w:r w:rsidR="00D370BE" w:rsidRPr="00282AC9">
        <w:rPr>
          <w:rFonts w:hint="cs"/>
          <w:sz w:val="27"/>
          <w:rtl/>
        </w:rPr>
        <w:t>.</w:t>
      </w:r>
      <w:r w:rsidRPr="00282AC9">
        <w:rPr>
          <w:rFonts w:hint="cs"/>
          <w:sz w:val="27"/>
          <w:rtl/>
        </w:rPr>
        <w:t xml:space="preserve"> ويُستفاد من هذه العبارة أنه لو مات على الإيمان فسوف تشمله المغفرة</w:t>
      </w:r>
      <w:r w:rsidRPr="00282AC9">
        <w:rPr>
          <w:rFonts w:hint="eastAsia"/>
          <w:sz w:val="24"/>
          <w:szCs w:val="24"/>
          <w:rtl/>
        </w:rPr>
        <w:t>»</w:t>
      </w:r>
      <w:r w:rsidRPr="00282AC9">
        <w:rPr>
          <w:sz w:val="27"/>
          <w:vertAlign w:val="superscript"/>
          <w:rtl/>
        </w:rPr>
        <w:t>(</w:t>
      </w:r>
      <w:r w:rsidRPr="00282AC9">
        <w:rPr>
          <w:rStyle w:val="af9"/>
          <w:sz w:val="27"/>
          <w:rtl/>
        </w:rPr>
        <w:endnoteReference w:id="292"/>
      </w:r>
      <w:r w:rsidRPr="00282AC9">
        <w:rPr>
          <w:sz w:val="27"/>
          <w:vertAlign w:val="superscript"/>
          <w:rtl/>
        </w:rPr>
        <w:t>)</w:t>
      </w:r>
      <w:r w:rsidRPr="00282AC9">
        <w:rPr>
          <w:rFonts w:hint="cs"/>
          <w:sz w:val="27"/>
          <w:rtl/>
        </w:rPr>
        <w:t>.</w:t>
      </w:r>
    </w:p>
    <w:p w:rsidR="005A1BD7" w:rsidRPr="00282AC9" w:rsidRDefault="005A1BD7" w:rsidP="003570DF">
      <w:pPr>
        <w:rPr>
          <w:sz w:val="27"/>
          <w:rtl/>
        </w:rPr>
      </w:pPr>
      <w:r w:rsidRPr="00282AC9">
        <w:rPr>
          <w:rFonts w:hint="cs"/>
          <w:sz w:val="27"/>
          <w:rtl/>
        </w:rPr>
        <w:t>وقد جاء في تفسير النور أن من أبرز مصاديق هذه الآية أشخاص</w:t>
      </w:r>
      <w:r w:rsidR="00D370BE" w:rsidRPr="00282AC9">
        <w:rPr>
          <w:rFonts w:hint="cs"/>
          <w:sz w:val="27"/>
          <w:rtl/>
        </w:rPr>
        <w:t>ٌ</w:t>
      </w:r>
      <w:r w:rsidRPr="00282AC9">
        <w:rPr>
          <w:rFonts w:hint="cs"/>
          <w:sz w:val="27"/>
          <w:rtl/>
        </w:rPr>
        <w:t xml:space="preserve"> من أمثال</w:t>
      </w:r>
      <w:r w:rsidR="00D370BE" w:rsidRPr="00282AC9">
        <w:rPr>
          <w:rFonts w:hint="cs"/>
          <w:sz w:val="27"/>
          <w:rtl/>
        </w:rPr>
        <w:t>:</w:t>
      </w:r>
      <w:r w:rsidRPr="00282AC9">
        <w:rPr>
          <w:rFonts w:hint="cs"/>
          <w:sz w:val="27"/>
          <w:rtl/>
        </w:rPr>
        <w:t xml:space="preserve"> </w:t>
      </w:r>
      <w:r w:rsidRPr="00282AC9">
        <w:rPr>
          <w:rFonts w:hint="eastAsia"/>
          <w:sz w:val="24"/>
          <w:szCs w:val="24"/>
          <w:rtl/>
        </w:rPr>
        <w:lastRenderedPageBreak/>
        <w:t>«</w:t>
      </w:r>
      <w:r w:rsidRPr="00282AC9">
        <w:rPr>
          <w:rFonts w:hint="cs"/>
          <w:sz w:val="27"/>
          <w:rtl/>
        </w:rPr>
        <w:t>ش</w:t>
      </w:r>
      <w:r w:rsidR="00D370BE" w:rsidRPr="00282AC9">
        <w:rPr>
          <w:rFonts w:hint="cs"/>
          <w:sz w:val="27"/>
          <w:rtl/>
        </w:rPr>
        <w:t>َ</w:t>
      </w:r>
      <w:r w:rsidRPr="00282AC9">
        <w:rPr>
          <w:rFonts w:hint="cs"/>
          <w:sz w:val="27"/>
          <w:rtl/>
        </w:rPr>
        <w:t>بَث  بن ربعي</w:t>
      </w:r>
      <w:r w:rsidRPr="00282AC9">
        <w:rPr>
          <w:rFonts w:hint="eastAsia"/>
          <w:sz w:val="24"/>
          <w:szCs w:val="24"/>
          <w:rtl/>
        </w:rPr>
        <w:t>»</w:t>
      </w:r>
      <w:r w:rsidRPr="00282AC9">
        <w:rPr>
          <w:rFonts w:hint="cs"/>
          <w:sz w:val="27"/>
          <w:rtl/>
        </w:rPr>
        <w:t>، حيث ذكر التاريخ أنه أسلم في زمن النبي</w:t>
      </w:r>
      <w:r w:rsidR="00D370BE" w:rsidRPr="00282AC9">
        <w:rPr>
          <w:rFonts w:hint="cs"/>
          <w:sz w:val="27"/>
          <w:rtl/>
        </w:rPr>
        <w:t>ّ</w:t>
      </w:r>
      <w:r w:rsidR="009A2A04" w:rsidRPr="00282AC9">
        <w:rPr>
          <w:rFonts w:cs="Mosawi" w:hint="cs"/>
          <w:sz w:val="22"/>
          <w:szCs w:val="22"/>
          <w:rtl/>
        </w:rPr>
        <w:t>|</w:t>
      </w:r>
      <w:r w:rsidRPr="00282AC9">
        <w:rPr>
          <w:rFonts w:hint="cs"/>
          <w:sz w:val="27"/>
          <w:rtl/>
        </w:rPr>
        <w:t>، ثم</w:t>
      </w:r>
      <w:r w:rsidR="00D370BE" w:rsidRPr="00282AC9">
        <w:rPr>
          <w:rFonts w:hint="cs"/>
          <w:sz w:val="27"/>
          <w:rtl/>
        </w:rPr>
        <w:t>ّ</w:t>
      </w:r>
      <w:r w:rsidRPr="00282AC9">
        <w:rPr>
          <w:rFonts w:hint="cs"/>
          <w:sz w:val="27"/>
          <w:rtl/>
        </w:rPr>
        <w:t xml:space="preserve"> ارتد</w:t>
      </w:r>
      <w:r w:rsidR="00D370BE" w:rsidRPr="00282AC9">
        <w:rPr>
          <w:rFonts w:hint="cs"/>
          <w:sz w:val="27"/>
          <w:rtl/>
        </w:rPr>
        <w:t>ّ</w:t>
      </w:r>
      <w:r w:rsidRPr="00282AC9">
        <w:rPr>
          <w:rFonts w:hint="cs"/>
          <w:sz w:val="27"/>
          <w:rtl/>
        </w:rPr>
        <w:t xml:space="preserve"> بعد رحيل النبي</w:t>
      </w:r>
      <w:r w:rsidR="00D370BE" w:rsidRPr="00282AC9">
        <w:rPr>
          <w:rFonts w:hint="cs"/>
          <w:sz w:val="27"/>
          <w:rtl/>
        </w:rPr>
        <w:t>ّ</w:t>
      </w:r>
      <w:r w:rsidRPr="00282AC9">
        <w:rPr>
          <w:rFonts w:hint="cs"/>
          <w:sz w:val="27"/>
          <w:rtl/>
        </w:rPr>
        <w:t>، ثم</w:t>
      </w:r>
      <w:r w:rsidR="00D370BE" w:rsidRPr="00282AC9">
        <w:rPr>
          <w:rFonts w:hint="cs"/>
          <w:sz w:val="27"/>
          <w:rtl/>
        </w:rPr>
        <w:t>ّ</w:t>
      </w:r>
      <w:r w:rsidRPr="00282AC9">
        <w:rPr>
          <w:rFonts w:hint="cs"/>
          <w:sz w:val="27"/>
          <w:rtl/>
        </w:rPr>
        <w:t xml:space="preserve"> تاب وصار من أصحاب علي</w:t>
      </w:r>
      <w:r w:rsidR="00D370BE" w:rsidRPr="00282AC9">
        <w:rPr>
          <w:rFonts w:hint="cs"/>
          <w:sz w:val="27"/>
          <w:rtl/>
        </w:rPr>
        <w:t>ٍّ</w:t>
      </w:r>
      <w:r w:rsidR="009A2A04" w:rsidRPr="00282AC9">
        <w:rPr>
          <w:rFonts w:cs="Mosawi" w:hint="cs"/>
          <w:sz w:val="22"/>
          <w:szCs w:val="22"/>
          <w:rtl/>
        </w:rPr>
        <w:t>×</w:t>
      </w:r>
      <w:r w:rsidRPr="00282AC9">
        <w:rPr>
          <w:rFonts w:hint="cs"/>
          <w:sz w:val="27"/>
          <w:rtl/>
        </w:rPr>
        <w:t>، وبعد ذلك قاد الخوارج وأثار حرب النهروان، وتاب بعد ذلك وصار من أصحاب الإمامين الحسن والحسين</w:t>
      </w:r>
      <w:r w:rsidR="009A2A04" w:rsidRPr="00282AC9">
        <w:rPr>
          <w:rFonts w:cs="Mosawi" w:hint="cs"/>
          <w:sz w:val="22"/>
          <w:szCs w:val="22"/>
          <w:rtl/>
        </w:rPr>
        <w:t>’</w:t>
      </w:r>
      <w:r w:rsidRPr="00282AC9">
        <w:rPr>
          <w:rFonts w:hint="cs"/>
          <w:sz w:val="27"/>
          <w:rtl/>
        </w:rPr>
        <w:t>، وكان من الذين كاتبوا الإمام الحسين</w:t>
      </w:r>
      <w:r w:rsidR="009A2A04" w:rsidRPr="00282AC9">
        <w:rPr>
          <w:rFonts w:cs="Mosawi" w:hint="cs"/>
          <w:sz w:val="22"/>
          <w:szCs w:val="22"/>
          <w:rtl/>
        </w:rPr>
        <w:t>×</w:t>
      </w:r>
      <w:r w:rsidRPr="00282AC9">
        <w:rPr>
          <w:rFonts w:hint="cs"/>
          <w:sz w:val="27"/>
          <w:rtl/>
        </w:rPr>
        <w:t>، ولكن</w:t>
      </w:r>
      <w:r w:rsidR="009F02C7" w:rsidRPr="00282AC9">
        <w:rPr>
          <w:rFonts w:hint="cs"/>
          <w:sz w:val="27"/>
          <w:rtl/>
        </w:rPr>
        <w:t>ّ</w:t>
      </w:r>
      <w:r w:rsidRPr="00282AC9">
        <w:rPr>
          <w:rFonts w:hint="cs"/>
          <w:sz w:val="27"/>
          <w:rtl/>
        </w:rPr>
        <w:t>ه غدر في الكوفة بمسلم بن عقيل، وانضمّ في كربلاء إلى معسكر يزيد، وبنى مسجداً في الكوفة احتفاء</w:t>
      </w:r>
      <w:r w:rsidR="009F02C7" w:rsidRPr="00282AC9">
        <w:rPr>
          <w:rFonts w:hint="cs"/>
          <w:sz w:val="27"/>
          <w:rtl/>
        </w:rPr>
        <w:t>ً</w:t>
      </w:r>
      <w:r w:rsidRPr="00282AC9">
        <w:rPr>
          <w:rFonts w:hint="cs"/>
          <w:sz w:val="27"/>
          <w:rtl/>
        </w:rPr>
        <w:t xml:space="preserve"> بقتل الإمام الحسين</w:t>
      </w:r>
      <w:r w:rsidR="009A2A04" w:rsidRPr="00282AC9">
        <w:rPr>
          <w:rFonts w:cs="Mosawi" w:hint="cs"/>
          <w:sz w:val="22"/>
          <w:szCs w:val="22"/>
          <w:rtl/>
        </w:rPr>
        <w:t>×</w:t>
      </w:r>
      <w:r w:rsidRPr="00282AC9">
        <w:rPr>
          <w:sz w:val="27"/>
          <w:vertAlign w:val="superscript"/>
          <w:rtl/>
        </w:rPr>
        <w:t>(</w:t>
      </w:r>
      <w:r w:rsidRPr="00282AC9">
        <w:rPr>
          <w:rStyle w:val="af9"/>
          <w:sz w:val="27"/>
          <w:rtl/>
        </w:rPr>
        <w:endnoteReference w:id="293"/>
      </w:r>
      <w:r w:rsidRPr="00282AC9">
        <w:rPr>
          <w:sz w:val="27"/>
          <w:vertAlign w:val="superscript"/>
          <w:rtl/>
        </w:rPr>
        <w:t>)</w:t>
      </w:r>
      <w:r w:rsidRPr="00282AC9">
        <w:rPr>
          <w:rFonts w:hint="cs"/>
          <w:sz w:val="27"/>
          <w:rtl/>
        </w:rPr>
        <w:t>.</w:t>
      </w:r>
    </w:p>
    <w:p w:rsidR="009F02C7" w:rsidRPr="00282AC9" w:rsidRDefault="009F02C7" w:rsidP="003570DF">
      <w:pPr>
        <w:spacing w:line="424" w:lineRule="exact"/>
        <w:rPr>
          <w:sz w:val="27"/>
          <w:rtl/>
        </w:rPr>
      </w:pPr>
      <w:r w:rsidRPr="00282AC9">
        <w:rPr>
          <w:rFonts w:hint="cs"/>
          <w:sz w:val="27"/>
          <w:rtl/>
        </w:rPr>
        <w:t>وفي قوله تعالى</w:t>
      </w:r>
      <w:r w:rsidR="005A1BD7" w:rsidRPr="00282AC9">
        <w:rPr>
          <w:rFonts w:hint="cs"/>
          <w:sz w:val="27"/>
          <w:rtl/>
        </w:rPr>
        <w:t xml:space="preserve">: </w:t>
      </w:r>
      <w:r w:rsidR="00C5291F" w:rsidRPr="00282AC9">
        <w:rPr>
          <w:rFonts w:ascii="Mosawi" w:hAnsi="Mosawi" w:cs="Mosawi"/>
          <w:sz w:val="24"/>
          <w:szCs w:val="24"/>
          <w:rtl/>
        </w:rPr>
        <w:t>﴿</w:t>
      </w:r>
      <w:r w:rsidR="005A1BD7" w:rsidRPr="00282AC9">
        <w:rPr>
          <w:b/>
          <w:bCs/>
          <w:sz w:val="27"/>
          <w:rtl/>
        </w:rPr>
        <w:t>مَنْ كَفَرَ بِ</w:t>
      </w:r>
      <w:r w:rsidR="006D28AF" w:rsidRPr="00282AC9">
        <w:rPr>
          <w:b/>
          <w:bCs/>
          <w:sz w:val="27"/>
          <w:rtl/>
        </w:rPr>
        <w:t>الل</w:t>
      </w:r>
      <w:r w:rsidRPr="00282AC9">
        <w:rPr>
          <w:b/>
          <w:bCs/>
          <w:sz w:val="27"/>
          <w:rtl/>
        </w:rPr>
        <w:t>هِ مِنْ بَعْدِ إِيمَانِهِ</w:t>
      </w:r>
      <w:r w:rsidR="005A1BD7" w:rsidRPr="00282AC9">
        <w:rPr>
          <w:rFonts w:hint="cs"/>
          <w:b/>
          <w:bCs/>
          <w:sz w:val="27"/>
          <w:rtl/>
        </w:rPr>
        <w:t>...</w:t>
      </w:r>
      <w:r w:rsidR="005A1BD7" w:rsidRPr="00282AC9">
        <w:rPr>
          <w:b/>
          <w:bCs/>
          <w:sz w:val="27"/>
          <w:rtl/>
        </w:rPr>
        <w:t xml:space="preserve"> ثُمَّ إِنَّ رَبَّكَ لِلَّذِينَ هَاجَرُوا مِنْ بَعْدِ مَا فُتِنُوا ثُمَّ جَاهَدُوا وَصَبَرُوا إِنَّ رَبَّكَ مِنْ بَعْدِهَا لَغَفُورٌ رَحِيمٌ</w:t>
      </w:r>
      <w:r w:rsidR="00C5291F" w:rsidRPr="00282AC9">
        <w:rPr>
          <w:rFonts w:ascii="Mosawi" w:hAnsi="Mosawi" w:cs="Mosawi"/>
          <w:sz w:val="24"/>
          <w:szCs w:val="24"/>
          <w:rtl/>
        </w:rPr>
        <w:t>﴾</w:t>
      </w:r>
      <w:r w:rsidR="005A1BD7" w:rsidRPr="00282AC9">
        <w:rPr>
          <w:rFonts w:hint="cs"/>
          <w:sz w:val="27"/>
          <w:rtl/>
        </w:rPr>
        <w:t xml:space="preserve"> (النحل: 106 ـ 110)</w:t>
      </w:r>
      <w:r w:rsidRPr="00282AC9">
        <w:rPr>
          <w:rFonts w:hint="cs"/>
          <w:sz w:val="27"/>
          <w:rtl/>
        </w:rPr>
        <w:t xml:space="preserve"> </w:t>
      </w:r>
      <w:r w:rsidR="005A1BD7" w:rsidRPr="00282AC9">
        <w:rPr>
          <w:rFonts w:hint="cs"/>
          <w:sz w:val="27"/>
          <w:rtl/>
        </w:rPr>
        <w:t>جاء ذكر المغفرة بعد بضع آيات</w:t>
      </w:r>
      <w:r w:rsidRPr="00282AC9">
        <w:rPr>
          <w:rFonts w:hint="cs"/>
          <w:sz w:val="27"/>
          <w:rtl/>
        </w:rPr>
        <w:t>ٍ</w:t>
      </w:r>
      <w:r w:rsidR="005A1BD7" w:rsidRPr="00282AC9">
        <w:rPr>
          <w:rFonts w:hint="cs"/>
          <w:sz w:val="27"/>
          <w:rtl/>
        </w:rPr>
        <w:t xml:space="preserve"> تتحدّ</w:t>
      </w:r>
      <w:r w:rsidRPr="00282AC9">
        <w:rPr>
          <w:rFonts w:hint="cs"/>
          <w:sz w:val="27"/>
          <w:rtl/>
        </w:rPr>
        <w:t>َ</w:t>
      </w:r>
      <w:r w:rsidR="005A1BD7" w:rsidRPr="00282AC9">
        <w:rPr>
          <w:rFonts w:hint="cs"/>
          <w:sz w:val="27"/>
          <w:rtl/>
        </w:rPr>
        <w:t>ث عن الكفر بعد الإيمان، وأن التوبة ت</w:t>
      </w:r>
      <w:r w:rsidRPr="00282AC9">
        <w:rPr>
          <w:rFonts w:hint="cs"/>
          <w:sz w:val="27"/>
          <w:rtl/>
        </w:rPr>
        <w:t>ُ</w:t>
      </w:r>
      <w:r w:rsidR="005A1BD7" w:rsidRPr="00282AC9">
        <w:rPr>
          <w:rFonts w:hint="cs"/>
          <w:sz w:val="27"/>
          <w:rtl/>
        </w:rPr>
        <w:t>ق</w:t>
      </w:r>
      <w:r w:rsidRPr="00282AC9">
        <w:rPr>
          <w:rFonts w:hint="cs"/>
          <w:sz w:val="27"/>
          <w:rtl/>
        </w:rPr>
        <w:t>ْ</w:t>
      </w:r>
      <w:r w:rsidR="005A1BD7" w:rsidRPr="00282AC9">
        <w:rPr>
          <w:rFonts w:hint="cs"/>
          <w:sz w:val="27"/>
          <w:rtl/>
        </w:rPr>
        <w:t>ب</w:t>
      </w:r>
      <w:r w:rsidRPr="00282AC9">
        <w:rPr>
          <w:rFonts w:hint="cs"/>
          <w:sz w:val="27"/>
          <w:rtl/>
        </w:rPr>
        <w:t>َل بعد مراحل.</w:t>
      </w:r>
    </w:p>
    <w:p w:rsidR="005A1BD7" w:rsidRPr="00282AC9" w:rsidRDefault="005A1BD7" w:rsidP="003570DF">
      <w:pPr>
        <w:spacing w:line="424" w:lineRule="exact"/>
        <w:rPr>
          <w:sz w:val="27"/>
          <w:rtl/>
        </w:rPr>
      </w:pPr>
      <w:r w:rsidRPr="00282AC9">
        <w:rPr>
          <w:rFonts w:hint="cs"/>
          <w:sz w:val="27"/>
          <w:rtl/>
        </w:rPr>
        <w:t>وقد قال صاحب تفسير أطيب البيان: إن هذه الآيات صريحة</w:t>
      </w:r>
      <w:r w:rsidR="009F02C7" w:rsidRPr="00282AC9">
        <w:rPr>
          <w:rFonts w:hint="cs"/>
          <w:sz w:val="27"/>
          <w:rtl/>
        </w:rPr>
        <w:t>ٌ</w:t>
      </w:r>
      <w:r w:rsidRPr="00282AC9">
        <w:rPr>
          <w:rFonts w:hint="cs"/>
          <w:sz w:val="27"/>
          <w:rtl/>
        </w:rPr>
        <w:t xml:space="preserve"> في قبول توبة المرتد</w:t>
      </w:r>
      <w:r w:rsidR="009F02C7" w:rsidRPr="00282AC9">
        <w:rPr>
          <w:rFonts w:hint="cs"/>
          <w:sz w:val="27"/>
          <w:rtl/>
        </w:rPr>
        <w:t>ّ</w:t>
      </w:r>
      <w:r w:rsidRPr="00282AC9">
        <w:rPr>
          <w:rFonts w:hint="cs"/>
          <w:sz w:val="27"/>
          <w:rtl/>
        </w:rPr>
        <w:t xml:space="preserve"> الملّي والفطري، وفسّ</w:t>
      </w:r>
      <w:r w:rsidR="009F02C7" w:rsidRPr="00282AC9">
        <w:rPr>
          <w:rFonts w:hint="cs"/>
          <w:sz w:val="27"/>
          <w:rtl/>
        </w:rPr>
        <w:t>َ</w:t>
      </w:r>
      <w:r w:rsidRPr="00282AC9">
        <w:rPr>
          <w:rFonts w:hint="cs"/>
          <w:sz w:val="27"/>
          <w:rtl/>
        </w:rPr>
        <w:t xml:space="preserve">ر </w:t>
      </w:r>
      <w:r w:rsidRPr="00282AC9">
        <w:rPr>
          <w:rFonts w:hint="eastAsia"/>
          <w:sz w:val="24"/>
          <w:szCs w:val="24"/>
          <w:rtl/>
        </w:rPr>
        <w:t>«</w:t>
      </w:r>
      <w:r w:rsidRPr="00282AC9">
        <w:rPr>
          <w:rFonts w:hint="cs"/>
          <w:sz w:val="27"/>
          <w:rtl/>
        </w:rPr>
        <w:t>الفتنة</w:t>
      </w:r>
      <w:r w:rsidRPr="00282AC9">
        <w:rPr>
          <w:rFonts w:hint="eastAsia"/>
          <w:sz w:val="24"/>
          <w:szCs w:val="24"/>
          <w:rtl/>
        </w:rPr>
        <w:t>»</w:t>
      </w:r>
      <w:r w:rsidRPr="00282AC9">
        <w:rPr>
          <w:rFonts w:hint="cs"/>
          <w:sz w:val="27"/>
          <w:rtl/>
        </w:rPr>
        <w:t xml:space="preserve"> بمعنى الكفر والشرك والارتداد</w:t>
      </w:r>
      <w:r w:rsidRPr="00282AC9">
        <w:rPr>
          <w:sz w:val="27"/>
          <w:vertAlign w:val="superscript"/>
          <w:rtl/>
        </w:rPr>
        <w:t>(</w:t>
      </w:r>
      <w:r w:rsidRPr="00282AC9">
        <w:rPr>
          <w:rStyle w:val="af9"/>
          <w:sz w:val="27"/>
          <w:rtl/>
        </w:rPr>
        <w:endnoteReference w:id="294"/>
      </w:r>
      <w:r w:rsidRPr="00282AC9">
        <w:rPr>
          <w:sz w:val="27"/>
          <w:vertAlign w:val="superscript"/>
          <w:rtl/>
        </w:rPr>
        <w:t>)</w:t>
      </w:r>
      <w:r w:rsidRPr="00282AC9">
        <w:rPr>
          <w:rFonts w:hint="cs"/>
          <w:sz w:val="27"/>
          <w:rtl/>
        </w:rPr>
        <w:t>.</w:t>
      </w:r>
    </w:p>
    <w:p w:rsidR="008F042E" w:rsidRPr="00282AC9" w:rsidRDefault="008F042E" w:rsidP="003570DF">
      <w:pPr>
        <w:spacing w:line="424" w:lineRule="exact"/>
        <w:rPr>
          <w:rtl/>
        </w:rPr>
      </w:pPr>
    </w:p>
    <w:p w:rsidR="005A1BD7" w:rsidRPr="00282AC9" w:rsidRDefault="00981610" w:rsidP="009B624B">
      <w:pPr>
        <w:pStyle w:val="31"/>
        <w:rPr>
          <w:color w:val="auto"/>
          <w:rtl/>
        </w:rPr>
      </w:pPr>
      <w:r w:rsidRPr="00282AC9">
        <w:rPr>
          <w:rFonts w:hint="cs"/>
          <w:color w:val="auto"/>
          <w:rtl/>
        </w:rPr>
        <w:t xml:space="preserve">و ـ </w:t>
      </w:r>
      <w:r w:rsidR="009B624B" w:rsidRPr="00282AC9">
        <w:rPr>
          <w:rFonts w:hint="cs"/>
          <w:color w:val="auto"/>
          <w:rtl/>
        </w:rPr>
        <w:t>فتاوى فقهيّة مؤيِّدة</w:t>
      </w:r>
    </w:p>
    <w:p w:rsidR="00B44717" w:rsidRPr="00282AC9" w:rsidRDefault="005A1BD7" w:rsidP="003570DF">
      <w:pPr>
        <w:spacing w:line="424" w:lineRule="exact"/>
        <w:rPr>
          <w:sz w:val="27"/>
          <w:rtl/>
        </w:rPr>
      </w:pPr>
      <w:r w:rsidRPr="00282AC9">
        <w:rPr>
          <w:rFonts w:hint="cs"/>
          <w:sz w:val="27"/>
          <w:rtl/>
        </w:rPr>
        <w:t>قال المحق</w:t>
      </w:r>
      <w:r w:rsidR="009F02C7" w:rsidRPr="00282AC9">
        <w:rPr>
          <w:rFonts w:hint="cs"/>
          <w:sz w:val="27"/>
          <w:rtl/>
        </w:rPr>
        <w:t>ِّ</w:t>
      </w:r>
      <w:r w:rsidRPr="00282AC9">
        <w:rPr>
          <w:rFonts w:hint="cs"/>
          <w:sz w:val="27"/>
          <w:rtl/>
        </w:rPr>
        <w:t>ق الحل</w:t>
      </w:r>
      <w:r w:rsidR="009F02C7" w:rsidRPr="00282AC9">
        <w:rPr>
          <w:rFonts w:hint="cs"/>
          <w:sz w:val="27"/>
          <w:rtl/>
        </w:rPr>
        <w:t>ّ</w:t>
      </w:r>
      <w:r w:rsidRPr="00282AC9">
        <w:rPr>
          <w:rFonts w:hint="cs"/>
          <w:sz w:val="27"/>
          <w:rtl/>
        </w:rPr>
        <w:t>ي في شرائع الإسلام</w:t>
      </w:r>
      <w:r w:rsidR="009F02C7" w:rsidRPr="00282AC9">
        <w:rPr>
          <w:rFonts w:hint="cs"/>
          <w:sz w:val="27"/>
          <w:rtl/>
        </w:rPr>
        <w:t>،</w:t>
      </w:r>
      <w:r w:rsidRPr="00282AC9">
        <w:rPr>
          <w:rFonts w:hint="cs"/>
          <w:sz w:val="27"/>
          <w:rtl/>
        </w:rPr>
        <w:t xml:space="preserve"> في شارب الخمر معتقداً حل</w:t>
      </w:r>
      <w:r w:rsidR="009F02C7" w:rsidRPr="00282AC9">
        <w:rPr>
          <w:rFonts w:hint="cs"/>
          <w:sz w:val="27"/>
          <w:rtl/>
        </w:rPr>
        <w:t>ِّي</w:t>
      </w:r>
      <w:r w:rsidRPr="00282AC9">
        <w:rPr>
          <w:rFonts w:hint="cs"/>
          <w:sz w:val="27"/>
          <w:rtl/>
        </w:rPr>
        <w:t>ته: إنه يُستتاب، فإن</w:t>
      </w:r>
      <w:r w:rsidR="009F02C7" w:rsidRPr="00282AC9">
        <w:rPr>
          <w:rFonts w:hint="cs"/>
          <w:sz w:val="27"/>
          <w:rtl/>
        </w:rPr>
        <w:t>ْ</w:t>
      </w:r>
      <w:r w:rsidRPr="00282AC9">
        <w:rPr>
          <w:rFonts w:hint="cs"/>
          <w:sz w:val="27"/>
          <w:rtl/>
        </w:rPr>
        <w:t xml:space="preserve"> تاب أ</w:t>
      </w:r>
      <w:r w:rsidR="009F02C7" w:rsidRPr="00282AC9">
        <w:rPr>
          <w:rFonts w:hint="cs"/>
          <w:sz w:val="27"/>
          <w:rtl/>
        </w:rPr>
        <w:t>ُ</w:t>
      </w:r>
      <w:r w:rsidRPr="00282AC9">
        <w:rPr>
          <w:rFonts w:hint="cs"/>
          <w:sz w:val="27"/>
          <w:rtl/>
        </w:rPr>
        <w:t>جري عليه حدّ شارب الخمر، وإن</w:t>
      </w:r>
      <w:r w:rsidR="009F02C7" w:rsidRPr="00282AC9">
        <w:rPr>
          <w:rFonts w:hint="cs"/>
          <w:sz w:val="27"/>
          <w:rtl/>
        </w:rPr>
        <w:t>ْ</w:t>
      </w:r>
      <w:r w:rsidRPr="00282AC9">
        <w:rPr>
          <w:rFonts w:hint="cs"/>
          <w:sz w:val="27"/>
          <w:rtl/>
        </w:rPr>
        <w:t xml:space="preserve"> لم يت</w:t>
      </w:r>
      <w:r w:rsidR="009F02C7" w:rsidRPr="00282AC9">
        <w:rPr>
          <w:rFonts w:hint="cs"/>
          <w:sz w:val="27"/>
          <w:rtl/>
        </w:rPr>
        <w:t>ُ</w:t>
      </w:r>
      <w:r w:rsidRPr="00282AC9">
        <w:rPr>
          <w:rFonts w:hint="cs"/>
          <w:sz w:val="27"/>
          <w:rtl/>
        </w:rPr>
        <w:t>ب</w:t>
      </w:r>
      <w:r w:rsidR="009F02C7" w:rsidRPr="00282AC9">
        <w:rPr>
          <w:rFonts w:hint="cs"/>
          <w:sz w:val="27"/>
          <w:rtl/>
        </w:rPr>
        <w:t>ْ</w:t>
      </w:r>
      <w:r w:rsidRPr="00282AC9">
        <w:rPr>
          <w:rFonts w:hint="cs"/>
          <w:sz w:val="27"/>
          <w:rtl/>
        </w:rPr>
        <w:t xml:space="preserve"> قُتل؛ لما قيل من أن حكمه هو حكم المرتد</w:t>
      </w:r>
      <w:r w:rsidR="009F02C7" w:rsidRPr="00282AC9">
        <w:rPr>
          <w:rFonts w:hint="cs"/>
          <w:sz w:val="27"/>
          <w:rtl/>
        </w:rPr>
        <w:t>ّ</w:t>
      </w:r>
      <w:r w:rsidRPr="00282AC9">
        <w:rPr>
          <w:sz w:val="27"/>
          <w:vertAlign w:val="superscript"/>
          <w:rtl/>
        </w:rPr>
        <w:t>(</w:t>
      </w:r>
      <w:r w:rsidRPr="00282AC9">
        <w:rPr>
          <w:rStyle w:val="af9"/>
          <w:sz w:val="27"/>
          <w:rtl/>
        </w:rPr>
        <w:endnoteReference w:id="295"/>
      </w:r>
      <w:r w:rsidRPr="00282AC9">
        <w:rPr>
          <w:sz w:val="27"/>
          <w:vertAlign w:val="superscript"/>
          <w:rtl/>
        </w:rPr>
        <w:t>)</w:t>
      </w:r>
      <w:r w:rsidR="00B44717" w:rsidRPr="00282AC9">
        <w:rPr>
          <w:rFonts w:hint="cs"/>
          <w:sz w:val="27"/>
          <w:rtl/>
        </w:rPr>
        <w:t>.</w:t>
      </w:r>
    </w:p>
    <w:p w:rsidR="00B44717" w:rsidRPr="00282AC9" w:rsidRDefault="005A1BD7" w:rsidP="003570DF">
      <w:pPr>
        <w:spacing w:line="424" w:lineRule="exact"/>
        <w:rPr>
          <w:sz w:val="27"/>
          <w:rtl/>
        </w:rPr>
      </w:pPr>
      <w:r w:rsidRPr="00282AC9">
        <w:rPr>
          <w:rFonts w:hint="cs"/>
          <w:sz w:val="27"/>
          <w:rtl/>
        </w:rPr>
        <w:t>كما نُسب القول باستتابة هذا الشخص ـ دون النظر إلى كونه مرتد</w:t>
      </w:r>
      <w:r w:rsidR="00B44717" w:rsidRPr="00282AC9">
        <w:rPr>
          <w:rFonts w:hint="cs"/>
          <w:sz w:val="27"/>
          <w:rtl/>
        </w:rPr>
        <w:t>ّ</w:t>
      </w:r>
      <w:r w:rsidRPr="00282AC9">
        <w:rPr>
          <w:rFonts w:hint="cs"/>
          <w:sz w:val="27"/>
          <w:rtl/>
        </w:rPr>
        <w:t>اً فطري</w:t>
      </w:r>
      <w:r w:rsidR="00B44717" w:rsidRPr="00282AC9">
        <w:rPr>
          <w:rFonts w:hint="cs"/>
          <w:sz w:val="27"/>
          <w:rtl/>
        </w:rPr>
        <w:t>ّ</w:t>
      </w:r>
      <w:r w:rsidRPr="00282AC9">
        <w:rPr>
          <w:rFonts w:hint="cs"/>
          <w:sz w:val="27"/>
          <w:rtl/>
        </w:rPr>
        <w:t>اً أو مل</w:t>
      </w:r>
      <w:r w:rsidR="00B44717" w:rsidRPr="00282AC9">
        <w:rPr>
          <w:rFonts w:hint="cs"/>
          <w:sz w:val="27"/>
          <w:rtl/>
        </w:rPr>
        <w:t>ِّ</w:t>
      </w:r>
      <w:r w:rsidRPr="00282AC9">
        <w:rPr>
          <w:rFonts w:hint="cs"/>
          <w:sz w:val="27"/>
          <w:rtl/>
        </w:rPr>
        <w:t>ياً ـ إلى الشيخ المفيد</w:t>
      </w:r>
      <w:r w:rsidRPr="00282AC9">
        <w:rPr>
          <w:sz w:val="27"/>
          <w:vertAlign w:val="superscript"/>
          <w:rtl/>
        </w:rPr>
        <w:t>(</w:t>
      </w:r>
      <w:r w:rsidRPr="00282AC9">
        <w:rPr>
          <w:rStyle w:val="af9"/>
          <w:sz w:val="27"/>
          <w:rtl/>
        </w:rPr>
        <w:endnoteReference w:id="296"/>
      </w:r>
      <w:r w:rsidRPr="00282AC9">
        <w:rPr>
          <w:sz w:val="27"/>
          <w:vertAlign w:val="superscript"/>
          <w:rtl/>
        </w:rPr>
        <w:t>)</w:t>
      </w:r>
      <w:r w:rsidRPr="00282AC9">
        <w:rPr>
          <w:rFonts w:hint="cs"/>
          <w:sz w:val="27"/>
          <w:rtl/>
        </w:rPr>
        <w:t>، والشيخ الطوسي</w:t>
      </w:r>
      <w:r w:rsidRPr="00282AC9">
        <w:rPr>
          <w:sz w:val="27"/>
          <w:vertAlign w:val="superscript"/>
          <w:rtl/>
        </w:rPr>
        <w:t>(</w:t>
      </w:r>
      <w:r w:rsidRPr="00282AC9">
        <w:rPr>
          <w:rStyle w:val="af9"/>
          <w:sz w:val="27"/>
          <w:rtl/>
        </w:rPr>
        <w:endnoteReference w:id="297"/>
      </w:r>
      <w:r w:rsidRPr="00282AC9">
        <w:rPr>
          <w:sz w:val="27"/>
          <w:vertAlign w:val="superscript"/>
          <w:rtl/>
        </w:rPr>
        <w:t>)</w:t>
      </w:r>
      <w:r w:rsidRPr="00282AC9">
        <w:rPr>
          <w:rFonts w:hint="cs"/>
          <w:sz w:val="27"/>
          <w:rtl/>
        </w:rPr>
        <w:t>، و[صاحب] الوسيلة</w:t>
      </w:r>
      <w:r w:rsidRPr="00282AC9">
        <w:rPr>
          <w:sz w:val="27"/>
          <w:vertAlign w:val="superscript"/>
          <w:rtl/>
        </w:rPr>
        <w:t>(</w:t>
      </w:r>
      <w:r w:rsidRPr="00282AC9">
        <w:rPr>
          <w:rStyle w:val="af9"/>
          <w:sz w:val="27"/>
          <w:rtl/>
        </w:rPr>
        <w:endnoteReference w:id="298"/>
      </w:r>
      <w:r w:rsidRPr="00282AC9">
        <w:rPr>
          <w:sz w:val="27"/>
          <w:vertAlign w:val="superscript"/>
          <w:rtl/>
        </w:rPr>
        <w:t>)</w:t>
      </w:r>
      <w:r w:rsidRPr="00282AC9">
        <w:rPr>
          <w:rFonts w:hint="cs"/>
          <w:sz w:val="27"/>
          <w:rtl/>
        </w:rPr>
        <w:t>، وابن إدريس الحل</w:t>
      </w:r>
      <w:r w:rsidR="00B44717" w:rsidRPr="00282AC9">
        <w:rPr>
          <w:rFonts w:hint="cs"/>
          <w:sz w:val="27"/>
          <w:rtl/>
        </w:rPr>
        <w:t>ّ</w:t>
      </w:r>
      <w:r w:rsidRPr="00282AC9">
        <w:rPr>
          <w:rFonts w:hint="cs"/>
          <w:sz w:val="27"/>
          <w:rtl/>
        </w:rPr>
        <w:t>ي</w:t>
      </w:r>
      <w:r w:rsidRPr="00282AC9">
        <w:rPr>
          <w:sz w:val="27"/>
          <w:vertAlign w:val="superscript"/>
          <w:rtl/>
        </w:rPr>
        <w:t>(</w:t>
      </w:r>
      <w:r w:rsidRPr="00282AC9">
        <w:rPr>
          <w:rStyle w:val="af9"/>
          <w:sz w:val="27"/>
          <w:rtl/>
        </w:rPr>
        <w:endnoteReference w:id="299"/>
      </w:r>
      <w:r w:rsidRPr="00282AC9">
        <w:rPr>
          <w:sz w:val="27"/>
          <w:vertAlign w:val="superscript"/>
          <w:rtl/>
        </w:rPr>
        <w:t>)</w:t>
      </w:r>
      <w:r w:rsidR="00B44717" w:rsidRPr="00282AC9">
        <w:rPr>
          <w:rFonts w:hint="cs"/>
          <w:sz w:val="27"/>
          <w:rtl/>
        </w:rPr>
        <w:t>.</w:t>
      </w:r>
      <w:r w:rsidRPr="00282AC9">
        <w:rPr>
          <w:rFonts w:hint="cs"/>
          <w:sz w:val="27"/>
          <w:rtl/>
        </w:rPr>
        <w:t xml:space="preserve"> وقالوا بأن دليل ذلك هو إمكان عروض الشبهة</w:t>
      </w:r>
      <w:r w:rsidR="00B44717" w:rsidRPr="00282AC9">
        <w:rPr>
          <w:rFonts w:hint="cs"/>
          <w:sz w:val="27"/>
          <w:rtl/>
        </w:rPr>
        <w:t>.</w:t>
      </w:r>
      <w:r w:rsidRPr="00282AC9">
        <w:rPr>
          <w:rFonts w:hint="cs"/>
          <w:sz w:val="27"/>
          <w:rtl/>
        </w:rPr>
        <w:t xml:space="preserve"> وعليه</w:t>
      </w:r>
      <w:r w:rsidR="00B44717" w:rsidRPr="00282AC9">
        <w:rPr>
          <w:rFonts w:hint="cs"/>
          <w:sz w:val="27"/>
          <w:rtl/>
        </w:rPr>
        <w:t>،</w:t>
      </w:r>
      <w:r w:rsidRPr="00282AC9">
        <w:rPr>
          <w:rFonts w:hint="cs"/>
          <w:sz w:val="27"/>
          <w:rtl/>
        </w:rPr>
        <w:t xml:space="preserve"> فإنه بناءً لـ </w:t>
      </w:r>
      <w:r w:rsidRPr="00282AC9">
        <w:rPr>
          <w:rFonts w:hint="eastAsia"/>
          <w:sz w:val="24"/>
          <w:szCs w:val="24"/>
          <w:rtl/>
        </w:rPr>
        <w:t>«</w:t>
      </w:r>
      <w:r w:rsidRPr="00282AC9">
        <w:rPr>
          <w:rFonts w:hint="cs"/>
          <w:sz w:val="27"/>
          <w:rtl/>
        </w:rPr>
        <w:t>قاعدة د</w:t>
      </w:r>
      <w:r w:rsidR="00B44717" w:rsidRPr="00282AC9">
        <w:rPr>
          <w:rFonts w:hint="cs"/>
          <w:sz w:val="27"/>
          <w:rtl/>
        </w:rPr>
        <w:t>َ</w:t>
      </w:r>
      <w:r w:rsidRPr="00282AC9">
        <w:rPr>
          <w:rFonts w:hint="cs"/>
          <w:sz w:val="27"/>
          <w:rtl/>
        </w:rPr>
        <w:t>ر</w:t>
      </w:r>
      <w:r w:rsidR="00B44717" w:rsidRPr="00282AC9">
        <w:rPr>
          <w:rFonts w:hint="cs"/>
          <w:sz w:val="27"/>
          <w:rtl/>
        </w:rPr>
        <w:t>ْ</w:t>
      </w:r>
      <w:r w:rsidRPr="00282AC9">
        <w:rPr>
          <w:rFonts w:hint="cs"/>
          <w:sz w:val="27"/>
          <w:rtl/>
        </w:rPr>
        <w:t>ء الحدود بالشبهات</w:t>
      </w:r>
      <w:r w:rsidRPr="00282AC9">
        <w:rPr>
          <w:rFonts w:hint="eastAsia"/>
          <w:sz w:val="24"/>
          <w:szCs w:val="24"/>
          <w:rtl/>
        </w:rPr>
        <w:t>»</w:t>
      </w:r>
      <w:r w:rsidRPr="00282AC9">
        <w:rPr>
          <w:rFonts w:hint="cs"/>
          <w:sz w:val="27"/>
          <w:rtl/>
        </w:rPr>
        <w:t xml:space="preserve"> يُستتاب، فإن</w:t>
      </w:r>
      <w:r w:rsidR="00B44717" w:rsidRPr="00282AC9">
        <w:rPr>
          <w:rFonts w:hint="cs"/>
          <w:sz w:val="27"/>
          <w:rtl/>
        </w:rPr>
        <w:t>ْ امتنع قُتل.</w:t>
      </w:r>
    </w:p>
    <w:p w:rsidR="005A1BD7" w:rsidRPr="00282AC9" w:rsidRDefault="005A1BD7" w:rsidP="003570DF">
      <w:pPr>
        <w:spacing w:line="424" w:lineRule="exact"/>
        <w:rPr>
          <w:sz w:val="27"/>
          <w:rtl/>
        </w:rPr>
      </w:pPr>
      <w:r w:rsidRPr="00282AC9">
        <w:rPr>
          <w:rFonts w:hint="cs"/>
          <w:sz w:val="27"/>
          <w:rtl/>
        </w:rPr>
        <w:t>ومع وجود مثل هذه الفتاوى كيف يُحكم على المرتد</w:t>
      </w:r>
      <w:r w:rsidR="00B44717" w:rsidRPr="00282AC9">
        <w:rPr>
          <w:rFonts w:hint="cs"/>
          <w:sz w:val="27"/>
          <w:rtl/>
        </w:rPr>
        <w:t>ّ</w:t>
      </w:r>
      <w:r w:rsidRPr="00282AC9">
        <w:rPr>
          <w:rFonts w:hint="cs"/>
          <w:sz w:val="27"/>
          <w:rtl/>
        </w:rPr>
        <w:t xml:space="preserve"> الفطري</w:t>
      </w:r>
      <w:r w:rsidR="00B44717" w:rsidRPr="00282AC9">
        <w:rPr>
          <w:rFonts w:hint="cs"/>
          <w:sz w:val="27"/>
          <w:rtl/>
        </w:rPr>
        <w:t>ّ</w:t>
      </w:r>
      <w:r w:rsidRPr="00282AC9">
        <w:rPr>
          <w:rFonts w:hint="cs"/>
          <w:sz w:val="27"/>
          <w:rtl/>
        </w:rPr>
        <w:t xml:space="preserve"> ـ الذي يتوب قبل ثبوت ارتداده عند الحاكم ـ بالقتل وعدم قبول توبته؟ ألا يُحت</w:t>
      </w:r>
      <w:r w:rsidR="00B44717" w:rsidRPr="00282AC9">
        <w:rPr>
          <w:rFonts w:hint="cs"/>
          <w:sz w:val="27"/>
          <w:rtl/>
        </w:rPr>
        <w:t>َ</w:t>
      </w:r>
      <w:r w:rsidRPr="00282AC9">
        <w:rPr>
          <w:rFonts w:hint="cs"/>
          <w:sz w:val="27"/>
          <w:rtl/>
        </w:rPr>
        <w:t>م</w:t>
      </w:r>
      <w:r w:rsidR="00B44717" w:rsidRPr="00282AC9">
        <w:rPr>
          <w:rFonts w:hint="cs"/>
          <w:sz w:val="27"/>
          <w:rtl/>
        </w:rPr>
        <w:t>َ</w:t>
      </w:r>
      <w:r w:rsidRPr="00282AC9">
        <w:rPr>
          <w:rFonts w:hint="cs"/>
          <w:sz w:val="27"/>
          <w:rtl/>
        </w:rPr>
        <w:t>ل إمكان عروض الشبهة في مورد هذا الشخص أيضاً؟ يبدو أن هذا الشخص ـ بالنظر إلى وجود الش</w:t>
      </w:r>
      <w:r w:rsidR="00B44717" w:rsidRPr="00282AC9">
        <w:rPr>
          <w:rFonts w:hint="cs"/>
          <w:sz w:val="27"/>
          <w:rtl/>
        </w:rPr>
        <w:t>ُّ</w:t>
      </w:r>
      <w:r w:rsidRPr="00282AC9">
        <w:rPr>
          <w:rFonts w:hint="cs"/>
          <w:sz w:val="27"/>
          <w:rtl/>
        </w:rPr>
        <w:t>ب</w:t>
      </w:r>
      <w:r w:rsidR="00B44717" w:rsidRPr="00282AC9">
        <w:rPr>
          <w:rFonts w:hint="cs"/>
          <w:sz w:val="27"/>
          <w:rtl/>
        </w:rPr>
        <w:t>ْ</w:t>
      </w:r>
      <w:r w:rsidRPr="00282AC9">
        <w:rPr>
          <w:rFonts w:hint="cs"/>
          <w:sz w:val="27"/>
          <w:rtl/>
        </w:rPr>
        <w:t xml:space="preserve">هة ـ يجب أن يكون مشمولاً لقاعدة </w:t>
      </w:r>
      <w:r w:rsidRPr="00282AC9">
        <w:rPr>
          <w:rFonts w:hint="eastAsia"/>
          <w:sz w:val="24"/>
          <w:szCs w:val="24"/>
          <w:rtl/>
        </w:rPr>
        <w:t>«</w:t>
      </w:r>
      <w:r w:rsidRPr="00282AC9">
        <w:rPr>
          <w:rFonts w:hint="cs"/>
          <w:sz w:val="27"/>
          <w:rtl/>
        </w:rPr>
        <w:t>د</w:t>
      </w:r>
      <w:r w:rsidR="00B44717" w:rsidRPr="00282AC9">
        <w:rPr>
          <w:rFonts w:hint="cs"/>
          <w:sz w:val="27"/>
          <w:rtl/>
        </w:rPr>
        <w:t>َ</w:t>
      </w:r>
      <w:r w:rsidRPr="00282AC9">
        <w:rPr>
          <w:rFonts w:hint="cs"/>
          <w:sz w:val="27"/>
          <w:rtl/>
        </w:rPr>
        <w:t>ر</w:t>
      </w:r>
      <w:r w:rsidR="00B44717" w:rsidRPr="00282AC9">
        <w:rPr>
          <w:rFonts w:hint="cs"/>
          <w:sz w:val="27"/>
          <w:rtl/>
        </w:rPr>
        <w:t>ْ</w:t>
      </w:r>
      <w:r w:rsidRPr="00282AC9">
        <w:rPr>
          <w:rFonts w:hint="cs"/>
          <w:sz w:val="27"/>
          <w:rtl/>
        </w:rPr>
        <w:t>ء الحدود بالش</w:t>
      </w:r>
      <w:r w:rsidR="00B44717" w:rsidRPr="00282AC9">
        <w:rPr>
          <w:rFonts w:hint="cs"/>
          <w:sz w:val="27"/>
          <w:rtl/>
        </w:rPr>
        <w:t>ُّ</w:t>
      </w:r>
      <w:r w:rsidRPr="00282AC9">
        <w:rPr>
          <w:rFonts w:hint="cs"/>
          <w:sz w:val="27"/>
          <w:rtl/>
        </w:rPr>
        <w:t>ب</w:t>
      </w:r>
      <w:r w:rsidR="00B44717" w:rsidRPr="00282AC9">
        <w:rPr>
          <w:rFonts w:hint="cs"/>
          <w:sz w:val="27"/>
          <w:rtl/>
        </w:rPr>
        <w:t>ُ</w:t>
      </w:r>
      <w:r w:rsidRPr="00282AC9">
        <w:rPr>
          <w:rFonts w:hint="cs"/>
          <w:sz w:val="27"/>
          <w:rtl/>
        </w:rPr>
        <w:t>هات</w:t>
      </w:r>
      <w:r w:rsidRPr="00282AC9">
        <w:rPr>
          <w:rFonts w:hint="eastAsia"/>
          <w:sz w:val="24"/>
          <w:szCs w:val="24"/>
          <w:rtl/>
        </w:rPr>
        <w:t>»</w:t>
      </w:r>
      <w:r w:rsidRPr="00282AC9">
        <w:rPr>
          <w:rFonts w:hint="cs"/>
          <w:sz w:val="27"/>
          <w:rtl/>
        </w:rPr>
        <w:t xml:space="preserve"> أيضاً، فإن</w:t>
      </w:r>
      <w:r w:rsidR="00B44717" w:rsidRPr="00282AC9">
        <w:rPr>
          <w:rFonts w:hint="cs"/>
          <w:sz w:val="27"/>
          <w:rtl/>
        </w:rPr>
        <w:t>ْ</w:t>
      </w:r>
      <w:r w:rsidRPr="00282AC9">
        <w:rPr>
          <w:rFonts w:hint="cs"/>
          <w:sz w:val="27"/>
          <w:rtl/>
        </w:rPr>
        <w:t xml:space="preserve"> امتنع قُتل.</w:t>
      </w:r>
    </w:p>
    <w:p w:rsidR="005A1BD7" w:rsidRPr="00282AC9" w:rsidRDefault="00981610" w:rsidP="009B624B">
      <w:pPr>
        <w:pStyle w:val="31"/>
        <w:rPr>
          <w:color w:val="auto"/>
          <w:rtl/>
        </w:rPr>
      </w:pPr>
      <w:r w:rsidRPr="00282AC9">
        <w:rPr>
          <w:rFonts w:hint="cs"/>
          <w:color w:val="auto"/>
          <w:rtl/>
        </w:rPr>
        <w:lastRenderedPageBreak/>
        <w:t xml:space="preserve">ز ـ </w:t>
      </w:r>
      <w:r w:rsidR="005A1BD7" w:rsidRPr="00282AC9">
        <w:rPr>
          <w:rFonts w:hint="cs"/>
          <w:color w:val="auto"/>
          <w:rtl/>
        </w:rPr>
        <w:t>صدق عنوان المس</w:t>
      </w:r>
      <w:r w:rsidR="009B624B" w:rsidRPr="00282AC9">
        <w:rPr>
          <w:rFonts w:hint="cs"/>
          <w:color w:val="auto"/>
          <w:rtl/>
        </w:rPr>
        <w:t>ل</w:t>
      </w:r>
      <w:r w:rsidR="005A1BD7" w:rsidRPr="00282AC9">
        <w:rPr>
          <w:rFonts w:hint="cs"/>
          <w:color w:val="auto"/>
          <w:rtl/>
        </w:rPr>
        <w:t>م على المرتد</w:t>
      </w:r>
      <w:r w:rsidR="00B44717" w:rsidRPr="00282AC9">
        <w:rPr>
          <w:rFonts w:hint="cs"/>
          <w:color w:val="auto"/>
          <w:rtl/>
        </w:rPr>
        <w:t>ّ</w:t>
      </w:r>
      <w:r w:rsidR="005A1BD7" w:rsidRPr="00282AC9">
        <w:rPr>
          <w:rFonts w:hint="cs"/>
          <w:color w:val="auto"/>
          <w:rtl/>
        </w:rPr>
        <w:t xml:space="preserve"> التائب</w:t>
      </w:r>
    </w:p>
    <w:p w:rsidR="005A1BD7" w:rsidRPr="00282AC9" w:rsidRDefault="005A1BD7" w:rsidP="00C75E73">
      <w:pPr>
        <w:rPr>
          <w:sz w:val="27"/>
          <w:rtl/>
        </w:rPr>
      </w:pPr>
      <w:r w:rsidRPr="00282AC9">
        <w:rPr>
          <w:rFonts w:hint="cs"/>
          <w:sz w:val="27"/>
          <w:rtl/>
        </w:rPr>
        <w:t>ورد في المأثور عن الإمام الباقر</w:t>
      </w:r>
      <w:r w:rsidR="009A2A04" w:rsidRPr="00282AC9">
        <w:rPr>
          <w:rFonts w:cs="Mosawi" w:hint="cs"/>
          <w:sz w:val="22"/>
          <w:szCs w:val="22"/>
          <w:rtl/>
        </w:rPr>
        <w:t>×</w:t>
      </w:r>
      <w:r w:rsidRPr="00282AC9">
        <w:rPr>
          <w:rFonts w:hint="cs"/>
          <w:sz w:val="27"/>
          <w:rtl/>
        </w:rPr>
        <w:t xml:space="preserve"> أنه قال: </w:t>
      </w:r>
      <w:r w:rsidRPr="00282AC9">
        <w:rPr>
          <w:rFonts w:hint="eastAsia"/>
          <w:sz w:val="24"/>
          <w:szCs w:val="24"/>
          <w:rtl/>
        </w:rPr>
        <w:t>«</w:t>
      </w:r>
      <w:r w:rsidRPr="00282AC9">
        <w:rPr>
          <w:sz w:val="27"/>
          <w:rtl/>
        </w:rPr>
        <w:t>إنه م</w:t>
      </w:r>
      <w:r w:rsidR="00B44717" w:rsidRPr="00282AC9">
        <w:rPr>
          <w:rFonts w:hint="cs"/>
          <w:sz w:val="27"/>
          <w:rtl/>
        </w:rPr>
        <w:t>َ</w:t>
      </w:r>
      <w:r w:rsidRPr="00282AC9">
        <w:rPr>
          <w:sz w:val="27"/>
          <w:rtl/>
        </w:rPr>
        <w:t>ن</w:t>
      </w:r>
      <w:r w:rsidR="00B44717" w:rsidRPr="00282AC9">
        <w:rPr>
          <w:rFonts w:hint="cs"/>
          <w:sz w:val="27"/>
          <w:rtl/>
        </w:rPr>
        <w:t>ْ</w:t>
      </w:r>
      <w:r w:rsidRPr="00282AC9">
        <w:rPr>
          <w:sz w:val="27"/>
          <w:rtl/>
        </w:rPr>
        <w:t xml:space="preserve"> كان مؤمناً فحج</w:t>
      </w:r>
      <w:r w:rsidRPr="00282AC9">
        <w:rPr>
          <w:rFonts w:hint="cs"/>
          <w:sz w:val="27"/>
          <w:rtl/>
        </w:rPr>
        <w:t>ّ</w:t>
      </w:r>
      <w:r w:rsidR="00B44717" w:rsidRPr="00282AC9">
        <w:rPr>
          <w:rFonts w:hint="cs"/>
          <w:sz w:val="27"/>
          <w:rtl/>
        </w:rPr>
        <w:t>َ،</w:t>
      </w:r>
      <w:r w:rsidRPr="00282AC9">
        <w:rPr>
          <w:sz w:val="27"/>
          <w:rtl/>
        </w:rPr>
        <w:t xml:space="preserve"> وعمل في </w:t>
      </w:r>
      <w:r w:rsidRPr="00282AC9">
        <w:rPr>
          <w:rFonts w:hint="cs"/>
          <w:sz w:val="27"/>
          <w:rtl/>
        </w:rPr>
        <w:t>إ</w:t>
      </w:r>
      <w:r w:rsidRPr="00282AC9">
        <w:rPr>
          <w:sz w:val="27"/>
          <w:rtl/>
        </w:rPr>
        <w:t>يمانه</w:t>
      </w:r>
      <w:r w:rsidR="00B44717" w:rsidRPr="00282AC9">
        <w:rPr>
          <w:rFonts w:hint="cs"/>
          <w:sz w:val="27"/>
          <w:rtl/>
        </w:rPr>
        <w:t>،</w:t>
      </w:r>
      <w:r w:rsidRPr="00282AC9">
        <w:rPr>
          <w:sz w:val="27"/>
          <w:rtl/>
        </w:rPr>
        <w:t xml:space="preserve"> ثم</w:t>
      </w:r>
      <w:r w:rsidR="00B44717" w:rsidRPr="00282AC9">
        <w:rPr>
          <w:rFonts w:hint="cs"/>
          <w:sz w:val="27"/>
          <w:rtl/>
        </w:rPr>
        <w:t>َ</w:t>
      </w:r>
      <w:r w:rsidRPr="00282AC9">
        <w:rPr>
          <w:sz w:val="27"/>
          <w:rtl/>
        </w:rPr>
        <w:t xml:space="preserve"> </w:t>
      </w:r>
      <w:r w:rsidRPr="00282AC9">
        <w:rPr>
          <w:rFonts w:hint="cs"/>
          <w:sz w:val="27"/>
          <w:rtl/>
        </w:rPr>
        <w:t>أ</w:t>
      </w:r>
      <w:r w:rsidRPr="00282AC9">
        <w:rPr>
          <w:sz w:val="27"/>
          <w:rtl/>
        </w:rPr>
        <w:t xml:space="preserve">صابته في </w:t>
      </w:r>
      <w:r w:rsidRPr="00282AC9">
        <w:rPr>
          <w:rFonts w:hint="cs"/>
          <w:sz w:val="27"/>
          <w:rtl/>
        </w:rPr>
        <w:t>إ</w:t>
      </w:r>
      <w:r w:rsidRPr="00282AC9">
        <w:rPr>
          <w:sz w:val="27"/>
          <w:rtl/>
        </w:rPr>
        <w:t>يمانه فتنة</w:t>
      </w:r>
      <w:r w:rsidR="00B44717" w:rsidRPr="00282AC9">
        <w:rPr>
          <w:rFonts w:hint="cs"/>
          <w:sz w:val="27"/>
          <w:rtl/>
        </w:rPr>
        <w:t>ٌ،</w:t>
      </w:r>
      <w:r w:rsidRPr="00282AC9">
        <w:rPr>
          <w:sz w:val="27"/>
          <w:rtl/>
        </w:rPr>
        <w:t xml:space="preserve"> فكفر</w:t>
      </w:r>
      <w:r w:rsidR="00B44717" w:rsidRPr="00282AC9">
        <w:rPr>
          <w:rFonts w:hint="cs"/>
          <w:sz w:val="27"/>
          <w:rtl/>
        </w:rPr>
        <w:t>،</w:t>
      </w:r>
      <w:r w:rsidRPr="00282AC9">
        <w:rPr>
          <w:sz w:val="27"/>
          <w:rtl/>
        </w:rPr>
        <w:t xml:space="preserve"> ثم</w:t>
      </w:r>
      <w:r w:rsidR="00B44717" w:rsidRPr="00282AC9">
        <w:rPr>
          <w:rFonts w:hint="cs"/>
          <w:sz w:val="27"/>
          <w:rtl/>
        </w:rPr>
        <w:t>ّ</w:t>
      </w:r>
      <w:r w:rsidRPr="00282AC9">
        <w:rPr>
          <w:sz w:val="27"/>
          <w:rtl/>
        </w:rPr>
        <w:t xml:space="preserve"> تاب وآمن</w:t>
      </w:r>
      <w:r w:rsidRPr="00282AC9">
        <w:rPr>
          <w:rFonts w:hint="cs"/>
          <w:sz w:val="27"/>
          <w:rtl/>
        </w:rPr>
        <w:t>،</w:t>
      </w:r>
      <w:r w:rsidRPr="00282AC9">
        <w:rPr>
          <w:sz w:val="27"/>
          <w:rtl/>
        </w:rPr>
        <w:t xml:space="preserve"> ي</w:t>
      </w:r>
      <w:r w:rsidRPr="00282AC9">
        <w:rPr>
          <w:rFonts w:hint="cs"/>
          <w:sz w:val="27"/>
          <w:rtl/>
        </w:rPr>
        <w:t>ُ</w:t>
      </w:r>
      <w:r w:rsidRPr="00282AC9">
        <w:rPr>
          <w:sz w:val="27"/>
          <w:rtl/>
        </w:rPr>
        <w:t>ح</w:t>
      </w:r>
      <w:r w:rsidR="00B44717" w:rsidRPr="00282AC9">
        <w:rPr>
          <w:rFonts w:hint="cs"/>
          <w:sz w:val="27"/>
          <w:rtl/>
        </w:rPr>
        <w:t>ْ</w:t>
      </w:r>
      <w:r w:rsidRPr="00282AC9">
        <w:rPr>
          <w:sz w:val="27"/>
          <w:rtl/>
        </w:rPr>
        <w:t>س</w:t>
      </w:r>
      <w:r w:rsidR="00B44717" w:rsidRPr="00282AC9">
        <w:rPr>
          <w:rFonts w:hint="cs"/>
          <w:sz w:val="27"/>
          <w:rtl/>
        </w:rPr>
        <w:t>َ</w:t>
      </w:r>
      <w:r w:rsidRPr="00282AC9">
        <w:rPr>
          <w:sz w:val="27"/>
          <w:rtl/>
        </w:rPr>
        <w:t>ب له كل</w:t>
      </w:r>
      <w:r w:rsidR="00B44717" w:rsidRPr="00282AC9">
        <w:rPr>
          <w:rFonts w:hint="cs"/>
          <w:sz w:val="27"/>
          <w:rtl/>
        </w:rPr>
        <w:t>ّ</w:t>
      </w:r>
      <w:r w:rsidRPr="00282AC9">
        <w:rPr>
          <w:sz w:val="27"/>
          <w:rtl/>
        </w:rPr>
        <w:t xml:space="preserve"> عمل</w:t>
      </w:r>
      <w:r w:rsidR="00B44717" w:rsidRPr="00282AC9">
        <w:rPr>
          <w:rFonts w:hint="cs"/>
          <w:sz w:val="27"/>
          <w:rtl/>
        </w:rPr>
        <w:t>ٍ</w:t>
      </w:r>
      <w:r w:rsidRPr="00282AC9">
        <w:rPr>
          <w:sz w:val="27"/>
          <w:rtl/>
        </w:rPr>
        <w:t xml:space="preserve"> صالح عمله في </w:t>
      </w:r>
      <w:r w:rsidRPr="00282AC9">
        <w:rPr>
          <w:rFonts w:hint="cs"/>
          <w:sz w:val="27"/>
          <w:rtl/>
        </w:rPr>
        <w:t>إ</w:t>
      </w:r>
      <w:r w:rsidRPr="00282AC9">
        <w:rPr>
          <w:sz w:val="27"/>
          <w:rtl/>
        </w:rPr>
        <w:t>يمانه</w:t>
      </w:r>
      <w:r w:rsidR="00B44717" w:rsidRPr="00282AC9">
        <w:rPr>
          <w:rFonts w:hint="cs"/>
          <w:sz w:val="27"/>
          <w:rtl/>
        </w:rPr>
        <w:t>،</w:t>
      </w:r>
      <w:r w:rsidRPr="00282AC9">
        <w:rPr>
          <w:sz w:val="27"/>
          <w:rtl/>
        </w:rPr>
        <w:t xml:space="preserve"> و لا يبطل منه شيء</w:t>
      </w:r>
      <w:r w:rsidR="00B44717"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300"/>
      </w:r>
      <w:r w:rsidRPr="00282AC9">
        <w:rPr>
          <w:sz w:val="27"/>
          <w:vertAlign w:val="superscript"/>
          <w:rtl/>
        </w:rPr>
        <w:t>)</w:t>
      </w:r>
      <w:r w:rsidRPr="00282AC9">
        <w:rPr>
          <w:rFonts w:hint="cs"/>
          <w:sz w:val="27"/>
          <w:rtl/>
        </w:rPr>
        <w:t>.</w:t>
      </w:r>
    </w:p>
    <w:p w:rsidR="00B44717" w:rsidRPr="00282AC9" w:rsidRDefault="005A1BD7" w:rsidP="00C75E73">
      <w:pPr>
        <w:rPr>
          <w:sz w:val="27"/>
          <w:rtl/>
        </w:rPr>
      </w:pPr>
      <w:r w:rsidRPr="00282AC9">
        <w:rPr>
          <w:rFonts w:hint="cs"/>
          <w:sz w:val="27"/>
          <w:rtl/>
        </w:rPr>
        <w:t>وعلى هذا الأساس فإن الذي يتوب</w:t>
      </w:r>
      <w:r w:rsidR="00B44717" w:rsidRPr="00282AC9">
        <w:rPr>
          <w:rFonts w:hint="cs"/>
          <w:sz w:val="27"/>
          <w:rtl/>
        </w:rPr>
        <w:t>،</w:t>
      </w:r>
      <w:r w:rsidRPr="00282AC9">
        <w:rPr>
          <w:rFonts w:hint="cs"/>
          <w:sz w:val="27"/>
          <w:rtl/>
        </w:rPr>
        <w:t xml:space="preserve"> ويعود إلى الإيمان بعد الارتداد، ولم يُج</w:t>
      </w:r>
      <w:r w:rsidR="00B44717" w:rsidRPr="00282AC9">
        <w:rPr>
          <w:rFonts w:hint="cs"/>
          <w:sz w:val="27"/>
          <w:rtl/>
        </w:rPr>
        <w:t>ْ</w:t>
      </w:r>
      <w:r w:rsidRPr="00282AC9">
        <w:rPr>
          <w:rFonts w:hint="cs"/>
          <w:sz w:val="27"/>
          <w:rtl/>
        </w:rPr>
        <w:t>رَ عليه الحدّ</w:t>
      </w:r>
      <w:r w:rsidR="00B44717" w:rsidRPr="00282AC9">
        <w:rPr>
          <w:rFonts w:hint="cs"/>
          <w:sz w:val="27"/>
          <w:rtl/>
        </w:rPr>
        <w:t>؛</w:t>
      </w:r>
      <w:r w:rsidRPr="00282AC9">
        <w:rPr>
          <w:rFonts w:hint="cs"/>
          <w:sz w:val="27"/>
          <w:rtl/>
        </w:rPr>
        <w:t xml:space="preserve"> لأيّ سبب</w:t>
      </w:r>
      <w:r w:rsidR="00B44717" w:rsidRPr="00282AC9">
        <w:rPr>
          <w:rFonts w:hint="cs"/>
          <w:sz w:val="27"/>
          <w:rtl/>
        </w:rPr>
        <w:t>ٍ</w:t>
      </w:r>
      <w:r w:rsidRPr="00282AC9">
        <w:rPr>
          <w:rFonts w:hint="cs"/>
          <w:sz w:val="27"/>
          <w:rtl/>
        </w:rPr>
        <w:t xml:space="preserve"> من الأسباب، لا يمكن اعتباره غير</w:t>
      </w:r>
      <w:r w:rsidR="00B44717" w:rsidRPr="00282AC9">
        <w:rPr>
          <w:rFonts w:hint="cs"/>
          <w:sz w:val="27"/>
          <w:rtl/>
        </w:rPr>
        <w:t>َ</w:t>
      </w:r>
      <w:r w:rsidRPr="00282AC9">
        <w:rPr>
          <w:rFonts w:hint="cs"/>
          <w:sz w:val="27"/>
          <w:rtl/>
        </w:rPr>
        <w:t xml:space="preserve"> مسلم</w:t>
      </w:r>
      <w:r w:rsidR="00B44717" w:rsidRPr="00282AC9">
        <w:rPr>
          <w:rFonts w:hint="cs"/>
          <w:sz w:val="27"/>
          <w:rtl/>
        </w:rPr>
        <w:t>ٍ.</w:t>
      </w:r>
      <w:r w:rsidRPr="00282AC9">
        <w:rPr>
          <w:rFonts w:hint="cs"/>
          <w:sz w:val="27"/>
          <w:rtl/>
        </w:rPr>
        <w:t xml:space="preserve"> والمشهور بين الفقهاء أن الحج</w:t>
      </w:r>
      <w:r w:rsidR="00B44717" w:rsidRPr="00282AC9">
        <w:rPr>
          <w:rFonts w:hint="cs"/>
          <w:sz w:val="27"/>
          <w:rtl/>
        </w:rPr>
        <w:t>ّ</w:t>
      </w:r>
      <w:r w:rsidRPr="00282AC9">
        <w:rPr>
          <w:rFonts w:hint="cs"/>
          <w:sz w:val="27"/>
          <w:rtl/>
        </w:rPr>
        <w:t xml:space="preserve"> الذي قام به حال الارتداد صحيح</w:t>
      </w:r>
      <w:r w:rsidR="00B44717" w:rsidRPr="00282AC9">
        <w:rPr>
          <w:rFonts w:hint="cs"/>
          <w:sz w:val="27"/>
          <w:rtl/>
        </w:rPr>
        <w:t>ٌ</w:t>
      </w:r>
      <w:r w:rsidRPr="00282AC9">
        <w:rPr>
          <w:sz w:val="27"/>
          <w:vertAlign w:val="superscript"/>
          <w:rtl/>
        </w:rPr>
        <w:t>(</w:t>
      </w:r>
      <w:r w:rsidRPr="00282AC9">
        <w:rPr>
          <w:rStyle w:val="af9"/>
          <w:sz w:val="27"/>
          <w:rtl/>
        </w:rPr>
        <w:endnoteReference w:id="301"/>
      </w:r>
      <w:r w:rsidRPr="00282AC9">
        <w:rPr>
          <w:sz w:val="27"/>
          <w:vertAlign w:val="superscript"/>
          <w:rtl/>
        </w:rPr>
        <w:t>)</w:t>
      </w:r>
      <w:r w:rsidR="00B44717" w:rsidRPr="00282AC9">
        <w:rPr>
          <w:rFonts w:hint="cs"/>
          <w:sz w:val="27"/>
          <w:rtl/>
        </w:rPr>
        <w:t>.</w:t>
      </w:r>
    </w:p>
    <w:p w:rsidR="00B44717" w:rsidRPr="00282AC9" w:rsidRDefault="005A1BD7" w:rsidP="003570DF">
      <w:pPr>
        <w:rPr>
          <w:sz w:val="27"/>
          <w:rtl/>
        </w:rPr>
      </w:pPr>
      <w:r w:rsidRPr="00282AC9">
        <w:rPr>
          <w:rFonts w:hint="cs"/>
          <w:sz w:val="27"/>
          <w:rtl/>
        </w:rPr>
        <w:t>وقال الشيخ الأنصاري ـ استناداً إلى هذه الرواية ـ بأن الشخص الذي يغتسل</w:t>
      </w:r>
      <w:r w:rsidR="00B44717" w:rsidRPr="00282AC9">
        <w:rPr>
          <w:rFonts w:hint="cs"/>
          <w:sz w:val="27"/>
          <w:rtl/>
        </w:rPr>
        <w:t>،</w:t>
      </w:r>
      <w:r w:rsidRPr="00282AC9">
        <w:rPr>
          <w:rFonts w:hint="cs"/>
          <w:sz w:val="27"/>
          <w:rtl/>
        </w:rPr>
        <w:t xml:space="preserve"> ثم</w:t>
      </w:r>
      <w:r w:rsidR="00B44717" w:rsidRPr="00282AC9">
        <w:rPr>
          <w:rFonts w:hint="cs"/>
          <w:sz w:val="27"/>
          <w:rtl/>
        </w:rPr>
        <w:t>ّ</w:t>
      </w:r>
      <w:r w:rsidRPr="00282AC9">
        <w:rPr>
          <w:rFonts w:hint="cs"/>
          <w:sz w:val="27"/>
          <w:rtl/>
        </w:rPr>
        <w:t xml:space="preserve"> يرتدّ، ثم</w:t>
      </w:r>
      <w:r w:rsidR="00B44717" w:rsidRPr="00282AC9">
        <w:rPr>
          <w:rFonts w:hint="cs"/>
          <w:sz w:val="27"/>
          <w:rtl/>
        </w:rPr>
        <w:t>ّ</w:t>
      </w:r>
      <w:r w:rsidRPr="00282AC9">
        <w:rPr>
          <w:rFonts w:hint="cs"/>
          <w:sz w:val="27"/>
          <w:rtl/>
        </w:rPr>
        <w:t xml:space="preserve"> يتوب بعد الردّة، فغسل</w:t>
      </w:r>
      <w:r w:rsidR="00B44717" w:rsidRPr="00282AC9">
        <w:rPr>
          <w:rFonts w:hint="cs"/>
          <w:sz w:val="27"/>
          <w:rtl/>
        </w:rPr>
        <w:t>ُ</w:t>
      </w:r>
      <w:r w:rsidRPr="00282AC9">
        <w:rPr>
          <w:rFonts w:hint="cs"/>
          <w:sz w:val="27"/>
          <w:rtl/>
        </w:rPr>
        <w:t>ه صحيح</w:t>
      </w:r>
      <w:r w:rsidR="00B44717" w:rsidRPr="00282AC9">
        <w:rPr>
          <w:rFonts w:hint="cs"/>
          <w:sz w:val="27"/>
          <w:rtl/>
        </w:rPr>
        <w:t>ٌ،</w:t>
      </w:r>
      <w:r w:rsidRPr="00282AC9">
        <w:rPr>
          <w:rFonts w:hint="cs"/>
          <w:sz w:val="27"/>
          <w:rtl/>
        </w:rPr>
        <w:t xml:space="preserve"> ويحصل على ثواب عمله أيضاً</w:t>
      </w:r>
      <w:r w:rsidRPr="00282AC9">
        <w:rPr>
          <w:sz w:val="27"/>
          <w:vertAlign w:val="superscript"/>
          <w:rtl/>
        </w:rPr>
        <w:t>(</w:t>
      </w:r>
      <w:r w:rsidRPr="00282AC9">
        <w:rPr>
          <w:rStyle w:val="af9"/>
          <w:sz w:val="27"/>
          <w:rtl/>
        </w:rPr>
        <w:endnoteReference w:id="302"/>
      </w:r>
      <w:r w:rsidRPr="00282AC9">
        <w:rPr>
          <w:sz w:val="27"/>
          <w:vertAlign w:val="superscript"/>
          <w:rtl/>
        </w:rPr>
        <w:t>)</w:t>
      </w:r>
      <w:r w:rsidR="00B44717" w:rsidRPr="00282AC9">
        <w:rPr>
          <w:rFonts w:hint="cs"/>
          <w:sz w:val="27"/>
          <w:rtl/>
        </w:rPr>
        <w:t>.</w:t>
      </w:r>
    </w:p>
    <w:p w:rsidR="005A1BD7" w:rsidRPr="00282AC9" w:rsidRDefault="005A1BD7" w:rsidP="003570DF">
      <w:pPr>
        <w:spacing w:line="410" w:lineRule="exact"/>
        <w:rPr>
          <w:sz w:val="27"/>
          <w:rtl/>
        </w:rPr>
      </w:pPr>
      <w:r w:rsidRPr="00282AC9">
        <w:rPr>
          <w:rFonts w:hint="cs"/>
          <w:sz w:val="27"/>
          <w:rtl/>
        </w:rPr>
        <w:t>كما ذ</w:t>
      </w:r>
      <w:r w:rsidR="00B44717" w:rsidRPr="00282AC9">
        <w:rPr>
          <w:rFonts w:hint="cs"/>
          <w:sz w:val="27"/>
          <w:rtl/>
        </w:rPr>
        <w:t>ُ</w:t>
      </w:r>
      <w:r w:rsidRPr="00282AC9">
        <w:rPr>
          <w:rFonts w:hint="cs"/>
          <w:sz w:val="27"/>
          <w:rtl/>
        </w:rPr>
        <w:t>ك</w:t>
      </w:r>
      <w:r w:rsidR="00B44717" w:rsidRPr="00282AC9">
        <w:rPr>
          <w:rFonts w:hint="cs"/>
          <w:sz w:val="27"/>
          <w:rtl/>
        </w:rPr>
        <w:t>ِ</w:t>
      </w:r>
      <w:r w:rsidRPr="00282AC9">
        <w:rPr>
          <w:rFonts w:hint="cs"/>
          <w:sz w:val="27"/>
          <w:rtl/>
        </w:rPr>
        <w:t>ر</w:t>
      </w:r>
      <w:r w:rsidR="00B44717" w:rsidRPr="00282AC9">
        <w:rPr>
          <w:rFonts w:hint="cs"/>
          <w:sz w:val="27"/>
          <w:rtl/>
        </w:rPr>
        <w:t>َ</w:t>
      </w:r>
      <w:r w:rsidRPr="00282AC9">
        <w:rPr>
          <w:rFonts w:hint="cs"/>
          <w:sz w:val="27"/>
          <w:rtl/>
        </w:rPr>
        <w:t>ت</w:t>
      </w:r>
      <w:r w:rsidR="00B44717" w:rsidRPr="00282AC9">
        <w:rPr>
          <w:rFonts w:hint="cs"/>
          <w:sz w:val="27"/>
          <w:rtl/>
        </w:rPr>
        <w:t>ْ</w:t>
      </w:r>
      <w:r w:rsidRPr="00282AC9">
        <w:rPr>
          <w:rFonts w:hint="cs"/>
          <w:sz w:val="27"/>
          <w:rtl/>
        </w:rPr>
        <w:t xml:space="preserve"> هذه الرواية في باب</w:t>
      </w:r>
      <w:r w:rsidR="00B44717" w:rsidRPr="00282AC9">
        <w:rPr>
          <w:rFonts w:hint="cs"/>
          <w:sz w:val="27"/>
          <w:rtl/>
        </w:rPr>
        <w:t>ٍ</w:t>
      </w:r>
      <w:r w:rsidRPr="00282AC9">
        <w:rPr>
          <w:rFonts w:hint="cs"/>
          <w:sz w:val="27"/>
          <w:rtl/>
        </w:rPr>
        <w:t xml:space="preserve"> آخر</w:t>
      </w:r>
      <w:r w:rsidR="00B44717" w:rsidRPr="00282AC9">
        <w:rPr>
          <w:rFonts w:hint="cs"/>
          <w:sz w:val="27"/>
          <w:rtl/>
        </w:rPr>
        <w:t>،</w:t>
      </w:r>
      <w:r w:rsidRPr="00282AC9">
        <w:rPr>
          <w:rFonts w:hint="cs"/>
          <w:sz w:val="27"/>
          <w:rtl/>
        </w:rPr>
        <w:t xml:space="preserve"> تحت عنوان: </w:t>
      </w:r>
      <w:r w:rsidRPr="00282AC9">
        <w:rPr>
          <w:rFonts w:hint="eastAsia"/>
          <w:sz w:val="24"/>
          <w:szCs w:val="24"/>
          <w:rtl/>
        </w:rPr>
        <w:t>«</w:t>
      </w:r>
      <w:r w:rsidRPr="00282AC9">
        <w:rPr>
          <w:rFonts w:hint="cs"/>
          <w:sz w:val="27"/>
          <w:rtl/>
        </w:rPr>
        <w:t>باب صحّة التوبة من المرتد</w:t>
      </w:r>
      <w:r w:rsidR="00B44717" w:rsidRPr="00282AC9">
        <w:rPr>
          <w:rFonts w:hint="cs"/>
          <w:sz w:val="27"/>
          <w:rtl/>
        </w:rPr>
        <w:t>ّ</w:t>
      </w:r>
      <w:r w:rsidRPr="00282AC9">
        <w:rPr>
          <w:rFonts w:hint="eastAsia"/>
          <w:sz w:val="24"/>
          <w:szCs w:val="24"/>
          <w:rtl/>
        </w:rPr>
        <w:t>»</w:t>
      </w:r>
      <w:r w:rsidRPr="00282AC9">
        <w:rPr>
          <w:rFonts w:hint="cs"/>
          <w:sz w:val="27"/>
          <w:rtl/>
        </w:rPr>
        <w:t>، دون أن ي</w:t>
      </w:r>
      <w:r w:rsidR="00B44717" w:rsidRPr="00282AC9">
        <w:rPr>
          <w:rFonts w:hint="cs"/>
          <w:sz w:val="27"/>
          <w:rtl/>
        </w:rPr>
        <w:t>َ</w:t>
      </w:r>
      <w:r w:rsidRPr="00282AC9">
        <w:rPr>
          <w:rFonts w:hint="cs"/>
          <w:sz w:val="27"/>
          <w:rtl/>
        </w:rPr>
        <w:t>ر</w:t>
      </w:r>
      <w:r w:rsidR="00B44717" w:rsidRPr="00282AC9">
        <w:rPr>
          <w:rFonts w:hint="cs"/>
          <w:sz w:val="27"/>
          <w:rtl/>
        </w:rPr>
        <w:t>ِ</w:t>
      </w:r>
      <w:r w:rsidRPr="00282AC9">
        <w:rPr>
          <w:rFonts w:hint="cs"/>
          <w:sz w:val="27"/>
          <w:rtl/>
        </w:rPr>
        <w:t>د</w:t>
      </w:r>
      <w:r w:rsidR="00B44717" w:rsidRPr="00282AC9">
        <w:rPr>
          <w:rFonts w:hint="cs"/>
          <w:sz w:val="27"/>
          <w:rtl/>
        </w:rPr>
        <w:t>َ</w:t>
      </w:r>
      <w:r w:rsidRPr="00282AC9">
        <w:rPr>
          <w:rFonts w:hint="cs"/>
          <w:sz w:val="27"/>
          <w:rtl/>
        </w:rPr>
        <w:t xml:space="preserve"> فيها الحديث عن الحج</w:t>
      </w:r>
      <w:r w:rsidR="00B44717" w:rsidRPr="00282AC9">
        <w:rPr>
          <w:rFonts w:hint="cs"/>
          <w:sz w:val="27"/>
          <w:rtl/>
        </w:rPr>
        <w:t>ّ</w:t>
      </w:r>
      <w:r w:rsidRPr="00282AC9">
        <w:rPr>
          <w:sz w:val="27"/>
          <w:vertAlign w:val="superscript"/>
          <w:rtl/>
        </w:rPr>
        <w:t>(</w:t>
      </w:r>
      <w:r w:rsidRPr="00282AC9">
        <w:rPr>
          <w:rStyle w:val="af9"/>
          <w:sz w:val="27"/>
          <w:rtl/>
        </w:rPr>
        <w:endnoteReference w:id="303"/>
      </w:r>
      <w:r w:rsidRPr="00282AC9">
        <w:rPr>
          <w:sz w:val="27"/>
          <w:vertAlign w:val="superscript"/>
          <w:rtl/>
        </w:rPr>
        <w:t>)</w:t>
      </w:r>
      <w:r w:rsidRPr="00282AC9">
        <w:rPr>
          <w:rFonts w:hint="cs"/>
          <w:sz w:val="27"/>
          <w:rtl/>
        </w:rPr>
        <w:t>، واعتبر</w:t>
      </w:r>
      <w:r w:rsidR="00B44717" w:rsidRPr="00282AC9">
        <w:rPr>
          <w:rFonts w:hint="cs"/>
          <w:sz w:val="27"/>
          <w:rtl/>
        </w:rPr>
        <w:t>َ</w:t>
      </w:r>
      <w:r w:rsidRPr="00282AC9">
        <w:rPr>
          <w:rFonts w:hint="cs"/>
          <w:sz w:val="27"/>
          <w:rtl/>
        </w:rPr>
        <w:t>ت</w:t>
      </w:r>
      <w:r w:rsidR="00B44717" w:rsidRPr="00282AC9">
        <w:rPr>
          <w:rFonts w:hint="cs"/>
          <w:sz w:val="27"/>
          <w:rtl/>
        </w:rPr>
        <w:t>ْ</w:t>
      </w:r>
      <w:r w:rsidRPr="00282AC9">
        <w:rPr>
          <w:rFonts w:hint="cs"/>
          <w:sz w:val="27"/>
          <w:rtl/>
        </w:rPr>
        <w:t xml:space="preserve"> مطلق التوبة موجباً لاحتساب أعماله الصالحة التي قام بها قبل الردّة.</w:t>
      </w:r>
    </w:p>
    <w:p w:rsidR="003570DF" w:rsidRPr="00282AC9" w:rsidRDefault="003570DF" w:rsidP="003570DF">
      <w:pPr>
        <w:spacing w:line="420" w:lineRule="exact"/>
        <w:rPr>
          <w:rtl/>
        </w:rPr>
      </w:pPr>
    </w:p>
    <w:p w:rsidR="005A1BD7" w:rsidRPr="00282AC9" w:rsidRDefault="00981610" w:rsidP="000B2E3E">
      <w:pPr>
        <w:pStyle w:val="31"/>
        <w:rPr>
          <w:color w:val="auto"/>
          <w:rtl/>
        </w:rPr>
      </w:pPr>
      <w:r w:rsidRPr="00282AC9">
        <w:rPr>
          <w:rFonts w:hint="cs"/>
          <w:color w:val="auto"/>
          <w:rtl/>
        </w:rPr>
        <w:t xml:space="preserve">ح ـ </w:t>
      </w:r>
      <w:r w:rsidR="00647FB7" w:rsidRPr="00282AC9">
        <w:rPr>
          <w:rFonts w:hint="cs"/>
          <w:color w:val="auto"/>
          <w:rtl/>
        </w:rPr>
        <w:t xml:space="preserve">تكليف </w:t>
      </w:r>
      <w:r w:rsidR="000B2E3E" w:rsidRPr="00282AC9">
        <w:rPr>
          <w:rFonts w:hint="cs"/>
          <w:color w:val="auto"/>
          <w:rtl/>
        </w:rPr>
        <w:t>المرتدّ التائب</w:t>
      </w:r>
      <w:r w:rsidR="00647FB7" w:rsidRPr="00282AC9">
        <w:rPr>
          <w:rFonts w:hint="cs"/>
          <w:color w:val="auto"/>
          <w:rtl/>
        </w:rPr>
        <w:t xml:space="preserve"> بالعبادات</w:t>
      </w:r>
      <w:r w:rsidR="000B2E3E" w:rsidRPr="00282AC9">
        <w:rPr>
          <w:rFonts w:hint="cs"/>
          <w:color w:val="auto"/>
          <w:rtl/>
        </w:rPr>
        <w:t xml:space="preserve"> </w:t>
      </w:r>
    </w:p>
    <w:p w:rsidR="005A1BD7" w:rsidRPr="00282AC9" w:rsidRDefault="00674EF5" w:rsidP="00C75E73">
      <w:pPr>
        <w:rPr>
          <w:sz w:val="27"/>
          <w:rtl/>
        </w:rPr>
      </w:pPr>
      <w:r w:rsidRPr="00282AC9">
        <w:rPr>
          <w:rFonts w:hint="cs"/>
          <w:sz w:val="27"/>
          <w:rtl/>
        </w:rPr>
        <w:t>لا شَكَّ</w:t>
      </w:r>
      <w:r w:rsidR="005A1BD7" w:rsidRPr="00282AC9">
        <w:rPr>
          <w:rFonts w:hint="cs"/>
          <w:sz w:val="27"/>
          <w:rtl/>
        </w:rPr>
        <w:t xml:space="preserve"> في أن المرتد</w:t>
      </w:r>
      <w:r w:rsidR="0089211B" w:rsidRPr="00282AC9">
        <w:rPr>
          <w:rFonts w:hint="cs"/>
          <w:sz w:val="27"/>
          <w:rtl/>
        </w:rPr>
        <w:t>ّ،</w:t>
      </w:r>
      <w:r w:rsidR="005A1BD7" w:rsidRPr="00282AC9">
        <w:rPr>
          <w:rFonts w:hint="cs"/>
          <w:sz w:val="27"/>
          <w:rtl/>
        </w:rPr>
        <w:t xml:space="preserve"> بعد التوبة والعودة إلى الإسلام، يكون ـ مثل سائر المسلمين ـ مكل</w:t>
      </w:r>
      <w:r w:rsidR="0089211B" w:rsidRPr="00282AC9">
        <w:rPr>
          <w:rFonts w:hint="cs"/>
          <w:sz w:val="27"/>
          <w:rtl/>
        </w:rPr>
        <w:t>َّ</w:t>
      </w:r>
      <w:r w:rsidR="005A1BD7" w:rsidRPr="00282AC9">
        <w:rPr>
          <w:rFonts w:hint="cs"/>
          <w:sz w:val="27"/>
          <w:rtl/>
        </w:rPr>
        <w:t>فاً بالقيام بجميع الأحكام الإسلامي</w:t>
      </w:r>
      <w:r w:rsidR="0089211B" w:rsidRPr="00282AC9">
        <w:rPr>
          <w:rFonts w:hint="cs"/>
          <w:sz w:val="27"/>
          <w:rtl/>
        </w:rPr>
        <w:t>ّ</w:t>
      </w:r>
      <w:r w:rsidR="005A1BD7" w:rsidRPr="00282AC9">
        <w:rPr>
          <w:rFonts w:hint="cs"/>
          <w:sz w:val="27"/>
          <w:rtl/>
        </w:rPr>
        <w:t>ة، مثل: الصلاة والصوم، ويرث المسلمين، ويجوز له أن ينكح المسلمة</w:t>
      </w:r>
      <w:r w:rsidR="0089211B" w:rsidRPr="00282AC9">
        <w:rPr>
          <w:rFonts w:hint="cs"/>
          <w:sz w:val="27"/>
          <w:rtl/>
        </w:rPr>
        <w:t>،</w:t>
      </w:r>
      <w:r w:rsidR="005A1BD7" w:rsidRPr="00282AC9">
        <w:rPr>
          <w:rFonts w:hint="cs"/>
          <w:sz w:val="27"/>
          <w:rtl/>
        </w:rPr>
        <w:t xml:space="preserve"> وما إلى ذلك</w:t>
      </w:r>
      <w:r w:rsidR="0089211B" w:rsidRPr="00282AC9">
        <w:rPr>
          <w:rFonts w:hint="cs"/>
          <w:sz w:val="27"/>
          <w:rtl/>
        </w:rPr>
        <w:t>.</w:t>
      </w:r>
      <w:r w:rsidR="005A1BD7" w:rsidRPr="00282AC9">
        <w:rPr>
          <w:rFonts w:hint="cs"/>
          <w:sz w:val="27"/>
          <w:rtl/>
        </w:rPr>
        <w:t xml:space="preserve"> وإن إنكار هذه الأمور إنكار</w:t>
      </w:r>
      <w:r w:rsidR="0089211B" w:rsidRPr="00282AC9">
        <w:rPr>
          <w:rFonts w:hint="cs"/>
          <w:sz w:val="27"/>
          <w:rtl/>
        </w:rPr>
        <w:t>ٌ</w:t>
      </w:r>
      <w:r w:rsidR="005A1BD7" w:rsidRPr="00282AC9">
        <w:rPr>
          <w:rFonts w:hint="cs"/>
          <w:sz w:val="27"/>
          <w:rtl/>
        </w:rPr>
        <w:t xml:space="preserve"> لضرورة الفقه</w:t>
      </w:r>
      <w:r w:rsidR="005A1BD7" w:rsidRPr="00282AC9">
        <w:rPr>
          <w:sz w:val="27"/>
          <w:vertAlign w:val="superscript"/>
          <w:rtl/>
        </w:rPr>
        <w:t>(</w:t>
      </w:r>
      <w:r w:rsidR="005A1BD7" w:rsidRPr="00282AC9">
        <w:rPr>
          <w:rStyle w:val="af9"/>
          <w:sz w:val="27"/>
          <w:rtl/>
        </w:rPr>
        <w:endnoteReference w:id="304"/>
      </w:r>
      <w:r w:rsidR="005A1BD7" w:rsidRPr="00282AC9">
        <w:rPr>
          <w:sz w:val="27"/>
          <w:vertAlign w:val="superscript"/>
          <w:rtl/>
        </w:rPr>
        <w:t>)</w:t>
      </w:r>
      <w:r w:rsidR="005A1BD7" w:rsidRPr="00282AC9">
        <w:rPr>
          <w:rFonts w:hint="cs"/>
          <w:sz w:val="27"/>
          <w:rtl/>
        </w:rPr>
        <w:t>. وفي هذه الحالة يجب الالتزام بإسلامه وطهارته</w:t>
      </w:r>
      <w:r w:rsidR="0089211B" w:rsidRPr="00282AC9">
        <w:rPr>
          <w:rFonts w:hint="cs"/>
          <w:sz w:val="27"/>
          <w:rtl/>
        </w:rPr>
        <w:t>،</w:t>
      </w:r>
      <w:r w:rsidR="005A1BD7" w:rsidRPr="00282AC9">
        <w:rPr>
          <w:rFonts w:hint="cs"/>
          <w:sz w:val="27"/>
          <w:rtl/>
        </w:rPr>
        <w:t xml:space="preserve"> وهذا هو الذي ند</w:t>
      </w:r>
      <w:r w:rsidR="0089211B" w:rsidRPr="00282AC9">
        <w:rPr>
          <w:rFonts w:hint="cs"/>
          <w:sz w:val="27"/>
          <w:rtl/>
        </w:rPr>
        <w:t>َّ</w:t>
      </w:r>
      <w:r w:rsidR="005A1BD7" w:rsidRPr="00282AC9">
        <w:rPr>
          <w:rFonts w:hint="cs"/>
          <w:sz w:val="27"/>
          <w:rtl/>
        </w:rPr>
        <w:t>عيه</w:t>
      </w:r>
      <w:r w:rsidR="0089211B" w:rsidRPr="00282AC9">
        <w:rPr>
          <w:rFonts w:hint="cs"/>
          <w:sz w:val="27"/>
          <w:rtl/>
        </w:rPr>
        <w:t>؛</w:t>
      </w:r>
      <w:r w:rsidR="005A1BD7" w:rsidRPr="00282AC9">
        <w:rPr>
          <w:rFonts w:hint="cs"/>
          <w:sz w:val="27"/>
          <w:rtl/>
        </w:rPr>
        <w:t xml:space="preserve"> أو نلتزم بنجاسة بدنه</w:t>
      </w:r>
      <w:r w:rsidR="0089211B" w:rsidRPr="00282AC9">
        <w:rPr>
          <w:rFonts w:hint="cs"/>
          <w:sz w:val="27"/>
          <w:rtl/>
        </w:rPr>
        <w:t>،</w:t>
      </w:r>
      <w:r w:rsidR="005A1BD7" w:rsidRPr="00282AC9">
        <w:rPr>
          <w:rFonts w:hint="cs"/>
          <w:sz w:val="27"/>
          <w:rtl/>
        </w:rPr>
        <w:t xml:space="preserve"> وتطبيق سائر أحكام الكف</w:t>
      </w:r>
      <w:r w:rsidR="0089211B" w:rsidRPr="00282AC9">
        <w:rPr>
          <w:rFonts w:hint="cs"/>
          <w:sz w:val="27"/>
          <w:rtl/>
        </w:rPr>
        <w:t>ّ</w:t>
      </w:r>
      <w:r w:rsidR="005A1BD7" w:rsidRPr="00282AC9">
        <w:rPr>
          <w:rFonts w:hint="cs"/>
          <w:sz w:val="27"/>
          <w:rtl/>
        </w:rPr>
        <w:t>ار عليه، وعندها يكون صدور تلك التكاليف منه محالاً؛ إذ كيف يمكن للمحكوم بنجاسته</w:t>
      </w:r>
      <w:r w:rsidR="0089211B" w:rsidRPr="00282AC9">
        <w:rPr>
          <w:rFonts w:hint="cs"/>
          <w:sz w:val="27"/>
          <w:rtl/>
        </w:rPr>
        <w:t>،</w:t>
      </w:r>
      <w:r w:rsidR="005A1BD7" w:rsidRPr="00282AC9">
        <w:rPr>
          <w:rFonts w:hint="cs"/>
          <w:sz w:val="27"/>
          <w:rtl/>
        </w:rPr>
        <w:t xml:space="preserve"> ولا يستطيع تطهير بدنه</w:t>
      </w:r>
      <w:r w:rsidR="0089211B" w:rsidRPr="00282AC9">
        <w:rPr>
          <w:rFonts w:hint="cs"/>
          <w:sz w:val="27"/>
          <w:rtl/>
        </w:rPr>
        <w:t>،</w:t>
      </w:r>
      <w:r w:rsidR="005A1BD7" w:rsidRPr="00282AC9">
        <w:rPr>
          <w:rFonts w:hint="cs"/>
          <w:sz w:val="27"/>
          <w:rtl/>
        </w:rPr>
        <w:t xml:space="preserve"> أن يكون مكل</w:t>
      </w:r>
      <w:r w:rsidR="0089211B" w:rsidRPr="00282AC9">
        <w:rPr>
          <w:rFonts w:hint="cs"/>
          <w:sz w:val="27"/>
          <w:rtl/>
        </w:rPr>
        <w:t>َّ</w:t>
      </w:r>
      <w:r w:rsidR="005A1BD7" w:rsidRPr="00282AC9">
        <w:rPr>
          <w:rFonts w:hint="cs"/>
          <w:sz w:val="27"/>
          <w:rtl/>
        </w:rPr>
        <w:t>فاً بالصلاة وسائر الأمور الأخرى المشروطة بالطهارة؟</w:t>
      </w:r>
      <w:r w:rsidR="0089211B" w:rsidRPr="00282AC9">
        <w:rPr>
          <w:rFonts w:hint="cs"/>
          <w:sz w:val="27"/>
          <w:rtl/>
        </w:rPr>
        <w:t>!</w:t>
      </w:r>
      <w:r w:rsidR="005A1BD7" w:rsidRPr="00282AC9">
        <w:rPr>
          <w:rFonts w:hint="cs"/>
          <w:sz w:val="27"/>
          <w:rtl/>
        </w:rPr>
        <w:t xml:space="preserve"> وكيف يمكن لمثل هذا الشخص أن يتزو</w:t>
      </w:r>
      <w:r w:rsidR="0089211B" w:rsidRPr="00282AC9">
        <w:rPr>
          <w:rFonts w:hint="cs"/>
          <w:sz w:val="27"/>
          <w:rtl/>
        </w:rPr>
        <w:t>َّ</w:t>
      </w:r>
      <w:r w:rsidR="005A1BD7" w:rsidRPr="00282AC9">
        <w:rPr>
          <w:rFonts w:hint="cs"/>
          <w:sz w:val="27"/>
          <w:rtl/>
        </w:rPr>
        <w:t>ج من المسلمة؟</w:t>
      </w:r>
      <w:r w:rsidR="0089211B" w:rsidRPr="00282AC9">
        <w:rPr>
          <w:rFonts w:hint="cs"/>
          <w:sz w:val="27"/>
          <w:rtl/>
        </w:rPr>
        <w:t>!</w:t>
      </w:r>
      <w:r w:rsidR="005A1BD7" w:rsidRPr="00282AC9">
        <w:rPr>
          <w:rFonts w:hint="cs"/>
          <w:sz w:val="27"/>
          <w:rtl/>
        </w:rPr>
        <w:t xml:space="preserve"> وعلى هذا الأساس ـ حيث </w:t>
      </w:r>
      <w:r w:rsidR="0089211B" w:rsidRPr="00282AC9">
        <w:rPr>
          <w:rFonts w:hint="cs"/>
          <w:sz w:val="27"/>
          <w:rtl/>
        </w:rPr>
        <w:t>إ</w:t>
      </w:r>
      <w:r w:rsidR="005A1BD7" w:rsidRPr="00282AC9">
        <w:rPr>
          <w:rFonts w:hint="cs"/>
          <w:sz w:val="27"/>
          <w:rtl/>
        </w:rPr>
        <w:t>ن أدل</w:t>
      </w:r>
      <w:r w:rsidR="0089211B" w:rsidRPr="00282AC9">
        <w:rPr>
          <w:rFonts w:hint="cs"/>
          <w:sz w:val="27"/>
          <w:rtl/>
        </w:rPr>
        <w:t>ّ</w:t>
      </w:r>
      <w:r w:rsidR="005A1BD7" w:rsidRPr="00282AC9">
        <w:rPr>
          <w:rFonts w:hint="cs"/>
          <w:sz w:val="27"/>
          <w:rtl/>
        </w:rPr>
        <w:t>ة التكليف نصّ</w:t>
      </w:r>
      <w:r w:rsidR="0089211B" w:rsidRPr="00282AC9">
        <w:rPr>
          <w:rFonts w:hint="cs"/>
          <w:sz w:val="27"/>
          <w:rtl/>
        </w:rPr>
        <w:t>ٌ</w:t>
      </w:r>
      <w:r w:rsidR="005A1BD7" w:rsidRPr="00282AC9">
        <w:rPr>
          <w:rFonts w:hint="cs"/>
          <w:sz w:val="27"/>
          <w:rtl/>
        </w:rPr>
        <w:t>، ولا يمكن إخراج المرتد</w:t>
      </w:r>
      <w:r w:rsidR="0089211B" w:rsidRPr="00282AC9">
        <w:rPr>
          <w:rFonts w:hint="cs"/>
          <w:sz w:val="27"/>
          <w:rtl/>
        </w:rPr>
        <w:t>ّ</w:t>
      </w:r>
      <w:r w:rsidR="005A1BD7" w:rsidRPr="00282AC9">
        <w:rPr>
          <w:rFonts w:hint="cs"/>
          <w:sz w:val="27"/>
          <w:rtl/>
        </w:rPr>
        <w:t xml:space="preserve"> عنها ـ فإننا نحمل رواية عدم قبول التوبة من المرتد</w:t>
      </w:r>
      <w:r w:rsidR="0089211B" w:rsidRPr="00282AC9">
        <w:rPr>
          <w:rFonts w:hint="cs"/>
          <w:sz w:val="27"/>
          <w:rtl/>
        </w:rPr>
        <w:t>ّ</w:t>
      </w:r>
      <w:r w:rsidR="005A1BD7" w:rsidRPr="00282AC9">
        <w:rPr>
          <w:rFonts w:hint="cs"/>
          <w:sz w:val="27"/>
          <w:rtl/>
        </w:rPr>
        <w:t xml:space="preserve"> على عدم قبولها في المحكمة، لا أنها لا ت</w:t>
      </w:r>
      <w:r w:rsidR="00C26D69" w:rsidRPr="00282AC9">
        <w:rPr>
          <w:rFonts w:hint="cs"/>
          <w:sz w:val="27"/>
          <w:rtl/>
        </w:rPr>
        <w:t>ُ</w:t>
      </w:r>
      <w:r w:rsidR="005A1BD7" w:rsidRPr="00282AC9">
        <w:rPr>
          <w:rFonts w:hint="cs"/>
          <w:sz w:val="27"/>
          <w:rtl/>
        </w:rPr>
        <w:t>ق</w:t>
      </w:r>
      <w:r w:rsidR="00C26D69" w:rsidRPr="00282AC9">
        <w:rPr>
          <w:rFonts w:hint="cs"/>
          <w:sz w:val="27"/>
          <w:rtl/>
        </w:rPr>
        <w:t>ْ</w:t>
      </w:r>
      <w:r w:rsidR="005A1BD7" w:rsidRPr="00282AC9">
        <w:rPr>
          <w:rFonts w:hint="cs"/>
          <w:sz w:val="27"/>
          <w:rtl/>
        </w:rPr>
        <w:t>ب</w:t>
      </w:r>
      <w:r w:rsidR="00C26D69" w:rsidRPr="00282AC9">
        <w:rPr>
          <w:rFonts w:hint="cs"/>
          <w:sz w:val="27"/>
          <w:rtl/>
        </w:rPr>
        <w:t>َ</w:t>
      </w:r>
      <w:r w:rsidR="005A1BD7" w:rsidRPr="00282AC9">
        <w:rPr>
          <w:rFonts w:hint="cs"/>
          <w:sz w:val="27"/>
          <w:rtl/>
        </w:rPr>
        <w:t>ل مطلقاً</w:t>
      </w:r>
      <w:r w:rsidR="005A1BD7" w:rsidRPr="00282AC9">
        <w:rPr>
          <w:sz w:val="27"/>
          <w:vertAlign w:val="superscript"/>
          <w:rtl/>
        </w:rPr>
        <w:t>(</w:t>
      </w:r>
      <w:r w:rsidR="005A1BD7" w:rsidRPr="00282AC9">
        <w:rPr>
          <w:rStyle w:val="af9"/>
          <w:sz w:val="27"/>
          <w:rtl/>
        </w:rPr>
        <w:endnoteReference w:id="305"/>
      </w:r>
      <w:r w:rsidR="005A1BD7" w:rsidRPr="00282AC9">
        <w:rPr>
          <w:sz w:val="27"/>
          <w:vertAlign w:val="superscript"/>
          <w:rtl/>
        </w:rPr>
        <w:t>)</w:t>
      </w:r>
      <w:r w:rsidR="005A1BD7" w:rsidRPr="00282AC9">
        <w:rPr>
          <w:rFonts w:hint="cs"/>
          <w:sz w:val="27"/>
          <w:rtl/>
        </w:rPr>
        <w:t>.</w:t>
      </w:r>
    </w:p>
    <w:p w:rsidR="005A1BD7" w:rsidRPr="00282AC9" w:rsidRDefault="005A1BD7" w:rsidP="00C75E73">
      <w:pPr>
        <w:rPr>
          <w:sz w:val="27"/>
          <w:rtl/>
        </w:rPr>
      </w:pPr>
      <w:r w:rsidRPr="00282AC9">
        <w:rPr>
          <w:rFonts w:hint="cs"/>
          <w:sz w:val="27"/>
          <w:rtl/>
        </w:rPr>
        <w:t>كما أن فتاوى الفقهاء ـ في بحث قضاء العبادات، مثل: الصلاة والصوم ـ تؤيّ</w:t>
      </w:r>
      <w:r w:rsidR="00C26D69" w:rsidRPr="00282AC9">
        <w:rPr>
          <w:rFonts w:hint="cs"/>
          <w:sz w:val="27"/>
          <w:rtl/>
        </w:rPr>
        <w:t>ِ</w:t>
      </w:r>
      <w:r w:rsidRPr="00282AC9">
        <w:rPr>
          <w:rFonts w:hint="cs"/>
          <w:sz w:val="27"/>
          <w:rtl/>
        </w:rPr>
        <w:t>د ب</w:t>
      </w:r>
      <w:r w:rsidR="00EE6DBA" w:rsidRPr="00282AC9">
        <w:rPr>
          <w:rFonts w:hint="cs"/>
          <w:sz w:val="27"/>
          <w:rtl/>
        </w:rPr>
        <w:t>دَوْر</w:t>
      </w:r>
      <w:r w:rsidRPr="00282AC9">
        <w:rPr>
          <w:rFonts w:hint="cs"/>
          <w:sz w:val="27"/>
          <w:rtl/>
        </w:rPr>
        <w:t>ها هذه المسألة أيضاً؛ إذ قالوا: إن على المرتد</w:t>
      </w:r>
      <w:r w:rsidR="00C26D69" w:rsidRPr="00282AC9">
        <w:rPr>
          <w:rFonts w:hint="cs"/>
          <w:sz w:val="27"/>
          <w:rtl/>
        </w:rPr>
        <w:t>ّ</w:t>
      </w:r>
      <w:r w:rsidRPr="00282AC9">
        <w:rPr>
          <w:rFonts w:hint="cs"/>
          <w:sz w:val="27"/>
          <w:rtl/>
        </w:rPr>
        <w:t xml:space="preserve"> إذا تاب أن يقضي الصلاة التي فات</w:t>
      </w:r>
      <w:r w:rsidR="00C26D69" w:rsidRPr="00282AC9">
        <w:rPr>
          <w:rFonts w:hint="cs"/>
          <w:sz w:val="27"/>
          <w:rtl/>
        </w:rPr>
        <w:t>َ</w:t>
      </w:r>
      <w:r w:rsidRPr="00282AC9">
        <w:rPr>
          <w:rFonts w:hint="cs"/>
          <w:sz w:val="27"/>
          <w:rtl/>
        </w:rPr>
        <w:t>ت</w:t>
      </w:r>
      <w:r w:rsidR="00C26D69" w:rsidRPr="00282AC9">
        <w:rPr>
          <w:rFonts w:hint="cs"/>
          <w:sz w:val="27"/>
          <w:rtl/>
        </w:rPr>
        <w:t>ْ</w:t>
      </w:r>
      <w:r w:rsidRPr="00282AC9">
        <w:rPr>
          <w:rFonts w:hint="cs"/>
          <w:sz w:val="27"/>
          <w:rtl/>
        </w:rPr>
        <w:t xml:space="preserve">ه </w:t>
      </w:r>
      <w:r w:rsidRPr="00282AC9">
        <w:rPr>
          <w:rFonts w:hint="cs"/>
          <w:sz w:val="27"/>
          <w:rtl/>
        </w:rPr>
        <w:lastRenderedPageBreak/>
        <w:t>حال الارتداد، حت</w:t>
      </w:r>
      <w:r w:rsidR="00C26D69" w:rsidRPr="00282AC9">
        <w:rPr>
          <w:rFonts w:hint="cs"/>
          <w:sz w:val="27"/>
          <w:rtl/>
        </w:rPr>
        <w:t>ّ</w:t>
      </w:r>
      <w:r w:rsidRPr="00282AC9">
        <w:rPr>
          <w:rFonts w:hint="cs"/>
          <w:sz w:val="27"/>
          <w:rtl/>
        </w:rPr>
        <w:t>ى إذا كان ارتداده فطري</w:t>
      </w:r>
      <w:r w:rsidR="00C26D69" w:rsidRPr="00282AC9">
        <w:rPr>
          <w:rFonts w:hint="cs"/>
          <w:sz w:val="27"/>
          <w:rtl/>
        </w:rPr>
        <w:t>ّ</w:t>
      </w:r>
      <w:r w:rsidRPr="00282AC9">
        <w:rPr>
          <w:rFonts w:hint="cs"/>
          <w:sz w:val="27"/>
          <w:rtl/>
        </w:rPr>
        <w:t>اً. وقد اد</w:t>
      </w:r>
      <w:r w:rsidR="00C26D69" w:rsidRPr="00282AC9">
        <w:rPr>
          <w:rFonts w:hint="cs"/>
          <w:sz w:val="27"/>
          <w:rtl/>
        </w:rPr>
        <w:t>ّ</w:t>
      </w:r>
      <w:r w:rsidRPr="00282AC9">
        <w:rPr>
          <w:rFonts w:hint="cs"/>
          <w:sz w:val="27"/>
          <w:rtl/>
        </w:rPr>
        <w:t>عى بعض الفقهاء ـ من أمثال</w:t>
      </w:r>
      <w:r w:rsidR="00C26D69" w:rsidRPr="00282AC9">
        <w:rPr>
          <w:rFonts w:hint="cs"/>
          <w:sz w:val="27"/>
          <w:rtl/>
        </w:rPr>
        <w:t>:</w:t>
      </w:r>
      <w:r w:rsidRPr="00282AC9">
        <w:rPr>
          <w:rFonts w:hint="cs"/>
          <w:sz w:val="27"/>
          <w:rtl/>
        </w:rPr>
        <w:t xml:space="preserve"> السيد المرتضى في المسائل الناصري</w:t>
      </w:r>
      <w:r w:rsidR="00C26D69" w:rsidRPr="00282AC9">
        <w:rPr>
          <w:rFonts w:hint="cs"/>
          <w:sz w:val="27"/>
          <w:rtl/>
        </w:rPr>
        <w:t>ّ</w:t>
      </w:r>
      <w:r w:rsidRPr="00282AC9">
        <w:rPr>
          <w:rFonts w:hint="cs"/>
          <w:sz w:val="27"/>
          <w:rtl/>
        </w:rPr>
        <w:t>ات ـ الإجماع على هذه المسألة</w:t>
      </w:r>
      <w:r w:rsidR="00C26D69" w:rsidRPr="00282AC9">
        <w:rPr>
          <w:rFonts w:hint="cs"/>
          <w:sz w:val="27"/>
          <w:rtl/>
        </w:rPr>
        <w:t>.</w:t>
      </w:r>
      <w:r w:rsidRPr="00282AC9">
        <w:rPr>
          <w:rFonts w:hint="cs"/>
          <w:sz w:val="27"/>
          <w:rtl/>
        </w:rPr>
        <w:t xml:space="preserve"> وهذا إنما يصحّ إذا كن</w:t>
      </w:r>
      <w:r w:rsidR="00C26D69" w:rsidRPr="00282AC9">
        <w:rPr>
          <w:rFonts w:hint="cs"/>
          <w:sz w:val="27"/>
          <w:rtl/>
        </w:rPr>
        <w:t>ّ</w:t>
      </w:r>
      <w:r w:rsidRPr="00282AC9">
        <w:rPr>
          <w:rFonts w:hint="cs"/>
          <w:sz w:val="27"/>
          <w:rtl/>
        </w:rPr>
        <w:t>ا نقول بقبول توبة المرتد</w:t>
      </w:r>
      <w:r w:rsidR="00C26D69" w:rsidRPr="00282AC9">
        <w:rPr>
          <w:rFonts w:hint="cs"/>
          <w:sz w:val="27"/>
          <w:rtl/>
        </w:rPr>
        <w:t>ّ</w:t>
      </w:r>
      <w:r w:rsidRPr="00282AC9">
        <w:rPr>
          <w:rFonts w:hint="cs"/>
          <w:sz w:val="27"/>
          <w:rtl/>
        </w:rPr>
        <w:t xml:space="preserve"> الفطري</w:t>
      </w:r>
      <w:r w:rsidRPr="00282AC9">
        <w:rPr>
          <w:sz w:val="27"/>
          <w:vertAlign w:val="superscript"/>
          <w:rtl/>
        </w:rPr>
        <w:t>(</w:t>
      </w:r>
      <w:r w:rsidRPr="00282AC9">
        <w:rPr>
          <w:rStyle w:val="af9"/>
          <w:sz w:val="27"/>
          <w:rtl/>
        </w:rPr>
        <w:endnoteReference w:id="306"/>
      </w:r>
      <w:r w:rsidRPr="00282AC9">
        <w:rPr>
          <w:sz w:val="27"/>
          <w:vertAlign w:val="superscript"/>
          <w:rtl/>
        </w:rPr>
        <w:t>)</w:t>
      </w:r>
      <w:r w:rsidRPr="00282AC9">
        <w:rPr>
          <w:rFonts w:hint="cs"/>
          <w:sz w:val="27"/>
          <w:rtl/>
        </w:rPr>
        <w:t>. بل قال المحق</w:t>
      </w:r>
      <w:r w:rsidR="00C26D69" w:rsidRPr="00282AC9">
        <w:rPr>
          <w:rFonts w:hint="cs"/>
          <w:sz w:val="27"/>
          <w:rtl/>
        </w:rPr>
        <w:t>ِّ</w:t>
      </w:r>
      <w:r w:rsidRPr="00282AC9">
        <w:rPr>
          <w:rFonts w:hint="cs"/>
          <w:sz w:val="27"/>
          <w:rtl/>
        </w:rPr>
        <w:t>ق الحل</w:t>
      </w:r>
      <w:r w:rsidR="00C26D69" w:rsidRPr="00282AC9">
        <w:rPr>
          <w:rFonts w:hint="cs"/>
          <w:sz w:val="27"/>
          <w:rtl/>
        </w:rPr>
        <w:t>ّ</w:t>
      </w:r>
      <w:r w:rsidRPr="00282AC9">
        <w:rPr>
          <w:rFonts w:hint="cs"/>
          <w:sz w:val="27"/>
          <w:rtl/>
        </w:rPr>
        <w:t xml:space="preserve">ي: </w:t>
      </w:r>
      <w:r w:rsidRPr="00282AC9">
        <w:rPr>
          <w:rFonts w:hint="eastAsia"/>
          <w:sz w:val="24"/>
          <w:szCs w:val="24"/>
          <w:rtl/>
        </w:rPr>
        <w:t>«</w:t>
      </w:r>
      <w:r w:rsidRPr="00282AC9">
        <w:rPr>
          <w:sz w:val="27"/>
          <w:rtl/>
        </w:rPr>
        <w:t>المرتد</w:t>
      </w:r>
      <w:r w:rsidR="00C26D69" w:rsidRPr="00282AC9">
        <w:rPr>
          <w:rFonts w:hint="cs"/>
          <w:sz w:val="27"/>
          <w:rtl/>
        </w:rPr>
        <w:t>ّ</w:t>
      </w:r>
      <w:r w:rsidRPr="00282AC9">
        <w:rPr>
          <w:sz w:val="27"/>
          <w:rtl/>
        </w:rPr>
        <w:t xml:space="preserve"> لا يبطل تيم</w:t>
      </w:r>
      <w:r w:rsidR="00C26D69" w:rsidRPr="00282AC9">
        <w:rPr>
          <w:rFonts w:hint="cs"/>
          <w:sz w:val="27"/>
          <w:rtl/>
        </w:rPr>
        <w:t>ُّ</w:t>
      </w:r>
      <w:r w:rsidRPr="00282AC9">
        <w:rPr>
          <w:sz w:val="27"/>
          <w:rtl/>
        </w:rPr>
        <w:t>مه برد</w:t>
      </w:r>
      <w:r w:rsidR="00C26D69" w:rsidRPr="00282AC9">
        <w:rPr>
          <w:rFonts w:hint="cs"/>
          <w:sz w:val="27"/>
          <w:rtl/>
        </w:rPr>
        <w:t>ّ</w:t>
      </w:r>
      <w:r w:rsidRPr="00282AC9">
        <w:rPr>
          <w:sz w:val="27"/>
          <w:rtl/>
        </w:rPr>
        <w:t>ته، ولو رجع إلى ال</w:t>
      </w:r>
      <w:r w:rsidRPr="00282AC9">
        <w:rPr>
          <w:rFonts w:hint="cs"/>
          <w:sz w:val="27"/>
          <w:rtl/>
        </w:rPr>
        <w:t>إ</w:t>
      </w:r>
      <w:r w:rsidRPr="00282AC9">
        <w:rPr>
          <w:sz w:val="27"/>
          <w:rtl/>
        </w:rPr>
        <w:t>سلام صل</w:t>
      </w:r>
      <w:r w:rsidR="00C26D69" w:rsidRPr="00282AC9">
        <w:rPr>
          <w:rFonts w:hint="cs"/>
          <w:sz w:val="27"/>
          <w:rtl/>
        </w:rPr>
        <w:t>ّ</w:t>
      </w:r>
      <w:r w:rsidRPr="00282AC9">
        <w:rPr>
          <w:sz w:val="27"/>
          <w:rtl/>
        </w:rPr>
        <w:t>ى بتيم</w:t>
      </w:r>
      <w:r w:rsidRPr="00282AC9">
        <w:rPr>
          <w:rFonts w:hint="cs"/>
          <w:sz w:val="27"/>
          <w:rtl/>
        </w:rPr>
        <w:t>ّ</w:t>
      </w:r>
      <w:r w:rsidR="00C26D69" w:rsidRPr="00282AC9">
        <w:rPr>
          <w:rFonts w:hint="cs"/>
          <w:sz w:val="27"/>
          <w:rtl/>
        </w:rPr>
        <w:t>ُ</w:t>
      </w:r>
      <w:r w:rsidRPr="00282AC9">
        <w:rPr>
          <w:sz w:val="27"/>
          <w:rtl/>
        </w:rPr>
        <w:t>مه ال</w:t>
      </w:r>
      <w:r w:rsidRPr="00282AC9">
        <w:rPr>
          <w:rFonts w:hint="cs"/>
          <w:sz w:val="27"/>
          <w:rtl/>
        </w:rPr>
        <w:t>أ</w:t>
      </w:r>
      <w:r w:rsidRPr="00282AC9">
        <w:rPr>
          <w:sz w:val="27"/>
          <w:rtl/>
        </w:rPr>
        <w:t>و</w:t>
      </w:r>
      <w:r w:rsidR="00C26D69" w:rsidRPr="00282AC9">
        <w:rPr>
          <w:rFonts w:hint="cs"/>
          <w:sz w:val="27"/>
          <w:rtl/>
        </w:rPr>
        <w:t>ّ</w:t>
      </w:r>
      <w:r w:rsidRPr="00282AC9">
        <w:rPr>
          <w:sz w:val="27"/>
          <w:rtl/>
        </w:rPr>
        <w:t>ل</w:t>
      </w:r>
      <w:r w:rsidRPr="00282AC9">
        <w:rPr>
          <w:rFonts w:hint="cs"/>
          <w:sz w:val="27"/>
          <w:rtl/>
        </w:rPr>
        <w:t>...</w:t>
      </w:r>
      <w:r w:rsidR="00C26D69" w:rsidRPr="00282AC9">
        <w:rPr>
          <w:rFonts w:hint="cs"/>
          <w:sz w:val="27"/>
          <w:rtl/>
        </w:rPr>
        <w:t>؛</w:t>
      </w:r>
      <w:r w:rsidRPr="00282AC9">
        <w:rPr>
          <w:rFonts w:hint="cs"/>
          <w:sz w:val="27"/>
          <w:rtl/>
        </w:rPr>
        <w:t xml:space="preserve"> </w:t>
      </w:r>
      <w:r w:rsidRPr="00282AC9">
        <w:rPr>
          <w:sz w:val="27"/>
          <w:rtl/>
        </w:rPr>
        <w:t>ل</w:t>
      </w:r>
      <w:r w:rsidRPr="00282AC9">
        <w:rPr>
          <w:rFonts w:hint="cs"/>
          <w:sz w:val="27"/>
          <w:rtl/>
        </w:rPr>
        <w:t>أ</w:t>
      </w:r>
      <w:r w:rsidRPr="00282AC9">
        <w:rPr>
          <w:sz w:val="27"/>
          <w:rtl/>
        </w:rPr>
        <w:t>ن نقض الطهارة موقوف</w:t>
      </w:r>
      <w:r w:rsidR="00C26D69" w:rsidRPr="00282AC9">
        <w:rPr>
          <w:rFonts w:hint="cs"/>
          <w:sz w:val="27"/>
          <w:rtl/>
        </w:rPr>
        <w:t>ٌ</w:t>
      </w:r>
      <w:r w:rsidRPr="00282AC9">
        <w:rPr>
          <w:sz w:val="27"/>
          <w:rtl/>
        </w:rPr>
        <w:t xml:space="preserve"> على الدلالة، وحيث لا دلالة فلا نقض</w:t>
      </w:r>
      <w:r w:rsidRPr="00282AC9">
        <w:rPr>
          <w:rFonts w:hint="eastAsia"/>
          <w:sz w:val="24"/>
          <w:szCs w:val="24"/>
          <w:rtl/>
        </w:rPr>
        <w:t>»</w:t>
      </w:r>
      <w:r w:rsidRPr="00282AC9">
        <w:rPr>
          <w:sz w:val="27"/>
          <w:vertAlign w:val="superscript"/>
          <w:rtl/>
        </w:rPr>
        <w:t>(</w:t>
      </w:r>
      <w:r w:rsidRPr="00282AC9">
        <w:rPr>
          <w:rStyle w:val="af9"/>
          <w:sz w:val="27"/>
          <w:rtl/>
        </w:rPr>
        <w:endnoteReference w:id="307"/>
      </w:r>
      <w:r w:rsidRPr="00282AC9">
        <w:rPr>
          <w:sz w:val="27"/>
          <w:vertAlign w:val="superscript"/>
          <w:rtl/>
        </w:rPr>
        <w:t>)</w:t>
      </w:r>
      <w:r w:rsidRPr="00282AC9">
        <w:rPr>
          <w:rFonts w:hint="cs"/>
          <w:sz w:val="27"/>
          <w:rtl/>
        </w:rPr>
        <w:t>. وقال المحق</w:t>
      </w:r>
      <w:r w:rsidR="00C26D69" w:rsidRPr="00282AC9">
        <w:rPr>
          <w:rFonts w:hint="cs"/>
          <w:sz w:val="27"/>
          <w:rtl/>
        </w:rPr>
        <w:t>ِّ</w:t>
      </w:r>
      <w:r w:rsidRPr="00282AC9">
        <w:rPr>
          <w:rFonts w:hint="cs"/>
          <w:sz w:val="27"/>
          <w:rtl/>
        </w:rPr>
        <w:t xml:space="preserve">ق الأردبيلي: </w:t>
      </w:r>
      <w:r w:rsidRPr="00282AC9">
        <w:rPr>
          <w:rFonts w:hint="eastAsia"/>
          <w:sz w:val="24"/>
          <w:szCs w:val="24"/>
          <w:rtl/>
        </w:rPr>
        <w:t>«</w:t>
      </w:r>
      <w:r w:rsidRPr="00282AC9">
        <w:rPr>
          <w:rFonts w:hint="cs"/>
          <w:sz w:val="27"/>
          <w:rtl/>
        </w:rPr>
        <w:t>لم يثبت عدم قبول توبة المرتد</w:t>
      </w:r>
      <w:r w:rsidR="00C26D69" w:rsidRPr="00282AC9">
        <w:rPr>
          <w:rFonts w:hint="cs"/>
          <w:sz w:val="27"/>
          <w:rtl/>
        </w:rPr>
        <w:t>ّ</w:t>
      </w:r>
      <w:r w:rsidRPr="00282AC9">
        <w:rPr>
          <w:rFonts w:hint="cs"/>
          <w:sz w:val="27"/>
          <w:rtl/>
        </w:rPr>
        <w:t xml:space="preserve"> مطلقاً</w:t>
      </w:r>
      <w:r w:rsidRPr="00282AC9">
        <w:rPr>
          <w:rFonts w:hint="eastAsia"/>
          <w:sz w:val="24"/>
          <w:szCs w:val="24"/>
          <w:rtl/>
        </w:rPr>
        <w:t>»</w:t>
      </w:r>
      <w:r w:rsidRPr="00282AC9">
        <w:rPr>
          <w:sz w:val="27"/>
          <w:vertAlign w:val="superscript"/>
          <w:rtl/>
        </w:rPr>
        <w:t>(</w:t>
      </w:r>
      <w:r w:rsidRPr="00282AC9">
        <w:rPr>
          <w:rStyle w:val="af9"/>
          <w:sz w:val="27"/>
          <w:rtl/>
        </w:rPr>
        <w:endnoteReference w:id="308"/>
      </w:r>
      <w:r w:rsidRPr="00282AC9">
        <w:rPr>
          <w:sz w:val="27"/>
          <w:vertAlign w:val="superscript"/>
          <w:rtl/>
        </w:rPr>
        <w:t>)</w:t>
      </w:r>
      <w:r w:rsidRPr="00282AC9">
        <w:rPr>
          <w:rFonts w:hint="cs"/>
          <w:sz w:val="27"/>
          <w:rtl/>
        </w:rPr>
        <w:t>؛ إذ لم ير</w:t>
      </w:r>
      <w:r w:rsidR="00C26D69" w:rsidRPr="00282AC9">
        <w:rPr>
          <w:rFonts w:hint="cs"/>
          <w:sz w:val="27"/>
          <w:rtl/>
        </w:rPr>
        <w:t>ِ</w:t>
      </w:r>
      <w:r w:rsidRPr="00282AC9">
        <w:rPr>
          <w:rFonts w:hint="cs"/>
          <w:sz w:val="27"/>
          <w:rtl/>
        </w:rPr>
        <w:t>د</w:t>
      </w:r>
      <w:r w:rsidR="00C26D69" w:rsidRPr="00282AC9">
        <w:rPr>
          <w:rFonts w:hint="cs"/>
          <w:sz w:val="27"/>
          <w:rtl/>
        </w:rPr>
        <w:t>ْ</w:t>
      </w:r>
      <w:r w:rsidRPr="00282AC9">
        <w:rPr>
          <w:rFonts w:hint="cs"/>
          <w:sz w:val="27"/>
          <w:rtl/>
        </w:rPr>
        <w:t xml:space="preserve"> في كتب المتقد</w:t>
      </w:r>
      <w:r w:rsidR="00C26D69" w:rsidRPr="00282AC9">
        <w:rPr>
          <w:rFonts w:hint="cs"/>
          <w:sz w:val="27"/>
          <w:rtl/>
        </w:rPr>
        <w:t>ِّ</w:t>
      </w:r>
      <w:r w:rsidRPr="00282AC9">
        <w:rPr>
          <w:rFonts w:hint="cs"/>
          <w:sz w:val="27"/>
          <w:rtl/>
        </w:rPr>
        <w:t>مين بحث مطلق توبة المرتد</w:t>
      </w:r>
      <w:r w:rsidR="00C26D69" w:rsidRPr="00282AC9">
        <w:rPr>
          <w:rFonts w:hint="cs"/>
          <w:sz w:val="27"/>
          <w:rtl/>
        </w:rPr>
        <w:t>ّ</w:t>
      </w:r>
      <w:r w:rsidRPr="00282AC9">
        <w:rPr>
          <w:rFonts w:hint="cs"/>
          <w:sz w:val="27"/>
          <w:rtl/>
        </w:rPr>
        <w:t xml:space="preserve">، وإنما التوبة تعرض </w:t>
      </w:r>
      <w:r w:rsidR="00107A4E" w:rsidRPr="00282AC9">
        <w:rPr>
          <w:rFonts w:hint="cs"/>
          <w:sz w:val="27"/>
          <w:rtl/>
        </w:rPr>
        <w:t>م</w:t>
      </w:r>
      <w:r w:rsidRPr="00282AC9">
        <w:rPr>
          <w:rFonts w:hint="cs"/>
          <w:sz w:val="27"/>
          <w:rtl/>
        </w:rPr>
        <w:t>ن الحاكم (الاستتابة). وقال في موضع</w:t>
      </w:r>
      <w:r w:rsidR="00C26D69" w:rsidRPr="00282AC9">
        <w:rPr>
          <w:rFonts w:hint="cs"/>
          <w:sz w:val="27"/>
          <w:rtl/>
        </w:rPr>
        <w:t>ٍ</w:t>
      </w:r>
      <w:r w:rsidRPr="00282AC9">
        <w:rPr>
          <w:rFonts w:hint="cs"/>
          <w:sz w:val="27"/>
          <w:rtl/>
        </w:rPr>
        <w:t xml:space="preserve"> آخر: </w:t>
      </w:r>
      <w:r w:rsidRPr="00282AC9">
        <w:rPr>
          <w:rFonts w:hint="eastAsia"/>
          <w:sz w:val="24"/>
          <w:szCs w:val="24"/>
          <w:rtl/>
        </w:rPr>
        <w:t>«</w:t>
      </w:r>
      <w:r w:rsidRPr="00282AC9">
        <w:rPr>
          <w:rFonts w:hint="cs"/>
          <w:sz w:val="27"/>
          <w:rtl/>
        </w:rPr>
        <w:t>يُحت</w:t>
      </w:r>
      <w:r w:rsidR="00C26D69" w:rsidRPr="00282AC9">
        <w:rPr>
          <w:rFonts w:hint="cs"/>
          <w:sz w:val="27"/>
          <w:rtl/>
        </w:rPr>
        <w:t>َ</w:t>
      </w:r>
      <w:r w:rsidRPr="00282AC9">
        <w:rPr>
          <w:rFonts w:hint="cs"/>
          <w:sz w:val="27"/>
          <w:rtl/>
        </w:rPr>
        <w:t>م</w:t>
      </w:r>
      <w:r w:rsidR="00C26D69" w:rsidRPr="00282AC9">
        <w:rPr>
          <w:rFonts w:hint="cs"/>
          <w:sz w:val="27"/>
          <w:rtl/>
        </w:rPr>
        <w:t>َ</w:t>
      </w:r>
      <w:r w:rsidRPr="00282AC9">
        <w:rPr>
          <w:rFonts w:hint="cs"/>
          <w:sz w:val="27"/>
          <w:rtl/>
        </w:rPr>
        <w:t>ل أنه [المرتد</w:t>
      </w:r>
      <w:r w:rsidR="00C26D69" w:rsidRPr="00282AC9">
        <w:rPr>
          <w:rFonts w:hint="cs"/>
          <w:sz w:val="27"/>
          <w:rtl/>
        </w:rPr>
        <w:t>ّ</w:t>
      </w:r>
      <w:r w:rsidRPr="00282AC9">
        <w:rPr>
          <w:rFonts w:hint="cs"/>
          <w:sz w:val="27"/>
          <w:rtl/>
        </w:rPr>
        <w:t xml:space="preserve"> الفطري] إن</w:t>
      </w:r>
      <w:r w:rsidR="00C26D69" w:rsidRPr="00282AC9">
        <w:rPr>
          <w:rFonts w:hint="cs"/>
          <w:sz w:val="27"/>
          <w:rtl/>
        </w:rPr>
        <w:t>ْ</w:t>
      </w:r>
      <w:r w:rsidRPr="00282AC9">
        <w:rPr>
          <w:rFonts w:hint="cs"/>
          <w:sz w:val="27"/>
          <w:rtl/>
        </w:rPr>
        <w:t xml:space="preserve"> تاب في نفس الأمر يرجع ماله إليه</w:t>
      </w:r>
      <w:r w:rsidR="00C26D69" w:rsidRPr="00282AC9">
        <w:rPr>
          <w:rFonts w:hint="cs"/>
          <w:sz w:val="27"/>
          <w:rtl/>
        </w:rPr>
        <w:t>،</w:t>
      </w:r>
      <w:r w:rsidRPr="00282AC9">
        <w:rPr>
          <w:rFonts w:hint="cs"/>
          <w:sz w:val="27"/>
          <w:rtl/>
        </w:rPr>
        <w:t xml:space="preserve"> لو خرج</w:t>
      </w:r>
      <w:r w:rsidR="00C26D69" w:rsidRPr="00282AC9">
        <w:rPr>
          <w:rFonts w:hint="cs"/>
          <w:sz w:val="27"/>
          <w:rtl/>
        </w:rPr>
        <w:t>،</w:t>
      </w:r>
      <w:r w:rsidRPr="00282AC9">
        <w:rPr>
          <w:rFonts w:hint="cs"/>
          <w:sz w:val="27"/>
          <w:rtl/>
        </w:rPr>
        <w:t xml:space="preserve"> ولم يُق</w:t>
      </w:r>
      <w:r w:rsidR="00C26D69" w:rsidRPr="00282AC9">
        <w:rPr>
          <w:rFonts w:hint="cs"/>
          <w:sz w:val="27"/>
          <w:rtl/>
        </w:rPr>
        <w:t>ْ</w:t>
      </w:r>
      <w:r w:rsidRPr="00282AC9">
        <w:rPr>
          <w:rFonts w:hint="cs"/>
          <w:sz w:val="27"/>
          <w:rtl/>
        </w:rPr>
        <w:t>ت</w:t>
      </w:r>
      <w:r w:rsidR="00C26D69" w:rsidRPr="00282AC9">
        <w:rPr>
          <w:rFonts w:hint="cs"/>
          <w:sz w:val="27"/>
          <w:rtl/>
        </w:rPr>
        <w:t>َ</w:t>
      </w:r>
      <w:r w:rsidRPr="00282AC9">
        <w:rPr>
          <w:rFonts w:hint="cs"/>
          <w:sz w:val="27"/>
          <w:rtl/>
        </w:rPr>
        <w:t>ل</w:t>
      </w:r>
      <w:r w:rsidRPr="00282AC9">
        <w:rPr>
          <w:rFonts w:hint="eastAsia"/>
          <w:sz w:val="24"/>
          <w:szCs w:val="24"/>
          <w:rtl/>
        </w:rPr>
        <w:t>»</w:t>
      </w:r>
      <w:r w:rsidRPr="00282AC9">
        <w:rPr>
          <w:sz w:val="27"/>
          <w:vertAlign w:val="superscript"/>
          <w:rtl/>
        </w:rPr>
        <w:t>(</w:t>
      </w:r>
      <w:r w:rsidRPr="00282AC9">
        <w:rPr>
          <w:rStyle w:val="af9"/>
          <w:sz w:val="27"/>
          <w:rtl/>
        </w:rPr>
        <w:endnoteReference w:id="309"/>
      </w:r>
      <w:r w:rsidRPr="00282AC9">
        <w:rPr>
          <w:sz w:val="27"/>
          <w:vertAlign w:val="superscript"/>
          <w:rtl/>
        </w:rPr>
        <w:t>)</w:t>
      </w:r>
      <w:r w:rsidRPr="00282AC9">
        <w:rPr>
          <w:rFonts w:hint="cs"/>
          <w:sz w:val="27"/>
          <w:rtl/>
        </w:rPr>
        <w:t>.</w:t>
      </w:r>
    </w:p>
    <w:p w:rsidR="00107A4E" w:rsidRPr="00282AC9" w:rsidRDefault="00C26D69" w:rsidP="00EA3CC5">
      <w:pPr>
        <w:spacing w:line="424" w:lineRule="exact"/>
        <w:rPr>
          <w:sz w:val="27"/>
          <w:rtl/>
        </w:rPr>
      </w:pPr>
      <w:r w:rsidRPr="00282AC9">
        <w:rPr>
          <w:rFonts w:hint="cs"/>
          <w:sz w:val="27"/>
          <w:rtl/>
        </w:rPr>
        <w:t>و</w:t>
      </w:r>
      <w:r w:rsidR="005A1BD7" w:rsidRPr="00282AC9">
        <w:rPr>
          <w:rFonts w:hint="cs"/>
          <w:sz w:val="27"/>
          <w:rtl/>
        </w:rPr>
        <w:t>بالإضافة إلى ما تقد</w:t>
      </w:r>
      <w:r w:rsidRPr="00282AC9">
        <w:rPr>
          <w:rFonts w:hint="cs"/>
          <w:sz w:val="27"/>
          <w:rtl/>
        </w:rPr>
        <w:t>َّ</w:t>
      </w:r>
      <w:r w:rsidR="005A1BD7" w:rsidRPr="00282AC9">
        <w:rPr>
          <w:rFonts w:hint="cs"/>
          <w:sz w:val="27"/>
          <w:rtl/>
        </w:rPr>
        <w:t>م، يمكن  التمسّ</w:t>
      </w:r>
      <w:r w:rsidRPr="00282AC9">
        <w:rPr>
          <w:rFonts w:hint="cs"/>
          <w:sz w:val="27"/>
          <w:rtl/>
        </w:rPr>
        <w:t>ُ</w:t>
      </w:r>
      <w:r w:rsidR="005A1BD7" w:rsidRPr="00282AC9">
        <w:rPr>
          <w:rFonts w:hint="cs"/>
          <w:sz w:val="27"/>
          <w:rtl/>
        </w:rPr>
        <w:t>ك لرفع حكم القتل بقاعدة</w:t>
      </w:r>
      <w:r w:rsidRPr="00282AC9">
        <w:rPr>
          <w:rFonts w:hint="cs"/>
          <w:sz w:val="27"/>
          <w:rtl/>
        </w:rPr>
        <w:t>ٍ</w:t>
      </w:r>
      <w:r w:rsidR="005A1BD7" w:rsidRPr="00282AC9">
        <w:rPr>
          <w:rFonts w:hint="cs"/>
          <w:sz w:val="27"/>
          <w:rtl/>
        </w:rPr>
        <w:t xml:space="preserve"> عامّة، ق</w:t>
      </w:r>
      <w:r w:rsidRPr="00282AC9">
        <w:rPr>
          <w:rFonts w:hint="cs"/>
          <w:sz w:val="27"/>
          <w:rtl/>
        </w:rPr>
        <w:t>َ</w:t>
      </w:r>
      <w:r w:rsidR="005A1BD7" w:rsidRPr="00282AC9">
        <w:rPr>
          <w:rFonts w:hint="cs"/>
          <w:sz w:val="27"/>
          <w:rtl/>
        </w:rPr>
        <w:t>ب</w:t>
      </w:r>
      <w:r w:rsidRPr="00282AC9">
        <w:rPr>
          <w:rFonts w:hint="cs"/>
          <w:sz w:val="27"/>
          <w:rtl/>
        </w:rPr>
        <w:t>ِ</w:t>
      </w:r>
      <w:r w:rsidR="005A1BD7" w:rsidRPr="00282AC9">
        <w:rPr>
          <w:rFonts w:hint="cs"/>
          <w:sz w:val="27"/>
          <w:rtl/>
        </w:rPr>
        <w:t>ل بها جميع الفقهاء. وعلى أساس هذه القاعدة لو ارتكب شخص</w:t>
      </w:r>
      <w:r w:rsidR="00107A4E" w:rsidRPr="00282AC9">
        <w:rPr>
          <w:rFonts w:hint="cs"/>
          <w:sz w:val="27"/>
          <w:rtl/>
        </w:rPr>
        <w:t>ٌ</w:t>
      </w:r>
      <w:r w:rsidR="005A1BD7" w:rsidRPr="00282AC9">
        <w:rPr>
          <w:rFonts w:hint="cs"/>
          <w:sz w:val="27"/>
          <w:rtl/>
        </w:rPr>
        <w:t xml:space="preserve"> عملاً محرّ</w:t>
      </w:r>
      <w:r w:rsidR="00107A4E" w:rsidRPr="00282AC9">
        <w:rPr>
          <w:rFonts w:hint="cs"/>
          <w:sz w:val="27"/>
          <w:rtl/>
        </w:rPr>
        <w:t>َ</w:t>
      </w:r>
      <w:r w:rsidR="005A1BD7" w:rsidRPr="00282AC9">
        <w:rPr>
          <w:rFonts w:hint="cs"/>
          <w:sz w:val="27"/>
          <w:rtl/>
        </w:rPr>
        <w:t>ماً يستوجب الحدّ، وثبت أنه تاب قبل ع</w:t>
      </w:r>
      <w:r w:rsidR="00107A4E" w:rsidRPr="00282AC9">
        <w:rPr>
          <w:rFonts w:hint="cs"/>
          <w:sz w:val="27"/>
          <w:rtl/>
        </w:rPr>
        <w:t>َ</w:t>
      </w:r>
      <w:r w:rsidR="005A1BD7" w:rsidRPr="00282AC9">
        <w:rPr>
          <w:rFonts w:hint="cs"/>
          <w:sz w:val="27"/>
          <w:rtl/>
        </w:rPr>
        <w:t>ر</w:t>
      </w:r>
      <w:r w:rsidR="00107A4E" w:rsidRPr="00282AC9">
        <w:rPr>
          <w:rFonts w:hint="cs"/>
          <w:sz w:val="27"/>
          <w:rtl/>
        </w:rPr>
        <w:t>ْ</w:t>
      </w:r>
      <w:r w:rsidR="005A1BD7" w:rsidRPr="00282AC9">
        <w:rPr>
          <w:rFonts w:hint="cs"/>
          <w:sz w:val="27"/>
          <w:rtl/>
        </w:rPr>
        <w:t xml:space="preserve">ضه </w:t>
      </w:r>
      <w:r w:rsidR="00107A4E" w:rsidRPr="00282AC9">
        <w:rPr>
          <w:rFonts w:hint="cs"/>
          <w:sz w:val="27"/>
          <w:rtl/>
        </w:rPr>
        <w:t>على القاضي، رُفع ذلك الحدّ عنه.</w:t>
      </w:r>
    </w:p>
    <w:p w:rsidR="00107A4E" w:rsidRPr="00282AC9" w:rsidRDefault="005A1BD7" w:rsidP="00EA3CC5">
      <w:pPr>
        <w:spacing w:line="424" w:lineRule="exact"/>
        <w:rPr>
          <w:sz w:val="27"/>
          <w:rtl/>
        </w:rPr>
      </w:pPr>
      <w:r w:rsidRPr="00282AC9">
        <w:rPr>
          <w:rFonts w:hint="cs"/>
          <w:sz w:val="27"/>
          <w:rtl/>
        </w:rPr>
        <w:t>وقد تمّ التمسّ</w:t>
      </w:r>
      <w:r w:rsidR="00107A4E" w:rsidRPr="00282AC9">
        <w:rPr>
          <w:rFonts w:hint="cs"/>
          <w:sz w:val="27"/>
          <w:rtl/>
        </w:rPr>
        <w:t>ُ</w:t>
      </w:r>
      <w:r w:rsidRPr="00282AC9">
        <w:rPr>
          <w:rFonts w:hint="cs"/>
          <w:sz w:val="27"/>
          <w:rtl/>
        </w:rPr>
        <w:t>ك لذلك بروايات</w:t>
      </w:r>
      <w:r w:rsidR="00107A4E" w:rsidRPr="00282AC9">
        <w:rPr>
          <w:rFonts w:hint="cs"/>
          <w:sz w:val="27"/>
          <w:rtl/>
        </w:rPr>
        <w:t>ٍ</w:t>
      </w:r>
      <w:r w:rsidRPr="00282AC9">
        <w:rPr>
          <w:rFonts w:hint="cs"/>
          <w:sz w:val="27"/>
          <w:rtl/>
        </w:rPr>
        <w:t xml:space="preserve">، </w:t>
      </w:r>
      <w:r w:rsidR="00107A4E" w:rsidRPr="00282AC9">
        <w:rPr>
          <w:rFonts w:hint="cs"/>
          <w:sz w:val="27"/>
          <w:rtl/>
        </w:rPr>
        <w:t>من</w:t>
      </w:r>
      <w:r w:rsidRPr="00282AC9">
        <w:rPr>
          <w:rFonts w:hint="cs"/>
          <w:sz w:val="27"/>
          <w:rtl/>
        </w:rPr>
        <w:t>ها</w:t>
      </w:r>
      <w:r w:rsidR="00107A4E" w:rsidRPr="00282AC9">
        <w:rPr>
          <w:rFonts w:hint="cs"/>
          <w:sz w:val="27"/>
          <w:rtl/>
        </w:rPr>
        <w:t>:</w:t>
      </w:r>
      <w:r w:rsidRPr="00282AC9">
        <w:rPr>
          <w:rFonts w:hint="cs"/>
          <w:sz w:val="27"/>
          <w:rtl/>
        </w:rPr>
        <w:t xml:space="preserve"> الرواية المشهورة عن النبي</w:t>
      </w:r>
      <w:r w:rsidR="00107A4E" w:rsidRPr="00282AC9">
        <w:rPr>
          <w:rFonts w:hint="cs"/>
          <w:sz w:val="27"/>
          <w:rtl/>
        </w:rPr>
        <w:t>ّ</w:t>
      </w:r>
      <w:r w:rsidRPr="00282AC9">
        <w:rPr>
          <w:rFonts w:hint="cs"/>
          <w:sz w:val="27"/>
          <w:rtl/>
        </w:rPr>
        <w:t xml:space="preserve"> الأكرم</w:t>
      </w:r>
      <w:r w:rsidR="009A2A04" w:rsidRPr="00282AC9">
        <w:rPr>
          <w:rFonts w:cs="Mosawi" w:hint="cs"/>
          <w:sz w:val="22"/>
          <w:szCs w:val="22"/>
          <w:rtl/>
        </w:rPr>
        <w:t>|</w:t>
      </w:r>
      <w:r w:rsidRPr="00282AC9">
        <w:rPr>
          <w:rFonts w:hint="cs"/>
          <w:sz w:val="27"/>
          <w:rtl/>
        </w:rPr>
        <w:t xml:space="preserve"> أنه قال: </w:t>
      </w:r>
      <w:r w:rsidRPr="00282AC9">
        <w:rPr>
          <w:rFonts w:hint="eastAsia"/>
          <w:sz w:val="24"/>
          <w:szCs w:val="24"/>
          <w:rtl/>
        </w:rPr>
        <w:t>«</w:t>
      </w:r>
      <w:r w:rsidRPr="00282AC9">
        <w:rPr>
          <w:rFonts w:hint="cs"/>
          <w:sz w:val="27"/>
          <w:rtl/>
        </w:rPr>
        <w:t>التائب من الذنب كم</w:t>
      </w:r>
      <w:r w:rsidR="00107A4E" w:rsidRPr="00282AC9">
        <w:rPr>
          <w:rFonts w:hint="cs"/>
          <w:sz w:val="27"/>
          <w:rtl/>
        </w:rPr>
        <w:t>َ</w:t>
      </w:r>
      <w:r w:rsidRPr="00282AC9">
        <w:rPr>
          <w:rFonts w:hint="cs"/>
          <w:sz w:val="27"/>
          <w:rtl/>
        </w:rPr>
        <w:t>ن</w:t>
      </w:r>
      <w:r w:rsidR="00107A4E" w:rsidRPr="00282AC9">
        <w:rPr>
          <w:rFonts w:hint="cs"/>
          <w:sz w:val="27"/>
          <w:rtl/>
        </w:rPr>
        <w:t>ْ</w:t>
      </w:r>
      <w:r w:rsidRPr="00282AC9">
        <w:rPr>
          <w:rFonts w:hint="cs"/>
          <w:sz w:val="27"/>
          <w:rtl/>
        </w:rPr>
        <w:t xml:space="preserve"> لا ذ</w:t>
      </w:r>
      <w:r w:rsidR="00107A4E" w:rsidRPr="00282AC9">
        <w:rPr>
          <w:rFonts w:hint="cs"/>
          <w:sz w:val="27"/>
          <w:rtl/>
        </w:rPr>
        <w:t>َ</w:t>
      </w:r>
      <w:r w:rsidRPr="00282AC9">
        <w:rPr>
          <w:rFonts w:hint="cs"/>
          <w:sz w:val="27"/>
          <w:rtl/>
        </w:rPr>
        <w:t>ن</w:t>
      </w:r>
      <w:r w:rsidR="00107A4E" w:rsidRPr="00282AC9">
        <w:rPr>
          <w:rFonts w:hint="cs"/>
          <w:sz w:val="27"/>
          <w:rtl/>
        </w:rPr>
        <w:t>ْ</w:t>
      </w:r>
      <w:r w:rsidRPr="00282AC9">
        <w:rPr>
          <w:rFonts w:hint="cs"/>
          <w:sz w:val="27"/>
          <w:rtl/>
        </w:rPr>
        <w:t>ب</w:t>
      </w:r>
      <w:r w:rsidR="00107A4E" w:rsidRPr="00282AC9">
        <w:rPr>
          <w:rFonts w:hint="cs"/>
          <w:sz w:val="27"/>
          <w:rtl/>
        </w:rPr>
        <w:t>َ</w:t>
      </w:r>
      <w:r w:rsidRPr="00282AC9">
        <w:rPr>
          <w:rFonts w:hint="cs"/>
          <w:sz w:val="27"/>
          <w:rtl/>
        </w:rPr>
        <w:t xml:space="preserve"> له</w:t>
      </w:r>
      <w:r w:rsidRPr="00282AC9">
        <w:rPr>
          <w:rFonts w:hint="eastAsia"/>
          <w:sz w:val="24"/>
          <w:szCs w:val="24"/>
          <w:rtl/>
        </w:rPr>
        <w:t>»</w:t>
      </w:r>
      <w:r w:rsidRPr="00282AC9">
        <w:rPr>
          <w:sz w:val="27"/>
          <w:vertAlign w:val="superscript"/>
          <w:rtl/>
        </w:rPr>
        <w:t>(</w:t>
      </w:r>
      <w:r w:rsidRPr="00282AC9">
        <w:rPr>
          <w:rStyle w:val="af9"/>
          <w:sz w:val="27"/>
          <w:rtl/>
        </w:rPr>
        <w:endnoteReference w:id="310"/>
      </w:r>
      <w:r w:rsidRPr="00282AC9">
        <w:rPr>
          <w:sz w:val="27"/>
          <w:vertAlign w:val="superscript"/>
          <w:rtl/>
        </w:rPr>
        <w:t>)</w:t>
      </w:r>
      <w:r w:rsidR="00107A4E" w:rsidRPr="00282AC9">
        <w:rPr>
          <w:rFonts w:hint="cs"/>
          <w:sz w:val="27"/>
          <w:rtl/>
        </w:rPr>
        <w:t>.</w:t>
      </w:r>
    </w:p>
    <w:p w:rsidR="005A1BD7" w:rsidRPr="00282AC9" w:rsidRDefault="005A1BD7" w:rsidP="00EA3CC5">
      <w:pPr>
        <w:spacing w:line="424" w:lineRule="exact"/>
        <w:rPr>
          <w:sz w:val="27"/>
          <w:rtl/>
        </w:rPr>
      </w:pPr>
      <w:r w:rsidRPr="00282AC9">
        <w:rPr>
          <w:rFonts w:hint="cs"/>
          <w:sz w:val="27"/>
          <w:rtl/>
        </w:rPr>
        <w:t>وفي وسائل الشيعة، تحت عنوان</w:t>
      </w:r>
      <w:r w:rsidR="00107A4E" w:rsidRPr="00282AC9">
        <w:rPr>
          <w:rFonts w:hint="cs"/>
          <w:sz w:val="27"/>
          <w:rtl/>
        </w:rPr>
        <w:t>:</w:t>
      </w:r>
      <w:r w:rsidRPr="00282AC9">
        <w:rPr>
          <w:rFonts w:hint="cs"/>
          <w:sz w:val="27"/>
          <w:rtl/>
        </w:rPr>
        <w:t xml:space="preserve"> </w:t>
      </w:r>
      <w:r w:rsidRPr="00282AC9">
        <w:rPr>
          <w:rFonts w:hint="eastAsia"/>
          <w:sz w:val="24"/>
          <w:szCs w:val="24"/>
          <w:rtl/>
        </w:rPr>
        <w:t>«</w:t>
      </w:r>
      <w:r w:rsidRPr="00282AC9">
        <w:rPr>
          <w:rFonts w:hint="cs"/>
          <w:sz w:val="27"/>
          <w:rtl/>
        </w:rPr>
        <w:t>إن م</w:t>
      </w:r>
      <w:r w:rsidR="00107A4E" w:rsidRPr="00282AC9">
        <w:rPr>
          <w:rFonts w:hint="cs"/>
          <w:sz w:val="27"/>
          <w:rtl/>
        </w:rPr>
        <w:t>َ</w:t>
      </w:r>
      <w:r w:rsidRPr="00282AC9">
        <w:rPr>
          <w:rFonts w:hint="cs"/>
          <w:sz w:val="27"/>
          <w:rtl/>
        </w:rPr>
        <w:t>ن</w:t>
      </w:r>
      <w:r w:rsidR="00107A4E" w:rsidRPr="00282AC9">
        <w:rPr>
          <w:rFonts w:hint="cs"/>
          <w:sz w:val="27"/>
          <w:rtl/>
        </w:rPr>
        <w:t>ْ</w:t>
      </w:r>
      <w:r w:rsidRPr="00282AC9">
        <w:rPr>
          <w:rFonts w:hint="cs"/>
          <w:sz w:val="27"/>
          <w:rtl/>
        </w:rPr>
        <w:t xml:space="preserve"> تاب قبل أن ي</w:t>
      </w:r>
      <w:r w:rsidR="00107A4E" w:rsidRPr="00282AC9">
        <w:rPr>
          <w:rFonts w:hint="cs"/>
          <w:sz w:val="27"/>
          <w:rtl/>
        </w:rPr>
        <w:t>ُ</w:t>
      </w:r>
      <w:r w:rsidRPr="00282AC9">
        <w:rPr>
          <w:rFonts w:hint="cs"/>
          <w:sz w:val="27"/>
          <w:rtl/>
        </w:rPr>
        <w:t>ؤخ</w:t>
      </w:r>
      <w:r w:rsidR="00107A4E" w:rsidRPr="00282AC9">
        <w:rPr>
          <w:rFonts w:hint="cs"/>
          <w:sz w:val="27"/>
          <w:rtl/>
        </w:rPr>
        <w:t>َ</w:t>
      </w:r>
      <w:r w:rsidRPr="00282AC9">
        <w:rPr>
          <w:rFonts w:hint="cs"/>
          <w:sz w:val="27"/>
          <w:rtl/>
        </w:rPr>
        <w:t>ذ سقط عنه الحد</w:t>
      </w:r>
      <w:r w:rsidR="00107A4E" w:rsidRPr="00282AC9">
        <w:rPr>
          <w:rFonts w:hint="cs"/>
          <w:sz w:val="27"/>
          <w:rtl/>
        </w:rPr>
        <w:t>ّ</w:t>
      </w:r>
      <w:r w:rsidRPr="00282AC9">
        <w:rPr>
          <w:rFonts w:hint="eastAsia"/>
          <w:sz w:val="24"/>
          <w:szCs w:val="24"/>
          <w:rtl/>
        </w:rPr>
        <w:t>»</w:t>
      </w:r>
      <w:r w:rsidRPr="00282AC9">
        <w:rPr>
          <w:rFonts w:hint="cs"/>
          <w:sz w:val="27"/>
          <w:rtl/>
        </w:rPr>
        <w:t>، روايات</w:t>
      </w:r>
      <w:r w:rsidR="00107A4E" w:rsidRPr="00282AC9">
        <w:rPr>
          <w:rFonts w:hint="cs"/>
          <w:sz w:val="27"/>
          <w:rtl/>
        </w:rPr>
        <w:t>ٌ،</w:t>
      </w:r>
      <w:r w:rsidRPr="00282AC9">
        <w:rPr>
          <w:rFonts w:hint="cs"/>
          <w:sz w:val="27"/>
          <w:rtl/>
        </w:rPr>
        <w:t xml:space="preserve"> منها</w:t>
      </w:r>
      <w:r w:rsidR="00107A4E" w:rsidRPr="00282AC9">
        <w:rPr>
          <w:rFonts w:hint="cs"/>
          <w:sz w:val="27"/>
          <w:rtl/>
        </w:rPr>
        <w:t>:</w:t>
      </w:r>
      <w:r w:rsidRPr="00282AC9">
        <w:rPr>
          <w:rFonts w:hint="cs"/>
          <w:sz w:val="27"/>
          <w:rtl/>
        </w:rPr>
        <w:t xml:space="preserve"> الرواية القائلة: </w:t>
      </w:r>
      <w:r w:rsidRPr="00282AC9">
        <w:rPr>
          <w:rFonts w:hint="eastAsia"/>
          <w:sz w:val="24"/>
          <w:szCs w:val="24"/>
          <w:rtl/>
        </w:rPr>
        <w:t>«</w:t>
      </w:r>
      <w:r w:rsidRPr="00282AC9">
        <w:rPr>
          <w:rFonts w:hint="cs"/>
          <w:sz w:val="27"/>
          <w:rtl/>
        </w:rPr>
        <w:t>عن أحدهما</w:t>
      </w:r>
      <w:r w:rsidR="009A2A04" w:rsidRPr="00282AC9">
        <w:rPr>
          <w:rFonts w:cs="Mosawi" w:hint="cs"/>
          <w:sz w:val="22"/>
          <w:szCs w:val="22"/>
          <w:rtl/>
        </w:rPr>
        <w:t>’</w:t>
      </w:r>
      <w:r w:rsidRPr="00282AC9">
        <w:rPr>
          <w:rFonts w:hint="cs"/>
          <w:sz w:val="27"/>
          <w:rtl/>
        </w:rPr>
        <w:t>: في رجل</w:t>
      </w:r>
      <w:r w:rsidR="00107A4E" w:rsidRPr="00282AC9">
        <w:rPr>
          <w:rFonts w:hint="cs"/>
          <w:sz w:val="27"/>
          <w:rtl/>
        </w:rPr>
        <w:t>ٍ</w:t>
      </w:r>
      <w:r w:rsidRPr="00282AC9">
        <w:rPr>
          <w:rFonts w:hint="cs"/>
          <w:sz w:val="27"/>
          <w:rtl/>
        </w:rPr>
        <w:t xml:space="preserve"> سرق أو شرب الخمر أو زنى</w:t>
      </w:r>
      <w:r w:rsidR="00107A4E" w:rsidRPr="00282AC9">
        <w:rPr>
          <w:rFonts w:hint="cs"/>
          <w:sz w:val="27"/>
          <w:rtl/>
        </w:rPr>
        <w:t xml:space="preserve"> ـ</w:t>
      </w:r>
      <w:r w:rsidRPr="00282AC9">
        <w:rPr>
          <w:rFonts w:hint="cs"/>
          <w:sz w:val="27"/>
          <w:rtl/>
        </w:rPr>
        <w:t xml:space="preserve"> فلم يُع</w:t>
      </w:r>
      <w:r w:rsidR="00107A4E" w:rsidRPr="00282AC9">
        <w:rPr>
          <w:rFonts w:hint="cs"/>
          <w:sz w:val="27"/>
          <w:rtl/>
        </w:rPr>
        <w:t>ْ</w:t>
      </w:r>
      <w:r w:rsidRPr="00282AC9">
        <w:rPr>
          <w:rFonts w:hint="cs"/>
          <w:sz w:val="27"/>
          <w:rtl/>
        </w:rPr>
        <w:t>ل</w:t>
      </w:r>
      <w:r w:rsidR="00107A4E" w:rsidRPr="00282AC9">
        <w:rPr>
          <w:rFonts w:hint="cs"/>
          <w:sz w:val="27"/>
          <w:rtl/>
        </w:rPr>
        <w:t>َ</w:t>
      </w:r>
      <w:r w:rsidRPr="00282AC9">
        <w:rPr>
          <w:rFonts w:hint="cs"/>
          <w:sz w:val="27"/>
          <w:rtl/>
        </w:rPr>
        <w:t>م ذلك منه</w:t>
      </w:r>
      <w:r w:rsidR="00107A4E" w:rsidRPr="00282AC9">
        <w:rPr>
          <w:rFonts w:hint="cs"/>
          <w:sz w:val="27"/>
          <w:rtl/>
        </w:rPr>
        <w:t>،</w:t>
      </w:r>
      <w:r w:rsidRPr="00282AC9">
        <w:rPr>
          <w:rFonts w:hint="cs"/>
          <w:sz w:val="27"/>
          <w:rtl/>
        </w:rPr>
        <w:t xml:space="preserve"> ولم ي</w:t>
      </w:r>
      <w:r w:rsidR="00107A4E" w:rsidRPr="00282AC9">
        <w:rPr>
          <w:rFonts w:hint="cs"/>
          <w:sz w:val="27"/>
          <w:rtl/>
        </w:rPr>
        <w:t>ُ</w:t>
      </w:r>
      <w:r w:rsidRPr="00282AC9">
        <w:rPr>
          <w:rFonts w:hint="cs"/>
          <w:sz w:val="27"/>
          <w:rtl/>
        </w:rPr>
        <w:t>ؤخ</w:t>
      </w:r>
      <w:r w:rsidR="00107A4E" w:rsidRPr="00282AC9">
        <w:rPr>
          <w:rFonts w:hint="cs"/>
          <w:sz w:val="27"/>
          <w:rtl/>
        </w:rPr>
        <w:t>َ</w:t>
      </w:r>
      <w:r w:rsidRPr="00282AC9">
        <w:rPr>
          <w:rFonts w:hint="cs"/>
          <w:sz w:val="27"/>
          <w:rtl/>
        </w:rPr>
        <w:t>ذ</w:t>
      </w:r>
      <w:r w:rsidR="00107A4E" w:rsidRPr="00282AC9">
        <w:rPr>
          <w:rFonts w:hint="cs"/>
          <w:sz w:val="27"/>
          <w:rtl/>
        </w:rPr>
        <w:t>،</w:t>
      </w:r>
      <w:r w:rsidRPr="00282AC9">
        <w:rPr>
          <w:rFonts w:hint="cs"/>
          <w:sz w:val="27"/>
          <w:rtl/>
        </w:rPr>
        <w:t xml:space="preserve"> حت</w:t>
      </w:r>
      <w:r w:rsidR="00107A4E" w:rsidRPr="00282AC9">
        <w:rPr>
          <w:rFonts w:hint="cs"/>
          <w:sz w:val="27"/>
          <w:rtl/>
        </w:rPr>
        <w:t>ّ</w:t>
      </w:r>
      <w:r w:rsidRPr="00282AC9">
        <w:rPr>
          <w:rFonts w:hint="cs"/>
          <w:sz w:val="27"/>
          <w:rtl/>
        </w:rPr>
        <w:t>ى تاب وصلح ـ</w:t>
      </w:r>
      <w:r w:rsidR="00107A4E" w:rsidRPr="00282AC9">
        <w:rPr>
          <w:rFonts w:hint="cs"/>
          <w:sz w:val="27"/>
          <w:rtl/>
        </w:rPr>
        <w:t>،</w:t>
      </w:r>
      <w:r w:rsidRPr="00282AC9">
        <w:rPr>
          <w:rFonts w:hint="cs"/>
          <w:sz w:val="27"/>
          <w:rtl/>
        </w:rPr>
        <w:t xml:space="preserve"> فقال: إذا صلح وعُر</w:t>
      </w:r>
      <w:r w:rsidR="00107A4E" w:rsidRPr="00282AC9">
        <w:rPr>
          <w:rFonts w:hint="cs"/>
          <w:sz w:val="27"/>
          <w:rtl/>
        </w:rPr>
        <w:t>ِ</w:t>
      </w:r>
      <w:r w:rsidRPr="00282AC9">
        <w:rPr>
          <w:rFonts w:hint="cs"/>
          <w:sz w:val="27"/>
          <w:rtl/>
        </w:rPr>
        <w:t>ف</w:t>
      </w:r>
      <w:r w:rsidR="00107A4E" w:rsidRPr="00282AC9">
        <w:rPr>
          <w:rFonts w:hint="cs"/>
          <w:sz w:val="27"/>
          <w:rtl/>
        </w:rPr>
        <w:t>َ</w:t>
      </w:r>
      <w:r w:rsidRPr="00282AC9">
        <w:rPr>
          <w:rFonts w:hint="cs"/>
          <w:sz w:val="27"/>
          <w:rtl/>
        </w:rPr>
        <w:t xml:space="preserve"> منه أمر</w:t>
      </w:r>
      <w:r w:rsidR="00107A4E" w:rsidRPr="00282AC9">
        <w:rPr>
          <w:rFonts w:hint="cs"/>
          <w:sz w:val="27"/>
          <w:rtl/>
        </w:rPr>
        <w:t>ٌ</w:t>
      </w:r>
      <w:r w:rsidRPr="00282AC9">
        <w:rPr>
          <w:rFonts w:hint="cs"/>
          <w:sz w:val="27"/>
          <w:rtl/>
        </w:rPr>
        <w:t xml:space="preserve"> جميل، لم يُق</w:t>
      </w:r>
      <w:r w:rsidR="00107A4E" w:rsidRPr="00282AC9">
        <w:rPr>
          <w:rFonts w:hint="cs"/>
          <w:sz w:val="27"/>
          <w:rtl/>
        </w:rPr>
        <w:t>َ</w:t>
      </w:r>
      <w:r w:rsidRPr="00282AC9">
        <w:rPr>
          <w:rFonts w:hint="cs"/>
          <w:sz w:val="27"/>
          <w:rtl/>
        </w:rPr>
        <w:t>م</w:t>
      </w:r>
      <w:r w:rsidR="00107A4E" w:rsidRPr="00282AC9">
        <w:rPr>
          <w:rFonts w:hint="cs"/>
          <w:sz w:val="27"/>
          <w:rtl/>
        </w:rPr>
        <w:t>ْ</w:t>
      </w:r>
      <w:r w:rsidRPr="00282AC9">
        <w:rPr>
          <w:rFonts w:hint="cs"/>
          <w:sz w:val="27"/>
          <w:rtl/>
        </w:rPr>
        <w:t xml:space="preserve"> عليه الحد</w:t>
      </w:r>
      <w:r w:rsidR="00107A4E"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311"/>
      </w:r>
      <w:r w:rsidRPr="00282AC9">
        <w:rPr>
          <w:sz w:val="27"/>
          <w:vertAlign w:val="superscript"/>
          <w:rtl/>
        </w:rPr>
        <w:t>)</w:t>
      </w:r>
      <w:r w:rsidRPr="00282AC9">
        <w:rPr>
          <w:rFonts w:hint="cs"/>
          <w:sz w:val="27"/>
          <w:rtl/>
        </w:rPr>
        <w:t xml:space="preserve">. وعلى الرغم من ورود هذه الرواية في العناوين الثلاثة (السرقة، والزنا، وشرب الخمر)، </w:t>
      </w:r>
      <w:r w:rsidR="00674EF5" w:rsidRPr="00282AC9">
        <w:rPr>
          <w:rFonts w:hint="cs"/>
          <w:sz w:val="27"/>
          <w:rtl/>
        </w:rPr>
        <w:t>بَيْدَ</w:t>
      </w:r>
      <w:r w:rsidRPr="00282AC9">
        <w:rPr>
          <w:rFonts w:hint="cs"/>
          <w:sz w:val="27"/>
          <w:rtl/>
        </w:rPr>
        <w:t xml:space="preserve"> أن الفقهاء قد استفادوا منها العموم، وقاموا بتسريتها إلى جميع الحدود. قال المحق</w:t>
      </w:r>
      <w:r w:rsidR="00F95DD9" w:rsidRPr="00282AC9">
        <w:rPr>
          <w:rFonts w:hint="cs"/>
          <w:sz w:val="27"/>
          <w:rtl/>
        </w:rPr>
        <w:t>ِّ</w:t>
      </w:r>
      <w:r w:rsidRPr="00282AC9">
        <w:rPr>
          <w:rFonts w:hint="cs"/>
          <w:sz w:val="27"/>
          <w:rtl/>
        </w:rPr>
        <w:t>ق الحل</w:t>
      </w:r>
      <w:r w:rsidR="00F95DD9" w:rsidRPr="00282AC9">
        <w:rPr>
          <w:rFonts w:hint="cs"/>
          <w:sz w:val="27"/>
          <w:rtl/>
        </w:rPr>
        <w:t>ّ</w:t>
      </w:r>
      <w:r w:rsidRPr="00282AC9">
        <w:rPr>
          <w:rFonts w:hint="cs"/>
          <w:sz w:val="27"/>
          <w:rtl/>
        </w:rPr>
        <w:t>ي في شرائع الإسلام: م</w:t>
      </w:r>
      <w:r w:rsidR="00F95DD9" w:rsidRPr="00282AC9">
        <w:rPr>
          <w:rFonts w:hint="cs"/>
          <w:sz w:val="27"/>
          <w:rtl/>
        </w:rPr>
        <w:t>َ</w:t>
      </w:r>
      <w:r w:rsidRPr="00282AC9">
        <w:rPr>
          <w:rFonts w:hint="cs"/>
          <w:sz w:val="27"/>
          <w:rtl/>
        </w:rPr>
        <w:t>ن</w:t>
      </w:r>
      <w:r w:rsidR="00F95DD9" w:rsidRPr="00282AC9">
        <w:rPr>
          <w:rFonts w:hint="cs"/>
          <w:sz w:val="27"/>
          <w:rtl/>
        </w:rPr>
        <w:t>ْ</w:t>
      </w:r>
      <w:r w:rsidRPr="00282AC9">
        <w:rPr>
          <w:rFonts w:hint="cs"/>
          <w:sz w:val="27"/>
          <w:rtl/>
        </w:rPr>
        <w:t xml:space="preserve"> تاب قبل قيام البيّ</w:t>
      </w:r>
      <w:r w:rsidR="00F95DD9" w:rsidRPr="00282AC9">
        <w:rPr>
          <w:rFonts w:hint="cs"/>
          <w:sz w:val="27"/>
          <w:rtl/>
        </w:rPr>
        <w:t>ِ</w:t>
      </w:r>
      <w:r w:rsidRPr="00282AC9">
        <w:rPr>
          <w:rFonts w:hint="cs"/>
          <w:sz w:val="27"/>
          <w:rtl/>
        </w:rPr>
        <w:t>نة عليه سقط عنه الحد</w:t>
      </w:r>
      <w:r w:rsidR="00F95DD9" w:rsidRPr="00282AC9">
        <w:rPr>
          <w:rFonts w:hint="cs"/>
          <w:sz w:val="27"/>
          <w:rtl/>
        </w:rPr>
        <w:t>ّ</w:t>
      </w:r>
      <w:r w:rsidRPr="00282AC9">
        <w:rPr>
          <w:rFonts w:hint="cs"/>
          <w:sz w:val="27"/>
          <w:rtl/>
        </w:rPr>
        <w:t>. وقال صاحب الجواهر</w:t>
      </w:r>
      <w:r w:rsidR="00F95DD9" w:rsidRPr="00282AC9">
        <w:rPr>
          <w:rFonts w:hint="cs"/>
          <w:sz w:val="27"/>
          <w:rtl/>
        </w:rPr>
        <w:t>،</w:t>
      </w:r>
      <w:r w:rsidRPr="00282AC9">
        <w:rPr>
          <w:rFonts w:hint="cs"/>
          <w:sz w:val="27"/>
          <w:rtl/>
        </w:rPr>
        <w:t xml:space="preserve"> تعليقاً على هذا الكلام: لم أرَ مخالفاً في هذه المسألة، بل في كشف اللثام دعوى ات</w:t>
      </w:r>
      <w:r w:rsidR="00F95DD9" w:rsidRPr="00282AC9">
        <w:rPr>
          <w:rFonts w:hint="cs"/>
          <w:sz w:val="27"/>
          <w:rtl/>
        </w:rPr>
        <w:t>ّ</w:t>
      </w:r>
      <w:r w:rsidRPr="00282AC9">
        <w:rPr>
          <w:rFonts w:hint="cs"/>
          <w:sz w:val="27"/>
          <w:rtl/>
        </w:rPr>
        <w:t>فاق جميع الفقهاء عليها</w:t>
      </w:r>
      <w:r w:rsidRPr="00282AC9">
        <w:rPr>
          <w:sz w:val="27"/>
          <w:vertAlign w:val="superscript"/>
          <w:rtl/>
        </w:rPr>
        <w:t>(</w:t>
      </w:r>
      <w:r w:rsidRPr="00282AC9">
        <w:rPr>
          <w:rStyle w:val="af9"/>
          <w:sz w:val="27"/>
          <w:rtl/>
        </w:rPr>
        <w:endnoteReference w:id="312"/>
      </w:r>
      <w:r w:rsidRPr="00282AC9">
        <w:rPr>
          <w:sz w:val="27"/>
          <w:vertAlign w:val="superscript"/>
          <w:rtl/>
        </w:rPr>
        <w:t>)</w:t>
      </w:r>
      <w:r w:rsidRPr="00282AC9">
        <w:rPr>
          <w:rFonts w:hint="cs"/>
          <w:sz w:val="27"/>
          <w:rtl/>
        </w:rPr>
        <w:t>.</w:t>
      </w:r>
    </w:p>
    <w:p w:rsidR="00F95DD9" w:rsidRPr="00282AC9" w:rsidRDefault="005A1BD7" w:rsidP="00EA3CC5">
      <w:pPr>
        <w:spacing w:line="424" w:lineRule="exact"/>
        <w:rPr>
          <w:sz w:val="27"/>
          <w:rtl/>
        </w:rPr>
      </w:pPr>
      <w:r w:rsidRPr="00282AC9">
        <w:rPr>
          <w:rFonts w:hint="cs"/>
          <w:sz w:val="27"/>
          <w:rtl/>
        </w:rPr>
        <w:t>والآن</w:t>
      </w:r>
      <w:r w:rsidR="00F95DD9" w:rsidRPr="00282AC9">
        <w:rPr>
          <w:rFonts w:hint="cs"/>
          <w:sz w:val="27"/>
          <w:rtl/>
        </w:rPr>
        <w:t>،</w:t>
      </w:r>
      <w:r w:rsidRPr="00282AC9">
        <w:rPr>
          <w:rFonts w:hint="cs"/>
          <w:sz w:val="27"/>
          <w:rtl/>
        </w:rPr>
        <w:t xml:space="preserve"> لو تاب المرتد</w:t>
      </w:r>
      <w:r w:rsidR="00F95DD9" w:rsidRPr="00282AC9">
        <w:rPr>
          <w:rFonts w:hint="cs"/>
          <w:sz w:val="27"/>
          <w:rtl/>
        </w:rPr>
        <w:t>ّ</w:t>
      </w:r>
      <w:r w:rsidRPr="00282AC9">
        <w:rPr>
          <w:rFonts w:hint="cs"/>
          <w:sz w:val="27"/>
          <w:rtl/>
        </w:rPr>
        <w:t xml:space="preserve"> هل يجب عليه رفع أمره إلى الحاكم الشرعي</w:t>
      </w:r>
      <w:r w:rsidR="00F95DD9" w:rsidRPr="00282AC9">
        <w:rPr>
          <w:rFonts w:hint="cs"/>
          <w:sz w:val="27"/>
          <w:rtl/>
        </w:rPr>
        <w:t>ّ؛</w:t>
      </w:r>
      <w:r w:rsidRPr="00282AC9">
        <w:rPr>
          <w:rFonts w:hint="cs"/>
          <w:sz w:val="27"/>
          <w:rtl/>
        </w:rPr>
        <w:t xml:space="preserve"> كي يعاقبه</w:t>
      </w:r>
      <w:r w:rsidR="00F95DD9" w:rsidRPr="00282AC9">
        <w:rPr>
          <w:rFonts w:hint="cs"/>
          <w:sz w:val="27"/>
          <w:rtl/>
        </w:rPr>
        <w:t>،</w:t>
      </w:r>
      <w:r w:rsidRPr="00282AC9">
        <w:rPr>
          <w:rFonts w:hint="cs"/>
          <w:sz w:val="27"/>
          <w:rtl/>
        </w:rPr>
        <w:t xml:space="preserve"> أم وظيفته الكتمان</w:t>
      </w:r>
      <w:r w:rsidR="00F95DD9" w:rsidRPr="00282AC9">
        <w:rPr>
          <w:rFonts w:hint="cs"/>
          <w:sz w:val="27"/>
          <w:rtl/>
        </w:rPr>
        <w:t>، كما في سائر الذنوب؟</w:t>
      </w:r>
    </w:p>
    <w:p w:rsidR="005A1BD7" w:rsidRPr="00282AC9" w:rsidRDefault="005A1BD7" w:rsidP="00EA3CC5">
      <w:pPr>
        <w:spacing w:line="424" w:lineRule="exact"/>
        <w:rPr>
          <w:sz w:val="27"/>
          <w:rtl/>
        </w:rPr>
      </w:pPr>
      <w:r w:rsidRPr="00282AC9">
        <w:rPr>
          <w:rFonts w:hint="cs"/>
          <w:sz w:val="27"/>
          <w:rtl/>
        </w:rPr>
        <w:t xml:space="preserve">قال السيد محمد كاظم اليزدي في ذلك: </w:t>
      </w:r>
      <w:r w:rsidRPr="00282AC9">
        <w:rPr>
          <w:rFonts w:hint="eastAsia"/>
          <w:sz w:val="24"/>
          <w:szCs w:val="24"/>
          <w:rtl/>
        </w:rPr>
        <w:t>«</w:t>
      </w:r>
      <w:r w:rsidRPr="00282AC9">
        <w:rPr>
          <w:sz w:val="27"/>
          <w:rtl/>
        </w:rPr>
        <w:t>لا</w:t>
      </w:r>
      <w:r w:rsidR="00F95DD9" w:rsidRPr="00282AC9">
        <w:rPr>
          <w:rFonts w:hint="cs"/>
          <w:sz w:val="27"/>
          <w:rtl/>
        </w:rPr>
        <w:t xml:space="preserve"> </w:t>
      </w:r>
      <w:r w:rsidRPr="00282AC9">
        <w:rPr>
          <w:sz w:val="27"/>
          <w:rtl/>
        </w:rPr>
        <w:t>يجب على المرتد</w:t>
      </w:r>
      <w:r w:rsidR="00F95DD9" w:rsidRPr="00282AC9">
        <w:rPr>
          <w:rFonts w:hint="cs"/>
          <w:sz w:val="27"/>
          <w:rtl/>
        </w:rPr>
        <w:t>ّ</w:t>
      </w:r>
      <w:r w:rsidRPr="00282AC9">
        <w:rPr>
          <w:sz w:val="27"/>
          <w:rtl/>
        </w:rPr>
        <w:t xml:space="preserve"> الفطري</w:t>
      </w:r>
      <w:r w:rsidR="00F95DD9" w:rsidRPr="00282AC9">
        <w:rPr>
          <w:rFonts w:hint="cs"/>
          <w:sz w:val="27"/>
          <w:rtl/>
        </w:rPr>
        <w:t>ّ</w:t>
      </w:r>
      <w:r w:rsidRPr="00282AC9">
        <w:rPr>
          <w:sz w:val="27"/>
          <w:rtl/>
        </w:rPr>
        <w:t xml:space="preserve"> بعد التوبة تعريض نفسه للقتل، بل يجوز له الممانعة</w:t>
      </w:r>
      <w:r w:rsidRPr="00282AC9">
        <w:rPr>
          <w:rFonts w:hint="cs"/>
          <w:sz w:val="27"/>
          <w:rtl/>
        </w:rPr>
        <w:t xml:space="preserve"> </w:t>
      </w:r>
      <w:r w:rsidRPr="00282AC9">
        <w:rPr>
          <w:sz w:val="27"/>
          <w:rtl/>
        </w:rPr>
        <w:t>منه</w:t>
      </w:r>
      <w:r w:rsidRPr="00282AC9">
        <w:rPr>
          <w:rFonts w:hint="eastAsia"/>
          <w:sz w:val="24"/>
          <w:szCs w:val="24"/>
          <w:rtl/>
        </w:rPr>
        <w:t>»</w:t>
      </w:r>
      <w:r w:rsidRPr="00282AC9">
        <w:rPr>
          <w:sz w:val="27"/>
          <w:vertAlign w:val="superscript"/>
          <w:rtl/>
        </w:rPr>
        <w:t>(</w:t>
      </w:r>
      <w:r w:rsidRPr="00282AC9">
        <w:rPr>
          <w:rStyle w:val="af9"/>
          <w:sz w:val="27"/>
          <w:rtl/>
        </w:rPr>
        <w:endnoteReference w:id="313"/>
      </w:r>
      <w:r w:rsidRPr="00282AC9">
        <w:rPr>
          <w:sz w:val="27"/>
          <w:vertAlign w:val="superscript"/>
          <w:rtl/>
        </w:rPr>
        <w:t>)</w:t>
      </w:r>
      <w:r w:rsidRPr="00282AC9">
        <w:rPr>
          <w:rFonts w:hint="cs"/>
          <w:sz w:val="27"/>
          <w:rtl/>
        </w:rPr>
        <w:t>.</w:t>
      </w:r>
    </w:p>
    <w:p w:rsidR="005A1BD7" w:rsidRPr="00282AC9" w:rsidRDefault="000F2108" w:rsidP="000F2108">
      <w:pPr>
        <w:pStyle w:val="31"/>
        <w:rPr>
          <w:color w:val="auto"/>
          <w:rtl/>
        </w:rPr>
      </w:pPr>
      <w:r w:rsidRPr="00282AC9">
        <w:rPr>
          <w:rFonts w:hint="cs"/>
          <w:color w:val="auto"/>
          <w:rtl/>
        </w:rPr>
        <w:lastRenderedPageBreak/>
        <w:t>2ـ الدليل الثانوي ل</w:t>
      </w:r>
      <w:r w:rsidR="005A1BD7" w:rsidRPr="00282AC9">
        <w:rPr>
          <w:rFonts w:hint="cs"/>
          <w:color w:val="auto"/>
          <w:rtl/>
        </w:rPr>
        <w:t>قبول توبة المرتد</w:t>
      </w:r>
      <w:r w:rsidR="00F95DD9" w:rsidRPr="00282AC9">
        <w:rPr>
          <w:rFonts w:hint="cs"/>
          <w:color w:val="auto"/>
          <w:rtl/>
        </w:rPr>
        <w:t>ّ</w:t>
      </w:r>
      <w:r w:rsidR="005A1BD7" w:rsidRPr="00282AC9">
        <w:rPr>
          <w:rFonts w:hint="cs"/>
          <w:color w:val="auto"/>
          <w:rtl/>
        </w:rPr>
        <w:t xml:space="preserve"> الفطري</w:t>
      </w:r>
      <w:r w:rsidRPr="00282AC9">
        <w:rPr>
          <w:rFonts w:hint="cs"/>
          <w:color w:val="auto"/>
          <w:rtl/>
        </w:rPr>
        <w:t>ّ</w:t>
      </w:r>
    </w:p>
    <w:p w:rsidR="009548EE" w:rsidRPr="00282AC9" w:rsidRDefault="005A1BD7" w:rsidP="00E328F0">
      <w:pPr>
        <w:spacing w:line="386" w:lineRule="exact"/>
        <w:rPr>
          <w:sz w:val="27"/>
          <w:rtl/>
        </w:rPr>
      </w:pPr>
      <w:r w:rsidRPr="00282AC9">
        <w:rPr>
          <w:rFonts w:hint="cs"/>
          <w:sz w:val="27"/>
          <w:rtl/>
        </w:rPr>
        <w:t>يجب القول: حت</w:t>
      </w:r>
      <w:r w:rsidR="00F95DD9" w:rsidRPr="00282AC9">
        <w:rPr>
          <w:rFonts w:hint="cs"/>
          <w:sz w:val="27"/>
          <w:rtl/>
        </w:rPr>
        <w:t>ّ</w:t>
      </w:r>
      <w:r w:rsidRPr="00282AC9">
        <w:rPr>
          <w:rFonts w:hint="cs"/>
          <w:sz w:val="27"/>
          <w:rtl/>
        </w:rPr>
        <w:t>ى لو ثبت</w:t>
      </w:r>
      <w:r w:rsidR="00F95DD9" w:rsidRPr="00282AC9">
        <w:rPr>
          <w:rFonts w:hint="cs"/>
          <w:sz w:val="27"/>
          <w:rtl/>
        </w:rPr>
        <w:t>َ</w:t>
      </w:r>
      <w:r w:rsidRPr="00282AC9">
        <w:rPr>
          <w:rFonts w:hint="cs"/>
          <w:sz w:val="27"/>
          <w:rtl/>
        </w:rPr>
        <w:t>ت</w:t>
      </w:r>
      <w:r w:rsidR="00F95DD9" w:rsidRPr="00282AC9">
        <w:rPr>
          <w:rFonts w:hint="cs"/>
          <w:sz w:val="27"/>
          <w:rtl/>
        </w:rPr>
        <w:t>ْ</w:t>
      </w:r>
      <w:r w:rsidRPr="00282AC9">
        <w:rPr>
          <w:rFonts w:hint="cs"/>
          <w:sz w:val="27"/>
          <w:rtl/>
        </w:rPr>
        <w:t xml:space="preserve"> توبة المرتد</w:t>
      </w:r>
      <w:r w:rsidR="00F95DD9" w:rsidRPr="00282AC9">
        <w:rPr>
          <w:rFonts w:hint="cs"/>
          <w:sz w:val="27"/>
          <w:rtl/>
        </w:rPr>
        <w:t>ّ</w:t>
      </w:r>
      <w:r w:rsidRPr="00282AC9">
        <w:rPr>
          <w:rFonts w:hint="cs"/>
          <w:sz w:val="27"/>
          <w:rtl/>
        </w:rPr>
        <w:t xml:space="preserve"> لدى الحاكم فإنه</w:t>
      </w:r>
      <w:r w:rsidR="00F95DD9" w:rsidRPr="00282AC9">
        <w:rPr>
          <w:rFonts w:hint="cs"/>
          <w:sz w:val="27"/>
          <w:rtl/>
        </w:rPr>
        <w:t>؛</w:t>
      </w:r>
      <w:r w:rsidRPr="00282AC9">
        <w:rPr>
          <w:rFonts w:hint="cs"/>
          <w:sz w:val="27"/>
          <w:rtl/>
        </w:rPr>
        <w:t xml:space="preserve"> بالالتفات إلى الأدل</w:t>
      </w:r>
      <w:r w:rsidR="00F95DD9" w:rsidRPr="00282AC9">
        <w:rPr>
          <w:rFonts w:hint="cs"/>
          <w:sz w:val="27"/>
          <w:rtl/>
        </w:rPr>
        <w:t>ّ</w:t>
      </w:r>
      <w:r w:rsidRPr="00282AC9">
        <w:rPr>
          <w:rFonts w:hint="cs"/>
          <w:sz w:val="27"/>
          <w:rtl/>
        </w:rPr>
        <w:t xml:space="preserve">ة التي سبق أن ذكرناها في مقالة </w:t>
      </w:r>
      <w:r w:rsidRPr="00282AC9">
        <w:rPr>
          <w:rFonts w:hint="eastAsia"/>
          <w:sz w:val="24"/>
          <w:szCs w:val="24"/>
          <w:rtl/>
        </w:rPr>
        <w:t>«</w:t>
      </w:r>
      <w:r w:rsidRPr="00282AC9">
        <w:rPr>
          <w:rFonts w:hint="cs"/>
          <w:sz w:val="27"/>
          <w:rtl/>
        </w:rPr>
        <w:t>الارتداد الح</w:t>
      </w:r>
      <w:r w:rsidR="00F95DD9" w:rsidRPr="00282AC9">
        <w:rPr>
          <w:rFonts w:hint="cs"/>
          <w:sz w:val="27"/>
          <w:rtl/>
        </w:rPr>
        <w:t>ُ</w:t>
      </w:r>
      <w:r w:rsidRPr="00282AC9">
        <w:rPr>
          <w:rFonts w:hint="cs"/>
          <w:sz w:val="27"/>
          <w:rtl/>
        </w:rPr>
        <w:t>ك</w:t>
      </w:r>
      <w:r w:rsidR="00F95DD9" w:rsidRPr="00282AC9">
        <w:rPr>
          <w:rFonts w:hint="cs"/>
          <w:sz w:val="27"/>
          <w:rtl/>
        </w:rPr>
        <w:t>ْ</w:t>
      </w:r>
      <w:r w:rsidRPr="00282AC9">
        <w:rPr>
          <w:rFonts w:hint="cs"/>
          <w:sz w:val="27"/>
          <w:rtl/>
        </w:rPr>
        <w:t>مي</w:t>
      </w:r>
      <w:r w:rsidR="00F95DD9" w:rsidRPr="00282AC9">
        <w:rPr>
          <w:rFonts w:hint="cs"/>
          <w:sz w:val="27"/>
          <w:rtl/>
        </w:rPr>
        <w:t>ّ</w:t>
      </w:r>
      <w:r w:rsidRPr="00282AC9">
        <w:rPr>
          <w:rFonts w:hint="cs"/>
          <w:sz w:val="27"/>
          <w:rtl/>
        </w:rPr>
        <w:t xml:space="preserve"> والحكومي</w:t>
      </w:r>
      <w:r w:rsidR="00F95DD9" w:rsidRPr="00282AC9">
        <w:rPr>
          <w:rFonts w:hint="cs"/>
          <w:sz w:val="27"/>
          <w:rtl/>
        </w:rPr>
        <w:t>ّ</w:t>
      </w:r>
      <w:r w:rsidRPr="00282AC9">
        <w:rPr>
          <w:rFonts w:hint="eastAsia"/>
          <w:sz w:val="24"/>
          <w:szCs w:val="24"/>
          <w:rtl/>
        </w:rPr>
        <w:t>»</w:t>
      </w:r>
      <w:r w:rsidRPr="00282AC9">
        <w:rPr>
          <w:rFonts w:hint="cs"/>
          <w:sz w:val="27"/>
          <w:rtl/>
        </w:rPr>
        <w:t>، يمكن للحاكم</w:t>
      </w:r>
      <w:r w:rsidR="00F95DD9" w:rsidRPr="00282AC9">
        <w:rPr>
          <w:rFonts w:hint="cs"/>
          <w:sz w:val="27"/>
          <w:rtl/>
        </w:rPr>
        <w:t>،</w:t>
      </w:r>
      <w:r w:rsidRPr="00282AC9">
        <w:rPr>
          <w:rFonts w:hint="cs"/>
          <w:sz w:val="27"/>
          <w:rtl/>
        </w:rPr>
        <w:t xml:space="preserve"> فيما لو تاب المرتد</w:t>
      </w:r>
      <w:r w:rsidR="00F95DD9" w:rsidRPr="00282AC9">
        <w:rPr>
          <w:rFonts w:hint="cs"/>
          <w:sz w:val="27"/>
          <w:rtl/>
        </w:rPr>
        <w:t>ّ</w:t>
      </w:r>
      <w:r w:rsidRPr="00282AC9">
        <w:rPr>
          <w:rFonts w:hint="cs"/>
          <w:sz w:val="27"/>
          <w:rtl/>
        </w:rPr>
        <w:t>، وإذا كان في ذلك صلاح</w:t>
      </w:r>
      <w:r w:rsidR="009548EE" w:rsidRPr="00282AC9">
        <w:rPr>
          <w:rFonts w:hint="cs"/>
          <w:sz w:val="27"/>
          <w:rtl/>
        </w:rPr>
        <w:t>ٌ</w:t>
      </w:r>
      <w:r w:rsidRPr="00282AC9">
        <w:rPr>
          <w:rFonts w:hint="cs"/>
          <w:sz w:val="27"/>
          <w:rtl/>
        </w:rPr>
        <w:t>، وتوف</w:t>
      </w:r>
      <w:r w:rsidR="009548EE" w:rsidRPr="00282AC9">
        <w:rPr>
          <w:rFonts w:hint="cs"/>
          <w:sz w:val="27"/>
          <w:rtl/>
        </w:rPr>
        <w:t>َّ</w:t>
      </w:r>
      <w:r w:rsidRPr="00282AC9">
        <w:rPr>
          <w:rFonts w:hint="cs"/>
          <w:sz w:val="27"/>
          <w:rtl/>
        </w:rPr>
        <w:t>ر</w:t>
      </w:r>
      <w:r w:rsidR="009548EE" w:rsidRPr="00282AC9">
        <w:rPr>
          <w:rFonts w:hint="cs"/>
          <w:sz w:val="27"/>
          <w:rtl/>
        </w:rPr>
        <w:t>َ</w:t>
      </w:r>
      <w:r w:rsidRPr="00282AC9">
        <w:rPr>
          <w:rFonts w:hint="cs"/>
          <w:sz w:val="27"/>
          <w:rtl/>
        </w:rPr>
        <w:t>ت</w:t>
      </w:r>
      <w:r w:rsidR="009548EE" w:rsidRPr="00282AC9">
        <w:rPr>
          <w:rFonts w:hint="cs"/>
          <w:sz w:val="27"/>
          <w:rtl/>
        </w:rPr>
        <w:t>ْ</w:t>
      </w:r>
      <w:r w:rsidRPr="00282AC9">
        <w:rPr>
          <w:rFonts w:hint="cs"/>
          <w:sz w:val="27"/>
          <w:rtl/>
        </w:rPr>
        <w:t xml:space="preserve"> الشرائط والمقتضيات في المجتمع الإسلامي</w:t>
      </w:r>
      <w:r w:rsidR="009548EE" w:rsidRPr="00282AC9">
        <w:rPr>
          <w:rFonts w:hint="cs"/>
          <w:sz w:val="27"/>
          <w:rtl/>
        </w:rPr>
        <w:t>ّ</w:t>
      </w:r>
      <w:r w:rsidRPr="00282AC9">
        <w:rPr>
          <w:rFonts w:hint="cs"/>
          <w:sz w:val="27"/>
          <w:rtl/>
        </w:rPr>
        <w:t xml:space="preserve"> والمجتمع العالمي</w:t>
      </w:r>
      <w:r w:rsidR="009548EE" w:rsidRPr="00282AC9">
        <w:rPr>
          <w:rFonts w:hint="cs"/>
          <w:sz w:val="27"/>
          <w:rtl/>
        </w:rPr>
        <w:t>ّ،</w:t>
      </w:r>
      <w:r w:rsidRPr="00282AC9">
        <w:rPr>
          <w:rFonts w:hint="cs"/>
          <w:sz w:val="27"/>
          <w:rtl/>
        </w:rPr>
        <w:t xml:space="preserve"> أن يقبل توبته</w:t>
      </w:r>
      <w:r w:rsidR="009548EE" w:rsidRPr="00282AC9">
        <w:rPr>
          <w:rFonts w:hint="cs"/>
          <w:sz w:val="27"/>
          <w:rtl/>
        </w:rPr>
        <w:t>.</w:t>
      </w:r>
    </w:p>
    <w:p w:rsidR="009548EE" w:rsidRPr="00282AC9" w:rsidRDefault="005A1BD7" w:rsidP="00E328F0">
      <w:pPr>
        <w:spacing w:line="386" w:lineRule="exact"/>
        <w:rPr>
          <w:sz w:val="27"/>
          <w:rtl/>
        </w:rPr>
      </w:pPr>
      <w:r w:rsidRPr="00282AC9">
        <w:rPr>
          <w:rFonts w:hint="cs"/>
          <w:sz w:val="27"/>
          <w:rtl/>
        </w:rPr>
        <w:t>ويمكن العثور على دليل ذلك في حفظ النظام الإسلامي</w:t>
      </w:r>
      <w:r w:rsidR="009548EE" w:rsidRPr="00282AC9">
        <w:rPr>
          <w:rFonts w:hint="cs"/>
          <w:sz w:val="27"/>
          <w:rtl/>
        </w:rPr>
        <w:t>ّ</w:t>
      </w:r>
      <w:r w:rsidRPr="00282AC9">
        <w:rPr>
          <w:rFonts w:hint="cs"/>
          <w:sz w:val="27"/>
          <w:rtl/>
        </w:rPr>
        <w:t>؛ فإذا أمكن ضمان مصالح النظام الإسلامي</w:t>
      </w:r>
      <w:r w:rsidR="009548EE" w:rsidRPr="00282AC9">
        <w:rPr>
          <w:rFonts w:hint="cs"/>
          <w:sz w:val="27"/>
          <w:rtl/>
        </w:rPr>
        <w:t>ّ</w:t>
      </w:r>
      <w:r w:rsidRPr="00282AC9">
        <w:rPr>
          <w:rFonts w:hint="cs"/>
          <w:sz w:val="27"/>
          <w:rtl/>
        </w:rPr>
        <w:t xml:space="preserve"> بهذه الطريقة وجب على الحاكم الشرعي</w:t>
      </w:r>
      <w:r w:rsidR="009548EE" w:rsidRPr="00282AC9">
        <w:rPr>
          <w:rFonts w:hint="cs"/>
          <w:sz w:val="27"/>
          <w:rtl/>
        </w:rPr>
        <w:t>ّ</w:t>
      </w:r>
      <w:r w:rsidRPr="00282AC9">
        <w:rPr>
          <w:rFonts w:hint="cs"/>
          <w:sz w:val="27"/>
          <w:rtl/>
        </w:rPr>
        <w:t xml:space="preserve"> أن يراعي هذه المصالح. وعليه</w:t>
      </w:r>
      <w:r w:rsidR="009548EE" w:rsidRPr="00282AC9">
        <w:rPr>
          <w:rFonts w:hint="cs"/>
          <w:sz w:val="27"/>
          <w:rtl/>
        </w:rPr>
        <w:t>،</w:t>
      </w:r>
      <w:r w:rsidRPr="00282AC9">
        <w:rPr>
          <w:rFonts w:hint="cs"/>
          <w:sz w:val="27"/>
          <w:rtl/>
        </w:rPr>
        <w:t xml:space="preserve"> يمكن في مورد رعاية مصالح النظام الإسلامي</w:t>
      </w:r>
      <w:r w:rsidR="009548EE" w:rsidRPr="00282AC9">
        <w:rPr>
          <w:rFonts w:hint="cs"/>
          <w:sz w:val="27"/>
          <w:rtl/>
        </w:rPr>
        <w:t>ّ</w:t>
      </w:r>
      <w:r w:rsidRPr="00282AC9">
        <w:rPr>
          <w:rFonts w:hint="cs"/>
          <w:sz w:val="27"/>
          <w:rtl/>
        </w:rPr>
        <w:t xml:space="preserve"> والمجت</w:t>
      </w:r>
      <w:r w:rsidR="009548EE" w:rsidRPr="00282AC9">
        <w:rPr>
          <w:rFonts w:hint="cs"/>
          <w:sz w:val="27"/>
          <w:rtl/>
        </w:rPr>
        <w:t>م</w:t>
      </w:r>
      <w:r w:rsidRPr="00282AC9">
        <w:rPr>
          <w:rFonts w:hint="cs"/>
          <w:sz w:val="27"/>
          <w:rtl/>
        </w:rPr>
        <w:t>ع إلغاء أحكام المرتد</w:t>
      </w:r>
      <w:r w:rsidR="009548EE" w:rsidRPr="00282AC9">
        <w:rPr>
          <w:rFonts w:hint="cs"/>
          <w:sz w:val="27"/>
          <w:rtl/>
        </w:rPr>
        <w:t>ّ</w:t>
      </w:r>
      <w:r w:rsidRPr="00282AC9">
        <w:rPr>
          <w:rFonts w:hint="cs"/>
          <w:sz w:val="27"/>
          <w:rtl/>
        </w:rPr>
        <w:t>، من قبيل: القتل</w:t>
      </w:r>
      <w:r w:rsidR="009548EE" w:rsidRPr="00282AC9">
        <w:rPr>
          <w:rFonts w:hint="cs"/>
          <w:sz w:val="27"/>
          <w:rtl/>
        </w:rPr>
        <w:t>، وما إلى ذلك.</w:t>
      </w:r>
    </w:p>
    <w:p w:rsidR="005A1BD7" w:rsidRPr="00282AC9" w:rsidRDefault="005A1BD7" w:rsidP="00E328F0">
      <w:pPr>
        <w:spacing w:line="380" w:lineRule="exact"/>
        <w:rPr>
          <w:sz w:val="27"/>
          <w:rtl/>
        </w:rPr>
      </w:pPr>
      <w:r w:rsidRPr="00282AC9">
        <w:rPr>
          <w:rFonts w:hint="cs"/>
          <w:sz w:val="27"/>
          <w:rtl/>
        </w:rPr>
        <w:t>وهناك شواهد على هذه المسألة</w:t>
      </w:r>
      <w:r w:rsidR="009548EE" w:rsidRPr="00282AC9">
        <w:rPr>
          <w:rFonts w:hint="cs"/>
          <w:sz w:val="27"/>
          <w:rtl/>
        </w:rPr>
        <w:t>،</w:t>
      </w:r>
      <w:r w:rsidRPr="00282AC9">
        <w:rPr>
          <w:rFonts w:hint="cs"/>
          <w:sz w:val="27"/>
          <w:rtl/>
        </w:rPr>
        <w:t xml:space="preserve"> من آيات القرآن الكريم والروايات، يمكن لنا بيانها على النحو </w:t>
      </w:r>
      <w:r w:rsidR="009548EE" w:rsidRPr="00282AC9">
        <w:rPr>
          <w:rFonts w:hint="cs"/>
          <w:sz w:val="27"/>
          <w:rtl/>
        </w:rPr>
        <w:t>التالي</w:t>
      </w:r>
      <w:r w:rsidRPr="00282AC9">
        <w:rPr>
          <w:rFonts w:hint="cs"/>
          <w:sz w:val="27"/>
          <w:rtl/>
        </w:rPr>
        <w:t>:</w:t>
      </w:r>
    </w:p>
    <w:p w:rsidR="005A1BD7" w:rsidRPr="00282AC9" w:rsidRDefault="005A1BD7" w:rsidP="00E328F0">
      <w:pPr>
        <w:spacing w:line="386" w:lineRule="exact"/>
        <w:rPr>
          <w:sz w:val="27"/>
          <w:rtl/>
        </w:rPr>
      </w:pPr>
      <w:r w:rsidRPr="00282AC9">
        <w:rPr>
          <w:rFonts w:hint="cs"/>
          <w:sz w:val="27"/>
          <w:rtl/>
        </w:rPr>
        <w:t xml:space="preserve">1ـ </w:t>
      </w:r>
      <w:r w:rsidR="009548EE" w:rsidRPr="00282AC9">
        <w:rPr>
          <w:rFonts w:hint="cs"/>
          <w:sz w:val="27"/>
          <w:rtl/>
        </w:rPr>
        <w:t>قال تعالى</w:t>
      </w:r>
      <w:r w:rsidRPr="00282AC9">
        <w:rPr>
          <w:rFonts w:hint="cs"/>
          <w:sz w:val="27"/>
          <w:rtl/>
        </w:rPr>
        <w:t xml:space="preserve"> بشأن ارتداد عدد</w:t>
      </w:r>
      <w:r w:rsidR="009548EE" w:rsidRPr="00282AC9">
        <w:rPr>
          <w:rFonts w:hint="cs"/>
          <w:sz w:val="27"/>
          <w:rtl/>
        </w:rPr>
        <w:t>ٍ</w:t>
      </w:r>
      <w:r w:rsidRPr="00282AC9">
        <w:rPr>
          <w:rFonts w:hint="cs"/>
          <w:sz w:val="27"/>
          <w:rtl/>
        </w:rPr>
        <w:t xml:space="preserve"> من المسلمين: </w:t>
      </w:r>
      <w:r w:rsidR="00C5291F" w:rsidRPr="00282AC9">
        <w:rPr>
          <w:rFonts w:ascii="Mosawi" w:hAnsi="Mosawi" w:cs="Mosawi"/>
          <w:sz w:val="24"/>
          <w:szCs w:val="24"/>
          <w:rtl/>
        </w:rPr>
        <w:t>﴿</w:t>
      </w:r>
      <w:r w:rsidRPr="00282AC9">
        <w:rPr>
          <w:b/>
          <w:bCs/>
          <w:sz w:val="27"/>
          <w:rtl/>
        </w:rPr>
        <w:t>لا</w:t>
      </w:r>
      <w:r w:rsidRPr="00282AC9">
        <w:rPr>
          <w:rFonts w:hint="cs"/>
          <w:b/>
          <w:bCs/>
          <w:sz w:val="27"/>
          <w:rtl/>
        </w:rPr>
        <w:t>َ</w:t>
      </w:r>
      <w:r w:rsidRPr="00282AC9">
        <w:rPr>
          <w:b/>
          <w:bCs/>
          <w:sz w:val="27"/>
          <w:rtl/>
        </w:rPr>
        <w:t xml:space="preserve"> تَعْتَذِرُوا قَدْ كَفَرْتُمْ بَعْدَ إِيمَانِكُمْ إِنْ نَعْفُ عَنْ طَائِفَةٍ مِنْكُمْ نُعَذِّبْ طَائِفَةً بِأَنَّهُمْ كَانُوا مُجْرِمِينَ</w:t>
      </w:r>
      <w:r w:rsidR="00C5291F" w:rsidRPr="00282AC9">
        <w:rPr>
          <w:rFonts w:ascii="Mosawi" w:hAnsi="Mosawi" w:cs="Mosawi"/>
          <w:sz w:val="24"/>
          <w:szCs w:val="24"/>
          <w:rtl/>
        </w:rPr>
        <w:t>﴾</w:t>
      </w:r>
      <w:r w:rsidRPr="00282AC9">
        <w:rPr>
          <w:rFonts w:hint="cs"/>
          <w:sz w:val="27"/>
          <w:rtl/>
        </w:rPr>
        <w:t xml:space="preserve"> (التوبة: 66).</w:t>
      </w:r>
    </w:p>
    <w:p w:rsidR="005A1BD7" w:rsidRPr="00282AC9" w:rsidRDefault="009548EE" w:rsidP="00E328F0">
      <w:pPr>
        <w:spacing w:line="386" w:lineRule="exact"/>
        <w:rPr>
          <w:sz w:val="27"/>
          <w:rtl/>
        </w:rPr>
      </w:pPr>
      <w:r w:rsidRPr="00282AC9">
        <w:rPr>
          <w:rFonts w:hint="cs"/>
          <w:sz w:val="27"/>
          <w:rtl/>
        </w:rPr>
        <w:t>و</w:t>
      </w:r>
      <w:r w:rsidR="005A1BD7" w:rsidRPr="00282AC9">
        <w:rPr>
          <w:rFonts w:hint="cs"/>
          <w:sz w:val="27"/>
          <w:rtl/>
        </w:rPr>
        <w:t>هناك بشأن هذه الجماعة من الذين ارتد</w:t>
      </w:r>
      <w:r w:rsidRPr="00282AC9">
        <w:rPr>
          <w:rFonts w:hint="cs"/>
          <w:sz w:val="27"/>
          <w:rtl/>
        </w:rPr>
        <w:t>ّ</w:t>
      </w:r>
      <w:r w:rsidR="005A1BD7" w:rsidRPr="00282AC9">
        <w:rPr>
          <w:rFonts w:hint="cs"/>
          <w:sz w:val="27"/>
          <w:rtl/>
        </w:rPr>
        <w:t>وا قولان:</w:t>
      </w:r>
    </w:p>
    <w:p w:rsidR="003D4789" w:rsidRPr="00282AC9" w:rsidRDefault="005A1BD7" w:rsidP="00E328F0">
      <w:pPr>
        <w:spacing w:line="386" w:lineRule="exact"/>
        <w:rPr>
          <w:sz w:val="27"/>
          <w:rtl/>
        </w:rPr>
      </w:pPr>
      <w:r w:rsidRPr="00282AC9">
        <w:rPr>
          <w:rFonts w:hint="cs"/>
          <w:sz w:val="27"/>
          <w:rtl/>
        </w:rPr>
        <w:t>قال بعض</w:t>
      </w:r>
      <w:r w:rsidR="009548EE" w:rsidRPr="00282AC9">
        <w:rPr>
          <w:rFonts w:hint="cs"/>
          <w:sz w:val="27"/>
          <w:rtl/>
        </w:rPr>
        <w:t>ٌ</w:t>
      </w:r>
      <w:r w:rsidRPr="00282AC9">
        <w:rPr>
          <w:rFonts w:hint="cs"/>
          <w:sz w:val="27"/>
          <w:rtl/>
        </w:rPr>
        <w:t>: إن هؤلاء كانوا من المنافقين</w:t>
      </w:r>
      <w:r w:rsidR="009548EE" w:rsidRPr="00282AC9">
        <w:rPr>
          <w:rFonts w:hint="cs"/>
          <w:sz w:val="27"/>
          <w:rtl/>
        </w:rPr>
        <w:t>،</w:t>
      </w:r>
      <w:r w:rsidRPr="00282AC9">
        <w:rPr>
          <w:rFonts w:hint="cs"/>
          <w:sz w:val="27"/>
          <w:rtl/>
        </w:rPr>
        <w:t xml:space="preserve"> وقد خط</w:t>
      </w:r>
      <w:r w:rsidR="009548EE" w:rsidRPr="00282AC9">
        <w:rPr>
          <w:rFonts w:hint="cs"/>
          <w:sz w:val="27"/>
          <w:rtl/>
        </w:rPr>
        <w:t>َّ</w:t>
      </w:r>
      <w:r w:rsidRPr="00282AC9">
        <w:rPr>
          <w:rFonts w:hint="cs"/>
          <w:sz w:val="27"/>
          <w:rtl/>
        </w:rPr>
        <w:t>طوا بعد واقعة تبوك لاغتيال النبي</w:t>
      </w:r>
      <w:r w:rsidR="009548EE" w:rsidRPr="00282AC9">
        <w:rPr>
          <w:rFonts w:hint="cs"/>
          <w:sz w:val="27"/>
          <w:rtl/>
        </w:rPr>
        <w:t>ّ</w:t>
      </w:r>
      <w:r w:rsidRPr="00282AC9">
        <w:rPr>
          <w:rFonts w:hint="cs"/>
          <w:sz w:val="27"/>
          <w:rtl/>
        </w:rPr>
        <w:t xml:space="preserve"> الأكرم في بعض الطريق، أو أنهم كانوا منافقين يسخرون من النبي</w:t>
      </w:r>
      <w:r w:rsidR="009548EE" w:rsidRPr="00282AC9">
        <w:rPr>
          <w:rFonts w:hint="cs"/>
          <w:sz w:val="27"/>
          <w:rtl/>
        </w:rPr>
        <w:t>ّ</w:t>
      </w:r>
      <w:r w:rsidRPr="00282AC9">
        <w:rPr>
          <w:rFonts w:hint="cs"/>
          <w:sz w:val="27"/>
          <w:rtl/>
        </w:rPr>
        <w:t xml:space="preserve"> الأكرم</w:t>
      </w:r>
      <w:r w:rsidR="009A2A04" w:rsidRPr="00282AC9">
        <w:rPr>
          <w:rFonts w:cs="Mosawi" w:hint="cs"/>
          <w:sz w:val="22"/>
          <w:szCs w:val="22"/>
          <w:rtl/>
        </w:rPr>
        <w:t>|</w:t>
      </w:r>
      <w:r w:rsidRPr="00282AC9">
        <w:rPr>
          <w:rFonts w:hint="cs"/>
          <w:sz w:val="27"/>
          <w:rtl/>
        </w:rPr>
        <w:t xml:space="preserve"> في تبوك</w:t>
      </w:r>
      <w:r w:rsidR="009548EE" w:rsidRPr="00282AC9">
        <w:rPr>
          <w:rFonts w:hint="cs"/>
          <w:sz w:val="27"/>
          <w:rtl/>
        </w:rPr>
        <w:t>،</w:t>
      </w:r>
      <w:r w:rsidRPr="00282AC9">
        <w:rPr>
          <w:rFonts w:hint="cs"/>
          <w:sz w:val="27"/>
          <w:rtl/>
        </w:rPr>
        <w:t xml:space="preserve"> أو في طريق العودة منها</w:t>
      </w:r>
      <w:r w:rsidRPr="00282AC9">
        <w:rPr>
          <w:sz w:val="27"/>
          <w:vertAlign w:val="superscript"/>
          <w:rtl/>
        </w:rPr>
        <w:t>(</w:t>
      </w:r>
      <w:r w:rsidRPr="00282AC9">
        <w:rPr>
          <w:rStyle w:val="af9"/>
          <w:sz w:val="27"/>
          <w:rtl/>
        </w:rPr>
        <w:endnoteReference w:id="314"/>
      </w:r>
      <w:r w:rsidRPr="00282AC9">
        <w:rPr>
          <w:sz w:val="27"/>
          <w:vertAlign w:val="superscript"/>
          <w:rtl/>
        </w:rPr>
        <w:t>)</w:t>
      </w:r>
      <w:r w:rsidR="003D4789" w:rsidRPr="00282AC9">
        <w:rPr>
          <w:rFonts w:hint="cs"/>
          <w:sz w:val="27"/>
          <w:rtl/>
        </w:rPr>
        <w:t>.</w:t>
      </w:r>
    </w:p>
    <w:p w:rsidR="003D4789" w:rsidRPr="00282AC9" w:rsidRDefault="005A1BD7" w:rsidP="00E328F0">
      <w:pPr>
        <w:spacing w:line="386" w:lineRule="exact"/>
        <w:rPr>
          <w:sz w:val="27"/>
          <w:rtl/>
        </w:rPr>
      </w:pPr>
      <w:r w:rsidRPr="00282AC9">
        <w:rPr>
          <w:rFonts w:hint="cs"/>
          <w:sz w:val="27"/>
          <w:rtl/>
        </w:rPr>
        <w:t>وإن عبارات</w:t>
      </w:r>
      <w:r w:rsidR="009548EE" w:rsidRPr="00282AC9">
        <w:rPr>
          <w:rFonts w:hint="cs"/>
          <w:sz w:val="27"/>
          <w:rtl/>
        </w:rPr>
        <w:t>ٍ،</w:t>
      </w:r>
      <w:r w:rsidRPr="00282AC9">
        <w:rPr>
          <w:rFonts w:hint="cs"/>
          <w:sz w:val="27"/>
          <w:rtl/>
        </w:rPr>
        <w:t xml:space="preserve"> من قبيل: </w:t>
      </w:r>
      <w:r w:rsidRPr="00282AC9">
        <w:rPr>
          <w:rFonts w:hint="eastAsia"/>
          <w:sz w:val="24"/>
          <w:szCs w:val="24"/>
          <w:rtl/>
        </w:rPr>
        <w:t>«</w:t>
      </w:r>
      <w:r w:rsidRPr="00282AC9">
        <w:rPr>
          <w:rFonts w:hint="cs"/>
          <w:sz w:val="27"/>
          <w:rtl/>
        </w:rPr>
        <w:t>كفرت</w:t>
      </w:r>
      <w:r w:rsidR="009548EE" w:rsidRPr="00282AC9">
        <w:rPr>
          <w:rFonts w:hint="cs"/>
          <w:sz w:val="27"/>
          <w:rtl/>
        </w:rPr>
        <w:t>ُ</w:t>
      </w:r>
      <w:r w:rsidRPr="00282AC9">
        <w:rPr>
          <w:rFonts w:hint="cs"/>
          <w:sz w:val="27"/>
          <w:rtl/>
        </w:rPr>
        <w:t>م</w:t>
      </w:r>
      <w:r w:rsidR="009548EE" w:rsidRPr="00282AC9">
        <w:rPr>
          <w:rFonts w:hint="cs"/>
          <w:sz w:val="27"/>
          <w:rtl/>
        </w:rPr>
        <w:t>ْ</w:t>
      </w:r>
      <w:r w:rsidRPr="00282AC9">
        <w:rPr>
          <w:rFonts w:hint="cs"/>
          <w:sz w:val="27"/>
          <w:rtl/>
        </w:rPr>
        <w:t xml:space="preserve"> بعد إيمانكم</w:t>
      </w:r>
      <w:r w:rsidRPr="00282AC9">
        <w:rPr>
          <w:rFonts w:hint="eastAsia"/>
          <w:sz w:val="24"/>
          <w:szCs w:val="24"/>
          <w:rtl/>
        </w:rPr>
        <w:t>»</w:t>
      </w:r>
      <w:r w:rsidRPr="00282AC9">
        <w:rPr>
          <w:rFonts w:hint="cs"/>
          <w:sz w:val="27"/>
          <w:rtl/>
        </w:rPr>
        <w:t>، و</w:t>
      </w:r>
      <w:r w:rsidRPr="00282AC9">
        <w:rPr>
          <w:rFonts w:hint="eastAsia"/>
          <w:sz w:val="24"/>
          <w:szCs w:val="24"/>
          <w:rtl/>
        </w:rPr>
        <w:t>«</w:t>
      </w:r>
      <w:r w:rsidRPr="00282AC9">
        <w:rPr>
          <w:rFonts w:hint="cs"/>
          <w:sz w:val="27"/>
          <w:rtl/>
        </w:rPr>
        <w:t>لقد قالوا كلمة الكفر</w:t>
      </w:r>
      <w:r w:rsidRPr="00282AC9">
        <w:rPr>
          <w:rFonts w:hint="eastAsia"/>
          <w:sz w:val="24"/>
          <w:szCs w:val="24"/>
          <w:rtl/>
        </w:rPr>
        <w:t>»</w:t>
      </w:r>
      <w:r w:rsidRPr="00282AC9">
        <w:rPr>
          <w:rFonts w:hint="cs"/>
          <w:sz w:val="27"/>
          <w:rtl/>
        </w:rPr>
        <w:t>، و</w:t>
      </w:r>
      <w:r w:rsidRPr="00282AC9">
        <w:rPr>
          <w:rFonts w:hint="eastAsia"/>
          <w:sz w:val="24"/>
          <w:szCs w:val="24"/>
          <w:rtl/>
        </w:rPr>
        <w:t>«</w:t>
      </w:r>
      <w:r w:rsidRPr="00282AC9">
        <w:rPr>
          <w:rFonts w:hint="cs"/>
          <w:sz w:val="27"/>
          <w:rtl/>
        </w:rPr>
        <w:t>كفروا بعد إسلامهم</w:t>
      </w:r>
      <w:r w:rsidRPr="00282AC9">
        <w:rPr>
          <w:rFonts w:hint="eastAsia"/>
          <w:sz w:val="24"/>
          <w:szCs w:val="24"/>
          <w:rtl/>
        </w:rPr>
        <w:t>»</w:t>
      </w:r>
      <w:r w:rsidR="009548EE" w:rsidRPr="00282AC9">
        <w:rPr>
          <w:rFonts w:hint="cs"/>
          <w:sz w:val="27"/>
          <w:rtl/>
        </w:rPr>
        <w:t>،</w:t>
      </w:r>
      <w:r w:rsidRPr="00282AC9">
        <w:rPr>
          <w:rFonts w:hint="cs"/>
          <w:sz w:val="27"/>
          <w:rtl/>
        </w:rPr>
        <w:t xml:space="preserve"> في الآية </w:t>
      </w:r>
      <w:r w:rsidR="009548EE" w:rsidRPr="00282AC9">
        <w:rPr>
          <w:rFonts w:hint="cs"/>
          <w:sz w:val="27"/>
          <w:rtl/>
        </w:rPr>
        <w:t>74</w:t>
      </w:r>
      <w:r w:rsidRPr="00282AC9">
        <w:rPr>
          <w:rFonts w:hint="cs"/>
          <w:sz w:val="27"/>
          <w:rtl/>
        </w:rPr>
        <w:t xml:space="preserve"> من هذه السورة، تدلّ على كفرهم وارتدادهم عن الإسلام</w:t>
      </w:r>
      <w:r w:rsidR="009548EE" w:rsidRPr="00282AC9">
        <w:rPr>
          <w:rFonts w:hint="cs"/>
          <w:sz w:val="27"/>
          <w:rtl/>
        </w:rPr>
        <w:t>.</w:t>
      </w:r>
    </w:p>
    <w:p w:rsidR="009548EE" w:rsidRPr="00282AC9" w:rsidRDefault="005A1BD7" w:rsidP="00E328F0">
      <w:pPr>
        <w:spacing w:line="386" w:lineRule="exact"/>
        <w:rPr>
          <w:sz w:val="27"/>
          <w:rtl/>
        </w:rPr>
      </w:pPr>
      <w:r w:rsidRPr="00282AC9">
        <w:rPr>
          <w:rFonts w:hint="cs"/>
          <w:sz w:val="27"/>
          <w:rtl/>
        </w:rPr>
        <w:t>ومع ذلك تم</w:t>
      </w:r>
      <w:r w:rsidR="009548EE" w:rsidRPr="00282AC9">
        <w:rPr>
          <w:rFonts w:hint="cs"/>
          <w:sz w:val="27"/>
          <w:rtl/>
        </w:rPr>
        <w:t>ّ</w:t>
      </w:r>
      <w:r w:rsidRPr="00282AC9">
        <w:rPr>
          <w:rFonts w:hint="cs"/>
          <w:sz w:val="27"/>
          <w:rtl/>
        </w:rPr>
        <w:t xml:space="preserve"> الحكم على بعضهم بالعقوبة</w:t>
      </w:r>
      <w:r w:rsidR="009548EE" w:rsidRPr="00282AC9">
        <w:rPr>
          <w:rFonts w:hint="cs"/>
          <w:sz w:val="27"/>
          <w:rtl/>
        </w:rPr>
        <w:t>؛</w:t>
      </w:r>
      <w:r w:rsidRPr="00282AC9">
        <w:rPr>
          <w:rFonts w:hint="cs"/>
          <w:sz w:val="27"/>
          <w:rtl/>
        </w:rPr>
        <w:t xml:space="preserve"> وعلى بعضهم ب</w:t>
      </w:r>
      <w:r w:rsidR="009548EE" w:rsidRPr="00282AC9">
        <w:rPr>
          <w:rFonts w:hint="cs"/>
          <w:sz w:val="27"/>
          <w:rtl/>
        </w:rPr>
        <w:t>العفو.</w:t>
      </w:r>
    </w:p>
    <w:p w:rsidR="003D4789" w:rsidRPr="00282AC9" w:rsidRDefault="005A1BD7" w:rsidP="00E328F0">
      <w:pPr>
        <w:spacing w:line="386" w:lineRule="exact"/>
        <w:rPr>
          <w:sz w:val="27"/>
          <w:rtl/>
        </w:rPr>
      </w:pPr>
      <w:r w:rsidRPr="00282AC9">
        <w:rPr>
          <w:rFonts w:hint="cs"/>
          <w:sz w:val="27"/>
          <w:rtl/>
        </w:rPr>
        <w:t>قال العلا</w:t>
      </w:r>
      <w:r w:rsidR="009548EE" w:rsidRPr="00282AC9">
        <w:rPr>
          <w:rFonts w:hint="cs"/>
          <w:sz w:val="27"/>
          <w:rtl/>
        </w:rPr>
        <w:t>ّ</w:t>
      </w:r>
      <w:r w:rsidRPr="00282AC9">
        <w:rPr>
          <w:rFonts w:hint="cs"/>
          <w:sz w:val="27"/>
          <w:rtl/>
        </w:rPr>
        <w:t xml:space="preserve">مة الطباطبائي في تفسير هذه الآية: </w:t>
      </w:r>
      <w:r w:rsidRPr="00282AC9">
        <w:rPr>
          <w:rFonts w:hint="eastAsia"/>
          <w:sz w:val="24"/>
          <w:szCs w:val="24"/>
          <w:rtl/>
        </w:rPr>
        <w:t>«</w:t>
      </w:r>
      <w:r w:rsidRPr="00282AC9">
        <w:rPr>
          <w:rFonts w:hint="cs"/>
          <w:sz w:val="27"/>
          <w:rtl/>
        </w:rPr>
        <w:t>إ</w:t>
      </w:r>
      <w:r w:rsidRPr="00282AC9">
        <w:rPr>
          <w:sz w:val="27"/>
          <w:rtl/>
        </w:rPr>
        <w:t>ن المراد بالعفو هو ترك العذاب</w:t>
      </w:r>
      <w:r w:rsidR="003D4789" w:rsidRPr="00282AC9">
        <w:rPr>
          <w:rFonts w:hint="cs"/>
          <w:sz w:val="27"/>
          <w:rtl/>
        </w:rPr>
        <w:t>؛</w:t>
      </w:r>
      <w:r w:rsidRPr="00282AC9">
        <w:rPr>
          <w:sz w:val="27"/>
          <w:rtl/>
        </w:rPr>
        <w:t xml:space="preserve"> لمصلحة</w:t>
      </w:r>
      <w:r w:rsidR="003D4789" w:rsidRPr="00282AC9">
        <w:rPr>
          <w:rFonts w:hint="cs"/>
          <w:sz w:val="27"/>
          <w:rtl/>
        </w:rPr>
        <w:t>ٍ</w:t>
      </w:r>
      <w:r w:rsidRPr="00282AC9">
        <w:rPr>
          <w:sz w:val="27"/>
          <w:rtl/>
        </w:rPr>
        <w:t xml:space="preserve"> من مصالح الد</w:t>
      </w:r>
      <w:r w:rsidR="003D4789" w:rsidRPr="00282AC9">
        <w:rPr>
          <w:rFonts w:hint="cs"/>
          <w:sz w:val="27"/>
          <w:rtl/>
        </w:rPr>
        <w:t>ِّ</w:t>
      </w:r>
      <w:r w:rsidRPr="00282AC9">
        <w:rPr>
          <w:sz w:val="27"/>
          <w:rtl/>
        </w:rPr>
        <w:t>ين</w:t>
      </w:r>
      <w:r w:rsidR="003D4789" w:rsidRPr="00282AC9">
        <w:rPr>
          <w:rFonts w:hint="cs"/>
          <w:sz w:val="27"/>
          <w:rtl/>
        </w:rPr>
        <w:t>،</w:t>
      </w:r>
      <w:r w:rsidRPr="00282AC9">
        <w:rPr>
          <w:sz w:val="27"/>
          <w:rtl/>
        </w:rPr>
        <w:t xml:space="preserve"> دون العفو بمعنى المغفرة</w:t>
      </w:r>
      <w:r w:rsidR="003D4789" w:rsidRPr="00282AC9">
        <w:rPr>
          <w:rFonts w:hint="cs"/>
          <w:sz w:val="27"/>
          <w:rtl/>
        </w:rPr>
        <w:t>،</w:t>
      </w:r>
      <w:r w:rsidRPr="00282AC9">
        <w:rPr>
          <w:sz w:val="27"/>
          <w:rtl/>
        </w:rPr>
        <w:t xml:space="preserve"> المستندة إلى التوبة</w:t>
      </w:r>
      <w:r w:rsidRPr="00282AC9">
        <w:rPr>
          <w:rFonts w:hint="cs"/>
          <w:sz w:val="27"/>
          <w:rtl/>
        </w:rPr>
        <w:t>؛</w:t>
      </w:r>
      <w:r w:rsidRPr="00282AC9">
        <w:rPr>
          <w:sz w:val="27"/>
          <w:rtl/>
        </w:rPr>
        <w:t xml:space="preserve"> إذ لا وجه</w:t>
      </w:r>
      <w:r w:rsidRPr="00282AC9">
        <w:rPr>
          <w:rFonts w:hint="cs"/>
          <w:sz w:val="27"/>
          <w:rtl/>
        </w:rPr>
        <w:t xml:space="preserve"> ـ</w:t>
      </w:r>
      <w:r w:rsidRPr="00282AC9">
        <w:rPr>
          <w:sz w:val="27"/>
          <w:rtl/>
        </w:rPr>
        <w:t xml:space="preserve"> ظاهرا</w:t>
      </w:r>
      <w:r w:rsidRPr="00282AC9">
        <w:rPr>
          <w:rFonts w:hint="cs"/>
          <w:sz w:val="27"/>
          <w:rtl/>
        </w:rPr>
        <w:t>ً ـ</w:t>
      </w:r>
      <w:r w:rsidRPr="00282AC9">
        <w:rPr>
          <w:sz w:val="27"/>
          <w:rtl/>
        </w:rPr>
        <w:t xml:space="preserve"> لمثل قولنا: </w:t>
      </w:r>
      <w:r w:rsidR="003D4789" w:rsidRPr="00282AC9">
        <w:rPr>
          <w:rFonts w:hint="eastAsia"/>
          <w:sz w:val="24"/>
          <w:szCs w:val="24"/>
          <w:rtl/>
        </w:rPr>
        <w:t>«</w:t>
      </w:r>
      <w:r w:rsidRPr="00282AC9">
        <w:rPr>
          <w:sz w:val="27"/>
          <w:rtl/>
        </w:rPr>
        <w:t>إن</w:t>
      </w:r>
      <w:r w:rsidR="003D4789" w:rsidRPr="00282AC9">
        <w:rPr>
          <w:rFonts w:hint="cs"/>
          <w:sz w:val="27"/>
          <w:rtl/>
        </w:rPr>
        <w:t>ْ</w:t>
      </w:r>
      <w:r w:rsidRPr="00282AC9">
        <w:rPr>
          <w:sz w:val="27"/>
          <w:rtl/>
        </w:rPr>
        <w:t xml:space="preserve"> غفرنا لطائفة</w:t>
      </w:r>
      <w:r w:rsidR="003D4789" w:rsidRPr="00282AC9">
        <w:rPr>
          <w:rFonts w:hint="cs"/>
          <w:sz w:val="27"/>
          <w:rtl/>
        </w:rPr>
        <w:t>ٍ</w:t>
      </w:r>
      <w:r w:rsidRPr="00282AC9">
        <w:rPr>
          <w:sz w:val="27"/>
          <w:rtl/>
        </w:rPr>
        <w:t xml:space="preserve"> منكم</w:t>
      </w:r>
      <w:r w:rsidR="003D4789" w:rsidRPr="00282AC9">
        <w:rPr>
          <w:rFonts w:hint="cs"/>
          <w:sz w:val="27"/>
          <w:rtl/>
        </w:rPr>
        <w:t>؛</w:t>
      </w:r>
      <w:r w:rsidRPr="00282AC9">
        <w:rPr>
          <w:sz w:val="27"/>
          <w:rtl/>
        </w:rPr>
        <w:t xml:space="preserve"> لتوبتهم</w:t>
      </w:r>
      <w:r w:rsidR="003D4789" w:rsidRPr="00282AC9">
        <w:rPr>
          <w:rFonts w:hint="cs"/>
          <w:sz w:val="27"/>
          <w:rtl/>
        </w:rPr>
        <w:t>،</w:t>
      </w:r>
      <w:r w:rsidRPr="00282AC9">
        <w:rPr>
          <w:sz w:val="27"/>
          <w:rtl/>
        </w:rPr>
        <w:t xml:space="preserve"> نعذ</w:t>
      </w:r>
      <w:r w:rsidR="003D4789" w:rsidRPr="00282AC9">
        <w:rPr>
          <w:rFonts w:hint="cs"/>
          <w:sz w:val="27"/>
          <w:rtl/>
        </w:rPr>
        <w:t>ِّ</w:t>
      </w:r>
      <w:r w:rsidRPr="00282AC9">
        <w:rPr>
          <w:sz w:val="27"/>
          <w:rtl/>
        </w:rPr>
        <w:t>ب طائفة</w:t>
      </w:r>
      <w:r w:rsidR="003D4789" w:rsidRPr="00282AC9">
        <w:rPr>
          <w:rFonts w:hint="cs"/>
          <w:sz w:val="27"/>
          <w:rtl/>
        </w:rPr>
        <w:t>ً؛</w:t>
      </w:r>
      <w:r w:rsidRPr="00282AC9">
        <w:rPr>
          <w:sz w:val="27"/>
          <w:rtl/>
        </w:rPr>
        <w:t xml:space="preserve"> لجرمهم</w:t>
      </w:r>
      <w:r w:rsidR="003D4789" w:rsidRPr="00282AC9">
        <w:rPr>
          <w:rFonts w:hint="eastAsia"/>
          <w:sz w:val="24"/>
          <w:szCs w:val="24"/>
          <w:rtl/>
        </w:rPr>
        <w:t>»</w:t>
      </w:r>
      <w:r w:rsidRPr="00282AC9">
        <w:rPr>
          <w:rFonts w:hint="cs"/>
          <w:sz w:val="27"/>
          <w:rtl/>
        </w:rPr>
        <w:t>،</w:t>
      </w:r>
      <w:r w:rsidRPr="00282AC9">
        <w:rPr>
          <w:sz w:val="27"/>
          <w:rtl/>
        </w:rPr>
        <w:t xml:space="preserve"> مع أنهم</w:t>
      </w:r>
      <w:r w:rsidRPr="00282AC9">
        <w:rPr>
          <w:rFonts w:hint="cs"/>
          <w:sz w:val="27"/>
          <w:rtl/>
        </w:rPr>
        <w:t xml:space="preserve"> [المنافقون]</w:t>
      </w:r>
      <w:r w:rsidRPr="00282AC9">
        <w:rPr>
          <w:sz w:val="27"/>
          <w:rtl/>
        </w:rPr>
        <w:t xml:space="preserve"> لو تابوا جميعا</w:t>
      </w:r>
      <w:r w:rsidRPr="00282AC9">
        <w:rPr>
          <w:rFonts w:hint="cs"/>
          <w:sz w:val="27"/>
          <w:rtl/>
        </w:rPr>
        <w:t>ً</w:t>
      </w:r>
      <w:r w:rsidRPr="00282AC9">
        <w:rPr>
          <w:sz w:val="27"/>
          <w:rtl/>
        </w:rPr>
        <w:t xml:space="preserve"> لم يعذ</w:t>
      </w:r>
      <w:r w:rsidR="003D4789" w:rsidRPr="00282AC9">
        <w:rPr>
          <w:rFonts w:hint="cs"/>
          <w:sz w:val="27"/>
          <w:rtl/>
        </w:rPr>
        <w:t>َّ</w:t>
      </w:r>
      <w:r w:rsidRPr="00282AC9">
        <w:rPr>
          <w:sz w:val="27"/>
          <w:rtl/>
        </w:rPr>
        <w:t>بوا قطعا</w:t>
      </w:r>
      <w:r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315"/>
      </w:r>
      <w:r w:rsidRPr="00282AC9">
        <w:rPr>
          <w:sz w:val="27"/>
          <w:vertAlign w:val="superscript"/>
          <w:rtl/>
        </w:rPr>
        <w:t>)</w:t>
      </w:r>
      <w:r w:rsidR="003D4789" w:rsidRPr="00282AC9">
        <w:rPr>
          <w:rFonts w:hint="cs"/>
          <w:sz w:val="27"/>
          <w:rtl/>
        </w:rPr>
        <w:t>.</w:t>
      </w:r>
    </w:p>
    <w:p w:rsidR="005A1BD7" w:rsidRPr="00282AC9" w:rsidRDefault="005A1BD7" w:rsidP="00E328F0">
      <w:pPr>
        <w:spacing w:line="386" w:lineRule="exact"/>
        <w:rPr>
          <w:sz w:val="27"/>
          <w:rtl/>
        </w:rPr>
      </w:pPr>
      <w:r w:rsidRPr="00282AC9">
        <w:rPr>
          <w:rFonts w:hint="cs"/>
          <w:sz w:val="27"/>
          <w:rtl/>
        </w:rPr>
        <w:t>وبعد نزول هذه الآية قال رسول الله</w:t>
      </w:r>
      <w:r w:rsidR="009A2A04" w:rsidRPr="00282AC9">
        <w:rPr>
          <w:rFonts w:cs="Mosawi" w:hint="cs"/>
          <w:sz w:val="22"/>
          <w:szCs w:val="22"/>
          <w:rtl/>
        </w:rPr>
        <w:t>|</w:t>
      </w:r>
      <w:r w:rsidRPr="00282AC9">
        <w:rPr>
          <w:rFonts w:hint="cs"/>
          <w:sz w:val="27"/>
          <w:rtl/>
        </w:rPr>
        <w:t xml:space="preserve">: </w:t>
      </w:r>
      <w:r w:rsidRPr="00282AC9">
        <w:rPr>
          <w:rFonts w:hint="eastAsia"/>
          <w:sz w:val="24"/>
          <w:szCs w:val="24"/>
          <w:rtl/>
        </w:rPr>
        <w:t>«</w:t>
      </w:r>
      <w:r w:rsidR="003D4789" w:rsidRPr="00282AC9">
        <w:rPr>
          <w:rFonts w:hint="cs"/>
          <w:sz w:val="27"/>
          <w:rtl/>
        </w:rPr>
        <w:t>لو</w:t>
      </w:r>
      <w:r w:rsidRPr="00282AC9">
        <w:rPr>
          <w:rFonts w:hint="cs"/>
          <w:sz w:val="27"/>
          <w:rtl/>
        </w:rPr>
        <w:t>لا أن</w:t>
      </w:r>
      <w:r w:rsidR="003D4789" w:rsidRPr="00282AC9">
        <w:rPr>
          <w:rFonts w:hint="cs"/>
          <w:sz w:val="27"/>
          <w:rtl/>
        </w:rPr>
        <w:t>ّ</w:t>
      </w:r>
      <w:r w:rsidRPr="00282AC9">
        <w:rPr>
          <w:rFonts w:hint="cs"/>
          <w:sz w:val="27"/>
          <w:rtl/>
        </w:rPr>
        <w:t xml:space="preserve">ي أكره أن يُقال: </w:t>
      </w:r>
      <w:r w:rsidR="003D4789" w:rsidRPr="00282AC9">
        <w:rPr>
          <w:rFonts w:hint="eastAsia"/>
          <w:sz w:val="24"/>
          <w:szCs w:val="24"/>
          <w:rtl/>
        </w:rPr>
        <w:t>«</w:t>
      </w:r>
      <w:r w:rsidRPr="00282AC9">
        <w:rPr>
          <w:rFonts w:hint="cs"/>
          <w:sz w:val="27"/>
          <w:rtl/>
        </w:rPr>
        <w:t>إن محمداً استعان بقوم</w:t>
      </w:r>
      <w:r w:rsidR="003D4789" w:rsidRPr="00282AC9">
        <w:rPr>
          <w:rFonts w:hint="cs"/>
          <w:sz w:val="27"/>
          <w:rtl/>
        </w:rPr>
        <w:t xml:space="preserve">ٍ، </w:t>
      </w:r>
      <w:r w:rsidRPr="00282AC9">
        <w:rPr>
          <w:rFonts w:hint="cs"/>
          <w:sz w:val="27"/>
          <w:rtl/>
        </w:rPr>
        <w:t>حت</w:t>
      </w:r>
      <w:r w:rsidR="003D4789" w:rsidRPr="00282AC9">
        <w:rPr>
          <w:rFonts w:hint="cs"/>
          <w:sz w:val="27"/>
          <w:rtl/>
        </w:rPr>
        <w:t>ّ</w:t>
      </w:r>
      <w:r w:rsidRPr="00282AC9">
        <w:rPr>
          <w:rFonts w:hint="cs"/>
          <w:sz w:val="27"/>
          <w:rtl/>
        </w:rPr>
        <w:t>ى إذا ظفر بعدوّ</w:t>
      </w:r>
      <w:r w:rsidR="003D4789" w:rsidRPr="00282AC9">
        <w:rPr>
          <w:rFonts w:hint="cs"/>
          <w:sz w:val="27"/>
          <w:rtl/>
        </w:rPr>
        <w:t>ِ</w:t>
      </w:r>
      <w:r w:rsidRPr="00282AC9">
        <w:rPr>
          <w:rFonts w:hint="cs"/>
          <w:sz w:val="27"/>
          <w:rtl/>
        </w:rPr>
        <w:t>ه قتلهم</w:t>
      </w:r>
      <w:r w:rsidR="003D4789" w:rsidRPr="00282AC9">
        <w:rPr>
          <w:rFonts w:hint="eastAsia"/>
          <w:sz w:val="24"/>
          <w:szCs w:val="24"/>
          <w:rtl/>
        </w:rPr>
        <w:t>»</w:t>
      </w:r>
      <w:r w:rsidRPr="00282AC9">
        <w:rPr>
          <w:rFonts w:hint="cs"/>
          <w:sz w:val="27"/>
          <w:rtl/>
        </w:rPr>
        <w:t xml:space="preserve"> لضربت أعناقهم</w:t>
      </w:r>
      <w:r w:rsidRPr="00282AC9">
        <w:rPr>
          <w:rFonts w:hint="eastAsia"/>
          <w:sz w:val="24"/>
          <w:szCs w:val="24"/>
          <w:rtl/>
        </w:rPr>
        <w:t>»</w:t>
      </w:r>
      <w:r w:rsidRPr="00282AC9">
        <w:rPr>
          <w:sz w:val="27"/>
          <w:vertAlign w:val="superscript"/>
          <w:rtl/>
        </w:rPr>
        <w:t>(</w:t>
      </w:r>
      <w:r w:rsidRPr="00282AC9">
        <w:rPr>
          <w:rStyle w:val="af9"/>
          <w:sz w:val="27"/>
          <w:rtl/>
        </w:rPr>
        <w:endnoteReference w:id="316"/>
      </w:r>
      <w:r w:rsidRPr="00282AC9">
        <w:rPr>
          <w:sz w:val="27"/>
          <w:vertAlign w:val="superscript"/>
          <w:rtl/>
        </w:rPr>
        <w:t>)</w:t>
      </w:r>
      <w:r w:rsidRPr="00282AC9">
        <w:rPr>
          <w:rFonts w:hint="cs"/>
          <w:sz w:val="27"/>
          <w:rtl/>
        </w:rPr>
        <w:t xml:space="preserve">. إن هذا الكلام من </w:t>
      </w:r>
      <w:r w:rsidRPr="00282AC9">
        <w:rPr>
          <w:rFonts w:hint="cs"/>
          <w:sz w:val="27"/>
          <w:rtl/>
        </w:rPr>
        <w:lastRenderedPageBreak/>
        <w:t>النبي</w:t>
      </w:r>
      <w:r w:rsidR="003D4789" w:rsidRPr="00282AC9">
        <w:rPr>
          <w:rFonts w:hint="cs"/>
          <w:sz w:val="27"/>
          <w:rtl/>
        </w:rPr>
        <w:t>ّ</w:t>
      </w:r>
      <w:r w:rsidRPr="00282AC9">
        <w:rPr>
          <w:rFonts w:hint="cs"/>
          <w:sz w:val="27"/>
          <w:rtl/>
        </w:rPr>
        <w:t xml:space="preserve"> الأكرم</w:t>
      </w:r>
      <w:r w:rsidR="009A2A04" w:rsidRPr="00282AC9">
        <w:rPr>
          <w:rFonts w:cs="Mosawi" w:hint="cs"/>
          <w:sz w:val="22"/>
          <w:szCs w:val="22"/>
          <w:rtl/>
        </w:rPr>
        <w:t>|</w:t>
      </w:r>
      <w:r w:rsidRPr="00282AC9">
        <w:rPr>
          <w:rFonts w:hint="cs"/>
          <w:sz w:val="27"/>
          <w:rtl/>
        </w:rPr>
        <w:t xml:space="preserve"> يثبت أن عدم مبادرته إلى العقوبة كان بدافع</w:t>
      </w:r>
      <w:r w:rsidR="003D4789" w:rsidRPr="00282AC9">
        <w:rPr>
          <w:rFonts w:hint="cs"/>
          <w:sz w:val="27"/>
          <w:rtl/>
        </w:rPr>
        <w:t>ٍ</w:t>
      </w:r>
      <w:r w:rsidRPr="00282AC9">
        <w:rPr>
          <w:rFonts w:hint="cs"/>
          <w:sz w:val="27"/>
          <w:rtl/>
        </w:rPr>
        <w:t xml:space="preserve"> من مصلحة الإسلام والنظام الإسلامي الفتي</w:t>
      </w:r>
      <w:r w:rsidR="003D4789" w:rsidRPr="00282AC9">
        <w:rPr>
          <w:rFonts w:hint="cs"/>
          <w:sz w:val="27"/>
          <w:rtl/>
        </w:rPr>
        <w:t>ّ</w:t>
      </w:r>
      <w:r w:rsidRPr="00282AC9">
        <w:rPr>
          <w:rFonts w:hint="cs"/>
          <w:sz w:val="27"/>
          <w:rtl/>
        </w:rPr>
        <w:t>.</w:t>
      </w:r>
    </w:p>
    <w:p w:rsidR="005A1BD7" w:rsidRPr="00282AC9" w:rsidRDefault="005A1BD7" w:rsidP="00E328F0">
      <w:pPr>
        <w:spacing w:line="386" w:lineRule="exact"/>
        <w:rPr>
          <w:sz w:val="27"/>
          <w:rtl/>
        </w:rPr>
      </w:pPr>
      <w:r w:rsidRPr="00282AC9">
        <w:rPr>
          <w:rFonts w:hint="cs"/>
          <w:sz w:val="27"/>
          <w:rtl/>
        </w:rPr>
        <w:t xml:space="preserve">2ـ </w:t>
      </w:r>
      <w:r w:rsidR="003D4789" w:rsidRPr="00282AC9">
        <w:rPr>
          <w:rFonts w:hint="cs"/>
          <w:sz w:val="27"/>
          <w:rtl/>
        </w:rPr>
        <w:t xml:space="preserve">تشير </w:t>
      </w:r>
      <w:r w:rsidRPr="00282AC9">
        <w:rPr>
          <w:rFonts w:hint="cs"/>
          <w:sz w:val="27"/>
          <w:rtl/>
        </w:rPr>
        <w:t>الآيات المرتبطة بارتداد بني إسرائيل إلى اختلاف أحكام المرتد</w:t>
      </w:r>
      <w:r w:rsidR="003D4789" w:rsidRPr="00282AC9">
        <w:rPr>
          <w:rFonts w:hint="cs"/>
          <w:sz w:val="27"/>
          <w:rtl/>
        </w:rPr>
        <w:t>ّ</w:t>
      </w:r>
      <w:r w:rsidRPr="00282AC9">
        <w:rPr>
          <w:rFonts w:hint="cs"/>
          <w:sz w:val="27"/>
          <w:rtl/>
        </w:rPr>
        <w:t>ين في الأمم السالفة</w:t>
      </w:r>
      <w:r w:rsidR="003D4789" w:rsidRPr="00282AC9">
        <w:rPr>
          <w:rFonts w:hint="cs"/>
          <w:sz w:val="27"/>
          <w:rtl/>
        </w:rPr>
        <w:t>،</w:t>
      </w:r>
      <w:r w:rsidRPr="00282AC9">
        <w:rPr>
          <w:rFonts w:hint="cs"/>
          <w:sz w:val="27"/>
          <w:rtl/>
        </w:rPr>
        <w:t xml:space="preserve"> بمعنى أن حكم الارتداد لم يتم</w:t>
      </w:r>
      <w:r w:rsidR="003D4789" w:rsidRPr="00282AC9">
        <w:rPr>
          <w:rFonts w:hint="cs"/>
          <w:sz w:val="27"/>
          <w:rtl/>
        </w:rPr>
        <w:t>ّ</w:t>
      </w:r>
      <w:r w:rsidRPr="00282AC9">
        <w:rPr>
          <w:rFonts w:hint="cs"/>
          <w:sz w:val="27"/>
          <w:rtl/>
        </w:rPr>
        <w:t xml:space="preserve"> تطبيقه على جميع الإسرائيلي</w:t>
      </w:r>
      <w:r w:rsidR="003D4789" w:rsidRPr="00282AC9">
        <w:rPr>
          <w:rFonts w:hint="cs"/>
          <w:sz w:val="27"/>
          <w:rtl/>
        </w:rPr>
        <w:t>ّ</w:t>
      </w:r>
      <w:r w:rsidRPr="00282AC9">
        <w:rPr>
          <w:rFonts w:hint="cs"/>
          <w:sz w:val="27"/>
          <w:rtl/>
        </w:rPr>
        <w:t>ين على ذات الن</w:t>
      </w:r>
      <w:r w:rsidR="003D4789" w:rsidRPr="00282AC9">
        <w:rPr>
          <w:rFonts w:hint="cs"/>
          <w:sz w:val="27"/>
          <w:rtl/>
        </w:rPr>
        <w:t>َّ</w:t>
      </w:r>
      <w:r w:rsidRPr="00282AC9">
        <w:rPr>
          <w:rFonts w:hint="cs"/>
          <w:sz w:val="27"/>
          <w:rtl/>
        </w:rPr>
        <w:t>س</w:t>
      </w:r>
      <w:r w:rsidR="003D4789" w:rsidRPr="00282AC9">
        <w:rPr>
          <w:rFonts w:hint="cs"/>
          <w:sz w:val="27"/>
          <w:rtl/>
        </w:rPr>
        <w:t>َ</w:t>
      </w:r>
      <w:r w:rsidRPr="00282AC9">
        <w:rPr>
          <w:rFonts w:hint="cs"/>
          <w:sz w:val="27"/>
          <w:rtl/>
        </w:rPr>
        <w:t>ق</w:t>
      </w:r>
      <w:r w:rsidR="003D4789" w:rsidRPr="00282AC9">
        <w:rPr>
          <w:rFonts w:hint="cs"/>
          <w:sz w:val="27"/>
          <w:rtl/>
        </w:rPr>
        <w:t>.</w:t>
      </w:r>
      <w:r w:rsidRPr="00282AC9">
        <w:rPr>
          <w:rFonts w:hint="cs"/>
          <w:sz w:val="27"/>
          <w:rtl/>
        </w:rPr>
        <w:t xml:space="preserve"> وإن السامري</w:t>
      </w:r>
      <w:r w:rsidR="003D4789" w:rsidRPr="00282AC9">
        <w:rPr>
          <w:rFonts w:hint="cs"/>
          <w:sz w:val="27"/>
          <w:rtl/>
        </w:rPr>
        <w:t>ّ</w:t>
      </w:r>
      <w:r w:rsidRPr="00282AC9">
        <w:rPr>
          <w:rFonts w:hint="cs"/>
          <w:sz w:val="27"/>
          <w:rtl/>
        </w:rPr>
        <w:t xml:space="preserve"> الذي ارتد</w:t>
      </w:r>
      <w:r w:rsidR="003D4789" w:rsidRPr="00282AC9">
        <w:rPr>
          <w:rFonts w:hint="cs"/>
          <w:sz w:val="27"/>
          <w:rtl/>
        </w:rPr>
        <w:t>ّ،</w:t>
      </w:r>
      <w:r w:rsidRPr="00282AC9">
        <w:rPr>
          <w:rFonts w:hint="cs"/>
          <w:sz w:val="27"/>
          <w:rtl/>
        </w:rPr>
        <w:t xml:space="preserve"> وصار سبباً </w:t>
      </w:r>
      <w:r w:rsidR="003D4789" w:rsidRPr="00282AC9">
        <w:rPr>
          <w:rFonts w:hint="cs"/>
          <w:sz w:val="27"/>
          <w:rtl/>
        </w:rPr>
        <w:t>ل</w:t>
      </w:r>
      <w:r w:rsidRPr="00282AC9">
        <w:rPr>
          <w:rFonts w:hint="cs"/>
          <w:sz w:val="27"/>
          <w:rtl/>
        </w:rPr>
        <w:t>ارتداد الآخرين، عوقب بعقاب</w:t>
      </w:r>
      <w:r w:rsidR="009E2644" w:rsidRPr="00282AC9">
        <w:rPr>
          <w:rFonts w:hint="cs"/>
          <w:sz w:val="27"/>
          <w:rtl/>
        </w:rPr>
        <w:t>ٍ</w:t>
      </w:r>
      <w:r w:rsidRPr="00282AC9">
        <w:rPr>
          <w:rFonts w:hint="cs"/>
          <w:sz w:val="27"/>
          <w:rtl/>
        </w:rPr>
        <w:t xml:space="preserve"> غير القتل</w:t>
      </w:r>
      <w:r w:rsidR="009E2644" w:rsidRPr="00282AC9">
        <w:rPr>
          <w:rFonts w:hint="cs"/>
          <w:sz w:val="27"/>
          <w:rtl/>
        </w:rPr>
        <w:t>؛</w:t>
      </w:r>
      <w:r w:rsidRPr="00282AC9">
        <w:rPr>
          <w:rFonts w:hint="cs"/>
          <w:sz w:val="27"/>
          <w:rtl/>
        </w:rPr>
        <w:t xml:space="preserve"> إذ قال له النبي</w:t>
      </w:r>
      <w:r w:rsidR="009E2644" w:rsidRPr="00282AC9">
        <w:rPr>
          <w:rFonts w:hint="cs"/>
          <w:sz w:val="27"/>
          <w:rtl/>
        </w:rPr>
        <w:t>ّ</w:t>
      </w:r>
      <w:r w:rsidRPr="00282AC9">
        <w:rPr>
          <w:rFonts w:hint="cs"/>
          <w:sz w:val="27"/>
          <w:rtl/>
        </w:rPr>
        <w:t xml:space="preserve"> موسى</w:t>
      </w:r>
      <w:r w:rsidR="009A2A04" w:rsidRPr="00282AC9">
        <w:rPr>
          <w:rFonts w:cs="Mosawi" w:hint="cs"/>
          <w:sz w:val="22"/>
          <w:szCs w:val="22"/>
          <w:rtl/>
        </w:rPr>
        <w:t>×</w:t>
      </w:r>
      <w:r w:rsidR="009E2644" w:rsidRPr="00282AC9">
        <w:rPr>
          <w:rFonts w:hint="cs"/>
          <w:sz w:val="27"/>
          <w:rtl/>
        </w:rPr>
        <w:t>،</w:t>
      </w:r>
      <w:r w:rsidRPr="00282AC9">
        <w:rPr>
          <w:rFonts w:hint="cs"/>
          <w:sz w:val="27"/>
          <w:rtl/>
        </w:rPr>
        <w:t xml:space="preserve"> على ما حكاه القرآن الكريم: </w:t>
      </w:r>
      <w:r w:rsidR="00C5291F" w:rsidRPr="00282AC9">
        <w:rPr>
          <w:rFonts w:ascii="Mosawi" w:hAnsi="Mosawi" w:cs="Mosawi"/>
          <w:sz w:val="24"/>
          <w:szCs w:val="24"/>
          <w:rtl/>
        </w:rPr>
        <w:t>﴿</w:t>
      </w:r>
      <w:r w:rsidRPr="00282AC9">
        <w:rPr>
          <w:b/>
          <w:bCs/>
          <w:sz w:val="27"/>
          <w:rtl/>
        </w:rPr>
        <w:t>قَالَ فَاذْهَبْ فَإِنَّ لَك</w:t>
      </w:r>
      <w:r w:rsidR="009E2644" w:rsidRPr="00282AC9">
        <w:rPr>
          <w:b/>
          <w:bCs/>
          <w:sz w:val="27"/>
          <w:rtl/>
        </w:rPr>
        <w:t>َ فِي الْحَيَاةِ أَنْ تَقُولَ ل</w:t>
      </w:r>
      <w:r w:rsidRPr="00282AC9">
        <w:rPr>
          <w:b/>
          <w:bCs/>
          <w:sz w:val="27"/>
          <w:rtl/>
        </w:rPr>
        <w:t>ا مِسَاسَ وَإِنَّ لَكَ مَوْعِداً لَنْ تُخْلَفَهُ وَانْظُرْ إِلَى إِلَهِكَ الَّذِي ظَلْتَ عَلَيْهِ عَاكِفاً لَنُحَرِّقَنَّهُ ثُمَّ لَنَنْسِفَنَّهُ فِي الْيَمِّ نَسْفاً</w:t>
      </w:r>
      <w:r w:rsidR="00C5291F" w:rsidRPr="00282AC9">
        <w:rPr>
          <w:rFonts w:ascii="Mosawi" w:hAnsi="Mosawi" w:cs="Mosawi"/>
          <w:sz w:val="24"/>
          <w:szCs w:val="24"/>
          <w:rtl/>
        </w:rPr>
        <w:t>﴾</w:t>
      </w:r>
      <w:r w:rsidRPr="00282AC9">
        <w:rPr>
          <w:rFonts w:hint="cs"/>
          <w:sz w:val="27"/>
          <w:rtl/>
        </w:rPr>
        <w:t xml:space="preserve"> (طه: 97). وأما سائر الذين عبدوا لعجل فقد حكم عليهم بالقتل، وقال لهم </w:t>
      </w:r>
      <w:r w:rsidRPr="00282AC9">
        <w:rPr>
          <w:sz w:val="27"/>
          <w:rtl/>
        </w:rPr>
        <w:t>النبي</w:t>
      </w:r>
      <w:r w:rsidR="009E2644" w:rsidRPr="00282AC9">
        <w:rPr>
          <w:rFonts w:hint="cs"/>
          <w:sz w:val="27"/>
          <w:rtl/>
        </w:rPr>
        <w:t>ّ</w:t>
      </w:r>
      <w:r w:rsidRPr="00282AC9">
        <w:rPr>
          <w:sz w:val="27"/>
          <w:rtl/>
        </w:rPr>
        <w:t xml:space="preserve"> موسى</w:t>
      </w:r>
      <w:r w:rsidR="009A2A04" w:rsidRPr="00282AC9">
        <w:rPr>
          <w:rFonts w:cs="Mosawi"/>
          <w:sz w:val="22"/>
          <w:szCs w:val="22"/>
          <w:rtl/>
        </w:rPr>
        <w:t>×</w:t>
      </w:r>
      <w:r w:rsidR="009E2644" w:rsidRPr="00282AC9">
        <w:rPr>
          <w:rFonts w:hint="cs"/>
          <w:sz w:val="27"/>
          <w:rtl/>
        </w:rPr>
        <w:t>،</w:t>
      </w:r>
      <w:r w:rsidRPr="00282AC9">
        <w:rPr>
          <w:sz w:val="27"/>
          <w:rtl/>
        </w:rPr>
        <w:t xml:space="preserve"> على ما حكاه القرآن الكريم: </w:t>
      </w:r>
      <w:r w:rsidR="00C5291F" w:rsidRPr="00282AC9">
        <w:rPr>
          <w:rFonts w:ascii="Mosawi" w:hAnsi="Mosawi" w:cs="Mosawi"/>
          <w:sz w:val="24"/>
          <w:szCs w:val="24"/>
          <w:rtl/>
        </w:rPr>
        <w:t>﴿</w:t>
      </w:r>
      <w:r w:rsidRPr="00282AC9">
        <w:rPr>
          <w:b/>
          <w:bCs/>
          <w:sz w:val="27"/>
          <w:rtl/>
        </w:rPr>
        <w:t>يَا قَوْمِ إِنَّكُمْ ظَلَمْتُمْ أَنْفُسَكُمْ بِاتِّخَاذِكُمُ الْعِجْلَ فَتُوبُوا إِلَى بَارِئِكُمْ فَاقْتُلُوا أَنْفُسَكُمْ ذَلِكُمْ خَيْرٌ لَكُمْ عِنْدَ بَارِئِكُمْ فَتَابَ عَلَيْكُمْ إِنَّهُ هُوَ التَّوَّابُ الرَّحِيمُ</w:t>
      </w:r>
      <w:r w:rsidR="00C5291F" w:rsidRPr="00282AC9">
        <w:rPr>
          <w:rFonts w:ascii="Mosawi" w:hAnsi="Mosawi" w:cs="Mosawi"/>
          <w:sz w:val="24"/>
          <w:szCs w:val="24"/>
          <w:rtl/>
        </w:rPr>
        <w:t>﴾</w:t>
      </w:r>
      <w:r w:rsidRPr="00282AC9">
        <w:rPr>
          <w:rFonts w:hint="cs"/>
          <w:sz w:val="27"/>
          <w:rtl/>
        </w:rPr>
        <w:t xml:space="preserve"> (البقرة: 54).</w:t>
      </w:r>
    </w:p>
    <w:p w:rsidR="005A1BD7" w:rsidRPr="00282AC9" w:rsidRDefault="005A1BD7" w:rsidP="007C2A22">
      <w:pPr>
        <w:spacing w:line="380" w:lineRule="exact"/>
        <w:rPr>
          <w:sz w:val="27"/>
          <w:rtl/>
        </w:rPr>
      </w:pPr>
      <w:r w:rsidRPr="00282AC9">
        <w:rPr>
          <w:rFonts w:hint="cs"/>
          <w:sz w:val="27"/>
          <w:rtl/>
        </w:rPr>
        <w:t>3ـ وفي المورد الآخر ارتد</w:t>
      </w:r>
      <w:r w:rsidR="009E2644" w:rsidRPr="00282AC9">
        <w:rPr>
          <w:rFonts w:hint="cs"/>
          <w:sz w:val="27"/>
          <w:rtl/>
        </w:rPr>
        <w:t>ّ</w:t>
      </w:r>
      <w:r w:rsidRPr="00282AC9">
        <w:rPr>
          <w:rFonts w:hint="cs"/>
          <w:sz w:val="27"/>
          <w:rtl/>
        </w:rPr>
        <w:t xml:space="preserve"> الحارث بن سويد ـ وكان من أصحاب النبي</w:t>
      </w:r>
      <w:r w:rsidR="009E2644" w:rsidRPr="00282AC9">
        <w:rPr>
          <w:rFonts w:hint="cs"/>
          <w:sz w:val="27"/>
          <w:rtl/>
        </w:rPr>
        <w:t>ّ</w:t>
      </w:r>
      <w:r w:rsidRPr="00282AC9">
        <w:rPr>
          <w:rFonts w:hint="cs"/>
          <w:sz w:val="27"/>
          <w:rtl/>
        </w:rPr>
        <w:t xml:space="preserve"> الأكرم</w:t>
      </w:r>
      <w:r w:rsidR="009A2A04" w:rsidRPr="00282AC9">
        <w:rPr>
          <w:rFonts w:cs="Mosawi" w:hint="cs"/>
          <w:sz w:val="22"/>
          <w:szCs w:val="22"/>
          <w:rtl/>
        </w:rPr>
        <w:t>|</w:t>
      </w:r>
      <w:r w:rsidRPr="00282AC9">
        <w:rPr>
          <w:rFonts w:hint="cs"/>
          <w:sz w:val="27"/>
          <w:rtl/>
        </w:rPr>
        <w:t xml:space="preserve"> ـ</w:t>
      </w:r>
      <w:r w:rsidR="009E2644" w:rsidRPr="00282AC9">
        <w:rPr>
          <w:rFonts w:hint="cs"/>
          <w:sz w:val="27"/>
          <w:rtl/>
        </w:rPr>
        <w:t>،</w:t>
      </w:r>
      <w:r w:rsidRPr="00282AC9">
        <w:rPr>
          <w:rFonts w:hint="cs"/>
          <w:sz w:val="27"/>
          <w:rtl/>
        </w:rPr>
        <w:t xml:space="preserve"> مع أحد عشر شخصاً من أصحابه، وفرّ</w:t>
      </w:r>
      <w:r w:rsidR="009E2644" w:rsidRPr="00282AC9">
        <w:rPr>
          <w:rFonts w:hint="cs"/>
          <w:sz w:val="27"/>
          <w:rtl/>
        </w:rPr>
        <w:t>ُ</w:t>
      </w:r>
      <w:r w:rsidRPr="00282AC9">
        <w:rPr>
          <w:rFonts w:hint="cs"/>
          <w:sz w:val="27"/>
          <w:rtl/>
        </w:rPr>
        <w:t>وا إلى مك</w:t>
      </w:r>
      <w:r w:rsidR="009E2644" w:rsidRPr="00282AC9">
        <w:rPr>
          <w:rFonts w:hint="cs"/>
          <w:sz w:val="27"/>
          <w:rtl/>
        </w:rPr>
        <w:t>ّ</w:t>
      </w:r>
      <w:r w:rsidRPr="00282AC9">
        <w:rPr>
          <w:rFonts w:hint="cs"/>
          <w:sz w:val="27"/>
          <w:rtl/>
        </w:rPr>
        <w:t>ة، ولكن</w:t>
      </w:r>
      <w:r w:rsidR="009E2644" w:rsidRPr="00282AC9">
        <w:rPr>
          <w:rFonts w:hint="cs"/>
          <w:sz w:val="27"/>
          <w:rtl/>
        </w:rPr>
        <w:t>ْ</w:t>
      </w:r>
      <w:r w:rsidRPr="00282AC9">
        <w:rPr>
          <w:rFonts w:hint="cs"/>
          <w:sz w:val="27"/>
          <w:rtl/>
        </w:rPr>
        <w:t xml:space="preserve"> بعد فتح مك</w:t>
      </w:r>
      <w:r w:rsidR="009E2644" w:rsidRPr="00282AC9">
        <w:rPr>
          <w:rFonts w:hint="cs"/>
          <w:sz w:val="27"/>
          <w:rtl/>
        </w:rPr>
        <w:t>ّ</w:t>
      </w:r>
      <w:r w:rsidRPr="00282AC9">
        <w:rPr>
          <w:rFonts w:hint="cs"/>
          <w:sz w:val="27"/>
          <w:rtl/>
        </w:rPr>
        <w:t>ة تاب بعضهم</w:t>
      </w:r>
      <w:r w:rsidR="009E2644" w:rsidRPr="00282AC9">
        <w:rPr>
          <w:rFonts w:hint="cs"/>
          <w:sz w:val="27"/>
          <w:rtl/>
        </w:rPr>
        <w:t>،</w:t>
      </w:r>
      <w:r w:rsidRPr="00282AC9">
        <w:rPr>
          <w:rFonts w:hint="cs"/>
          <w:sz w:val="27"/>
          <w:rtl/>
        </w:rPr>
        <w:t xml:space="preserve"> وعاد إلى الإسلام، وقُب</w:t>
      </w:r>
      <w:r w:rsidR="009E2644" w:rsidRPr="00282AC9">
        <w:rPr>
          <w:rFonts w:hint="cs"/>
          <w:sz w:val="27"/>
          <w:rtl/>
        </w:rPr>
        <w:t>ِ</w:t>
      </w:r>
      <w:r w:rsidRPr="00282AC9">
        <w:rPr>
          <w:rFonts w:hint="cs"/>
          <w:sz w:val="27"/>
          <w:rtl/>
        </w:rPr>
        <w:t>ل</w:t>
      </w:r>
      <w:r w:rsidR="009E2644" w:rsidRPr="00282AC9">
        <w:rPr>
          <w:rFonts w:hint="cs"/>
          <w:sz w:val="27"/>
          <w:rtl/>
        </w:rPr>
        <w:t>َ</w:t>
      </w:r>
      <w:r w:rsidRPr="00282AC9">
        <w:rPr>
          <w:rFonts w:hint="cs"/>
          <w:sz w:val="27"/>
          <w:rtl/>
        </w:rPr>
        <w:t>ت</w:t>
      </w:r>
      <w:r w:rsidR="009E2644" w:rsidRPr="00282AC9">
        <w:rPr>
          <w:rFonts w:hint="cs"/>
          <w:sz w:val="27"/>
          <w:rtl/>
        </w:rPr>
        <w:t>ْ</w:t>
      </w:r>
      <w:r w:rsidRPr="00282AC9">
        <w:rPr>
          <w:rFonts w:hint="cs"/>
          <w:sz w:val="27"/>
          <w:rtl/>
        </w:rPr>
        <w:t xml:space="preserve"> توبتهم</w:t>
      </w:r>
      <w:r w:rsidRPr="00282AC9">
        <w:rPr>
          <w:sz w:val="27"/>
          <w:vertAlign w:val="superscript"/>
          <w:rtl/>
        </w:rPr>
        <w:t>(</w:t>
      </w:r>
      <w:r w:rsidRPr="00282AC9">
        <w:rPr>
          <w:rStyle w:val="af9"/>
          <w:sz w:val="27"/>
          <w:rtl/>
        </w:rPr>
        <w:endnoteReference w:id="317"/>
      </w:r>
      <w:r w:rsidRPr="00282AC9">
        <w:rPr>
          <w:sz w:val="27"/>
          <w:vertAlign w:val="superscript"/>
          <w:rtl/>
        </w:rPr>
        <w:t>)</w:t>
      </w:r>
      <w:r w:rsidRPr="00282AC9">
        <w:rPr>
          <w:rFonts w:hint="cs"/>
          <w:sz w:val="27"/>
          <w:rtl/>
        </w:rPr>
        <w:t>.</w:t>
      </w:r>
    </w:p>
    <w:p w:rsidR="002965D5" w:rsidRPr="00282AC9" w:rsidRDefault="005A1BD7" w:rsidP="00E328F0">
      <w:pPr>
        <w:spacing w:line="386" w:lineRule="exact"/>
        <w:rPr>
          <w:sz w:val="27"/>
          <w:rtl/>
        </w:rPr>
      </w:pPr>
      <w:r w:rsidRPr="00282AC9">
        <w:rPr>
          <w:rFonts w:hint="cs"/>
          <w:sz w:val="27"/>
          <w:rtl/>
        </w:rPr>
        <w:t xml:space="preserve">4ـ </w:t>
      </w:r>
      <w:r w:rsidR="009E2644" w:rsidRPr="00282AC9">
        <w:rPr>
          <w:rFonts w:hint="cs"/>
          <w:sz w:val="27"/>
          <w:rtl/>
        </w:rPr>
        <w:t xml:space="preserve">ويمكن العثور على </w:t>
      </w:r>
      <w:r w:rsidRPr="00282AC9">
        <w:rPr>
          <w:rFonts w:hint="cs"/>
          <w:sz w:val="27"/>
          <w:rtl/>
        </w:rPr>
        <w:t>المثال الأبرز على المصلحة في سلوك الب</w:t>
      </w:r>
      <w:r w:rsidR="009E2644" w:rsidRPr="00282AC9">
        <w:rPr>
          <w:rFonts w:hint="cs"/>
          <w:sz w:val="27"/>
          <w:rtl/>
        </w:rPr>
        <w:t>ُ</w:t>
      </w:r>
      <w:r w:rsidRPr="00282AC9">
        <w:rPr>
          <w:rFonts w:hint="cs"/>
          <w:sz w:val="27"/>
          <w:rtl/>
        </w:rPr>
        <w:t>غاة، فعلى الرغم من أنهم كانوا من بين المصاديق البارزة على الارتداد، إلا</w:t>
      </w:r>
      <w:r w:rsidR="002965D5" w:rsidRPr="00282AC9">
        <w:rPr>
          <w:rFonts w:hint="cs"/>
          <w:sz w:val="27"/>
          <w:rtl/>
        </w:rPr>
        <w:t>ّ</w:t>
      </w:r>
      <w:r w:rsidRPr="00282AC9">
        <w:rPr>
          <w:rFonts w:hint="cs"/>
          <w:sz w:val="27"/>
          <w:rtl/>
        </w:rPr>
        <w:t xml:space="preserve"> أن الإمام أبقى على باب التوبة مفتوحاً أمامهم، وق</w:t>
      </w:r>
      <w:r w:rsidR="002965D5" w:rsidRPr="00282AC9">
        <w:rPr>
          <w:rFonts w:hint="cs"/>
          <w:sz w:val="27"/>
          <w:rtl/>
        </w:rPr>
        <w:t>َ</w:t>
      </w:r>
      <w:r w:rsidRPr="00282AC9">
        <w:rPr>
          <w:rFonts w:hint="cs"/>
          <w:sz w:val="27"/>
          <w:rtl/>
        </w:rPr>
        <w:t>ب</w:t>
      </w:r>
      <w:r w:rsidR="002965D5" w:rsidRPr="00282AC9">
        <w:rPr>
          <w:rFonts w:hint="cs"/>
          <w:sz w:val="27"/>
          <w:rtl/>
        </w:rPr>
        <w:t>ِ</w:t>
      </w:r>
      <w:r w:rsidRPr="00282AC9">
        <w:rPr>
          <w:rFonts w:hint="cs"/>
          <w:sz w:val="27"/>
          <w:rtl/>
        </w:rPr>
        <w:t>ل توبتهم</w:t>
      </w:r>
      <w:r w:rsidR="002965D5" w:rsidRPr="00282AC9">
        <w:rPr>
          <w:rFonts w:hint="cs"/>
          <w:sz w:val="27"/>
          <w:rtl/>
        </w:rPr>
        <w:t>،</w:t>
      </w:r>
      <w:r w:rsidRPr="00282AC9">
        <w:rPr>
          <w:rFonts w:hint="cs"/>
          <w:sz w:val="27"/>
          <w:rtl/>
        </w:rPr>
        <w:t xml:space="preserve"> دون أن يسألهم ما إذا كانوا قد و</w:t>
      </w:r>
      <w:r w:rsidR="002965D5" w:rsidRPr="00282AC9">
        <w:rPr>
          <w:rFonts w:hint="cs"/>
          <w:sz w:val="27"/>
          <w:rtl/>
        </w:rPr>
        <w:t>ُلدوا من مسلمين أو من كافرين.</w:t>
      </w:r>
    </w:p>
    <w:p w:rsidR="005A1BD7" w:rsidRPr="00282AC9" w:rsidRDefault="005A1BD7" w:rsidP="00E328F0">
      <w:pPr>
        <w:spacing w:line="386" w:lineRule="exact"/>
        <w:rPr>
          <w:sz w:val="27"/>
          <w:rtl/>
        </w:rPr>
      </w:pPr>
      <w:r w:rsidRPr="00282AC9">
        <w:rPr>
          <w:rFonts w:hint="cs"/>
          <w:sz w:val="27"/>
          <w:rtl/>
        </w:rPr>
        <w:t>قال المحق</w:t>
      </w:r>
      <w:r w:rsidR="002965D5" w:rsidRPr="00282AC9">
        <w:rPr>
          <w:rFonts w:hint="cs"/>
          <w:sz w:val="27"/>
          <w:rtl/>
        </w:rPr>
        <w:t>ِّ</w:t>
      </w:r>
      <w:r w:rsidRPr="00282AC9">
        <w:rPr>
          <w:rFonts w:hint="cs"/>
          <w:sz w:val="27"/>
          <w:rtl/>
        </w:rPr>
        <w:t xml:space="preserve">ق المجلسي في هذا الشأن: </w:t>
      </w:r>
      <w:r w:rsidRPr="00282AC9">
        <w:rPr>
          <w:rFonts w:hint="eastAsia"/>
          <w:sz w:val="24"/>
          <w:szCs w:val="24"/>
          <w:rtl/>
        </w:rPr>
        <w:t>«</w:t>
      </w:r>
      <w:r w:rsidRPr="00282AC9">
        <w:rPr>
          <w:rFonts w:hint="cs"/>
          <w:sz w:val="27"/>
          <w:rtl/>
        </w:rPr>
        <w:t>لقد كان الإمام</w:t>
      </w:r>
      <w:r w:rsidR="009A2A04" w:rsidRPr="00282AC9">
        <w:rPr>
          <w:rFonts w:cs="Mosawi" w:hint="cs"/>
          <w:sz w:val="22"/>
          <w:szCs w:val="22"/>
          <w:rtl/>
        </w:rPr>
        <w:t>×</w:t>
      </w:r>
      <w:r w:rsidRPr="00282AC9">
        <w:rPr>
          <w:sz w:val="27"/>
          <w:rtl/>
        </w:rPr>
        <w:t xml:space="preserve"> </w:t>
      </w:r>
      <w:r w:rsidRPr="00282AC9">
        <w:rPr>
          <w:rFonts w:hint="cs"/>
          <w:sz w:val="27"/>
          <w:rtl/>
        </w:rPr>
        <w:t>ي</w:t>
      </w:r>
      <w:r w:rsidRPr="00282AC9">
        <w:rPr>
          <w:sz w:val="27"/>
          <w:rtl/>
        </w:rPr>
        <w:t>قبل</w:t>
      </w:r>
      <w:r w:rsidRPr="00282AC9">
        <w:rPr>
          <w:rFonts w:hint="cs"/>
          <w:sz w:val="27"/>
          <w:rtl/>
        </w:rPr>
        <w:t xml:space="preserve"> توبة الخوارج، رغم أنهم كانوا من أسوأ الكفار وأخبثهم، ولم يكن الإمام يسألهم عن أصولهم، وما إذا كانوا منحدرين من مسلمين أو كافرين، ولم يك</w:t>
      </w:r>
      <w:r w:rsidR="002965D5" w:rsidRPr="00282AC9">
        <w:rPr>
          <w:rFonts w:hint="cs"/>
          <w:sz w:val="27"/>
          <w:rtl/>
        </w:rPr>
        <w:t>ُ</w:t>
      </w:r>
      <w:r w:rsidRPr="00282AC9">
        <w:rPr>
          <w:rFonts w:hint="cs"/>
          <w:sz w:val="27"/>
          <w:rtl/>
        </w:rPr>
        <w:t>ن</w:t>
      </w:r>
      <w:r w:rsidR="002965D5" w:rsidRPr="00282AC9">
        <w:rPr>
          <w:rFonts w:hint="cs"/>
          <w:sz w:val="27"/>
          <w:rtl/>
        </w:rPr>
        <w:t>ْ</w:t>
      </w:r>
      <w:r w:rsidRPr="00282AC9">
        <w:rPr>
          <w:rFonts w:hint="cs"/>
          <w:sz w:val="27"/>
          <w:rtl/>
        </w:rPr>
        <w:t xml:space="preserve"> يلتفت إلى ك</w:t>
      </w:r>
      <w:r w:rsidR="002965D5" w:rsidRPr="00282AC9">
        <w:rPr>
          <w:rFonts w:hint="cs"/>
          <w:sz w:val="27"/>
          <w:rtl/>
        </w:rPr>
        <w:t>َ</w:t>
      </w:r>
      <w:r w:rsidRPr="00282AC9">
        <w:rPr>
          <w:rFonts w:hint="cs"/>
          <w:sz w:val="27"/>
          <w:rtl/>
        </w:rPr>
        <w:t>و</w:t>
      </w:r>
      <w:r w:rsidR="002965D5" w:rsidRPr="00282AC9">
        <w:rPr>
          <w:rFonts w:hint="cs"/>
          <w:sz w:val="27"/>
          <w:rtl/>
        </w:rPr>
        <w:t>ْ</w:t>
      </w:r>
      <w:r w:rsidRPr="00282AC9">
        <w:rPr>
          <w:rFonts w:hint="cs"/>
          <w:sz w:val="27"/>
          <w:rtl/>
        </w:rPr>
        <w:t>ن ارتدادهم عن فطرة</w:t>
      </w:r>
      <w:r w:rsidR="002965D5" w:rsidRPr="00282AC9">
        <w:rPr>
          <w:rFonts w:hint="cs"/>
          <w:sz w:val="27"/>
          <w:rtl/>
        </w:rPr>
        <w:t>ٍ</w:t>
      </w:r>
      <w:r w:rsidRPr="00282AC9">
        <w:rPr>
          <w:rFonts w:hint="cs"/>
          <w:sz w:val="27"/>
          <w:rtl/>
        </w:rPr>
        <w:t xml:space="preserve"> أو عن مل</w:t>
      </w:r>
      <w:r w:rsidR="002965D5" w:rsidRPr="00282AC9">
        <w:rPr>
          <w:rFonts w:hint="cs"/>
          <w:sz w:val="27"/>
          <w:rtl/>
        </w:rPr>
        <w:t>ّ</w:t>
      </w:r>
      <w:r w:rsidRPr="00282AC9">
        <w:rPr>
          <w:rFonts w:hint="cs"/>
          <w:sz w:val="27"/>
          <w:rtl/>
        </w:rPr>
        <w:t>ة</w:t>
      </w:r>
      <w:r w:rsidR="002965D5" w:rsidRPr="00282AC9">
        <w:rPr>
          <w:rFonts w:hint="cs"/>
          <w:sz w:val="27"/>
          <w:rtl/>
        </w:rPr>
        <w:t>.</w:t>
      </w:r>
      <w:r w:rsidRPr="00282AC9">
        <w:rPr>
          <w:rFonts w:hint="cs"/>
          <w:sz w:val="27"/>
          <w:rtl/>
        </w:rPr>
        <w:t xml:space="preserve"> ولر</w:t>
      </w:r>
      <w:r w:rsidR="002965D5" w:rsidRPr="00282AC9">
        <w:rPr>
          <w:rFonts w:hint="cs"/>
          <w:sz w:val="27"/>
          <w:rtl/>
        </w:rPr>
        <w:t>ُ</w:t>
      </w:r>
      <w:r w:rsidRPr="00282AC9">
        <w:rPr>
          <w:rFonts w:hint="cs"/>
          <w:sz w:val="27"/>
          <w:rtl/>
        </w:rPr>
        <w:t>ب</w:t>
      </w:r>
      <w:r w:rsidR="002965D5" w:rsidRPr="00282AC9">
        <w:rPr>
          <w:rFonts w:hint="cs"/>
          <w:sz w:val="27"/>
          <w:rtl/>
        </w:rPr>
        <w:t>َ</w:t>
      </w:r>
      <w:r w:rsidRPr="00282AC9">
        <w:rPr>
          <w:rFonts w:hint="cs"/>
          <w:sz w:val="27"/>
          <w:rtl/>
        </w:rPr>
        <w:t>ما قيل: إن الأوضاع في صدر الإسلام كانت تختلف عن المراحل المتأخ</w:t>
      </w:r>
      <w:r w:rsidR="002965D5" w:rsidRPr="00282AC9">
        <w:rPr>
          <w:rFonts w:hint="cs"/>
          <w:sz w:val="27"/>
          <w:rtl/>
        </w:rPr>
        <w:t>ِّ</w:t>
      </w:r>
      <w:r w:rsidRPr="00282AC9">
        <w:rPr>
          <w:rFonts w:hint="cs"/>
          <w:sz w:val="27"/>
          <w:rtl/>
        </w:rPr>
        <w:t>رة؛ وذلك لأن الناس في الصدر الأو</w:t>
      </w:r>
      <w:r w:rsidR="002965D5" w:rsidRPr="00282AC9">
        <w:rPr>
          <w:rFonts w:hint="cs"/>
          <w:sz w:val="27"/>
          <w:rtl/>
        </w:rPr>
        <w:t>ّ</w:t>
      </w:r>
      <w:r w:rsidRPr="00282AC9">
        <w:rPr>
          <w:rFonts w:hint="cs"/>
          <w:sz w:val="27"/>
          <w:rtl/>
        </w:rPr>
        <w:t>ل كانوا قد تعرّ</w:t>
      </w:r>
      <w:r w:rsidR="002965D5" w:rsidRPr="00282AC9">
        <w:rPr>
          <w:rFonts w:hint="cs"/>
          <w:sz w:val="27"/>
          <w:rtl/>
        </w:rPr>
        <w:t>َ</w:t>
      </w:r>
      <w:r w:rsidRPr="00282AC9">
        <w:rPr>
          <w:rFonts w:hint="cs"/>
          <w:sz w:val="27"/>
          <w:rtl/>
        </w:rPr>
        <w:t>فوا على الإسلام حديثاً، ولو تم</w:t>
      </w:r>
      <w:r w:rsidR="002965D5" w:rsidRPr="00282AC9">
        <w:rPr>
          <w:rFonts w:hint="cs"/>
          <w:sz w:val="27"/>
          <w:rtl/>
        </w:rPr>
        <w:t>ّ</w:t>
      </w:r>
      <w:r w:rsidRPr="00282AC9">
        <w:rPr>
          <w:rFonts w:hint="cs"/>
          <w:sz w:val="27"/>
          <w:rtl/>
        </w:rPr>
        <w:t xml:space="preserve"> التعامل معهم بهذه الشدّة لم يب</w:t>
      </w:r>
      <w:r w:rsidR="002965D5" w:rsidRPr="00282AC9">
        <w:rPr>
          <w:rFonts w:hint="cs"/>
          <w:sz w:val="27"/>
          <w:rtl/>
        </w:rPr>
        <w:t>ْ</w:t>
      </w:r>
      <w:r w:rsidRPr="00282AC9">
        <w:rPr>
          <w:rFonts w:hint="cs"/>
          <w:sz w:val="27"/>
          <w:rtl/>
        </w:rPr>
        <w:t>ق</w:t>
      </w:r>
      <w:r w:rsidR="002965D5" w:rsidRPr="00282AC9">
        <w:rPr>
          <w:rFonts w:hint="cs"/>
          <w:sz w:val="27"/>
          <w:rtl/>
        </w:rPr>
        <w:t>َ</w:t>
      </w:r>
      <w:r w:rsidRPr="00282AC9">
        <w:rPr>
          <w:rFonts w:hint="cs"/>
          <w:sz w:val="27"/>
          <w:rtl/>
        </w:rPr>
        <w:t xml:space="preserve"> منهم أحد</w:t>
      </w:r>
      <w:r w:rsidR="002965D5"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318"/>
      </w:r>
      <w:r w:rsidRPr="00282AC9">
        <w:rPr>
          <w:sz w:val="27"/>
          <w:vertAlign w:val="superscript"/>
          <w:rtl/>
        </w:rPr>
        <w:t>)</w:t>
      </w:r>
      <w:r w:rsidRPr="00282AC9">
        <w:rPr>
          <w:rFonts w:hint="cs"/>
          <w:sz w:val="27"/>
          <w:rtl/>
        </w:rPr>
        <w:t>.</w:t>
      </w:r>
    </w:p>
    <w:p w:rsidR="005A1BD7" w:rsidRPr="00282AC9" w:rsidRDefault="005A1BD7" w:rsidP="00E328F0">
      <w:pPr>
        <w:spacing w:line="386" w:lineRule="exact"/>
        <w:rPr>
          <w:sz w:val="27"/>
          <w:rtl/>
        </w:rPr>
      </w:pPr>
      <w:r w:rsidRPr="00282AC9">
        <w:rPr>
          <w:rFonts w:hint="cs"/>
          <w:sz w:val="27"/>
          <w:rtl/>
        </w:rPr>
        <w:t>كما أن صاحب جواهر الكلام يُق</w:t>
      </w:r>
      <w:r w:rsidR="002965D5" w:rsidRPr="00282AC9">
        <w:rPr>
          <w:rFonts w:hint="cs"/>
          <w:sz w:val="27"/>
          <w:rtl/>
        </w:rPr>
        <w:t>ِ</w:t>
      </w:r>
      <w:r w:rsidRPr="00282AC9">
        <w:rPr>
          <w:rFonts w:hint="cs"/>
          <w:sz w:val="27"/>
          <w:rtl/>
        </w:rPr>
        <w:t>رّ بأن المتمرّ</w:t>
      </w:r>
      <w:r w:rsidR="002965D5" w:rsidRPr="00282AC9">
        <w:rPr>
          <w:rFonts w:hint="cs"/>
          <w:sz w:val="27"/>
          <w:rtl/>
        </w:rPr>
        <w:t>ِ</w:t>
      </w:r>
      <w:r w:rsidRPr="00282AC9">
        <w:rPr>
          <w:rFonts w:hint="cs"/>
          <w:sz w:val="27"/>
          <w:rtl/>
        </w:rPr>
        <w:t>دين على الإمام المعصوم</w:t>
      </w:r>
      <w:r w:rsidR="009A2A04" w:rsidRPr="00282AC9">
        <w:rPr>
          <w:rFonts w:cs="Mosawi" w:hint="cs"/>
          <w:sz w:val="22"/>
          <w:szCs w:val="22"/>
          <w:rtl/>
        </w:rPr>
        <w:t>×</w:t>
      </w:r>
      <w:r w:rsidRPr="00282AC9">
        <w:rPr>
          <w:rFonts w:hint="cs"/>
          <w:sz w:val="27"/>
          <w:rtl/>
        </w:rPr>
        <w:t xml:space="preserve"> مرتدّون، وإن الكثير منهم كانوا مرتد</w:t>
      </w:r>
      <w:r w:rsidR="002965D5" w:rsidRPr="00282AC9">
        <w:rPr>
          <w:rFonts w:hint="cs"/>
          <w:sz w:val="27"/>
          <w:rtl/>
        </w:rPr>
        <w:t>ّ</w:t>
      </w:r>
      <w:r w:rsidRPr="00282AC9">
        <w:rPr>
          <w:rFonts w:hint="cs"/>
          <w:sz w:val="27"/>
          <w:rtl/>
        </w:rPr>
        <w:t>ين عن فطرة</w:t>
      </w:r>
      <w:r w:rsidR="002965D5" w:rsidRPr="00282AC9">
        <w:rPr>
          <w:rFonts w:hint="cs"/>
          <w:sz w:val="27"/>
          <w:rtl/>
        </w:rPr>
        <w:t>ٍ</w:t>
      </w:r>
      <w:r w:rsidRPr="00282AC9">
        <w:rPr>
          <w:rFonts w:hint="cs"/>
          <w:sz w:val="27"/>
          <w:rtl/>
        </w:rPr>
        <w:t>، وهو يقرّ بأن الإمام</w:t>
      </w:r>
      <w:r w:rsidR="009A2A04" w:rsidRPr="00282AC9">
        <w:rPr>
          <w:rFonts w:cs="Mosawi" w:hint="cs"/>
          <w:sz w:val="22"/>
          <w:szCs w:val="22"/>
          <w:rtl/>
        </w:rPr>
        <w:t>×</w:t>
      </w:r>
      <w:r w:rsidRPr="00282AC9">
        <w:rPr>
          <w:rFonts w:hint="cs"/>
          <w:sz w:val="27"/>
          <w:rtl/>
        </w:rPr>
        <w:t xml:space="preserve"> قد غضّ</w:t>
      </w:r>
      <w:r w:rsidR="002965D5" w:rsidRPr="00282AC9">
        <w:rPr>
          <w:rFonts w:hint="cs"/>
          <w:sz w:val="27"/>
          <w:rtl/>
        </w:rPr>
        <w:t>َ</w:t>
      </w:r>
      <w:r w:rsidRPr="00282AC9">
        <w:rPr>
          <w:rFonts w:hint="cs"/>
          <w:sz w:val="27"/>
          <w:rtl/>
        </w:rPr>
        <w:t xml:space="preserve"> </w:t>
      </w:r>
      <w:r w:rsidRPr="00282AC9">
        <w:rPr>
          <w:rFonts w:hint="cs"/>
          <w:sz w:val="27"/>
          <w:rtl/>
        </w:rPr>
        <w:lastRenderedPageBreak/>
        <w:t>الطرف عنهم، بل وقد اعتبر الش</w:t>
      </w:r>
      <w:r w:rsidR="002965D5" w:rsidRPr="00282AC9">
        <w:rPr>
          <w:rFonts w:hint="cs"/>
          <w:sz w:val="27"/>
          <w:rtl/>
        </w:rPr>
        <w:t>ُّ</w:t>
      </w:r>
      <w:r w:rsidRPr="00282AC9">
        <w:rPr>
          <w:rFonts w:hint="cs"/>
          <w:sz w:val="27"/>
          <w:rtl/>
        </w:rPr>
        <w:t>ب</w:t>
      </w:r>
      <w:r w:rsidR="002965D5" w:rsidRPr="00282AC9">
        <w:rPr>
          <w:rFonts w:hint="cs"/>
          <w:sz w:val="27"/>
          <w:rtl/>
        </w:rPr>
        <w:t>ْ</w:t>
      </w:r>
      <w:r w:rsidRPr="00282AC9">
        <w:rPr>
          <w:rFonts w:hint="cs"/>
          <w:sz w:val="27"/>
          <w:rtl/>
        </w:rPr>
        <w:t>هة ع</w:t>
      </w:r>
      <w:r w:rsidR="002965D5" w:rsidRPr="00282AC9">
        <w:rPr>
          <w:rFonts w:hint="cs"/>
          <w:sz w:val="27"/>
          <w:rtl/>
        </w:rPr>
        <w:t>ُ</w:t>
      </w:r>
      <w:r w:rsidRPr="00282AC9">
        <w:rPr>
          <w:rFonts w:hint="cs"/>
          <w:sz w:val="27"/>
          <w:rtl/>
        </w:rPr>
        <w:t>ذ</w:t>
      </w:r>
      <w:r w:rsidR="002965D5" w:rsidRPr="00282AC9">
        <w:rPr>
          <w:rFonts w:hint="cs"/>
          <w:sz w:val="27"/>
          <w:rtl/>
        </w:rPr>
        <w:t>ْ</w:t>
      </w:r>
      <w:r w:rsidRPr="00282AC9">
        <w:rPr>
          <w:rFonts w:hint="cs"/>
          <w:sz w:val="27"/>
          <w:rtl/>
        </w:rPr>
        <w:t>راً لهم</w:t>
      </w:r>
      <w:r w:rsidRPr="00282AC9">
        <w:rPr>
          <w:sz w:val="27"/>
          <w:vertAlign w:val="superscript"/>
          <w:rtl/>
        </w:rPr>
        <w:t>(</w:t>
      </w:r>
      <w:r w:rsidRPr="00282AC9">
        <w:rPr>
          <w:rStyle w:val="af9"/>
          <w:sz w:val="27"/>
          <w:rtl/>
        </w:rPr>
        <w:endnoteReference w:id="319"/>
      </w:r>
      <w:r w:rsidRPr="00282AC9">
        <w:rPr>
          <w:sz w:val="27"/>
          <w:vertAlign w:val="superscript"/>
          <w:rtl/>
        </w:rPr>
        <w:t>)</w:t>
      </w:r>
      <w:r w:rsidRPr="00282AC9">
        <w:rPr>
          <w:rFonts w:hint="cs"/>
          <w:sz w:val="27"/>
          <w:rtl/>
        </w:rPr>
        <w:t>.</w:t>
      </w:r>
    </w:p>
    <w:p w:rsidR="005A1BD7" w:rsidRPr="00282AC9" w:rsidRDefault="005A1BD7" w:rsidP="00E328F0">
      <w:pPr>
        <w:spacing w:line="386" w:lineRule="exact"/>
        <w:rPr>
          <w:sz w:val="27"/>
          <w:rtl/>
        </w:rPr>
      </w:pPr>
      <w:r w:rsidRPr="00282AC9">
        <w:rPr>
          <w:rFonts w:hint="cs"/>
          <w:sz w:val="27"/>
          <w:rtl/>
        </w:rPr>
        <w:t>وقال الشهيد الثاني بشأن الب</w:t>
      </w:r>
      <w:r w:rsidR="002965D5" w:rsidRPr="00282AC9">
        <w:rPr>
          <w:rFonts w:hint="cs"/>
          <w:sz w:val="27"/>
          <w:rtl/>
        </w:rPr>
        <w:t>ُ</w:t>
      </w:r>
      <w:r w:rsidRPr="00282AC9">
        <w:rPr>
          <w:rFonts w:hint="cs"/>
          <w:sz w:val="27"/>
          <w:rtl/>
        </w:rPr>
        <w:t xml:space="preserve">غاة: </w:t>
      </w:r>
      <w:r w:rsidRPr="00282AC9">
        <w:rPr>
          <w:rFonts w:hint="eastAsia"/>
          <w:sz w:val="24"/>
          <w:szCs w:val="24"/>
          <w:rtl/>
        </w:rPr>
        <w:t>«</w:t>
      </w:r>
      <w:r w:rsidRPr="00282AC9">
        <w:rPr>
          <w:sz w:val="27"/>
          <w:rtl/>
        </w:rPr>
        <w:t>أما البغاة فإنهم عندنا كف</w:t>
      </w:r>
      <w:r w:rsidR="002965D5" w:rsidRPr="00282AC9">
        <w:rPr>
          <w:rFonts w:hint="cs"/>
          <w:sz w:val="27"/>
          <w:rtl/>
        </w:rPr>
        <w:t>ّ</w:t>
      </w:r>
      <w:r w:rsidRPr="00282AC9">
        <w:rPr>
          <w:sz w:val="27"/>
          <w:rtl/>
        </w:rPr>
        <w:t>ار</w:t>
      </w:r>
      <w:r w:rsidR="002965D5" w:rsidRPr="00282AC9">
        <w:rPr>
          <w:rFonts w:hint="cs"/>
          <w:sz w:val="27"/>
          <w:rtl/>
        </w:rPr>
        <w:t>ٌ</w:t>
      </w:r>
      <w:r w:rsidRPr="00282AC9">
        <w:rPr>
          <w:sz w:val="27"/>
          <w:rtl/>
        </w:rPr>
        <w:t xml:space="preserve"> مرتد</w:t>
      </w:r>
      <w:r w:rsidR="002965D5" w:rsidRPr="00282AC9">
        <w:rPr>
          <w:rFonts w:hint="cs"/>
          <w:sz w:val="27"/>
          <w:rtl/>
        </w:rPr>
        <w:t>ّ</w:t>
      </w:r>
      <w:r w:rsidRPr="00282AC9">
        <w:rPr>
          <w:sz w:val="27"/>
          <w:rtl/>
        </w:rPr>
        <w:t>ون، فقد</w:t>
      </w:r>
      <w:r w:rsidRPr="00282AC9">
        <w:rPr>
          <w:rFonts w:hint="cs"/>
          <w:sz w:val="27"/>
          <w:rtl/>
        </w:rPr>
        <w:t xml:space="preserve"> </w:t>
      </w:r>
      <w:r w:rsidRPr="00282AC9">
        <w:rPr>
          <w:sz w:val="27"/>
          <w:rtl/>
        </w:rPr>
        <w:t>يطلب نقلهم إلى ال</w:t>
      </w:r>
      <w:r w:rsidRPr="00282AC9">
        <w:rPr>
          <w:rFonts w:hint="cs"/>
          <w:sz w:val="27"/>
          <w:rtl/>
        </w:rPr>
        <w:t>إ</w:t>
      </w:r>
      <w:r w:rsidRPr="00282AC9">
        <w:rPr>
          <w:sz w:val="27"/>
          <w:rtl/>
        </w:rPr>
        <w:t>سلام مع ال</w:t>
      </w:r>
      <w:r w:rsidRPr="00282AC9">
        <w:rPr>
          <w:rFonts w:hint="cs"/>
          <w:sz w:val="27"/>
          <w:rtl/>
        </w:rPr>
        <w:t>إ</w:t>
      </w:r>
      <w:r w:rsidRPr="00282AC9">
        <w:rPr>
          <w:sz w:val="27"/>
          <w:rtl/>
        </w:rPr>
        <w:t xml:space="preserve">مكان. </w:t>
      </w:r>
      <w:r w:rsidRPr="00282AC9">
        <w:rPr>
          <w:b/>
          <w:bCs/>
          <w:sz w:val="27"/>
          <w:rtl/>
        </w:rPr>
        <w:t>فإن</w:t>
      </w:r>
      <w:r w:rsidR="002965D5" w:rsidRPr="00282AC9">
        <w:rPr>
          <w:rFonts w:hint="cs"/>
          <w:b/>
          <w:bCs/>
          <w:sz w:val="27"/>
          <w:rtl/>
        </w:rPr>
        <w:t>ْ</w:t>
      </w:r>
      <w:r w:rsidRPr="00282AC9">
        <w:rPr>
          <w:b/>
          <w:bCs/>
          <w:sz w:val="27"/>
          <w:rtl/>
        </w:rPr>
        <w:t xml:space="preserve"> قيل</w:t>
      </w:r>
      <w:r w:rsidRPr="00282AC9">
        <w:rPr>
          <w:sz w:val="27"/>
          <w:rtl/>
        </w:rPr>
        <w:t>: إذا كانوا مرتد</w:t>
      </w:r>
      <w:r w:rsidR="002965D5" w:rsidRPr="00282AC9">
        <w:rPr>
          <w:rFonts w:hint="cs"/>
          <w:sz w:val="27"/>
          <w:rtl/>
        </w:rPr>
        <w:t>ّ</w:t>
      </w:r>
      <w:r w:rsidRPr="00282AC9">
        <w:rPr>
          <w:sz w:val="27"/>
          <w:rtl/>
        </w:rPr>
        <w:t>ين فارتدادهم فطري</w:t>
      </w:r>
      <w:r w:rsidR="002965D5" w:rsidRPr="00282AC9">
        <w:rPr>
          <w:rFonts w:hint="cs"/>
          <w:sz w:val="27"/>
          <w:rtl/>
        </w:rPr>
        <w:t>ّ،</w:t>
      </w:r>
      <w:r w:rsidRPr="00282AC9">
        <w:rPr>
          <w:sz w:val="27"/>
          <w:rtl/>
        </w:rPr>
        <w:t xml:space="preserve"> فكيف يطلب إسلامهم</w:t>
      </w:r>
      <w:r w:rsidR="002965D5" w:rsidRPr="00282AC9">
        <w:rPr>
          <w:rFonts w:hint="cs"/>
          <w:sz w:val="27"/>
          <w:rtl/>
        </w:rPr>
        <w:t>،</w:t>
      </w:r>
      <w:r w:rsidRPr="00282AC9">
        <w:rPr>
          <w:sz w:val="27"/>
          <w:rtl/>
        </w:rPr>
        <w:t xml:space="preserve"> مع أنه لا يقبل توبة هذا القسم من المرتد</w:t>
      </w:r>
      <w:r w:rsidR="002965D5" w:rsidRPr="00282AC9">
        <w:rPr>
          <w:rFonts w:hint="cs"/>
          <w:sz w:val="27"/>
          <w:rtl/>
        </w:rPr>
        <w:t>ّ</w:t>
      </w:r>
      <w:r w:rsidRPr="00282AC9">
        <w:rPr>
          <w:sz w:val="27"/>
          <w:rtl/>
        </w:rPr>
        <w:t>ين عندنا؟</w:t>
      </w:r>
      <w:r w:rsidR="002965D5" w:rsidRPr="00282AC9">
        <w:rPr>
          <w:rFonts w:hint="cs"/>
          <w:sz w:val="27"/>
          <w:rtl/>
        </w:rPr>
        <w:t>!</w:t>
      </w:r>
      <w:r w:rsidRPr="00282AC9">
        <w:rPr>
          <w:sz w:val="27"/>
          <w:rtl/>
        </w:rPr>
        <w:t xml:space="preserve"> </w:t>
      </w:r>
      <w:r w:rsidRPr="00282AC9">
        <w:rPr>
          <w:b/>
          <w:bCs/>
          <w:sz w:val="27"/>
          <w:rtl/>
        </w:rPr>
        <w:t>قلنا</w:t>
      </w:r>
      <w:r w:rsidRPr="00282AC9">
        <w:rPr>
          <w:sz w:val="27"/>
          <w:rtl/>
        </w:rPr>
        <w:t>: قد قبل علي</w:t>
      </w:r>
      <w:r w:rsidR="002965D5" w:rsidRPr="00282AC9">
        <w:rPr>
          <w:rFonts w:hint="cs"/>
          <w:sz w:val="27"/>
          <w:rtl/>
        </w:rPr>
        <w:t>ٌّ</w:t>
      </w:r>
      <w:r w:rsidR="009A2A04" w:rsidRPr="00282AC9">
        <w:rPr>
          <w:rFonts w:cs="Mosawi" w:hint="cs"/>
          <w:sz w:val="22"/>
          <w:szCs w:val="22"/>
          <w:rtl/>
        </w:rPr>
        <w:t>×</w:t>
      </w:r>
      <w:r w:rsidRPr="00282AC9">
        <w:rPr>
          <w:rFonts w:hint="cs"/>
          <w:sz w:val="27"/>
          <w:rtl/>
        </w:rPr>
        <w:t xml:space="preserve"> </w:t>
      </w:r>
      <w:r w:rsidRPr="00282AC9">
        <w:rPr>
          <w:sz w:val="27"/>
          <w:rtl/>
        </w:rPr>
        <w:t>توبة م</w:t>
      </w:r>
      <w:r w:rsidR="002965D5" w:rsidRPr="00282AC9">
        <w:rPr>
          <w:rFonts w:hint="cs"/>
          <w:sz w:val="27"/>
          <w:rtl/>
        </w:rPr>
        <w:t>َ</w:t>
      </w:r>
      <w:r w:rsidRPr="00282AC9">
        <w:rPr>
          <w:sz w:val="27"/>
          <w:rtl/>
        </w:rPr>
        <w:t>ن</w:t>
      </w:r>
      <w:r w:rsidR="002965D5" w:rsidRPr="00282AC9">
        <w:rPr>
          <w:rFonts w:hint="cs"/>
          <w:sz w:val="27"/>
          <w:rtl/>
        </w:rPr>
        <w:t>ْ</w:t>
      </w:r>
      <w:r w:rsidRPr="00282AC9">
        <w:rPr>
          <w:sz w:val="27"/>
          <w:rtl/>
        </w:rPr>
        <w:t xml:space="preserve"> تاب من الخوارج</w:t>
      </w:r>
      <w:r w:rsidR="002965D5" w:rsidRPr="00282AC9">
        <w:rPr>
          <w:rFonts w:hint="cs"/>
          <w:sz w:val="27"/>
          <w:rtl/>
        </w:rPr>
        <w:t>،</w:t>
      </w:r>
      <w:r w:rsidRPr="00282AC9">
        <w:rPr>
          <w:sz w:val="27"/>
          <w:rtl/>
        </w:rPr>
        <w:t xml:space="preserve"> وهو أكثرهم</w:t>
      </w:r>
      <w:r w:rsidRPr="00282AC9">
        <w:rPr>
          <w:rFonts w:hint="cs"/>
          <w:sz w:val="27"/>
          <w:rtl/>
        </w:rPr>
        <w:t xml:space="preserve">... </w:t>
      </w:r>
      <w:r w:rsidRPr="00282AC9">
        <w:rPr>
          <w:sz w:val="27"/>
          <w:rtl/>
        </w:rPr>
        <w:t>وهذا يدل</w:t>
      </w:r>
      <w:r w:rsidR="002965D5" w:rsidRPr="00282AC9">
        <w:rPr>
          <w:rFonts w:hint="cs"/>
          <w:sz w:val="27"/>
          <w:rtl/>
        </w:rPr>
        <w:t>ّ</w:t>
      </w:r>
      <w:r w:rsidRPr="00282AC9">
        <w:rPr>
          <w:sz w:val="27"/>
          <w:rtl/>
        </w:rPr>
        <w:t xml:space="preserve"> على أن لهذا النوع من المرتد</w:t>
      </w:r>
      <w:r w:rsidR="002965D5" w:rsidRPr="00282AC9">
        <w:rPr>
          <w:rFonts w:hint="cs"/>
          <w:sz w:val="27"/>
          <w:rtl/>
        </w:rPr>
        <w:t>ّ</w:t>
      </w:r>
      <w:r w:rsidRPr="00282AC9">
        <w:rPr>
          <w:sz w:val="27"/>
          <w:rtl/>
        </w:rPr>
        <w:t>ين حكما</w:t>
      </w:r>
      <w:r w:rsidRPr="00282AC9">
        <w:rPr>
          <w:rFonts w:hint="cs"/>
          <w:sz w:val="27"/>
          <w:rtl/>
        </w:rPr>
        <w:t>ً</w:t>
      </w:r>
      <w:r w:rsidRPr="00282AC9">
        <w:rPr>
          <w:sz w:val="27"/>
          <w:rtl/>
        </w:rPr>
        <w:t xml:space="preserve"> خاص</w:t>
      </w:r>
      <w:r w:rsidR="002965D5" w:rsidRPr="00282AC9">
        <w:rPr>
          <w:rFonts w:hint="cs"/>
          <w:sz w:val="27"/>
          <w:rtl/>
        </w:rPr>
        <w:t>ّ</w:t>
      </w:r>
      <w:r w:rsidRPr="00282AC9">
        <w:rPr>
          <w:sz w:val="27"/>
          <w:rtl/>
        </w:rPr>
        <w:t>ا</w:t>
      </w:r>
      <w:r w:rsidRPr="00282AC9">
        <w:rPr>
          <w:rFonts w:hint="cs"/>
          <w:sz w:val="27"/>
          <w:rtl/>
        </w:rPr>
        <w:t>ً</w:t>
      </w:r>
      <w:r w:rsidRPr="00282AC9">
        <w:rPr>
          <w:sz w:val="27"/>
          <w:rtl/>
        </w:rPr>
        <w:t xml:space="preserve">. وجاز أن يكون السبب </w:t>
      </w:r>
      <w:r w:rsidRPr="00282AC9">
        <w:rPr>
          <w:rFonts w:hint="cs"/>
          <w:sz w:val="27"/>
          <w:rtl/>
        </w:rPr>
        <w:t>ـ</w:t>
      </w:r>
      <w:r w:rsidRPr="00282AC9">
        <w:rPr>
          <w:sz w:val="27"/>
          <w:rtl/>
        </w:rPr>
        <w:t xml:space="preserve"> مع النص</w:t>
      </w:r>
      <w:r w:rsidR="002965D5" w:rsidRPr="00282AC9">
        <w:rPr>
          <w:rFonts w:hint="cs"/>
          <w:sz w:val="27"/>
          <w:rtl/>
        </w:rPr>
        <w:t>ّ</w:t>
      </w:r>
      <w:r w:rsidRPr="00282AC9">
        <w:rPr>
          <w:sz w:val="27"/>
          <w:rtl/>
        </w:rPr>
        <w:t xml:space="preserve"> </w:t>
      </w:r>
      <w:r w:rsidRPr="00282AC9">
        <w:rPr>
          <w:rFonts w:hint="cs"/>
          <w:sz w:val="27"/>
          <w:rtl/>
        </w:rPr>
        <w:t>ـ</w:t>
      </w:r>
      <w:r w:rsidRPr="00282AC9">
        <w:rPr>
          <w:sz w:val="27"/>
          <w:rtl/>
        </w:rPr>
        <w:t xml:space="preserve"> تمك</w:t>
      </w:r>
      <w:r w:rsidR="002965D5" w:rsidRPr="00282AC9">
        <w:rPr>
          <w:rFonts w:hint="cs"/>
          <w:sz w:val="27"/>
          <w:rtl/>
        </w:rPr>
        <w:t>ُّ</w:t>
      </w:r>
      <w:r w:rsidRPr="00282AC9">
        <w:rPr>
          <w:sz w:val="27"/>
          <w:rtl/>
        </w:rPr>
        <w:t>ن الش</w:t>
      </w:r>
      <w:r w:rsidR="002965D5" w:rsidRPr="00282AC9">
        <w:rPr>
          <w:rFonts w:hint="cs"/>
          <w:sz w:val="27"/>
          <w:rtl/>
        </w:rPr>
        <w:t>ُّ</w:t>
      </w:r>
      <w:r w:rsidRPr="00282AC9">
        <w:rPr>
          <w:sz w:val="27"/>
          <w:rtl/>
        </w:rPr>
        <w:t>ب</w:t>
      </w:r>
      <w:r w:rsidR="002965D5" w:rsidRPr="00282AC9">
        <w:rPr>
          <w:rFonts w:hint="cs"/>
          <w:sz w:val="27"/>
          <w:rtl/>
        </w:rPr>
        <w:t>ْ</w:t>
      </w:r>
      <w:r w:rsidRPr="00282AC9">
        <w:rPr>
          <w:sz w:val="27"/>
          <w:rtl/>
        </w:rPr>
        <w:t>هة من قلوبهم</w:t>
      </w:r>
      <w:r w:rsidRPr="00282AC9">
        <w:rPr>
          <w:rFonts w:hint="eastAsia"/>
          <w:sz w:val="24"/>
          <w:szCs w:val="24"/>
          <w:rtl/>
        </w:rPr>
        <w:t>»</w:t>
      </w:r>
      <w:r w:rsidRPr="00282AC9">
        <w:rPr>
          <w:sz w:val="27"/>
          <w:vertAlign w:val="superscript"/>
          <w:rtl/>
        </w:rPr>
        <w:t>(</w:t>
      </w:r>
      <w:r w:rsidRPr="00282AC9">
        <w:rPr>
          <w:rStyle w:val="af9"/>
          <w:sz w:val="27"/>
          <w:rtl/>
        </w:rPr>
        <w:endnoteReference w:id="320"/>
      </w:r>
      <w:r w:rsidRPr="00282AC9">
        <w:rPr>
          <w:sz w:val="27"/>
          <w:vertAlign w:val="superscript"/>
          <w:rtl/>
        </w:rPr>
        <w:t>)</w:t>
      </w:r>
      <w:r w:rsidRPr="00282AC9">
        <w:rPr>
          <w:rFonts w:hint="cs"/>
          <w:sz w:val="27"/>
          <w:rtl/>
        </w:rPr>
        <w:t>.</w:t>
      </w:r>
    </w:p>
    <w:p w:rsidR="005A1BD7" w:rsidRPr="00282AC9" w:rsidRDefault="005A1BD7" w:rsidP="00E328F0">
      <w:pPr>
        <w:spacing w:line="386" w:lineRule="exact"/>
        <w:rPr>
          <w:sz w:val="27"/>
          <w:rtl/>
        </w:rPr>
      </w:pPr>
      <w:r w:rsidRPr="00282AC9">
        <w:rPr>
          <w:rFonts w:hint="cs"/>
          <w:sz w:val="27"/>
          <w:rtl/>
        </w:rPr>
        <w:t>5ـ كما أن النبي الأكرم</w:t>
      </w:r>
      <w:r w:rsidR="009A2A04" w:rsidRPr="00282AC9">
        <w:rPr>
          <w:rFonts w:cs="Mosawi" w:hint="cs"/>
          <w:sz w:val="22"/>
          <w:szCs w:val="22"/>
          <w:rtl/>
        </w:rPr>
        <w:t>|</w:t>
      </w:r>
      <w:r w:rsidRPr="00282AC9">
        <w:rPr>
          <w:rFonts w:hint="cs"/>
          <w:sz w:val="27"/>
          <w:rtl/>
        </w:rPr>
        <w:t xml:space="preserve"> أصدر ع</w:t>
      </w:r>
      <w:r w:rsidR="00AC5B0C" w:rsidRPr="00282AC9">
        <w:rPr>
          <w:rFonts w:hint="cs"/>
          <w:sz w:val="27"/>
          <w:rtl/>
        </w:rPr>
        <w:t>َ</w:t>
      </w:r>
      <w:r w:rsidRPr="00282AC9">
        <w:rPr>
          <w:rFonts w:hint="cs"/>
          <w:sz w:val="27"/>
          <w:rtl/>
        </w:rPr>
        <w:t>ف</w:t>
      </w:r>
      <w:r w:rsidR="00AC5B0C" w:rsidRPr="00282AC9">
        <w:rPr>
          <w:rFonts w:hint="cs"/>
          <w:sz w:val="27"/>
          <w:rtl/>
        </w:rPr>
        <w:t>ْ</w:t>
      </w:r>
      <w:r w:rsidRPr="00282AC9">
        <w:rPr>
          <w:rFonts w:hint="cs"/>
          <w:sz w:val="27"/>
          <w:rtl/>
        </w:rPr>
        <w:t>واً عام</w:t>
      </w:r>
      <w:r w:rsidR="00AC5B0C" w:rsidRPr="00282AC9">
        <w:rPr>
          <w:rFonts w:hint="cs"/>
          <w:sz w:val="27"/>
          <w:rtl/>
        </w:rPr>
        <w:t>ّ</w:t>
      </w:r>
      <w:r w:rsidRPr="00282AC9">
        <w:rPr>
          <w:rFonts w:hint="cs"/>
          <w:sz w:val="27"/>
          <w:rtl/>
        </w:rPr>
        <w:t>اً، واستثنى من ذلك ست</w:t>
      </w:r>
      <w:r w:rsidR="00AC5B0C" w:rsidRPr="00282AC9">
        <w:rPr>
          <w:rFonts w:hint="cs"/>
          <w:sz w:val="27"/>
          <w:rtl/>
        </w:rPr>
        <w:t>ّ</w:t>
      </w:r>
      <w:r w:rsidRPr="00282AC9">
        <w:rPr>
          <w:rFonts w:hint="cs"/>
          <w:sz w:val="27"/>
          <w:rtl/>
        </w:rPr>
        <w:t>ة أشخاص فقط، اعتبرهم مستحق</w:t>
      </w:r>
      <w:r w:rsidR="00AC5B0C" w:rsidRPr="00282AC9">
        <w:rPr>
          <w:rFonts w:hint="cs"/>
          <w:sz w:val="27"/>
          <w:rtl/>
        </w:rPr>
        <w:t>ّ</w:t>
      </w:r>
      <w:r w:rsidRPr="00282AC9">
        <w:rPr>
          <w:rFonts w:hint="cs"/>
          <w:sz w:val="27"/>
          <w:rtl/>
        </w:rPr>
        <w:t>ين للقتل. ومن هؤلاء الست</w:t>
      </w:r>
      <w:r w:rsidR="00AC5B0C" w:rsidRPr="00282AC9">
        <w:rPr>
          <w:rFonts w:hint="cs"/>
          <w:sz w:val="27"/>
          <w:rtl/>
        </w:rPr>
        <w:t>ّ</w:t>
      </w:r>
      <w:r w:rsidRPr="00282AC9">
        <w:rPr>
          <w:rFonts w:hint="cs"/>
          <w:sz w:val="27"/>
          <w:rtl/>
        </w:rPr>
        <w:t>ة أسلم عكرمة</w:t>
      </w:r>
      <w:r w:rsidR="008B7650" w:rsidRPr="00282AC9">
        <w:rPr>
          <w:rFonts w:hint="cs"/>
          <w:sz w:val="27"/>
          <w:rtl/>
        </w:rPr>
        <w:t>،</w:t>
      </w:r>
      <w:r w:rsidRPr="00282AC9">
        <w:rPr>
          <w:rFonts w:hint="cs"/>
          <w:sz w:val="27"/>
          <w:rtl/>
        </w:rPr>
        <w:t xml:space="preserve"> وعفا عنه النبي</w:t>
      </w:r>
      <w:r w:rsidR="008B7650" w:rsidRPr="00282AC9">
        <w:rPr>
          <w:rFonts w:hint="cs"/>
          <w:sz w:val="27"/>
          <w:rtl/>
        </w:rPr>
        <w:t>ّ؛</w:t>
      </w:r>
      <w:r w:rsidRPr="00282AC9">
        <w:rPr>
          <w:rFonts w:hint="cs"/>
          <w:sz w:val="27"/>
          <w:rtl/>
        </w:rPr>
        <w:t xml:space="preserve"> وأما عبد الله بن سعد فقد ارتدّ وأنكر الكتاب والو</w:t>
      </w:r>
      <w:r w:rsidR="008B7650" w:rsidRPr="00282AC9">
        <w:rPr>
          <w:rFonts w:hint="cs"/>
          <w:sz w:val="27"/>
          <w:rtl/>
        </w:rPr>
        <w:t>َ</w:t>
      </w:r>
      <w:r w:rsidRPr="00282AC9">
        <w:rPr>
          <w:rFonts w:hint="cs"/>
          <w:sz w:val="27"/>
          <w:rtl/>
        </w:rPr>
        <w:t>ح</w:t>
      </w:r>
      <w:r w:rsidR="008B7650" w:rsidRPr="00282AC9">
        <w:rPr>
          <w:rFonts w:hint="cs"/>
          <w:sz w:val="27"/>
          <w:rtl/>
        </w:rPr>
        <w:t>ْ</w:t>
      </w:r>
      <w:r w:rsidRPr="00282AC9">
        <w:rPr>
          <w:rFonts w:hint="cs"/>
          <w:sz w:val="27"/>
          <w:rtl/>
        </w:rPr>
        <w:t>ي، والتحق بالمشركين، وحكم عليه النبي</w:t>
      </w:r>
      <w:r w:rsidR="008B7650" w:rsidRPr="00282AC9">
        <w:rPr>
          <w:rFonts w:hint="cs"/>
          <w:sz w:val="27"/>
          <w:rtl/>
        </w:rPr>
        <w:t>ّ</w:t>
      </w:r>
      <w:r w:rsidRPr="00282AC9">
        <w:rPr>
          <w:rFonts w:hint="cs"/>
          <w:sz w:val="27"/>
          <w:rtl/>
        </w:rPr>
        <w:t xml:space="preserve"> بالقتل، ولكن</w:t>
      </w:r>
      <w:r w:rsidR="008B7650" w:rsidRPr="00282AC9">
        <w:rPr>
          <w:rFonts w:hint="cs"/>
          <w:sz w:val="27"/>
          <w:rtl/>
        </w:rPr>
        <w:t>ّ</w:t>
      </w:r>
      <w:r w:rsidRPr="00282AC9">
        <w:rPr>
          <w:rFonts w:hint="cs"/>
          <w:sz w:val="27"/>
          <w:rtl/>
        </w:rPr>
        <w:t xml:space="preserve"> عثمان ـ </w:t>
      </w:r>
      <w:r w:rsidR="008B7650" w:rsidRPr="00282AC9">
        <w:rPr>
          <w:rFonts w:hint="cs"/>
          <w:sz w:val="27"/>
          <w:rtl/>
        </w:rPr>
        <w:t>وهو</w:t>
      </w:r>
      <w:r w:rsidRPr="00282AC9">
        <w:rPr>
          <w:rFonts w:hint="cs"/>
          <w:sz w:val="27"/>
          <w:rtl/>
        </w:rPr>
        <w:t xml:space="preserve"> كان أخاه في الرضاعة ـ طلب له العفو من النبيّ، فعفا عنه النبي</w:t>
      </w:r>
      <w:r w:rsidR="008B7650" w:rsidRPr="00282AC9">
        <w:rPr>
          <w:rFonts w:hint="cs"/>
          <w:sz w:val="27"/>
          <w:rtl/>
        </w:rPr>
        <w:t>ّ،</w:t>
      </w:r>
      <w:r w:rsidRPr="00282AC9">
        <w:rPr>
          <w:rFonts w:hint="cs"/>
          <w:sz w:val="27"/>
          <w:rtl/>
        </w:rPr>
        <w:t xml:space="preserve"> عن غير رغبة</w:t>
      </w:r>
      <w:r w:rsidR="008B7650" w:rsidRPr="00282AC9">
        <w:rPr>
          <w:rFonts w:hint="cs"/>
          <w:sz w:val="27"/>
          <w:rtl/>
        </w:rPr>
        <w:t>ٍ</w:t>
      </w:r>
      <w:r w:rsidRPr="00282AC9">
        <w:rPr>
          <w:rFonts w:hint="cs"/>
          <w:sz w:val="27"/>
          <w:rtl/>
        </w:rPr>
        <w:t>، ورعاية</w:t>
      </w:r>
      <w:r w:rsidR="008B7650" w:rsidRPr="00282AC9">
        <w:rPr>
          <w:rFonts w:hint="cs"/>
          <w:sz w:val="27"/>
          <w:rtl/>
        </w:rPr>
        <w:t>ً</w:t>
      </w:r>
      <w:r w:rsidRPr="00282AC9">
        <w:rPr>
          <w:rFonts w:hint="cs"/>
          <w:sz w:val="27"/>
          <w:rtl/>
        </w:rPr>
        <w:t xml:space="preserve"> للمصلحة</w:t>
      </w:r>
      <w:r w:rsidRPr="00282AC9">
        <w:rPr>
          <w:sz w:val="27"/>
          <w:vertAlign w:val="superscript"/>
          <w:rtl/>
        </w:rPr>
        <w:t>(</w:t>
      </w:r>
      <w:r w:rsidRPr="00282AC9">
        <w:rPr>
          <w:rStyle w:val="af9"/>
          <w:sz w:val="27"/>
          <w:rtl/>
        </w:rPr>
        <w:endnoteReference w:id="321"/>
      </w:r>
      <w:r w:rsidRPr="00282AC9">
        <w:rPr>
          <w:sz w:val="27"/>
          <w:vertAlign w:val="superscript"/>
          <w:rtl/>
        </w:rPr>
        <w:t>)</w:t>
      </w:r>
      <w:r w:rsidRPr="00282AC9">
        <w:rPr>
          <w:rFonts w:hint="cs"/>
          <w:sz w:val="27"/>
          <w:rtl/>
        </w:rPr>
        <w:t>.</w:t>
      </w:r>
    </w:p>
    <w:p w:rsidR="005A1BD7" w:rsidRPr="00282AC9" w:rsidRDefault="005A1BD7" w:rsidP="007C2A22">
      <w:pPr>
        <w:spacing w:line="380" w:lineRule="exact"/>
        <w:rPr>
          <w:sz w:val="27"/>
          <w:rtl/>
        </w:rPr>
      </w:pPr>
      <w:r w:rsidRPr="00282AC9">
        <w:rPr>
          <w:rFonts w:hint="cs"/>
          <w:sz w:val="27"/>
          <w:rtl/>
        </w:rPr>
        <w:t>6ـ هناك من الفقهاء م</w:t>
      </w:r>
      <w:r w:rsidR="008B7650" w:rsidRPr="00282AC9">
        <w:rPr>
          <w:rFonts w:hint="cs"/>
          <w:sz w:val="27"/>
          <w:rtl/>
        </w:rPr>
        <w:t>َ</w:t>
      </w:r>
      <w:r w:rsidRPr="00282AC9">
        <w:rPr>
          <w:rFonts w:hint="cs"/>
          <w:sz w:val="27"/>
          <w:rtl/>
        </w:rPr>
        <w:t>ن</w:t>
      </w:r>
      <w:r w:rsidR="008B7650" w:rsidRPr="00282AC9">
        <w:rPr>
          <w:rFonts w:hint="cs"/>
          <w:sz w:val="27"/>
          <w:rtl/>
        </w:rPr>
        <w:t>ْ</w:t>
      </w:r>
      <w:r w:rsidRPr="00282AC9">
        <w:rPr>
          <w:rFonts w:hint="cs"/>
          <w:sz w:val="27"/>
          <w:rtl/>
        </w:rPr>
        <w:t xml:space="preserve"> لا يعتبر الارتداد الجماعي</w:t>
      </w:r>
      <w:r w:rsidR="008B7650" w:rsidRPr="00282AC9">
        <w:rPr>
          <w:rFonts w:hint="cs"/>
          <w:sz w:val="27"/>
          <w:rtl/>
        </w:rPr>
        <w:t>ّ</w:t>
      </w:r>
      <w:r w:rsidRPr="00282AC9">
        <w:rPr>
          <w:rFonts w:hint="cs"/>
          <w:sz w:val="27"/>
          <w:rtl/>
        </w:rPr>
        <w:t>، الناشئ عن تسمّ</w:t>
      </w:r>
      <w:r w:rsidR="008B7650" w:rsidRPr="00282AC9">
        <w:rPr>
          <w:rFonts w:hint="cs"/>
          <w:sz w:val="27"/>
          <w:rtl/>
        </w:rPr>
        <w:t>ُ</w:t>
      </w:r>
      <w:r w:rsidRPr="00282AC9">
        <w:rPr>
          <w:rFonts w:hint="cs"/>
          <w:sz w:val="27"/>
          <w:rtl/>
        </w:rPr>
        <w:t>م الأجواء الفكري</w:t>
      </w:r>
      <w:r w:rsidR="008B7650" w:rsidRPr="00282AC9">
        <w:rPr>
          <w:rFonts w:hint="cs"/>
          <w:sz w:val="27"/>
          <w:rtl/>
        </w:rPr>
        <w:t>ّ</w:t>
      </w:r>
      <w:r w:rsidRPr="00282AC9">
        <w:rPr>
          <w:rFonts w:hint="cs"/>
          <w:sz w:val="27"/>
          <w:rtl/>
        </w:rPr>
        <w:t>ة للمجتمع</w:t>
      </w:r>
      <w:r w:rsidR="008B7650" w:rsidRPr="00282AC9">
        <w:rPr>
          <w:rFonts w:hint="cs"/>
          <w:sz w:val="27"/>
          <w:rtl/>
        </w:rPr>
        <w:t>،</w:t>
      </w:r>
      <w:r w:rsidRPr="00282AC9">
        <w:rPr>
          <w:rFonts w:hint="cs"/>
          <w:sz w:val="27"/>
          <w:rtl/>
        </w:rPr>
        <w:t xml:space="preserve"> مشمولاً للأحكام الفقهي</w:t>
      </w:r>
      <w:r w:rsidR="008B7650" w:rsidRPr="00282AC9">
        <w:rPr>
          <w:rFonts w:hint="cs"/>
          <w:sz w:val="27"/>
          <w:rtl/>
        </w:rPr>
        <w:t>ّ</w:t>
      </w:r>
      <w:r w:rsidRPr="00282AC9">
        <w:rPr>
          <w:rFonts w:hint="cs"/>
          <w:sz w:val="27"/>
          <w:rtl/>
        </w:rPr>
        <w:t>ة الخاص</w:t>
      </w:r>
      <w:r w:rsidR="008B7650" w:rsidRPr="00282AC9">
        <w:rPr>
          <w:rFonts w:hint="cs"/>
          <w:sz w:val="27"/>
          <w:rtl/>
        </w:rPr>
        <w:t>ّة</w:t>
      </w:r>
      <w:r w:rsidRPr="00282AC9">
        <w:rPr>
          <w:rFonts w:hint="cs"/>
          <w:sz w:val="27"/>
          <w:rtl/>
        </w:rPr>
        <w:t xml:space="preserve"> بالارتداد، ويقول في ذلك: </w:t>
      </w:r>
      <w:r w:rsidRPr="00282AC9">
        <w:rPr>
          <w:rFonts w:hint="eastAsia"/>
          <w:sz w:val="24"/>
          <w:szCs w:val="24"/>
          <w:rtl/>
        </w:rPr>
        <w:t>«</w:t>
      </w:r>
      <w:r w:rsidRPr="00282AC9">
        <w:rPr>
          <w:rFonts w:hint="cs"/>
          <w:sz w:val="27"/>
          <w:rtl/>
        </w:rPr>
        <w:t>إذا كان ارتداد المرتد</w:t>
      </w:r>
      <w:r w:rsidR="008B7650" w:rsidRPr="00282AC9">
        <w:rPr>
          <w:rFonts w:hint="cs"/>
          <w:sz w:val="27"/>
          <w:rtl/>
        </w:rPr>
        <w:t>ّ</w:t>
      </w:r>
      <w:r w:rsidRPr="00282AC9">
        <w:rPr>
          <w:rFonts w:hint="cs"/>
          <w:sz w:val="27"/>
          <w:rtl/>
        </w:rPr>
        <w:t xml:space="preserve"> الفطري</w:t>
      </w:r>
      <w:r w:rsidR="008B7650" w:rsidRPr="00282AC9">
        <w:rPr>
          <w:rFonts w:hint="cs"/>
          <w:sz w:val="27"/>
          <w:rtl/>
        </w:rPr>
        <w:t>ّ</w:t>
      </w:r>
      <w:r w:rsidRPr="00282AC9">
        <w:rPr>
          <w:rFonts w:hint="cs"/>
          <w:sz w:val="27"/>
          <w:rtl/>
        </w:rPr>
        <w:t xml:space="preserve"> عن شبهة</w:t>
      </w:r>
      <w:r w:rsidR="008B7650" w:rsidRPr="00282AC9">
        <w:rPr>
          <w:rFonts w:hint="cs"/>
          <w:sz w:val="27"/>
          <w:rtl/>
        </w:rPr>
        <w:t>ٍ</w:t>
      </w:r>
      <w:r w:rsidRPr="00282AC9">
        <w:rPr>
          <w:rFonts w:hint="cs"/>
          <w:sz w:val="27"/>
          <w:rtl/>
        </w:rPr>
        <w:t>، بحيث شك</w:t>
      </w:r>
      <w:r w:rsidR="008B7650" w:rsidRPr="00282AC9">
        <w:rPr>
          <w:rFonts w:hint="cs"/>
          <w:sz w:val="27"/>
          <w:rtl/>
        </w:rPr>
        <w:t>َّ</w:t>
      </w:r>
      <w:r w:rsidRPr="00282AC9">
        <w:rPr>
          <w:rFonts w:hint="cs"/>
          <w:sz w:val="27"/>
          <w:rtl/>
        </w:rPr>
        <w:t>ل</w:t>
      </w:r>
      <w:r w:rsidR="008B7650" w:rsidRPr="00282AC9">
        <w:rPr>
          <w:rFonts w:hint="cs"/>
          <w:sz w:val="27"/>
          <w:rtl/>
        </w:rPr>
        <w:t>َ</w:t>
      </w:r>
      <w:r w:rsidRPr="00282AC9">
        <w:rPr>
          <w:rFonts w:hint="cs"/>
          <w:sz w:val="27"/>
          <w:rtl/>
        </w:rPr>
        <w:t>ت</w:t>
      </w:r>
      <w:r w:rsidR="008B7650" w:rsidRPr="00282AC9">
        <w:rPr>
          <w:rFonts w:hint="cs"/>
          <w:sz w:val="27"/>
          <w:rtl/>
        </w:rPr>
        <w:t>ْ</w:t>
      </w:r>
      <w:r w:rsidRPr="00282AC9">
        <w:rPr>
          <w:rFonts w:hint="cs"/>
          <w:sz w:val="27"/>
          <w:rtl/>
        </w:rPr>
        <w:t xml:space="preserve"> عقبة</w:t>
      </w:r>
      <w:r w:rsidR="008B7650" w:rsidRPr="00282AC9">
        <w:rPr>
          <w:rFonts w:hint="cs"/>
          <w:sz w:val="27"/>
          <w:rtl/>
        </w:rPr>
        <w:t>ً</w:t>
      </w:r>
      <w:r w:rsidRPr="00282AC9">
        <w:rPr>
          <w:rFonts w:hint="cs"/>
          <w:sz w:val="27"/>
          <w:rtl/>
        </w:rPr>
        <w:t xml:space="preserve"> دون اعتقاده، فإن</w:t>
      </w:r>
      <w:r w:rsidR="008B7650" w:rsidRPr="00282AC9">
        <w:rPr>
          <w:rFonts w:hint="cs"/>
          <w:sz w:val="27"/>
          <w:rtl/>
        </w:rPr>
        <w:t>ّ</w:t>
      </w:r>
      <w:r w:rsidRPr="00282AC9">
        <w:rPr>
          <w:rFonts w:hint="cs"/>
          <w:sz w:val="27"/>
          <w:rtl/>
        </w:rPr>
        <w:t xml:space="preserve"> توبته تُق</w:t>
      </w:r>
      <w:r w:rsidR="008B7650" w:rsidRPr="00282AC9">
        <w:rPr>
          <w:rFonts w:hint="cs"/>
          <w:sz w:val="27"/>
          <w:rtl/>
        </w:rPr>
        <w:t>ْ</w:t>
      </w:r>
      <w:r w:rsidRPr="00282AC9">
        <w:rPr>
          <w:rFonts w:hint="cs"/>
          <w:sz w:val="27"/>
          <w:rtl/>
        </w:rPr>
        <w:t>ب</w:t>
      </w:r>
      <w:r w:rsidR="008B7650" w:rsidRPr="00282AC9">
        <w:rPr>
          <w:rFonts w:hint="cs"/>
          <w:sz w:val="27"/>
          <w:rtl/>
        </w:rPr>
        <w:t>َ</w:t>
      </w:r>
      <w:r w:rsidRPr="00282AC9">
        <w:rPr>
          <w:rFonts w:hint="cs"/>
          <w:sz w:val="27"/>
          <w:rtl/>
        </w:rPr>
        <w:t>ل</w:t>
      </w:r>
      <w:r w:rsidRPr="00282AC9">
        <w:rPr>
          <w:rFonts w:hint="eastAsia"/>
          <w:sz w:val="24"/>
          <w:szCs w:val="24"/>
          <w:rtl/>
        </w:rPr>
        <w:t>»</w:t>
      </w:r>
      <w:r w:rsidRPr="00282AC9">
        <w:rPr>
          <w:sz w:val="27"/>
          <w:vertAlign w:val="superscript"/>
          <w:rtl/>
        </w:rPr>
        <w:t>(</w:t>
      </w:r>
      <w:r w:rsidRPr="00282AC9">
        <w:rPr>
          <w:rStyle w:val="af9"/>
          <w:sz w:val="27"/>
          <w:rtl/>
        </w:rPr>
        <w:endnoteReference w:id="322"/>
      </w:r>
      <w:r w:rsidRPr="00282AC9">
        <w:rPr>
          <w:sz w:val="27"/>
          <w:vertAlign w:val="superscript"/>
          <w:rtl/>
        </w:rPr>
        <w:t>)</w:t>
      </w:r>
      <w:r w:rsidRPr="00282AC9">
        <w:rPr>
          <w:rFonts w:hint="cs"/>
          <w:sz w:val="27"/>
          <w:rtl/>
        </w:rPr>
        <w:t>.</w:t>
      </w:r>
    </w:p>
    <w:p w:rsidR="005A1BD7" w:rsidRPr="00282AC9" w:rsidRDefault="005A1BD7" w:rsidP="00E328F0">
      <w:pPr>
        <w:spacing w:line="386" w:lineRule="exact"/>
        <w:rPr>
          <w:sz w:val="27"/>
          <w:rtl/>
        </w:rPr>
      </w:pPr>
      <w:r w:rsidRPr="00282AC9">
        <w:rPr>
          <w:rFonts w:hint="cs"/>
          <w:sz w:val="27"/>
          <w:rtl/>
        </w:rPr>
        <w:t xml:space="preserve">وقال </w:t>
      </w:r>
      <w:r w:rsidR="00173765" w:rsidRPr="00282AC9">
        <w:rPr>
          <w:rFonts w:hint="cs"/>
          <w:sz w:val="27"/>
          <w:rtl/>
        </w:rPr>
        <w:t>الشيخ</w:t>
      </w:r>
      <w:r w:rsidRPr="00282AC9">
        <w:rPr>
          <w:rFonts w:hint="cs"/>
          <w:sz w:val="27"/>
          <w:rtl/>
        </w:rPr>
        <w:t xml:space="preserve"> ناصر مكارم الشيرازي ـ وهو من الفقهاء المعاصرين ـ في هذا الشأن: إن الروايات التي تذكر مسألة الدعوة إلى التوبة بالنسبة إلى المرتد</w:t>
      </w:r>
      <w:r w:rsidR="00173765" w:rsidRPr="00282AC9">
        <w:rPr>
          <w:rFonts w:hint="cs"/>
          <w:sz w:val="27"/>
          <w:rtl/>
        </w:rPr>
        <w:t>ّ</w:t>
      </w:r>
      <w:r w:rsidRPr="00282AC9">
        <w:rPr>
          <w:rFonts w:hint="cs"/>
          <w:sz w:val="27"/>
          <w:rtl/>
        </w:rPr>
        <w:t xml:space="preserve"> بشكل</w:t>
      </w:r>
      <w:r w:rsidR="00173765" w:rsidRPr="00282AC9">
        <w:rPr>
          <w:rFonts w:hint="cs"/>
          <w:sz w:val="27"/>
          <w:rtl/>
        </w:rPr>
        <w:t>ٍ</w:t>
      </w:r>
      <w:r w:rsidRPr="00282AC9">
        <w:rPr>
          <w:rFonts w:hint="cs"/>
          <w:sz w:val="27"/>
          <w:rtl/>
        </w:rPr>
        <w:t xml:space="preserve"> مطلق لا تختص</w:t>
      </w:r>
      <w:r w:rsidR="00173765" w:rsidRPr="00282AC9">
        <w:rPr>
          <w:rFonts w:hint="cs"/>
          <w:sz w:val="27"/>
          <w:rtl/>
        </w:rPr>
        <w:t>ّ</w:t>
      </w:r>
      <w:r w:rsidRPr="00282AC9">
        <w:rPr>
          <w:rFonts w:hint="cs"/>
          <w:sz w:val="27"/>
          <w:rtl/>
        </w:rPr>
        <w:t xml:space="preserve"> بالمرتد الملّي، بمعنى أنها تشمل المرتد</w:t>
      </w:r>
      <w:r w:rsidR="00ED7C20" w:rsidRPr="00282AC9">
        <w:rPr>
          <w:rFonts w:hint="cs"/>
          <w:sz w:val="27"/>
          <w:rtl/>
        </w:rPr>
        <w:t>ّ</w:t>
      </w:r>
      <w:r w:rsidRPr="00282AC9">
        <w:rPr>
          <w:rFonts w:hint="cs"/>
          <w:sz w:val="27"/>
          <w:rtl/>
        </w:rPr>
        <w:t xml:space="preserve"> الفطري أيضاً. وفي مقام الجمع بين هاتين الطائفتين من الروايات هناك احتمالات</w:t>
      </w:r>
      <w:r w:rsidR="00ED7C20" w:rsidRPr="00282AC9">
        <w:rPr>
          <w:rFonts w:hint="cs"/>
          <w:sz w:val="27"/>
          <w:rtl/>
        </w:rPr>
        <w:t>ٌ</w:t>
      </w:r>
      <w:r w:rsidRPr="00282AC9">
        <w:rPr>
          <w:rFonts w:hint="cs"/>
          <w:sz w:val="27"/>
          <w:rtl/>
        </w:rPr>
        <w:t xml:space="preserve"> مختلفة، </w:t>
      </w:r>
      <w:r w:rsidR="00674EF5" w:rsidRPr="00282AC9">
        <w:rPr>
          <w:rFonts w:hint="cs"/>
          <w:sz w:val="27"/>
          <w:rtl/>
        </w:rPr>
        <w:t>بَيْدَ</w:t>
      </w:r>
      <w:r w:rsidRPr="00282AC9">
        <w:rPr>
          <w:rFonts w:hint="cs"/>
          <w:sz w:val="27"/>
          <w:rtl/>
        </w:rPr>
        <w:t xml:space="preserve"> أننا نحتمل أن الطائفة الأولى (عدم الاستتابة) تخص</w:t>
      </w:r>
      <w:r w:rsidR="00ED7C20" w:rsidRPr="00282AC9">
        <w:rPr>
          <w:rFonts w:hint="cs"/>
          <w:sz w:val="27"/>
          <w:rtl/>
        </w:rPr>
        <w:t>ّ</w:t>
      </w:r>
      <w:r w:rsidRPr="00282AC9">
        <w:rPr>
          <w:rFonts w:hint="cs"/>
          <w:sz w:val="27"/>
          <w:rtl/>
        </w:rPr>
        <w:t xml:space="preserve"> الأشخاص الذين يسلكون طريق الانحراف عن علم</w:t>
      </w:r>
      <w:r w:rsidR="00ED7C20" w:rsidRPr="00282AC9">
        <w:rPr>
          <w:rFonts w:hint="cs"/>
          <w:sz w:val="27"/>
          <w:rtl/>
        </w:rPr>
        <w:t>ٍ</w:t>
      </w:r>
      <w:r w:rsidRPr="00282AC9">
        <w:rPr>
          <w:rFonts w:hint="cs"/>
          <w:sz w:val="27"/>
          <w:rtl/>
        </w:rPr>
        <w:t>، والطائفة الثانية تخص</w:t>
      </w:r>
      <w:r w:rsidR="00ED7C20" w:rsidRPr="00282AC9">
        <w:rPr>
          <w:rFonts w:hint="cs"/>
          <w:sz w:val="27"/>
          <w:rtl/>
        </w:rPr>
        <w:t>ّ</w:t>
      </w:r>
      <w:r w:rsidRPr="00282AC9">
        <w:rPr>
          <w:rFonts w:hint="cs"/>
          <w:sz w:val="27"/>
          <w:rtl/>
        </w:rPr>
        <w:t xml:space="preserve"> أولئك الذين تعرّ</w:t>
      </w:r>
      <w:r w:rsidR="00ED7C20" w:rsidRPr="00282AC9">
        <w:rPr>
          <w:rFonts w:hint="cs"/>
          <w:sz w:val="27"/>
          <w:rtl/>
        </w:rPr>
        <w:t>َ</w:t>
      </w:r>
      <w:r w:rsidRPr="00282AC9">
        <w:rPr>
          <w:rFonts w:hint="cs"/>
          <w:sz w:val="27"/>
          <w:rtl/>
        </w:rPr>
        <w:t>ضوا لش</w:t>
      </w:r>
      <w:r w:rsidR="00ED7C20" w:rsidRPr="00282AC9">
        <w:rPr>
          <w:rFonts w:hint="cs"/>
          <w:sz w:val="27"/>
          <w:rtl/>
        </w:rPr>
        <w:t>ُ</w:t>
      </w:r>
      <w:r w:rsidRPr="00282AC9">
        <w:rPr>
          <w:rFonts w:hint="cs"/>
          <w:sz w:val="27"/>
          <w:rtl/>
        </w:rPr>
        <w:t>ب</w:t>
      </w:r>
      <w:r w:rsidR="00ED7C20" w:rsidRPr="00282AC9">
        <w:rPr>
          <w:rFonts w:hint="cs"/>
          <w:sz w:val="27"/>
          <w:rtl/>
        </w:rPr>
        <w:t>ْ</w:t>
      </w:r>
      <w:r w:rsidRPr="00282AC9">
        <w:rPr>
          <w:rFonts w:hint="cs"/>
          <w:sz w:val="27"/>
          <w:rtl/>
        </w:rPr>
        <w:t>هة</w:t>
      </w:r>
      <w:r w:rsidR="00ED7C20" w:rsidRPr="00282AC9">
        <w:rPr>
          <w:rFonts w:hint="cs"/>
          <w:sz w:val="27"/>
          <w:rtl/>
        </w:rPr>
        <w:t>ٍ</w:t>
      </w:r>
      <w:r w:rsidRPr="00282AC9">
        <w:rPr>
          <w:rFonts w:hint="cs"/>
          <w:sz w:val="27"/>
          <w:rtl/>
        </w:rPr>
        <w:t xml:space="preserve"> أو لتشويش</w:t>
      </w:r>
      <w:r w:rsidR="00ED7C20" w:rsidRPr="00282AC9">
        <w:rPr>
          <w:rFonts w:hint="cs"/>
          <w:sz w:val="27"/>
          <w:rtl/>
        </w:rPr>
        <w:t>ٍ؛</w:t>
      </w:r>
      <w:r w:rsidRPr="00282AC9">
        <w:rPr>
          <w:rFonts w:hint="cs"/>
          <w:sz w:val="27"/>
          <w:rtl/>
        </w:rPr>
        <w:t xml:space="preserve"> بتأثير من الإعلام المغرض</w:t>
      </w:r>
      <w:r w:rsidR="00ED7C20" w:rsidRPr="00282AC9">
        <w:rPr>
          <w:rFonts w:hint="cs"/>
          <w:sz w:val="27"/>
          <w:rtl/>
        </w:rPr>
        <w:t>،</w:t>
      </w:r>
      <w:r w:rsidRPr="00282AC9">
        <w:rPr>
          <w:rFonts w:hint="cs"/>
          <w:sz w:val="27"/>
          <w:rtl/>
        </w:rPr>
        <w:t xml:space="preserve"> والصادر من طرف</w:t>
      </w:r>
      <w:r w:rsidR="00ED7C20" w:rsidRPr="00282AC9">
        <w:rPr>
          <w:rFonts w:hint="cs"/>
          <w:sz w:val="27"/>
          <w:rtl/>
        </w:rPr>
        <w:t>ٍ</w:t>
      </w:r>
      <w:r w:rsidRPr="00282AC9">
        <w:rPr>
          <w:rFonts w:hint="cs"/>
          <w:sz w:val="27"/>
          <w:rtl/>
        </w:rPr>
        <w:t xml:space="preserve"> واحد</w:t>
      </w:r>
      <w:r w:rsidR="00ED7C20" w:rsidRPr="00282AC9">
        <w:rPr>
          <w:rFonts w:hint="cs"/>
          <w:sz w:val="27"/>
          <w:rtl/>
        </w:rPr>
        <w:t>؛</w:t>
      </w:r>
      <w:r w:rsidRPr="00282AC9">
        <w:rPr>
          <w:rFonts w:hint="cs"/>
          <w:sz w:val="27"/>
          <w:rtl/>
        </w:rPr>
        <w:t xml:space="preserve"> حيث لا يتم</w:t>
      </w:r>
      <w:r w:rsidR="00ED7C20" w:rsidRPr="00282AC9">
        <w:rPr>
          <w:rFonts w:hint="cs"/>
          <w:sz w:val="27"/>
          <w:rtl/>
        </w:rPr>
        <w:t>ّ</w:t>
      </w:r>
      <w:r w:rsidRPr="00282AC9">
        <w:rPr>
          <w:rFonts w:hint="cs"/>
          <w:sz w:val="27"/>
          <w:rtl/>
        </w:rPr>
        <w:t xml:space="preserve"> تطبيق الحدود في غير الموارد القطعي</w:t>
      </w:r>
      <w:r w:rsidR="00ED7C20" w:rsidRPr="00282AC9">
        <w:rPr>
          <w:rFonts w:hint="cs"/>
          <w:sz w:val="27"/>
          <w:rtl/>
        </w:rPr>
        <w:t>ّ</w:t>
      </w:r>
      <w:r w:rsidRPr="00282AC9">
        <w:rPr>
          <w:rFonts w:hint="cs"/>
          <w:sz w:val="27"/>
          <w:rtl/>
        </w:rPr>
        <w:t>ة؛ لأن الحدود تُد</w:t>
      </w:r>
      <w:r w:rsidR="00ED7C20" w:rsidRPr="00282AC9">
        <w:rPr>
          <w:rFonts w:hint="cs"/>
          <w:sz w:val="27"/>
          <w:rtl/>
        </w:rPr>
        <w:t>ْ</w:t>
      </w:r>
      <w:r w:rsidRPr="00282AC9">
        <w:rPr>
          <w:rFonts w:hint="cs"/>
          <w:sz w:val="27"/>
          <w:rtl/>
        </w:rPr>
        <w:t>ر</w:t>
      </w:r>
      <w:r w:rsidR="00ED7C20" w:rsidRPr="00282AC9">
        <w:rPr>
          <w:rFonts w:hint="cs"/>
          <w:sz w:val="27"/>
          <w:rtl/>
        </w:rPr>
        <w:t>َ</w:t>
      </w:r>
      <w:r w:rsidRPr="00282AC9">
        <w:rPr>
          <w:rFonts w:hint="cs"/>
          <w:sz w:val="27"/>
          <w:rtl/>
        </w:rPr>
        <w:t>أ بالش</w:t>
      </w:r>
      <w:r w:rsidR="00ED7C20" w:rsidRPr="00282AC9">
        <w:rPr>
          <w:rFonts w:hint="cs"/>
          <w:sz w:val="27"/>
          <w:rtl/>
        </w:rPr>
        <w:t>ُّ</w:t>
      </w:r>
      <w:r w:rsidRPr="00282AC9">
        <w:rPr>
          <w:rFonts w:hint="cs"/>
          <w:sz w:val="27"/>
          <w:rtl/>
        </w:rPr>
        <w:t>ب</w:t>
      </w:r>
      <w:r w:rsidR="00ED7C20" w:rsidRPr="00282AC9">
        <w:rPr>
          <w:rFonts w:hint="cs"/>
          <w:sz w:val="27"/>
          <w:rtl/>
        </w:rPr>
        <w:t>ُ</w:t>
      </w:r>
      <w:r w:rsidRPr="00282AC9">
        <w:rPr>
          <w:rFonts w:hint="cs"/>
          <w:sz w:val="27"/>
          <w:rtl/>
        </w:rPr>
        <w:t>هات</w:t>
      </w:r>
      <w:r w:rsidRPr="00282AC9">
        <w:rPr>
          <w:sz w:val="27"/>
          <w:vertAlign w:val="superscript"/>
          <w:rtl/>
        </w:rPr>
        <w:t>(</w:t>
      </w:r>
      <w:r w:rsidRPr="00282AC9">
        <w:rPr>
          <w:rStyle w:val="af9"/>
          <w:sz w:val="27"/>
          <w:rtl/>
        </w:rPr>
        <w:endnoteReference w:id="323"/>
      </w:r>
      <w:r w:rsidRPr="00282AC9">
        <w:rPr>
          <w:sz w:val="27"/>
          <w:vertAlign w:val="superscript"/>
          <w:rtl/>
        </w:rPr>
        <w:t>)</w:t>
      </w:r>
      <w:r w:rsidRPr="00282AC9">
        <w:rPr>
          <w:rFonts w:hint="cs"/>
          <w:sz w:val="27"/>
          <w:rtl/>
        </w:rPr>
        <w:t>.</w:t>
      </w:r>
    </w:p>
    <w:p w:rsidR="005A1BD7" w:rsidRPr="00282AC9" w:rsidRDefault="005A1BD7" w:rsidP="00E328F0">
      <w:pPr>
        <w:spacing w:line="386" w:lineRule="exact"/>
        <w:rPr>
          <w:sz w:val="27"/>
          <w:rtl/>
        </w:rPr>
      </w:pPr>
      <w:r w:rsidRPr="00282AC9">
        <w:rPr>
          <w:rFonts w:hint="cs"/>
          <w:sz w:val="27"/>
          <w:rtl/>
        </w:rPr>
        <w:t>7ـ كما يمكن لنا أن نقارن بين تعامل الإمام الخميني</w:t>
      </w:r>
      <w:r w:rsidR="009A2A04" w:rsidRPr="00282AC9">
        <w:rPr>
          <w:rFonts w:cs="Mosawi" w:hint="cs"/>
          <w:sz w:val="22"/>
          <w:szCs w:val="22"/>
          <w:rtl/>
        </w:rPr>
        <w:t>&amp;</w:t>
      </w:r>
      <w:r w:rsidRPr="00282AC9">
        <w:rPr>
          <w:rFonts w:hint="cs"/>
          <w:sz w:val="27"/>
          <w:rtl/>
        </w:rPr>
        <w:t xml:space="preserve"> مع الجبهة الوطنية وتعامله مع سلمان رشدي. لقد ذهبت الجبهة الوطنية إلى اعتبار حكم القصاص ـ الذي ورد في صريح نصّ القرآن الكريم ـ حكماً مخالفاً للنزعة الإنساني</w:t>
      </w:r>
      <w:r w:rsidR="00ED7C20" w:rsidRPr="00282AC9">
        <w:rPr>
          <w:rFonts w:hint="cs"/>
          <w:sz w:val="27"/>
          <w:rtl/>
        </w:rPr>
        <w:t>ّ</w:t>
      </w:r>
      <w:r w:rsidRPr="00282AC9">
        <w:rPr>
          <w:rFonts w:hint="cs"/>
          <w:sz w:val="27"/>
          <w:rtl/>
        </w:rPr>
        <w:t xml:space="preserve">ة، وأعلنوا عن </w:t>
      </w:r>
      <w:r w:rsidRPr="00282AC9">
        <w:rPr>
          <w:rFonts w:hint="cs"/>
          <w:sz w:val="27"/>
          <w:rtl/>
        </w:rPr>
        <w:lastRenderedPageBreak/>
        <w:t xml:space="preserve">اعتراضهم على قانون القصاص، وأعلن الإمام عن ارتدادهم، حيث قال: </w:t>
      </w:r>
      <w:r w:rsidRPr="00282AC9">
        <w:rPr>
          <w:rFonts w:hint="eastAsia"/>
          <w:sz w:val="24"/>
          <w:szCs w:val="24"/>
          <w:rtl/>
        </w:rPr>
        <w:t>«</w:t>
      </w:r>
      <w:r w:rsidRPr="00282AC9">
        <w:rPr>
          <w:rFonts w:hint="cs"/>
          <w:sz w:val="27"/>
          <w:rtl/>
        </w:rPr>
        <w:t>إن</w:t>
      </w:r>
      <w:r w:rsidR="00ED7C20" w:rsidRPr="00282AC9">
        <w:rPr>
          <w:rFonts w:hint="cs"/>
          <w:sz w:val="27"/>
          <w:rtl/>
        </w:rPr>
        <w:t>ّ</w:t>
      </w:r>
      <w:r w:rsidRPr="00282AC9">
        <w:rPr>
          <w:rFonts w:hint="cs"/>
          <w:sz w:val="27"/>
          <w:rtl/>
        </w:rPr>
        <w:t>ه ليحزنني أن يحفر هؤلاء قبورهم بأيديهم</w:t>
      </w:r>
      <w:r w:rsidR="00ED7C20" w:rsidRPr="00282AC9">
        <w:rPr>
          <w:rFonts w:hint="cs"/>
          <w:sz w:val="27"/>
          <w:rtl/>
        </w:rPr>
        <w:t>.</w:t>
      </w:r>
      <w:r w:rsidRPr="00282AC9">
        <w:rPr>
          <w:rFonts w:hint="cs"/>
          <w:sz w:val="27"/>
          <w:rtl/>
        </w:rPr>
        <w:t xml:space="preserve"> وأنا لم أك</w:t>
      </w:r>
      <w:r w:rsidR="00ED7C20" w:rsidRPr="00282AC9">
        <w:rPr>
          <w:rFonts w:hint="cs"/>
          <w:sz w:val="27"/>
          <w:rtl/>
        </w:rPr>
        <w:t>ُ</w:t>
      </w:r>
      <w:r w:rsidRPr="00282AC9">
        <w:rPr>
          <w:rFonts w:hint="cs"/>
          <w:sz w:val="27"/>
          <w:rtl/>
        </w:rPr>
        <w:t>ن</w:t>
      </w:r>
      <w:r w:rsidR="00ED7C20" w:rsidRPr="00282AC9">
        <w:rPr>
          <w:rFonts w:hint="cs"/>
          <w:sz w:val="27"/>
          <w:rtl/>
        </w:rPr>
        <w:t>ْ</w:t>
      </w:r>
      <w:r w:rsidRPr="00282AC9">
        <w:rPr>
          <w:rFonts w:hint="cs"/>
          <w:sz w:val="27"/>
          <w:rtl/>
        </w:rPr>
        <w:t xml:space="preserve"> أتمن</w:t>
      </w:r>
      <w:r w:rsidR="00ED7C20" w:rsidRPr="00282AC9">
        <w:rPr>
          <w:rFonts w:hint="cs"/>
          <w:sz w:val="27"/>
          <w:rtl/>
        </w:rPr>
        <w:t>ّ</w:t>
      </w:r>
      <w:r w:rsidRPr="00282AC9">
        <w:rPr>
          <w:rFonts w:hint="cs"/>
          <w:sz w:val="27"/>
          <w:rtl/>
        </w:rPr>
        <w:t>ى ذلك لهم. وأنا الآن أقبل توبتهم، والإسلام يقبل التوبة منهم</w:t>
      </w:r>
      <w:r w:rsidR="00CF09F5" w:rsidRPr="00282AC9">
        <w:rPr>
          <w:rFonts w:hint="cs"/>
          <w:sz w:val="27"/>
          <w:rtl/>
        </w:rPr>
        <w:t>،</w:t>
      </w:r>
      <w:r w:rsidRPr="00282AC9">
        <w:rPr>
          <w:rFonts w:hint="cs"/>
          <w:sz w:val="27"/>
          <w:rtl/>
        </w:rPr>
        <w:t xml:space="preserve"> فليذهبوا وليعلنوا عن توبتهم في الإذاعة أو التلفزيون، وليقولوا</w:t>
      </w:r>
      <w:r w:rsidR="00CF09F5" w:rsidRPr="00282AC9">
        <w:rPr>
          <w:rFonts w:hint="cs"/>
          <w:sz w:val="27"/>
          <w:rtl/>
        </w:rPr>
        <w:t>: إنهم كانوا مخطئين</w:t>
      </w:r>
      <w:r w:rsidRPr="00282AC9">
        <w:rPr>
          <w:rFonts w:hint="cs"/>
          <w:sz w:val="27"/>
          <w:rtl/>
        </w:rPr>
        <w:t>... إن الجبهة الوطنية هي منذ اليوم محكوم</w:t>
      </w:r>
      <w:r w:rsidR="00CF09F5" w:rsidRPr="00282AC9">
        <w:rPr>
          <w:rFonts w:hint="cs"/>
          <w:sz w:val="27"/>
          <w:rtl/>
        </w:rPr>
        <w:t>ٌ عليها بالارتداد</w:t>
      </w:r>
      <w:r w:rsidRPr="00282AC9">
        <w:rPr>
          <w:rFonts w:hint="cs"/>
          <w:sz w:val="27"/>
          <w:rtl/>
        </w:rPr>
        <w:t>...</w:t>
      </w:r>
      <w:r w:rsidR="00CF09F5" w:rsidRPr="00282AC9">
        <w:rPr>
          <w:rFonts w:hint="cs"/>
          <w:sz w:val="27"/>
          <w:rtl/>
        </w:rPr>
        <w:t>،</w:t>
      </w:r>
      <w:r w:rsidRPr="00282AC9">
        <w:rPr>
          <w:rFonts w:hint="cs"/>
          <w:sz w:val="27"/>
          <w:rtl/>
        </w:rPr>
        <w:t xml:space="preserve"> وحتى اليوم الذي تفتح فيه القبور لأجسادكم سوف تجدون باب التوبة مفتوحاً. إن رحمة الله واسعة</w:t>
      </w:r>
      <w:r w:rsidR="00CF09F5" w:rsidRPr="00282AC9">
        <w:rPr>
          <w:rFonts w:hint="cs"/>
          <w:sz w:val="27"/>
          <w:rtl/>
        </w:rPr>
        <w:t>ٌ</w:t>
      </w:r>
      <w:r w:rsidRPr="00282AC9">
        <w:rPr>
          <w:rFonts w:hint="cs"/>
          <w:sz w:val="27"/>
          <w:rtl/>
        </w:rPr>
        <w:t>، وإن</w:t>
      </w:r>
      <w:r w:rsidR="00CF09F5" w:rsidRPr="00282AC9">
        <w:rPr>
          <w:rFonts w:hint="cs"/>
          <w:sz w:val="27"/>
          <w:rtl/>
        </w:rPr>
        <w:t>ي أدعوكم إلى التوبة</w:t>
      </w:r>
      <w:r w:rsidRPr="00282AC9">
        <w:rPr>
          <w:rFonts w:hint="cs"/>
          <w:sz w:val="27"/>
          <w:rtl/>
        </w:rPr>
        <w:t>...</w:t>
      </w:r>
      <w:r w:rsidR="00CF09F5" w:rsidRPr="00282AC9">
        <w:rPr>
          <w:rFonts w:hint="cs"/>
          <w:sz w:val="27"/>
          <w:rtl/>
        </w:rPr>
        <w:t>،</w:t>
      </w:r>
      <w:r w:rsidRPr="00282AC9">
        <w:rPr>
          <w:rFonts w:hint="cs"/>
          <w:sz w:val="27"/>
          <w:rtl/>
        </w:rPr>
        <w:t xml:space="preserve"> عودوا</w:t>
      </w:r>
      <w:r w:rsidR="00CF09F5" w:rsidRPr="00282AC9">
        <w:rPr>
          <w:rFonts w:hint="cs"/>
          <w:sz w:val="27"/>
          <w:rtl/>
        </w:rPr>
        <w:t>،</w:t>
      </w:r>
      <w:r w:rsidRPr="00282AC9">
        <w:rPr>
          <w:rFonts w:hint="cs"/>
          <w:sz w:val="27"/>
          <w:rtl/>
        </w:rPr>
        <w:t xml:space="preserve"> وسوف ت</w:t>
      </w:r>
      <w:r w:rsidR="00CF09F5" w:rsidRPr="00282AC9">
        <w:rPr>
          <w:rFonts w:hint="cs"/>
          <w:sz w:val="27"/>
          <w:rtl/>
        </w:rPr>
        <w:t>ُ</w:t>
      </w:r>
      <w:r w:rsidRPr="00282AC9">
        <w:rPr>
          <w:rFonts w:hint="cs"/>
          <w:sz w:val="27"/>
          <w:rtl/>
        </w:rPr>
        <w:t>ق</w:t>
      </w:r>
      <w:r w:rsidR="00CF09F5" w:rsidRPr="00282AC9">
        <w:rPr>
          <w:rFonts w:hint="cs"/>
          <w:sz w:val="27"/>
          <w:rtl/>
        </w:rPr>
        <w:t>ْ</w:t>
      </w:r>
      <w:r w:rsidRPr="00282AC9">
        <w:rPr>
          <w:rFonts w:hint="cs"/>
          <w:sz w:val="27"/>
          <w:rtl/>
        </w:rPr>
        <w:t>ب</w:t>
      </w:r>
      <w:r w:rsidR="00CF09F5" w:rsidRPr="00282AC9">
        <w:rPr>
          <w:rFonts w:hint="cs"/>
          <w:sz w:val="27"/>
          <w:rtl/>
        </w:rPr>
        <w:t>َل توبتكم جميعاً</w:t>
      </w:r>
      <w:r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324"/>
      </w:r>
      <w:r w:rsidRPr="00282AC9">
        <w:rPr>
          <w:sz w:val="27"/>
          <w:vertAlign w:val="superscript"/>
          <w:rtl/>
        </w:rPr>
        <w:t>)</w:t>
      </w:r>
      <w:r w:rsidRPr="00282AC9">
        <w:rPr>
          <w:rFonts w:hint="cs"/>
          <w:sz w:val="27"/>
          <w:rtl/>
        </w:rPr>
        <w:t>.</w:t>
      </w:r>
    </w:p>
    <w:p w:rsidR="00CF09F5" w:rsidRPr="00282AC9" w:rsidRDefault="005A1BD7" w:rsidP="007C2A22">
      <w:pPr>
        <w:spacing w:line="386" w:lineRule="exact"/>
        <w:rPr>
          <w:sz w:val="27"/>
          <w:rtl/>
        </w:rPr>
      </w:pPr>
      <w:r w:rsidRPr="00282AC9">
        <w:rPr>
          <w:rFonts w:hint="cs"/>
          <w:sz w:val="27"/>
          <w:rtl/>
        </w:rPr>
        <w:t>إن الذي يمكن قوله</w:t>
      </w:r>
      <w:r w:rsidR="00CF09F5" w:rsidRPr="00282AC9">
        <w:rPr>
          <w:rFonts w:hint="cs"/>
          <w:sz w:val="27"/>
          <w:rtl/>
        </w:rPr>
        <w:t>،</w:t>
      </w:r>
      <w:r w:rsidRPr="00282AC9">
        <w:rPr>
          <w:rFonts w:hint="cs"/>
          <w:sz w:val="27"/>
          <w:rtl/>
        </w:rPr>
        <w:t xml:space="preserve"> بضرسٍ قاطع</w:t>
      </w:r>
      <w:r w:rsidR="00CF09F5" w:rsidRPr="00282AC9">
        <w:rPr>
          <w:rFonts w:hint="cs"/>
          <w:sz w:val="27"/>
          <w:rtl/>
        </w:rPr>
        <w:t>،</w:t>
      </w:r>
      <w:r w:rsidRPr="00282AC9">
        <w:rPr>
          <w:rFonts w:hint="cs"/>
          <w:sz w:val="27"/>
          <w:rtl/>
        </w:rPr>
        <w:t xml:space="preserve"> هو أن الكثير من أعضاء الجبهة الوطنية كانوا مسلمين بالفطرة، إلا</w:t>
      </w:r>
      <w:r w:rsidR="00CF09F5" w:rsidRPr="00282AC9">
        <w:rPr>
          <w:rFonts w:hint="cs"/>
          <w:sz w:val="27"/>
          <w:rtl/>
        </w:rPr>
        <w:t>ّ</w:t>
      </w:r>
      <w:r w:rsidRPr="00282AC9">
        <w:rPr>
          <w:rFonts w:hint="cs"/>
          <w:sz w:val="27"/>
          <w:rtl/>
        </w:rPr>
        <w:t xml:space="preserve"> أن الإمام</w:t>
      </w:r>
      <w:r w:rsidR="009A2A04" w:rsidRPr="00282AC9">
        <w:rPr>
          <w:rFonts w:cs="Mosawi" w:hint="cs"/>
          <w:sz w:val="22"/>
          <w:szCs w:val="22"/>
          <w:rtl/>
        </w:rPr>
        <w:t>&amp;</w:t>
      </w:r>
      <w:r w:rsidR="00CF09F5" w:rsidRPr="00282AC9">
        <w:rPr>
          <w:rFonts w:hint="cs"/>
          <w:sz w:val="27"/>
          <w:rtl/>
        </w:rPr>
        <w:t xml:space="preserve"> قال بأن الإسلام يقبل توبتهم.</w:t>
      </w:r>
    </w:p>
    <w:p w:rsidR="005A1BD7" w:rsidRPr="00282AC9" w:rsidRDefault="005A1BD7" w:rsidP="007C2A22">
      <w:pPr>
        <w:spacing w:line="384" w:lineRule="exact"/>
        <w:rPr>
          <w:sz w:val="27"/>
          <w:rtl/>
        </w:rPr>
      </w:pPr>
      <w:r w:rsidRPr="00282AC9">
        <w:rPr>
          <w:rFonts w:hint="cs"/>
          <w:sz w:val="27"/>
          <w:rtl/>
        </w:rPr>
        <w:t xml:space="preserve">وفي </w:t>
      </w:r>
      <w:r w:rsidR="00EE6DBA" w:rsidRPr="00282AC9">
        <w:rPr>
          <w:rFonts w:hint="cs"/>
          <w:sz w:val="27"/>
          <w:rtl/>
        </w:rPr>
        <w:t>مقابل</w:t>
      </w:r>
      <w:r w:rsidRPr="00282AC9">
        <w:rPr>
          <w:rFonts w:hint="cs"/>
          <w:sz w:val="27"/>
          <w:rtl/>
        </w:rPr>
        <w:t xml:space="preserve"> هذا الموقف </w:t>
      </w:r>
      <w:r w:rsidR="00CF09F5" w:rsidRPr="00282AC9">
        <w:rPr>
          <w:rFonts w:hint="cs"/>
          <w:sz w:val="27"/>
          <w:rtl/>
        </w:rPr>
        <w:t>حكمُ</w:t>
      </w:r>
      <w:r w:rsidRPr="00282AC9">
        <w:rPr>
          <w:rFonts w:hint="cs"/>
          <w:sz w:val="27"/>
          <w:rtl/>
        </w:rPr>
        <w:t xml:space="preserve"> الإمام</w:t>
      </w:r>
      <w:r w:rsidR="009A2A04" w:rsidRPr="00282AC9">
        <w:rPr>
          <w:rFonts w:cs="Mosawi" w:hint="cs"/>
          <w:sz w:val="22"/>
          <w:szCs w:val="22"/>
          <w:rtl/>
        </w:rPr>
        <w:t>&amp;</w:t>
      </w:r>
      <w:r w:rsidRPr="00282AC9">
        <w:rPr>
          <w:rFonts w:hint="cs"/>
          <w:sz w:val="27"/>
          <w:rtl/>
        </w:rPr>
        <w:t xml:space="preserve"> على سلمان رشدي بالارتداد</w:t>
      </w:r>
      <w:r w:rsidR="00CF09F5" w:rsidRPr="00282AC9">
        <w:rPr>
          <w:rFonts w:hint="cs"/>
          <w:sz w:val="27"/>
          <w:rtl/>
        </w:rPr>
        <w:t>.</w:t>
      </w:r>
      <w:r w:rsidRPr="00282AC9">
        <w:rPr>
          <w:rFonts w:hint="cs"/>
          <w:sz w:val="27"/>
          <w:rtl/>
        </w:rPr>
        <w:t xml:space="preserve"> وفي جوابه عن الإعلام الأجنبي</w:t>
      </w:r>
      <w:r w:rsidR="00CF09F5" w:rsidRPr="00282AC9">
        <w:rPr>
          <w:rFonts w:hint="cs"/>
          <w:sz w:val="27"/>
          <w:rtl/>
        </w:rPr>
        <w:t xml:space="preserve">ّ، </w:t>
      </w:r>
      <w:r w:rsidRPr="00282AC9">
        <w:rPr>
          <w:rFonts w:hint="cs"/>
          <w:sz w:val="27"/>
          <w:rtl/>
        </w:rPr>
        <w:t>الذي اد</w:t>
      </w:r>
      <w:r w:rsidR="00CF09F5" w:rsidRPr="00282AC9">
        <w:rPr>
          <w:rFonts w:hint="cs"/>
          <w:sz w:val="27"/>
          <w:rtl/>
        </w:rPr>
        <w:t>ّ</w:t>
      </w:r>
      <w:r w:rsidRPr="00282AC9">
        <w:rPr>
          <w:rFonts w:hint="cs"/>
          <w:sz w:val="27"/>
          <w:rtl/>
        </w:rPr>
        <w:t>عى أن سلمان رشدي إذا تاب فسوف ي</w:t>
      </w:r>
      <w:r w:rsidR="00CF09F5" w:rsidRPr="00282AC9">
        <w:rPr>
          <w:rFonts w:hint="cs"/>
          <w:sz w:val="27"/>
          <w:rtl/>
        </w:rPr>
        <w:t>ُ</w:t>
      </w:r>
      <w:r w:rsidRPr="00282AC9">
        <w:rPr>
          <w:rFonts w:hint="cs"/>
          <w:sz w:val="27"/>
          <w:rtl/>
        </w:rPr>
        <w:t>د</w:t>
      </w:r>
      <w:r w:rsidR="00CF09F5" w:rsidRPr="00282AC9">
        <w:rPr>
          <w:rFonts w:hint="cs"/>
          <w:sz w:val="27"/>
          <w:rtl/>
        </w:rPr>
        <w:t>ْ</w:t>
      </w:r>
      <w:r w:rsidRPr="00282AC9">
        <w:rPr>
          <w:rFonts w:hint="cs"/>
          <w:sz w:val="27"/>
          <w:rtl/>
        </w:rPr>
        <w:t>ر</w:t>
      </w:r>
      <w:r w:rsidR="00CF09F5" w:rsidRPr="00282AC9">
        <w:rPr>
          <w:rFonts w:hint="cs"/>
          <w:sz w:val="27"/>
          <w:rtl/>
        </w:rPr>
        <w:t>َ</w:t>
      </w:r>
      <w:r w:rsidRPr="00282AC9">
        <w:rPr>
          <w:rFonts w:hint="cs"/>
          <w:sz w:val="27"/>
          <w:rtl/>
        </w:rPr>
        <w:t xml:space="preserve">أ عنه حكم الإعدام، قال: </w:t>
      </w:r>
      <w:r w:rsidRPr="00282AC9">
        <w:rPr>
          <w:rFonts w:hint="eastAsia"/>
          <w:sz w:val="24"/>
          <w:szCs w:val="24"/>
          <w:rtl/>
        </w:rPr>
        <w:t>«</w:t>
      </w:r>
      <w:r w:rsidRPr="00282AC9">
        <w:rPr>
          <w:rFonts w:hint="cs"/>
          <w:sz w:val="27"/>
          <w:rtl/>
        </w:rPr>
        <w:t>إننا نكذّ</w:t>
      </w:r>
      <w:r w:rsidR="00CF09F5" w:rsidRPr="00282AC9">
        <w:rPr>
          <w:rFonts w:hint="cs"/>
          <w:sz w:val="27"/>
          <w:rtl/>
        </w:rPr>
        <w:t>ِ</w:t>
      </w:r>
      <w:r w:rsidRPr="00282AC9">
        <w:rPr>
          <w:rFonts w:hint="cs"/>
          <w:sz w:val="27"/>
          <w:rtl/>
        </w:rPr>
        <w:t>ب هذا الأمر بالمطلق؛ فإن سلمان رشدي حت</w:t>
      </w:r>
      <w:r w:rsidR="00CF09F5" w:rsidRPr="00282AC9">
        <w:rPr>
          <w:rFonts w:hint="cs"/>
          <w:sz w:val="27"/>
          <w:rtl/>
        </w:rPr>
        <w:t>ّ</w:t>
      </w:r>
      <w:r w:rsidRPr="00282AC9">
        <w:rPr>
          <w:rFonts w:hint="cs"/>
          <w:sz w:val="27"/>
          <w:rtl/>
        </w:rPr>
        <w:t>ى إذا تاب</w:t>
      </w:r>
      <w:r w:rsidR="00CF09F5" w:rsidRPr="00282AC9">
        <w:rPr>
          <w:rFonts w:hint="cs"/>
          <w:sz w:val="27"/>
          <w:rtl/>
        </w:rPr>
        <w:t>،</w:t>
      </w:r>
      <w:r w:rsidRPr="00282AC9">
        <w:rPr>
          <w:rFonts w:hint="cs"/>
          <w:sz w:val="27"/>
          <w:rtl/>
        </w:rPr>
        <w:t xml:space="preserve"> وأصبح من أزهد أهل زمانه، فإنه يجب على كل</w:t>
      </w:r>
      <w:r w:rsidR="00CF09F5" w:rsidRPr="00282AC9">
        <w:rPr>
          <w:rFonts w:hint="cs"/>
          <w:sz w:val="27"/>
          <w:rtl/>
        </w:rPr>
        <w:t>ّ</w:t>
      </w:r>
      <w:r w:rsidRPr="00282AC9">
        <w:rPr>
          <w:rFonts w:hint="cs"/>
          <w:sz w:val="27"/>
          <w:rtl/>
        </w:rPr>
        <w:t xml:space="preserve"> مسلم</w:t>
      </w:r>
      <w:r w:rsidR="00CF09F5" w:rsidRPr="00282AC9">
        <w:rPr>
          <w:rFonts w:hint="cs"/>
          <w:sz w:val="27"/>
          <w:rtl/>
        </w:rPr>
        <w:t>ٍ</w:t>
      </w:r>
      <w:r w:rsidRPr="00282AC9">
        <w:rPr>
          <w:rFonts w:hint="cs"/>
          <w:sz w:val="27"/>
          <w:rtl/>
        </w:rPr>
        <w:t xml:space="preserve"> أن يبذل روحه وماله، وأن يوظ</w:t>
      </w:r>
      <w:r w:rsidR="00CF09F5" w:rsidRPr="00282AC9">
        <w:rPr>
          <w:rFonts w:hint="cs"/>
          <w:sz w:val="27"/>
          <w:rtl/>
        </w:rPr>
        <w:t>ِّ</w:t>
      </w:r>
      <w:r w:rsidRPr="00282AC9">
        <w:rPr>
          <w:rFonts w:hint="cs"/>
          <w:sz w:val="27"/>
          <w:rtl/>
        </w:rPr>
        <w:t>ف ج</w:t>
      </w:r>
      <w:r w:rsidR="00CF09F5" w:rsidRPr="00282AC9">
        <w:rPr>
          <w:rFonts w:hint="cs"/>
          <w:sz w:val="27"/>
          <w:rtl/>
        </w:rPr>
        <w:t>ميع إمكاناته من أجل القضاء عليه</w:t>
      </w:r>
      <w:r w:rsidRPr="00282AC9">
        <w:rPr>
          <w:rFonts w:hint="cs"/>
          <w:sz w:val="27"/>
          <w:rtl/>
        </w:rPr>
        <w:t>...</w:t>
      </w:r>
      <w:r w:rsidRPr="00282AC9">
        <w:rPr>
          <w:rFonts w:hint="eastAsia"/>
          <w:sz w:val="24"/>
          <w:szCs w:val="24"/>
          <w:rtl/>
        </w:rPr>
        <w:t>»</w:t>
      </w:r>
      <w:r w:rsidRPr="00282AC9">
        <w:rPr>
          <w:sz w:val="27"/>
          <w:vertAlign w:val="superscript"/>
          <w:rtl/>
        </w:rPr>
        <w:t>(</w:t>
      </w:r>
      <w:r w:rsidRPr="00282AC9">
        <w:rPr>
          <w:rStyle w:val="af9"/>
          <w:sz w:val="27"/>
          <w:rtl/>
        </w:rPr>
        <w:endnoteReference w:id="325"/>
      </w:r>
      <w:r w:rsidRPr="00282AC9">
        <w:rPr>
          <w:sz w:val="27"/>
          <w:vertAlign w:val="superscript"/>
          <w:rtl/>
        </w:rPr>
        <w:t>)</w:t>
      </w:r>
      <w:r w:rsidRPr="00282AC9">
        <w:rPr>
          <w:rFonts w:hint="cs"/>
          <w:sz w:val="27"/>
          <w:rtl/>
        </w:rPr>
        <w:t>. ور</w:t>
      </w:r>
      <w:r w:rsidR="00CF09F5" w:rsidRPr="00282AC9">
        <w:rPr>
          <w:rFonts w:hint="cs"/>
          <w:sz w:val="27"/>
          <w:rtl/>
        </w:rPr>
        <w:t>ُ</w:t>
      </w:r>
      <w:r w:rsidRPr="00282AC9">
        <w:rPr>
          <w:rFonts w:hint="cs"/>
          <w:sz w:val="27"/>
          <w:rtl/>
        </w:rPr>
        <w:t>ب</w:t>
      </w:r>
      <w:r w:rsidR="00CF09F5" w:rsidRPr="00282AC9">
        <w:rPr>
          <w:rFonts w:hint="cs"/>
          <w:sz w:val="27"/>
          <w:rtl/>
        </w:rPr>
        <w:t>َ</w:t>
      </w:r>
      <w:r w:rsidRPr="00282AC9">
        <w:rPr>
          <w:rFonts w:hint="cs"/>
          <w:sz w:val="27"/>
          <w:rtl/>
        </w:rPr>
        <w:t>ما لو لم ي</w:t>
      </w:r>
      <w:r w:rsidR="00CF09F5" w:rsidRPr="00282AC9">
        <w:rPr>
          <w:rFonts w:hint="cs"/>
          <w:sz w:val="27"/>
          <w:rtl/>
        </w:rPr>
        <w:t>َ</w:t>
      </w:r>
      <w:r w:rsidRPr="00282AC9">
        <w:rPr>
          <w:rFonts w:hint="cs"/>
          <w:sz w:val="27"/>
          <w:rtl/>
        </w:rPr>
        <w:t>ح</w:t>
      </w:r>
      <w:r w:rsidR="00CF09F5" w:rsidRPr="00282AC9">
        <w:rPr>
          <w:rFonts w:hint="cs"/>
          <w:sz w:val="27"/>
          <w:rtl/>
        </w:rPr>
        <w:t>ْ</w:t>
      </w:r>
      <w:r w:rsidRPr="00282AC9">
        <w:rPr>
          <w:rFonts w:hint="cs"/>
          <w:sz w:val="27"/>
          <w:rtl/>
        </w:rPr>
        <w:t>ظ</w:t>
      </w:r>
      <w:r w:rsidR="00CF09F5" w:rsidRPr="00282AC9">
        <w:rPr>
          <w:rFonts w:hint="cs"/>
          <w:sz w:val="27"/>
          <w:rtl/>
        </w:rPr>
        <w:t>َ</w:t>
      </w:r>
      <w:r w:rsidRPr="00282AC9">
        <w:rPr>
          <w:rFonts w:hint="cs"/>
          <w:sz w:val="27"/>
          <w:rtl/>
        </w:rPr>
        <w:t xml:space="preserve"> كتاب سلمان رشدي بمثل هذا الاحتفاء من ق</w:t>
      </w:r>
      <w:r w:rsidR="00EE12E6" w:rsidRPr="00282AC9">
        <w:rPr>
          <w:rFonts w:hint="cs"/>
          <w:sz w:val="27"/>
          <w:rtl/>
        </w:rPr>
        <w:t>ِ</w:t>
      </w:r>
      <w:r w:rsidRPr="00282AC9">
        <w:rPr>
          <w:rFonts w:hint="cs"/>
          <w:sz w:val="27"/>
          <w:rtl/>
        </w:rPr>
        <w:t>ب</w:t>
      </w:r>
      <w:r w:rsidR="00EE12E6" w:rsidRPr="00282AC9">
        <w:rPr>
          <w:rFonts w:hint="cs"/>
          <w:sz w:val="27"/>
          <w:rtl/>
        </w:rPr>
        <w:t>َ</w:t>
      </w:r>
      <w:r w:rsidRPr="00282AC9">
        <w:rPr>
          <w:rFonts w:hint="cs"/>
          <w:sz w:val="27"/>
          <w:rtl/>
        </w:rPr>
        <w:t>ل الأندية الأدبية والفن</w:t>
      </w:r>
      <w:r w:rsidR="00EE12E6" w:rsidRPr="00282AC9">
        <w:rPr>
          <w:rFonts w:hint="cs"/>
          <w:sz w:val="27"/>
          <w:rtl/>
        </w:rPr>
        <w:t>ّ</w:t>
      </w:r>
      <w:r w:rsidRPr="00282AC9">
        <w:rPr>
          <w:rFonts w:hint="cs"/>
          <w:sz w:val="27"/>
          <w:rtl/>
        </w:rPr>
        <w:t>ية  في الغرب، ولم ينتشر في فترة</w:t>
      </w:r>
      <w:r w:rsidR="00EE12E6" w:rsidRPr="00282AC9">
        <w:rPr>
          <w:rFonts w:hint="cs"/>
          <w:sz w:val="27"/>
          <w:rtl/>
        </w:rPr>
        <w:t>ٍ</w:t>
      </w:r>
      <w:r w:rsidRPr="00282AC9">
        <w:rPr>
          <w:rFonts w:hint="cs"/>
          <w:sz w:val="27"/>
          <w:rtl/>
        </w:rPr>
        <w:t xml:space="preserve"> قياسية</w:t>
      </w:r>
      <w:r w:rsidR="00EE12E6" w:rsidRPr="00282AC9">
        <w:rPr>
          <w:rFonts w:hint="cs"/>
          <w:sz w:val="27"/>
          <w:rtl/>
        </w:rPr>
        <w:t>،</w:t>
      </w:r>
      <w:r w:rsidRPr="00282AC9">
        <w:rPr>
          <w:rFonts w:hint="cs"/>
          <w:sz w:val="27"/>
          <w:rtl/>
        </w:rPr>
        <w:t xml:space="preserve"> وي</w:t>
      </w:r>
      <w:r w:rsidR="00EE12E6" w:rsidRPr="00282AC9">
        <w:rPr>
          <w:rFonts w:hint="cs"/>
          <w:sz w:val="27"/>
          <w:rtl/>
        </w:rPr>
        <w:t>ُ</w:t>
      </w:r>
      <w:r w:rsidRPr="00282AC9">
        <w:rPr>
          <w:rFonts w:hint="cs"/>
          <w:sz w:val="27"/>
          <w:rtl/>
        </w:rPr>
        <w:t>تر</w:t>
      </w:r>
      <w:r w:rsidR="00EE12E6" w:rsidRPr="00282AC9">
        <w:rPr>
          <w:rFonts w:hint="cs"/>
          <w:sz w:val="27"/>
          <w:rtl/>
        </w:rPr>
        <w:t>ْ</w:t>
      </w:r>
      <w:r w:rsidRPr="00282AC9">
        <w:rPr>
          <w:rFonts w:hint="cs"/>
          <w:sz w:val="27"/>
          <w:rtl/>
        </w:rPr>
        <w:t>ج</w:t>
      </w:r>
      <w:r w:rsidR="00EE12E6" w:rsidRPr="00282AC9">
        <w:rPr>
          <w:rFonts w:hint="cs"/>
          <w:sz w:val="27"/>
          <w:rtl/>
        </w:rPr>
        <w:t>َ</w:t>
      </w:r>
      <w:r w:rsidRPr="00282AC9">
        <w:rPr>
          <w:rFonts w:hint="cs"/>
          <w:sz w:val="27"/>
          <w:rtl/>
        </w:rPr>
        <w:t>م إلى الكثير من اللغات الحي</w:t>
      </w:r>
      <w:r w:rsidR="00EE12E6" w:rsidRPr="00282AC9">
        <w:rPr>
          <w:rFonts w:hint="cs"/>
          <w:sz w:val="27"/>
          <w:rtl/>
        </w:rPr>
        <w:t>ّ</w:t>
      </w:r>
      <w:r w:rsidRPr="00282AC9">
        <w:rPr>
          <w:rFonts w:hint="cs"/>
          <w:sz w:val="27"/>
          <w:rtl/>
        </w:rPr>
        <w:t>ة في العالم، لما جرح مشاعر المجتمعات الإسلامي</w:t>
      </w:r>
      <w:r w:rsidR="00EE12E6" w:rsidRPr="00282AC9">
        <w:rPr>
          <w:rFonts w:hint="cs"/>
          <w:sz w:val="27"/>
          <w:rtl/>
        </w:rPr>
        <w:t>ّ</w:t>
      </w:r>
      <w:r w:rsidRPr="00282AC9">
        <w:rPr>
          <w:rFonts w:hint="cs"/>
          <w:sz w:val="27"/>
          <w:rtl/>
        </w:rPr>
        <w:t>ة على تلك الشاكلة. إلا</w:t>
      </w:r>
      <w:r w:rsidR="00EE12E6" w:rsidRPr="00282AC9">
        <w:rPr>
          <w:rFonts w:hint="cs"/>
          <w:sz w:val="27"/>
          <w:rtl/>
        </w:rPr>
        <w:t>ّ</w:t>
      </w:r>
      <w:r w:rsidRPr="00282AC9">
        <w:rPr>
          <w:rFonts w:hint="cs"/>
          <w:sz w:val="27"/>
          <w:rtl/>
        </w:rPr>
        <w:t xml:space="preserve"> أن الاحتفاء غير الطبيعي بكتاب</w:t>
      </w:r>
      <w:r w:rsidR="00EE12E6" w:rsidRPr="00282AC9">
        <w:rPr>
          <w:rFonts w:hint="cs"/>
          <w:sz w:val="27"/>
          <w:rtl/>
        </w:rPr>
        <w:t>ٍ</w:t>
      </w:r>
      <w:r w:rsidRPr="00282AC9">
        <w:rPr>
          <w:rFonts w:hint="cs"/>
          <w:sz w:val="27"/>
          <w:rtl/>
        </w:rPr>
        <w:t xml:space="preserve"> من هذا النمط، والذي يخاطب شريحة</w:t>
      </w:r>
      <w:r w:rsidR="00EE12E6" w:rsidRPr="00282AC9">
        <w:rPr>
          <w:rFonts w:hint="cs"/>
          <w:sz w:val="27"/>
          <w:rtl/>
        </w:rPr>
        <w:t>ً</w:t>
      </w:r>
      <w:r w:rsidRPr="00282AC9">
        <w:rPr>
          <w:rFonts w:hint="cs"/>
          <w:sz w:val="27"/>
          <w:rtl/>
        </w:rPr>
        <w:t xml:space="preserve"> غير</w:t>
      </w:r>
      <w:r w:rsidR="00EE12E6" w:rsidRPr="00282AC9">
        <w:rPr>
          <w:rFonts w:hint="cs"/>
          <w:sz w:val="27"/>
          <w:rtl/>
        </w:rPr>
        <w:t>َ</w:t>
      </w:r>
      <w:r w:rsidRPr="00282AC9">
        <w:rPr>
          <w:rFonts w:hint="cs"/>
          <w:sz w:val="27"/>
          <w:rtl/>
        </w:rPr>
        <w:t xml:space="preserve"> عادية</w:t>
      </w:r>
      <w:r w:rsidR="00EE12E6" w:rsidRPr="00282AC9">
        <w:rPr>
          <w:rFonts w:hint="cs"/>
          <w:sz w:val="27"/>
          <w:rtl/>
        </w:rPr>
        <w:t>ٍ</w:t>
      </w:r>
      <w:r w:rsidRPr="00282AC9">
        <w:rPr>
          <w:rFonts w:hint="cs"/>
          <w:sz w:val="27"/>
          <w:rtl/>
        </w:rPr>
        <w:t>، هو الذي أدّى بالإمام الخميني</w:t>
      </w:r>
      <w:r w:rsidR="009A2A04" w:rsidRPr="00282AC9">
        <w:rPr>
          <w:rFonts w:cs="Mosawi" w:hint="cs"/>
          <w:sz w:val="22"/>
          <w:szCs w:val="22"/>
          <w:rtl/>
        </w:rPr>
        <w:t>&amp;</w:t>
      </w:r>
      <w:r w:rsidRPr="00282AC9">
        <w:rPr>
          <w:rFonts w:hint="cs"/>
          <w:sz w:val="27"/>
          <w:rtl/>
        </w:rPr>
        <w:t xml:space="preserve"> إلى ات</w:t>
      </w:r>
      <w:r w:rsidR="00EE12E6" w:rsidRPr="00282AC9">
        <w:rPr>
          <w:rFonts w:hint="cs"/>
          <w:sz w:val="27"/>
          <w:rtl/>
        </w:rPr>
        <w:t>ّ</w:t>
      </w:r>
      <w:r w:rsidRPr="00282AC9">
        <w:rPr>
          <w:rFonts w:hint="cs"/>
          <w:sz w:val="27"/>
          <w:rtl/>
        </w:rPr>
        <w:t>خاذ هذا الموقف الصلب من فحواه، وأن يصدر عنه هذا الموقف تجاه هذه الإهانة المستفز</w:t>
      </w:r>
      <w:r w:rsidR="00EE12E6" w:rsidRPr="00282AC9">
        <w:rPr>
          <w:rFonts w:hint="cs"/>
          <w:sz w:val="27"/>
          <w:rtl/>
        </w:rPr>
        <w:t>ّ</w:t>
      </w:r>
      <w:r w:rsidRPr="00282AC9">
        <w:rPr>
          <w:rFonts w:hint="cs"/>
          <w:sz w:val="27"/>
          <w:rtl/>
        </w:rPr>
        <w:t>ة للمقد</w:t>
      </w:r>
      <w:r w:rsidR="00EE12E6" w:rsidRPr="00282AC9">
        <w:rPr>
          <w:rFonts w:hint="cs"/>
          <w:sz w:val="27"/>
          <w:rtl/>
        </w:rPr>
        <w:t>َّ</w:t>
      </w:r>
      <w:r w:rsidRPr="00282AC9">
        <w:rPr>
          <w:rFonts w:hint="cs"/>
          <w:sz w:val="27"/>
          <w:rtl/>
        </w:rPr>
        <w:t>سات الإسلامية.</w:t>
      </w:r>
    </w:p>
    <w:p w:rsidR="005A1BD7" w:rsidRPr="00282AC9" w:rsidRDefault="005A1BD7" w:rsidP="00E328F0">
      <w:pPr>
        <w:spacing w:line="386" w:lineRule="exact"/>
        <w:rPr>
          <w:sz w:val="27"/>
          <w:rtl/>
        </w:rPr>
      </w:pPr>
      <w:r w:rsidRPr="00282AC9">
        <w:rPr>
          <w:rFonts w:hint="cs"/>
          <w:sz w:val="27"/>
          <w:rtl/>
        </w:rPr>
        <w:t>لقد ذكر الفقهاء أن الحكمة من قتل المرتد</w:t>
      </w:r>
      <w:r w:rsidR="00EE12E6" w:rsidRPr="00282AC9">
        <w:rPr>
          <w:rFonts w:hint="cs"/>
          <w:sz w:val="27"/>
          <w:rtl/>
        </w:rPr>
        <w:t>ّ</w:t>
      </w:r>
      <w:r w:rsidRPr="00282AC9">
        <w:rPr>
          <w:rFonts w:hint="cs"/>
          <w:sz w:val="27"/>
          <w:rtl/>
        </w:rPr>
        <w:t xml:space="preserve"> هي حفظ الدين</w:t>
      </w:r>
      <w:r w:rsidRPr="00282AC9">
        <w:rPr>
          <w:sz w:val="27"/>
          <w:vertAlign w:val="superscript"/>
          <w:rtl/>
        </w:rPr>
        <w:t>(</w:t>
      </w:r>
      <w:r w:rsidRPr="00282AC9">
        <w:rPr>
          <w:rStyle w:val="af9"/>
          <w:sz w:val="27"/>
          <w:rtl/>
        </w:rPr>
        <w:endnoteReference w:id="326"/>
      </w:r>
      <w:r w:rsidRPr="00282AC9">
        <w:rPr>
          <w:sz w:val="27"/>
          <w:vertAlign w:val="superscript"/>
          <w:rtl/>
        </w:rPr>
        <w:t>)</w:t>
      </w:r>
      <w:r w:rsidRPr="00282AC9">
        <w:rPr>
          <w:rFonts w:hint="cs"/>
          <w:sz w:val="27"/>
          <w:rtl/>
        </w:rPr>
        <w:t>. وعليه</w:t>
      </w:r>
      <w:r w:rsidR="00EE12E6" w:rsidRPr="00282AC9">
        <w:rPr>
          <w:rFonts w:hint="cs"/>
          <w:sz w:val="27"/>
          <w:rtl/>
        </w:rPr>
        <w:t>،</w:t>
      </w:r>
      <w:r w:rsidRPr="00282AC9">
        <w:rPr>
          <w:rFonts w:hint="cs"/>
          <w:sz w:val="27"/>
          <w:rtl/>
        </w:rPr>
        <w:t xml:space="preserve"> لو تاب المرتد</w:t>
      </w:r>
      <w:r w:rsidR="00EE12E6" w:rsidRPr="00282AC9">
        <w:rPr>
          <w:rFonts w:hint="cs"/>
          <w:sz w:val="27"/>
          <w:rtl/>
        </w:rPr>
        <w:t>ّ</w:t>
      </w:r>
      <w:r w:rsidRPr="00282AC9">
        <w:rPr>
          <w:rFonts w:hint="cs"/>
          <w:sz w:val="27"/>
          <w:rtl/>
        </w:rPr>
        <w:t xml:space="preserve"> الفطري قبل أن يتمكّ</w:t>
      </w:r>
      <w:r w:rsidR="00EE12E6" w:rsidRPr="00282AC9">
        <w:rPr>
          <w:rFonts w:hint="cs"/>
          <w:sz w:val="27"/>
          <w:rtl/>
        </w:rPr>
        <w:t>َ</w:t>
      </w:r>
      <w:r w:rsidRPr="00282AC9">
        <w:rPr>
          <w:rFonts w:hint="cs"/>
          <w:sz w:val="27"/>
          <w:rtl/>
        </w:rPr>
        <w:t>ن الحاكم منه ألا تقبل توبته؟ وهل الحكم بأنه حت</w:t>
      </w:r>
      <w:r w:rsidR="00EE12E6" w:rsidRPr="00282AC9">
        <w:rPr>
          <w:rFonts w:hint="cs"/>
          <w:sz w:val="27"/>
          <w:rtl/>
        </w:rPr>
        <w:t>ّ</w:t>
      </w:r>
      <w:r w:rsidRPr="00282AC9">
        <w:rPr>
          <w:rFonts w:hint="cs"/>
          <w:sz w:val="27"/>
          <w:rtl/>
        </w:rPr>
        <w:t>ى إذا تاب لا يُق</w:t>
      </w:r>
      <w:r w:rsidR="00EE12E6" w:rsidRPr="00282AC9">
        <w:rPr>
          <w:rFonts w:hint="cs"/>
          <w:sz w:val="27"/>
          <w:rtl/>
        </w:rPr>
        <w:t>ْ</w:t>
      </w:r>
      <w:r w:rsidRPr="00282AC9">
        <w:rPr>
          <w:rFonts w:hint="cs"/>
          <w:sz w:val="27"/>
          <w:rtl/>
        </w:rPr>
        <w:t>ب</w:t>
      </w:r>
      <w:r w:rsidR="00EE12E6" w:rsidRPr="00282AC9">
        <w:rPr>
          <w:rFonts w:hint="cs"/>
          <w:sz w:val="27"/>
          <w:rtl/>
        </w:rPr>
        <w:t>َ</w:t>
      </w:r>
      <w:r w:rsidRPr="00282AC9">
        <w:rPr>
          <w:rFonts w:hint="cs"/>
          <w:sz w:val="27"/>
          <w:rtl/>
        </w:rPr>
        <w:t>ل إسلامه وعبادته، ويبقى على نجاسته، وتطبّ</w:t>
      </w:r>
      <w:r w:rsidR="00EE12E6" w:rsidRPr="00282AC9">
        <w:rPr>
          <w:rFonts w:hint="cs"/>
          <w:sz w:val="27"/>
          <w:rtl/>
        </w:rPr>
        <w:t>َ</w:t>
      </w:r>
      <w:r w:rsidRPr="00282AC9">
        <w:rPr>
          <w:rFonts w:hint="cs"/>
          <w:sz w:val="27"/>
          <w:rtl/>
        </w:rPr>
        <w:t>ق في حق</w:t>
      </w:r>
      <w:r w:rsidR="00EE12E6" w:rsidRPr="00282AC9">
        <w:rPr>
          <w:rFonts w:hint="cs"/>
          <w:sz w:val="27"/>
          <w:rtl/>
        </w:rPr>
        <w:t>ِّ</w:t>
      </w:r>
      <w:r w:rsidRPr="00282AC9">
        <w:rPr>
          <w:rFonts w:hint="cs"/>
          <w:sz w:val="27"/>
          <w:rtl/>
        </w:rPr>
        <w:t>ه الأحكام الثلاثة، هل يُساعد ذلك على حفظ الد</w:t>
      </w:r>
      <w:r w:rsidR="002B21BB" w:rsidRPr="00282AC9">
        <w:rPr>
          <w:rFonts w:hint="cs"/>
          <w:sz w:val="27"/>
          <w:rtl/>
        </w:rPr>
        <w:t>ِّ</w:t>
      </w:r>
      <w:r w:rsidRPr="00282AC9">
        <w:rPr>
          <w:rFonts w:hint="cs"/>
          <w:sz w:val="27"/>
          <w:rtl/>
        </w:rPr>
        <w:t>ين أم يوهنه؟ أليس من الأفضل القول ـ بناء</w:t>
      </w:r>
      <w:r w:rsidR="002B21BB" w:rsidRPr="00282AC9">
        <w:rPr>
          <w:rFonts w:hint="cs"/>
          <w:sz w:val="27"/>
          <w:rtl/>
        </w:rPr>
        <w:t>ً</w:t>
      </w:r>
      <w:r w:rsidRPr="00282AC9">
        <w:rPr>
          <w:rFonts w:hint="cs"/>
          <w:sz w:val="27"/>
          <w:rtl/>
        </w:rPr>
        <w:t xml:space="preserve"> على كلام الإمام الخميني</w:t>
      </w:r>
      <w:r w:rsidR="009A2A04" w:rsidRPr="00282AC9">
        <w:rPr>
          <w:rFonts w:cs="Mosawi" w:hint="cs"/>
          <w:sz w:val="22"/>
          <w:szCs w:val="22"/>
          <w:rtl/>
        </w:rPr>
        <w:t>&amp;</w:t>
      </w:r>
      <w:r w:rsidRPr="00282AC9">
        <w:rPr>
          <w:rFonts w:hint="cs"/>
          <w:sz w:val="27"/>
          <w:rtl/>
        </w:rPr>
        <w:t xml:space="preserve">؛ إذ قال: </w:t>
      </w:r>
      <w:r w:rsidRPr="00282AC9">
        <w:rPr>
          <w:rFonts w:hint="eastAsia"/>
          <w:sz w:val="24"/>
          <w:szCs w:val="24"/>
          <w:rtl/>
        </w:rPr>
        <w:t>«</w:t>
      </w:r>
      <w:r w:rsidRPr="00282AC9">
        <w:rPr>
          <w:rFonts w:hint="cs"/>
          <w:sz w:val="27"/>
          <w:rtl/>
        </w:rPr>
        <w:t>إن الحكومة</w:t>
      </w:r>
      <w:r w:rsidR="002B21BB" w:rsidRPr="00282AC9">
        <w:rPr>
          <w:rFonts w:hint="cs"/>
          <w:sz w:val="27"/>
          <w:rtl/>
        </w:rPr>
        <w:t>،</w:t>
      </w:r>
      <w:r w:rsidRPr="00282AC9">
        <w:rPr>
          <w:rFonts w:hint="cs"/>
          <w:sz w:val="27"/>
          <w:rtl/>
        </w:rPr>
        <w:t xml:space="preserve"> التي هي شُع</w:t>
      </w:r>
      <w:r w:rsidR="002B21BB" w:rsidRPr="00282AC9">
        <w:rPr>
          <w:rFonts w:hint="cs"/>
          <w:sz w:val="27"/>
          <w:rtl/>
        </w:rPr>
        <w:t>ْ</w:t>
      </w:r>
      <w:r w:rsidRPr="00282AC9">
        <w:rPr>
          <w:rFonts w:hint="cs"/>
          <w:sz w:val="27"/>
          <w:rtl/>
        </w:rPr>
        <w:t>بة</w:t>
      </w:r>
      <w:r w:rsidR="002B21BB" w:rsidRPr="00282AC9">
        <w:rPr>
          <w:rFonts w:hint="cs"/>
          <w:sz w:val="27"/>
          <w:rtl/>
        </w:rPr>
        <w:t>ٌ</w:t>
      </w:r>
      <w:r w:rsidRPr="00282AC9">
        <w:rPr>
          <w:rFonts w:hint="cs"/>
          <w:sz w:val="27"/>
          <w:rtl/>
        </w:rPr>
        <w:t xml:space="preserve"> من الولاية المطلقة لرسول الله</w:t>
      </w:r>
      <w:r w:rsidR="009A2A04" w:rsidRPr="00282AC9">
        <w:rPr>
          <w:rFonts w:cs="Mosawi" w:hint="cs"/>
          <w:sz w:val="22"/>
          <w:szCs w:val="22"/>
          <w:rtl/>
        </w:rPr>
        <w:t>|</w:t>
      </w:r>
      <w:r w:rsidR="002B21BB" w:rsidRPr="00282AC9">
        <w:rPr>
          <w:rFonts w:hint="cs"/>
          <w:sz w:val="27"/>
          <w:rtl/>
        </w:rPr>
        <w:t>،</w:t>
      </w:r>
      <w:r w:rsidRPr="00282AC9">
        <w:rPr>
          <w:rFonts w:hint="cs"/>
          <w:sz w:val="27"/>
          <w:rtl/>
        </w:rPr>
        <w:t xml:space="preserve"> واحدة</w:t>
      </w:r>
      <w:r w:rsidR="002B21BB" w:rsidRPr="00282AC9">
        <w:rPr>
          <w:rFonts w:hint="cs"/>
          <w:sz w:val="27"/>
          <w:rtl/>
        </w:rPr>
        <w:t>ٌ</w:t>
      </w:r>
      <w:r w:rsidRPr="00282AC9">
        <w:rPr>
          <w:rFonts w:hint="cs"/>
          <w:sz w:val="27"/>
          <w:rtl/>
        </w:rPr>
        <w:t xml:space="preserve"> من الأحكام الأو</w:t>
      </w:r>
      <w:r w:rsidR="002B21BB" w:rsidRPr="00282AC9">
        <w:rPr>
          <w:rFonts w:hint="cs"/>
          <w:sz w:val="27"/>
          <w:rtl/>
        </w:rPr>
        <w:t>ّ</w:t>
      </w:r>
      <w:r w:rsidRPr="00282AC9">
        <w:rPr>
          <w:rFonts w:hint="cs"/>
          <w:sz w:val="27"/>
          <w:rtl/>
        </w:rPr>
        <w:t>لية للإسلام، ومقدّ</w:t>
      </w:r>
      <w:r w:rsidR="002B21BB" w:rsidRPr="00282AC9">
        <w:rPr>
          <w:rFonts w:hint="cs"/>
          <w:sz w:val="27"/>
          <w:rtl/>
        </w:rPr>
        <w:t>َ</w:t>
      </w:r>
      <w:r w:rsidRPr="00282AC9">
        <w:rPr>
          <w:rFonts w:hint="cs"/>
          <w:sz w:val="27"/>
          <w:rtl/>
        </w:rPr>
        <w:t>مة</w:t>
      </w:r>
      <w:r w:rsidR="002B21BB" w:rsidRPr="00282AC9">
        <w:rPr>
          <w:rFonts w:hint="cs"/>
          <w:sz w:val="27"/>
          <w:rtl/>
        </w:rPr>
        <w:t>ٌ</w:t>
      </w:r>
      <w:r w:rsidRPr="00282AC9">
        <w:rPr>
          <w:rFonts w:hint="cs"/>
          <w:sz w:val="27"/>
          <w:rtl/>
        </w:rPr>
        <w:t xml:space="preserve"> على جميع الأحكام الفرعي</w:t>
      </w:r>
      <w:r w:rsidR="002B21BB" w:rsidRPr="00282AC9">
        <w:rPr>
          <w:rFonts w:hint="cs"/>
          <w:sz w:val="27"/>
          <w:rtl/>
        </w:rPr>
        <w:t>ّ</w:t>
      </w:r>
      <w:r w:rsidRPr="00282AC9">
        <w:rPr>
          <w:rFonts w:hint="cs"/>
          <w:sz w:val="27"/>
          <w:rtl/>
        </w:rPr>
        <w:t>ة، بما في ذلك الصلاة والصوم والحج</w:t>
      </w:r>
      <w:r w:rsidR="002B21BB" w:rsidRPr="00282AC9">
        <w:rPr>
          <w:rFonts w:hint="cs"/>
          <w:sz w:val="27"/>
          <w:rtl/>
        </w:rPr>
        <w:t>ّ</w:t>
      </w:r>
      <w:r w:rsidRPr="00282AC9">
        <w:rPr>
          <w:rFonts w:hint="eastAsia"/>
          <w:sz w:val="24"/>
          <w:szCs w:val="24"/>
          <w:rtl/>
        </w:rPr>
        <w:t>»</w:t>
      </w:r>
      <w:r w:rsidRPr="00282AC9">
        <w:rPr>
          <w:rFonts w:hint="cs"/>
          <w:sz w:val="27"/>
          <w:rtl/>
        </w:rPr>
        <w:t xml:space="preserve"> ـ بأن ات</w:t>
      </w:r>
      <w:r w:rsidR="002B21BB" w:rsidRPr="00282AC9">
        <w:rPr>
          <w:rFonts w:hint="cs"/>
          <w:sz w:val="27"/>
          <w:rtl/>
        </w:rPr>
        <w:t>ّ</w:t>
      </w:r>
      <w:r w:rsidRPr="00282AC9">
        <w:rPr>
          <w:rFonts w:hint="cs"/>
          <w:sz w:val="27"/>
          <w:rtl/>
        </w:rPr>
        <w:t>خاذ القرار في مورد توبة المرتد</w:t>
      </w:r>
      <w:r w:rsidR="002B21BB" w:rsidRPr="00282AC9">
        <w:rPr>
          <w:rFonts w:hint="cs"/>
          <w:sz w:val="27"/>
          <w:rtl/>
        </w:rPr>
        <w:t>ّ</w:t>
      </w:r>
      <w:r w:rsidRPr="00282AC9">
        <w:rPr>
          <w:rFonts w:hint="cs"/>
          <w:sz w:val="27"/>
          <w:rtl/>
        </w:rPr>
        <w:t xml:space="preserve"> </w:t>
      </w:r>
      <w:r w:rsidRPr="00282AC9">
        <w:rPr>
          <w:rFonts w:hint="cs"/>
          <w:sz w:val="27"/>
          <w:rtl/>
        </w:rPr>
        <w:lastRenderedPageBreak/>
        <w:t>يكون بيد الحاكم الإسلامي</w:t>
      </w:r>
      <w:r w:rsidR="007A273C" w:rsidRPr="00282AC9">
        <w:rPr>
          <w:rFonts w:hint="cs"/>
          <w:sz w:val="27"/>
          <w:rtl/>
        </w:rPr>
        <w:t>ّ؛</w:t>
      </w:r>
      <w:r w:rsidRPr="00282AC9">
        <w:rPr>
          <w:rFonts w:hint="cs"/>
          <w:sz w:val="27"/>
          <w:rtl/>
        </w:rPr>
        <w:t xml:space="preserve"> ليعمل على إصدار الحكم بشأنه على أساس مقتضيات الزمان والمكان والظروف الثقافية والسياسية؟</w:t>
      </w:r>
    </w:p>
    <w:p w:rsidR="00EA3CC5" w:rsidRPr="00282AC9" w:rsidRDefault="00EA3CC5" w:rsidP="00E328F0">
      <w:pPr>
        <w:spacing w:line="386" w:lineRule="exact"/>
        <w:rPr>
          <w:rtl/>
        </w:rPr>
      </w:pPr>
    </w:p>
    <w:p w:rsidR="005A1BD7" w:rsidRPr="00282AC9" w:rsidRDefault="005A1BD7" w:rsidP="00AA149D">
      <w:pPr>
        <w:pStyle w:val="31"/>
        <w:rPr>
          <w:color w:val="auto"/>
          <w:rtl/>
        </w:rPr>
      </w:pPr>
      <w:r w:rsidRPr="00282AC9">
        <w:rPr>
          <w:rFonts w:hint="cs"/>
          <w:color w:val="auto"/>
          <w:rtl/>
        </w:rPr>
        <w:t>النتيجة</w:t>
      </w:r>
    </w:p>
    <w:p w:rsidR="007A273C" w:rsidRPr="00282AC9" w:rsidRDefault="005A1BD7" w:rsidP="007C2A22">
      <w:pPr>
        <w:spacing w:line="380" w:lineRule="exact"/>
        <w:rPr>
          <w:sz w:val="27"/>
          <w:rtl/>
        </w:rPr>
      </w:pPr>
      <w:r w:rsidRPr="00282AC9">
        <w:rPr>
          <w:rFonts w:hint="cs"/>
          <w:sz w:val="27"/>
          <w:rtl/>
        </w:rPr>
        <w:t>بالالتفات إلى ما تقدّ</w:t>
      </w:r>
      <w:r w:rsidR="007A273C" w:rsidRPr="00282AC9">
        <w:rPr>
          <w:rFonts w:hint="cs"/>
          <w:sz w:val="27"/>
          <w:rtl/>
        </w:rPr>
        <w:t>َ</w:t>
      </w:r>
      <w:r w:rsidRPr="00282AC9">
        <w:rPr>
          <w:rFonts w:hint="cs"/>
          <w:sz w:val="27"/>
          <w:rtl/>
        </w:rPr>
        <w:t>م، وبحث الروايات المرتبطة بتوبة المرتد</w:t>
      </w:r>
      <w:r w:rsidR="007A273C" w:rsidRPr="00282AC9">
        <w:rPr>
          <w:rFonts w:hint="cs"/>
          <w:sz w:val="27"/>
          <w:rtl/>
        </w:rPr>
        <w:t>ّ</w:t>
      </w:r>
      <w:r w:rsidRPr="00282AC9">
        <w:rPr>
          <w:rFonts w:hint="cs"/>
          <w:sz w:val="27"/>
          <w:rtl/>
        </w:rPr>
        <w:t>، وآراء الفقهاء حول أحكام المرتد</w:t>
      </w:r>
      <w:r w:rsidR="007A273C" w:rsidRPr="00282AC9">
        <w:rPr>
          <w:rFonts w:hint="cs"/>
          <w:sz w:val="27"/>
          <w:rtl/>
        </w:rPr>
        <w:t>ّ</w:t>
      </w:r>
      <w:r w:rsidRPr="00282AC9">
        <w:rPr>
          <w:rFonts w:hint="cs"/>
          <w:sz w:val="27"/>
          <w:rtl/>
        </w:rPr>
        <w:t>ين، يمكن الوصول إلى نتيجة</w:t>
      </w:r>
      <w:r w:rsidR="007A273C" w:rsidRPr="00282AC9">
        <w:rPr>
          <w:rFonts w:hint="cs"/>
          <w:sz w:val="27"/>
          <w:rtl/>
        </w:rPr>
        <w:t>ٍ</w:t>
      </w:r>
      <w:r w:rsidRPr="00282AC9">
        <w:rPr>
          <w:rFonts w:hint="cs"/>
          <w:sz w:val="27"/>
          <w:rtl/>
        </w:rPr>
        <w:t xml:space="preserve"> مفادها</w:t>
      </w:r>
      <w:r w:rsidR="007A273C" w:rsidRPr="00282AC9">
        <w:rPr>
          <w:rFonts w:hint="cs"/>
          <w:sz w:val="27"/>
          <w:rtl/>
        </w:rPr>
        <w:t>:</w:t>
      </w:r>
      <w:r w:rsidRPr="00282AC9">
        <w:rPr>
          <w:rFonts w:hint="cs"/>
          <w:sz w:val="27"/>
          <w:rtl/>
        </w:rPr>
        <w:t xml:space="preserve"> </w:t>
      </w:r>
      <w:r w:rsidR="007A273C" w:rsidRPr="00282AC9">
        <w:rPr>
          <w:rFonts w:hint="cs"/>
          <w:sz w:val="27"/>
          <w:rtl/>
        </w:rPr>
        <w:t>إ</w:t>
      </w:r>
      <w:r w:rsidRPr="00282AC9">
        <w:rPr>
          <w:rFonts w:hint="cs"/>
          <w:sz w:val="27"/>
          <w:rtl/>
        </w:rPr>
        <w:t>ن القول بعدم قبول توبة المرتد</w:t>
      </w:r>
      <w:r w:rsidR="007A273C" w:rsidRPr="00282AC9">
        <w:rPr>
          <w:rFonts w:hint="cs"/>
          <w:sz w:val="27"/>
          <w:rtl/>
        </w:rPr>
        <w:t>ّ</w:t>
      </w:r>
      <w:r w:rsidRPr="00282AC9">
        <w:rPr>
          <w:rFonts w:hint="cs"/>
          <w:sz w:val="27"/>
          <w:rtl/>
        </w:rPr>
        <w:t xml:space="preserve"> الفطري بالنسبة إلى أعماله المتعل</w:t>
      </w:r>
      <w:r w:rsidR="007A273C" w:rsidRPr="00282AC9">
        <w:rPr>
          <w:rFonts w:hint="cs"/>
          <w:sz w:val="27"/>
          <w:rtl/>
        </w:rPr>
        <w:t>ِّ</w:t>
      </w:r>
      <w:r w:rsidRPr="00282AC9">
        <w:rPr>
          <w:rFonts w:hint="cs"/>
          <w:sz w:val="27"/>
          <w:rtl/>
        </w:rPr>
        <w:t>قة بالله، من قبيل: صحّة عبادته، وعدم طهارته بعد التوبة، لا يت</w:t>
      </w:r>
      <w:r w:rsidR="007A273C" w:rsidRPr="00282AC9">
        <w:rPr>
          <w:rFonts w:hint="cs"/>
          <w:sz w:val="27"/>
          <w:rtl/>
        </w:rPr>
        <w:t>َّ</w:t>
      </w:r>
      <w:r w:rsidRPr="00282AC9">
        <w:rPr>
          <w:rFonts w:hint="cs"/>
          <w:sz w:val="27"/>
          <w:rtl/>
        </w:rPr>
        <w:t>فق مع الآيات والروايات، كما لا يوافق آراء الفقهاء أيضاً</w:t>
      </w:r>
      <w:r w:rsidR="007A273C" w:rsidRPr="00282AC9">
        <w:rPr>
          <w:rFonts w:hint="cs"/>
          <w:sz w:val="27"/>
          <w:rtl/>
        </w:rPr>
        <w:t>.</w:t>
      </w:r>
      <w:r w:rsidRPr="00282AC9">
        <w:rPr>
          <w:rFonts w:hint="cs"/>
          <w:sz w:val="27"/>
          <w:rtl/>
        </w:rPr>
        <w:t xml:space="preserve"> وإن هذا الشخص الذي تاب يكون أهلاً حت</w:t>
      </w:r>
      <w:r w:rsidR="007A273C" w:rsidRPr="00282AC9">
        <w:rPr>
          <w:rFonts w:hint="cs"/>
          <w:sz w:val="27"/>
          <w:rtl/>
        </w:rPr>
        <w:t>ّ</w:t>
      </w:r>
      <w:r w:rsidRPr="00282AC9">
        <w:rPr>
          <w:rFonts w:hint="cs"/>
          <w:sz w:val="27"/>
          <w:rtl/>
        </w:rPr>
        <w:t>ى للدخول إلى الجن</w:t>
      </w:r>
      <w:r w:rsidR="007A273C" w:rsidRPr="00282AC9">
        <w:rPr>
          <w:rFonts w:hint="cs"/>
          <w:sz w:val="27"/>
          <w:rtl/>
        </w:rPr>
        <w:t>ّة.</w:t>
      </w:r>
    </w:p>
    <w:p w:rsidR="005A1BD7" w:rsidRPr="00282AC9" w:rsidRDefault="005A1BD7" w:rsidP="007C2A22">
      <w:pPr>
        <w:spacing w:line="380" w:lineRule="exact"/>
        <w:rPr>
          <w:sz w:val="27"/>
          <w:rtl/>
        </w:rPr>
      </w:pPr>
      <w:r w:rsidRPr="00282AC9">
        <w:rPr>
          <w:rFonts w:hint="cs"/>
          <w:sz w:val="27"/>
          <w:rtl/>
        </w:rPr>
        <w:t>وأما في</w:t>
      </w:r>
      <w:r w:rsidR="007A273C" w:rsidRPr="00282AC9">
        <w:rPr>
          <w:rFonts w:hint="cs"/>
          <w:sz w:val="27"/>
          <w:rtl/>
        </w:rPr>
        <w:t xml:space="preserve"> </w:t>
      </w:r>
      <w:r w:rsidRPr="00282AC9">
        <w:rPr>
          <w:rFonts w:hint="cs"/>
          <w:sz w:val="27"/>
          <w:rtl/>
        </w:rPr>
        <w:t>ما يتعل</w:t>
      </w:r>
      <w:r w:rsidR="007A273C" w:rsidRPr="00282AC9">
        <w:rPr>
          <w:rFonts w:hint="cs"/>
          <w:sz w:val="27"/>
          <w:rtl/>
        </w:rPr>
        <w:t>َّ</w:t>
      </w:r>
      <w:r w:rsidRPr="00282AC9">
        <w:rPr>
          <w:rFonts w:hint="cs"/>
          <w:sz w:val="27"/>
          <w:rtl/>
        </w:rPr>
        <w:t>ق بتوبة هذا الشخص بالنسبة إلى رفع حكم القتل عنه، وت</w:t>
      </w:r>
      <w:r w:rsidR="007A273C" w:rsidRPr="00282AC9">
        <w:rPr>
          <w:rFonts w:hint="cs"/>
          <w:sz w:val="27"/>
          <w:rtl/>
        </w:rPr>
        <w:t>َ</w:t>
      </w:r>
      <w:r w:rsidRPr="00282AC9">
        <w:rPr>
          <w:rFonts w:hint="cs"/>
          <w:sz w:val="27"/>
          <w:rtl/>
        </w:rPr>
        <w:t>ب</w:t>
      </w:r>
      <w:r w:rsidR="007A273C" w:rsidRPr="00282AC9">
        <w:rPr>
          <w:rFonts w:hint="cs"/>
          <w:sz w:val="27"/>
          <w:rtl/>
        </w:rPr>
        <w:t>َ</w:t>
      </w:r>
      <w:r w:rsidRPr="00282AC9">
        <w:rPr>
          <w:rFonts w:hint="cs"/>
          <w:sz w:val="27"/>
          <w:rtl/>
        </w:rPr>
        <w:t>عاً لذلك رفع سائر الأحكام الظاهري</w:t>
      </w:r>
      <w:r w:rsidR="007A273C" w:rsidRPr="00282AC9">
        <w:rPr>
          <w:rFonts w:hint="cs"/>
          <w:sz w:val="27"/>
          <w:rtl/>
        </w:rPr>
        <w:t>ّ</w:t>
      </w:r>
      <w:r w:rsidRPr="00282AC9">
        <w:rPr>
          <w:rFonts w:hint="cs"/>
          <w:sz w:val="27"/>
          <w:rtl/>
        </w:rPr>
        <w:t>ة الأخرى؛ فيجب القول في ضوء الروايات: إن تلك الروايات المتعل</w:t>
      </w:r>
      <w:r w:rsidR="007A273C" w:rsidRPr="00282AC9">
        <w:rPr>
          <w:rFonts w:hint="cs"/>
          <w:sz w:val="27"/>
          <w:rtl/>
        </w:rPr>
        <w:t>ِّ</w:t>
      </w:r>
      <w:r w:rsidRPr="00282AC9">
        <w:rPr>
          <w:rFonts w:hint="cs"/>
          <w:sz w:val="27"/>
          <w:rtl/>
        </w:rPr>
        <w:t>قة بشخص المرتد</w:t>
      </w:r>
      <w:r w:rsidR="007A273C" w:rsidRPr="00282AC9">
        <w:rPr>
          <w:rFonts w:hint="cs"/>
          <w:sz w:val="27"/>
          <w:rtl/>
        </w:rPr>
        <w:t>ّ</w:t>
      </w:r>
      <w:r w:rsidRPr="00282AC9">
        <w:rPr>
          <w:rFonts w:hint="cs"/>
          <w:sz w:val="27"/>
          <w:rtl/>
        </w:rPr>
        <w:t xml:space="preserve"> ـ دون تلك الروايات التي تبيّ</w:t>
      </w:r>
      <w:r w:rsidR="007A273C" w:rsidRPr="00282AC9">
        <w:rPr>
          <w:rFonts w:hint="cs"/>
          <w:sz w:val="27"/>
          <w:rtl/>
        </w:rPr>
        <w:t>ِ</w:t>
      </w:r>
      <w:r w:rsidRPr="00282AC9">
        <w:rPr>
          <w:rFonts w:hint="cs"/>
          <w:sz w:val="27"/>
          <w:rtl/>
        </w:rPr>
        <w:t>ن وظيفة الحاكم بالنسبة إلى المرتد</w:t>
      </w:r>
      <w:r w:rsidR="007A273C" w:rsidRPr="00282AC9">
        <w:rPr>
          <w:rFonts w:hint="cs"/>
          <w:sz w:val="27"/>
          <w:rtl/>
        </w:rPr>
        <w:t>ّ</w:t>
      </w:r>
      <w:r w:rsidRPr="00282AC9">
        <w:rPr>
          <w:rFonts w:hint="cs"/>
          <w:sz w:val="27"/>
          <w:rtl/>
        </w:rPr>
        <w:t xml:space="preserve"> الفطري ـ على طائفتين</w:t>
      </w:r>
      <w:r w:rsidR="007A273C" w:rsidRPr="00282AC9">
        <w:rPr>
          <w:rFonts w:hint="cs"/>
          <w:sz w:val="27"/>
          <w:rtl/>
        </w:rPr>
        <w:t>؛</w:t>
      </w:r>
      <w:r w:rsidRPr="00282AC9">
        <w:rPr>
          <w:rFonts w:hint="cs"/>
          <w:sz w:val="27"/>
          <w:rtl/>
        </w:rPr>
        <w:t xml:space="preserve"> الطائفة الأولى تقبل توبة المرتد</w:t>
      </w:r>
      <w:r w:rsidR="007A273C" w:rsidRPr="00282AC9">
        <w:rPr>
          <w:rFonts w:hint="cs"/>
          <w:sz w:val="27"/>
          <w:rtl/>
        </w:rPr>
        <w:t>ّ</w:t>
      </w:r>
      <w:r w:rsidRPr="00282AC9">
        <w:rPr>
          <w:rFonts w:hint="cs"/>
          <w:sz w:val="27"/>
          <w:rtl/>
        </w:rPr>
        <w:t xml:space="preserve"> مطلقاً</w:t>
      </w:r>
      <w:r w:rsidR="007A273C" w:rsidRPr="00282AC9">
        <w:rPr>
          <w:rFonts w:hint="cs"/>
          <w:sz w:val="27"/>
          <w:rtl/>
        </w:rPr>
        <w:t>؛</w:t>
      </w:r>
      <w:r w:rsidRPr="00282AC9">
        <w:rPr>
          <w:rFonts w:hint="cs"/>
          <w:sz w:val="27"/>
          <w:rtl/>
        </w:rPr>
        <w:t xml:space="preserve"> والطائفة الثانية ترفض توبة المرتد</w:t>
      </w:r>
      <w:r w:rsidR="007A273C" w:rsidRPr="00282AC9">
        <w:rPr>
          <w:rFonts w:hint="cs"/>
          <w:sz w:val="27"/>
          <w:rtl/>
        </w:rPr>
        <w:t>ّ</w:t>
      </w:r>
      <w:r w:rsidRPr="00282AC9">
        <w:rPr>
          <w:rFonts w:hint="cs"/>
          <w:sz w:val="27"/>
          <w:rtl/>
        </w:rPr>
        <w:t xml:space="preserve"> بالمطلق، وهي التي يستند إليها الفقهاء في قولهم بعدم قبول توبة المرتد</w:t>
      </w:r>
      <w:r w:rsidR="007A273C" w:rsidRPr="00282AC9">
        <w:rPr>
          <w:rFonts w:hint="cs"/>
          <w:sz w:val="27"/>
          <w:rtl/>
        </w:rPr>
        <w:t>ّ</w:t>
      </w:r>
      <w:r w:rsidRPr="00282AC9">
        <w:rPr>
          <w:rFonts w:hint="cs"/>
          <w:sz w:val="27"/>
          <w:rtl/>
        </w:rPr>
        <w:t xml:space="preserve"> عن فطرة</w:t>
      </w:r>
      <w:r w:rsidR="007A273C" w:rsidRPr="00282AC9">
        <w:rPr>
          <w:rFonts w:hint="cs"/>
          <w:sz w:val="27"/>
          <w:rtl/>
        </w:rPr>
        <w:t>ٍ</w:t>
      </w:r>
      <w:r w:rsidRPr="00282AC9">
        <w:rPr>
          <w:rFonts w:hint="cs"/>
          <w:sz w:val="27"/>
          <w:rtl/>
        </w:rPr>
        <w:t>.</w:t>
      </w:r>
    </w:p>
    <w:p w:rsidR="00AC5B92" w:rsidRPr="00282AC9" w:rsidRDefault="005A1BD7" w:rsidP="007C2A22">
      <w:pPr>
        <w:spacing w:line="380" w:lineRule="exact"/>
        <w:rPr>
          <w:sz w:val="27"/>
          <w:rtl/>
        </w:rPr>
      </w:pPr>
      <w:r w:rsidRPr="00282AC9">
        <w:rPr>
          <w:rFonts w:hint="cs"/>
          <w:sz w:val="27"/>
          <w:rtl/>
        </w:rPr>
        <w:t>إن هاتين الطائفتين من الروايات ـ حيث يقوم بينهما تعارض</w:t>
      </w:r>
      <w:r w:rsidR="007A273C" w:rsidRPr="00282AC9">
        <w:rPr>
          <w:rFonts w:hint="cs"/>
          <w:sz w:val="27"/>
          <w:rtl/>
        </w:rPr>
        <w:t>ٌ</w:t>
      </w:r>
      <w:r w:rsidRPr="00282AC9">
        <w:rPr>
          <w:rFonts w:hint="cs"/>
          <w:sz w:val="27"/>
          <w:rtl/>
        </w:rPr>
        <w:t xml:space="preserve"> تام</w:t>
      </w:r>
      <w:r w:rsidR="007A273C" w:rsidRPr="00282AC9">
        <w:rPr>
          <w:rFonts w:hint="cs"/>
          <w:sz w:val="27"/>
          <w:rtl/>
        </w:rPr>
        <w:t>ّ</w:t>
      </w:r>
      <w:r w:rsidRPr="00282AC9">
        <w:rPr>
          <w:rFonts w:hint="cs"/>
          <w:sz w:val="27"/>
          <w:rtl/>
        </w:rPr>
        <w:t xml:space="preserve"> ـ يجب البحث عن وجه</w:t>
      </w:r>
      <w:r w:rsidR="007A273C" w:rsidRPr="00282AC9">
        <w:rPr>
          <w:rFonts w:hint="cs"/>
          <w:sz w:val="27"/>
          <w:rtl/>
        </w:rPr>
        <w:t>ٍ</w:t>
      </w:r>
      <w:r w:rsidRPr="00282AC9">
        <w:rPr>
          <w:rFonts w:hint="cs"/>
          <w:sz w:val="27"/>
          <w:rtl/>
        </w:rPr>
        <w:t xml:space="preserve"> يرجّ</w:t>
      </w:r>
      <w:r w:rsidR="007A273C" w:rsidRPr="00282AC9">
        <w:rPr>
          <w:rFonts w:hint="cs"/>
          <w:sz w:val="27"/>
          <w:rtl/>
        </w:rPr>
        <w:t>ِ</w:t>
      </w:r>
      <w:r w:rsidRPr="00282AC9">
        <w:rPr>
          <w:rFonts w:hint="cs"/>
          <w:sz w:val="27"/>
          <w:rtl/>
        </w:rPr>
        <w:t xml:space="preserve">ح تقديم إحدى الطائفتين على الأخرى. وإن الذي يمكن بيانه </w:t>
      </w:r>
      <w:r w:rsidR="007A273C" w:rsidRPr="00282AC9">
        <w:rPr>
          <w:rFonts w:hint="cs"/>
          <w:sz w:val="27"/>
          <w:rtl/>
        </w:rPr>
        <w:t>كوجهٍ</w:t>
      </w:r>
      <w:r w:rsidRPr="00282AC9">
        <w:rPr>
          <w:rFonts w:hint="cs"/>
          <w:sz w:val="27"/>
          <w:rtl/>
        </w:rPr>
        <w:t xml:space="preserve"> للترجيح هو موافقة </w:t>
      </w:r>
      <w:r w:rsidR="00AC5B92" w:rsidRPr="00282AC9">
        <w:rPr>
          <w:rFonts w:hint="cs"/>
          <w:sz w:val="27"/>
          <w:rtl/>
        </w:rPr>
        <w:t>إحدى</w:t>
      </w:r>
      <w:r w:rsidR="00F374DA" w:rsidRPr="00282AC9">
        <w:rPr>
          <w:rFonts w:hint="cs"/>
          <w:sz w:val="27"/>
          <w:rtl/>
        </w:rPr>
        <w:t xml:space="preserve"> هاتين </w:t>
      </w:r>
      <w:r w:rsidRPr="00282AC9">
        <w:rPr>
          <w:rFonts w:hint="cs"/>
          <w:sz w:val="27"/>
          <w:rtl/>
        </w:rPr>
        <w:t xml:space="preserve">الطائفتين </w:t>
      </w:r>
      <w:r w:rsidR="00AC5B92" w:rsidRPr="00282AC9">
        <w:rPr>
          <w:rFonts w:hint="cs"/>
          <w:sz w:val="27"/>
          <w:rtl/>
        </w:rPr>
        <w:t>ل</w:t>
      </w:r>
      <w:r w:rsidRPr="00282AC9">
        <w:rPr>
          <w:rFonts w:hint="cs"/>
          <w:sz w:val="27"/>
          <w:rtl/>
        </w:rPr>
        <w:t>آيات القرآن الكريم. ولو عر</w:t>
      </w:r>
      <w:r w:rsidR="00AC5B92" w:rsidRPr="00282AC9">
        <w:rPr>
          <w:rFonts w:hint="cs"/>
          <w:sz w:val="27"/>
          <w:rtl/>
        </w:rPr>
        <w:t>َ</w:t>
      </w:r>
      <w:r w:rsidRPr="00282AC9">
        <w:rPr>
          <w:rFonts w:hint="cs"/>
          <w:sz w:val="27"/>
          <w:rtl/>
        </w:rPr>
        <w:t>ض</w:t>
      </w:r>
      <w:r w:rsidR="00AC5B92" w:rsidRPr="00282AC9">
        <w:rPr>
          <w:rFonts w:hint="cs"/>
          <w:sz w:val="27"/>
          <w:rtl/>
        </w:rPr>
        <w:t>ْ</w:t>
      </w:r>
      <w:r w:rsidRPr="00282AC9">
        <w:rPr>
          <w:rFonts w:hint="cs"/>
          <w:sz w:val="27"/>
          <w:rtl/>
        </w:rPr>
        <w:t>نا كلتا الطائفتين من الروايات على القرآن فسوف نحصل على نتيجة</w:t>
      </w:r>
      <w:r w:rsidR="00AC5B92" w:rsidRPr="00282AC9">
        <w:rPr>
          <w:rFonts w:hint="cs"/>
          <w:sz w:val="27"/>
          <w:rtl/>
        </w:rPr>
        <w:t>ٍ</w:t>
      </w:r>
      <w:r w:rsidRPr="00282AC9">
        <w:rPr>
          <w:rFonts w:hint="cs"/>
          <w:sz w:val="27"/>
          <w:rtl/>
        </w:rPr>
        <w:t xml:space="preserve"> مفاد</w:t>
      </w:r>
      <w:r w:rsidR="00AC5B92" w:rsidRPr="00282AC9">
        <w:rPr>
          <w:rFonts w:hint="cs"/>
          <w:sz w:val="27"/>
          <w:rtl/>
        </w:rPr>
        <w:t>ُ</w:t>
      </w:r>
      <w:r w:rsidRPr="00282AC9">
        <w:rPr>
          <w:rFonts w:hint="cs"/>
          <w:sz w:val="27"/>
          <w:rtl/>
        </w:rPr>
        <w:t>ها</w:t>
      </w:r>
      <w:r w:rsidR="00AC5B92" w:rsidRPr="00282AC9">
        <w:rPr>
          <w:rFonts w:hint="cs"/>
          <w:sz w:val="27"/>
          <w:rtl/>
        </w:rPr>
        <w:t>:</w:t>
      </w:r>
      <w:r w:rsidRPr="00282AC9">
        <w:rPr>
          <w:rFonts w:hint="cs"/>
          <w:sz w:val="27"/>
          <w:rtl/>
        </w:rPr>
        <w:t xml:space="preserve"> قبول توبة المرتد</w:t>
      </w:r>
      <w:r w:rsidR="00AC5B92" w:rsidRPr="00282AC9">
        <w:rPr>
          <w:rFonts w:hint="cs"/>
          <w:sz w:val="27"/>
          <w:rtl/>
        </w:rPr>
        <w:t>ّ.</w:t>
      </w:r>
      <w:r w:rsidRPr="00282AC9">
        <w:rPr>
          <w:rFonts w:hint="cs"/>
          <w:sz w:val="27"/>
          <w:rtl/>
        </w:rPr>
        <w:t xml:space="preserve"> ولو تاب هذا المرتد</w:t>
      </w:r>
      <w:r w:rsidR="00AC5B92" w:rsidRPr="00282AC9">
        <w:rPr>
          <w:rFonts w:hint="cs"/>
          <w:sz w:val="27"/>
          <w:rtl/>
        </w:rPr>
        <w:t>ّ</w:t>
      </w:r>
      <w:r w:rsidRPr="00282AC9">
        <w:rPr>
          <w:rFonts w:hint="cs"/>
          <w:sz w:val="27"/>
          <w:rtl/>
        </w:rPr>
        <w:t xml:space="preserve"> قبل إثبات ارتداده عند الحاكم رُفع عنه حكم القت</w:t>
      </w:r>
      <w:r w:rsidR="00AC5B92" w:rsidRPr="00282AC9">
        <w:rPr>
          <w:rFonts w:hint="cs"/>
          <w:sz w:val="27"/>
          <w:rtl/>
        </w:rPr>
        <w:t>ل.</w:t>
      </w:r>
    </w:p>
    <w:p w:rsidR="00E83C22" w:rsidRPr="00282AC9" w:rsidRDefault="005A1BD7" w:rsidP="007C2A22">
      <w:pPr>
        <w:spacing w:line="380" w:lineRule="exact"/>
        <w:rPr>
          <w:rtl/>
        </w:rPr>
      </w:pPr>
      <w:r w:rsidRPr="00282AC9">
        <w:rPr>
          <w:rFonts w:hint="cs"/>
          <w:sz w:val="27"/>
          <w:rtl/>
        </w:rPr>
        <w:t>ومع الالتفات إلى ما ورد في سائر الروايات، ويُستفاد من عبارة</w:t>
      </w:r>
      <w:r w:rsidR="00AC5B92" w:rsidRPr="00282AC9">
        <w:rPr>
          <w:rFonts w:hint="cs"/>
          <w:sz w:val="27"/>
          <w:rtl/>
        </w:rPr>
        <w:t>:</w:t>
      </w:r>
      <w:r w:rsidRPr="00282AC9">
        <w:rPr>
          <w:rFonts w:hint="cs"/>
          <w:sz w:val="27"/>
          <w:rtl/>
        </w:rPr>
        <w:t xml:space="preserve"> </w:t>
      </w:r>
      <w:r w:rsidRPr="00282AC9">
        <w:rPr>
          <w:rFonts w:hint="eastAsia"/>
          <w:sz w:val="24"/>
          <w:szCs w:val="24"/>
          <w:rtl/>
        </w:rPr>
        <w:t>«</w:t>
      </w:r>
      <w:r w:rsidRPr="00282AC9">
        <w:rPr>
          <w:rFonts w:hint="cs"/>
          <w:sz w:val="27"/>
          <w:rtl/>
        </w:rPr>
        <w:t>لا يُستتاب</w:t>
      </w:r>
      <w:r w:rsidRPr="00282AC9">
        <w:rPr>
          <w:rFonts w:hint="eastAsia"/>
          <w:sz w:val="24"/>
          <w:szCs w:val="24"/>
          <w:rtl/>
        </w:rPr>
        <w:t>»</w:t>
      </w:r>
      <w:r w:rsidRPr="00282AC9">
        <w:rPr>
          <w:rFonts w:hint="cs"/>
          <w:sz w:val="27"/>
          <w:rtl/>
        </w:rPr>
        <w:t>، بالإضافة إلى وجود الكثير من الش</w:t>
      </w:r>
      <w:r w:rsidR="00AC5B92" w:rsidRPr="00282AC9">
        <w:rPr>
          <w:rFonts w:hint="cs"/>
          <w:sz w:val="27"/>
          <w:rtl/>
        </w:rPr>
        <w:t>ُّ</w:t>
      </w:r>
      <w:r w:rsidRPr="00282AC9">
        <w:rPr>
          <w:rFonts w:hint="cs"/>
          <w:sz w:val="27"/>
          <w:rtl/>
        </w:rPr>
        <w:t>ب</w:t>
      </w:r>
      <w:r w:rsidR="00AC5B92" w:rsidRPr="00282AC9">
        <w:rPr>
          <w:rFonts w:hint="cs"/>
          <w:sz w:val="27"/>
          <w:rtl/>
        </w:rPr>
        <w:t>ُ</w:t>
      </w:r>
      <w:r w:rsidRPr="00282AC9">
        <w:rPr>
          <w:rFonts w:hint="cs"/>
          <w:sz w:val="27"/>
          <w:rtl/>
        </w:rPr>
        <w:t>هات في مورد الشخص الذي يتوب قبل إثبات ارتداده، وكذلك وجود مسألة</w:t>
      </w:r>
      <w:r w:rsidR="00AC5B92" w:rsidRPr="00282AC9">
        <w:rPr>
          <w:rFonts w:hint="cs"/>
          <w:sz w:val="27"/>
          <w:rtl/>
        </w:rPr>
        <w:t>ٍ</w:t>
      </w:r>
      <w:r w:rsidRPr="00282AC9">
        <w:rPr>
          <w:rFonts w:hint="cs"/>
          <w:sz w:val="27"/>
          <w:rtl/>
        </w:rPr>
        <w:t xml:space="preserve"> هام</w:t>
      </w:r>
      <w:r w:rsidR="00AC5B92" w:rsidRPr="00282AC9">
        <w:rPr>
          <w:rFonts w:hint="cs"/>
          <w:sz w:val="27"/>
          <w:rtl/>
        </w:rPr>
        <w:t>ّ</w:t>
      </w:r>
      <w:r w:rsidRPr="00282AC9">
        <w:rPr>
          <w:rFonts w:hint="cs"/>
          <w:sz w:val="27"/>
          <w:rtl/>
        </w:rPr>
        <w:t>ة، مثل: دماء الناس، يبدو أنه يجب التعامل في مورد المرتد</w:t>
      </w:r>
      <w:r w:rsidR="00AC5B92" w:rsidRPr="00282AC9">
        <w:rPr>
          <w:rFonts w:hint="cs"/>
          <w:sz w:val="27"/>
          <w:rtl/>
        </w:rPr>
        <w:t>ّ</w:t>
      </w:r>
      <w:r w:rsidRPr="00282AC9">
        <w:rPr>
          <w:rFonts w:hint="cs"/>
          <w:sz w:val="27"/>
          <w:rtl/>
        </w:rPr>
        <w:t xml:space="preserve"> الذي يتوب قبل ظفر الحاكم به على أساس قاعدة </w:t>
      </w:r>
      <w:r w:rsidRPr="00282AC9">
        <w:rPr>
          <w:rFonts w:hint="eastAsia"/>
          <w:sz w:val="24"/>
          <w:szCs w:val="24"/>
          <w:rtl/>
        </w:rPr>
        <w:t>«</w:t>
      </w:r>
      <w:r w:rsidRPr="00282AC9">
        <w:rPr>
          <w:rFonts w:hint="cs"/>
          <w:sz w:val="27"/>
          <w:rtl/>
        </w:rPr>
        <w:t>الاحتياط في الدماء</w:t>
      </w:r>
      <w:r w:rsidRPr="00282AC9">
        <w:rPr>
          <w:rFonts w:hint="eastAsia"/>
          <w:sz w:val="24"/>
          <w:szCs w:val="24"/>
          <w:rtl/>
        </w:rPr>
        <w:t>»</w:t>
      </w:r>
      <w:r w:rsidR="0006307E" w:rsidRPr="00282AC9">
        <w:rPr>
          <w:rFonts w:hint="cs"/>
          <w:sz w:val="27"/>
          <w:rtl/>
        </w:rPr>
        <w:t>،</w:t>
      </w:r>
      <w:r w:rsidRPr="00282AC9">
        <w:rPr>
          <w:rFonts w:hint="cs"/>
          <w:sz w:val="27"/>
          <w:rtl/>
        </w:rPr>
        <w:t xml:space="preserve"> وقاعدة </w:t>
      </w:r>
      <w:r w:rsidRPr="00282AC9">
        <w:rPr>
          <w:rFonts w:hint="eastAsia"/>
          <w:sz w:val="24"/>
          <w:szCs w:val="24"/>
          <w:rtl/>
        </w:rPr>
        <w:t>«</w:t>
      </w:r>
      <w:r w:rsidRPr="00282AC9">
        <w:rPr>
          <w:rFonts w:hint="cs"/>
          <w:sz w:val="27"/>
          <w:rtl/>
        </w:rPr>
        <w:t>د</w:t>
      </w:r>
      <w:r w:rsidR="0006307E" w:rsidRPr="00282AC9">
        <w:rPr>
          <w:rFonts w:hint="cs"/>
          <w:sz w:val="27"/>
          <w:rtl/>
        </w:rPr>
        <w:t>َ</w:t>
      </w:r>
      <w:r w:rsidRPr="00282AC9">
        <w:rPr>
          <w:rFonts w:hint="cs"/>
          <w:sz w:val="27"/>
          <w:rtl/>
        </w:rPr>
        <w:t>ر</w:t>
      </w:r>
      <w:r w:rsidR="0006307E" w:rsidRPr="00282AC9">
        <w:rPr>
          <w:rFonts w:hint="cs"/>
          <w:sz w:val="27"/>
          <w:rtl/>
        </w:rPr>
        <w:t>ْ</w:t>
      </w:r>
      <w:r w:rsidRPr="00282AC9">
        <w:rPr>
          <w:rFonts w:hint="cs"/>
          <w:sz w:val="27"/>
          <w:rtl/>
        </w:rPr>
        <w:t>ء الحدود بالش</w:t>
      </w:r>
      <w:r w:rsidR="0006307E" w:rsidRPr="00282AC9">
        <w:rPr>
          <w:rFonts w:hint="cs"/>
          <w:sz w:val="27"/>
          <w:rtl/>
        </w:rPr>
        <w:t>ُّ</w:t>
      </w:r>
      <w:r w:rsidRPr="00282AC9">
        <w:rPr>
          <w:rFonts w:hint="cs"/>
          <w:sz w:val="27"/>
          <w:rtl/>
        </w:rPr>
        <w:t>ب</w:t>
      </w:r>
      <w:r w:rsidR="0006307E" w:rsidRPr="00282AC9">
        <w:rPr>
          <w:rFonts w:hint="cs"/>
          <w:sz w:val="27"/>
          <w:rtl/>
        </w:rPr>
        <w:t>ُ</w:t>
      </w:r>
      <w:r w:rsidRPr="00282AC9">
        <w:rPr>
          <w:rFonts w:hint="cs"/>
          <w:sz w:val="27"/>
          <w:rtl/>
        </w:rPr>
        <w:t>هات</w:t>
      </w:r>
      <w:r w:rsidRPr="00282AC9">
        <w:rPr>
          <w:rFonts w:hint="eastAsia"/>
          <w:sz w:val="24"/>
          <w:szCs w:val="24"/>
          <w:rtl/>
        </w:rPr>
        <w:t>»</w:t>
      </w:r>
      <w:r w:rsidRPr="00282AC9">
        <w:rPr>
          <w:rFonts w:hint="cs"/>
          <w:sz w:val="27"/>
          <w:rtl/>
        </w:rPr>
        <w:t>، كما قال النبي</w:t>
      </w:r>
      <w:r w:rsidR="0006307E" w:rsidRPr="00282AC9">
        <w:rPr>
          <w:rFonts w:hint="cs"/>
          <w:sz w:val="27"/>
          <w:rtl/>
        </w:rPr>
        <w:t>ّ</w:t>
      </w:r>
      <w:r w:rsidRPr="00282AC9">
        <w:rPr>
          <w:rFonts w:hint="cs"/>
          <w:sz w:val="27"/>
          <w:rtl/>
        </w:rPr>
        <w:t xml:space="preserve"> الأكرم</w:t>
      </w:r>
      <w:r w:rsidR="009A2A04" w:rsidRPr="00282AC9">
        <w:rPr>
          <w:rFonts w:cs="Mosawi" w:hint="cs"/>
          <w:sz w:val="22"/>
          <w:szCs w:val="22"/>
          <w:rtl/>
        </w:rPr>
        <w:t>|</w:t>
      </w:r>
      <w:r w:rsidRPr="00282AC9">
        <w:rPr>
          <w:rFonts w:hint="cs"/>
          <w:sz w:val="27"/>
          <w:rtl/>
        </w:rPr>
        <w:t xml:space="preserve">: </w:t>
      </w:r>
      <w:r w:rsidRPr="00282AC9">
        <w:rPr>
          <w:rFonts w:hint="eastAsia"/>
          <w:sz w:val="24"/>
          <w:szCs w:val="24"/>
          <w:rtl/>
        </w:rPr>
        <w:t>«</w:t>
      </w:r>
      <w:r w:rsidRPr="00282AC9">
        <w:rPr>
          <w:rFonts w:hint="cs"/>
          <w:sz w:val="27"/>
          <w:rtl/>
        </w:rPr>
        <w:t>ادرأوا الحدود عن المسلمين ما استطعت</w:t>
      </w:r>
      <w:r w:rsidR="0006307E" w:rsidRPr="00282AC9">
        <w:rPr>
          <w:rFonts w:hint="cs"/>
          <w:sz w:val="27"/>
          <w:rtl/>
        </w:rPr>
        <w:t>ُ</w:t>
      </w:r>
      <w:r w:rsidRPr="00282AC9">
        <w:rPr>
          <w:rFonts w:hint="cs"/>
          <w:sz w:val="27"/>
          <w:rtl/>
        </w:rPr>
        <w:t>م، فإن</w:t>
      </w:r>
      <w:r w:rsidR="0006307E" w:rsidRPr="00282AC9">
        <w:rPr>
          <w:rFonts w:hint="cs"/>
          <w:sz w:val="27"/>
          <w:rtl/>
        </w:rPr>
        <w:t>ْ</w:t>
      </w:r>
      <w:r w:rsidRPr="00282AC9">
        <w:rPr>
          <w:rFonts w:hint="cs"/>
          <w:sz w:val="27"/>
          <w:rtl/>
        </w:rPr>
        <w:t xml:space="preserve"> وجدت</w:t>
      </w:r>
      <w:r w:rsidR="0006307E" w:rsidRPr="00282AC9">
        <w:rPr>
          <w:rFonts w:hint="cs"/>
          <w:sz w:val="27"/>
          <w:rtl/>
        </w:rPr>
        <w:t>ُ</w:t>
      </w:r>
      <w:r w:rsidRPr="00282AC9">
        <w:rPr>
          <w:rFonts w:hint="cs"/>
          <w:sz w:val="27"/>
          <w:rtl/>
        </w:rPr>
        <w:t>م للمسلم مخرجاً فخ</w:t>
      </w:r>
      <w:r w:rsidR="0006307E" w:rsidRPr="00282AC9">
        <w:rPr>
          <w:rFonts w:hint="cs"/>
          <w:sz w:val="27"/>
          <w:rtl/>
        </w:rPr>
        <w:t>َ</w:t>
      </w:r>
      <w:r w:rsidRPr="00282AC9">
        <w:rPr>
          <w:rFonts w:hint="cs"/>
          <w:sz w:val="27"/>
          <w:rtl/>
        </w:rPr>
        <w:t>لّ</w:t>
      </w:r>
      <w:r w:rsidR="0006307E" w:rsidRPr="00282AC9">
        <w:rPr>
          <w:rFonts w:hint="cs"/>
          <w:sz w:val="27"/>
          <w:rtl/>
        </w:rPr>
        <w:t>ُ</w:t>
      </w:r>
      <w:r w:rsidRPr="00282AC9">
        <w:rPr>
          <w:rFonts w:hint="cs"/>
          <w:sz w:val="27"/>
          <w:rtl/>
        </w:rPr>
        <w:t>و</w:t>
      </w:r>
      <w:r w:rsidR="0006307E" w:rsidRPr="00282AC9">
        <w:rPr>
          <w:rFonts w:hint="cs"/>
          <w:sz w:val="27"/>
          <w:rtl/>
        </w:rPr>
        <w:t>ا</w:t>
      </w:r>
      <w:r w:rsidRPr="00282AC9">
        <w:rPr>
          <w:rFonts w:hint="cs"/>
          <w:sz w:val="27"/>
          <w:rtl/>
        </w:rPr>
        <w:t xml:space="preserve"> سبيله؛ فإن الإمام إن</w:t>
      </w:r>
      <w:r w:rsidR="0006307E" w:rsidRPr="00282AC9">
        <w:rPr>
          <w:rFonts w:hint="cs"/>
          <w:sz w:val="27"/>
          <w:rtl/>
        </w:rPr>
        <w:t>ْ</w:t>
      </w:r>
      <w:r w:rsidRPr="00282AC9">
        <w:rPr>
          <w:rFonts w:hint="cs"/>
          <w:sz w:val="27"/>
          <w:rtl/>
        </w:rPr>
        <w:t xml:space="preserve"> يخطئ في العفو خير</w:t>
      </w:r>
      <w:r w:rsidR="0006307E" w:rsidRPr="00282AC9">
        <w:rPr>
          <w:rFonts w:hint="cs"/>
          <w:sz w:val="27"/>
          <w:rtl/>
        </w:rPr>
        <w:t>ٌ له من أن ي</w:t>
      </w:r>
      <w:r w:rsidRPr="00282AC9">
        <w:rPr>
          <w:rFonts w:hint="cs"/>
          <w:sz w:val="27"/>
          <w:rtl/>
        </w:rPr>
        <w:t>خطئ في العقوبة</w:t>
      </w:r>
      <w:r w:rsidRPr="00282AC9">
        <w:rPr>
          <w:rFonts w:hint="eastAsia"/>
          <w:sz w:val="24"/>
          <w:szCs w:val="24"/>
          <w:rtl/>
        </w:rPr>
        <w:t>»</w:t>
      </w:r>
      <w:r w:rsidRPr="00282AC9">
        <w:rPr>
          <w:sz w:val="27"/>
          <w:vertAlign w:val="superscript"/>
          <w:rtl/>
        </w:rPr>
        <w:t>(</w:t>
      </w:r>
      <w:r w:rsidRPr="00282AC9">
        <w:rPr>
          <w:rStyle w:val="af9"/>
          <w:sz w:val="27"/>
          <w:rtl/>
        </w:rPr>
        <w:endnoteReference w:id="327"/>
      </w:r>
      <w:r w:rsidRPr="00282AC9">
        <w:rPr>
          <w:sz w:val="27"/>
          <w:vertAlign w:val="superscript"/>
          <w:rtl/>
        </w:rPr>
        <w:t>)</w:t>
      </w:r>
      <w:r w:rsidRPr="00282AC9">
        <w:rPr>
          <w:rFonts w:hint="cs"/>
          <w:sz w:val="27"/>
          <w:rtl/>
        </w:rPr>
        <w:t>.</w:t>
      </w: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lastRenderedPageBreak/>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363106" w:rsidRPr="00282AC9" w:rsidRDefault="00363106" w:rsidP="007C2A22">
      <w:pPr>
        <w:spacing w:line="20" w:lineRule="exact"/>
      </w:pPr>
      <w:r w:rsidRPr="00282AC9">
        <w:rPr>
          <w:rtl/>
        </w:rPr>
        <w:lastRenderedPageBreak/>
        <w:br w:type="page"/>
      </w:r>
    </w:p>
    <w:p w:rsidR="00363106" w:rsidRPr="00282AC9" w:rsidRDefault="00363106" w:rsidP="007C2A22">
      <w:pPr>
        <w:spacing w:line="20" w:lineRule="exact"/>
        <w:rPr>
          <w:rtl/>
        </w:rPr>
        <w:sectPr w:rsidR="00363106" w:rsidRPr="00282AC9"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363106" w:rsidRPr="00282AC9" w:rsidRDefault="00363106" w:rsidP="00363106">
      <w:pPr>
        <w:spacing w:line="420" w:lineRule="exact"/>
        <w:rPr>
          <w:rtl/>
        </w:rPr>
      </w:pPr>
    </w:p>
    <w:p w:rsidR="00E83C22" w:rsidRPr="00282AC9" w:rsidRDefault="00E83C22" w:rsidP="00363106">
      <w:pPr>
        <w:spacing w:line="420" w:lineRule="exact"/>
        <w:rPr>
          <w:rtl/>
        </w:rPr>
      </w:pPr>
    </w:p>
    <w:p w:rsidR="00E83C22" w:rsidRPr="00282AC9" w:rsidRDefault="0043514B" w:rsidP="0043514B">
      <w:pPr>
        <w:pStyle w:val="11"/>
        <w:spacing w:line="216" w:lineRule="auto"/>
        <w:rPr>
          <w:rtl/>
        </w:rPr>
      </w:pPr>
      <w:bookmarkStart w:id="23" w:name="_Toc87011498"/>
      <w:r w:rsidRPr="00282AC9">
        <w:rPr>
          <w:rtl/>
        </w:rPr>
        <w:t>قاعدة اشتراك</w:t>
      </w:r>
      <w:r w:rsidRPr="00282AC9">
        <w:rPr>
          <w:rFonts w:hint="cs"/>
          <w:rtl/>
        </w:rPr>
        <w:t xml:space="preserve"> الرجال والنساء في الأحكام الشرعي</w:t>
      </w:r>
      <w:r w:rsidR="00914C99" w:rsidRPr="00282AC9">
        <w:rPr>
          <w:rFonts w:hint="cs"/>
          <w:rtl/>
        </w:rPr>
        <w:t>ّ</w:t>
      </w:r>
      <w:r w:rsidRPr="00282AC9">
        <w:rPr>
          <w:rFonts w:hint="cs"/>
          <w:rtl/>
        </w:rPr>
        <w:t>ة</w:t>
      </w:r>
      <w:bookmarkEnd w:id="23"/>
    </w:p>
    <w:p w:rsidR="00E83C22" w:rsidRPr="00282AC9" w:rsidRDefault="00C32BB1" w:rsidP="00C32BB1">
      <w:pPr>
        <w:pStyle w:val="11"/>
        <w:spacing w:line="216" w:lineRule="auto"/>
        <w:rPr>
          <w:sz w:val="26"/>
          <w:szCs w:val="42"/>
          <w:rtl/>
        </w:rPr>
      </w:pPr>
      <w:bookmarkStart w:id="24" w:name="_Toc87011499"/>
      <w:r w:rsidRPr="00282AC9">
        <w:rPr>
          <w:rFonts w:hint="cs"/>
          <w:sz w:val="26"/>
          <w:szCs w:val="42"/>
          <w:rtl/>
        </w:rPr>
        <w:t>المفاد والأدلّة عند المذاهب الإسلامي</w:t>
      </w:r>
      <w:r w:rsidR="00914C99" w:rsidRPr="00282AC9">
        <w:rPr>
          <w:rFonts w:hint="cs"/>
          <w:sz w:val="26"/>
          <w:szCs w:val="42"/>
          <w:rtl/>
        </w:rPr>
        <w:t>ّ</w:t>
      </w:r>
      <w:r w:rsidRPr="00282AC9">
        <w:rPr>
          <w:rFonts w:hint="cs"/>
          <w:sz w:val="26"/>
          <w:szCs w:val="42"/>
          <w:rtl/>
        </w:rPr>
        <w:t>ة</w:t>
      </w:r>
      <w:bookmarkEnd w:id="24"/>
    </w:p>
    <w:p w:rsidR="00E83C22" w:rsidRPr="00282AC9" w:rsidRDefault="00E83C22" w:rsidP="00363106">
      <w:pPr>
        <w:spacing w:line="420" w:lineRule="exact"/>
        <w:rPr>
          <w:rtl/>
        </w:rPr>
      </w:pPr>
    </w:p>
    <w:p w:rsidR="00E83C22" w:rsidRPr="00282AC9" w:rsidRDefault="00C32BB1" w:rsidP="00C32BB1">
      <w:pPr>
        <w:pStyle w:val="Author"/>
        <w:rPr>
          <w:rtl/>
        </w:rPr>
      </w:pPr>
      <w:bookmarkStart w:id="25" w:name="_Toc87011500"/>
      <w:r w:rsidRPr="00282AC9">
        <w:rPr>
          <w:rFonts w:hint="cs"/>
          <w:rtl/>
        </w:rPr>
        <w:t>أ. شروق فقيه</w:t>
      </w:r>
      <w:r w:rsidR="00527634" w:rsidRPr="00282AC9">
        <w:rPr>
          <w:rFonts w:cs="Taher" w:hint="cs"/>
          <w:vertAlign w:val="superscript"/>
          <w:rtl/>
        </w:rPr>
        <w:t>(</w:t>
      </w:r>
      <w:r w:rsidR="00527634" w:rsidRPr="00282AC9">
        <w:rPr>
          <w:rFonts w:cs="Taher"/>
          <w:vertAlign w:val="superscript"/>
          <w:rtl/>
        </w:rPr>
        <w:footnoteReference w:customMarkFollows="1" w:id="6"/>
        <w:t>*)</w:t>
      </w:r>
      <w:bookmarkEnd w:id="25"/>
    </w:p>
    <w:p w:rsidR="00E83C22" w:rsidRPr="00282AC9" w:rsidRDefault="00E83C22" w:rsidP="00363106">
      <w:pPr>
        <w:spacing w:line="420" w:lineRule="exact"/>
        <w:rPr>
          <w:rtl/>
        </w:rPr>
      </w:pPr>
    </w:p>
    <w:p w:rsidR="00E355F2" w:rsidRPr="00282AC9" w:rsidRDefault="00860D6A" w:rsidP="00C32BB1">
      <w:pPr>
        <w:pStyle w:val="31"/>
        <w:rPr>
          <w:color w:val="auto"/>
          <w:rtl/>
        </w:rPr>
      </w:pPr>
      <w:r w:rsidRPr="00282AC9">
        <w:rPr>
          <w:rFonts w:hint="cs"/>
          <w:color w:val="auto"/>
          <w:rtl/>
        </w:rPr>
        <w:t>خلاصةٌ</w:t>
      </w:r>
      <w:r w:rsidR="00E355F2" w:rsidRPr="00282AC9">
        <w:rPr>
          <w:color w:val="auto"/>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تعتبر القاعدة عند الإمامي</w:t>
      </w:r>
      <w:r w:rsidR="00914C99" w:rsidRPr="00282AC9">
        <w:rPr>
          <w:rFonts w:ascii="AAA GoldenLotus" w:hAnsi="AAA GoldenLotus" w:hint="cs"/>
          <w:sz w:val="27"/>
          <w:rtl/>
        </w:rPr>
        <w:t>ّ</w:t>
      </w:r>
      <w:r w:rsidRPr="00282AC9">
        <w:rPr>
          <w:rFonts w:ascii="AAA GoldenLotus" w:hAnsi="AAA GoldenLotus"/>
          <w:sz w:val="27"/>
          <w:rtl/>
        </w:rPr>
        <w:t>ة من القواعد الفرعية للقاعدة الكل</w:t>
      </w:r>
      <w:r w:rsidR="004B0A2C" w:rsidRPr="00282AC9">
        <w:rPr>
          <w:rFonts w:ascii="AAA GoldenLotus" w:hAnsi="AAA GoldenLotus" w:hint="cs"/>
          <w:sz w:val="27"/>
          <w:rtl/>
        </w:rPr>
        <w:t>ِّ</w:t>
      </w:r>
      <w:r w:rsidRPr="00282AC9">
        <w:rPr>
          <w:rFonts w:ascii="AAA GoldenLotus" w:hAnsi="AAA GoldenLotus"/>
          <w:sz w:val="27"/>
          <w:rtl/>
        </w:rPr>
        <w:t xml:space="preserve">ية المعروفة بـ </w:t>
      </w:r>
      <w:r w:rsidRPr="00282AC9">
        <w:rPr>
          <w:rFonts w:ascii="AAA GoldenLotus" w:hAnsi="AAA GoldenLotus" w:hint="cs"/>
          <w:sz w:val="27"/>
          <w:rtl/>
        </w:rPr>
        <w:t>(</w:t>
      </w:r>
      <w:r w:rsidRPr="00282AC9">
        <w:rPr>
          <w:rFonts w:ascii="AAA GoldenLotus" w:hAnsi="AAA GoldenLotus"/>
          <w:sz w:val="27"/>
          <w:rtl/>
        </w:rPr>
        <w:t>قاعدة الاشتراك</w:t>
      </w:r>
      <w:r w:rsidRPr="00282AC9">
        <w:rPr>
          <w:rFonts w:ascii="AAA GoldenLotus" w:hAnsi="AAA GoldenLotus" w:hint="cs"/>
          <w:sz w:val="27"/>
          <w:rtl/>
        </w:rPr>
        <w:t>)</w:t>
      </w:r>
      <w:r w:rsidRPr="00282AC9">
        <w:rPr>
          <w:rFonts w:ascii="AAA GoldenLotus" w:hAnsi="AAA GoldenLotus"/>
          <w:sz w:val="27"/>
          <w:rtl/>
        </w:rPr>
        <w:t xml:space="preserve"> العام</w:t>
      </w:r>
      <w:r w:rsidR="004B0A2C" w:rsidRPr="00282AC9">
        <w:rPr>
          <w:rFonts w:ascii="AAA GoldenLotus" w:hAnsi="AAA GoldenLotus" w:hint="cs"/>
          <w:sz w:val="27"/>
          <w:rtl/>
        </w:rPr>
        <w:t>ّ</w:t>
      </w:r>
      <w:r w:rsidRPr="00282AC9">
        <w:rPr>
          <w:rFonts w:ascii="AAA GoldenLotus" w:hAnsi="AAA GoldenLotus"/>
          <w:sz w:val="27"/>
          <w:rtl/>
        </w:rPr>
        <w:t>ة</w:t>
      </w:r>
      <w:r w:rsidR="004B0A2C" w:rsidRPr="00282AC9">
        <w:rPr>
          <w:rFonts w:ascii="AAA GoldenLotus" w:hAnsi="AAA GoldenLotus" w:hint="cs"/>
          <w:sz w:val="27"/>
          <w:rtl/>
        </w:rPr>
        <w:t>؛</w:t>
      </w:r>
      <w:r w:rsidRPr="00282AC9">
        <w:rPr>
          <w:rFonts w:ascii="AAA GoldenLotus" w:hAnsi="AAA GoldenLotus"/>
          <w:sz w:val="27"/>
          <w:rtl/>
        </w:rPr>
        <w:t xml:space="preserve"> حيث يوجد في الفقه الإمامي قاعدة</w:t>
      </w:r>
      <w:r w:rsidR="004B0A2C" w:rsidRPr="00282AC9">
        <w:rPr>
          <w:rFonts w:ascii="AAA GoldenLotus" w:hAnsi="AAA GoldenLotus" w:hint="cs"/>
          <w:sz w:val="27"/>
          <w:rtl/>
        </w:rPr>
        <w:t>ٌ</w:t>
      </w:r>
      <w:r w:rsidRPr="00282AC9">
        <w:rPr>
          <w:rFonts w:ascii="AAA GoldenLotus" w:hAnsi="AAA GoldenLotus"/>
          <w:sz w:val="27"/>
          <w:rtl/>
        </w:rPr>
        <w:t xml:space="preserve"> كلّية حمل</w:t>
      </w:r>
      <w:r w:rsidR="004B0A2C" w:rsidRPr="00282AC9">
        <w:rPr>
          <w:rFonts w:ascii="AAA GoldenLotus" w:hAnsi="AAA GoldenLotus" w:hint="cs"/>
          <w:sz w:val="27"/>
          <w:rtl/>
        </w:rPr>
        <w:t>َ</w:t>
      </w:r>
      <w:r w:rsidRPr="00282AC9">
        <w:rPr>
          <w:rFonts w:ascii="AAA GoldenLotus" w:hAnsi="AAA GoldenLotus"/>
          <w:sz w:val="27"/>
          <w:rtl/>
        </w:rPr>
        <w:t>ت</w:t>
      </w:r>
      <w:r w:rsidR="004B0A2C" w:rsidRPr="00282AC9">
        <w:rPr>
          <w:rFonts w:ascii="AAA GoldenLotus" w:hAnsi="AAA GoldenLotus" w:hint="cs"/>
          <w:sz w:val="27"/>
          <w:rtl/>
        </w:rPr>
        <w:t>ْ</w:t>
      </w:r>
      <w:r w:rsidRPr="00282AC9">
        <w:rPr>
          <w:rFonts w:ascii="AAA GoldenLotus" w:hAnsi="AAA GoldenLotus"/>
          <w:sz w:val="27"/>
          <w:rtl/>
        </w:rPr>
        <w:t xml:space="preserve"> عنوان قاعدة الاشتراك،</w:t>
      </w:r>
      <w:r w:rsidR="004B0A2C" w:rsidRPr="00282AC9">
        <w:rPr>
          <w:rFonts w:ascii="AAA GoldenLotus" w:hAnsi="AAA GoldenLotus"/>
          <w:sz w:val="27"/>
          <w:rtl/>
        </w:rPr>
        <w:t xml:space="preserve"> وقد تفرّ</w:t>
      </w:r>
      <w:r w:rsidR="004B0A2C" w:rsidRPr="00282AC9">
        <w:rPr>
          <w:rFonts w:ascii="AAA GoldenLotus" w:hAnsi="AAA GoldenLotus" w:hint="cs"/>
          <w:sz w:val="27"/>
          <w:rtl/>
        </w:rPr>
        <w:t>َ</w:t>
      </w:r>
      <w:r w:rsidRPr="00282AC9">
        <w:rPr>
          <w:rFonts w:ascii="AAA GoldenLotus" w:hAnsi="AAA GoldenLotus"/>
          <w:sz w:val="27"/>
          <w:rtl/>
        </w:rPr>
        <w:t>ع عن</w:t>
      </w:r>
      <w:r w:rsidR="004B0A2C" w:rsidRPr="00282AC9">
        <w:rPr>
          <w:rFonts w:ascii="AAA GoldenLotus" w:hAnsi="AAA GoldenLotus"/>
          <w:sz w:val="27"/>
          <w:rtl/>
        </w:rPr>
        <w:t>ها عدّ</w:t>
      </w:r>
      <w:r w:rsidRPr="00282AC9">
        <w:rPr>
          <w:rFonts w:ascii="AAA GoldenLotus" w:hAnsi="AAA GoldenLotus"/>
          <w:sz w:val="27"/>
          <w:rtl/>
        </w:rPr>
        <w:t>ة قواعد، منها: قاعدة اشتراك الأحكام بين العالم والجاهل</w:t>
      </w:r>
      <w:r w:rsidR="004B0A2C" w:rsidRPr="00282AC9">
        <w:rPr>
          <w:rFonts w:ascii="AAA GoldenLotus" w:hAnsi="AAA GoldenLotus" w:hint="cs"/>
          <w:sz w:val="27"/>
          <w:rtl/>
        </w:rPr>
        <w:t>؛</w:t>
      </w:r>
      <w:r w:rsidRPr="00282AC9">
        <w:rPr>
          <w:rFonts w:ascii="AAA GoldenLotus" w:hAnsi="AAA GoldenLotus"/>
          <w:sz w:val="27"/>
          <w:rtl/>
        </w:rPr>
        <w:t xml:space="preserve"> ومنها</w:t>
      </w:r>
      <w:r w:rsidR="004B0A2C" w:rsidRPr="00282AC9">
        <w:rPr>
          <w:rFonts w:ascii="AAA GoldenLotus" w:hAnsi="AAA GoldenLotus" w:hint="cs"/>
          <w:sz w:val="27"/>
          <w:rtl/>
        </w:rPr>
        <w:t>:</w:t>
      </w:r>
      <w:r w:rsidRPr="00282AC9">
        <w:rPr>
          <w:rFonts w:ascii="AAA GoldenLotus" w:hAnsi="AAA GoldenLotus"/>
          <w:sz w:val="27"/>
          <w:rtl/>
        </w:rPr>
        <w:t xml:space="preserve"> قاعدة اشتراك الأحكام بين المسلم والكافر</w:t>
      </w:r>
      <w:r w:rsidR="004B0A2C" w:rsidRPr="00282AC9">
        <w:rPr>
          <w:rFonts w:ascii="AAA GoldenLotus" w:hAnsi="AAA GoldenLotus" w:hint="cs"/>
          <w:sz w:val="27"/>
          <w:rtl/>
        </w:rPr>
        <w:t>؛</w:t>
      </w:r>
      <w:r w:rsidRPr="00282AC9">
        <w:rPr>
          <w:rFonts w:ascii="AAA GoldenLotus" w:hAnsi="AAA GoldenLotus"/>
          <w:sz w:val="27"/>
          <w:rtl/>
        </w:rPr>
        <w:t xml:space="preserve"> ومنها ـ والتي هي محل</w:t>
      </w:r>
      <w:r w:rsidR="004B0A2C" w:rsidRPr="00282AC9">
        <w:rPr>
          <w:rFonts w:ascii="AAA GoldenLotus" w:hAnsi="AAA GoldenLotus" w:hint="cs"/>
          <w:sz w:val="27"/>
          <w:rtl/>
        </w:rPr>
        <w:t>ّ</w:t>
      </w:r>
      <w:r w:rsidRPr="00282AC9">
        <w:rPr>
          <w:rFonts w:ascii="AAA GoldenLotus" w:hAnsi="AAA GoldenLotus"/>
          <w:sz w:val="27"/>
          <w:rtl/>
        </w:rPr>
        <w:t xml:space="preserve"> بحثنا ـ</w:t>
      </w:r>
      <w:r w:rsidR="004B0A2C" w:rsidRPr="00282AC9">
        <w:rPr>
          <w:rFonts w:ascii="AAA GoldenLotus" w:hAnsi="AAA GoldenLotus" w:hint="cs"/>
          <w:sz w:val="27"/>
          <w:rtl/>
        </w:rPr>
        <w:t>:</w:t>
      </w:r>
      <w:r w:rsidRPr="00282AC9">
        <w:rPr>
          <w:rFonts w:ascii="AAA GoldenLotus" w:hAnsi="AAA GoldenLotus"/>
          <w:sz w:val="27"/>
          <w:rtl/>
        </w:rPr>
        <w:t xml:space="preserve"> قاعدة اشتراك الأحكام بين الرجل والمرأة في التكليف.</w:t>
      </w:r>
    </w:p>
    <w:p w:rsidR="00E355F2" w:rsidRPr="00282AC9" w:rsidRDefault="00E355F2" w:rsidP="00046546">
      <w:pPr>
        <w:rPr>
          <w:rFonts w:ascii="AAA GoldenLotus" w:hAnsi="AAA GoldenLotus"/>
          <w:spacing w:val="-6"/>
          <w:sz w:val="27"/>
          <w:rtl/>
        </w:rPr>
      </w:pPr>
      <w:r w:rsidRPr="00282AC9">
        <w:rPr>
          <w:rFonts w:ascii="AAA GoldenLotus" w:hAnsi="AAA GoldenLotus"/>
          <w:spacing w:val="-6"/>
          <w:sz w:val="27"/>
          <w:rtl/>
        </w:rPr>
        <w:t xml:space="preserve">وأمّا سائر المذاهب </w:t>
      </w:r>
      <w:r w:rsidR="004B0A2C" w:rsidRPr="00282AC9">
        <w:rPr>
          <w:rFonts w:ascii="AAA GoldenLotus" w:hAnsi="AAA GoldenLotus" w:hint="cs"/>
          <w:spacing w:val="-6"/>
          <w:sz w:val="27"/>
          <w:rtl/>
        </w:rPr>
        <w:t>فقد</w:t>
      </w:r>
      <w:r w:rsidRPr="00282AC9">
        <w:rPr>
          <w:rFonts w:ascii="AAA GoldenLotus" w:hAnsi="AAA GoldenLotus"/>
          <w:spacing w:val="-6"/>
          <w:sz w:val="27"/>
          <w:rtl/>
        </w:rPr>
        <w:t xml:space="preserve"> </w:t>
      </w:r>
      <w:r w:rsidR="004B0A2C" w:rsidRPr="00282AC9">
        <w:rPr>
          <w:rFonts w:ascii="AAA GoldenLotus" w:hAnsi="AAA GoldenLotus"/>
          <w:spacing w:val="-6"/>
          <w:sz w:val="27"/>
          <w:rtl/>
        </w:rPr>
        <w:t xml:space="preserve">عُنونت </w:t>
      </w:r>
      <w:r w:rsidRPr="00282AC9">
        <w:rPr>
          <w:rFonts w:ascii="AAA GoldenLotus" w:hAnsi="AAA GoldenLotus"/>
          <w:spacing w:val="-6"/>
          <w:sz w:val="27"/>
          <w:rtl/>
        </w:rPr>
        <w:t>هذه القاعدة عندهم بعناوين متعد</w:t>
      </w:r>
      <w:r w:rsidR="004B0A2C" w:rsidRPr="00282AC9">
        <w:rPr>
          <w:rFonts w:ascii="AAA GoldenLotus" w:hAnsi="AAA GoldenLotus" w:hint="cs"/>
          <w:spacing w:val="-6"/>
          <w:sz w:val="27"/>
          <w:rtl/>
        </w:rPr>
        <w:t>ِّ</w:t>
      </w:r>
      <w:r w:rsidRPr="00282AC9">
        <w:rPr>
          <w:rFonts w:ascii="AAA GoldenLotus" w:hAnsi="AAA GoldenLotus"/>
          <w:spacing w:val="-6"/>
          <w:sz w:val="27"/>
          <w:rtl/>
        </w:rPr>
        <w:t>دة</w:t>
      </w:r>
      <w:r w:rsidR="004B0A2C" w:rsidRPr="00282AC9">
        <w:rPr>
          <w:rFonts w:ascii="AAA GoldenLotus" w:hAnsi="AAA GoldenLotus" w:hint="cs"/>
          <w:spacing w:val="-6"/>
          <w:sz w:val="27"/>
          <w:rtl/>
        </w:rPr>
        <w:t>،</w:t>
      </w:r>
      <w:r w:rsidRPr="00282AC9">
        <w:rPr>
          <w:rFonts w:ascii="AAA GoldenLotus" w:hAnsi="AAA GoldenLotus"/>
          <w:spacing w:val="-6"/>
          <w:sz w:val="27"/>
          <w:rtl/>
        </w:rPr>
        <w:t xml:space="preserve"> من قبيل: </w:t>
      </w:r>
      <w:r w:rsidRPr="00282AC9">
        <w:rPr>
          <w:rFonts w:ascii="AAA GoldenLotus" w:hAnsi="AAA GoldenLotus" w:hint="cs"/>
          <w:spacing w:val="-6"/>
          <w:sz w:val="27"/>
          <w:rtl/>
        </w:rPr>
        <w:t>(</w:t>
      </w:r>
      <w:r w:rsidRPr="00282AC9">
        <w:rPr>
          <w:rFonts w:ascii="AAA GoldenLotus" w:hAnsi="AAA GoldenLotus"/>
          <w:spacing w:val="-6"/>
          <w:sz w:val="27"/>
          <w:rtl/>
        </w:rPr>
        <w:t>النساء شقائق الرجال</w:t>
      </w:r>
      <w:r w:rsidRPr="00282AC9">
        <w:rPr>
          <w:rFonts w:ascii="AAA GoldenLotus" w:hAnsi="AAA GoldenLotus" w:hint="cs"/>
          <w:spacing w:val="-6"/>
          <w:sz w:val="27"/>
          <w:rtl/>
        </w:rPr>
        <w:t>)</w:t>
      </w:r>
      <w:r w:rsidRPr="00282AC9">
        <w:rPr>
          <w:rFonts w:ascii="AAA GoldenLotus" w:hAnsi="AAA GoldenLotus"/>
          <w:spacing w:val="-6"/>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وهذا العنوان</w:t>
      </w:r>
      <w:r w:rsidR="004B0A2C" w:rsidRPr="00282AC9">
        <w:rPr>
          <w:rFonts w:ascii="AAA GoldenLotus" w:hAnsi="AAA GoldenLotus" w:hint="cs"/>
          <w:sz w:val="27"/>
          <w:rtl/>
        </w:rPr>
        <w:t>،</w:t>
      </w:r>
      <w:r w:rsidRPr="00282AC9">
        <w:rPr>
          <w:rFonts w:ascii="AAA GoldenLotus" w:hAnsi="AAA GoldenLotus"/>
          <w:sz w:val="27"/>
          <w:rtl/>
        </w:rPr>
        <w:t xml:space="preserve"> أي النساء شقائق الرجال، الذي يعتبر أصل قاعدة اشتراك الأحكام بين الرجال والنساء</w:t>
      </w:r>
      <w:r w:rsidR="004B0A2C" w:rsidRPr="00282AC9">
        <w:rPr>
          <w:rFonts w:ascii="AAA GoldenLotus" w:hAnsi="AAA GoldenLotus" w:hint="cs"/>
          <w:sz w:val="27"/>
          <w:rtl/>
        </w:rPr>
        <w:t>،</w:t>
      </w:r>
      <w:r w:rsidRPr="00282AC9">
        <w:rPr>
          <w:rFonts w:ascii="AAA GoldenLotus" w:hAnsi="AAA GoldenLotus"/>
          <w:sz w:val="27"/>
          <w:rtl/>
        </w:rPr>
        <w:t xml:space="preserve"> وموضوع الماد</w:t>
      </w:r>
      <w:r w:rsidR="004B0A2C" w:rsidRPr="00282AC9">
        <w:rPr>
          <w:rFonts w:ascii="AAA GoldenLotus" w:hAnsi="AAA GoldenLotus" w:hint="cs"/>
          <w:sz w:val="27"/>
          <w:rtl/>
        </w:rPr>
        <w:t>ّ</w:t>
      </w:r>
      <w:r w:rsidRPr="00282AC9">
        <w:rPr>
          <w:rFonts w:ascii="AAA GoldenLotus" w:hAnsi="AAA GoldenLotus"/>
          <w:sz w:val="27"/>
          <w:rtl/>
        </w:rPr>
        <w:t>ة العلمية لها عندهم، هو نصّ</w:t>
      </w:r>
      <w:r w:rsidR="004B0A2C" w:rsidRPr="00282AC9">
        <w:rPr>
          <w:rFonts w:ascii="AAA GoldenLotus" w:hAnsi="AAA GoldenLotus" w:hint="cs"/>
          <w:sz w:val="27"/>
          <w:rtl/>
        </w:rPr>
        <w:t>ُ</w:t>
      </w:r>
      <w:r w:rsidRPr="00282AC9">
        <w:rPr>
          <w:rFonts w:ascii="AAA GoldenLotus" w:hAnsi="AAA GoldenLotus"/>
          <w:sz w:val="27"/>
          <w:rtl/>
        </w:rPr>
        <w:t xml:space="preserve"> حديث</w:t>
      </w:r>
      <w:r w:rsidR="004B0A2C" w:rsidRPr="00282AC9">
        <w:rPr>
          <w:rFonts w:ascii="AAA GoldenLotus" w:hAnsi="AAA GoldenLotus" w:hint="cs"/>
          <w:sz w:val="27"/>
          <w:rtl/>
        </w:rPr>
        <w:t>ٍ</w:t>
      </w:r>
      <w:r w:rsidRPr="00282AC9">
        <w:rPr>
          <w:rFonts w:ascii="AAA GoldenLotus" w:hAnsi="AAA GoldenLotus"/>
          <w:sz w:val="27"/>
          <w:rtl/>
        </w:rPr>
        <w:t xml:space="preserve"> نبوي</w:t>
      </w:r>
      <w:r w:rsidR="004B0A2C" w:rsidRPr="00282AC9">
        <w:rPr>
          <w:rFonts w:ascii="AAA GoldenLotus" w:hAnsi="AAA GoldenLotus" w:hint="cs"/>
          <w:sz w:val="27"/>
          <w:rtl/>
        </w:rPr>
        <w:t>ّ</w:t>
      </w:r>
      <w:r w:rsidRPr="00282AC9">
        <w:rPr>
          <w:rFonts w:ascii="AAA GoldenLotus" w:hAnsi="AAA GoldenLotus"/>
          <w:sz w:val="27"/>
          <w:rtl/>
        </w:rPr>
        <w:t xml:space="preserve"> شريف</w:t>
      </w:r>
      <w:r w:rsidR="004B0A2C" w:rsidRPr="00282AC9">
        <w:rPr>
          <w:rFonts w:ascii="AAA GoldenLotus" w:hAnsi="AAA GoldenLotus" w:hint="cs"/>
          <w:sz w:val="27"/>
          <w:rtl/>
        </w:rPr>
        <w:t>،</w:t>
      </w:r>
      <w:r w:rsidRPr="00282AC9">
        <w:rPr>
          <w:rFonts w:ascii="AAA GoldenLotus" w:hAnsi="AAA GoldenLotus"/>
          <w:sz w:val="27"/>
          <w:rtl/>
        </w:rPr>
        <w:t xml:space="preserve"> ر</w:t>
      </w:r>
      <w:r w:rsidR="004B0A2C" w:rsidRPr="00282AC9">
        <w:rPr>
          <w:rFonts w:ascii="AAA GoldenLotus" w:hAnsi="AAA GoldenLotus" w:hint="cs"/>
          <w:sz w:val="27"/>
          <w:rtl/>
        </w:rPr>
        <w:t>َ</w:t>
      </w:r>
      <w:r w:rsidRPr="00282AC9">
        <w:rPr>
          <w:rFonts w:ascii="AAA GoldenLotus" w:hAnsi="AAA GoldenLotus"/>
          <w:sz w:val="27"/>
          <w:rtl/>
        </w:rPr>
        <w:t>و</w:t>
      </w:r>
      <w:r w:rsidR="004B0A2C" w:rsidRPr="00282AC9">
        <w:rPr>
          <w:rFonts w:ascii="AAA GoldenLotus" w:hAnsi="AAA GoldenLotus" w:hint="cs"/>
          <w:sz w:val="27"/>
          <w:rtl/>
        </w:rPr>
        <w:t>َ</w:t>
      </w:r>
      <w:r w:rsidRPr="00282AC9">
        <w:rPr>
          <w:rFonts w:ascii="AAA GoldenLotus" w:hAnsi="AAA GoldenLotus"/>
          <w:sz w:val="27"/>
          <w:rtl/>
        </w:rPr>
        <w:t>ت</w:t>
      </w:r>
      <w:r w:rsidR="004B0A2C" w:rsidRPr="00282AC9">
        <w:rPr>
          <w:rFonts w:ascii="AAA GoldenLotus" w:hAnsi="AAA GoldenLotus" w:hint="cs"/>
          <w:sz w:val="27"/>
          <w:rtl/>
        </w:rPr>
        <w:t>ْ</w:t>
      </w:r>
      <w:r w:rsidRPr="00282AC9">
        <w:rPr>
          <w:rFonts w:ascii="AAA GoldenLotus" w:hAnsi="AAA GoldenLotus"/>
          <w:sz w:val="27"/>
          <w:rtl/>
        </w:rPr>
        <w:t>ه جوامع الأحاديث، ثم</w:t>
      </w:r>
      <w:r w:rsidR="004B0A2C" w:rsidRPr="00282AC9">
        <w:rPr>
          <w:rFonts w:ascii="AAA GoldenLotus" w:hAnsi="AAA GoldenLotus" w:hint="cs"/>
          <w:sz w:val="27"/>
          <w:rtl/>
        </w:rPr>
        <w:t>ّ</w:t>
      </w:r>
      <w:r w:rsidRPr="00282AC9">
        <w:rPr>
          <w:rFonts w:ascii="AAA GoldenLotus" w:hAnsi="AAA GoldenLotus"/>
          <w:sz w:val="27"/>
          <w:rtl/>
        </w:rPr>
        <w:t xml:space="preserve"> جرى مجرى القاعدة عند الفقهاء. </w:t>
      </w:r>
    </w:p>
    <w:p w:rsidR="00E355F2" w:rsidRPr="00282AC9" w:rsidRDefault="00E355F2" w:rsidP="00046546">
      <w:pPr>
        <w:rPr>
          <w:rFonts w:ascii="AAA GoldenLotus" w:hAnsi="AAA GoldenLotus"/>
          <w:sz w:val="27"/>
          <w:rtl/>
        </w:rPr>
      </w:pPr>
      <w:r w:rsidRPr="00282AC9">
        <w:rPr>
          <w:rFonts w:ascii="AAA GoldenLotus" w:hAnsi="AAA GoldenLotus"/>
          <w:sz w:val="27"/>
          <w:rtl/>
        </w:rPr>
        <w:t>ومعنى شقائق الرجال نظائرهم وأمثال</w:t>
      </w:r>
      <w:r w:rsidR="004B0A2C" w:rsidRPr="00282AC9">
        <w:rPr>
          <w:rFonts w:ascii="AAA GoldenLotus" w:hAnsi="AAA GoldenLotus" w:hint="cs"/>
          <w:sz w:val="27"/>
          <w:rtl/>
        </w:rPr>
        <w:t>ُ</w:t>
      </w:r>
      <w:r w:rsidRPr="00282AC9">
        <w:rPr>
          <w:rFonts w:ascii="AAA GoldenLotus" w:hAnsi="AAA GoldenLotus"/>
          <w:sz w:val="27"/>
          <w:rtl/>
        </w:rPr>
        <w:t>هم في الخ</w:t>
      </w:r>
      <w:r w:rsidR="004B0A2C" w:rsidRPr="00282AC9">
        <w:rPr>
          <w:rFonts w:ascii="AAA GoldenLotus" w:hAnsi="AAA GoldenLotus" w:hint="cs"/>
          <w:sz w:val="27"/>
          <w:rtl/>
        </w:rPr>
        <w:t>َ</w:t>
      </w:r>
      <w:r w:rsidRPr="00282AC9">
        <w:rPr>
          <w:rFonts w:ascii="AAA GoldenLotus" w:hAnsi="AAA GoldenLotus"/>
          <w:sz w:val="27"/>
          <w:rtl/>
        </w:rPr>
        <w:t>ل</w:t>
      </w:r>
      <w:r w:rsidR="004B0A2C" w:rsidRPr="00282AC9">
        <w:rPr>
          <w:rFonts w:ascii="AAA GoldenLotus" w:hAnsi="AAA GoldenLotus" w:hint="cs"/>
          <w:sz w:val="27"/>
          <w:rtl/>
        </w:rPr>
        <w:t>ْ</w:t>
      </w:r>
      <w:r w:rsidRPr="00282AC9">
        <w:rPr>
          <w:rFonts w:ascii="AAA GoldenLotus" w:hAnsi="AAA GoldenLotus"/>
          <w:sz w:val="27"/>
          <w:rtl/>
        </w:rPr>
        <w:t>ق والط</w:t>
      </w:r>
      <w:r w:rsidR="004B0A2C" w:rsidRPr="00282AC9">
        <w:rPr>
          <w:rFonts w:ascii="AAA GoldenLotus" w:hAnsi="AAA GoldenLotus" w:hint="cs"/>
          <w:sz w:val="27"/>
          <w:rtl/>
        </w:rPr>
        <w:t>ِّ</w:t>
      </w:r>
      <w:r w:rsidRPr="00282AC9">
        <w:rPr>
          <w:rFonts w:ascii="AAA GoldenLotus" w:hAnsi="AAA GoldenLotus"/>
          <w:sz w:val="27"/>
          <w:rtl/>
        </w:rPr>
        <w:t>باع، فكأنه</w:t>
      </w:r>
      <w:r w:rsidR="004B0A2C" w:rsidRPr="00282AC9">
        <w:rPr>
          <w:rFonts w:ascii="AAA GoldenLotus" w:hAnsi="AAA GoldenLotus" w:hint="cs"/>
          <w:sz w:val="27"/>
          <w:rtl/>
        </w:rPr>
        <w:t>ُ</w:t>
      </w:r>
      <w:r w:rsidRPr="00282AC9">
        <w:rPr>
          <w:rFonts w:ascii="AAA GoldenLotus" w:hAnsi="AAA GoldenLotus"/>
          <w:sz w:val="27"/>
          <w:rtl/>
        </w:rPr>
        <w:t>ن</w:t>
      </w:r>
      <w:r w:rsidR="004B0A2C" w:rsidRPr="00282AC9">
        <w:rPr>
          <w:rFonts w:ascii="AAA GoldenLotus" w:hAnsi="AAA GoldenLotus" w:hint="cs"/>
          <w:sz w:val="27"/>
          <w:rtl/>
        </w:rPr>
        <w:t>َّ</w:t>
      </w:r>
      <w:r w:rsidRPr="00282AC9">
        <w:rPr>
          <w:rFonts w:ascii="AAA GoldenLotus" w:hAnsi="AAA GoldenLotus"/>
          <w:sz w:val="27"/>
          <w:rtl/>
        </w:rPr>
        <w:t xml:space="preserve"> شقق</w:t>
      </w:r>
      <w:r w:rsidR="004B0A2C" w:rsidRPr="00282AC9">
        <w:rPr>
          <w:rFonts w:ascii="AAA GoldenLotus" w:hAnsi="AAA GoldenLotus" w:hint="cs"/>
          <w:sz w:val="27"/>
          <w:rtl/>
        </w:rPr>
        <w:t>ْ</w:t>
      </w:r>
      <w:r w:rsidRPr="00282AC9">
        <w:rPr>
          <w:rFonts w:ascii="AAA GoldenLotus" w:hAnsi="AAA GoldenLotus"/>
          <w:sz w:val="27"/>
          <w:rtl/>
        </w:rPr>
        <w:t>ن</w:t>
      </w:r>
      <w:r w:rsidR="004B0A2C" w:rsidRPr="00282AC9">
        <w:rPr>
          <w:rFonts w:ascii="AAA GoldenLotus" w:hAnsi="AAA GoldenLotus" w:hint="cs"/>
          <w:sz w:val="27"/>
          <w:rtl/>
        </w:rPr>
        <w:t>َ</w:t>
      </w:r>
      <w:r w:rsidRPr="00282AC9">
        <w:rPr>
          <w:rFonts w:ascii="AAA GoldenLotus" w:hAnsi="AAA GoldenLotus"/>
          <w:sz w:val="27"/>
          <w:rtl/>
        </w:rPr>
        <w:t xml:space="preserve"> من الرجال. وفيه من الفقه إثبات القياس، وإلحاق حكم النظير بالنظير، وأن الخطاب إذا ورد بلفظ الذكور كان خطاباً للنساء، إلا</w:t>
      </w:r>
      <w:r w:rsidR="003D338D" w:rsidRPr="00282AC9">
        <w:rPr>
          <w:rFonts w:ascii="AAA GoldenLotus" w:hAnsi="AAA GoldenLotus" w:hint="cs"/>
          <w:sz w:val="27"/>
          <w:rtl/>
        </w:rPr>
        <w:t>ّ</w:t>
      </w:r>
      <w:r w:rsidRPr="00282AC9">
        <w:rPr>
          <w:rFonts w:ascii="AAA GoldenLotus" w:hAnsi="AAA GoldenLotus"/>
          <w:sz w:val="27"/>
          <w:rtl/>
        </w:rPr>
        <w:t xml:space="preserve"> في مواضع الخصوص التي قام</w:t>
      </w:r>
      <w:r w:rsidR="003D338D" w:rsidRPr="00282AC9">
        <w:rPr>
          <w:rFonts w:ascii="AAA GoldenLotus" w:hAnsi="AAA GoldenLotus" w:hint="cs"/>
          <w:sz w:val="27"/>
          <w:rtl/>
        </w:rPr>
        <w:t>َ</w:t>
      </w:r>
      <w:r w:rsidRPr="00282AC9">
        <w:rPr>
          <w:rFonts w:ascii="AAA GoldenLotus" w:hAnsi="AAA GoldenLotus"/>
          <w:sz w:val="27"/>
          <w:rtl/>
        </w:rPr>
        <w:t>ت</w:t>
      </w:r>
      <w:r w:rsidR="003D338D" w:rsidRPr="00282AC9">
        <w:rPr>
          <w:rFonts w:ascii="AAA GoldenLotus" w:hAnsi="AAA GoldenLotus" w:hint="cs"/>
          <w:sz w:val="27"/>
          <w:rtl/>
        </w:rPr>
        <w:t>ْ</w:t>
      </w:r>
      <w:r w:rsidRPr="00282AC9">
        <w:rPr>
          <w:rFonts w:ascii="AAA GoldenLotus" w:hAnsi="AAA GoldenLotus"/>
          <w:sz w:val="27"/>
          <w:rtl/>
        </w:rPr>
        <w:t xml:space="preserve"> أدل</w:t>
      </w:r>
      <w:r w:rsidR="003D338D" w:rsidRPr="00282AC9">
        <w:rPr>
          <w:rFonts w:ascii="AAA GoldenLotus" w:hAnsi="AAA GoldenLotus" w:hint="cs"/>
          <w:sz w:val="27"/>
          <w:rtl/>
        </w:rPr>
        <w:t>ّ</w:t>
      </w:r>
      <w:r w:rsidRPr="00282AC9">
        <w:rPr>
          <w:rFonts w:ascii="AAA GoldenLotus" w:hAnsi="AAA GoldenLotus"/>
          <w:sz w:val="27"/>
          <w:rtl/>
        </w:rPr>
        <w:t>ة</w:t>
      </w:r>
      <w:r w:rsidR="003D338D" w:rsidRPr="00282AC9">
        <w:rPr>
          <w:rFonts w:ascii="AAA GoldenLotus" w:hAnsi="AAA GoldenLotus" w:hint="cs"/>
          <w:sz w:val="27"/>
          <w:rtl/>
        </w:rPr>
        <w:t>ُ</w:t>
      </w:r>
      <w:r w:rsidRPr="00282AC9">
        <w:rPr>
          <w:rFonts w:ascii="AAA GoldenLotus" w:hAnsi="AAA GoldenLotus"/>
          <w:sz w:val="27"/>
          <w:rtl/>
        </w:rPr>
        <w:t xml:space="preserve"> التخصيص فيها.</w:t>
      </w:r>
    </w:p>
    <w:p w:rsidR="00E355F2" w:rsidRPr="00282AC9" w:rsidRDefault="00E355F2" w:rsidP="00046546">
      <w:pPr>
        <w:rPr>
          <w:rFonts w:ascii="AAA GoldenLotus" w:hAnsi="AAA GoldenLotus"/>
          <w:sz w:val="27"/>
          <w:rtl/>
        </w:rPr>
      </w:pPr>
      <w:r w:rsidRPr="00282AC9">
        <w:rPr>
          <w:rFonts w:ascii="AAA GoldenLotus" w:hAnsi="AAA GoldenLotus"/>
          <w:sz w:val="27"/>
          <w:rtl/>
        </w:rPr>
        <w:t>لذلك</w:t>
      </w:r>
      <w:r w:rsidR="003D338D" w:rsidRPr="00282AC9">
        <w:rPr>
          <w:rFonts w:ascii="AAA GoldenLotus" w:hAnsi="AAA GoldenLotus" w:hint="cs"/>
          <w:sz w:val="27"/>
          <w:rtl/>
        </w:rPr>
        <w:t>،</w:t>
      </w:r>
      <w:r w:rsidRPr="00282AC9">
        <w:rPr>
          <w:rFonts w:ascii="AAA GoldenLotus" w:hAnsi="AAA GoldenLotus"/>
          <w:sz w:val="27"/>
          <w:rtl/>
        </w:rPr>
        <w:t xml:space="preserve"> فإنّ هذه المقالة ت</w:t>
      </w:r>
      <w:r w:rsidR="003D338D" w:rsidRPr="00282AC9">
        <w:rPr>
          <w:rFonts w:ascii="AAA GoldenLotus" w:hAnsi="AAA GoldenLotus" w:hint="cs"/>
          <w:sz w:val="27"/>
          <w:rtl/>
        </w:rPr>
        <w:t>ُ</w:t>
      </w:r>
      <w:r w:rsidRPr="00282AC9">
        <w:rPr>
          <w:rFonts w:ascii="AAA GoldenLotus" w:hAnsi="AAA GoldenLotus"/>
          <w:sz w:val="27"/>
          <w:rtl/>
        </w:rPr>
        <w:t>ع</w:t>
      </w:r>
      <w:r w:rsidR="003D338D" w:rsidRPr="00282AC9">
        <w:rPr>
          <w:rFonts w:ascii="AAA GoldenLotus" w:hAnsi="AAA GoldenLotus" w:hint="cs"/>
          <w:sz w:val="27"/>
          <w:rtl/>
        </w:rPr>
        <w:t>ْ</w:t>
      </w:r>
      <w:r w:rsidRPr="00282AC9">
        <w:rPr>
          <w:rFonts w:ascii="AAA GoldenLotus" w:hAnsi="AAA GoldenLotus"/>
          <w:sz w:val="27"/>
          <w:rtl/>
        </w:rPr>
        <w:t>ن</w:t>
      </w:r>
      <w:r w:rsidR="003D338D" w:rsidRPr="00282AC9">
        <w:rPr>
          <w:rFonts w:ascii="AAA GoldenLotus" w:hAnsi="AAA GoldenLotus" w:hint="cs"/>
          <w:sz w:val="27"/>
          <w:rtl/>
        </w:rPr>
        <w:t>َ</w:t>
      </w:r>
      <w:r w:rsidRPr="00282AC9">
        <w:rPr>
          <w:rFonts w:ascii="AAA GoldenLotus" w:hAnsi="AAA GoldenLotus"/>
          <w:sz w:val="27"/>
          <w:rtl/>
        </w:rPr>
        <w:t xml:space="preserve">ى </w:t>
      </w:r>
      <w:r w:rsidR="003D338D" w:rsidRPr="00282AC9">
        <w:rPr>
          <w:rFonts w:ascii="AAA GoldenLotus" w:hAnsi="AAA GoldenLotus" w:hint="cs"/>
          <w:sz w:val="27"/>
          <w:rtl/>
        </w:rPr>
        <w:t>ب</w:t>
      </w:r>
      <w:r w:rsidRPr="00282AC9">
        <w:rPr>
          <w:rFonts w:ascii="AAA GoldenLotus" w:hAnsi="AAA GoldenLotus"/>
          <w:sz w:val="27"/>
          <w:rtl/>
        </w:rPr>
        <w:t>بيان موقف الفقه الإسلامي</w:t>
      </w:r>
      <w:r w:rsidR="003D338D" w:rsidRPr="00282AC9">
        <w:rPr>
          <w:rFonts w:ascii="AAA GoldenLotus" w:hAnsi="AAA GoldenLotus" w:hint="cs"/>
          <w:sz w:val="27"/>
          <w:rtl/>
        </w:rPr>
        <w:t>ّ</w:t>
      </w:r>
      <w:r w:rsidRPr="00282AC9">
        <w:rPr>
          <w:rFonts w:ascii="AAA GoldenLotus" w:hAnsi="AAA GoldenLotus"/>
          <w:sz w:val="27"/>
          <w:rtl/>
        </w:rPr>
        <w:t xml:space="preserve"> بمذاهبه من قاعدة </w:t>
      </w:r>
      <w:r w:rsidRPr="00282AC9">
        <w:rPr>
          <w:rFonts w:ascii="AAA GoldenLotus" w:hAnsi="AAA GoldenLotus"/>
          <w:sz w:val="27"/>
          <w:rtl/>
        </w:rPr>
        <w:lastRenderedPageBreak/>
        <w:t>اشتراك الأحكام الشرعي</w:t>
      </w:r>
      <w:r w:rsidR="003D338D" w:rsidRPr="00282AC9">
        <w:rPr>
          <w:rFonts w:ascii="AAA GoldenLotus" w:hAnsi="AAA GoldenLotus" w:hint="cs"/>
          <w:sz w:val="27"/>
          <w:rtl/>
        </w:rPr>
        <w:t>ّ</w:t>
      </w:r>
      <w:r w:rsidRPr="00282AC9">
        <w:rPr>
          <w:rFonts w:ascii="AAA GoldenLotus" w:hAnsi="AAA GoldenLotus"/>
          <w:sz w:val="27"/>
          <w:rtl/>
        </w:rPr>
        <w:t>ة بين الرجال والنساء.</w:t>
      </w:r>
    </w:p>
    <w:p w:rsidR="00000866" w:rsidRPr="00282AC9" w:rsidRDefault="00000866" w:rsidP="00000866">
      <w:pPr>
        <w:spacing w:line="430" w:lineRule="exact"/>
        <w:rPr>
          <w:rtl/>
        </w:rPr>
      </w:pPr>
    </w:p>
    <w:p w:rsidR="00E355F2" w:rsidRPr="00282AC9" w:rsidRDefault="00A36F51" w:rsidP="00C32BB1">
      <w:pPr>
        <w:pStyle w:val="31"/>
        <w:rPr>
          <w:color w:val="auto"/>
          <w:rtl/>
        </w:rPr>
      </w:pPr>
      <w:r w:rsidRPr="00282AC9">
        <w:rPr>
          <w:rFonts w:hint="cs"/>
          <w:color w:val="auto"/>
          <w:rtl/>
        </w:rPr>
        <w:t xml:space="preserve">1ـ </w:t>
      </w:r>
      <w:r w:rsidR="00E355F2" w:rsidRPr="00282AC9">
        <w:rPr>
          <w:rFonts w:hint="cs"/>
          <w:color w:val="auto"/>
          <w:rtl/>
        </w:rPr>
        <w:t>مقدّمة</w:t>
      </w:r>
      <w:r w:rsidR="003D338D" w:rsidRPr="00282AC9">
        <w:rPr>
          <w:rFonts w:hint="cs"/>
          <w:color w:val="auto"/>
          <w:rtl/>
        </w:rPr>
        <w:t>ٌ</w:t>
      </w:r>
    </w:p>
    <w:p w:rsidR="006470F1" w:rsidRPr="00282AC9" w:rsidRDefault="00E355F2" w:rsidP="00046546">
      <w:pPr>
        <w:rPr>
          <w:rFonts w:ascii="AAA GoldenLotus" w:hAnsi="AAA GoldenLotus"/>
          <w:sz w:val="27"/>
          <w:rtl/>
        </w:rPr>
      </w:pPr>
      <w:r w:rsidRPr="00282AC9">
        <w:rPr>
          <w:rFonts w:ascii="AAA GoldenLotus" w:hAnsi="AAA GoldenLotus"/>
          <w:sz w:val="27"/>
          <w:rtl/>
        </w:rPr>
        <w:t>تُع</w:t>
      </w:r>
      <w:r w:rsidR="003D338D" w:rsidRPr="00282AC9">
        <w:rPr>
          <w:rFonts w:ascii="AAA GoldenLotus" w:hAnsi="AAA GoldenLotus" w:hint="cs"/>
          <w:sz w:val="27"/>
          <w:rtl/>
        </w:rPr>
        <w:t>َ</w:t>
      </w:r>
      <w:r w:rsidRPr="00282AC9">
        <w:rPr>
          <w:rFonts w:ascii="AAA GoldenLotus" w:hAnsi="AAA GoldenLotus"/>
          <w:sz w:val="27"/>
          <w:rtl/>
        </w:rPr>
        <w:t>دّ القواعد الفقهية من جملة البحوث التي يُع</w:t>
      </w:r>
      <w:r w:rsidR="003D338D" w:rsidRPr="00282AC9">
        <w:rPr>
          <w:rFonts w:ascii="AAA GoldenLotus" w:hAnsi="AAA GoldenLotus" w:hint="cs"/>
          <w:sz w:val="27"/>
          <w:rtl/>
        </w:rPr>
        <w:t>ْ</w:t>
      </w:r>
      <w:r w:rsidRPr="00282AC9">
        <w:rPr>
          <w:rFonts w:ascii="AAA GoldenLotus" w:hAnsi="AAA GoldenLotus"/>
          <w:sz w:val="27"/>
          <w:rtl/>
        </w:rPr>
        <w:t>نى بها علم الفقه</w:t>
      </w:r>
      <w:r w:rsidR="003D338D" w:rsidRPr="00282AC9">
        <w:rPr>
          <w:rFonts w:ascii="AAA GoldenLotus" w:hAnsi="AAA GoldenLotus" w:hint="cs"/>
          <w:sz w:val="27"/>
          <w:rtl/>
        </w:rPr>
        <w:t>،</w:t>
      </w:r>
      <w:r w:rsidRPr="00282AC9">
        <w:rPr>
          <w:rFonts w:ascii="AAA GoldenLotus" w:hAnsi="AAA GoldenLotus"/>
          <w:sz w:val="27"/>
          <w:rtl/>
        </w:rPr>
        <w:t xml:space="preserve"> أو علم الفروع والأحكام الفقهية</w:t>
      </w:r>
      <w:r w:rsidR="003D338D" w:rsidRPr="00282AC9">
        <w:rPr>
          <w:rFonts w:ascii="AAA GoldenLotus" w:hAnsi="AAA GoldenLotus" w:hint="cs"/>
          <w:sz w:val="27"/>
          <w:rtl/>
        </w:rPr>
        <w:t>.</w:t>
      </w:r>
      <w:r w:rsidRPr="00282AC9">
        <w:rPr>
          <w:rFonts w:ascii="AAA GoldenLotus" w:hAnsi="AAA GoldenLotus"/>
          <w:sz w:val="27"/>
          <w:rtl/>
        </w:rPr>
        <w:t xml:space="preserve"> كما أنها تشك</w:t>
      </w:r>
      <w:r w:rsidR="003D338D" w:rsidRPr="00282AC9">
        <w:rPr>
          <w:rFonts w:ascii="AAA GoldenLotus" w:hAnsi="AAA GoldenLotus" w:hint="cs"/>
          <w:sz w:val="27"/>
          <w:rtl/>
        </w:rPr>
        <w:t>ِّ</w:t>
      </w:r>
      <w:r w:rsidRPr="00282AC9">
        <w:rPr>
          <w:rFonts w:ascii="AAA GoldenLotus" w:hAnsi="AAA GoldenLotus"/>
          <w:sz w:val="27"/>
          <w:rtl/>
        </w:rPr>
        <w:t>ل عنصراً أساسياً لا يستغني عنه الفقيه في عملية الاجتهاد الفقهي</w:t>
      </w:r>
      <w:r w:rsidR="003D338D" w:rsidRPr="00282AC9">
        <w:rPr>
          <w:rFonts w:ascii="AAA GoldenLotus" w:hAnsi="AAA GoldenLotus" w:hint="cs"/>
          <w:sz w:val="27"/>
          <w:rtl/>
        </w:rPr>
        <w:t>،</w:t>
      </w:r>
      <w:r w:rsidRPr="00282AC9">
        <w:rPr>
          <w:rFonts w:ascii="AAA GoldenLotus" w:hAnsi="AAA GoldenLotus"/>
          <w:sz w:val="27"/>
          <w:rtl/>
        </w:rPr>
        <w:t xml:space="preserve"> واستخراج ال</w:t>
      </w:r>
      <w:r w:rsidR="003D338D" w:rsidRPr="00282AC9">
        <w:rPr>
          <w:rFonts w:ascii="AAA GoldenLotus" w:hAnsi="AAA GoldenLotus" w:hint="cs"/>
          <w:sz w:val="27"/>
          <w:rtl/>
        </w:rPr>
        <w:t>أ</w:t>
      </w:r>
      <w:r w:rsidRPr="00282AC9">
        <w:rPr>
          <w:rFonts w:ascii="AAA GoldenLotus" w:hAnsi="AAA GoldenLotus"/>
          <w:sz w:val="27"/>
          <w:rtl/>
        </w:rPr>
        <w:t>حكام الشرعية</w:t>
      </w:r>
      <w:r w:rsidR="003D338D" w:rsidRPr="00282AC9">
        <w:rPr>
          <w:rFonts w:ascii="AAA GoldenLotus" w:hAnsi="AAA GoldenLotus" w:hint="cs"/>
          <w:sz w:val="27"/>
          <w:rtl/>
        </w:rPr>
        <w:t>.</w:t>
      </w:r>
      <w:r w:rsidRPr="00282AC9">
        <w:rPr>
          <w:rFonts w:ascii="AAA GoldenLotus" w:hAnsi="AAA GoldenLotus"/>
          <w:sz w:val="27"/>
          <w:rtl/>
        </w:rPr>
        <w:t xml:space="preserve"> وهذا أمر</w:t>
      </w:r>
      <w:r w:rsidR="003D338D" w:rsidRPr="00282AC9">
        <w:rPr>
          <w:rFonts w:ascii="AAA GoldenLotus" w:hAnsi="AAA GoldenLotus" w:hint="cs"/>
          <w:sz w:val="27"/>
          <w:rtl/>
        </w:rPr>
        <w:t>ٌ</w:t>
      </w:r>
      <w:r w:rsidRPr="00282AC9">
        <w:rPr>
          <w:rFonts w:ascii="AAA GoldenLotus" w:hAnsi="AAA GoldenLotus"/>
          <w:sz w:val="27"/>
          <w:rtl/>
        </w:rPr>
        <w:t xml:space="preserve"> لا يخفى على كل</w:t>
      </w:r>
      <w:r w:rsidR="003D338D" w:rsidRPr="00282AC9">
        <w:rPr>
          <w:rFonts w:ascii="AAA GoldenLotus" w:hAnsi="AAA GoldenLotus" w:hint="cs"/>
          <w:sz w:val="27"/>
          <w:rtl/>
        </w:rPr>
        <w:t>ّ</w:t>
      </w:r>
      <w:r w:rsidRPr="00282AC9">
        <w:rPr>
          <w:rFonts w:ascii="AAA GoldenLotus" w:hAnsi="AAA GoldenLotus"/>
          <w:sz w:val="27"/>
          <w:rtl/>
        </w:rPr>
        <w:t xml:space="preserve"> م</w:t>
      </w:r>
      <w:r w:rsidR="003D338D" w:rsidRPr="00282AC9">
        <w:rPr>
          <w:rFonts w:ascii="AAA GoldenLotus" w:hAnsi="AAA GoldenLotus" w:hint="cs"/>
          <w:sz w:val="27"/>
          <w:rtl/>
        </w:rPr>
        <w:t>َ</w:t>
      </w:r>
      <w:r w:rsidRPr="00282AC9">
        <w:rPr>
          <w:rFonts w:ascii="AAA GoldenLotus" w:hAnsi="AAA GoldenLotus"/>
          <w:sz w:val="27"/>
          <w:rtl/>
        </w:rPr>
        <w:t>ن</w:t>
      </w:r>
      <w:r w:rsidR="003D338D" w:rsidRPr="00282AC9">
        <w:rPr>
          <w:rFonts w:ascii="AAA GoldenLotus" w:hAnsi="AAA GoldenLotus" w:hint="cs"/>
          <w:sz w:val="27"/>
          <w:rtl/>
        </w:rPr>
        <w:t>ْ</w:t>
      </w:r>
      <w:r w:rsidRPr="00282AC9">
        <w:rPr>
          <w:rFonts w:ascii="AAA GoldenLotus" w:hAnsi="AAA GoldenLotus"/>
          <w:sz w:val="27"/>
          <w:rtl/>
        </w:rPr>
        <w:t xml:space="preserve"> مارس عملية الاستنباط للأحكام الشرعي</w:t>
      </w:r>
      <w:r w:rsidR="003D338D" w:rsidRPr="00282AC9">
        <w:rPr>
          <w:rFonts w:ascii="AAA GoldenLotus" w:hAnsi="AAA GoldenLotus" w:hint="cs"/>
          <w:sz w:val="27"/>
          <w:rtl/>
        </w:rPr>
        <w:t>ّ</w:t>
      </w:r>
      <w:r w:rsidRPr="00282AC9">
        <w:rPr>
          <w:rFonts w:ascii="AAA GoldenLotus" w:hAnsi="AAA GoldenLotus"/>
          <w:sz w:val="27"/>
          <w:rtl/>
        </w:rPr>
        <w:t>ة، وخاض في غمرات النصوص والأدلة والقواعد التي تحتاجها تلك العملية الشاق</w:t>
      </w:r>
      <w:r w:rsidR="006F07B7" w:rsidRPr="00282AC9">
        <w:rPr>
          <w:rFonts w:ascii="AAA GoldenLotus" w:hAnsi="AAA GoldenLotus" w:hint="cs"/>
          <w:sz w:val="27"/>
          <w:rtl/>
        </w:rPr>
        <w:t>ّ</w:t>
      </w:r>
      <w:r w:rsidRPr="00282AC9">
        <w:rPr>
          <w:rFonts w:ascii="AAA GoldenLotus" w:hAnsi="AAA GoldenLotus"/>
          <w:sz w:val="27"/>
          <w:rtl/>
        </w:rPr>
        <w:t>ة</w:t>
      </w:r>
      <w:r w:rsidR="006F07B7" w:rsidRPr="00282AC9">
        <w:rPr>
          <w:rFonts w:ascii="AAA GoldenLotus" w:hAnsi="AAA GoldenLotus" w:hint="cs"/>
          <w:sz w:val="27"/>
          <w:rtl/>
        </w:rPr>
        <w:t>.</w:t>
      </w:r>
      <w:r w:rsidRPr="00282AC9">
        <w:rPr>
          <w:rFonts w:ascii="AAA GoldenLotus" w:hAnsi="AAA GoldenLotus"/>
          <w:sz w:val="27"/>
          <w:rtl/>
        </w:rPr>
        <w:t xml:space="preserve"> ومن بين تلك القواعد: </w:t>
      </w:r>
      <w:r w:rsidRPr="00282AC9">
        <w:rPr>
          <w:rFonts w:ascii="AAA GoldenLotus" w:hAnsi="AAA GoldenLotus" w:hint="cs"/>
          <w:sz w:val="27"/>
          <w:rtl/>
        </w:rPr>
        <w:t>(</w:t>
      </w:r>
      <w:r w:rsidRPr="00282AC9">
        <w:rPr>
          <w:rFonts w:ascii="AAA GoldenLotus" w:hAnsi="AAA GoldenLotus"/>
          <w:sz w:val="27"/>
          <w:rtl/>
        </w:rPr>
        <w:t>قاعدة اشتراك الأحكام الشرعي</w:t>
      </w:r>
      <w:r w:rsidR="006F07B7" w:rsidRPr="00282AC9">
        <w:rPr>
          <w:rFonts w:ascii="AAA GoldenLotus" w:hAnsi="AAA GoldenLotus" w:hint="cs"/>
          <w:sz w:val="27"/>
          <w:rtl/>
        </w:rPr>
        <w:t>ّ</w:t>
      </w:r>
      <w:r w:rsidRPr="00282AC9">
        <w:rPr>
          <w:rFonts w:ascii="AAA GoldenLotus" w:hAnsi="AAA GoldenLotus"/>
          <w:sz w:val="27"/>
          <w:rtl/>
        </w:rPr>
        <w:t>ة بين النساء والرجال</w:t>
      </w:r>
      <w:r w:rsidRPr="00282AC9">
        <w:rPr>
          <w:rFonts w:ascii="AAA GoldenLotus" w:hAnsi="AAA GoldenLotus" w:hint="cs"/>
          <w:sz w:val="27"/>
          <w:rtl/>
        </w:rPr>
        <w:t>)</w:t>
      </w:r>
      <w:r w:rsidR="006F07B7" w:rsidRPr="00282AC9">
        <w:rPr>
          <w:rFonts w:ascii="AAA GoldenLotus" w:hAnsi="AAA GoldenLotus" w:hint="cs"/>
          <w:sz w:val="27"/>
          <w:rtl/>
        </w:rPr>
        <w:t>،</w:t>
      </w:r>
      <w:r w:rsidRPr="00282AC9">
        <w:rPr>
          <w:rFonts w:ascii="AAA GoldenLotus" w:hAnsi="AAA GoldenLotus"/>
          <w:sz w:val="27"/>
          <w:rtl/>
        </w:rPr>
        <w:t xml:space="preserve"> التي ت</w:t>
      </w:r>
      <w:r w:rsidR="006F07B7" w:rsidRPr="00282AC9">
        <w:rPr>
          <w:rFonts w:ascii="AAA GoldenLotus" w:hAnsi="AAA GoldenLotus" w:hint="cs"/>
          <w:sz w:val="27"/>
          <w:rtl/>
        </w:rPr>
        <w:t>ُ</w:t>
      </w:r>
      <w:r w:rsidRPr="00282AC9">
        <w:rPr>
          <w:rFonts w:ascii="AAA GoldenLotus" w:hAnsi="AAA GoldenLotus"/>
          <w:sz w:val="27"/>
          <w:rtl/>
        </w:rPr>
        <w:t>ع</w:t>
      </w:r>
      <w:r w:rsidR="006F07B7" w:rsidRPr="00282AC9">
        <w:rPr>
          <w:rFonts w:ascii="AAA GoldenLotus" w:hAnsi="AAA GoldenLotus" w:hint="cs"/>
          <w:sz w:val="27"/>
          <w:rtl/>
        </w:rPr>
        <w:t>َ</w:t>
      </w:r>
      <w:r w:rsidRPr="00282AC9">
        <w:rPr>
          <w:rFonts w:ascii="AAA GoldenLotus" w:hAnsi="AAA GoldenLotus"/>
          <w:sz w:val="27"/>
          <w:rtl/>
        </w:rPr>
        <w:t>دّ من القواعد المفصليّة في تعميم الأحكام الشرعي</w:t>
      </w:r>
      <w:r w:rsidR="006F07B7" w:rsidRPr="00282AC9">
        <w:rPr>
          <w:rFonts w:ascii="AAA GoldenLotus" w:hAnsi="AAA GoldenLotus" w:hint="cs"/>
          <w:sz w:val="27"/>
          <w:rtl/>
        </w:rPr>
        <w:t>ّ</w:t>
      </w:r>
      <w:r w:rsidRPr="00282AC9">
        <w:rPr>
          <w:rFonts w:ascii="AAA GoldenLotus" w:hAnsi="AAA GoldenLotus"/>
          <w:sz w:val="27"/>
          <w:rtl/>
        </w:rPr>
        <w:t>ة التي لم يثبت بالدليل اختصاصها بالرجال أو النساء</w:t>
      </w:r>
      <w:r w:rsidR="006F07B7" w:rsidRPr="00282AC9">
        <w:rPr>
          <w:rFonts w:ascii="AAA GoldenLotus" w:hAnsi="AAA GoldenLotus" w:hint="cs"/>
          <w:sz w:val="27"/>
          <w:rtl/>
        </w:rPr>
        <w:t>.</w:t>
      </w:r>
      <w:r w:rsidRPr="00282AC9">
        <w:rPr>
          <w:rFonts w:ascii="AAA GoldenLotus" w:hAnsi="AAA GoldenLotus"/>
          <w:sz w:val="27"/>
          <w:rtl/>
        </w:rPr>
        <w:t xml:space="preserve"> ومن هنا عُدّ</w:t>
      </w:r>
      <w:r w:rsidR="006F07B7" w:rsidRPr="00282AC9">
        <w:rPr>
          <w:rFonts w:ascii="AAA GoldenLotus" w:hAnsi="AAA GoldenLotus" w:hint="cs"/>
          <w:sz w:val="27"/>
          <w:rtl/>
        </w:rPr>
        <w:t>َ</w:t>
      </w:r>
      <w:r w:rsidRPr="00282AC9">
        <w:rPr>
          <w:rFonts w:ascii="AAA GoldenLotus" w:hAnsi="AAA GoldenLotus"/>
          <w:sz w:val="27"/>
          <w:rtl/>
        </w:rPr>
        <w:t>ت</w:t>
      </w:r>
      <w:r w:rsidR="006F07B7" w:rsidRPr="00282AC9">
        <w:rPr>
          <w:rFonts w:ascii="AAA GoldenLotus" w:hAnsi="AAA GoldenLotus" w:hint="cs"/>
          <w:sz w:val="27"/>
          <w:rtl/>
        </w:rPr>
        <w:t>ْ</w:t>
      </w:r>
      <w:r w:rsidRPr="00282AC9">
        <w:rPr>
          <w:rFonts w:ascii="AAA GoldenLotus" w:hAnsi="AAA GoldenLotus"/>
          <w:sz w:val="27"/>
          <w:rtl/>
        </w:rPr>
        <w:t xml:space="preserve"> أصلاً يرجع إليه في كل</w:t>
      </w:r>
      <w:r w:rsidR="006F07B7" w:rsidRPr="00282AC9">
        <w:rPr>
          <w:rFonts w:ascii="AAA GoldenLotus" w:hAnsi="AAA GoldenLotus" w:hint="cs"/>
          <w:sz w:val="27"/>
          <w:rtl/>
        </w:rPr>
        <w:t>ّ</w:t>
      </w:r>
      <w:r w:rsidRPr="00282AC9">
        <w:rPr>
          <w:rFonts w:ascii="AAA GoldenLotus" w:hAnsi="AAA GoldenLotus"/>
          <w:sz w:val="27"/>
          <w:rtl/>
        </w:rPr>
        <w:t xml:space="preserve"> حكم</w:t>
      </w:r>
      <w:r w:rsidR="006F07B7" w:rsidRPr="00282AC9">
        <w:rPr>
          <w:rFonts w:ascii="AAA GoldenLotus" w:hAnsi="AAA GoldenLotus" w:hint="cs"/>
          <w:sz w:val="27"/>
          <w:rtl/>
        </w:rPr>
        <w:t>ٍ</w:t>
      </w:r>
      <w:r w:rsidRPr="00282AC9">
        <w:rPr>
          <w:rFonts w:ascii="AAA GoldenLotus" w:hAnsi="AAA GoldenLotus"/>
          <w:sz w:val="27"/>
          <w:rtl/>
        </w:rPr>
        <w:t xml:space="preserve"> شُك</w:t>
      </w:r>
      <w:r w:rsidR="006F07B7" w:rsidRPr="00282AC9">
        <w:rPr>
          <w:rFonts w:ascii="AAA GoldenLotus" w:hAnsi="AAA GoldenLotus" w:hint="cs"/>
          <w:sz w:val="27"/>
          <w:rtl/>
        </w:rPr>
        <w:t>َّ</w:t>
      </w:r>
      <w:r w:rsidRPr="00282AC9">
        <w:rPr>
          <w:rFonts w:ascii="AAA GoldenLotus" w:hAnsi="AAA GoldenLotus"/>
          <w:sz w:val="27"/>
          <w:rtl/>
        </w:rPr>
        <w:t xml:space="preserve"> في اختصاصه بالرجال أو النساء</w:t>
      </w:r>
      <w:r w:rsidR="006F07B7" w:rsidRPr="00282AC9">
        <w:rPr>
          <w:rFonts w:ascii="AAA GoldenLotus" w:hAnsi="AAA GoldenLotus" w:hint="cs"/>
          <w:sz w:val="27"/>
          <w:rtl/>
        </w:rPr>
        <w:t>.</w:t>
      </w:r>
      <w:r w:rsidRPr="00282AC9">
        <w:rPr>
          <w:rFonts w:ascii="AAA GoldenLotus" w:hAnsi="AAA GoldenLotus"/>
          <w:sz w:val="27"/>
          <w:rtl/>
        </w:rPr>
        <w:t xml:space="preserve"> و</w:t>
      </w:r>
      <w:r w:rsidRPr="00282AC9">
        <w:rPr>
          <w:rFonts w:ascii="AAA GoldenLotus" w:hAnsi="AAA GoldenLotus" w:hint="cs"/>
          <w:sz w:val="27"/>
          <w:rtl/>
        </w:rPr>
        <w:t>من هنا</w:t>
      </w:r>
      <w:r w:rsidRPr="00282AC9">
        <w:rPr>
          <w:rFonts w:ascii="AAA GoldenLotus" w:hAnsi="AAA GoldenLotus"/>
          <w:sz w:val="27"/>
          <w:rtl/>
        </w:rPr>
        <w:t xml:space="preserve"> تعرّ</w:t>
      </w:r>
      <w:r w:rsidR="006F07B7" w:rsidRPr="00282AC9">
        <w:rPr>
          <w:rFonts w:ascii="AAA GoldenLotus" w:hAnsi="AAA GoldenLotus" w:hint="cs"/>
          <w:sz w:val="27"/>
          <w:rtl/>
        </w:rPr>
        <w:t>َ</w:t>
      </w:r>
      <w:r w:rsidRPr="00282AC9">
        <w:rPr>
          <w:rFonts w:ascii="AAA GoldenLotus" w:hAnsi="AAA GoldenLotus"/>
          <w:sz w:val="27"/>
          <w:rtl/>
        </w:rPr>
        <w:t>ض لها الفقهاء من مختلف المذاهب</w:t>
      </w:r>
      <w:r w:rsidR="006F07B7" w:rsidRPr="00282AC9">
        <w:rPr>
          <w:rFonts w:ascii="AAA GoldenLotus" w:hAnsi="AAA GoldenLotus" w:hint="cs"/>
          <w:sz w:val="27"/>
          <w:rtl/>
        </w:rPr>
        <w:t>،</w:t>
      </w:r>
      <w:r w:rsidRPr="00282AC9">
        <w:rPr>
          <w:rFonts w:ascii="AAA GoldenLotus" w:hAnsi="AAA GoldenLotus"/>
          <w:sz w:val="27"/>
          <w:rtl/>
        </w:rPr>
        <w:t xml:space="preserve"> وبيّ</w:t>
      </w:r>
      <w:r w:rsidR="006F07B7" w:rsidRPr="00282AC9">
        <w:rPr>
          <w:rFonts w:ascii="AAA GoldenLotus" w:hAnsi="AAA GoldenLotus" w:hint="cs"/>
          <w:sz w:val="27"/>
          <w:rtl/>
        </w:rPr>
        <w:t>َ</w:t>
      </w:r>
      <w:r w:rsidR="006470F1" w:rsidRPr="00282AC9">
        <w:rPr>
          <w:rFonts w:ascii="AAA GoldenLotus" w:hAnsi="AAA GoldenLotus"/>
          <w:sz w:val="27"/>
          <w:rtl/>
        </w:rPr>
        <w:t>نوا موارد الحاجة إليها.</w:t>
      </w:r>
    </w:p>
    <w:p w:rsidR="00E355F2" w:rsidRPr="00282AC9" w:rsidRDefault="00E355F2" w:rsidP="00046546">
      <w:pPr>
        <w:rPr>
          <w:rFonts w:ascii="AAA GoldenLotus" w:hAnsi="AAA GoldenLotus"/>
          <w:sz w:val="27"/>
          <w:rtl/>
        </w:rPr>
      </w:pPr>
      <w:r w:rsidRPr="00282AC9">
        <w:rPr>
          <w:rFonts w:ascii="AAA GoldenLotus" w:hAnsi="AAA GoldenLotus"/>
          <w:sz w:val="27"/>
          <w:rtl/>
        </w:rPr>
        <w:t>وفي هذه المقالة سوف نتعر</w:t>
      </w:r>
      <w:r w:rsidR="006470F1" w:rsidRPr="00282AC9">
        <w:rPr>
          <w:rFonts w:ascii="AAA GoldenLotus" w:hAnsi="AAA GoldenLotus" w:hint="cs"/>
          <w:sz w:val="27"/>
          <w:rtl/>
        </w:rPr>
        <w:t>َّ</w:t>
      </w:r>
      <w:r w:rsidRPr="00282AC9">
        <w:rPr>
          <w:rFonts w:ascii="AAA GoldenLotus" w:hAnsi="AAA GoldenLotus"/>
          <w:sz w:val="27"/>
          <w:rtl/>
        </w:rPr>
        <w:t>ض إلى مبحث</w:t>
      </w:r>
      <w:r w:rsidR="006470F1" w:rsidRPr="00282AC9">
        <w:rPr>
          <w:rFonts w:ascii="AAA GoldenLotus" w:hAnsi="AAA GoldenLotus" w:hint="cs"/>
          <w:sz w:val="27"/>
          <w:rtl/>
        </w:rPr>
        <w:t>ٍ</w:t>
      </w:r>
      <w:r w:rsidRPr="00282AC9">
        <w:rPr>
          <w:rFonts w:ascii="AAA GoldenLotus" w:hAnsi="AAA GoldenLotus"/>
          <w:sz w:val="27"/>
          <w:rtl/>
        </w:rPr>
        <w:t xml:space="preserve"> مهم</w:t>
      </w:r>
      <w:r w:rsidR="006470F1" w:rsidRPr="00282AC9">
        <w:rPr>
          <w:rFonts w:ascii="AAA GoldenLotus" w:hAnsi="AAA GoldenLotus" w:hint="cs"/>
          <w:sz w:val="27"/>
          <w:rtl/>
        </w:rPr>
        <w:t>ٍّ</w:t>
      </w:r>
      <w:r w:rsidRPr="00282AC9">
        <w:rPr>
          <w:rFonts w:ascii="AAA GoldenLotus" w:hAnsi="AAA GoldenLotus"/>
          <w:sz w:val="27"/>
          <w:rtl/>
        </w:rPr>
        <w:t xml:space="preserve"> من مباحث القاعدة</w:t>
      </w:r>
      <w:r w:rsidR="006470F1" w:rsidRPr="00282AC9">
        <w:rPr>
          <w:rFonts w:ascii="AAA GoldenLotus" w:hAnsi="AAA GoldenLotus" w:hint="cs"/>
          <w:sz w:val="27"/>
          <w:rtl/>
        </w:rPr>
        <w:t>،</w:t>
      </w:r>
      <w:r w:rsidRPr="00282AC9">
        <w:rPr>
          <w:rFonts w:ascii="AAA GoldenLotus" w:hAnsi="AAA GoldenLotus"/>
          <w:sz w:val="27"/>
          <w:rtl/>
        </w:rPr>
        <w:t xml:space="preserve"> والذي يثبت من خلاله مشروعي</w:t>
      </w:r>
      <w:r w:rsidR="006470F1" w:rsidRPr="00282AC9">
        <w:rPr>
          <w:rFonts w:ascii="AAA GoldenLotus" w:hAnsi="AAA GoldenLotus" w:hint="cs"/>
          <w:sz w:val="27"/>
          <w:rtl/>
        </w:rPr>
        <w:t>ّ</w:t>
      </w:r>
      <w:r w:rsidRPr="00282AC9">
        <w:rPr>
          <w:rFonts w:ascii="AAA GoldenLotus" w:hAnsi="AAA GoldenLotus"/>
          <w:sz w:val="27"/>
          <w:rtl/>
        </w:rPr>
        <w:t>تها</w:t>
      </w:r>
      <w:r w:rsidR="006470F1" w:rsidRPr="00282AC9">
        <w:rPr>
          <w:rFonts w:ascii="AAA GoldenLotus" w:hAnsi="AAA GoldenLotus" w:hint="cs"/>
          <w:sz w:val="27"/>
          <w:rtl/>
        </w:rPr>
        <w:t>،</w:t>
      </w:r>
      <w:r w:rsidRPr="00282AC9">
        <w:rPr>
          <w:rFonts w:ascii="AAA GoldenLotus" w:hAnsi="AAA GoldenLotus"/>
          <w:sz w:val="27"/>
          <w:rtl/>
        </w:rPr>
        <w:t xml:space="preserve"> وإمكان توظيفها في معرفة حكم الفروع الفقهي</w:t>
      </w:r>
      <w:r w:rsidR="006470F1" w:rsidRPr="00282AC9">
        <w:rPr>
          <w:rFonts w:ascii="AAA GoldenLotus" w:hAnsi="AAA GoldenLotus" w:hint="cs"/>
          <w:sz w:val="27"/>
          <w:rtl/>
        </w:rPr>
        <w:t>ّ</w:t>
      </w:r>
      <w:r w:rsidRPr="00282AC9">
        <w:rPr>
          <w:rFonts w:ascii="AAA GoldenLotus" w:hAnsi="AAA GoldenLotus"/>
          <w:sz w:val="27"/>
          <w:rtl/>
        </w:rPr>
        <w:t>ة والجزئي</w:t>
      </w:r>
      <w:r w:rsidR="006470F1" w:rsidRPr="00282AC9">
        <w:rPr>
          <w:rFonts w:ascii="AAA GoldenLotus" w:hAnsi="AAA GoldenLotus" w:hint="cs"/>
          <w:sz w:val="27"/>
          <w:rtl/>
        </w:rPr>
        <w:t>ّ</w:t>
      </w:r>
      <w:r w:rsidRPr="00282AC9">
        <w:rPr>
          <w:rFonts w:ascii="AAA GoldenLotus" w:hAnsi="AAA GoldenLotus"/>
          <w:sz w:val="27"/>
          <w:rtl/>
        </w:rPr>
        <w:t>ات المتناثرة؛ فإنها تشك</w:t>
      </w:r>
      <w:r w:rsidR="006470F1" w:rsidRPr="00282AC9">
        <w:rPr>
          <w:rFonts w:ascii="AAA GoldenLotus" w:hAnsi="AAA GoldenLotus" w:hint="cs"/>
          <w:sz w:val="27"/>
          <w:rtl/>
        </w:rPr>
        <w:t>ِّ</w:t>
      </w:r>
      <w:r w:rsidRPr="00282AC9">
        <w:rPr>
          <w:rFonts w:ascii="AAA GoldenLotus" w:hAnsi="AAA GoldenLotus"/>
          <w:sz w:val="27"/>
          <w:rtl/>
        </w:rPr>
        <w:t>ل الإطار الكل</w:t>
      </w:r>
      <w:r w:rsidR="006470F1" w:rsidRPr="00282AC9">
        <w:rPr>
          <w:rFonts w:ascii="AAA GoldenLotus" w:hAnsi="AAA GoldenLotus" w:hint="cs"/>
          <w:sz w:val="27"/>
          <w:rtl/>
        </w:rPr>
        <w:t>ِّ</w:t>
      </w:r>
      <w:r w:rsidRPr="00282AC9">
        <w:rPr>
          <w:rFonts w:ascii="AAA GoldenLotus" w:hAnsi="AAA GoldenLotus"/>
          <w:sz w:val="27"/>
          <w:rtl/>
        </w:rPr>
        <w:t>ي والجامع للجزئيات والفروع الفقهية</w:t>
      </w:r>
      <w:r w:rsidR="006470F1" w:rsidRPr="00282AC9">
        <w:rPr>
          <w:rFonts w:ascii="AAA GoldenLotus" w:hAnsi="AAA GoldenLotus" w:hint="cs"/>
          <w:sz w:val="27"/>
          <w:rtl/>
        </w:rPr>
        <w:t>.</w:t>
      </w:r>
      <w:r w:rsidRPr="00282AC9">
        <w:rPr>
          <w:rFonts w:ascii="AAA GoldenLotus" w:hAnsi="AAA GoldenLotus"/>
          <w:sz w:val="27"/>
          <w:rtl/>
        </w:rPr>
        <w:t xml:space="preserve"> وهذا المبحث هو أدل</w:t>
      </w:r>
      <w:r w:rsidR="006470F1" w:rsidRPr="00282AC9">
        <w:rPr>
          <w:rFonts w:ascii="AAA GoldenLotus" w:hAnsi="AAA GoldenLotus" w:hint="cs"/>
          <w:sz w:val="27"/>
          <w:rtl/>
        </w:rPr>
        <w:t>ّ</w:t>
      </w:r>
      <w:r w:rsidRPr="00282AC9">
        <w:rPr>
          <w:rFonts w:ascii="AAA GoldenLotus" w:hAnsi="AAA GoldenLotus"/>
          <w:sz w:val="27"/>
          <w:rtl/>
        </w:rPr>
        <w:t>ة القاعدة في الفقه الإسلامي</w:t>
      </w:r>
      <w:r w:rsidR="006470F1" w:rsidRPr="00282AC9">
        <w:rPr>
          <w:rFonts w:ascii="AAA GoldenLotus" w:hAnsi="AAA GoldenLotus" w:hint="cs"/>
          <w:sz w:val="27"/>
          <w:rtl/>
        </w:rPr>
        <w:t>ّ</w:t>
      </w:r>
      <w:r w:rsidRPr="00282AC9">
        <w:rPr>
          <w:rFonts w:ascii="AAA GoldenLotus" w:hAnsi="AAA GoldenLotus"/>
          <w:sz w:val="27"/>
          <w:rtl/>
        </w:rPr>
        <w:t>، مضافاً إلى بيان مفادها والمقصود منها عند المذاهب الإسلامية.</w:t>
      </w:r>
    </w:p>
    <w:p w:rsidR="00000866" w:rsidRPr="00282AC9" w:rsidRDefault="00000866" w:rsidP="00000866">
      <w:pPr>
        <w:spacing w:line="420" w:lineRule="exact"/>
        <w:rPr>
          <w:rtl/>
        </w:rPr>
      </w:pPr>
    </w:p>
    <w:p w:rsidR="00E355F2" w:rsidRPr="00282AC9" w:rsidRDefault="00A36F51" w:rsidP="00A36F51">
      <w:pPr>
        <w:pStyle w:val="31"/>
        <w:rPr>
          <w:color w:val="auto"/>
          <w:rtl/>
        </w:rPr>
      </w:pPr>
      <w:r w:rsidRPr="00282AC9">
        <w:rPr>
          <w:rFonts w:hint="cs"/>
          <w:color w:val="auto"/>
          <w:rtl/>
        </w:rPr>
        <w:t>تعريف</w:t>
      </w:r>
      <w:r w:rsidR="00860D6A" w:rsidRPr="00282AC9">
        <w:rPr>
          <w:rFonts w:hint="cs"/>
          <w:color w:val="auto"/>
          <w:rtl/>
        </w:rPr>
        <w:t xml:space="preserve"> </w:t>
      </w:r>
      <w:r w:rsidRPr="00282AC9">
        <w:rPr>
          <w:rFonts w:hint="cs"/>
          <w:color w:val="auto"/>
          <w:rtl/>
        </w:rPr>
        <w:t>ا</w:t>
      </w:r>
      <w:r w:rsidR="00860D6A" w:rsidRPr="00282AC9">
        <w:rPr>
          <w:rFonts w:hint="cs"/>
          <w:color w:val="auto"/>
          <w:rtl/>
        </w:rPr>
        <w:t>ل</w:t>
      </w:r>
      <w:r w:rsidR="00E355F2" w:rsidRPr="00282AC9">
        <w:rPr>
          <w:rFonts w:hint="cs"/>
          <w:color w:val="auto"/>
          <w:rtl/>
        </w:rPr>
        <w:t>قاعدة الفقهي</w:t>
      </w:r>
      <w:r w:rsidR="006470F1" w:rsidRPr="00282AC9">
        <w:rPr>
          <w:rFonts w:hint="cs"/>
          <w:color w:val="auto"/>
          <w:rtl/>
        </w:rPr>
        <w:t>ّ</w:t>
      </w:r>
      <w:r w:rsidR="00E355F2" w:rsidRPr="00282AC9">
        <w:rPr>
          <w:rFonts w:hint="cs"/>
          <w:color w:val="auto"/>
          <w:rtl/>
        </w:rPr>
        <w:t xml:space="preserve">ة </w:t>
      </w:r>
    </w:p>
    <w:p w:rsidR="00E355F2" w:rsidRPr="00282AC9" w:rsidRDefault="00E355F2" w:rsidP="00046546">
      <w:pPr>
        <w:rPr>
          <w:rFonts w:ascii="AAA GoldenLotus" w:hAnsi="AAA GoldenLotus"/>
          <w:sz w:val="27"/>
          <w:rtl/>
        </w:rPr>
      </w:pPr>
      <w:r w:rsidRPr="00282AC9">
        <w:rPr>
          <w:rFonts w:ascii="AAA GoldenLotus" w:hAnsi="AAA GoldenLotus" w:hint="cs"/>
          <w:sz w:val="27"/>
          <w:rtl/>
        </w:rPr>
        <w:t>ع</w:t>
      </w:r>
      <w:r w:rsidR="006470F1" w:rsidRPr="00282AC9">
        <w:rPr>
          <w:rFonts w:ascii="AAA GoldenLotus" w:hAnsi="AAA GoldenLotus" w:hint="cs"/>
          <w:sz w:val="27"/>
          <w:rtl/>
        </w:rPr>
        <w:t>ُ</w:t>
      </w:r>
      <w:r w:rsidRPr="00282AC9">
        <w:rPr>
          <w:rFonts w:ascii="AAA GoldenLotus" w:hAnsi="AAA GoldenLotus" w:hint="cs"/>
          <w:sz w:val="27"/>
          <w:rtl/>
        </w:rPr>
        <w:t>ر</w:t>
      </w:r>
      <w:r w:rsidR="006470F1" w:rsidRPr="00282AC9">
        <w:rPr>
          <w:rFonts w:ascii="AAA GoldenLotus" w:hAnsi="AAA GoldenLotus" w:hint="cs"/>
          <w:sz w:val="27"/>
          <w:rtl/>
        </w:rPr>
        <w:t>ِّ</w:t>
      </w:r>
      <w:r w:rsidRPr="00282AC9">
        <w:rPr>
          <w:rFonts w:ascii="AAA GoldenLotus" w:hAnsi="AAA GoldenLotus" w:hint="cs"/>
          <w:sz w:val="27"/>
          <w:rtl/>
        </w:rPr>
        <w:t>فت القواعد الفقهية في كلمات الأعلام</w:t>
      </w:r>
      <w:r w:rsidRPr="00282AC9">
        <w:rPr>
          <w:rFonts w:ascii="AAA GoldenLotus" w:hAnsi="AAA GoldenLotus"/>
          <w:sz w:val="27"/>
          <w:rtl/>
        </w:rPr>
        <w:t xml:space="preserve"> </w:t>
      </w:r>
      <w:r w:rsidRPr="00282AC9">
        <w:rPr>
          <w:rFonts w:ascii="AAA GoldenLotus" w:hAnsi="AAA GoldenLotus" w:hint="cs"/>
          <w:sz w:val="27"/>
          <w:rtl/>
        </w:rPr>
        <w:t>بتعريفات</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كثيرة</w:t>
      </w:r>
      <w:r w:rsidR="006470F1" w:rsidRPr="00282AC9">
        <w:rPr>
          <w:rFonts w:ascii="AAA GoldenLotus" w:hAnsi="AAA GoldenLotus" w:hint="cs"/>
          <w:sz w:val="27"/>
          <w:rtl/>
        </w:rPr>
        <w:t>؛</w:t>
      </w:r>
      <w:r w:rsidRPr="00282AC9">
        <w:rPr>
          <w:rFonts w:ascii="AAA GoldenLotus" w:hAnsi="AAA GoldenLotus" w:hint="cs"/>
          <w:sz w:val="27"/>
          <w:rtl/>
        </w:rPr>
        <w:t xml:space="preserve"> بعض</w:t>
      </w:r>
      <w:r w:rsidR="006470F1" w:rsidRPr="00282AC9">
        <w:rPr>
          <w:rFonts w:ascii="AAA GoldenLotus" w:hAnsi="AAA GoldenLotus" w:hint="cs"/>
          <w:sz w:val="27"/>
          <w:rtl/>
        </w:rPr>
        <w:t>ُ</w:t>
      </w:r>
      <w:r w:rsidRPr="00282AC9">
        <w:rPr>
          <w:rFonts w:ascii="AAA GoldenLotus" w:hAnsi="AAA GoldenLotus" w:hint="cs"/>
          <w:sz w:val="27"/>
          <w:rtl/>
        </w:rPr>
        <w:t>ها نظر إليها على أساس أنها أغلبي</w:t>
      </w:r>
      <w:r w:rsidR="006470F1" w:rsidRPr="00282AC9">
        <w:rPr>
          <w:rFonts w:ascii="AAA GoldenLotus" w:hAnsi="AAA GoldenLotus" w:hint="cs"/>
          <w:sz w:val="27"/>
          <w:rtl/>
        </w:rPr>
        <w:t>ّ</w:t>
      </w:r>
      <w:r w:rsidRPr="00282AC9">
        <w:rPr>
          <w:rFonts w:ascii="AAA GoldenLotus" w:hAnsi="AAA GoldenLotus" w:hint="cs"/>
          <w:sz w:val="27"/>
          <w:rtl/>
        </w:rPr>
        <w:t>ة</w:t>
      </w:r>
      <w:r w:rsidR="006470F1" w:rsidRPr="00282AC9">
        <w:rPr>
          <w:rFonts w:ascii="AAA GoldenLotus" w:hAnsi="AAA GoldenLotus" w:hint="cs"/>
          <w:sz w:val="27"/>
          <w:rtl/>
        </w:rPr>
        <w:t>ٌ</w:t>
      </w:r>
      <w:r w:rsidRPr="00282AC9">
        <w:rPr>
          <w:rFonts w:ascii="AAA GoldenLotus" w:hAnsi="AAA GoldenLotus" w:hint="cs"/>
          <w:sz w:val="27"/>
          <w:rtl/>
        </w:rPr>
        <w:t>، فعرّ</w:t>
      </w:r>
      <w:r w:rsidR="006470F1" w:rsidRPr="00282AC9">
        <w:rPr>
          <w:rFonts w:ascii="AAA GoldenLotus" w:hAnsi="AAA GoldenLotus" w:hint="cs"/>
          <w:sz w:val="27"/>
          <w:rtl/>
        </w:rPr>
        <w:t>َ</w:t>
      </w:r>
      <w:r w:rsidRPr="00282AC9">
        <w:rPr>
          <w:rFonts w:ascii="AAA GoldenLotus" w:hAnsi="AAA GoldenLotus" w:hint="cs"/>
          <w:sz w:val="27"/>
          <w:rtl/>
        </w:rPr>
        <w:t>ف</w:t>
      </w:r>
      <w:r w:rsidR="006470F1" w:rsidRPr="00282AC9">
        <w:rPr>
          <w:rFonts w:ascii="AAA GoldenLotus" w:hAnsi="AAA GoldenLotus" w:hint="cs"/>
          <w:sz w:val="27"/>
          <w:rtl/>
        </w:rPr>
        <w:t>َ</w:t>
      </w:r>
      <w:r w:rsidRPr="00282AC9">
        <w:rPr>
          <w:rFonts w:ascii="AAA GoldenLotus" w:hAnsi="AAA GoldenLotus" w:hint="cs"/>
          <w:sz w:val="27"/>
          <w:rtl/>
        </w:rPr>
        <w:t xml:space="preserve">ها بأنها </w:t>
      </w:r>
      <w:r w:rsidRPr="00282AC9">
        <w:rPr>
          <w:rFonts w:hint="eastAsia"/>
          <w:sz w:val="24"/>
          <w:szCs w:val="24"/>
          <w:rtl/>
        </w:rPr>
        <w:t>«</w:t>
      </w:r>
      <w:r w:rsidRPr="00282AC9">
        <w:rPr>
          <w:rFonts w:ascii="AAA GoldenLotus" w:hAnsi="AAA GoldenLotus" w:hint="cs"/>
          <w:sz w:val="27"/>
          <w:rtl/>
        </w:rPr>
        <w:t>حكم</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شرعي</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قضي</w:t>
      </w:r>
      <w:r w:rsidR="006470F1" w:rsidRPr="00282AC9">
        <w:rPr>
          <w:rFonts w:ascii="AAA GoldenLotus" w:hAnsi="AAA GoldenLotus" w:hint="cs"/>
          <w:sz w:val="27"/>
          <w:rtl/>
        </w:rPr>
        <w:t>ّ</w:t>
      </w:r>
      <w:r w:rsidRPr="00282AC9">
        <w:rPr>
          <w:rFonts w:ascii="AAA GoldenLotus" w:hAnsi="AAA GoldenLotus" w:hint="cs"/>
          <w:sz w:val="27"/>
          <w:rtl/>
        </w:rPr>
        <w:t>ة</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أغلبي</w:t>
      </w:r>
      <w:r w:rsidR="006470F1" w:rsidRPr="00282AC9">
        <w:rPr>
          <w:rFonts w:ascii="AAA GoldenLotus" w:hAnsi="AAA GoldenLotus" w:hint="cs"/>
          <w:sz w:val="27"/>
          <w:rtl/>
        </w:rPr>
        <w:t>ّ</w:t>
      </w:r>
      <w:r w:rsidRPr="00282AC9">
        <w:rPr>
          <w:rFonts w:ascii="AAA GoldenLotus" w:hAnsi="AAA GoldenLotus" w:hint="cs"/>
          <w:sz w:val="27"/>
          <w:rtl/>
        </w:rPr>
        <w:t>ة</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يتعر</w:t>
      </w:r>
      <w:r w:rsidR="006470F1" w:rsidRPr="00282AC9">
        <w:rPr>
          <w:rFonts w:ascii="AAA GoldenLotus" w:hAnsi="AAA GoldenLotus" w:hint="cs"/>
          <w:sz w:val="27"/>
          <w:rtl/>
        </w:rPr>
        <w:t>َّ</w:t>
      </w:r>
      <w:r w:rsidRPr="00282AC9">
        <w:rPr>
          <w:rFonts w:ascii="AAA GoldenLotus" w:hAnsi="AAA GoldenLotus" w:hint="cs"/>
          <w:sz w:val="27"/>
          <w:rtl/>
        </w:rPr>
        <w:t>ف</w:t>
      </w:r>
      <w:r w:rsidRPr="00282AC9">
        <w:rPr>
          <w:rFonts w:ascii="AAA GoldenLotus" w:hAnsi="AAA GoldenLotus"/>
          <w:sz w:val="27"/>
          <w:rtl/>
        </w:rPr>
        <w:t xml:space="preserve"> </w:t>
      </w:r>
      <w:r w:rsidRPr="00282AC9">
        <w:rPr>
          <w:rFonts w:ascii="AAA GoldenLotus" w:hAnsi="AAA GoldenLotus" w:hint="cs"/>
          <w:sz w:val="27"/>
          <w:rtl/>
        </w:rPr>
        <w:t>منها</w:t>
      </w:r>
      <w:r w:rsidRPr="00282AC9">
        <w:rPr>
          <w:rFonts w:ascii="AAA GoldenLotus" w:hAnsi="AAA GoldenLotus"/>
          <w:sz w:val="27"/>
          <w:rtl/>
        </w:rPr>
        <w:t xml:space="preserve"> </w:t>
      </w:r>
      <w:r w:rsidRPr="00282AC9">
        <w:rPr>
          <w:rFonts w:ascii="AAA GoldenLotus" w:hAnsi="AAA GoldenLotus" w:hint="cs"/>
          <w:sz w:val="27"/>
          <w:rtl/>
        </w:rPr>
        <w:t>أحكام</w:t>
      </w:r>
      <w:r w:rsidRPr="00282AC9">
        <w:rPr>
          <w:rFonts w:ascii="AAA GoldenLotus" w:hAnsi="AAA GoldenLotus"/>
          <w:sz w:val="27"/>
          <w:rtl/>
        </w:rPr>
        <w:t xml:space="preserve"> </w:t>
      </w:r>
      <w:r w:rsidRPr="00282AC9">
        <w:rPr>
          <w:rFonts w:ascii="AAA GoldenLotus" w:hAnsi="AAA GoldenLotus" w:hint="cs"/>
          <w:sz w:val="27"/>
          <w:rtl/>
        </w:rPr>
        <w:t>ما</w:t>
      </w:r>
      <w:r w:rsidRPr="00282AC9">
        <w:rPr>
          <w:rFonts w:ascii="AAA GoldenLotus" w:hAnsi="AAA GoldenLotus"/>
          <w:sz w:val="27"/>
          <w:rtl/>
        </w:rPr>
        <w:t xml:space="preserve"> </w:t>
      </w:r>
      <w:r w:rsidRPr="00282AC9">
        <w:rPr>
          <w:rFonts w:ascii="AAA GoldenLotus" w:hAnsi="AAA GoldenLotus" w:hint="cs"/>
          <w:sz w:val="27"/>
          <w:rtl/>
        </w:rPr>
        <w:t>دخل</w:t>
      </w:r>
      <w:r w:rsidRPr="00282AC9">
        <w:rPr>
          <w:rFonts w:ascii="AAA GoldenLotus" w:hAnsi="AAA GoldenLotus"/>
          <w:sz w:val="27"/>
          <w:rtl/>
        </w:rPr>
        <w:t xml:space="preserve"> </w:t>
      </w:r>
      <w:r w:rsidRPr="00282AC9">
        <w:rPr>
          <w:rFonts w:ascii="AAA GoldenLotus" w:hAnsi="AAA GoldenLotus" w:hint="cs"/>
          <w:sz w:val="27"/>
          <w:rtl/>
        </w:rPr>
        <w:t>تحتها</w:t>
      </w:r>
      <w:r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28"/>
      </w:r>
      <w:r w:rsidRPr="00282AC9">
        <w:rPr>
          <w:rFonts w:ascii="AAA GoldenLotus" w:hAnsi="AAA GoldenLotus"/>
          <w:sz w:val="27"/>
          <w:vertAlign w:val="superscript"/>
          <w:rtl/>
        </w:rPr>
        <w:t>)</w:t>
      </w:r>
      <w:r w:rsidR="006470F1" w:rsidRPr="00282AC9">
        <w:rPr>
          <w:rFonts w:ascii="AAA GoldenLotus" w:hAnsi="AAA GoldenLotus" w:hint="cs"/>
          <w:sz w:val="27"/>
          <w:rtl/>
        </w:rPr>
        <w:t>؛</w:t>
      </w:r>
      <w:r w:rsidRPr="00282AC9">
        <w:rPr>
          <w:rFonts w:ascii="AAA GoldenLotus" w:hAnsi="AAA GoldenLotus" w:hint="cs"/>
          <w:sz w:val="27"/>
          <w:rtl/>
        </w:rPr>
        <w:t xml:space="preserve"> والبعض الآخر على أساس أنها كل</w:t>
      </w:r>
      <w:r w:rsidR="006470F1" w:rsidRPr="00282AC9">
        <w:rPr>
          <w:rFonts w:ascii="AAA GoldenLotus" w:hAnsi="AAA GoldenLotus" w:hint="cs"/>
          <w:sz w:val="27"/>
          <w:rtl/>
        </w:rPr>
        <w:t>ِّ</w:t>
      </w:r>
      <w:r w:rsidRPr="00282AC9">
        <w:rPr>
          <w:rFonts w:ascii="AAA GoldenLotus" w:hAnsi="AAA GoldenLotus" w:hint="cs"/>
          <w:sz w:val="27"/>
          <w:rtl/>
        </w:rPr>
        <w:t>ية</w:t>
      </w:r>
      <w:r w:rsidR="006470F1" w:rsidRPr="00282AC9">
        <w:rPr>
          <w:rFonts w:ascii="AAA GoldenLotus" w:hAnsi="AAA GoldenLotus" w:hint="cs"/>
          <w:sz w:val="27"/>
          <w:rtl/>
        </w:rPr>
        <w:t>،</w:t>
      </w:r>
      <w:r w:rsidRPr="00282AC9">
        <w:rPr>
          <w:rFonts w:ascii="AAA GoldenLotus" w:hAnsi="AAA GoldenLotus" w:hint="cs"/>
          <w:sz w:val="27"/>
          <w:rtl/>
        </w:rPr>
        <w:t xml:space="preserve"> فجاء تعريفها على </w:t>
      </w:r>
      <w:r w:rsidRPr="00282AC9">
        <w:rPr>
          <w:rFonts w:hint="eastAsia"/>
          <w:sz w:val="24"/>
          <w:szCs w:val="24"/>
          <w:rtl/>
        </w:rPr>
        <w:t>«</w:t>
      </w:r>
      <w:r w:rsidRPr="00282AC9">
        <w:rPr>
          <w:rFonts w:ascii="AAA GoldenLotus" w:hAnsi="AAA GoldenLotus"/>
          <w:sz w:val="27"/>
          <w:rtl/>
        </w:rPr>
        <w:t xml:space="preserve">أنها </w:t>
      </w:r>
      <w:r w:rsidRPr="00282AC9">
        <w:rPr>
          <w:rFonts w:ascii="AAA GoldenLotus" w:hAnsi="AAA GoldenLotus" w:hint="cs"/>
          <w:sz w:val="27"/>
          <w:rtl/>
        </w:rPr>
        <w:t>أ</w:t>
      </w:r>
      <w:r w:rsidRPr="00282AC9">
        <w:rPr>
          <w:rFonts w:ascii="AAA GoldenLotus" w:hAnsi="AAA GoldenLotus"/>
          <w:sz w:val="27"/>
          <w:rtl/>
        </w:rPr>
        <w:t>مر</w:t>
      </w:r>
      <w:r w:rsidR="006470F1" w:rsidRPr="00282AC9">
        <w:rPr>
          <w:rFonts w:ascii="AAA GoldenLotus" w:hAnsi="AAA GoldenLotus" w:hint="cs"/>
          <w:sz w:val="27"/>
          <w:rtl/>
        </w:rPr>
        <w:t>ٌ</w:t>
      </w:r>
      <w:r w:rsidRPr="00282AC9">
        <w:rPr>
          <w:rFonts w:ascii="AAA GoldenLotus" w:hAnsi="AAA GoldenLotus"/>
          <w:sz w:val="27"/>
          <w:rtl/>
        </w:rPr>
        <w:t xml:space="preserve"> كل</w:t>
      </w:r>
      <w:r w:rsidR="006470F1" w:rsidRPr="00282AC9">
        <w:rPr>
          <w:rFonts w:ascii="AAA GoldenLotus" w:hAnsi="AAA GoldenLotus" w:hint="cs"/>
          <w:sz w:val="27"/>
          <w:rtl/>
        </w:rPr>
        <w:t>ِّ</w:t>
      </w:r>
      <w:r w:rsidRPr="00282AC9">
        <w:rPr>
          <w:rFonts w:ascii="AAA GoldenLotus" w:hAnsi="AAA GoldenLotus"/>
          <w:sz w:val="27"/>
          <w:rtl/>
        </w:rPr>
        <w:t>ي منطبق</w:t>
      </w:r>
      <w:r w:rsidR="006470F1" w:rsidRPr="00282AC9">
        <w:rPr>
          <w:rFonts w:ascii="AAA GoldenLotus" w:hAnsi="AAA GoldenLotus" w:hint="cs"/>
          <w:sz w:val="27"/>
          <w:rtl/>
        </w:rPr>
        <w:t>ٌ</w:t>
      </w:r>
      <w:r w:rsidRPr="00282AC9">
        <w:rPr>
          <w:rFonts w:ascii="AAA GoldenLotus" w:hAnsi="AAA GoldenLotus"/>
          <w:sz w:val="27"/>
          <w:rtl/>
        </w:rPr>
        <w:t xml:space="preserve"> على جميع جزئي</w:t>
      </w:r>
      <w:r w:rsidR="006470F1" w:rsidRPr="00282AC9">
        <w:rPr>
          <w:rFonts w:ascii="AAA GoldenLotus" w:hAnsi="AAA GoldenLotus" w:hint="cs"/>
          <w:sz w:val="27"/>
          <w:rtl/>
        </w:rPr>
        <w:t>ّ</w:t>
      </w:r>
      <w:r w:rsidRPr="00282AC9">
        <w:rPr>
          <w:rFonts w:ascii="AAA GoldenLotus" w:hAnsi="AAA GoldenLotus"/>
          <w:sz w:val="27"/>
          <w:rtl/>
        </w:rPr>
        <w:t>اته عند تعر</w:t>
      </w:r>
      <w:r w:rsidR="006470F1" w:rsidRPr="00282AC9">
        <w:rPr>
          <w:rFonts w:ascii="AAA GoldenLotus" w:hAnsi="AAA GoldenLotus" w:hint="cs"/>
          <w:sz w:val="27"/>
          <w:rtl/>
        </w:rPr>
        <w:t>ُّ</w:t>
      </w:r>
      <w:r w:rsidRPr="00282AC9">
        <w:rPr>
          <w:rFonts w:ascii="AAA GoldenLotus" w:hAnsi="AAA GoldenLotus"/>
          <w:sz w:val="27"/>
          <w:rtl/>
        </w:rPr>
        <w:t xml:space="preserve">ف </w:t>
      </w:r>
      <w:r w:rsidRPr="00282AC9">
        <w:rPr>
          <w:rFonts w:ascii="AAA GoldenLotus" w:hAnsi="AAA GoldenLotus" w:hint="cs"/>
          <w:sz w:val="27"/>
          <w:rtl/>
        </w:rPr>
        <w:t>أ</w:t>
      </w:r>
      <w:r w:rsidRPr="00282AC9">
        <w:rPr>
          <w:rFonts w:ascii="AAA GoldenLotus" w:hAnsi="AAA GoldenLotus"/>
          <w:sz w:val="27"/>
          <w:rtl/>
        </w:rPr>
        <w:t>حكامه منه</w:t>
      </w:r>
      <w:r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29"/>
      </w:r>
      <w:r w:rsidRPr="00282AC9">
        <w:rPr>
          <w:rFonts w:ascii="AAA GoldenLotus" w:hAnsi="AAA GoldenLotus"/>
          <w:sz w:val="27"/>
          <w:vertAlign w:val="superscript"/>
          <w:rtl/>
        </w:rPr>
        <w:t>)</w:t>
      </w:r>
      <w:r w:rsidRPr="00282AC9">
        <w:rPr>
          <w:rFonts w:ascii="AAA GoldenLotus" w:hAnsi="AAA GoldenLotus" w:hint="cs"/>
          <w:sz w:val="27"/>
          <w:rtl/>
        </w:rPr>
        <w:t xml:space="preserve">، أو أنها </w:t>
      </w:r>
      <w:r w:rsidRPr="00282AC9">
        <w:rPr>
          <w:rFonts w:hint="eastAsia"/>
          <w:sz w:val="24"/>
          <w:szCs w:val="24"/>
          <w:rtl/>
        </w:rPr>
        <w:t>«</w:t>
      </w:r>
      <w:r w:rsidRPr="00282AC9">
        <w:rPr>
          <w:rFonts w:ascii="AAA GoldenLotus" w:hAnsi="AAA GoldenLotus" w:hint="cs"/>
          <w:sz w:val="27"/>
          <w:rtl/>
        </w:rPr>
        <w:t>حكم</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كلّ</w:t>
      </w:r>
      <w:r w:rsidR="006470F1" w:rsidRPr="00282AC9">
        <w:rPr>
          <w:rFonts w:ascii="AAA GoldenLotus" w:hAnsi="AAA GoldenLotus" w:hint="cs"/>
          <w:sz w:val="27"/>
          <w:rtl/>
        </w:rPr>
        <w:t>ِ</w:t>
      </w:r>
      <w:r w:rsidRPr="00282AC9">
        <w:rPr>
          <w:rFonts w:ascii="AAA GoldenLotus" w:hAnsi="AAA GoldenLotus" w:hint="cs"/>
          <w:sz w:val="27"/>
          <w:rtl/>
        </w:rPr>
        <w:t>ي</w:t>
      </w:r>
      <w:r w:rsidRPr="00282AC9">
        <w:rPr>
          <w:rFonts w:ascii="AAA GoldenLotus" w:hAnsi="AAA GoldenLotus"/>
          <w:sz w:val="27"/>
          <w:rtl/>
        </w:rPr>
        <w:t xml:space="preserve"> </w:t>
      </w:r>
      <w:r w:rsidRPr="00282AC9">
        <w:rPr>
          <w:rFonts w:ascii="AAA GoldenLotus" w:hAnsi="AAA GoldenLotus" w:hint="cs"/>
          <w:sz w:val="27"/>
          <w:rtl/>
        </w:rPr>
        <w:t>ينطبق</w:t>
      </w:r>
      <w:r w:rsidRPr="00282AC9">
        <w:rPr>
          <w:rFonts w:ascii="AAA GoldenLotus" w:hAnsi="AAA GoldenLotus"/>
          <w:sz w:val="27"/>
          <w:rtl/>
        </w:rPr>
        <w:t xml:space="preserve"> </w:t>
      </w:r>
      <w:r w:rsidRPr="00282AC9">
        <w:rPr>
          <w:rFonts w:ascii="AAA GoldenLotus" w:hAnsi="AAA GoldenLotus" w:hint="cs"/>
          <w:sz w:val="27"/>
          <w:rtl/>
        </w:rPr>
        <w:t>على</w:t>
      </w:r>
      <w:r w:rsidRPr="00282AC9">
        <w:rPr>
          <w:rFonts w:ascii="AAA GoldenLotus" w:hAnsi="AAA GoldenLotus"/>
          <w:sz w:val="27"/>
          <w:rtl/>
        </w:rPr>
        <w:t xml:space="preserve"> </w:t>
      </w:r>
      <w:r w:rsidRPr="00282AC9">
        <w:rPr>
          <w:rFonts w:ascii="AAA GoldenLotus" w:hAnsi="AAA GoldenLotus" w:hint="cs"/>
          <w:sz w:val="27"/>
          <w:rtl/>
        </w:rPr>
        <w:t>موارده</w:t>
      </w:r>
      <w:r w:rsidRPr="00282AC9">
        <w:rPr>
          <w:rFonts w:ascii="AAA GoldenLotus" w:hAnsi="AAA GoldenLotus"/>
          <w:sz w:val="27"/>
          <w:rtl/>
        </w:rPr>
        <w:t xml:space="preserve"> </w:t>
      </w:r>
      <w:r w:rsidRPr="00282AC9">
        <w:rPr>
          <w:rFonts w:ascii="AAA GoldenLotus" w:hAnsi="AAA GoldenLotus" w:hint="cs"/>
          <w:sz w:val="27"/>
          <w:rtl/>
        </w:rPr>
        <w:t>الجزئيّة</w:t>
      </w:r>
      <w:r w:rsidRPr="00282AC9">
        <w:rPr>
          <w:rFonts w:ascii="AAA GoldenLotus" w:hAnsi="AAA GoldenLotus"/>
          <w:sz w:val="27"/>
          <w:rtl/>
        </w:rPr>
        <w:t xml:space="preserve"> </w:t>
      </w:r>
      <w:r w:rsidRPr="00282AC9">
        <w:rPr>
          <w:rFonts w:ascii="AAA GoldenLotus" w:hAnsi="AAA GoldenLotus" w:hint="cs"/>
          <w:sz w:val="27"/>
          <w:rtl/>
        </w:rPr>
        <w:t>الكثيرة</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أبواب</w:t>
      </w:r>
      <w:r w:rsidRPr="00282AC9">
        <w:rPr>
          <w:rFonts w:ascii="AAA GoldenLotus" w:hAnsi="AAA GoldenLotus"/>
          <w:sz w:val="27"/>
          <w:rtl/>
        </w:rPr>
        <w:t xml:space="preserve"> </w:t>
      </w:r>
      <w:r w:rsidRPr="00282AC9">
        <w:rPr>
          <w:rFonts w:ascii="AAA GoldenLotus" w:hAnsi="AAA GoldenLotus" w:hint="cs"/>
          <w:sz w:val="27"/>
          <w:rtl/>
        </w:rPr>
        <w:t>مختلفة</w:t>
      </w:r>
      <w:r w:rsidR="006470F1" w:rsidRPr="00282AC9">
        <w:rPr>
          <w:rFonts w:ascii="AAA GoldenLotus" w:hAnsi="AAA GoldenLotus" w:hint="cs"/>
          <w:sz w:val="27"/>
          <w:rtl/>
        </w:rPr>
        <w:t>ٍ</w:t>
      </w:r>
      <w:r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0"/>
      </w:r>
      <w:r w:rsidRPr="00282AC9">
        <w:rPr>
          <w:rFonts w:ascii="AAA GoldenLotus" w:hAnsi="AAA GoldenLotus"/>
          <w:sz w:val="27"/>
          <w:vertAlign w:val="superscript"/>
          <w:rtl/>
        </w:rPr>
        <w:t>)</w:t>
      </w:r>
      <w:r w:rsidRPr="00282AC9">
        <w:rPr>
          <w:rFonts w:ascii="AAA GoldenLotus" w:hAnsi="AAA GoldenLotus" w:hint="cs"/>
          <w:sz w:val="27"/>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hint="cs"/>
          <w:sz w:val="27"/>
          <w:rtl/>
        </w:rPr>
        <w:t>وهذا</w:t>
      </w:r>
      <w:r w:rsidRPr="00282AC9">
        <w:rPr>
          <w:rFonts w:ascii="AAA GoldenLotus" w:hAnsi="AAA GoldenLotus"/>
          <w:sz w:val="27"/>
          <w:rtl/>
        </w:rPr>
        <w:t xml:space="preserve"> </w:t>
      </w:r>
      <w:r w:rsidRPr="00282AC9">
        <w:rPr>
          <w:rFonts w:ascii="AAA GoldenLotus" w:hAnsi="AAA GoldenLotus" w:hint="cs"/>
          <w:sz w:val="27"/>
          <w:rtl/>
        </w:rPr>
        <w:t>الاختلاف</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كل</w:t>
      </w:r>
      <w:r w:rsidR="006470F1" w:rsidRPr="00282AC9">
        <w:rPr>
          <w:rFonts w:ascii="AAA GoldenLotus" w:hAnsi="AAA GoldenLotus" w:hint="cs"/>
          <w:sz w:val="27"/>
          <w:rtl/>
        </w:rPr>
        <w:t>ِّ</w:t>
      </w:r>
      <w:r w:rsidRPr="00282AC9">
        <w:rPr>
          <w:rFonts w:ascii="AAA GoldenLotus" w:hAnsi="AAA GoldenLotus" w:hint="cs"/>
          <w:sz w:val="27"/>
          <w:rtl/>
        </w:rPr>
        <w:t>ية</w:t>
      </w:r>
      <w:r w:rsidRPr="00282AC9">
        <w:rPr>
          <w:rFonts w:ascii="AAA GoldenLotus" w:hAnsi="AAA GoldenLotus"/>
          <w:sz w:val="27"/>
          <w:rtl/>
        </w:rPr>
        <w:t xml:space="preserve"> </w:t>
      </w:r>
      <w:r w:rsidRPr="00282AC9">
        <w:rPr>
          <w:rFonts w:ascii="AAA GoldenLotus" w:hAnsi="AAA GoldenLotus" w:hint="cs"/>
          <w:sz w:val="27"/>
          <w:rtl/>
        </w:rPr>
        <w:t>القاعدة</w:t>
      </w:r>
      <w:r w:rsidRPr="00282AC9">
        <w:rPr>
          <w:rFonts w:ascii="AAA GoldenLotus" w:hAnsi="AAA GoldenLotus"/>
          <w:sz w:val="27"/>
          <w:rtl/>
        </w:rPr>
        <w:t xml:space="preserve"> </w:t>
      </w:r>
      <w:r w:rsidRPr="00282AC9">
        <w:rPr>
          <w:rFonts w:ascii="AAA GoldenLotus" w:hAnsi="AAA GoldenLotus" w:hint="cs"/>
          <w:sz w:val="27"/>
          <w:rtl/>
        </w:rPr>
        <w:t>أو</w:t>
      </w:r>
      <w:r w:rsidRPr="00282AC9">
        <w:rPr>
          <w:rFonts w:ascii="AAA GoldenLotus" w:hAnsi="AAA GoldenLotus"/>
          <w:sz w:val="27"/>
          <w:rtl/>
        </w:rPr>
        <w:t xml:space="preserve"> </w:t>
      </w:r>
      <w:r w:rsidRPr="00282AC9">
        <w:rPr>
          <w:rFonts w:ascii="AAA GoldenLotus" w:hAnsi="AAA GoldenLotus" w:hint="cs"/>
          <w:sz w:val="27"/>
          <w:rtl/>
        </w:rPr>
        <w:t>أغلبي</w:t>
      </w:r>
      <w:r w:rsidR="006470F1" w:rsidRPr="00282AC9">
        <w:rPr>
          <w:rFonts w:ascii="AAA GoldenLotus" w:hAnsi="AAA GoldenLotus" w:hint="cs"/>
          <w:sz w:val="27"/>
          <w:rtl/>
        </w:rPr>
        <w:t>ّ</w:t>
      </w:r>
      <w:r w:rsidRPr="00282AC9">
        <w:rPr>
          <w:rFonts w:ascii="AAA GoldenLotus" w:hAnsi="AAA GoldenLotus" w:hint="cs"/>
          <w:sz w:val="27"/>
          <w:rtl/>
        </w:rPr>
        <w:t>تها ناشئ</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من</w:t>
      </w:r>
      <w:r w:rsidRPr="00282AC9">
        <w:rPr>
          <w:rFonts w:ascii="AAA GoldenLotus" w:hAnsi="AAA GoldenLotus"/>
          <w:sz w:val="27"/>
          <w:rtl/>
        </w:rPr>
        <w:t xml:space="preserve"> </w:t>
      </w:r>
      <w:r w:rsidRPr="00282AC9">
        <w:rPr>
          <w:rFonts w:ascii="AAA GoldenLotus" w:hAnsi="AAA GoldenLotus" w:hint="cs"/>
          <w:sz w:val="27"/>
          <w:rtl/>
        </w:rPr>
        <w:t>اختلاف وجهات النظر</w:t>
      </w:r>
      <w:r w:rsidRPr="00282AC9">
        <w:rPr>
          <w:rFonts w:ascii="AAA GoldenLotus" w:hAnsi="AAA GoldenLotus"/>
          <w:sz w:val="27"/>
          <w:rtl/>
        </w:rPr>
        <w:t xml:space="preserve"> </w:t>
      </w:r>
      <w:r w:rsidRPr="00282AC9">
        <w:rPr>
          <w:rFonts w:ascii="AAA GoldenLotus" w:hAnsi="AAA GoldenLotus" w:hint="cs"/>
          <w:sz w:val="27"/>
          <w:rtl/>
        </w:rPr>
        <w:t>إلى</w:t>
      </w:r>
      <w:r w:rsidRPr="00282AC9">
        <w:rPr>
          <w:rFonts w:ascii="AAA GoldenLotus" w:hAnsi="AAA GoldenLotus"/>
          <w:sz w:val="27"/>
          <w:rtl/>
        </w:rPr>
        <w:t xml:space="preserve"> </w:t>
      </w:r>
      <w:r w:rsidRPr="00282AC9">
        <w:rPr>
          <w:rFonts w:ascii="AAA GoldenLotus" w:hAnsi="AAA GoldenLotus" w:hint="cs"/>
          <w:sz w:val="27"/>
          <w:rtl/>
        </w:rPr>
        <w:t>القاعدة</w:t>
      </w:r>
      <w:r w:rsidR="006470F1" w:rsidRPr="00282AC9">
        <w:rPr>
          <w:rFonts w:ascii="AAA GoldenLotus" w:hAnsi="AAA GoldenLotus" w:hint="cs"/>
          <w:sz w:val="27"/>
          <w:rtl/>
        </w:rPr>
        <w:t>؛</w:t>
      </w:r>
      <w:r w:rsidRPr="00282AC9">
        <w:rPr>
          <w:rFonts w:ascii="AAA GoldenLotus" w:hAnsi="AAA GoldenLotus" w:hint="cs"/>
          <w:sz w:val="27"/>
          <w:rtl/>
        </w:rPr>
        <w:t xml:space="preserve"> فم</w:t>
      </w:r>
      <w:r w:rsidR="00B4202F" w:rsidRPr="00282AC9">
        <w:rPr>
          <w:rFonts w:ascii="AAA GoldenLotus" w:hAnsi="AAA GoldenLotus" w:hint="cs"/>
          <w:sz w:val="27"/>
          <w:rtl/>
        </w:rPr>
        <w:t>َ</w:t>
      </w:r>
      <w:r w:rsidRPr="00282AC9">
        <w:rPr>
          <w:rFonts w:ascii="AAA GoldenLotus" w:hAnsi="AAA GoldenLotus" w:hint="cs"/>
          <w:sz w:val="27"/>
          <w:rtl/>
        </w:rPr>
        <w:t>ن</w:t>
      </w:r>
      <w:r w:rsidR="00B4202F"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نظر إليها</w:t>
      </w:r>
      <w:r w:rsidRPr="00282AC9">
        <w:rPr>
          <w:rFonts w:ascii="AAA GoldenLotus" w:hAnsi="AAA GoldenLotus"/>
          <w:sz w:val="27"/>
          <w:rtl/>
        </w:rPr>
        <w:t xml:space="preserve"> </w:t>
      </w:r>
      <w:r w:rsidRPr="00282AC9">
        <w:rPr>
          <w:rFonts w:ascii="AAA GoldenLotus" w:hAnsi="AAA GoldenLotus" w:hint="cs"/>
          <w:sz w:val="27"/>
          <w:rtl/>
        </w:rPr>
        <w:t>باعتبار</w:t>
      </w:r>
      <w:r w:rsidRPr="00282AC9">
        <w:rPr>
          <w:rFonts w:ascii="AAA GoldenLotus" w:hAnsi="AAA GoldenLotus"/>
          <w:sz w:val="27"/>
          <w:rtl/>
        </w:rPr>
        <w:t xml:space="preserve"> </w:t>
      </w:r>
      <w:r w:rsidRPr="00282AC9">
        <w:rPr>
          <w:rFonts w:ascii="AAA GoldenLotus" w:hAnsi="AAA GoldenLotus" w:hint="cs"/>
          <w:sz w:val="27"/>
          <w:rtl/>
        </w:rPr>
        <w:t>وجود</w:t>
      </w:r>
      <w:r w:rsidRPr="00282AC9">
        <w:rPr>
          <w:rFonts w:ascii="AAA GoldenLotus" w:hAnsi="AAA GoldenLotus"/>
          <w:sz w:val="27"/>
          <w:rtl/>
        </w:rPr>
        <w:t xml:space="preserve"> </w:t>
      </w:r>
      <w:r w:rsidRPr="00282AC9">
        <w:rPr>
          <w:rFonts w:ascii="AAA GoldenLotus" w:hAnsi="AAA GoldenLotus" w:hint="cs"/>
          <w:sz w:val="27"/>
          <w:rtl/>
        </w:rPr>
        <w:t>الاستثناءات</w:t>
      </w:r>
      <w:r w:rsidRPr="00282AC9">
        <w:rPr>
          <w:rFonts w:ascii="AAA GoldenLotus" w:hAnsi="AAA GoldenLotus"/>
          <w:sz w:val="27"/>
          <w:rtl/>
        </w:rPr>
        <w:t xml:space="preserve"> </w:t>
      </w:r>
      <w:r w:rsidRPr="00282AC9">
        <w:rPr>
          <w:rFonts w:ascii="AAA GoldenLotus" w:hAnsi="AAA GoldenLotus" w:hint="cs"/>
          <w:sz w:val="27"/>
          <w:rtl/>
        </w:rPr>
        <w:t>فيها</w:t>
      </w:r>
      <w:r w:rsidRPr="00282AC9">
        <w:rPr>
          <w:rFonts w:ascii="AAA GoldenLotus" w:hAnsi="AAA GoldenLotus"/>
          <w:sz w:val="27"/>
          <w:rtl/>
        </w:rPr>
        <w:t xml:space="preserve"> </w:t>
      </w:r>
      <w:r w:rsidRPr="00282AC9">
        <w:rPr>
          <w:rFonts w:ascii="AAA GoldenLotus" w:hAnsi="AAA GoldenLotus" w:hint="cs"/>
          <w:sz w:val="27"/>
          <w:rtl/>
        </w:rPr>
        <w:t>قال</w:t>
      </w:r>
      <w:r w:rsidRPr="00282AC9">
        <w:rPr>
          <w:rFonts w:ascii="AAA GoldenLotus" w:hAnsi="AAA GoldenLotus"/>
          <w:sz w:val="27"/>
          <w:rtl/>
        </w:rPr>
        <w:t xml:space="preserve">: </w:t>
      </w:r>
      <w:r w:rsidRPr="00282AC9">
        <w:rPr>
          <w:rFonts w:ascii="AAA GoldenLotus" w:hAnsi="AAA GoldenLotus" w:hint="cs"/>
          <w:sz w:val="27"/>
          <w:rtl/>
        </w:rPr>
        <w:t>إن</w:t>
      </w:r>
      <w:r w:rsidRPr="00282AC9">
        <w:rPr>
          <w:rFonts w:ascii="AAA GoldenLotus" w:hAnsi="AAA GoldenLotus"/>
          <w:sz w:val="27"/>
          <w:rtl/>
        </w:rPr>
        <w:t xml:space="preserve"> </w:t>
      </w:r>
      <w:r w:rsidRPr="00282AC9">
        <w:rPr>
          <w:rFonts w:ascii="AAA GoldenLotus" w:hAnsi="AAA GoldenLotus" w:hint="cs"/>
          <w:sz w:val="27"/>
          <w:rtl/>
        </w:rPr>
        <w:t>القاعدة</w:t>
      </w:r>
      <w:r w:rsidRPr="00282AC9">
        <w:rPr>
          <w:rFonts w:ascii="AAA GoldenLotus" w:hAnsi="AAA GoldenLotus"/>
          <w:sz w:val="27"/>
          <w:rtl/>
        </w:rPr>
        <w:t xml:space="preserve"> </w:t>
      </w:r>
      <w:r w:rsidRPr="00282AC9">
        <w:rPr>
          <w:rFonts w:ascii="AAA GoldenLotus" w:hAnsi="AAA GoldenLotus" w:hint="cs"/>
          <w:sz w:val="27"/>
          <w:rtl/>
        </w:rPr>
        <w:t>الفقهية</w:t>
      </w:r>
      <w:r w:rsidRPr="00282AC9">
        <w:rPr>
          <w:rFonts w:ascii="AAA GoldenLotus" w:hAnsi="AAA GoldenLotus"/>
          <w:sz w:val="27"/>
          <w:rtl/>
        </w:rPr>
        <w:t xml:space="preserve"> </w:t>
      </w:r>
      <w:r w:rsidRPr="00282AC9">
        <w:rPr>
          <w:rFonts w:ascii="AAA GoldenLotus" w:hAnsi="AAA GoldenLotus" w:hint="cs"/>
          <w:sz w:val="27"/>
          <w:rtl/>
        </w:rPr>
        <w:lastRenderedPageBreak/>
        <w:t>أغلبي</w:t>
      </w:r>
      <w:r w:rsidR="006470F1" w:rsidRPr="00282AC9">
        <w:rPr>
          <w:rFonts w:ascii="AAA GoldenLotus" w:hAnsi="AAA GoldenLotus" w:hint="cs"/>
          <w:sz w:val="27"/>
          <w:rtl/>
        </w:rPr>
        <w:t>ّ</w:t>
      </w:r>
      <w:r w:rsidRPr="00282AC9">
        <w:rPr>
          <w:rFonts w:ascii="AAA GoldenLotus" w:hAnsi="AAA GoldenLotus" w:hint="cs"/>
          <w:sz w:val="27"/>
          <w:rtl/>
        </w:rPr>
        <w:t>ة</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وم</w:t>
      </w:r>
      <w:r w:rsidR="006470F1" w:rsidRPr="00282AC9">
        <w:rPr>
          <w:rFonts w:ascii="AAA GoldenLotus" w:hAnsi="AAA GoldenLotus" w:hint="cs"/>
          <w:sz w:val="27"/>
          <w:rtl/>
        </w:rPr>
        <w:t>َ</w:t>
      </w:r>
      <w:r w:rsidRPr="00282AC9">
        <w:rPr>
          <w:rFonts w:ascii="AAA GoldenLotus" w:hAnsi="AAA GoldenLotus" w:hint="cs"/>
          <w:sz w:val="27"/>
          <w:rtl/>
        </w:rPr>
        <w:t>ن</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نظر</w:t>
      </w:r>
      <w:r w:rsidRPr="00282AC9">
        <w:rPr>
          <w:rFonts w:ascii="AAA GoldenLotus" w:hAnsi="AAA GoldenLotus"/>
          <w:sz w:val="27"/>
          <w:rtl/>
        </w:rPr>
        <w:t xml:space="preserve"> </w:t>
      </w:r>
      <w:r w:rsidRPr="00282AC9">
        <w:rPr>
          <w:rFonts w:ascii="AAA GoldenLotus" w:hAnsi="AAA GoldenLotus" w:hint="cs"/>
          <w:sz w:val="27"/>
          <w:rtl/>
        </w:rPr>
        <w:t>إلى</w:t>
      </w:r>
      <w:r w:rsidRPr="00282AC9">
        <w:rPr>
          <w:rFonts w:ascii="AAA GoldenLotus" w:hAnsi="AAA GoldenLotus"/>
          <w:sz w:val="27"/>
          <w:rtl/>
        </w:rPr>
        <w:t xml:space="preserve"> </w:t>
      </w:r>
      <w:r w:rsidRPr="00282AC9">
        <w:rPr>
          <w:rFonts w:ascii="AAA GoldenLotus" w:hAnsi="AAA GoldenLotus" w:hint="cs"/>
          <w:sz w:val="27"/>
          <w:rtl/>
        </w:rPr>
        <w:t>أن</w:t>
      </w:r>
      <w:r w:rsidRPr="00282AC9">
        <w:rPr>
          <w:rFonts w:ascii="AAA GoldenLotus" w:hAnsi="AAA GoldenLotus"/>
          <w:sz w:val="27"/>
          <w:rtl/>
        </w:rPr>
        <w:t xml:space="preserve"> </w:t>
      </w:r>
      <w:r w:rsidRPr="00282AC9">
        <w:rPr>
          <w:rFonts w:ascii="AAA GoldenLotus" w:hAnsi="AAA GoldenLotus" w:hint="cs"/>
          <w:sz w:val="27"/>
          <w:rtl/>
        </w:rPr>
        <w:t>الاستثناءات</w:t>
      </w:r>
      <w:r w:rsidRPr="00282AC9">
        <w:rPr>
          <w:rFonts w:ascii="AAA GoldenLotus" w:hAnsi="AAA GoldenLotus"/>
          <w:sz w:val="27"/>
          <w:rtl/>
        </w:rPr>
        <w:t xml:space="preserve"> </w:t>
      </w:r>
      <w:r w:rsidRPr="00282AC9">
        <w:rPr>
          <w:rFonts w:ascii="AAA GoldenLotus" w:hAnsi="AAA GoldenLotus" w:hint="cs"/>
          <w:sz w:val="27"/>
          <w:rtl/>
        </w:rPr>
        <w:t>لا</w:t>
      </w:r>
      <w:r w:rsidRPr="00282AC9">
        <w:rPr>
          <w:rFonts w:ascii="AAA GoldenLotus" w:hAnsi="AAA GoldenLotus"/>
          <w:sz w:val="27"/>
          <w:rtl/>
        </w:rPr>
        <w:t xml:space="preserve"> </w:t>
      </w:r>
      <w:r w:rsidRPr="00282AC9">
        <w:rPr>
          <w:rFonts w:ascii="AAA GoldenLotus" w:hAnsi="AAA GoldenLotus" w:hint="cs"/>
          <w:sz w:val="27"/>
          <w:rtl/>
        </w:rPr>
        <w:t>تؤث</w:t>
      </w:r>
      <w:r w:rsidR="006470F1" w:rsidRPr="00282AC9">
        <w:rPr>
          <w:rFonts w:ascii="AAA GoldenLotus" w:hAnsi="AAA GoldenLotus" w:hint="cs"/>
          <w:sz w:val="27"/>
          <w:rtl/>
        </w:rPr>
        <w:t>ِّ</w:t>
      </w:r>
      <w:r w:rsidRPr="00282AC9">
        <w:rPr>
          <w:rFonts w:ascii="AAA GoldenLotus" w:hAnsi="AAA GoldenLotus" w:hint="cs"/>
          <w:sz w:val="27"/>
          <w:rtl/>
        </w:rPr>
        <w:t>ر</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كل</w:t>
      </w:r>
      <w:r w:rsidR="006470F1" w:rsidRPr="00282AC9">
        <w:rPr>
          <w:rFonts w:ascii="AAA GoldenLotus" w:hAnsi="AAA GoldenLotus" w:hint="cs"/>
          <w:sz w:val="27"/>
          <w:rtl/>
        </w:rPr>
        <w:t>ِّ</w:t>
      </w:r>
      <w:r w:rsidRPr="00282AC9">
        <w:rPr>
          <w:rFonts w:ascii="AAA GoldenLotus" w:hAnsi="AAA GoldenLotus" w:hint="cs"/>
          <w:sz w:val="27"/>
          <w:rtl/>
        </w:rPr>
        <w:t>يتها</w:t>
      </w:r>
      <w:r w:rsidRPr="00282AC9">
        <w:rPr>
          <w:rFonts w:ascii="AAA GoldenLotus" w:hAnsi="AAA GoldenLotus"/>
          <w:sz w:val="27"/>
          <w:rtl/>
        </w:rPr>
        <w:t xml:space="preserve"> </w:t>
      </w:r>
      <w:r w:rsidRPr="00282AC9">
        <w:rPr>
          <w:rFonts w:ascii="AAA GoldenLotus" w:hAnsi="AAA GoldenLotus" w:hint="cs"/>
          <w:sz w:val="27"/>
          <w:rtl/>
        </w:rPr>
        <w:t>قال</w:t>
      </w:r>
      <w:r w:rsidRPr="00282AC9">
        <w:rPr>
          <w:rFonts w:ascii="AAA GoldenLotus" w:hAnsi="AAA GoldenLotus"/>
          <w:sz w:val="27"/>
          <w:rtl/>
        </w:rPr>
        <w:t xml:space="preserve">: </w:t>
      </w:r>
      <w:r w:rsidRPr="00282AC9">
        <w:rPr>
          <w:rFonts w:ascii="AAA GoldenLotus" w:hAnsi="AAA GoldenLotus" w:hint="cs"/>
          <w:sz w:val="27"/>
          <w:rtl/>
        </w:rPr>
        <w:t>هي</w:t>
      </w:r>
      <w:r w:rsidRPr="00282AC9">
        <w:rPr>
          <w:rFonts w:ascii="AAA GoldenLotus" w:hAnsi="AAA GoldenLotus"/>
          <w:sz w:val="27"/>
          <w:rtl/>
        </w:rPr>
        <w:t xml:space="preserve"> </w:t>
      </w:r>
      <w:r w:rsidRPr="00282AC9">
        <w:rPr>
          <w:rFonts w:ascii="AAA GoldenLotus" w:hAnsi="AAA GoldenLotus" w:hint="cs"/>
          <w:sz w:val="27"/>
          <w:rtl/>
        </w:rPr>
        <w:t>كل</w:t>
      </w:r>
      <w:r w:rsidR="006470F1" w:rsidRPr="00282AC9">
        <w:rPr>
          <w:rFonts w:ascii="AAA GoldenLotus" w:hAnsi="AAA GoldenLotus" w:hint="cs"/>
          <w:sz w:val="27"/>
          <w:rtl/>
        </w:rPr>
        <w:t>ِّ</w:t>
      </w:r>
      <w:r w:rsidRPr="00282AC9">
        <w:rPr>
          <w:rFonts w:ascii="AAA GoldenLotus" w:hAnsi="AAA GoldenLotus" w:hint="cs"/>
          <w:sz w:val="27"/>
          <w:rtl/>
        </w:rPr>
        <w:t>ية</w:t>
      </w:r>
      <w:r w:rsidR="006470F1" w:rsidRPr="00282AC9">
        <w:rPr>
          <w:rFonts w:ascii="AAA GoldenLotus" w:hAnsi="AAA GoldenLotus" w:hint="cs"/>
          <w:sz w:val="27"/>
          <w:rtl/>
        </w:rPr>
        <w:t>ٌ</w:t>
      </w:r>
      <w:r w:rsidRPr="00282AC9">
        <w:rPr>
          <w:rFonts w:ascii="AAA GoldenLotus" w:hAnsi="AAA GoldenLotus"/>
          <w:sz w:val="27"/>
          <w:rtl/>
        </w:rPr>
        <w:t>.</w:t>
      </w:r>
      <w:r w:rsidRPr="00282AC9">
        <w:rPr>
          <w:rFonts w:ascii="AAA GoldenLotus" w:hAnsi="AAA GoldenLotus" w:hint="cs"/>
          <w:sz w:val="27"/>
          <w:rtl/>
        </w:rPr>
        <w:t xml:space="preserve"> وبما أن الاستثناءات من القاعدة لا تقدح بكل</w:t>
      </w:r>
      <w:r w:rsidR="006470F1" w:rsidRPr="00282AC9">
        <w:rPr>
          <w:rFonts w:ascii="AAA GoldenLotus" w:hAnsi="AAA GoldenLotus" w:hint="cs"/>
          <w:sz w:val="27"/>
          <w:rtl/>
        </w:rPr>
        <w:t>ِّ</w:t>
      </w:r>
      <w:r w:rsidRPr="00282AC9">
        <w:rPr>
          <w:rFonts w:ascii="AAA GoldenLotus" w:hAnsi="AAA GoldenLotus" w:hint="cs"/>
          <w:sz w:val="27"/>
          <w:rtl/>
        </w:rPr>
        <w:t>يتها</w:t>
      </w:r>
      <w:r w:rsidR="006470F1" w:rsidRPr="00282AC9">
        <w:rPr>
          <w:rFonts w:ascii="AAA GoldenLotus" w:hAnsi="AAA GoldenLotus" w:hint="cs"/>
          <w:sz w:val="27"/>
          <w:rtl/>
        </w:rPr>
        <w:t>،</w:t>
      </w:r>
      <w:r w:rsidRPr="00282AC9">
        <w:rPr>
          <w:rFonts w:ascii="AAA GoldenLotus" w:hAnsi="AAA GoldenLotus" w:hint="cs"/>
          <w:sz w:val="27"/>
          <w:rtl/>
        </w:rPr>
        <w:t xml:space="preserve"> ولا تتنا</w:t>
      </w:r>
      <w:r w:rsidR="00B4202F" w:rsidRPr="00282AC9">
        <w:rPr>
          <w:rFonts w:ascii="AAA GoldenLotus" w:hAnsi="AAA GoldenLotus" w:hint="cs"/>
          <w:sz w:val="27"/>
          <w:rtl/>
        </w:rPr>
        <w:t>فى</w:t>
      </w:r>
      <w:r w:rsidRPr="00282AC9">
        <w:rPr>
          <w:rFonts w:ascii="AAA GoldenLotus" w:hAnsi="AAA GoldenLotus" w:hint="cs"/>
          <w:sz w:val="27"/>
          <w:rtl/>
        </w:rPr>
        <w:t xml:space="preserve"> مع عمومي</w:t>
      </w:r>
      <w:r w:rsidR="006470F1" w:rsidRPr="00282AC9">
        <w:rPr>
          <w:rFonts w:ascii="AAA GoldenLotus" w:hAnsi="AAA GoldenLotus" w:hint="cs"/>
          <w:sz w:val="27"/>
          <w:rtl/>
        </w:rPr>
        <w:t>ّ</w:t>
      </w:r>
      <w:r w:rsidRPr="00282AC9">
        <w:rPr>
          <w:rFonts w:ascii="AAA GoldenLotus" w:hAnsi="AAA GoldenLotus" w:hint="cs"/>
          <w:sz w:val="27"/>
          <w:rtl/>
        </w:rPr>
        <w:t>تها في ذاتها</w:t>
      </w:r>
      <w:r w:rsidR="006470F1" w:rsidRPr="00282AC9">
        <w:rPr>
          <w:rFonts w:ascii="AAA GoldenLotus" w:hAnsi="AAA GoldenLotus" w:hint="cs"/>
          <w:sz w:val="27"/>
          <w:rtl/>
        </w:rPr>
        <w:t>،</w:t>
      </w:r>
      <w:r w:rsidRPr="00282AC9">
        <w:rPr>
          <w:rFonts w:ascii="AAA GoldenLotus" w:hAnsi="AAA GoldenLotus" w:hint="cs"/>
          <w:sz w:val="27"/>
          <w:rtl/>
        </w:rPr>
        <w:t xml:space="preserve"> كما لا يخفى</w:t>
      </w:r>
      <w:r w:rsidR="006470F1" w:rsidRPr="00282AC9">
        <w:rPr>
          <w:rFonts w:ascii="AAA GoldenLotus" w:hAnsi="AAA GoldenLotus" w:hint="cs"/>
          <w:sz w:val="27"/>
          <w:rtl/>
        </w:rPr>
        <w:t xml:space="preserve">، </w:t>
      </w:r>
      <w:r w:rsidRPr="00282AC9">
        <w:rPr>
          <w:rFonts w:ascii="AAA GoldenLotus" w:hAnsi="AAA GoldenLotus" w:hint="cs"/>
          <w:sz w:val="27"/>
          <w:rtl/>
        </w:rPr>
        <w:t>فإن</w:t>
      </w:r>
      <w:r w:rsidRPr="00282AC9">
        <w:rPr>
          <w:rFonts w:ascii="AAA GoldenLotus" w:hAnsi="AAA GoldenLotus"/>
          <w:sz w:val="27"/>
          <w:rtl/>
        </w:rPr>
        <w:t xml:space="preserve"> </w:t>
      </w:r>
      <w:r w:rsidRPr="00282AC9">
        <w:rPr>
          <w:rFonts w:ascii="AAA GoldenLotus" w:hAnsi="AAA GoldenLotus" w:hint="cs"/>
          <w:sz w:val="27"/>
          <w:rtl/>
        </w:rPr>
        <w:t>المعتبر</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عموم</w:t>
      </w:r>
      <w:r w:rsidRPr="00282AC9">
        <w:rPr>
          <w:rFonts w:ascii="AAA GoldenLotus" w:hAnsi="AAA GoldenLotus"/>
          <w:sz w:val="27"/>
          <w:rtl/>
        </w:rPr>
        <w:t xml:space="preserve"> </w:t>
      </w:r>
      <w:r w:rsidRPr="00282AC9">
        <w:rPr>
          <w:rFonts w:ascii="AAA GoldenLotus" w:hAnsi="AAA GoldenLotus" w:hint="cs"/>
          <w:sz w:val="27"/>
          <w:rtl/>
        </w:rPr>
        <w:t>القاعدة</w:t>
      </w:r>
      <w:r w:rsidRPr="00282AC9">
        <w:rPr>
          <w:rFonts w:ascii="AAA GoldenLotus" w:hAnsi="AAA GoldenLotus"/>
          <w:sz w:val="27"/>
          <w:rtl/>
        </w:rPr>
        <w:t xml:space="preserve"> </w:t>
      </w:r>
      <w:r w:rsidRPr="00282AC9">
        <w:rPr>
          <w:rFonts w:ascii="AAA GoldenLotus" w:hAnsi="AAA GoldenLotus" w:hint="cs"/>
          <w:sz w:val="27"/>
          <w:rtl/>
        </w:rPr>
        <w:t>هو</w:t>
      </w:r>
      <w:r w:rsidRPr="00282AC9">
        <w:rPr>
          <w:rFonts w:ascii="AAA GoldenLotus" w:hAnsi="AAA GoldenLotus"/>
          <w:sz w:val="27"/>
          <w:rtl/>
        </w:rPr>
        <w:t xml:space="preserve"> </w:t>
      </w:r>
      <w:r w:rsidRPr="00282AC9">
        <w:rPr>
          <w:rFonts w:ascii="AAA GoldenLotus" w:hAnsi="AAA GoldenLotus" w:hint="cs"/>
          <w:sz w:val="27"/>
          <w:rtl/>
        </w:rPr>
        <w:t>العموم</w:t>
      </w:r>
      <w:r w:rsidRPr="00282AC9">
        <w:rPr>
          <w:rFonts w:ascii="AAA GoldenLotus" w:hAnsi="AAA GoldenLotus"/>
          <w:sz w:val="27"/>
          <w:rtl/>
        </w:rPr>
        <w:t xml:space="preserve"> </w:t>
      </w:r>
      <w:r w:rsidRPr="00282AC9">
        <w:rPr>
          <w:rFonts w:ascii="AAA GoldenLotus" w:hAnsi="AAA GoldenLotus" w:hint="cs"/>
          <w:sz w:val="27"/>
          <w:rtl/>
        </w:rPr>
        <w:t>العادي</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لا</w:t>
      </w:r>
      <w:r w:rsidRPr="00282AC9">
        <w:rPr>
          <w:rFonts w:ascii="AAA GoldenLotus" w:hAnsi="AAA GoldenLotus"/>
          <w:sz w:val="27"/>
          <w:rtl/>
        </w:rPr>
        <w:t xml:space="preserve"> </w:t>
      </w:r>
      <w:r w:rsidRPr="00282AC9">
        <w:rPr>
          <w:rFonts w:ascii="AAA GoldenLotus" w:hAnsi="AAA GoldenLotus" w:hint="cs"/>
          <w:sz w:val="27"/>
          <w:rtl/>
        </w:rPr>
        <w:t>العموم</w:t>
      </w:r>
      <w:r w:rsidRPr="00282AC9">
        <w:rPr>
          <w:rFonts w:ascii="AAA GoldenLotus" w:hAnsi="AAA GoldenLotus"/>
          <w:sz w:val="27"/>
          <w:rtl/>
        </w:rPr>
        <w:t xml:space="preserve"> </w:t>
      </w:r>
      <w:r w:rsidRPr="00282AC9">
        <w:rPr>
          <w:rFonts w:ascii="AAA GoldenLotus" w:hAnsi="AAA GoldenLotus" w:hint="cs"/>
          <w:sz w:val="27"/>
          <w:rtl/>
        </w:rPr>
        <w:t>العقلي</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والعموم</w:t>
      </w:r>
      <w:r w:rsidRPr="00282AC9">
        <w:rPr>
          <w:rFonts w:ascii="AAA GoldenLotus" w:hAnsi="AAA GoldenLotus"/>
          <w:sz w:val="27"/>
          <w:rtl/>
        </w:rPr>
        <w:t xml:space="preserve"> </w:t>
      </w:r>
      <w:r w:rsidRPr="00282AC9">
        <w:rPr>
          <w:rFonts w:ascii="AAA GoldenLotus" w:hAnsi="AAA GoldenLotus" w:hint="cs"/>
          <w:sz w:val="27"/>
          <w:rtl/>
        </w:rPr>
        <w:t>العادي</w:t>
      </w:r>
      <w:r w:rsidRPr="00282AC9">
        <w:rPr>
          <w:rFonts w:ascii="AAA GoldenLotus" w:hAnsi="AAA GoldenLotus"/>
          <w:sz w:val="27"/>
          <w:rtl/>
        </w:rPr>
        <w:t xml:space="preserve"> </w:t>
      </w:r>
      <w:r w:rsidRPr="00282AC9">
        <w:rPr>
          <w:rFonts w:ascii="AAA GoldenLotus" w:hAnsi="AAA GoldenLotus" w:hint="cs"/>
          <w:sz w:val="27"/>
          <w:rtl/>
        </w:rPr>
        <w:t>لا</w:t>
      </w:r>
      <w:r w:rsidRPr="00282AC9">
        <w:rPr>
          <w:rFonts w:ascii="AAA GoldenLotus" w:hAnsi="AAA GoldenLotus"/>
          <w:sz w:val="27"/>
          <w:rtl/>
        </w:rPr>
        <w:t xml:space="preserve"> </w:t>
      </w:r>
      <w:r w:rsidRPr="00282AC9">
        <w:rPr>
          <w:rFonts w:ascii="AAA GoldenLotus" w:hAnsi="AAA GoldenLotus" w:hint="cs"/>
          <w:sz w:val="27"/>
          <w:rtl/>
        </w:rPr>
        <w:t>يقدح</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كل</w:t>
      </w:r>
      <w:r w:rsidR="006470F1" w:rsidRPr="00282AC9">
        <w:rPr>
          <w:rFonts w:ascii="AAA GoldenLotus" w:hAnsi="AAA GoldenLotus" w:hint="cs"/>
          <w:sz w:val="27"/>
          <w:rtl/>
        </w:rPr>
        <w:t>ِّ</w:t>
      </w:r>
      <w:r w:rsidRPr="00282AC9">
        <w:rPr>
          <w:rFonts w:ascii="AAA GoldenLotus" w:hAnsi="AAA GoldenLotus" w:hint="cs"/>
          <w:sz w:val="27"/>
          <w:rtl/>
        </w:rPr>
        <w:t>يته</w:t>
      </w:r>
      <w:r w:rsidRPr="00282AC9">
        <w:rPr>
          <w:rFonts w:ascii="AAA GoldenLotus" w:hAnsi="AAA GoldenLotus"/>
          <w:sz w:val="27"/>
          <w:rtl/>
        </w:rPr>
        <w:t xml:space="preserve"> </w:t>
      </w:r>
      <w:r w:rsidRPr="00282AC9">
        <w:rPr>
          <w:rFonts w:ascii="AAA GoldenLotus" w:hAnsi="AAA GoldenLotus" w:hint="cs"/>
          <w:sz w:val="27"/>
          <w:rtl/>
        </w:rPr>
        <w:t>تخل</w:t>
      </w:r>
      <w:r w:rsidR="006470F1" w:rsidRPr="00282AC9">
        <w:rPr>
          <w:rFonts w:ascii="AAA GoldenLotus" w:hAnsi="AAA GoldenLotus" w:hint="cs"/>
          <w:sz w:val="27"/>
          <w:rtl/>
        </w:rPr>
        <w:t>ُّ</w:t>
      </w:r>
      <w:r w:rsidRPr="00282AC9">
        <w:rPr>
          <w:rFonts w:ascii="AAA GoldenLotus" w:hAnsi="AAA GoldenLotus" w:hint="cs"/>
          <w:sz w:val="27"/>
          <w:rtl/>
        </w:rPr>
        <w:t>ف</w:t>
      </w:r>
      <w:r w:rsidRPr="00282AC9">
        <w:rPr>
          <w:rFonts w:ascii="AAA GoldenLotus" w:hAnsi="AAA GoldenLotus"/>
          <w:sz w:val="27"/>
          <w:rtl/>
        </w:rPr>
        <w:t xml:space="preserve"> </w:t>
      </w:r>
      <w:r w:rsidRPr="00282AC9">
        <w:rPr>
          <w:rFonts w:ascii="AAA GoldenLotus" w:hAnsi="AAA GoldenLotus" w:hint="cs"/>
          <w:sz w:val="27"/>
          <w:rtl/>
        </w:rPr>
        <w:t>بعض</w:t>
      </w:r>
      <w:r w:rsidRPr="00282AC9">
        <w:rPr>
          <w:rFonts w:ascii="AAA GoldenLotus" w:hAnsi="AAA GoldenLotus"/>
          <w:sz w:val="27"/>
          <w:rtl/>
        </w:rPr>
        <w:t xml:space="preserve"> </w:t>
      </w:r>
      <w:r w:rsidRPr="00282AC9">
        <w:rPr>
          <w:rFonts w:ascii="AAA GoldenLotus" w:hAnsi="AAA GoldenLotus" w:hint="cs"/>
          <w:sz w:val="27"/>
          <w:rtl/>
        </w:rPr>
        <w:t>الجزئي</w:t>
      </w:r>
      <w:r w:rsidR="006470F1" w:rsidRPr="00282AC9">
        <w:rPr>
          <w:rFonts w:ascii="AAA GoldenLotus" w:hAnsi="AAA GoldenLotus" w:hint="cs"/>
          <w:sz w:val="27"/>
          <w:rtl/>
        </w:rPr>
        <w:t>ّ</w:t>
      </w:r>
      <w:r w:rsidRPr="00282AC9">
        <w:rPr>
          <w:rFonts w:ascii="AAA GoldenLotus" w:hAnsi="AAA GoldenLotus" w:hint="cs"/>
          <w:sz w:val="27"/>
          <w:rtl/>
        </w:rPr>
        <w:t>ات</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فالبلوغ</w:t>
      </w:r>
      <w:r w:rsidRPr="00282AC9">
        <w:rPr>
          <w:rFonts w:ascii="AAA GoldenLotus" w:hAnsi="AAA GoldenLotus"/>
          <w:sz w:val="27"/>
          <w:rtl/>
        </w:rPr>
        <w:t xml:space="preserve"> </w:t>
      </w:r>
      <w:r w:rsidRPr="00282AC9">
        <w:rPr>
          <w:rFonts w:ascii="AAA GoldenLotus" w:hAnsi="AAA GoldenLotus" w:hint="cs"/>
          <w:sz w:val="27"/>
          <w:rtl/>
        </w:rPr>
        <w:t>مثلاً</w:t>
      </w:r>
      <w:r w:rsidRPr="00282AC9">
        <w:rPr>
          <w:rFonts w:ascii="AAA GoldenLotus" w:hAnsi="AAA GoldenLotus"/>
          <w:sz w:val="27"/>
          <w:rtl/>
        </w:rPr>
        <w:t xml:space="preserve"> </w:t>
      </w:r>
      <w:r w:rsidRPr="00282AC9">
        <w:rPr>
          <w:rFonts w:ascii="AAA GoldenLotus" w:hAnsi="AAA GoldenLotus" w:hint="cs"/>
          <w:sz w:val="27"/>
          <w:rtl/>
        </w:rPr>
        <w:t>يكون</w:t>
      </w:r>
      <w:r w:rsidRPr="00282AC9">
        <w:rPr>
          <w:rFonts w:ascii="AAA GoldenLotus" w:hAnsi="AAA GoldenLotus"/>
          <w:sz w:val="27"/>
          <w:rtl/>
        </w:rPr>
        <w:t xml:space="preserve"> </w:t>
      </w:r>
      <w:r w:rsidRPr="00282AC9">
        <w:rPr>
          <w:rFonts w:ascii="AAA GoldenLotus" w:hAnsi="AAA GoldenLotus" w:hint="cs"/>
          <w:sz w:val="27"/>
          <w:rtl/>
        </w:rPr>
        <w:t>عند</w:t>
      </w:r>
      <w:r w:rsidRPr="00282AC9">
        <w:rPr>
          <w:rFonts w:ascii="AAA GoldenLotus" w:hAnsi="AAA GoldenLotus"/>
          <w:sz w:val="27"/>
          <w:rtl/>
        </w:rPr>
        <w:t xml:space="preserve"> </w:t>
      </w:r>
      <w:r w:rsidRPr="00282AC9">
        <w:rPr>
          <w:rFonts w:ascii="AAA GoldenLotus" w:hAnsi="AAA GoldenLotus" w:hint="cs"/>
          <w:sz w:val="27"/>
          <w:rtl/>
        </w:rPr>
        <w:t>سن</w:t>
      </w:r>
      <w:r w:rsidR="006470F1" w:rsidRPr="00282AC9">
        <w:rPr>
          <w:rFonts w:ascii="AAA GoldenLotus" w:hAnsi="AAA GoldenLotus" w:hint="cs"/>
          <w:sz w:val="27"/>
          <w:rtl/>
        </w:rPr>
        <w:t>ّ الـ</w:t>
      </w:r>
      <w:r w:rsidRPr="00282AC9">
        <w:rPr>
          <w:rFonts w:ascii="AAA GoldenLotus" w:hAnsi="AAA GoldenLotus"/>
          <w:sz w:val="27"/>
          <w:rtl/>
        </w:rPr>
        <w:t xml:space="preserve"> 15</w:t>
      </w:r>
      <w:r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فإذا</w:t>
      </w:r>
      <w:r w:rsidRPr="00282AC9">
        <w:rPr>
          <w:rFonts w:ascii="AAA GoldenLotus" w:hAnsi="AAA GoldenLotus"/>
          <w:sz w:val="27"/>
          <w:rtl/>
        </w:rPr>
        <w:t xml:space="preserve"> </w:t>
      </w:r>
      <w:r w:rsidRPr="00282AC9">
        <w:rPr>
          <w:rFonts w:ascii="AAA GoldenLotus" w:hAnsi="AAA GoldenLotus" w:hint="cs"/>
          <w:sz w:val="27"/>
          <w:rtl/>
        </w:rPr>
        <w:t>و</w:t>
      </w:r>
      <w:r w:rsidR="006470F1" w:rsidRPr="00282AC9">
        <w:rPr>
          <w:rFonts w:ascii="AAA GoldenLotus" w:hAnsi="AAA GoldenLotus" w:hint="cs"/>
          <w:sz w:val="27"/>
          <w:rtl/>
        </w:rPr>
        <w:t>ُ</w:t>
      </w:r>
      <w:r w:rsidRPr="00282AC9">
        <w:rPr>
          <w:rFonts w:ascii="AAA GoldenLotus" w:hAnsi="AAA GoldenLotus" w:hint="cs"/>
          <w:sz w:val="27"/>
          <w:rtl/>
        </w:rPr>
        <w:t>جد</w:t>
      </w:r>
      <w:r w:rsidRPr="00282AC9">
        <w:rPr>
          <w:rFonts w:ascii="AAA GoldenLotus" w:hAnsi="AAA GoldenLotus"/>
          <w:sz w:val="27"/>
          <w:rtl/>
        </w:rPr>
        <w:t xml:space="preserve"> </w:t>
      </w:r>
      <w:r w:rsidRPr="00282AC9">
        <w:rPr>
          <w:rFonts w:ascii="AAA GoldenLotus" w:hAnsi="AAA GoldenLotus" w:hint="cs"/>
          <w:sz w:val="27"/>
          <w:rtl/>
        </w:rPr>
        <w:t>م</w:t>
      </w:r>
      <w:r w:rsidR="006470F1" w:rsidRPr="00282AC9">
        <w:rPr>
          <w:rFonts w:ascii="AAA GoldenLotus" w:hAnsi="AAA GoldenLotus" w:hint="cs"/>
          <w:sz w:val="27"/>
          <w:rtl/>
        </w:rPr>
        <w:t>َ</w:t>
      </w:r>
      <w:r w:rsidRPr="00282AC9">
        <w:rPr>
          <w:rFonts w:ascii="AAA GoldenLotus" w:hAnsi="AAA GoldenLotus" w:hint="cs"/>
          <w:sz w:val="27"/>
          <w:rtl/>
        </w:rPr>
        <w:t>ن</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لم</w:t>
      </w:r>
      <w:r w:rsidRPr="00282AC9">
        <w:rPr>
          <w:rFonts w:ascii="AAA GoldenLotus" w:hAnsi="AAA GoldenLotus"/>
          <w:sz w:val="27"/>
          <w:rtl/>
        </w:rPr>
        <w:t xml:space="preserve"> </w:t>
      </w:r>
      <w:r w:rsidRPr="00282AC9">
        <w:rPr>
          <w:rFonts w:ascii="AAA GoldenLotus" w:hAnsi="AAA GoldenLotus" w:hint="cs"/>
          <w:sz w:val="27"/>
          <w:rtl/>
        </w:rPr>
        <w:t>يبلغ</w:t>
      </w:r>
      <w:r w:rsidRPr="00282AC9">
        <w:rPr>
          <w:rFonts w:ascii="AAA GoldenLotus" w:hAnsi="AAA GoldenLotus"/>
          <w:sz w:val="27"/>
          <w:rtl/>
        </w:rPr>
        <w:t xml:space="preserve"> </w:t>
      </w:r>
      <w:r w:rsidRPr="00282AC9">
        <w:rPr>
          <w:rFonts w:ascii="AAA GoldenLotus" w:hAnsi="AAA GoldenLotus" w:hint="cs"/>
          <w:sz w:val="27"/>
          <w:rtl/>
        </w:rPr>
        <w:t>عند</w:t>
      </w:r>
      <w:r w:rsidR="006470F1" w:rsidRPr="00282AC9">
        <w:rPr>
          <w:rFonts w:ascii="AAA GoldenLotus" w:hAnsi="AAA GoldenLotus" w:hint="cs"/>
          <w:sz w:val="27"/>
          <w:rtl/>
        </w:rPr>
        <w:t xml:space="preserve"> الـ</w:t>
      </w:r>
      <w:r w:rsidRPr="00282AC9">
        <w:rPr>
          <w:rFonts w:ascii="AAA GoldenLotus" w:hAnsi="AAA GoldenLotus"/>
          <w:sz w:val="27"/>
          <w:rtl/>
        </w:rPr>
        <w:t xml:space="preserve"> 15 </w:t>
      </w:r>
      <w:r w:rsidRPr="00282AC9">
        <w:rPr>
          <w:rFonts w:ascii="AAA GoldenLotus" w:hAnsi="AAA GoldenLotus" w:hint="cs"/>
          <w:sz w:val="27"/>
          <w:rtl/>
        </w:rPr>
        <w:t>فإن</w:t>
      </w:r>
      <w:r w:rsidRPr="00282AC9">
        <w:rPr>
          <w:rFonts w:ascii="AAA GoldenLotus" w:hAnsi="AAA GoldenLotus"/>
          <w:sz w:val="27"/>
          <w:rtl/>
        </w:rPr>
        <w:t xml:space="preserve"> </w:t>
      </w:r>
      <w:r w:rsidRPr="00282AC9">
        <w:rPr>
          <w:rFonts w:ascii="AAA GoldenLotus" w:hAnsi="AAA GoldenLotus" w:hint="cs"/>
          <w:sz w:val="27"/>
          <w:rtl/>
        </w:rPr>
        <w:t>ذلك</w:t>
      </w:r>
      <w:r w:rsidRPr="00282AC9">
        <w:rPr>
          <w:rFonts w:ascii="AAA GoldenLotus" w:hAnsi="AAA GoldenLotus"/>
          <w:sz w:val="27"/>
          <w:rtl/>
        </w:rPr>
        <w:t xml:space="preserve"> </w:t>
      </w:r>
      <w:r w:rsidRPr="00282AC9">
        <w:rPr>
          <w:rFonts w:ascii="AAA GoldenLotus" w:hAnsi="AAA GoldenLotus" w:hint="cs"/>
          <w:sz w:val="27"/>
          <w:rtl/>
        </w:rPr>
        <w:t>لا</w:t>
      </w:r>
      <w:r w:rsidRPr="00282AC9">
        <w:rPr>
          <w:rFonts w:ascii="AAA GoldenLotus" w:hAnsi="AAA GoldenLotus"/>
          <w:sz w:val="27"/>
          <w:rtl/>
        </w:rPr>
        <w:t xml:space="preserve"> </w:t>
      </w:r>
      <w:r w:rsidRPr="00282AC9">
        <w:rPr>
          <w:rFonts w:ascii="AAA GoldenLotus" w:hAnsi="AAA GoldenLotus" w:hint="cs"/>
          <w:sz w:val="27"/>
          <w:rtl/>
        </w:rPr>
        <w:t>يخرم</w:t>
      </w:r>
      <w:r w:rsidRPr="00282AC9">
        <w:rPr>
          <w:rFonts w:ascii="AAA GoldenLotus" w:hAnsi="AAA GoldenLotus"/>
          <w:sz w:val="27"/>
          <w:rtl/>
        </w:rPr>
        <w:t xml:space="preserve"> </w:t>
      </w:r>
      <w:r w:rsidRPr="00282AC9">
        <w:rPr>
          <w:rFonts w:ascii="AAA GoldenLotus" w:hAnsi="AAA GoldenLotus" w:hint="cs"/>
          <w:sz w:val="27"/>
          <w:rtl/>
        </w:rPr>
        <w:t>القاعدة</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أما</w:t>
      </w:r>
      <w:r w:rsidRPr="00282AC9">
        <w:rPr>
          <w:rFonts w:ascii="AAA GoldenLotus" w:hAnsi="AAA GoldenLotus"/>
          <w:sz w:val="27"/>
          <w:rtl/>
        </w:rPr>
        <w:t xml:space="preserve"> </w:t>
      </w:r>
      <w:r w:rsidRPr="00282AC9">
        <w:rPr>
          <w:rFonts w:ascii="AAA GoldenLotus" w:hAnsi="AAA GoldenLotus" w:hint="cs"/>
          <w:sz w:val="27"/>
          <w:rtl/>
        </w:rPr>
        <w:t>العموم</w:t>
      </w:r>
      <w:r w:rsidRPr="00282AC9">
        <w:rPr>
          <w:rFonts w:ascii="AAA GoldenLotus" w:hAnsi="AAA GoldenLotus"/>
          <w:sz w:val="27"/>
          <w:rtl/>
        </w:rPr>
        <w:t xml:space="preserve"> </w:t>
      </w:r>
      <w:r w:rsidRPr="00282AC9">
        <w:rPr>
          <w:rFonts w:ascii="AAA GoldenLotus" w:hAnsi="AAA GoldenLotus" w:hint="cs"/>
          <w:sz w:val="27"/>
          <w:rtl/>
        </w:rPr>
        <w:t>العقلي</w:t>
      </w:r>
      <w:r w:rsidRPr="00282AC9">
        <w:rPr>
          <w:rFonts w:ascii="AAA GoldenLotus" w:hAnsi="AAA GoldenLotus"/>
          <w:sz w:val="27"/>
          <w:rtl/>
        </w:rPr>
        <w:t xml:space="preserve"> </w:t>
      </w:r>
      <w:r w:rsidRPr="00282AC9">
        <w:rPr>
          <w:rFonts w:ascii="AAA GoldenLotus" w:hAnsi="AAA GoldenLotus" w:hint="cs"/>
          <w:sz w:val="27"/>
          <w:rtl/>
        </w:rPr>
        <w:t>فتنقدح</w:t>
      </w:r>
      <w:r w:rsidRPr="00282AC9">
        <w:rPr>
          <w:rFonts w:ascii="AAA GoldenLotus" w:hAnsi="AAA GoldenLotus"/>
          <w:sz w:val="27"/>
          <w:rtl/>
        </w:rPr>
        <w:t xml:space="preserve"> </w:t>
      </w:r>
      <w:r w:rsidRPr="00282AC9">
        <w:rPr>
          <w:rFonts w:ascii="AAA GoldenLotus" w:hAnsi="AAA GoldenLotus" w:hint="cs"/>
          <w:sz w:val="27"/>
          <w:rtl/>
        </w:rPr>
        <w:t>كل</w:t>
      </w:r>
      <w:r w:rsidR="006470F1" w:rsidRPr="00282AC9">
        <w:rPr>
          <w:rFonts w:ascii="AAA GoldenLotus" w:hAnsi="AAA GoldenLotus" w:hint="cs"/>
          <w:sz w:val="27"/>
          <w:rtl/>
        </w:rPr>
        <w:t>ِّ</w:t>
      </w:r>
      <w:r w:rsidRPr="00282AC9">
        <w:rPr>
          <w:rFonts w:ascii="AAA GoldenLotus" w:hAnsi="AAA GoldenLotus" w:hint="cs"/>
          <w:sz w:val="27"/>
          <w:rtl/>
        </w:rPr>
        <w:t>يته</w:t>
      </w:r>
      <w:r w:rsidRPr="00282AC9">
        <w:rPr>
          <w:rFonts w:ascii="AAA GoldenLotus" w:hAnsi="AAA GoldenLotus"/>
          <w:sz w:val="27"/>
          <w:rtl/>
        </w:rPr>
        <w:t xml:space="preserve"> </w:t>
      </w:r>
      <w:r w:rsidRPr="00282AC9">
        <w:rPr>
          <w:rFonts w:ascii="AAA GoldenLotus" w:hAnsi="AAA GoldenLotus" w:hint="cs"/>
          <w:sz w:val="27"/>
          <w:rtl/>
        </w:rPr>
        <w:t>ولو</w:t>
      </w:r>
      <w:r w:rsidRPr="00282AC9">
        <w:rPr>
          <w:rFonts w:ascii="AAA GoldenLotus" w:hAnsi="AAA GoldenLotus"/>
          <w:sz w:val="27"/>
          <w:rtl/>
        </w:rPr>
        <w:t xml:space="preserve"> </w:t>
      </w:r>
      <w:r w:rsidRPr="00282AC9">
        <w:rPr>
          <w:rFonts w:ascii="AAA GoldenLotus" w:hAnsi="AAA GoldenLotus" w:hint="cs"/>
          <w:sz w:val="27"/>
          <w:rtl/>
        </w:rPr>
        <w:t>تخل</w:t>
      </w:r>
      <w:r w:rsidR="006470F1" w:rsidRPr="00282AC9">
        <w:rPr>
          <w:rFonts w:ascii="AAA GoldenLotus" w:hAnsi="AAA GoldenLotus" w:hint="cs"/>
          <w:sz w:val="27"/>
          <w:rtl/>
        </w:rPr>
        <w:t>َّ</w:t>
      </w:r>
      <w:r w:rsidRPr="00282AC9">
        <w:rPr>
          <w:rFonts w:ascii="AAA GoldenLotus" w:hAnsi="AAA GoldenLotus" w:hint="cs"/>
          <w:sz w:val="27"/>
          <w:rtl/>
        </w:rPr>
        <w:t>ف</w:t>
      </w:r>
      <w:r w:rsidRPr="00282AC9">
        <w:rPr>
          <w:rFonts w:ascii="AAA GoldenLotus" w:hAnsi="AAA GoldenLotus"/>
          <w:sz w:val="27"/>
          <w:rtl/>
        </w:rPr>
        <w:t xml:space="preserve"> </w:t>
      </w:r>
      <w:r w:rsidRPr="00282AC9">
        <w:rPr>
          <w:rFonts w:ascii="AAA GoldenLotus" w:hAnsi="AAA GoldenLotus" w:hint="cs"/>
          <w:sz w:val="27"/>
          <w:rtl/>
        </w:rPr>
        <w:t>فرد</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واحد</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ولو</w:t>
      </w:r>
      <w:r w:rsidRPr="00282AC9">
        <w:rPr>
          <w:rFonts w:ascii="AAA GoldenLotus" w:hAnsi="AAA GoldenLotus"/>
          <w:sz w:val="27"/>
          <w:rtl/>
        </w:rPr>
        <w:t xml:space="preserve"> </w:t>
      </w:r>
      <w:r w:rsidRPr="00282AC9">
        <w:rPr>
          <w:rFonts w:ascii="AAA GoldenLotus" w:hAnsi="AAA GoldenLotus" w:hint="cs"/>
          <w:sz w:val="27"/>
          <w:rtl/>
        </w:rPr>
        <w:t>س</w:t>
      </w:r>
      <w:r w:rsidR="006470F1" w:rsidRPr="00282AC9">
        <w:rPr>
          <w:rFonts w:ascii="AAA GoldenLotus" w:hAnsi="AAA GoldenLotus" w:hint="cs"/>
          <w:sz w:val="27"/>
          <w:rtl/>
        </w:rPr>
        <w:t>ُ</w:t>
      </w:r>
      <w:r w:rsidRPr="00282AC9">
        <w:rPr>
          <w:rFonts w:ascii="AAA GoldenLotus" w:hAnsi="AAA GoldenLotus" w:hint="cs"/>
          <w:sz w:val="27"/>
          <w:rtl/>
        </w:rPr>
        <w:t>ل</w:t>
      </w:r>
      <w:r w:rsidR="006470F1" w:rsidRPr="00282AC9">
        <w:rPr>
          <w:rFonts w:ascii="AAA GoldenLotus" w:hAnsi="AAA GoldenLotus" w:hint="cs"/>
          <w:sz w:val="27"/>
          <w:rtl/>
        </w:rPr>
        <w:t>ِّ</w:t>
      </w:r>
      <w:r w:rsidRPr="00282AC9">
        <w:rPr>
          <w:rFonts w:ascii="AAA GoldenLotus" w:hAnsi="AAA GoldenLotus" w:hint="cs"/>
          <w:sz w:val="27"/>
          <w:rtl/>
        </w:rPr>
        <w:t>م</w:t>
      </w:r>
      <w:r w:rsidRPr="00282AC9">
        <w:rPr>
          <w:rFonts w:ascii="AAA GoldenLotus" w:hAnsi="AAA GoldenLotus"/>
          <w:sz w:val="27"/>
          <w:rtl/>
        </w:rPr>
        <w:t xml:space="preserve"> </w:t>
      </w:r>
      <w:r w:rsidRPr="00282AC9">
        <w:rPr>
          <w:rFonts w:ascii="AAA GoldenLotus" w:hAnsi="AAA GoldenLotus" w:hint="cs"/>
          <w:sz w:val="27"/>
          <w:rtl/>
        </w:rPr>
        <w:t>بأن</w:t>
      </w:r>
      <w:r w:rsidRPr="00282AC9">
        <w:rPr>
          <w:rFonts w:ascii="AAA GoldenLotus" w:hAnsi="AAA GoldenLotus"/>
          <w:sz w:val="27"/>
          <w:rtl/>
        </w:rPr>
        <w:t xml:space="preserve"> </w:t>
      </w:r>
      <w:r w:rsidRPr="00282AC9">
        <w:rPr>
          <w:rFonts w:ascii="AAA GoldenLotus" w:hAnsi="AAA GoldenLotus" w:hint="cs"/>
          <w:sz w:val="27"/>
          <w:rtl/>
        </w:rPr>
        <w:t>هذه</w:t>
      </w:r>
      <w:r w:rsidRPr="00282AC9">
        <w:rPr>
          <w:rFonts w:ascii="AAA GoldenLotus" w:hAnsi="AAA GoldenLotus"/>
          <w:sz w:val="27"/>
          <w:rtl/>
        </w:rPr>
        <w:t xml:space="preserve"> </w:t>
      </w:r>
      <w:r w:rsidRPr="00282AC9">
        <w:rPr>
          <w:rFonts w:ascii="AAA GoldenLotus" w:hAnsi="AAA GoldenLotus" w:hint="cs"/>
          <w:sz w:val="27"/>
          <w:rtl/>
        </w:rPr>
        <w:t>المستثنيات</w:t>
      </w:r>
      <w:r w:rsidRPr="00282AC9">
        <w:rPr>
          <w:rFonts w:ascii="AAA GoldenLotus" w:hAnsi="AAA GoldenLotus"/>
          <w:sz w:val="27"/>
          <w:rtl/>
        </w:rPr>
        <w:t xml:space="preserve"> </w:t>
      </w:r>
      <w:r w:rsidRPr="00282AC9">
        <w:rPr>
          <w:rFonts w:ascii="AAA GoldenLotus" w:hAnsi="AAA GoldenLotus" w:hint="cs"/>
          <w:sz w:val="27"/>
          <w:rtl/>
        </w:rPr>
        <w:t>قد</w:t>
      </w:r>
      <w:r w:rsidRPr="00282AC9">
        <w:rPr>
          <w:rFonts w:ascii="AAA GoldenLotus" w:hAnsi="AAA GoldenLotus"/>
          <w:sz w:val="27"/>
          <w:rtl/>
        </w:rPr>
        <w:t xml:space="preserve"> </w:t>
      </w:r>
      <w:r w:rsidRPr="00282AC9">
        <w:rPr>
          <w:rFonts w:ascii="AAA GoldenLotus" w:hAnsi="AAA GoldenLotus" w:hint="cs"/>
          <w:sz w:val="27"/>
          <w:rtl/>
        </w:rPr>
        <w:t>تواف</w:t>
      </w:r>
      <w:r w:rsidR="006470F1" w:rsidRPr="00282AC9">
        <w:rPr>
          <w:rFonts w:ascii="AAA GoldenLotus" w:hAnsi="AAA GoldenLotus" w:hint="cs"/>
          <w:sz w:val="27"/>
          <w:rtl/>
        </w:rPr>
        <w:t>َ</w:t>
      </w:r>
      <w:r w:rsidRPr="00282AC9">
        <w:rPr>
          <w:rFonts w:ascii="AAA GoldenLotus" w:hAnsi="AAA GoldenLotus" w:hint="cs"/>
          <w:sz w:val="27"/>
          <w:rtl/>
        </w:rPr>
        <w:t>ر</w:t>
      </w:r>
      <w:r w:rsidR="006470F1" w:rsidRPr="00282AC9">
        <w:rPr>
          <w:rFonts w:ascii="AAA GoldenLotus" w:hAnsi="AAA GoldenLotus" w:hint="cs"/>
          <w:sz w:val="27"/>
          <w:rtl/>
        </w:rPr>
        <w:t>َ</w:t>
      </w:r>
      <w:r w:rsidRPr="00282AC9">
        <w:rPr>
          <w:rFonts w:ascii="AAA GoldenLotus" w:hAnsi="AAA GoldenLotus" w:hint="cs"/>
          <w:sz w:val="27"/>
          <w:rtl/>
        </w:rPr>
        <w:t>ت</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فيها</w:t>
      </w:r>
      <w:r w:rsidRPr="00282AC9">
        <w:rPr>
          <w:rFonts w:ascii="AAA GoldenLotus" w:hAnsi="AAA GoldenLotus"/>
          <w:sz w:val="27"/>
          <w:rtl/>
        </w:rPr>
        <w:t xml:space="preserve"> </w:t>
      </w:r>
      <w:r w:rsidRPr="00282AC9">
        <w:rPr>
          <w:rFonts w:ascii="AAA GoldenLotus" w:hAnsi="AAA GoldenLotus" w:hint="cs"/>
          <w:sz w:val="27"/>
          <w:rtl/>
        </w:rPr>
        <w:t>الشروط،</w:t>
      </w:r>
      <w:r w:rsidRPr="00282AC9">
        <w:rPr>
          <w:rFonts w:ascii="AAA GoldenLotus" w:hAnsi="AAA GoldenLotus"/>
          <w:sz w:val="27"/>
          <w:rtl/>
        </w:rPr>
        <w:t xml:space="preserve"> </w:t>
      </w:r>
      <w:r w:rsidRPr="00282AC9">
        <w:rPr>
          <w:rFonts w:ascii="AAA GoldenLotus" w:hAnsi="AAA GoldenLotus" w:hint="cs"/>
          <w:sz w:val="27"/>
          <w:rtl/>
        </w:rPr>
        <w:t>وانتف</w:t>
      </w:r>
      <w:r w:rsidR="006470F1" w:rsidRPr="00282AC9">
        <w:rPr>
          <w:rFonts w:ascii="AAA GoldenLotus" w:hAnsi="AAA GoldenLotus" w:hint="cs"/>
          <w:sz w:val="27"/>
          <w:rtl/>
        </w:rPr>
        <w:t>َ</w:t>
      </w:r>
      <w:r w:rsidRPr="00282AC9">
        <w:rPr>
          <w:rFonts w:ascii="AAA GoldenLotus" w:hAnsi="AAA GoldenLotus" w:hint="cs"/>
          <w:sz w:val="27"/>
          <w:rtl/>
        </w:rPr>
        <w:t>ت</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عنها</w:t>
      </w:r>
      <w:r w:rsidRPr="00282AC9">
        <w:rPr>
          <w:rFonts w:ascii="AAA GoldenLotus" w:hAnsi="AAA GoldenLotus"/>
          <w:sz w:val="27"/>
          <w:rtl/>
        </w:rPr>
        <w:t xml:space="preserve"> </w:t>
      </w:r>
      <w:r w:rsidRPr="00282AC9">
        <w:rPr>
          <w:rFonts w:ascii="AAA GoldenLotus" w:hAnsi="AAA GoldenLotus" w:hint="cs"/>
          <w:sz w:val="27"/>
          <w:rtl/>
        </w:rPr>
        <w:t>الموانع،</w:t>
      </w:r>
      <w:r w:rsidRPr="00282AC9">
        <w:rPr>
          <w:rFonts w:ascii="AAA GoldenLotus" w:hAnsi="AAA GoldenLotus"/>
          <w:sz w:val="27"/>
          <w:rtl/>
        </w:rPr>
        <w:t xml:space="preserve"> </w:t>
      </w:r>
      <w:r w:rsidRPr="00282AC9">
        <w:rPr>
          <w:rFonts w:ascii="AAA GoldenLotus" w:hAnsi="AAA GoldenLotus" w:hint="cs"/>
          <w:sz w:val="27"/>
          <w:rtl/>
        </w:rPr>
        <w:t>فإن</w:t>
      </w:r>
      <w:r w:rsidRPr="00282AC9">
        <w:rPr>
          <w:rFonts w:ascii="AAA GoldenLotus" w:hAnsi="AAA GoldenLotus"/>
          <w:sz w:val="27"/>
          <w:rtl/>
        </w:rPr>
        <w:t xml:space="preserve"> </w:t>
      </w:r>
      <w:r w:rsidRPr="00282AC9">
        <w:rPr>
          <w:rFonts w:ascii="AAA GoldenLotus" w:hAnsi="AAA GoldenLotus" w:hint="cs"/>
          <w:sz w:val="27"/>
          <w:rtl/>
        </w:rPr>
        <w:t>وجودها</w:t>
      </w:r>
      <w:r w:rsidRPr="00282AC9">
        <w:rPr>
          <w:rFonts w:ascii="AAA GoldenLotus" w:hAnsi="AAA GoldenLotus"/>
          <w:sz w:val="27"/>
          <w:rtl/>
        </w:rPr>
        <w:t xml:space="preserve"> </w:t>
      </w:r>
      <w:r w:rsidRPr="00282AC9">
        <w:rPr>
          <w:rFonts w:ascii="AAA GoldenLotus" w:hAnsi="AAA GoldenLotus" w:hint="cs"/>
          <w:sz w:val="27"/>
          <w:rtl/>
        </w:rPr>
        <w:t>لا</w:t>
      </w:r>
      <w:r w:rsidRPr="00282AC9">
        <w:rPr>
          <w:rFonts w:ascii="AAA GoldenLotus" w:hAnsi="AAA GoldenLotus"/>
          <w:sz w:val="27"/>
          <w:rtl/>
        </w:rPr>
        <w:t xml:space="preserve"> </w:t>
      </w:r>
      <w:r w:rsidRPr="00282AC9">
        <w:rPr>
          <w:rFonts w:ascii="AAA GoldenLotus" w:hAnsi="AAA GoldenLotus" w:hint="cs"/>
          <w:sz w:val="27"/>
          <w:rtl/>
        </w:rPr>
        <w:t>يقدح</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كل</w:t>
      </w:r>
      <w:r w:rsidR="006470F1" w:rsidRPr="00282AC9">
        <w:rPr>
          <w:rFonts w:ascii="AAA GoldenLotus" w:hAnsi="AAA GoldenLotus" w:hint="cs"/>
          <w:sz w:val="27"/>
          <w:rtl/>
        </w:rPr>
        <w:t>ِّ</w:t>
      </w:r>
      <w:r w:rsidRPr="00282AC9">
        <w:rPr>
          <w:rFonts w:ascii="AAA GoldenLotus" w:hAnsi="AAA GoldenLotus" w:hint="cs"/>
          <w:sz w:val="27"/>
          <w:rtl/>
        </w:rPr>
        <w:t>ية</w:t>
      </w:r>
      <w:r w:rsidRPr="00282AC9">
        <w:rPr>
          <w:rFonts w:ascii="AAA GoldenLotus" w:hAnsi="AAA GoldenLotus"/>
          <w:sz w:val="27"/>
          <w:rtl/>
        </w:rPr>
        <w:t xml:space="preserve"> </w:t>
      </w:r>
      <w:r w:rsidRPr="00282AC9">
        <w:rPr>
          <w:rFonts w:ascii="AAA GoldenLotus" w:hAnsi="AAA GoldenLotus" w:hint="cs"/>
          <w:sz w:val="27"/>
          <w:rtl/>
        </w:rPr>
        <w:t>القاعدة</w:t>
      </w:r>
      <w:r w:rsidRPr="00282AC9">
        <w:rPr>
          <w:rFonts w:ascii="AAA GoldenLotus" w:hAnsi="AAA GoldenLotus"/>
          <w:sz w:val="27"/>
          <w:rtl/>
        </w:rPr>
        <w:t xml:space="preserve"> </w:t>
      </w:r>
      <w:r w:rsidRPr="00282AC9">
        <w:rPr>
          <w:rFonts w:ascii="AAA GoldenLotus" w:hAnsi="AAA GoldenLotus" w:hint="cs"/>
          <w:sz w:val="27"/>
          <w:rtl/>
        </w:rPr>
        <w:t>بعد</w:t>
      </w:r>
      <w:r w:rsidRPr="00282AC9">
        <w:rPr>
          <w:rFonts w:ascii="AAA GoldenLotus" w:hAnsi="AAA GoldenLotus"/>
          <w:sz w:val="27"/>
          <w:rtl/>
        </w:rPr>
        <w:t xml:space="preserve"> </w:t>
      </w:r>
      <w:r w:rsidRPr="00282AC9">
        <w:rPr>
          <w:rFonts w:ascii="AAA GoldenLotus" w:hAnsi="AAA GoldenLotus" w:hint="cs"/>
          <w:sz w:val="27"/>
          <w:rtl/>
        </w:rPr>
        <w:t>ثبوتها؛</w:t>
      </w:r>
      <w:r w:rsidRPr="00282AC9">
        <w:rPr>
          <w:rFonts w:ascii="AAA GoldenLotus" w:hAnsi="AAA GoldenLotus"/>
          <w:sz w:val="27"/>
          <w:rtl/>
        </w:rPr>
        <w:t xml:space="preserve"> </w:t>
      </w:r>
      <w:r w:rsidRPr="00282AC9">
        <w:rPr>
          <w:rFonts w:ascii="AAA GoldenLotus" w:hAnsi="AAA GoldenLotus" w:hint="cs"/>
          <w:sz w:val="27"/>
          <w:rtl/>
        </w:rPr>
        <w:t>لأن</w:t>
      </w:r>
      <w:r w:rsidRPr="00282AC9">
        <w:rPr>
          <w:rFonts w:ascii="AAA GoldenLotus" w:hAnsi="AAA GoldenLotus"/>
          <w:sz w:val="27"/>
          <w:rtl/>
        </w:rPr>
        <w:t xml:space="preserve"> </w:t>
      </w:r>
      <w:r w:rsidRPr="00282AC9">
        <w:rPr>
          <w:rFonts w:hint="eastAsia"/>
          <w:sz w:val="24"/>
          <w:szCs w:val="24"/>
          <w:rtl/>
        </w:rPr>
        <w:t>«</w:t>
      </w:r>
      <w:r w:rsidRPr="00282AC9">
        <w:rPr>
          <w:rFonts w:ascii="AAA GoldenLotus" w:hAnsi="AAA GoldenLotus" w:hint="cs"/>
          <w:sz w:val="27"/>
          <w:rtl/>
        </w:rPr>
        <w:t>الغالب</w:t>
      </w:r>
      <w:r w:rsidRPr="00282AC9">
        <w:rPr>
          <w:rFonts w:ascii="AAA GoldenLotus" w:hAnsi="AAA GoldenLotus"/>
          <w:sz w:val="27"/>
          <w:rtl/>
        </w:rPr>
        <w:t xml:space="preserve"> </w:t>
      </w:r>
      <w:r w:rsidRPr="00282AC9">
        <w:rPr>
          <w:rFonts w:ascii="AAA GoldenLotus" w:hAnsi="AAA GoldenLotus" w:hint="cs"/>
          <w:sz w:val="27"/>
          <w:rtl/>
        </w:rPr>
        <w:t>الأكثري</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معتبر</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الشريعة</w:t>
      </w:r>
      <w:r w:rsidRPr="00282AC9">
        <w:rPr>
          <w:rFonts w:ascii="AAA GoldenLotus" w:hAnsi="AAA GoldenLotus"/>
          <w:sz w:val="27"/>
          <w:rtl/>
        </w:rPr>
        <w:t xml:space="preserve"> </w:t>
      </w:r>
      <w:r w:rsidRPr="00282AC9">
        <w:rPr>
          <w:rFonts w:ascii="AAA GoldenLotus" w:hAnsi="AAA GoldenLotus" w:hint="cs"/>
          <w:sz w:val="27"/>
          <w:rtl/>
        </w:rPr>
        <w:t>اعتبار</w:t>
      </w:r>
      <w:r w:rsidRPr="00282AC9">
        <w:rPr>
          <w:rFonts w:ascii="AAA GoldenLotus" w:hAnsi="AAA GoldenLotus"/>
          <w:sz w:val="27"/>
          <w:rtl/>
        </w:rPr>
        <w:t xml:space="preserve"> </w:t>
      </w:r>
      <w:r w:rsidRPr="00282AC9">
        <w:rPr>
          <w:rFonts w:ascii="AAA GoldenLotus" w:hAnsi="AAA GoldenLotus" w:hint="cs"/>
          <w:sz w:val="27"/>
          <w:rtl/>
        </w:rPr>
        <w:t>العام</w:t>
      </w:r>
      <w:r w:rsidR="006470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القطعي</w:t>
      </w:r>
      <w:r w:rsidR="006470F1" w:rsidRPr="00282AC9">
        <w:rPr>
          <w:rFonts w:ascii="AAA GoldenLotus" w:hAnsi="AAA GoldenLotus" w:hint="cs"/>
          <w:sz w:val="27"/>
          <w:rtl/>
        </w:rPr>
        <w:t>ّ</w:t>
      </w:r>
      <w:r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لأن</w:t>
      </w:r>
      <w:r w:rsidRPr="00282AC9">
        <w:rPr>
          <w:rFonts w:ascii="AAA GoldenLotus" w:hAnsi="AAA GoldenLotus"/>
          <w:sz w:val="27"/>
          <w:rtl/>
        </w:rPr>
        <w:t xml:space="preserve"> </w:t>
      </w:r>
      <w:r w:rsidRPr="00282AC9">
        <w:rPr>
          <w:rFonts w:ascii="AAA GoldenLotus" w:hAnsi="AAA GoldenLotus" w:hint="cs"/>
          <w:sz w:val="27"/>
          <w:rtl/>
        </w:rPr>
        <w:t>المتخل</w:t>
      </w:r>
      <w:r w:rsidR="006470F1" w:rsidRPr="00282AC9">
        <w:rPr>
          <w:rFonts w:ascii="AAA GoldenLotus" w:hAnsi="AAA GoldenLotus" w:hint="cs"/>
          <w:sz w:val="27"/>
          <w:rtl/>
        </w:rPr>
        <w:t>ّ</w:t>
      </w:r>
      <w:r w:rsidRPr="00282AC9">
        <w:rPr>
          <w:rFonts w:ascii="AAA GoldenLotus" w:hAnsi="AAA GoldenLotus" w:hint="cs"/>
          <w:sz w:val="27"/>
          <w:rtl/>
        </w:rPr>
        <w:t>فات</w:t>
      </w:r>
      <w:r w:rsidRPr="00282AC9">
        <w:rPr>
          <w:rFonts w:ascii="AAA GoldenLotus" w:hAnsi="AAA GoldenLotus"/>
          <w:sz w:val="27"/>
          <w:rtl/>
        </w:rPr>
        <w:t xml:space="preserve"> </w:t>
      </w:r>
      <w:r w:rsidRPr="00282AC9">
        <w:rPr>
          <w:rFonts w:ascii="AAA GoldenLotus" w:hAnsi="AAA GoldenLotus" w:hint="cs"/>
          <w:sz w:val="27"/>
          <w:rtl/>
        </w:rPr>
        <w:t>الجزئي</w:t>
      </w:r>
      <w:r w:rsidR="006470F1" w:rsidRPr="00282AC9">
        <w:rPr>
          <w:rFonts w:ascii="AAA GoldenLotus" w:hAnsi="AAA GoldenLotus" w:hint="cs"/>
          <w:sz w:val="27"/>
          <w:rtl/>
        </w:rPr>
        <w:t>ّ</w:t>
      </w:r>
      <w:r w:rsidRPr="00282AC9">
        <w:rPr>
          <w:rFonts w:ascii="AAA GoldenLotus" w:hAnsi="AAA GoldenLotus" w:hint="cs"/>
          <w:sz w:val="27"/>
          <w:rtl/>
        </w:rPr>
        <w:t>ة</w:t>
      </w:r>
      <w:r w:rsidRPr="00282AC9">
        <w:rPr>
          <w:rFonts w:ascii="AAA GoldenLotus" w:hAnsi="AAA GoldenLotus"/>
          <w:sz w:val="27"/>
          <w:rtl/>
        </w:rPr>
        <w:t xml:space="preserve"> </w:t>
      </w:r>
      <w:r w:rsidRPr="00282AC9">
        <w:rPr>
          <w:rFonts w:ascii="AAA GoldenLotus" w:hAnsi="AAA GoldenLotus" w:hint="cs"/>
          <w:sz w:val="27"/>
          <w:rtl/>
        </w:rPr>
        <w:t>لا</w:t>
      </w:r>
      <w:r w:rsidRPr="00282AC9">
        <w:rPr>
          <w:rFonts w:ascii="AAA GoldenLotus" w:hAnsi="AAA GoldenLotus"/>
          <w:sz w:val="27"/>
          <w:rtl/>
        </w:rPr>
        <w:t xml:space="preserve"> </w:t>
      </w:r>
      <w:r w:rsidRPr="00282AC9">
        <w:rPr>
          <w:rFonts w:ascii="AAA GoldenLotus" w:hAnsi="AAA GoldenLotus" w:hint="cs"/>
          <w:sz w:val="27"/>
          <w:rtl/>
        </w:rPr>
        <w:t>ينتظم</w:t>
      </w:r>
      <w:r w:rsidRPr="00282AC9">
        <w:rPr>
          <w:rFonts w:ascii="AAA GoldenLotus" w:hAnsi="AAA GoldenLotus"/>
          <w:sz w:val="27"/>
          <w:rtl/>
        </w:rPr>
        <w:t xml:space="preserve"> </w:t>
      </w:r>
      <w:r w:rsidRPr="00282AC9">
        <w:rPr>
          <w:rFonts w:ascii="AAA GoldenLotus" w:hAnsi="AAA GoldenLotus" w:hint="cs"/>
          <w:sz w:val="27"/>
          <w:rtl/>
        </w:rPr>
        <w:t>منها</w:t>
      </w:r>
      <w:r w:rsidRPr="00282AC9">
        <w:rPr>
          <w:rFonts w:ascii="AAA GoldenLotus" w:hAnsi="AAA GoldenLotus"/>
          <w:sz w:val="27"/>
          <w:rtl/>
        </w:rPr>
        <w:t xml:space="preserve"> </w:t>
      </w:r>
      <w:r w:rsidRPr="00282AC9">
        <w:rPr>
          <w:rFonts w:ascii="AAA GoldenLotus" w:hAnsi="AAA GoldenLotus" w:hint="cs"/>
          <w:sz w:val="27"/>
          <w:rtl/>
        </w:rPr>
        <w:t>ك</w:t>
      </w:r>
      <w:r w:rsidR="006470F1" w:rsidRPr="00282AC9">
        <w:rPr>
          <w:rFonts w:ascii="AAA GoldenLotus" w:hAnsi="AAA GoldenLotus" w:hint="cs"/>
          <w:sz w:val="27"/>
          <w:rtl/>
        </w:rPr>
        <w:t>ُ</w:t>
      </w:r>
      <w:r w:rsidRPr="00282AC9">
        <w:rPr>
          <w:rFonts w:ascii="AAA GoldenLotus" w:hAnsi="AAA GoldenLotus" w:hint="cs"/>
          <w:sz w:val="27"/>
          <w:rtl/>
        </w:rPr>
        <w:t>ل</w:t>
      </w:r>
      <w:r w:rsidR="006470F1" w:rsidRPr="00282AC9">
        <w:rPr>
          <w:rFonts w:ascii="AAA GoldenLotus" w:hAnsi="AAA GoldenLotus" w:hint="cs"/>
          <w:sz w:val="27"/>
          <w:rtl/>
        </w:rPr>
        <w:t>ِّ</w:t>
      </w:r>
      <w:r w:rsidRPr="00282AC9">
        <w:rPr>
          <w:rFonts w:ascii="AAA GoldenLotus" w:hAnsi="AAA GoldenLotus" w:hint="cs"/>
          <w:sz w:val="27"/>
          <w:rtl/>
        </w:rPr>
        <w:t>ي</w:t>
      </w:r>
      <w:r w:rsidRPr="00282AC9">
        <w:rPr>
          <w:rFonts w:ascii="AAA GoldenLotus" w:hAnsi="AAA GoldenLotus"/>
          <w:sz w:val="27"/>
          <w:rtl/>
        </w:rPr>
        <w:t xml:space="preserve"> </w:t>
      </w:r>
      <w:r w:rsidRPr="00282AC9">
        <w:rPr>
          <w:rFonts w:ascii="AAA GoldenLotus" w:hAnsi="AAA GoldenLotus" w:hint="cs"/>
          <w:sz w:val="27"/>
          <w:rtl/>
        </w:rPr>
        <w:t>يعارض</w:t>
      </w:r>
      <w:r w:rsidRPr="00282AC9">
        <w:rPr>
          <w:rFonts w:ascii="AAA GoldenLotus" w:hAnsi="AAA GoldenLotus"/>
          <w:sz w:val="27"/>
          <w:rtl/>
        </w:rPr>
        <w:t xml:space="preserve"> </w:t>
      </w:r>
      <w:r w:rsidRPr="00282AC9">
        <w:rPr>
          <w:rFonts w:ascii="AAA GoldenLotus" w:hAnsi="AAA GoldenLotus" w:hint="cs"/>
          <w:sz w:val="27"/>
          <w:rtl/>
        </w:rPr>
        <w:t>هذا</w:t>
      </w:r>
      <w:r w:rsidRPr="00282AC9">
        <w:rPr>
          <w:rFonts w:ascii="AAA GoldenLotus" w:hAnsi="AAA GoldenLotus"/>
          <w:sz w:val="27"/>
          <w:rtl/>
        </w:rPr>
        <w:t xml:space="preserve"> </w:t>
      </w:r>
      <w:r w:rsidRPr="00282AC9">
        <w:rPr>
          <w:rFonts w:ascii="AAA GoldenLotus" w:hAnsi="AAA GoldenLotus" w:hint="cs"/>
          <w:sz w:val="27"/>
          <w:rtl/>
        </w:rPr>
        <w:t>الك</w:t>
      </w:r>
      <w:r w:rsidR="006470F1" w:rsidRPr="00282AC9">
        <w:rPr>
          <w:rFonts w:ascii="AAA GoldenLotus" w:hAnsi="AAA GoldenLotus" w:hint="cs"/>
          <w:sz w:val="27"/>
          <w:rtl/>
        </w:rPr>
        <w:t>ُ</w:t>
      </w:r>
      <w:r w:rsidRPr="00282AC9">
        <w:rPr>
          <w:rFonts w:ascii="AAA GoldenLotus" w:hAnsi="AAA GoldenLotus" w:hint="cs"/>
          <w:sz w:val="27"/>
          <w:rtl/>
        </w:rPr>
        <w:t>ل</w:t>
      </w:r>
      <w:r w:rsidR="006470F1" w:rsidRPr="00282AC9">
        <w:rPr>
          <w:rFonts w:ascii="AAA GoldenLotus" w:hAnsi="AAA GoldenLotus" w:hint="cs"/>
          <w:sz w:val="27"/>
          <w:rtl/>
        </w:rPr>
        <w:t>ِّ</w:t>
      </w:r>
      <w:r w:rsidRPr="00282AC9">
        <w:rPr>
          <w:rFonts w:ascii="AAA GoldenLotus" w:hAnsi="AAA GoldenLotus" w:hint="cs"/>
          <w:sz w:val="27"/>
          <w:rtl/>
        </w:rPr>
        <w:t>ي</w:t>
      </w:r>
      <w:r w:rsidRPr="00282AC9">
        <w:rPr>
          <w:rFonts w:ascii="AAA GoldenLotus" w:hAnsi="AAA GoldenLotus"/>
          <w:sz w:val="27"/>
          <w:rtl/>
        </w:rPr>
        <w:t xml:space="preserve"> </w:t>
      </w:r>
      <w:r w:rsidRPr="00282AC9">
        <w:rPr>
          <w:rFonts w:ascii="AAA GoldenLotus" w:hAnsi="AAA GoldenLotus" w:hint="cs"/>
          <w:sz w:val="27"/>
          <w:rtl/>
        </w:rPr>
        <w:t>الثابت</w:t>
      </w:r>
      <w:r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1"/>
      </w:r>
      <w:r w:rsidRPr="00282AC9">
        <w:rPr>
          <w:rFonts w:ascii="AAA GoldenLotus" w:hAnsi="AAA GoldenLotus"/>
          <w:sz w:val="27"/>
          <w:vertAlign w:val="superscript"/>
          <w:rtl/>
        </w:rPr>
        <w:t>)</w:t>
      </w:r>
      <w:r w:rsidR="006470F1" w:rsidRPr="00282AC9">
        <w:rPr>
          <w:rFonts w:ascii="AAA GoldenLotus" w:hAnsi="AAA GoldenLotus" w:hint="cs"/>
          <w:sz w:val="27"/>
          <w:rtl/>
        </w:rPr>
        <w:t>.</w:t>
      </w:r>
      <w:r w:rsidRPr="00282AC9">
        <w:rPr>
          <w:rFonts w:ascii="AAA GoldenLotus" w:hAnsi="AAA GoldenLotus" w:hint="cs"/>
          <w:sz w:val="27"/>
          <w:rtl/>
        </w:rPr>
        <w:t xml:space="preserve"> وعليه</w:t>
      </w:r>
      <w:r w:rsidR="006470F1" w:rsidRPr="00282AC9">
        <w:rPr>
          <w:rFonts w:ascii="AAA GoldenLotus" w:hAnsi="AAA GoldenLotus" w:hint="cs"/>
          <w:sz w:val="27"/>
          <w:rtl/>
        </w:rPr>
        <w:t>،</w:t>
      </w:r>
      <w:r w:rsidRPr="00282AC9">
        <w:rPr>
          <w:rFonts w:ascii="AAA GoldenLotus" w:hAnsi="AAA GoldenLotus" w:hint="cs"/>
          <w:sz w:val="27"/>
          <w:rtl/>
        </w:rPr>
        <w:t xml:space="preserve"> فلا </w:t>
      </w:r>
      <w:r w:rsidR="006A12BC" w:rsidRPr="00282AC9">
        <w:rPr>
          <w:rFonts w:ascii="AAA GoldenLotus" w:hAnsi="AAA GoldenLotus" w:hint="cs"/>
          <w:sz w:val="27"/>
          <w:rtl/>
        </w:rPr>
        <w:t xml:space="preserve">بُدَّ </w:t>
      </w:r>
      <w:r w:rsidRPr="00282AC9">
        <w:rPr>
          <w:rFonts w:ascii="AAA GoldenLotus" w:hAnsi="AAA GoldenLotus" w:hint="cs"/>
          <w:sz w:val="27"/>
          <w:rtl/>
        </w:rPr>
        <w:t>من</w:t>
      </w:r>
      <w:r w:rsidR="006A12BC" w:rsidRPr="00282AC9">
        <w:rPr>
          <w:rFonts w:ascii="AAA GoldenLotus" w:hAnsi="AAA GoldenLotus" w:hint="cs"/>
          <w:sz w:val="27"/>
          <w:rtl/>
        </w:rPr>
        <w:t xml:space="preserve"> </w:t>
      </w:r>
      <w:r w:rsidRPr="00282AC9">
        <w:rPr>
          <w:rFonts w:ascii="AAA GoldenLotus" w:hAnsi="AAA GoldenLotus" w:hint="cs"/>
          <w:sz w:val="27"/>
          <w:rtl/>
        </w:rPr>
        <w:t>أخذ قيد الكل</w:t>
      </w:r>
      <w:r w:rsidR="006470F1" w:rsidRPr="00282AC9">
        <w:rPr>
          <w:rFonts w:ascii="AAA GoldenLotus" w:hAnsi="AAA GoldenLotus" w:hint="cs"/>
          <w:sz w:val="27"/>
          <w:rtl/>
        </w:rPr>
        <w:t>ِّ</w:t>
      </w:r>
      <w:r w:rsidRPr="00282AC9">
        <w:rPr>
          <w:rFonts w:ascii="AAA GoldenLotus" w:hAnsi="AAA GoldenLotus" w:hint="cs"/>
          <w:sz w:val="27"/>
          <w:rtl/>
        </w:rPr>
        <w:t>ية في تعريف القاعدة الفقهية، في</w:t>
      </w:r>
      <w:r w:rsidR="006A12BC" w:rsidRPr="00282AC9">
        <w:rPr>
          <w:rFonts w:ascii="AAA GoldenLotus" w:hAnsi="AAA GoldenLotus" w:hint="cs"/>
          <w:sz w:val="27"/>
          <w:rtl/>
        </w:rPr>
        <w:t>ُ</w:t>
      </w:r>
      <w:r w:rsidRPr="00282AC9">
        <w:rPr>
          <w:rFonts w:ascii="AAA GoldenLotus" w:hAnsi="AAA GoldenLotus" w:hint="cs"/>
          <w:sz w:val="27"/>
          <w:rtl/>
        </w:rPr>
        <w:t xml:space="preserve">قال: </w:t>
      </w:r>
      <w:r w:rsidR="006A12BC" w:rsidRPr="00282AC9">
        <w:rPr>
          <w:rFonts w:ascii="AAA GoldenLotus" w:hAnsi="AAA GoldenLotus" w:hint="cs"/>
          <w:sz w:val="27"/>
          <w:rtl/>
        </w:rPr>
        <w:t>إنها</w:t>
      </w:r>
      <w:r w:rsidRPr="00282AC9">
        <w:rPr>
          <w:rFonts w:ascii="AAA GoldenLotus" w:hAnsi="AAA GoldenLotus" w:hint="cs"/>
          <w:sz w:val="27"/>
          <w:rtl/>
        </w:rPr>
        <w:t xml:space="preserve"> تلك</w:t>
      </w:r>
      <w:r w:rsidRPr="00282AC9">
        <w:rPr>
          <w:rFonts w:ascii="AAA GoldenLotus" w:hAnsi="AAA GoldenLotus"/>
          <w:sz w:val="27"/>
          <w:rtl/>
        </w:rPr>
        <w:t xml:space="preserve"> </w:t>
      </w:r>
      <w:r w:rsidRPr="00282AC9">
        <w:rPr>
          <w:rFonts w:ascii="AAA GoldenLotus" w:hAnsi="AAA GoldenLotus" w:hint="cs"/>
          <w:sz w:val="27"/>
          <w:rtl/>
        </w:rPr>
        <w:t>القواعد</w:t>
      </w:r>
      <w:r w:rsidRPr="00282AC9">
        <w:rPr>
          <w:rFonts w:ascii="AAA GoldenLotus" w:hAnsi="AAA GoldenLotus"/>
          <w:sz w:val="27"/>
          <w:rtl/>
        </w:rPr>
        <w:t xml:space="preserve"> </w:t>
      </w:r>
      <w:r w:rsidRPr="00282AC9">
        <w:rPr>
          <w:rFonts w:ascii="AAA GoldenLotus" w:hAnsi="AAA GoldenLotus" w:hint="cs"/>
          <w:sz w:val="27"/>
          <w:rtl/>
        </w:rPr>
        <w:t>التـي</w:t>
      </w:r>
      <w:r w:rsidRPr="00282AC9">
        <w:rPr>
          <w:rFonts w:ascii="AAA GoldenLotus" w:hAnsi="AAA GoldenLotus"/>
          <w:sz w:val="27"/>
          <w:rtl/>
        </w:rPr>
        <w:t xml:space="preserve"> </w:t>
      </w:r>
      <w:r w:rsidRPr="00282AC9">
        <w:rPr>
          <w:rFonts w:ascii="AAA GoldenLotus" w:hAnsi="AAA GoldenLotus" w:hint="cs"/>
          <w:sz w:val="27"/>
          <w:rtl/>
        </w:rPr>
        <w:t>تتضم</w:t>
      </w:r>
      <w:r w:rsidR="006A12BC" w:rsidRPr="00282AC9">
        <w:rPr>
          <w:rFonts w:ascii="AAA GoldenLotus" w:hAnsi="AAA GoldenLotus" w:hint="cs"/>
          <w:sz w:val="27"/>
          <w:rtl/>
        </w:rPr>
        <w:t>َّ</w:t>
      </w:r>
      <w:r w:rsidRPr="00282AC9">
        <w:rPr>
          <w:rFonts w:ascii="AAA GoldenLotus" w:hAnsi="AAA GoldenLotus" w:hint="cs"/>
          <w:sz w:val="27"/>
          <w:rtl/>
        </w:rPr>
        <w:t>ن</w:t>
      </w:r>
      <w:r w:rsidRPr="00282AC9">
        <w:rPr>
          <w:rFonts w:ascii="AAA GoldenLotus" w:hAnsi="AAA GoldenLotus"/>
          <w:sz w:val="27"/>
          <w:rtl/>
        </w:rPr>
        <w:t xml:space="preserve"> </w:t>
      </w:r>
      <w:r w:rsidRPr="00282AC9">
        <w:rPr>
          <w:rFonts w:ascii="AAA GoldenLotus" w:hAnsi="AAA GoldenLotus" w:hint="cs"/>
          <w:sz w:val="27"/>
          <w:rtl/>
        </w:rPr>
        <w:t>أحكاماً</w:t>
      </w:r>
      <w:r w:rsidRPr="00282AC9">
        <w:rPr>
          <w:rFonts w:ascii="AAA GoldenLotus" w:hAnsi="AAA GoldenLotus"/>
          <w:sz w:val="27"/>
          <w:rtl/>
        </w:rPr>
        <w:t xml:space="preserve"> </w:t>
      </w:r>
      <w:r w:rsidRPr="00282AC9">
        <w:rPr>
          <w:rFonts w:ascii="AAA GoldenLotus" w:hAnsi="AAA GoldenLotus" w:hint="cs"/>
          <w:sz w:val="27"/>
          <w:rtl/>
        </w:rPr>
        <w:t>فقهي</w:t>
      </w:r>
      <w:r w:rsidR="006A12BC" w:rsidRPr="00282AC9">
        <w:rPr>
          <w:rFonts w:ascii="AAA GoldenLotus" w:hAnsi="AAA GoldenLotus" w:hint="cs"/>
          <w:sz w:val="27"/>
          <w:rtl/>
        </w:rPr>
        <w:t>ّ</w:t>
      </w:r>
      <w:r w:rsidRPr="00282AC9">
        <w:rPr>
          <w:rFonts w:ascii="AAA GoldenLotus" w:hAnsi="AAA GoldenLotus" w:hint="cs"/>
          <w:sz w:val="27"/>
          <w:rtl/>
        </w:rPr>
        <w:t>ة</w:t>
      </w:r>
      <w:r w:rsidRPr="00282AC9">
        <w:rPr>
          <w:rFonts w:ascii="AAA GoldenLotus" w:hAnsi="AAA GoldenLotus"/>
          <w:sz w:val="27"/>
          <w:rtl/>
        </w:rPr>
        <w:t xml:space="preserve"> </w:t>
      </w:r>
      <w:r w:rsidRPr="00282AC9">
        <w:rPr>
          <w:rFonts w:ascii="AAA GoldenLotus" w:hAnsi="AAA GoldenLotus" w:hint="cs"/>
          <w:sz w:val="27"/>
          <w:rtl/>
        </w:rPr>
        <w:t>كلّ</w:t>
      </w:r>
      <w:r w:rsidR="006A12BC" w:rsidRPr="00282AC9">
        <w:rPr>
          <w:rFonts w:ascii="AAA GoldenLotus" w:hAnsi="AAA GoldenLotus" w:hint="cs"/>
          <w:sz w:val="27"/>
          <w:rtl/>
        </w:rPr>
        <w:t>ِ</w:t>
      </w:r>
      <w:r w:rsidRPr="00282AC9">
        <w:rPr>
          <w:rFonts w:ascii="AAA GoldenLotus" w:hAnsi="AAA GoldenLotus" w:hint="cs"/>
          <w:sz w:val="27"/>
          <w:rtl/>
        </w:rPr>
        <w:t>يةً</w:t>
      </w:r>
      <w:r w:rsidR="006A12BC"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تنطبق</w:t>
      </w:r>
      <w:r w:rsidRPr="00282AC9">
        <w:rPr>
          <w:rFonts w:ascii="AAA GoldenLotus" w:hAnsi="AAA GoldenLotus"/>
          <w:sz w:val="27"/>
          <w:rtl/>
        </w:rPr>
        <w:t xml:space="preserve"> </w:t>
      </w:r>
      <w:r w:rsidRPr="00282AC9">
        <w:rPr>
          <w:rFonts w:ascii="AAA GoldenLotus" w:hAnsi="AAA GoldenLotus" w:hint="cs"/>
          <w:sz w:val="27"/>
          <w:rtl/>
        </w:rPr>
        <w:t>على</w:t>
      </w:r>
      <w:r w:rsidRPr="00282AC9">
        <w:rPr>
          <w:rFonts w:ascii="AAA GoldenLotus" w:hAnsi="AAA GoldenLotus"/>
          <w:sz w:val="27"/>
          <w:rtl/>
        </w:rPr>
        <w:t xml:space="preserve"> </w:t>
      </w:r>
      <w:r w:rsidRPr="00282AC9">
        <w:rPr>
          <w:rFonts w:ascii="AAA GoldenLotus" w:hAnsi="AAA GoldenLotus" w:hint="cs"/>
          <w:sz w:val="27"/>
          <w:rtl/>
        </w:rPr>
        <w:t>صور</w:t>
      </w:r>
      <w:r w:rsidR="006A12BC"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وحالات</w:t>
      </w:r>
      <w:r w:rsidR="006A12BC"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مختلفة</w:t>
      </w:r>
      <w:r w:rsidR="006A12BC"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ليس</w:t>
      </w:r>
      <w:r w:rsidRPr="00282AC9">
        <w:rPr>
          <w:rFonts w:ascii="AAA GoldenLotus" w:hAnsi="AAA GoldenLotus"/>
          <w:sz w:val="27"/>
          <w:rtl/>
        </w:rPr>
        <w:t xml:space="preserve"> </w:t>
      </w:r>
      <w:r w:rsidRPr="00282AC9">
        <w:rPr>
          <w:rFonts w:ascii="AAA GoldenLotus" w:hAnsi="AAA GoldenLotus" w:hint="cs"/>
          <w:sz w:val="27"/>
          <w:rtl/>
        </w:rPr>
        <w:t>لها</w:t>
      </w:r>
      <w:r w:rsidRPr="00282AC9">
        <w:rPr>
          <w:rFonts w:ascii="AAA GoldenLotus" w:hAnsi="AAA GoldenLotus"/>
          <w:sz w:val="27"/>
          <w:rtl/>
        </w:rPr>
        <w:t xml:space="preserve"> </w:t>
      </w:r>
      <w:r w:rsidRPr="00282AC9">
        <w:rPr>
          <w:rFonts w:ascii="AAA GoldenLotus" w:hAnsi="AAA GoldenLotus" w:hint="cs"/>
          <w:sz w:val="27"/>
          <w:rtl/>
        </w:rPr>
        <w:t>جامع</w:t>
      </w:r>
      <w:r w:rsidR="006A12BC"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إلا</w:t>
      </w:r>
      <w:r w:rsidR="006A12BC"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دخولها</w:t>
      </w:r>
      <w:r w:rsidRPr="00282AC9">
        <w:rPr>
          <w:rFonts w:ascii="AAA GoldenLotus" w:hAnsi="AAA GoldenLotus"/>
          <w:sz w:val="27"/>
          <w:rtl/>
        </w:rPr>
        <w:t xml:space="preserve"> </w:t>
      </w:r>
      <w:r w:rsidRPr="00282AC9">
        <w:rPr>
          <w:rFonts w:ascii="AAA GoldenLotus" w:hAnsi="AAA GoldenLotus" w:hint="cs"/>
          <w:sz w:val="27"/>
          <w:rtl/>
        </w:rPr>
        <w:t>تحت</w:t>
      </w:r>
      <w:r w:rsidRPr="00282AC9">
        <w:rPr>
          <w:rFonts w:ascii="AAA GoldenLotus" w:hAnsi="AAA GoldenLotus"/>
          <w:sz w:val="27"/>
          <w:rtl/>
        </w:rPr>
        <w:t xml:space="preserve"> </w:t>
      </w:r>
      <w:r w:rsidRPr="00282AC9">
        <w:rPr>
          <w:rFonts w:ascii="AAA GoldenLotus" w:hAnsi="AAA GoldenLotus" w:hint="cs"/>
          <w:sz w:val="27"/>
          <w:rtl/>
        </w:rPr>
        <w:t>ضابط</w:t>
      </w:r>
      <w:r w:rsidRPr="00282AC9">
        <w:rPr>
          <w:rFonts w:ascii="AAA GoldenLotus" w:hAnsi="AAA GoldenLotus"/>
          <w:sz w:val="27"/>
          <w:rtl/>
        </w:rPr>
        <w:t xml:space="preserve"> </w:t>
      </w:r>
      <w:r w:rsidRPr="00282AC9">
        <w:rPr>
          <w:rFonts w:ascii="AAA GoldenLotus" w:hAnsi="AAA GoldenLotus" w:hint="cs"/>
          <w:sz w:val="27"/>
          <w:rtl/>
        </w:rPr>
        <w:t>القاعدة</w:t>
      </w:r>
      <w:r w:rsidRPr="00282AC9">
        <w:rPr>
          <w:rFonts w:ascii="AAA GoldenLotus" w:hAnsi="AAA GoldenLotus"/>
          <w:sz w:val="27"/>
          <w:rtl/>
        </w:rPr>
        <w:t>.</w:t>
      </w:r>
    </w:p>
    <w:p w:rsidR="00000866" w:rsidRPr="00282AC9" w:rsidRDefault="00000866" w:rsidP="00000866">
      <w:pPr>
        <w:spacing w:line="430" w:lineRule="exact"/>
        <w:rPr>
          <w:rtl/>
        </w:rPr>
      </w:pPr>
    </w:p>
    <w:p w:rsidR="00E355F2" w:rsidRPr="00282AC9" w:rsidRDefault="00E355F2" w:rsidP="00C32BB1">
      <w:pPr>
        <w:pStyle w:val="31"/>
        <w:rPr>
          <w:color w:val="auto"/>
          <w:rtl/>
        </w:rPr>
      </w:pPr>
      <w:r w:rsidRPr="00282AC9">
        <w:rPr>
          <w:rFonts w:hint="cs"/>
          <w:color w:val="auto"/>
          <w:rtl/>
        </w:rPr>
        <w:t>تعريف الاشتراك</w:t>
      </w:r>
    </w:p>
    <w:p w:rsidR="00E355F2" w:rsidRPr="00282AC9" w:rsidRDefault="00E355F2" w:rsidP="00046546">
      <w:pPr>
        <w:rPr>
          <w:rFonts w:ascii="AAA GoldenLotus" w:hAnsi="AAA GoldenLotus"/>
          <w:sz w:val="27"/>
          <w:rtl/>
        </w:rPr>
      </w:pPr>
      <w:r w:rsidRPr="00282AC9">
        <w:rPr>
          <w:rFonts w:ascii="AAA GoldenLotus" w:hAnsi="AAA GoldenLotus" w:hint="cs"/>
          <w:sz w:val="27"/>
          <w:rtl/>
        </w:rPr>
        <w:t>المقصود</w:t>
      </w:r>
      <w:r w:rsidRPr="00282AC9">
        <w:rPr>
          <w:rFonts w:ascii="AAA GoldenLotus" w:hAnsi="AAA GoldenLotus"/>
          <w:sz w:val="27"/>
          <w:rtl/>
        </w:rPr>
        <w:t xml:space="preserve"> </w:t>
      </w:r>
      <w:r w:rsidRPr="00282AC9">
        <w:rPr>
          <w:rFonts w:ascii="AAA GoldenLotus" w:hAnsi="AAA GoldenLotus" w:hint="cs"/>
          <w:sz w:val="27"/>
          <w:rtl/>
        </w:rPr>
        <w:t>من</w:t>
      </w:r>
      <w:r w:rsidRPr="00282AC9">
        <w:rPr>
          <w:rFonts w:ascii="AAA GoldenLotus" w:hAnsi="AAA GoldenLotus"/>
          <w:sz w:val="27"/>
          <w:rtl/>
        </w:rPr>
        <w:t xml:space="preserve"> </w:t>
      </w:r>
      <w:r w:rsidRPr="00282AC9">
        <w:rPr>
          <w:rFonts w:ascii="AAA GoldenLotus" w:hAnsi="AAA GoldenLotus" w:hint="cs"/>
          <w:sz w:val="27"/>
          <w:rtl/>
        </w:rPr>
        <w:t>الاشتراك</w:t>
      </w:r>
      <w:r w:rsidRPr="00282AC9">
        <w:rPr>
          <w:rFonts w:ascii="AAA GoldenLotus" w:hAnsi="AAA GoldenLotus"/>
          <w:sz w:val="27"/>
          <w:rtl/>
        </w:rPr>
        <w:t xml:space="preserve"> </w:t>
      </w:r>
      <w:r w:rsidRPr="00282AC9">
        <w:rPr>
          <w:rFonts w:ascii="AAA GoldenLotus" w:hAnsi="AAA GoldenLotus" w:hint="cs"/>
          <w:sz w:val="27"/>
          <w:rtl/>
        </w:rPr>
        <w:t>هنا</w:t>
      </w:r>
      <w:r w:rsidRPr="00282AC9">
        <w:rPr>
          <w:rFonts w:ascii="AAA GoldenLotus" w:hAnsi="AAA GoldenLotus"/>
          <w:sz w:val="27"/>
          <w:rtl/>
        </w:rPr>
        <w:t xml:space="preserve"> </w:t>
      </w:r>
      <w:r w:rsidRPr="00282AC9">
        <w:rPr>
          <w:rFonts w:ascii="AAA GoldenLotus" w:hAnsi="AAA GoldenLotus" w:hint="cs"/>
          <w:sz w:val="27"/>
          <w:rtl/>
        </w:rPr>
        <w:t>مشاركة</w:t>
      </w:r>
      <w:r w:rsidRPr="00282AC9">
        <w:rPr>
          <w:rFonts w:ascii="AAA GoldenLotus" w:hAnsi="AAA GoldenLotus"/>
          <w:sz w:val="27"/>
          <w:rtl/>
        </w:rPr>
        <w:t xml:space="preserve"> </w:t>
      </w:r>
      <w:r w:rsidRPr="00282AC9">
        <w:rPr>
          <w:rFonts w:ascii="AAA GoldenLotus" w:hAnsi="AAA GoldenLotus" w:hint="cs"/>
          <w:sz w:val="27"/>
          <w:rtl/>
        </w:rPr>
        <w:t>الرجال والنساء</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الأحكام</w:t>
      </w:r>
      <w:r w:rsidRPr="00282AC9">
        <w:rPr>
          <w:rFonts w:ascii="AAA GoldenLotus" w:hAnsi="AAA GoldenLotus"/>
          <w:sz w:val="27"/>
          <w:rtl/>
        </w:rPr>
        <w:t xml:space="preserve"> </w:t>
      </w:r>
      <w:r w:rsidRPr="00282AC9">
        <w:rPr>
          <w:rFonts w:ascii="AAA GoldenLotus" w:hAnsi="AAA GoldenLotus" w:hint="cs"/>
          <w:sz w:val="27"/>
          <w:rtl/>
        </w:rPr>
        <w:t>الشرعي</w:t>
      </w:r>
      <w:r w:rsidR="006A12BC" w:rsidRPr="00282AC9">
        <w:rPr>
          <w:rFonts w:ascii="AAA GoldenLotus" w:hAnsi="AAA GoldenLotus" w:hint="cs"/>
          <w:sz w:val="27"/>
          <w:rtl/>
        </w:rPr>
        <w:t>ّ</w:t>
      </w:r>
      <w:r w:rsidRPr="00282AC9">
        <w:rPr>
          <w:rFonts w:ascii="AAA GoldenLotus" w:hAnsi="AAA GoldenLotus" w:hint="cs"/>
          <w:sz w:val="27"/>
          <w:rtl/>
        </w:rPr>
        <w:t>ة التي تضم</w:t>
      </w:r>
      <w:r w:rsidR="006A12BC" w:rsidRPr="00282AC9">
        <w:rPr>
          <w:rFonts w:ascii="AAA GoldenLotus" w:hAnsi="AAA GoldenLotus" w:hint="cs"/>
          <w:sz w:val="27"/>
          <w:rtl/>
        </w:rPr>
        <w:t>َّ</w:t>
      </w:r>
      <w:r w:rsidRPr="00282AC9">
        <w:rPr>
          <w:rFonts w:ascii="AAA GoldenLotus" w:hAnsi="AAA GoldenLotus" w:hint="cs"/>
          <w:sz w:val="27"/>
          <w:rtl/>
        </w:rPr>
        <w:t>ن</w:t>
      </w:r>
      <w:r w:rsidR="006A12BC" w:rsidRPr="00282AC9">
        <w:rPr>
          <w:rFonts w:ascii="AAA GoldenLotus" w:hAnsi="AAA GoldenLotus" w:hint="cs"/>
          <w:sz w:val="27"/>
          <w:rtl/>
        </w:rPr>
        <w:t>َ</w:t>
      </w:r>
      <w:r w:rsidRPr="00282AC9">
        <w:rPr>
          <w:rFonts w:ascii="AAA GoldenLotus" w:hAnsi="AAA GoldenLotus" w:hint="cs"/>
          <w:sz w:val="27"/>
          <w:rtl/>
        </w:rPr>
        <w:t>ت</w:t>
      </w:r>
      <w:r w:rsidR="006A12BC" w:rsidRPr="00282AC9">
        <w:rPr>
          <w:rFonts w:ascii="AAA GoldenLotus" w:hAnsi="AAA GoldenLotus" w:hint="cs"/>
          <w:sz w:val="27"/>
          <w:rtl/>
        </w:rPr>
        <w:t>ْ</w:t>
      </w:r>
      <w:r w:rsidRPr="00282AC9">
        <w:rPr>
          <w:rFonts w:ascii="AAA GoldenLotus" w:hAnsi="AAA GoldenLotus" w:hint="cs"/>
          <w:sz w:val="27"/>
          <w:rtl/>
        </w:rPr>
        <w:t>ها الخطابات الشرعية الموج</w:t>
      </w:r>
      <w:r w:rsidR="006A12BC" w:rsidRPr="00282AC9">
        <w:rPr>
          <w:rFonts w:ascii="AAA GoldenLotus" w:hAnsi="AAA GoldenLotus" w:hint="cs"/>
          <w:sz w:val="27"/>
          <w:rtl/>
        </w:rPr>
        <w:t>َّ</w:t>
      </w:r>
      <w:r w:rsidRPr="00282AC9">
        <w:rPr>
          <w:rFonts w:ascii="AAA GoldenLotus" w:hAnsi="AAA GoldenLotus" w:hint="cs"/>
          <w:sz w:val="27"/>
          <w:rtl/>
        </w:rPr>
        <w:t>هة للمكل</w:t>
      </w:r>
      <w:r w:rsidR="006A12BC" w:rsidRPr="00282AC9">
        <w:rPr>
          <w:rFonts w:ascii="AAA GoldenLotus" w:hAnsi="AAA GoldenLotus" w:hint="cs"/>
          <w:sz w:val="27"/>
          <w:rtl/>
        </w:rPr>
        <w:t>َّ</w:t>
      </w:r>
      <w:r w:rsidRPr="00282AC9">
        <w:rPr>
          <w:rFonts w:ascii="AAA GoldenLotus" w:hAnsi="AAA GoldenLotus" w:hint="cs"/>
          <w:sz w:val="27"/>
          <w:rtl/>
        </w:rPr>
        <w:t>فين</w:t>
      </w:r>
      <w:r w:rsidR="006A12BC" w:rsidRPr="00282AC9">
        <w:rPr>
          <w:rFonts w:ascii="AAA GoldenLotus" w:hAnsi="AAA GoldenLotus" w:hint="cs"/>
          <w:sz w:val="27"/>
          <w:rtl/>
        </w:rPr>
        <w:t xml:space="preserve">. </w:t>
      </w:r>
      <w:r w:rsidRPr="00282AC9">
        <w:rPr>
          <w:rFonts w:ascii="AAA GoldenLotus" w:hAnsi="AAA GoldenLotus" w:hint="cs"/>
          <w:sz w:val="27"/>
          <w:rtl/>
        </w:rPr>
        <w:t>ولا ي</w:t>
      </w:r>
      <w:r w:rsidR="006A12BC" w:rsidRPr="00282AC9">
        <w:rPr>
          <w:rFonts w:ascii="AAA GoldenLotus" w:hAnsi="AAA GoldenLotus" w:hint="cs"/>
          <w:sz w:val="27"/>
          <w:rtl/>
        </w:rPr>
        <w:t>ُ</w:t>
      </w:r>
      <w:r w:rsidRPr="00282AC9">
        <w:rPr>
          <w:rFonts w:ascii="AAA GoldenLotus" w:hAnsi="AAA GoldenLotus" w:hint="cs"/>
          <w:sz w:val="27"/>
          <w:rtl/>
        </w:rPr>
        <w:t>راد منه التساوي</w:t>
      </w:r>
      <w:r w:rsidR="006A12BC" w:rsidRPr="00282AC9">
        <w:rPr>
          <w:rFonts w:ascii="AAA GoldenLotus" w:hAnsi="AAA GoldenLotus" w:hint="cs"/>
          <w:sz w:val="27"/>
          <w:rtl/>
        </w:rPr>
        <w:t>،</w:t>
      </w:r>
      <w:r w:rsidRPr="00282AC9">
        <w:rPr>
          <w:rFonts w:ascii="AAA GoldenLotus" w:hAnsi="AAA GoldenLotus" w:hint="cs"/>
          <w:sz w:val="27"/>
          <w:rtl/>
        </w:rPr>
        <w:t xml:space="preserve"> كما يمكن أن يحلو لبعض</w:t>
      </w:r>
      <w:r w:rsidR="006A12BC" w:rsidRPr="00282AC9">
        <w:rPr>
          <w:rFonts w:ascii="AAA GoldenLotus" w:hAnsi="AAA GoldenLotus" w:hint="cs"/>
          <w:sz w:val="27"/>
          <w:rtl/>
        </w:rPr>
        <w:t>ٍ</w:t>
      </w:r>
      <w:r w:rsidRPr="00282AC9">
        <w:rPr>
          <w:rFonts w:ascii="AAA GoldenLotus" w:hAnsi="AAA GoldenLotus" w:hint="cs"/>
          <w:sz w:val="27"/>
          <w:rtl/>
        </w:rPr>
        <w:t xml:space="preserve"> التعبير بالتساوي</w:t>
      </w:r>
      <w:r w:rsidR="006A12BC" w:rsidRPr="00282AC9">
        <w:rPr>
          <w:rFonts w:ascii="AAA GoldenLotus" w:hAnsi="AAA GoldenLotus" w:hint="cs"/>
          <w:sz w:val="27"/>
          <w:rtl/>
        </w:rPr>
        <w:t>،</w:t>
      </w:r>
      <w:r w:rsidRPr="00282AC9">
        <w:rPr>
          <w:rFonts w:ascii="AAA GoldenLotus" w:hAnsi="AAA GoldenLotus" w:hint="cs"/>
          <w:sz w:val="27"/>
          <w:rtl/>
        </w:rPr>
        <w:t xml:space="preserve"> اعتقاداً منه أن ذلك ينسجم مع عدالة الإسلام الأصيل؛ فإن التساوي في كثير</w:t>
      </w:r>
      <w:r w:rsidR="006A12BC" w:rsidRPr="00282AC9">
        <w:rPr>
          <w:rFonts w:ascii="AAA GoldenLotus" w:hAnsi="AAA GoldenLotus" w:hint="cs"/>
          <w:sz w:val="27"/>
          <w:rtl/>
        </w:rPr>
        <w:t>ٍ</w:t>
      </w:r>
      <w:r w:rsidRPr="00282AC9">
        <w:rPr>
          <w:rFonts w:ascii="AAA GoldenLotus" w:hAnsi="AAA GoldenLotus" w:hint="cs"/>
          <w:sz w:val="27"/>
          <w:rtl/>
        </w:rPr>
        <w:t xml:space="preserve"> من الموارد يتنافى مع العدالة، وهو ح</w:t>
      </w:r>
      <w:r w:rsidR="006A12BC" w:rsidRPr="00282AC9">
        <w:rPr>
          <w:rFonts w:ascii="AAA GoldenLotus" w:hAnsi="AAA GoldenLotus" w:hint="cs"/>
          <w:sz w:val="27"/>
          <w:rtl/>
        </w:rPr>
        <w:t>َ</w:t>
      </w:r>
      <w:r w:rsidRPr="00282AC9">
        <w:rPr>
          <w:rFonts w:ascii="AAA GoldenLotus" w:hAnsi="AAA GoldenLotus" w:hint="cs"/>
          <w:sz w:val="27"/>
          <w:rtl/>
        </w:rPr>
        <w:t>ت</w:t>
      </w:r>
      <w:r w:rsidR="006A12BC" w:rsidRPr="00282AC9">
        <w:rPr>
          <w:rFonts w:ascii="AAA GoldenLotus" w:hAnsi="AAA GoldenLotus" w:hint="cs"/>
          <w:sz w:val="27"/>
          <w:rtl/>
        </w:rPr>
        <w:t>ْ</w:t>
      </w:r>
      <w:r w:rsidRPr="00282AC9">
        <w:rPr>
          <w:rFonts w:ascii="AAA GoldenLotus" w:hAnsi="AAA GoldenLotus" w:hint="cs"/>
          <w:sz w:val="27"/>
          <w:rtl/>
        </w:rPr>
        <w:t>ماً ليس مراد</w:t>
      </w:r>
      <w:r w:rsidR="006A12BC" w:rsidRPr="00282AC9">
        <w:rPr>
          <w:rFonts w:ascii="AAA GoldenLotus" w:hAnsi="AAA GoldenLotus" w:hint="cs"/>
          <w:sz w:val="27"/>
          <w:rtl/>
        </w:rPr>
        <w:t>اً</w:t>
      </w:r>
      <w:r w:rsidRPr="00282AC9">
        <w:rPr>
          <w:rFonts w:ascii="AAA GoldenLotus" w:hAnsi="AAA GoldenLotus" w:hint="cs"/>
          <w:sz w:val="27"/>
          <w:rtl/>
        </w:rPr>
        <w:t xml:space="preserve"> للشارع</w:t>
      </w:r>
      <w:r w:rsidR="006A12BC" w:rsidRPr="00282AC9">
        <w:rPr>
          <w:rFonts w:ascii="AAA GoldenLotus" w:hAnsi="AAA GoldenLotus" w:hint="cs"/>
          <w:sz w:val="27"/>
          <w:rtl/>
        </w:rPr>
        <w:t>،</w:t>
      </w:r>
      <w:r w:rsidRPr="00282AC9">
        <w:rPr>
          <w:rFonts w:ascii="AAA GoldenLotus" w:hAnsi="AAA GoldenLotus" w:hint="cs"/>
          <w:sz w:val="27"/>
          <w:rtl/>
        </w:rPr>
        <w:t xml:space="preserve"> كما سيت</w:t>
      </w:r>
      <w:r w:rsidR="006A12BC" w:rsidRPr="00282AC9">
        <w:rPr>
          <w:rFonts w:ascii="AAA GoldenLotus" w:hAnsi="AAA GoldenLotus" w:hint="cs"/>
          <w:sz w:val="27"/>
          <w:rtl/>
        </w:rPr>
        <w:t>َّ</w:t>
      </w:r>
      <w:r w:rsidRPr="00282AC9">
        <w:rPr>
          <w:rFonts w:ascii="AAA GoldenLotus" w:hAnsi="AAA GoldenLotus" w:hint="cs"/>
          <w:sz w:val="27"/>
          <w:rtl/>
        </w:rPr>
        <w:t>ضح ذلك عند بيان مفاد ومضمون القاعدة.</w:t>
      </w:r>
    </w:p>
    <w:p w:rsidR="00000866" w:rsidRPr="00282AC9" w:rsidRDefault="00000866" w:rsidP="00000866">
      <w:pPr>
        <w:spacing w:line="420" w:lineRule="exact"/>
        <w:rPr>
          <w:rtl/>
        </w:rPr>
      </w:pPr>
    </w:p>
    <w:p w:rsidR="00E355F2" w:rsidRPr="00282AC9" w:rsidRDefault="00A36F51" w:rsidP="002B6910">
      <w:pPr>
        <w:pStyle w:val="31"/>
        <w:rPr>
          <w:color w:val="auto"/>
          <w:rtl/>
        </w:rPr>
      </w:pPr>
      <w:r w:rsidRPr="00282AC9">
        <w:rPr>
          <w:rFonts w:hint="cs"/>
          <w:color w:val="auto"/>
          <w:rtl/>
        </w:rPr>
        <w:t xml:space="preserve">2ـ </w:t>
      </w:r>
      <w:r w:rsidR="009567B7" w:rsidRPr="00282AC9">
        <w:rPr>
          <w:rFonts w:hint="cs"/>
          <w:color w:val="auto"/>
          <w:rtl/>
        </w:rPr>
        <w:t>الصيغ المتعدِّدة</w:t>
      </w:r>
      <w:r w:rsidR="00E355F2" w:rsidRPr="00282AC9">
        <w:rPr>
          <w:color w:val="auto"/>
          <w:rtl/>
        </w:rPr>
        <w:t xml:space="preserve"> </w:t>
      </w:r>
      <w:r w:rsidR="009567B7" w:rsidRPr="00282AC9">
        <w:rPr>
          <w:rFonts w:hint="cs"/>
          <w:color w:val="auto"/>
          <w:rtl/>
        </w:rPr>
        <w:t>ل</w:t>
      </w:r>
      <w:r w:rsidR="00E355F2" w:rsidRPr="00282AC9">
        <w:rPr>
          <w:color w:val="auto"/>
          <w:rtl/>
        </w:rPr>
        <w:t xml:space="preserve">قاعدة الاشتراك </w:t>
      </w:r>
    </w:p>
    <w:p w:rsidR="00392A75" w:rsidRPr="00282AC9" w:rsidRDefault="00E355F2" w:rsidP="00046546">
      <w:pPr>
        <w:rPr>
          <w:rFonts w:ascii="AAA GoldenLotus" w:hAnsi="AAA GoldenLotus"/>
          <w:sz w:val="27"/>
          <w:rtl/>
        </w:rPr>
      </w:pPr>
      <w:r w:rsidRPr="00282AC9">
        <w:rPr>
          <w:rFonts w:ascii="AAA GoldenLotus" w:hAnsi="AAA GoldenLotus"/>
          <w:sz w:val="27"/>
          <w:rtl/>
        </w:rPr>
        <w:t>لا يخفى أنّ صياغة عنوان أي</w:t>
      </w:r>
      <w:r w:rsidR="006A12BC" w:rsidRPr="00282AC9">
        <w:rPr>
          <w:rFonts w:ascii="AAA GoldenLotus" w:hAnsi="AAA GoldenLotus" w:hint="cs"/>
          <w:sz w:val="27"/>
          <w:rtl/>
        </w:rPr>
        <w:t>ّ</w:t>
      </w:r>
      <w:r w:rsidRPr="00282AC9">
        <w:rPr>
          <w:rFonts w:ascii="AAA GoldenLotus" w:hAnsi="AAA GoldenLotus"/>
          <w:sz w:val="27"/>
          <w:rtl/>
        </w:rPr>
        <w:t xml:space="preserve"> قاعدة</w:t>
      </w:r>
      <w:r w:rsidR="006A12BC" w:rsidRPr="00282AC9">
        <w:rPr>
          <w:rFonts w:ascii="AAA GoldenLotus" w:hAnsi="AAA GoldenLotus" w:hint="cs"/>
          <w:sz w:val="27"/>
          <w:rtl/>
        </w:rPr>
        <w:t>ٍ</w:t>
      </w:r>
      <w:r w:rsidRPr="00282AC9">
        <w:rPr>
          <w:rFonts w:ascii="AAA GoldenLotus" w:hAnsi="AAA GoldenLotus"/>
          <w:sz w:val="27"/>
          <w:rtl/>
        </w:rPr>
        <w:t xml:space="preserve"> فقهية يعتبر ذا أهم</w:t>
      </w:r>
      <w:r w:rsidR="006A12BC" w:rsidRPr="00282AC9">
        <w:rPr>
          <w:rFonts w:ascii="AAA GoldenLotus" w:hAnsi="AAA GoldenLotus" w:hint="cs"/>
          <w:sz w:val="27"/>
          <w:rtl/>
        </w:rPr>
        <w:t>ِّ</w:t>
      </w:r>
      <w:r w:rsidRPr="00282AC9">
        <w:rPr>
          <w:rFonts w:ascii="AAA GoldenLotus" w:hAnsi="AAA GoldenLotus"/>
          <w:sz w:val="27"/>
          <w:rtl/>
        </w:rPr>
        <w:t>ية</w:t>
      </w:r>
      <w:r w:rsidR="006A12BC" w:rsidRPr="00282AC9">
        <w:rPr>
          <w:rFonts w:ascii="AAA GoldenLotus" w:hAnsi="AAA GoldenLotus" w:hint="cs"/>
          <w:sz w:val="27"/>
          <w:rtl/>
        </w:rPr>
        <w:t>ٍ</w:t>
      </w:r>
      <w:r w:rsidRPr="00282AC9">
        <w:rPr>
          <w:rFonts w:ascii="AAA GoldenLotus" w:hAnsi="AAA GoldenLotus"/>
          <w:sz w:val="27"/>
          <w:rtl/>
        </w:rPr>
        <w:t xml:space="preserve"> بالغة</w:t>
      </w:r>
      <w:r w:rsidR="006A12BC" w:rsidRPr="00282AC9">
        <w:rPr>
          <w:rFonts w:ascii="AAA GoldenLotus" w:hAnsi="AAA GoldenLotus" w:hint="cs"/>
          <w:sz w:val="27"/>
          <w:rtl/>
        </w:rPr>
        <w:t>.</w:t>
      </w:r>
      <w:r w:rsidRPr="00282AC9">
        <w:rPr>
          <w:rFonts w:ascii="AAA GoldenLotus" w:hAnsi="AAA GoldenLotus"/>
          <w:sz w:val="27"/>
          <w:rtl/>
        </w:rPr>
        <w:t xml:space="preserve"> لذلك </w:t>
      </w:r>
      <w:r w:rsidR="00674EF5" w:rsidRPr="00282AC9">
        <w:rPr>
          <w:rFonts w:ascii="AAA GoldenLotus" w:hAnsi="AAA GoldenLotus"/>
          <w:sz w:val="27"/>
          <w:rtl/>
        </w:rPr>
        <w:t>لا بُدَّ</w:t>
      </w:r>
      <w:r w:rsidRPr="00282AC9">
        <w:rPr>
          <w:rFonts w:ascii="AAA GoldenLotus" w:hAnsi="AAA GoldenLotus"/>
          <w:sz w:val="27"/>
          <w:rtl/>
        </w:rPr>
        <w:t xml:space="preserve"> أن </w:t>
      </w:r>
      <w:r w:rsidRPr="00282AC9">
        <w:rPr>
          <w:rFonts w:ascii="AAA GoldenLotus" w:hAnsi="AAA GoldenLotus" w:hint="cs"/>
          <w:sz w:val="27"/>
          <w:rtl/>
        </w:rPr>
        <w:t>ت</w:t>
      </w:r>
      <w:r w:rsidRPr="00282AC9">
        <w:rPr>
          <w:rFonts w:ascii="AAA GoldenLotus" w:hAnsi="AAA GoldenLotus"/>
          <w:sz w:val="27"/>
          <w:rtl/>
        </w:rPr>
        <w:t>كون</w:t>
      </w:r>
      <w:r w:rsidRPr="00282AC9">
        <w:rPr>
          <w:rFonts w:ascii="AAA GoldenLotus" w:hAnsi="AAA GoldenLotus" w:hint="cs"/>
          <w:sz w:val="27"/>
          <w:rtl/>
        </w:rPr>
        <w:t xml:space="preserve"> صياغة</w:t>
      </w:r>
      <w:r w:rsidR="006A12BC" w:rsidRPr="00282AC9">
        <w:rPr>
          <w:rFonts w:ascii="AAA GoldenLotus" w:hAnsi="AAA GoldenLotus" w:hint="cs"/>
          <w:sz w:val="27"/>
          <w:rtl/>
        </w:rPr>
        <w:t>ُ</w:t>
      </w:r>
      <w:r w:rsidRPr="00282AC9">
        <w:rPr>
          <w:rFonts w:ascii="AAA GoldenLotus" w:hAnsi="AAA GoldenLotus"/>
          <w:sz w:val="27"/>
          <w:rtl/>
        </w:rPr>
        <w:t xml:space="preserve"> عنوان القاعدة </w:t>
      </w:r>
      <w:r w:rsidRPr="00282AC9">
        <w:rPr>
          <w:rFonts w:ascii="AAA GoldenLotus" w:hAnsi="AAA GoldenLotus" w:hint="cs"/>
          <w:sz w:val="27"/>
          <w:rtl/>
        </w:rPr>
        <w:t>ـ على شاكلة الماد</w:t>
      </w:r>
      <w:r w:rsidR="006A12BC" w:rsidRPr="00282AC9">
        <w:rPr>
          <w:rFonts w:ascii="AAA GoldenLotus" w:hAnsi="AAA GoldenLotus" w:hint="cs"/>
          <w:sz w:val="27"/>
          <w:rtl/>
        </w:rPr>
        <w:t>ّ</w:t>
      </w:r>
      <w:r w:rsidRPr="00282AC9">
        <w:rPr>
          <w:rFonts w:ascii="AAA GoldenLotus" w:hAnsi="AAA GoldenLotus" w:hint="cs"/>
          <w:sz w:val="27"/>
          <w:rtl/>
        </w:rPr>
        <w:t>ة القانونية ـ</w:t>
      </w:r>
      <w:r w:rsidRPr="00282AC9">
        <w:rPr>
          <w:rFonts w:ascii="AAA GoldenLotus" w:hAnsi="AAA GoldenLotus"/>
          <w:sz w:val="27"/>
          <w:rtl/>
        </w:rPr>
        <w:t xml:space="preserve"> بعبارات</w:t>
      </w:r>
      <w:r w:rsidR="006A12BC" w:rsidRPr="00282AC9">
        <w:rPr>
          <w:rFonts w:ascii="AAA GoldenLotus" w:hAnsi="AAA GoldenLotus" w:hint="cs"/>
          <w:sz w:val="27"/>
          <w:rtl/>
        </w:rPr>
        <w:t>ٍ</w:t>
      </w:r>
      <w:r w:rsidRPr="00282AC9">
        <w:rPr>
          <w:rFonts w:ascii="AAA GoldenLotus" w:hAnsi="AAA GoldenLotus"/>
          <w:sz w:val="27"/>
          <w:rtl/>
        </w:rPr>
        <w:t xml:space="preserve"> موج</w:t>
      </w:r>
      <w:r w:rsidR="006A12BC" w:rsidRPr="00282AC9">
        <w:rPr>
          <w:rFonts w:ascii="AAA GoldenLotus" w:hAnsi="AAA GoldenLotus" w:hint="cs"/>
          <w:sz w:val="27"/>
          <w:rtl/>
        </w:rPr>
        <w:t>َ</w:t>
      </w:r>
      <w:r w:rsidRPr="00282AC9">
        <w:rPr>
          <w:rFonts w:ascii="AAA GoldenLotus" w:hAnsi="AAA GoldenLotus"/>
          <w:sz w:val="27"/>
          <w:rtl/>
        </w:rPr>
        <w:t>زة</w:t>
      </w:r>
      <w:r w:rsidRPr="00282AC9">
        <w:rPr>
          <w:rFonts w:ascii="AAA GoldenLotus" w:hAnsi="AAA GoldenLotus" w:hint="cs"/>
          <w:sz w:val="27"/>
          <w:rtl/>
        </w:rPr>
        <w:t xml:space="preserve">، </w:t>
      </w:r>
      <w:r w:rsidRPr="00282AC9">
        <w:rPr>
          <w:rFonts w:ascii="AAA GoldenLotus" w:hAnsi="AAA GoldenLotus"/>
          <w:sz w:val="27"/>
          <w:rtl/>
        </w:rPr>
        <w:t>وجمل</w:t>
      </w:r>
      <w:r w:rsidR="006A12BC" w:rsidRPr="00282AC9">
        <w:rPr>
          <w:rFonts w:ascii="AAA GoldenLotus" w:hAnsi="AAA GoldenLotus" w:hint="cs"/>
          <w:sz w:val="27"/>
          <w:rtl/>
        </w:rPr>
        <w:t>ٍ</w:t>
      </w:r>
      <w:r w:rsidRPr="00282AC9">
        <w:rPr>
          <w:rFonts w:ascii="AAA GoldenLotus" w:hAnsi="AAA GoldenLotus"/>
          <w:sz w:val="27"/>
          <w:rtl/>
        </w:rPr>
        <w:t xml:space="preserve"> مصقولة</w:t>
      </w:r>
      <w:r w:rsidR="006A12BC" w:rsidRPr="00282AC9">
        <w:rPr>
          <w:rFonts w:ascii="AAA GoldenLotus" w:hAnsi="AAA GoldenLotus" w:hint="cs"/>
          <w:sz w:val="27"/>
          <w:rtl/>
        </w:rPr>
        <w:t>،</w:t>
      </w:r>
      <w:r w:rsidRPr="00282AC9">
        <w:rPr>
          <w:rFonts w:ascii="AAA GoldenLotus" w:hAnsi="AAA GoldenLotus"/>
          <w:sz w:val="27"/>
          <w:rtl/>
        </w:rPr>
        <w:t xml:space="preserve"> مع عموم المعنى</w:t>
      </w:r>
      <w:r w:rsidR="006A12BC" w:rsidRPr="00282AC9">
        <w:rPr>
          <w:rFonts w:ascii="AAA GoldenLotus" w:hAnsi="AAA GoldenLotus" w:hint="cs"/>
          <w:sz w:val="27"/>
          <w:rtl/>
        </w:rPr>
        <w:t xml:space="preserve">، </w:t>
      </w:r>
      <w:r w:rsidRPr="00282AC9">
        <w:rPr>
          <w:rFonts w:ascii="AAA GoldenLotus" w:hAnsi="AAA GoldenLotus"/>
          <w:sz w:val="27"/>
          <w:rtl/>
        </w:rPr>
        <w:t>والاستيعاب للفروع الجزئية</w:t>
      </w:r>
      <w:r w:rsidR="00392A75" w:rsidRPr="00282AC9">
        <w:rPr>
          <w:rFonts w:ascii="AAA GoldenLotus" w:hAnsi="AAA GoldenLotus" w:hint="cs"/>
          <w:sz w:val="27"/>
          <w:rtl/>
        </w:rPr>
        <w:t xml:space="preserve"> ـ</w:t>
      </w:r>
      <w:r w:rsidRPr="00282AC9">
        <w:rPr>
          <w:rFonts w:ascii="AAA GoldenLotus" w:hAnsi="AAA GoldenLotus"/>
          <w:sz w:val="27"/>
          <w:rtl/>
        </w:rPr>
        <w:t xml:space="preserve"> هذه الفروع الجزئي</w:t>
      </w:r>
      <w:r w:rsidR="006A12BC" w:rsidRPr="00282AC9">
        <w:rPr>
          <w:rFonts w:ascii="AAA GoldenLotus" w:hAnsi="AAA GoldenLotus" w:hint="cs"/>
          <w:sz w:val="27"/>
          <w:rtl/>
        </w:rPr>
        <w:t>ّ</w:t>
      </w:r>
      <w:r w:rsidRPr="00282AC9">
        <w:rPr>
          <w:rFonts w:ascii="AAA GoldenLotus" w:hAnsi="AAA GoldenLotus"/>
          <w:sz w:val="27"/>
          <w:rtl/>
        </w:rPr>
        <w:t>ة المشت</w:t>
      </w:r>
      <w:r w:rsidR="006A12BC" w:rsidRPr="00282AC9">
        <w:rPr>
          <w:rFonts w:ascii="AAA GoldenLotus" w:hAnsi="AAA GoldenLotus" w:hint="cs"/>
          <w:sz w:val="27"/>
          <w:rtl/>
        </w:rPr>
        <w:t>َّ</w:t>
      </w:r>
      <w:r w:rsidRPr="00282AC9">
        <w:rPr>
          <w:rFonts w:ascii="AAA GoldenLotus" w:hAnsi="AAA GoldenLotus"/>
          <w:sz w:val="27"/>
          <w:rtl/>
        </w:rPr>
        <w:t>تة</w:t>
      </w:r>
      <w:r w:rsidR="006A12BC" w:rsidRPr="00282AC9">
        <w:rPr>
          <w:rFonts w:ascii="AAA GoldenLotus" w:hAnsi="AAA GoldenLotus" w:hint="cs"/>
          <w:sz w:val="27"/>
          <w:rtl/>
        </w:rPr>
        <w:t>،</w:t>
      </w:r>
      <w:r w:rsidRPr="00282AC9">
        <w:rPr>
          <w:rFonts w:ascii="AAA GoldenLotus" w:hAnsi="AAA GoldenLotus"/>
          <w:sz w:val="27"/>
          <w:rtl/>
        </w:rPr>
        <w:t xml:space="preserve"> التي قد تتعارض ظواهرها </w:t>
      </w:r>
      <w:r w:rsidR="00392A75" w:rsidRPr="00282AC9">
        <w:rPr>
          <w:rFonts w:ascii="AAA GoldenLotus" w:hAnsi="AAA GoldenLotus" w:hint="cs"/>
          <w:sz w:val="27"/>
          <w:rtl/>
        </w:rPr>
        <w:t xml:space="preserve">ـ </w:t>
      </w:r>
      <w:r w:rsidRPr="00282AC9">
        <w:rPr>
          <w:rFonts w:ascii="AAA GoldenLotus" w:hAnsi="AAA GoldenLotus"/>
          <w:sz w:val="27"/>
          <w:rtl/>
        </w:rPr>
        <w:t>تحت رابط</w:t>
      </w:r>
      <w:r w:rsidR="006A12BC" w:rsidRPr="00282AC9">
        <w:rPr>
          <w:rFonts w:ascii="AAA GoldenLotus" w:hAnsi="AAA GoldenLotus" w:hint="cs"/>
          <w:sz w:val="27"/>
          <w:rtl/>
        </w:rPr>
        <w:t>ٍ</w:t>
      </w:r>
      <w:r w:rsidRPr="00282AC9">
        <w:rPr>
          <w:rFonts w:ascii="AAA GoldenLotus" w:hAnsi="AAA GoldenLotus"/>
          <w:sz w:val="27"/>
          <w:rtl/>
        </w:rPr>
        <w:t xml:space="preserve"> واحد</w:t>
      </w:r>
      <w:r w:rsidR="006A12BC" w:rsidRPr="00282AC9">
        <w:rPr>
          <w:rFonts w:ascii="AAA GoldenLotus" w:hAnsi="AAA GoldenLotus" w:hint="cs"/>
          <w:sz w:val="27"/>
          <w:rtl/>
        </w:rPr>
        <w:t>ٍ،</w:t>
      </w:r>
      <w:r w:rsidRPr="00282AC9">
        <w:rPr>
          <w:rFonts w:ascii="AAA GoldenLotus" w:hAnsi="AAA GoldenLotus"/>
          <w:sz w:val="27"/>
          <w:rtl/>
        </w:rPr>
        <w:t xml:space="preserve"> فإذا ج</w:t>
      </w:r>
      <w:r w:rsidR="00392A75" w:rsidRPr="00282AC9">
        <w:rPr>
          <w:rFonts w:ascii="AAA GoldenLotus" w:hAnsi="AAA GoldenLotus" w:hint="cs"/>
          <w:sz w:val="27"/>
          <w:rtl/>
        </w:rPr>
        <w:t>ُ</w:t>
      </w:r>
      <w:r w:rsidRPr="00282AC9">
        <w:rPr>
          <w:rFonts w:ascii="AAA GoldenLotus" w:hAnsi="AAA GoldenLotus"/>
          <w:sz w:val="27"/>
          <w:rtl/>
        </w:rPr>
        <w:t>عل</w:t>
      </w:r>
      <w:r w:rsidR="00392A75" w:rsidRPr="00282AC9">
        <w:rPr>
          <w:rFonts w:ascii="AAA GoldenLotus" w:hAnsi="AAA GoldenLotus" w:hint="cs"/>
          <w:sz w:val="27"/>
          <w:rtl/>
        </w:rPr>
        <w:t>َ</w:t>
      </w:r>
      <w:r w:rsidRPr="00282AC9">
        <w:rPr>
          <w:rFonts w:ascii="AAA GoldenLotus" w:hAnsi="AAA GoldenLotus"/>
          <w:sz w:val="27"/>
          <w:rtl/>
        </w:rPr>
        <w:t>ت</w:t>
      </w:r>
      <w:r w:rsidR="00392A75" w:rsidRPr="00282AC9">
        <w:rPr>
          <w:rFonts w:ascii="AAA GoldenLotus" w:hAnsi="AAA GoldenLotus" w:hint="cs"/>
          <w:sz w:val="27"/>
          <w:rtl/>
        </w:rPr>
        <w:t>ْ</w:t>
      </w:r>
      <w:r w:rsidRPr="00282AC9">
        <w:rPr>
          <w:rFonts w:ascii="AAA GoldenLotus" w:hAnsi="AAA GoldenLotus"/>
          <w:sz w:val="27"/>
          <w:rtl/>
        </w:rPr>
        <w:t xml:space="preserve"> هذه الأحكام المتناظرة والمسائل المتشابهة في تراكيب عام</w:t>
      </w:r>
      <w:r w:rsidR="00392A75" w:rsidRPr="00282AC9">
        <w:rPr>
          <w:rFonts w:ascii="AAA GoldenLotus" w:hAnsi="AAA GoldenLotus" w:hint="cs"/>
          <w:sz w:val="27"/>
          <w:rtl/>
        </w:rPr>
        <w:t>ّ</w:t>
      </w:r>
      <w:r w:rsidRPr="00282AC9">
        <w:rPr>
          <w:rFonts w:ascii="AAA GoldenLotus" w:hAnsi="AAA GoldenLotus"/>
          <w:sz w:val="27"/>
          <w:rtl/>
        </w:rPr>
        <w:t>ة</w:t>
      </w:r>
      <w:r w:rsidR="00392A75" w:rsidRPr="00282AC9">
        <w:rPr>
          <w:rFonts w:ascii="AAA GoldenLotus" w:hAnsi="AAA GoldenLotus" w:hint="cs"/>
          <w:sz w:val="27"/>
          <w:rtl/>
        </w:rPr>
        <w:t>ٍ</w:t>
      </w:r>
      <w:r w:rsidRPr="00282AC9">
        <w:rPr>
          <w:rFonts w:ascii="AAA GoldenLotus" w:hAnsi="AAA GoldenLotus"/>
          <w:sz w:val="27"/>
          <w:rtl/>
        </w:rPr>
        <w:t xml:space="preserve"> وشاملة</w:t>
      </w:r>
      <w:r w:rsidR="00392A75" w:rsidRPr="00282AC9">
        <w:rPr>
          <w:rFonts w:ascii="AAA GoldenLotus" w:hAnsi="AAA GoldenLotus" w:hint="cs"/>
          <w:sz w:val="27"/>
          <w:rtl/>
        </w:rPr>
        <w:t xml:space="preserve"> </w:t>
      </w:r>
      <w:r w:rsidRPr="00282AC9">
        <w:rPr>
          <w:rFonts w:ascii="AAA GoldenLotus" w:hAnsi="AAA GoldenLotus"/>
          <w:sz w:val="27"/>
          <w:rtl/>
        </w:rPr>
        <w:t>يصبح الرجوع إليها س</w:t>
      </w:r>
      <w:r w:rsidR="00392A75" w:rsidRPr="00282AC9">
        <w:rPr>
          <w:rFonts w:ascii="AAA GoldenLotus" w:hAnsi="AAA GoldenLotus" w:hint="cs"/>
          <w:sz w:val="27"/>
          <w:rtl/>
        </w:rPr>
        <w:t>َ</w:t>
      </w:r>
      <w:r w:rsidRPr="00282AC9">
        <w:rPr>
          <w:rFonts w:ascii="AAA GoldenLotus" w:hAnsi="AAA GoldenLotus"/>
          <w:sz w:val="27"/>
          <w:rtl/>
        </w:rPr>
        <w:t>ه</w:t>
      </w:r>
      <w:r w:rsidR="00392A75" w:rsidRPr="00282AC9">
        <w:rPr>
          <w:rFonts w:ascii="AAA GoldenLotus" w:hAnsi="AAA GoldenLotus" w:hint="cs"/>
          <w:sz w:val="27"/>
          <w:rtl/>
        </w:rPr>
        <w:t>ْ</w:t>
      </w:r>
      <w:r w:rsidR="00392A75" w:rsidRPr="00282AC9">
        <w:rPr>
          <w:rFonts w:ascii="AAA GoldenLotus" w:hAnsi="AAA GoldenLotus"/>
          <w:sz w:val="27"/>
          <w:rtl/>
        </w:rPr>
        <w:t>لاً يسيراً.</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وقد </w:t>
      </w:r>
      <w:r w:rsidRPr="00282AC9">
        <w:rPr>
          <w:rFonts w:ascii="AAA GoldenLotus" w:hAnsi="AAA GoldenLotus" w:hint="cs"/>
          <w:sz w:val="27"/>
          <w:rtl/>
        </w:rPr>
        <w:t>ت</w:t>
      </w:r>
      <w:r w:rsidRPr="00282AC9">
        <w:rPr>
          <w:rFonts w:ascii="AAA GoldenLotus" w:hAnsi="AAA GoldenLotus"/>
          <w:sz w:val="27"/>
          <w:rtl/>
        </w:rPr>
        <w:t>ختلف صياغة عنوان القواعد الفقهية من مذهب</w:t>
      </w:r>
      <w:r w:rsidR="00392A75" w:rsidRPr="00282AC9">
        <w:rPr>
          <w:rFonts w:ascii="AAA GoldenLotus" w:hAnsi="AAA GoldenLotus" w:hint="cs"/>
          <w:sz w:val="27"/>
          <w:rtl/>
        </w:rPr>
        <w:t>ٍ</w:t>
      </w:r>
      <w:r w:rsidRPr="00282AC9">
        <w:rPr>
          <w:rFonts w:ascii="AAA GoldenLotus" w:hAnsi="AAA GoldenLotus"/>
          <w:sz w:val="27"/>
          <w:rtl/>
        </w:rPr>
        <w:t xml:space="preserve"> </w:t>
      </w:r>
      <w:r w:rsidR="00392A75" w:rsidRPr="00282AC9">
        <w:rPr>
          <w:rFonts w:ascii="AAA GoldenLotus" w:hAnsi="AAA GoldenLotus" w:hint="cs"/>
          <w:sz w:val="27"/>
          <w:rtl/>
        </w:rPr>
        <w:t>إ</w:t>
      </w:r>
      <w:r w:rsidRPr="00282AC9">
        <w:rPr>
          <w:rFonts w:ascii="AAA GoldenLotus" w:hAnsi="AAA GoldenLotus"/>
          <w:sz w:val="27"/>
          <w:rtl/>
        </w:rPr>
        <w:t>لى آخر</w:t>
      </w:r>
      <w:r w:rsidR="00392A75" w:rsidRPr="00282AC9">
        <w:rPr>
          <w:rFonts w:ascii="AAA GoldenLotus" w:hAnsi="AAA GoldenLotus" w:hint="cs"/>
          <w:sz w:val="27"/>
          <w:rtl/>
        </w:rPr>
        <w:t>،</w:t>
      </w:r>
      <w:r w:rsidRPr="00282AC9">
        <w:rPr>
          <w:rFonts w:ascii="AAA GoldenLotus" w:hAnsi="AAA GoldenLotus"/>
          <w:sz w:val="27"/>
          <w:rtl/>
        </w:rPr>
        <w:t xml:space="preserve"> إلا</w:t>
      </w:r>
      <w:r w:rsidR="00392A75" w:rsidRPr="00282AC9">
        <w:rPr>
          <w:rFonts w:ascii="AAA GoldenLotus" w:hAnsi="AAA GoldenLotus" w:hint="cs"/>
          <w:sz w:val="27"/>
          <w:rtl/>
        </w:rPr>
        <w:t>ّ</w:t>
      </w:r>
      <w:r w:rsidRPr="00282AC9">
        <w:rPr>
          <w:rFonts w:ascii="AAA GoldenLotus" w:hAnsi="AAA GoldenLotus"/>
          <w:sz w:val="27"/>
          <w:rtl/>
        </w:rPr>
        <w:t xml:space="preserve"> أنّ المحتوى</w:t>
      </w:r>
      <w:r w:rsidRPr="00282AC9">
        <w:rPr>
          <w:rFonts w:ascii="AAA GoldenLotus" w:hAnsi="AAA GoldenLotus" w:hint="cs"/>
          <w:sz w:val="27"/>
          <w:rtl/>
        </w:rPr>
        <w:t xml:space="preserve"> </w:t>
      </w:r>
      <w:r w:rsidRPr="00282AC9">
        <w:rPr>
          <w:rFonts w:ascii="AAA GoldenLotus" w:hAnsi="AAA GoldenLotus" w:hint="cs"/>
          <w:sz w:val="27"/>
          <w:rtl/>
        </w:rPr>
        <w:lastRenderedPageBreak/>
        <w:t>والمضمون</w:t>
      </w:r>
      <w:r w:rsidRPr="00282AC9">
        <w:rPr>
          <w:rFonts w:ascii="AAA GoldenLotus" w:hAnsi="AAA GoldenLotus"/>
          <w:sz w:val="27"/>
          <w:rtl/>
        </w:rPr>
        <w:t xml:space="preserve"> يبقى واحداً</w:t>
      </w:r>
      <w:r w:rsidR="00392A75"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فمثلاً</w:t>
      </w:r>
      <w:r w:rsidR="00392A75" w:rsidRPr="00282AC9">
        <w:rPr>
          <w:rFonts w:ascii="AAA GoldenLotus" w:hAnsi="AAA GoldenLotus" w:hint="cs"/>
          <w:sz w:val="27"/>
          <w:rtl/>
        </w:rPr>
        <w:t>:</w:t>
      </w:r>
      <w:r w:rsidRPr="00282AC9">
        <w:rPr>
          <w:rFonts w:ascii="AAA GoldenLotus" w:hAnsi="AAA GoldenLotus" w:hint="cs"/>
          <w:sz w:val="27"/>
          <w:rtl/>
        </w:rPr>
        <w:t xml:space="preserve"> </w:t>
      </w:r>
      <w:r w:rsidRPr="00282AC9">
        <w:rPr>
          <w:rFonts w:ascii="AAA GoldenLotus" w:hAnsi="AAA GoldenLotus"/>
          <w:sz w:val="27"/>
          <w:rtl/>
        </w:rPr>
        <w:t xml:space="preserve">قاعدة </w:t>
      </w:r>
      <w:r w:rsidRPr="00282AC9">
        <w:rPr>
          <w:rFonts w:ascii="AAA GoldenLotus" w:hAnsi="AAA GoldenLotus" w:hint="cs"/>
          <w:sz w:val="27"/>
          <w:rtl/>
        </w:rPr>
        <w:t>(</w:t>
      </w:r>
      <w:r w:rsidRPr="00282AC9">
        <w:rPr>
          <w:rFonts w:ascii="AAA GoldenLotus" w:hAnsi="AAA GoldenLotus"/>
          <w:sz w:val="27"/>
          <w:rtl/>
        </w:rPr>
        <w:t>لا ض</w:t>
      </w:r>
      <w:r w:rsidR="00392A75" w:rsidRPr="00282AC9">
        <w:rPr>
          <w:rFonts w:ascii="AAA GoldenLotus" w:hAnsi="AAA GoldenLotus" w:hint="cs"/>
          <w:sz w:val="27"/>
          <w:rtl/>
        </w:rPr>
        <w:t>َ</w:t>
      </w:r>
      <w:r w:rsidRPr="00282AC9">
        <w:rPr>
          <w:rFonts w:ascii="AAA GoldenLotus" w:hAnsi="AAA GoldenLotus"/>
          <w:sz w:val="27"/>
          <w:rtl/>
        </w:rPr>
        <w:t>ر</w:t>
      </w:r>
      <w:r w:rsidR="00392A75" w:rsidRPr="00282AC9">
        <w:rPr>
          <w:rFonts w:ascii="AAA GoldenLotus" w:hAnsi="AAA GoldenLotus" w:hint="cs"/>
          <w:sz w:val="27"/>
          <w:rtl/>
        </w:rPr>
        <w:t>َ</w:t>
      </w:r>
      <w:r w:rsidRPr="00282AC9">
        <w:rPr>
          <w:rFonts w:ascii="AAA GoldenLotus" w:hAnsi="AAA GoldenLotus"/>
          <w:sz w:val="27"/>
          <w:rtl/>
        </w:rPr>
        <w:t>ر</w:t>
      </w:r>
      <w:r w:rsidRPr="00282AC9">
        <w:rPr>
          <w:rFonts w:ascii="AAA GoldenLotus" w:hAnsi="AAA GoldenLotus" w:hint="cs"/>
          <w:sz w:val="27"/>
          <w:rtl/>
        </w:rPr>
        <w:t>)</w:t>
      </w:r>
      <w:r w:rsidRPr="00282AC9">
        <w:rPr>
          <w:rFonts w:ascii="AAA GoldenLotus" w:hAnsi="AAA GoldenLotus"/>
          <w:sz w:val="27"/>
          <w:rtl/>
        </w:rPr>
        <w:t xml:space="preserve"> عند الإمامية ي</w:t>
      </w:r>
      <w:r w:rsidR="00392A75" w:rsidRPr="00282AC9">
        <w:rPr>
          <w:rFonts w:ascii="AAA GoldenLotus" w:hAnsi="AAA GoldenLotus" w:hint="cs"/>
          <w:sz w:val="27"/>
          <w:rtl/>
        </w:rPr>
        <w:t>ُ</w:t>
      </w:r>
      <w:r w:rsidRPr="00282AC9">
        <w:rPr>
          <w:rFonts w:ascii="AAA GoldenLotus" w:hAnsi="AAA GoldenLotus"/>
          <w:sz w:val="27"/>
          <w:rtl/>
        </w:rPr>
        <w:t xml:space="preserve">رادفها: </w:t>
      </w:r>
      <w:r w:rsidRPr="00282AC9">
        <w:rPr>
          <w:rFonts w:ascii="AAA GoldenLotus" w:hAnsi="AAA GoldenLotus" w:hint="cs"/>
          <w:sz w:val="27"/>
          <w:rtl/>
        </w:rPr>
        <w:t>(</w:t>
      </w:r>
      <w:r w:rsidRPr="00282AC9">
        <w:rPr>
          <w:rFonts w:ascii="AAA GoldenLotus" w:hAnsi="AAA GoldenLotus"/>
          <w:sz w:val="27"/>
          <w:rtl/>
        </w:rPr>
        <w:t>الض</w:t>
      </w:r>
      <w:r w:rsidR="00392A75" w:rsidRPr="00282AC9">
        <w:rPr>
          <w:rFonts w:ascii="AAA GoldenLotus" w:hAnsi="AAA GoldenLotus" w:hint="cs"/>
          <w:sz w:val="27"/>
          <w:rtl/>
        </w:rPr>
        <w:t>َّ</w:t>
      </w:r>
      <w:r w:rsidRPr="00282AC9">
        <w:rPr>
          <w:rFonts w:ascii="AAA GoldenLotus" w:hAnsi="AAA GoldenLotus"/>
          <w:sz w:val="27"/>
          <w:rtl/>
        </w:rPr>
        <w:t>ر</w:t>
      </w:r>
      <w:r w:rsidR="00392A75" w:rsidRPr="00282AC9">
        <w:rPr>
          <w:rFonts w:ascii="AAA GoldenLotus" w:hAnsi="AAA GoldenLotus" w:hint="cs"/>
          <w:sz w:val="27"/>
          <w:rtl/>
        </w:rPr>
        <w:t>َ</w:t>
      </w:r>
      <w:r w:rsidRPr="00282AC9">
        <w:rPr>
          <w:rFonts w:ascii="AAA GoldenLotus" w:hAnsi="AAA GoldenLotus"/>
          <w:sz w:val="27"/>
          <w:rtl/>
        </w:rPr>
        <w:t>ر ي</w:t>
      </w:r>
      <w:r w:rsidR="00392A75" w:rsidRPr="00282AC9">
        <w:rPr>
          <w:rFonts w:ascii="AAA GoldenLotus" w:hAnsi="AAA GoldenLotus" w:hint="cs"/>
          <w:sz w:val="27"/>
          <w:rtl/>
        </w:rPr>
        <w:t>ُ</w:t>
      </w:r>
      <w:r w:rsidRPr="00282AC9">
        <w:rPr>
          <w:rFonts w:ascii="AAA GoldenLotus" w:hAnsi="AAA GoldenLotus"/>
          <w:sz w:val="27"/>
          <w:rtl/>
        </w:rPr>
        <w:t>زال</w:t>
      </w:r>
      <w:r w:rsidRPr="00282AC9">
        <w:rPr>
          <w:rFonts w:ascii="AAA GoldenLotus" w:hAnsi="AAA GoldenLotus" w:hint="cs"/>
          <w:sz w:val="27"/>
          <w:rtl/>
        </w:rPr>
        <w:t>)</w:t>
      </w:r>
      <w:r w:rsidRPr="00282AC9">
        <w:rPr>
          <w:rFonts w:ascii="AAA GoldenLotus" w:hAnsi="AAA GoldenLotus"/>
          <w:sz w:val="27"/>
          <w:rtl/>
        </w:rPr>
        <w:t xml:space="preserve"> عند جمهور المذاهب</w:t>
      </w:r>
      <w:r w:rsidR="00392A75" w:rsidRPr="00282AC9">
        <w:rPr>
          <w:rFonts w:ascii="AAA GoldenLotus" w:hAnsi="AAA GoldenLotus" w:hint="cs"/>
          <w:sz w:val="27"/>
          <w:rtl/>
        </w:rPr>
        <w:t>؛</w:t>
      </w:r>
      <w:r w:rsidRPr="00282AC9">
        <w:rPr>
          <w:rFonts w:ascii="AAA GoldenLotus" w:hAnsi="AAA GoldenLotus" w:hint="cs"/>
          <w:sz w:val="27"/>
          <w:rtl/>
        </w:rPr>
        <w:t xml:space="preserve"> و</w:t>
      </w:r>
      <w:r w:rsidRPr="00282AC9">
        <w:rPr>
          <w:rFonts w:ascii="AAA GoldenLotus" w:hAnsi="AAA GoldenLotus"/>
          <w:sz w:val="27"/>
          <w:rtl/>
        </w:rPr>
        <w:t xml:space="preserve">قاعدة </w:t>
      </w:r>
      <w:r w:rsidRPr="00282AC9">
        <w:rPr>
          <w:rFonts w:ascii="AAA GoldenLotus" w:hAnsi="AAA GoldenLotus" w:hint="cs"/>
          <w:sz w:val="27"/>
          <w:rtl/>
        </w:rPr>
        <w:t>(</w:t>
      </w:r>
      <w:r w:rsidRPr="00282AC9">
        <w:rPr>
          <w:rFonts w:ascii="AAA GoldenLotus" w:hAnsi="AAA GoldenLotus"/>
          <w:sz w:val="27"/>
          <w:rtl/>
        </w:rPr>
        <w:t>إنما الأعمال بالني</w:t>
      </w:r>
      <w:r w:rsidR="00392A75" w:rsidRPr="00282AC9">
        <w:rPr>
          <w:rFonts w:ascii="AAA GoldenLotus" w:hAnsi="AAA GoldenLotus" w:hint="cs"/>
          <w:sz w:val="27"/>
          <w:rtl/>
        </w:rPr>
        <w:t>ّ</w:t>
      </w:r>
      <w:r w:rsidRPr="00282AC9">
        <w:rPr>
          <w:rFonts w:ascii="AAA GoldenLotus" w:hAnsi="AAA GoldenLotus"/>
          <w:sz w:val="27"/>
          <w:rtl/>
        </w:rPr>
        <w:t>ات</w:t>
      </w:r>
      <w:r w:rsidR="00392A75" w:rsidRPr="00282AC9">
        <w:rPr>
          <w:rFonts w:ascii="AAA GoldenLotus" w:hAnsi="AAA GoldenLotus" w:hint="cs"/>
          <w:sz w:val="27"/>
          <w:rtl/>
        </w:rPr>
        <w:t>)</w:t>
      </w:r>
      <w:r w:rsidRPr="00282AC9">
        <w:rPr>
          <w:rFonts w:ascii="AAA GoldenLotus" w:hAnsi="AAA GoldenLotus"/>
          <w:sz w:val="27"/>
          <w:rtl/>
        </w:rPr>
        <w:t xml:space="preserve"> عند الإمامي</w:t>
      </w:r>
      <w:r w:rsidR="00392A75" w:rsidRPr="00282AC9">
        <w:rPr>
          <w:rFonts w:ascii="AAA GoldenLotus" w:hAnsi="AAA GoldenLotus" w:hint="cs"/>
          <w:sz w:val="27"/>
          <w:rtl/>
        </w:rPr>
        <w:t>ّ</w:t>
      </w:r>
      <w:r w:rsidRPr="00282AC9">
        <w:rPr>
          <w:rFonts w:ascii="AAA GoldenLotus" w:hAnsi="AAA GoldenLotus"/>
          <w:sz w:val="27"/>
          <w:rtl/>
        </w:rPr>
        <w:t>ة ي</w:t>
      </w:r>
      <w:r w:rsidR="00392A75" w:rsidRPr="00282AC9">
        <w:rPr>
          <w:rFonts w:ascii="AAA GoldenLotus" w:hAnsi="AAA GoldenLotus" w:hint="cs"/>
          <w:sz w:val="27"/>
          <w:rtl/>
        </w:rPr>
        <w:t>ُ</w:t>
      </w:r>
      <w:r w:rsidRPr="00282AC9">
        <w:rPr>
          <w:rFonts w:ascii="AAA GoldenLotus" w:hAnsi="AAA GoldenLotus"/>
          <w:sz w:val="27"/>
          <w:rtl/>
        </w:rPr>
        <w:t xml:space="preserve">رادفها: </w:t>
      </w:r>
      <w:r w:rsidRPr="00282AC9">
        <w:rPr>
          <w:rFonts w:ascii="AAA GoldenLotus" w:hAnsi="AAA GoldenLotus" w:hint="cs"/>
          <w:sz w:val="27"/>
          <w:rtl/>
        </w:rPr>
        <w:t>(</w:t>
      </w:r>
      <w:r w:rsidRPr="00282AC9">
        <w:rPr>
          <w:rFonts w:ascii="AAA GoldenLotus" w:hAnsi="AAA GoldenLotus"/>
          <w:sz w:val="27"/>
          <w:rtl/>
        </w:rPr>
        <w:t>الأمور بمقاصدها</w:t>
      </w:r>
      <w:r w:rsidRPr="00282AC9">
        <w:rPr>
          <w:rFonts w:ascii="AAA GoldenLotus" w:hAnsi="AAA GoldenLotus" w:hint="cs"/>
          <w:sz w:val="27"/>
          <w:rtl/>
        </w:rPr>
        <w:t>)</w:t>
      </w:r>
      <w:r w:rsidRPr="00282AC9">
        <w:rPr>
          <w:rFonts w:ascii="AAA GoldenLotus" w:hAnsi="AAA GoldenLotus"/>
          <w:sz w:val="27"/>
          <w:rtl/>
        </w:rPr>
        <w:t xml:space="preserve"> عند جمهور المذاهب</w:t>
      </w:r>
      <w:r w:rsidR="00392A75" w:rsidRPr="00282AC9">
        <w:rPr>
          <w:rFonts w:ascii="AAA GoldenLotus" w:hAnsi="AAA GoldenLotus" w:hint="cs"/>
          <w:sz w:val="27"/>
          <w:rtl/>
        </w:rPr>
        <w:t>؛</w:t>
      </w:r>
      <w:r w:rsidRPr="00282AC9">
        <w:rPr>
          <w:rFonts w:ascii="AAA GoldenLotus" w:hAnsi="AAA GoldenLotus" w:hint="cs"/>
          <w:sz w:val="27"/>
          <w:rtl/>
        </w:rPr>
        <w:t xml:space="preserve"> وغيرهما من القواعد</w:t>
      </w:r>
      <w:r w:rsidRPr="00282AC9">
        <w:rPr>
          <w:rFonts w:ascii="AAA GoldenLotus" w:hAnsi="AAA GoldenLotus"/>
          <w:sz w:val="27"/>
          <w:rtl/>
        </w:rPr>
        <w:t xml:space="preserve">. </w:t>
      </w:r>
    </w:p>
    <w:p w:rsidR="003A180B" w:rsidRPr="00282AC9" w:rsidRDefault="00E355F2" w:rsidP="00046546">
      <w:pPr>
        <w:rPr>
          <w:rFonts w:ascii="AAA GoldenLotus" w:hAnsi="AAA GoldenLotus"/>
          <w:spacing w:val="-4"/>
          <w:sz w:val="27"/>
          <w:rtl/>
        </w:rPr>
      </w:pPr>
      <w:r w:rsidRPr="00282AC9">
        <w:rPr>
          <w:rFonts w:ascii="AAA GoldenLotus" w:hAnsi="AAA GoldenLotus"/>
          <w:spacing w:val="-4"/>
          <w:sz w:val="27"/>
          <w:rtl/>
        </w:rPr>
        <w:t xml:space="preserve">وهذا الأمر ينطبق على قاعدة </w:t>
      </w:r>
      <w:r w:rsidRPr="00282AC9">
        <w:rPr>
          <w:rFonts w:ascii="AAA GoldenLotus" w:hAnsi="AAA GoldenLotus" w:hint="cs"/>
          <w:spacing w:val="-4"/>
          <w:sz w:val="27"/>
          <w:rtl/>
        </w:rPr>
        <w:t>(</w:t>
      </w:r>
      <w:r w:rsidRPr="00282AC9">
        <w:rPr>
          <w:rFonts w:ascii="AAA GoldenLotus" w:hAnsi="AAA GoldenLotus"/>
          <w:spacing w:val="-4"/>
          <w:sz w:val="27"/>
          <w:rtl/>
        </w:rPr>
        <w:t>اشتراك التكليف بين الرجال والنساء</w:t>
      </w:r>
      <w:r w:rsidRPr="00282AC9">
        <w:rPr>
          <w:rFonts w:ascii="AAA GoldenLotus" w:hAnsi="AAA GoldenLotus" w:hint="cs"/>
          <w:spacing w:val="-4"/>
          <w:sz w:val="27"/>
          <w:rtl/>
        </w:rPr>
        <w:t>)</w:t>
      </w:r>
      <w:r w:rsidR="00392A75" w:rsidRPr="00282AC9">
        <w:rPr>
          <w:rFonts w:ascii="AAA GoldenLotus" w:hAnsi="AAA GoldenLotus" w:hint="cs"/>
          <w:spacing w:val="-4"/>
          <w:sz w:val="27"/>
          <w:rtl/>
        </w:rPr>
        <w:t>.</w:t>
      </w:r>
    </w:p>
    <w:p w:rsidR="003A180B" w:rsidRPr="00282AC9" w:rsidRDefault="00E355F2" w:rsidP="00046546">
      <w:pPr>
        <w:rPr>
          <w:rFonts w:ascii="AAA GoldenLotus" w:hAnsi="AAA GoldenLotus"/>
          <w:spacing w:val="-4"/>
          <w:sz w:val="27"/>
          <w:rtl/>
        </w:rPr>
      </w:pPr>
      <w:r w:rsidRPr="00282AC9">
        <w:rPr>
          <w:rFonts w:ascii="AAA GoldenLotus" w:hAnsi="AAA GoldenLotus"/>
          <w:spacing w:val="-4"/>
          <w:sz w:val="27"/>
          <w:rtl/>
        </w:rPr>
        <w:t>فعنوان هذه القاعدة من مختص</w:t>
      </w:r>
      <w:r w:rsidR="00392A75" w:rsidRPr="00282AC9">
        <w:rPr>
          <w:rFonts w:ascii="AAA GoldenLotus" w:hAnsi="AAA GoldenLotus" w:hint="cs"/>
          <w:spacing w:val="-4"/>
          <w:sz w:val="27"/>
          <w:rtl/>
        </w:rPr>
        <w:t>ّ</w:t>
      </w:r>
      <w:r w:rsidRPr="00282AC9">
        <w:rPr>
          <w:rFonts w:ascii="AAA GoldenLotus" w:hAnsi="AAA GoldenLotus"/>
          <w:spacing w:val="-4"/>
          <w:sz w:val="27"/>
          <w:rtl/>
        </w:rPr>
        <w:t>ات المذهب الإمامي</w:t>
      </w:r>
      <w:r w:rsidR="00392A75" w:rsidRPr="00282AC9">
        <w:rPr>
          <w:rFonts w:ascii="AAA GoldenLotus" w:hAnsi="AAA GoldenLotus" w:hint="cs"/>
          <w:spacing w:val="-4"/>
          <w:sz w:val="27"/>
          <w:rtl/>
        </w:rPr>
        <w:t>ّ</w:t>
      </w:r>
      <w:r w:rsidRPr="00282AC9">
        <w:rPr>
          <w:rFonts w:ascii="AAA GoldenLotus" w:hAnsi="AAA GoldenLotus"/>
          <w:spacing w:val="-4"/>
          <w:sz w:val="27"/>
          <w:rtl/>
        </w:rPr>
        <w:t>، إضافة</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إلى تداول عناوين أخرى لم تبتعد عن تعبير الاشتراك عندهم</w:t>
      </w:r>
      <w:r w:rsidR="00392A75" w:rsidRPr="00282AC9">
        <w:rPr>
          <w:rFonts w:ascii="AAA GoldenLotus" w:hAnsi="AAA GoldenLotus" w:hint="cs"/>
          <w:spacing w:val="-4"/>
          <w:sz w:val="27"/>
          <w:rtl/>
        </w:rPr>
        <w:t>.</w:t>
      </w:r>
    </w:p>
    <w:p w:rsidR="00E355F2" w:rsidRPr="00282AC9" w:rsidRDefault="00E355F2" w:rsidP="00046546">
      <w:pPr>
        <w:rPr>
          <w:rFonts w:ascii="AAA GoldenLotus" w:hAnsi="AAA GoldenLotus"/>
          <w:spacing w:val="-4"/>
          <w:sz w:val="27"/>
          <w:rtl/>
        </w:rPr>
      </w:pPr>
      <w:r w:rsidRPr="00282AC9">
        <w:rPr>
          <w:rFonts w:ascii="AAA GoldenLotus" w:hAnsi="AAA GoldenLotus"/>
          <w:spacing w:val="-4"/>
          <w:sz w:val="27"/>
          <w:rtl/>
        </w:rPr>
        <w:t>إلا</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أنها لم ت</w:t>
      </w:r>
      <w:r w:rsidR="00392A75" w:rsidRPr="00282AC9">
        <w:rPr>
          <w:rFonts w:ascii="AAA GoldenLotus" w:hAnsi="AAA GoldenLotus" w:hint="cs"/>
          <w:spacing w:val="-4"/>
          <w:sz w:val="27"/>
          <w:rtl/>
        </w:rPr>
        <w:t>َ</w:t>
      </w:r>
      <w:r w:rsidRPr="00282AC9">
        <w:rPr>
          <w:rFonts w:ascii="AAA GoldenLotus" w:hAnsi="AAA GoldenLotus"/>
          <w:spacing w:val="-4"/>
          <w:sz w:val="27"/>
          <w:rtl/>
        </w:rPr>
        <w:t>ر</w:t>
      </w:r>
      <w:r w:rsidR="00392A75" w:rsidRPr="00282AC9">
        <w:rPr>
          <w:rFonts w:ascii="AAA GoldenLotus" w:hAnsi="AAA GoldenLotus" w:hint="cs"/>
          <w:spacing w:val="-4"/>
          <w:sz w:val="27"/>
          <w:rtl/>
        </w:rPr>
        <w:t>ِ</w:t>
      </w:r>
      <w:r w:rsidRPr="00282AC9">
        <w:rPr>
          <w:rFonts w:ascii="AAA GoldenLotus" w:hAnsi="AAA GoldenLotus"/>
          <w:spacing w:val="-4"/>
          <w:sz w:val="27"/>
          <w:rtl/>
        </w:rPr>
        <w:t>د</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بهذا العنوان في كتب المذاهب الفقهية الأخرى، بل ورد</w:t>
      </w:r>
      <w:r w:rsidR="00392A75" w:rsidRPr="00282AC9">
        <w:rPr>
          <w:rFonts w:ascii="AAA GoldenLotus" w:hAnsi="AAA GoldenLotus" w:hint="cs"/>
          <w:spacing w:val="-4"/>
          <w:sz w:val="27"/>
          <w:rtl/>
        </w:rPr>
        <w:t>َ</w:t>
      </w:r>
      <w:r w:rsidRPr="00282AC9">
        <w:rPr>
          <w:rFonts w:ascii="AAA GoldenLotus" w:hAnsi="AAA GoldenLotus"/>
          <w:spacing w:val="-4"/>
          <w:sz w:val="27"/>
          <w:rtl/>
        </w:rPr>
        <w:t>ت</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بعناوين مشابهة</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مندرجة</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تحت عنوان</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كل</w:t>
      </w:r>
      <w:r w:rsidR="00392A75" w:rsidRPr="00282AC9">
        <w:rPr>
          <w:rFonts w:ascii="AAA GoldenLotus" w:hAnsi="AAA GoldenLotus" w:hint="cs"/>
          <w:spacing w:val="-4"/>
          <w:sz w:val="27"/>
          <w:rtl/>
        </w:rPr>
        <w:t>ِّ</w:t>
      </w:r>
      <w:r w:rsidRPr="00282AC9">
        <w:rPr>
          <w:rFonts w:ascii="AAA GoldenLotus" w:hAnsi="AAA GoldenLotus"/>
          <w:spacing w:val="-4"/>
          <w:sz w:val="27"/>
          <w:rtl/>
        </w:rPr>
        <w:t>ي بنص</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مختلف</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إضافة</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w:t>
      </w:r>
      <w:r w:rsidR="00392A75" w:rsidRPr="00282AC9">
        <w:rPr>
          <w:rFonts w:ascii="AAA GoldenLotus" w:hAnsi="AAA GoldenLotus" w:hint="cs"/>
          <w:spacing w:val="-4"/>
          <w:sz w:val="27"/>
          <w:rtl/>
        </w:rPr>
        <w:t>إ</w:t>
      </w:r>
      <w:r w:rsidRPr="00282AC9">
        <w:rPr>
          <w:rFonts w:ascii="AAA GoldenLotus" w:hAnsi="AAA GoldenLotus"/>
          <w:spacing w:val="-4"/>
          <w:sz w:val="27"/>
          <w:rtl/>
        </w:rPr>
        <w:t>لى ورود صيغ</w:t>
      </w:r>
      <w:r w:rsidR="003A180B" w:rsidRPr="00282AC9">
        <w:rPr>
          <w:rFonts w:ascii="AAA GoldenLotus" w:hAnsi="AAA GoldenLotus" w:hint="cs"/>
          <w:spacing w:val="-4"/>
          <w:sz w:val="27"/>
          <w:rtl/>
        </w:rPr>
        <w:t>ٍ</w:t>
      </w:r>
      <w:r w:rsidRPr="00282AC9">
        <w:rPr>
          <w:rFonts w:ascii="AAA GoldenLotus" w:hAnsi="AAA GoldenLotus"/>
          <w:spacing w:val="-4"/>
          <w:sz w:val="27"/>
          <w:rtl/>
        </w:rPr>
        <w:t xml:space="preserve"> أخرى تعود على القاعدة</w:t>
      </w:r>
      <w:r w:rsidR="003A180B" w:rsidRPr="00282AC9">
        <w:rPr>
          <w:rFonts w:ascii="AAA GoldenLotus" w:hAnsi="AAA GoldenLotus" w:hint="cs"/>
          <w:spacing w:val="-4"/>
          <w:sz w:val="27"/>
          <w:rtl/>
        </w:rPr>
        <w:t>،</w:t>
      </w:r>
      <w:r w:rsidRPr="00282AC9">
        <w:rPr>
          <w:rFonts w:ascii="AAA GoldenLotus" w:hAnsi="AAA GoldenLotus"/>
          <w:spacing w:val="-4"/>
          <w:sz w:val="27"/>
          <w:rtl/>
        </w:rPr>
        <w:t xml:space="preserve"> وقواعد ذات علاقة</w:t>
      </w:r>
      <w:r w:rsidR="003A180B" w:rsidRPr="00282AC9">
        <w:rPr>
          <w:rFonts w:ascii="AAA GoldenLotus" w:hAnsi="AAA GoldenLotus" w:hint="cs"/>
          <w:spacing w:val="-4"/>
          <w:sz w:val="27"/>
          <w:rtl/>
        </w:rPr>
        <w:t>ٍ</w:t>
      </w:r>
      <w:r w:rsidRPr="00282AC9">
        <w:rPr>
          <w:rFonts w:ascii="AAA GoldenLotus" w:hAnsi="AAA GoldenLotus"/>
          <w:spacing w:val="-4"/>
          <w:sz w:val="27"/>
          <w:rtl/>
        </w:rPr>
        <w:t xml:space="preserve"> </w:t>
      </w:r>
      <w:r w:rsidRPr="00282AC9">
        <w:rPr>
          <w:rFonts w:ascii="AAA GoldenLotus" w:hAnsi="AAA GoldenLotus" w:hint="cs"/>
          <w:spacing w:val="-4"/>
          <w:sz w:val="27"/>
          <w:rtl/>
        </w:rPr>
        <w:t>وصلة</w:t>
      </w:r>
      <w:r w:rsidR="003A180B" w:rsidRPr="00282AC9">
        <w:rPr>
          <w:rFonts w:ascii="AAA GoldenLotus" w:hAnsi="AAA GoldenLotus" w:hint="cs"/>
          <w:spacing w:val="-4"/>
          <w:sz w:val="27"/>
          <w:rtl/>
        </w:rPr>
        <w:t>ٍ</w:t>
      </w:r>
      <w:r w:rsidRPr="00282AC9">
        <w:rPr>
          <w:rFonts w:ascii="AAA GoldenLotus" w:hAnsi="AAA GoldenLotus" w:hint="cs"/>
          <w:spacing w:val="-4"/>
          <w:sz w:val="27"/>
          <w:rtl/>
        </w:rPr>
        <w:t xml:space="preserve"> </w:t>
      </w:r>
      <w:r w:rsidRPr="00282AC9">
        <w:rPr>
          <w:rFonts w:ascii="AAA GoldenLotus" w:hAnsi="AAA GoldenLotus"/>
          <w:spacing w:val="-4"/>
          <w:sz w:val="27"/>
          <w:rtl/>
        </w:rPr>
        <w:t>بها</w:t>
      </w:r>
      <w:r w:rsidR="003A180B" w:rsidRPr="00282AC9">
        <w:rPr>
          <w:rFonts w:ascii="AAA GoldenLotus" w:hAnsi="AAA GoldenLotus" w:hint="cs"/>
          <w:spacing w:val="-4"/>
          <w:sz w:val="27"/>
          <w:rtl/>
        </w:rPr>
        <w:t>،</w:t>
      </w:r>
      <w:r w:rsidRPr="00282AC9">
        <w:rPr>
          <w:rFonts w:ascii="AAA GoldenLotus" w:hAnsi="AAA GoldenLotus"/>
          <w:spacing w:val="-4"/>
          <w:sz w:val="27"/>
          <w:rtl/>
        </w:rPr>
        <w:t xml:space="preserve"> تحاكي بمحتواها معنى اشتراك الأحكام بين جميع المكل</w:t>
      </w:r>
      <w:r w:rsidR="00392A75" w:rsidRPr="00282AC9">
        <w:rPr>
          <w:rFonts w:ascii="AAA GoldenLotus" w:hAnsi="AAA GoldenLotus" w:hint="cs"/>
          <w:spacing w:val="-4"/>
          <w:sz w:val="27"/>
          <w:rtl/>
        </w:rPr>
        <w:t>َّ</w:t>
      </w:r>
      <w:r w:rsidRPr="00282AC9">
        <w:rPr>
          <w:rFonts w:ascii="AAA GoldenLotus" w:hAnsi="AAA GoldenLotus"/>
          <w:spacing w:val="-4"/>
          <w:sz w:val="27"/>
          <w:rtl/>
        </w:rPr>
        <w:t>فين</w:t>
      </w:r>
      <w:r w:rsidR="00392A75" w:rsidRPr="00282AC9">
        <w:rPr>
          <w:rFonts w:ascii="AAA GoldenLotus" w:hAnsi="AAA GoldenLotus" w:hint="cs"/>
          <w:spacing w:val="-4"/>
          <w:sz w:val="27"/>
          <w:rtl/>
        </w:rPr>
        <w:t>،</w:t>
      </w:r>
      <w:r w:rsidRPr="00282AC9">
        <w:rPr>
          <w:rFonts w:ascii="AAA GoldenLotus" w:hAnsi="AAA GoldenLotus"/>
          <w:spacing w:val="-4"/>
          <w:sz w:val="27"/>
          <w:rtl/>
        </w:rPr>
        <w:t xml:space="preserve"> ويتفر</w:t>
      </w:r>
      <w:r w:rsidR="00392A75" w:rsidRPr="00282AC9">
        <w:rPr>
          <w:rFonts w:ascii="AAA GoldenLotus" w:hAnsi="AAA GoldenLotus" w:hint="cs"/>
          <w:spacing w:val="-4"/>
          <w:sz w:val="27"/>
          <w:rtl/>
        </w:rPr>
        <w:t>َّ</w:t>
      </w:r>
      <w:r w:rsidRPr="00282AC9">
        <w:rPr>
          <w:rFonts w:ascii="AAA GoldenLotus" w:hAnsi="AAA GoldenLotus"/>
          <w:spacing w:val="-4"/>
          <w:sz w:val="27"/>
          <w:rtl/>
        </w:rPr>
        <w:t>ع عنها قواعد تتحد</w:t>
      </w:r>
      <w:r w:rsidR="00392A75" w:rsidRPr="00282AC9">
        <w:rPr>
          <w:rFonts w:ascii="AAA GoldenLotus" w:hAnsi="AAA GoldenLotus" w:hint="cs"/>
          <w:spacing w:val="-4"/>
          <w:sz w:val="27"/>
          <w:rtl/>
        </w:rPr>
        <w:t>َّ</w:t>
      </w:r>
      <w:r w:rsidRPr="00282AC9">
        <w:rPr>
          <w:rFonts w:ascii="AAA GoldenLotus" w:hAnsi="AAA GoldenLotus"/>
          <w:spacing w:val="-4"/>
          <w:sz w:val="27"/>
          <w:rtl/>
        </w:rPr>
        <w:t>ث عن اشتراك الأحكام بين الرجال والنساء.</w:t>
      </w:r>
    </w:p>
    <w:p w:rsidR="00E355F2" w:rsidRPr="00282AC9" w:rsidRDefault="00E355F2" w:rsidP="00046546">
      <w:pPr>
        <w:rPr>
          <w:rFonts w:ascii="AAA GoldenLotus" w:hAnsi="AAA GoldenLotus"/>
          <w:sz w:val="27"/>
          <w:rtl/>
        </w:rPr>
      </w:pPr>
      <w:r w:rsidRPr="00282AC9">
        <w:rPr>
          <w:rFonts w:ascii="AAA GoldenLotus" w:hAnsi="AAA GoldenLotus" w:hint="cs"/>
          <w:sz w:val="27"/>
          <w:rtl/>
        </w:rPr>
        <w:t>ف</w:t>
      </w:r>
      <w:r w:rsidRPr="00282AC9">
        <w:rPr>
          <w:rFonts w:ascii="AAA GoldenLotus" w:hAnsi="AAA GoldenLotus"/>
          <w:sz w:val="27"/>
          <w:rtl/>
        </w:rPr>
        <w:t>العنوان الكل</w:t>
      </w:r>
      <w:r w:rsidR="003A180B" w:rsidRPr="00282AC9">
        <w:rPr>
          <w:rFonts w:ascii="AAA GoldenLotus" w:hAnsi="AAA GoldenLotus" w:hint="cs"/>
          <w:sz w:val="27"/>
          <w:rtl/>
        </w:rPr>
        <w:t>ِّ</w:t>
      </w:r>
      <w:r w:rsidRPr="00282AC9">
        <w:rPr>
          <w:rFonts w:ascii="AAA GoldenLotus" w:hAnsi="AAA GoldenLotus"/>
          <w:sz w:val="27"/>
          <w:rtl/>
        </w:rPr>
        <w:t>ي لقاعدة الاشتراك</w:t>
      </w:r>
      <w:r w:rsidR="003A180B" w:rsidRPr="00282AC9">
        <w:rPr>
          <w:rFonts w:ascii="AAA GoldenLotus" w:hAnsi="AAA GoldenLotus" w:hint="cs"/>
          <w:sz w:val="27"/>
          <w:rtl/>
        </w:rPr>
        <w:t>،</w:t>
      </w:r>
      <w:r w:rsidRPr="00282AC9">
        <w:rPr>
          <w:rFonts w:ascii="AAA GoldenLotus" w:hAnsi="AAA GoldenLotus"/>
          <w:sz w:val="27"/>
          <w:rtl/>
        </w:rPr>
        <w:t xml:space="preserve"> الذي ورد في كتب المذاهب الفقهي</w:t>
      </w:r>
      <w:r w:rsidR="003A180B" w:rsidRPr="00282AC9">
        <w:rPr>
          <w:rFonts w:ascii="AAA GoldenLotus" w:hAnsi="AAA GoldenLotus" w:hint="cs"/>
          <w:sz w:val="27"/>
          <w:rtl/>
        </w:rPr>
        <w:t>ّ</w:t>
      </w:r>
      <w:r w:rsidRPr="00282AC9">
        <w:rPr>
          <w:rFonts w:ascii="AAA GoldenLotus" w:hAnsi="AAA GoldenLotus"/>
          <w:sz w:val="27"/>
          <w:rtl/>
        </w:rPr>
        <w:t>ة</w:t>
      </w:r>
      <w:r w:rsidR="003A180B" w:rsidRPr="00282AC9">
        <w:rPr>
          <w:rFonts w:ascii="AAA GoldenLotus" w:hAnsi="AAA GoldenLotus" w:hint="cs"/>
          <w:sz w:val="27"/>
          <w:rtl/>
        </w:rPr>
        <w:t>،</w:t>
      </w:r>
      <w:r w:rsidRPr="00282AC9">
        <w:rPr>
          <w:rFonts w:ascii="AAA GoldenLotus" w:hAnsi="AAA GoldenLotus"/>
          <w:sz w:val="27"/>
          <w:rtl/>
        </w:rPr>
        <w:t xml:space="preserve"> وما له من صيغ</w:t>
      </w:r>
      <w:r w:rsidR="003A180B" w:rsidRPr="00282AC9">
        <w:rPr>
          <w:rFonts w:ascii="AAA GoldenLotus" w:hAnsi="AAA GoldenLotus" w:hint="cs"/>
          <w:sz w:val="27"/>
          <w:rtl/>
        </w:rPr>
        <w:t>ٍ</w:t>
      </w:r>
      <w:r w:rsidRPr="00282AC9">
        <w:rPr>
          <w:rFonts w:ascii="AAA GoldenLotus" w:hAnsi="AAA GoldenLotus"/>
          <w:sz w:val="27"/>
          <w:rtl/>
        </w:rPr>
        <w:t xml:space="preserve"> أخرى</w:t>
      </w:r>
      <w:r w:rsidR="003A180B" w:rsidRPr="00282AC9">
        <w:rPr>
          <w:rFonts w:ascii="AAA GoldenLotus" w:hAnsi="AAA GoldenLotus" w:hint="cs"/>
          <w:sz w:val="27"/>
          <w:rtl/>
        </w:rPr>
        <w:t>،</w:t>
      </w:r>
      <w:r w:rsidRPr="00282AC9">
        <w:rPr>
          <w:rFonts w:ascii="AAA GoldenLotus" w:hAnsi="AAA GoldenLotus"/>
          <w:sz w:val="27"/>
          <w:rtl/>
        </w:rPr>
        <w:t xml:space="preserve"> </w:t>
      </w:r>
      <w:r w:rsidR="003A180B" w:rsidRPr="00282AC9">
        <w:rPr>
          <w:rFonts w:ascii="AAA GoldenLotus" w:hAnsi="AAA GoldenLotus" w:hint="cs"/>
          <w:sz w:val="27"/>
          <w:rtl/>
        </w:rPr>
        <w:t>و</w:t>
      </w:r>
      <w:r w:rsidRPr="00282AC9">
        <w:rPr>
          <w:rFonts w:ascii="AAA GoldenLotus" w:hAnsi="AAA GoldenLotus"/>
          <w:sz w:val="27"/>
          <w:rtl/>
        </w:rPr>
        <w:t>التي تعتبر نظير</w:t>
      </w:r>
      <w:r w:rsidR="003A180B" w:rsidRPr="00282AC9">
        <w:rPr>
          <w:rFonts w:ascii="AAA GoldenLotus" w:hAnsi="AAA GoldenLotus" w:hint="cs"/>
          <w:sz w:val="27"/>
          <w:rtl/>
        </w:rPr>
        <w:t>:</w:t>
      </w:r>
      <w:r w:rsidRPr="00282AC9">
        <w:rPr>
          <w:rFonts w:ascii="AAA GoldenLotus" w:hAnsi="AAA GoldenLotus"/>
          <w:sz w:val="27"/>
          <w:rtl/>
        </w:rPr>
        <w:t xml:space="preserve"> قاعدة اشتراك التكليف بين الرجال والنساء</w:t>
      </w:r>
      <w:r w:rsidR="003A180B" w:rsidRPr="00282AC9">
        <w:rPr>
          <w:rFonts w:ascii="AAA GoldenLotus" w:hAnsi="AAA GoldenLotus" w:hint="cs"/>
          <w:sz w:val="27"/>
          <w:rtl/>
        </w:rPr>
        <w:t>،</w:t>
      </w:r>
      <w:r w:rsidRPr="00282AC9">
        <w:rPr>
          <w:rFonts w:ascii="AAA GoldenLotus" w:hAnsi="AAA GoldenLotus"/>
          <w:sz w:val="27"/>
          <w:rtl/>
        </w:rPr>
        <w:t xml:space="preserve"> كالتالي: القاعدة الكل</w:t>
      </w:r>
      <w:r w:rsidR="003A180B" w:rsidRPr="00282AC9">
        <w:rPr>
          <w:rFonts w:ascii="AAA GoldenLotus" w:hAnsi="AAA GoldenLotus" w:hint="cs"/>
          <w:sz w:val="27"/>
          <w:rtl/>
        </w:rPr>
        <w:t>ِّ</w:t>
      </w:r>
      <w:r w:rsidRPr="00282AC9">
        <w:rPr>
          <w:rFonts w:ascii="AAA GoldenLotus" w:hAnsi="AAA GoldenLotus"/>
          <w:sz w:val="27"/>
          <w:rtl/>
        </w:rPr>
        <w:t xml:space="preserve">ية: </w:t>
      </w:r>
      <w:r w:rsidRPr="00282AC9">
        <w:rPr>
          <w:rFonts w:ascii="AAA GoldenLotus" w:hAnsi="AAA GoldenLotus" w:hint="cs"/>
          <w:sz w:val="27"/>
          <w:rtl/>
        </w:rPr>
        <w:t>(</w:t>
      </w:r>
      <w:r w:rsidRPr="00282AC9">
        <w:rPr>
          <w:rFonts w:ascii="AAA GoldenLotus" w:hAnsi="AAA GoldenLotus"/>
          <w:sz w:val="27"/>
          <w:rtl/>
        </w:rPr>
        <w:t>الأصل عموم الأحكام وتساوي الناس فيها</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2"/>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pacing w:val="-8"/>
          <w:sz w:val="27"/>
          <w:rtl/>
        </w:rPr>
      </w:pPr>
      <w:r w:rsidRPr="00282AC9">
        <w:rPr>
          <w:rFonts w:ascii="AAA GoldenLotus" w:hAnsi="AAA GoldenLotus" w:hint="cs"/>
          <w:spacing w:val="-8"/>
          <w:sz w:val="27"/>
          <w:rtl/>
        </w:rPr>
        <w:t>و</w:t>
      </w:r>
      <w:r w:rsidRPr="00282AC9">
        <w:rPr>
          <w:rFonts w:ascii="AAA GoldenLotus" w:hAnsi="AAA GoldenLotus"/>
          <w:spacing w:val="-8"/>
          <w:sz w:val="27"/>
          <w:rtl/>
        </w:rPr>
        <w:t xml:space="preserve">صيغة هذا المبدأ </w:t>
      </w:r>
      <w:r w:rsidRPr="00282AC9">
        <w:rPr>
          <w:rFonts w:ascii="AAA GoldenLotus" w:hAnsi="AAA GoldenLotus" w:hint="cs"/>
          <w:spacing w:val="-8"/>
          <w:sz w:val="27"/>
          <w:rtl/>
        </w:rPr>
        <w:t>الكل</w:t>
      </w:r>
      <w:r w:rsidR="003A180B" w:rsidRPr="00282AC9">
        <w:rPr>
          <w:rFonts w:ascii="AAA GoldenLotus" w:hAnsi="AAA GoldenLotus" w:hint="cs"/>
          <w:spacing w:val="-8"/>
          <w:sz w:val="27"/>
          <w:rtl/>
        </w:rPr>
        <w:t>ِّ</w:t>
      </w:r>
      <w:r w:rsidRPr="00282AC9">
        <w:rPr>
          <w:rFonts w:ascii="AAA GoldenLotus" w:hAnsi="AAA GoldenLotus" w:hint="cs"/>
          <w:spacing w:val="-8"/>
          <w:sz w:val="27"/>
          <w:rtl/>
        </w:rPr>
        <w:t xml:space="preserve">ي </w:t>
      </w:r>
      <w:r w:rsidRPr="00282AC9">
        <w:rPr>
          <w:rFonts w:ascii="AAA GoldenLotus" w:hAnsi="AAA GoldenLotus"/>
          <w:spacing w:val="-8"/>
          <w:sz w:val="27"/>
          <w:rtl/>
        </w:rPr>
        <w:t>مأخوذة</w:t>
      </w:r>
      <w:r w:rsidR="003A180B" w:rsidRPr="00282AC9">
        <w:rPr>
          <w:rFonts w:ascii="AAA GoldenLotus" w:hAnsi="AAA GoldenLotus" w:hint="cs"/>
          <w:spacing w:val="-8"/>
          <w:sz w:val="27"/>
          <w:rtl/>
        </w:rPr>
        <w:t>ٌ</w:t>
      </w:r>
      <w:r w:rsidRPr="00282AC9">
        <w:rPr>
          <w:rFonts w:ascii="AAA GoldenLotus" w:hAnsi="AAA GoldenLotus"/>
          <w:spacing w:val="-8"/>
          <w:sz w:val="27"/>
          <w:rtl/>
        </w:rPr>
        <w:t xml:space="preserve"> بشق</w:t>
      </w:r>
      <w:r w:rsidR="003A180B" w:rsidRPr="00282AC9">
        <w:rPr>
          <w:rFonts w:ascii="AAA GoldenLotus" w:hAnsi="AAA GoldenLotus" w:hint="cs"/>
          <w:spacing w:val="-8"/>
          <w:sz w:val="27"/>
          <w:rtl/>
        </w:rPr>
        <w:t>َّ</w:t>
      </w:r>
      <w:r w:rsidRPr="00282AC9">
        <w:rPr>
          <w:rFonts w:ascii="AAA GoldenLotus" w:hAnsi="AAA GoldenLotus"/>
          <w:spacing w:val="-8"/>
          <w:sz w:val="27"/>
          <w:rtl/>
        </w:rPr>
        <w:t>ي</w:t>
      </w:r>
      <w:r w:rsidR="003A180B" w:rsidRPr="00282AC9">
        <w:rPr>
          <w:rFonts w:ascii="AAA GoldenLotus" w:hAnsi="AAA GoldenLotus" w:hint="cs"/>
          <w:spacing w:val="-8"/>
          <w:sz w:val="27"/>
          <w:rtl/>
        </w:rPr>
        <w:t>ْ</w:t>
      </w:r>
      <w:r w:rsidRPr="00282AC9">
        <w:rPr>
          <w:rFonts w:ascii="AAA GoldenLotus" w:hAnsi="AAA GoldenLotus"/>
          <w:spacing w:val="-8"/>
          <w:sz w:val="27"/>
          <w:rtl/>
        </w:rPr>
        <w:t>ها</w:t>
      </w:r>
      <w:r w:rsidRPr="00282AC9">
        <w:rPr>
          <w:rFonts w:ascii="AAA GoldenLotus" w:hAnsi="AAA GoldenLotus" w:hint="cs"/>
          <w:spacing w:val="-8"/>
          <w:sz w:val="27"/>
          <w:rtl/>
        </w:rPr>
        <w:t xml:space="preserve"> ـ العموم والتساوي ـ</w:t>
      </w:r>
      <w:r w:rsidRPr="00282AC9">
        <w:rPr>
          <w:rFonts w:ascii="AAA GoldenLotus" w:hAnsi="AAA GoldenLotus"/>
          <w:spacing w:val="-8"/>
          <w:sz w:val="27"/>
          <w:rtl/>
        </w:rPr>
        <w:t xml:space="preserve"> من مجمل الص</w:t>
      </w:r>
      <w:r w:rsidR="00C117AF" w:rsidRPr="00282AC9">
        <w:rPr>
          <w:rFonts w:ascii="AAA GoldenLotus" w:hAnsi="AAA GoldenLotus" w:hint="cs"/>
          <w:spacing w:val="-8"/>
          <w:sz w:val="27"/>
          <w:rtl/>
        </w:rPr>
        <w:t>ِّ</w:t>
      </w:r>
      <w:r w:rsidRPr="00282AC9">
        <w:rPr>
          <w:rFonts w:ascii="AAA GoldenLotus" w:hAnsi="AAA GoldenLotus"/>
          <w:spacing w:val="-8"/>
          <w:sz w:val="27"/>
          <w:rtl/>
        </w:rPr>
        <w:t>ي</w:t>
      </w:r>
      <w:r w:rsidR="00C117AF" w:rsidRPr="00282AC9">
        <w:rPr>
          <w:rFonts w:ascii="AAA GoldenLotus" w:hAnsi="AAA GoldenLotus" w:hint="cs"/>
          <w:spacing w:val="-8"/>
          <w:sz w:val="27"/>
          <w:rtl/>
        </w:rPr>
        <w:t>َ</w:t>
      </w:r>
      <w:r w:rsidRPr="00282AC9">
        <w:rPr>
          <w:rFonts w:ascii="AAA GoldenLotus" w:hAnsi="AAA GoldenLotus"/>
          <w:spacing w:val="-8"/>
          <w:sz w:val="27"/>
          <w:rtl/>
        </w:rPr>
        <w:t xml:space="preserve">غ الأخرى المذكورة بعدها: </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Pr="00282AC9">
        <w:rPr>
          <w:rFonts w:ascii="AAA GoldenLotus" w:hAnsi="AAA GoldenLotus" w:hint="cs"/>
          <w:sz w:val="27"/>
          <w:rtl/>
        </w:rPr>
        <w:t>(</w:t>
      </w:r>
      <w:r w:rsidRPr="00282AC9">
        <w:rPr>
          <w:rFonts w:ascii="AAA GoldenLotus" w:hAnsi="AAA GoldenLotus"/>
          <w:sz w:val="27"/>
          <w:rtl/>
        </w:rPr>
        <w:t>حكم الله على العباد واحد</w:t>
      </w:r>
      <w:r w:rsidR="00C117AF" w:rsidRPr="00282AC9">
        <w:rPr>
          <w:rFonts w:ascii="AAA GoldenLotus" w:hAnsi="AAA GoldenLotus" w:hint="cs"/>
          <w:sz w:val="27"/>
          <w:rtl/>
        </w:rPr>
        <w:t>ٌ</w:t>
      </w:r>
      <w:r w:rsidRPr="00282AC9">
        <w:rPr>
          <w:rFonts w:ascii="AAA GoldenLotus" w:hAnsi="AAA GoldenLotus" w:hint="cs"/>
          <w:sz w:val="27"/>
          <w:rtl/>
        </w:rPr>
        <w:t>)</w:t>
      </w:r>
      <w:r w:rsidR="00C117AF" w:rsidRPr="00282AC9">
        <w:rPr>
          <w:rFonts w:ascii="AAA GoldenLotus" w:hAnsi="AAA GoldenLotus" w:hint="cs"/>
          <w:sz w:val="27"/>
          <w:rtl/>
        </w:rPr>
        <w:t>.</w:t>
      </w:r>
      <w:r w:rsidRPr="00282AC9">
        <w:rPr>
          <w:rFonts w:ascii="AAA GoldenLotus" w:hAnsi="AAA GoldenLotus"/>
          <w:sz w:val="27"/>
          <w:rtl/>
        </w:rPr>
        <w:t xml:space="preserve"> هذه العبارة للشافعي</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3"/>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Pr="00282AC9">
        <w:rPr>
          <w:rFonts w:ascii="AAA GoldenLotus" w:hAnsi="AAA GoldenLotus" w:hint="cs"/>
          <w:sz w:val="27"/>
          <w:rtl/>
        </w:rPr>
        <w:t>(</w:t>
      </w:r>
      <w:r w:rsidRPr="00282AC9">
        <w:rPr>
          <w:rFonts w:ascii="AAA GoldenLotus" w:hAnsi="AAA GoldenLotus"/>
          <w:sz w:val="27"/>
          <w:rtl/>
        </w:rPr>
        <w:t>أحكام الشريعة عام</w:t>
      </w:r>
      <w:r w:rsidR="00C117AF" w:rsidRPr="00282AC9">
        <w:rPr>
          <w:rFonts w:ascii="AAA GoldenLotus" w:hAnsi="AAA GoldenLotus" w:hint="cs"/>
          <w:sz w:val="27"/>
          <w:rtl/>
        </w:rPr>
        <w:t>ّ</w:t>
      </w:r>
      <w:r w:rsidRPr="00282AC9">
        <w:rPr>
          <w:rFonts w:ascii="AAA GoldenLotus" w:hAnsi="AAA GoldenLotus"/>
          <w:sz w:val="27"/>
          <w:rtl/>
        </w:rPr>
        <w:t>ة</w:t>
      </w:r>
      <w:r w:rsidR="00C117AF" w:rsidRPr="00282AC9">
        <w:rPr>
          <w:rFonts w:ascii="AAA GoldenLotus" w:hAnsi="AAA GoldenLotus" w:hint="cs"/>
          <w:sz w:val="27"/>
          <w:rtl/>
        </w:rPr>
        <w:t>ٌ،</w:t>
      </w:r>
      <w:r w:rsidRPr="00282AC9">
        <w:rPr>
          <w:rFonts w:ascii="AAA GoldenLotus" w:hAnsi="AAA GoldenLotus"/>
          <w:sz w:val="27"/>
          <w:rtl/>
        </w:rPr>
        <w:t xml:space="preserve"> لا خاص</w:t>
      </w:r>
      <w:r w:rsidR="00C117AF" w:rsidRPr="00282AC9">
        <w:rPr>
          <w:rFonts w:ascii="AAA GoldenLotus" w:hAnsi="AAA GoldenLotus" w:hint="cs"/>
          <w:sz w:val="27"/>
          <w:rtl/>
        </w:rPr>
        <w:t>ّ</w:t>
      </w:r>
      <w:r w:rsidRPr="00282AC9">
        <w:rPr>
          <w:rFonts w:ascii="AAA GoldenLotus" w:hAnsi="AAA GoldenLotus"/>
          <w:sz w:val="27"/>
          <w:rtl/>
        </w:rPr>
        <w:t>ة</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4"/>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Pr="00282AC9">
        <w:rPr>
          <w:rFonts w:ascii="AAA GoldenLotus" w:hAnsi="AAA GoldenLotus" w:hint="cs"/>
          <w:sz w:val="27"/>
          <w:rtl/>
        </w:rPr>
        <w:t>(</w:t>
      </w:r>
      <w:r w:rsidRPr="00282AC9">
        <w:rPr>
          <w:rFonts w:ascii="AAA GoldenLotus" w:hAnsi="AAA GoldenLotus"/>
          <w:sz w:val="27"/>
          <w:rtl/>
        </w:rPr>
        <w:t>الأصل في الشرائع هو العموم في حق</w:t>
      </w:r>
      <w:r w:rsidR="00C117AF" w:rsidRPr="00282AC9">
        <w:rPr>
          <w:rFonts w:ascii="AAA GoldenLotus" w:hAnsi="AAA GoldenLotus" w:hint="cs"/>
          <w:sz w:val="27"/>
          <w:rtl/>
        </w:rPr>
        <w:t>ّ</w:t>
      </w:r>
      <w:r w:rsidRPr="00282AC9">
        <w:rPr>
          <w:rFonts w:ascii="AAA GoldenLotus" w:hAnsi="AAA GoldenLotus"/>
          <w:sz w:val="27"/>
          <w:rtl/>
        </w:rPr>
        <w:t xml:space="preserve"> الناس كاف</w:t>
      </w:r>
      <w:r w:rsidR="00C117AF" w:rsidRPr="00282AC9">
        <w:rPr>
          <w:rFonts w:ascii="AAA GoldenLotus" w:hAnsi="AAA GoldenLotus" w:hint="cs"/>
          <w:sz w:val="27"/>
          <w:rtl/>
        </w:rPr>
        <w:t>ّ</w:t>
      </w:r>
      <w:r w:rsidRPr="00282AC9">
        <w:rPr>
          <w:rFonts w:ascii="AAA GoldenLotus" w:hAnsi="AAA GoldenLotus"/>
          <w:sz w:val="27"/>
          <w:rtl/>
        </w:rPr>
        <w:t>ة</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5"/>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Pr="00282AC9">
        <w:rPr>
          <w:rFonts w:ascii="AAA GoldenLotus" w:hAnsi="AAA GoldenLotus" w:hint="cs"/>
          <w:sz w:val="27"/>
          <w:rtl/>
        </w:rPr>
        <w:t>(</w:t>
      </w:r>
      <w:r w:rsidRPr="00282AC9">
        <w:rPr>
          <w:rFonts w:ascii="AAA GoldenLotus" w:hAnsi="AAA GoldenLotus"/>
          <w:sz w:val="27"/>
          <w:rtl/>
        </w:rPr>
        <w:t>الشريعة سو</w:t>
      </w:r>
      <w:r w:rsidR="00C117AF" w:rsidRPr="00282AC9">
        <w:rPr>
          <w:rFonts w:ascii="AAA GoldenLotus" w:hAnsi="AAA GoldenLotus" w:hint="cs"/>
          <w:sz w:val="27"/>
          <w:rtl/>
        </w:rPr>
        <w:t>َّ</w:t>
      </w:r>
      <w:r w:rsidRPr="00282AC9">
        <w:rPr>
          <w:rFonts w:ascii="AAA GoldenLotus" w:hAnsi="AAA GoldenLotus"/>
          <w:sz w:val="27"/>
          <w:rtl/>
        </w:rPr>
        <w:t>ت</w:t>
      </w:r>
      <w:r w:rsidR="00C117AF" w:rsidRPr="00282AC9">
        <w:rPr>
          <w:rFonts w:ascii="AAA GoldenLotus" w:hAnsi="AAA GoldenLotus" w:hint="cs"/>
          <w:sz w:val="27"/>
          <w:rtl/>
        </w:rPr>
        <w:t>ْ</w:t>
      </w:r>
      <w:r w:rsidRPr="00282AC9">
        <w:rPr>
          <w:rFonts w:ascii="AAA GoldenLotus" w:hAnsi="AAA GoldenLotus"/>
          <w:sz w:val="27"/>
          <w:rtl/>
        </w:rPr>
        <w:t xml:space="preserve"> بين الناس</w:t>
      </w:r>
      <w:r w:rsidR="00C117AF" w:rsidRPr="00282AC9">
        <w:rPr>
          <w:rFonts w:ascii="AAA GoldenLotus" w:hAnsi="AAA GoldenLotus" w:hint="cs"/>
          <w:sz w:val="27"/>
          <w:rtl/>
        </w:rPr>
        <w:t xml:space="preserve">، </w:t>
      </w:r>
      <w:r w:rsidRPr="00282AC9">
        <w:rPr>
          <w:rFonts w:ascii="AAA GoldenLotus" w:hAnsi="AAA GoldenLotus"/>
          <w:sz w:val="27"/>
          <w:rtl/>
        </w:rPr>
        <w:t>إلا</w:t>
      </w:r>
      <w:r w:rsidR="00C117AF" w:rsidRPr="00282AC9">
        <w:rPr>
          <w:rFonts w:ascii="AAA GoldenLotus" w:hAnsi="AAA GoldenLotus" w:hint="cs"/>
          <w:sz w:val="27"/>
          <w:rtl/>
        </w:rPr>
        <w:t>ّ</w:t>
      </w:r>
      <w:r w:rsidRPr="00282AC9">
        <w:rPr>
          <w:rFonts w:ascii="AAA GoldenLotus" w:hAnsi="AAA GoldenLotus"/>
          <w:sz w:val="27"/>
          <w:rtl/>
        </w:rPr>
        <w:t xml:space="preserve"> ما قام الدليل على تخصيصه</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6"/>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Pr="00282AC9">
        <w:rPr>
          <w:rFonts w:ascii="AAA GoldenLotus" w:hAnsi="AAA GoldenLotus" w:hint="cs"/>
          <w:sz w:val="27"/>
          <w:rtl/>
        </w:rPr>
        <w:t>(</w:t>
      </w:r>
      <w:r w:rsidRPr="00282AC9">
        <w:rPr>
          <w:rFonts w:ascii="AAA GoldenLotus" w:hAnsi="AAA GoldenLotus"/>
          <w:sz w:val="27"/>
          <w:rtl/>
        </w:rPr>
        <w:t>الأحكام عام</w:t>
      </w:r>
      <w:r w:rsidR="00C117AF" w:rsidRPr="00282AC9">
        <w:rPr>
          <w:rFonts w:ascii="AAA GoldenLotus" w:hAnsi="AAA GoldenLotus" w:hint="cs"/>
          <w:sz w:val="27"/>
          <w:rtl/>
        </w:rPr>
        <w:t>ّ</w:t>
      </w:r>
      <w:r w:rsidRPr="00282AC9">
        <w:rPr>
          <w:rFonts w:ascii="AAA GoldenLotus" w:hAnsi="AAA GoldenLotus"/>
          <w:sz w:val="27"/>
          <w:rtl/>
        </w:rPr>
        <w:t>ة</w:t>
      </w:r>
      <w:r w:rsidR="00C117AF" w:rsidRPr="00282AC9">
        <w:rPr>
          <w:rFonts w:ascii="AAA GoldenLotus" w:hAnsi="AAA GoldenLotus" w:hint="cs"/>
          <w:sz w:val="27"/>
          <w:rtl/>
        </w:rPr>
        <w:t>ٌ،</w:t>
      </w:r>
      <w:r w:rsidRPr="00282AC9">
        <w:rPr>
          <w:rFonts w:ascii="AAA GoldenLotus" w:hAnsi="AAA GoldenLotus"/>
          <w:sz w:val="27"/>
          <w:rtl/>
        </w:rPr>
        <w:t xml:space="preserve"> إلا</w:t>
      </w:r>
      <w:r w:rsidR="00C117AF" w:rsidRPr="00282AC9">
        <w:rPr>
          <w:rFonts w:ascii="AAA GoldenLotus" w:hAnsi="AAA GoldenLotus" w:hint="cs"/>
          <w:sz w:val="27"/>
          <w:rtl/>
        </w:rPr>
        <w:t>ّ</w:t>
      </w:r>
      <w:r w:rsidRPr="00282AC9">
        <w:rPr>
          <w:rFonts w:ascii="AAA GoldenLotus" w:hAnsi="AAA GoldenLotus"/>
          <w:sz w:val="27"/>
          <w:rtl/>
        </w:rPr>
        <w:t xml:space="preserve"> حيث ي</w:t>
      </w:r>
      <w:r w:rsidR="00C117AF" w:rsidRPr="00282AC9">
        <w:rPr>
          <w:rFonts w:ascii="AAA GoldenLotus" w:hAnsi="AAA GoldenLotus" w:hint="cs"/>
          <w:sz w:val="27"/>
          <w:rtl/>
        </w:rPr>
        <w:t>َ</w:t>
      </w:r>
      <w:r w:rsidRPr="00282AC9">
        <w:rPr>
          <w:rFonts w:ascii="AAA GoldenLotus" w:hAnsi="AAA GoldenLotus"/>
          <w:sz w:val="27"/>
          <w:rtl/>
        </w:rPr>
        <w:t>ر</w:t>
      </w:r>
      <w:r w:rsidR="00C117AF" w:rsidRPr="00282AC9">
        <w:rPr>
          <w:rFonts w:ascii="AAA GoldenLotus" w:hAnsi="AAA GoldenLotus" w:hint="cs"/>
          <w:sz w:val="27"/>
          <w:rtl/>
        </w:rPr>
        <w:t>ِ</w:t>
      </w:r>
      <w:r w:rsidRPr="00282AC9">
        <w:rPr>
          <w:rFonts w:ascii="AAA GoldenLotus" w:hAnsi="AAA GoldenLotus"/>
          <w:sz w:val="27"/>
          <w:rtl/>
        </w:rPr>
        <w:t>د</w:t>
      </w:r>
      <w:r w:rsidR="00C117AF" w:rsidRPr="00282AC9">
        <w:rPr>
          <w:rFonts w:ascii="AAA GoldenLotus" w:hAnsi="AAA GoldenLotus" w:hint="cs"/>
          <w:sz w:val="27"/>
          <w:rtl/>
        </w:rPr>
        <w:t>ُ</w:t>
      </w:r>
      <w:r w:rsidRPr="00282AC9">
        <w:rPr>
          <w:rFonts w:ascii="AAA GoldenLotus" w:hAnsi="AAA GoldenLotus"/>
          <w:sz w:val="27"/>
          <w:rtl/>
        </w:rPr>
        <w:t xml:space="preserve"> التخصيص</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7"/>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hint="cs"/>
          <w:sz w:val="27"/>
          <w:rtl/>
        </w:rPr>
        <w:t>وقد تفر</w:t>
      </w:r>
      <w:r w:rsidR="00C117AF" w:rsidRPr="00282AC9">
        <w:rPr>
          <w:rFonts w:ascii="AAA GoldenLotus" w:hAnsi="AAA GoldenLotus" w:hint="cs"/>
          <w:sz w:val="27"/>
          <w:rtl/>
        </w:rPr>
        <w:t>َّ</w:t>
      </w:r>
      <w:r w:rsidRPr="00282AC9">
        <w:rPr>
          <w:rFonts w:ascii="AAA GoldenLotus" w:hAnsi="AAA GoldenLotus" w:hint="cs"/>
          <w:sz w:val="27"/>
          <w:rtl/>
        </w:rPr>
        <w:t xml:space="preserve">ع </w:t>
      </w:r>
      <w:r w:rsidRPr="00282AC9">
        <w:rPr>
          <w:rFonts w:ascii="AAA GoldenLotus" w:hAnsi="AAA GoldenLotus"/>
          <w:sz w:val="27"/>
          <w:rtl/>
        </w:rPr>
        <w:t xml:space="preserve">عن قاعدة </w:t>
      </w:r>
      <w:r w:rsidRPr="00282AC9">
        <w:rPr>
          <w:rFonts w:ascii="AAA GoldenLotus" w:hAnsi="AAA GoldenLotus" w:hint="cs"/>
          <w:sz w:val="27"/>
          <w:rtl/>
        </w:rPr>
        <w:t>(</w:t>
      </w:r>
      <w:r w:rsidRPr="00282AC9">
        <w:rPr>
          <w:rFonts w:ascii="AAA GoldenLotus" w:hAnsi="AAA GoldenLotus"/>
          <w:sz w:val="27"/>
          <w:rtl/>
        </w:rPr>
        <w:t>الأصل في الشرائع هو العموم في حق</w:t>
      </w:r>
      <w:r w:rsidR="00C117AF" w:rsidRPr="00282AC9">
        <w:rPr>
          <w:rFonts w:ascii="AAA GoldenLotus" w:hAnsi="AAA GoldenLotus" w:hint="cs"/>
          <w:sz w:val="27"/>
          <w:rtl/>
        </w:rPr>
        <w:t>ّ</w:t>
      </w:r>
      <w:r w:rsidRPr="00282AC9">
        <w:rPr>
          <w:rFonts w:ascii="AAA GoldenLotus" w:hAnsi="AAA GoldenLotus"/>
          <w:sz w:val="27"/>
          <w:rtl/>
        </w:rPr>
        <w:t xml:space="preserve"> الناس كاف</w:t>
      </w:r>
      <w:r w:rsidR="00C117AF" w:rsidRPr="00282AC9">
        <w:rPr>
          <w:rFonts w:ascii="AAA GoldenLotus" w:hAnsi="AAA GoldenLotus" w:hint="cs"/>
          <w:sz w:val="27"/>
          <w:rtl/>
        </w:rPr>
        <w:t>ّ</w:t>
      </w:r>
      <w:r w:rsidRPr="00282AC9">
        <w:rPr>
          <w:rFonts w:ascii="AAA GoldenLotus" w:hAnsi="AAA GoldenLotus"/>
          <w:sz w:val="27"/>
          <w:rtl/>
        </w:rPr>
        <w:t>ة</w:t>
      </w:r>
      <w:r w:rsidR="00C117AF" w:rsidRPr="00282AC9">
        <w:rPr>
          <w:rFonts w:ascii="AAA GoldenLotus" w:hAnsi="AAA GoldenLotus" w:hint="cs"/>
          <w:sz w:val="27"/>
          <w:rtl/>
        </w:rPr>
        <w:t>ً</w:t>
      </w:r>
      <w:r w:rsidRPr="00282AC9">
        <w:rPr>
          <w:rFonts w:ascii="AAA GoldenLotus" w:hAnsi="AAA GoldenLotus" w:hint="cs"/>
          <w:sz w:val="27"/>
          <w:rtl/>
        </w:rPr>
        <w:t>) عد</w:t>
      </w:r>
      <w:r w:rsidR="00C117AF" w:rsidRPr="00282AC9">
        <w:rPr>
          <w:rFonts w:ascii="AAA GoldenLotus" w:hAnsi="AAA GoldenLotus" w:hint="cs"/>
          <w:sz w:val="27"/>
          <w:rtl/>
        </w:rPr>
        <w:t>ّ</w:t>
      </w:r>
      <w:r w:rsidRPr="00282AC9">
        <w:rPr>
          <w:rFonts w:ascii="AAA GoldenLotus" w:hAnsi="AAA GoldenLotus" w:hint="cs"/>
          <w:sz w:val="27"/>
          <w:rtl/>
        </w:rPr>
        <w:t>ة</w:t>
      </w:r>
      <w:r w:rsidR="00C117AF" w:rsidRPr="00282AC9">
        <w:rPr>
          <w:rFonts w:ascii="AAA GoldenLotus" w:hAnsi="AAA GoldenLotus" w:hint="cs"/>
          <w:sz w:val="27"/>
          <w:rtl/>
        </w:rPr>
        <w:t>ٌ</w:t>
      </w:r>
      <w:r w:rsidRPr="00282AC9">
        <w:rPr>
          <w:rFonts w:ascii="AAA GoldenLotus" w:hAnsi="AAA GoldenLotus"/>
          <w:sz w:val="27"/>
          <w:rtl/>
        </w:rPr>
        <w:t xml:space="preserve"> </w:t>
      </w:r>
      <w:r w:rsidR="00C117AF" w:rsidRPr="00282AC9">
        <w:rPr>
          <w:rFonts w:ascii="AAA GoldenLotus" w:hAnsi="AAA GoldenLotus" w:hint="cs"/>
          <w:sz w:val="27"/>
          <w:rtl/>
        </w:rPr>
        <w:t xml:space="preserve">من </w:t>
      </w:r>
      <w:r w:rsidRPr="00282AC9">
        <w:rPr>
          <w:rFonts w:ascii="AAA GoldenLotus" w:hAnsi="AAA GoldenLotus"/>
          <w:sz w:val="27"/>
          <w:rtl/>
        </w:rPr>
        <w:t>القواعد</w:t>
      </w:r>
      <w:r w:rsidRPr="00282AC9">
        <w:rPr>
          <w:rFonts w:ascii="AAA GoldenLotus" w:hAnsi="AAA GoldenLotus" w:hint="cs"/>
          <w:sz w:val="27"/>
          <w:rtl/>
        </w:rPr>
        <w:t xml:space="preserve"> </w:t>
      </w:r>
      <w:r w:rsidR="00C117AF" w:rsidRPr="00282AC9">
        <w:rPr>
          <w:rFonts w:ascii="AAA GoldenLotus" w:hAnsi="AAA GoldenLotus" w:hint="cs"/>
          <w:sz w:val="27"/>
          <w:rtl/>
        </w:rPr>
        <w:t>ال</w:t>
      </w:r>
      <w:r w:rsidRPr="00282AC9">
        <w:rPr>
          <w:rFonts w:ascii="AAA GoldenLotus" w:hAnsi="AAA GoldenLotus" w:hint="cs"/>
          <w:sz w:val="27"/>
          <w:rtl/>
        </w:rPr>
        <w:t xml:space="preserve">فقهية، </w:t>
      </w:r>
      <w:r w:rsidR="00C117AF" w:rsidRPr="00282AC9">
        <w:rPr>
          <w:rFonts w:ascii="AAA GoldenLotus" w:hAnsi="AAA GoldenLotus" w:hint="cs"/>
          <w:sz w:val="27"/>
          <w:rtl/>
        </w:rPr>
        <w:t>و</w:t>
      </w:r>
      <w:r w:rsidRPr="00282AC9">
        <w:rPr>
          <w:rFonts w:ascii="AAA GoldenLotus" w:hAnsi="AAA GoldenLotus" w:hint="cs"/>
          <w:sz w:val="27"/>
          <w:rtl/>
        </w:rPr>
        <w:t>منها:</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Pr="00282AC9">
        <w:rPr>
          <w:rFonts w:ascii="AAA GoldenLotus" w:hAnsi="AAA GoldenLotus" w:hint="cs"/>
          <w:sz w:val="27"/>
          <w:rtl/>
        </w:rPr>
        <w:t>(</w:t>
      </w:r>
      <w:r w:rsidRPr="00282AC9">
        <w:rPr>
          <w:rFonts w:ascii="AAA GoldenLotus" w:hAnsi="AAA GoldenLotus"/>
          <w:sz w:val="27"/>
          <w:rtl/>
        </w:rPr>
        <w:t>ما شر</w:t>
      </w:r>
      <w:r w:rsidR="00C117AF" w:rsidRPr="00282AC9">
        <w:rPr>
          <w:rFonts w:ascii="AAA GoldenLotus" w:hAnsi="AAA GoldenLotus" w:hint="cs"/>
          <w:sz w:val="27"/>
          <w:rtl/>
        </w:rPr>
        <w:t>َّ</w:t>
      </w:r>
      <w:r w:rsidRPr="00282AC9">
        <w:rPr>
          <w:rFonts w:ascii="AAA GoldenLotus" w:hAnsi="AAA GoldenLotus"/>
          <w:sz w:val="27"/>
          <w:rtl/>
        </w:rPr>
        <w:t>عه الله للرجال فالنساء مثله</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8"/>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Pr="00282AC9">
        <w:rPr>
          <w:rFonts w:ascii="AAA GoldenLotus" w:hAnsi="AAA GoldenLotus" w:hint="cs"/>
          <w:sz w:val="27"/>
          <w:rtl/>
        </w:rPr>
        <w:t>(</w:t>
      </w:r>
      <w:r w:rsidRPr="00282AC9">
        <w:rPr>
          <w:rFonts w:ascii="AAA GoldenLotus" w:hAnsi="AAA GoldenLotus"/>
          <w:sz w:val="27"/>
          <w:rtl/>
        </w:rPr>
        <w:t>النساء شقائق الرجال</w:t>
      </w:r>
      <w:r w:rsidR="00C117AF" w:rsidRPr="00282AC9">
        <w:rPr>
          <w:rFonts w:ascii="AAA GoldenLotus" w:hAnsi="AAA GoldenLotus" w:hint="cs"/>
          <w:sz w:val="27"/>
          <w:rtl/>
        </w:rPr>
        <w:t>،</w:t>
      </w:r>
      <w:r w:rsidRPr="00282AC9">
        <w:rPr>
          <w:rFonts w:ascii="AAA GoldenLotus" w:hAnsi="AAA GoldenLotus"/>
          <w:sz w:val="27"/>
          <w:rtl/>
        </w:rPr>
        <w:t xml:space="preserve"> إلاّ ما خص</w:t>
      </w:r>
      <w:r w:rsidR="00C117AF" w:rsidRPr="00282AC9">
        <w:rPr>
          <w:rFonts w:ascii="AAA GoldenLotus" w:hAnsi="AAA GoldenLotus" w:hint="cs"/>
          <w:sz w:val="27"/>
          <w:rtl/>
        </w:rPr>
        <w:t>ّ</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39"/>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00C117AF" w:rsidRPr="00282AC9">
        <w:rPr>
          <w:rFonts w:ascii="AAA GoldenLotus" w:hAnsi="AAA GoldenLotus" w:hint="cs"/>
          <w:sz w:val="27"/>
          <w:rtl/>
        </w:rPr>
        <w:t>(</w:t>
      </w:r>
      <w:r w:rsidRPr="00282AC9">
        <w:rPr>
          <w:rFonts w:ascii="AAA GoldenLotus" w:hAnsi="AAA GoldenLotus"/>
          <w:sz w:val="27"/>
          <w:rtl/>
        </w:rPr>
        <w:t>الكافر يدخل تحت خطاب الناس</w:t>
      </w:r>
      <w:r w:rsidR="00C117AF" w:rsidRPr="00282AC9">
        <w:rPr>
          <w:rFonts w:ascii="AAA GoldenLotus" w:hAnsi="AAA GoldenLotus" w:hint="cs"/>
          <w:sz w:val="27"/>
          <w:rtl/>
        </w:rPr>
        <w:t>،</w:t>
      </w:r>
      <w:r w:rsidRPr="00282AC9">
        <w:rPr>
          <w:rFonts w:ascii="AAA GoldenLotus" w:hAnsi="AAA GoldenLotus"/>
          <w:sz w:val="27"/>
          <w:rtl/>
        </w:rPr>
        <w:t xml:space="preserve"> وكل</w:t>
      </w:r>
      <w:r w:rsidR="00C117AF" w:rsidRPr="00282AC9">
        <w:rPr>
          <w:rFonts w:ascii="AAA GoldenLotus" w:hAnsi="AAA GoldenLotus" w:hint="cs"/>
          <w:sz w:val="27"/>
          <w:rtl/>
        </w:rPr>
        <w:t>ّ</w:t>
      </w:r>
      <w:r w:rsidRPr="00282AC9">
        <w:rPr>
          <w:rFonts w:ascii="AAA GoldenLotus" w:hAnsi="AAA GoldenLotus"/>
          <w:sz w:val="27"/>
          <w:rtl/>
        </w:rPr>
        <w:t xml:space="preserve"> لفظ</w:t>
      </w:r>
      <w:r w:rsidR="00C117AF" w:rsidRPr="00282AC9">
        <w:rPr>
          <w:rFonts w:ascii="AAA GoldenLotus" w:hAnsi="AAA GoldenLotus" w:hint="cs"/>
          <w:sz w:val="27"/>
          <w:rtl/>
        </w:rPr>
        <w:t>ٍ</w:t>
      </w:r>
      <w:r w:rsidRPr="00282AC9">
        <w:rPr>
          <w:rFonts w:ascii="AAA GoldenLotus" w:hAnsi="AAA GoldenLotus"/>
          <w:sz w:val="27"/>
          <w:rtl/>
        </w:rPr>
        <w:t xml:space="preserve"> عام</w:t>
      </w:r>
      <w:r w:rsidR="00C117AF"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0"/>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00C117AF" w:rsidRPr="00282AC9">
        <w:rPr>
          <w:rFonts w:ascii="AAA GoldenLotus" w:hAnsi="AAA GoldenLotus" w:hint="cs"/>
          <w:sz w:val="27"/>
          <w:rtl/>
        </w:rPr>
        <w:t>(</w:t>
      </w:r>
      <w:r w:rsidRPr="00282AC9">
        <w:rPr>
          <w:rFonts w:ascii="AAA GoldenLotus" w:hAnsi="AAA GoldenLotus"/>
          <w:sz w:val="27"/>
          <w:rtl/>
        </w:rPr>
        <w:t>المساواة في سبب الاستحقاق يوجب المساواة في الاستحقاق</w:t>
      </w:r>
      <w:r w:rsidR="00C117AF"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1"/>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lastRenderedPageBreak/>
        <w:t>عند المقارنة بين العناوين التي ورد</w:t>
      </w:r>
      <w:r w:rsidR="00C117AF" w:rsidRPr="00282AC9">
        <w:rPr>
          <w:rFonts w:ascii="AAA GoldenLotus" w:hAnsi="AAA GoldenLotus" w:hint="cs"/>
          <w:sz w:val="27"/>
          <w:rtl/>
        </w:rPr>
        <w:t>َ</w:t>
      </w:r>
      <w:r w:rsidRPr="00282AC9">
        <w:rPr>
          <w:rFonts w:ascii="AAA GoldenLotus" w:hAnsi="AAA GoldenLotus"/>
          <w:sz w:val="27"/>
          <w:rtl/>
        </w:rPr>
        <w:t>ت</w:t>
      </w:r>
      <w:r w:rsidR="00C117AF" w:rsidRPr="00282AC9">
        <w:rPr>
          <w:rFonts w:ascii="AAA GoldenLotus" w:hAnsi="AAA GoldenLotus" w:hint="cs"/>
          <w:sz w:val="27"/>
          <w:rtl/>
        </w:rPr>
        <w:t>ْ</w:t>
      </w:r>
      <w:r w:rsidRPr="00282AC9">
        <w:rPr>
          <w:rFonts w:ascii="AAA GoldenLotus" w:hAnsi="AAA GoldenLotus"/>
          <w:sz w:val="27"/>
          <w:rtl/>
        </w:rPr>
        <w:t xml:space="preserve"> عند جمهور المذاهب</w:t>
      </w:r>
      <w:r w:rsidR="00C117AF" w:rsidRPr="00282AC9">
        <w:rPr>
          <w:rFonts w:ascii="AAA GoldenLotus" w:hAnsi="AAA GoldenLotus" w:hint="cs"/>
          <w:sz w:val="27"/>
          <w:rtl/>
        </w:rPr>
        <w:t xml:space="preserve"> </w:t>
      </w:r>
      <w:r w:rsidRPr="00282AC9">
        <w:rPr>
          <w:rFonts w:ascii="AAA GoldenLotus" w:hAnsi="AAA GoldenLotus"/>
          <w:sz w:val="27"/>
          <w:rtl/>
        </w:rPr>
        <w:t>والتي ورد</w:t>
      </w:r>
      <w:r w:rsidR="00C117AF" w:rsidRPr="00282AC9">
        <w:rPr>
          <w:rFonts w:ascii="AAA GoldenLotus" w:hAnsi="AAA GoldenLotus" w:hint="cs"/>
          <w:sz w:val="27"/>
          <w:rtl/>
        </w:rPr>
        <w:t>َ</w:t>
      </w:r>
      <w:r w:rsidRPr="00282AC9">
        <w:rPr>
          <w:rFonts w:ascii="AAA GoldenLotus" w:hAnsi="AAA GoldenLotus"/>
          <w:sz w:val="27"/>
          <w:rtl/>
        </w:rPr>
        <w:t>ت</w:t>
      </w:r>
      <w:r w:rsidR="00C117AF" w:rsidRPr="00282AC9">
        <w:rPr>
          <w:rFonts w:ascii="AAA GoldenLotus" w:hAnsi="AAA GoldenLotus" w:hint="cs"/>
          <w:sz w:val="27"/>
          <w:rtl/>
        </w:rPr>
        <w:t>ْ</w:t>
      </w:r>
      <w:r w:rsidRPr="00282AC9">
        <w:rPr>
          <w:rFonts w:ascii="AAA GoldenLotus" w:hAnsi="AAA GoldenLotus"/>
          <w:sz w:val="27"/>
          <w:rtl/>
        </w:rPr>
        <w:t xml:space="preserve"> عند الإمامي</w:t>
      </w:r>
      <w:r w:rsidR="00C117AF" w:rsidRPr="00282AC9">
        <w:rPr>
          <w:rFonts w:ascii="AAA GoldenLotus" w:hAnsi="AAA GoldenLotus" w:hint="cs"/>
          <w:sz w:val="27"/>
          <w:rtl/>
        </w:rPr>
        <w:t>ّ</w:t>
      </w:r>
      <w:r w:rsidRPr="00282AC9">
        <w:rPr>
          <w:rFonts w:ascii="AAA GoldenLotus" w:hAnsi="AAA GoldenLotus"/>
          <w:sz w:val="27"/>
          <w:rtl/>
        </w:rPr>
        <w:t>ة ي</w:t>
      </w:r>
      <w:r w:rsidR="00C117AF" w:rsidRPr="00282AC9">
        <w:rPr>
          <w:rFonts w:ascii="AAA GoldenLotus" w:hAnsi="AAA GoldenLotus" w:hint="cs"/>
          <w:sz w:val="27"/>
          <w:rtl/>
        </w:rPr>
        <w:t>ُ</w:t>
      </w:r>
      <w:r w:rsidRPr="00282AC9">
        <w:rPr>
          <w:rFonts w:ascii="AAA GoldenLotus" w:hAnsi="AAA GoldenLotus"/>
          <w:sz w:val="27"/>
          <w:rtl/>
        </w:rPr>
        <w:t>لاح</w:t>
      </w:r>
      <w:r w:rsidR="00C117AF" w:rsidRPr="00282AC9">
        <w:rPr>
          <w:rFonts w:ascii="AAA GoldenLotus" w:hAnsi="AAA GoldenLotus" w:hint="cs"/>
          <w:sz w:val="27"/>
          <w:rtl/>
        </w:rPr>
        <w:t>َ</w:t>
      </w:r>
      <w:r w:rsidRPr="00282AC9">
        <w:rPr>
          <w:rFonts w:ascii="AAA GoldenLotus" w:hAnsi="AAA GoldenLotus"/>
          <w:sz w:val="27"/>
          <w:rtl/>
        </w:rPr>
        <w:t>ظ التقارب الكبير، و</w:t>
      </w:r>
      <w:r w:rsidR="00C117AF" w:rsidRPr="00282AC9">
        <w:rPr>
          <w:rFonts w:ascii="AAA GoldenLotus" w:hAnsi="AAA GoldenLotus" w:hint="cs"/>
          <w:sz w:val="27"/>
          <w:rtl/>
        </w:rPr>
        <w:t>أ</w:t>
      </w:r>
      <w:r w:rsidRPr="00282AC9">
        <w:rPr>
          <w:rFonts w:ascii="AAA GoldenLotus" w:hAnsi="AAA GoldenLotus"/>
          <w:sz w:val="27"/>
          <w:rtl/>
        </w:rPr>
        <w:t>نه مجر</w:t>
      </w:r>
      <w:r w:rsidR="00C117AF" w:rsidRPr="00282AC9">
        <w:rPr>
          <w:rFonts w:ascii="AAA GoldenLotus" w:hAnsi="AAA GoldenLotus" w:hint="cs"/>
          <w:sz w:val="27"/>
          <w:rtl/>
        </w:rPr>
        <w:t>ّ</w:t>
      </w:r>
      <w:r w:rsidRPr="00282AC9">
        <w:rPr>
          <w:rFonts w:ascii="AAA GoldenLotus" w:hAnsi="AAA GoldenLotus"/>
          <w:sz w:val="27"/>
          <w:rtl/>
        </w:rPr>
        <w:t>د اختلاف</w:t>
      </w:r>
      <w:r w:rsidR="00C117AF" w:rsidRPr="00282AC9">
        <w:rPr>
          <w:rFonts w:ascii="AAA GoldenLotus" w:hAnsi="AAA GoldenLotus" w:hint="cs"/>
          <w:sz w:val="27"/>
          <w:rtl/>
        </w:rPr>
        <w:t>ٍ</w:t>
      </w:r>
      <w:r w:rsidRPr="00282AC9">
        <w:rPr>
          <w:rFonts w:ascii="AAA GoldenLotus" w:hAnsi="AAA GoldenLotus"/>
          <w:sz w:val="27"/>
          <w:rtl/>
        </w:rPr>
        <w:t xml:space="preserve"> في التعبير</w:t>
      </w:r>
      <w:r w:rsidR="00C117AF" w:rsidRPr="00282AC9">
        <w:rPr>
          <w:rFonts w:ascii="AAA GoldenLotus" w:hAnsi="AAA GoldenLotus" w:hint="cs"/>
          <w:sz w:val="27"/>
          <w:rtl/>
        </w:rPr>
        <w:t>.</w:t>
      </w:r>
      <w:r w:rsidRPr="00282AC9">
        <w:rPr>
          <w:rFonts w:ascii="AAA GoldenLotus" w:hAnsi="AAA GoldenLotus"/>
          <w:sz w:val="27"/>
          <w:rtl/>
        </w:rPr>
        <w:t xml:space="preserve"> والذي يهم</w:t>
      </w:r>
      <w:r w:rsidR="00C117AF" w:rsidRPr="00282AC9">
        <w:rPr>
          <w:rFonts w:ascii="AAA GoldenLotus" w:hAnsi="AAA GoldenLotus" w:hint="cs"/>
          <w:sz w:val="27"/>
          <w:rtl/>
        </w:rPr>
        <w:t>ّ</w:t>
      </w:r>
      <w:r w:rsidRPr="00282AC9">
        <w:rPr>
          <w:rFonts w:ascii="AAA GoldenLotus" w:hAnsi="AAA GoldenLotus"/>
          <w:sz w:val="27"/>
          <w:rtl/>
        </w:rPr>
        <w:t>نا من هذه العناوين هو نص</w:t>
      </w:r>
      <w:r w:rsidR="00C117AF" w:rsidRPr="00282AC9">
        <w:rPr>
          <w:rFonts w:ascii="AAA GoldenLotus" w:hAnsi="AAA GoldenLotus" w:hint="cs"/>
          <w:sz w:val="27"/>
          <w:rtl/>
        </w:rPr>
        <w:t>ّ</w:t>
      </w:r>
      <w:r w:rsidRPr="00282AC9">
        <w:rPr>
          <w:rFonts w:ascii="AAA GoldenLotus" w:hAnsi="AAA GoldenLotus"/>
          <w:sz w:val="27"/>
          <w:rtl/>
        </w:rPr>
        <w:t xml:space="preserve"> القاعدة الذي يرادف عنوان البحث</w:t>
      </w:r>
      <w:r w:rsidR="00C117AF" w:rsidRPr="00282AC9">
        <w:rPr>
          <w:rFonts w:ascii="AAA GoldenLotus" w:hAnsi="AAA GoldenLotus" w:hint="cs"/>
          <w:sz w:val="27"/>
          <w:rtl/>
        </w:rPr>
        <w:t>،</w:t>
      </w:r>
      <w:r w:rsidRPr="00282AC9">
        <w:rPr>
          <w:rFonts w:ascii="AAA GoldenLotus" w:hAnsi="AAA GoldenLotus"/>
          <w:sz w:val="27"/>
          <w:rtl/>
        </w:rPr>
        <w:t xml:space="preserve"> باعتباره مورد المقارنة</w:t>
      </w:r>
      <w:r w:rsidR="00C117AF" w:rsidRPr="00282AC9">
        <w:rPr>
          <w:rFonts w:ascii="AAA GoldenLotus" w:hAnsi="AAA GoldenLotus" w:hint="cs"/>
          <w:sz w:val="27"/>
          <w:rtl/>
        </w:rPr>
        <w:t>،</w:t>
      </w:r>
      <w:r w:rsidRPr="00282AC9">
        <w:rPr>
          <w:rFonts w:ascii="AAA GoldenLotus" w:hAnsi="AAA GoldenLotus"/>
          <w:sz w:val="27"/>
          <w:rtl/>
        </w:rPr>
        <w:t xml:space="preserve"> وهي العناوين التالية:</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Pr="00282AC9">
        <w:rPr>
          <w:rFonts w:ascii="AAA GoldenLotus" w:hAnsi="AAA GoldenLotus" w:hint="cs"/>
          <w:sz w:val="27"/>
          <w:rtl/>
        </w:rPr>
        <w:t>(</w:t>
      </w:r>
      <w:r w:rsidRPr="00282AC9">
        <w:rPr>
          <w:rFonts w:ascii="AAA GoldenLotus" w:hAnsi="AAA GoldenLotus"/>
          <w:sz w:val="27"/>
          <w:rtl/>
        </w:rPr>
        <w:t>النساء شقائق الرجال</w:t>
      </w:r>
      <w:r w:rsidRPr="00282AC9">
        <w:rPr>
          <w:rFonts w:ascii="AAA GoldenLotus" w:hAnsi="AAA GoldenLotus" w:hint="cs"/>
          <w:sz w:val="27"/>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ـ </w:t>
      </w:r>
      <w:r w:rsidRPr="00282AC9">
        <w:rPr>
          <w:rFonts w:ascii="AAA GoldenLotus" w:hAnsi="AAA GoldenLotus" w:hint="cs"/>
          <w:sz w:val="27"/>
          <w:rtl/>
        </w:rPr>
        <w:t>(</w:t>
      </w:r>
      <w:r w:rsidRPr="00282AC9">
        <w:rPr>
          <w:rFonts w:ascii="AAA GoldenLotus" w:hAnsi="AAA GoldenLotus"/>
          <w:sz w:val="27"/>
          <w:rtl/>
        </w:rPr>
        <w:t>ما شر</w:t>
      </w:r>
      <w:r w:rsidR="00C117AF" w:rsidRPr="00282AC9">
        <w:rPr>
          <w:rFonts w:ascii="AAA GoldenLotus" w:hAnsi="AAA GoldenLotus" w:hint="cs"/>
          <w:sz w:val="27"/>
          <w:rtl/>
        </w:rPr>
        <w:t>َّ</w:t>
      </w:r>
      <w:r w:rsidRPr="00282AC9">
        <w:rPr>
          <w:rFonts w:ascii="AAA GoldenLotus" w:hAnsi="AAA GoldenLotus"/>
          <w:sz w:val="27"/>
          <w:rtl/>
        </w:rPr>
        <w:t>عه الله للرجال فالنساء مثله</w:t>
      </w:r>
      <w:r w:rsidRPr="00282AC9">
        <w:rPr>
          <w:rFonts w:ascii="AAA GoldenLotus" w:hAnsi="AAA GoldenLotus" w:hint="cs"/>
          <w:sz w:val="27"/>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إذن، واستناداً </w:t>
      </w:r>
      <w:r w:rsidR="00C117AF" w:rsidRPr="00282AC9">
        <w:rPr>
          <w:rFonts w:ascii="AAA GoldenLotus" w:hAnsi="AAA GoldenLotus" w:hint="cs"/>
          <w:sz w:val="27"/>
          <w:rtl/>
        </w:rPr>
        <w:t>إ</w:t>
      </w:r>
      <w:r w:rsidRPr="00282AC9">
        <w:rPr>
          <w:rFonts w:ascii="AAA GoldenLotus" w:hAnsi="AAA GoldenLotus"/>
          <w:sz w:val="27"/>
          <w:rtl/>
        </w:rPr>
        <w:t>لى ما تقد</w:t>
      </w:r>
      <w:r w:rsidR="00C117AF" w:rsidRPr="00282AC9">
        <w:rPr>
          <w:rFonts w:ascii="AAA GoldenLotus" w:hAnsi="AAA GoldenLotus" w:hint="cs"/>
          <w:sz w:val="27"/>
          <w:rtl/>
        </w:rPr>
        <w:t>َّ</w:t>
      </w:r>
      <w:r w:rsidRPr="00282AC9">
        <w:rPr>
          <w:rFonts w:ascii="AAA GoldenLotus" w:hAnsi="AAA GoldenLotus"/>
          <w:sz w:val="27"/>
          <w:rtl/>
        </w:rPr>
        <w:t>م، يت</w:t>
      </w:r>
      <w:r w:rsidR="00C117AF" w:rsidRPr="00282AC9">
        <w:rPr>
          <w:rFonts w:ascii="AAA GoldenLotus" w:hAnsi="AAA GoldenLotus" w:hint="cs"/>
          <w:sz w:val="27"/>
          <w:rtl/>
        </w:rPr>
        <w:t>ّ</w:t>
      </w:r>
      <w:r w:rsidRPr="00282AC9">
        <w:rPr>
          <w:rFonts w:ascii="AAA GoldenLotus" w:hAnsi="AAA GoldenLotus"/>
          <w:sz w:val="27"/>
          <w:rtl/>
        </w:rPr>
        <w:t>ضح أن هذين العنوانين للقاعدة الفقهية عند جمهور المذاهب هو تعبير</w:t>
      </w:r>
      <w:r w:rsidR="00C117AF" w:rsidRPr="00282AC9">
        <w:rPr>
          <w:rFonts w:ascii="AAA GoldenLotus" w:hAnsi="AAA GoldenLotus" w:hint="cs"/>
          <w:sz w:val="27"/>
          <w:rtl/>
        </w:rPr>
        <w:t>ٌ</w:t>
      </w:r>
      <w:r w:rsidRPr="00282AC9">
        <w:rPr>
          <w:rFonts w:ascii="AAA GoldenLotus" w:hAnsi="AAA GoldenLotus"/>
          <w:sz w:val="27"/>
          <w:rtl/>
        </w:rPr>
        <w:t xml:space="preserve"> آخر عن قاعدة اشتراك التكليف بين الرجال والنساء عند الإمامي</w:t>
      </w:r>
      <w:r w:rsidR="00C117AF" w:rsidRPr="00282AC9">
        <w:rPr>
          <w:rFonts w:ascii="AAA GoldenLotus" w:hAnsi="AAA GoldenLotus" w:hint="cs"/>
          <w:sz w:val="27"/>
          <w:rtl/>
        </w:rPr>
        <w:t>ّ</w:t>
      </w:r>
      <w:r w:rsidRPr="00282AC9">
        <w:rPr>
          <w:rFonts w:ascii="AAA GoldenLotus" w:hAnsi="AAA GoldenLotus"/>
          <w:sz w:val="27"/>
          <w:rtl/>
        </w:rPr>
        <w:t xml:space="preserve">ة. </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كما </w:t>
      </w:r>
      <w:r w:rsidRPr="00282AC9">
        <w:rPr>
          <w:rFonts w:ascii="AAA GoldenLotus" w:hAnsi="AAA GoldenLotus" w:hint="cs"/>
          <w:sz w:val="27"/>
          <w:rtl/>
        </w:rPr>
        <w:t>أ</w:t>
      </w:r>
      <w:r w:rsidRPr="00282AC9">
        <w:rPr>
          <w:rFonts w:ascii="AAA GoldenLotus" w:hAnsi="AAA GoldenLotus"/>
          <w:sz w:val="27"/>
          <w:rtl/>
        </w:rPr>
        <w:t xml:space="preserve">ن عنوان: </w:t>
      </w:r>
      <w:r w:rsidRPr="00282AC9">
        <w:rPr>
          <w:rFonts w:ascii="AAA GoldenLotus" w:hAnsi="AAA GoldenLotus" w:hint="cs"/>
          <w:sz w:val="27"/>
          <w:rtl/>
        </w:rPr>
        <w:t>(</w:t>
      </w:r>
      <w:r w:rsidRPr="00282AC9">
        <w:rPr>
          <w:rFonts w:ascii="AAA GoldenLotus" w:hAnsi="AAA GoldenLotus"/>
          <w:sz w:val="27"/>
          <w:rtl/>
        </w:rPr>
        <w:t>النساء شقائق الرجال</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2"/>
      </w:r>
      <w:r w:rsidRPr="00282AC9">
        <w:rPr>
          <w:rFonts w:ascii="AAA GoldenLotus" w:hAnsi="AAA GoldenLotus"/>
          <w:sz w:val="27"/>
          <w:vertAlign w:val="superscript"/>
          <w:rtl/>
        </w:rPr>
        <w:t>)</w:t>
      </w:r>
      <w:r w:rsidRPr="00282AC9">
        <w:rPr>
          <w:rFonts w:ascii="AAA GoldenLotus" w:hAnsi="AAA GoldenLotus"/>
          <w:sz w:val="27"/>
          <w:rtl/>
        </w:rPr>
        <w:t>، الذي يعتبر أصل قاعدة اشتراك الأحكام بين الرجال والنساء</w:t>
      </w:r>
      <w:r w:rsidR="00C117AF" w:rsidRPr="00282AC9">
        <w:rPr>
          <w:rFonts w:ascii="AAA GoldenLotus" w:hAnsi="AAA GoldenLotus" w:hint="cs"/>
          <w:sz w:val="27"/>
          <w:rtl/>
        </w:rPr>
        <w:t>،</w:t>
      </w:r>
      <w:r w:rsidRPr="00282AC9">
        <w:rPr>
          <w:rFonts w:ascii="AAA GoldenLotus" w:hAnsi="AAA GoldenLotus"/>
          <w:sz w:val="27"/>
          <w:rtl/>
        </w:rPr>
        <w:t xml:space="preserve"> وموضوع الماد</w:t>
      </w:r>
      <w:r w:rsidR="00C117AF" w:rsidRPr="00282AC9">
        <w:rPr>
          <w:rFonts w:ascii="AAA GoldenLotus" w:hAnsi="AAA GoldenLotus" w:hint="cs"/>
          <w:sz w:val="27"/>
          <w:rtl/>
        </w:rPr>
        <w:t>ّة</w:t>
      </w:r>
      <w:r w:rsidRPr="00282AC9">
        <w:rPr>
          <w:rFonts w:ascii="AAA GoldenLotus" w:hAnsi="AAA GoldenLotus"/>
          <w:sz w:val="27"/>
          <w:rtl/>
        </w:rPr>
        <w:t xml:space="preserve"> العلمي</w:t>
      </w:r>
      <w:r w:rsidR="00C117AF" w:rsidRPr="00282AC9">
        <w:rPr>
          <w:rFonts w:ascii="AAA GoldenLotus" w:hAnsi="AAA GoldenLotus" w:hint="cs"/>
          <w:sz w:val="27"/>
          <w:rtl/>
        </w:rPr>
        <w:t>ّ</w:t>
      </w:r>
      <w:r w:rsidRPr="00282AC9">
        <w:rPr>
          <w:rFonts w:ascii="AAA GoldenLotus" w:hAnsi="AAA GoldenLotus"/>
          <w:sz w:val="27"/>
          <w:rtl/>
        </w:rPr>
        <w:t>ة لها، هو نص</w:t>
      </w:r>
      <w:r w:rsidR="00C117AF" w:rsidRPr="00282AC9">
        <w:rPr>
          <w:rFonts w:ascii="AAA GoldenLotus" w:hAnsi="AAA GoldenLotus" w:hint="cs"/>
          <w:sz w:val="27"/>
          <w:rtl/>
        </w:rPr>
        <w:t>ُّ</w:t>
      </w:r>
      <w:r w:rsidRPr="00282AC9">
        <w:rPr>
          <w:rFonts w:ascii="AAA GoldenLotus" w:hAnsi="AAA GoldenLotus"/>
          <w:sz w:val="27"/>
          <w:rtl/>
        </w:rPr>
        <w:t xml:space="preserve"> حديث</w:t>
      </w:r>
      <w:r w:rsidR="00C117AF" w:rsidRPr="00282AC9">
        <w:rPr>
          <w:rFonts w:ascii="AAA GoldenLotus" w:hAnsi="AAA GoldenLotus" w:hint="cs"/>
          <w:sz w:val="27"/>
          <w:rtl/>
        </w:rPr>
        <w:t>ٍ</w:t>
      </w:r>
      <w:r w:rsidRPr="00282AC9">
        <w:rPr>
          <w:rFonts w:ascii="AAA GoldenLotus" w:hAnsi="AAA GoldenLotus"/>
          <w:sz w:val="27"/>
          <w:rtl/>
        </w:rPr>
        <w:t xml:space="preserve"> نبوي</w:t>
      </w:r>
      <w:r w:rsidR="00C117AF" w:rsidRPr="00282AC9">
        <w:rPr>
          <w:rFonts w:ascii="AAA GoldenLotus" w:hAnsi="AAA GoldenLotus" w:hint="cs"/>
          <w:sz w:val="27"/>
          <w:rtl/>
        </w:rPr>
        <w:t>ٍّ</w:t>
      </w:r>
      <w:r w:rsidRPr="00282AC9">
        <w:rPr>
          <w:rFonts w:ascii="AAA GoldenLotus" w:hAnsi="AAA GoldenLotus"/>
          <w:sz w:val="27"/>
          <w:rtl/>
        </w:rPr>
        <w:t xml:space="preserve"> شريف</w:t>
      </w:r>
      <w:r w:rsidR="00C117AF" w:rsidRPr="00282AC9">
        <w:rPr>
          <w:rFonts w:ascii="AAA GoldenLotus" w:hAnsi="AAA GoldenLotus" w:hint="cs"/>
          <w:sz w:val="27"/>
          <w:rtl/>
        </w:rPr>
        <w:t>،</w:t>
      </w:r>
      <w:r w:rsidRPr="00282AC9">
        <w:rPr>
          <w:rFonts w:ascii="AAA GoldenLotus" w:hAnsi="AAA GoldenLotus"/>
          <w:sz w:val="27"/>
          <w:rtl/>
        </w:rPr>
        <w:t xml:space="preserve"> ر</w:t>
      </w:r>
      <w:r w:rsidR="00C117AF" w:rsidRPr="00282AC9">
        <w:rPr>
          <w:rFonts w:ascii="AAA GoldenLotus" w:hAnsi="AAA GoldenLotus" w:hint="cs"/>
          <w:sz w:val="27"/>
          <w:rtl/>
        </w:rPr>
        <w:t>َ</w:t>
      </w:r>
      <w:r w:rsidRPr="00282AC9">
        <w:rPr>
          <w:rFonts w:ascii="AAA GoldenLotus" w:hAnsi="AAA GoldenLotus"/>
          <w:sz w:val="27"/>
          <w:rtl/>
        </w:rPr>
        <w:t>و</w:t>
      </w:r>
      <w:r w:rsidR="00C117AF" w:rsidRPr="00282AC9">
        <w:rPr>
          <w:rFonts w:ascii="AAA GoldenLotus" w:hAnsi="AAA GoldenLotus" w:hint="cs"/>
          <w:sz w:val="27"/>
          <w:rtl/>
        </w:rPr>
        <w:t>َ</w:t>
      </w:r>
      <w:r w:rsidRPr="00282AC9">
        <w:rPr>
          <w:rFonts w:ascii="AAA GoldenLotus" w:hAnsi="AAA GoldenLotus"/>
          <w:sz w:val="27"/>
          <w:rtl/>
        </w:rPr>
        <w:t>ت</w:t>
      </w:r>
      <w:r w:rsidR="00C117AF" w:rsidRPr="00282AC9">
        <w:rPr>
          <w:rFonts w:ascii="AAA GoldenLotus" w:hAnsi="AAA GoldenLotus" w:hint="cs"/>
          <w:sz w:val="27"/>
          <w:rtl/>
        </w:rPr>
        <w:t>ْ</w:t>
      </w:r>
      <w:r w:rsidRPr="00282AC9">
        <w:rPr>
          <w:rFonts w:ascii="AAA GoldenLotus" w:hAnsi="AAA GoldenLotus"/>
          <w:sz w:val="27"/>
          <w:rtl/>
        </w:rPr>
        <w:t>ه جوامع الأحاديث عندهم، ثم</w:t>
      </w:r>
      <w:r w:rsidR="00C117AF" w:rsidRPr="00282AC9">
        <w:rPr>
          <w:rFonts w:ascii="AAA GoldenLotus" w:hAnsi="AAA GoldenLotus" w:hint="cs"/>
          <w:sz w:val="27"/>
          <w:rtl/>
        </w:rPr>
        <w:t>ّ</w:t>
      </w:r>
      <w:r w:rsidRPr="00282AC9">
        <w:rPr>
          <w:rFonts w:ascii="AAA GoldenLotus" w:hAnsi="AAA GoldenLotus"/>
          <w:sz w:val="27"/>
          <w:rtl/>
        </w:rPr>
        <w:t xml:space="preserve"> جرى مجرى القاعدة عند الفقهاء، فتكون هذه القاعدة عند الجمهور من القواعد التي هي من حيث ذات</w:t>
      </w:r>
      <w:r w:rsidR="00C117AF" w:rsidRPr="00282AC9">
        <w:rPr>
          <w:rFonts w:ascii="AAA GoldenLotus" w:hAnsi="AAA GoldenLotus" w:hint="cs"/>
          <w:sz w:val="27"/>
          <w:rtl/>
        </w:rPr>
        <w:t>ُ</w:t>
      </w:r>
      <w:r w:rsidRPr="00282AC9">
        <w:rPr>
          <w:rFonts w:ascii="AAA GoldenLotus" w:hAnsi="AAA GoldenLotus"/>
          <w:sz w:val="27"/>
          <w:rtl/>
        </w:rPr>
        <w:t>ها نصوص الأحاديث الشريف</w:t>
      </w:r>
      <w:r w:rsidRPr="00282AC9">
        <w:rPr>
          <w:rFonts w:ascii="AAA GoldenLotus" w:hAnsi="AAA GoldenLotus" w:hint="cs"/>
          <w:sz w:val="27"/>
          <w:rtl/>
        </w:rPr>
        <w:t>ة</w:t>
      </w:r>
      <w:r w:rsidRPr="00282AC9">
        <w:rPr>
          <w:rFonts w:ascii="AAA GoldenLotus" w:hAnsi="AAA GoldenLotus"/>
          <w:sz w:val="27"/>
          <w:rtl/>
        </w:rPr>
        <w:t>.</w:t>
      </w:r>
    </w:p>
    <w:p w:rsidR="00000866" w:rsidRPr="00282AC9" w:rsidRDefault="00000866" w:rsidP="00000866">
      <w:pPr>
        <w:spacing w:line="420" w:lineRule="exact"/>
        <w:rPr>
          <w:rtl/>
        </w:rPr>
      </w:pPr>
    </w:p>
    <w:p w:rsidR="00E355F2" w:rsidRPr="00282AC9" w:rsidRDefault="002B6910" w:rsidP="002B6910">
      <w:pPr>
        <w:pStyle w:val="31"/>
        <w:rPr>
          <w:color w:val="auto"/>
          <w:rtl/>
        </w:rPr>
      </w:pPr>
      <w:r w:rsidRPr="00282AC9">
        <w:rPr>
          <w:rFonts w:hint="cs"/>
          <w:color w:val="auto"/>
          <w:rtl/>
        </w:rPr>
        <w:t>2ـ</w:t>
      </w:r>
      <w:r w:rsidR="00E355F2" w:rsidRPr="00282AC9">
        <w:rPr>
          <w:rFonts w:hint="cs"/>
          <w:color w:val="auto"/>
          <w:rtl/>
        </w:rPr>
        <w:t xml:space="preserve"> </w:t>
      </w:r>
      <w:r w:rsidR="00E355F2" w:rsidRPr="00282AC9">
        <w:rPr>
          <w:color w:val="auto"/>
          <w:rtl/>
        </w:rPr>
        <w:t xml:space="preserve">مفاد </w:t>
      </w:r>
      <w:r w:rsidRPr="00282AC9">
        <w:rPr>
          <w:rFonts w:hint="cs"/>
          <w:color w:val="auto"/>
          <w:rtl/>
        </w:rPr>
        <w:t>ال</w:t>
      </w:r>
      <w:r w:rsidR="00E355F2" w:rsidRPr="00282AC9">
        <w:rPr>
          <w:color w:val="auto"/>
          <w:rtl/>
        </w:rPr>
        <w:t>قاعدة</w:t>
      </w:r>
    </w:p>
    <w:p w:rsidR="00E355F2" w:rsidRPr="00282AC9" w:rsidRDefault="00E355F2" w:rsidP="00046546">
      <w:pPr>
        <w:rPr>
          <w:rFonts w:ascii="AAA GoldenLotus" w:hAnsi="AAA GoldenLotus"/>
          <w:sz w:val="27"/>
          <w:rtl/>
        </w:rPr>
      </w:pPr>
      <w:r w:rsidRPr="00282AC9">
        <w:rPr>
          <w:rFonts w:ascii="AAA GoldenLotus" w:hAnsi="AAA GoldenLotus"/>
          <w:sz w:val="27"/>
          <w:rtl/>
        </w:rPr>
        <w:t>بما أن القاعدة المبحوث عنها فرعٌ من فروع قاعدة اشتراك التكليف العام</w:t>
      </w:r>
      <w:r w:rsidR="00B7006B" w:rsidRPr="00282AC9">
        <w:rPr>
          <w:rFonts w:ascii="AAA GoldenLotus" w:hAnsi="AAA GoldenLotus" w:hint="cs"/>
          <w:sz w:val="27"/>
          <w:rtl/>
        </w:rPr>
        <w:t>ّ</w:t>
      </w:r>
      <w:r w:rsidRPr="00282AC9">
        <w:rPr>
          <w:rFonts w:ascii="AAA GoldenLotus" w:hAnsi="AAA GoldenLotus"/>
          <w:sz w:val="27"/>
          <w:rtl/>
        </w:rPr>
        <w:t>ة</w:t>
      </w:r>
      <w:r w:rsidR="00B7006B" w:rsidRPr="00282AC9">
        <w:rPr>
          <w:rFonts w:ascii="AAA GoldenLotus" w:hAnsi="AAA GoldenLotus" w:hint="cs"/>
          <w:sz w:val="27"/>
          <w:rtl/>
        </w:rPr>
        <w:t>،</w:t>
      </w:r>
      <w:r w:rsidRPr="00282AC9">
        <w:rPr>
          <w:rFonts w:ascii="AAA GoldenLotus" w:hAnsi="AAA GoldenLotus"/>
          <w:sz w:val="27"/>
          <w:rtl/>
        </w:rPr>
        <w:t xml:space="preserve"> والتي تضم</w:t>
      </w:r>
      <w:r w:rsidR="00B7006B" w:rsidRPr="00282AC9">
        <w:rPr>
          <w:rFonts w:ascii="AAA GoldenLotus" w:hAnsi="AAA GoldenLotus" w:hint="cs"/>
          <w:sz w:val="27"/>
          <w:rtl/>
        </w:rPr>
        <w:t>ّ</w:t>
      </w:r>
      <w:r w:rsidRPr="00282AC9">
        <w:rPr>
          <w:rFonts w:ascii="AAA GoldenLotus" w:hAnsi="AAA GoldenLotus" w:hint="cs"/>
          <w:sz w:val="27"/>
          <w:rtl/>
        </w:rPr>
        <w:t xml:space="preserve"> بصيغتها الكل</w:t>
      </w:r>
      <w:r w:rsidR="00B7006B" w:rsidRPr="00282AC9">
        <w:rPr>
          <w:rFonts w:ascii="AAA GoldenLotus" w:hAnsi="AAA GoldenLotus" w:hint="cs"/>
          <w:sz w:val="27"/>
          <w:rtl/>
        </w:rPr>
        <w:t>ِّ</w:t>
      </w:r>
      <w:r w:rsidRPr="00282AC9">
        <w:rPr>
          <w:rFonts w:ascii="AAA GoldenLotus" w:hAnsi="AAA GoldenLotus" w:hint="cs"/>
          <w:sz w:val="27"/>
          <w:rtl/>
        </w:rPr>
        <w:t>ية</w:t>
      </w:r>
      <w:r w:rsidRPr="00282AC9">
        <w:rPr>
          <w:rFonts w:ascii="AAA GoldenLotus" w:hAnsi="AAA GoldenLotus"/>
          <w:sz w:val="27"/>
          <w:rtl/>
        </w:rPr>
        <w:t xml:space="preserve"> الاشتراك بين العالمين والجاهلين، وبين المسلمين والكف</w:t>
      </w:r>
      <w:r w:rsidR="00B7006B" w:rsidRPr="00282AC9">
        <w:rPr>
          <w:rFonts w:ascii="AAA GoldenLotus" w:hAnsi="AAA GoldenLotus" w:hint="cs"/>
          <w:sz w:val="27"/>
          <w:rtl/>
        </w:rPr>
        <w:t>ّ</w:t>
      </w:r>
      <w:r w:rsidRPr="00282AC9">
        <w:rPr>
          <w:rFonts w:ascii="AAA GoldenLotus" w:hAnsi="AAA GoldenLotus"/>
          <w:sz w:val="27"/>
          <w:rtl/>
        </w:rPr>
        <w:t>ار، وبين الحاضرين والغائبين، وبين الرجل والمرأة...، فمن المناسب الإشارة إلى مفاد ومعنى قاعدة الاشتراك العام</w:t>
      </w:r>
      <w:r w:rsidR="00B7006B" w:rsidRPr="00282AC9">
        <w:rPr>
          <w:rFonts w:ascii="AAA GoldenLotus" w:hAnsi="AAA GoldenLotus" w:hint="cs"/>
          <w:sz w:val="27"/>
          <w:rtl/>
        </w:rPr>
        <w:t>ّ</w:t>
      </w:r>
      <w:r w:rsidRPr="00282AC9">
        <w:rPr>
          <w:rFonts w:ascii="AAA GoldenLotus" w:hAnsi="AAA GoldenLotus"/>
          <w:sz w:val="27"/>
          <w:rtl/>
        </w:rPr>
        <w:t>ة</w:t>
      </w:r>
      <w:r w:rsidR="00B7006B" w:rsidRPr="00282AC9">
        <w:rPr>
          <w:rFonts w:ascii="AAA GoldenLotus" w:hAnsi="AAA GoldenLotus" w:hint="cs"/>
          <w:sz w:val="27"/>
          <w:rtl/>
        </w:rPr>
        <w:t>،</w:t>
      </w:r>
      <w:r w:rsidRPr="00282AC9">
        <w:rPr>
          <w:rFonts w:ascii="AAA GoldenLotus" w:hAnsi="AAA GoldenLotus" w:hint="cs"/>
          <w:sz w:val="27"/>
          <w:rtl/>
        </w:rPr>
        <w:t xml:space="preserve"> وباختصار</w:t>
      </w:r>
      <w:r w:rsidR="00B7006B" w:rsidRPr="00282AC9">
        <w:rPr>
          <w:rFonts w:ascii="AAA GoldenLotus" w:hAnsi="AAA GoldenLotus" w:hint="cs"/>
          <w:sz w:val="27"/>
          <w:rtl/>
        </w:rPr>
        <w:t>ٍ</w:t>
      </w:r>
      <w:r w:rsidRPr="00282AC9">
        <w:rPr>
          <w:rFonts w:ascii="AAA GoldenLotus" w:hAnsi="AAA GoldenLotus" w:hint="cs"/>
          <w:sz w:val="27"/>
          <w:rtl/>
        </w:rPr>
        <w:t xml:space="preserve"> شديد أو</w:t>
      </w:r>
      <w:r w:rsidR="00B7006B" w:rsidRPr="00282AC9">
        <w:rPr>
          <w:rFonts w:ascii="AAA GoldenLotus" w:hAnsi="AAA GoldenLotus" w:hint="cs"/>
          <w:sz w:val="27"/>
          <w:rtl/>
        </w:rPr>
        <w:t>ّ</w:t>
      </w:r>
      <w:r w:rsidRPr="00282AC9">
        <w:rPr>
          <w:rFonts w:ascii="AAA GoldenLotus" w:hAnsi="AAA GoldenLotus" w:hint="cs"/>
          <w:sz w:val="27"/>
          <w:rtl/>
        </w:rPr>
        <w:t>لاً، ثم</w:t>
      </w:r>
      <w:r w:rsidR="00B7006B" w:rsidRPr="00282AC9">
        <w:rPr>
          <w:rFonts w:ascii="AAA GoldenLotus" w:hAnsi="AAA GoldenLotus" w:hint="cs"/>
          <w:sz w:val="27"/>
          <w:rtl/>
        </w:rPr>
        <w:t>ّ</w:t>
      </w:r>
      <w:r w:rsidRPr="00282AC9">
        <w:rPr>
          <w:rFonts w:ascii="AAA GoldenLotus" w:hAnsi="AAA GoldenLotus" w:hint="cs"/>
          <w:sz w:val="27"/>
          <w:rtl/>
        </w:rPr>
        <w:t xml:space="preserve"> بيان مفاد القاعدة الفرعي</w:t>
      </w:r>
      <w:r w:rsidR="00B7006B" w:rsidRPr="00282AC9">
        <w:rPr>
          <w:rFonts w:ascii="AAA GoldenLotus" w:hAnsi="AAA GoldenLotus" w:hint="cs"/>
          <w:sz w:val="27"/>
          <w:rtl/>
        </w:rPr>
        <w:t>ّ</w:t>
      </w:r>
      <w:r w:rsidRPr="00282AC9">
        <w:rPr>
          <w:rFonts w:ascii="AAA GoldenLotus" w:hAnsi="AAA GoldenLotus" w:hint="cs"/>
          <w:sz w:val="27"/>
          <w:rtl/>
        </w:rPr>
        <w:t>ة المبحوث عنها ثانياً</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hint="cs"/>
          <w:sz w:val="27"/>
          <w:rtl/>
        </w:rPr>
        <w:t>أما مفاد</w:t>
      </w:r>
      <w:r w:rsidRPr="00282AC9">
        <w:rPr>
          <w:rFonts w:ascii="AAA GoldenLotus" w:hAnsi="AAA GoldenLotus"/>
          <w:sz w:val="27"/>
          <w:rtl/>
        </w:rPr>
        <w:t xml:space="preserve"> القاعدة العام</w:t>
      </w:r>
      <w:r w:rsidR="00B7006B" w:rsidRPr="00282AC9">
        <w:rPr>
          <w:rFonts w:ascii="AAA GoldenLotus" w:hAnsi="AAA GoldenLotus" w:hint="cs"/>
          <w:sz w:val="27"/>
          <w:rtl/>
        </w:rPr>
        <w:t>ّ</w:t>
      </w:r>
      <w:r w:rsidRPr="00282AC9">
        <w:rPr>
          <w:rFonts w:ascii="AAA GoldenLotus" w:hAnsi="AAA GoldenLotus"/>
          <w:sz w:val="27"/>
          <w:rtl/>
        </w:rPr>
        <w:t>ة و</w:t>
      </w:r>
      <w:r w:rsidRPr="00282AC9">
        <w:rPr>
          <w:rFonts w:ascii="AAA GoldenLotus" w:hAnsi="AAA GoldenLotus" w:hint="cs"/>
          <w:sz w:val="27"/>
          <w:rtl/>
        </w:rPr>
        <w:t>مضمونها</w:t>
      </w:r>
      <w:r w:rsidRPr="00282AC9">
        <w:rPr>
          <w:rFonts w:ascii="AAA GoldenLotus" w:hAnsi="AAA GoldenLotus"/>
          <w:sz w:val="27"/>
          <w:rtl/>
        </w:rPr>
        <w:t xml:space="preserve"> </w:t>
      </w:r>
      <w:r w:rsidRPr="00282AC9">
        <w:rPr>
          <w:rFonts w:ascii="AAA GoldenLotus" w:hAnsi="AAA GoldenLotus" w:hint="cs"/>
          <w:sz w:val="27"/>
          <w:rtl/>
        </w:rPr>
        <w:t>ف</w:t>
      </w:r>
      <w:r w:rsidRPr="00282AC9">
        <w:rPr>
          <w:rFonts w:ascii="AAA GoldenLotus" w:hAnsi="AAA GoldenLotus"/>
          <w:sz w:val="27"/>
          <w:rtl/>
        </w:rPr>
        <w:t>اشتراك المسلمين في الأحكام التكليفية والوضعية، لا العقائد الدينية؛ لأن القاعدة المبحوث عنها في المقام هي من القواعد الفقهية</w:t>
      </w:r>
      <w:r w:rsidR="00B7006B" w:rsidRPr="00282AC9">
        <w:rPr>
          <w:rFonts w:ascii="AAA GoldenLotus" w:hAnsi="AAA GoldenLotus" w:hint="cs"/>
          <w:sz w:val="27"/>
          <w:rtl/>
        </w:rPr>
        <w:t>،</w:t>
      </w:r>
      <w:r w:rsidRPr="00282AC9">
        <w:rPr>
          <w:rFonts w:ascii="AAA GoldenLotus" w:hAnsi="AAA GoldenLotus"/>
          <w:sz w:val="27"/>
          <w:rtl/>
        </w:rPr>
        <w:t xml:space="preserve"> التي تفيد اشتراك جميع المكل</w:t>
      </w:r>
      <w:r w:rsidR="00B7006B" w:rsidRPr="00282AC9">
        <w:rPr>
          <w:rFonts w:ascii="AAA GoldenLotus" w:hAnsi="AAA GoldenLotus" w:hint="cs"/>
          <w:sz w:val="27"/>
          <w:rtl/>
        </w:rPr>
        <w:t>َّ</w:t>
      </w:r>
      <w:r w:rsidRPr="00282AC9">
        <w:rPr>
          <w:rFonts w:ascii="AAA GoldenLotus" w:hAnsi="AAA GoldenLotus"/>
          <w:sz w:val="27"/>
          <w:rtl/>
        </w:rPr>
        <w:t>فين من المسلمين في أصل التكليف، وتعمّ الحاضرين والغائبين</w:t>
      </w:r>
      <w:r w:rsidR="00B7006B" w:rsidRPr="00282AC9">
        <w:rPr>
          <w:rFonts w:ascii="AAA GoldenLotus" w:hAnsi="AAA GoldenLotus" w:hint="cs"/>
          <w:sz w:val="27"/>
          <w:rtl/>
        </w:rPr>
        <w:t>،</w:t>
      </w:r>
      <w:r w:rsidRPr="00282AC9">
        <w:rPr>
          <w:rFonts w:ascii="AAA GoldenLotus" w:hAnsi="AAA GoldenLotus"/>
          <w:sz w:val="27"/>
          <w:rtl/>
        </w:rPr>
        <w:t xml:space="preserve"> رجالاً ونساءً</w:t>
      </w:r>
      <w:r w:rsidR="00B7006B" w:rsidRPr="00282AC9">
        <w:rPr>
          <w:rFonts w:ascii="AAA GoldenLotus" w:hAnsi="AAA GoldenLotus" w:hint="cs"/>
          <w:sz w:val="27"/>
          <w:rtl/>
        </w:rPr>
        <w:t>،</w:t>
      </w:r>
      <w:r w:rsidRPr="00282AC9">
        <w:rPr>
          <w:rFonts w:ascii="AAA GoldenLotus" w:hAnsi="AAA GoldenLotus"/>
          <w:sz w:val="27"/>
          <w:rtl/>
        </w:rPr>
        <w:t xml:space="preserve"> أحراراً وعبيداً</w:t>
      </w:r>
      <w:r w:rsidR="00B7006B" w:rsidRPr="00282AC9">
        <w:rPr>
          <w:rFonts w:ascii="AAA GoldenLotus" w:hAnsi="AAA GoldenLotus" w:hint="cs"/>
          <w:sz w:val="27"/>
          <w:rtl/>
        </w:rPr>
        <w:t>،</w:t>
      </w:r>
      <w:r w:rsidRPr="00282AC9">
        <w:rPr>
          <w:rFonts w:ascii="AAA GoldenLotus" w:hAnsi="AAA GoldenLotus"/>
          <w:sz w:val="27"/>
          <w:rtl/>
        </w:rPr>
        <w:t xml:space="preserve"> وجميع الطوائف والقبائل منهم إلى يوم القيامة، ما لم يثبت الاختصاص بدليل</w:t>
      </w:r>
      <w:r w:rsidR="00B7006B" w:rsidRPr="00282AC9">
        <w:rPr>
          <w:rFonts w:ascii="AAA GoldenLotus" w:hAnsi="AAA GoldenLotus" w:hint="cs"/>
          <w:sz w:val="27"/>
          <w:rtl/>
        </w:rPr>
        <w:t>ٍ؛</w:t>
      </w:r>
      <w:r w:rsidRPr="00282AC9">
        <w:rPr>
          <w:rFonts w:ascii="AAA GoldenLotus" w:hAnsi="AAA GoldenLotus"/>
          <w:sz w:val="27"/>
          <w:rtl/>
        </w:rPr>
        <w:t xml:space="preserve"> التزاماً بمبدأ عالميّة الد</w:t>
      </w:r>
      <w:r w:rsidR="00B7006B" w:rsidRPr="00282AC9">
        <w:rPr>
          <w:rFonts w:ascii="AAA GoldenLotus" w:hAnsi="AAA GoldenLotus" w:hint="cs"/>
          <w:sz w:val="27"/>
          <w:rtl/>
        </w:rPr>
        <w:t>ِّ</w:t>
      </w:r>
      <w:r w:rsidRPr="00282AC9">
        <w:rPr>
          <w:rFonts w:ascii="AAA GoldenLotus" w:hAnsi="AAA GoldenLotus"/>
          <w:sz w:val="27"/>
          <w:rtl/>
        </w:rPr>
        <w:t>ين الإسلاميّ،</w:t>
      </w:r>
      <w:r w:rsidR="00B7006B" w:rsidRPr="00282AC9">
        <w:rPr>
          <w:rFonts w:ascii="AAA GoldenLotus" w:hAnsi="AAA GoldenLotus"/>
          <w:sz w:val="27"/>
          <w:rtl/>
        </w:rPr>
        <w:t xml:space="preserve"> </w:t>
      </w:r>
      <w:r w:rsidR="00B7006B" w:rsidRPr="00282AC9">
        <w:rPr>
          <w:rFonts w:ascii="AAA GoldenLotus" w:hAnsi="AAA GoldenLotus"/>
          <w:sz w:val="27"/>
          <w:rtl/>
        </w:rPr>
        <w:lastRenderedPageBreak/>
        <w:t>وتعميماً لجميع الأحكام ال</w:t>
      </w:r>
      <w:r w:rsidRPr="00282AC9">
        <w:rPr>
          <w:rFonts w:ascii="AAA GoldenLotus" w:hAnsi="AAA GoldenLotus"/>
          <w:sz w:val="27"/>
          <w:rtl/>
        </w:rPr>
        <w:t>تي صدر</w:t>
      </w:r>
      <w:r w:rsidR="00B7006B" w:rsidRPr="00282AC9">
        <w:rPr>
          <w:rFonts w:ascii="AAA GoldenLotus" w:hAnsi="AAA GoldenLotus" w:hint="cs"/>
          <w:sz w:val="27"/>
          <w:rtl/>
        </w:rPr>
        <w:t>َ</w:t>
      </w:r>
      <w:r w:rsidRPr="00282AC9">
        <w:rPr>
          <w:rFonts w:ascii="AAA GoldenLotus" w:hAnsi="AAA GoldenLotus"/>
          <w:sz w:val="27"/>
          <w:rtl/>
        </w:rPr>
        <w:t>ت</w:t>
      </w:r>
      <w:r w:rsidR="00B7006B" w:rsidRPr="00282AC9">
        <w:rPr>
          <w:rFonts w:ascii="AAA GoldenLotus" w:hAnsi="AAA GoldenLotus" w:hint="cs"/>
          <w:sz w:val="27"/>
          <w:rtl/>
        </w:rPr>
        <w:t>ْ</w:t>
      </w:r>
      <w:r w:rsidRPr="00282AC9">
        <w:rPr>
          <w:rFonts w:ascii="AAA GoldenLotus" w:hAnsi="AAA GoldenLotus"/>
          <w:sz w:val="27"/>
          <w:rtl/>
        </w:rPr>
        <w:t xml:space="preserve"> في مناسبات</w:t>
      </w:r>
      <w:r w:rsidR="00B7006B" w:rsidRPr="00282AC9">
        <w:rPr>
          <w:rFonts w:ascii="AAA GoldenLotus" w:hAnsi="AAA GoldenLotus" w:hint="cs"/>
          <w:sz w:val="27"/>
          <w:rtl/>
        </w:rPr>
        <w:t>ٍ</w:t>
      </w:r>
      <w:r w:rsidRPr="00282AC9">
        <w:rPr>
          <w:rFonts w:ascii="AAA GoldenLotus" w:hAnsi="AAA GoldenLotus"/>
          <w:sz w:val="27"/>
          <w:rtl/>
        </w:rPr>
        <w:t xml:space="preserve"> مختلفة في صدر الإسلام على جميع المكلّ</w:t>
      </w:r>
      <w:r w:rsidR="00B7006B" w:rsidRPr="00282AC9">
        <w:rPr>
          <w:rFonts w:ascii="AAA GoldenLotus" w:hAnsi="AAA GoldenLotus" w:hint="cs"/>
          <w:sz w:val="27"/>
          <w:rtl/>
        </w:rPr>
        <w:t>َ</w:t>
      </w:r>
      <w:r w:rsidRPr="00282AC9">
        <w:rPr>
          <w:rFonts w:ascii="AAA GoldenLotus" w:hAnsi="AAA GoldenLotus"/>
          <w:sz w:val="27"/>
          <w:rtl/>
        </w:rPr>
        <w:t>فين</w:t>
      </w:r>
      <w:r w:rsidRPr="00282AC9">
        <w:rPr>
          <w:rFonts w:ascii="AAA GoldenLotus" w:hAnsi="AAA GoldenLotus" w:hint="cs"/>
          <w:sz w:val="27"/>
          <w:rtl/>
        </w:rPr>
        <w:t>،</w:t>
      </w:r>
      <w:r w:rsidRPr="00282AC9">
        <w:rPr>
          <w:rFonts w:hint="cs"/>
          <w:sz w:val="27"/>
          <w:rtl/>
        </w:rPr>
        <w:t xml:space="preserve"> </w:t>
      </w:r>
      <w:r w:rsidRPr="00282AC9">
        <w:rPr>
          <w:rFonts w:ascii="AAA GoldenLotus" w:hAnsi="AAA GoldenLotus" w:hint="cs"/>
          <w:sz w:val="27"/>
          <w:rtl/>
        </w:rPr>
        <w:t>واستظهاراً</w:t>
      </w:r>
      <w:r w:rsidRPr="00282AC9">
        <w:rPr>
          <w:rFonts w:ascii="AAA GoldenLotus" w:hAnsi="AAA GoldenLotus"/>
          <w:sz w:val="27"/>
          <w:rtl/>
        </w:rPr>
        <w:t xml:space="preserve"> </w:t>
      </w:r>
      <w:r w:rsidRPr="00282AC9">
        <w:rPr>
          <w:rFonts w:ascii="AAA GoldenLotus" w:hAnsi="AAA GoldenLotus" w:hint="cs"/>
          <w:sz w:val="27"/>
          <w:rtl/>
        </w:rPr>
        <w:t>للشمولية</w:t>
      </w:r>
      <w:r w:rsidRPr="00282AC9">
        <w:rPr>
          <w:rFonts w:ascii="AAA GoldenLotus" w:hAnsi="AAA GoldenLotus"/>
          <w:sz w:val="27"/>
          <w:rtl/>
        </w:rPr>
        <w:t xml:space="preserve"> </w:t>
      </w:r>
      <w:r w:rsidRPr="00282AC9">
        <w:rPr>
          <w:rFonts w:ascii="AAA GoldenLotus" w:hAnsi="AAA GoldenLotus" w:hint="cs"/>
          <w:sz w:val="27"/>
          <w:rtl/>
        </w:rPr>
        <w:t>والاستمرارية</w:t>
      </w:r>
      <w:r w:rsidRPr="00282AC9">
        <w:rPr>
          <w:rFonts w:ascii="AAA GoldenLotus" w:hAnsi="AAA GoldenLotus"/>
          <w:sz w:val="27"/>
          <w:rtl/>
        </w:rPr>
        <w:t xml:space="preserve"> </w:t>
      </w:r>
      <w:r w:rsidRPr="00282AC9">
        <w:rPr>
          <w:rFonts w:ascii="AAA GoldenLotus" w:hAnsi="AAA GoldenLotus" w:hint="cs"/>
          <w:sz w:val="27"/>
          <w:rtl/>
        </w:rPr>
        <w:t>من</w:t>
      </w:r>
      <w:r w:rsidRPr="00282AC9">
        <w:rPr>
          <w:rFonts w:ascii="AAA GoldenLotus" w:hAnsi="AAA GoldenLotus"/>
          <w:sz w:val="27"/>
          <w:rtl/>
        </w:rPr>
        <w:t xml:space="preserve"> </w:t>
      </w:r>
      <w:r w:rsidRPr="00282AC9">
        <w:rPr>
          <w:rFonts w:ascii="AAA GoldenLotus" w:hAnsi="AAA GoldenLotus" w:hint="cs"/>
          <w:sz w:val="27"/>
          <w:rtl/>
        </w:rPr>
        <w:t>طبيعة</w:t>
      </w:r>
      <w:r w:rsidRPr="00282AC9">
        <w:rPr>
          <w:rFonts w:ascii="AAA GoldenLotus" w:hAnsi="AAA GoldenLotus"/>
          <w:sz w:val="27"/>
          <w:rtl/>
        </w:rPr>
        <w:t xml:space="preserve"> </w:t>
      </w:r>
      <w:r w:rsidRPr="00282AC9">
        <w:rPr>
          <w:rFonts w:ascii="AAA GoldenLotus" w:hAnsi="AAA GoldenLotus" w:hint="cs"/>
          <w:sz w:val="27"/>
          <w:rtl/>
        </w:rPr>
        <w:t>التشريع</w:t>
      </w:r>
      <w:r w:rsidRPr="00282AC9">
        <w:rPr>
          <w:rFonts w:ascii="AAA GoldenLotus" w:hAnsi="AAA GoldenLotus"/>
          <w:sz w:val="27"/>
          <w:rtl/>
        </w:rPr>
        <w:t xml:space="preserve"> </w:t>
      </w:r>
      <w:r w:rsidRPr="00282AC9">
        <w:rPr>
          <w:rFonts w:ascii="AAA GoldenLotus" w:hAnsi="AAA GoldenLotus" w:hint="cs"/>
          <w:sz w:val="27"/>
          <w:rtl/>
        </w:rPr>
        <w:t>ال</w:t>
      </w:r>
      <w:r w:rsidR="00FD69C8" w:rsidRPr="00282AC9">
        <w:rPr>
          <w:rFonts w:ascii="AAA GoldenLotus" w:hAnsi="AAA GoldenLotus" w:hint="cs"/>
          <w:sz w:val="27"/>
          <w:rtl/>
        </w:rPr>
        <w:t>إ</w:t>
      </w:r>
      <w:r w:rsidRPr="00282AC9">
        <w:rPr>
          <w:rFonts w:ascii="AAA GoldenLotus" w:hAnsi="AAA GoldenLotus" w:hint="cs"/>
          <w:sz w:val="27"/>
          <w:rtl/>
        </w:rPr>
        <w:t>لهي</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بلحاظ</w:t>
      </w:r>
      <w:r w:rsidRPr="00282AC9">
        <w:rPr>
          <w:rFonts w:ascii="AAA GoldenLotus" w:hAnsi="AAA GoldenLotus"/>
          <w:sz w:val="27"/>
          <w:rtl/>
        </w:rPr>
        <w:t xml:space="preserve"> </w:t>
      </w:r>
      <w:r w:rsidRPr="00282AC9">
        <w:rPr>
          <w:rFonts w:ascii="AAA GoldenLotus" w:hAnsi="AAA GoldenLotus" w:hint="cs"/>
          <w:sz w:val="27"/>
          <w:rtl/>
        </w:rPr>
        <w:t>الأزمنة</w:t>
      </w:r>
      <w:r w:rsidRPr="00282AC9">
        <w:rPr>
          <w:rFonts w:ascii="AAA GoldenLotus" w:hAnsi="AAA GoldenLotus"/>
          <w:sz w:val="27"/>
          <w:rtl/>
        </w:rPr>
        <w:t xml:space="preserve"> </w:t>
      </w:r>
      <w:r w:rsidRPr="00282AC9">
        <w:rPr>
          <w:rFonts w:ascii="AAA GoldenLotus" w:hAnsi="AAA GoldenLotus" w:hint="cs"/>
          <w:sz w:val="27"/>
          <w:rtl/>
        </w:rPr>
        <w:t>والعصور</w:t>
      </w:r>
      <w:r w:rsidRPr="00282AC9">
        <w:rPr>
          <w:rFonts w:ascii="AAA GoldenLotus" w:hAnsi="AAA GoldenLotus"/>
          <w:sz w:val="27"/>
          <w:rtl/>
        </w:rPr>
        <w:t xml:space="preserve"> </w:t>
      </w:r>
      <w:r w:rsidRPr="00282AC9">
        <w:rPr>
          <w:rFonts w:ascii="AAA GoldenLotus" w:hAnsi="AAA GoldenLotus" w:hint="cs"/>
          <w:sz w:val="27"/>
          <w:rtl/>
        </w:rPr>
        <w:t>والأمكنة</w:t>
      </w:r>
      <w:r w:rsidRPr="00282AC9">
        <w:rPr>
          <w:rFonts w:ascii="AAA GoldenLotus" w:hAnsi="AAA GoldenLotus"/>
          <w:sz w:val="27"/>
          <w:rtl/>
        </w:rPr>
        <w:t xml:space="preserve"> </w:t>
      </w:r>
      <w:r w:rsidRPr="00282AC9">
        <w:rPr>
          <w:rFonts w:ascii="AAA GoldenLotus" w:hAnsi="AAA GoldenLotus" w:hint="cs"/>
          <w:sz w:val="27"/>
          <w:rtl/>
        </w:rPr>
        <w:t>والأفراد</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ما</w:t>
      </w:r>
      <w:r w:rsidRPr="00282AC9">
        <w:rPr>
          <w:rFonts w:ascii="AAA GoldenLotus" w:hAnsi="AAA GoldenLotus"/>
          <w:sz w:val="27"/>
          <w:rtl/>
        </w:rPr>
        <w:t xml:space="preserve"> </w:t>
      </w:r>
      <w:r w:rsidRPr="00282AC9">
        <w:rPr>
          <w:rFonts w:ascii="AAA GoldenLotus" w:hAnsi="AAA GoldenLotus" w:hint="cs"/>
          <w:sz w:val="27"/>
          <w:rtl/>
        </w:rPr>
        <w:t>لم</w:t>
      </w:r>
      <w:r w:rsidRPr="00282AC9">
        <w:rPr>
          <w:rFonts w:ascii="AAA GoldenLotus" w:hAnsi="AAA GoldenLotus"/>
          <w:sz w:val="27"/>
          <w:rtl/>
        </w:rPr>
        <w:t xml:space="preserve"> </w:t>
      </w:r>
      <w:r w:rsidRPr="00282AC9">
        <w:rPr>
          <w:rFonts w:ascii="AAA GoldenLotus" w:hAnsi="AAA GoldenLotus" w:hint="cs"/>
          <w:sz w:val="27"/>
          <w:rtl/>
        </w:rPr>
        <w:t>يثبت</w:t>
      </w:r>
      <w:r w:rsidRPr="00282AC9">
        <w:rPr>
          <w:rFonts w:ascii="AAA GoldenLotus" w:hAnsi="AAA GoldenLotus"/>
          <w:sz w:val="27"/>
          <w:rtl/>
        </w:rPr>
        <w:t xml:space="preserve"> </w:t>
      </w:r>
      <w:r w:rsidRPr="00282AC9">
        <w:rPr>
          <w:rFonts w:ascii="AAA GoldenLotus" w:hAnsi="AAA GoldenLotus" w:hint="cs"/>
          <w:sz w:val="27"/>
          <w:rtl/>
        </w:rPr>
        <w:t>خلافه</w:t>
      </w:r>
      <w:r w:rsidRPr="00282AC9">
        <w:rPr>
          <w:rFonts w:ascii="AAA GoldenLotus" w:hAnsi="AAA GoldenLotus"/>
          <w:sz w:val="27"/>
          <w:rtl/>
        </w:rPr>
        <w:t xml:space="preserve"> </w:t>
      </w:r>
      <w:r w:rsidRPr="00282AC9">
        <w:rPr>
          <w:rFonts w:ascii="AAA GoldenLotus" w:hAnsi="AAA GoldenLotus" w:hint="cs"/>
          <w:sz w:val="27"/>
          <w:rtl/>
        </w:rPr>
        <w:t>بدليل</w:t>
      </w:r>
      <w:r w:rsidR="00FD69C8" w:rsidRPr="00282AC9">
        <w:rPr>
          <w:rFonts w:ascii="AAA GoldenLotus" w:hAnsi="AAA GoldenLotus" w:hint="cs"/>
          <w:sz w:val="27"/>
          <w:rtl/>
        </w:rPr>
        <w:t>ٍ</w:t>
      </w:r>
      <w:r w:rsidRPr="00282AC9">
        <w:rPr>
          <w:rFonts w:ascii="AAA GoldenLotus" w:hAnsi="AAA GoldenLotus" w:hint="cs"/>
          <w:sz w:val="27"/>
          <w:rtl/>
        </w:rPr>
        <w:t>، أو</w:t>
      </w:r>
      <w:r w:rsidRPr="00282AC9">
        <w:rPr>
          <w:rFonts w:ascii="AAA GoldenLotus" w:hAnsi="AAA GoldenLotus"/>
          <w:sz w:val="27"/>
          <w:rtl/>
        </w:rPr>
        <w:t xml:space="preserve"> </w:t>
      </w:r>
      <w:r w:rsidRPr="00282AC9">
        <w:rPr>
          <w:rFonts w:ascii="AAA GoldenLotus" w:hAnsi="AAA GoldenLotus" w:hint="cs"/>
          <w:sz w:val="27"/>
          <w:rtl/>
        </w:rPr>
        <w:t>أن ي</w:t>
      </w:r>
      <w:r w:rsidR="00FD69C8" w:rsidRPr="00282AC9">
        <w:rPr>
          <w:rFonts w:ascii="AAA GoldenLotus" w:hAnsi="AAA GoldenLotus" w:hint="cs"/>
          <w:sz w:val="27"/>
          <w:rtl/>
        </w:rPr>
        <w:t>ُ</w:t>
      </w:r>
      <w:r w:rsidRPr="00282AC9">
        <w:rPr>
          <w:rFonts w:ascii="AAA GoldenLotus" w:hAnsi="AAA GoldenLotus" w:hint="cs"/>
          <w:sz w:val="27"/>
          <w:rtl/>
        </w:rPr>
        <w:t>ؤ</w:t>
      </w:r>
      <w:r w:rsidR="00FD69C8" w:rsidRPr="00282AC9">
        <w:rPr>
          <w:rFonts w:ascii="AAA GoldenLotus" w:hAnsi="AAA GoldenLotus" w:hint="cs"/>
          <w:sz w:val="27"/>
          <w:rtl/>
        </w:rPr>
        <w:t>ْ</w:t>
      </w:r>
      <w:r w:rsidRPr="00282AC9">
        <w:rPr>
          <w:rFonts w:ascii="AAA GoldenLotus" w:hAnsi="AAA GoldenLotus" w:hint="cs"/>
          <w:sz w:val="27"/>
          <w:rtl/>
        </w:rPr>
        <w:t>خ</w:t>
      </w:r>
      <w:r w:rsidR="00FD69C8" w:rsidRPr="00282AC9">
        <w:rPr>
          <w:rFonts w:ascii="AAA GoldenLotus" w:hAnsi="AAA GoldenLotus" w:hint="cs"/>
          <w:sz w:val="27"/>
          <w:rtl/>
        </w:rPr>
        <w:t>َ</w:t>
      </w:r>
      <w:r w:rsidRPr="00282AC9">
        <w:rPr>
          <w:rFonts w:ascii="AAA GoldenLotus" w:hAnsi="AAA GoldenLotus" w:hint="cs"/>
          <w:sz w:val="27"/>
          <w:rtl/>
        </w:rPr>
        <w:t xml:space="preserve">ذ </w:t>
      </w:r>
      <w:r w:rsidRPr="00282AC9">
        <w:rPr>
          <w:rFonts w:ascii="AAA GoldenLotus" w:hAnsi="AAA GoldenLotus"/>
          <w:sz w:val="27"/>
          <w:rtl/>
        </w:rPr>
        <w:t>في الموضوع خصوصي</w:t>
      </w:r>
      <w:r w:rsidR="00FD69C8" w:rsidRPr="00282AC9">
        <w:rPr>
          <w:rFonts w:ascii="AAA GoldenLotus" w:hAnsi="AAA GoldenLotus" w:hint="cs"/>
          <w:sz w:val="27"/>
          <w:rtl/>
        </w:rPr>
        <w:t>ّ</w:t>
      </w:r>
      <w:r w:rsidRPr="00282AC9">
        <w:rPr>
          <w:rFonts w:ascii="AAA GoldenLotus" w:hAnsi="AAA GoldenLotus"/>
          <w:sz w:val="27"/>
          <w:rtl/>
        </w:rPr>
        <w:t>ة</w:t>
      </w:r>
      <w:r w:rsidRPr="00282AC9">
        <w:rPr>
          <w:rFonts w:ascii="AAA GoldenLotus" w:hAnsi="AAA GoldenLotus" w:hint="cs"/>
          <w:sz w:val="27"/>
          <w:rtl/>
        </w:rPr>
        <w:t>ٌ</w:t>
      </w:r>
      <w:r w:rsidRPr="00282AC9">
        <w:rPr>
          <w:rFonts w:ascii="AAA GoldenLotus" w:hAnsi="AAA GoldenLotus"/>
          <w:sz w:val="27"/>
          <w:rtl/>
        </w:rPr>
        <w:t xml:space="preserve"> وق</w:t>
      </w:r>
      <w:r w:rsidR="00FD69C8" w:rsidRPr="00282AC9">
        <w:rPr>
          <w:rFonts w:ascii="AAA GoldenLotus" w:hAnsi="AAA GoldenLotus" w:hint="cs"/>
          <w:sz w:val="27"/>
          <w:rtl/>
        </w:rPr>
        <w:t>َ</w:t>
      </w:r>
      <w:r w:rsidRPr="00282AC9">
        <w:rPr>
          <w:rFonts w:ascii="AAA GoldenLotus" w:hAnsi="AAA GoldenLotus"/>
          <w:sz w:val="27"/>
          <w:rtl/>
        </w:rPr>
        <w:t>ي</w:t>
      </w:r>
      <w:r w:rsidR="00FD69C8" w:rsidRPr="00282AC9">
        <w:rPr>
          <w:rFonts w:ascii="AAA GoldenLotus" w:hAnsi="AAA GoldenLotus" w:hint="cs"/>
          <w:sz w:val="27"/>
          <w:rtl/>
        </w:rPr>
        <w:t>ْ</w:t>
      </w:r>
      <w:r w:rsidRPr="00282AC9">
        <w:rPr>
          <w:rFonts w:ascii="AAA GoldenLotus" w:hAnsi="AAA GoldenLotus"/>
          <w:sz w:val="27"/>
          <w:rtl/>
        </w:rPr>
        <w:t>د</w:t>
      </w:r>
      <w:r w:rsidRPr="00282AC9">
        <w:rPr>
          <w:rFonts w:ascii="AAA GoldenLotus" w:hAnsi="AAA GoldenLotus" w:hint="cs"/>
          <w:sz w:val="27"/>
          <w:rtl/>
        </w:rPr>
        <w:t>ٌ</w:t>
      </w:r>
      <w:r w:rsidRPr="00282AC9">
        <w:rPr>
          <w:rFonts w:ascii="AAA GoldenLotus" w:hAnsi="AAA GoldenLotus"/>
          <w:sz w:val="27"/>
          <w:rtl/>
        </w:rPr>
        <w:t xml:space="preserve"> لا ينطبق إلا</w:t>
      </w:r>
      <w:r w:rsidR="00FD69C8" w:rsidRPr="00282AC9">
        <w:rPr>
          <w:rFonts w:ascii="AAA GoldenLotus" w:hAnsi="AAA GoldenLotus" w:hint="cs"/>
          <w:sz w:val="27"/>
          <w:rtl/>
        </w:rPr>
        <w:t>ّ</w:t>
      </w:r>
      <w:r w:rsidRPr="00282AC9">
        <w:rPr>
          <w:rFonts w:ascii="AAA GoldenLotus" w:hAnsi="AAA GoldenLotus"/>
          <w:sz w:val="27"/>
          <w:rtl/>
        </w:rPr>
        <w:t xml:space="preserve"> على شخص</w:t>
      </w:r>
      <w:r w:rsidR="00FD69C8" w:rsidRPr="00282AC9">
        <w:rPr>
          <w:rFonts w:ascii="AAA GoldenLotus" w:hAnsi="AAA GoldenLotus" w:hint="cs"/>
          <w:sz w:val="27"/>
          <w:rtl/>
        </w:rPr>
        <w:t>ٍ</w:t>
      </w:r>
      <w:r w:rsidRPr="00282AC9">
        <w:rPr>
          <w:rFonts w:ascii="AAA GoldenLotus" w:hAnsi="AAA GoldenLotus"/>
          <w:sz w:val="27"/>
          <w:rtl/>
        </w:rPr>
        <w:t xml:space="preserve"> خاص</w:t>
      </w:r>
      <w:r w:rsidR="00FD69C8" w:rsidRPr="00282AC9">
        <w:rPr>
          <w:rFonts w:ascii="AAA GoldenLotus" w:hAnsi="AAA GoldenLotus" w:hint="cs"/>
          <w:sz w:val="27"/>
          <w:rtl/>
        </w:rPr>
        <w:t>ّ،</w:t>
      </w:r>
      <w:r w:rsidRPr="00282AC9">
        <w:rPr>
          <w:rFonts w:ascii="AAA GoldenLotus" w:hAnsi="AAA GoldenLotus"/>
          <w:sz w:val="27"/>
          <w:rtl/>
        </w:rPr>
        <w:t xml:space="preserve"> أو طائفة</w:t>
      </w:r>
      <w:r w:rsidR="00FD69C8" w:rsidRPr="00282AC9">
        <w:rPr>
          <w:rFonts w:ascii="AAA GoldenLotus" w:hAnsi="AAA GoldenLotus" w:hint="cs"/>
          <w:sz w:val="27"/>
          <w:rtl/>
        </w:rPr>
        <w:t>ٍ</w:t>
      </w:r>
      <w:r w:rsidRPr="00282AC9">
        <w:rPr>
          <w:rFonts w:ascii="AAA GoldenLotus" w:hAnsi="AAA GoldenLotus"/>
          <w:sz w:val="27"/>
          <w:rtl/>
        </w:rPr>
        <w:t xml:space="preserve"> خاص</w:t>
      </w:r>
      <w:r w:rsidR="00FD69C8" w:rsidRPr="00282AC9">
        <w:rPr>
          <w:rFonts w:ascii="AAA GoldenLotus" w:hAnsi="AAA GoldenLotus" w:hint="cs"/>
          <w:sz w:val="27"/>
          <w:rtl/>
        </w:rPr>
        <w:t>ّ</w:t>
      </w:r>
      <w:r w:rsidRPr="00282AC9">
        <w:rPr>
          <w:rFonts w:ascii="AAA GoldenLotus" w:hAnsi="AAA GoldenLotus"/>
          <w:sz w:val="27"/>
          <w:rtl/>
        </w:rPr>
        <w:t>ة</w:t>
      </w:r>
      <w:r w:rsidR="00FD69C8" w:rsidRPr="00282AC9">
        <w:rPr>
          <w:rFonts w:ascii="AAA GoldenLotus" w:hAnsi="AAA GoldenLotus" w:hint="cs"/>
          <w:sz w:val="27"/>
          <w:rtl/>
        </w:rPr>
        <w:t>،</w:t>
      </w:r>
      <w:r w:rsidRPr="00282AC9">
        <w:rPr>
          <w:rFonts w:ascii="AAA GoldenLotus" w:hAnsi="AAA GoldenLotus"/>
          <w:sz w:val="27"/>
          <w:rtl/>
        </w:rPr>
        <w:t xml:space="preserve"> أو في زمان</w:t>
      </w:r>
      <w:r w:rsidR="00FD69C8" w:rsidRPr="00282AC9">
        <w:rPr>
          <w:rFonts w:ascii="AAA GoldenLotus" w:hAnsi="AAA GoldenLotus" w:hint="cs"/>
          <w:sz w:val="27"/>
          <w:rtl/>
        </w:rPr>
        <w:t>ٍ</w:t>
      </w:r>
      <w:r w:rsidRPr="00282AC9">
        <w:rPr>
          <w:rFonts w:ascii="AAA GoldenLotus" w:hAnsi="AAA GoldenLotus"/>
          <w:sz w:val="27"/>
          <w:rtl/>
        </w:rPr>
        <w:t xml:space="preserve"> خاص</w:t>
      </w:r>
      <w:r w:rsidR="00FD69C8" w:rsidRPr="00282AC9">
        <w:rPr>
          <w:rFonts w:ascii="AAA GoldenLotus" w:hAnsi="AAA GoldenLotus" w:hint="cs"/>
          <w:sz w:val="27"/>
          <w:rtl/>
        </w:rPr>
        <w:t>ّ،</w:t>
      </w:r>
      <w:r w:rsidRPr="00282AC9">
        <w:rPr>
          <w:rFonts w:ascii="AAA GoldenLotus" w:hAnsi="AAA GoldenLotus"/>
          <w:sz w:val="27"/>
          <w:rtl/>
        </w:rPr>
        <w:t xml:space="preserve"> كزمان حضور الإمام</w:t>
      </w:r>
      <w:r w:rsidR="009A2A04" w:rsidRPr="00282AC9">
        <w:rPr>
          <w:rFonts w:ascii="AAA GoldenLotus" w:hAnsi="AAA GoldenLotus" w:cs="Mosawi"/>
          <w:sz w:val="22"/>
          <w:szCs w:val="22"/>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3"/>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00866">
      <w:pPr>
        <w:spacing w:line="422" w:lineRule="exact"/>
        <w:rPr>
          <w:rFonts w:ascii="AAA GoldenLotus" w:hAnsi="AAA GoldenLotus"/>
          <w:sz w:val="27"/>
          <w:rtl/>
        </w:rPr>
      </w:pPr>
      <w:r w:rsidRPr="00282AC9">
        <w:rPr>
          <w:rFonts w:ascii="AAA GoldenLotus" w:hAnsi="AAA GoldenLotus" w:hint="cs"/>
          <w:sz w:val="27"/>
          <w:rtl/>
        </w:rPr>
        <w:t>ومن هنا صار</w:t>
      </w:r>
      <w:r w:rsidR="00FD69C8" w:rsidRPr="00282AC9">
        <w:rPr>
          <w:rFonts w:ascii="AAA GoldenLotus" w:hAnsi="AAA GoldenLotus" w:hint="cs"/>
          <w:sz w:val="27"/>
          <w:rtl/>
        </w:rPr>
        <w:t>َ</w:t>
      </w:r>
      <w:r w:rsidRPr="00282AC9">
        <w:rPr>
          <w:rFonts w:ascii="AAA GoldenLotus" w:hAnsi="AAA GoldenLotus" w:hint="cs"/>
          <w:sz w:val="27"/>
          <w:rtl/>
        </w:rPr>
        <w:t>ت</w:t>
      </w:r>
      <w:r w:rsidR="00FD69C8" w:rsidRPr="00282AC9">
        <w:rPr>
          <w:rFonts w:ascii="AAA GoldenLotus" w:hAnsi="AAA GoldenLotus" w:hint="cs"/>
          <w:sz w:val="27"/>
          <w:rtl/>
        </w:rPr>
        <w:t>ْ</w:t>
      </w:r>
      <w:r w:rsidRPr="00282AC9">
        <w:rPr>
          <w:rFonts w:ascii="AAA GoldenLotus" w:hAnsi="AAA GoldenLotus" w:hint="cs"/>
          <w:sz w:val="27"/>
          <w:rtl/>
        </w:rPr>
        <w:t xml:space="preserve"> هذه القاعدة أصلاً يرجع إليه عند الشك</w:t>
      </w:r>
      <w:r w:rsidR="00FD69C8" w:rsidRPr="00282AC9">
        <w:rPr>
          <w:rFonts w:ascii="AAA GoldenLotus" w:hAnsi="AAA GoldenLotus" w:hint="cs"/>
          <w:sz w:val="27"/>
          <w:rtl/>
        </w:rPr>
        <w:t>ّ</w:t>
      </w:r>
      <w:r w:rsidRPr="00282AC9">
        <w:rPr>
          <w:rFonts w:ascii="AAA GoldenLotus" w:hAnsi="AAA GoldenLotus" w:hint="cs"/>
          <w:sz w:val="27"/>
          <w:rtl/>
        </w:rPr>
        <w:t xml:space="preserve"> في الاختصاص وعدمه</w:t>
      </w:r>
      <w:r w:rsidR="00FD69C8" w:rsidRPr="00282AC9">
        <w:rPr>
          <w:rFonts w:ascii="AAA GoldenLotus" w:hAnsi="AAA GoldenLotus" w:hint="cs"/>
          <w:sz w:val="27"/>
          <w:rtl/>
        </w:rPr>
        <w:t>.</w:t>
      </w:r>
      <w:r w:rsidRPr="00282AC9">
        <w:rPr>
          <w:rFonts w:ascii="AAA GoldenLotus" w:hAnsi="AAA GoldenLotus" w:hint="cs"/>
          <w:sz w:val="27"/>
          <w:rtl/>
        </w:rPr>
        <w:t xml:space="preserve"> ولذا قالوا</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إنّ</w:t>
      </w:r>
      <w:r w:rsidRPr="00282AC9">
        <w:rPr>
          <w:rFonts w:ascii="AAA GoldenLotus" w:hAnsi="AAA GoldenLotus"/>
          <w:sz w:val="27"/>
          <w:rtl/>
        </w:rPr>
        <w:t xml:space="preserve"> </w:t>
      </w:r>
      <w:r w:rsidRPr="00282AC9">
        <w:rPr>
          <w:rFonts w:ascii="AAA GoldenLotus" w:hAnsi="AAA GoldenLotus" w:hint="cs"/>
          <w:sz w:val="27"/>
          <w:rtl/>
        </w:rPr>
        <w:t>الأصل</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الأحكام</w:t>
      </w:r>
      <w:r w:rsidRPr="00282AC9">
        <w:rPr>
          <w:rFonts w:ascii="AAA GoldenLotus" w:hAnsi="AAA GoldenLotus"/>
          <w:sz w:val="27"/>
          <w:rtl/>
        </w:rPr>
        <w:t xml:space="preserve"> </w:t>
      </w:r>
      <w:r w:rsidRPr="00282AC9">
        <w:rPr>
          <w:rFonts w:ascii="AAA GoldenLotus" w:hAnsi="AAA GoldenLotus" w:hint="cs"/>
          <w:sz w:val="27"/>
          <w:rtl/>
        </w:rPr>
        <w:t>الشرعية</w:t>
      </w:r>
      <w:r w:rsidRPr="00282AC9">
        <w:rPr>
          <w:rFonts w:ascii="AAA GoldenLotus" w:hAnsi="AAA GoldenLotus"/>
          <w:sz w:val="27"/>
          <w:rtl/>
        </w:rPr>
        <w:t xml:space="preserve"> </w:t>
      </w:r>
      <w:r w:rsidRPr="00282AC9">
        <w:rPr>
          <w:rFonts w:ascii="AAA GoldenLotus" w:hAnsi="AAA GoldenLotus" w:hint="cs"/>
          <w:sz w:val="27"/>
          <w:rtl/>
        </w:rPr>
        <w:t>اشتراكها</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وعدم</w:t>
      </w:r>
      <w:r w:rsidRPr="00282AC9">
        <w:rPr>
          <w:rFonts w:ascii="AAA GoldenLotus" w:hAnsi="AAA GoldenLotus"/>
          <w:sz w:val="27"/>
          <w:rtl/>
        </w:rPr>
        <w:t xml:space="preserve"> </w:t>
      </w:r>
      <w:r w:rsidRPr="00282AC9">
        <w:rPr>
          <w:rFonts w:ascii="AAA GoldenLotus" w:hAnsi="AAA GoldenLotus" w:hint="cs"/>
          <w:sz w:val="27"/>
          <w:rtl/>
        </w:rPr>
        <w:t>اختصاصها</w:t>
      </w:r>
      <w:r w:rsidRPr="00282AC9">
        <w:rPr>
          <w:rFonts w:ascii="AAA GoldenLotus" w:hAnsi="AAA GoldenLotus"/>
          <w:sz w:val="27"/>
          <w:rtl/>
        </w:rPr>
        <w:t xml:space="preserve"> </w:t>
      </w:r>
      <w:r w:rsidRPr="00282AC9">
        <w:rPr>
          <w:rFonts w:ascii="AAA GoldenLotus" w:hAnsi="AAA GoldenLotus" w:hint="cs"/>
          <w:sz w:val="27"/>
          <w:rtl/>
        </w:rPr>
        <w:t>بزمان</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دون</w:t>
      </w:r>
      <w:r w:rsidRPr="00282AC9">
        <w:rPr>
          <w:rFonts w:ascii="AAA GoldenLotus" w:hAnsi="AAA GoldenLotus"/>
          <w:sz w:val="27"/>
          <w:rtl/>
        </w:rPr>
        <w:t xml:space="preserve"> </w:t>
      </w:r>
      <w:r w:rsidRPr="00282AC9">
        <w:rPr>
          <w:rFonts w:ascii="AAA GoldenLotus" w:hAnsi="AAA GoldenLotus" w:hint="cs"/>
          <w:sz w:val="27"/>
          <w:rtl/>
        </w:rPr>
        <w:t>زمان</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أو</w:t>
      </w:r>
      <w:r w:rsidRPr="00282AC9">
        <w:rPr>
          <w:rFonts w:ascii="AAA GoldenLotus" w:hAnsi="AAA GoldenLotus"/>
          <w:sz w:val="27"/>
          <w:rtl/>
        </w:rPr>
        <w:t xml:space="preserve"> </w:t>
      </w:r>
      <w:r w:rsidRPr="00282AC9">
        <w:rPr>
          <w:rFonts w:ascii="AAA GoldenLotus" w:hAnsi="AAA GoldenLotus" w:hint="cs"/>
          <w:sz w:val="27"/>
          <w:rtl/>
        </w:rPr>
        <w:t>مكان</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دون</w:t>
      </w:r>
      <w:r w:rsidRPr="00282AC9">
        <w:rPr>
          <w:rFonts w:ascii="AAA GoldenLotus" w:hAnsi="AAA GoldenLotus"/>
          <w:sz w:val="27"/>
          <w:rtl/>
        </w:rPr>
        <w:t xml:space="preserve"> </w:t>
      </w:r>
      <w:r w:rsidRPr="00282AC9">
        <w:rPr>
          <w:rFonts w:ascii="AAA GoldenLotus" w:hAnsi="AAA GoldenLotus" w:hint="cs"/>
          <w:sz w:val="27"/>
          <w:rtl/>
        </w:rPr>
        <w:t>آخر</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أو</w:t>
      </w:r>
      <w:r w:rsidRPr="00282AC9">
        <w:rPr>
          <w:rFonts w:ascii="AAA GoldenLotus" w:hAnsi="AAA GoldenLotus"/>
          <w:sz w:val="27"/>
          <w:rtl/>
        </w:rPr>
        <w:t xml:space="preserve"> </w:t>
      </w:r>
      <w:r w:rsidRPr="00282AC9">
        <w:rPr>
          <w:rFonts w:ascii="AAA GoldenLotus" w:hAnsi="AAA GoldenLotus" w:hint="cs"/>
          <w:sz w:val="27"/>
          <w:rtl/>
        </w:rPr>
        <w:t>صنف</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من</w:t>
      </w:r>
      <w:r w:rsidRPr="00282AC9">
        <w:rPr>
          <w:rFonts w:ascii="AAA GoldenLotus" w:hAnsi="AAA GoldenLotus"/>
          <w:sz w:val="27"/>
          <w:rtl/>
        </w:rPr>
        <w:t xml:space="preserve"> </w:t>
      </w:r>
      <w:r w:rsidRPr="00282AC9">
        <w:rPr>
          <w:rFonts w:ascii="AAA GoldenLotus" w:hAnsi="AAA GoldenLotus" w:hint="cs"/>
          <w:sz w:val="27"/>
          <w:rtl/>
        </w:rPr>
        <w:t>الناس</w:t>
      </w:r>
      <w:r w:rsidRPr="00282AC9">
        <w:rPr>
          <w:rFonts w:ascii="AAA GoldenLotus" w:hAnsi="AAA GoldenLotus"/>
          <w:sz w:val="27"/>
          <w:rtl/>
        </w:rPr>
        <w:t xml:space="preserve"> </w:t>
      </w:r>
      <w:r w:rsidRPr="00282AC9">
        <w:rPr>
          <w:rFonts w:ascii="AAA GoldenLotus" w:hAnsi="AAA GoldenLotus" w:hint="cs"/>
          <w:sz w:val="27"/>
          <w:rtl/>
        </w:rPr>
        <w:t>دون</w:t>
      </w:r>
      <w:r w:rsidRPr="00282AC9">
        <w:rPr>
          <w:rFonts w:ascii="AAA GoldenLotus" w:hAnsi="AAA GoldenLotus"/>
          <w:sz w:val="27"/>
          <w:rtl/>
        </w:rPr>
        <w:t xml:space="preserve"> </w:t>
      </w:r>
      <w:r w:rsidRPr="00282AC9">
        <w:rPr>
          <w:rFonts w:ascii="AAA GoldenLotus" w:hAnsi="AAA GoldenLotus" w:hint="cs"/>
          <w:sz w:val="27"/>
          <w:rtl/>
        </w:rPr>
        <w:t>صنف</w:t>
      </w:r>
      <w:r w:rsidR="00FD69C8"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ما</w:t>
      </w:r>
      <w:r w:rsidRPr="00282AC9">
        <w:rPr>
          <w:rFonts w:ascii="AAA GoldenLotus" w:hAnsi="AAA GoldenLotus"/>
          <w:sz w:val="27"/>
          <w:rtl/>
        </w:rPr>
        <w:t xml:space="preserve"> </w:t>
      </w:r>
      <w:r w:rsidRPr="00282AC9">
        <w:rPr>
          <w:rFonts w:ascii="AAA GoldenLotus" w:hAnsi="AAA GoldenLotus" w:hint="cs"/>
          <w:sz w:val="27"/>
          <w:rtl/>
        </w:rPr>
        <w:t>لم</w:t>
      </w:r>
      <w:r w:rsidRPr="00282AC9">
        <w:rPr>
          <w:rFonts w:ascii="AAA GoldenLotus" w:hAnsi="AAA GoldenLotus"/>
          <w:sz w:val="27"/>
          <w:rtl/>
        </w:rPr>
        <w:t xml:space="preserve"> </w:t>
      </w:r>
      <w:r w:rsidRPr="00282AC9">
        <w:rPr>
          <w:rFonts w:ascii="AAA GoldenLotus" w:hAnsi="AAA GoldenLotus" w:hint="cs"/>
          <w:sz w:val="27"/>
          <w:rtl/>
        </w:rPr>
        <w:t>يثبت</w:t>
      </w:r>
      <w:r w:rsidRPr="00282AC9">
        <w:rPr>
          <w:rFonts w:ascii="AAA GoldenLotus" w:hAnsi="AAA GoldenLotus"/>
          <w:sz w:val="27"/>
          <w:rtl/>
        </w:rPr>
        <w:t xml:space="preserve"> </w:t>
      </w:r>
      <w:r w:rsidRPr="00282AC9">
        <w:rPr>
          <w:rFonts w:ascii="AAA GoldenLotus" w:hAnsi="AAA GoldenLotus" w:hint="cs"/>
          <w:sz w:val="27"/>
          <w:rtl/>
        </w:rPr>
        <w:t>الاختصاص</w:t>
      </w:r>
      <w:r w:rsidRPr="00282AC9">
        <w:rPr>
          <w:rFonts w:ascii="AAA GoldenLotus" w:hAnsi="AAA GoldenLotus"/>
          <w:sz w:val="27"/>
          <w:rtl/>
        </w:rPr>
        <w:t xml:space="preserve"> </w:t>
      </w:r>
      <w:r w:rsidRPr="00282AC9">
        <w:rPr>
          <w:rFonts w:ascii="AAA GoldenLotus" w:hAnsi="AAA GoldenLotus" w:hint="cs"/>
          <w:sz w:val="27"/>
          <w:rtl/>
        </w:rPr>
        <w:t>بدليل</w:t>
      </w:r>
      <w:r w:rsidR="00FD69C8"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4"/>
      </w:r>
      <w:r w:rsidRPr="00282AC9">
        <w:rPr>
          <w:rFonts w:ascii="AAA GoldenLotus" w:hAnsi="AAA GoldenLotus"/>
          <w:sz w:val="27"/>
          <w:vertAlign w:val="superscript"/>
          <w:rtl/>
        </w:rPr>
        <w:t>)</w:t>
      </w:r>
      <w:r w:rsidRPr="00282AC9">
        <w:rPr>
          <w:rFonts w:ascii="AAA GoldenLotus" w:hAnsi="AAA GoldenLotus"/>
          <w:sz w:val="27"/>
          <w:rtl/>
        </w:rPr>
        <w:t>.</w:t>
      </w:r>
      <w:r w:rsidRPr="00282AC9">
        <w:rPr>
          <w:rFonts w:ascii="AAA GoldenLotus" w:hAnsi="AAA GoldenLotus" w:hint="cs"/>
          <w:sz w:val="27"/>
          <w:rtl/>
        </w:rPr>
        <w:t xml:space="preserve"> </w:t>
      </w:r>
      <w:r w:rsidRPr="00282AC9">
        <w:rPr>
          <w:rFonts w:ascii="AAA GoldenLotus" w:hAnsi="AAA GoldenLotus"/>
          <w:sz w:val="27"/>
          <w:rtl/>
        </w:rPr>
        <w:t>هذا مفاد قاعدة الاشتراك العام</w:t>
      </w:r>
      <w:r w:rsidR="00FD69C8" w:rsidRPr="00282AC9">
        <w:rPr>
          <w:rFonts w:ascii="AAA GoldenLotus" w:hAnsi="AAA GoldenLotus" w:hint="cs"/>
          <w:sz w:val="27"/>
          <w:rtl/>
        </w:rPr>
        <w:t>ّ</w:t>
      </w:r>
      <w:r w:rsidRPr="00282AC9">
        <w:rPr>
          <w:rFonts w:ascii="AAA GoldenLotus" w:hAnsi="AAA GoldenLotus"/>
          <w:sz w:val="27"/>
          <w:rtl/>
        </w:rPr>
        <w:t>ة</w:t>
      </w:r>
      <w:r w:rsidRPr="00282AC9">
        <w:rPr>
          <w:rFonts w:ascii="AAA GoldenLotus" w:hAnsi="AAA GoldenLotus" w:hint="cs"/>
          <w:sz w:val="27"/>
          <w:rtl/>
        </w:rPr>
        <w:t>.</w:t>
      </w:r>
      <w:r w:rsidRPr="00282AC9">
        <w:rPr>
          <w:rFonts w:ascii="AAA GoldenLotus" w:hAnsi="AAA GoldenLotus"/>
          <w:sz w:val="27"/>
          <w:rtl/>
        </w:rPr>
        <w:t xml:space="preserve"> </w:t>
      </w:r>
    </w:p>
    <w:p w:rsidR="00E355F2" w:rsidRPr="00282AC9" w:rsidRDefault="00E355F2" w:rsidP="00000866">
      <w:pPr>
        <w:spacing w:line="422" w:lineRule="exact"/>
        <w:rPr>
          <w:rFonts w:ascii="AAA GoldenLotus" w:hAnsi="AAA GoldenLotus"/>
          <w:sz w:val="27"/>
          <w:rtl/>
        </w:rPr>
      </w:pPr>
      <w:r w:rsidRPr="00282AC9">
        <w:rPr>
          <w:rFonts w:ascii="AAA GoldenLotus" w:hAnsi="AAA GoldenLotus"/>
          <w:sz w:val="27"/>
          <w:rtl/>
        </w:rPr>
        <w:t>أما مفاد قاعدة الاشتراك بين الرجال والنساء</w:t>
      </w:r>
      <w:r w:rsidRPr="00282AC9">
        <w:rPr>
          <w:rFonts w:ascii="AAA GoldenLotus" w:hAnsi="AAA GoldenLotus" w:hint="cs"/>
          <w:sz w:val="27"/>
          <w:rtl/>
        </w:rPr>
        <w:t xml:space="preserve"> ومضمونها</w:t>
      </w:r>
      <w:r w:rsidRPr="00282AC9">
        <w:rPr>
          <w:rFonts w:ascii="AAA GoldenLotus" w:hAnsi="AAA GoldenLotus"/>
          <w:sz w:val="27"/>
          <w:rtl/>
        </w:rPr>
        <w:t xml:space="preserve"> فقد بيّ</w:t>
      </w:r>
      <w:r w:rsidR="00FD69C8" w:rsidRPr="00282AC9">
        <w:rPr>
          <w:rFonts w:ascii="AAA GoldenLotus" w:hAnsi="AAA GoldenLotus" w:hint="cs"/>
          <w:sz w:val="27"/>
          <w:rtl/>
        </w:rPr>
        <w:t>َ</w:t>
      </w:r>
      <w:r w:rsidRPr="00282AC9">
        <w:rPr>
          <w:rFonts w:ascii="AAA GoldenLotus" w:hAnsi="AAA GoldenLotus"/>
          <w:sz w:val="27"/>
          <w:rtl/>
        </w:rPr>
        <w:t>ن</w:t>
      </w:r>
      <w:r w:rsidR="00FD69C8" w:rsidRPr="00282AC9">
        <w:rPr>
          <w:rFonts w:ascii="AAA GoldenLotus" w:hAnsi="AAA GoldenLotus" w:hint="cs"/>
          <w:sz w:val="27"/>
          <w:rtl/>
        </w:rPr>
        <w:t>َ</w:t>
      </w:r>
      <w:r w:rsidRPr="00282AC9">
        <w:rPr>
          <w:rFonts w:ascii="AAA GoldenLotus" w:hAnsi="AAA GoldenLotus"/>
          <w:sz w:val="27"/>
          <w:rtl/>
        </w:rPr>
        <w:t>ت</w:t>
      </w:r>
      <w:r w:rsidR="00FD69C8" w:rsidRPr="00282AC9">
        <w:rPr>
          <w:rFonts w:ascii="AAA GoldenLotus" w:hAnsi="AAA GoldenLotus" w:hint="cs"/>
          <w:sz w:val="27"/>
          <w:rtl/>
        </w:rPr>
        <w:t>ْ</w:t>
      </w:r>
      <w:r w:rsidRPr="00282AC9">
        <w:rPr>
          <w:rFonts w:ascii="AAA GoldenLotus" w:hAnsi="AAA GoldenLotus"/>
          <w:sz w:val="27"/>
          <w:rtl/>
        </w:rPr>
        <w:t>ه المذاهب الإسلامي</w:t>
      </w:r>
      <w:r w:rsidR="003B40B3" w:rsidRPr="00282AC9">
        <w:rPr>
          <w:rFonts w:ascii="AAA GoldenLotus" w:hAnsi="AAA GoldenLotus" w:hint="cs"/>
          <w:sz w:val="27"/>
          <w:rtl/>
        </w:rPr>
        <w:t>ّ</w:t>
      </w:r>
      <w:r w:rsidRPr="00282AC9">
        <w:rPr>
          <w:rFonts w:ascii="AAA GoldenLotus" w:hAnsi="AAA GoldenLotus"/>
          <w:sz w:val="27"/>
          <w:rtl/>
        </w:rPr>
        <w:t>ة</w:t>
      </w:r>
      <w:r w:rsidR="00FD69C8" w:rsidRPr="00282AC9">
        <w:rPr>
          <w:rFonts w:ascii="AAA GoldenLotus" w:hAnsi="AAA GoldenLotus" w:hint="cs"/>
          <w:sz w:val="27"/>
          <w:rtl/>
        </w:rPr>
        <w:t xml:space="preserve">، </w:t>
      </w:r>
      <w:r w:rsidRPr="00282AC9">
        <w:rPr>
          <w:rFonts w:ascii="AAA GoldenLotus" w:hAnsi="AAA GoldenLotus" w:hint="cs"/>
          <w:sz w:val="27"/>
          <w:rtl/>
        </w:rPr>
        <w:t>وبن</w:t>
      </w:r>
      <w:r w:rsidR="00FD69C8" w:rsidRPr="00282AC9">
        <w:rPr>
          <w:rFonts w:ascii="AAA GoldenLotus" w:hAnsi="AAA GoldenLotus" w:hint="cs"/>
          <w:sz w:val="27"/>
          <w:rtl/>
        </w:rPr>
        <w:t>َ</w:t>
      </w:r>
      <w:r w:rsidRPr="00282AC9">
        <w:rPr>
          <w:rFonts w:ascii="AAA GoldenLotus" w:hAnsi="AAA GoldenLotus" w:hint="cs"/>
          <w:sz w:val="27"/>
          <w:rtl/>
        </w:rPr>
        <w:t>ت</w:t>
      </w:r>
      <w:r w:rsidR="00FD69C8" w:rsidRPr="00282AC9">
        <w:rPr>
          <w:rFonts w:ascii="AAA GoldenLotus" w:hAnsi="AAA GoldenLotus" w:hint="cs"/>
          <w:sz w:val="27"/>
          <w:rtl/>
        </w:rPr>
        <w:t>ْ</w:t>
      </w:r>
      <w:r w:rsidRPr="00282AC9">
        <w:rPr>
          <w:rFonts w:ascii="AAA GoldenLotus" w:hAnsi="AAA GoldenLotus" w:hint="cs"/>
          <w:sz w:val="27"/>
          <w:rtl/>
        </w:rPr>
        <w:t xml:space="preserve"> عليه،</w:t>
      </w:r>
      <w:r w:rsidRPr="00282AC9">
        <w:rPr>
          <w:rFonts w:ascii="AAA GoldenLotus" w:hAnsi="AAA GoldenLotus"/>
          <w:sz w:val="27"/>
          <w:rtl/>
        </w:rPr>
        <w:t xml:space="preserve"> على اختلاف</w:t>
      </w:r>
      <w:r w:rsidR="00FD69C8" w:rsidRPr="00282AC9">
        <w:rPr>
          <w:rFonts w:ascii="AAA GoldenLotus" w:hAnsi="AAA GoldenLotus" w:hint="cs"/>
          <w:sz w:val="27"/>
          <w:rtl/>
        </w:rPr>
        <w:t>ٍ</w:t>
      </w:r>
      <w:r w:rsidRPr="00282AC9">
        <w:rPr>
          <w:rFonts w:ascii="AAA GoldenLotus" w:hAnsi="AAA GoldenLotus"/>
          <w:sz w:val="27"/>
          <w:rtl/>
        </w:rPr>
        <w:t xml:space="preserve"> في مقدار البيان</w:t>
      </w:r>
      <w:r w:rsidR="00FD69C8" w:rsidRPr="00282AC9">
        <w:rPr>
          <w:rFonts w:ascii="AAA GoldenLotus" w:hAnsi="AAA GoldenLotus" w:hint="cs"/>
          <w:sz w:val="27"/>
          <w:rtl/>
        </w:rPr>
        <w:t>،</w:t>
      </w:r>
      <w:r w:rsidRPr="00282AC9">
        <w:rPr>
          <w:rFonts w:ascii="AAA GoldenLotus" w:hAnsi="AAA GoldenLotus"/>
          <w:sz w:val="27"/>
          <w:rtl/>
        </w:rPr>
        <w:t xml:space="preserve"> من حيث التعر</w:t>
      </w:r>
      <w:r w:rsidR="00FD69C8" w:rsidRPr="00282AC9">
        <w:rPr>
          <w:rFonts w:ascii="AAA GoldenLotus" w:hAnsi="AAA GoldenLotus" w:hint="cs"/>
          <w:sz w:val="27"/>
          <w:rtl/>
        </w:rPr>
        <w:t>ُّ</w:t>
      </w:r>
      <w:r w:rsidRPr="00282AC9">
        <w:rPr>
          <w:rFonts w:ascii="AAA GoldenLotus" w:hAnsi="AAA GoldenLotus"/>
          <w:sz w:val="27"/>
          <w:rtl/>
        </w:rPr>
        <w:t>ض لمضمون القاعدة بالتصريح أو التلميح</w:t>
      </w:r>
      <w:r w:rsidR="00FD69C8" w:rsidRPr="00282AC9">
        <w:rPr>
          <w:rFonts w:ascii="AAA GoldenLotus" w:hAnsi="AAA GoldenLotus" w:hint="cs"/>
          <w:sz w:val="27"/>
          <w:rtl/>
        </w:rPr>
        <w:t>،</w:t>
      </w:r>
      <w:r w:rsidRPr="00282AC9">
        <w:rPr>
          <w:rFonts w:ascii="AAA GoldenLotus" w:hAnsi="AAA GoldenLotus" w:hint="cs"/>
          <w:sz w:val="27"/>
          <w:rtl/>
        </w:rPr>
        <w:t xml:space="preserve"> أو من خلال التطبيق؛</w:t>
      </w:r>
      <w:r w:rsidRPr="00282AC9">
        <w:rPr>
          <w:rFonts w:ascii="AAA GoldenLotus" w:hAnsi="AAA GoldenLotus"/>
          <w:sz w:val="27"/>
          <w:rtl/>
        </w:rPr>
        <w:t xml:space="preserve"> فبعض المذاهب لم </w:t>
      </w:r>
      <w:r w:rsidRPr="00282AC9">
        <w:rPr>
          <w:rFonts w:ascii="AAA GoldenLotus" w:hAnsi="AAA GoldenLotus" w:hint="cs"/>
          <w:sz w:val="27"/>
          <w:rtl/>
        </w:rPr>
        <w:t>ي</w:t>
      </w:r>
      <w:r w:rsidRPr="00282AC9">
        <w:rPr>
          <w:rFonts w:ascii="AAA GoldenLotus" w:hAnsi="AAA GoldenLotus"/>
          <w:sz w:val="27"/>
          <w:rtl/>
        </w:rPr>
        <w:t>تعر</w:t>
      </w:r>
      <w:r w:rsidR="00FD69C8" w:rsidRPr="00282AC9">
        <w:rPr>
          <w:rFonts w:ascii="AAA GoldenLotus" w:hAnsi="AAA GoldenLotus" w:hint="cs"/>
          <w:sz w:val="27"/>
          <w:rtl/>
        </w:rPr>
        <w:t>َّ</w:t>
      </w:r>
      <w:r w:rsidRPr="00282AC9">
        <w:rPr>
          <w:rFonts w:ascii="AAA GoldenLotus" w:hAnsi="AAA GoldenLotus"/>
          <w:sz w:val="27"/>
          <w:rtl/>
        </w:rPr>
        <w:t>ض للقاعدة إل</w:t>
      </w:r>
      <w:r w:rsidRPr="00282AC9">
        <w:rPr>
          <w:rFonts w:ascii="AAA GoldenLotus" w:hAnsi="AAA GoldenLotus" w:hint="cs"/>
          <w:sz w:val="27"/>
          <w:rtl/>
        </w:rPr>
        <w:t>ا</w:t>
      </w:r>
      <w:r w:rsidR="00FD69C8" w:rsidRPr="00282AC9">
        <w:rPr>
          <w:rFonts w:ascii="AAA GoldenLotus" w:hAnsi="AAA GoldenLotus" w:hint="cs"/>
          <w:sz w:val="27"/>
          <w:rtl/>
        </w:rPr>
        <w:t>ّ</w:t>
      </w:r>
      <w:r w:rsidRPr="00282AC9">
        <w:rPr>
          <w:rFonts w:ascii="AAA GoldenLotus" w:hAnsi="AAA GoldenLotus"/>
          <w:sz w:val="27"/>
          <w:rtl/>
        </w:rPr>
        <w:t xml:space="preserve"> على مستوى التطبيق</w:t>
      </w:r>
      <w:r w:rsidR="00FD69C8" w:rsidRPr="00282AC9">
        <w:rPr>
          <w:rFonts w:ascii="AAA GoldenLotus" w:hAnsi="AAA GoldenLotus" w:hint="cs"/>
          <w:sz w:val="27"/>
          <w:rtl/>
        </w:rPr>
        <w:t>،</w:t>
      </w:r>
      <w:r w:rsidRPr="00282AC9">
        <w:rPr>
          <w:rFonts w:ascii="AAA GoldenLotus" w:hAnsi="AAA GoldenLotus"/>
          <w:sz w:val="27"/>
          <w:rtl/>
        </w:rPr>
        <w:t xml:space="preserve"> دون بيان المفاد والمراد، إلا</w:t>
      </w:r>
      <w:r w:rsidR="00FD69C8" w:rsidRPr="00282AC9">
        <w:rPr>
          <w:rFonts w:ascii="AAA GoldenLotus" w:hAnsi="AAA GoldenLotus" w:hint="cs"/>
          <w:sz w:val="27"/>
          <w:rtl/>
        </w:rPr>
        <w:t>ّ</w:t>
      </w:r>
      <w:r w:rsidRPr="00282AC9">
        <w:rPr>
          <w:rFonts w:ascii="AAA GoldenLotus" w:hAnsi="AAA GoldenLotus"/>
          <w:sz w:val="27"/>
          <w:rtl/>
        </w:rPr>
        <w:t xml:space="preserve"> أنه يمكن استفادته من خلال مقاربة التطبيق وتحليله في موارد متعد</w:t>
      </w:r>
      <w:r w:rsidR="00FD69C8" w:rsidRPr="00282AC9">
        <w:rPr>
          <w:rFonts w:ascii="AAA GoldenLotus" w:hAnsi="AAA GoldenLotus" w:hint="cs"/>
          <w:sz w:val="27"/>
          <w:rtl/>
        </w:rPr>
        <w:t>ِّ</w:t>
      </w:r>
      <w:r w:rsidRPr="00282AC9">
        <w:rPr>
          <w:rFonts w:ascii="AAA GoldenLotus" w:hAnsi="AAA GoldenLotus"/>
          <w:sz w:val="27"/>
          <w:rtl/>
        </w:rPr>
        <w:t>دة.</w:t>
      </w:r>
    </w:p>
    <w:p w:rsidR="00E355F2" w:rsidRPr="00282AC9" w:rsidRDefault="00E355F2" w:rsidP="00000866">
      <w:pPr>
        <w:spacing w:line="430" w:lineRule="exact"/>
        <w:rPr>
          <w:rFonts w:ascii="AAA GoldenLotus" w:hAnsi="AAA GoldenLotus"/>
          <w:sz w:val="27"/>
          <w:rtl/>
        </w:rPr>
      </w:pPr>
    </w:p>
    <w:p w:rsidR="00E355F2" w:rsidRPr="00282AC9" w:rsidRDefault="002B6910" w:rsidP="001E10F2">
      <w:pPr>
        <w:pStyle w:val="31"/>
        <w:rPr>
          <w:color w:val="auto"/>
          <w:rtl/>
        </w:rPr>
      </w:pPr>
      <w:r w:rsidRPr="00282AC9">
        <w:rPr>
          <w:rFonts w:hint="cs"/>
          <w:color w:val="auto"/>
          <w:rtl/>
        </w:rPr>
        <w:t>أـ</w:t>
      </w:r>
      <w:r w:rsidR="00E355F2" w:rsidRPr="00282AC9">
        <w:rPr>
          <w:rFonts w:hint="cs"/>
          <w:color w:val="auto"/>
          <w:rtl/>
        </w:rPr>
        <w:t xml:space="preserve"> </w:t>
      </w:r>
      <w:r w:rsidR="001E10F2" w:rsidRPr="00282AC9">
        <w:rPr>
          <w:rFonts w:hint="cs"/>
          <w:color w:val="auto"/>
          <w:rtl/>
        </w:rPr>
        <w:t>عند الشيعة الإمامية</w:t>
      </w:r>
    </w:p>
    <w:p w:rsidR="00E355F2" w:rsidRPr="00282AC9" w:rsidRDefault="00E355F2" w:rsidP="00000866">
      <w:pPr>
        <w:spacing w:line="422" w:lineRule="exact"/>
        <w:rPr>
          <w:rFonts w:ascii="AAA GoldenLotus" w:hAnsi="AAA GoldenLotus"/>
          <w:sz w:val="27"/>
          <w:rtl/>
        </w:rPr>
      </w:pPr>
      <w:r w:rsidRPr="00282AC9">
        <w:rPr>
          <w:rFonts w:ascii="AAA GoldenLotus" w:hAnsi="AAA GoldenLotus"/>
          <w:sz w:val="27"/>
          <w:rtl/>
        </w:rPr>
        <w:t>أما مفاد القاعدة والمراد منها عند الإمامي</w:t>
      </w:r>
      <w:r w:rsidR="003B40B3" w:rsidRPr="00282AC9">
        <w:rPr>
          <w:rFonts w:ascii="AAA GoldenLotus" w:hAnsi="AAA GoldenLotus" w:hint="cs"/>
          <w:sz w:val="27"/>
          <w:rtl/>
        </w:rPr>
        <w:t>ّ</w:t>
      </w:r>
      <w:r w:rsidRPr="00282AC9">
        <w:rPr>
          <w:rFonts w:ascii="AAA GoldenLotus" w:hAnsi="AAA GoldenLotus"/>
          <w:sz w:val="27"/>
          <w:rtl/>
        </w:rPr>
        <w:t xml:space="preserve">ة </w:t>
      </w:r>
      <w:r w:rsidRPr="00282AC9">
        <w:rPr>
          <w:rFonts w:ascii="AAA GoldenLotus" w:hAnsi="AAA GoldenLotus" w:hint="cs"/>
          <w:sz w:val="27"/>
          <w:rtl/>
        </w:rPr>
        <w:t>ف</w:t>
      </w:r>
      <w:r w:rsidRPr="00282AC9">
        <w:rPr>
          <w:rFonts w:ascii="AAA GoldenLotus" w:hAnsi="AAA GoldenLotus"/>
          <w:sz w:val="27"/>
          <w:rtl/>
        </w:rPr>
        <w:t>اشتراك المرأة مع الرجل ف</w:t>
      </w:r>
      <w:r w:rsidR="003B40B3" w:rsidRPr="00282AC9">
        <w:rPr>
          <w:rFonts w:ascii="AAA GoldenLotus" w:hAnsi="AAA GoldenLotus"/>
          <w:sz w:val="27"/>
          <w:rtl/>
        </w:rPr>
        <w:t>ي التكاليف الإنشائيّة والفعليّ</w:t>
      </w:r>
      <w:r w:rsidRPr="00282AC9">
        <w:rPr>
          <w:rFonts w:ascii="AAA GoldenLotus" w:hAnsi="AAA GoldenLotus"/>
          <w:sz w:val="27"/>
          <w:rtl/>
        </w:rPr>
        <w:t>ة</w:t>
      </w:r>
      <w:r w:rsidR="003B40B3" w:rsidRPr="00282AC9">
        <w:rPr>
          <w:rFonts w:ascii="AAA GoldenLotus" w:hAnsi="AAA GoldenLotus" w:hint="cs"/>
          <w:sz w:val="27"/>
          <w:rtl/>
        </w:rPr>
        <w:t>،</w:t>
      </w:r>
      <w:r w:rsidRPr="00282AC9">
        <w:rPr>
          <w:rFonts w:ascii="AAA GoldenLotus" w:hAnsi="AAA GoldenLotus"/>
          <w:sz w:val="27"/>
          <w:rtl/>
        </w:rPr>
        <w:t xml:space="preserve"> وتساويهما فيها</w:t>
      </w:r>
      <w:r w:rsidR="003B40B3" w:rsidRPr="00282AC9">
        <w:rPr>
          <w:rFonts w:ascii="AAA GoldenLotus" w:hAnsi="AAA GoldenLotus" w:hint="cs"/>
          <w:sz w:val="27"/>
          <w:rtl/>
        </w:rPr>
        <w:t>.</w:t>
      </w:r>
      <w:r w:rsidRPr="00282AC9">
        <w:rPr>
          <w:rFonts w:ascii="AAA GoldenLotus" w:hAnsi="AAA GoldenLotus"/>
          <w:sz w:val="27"/>
          <w:rtl/>
        </w:rPr>
        <w:t xml:space="preserve"> فإذا توج</w:t>
      </w:r>
      <w:r w:rsidR="003B40B3" w:rsidRPr="00282AC9">
        <w:rPr>
          <w:rFonts w:ascii="AAA GoldenLotus" w:hAnsi="AAA GoldenLotus" w:hint="cs"/>
          <w:sz w:val="27"/>
          <w:rtl/>
        </w:rPr>
        <w:t>َّ</w:t>
      </w:r>
      <w:r w:rsidRPr="00282AC9">
        <w:rPr>
          <w:rFonts w:ascii="AAA GoldenLotus" w:hAnsi="AAA GoldenLotus"/>
          <w:sz w:val="27"/>
          <w:rtl/>
        </w:rPr>
        <w:t>ه حكم</w:t>
      </w:r>
      <w:r w:rsidR="003B40B3" w:rsidRPr="00282AC9">
        <w:rPr>
          <w:rFonts w:ascii="AAA GoldenLotus" w:hAnsi="AAA GoldenLotus" w:hint="cs"/>
          <w:sz w:val="27"/>
          <w:rtl/>
        </w:rPr>
        <w:t>ٌ</w:t>
      </w:r>
      <w:r w:rsidRPr="00282AC9">
        <w:rPr>
          <w:rFonts w:ascii="AAA GoldenLotus" w:hAnsi="AAA GoldenLotus"/>
          <w:sz w:val="27"/>
          <w:rtl/>
        </w:rPr>
        <w:t xml:space="preserve"> </w:t>
      </w:r>
      <w:r w:rsidR="003B40B3" w:rsidRPr="00282AC9">
        <w:rPr>
          <w:rFonts w:ascii="AAA GoldenLotus" w:hAnsi="AAA GoldenLotus" w:hint="cs"/>
          <w:sz w:val="27"/>
          <w:rtl/>
        </w:rPr>
        <w:t>إ</w:t>
      </w:r>
      <w:r w:rsidRPr="00282AC9">
        <w:rPr>
          <w:rFonts w:ascii="AAA GoldenLotus" w:hAnsi="AAA GoldenLotus"/>
          <w:sz w:val="27"/>
          <w:rtl/>
        </w:rPr>
        <w:t>لى رجل</w:t>
      </w:r>
      <w:r w:rsidR="003B40B3" w:rsidRPr="00282AC9">
        <w:rPr>
          <w:rFonts w:ascii="AAA GoldenLotus" w:hAnsi="AAA GoldenLotus" w:hint="cs"/>
          <w:sz w:val="27"/>
          <w:rtl/>
        </w:rPr>
        <w:t>ٍ</w:t>
      </w:r>
      <w:r w:rsidRPr="00282AC9">
        <w:rPr>
          <w:rFonts w:ascii="AAA GoldenLotus" w:hAnsi="AAA GoldenLotus"/>
          <w:sz w:val="27"/>
          <w:rtl/>
        </w:rPr>
        <w:t xml:space="preserve"> أو رجال</w:t>
      </w:r>
      <w:r w:rsidR="003B40B3" w:rsidRPr="00282AC9">
        <w:rPr>
          <w:rFonts w:ascii="AAA GoldenLotus" w:hAnsi="AAA GoldenLotus" w:hint="cs"/>
          <w:sz w:val="27"/>
          <w:rtl/>
        </w:rPr>
        <w:t>،</w:t>
      </w:r>
      <w:r w:rsidRPr="00282AC9">
        <w:rPr>
          <w:rFonts w:ascii="AAA GoldenLotus" w:hAnsi="AAA GoldenLotus"/>
          <w:sz w:val="27"/>
          <w:rtl/>
        </w:rPr>
        <w:t xml:space="preserve"> بحيث كان المخاط</w:t>
      </w:r>
      <w:r w:rsidR="003B40B3" w:rsidRPr="00282AC9">
        <w:rPr>
          <w:rFonts w:ascii="AAA GoldenLotus" w:hAnsi="AAA GoldenLotus" w:hint="cs"/>
          <w:sz w:val="27"/>
          <w:rtl/>
        </w:rPr>
        <w:t>َ</w:t>
      </w:r>
      <w:r w:rsidRPr="00282AC9">
        <w:rPr>
          <w:rFonts w:ascii="AAA GoldenLotus" w:hAnsi="AAA GoldenLotus"/>
          <w:sz w:val="27"/>
          <w:rtl/>
        </w:rPr>
        <w:t>ب ببيان الحكم وثبوته هو ذلك الشخص أو الطائفة،</w:t>
      </w:r>
      <w:r w:rsidR="003B40B3" w:rsidRPr="00282AC9">
        <w:rPr>
          <w:rFonts w:ascii="AAA GoldenLotus" w:hAnsi="AAA GoldenLotus"/>
          <w:sz w:val="27"/>
          <w:rtl/>
        </w:rPr>
        <w:t xml:space="preserve"> ولا يشمل دليل الحكم بح</w:t>
      </w:r>
      <w:r w:rsidR="003B40B3" w:rsidRPr="00282AC9">
        <w:rPr>
          <w:rFonts w:ascii="AAA GoldenLotus" w:hAnsi="AAA GoldenLotus" w:hint="cs"/>
          <w:sz w:val="27"/>
          <w:rtl/>
        </w:rPr>
        <w:t>َ</w:t>
      </w:r>
      <w:r w:rsidR="003B40B3" w:rsidRPr="00282AC9">
        <w:rPr>
          <w:rFonts w:ascii="AAA GoldenLotus" w:hAnsi="AAA GoldenLotus"/>
          <w:sz w:val="27"/>
          <w:rtl/>
        </w:rPr>
        <w:t>س</w:t>
      </w:r>
      <w:r w:rsidR="003B40B3" w:rsidRPr="00282AC9">
        <w:rPr>
          <w:rFonts w:ascii="AAA GoldenLotus" w:hAnsi="AAA GoldenLotus" w:hint="cs"/>
          <w:sz w:val="27"/>
          <w:rtl/>
        </w:rPr>
        <w:t>َ</w:t>
      </w:r>
      <w:r w:rsidR="003B40B3" w:rsidRPr="00282AC9">
        <w:rPr>
          <w:rFonts w:ascii="AAA GoldenLotus" w:hAnsi="AAA GoldenLotus"/>
          <w:sz w:val="27"/>
          <w:rtl/>
        </w:rPr>
        <w:t>ب الد</w:t>
      </w:r>
      <w:r w:rsidRPr="00282AC9">
        <w:rPr>
          <w:rFonts w:ascii="AAA GoldenLotus" w:hAnsi="AAA GoldenLotus"/>
          <w:sz w:val="27"/>
          <w:rtl/>
        </w:rPr>
        <w:t xml:space="preserve">لالة اللفظية غيرهما، </w:t>
      </w:r>
      <w:r w:rsidR="003B40B3" w:rsidRPr="00282AC9">
        <w:rPr>
          <w:rFonts w:ascii="AAA GoldenLotus" w:hAnsi="AAA GoldenLotus" w:hint="cs"/>
          <w:sz w:val="27"/>
          <w:rtl/>
        </w:rPr>
        <w:t>ف</w:t>
      </w:r>
      <w:r w:rsidRPr="00282AC9">
        <w:rPr>
          <w:rFonts w:ascii="AAA GoldenLotus" w:hAnsi="AAA GoldenLotus"/>
          <w:sz w:val="27"/>
          <w:rtl/>
        </w:rPr>
        <w:t>مع ذلك نرى الفقهاء متسالمين على تعميم الحكم إلى جميع المكل</w:t>
      </w:r>
      <w:r w:rsidR="003B40B3" w:rsidRPr="00282AC9">
        <w:rPr>
          <w:rFonts w:ascii="AAA GoldenLotus" w:hAnsi="AAA GoldenLotus" w:hint="cs"/>
          <w:sz w:val="27"/>
          <w:rtl/>
        </w:rPr>
        <w:t>َّ</w:t>
      </w:r>
      <w:r w:rsidRPr="00282AC9">
        <w:rPr>
          <w:rFonts w:ascii="AAA GoldenLotus" w:hAnsi="AAA GoldenLotus"/>
          <w:sz w:val="27"/>
          <w:rtl/>
        </w:rPr>
        <w:t>فين</w:t>
      </w:r>
      <w:r w:rsidR="003B40B3" w:rsidRPr="00282AC9">
        <w:rPr>
          <w:rFonts w:ascii="AAA GoldenLotus" w:hAnsi="AAA GoldenLotus" w:hint="cs"/>
          <w:sz w:val="27"/>
          <w:rtl/>
        </w:rPr>
        <w:t>،</w:t>
      </w:r>
      <w:r w:rsidRPr="00282AC9">
        <w:rPr>
          <w:rFonts w:ascii="AAA GoldenLotus" w:hAnsi="AAA GoldenLotus"/>
          <w:sz w:val="27"/>
          <w:rtl/>
        </w:rPr>
        <w:t xml:space="preserve"> رجالاً ونساءً، ولكل</w:t>
      </w:r>
      <w:r w:rsidR="003B40B3" w:rsidRPr="00282AC9">
        <w:rPr>
          <w:rFonts w:ascii="AAA GoldenLotus" w:hAnsi="AAA GoldenLotus" w:hint="cs"/>
          <w:sz w:val="27"/>
          <w:rtl/>
        </w:rPr>
        <w:t>ّ</w:t>
      </w:r>
      <w:r w:rsidRPr="00282AC9">
        <w:rPr>
          <w:rFonts w:ascii="AAA GoldenLotus" w:hAnsi="AAA GoldenLotus"/>
          <w:sz w:val="27"/>
          <w:rtl/>
        </w:rPr>
        <w:t xml:space="preserve"> م</w:t>
      </w:r>
      <w:r w:rsidR="003B40B3" w:rsidRPr="00282AC9">
        <w:rPr>
          <w:rFonts w:ascii="AAA GoldenLotus" w:hAnsi="AAA GoldenLotus" w:hint="cs"/>
          <w:sz w:val="27"/>
          <w:rtl/>
        </w:rPr>
        <w:t>َ</w:t>
      </w:r>
      <w:r w:rsidRPr="00282AC9">
        <w:rPr>
          <w:rFonts w:ascii="AAA GoldenLotus" w:hAnsi="AAA GoldenLotus"/>
          <w:sz w:val="27"/>
          <w:rtl/>
        </w:rPr>
        <w:t>ن</w:t>
      </w:r>
      <w:r w:rsidR="003B40B3" w:rsidRPr="00282AC9">
        <w:rPr>
          <w:rFonts w:ascii="AAA GoldenLotus" w:hAnsi="AAA GoldenLotus" w:hint="cs"/>
          <w:sz w:val="27"/>
          <w:rtl/>
        </w:rPr>
        <w:t>ْ</w:t>
      </w:r>
      <w:r w:rsidRPr="00282AC9">
        <w:rPr>
          <w:rFonts w:ascii="AAA GoldenLotus" w:hAnsi="AAA GoldenLotus"/>
          <w:sz w:val="27"/>
          <w:rtl/>
        </w:rPr>
        <w:t xml:space="preserve"> كان مت</w:t>
      </w:r>
      <w:r w:rsidR="003B40B3" w:rsidRPr="00282AC9">
        <w:rPr>
          <w:rFonts w:ascii="AAA GoldenLotus" w:hAnsi="AAA GoldenLotus" w:hint="cs"/>
          <w:sz w:val="27"/>
          <w:rtl/>
        </w:rPr>
        <w:t>َّ</w:t>
      </w:r>
      <w:r w:rsidRPr="00282AC9">
        <w:rPr>
          <w:rFonts w:ascii="AAA GoldenLotus" w:hAnsi="AAA GoldenLotus"/>
          <w:sz w:val="27"/>
          <w:rtl/>
        </w:rPr>
        <w:t>حد العنوان والصنف مع ذلك الشخص أو تلك الطائفة</w:t>
      </w:r>
      <w:r w:rsidR="003B40B3" w:rsidRPr="00282AC9">
        <w:rPr>
          <w:rFonts w:ascii="AAA GoldenLotus" w:hAnsi="AAA GoldenLotus" w:hint="cs"/>
          <w:sz w:val="27"/>
          <w:rtl/>
        </w:rPr>
        <w:t>،</w:t>
      </w:r>
      <w:r w:rsidRPr="00282AC9">
        <w:rPr>
          <w:rFonts w:ascii="AAA GoldenLotus" w:hAnsi="AAA GoldenLotus"/>
          <w:sz w:val="27"/>
          <w:rtl/>
        </w:rPr>
        <w:t xml:space="preserve"> من حيث كونه يمتلك أهلي</w:t>
      </w:r>
      <w:r w:rsidR="003B40B3" w:rsidRPr="00282AC9">
        <w:rPr>
          <w:rFonts w:ascii="AAA GoldenLotus" w:hAnsi="AAA GoldenLotus" w:hint="cs"/>
          <w:sz w:val="27"/>
          <w:rtl/>
        </w:rPr>
        <w:t>ّ</w:t>
      </w:r>
      <w:r w:rsidRPr="00282AC9">
        <w:rPr>
          <w:rFonts w:ascii="AAA GoldenLotus" w:hAnsi="AAA GoldenLotus"/>
          <w:sz w:val="27"/>
          <w:rtl/>
        </w:rPr>
        <w:t>ة التكليف ـ مثلاً ـ</w:t>
      </w:r>
      <w:r w:rsidR="008D387C" w:rsidRPr="00282AC9">
        <w:rPr>
          <w:rFonts w:ascii="AAA GoldenLotus" w:hAnsi="AAA GoldenLotus" w:hint="cs"/>
          <w:sz w:val="27"/>
          <w:rtl/>
        </w:rPr>
        <w:t>،</w:t>
      </w:r>
      <w:r w:rsidRPr="00282AC9">
        <w:rPr>
          <w:rFonts w:ascii="AAA GoldenLotus" w:hAnsi="AAA GoldenLotus"/>
          <w:sz w:val="27"/>
          <w:rtl/>
        </w:rPr>
        <w:t xml:space="preserve"> بما لأهلي</w:t>
      </w:r>
      <w:r w:rsidR="003B40B3" w:rsidRPr="00282AC9">
        <w:rPr>
          <w:rFonts w:ascii="AAA GoldenLotus" w:hAnsi="AAA GoldenLotus" w:hint="cs"/>
          <w:sz w:val="27"/>
          <w:rtl/>
        </w:rPr>
        <w:t>ّ</w:t>
      </w:r>
      <w:r w:rsidRPr="00282AC9">
        <w:rPr>
          <w:rFonts w:ascii="AAA GoldenLotus" w:hAnsi="AAA GoldenLotus"/>
          <w:sz w:val="27"/>
          <w:rtl/>
        </w:rPr>
        <w:t>ة التكليف من مدخلي</w:t>
      </w:r>
      <w:r w:rsidR="008D387C" w:rsidRPr="00282AC9">
        <w:rPr>
          <w:rFonts w:ascii="AAA GoldenLotus" w:hAnsi="AAA GoldenLotus" w:hint="cs"/>
          <w:sz w:val="27"/>
          <w:rtl/>
        </w:rPr>
        <w:t>ّ</w:t>
      </w:r>
      <w:r w:rsidRPr="00282AC9">
        <w:rPr>
          <w:rFonts w:ascii="AAA GoldenLotus" w:hAnsi="AAA GoldenLotus"/>
          <w:sz w:val="27"/>
          <w:rtl/>
        </w:rPr>
        <w:t>ة</w:t>
      </w:r>
      <w:r w:rsidR="008D387C" w:rsidRPr="00282AC9">
        <w:rPr>
          <w:rFonts w:ascii="AAA GoldenLotus" w:hAnsi="AAA GoldenLotus" w:hint="cs"/>
          <w:sz w:val="27"/>
          <w:rtl/>
        </w:rPr>
        <w:t>ٍ</w:t>
      </w:r>
      <w:r w:rsidRPr="00282AC9">
        <w:rPr>
          <w:rFonts w:ascii="AAA GoldenLotus" w:hAnsi="AAA GoldenLotus"/>
          <w:sz w:val="27"/>
          <w:rtl/>
        </w:rPr>
        <w:t xml:space="preserve"> في ثبوت الحكم، وبعبارة</w:t>
      </w:r>
      <w:r w:rsidR="008D387C" w:rsidRPr="00282AC9">
        <w:rPr>
          <w:rFonts w:ascii="AAA GoldenLotus" w:hAnsi="AAA GoldenLotus" w:hint="cs"/>
          <w:sz w:val="27"/>
          <w:rtl/>
        </w:rPr>
        <w:t>ٍ</w:t>
      </w:r>
      <w:r w:rsidRPr="00282AC9">
        <w:rPr>
          <w:rFonts w:ascii="AAA GoldenLotus" w:hAnsi="AAA GoldenLotus"/>
          <w:sz w:val="27"/>
          <w:rtl/>
        </w:rPr>
        <w:t xml:space="preserve"> أخرى</w:t>
      </w:r>
      <w:r w:rsidR="008D387C" w:rsidRPr="00282AC9">
        <w:rPr>
          <w:rFonts w:ascii="AAA GoldenLotus" w:hAnsi="AAA GoldenLotus" w:hint="cs"/>
          <w:sz w:val="27"/>
          <w:rtl/>
        </w:rPr>
        <w:t>:</w:t>
      </w:r>
      <w:r w:rsidRPr="00282AC9">
        <w:rPr>
          <w:rFonts w:ascii="AAA GoldenLotus" w:hAnsi="AAA GoldenLotus"/>
          <w:sz w:val="27"/>
          <w:rtl/>
        </w:rPr>
        <w:t xml:space="preserve"> إثبات الحكم والتكليف لكل</w:t>
      </w:r>
      <w:r w:rsidR="008D387C" w:rsidRPr="00282AC9">
        <w:rPr>
          <w:rFonts w:ascii="AAA GoldenLotus" w:hAnsi="AAA GoldenLotus" w:hint="cs"/>
          <w:sz w:val="27"/>
          <w:rtl/>
        </w:rPr>
        <w:t>ّ</w:t>
      </w:r>
      <w:r w:rsidRPr="00282AC9">
        <w:rPr>
          <w:rFonts w:ascii="AAA GoldenLotus" w:hAnsi="AAA GoldenLotus"/>
          <w:sz w:val="27"/>
          <w:rtl/>
        </w:rPr>
        <w:t xml:space="preserve"> مكل</w:t>
      </w:r>
      <w:r w:rsidR="008D387C" w:rsidRPr="00282AC9">
        <w:rPr>
          <w:rFonts w:ascii="AAA GoldenLotus" w:hAnsi="AAA GoldenLotus" w:hint="cs"/>
          <w:sz w:val="27"/>
          <w:rtl/>
        </w:rPr>
        <w:t>َّ</w:t>
      </w:r>
      <w:r w:rsidRPr="00282AC9">
        <w:rPr>
          <w:rFonts w:ascii="AAA GoldenLotus" w:hAnsi="AAA GoldenLotus"/>
          <w:sz w:val="27"/>
          <w:rtl/>
        </w:rPr>
        <w:t>ف</w:t>
      </w:r>
      <w:r w:rsidR="008D387C" w:rsidRPr="00282AC9">
        <w:rPr>
          <w:rFonts w:ascii="AAA GoldenLotus" w:hAnsi="AAA GoldenLotus" w:hint="cs"/>
          <w:sz w:val="27"/>
          <w:rtl/>
        </w:rPr>
        <w:t>،</w:t>
      </w:r>
      <w:r w:rsidRPr="00282AC9">
        <w:rPr>
          <w:rFonts w:ascii="AAA GoldenLotus" w:hAnsi="AAA GoldenLotus"/>
          <w:sz w:val="27"/>
          <w:rtl/>
        </w:rPr>
        <w:t xml:space="preserve"> سواء كان رجلاً أم امرأة</w:t>
      </w:r>
      <w:r w:rsidR="008D387C" w:rsidRPr="00282AC9">
        <w:rPr>
          <w:rFonts w:ascii="AAA GoldenLotus" w:hAnsi="AAA GoldenLotus" w:hint="cs"/>
          <w:sz w:val="27"/>
          <w:rtl/>
        </w:rPr>
        <w:t>،</w:t>
      </w:r>
      <w:r w:rsidRPr="00282AC9">
        <w:rPr>
          <w:rFonts w:ascii="AAA GoldenLotus" w:hAnsi="AAA GoldenLotus"/>
          <w:sz w:val="27"/>
          <w:rtl/>
        </w:rPr>
        <w:t xml:space="preserve"> بعد أن كانوا واجدين للخصوصي</w:t>
      </w:r>
      <w:r w:rsidR="008D387C" w:rsidRPr="00282AC9">
        <w:rPr>
          <w:rFonts w:ascii="AAA GoldenLotus" w:hAnsi="AAA GoldenLotus" w:hint="cs"/>
          <w:sz w:val="27"/>
          <w:rtl/>
        </w:rPr>
        <w:t>ّ</w:t>
      </w:r>
      <w:r w:rsidR="00B4202F" w:rsidRPr="00282AC9">
        <w:rPr>
          <w:rFonts w:ascii="AAA GoldenLotus" w:hAnsi="AAA GoldenLotus"/>
          <w:sz w:val="27"/>
          <w:rtl/>
        </w:rPr>
        <w:t>ات الدخيلة في ثبوت الحكم</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5"/>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1E10F2" w:rsidP="008932D4">
      <w:pPr>
        <w:pStyle w:val="31"/>
        <w:rPr>
          <w:color w:val="auto"/>
          <w:rtl/>
        </w:rPr>
      </w:pPr>
      <w:r w:rsidRPr="00282AC9">
        <w:rPr>
          <w:rFonts w:hint="cs"/>
          <w:color w:val="auto"/>
          <w:rtl/>
        </w:rPr>
        <w:lastRenderedPageBreak/>
        <w:t>ب ـ</w:t>
      </w:r>
      <w:r w:rsidR="00E355F2" w:rsidRPr="00282AC9">
        <w:rPr>
          <w:rFonts w:hint="cs"/>
          <w:color w:val="auto"/>
          <w:rtl/>
        </w:rPr>
        <w:t xml:space="preserve"> </w:t>
      </w:r>
      <w:r w:rsidR="008932D4" w:rsidRPr="00282AC9">
        <w:rPr>
          <w:rFonts w:hint="cs"/>
          <w:color w:val="auto"/>
          <w:rtl/>
        </w:rPr>
        <w:t>عند سائر</w:t>
      </w:r>
      <w:r w:rsidR="00E355F2" w:rsidRPr="00282AC9">
        <w:rPr>
          <w:color w:val="auto"/>
          <w:rtl/>
        </w:rPr>
        <w:t xml:space="preserve"> </w:t>
      </w:r>
      <w:r w:rsidR="008932D4" w:rsidRPr="00282AC9">
        <w:rPr>
          <w:rFonts w:hint="cs"/>
          <w:color w:val="auto"/>
          <w:rtl/>
        </w:rPr>
        <w:t>المذاهب الإسلامية</w:t>
      </w:r>
      <w:r w:rsidRPr="00282AC9">
        <w:rPr>
          <w:rFonts w:hint="cs"/>
          <w:color w:val="auto"/>
          <w:rtl/>
        </w:rPr>
        <w:t xml:space="preserve"> </w:t>
      </w:r>
    </w:p>
    <w:p w:rsidR="00E355F2" w:rsidRPr="00282AC9" w:rsidRDefault="00E355F2" w:rsidP="00000866">
      <w:pPr>
        <w:spacing w:line="390" w:lineRule="exact"/>
        <w:rPr>
          <w:rFonts w:ascii="AAA GoldenLotus" w:hAnsi="AAA GoldenLotus"/>
          <w:sz w:val="27"/>
          <w:rtl/>
        </w:rPr>
      </w:pPr>
      <w:r w:rsidRPr="00282AC9">
        <w:rPr>
          <w:rFonts w:ascii="AAA GoldenLotus" w:hAnsi="AAA GoldenLotus"/>
          <w:sz w:val="27"/>
          <w:rtl/>
        </w:rPr>
        <w:t xml:space="preserve">أما بالنسبة لمفاد القاعدة عند جمهور </w:t>
      </w:r>
      <w:r w:rsidR="008D387C" w:rsidRPr="00282AC9">
        <w:rPr>
          <w:rFonts w:ascii="AAA GoldenLotus" w:hAnsi="AAA GoldenLotus" w:hint="cs"/>
          <w:sz w:val="27"/>
          <w:rtl/>
        </w:rPr>
        <w:t>ال</w:t>
      </w:r>
      <w:r w:rsidRPr="00282AC9">
        <w:rPr>
          <w:rFonts w:ascii="AAA GoldenLotus" w:hAnsi="AAA GoldenLotus"/>
          <w:sz w:val="27"/>
          <w:rtl/>
        </w:rPr>
        <w:t>مذاهب الإسلامي</w:t>
      </w:r>
      <w:r w:rsidR="008D387C" w:rsidRPr="00282AC9">
        <w:rPr>
          <w:rFonts w:ascii="AAA GoldenLotus" w:hAnsi="AAA GoldenLotus" w:hint="cs"/>
          <w:sz w:val="27"/>
          <w:rtl/>
        </w:rPr>
        <w:t>ّ</w:t>
      </w:r>
      <w:r w:rsidRPr="00282AC9">
        <w:rPr>
          <w:rFonts w:ascii="AAA GoldenLotus" w:hAnsi="AAA GoldenLotus"/>
          <w:sz w:val="27"/>
          <w:rtl/>
        </w:rPr>
        <w:t>ة فلم يذكر صريحاً في مصادرهم</w:t>
      </w:r>
      <w:r w:rsidRPr="00282AC9">
        <w:rPr>
          <w:rFonts w:ascii="AAA GoldenLotus" w:hAnsi="AAA GoldenLotus" w:hint="cs"/>
          <w:sz w:val="27"/>
          <w:rtl/>
        </w:rPr>
        <w:t xml:space="preserve"> كما ألم</w:t>
      </w:r>
      <w:r w:rsidR="008D387C" w:rsidRPr="00282AC9">
        <w:rPr>
          <w:rFonts w:ascii="AAA GoldenLotus" w:hAnsi="AAA GoldenLotus" w:hint="cs"/>
          <w:sz w:val="27"/>
          <w:rtl/>
        </w:rPr>
        <w:t>َ</w:t>
      </w:r>
      <w:r w:rsidRPr="00282AC9">
        <w:rPr>
          <w:rFonts w:ascii="AAA GoldenLotus" w:hAnsi="AAA GoldenLotus" w:hint="cs"/>
          <w:sz w:val="27"/>
          <w:rtl/>
        </w:rPr>
        <w:t>ح</w:t>
      </w:r>
      <w:r w:rsidR="008D387C" w:rsidRPr="00282AC9">
        <w:rPr>
          <w:rFonts w:ascii="AAA GoldenLotus" w:hAnsi="AAA GoldenLotus" w:hint="cs"/>
          <w:sz w:val="27"/>
          <w:rtl/>
        </w:rPr>
        <w:t>ْ</w:t>
      </w:r>
      <w:r w:rsidRPr="00282AC9">
        <w:rPr>
          <w:rFonts w:ascii="AAA GoldenLotus" w:hAnsi="AAA GoldenLotus" w:hint="cs"/>
          <w:sz w:val="27"/>
          <w:rtl/>
        </w:rPr>
        <w:t>نا</w:t>
      </w:r>
      <w:r w:rsidRPr="00282AC9">
        <w:rPr>
          <w:rFonts w:ascii="AAA GoldenLotus" w:hAnsi="AAA GoldenLotus"/>
          <w:sz w:val="27"/>
          <w:rtl/>
        </w:rPr>
        <w:t>؛ حيث إنهم لم يبحثوا هذه القاعدة بشكل</w:t>
      </w:r>
      <w:r w:rsidR="008D387C" w:rsidRPr="00282AC9">
        <w:rPr>
          <w:rFonts w:ascii="AAA GoldenLotus" w:hAnsi="AAA GoldenLotus" w:hint="cs"/>
          <w:sz w:val="27"/>
          <w:rtl/>
        </w:rPr>
        <w:t>ٍ</w:t>
      </w:r>
      <w:r w:rsidRPr="00282AC9">
        <w:rPr>
          <w:rFonts w:ascii="AAA GoldenLotus" w:hAnsi="AAA GoldenLotus"/>
          <w:sz w:val="27"/>
          <w:rtl/>
        </w:rPr>
        <w:t xml:space="preserve"> مستقل</w:t>
      </w:r>
      <w:r w:rsidR="008D387C" w:rsidRPr="00282AC9">
        <w:rPr>
          <w:rFonts w:ascii="AAA GoldenLotus" w:hAnsi="AAA GoldenLotus" w:hint="cs"/>
          <w:sz w:val="27"/>
          <w:rtl/>
        </w:rPr>
        <w:t>ّ</w:t>
      </w:r>
      <w:r w:rsidRPr="00282AC9">
        <w:rPr>
          <w:rFonts w:ascii="AAA GoldenLotus" w:hAnsi="AAA GoldenLotus"/>
          <w:sz w:val="27"/>
          <w:rtl/>
        </w:rPr>
        <w:t xml:space="preserve"> ومفصّ</w:t>
      </w:r>
      <w:r w:rsidR="008D387C" w:rsidRPr="00282AC9">
        <w:rPr>
          <w:rFonts w:ascii="AAA GoldenLotus" w:hAnsi="AAA GoldenLotus" w:hint="cs"/>
          <w:sz w:val="27"/>
          <w:rtl/>
        </w:rPr>
        <w:t>َ</w:t>
      </w:r>
      <w:r w:rsidRPr="00282AC9">
        <w:rPr>
          <w:rFonts w:ascii="AAA GoldenLotus" w:hAnsi="AAA GoldenLotus"/>
          <w:sz w:val="27"/>
          <w:rtl/>
        </w:rPr>
        <w:t>ل، مما يجعل الباحث يبذل جهداً كبيراً للوصول إلى مرامهم</w:t>
      </w:r>
      <w:r w:rsidR="008D387C" w:rsidRPr="00282AC9">
        <w:rPr>
          <w:rFonts w:ascii="AAA GoldenLotus" w:hAnsi="AAA GoldenLotus" w:hint="cs"/>
          <w:sz w:val="27"/>
          <w:rtl/>
        </w:rPr>
        <w:t>،</w:t>
      </w:r>
      <w:r w:rsidRPr="00282AC9">
        <w:rPr>
          <w:rFonts w:ascii="AAA GoldenLotus" w:hAnsi="AAA GoldenLotus"/>
          <w:sz w:val="27"/>
          <w:rtl/>
        </w:rPr>
        <w:t xml:space="preserve"> من خلال التتب</w:t>
      </w:r>
      <w:r w:rsidR="008D387C" w:rsidRPr="00282AC9">
        <w:rPr>
          <w:rFonts w:ascii="AAA GoldenLotus" w:hAnsi="AAA GoldenLotus" w:hint="cs"/>
          <w:sz w:val="27"/>
          <w:rtl/>
        </w:rPr>
        <w:t>ُّ</w:t>
      </w:r>
      <w:r w:rsidRPr="00282AC9">
        <w:rPr>
          <w:rFonts w:ascii="AAA GoldenLotus" w:hAnsi="AAA GoldenLotus"/>
          <w:sz w:val="27"/>
          <w:rtl/>
        </w:rPr>
        <w:t>ع في كتبهم وملاحظة كلماتهم</w:t>
      </w:r>
      <w:r w:rsidR="008D387C" w:rsidRPr="00282AC9">
        <w:rPr>
          <w:rFonts w:ascii="AAA GoldenLotus" w:hAnsi="AAA GoldenLotus" w:hint="cs"/>
          <w:sz w:val="27"/>
          <w:rtl/>
        </w:rPr>
        <w:t>.</w:t>
      </w:r>
      <w:r w:rsidRPr="00282AC9">
        <w:rPr>
          <w:rFonts w:ascii="AAA GoldenLotus" w:hAnsi="AAA GoldenLotus"/>
          <w:sz w:val="27"/>
          <w:rtl/>
        </w:rPr>
        <w:t xml:space="preserve"> ومن </w:t>
      </w:r>
      <w:r w:rsidRPr="00282AC9">
        <w:rPr>
          <w:rFonts w:ascii="AAA GoldenLotus" w:hAnsi="AAA GoldenLotus" w:hint="cs"/>
          <w:sz w:val="27"/>
          <w:rtl/>
        </w:rPr>
        <w:t>ثَمّ</w:t>
      </w:r>
      <w:r w:rsidR="008D387C" w:rsidRPr="00282AC9">
        <w:rPr>
          <w:rFonts w:ascii="AAA GoldenLotus" w:hAnsi="AAA GoldenLotus" w:hint="cs"/>
          <w:sz w:val="27"/>
          <w:rtl/>
        </w:rPr>
        <w:t>َ</w:t>
      </w:r>
      <w:r w:rsidRPr="00282AC9">
        <w:rPr>
          <w:rFonts w:ascii="AAA GoldenLotus" w:hAnsi="AAA GoldenLotus"/>
          <w:sz w:val="27"/>
          <w:rtl/>
        </w:rPr>
        <w:t xml:space="preserve"> أمكن تصيّ</w:t>
      </w:r>
      <w:r w:rsidR="008D387C" w:rsidRPr="00282AC9">
        <w:rPr>
          <w:rFonts w:ascii="AAA GoldenLotus" w:hAnsi="AAA GoldenLotus" w:hint="cs"/>
          <w:sz w:val="27"/>
          <w:rtl/>
        </w:rPr>
        <w:t>ُ</w:t>
      </w:r>
      <w:r w:rsidRPr="00282AC9">
        <w:rPr>
          <w:rFonts w:ascii="AAA GoldenLotus" w:hAnsi="AAA GoldenLotus"/>
          <w:sz w:val="27"/>
          <w:rtl/>
        </w:rPr>
        <w:t xml:space="preserve">د مفاد القاعدة </w:t>
      </w:r>
      <w:r w:rsidRPr="00282AC9">
        <w:rPr>
          <w:rFonts w:ascii="AAA GoldenLotus" w:hAnsi="AAA GoldenLotus" w:hint="cs"/>
          <w:sz w:val="27"/>
          <w:rtl/>
        </w:rPr>
        <w:t xml:space="preserve">ومضمونها </w:t>
      </w:r>
      <w:r w:rsidRPr="00282AC9">
        <w:rPr>
          <w:rFonts w:ascii="AAA GoldenLotus" w:hAnsi="AAA GoldenLotus"/>
          <w:sz w:val="27"/>
          <w:rtl/>
        </w:rPr>
        <w:t>من خلال ما أوردوه في كتبهم</w:t>
      </w:r>
      <w:r w:rsidR="008D387C" w:rsidRPr="00282AC9">
        <w:rPr>
          <w:rFonts w:ascii="AAA GoldenLotus" w:hAnsi="AAA GoldenLotus" w:hint="cs"/>
          <w:sz w:val="27"/>
          <w:rtl/>
        </w:rPr>
        <w:t>،</w:t>
      </w:r>
      <w:r w:rsidRPr="00282AC9">
        <w:rPr>
          <w:rFonts w:ascii="AAA GoldenLotus" w:hAnsi="AAA GoldenLotus"/>
          <w:sz w:val="27"/>
          <w:rtl/>
        </w:rPr>
        <w:t xml:space="preserve"> عند كلامهم عن أن الأصل في الشريعة هو عمومي</w:t>
      </w:r>
      <w:r w:rsidR="008D387C" w:rsidRPr="00282AC9">
        <w:rPr>
          <w:rFonts w:ascii="AAA GoldenLotus" w:hAnsi="AAA GoldenLotus" w:hint="cs"/>
          <w:sz w:val="27"/>
          <w:rtl/>
        </w:rPr>
        <w:t>ّ</w:t>
      </w:r>
      <w:r w:rsidRPr="00282AC9">
        <w:rPr>
          <w:rFonts w:ascii="AAA GoldenLotus" w:hAnsi="AAA GoldenLotus"/>
          <w:sz w:val="27"/>
          <w:rtl/>
        </w:rPr>
        <w:t>ة الأحكام لكل</w:t>
      </w:r>
      <w:r w:rsidR="008D387C" w:rsidRPr="00282AC9">
        <w:rPr>
          <w:rFonts w:ascii="AAA GoldenLotus" w:hAnsi="AAA GoldenLotus" w:hint="cs"/>
          <w:sz w:val="27"/>
          <w:rtl/>
        </w:rPr>
        <w:t>ّ</w:t>
      </w:r>
      <w:r w:rsidRPr="00282AC9">
        <w:rPr>
          <w:rFonts w:ascii="AAA GoldenLotus" w:hAnsi="AAA GoldenLotus"/>
          <w:sz w:val="27"/>
          <w:rtl/>
        </w:rPr>
        <w:t xml:space="preserve"> المكل</w:t>
      </w:r>
      <w:r w:rsidR="008D387C" w:rsidRPr="00282AC9">
        <w:rPr>
          <w:rFonts w:ascii="AAA GoldenLotus" w:hAnsi="AAA GoldenLotus" w:hint="cs"/>
          <w:sz w:val="27"/>
          <w:rtl/>
        </w:rPr>
        <w:t>َّ</w:t>
      </w:r>
      <w:r w:rsidRPr="00282AC9">
        <w:rPr>
          <w:rFonts w:ascii="AAA GoldenLotus" w:hAnsi="AAA GoldenLotus"/>
          <w:sz w:val="27"/>
          <w:rtl/>
        </w:rPr>
        <w:t>فين</w:t>
      </w:r>
      <w:r w:rsidR="008D387C" w:rsidRPr="00282AC9">
        <w:rPr>
          <w:rFonts w:ascii="AAA GoldenLotus" w:hAnsi="AAA GoldenLotus" w:hint="cs"/>
          <w:sz w:val="27"/>
          <w:rtl/>
        </w:rPr>
        <w:t>.</w:t>
      </w:r>
      <w:r w:rsidRPr="00282AC9">
        <w:rPr>
          <w:rFonts w:ascii="AAA GoldenLotus" w:hAnsi="AAA GoldenLotus"/>
          <w:sz w:val="27"/>
          <w:rtl/>
        </w:rPr>
        <w:t xml:space="preserve"> كما يمكن تصيّ</w:t>
      </w:r>
      <w:r w:rsidR="008D387C" w:rsidRPr="00282AC9">
        <w:rPr>
          <w:rFonts w:ascii="AAA GoldenLotus" w:hAnsi="AAA GoldenLotus" w:hint="cs"/>
          <w:sz w:val="27"/>
          <w:rtl/>
        </w:rPr>
        <w:t>ُ</w:t>
      </w:r>
      <w:r w:rsidRPr="00282AC9">
        <w:rPr>
          <w:rFonts w:ascii="AAA GoldenLotus" w:hAnsi="AAA GoldenLotus"/>
          <w:sz w:val="27"/>
          <w:rtl/>
        </w:rPr>
        <w:t>ده من خلال حديث</w:t>
      </w:r>
      <w:r w:rsidR="008D387C" w:rsidRPr="00282AC9">
        <w:rPr>
          <w:rFonts w:ascii="AAA GoldenLotus" w:hAnsi="AAA GoldenLotus" w:hint="cs"/>
          <w:sz w:val="27"/>
          <w:rtl/>
        </w:rPr>
        <w:t>ٍ</w:t>
      </w:r>
      <w:r w:rsidRPr="00282AC9">
        <w:rPr>
          <w:rFonts w:ascii="AAA GoldenLotus" w:hAnsi="AAA GoldenLotus"/>
          <w:sz w:val="27"/>
          <w:rtl/>
        </w:rPr>
        <w:t xml:space="preserve"> نسبوه إلى النبي</w:t>
      </w:r>
      <w:r w:rsidR="008D387C" w:rsidRPr="00282AC9">
        <w:rPr>
          <w:rFonts w:ascii="AAA GoldenLotus" w:hAnsi="AAA GoldenLotus" w:hint="cs"/>
          <w:sz w:val="27"/>
          <w:rtl/>
        </w:rPr>
        <w:t>ّ</w:t>
      </w:r>
      <w:r w:rsidRPr="00282AC9">
        <w:rPr>
          <w:rFonts w:ascii="AAA GoldenLotus" w:hAnsi="AAA GoldenLotus"/>
          <w:sz w:val="27"/>
          <w:rtl/>
        </w:rPr>
        <w:t xml:space="preserve"> الأكرم</w:t>
      </w:r>
      <w:r w:rsidR="009A2A04" w:rsidRPr="00282AC9">
        <w:rPr>
          <w:rFonts w:ascii="AAA GoldenLotus" w:hAnsi="AAA GoldenLotus" w:cs="Mosawi"/>
          <w:sz w:val="22"/>
          <w:szCs w:val="22"/>
          <w:rtl/>
        </w:rPr>
        <w:t>|</w:t>
      </w:r>
      <w:r w:rsidR="008D387C"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w:t>
      </w:r>
      <w:r w:rsidRPr="00282AC9">
        <w:rPr>
          <w:rFonts w:ascii="AAA GoldenLotus" w:hAnsi="AAA GoldenLotus"/>
          <w:sz w:val="27"/>
          <w:rtl/>
        </w:rPr>
        <w:t>النساء شقائق الرجال</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6"/>
      </w:r>
      <w:r w:rsidRPr="00282AC9">
        <w:rPr>
          <w:rFonts w:ascii="AAA GoldenLotus" w:hAnsi="AAA GoldenLotus"/>
          <w:sz w:val="27"/>
          <w:vertAlign w:val="superscript"/>
          <w:rtl/>
        </w:rPr>
        <w:t>)</w:t>
      </w:r>
      <w:r w:rsidR="008D387C" w:rsidRPr="00282AC9">
        <w:rPr>
          <w:rFonts w:ascii="AAA GoldenLotus" w:hAnsi="AAA GoldenLotus" w:hint="cs"/>
          <w:sz w:val="27"/>
          <w:rtl/>
        </w:rPr>
        <w:t>، و</w:t>
      </w:r>
      <w:r w:rsidRPr="00282AC9">
        <w:rPr>
          <w:rFonts w:ascii="AAA GoldenLotus" w:hAnsi="AAA GoldenLotus"/>
          <w:sz w:val="27"/>
          <w:rtl/>
        </w:rPr>
        <w:t>الذي صيغ</w:t>
      </w:r>
      <w:r w:rsidR="008D387C" w:rsidRPr="00282AC9">
        <w:rPr>
          <w:rFonts w:ascii="AAA GoldenLotus" w:hAnsi="AAA GoldenLotus" w:hint="cs"/>
          <w:sz w:val="27"/>
          <w:rtl/>
        </w:rPr>
        <w:t>َ</w:t>
      </w:r>
      <w:r w:rsidRPr="00282AC9">
        <w:rPr>
          <w:rFonts w:ascii="AAA GoldenLotus" w:hAnsi="AAA GoldenLotus"/>
          <w:sz w:val="27"/>
          <w:rtl/>
        </w:rPr>
        <w:t>ت</w:t>
      </w:r>
      <w:r w:rsidR="008D387C" w:rsidRPr="00282AC9">
        <w:rPr>
          <w:rFonts w:ascii="AAA GoldenLotus" w:hAnsi="AAA GoldenLotus" w:hint="cs"/>
          <w:sz w:val="27"/>
          <w:rtl/>
        </w:rPr>
        <w:t>ْ</w:t>
      </w:r>
      <w:r w:rsidRPr="00282AC9">
        <w:rPr>
          <w:rFonts w:ascii="AAA GoldenLotus" w:hAnsi="AAA GoldenLotus"/>
          <w:sz w:val="27"/>
          <w:rtl/>
        </w:rPr>
        <w:t xml:space="preserve"> منه القاعدة عندهم</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7"/>
      </w:r>
      <w:r w:rsidRPr="00282AC9">
        <w:rPr>
          <w:rFonts w:ascii="AAA GoldenLotus" w:hAnsi="AAA GoldenLotus"/>
          <w:sz w:val="27"/>
          <w:vertAlign w:val="superscript"/>
          <w:rtl/>
        </w:rPr>
        <w:t>)</w:t>
      </w:r>
      <w:r w:rsidR="008D387C" w:rsidRPr="00282AC9">
        <w:rPr>
          <w:rFonts w:ascii="AAA GoldenLotus" w:hAnsi="AAA GoldenLotus" w:hint="cs"/>
          <w:sz w:val="27"/>
          <w:rtl/>
        </w:rPr>
        <w:t>؛</w:t>
      </w:r>
      <w:r w:rsidRPr="00282AC9">
        <w:rPr>
          <w:rFonts w:ascii="AAA GoldenLotus" w:hAnsi="AAA GoldenLotus"/>
          <w:sz w:val="27"/>
          <w:rtl/>
        </w:rPr>
        <w:t xml:space="preserve"> فإن</w:t>
      </w:r>
      <w:r w:rsidR="008D387C" w:rsidRPr="00282AC9">
        <w:rPr>
          <w:rFonts w:ascii="AAA GoldenLotus" w:hAnsi="AAA GoldenLotus" w:hint="cs"/>
          <w:sz w:val="27"/>
          <w:rtl/>
        </w:rPr>
        <w:t>ّ</w:t>
      </w:r>
      <w:r w:rsidRPr="00282AC9">
        <w:rPr>
          <w:rFonts w:ascii="AAA GoldenLotus" w:hAnsi="AAA GoldenLotus"/>
          <w:sz w:val="27"/>
          <w:rtl/>
        </w:rPr>
        <w:t xml:space="preserve"> معنى كون النساء شقائق الرجال أن المرأة شقيقة الرجل، </w:t>
      </w:r>
      <w:r w:rsidR="008D387C" w:rsidRPr="00282AC9">
        <w:rPr>
          <w:rFonts w:ascii="AAA GoldenLotus" w:hAnsi="AAA GoldenLotus" w:hint="cs"/>
          <w:sz w:val="27"/>
          <w:rtl/>
        </w:rPr>
        <w:t>أي</w:t>
      </w:r>
      <w:r w:rsidRPr="00282AC9">
        <w:rPr>
          <w:rFonts w:ascii="AAA GoldenLotus" w:hAnsi="AAA GoldenLotus"/>
          <w:sz w:val="27"/>
          <w:rtl/>
        </w:rPr>
        <w:t xml:space="preserve"> مساوية له</w:t>
      </w:r>
      <w:r w:rsidR="008D387C" w:rsidRPr="00282AC9">
        <w:rPr>
          <w:rFonts w:ascii="AAA GoldenLotus" w:hAnsi="AAA GoldenLotus" w:hint="cs"/>
          <w:sz w:val="27"/>
          <w:rtl/>
        </w:rPr>
        <w:t>،</w:t>
      </w:r>
      <w:r w:rsidRPr="00282AC9">
        <w:rPr>
          <w:rFonts w:ascii="AAA GoldenLotus" w:hAnsi="AAA GoldenLotus"/>
          <w:sz w:val="27"/>
          <w:rtl/>
        </w:rPr>
        <w:t xml:space="preserve"> وتشترك معه في</w:t>
      </w:r>
      <w:r w:rsidR="008D387C" w:rsidRPr="00282AC9">
        <w:rPr>
          <w:rFonts w:ascii="AAA GoldenLotus" w:hAnsi="AAA GoldenLotus" w:hint="cs"/>
          <w:sz w:val="27"/>
          <w:rtl/>
        </w:rPr>
        <w:t xml:space="preserve"> </w:t>
      </w:r>
      <w:r w:rsidRPr="00282AC9">
        <w:rPr>
          <w:rFonts w:ascii="AAA GoldenLotus" w:hAnsi="AAA GoldenLotus"/>
          <w:sz w:val="27"/>
          <w:rtl/>
        </w:rPr>
        <w:t>ما فرضه الله عزّ</w:t>
      </w:r>
      <w:r w:rsidR="008D387C" w:rsidRPr="00282AC9">
        <w:rPr>
          <w:rFonts w:ascii="AAA GoldenLotus" w:hAnsi="AAA GoldenLotus" w:hint="cs"/>
          <w:sz w:val="27"/>
          <w:rtl/>
        </w:rPr>
        <w:t>َ</w:t>
      </w:r>
      <w:r w:rsidRPr="00282AC9">
        <w:rPr>
          <w:rFonts w:ascii="AAA GoldenLotus" w:hAnsi="AAA GoldenLotus"/>
          <w:sz w:val="27"/>
          <w:rtl/>
        </w:rPr>
        <w:t xml:space="preserve"> وجلّ</w:t>
      </w:r>
      <w:r w:rsidR="008D387C" w:rsidRPr="00282AC9">
        <w:rPr>
          <w:rFonts w:ascii="AAA GoldenLotus" w:hAnsi="AAA GoldenLotus" w:hint="cs"/>
          <w:sz w:val="27"/>
          <w:rtl/>
        </w:rPr>
        <w:t>َ</w:t>
      </w:r>
      <w:r w:rsidRPr="00282AC9">
        <w:rPr>
          <w:rFonts w:ascii="AAA GoldenLotus" w:hAnsi="AAA GoldenLotus"/>
          <w:sz w:val="27"/>
          <w:rtl/>
        </w:rPr>
        <w:t xml:space="preserve"> من التكاليف الإلهي</w:t>
      </w:r>
      <w:r w:rsidR="008D387C" w:rsidRPr="00282AC9">
        <w:rPr>
          <w:rFonts w:ascii="AAA GoldenLotus" w:hAnsi="AAA GoldenLotus" w:hint="cs"/>
          <w:sz w:val="27"/>
          <w:rtl/>
        </w:rPr>
        <w:t>ّ</w:t>
      </w:r>
      <w:r w:rsidRPr="00282AC9">
        <w:rPr>
          <w:rFonts w:ascii="AAA GoldenLotus" w:hAnsi="AAA GoldenLotus"/>
          <w:sz w:val="27"/>
          <w:rtl/>
        </w:rPr>
        <w:t>ة</w:t>
      </w:r>
      <w:r w:rsidR="008D387C" w:rsidRPr="00282AC9">
        <w:rPr>
          <w:rFonts w:ascii="AAA GoldenLotus" w:hAnsi="AAA GoldenLotus" w:hint="cs"/>
          <w:sz w:val="27"/>
          <w:rtl/>
        </w:rPr>
        <w:t>،</w:t>
      </w:r>
      <w:r w:rsidRPr="00282AC9">
        <w:rPr>
          <w:rFonts w:ascii="AAA GoldenLotus" w:hAnsi="AAA GoldenLotus"/>
          <w:sz w:val="27"/>
          <w:rtl/>
        </w:rPr>
        <w:t xml:space="preserve"> فيما لو لم يعلم الاختصاص</w:t>
      </w:r>
      <w:r w:rsidR="008D387C" w:rsidRPr="00282AC9">
        <w:rPr>
          <w:rFonts w:ascii="AAA GoldenLotus" w:hAnsi="AAA GoldenLotus" w:hint="cs"/>
          <w:sz w:val="27"/>
          <w:rtl/>
        </w:rPr>
        <w:t>.</w:t>
      </w:r>
      <w:r w:rsidRPr="00282AC9">
        <w:rPr>
          <w:rFonts w:ascii="AAA GoldenLotus" w:hAnsi="AAA GoldenLotus"/>
          <w:sz w:val="27"/>
          <w:rtl/>
        </w:rPr>
        <w:t xml:space="preserve"> هذا ما صر</w:t>
      </w:r>
      <w:r w:rsidR="00C316EE" w:rsidRPr="00282AC9">
        <w:rPr>
          <w:rFonts w:ascii="AAA GoldenLotus" w:hAnsi="AAA GoldenLotus" w:hint="cs"/>
          <w:sz w:val="27"/>
          <w:rtl/>
        </w:rPr>
        <w:t>َّ</w:t>
      </w:r>
      <w:r w:rsidRPr="00282AC9">
        <w:rPr>
          <w:rFonts w:ascii="AAA GoldenLotus" w:hAnsi="AAA GoldenLotus"/>
          <w:sz w:val="27"/>
          <w:rtl/>
        </w:rPr>
        <w:t>ح</w:t>
      </w:r>
      <w:r w:rsidR="00C316EE" w:rsidRPr="00282AC9">
        <w:rPr>
          <w:rFonts w:ascii="AAA GoldenLotus" w:hAnsi="AAA GoldenLotus" w:hint="cs"/>
          <w:sz w:val="27"/>
          <w:rtl/>
        </w:rPr>
        <w:t>َ</w:t>
      </w:r>
      <w:r w:rsidRPr="00282AC9">
        <w:rPr>
          <w:rFonts w:ascii="AAA GoldenLotus" w:hAnsi="AAA GoldenLotus"/>
          <w:sz w:val="27"/>
          <w:rtl/>
        </w:rPr>
        <w:t>ت</w:t>
      </w:r>
      <w:r w:rsidR="00C316EE" w:rsidRPr="00282AC9">
        <w:rPr>
          <w:rFonts w:ascii="AAA GoldenLotus" w:hAnsi="AAA GoldenLotus" w:hint="cs"/>
          <w:sz w:val="27"/>
          <w:rtl/>
        </w:rPr>
        <w:t>ْ</w:t>
      </w:r>
      <w:r w:rsidRPr="00282AC9">
        <w:rPr>
          <w:rFonts w:ascii="AAA GoldenLotus" w:hAnsi="AAA GoldenLotus"/>
          <w:sz w:val="27"/>
          <w:rtl/>
        </w:rPr>
        <w:t xml:space="preserve"> به الحنفية والمالكية والشافعية والحنابلة، بأن الأصل في خطاب الشرع عندهم العموم؛ فهو موج</w:t>
      </w:r>
      <w:r w:rsidR="00C316EE" w:rsidRPr="00282AC9">
        <w:rPr>
          <w:rFonts w:ascii="AAA GoldenLotus" w:hAnsi="AAA GoldenLotus" w:hint="cs"/>
          <w:sz w:val="27"/>
          <w:rtl/>
        </w:rPr>
        <w:t>َّ</w:t>
      </w:r>
      <w:r w:rsidRPr="00282AC9">
        <w:rPr>
          <w:rFonts w:ascii="AAA GoldenLotus" w:hAnsi="AAA GoldenLotus"/>
          <w:sz w:val="27"/>
          <w:rtl/>
        </w:rPr>
        <w:t>ه</w:t>
      </w:r>
      <w:r w:rsidR="00C316EE" w:rsidRPr="00282AC9">
        <w:rPr>
          <w:rFonts w:ascii="AAA GoldenLotus" w:hAnsi="AAA GoldenLotus" w:hint="cs"/>
          <w:sz w:val="27"/>
          <w:rtl/>
        </w:rPr>
        <w:t>ٌ</w:t>
      </w:r>
      <w:r w:rsidRPr="00282AC9">
        <w:rPr>
          <w:rFonts w:ascii="AAA GoldenLotus" w:hAnsi="AAA GoldenLotus"/>
          <w:sz w:val="27"/>
          <w:rtl/>
        </w:rPr>
        <w:t xml:space="preserve"> إلى الرجال والنساء، من دون وجود فرق</w:t>
      </w:r>
      <w:r w:rsidR="00C316EE" w:rsidRPr="00282AC9">
        <w:rPr>
          <w:rFonts w:ascii="AAA GoldenLotus" w:hAnsi="AAA GoldenLotus" w:hint="cs"/>
          <w:sz w:val="27"/>
          <w:rtl/>
        </w:rPr>
        <w:t>ٍ</w:t>
      </w:r>
      <w:r w:rsidRPr="00282AC9">
        <w:rPr>
          <w:rFonts w:ascii="AAA GoldenLotus" w:hAnsi="AAA GoldenLotus"/>
          <w:sz w:val="27"/>
          <w:rtl/>
        </w:rPr>
        <w:t xml:space="preserve"> فيه بينهما</w:t>
      </w:r>
      <w:r w:rsidR="00C316EE" w:rsidRPr="00282AC9">
        <w:rPr>
          <w:rFonts w:ascii="AAA GoldenLotus" w:hAnsi="AAA GoldenLotus" w:hint="cs"/>
          <w:sz w:val="27"/>
          <w:rtl/>
        </w:rPr>
        <w:t>،</w:t>
      </w:r>
      <w:r w:rsidRPr="00282AC9">
        <w:rPr>
          <w:rFonts w:ascii="AAA GoldenLotus" w:hAnsi="AAA GoldenLotus"/>
          <w:sz w:val="27"/>
          <w:rtl/>
        </w:rPr>
        <w:t xml:space="preserve"> إلا</w:t>
      </w:r>
      <w:r w:rsidR="00C316EE" w:rsidRPr="00282AC9">
        <w:rPr>
          <w:rFonts w:ascii="AAA GoldenLotus" w:hAnsi="AAA GoldenLotus" w:hint="cs"/>
          <w:sz w:val="27"/>
          <w:rtl/>
        </w:rPr>
        <w:t>ّ</w:t>
      </w:r>
      <w:r w:rsidRPr="00282AC9">
        <w:rPr>
          <w:rFonts w:ascii="AAA GoldenLotus" w:hAnsi="AAA GoldenLotus"/>
          <w:sz w:val="27"/>
          <w:rtl/>
        </w:rPr>
        <w:t xml:space="preserve"> فيما دل</w:t>
      </w:r>
      <w:r w:rsidR="00C316EE" w:rsidRPr="00282AC9">
        <w:rPr>
          <w:rFonts w:ascii="AAA GoldenLotus" w:hAnsi="AAA GoldenLotus" w:hint="cs"/>
          <w:sz w:val="27"/>
          <w:rtl/>
        </w:rPr>
        <w:t>َّ</w:t>
      </w:r>
      <w:r w:rsidRPr="00282AC9">
        <w:rPr>
          <w:rFonts w:ascii="AAA GoldenLotus" w:hAnsi="AAA GoldenLotus"/>
          <w:sz w:val="27"/>
          <w:rtl/>
        </w:rPr>
        <w:t xml:space="preserve"> دليل</w:t>
      </w:r>
      <w:r w:rsidR="00C316EE" w:rsidRPr="00282AC9">
        <w:rPr>
          <w:rFonts w:ascii="AAA GoldenLotus" w:hAnsi="AAA GoldenLotus" w:hint="cs"/>
          <w:sz w:val="27"/>
          <w:rtl/>
        </w:rPr>
        <w:t>ٌ</w:t>
      </w:r>
      <w:r w:rsidRPr="00282AC9">
        <w:rPr>
          <w:rFonts w:ascii="AAA GoldenLotus" w:hAnsi="AAA GoldenLotus"/>
          <w:sz w:val="27"/>
          <w:rtl/>
        </w:rPr>
        <w:t xml:space="preserve"> على تخصيصه بأحدهما؛ فقد قال رسول الله[</w:t>
      </w:r>
      <w:r w:rsidR="009A2A04" w:rsidRPr="00282AC9">
        <w:rPr>
          <w:rFonts w:ascii="AAA GoldenLotus" w:hAnsi="AAA GoldenLotus" w:cs="Mosawi"/>
          <w:sz w:val="22"/>
          <w:szCs w:val="22"/>
          <w:rtl/>
        </w:rPr>
        <w:t>|</w:t>
      </w:r>
      <w:r w:rsidRPr="00282AC9">
        <w:rPr>
          <w:rFonts w:ascii="AAA GoldenLotus" w:hAnsi="AAA GoldenLotus"/>
          <w:sz w:val="27"/>
          <w:rtl/>
        </w:rPr>
        <w:t xml:space="preserve">]: </w:t>
      </w:r>
      <w:r w:rsidRPr="00282AC9">
        <w:rPr>
          <w:rFonts w:ascii="AAA GoldenLotus" w:hAnsi="AAA GoldenLotus" w:hint="cs"/>
          <w:sz w:val="27"/>
          <w:rtl/>
        </w:rPr>
        <w:t>(</w:t>
      </w:r>
      <w:r w:rsidRPr="00282AC9">
        <w:rPr>
          <w:rFonts w:ascii="AAA GoldenLotus" w:hAnsi="AAA GoldenLotus"/>
          <w:sz w:val="27"/>
          <w:rtl/>
        </w:rPr>
        <w:t>إنما النساء شقائق الرجال</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8"/>
      </w:r>
      <w:r w:rsidRPr="00282AC9">
        <w:rPr>
          <w:rFonts w:ascii="AAA GoldenLotus" w:hAnsi="AAA GoldenLotus"/>
          <w:sz w:val="27"/>
          <w:vertAlign w:val="superscript"/>
          <w:rtl/>
        </w:rPr>
        <w:t>)</w:t>
      </w:r>
      <w:r w:rsidR="00C316EE" w:rsidRPr="00282AC9">
        <w:rPr>
          <w:rFonts w:ascii="AAA GoldenLotus" w:hAnsi="AAA GoldenLotus" w:hint="cs"/>
          <w:sz w:val="27"/>
          <w:rtl/>
        </w:rPr>
        <w:t xml:space="preserve">، </w:t>
      </w:r>
      <w:r w:rsidRPr="00282AC9">
        <w:rPr>
          <w:rFonts w:ascii="AAA GoldenLotus" w:hAnsi="AAA GoldenLotus"/>
          <w:sz w:val="27"/>
          <w:rtl/>
        </w:rPr>
        <w:t xml:space="preserve">وأنه </w:t>
      </w:r>
      <w:r w:rsidRPr="00282AC9">
        <w:rPr>
          <w:rFonts w:ascii="AAA GoldenLotus" w:hAnsi="AAA GoldenLotus" w:hint="cs"/>
          <w:sz w:val="27"/>
          <w:rtl/>
        </w:rPr>
        <w:t>(</w:t>
      </w:r>
      <w:r w:rsidRPr="00282AC9">
        <w:rPr>
          <w:rFonts w:ascii="AAA GoldenLotus" w:hAnsi="AAA GoldenLotus"/>
          <w:sz w:val="27"/>
          <w:rtl/>
        </w:rPr>
        <w:t>لا حاجة إلى التنصيص على الحكم في المرأة؛ فإن من المعلوم أن كل</w:t>
      </w:r>
      <w:r w:rsidR="00C316EE" w:rsidRPr="00282AC9">
        <w:rPr>
          <w:rFonts w:ascii="AAA GoldenLotus" w:hAnsi="AAA GoldenLotus" w:hint="cs"/>
          <w:sz w:val="27"/>
          <w:rtl/>
        </w:rPr>
        <w:t>ّ</w:t>
      </w:r>
      <w:r w:rsidRPr="00282AC9">
        <w:rPr>
          <w:rFonts w:ascii="AAA GoldenLotus" w:hAnsi="AAA GoldenLotus"/>
          <w:sz w:val="27"/>
          <w:rtl/>
        </w:rPr>
        <w:t xml:space="preserve"> حكم</w:t>
      </w:r>
      <w:r w:rsidR="00C316EE" w:rsidRPr="00282AC9">
        <w:rPr>
          <w:rFonts w:ascii="AAA GoldenLotus" w:hAnsi="AAA GoldenLotus" w:hint="cs"/>
          <w:sz w:val="27"/>
          <w:rtl/>
        </w:rPr>
        <w:t>ٍ</w:t>
      </w:r>
      <w:r w:rsidRPr="00282AC9">
        <w:rPr>
          <w:rFonts w:ascii="AAA GoldenLotus" w:hAnsi="AAA GoldenLotus"/>
          <w:sz w:val="27"/>
          <w:rtl/>
        </w:rPr>
        <w:t xml:space="preserve"> ثبت للرجال ثبت للنساء؛ لأنهنّ شقائق الرجال</w:t>
      </w:r>
      <w:r w:rsidR="00C316EE" w:rsidRPr="00282AC9">
        <w:rPr>
          <w:rFonts w:ascii="AAA GoldenLotus" w:hAnsi="AAA GoldenLotus" w:hint="cs"/>
          <w:sz w:val="27"/>
          <w:rtl/>
        </w:rPr>
        <w:t xml:space="preserve">، </w:t>
      </w:r>
      <w:r w:rsidRPr="00282AC9">
        <w:rPr>
          <w:rFonts w:ascii="AAA GoldenLotus" w:hAnsi="AAA GoldenLotus"/>
          <w:sz w:val="27"/>
          <w:rtl/>
        </w:rPr>
        <w:t>إلا</w:t>
      </w:r>
      <w:r w:rsidR="00C316EE" w:rsidRPr="00282AC9">
        <w:rPr>
          <w:rFonts w:ascii="AAA GoldenLotus" w:hAnsi="AAA GoldenLotus" w:hint="cs"/>
          <w:sz w:val="27"/>
          <w:rtl/>
        </w:rPr>
        <w:t>ّ</w:t>
      </w:r>
      <w:r w:rsidRPr="00282AC9">
        <w:rPr>
          <w:rFonts w:ascii="AAA GoldenLotus" w:hAnsi="AAA GoldenLotus"/>
          <w:sz w:val="27"/>
          <w:rtl/>
        </w:rPr>
        <w:t xml:space="preserve"> ما ن</w:t>
      </w:r>
      <w:r w:rsidR="00C316EE" w:rsidRPr="00282AC9">
        <w:rPr>
          <w:rFonts w:ascii="AAA GoldenLotus" w:hAnsi="AAA GoldenLotus" w:hint="cs"/>
          <w:sz w:val="27"/>
          <w:rtl/>
        </w:rPr>
        <w:t>ُ</w:t>
      </w:r>
      <w:r w:rsidRPr="00282AC9">
        <w:rPr>
          <w:rFonts w:ascii="AAA GoldenLotus" w:hAnsi="AAA GoldenLotus"/>
          <w:sz w:val="27"/>
          <w:rtl/>
        </w:rPr>
        <w:t>صّ</w:t>
      </w:r>
      <w:r w:rsidR="00C316EE" w:rsidRPr="00282AC9">
        <w:rPr>
          <w:rFonts w:ascii="AAA GoldenLotus" w:hAnsi="AAA GoldenLotus" w:hint="cs"/>
          <w:sz w:val="27"/>
          <w:rtl/>
        </w:rPr>
        <w:t>َ</w:t>
      </w:r>
      <w:r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49"/>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00866">
      <w:pPr>
        <w:spacing w:line="340" w:lineRule="exact"/>
        <w:rPr>
          <w:rFonts w:ascii="AAA GoldenLotus" w:hAnsi="AAA GoldenLotus"/>
          <w:sz w:val="27"/>
          <w:rtl/>
        </w:rPr>
      </w:pPr>
    </w:p>
    <w:p w:rsidR="00E355F2" w:rsidRPr="00282AC9" w:rsidRDefault="008932D4" w:rsidP="00C32BB1">
      <w:pPr>
        <w:pStyle w:val="31"/>
        <w:rPr>
          <w:color w:val="auto"/>
        </w:rPr>
      </w:pPr>
      <w:r w:rsidRPr="00282AC9">
        <w:rPr>
          <w:rFonts w:hint="cs"/>
          <w:color w:val="auto"/>
          <w:rtl/>
        </w:rPr>
        <w:t>3ـ</w:t>
      </w:r>
      <w:r w:rsidR="00E355F2" w:rsidRPr="00282AC9">
        <w:rPr>
          <w:rFonts w:hint="cs"/>
          <w:color w:val="auto"/>
          <w:rtl/>
        </w:rPr>
        <w:t xml:space="preserve"> </w:t>
      </w:r>
      <w:r w:rsidR="00E355F2" w:rsidRPr="00282AC9">
        <w:rPr>
          <w:color w:val="auto"/>
          <w:rtl/>
        </w:rPr>
        <w:t>أدل</w:t>
      </w:r>
      <w:r w:rsidR="00C316EE" w:rsidRPr="00282AC9">
        <w:rPr>
          <w:rFonts w:hint="cs"/>
          <w:color w:val="auto"/>
          <w:rtl/>
        </w:rPr>
        <w:t>ّ</w:t>
      </w:r>
      <w:r w:rsidR="00E355F2" w:rsidRPr="00282AC9">
        <w:rPr>
          <w:color w:val="auto"/>
          <w:rtl/>
        </w:rPr>
        <w:t>ة القاعدة ومستنداتها في الفقه الإسلامي</w:t>
      </w:r>
      <w:r w:rsidR="00C316EE" w:rsidRPr="00282AC9">
        <w:rPr>
          <w:rFonts w:hint="cs"/>
          <w:color w:val="auto"/>
          <w:rtl/>
        </w:rPr>
        <w:t>ّ</w:t>
      </w:r>
      <w:r w:rsidR="00E355F2" w:rsidRPr="00282AC9">
        <w:rPr>
          <w:color w:val="auto"/>
          <w:rtl/>
        </w:rPr>
        <w:t xml:space="preserve"> </w:t>
      </w:r>
      <w:r w:rsidR="00E355F2" w:rsidRPr="00282AC9">
        <w:rPr>
          <w:color w:val="auto"/>
          <w:rtl/>
        </w:rPr>
        <w:tab/>
      </w:r>
    </w:p>
    <w:p w:rsidR="00D55D0B" w:rsidRPr="00282AC9" w:rsidRDefault="00E355F2" w:rsidP="00000866">
      <w:pPr>
        <w:spacing w:line="390" w:lineRule="exact"/>
        <w:rPr>
          <w:rFonts w:ascii="AAA GoldenLotus" w:hAnsi="AAA GoldenLotus"/>
          <w:sz w:val="27"/>
          <w:rtl/>
        </w:rPr>
      </w:pPr>
      <w:r w:rsidRPr="00282AC9">
        <w:rPr>
          <w:rFonts w:ascii="AAA GoldenLotus" w:hAnsi="AAA GoldenLotus"/>
          <w:sz w:val="27"/>
          <w:rtl/>
        </w:rPr>
        <w:t xml:space="preserve"> إن أهم</w:t>
      </w:r>
      <w:r w:rsidR="00C316EE" w:rsidRPr="00282AC9">
        <w:rPr>
          <w:rFonts w:ascii="AAA GoldenLotus" w:hAnsi="AAA GoldenLotus" w:hint="cs"/>
          <w:sz w:val="27"/>
          <w:rtl/>
        </w:rPr>
        <w:t>ّ</w:t>
      </w:r>
      <w:r w:rsidRPr="00282AC9">
        <w:rPr>
          <w:rFonts w:ascii="AAA GoldenLotus" w:hAnsi="AAA GoldenLotus"/>
          <w:sz w:val="27"/>
          <w:rtl/>
        </w:rPr>
        <w:t>ية البحث في أدل</w:t>
      </w:r>
      <w:r w:rsidR="00C316EE" w:rsidRPr="00282AC9">
        <w:rPr>
          <w:rFonts w:ascii="AAA GoldenLotus" w:hAnsi="AAA GoldenLotus" w:hint="cs"/>
          <w:sz w:val="27"/>
          <w:rtl/>
        </w:rPr>
        <w:t>ّ</w:t>
      </w:r>
      <w:r w:rsidRPr="00282AC9">
        <w:rPr>
          <w:rFonts w:ascii="AAA GoldenLotus" w:hAnsi="AAA GoldenLotus"/>
          <w:sz w:val="27"/>
          <w:rtl/>
        </w:rPr>
        <w:t>ة القاعدة إنما يكمن في الوقوف على أدل</w:t>
      </w:r>
      <w:r w:rsidR="00C316EE" w:rsidRPr="00282AC9">
        <w:rPr>
          <w:rFonts w:ascii="AAA GoldenLotus" w:hAnsi="AAA GoldenLotus" w:hint="cs"/>
          <w:sz w:val="27"/>
          <w:rtl/>
        </w:rPr>
        <w:t>ّ</w:t>
      </w:r>
      <w:r w:rsidRPr="00282AC9">
        <w:rPr>
          <w:rFonts w:ascii="AAA GoldenLotus" w:hAnsi="AAA GoldenLotus"/>
          <w:sz w:val="27"/>
          <w:rtl/>
        </w:rPr>
        <w:t>تها عند جمهور المذاهب ال</w:t>
      </w:r>
      <w:r w:rsidR="00C316EE" w:rsidRPr="00282AC9">
        <w:rPr>
          <w:rFonts w:ascii="AAA GoldenLotus" w:hAnsi="AAA GoldenLotus" w:hint="cs"/>
          <w:sz w:val="27"/>
          <w:rtl/>
        </w:rPr>
        <w:t>إ</w:t>
      </w:r>
      <w:r w:rsidRPr="00282AC9">
        <w:rPr>
          <w:rFonts w:ascii="AAA GoldenLotus" w:hAnsi="AAA GoldenLotus"/>
          <w:sz w:val="27"/>
          <w:rtl/>
        </w:rPr>
        <w:t>سلامي</w:t>
      </w:r>
      <w:r w:rsidR="00C316EE" w:rsidRPr="00282AC9">
        <w:rPr>
          <w:rFonts w:ascii="AAA GoldenLotus" w:hAnsi="AAA GoldenLotus" w:hint="cs"/>
          <w:sz w:val="27"/>
          <w:rtl/>
        </w:rPr>
        <w:t>ّ</w:t>
      </w:r>
      <w:r w:rsidRPr="00282AC9">
        <w:rPr>
          <w:rFonts w:ascii="AAA GoldenLotus" w:hAnsi="AAA GoldenLotus"/>
          <w:sz w:val="27"/>
          <w:rtl/>
        </w:rPr>
        <w:t>ة</w:t>
      </w:r>
      <w:r w:rsidR="00C316EE" w:rsidRPr="00282AC9">
        <w:rPr>
          <w:rFonts w:ascii="AAA GoldenLotus" w:hAnsi="AAA GoldenLotus" w:hint="cs"/>
          <w:sz w:val="27"/>
          <w:rtl/>
        </w:rPr>
        <w:t>؛</w:t>
      </w:r>
      <w:r w:rsidRPr="00282AC9">
        <w:rPr>
          <w:rFonts w:ascii="AAA GoldenLotus" w:hAnsi="AAA GoldenLotus"/>
          <w:sz w:val="27"/>
          <w:rtl/>
        </w:rPr>
        <w:t xml:space="preserve"> من أجل المقارنة بينهم وبين الإمامي</w:t>
      </w:r>
      <w:r w:rsidR="00D55D0B" w:rsidRPr="00282AC9">
        <w:rPr>
          <w:rFonts w:ascii="AAA GoldenLotus" w:hAnsi="AAA GoldenLotus" w:hint="cs"/>
          <w:sz w:val="27"/>
          <w:rtl/>
        </w:rPr>
        <w:t>ّ</w:t>
      </w:r>
      <w:r w:rsidRPr="00282AC9">
        <w:rPr>
          <w:rFonts w:ascii="AAA GoldenLotus" w:hAnsi="AAA GoldenLotus"/>
          <w:sz w:val="27"/>
          <w:rtl/>
        </w:rPr>
        <w:t>ة، وبيان كيفي</w:t>
      </w:r>
      <w:r w:rsidR="00D55D0B" w:rsidRPr="00282AC9">
        <w:rPr>
          <w:rFonts w:ascii="AAA GoldenLotus" w:hAnsi="AAA GoldenLotus" w:hint="cs"/>
          <w:sz w:val="27"/>
          <w:rtl/>
        </w:rPr>
        <w:t>ّ</w:t>
      </w:r>
      <w:r w:rsidRPr="00282AC9">
        <w:rPr>
          <w:rFonts w:ascii="AAA GoldenLotus" w:hAnsi="AAA GoldenLotus"/>
          <w:sz w:val="27"/>
          <w:rtl/>
        </w:rPr>
        <w:t>ة استدلال كل</w:t>
      </w:r>
      <w:r w:rsidR="00D55D0B" w:rsidRPr="00282AC9">
        <w:rPr>
          <w:rFonts w:ascii="AAA GoldenLotus" w:hAnsi="AAA GoldenLotus" w:hint="cs"/>
          <w:sz w:val="27"/>
          <w:rtl/>
        </w:rPr>
        <w:t>ّ</w:t>
      </w:r>
      <w:r w:rsidRPr="00282AC9">
        <w:rPr>
          <w:rFonts w:ascii="AAA GoldenLotus" w:hAnsi="AAA GoldenLotus"/>
          <w:sz w:val="27"/>
          <w:rtl/>
        </w:rPr>
        <w:t xml:space="preserve"> مذهب</w:t>
      </w:r>
      <w:r w:rsidR="00D55D0B" w:rsidRPr="00282AC9">
        <w:rPr>
          <w:rFonts w:ascii="AAA GoldenLotus" w:hAnsi="AAA GoldenLotus" w:hint="cs"/>
          <w:sz w:val="27"/>
          <w:rtl/>
        </w:rPr>
        <w:t>ٍ</w:t>
      </w:r>
      <w:r w:rsidRPr="00282AC9">
        <w:rPr>
          <w:rFonts w:ascii="AAA GoldenLotus" w:hAnsi="AAA GoldenLotus"/>
          <w:sz w:val="27"/>
          <w:rtl/>
        </w:rPr>
        <w:t xml:space="preserve"> على ح</w:t>
      </w:r>
      <w:r w:rsidR="00D55D0B" w:rsidRPr="00282AC9">
        <w:rPr>
          <w:rFonts w:ascii="AAA GoldenLotus" w:hAnsi="AAA GoldenLotus" w:hint="cs"/>
          <w:sz w:val="27"/>
          <w:rtl/>
        </w:rPr>
        <w:t>ِ</w:t>
      </w:r>
      <w:r w:rsidRPr="00282AC9">
        <w:rPr>
          <w:rFonts w:ascii="AAA GoldenLotus" w:hAnsi="AAA GoldenLotus"/>
          <w:sz w:val="27"/>
          <w:rtl/>
        </w:rPr>
        <w:t>د</w:t>
      </w:r>
      <w:r w:rsidR="00D55D0B" w:rsidRPr="00282AC9">
        <w:rPr>
          <w:rFonts w:ascii="AAA GoldenLotus" w:hAnsi="AAA GoldenLotus" w:hint="cs"/>
          <w:sz w:val="27"/>
          <w:rtl/>
        </w:rPr>
        <w:t>َ</w:t>
      </w:r>
      <w:r w:rsidRPr="00282AC9">
        <w:rPr>
          <w:rFonts w:ascii="AAA GoldenLotus" w:hAnsi="AAA GoldenLotus"/>
          <w:sz w:val="27"/>
          <w:rtl/>
        </w:rPr>
        <w:t>ة؛ ومعرفة المباني الأصولية التي بنى عليها العلماء، وكشف اللثام عن المسائل اللغوي</w:t>
      </w:r>
      <w:r w:rsidR="00D55D0B" w:rsidRPr="00282AC9">
        <w:rPr>
          <w:rFonts w:ascii="AAA GoldenLotus" w:hAnsi="AAA GoldenLotus" w:hint="cs"/>
          <w:sz w:val="27"/>
          <w:rtl/>
        </w:rPr>
        <w:t>ّ</w:t>
      </w:r>
      <w:r w:rsidRPr="00282AC9">
        <w:rPr>
          <w:rFonts w:ascii="AAA GoldenLotus" w:hAnsi="AAA GoldenLotus"/>
          <w:sz w:val="27"/>
          <w:rtl/>
        </w:rPr>
        <w:t xml:space="preserve">ة التي لها علاقة بالاستدلال، </w:t>
      </w:r>
      <w:r w:rsidR="00D55D0B" w:rsidRPr="00282AC9">
        <w:rPr>
          <w:rFonts w:ascii="AAA GoldenLotus" w:hAnsi="AAA GoldenLotus" w:hint="cs"/>
          <w:sz w:val="27"/>
          <w:rtl/>
        </w:rPr>
        <w:t>و</w:t>
      </w:r>
      <w:r w:rsidRPr="00282AC9">
        <w:rPr>
          <w:rFonts w:ascii="AAA GoldenLotus" w:hAnsi="AAA GoldenLotus"/>
          <w:sz w:val="27"/>
          <w:rtl/>
        </w:rPr>
        <w:t>كذلك ال</w:t>
      </w:r>
      <w:r w:rsidR="00D55D0B" w:rsidRPr="00282AC9">
        <w:rPr>
          <w:rFonts w:ascii="AAA GoldenLotus" w:hAnsi="AAA GoldenLotus" w:hint="cs"/>
          <w:sz w:val="27"/>
          <w:rtl/>
        </w:rPr>
        <w:t>إ</w:t>
      </w:r>
      <w:r w:rsidRPr="00282AC9">
        <w:rPr>
          <w:rFonts w:ascii="AAA GoldenLotus" w:hAnsi="AAA GoldenLotus"/>
          <w:sz w:val="27"/>
          <w:rtl/>
        </w:rPr>
        <w:t xml:space="preserve">شارة </w:t>
      </w:r>
      <w:r w:rsidR="00D55D0B" w:rsidRPr="00282AC9">
        <w:rPr>
          <w:rFonts w:ascii="AAA GoldenLotus" w:hAnsi="AAA GoldenLotus" w:hint="cs"/>
          <w:sz w:val="27"/>
          <w:rtl/>
        </w:rPr>
        <w:t>إ</w:t>
      </w:r>
      <w:r w:rsidRPr="00282AC9">
        <w:rPr>
          <w:rFonts w:ascii="AAA GoldenLotus" w:hAnsi="AAA GoldenLotus"/>
          <w:sz w:val="27"/>
          <w:rtl/>
        </w:rPr>
        <w:t>لى مواطن الاتفاق والاختلاف عند المذاهب إن</w:t>
      </w:r>
      <w:r w:rsidR="00D55D0B" w:rsidRPr="00282AC9">
        <w:rPr>
          <w:rFonts w:ascii="AAA GoldenLotus" w:hAnsi="AAA GoldenLotus" w:hint="cs"/>
          <w:sz w:val="27"/>
          <w:rtl/>
        </w:rPr>
        <w:t>ْ</w:t>
      </w:r>
      <w:r w:rsidRPr="00282AC9">
        <w:rPr>
          <w:rFonts w:ascii="AAA GoldenLotus" w:hAnsi="AAA GoldenLotus"/>
          <w:sz w:val="27"/>
          <w:rtl/>
        </w:rPr>
        <w:t xml:space="preserve"> و</w:t>
      </w:r>
      <w:r w:rsidR="00D55D0B" w:rsidRPr="00282AC9">
        <w:rPr>
          <w:rFonts w:ascii="AAA GoldenLotus" w:hAnsi="AAA GoldenLotus" w:hint="cs"/>
          <w:sz w:val="27"/>
          <w:rtl/>
        </w:rPr>
        <w:t>ُ</w:t>
      </w:r>
      <w:r w:rsidR="00D55D0B" w:rsidRPr="00282AC9">
        <w:rPr>
          <w:rFonts w:ascii="AAA GoldenLotus" w:hAnsi="AAA GoldenLotus"/>
          <w:sz w:val="27"/>
          <w:rtl/>
        </w:rPr>
        <w:t>جدا.</w:t>
      </w:r>
    </w:p>
    <w:p w:rsidR="00E355F2" w:rsidRPr="00282AC9" w:rsidRDefault="00E355F2" w:rsidP="00000866">
      <w:pPr>
        <w:spacing w:line="390" w:lineRule="exact"/>
        <w:rPr>
          <w:rFonts w:ascii="AAA GoldenLotus" w:hAnsi="AAA GoldenLotus"/>
          <w:sz w:val="27"/>
          <w:rtl/>
        </w:rPr>
      </w:pPr>
      <w:r w:rsidRPr="00282AC9">
        <w:rPr>
          <w:rFonts w:ascii="AAA GoldenLotus" w:hAnsi="AAA GoldenLotus"/>
          <w:sz w:val="27"/>
          <w:rtl/>
        </w:rPr>
        <w:t>وسوف يتمّ عرض أدل</w:t>
      </w:r>
      <w:r w:rsidR="00D55D0B" w:rsidRPr="00282AC9">
        <w:rPr>
          <w:rFonts w:ascii="AAA GoldenLotus" w:hAnsi="AAA GoldenLotus" w:hint="cs"/>
          <w:sz w:val="27"/>
          <w:rtl/>
        </w:rPr>
        <w:t>ّ</w:t>
      </w:r>
      <w:r w:rsidRPr="00282AC9">
        <w:rPr>
          <w:rFonts w:ascii="AAA GoldenLotus" w:hAnsi="AAA GoldenLotus"/>
          <w:sz w:val="27"/>
          <w:rtl/>
        </w:rPr>
        <w:t>ة الإمامية</w:t>
      </w:r>
      <w:r w:rsidR="00D55D0B" w:rsidRPr="00282AC9">
        <w:rPr>
          <w:rFonts w:ascii="AAA GoldenLotus" w:hAnsi="AAA GoldenLotus" w:hint="cs"/>
          <w:sz w:val="27"/>
          <w:rtl/>
        </w:rPr>
        <w:t>،</w:t>
      </w:r>
      <w:r w:rsidRPr="00282AC9">
        <w:rPr>
          <w:rFonts w:ascii="AAA GoldenLotus" w:hAnsi="AAA GoldenLotus"/>
          <w:sz w:val="27"/>
          <w:rtl/>
        </w:rPr>
        <w:t xml:space="preserve"> وعرض أدل</w:t>
      </w:r>
      <w:r w:rsidR="00D55D0B" w:rsidRPr="00282AC9">
        <w:rPr>
          <w:rFonts w:ascii="AAA GoldenLotus" w:hAnsi="AAA GoldenLotus" w:hint="cs"/>
          <w:sz w:val="27"/>
          <w:rtl/>
        </w:rPr>
        <w:t>ّ</w:t>
      </w:r>
      <w:r w:rsidRPr="00282AC9">
        <w:rPr>
          <w:rFonts w:ascii="AAA GoldenLotus" w:hAnsi="AAA GoldenLotus"/>
          <w:sz w:val="27"/>
          <w:rtl/>
        </w:rPr>
        <w:t>ة سائر المذاهب بشكل</w:t>
      </w:r>
      <w:r w:rsidR="00D55D0B" w:rsidRPr="00282AC9">
        <w:rPr>
          <w:rFonts w:ascii="AAA GoldenLotus" w:hAnsi="AAA GoldenLotus" w:hint="cs"/>
          <w:sz w:val="27"/>
          <w:rtl/>
        </w:rPr>
        <w:t>ٍ</w:t>
      </w:r>
      <w:r w:rsidRPr="00282AC9">
        <w:rPr>
          <w:rFonts w:ascii="AAA GoldenLotus" w:hAnsi="AAA GoldenLotus"/>
          <w:sz w:val="27"/>
          <w:rtl/>
        </w:rPr>
        <w:t xml:space="preserve"> عامّ</w:t>
      </w:r>
      <w:r w:rsidR="00D55D0B" w:rsidRPr="00282AC9">
        <w:rPr>
          <w:rFonts w:ascii="AAA GoldenLotus" w:hAnsi="AAA GoldenLotus" w:hint="cs"/>
          <w:sz w:val="27"/>
          <w:rtl/>
        </w:rPr>
        <w:t>،</w:t>
      </w:r>
      <w:r w:rsidRPr="00282AC9">
        <w:rPr>
          <w:rFonts w:ascii="AAA GoldenLotus" w:hAnsi="AAA GoldenLotus"/>
          <w:sz w:val="27"/>
          <w:rtl/>
        </w:rPr>
        <w:t xml:space="preserve"> من دون الإشارة إلى المذهب الذي يتبن</w:t>
      </w:r>
      <w:r w:rsidR="00D55D0B" w:rsidRPr="00282AC9">
        <w:rPr>
          <w:rFonts w:ascii="AAA GoldenLotus" w:hAnsi="AAA GoldenLotus" w:hint="cs"/>
          <w:sz w:val="27"/>
          <w:rtl/>
        </w:rPr>
        <w:t>ّ</w:t>
      </w:r>
      <w:r w:rsidRPr="00282AC9">
        <w:rPr>
          <w:rFonts w:ascii="AAA GoldenLotus" w:hAnsi="AAA GoldenLotus"/>
          <w:sz w:val="27"/>
          <w:rtl/>
        </w:rPr>
        <w:t>ى الدليل</w:t>
      </w:r>
      <w:r w:rsidR="00D55D0B" w:rsidRPr="00282AC9">
        <w:rPr>
          <w:rFonts w:ascii="AAA GoldenLotus" w:hAnsi="AAA GoldenLotus" w:hint="cs"/>
          <w:sz w:val="27"/>
          <w:rtl/>
        </w:rPr>
        <w:t>،</w:t>
      </w:r>
      <w:r w:rsidRPr="00282AC9">
        <w:rPr>
          <w:rFonts w:ascii="AAA GoldenLotus" w:hAnsi="AAA GoldenLotus"/>
          <w:sz w:val="27"/>
          <w:rtl/>
        </w:rPr>
        <w:t xml:space="preserve"> من باب الاختصار. </w:t>
      </w:r>
    </w:p>
    <w:p w:rsidR="00E355F2" w:rsidRPr="00282AC9" w:rsidRDefault="00E355F2" w:rsidP="00000866">
      <w:pPr>
        <w:spacing w:line="340" w:lineRule="exact"/>
        <w:rPr>
          <w:rFonts w:ascii="AAA GoldenLotus" w:hAnsi="AAA GoldenLotus"/>
          <w:sz w:val="27"/>
          <w:rtl/>
        </w:rPr>
      </w:pPr>
    </w:p>
    <w:p w:rsidR="00E355F2" w:rsidRPr="00282AC9" w:rsidRDefault="00E355F2" w:rsidP="00D55D0B">
      <w:pPr>
        <w:pStyle w:val="31"/>
        <w:rPr>
          <w:color w:val="auto"/>
          <w:rtl/>
        </w:rPr>
      </w:pPr>
      <w:r w:rsidRPr="00282AC9">
        <w:rPr>
          <w:color w:val="auto"/>
          <w:rtl/>
        </w:rPr>
        <w:t xml:space="preserve"> </w:t>
      </w:r>
      <w:bookmarkStart w:id="26" w:name="_Toc30695465"/>
      <w:bookmarkStart w:id="27" w:name="_Toc30695542"/>
      <w:r w:rsidRPr="00282AC9">
        <w:rPr>
          <w:rFonts w:hint="cs"/>
          <w:color w:val="auto"/>
          <w:rtl/>
        </w:rPr>
        <w:t xml:space="preserve">أوّلاً: </w:t>
      </w:r>
      <w:r w:rsidRPr="00282AC9">
        <w:rPr>
          <w:color w:val="auto"/>
          <w:rtl/>
        </w:rPr>
        <w:t>أدل</w:t>
      </w:r>
      <w:r w:rsidR="00D55D0B" w:rsidRPr="00282AC9">
        <w:rPr>
          <w:rFonts w:hint="cs"/>
          <w:color w:val="auto"/>
          <w:rtl/>
        </w:rPr>
        <w:t>ّ</w:t>
      </w:r>
      <w:r w:rsidRPr="00282AC9">
        <w:rPr>
          <w:color w:val="auto"/>
          <w:rtl/>
        </w:rPr>
        <w:t>ة ال</w:t>
      </w:r>
      <w:r w:rsidR="00D55D0B" w:rsidRPr="00282AC9">
        <w:rPr>
          <w:rFonts w:hint="cs"/>
          <w:color w:val="auto"/>
          <w:rtl/>
        </w:rPr>
        <w:t>إ</w:t>
      </w:r>
      <w:r w:rsidRPr="00282AC9">
        <w:rPr>
          <w:color w:val="auto"/>
          <w:rtl/>
        </w:rPr>
        <w:t>مامي</w:t>
      </w:r>
      <w:r w:rsidR="00D55D0B" w:rsidRPr="00282AC9">
        <w:rPr>
          <w:rFonts w:hint="cs"/>
          <w:color w:val="auto"/>
          <w:rtl/>
        </w:rPr>
        <w:t>ّ</w:t>
      </w:r>
      <w:r w:rsidRPr="00282AC9">
        <w:rPr>
          <w:color w:val="auto"/>
          <w:rtl/>
        </w:rPr>
        <w:t>ة</w:t>
      </w:r>
      <w:bookmarkEnd w:id="26"/>
      <w:bookmarkEnd w:id="27"/>
    </w:p>
    <w:p w:rsidR="00E355F2" w:rsidRPr="00282AC9" w:rsidRDefault="00E355F2" w:rsidP="00046546">
      <w:pPr>
        <w:rPr>
          <w:rFonts w:ascii="AAA GoldenLotus" w:hAnsi="AAA GoldenLotus"/>
          <w:sz w:val="27"/>
          <w:rtl/>
        </w:rPr>
      </w:pPr>
      <w:r w:rsidRPr="00282AC9">
        <w:rPr>
          <w:rFonts w:ascii="AAA GoldenLotus" w:hAnsi="AAA GoldenLotus"/>
          <w:sz w:val="27"/>
          <w:rtl/>
        </w:rPr>
        <w:t>استدل</w:t>
      </w:r>
      <w:r w:rsidR="00D55D0B" w:rsidRPr="00282AC9">
        <w:rPr>
          <w:rFonts w:ascii="AAA GoldenLotus" w:hAnsi="AAA GoldenLotus" w:hint="cs"/>
          <w:sz w:val="27"/>
          <w:rtl/>
        </w:rPr>
        <w:t>ّ</w:t>
      </w:r>
      <w:r w:rsidRPr="00282AC9">
        <w:rPr>
          <w:rFonts w:ascii="AAA GoldenLotus" w:hAnsi="AAA GoldenLotus"/>
          <w:sz w:val="27"/>
          <w:rtl/>
        </w:rPr>
        <w:t xml:space="preserve"> فقهاء الإمامية على اشتراك الأحكام بين المكل</w:t>
      </w:r>
      <w:r w:rsidR="00D55D0B" w:rsidRPr="00282AC9">
        <w:rPr>
          <w:rFonts w:ascii="AAA GoldenLotus" w:hAnsi="AAA GoldenLotus" w:hint="cs"/>
          <w:sz w:val="27"/>
          <w:rtl/>
        </w:rPr>
        <w:t>َّ</w:t>
      </w:r>
      <w:r w:rsidRPr="00282AC9">
        <w:rPr>
          <w:rFonts w:ascii="AAA GoldenLotus" w:hAnsi="AAA GoldenLotus"/>
          <w:sz w:val="27"/>
          <w:rtl/>
        </w:rPr>
        <w:t>فين</w:t>
      </w:r>
      <w:r w:rsidR="00D55D0B" w:rsidRPr="00282AC9">
        <w:rPr>
          <w:rFonts w:ascii="AAA GoldenLotus" w:hAnsi="AAA GoldenLotus" w:hint="cs"/>
          <w:sz w:val="27"/>
          <w:rtl/>
        </w:rPr>
        <w:t>،</w:t>
      </w:r>
      <w:r w:rsidRPr="00282AC9">
        <w:rPr>
          <w:rFonts w:ascii="AAA GoldenLotus" w:hAnsi="AAA GoldenLotus"/>
          <w:sz w:val="27"/>
          <w:rtl/>
        </w:rPr>
        <w:t xml:space="preserve"> رجالاً كانوا أم </w:t>
      </w:r>
      <w:r w:rsidRPr="00282AC9">
        <w:rPr>
          <w:rFonts w:ascii="AAA GoldenLotus" w:hAnsi="AAA GoldenLotus"/>
          <w:sz w:val="27"/>
          <w:rtl/>
        </w:rPr>
        <w:lastRenderedPageBreak/>
        <w:t>نساءً</w:t>
      </w:r>
      <w:r w:rsidR="00D55D0B" w:rsidRPr="00282AC9">
        <w:rPr>
          <w:rFonts w:ascii="AAA GoldenLotus" w:hAnsi="AAA GoldenLotus" w:hint="cs"/>
          <w:sz w:val="27"/>
          <w:rtl/>
        </w:rPr>
        <w:t xml:space="preserve">، </w:t>
      </w:r>
      <w:r w:rsidRPr="00282AC9">
        <w:rPr>
          <w:rFonts w:ascii="AAA GoldenLotus" w:hAnsi="AAA GoldenLotus"/>
          <w:sz w:val="27"/>
          <w:rtl/>
        </w:rPr>
        <w:t>بعد</w:t>
      </w:r>
      <w:r w:rsidR="00D55D0B" w:rsidRPr="00282AC9">
        <w:rPr>
          <w:rFonts w:ascii="AAA GoldenLotus" w:hAnsi="AAA GoldenLotus" w:hint="cs"/>
          <w:sz w:val="27"/>
          <w:rtl/>
        </w:rPr>
        <w:t>ّ</w:t>
      </w:r>
      <w:r w:rsidRPr="00282AC9">
        <w:rPr>
          <w:rFonts w:ascii="AAA GoldenLotus" w:hAnsi="AAA GoldenLotus"/>
          <w:sz w:val="27"/>
          <w:rtl/>
        </w:rPr>
        <w:t>ة أصناف من الأدل</w:t>
      </w:r>
      <w:r w:rsidR="00D55D0B" w:rsidRPr="00282AC9">
        <w:rPr>
          <w:rFonts w:ascii="AAA GoldenLotus" w:hAnsi="AAA GoldenLotus" w:hint="cs"/>
          <w:sz w:val="27"/>
          <w:rtl/>
        </w:rPr>
        <w:t>ّ</w:t>
      </w:r>
      <w:r w:rsidRPr="00282AC9">
        <w:rPr>
          <w:rFonts w:ascii="AAA GoldenLotus" w:hAnsi="AAA GoldenLotus"/>
          <w:sz w:val="27"/>
          <w:rtl/>
        </w:rPr>
        <w:t>ة</w:t>
      </w:r>
      <w:r w:rsidR="00D55D0B" w:rsidRPr="00282AC9">
        <w:rPr>
          <w:rFonts w:ascii="AAA GoldenLotus" w:hAnsi="AAA GoldenLotus" w:hint="cs"/>
          <w:sz w:val="27"/>
          <w:rtl/>
        </w:rPr>
        <w:t>؛</w:t>
      </w:r>
      <w:r w:rsidRPr="00282AC9">
        <w:rPr>
          <w:rFonts w:ascii="AAA GoldenLotus" w:hAnsi="AAA GoldenLotus"/>
          <w:sz w:val="27"/>
          <w:rtl/>
        </w:rPr>
        <w:t xml:space="preserve"> بعضها يرجع إلى النصوص الشرعية</w:t>
      </w:r>
      <w:r w:rsidR="00D55D0B" w:rsidRPr="00282AC9">
        <w:rPr>
          <w:rFonts w:ascii="AAA GoldenLotus" w:hAnsi="AAA GoldenLotus" w:hint="cs"/>
          <w:sz w:val="27"/>
          <w:rtl/>
        </w:rPr>
        <w:t>،</w:t>
      </w:r>
      <w:r w:rsidRPr="00282AC9">
        <w:rPr>
          <w:rFonts w:ascii="AAA GoldenLotus" w:hAnsi="AAA GoldenLotus"/>
          <w:sz w:val="27"/>
          <w:rtl/>
        </w:rPr>
        <w:t xml:space="preserve"> من الآيات والروايات</w:t>
      </w:r>
      <w:r w:rsidR="00D55D0B" w:rsidRPr="00282AC9">
        <w:rPr>
          <w:rFonts w:ascii="AAA GoldenLotus" w:hAnsi="AAA GoldenLotus" w:hint="cs"/>
          <w:sz w:val="27"/>
          <w:rtl/>
        </w:rPr>
        <w:t>،</w:t>
      </w:r>
      <w:r w:rsidRPr="00282AC9">
        <w:rPr>
          <w:rFonts w:ascii="AAA GoldenLotus" w:hAnsi="AAA GoldenLotus"/>
          <w:sz w:val="27"/>
          <w:rtl/>
        </w:rPr>
        <w:t xml:space="preserve"> بوجوه</w:t>
      </w:r>
      <w:r w:rsidR="00D55D0B" w:rsidRPr="00282AC9">
        <w:rPr>
          <w:rFonts w:ascii="AAA GoldenLotus" w:hAnsi="AAA GoldenLotus" w:hint="cs"/>
          <w:sz w:val="27"/>
          <w:rtl/>
        </w:rPr>
        <w:t>ٍ</w:t>
      </w:r>
      <w:r w:rsidRPr="00282AC9">
        <w:rPr>
          <w:rFonts w:ascii="AAA GoldenLotus" w:hAnsi="AAA GoldenLotus"/>
          <w:sz w:val="27"/>
          <w:rtl/>
        </w:rPr>
        <w:t xml:space="preserve"> مختلفة</w:t>
      </w:r>
      <w:r w:rsidR="00D55D0B" w:rsidRPr="00282AC9">
        <w:rPr>
          <w:rFonts w:ascii="AAA GoldenLotus" w:hAnsi="AAA GoldenLotus" w:hint="cs"/>
          <w:sz w:val="27"/>
          <w:rtl/>
        </w:rPr>
        <w:t>؛</w:t>
      </w:r>
      <w:r w:rsidRPr="00282AC9">
        <w:rPr>
          <w:rFonts w:ascii="AAA GoldenLotus" w:hAnsi="AAA GoldenLotus"/>
          <w:sz w:val="27"/>
          <w:rtl/>
        </w:rPr>
        <w:t xml:space="preserve"> وبعضها يرجع إلى قواعد أصولي</w:t>
      </w:r>
      <w:r w:rsidR="00D55D0B" w:rsidRPr="00282AC9">
        <w:rPr>
          <w:rFonts w:ascii="AAA GoldenLotus" w:hAnsi="AAA GoldenLotus" w:hint="cs"/>
          <w:sz w:val="27"/>
          <w:rtl/>
        </w:rPr>
        <w:t>ّ</w:t>
      </w:r>
      <w:r w:rsidRPr="00282AC9">
        <w:rPr>
          <w:rFonts w:ascii="AAA GoldenLotus" w:hAnsi="AAA GoldenLotus"/>
          <w:sz w:val="27"/>
          <w:rtl/>
        </w:rPr>
        <w:t>ة</w:t>
      </w:r>
      <w:r w:rsidR="00D55D0B" w:rsidRPr="00282AC9">
        <w:rPr>
          <w:rFonts w:ascii="AAA GoldenLotus" w:hAnsi="AAA GoldenLotus" w:hint="cs"/>
          <w:sz w:val="27"/>
          <w:rtl/>
        </w:rPr>
        <w:t>؛</w:t>
      </w:r>
      <w:r w:rsidRPr="00282AC9">
        <w:rPr>
          <w:rFonts w:ascii="AAA GoldenLotus" w:hAnsi="AAA GoldenLotus"/>
          <w:sz w:val="27"/>
          <w:rtl/>
        </w:rPr>
        <w:t xml:space="preserve"> وبعضها يرجع إلى دعوى الضرورة الفقهي</w:t>
      </w:r>
      <w:r w:rsidR="00D55D0B" w:rsidRPr="00282AC9">
        <w:rPr>
          <w:rFonts w:ascii="AAA GoldenLotus" w:hAnsi="AAA GoldenLotus" w:hint="cs"/>
          <w:sz w:val="27"/>
          <w:rtl/>
        </w:rPr>
        <w:t>ّ</w:t>
      </w:r>
      <w:r w:rsidRPr="00282AC9">
        <w:rPr>
          <w:rFonts w:ascii="AAA GoldenLotus" w:hAnsi="AAA GoldenLotus"/>
          <w:sz w:val="27"/>
          <w:rtl/>
        </w:rPr>
        <w:t>ة والات</w:t>
      </w:r>
      <w:r w:rsidR="00D55D0B" w:rsidRPr="00282AC9">
        <w:rPr>
          <w:rFonts w:ascii="AAA GoldenLotus" w:hAnsi="AAA GoldenLotus" w:hint="cs"/>
          <w:sz w:val="27"/>
          <w:rtl/>
        </w:rPr>
        <w:t>ّ</w:t>
      </w:r>
      <w:r w:rsidRPr="00282AC9">
        <w:rPr>
          <w:rFonts w:ascii="AAA GoldenLotus" w:hAnsi="AAA GoldenLotus"/>
          <w:sz w:val="27"/>
          <w:rtl/>
        </w:rPr>
        <w:t>فاق</w:t>
      </w:r>
      <w:r w:rsidR="00D55D0B" w:rsidRPr="00282AC9">
        <w:rPr>
          <w:rFonts w:ascii="AAA GoldenLotus" w:hAnsi="AAA GoldenLotus" w:hint="cs"/>
          <w:sz w:val="27"/>
          <w:rtl/>
        </w:rPr>
        <w:t>؛</w:t>
      </w:r>
      <w:r w:rsidRPr="00282AC9">
        <w:rPr>
          <w:rFonts w:ascii="AAA GoldenLotus" w:hAnsi="AAA GoldenLotus"/>
          <w:sz w:val="27"/>
          <w:rtl/>
        </w:rPr>
        <w:t xml:space="preserve"> وغير ذلك من الأصناف</w:t>
      </w:r>
      <w:r w:rsidR="00D55D0B" w:rsidRPr="00282AC9">
        <w:rPr>
          <w:rFonts w:ascii="AAA GoldenLotus" w:hAnsi="AAA GoldenLotus" w:hint="cs"/>
          <w:sz w:val="27"/>
          <w:rtl/>
        </w:rPr>
        <w:t>.</w:t>
      </w:r>
      <w:r w:rsidRPr="00282AC9">
        <w:rPr>
          <w:rFonts w:ascii="AAA GoldenLotus" w:hAnsi="AAA GoldenLotus"/>
          <w:sz w:val="27"/>
          <w:rtl/>
        </w:rPr>
        <w:t xml:space="preserve"> </w:t>
      </w:r>
      <w:r w:rsidR="00D55D0B" w:rsidRPr="00282AC9">
        <w:rPr>
          <w:rFonts w:ascii="AAA GoldenLotus" w:hAnsi="AAA GoldenLotus" w:hint="cs"/>
          <w:sz w:val="27"/>
          <w:rtl/>
        </w:rPr>
        <w:t>و</w:t>
      </w:r>
      <w:r w:rsidRPr="00282AC9">
        <w:rPr>
          <w:rFonts w:ascii="AAA GoldenLotus" w:hAnsi="AAA GoldenLotus"/>
          <w:sz w:val="27"/>
          <w:rtl/>
        </w:rPr>
        <w:t>نذكر أهم</w:t>
      </w:r>
      <w:r w:rsidR="00D55D0B" w:rsidRPr="00282AC9">
        <w:rPr>
          <w:rFonts w:ascii="AAA GoldenLotus" w:hAnsi="AAA GoldenLotus" w:hint="cs"/>
          <w:sz w:val="27"/>
          <w:rtl/>
        </w:rPr>
        <w:t>ّ</w:t>
      </w:r>
      <w:r w:rsidRPr="00282AC9">
        <w:rPr>
          <w:rFonts w:ascii="AAA GoldenLotus" w:hAnsi="AAA GoldenLotus"/>
          <w:sz w:val="27"/>
          <w:rtl/>
        </w:rPr>
        <w:t>ها:</w:t>
      </w:r>
    </w:p>
    <w:p w:rsidR="008573BF" w:rsidRPr="00282AC9" w:rsidRDefault="008573BF" w:rsidP="008573BF">
      <w:pPr>
        <w:spacing w:line="420" w:lineRule="exact"/>
        <w:rPr>
          <w:rtl/>
        </w:rPr>
      </w:pPr>
    </w:p>
    <w:p w:rsidR="00E355F2" w:rsidRPr="00282AC9" w:rsidRDefault="00E355F2" w:rsidP="00C32BB1">
      <w:pPr>
        <w:pStyle w:val="31"/>
        <w:rPr>
          <w:color w:val="auto"/>
          <w:rtl/>
        </w:rPr>
      </w:pPr>
      <w:r w:rsidRPr="00282AC9">
        <w:rPr>
          <w:rFonts w:hint="cs"/>
          <w:color w:val="auto"/>
          <w:rtl/>
        </w:rPr>
        <w:t>1ـ الأدلة اللفظي</w:t>
      </w:r>
      <w:r w:rsidR="00D55D0B" w:rsidRPr="00282AC9">
        <w:rPr>
          <w:rFonts w:hint="cs"/>
          <w:color w:val="auto"/>
          <w:rtl/>
        </w:rPr>
        <w:t>ّ</w:t>
      </w:r>
      <w:r w:rsidRPr="00282AC9">
        <w:rPr>
          <w:rFonts w:hint="cs"/>
          <w:color w:val="auto"/>
          <w:rtl/>
        </w:rPr>
        <w:t>ة</w:t>
      </w:r>
      <w:r w:rsidRPr="00282AC9">
        <w:rPr>
          <w:color w:val="auto"/>
          <w:rtl/>
        </w:rPr>
        <w:t xml:space="preserve"> </w:t>
      </w:r>
    </w:p>
    <w:p w:rsidR="00E355F2" w:rsidRPr="00282AC9" w:rsidRDefault="00E355F2" w:rsidP="008573BF">
      <w:pPr>
        <w:spacing w:line="410" w:lineRule="exact"/>
        <w:rPr>
          <w:rFonts w:ascii="AAA GoldenLotus" w:hAnsi="AAA GoldenLotus"/>
          <w:sz w:val="27"/>
          <w:rtl/>
        </w:rPr>
      </w:pPr>
      <w:r w:rsidRPr="00282AC9">
        <w:rPr>
          <w:rFonts w:ascii="AAA GoldenLotus" w:hAnsi="AAA GoldenLotus"/>
          <w:sz w:val="27"/>
          <w:rtl/>
        </w:rPr>
        <w:t>من الأدلة على قاعدة الاشتراك بين الرجل والمرأة الآيات القرآنية والروايات الشريفة:</w:t>
      </w:r>
    </w:p>
    <w:p w:rsidR="008573BF" w:rsidRPr="00282AC9" w:rsidRDefault="008573BF" w:rsidP="008573BF">
      <w:pPr>
        <w:spacing w:line="420" w:lineRule="exact"/>
        <w:rPr>
          <w:rtl/>
        </w:rPr>
      </w:pPr>
    </w:p>
    <w:p w:rsidR="00E355F2" w:rsidRPr="00282AC9" w:rsidRDefault="00E355F2" w:rsidP="004B190F">
      <w:pPr>
        <w:pStyle w:val="31"/>
        <w:rPr>
          <w:color w:val="auto"/>
          <w:rtl/>
        </w:rPr>
      </w:pPr>
      <w:r w:rsidRPr="00282AC9">
        <w:rPr>
          <w:rFonts w:hint="cs"/>
          <w:color w:val="auto"/>
          <w:rtl/>
        </w:rPr>
        <w:t>أ</w:t>
      </w:r>
      <w:r w:rsidRPr="00282AC9">
        <w:rPr>
          <w:color w:val="auto"/>
          <w:rtl/>
        </w:rPr>
        <w:t xml:space="preserve">ـ آيات الكتاب الكريم </w:t>
      </w:r>
    </w:p>
    <w:p w:rsidR="00E355F2" w:rsidRPr="00282AC9" w:rsidRDefault="00E355F2" w:rsidP="00046546">
      <w:pPr>
        <w:rPr>
          <w:rFonts w:ascii="AAA GoldenLotus" w:hAnsi="AAA GoldenLotus"/>
          <w:sz w:val="27"/>
          <w:rtl/>
        </w:rPr>
      </w:pPr>
      <w:r w:rsidRPr="00282AC9">
        <w:rPr>
          <w:rFonts w:ascii="AAA GoldenLotus" w:hAnsi="AAA GoldenLotus"/>
          <w:sz w:val="27"/>
          <w:rtl/>
        </w:rPr>
        <w:t>استدل</w:t>
      </w:r>
      <w:r w:rsidR="00B4202F" w:rsidRPr="00282AC9">
        <w:rPr>
          <w:rFonts w:ascii="AAA GoldenLotus" w:hAnsi="AAA GoldenLotus" w:hint="cs"/>
          <w:sz w:val="27"/>
          <w:rtl/>
        </w:rPr>
        <w:t>ّ</w:t>
      </w:r>
      <w:r w:rsidRPr="00282AC9">
        <w:rPr>
          <w:rFonts w:ascii="AAA GoldenLotus" w:hAnsi="AAA GoldenLotus"/>
          <w:sz w:val="27"/>
          <w:rtl/>
        </w:rPr>
        <w:t xml:space="preserve"> علماء الإمامي</w:t>
      </w:r>
      <w:r w:rsidR="00D55D0B" w:rsidRPr="00282AC9">
        <w:rPr>
          <w:rFonts w:ascii="AAA GoldenLotus" w:hAnsi="AAA GoldenLotus" w:hint="cs"/>
          <w:sz w:val="27"/>
          <w:rtl/>
        </w:rPr>
        <w:t>ّ</w:t>
      </w:r>
      <w:r w:rsidRPr="00282AC9">
        <w:rPr>
          <w:rFonts w:ascii="AAA GoldenLotus" w:hAnsi="AAA GoldenLotus"/>
          <w:sz w:val="27"/>
          <w:rtl/>
        </w:rPr>
        <w:t>ة على اعتبار قاعدة الاشتراك بما دلّ من الآيات القرآنية على تعل</w:t>
      </w:r>
      <w:r w:rsidR="00EF2816" w:rsidRPr="00282AC9">
        <w:rPr>
          <w:rFonts w:ascii="AAA GoldenLotus" w:hAnsi="AAA GoldenLotus" w:hint="cs"/>
          <w:sz w:val="27"/>
          <w:rtl/>
        </w:rPr>
        <w:t>ُّ</w:t>
      </w:r>
      <w:r w:rsidRPr="00282AC9">
        <w:rPr>
          <w:rFonts w:ascii="AAA GoldenLotus" w:hAnsi="AAA GoldenLotus"/>
          <w:sz w:val="27"/>
          <w:rtl/>
        </w:rPr>
        <w:t>ق التكليف بعموم المؤمنين في كثير</w:t>
      </w:r>
      <w:r w:rsidR="00EF2816" w:rsidRPr="00282AC9">
        <w:rPr>
          <w:rFonts w:ascii="AAA GoldenLotus" w:hAnsi="AAA GoldenLotus" w:hint="cs"/>
          <w:sz w:val="27"/>
          <w:rtl/>
        </w:rPr>
        <w:t>ٍ</w:t>
      </w:r>
      <w:r w:rsidRPr="00282AC9">
        <w:rPr>
          <w:rFonts w:ascii="AAA GoldenLotus" w:hAnsi="AAA GoldenLotus"/>
          <w:sz w:val="27"/>
          <w:rtl/>
        </w:rPr>
        <w:t xml:space="preserve"> من أبواب الفقه وغيره</w:t>
      </w:r>
      <w:r w:rsidR="00EF2816" w:rsidRPr="00282AC9">
        <w:rPr>
          <w:rFonts w:ascii="AAA GoldenLotus" w:hAnsi="AAA GoldenLotus" w:hint="cs"/>
          <w:sz w:val="27"/>
          <w:rtl/>
        </w:rPr>
        <w:t>.</w:t>
      </w:r>
      <w:r w:rsidRPr="00282AC9">
        <w:rPr>
          <w:rFonts w:ascii="AAA GoldenLotus" w:hAnsi="AAA GoldenLotus"/>
          <w:sz w:val="27"/>
          <w:rtl/>
        </w:rPr>
        <w:t xml:space="preserve"> ومن هذه الآيات:</w:t>
      </w:r>
    </w:p>
    <w:p w:rsidR="00E355F2" w:rsidRPr="00282AC9" w:rsidRDefault="00E355F2" w:rsidP="00046546">
      <w:pPr>
        <w:rPr>
          <w:rFonts w:ascii="AAA GoldenLotus" w:hAnsi="AAA GoldenLotus"/>
          <w:sz w:val="27"/>
          <w:rtl/>
        </w:rPr>
      </w:pPr>
      <w:r w:rsidRPr="00282AC9">
        <w:rPr>
          <w:rFonts w:ascii="AAA GoldenLotus" w:hAnsi="AAA GoldenLotus" w:hint="cs"/>
          <w:b/>
          <w:bCs/>
          <w:sz w:val="27"/>
          <w:rtl/>
        </w:rPr>
        <w:t>الأولى</w:t>
      </w:r>
      <w:r w:rsidRPr="00282AC9">
        <w:rPr>
          <w:rFonts w:ascii="AAA GoldenLotus" w:hAnsi="AAA GoldenLotus" w:hint="cs"/>
          <w:sz w:val="27"/>
          <w:rtl/>
        </w:rPr>
        <w:t>:</w:t>
      </w:r>
      <w:r w:rsidRPr="00282AC9">
        <w:rPr>
          <w:rFonts w:ascii="AAA GoldenLotus" w:hAnsi="AAA GoldenLotus"/>
          <w:sz w:val="27"/>
          <w:rtl/>
        </w:rPr>
        <w:t xml:space="preserve"> ما ص</w:t>
      </w:r>
      <w:r w:rsidR="00EF2816" w:rsidRPr="00282AC9">
        <w:rPr>
          <w:rFonts w:ascii="AAA GoldenLotus" w:hAnsi="AAA GoldenLotus" w:hint="cs"/>
          <w:sz w:val="27"/>
          <w:rtl/>
        </w:rPr>
        <w:t>ُ</w:t>
      </w:r>
      <w:r w:rsidRPr="00282AC9">
        <w:rPr>
          <w:rFonts w:ascii="AAA GoldenLotus" w:hAnsi="AAA GoldenLotus"/>
          <w:sz w:val="27"/>
          <w:rtl/>
        </w:rPr>
        <w:t>دّ</w:t>
      </w:r>
      <w:r w:rsidR="00EF2816" w:rsidRPr="00282AC9">
        <w:rPr>
          <w:rFonts w:ascii="AAA GoldenLotus" w:hAnsi="AAA GoldenLotus" w:hint="cs"/>
          <w:sz w:val="27"/>
          <w:rtl/>
        </w:rPr>
        <w:t>ِ</w:t>
      </w:r>
      <w:r w:rsidRPr="00282AC9">
        <w:rPr>
          <w:rFonts w:ascii="AAA GoldenLotus" w:hAnsi="AAA GoldenLotus"/>
          <w:sz w:val="27"/>
          <w:rtl/>
        </w:rPr>
        <w:t>ر بأداة النداء</w:t>
      </w:r>
      <w:r w:rsidR="00EF2816" w:rsidRPr="00282AC9">
        <w:rPr>
          <w:rFonts w:ascii="AAA GoldenLotus" w:hAnsi="AAA GoldenLotus" w:hint="cs"/>
          <w:sz w:val="27"/>
          <w:rtl/>
        </w:rPr>
        <w:t>،</w:t>
      </w:r>
      <w:r w:rsidRPr="00282AC9">
        <w:rPr>
          <w:rFonts w:ascii="AAA GoldenLotus" w:hAnsi="AAA GoldenLotus"/>
          <w:sz w:val="27"/>
          <w:rtl/>
        </w:rPr>
        <w:t xml:space="preserve"> </w:t>
      </w:r>
      <w:r w:rsidR="00EF2816" w:rsidRPr="00282AC9">
        <w:rPr>
          <w:rFonts w:ascii="AAA GoldenLotus" w:hAnsi="AAA GoldenLotus" w:hint="cs"/>
          <w:sz w:val="27"/>
          <w:rtl/>
        </w:rPr>
        <w:t>ك</w:t>
      </w:r>
      <w:r w:rsidRPr="00282AC9">
        <w:rPr>
          <w:rFonts w:ascii="AAA GoldenLotus" w:hAnsi="AAA GoldenLotus"/>
          <w:sz w:val="27"/>
          <w:rtl/>
        </w:rPr>
        <w:t xml:space="preserve">قوله: </w:t>
      </w:r>
      <w:r w:rsidR="00C5291F" w:rsidRPr="00282AC9">
        <w:rPr>
          <w:rFonts w:ascii="Mosawi" w:hAnsi="Mosawi" w:cs="Mosawi"/>
          <w:sz w:val="24"/>
          <w:szCs w:val="24"/>
          <w:rtl/>
        </w:rPr>
        <w:t>﴿</w:t>
      </w:r>
      <w:r w:rsidRPr="00282AC9">
        <w:rPr>
          <w:rFonts w:ascii="AAA GoldenLotus" w:hAnsi="AAA GoldenLotus"/>
          <w:b/>
          <w:bCs/>
          <w:sz w:val="27"/>
          <w:rtl/>
        </w:rPr>
        <w:t>يَا أَيُّهَا النَّاسُ</w:t>
      </w:r>
      <w:r w:rsidR="00C5291F" w:rsidRPr="00282AC9">
        <w:rPr>
          <w:rFonts w:ascii="Mosawi" w:hAnsi="Mosawi" w:cs="Mosawi"/>
          <w:sz w:val="24"/>
          <w:szCs w:val="24"/>
          <w:rtl/>
        </w:rPr>
        <w:t>﴾</w:t>
      </w:r>
      <w:r w:rsidRPr="00282AC9">
        <w:rPr>
          <w:rFonts w:ascii="AAA GoldenLotus" w:hAnsi="AAA GoldenLotus"/>
          <w:sz w:val="27"/>
          <w:rtl/>
        </w:rPr>
        <w:t xml:space="preserve"> (البقرة: 21)، و</w:t>
      </w:r>
      <w:r w:rsidR="00C5291F" w:rsidRPr="00282AC9">
        <w:rPr>
          <w:rFonts w:ascii="Mosawi" w:hAnsi="Mosawi" w:cs="Mosawi"/>
          <w:sz w:val="24"/>
          <w:szCs w:val="24"/>
          <w:rtl/>
        </w:rPr>
        <w:t>﴿</w:t>
      </w:r>
      <w:r w:rsidR="00EF2816" w:rsidRPr="00282AC9">
        <w:rPr>
          <w:rFonts w:ascii="AAA GoldenLotus" w:hAnsi="AAA GoldenLotus"/>
          <w:b/>
          <w:bCs/>
          <w:sz w:val="27"/>
          <w:rtl/>
        </w:rPr>
        <w:t>يَا أَيُّهَا الَّذِينَ آمَنُوا</w:t>
      </w:r>
      <w:r w:rsidR="00C5291F" w:rsidRPr="00282AC9">
        <w:rPr>
          <w:rFonts w:ascii="Mosawi" w:hAnsi="Mosawi" w:cs="Mosawi"/>
          <w:sz w:val="24"/>
          <w:szCs w:val="24"/>
          <w:rtl/>
        </w:rPr>
        <w:t>﴾</w:t>
      </w:r>
      <w:r w:rsidRPr="00282AC9">
        <w:rPr>
          <w:rFonts w:ascii="AAA GoldenLotus" w:hAnsi="AAA GoldenLotus"/>
          <w:sz w:val="27"/>
          <w:rtl/>
        </w:rPr>
        <w:t xml:space="preserve"> (البقرة: 153)</w:t>
      </w:r>
      <w:r w:rsidR="00EF2816" w:rsidRPr="00282AC9">
        <w:rPr>
          <w:rFonts w:ascii="AAA GoldenLotus" w:hAnsi="AAA GoldenLotus" w:hint="cs"/>
          <w:sz w:val="27"/>
          <w:rtl/>
        </w:rPr>
        <w:t>،</w:t>
      </w:r>
      <w:r w:rsidRPr="00282AC9">
        <w:rPr>
          <w:rFonts w:ascii="AAA GoldenLotus" w:hAnsi="AAA GoldenLotus"/>
          <w:sz w:val="27"/>
          <w:rtl/>
        </w:rPr>
        <w:t xml:space="preserve"> فإن الخطابات في تلك القضايا بإطلاقها وعمومها تشمل جميع المكل</w:t>
      </w:r>
      <w:r w:rsidR="00EF2816" w:rsidRPr="00282AC9">
        <w:rPr>
          <w:rFonts w:ascii="AAA GoldenLotus" w:hAnsi="AAA GoldenLotus" w:hint="cs"/>
          <w:sz w:val="27"/>
          <w:rtl/>
        </w:rPr>
        <w:t>َّ</w:t>
      </w:r>
      <w:r w:rsidRPr="00282AC9">
        <w:rPr>
          <w:rFonts w:ascii="AAA GoldenLotus" w:hAnsi="AAA GoldenLotus"/>
          <w:sz w:val="27"/>
          <w:rtl/>
        </w:rPr>
        <w:t>فين، فيستفاد منها اشتراك جميع المكل</w:t>
      </w:r>
      <w:r w:rsidR="00EF2816" w:rsidRPr="00282AC9">
        <w:rPr>
          <w:rFonts w:ascii="AAA GoldenLotus" w:hAnsi="AAA GoldenLotus" w:hint="cs"/>
          <w:sz w:val="27"/>
          <w:rtl/>
        </w:rPr>
        <w:t>َّ</w:t>
      </w:r>
      <w:r w:rsidRPr="00282AC9">
        <w:rPr>
          <w:rFonts w:ascii="AAA GoldenLotus" w:hAnsi="AAA GoldenLotus"/>
          <w:sz w:val="27"/>
          <w:rtl/>
        </w:rPr>
        <w:t>فين</w:t>
      </w:r>
      <w:r w:rsidR="00EF2816" w:rsidRPr="00282AC9">
        <w:rPr>
          <w:rFonts w:ascii="AAA GoldenLotus" w:hAnsi="AAA GoldenLotus" w:hint="cs"/>
          <w:sz w:val="27"/>
          <w:rtl/>
        </w:rPr>
        <w:t xml:space="preserve">، </w:t>
      </w:r>
      <w:r w:rsidRPr="00282AC9">
        <w:rPr>
          <w:rFonts w:ascii="AAA GoldenLotus" w:hAnsi="AAA GoldenLotus"/>
          <w:sz w:val="27"/>
          <w:rtl/>
        </w:rPr>
        <w:t>من الرجال والنساء</w:t>
      </w:r>
      <w:r w:rsidR="00EF2816" w:rsidRPr="00282AC9">
        <w:rPr>
          <w:rFonts w:ascii="AAA GoldenLotus" w:hAnsi="AAA GoldenLotus" w:hint="cs"/>
          <w:sz w:val="27"/>
          <w:rtl/>
        </w:rPr>
        <w:t>،</w:t>
      </w:r>
      <w:r w:rsidRPr="00282AC9">
        <w:rPr>
          <w:rFonts w:ascii="AAA GoldenLotus" w:hAnsi="AAA GoldenLotus"/>
          <w:sz w:val="27"/>
          <w:rtl/>
        </w:rPr>
        <w:t xml:space="preserve"> في الحكم؛ لأنّها ظاهرة</w:t>
      </w:r>
      <w:r w:rsidR="00EF2816" w:rsidRPr="00282AC9">
        <w:rPr>
          <w:rFonts w:ascii="AAA GoldenLotus" w:hAnsi="AAA GoldenLotus" w:hint="cs"/>
          <w:sz w:val="27"/>
          <w:rtl/>
        </w:rPr>
        <w:t>ٌ</w:t>
      </w:r>
      <w:r w:rsidRPr="00282AC9">
        <w:rPr>
          <w:rFonts w:ascii="AAA GoldenLotus" w:hAnsi="AAA GoldenLotus"/>
          <w:sz w:val="27"/>
          <w:rtl/>
        </w:rPr>
        <w:t xml:space="preserve"> في العموم والشمول</w:t>
      </w:r>
      <w:r w:rsidR="00EF2816" w:rsidRPr="00282AC9">
        <w:rPr>
          <w:rFonts w:ascii="AAA GoldenLotus" w:hAnsi="AAA GoldenLotus" w:hint="cs"/>
          <w:sz w:val="27"/>
          <w:rtl/>
        </w:rPr>
        <w:t>؛</w:t>
      </w:r>
      <w:r w:rsidRPr="00282AC9">
        <w:rPr>
          <w:rFonts w:ascii="AAA GoldenLotus" w:hAnsi="AAA GoldenLotus"/>
          <w:sz w:val="27"/>
          <w:rtl/>
        </w:rPr>
        <w:t xml:space="preserve"> إمّا بدلالة</w:t>
      </w:r>
      <w:r w:rsidR="00EF2816" w:rsidRPr="00282AC9">
        <w:rPr>
          <w:rFonts w:ascii="AAA GoldenLotus" w:hAnsi="AAA GoldenLotus" w:hint="cs"/>
          <w:sz w:val="27"/>
          <w:rtl/>
        </w:rPr>
        <w:t>ٍ</w:t>
      </w:r>
      <w:r w:rsidRPr="00282AC9">
        <w:rPr>
          <w:rFonts w:ascii="AAA GoldenLotus" w:hAnsi="AAA GoldenLotus"/>
          <w:sz w:val="27"/>
          <w:rtl/>
        </w:rPr>
        <w:t xml:space="preserve"> لفظي</w:t>
      </w:r>
      <w:r w:rsidR="00EF2816" w:rsidRPr="00282AC9">
        <w:rPr>
          <w:rFonts w:ascii="AAA GoldenLotus" w:hAnsi="AAA GoldenLotus" w:hint="cs"/>
          <w:sz w:val="27"/>
          <w:rtl/>
        </w:rPr>
        <w:t>ّ</w:t>
      </w:r>
      <w:r w:rsidRPr="00282AC9">
        <w:rPr>
          <w:rFonts w:ascii="AAA GoldenLotus" w:hAnsi="AAA GoldenLotus"/>
          <w:sz w:val="27"/>
          <w:rtl/>
        </w:rPr>
        <w:t>ة عام</w:t>
      </w:r>
      <w:r w:rsidR="00EF2816" w:rsidRPr="00282AC9">
        <w:rPr>
          <w:rFonts w:ascii="AAA GoldenLotus" w:hAnsi="AAA GoldenLotus" w:hint="cs"/>
          <w:sz w:val="27"/>
          <w:rtl/>
        </w:rPr>
        <w:t>ّ</w:t>
      </w:r>
      <w:r w:rsidRPr="00282AC9">
        <w:rPr>
          <w:rFonts w:ascii="AAA GoldenLotus" w:hAnsi="AAA GoldenLotus"/>
          <w:sz w:val="27"/>
          <w:rtl/>
        </w:rPr>
        <w:t>ة</w:t>
      </w:r>
      <w:r w:rsidR="00EF2816" w:rsidRPr="00282AC9">
        <w:rPr>
          <w:rFonts w:ascii="AAA GoldenLotus" w:hAnsi="AAA GoldenLotus" w:hint="cs"/>
          <w:sz w:val="27"/>
          <w:rtl/>
        </w:rPr>
        <w:t>؛</w:t>
      </w:r>
      <w:r w:rsidRPr="00282AC9">
        <w:rPr>
          <w:rFonts w:ascii="AAA GoldenLotus" w:hAnsi="AAA GoldenLotus"/>
          <w:sz w:val="27"/>
          <w:rtl/>
        </w:rPr>
        <w:t xml:space="preserve"> أو مطلقة، فإنه لا إشكال في استفادة الاشتراك والعموم منها بين جميع المؤمنين، رجالاً ونساءً، وإن</w:t>
      </w:r>
      <w:r w:rsidR="00EF2816" w:rsidRPr="00282AC9">
        <w:rPr>
          <w:rFonts w:ascii="AAA GoldenLotus" w:hAnsi="AAA GoldenLotus" w:hint="cs"/>
          <w:sz w:val="27"/>
          <w:rtl/>
        </w:rPr>
        <w:t>ْ</w:t>
      </w:r>
      <w:r w:rsidRPr="00282AC9">
        <w:rPr>
          <w:rFonts w:ascii="AAA GoldenLotus" w:hAnsi="AAA GoldenLotus"/>
          <w:sz w:val="27"/>
          <w:rtl/>
        </w:rPr>
        <w:t xml:space="preserve"> كان الخطاب للذين آمنوا بالتذكير</w:t>
      </w:r>
      <w:r w:rsidR="00EF2816" w:rsidRPr="00282AC9">
        <w:rPr>
          <w:rFonts w:ascii="AAA GoldenLotus" w:hAnsi="AAA GoldenLotus" w:hint="cs"/>
          <w:sz w:val="27"/>
          <w:rtl/>
        </w:rPr>
        <w:t>،</w:t>
      </w:r>
      <w:r w:rsidRPr="00282AC9">
        <w:rPr>
          <w:rFonts w:ascii="AAA GoldenLotus" w:hAnsi="AAA GoldenLotus"/>
          <w:sz w:val="27"/>
          <w:rtl/>
        </w:rPr>
        <w:t xml:space="preserve"> إلا</w:t>
      </w:r>
      <w:r w:rsidR="00EF2816" w:rsidRPr="00282AC9">
        <w:rPr>
          <w:rFonts w:ascii="AAA GoldenLotus" w:hAnsi="AAA GoldenLotus" w:hint="cs"/>
          <w:sz w:val="27"/>
          <w:rtl/>
        </w:rPr>
        <w:t>ّ</w:t>
      </w:r>
      <w:r w:rsidR="00EF2816" w:rsidRPr="00282AC9">
        <w:rPr>
          <w:rFonts w:ascii="AAA GoldenLotus" w:hAnsi="AAA GoldenLotus"/>
          <w:sz w:val="27"/>
          <w:rtl/>
        </w:rPr>
        <w:t xml:space="preserve"> أنه من باب تغليب جانب الذكور</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50"/>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hint="cs"/>
          <w:b/>
          <w:bCs/>
          <w:sz w:val="27"/>
          <w:rtl/>
        </w:rPr>
        <w:t>الثانية</w:t>
      </w:r>
      <w:r w:rsidRPr="00282AC9">
        <w:rPr>
          <w:rFonts w:ascii="AAA GoldenLotus" w:hAnsi="AAA GoldenLotus" w:hint="cs"/>
          <w:sz w:val="27"/>
          <w:rtl/>
        </w:rPr>
        <w:t>:</w:t>
      </w:r>
      <w:r w:rsidRPr="00282AC9">
        <w:rPr>
          <w:rFonts w:ascii="AAA GoldenLotus" w:hAnsi="AAA GoldenLotus"/>
          <w:sz w:val="27"/>
          <w:rtl/>
        </w:rPr>
        <w:t xml:space="preserve"> ما ورد بلفظ</w:t>
      </w:r>
      <w:r w:rsidR="00EF2816" w:rsidRPr="00282AC9">
        <w:rPr>
          <w:rFonts w:ascii="AAA GoldenLotus" w:hAnsi="AAA GoldenLotus" w:hint="cs"/>
          <w:sz w:val="27"/>
          <w:rtl/>
        </w:rPr>
        <w:t>ٍ</w:t>
      </w:r>
      <w:r w:rsidRPr="00282AC9">
        <w:rPr>
          <w:rFonts w:ascii="AAA GoldenLotus" w:hAnsi="AAA GoldenLotus"/>
          <w:sz w:val="27"/>
          <w:rtl/>
        </w:rPr>
        <w:t xml:space="preserve"> مطلق</w:t>
      </w:r>
      <w:r w:rsidR="00EF2816" w:rsidRPr="00282AC9">
        <w:rPr>
          <w:rFonts w:ascii="AAA GoldenLotus" w:hAnsi="AAA GoldenLotus" w:hint="cs"/>
          <w:sz w:val="27"/>
          <w:rtl/>
        </w:rPr>
        <w:t>،</w:t>
      </w:r>
      <w:r w:rsidRPr="00282AC9">
        <w:rPr>
          <w:rFonts w:ascii="AAA GoldenLotus" w:hAnsi="AAA GoldenLotus"/>
          <w:sz w:val="27"/>
          <w:rtl/>
        </w:rPr>
        <w:t xml:space="preserve"> كقوله تعالى: </w:t>
      </w:r>
      <w:r w:rsidR="00C5291F" w:rsidRPr="00282AC9">
        <w:rPr>
          <w:rFonts w:ascii="Mosawi" w:hAnsi="Mosawi" w:cs="Mosawi"/>
          <w:sz w:val="24"/>
          <w:szCs w:val="24"/>
          <w:rtl/>
        </w:rPr>
        <w:t>﴿</w:t>
      </w:r>
      <w:r w:rsidRPr="00282AC9">
        <w:rPr>
          <w:rFonts w:ascii="AAA GoldenLotus" w:hAnsi="AAA GoldenLotus"/>
          <w:b/>
          <w:bCs/>
          <w:sz w:val="27"/>
          <w:rtl/>
        </w:rPr>
        <w:t>وَمَا أَرْسَلْنَاكَ إِ</w:t>
      </w:r>
      <w:r w:rsidR="00EE6DBA" w:rsidRPr="00282AC9">
        <w:rPr>
          <w:rFonts w:ascii="AAA GoldenLotus" w:hAnsi="AAA GoldenLotus"/>
          <w:b/>
          <w:bCs/>
          <w:sz w:val="27"/>
          <w:rtl/>
        </w:rPr>
        <w:t>لاّ</w:t>
      </w:r>
      <w:r w:rsidRPr="00282AC9">
        <w:rPr>
          <w:rFonts w:ascii="AAA GoldenLotus" w:hAnsi="AAA GoldenLotus"/>
          <w:b/>
          <w:bCs/>
          <w:sz w:val="27"/>
          <w:rtl/>
        </w:rPr>
        <w:t xml:space="preserve"> كَافَّةً لِّلنَّاسِ</w:t>
      </w:r>
      <w:r w:rsidR="00C5291F" w:rsidRPr="00282AC9">
        <w:rPr>
          <w:rFonts w:ascii="Mosawi" w:hAnsi="Mosawi" w:cs="Mosawi"/>
          <w:sz w:val="24"/>
          <w:szCs w:val="24"/>
          <w:rtl/>
        </w:rPr>
        <w:t>﴾</w:t>
      </w:r>
      <w:r w:rsidRPr="00282AC9">
        <w:rPr>
          <w:rFonts w:ascii="AAA GoldenLotus" w:hAnsi="AAA GoldenLotus"/>
          <w:sz w:val="27"/>
          <w:rtl/>
        </w:rPr>
        <w:t xml:space="preserve"> (سبأ: 28)؛ فإن هذه الآية تدل</w:t>
      </w:r>
      <w:r w:rsidR="002E15A9" w:rsidRPr="00282AC9">
        <w:rPr>
          <w:rFonts w:ascii="AAA GoldenLotus" w:hAnsi="AAA GoldenLotus" w:hint="cs"/>
          <w:sz w:val="27"/>
          <w:rtl/>
        </w:rPr>
        <w:t>ّ</w:t>
      </w:r>
      <w:r w:rsidRPr="00282AC9">
        <w:rPr>
          <w:rFonts w:ascii="AAA GoldenLotus" w:hAnsi="AAA GoldenLotus"/>
          <w:sz w:val="27"/>
          <w:rtl/>
        </w:rPr>
        <w:t xml:space="preserve"> بوضوح</w:t>
      </w:r>
      <w:r w:rsidR="002E15A9" w:rsidRPr="00282AC9">
        <w:rPr>
          <w:rFonts w:ascii="AAA GoldenLotus" w:hAnsi="AAA GoldenLotus" w:hint="cs"/>
          <w:sz w:val="27"/>
          <w:rtl/>
        </w:rPr>
        <w:t>ٍ</w:t>
      </w:r>
      <w:r w:rsidRPr="00282AC9">
        <w:rPr>
          <w:rFonts w:ascii="AAA GoldenLotus" w:hAnsi="AAA GoldenLotus"/>
          <w:sz w:val="27"/>
          <w:rtl/>
        </w:rPr>
        <w:t xml:space="preserve"> على عدم اختصاص ما جاء به النبي</w:t>
      </w:r>
      <w:r w:rsidR="002E15A9" w:rsidRPr="00282AC9">
        <w:rPr>
          <w:rFonts w:ascii="AAA GoldenLotus" w:hAnsi="AAA GoldenLotus" w:hint="cs"/>
          <w:sz w:val="27"/>
          <w:rtl/>
        </w:rPr>
        <w:t>ّ</w:t>
      </w:r>
      <w:r w:rsidR="009A2A04" w:rsidRPr="00282AC9">
        <w:rPr>
          <w:rFonts w:ascii="AAA GoldenLotus" w:hAnsi="AAA GoldenLotus" w:cs="Mosawi"/>
          <w:sz w:val="22"/>
          <w:szCs w:val="22"/>
          <w:rtl/>
        </w:rPr>
        <w:t>|</w:t>
      </w:r>
      <w:r w:rsidRPr="00282AC9">
        <w:rPr>
          <w:rFonts w:ascii="AAA GoldenLotus" w:hAnsi="AAA GoldenLotus"/>
          <w:sz w:val="27"/>
          <w:rtl/>
        </w:rPr>
        <w:t xml:space="preserve"> من الأحكام والتكاليف بشخص</w:t>
      </w:r>
      <w:r w:rsidR="002E15A9" w:rsidRPr="00282AC9">
        <w:rPr>
          <w:rFonts w:ascii="AAA GoldenLotus" w:hAnsi="AAA GoldenLotus" w:hint="cs"/>
          <w:sz w:val="27"/>
          <w:rtl/>
        </w:rPr>
        <w:t>ٍ</w:t>
      </w:r>
      <w:r w:rsidRPr="00282AC9">
        <w:rPr>
          <w:rFonts w:ascii="AAA GoldenLotus" w:hAnsi="AAA GoldenLotus"/>
          <w:sz w:val="27"/>
          <w:rtl/>
        </w:rPr>
        <w:t xml:space="preserve"> أو قوم</w:t>
      </w:r>
      <w:r w:rsidR="002E15A9" w:rsidRPr="00282AC9">
        <w:rPr>
          <w:rFonts w:ascii="AAA GoldenLotus" w:hAnsi="AAA GoldenLotus" w:hint="cs"/>
          <w:sz w:val="27"/>
          <w:rtl/>
        </w:rPr>
        <w:t>ٍ</w:t>
      </w:r>
      <w:r w:rsidRPr="00282AC9">
        <w:rPr>
          <w:rFonts w:ascii="AAA GoldenLotus" w:hAnsi="AAA GoldenLotus"/>
          <w:sz w:val="27"/>
          <w:rtl/>
        </w:rPr>
        <w:t xml:space="preserve"> خاص</w:t>
      </w:r>
      <w:r w:rsidR="002E15A9" w:rsidRPr="00282AC9">
        <w:rPr>
          <w:rFonts w:ascii="AAA GoldenLotus" w:hAnsi="AAA GoldenLotus" w:hint="cs"/>
          <w:sz w:val="27"/>
          <w:rtl/>
        </w:rPr>
        <w:t>ّ</w:t>
      </w:r>
      <w:r w:rsidRPr="00282AC9">
        <w:rPr>
          <w:rFonts w:ascii="AAA GoldenLotus" w:hAnsi="AAA GoldenLotus"/>
          <w:sz w:val="27"/>
          <w:rtl/>
        </w:rPr>
        <w:t xml:space="preserve"> أو جنس</w:t>
      </w:r>
      <w:r w:rsidR="002E15A9" w:rsidRPr="00282AC9">
        <w:rPr>
          <w:rFonts w:ascii="AAA GoldenLotus" w:hAnsi="AAA GoldenLotus" w:hint="cs"/>
          <w:sz w:val="27"/>
          <w:rtl/>
        </w:rPr>
        <w:t>ٍ</w:t>
      </w:r>
      <w:r w:rsidRPr="00282AC9">
        <w:rPr>
          <w:rFonts w:ascii="AAA GoldenLotus" w:hAnsi="AAA GoldenLotus"/>
          <w:sz w:val="27"/>
          <w:rtl/>
        </w:rPr>
        <w:t>، بل يشترك فيه الرجال والنساء</w:t>
      </w:r>
      <w:r w:rsidR="002E15A9" w:rsidRPr="00282AC9">
        <w:rPr>
          <w:rFonts w:ascii="AAA GoldenLotus" w:hAnsi="AAA GoldenLotus" w:hint="cs"/>
          <w:sz w:val="27"/>
          <w:rtl/>
        </w:rPr>
        <w:t>،</w:t>
      </w:r>
      <w:r w:rsidRPr="00282AC9">
        <w:rPr>
          <w:rFonts w:ascii="AAA GoldenLotus" w:hAnsi="AAA GoldenLotus"/>
          <w:sz w:val="27"/>
          <w:rtl/>
        </w:rPr>
        <w:t xml:space="preserve"> كما لا يخفى، فتدل</w:t>
      </w:r>
      <w:r w:rsidR="002E15A9" w:rsidRPr="00282AC9">
        <w:rPr>
          <w:rFonts w:ascii="AAA GoldenLotus" w:hAnsi="AAA GoldenLotus" w:hint="cs"/>
          <w:sz w:val="27"/>
          <w:rtl/>
        </w:rPr>
        <w:t>ّ</w:t>
      </w:r>
      <w:r w:rsidRPr="00282AC9">
        <w:rPr>
          <w:rFonts w:ascii="AAA GoldenLotus" w:hAnsi="AAA GoldenLotus"/>
          <w:sz w:val="27"/>
          <w:rtl/>
        </w:rPr>
        <w:t xml:space="preserve"> هذه الآية وأمثالها من الآيات على اشتراك الأحكام بين الرجال والنساء، وإرادة أحدهما على نحو التخصيص والتقييد بحاجة</w:t>
      </w:r>
      <w:r w:rsidR="002E15A9" w:rsidRPr="00282AC9">
        <w:rPr>
          <w:rFonts w:ascii="AAA GoldenLotus" w:hAnsi="AAA GoldenLotus" w:hint="cs"/>
          <w:sz w:val="27"/>
          <w:rtl/>
        </w:rPr>
        <w:t>ٍ</w:t>
      </w:r>
      <w:r w:rsidRPr="00282AC9">
        <w:rPr>
          <w:rFonts w:ascii="AAA GoldenLotus" w:hAnsi="AAA GoldenLotus"/>
          <w:sz w:val="27"/>
          <w:rtl/>
        </w:rPr>
        <w:t xml:space="preserve"> إلى مخص</w:t>
      </w:r>
      <w:r w:rsidR="002E15A9" w:rsidRPr="00282AC9">
        <w:rPr>
          <w:rFonts w:ascii="AAA GoldenLotus" w:hAnsi="AAA GoldenLotus" w:hint="cs"/>
          <w:sz w:val="27"/>
          <w:rtl/>
        </w:rPr>
        <w:t>ِّ</w:t>
      </w:r>
      <w:r w:rsidR="00B4202F" w:rsidRPr="00282AC9">
        <w:rPr>
          <w:rFonts w:ascii="AAA GoldenLotus" w:hAnsi="AAA GoldenLotus" w:hint="cs"/>
          <w:sz w:val="27"/>
          <w:rtl/>
        </w:rPr>
        <w:t>صٍ</w:t>
      </w:r>
      <w:r w:rsidRPr="00282AC9">
        <w:rPr>
          <w:rFonts w:ascii="AAA GoldenLotus" w:hAnsi="AAA GoldenLotus"/>
          <w:sz w:val="27"/>
          <w:rtl/>
        </w:rPr>
        <w:t xml:space="preserve"> ومقي</w:t>
      </w:r>
      <w:r w:rsidR="002E15A9" w:rsidRPr="00282AC9">
        <w:rPr>
          <w:rFonts w:ascii="AAA GoldenLotus" w:hAnsi="AAA GoldenLotus" w:hint="cs"/>
          <w:sz w:val="27"/>
          <w:rtl/>
        </w:rPr>
        <w:t>ِّد</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51"/>
      </w:r>
      <w:r w:rsidRPr="00282AC9">
        <w:rPr>
          <w:rFonts w:ascii="AAA GoldenLotus" w:hAnsi="AAA GoldenLotus"/>
          <w:sz w:val="27"/>
          <w:vertAlign w:val="superscript"/>
          <w:rtl/>
        </w:rPr>
        <w:t>)</w:t>
      </w:r>
      <w:r w:rsidRPr="00282AC9">
        <w:rPr>
          <w:rFonts w:ascii="AAA GoldenLotus" w:hAnsi="AAA GoldenLotus"/>
          <w:sz w:val="27"/>
          <w:rtl/>
        </w:rPr>
        <w:t xml:space="preserve">. </w:t>
      </w:r>
    </w:p>
    <w:p w:rsidR="008573BF" w:rsidRPr="00282AC9" w:rsidRDefault="008573BF" w:rsidP="008573BF">
      <w:pPr>
        <w:spacing w:line="420" w:lineRule="exact"/>
        <w:rPr>
          <w:rtl/>
        </w:rPr>
      </w:pPr>
    </w:p>
    <w:p w:rsidR="00E355F2" w:rsidRPr="00282AC9" w:rsidRDefault="00E355F2" w:rsidP="004B190F">
      <w:pPr>
        <w:pStyle w:val="31"/>
        <w:rPr>
          <w:color w:val="auto"/>
          <w:rtl/>
        </w:rPr>
      </w:pPr>
      <w:r w:rsidRPr="00282AC9">
        <w:rPr>
          <w:rFonts w:hint="cs"/>
          <w:color w:val="auto"/>
          <w:rtl/>
        </w:rPr>
        <w:t xml:space="preserve">ب </w:t>
      </w:r>
      <w:r w:rsidRPr="00282AC9">
        <w:rPr>
          <w:color w:val="auto"/>
          <w:rtl/>
        </w:rPr>
        <w:t>ـ الروايات</w:t>
      </w:r>
      <w:r w:rsidR="004B190F" w:rsidRPr="00282AC9">
        <w:rPr>
          <w:rFonts w:hint="cs"/>
          <w:color w:val="auto"/>
          <w:rtl/>
        </w:rPr>
        <w:t xml:space="preserve"> الشريفة</w:t>
      </w:r>
      <w:r w:rsidRPr="00282AC9">
        <w:rPr>
          <w:color w:val="auto"/>
          <w:rtl/>
        </w:rPr>
        <w:t xml:space="preserve"> </w:t>
      </w:r>
    </w:p>
    <w:p w:rsidR="00E355F2" w:rsidRPr="00282AC9" w:rsidRDefault="00E355F2" w:rsidP="00046546">
      <w:pPr>
        <w:rPr>
          <w:rFonts w:ascii="AAA GoldenLotus" w:hAnsi="AAA GoldenLotus"/>
          <w:spacing w:val="-4"/>
          <w:sz w:val="27"/>
          <w:rtl/>
        </w:rPr>
      </w:pPr>
      <w:r w:rsidRPr="00282AC9">
        <w:rPr>
          <w:rFonts w:ascii="AAA GoldenLotus" w:hAnsi="AAA GoldenLotus"/>
          <w:spacing w:val="-4"/>
          <w:sz w:val="27"/>
          <w:rtl/>
        </w:rPr>
        <w:t>وقد استدل</w:t>
      </w:r>
      <w:r w:rsidR="002E15A9" w:rsidRPr="00282AC9">
        <w:rPr>
          <w:rFonts w:ascii="AAA GoldenLotus" w:hAnsi="AAA GoldenLotus" w:hint="cs"/>
          <w:spacing w:val="-4"/>
          <w:sz w:val="27"/>
          <w:rtl/>
        </w:rPr>
        <w:t>ّ</w:t>
      </w:r>
      <w:r w:rsidRPr="00282AC9">
        <w:rPr>
          <w:rFonts w:ascii="AAA GoldenLotus" w:hAnsi="AAA GoldenLotus"/>
          <w:spacing w:val="-4"/>
          <w:sz w:val="27"/>
          <w:rtl/>
        </w:rPr>
        <w:t xml:space="preserve"> على قاعدة الاشتراك بالروايات الواردة عن أئم</w:t>
      </w:r>
      <w:r w:rsidR="002E15A9" w:rsidRPr="00282AC9">
        <w:rPr>
          <w:rFonts w:ascii="AAA GoldenLotus" w:hAnsi="AAA GoldenLotus" w:hint="cs"/>
          <w:spacing w:val="-4"/>
          <w:sz w:val="27"/>
          <w:rtl/>
        </w:rPr>
        <w:t>ّ</w:t>
      </w:r>
      <w:r w:rsidRPr="00282AC9">
        <w:rPr>
          <w:rFonts w:ascii="AAA GoldenLotus" w:hAnsi="AAA GoldenLotus"/>
          <w:spacing w:val="-4"/>
          <w:sz w:val="27"/>
          <w:rtl/>
        </w:rPr>
        <w:t>ة أهل البيت</w:t>
      </w:r>
      <w:r w:rsidR="00876ECA" w:rsidRPr="00282AC9">
        <w:rPr>
          <w:rFonts w:cs="Mosawi" w:hint="cs"/>
          <w:sz w:val="22"/>
          <w:szCs w:val="22"/>
          <w:rtl/>
        </w:rPr>
        <w:t>^</w:t>
      </w:r>
      <w:r w:rsidRPr="00282AC9">
        <w:rPr>
          <w:rFonts w:ascii="AAA GoldenLotus" w:hAnsi="AAA GoldenLotus"/>
          <w:spacing w:val="-4"/>
          <w:sz w:val="27"/>
          <w:rtl/>
        </w:rPr>
        <w:t xml:space="preserve"> في موارد مختلفة، </w:t>
      </w:r>
      <w:r w:rsidR="002E15A9" w:rsidRPr="00282AC9">
        <w:rPr>
          <w:rFonts w:ascii="AAA GoldenLotus" w:hAnsi="AAA GoldenLotus" w:hint="cs"/>
          <w:spacing w:val="-4"/>
          <w:sz w:val="27"/>
          <w:rtl/>
        </w:rPr>
        <w:t>و</w:t>
      </w:r>
      <w:r w:rsidRPr="00282AC9">
        <w:rPr>
          <w:rFonts w:ascii="AAA GoldenLotus" w:hAnsi="AAA GoldenLotus"/>
          <w:spacing w:val="-4"/>
          <w:sz w:val="27"/>
          <w:rtl/>
        </w:rPr>
        <w:t>نذكر منها:</w:t>
      </w:r>
    </w:p>
    <w:p w:rsidR="00E355F2" w:rsidRPr="00282AC9" w:rsidRDefault="002E15A9" w:rsidP="00046546">
      <w:pPr>
        <w:rPr>
          <w:rFonts w:ascii="AAA GoldenLotus" w:hAnsi="AAA GoldenLotus"/>
          <w:sz w:val="27"/>
          <w:rtl/>
        </w:rPr>
      </w:pPr>
      <w:r w:rsidRPr="00282AC9">
        <w:rPr>
          <w:rFonts w:ascii="AAA GoldenLotus" w:hAnsi="AAA GoldenLotus" w:hint="cs"/>
          <w:sz w:val="27"/>
          <w:rtl/>
        </w:rPr>
        <w:lastRenderedPageBreak/>
        <w:t>1</w:t>
      </w:r>
      <w:r w:rsidR="00E355F2" w:rsidRPr="00282AC9">
        <w:rPr>
          <w:rFonts w:ascii="AAA GoldenLotus" w:hAnsi="AAA GoldenLotus"/>
          <w:sz w:val="27"/>
          <w:rtl/>
        </w:rPr>
        <w:t>ـ ما رواه الكليني بإسناده عن أبي عمرو الزبيري</w:t>
      </w:r>
      <w:r w:rsidRPr="00282AC9">
        <w:rPr>
          <w:rFonts w:ascii="AAA GoldenLotus" w:hAnsi="AAA GoldenLotus" w:hint="cs"/>
          <w:sz w:val="27"/>
          <w:rtl/>
        </w:rPr>
        <w:t>،</w:t>
      </w:r>
      <w:r w:rsidR="00E355F2" w:rsidRPr="00282AC9">
        <w:rPr>
          <w:rFonts w:ascii="AAA GoldenLotus" w:hAnsi="AAA GoldenLotus"/>
          <w:sz w:val="27"/>
          <w:rtl/>
        </w:rPr>
        <w:t xml:space="preserve"> عن أبي عبد الله</w:t>
      </w:r>
      <w:r w:rsidR="009A2A04" w:rsidRPr="00282AC9">
        <w:rPr>
          <w:rFonts w:ascii="AAA GoldenLotus" w:hAnsi="AAA GoldenLotus" w:cs="Mosawi"/>
          <w:sz w:val="22"/>
          <w:szCs w:val="22"/>
          <w:rtl/>
        </w:rPr>
        <w:t>×</w:t>
      </w:r>
      <w:r w:rsidR="00E355F2" w:rsidRPr="00282AC9">
        <w:rPr>
          <w:rFonts w:ascii="AAA GoldenLotus" w:hAnsi="AAA GoldenLotus"/>
          <w:sz w:val="27"/>
          <w:rtl/>
        </w:rPr>
        <w:t xml:space="preserve"> ـ في حديث</w:t>
      </w:r>
      <w:r w:rsidRPr="00282AC9">
        <w:rPr>
          <w:rFonts w:ascii="AAA GoldenLotus" w:hAnsi="AAA GoldenLotus" w:hint="cs"/>
          <w:sz w:val="27"/>
          <w:rtl/>
        </w:rPr>
        <w:t>ٍ</w:t>
      </w:r>
      <w:r w:rsidR="00E355F2" w:rsidRPr="00282AC9">
        <w:rPr>
          <w:rFonts w:ascii="AAA GoldenLotus" w:hAnsi="AAA GoldenLotus"/>
          <w:sz w:val="27"/>
          <w:rtl/>
        </w:rPr>
        <w:t xml:space="preserve"> ـ أنه قال: </w:t>
      </w:r>
      <w:r w:rsidRPr="00282AC9">
        <w:rPr>
          <w:rFonts w:hint="eastAsia"/>
          <w:sz w:val="24"/>
          <w:szCs w:val="24"/>
          <w:rtl/>
        </w:rPr>
        <w:t>«</w:t>
      </w:r>
      <w:r w:rsidR="00E355F2" w:rsidRPr="00282AC9">
        <w:rPr>
          <w:rFonts w:ascii="AAA GoldenLotus" w:hAnsi="AAA GoldenLotus"/>
          <w:sz w:val="27"/>
          <w:rtl/>
        </w:rPr>
        <w:t>حكم الله عز</w:t>
      </w:r>
      <w:r w:rsidRPr="00282AC9">
        <w:rPr>
          <w:rFonts w:ascii="AAA GoldenLotus" w:hAnsi="AAA GoldenLotus" w:hint="cs"/>
          <w:sz w:val="27"/>
          <w:rtl/>
        </w:rPr>
        <w:t>َّ</w:t>
      </w:r>
      <w:r w:rsidR="00E355F2" w:rsidRPr="00282AC9">
        <w:rPr>
          <w:rFonts w:ascii="AAA GoldenLotus" w:hAnsi="AAA GoldenLotus"/>
          <w:sz w:val="27"/>
          <w:rtl/>
        </w:rPr>
        <w:t xml:space="preserve"> وجل</w:t>
      </w:r>
      <w:r w:rsidRPr="00282AC9">
        <w:rPr>
          <w:rFonts w:ascii="AAA GoldenLotus" w:hAnsi="AAA GoldenLotus" w:hint="cs"/>
          <w:sz w:val="27"/>
          <w:rtl/>
        </w:rPr>
        <w:t>َّ</w:t>
      </w:r>
      <w:r w:rsidR="00E355F2" w:rsidRPr="00282AC9">
        <w:rPr>
          <w:rFonts w:ascii="AAA GoldenLotus" w:hAnsi="AAA GoldenLotus"/>
          <w:sz w:val="27"/>
          <w:rtl/>
        </w:rPr>
        <w:t xml:space="preserve"> في الأو</w:t>
      </w:r>
      <w:r w:rsidRPr="00282AC9">
        <w:rPr>
          <w:rFonts w:ascii="AAA GoldenLotus" w:hAnsi="AAA GoldenLotus" w:hint="cs"/>
          <w:sz w:val="27"/>
          <w:rtl/>
        </w:rPr>
        <w:t>ّ</w:t>
      </w:r>
      <w:r w:rsidR="00E355F2" w:rsidRPr="00282AC9">
        <w:rPr>
          <w:rFonts w:ascii="AAA GoldenLotus" w:hAnsi="AAA GoldenLotus"/>
          <w:sz w:val="27"/>
          <w:rtl/>
        </w:rPr>
        <w:t>لين والآخرين وفرائضه عليهم سواء</w:t>
      </w:r>
      <w:r w:rsidRPr="00282AC9">
        <w:rPr>
          <w:rFonts w:ascii="AAA GoldenLotus" w:hAnsi="AAA GoldenLotus" w:hint="cs"/>
          <w:sz w:val="27"/>
          <w:rtl/>
        </w:rPr>
        <w:t>ٌ</w:t>
      </w:r>
      <w:r w:rsidR="00E355F2" w:rsidRPr="00282AC9">
        <w:rPr>
          <w:rFonts w:ascii="AAA GoldenLotus" w:hAnsi="AAA GoldenLotus"/>
          <w:sz w:val="27"/>
          <w:rtl/>
        </w:rPr>
        <w:t>، إلا</w:t>
      </w:r>
      <w:r w:rsidRPr="00282AC9">
        <w:rPr>
          <w:rFonts w:ascii="AAA GoldenLotus" w:hAnsi="AAA GoldenLotus" w:hint="cs"/>
          <w:sz w:val="27"/>
          <w:rtl/>
        </w:rPr>
        <w:t>ّ</w:t>
      </w:r>
      <w:r w:rsidR="00E355F2" w:rsidRPr="00282AC9">
        <w:rPr>
          <w:rFonts w:ascii="AAA GoldenLotus" w:hAnsi="AAA GoldenLotus"/>
          <w:sz w:val="27"/>
          <w:rtl/>
        </w:rPr>
        <w:t xml:space="preserve"> من عل</w:t>
      </w:r>
      <w:r w:rsidRPr="00282AC9">
        <w:rPr>
          <w:rFonts w:ascii="AAA GoldenLotus" w:hAnsi="AAA GoldenLotus" w:hint="cs"/>
          <w:sz w:val="27"/>
          <w:rtl/>
        </w:rPr>
        <w:t>ّ</w:t>
      </w:r>
      <w:r w:rsidR="00E355F2" w:rsidRPr="00282AC9">
        <w:rPr>
          <w:rFonts w:ascii="AAA GoldenLotus" w:hAnsi="AAA GoldenLotus"/>
          <w:sz w:val="27"/>
          <w:rtl/>
        </w:rPr>
        <w:t>ة</w:t>
      </w:r>
      <w:r w:rsidRPr="00282AC9">
        <w:rPr>
          <w:rFonts w:ascii="AAA GoldenLotus" w:hAnsi="AAA GoldenLotus" w:hint="cs"/>
          <w:sz w:val="27"/>
          <w:rtl/>
        </w:rPr>
        <w:t>ٍ</w:t>
      </w:r>
      <w:r w:rsidR="00E355F2" w:rsidRPr="00282AC9">
        <w:rPr>
          <w:rFonts w:ascii="AAA GoldenLotus" w:hAnsi="AAA GoldenLotus"/>
          <w:sz w:val="27"/>
          <w:rtl/>
        </w:rPr>
        <w:t xml:space="preserve"> أو حادث</w:t>
      </w:r>
      <w:r w:rsidRPr="00282AC9">
        <w:rPr>
          <w:rFonts w:ascii="AAA GoldenLotus" w:hAnsi="AAA GoldenLotus" w:hint="cs"/>
          <w:sz w:val="27"/>
          <w:rtl/>
        </w:rPr>
        <w:t>ٍ</w:t>
      </w:r>
      <w:r w:rsidR="00E355F2" w:rsidRPr="00282AC9">
        <w:rPr>
          <w:rFonts w:ascii="AAA GoldenLotus" w:hAnsi="AAA GoldenLotus"/>
          <w:sz w:val="27"/>
          <w:rtl/>
        </w:rPr>
        <w:t xml:space="preserve"> يكون</w:t>
      </w:r>
      <w:r w:rsidRPr="00282AC9">
        <w:rPr>
          <w:rFonts w:ascii="AAA GoldenLotus" w:hAnsi="AAA GoldenLotus" w:hint="cs"/>
          <w:sz w:val="27"/>
          <w:rtl/>
        </w:rPr>
        <w:t>.</w:t>
      </w:r>
      <w:r w:rsidR="00E355F2" w:rsidRPr="00282AC9">
        <w:rPr>
          <w:rFonts w:ascii="AAA GoldenLotus" w:hAnsi="AAA GoldenLotus"/>
          <w:sz w:val="27"/>
          <w:rtl/>
        </w:rPr>
        <w:t xml:space="preserve"> والأو</w:t>
      </w:r>
      <w:r w:rsidRPr="00282AC9">
        <w:rPr>
          <w:rFonts w:ascii="AAA GoldenLotus" w:hAnsi="AAA GoldenLotus" w:hint="cs"/>
          <w:sz w:val="27"/>
          <w:rtl/>
        </w:rPr>
        <w:t>ّ</w:t>
      </w:r>
      <w:r w:rsidR="00E355F2" w:rsidRPr="00282AC9">
        <w:rPr>
          <w:rFonts w:ascii="AAA GoldenLotus" w:hAnsi="AAA GoldenLotus"/>
          <w:sz w:val="27"/>
          <w:rtl/>
        </w:rPr>
        <w:t>لون والآخرون أيضاً في منع الحوادث شركاء، والفرائض عليهم واحدة</w:t>
      </w:r>
      <w:r w:rsidRPr="00282AC9">
        <w:rPr>
          <w:rFonts w:ascii="AAA GoldenLotus" w:hAnsi="AAA GoldenLotus" w:hint="cs"/>
          <w:sz w:val="27"/>
          <w:rtl/>
        </w:rPr>
        <w:t>ٌ</w:t>
      </w:r>
      <w:r w:rsidR="00E355F2" w:rsidRPr="00282AC9">
        <w:rPr>
          <w:rFonts w:ascii="AAA GoldenLotus" w:hAnsi="AAA GoldenLotus"/>
          <w:sz w:val="27"/>
          <w:rtl/>
        </w:rPr>
        <w:t>، يس</w:t>
      </w:r>
      <w:r w:rsidRPr="00282AC9">
        <w:rPr>
          <w:rFonts w:ascii="AAA GoldenLotus" w:hAnsi="AAA GoldenLotus" w:hint="cs"/>
          <w:sz w:val="27"/>
          <w:rtl/>
        </w:rPr>
        <w:t>أ</w:t>
      </w:r>
      <w:r w:rsidR="00E355F2" w:rsidRPr="00282AC9">
        <w:rPr>
          <w:rFonts w:ascii="AAA GoldenLotus" w:hAnsi="AAA GoldenLotus"/>
          <w:sz w:val="27"/>
          <w:rtl/>
        </w:rPr>
        <w:t>ل الآخرون عن أداء الفرائض كما يس</w:t>
      </w:r>
      <w:r w:rsidRPr="00282AC9">
        <w:rPr>
          <w:rFonts w:ascii="AAA GoldenLotus" w:hAnsi="AAA GoldenLotus" w:hint="cs"/>
          <w:sz w:val="27"/>
          <w:rtl/>
        </w:rPr>
        <w:t>أ</w:t>
      </w:r>
      <w:r w:rsidR="00E355F2" w:rsidRPr="00282AC9">
        <w:rPr>
          <w:rFonts w:ascii="AAA GoldenLotus" w:hAnsi="AAA GoldenLotus"/>
          <w:sz w:val="27"/>
          <w:rtl/>
        </w:rPr>
        <w:t>ل عنه الأو</w:t>
      </w:r>
      <w:r w:rsidRPr="00282AC9">
        <w:rPr>
          <w:rFonts w:ascii="AAA GoldenLotus" w:hAnsi="AAA GoldenLotus" w:hint="cs"/>
          <w:sz w:val="27"/>
          <w:rtl/>
        </w:rPr>
        <w:t>ّ</w:t>
      </w:r>
      <w:r w:rsidR="00E355F2" w:rsidRPr="00282AC9">
        <w:rPr>
          <w:rFonts w:ascii="AAA GoldenLotus" w:hAnsi="AAA GoldenLotus"/>
          <w:sz w:val="27"/>
          <w:rtl/>
        </w:rPr>
        <w:t>لون، ويحاسبون به كما يحاسبون به</w:t>
      </w:r>
      <w:r w:rsidRPr="00282AC9">
        <w:rPr>
          <w:rFonts w:hint="eastAsia"/>
          <w:sz w:val="24"/>
          <w:szCs w:val="24"/>
          <w:rtl/>
        </w:rPr>
        <w:t>»</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52"/>
      </w:r>
      <w:r w:rsidR="00E355F2" w:rsidRPr="00282AC9">
        <w:rPr>
          <w:rFonts w:ascii="AAA GoldenLotus" w:hAnsi="AAA GoldenLotus"/>
          <w:sz w:val="27"/>
          <w:vertAlign w:val="superscript"/>
          <w:rtl/>
        </w:rPr>
        <w:t>)</w:t>
      </w:r>
      <w:r w:rsidR="00E355F2"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ودلالة</w:t>
      </w:r>
      <w:r w:rsidR="002E15A9" w:rsidRPr="00282AC9">
        <w:rPr>
          <w:rFonts w:ascii="AAA GoldenLotus" w:hAnsi="AAA GoldenLotus" w:hint="cs"/>
          <w:sz w:val="27"/>
          <w:rtl/>
        </w:rPr>
        <w:t>ُ</w:t>
      </w:r>
      <w:r w:rsidRPr="00282AC9">
        <w:rPr>
          <w:rFonts w:ascii="AAA GoldenLotus" w:hAnsi="AAA GoldenLotus"/>
          <w:sz w:val="27"/>
          <w:rtl/>
        </w:rPr>
        <w:t xml:space="preserve"> هذه الرواية على اشتراك التكليف بين الجميع</w:t>
      </w:r>
      <w:r w:rsidR="002E15A9" w:rsidRPr="00282AC9">
        <w:rPr>
          <w:rFonts w:ascii="AAA GoldenLotus" w:hAnsi="AAA GoldenLotus" w:hint="cs"/>
          <w:sz w:val="27"/>
          <w:rtl/>
        </w:rPr>
        <w:t>،</w:t>
      </w:r>
      <w:r w:rsidRPr="00282AC9">
        <w:rPr>
          <w:rFonts w:ascii="AAA GoldenLotus" w:hAnsi="AAA GoldenLotus"/>
          <w:sz w:val="27"/>
          <w:rtl/>
        </w:rPr>
        <w:t xml:space="preserve"> رجالاً ونساءً</w:t>
      </w:r>
      <w:r w:rsidR="002E15A9" w:rsidRPr="00282AC9">
        <w:rPr>
          <w:rFonts w:ascii="AAA GoldenLotus" w:hAnsi="AAA GoldenLotus" w:hint="cs"/>
          <w:sz w:val="27"/>
          <w:rtl/>
        </w:rPr>
        <w:t>،</w:t>
      </w:r>
      <w:r w:rsidRPr="00282AC9">
        <w:rPr>
          <w:rFonts w:ascii="AAA GoldenLotus" w:hAnsi="AAA GoldenLotus"/>
          <w:sz w:val="27"/>
          <w:rtl/>
        </w:rPr>
        <w:t xml:space="preserve"> واضحة</w:t>
      </w:r>
      <w:r w:rsidR="002E15A9" w:rsidRPr="00282AC9">
        <w:rPr>
          <w:rFonts w:ascii="AAA GoldenLotus" w:hAnsi="AAA GoldenLotus" w:hint="cs"/>
          <w:sz w:val="27"/>
          <w:rtl/>
        </w:rPr>
        <w:t>ٌ</w:t>
      </w:r>
      <w:r w:rsidRPr="00282AC9">
        <w:rPr>
          <w:rFonts w:ascii="AAA GoldenLotus" w:hAnsi="AAA GoldenLotus"/>
          <w:sz w:val="27"/>
          <w:rtl/>
        </w:rPr>
        <w:t xml:space="preserve">؛ حيث يُراد من </w:t>
      </w:r>
      <w:r w:rsidRPr="00282AC9">
        <w:rPr>
          <w:rFonts w:ascii="AAA GoldenLotus" w:hAnsi="AAA GoldenLotus" w:hint="cs"/>
          <w:sz w:val="27"/>
          <w:rtl/>
        </w:rPr>
        <w:t>(</w:t>
      </w:r>
      <w:r w:rsidRPr="00282AC9">
        <w:rPr>
          <w:rFonts w:ascii="AAA GoldenLotus" w:hAnsi="AAA GoldenLotus"/>
          <w:sz w:val="27"/>
          <w:rtl/>
        </w:rPr>
        <w:t>الأو</w:t>
      </w:r>
      <w:r w:rsidR="002E15A9" w:rsidRPr="00282AC9">
        <w:rPr>
          <w:rFonts w:ascii="AAA GoldenLotus" w:hAnsi="AAA GoldenLotus" w:hint="cs"/>
          <w:sz w:val="27"/>
          <w:rtl/>
        </w:rPr>
        <w:t>ّ</w:t>
      </w:r>
      <w:r w:rsidRPr="00282AC9">
        <w:rPr>
          <w:rFonts w:ascii="AAA GoldenLotus" w:hAnsi="AAA GoldenLotus"/>
          <w:sz w:val="27"/>
          <w:rtl/>
        </w:rPr>
        <w:t>لون والآخرون</w:t>
      </w:r>
      <w:r w:rsidRPr="00282AC9">
        <w:rPr>
          <w:rFonts w:ascii="AAA GoldenLotus" w:hAnsi="AAA GoldenLotus" w:hint="cs"/>
          <w:sz w:val="27"/>
          <w:rtl/>
        </w:rPr>
        <w:t>)</w:t>
      </w:r>
      <w:r w:rsidRPr="00282AC9">
        <w:rPr>
          <w:rFonts w:ascii="AAA GoldenLotus" w:hAnsi="AAA GoldenLotus"/>
          <w:sz w:val="27"/>
          <w:rtl/>
        </w:rPr>
        <w:t xml:space="preserve"> العموم والاستغراق،</w:t>
      </w:r>
      <w:r w:rsidR="002E15A9" w:rsidRPr="00282AC9">
        <w:rPr>
          <w:rFonts w:ascii="AAA GoldenLotus" w:hAnsi="AAA GoldenLotus"/>
          <w:sz w:val="27"/>
          <w:rtl/>
        </w:rPr>
        <w:t xml:space="preserve"> فيكون دالا</w:t>
      </w:r>
      <w:r w:rsidR="002E15A9" w:rsidRPr="00282AC9">
        <w:rPr>
          <w:rFonts w:ascii="AAA GoldenLotus" w:hAnsi="AAA GoldenLotus" w:hint="cs"/>
          <w:sz w:val="27"/>
          <w:rtl/>
        </w:rPr>
        <w:t>ًّ</w:t>
      </w:r>
      <w:r w:rsidRPr="00282AC9">
        <w:rPr>
          <w:rFonts w:ascii="AAA GoldenLotus" w:hAnsi="AAA GoldenLotus"/>
          <w:sz w:val="27"/>
          <w:rtl/>
        </w:rPr>
        <w:t xml:space="preserve"> على اشتراك كل</w:t>
      </w:r>
      <w:r w:rsidR="002E15A9" w:rsidRPr="00282AC9">
        <w:rPr>
          <w:rFonts w:ascii="AAA GoldenLotus" w:hAnsi="AAA GoldenLotus" w:hint="cs"/>
          <w:sz w:val="27"/>
          <w:rtl/>
        </w:rPr>
        <w:t>ّ</w:t>
      </w:r>
      <w:r w:rsidRPr="00282AC9">
        <w:rPr>
          <w:rFonts w:ascii="AAA GoldenLotus" w:hAnsi="AAA GoldenLotus"/>
          <w:sz w:val="27"/>
          <w:rtl/>
        </w:rPr>
        <w:t xml:space="preserve"> فرد</w:t>
      </w:r>
      <w:r w:rsidR="002E15A9" w:rsidRPr="00282AC9">
        <w:rPr>
          <w:rFonts w:ascii="AAA GoldenLotus" w:hAnsi="AAA GoldenLotus" w:hint="cs"/>
          <w:sz w:val="27"/>
          <w:rtl/>
        </w:rPr>
        <w:t>ٍ</w:t>
      </w:r>
      <w:r w:rsidRPr="00282AC9">
        <w:rPr>
          <w:rFonts w:ascii="AAA GoldenLotus" w:hAnsi="AAA GoldenLotus"/>
          <w:sz w:val="27"/>
          <w:rtl/>
        </w:rPr>
        <w:t xml:space="preserve"> من الأول مع كل</w:t>
      </w:r>
      <w:r w:rsidR="002E15A9" w:rsidRPr="00282AC9">
        <w:rPr>
          <w:rFonts w:ascii="AAA GoldenLotus" w:hAnsi="AAA GoldenLotus" w:hint="cs"/>
          <w:sz w:val="27"/>
          <w:rtl/>
        </w:rPr>
        <w:t>ّ</w:t>
      </w:r>
      <w:r w:rsidRPr="00282AC9">
        <w:rPr>
          <w:rFonts w:ascii="AAA GoldenLotus" w:hAnsi="AAA GoldenLotus"/>
          <w:sz w:val="27"/>
          <w:rtl/>
        </w:rPr>
        <w:t xml:space="preserve"> فرد</w:t>
      </w:r>
      <w:r w:rsidR="002E15A9" w:rsidRPr="00282AC9">
        <w:rPr>
          <w:rFonts w:ascii="AAA GoldenLotus" w:hAnsi="AAA GoldenLotus" w:hint="cs"/>
          <w:sz w:val="27"/>
          <w:rtl/>
        </w:rPr>
        <w:t>ٍ</w:t>
      </w:r>
      <w:r w:rsidRPr="00282AC9">
        <w:rPr>
          <w:rFonts w:ascii="AAA GoldenLotus" w:hAnsi="AAA GoldenLotus"/>
          <w:sz w:val="27"/>
          <w:rtl/>
        </w:rPr>
        <w:t xml:space="preserve"> من ال</w:t>
      </w:r>
      <w:r w:rsidR="002E15A9" w:rsidRPr="00282AC9">
        <w:rPr>
          <w:rFonts w:ascii="AAA GoldenLotus" w:hAnsi="AAA GoldenLotus" w:hint="cs"/>
          <w:sz w:val="27"/>
          <w:rtl/>
        </w:rPr>
        <w:t>آ</w:t>
      </w:r>
      <w:r w:rsidRPr="00282AC9">
        <w:rPr>
          <w:rFonts w:ascii="AAA GoldenLotus" w:hAnsi="AAA GoldenLotus"/>
          <w:sz w:val="27"/>
          <w:rtl/>
        </w:rPr>
        <w:t>خر</w:t>
      </w:r>
      <w:r w:rsidR="002E15A9" w:rsidRPr="00282AC9">
        <w:rPr>
          <w:rFonts w:ascii="AAA GoldenLotus" w:hAnsi="AAA GoldenLotus" w:hint="cs"/>
          <w:sz w:val="27"/>
          <w:rtl/>
        </w:rPr>
        <w:t>،</w:t>
      </w:r>
      <w:r w:rsidRPr="00282AC9">
        <w:rPr>
          <w:rFonts w:ascii="AAA GoldenLotus" w:hAnsi="AAA GoldenLotus"/>
          <w:sz w:val="27"/>
          <w:rtl/>
        </w:rPr>
        <w:t xml:space="preserve"> سواء كانوا من الرجال أو النساء، وهذا يستلزم اشتراك الأو</w:t>
      </w:r>
      <w:r w:rsidR="00FB422D" w:rsidRPr="00282AC9">
        <w:rPr>
          <w:rFonts w:ascii="AAA GoldenLotus" w:hAnsi="AAA GoldenLotus" w:hint="cs"/>
          <w:sz w:val="27"/>
          <w:rtl/>
        </w:rPr>
        <w:t>ّ</w:t>
      </w:r>
      <w:r w:rsidRPr="00282AC9">
        <w:rPr>
          <w:rFonts w:ascii="AAA GoldenLotus" w:hAnsi="AAA GoldenLotus"/>
          <w:sz w:val="27"/>
          <w:rtl/>
        </w:rPr>
        <w:t>لين بعضهم مع بعض</w:t>
      </w:r>
      <w:r w:rsidR="00FB422D" w:rsidRPr="00282AC9">
        <w:rPr>
          <w:rFonts w:ascii="AAA GoldenLotus" w:hAnsi="AAA GoldenLotus" w:hint="cs"/>
          <w:sz w:val="27"/>
          <w:rtl/>
        </w:rPr>
        <w:t>ٍ</w:t>
      </w:r>
      <w:r w:rsidRPr="00282AC9">
        <w:rPr>
          <w:rFonts w:ascii="AAA GoldenLotus" w:hAnsi="AAA GoldenLotus"/>
          <w:sz w:val="27"/>
          <w:rtl/>
        </w:rPr>
        <w:t xml:space="preserve"> أيضاً؛ لأن الفرد من الأو</w:t>
      </w:r>
      <w:r w:rsidR="00FB422D" w:rsidRPr="00282AC9">
        <w:rPr>
          <w:rFonts w:ascii="AAA GoldenLotus" w:hAnsi="AAA GoldenLotus" w:hint="cs"/>
          <w:sz w:val="27"/>
          <w:rtl/>
        </w:rPr>
        <w:t>ّ</w:t>
      </w:r>
      <w:r w:rsidRPr="00282AC9">
        <w:rPr>
          <w:rFonts w:ascii="AAA GoldenLotus" w:hAnsi="AAA GoldenLotus"/>
          <w:sz w:val="27"/>
          <w:rtl/>
        </w:rPr>
        <w:t>لين يشاركه كل</w:t>
      </w:r>
      <w:r w:rsidR="00FB422D" w:rsidRPr="00282AC9">
        <w:rPr>
          <w:rFonts w:ascii="AAA GoldenLotus" w:hAnsi="AAA GoldenLotus" w:hint="cs"/>
          <w:sz w:val="27"/>
          <w:rtl/>
        </w:rPr>
        <w:t>ٌّ من</w:t>
      </w:r>
      <w:r w:rsidRPr="00282AC9">
        <w:rPr>
          <w:rFonts w:ascii="AAA GoldenLotus" w:hAnsi="AAA GoldenLotus"/>
          <w:sz w:val="27"/>
          <w:rtl/>
        </w:rPr>
        <w:t xml:space="preserve"> الآخرين، وكل</w:t>
      </w:r>
      <w:r w:rsidR="00FB422D" w:rsidRPr="00282AC9">
        <w:rPr>
          <w:rFonts w:ascii="AAA GoldenLotus" w:hAnsi="AAA GoldenLotus" w:hint="cs"/>
          <w:sz w:val="27"/>
          <w:rtl/>
        </w:rPr>
        <w:t>ٌّ</w:t>
      </w:r>
      <w:r w:rsidRPr="00282AC9">
        <w:rPr>
          <w:rFonts w:ascii="AAA GoldenLotus" w:hAnsi="AAA GoldenLotus"/>
          <w:sz w:val="27"/>
          <w:rtl/>
        </w:rPr>
        <w:t xml:space="preserve"> من الأو</w:t>
      </w:r>
      <w:r w:rsidR="00FB422D" w:rsidRPr="00282AC9">
        <w:rPr>
          <w:rFonts w:ascii="AAA GoldenLotus" w:hAnsi="AAA GoldenLotus" w:hint="cs"/>
          <w:sz w:val="27"/>
          <w:rtl/>
        </w:rPr>
        <w:t>ّ</w:t>
      </w:r>
      <w:r w:rsidRPr="00282AC9">
        <w:rPr>
          <w:rFonts w:ascii="AAA GoldenLotus" w:hAnsi="AAA GoldenLotus"/>
          <w:sz w:val="27"/>
          <w:rtl/>
        </w:rPr>
        <w:t>لين يشاركهم في ذلك، فيشترك الكل</w:t>
      </w:r>
      <w:r w:rsidR="00FB422D"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53"/>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FB422D" w:rsidP="00046546">
      <w:pPr>
        <w:rPr>
          <w:rFonts w:ascii="AAA GoldenLotus" w:hAnsi="AAA GoldenLotus"/>
          <w:sz w:val="27"/>
          <w:rtl/>
        </w:rPr>
      </w:pPr>
      <w:r w:rsidRPr="00282AC9">
        <w:rPr>
          <w:rFonts w:ascii="AAA GoldenLotus" w:hAnsi="AAA GoldenLotus" w:hint="cs"/>
          <w:sz w:val="27"/>
          <w:rtl/>
        </w:rPr>
        <w:t>2</w:t>
      </w:r>
      <w:r w:rsidR="00E355F2" w:rsidRPr="00282AC9">
        <w:rPr>
          <w:rFonts w:ascii="AAA GoldenLotus" w:hAnsi="AAA GoldenLotus" w:hint="cs"/>
          <w:sz w:val="27"/>
          <w:rtl/>
        </w:rPr>
        <w:t>ـ النبوي</w:t>
      </w:r>
      <w:r w:rsidRPr="00282AC9">
        <w:rPr>
          <w:rFonts w:ascii="AAA GoldenLotus" w:hAnsi="AAA GoldenLotus" w:hint="cs"/>
          <w:sz w:val="27"/>
          <w:rtl/>
        </w:rPr>
        <w:t>ّ</w:t>
      </w:r>
      <w:r w:rsidR="00E355F2" w:rsidRPr="00282AC9">
        <w:rPr>
          <w:rFonts w:ascii="AAA GoldenLotus" w:hAnsi="AAA GoldenLotus"/>
          <w:sz w:val="27"/>
          <w:rtl/>
        </w:rPr>
        <w:t xml:space="preserve"> </w:t>
      </w:r>
      <w:r w:rsidR="00E355F2" w:rsidRPr="00282AC9">
        <w:rPr>
          <w:rFonts w:ascii="AAA GoldenLotus" w:hAnsi="AAA GoldenLotus" w:hint="cs"/>
          <w:sz w:val="27"/>
          <w:rtl/>
        </w:rPr>
        <w:t>المشهور</w:t>
      </w:r>
      <w:r w:rsidRPr="00282AC9">
        <w:rPr>
          <w:rFonts w:ascii="AAA GoldenLotus" w:hAnsi="AAA GoldenLotus" w:hint="cs"/>
          <w:sz w:val="27"/>
          <w:rtl/>
        </w:rPr>
        <w:t>،</w:t>
      </w:r>
      <w:r w:rsidR="00E355F2" w:rsidRPr="00282AC9">
        <w:rPr>
          <w:rFonts w:ascii="AAA GoldenLotus" w:hAnsi="AAA GoldenLotus"/>
          <w:sz w:val="27"/>
          <w:rtl/>
        </w:rPr>
        <w:t xml:space="preserve"> </w:t>
      </w:r>
      <w:r w:rsidR="00E355F2" w:rsidRPr="00282AC9">
        <w:rPr>
          <w:rFonts w:ascii="AAA GoldenLotus" w:hAnsi="AAA GoldenLotus" w:hint="cs"/>
          <w:sz w:val="27"/>
          <w:rtl/>
        </w:rPr>
        <w:t>قال</w:t>
      </w:r>
      <w:r w:rsidR="00E355F2" w:rsidRPr="00282AC9">
        <w:rPr>
          <w:rFonts w:ascii="AAA GoldenLotus" w:hAnsi="AAA GoldenLotus"/>
          <w:sz w:val="27"/>
          <w:rtl/>
        </w:rPr>
        <w:t xml:space="preserve"> </w:t>
      </w:r>
      <w:r w:rsidR="009A2A04" w:rsidRPr="00282AC9">
        <w:rPr>
          <w:rFonts w:ascii="AAA GoldenLotus" w:hAnsi="AAA GoldenLotus" w:cs="Mosawi" w:hint="cs"/>
          <w:sz w:val="22"/>
          <w:szCs w:val="22"/>
          <w:rtl/>
        </w:rPr>
        <w:t>|</w:t>
      </w:r>
      <w:r w:rsidR="00E355F2" w:rsidRPr="00282AC9">
        <w:rPr>
          <w:rFonts w:ascii="AAA GoldenLotus" w:hAnsi="AAA GoldenLotus"/>
          <w:sz w:val="27"/>
          <w:rtl/>
        </w:rPr>
        <w:t xml:space="preserve">: </w:t>
      </w:r>
      <w:r w:rsidR="00F408CE" w:rsidRPr="00282AC9">
        <w:rPr>
          <w:rFonts w:hint="eastAsia"/>
          <w:sz w:val="24"/>
          <w:szCs w:val="24"/>
          <w:rtl/>
        </w:rPr>
        <w:t>«</w:t>
      </w:r>
      <w:r w:rsidR="00E355F2" w:rsidRPr="00282AC9">
        <w:rPr>
          <w:rFonts w:ascii="AAA GoldenLotus" w:hAnsi="AAA GoldenLotus" w:hint="cs"/>
          <w:sz w:val="27"/>
          <w:rtl/>
        </w:rPr>
        <w:t>حكمي</w:t>
      </w:r>
      <w:r w:rsidR="00E355F2" w:rsidRPr="00282AC9">
        <w:rPr>
          <w:rFonts w:ascii="AAA GoldenLotus" w:hAnsi="AAA GoldenLotus"/>
          <w:sz w:val="27"/>
          <w:rtl/>
        </w:rPr>
        <w:t xml:space="preserve"> </w:t>
      </w:r>
      <w:r w:rsidR="00E355F2" w:rsidRPr="00282AC9">
        <w:rPr>
          <w:rFonts w:ascii="AAA GoldenLotus" w:hAnsi="AAA GoldenLotus" w:hint="cs"/>
          <w:sz w:val="27"/>
          <w:rtl/>
        </w:rPr>
        <w:t>على</w:t>
      </w:r>
      <w:r w:rsidR="00E355F2" w:rsidRPr="00282AC9">
        <w:rPr>
          <w:rFonts w:ascii="AAA GoldenLotus" w:hAnsi="AAA GoldenLotus"/>
          <w:sz w:val="27"/>
          <w:rtl/>
        </w:rPr>
        <w:t xml:space="preserve"> </w:t>
      </w:r>
      <w:r w:rsidR="00E355F2" w:rsidRPr="00282AC9">
        <w:rPr>
          <w:rFonts w:ascii="AAA GoldenLotus" w:hAnsi="AAA GoldenLotus" w:hint="cs"/>
          <w:sz w:val="27"/>
          <w:rtl/>
        </w:rPr>
        <w:t>الواحد</w:t>
      </w:r>
      <w:r w:rsidR="00E355F2" w:rsidRPr="00282AC9">
        <w:rPr>
          <w:rFonts w:ascii="AAA GoldenLotus" w:hAnsi="AAA GoldenLotus"/>
          <w:sz w:val="27"/>
          <w:rtl/>
        </w:rPr>
        <w:t xml:space="preserve"> </w:t>
      </w:r>
      <w:r w:rsidR="00E355F2" w:rsidRPr="00282AC9">
        <w:rPr>
          <w:rFonts w:ascii="AAA GoldenLotus" w:hAnsi="AAA GoldenLotus" w:hint="cs"/>
          <w:sz w:val="27"/>
          <w:rtl/>
        </w:rPr>
        <w:t>حكمي</w:t>
      </w:r>
      <w:r w:rsidR="00E355F2" w:rsidRPr="00282AC9">
        <w:rPr>
          <w:rFonts w:ascii="AAA GoldenLotus" w:hAnsi="AAA GoldenLotus"/>
          <w:sz w:val="27"/>
          <w:rtl/>
        </w:rPr>
        <w:t xml:space="preserve"> </w:t>
      </w:r>
      <w:r w:rsidR="00E355F2" w:rsidRPr="00282AC9">
        <w:rPr>
          <w:rFonts w:ascii="AAA GoldenLotus" w:hAnsi="AAA GoldenLotus" w:hint="cs"/>
          <w:sz w:val="27"/>
          <w:rtl/>
        </w:rPr>
        <w:t>على</w:t>
      </w:r>
      <w:r w:rsidR="00E355F2" w:rsidRPr="00282AC9">
        <w:rPr>
          <w:rFonts w:ascii="AAA GoldenLotus" w:hAnsi="AAA GoldenLotus"/>
          <w:sz w:val="27"/>
          <w:rtl/>
        </w:rPr>
        <w:t xml:space="preserve"> </w:t>
      </w:r>
      <w:r w:rsidR="00E355F2" w:rsidRPr="00282AC9">
        <w:rPr>
          <w:rFonts w:ascii="AAA GoldenLotus" w:hAnsi="AAA GoldenLotus" w:hint="cs"/>
          <w:sz w:val="27"/>
          <w:rtl/>
        </w:rPr>
        <w:t>الجماعة</w:t>
      </w:r>
      <w:r w:rsidR="00F408CE" w:rsidRPr="00282AC9">
        <w:rPr>
          <w:rFonts w:hint="eastAsia"/>
          <w:sz w:val="24"/>
          <w:szCs w:val="24"/>
          <w:rtl/>
        </w:rPr>
        <w:t>»</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54"/>
      </w:r>
      <w:r w:rsidR="00E355F2" w:rsidRPr="00282AC9">
        <w:rPr>
          <w:rFonts w:ascii="AAA GoldenLotus" w:hAnsi="AAA GoldenLotus"/>
          <w:sz w:val="27"/>
          <w:vertAlign w:val="superscript"/>
          <w:rtl/>
        </w:rPr>
        <w:t>)</w:t>
      </w:r>
      <w:r w:rsidR="00E355F2" w:rsidRPr="00282AC9">
        <w:rPr>
          <w:rFonts w:ascii="AAA GoldenLotus" w:hAnsi="AAA GoldenLotus" w:hint="cs"/>
          <w:sz w:val="27"/>
          <w:rtl/>
        </w:rPr>
        <w:t>.</w:t>
      </w:r>
    </w:p>
    <w:p w:rsidR="00E355F2" w:rsidRPr="00282AC9" w:rsidRDefault="00E355F2" w:rsidP="00046546">
      <w:pPr>
        <w:rPr>
          <w:rFonts w:ascii="AAA GoldenLotus" w:hAnsi="AAA GoldenLotus"/>
          <w:sz w:val="27"/>
          <w:rtl/>
        </w:rPr>
      </w:pPr>
      <w:r w:rsidRPr="00282AC9">
        <w:rPr>
          <w:rFonts w:ascii="AAA GoldenLotus" w:hAnsi="AAA GoldenLotus" w:hint="cs"/>
          <w:sz w:val="27"/>
          <w:rtl/>
        </w:rPr>
        <w:t>فإنّ</w:t>
      </w:r>
      <w:r w:rsidRPr="00282AC9">
        <w:rPr>
          <w:rFonts w:ascii="AAA GoldenLotus" w:hAnsi="AAA GoldenLotus"/>
          <w:sz w:val="27"/>
          <w:rtl/>
        </w:rPr>
        <w:t xml:space="preserve"> </w:t>
      </w:r>
      <w:r w:rsidRPr="00282AC9">
        <w:rPr>
          <w:rFonts w:ascii="AAA GoldenLotus" w:hAnsi="AAA GoldenLotus" w:hint="cs"/>
          <w:sz w:val="27"/>
          <w:rtl/>
        </w:rPr>
        <w:t>ظاهر</w:t>
      </w:r>
      <w:r w:rsidRPr="00282AC9">
        <w:rPr>
          <w:rFonts w:ascii="AAA GoldenLotus" w:hAnsi="AAA GoldenLotus"/>
          <w:sz w:val="27"/>
          <w:rtl/>
        </w:rPr>
        <w:t xml:space="preserve"> </w:t>
      </w:r>
      <w:r w:rsidRPr="00282AC9">
        <w:rPr>
          <w:rFonts w:ascii="AAA GoldenLotus" w:hAnsi="AAA GoldenLotus" w:hint="cs"/>
          <w:sz w:val="27"/>
          <w:rtl/>
        </w:rPr>
        <w:t>هذه</w:t>
      </w:r>
      <w:r w:rsidRPr="00282AC9">
        <w:rPr>
          <w:rFonts w:ascii="AAA GoldenLotus" w:hAnsi="AAA GoldenLotus"/>
          <w:sz w:val="27"/>
          <w:rtl/>
        </w:rPr>
        <w:t xml:space="preserve"> </w:t>
      </w:r>
      <w:r w:rsidRPr="00282AC9">
        <w:rPr>
          <w:rFonts w:ascii="AAA GoldenLotus" w:hAnsi="AAA GoldenLotus" w:hint="cs"/>
          <w:sz w:val="27"/>
          <w:rtl/>
        </w:rPr>
        <w:t>الجملة</w:t>
      </w:r>
      <w:r w:rsidRPr="00282AC9">
        <w:rPr>
          <w:rFonts w:ascii="AAA GoldenLotus" w:hAnsi="AAA GoldenLotus"/>
          <w:sz w:val="27"/>
          <w:rtl/>
        </w:rPr>
        <w:t xml:space="preserve"> </w:t>
      </w:r>
      <w:r w:rsidRPr="00282AC9">
        <w:rPr>
          <w:rFonts w:ascii="AAA GoldenLotus" w:hAnsi="AAA GoldenLotus" w:hint="cs"/>
          <w:sz w:val="27"/>
          <w:rtl/>
        </w:rPr>
        <w:t>أنّ</w:t>
      </w:r>
      <w:r w:rsidRPr="00282AC9">
        <w:rPr>
          <w:rFonts w:ascii="AAA GoldenLotus" w:hAnsi="AAA GoldenLotus"/>
          <w:sz w:val="27"/>
          <w:rtl/>
        </w:rPr>
        <w:t xml:space="preserve"> </w:t>
      </w:r>
      <w:r w:rsidRPr="00282AC9">
        <w:rPr>
          <w:rFonts w:ascii="AAA GoldenLotus" w:hAnsi="AAA GoldenLotus" w:hint="cs"/>
          <w:sz w:val="27"/>
          <w:rtl/>
        </w:rPr>
        <w:t>حكمي</w:t>
      </w:r>
      <w:r w:rsidR="0042708F"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الذي</w:t>
      </w:r>
      <w:r w:rsidRPr="00282AC9">
        <w:rPr>
          <w:rFonts w:ascii="AAA GoldenLotus" w:hAnsi="AAA GoldenLotus"/>
          <w:sz w:val="27"/>
          <w:rtl/>
        </w:rPr>
        <w:t xml:space="preserve"> </w:t>
      </w:r>
      <w:r w:rsidRPr="00282AC9">
        <w:rPr>
          <w:rFonts w:ascii="AAA GoldenLotus" w:hAnsi="AAA GoldenLotus" w:hint="cs"/>
          <w:sz w:val="27"/>
          <w:rtl/>
        </w:rPr>
        <w:t>هو</w:t>
      </w:r>
      <w:r w:rsidRPr="00282AC9">
        <w:rPr>
          <w:rFonts w:ascii="AAA GoldenLotus" w:hAnsi="AAA GoldenLotus"/>
          <w:sz w:val="27"/>
          <w:rtl/>
        </w:rPr>
        <w:t xml:space="preserve"> </w:t>
      </w:r>
      <w:r w:rsidRPr="00282AC9">
        <w:rPr>
          <w:rFonts w:ascii="AAA GoldenLotus" w:hAnsi="AAA GoldenLotus" w:hint="cs"/>
          <w:sz w:val="27"/>
          <w:rtl/>
        </w:rPr>
        <w:t>حكم</w:t>
      </w:r>
      <w:r w:rsidRPr="00282AC9">
        <w:rPr>
          <w:rFonts w:ascii="AAA GoldenLotus" w:hAnsi="AAA GoldenLotus"/>
          <w:sz w:val="27"/>
          <w:rtl/>
        </w:rPr>
        <w:t xml:space="preserve"> </w:t>
      </w:r>
      <w:r w:rsidRPr="00282AC9">
        <w:rPr>
          <w:rFonts w:ascii="AAA GoldenLotus" w:hAnsi="AAA GoldenLotus" w:hint="cs"/>
          <w:sz w:val="27"/>
          <w:rtl/>
        </w:rPr>
        <w:t>الله</w:t>
      </w:r>
      <w:r w:rsidR="0042708F"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على</w:t>
      </w:r>
      <w:r w:rsidRPr="00282AC9">
        <w:rPr>
          <w:rFonts w:ascii="AAA GoldenLotus" w:hAnsi="AAA GoldenLotus"/>
          <w:sz w:val="27"/>
          <w:rtl/>
        </w:rPr>
        <w:t xml:space="preserve"> </w:t>
      </w:r>
      <w:r w:rsidRPr="00282AC9">
        <w:rPr>
          <w:rFonts w:ascii="AAA GoldenLotus" w:hAnsi="AAA GoldenLotus" w:hint="cs"/>
          <w:sz w:val="27"/>
          <w:rtl/>
        </w:rPr>
        <w:t>أحدكم</w:t>
      </w:r>
      <w:r w:rsidRPr="00282AC9">
        <w:rPr>
          <w:rFonts w:ascii="AAA GoldenLotus" w:hAnsi="AAA GoldenLotus"/>
          <w:sz w:val="27"/>
          <w:rtl/>
        </w:rPr>
        <w:t xml:space="preserve"> </w:t>
      </w:r>
      <w:r w:rsidRPr="00282AC9">
        <w:rPr>
          <w:rFonts w:ascii="AAA GoldenLotus" w:hAnsi="AAA GoldenLotus" w:hint="cs"/>
          <w:sz w:val="27"/>
          <w:rtl/>
        </w:rPr>
        <w:t>حكمي</w:t>
      </w:r>
      <w:r w:rsidRPr="00282AC9">
        <w:rPr>
          <w:rFonts w:ascii="AAA GoldenLotus" w:hAnsi="AAA GoldenLotus"/>
          <w:sz w:val="27"/>
          <w:rtl/>
        </w:rPr>
        <w:t xml:space="preserve"> </w:t>
      </w:r>
      <w:r w:rsidRPr="00282AC9">
        <w:rPr>
          <w:rFonts w:ascii="AAA GoldenLotus" w:hAnsi="AAA GoldenLotus" w:hint="cs"/>
          <w:sz w:val="27"/>
          <w:rtl/>
        </w:rPr>
        <w:t>على</w:t>
      </w:r>
      <w:r w:rsidRPr="00282AC9">
        <w:rPr>
          <w:rFonts w:ascii="AAA GoldenLotus" w:hAnsi="AAA GoldenLotus"/>
          <w:sz w:val="27"/>
          <w:rtl/>
        </w:rPr>
        <w:t xml:space="preserve"> </w:t>
      </w:r>
      <w:r w:rsidRPr="00282AC9">
        <w:rPr>
          <w:rFonts w:ascii="AAA GoldenLotus" w:hAnsi="AAA GoldenLotus" w:hint="cs"/>
          <w:sz w:val="27"/>
          <w:rtl/>
        </w:rPr>
        <w:t>الجميع</w:t>
      </w:r>
      <w:r w:rsidR="0042708F" w:rsidRPr="00282AC9">
        <w:rPr>
          <w:rFonts w:ascii="AAA GoldenLotus" w:hAnsi="AAA GoldenLotus" w:hint="cs"/>
          <w:sz w:val="27"/>
          <w:rtl/>
        </w:rPr>
        <w:t>،</w:t>
      </w:r>
      <w:r w:rsidRPr="00282AC9">
        <w:rPr>
          <w:rFonts w:ascii="AAA GoldenLotus" w:hAnsi="AAA GoldenLotus" w:hint="cs"/>
          <w:sz w:val="27"/>
          <w:rtl/>
        </w:rPr>
        <w:t xml:space="preserve"> نساءً ورجالاً،</w:t>
      </w:r>
      <w:r w:rsidRPr="00282AC9">
        <w:rPr>
          <w:rFonts w:ascii="AAA GoldenLotus" w:hAnsi="AAA GoldenLotus"/>
          <w:sz w:val="27"/>
          <w:rtl/>
        </w:rPr>
        <w:t xml:space="preserve"> </w:t>
      </w:r>
      <w:r w:rsidR="0042708F" w:rsidRPr="00282AC9">
        <w:rPr>
          <w:rFonts w:ascii="AAA GoldenLotus" w:hAnsi="AAA GoldenLotus" w:hint="cs"/>
          <w:sz w:val="27"/>
          <w:rtl/>
        </w:rPr>
        <w:t>أي إنني لا</w:t>
      </w:r>
      <w:r w:rsidRPr="00282AC9">
        <w:rPr>
          <w:rFonts w:ascii="AAA GoldenLotus" w:hAnsi="AAA GoldenLotus"/>
          <w:sz w:val="27"/>
          <w:rtl/>
        </w:rPr>
        <w:t xml:space="preserve"> </w:t>
      </w:r>
      <w:r w:rsidRPr="00282AC9">
        <w:rPr>
          <w:rFonts w:ascii="AAA GoldenLotus" w:hAnsi="AAA GoldenLotus" w:hint="cs"/>
          <w:sz w:val="27"/>
          <w:rtl/>
        </w:rPr>
        <w:t>أخصّ</w:t>
      </w:r>
      <w:r w:rsidRPr="00282AC9">
        <w:rPr>
          <w:rFonts w:ascii="AAA GoldenLotus" w:hAnsi="AAA GoldenLotus"/>
          <w:sz w:val="27"/>
          <w:rtl/>
        </w:rPr>
        <w:t xml:space="preserve"> </w:t>
      </w:r>
      <w:r w:rsidRPr="00282AC9">
        <w:rPr>
          <w:rFonts w:ascii="AAA GoldenLotus" w:hAnsi="AAA GoldenLotus" w:hint="cs"/>
          <w:sz w:val="27"/>
          <w:rtl/>
        </w:rPr>
        <w:t>أحداً</w:t>
      </w:r>
      <w:r w:rsidRPr="00282AC9">
        <w:rPr>
          <w:rFonts w:ascii="AAA GoldenLotus" w:hAnsi="AAA GoldenLotus"/>
          <w:sz w:val="27"/>
          <w:rtl/>
        </w:rPr>
        <w:t xml:space="preserve"> </w:t>
      </w:r>
      <w:r w:rsidRPr="00282AC9">
        <w:rPr>
          <w:rFonts w:ascii="AAA GoldenLotus" w:hAnsi="AAA GoldenLotus" w:hint="cs"/>
          <w:sz w:val="27"/>
          <w:rtl/>
        </w:rPr>
        <w:t>بالحكم،</w:t>
      </w:r>
      <w:r w:rsidRPr="00282AC9">
        <w:rPr>
          <w:rFonts w:ascii="AAA GoldenLotus" w:hAnsi="AAA GoldenLotus"/>
          <w:sz w:val="27"/>
          <w:rtl/>
        </w:rPr>
        <w:t xml:space="preserve"> </w:t>
      </w:r>
      <w:r w:rsidRPr="00282AC9">
        <w:rPr>
          <w:rFonts w:ascii="AAA GoldenLotus" w:hAnsi="AAA GoldenLotus" w:hint="cs"/>
          <w:sz w:val="27"/>
          <w:rtl/>
        </w:rPr>
        <w:t>بل</w:t>
      </w:r>
      <w:r w:rsidRPr="00282AC9">
        <w:rPr>
          <w:rFonts w:ascii="AAA GoldenLotus" w:hAnsi="AAA GoldenLotus"/>
          <w:sz w:val="27"/>
          <w:rtl/>
        </w:rPr>
        <w:t xml:space="preserve"> </w:t>
      </w:r>
      <w:r w:rsidRPr="00282AC9">
        <w:rPr>
          <w:rFonts w:ascii="AAA GoldenLotus" w:hAnsi="AAA GoldenLotus" w:hint="cs"/>
          <w:sz w:val="27"/>
          <w:rtl/>
        </w:rPr>
        <w:t>كلّ</w:t>
      </w:r>
      <w:r w:rsidR="0042708F" w:rsidRPr="00282AC9">
        <w:rPr>
          <w:rFonts w:ascii="AAA GoldenLotus" w:hAnsi="AAA GoldenLotus" w:hint="cs"/>
          <w:sz w:val="27"/>
          <w:rtl/>
        </w:rPr>
        <w:t>ُ</w:t>
      </w:r>
      <w:r w:rsidRPr="00282AC9">
        <w:rPr>
          <w:rFonts w:ascii="AAA GoldenLotus" w:hAnsi="AAA GoldenLotus" w:hint="cs"/>
          <w:sz w:val="27"/>
          <w:rtl/>
        </w:rPr>
        <w:t>كم</w:t>
      </w:r>
      <w:r w:rsidR="0042708F" w:rsidRPr="00282AC9">
        <w:rPr>
          <w:rFonts w:ascii="AAA GoldenLotus" w:hAnsi="AAA GoldenLotus" w:hint="cs"/>
          <w:sz w:val="27"/>
          <w:rtl/>
        </w:rPr>
        <w:t>،</w:t>
      </w:r>
      <w:r w:rsidRPr="00282AC9">
        <w:rPr>
          <w:rFonts w:ascii="AAA GoldenLotus" w:hAnsi="AAA GoldenLotus" w:hint="cs"/>
          <w:sz w:val="27"/>
          <w:rtl/>
        </w:rPr>
        <w:t xml:space="preserve"> أيها الرجال والنساء</w:t>
      </w:r>
      <w:r w:rsidR="0042708F"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حكمي</w:t>
      </w:r>
      <w:r w:rsidRPr="00282AC9">
        <w:rPr>
          <w:rFonts w:ascii="AAA GoldenLotus" w:hAnsi="AAA GoldenLotus"/>
          <w:sz w:val="27"/>
          <w:rtl/>
        </w:rPr>
        <w:t xml:space="preserve"> </w:t>
      </w:r>
      <w:r w:rsidRPr="00282AC9">
        <w:rPr>
          <w:rFonts w:ascii="AAA GoldenLotus" w:hAnsi="AAA GoldenLotus" w:hint="cs"/>
          <w:sz w:val="27"/>
          <w:rtl/>
        </w:rPr>
        <w:t>سواء</w:t>
      </w:r>
      <w:r w:rsidR="0042708F" w:rsidRPr="00282AC9">
        <w:rPr>
          <w:rFonts w:ascii="AAA GoldenLotus" w:hAnsi="AAA GoldenLotus" w:hint="cs"/>
          <w:sz w:val="27"/>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hint="cs"/>
          <w:sz w:val="27"/>
          <w:rtl/>
        </w:rPr>
        <w:t>هذا</w:t>
      </w:r>
      <w:r w:rsidRPr="00282AC9">
        <w:rPr>
          <w:rFonts w:ascii="AAA GoldenLotus" w:hAnsi="AAA GoldenLotus"/>
          <w:sz w:val="27"/>
          <w:rtl/>
        </w:rPr>
        <w:t xml:space="preserve"> </w:t>
      </w:r>
      <w:r w:rsidRPr="00282AC9">
        <w:rPr>
          <w:rFonts w:ascii="AAA GoldenLotus" w:hAnsi="AAA GoldenLotus" w:hint="cs"/>
          <w:sz w:val="27"/>
          <w:rtl/>
        </w:rPr>
        <w:t>هو</w:t>
      </w:r>
      <w:r w:rsidRPr="00282AC9">
        <w:rPr>
          <w:rFonts w:ascii="AAA GoldenLotus" w:hAnsi="AAA GoldenLotus"/>
          <w:sz w:val="27"/>
          <w:rtl/>
        </w:rPr>
        <w:t xml:space="preserve"> </w:t>
      </w:r>
      <w:r w:rsidRPr="00282AC9">
        <w:rPr>
          <w:rFonts w:ascii="AAA GoldenLotus" w:hAnsi="AAA GoldenLotus" w:hint="cs"/>
          <w:sz w:val="27"/>
          <w:rtl/>
        </w:rPr>
        <w:t>المتفاهم</w:t>
      </w:r>
      <w:r w:rsidRPr="00282AC9">
        <w:rPr>
          <w:rFonts w:ascii="AAA GoldenLotus" w:hAnsi="AAA GoldenLotus"/>
          <w:sz w:val="27"/>
          <w:rtl/>
        </w:rPr>
        <w:t xml:space="preserve"> </w:t>
      </w:r>
      <w:r w:rsidRPr="00282AC9">
        <w:rPr>
          <w:rFonts w:ascii="AAA GoldenLotus" w:hAnsi="AAA GoldenLotus" w:hint="cs"/>
          <w:sz w:val="27"/>
          <w:rtl/>
        </w:rPr>
        <w:t>الع</w:t>
      </w:r>
      <w:r w:rsidR="0042708F" w:rsidRPr="00282AC9">
        <w:rPr>
          <w:rFonts w:ascii="AAA GoldenLotus" w:hAnsi="AAA GoldenLotus" w:hint="cs"/>
          <w:sz w:val="27"/>
          <w:rtl/>
        </w:rPr>
        <w:t>ُ</w:t>
      </w:r>
      <w:r w:rsidRPr="00282AC9">
        <w:rPr>
          <w:rFonts w:ascii="AAA GoldenLotus" w:hAnsi="AAA GoldenLotus" w:hint="cs"/>
          <w:sz w:val="27"/>
          <w:rtl/>
        </w:rPr>
        <w:t>ر</w:t>
      </w:r>
      <w:r w:rsidR="0042708F" w:rsidRPr="00282AC9">
        <w:rPr>
          <w:rFonts w:ascii="AAA GoldenLotus" w:hAnsi="AAA GoldenLotus" w:hint="cs"/>
          <w:sz w:val="27"/>
          <w:rtl/>
        </w:rPr>
        <w:t>ْ</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والظاهر</w:t>
      </w:r>
      <w:r w:rsidRPr="00282AC9">
        <w:rPr>
          <w:rFonts w:ascii="AAA GoldenLotus" w:hAnsi="AAA GoldenLotus"/>
          <w:sz w:val="27"/>
          <w:rtl/>
        </w:rPr>
        <w:t xml:space="preserve"> </w:t>
      </w:r>
      <w:r w:rsidRPr="00282AC9">
        <w:rPr>
          <w:rFonts w:ascii="AAA GoldenLotus" w:hAnsi="AAA GoldenLotus" w:hint="cs"/>
          <w:sz w:val="27"/>
          <w:rtl/>
        </w:rPr>
        <w:t>من</w:t>
      </w:r>
      <w:r w:rsidRPr="00282AC9">
        <w:rPr>
          <w:rFonts w:ascii="AAA GoldenLotus" w:hAnsi="AAA GoldenLotus"/>
          <w:sz w:val="27"/>
          <w:rtl/>
        </w:rPr>
        <w:t xml:space="preserve"> </w:t>
      </w:r>
      <w:r w:rsidRPr="00282AC9">
        <w:rPr>
          <w:rFonts w:ascii="AAA GoldenLotus" w:hAnsi="AAA GoldenLotus" w:hint="cs"/>
          <w:sz w:val="27"/>
          <w:rtl/>
        </w:rPr>
        <w:t>هذا</w:t>
      </w:r>
      <w:r w:rsidRPr="00282AC9">
        <w:rPr>
          <w:rFonts w:ascii="AAA GoldenLotus" w:hAnsi="AAA GoldenLotus"/>
          <w:sz w:val="27"/>
          <w:rtl/>
        </w:rPr>
        <w:t xml:space="preserve"> </w:t>
      </w:r>
      <w:r w:rsidRPr="00282AC9">
        <w:rPr>
          <w:rFonts w:ascii="AAA GoldenLotus" w:hAnsi="AAA GoldenLotus" w:hint="cs"/>
          <w:sz w:val="27"/>
          <w:rtl/>
        </w:rPr>
        <w:t>الحديث</w:t>
      </w:r>
      <w:r w:rsidRPr="00282AC9">
        <w:rPr>
          <w:rFonts w:ascii="AAA GoldenLotus" w:hAnsi="AAA GoldenLotus"/>
          <w:sz w:val="27"/>
          <w:rtl/>
        </w:rPr>
        <w:t xml:space="preserve"> </w:t>
      </w:r>
      <w:r w:rsidRPr="00282AC9">
        <w:rPr>
          <w:rFonts w:ascii="AAA GoldenLotus" w:hAnsi="AAA GoldenLotus" w:hint="cs"/>
          <w:sz w:val="27"/>
          <w:rtl/>
        </w:rPr>
        <w:t>الشريف</w:t>
      </w:r>
      <w:r w:rsidR="0042708F"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و</w:t>
      </w:r>
      <w:r w:rsidR="00674EF5" w:rsidRPr="00282AC9">
        <w:rPr>
          <w:rFonts w:ascii="AAA GoldenLotus" w:hAnsi="AAA GoldenLotus" w:hint="cs"/>
          <w:sz w:val="27"/>
          <w:rtl/>
        </w:rPr>
        <w:t>لا شَكَّ</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حجّية</w:t>
      </w:r>
      <w:r w:rsidRPr="00282AC9">
        <w:rPr>
          <w:rFonts w:ascii="AAA GoldenLotus" w:hAnsi="AAA GoldenLotus"/>
          <w:sz w:val="27"/>
          <w:rtl/>
        </w:rPr>
        <w:t xml:space="preserve"> </w:t>
      </w:r>
      <w:r w:rsidRPr="00282AC9">
        <w:rPr>
          <w:rFonts w:ascii="AAA GoldenLotus" w:hAnsi="AAA GoldenLotus" w:hint="cs"/>
          <w:sz w:val="27"/>
          <w:rtl/>
        </w:rPr>
        <w:t>ظواهر</w:t>
      </w:r>
      <w:r w:rsidRPr="00282AC9">
        <w:rPr>
          <w:rFonts w:ascii="AAA GoldenLotus" w:hAnsi="AAA GoldenLotus"/>
          <w:sz w:val="27"/>
          <w:rtl/>
        </w:rPr>
        <w:t xml:space="preserve"> </w:t>
      </w:r>
      <w:r w:rsidRPr="00282AC9">
        <w:rPr>
          <w:rFonts w:ascii="AAA GoldenLotus" w:hAnsi="AAA GoldenLotus" w:hint="cs"/>
          <w:sz w:val="27"/>
          <w:rtl/>
        </w:rPr>
        <w:t>الألفاظ</w:t>
      </w:r>
      <w:r w:rsidRPr="00282AC9">
        <w:rPr>
          <w:rFonts w:ascii="AAA GoldenLotus" w:hAnsi="AAA GoldenLotus"/>
          <w:sz w:val="27"/>
          <w:rtl/>
        </w:rPr>
        <w:t xml:space="preserve"> </w:t>
      </w:r>
      <w:r w:rsidRPr="00282AC9">
        <w:rPr>
          <w:rFonts w:ascii="AAA GoldenLotus" w:hAnsi="AAA GoldenLotus" w:hint="cs"/>
          <w:sz w:val="27"/>
          <w:rtl/>
        </w:rPr>
        <w:t>والج</w:t>
      </w:r>
      <w:r w:rsidR="0042708F" w:rsidRPr="00282AC9">
        <w:rPr>
          <w:rFonts w:ascii="AAA GoldenLotus" w:hAnsi="AAA GoldenLotus" w:hint="cs"/>
          <w:sz w:val="27"/>
          <w:rtl/>
        </w:rPr>
        <w:t>ُ</w:t>
      </w:r>
      <w:r w:rsidRPr="00282AC9">
        <w:rPr>
          <w:rFonts w:ascii="AAA GoldenLotus" w:hAnsi="AAA GoldenLotus" w:hint="cs"/>
          <w:sz w:val="27"/>
          <w:rtl/>
        </w:rPr>
        <w:t>م</w:t>
      </w:r>
      <w:r w:rsidR="0042708F" w:rsidRPr="00282AC9">
        <w:rPr>
          <w:rFonts w:ascii="AAA GoldenLotus" w:hAnsi="AAA GoldenLotus" w:hint="cs"/>
          <w:sz w:val="27"/>
          <w:rtl/>
        </w:rPr>
        <w:t>َ</w:t>
      </w:r>
      <w:r w:rsidRPr="00282AC9">
        <w:rPr>
          <w:rFonts w:ascii="AAA GoldenLotus" w:hAnsi="AAA GoldenLotus" w:hint="cs"/>
          <w:sz w:val="27"/>
          <w:rtl/>
        </w:rPr>
        <w:t>ل،</w:t>
      </w:r>
      <w:r w:rsidRPr="00282AC9">
        <w:rPr>
          <w:rFonts w:ascii="AAA GoldenLotus" w:hAnsi="AAA GoldenLotus"/>
          <w:sz w:val="27"/>
          <w:rtl/>
        </w:rPr>
        <w:t xml:space="preserve"> </w:t>
      </w:r>
      <w:r w:rsidRPr="00282AC9">
        <w:rPr>
          <w:rFonts w:ascii="AAA GoldenLotus" w:hAnsi="AAA GoldenLotus" w:hint="cs"/>
          <w:sz w:val="27"/>
          <w:rtl/>
        </w:rPr>
        <w:t>فيدلّ</w:t>
      </w:r>
      <w:r w:rsidRPr="00282AC9">
        <w:rPr>
          <w:rFonts w:ascii="AAA GoldenLotus" w:hAnsi="AAA GoldenLotus"/>
          <w:sz w:val="27"/>
          <w:rtl/>
        </w:rPr>
        <w:t xml:space="preserve"> </w:t>
      </w:r>
      <w:r w:rsidRPr="00282AC9">
        <w:rPr>
          <w:rFonts w:ascii="AAA GoldenLotus" w:hAnsi="AAA GoldenLotus" w:hint="cs"/>
          <w:sz w:val="27"/>
          <w:rtl/>
        </w:rPr>
        <w:t>هذا</w:t>
      </w:r>
      <w:r w:rsidRPr="00282AC9">
        <w:rPr>
          <w:rFonts w:ascii="AAA GoldenLotus" w:hAnsi="AAA GoldenLotus"/>
          <w:sz w:val="27"/>
          <w:rtl/>
        </w:rPr>
        <w:t xml:space="preserve"> </w:t>
      </w:r>
      <w:r w:rsidRPr="00282AC9">
        <w:rPr>
          <w:rFonts w:ascii="AAA GoldenLotus" w:hAnsi="AAA GoldenLotus" w:hint="cs"/>
          <w:sz w:val="27"/>
          <w:rtl/>
        </w:rPr>
        <w:t>الحديث</w:t>
      </w:r>
      <w:r w:rsidRPr="00282AC9">
        <w:rPr>
          <w:rFonts w:ascii="AAA GoldenLotus" w:hAnsi="AAA GoldenLotus"/>
          <w:sz w:val="27"/>
          <w:rtl/>
        </w:rPr>
        <w:t xml:space="preserve"> </w:t>
      </w:r>
      <w:r w:rsidRPr="00282AC9">
        <w:rPr>
          <w:rFonts w:ascii="AAA GoldenLotus" w:hAnsi="AAA GoldenLotus" w:hint="cs"/>
          <w:sz w:val="27"/>
          <w:rtl/>
        </w:rPr>
        <w:t>المبارك</w:t>
      </w:r>
      <w:r w:rsidRPr="00282AC9">
        <w:rPr>
          <w:rFonts w:ascii="AAA GoldenLotus" w:hAnsi="AAA GoldenLotus"/>
          <w:sz w:val="27"/>
          <w:rtl/>
        </w:rPr>
        <w:t xml:space="preserve"> </w:t>
      </w:r>
      <w:r w:rsidRPr="00282AC9">
        <w:rPr>
          <w:rFonts w:ascii="AAA GoldenLotus" w:hAnsi="AAA GoldenLotus" w:hint="cs"/>
          <w:sz w:val="27"/>
          <w:rtl/>
        </w:rPr>
        <w:t>على</w:t>
      </w:r>
      <w:r w:rsidRPr="00282AC9">
        <w:rPr>
          <w:rFonts w:ascii="AAA GoldenLotus" w:hAnsi="AAA GoldenLotus"/>
          <w:sz w:val="27"/>
          <w:rtl/>
        </w:rPr>
        <w:t xml:space="preserve"> </w:t>
      </w:r>
      <w:r w:rsidRPr="00282AC9">
        <w:rPr>
          <w:rFonts w:ascii="AAA GoldenLotus" w:hAnsi="AAA GoldenLotus" w:hint="cs"/>
          <w:sz w:val="27"/>
          <w:rtl/>
        </w:rPr>
        <w:t>المطلوب،</w:t>
      </w:r>
      <w:r w:rsidRPr="00282AC9">
        <w:rPr>
          <w:rFonts w:ascii="AAA GoldenLotus" w:hAnsi="AAA GoldenLotus"/>
          <w:sz w:val="27"/>
          <w:rtl/>
        </w:rPr>
        <w:t xml:space="preserve"> </w:t>
      </w:r>
      <w:r w:rsidRPr="00282AC9">
        <w:rPr>
          <w:rFonts w:ascii="AAA GoldenLotus" w:hAnsi="AAA GoldenLotus" w:hint="cs"/>
          <w:sz w:val="27"/>
          <w:rtl/>
        </w:rPr>
        <w:t>وهو</w:t>
      </w:r>
      <w:r w:rsidRPr="00282AC9">
        <w:rPr>
          <w:rFonts w:ascii="AAA GoldenLotus" w:hAnsi="AAA GoldenLotus"/>
          <w:sz w:val="27"/>
          <w:rtl/>
        </w:rPr>
        <w:t xml:space="preserve"> </w:t>
      </w:r>
      <w:r w:rsidRPr="00282AC9">
        <w:rPr>
          <w:rFonts w:ascii="AAA GoldenLotus" w:hAnsi="AAA GoldenLotus" w:hint="cs"/>
          <w:sz w:val="27"/>
          <w:rtl/>
        </w:rPr>
        <w:t>المطلوب</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55"/>
      </w:r>
      <w:r w:rsidRPr="00282AC9">
        <w:rPr>
          <w:rFonts w:ascii="AAA GoldenLotus" w:hAnsi="AAA GoldenLotus"/>
          <w:sz w:val="27"/>
          <w:vertAlign w:val="superscript"/>
          <w:rtl/>
        </w:rPr>
        <w:t>)</w:t>
      </w:r>
      <w:r w:rsidRPr="00282AC9">
        <w:rPr>
          <w:rFonts w:ascii="AAA GoldenLotus" w:hAnsi="AAA GoldenLotus"/>
          <w:sz w:val="27"/>
          <w:rtl/>
        </w:rPr>
        <w:t>.</w:t>
      </w:r>
    </w:p>
    <w:p w:rsidR="008573BF" w:rsidRPr="00282AC9" w:rsidRDefault="008573BF" w:rsidP="008573BF">
      <w:pPr>
        <w:spacing w:line="420" w:lineRule="exact"/>
        <w:rPr>
          <w:rtl/>
        </w:rPr>
      </w:pPr>
    </w:p>
    <w:p w:rsidR="00E355F2" w:rsidRPr="00282AC9" w:rsidRDefault="00E355F2" w:rsidP="002F5241">
      <w:pPr>
        <w:pStyle w:val="31"/>
        <w:rPr>
          <w:color w:val="auto"/>
          <w:rtl/>
        </w:rPr>
      </w:pPr>
      <w:r w:rsidRPr="00282AC9">
        <w:rPr>
          <w:rFonts w:hint="cs"/>
          <w:color w:val="auto"/>
          <w:rtl/>
        </w:rPr>
        <w:t xml:space="preserve">ج </w:t>
      </w:r>
      <w:r w:rsidRPr="00282AC9">
        <w:rPr>
          <w:color w:val="auto"/>
          <w:rtl/>
        </w:rPr>
        <w:t>ـ الأدلة اللفظي</w:t>
      </w:r>
      <w:r w:rsidR="0042708F" w:rsidRPr="00282AC9">
        <w:rPr>
          <w:rFonts w:hint="cs"/>
          <w:color w:val="auto"/>
          <w:rtl/>
        </w:rPr>
        <w:t>ّ</w:t>
      </w:r>
      <w:r w:rsidRPr="00282AC9">
        <w:rPr>
          <w:color w:val="auto"/>
          <w:rtl/>
        </w:rPr>
        <w:t xml:space="preserve">ة </w:t>
      </w:r>
      <w:r w:rsidR="002F5241" w:rsidRPr="00282AC9">
        <w:rPr>
          <w:rFonts w:hint="cs"/>
          <w:color w:val="auto"/>
          <w:rtl/>
        </w:rPr>
        <w:t xml:space="preserve">الصادرة في </w:t>
      </w:r>
      <w:r w:rsidRPr="00282AC9">
        <w:rPr>
          <w:color w:val="auto"/>
          <w:rtl/>
        </w:rPr>
        <w:t>موارد خاص</w:t>
      </w:r>
      <w:r w:rsidR="0042708F" w:rsidRPr="00282AC9">
        <w:rPr>
          <w:rFonts w:hint="cs"/>
          <w:color w:val="auto"/>
          <w:rtl/>
        </w:rPr>
        <w:t>ّ</w:t>
      </w:r>
      <w:r w:rsidRPr="00282AC9">
        <w:rPr>
          <w:color w:val="auto"/>
          <w:rtl/>
        </w:rPr>
        <w:t>ة</w:t>
      </w:r>
      <w:r w:rsidR="0042708F" w:rsidRPr="00282AC9">
        <w:rPr>
          <w:rFonts w:hint="cs"/>
          <w:color w:val="auto"/>
          <w:rtl/>
        </w:rPr>
        <w:t>،</w:t>
      </w:r>
      <w:r w:rsidRPr="00282AC9">
        <w:rPr>
          <w:color w:val="auto"/>
          <w:rtl/>
        </w:rPr>
        <w:t xml:space="preserve"> ودلالتها على الاشتراك</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 بح</w:t>
      </w:r>
      <w:r w:rsidR="0042708F" w:rsidRPr="00282AC9">
        <w:rPr>
          <w:rFonts w:ascii="AAA GoldenLotus" w:hAnsi="AAA GoldenLotus" w:hint="cs"/>
          <w:sz w:val="27"/>
          <w:rtl/>
        </w:rPr>
        <w:t>َ</w:t>
      </w:r>
      <w:r w:rsidRPr="00282AC9">
        <w:rPr>
          <w:rFonts w:ascii="AAA GoldenLotus" w:hAnsi="AAA GoldenLotus"/>
          <w:sz w:val="27"/>
          <w:rtl/>
        </w:rPr>
        <w:t>س</w:t>
      </w:r>
      <w:r w:rsidR="0042708F" w:rsidRPr="00282AC9">
        <w:rPr>
          <w:rFonts w:ascii="AAA GoldenLotus" w:hAnsi="AAA GoldenLotus" w:hint="cs"/>
          <w:sz w:val="27"/>
          <w:rtl/>
        </w:rPr>
        <w:t>َ</w:t>
      </w:r>
      <w:r w:rsidRPr="00282AC9">
        <w:rPr>
          <w:rFonts w:ascii="AAA GoldenLotus" w:hAnsi="AAA GoldenLotus"/>
          <w:sz w:val="27"/>
          <w:rtl/>
        </w:rPr>
        <w:t>ب المتفاهم الع</w:t>
      </w:r>
      <w:r w:rsidR="0042708F" w:rsidRPr="00282AC9">
        <w:rPr>
          <w:rFonts w:ascii="AAA GoldenLotus" w:hAnsi="AAA GoldenLotus" w:hint="cs"/>
          <w:sz w:val="27"/>
          <w:rtl/>
        </w:rPr>
        <w:t>ُ</w:t>
      </w:r>
      <w:r w:rsidRPr="00282AC9">
        <w:rPr>
          <w:rFonts w:ascii="AAA GoldenLotus" w:hAnsi="AAA GoldenLotus"/>
          <w:sz w:val="27"/>
          <w:rtl/>
        </w:rPr>
        <w:t>ر</w:t>
      </w:r>
      <w:r w:rsidR="0042708F" w:rsidRPr="00282AC9">
        <w:rPr>
          <w:rFonts w:ascii="AAA GoldenLotus" w:hAnsi="AAA GoldenLotus" w:hint="cs"/>
          <w:sz w:val="27"/>
          <w:rtl/>
        </w:rPr>
        <w:t>ْ</w:t>
      </w:r>
      <w:r w:rsidRPr="00282AC9">
        <w:rPr>
          <w:rFonts w:ascii="AAA GoldenLotus" w:hAnsi="AAA GoldenLotus"/>
          <w:sz w:val="27"/>
          <w:rtl/>
        </w:rPr>
        <w:t>في والظهور العقلائي المعتبر في باب دلالة الألفاظ إذا سأل سائل</w:t>
      </w:r>
      <w:r w:rsidR="0042708F" w:rsidRPr="00282AC9">
        <w:rPr>
          <w:rFonts w:ascii="AAA GoldenLotus" w:hAnsi="AAA GoldenLotus" w:hint="cs"/>
          <w:sz w:val="27"/>
          <w:rtl/>
        </w:rPr>
        <w:t>ٌ</w:t>
      </w:r>
      <w:r w:rsidRPr="00282AC9">
        <w:rPr>
          <w:rFonts w:ascii="AAA GoldenLotus" w:hAnsi="AAA GoldenLotus"/>
          <w:sz w:val="27"/>
          <w:rtl/>
        </w:rPr>
        <w:t xml:space="preserve"> عن حكم رجل</w:t>
      </w:r>
      <w:r w:rsidR="0042708F" w:rsidRPr="00282AC9">
        <w:rPr>
          <w:rFonts w:ascii="AAA GoldenLotus" w:hAnsi="AAA GoldenLotus" w:hint="cs"/>
          <w:sz w:val="27"/>
          <w:rtl/>
        </w:rPr>
        <w:t>ٍ</w:t>
      </w:r>
      <w:r w:rsidRPr="00282AC9">
        <w:rPr>
          <w:rFonts w:ascii="AAA GoldenLotus" w:hAnsi="AAA GoldenLotus"/>
          <w:sz w:val="27"/>
          <w:rtl/>
        </w:rPr>
        <w:t xml:space="preserve"> شك</w:t>
      </w:r>
      <w:r w:rsidR="0042708F" w:rsidRPr="00282AC9">
        <w:rPr>
          <w:rFonts w:ascii="AAA GoldenLotus" w:hAnsi="AAA GoldenLotus" w:hint="cs"/>
          <w:sz w:val="27"/>
          <w:rtl/>
        </w:rPr>
        <w:t>َّ</w:t>
      </w:r>
      <w:r w:rsidRPr="00282AC9">
        <w:rPr>
          <w:rFonts w:ascii="AAA GoldenLotus" w:hAnsi="AAA GoldenLotus"/>
          <w:sz w:val="27"/>
          <w:rtl/>
        </w:rPr>
        <w:t xml:space="preserve"> في الصلاة بين ال</w:t>
      </w:r>
      <w:r w:rsidRPr="00282AC9">
        <w:rPr>
          <w:rFonts w:ascii="AAA GoldenLotus" w:hAnsi="AAA GoldenLotus" w:hint="cs"/>
          <w:sz w:val="27"/>
          <w:rtl/>
        </w:rPr>
        <w:t>أولى</w:t>
      </w:r>
      <w:r w:rsidRPr="00282AC9">
        <w:rPr>
          <w:rFonts w:ascii="AAA GoldenLotus" w:hAnsi="AAA GoldenLotus"/>
          <w:sz w:val="27"/>
          <w:rtl/>
        </w:rPr>
        <w:t xml:space="preserve"> وال</w:t>
      </w:r>
      <w:r w:rsidRPr="00282AC9">
        <w:rPr>
          <w:rFonts w:ascii="AAA GoldenLotus" w:hAnsi="AAA GoldenLotus" w:hint="cs"/>
          <w:sz w:val="27"/>
          <w:rtl/>
        </w:rPr>
        <w:t>ثانية</w:t>
      </w:r>
      <w:r w:rsidRPr="00282AC9">
        <w:rPr>
          <w:rFonts w:ascii="AAA GoldenLotus" w:hAnsi="AAA GoldenLotus"/>
          <w:sz w:val="27"/>
          <w:rtl/>
        </w:rPr>
        <w:t xml:space="preserve">، </w:t>
      </w:r>
      <w:r w:rsidRPr="00282AC9">
        <w:rPr>
          <w:rFonts w:ascii="AAA GoldenLotus" w:hAnsi="AAA GoldenLotus" w:hint="cs"/>
          <w:sz w:val="27"/>
          <w:rtl/>
        </w:rPr>
        <w:t>كما في خبر عبد</w:t>
      </w:r>
      <w:r w:rsidRPr="00282AC9">
        <w:rPr>
          <w:rFonts w:ascii="AAA GoldenLotus" w:hAnsi="AAA GoldenLotus"/>
          <w:sz w:val="27"/>
          <w:rtl/>
        </w:rPr>
        <w:t xml:space="preserve"> </w:t>
      </w:r>
      <w:r w:rsidRPr="00282AC9">
        <w:rPr>
          <w:rFonts w:ascii="AAA GoldenLotus" w:hAnsi="AAA GoldenLotus" w:hint="cs"/>
          <w:sz w:val="27"/>
          <w:rtl/>
        </w:rPr>
        <w:t>الله</w:t>
      </w:r>
      <w:r w:rsidRPr="00282AC9">
        <w:rPr>
          <w:rFonts w:ascii="AAA GoldenLotus" w:hAnsi="AAA GoldenLotus"/>
          <w:sz w:val="27"/>
          <w:rtl/>
        </w:rPr>
        <w:t xml:space="preserve"> </w:t>
      </w:r>
      <w:r w:rsidRPr="00282AC9">
        <w:rPr>
          <w:rFonts w:ascii="AAA GoldenLotus" w:hAnsi="AAA GoldenLotus" w:hint="cs"/>
          <w:sz w:val="27"/>
          <w:rtl/>
        </w:rPr>
        <w:t>بن</w:t>
      </w:r>
      <w:r w:rsidRPr="00282AC9">
        <w:rPr>
          <w:rFonts w:ascii="AAA GoldenLotus" w:hAnsi="AAA GoldenLotus"/>
          <w:sz w:val="27"/>
          <w:rtl/>
        </w:rPr>
        <w:t xml:space="preserve"> </w:t>
      </w:r>
      <w:r w:rsidRPr="00282AC9">
        <w:rPr>
          <w:rFonts w:ascii="AAA GoldenLotus" w:hAnsi="AAA GoldenLotus" w:hint="cs"/>
          <w:sz w:val="27"/>
          <w:rtl/>
        </w:rPr>
        <w:t>الفضل</w:t>
      </w:r>
      <w:r w:rsidRPr="00282AC9">
        <w:rPr>
          <w:rFonts w:ascii="AAA GoldenLotus" w:hAnsi="AAA GoldenLotus"/>
          <w:sz w:val="27"/>
          <w:rtl/>
        </w:rPr>
        <w:t xml:space="preserve"> </w:t>
      </w:r>
      <w:r w:rsidRPr="00282AC9">
        <w:rPr>
          <w:rFonts w:ascii="AAA GoldenLotus" w:hAnsi="AAA GoldenLotus" w:hint="cs"/>
          <w:sz w:val="27"/>
          <w:rtl/>
        </w:rPr>
        <w:t>الهاشمي،</w:t>
      </w:r>
      <w:r w:rsidRPr="00282AC9">
        <w:rPr>
          <w:rFonts w:ascii="AAA GoldenLotus" w:hAnsi="AAA GoldenLotus"/>
          <w:sz w:val="27"/>
          <w:rtl/>
        </w:rPr>
        <w:t xml:space="preserve"> </w:t>
      </w:r>
      <w:r w:rsidRPr="00282AC9">
        <w:rPr>
          <w:rFonts w:ascii="AAA GoldenLotus" w:hAnsi="AAA GoldenLotus" w:hint="cs"/>
          <w:sz w:val="27"/>
          <w:rtl/>
        </w:rPr>
        <w:t>عن</w:t>
      </w:r>
      <w:r w:rsidRPr="00282AC9">
        <w:rPr>
          <w:rFonts w:ascii="AAA GoldenLotus" w:hAnsi="AAA GoldenLotus"/>
          <w:sz w:val="27"/>
          <w:rtl/>
        </w:rPr>
        <w:t xml:space="preserve"> </w:t>
      </w:r>
      <w:r w:rsidRPr="00282AC9">
        <w:rPr>
          <w:rFonts w:ascii="AAA GoldenLotus" w:hAnsi="AAA GoldenLotus" w:hint="cs"/>
          <w:sz w:val="27"/>
          <w:rtl/>
        </w:rPr>
        <w:t>أبي</w:t>
      </w:r>
      <w:r w:rsidRPr="00282AC9">
        <w:rPr>
          <w:rFonts w:ascii="AAA GoldenLotus" w:hAnsi="AAA GoldenLotus"/>
          <w:sz w:val="27"/>
          <w:rtl/>
        </w:rPr>
        <w:t xml:space="preserve"> </w:t>
      </w:r>
      <w:r w:rsidRPr="00282AC9">
        <w:rPr>
          <w:rFonts w:ascii="AAA GoldenLotus" w:hAnsi="AAA GoldenLotus" w:hint="cs"/>
          <w:sz w:val="27"/>
          <w:rtl/>
        </w:rPr>
        <w:t>عبد</w:t>
      </w:r>
      <w:r w:rsidRPr="00282AC9">
        <w:rPr>
          <w:rFonts w:ascii="AAA GoldenLotus" w:hAnsi="AAA GoldenLotus"/>
          <w:sz w:val="27"/>
          <w:rtl/>
        </w:rPr>
        <w:t xml:space="preserve"> </w:t>
      </w:r>
      <w:r w:rsidR="0042708F" w:rsidRPr="00282AC9">
        <w:rPr>
          <w:rFonts w:ascii="AAA GoldenLotus" w:hAnsi="AAA GoldenLotus" w:hint="cs"/>
          <w:sz w:val="27"/>
          <w:rtl/>
        </w:rPr>
        <w:t>الله</w:t>
      </w:r>
      <w:r w:rsidR="009A2A04" w:rsidRPr="00282AC9">
        <w:rPr>
          <w:rFonts w:ascii="AAA GoldenLotus" w:hAnsi="AAA GoldenLotus" w:cs="Mosawi"/>
          <w:sz w:val="22"/>
          <w:szCs w:val="22"/>
          <w:rtl/>
        </w:rPr>
        <w:t>×</w:t>
      </w:r>
      <w:r w:rsidR="0042708F"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أنه</w:t>
      </w:r>
      <w:r w:rsidRPr="00282AC9">
        <w:rPr>
          <w:rFonts w:ascii="AAA GoldenLotus" w:hAnsi="AAA GoldenLotus"/>
          <w:sz w:val="27"/>
          <w:rtl/>
        </w:rPr>
        <w:t xml:space="preserve"> </w:t>
      </w:r>
      <w:r w:rsidRPr="00282AC9">
        <w:rPr>
          <w:rFonts w:ascii="AAA GoldenLotus" w:hAnsi="AAA GoldenLotus" w:hint="cs"/>
          <w:sz w:val="27"/>
          <w:rtl/>
        </w:rPr>
        <w:t>سئل</w:t>
      </w:r>
      <w:r w:rsidRPr="00282AC9">
        <w:rPr>
          <w:rFonts w:ascii="AAA GoldenLotus" w:hAnsi="AAA GoldenLotus"/>
          <w:sz w:val="27"/>
          <w:rtl/>
        </w:rPr>
        <w:t xml:space="preserve"> </w:t>
      </w:r>
      <w:r w:rsidRPr="00282AC9">
        <w:rPr>
          <w:rFonts w:ascii="AAA GoldenLotus" w:hAnsi="AAA GoldenLotus" w:hint="cs"/>
          <w:sz w:val="27"/>
          <w:rtl/>
        </w:rPr>
        <w:t>عن</w:t>
      </w:r>
      <w:r w:rsidRPr="00282AC9">
        <w:rPr>
          <w:rFonts w:ascii="AAA GoldenLotus" w:hAnsi="AAA GoldenLotus"/>
          <w:sz w:val="27"/>
          <w:rtl/>
        </w:rPr>
        <w:t xml:space="preserve"> </w:t>
      </w:r>
      <w:r w:rsidRPr="00282AC9">
        <w:rPr>
          <w:rFonts w:ascii="AAA GoldenLotus" w:hAnsi="AAA GoldenLotus" w:hint="cs"/>
          <w:sz w:val="27"/>
          <w:rtl/>
        </w:rPr>
        <w:t>رجل</w:t>
      </w:r>
      <w:r w:rsidR="0042708F"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لم</w:t>
      </w:r>
      <w:r w:rsidRPr="00282AC9">
        <w:rPr>
          <w:rFonts w:ascii="AAA GoldenLotus" w:hAnsi="AAA GoldenLotus"/>
          <w:sz w:val="27"/>
          <w:rtl/>
        </w:rPr>
        <w:t xml:space="preserve"> </w:t>
      </w:r>
      <w:r w:rsidRPr="00282AC9">
        <w:rPr>
          <w:rFonts w:ascii="AAA GoldenLotus" w:hAnsi="AAA GoldenLotus" w:hint="cs"/>
          <w:sz w:val="27"/>
          <w:rtl/>
        </w:rPr>
        <w:t>ي</w:t>
      </w:r>
      <w:r w:rsidR="0042708F" w:rsidRPr="00282AC9">
        <w:rPr>
          <w:rFonts w:ascii="AAA GoldenLotus" w:hAnsi="AAA GoldenLotus" w:hint="cs"/>
          <w:sz w:val="27"/>
          <w:rtl/>
        </w:rPr>
        <w:t>َ</w:t>
      </w:r>
      <w:r w:rsidRPr="00282AC9">
        <w:rPr>
          <w:rFonts w:ascii="AAA GoldenLotus" w:hAnsi="AAA GoldenLotus" w:hint="cs"/>
          <w:sz w:val="27"/>
          <w:rtl/>
        </w:rPr>
        <w:t>د</w:t>
      </w:r>
      <w:r w:rsidR="0042708F" w:rsidRPr="00282AC9">
        <w:rPr>
          <w:rFonts w:ascii="AAA GoldenLotus" w:hAnsi="AAA GoldenLotus" w:hint="cs"/>
          <w:sz w:val="27"/>
          <w:rtl/>
        </w:rPr>
        <w:t>ْ</w:t>
      </w:r>
      <w:r w:rsidRPr="00282AC9">
        <w:rPr>
          <w:rFonts w:ascii="AAA GoldenLotus" w:hAnsi="AAA GoldenLotus" w:hint="cs"/>
          <w:sz w:val="27"/>
          <w:rtl/>
        </w:rPr>
        <w:t>ر</w:t>
      </w:r>
      <w:r w:rsidR="0042708F"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أواحدة</w:t>
      </w:r>
      <w:r w:rsidRPr="00282AC9">
        <w:rPr>
          <w:rFonts w:ascii="AAA GoldenLotus" w:hAnsi="AAA GoldenLotus"/>
          <w:sz w:val="27"/>
          <w:rtl/>
        </w:rPr>
        <w:t xml:space="preserve"> </w:t>
      </w:r>
      <w:r w:rsidRPr="00282AC9">
        <w:rPr>
          <w:rFonts w:ascii="AAA GoldenLotus" w:hAnsi="AAA GoldenLotus" w:hint="cs"/>
          <w:sz w:val="27"/>
          <w:rtl/>
        </w:rPr>
        <w:t>صل</w:t>
      </w:r>
      <w:r w:rsidR="0042708F" w:rsidRPr="00282AC9">
        <w:rPr>
          <w:rFonts w:ascii="AAA GoldenLotus" w:hAnsi="AAA GoldenLotus" w:hint="cs"/>
          <w:sz w:val="27"/>
          <w:rtl/>
        </w:rPr>
        <w:t>ّ</w:t>
      </w:r>
      <w:r w:rsidRPr="00282AC9">
        <w:rPr>
          <w:rFonts w:ascii="AAA GoldenLotus" w:hAnsi="AAA GoldenLotus" w:hint="cs"/>
          <w:sz w:val="27"/>
          <w:rtl/>
        </w:rPr>
        <w:t>ى</w:t>
      </w:r>
      <w:r w:rsidRPr="00282AC9">
        <w:rPr>
          <w:rFonts w:ascii="AAA GoldenLotus" w:hAnsi="AAA GoldenLotus"/>
          <w:sz w:val="27"/>
          <w:rtl/>
        </w:rPr>
        <w:t xml:space="preserve"> </w:t>
      </w:r>
      <w:r w:rsidRPr="00282AC9">
        <w:rPr>
          <w:rFonts w:ascii="AAA GoldenLotus" w:hAnsi="AAA GoldenLotus" w:hint="cs"/>
          <w:sz w:val="27"/>
          <w:rtl/>
        </w:rPr>
        <w:t>أو</w:t>
      </w:r>
      <w:r w:rsidRPr="00282AC9">
        <w:rPr>
          <w:rFonts w:ascii="AAA GoldenLotus" w:hAnsi="AAA GoldenLotus"/>
          <w:sz w:val="27"/>
          <w:rtl/>
        </w:rPr>
        <w:t xml:space="preserve"> </w:t>
      </w:r>
      <w:r w:rsidRPr="00282AC9">
        <w:rPr>
          <w:rFonts w:ascii="AAA GoldenLotus" w:hAnsi="AAA GoldenLotus" w:hint="cs"/>
          <w:sz w:val="27"/>
          <w:rtl/>
        </w:rPr>
        <w:t>اثنتين؟</w:t>
      </w:r>
      <w:r w:rsidRPr="00282AC9">
        <w:rPr>
          <w:rFonts w:ascii="AAA GoldenLotus" w:hAnsi="AAA GoldenLotus"/>
          <w:sz w:val="27"/>
          <w:rtl/>
        </w:rPr>
        <w:t xml:space="preserve"> </w:t>
      </w:r>
      <w:r w:rsidRPr="00282AC9">
        <w:rPr>
          <w:rFonts w:ascii="AAA GoldenLotus" w:hAnsi="AAA GoldenLotus" w:hint="cs"/>
          <w:sz w:val="27"/>
          <w:rtl/>
        </w:rPr>
        <w:t>فقال</w:t>
      </w:r>
      <w:r w:rsidRPr="00282AC9">
        <w:rPr>
          <w:rFonts w:ascii="AAA GoldenLotus" w:hAnsi="AAA GoldenLotus"/>
          <w:sz w:val="27"/>
          <w:rtl/>
        </w:rPr>
        <w:t xml:space="preserve"> </w:t>
      </w:r>
      <w:r w:rsidRPr="00282AC9">
        <w:rPr>
          <w:rFonts w:ascii="AAA GoldenLotus" w:hAnsi="AAA GoldenLotus" w:hint="cs"/>
          <w:sz w:val="27"/>
          <w:rtl/>
        </w:rPr>
        <w:t>له</w:t>
      </w:r>
      <w:r w:rsidRPr="00282AC9">
        <w:rPr>
          <w:rFonts w:ascii="AAA GoldenLotus" w:hAnsi="AAA GoldenLotus"/>
          <w:sz w:val="27"/>
          <w:rtl/>
        </w:rPr>
        <w:t xml:space="preserve">: </w:t>
      </w:r>
      <w:r w:rsidR="00EE13F1" w:rsidRPr="00282AC9">
        <w:rPr>
          <w:rFonts w:hint="eastAsia"/>
          <w:sz w:val="24"/>
          <w:szCs w:val="24"/>
          <w:rtl/>
        </w:rPr>
        <w:t>«</w:t>
      </w:r>
      <w:r w:rsidRPr="00282AC9">
        <w:rPr>
          <w:rFonts w:ascii="AAA GoldenLotus" w:hAnsi="AAA GoldenLotus" w:hint="cs"/>
          <w:sz w:val="27"/>
          <w:rtl/>
        </w:rPr>
        <w:t>يعيد</w:t>
      </w:r>
      <w:r w:rsidRPr="00282AC9">
        <w:rPr>
          <w:rFonts w:ascii="AAA GoldenLotus" w:hAnsi="AAA GoldenLotus"/>
          <w:sz w:val="27"/>
          <w:rtl/>
        </w:rPr>
        <w:t xml:space="preserve"> </w:t>
      </w:r>
      <w:r w:rsidRPr="00282AC9">
        <w:rPr>
          <w:rFonts w:ascii="AAA GoldenLotus" w:hAnsi="AAA GoldenLotus" w:hint="cs"/>
          <w:sz w:val="27"/>
          <w:rtl/>
        </w:rPr>
        <w:t>الصلاة</w:t>
      </w:r>
      <w:r w:rsidR="00EE13F1" w:rsidRPr="00282AC9">
        <w:rPr>
          <w:rFonts w:hint="eastAsia"/>
          <w:sz w:val="24"/>
          <w:szCs w:val="24"/>
          <w:rtl/>
        </w:rPr>
        <w:t>»</w:t>
      </w:r>
      <w:r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فقال</w:t>
      </w:r>
      <w:r w:rsidRPr="00282AC9">
        <w:rPr>
          <w:rFonts w:ascii="AAA GoldenLotus" w:hAnsi="AAA GoldenLotus"/>
          <w:sz w:val="27"/>
          <w:rtl/>
        </w:rPr>
        <w:t xml:space="preserve"> </w:t>
      </w:r>
      <w:r w:rsidRPr="00282AC9">
        <w:rPr>
          <w:rFonts w:ascii="AAA GoldenLotus" w:hAnsi="AAA GoldenLotus" w:hint="cs"/>
          <w:sz w:val="27"/>
          <w:rtl/>
        </w:rPr>
        <w:t>له</w:t>
      </w:r>
      <w:r w:rsidRPr="00282AC9">
        <w:rPr>
          <w:rFonts w:ascii="AAA GoldenLotus" w:hAnsi="AAA GoldenLotus"/>
          <w:sz w:val="27"/>
          <w:rtl/>
        </w:rPr>
        <w:t xml:space="preserve">: </w:t>
      </w:r>
      <w:r w:rsidRPr="00282AC9">
        <w:rPr>
          <w:rFonts w:ascii="AAA GoldenLotus" w:hAnsi="AAA GoldenLotus" w:hint="cs"/>
          <w:sz w:val="27"/>
          <w:rtl/>
        </w:rPr>
        <w:t>فأين</w:t>
      </w:r>
      <w:r w:rsidRPr="00282AC9">
        <w:rPr>
          <w:rFonts w:ascii="AAA GoldenLotus" w:hAnsi="AAA GoldenLotus"/>
          <w:sz w:val="27"/>
          <w:rtl/>
        </w:rPr>
        <w:t xml:space="preserve"> </w:t>
      </w:r>
      <w:r w:rsidRPr="00282AC9">
        <w:rPr>
          <w:rFonts w:ascii="AAA GoldenLotus" w:hAnsi="AAA GoldenLotus" w:hint="cs"/>
          <w:sz w:val="27"/>
          <w:rtl/>
        </w:rPr>
        <w:t>ما</w:t>
      </w:r>
      <w:r w:rsidRPr="00282AC9">
        <w:rPr>
          <w:rFonts w:ascii="AAA GoldenLotus" w:hAnsi="AAA GoldenLotus"/>
          <w:sz w:val="27"/>
          <w:rtl/>
        </w:rPr>
        <w:t xml:space="preserve"> </w:t>
      </w:r>
      <w:r w:rsidRPr="00282AC9">
        <w:rPr>
          <w:rFonts w:ascii="AAA GoldenLotus" w:hAnsi="AAA GoldenLotus" w:hint="cs"/>
          <w:sz w:val="27"/>
          <w:rtl/>
        </w:rPr>
        <w:t>ر</w:t>
      </w:r>
      <w:r w:rsidR="0042708F" w:rsidRPr="00282AC9">
        <w:rPr>
          <w:rFonts w:ascii="AAA GoldenLotus" w:hAnsi="AAA GoldenLotus" w:hint="cs"/>
          <w:sz w:val="27"/>
          <w:rtl/>
        </w:rPr>
        <w:t>ُ</w:t>
      </w:r>
      <w:r w:rsidRPr="00282AC9">
        <w:rPr>
          <w:rFonts w:ascii="AAA GoldenLotus" w:hAnsi="AAA GoldenLotus" w:hint="cs"/>
          <w:sz w:val="27"/>
          <w:rtl/>
        </w:rPr>
        <w:t>وي</w:t>
      </w:r>
      <w:r w:rsidRPr="00282AC9">
        <w:rPr>
          <w:rFonts w:ascii="AAA GoldenLotus" w:hAnsi="AAA GoldenLotus"/>
          <w:sz w:val="27"/>
          <w:rtl/>
        </w:rPr>
        <w:t xml:space="preserve"> </w:t>
      </w:r>
      <w:r w:rsidRPr="00282AC9">
        <w:rPr>
          <w:rFonts w:ascii="AAA GoldenLotus" w:hAnsi="AAA GoldenLotus" w:hint="cs"/>
          <w:sz w:val="27"/>
          <w:rtl/>
        </w:rPr>
        <w:t>أن</w:t>
      </w:r>
      <w:r w:rsidRPr="00282AC9">
        <w:rPr>
          <w:rFonts w:ascii="AAA GoldenLotus" w:hAnsi="AAA GoldenLotus"/>
          <w:sz w:val="27"/>
          <w:rtl/>
        </w:rPr>
        <w:t xml:space="preserve"> </w:t>
      </w:r>
      <w:r w:rsidRPr="00282AC9">
        <w:rPr>
          <w:rFonts w:ascii="AAA GoldenLotus" w:hAnsi="AAA GoldenLotus" w:hint="cs"/>
          <w:sz w:val="27"/>
          <w:rtl/>
        </w:rPr>
        <w:t>الفقيه</w:t>
      </w:r>
      <w:r w:rsidRPr="00282AC9">
        <w:rPr>
          <w:rFonts w:ascii="AAA GoldenLotus" w:hAnsi="AAA GoldenLotus"/>
          <w:sz w:val="27"/>
          <w:rtl/>
        </w:rPr>
        <w:t xml:space="preserve"> </w:t>
      </w:r>
      <w:r w:rsidRPr="00282AC9">
        <w:rPr>
          <w:rFonts w:ascii="AAA GoldenLotus" w:hAnsi="AAA GoldenLotus" w:hint="cs"/>
          <w:sz w:val="27"/>
          <w:rtl/>
        </w:rPr>
        <w:t>لا</w:t>
      </w:r>
      <w:r w:rsidRPr="00282AC9">
        <w:rPr>
          <w:rFonts w:ascii="AAA GoldenLotus" w:hAnsi="AAA GoldenLotus"/>
          <w:sz w:val="27"/>
          <w:rtl/>
        </w:rPr>
        <w:t xml:space="preserve"> </w:t>
      </w:r>
      <w:r w:rsidRPr="00282AC9">
        <w:rPr>
          <w:rFonts w:ascii="AAA GoldenLotus" w:hAnsi="AAA GoldenLotus" w:hint="cs"/>
          <w:sz w:val="27"/>
          <w:rtl/>
        </w:rPr>
        <w:t>يعيد</w:t>
      </w:r>
      <w:r w:rsidRPr="00282AC9">
        <w:rPr>
          <w:rFonts w:ascii="AAA GoldenLotus" w:hAnsi="AAA GoldenLotus"/>
          <w:sz w:val="27"/>
          <w:rtl/>
        </w:rPr>
        <w:t xml:space="preserve"> </w:t>
      </w:r>
      <w:r w:rsidRPr="00282AC9">
        <w:rPr>
          <w:rFonts w:ascii="AAA GoldenLotus" w:hAnsi="AAA GoldenLotus" w:hint="cs"/>
          <w:sz w:val="27"/>
          <w:rtl/>
        </w:rPr>
        <w:t>الصلاة؟</w:t>
      </w:r>
      <w:r w:rsidRPr="00282AC9">
        <w:rPr>
          <w:rFonts w:ascii="AAA GoldenLotus" w:hAnsi="AAA GoldenLotus"/>
          <w:sz w:val="27"/>
          <w:rtl/>
        </w:rPr>
        <w:t xml:space="preserve"> </w:t>
      </w:r>
      <w:r w:rsidRPr="00282AC9">
        <w:rPr>
          <w:rFonts w:ascii="AAA GoldenLotus" w:hAnsi="AAA GoldenLotus" w:hint="cs"/>
          <w:sz w:val="27"/>
          <w:rtl/>
        </w:rPr>
        <w:t>قال</w:t>
      </w:r>
      <w:r w:rsidRPr="00282AC9">
        <w:rPr>
          <w:rFonts w:ascii="AAA GoldenLotus" w:hAnsi="AAA GoldenLotus"/>
          <w:sz w:val="27"/>
          <w:rtl/>
        </w:rPr>
        <w:t xml:space="preserve">: </w:t>
      </w:r>
      <w:r w:rsidR="00EE13F1" w:rsidRPr="00282AC9">
        <w:rPr>
          <w:rFonts w:hint="eastAsia"/>
          <w:sz w:val="24"/>
          <w:szCs w:val="24"/>
          <w:rtl/>
        </w:rPr>
        <w:t>«</w:t>
      </w:r>
      <w:r w:rsidRPr="00282AC9">
        <w:rPr>
          <w:rFonts w:ascii="AAA GoldenLotus" w:hAnsi="AAA GoldenLotus" w:hint="cs"/>
          <w:sz w:val="27"/>
          <w:rtl/>
        </w:rPr>
        <w:t>إنما</w:t>
      </w:r>
      <w:r w:rsidRPr="00282AC9">
        <w:rPr>
          <w:rFonts w:ascii="AAA GoldenLotus" w:hAnsi="AAA GoldenLotus"/>
          <w:sz w:val="27"/>
          <w:rtl/>
        </w:rPr>
        <w:t xml:space="preserve"> </w:t>
      </w:r>
      <w:r w:rsidRPr="00282AC9">
        <w:rPr>
          <w:rFonts w:ascii="AAA GoldenLotus" w:hAnsi="AAA GoldenLotus" w:hint="cs"/>
          <w:sz w:val="27"/>
          <w:rtl/>
        </w:rPr>
        <w:t>ذلك</w:t>
      </w:r>
      <w:r w:rsidRPr="00282AC9">
        <w:rPr>
          <w:rFonts w:ascii="AAA GoldenLotus" w:hAnsi="AAA GoldenLotus"/>
          <w:sz w:val="27"/>
          <w:rtl/>
        </w:rPr>
        <w:t xml:space="preserve"> </w:t>
      </w:r>
      <w:r w:rsidRPr="00282AC9">
        <w:rPr>
          <w:rFonts w:ascii="AAA GoldenLotus" w:hAnsi="AAA GoldenLotus" w:hint="cs"/>
          <w:sz w:val="27"/>
          <w:rtl/>
        </w:rPr>
        <w:t>في</w:t>
      </w:r>
      <w:r w:rsidRPr="00282AC9">
        <w:rPr>
          <w:rFonts w:ascii="AAA GoldenLotus" w:hAnsi="AAA GoldenLotus"/>
          <w:sz w:val="27"/>
          <w:rtl/>
        </w:rPr>
        <w:t xml:space="preserve"> </w:t>
      </w:r>
      <w:r w:rsidRPr="00282AC9">
        <w:rPr>
          <w:rFonts w:ascii="AAA GoldenLotus" w:hAnsi="AAA GoldenLotus" w:hint="cs"/>
          <w:sz w:val="27"/>
          <w:rtl/>
        </w:rPr>
        <w:t>الثلاث</w:t>
      </w:r>
      <w:r w:rsidRPr="00282AC9">
        <w:rPr>
          <w:rFonts w:ascii="AAA GoldenLotus" w:hAnsi="AAA GoldenLotus"/>
          <w:sz w:val="27"/>
          <w:rtl/>
        </w:rPr>
        <w:t xml:space="preserve"> </w:t>
      </w:r>
      <w:r w:rsidRPr="00282AC9">
        <w:rPr>
          <w:rFonts w:ascii="AAA GoldenLotus" w:hAnsi="AAA GoldenLotus" w:hint="cs"/>
          <w:sz w:val="27"/>
          <w:rtl/>
        </w:rPr>
        <w:t>والأربع</w:t>
      </w:r>
      <w:r w:rsidR="00EE13F1"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56"/>
      </w:r>
      <w:r w:rsidRPr="00282AC9">
        <w:rPr>
          <w:rFonts w:ascii="AAA GoldenLotus" w:hAnsi="AAA GoldenLotus"/>
          <w:sz w:val="27"/>
          <w:vertAlign w:val="superscript"/>
          <w:rtl/>
        </w:rPr>
        <w:t>)</w:t>
      </w:r>
      <w:r w:rsidRPr="00282AC9">
        <w:rPr>
          <w:rFonts w:ascii="AAA GoldenLotus" w:hAnsi="AAA GoldenLotus" w:hint="cs"/>
          <w:sz w:val="27"/>
          <w:rtl/>
        </w:rPr>
        <w:t>، ف</w:t>
      </w:r>
      <w:r w:rsidRPr="00282AC9">
        <w:rPr>
          <w:rFonts w:ascii="AAA GoldenLotus" w:hAnsi="AAA GoldenLotus"/>
          <w:sz w:val="27"/>
          <w:rtl/>
        </w:rPr>
        <w:t>لا يسبق إلى أذهان الع</w:t>
      </w:r>
      <w:r w:rsidR="0042708F" w:rsidRPr="00282AC9">
        <w:rPr>
          <w:rFonts w:ascii="AAA GoldenLotus" w:hAnsi="AAA GoldenLotus" w:hint="cs"/>
          <w:sz w:val="27"/>
          <w:rtl/>
        </w:rPr>
        <w:t>ُ</w:t>
      </w:r>
      <w:r w:rsidRPr="00282AC9">
        <w:rPr>
          <w:rFonts w:ascii="AAA GoldenLotus" w:hAnsi="AAA GoldenLotus"/>
          <w:sz w:val="27"/>
          <w:rtl/>
        </w:rPr>
        <w:t>ر</w:t>
      </w:r>
      <w:r w:rsidR="0042708F" w:rsidRPr="00282AC9">
        <w:rPr>
          <w:rFonts w:ascii="AAA GoldenLotus" w:hAnsi="AAA GoldenLotus" w:hint="cs"/>
          <w:sz w:val="27"/>
          <w:rtl/>
        </w:rPr>
        <w:t>ْ</w:t>
      </w:r>
      <w:r w:rsidRPr="00282AC9">
        <w:rPr>
          <w:rFonts w:ascii="AAA GoldenLotus" w:hAnsi="AAA GoldenLotus"/>
          <w:sz w:val="27"/>
          <w:rtl/>
        </w:rPr>
        <w:t xml:space="preserve">ف </w:t>
      </w:r>
      <w:r w:rsidR="0042708F" w:rsidRPr="00282AC9">
        <w:rPr>
          <w:rFonts w:ascii="AAA GoldenLotus" w:hAnsi="AAA GoldenLotus" w:hint="cs"/>
          <w:sz w:val="27"/>
          <w:rtl/>
        </w:rPr>
        <w:t>إ</w:t>
      </w:r>
      <w:r w:rsidR="00EE6DBA" w:rsidRPr="00282AC9">
        <w:rPr>
          <w:rFonts w:ascii="AAA GoldenLotus" w:hAnsi="AAA GoldenLotus"/>
          <w:sz w:val="27"/>
          <w:rtl/>
        </w:rPr>
        <w:t>لاّ</w:t>
      </w:r>
      <w:r w:rsidRPr="00282AC9">
        <w:rPr>
          <w:rFonts w:ascii="AAA GoldenLotus" w:hAnsi="AAA GoldenLotus"/>
          <w:sz w:val="27"/>
          <w:rtl/>
        </w:rPr>
        <w:t xml:space="preserve"> كون مورد السؤال نفس الشك</w:t>
      </w:r>
      <w:r w:rsidR="0042708F" w:rsidRPr="00282AC9">
        <w:rPr>
          <w:rFonts w:ascii="AAA GoldenLotus" w:hAnsi="AAA GoldenLotus" w:hint="cs"/>
          <w:sz w:val="27"/>
          <w:rtl/>
        </w:rPr>
        <w:t>ّ</w:t>
      </w:r>
      <w:r w:rsidRPr="00282AC9">
        <w:rPr>
          <w:rFonts w:ascii="AAA GoldenLotus" w:hAnsi="AAA GoldenLotus"/>
          <w:sz w:val="27"/>
          <w:rtl/>
        </w:rPr>
        <w:t xml:space="preserve"> بين </w:t>
      </w:r>
      <w:r w:rsidRPr="00282AC9">
        <w:rPr>
          <w:rFonts w:ascii="AAA GoldenLotus" w:hAnsi="AAA GoldenLotus" w:hint="cs"/>
          <w:sz w:val="27"/>
          <w:rtl/>
        </w:rPr>
        <w:t>الأولى والثانية</w:t>
      </w:r>
      <w:r w:rsidR="0042708F" w:rsidRPr="00282AC9">
        <w:rPr>
          <w:rFonts w:ascii="AAA GoldenLotus" w:hAnsi="AAA GoldenLotus" w:hint="cs"/>
          <w:sz w:val="27"/>
          <w:rtl/>
        </w:rPr>
        <w:t>،</w:t>
      </w:r>
      <w:r w:rsidRPr="00282AC9">
        <w:rPr>
          <w:rFonts w:ascii="AAA GoldenLotus" w:hAnsi="AAA GoldenLotus"/>
          <w:sz w:val="27"/>
          <w:rtl/>
        </w:rPr>
        <w:t xml:space="preserve"> من دون خصوصيّة للرجل أو المرأة، والصبيّ أو الصبيّة، لذا يجري الجواب لبيان الحكم</w:t>
      </w:r>
      <w:r w:rsidR="00EE13F1" w:rsidRPr="00282AC9">
        <w:rPr>
          <w:rFonts w:ascii="AAA GoldenLotus" w:hAnsi="AAA GoldenLotus" w:hint="cs"/>
          <w:sz w:val="27"/>
          <w:rtl/>
        </w:rPr>
        <w:t>،</w:t>
      </w:r>
      <w:r w:rsidRPr="00282AC9">
        <w:rPr>
          <w:rFonts w:ascii="AAA GoldenLotus" w:hAnsi="AAA GoldenLotus"/>
          <w:sz w:val="27"/>
          <w:rtl/>
        </w:rPr>
        <w:t xml:space="preserve"> سواء أكان الخطاب ونحوه للأوّل أم للثاني، مع حفظ القيود والشروط في الموضوع، وعدم كون الخصوصي</w:t>
      </w:r>
      <w:r w:rsidR="00EE13F1" w:rsidRPr="00282AC9">
        <w:rPr>
          <w:rFonts w:ascii="AAA GoldenLotus" w:hAnsi="AAA GoldenLotus" w:hint="cs"/>
          <w:sz w:val="27"/>
          <w:rtl/>
        </w:rPr>
        <w:t>ّ</w:t>
      </w:r>
      <w:r w:rsidRPr="00282AC9">
        <w:rPr>
          <w:rFonts w:ascii="AAA GoldenLotus" w:hAnsi="AAA GoldenLotus"/>
          <w:sz w:val="27"/>
          <w:rtl/>
        </w:rPr>
        <w:t>ة دخيلة</w:t>
      </w:r>
      <w:r w:rsidR="00EE13F1" w:rsidRPr="00282AC9">
        <w:rPr>
          <w:rFonts w:ascii="AAA GoldenLotus" w:hAnsi="AAA GoldenLotus" w:hint="cs"/>
          <w:sz w:val="27"/>
          <w:rtl/>
        </w:rPr>
        <w:t>ً</w:t>
      </w:r>
      <w:r w:rsidR="00EE13F1" w:rsidRPr="00282AC9">
        <w:rPr>
          <w:rFonts w:ascii="AAA GoldenLotus" w:hAnsi="AAA GoldenLotus"/>
          <w:sz w:val="27"/>
          <w:rtl/>
        </w:rPr>
        <w:t xml:space="preserve"> بنظر </w:t>
      </w:r>
      <w:r w:rsidR="00EE13F1" w:rsidRPr="00282AC9">
        <w:rPr>
          <w:rFonts w:ascii="AAA GoldenLotus" w:hAnsi="AAA GoldenLotus"/>
          <w:sz w:val="27"/>
          <w:rtl/>
        </w:rPr>
        <w:lastRenderedPageBreak/>
        <w:t>الع</w:t>
      </w:r>
      <w:r w:rsidR="00EE13F1" w:rsidRPr="00282AC9">
        <w:rPr>
          <w:rFonts w:ascii="AAA GoldenLotus" w:hAnsi="AAA GoldenLotus" w:hint="cs"/>
          <w:sz w:val="27"/>
          <w:rtl/>
        </w:rPr>
        <w:t>ُ</w:t>
      </w:r>
      <w:r w:rsidR="00EE13F1" w:rsidRPr="00282AC9">
        <w:rPr>
          <w:rFonts w:ascii="AAA GoldenLotus" w:hAnsi="AAA GoldenLotus"/>
          <w:sz w:val="27"/>
          <w:rtl/>
        </w:rPr>
        <w:t>ر</w:t>
      </w:r>
      <w:r w:rsidR="00EE13F1" w:rsidRPr="00282AC9">
        <w:rPr>
          <w:rFonts w:ascii="AAA GoldenLotus" w:hAnsi="AAA GoldenLotus" w:hint="cs"/>
          <w:sz w:val="27"/>
          <w:rtl/>
        </w:rPr>
        <w:t>ْ</w:t>
      </w:r>
      <w:r w:rsidR="00EE13F1" w:rsidRPr="00282AC9">
        <w:rPr>
          <w:rFonts w:ascii="AAA GoldenLotus" w:hAnsi="AAA GoldenLotus"/>
          <w:sz w:val="27"/>
          <w:rtl/>
        </w:rPr>
        <w:t>ف و</w:t>
      </w:r>
      <w:r w:rsidRPr="00282AC9">
        <w:rPr>
          <w:rFonts w:ascii="AAA GoldenLotus" w:hAnsi="AAA GoldenLotus"/>
          <w:sz w:val="27"/>
          <w:rtl/>
        </w:rPr>
        <w:t>العقلاء أصلاً</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57"/>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046546">
      <w:pPr>
        <w:rPr>
          <w:rFonts w:ascii="AAA GoldenLotus" w:hAnsi="AAA GoldenLotus"/>
          <w:sz w:val="27"/>
          <w:vertAlign w:val="superscript"/>
          <w:rtl/>
        </w:rPr>
      </w:pPr>
      <w:r w:rsidRPr="00282AC9">
        <w:rPr>
          <w:rFonts w:ascii="AAA GoldenLotus" w:hAnsi="AAA GoldenLotus"/>
          <w:sz w:val="27"/>
          <w:rtl/>
        </w:rPr>
        <w:t>ولذا لم يشكّ الفقهاء</w:t>
      </w:r>
      <w:r w:rsidR="00EE13F1" w:rsidRPr="00282AC9">
        <w:rPr>
          <w:rFonts w:ascii="AAA GoldenLotus" w:hAnsi="AAA GoldenLotus" w:hint="cs"/>
          <w:sz w:val="27"/>
          <w:rtl/>
        </w:rPr>
        <w:t>،</w:t>
      </w:r>
      <w:r w:rsidRPr="00282AC9">
        <w:rPr>
          <w:rFonts w:ascii="AAA GoldenLotus" w:hAnsi="AAA GoldenLotus"/>
          <w:sz w:val="27"/>
          <w:rtl/>
        </w:rPr>
        <w:t xml:space="preserve"> قديماً وحديثاً</w:t>
      </w:r>
      <w:r w:rsidR="00EE13F1" w:rsidRPr="00282AC9">
        <w:rPr>
          <w:rFonts w:ascii="AAA GoldenLotus" w:hAnsi="AAA GoldenLotus" w:hint="cs"/>
          <w:sz w:val="27"/>
          <w:rtl/>
        </w:rPr>
        <w:t>،</w:t>
      </w:r>
      <w:r w:rsidRPr="00282AC9">
        <w:rPr>
          <w:rFonts w:ascii="AAA GoldenLotus" w:hAnsi="AAA GoldenLotus"/>
          <w:sz w:val="27"/>
          <w:rtl/>
        </w:rPr>
        <w:t xml:space="preserve"> في أنّ قوله</w:t>
      </w:r>
      <w:r w:rsidR="009A2A04" w:rsidRPr="00282AC9">
        <w:rPr>
          <w:rFonts w:ascii="AAA GoldenLotus" w:hAnsi="AAA GoldenLotus" w:cs="Mosawi"/>
          <w:sz w:val="22"/>
          <w:szCs w:val="22"/>
          <w:rtl/>
        </w:rPr>
        <w:t>×</w:t>
      </w:r>
      <w:r w:rsidRPr="00282AC9">
        <w:rPr>
          <w:rFonts w:ascii="AAA GoldenLotus" w:hAnsi="AAA GoldenLotus"/>
          <w:sz w:val="27"/>
          <w:rtl/>
        </w:rPr>
        <w:t xml:space="preserve">: </w:t>
      </w:r>
      <w:r w:rsidR="00EE13F1" w:rsidRPr="00282AC9">
        <w:rPr>
          <w:rFonts w:hint="eastAsia"/>
          <w:sz w:val="24"/>
          <w:szCs w:val="24"/>
          <w:rtl/>
        </w:rPr>
        <w:t>«</w:t>
      </w:r>
      <w:r w:rsidRPr="00282AC9">
        <w:rPr>
          <w:rFonts w:ascii="AAA GoldenLotus" w:hAnsi="AAA GoldenLotus"/>
          <w:sz w:val="27"/>
          <w:rtl/>
        </w:rPr>
        <w:t>انظروا إلى م</w:t>
      </w:r>
      <w:r w:rsidR="00EE13F1" w:rsidRPr="00282AC9">
        <w:rPr>
          <w:rFonts w:ascii="AAA GoldenLotus" w:hAnsi="AAA GoldenLotus" w:hint="cs"/>
          <w:sz w:val="27"/>
          <w:rtl/>
        </w:rPr>
        <w:t>َ</w:t>
      </w:r>
      <w:r w:rsidRPr="00282AC9">
        <w:rPr>
          <w:rFonts w:ascii="AAA GoldenLotus" w:hAnsi="AAA GoldenLotus"/>
          <w:sz w:val="27"/>
          <w:rtl/>
        </w:rPr>
        <w:t>ن</w:t>
      </w:r>
      <w:r w:rsidR="00EE13F1" w:rsidRPr="00282AC9">
        <w:rPr>
          <w:rFonts w:ascii="AAA GoldenLotus" w:hAnsi="AAA GoldenLotus" w:hint="cs"/>
          <w:sz w:val="27"/>
          <w:rtl/>
        </w:rPr>
        <w:t>ْ</w:t>
      </w:r>
      <w:r w:rsidRPr="00282AC9">
        <w:rPr>
          <w:rFonts w:ascii="AAA GoldenLotus" w:hAnsi="AAA GoldenLotus"/>
          <w:sz w:val="27"/>
          <w:rtl/>
        </w:rPr>
        <w:t xml:space="preserve"> معكم من الصبيان</w:t>
      </w:r>
      <w:r w:rsidR="00EE13F1"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58"/>
      </w:r>
      <w:r w:rsidRPr="00282AC9">
        <w:rPr>
          <w:rFonts w:ascii="AAA GoldenLotus" w:hAnsi="AAA GoldenLotus"/>
          <w:sz w:val="27"/>
          <w:vertAlign w:val="superscript"/>
          <w:rtl/>
        </w:rPr>
        <w:t>)</w:t>
      </w:r>
      <w:r w:rsidRPr="00282AC9">
        <w:rPr>
          <w:rFonts w:ascii="AAA GoldenLotus" w:hAnsi="AAA GoldenLotus"/>
          <w:sz w:val="27"/>
          <w:rtl/>
        </w:rPr>
        <w:t xml:space="preserve"> يشمل البنات أيضاً. </w:t>
      </w:r>
    </w:p>
    <w:p w:rsidR="00E355F2" w:rsidRPr="00282AC9" w:rsidRDefault="00E355F2" w:rsidP="00046546">
      <w:pPr>
        <w:rPr>
          <w:rFonts w:ascii="AAA GoldenLotus" w:hAnsi="AAA GoldenLotus"/>
          <w:sz w:val="27"/>
          <w:rtl/>
        </w:rPr>
      </w:pPr>
      <w:r w:rsidRPr="00282AC9">
        <w:rPr>
          <w:rFonts w:ascii="AAA GoldenLotus" w:hAnsi="AAA GoldenLotus" w:hint="cs"/>
          <w:sz w:val="27"/>
          <w:rtl/>
        </w:rPr>
        <w:t>ومرجع هذا الدليل إلى الارتكاز الآتي ذكر</w:t>
      </w:r>
      <w:r w:rsidR="00EE13F1" w:rsidRPr="00282AC9">
        <w:rPr>
          <w:rFonts w:ascii="AAA GoldenLotus" w:hAnsi="AAA GoldenLotus" w:hint="cs"/>
          <w:sz w:val="27"/>
          <w:rtl/>
        </w:rPr>
        <w:t>ُ</w:t>
      </w:r>
      <w:r w:rsidRPr="00282AC9">
        <w:rPr>
          <w:rFonts w:ascii="AAA GoldenLotus" w:hAnsi="AAA GoldenLotus" w:hint="cs"/>
          <w:sz w:val="27"/>
          <w:rtl/>
        </w:rPr>
        <w:t>ه،</w:t>
      </w:r>
      <w:r w:rsidR="00EE13F1" w:rsidRPr="00282AC9">
        <w:rPr>
          <w:rFonts w:ascii="AAA GoldenLotus" w:hAnsi="AAA GoldenLotus" w:hint="cs"/>
          <w:sz w:val="27"/>
          <w:rtl/>
        </w:rPr>
        <w:t xml:space="preserve"> وليس دليلاً مستقلاًّ</w:t>
      </w:r>
      <w:r w:rsidRPr="00282AC9">
        <w:rPr>
          <w:rFonts w:ascii="AAA GoldenLotus" w:hAnsi="AAA GoldenLotus" w:hint="cs"/>
          <w:sz w:val="27"/>
          <w:rtl/>
        </w:rPr>
        <w:t xml:space="preserve"> في </w:t>
      </w:r>
      <w:r w:rsidR="00EE6DBA" w:rsidRPr="00282AC9">
        <w:rPr>
          <w:rFonts w:ascii="AAA GoldenLotus" w:hAnsi="AAA GoldenLotus" w:hint="cs"/>
          <w:sz w:val="27"/>
          <w:rtl/>
        </w:rPr>
        <w:t>مقابل</w:t>
      </w:r>
      <w:r w:rsidRPr="00282AC9">
        <w:rPr>
          <w:rFonts w:ascii="AAA GoldenLotus" w:hAnsi="AAA GoldenLotus" w:hint="cs"/>
          <w:sz w:val="27"/>
          <w:rtl/>
        </w:rPr>
        <w:t>ه.</w:t>
      </w:r>
    </w:p>
    <w:p w:rsidR="008573BF" w:rsidRPr="00282AC9" w:rsidRDefault="008573BF" w:rsidP="008573BF">
      <w:pPr>
        <w:spacing w:line="420" w:lineRule="exact"/>
        <w:rPr>
          <w:rtl/>
        </w:rPr>
      </w:pPr>
    </w:p>
    <w:p w:rsidR="00E355F2" w:rsidRPr="00282AC9" w:rsidRDefault="00E355F2" w:rsidP="007D08F4">
      <w:pPr>
        <w:pStyle w:val="31"/>
        <w:rPr>
          <w:color w:val="auto"/>
          <w:rtl/>
        </w:rPr>
      </w:pPr>
      <w:r w:rsidRPr="00282AC9">
        <w:rPr>
          <w:rFonts w:hint="cs"/>
          <w:color w:val="auto"/>
          <w:rtl/>
        </w:rPr>
        <w:t>2ـ الأدلة غير اللفظي</w:t>
      </w:r>
      <w:r w:rsidR="00EE13F1" w:rsidRPr="00282AC9">
        <w:rPr>
          <w:rFonts w:hint="cs"/>
          <w:color w:val="auto"/>
          <w:rtl/>
        </w:rPr>
        <w:t>ّ</w:t>
      </w:r>
      <w:r w:rsidRPr="00282AC9">
        <w:rPr>
          <w:rFonts w:hint="cs"/>
          <w:color w:val="auto"/>
          <w:rtl/>
        </w:rPr>
        <w:t>ة</w:t>
      </w:r>
    </w:p>
    <w:p w:rsidR="00E355F2" w:rsidRPr="00282AC9" w:rsidRDefault="00E355F2" w:rsidP="008573BF">
      <w:pPr>
        <w:spacing w:line="410" w:lineRule="exact"/>
        <w:rPr>
          <w:rFonts w:ascii="AAA GoldenLotus" w:hAnsi="AAA GoldenLotus"/>
          <w:i/>
          <w:sz w:val="27"/>
          <w:rtl/>
        </w:rPr>
      </w:pPr>
      <w:r w:rsidRPr="00282AC9">
        <w:rPr>
          <w:rFonts w:ascii="AAA GoldenLotus" w:hAnsi="AAA GoldenLotus"/>
          <w:i/>
          <w:sz w:val="27"/>
          <w:rtl/>
        </w:rPr>
        <w:t xml:space="preserve"> </w:t>
      </w:r>
      <w:r w:rsidRPr="00282AC9">
        <w:rPr>
          <w:rFonts w:ascii="AAA GoldenLotus" w:hAnsi="AAA GoldenLotus" w:hint="cs"/>
          <w:i/>
          <w:sz w:val="27"/>
          <w:rtl/>
        </w:rPr>
        <w:t>استدل</w:t>
      </w:r>
      <w:r w:rsidR="00EE13F1" w:rsidRPr="00282AC9">
        <w:rPr>
          <w:rFonts w:ascii="AAA GoldenLotus" w:hAnsi="AAA GoldenLotus" w:hint="cs"/>
          <w:i/>
          <w:sz w:val="27"/>
          <w:rtl/>
        </w:rPr>
        <w:t>ّ</w:t>
      </w:r>
      <w:r w:rsidRPr="00282AC9">
        <w:rPr>
          <w:rFonts w:ascii="AAA GoldenLotus" w:hAnsi="AAA GoldenLotus"/>
          <w:i/>
          <w:sz w:val="27"/>
          <w:rtl/>
        </w:rPr>
        <w:t xml:space="preserve"> </w:t>
      </w:r>
      <w:r w:rsidRPr="00282AC9">
        <w:rPr>
          <w:rFonts w:ascii="AAA GoldenLotus" w:hAnsi="AAA GoldenLotus" w:hint="cs"/>
          <w:i/>
          <w:sz w:val="27"/>
          <w:rtl/>
        </w:rPr>
        <w:t>علماء</w:t>
      </w:r>
      <w:r w:rsidRPr="00282AC9">
        <w:rPr>
          <w:rFonts w:ascii="AAA GoldenLotus" w:hAnsi="AAA GoldenLotus"/>
          <w:i/>
          <w:sz w:val="27"/>
          <w:rtl/>
        </w:rPr>
        <w:t xml:space="preserve"> </w:t>
      </w:r>
      <w:r w:rsidRPr="00282AC9">
        <w:rPr>
          <w:rFonts w:ascii="AAA GoldenLotus" w:hAnsi="AAA GoldenLotus" w:hint="cs"/>
          <w:i/>
          <w:sz w:val="27"/>
          <w:rtl/>
        </w:rPr>
        <w:t>الإمامية</w:t>
      </w:r>
      <w:r w:rsidRPr="00282AC9">
        <w:rPr>
          <w:rFonts w:ascii="AAA GoldenLotus" w:hAnsi="AAA GoldenLotus"/>
          <w:i/>
          <w:sz w:val="27"/>
          <w:rtl/>
        </w:rPr>
        <w:t xml:space="preserve"> </w:t>
      </w:r>
      <w:r w:rsidRPr="00282AC9">
        <w:rPr>
          <w:rFonts w:ascii="AAA GoldenLotus" w:hAnsi="AAA GoldenLotus" w:hint="cs"/>
          <w:i/>
          <w:sz w:val="27"/>
          <w:rtl/>
        </w:rPr>
        <w:t>على</w:t>
      </w:r>
      <w:r w:rsidRPr="00282AC9">
        <w:rPr>
          <w:rFonts w:ascii="AAA GoldenLotus" w:hAnsi="AAA GoldenLotus"/>
          <w:i/>
          <w:sz w:val="27"/>
          <w:rtl/>
        </w:rPr>
        <w:t xml:space="preserve"> </w:t>
      </w:r>
      <w:r w:rsidRPr="00282AC9">
        <w:rPr>
          <w:rFonts w:ascii="AAA GoldenLotus" w:hAnsi="AAA GoldenLotus" w:hint="cs"/>
          <w:i/>
          <w:sz w:val="27"/>
          <w:rtl/>
        </w:rPr>
        <w:t>قاعدة</w:t>
      </w:r>
      <w:r w:rsidRPr="00282AC9">
        <w:rPr>
          <w:rFonts w:ascii="AAA GoldenLotus" w:hAnsi="AAA GoldenLotus"/>
          <w:i/>
          <w:sz w:val="27"/>
          <w:rtl/>
        </w:rPr>
        <w:t xml:space="preserve"> </w:t>
      </w:r>
      <w:r w:rsidRPr="00282AC9">
        <w:rPr>
          <w:rFonts w:ascii="AAA GoldenLotus" w:hAnsi="AAA GoldenLotus" w:hint="cs"/>
          <w:i/>
          <w:sz w:val="27"/>
          <w:rtl/>
        </w:rPr>
        <w:t>الاشتراك</w:t>
      </w:r>
      <w:r w:rsidRPr="00282AC9">
        <w:rPr>
          <w:rFonts w:ascii="AAA GoldenLotus" w:hAnsi="AAA GoldenLotus"/>
          <w:i/>
          <w:sz w:val="27"/>
          <w:rtl/>
        </w:rPr>
        <w:t xml:space="preserve"> </w:t>
      </w:r>
      <w:r w:rsidRPr="00282AC9">
        <w:rPr>
          <w:rFonts w:ascii="AAA GoldenLotus" w:hAnsi="AAA GoldenLotus" w:hint="cs"/>
          <w:i/>
          <w:sz w:val="27"/>
          <w:rtl/>
        </w:rPr>
        <w:t>بين</w:t>
      </w:r>
      <w:r w:rsidRPr="00282AC9">
        <w:rPr>
          <w:rFonts w:ascii="AAA GoldenLotus" w:hAnsi="AAA GoldenLotus"/>
          <w:i/>
          <w:sz w:val="27"/>
          <w:rtl/>
        </w:rPr>
        <w:t xml:space="preserve"> </w:t>
      </w:r>
      <w:r w:rsidRPr="00282AC9">
        <w:rPr>
          <w:rFonts w:ascii="AAA GoldenLotus" w:hAnsi="AAA GoldenLotus" w:hint="cs"/>
          <w:i/>
          <w:sz w:val="27"/>
          <w:rtl/>
        </w:rPr>
        <w:t>الرجل</w:t>
      </w:r>
      <w:r w:rsidRPr="00282AC9">
        <w:rPr>
          <w:rFonts w:ascii="AAA GoldenLotus" w:hAnsi="AAA GoldenLotus"/>
          <w:i/>
          <w:sz w:val="27"/>
          <w:rtl/>
        </w:rPr>
        <w:t xml:space="preserve"> </w:t>
      </w:r>
      <w:r w:rsidRPr="00282AC9">
        <w:rPr>
          <w:rFonts w:ascii="AAA GoldenLotus" w:hAnsi="AAA GoldenLotus" w:hint="cs"/>
          <w:i/>
          <w:sz w:val="27"/>
          <w:rtl/>
        </w:rPr>
        <w:t>والمرأة</w:t>
      </w:r>
      <w:r w:rsidRPr="00282AC9">
        <w:rPr>
          <w:rFonts w:ascii="AAA GoldenLotus" w:hAnsi="AAA GoldenLotus"/>
          <w:i/>
          <w:sz w:val="27"/>
          <w:rtl/>
        </w:rPr>
        <w:t xml:space="preserve"> </w:t>
      </w:r>
      <w:r w:rsidRPr="00282AC9">
        <w:rPr>
          <w:rFonts w:ascii="AAA GoldenLotus" w:hAnsi="AAA GoldenLotus" w:hint="cs"/>
          <w:i/>
          <w:sz w:val="27"/>
          <w:rtl/>
        </w:rPr>
        <w:t>بعد</w:t>
      </w:r>
      <w:r w:rsidR="00EE13F1" w:rsidRPr="00282AC9">
        <w:rPr>
          <w:rFonts w:ascii="AAA GoldenLotus" w:hAnsi="AAA GoldenLotus" w:hint="cs"/>
          <w:i/>
          <w:sz w:val="27"/>
          <w:rtl/>
        </w:rPr>
        <w:t>ّ</w:t>
      </w:r>
      <w:r w:rsidRPr="00282AC9">
        <w:rPr>
          <w:rFonts w:ascii="AAA GoldenLotus" w:hAnsi="AAA GoldenLotus" w:hint="cs"/>
          <w:i/>
          <w:sz w:val="27"/>
          <w:rtl/>
        </w:rPr>
        <w:t>ة أدل</w:t>
      </w:r>
      <w:r w:rsidR="00EE13F1" w:rsidRPr="00282AC9">
        <w:rPr>
          <w:rFonts w:ascii="AAA GoldenLotus" w:hAnsi="AAA GoldenLotus" w:hint="cs"/>
          <w:i/>
          <w:sz w:val="27"/>
          <w:rtl/>
        </w:rPr>
        <w:t>ّ</w:t>
      </w:r>
      <w:r w:rsidRPr="00282AC9">
        <w:rPr>
          <w:rFonts w:ascii="AAA GoldenLotus" w:hAnsi="AAA GoldenLotus" w:hint="cs"/>
          <w:i/>
          <w:sz w:val="27"/>
          <w:rtl/>
        </w:rPr>
        <w:t>ة</w:t>
      </w:r>
      <w:r w:rsidR="00EE13F1" w:rsidRPr="00282AC9">
        <w:rPr>
          <w:rFonts w:ascii="AAA GoldenLotus" w:hAnsi="AAA GoldenLotus" w:hint="cs"/>
          <w:i/>
          <w:sz w:val="27"/>
          <w:rtl/>
        </w:rPr>
        <w:t>ٍ</w:t>
      </w:r>
      <w:r w:rsidRPr="00282AC9">
        <w:rPr>
          <w:rFonts w:ascii="AAA GoldenLotus" w:hAnsi="AAA GoldenLotus" w:hint="cs"/>
          <w:i/>
          <w:sz w:val="27"/>
          <w:rtl/>
        </w:rPr>
        <w:t xml:space="preserve"> غير لفظي</w:t>
      </w:r>
      <w:r w:rsidR="00EE13F1" w:rsidRPr="00282AC9">
        <w:rPr>
          <w:rFonts w:ascii="AAA GoldenLotus" w:hAnsi="AAA GoldenLotus" w:hint="cs"/>
          <w:i/>
          <w:sz w:val="27"/>
          <w:rtl/>
        </w:rPr>
        <w:t>ّ</w:t>
      </w:r>
      <w:r w:rsidRPr="00282AC9">
        <w:rPr>
          <w:rFonts w:ascii="AAA GoldenLotus" w:hAnsi="AAA GoldenLotus" w:hint="cs"/>
          <w:i/>
          <w:sz w:val="27"/>
          <w:rtl/>
        </w:rPr>
        <w:t>ة،</w:t>
      </w:r>
      <w:r w:rsidRPr="00282AC9">
        <w:rPr>
          <w:rFonts w:ascii="AAA GoldenLotus" w:hAnsi="AAA GoldenLotus"/>
          <w:i/>
          <w:sz w:val="27"/>
          <w:rtl/>
        </w:rPr>
        <w:t xml:space="preserve"> </w:t>
      </w:r>
      <w:r w:rsidRPr="00282AC9">
        <w:rPr>
          <w:rFonts w:ascii="AAA GoldenLotus" w:hAnsi="AAA GoldenLotus" w:hint="cs"/>
          <w:i/>
          <w:sz w:val="27"/>
          <w:rtl/>
        </w:rPr>
        <w:t>منها</w:t>
      </w:r>
      <w:r w:rsidRPr="00282AC9">
        <w:rPr>
          <w:rFonts w:ascii="AAA GoldenLotus" w:hAnsi="AAA GoldenLotus"/>
          <w:i/>
          <w:sz w:val="27"/>
          <w:rtl/>
        </w:rPr>
        <w:t>:</w:t>
      </w:r>
    </w:p>
    <w:p w:rsidR="008573BF" w:rsidRPr="00282AC9" w:rsidRDefault="008573BF" w:rsidP="008573BF">
      <w:pPr>
        <w:spacing w:line="420" w:lineRule="exact"/>
        <w:rPr>
          <w:rtl/>
        </w:rPr>
      </w:pPr>
    </w:p>
    <w:p w:rsidR="00E355F2" w:rsidRPr="00282AC9" w:rsidRDefault="00E355F2" w:rsidP="002F5241">
      <w:pPr>
        <w:pStyle w:val="31"/>
        <w:rPr>
          <w:color w:val="auto"/>
          <w:rtl/>
        </w:rPr>
      </w:pPr>
      <w:r w:rsidRPr="00282AC9">
        <w:rPr>
          <w:rFonts w:hint="cs"/>
          <w:color w:val="auto"/>
          <w:rtl/>
        </w:rPr>
        <w:t xml:space="preserve">أـ </w:t>
      </w:r>
      <w:r w:rsidRPr="00282AC9">
        <w:rPr>
          <w:color w:val="auto"/>
          <w:rtl/>
        </w:rPr>
        <w:t>الضرورة</w:t>
      </w:r>
      <w:r w:rsidR="00EE13F1" w:rsidRPr="00282AC9">
        <w:rPr>
          <w:rFonts w:hint="cs"/>
          <w:color w:val="auto"/>
          <w:rtl/>
        </w:rPr>
        <w:t>،</w:t>
      </w:r>
      <w:r w:rsidRPr="00282AC9">
        <w:rPr>
          <w:color w:val="auto"/>
          <w:rtl/>
        </w:rPr>
        <w:t xml:space="preserve"> والات</w:t>
      </w:r>
      <w:r w:rsidR="00EE13F1" w:rsidRPr="00282AC9">
        <w:rPr>
          <w:rFonts w:hint="cs"/>
          <w:color w:val="auto"/>
          <w:rtl/>
        </w:rPr>
        <w:t>ّ</w:t>
      </w:r>
      <w:r w:rsidRPr="00282AC9">
        <w:rPr>
          <w:color w:val="auto"/>
          <w:rtl/>
        </w:rPr>
        <w:t>فاق القطعي</w:t>
      </w:r>
      <w:r w:rsidR="00EE13F1" w:rsidRPr="00282AC9">
        <w:rPr>
          <w:rFonts w:hint="cs"/>
          <w:color w:val="auto"/>
          <w:rtl/>
        </w:rPr>
        <w:t>ّ</w:t>
      </w:r>
      <w:r w:rsidRPr="00282AC9">
        <w:rPr>
          <w:color w:val="auto"/>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من أهم</w:t>
      </w:r>
      <w:r w:rsidR="00EE13F1" w:rsidRPr="00282AC9">
        <w:rPr>
          <w:rFonts w:ascii="AAA GoldenLotus" w:hAnsi="AAA GoldenLotus" w:hint="cs"/>
          <w:sz w:val="27"/>
          <w:rtl/>
        </w:rPr>
        <w:t>ّ</w:t>
      </w:r>
      <w:r w:rsidRPr="00282AC9">
        <w:rPr>
          <w:rFonts w:ascii="AAA GoldenLotus" w:hAnsi="AAA GoldenLotus"/>
          <w:sz w:val="27"/>
          <w:rtl/>
        </w:rPr>
        <w:t xml:space="preserve"> الوجوه المستد</w:t>
      </w:r>
      <w:r w:rsidR="00EE13F1" w:rsidRPr="00282AC9">
        <w:rPr>
          <w:rFonts w:ascii="AAA GoldenLotus" w:hAnsi="AAA GoldenLotus" w:hint="cs"/>
          <w:sz w:val="27"/>
          <w:rtl/>
        </w:rPr>
        <w:t>َ</w:t>
      </w:r>
      <w:r w:rsidRPr="00282AC9">
        <w:rPr>
          <w:rFonts w:ascii="AAA GoldenLotus" w:hAnsi="AAA GoldenLotus"/>
          <w:sz w:val="27"/>
          <w:rtl/>
        </w:rPr>
        <w:t>ل</w:t>
      </w:r>
      <w:r w:rsidR="00EE13F1" w:rsidRPr="00282AC9">
        <w:rPr>
          <w:rFonts w:ascii="AAA GoldenLotus" w:hAnsi="AAA GoldenLotus" w:hint="cs"/>
          <w:sz w:val="27"/>
          <w:rtl/>
        </w:rPr>
        <w:t>ّ</w:t>
      </w:r>
      <w:r w:rsidRPr="00282AC9">
        <w:rPr>
          <w:rFonts w:ascii="AAA GoldenLotus" w:hAnsi="AAA GoldenLotus"/>
          <w:sz w:val="27"/>
          <w:rtl/>
        </w:rPr>
        <w:t xml:space="preserve"> بها على اعتبار هذه القاعدة ضرورة الشرع</w:t>
      </w:r>
      <w:r w:rsidR="00EE13F1" w:rsidRPr="00282AC9">
        <w:rPr>
          <w:rFonts w:ascii="AAA GoldenLotus" w:hAnsi="AAA GoldenLotus" w:hint="cs"/>
          <w:sz w:val="27"/>
          <w:rtl/>
        </w:rPr>
        <w:t>،</w:t>
      </w:r>
      <w:r w:rsidRPr="00282AC9">
        <w:rPr>
          <w:rFonts w:ascii="AAA GoldenLotus" w:hAnsi="AAA GoldenLotus"/>
          <w:sz w:val="27"/>
          <w:rtl/>
        </w:rPr>
        <w:t xml:space="preserve"> وتسالم الفقهاء</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59"/>
      </w:r>
      <w:r w:rsidRPr="00282AC9">
        <w:rPr>
          <w:rFonts w:ascii="AAA GoldenLotus" w:hAnsi="AAA GoldenLotus"/>
          <w:sz w:val="27"/>
          <w:vertAlign w:val="superscript"/>
          <w:rtl/>
        </w:rPr>
        <w:t>)</w:t>
      </w:r>
      <w:r w:rsidRPr="00282AC9">
        <w:rPr>
          <w:rFonts w:ascii="AAA GoldenLotus" w:hAnsi="AAA GoldenLotus"/>
          <w:sz w:val="27"/>
          <w:rtl/>
        </w:rPr>
        <w:t>، بل ات</w:t>
      </w:r>
      <w:r w:rsidR="00EE13F1" w:rsidRPr="00282AC9">
        <w:rPr>
          <w:rFonts w:ascii="AAA GoldenLotus" w:hAnsi="AAA GoldenLotus" w:hint="cs"/>
          <w:sz w:val="27"/>
          <w:rtl/>
        </w:rPr>
        <w:t>ّ</w:t>
      </w:r>
      <w:r w:rsidRPr="00282AC9">
        <w:rPr>
          <w:rFonts w:ascii="AAA GoldenLotus" w:hAnsi="AAA GoldenLotus"/>
          <w:sz w:val="27"/>
          <w:rtl/>
        </w:rPr>
        <w:t>فاق المسلمين كاف</w:t>
      </w:r>
      <w:r w:rsidR="00EE13F1" w:rsidRPr="00282AC9">
        <w:rPr>
          <w:rFonts w:ascii="AAA GoldenLotus" w:hAnsi="AAA GoldenLotus" w:hint="cs"/>
          <w:sz w:val="27"/>
          <w:rtl/>
        </w:rPr>
        <w:t>ّ</w:t>
      </w:r>
      <w:r w:rsidRPr="00282AC9">
        <w:rPr>
          <w:rFonts w:ascii="AAA GoldenLotus" w:hAnsi="AAA GoldenLotus"/>
          <w:sz w:val="27"/>
          <w:rtl/>
        </w:rPr>
        <w:t>ة</w:t>
      </w:r>
      <w:r w:rsidR="00EE13F1" w:rsidRPr="00282AC9">
        <w:rPr>
          <w:rFonts w:ascii="AAA GoldenLotus" w:hAnsi="AAA GoldenLotus" w:hint="cs"/>
          <w:sz w:val="27"/>
          <w:rtl/>
        </w:rPr>
        <w:t>ً</w:t>
      </w:r>
      <w:r w:rsidRPr="00282AC9">
        <w:rPr>
          <w:rFonts w:ascii="AAA GoldenLotus" w:hAnsi="AAA GoldenLotus"/>
          <w:sz w:val="27"/>
          <w:rtl/>
        </w:rPr>
        <w:t xml:space="preserve"> عليها</w:t>
      </w:r>
      <w:r w:rsidR="00EE13F1" w:rsidRPr="00282AC9">
        <w:rPr>
          <w:rFonts w:ascii="AAA GoldenLotus" w:hAnsi="AAA GoldenLotus" w:hint="cs"/>
          <w:sz w:val="27"/>
          <w:rtl/>
        </w:rPr>
        <w:t>.</w:t>
      </w:r>
      <w:r w:rsidRPr="00282AC9">
        <w:rPr>
          <w:rFonts w:ascii="AAA GoldenLotus" w:hAnsi="AAA GoldenLotus"/>
          <w:sz w:val="27"/>
          <w:rtl/>
        </w:rPr>
        <w:t xml:space="preserve"> فقد اد</w:t>
      </w:r>
      <w:r w:rsidR="00EE13F1" w:rsidRPr="00282AC9">
        <w:rPr>
          <w:rFonts w:ascii="AAA GoldenLotus" w:hAnsi="AAA GoldenLotus" w:hint="cs"/>
          <w:sz w:val="27"/>
          <w:rtl/>
        </w:rPr>
        <w:t>ُّ</w:t>
      </w:r>
      <w:r w:rsidRPr="00282AC9">
        <w:rPr>
          <w:rFonts w:ascii="AAA GoldenLotus" w:hAnsi="AAA GoldenLotus"/>
          <w:sz w:val="27"/>
          <w:rtl/>
        </w:rPr>
        <w:t>عي أن الأصحاب ات</w:t>
      </w:r>
      <w:r w:rsidR="00EE13F1" w:rsidRPr="00282AC9">
        <w:rPr>
          <w:rFonts w:ascii="AAA GoldenLotus" w:hAnsi="AAA GoldenLotus" w:hint="cs"/>
          <w:sz w:val="27"/>
          <w:rtl/>
        </w:rPr>
        <w:t>ّ</w:t>
      </w:r>
      <w:r w:rsidRPr="00282AC9">
        <w:rPr>
          <w:rFonts w:ascii="AAA GoldenLotus" w:hAnsi="AAA GoldenLotus"/>
          <w:sz w:val="27"/>
          <w:rtl/>
        </w:rPr>
        <w:t>فقوا على قاعدة الاشتراك في التكليف بين جميع المكل</w:t>
      </w:r>
      <w:r w:rsidR="00EE13F1" w:rsidRPr="00282AC9">
        <w:rPr>
          <w:rFonts w:ascii="AAA GoldenLotus" w:hAnsi="AAA GoldenLotus" w:hint="cs"/>
          <w:sz w:val="27"/>
          <w:rtl/>
        </w:rPr>
        <w:t>َّ</w:t>
      </w:r>
      <w:r w:rsidRPr="00282AC9">
        <w:rPr>
          <w:rFonts w:ascii="AAA GoldenLotus" w:hAnsi="AAA GoldenLotus"/>
          <w:sz w:val="27"/>
          <w:rtl/>
        </w:rPr>
        <w:t>فين</w:t>
      </w:r>
      <w:r w:rsidR="00EE13F1"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spacing w:val="-4"/>
          <w:sz w:val="27"/>
          <w:rtl/>
        </w:rPr>
        <w:t>رجالاً ونساءً</w:t>
      </w:r>
      <w:r w:rsidR="00EE13F1" w:rsidRPr="00282AC9">
        <w:rPr>
          <w:rFonts w:ascii="AAA GoldenLotus" w:hAnsi="AAA GoldenLotus" w:hint="cs"/>
          <w:spacing w:val="-4"/>
          <w:sz w:val="27"/>
          <w:rtl/>
        </w:rPr>
        <w:t>.</w:t>
      </w:r>
      <w:r w:rsidRPr="00282AC9">
        <w:rPr>
          <w:rFonts w:ascii="AAA GoldenLotus" w:hAnsi="AAA GoldenLotus"/>
          <w:spacing w:val="-4"/>
          <w:sz w:val="27"/>
          <w:rtl/>
        </w:rPr>
        <w:t xml:space="preserve"> ويشهد به استدلالهم بالخطابات الخاص</w:t>
      </w:r>
      <w:r w:rsidR="00EE13F1" w:rsidRPr="00282AC9">
        <w:rPr>
          <w:rFonts w:ascii="AAA GoldenLotus" w:hAnsi="AAA GoldenLotus" w:hint="cs"/>
          <w:spacing w:val="-4"/>
          <w:sz w:val="27"/>
          <w:rtl/>
        </w:rPr>
        <w:t>ّ</w:t>
      </w:r>
      <w:r w:rsidRPr="00282AC9">
        <w:rPr>
          <w:rFonts w:ascii="AAA GoldenLotus" w:hAnsi="AAA GoldenLotus"/>
          <w:spacing w:val="-4"/>
          <w:sz w:val="27"/>
          <w:rtl/>
        </w:rPr>
        <w:t>ة في إثبات عموم الحكم لكل</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المكل</w:t>
      </w:r>
      <w:r w:rsidR="007E6FCD" w:rsidRPr="00282AC9">
        <w:rPr>
          <w:rFonts w:ascii="AAA GoldenLotus" w:hAnsi="AAA GoldenLotus" w:hint="cs"/>
          <w:spacing w:val="-4"/>
          <w:sz w:val="27"/>
          <w:rtl/>
        </w:rPr>
        <w:t>َّ</w:t>
      </w:r>
      <w:r w:rsidRPr="00282AC9">
        <w:rPr>
          <w:rFonts w:ascii="AAA GoldenLotus" w:hAnsi="AAA GoldenLotus"/>
          <w:spacing w:val="-4"/>
          <w:sz w:val="27"/>
          <w:rtl/>
        </w:rPr>
        <w:t>فين</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من الرجال والنساء</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خ</w:t>
      </w:r>
      <w:r w:rsidR="007E6FCD" w:rsidRPr="00282AC9">
        <w:rPr>
          <w:rFonts w:ascii="AAA GoldenLotus" w:hAnsi="AAA GoldenLotus" w:hint="cs"/>
          <w:spacing w:val="-4"/>
          <w:sz w:val="27"/>
          <w:rtl/>
        </w:rPr>
        <w:t>َ</w:t>
      </w:r>
      <w:r w:rsidRPr="00282AC9">
        <w:rPr>
          <w:rFonts w:ascii="AAA GoldenLotus" w:hAnsi="AAA GoldenLotus"/>
          <w:spacing w:val="-4"/>
          <w:sz w:val="27"/>
          <w:rtl/>
        </w:rPr>
        <w:t>ل</w:t>
      </w:r>
      <w:r w:rsidR="007E6FCD" w:rsidRPr="00282AC9">
        <w:rPr>
          <w:rFonts w:ascii="AAA GoldenLotus" w:hAnsi="AAA GoldenLotus" w:hint="cs"/>
          <w:spacing w:val="-4"/>
          <w:sz w:val="27"/>
          <w:rtl/>
        </w:rPr>
        <w:t>َ</w:t>
      </w:r>
      <w:r w:rsidRPr="00282AC9">
        <w:rPr>
          <w:rFonts w:ascii="AAA GoldenLotus" w:hAnsi="AAA GoldenLotus"/>
          <w:spacing w:val="-4"/>
          <w:sz w:val="27"/>
          <w:rtl/>
        </w:rPr>
        <w:t>فاً عن س</w:t>
      </w:r>
      <w:r w:rsidR="007E6FCD" w:rsidRPr="00282AC9">
        <w:rPr>
          <w:rFonts w:ascii="AAA GoldenLotus" w:hAnsi="AAA GoldenLotus" w:hint="cs"/>
          <w:spacing w:val="-4"/>
          <w:sz w:val="27"/>
          <w:rtl/>
        </w:rPr>
        <w:t>َ</w:t>
      </w:r>
      <w:r w:rsidRPr="00282AC9">
        <w:rPr>
          <w:rFonts w:ascii="AAA GoldenLotus" w:hAnsi="AAA GoldenLotus"/>
          <w:spacing w:val="-4"/>
          <w:sz w:val="27"/>
          <w:rtl/>
        </w:rPr>
        <w:t>ل</w:t>
      </w:r>
      <w:r w:rsidR="007E6FCD" w:rsidRPr="00282AC9">
        <w:rPr>
          <w:rFonts w:ascii="AAA GoldenLotus" w:hAnsi="AAA GoldenLotus" w:hint="cs"/>
          <w:spacing w:val="-4"/>
          <w:sz w:val="27"/>
          <w:rtl/>
        </w:rPr>
        <w:t>َ</w:t>
      </w:r>
      <w:r w:rsidRPr="00282AC9">
        <w:rPr>
          <w:rFonts w:ascii="AAA GoldenLotus" w:hAnsi="AAA GoldenLotus"/>
          <w:spacing w:val="-4"/>
          <w:sz w:val="27"/>
          <w:rtl/>
        </w:rPr>
        <w:t>ف</w:t>
      </w:r>
      <w:r w:rsidRPr="00282AC9">
        <w:rPr>
          <w:rFonts w:ascii="AAA GoldenLotus" w:hAnsi="AAA GoldenLotus"/>
          <w:spacing w:val="-4"/>
          <w:sz w:val="27"/>
          <w:vertAlign w:val="superscript"/>
          <w:rtl/>
        </w:rPr>
        <w:t>(</w:t>
      </w:r>
      <w:r w:rsidRPr="00282AC9">
        <w:rPr>
          <w:rFonts w:ascii="AAA GoldenLotus" w:hAnsi="AAA GoldenLotus"/>
          <w:spacing w:val="-4"/>
          <w:sz w:val="27"/>
          <w:vertAlign w:val="superscript"/>
          <w:rtl/>
        </w:rPr>
        <w:endnoteReference w:id="360"/>
      </w:r>
      <w:r w:rsidRPr="00282AC9">
        <w:rPr>
          <w:rFonts w:ascii="AAA GoldenLotus" w:hAnsi="AAA GoldenLotus"/>
          <w:spacing w:val="-4"/>
          <w:sz w:val="27"/>
          <w:vertAlign w:val="superscript"/>
          <w:rtl/>
        </w:rPr>
        <w:t>)</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وثبوت الات</w:t>
      </w:r>
      <w:r w:rsidR="007E6FCD" w:rsidRPr="00282AC9">
        <w:rPr>
          <w:rFonts w:ascii="AAA GoldenLotus" w:hAnsi="AAA GoldenLotus" w:hint="cs"/>
          <w:spacing w:val="-4"/>
          <w:sz w:val="27"/>
          <w:rtl/>
        </w:rPr>
        <w:t>ّ</w:t>
      </w:r>
      <w:r w:rsidRPr="00282AC9">
        <w:rPr>
          <w:rFonts w:ascii="AAA GoldenLotus" w:hAnsi="AAA GoldenLotus"/>
          <w:spacing w:val="-4"/>
          <w:sz w:val="27"/>
          <w:rtl/>
        </w:rPr>
        <w:t>فاق غير قابل</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للإنكار؛ حيث إن الاصحاب يستدل</w:t>
      </w:r>
      <w:r w:rsidR="007E6FCD" w:rsidRPr="00282AC9">
        <w:rPr>
          <w:rFonts w:ascii="AAA GoldenLotus" w:hAnsi="AAA GoldenLotus" w:hint="cs"/>
          <w:spacing w:val="-4"/>
          <w:sz w:val="27"/>
          <w:rtl/>
        </w:rPr>
        <w:t>ّ</w:t>
      </w:r>
      <w:r w:rsidRPr="00282AC9">
        <w:rPr>
          <w:rFonts w:ascii="AAA GoldenLotus" w:hAnsi="AAA GoldenLotus"/>
          <w:spacing w:val="-4"/>
          <w:sz w:val="27"/>
          <w:rtl/>
        </w:rPr>
        <w:t>ون من قديم الأيام بالخطابات الخاص</w:t>
      </w:r>
      <w:r w:rsidR="007E6FCD" w:rsidRPr="00282AC9">
        <w:rPr>
          <w:rFonts w:ascii="AAA GoldenLotus" w:hAnsi="AAA GoldenLotus" w:hint="cs"/>
          <w:spacing w:val="-4"/>
          <w:sz w:val="27"/>
          <w:rtl/>
        </w:rPr>
        <w:t>ّ</w:t>
      </w:r>
      <w:r w:rsidRPr="00282AC9">
        <w:rPr>
          <w:rFonts w:ascii="AAA GoldenLotus" w:hAnsi="AAA GoldenLotus"/>
          <w:spacing w:val="-4"/>
          <w:sz w:val="27"/>
          <w:rtl/>
        </w:rPr>
        <w:t>ة المتوج</w:t>
      </w:r>
      <w:r w:rsidR="007E6FCD" w:rsidRPr="00282AC9">
        <w:rPr>
          <w:rFonts w:ascii="AAA GoldenLotus" w:hAnsi="AAA GoldenLotus" w:hint="cs"/>
          <w:spacing w:val="-4"/>
          <w:sz w:val="27"/>
          <w:rtl/>
        </w:rPr>
        <w:t>ِّ</w:t>
      </w:r>
      <w:r w:rsidRPr="00282AC9">
        <w:rPr>
          <w:rFonts w:ascii="AAA GoldenLotus" w:hAnsi="AAA GoldenLotus"/>
          <w:spacing w:val="-4"/>
          <w:sz w:val="27"/>
          <w:rtl/>
        </w:rPr>
        <w:t>هة إلى شخص</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أو أشخاص على ثبوت الحكم الشرعي</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لكل</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واحد</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من آحاد المكل</w:t>
      </w:r>
      <w:r w:rsidR="007E6FCD" w:rsidRPr="00282AC9">
        <w:rPr>
          <w:rFonts w:ascii="AAA GoldenLotus" w:hAnsi="AAA GoldenLotus" w:hint="cs"/>
          <w:spacing w:val="-4"/>
          <w:sz w:val="27"/>
          <w:rtl/>
        </w:rPr>
        <w:t>َّ</w:t>
      </w:r>
      <w:r w:rsidRPr="00282AC9">
        <w:rPr>
          <w:rFonts w:ascii="AAA GoldenLotus" w:hAnsi="AAA GoldenLotus"/>
          <w:spacing w:val="-4"/>
          <w:sz w:val="27"/>
          <w:rtl/>
        </w:rPr>
        <w:t>فين</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رجلاً أم امرأة</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في أي</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زمان</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كانوا</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وفي أي</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مكان</w:t>
      </w:r>
      <w:r w:rsidR="007E6FCD" w:rsidRPr="00282AC9">
        <w:rPr>
          <w:rFonts w:ascii="AAA GoldenLotus" w:hAnsi="AAA GoldenLotus" w:hint="cs"/>
          <w:spacing w:val="-4"/>
          <w:sz w:val="27"/>
          <w:rtl/>
        </w:rPr>
        <w:t>ٍ</w:t>
      </w:r>
      <w:r w:rsidRPr="00282AC9">
        <w:rPr>
          <w:rFonts w:ascii="AAA GoldenLotus" w:hAnsi="AAA GoldenLotus"/>
          <w:spacing w:val="-4"/>
          <w:sz w:val="27"/>
          <w:rtl/>
        </w:rPr>
        <w:t>، وهذا يكشف كشفاً قطعي</w:t>
      </w:r>
      <w:r w:rsidR="007E6FCD" w:rsidRPr="00282AC9">
        <w:rPr>
          <w:rFonts w:ascii="AAA GoldenLotus" w:hAnsi="AAA GoldenLotus" w:hint="cs"/>
          <w:spacing w:val="-4"/>
          <w:sz w:val="27"/>
          <w:rtl/>
        </w:rPr>
        <w:t>ّ</w:t>
      </w:r>
      <w:r w:rsidRPr="00282AC9">
        <w:rPr>
          <w:rFonts w:ascii="AAA GoldenLotus" w:hAnsi="AAA GoldenLotus"/>
          <w:spacing w:val="-4"/>
          <w:sz w:val="27"/>
          <w:rtl/>
        </w:rPr>
        <w:t>اً عن اشتراك جميع المكل</w:t>
      </w:r>
      <w:r w:rsidR="007E6FCD" w:rsidRPr="00282AC9">
        <w:rPr>
          <w:rFonts w:ascii="AAA GoldenLotus" w:hAnsi="AAA GoldenLotus" w:hint="cs"/>
          <w:spacing w:val="-4"/>
          <w:sz w:val="27"/>
          <w:rtl/>
        </w:rPr>
        <w:t>َّ</w:t>
      </w:r>
      <w:r w:rsidRPr="00282AC9">
        <w:rPr>
          <w:rFonts w:ascii="AAA GoldenLotus" w:hAnsi="AAA GoldenLotus"/>
          <w:spacing w:val="-4"/>
          <w:sz w:val="27"/>
          <w:rtl/>
        </w:rPr>
        <w:t>فين في الأحكام الشرعية الصادرة من الشارع</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إلا</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في مورد</w:t>
      </w:r>
      <w:r w:rsidR="007E6FCD" w:rsidRPr="00282AC9">
        <w:rPr>
          <w:rFonts w:ascii="AAA GoldenLotus" w:hAnsi="AAA GoldenLotus" w:hint="cs"/>
          <w:spacing w:val="-4"/>
          <w:sz w:val="27"/>
          <w:rtl/>
        </w:rPr>
        <w:t>ٍ</w:t>
      </w:r>
      <w:r w:rsidRPr="00282AC9">
        <w:rPr>
          <w:rFonts w:ascii="AAA GoldenLotus" w:hAnsi="AAA GoldenLotus"/>
          <w:spacing w:val="-4"/>
          <w:sz w:val="27"/>
          <w:rtl/>
        </w:rPr>
        <w:t xml:space="preserve"> ثبت د</w:t>
      </w:r>
      <w:r w:rsidR="007E6FCD" w:rsidRPr="00282AC9">
        <w:rPr>
          <w:rFonts w:ascii="AAA GoldenLotus" w:hAnsi="AAA GoldenLotus" w:hint="cs"/>
          <w:spacing w:val="-4"/>
          <w:sz w:val="27"/>
          <w:rtl/>
        </w:rPr>
        <w:t>َ</w:t>
      </w:r>
      <w:r w:rsidRPr="00282AC9">
        <w:rPr>
          <w:rFonts w:ascii="AAA GoldenLotus" w:hAnsi="AAA GoldenLotus"/>
          <w:spacing w:val="-4"/>
          <w:sz w:val="27"/>
          <w:rtl/>
        </w:rPr>
        <w:t>خ</w:t>
      </w:r>
      <w:r w:rsidR="007E6FCD" w:rsidRPr="00282AC9">
        <w:rPr>
          <w:rFonts w:ascii="AAA GoldenLotus" w:hAnsi="AAA GoldenLotus" w:hint="cs"/>
          <w:spacing w:val="-4"/>
          <w:sz w:val="27"/>
          <w:rtl/>
        </w:rPr>
        <w:t>ْ</w:t>
      </w:r>
      <w:r w:rsidRPr="00282AC9">
        <w:rPr>
          <w:rFonts w:ascii="AAA GoldenLotus" w:hAnsi="AAA GoldenLotus"/>
          <w:spacing w:val="-4"/>
          <w:sz w:val="27"/>
          <w:rtl/>
        </w:rPr>
        <w:t>ل خصوصي</w:t>
      </w:r>
      <w:r w:rsidR="007E6FCD" w:rsidRPr="00282AC9">
        <w:rPr>
          <w:rFonts w:ascii="AAA GoldenLotus" w:hAnsi="AAA GoldenLotus" w:hint="cs"/>
          <w:spacing w:val="-4"/>
          <w:sz w:val="27"/>
          <w:rtl/>
        </w:rPr>
        <w:t>ّ</w:t>
      </w:r>
      <w:r w:rsidRPr="00282AC9">
        <w:rPr>
          <w:rFonts w:ascii="AAA GoldenLotus" w:hAnsi="AAA GoldenLotus"/>
          <w:spacing w:val="-4"/>
          <w:sz w:val="27"/>
          <w:rtl/>
        </w:rPr>
        <w:t>ة خاص</w:t>
      </w:r>
      <w:r w:rsidR="007E6FCD" w:rsidRPr="00282AC9">
        <w:rPr>
          <w:rFonts w:ascii="AAA GoldenLotus" w:hAnsi="AAA GoldenLotus" w:hint="cs"/>
          <w:spacing w:val="-4"/>
          <w:sz w:val="27"/>
          <w:rtl/>
        </w:rPr>
        <w:t>ّ</w:t>
      </w:r>
      <w:r w:rsidRPr="00282AC9">
        <w:rPr>
          <w:rFonts w:ascii="AAA GoldenLotus" w:hAnsi="AAA GoldenLotus"/>
          <w:spacing w:val="-4"/>
          <w:sz w:val="27"/>
          <w:rtl/>
        </w:rPr>
        <w:t>ة في موضوع الحكم</w:t>
      </w:r>
      <w:r w:rsidRPr="00282AC9">
        <w:rPr>
          <w:rFonts w:ascii="AAA GoldenLotus" w:hAnsi="AAA GoldenLotus"/>
          <w:spacing w:val="-4"/>
          <w:sz w:val="27"/>
          <w:vertAlign w:val="superscript"/>
          <w:rtl/>
        </w:rPr>
        <w:t>(</w:t>
      </w:r>
      <w:r w:rsidRPr="00282AC9">
        <w:rPr>
          <w:rFonts w:ascii="AAA GoldenLotus" w:hAnsi="AAA GoldenLotus"/>
          <w:spacing w:val="-4"/>
          <w:sz w:val="27"/>
          <w:vertAlign w:val="superscript"/>
          <w:rtl/>
        </w:rPr>
        <w:endnoteReference w:id="361"/>
      </w:r>
      <w:r w:rsidRPr="00282AC9">
        <w:rPr>
          <w:rFonts w:ascii="AAA GoldenLotus" w:hAnsi="AAA GoldenLotus"/>
          <w:spacing w:val="-4"/>
          <w:sz w:val="27"/>
          <w:vertAlign w:val="superscript"/>
          <w:rtl/>
        </w:rPr>
        <w:t>)</w:t>
      </w:r>
      <w:r w:rsidRPr="00282AC9">
        <w:rPr>
          <w:rFonts w:ascii="AAA GoldenLotus" w:hAnsi="AAA GoldenLotus"/>
          <w:spacing w:val="-4"/>
          <w:sz w:val="27"/>
          <w:rtl/>
        </w:rPr>
        <w:t>.</w:t>
      </w:r>
      <w:r w:rsidRPr="00282AC9">
        <w:rPr>
          <w:rFonts w:ascii="AAA GoldenLotus" w:hAnsi="AAA GoldenLotus"/>
          <w:sz w:val="27"/>
          <w:rtl/>
        </w:rPr>
        <w:t xml:space="preserve"> </w:t>
      </w:r>
    </w:p>
    <w:p w:rsidR="008573BF" w:rsidRPr="00282AC9" w:rsidRDefault="008573BF" w:rsidP="008573BF">
      <w:pPr>
        <w:spacing w:line="420" w:lineRule="exact"/>
        <w:rPr>
          <w:rtl/>
        </w:rPr>
      </w:pPr>
    </w:p>
    <w:p w:rsidR="00E355F2" w:rsidRPr="00282AC9" w:rsidRDefault="00E355F2" w:rsidP="007D08F4">
      <w:pPr>
        <w:pStyle w:val="31"/>
        <w:rPr>
          <w:color w:val="auto"/>
          <w:rtl/>
        </w:rPr>
      </w:pPr>
      <w:r w:rsidRPr="00282AC9">
        <w:rPr>
          <w:rFonts w:hint="cs"/>
          <w:color w:val="auto"/>
          <w:rtl/>
        </w:rPr>
        <w:t>ب ـ</w:t>
      </w:r>
      <w:r w:rsidRPr="00282AC9">
        <w:rPr>
          <w:color w:val="auto"/>
          <w:rtl/>
        </w:rPr>
        <w:t xml:space="preserve"> الحكم المختص</w:t>
      </w:r>
      <w:r w:rsidR="007E6FCD" w:rsidRPr="00282AC9">
        <w:rPr>
          <w:rFonts w:hint="cs"/>
          <w:color w:val="auto"/>
          <w:rtl/>
        </w:rPr>
        <w:t>ّ</w:t>
      </w:r>
      <w:r w:rsidRPr="00282AC9">
        <w:rPr>
          <w:color w:val="auto"/>
          <w:rtl/>
        </w:rPr>
        <w:t xml:space="preserve"> بآحاد المكل</w:t>
      </w:r>
      <w:r w:rsidR="007E6FCD" w:rsidRPr="00282AC9">
        <w:rPr>
          <w:rFonts w:hint="cs"/>
          <w:color w:val="auto"/>
          <w:rtl/>
        </w:rPr>
        <w:t>َّ</w:t>
      </w:r>
      <w:r w:rsidRPr="00282AC9">
        <w:rPr>
          <w:color w:val="auto"/>
          <w:rtl/>
        </w:rPr>
        <w:t>فين</w:t>
      </w:r>
      <w:r w:rsidR="007E6FCD" w:rsidRPr="00282AC9">
        <w:rPr>
          <w:rFonts w:hint="cs"/>
          <w:color w:val="auto"/>
          <w:rtl/>
        </w:rPr>
        <w:t>،</w:t>
      </w:r>
      <w:r w:rsidRPr="00282AC9">
        <w:rPr>
          <w:color w:val="auto"/>
          <w:rtl/>
        </w:rPr>
        <w:t xml:space="preserve"> ودلالته على الاشتراك </w:t>
      </w:r>
    </w:p>
    <w:p w:rsidR="00E355F2" w:rsidRPr="00282AC9" w:rsidRDefault="00E355F2" w:rsidP="00046546">
      <w:pPr>
        <w:rPr>
          <w:rFonts w:ascii="AAA GoldenLotus" w:hAnsi="AAA GoldenLotus"/>
          <w:sz w:val="27"/>
          <w:rtl/>
        </w:rPr>
      </w:pPr>
      <w:r w:rsidRPr="00282AC9">
        <w:rPr>
          <w:rFonts w:ascii="AAA GoldenLotus" w:hAnsi="AAA GoldenLotus"/>
          <w:sz w:val="27"/>
          <w:rtl/>
        </w:rPr>
        <w:t>لقد ات</w:t>
      </w:r>
      <w:r w:rsidR="007E6FCD" w:rsidRPr="00282AC9">
        <w:rPr>
          <w:rFonts w:ascii="AAA GoldenLotus" w:hAnsi="AAA GoldenLotus" w:hint="cs"/>
          <w:sz w:val="27"/>
          <w:rtl/>
        </w:rPr>
        <w:t>َّ</w:t>
      </w:r>
      <w:r w:rsidRPr="00282AC9">
        <w:rPr>
          <w:rFonts w:ascii="AAA GoldenLotus" w:hAnsi="AAA GoldenLotus"/>
          <w:sz w:val="27"/>
          <w:rtl/>
        </w:rPr>
        <w:t>فق الأصحاب بنحو</w:t>
      </w:r>
      <w:r w:rsidR="007E6FCD" w:rsidRPr="00282AC9">
        <w:rPr>
          <w:rFonts w:ascii="AAA GoldenLotus" w:hAnsi="AAA GoldenLotus" w:hint="cs"/>
          <w:sz w:val="27"/>
          <w:rtl/>
        </w:rPr>
        <w:t>ٍ</w:t>
      </w:r>
      <w:r w:rsidRPr="00282AC9">
        <w:rPr>
          <w:rFonts w:ascii="AAA GoldenLotus" w:hAnsi="AAA GoldenLotus"/>
          <w:sz w:val="27"/>
          <w:rtl/>
        </w:rPr>
        <w:t xml:space="preserve"> قطعي</w:t>
      </w:r>
      <w:r w:rsidR="007E6FCD" w:rsidRPr="00282AC9">
        <w:rPr>
          <w:rFonts w:ascii="AAA GoldenLotus" w:hAnsi="AAA GoldenLotus" w:hint="cs"/>
          <w:sz w:val="27"/>
          <w:rtl/>
        </w:rPr>
        <w:t>ّ</w:t>
      </w:r>
      <w:r w:rsidRPr="00282AC9">
        <w:rPr>
          <w:rFonts w:ascii="AAA GoldenLotus" w:hAnsi="AAA GoldenLotus"/>
          <w:sz w:val="27"/>
          <w:rtl/>
        </w:rPr>
        <w:t xml:space="preserve"> على اشتراك الجميع</w:t>
      </w:r>
      <w:r w:rsidR="007E6FCD" w:rsidRPr="00282AC9">
        <w:rPr>
          <w:rFonts w:ascii="AAA GoldenLotus" w:hAnsi="AAA GoldenLotus" w:hint="cs"/>
          <w:sz w:val="27"/>
          <w:rtl/>
        </w:rPr>
        <w:t>،</w:t>
      </w:r>
      <w:r w:rsidRPr="00282AC9">
        <w:rPr>
          <w:rFonts w:ascii="AAA GoldenLotus" w:hAnsi="AAA GoldenLotus"/>
          <w:sz w:val="27"/>
          <w:rtl/>
        </w:rPr>
        <w:t xml:space="preserve"> رجالاً ونساءً</w:t>
      </w:r>
      <w:r w:rsidR="007E6FCD" w:rsidRPr="00282AC9">
        <w:rPr>
          <w:rFonts w:ascii="AAA GoldenLotus" w:hAnsi="AAA GoldenLotus" w:hint="cs"/>
          <w:sz w:val="27"/>
          <w:rtl/>
        </w:rPr>
        <w:t>،</w:t>
      </w:r>
      <w:r w:rsidRPr="00282AC9">
        <w:rPr>
          <w:rFonts w:ascii="AAA GoldenLotus" w:hAnsi="AAA GoldenLotus"/>
          <w:sz w:val="27"/>
          <w:rtl/>
        </w:rPr>
        <w:t xml:space="preserve"> في الحكم المتوج</w:t>
      </w:r>
      <w:r w:rsidR="007E6FCD" w:rsidRPr="00282AC9">
        <w:rPr>
          <w:rFonts w:ascii="AAA GoldenLotus" w:hAnsi="AAA GoldenLotus" w:hint="cs"/>
          <w:sz w:val="27"/>
          <w:rtl/>
        </w:rPr>
        <w:t>ِّ</w:t>
      </w:r>
      <w:r w:rsidRPr="00282AC9">
        <w:rPr>
          <w:rFonts w:ascii="AAA GoldenLotus" w:hAnsi="AAA GoldenLotus"/>
          <w:sz w:val="27"/>
          <w:rtl/>
        </w:rPr>
        <w:t>ه الى بعض آحاد المكلّ</w:t>
      </w:r>
      <w:r w:rsidR="007E6FCD" w:rsidRPr="00282AC9">
        <w:rPr>
          <w:rFonts w:ascii="AAA GoldenLotus" w:hAnsi="AAA GoldenLotus" w:hint="cs"/>
          <w:sz w:val="27"/>
          <w:rtl/>
        </w:rPr>
        <w:t>َ</w:t>
      </w:r>
      <w:r w:rsidRPr="00282AC9">
        <w:rPr>
          <w:rFonts w:ascii="AAA GoldenLotus" w:hAnsi="AAA GoldenLotus"/>
          <w:sz w:val="27"/>
          <w:rtl/>
        </w:rPr>
        <w:t>فين</w:t>
      </w:r>
      <w:r w:rsidR="00637D31" w:rsidRPr="00282AC9">
        <w:rPr>
          <w:rFonts w:ascii="AAA GoldenLotus" w:hAnsi="AAA GoldenLotus" w:hint="cs"/>
          <w:sz w:val="27"/>
          <w:rtl/>
        </w:rPr>
        <w:t>.</w:t>
      </w:r>
      <w:r w:rsidRPr="00282AC9">
        <w:rPr>
          <w:rFonts w:ascii="AAA GoldenLotus" w:hAnsi="AAA GoldenLotus"/>
          <w:sz w:val="27"/>
          <w:rtl/>
        </w:rPr>
        <w:t xml:space="preserve"> ويشهد به استدلالهم </w:t>
      </w:r>
      <w:r w:rsidR="00637D31" w:rsidRPr="00282AC9">
        <w:rPr>
          <w:rFonts w:ascii="AAA GoldenLotus" w:hAnsi="AAA GoldenLotus" w:hint="cs"/>
          <w:sz w:val="27"/>
          <w:rtl/>
        </w:rPr>
        <w:t xml:space="preserve">ـ </w:t>
      </w:r>
      <w:r w:rsidR="00637D31" w:rsidRPr="00282AC9">
        <w:rPr>
          <w:rFonts w:ascii="AAA GoldenLotus" w:hAnsi="AAA GoldenLotus"/>
          <w:sz w:val="27"/>
          <w:rtl/>
        </w:rPr>
        <w:t>خ</w:t>
      </w:r>
      <w:r w:rsidR="00637D31" w:rsidRPr="00282AC9">
        <w:rPr>
          <w:rFonts w:ascii="AAA GoldenLotus" w:hAnsi="AAA GoldenLotus" w:hint="cs"/>
          <w:sz w:val="27"/>
          <w:rtl/>
        </w:rPr>
        <w:t>َ</w:t>
      </w:r>
      <w:r w:rsidR="00637D31" w:rsidRPr="00282AC9">
        <w:rPr>
          <w:rFonts w:ascii="AAA GoldenLotus" w:hAnsi="AAA GoldenLotus"/>
          <w:sz w:val="27"/>
          <w:rtl/>
        </w:rPr>
        <w:t>ل</w:t>
      </w:r>
      <w:r w:rsidR="00637D31" w:rsidRPr="00282AC9">
        <w:rPr>
          <w:rFonts w:ascii="AAA GoldenLotus" w:hAnsi="AAA GoldenLotus" w:hint="cs"/>
          <w:sz w:val="27"/>
          <w:rtl/>
        </w:rPr>
        <w:t>َ</w:t>
      </w:r>
      <w:r w:rsidR="00637D31" w:rsidRPr="00282AC9">
        <w:rPr>
          <w:rFonts w:ascii="AAA GoldenLotus" w:hAnsi="AAA GoldenLotus"/>
          <w:sz w:val="27"/>
          <w:rtl/>
        </w:rPr>
        <w:t>فاً بعد س</w:t>
      </w:r>
      <w:r w:rsidR="00637D31" w:rsidRPr="00282AC9">
        <w:rPr>
          <w:rFonts w:ascii="AAA GoldenLotus" w:hAnsi="AAA GoldenLotus" w:hint="cs"/>
          <w:sz w:val="27"/>
          <w:rtl/>
        </w:rPr>
        <w:t>َ</w:t>
      </w:r>
      <w:r w:rsidR="00637D31" w:rsidRPr="00282AC9">
        <w:rPr>
          <w:rFonts w:ascii="AAA GoldenLotus" w:hAnsi="AAA GoldenLotus"/>
          <w:sz w:val="27"/>
          <w:rtl/>
        </w:rPr>
        <w:t>ل</w:t>
      </w:r>
      <w:r w:rsidR="00637D31" w:rsidRPr="00282AC9">
        <w:rPr>
          <w:rFonts w:ascii="AAA GoldenLotus" w:hAnsi="AAA GoldenLotus" w:hint="cs"/>
          <w:sz w:val="27"/>
          <w:rtl/>
        </w:rPr>
        <w:t>َ</w:t>
      </w:r>
      <w:r w:rsidR="00637D31" w:rsidRPr="00282AC9">
        <w:rPr>
          <w:rFonts w:ascii="AAA GoldenLotus" w:hAnsi="AAA GoldenLotus"/>
          <w:sz w:val="27"/>
          <w:rtl/>
        </w:rPr>
        <w:t>ف</w:t>
      </w:r>
      <w:r w:rsidR="00637D31" w:rsidRPr="00282AC9">
        <w:rPr>
          <w:rFonts w:ascii="AAA GoldenLotus" w:hAnsi="AAA GoldenLotus" w:hint="cs"/>
          <w:sz w:val="27"/>
          <w:rtl/>
        </w:rPr>
        <w:t xml:space="preserve"> ـ </w:t>
      </w:r>
      <w:r w:rsidRPr="00282AC9">
        <w:rPr>
          <w:rFonts w:ascii="AAA GoldenLotus" w:hAnsi="AAA GoldenLotus"/>
          <w:sz w:val="27"/>
          <w:rtl/>
        </w:rPr>
        <w:t>بالخطابات الخاصّة في إثبات عموم الحكم</w:t>
      </w:r>
      <w:r w:rsidR="00637D31" w:rsidRPr="00282AC9">
        <w:rPr>
          <w:rFonts w:ascii="AAA GoldenLotus" w:hAnsi="AAA GoldenLotus" w:hint="cs"/>
          <w:sz w:val="27"/>
          <w:rtl/>
        </w:rPr>
        <w:t>.</w:t>
      </w:r>
      <w:r w:rsidRPr="00282AC9">
        <w:rPr>
          <w:rFonts w:ascii="AAA GoldenLotus" w:hAnsi="AAA GoldenLotus"/>
          <w:sz w:val="27"/>
          <w:rtl/>
        </w:rPr>
        <w:t xml:space="preserve"> وكان هذا هو المتداول من الصدر الأو</w:t>
      </w:r>
      <w:r w:rsidR="00637D31" w:rsidRPr="00282AC9">
        <w:rPr>
          <w:rFonts w:ascii="AAA GoldenLotus" w:hAnsi="AAA GoldenLotus" w:hint="cs"/>
          <w:sz w:val="27"/>
          <w:rtl/>
        </w:rPr>
        <w:t>ّ</w:t>
      </w:r>
      <w:r w:rsidRPr="00282AC9">
        <w:rPr>
          <w:rFonts w:ascii="AAA GoldenLotus" w:hAnsi="AAA GoldenLotus"/>
          <w:sz w:val="27"/>
          <w:rtl/>
        </w:rPr>
        <w:t>ل إلى يومنا.</w:t>
      </w:r>
    </w:p>
    <w:p w:rsidR="00E355F2" w:rsidRPr="00282AC9" w:rsidRDefault="00E355F2" w:rsidP="00046546">
      <w:pPr>
        <w:rPr>
          <w:rFonts w:ascii="AAA GoldenLotus" w:hAnsi="AAA GoldenLotus"/>
          <w:sz w:val="27"/>
          <w:rtl/>
        </w:rPr>
      </w:pPr>
      <w:r w:rsidRPr="00282AC9">
        <w:rPr>
          <w:rFonts w:ascii="AAA GoldenLotus" w:hAnsi="AAA GoldenLotus"/>
          <w:sz w:val="27"/>
          <w:rtl/>
        </w:rPr>
        <w:t>لكن</w:t>
      </w:r>
      <w:r w:rsidR="00637D31" w:rsidRPr="00282AC9">
        <w:rPr>
          <w:rFonts w:ascii="AAA GoldenLotus" w:hAnsi="AAA GoldenLotus" w:hint="cs"/>
          <w:sz w:val="27"/>
          <w:rtl/>
        </w:rPr>
        <w:t>ْ</w:t>
      </w:r>
      <w:r w:rsidRPr="00282AC9">
        <w:rPr>
          <w:rFonts w:ascii="AAA GoldenLotus" w:hAnsi="AAA GoldenLotus"/>
          <w:sz w:val="27"/>
          <w:rtl/>
        </w:rPr>
        <w:t xml:space="preserve"> يمكن </w:t>
      </w:r>
      <w:r w:rsidR="00637D31" w:rsidRPr="00282AC9">
        <w:rPr>
          <w:rFonts w:ascii="AAA GoldenLotus" w:hAnsi="AAA GoldenLotus" w:hint="cs"/>
          <w:sz w:val="27"/>
          <w:rtl/>
        </w:rPr>
        <w:t>أ</w:t>
      </w:r>
      <w:r w:rsidRPr="00282AC9">
        <w:rPr>
          <w:rFonts w:ascii="AAA GoldenLotus" w:hAnsi="AAA GoldenLotus"/>
          <w:sz w:val="27"/>
          <w:rtl/>
        </w:rPr>
        <w:t>ن ي</w:t>
      </w:r>
      <w:r w:rsidR="00637D31" w:rsidRPr="00282AC9">
        <w:rPr>
          <w:rFonts w:ascii="AAA GoldenLotus" w:hAnsi="AAA GoldenLotus" w:hint="cs"/>
          <w:sz w:val="27"/>
          <w:rtl/>
        </w:rPr>
        <w:t>ُ</w:t>
      </w:r>
      <w:r w:rsidRPr="00282AC9">
        <w:rPr>
          <w:rFonts w:ascii="AAA GoldenLotus" w:hAnsi="AAA GoldenLotus"/>
          <w:sz w:val="27"/>
          <w:rtl/>
        </w:rPr>
        <w:t>قال برجوع هذا الدليل إلى الدليل الأو</w:t>
      </w:r>
      <w:r w:rsidR="00637D31" w:rsidRPr="00282AC9">
        <w:rPr>
          <w:rFonts w:ascii="AAA GoldenLotus" w:hAnsi="AAA GoldenLotus" w:hint="cs"/>
          <w:sz w:val="27"/>
          <w:rtl/>
        </w:rPr>
        <w:t>ّ</w:t>
      </w:r>
      <w:r w:rsidRPr="00282AC9">
        <w:rPr>
          <w:rFonts w:ascii="AAA GoldenLotus" w:hAnsi="AAA GoldenLotus"/>
          <w:sz w:val="27"/>
          <w:rtl/>
        </w:rPr>
        <w:t>ل</w:t>
      </w:r>
      <w:r w:rsidR="00637D31" w:rsidRPr="00282AC9">
        <w:rPr>
          <w:rFonts w:ascii="AAA GoldenLotus" w:hAnsi="AAA GoldenLotus" w:hint="cs"/>
          <w:sz w:val="27"/>
          <w:rtl/>
        </w:rPr>
        <w:t>،</w:t>
      </w:r>
      <w:r w:rsidRPr="00282AC9">
        <w:rPr>
          <w:rFonts w:ascii="AAA GoldenLotus" w:hAnsi="AAA GoldenLotus"/>
          <w:sz w:val="27"/>
          <w:rtl/>
        </w:rPr>
        <w:t xml:space="preserve"> القائم على دعوى </w:t>
      </w:r>
      <w:r w:rsidRPr="00282AC9">
        <w:rPr>
          <w:rFonts w:ascii="AAA GoldenLotus" w:hAnsi="AAA GoldenLotus"/>
          <w:sz w:val="27"/>
          <w:rtl/>
        </w:rPr>
        <w:lastRenderedPageBreak/>
        <w:t>تسالم الفقهاء وات</w:t>
      </w:r>
      <w:r w:rsidR="00637D31" w:rsidRPr="00282AC9">
        <w:rPr>
          <w:rFonts w:ascii="AAA GoldenLotus" w:hAnsi="AAA GoldenLotus" w:hint="cs"/>
          <w:sz w:val="27"/>
          <w:rtl/>
        </w:rPr>
        <w:t>ّ</w:t>
      </w:r>
      <w:r w:rsidRPr="00282AC9">
        <w:rPr>
          <w:rFonts w:ascii="AAA GoldenLotus" w:hAnsi="AAA GoldenLotus"/>
          <w:sz w:val="27"/>
          <w:rtl/>
        </w:rPr>
        <w:t>فاقهم على اشتراك الأحكام بين المكل</w:t>
      </w:r>
      <w:r w:rsidR="00637D31" w:rsidRPr="00282AC9">
        <w:rPr>
          <w:rFonts w:ascii="AAA GoldenLotus" w:hAnsi="AAA GoldenLotus" w:hint="cs"/>
          <w:sz w:val="27"/>
          <w:rtl/>
        </w:rPr>
        <w:t>َّ</w:t>
      </w:r>
      <w:r w:rsidRPr="00282AC9">
        <w:rPr>
          <w:rFonts w:ascii="AAA GoldenLotus" w:hAnsi="AAA GoldenLotus"/>
          <w:sz w:val="27"/>
          <w:rtl/>
        </w:rPr>
        <w:t>فين</w:t>
      </w:r>
      <w:r w:rsidR="00637D31" w:rsidRPr="00282AC9">
        <w:rPr>
          <w:rFonts w:ascii="AAA GoldenLotus" w:hAnsi="AAA GoldenLotus" w:hint="cs"/>
          <w:sz w:val="27"/>
          <w:rtl/>
        </w:rPr>
        <w:t>،</w:t>
      </w:r>
      <w:r w:rsidRPr="00282AC9">
        <w:rPr>
          <w:rFonts w:ascii="AAA GoldenLotus" w:hAnsi="AAA GoldenLotus"/>
          <w:sz w:val="27"/>
          <w:rtl/>
        </w:rPr>
        <w:t xml:space="preserve"> سواء كانوا رجالاً أم نساء</w:t>
      </w:r>
      <w:r w:rsidR="00637D31" w:rsidRPr="00282AC9">
        <w:rPr>
          <w:rFonts w:ascii="AAA GoldenLotus" w:hAnsi="AAA GoldenLotus" w:hint="cs"/>
          <w:sz w:val="27"/>
          <w:rtl/>
        </w:rPr>
        <w:t>،</w:t>
      </w:r>
      <w:r w:rsidRPr="00282AC9">
        <w:rPr>
          <w:rFonts w:ascii="AAA GoldenLotus" w:hAnsi="AAA GoldenLotus"/>
          <w:sz w:val="27"/>
          <w:rtl/>
        </w:rPr>
        <w:t xml:space="preserve"> شرط الاتحاد في الصنف والشرائط الدخيلة في ثبوت الحكم الشرعي. </w:t>
      </w:r>
    </w:p>
    <w:p w:rsidR="008573BF" w:rsidRPr="00282AC9" w:rsidRDefault="008573BF" w:rsidP="008573BF">
      <w:pPr>
        <w:spacing w:line="410" w:lineRule="exact"/>
        <w:rPr>
          <w:rtl/>
        </w:rPr>
      </w:pPr>
    </w:p>
    <w:p w:rsidR="00E355F2" w:rsidRPr="00282AC9" w:rsidRDefault="00E355F2" w:rsidP="007D08F4">
      <w:pPr>
        <w:pStyle w:val="31"/>
        <w:rPr>
          <w:color w:val="auto"/>
          <w:rtl/>
        </w:rPr>
      </w:pPr>
      <w:r w:rsidRPr="00282AC9">
        <w:rPr>
          <w:rFonts w:hint="cs"/>
          <w:color w:val="auto"/>
          <w:rtl/>
        </w:rPr>
        <w:t xml:space="preserve">ج </w:t>
      </w:r>
      <w:r w:rsidRPr="00282AC9">
        <w:rPr>
          <w:color w:val="auto"/>
          <w:rtl/>
        </w:rPr>
        <w:t>ـ ارتكاز المتشر</w:t>
      </w:r>
      <w:r w:rsidR="00637D31" w:rsidRPr="00282AC9">
        <w:rPr>
          <w:rFonts w:hint="cs"/>
          <w:color w:val="auto"/>
          <w:rtl/>
        </w:rPr>
        <w:t>ِّ</w:t>
      </w:r>
      <w:r w:rsidRPr="00282AC9">
        <w:rPr>
          <w:color w:val="auto"/>
          <w:rtl/>
        </w:rPr>
        <w:t xml:space="preserve">عة </w:t>
      </w:r>
    </w:p>
    <w:p w:rsidR="00E355F2" w:rsidRPr="00282AC9" w:rsidRDefault="00E355F2" w:rsidP="008573BF">
      <w:pPr>
        <w:spacing w:line="402" w:lineRule="exact"/>
        <w:rPr>
          <w:rFonts w:ascii="AAA GoldenLotus" w:hAnsi="AAA GoldenLotus"/>
          <w:sz w:val="27"/>
          <w:rtl/>
        </w:rPr>
      </w:pPr>
      <w:r w:rsidRPr="00282AC9">
        <w:rPr>
          <w:rFonts w:ascii="AAA GoldenLotus" w:hAnsi="AAA GoldenLotus"/>
          <w:sz w:val="27"/>
          <w:rtl/>
        </w:rPr>
        <w:t>إن الاشتراك في التكاليف بين جميع المكل</w:t>
      </w:r>
      <w:r w:rsidR="00637D31" w:rsidRPr="00282AC9">
        <w:rPr>
          <w:rFonts w:ascii="AAA GoldenLotus" w:hAnsi="AAA GoldenLotus" w:hint="cs"/>
          <w:sz w:val="27"/>
          <w:rtl/>
        </w:rPr>
        <w:t>َّ</w:t>
      </w:r>
      <w:r w:rsidRPr="00282AC9">
        <w:rPr>
          <w:rFonts w:ascii="AAA GoldenLotus" w:hAnsi="AAA GoldenLotus"/>
          <w:sz w:val="27"/>
          <w:rtl/>
        </w:rPr>
        <w:t>فين</w:t>
      </w:r>
      <w:r w:rsidR="00637D31" w:rsidRPr="00282AC9">
        <w:rPr>
          <w:rFonts w:ascii="AAA GoldenLotus" w:hAnsi="AAA GoldenLotus" w:hint="cs"/>
          <w:sz w:val="27"/>
          <w:rtl/>
        </w:rPr>
        <w:t>،</w:t>
      </w:r>
      <w:r w:rsidRPr="00282AC9">
        <w:rPr>
          <w:rFonts w:ascii="AAA GoldenLotus" w:hAnsi="AAA GoldenLotus"/>
          <w:sz w:val="27"/>
          <w:rtl/>
        </w:rPr>
        <w:t xml:space="preserve"> رجالاً ونساءً</w:t>
      </w:r>
      <w:r w:rsidR="00637D31" w:rsidRPr="00282AC9">
        <w:rPr>
          <w:rFonts w:ascii="AAA GoldenLotus" w:hAnsi="AAA GoldenLotus" w:hint="cs"/>
          <w:sz w:val="27"/>
          <w:rtl/>
        </w:rPr>
        <w:t>،</w:t>
      </w:r>
      <w:r w:rsidRPr="00282AC9">
        <w:rPr>
          <w:rFonts w:ascii="AAA GoldenLotus" w:hAnsi="AAA GoldenLotus"/>
          <w:sz w:val="27"/>
          <w:rtl/>
        </w:rPr>
        <w:t xml:space="preserve"> هو المرت</w:t>
      </w:r>
      <w:r w:rsidR="00637D31" w:rsidRPr="00282AC9">
        <w:rPr>
          <w:rFonts w:ascii="AAA GoldenLotus" w:hAnsi="AAA GoldenLotus" w:hint="cs"/>
          <w:sz w:val="27"/>
          <w:rtl/>
        </w:rPr>
        <w:t>َ</w:t>
      </w:r>
      <w:r w:rsidRPr="00282AC9">
        <w:rPr>
          <w:rFonts w:ascii="AAA GoldenLotus" w:hAnsi="AAA GoldenLotus"/>
          <w:sz w:val="27"/>
          <w:rtl/>
        </w:rPr>
        <w:t>ك</w:t>
      </w:r>
      <w:r w:rsidR="00637D31" w:rsidRPr="00282AC9">
        <w:rPr>
          <w:rFonts w:ascii="AAA GoldenLotus" w:hAnsi="AAA GoldenLotus" w:hint="cs"/>
          <w:sz w:val="27"/>
          <w:rtl/>
        </w:rPr>
        <w:t>َ</w:t>
      </w:r>
      <w:r w:rsidRPr="00282AC9">
        <w:rPr>
          <w:rFonts w:ascii="AAA GoldenLotus" w:hAnsi="AAA GoldenLotus"/>
          <w:sz w:val="27"/>
          <w:rtl/>
        </w:rPr>
        <w:t>ز عند أهل الشرع وعام</w:t>
      </w:r>
      <w:r w:rsidR="00637D31" w:rsidRPr="00282AC9">
        <w:rPr>
          <w:rFonts w:ascii="AAA GoldenLotus" w:hAnsi="AAA GoldenLotus" w:hint="cs"/>
          <w:sz w:val="27"/>
          <w:rtl/>
        </w:rPr>
        <w:t>ّ</w:t>
      </w:r>
      <w:r w:rsidRPr="00282AC9">
        <w:rPr>
          <w:rFonts w:ascii="AAA GoldenLotus" w:hAnsi="AAA GoldenLotus"/>
          <w:sz w:val="27"/>
          <w:rtl/>
        </w:rPr>
        <w:t>ة المسلمين، من دون أن يكون مختصّاً بالمخاط</w:t>
      </w:r>
      <w:r w:rsidR="00637D31" w:rsidRPr="00282AC9">
        <w:rPr>
          <w:rFonts w:ascii="AAA GoldenLotus" w:hAnsi="AAA GoldenLotus" w:hint="cs"/>
          <w:sz w:val="27"/>
          <w:rtl/>
        </w:rPr>
        <w:t>َ</w:t>
      </w:r>
      <w:r w:rsidRPr="00282AC9">
        <w:rPr>
          <w:rFonts w:ascii="AAA GoldenLotus" w:hAnsi="AAA GoldenLotus"/>
          <w:sz w:val="27"/>
          <w:rtl/>
        </w:rPr>
        <w:t>ب</w:t>
      </w:r>
      <w:r w:rsidR="00637D31" w:rsidRPr="00282AC9">
        <w:rPr>
          <w:rFonts w:ascii="AAA GoldenLotus" w:hAnsi="AAA GoldenLotus" w:hint="cs"/>
          <w:sz w:val="27"/>
          <w:rtl/>
        </w:rPr>
        <w:t>.</w:t>
      </w:r>
      <w:r w:rsidRPr="00282AC9">
        <w:rPr>
          <w:rFonts w:ascii="AAA GoldenLotus" w:hAnsi="AAA GoldenLotus"/>
          <w:sz w:val="27"/>
          <w:rtl/>
        </w:rPr>
        <w:t xml:space="preserve"> وهذا الارتكاز لا </w:t>
      </w:r>
      <w:r w:rsidR="00637D31" w:rsidRPr="00282AC9">
        <w:rPr>
          <w:rFonts w:ascii="AAA GoldenLotus" w:hAnsi="AAA GoldenLotus"/>
          <w:sz w:val="27"/>
          <w:rtl/>
        </w:rPr>
        <w:t>محالة قد نشأ من مبدأ الوحي والر</w:t>
      </w:r>
      <w:r w:rsidRPr="00282AC9">
        <w:rPr>
          <w:rFonts w:ascii="AAA GoldenLotus" w:hAnsi="AAA GoldenLotus"/>
          <w:sz w:val="27"/>
          <w:rtl/>
        </w:rPr>
        <w:t>سالة، وقد انتقل يداً بيد</w:t>
      </w:r>
      <w:r w:rsidR="00637D31" w:rsidRPr="00282AC9">
        <w:rPr>
          <w:rFonts w:ascii="AAA GoldenLotus" w:hAnsi="AAA GoldenLotus" w:hint="cs"/>
          <w:sz w:val="27"/>
          <w:rtl/>
        </w:rPr>
        <w:t>ٍ</w:t>
      </w:r>
      <w:r w:rsidRPr="00282AC9">
        <w:rPr>
          <w:rFonts w:ascii="AAA GoldenLotus" w:hAnsi="AAA GoldenLotus"/>
          <w:sz w:val="27"/>
          <w:rtl/>
        </w:rPr>
        <w:t xml:space="preserve"> من الس</w:t>
      </w:r>
      <w:r w:rsidR="00637D31" w:rsidRPr="00282AC9">
        <w:rPr>
          <w:rFonts w:ascii="AAA GoldenLotus" w:hAnsi="AAA GoldenLotus" w:hint="cs"/>
          <w:sz w:val="27"/>
          <w:rtl/>
        </w:rPr>
        <w:t>َّ</w:t>
      </w:r>
      <w:r w:rsidRPr="00282AC9">
        <w:rPr>
          <w:rFonts w:ascii="AAA GoldenLotus" w:hAnsi="AAA GoldenLotus"/>
          <w:sz w:val="27"/>
          <w:rtl/>
        </w:rPr>
        <w:t>ل</w:t>
      </w:r>
      <w:r w:rsidR="00637D31" w:rsidRPr="00282AC9">
        <w:rPr>
          <w:rFonts w:ascii="AAA GoldenLotus" w:hAnsi="AAA GoldenLotus" w:hint="cs"/>
          <w:sz w:val="27"/>
          <w:rtl/>
        </w:rPr>
        <w:t>َ</w:t>
      </w:r>
      <w:r w:rsidRPr="00282AC9">
        <w:rPr>
          <w:rFonts w:ascii="AAA GoldenLotus" w:hAnsi="AAA GoldenLotus"/>
          <w:sz w:val="27"/>
          <w:rtl/>
        </w:rPr>
        <w:t>ف إلى الخ</w:t>
      </w:r>
      <w:r w:rsidR="00637D31" w:rsidRPr="00282AC9">
        <w:rPr>
          <w:rFonts w:ascii="AAA GoldenLotus" w:hAnsi="AAA GoldenLotus" w:hint="cs"/>
          <w:sz w:val="27"/>
          <w:rtl/>
        </w:rPr>
        <w:t>َ</w:t>
      </w:r>
      <w:r w:rsidRPr="00282AC9">
        <w:rPr>
          <w:rFonts w:ascii="AAA GoldenLotus" w:hAnsi="AAA GoldenLotus"/>
          <w:sz w:val="27"/>
          <w:rtl/>
        </w:rPr>
        <w:t>ل</w:t>
      </w:r>
      <w:r w:rsidR="00637D31" w:rsidRPr="00282AC9">
        <w:rPr>
          <w:rFonts w:ascii="AAA GoldenLotus" w:hAnsi="AAA GoldenLotus" w:hint="cs"/>
          <w:sz w:val="27"/>
          <w:rtl/>
        </w:rPr>
        <w:t>َ</w:t>
      </w:r>
      <w:r w:rsidRPr="00282AC9">
        <w:rPr>
          <w:rFonts w:ascii="AAA GoldenLotus" w:hAnsi="AAA GoldenLotus"/>
          <w:sz w:val="27"/>
          <w:rtl/>
        </w:rPr>
        <w:t>ف</w:t>
      </w:r>
      <w:r w:rsidR="00637D31" w:rsidRPr="00282AC9">
        <w:rPr>
          <w:rFonts w:ascii="AAA GoldenLotus" w:hAnsi="AAA GoldenLotus" w:hint="cs"/>
          <w:sz w:val="27"/>
          <w:rtl/>
        </w:rPr>
        <w:t>.</w:t>
      </w:r>
      <w:r w:rsidRPr="00282AC9">
        <w:rPr>
          <w:rFonts w:ascii="AAA GoldenLotus" w:hAnsi="AAA GoldenLotus"/>
          <w:sz w:val="27"/>
          <w:rtl/>
        </w:rPr>
        <w:t xml:space="preserve"> ولذا لو سأل أحد</w:t>
      </w:r>
      <w:r w:rsidR="00637D31" w:rsidRPr="00282AC9">
        <w:rPr>
          <w:rFonts w:ascii="AAA GoldenLotus" w:hAnsi="AAA GoldenLotus" w:hint="cs"/>
          <w:sz w:val="27"/>
          <w:rtl/>
        </w:rPr>
        <w:t>ُ</w:t>
      </w:r>
      <w:r w:rsidRPr="00282AC9">
        <w:rPr>
          <w:rFonts w:ascii="AAA GoldenLotus" w:hAnsi="AAA GoldenLotus"/>
          <w:sz w:val="27"/>
          <w:rtl/>
        </w:rPr>
        <w:t xml:space="preserve"> المقل</w:t>
      </w:r>
      <w:r w:rsidR="00637D31" w:rsidRPr="00282AC9">
        <w:rPr>
          <w:rFonts w:ascii="AAA GoldenLotus" w:hAnsi="AAA GoldenLotus" w:hint="cs"/>
          <w:sz w:val="27"/>
          <w:rtl/>
        </w:rPr>
        <w:t>ِّ</w:t>
      </w:r>
      <w:r w:rsidRPr="00282AC9">
        <w:rPr>
          <w:rFonts w:ascii="AAA GoldenLotus" w:hAnsi="AAA GoldenLotus"/>
          <w:sz w:val="27"/>
          <w:rtl/>
        </w:rPr>
        <w:t>دين مقلَّده واستفتاه في حكم</w:t>
      </w:r>
      <w:r w:rsidR="00637D31" w:rsidRPr="00282AC9">
        <w:rPr>
          <w:rFonts w:ascii="AAA GoldenLotus" w:hAnsi="AAA GoldenLotus" w:hint="cs"/>
          <w:sz w:val="27"/>
          <w:rtl/>
        </w:rPr>
        <w:t>ِ</w:t>
      </w:r>
      <w:r w:rsidRPr="00282AC9">
        <w:rPr>
          <w:rFonts w:ascii="AAA GoldenLotus" w:hAnsi="AAA GoldenLotus"/>
          <w:sz w:val="27"/>
          <w:rtl/>
        </w:rPr>
        <w:t xml:space="preserve"> موضوع</w:t>
      </w:r>
      <w:r w:rsidR="00637D31" w:rsidRPr="00282AC9">
        <w:rPr>
          <w:rFonts w:ascii="AAA GoldenLotus" w:hAnsi="AAA GoldenLotus" w:hint="cs"/>
          <w:sz w:val="27"/>
          <w:rtl/>
        </w:rPr>
        <w:t>ٍ</w:t>
      </w:r>
      <w:r w:rsidRPr="00282AC9">
        <w:rPr>
          <w:rFonts w:ascii="AAA GoldenLotus" w:hAnsi="AAA GoldenLotus"/>
          <w:sz w:val="27"/>
          <w:rtl/>
        </w:rPr>
        <w:t xml:space="preserve"> استفاد منه المقلِّد الآخر</w:t>
      </w:r>
      <w:r w:rsidR="00637D31" w:rsidRPr="00282AC9">
        <w:rPr>
          <w:rFonts w:ascii="AAA GoldenLotus" w:hAnsi="AAA GoldenLotus" w:hint="cs"/>
          <w:sz w:val="27"/>
          <w:rtl/>
        </w:rPr>
        <w:t>،</w:t>
      </w:r>
      <w:r w:rsidRPr="00282AC9">
        <w:rPr>
          <w:rFonts w:ascii="AAA GoldenLotus" w:hAnsi="AAA GoldenLotus"/>
          <w:sz w:val="27"/>
          <w:rtl/>
        </w:rPr>
        <w:t xml:space="preserve"> سواء كان رجلاً أم امرأة</w:t>
      </w:r>
      <w:r w:rsidR="00637D31" w:rsidRPr="00282AC9">
        <w:rPr>
          <w:rFonts w:ascii="AAA GoldenLotus" w:hAnsi="AAA GoldenLotus" w:hint="cs"/>
          <w:sz w:val="27"/>
          <w:rtl/>
        </w:rPr>
        <w:t>،</w:t>
      </w:r>
      <w:r w:rsidRPr="00282AC9">
        <w:rPr>
          <w:rFonts w:ascii="AAA GoldenLotus" w:hAnsi="AAA GoldenLotus"/>
          <w:sz w:val="27"/>
          <w:rtl/>
        </w:rPr>
        <w:t xml:space="preserve"> وتعي</w:t>
      </w:r>
      <w:r w:rsidR="00637D31" w:rsidRPr="00282AC9">
        <w:rPr>
          <w:rFonts w:ascii="AAA GoldenLotus" w:hAnsi="AAA GoldenLotus" w:hint="cs"/>
          <w:sz w:val="27"/>
          <w:rtl/>
        </w:rPr>
        <w:t>َّ</w:t>
      </w:r>
      <w:r w:rsidRPr="00282AC9">
        <w:rPr>
          <w:rFonts w:ascii="AAA GoldenLotus" w:hAnsi="AAA GoldenLotus"/>
          <w:sz w:val="27"/>
          <w:rtl/>
        </w:rPr>
        <w:t>ن</w:t>
      </w:r>
      <w:r w:rsidR="00637D31" w:rsidRPr="00282AC9">
        <w:rPr>
          <w:rFonts w:ascii="AAA GoldenLotus" w:hAnsi="AAA GoldenLotus" w:hint="cs"/>
          <w:sz w:val="27"/>
          <w:rtl/>
        </w:rPr>
        <w:t>َ</w:t>
      </w:r>
      <w:r w:rsidRPr="00282AC9">
        <w:rPr>
          <w:rFonts w:ascii="AAA GoldenLotus" w:hAnsi="AAA GoldenLotus"/>
          <w:sz w:val="27"/>
          <w:rtl/>
        </w:rPr>
        <w:t>ت</w:t>
      </w:r>
      <w:r w:rsidR="00637D31" w:rsidRPr="00282AC9">
        <w:rPr>
          <w:rFonts w:ascii="AAA GoldenLotus" w:hAnsi="AAA GoldenLotus" w:hint="cs"/>
          <w:sz w:val="27"/>
          <w:rtl/>
        </w:rPr>
        <w:t>ْ</w:t>
      </w:r>
      <w:r w:rsidRPr="00282AC9">
        <w:rPr>
          <w:rFonts w:ascii="AAA GoldenLotus" w:hAnsi="AAA GoldenLotus"/>
          <w:sz w:val="27"/>
          <w:rtl/>
        </w:rPr>
        <w:t xml:space="preserve"> وظيفته أيضاً، من دون حاجة</w:t>
      </w:r>
      <w:r w:rsidR="00637D31" w:rsidRPr="00282AC9">
        <w:rPr>
          <w:rFonts w:ascii="AAA GoldenLotus" w:hAnsi="AAA GoldenLotus" w:hint="cs"/>
          <w:sz w:val="27"/>
          <w:rtl/>
        </w:rPr>
        <w:t>ٍ</w:t>
      </w:r>
      <w:r w:rsidRPr="00282AC9">
        <w:rPr>
          <w:rFonts w:ascii="AAA GoldenLotus" w:hAnsi="AAA GoldenLotus"/>
          <w:sz w:val="27"/>
          <w:rtl/>
        </w:rPr>
        <w:t xml:space="preserve"> </w:t>
      </w:r>
      <w:r w:rsidR="00637D31" w:rsidRPr="00282AC9">
        <w:rPr>
          <w:rFonts w:ascii="AAA GoldenLotus" w:hAnsi="AAA GoldenLotus" w:hint="cs"/>
          <w:sz w:val="27"/>
          <w:rtl/>
        </w:rPr>
        <w:t>إل</w:t>
      </w:r>
      <w:r w:rsidRPr="00282AC9">
        <w:rPr>
          <w:rFonts w:ascii="AAA GoldenLotus" w:hAnsi="AAA GoldenLotus"/>
          <w:sz w:val="27"/>
          <w:rtl/>
        </w:rPr>
        <w:t>ى استفتاء</w:t>
      </w:r>
      <w:r w:rsidR="00637D31" w:rsidRPr="00282AC9">
        <w:rPr>
          <w:rFonts w:ascii="AAA GoldenLotus" w:hAnsi="AAA GoldenLotus" w:hint="cs"/>
          <w:sz w:val="27"/>
          <w:rtl/>
        </w:rPr>
        <w:t>ٍ</w:t>
      </w:r>
      <w:r w:rsidRPr="00282AC9">
        <w:rPr>
          <w:rFonts w:ascii="AAA GoldenLotus" w:hAnsi="AAA GoldenLotus"/>
          <w:sz w:val="27"/>
          <w:rtl/>
        </w:rPr>
        <w:t xml:space="preserve"> جديد</w:t>
      </w:r>
      <w:r w:rsidR="00637D31" w:rsidRPr="00282AC9">
        <w:rPr>
          <w:rFonts w:ascii="AAA GoldenLotus" w:hAnsi="AAA GoldenLotus" w:hint="cs"/>
          <w:sz w:val="27"/>
          <w:rtl/>
        </w:rPr>
        <w:t>.</w:t>
      </w:r>
      <w:r w:rsidRPr="00282AC9">
        <w:rPr>
          <w:rFonts w:ascii="AAA GoldenLotus" w:hAnsi="AAA GoldenLotus"/>
          <w:sz w:val="27"/>
          <w:rtl/>
        </w:rPr>
        <w:t xml:space="preserve"> والسؤال في الروايات إنّما كان على هذا المنوال</w:t>
      </w:r>
      <w:r w:rsidR="00637D31" w:rsidRPr="00282AC9">
        <w:rPr>
          <w:rFonts w:ascii="AAA GoldenLotus" w:hAnsi="AAA GoldenLotus" w:hint="cs"/>
          <w:sz w:val="27"/>
          <w:rtl/>
        </w:rPr>
        <w:t>.</w:t>
      </w:r>
      <w:r w:rsidRPr="00282AC9">
        <w:rPr>
          <w:rFonts w:ascii="AAA GoldenLotus" w:hAnsi="AAA GoldenLotus"/>
          <w:sz w:val="27"/>
          <w:rtl/>
        </w:rPr>
        <w:t xml:space="preserve"> فاذا قال ال</w:t>
      </w:r>
      <w:r w:rsidR="00637D31" w:rsidRPr="00282AC9">
        <w:rPr>
          <w:rFonts w:ascii="AAA GoldenLotus" w:hAnsi="AAA GoldenLotus" w:hint="cs"/>
          <w:sz w:val="27"/>
          <w:rtl/>
        </w:rPr>
        <w:t>إ</w:t>
      </w:r>
      <w:r w:rsidRPr="00282AC9">
        <w:rPr>
          <w:rFonts w:ascii="AAA GoldenLotus" w:hAnsi="AAA GoldenLotus"/>
          <w:sz w:val="27"/>
          <w:rtl/>
        </w:rPr>
        <w:t>مام</w:t>
      </w:r>
      <w:r w:rsidR="009A2A04" w:rsidRPr="00282AC9">
        <w:rPr>
          <w:rFonts w:ascii="AAA GoldenLotus" w:hAnsi="AAA GoldenLotus" w:cs="Mosawi" w:hint="cs"/>
          <w:sz w:val="22"/>
          <w:szCs w:val="22"/>
          <w:rtl/>
        </w:rPr>
        <w:t>×</w:t>
      </w:r>
      <w:r w:rsidRPr="00282AC9">
        <w:rPr>
          <w:rFonts w:ascii="AAA GoldenLotus" w:hAnsi="AAA GoldenLotus"/>
          <w:sz w:val="27"/>
          <w:rtl/>
        </w:rPr>
        <w:t xml:space="preserve"> </w:t>
      </w:r>
      <w:r w:rsidR="00E41397" w:rsidRPr="00282AC9">
        <w:rPr>
          <w:rFonts w:ascii="AAA GoldenLotus" w:hAnsi="AAA GoldenLotus" w:hint="cs"/>
          <w:sz w:val="27"/>
          <w:rtl/>
        </w:rPr>
        <w:t xml:space="preserve">ـ </w:t>
      </w:r>
      <w:r w:rsidR="00E41397" w:rsidRPr="00282AC9">
        <w:rPr>
          <w:rFonts w:ascii="AAA GoldenLotus" w:hAnsi="AAA GoldenLotus"/>
          <w:sz w:val="27"/>
          <w:rtl/>
        </w:rPr>
        <w:t xml:space="preserve">مثلاً </w:t>
      </w:r>
      <w:r w:rsidR="00E41397" w:rsidRPr="00282AC9">
        <w:rPr>
          <w:rFonts w:ascii="AAA GoldenLotus" w:hAnsi="AAA GoldenLotus" w:hint="cs"/>
          <w:sz w:val="27"/>
          <w:rtl/>
        </w:rPr>
        <w:t xml:space="preserve">ـ </w:t>
      </w:r>
      <w:r w:rsidRPr="00282AC9">
        <w:rPr>
          <w:rFonts w:ascii="AAA GoldenLotus" w:hAnsi="AAA GoldenLotus"/>
          <w:sz w:val="27"/>
          <w:rtl/>
        </w:rPr>
        <w:t>في جواب زرارة</w:t>
      </w:r>
      <w:r w:rsidR="00637D31" w:rsidRPr="00282AC9">
        <w:rPr>
          <w:rFonts w:ascii="AAA GoldenLotus" w:hAnsi="AAA GoldenLotus" w:hint="cs"/>
          <w:sz w:val="27"/>
          <w:rtl/>
        </w:rPr>
        <w:t>،</w:t>
      </w:r>
      <w:r w:rsidRPr="00282AC9">
        <w:rPr>
          <w:rFonts w:ascii="AAA GoldenLotus" w:hAnsi="AAA GoldenLotus"/>
          <w:sz w:val="27"/>
          <w:rtl/>
        </w:rPr>
        <w:t xml:space="preserve"> الذي سأله عن إصابة الدم ثوبه، وقد نسيه</w:t>
      </w:r>
      <w:r w:rsidR="00E41397" w:rsidRPr="00282AC9">
        <w:rPr>
          <w:rFonts w:ascii="AAA GoldenLotus" w:hAnsi="AAA GoldenLotus" w:hint="cs"/>
          <w:sz w:val="27"/>
          <w:rtl/>
        </w:rPr>
        <w:t>،</w:t>
      </w:r>
      <w:r w:rsidRPr="00282AC9">
        <w:rPr>
          <w:rFonts w:ascii="AAA GoldenLotus" w:hAnsi="AAA GoldenLotus"/>
          <w:sz w:val="27"/>
          <w:rtl/>
        </w:rPr>
        <w:t xml:space="preserve"> فصل</w:t>
      </w:r>
      <w:r w:rsidR="00E41397" w:rsidRPr="00282AC9">
        <w:rPr>
          <w:rFonts w:ascii="AAA GoldenLotus" w:hAnsi="AAA GoldenLotus" w:hint="cs"/>
          <w:sz w:val="27"/>
          <w:rtl/>
        </w:rPr>
        <w:t>ّ</w:t>
      </w:r>
      <w:r w:rsidRPr="00282AC9">
        <w:rPr>
          <w:rFonts w:ascii="AAA GoldenLotus" w:hAnsi="AAA GoldenLotus"/>
          <w:sz w:val="27"/>
          <w:rtl/>
        </w:rPr>
        <w:t>ى فيه</w:t>
      </w:r>
      <w:r w:rsidR="00E41397" w:rsidRPr="00282AC9">
        <w:rPr>
          <w:rFonts w:ascii="AAA GoldenLotus" w:hAnsi="AAA GoldenLotus" w:hint="cs"/>
          <w:sz w:val="27"/>
          <w:rtl/>
        </w:rPr>
        <w:t>؟</w:t>
      </w:r>
      <w:r w:rsidRPr="00282AC9">
        <w:rPr>
          <w:rFonts w:ascii="AAA GoldenLotus" w:hAnsi="AAA GoldenLotus"/>
          <w:sz w:val="27"/>
          <w:rtl/>
        </w:rPr>
        <w:t>: أع</w:t>
      </w:r>
      <w:r w:rsidR="00E41397" w:rsidRPr="00282AC9">
        <w:rPr>
          <w:rFonts w:ascii="AAA GoldenLotus" w:hAnsi="AAA GoldenLotus" w:hint="cs"/>
          <w:sz w:val="27"/>
          <w:rtl/>
        </w:rPr>
        <w:t>ِ</w:t>
      </w:r>
      <w:r w:rsidRPr="00282AC9">
        <w:rPr>
          <w:rFonts w:ascii="AAA GoldenLotus" w:hAnsi="AAA GoldenLotus"/>
          <w:sz w:val="27"/>
          <w:rtl/>
        </w:rPr>
        <w:t>د</w:t>
      </w:r>
      <w:r w:rsidR="00E41397" w:rsidRPr="00282AC9">
        <w:rPr>
          <w:rFonts w:ascii="AAA GoldenLotus" w:hAnsi="AAA GoldenLotus" w:hint="cs"/>
          <w:sz w:val="27"/>
          <w:rtl/>
        </w:rPr>
        <w:t>ْ</w:t>
      </w:r>
      <w:r w:rsidRPr="00282AC9">
        <w:rPr>
          <w:rFonts w:ascii="AAA GoldenLotus" w:hAnsi="AAA GoldenLotus"/>
          <w:sz w:val="27"/>
          <w:rtl/>
        </w:rPr>
        <w:t xml:space="preserve"> صلاتك</w:t>
      </w:r>
      <w:r w:rsidR="00E41397" w:rsidRPr="00282AC9">
        <w:rPr>
          <w:rFonts w:ascii="AAA GoldenLotus" w:hAnsi="AAA GoldenLotus" w:hint="cs"/>
          <w:sz w:val="27"/>
          <w:rtl/>
        </w:rPr>
        <w:t>،</w:t>
      </w:r>
      <w:r w:rsidRPr="00282AC9">
        <w:rPr>
          <w:rFonts w:ascii="AAA GoldenLotus" w:hAnsi="AAA GoldenLotus"/>
          <w:sz w:val="27"/>
          <w:rtl/>
        </w:rPr>
        <w:t xml:space="preserve"> يكون المرتكز في ذهن المتشر</w:t>
      </w:r>
      <w:r w:rsidR="00E41397" w:rsidRPr="00282AC9">
        <w:rPr>
          <w:rFonts w:ascii="AAA GoldenLotus" w:hAnsi="AAA GoldenLotus" w:hint="cs"/>
          <w:sz w:val="27"/>
          <w:rtl/>
        </w:rPr>
        <w:t>ِّ</w:t>
      </w:r>
      <w:r w:rsidRPr="00282AC9">
        <w:rPr>
          <w:rFonts w:ascii="AAA GoldenLotus" w:hAnsi="AAA GoldenLotus"/>
          <w:sz w:val="27"/>
          <w:rtl/>
        </w:rPr>
        <w:t xml:space="preserve">عة ثبوت هذا الحكم بالنسبة </w:t>
      </w:r>
      <w:r w:rsidR="00E41397" w:rsidRPr="00282AC9">
        <w:rPr>
          <w:rFonts w:ascii="AAA GoldenLotus" w:hAnsi="AAA GoldenLotus" w:hint="cs"/>
          <w:sz w:val="27"/>
          <w:rtl/>
        </w:rPr>
        <w:t>إ</w:t>
      </w:r>
      <w:r w:rsidRPr="00282AC9">
        <w:rPr>
          <w:rFonts w:ascii="AAA GoldenLotus" w:hAnsi="AAA GoldenLotus"/>
          <w:sz w:val="27"/>
          <w:rtl/>
        </w:rPr>
        <w:t>لى جميع م</w:t>
      </w:r>
      <w:r w:rsidR="00E41397" w:rsidRPr="00282AC9">
        <w:rPr>
          <w:rFonts w:ascii="AAA GoldenLotus" w:hAnsi="AAA GoldenLotus" w:hint="cs"/>
          <w:sz w:val="27"/>
          <w:rtl/>
        </w:rPr>
        <w:t>َ</w:t>
      </w:r>
      <w:r w:rsidRPr="00282AC9">
        <w:rPr>
          <w:rFonts w:ascii="AAA GoldenLotus" w:hAnsi="AAA GoldenLotus"/>
          <w:sz w:val="27"/>
          <w:rtl/>
        </w:rPr>
        <w:t>ن</w:t>
      </w:r>
      <w:r w:rsidR="00E41397" w:rsidRPr="00282AC9">
        <w:rPr>
          <w:rFonts w:ascii="AAA GoldenLotus" w:hAnsi="AAA GoldenLotus" w:hint="cs"/>
          <w:sz w:val="27"/>
          <w:rtl/>
        </w:rPr>
        <w:t>ْ</w:t>
      </w:r>
      <w:r w:rsidRPr="00282AC9">
        <w:rPr>
          <w:rFonts w:ascii="AAA GoldenLotus" w:hAnsi="AAA GoldenLotus"/>
          <w:sz w:val="27"/>
          <w:rtl/>
        </w:rPr>
        <w:t xml:space="preserve"> كان منطبقاً عليه مفروض السؤال</w:t>
      </w:r>
      <w:r w:rsidR="00E41397" w:rsidRPr="00282AC9">
        <w:rPr>
          <w:rFonts w:ascii="AAA GoldenLotus" w:hAnsi="AAA GoldenLotus" w:hint="cs"/>
          <w:sz w:val="27"/>
          <w:rtl/>
        </w:rPr>
        <w:t>،</w:t>
      </w:r>
      <w:r w:rsidR="00B4202F" w:rsidRPr="00282AC9">
        <w:rPr>
          <w:rFonts w:ascii="AAA GoldenLotus" w:hAnsi="AAA GoldenLotus"/>
          <w:sz w:val="27"/>
          <w:rtl/>
        </w:rPr>
        <w:t xml:space="preserve"> بلا فرق بين أن</w:t>
      </w:r>
      <w:r w:rsidRPr="00282AC9">
        <w:rPr>
          <w:rFonts w:ascii="AAA GoldenLotus" w:hAnsi="AAA GoldenLotus"/>
          <w:sz w:val="27"/>
          <w:rtl/>
        </w:rPr>
        <w:t xml:space="preserve"> يكون رجلاً أو امرأة</w:t>
      </w:r>
      <w:r w:rsidR="00E41397" w:rsidRPr="00282AC9">
        <w:rPr>
          <w:rFonts w:ascii="AAA GoldenLotus" w:hAnsi="AAA GoldenLotus" w:hint="cs"/>
          <w:sz w:val="27"/>
          <w:rtl/>
        </w:rPr>
        <w:t>ً</w:t>
      </w:r>
      <w:r w:rsidRPr="00282AC9">
        <w:rPr>
          <w:rFonts w:ascii="AAA GoldenLotus" w:hAnsi="AAA GoldenLotus"/>
          <w:sz w:val="27"/>
          <w:rtl/>
        </w:rPr>
        <w:t>، وإن</w:t>
      </w:r>
      <w:r w:rsidR="00E41397" w:rsidRPr="00282AC9">
        <w:rPr>
          <w:rFonts w:ascii="AAA GoldenLotus" w:hAnsi="AAA GoldenLotus" w:hint="cs"/>
          <w:sz w:val="27"/>
          <w:rtl/>
        </w:rPr>
        <w:t>ْ</w:t>
      </w:r>
      <w:r w:rsidRPr="00282AC9">
        <w:rPr>
          <w:rFonts w:ascii="AAA GoldenLotus" w:hAnsi="AAA GoldenLotus"/>
          <w:sz w:val="27"/>
          <w:rtl/>
        </w:rPr>
        <w:t xml:space="preserve"> كان المخاط</w:t>
      </w:r>
      <w:r w:rsidR="00E41397" w:rsidRPr="00282AC9">
        <w:rPr>
          <w:rFonts w:ascii="AAA GoldenLotus" w:hAnsi="AAA GoldenLotus" w:hint="cs"/>
          <w:sz w:val="27"/>
          <w:rtl/>
        </w:rPr>
        <w:t>َ</w:t>
      </w:r>
      <w:r w:rsidRPr="00282AC9">
        <w:rPr>
          <w:rFonts w:ascii="AAA GoldenLotus" w:hAnsi="AAA GoldenLotus"/>
          <w:sz w:val="27"/>
          <w:rtl/>
        </w:rPr>
        <w:t>ب بح</w:t>
      </w:r>
      <w:r w:rsidR="00E41397" w:rsidRPr="00282AC9">
        <w:rPr>
          <w:rFonts w:ascii="AAA GoldenLotus" w:hAnsi="AAA GoldenLotus" w:hint="cs"/>
          <w:sz w:val="27"/>
          <w:rtl/>
        </w:rPr>
        <w:t>َ</w:t>
      </w:r>
      <w:r w:rsidRPr="00282AC9">
        <w:rPr>
          <w:rFonts w:ascii="AAA GoldenLotus" w:hAnsi="AAA GoldenLotus"/>
          <w:sz w:val="27"/>
          <w:rtl/>
        </w:rPr>
        <w:t>س</w:t>
      </w:r>
      <w:r w:rsidR="00E41397" w:rsidRPr="00282AC9">
        <w:rPr>
          <w:rFonts w:ascii="AAA GoldenLotus" w:hAnsi="AAA GoldenLotus" w:hint="cs"/>
          <w:sz w:val="27"/>
          <w:rtl/>
        </w:rPr>
        <w:t>َ</w:t>
      </w:r>
      <w:r w:rsidRPr="00282AC9">
        <w:rPr>
          <w:rFonts w:ascii="AAA GoldenLotus" w:hAnsi="AAA GoldenLotus"/>
          <w:sz w:val="27"/>
          <w:rtl/>
        </w:rPr>
        <w:t>ب اللفظ والبيان هو زرارة</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62"/>
      </w:r>
      <w:r w:rsidRPr="00282AC9">
        <w:rPr>
          <w:rFonts w:ascii="AAA GoldenLotus" w:hAnsi="AAA GoldenLotus"/>
          <w:sz w:val="27"/>
          <w:vertAlign w:val="superscript"/>
          <w:rtl/>
        </w:rPr>
        <w:t>)</w:t>
      </w:r>
      <w:r w:rsidRPr="00282AC9">
        <w:rPr>
          <w:rFonts w:ascii="AAA GoldenLotus" w:hAnsi="AAA GoldenLotus"/>
          <w:sz w:val="27"/>
          <w:rtl/>
        </w:rPr>
        <w:t xml:space="preserve">. </w:t>
      </w:r>
    </w:p>
    <w:p w:rsidR="008573BF" w:rsidRPr="00282AC9" w:rsidRDefault="008573BF" w:rsidP="008573BF">
      <w:pPr>
        <w:spacing w:line="420" w:lineRule="exact"/>
        <w:rPr>
          <w:rtl/>
        </w:rPr>
      </w:pPr>
    </w:p>
    <w:p w:rsidR="00E355F2" w:rsidRPr="00282AC9" w:rsidRDefault="0061260E" w:rsidP="007D08F4">
      <w:pPr>
        <w:pStyle w:val="31"/>
        <w:rPr>
          <w:color w:val="auto"/>
          <w:rtl/>
        </w:rPr>
      </w:pPr>
      <w:r w:rsidRPr="00282AC9">
        <w:rPr>
          <w:rFonts w:hint="cs"/>
          <w:color w:val="auto"/>
          <w:rtl/>
        </w:rPr>
        <w:t xml:space="preserve">د </w:t>
      </w:r>
      <w:r w:rsidR="00E355F2" w:rsidRPr="00282AC9">
        <w:rPr>
          <w:color w:val="auto"/>
          <w:rtl/>
        </w:rPr>
        <w:t>ـ عدم خلو</w:t>
      </w:r>
      <w:r w:rsidR="00E41397" w:rsidRPr="00282AC9">
        <w:rPr>
          <w:rFonts w:hint="cs"/>
          <w:color w:val="auto"/>
          <w:rtl/>
        </w:rPr>
        <w:t>ّ</w:t>
      </w:r>
      <w:r w:rsidR="00E355F2" w:rsidRPr="00282AC9">
        <w:rPr>
          <w:color w:val="auto"/>
          <w:rtl/>
        </w:rPr>
        <w:t xml:space="preserve"> الوقائع من الأحكام</w:t>
      </w:r>
    </w:p>
    <w:p w:rsidR="00E355F2" w:rsidRPr="00282AC9" w:rsidRDefault="00E355F2" w:rsidP="00046546">
      <w:pPr>
        <w:rPr>
          <w:rFonts w:ascii="AAA GoldenLotus" w:hAnsi="AAA GoldenLotus"/>
          <w:sz w:val="27"/>
          <w:rtl/>
        </w:rPr>
      </w:pPr>
      <w:r w:rsidRPr="00282AC9">
        <w:rPr>
          <w:rFonts w:ascii="AAA GoldenLotus" w:hAnsi="AAA GoldenLotus"/>
          <w:sz w:val="27"/>
          <w:rtl/>
        </w:rPr>
        <w:t>ويمكن التمس</w:t>
      </w:r>
      <w:r w:rsidR="00E41397" w:rsidRPr="00282AC9">
        <w:rPr>
          <w:rFonts w:ascii="AAA GoldenLotus" w:hAnsi="AAA GoldenLotus" w:hint="cs"/>
          <w:sz w:val="27"/>
          <w:rtl/>
        </w:rPr>
        <w:t>ُّ</w:t>
      </w:r>
      <w:r w:rsidRPr="00282AC9">
        <w:rPr>
          <w:rFonts w:ascii="AAA GoldenLotus" w:hAnsi="AAA GoldenLotus"/>
          <w:sz w:val="27"/>
          <w:rtl/>
        </w:rPr>
        <w:t>ك لإثبات قاعدة اشتراك الرجل والمرأة في الأحكام الشرعي</w:t>
      </w:r>
      <w:r w:rsidR="00E41397" w:rsidRPr="00282AC9">
        <w:rPr>
          <w:rFonts w:ascii="AAA GoldenLotus" w:hAnsi="AAA GoldenLotus" w:hint="cs"/>
          <w:sz w:val="27"/>
          <w:rtl/>
        </w:rPr>
        <w:t>ّ</w:t>
      </w:r>
      <w:r w:rsidRPr="00282AC9">
        <w:rPr>
          <w:rFonts w:ascii="AAA GoldenLotus" w:hAnsi="AAA GoldenLotus"/>
          <w:sz w:val="27"/>
          <w:rtl/>
        </w:rPr>
        <w:t>ة بالمسألة المعروفة عند الأصولي</w:t>
      </w:r>
      <w:r w:rsidR="00E41397" w:rsidRPr="00282AC9">
        <w:rPr>
          <w:rFonts w:ascii="AAA GoldenLotus" w:hAnsi="AAA GoldenLotus" w:hint="cs"/>
          <w:sz w:val="27"/>
          <w:rtl/>
        </w:rPr>
        <w:t>ّ</w:t>
      </w:r>
      <w:r w:rsidRPr="00282AC9">
        <w:rPr>
          <w:rFonts w:ascii="AAA GoldenLotus" w:hAnsi="AAA GoldenLotus"/>
          <w:sz w:val="27"/>
          <w:rtl/>
        </w:rPr>
        <w:t>ين والفقهاء</w:t>
      </w:r>
      <w:r w:rsidR="00E41397" w:rsidRPr="00282AC9">
        <w:rPr>
          <w:rFonts w:ascii="AAA GoldenLotus" w:hAnsi="AAA GoldenLotus" w:hint="cs"/>
          <w:sz w:val="27"/>
          <w:rtl/>
        </w:rPr>
        <w:t>،</w:t>
      </w:r>
      <w:r w:rsidRPr="00282AC9">
        <w:rPr>
          <w:rFonts w:ascii="AAA GoldenLotus" w:hAnsi="AAA GoldenLotus"/>
          <w:sz w:val="27"/>
          <w:rtl/>
        </w:rPr>
        <w:t xml:space="preserve"> وهي عدم خلو</w:t>
      </w:r>
      <w:r w:rsidR="00E41397" w:rsidRPr="00282AC9">
        <w:rPr>
          <w:rFonts w:ascii="AAA GoldenLotus" w:hAnsi="AAA GoldenLotus" w:hint="cs"/>
          <w:sz w:val="27"/>
          <w:rtl/>
        </w:rPr>
        <w:t>ّ</w:t>
      </w:r>
      <w:r w:rsidRPr="00282AC9">
        <w:rPr>
          <w:rFonts w:ascii="AAA GoldenLotus" w:hAnsi="AAA GoldenLotus"/>
          <w:sz w:val="27"/>
          <w:rtl/>
        </w:rPr>
        <w:t xml:space="preserve"> الواقعة من الحكم، ببيان أنه إذا ثبت حكم لأحد</w:t>
      </w:r>
      <w:r w:rsidR="00E41397" w:rsidRPr="00282AC9">
        <w:rPr>
          <w:rFonts w:ascii="AAA GoldenLotus" w:hAnsi="AAA GoldenLotus" w:hint="cs"/>
          <w:sz w:val="27"/>
          <w:rtl/>
        </w:rPr>
        <w:t>ٍ،</w:t>
      </w:r>
      <w:r w:rsidRPr="00282AC9">
        <w:rPr>
          <w:rFonts w:ascii="AAA GoldenLotus" w:hAnsi="AAA GoldenLotus"/>
          <w:sz w:val="27"/>
          <w:rtl/>
        </w:rPr>
        <w:t xml:space="preserve"> مثل</w:t>
      </w:r>
      <w:r w:rsidR="00E41397" w:rsidRPr="00282AC9">
        <w:rPr>
          <w:rFonts w:ascii="AAA GoldenLotus" w:hAnsi="AAA GoldenLotus" w:hint="cs"/>
          <w:sz w:val="27"/>
          <w:rtl/>
        </w:rPr>
        <w:t>:</w:t>
      </w:r>
      <w:r w:rsidRPr="00282AC9">
        <w:rPr>
          <w:rFonts w:ascii="AAA GoldenLotus" w:hAnsi="AAA GoldenLotus"/>
          <w:sz w:val="27"/>
          <w:rtl/>
        </w:rPr>
        <w:t xml:space="preserve"> زرارة في المثال المتقد</w:t>
      </w:r>
      <w:r w:rsidR="00E41397" w:rsidRPr="00282AC9">
        <w:rPr>
          <w:rFonts w:ascii="AAA GoldenLotus" w:hAnsi="AAA GoldenLotus" w:hint="cs"/>
          <w:sz w:val="27"/>
          <w:rtl/>
        </w:rPr>
        <w:t>ِّ</w:t>
      </w:r>
      <w:r w:rsidRPr="00282AC9">
        <w:rPr>
          <w:rFonts w:ascii="AAA GoldenLotus" w:hAnsi="AAA GoldenLotus"/>
          <w:sz w:val="27"/>
          <w:rtl/>
        </w:rPr>
        <w:t>م، فاللازم الحكم بثبوته لغيره ممّ</w:t>
      </w:r>
      <w:r w:rsidR="00E41397" w:rsidRPr="00282AC9">
        <w:rPr>
          <w:rFonts w:ascii="AAA GoldenLotus" w:hAnsi="AAA GoldenLotus" w:hint="cs"/>
          <w:sz w:val="27"/>
          <w:rtl/>
        </w:rPr>
        <w:t>َ</w:t>
      </w:r>
      <w:r w:rsidRPr="00282AC9">
        <w:rPr>
          <w:rFonts w:ascii="AAA GoldenLotus" w:hAnsi="AAA GoldenLotus"/>
          <w:sz w:val="27"/>
          <w:rtl/>
        </w:rPr>
        <w:t>ن</w:t>
      </w:r>
      <w:r w:rsidR="00E41397" w:rsidRPr="00282AC9">
        <w:rPr>
          <w:rFonts w:ascii="AAA GoldenLotus" w:hAnsi="AAA GoldenLotus" w:hint="cs"/>
          <w:sz w:val="27"/>
          <w:rtl/>
        </w:rPr>
        <w:t>ْ</w:t>
      </w:r>
      <w:r w:rsidRPr="00282AC9">
        <w:rPr>
          <w:rFonts w:ascii="AAA GoldenLotus" w:hAnsi="AAA GoldenLotus"/>
          <w:sz w:val="27"/>
          <w:rtl/>
        </w:rPr>
        <w:t xml:space="preserve"> هو مثله في الجهات الراجعة إلى الحكم</w:t>
      </w:r>
      <w:r w:rsidR="00E41397" w:rsidRPr="00282AC9">
        <w:rPr>
          <w:rFonts w:ascii="AAA GoldenLotus" w:hAnsi="AAA GoldenLotus" w:hint="cs"/>
          <w:sz w:val="27"/>
          <w:rtl/>
        </w:rPr>
        <w:t>،</w:t>
      </w:r>
      <w:r w:rsidRPr="00282AC9">
        <w:rPr>
          <w:rFonts w:ascii="AAA GoldenLotus" w:hAnsi="AAA GoldenLotus"/>
          <w:sz w:val="27"/>
          <w:rtl/>
        </w:rPr>
        <w:t xml:space="preserve"> سواء كان رجلاً أو امرأة</w:t>
      </w:r>
      <w:r w:rsidR="00E41397" w:rsidRPr="00282AC9">
        <w:rPr>
          <w:rFonts w:ascii="AAA GoldenLotus" w:hAnsi="AAA GoldenLotus" w:hint="cs"/>
          <w:sz w:val="27"/>
          <w:rtl/>
        </w:rPr>
        <w:t>ً</w:t>
      </w:r>
      <w:r w:rsidRPr="00282AC9">
        <w:rPr>
          <w:rFonts w:ascii="AAA GoldenLotus" w:hAnsi="AAA GoldenLotus"/>
          <w:sz w:val="27"/>
          <w:rtl/>
        </w:rPr>
        <w:t xml:space="preserve">؛ إذ مع </w:t>
      </w:r>
      <w:r w:rsidR="00895A89" w:rsidRPr="00282AC9">
        <w:rPr>
          <w:rFonts w:ascii="AAA GoldenLotus" w:hAnsi="AAA GoldenLotus" w:hint="cs"/>
          <w:sz w:val="27"/>
          <w:rtl/>
        </w:rPr>
        <w:t xml:space="preserve">عدم </w:t>
      </w:r>
      <w:r w:rsidRPr="00282AC9">
        <w:rPr>
          <w:rFonts w:ascii="AAA GoldenLotus" w:hAnsi="AAA GoldenLotus"/>
          <w:sz w:val="27"/>
          <w:rtl/>
        </w:rPr>
        <w:t xml:space="preserve">ثبوته لغيره </w:t>
      </w:r>
      <w:r w:rsidR="00674EF5" w:rsidRPr="00282AC9">
        <w:rPr>
          <w:rFonts w:ascii="AAA GoldenLotus" w:hAnsi="AAA GoldenLotus"/>
          <w:sz w:val="27"/>
          <w:rtl/>
        </w:rPr>
        <w:t>لا بُدَّ</w:t>
      </w:r>
      <w:r w:rsidRPr="00282AC9">
        <w:rPr>
          <w:rFonts w:ascii="AAA GoldenLotus" w:hAnsi="AAA GoldenLotus"/>
          <w:sz w:val="27"/>
          <w:rtl/>
        </w:rPr>
        <w:t xml:space="preserve"> إمّا من الالتزام بخلوّ نفس هذه الواقعة بالنسبة إلى غيره عن الحكم، فينافي أدل</w:t>
      </w:r>
      <w:r w:rsidR="00E41397" w:rsidRPr="00282AC9">
        <w:rPr>
          <w:rFonts w:ascii="AAA GoldenLotus" w:hAnsi="AAA GoldenLotus" w:hint="cs"/>
          <w:sz w:val="27"/>
          <w:rtl/>
        </w:rPr>
        <w:t>ّ</w:t>
      </w:r>
      <w:r w:rsidRPr="00282AC9">
        <w:rPr>
          <w:rFonts w:ascii="AAA GoldenLotus" w:hAnsi="AAA GoldenLotus"/>
          <w:sz w:val="27"/>
          <w:rtl/>
        </w:rPr>
        <w:t>ة الشريعة التي التزم بها</w:t>
      </w:r>
      <w:r w:rsidR="00E41397" w:rsidRPr="00282AC9">
        <w:rPr>
          <w:rFonts w:ascii="AAA GoldenLotus" w:hAnsi="AAA GoldenLotus" w:hint="cs"/>
          <w:sz w:val="27"/>
          <w:rtl/>
        </w:rPr>
        <w:t>؛</w:t>
      </w:r>
      <w:r w:rsidRPr="00282AC9">
        <w:rPr>
          <w:rFonts w:ascii="AAA GoldenLotus" w:hAnsi="AAA GoldenLotus"/>
          <w:sz w:val="27"/>
          <w:rtl/>
        </w:rPr>
        <w:t xml:space="preserve"> و</w:t>
      </w:r>
      <w:r w:rsidR="00895A89" w:rsidRPr="00282AC9">
        <w:rPr>
          <w:rFonts w:ascii="AAA GoldenLotus" w:hAnsi="AAA GoldenLotus" w:hint="cs"/>
          <w:sz w:val="27"/>
          <w:rtl/>
        </w:rPr>
        <w:t>إ</w:t>
      </w:r>
      <w:r w:rsidRPr="00282AC9">
        <w:rPr>
          <w:rFonts w:ascii="AAA GoldenLotus" w:hAnsi="AAA GoldenLotus"/>
          <w:sz w:val="27"/>
          <w:rtl/>
        </w:rPr>
        <w:t>مّا أن نلتزم بورود جعل</w:t>
      </w:r>
      <w:r w:rsidR="00895A89" w:rsidRPr="00282AC9">
        <w:rPr>
          <w:rFonts w:ascii="AAA GoldenLotus" w:hAnsi="AAA GoldenLotus" w:hint="cs"/>
          <w:sz w:val="27"/>
          <w:rtl/>
        </w:rPr>
        <w:t>ٍ</w:t>
      </w:r>
      <w:r w:rsidRPr="00282AC9">
        <w:rPr>
          <w:rFonts w:ascii="AAA GoldenLotus" w:hAnsi="AAA GoldenLotus"/>
          <w:sz w:val="27"/>
          <w:rtl/>
        </w:rPr>
        <w:t xml:space="preserve"> جديد في قضي</w:t>
      </w:r>
      <w:r w:rsidR="00895A89" w:rsidRPr="00282AC9">
        <w:rPr>
          <w:rFonts w:ascii="AAA GoldenLotus" w:hAnsi="AAA GoldenLotus" w:hint="cs"/>
          <w:sz w:val="27"/>
          <w:rtl/>
        </w:rPr>
        <w:t>ّ</w:t>
      </w:r>
      <w:r w:rsidRPr="00282AC9">
        <w:rPr>
          <w:rFonts w:ascii="AAA GoldenLotus" w:hAnsi="AAA GoldenLotus"/>
          <w:sz w:val="27"/>
          <w:rtl/>
        </w:rPr>
        <w:t>ة</w:t>
      </w:r>
      <w:r w:rsidR="00895A89" w:rsidRPr="00282AC9">
        <w:rPr>
          <w:rFonts w:ascii="AAA GoldenLotus" w:hAnsi="AAA GoldenLotus" w:hint="cs"/>
          <w:sz w:val="27"/>
          <w:rtl/>
        </w:rPr>
        <w:t>ٍ</w:t>
      </w:r>
      <w:r w:rsidRPr="00282AC9">
        <w:rPr>
          <w:rFonts w:ascii="AAA GoldenLotus" w:hAnsi="AAA GoldenLotus"/>
          <w:sz w:val="27"/>
          <w:rtl/>
        </w:rPr>
        <w:t xml:space="preserve"> مماثلة لمكل</w:t>
      </w:r>
      <w:r w:rsidR="00895A89" w:rsidRPr="00282AC9">
        <w:rPr>
          <w:rFonts w:ascii="AAA GoldenLotus" w:hAnsi="AAA GoldenLotus" w:hint="cs"/>
          <w:sz w:val="27"/>
          <w:rtl/>
        </w:rPr>
        <w:t>َّ</w:t>
      </w:r>
      <w:r w:rsidRPr="00282AC9">
        <w:rPr>
          <w:rFonts w:ascii="AAA GoldenLotus" w:hAnsi="AAA GoldenLotus"/>
          <w:sz w:val="27"/>
          <w:rtl/>
        </w:rPr>
        <w:t>ف</w:t>
      </w:r>
      <w:r w:rsidR="00895A89" w:rsidRPr="00282AC9">
        <w:rPr>
          <w:rFonts w:ascii="AAA GoldenLotus" w:hAnsi="AAA GoldenLotus" w:hint="cs"/>
          <w:sz w:val="27"/>
          <w:rtl/>
        </w:rPr>
        <w:t>ٍ</w:t>
      </w:r>
      <w:r w:rsidRPr="00282AC9">
        <w:rPr>
          <w:rFonts w:ascii="AAA GoldenLotus" w:hAnsi="AAA GoldenLotus"/>
          <w:sz w:val="27"/>
          <w:rtl/>
        </w:rPr>
        <w:t xml:space="preserve"> آخر، أو ورود جعل</w:t>
      </w:r>
      <w:r w:rsidR="00895A89" w:rsidRPr="00282AC9">
        <w:rPr>
          <w:rFonts w:ascii="AAA GoldenLotus" w:hAnsi="AAA GoldenLotus" w:hint="cs"/>
          <w:sz w:val="27"/>
          <w:rtl/>
        </w:rPr>
        <w:t>ٍ</w:t>
      </w:r>
      <w:r w:rsidRPr="00282AC9">
        <w:rPr>
          <w:rFonts w:ascii="AAA GoldenLotus" w:hAnsi="AAA GoldenLotus"/>
          <w:sz w:val="27"/>
          <w:rtl/>
        </w:rPr>
        <w:t xml:space="preserve"> آخر بنحو العموم، إ</w:t>
      </w:r>
      <w:r w:rsidR="00EE6DBA" w:rsidRPr="00282AC9">
        <w:rPr>
          <w:rFonts w:ascii="AAA GoldenLotus" w:hAnsi="AAA GoldenLotus"/>
          <w:sz w:val="27"/>
          <w:rtl/>
        </w:rPr>
        <w:t>لاّ</w:t>
      </w:r>
      <w:r w:rsidRPr="00282AC9">
        <w:rPr>
          <w:rFonts w:ascii="AAA GoldenLotus" w:hAnsi="AAA GoldenLotus"/>
          <w:sz w:val="27"/>
          <w:rtl/>
        </w:rPr>
        <w:t xml:space="preserve"> أنّه لا دليل على هذين الج</w:t>
      </w:r>
      <w:r w:rsidR="00895A89" w:rsidRPr="00282AC9">
        <w:rPr>
          <w:rFonts w:ascii="AAA GoldenLotus" w:hAnsi="AAA GoldenLotus" w:hint="cs"/>
          <w:sz w:val="27"/>
          <w:rtl/>
        </w:rPr>
        <w:t>َ</w:t>
      </w:r>
      <w:r w:rsidRPr="00282AC9">
        <w:rPr>
          <w:rFonts w:ascii="AAA GoldenLotus" w:hAnsi="AAA GoldenLotus"/>
          <w:sz w:val="27"/>
          <w:rtl/>
        </w:rPr>
        <w:t>ع</w:t>
      </w:r>
      <w:r w:rsidR="00895A89" w:rsidRPr="00282AC9">
        <w:rPr>
          <w:rFonts w:ascii="AAA GoldenLotus" w:hAnsi="AAA GoldenLotus" w:hint="cs"/>
          <w:sz w:val="27"/>
          <w:rtl/>
        </w:rPr>
        <w:t>ْ</w:t>
      </w:r>
      <w:r w:rsidRPr="00282AC9">
        <w:rPr>
          <w:rFonts w:ascii="AAA GoldenLotus" w:hAnsi="AAA GoldenLotus"/>
          <w:sz w:val="27"/>
          <w:rtl/>
        </w:rPr>
        <w:t>ل</w:t>
      </w:r>
      <w:r w:rsidR="00895A89" w:rsidRPr="00282AC9">
        <w:rPr>
          <w:rFonts w:ascii="AAA GoldenLotus" w:hAnsi="AAA GoldenLotus" w:hint="cs"/>
          <w:sz w:val="27"/>
          <w:rtl/>
        </w:rPr>
        <w:t>َ</w:t>
      </w:r>
      <w:r w:rsidRPr="00282AC9">
        <w:rPr>
          <w:rFonts w:ascii="AAA GoldenLotus" w:hAnsi="AAA GoldenLotus"/>
          <w:sz w:val="27"/>
          <w:rtl/>
        </w:rPr>
        <w:t>ين؛ إذ المفروض أن الدليل في المسألة منحصر</w:t>
      </w:r>
      <w:r w:rsidR="00895A89" w:rsidRPr="00282AC9">
        <w:rPr>
          <w:rFonts w:ascii="AAA GoldenLotus" w:hAnsi="AAA GoldenLotus" w:hint="cs"/>
          <w:sz w:val="27"/>
          <w:rtl/>
        </w:rPr>
        <w:t>ٌ</w:t>
      </w:r>
      <w:r w:rsidRPr="00282AC9">
        <w:rPr>
          <w:rFonts w:ascii="AAA GoldenLotus" w:hAnsi="AAA GoldenLotus"/>
          <w:sz w:val="27"/>
          <w:rtl/>
        </w:rPr>
        <w:t xml:space="preserve"> بما ورد في قضي</w:t>
      </w:r>
      <w:r w:rsidR="00895A89" w:rsidRPr="00282AC9">
        <w:rPr>
          <w:rFonts w:ascii="AAA GoldenLotus" w:hAnsi="AAA GoldenLotus" w:hint="cs"/>
          <w:sz w:val="27"/>
          <w:rtl/>
        </w:rPr>
        <w:t>ّ</w:t>
      </w:r>
      <w:r w:rsidRPr="00282AC9">
        <w:rPr>
          <w:rFonts w:ascii="AAA GoldenLotus" w:hAnsi="AAA GoldenLotus"/>
          <w:sz w:val="27"/>
          <w:rtl/>
        </w:rPr>
        <w:t>ة زرارة المتقد</w:t>
      </w:r>
      <w:r w:rsidR="00895A89" w:rsidRPr="00282AC9">
        <w:rPr>
          <w:rFonts w:ascii="AAA GoldenLotus" w:hAnsi="AAA GoldenLotus" w:hint="cs"/>
          <w:sz w:val="27"/>
          <w:rtl/>
        </w:rPr>
        <w:t>ِّ</w:t>
      </w:r>
      <w:r w:rsidRPr="00282AC9">
        <w:rPr>
          <w:rFonts w:ascii="AAA GoldenLotus" w:hAnsi="AAA GoldenLotus"/>
          <w:sz w:val="27"/>
          <w:rtl/>
        </w:rPr>
        <w:t>مة</w:t>
      </w:r>
      <w:r w:rsidR="00895A89" w:rsidRPr="00282AC9">
        <w:rPr>
          <w:rFonts w:ascii="AAA GoldenLotus" w:hAnsi="AAA GoldenLotus" w:hint="cs"/>
          <w:sz w:val="27"/>
          <w:rtl/>
        </w:rPr>
        <w:t>.</w:t>
      </w:r>
      <w:r w:rsidRPr="00282AC9">
        <w:rPr>
          <w:rFonts w:ascii="AAA GoldenLotus" w:hAnsi="AAA GoldenLotus"/>
          <w:sz w:val="27"/>
          <w:rtl/>
        </w:rPr>
        <w:t xml:space="preserve"> إذن، ف</w:t>
      </w:r>
      <w:r w:rsidR="00674EF5" w:rsidRPr="00282AC9">
        <w:rPr>
          <w:rFonts w:ascii="AAA GoldenLotus" w:hAnsi="AAA GoldenLotus"/>
          <w:sz w:val="27"/>
          <w:rtl/>
        </w:rPr>
        <w:t>لا بُدَّ</w:t>
      </w:r>
      <w:r w:rsidRPr="00282AC9">
        <w:rPr>
          <w:rFonts w:ascii="AAA GoldenLotus" w:hAnsi="AAA GoldenLotus"/>
          <w:sz w:val="27"/>
          <w:rtl/>
        </w:rPr>
        <w:t xml:space="preserve"> من الاشتراك</w:t>
      </w:r>
      <w:r w:rsidR="00895A89" w:rsidRPr="00282AC9">
        <w:rPr>
          <w:rFonts w:ascii="AAA GoldenLotus" w:hAnsi="AAA GoldenLotus" w:hint="cs"/>
          <w:sz w:val="27"/>
          <w:rtl/>
        </w:rPr>
        <w:t>،</w:t>
      </w:r>
      <w:r w:rsidRPr="00282AC9">
        <w:rPr>
          <w:rFonts w:ascii="AAA GoldenLotus" w:hAnsi="AAA GoldenLotus"/>
          <w:sz w:val="27"/>
          <w:rtl/>
        </w:rPr>
        <w:t xml:space="preserve"> وإلا</w:t>
      </w:r>
      <w:r w:rsidR="00895A89" w:rsidRPr="00282AC9">
        <w:rPr>
          <w:rFonts w:ascii="AAA GoldenLotus" w:hAnsi="AAA GoldenLotus" w:hint="cs"/>
          <w:sz w:val="27"/>
          <w:rtl/>
        </w:rPr>
        <w:t>ّ</w:t>
      </w:r>
      <w:r w:rsidRPr="00282AC9">
        <w:rPr>
          <w:rFonts w:ascii="AAA GoldenLotus" w:hAnsi="AAA GoldenLotus"/>
          <w:sz w:val="27"/>
          <w:rtl/>
        </w:rPr>
        <w:t xml:space="preserve"> لخل</w:t>
      </w:r>
      <w:r w:rsidR="00895A89" w:rsidRPr="00282AC9">
        <w:rPr>
          <w:rFonts w:ascii="AAA GoldenLotus" w:hAnsi="AAA GoldenLotus" w:hint="cs"/>
          <w:sz w:val="27"/>
          <w:rtl/>
        </w:rPr>
        <w:t>َ</w:t>
      </w:r>
      <w:r w:rsidRPr="00282AC9">
        <w:rPr>
          <w:rFonts w:ascii="AAA GoldenLotus" w:hAnsi="AAA GoldenLotus"/>
          <w:sz w:val="27"/>
          <w:rtl/>
        </w:rPr>
        <w:t>ت</w:t>
      </w:r>
      <w:r w:rsidR="00895A89" w:rsidRPr="00282AC9">
        <w:rPr>
          <w:rFonts w:ascii="AAA GoldenLotus" w:hAnsi="AAA GoldenLotus" w:hint="cs"/>
          <w:sz w:val="27"/>
          <w:rtl/>
        </w:rPr>
        <w:t>ْ</w:t>
      </w:r>
      <w:r w:rsidRPr="00282AC9">
        <w:rPr>
          <w:rFonts w:ascii="AAA GoldenLotus" w:hAnsi="AAA GoldenLotus"/>
          <w:sz w:val="27"/>
          <w:rtl/>
        </w:rPr>
        <w:t xml:space="preserve"> الواقعة من الحكم، بل اد</w:t>
      </w:r>
      <w:r w:rsidR="00895A89" w:rsidRPr="00282AC9">
        <w:rPr>
          <w:rFonts w:ascii="AAA GoldenLotus" w:hAnsi="AAA GoldenLotus" w:hint="cs"/>
          <w:sz w:val="27"/>
          <w:rtl/>
        </w:rPr>
        <w:t>ّ</w:t>
      </w:r>
      <w:r w:rsidRPr="00282AC9">
        <w:rPr>
          <w:rFonts w:ascii="AAA GoldenLotus" w:hAnsi="AAA GoldenLotus"/>
          <w:sz w:val="27"/>
          <w:rtl/>
        </w:rPr>
        <w:t>عاء الضرورة ـ حت</w:t>
      </w:r>
      <w:r w:rsidR="00895A89" w:rsidRPr="00282AC9">
        <w:rPr>
          <w:rFonts w:ascii="AAA GoldenLotus" w:hAnsi="AAA GoldenLotus" w:hint="cs"/>
          <w:sz w:val="27"/>
          <w:rtl/>
        </w:rPr>
        <w:t>ّ</w:t>
      </w:r>
      <w:r w:rsidRPr="00282AC9">
        <w:rPr>
          <w:rFonts w:ascii="AAA GoldenLotus" w:hAnsi="AAA GoldenLotus"/>
          <w:sz w:val="27"/>
          <w:rtl/>
        </w:rPr>
        <w:t xml:space="preserve">ى لا تخلو الواقعة من الحكم ـ على اشتراك النساء مع الرجال في الحكم الذي ورد جواباً على سؤال </w:t>
      </w:r>
      <w:r w:rsidRPr="00282AC9">
        <w:rPr>
          <w:rFonts w:ascii="AAA GoldenLotus" w:hAnsi="AAA GoldenLotus"/>
          <w:sz w:val="27"/>
          <w:rtl/>
        </w:rPr>
        <w:lastRenderedPageBreak/>
        <w:t>زرارة</w:t>
      </w:r>
      <w:r w:rsidR="00895A89" w:rsidRPr="00282AC9">
        <w:rPr>
          <w:rFonts w:ascii="AAA GoldenLotus" w:hAnsi="AAA GoldenLotus" w:hint="cs"/>
          <w:sz w:val="27"/>
          <w:rtl/>
        </w:rPr>
        <w:t>،</w:t>
      </w:r>
      <w:r w:rsidRPr="00282AC9">
        <w:rPr>
          <w:rFonts w:ascii="AAA GoldenLotus" w:hAnsi="AAA GoldenLotus"/>
          <w:sz w:val="27"/>
          <w:rtl/>
        </w:rPr>
        <w:t xml:space="preserve"> الذي هو رجل</w:t>
      </w:r>
      <w:r w:rsidR="00895A89" w:rsidRPr="00282AC9">
        <w:rPr>
          <w:rFonts w:ascii="AAA GoldenLotus" w:hAnsi="AAA GoldenLotus" w:hint="cs"/>
          <w:sz w:val="27"/>
          <w:rtl/>
        </w:rPr>
        <w:t>ٌ</w:t>
      </w:r>
      <w:r w:rsidRPr="00282AC9">
        <w:rPr>
          <w:rFonts w:ascii="AAA GoldenLotus" w:hAnsi="AAA GoldenLotus"/>
          <w:sz w:val="27"/>
          <w:rtl/>
        </w:rPr>
        <w:t xml:space="preserve"> في المقام</w:t>
      </w:r>
      <w:r w:rsidR="00895A89" w:rsidRPr="00282AC9">
        <w:rPr>
          <w:rFonts w:ascii="AAA GoldenLotus" w:hAnsi="AAA GoldenLotus" w:hint="cs"/>
          <w:sz w:val="27"/>
          <w:rtl/>
        </w:rPr>
        <w:t>،</w:t>
      </w:r>
      <w:r w:rsidRPr="00282AC9">
        <w:rPr>
          <w:rFonts w:ascii="AAA GoldenLotus" w:hAnsi="AAA GoldenLotus"/>
          <w:sz w:val="27"/>
          <w:rtl/>
        </w:rPr>
        <w:t xml:space="preserve"> لا ب</w:t>
      </w:r>
      <w:r w:rsidR="00895A89" w:rsidRPr="00282AC9">
        <w:rPr>
          <w:rFonts w:ascii="AAA GoldenLotus" w:hAnsi="AAA GoldenLotus" w:hint="cs"/>
          <w:sz w:val="27"/>
          <w:rtl/>
        </w:rPr>
        <w:t>ُ</w:t>
      </w:r>
      <w:r w:rsidRPr="00282AC9">
        <w:rPr>
          <w:rFonts w:ascii="AAA GoldenLotus" w:hAnsi="AAA GoldenLotus"/>
          <w:sz w:val="27"/>
          <w:rtl/>
        </w:rPr>
        <w:t>ع</w:t>
      </w:r>
      <w:r w:rsidR="00895A89" w:rsidRPr="00282AC9">
        <w:rPr>
          <w:rFonts w:ascii="AAA GoldenLotus" w:hAnsi="AAA GoldenLotus" w:hint="cs"/>
          <w:sz w:val="27"/>
          <w:rtl/>
        </w:rPr>
        <w:t>ْ</w:t>
      </w:r>
      <w:r w:rsidRPr="00282AC9">
        <w:rPr>
          <w:rFonts w:ascii="AAA GoldenLotus" w:hAnsi="AAA GoldenLotus"/>
          <w:sz w:val="27"/>
          <w:rtl/>
        </w:rPr>
        <w:t>د</w:t>
      </w:r>
      <w:r w:rsidR="00895A89" w:rsidRPr="00282AC9">
        <w:rPr>
          <w:rFonts w:ascii="AAA GoldenLotus" w:hAnsi="AAA GoldenLotus" w:hint="cs"/>
          <w:sz w:val="27"/>
          <w:rtl/>
        </w:rPr>
        <w:t>َ</w:t>
      </w:r>
      <w:r w:rsidRPr="00282AC9">
        <w:rPr>
          <w:rFonts w:ascii="AAA GoldenLotus" w:hAnsi="AAA GoldenLotus"/>
          <w:sz w:val="27"/>
          <w:rtl/>
        </w:rPr>
        <w:t xml:space="preserve"> فيه، بل</w:t>
      </w:r>
      <w:r w:rsidRPr="00282AC9">
        <w:rPr>
          <w:rFonts w:ascii="Times New Roman" w:hAnsi="Times New Roman" w:hint="cs"/>
          <w:sz w:val="27"/>
          <w:rtl/>
        </w:rPr>
        <w:t>‌</w:t>
      </w:r>
      <w:r w:rsidRPr="00282AC9">
        <w:rPr>
          <w:rFonts w:ascii="AAA GoldenLotus" w:hAnsi="AAA GoldenLotus"/>
          <w:sz w:val="27"/>
          <w:rtl/>
        </w:rPr>
        <w:t xml:space="preserve"> هو كذلك</w:t>
      </w:r>
      <w:r w:rsidRPr="00282AC9">
        <w:rPr>
          <w:rFonts w:ascii="AAA GoldenLotus" w:hAnsi="AAA GoldenLotus"/>
          <w:sz w:val="27"/>
          <w:vertAlign w:val="superscript"/>
          <w:rtl/>
        </w:rPr>
        <w:t xml:space="preserve"> (</w:t>
      </w:r>
      <w:r w:rsidRPr="00282AC9">
        <w:rPr>
          <w:rFonts w:ascii="AAA GoldenLotus" w:hAnsi="AAA GoldenLotus"/>
          <w:sz w:val="27"/>
          <w:vertAlign w:val="superscript"/>
          <w:rtl/>
        </w:rPr>
        <w:endnoteReference w:id="363"/>
      </w:r>
      <w:r w:rsidRPr="00282AC9">
        <w:rPr>
          <w:rFonts w:ascii="AAA GoldenLotus" w:hAnsi="AAA GoldenLotus"/>
          <w:sz w:val="27"/>
          <w:vertAlign w:val="superscript"/>
          <w:rtl/>
        </w:rPr>
        <w:t>)</w:t>
      </w:r>
      <w:r w:rsidRPr="00282AC9">
        <w:rPr>
          <w:rFonts w:ascii="AAA GoldenLotus" w:hAnsi="AAA GoldenLotus" w:hint="cs"/>
          <w:sz w:val="27"/>
          <w:rtl/>
        </w:rPr>
        <w:t>.</w:t>
      </w:r>
    </w:p>
    <w:p w:rsidR="008573BF" w:rsidRPr="00282AC9" w:rsidRDefault="008573BF" w:rsidP="008573BF">
      <w:pPr>
        <w:spacing w:line="420" w:lineRule="exact"/>
        <w:rPr>
          <w:rtl/>
        </w:rPr>
      </w:pPr>
    </w:p>
    <w:p w:rsidR="00E355F2" w:rsidRPr="00282AC9" w:rsidRDefault="00E355F2" w:rsidP="007D08F4">
      <w:pPr>
        <w:pStyle w:val="31"/>
        <w:rPr>
          <w:color w:val="auto"/>
          <w:rtl/>
        </w:rPr>
      </w:pPr>
      <w:r w:rsidRPr="00282AC9">
        <w:rPr>
          <w:rFonts w:hint="cs"/>
          <w:color w:val="auto"/>
          <w:rtl/>
        </w:rPr>
        <w:t xml:space="preserve">هـ </w:t>
      </w:r>
      <w:r w:rsidRPr="00282AC9">
        <w:rPr>
          <w:color w:val="auto"/>
          <w:rtl/>
        </w:rPr>
        <w:t>ـ تنقيح الملاك القطعي</w:t>
      </w:r>
      <w:r w:rsidR="00895A89" w:rsidRPr="00282AC9">
        <w:rPr>
          <w:rFonts w:hint="cs"/>
          <w:color w:val="auto"/>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 من الأدل</w:t>
      </w:r>
      <w:r w:rsidR="00895A89" w:rsidRPr="00282AC9">
        <w:rPr>
          <w:rFonts w:ascii="AAA GoldenLotus" w:hAnsi="AAA GoldenLotus" w:hint="cs"/>
          <w:sz w:val="27"/>
          <w:rtl/>
        </w:rPr>
        <w:t>ّ</w:t>
      </w:r>
      <w:r w:rsidRPr="00282AC9">
        <w:rPr>
          <w:rFonts w:ascii="AAA GoldenLotus" w:hAnsi="AAA GoldenLotus"/>
          <w:sz w:val="27"/>
          <w:rtl/>
        </w:rPr>
        <w:t>ة التي يمكن التمس</w:t>
      </w:r>
      <w:r w:rsidR="00895A89" w:rsidRPr="00282AC9">
        <w:rPr>
          <w:rFonts w:ascii="AAA GoldenLotus" w:hAnsi="AAA GoldenLotus" w:hint="cs"/>
          <w:sz w:val="27"/>
          <w:rtl/>
        </w:rPr>
        <w:t>ُّ</w:t>
      </w:r>
      <w:r w:rsidRPr="00282AC9">
        <w:rPr>
          <w:rFonts w:ascii="AAA GoldenLotus" w:hAnsi="AAA GoldenLotus"/>
          <w:sz w:val="27"/>
          <w:rtl/>
        </w:rPr>
        <w:t>ك بها لإثبات قاعدة اشتراك الرجل والمرأة في الأحكام هي فكرة تنقيح الملاك؛ فإن الملاك والمصلحة التي اقتض</w:t>
      </w:r>
      <w:r w:rsidR="00895A89" w:rsidRPr="00282AC9">
        <w:rPr>
          <w:rFonts w:ascii="AAA GoldenLotus" w:hAnsi="AAA GoldenLotus" w:hint="cs"/>
          <w:sz w:val="27"/>
          <w:rtl/>
        </w:rPr>
        <w:t>َ</w:t>
      </w:r>
      <w:r w:rsidRPr="00282AC9">
        <w:rPr>
          <w:rFonts w:ascii="AAA GoldenLotus" w:hAnsi="AAA GoldenLotus"/>
          <w:sz w:val="27"/>
          <w:rtl/>
        </w:rPr>
        <w:t>ت</w:t>
      </w:r>
      <w:r w:rsidR="00895A89" w:rsidRPr="00282AC9">
        <w:rPr>
          <w:rFonts w:ascii="AAA GoldenLotus" w:hAnsi="AAA GoldenLotus" w:hint="cs"/>
          <w:sz w:val="27"/>
          <w:rtl/>
        </w:rPr>
        <w:t>ْ</w:t>
      </w:r>
      <w:r w:rsidRPr="00282AC9">
        <w:rPr>
          <w:rFonts w:ascii="AAA GoldenLotus" w:hAnsi="AAA GoldenLotus"/>
          <w:sz w:val="27"/>
          <w:rtl/>
        </w:rPr>
        <w:t xml:space="preserve"> تشريع حكم تطهير ثوب زرارة الذي أصابه البول هي نفسها التي تقتضي ذلك بالنسبة </w:t>
      </w:r>
      <w:r w:rsidR="00632E9E" w:rsidRPr="00282AC9">
        <w:rPr>
          <w:rFonts w:ascii="AAA GoldenLotus" w:hAnsi="AAA GoldenLotus" w:hint="cs"/>
          <w:sz w:val="27"/>
          <w:rtl/>
        </w:rPr>
        <w:t>إلى ا</w:t>
      </w:r>
      <w:r w:rsidRPr="00282AC9">
        <w:rPr>
          <w:rFonts w:ascii="AAA GoldenLotus" w:hAnsi="AAA GoldenLotus"/>
          <w:sz w:val="27"/>
          <w:rtl/>
        </w:rPr>
        <w:t>لمرأة؛ فإن الأحكام التابعة للمصالح والمفاسد نفس الأمريّة ـ عند الع</w:t>
      </w:r>
      <w:r w:rsidR="00632E9E" w:rsidRPr="00282AC9">
        <w:rPr>
          <w:rFonts w:ascii="AAA GoldenLotus" w:hAnsi="AAA GoldenLotus" w:hint="cs"/>
          <w:sz w:val="27"/>
          <w:rtl/>
        </w:rPr>
        <w:t>َ</w:t>
      </w:r>
      <w:r w:rsidRPr="00282AC9">
        <w:rPr>
          <w:rFonts w:ascii="AAA GoldenLotus" w:hAnsi="AAA GoldenLotus"/>
          <w:sz w:val="27"/>
          <w:rtl/>
        </w:rPr>
        <w:t>د</w:t>
      </w:r>
      <w:r w:rsidR="00632E9E" w:rsidRPr="00282AC9">
        <w:rPr>
          <w:rFonts w:ascii="AAA GoldenLotus" w:hAnsi="AAA GoldenLotus" w:hint="cs"/>
          <w:sz w:val="27"/>
          <w:rtl/>
        </w:rPr>
        <w:t>ْ</w:t>
      </w:r>
      <w:r w:rsidRPr="00282AC9">
        <w:rPr>
          <w:rFonts w:ascii="AAA GoldenLotus" w:hAnsi="AAA GoldenLotus"/>
          <w:sz w:val="27"/>
          <w:rtl/>
        </w:rPr>
        <w:t>لية ـ</w:t>
      </w:r>
      <w:r w:rsidR="00632E9E" w:rsidRPr="00282AC9">
        <w:rPr>
          <w:rFonts w:ascii="AAA GoldenLotus" w:hAnsi="AAA GoldenLotus" w:hint="cs"/>
          <w:sz w:val="27"/>
          <w:rtl/>
        </w:rPr>
        <w:t xml:space="preserve"> </w:t>
      </w:r>
      <w:r w:rsidRPr="00282AC9">
        <w:rPr>
          <w:rFonts w:ascii="AAA GoldenLotus" w:hAnsi="AAA GoldenLotus"/>
          <w:sz w:val="27"/>
          <w:rtl/>
        </w:rPr>
        <w:t>لا تختلف بح</w:t>
      </w:r>
      <w:r w:rsidR="00632E9E" w:rsidRPr="00282AC9">
        <w:rPr>
          <w:rFonts w:ascii="AAA GoldenLotus" w:hAnsi="AAA GoldenLotus" w:hint="cs"/>
          <w:sz w:val="27"/>
          <w:rtl/>
        </w:rPr>
        <w:t>َ</w:t>
      </w:r>
      <w:r w:rsidRPr="00282AC9">
        <w:rPr>
          <w:rFonts w:ascii="AAA GoldenLotus" w:hAnsi="AAA GoldenLotus"/>
          <w:sz w:val="27"/>
          <w:rtl/>
        </w:rPr>
        <w:t>س</w:t>
      </w:r>
      <w:r w:rsidR="00632E9E" w:rsidRPr="00282AC9">
        <w:rPr>
          <w:rFonts w:ascii="AAA GoldenLotus" w:hAnsi="AAA GoldenLotus" w:hint="cs"/>
          <w:sz w:val="27"/>
          <w:rtl/>
        </w:rPr>
        <w:t>َ</w:t>
      </w:r>
      <w:r w:rsidRPr="00282AC9">
        <w:rPr>
          <w:rFonts w:ascii="AAA GoldenLotus" w:hAnsi="AAA GoldenLotus"/>
          <w:sz w:val="27"/>
          <w:rtl/>
        </w:rPr>
        <w:t>ب أفراد المكل</w:t>
      </w:r>
      <w:r w:rsidR="00632E9E" w:rsidRPr="00282AC9">
        <w:rPr>
          <w:rFonts w:ascii="AAA GoldenLotus" w:hAnsi="AAA GoldenLotus" w:hint="cs"/>
          <w:sz w:val="27"/>
          <w:rtl/>
        </w:rPr>
        <w:t>َّ</w:t>
      </w:r>
      <w:r w:rsidRPr="00282AC9">
        <w:rPr>
          <w:rFonts w:ascii="AAA GoldenLotus" w:hAnsi="AAA GoldenLotus"/>
          <w:sz w:val="27"/>
          <w:rtl/>
        </w:rPr>
        <w:t>فين</w:t>
      </w:r>
      <w:r w:rsidR="00632E9E" w:rsidRPr="00282AC9">
        <w:rPr>
          <w:rFonts w:ascii="AAA GoldenLotus" w:hAnsi="AAA GoldenLotus" w:hint="cs"/>
          <w:sz w:val="27"/>
          <w:rtl/>
        </w:rPr>
        <w:t>،</w:t>
      </w:r>
      <w:r w:rsidRPr="00282AC9">
        <w:rPr>
          <w:rFonts w:ascii="AAA GoldenLotus" w:hAnsi="AAA GoldenLotus"/>
          <w:sz w:val="27"/>
          <w:rtl/>
        </w:rPr>
        <w:t xml:space="preserve"> سواء في ذلك الرجل والمرأة؛ للزوم دفع المضر</w:t>
      </w:r>
      <w:r w:rsidR="00632E9E" w:rsidRPr="00282AC9">
        <w:rPr>
          <w:rFonts w:ascii="AAA GoldenLotus" w:hAnsi="AAA GoldenLotus" w:hint="cs"/>
          <w:sz w:val="27"/>
          <w:rtl/>
        </w:rPr>
        <w:t>ّ</w:t>
      </w:r>
      <w:r w:rsidRPr="00282AC9">
        <w:rPr>
          <w:rFonts w:ascii="AAA GoldenLotus" w:hAnsi="AAA GoldenLotus"/>
          <w:sz w:val="27"/>
          <w:rtl/>
        </w:rPr>
        <w:t>ة وجلب المنفعة اللازم على الكل</w:t>
      </w:r>
      <w:r w:rsidR="00632E9E" w:rsidRPr="00282AC9">
        <w:rPr>
          <w:rFonts w:ascii="AAA GoldenLotus" w:hAnsi="AAA GoldenLotus" w:hint="cs"/>
          <w:sz w:val="27"/>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64"/>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8573BF">
      <w:pPr>
        <w:spacing w:line="410" w:lineRule="exact"/>
        <w:rPr>
          <w:rFonts w:ascii="AAA GoldenLotus" w:hAnsi="AAA GoldenLotus"/>
          <w:sz w:val="27"/>
          <w:rtl/>
        </w:rPr>
      </w:pPr>
      <w:r w:rsidRPr="00282AC9">
        <w:rPr>
          <w:rFonts w:ascii="AAA GoldenLotus" w:hAnsi="AAA GoldenLotus"/>
          <w:sz w:val="27"/>
          <w:rtl/>
        </w:rPr>
        <w:t>لكن</w:t>
      </w:r>
      <w:r w:rsidR="00632E9E" w:rsidRPr="00282AC9">
        <w:rPr>
          <w:rFonts w:ascii="AAA GoldenLotus" w:hAnsi="AAA GoldenLotus" w:hint="cs"/>
          <w:sz w:val="27"/>
          <w:rtl/>
        </w:rPr>
        <w:t>ْ</w:t>
      </w:r>
      <w:r w:rsidRPr="00282AC9">
        <w:rPr>
          <w:rFonts w:ascii="AAA GoldenLotus" w:hAnsi="AAA GoldenLotus"/>
          <w:sz w:val="27"/>
          <w:rtl/>
        </w:rPr>
        <w:t xml:space="preserve"> لا يخفى أن تمامية هذا الدليل موقوف</w:t>
      </w:r>
      <w:r w:rsidR="00632E9E" w:rsidRPr="00282AC9">
        <w:rPr>
          <w:rFonts w:ascii="AAA GoldenLotus" w:hAnsi="AAA GoldenLotus" w:hint="cs"/>
          <w:sz w:val="27"/>
          <w:rtl/>
        </w:rPr>
        <w:t>ٌ</w:t>
      </w:r>
      <w:r w:rsidRPr="00282AC9">
        <w:rPr>
          <w:rFonts w:ascii="AAA GoldenLotus" w:hAnsi="AAA GoldenLotus"/>
          <w:sz w:val="27"/>
          <w:rtl/>
        </w:rPr>
        <w:t xml:space="preserve"> على العلم بمناط الحكم في المسألة، فما لم ي</w:t>
      </w:r>
      <w:r w:rsidR="00632E9E" w:rsidRPr="00282AC9">
        <w:rPr>
          <w:rFonts w:ascii="AAA GoldenLotus" w:hAnsi="AAA GoldenLotus" w:hint="cs"/>
          <w:sz w:val="27"/>
          <w:rtl/>
        </w:rPr>
        <w:t>َ</w:t>
      </w:r>
      <w:r w:rsidRPr="00282AC9">
        <w:rPr>
          <w:rFonts w:ascii="AAA GoldenLotus" w:hAnsi="AAA GoldenLotus"/>
          <w:sz w:val="27"/>
          <w:rtl/>
        </w:rPr>
        <w:t>ر</w:t>
      </w:r>
      <w:r w:rsidR="00632E9E" w:rsidRPr="00282AC9">
        <w:rPr>
          <w:rFonts w:ascii="AAA GoldenLotus" w:hAnsi="AAA GoldenLotus" w:hint="cs"/>
          <w:sz w:val="27"/>
          <w:rtl/>
        </w:rPr>
        <w:t>ِ</w:t>
      </w:r>
      <w:r w:rsidRPr="00282AC9">
        <w:rPr>
          <w:rFonts w:ascii="AAA GoldenLotus" w:hAnsi="AAA GoldenLotus"/>
          <w:sz w:val="27"/>
          <w:rtl/>
        </w:rPr>
        <w:t>د</w:t>
      </w:r>
      <w:r w:rsidR="00632E9E" w:rsidRPr="00282AC9">
        <w:rPr>
          <w:rFonts w:ascii="AAA GoldenLotus" w:hAnsi="AAA GoldenLotus" w:hint="cs"/>
          <w:sz w:val="27"/>
          <w:rtl/>
        </w:rPr>
        <w:t>ْ</w:t>
      </w:r>
      <w:r w:rsidRPr="00282AC9">
        <w:rPr>
          <w:rFonts w:ascii="AAA GoldenLotus" w:hAnsi="AAA GoldenLotus"/>
          <w:sz w:val="27"/>
          <w:rtl/>
        </w:rPr>
        <w:t xml:space="preserve"> ما يصلح أن يكون مناطاً للحكم</w:t>
      </w:r>
      <w:r w:rsidR="00632E9E" w:rsidRPr="00282AC9">
        <w:rPr>
          <w:rFonts w:ascii="AAA GoldenLotus" w:hAnsi="AAA GoldenLotus" w:hint="cs"/>
          <w:sz w:val="27"/>
          <w:rtl/>
        </w:rPr>
        <w:t>،</w:t>
      </w:r>
      <w:r w:rsidRPr="00282AC9">
        <w:rPr>
          <w:rFonts w:ascii="AAA GoldenLotus" w:hAnsi="AAA GoldenLotus"/>
          <w:sz w:val="27"/>
          <w:rtl/>
        </w:rPr>
        <w:t xml:space="preserve"> وعلم بكونه هو المناط</w:t>
      </w:r>
      <w:r w:rsidR="00632E9E" w:rsidRPr="00282AC9">
        <w:rPr>
          <w:rFonts w:ascii="AAA GoldenLotus" w:hAnsi="AAA GoldenLotus" w:hint="cs"/>
          <w:sz w:val="27"/>
          <w:rtl/>
        </w:rPr>
        <w:t>،</w:t>
      </w:r>
      <w:r w:rsidRPr="00282AC9">
        <w:rPr>
          <w:rFonts w:ascii="AAA GoldenLotus" w:hAnsi="AAA GoldenLotus"/>
          <w:sz w:val="27"/>
          <w:rtl/>
        </w:rPr>
        <w:t xml:space="preserve"> فلا يمكن تعميم الحكم إلى كل</w:t>
      </w:r>
      <w:r w:rsidR="00632E9E" w:rsidRPr="00282AC9">
        <w:rPr>
          <w:rFonts w:ascii="AAA GoldenLotus" w:hAnsi="AAA GoldenLotus" w:hint="cs"/>
          <w:sz w:val="27"/>
          <w:rtl/>
        </w:rPr>
        <w:t>ٍّ</w:t>
      </w:r>
      <w:r w:rsidRPr="00282AC9">
        <w:rPr>
          <w:rFonts w:ascii="AAA GoldenLotus" w:hAnsi="AAA GoldenLotus"/>
          <w:sz w:val="27"/>
          <w:rtl/>
        </w:rPr>
        <w:t xml:space="preserve"> من الرجل والمرأة</w:t>
      </w:r>
      <w:r w:rsidR="00632E9E" w:rsidRPr="00282AC9">
        <w:rPr>
          <w:rFonts w:ascii="AAA GoldenLotus" w:hAnsi="AAA GoldenLotus" w:hint="cs"/>
          <w:sz w:val="27"/>
          <w:rtl/>
        </w:rPr>
        <w:t xml:space="preserve">. </w:t>
      </w:r>
      <w:r w:rsidRPr="00282AC9">
        <w:rPr>
          <w:rFonts w:ascii="AAA GoldenLotus" w:hAnsi="AAA GoldenLotus"/>
          <w:sz w:val="27"/>
          <w:rtl/>
        </w:rPr>
        <w:t>وعليه</w:t>
      </w:r>
      <w:r w:rsidR="00632E9E" w:rsidRPr="00282AC9">
        <w:rPr>
          <w:rFonts w:ascii="AAA GoldenLotus" w:hAnsi="AAA GoldenLotus" w:hint="cs"/>
          <w:sz w:val="27"/>
          <w:rtl/>
        </w:rPr>
        <w:t>،</w:t>
      </w:r>
      <w:r w:rsidRPr="00282AC9">
        <w:rPr>
          <w:rFonts w:ascii="AAA GoldenLotus" w:hAnsi="AAA GoldenLotus"/>
          <w:sz w:val="27"/>
          <w:rtl/>
        </w:rPr>
        <w:t xml:space="preserve"> فهذا الدليل أخص</w:t>
      </w:r>
      <w:r w:rsidR="00632E9E" w:rsidRPr="00282AC9">
        <w:rPr>
          <w:rFonts w:ascii="AAA GoldenLotus" w:hAnsi="AAA GoldenLotus" w:hint="cs"/>
          <w:sz w:val="27"/>
          <w:rtl/>
        </w:rPr>
        <w:t>ّ</w:t>
      </w:r>
      <w:r w:rsidRPr="00282AC9">
        <w:rPr>
          <w:rFonts w:ascii="AAA GoldenLotus" w:hAnsi="AAA GoldenLotus"/>
          <w:sz w:val="27"/>
          <w:rtl/>
        </w:rPr>
        <w:t xml:space="preserve"> من المد</w:t>
      </w:r>
      <w:r w:rsidR="00632E9E" w:rsidRPr="00282AC9">
        <w:rPr>
          <w:rFonts w:ascii="AAA GoldenLotus" w:hAnsi="AAA GoldenLotus" w:hint="cs"/>
          <w:sz w:val="27"/>
          <w:rtl/>
        </w:rPr>
        <w:t>َّ</w:t>
      </w:r>
      <w:r w:rsidRPr="00282AC9">
        <w:rPr>
          <w:rFonts w:ascii="AAA GoldenLotus" w:hAnsi="AAA GoldenLotus"/>
          <w:sz w:val="27"/>
          <w:rtl/>
        </w:rPr>
        <w:t>عى.</w:t>
      </w:r>
    </w:p>
    <w:p w:rsidR="008573BF" w:rsidRPr="00282AC9" w:rsidRDefault="008573BF" w:rsidP="008573BF">
      <w:pPr>
        <w:spacing w:line="420" w:lineRule="exact"/>
        <w:rPr>
          <w:rtl/>
        </w:rPr>
      </w:pPr>
    </w:p>
    <w:p w:rsidR="00E355F2" w:rsidRPr="00282AC9" w:rsidRDefault="00E355F2" w:rsidP="0061260E">
      <w:pPr>
        <w:pStyle w:val="31"/>
        <w:rPr>
          <w:color w:val="auto"/>
          <w:rtl/>
        </w:rPr>
      </w:pPr>
      <w:r w:rsidRPr="00282AC9">
        <w:rPr>
          <w:rFonts w:hint="cs"/>
          <w:color w:val="auto"/>
          <w:rtl/>
        </w:rPr>
        <w:t xml:space="preserve">ثانياً: </w:t>
      </w:r>
      <w:r w:rsidRPr="00282AC9">
        <w:rPr>
          <w:color w:val="auto"/>
          <w:rtl/>
        </w:rPr>
        <w:t>أدل</w:t>
      </w:r>
      <w:r w:rsidR="00632E9E" w:rsidRPr="00282AC9">
        <w:rPr>
          <w:rFonts w:hint="cs"/>
          <w:color w:val="auto"/>
          <w:rtl/>
        </w:rPr>
        <w:t>ّ</w:t>
      </w:r>
      <w:r w:rsidRPr="00282AC9">
        <w:rPr>
          <w:color w:val="auto"/>
          <w:rtl/>
        </w:rPr>
        <w:t>ة جمهور المذاهب الفقهي</w:t>
      </w:r>
      <w:r w:rsidR="00632E9E" w:rsidRPr="00282AC9">
        <w:rPr>
          <w:rFonts w:hint="cs"/>
          <w:color w:val="auto"/>
          <w:rtl/>
        </w:rPr>
        <w:t>ّ</w:t>
      </w:r>
      <w:r w:rsidRPr="00282AC9">
        <w:rPr>
          <w:color w:val="auto"/>
          <w:rtl/>
        </w:rPr>
        <w:t>ة</w:t>
      </w:r>
    </w:p>
    <w:p w:rsidR="00E355F2" w:rsidRPr="00282AC9" w:rsidRDefault="00E355F2" w:rsidP="00046546">
      <w:pPr>
        <w:rPr>
          <w:rFonts w:ascii="AAA GoldenLotus" w:hAnsi="AAA GoldenLotus"/>
          <w:sz w:val="27"/>
          <w:rtl/>
        </w:rPr>
      </w:pPr>
      <w:r w:rsidRPr="00282AC9">
        <w:rPr>
          <w:rFonts w:ascii="AAA GoldenLotus" w:hAnsi="AAA GoldenLotus"/>
          <w:sz w:val="27"/>
          <w:rtl/>
        </w:rPr>
        <w:t>استدل</w:t>
      </w:r>
      <w:r w:rsidR="00632E9E" w:rsidRPr="00282AC9">
        <w:rPr>
          <w:rFonts w:ascii="AAA GoldenLotus" w:hAnsi="AAA GoldenLotus" w:hint="cs"/>
          <w:sz w:val="27"/>
          <w:rtl/>
        </w:rPr>
        <w:t>ّ</w:t>
      </w:r>
      <w:r w:rsidRPr="00282AC9">
        <w:rPr>
          <w:rFonts w:ascii="AAA GoldenLotus" w:hAnsi="AAA GoldenLotus"/>
          <w:sz w:val="27"/>
          <w:rtl/>
        </w:rPr>
        <w:t xml:space="preserve"> لقاعدة اشتراك الأحكام بين الرجل والمرأة</w:t>
      </w:r>
      <w:r w:rsidR="00632E9E" w:rsidRPr="00282AC9">
        <w:rPr>
          <w:rFonts w:ascii="AAA GoldenLotus" w:hAnsi="AAA GoldenLotus" w:hint="cs"/>
          <w:sz w:val="27"/>
          <w:rtl/>
        </w:rPr>
        <w:t xml:space="preserve"> </w:t>
      </w:r>
      <w:r w:rsidRPr="00282AC9">
        <w:rPr>
          <w:rFonts w:ascii="AAA GoldenLotus" w:hAnsi="AAA GoldenLotus" w:hint="cs"/>
          <w:sz w:val="27"/>
          <w:rtl/>
        </w:rPr>
        <w:t>(أو النساء شقائق الرجال)</w:t>
      </w:r>
      <w:r w:rsidRPr="00282AC9">
        <w:rPr>
          <w:rFonts w:ascii="AAA GoldenLotus" w:hAnsi="AAA GoldenLotus"/>
          <w:sz w:val="27"/>
          <w:rtl/>
        </w:rPr>
        <w:t xml:space="preserve"> عند جمهور المذاهب الفقهي</w:t>
      </w:r>
      <w:r w:rsidR="00632E9E" w:rsidRPr="00282AC9">
        <w:rPr>
          <w:rFonts w:ascii="AAA GoldenLotus" w:hAnsi="AAA GoldenLotus" w:hint="cs"/>
          <w:sz w:val="27"/>
          <w:rtl/>
        </w:rPr>
        <w:t>ّ</w:t>
      </w:r>
      <w:r w:rsidRPr="00282AC9">
        <w:rPr>
          <w:rFonts w:ascii="AAA GoldenLotus" w:hAnsi="AAA GoldenLotus"/>
          <w:sz w:val="27"/>
          <w:rtl/>
        </w:rPr>
        <w:t>ة بعد</w:t>
      </w:r>
      <w:r w:rsidR="00632E9E" w:rsidRPr="00282AC9">
        <w:rPr>
          <w:rFonts w:ascii="AAA GoldenLotus" w:hAnsi="AAA GoldenLotus" w:hint="cs"/>
          <w:sz w:val="27"/>
          <w:rtl/>
        </w:rPr>
        <w:t>ّ</w:t>
      </w:r>
      <w:r w:rsidRPr="00282AC9">
        <w:rPr>
          <w:rFonts w:ascii="AAA GoldenLotus" w:hAnsi="AAA GoldenLotus"/>
          <w:sz w:val="27"/>
          <w:rtl/>
        </w:rPr>
        <w:t>ة أدل</w:t>
      </w:r>
      <w:r w:rsidR="00632E9E" w:rsidRPr="00282AC9">
        <w:rPr>
          <w:rFonts w:ascii="AAA GoldenLotus" w:hAnsi="AAA GoldenLotus" w:hint="cs"/>
          <w:sz w:val="27"/>
          <w:rtl/>
        </w:rPr>
        <w:t>ّ</w:t>
      </w:r>
      <w:r w:rsidRPr="00282AC9">
        <w:rPr>
          <w:rFonts w:ascii="AAA GoldenLotus" w:hAnsi="AAA GoldenLotus"/>
          <w:sz w:val="27"/>
          <w:rtl/>
        </w:rPr>
        <w:t>ة</w:t>
      </w:r>
      <w:r w:rsidR="00632E9E" w:rsidRPr="00282AC9">
        <w:rPr>
          <w:rFonts w:ascii="AAA GoldenLotus" w:hAnsi="AAA GoldenLotus" w:hint="cs"/>
          <w:sz w:val="27"/>
          <w:rtl/>
        </w:rPr>
        <w:t>ٍ</w:t>
      </w:r>
      <w:r w:rsidRPr="00282AC9">
        <w:rPr>
          <w:rFonts w:ascii="AAA GoldenLotus" w:hAnsi="AAA GoldenLotus"/>
          <w:sz w:val="27"/>
          <w:rtl/>
        </w:rPr>
        <w:t xml:space="preserve">، </w:t>
      </w:r>
      <w:r w:rsidR="00632E9E" w:rsidRPr="00282AC9">
        <w:rPr>
          <w:rFonts w:ascii="AAA GoldenLotus" w:hAnsi="AAA GoldenLotus" w:hint="cs"/>
          <w:sz w:val="27"/>
          <w:rtl/>
        </w:rPr>
        <w:t>و</w:t>
      </w:r>
      <w:r w:rsidRPr="00282AC9">
        <w:rPr>
          <w:rFonts w:ascii="AAA GoldenLotus" w:hAnsi="AAA GoldenLotus"/>
          <w:sz w:val="27"/>
          <w:rtl/>
        </w:rPr>
        <w:t>منها:</w:t>
      </w:r>
    </w:p>
    <w:p w:rsidR="008573BF" w:rsidRPr="00282AC9" w:rsidRDefault="008573BF" w:rsidP="008573BF">
      <w:pPr>
        <w:spacing w:line="420" w:lineRule="exact"/>
        <w:rPr>
          <w:rtl/>
        </w:rPr>
      </w:pPr>
    </w:p>
    <w:p w:rsidR="00E355F2" w:rsidRPr="00282AC9" w:rsidRDefault="00E355F2" w:rsidP="007D08F4">
      <w:pPr>
        <w:pStyle w:val="31"/>
        <w:rPr>
          <w:color w:val="auto"/>
          <w:rtl/>
        </w:rPr>
      </w:pPr>
      <w:r w:rsidRPr="00282AC9">
        <w:rPr>
          <w:rFonts w:hint="cs"/>
          <w:color w:val="auto"/>
          <w:rtl/>
        </w:rPr>
        <w:t>1ـ الأدلة اللفظي</w:t>
      </w:r>
      <w:r w:rsidR="00632E9E" w:rsidRPr="00282AC9">
        <w:rPr>
          <w:rFonts w:hint="cs"/>
          <w:color w:val="auto"/>
          <w:rtl/>
        </w:rPr>
        <w:t>ّ</w:t>
      </w:r>
      <w:r w:rsidRPr="00282AC9">
        <w:rPr>
          <w:rFonts w:hint="cs"/>
          <w:color w:val="auto"/>
          <w:rtl/>
        </w:rPr>
        <w:t>ة</w:t>
      </w:r>
    </w:p>
    <w:p w:rsidR="00E355F2" w:rsidRPr="00282AC9" w:rsidRDefault="00E355F2" w:rsidP="007D08F4">
      <w:pPr>
        <w:pStyle w:val="31"/>
        <w:rPr>
          <w:color w:val="auto"/>
          <w:rtl/>
        </w:rPr>
      </w:pPr>
      <w:r w:rsidRPr="00282AC9">
        <w:rPr>
          <w:rFonts w:hint="cs"/>
          <w:color w:val="auto"/>
          <w:rtl/>
        </w:rPr>
        <w:t>أـ</w:t>
      </w:r>
      <w:r w:rsidRPr="00282AC9">
        <w:rPr>
          <w:color w:val="auto"/>
          <w:rtl/>
        </w:rPr>
        <w:t xml:space="preserve"> الخطاب القرآني</w:t>
      </w:r>
    </w:p>
    <w:p w:rsidR="00E355F2" w:rsidRPr="00282AC9" w:rsidRDefault="00E355F2" w:rsidP="00046546">
      <w:pPr>
        <w:rPr>
          <w:rFonts w:ascii="AAA GoldenLotus" w:hAnsi="AAA GoldenLotus"/>
          <w:sz w:val="27"/>
          <w:rtl/>
        </w:rPr>
      </w:pPr>
      <w:r w:rsidRPr="00282AC9">
        <w:rPr>
          <w:rFonts w:ascii="AAA GoldenLotus" w:hAnsi="AAA GoldenLotus"/>
          <w:sz w:val="27"/>
          <w:rtl/>
        </w:rPr>
        <w:t>من الأدل</w:t>
      </w:r>
      <w:r w:rsidR="00632E9E" w:rsidRPr="00282AC9">
        <w:rPr>
          <w:rFonts w:ascii="AAA GoldenLotus" w:hAnsi="AAA GoldenLotus" w:hint="cs"/>
          <w:sz w:val="27"/>
          <w:rtl/>
        </w:rPr>
        <w:t>ّ</w:t>
      </w:r>
      <w:r w:rsidRPr="00282AC9">
        <w:rPr>
          <w:rFonts w:ascii="AAA GoldenLotus" w:hAnsi="AAA GoldenLotus"/>
          <w:sz w:val="27"/>
          <w:rtl/>
        </w:rPr>
        <w:t>ة التي يمكن استفادة اشتراك المرأة والرجل في الأحكام عند سائر علماء المسلمين ـ على نحو القاعدة الفقهي</w:t>
      </w:r>
      <w:r w:rsidR="00632E9E" w:rsidRPr="00282AC9">
        <w:rPr>
          <w:rFonts w:ascii="AAA GoldenLotus" w:hAnsi="AAA GoldenLotus" w:hint="cs"/>
          <w:sz w:val="27"/>
          <w:rtl/>
        </w:rPr>
        <w:t>ّ</w:t>
      </w:r>
      <w:r w:rsidRPr="00282AC9">
        <w:rPr>
          <w:rFonts w:ascii="AAA GoldenLotus" w:hAnsi="AAA GoldenLotus"/>
          <w:sz w:val="27"/>
          <w:rtl/>
        </w:rPr>
        <w:t>ة ـ الآيات والخطابات القرآنية، وهي على أصناف:</w:t>
      </w:r>
    </w:p>
    <w:p w:rsidR="00AD3C31" w:rsidRPr="00282AC9" w:rsidRDefault="00E355F2" w:rsidP="00046546">
      <w:pPr>
        <w:rPr>
          <w:rFonts w:ascii="AAA GoldenLotus" w:hAnsi="AAA GoldenLotus"/>
          <w:sz w:val="27"/>
          <w:rtl/>
        </w:rPr>
      </w:pPr>
      <w:bookmarkStart w:id="28" w:name="_Toc30778596"/>
      <w:r w:rsidRPr="00282AC9">
        <w:rPr>
          <w:rFonts w:ascii="AAA GoldenLotus" w:hAnsi="AAA GoldenLotus" w:hint="cs"/>
          <w:b/>
          <w:bCs/>
          <w:i/>
          <w:sz w:val="27"/>
          <w:rtl/>
        </w:rPr>
        <w:t>الأو</w:t>
      </w:r>
      <w:r w:rsidR="00632E9E" w:rsidRPr="00282AC9">
        <w:rPr>
          <w:rFonts w:ascii="AAA GoldenLotus" w:hAnsi="AAA GoldenLotus" w:hint="cs"/>
          <w:b/>
          <w:bCs/>
          <w:i/>
          <w:sz w:val="27"/>
          <w:rtl/>
        </w:rPr>
        <w:t>ّ</w:t>
      </w:r>
      <w:r w:rsidRPr="00282AC9">
        <w:rPr>
          <w:rFonts w:ascii="AAA GoldenLotus" w:hAnsi="AAA GoldenLotus" w:hint="cs"/>
          <w:b/>
          <w:bCs/>
          <w:i/>
          <w:sz w:val="27"/>
          <w:rtl/>
        </w:rPr>
        <w:t>ل</w:t>
      </w:r>
      <w:r w:rsidRPr="00282AC9">
        <w:rPr>
          <w:rFonts w:ascii="AAA GoldenLotus" w:hAnsi="AAA GoldenLotus" w:hint="cs"/>
          <w:i/>
          <w:sz w:val="27"/>
          <w:rtl/>
        </w:rPr>
        <w:t xml:space="preserve">: </w:t>
      </w:r>
      <w:r w:rsidRPr="00282AC9">
        <w:rPr>
          <w:rFonts w:ascii="AAA GoldenLotus" w:hAnsi="AAA GoldenLotus"/>
          <w:i/>
          <w:sz w:val="27"/>
          <w:rtl/>
        </w:rPr>
        <w:t>الآيات العام</w:t>
      </w:r>
      <w:r w:rsidR="00632E9E" w:rsidRPr="00282AC9">
        <w:rPr>
          <w:rFonts w:ascii="AAA GoldenLotus" w:hAnsi="AAA GoldenLotus" w:hint="cs"/>
          <w:i/>
          <w:sz w:val="27"/>
          <w:rtl/>
        </w:rPr>
        <w:t>ّ</w:t>
      </w:r>
      <w:r w:rsidRPr="00282AC9">
        <w:rPr>
          <w:rFonts w:ascii="AAA GoldenLotus" w:hAnsi="AAA GoldenLotus"/>
          <w:i/>
          <w:sz w:val="27"/>
          <w:rtl/>
        </w:rPr>
        <w:t>ة</w:t>
      </w:r>
      <w:bookmarkEnd w:id="28"/>
      <w:r w:rsidR="00632E9E" w:rsidRPr="00282AC9">
        <w:rPr>
          <w:rFonts w:ascii="AAA GoldenLotus" w:hAnsi="AAA GoldenLotus" w:hint="cs"/>
          <w:i/>
          <w:sz w:val="27"/>
          <w:rtl/>
        </w:rPr>
        <w:t>،</w:t>
      </w:r>
      <w:r w:rsidRPr="00282AC9">
        <w:rPr>
          <w:rFonts w:ascii="AAA GoldenLotus" w:hAnsi="AAA GoldenLotus"/>
          <w:sz w:val="27"/>
          <w:rtl/>
        </w:rPr>
        <w:t xml:space="preserve"> مثل</w:t>
      </w:r>
      <w:r w:rsidR="00632E9E" w:rsidRPr="00282AC9">
        <w:rPr>
          <w:rFonts w:ascii="AAA GoldenLotus" w:hAnsi="AAA GoldenLotus" w:hint="cs"/>
          <w:sz w:val="27"/>
          <w:rtl/>
        </w:rPr>
        <w:t>:</w:t>
      </w:r>
      <w:r w:rsidRPr="00282AC9">
        <w:rPr>
          <w:rFonts w:ascii="AAA GoldenLotus" w:hAnsi="AAA GoldenLotus"/>
          <w:sz w:val="27"/>
          <w:rtl/>
        </w:rPr>
        <w:t xml:space="preserve"> قوله تعالى: </w:t>
      </w:r>
      <w:r w:rsidR="00C5291F" w:rsidRPr="00282AC9">
        <w:rPr>
          <w:rFonts w:ascii="Mosawi" w:hAnsi="Mosawi" w:cs="Mosawi"/>
          <w:sz w:val="24"/>
          <w:szCs w:val="24"/>
          <w:rtl/>
        </w:rPr>
        <w:t>﴿</w:t>
      </w:r>
      <w:r w:rsidR="00632E9E" w:rsidRPr="00282AC9">
        <w:rPr>
          <w:rFonts w:ascii="AAA GoldenLotus" w:hAnsi="AAA GoldenLotus"/>
          <w:b/>
          <w:bCs/>
          <w:sz w:val="27"/>
          <w:rtl/>
        </w:rPr>
        <w:t>قُلْ يَا أَي</w:t>
      </w:r>
      <w:r w:rsidR="00632E9E" w:rsidRPr="00282AC9">
        <w:rPr>
          <w:rFonts w:ascii="AAA GoldenLotus" w:hAnsi="AAA GoldenLotus" w:hint="cs"/>
          <w:b/>
          <w:bCs/>
          <w:sz w:val="27"/>
          <w:rtl/>
        </w:rPr>
        <w:t>ُّ</w:t>
      </w:r>
      <w:r w:rsidR="00632E9E" w:rsidRPr="00282AC9">
        <w:rPr>
          <w:rFonts w:ascii="AAA GoldenLotus" w:hAnsi="AAA GoldenLotus"/>
          <w:b/>
          <w:bCs/>
          <w:sz w:val="27"/>
          <w:rtl/>
        </w:rPr>
        <w:t>هَا الن</w:t>
      </w:r>
      <w:r w:rsidR="00632E9E" w:rsidRPr="00282AC9">
        <w:rPr>
          <w:rFonts w:ascii="AAA GoldenLotus" w:hAnsi="AAA GoldenLotus" w:hint="cs"/>
          <w:b/>
          <w:bCs/>
          <w:sz w:val="27"/>
          <w:rtl/>
        </w:rPr>
        <w:t>َّ</w:t>
      </w:r>
      <w:r w:rsidR="00632E9E" w:rsidRPr="00282AC9">
        <w:rPr>
          <w:rFonts w:ascii="AAA GoldenLotus" w:hAnsi="AAA GoldenLotus"/>
          <w:b/>
          <w:bCs/>
          <w:sz w:val="27"/>
          <w:rtl/>
        </w:rPr>
        <w:t>اسُ إِن</w:t>
      </w:r>
      <w:r w:rsidR="00632E9E" w:rsidRPr="00282AC9">
        <w:rPr>
          <w:rFonts w:ascii="AAA GoldenLotus" w:hAnsi="AAA GoldenLotus" w:hint="cs"/>
          <w:b/>
          <w:bCs/>
          <w:sz w:val="27"/>
          <w:rtl/>
        </w:rPr>
        <w:t>ِّ</w:t>
      </w:r>
      <w:r w:rsidRPr="00282AC9">
        <w:rPr>
          <w:rFonts w:ascii="AAA GoldenLotus" w:hAnsi="AAA GoldenLotus"/>
          <w:b/>
          <w:bCs/>
          <w:sz w:val="27"/>
          <w:rtl/>
        </w:rPr>
        <w:t xml:space="preserve">ي رَسُولُ </w:t>
      </w:r>
      <w:r w:rsidR="006D28AF" w:rsidRPr="00282AC9">
        <w:rPr>
          <w:rFonts w:ascii="AAA GoldenLotus" w:hAnsi="AAA GoldenLotus"/>
          <w:b/>
          <w:bCs/>
          <w:sz w:val="27"/>
          <w:rtl/>
        </w:rPr>
        <w:t>الل</w:t>
      </w:r>
      <w:r w:rsidRPr="00282AC9">
        <w:rPr>
          <w:rFonts w:ascii="AAA GoldenLotus" w:hAnsi="AAA GoldenLotus"/>
          <w:b/>
          <w:bCs/>
          <w:sz w:val="27"/>
          <w:rtl/>
        </w:rPr>
        <w:t>هِ إِلَيْكُمْ جَمِيعاً... فَآمِنُوا بِ</w:t>
      </w:r>
      <w:r w:rsidR="006D28AF" w:rsidRPr="00282AC9">
        <w:rPr>
          <w:rFonts w:ascii="AAA GoldenLotus" w:hAnsi="AAA GoldenLotus"/>
          <w:b/>
          <w:bCs/>
          <w:sz w:val="27"/>
          <w:rtl/>
        </w:rPr>
        <w:t>الل</w:t>
      </w:r>
      <w:r w:rsidR="00313735" w:rsidRPr="00282AC9">
        <w:rPr>
          <w:rFonts w:ascii="AAA GoldenLotus" w:hAnsi="AAA GoldenLotus"/>
          <w:b/>
          <w:bCs/>
          <w:sz w:val="27"/>
          <w:rtl/>
        </w:rPr>
        <w:t>هِ وَرَسُولِهِ الن</w:t>
      </w:r>
      <w:r w:rsidR="00313735" w:rsidRPr="00282AC9">
        <w:rPr>
          <w:rFonts w:ascii="AAA GoldenLotus" w:hAnsi="AAA GoldenLotus" w:hint="cs"/>
          <w:b/>
          <w:bCs/>
          <w:sz w:val="27"/>
          <w:rtl/>
        </w:rPr>
        <w:t>َّ</w:t>
      </w:r>
      <w:r w:rsidR="00313735" w:rsidRPr="00282AC9">
        <w:rPr>
          <w:rFonts w:ascii="AAA GoldenLotus" w:hAnsi="AAA GoldenLotus"/>
          <w:b/>
          <w:bCs/>
          <w:sz w:val="27"/>
          <w:rtl/>
        </w:rPr>
        <w:t>بِي</w:t>
      </w:r>
      <w:r w:rsidR="00313735" w:rsidRPr="00282AC9">
        <w:rPr>
          <w:rFonts w:ascii="AAA GoldenLotus" w:hAnsi="AAA GoldenLotus" w:hint="cs"/>
          <w:b/>
          <w:bCs/>
          <w:sz w:val="27"/>
          <w:rtl/>
        </w:rPr>
        <w:t>ِّ</w:t>
      </w:r>
      <w:r w:rsidR="00632E9E" w:rsidRPr="00282AC9">
        <w:rPr>
          <w:rFonts w:ascii="AAA GoldenLotus" w:hAnsi="AAA GoldenLotus"/>
          <w:b/>
          <w:bCs/>
          <w:sz w:val="27"/>
          <w:rtl/>
        </w:rPr>
        <w:t xml:space="preserve"> الأُم</w:t>
      </w:r>
      <w:r w:rsidR="00632E9E" w:rsidRPr="00282AC9">
        <w:rPr>
          <w:rFonts w:ascii="AAA GoldenLotus" w:hAnsi="AAA GoldenLotus" w:hint="cs"/>
          <w:b/>
          <w:bCs/>
          <w:sz w:val="27"/>
          <w:rtl/>
        </w:rPr>
        <w:t>ِّ</w:t>
      </w:r>
      <w:r w:rsidR="00632E9E" w:rsidRPr="00282AC9">
        <w:rPr>
          <w:rFonts w:ascii="AAA GoldenLotus" w:hAnsi="AAA GoldenLotus"/>
          <w:b/>
          <w:bCs/>
          <w:sz w:val="27"/>
          <w:rtl/>
        </w:rPr>
        <w:t>ي</w:t>
      </w:r>
      <w:r w:rsidR="00632E9E" w:rsidRPr="00282AC9">
        <w:rPr>
          <w:rFonts w:ascii="AAA GoldenLotus" w:hAnsi="AAA GoldenLotus" w:hint="cs"/>
          <w:b/>
          <w:bCs/>
          <w:sz w:val="27"/>
          <w:rtl/>
        </w:rPr>
        <w:t>ِّ</w:t>
      </w:r>
      <w:r w:rsidR="00313735" w:rsidRPr="00282AC9">
        <w:rPr>
          <w:rFonts w:ascii="AAA GoldenLotus" w:hAnsi="AAA GoldenLotus"/>
          <w:b/>
          <w:bCs/>
          <w:sz w:val="27"/>
          <w:rtl/>
        </w:rPr>
        <w:t>...وَاتَّبِعُوهُ لَعَل</w:t>
      </w:r>
      <w:r w:rsidR="00313735" w:rsidRPr="00282AC9">
        <w:rPr>
          <w:rFonts w:ascii="AAA GoldenLotus" w:hAnsi="AAA GoldenLotus" w:hint="cs"/>
          <w:b/>
          <w:bCs/>
          <w:sz w:val="27"/>
          <w:rtl/>
        </w:rPr>
        <w:t>َّ</w:t>
      </w:r>
      <w:r w:rsidRPr="00282AC9">
        <w:rPr>
          <w:rFonts w:ascii="AAA GoldenLotus" w:hAnsi="AAA GoldenLotus"/>
          <w:b/>
          <w:bCs/>
          <w:sz w:val="27"/>
          <w:rtl/>
        </w:rPr>
        <w:t>كُمْ تَهْتَدُونَ</w:t>
      </w:r>
      <w:r w:rsidR="00C5291F" w:rsidRPr="00282AC9">
        <w:rPr>
          <w:rFonts w:ascii="Mosawi" w:hAnsi="Mosawi" w:cs="Mosawi"/>
          <w:sz w:val="24"/>
          <w:szCs w:val="24"/>
          <w:rtl/>
        </w:rPr>
        <w:t>﴾</w:t>
      </w:r>
      <w:r w:rsidRPr="00282AC9">
        <w:rPr>
          <w:rFonts w:ascii="AAA GoldenLotus" w:hAnsi="AAA GoldenLotus"/>
          <w:sz w:val="27"/>
          <w:rtl/>
        </w:rPr>
        <w:t xml:space="preserve"> (الأعراف: 158)</w:t>
      </w:r>
      <w:r w:rsidR="00AD3C31" w:rsidRPr="00282AC9">
        <w:rPr>
          <w:rFonts w:ascii="AAA GoldenLotus" w:hAnsi="AAA GoldenLotus" w:hint="c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بتقريب أنه لا إشكال في أن جميع الناس مدعو</w:t>
      </w:r>
      <w:r w:rsidR="00AD3C31" w:rsidRPr="00282AC9">
        <w:rPr>
          <w:rFonts w:ascii="AAA GoldenLotus" w:hAnsi="AAA GoldenLotus" w:hint="cs"/>
          <w:sz w:val="27"/>
          <w:rtl/>
        </w:rPr>
        <w:t>ّ</w:t>
      </w:r>
      <w:r w:rsidRPr="00282AC9">
        <w:rPr>
          <w:rFonts w:ascii="AAA GoldenLotus" w:hAnsi="AAA GoldenLotus"/>
          <w:sz w:val="27"/>
          <w:rtl/>
        </w:rPr>
        <w:t xml:space="preserve">ون للإيمان بالله والرسول، </w:t>
      </w:r>
      <w:r w:rsidRPr="00282AC9">
        <w:rPr>
          <w:rFonts w:ascii="AAA GoldenLotus" w:hAnsi="AAA GoldenLotus"/>
          <w:sz w:val="27"/>
          <w:rtl/>
        </w:rPr>
        <w:lastRenderedPageBreak/>
        <w:t>ومأمورون بالالت</w:t>
      </w:r>
      <w:r w:rsidR="00AD3C31" w:rsidRPr="00282AC9">
        <w:rPr>
          <w:rFonts w:ascii="AAA GoldenLotus" w:hAnsi="AAA GoldenLotus"/>
          <w:sz w:val="27"/>
          <w:rtl/>
        </w:rPr>
        <w:t>زام بالأحكام الشرعية؛ لأن النب</w:t>
      </w:r>
      <w:r w:rsidRPr="00282AC9">
        <w:rPr>
          <w:rFonts w:ascii="AAA GoldenLotus" w:hAnsi="AAA GoldenLotus"/>
          <w:sz w:val="27"/>
          <w:rtl/>
        </w:rPr>
        <w:t>ي</w:t>
      </w:r>
      <w:r w:rsidR="00AD3C31" w:rsidRPr="00282AC9">
        <w:rPr>
          <w:rFonts w:ascii="AAA GoldenLotus" w:hAnsi="AAA GoldenLotus" w:hint="cs"/>
          <w:sz w:val="27"/>
          <w:rtl/>
        </w:rPr>
        <w:t>ّ</w:t>
      </w:r>
      <w:r w:rsidRPr="00282AC9">
        <w:rPr>
          <w:rFonts w:ascii="AAA GoldenLotus" w:hAnsi="AAA GoldenLotus"/>
          <w:sz w:val="27"/>
          <w:rtl/>
        </w:rPr>
        <w:t>[</w:t>
      </w:r>
      <w:r w:rsidR="009A2A04" w:rsidRPr="00282AC9">
        <w:rPr>
          <w:rFonts w:ascii="AAA GoldenLotus" w:hAnsi="AAA GoldenLotus" w:cs="Mosawi"/>
          <w:sz w:val="22"/>
          <w:szCs w:val="22"/>
          <w:rtl/>
        </w:rPr>
        <w:t>|</w:t>
      </w:r>
      <w:r w:rsidRPr="00282AC9">
        <w:rPr>
          <w:rFonts w:ascii="AAA GoldenLotus" w:hAnsi="AAA GoldenLotus"/>
          <w:sz w:val="27"/>
          <w:rtl/>
        </w:rPr>
        <w:t xml:space="preserve">] </w:t>
      </w:r>
      <w:r w:rsidR="00AD3C31" w:rsidRPr="00282AC9">
        <w:rPr>
          <w:rFonts w:ascii="AAA GoldenLotus" w:hAnsi="AAA GoldenLotus"/>
          <w:sz w:val="27"/>
          <w:rtl/>
        </w:rPr>
        <w:t>بعث إلى الناس كافّ</w:t>
      </w:r>
      <w:r w:rsidRPr="00282AC9">
        <w:rPr>
          <w:rFonts w:ascii="AAA GoldenLotus" w:hAnsi="AAA GoldenLotus"/>
          <w:sz w:val="27"/>
          <w:rtl/>
        </w:rPr>
        <w:t>ة</w:t>
      </w:r>
      <w:r w:rsidR="00AD3C31" w:rsidRPr="00282AC9">
        <w:rPr>
          <w:rFonts w:ascii="AAA GoldenLotus" w:hAnsi="AAA GoldenLotus" w:hint="cs"/>
          <w:sz w:val="27"/>
          <w:rtl/>
        </w:rPr>
        <w:t>ً،</w:t>
      </w:r>
      <w:r w:rsidRPr="00282AC9">
        <w:rPr>
          <w:rFonts w:ascii="AAA GoldenLotus" w:hAnsi="AAA GoldenLotus"/>
          <w:sz w:val="27"/>
          <w:rtl/>
        </w:rPr>
        <w:t xml:space="preserve"> دون استثناء</w:t>
      </w:r>
      <w:r w:rsidR="00AD3C31" w:rsidRPr="00282AC9">
        <w:rPr>
          <w:rFonts w:ascii="AAA GoldenLotus" w:hAnsi="AAA GoldenLotus" w:hint="cs"/>
          <w:sz w:val="27"/>
          <w:rtl/>
        </w:rPr>
        <w:t>ٍ؛</w:t>
      </w:r>
      <w:r w:rsidRPr="00282AC9">
        <w:rPr>
          <w:rFonts w:ascii="AAA GoldenLotus" w:hAnsi="AAA GoldenLotus"/>
          <w:sz w:val="27"/>
          <w:rtl/>
        </w:rPr>
        <w:t xml:space="preserve"> ليدعوهم إلى الإيمان، وأمرهم الله تعالى بات</w:t>
      </w:r>
      <w:r w:rsidR="00AD3C31" w:rsidRPr="00282AC9">
        <w:rPr>
          <w:rFonts w:ascii="AAA GoldenLotus" w:hAnsi="AAA GoldenLotus" w:hint="cs"/>
          <w:sz w:val="27"/>
          <w:rtl/>
        </w:rPr>
        <w:t>ّ</w:t>
      </w:r>
      <w:r w:rsidRPr="00282AC9">
        <w:rPr>
          <w:rFonts w:ascii="AAA GoldenLotus" w:hAnsi="AAA GoldenLotus"/>
          <w:sz w:val="27"/>
          <w:rtl/>
        </w:rPr>
        <w:t>باع النبي</w:t>
      </w:r>
      <w:r w:rsidR="00AD3C31" w:rsidRPr="00282AC9">
        <w:rPr>
          <w:rFonts w:ascii="AAA GoldenLotus" w:hAnsi="AAA GoldenLotus" w:hint="cs"/>
          <w:sz w:val="27"/>
          <w:rtl/>
        </w:rPr>
        <w:t>ّ</w:t>
      </w:r>
      <w:r w:rsidRPr="00282AC9">
        <w:rPr>
          <w:rFonts w:ascii="AAA GoldenLotus" w:hAnsi="AAA GoldenLotus"/>
          <w:sz w:val="27"/>
          <w:rtl/>
        </w:rPr>
        <w:t xml:space="preserve"> في</w:t>
      </w:r>
      <w:r w:rsidR="00AD3C31" w:rsidRPr="00282AC9">
        <w:rPr>
          <w:rFonts w:ascii="AAA GoldenLotus" w:hAnsi="AAA GoldenLotus" w:hint="cs"/>
          <w:sz w:val="27"/>
          <w:rtl/>
        </w:rPr>
        <w:t xml:space="preserve"> </w:t>
      </w:r>
      <w:r w:rsidRPr="00282AC9">
        <w:rPr>
          <w:rFonts w:ascii="AAA GoldenLotus" w:hAnsi="AAA GoldenLotus"/>
          <w:sz w:val="27"/>
          <w:rtl/>
        </w:rPr>
        <w:t>ما جاء به من الشرائع والأحكام</w:t>
      </w:r>
      <w:r w:rsidR="00AD3C31" w:rsidRPr="00282AC9">
        <w:rPr>
          <w:rFonts w:ascii="AAA GoldenLotus" w:hAnsi="AAA GoldenLotus" w:hint="cs"/>
          <w:sz w:val="27"/>
          <w:rtl/>
        </w:rPr>
        <w:t>.</w:t>
      </w:r>
      <w:r w:rsidRPr="00282AC9">
        <w:rPr>
          <w:rFonts w:ascii="AAA GoldenLotus" w:hAnsi="AAA GoldenLotus"/>
          <w:sz w:val="27"/>
          <w:rtl/>
        </w:rPr>
        <w:t xml:space="preserve"> والنساء من الناس ح</w:t>
      </w:r>
      <w:r w:rsidR="00AD3C31" w:rsidRPr="00282AC9">
        <w:rPr>
          <w:rFonts w:ascii="AAA GoldenLotus" w:hAnsi="AAA GoldenLotus" w:hint="cs"/>
          <w:sz w:val="27"/>
          <w:rtl/>
        </w:rPr>
        <w:t>َ</w:t>
      </w:r>
      <w:r w:rsidRPr="00282AC9">
        <w:rPr>
          <w:rFonts w:ascii="AAA GoldenLotus" w:hAnsi="AAA GoldenLotus"/>
          <w:sz w:val="27"/>
          <w:rtl/>
        </w:rPr>
        <w:t>ت</w:t>
      </w:r>
      <w:r w:rsidR="00AD3C31" w:rsidRPr="00282AC9">
        <w:rPr>
          <w:rFonts w:ascii="AAA GoldenLotus" w:hAnsi="AAA GoldenLotus" w:hint="cs"/>
          <w:sz w:val="27"/>
          <w:rtl/>
        </w:rPr>
        <w:t>ْ</w:t>
      </w:r>
      <w:r w:rsidRPr="00282AC9">
        <w:rPr>
          <w:rFonts w:ascii="AAA GoldenLotus" w:hAnsi="AAA GoldenLotus"/>
          <w:sz w:val="27"/>
          <w:rtl/>
        </w:rPr>
        <w:t>ماً، فيدخل</w:t>
      </w:r>
      <w:r w:rsidR="00AD3C31" w:rsidRPr="00282AC9">
        <w:rPr>
          <w:rFonts w:ascii="AAA GoldenLotus" w:hAnsi="AAA GoldenLotus" w:hint="cs"/>
          <w:sz w:val="27"/>
          <w:rtl/>
        </w:rPr>
        <w:t>ْ</w:t>
      </w:r>
      <w:r w:rsidRPr="00282AC9">
        <w:rPr>
          <w:rFonts w:ascii="AAA GoldenLotus" w:hAnsi="AAA GoldenLotus"/>
          <w:sz w:val="27"/>
          <w:rtl/>
        </w:rPr>
        <w:t>ن</w:t>
      </w:r>
      <w:r w:rsidR="00AD3C31" w:rsidRPr="00282AC9">
        <w:rPr>
          <w:rFonts w:ascii="AAA GoldenLotus" w:hAnsi="AAA GoldenLotus" w:hint="cs"/>
          <w:sz w:val="27"/>
          <w:rtl/>
        </w:rPr>
        <w:t>َ</w:t>
      </w:r>
      <w:r w:rsidRPr="00282AC9">
        <w:rPr>
          <w:rFonts w:ascii="AAA GoldenLotus" w:hAnsi="AAA GoldenLotus"/>
          <w:sz w:val="27"/>
          <w:rtl/>
        </w:rPr>
        <w:t xml:space="preserve"> في الخطاب العام</w:t>
      </w:r>
      <w:r w:rsidR="00AD3C31" w:rsidRPr="00282AC9">
        <w:rPr>
          <w:rFonts w:ascii="AAA GoldenLotus" w:hAnsi="AAA GoldenLotus" w:hint="cs"/>
          <w:sz w:val="27"/>
          <w:rtl/>
        </w:rPr>
        <w:t>ّ</w:t>
      </w:r>
      <w:r w:rsidRPr="00282AC9">
        <w:rPr>
          <w:rFonts w:ascii="AAA GoldenLotus" w:hAnsi="AAA GoldenLotus"/>
          <w:sz w:val="27"/>
          <w:rtl/>
        </w:rPr>
        <w:t xml:space="preserve"> بوضعه لغة</w:t>
      </w:r>
      <w:r w:rsidR="00AD3C31" w:rsidRPr="00282AC9">
        <w:rPr>
          <w:rFonts w:ascii="AAA GoldenLotus" w:hAnsi="AAA GoldenLotus" w:hint="cs"/>
          <w:sz w:val="27"/>
          <w:rtl/>
        </w:rPr>
        <w:t>ً</w:t>
      </w:r>
      <w:r w:rsidRPr="00282AC9">
        <w:rPr>
          <w:rFonts w:ascii="AAA GoldenLotus" w:hAnsi="AAA GoldenLotus"/>
          <w:sz w:val="27"/>
          <w:rtl/>
        </w:rPr>
        <w:t>، ويكل</w:t>
      </w:r>
      <w:r w:rsidR="00AD3C31" w:rsidRPr="00282AC9">
        <w:rPr>
          <w:rFonts w:ascii="AAA GoldenLotus" w:hAnsi="AAA GoldenLotus" w:hint="cs"/>
          <w:sz w:val="27"/>
          <w:rtl/>
        </w:rPr>
        <w:t>ّ</w:t>
      </w:r>
      <w:r w:rsidRPr="00282AC9">
        <w:rPr>
          <w:rFonts w:ascii="AAA GoldenLotus" w:hAnsi="AAA GoldenLotus"/>
          <w:sz w:val="27"/>
          <w:rtl/>
        </w:rPr>
        <w:t>ف</w:t>
      </w:r>
      <w:r w:rsidR="00AD3C31" w:rsidRPr="00282AC9">
        <w:rPr>
          <w:rFonts w:ascii="AAA GoldenLotus" w:hAnsi="AAA GoldenLotus" w:hint="cs"/>
          <w:sz w:val="27"/>
          <w:rtl/>
        </w:rPr>
        <w:t>ْ</w:t>
      </w:r>
      <w:r w:rsidRPr="00282AC9">
        <w:rPr>
          <w:rFonts w:ascii="AAA GoldenLotus" w:hAnsi="AAA GoldenLotus"/>
          <w:sz w:val="27"/>
          <w:rtl/>
        </w:rPr>
        <w:t>ن</w:t>
      </w:r>
      <w:r w:rsidR="00AD3C31" w:rsidRPr="00282AC9">
        <w:rPr>
          <w:rFonts w:ascii="AAA GoldenLotus" w:hAnsi="AAA GoldenLotus" w:hint="cs"/>
          <w:sz w:val="27"/>
          <w:rtl/>
        </w:rPr>
        <w:t>َ</w:t>
      </w:r>
      <w:r w:rsidRPr="00282AC9">
        <w:rPr>
          <w:rFonts w:ascii="AAA GoldenLotus" w:hAnsi="AAA GoldenLotus"/>
          <w:sz w:val="27"/>
          <w:rtl/>
        </w:rPr>
        <w:t xml:space="preserve"> كما يكل</w:t>
      </w:r>
      <w:r w:rsidR="00AD3C31" w:rsidRPr="00282AC9">
        <w:rPr>
          <w:rFonts w:ascii="AAA GoldenLotus" w:hAnsi="AAA GoldenLotus" w:hint="cs"/>
          <w:sz w:val="27"/>
          <w:rtl/>
        </w:rPr>
        <w:t>َّ</w:t>
      </w:r>
      <w:r w:rsidRPr="00282AC9">
        <w:rPr>
          <w:rFonts w:ascii="AAA GoldenLotus" w:hAnsi="AAA GoldenLotus"/>
          <w:sz w:val="27"/>
          <w:rtl/>
        </w:rPr>
        <w:t>ف الرجال</w:t>
      </w:r>
      <w:r w:rsidR="00AD3C31" w:rsidRPr="00282AC9">
        <w:rPr>
          <w:rFonts w:ascii="AAA GoldenLotus" w:hAnsi="AAA GoldenLotus" w:hint="cs"/>
          <w:sz w:val="27"/>
          <w:rtl/>
        </w:rPr>
        <w:t xml:space="preserve">. </w:t>
      </w:r>
      <w:r w:rsidRPr="00282AC9">
        <w:rPr>
          <w:rFonts w:ascii="AAA GoldenLotus" w:hAnsi="AAA GoldenLotus"/>
          <w:sz w:val="27"/>
          <w:rtl/>
        </w:rPr>
        <w:t>وعليه</w:t>
      </w:r>
      <w:r w:rsidR="00AD3C31" w:rsidRPr="00282AC9">
        <w:rPr>
          <w:rFonts w:ascii="AAA GoldenLotus" w:hAnsi="AAA GoldenLotus" w:hint="cs"/>
          <w:sz w:val="27"/>
          <w:rtl/>
        </w:rPr>
        <w:t>،</w:t>
      </w:r>
      <w:r w:rsidRPr="00282AC9">
        <w:rPr>
          <w:rFonts w:ascii="AAA GoldenLotus" w:hAnsi="AAA GoldenLotus"/>
          <w:sz w:val="27"/>
          <w:rtl/>
        </w:rPr>
        <w:t xml:space="preserve"> فالخطاب في هذه الآية وأمثالها عام</w:t>
      </w:r>
      <w:r w:rsidR="00AD3C31" w:rsidRPr="00282AC9">
        <w:rPr>
          <w:rFonts w:ascii="AAA GoldenLotus" w:hAnsi="AAA GoldenLotus" w:hint="cs"/>
          <w:sz w:val="27"/>
          <w:rtl/>
        </w:rPr>
        <w:t>ٌّ</w:t>
      </w:r>
      <w:r w:rsidRPr="00282AC9">
        <w:rPr>
          <w:rFonts w:ascii="AAA GoldenLotus" w:hAnsi="AAA GoldenLotus"/>
          <w:sz w:val="27"/>
          <w:rtl/>
        </w:rPr>
        <w:t xml:space="preserve"> شامل لجميع المكل</w:t>
      </w:r>
      <w:r w:rsidR="00AD3C31" w:rsidRPr="00282AC9">
        <w:rPr>
          <w:rFonts w:ascii="AAA GoldenLotus" w:hAnsi="AAA GoldenLotus" w:hint="cs"/>
          <w:sz w:val="27"/>
          <w:rtl/>
        </w:rPr>
        <w:t>َّ</w:t>
      </w:r>
      <w:r w:rsidRPr="00282AC9">
        <w:rPr>
          <w:rFonts w:ascii="AAA GoldenLotus" w:hAnsi="AAA GoldenLotus"/>
          <w:sz w:val="27"/>
          <w:rtl/>
        </w:rPr>
        <w:t>فين</w:t>
      </w:r>
      <w:r w:rsidR="00AD3C31" w:rsidRPr="00282AC9">
        <w:rPr>
          <w:rFonts w:ascii="AAA GoldenLotus" w:hAnsi="AAA GoldenLotus" w:hint="cs"/>
          <w:sz w:val="27"/>
          <w:rtl/>
        </w:rPr>
        <w:t>،</w:t>
      </w:r>
      <w:r w:rsidRPr="00282AC9">
        <w:rPr>
          <w:rFonts w:ascii="AAA GoldenLotus" w:hAnsi="AAA GoldenLotus"/>
          <w:sz w:val="27"/>
          <w:rtl/>
        </w:rPr>
        <w:t xml:space="preserve"> سواء كانوا رجالاً أو نساء</w:t>
      </w:r>
      <w:r w:rsidR="00AD3C31" w:rsidRPr="00282AC9">
        <w:rPr>
          <w:rFonts w:ascii="AAA GoldenLotus" w:hAnsi="AAA GoldenLotus" w:hint="cs"/>
          <w:sz w:val="27"/>
          <w:rtl/>
        </w:rPr>
        <w:t>ً،</w:t>
      </w:r>
      <w:r w:rsidRPr="00282AC9">
        <w:rPr>
          <w:rFonts w:ascii="AAA GoldenLotus" w:hAnsi="AAA GoldenLotus"/>
          <w:sz w:val="27"/>
          <w:rtl/>
        </w:rPr>
        <w:t xml:space="preserve"> أحراراً أو عبيداً، فتكون المرأة والرجل سواءً من ناحية شمول العمومات المثبتة للتكاليف</w:t>
      </w:r>
      <w:r w:rsidR="00C61160" w:rsidRPr="00282AC9">
        <w:rPr>
          <w:rFonts w:ascii="AAA GoldenLotus" w:hAnsi="AAA GoldenLotus" w:hint="cs"/>
          <w:sz w:val="27"/>
          <w:rtl/>
        </w:rPr>
        <w:t>،</w:t>
      </w:r>
      <w:r w:rsidRPr="00282AC9">
        <w:rPr>
          <w:rFonts w:ascii="AAA GoldenLotus" w:hAnsi="AAA GoldenLotus"/>
          <w:sz w:val="27"/>
          <w:rtl/>
        </w:rPr>
        <w:t xml:space="preserve"> وتشترك معه في ذلك</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65"/>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tl/>
        </w:rPr>
      </w:pPr>
      <w:bookmarkStart w:id="29" w:name="_Toc30778598"/>
      <w:r w:rsidRPr="00282AC9">
        <w:rPr>
          <w:rFonts w:hint="cs"/>
          <w:b/>
          <w:bCs/>
          <w:rtl/>
        </w:rPr>
        <w:t>الثاني</w:t>
      </w:r>
      <w:r w:rsidRPr="00282AC9">
        <w:rPr>
          <w:rFonts w:hint="cs"/>
          <w:rtl/>
        </w:rPr>
        <w:t xml:space="preserve">: </w:t>
      </w:r>
      <w:r w:rsidRPr="00282AC9">
        <w:rPr>
          <w:rtl/>
        </w:rPr>
        <w:t>الآيات المختص</w:t>
      </w:r>
      <w:r w:rsidR="00C61160" w:rsidRPr="00282AC9">
        <w:rPr>
          <w:rFonts w:hint="cs"/>
          <w:rtl/>
        </w:rPr>
        <w:t>ّ</w:t>
      </w:r>
      <w:r w:rsidRPr="00282AC9">
        <w:rPr>
          <w:rtl/>
        </w:rPr>
        <w:t>ة بالرسول</w:t>
      </w:r>
      <w:bookmarkEnd w:id="29"/>
      <w:r w:rsidR="009A2A04" w:rsidRPr="00282AC9">
        <w:rPr>
          <w:rFonts w:cs="Mosawi" w:hint="cs"/>
          <w:sz w:val="22"/>
          <w:szCs w:val="22"/>
          <w:rtl/>
        </w:rPr>
        <w:t>|</w:t>
      </w:r>
      <w:r w:rsidR="00862840" w:rsidRPr="00282AC9">
        <w:rPr>
          <w:rFonts w:hint="cs"/>
          <w:rtl/>
        </w:rPr>
        <w:t>، حيث</w:t>
      </w:r>
      <w:r w:rsidR="0061260E" w:rsidRPr="00282AC9">
        <w:rPr>
          <w:rFonts w:hint="cs"/>
          <w:rtl/>
        </w:rPr>
        <w:t xml:space="preserve"> </w:t>
      </w:r>
      <w:r w:rsidRPr="00282AC9">
        <w:rPr>
          <w:rFonts w:ascii="AAA GoldenLotus" w:hAnsi="AAA GoldenLotus"/>
          <w:sz w:val="27"/>
          <w:rtl/>
        </w:rPr>
        <w:t>استدل</w:t>
      </w:r>
      <w:r w:rsidR="00C61160" w:rsidRPr="00282AC9">
        <w:rPr>
          <w:rFonts w:ascii="AAA GoldenLotus" w:hAnsi="AAA GoldenLotus" w:hint="cs"/>
          <w:sz w:val="27"/>
          <w:rtl/>
        </w:rPr>
        <w:t>ّ</w:t>
      </w:r>
      <w:r w:rsidRPr="00282AC9">
        <w:rPr>
          <w:rFonts w:ascii="AAA GoldenLotus" w:hAnsi="AAA GoldenLotus"/>
          <w:sz w:val="27"/>
          <w:rtl/>
        </w:rPr>
        <w:t xml:space="preserve"> بعض فقهاء المذاهب على اشتراك الرجال والنساء في الأحكام والتكاليف بالآيات والخطابات القرآنية الموج</w:t>
      </w:r>
      <w:r w:rsidR="00C61160" w:rsidRPr="00282AC9">
        <w:rPr>
          <w:rFonts w:ascii="AAA GoldenLotus" w:hAnsi="AAA GoldenLotus" w:hint="cs"/>
          <w:sz w:val="27"/>
          <w:rtl/>
        </w:rPr>
        <w:t>َّ</w:t>
      </w:r>
      <w:r w:rsidRPr="00282AC9">
        <w:rPr>
          <w:rFonts w:ascii="AAA GoldenLotus" w:hAnsi="AAA GoldenLotus"/>
          <w:sz w:val="27"/>
          <w:rtl/>
        </w:rPr>
        <w:t xml:space="preserve">هة </w:t>
      </w:r>
      <w:r w:rsidR="00C61160" w:rsidRPr="00282AC9">
        <w:rPr>
          <w:rFonts w:ascii="AAA GoldenLotus" w:hAnsi="AAA GoldenLotus" w:hint="cs"/>
          <w:sz w:val="27"/>
          <w:rtl/>
        </w:rPr>
        <w:t>إلى ا</w:t>
      </w:r>
      <w:r w:rsidRPr="00282AC9">
        <w:rPr>
          <w:rFonts w:ascii="AAA GoldenLotus" w:hAnsi="AAA GoldenLotus"/>
          <w:sz w:val="27"/>
          <w:rtl/>
        </w:rPr>
        <w:t>لنبي</w:t>
      </w:r>
      <w:r w:rsidR="00C61160" w:rsidRPr="00282AC9">
        <w:rPr>
          <w:rFonts w:ascii="AAA GoldenLotus" w:hAnsi="AAA GoldenLotus" w:hint="cs"/>
          <w:sz w:val="27"/>
          <w:rtl/>
        </w:rPr>
        <w:t>ّ</w:t>
      </w:r>
      <w:r w:rsidRPr="00282AC9">
        <w:rPr>
          <w:rFonts w:ascii="AAA GoldenLotus" w:hAnsi="AAA GoldenLotus"/>
          <w:sz w:val="27"/>
          <w:rtl/>
        </w:rPr>
        <w:t xml:space="preserve"> خاص</w:t>
      </w:r>
      <w:r w:rsidR="00C61160" w:rsidRPr="00282AC9">
        <w:rPr>
          <w:rFonts w:ascii="AAA GoldenLotus" w:hAnsi="AAA GoldenLotus" w:hint="cs"/>
          <w:sz w:val="27"/>
          <w:rtl/>
        </w:rPr>
        <w:t>ّ</w:t>
      </w:r>
      <w:r w:rsidRPr="00282AC9">
        <w:rPr>
          <w:rFonts w:ascii="AAA GoldenLotus" w:hAnsi="AAA GoldenLotus"/>
          <w:sz w:val="27"/>
          <w:rtl/>
        </w:rPr>
        <w:t>ة</w:t>
      </w:r>
      <w:r w:rsidR="00C61160" w:rsidRPr="00282AC9">
        <w:rPr>
          <w:rFonts w:ascii="AAA GoldenLotus" w:hAnsi="AAA GoldenLotus" w:hint="cs"/>
          <w:sz w:val="27"/>
          <w:rtl/>
        </w:rPr>
        <w:t>ً،</w:t>
      </w:r>
      <w:r w:rsidRPr="00282AC9">
        <w:rPr>
          <w:rFonts w:ascii="AAA GoldenLotus" w:hAnsi="AAA GoldenLotus"/>
          <w:sz w:val="27"/>
          <w:rtl/>
        </w:rPr>
        <w:t xml:space="preserve"> بدعوى شمولها لكل</w:t>
      </w:r>
      <w:r w:rsidR="00C61160" w:rsidRPr="00282AC9">
        <w:rPr>
          <w:rFonts w:ascii="AAA GoldenLotus" w:hAnsi="AAA GoldenLotus" w:hint="cs"/>
          <w:sz w:val="27"/>
          <w:rtl/>
        </w:rPr>
        <w:t>ّ</w:t>
      </w:r>
      <w:r w:rsidRPr="00282AC9">
        <w:rPr>
          <w:rFonts w:ascii="AAA GoldenLotus" w:hAnsi="AAA GoldenLotus"/>
          <w:sz w:val="27"/>
          <w:rtl/>
        </w:rPr>
        <w:t xml:space="preserve"> الأم</w:t>
      </w:r>
      <w:r w:rsidR="00C61160" w:rsidRPr="00282AC9">
        <w:rPr>
          <w:rFonts w:ascii="AAA GoldenLotus" w:hAnsi="AAA GoldenLotus" w:hint="cs"/>
          <w:sz w:val="27"/>
          <w:rtl/>
        </w:rPr>
        <w:t>ّ</w:t>
      </w:r>
      <w:r w:rsidRPr="00282AC9">
        <w:rPr>
          <w:rFonts w:ascii="AAA GoldenLotus" w:hAnsi="AAA GoldenLotus"/>
          <w:sz w:val="27"/>
          <w:rtl/>
        </w:rPr>
        <w:t>ة، فقالوا: إذا ورد</w:t>
      </w:r>
      <w:r w:rsidR="00C61160" w:rsidRPr="00282AC9">
        <w:rPr>
          <w:rFonts w:ascii="AAA GoldenLotus" w:hAnsi="AAA GoldenLotus" w:hint="cs"/>
          <w:sz w:val="27"/>
          <w:rtl/>
        </w:rPr>
        <w:t>َ</w:t>
      </w:r>
      <w:r w:rsidRPr="00282AC9">
        <w:rPr>
          <w:rFonts w:ascii="AAA GoldenLotus" w:hAnsi="AAA GoldenLotus"/>
          <w:sz w:val="27"/>
          <w:rtl/>
        </w:rPr>
        <w:t>ت</w:t>
      </w:r>
      <w:r w:rsidR="00C61160" w:rsidRPr="00282AC9">
        <w:rPr>
          <w:rFonts w:ascii="AAA GoldenLotus" w:hAnsi="AAA GoldenLotus" w:hint="cs"/>
          <w:sz w:val="27"/>
          <w:rtl/>
        </w:rPr>
        <w:t>ْ</w:t>
      </w:r>
      <w:r w:rsidRPr="00282AC9">
        <w:rPr>
          <w:rFonts w:ascii="AAA GoldenLotus" w:hAnsi="AAA GoldenLotus"/>
          <w:sz w:val="27"/>
          <w:rtl/>
        </w:rPr>
        <w:t xml:space="preserve"> صيغة</w:t>
      </w:r>
      <w:r w:rsidR="00C61160" w:rsidRPr="00282AC9">
        <w:rPr>
          <w:rFonts w:ascii="AAA GoldenLotus" w:hAnsi="AAA GoldenLotus" w:hint="cs"/>
          <w:sz w:val="27"/>
          <w:rtl/>
        </w:rPr>
        <w:t>ٌ</w:t>
      </w:r>
      <w:r w:rsidRPr="00282AC9">
        <w:rPr>
          <w:rFonts w:ascii="AAA GoldenLotus" w:hAnsi="AAA GoldenLotus"/>
          <w:sz w:val="27"/>
          <w:rtl/>
        </w:rPr>
        <w:t xml:space="preserve"> مختص</w:t>
      </w:r>
      <w:r w:rsidR="00C61160" w:rsidRPr="00282AC9">
        <w:rPr>
          <w:rFonts w:ascii="AAA GoldenLotus" w:hAnsi="AAA GoldenLotus" w:hint="cs"/>
          <w:sz w:val="27"/>
          <w:rtl/>
        </w:rPr>
        <w:t>ّ</w:t>
      </w:r>
      <w:r w:rsidRPr="00282AC9">
        <w:rPr>
          <w:rFonts w:ascii="AAA GoldenLotus" w:hAnsi="AAA GoldenLotus"/>
          <w:sz w:val="27"/>
          <w:rtl/>
        </w:rPr>
        <w:t xml:space="preserve">ة في وضع </w:t>
      </w:r>
      <w:r w:rsidRPr="00282AC9">
        <w:rPr>
          <w:rFonts w:ascii="AAA GoldenLotus" w:hAnsi="AAA GoldenLotus"/>
          <w:spacing w:val="-4"/>
          <w:sz w:val="27"/>
          <w:rtl/>
        </w:rPr>
        <w:t>اللسان برسول الله[</w:t>
      </w:r>
      <w:r w:rsidR="009A2A04" w:rsidRPr="00282AC9">
        <w:rPr>
          <w:rFonts w:ascii="AAA GoldenLotus" w:hAnsi="AAA GoldenLotus" w:cs="Mosawi"/>
          <w:spacing w:val="-4"/>
          <w:sz w:val="22"/>
          <w:szCs w:val="22"/>
          <w:rtl/>
        </w:rPr>
        <w:t>|</w:t>
      </w:r>
      <w:r w:rsidRPr="00282AC9">
        <w:rPr>
          <w:rFonts w:ascii="AAA GoldenLotus" w:hAnsi="AAA GoldenLotus"/>
          <w:spacing w:val="-4"/>
          <w:sz w:val="27"/>
          <w:rtl/>
        </w:rPr>
        <w:t>]، مثل</w:t>
      </w:r>
      <w:r w:rsidR="00C61160" w:rsidRPr="00282AC9">
        <w:rPr>
          <w:rFonts w:ascii="AAA GoldenLotus" w:hAnsi="AAA GoldenLotus" w:hint="cs"/>
          <w:spacing w:val="-4"/>
          <w:sz w:val="27"/>
          <w:rtl/>
        </w:rPr>
        <w:t>:</w:t>
      </w:r>
      <w:r w:rsidRPr="00282AC9">
        <w:rPr>
          <w:rFonts w:ascii="AAA GoldenLotus" w:hAnsi="AAA GoldenLotus"/>
          <w:spacing w:val="-4"/>
          <w:sz w:val="27"/>
          <w:rtl/>
        </w:rPr>
        <w:t xml:space="preserve"> قوله تعالى:</w:t>
      </w:r>
      <w:r w:rsidR="00C61160" w:rsidRPr="00282AC9">
        <w:rPr>
          <w:rFonts w:ascii="Mosawi" w:hAnsi="Mosawi" w:cs="Mosawi" w:hint="cs"/>
          <w:sz w:val="24"/>
          <w:szCs w:val="24"/>
          <w:rtl/>
        </w:rPr>
        <w:t xml:space="preserve"> </w:t>
      </w:r>
      <w:r w:rsidR="00C5291F" w:rsidRPr="00282AC9">
        <w:rPr>
          <w:rFonts w:ascii="Mosawi" w:hAnsi="Mosawi" w:cs="Mosawi"/>
          <w:sz w:val="24"/>
          <w:szCs w:val="24"/>
          <w:rtl/>
        </w:rPr>
        <w:t>﴿</w:t>
      </w:r>
      <w:r w:rsidRPr="00282AC9">
        <w:rPr>
          <w:rFonts w:ascii="AAA GoldenLotus" w:hAnsi="AAA GoldenLotus"/>
          <w:b/>
          <w:bCs/>
          <w:spacing w:val="-4"/>
          <w:sz w:val="27"/>
          <w:rtl/>
        </w:rPr>
        <w:t>لَئِنْ أَشْرَكْتَ لَيَحْبَطَنَّ عَمَلُكَ ولَتَكُونَنَّ مِنَ الخَاسِرِينَ</w:t>
      </w:r>
      <w:r w:rsidR="00C5291F" w:rsidRPr="00282AC9">
        <w:rPr>
          <w:rFonts w:ascii="Mosawi" w:hAnsi="Mosawi" w:cs="Mosawi"/>
          <w:sz w:val="24"/>
          <w:szCs w:val="24"/>
          <w:rtl/>
        </w:rPr>
        <w:t>﴾</w:t>
      </w:r>
      <w:r w:rsidRPr="00282AC9">
        <w:rPr>
          <w:rFonts w:ascii="AAA GoldenLotus" w:hAnsi="AAA GoldenLotus"/>
          <w:spacing w:val="-4"/>
          <w:sz w:val="27"/>
          <w:rtl/>
        </w:rPr>
        <w:t xml:space="preserve"> (الزمر: 65)، فإن الأم</w:t>
      </w:r>
      <w:r w:rsidR="00C61160" w:rsidRPr="00282AC9">
        <w:rPr>
          <w:rFonts w:ascii="AAA GoldenLotus" w:hAnsi="AAA GoldenLotus" w:hint="cs"/>
          <w:spacing w:val="-4"/>
          <w:sz w:val="27"/>
          <w:rtl/>
        </w:rPr>
        <w:t>ّ</w:t>
      </w:r>
      <w:r w:rsidRPr="00282AC9">
        <w:rPr>
          <w:rFonts w:ascii="AAA GoldenLotus" w:hAnsi="AAA GoldenLotus"/>
          <w:spacing w:val="-4"/>
          <w:sz w:val="27"/>
          <w:rtl/>
        </w:rPr>
        <w:t>ة معه في ذلك سواء</w:t>
      </w:r>
      <w:r w:rsidR="00C61160" w:rsidRPr="00282AC9">
        <w:rPr>
          <w:rFonts w:ascii="AAA GoldenLotus" w:hAnsi="AAA GoldenLotus" w:hint="cs"/>
          <w:spacing w:val="-4"/>
          <w:sz w:val="27"/>
          <w:rtl/>
        </w:rPr>
        <w:t>ٌ</w:t>
      </w:r>
      <w:r w:rsidRPr="00282AC9">
        <w:rPr>
          <w:rFonts w:ascii="AAA GoldenLotus" w:hAnsi="AAA GoldenLotus"/>
          <w:spacing w:val="-4"/>
          <w:sz w:val="27"/>
          <w:rtl/>
        </w:rPr>
        <w:t>؛ مستدل</w:t>
      </w:r>
      <w:r w:rsidR="00C61160" w:rsidRPr="00282AC9">
        <w:rPr>
          <w:rFonts w:ascii="AAA GoldenLotus" w:hAnsi="AAA GoldenLotus" w:hint="cs"/>
          <w:spacing w:val="-4"/>
          <w:sz w:val="27"/>
          <w:rtl/>
        </w:rPr>
        <w:t>ّ</w:t>
      </w:r>
      <w:r w:rsidRPr="00282AC9">
        <w:rPr>
          <w:rFonts w:ascii="AAA GoldenLotus" w:hAnsi="AAA GoldenLotus"/>
          <w:spacing w:val="-4"/>
          <w:sz w:val="27"/>
          <w:rtl/>
        </w:rPr>
        <w:t>ين على ذلك بأنه ورد الأمر بخصوصه، لكن</w:t>
      </w:r>
      <w:r w:rsidR="00C61160" w:rsidRPr="00282AC9">
        <w:rPr>
          <w:rFonts w:ascii="AAA GoldenLotus" w:hAnsi="AAA GoldenLotus" w:hint="cs"/>
          <w:spacing w:val="-4"/>
          <w:sz w:val="27"/>
          <w:rtl/>
        </w:rPr>
        <w:t>ّ</w:t>
      </w:r>
      <w:r w:rsidRPr="00282AC9">
        <w:rPr>
          <w:rFonts w:ascii="AAA GoldenLotus" w:hAnsi="AAA GoldenLotus"/>
          <w:spacing w:val="-4"/>
          <w:sz w:val="27"/>
          <w:rtl/>
        </w:rPr>
        <w:t>ه يشمل الأم</w:t>
      </w:r>
      <w:r w:rsidR="00C61160" w:rsidRPr="00282AC9">
        <w:rPr>
          <w:rFonts w:ascii="AAA GoldenLotus" w:hAnsi="AAA GoldenLotus" w:hint="cs"/>
          <w:spacing w:val="-4"/>
          <w:sz w:val="27"/>
          <w:rtl/>
        </w:rPr>
        <w:t>ّ</w:t>
      </w:r>
      <w:r w:rsidRPr="00282AC9">
        <w:rPr>
          <w:rFonts w:ascii="AAA GoldenLotus" w:hAnsi="AAA GoldenLotus"/>
          <w:spacing w:val="-4"/>
          <w:sz w:val="27"/>
          <w:rtl/>
        </w:rPr>
        <w:t>ة ع</w:t>
      </w:r>
      <w:r w:rsidR="00C61160" w:rsidRPr="00282AC9">
        <w:rPr>
          <w:rFonts w:ascii="AAA GoldenLotus" w:hAnsi="AAA GoldenLotus" w:hint="cs"/>
          <w:spacing w:val="-4"/>
          <w:sz w:val="27"/>
          <w:rtl/>
        </w:rPr>
        <w:t>ُ</w:t>
      </w:r>
      <w:r w:rsidRPr="00282AC9">
        <w:rPr>
          <w:rFonts w:ascii="AAA GoldenLotus" w:hAnsi="AAA GoldenLotus"/>
          <w:spacing w:val="-4"/>
          <w:sz w:val="27"/>
          <w:rtl/>
        </w:rPr>
        <w:t>ر</w:t>
      </w:r>
      <w:r w:rsidR="00C61160" w:rsidRPr="00282AC9">
        <w:rPr>
          <w:rFonts w:ascii="AAA GoldenLotus" w:hAnsi="AAA GoldenLotus" w:hint="cs"/>
          <w:spacing w:val="-4"/>
          <w:sz w:val="27"/>
          <w:rtl/>
        </w:rPr>
        <w:t>ْ</w:t>
      </w:r>
      <w:r w:rsidRPr="00282AC9">
        <w:rPr>
          <w:rFonts w:ascii="AAA GoldenLotus" w:hAnsi="AAA GoldenLotus"/>
          <w:spacing w:val="-4"/>
          <w:sz w:val="27"/>
          <w:rtl/>
        </w:rPr>
        <w:t>فاً</w:t>
      </w:r>
      <w:r w:rsidR="00C61160" w:rsidRPr="00282AC9">
        <w:rPr>
          <w:rFonts w:ascii="AAA GoldenLotus" w:hAnsi="AAA GoldenLotus" w:hint="cs"/>
          <w:spacing w:val="-4"/>
          <w:sz w:val="27"/>
          <w:rtl/>
        </w:rPr>
        <w:t>،</w:t>
      </w:r>
      <w:r w:rsidRPr="00282AC9">
        <w:rPr>
          <w:rFonts w:ascii="AAA GoldenLotus" w:hAnsi="AAA GoldenLotus"/>
          <w:spacing w:val="-4"/>
          <w:sz w:val="27"/>
          <w:rtl/>
        </w:rPr>
        <w:t xml:space="preserve"> لا من خلال المدلول الوضعي</w:t>
      </w:r>
      <w:r w:rsidR="00C61160" w:rsidRPr="00282AC9">
        <w:rPr>
          <w:rFonts w:ascii="AAA GoldenLotus" w:hAnsi="AAA GoldenLotus" w:hint="cs"/>
          <w:spacing w:val="-4"/>
          <w:sz w:val="27"/>
          <w:rtl/>
        </w:rPr>
        <w:t>ّ</w:t>
      </w:r>
      <w:r w:rsidRPr="00282AC9">
        <w:rPr>
          <w:rFonts w:ascii="AAA GoldenLotus" w:hAnsi="AAA GoldenLotus"/>
          <w:spacing w:val="-4"/>
          <w:sz w:val="27"/>
          <w:rtl/>
        </w:rPr>
        <w:t xml:space="preserve"> للفظ؛ فإن الع</w:t>
      </w:r>
      <w:r w:rsidR="00C61160" w:rsidRPr="00282AC9">
        <w:rPr>
          <w:rFonts w:ascii="AAA GoldenLotus" w:hAnsi="AAA GoldenLotus" w:hint="cs"/>
          <w:spacing w:val="-4"/>
          <w:sz w:val="27"/>
          <w:rtl/>
        </w:rPr>
        <w:t>ُ</w:t>
      </w:r>
      <w:r w:rsidRPr="00282AC9">
        <w:rPr>
          <w:rFonts w:ascii="AAA GoldenLotus" w:hAnsi="AAA GoldenLotus"/>
          <w:spacing w:val="-4"/>
          <w:sz w:val="27"/>
          <w:rtl/>
        </w:rPr>
        <w:t>ر</w:t>
      </w:r>
      <w:r w:rsidR="00C61160" w:rsidRPr="00282AC9">
        <w:rPr>
          <w:rFonts w:ascii="AAA GoldenLotus" w:hAnsi="AAA GoldenLotus" w:hint="cs"/>
          <w:spacing w:val="-4"/>
          <w:sz w:val="27"/>
          <w:rtl/>
        </w:rPr>
        <w:t>ْ</w:t>
      </w:r>
      <w:r w:rsidRPr="00282AC9">
        <w:rPr>
          <w:rFonts w:ascii="AAA GoldenLotus" w:hAnsi="AAA GoldenLotus"/>
          <w:spacing w:val="-4"/>
          <w:sz w:val="27"/>
          <w:rtl/>
        </w:rPr>
        <w:t>ف لا يفهم الخصوصي</w:t>
      </w:r>
      <w:r w:rsidR="00C61160" w:rsidRPr="00282AC9">
        <w:rPr>
          <w:rFonts w:ascii="AAA GoldenLotus" w:hAnsi="AAA GoldenLotus" w:hint="cs"/>
          <w:spacing w:val="-4"/>
          <w:sz w:val="27"/>
          <w:rtl/>
        </w:rPr>
        <w:t>ّ</w:t>
      </w:r>
      <w:r w:rsidRPr="00282AC9">
        <w:rPr>
          <w:rFonts w:ascii="AAA GoldenLotus" w:hAnsi="AAA GoldenLotus"/>
          <w:spacing w:val="-4"/>
          <w:sz w:val="27"/>
          <w:rtl/>
        </w:rPr>
        <w:t>ة في الخطاب، بل يرى أن جميع المكل</w:t>
      </w:r>
      <w:r w:rsidR="00C61160" w:rsidRPr="00282AC9">
        <w:rPr>
          <w:rFonts w:ascii="AAA GoldenLotus" w:hAnsi="AAA GoldenLotus" w:hint="cs"/>
          <w:spacing w:val="-4"/>
          <w:sz w:val="27"/>
          <w:rtl/>
        </w:rPr>
        <w:t>َّ</w:t>
      </w:r>
      <w:r w:rsidRPr="00282AC9">
        <w:rPr>
          <w:rFonts w:ascii="AAA GoldenLotus" w:hAnsi="AAA GoldenLotus"/>
          <w:spacing w:val="-4"/>
          <w:sz w:val="27"/>
          <w:rtl/>
        </w:rPr>
        <w:t>فين معنيّون بذلك الخطاب</w:t>
      </w:r>
      <w:r w:rsidR="00C61160" w:rsidRPr="00282AC9">
        <w:rPr>
          <w:rFonts w:ascii="AAA GoldenLotus" w:hAnsi="AAA GoldenLotus" w:hint="cs"/>
          <w:spacing w:val="-4"/>
          <w:sz w:val="27"/>
          <w:rtl/>
        </w:rPr>
        <w:t>،</w:t>
      </w:r>
      <w:r w:rsidRPr="00282AC9">
        <w:rPr>
          <w:rFonts w:ascii="AAA GoldenLotus" w:hAnsi="AAA GoldenLotus"/>
          <w:spacing w:val="-4"/>
          <w:sz w:val="27"/>
          <w:rtl/>
        </w:rPr>
        <w:t xml:space="preserve"> رجالاً ونساءً، إلا</w:t>
      </w:r>
      <w:r w:rsidR="00C61160" w:rsidRPr="00282AC9">
        <w:rPr>
          <w:rFonts w:ascii="AAA GoldenLotus" w:hAnsi="AAA GoldenLotus" w:hint="cs"/>
          <w:spacing w:val="-4"/>
          <w:sz w:val="27"/>
          <w:rtl/>
        </w:rPr>
        <w:t>ّ</w:t>
      </w:r>
      <w:r w:rsidRPr="00282AC9">
        <w:rPr>
          <w:rFonts w:ascii="AAA GoldenLotus" w:hAnsi="AAA GoldenLotus"/>
          <w:spacing w:val="-4"/>
          <w:sz w:val="27"/>
          <w:rtl/>
        </w:rPr>
        <w:t xml:space="preserve"> إذا دل</w:t>
      </w:r>
      <w:r w:rsidR="00C61160" w:rsidRPr="00282AC9">
        <w:rPr>
          <w:rFonts w:ascii="AAA GoldenLotus" w:hAnsi="AAA GoldenLotus" w:hint="cs"/>
          <w:spacing w:val="-4"/>
          <w:sz w:val="27"/>
          <w:rtl/>
        </w:rPr>
        <w:t>َّ</w:t>
      </w:r>
      <w:r w:rsidRPr="00282AC9">
        <w:rPr>
          <w:rFonts w:ascii="AAA GoldenLotus" w:hAnsi="AAA GoldenLotus"/>
          <w:spacing w:val="-4"/>
          <w:sz w:val="27"/>
          <w:rtl/>
        </w:rPr>
        <w:t xml:space="preserve"> دليل</w:t>
      </w:r>
      <w:r w:rsidR="00C61160" w:rsidRPr="00282AC9">
        <w:rPr>
          <w:rFonts w:ascii="AAA GoldenLotus" w:hAnsi="AAA GoldenLotus" w:hint="cs"/>
          <w:spacing w:val="-4"/>
          <w:sz w:val="27"/>
          <w:rtl/>
        </w:rPr>
        <w:t>ٌ</w:t>
      </w:r>
      <w:r w:rsidRPr="00282AC9">
        <w:rPr>
          <w:rFonts w:ascii="AAA GoldenLotus" w:hAnsi="AAA GoldenLotus"/>
          <w:spacing w:val="-4"/>
          <w:sz w:val="27"/>
          <w:rtl/>
        </w:rPr>
        <w:t xml:space="preserve"> على عدم مشاركة غير النبي</w:t>
      </w:r>
      <w:r w:rsidR="00C61160" w:rsidRPr="00282AC9">
        <w:rPr>
          <w:rFonts w:ascii="AAA GoldenLotus" w:hAnsi="AAA GoldenLotus" w:hint="cs"/>
          <w:spacing w:val="-4"/>
          <w:sz w:val="27"/>
          <w:rtl/>
        </w:rPr>
        <w:t>ّ</w:t>
      </w:r>
      <w:r w:rsidRPr="00282AC9">
        <w:rPr>
          <w:rFonts w:ascii="AAA GoldenLotus" w:hAnsi="AAA GoldenLotus"/>
          <w:spacing w:val="-4"/>
          <w:sz w:val="27"/>
          <w:rtl/>
        </w:rPr>
        <w:t>[</w:t>
      </w:r>
      <w:r w:rsidR="009A2A04" w:rsidRPr="00282AC9">
        <w:rPr>
          <w:rFonts w:ascii="AAA GoldenLotus" w:hAnsi="AAA GoldenLotus" w:cs="Mosawi"/>
          <w:spacing w:val="-4"/>
          <w:sz w:val="22"/>
          <w:szCs w:val="22"/>
          <w:rtl/>
        </w:rPr>
        <w:t>|</w:t>
      </w:r>
      <w:r w:rsidRPr="00282AC9">
        <w:rPr>
          <w:rFonts w:ascii="AAA GoldenLotus" w:hAnsi="AAA GoldenLotus"/>
          <w:spacing w:val="-4"/>
          <w:sz w:val="27"/>
          <w:rtl/>
        </w:rPr>
        <w:t>] في الخطاب والحكم</w:t>
      </w:r>
      <w:r w:rsidRPr="00282AC9">
        <w:rPr>
          <w:rFonts w:ascii="AAA GoldenLotus" w:hAnsi="AAA GoldenLotus"/>
          <w:spacing w:val="-4"/>
          <w:sz w:val="27"/>
          <w:vertAlign w:val="superscript"/>
          <w:rtl/>
        </w:rPr>
        <w:t>(</w:t>
      </w:r>
      <w:r w:rsidRPr="00282AC9">
        <w:rPr>
          <w:rFonts w:ascii="AAA GoldenLotus" w:hAnsi="AAA GoldenLotus"/>
          <w:spacing w:val="-4"/>
          <w:sz w:val="27"/>
          <w:vertAlign w:val="superscript"/>
          <w:rtl/>
        </w:rPr>
        <w:endnoteReference w:id="366"/>
      </w:r>
      <w:r w:rsidRPr="00282AC9">
        <w:rPr>
          <w:rFonts w:ascii="AAA GoldenLotus" w:hAnsi="AAA GoldenLotus"/>
          <w:spacing w:val="-4"/>
          <w:sz w:val="27"/>
          <w:vertAlign w:val="superscript"/>
          <w:rtl/>
        </w:rPr>
        <w:t>)</w:t>
      </w:r>
      <w:r w:rsidRPr="00282AC9">
        <w:rPr>
          <w:rFonts w:ascii="AAA GoldenLotus" w:hAnsi="AAA GoldenLotus"/>
          <w:spacing w:val="-4"/>
          <w:sz w:val="27"/>
          <w:rtl/>
        </w:rPr>
        <w:t>.</w:t>
      </w:r>
      <w:r w:rsidRPr="00282AC9">
        <w:rPr>
          <w:rFonts w:ascii="AAA GoldenLotus" w:hAnsi="AAA GoldenLotus"/>
          <w:sz w:val="27"/>
          <w:rtl/>
        </w:rPr>
        <w:t xml:space="preserve"> </w:t>
      </w:r>
    </w:p>
    <w:p w:rsidR="008573BF" w:rsidRPr="00282AC9" w:rsidRDefault="008573BF" w:rsidP="008573BF">
      <w:pPr>
        <w:spacing w:line="420" w:lineRule="exact"/>
        <w:rPr>
          <w:rtl/>
        </w:rPr>
      </w:pPr>
    </w:p>
    <w:p w:rsidR="00E355F2" w:rsidRPr="00282AC9" w:rsidRDefault="00E355F2" w:rsidP="00862840">
      <w:pPr>
        <w:pStyle w:val="31"/>
        <w:rPr>
          <w:color w:val="auto"/>
          <w:rtl/>
        </w:rPr>
      </w:pPr>
      <w:r w:rsidRPr="00282AC9">
        <w:rPr>
          <w:rFonts w:hint="cs"/>
          <w:color w:val="auto"/>
          <w:rtl/>
        </w:rPr>
        <w:t>ب ـ</w:t>
      </w:r>
      <w:r w:rsidRPr="00282AC9">
        <w:rPr>
          <w:color w:val="auto"/>
          <w:rtl/>
        </w:rPr>
        <w:t xml:space="preserve"> الس</w:t>
      </w:r>
      <w:r w:rsidR="00C61160" w:rsidRPr="00282AC9">
        <w:rPr>
          <w:rFonts w:hint="cs"/>
          <w:color w:val="auto"/>
          <w:rtl/>
        </w:rPr>
        <w:t>ُّ</w:t>
      </w:r>
      <w:r w:rsidRPr="00282AC9">
        <w:rPr>
          <w:color w:val="auto"/>
          <w:rtl/>
        </w:rPr>
        <w:t>ن</w:t>
      </w:r>
      <w:r w:rsidR="00C61160" w:rsidRPr="00282AC9">
        <w:rPr>
          <w:rFonts w:hint="cs"/>
          <w:color w:val="auto"/>
          <w:rtl/>
        </w:rPr>
        <w:t>َّ</w:t>
      </w:r>
      <w:r w:rsidRPr="00282AC9">
        <w:rPr>
          <w:color w:val="auto"/>
          <w:rtl/>
        </w:rPr>
        <w:t>ة</w:t>
      </w:r>
      <w:r w:rsidR="00862840" w:rsidRPr="00282AC9">
        <w:rPr>
          <w:rFonts w:hint="cs"/>
          <w:color w:val="auto"/>
          <w:rtl/>
        </w:rPr>
        <w:t xml:space="preserve"> الشريفة</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استند علماء جمهور المذاهب الفقهية </w:t>
      </w:r>
      <w:r w:rsidRPr="00282AC9">
        <w:rPr>
          <w:rFonts w:ascii="AAA GoldenLotus" w:hAnsi="AAA GoldenLotus" w:hint="cs"/>
          <w:sz w:val="27"/>
          <w:rtl/>
        </w:rPr>
        <w:t xml:space="preserve">إلى </w:t>
      </w:r>
      <w:r w:rsidRPr="00282AC9">
        <w:rPr>
          <w:rFonts w:ascii="AAA GoldenLotus" w:hAnsi="AAA GoldenLotus"/>
          <w:sz w:val="27"/>
          <w:rtl/>
        </w:rPr>
        <w:t>مجموعة</w:t>
      </w:r>
      <w:r w:rsidR="00C61160" w:rsidRPr="00282AC9">
        <w:rPr>
          <w:rFonts w:ascii="AAA GoldenLotus" w:hAnsi="AAA GoldenLotus" w:hint="cs"/>
          <w:sz w:val="27"/>
          <w:rtl/>
        </w:rPr>
        <w:t>ٍ</w:t>
      </w:r>
      <w:r w:rsidRPr="00282AC9">
        <w:rPr>
          <w:rFonts w:ascii="AAA GoldenLotus" w:hAnsi="AAA GoldenLotus"/>
          <w:sz w:val="27"/>
          <w:rtl/>
        </w:rPr>
        <w:t xml:space="preserve"> من الأحاديث والروايات</w:t>
      </w:r>
      <w:r w:rsidR="00C61160" w:rsidRPr="00282AC9">
        <w:rPr>
          <w:rFonts w:ascii="AAA GoldenLotus" w:hAnsi="AAA GoldenLotus" w:hint="cs"/>
          <w:sz w:val="27"/>
          <w:rtl/>
        </w:rPr>
        <w:t>؛</w:t>
      </w:r>
      <w:r w:rsidRPr="00282AC9">
        <w:rPr>
          <w:rFonts w:ascii="AAA GoldenLotus" w:hAnsi="AAA GoldenLotus"/>
          <w:sz w:val="27"/>
          <w:rtl/>
        </w:rPr>
        <w:t xml:space="preserve"> لإثبات أن أحكام الشريعة للناس كاف</w:t>
      </w:r>
      <w:r w:rsidR="00C61160" w:rsidRPr="00282AC9">
        <w:rPr>
          <w:rFonts w:ascii="AAA GoldenLotus" w:hAnsi="AAA GoldenLotus" w:hint="cs"/>
          <w:sz w:val="27"/>
          <w:rtl/>
        </w:rPr>
        <w:t>ّ</w:t>
      </w:r>
      <w:r w:rsidRPr="00282AC9">
        <w:rPr>
          <w:rFonts w:ascii="AAA GoldenLotus" w:hAnsi="AAA GoldenLotus"/>
          <w:sz w:val="27"/>
          <w:rtl/>
        </w:rPr>
        <w:t>ة</w:t>
      </w:r>
      <w:r w:rsidR="00C61160" w:rsidRPr="00282AC9">
        <w:rPr>
          <w:rFonts w:ascii="AAA GoldenLotus" w:hAnsi="AAA GoldenLotus" w:hint="cs"/>
          <w:sz w:val="27"/>
          <w:rtl/>
        </w:rPr>
        <w:t>ً</w:t>
      </w:r>
      <w:r w:rsidRPr="00282AC9">
        <w:rPr>
          <w:rFonts w:ascii="AAA GoldenLotus" w:hAnsi="AAA GoldenLotus"/>
          <w:sz w:val="27"/>
          <w:rtl/>
        </w:rPr>
        <w:t>، ويشترك فيها جميع الأم</w:t>
      </w:r>
      <w:r w:rsidR="00C61160" w:rsidRPr="00282AC9">
        <w:rPr>
          <w:rFonts w:ascii="AAA GoldenLotus" w:hAnsi="AAA GoldenLotus" w:hint="cs"/>
          <w:sz w:val="27"/>
          <w:rtl/>
        </w:rPr>
        <w:t>ّ</w:t>
      </w:r>
      <w:r w:rsidRPr="00282AC9">
        <w:rPr>
          <w:rFonts w:ascii="AAA GoldenLotus" w:hAnsi="AAA GoldenLotus"/>
          <w:sz w:val="27"/>
          <w:rtl/>
        </w:rPr>
        <w:t>ة</w:t>
      </w:r>
      <w:r w:rsidR="00C61160" w:rsidRPr="00282AC9">
        <w:rPr>
          <w:rFonts w:ascii="AAA GoldenLotus" w:hAnsi="AAA GoldenLotus" w:hint="cs"/>
          <w:sz w:val="27"/>
          <w:rtl/>
        </w:rPr>
        <w:t>،</w:t>
      </w:r>
      <w:r w:rsidRPr="00282AC9">
        <w:rPr>
          <w:rFonts w:ascii="AAA GoldenLotus" w:hAnsi="AAA GoldenLotus"/>
          <w:sz w:val="27"/>
          <w:rtl/>
        </w:rPr>
        <w:t xml:space="preserve"> من الرجال والنساء</w:t>
      </w:r>
      <w:r w:rsidR="00C61160" w:rsidRPr="00282AC9">
        <w:rPr>
          <w:rFonts w:ascii="AAA GoldenLotus" w:hAnsi="AAA GoldenLotus" w:hint="cs"/>
          <w:sz w:val="27"/>
          <w:rtl/>
        </w:rPr>
        <w:t>.</w:t>
      </w:r>
      <w:r w:rsidRPr="00282AC9">
        <w:rPr>
          <w:rFonts w:ascii="AAA GoldenLotus" w:hAnsi="AAA GoldenLotus"/>
          <w:sz w:val="27"/>
          <w:rtl/>
        </w:rPr>
        <w:t xml:space="preserve"> ومن هذه الأحاديث: </w:t>
      </w:r>
    </w:p>
    <w:p w:rsidR="00E355F2" w:rsidRPr="00282AC9" w:rsidRDefault="00C61160" w:rsidP="00046546">
      <w:pPr>
        <w:rPr>
          <w:rFonts w:ascii="AAA GoldenLotus" w:hAnsi="AAA GoldenLotus"/>
          <w:sz w:val="27"/>
          <w:rtl/>
        </w:rPr>
      </w:pPr>
      <w:r w:rsidRPr="00282AC9">
        <w:rPr>
          <w:rFonts w:ascii="AAA GoldenLotus" w:hAnsi="AAA GoldenLotus" w:hint="cs"/>
          <w:sz w:val="27"/>
          <w:rtl/>
        </w:rPr>
        <w:t>1</w:t>
      </w:r>
      <w:r w:rsidR="00E355F2" w:rsidRPr="00282AC9">
        <w:rPr>
          <w:rFonts w:ascii="AAA GoldenLotus" w:hAnsi="AAA GoldenLotus" w:hint="cs"/>
          <w:sz w:val="27"/>
          <w:rtl/>
        </w:rPr>
        <w:t>ـ</w:t>
      </w:r>
      <w:r w:rsidR="00E355F2" w:rsidRPr="00282AC9">
        <w:rPr>
          <w:rFonts w:ascii="AAA GoldenLotus" w:hAnsi="AAA GoldenLotus"/>
          <w:sz w:val="27"/>
          <w:rtl/>
        </w:rPr>
        <w:t xml:space="preserve"> ما رواه أنس بن مالك</w:t>
      </w:r>
      <w:r w:rsidRPr="00282AC9">
        <w:rPr>
          <w:rFonts w:ascii="AAA GoldenLotus" w:hAnsi="AAA GoldenLotus" w:hint="cs"/>
          <w:sz w:val="27"/>
          <w:rtl/>
        </w:rPr>
        <w:t>،</w:t>
      </w:r>
      <w:r w:rsidR="00E355F2" w:rsidRPr="00282AC9">
        <w:rPr>
          <w:rFonts w:ascii="AAA GoldenLotus" w:hAnsi="AAA GoldenLotus"/>
          <w:sz w:val="27"/>
          <w:rtl/>
        </w:rPr>
        <w:t xml:space="preserve"> عن رسول الله[</w:t>
      </w:r>
      <w:r w:rsidR="009A2A04" w:rsidRPr="00282AC9">
        <w:rPr>
          <w:rFonts w:ascii="AAA GoldenLotus" w:hAnsi="AAA GoldenLotus" w:cs="Mosawi"/>
          <w:sz w:val="22"/>
          <w:szCs w:val="22"/>
          <w:rtl/>
        </w:rPr>
        <w:t>|</w:t>
      </w:r>
      <w:r w:rsidR="00E355F2" w:rsidRPr="00282AC9">
        <w:rPr>
          <w:rFonts w:ascii="AAA GoldenLotus" w:hAnsi="AAA GoldenLotus"/>
          <w:sz w:val="27"/>
          <w:rtl/>
        </w:rPr>
        <w:t xml:space="preserve">] أنه قال: </w:t>
      </w:r>
      <w:r w:rsidR="008A23F5" w:rsidRPr="00282AC9">
        <w:rPr>
          <w:rFonts w:hint="eastAsia"/>
          <w:sz w:val="24"/>
          <w:szCs w:val="24"/>
          <w:rtl/>
        </w:rPr>
        <w:t>«</w:t>
      </w:r>
      <w:r w:rsidR="00E355F2" w:rsidRPr="00282AC9">
        <w:rPr>
          <w:rFonts w:ascii="AAA GoldenLotus" w:hAnsi="AAA GoldenLotus"/>
          <w:sz w:val="27"/>
          <w:rtl/>
        </w:rPr>
        <w:t>أ</w:t>
      </w:r>
      <w:r w:rsidR="008A23F5" w:rsidRPr="00282AC9">
        <w:rPr>
          <w:rFonts w:ascii="AAA GoldenLotus" w:hAnsi="AAA GoldenLotus" w:hint="cs"/>
          <w:sz w:val="27"/>
          <w:rtl/>
        </w:rPr>
        <w:t>ُ</w:t>
      </w:r>
      <w:r w:rsidR="00E355F2" w:rsidRPr="00282AC9">
        <w:rPr>
          <w:rFonts w:ascii="AAA GoldenLotus" w:hAnsi="AAA GoldenLotus"/>
          <w:sz w:val="27"/>
          <w:rtl/>
        </w:rPr>
        <w:t>مر</w:t>
      </w:r>
      <w:r w:rsidR="008A23F5" w:rsidRPr="00282AC9">
        <w:rPr>
          <w:rFonts w:ascii="AAA GoldenLotus" w:hAnsi="AAA GoldenLotus" w:hint="cs"/>
          <w:sz w:val="27"/>
          <w:rtl/>
        </w:rPr>
        <w:t>ْ</w:t>
      </w:r>
      <w:r w:rsidR="00E355F2" w:rsidRPr="00282AC9">
        <w:rPr>
          <w:rFonts w:ascii="AAA GoldenLotus" w:hAnsi="AAA GoldenLotus"/>
          <w:sz w:val="27"/>
          <w:rtl/>
        </w:rPr>
        <w:t>ت</w:t>
      </w:r>
      <w:r w:rsidR="008A23F5" w:rsidRPr="00282AC9">
        <w:rPr>
          <w:rFonts w:ascii="AAA GoldenLotus" w:hAnsi="AAA GoldenLotus" w:hint="cs"/>
          <w:sz w:val="27"/>
          <w:rtl/>
        </w:rPr>
        <w:t>ُ</w:t>
      </w:r>
      <w:r w:rsidR="00E355F2" w:rsidRPr="00282AC9">
        <w:rPr>
          <w:rFonts w:ascii="AAA GoldenLotus" w:hAnsi="AAA GoldenLotus"/>
          <w:sz w:val="27"/>
          <w:rtl/>
        </w:rPr>
        <w:t xml:space="preserve"> أن أقاتل الناس حت</w:t>
      </w:r>
      <w:r w:rsidR="008A23F5" w:rsidRPr="00282AC9">
        <w:rPr>
          <w:rFonts w:ascii="AAA GoldenLotus" w:hAnsi="AAA GoldenLotus" w:hint="cs"/>
          <w:sz w:val="27"/>
          <w:rtl/>
        </w:rPr>
        <w:t>ّ</w:t>
      </w:r>
      <w:r w:rsidR="00E355F2" w:rsidRPr="00282AC9">
        <w:rPr>
          <w:rFonts w:ascii="AAA GoldenLotus" w:hAnsi="AAA GoldenLotus"/>
          <w:sz w:val="27"/>
          <w:rtl/>
        </w:rPr>
        <w:t>ى يشهدوا أن لا إله إلا الله، وأن محمداً رسول الله، واستقبلوا قبلتنا، وأكلوا ذبيحتنا</w:t>
      </w:r>
      <w:r w:rsidR="008A23F5" w:rsidRPr="00282AC9">
        <w:rPr>
          <w:rFonts w:ascii="AAA GoldenLotus" w:hAnsi="AAA GoldenLotus" w:hint="cs"/>
          <w:sz w:val="27"/>
          <w:rtl/>
        </w:rPr>
        <w:t>،</w:t>
      </w:r>
      <w:r w:rsidR="00E355F2" w:rsidRPr="00282AC9">
        <w:rPr>
          <w:rFonts w:ascii="AAA GoldenLotus" w:hAnsi="AAA GoldenLotus"/>
          <w:sz w:val="27"/>
          <w:rtl/>
        </w:rPr>
        <w:t xml:space="preserve"> وصل</w:t>
      </w:r>
      <w:r w:rsidR="008A23F5" w:rsidRPr="00282AC9">
        <w:rPr>
          <w:rFonts w:ascii="AAA GoldenLotus" w:hAnsi="AAA GoldenLotus" w:hint="cs"/>
          <w:sz w:val="27"/>
          <w:rtl/>
        </w:rPr>
        <w:t>ّ</w:t>
      </w:r>
      <w:r w:rsidR="00E355F2" w:rsidRPr="00282AC9">
        <w:rPr>
          <w:rFonts w:ascii="AAA GoldenLotus" w:hAnsi="AAA GoldenLotus"/>
          <w:sz w:val="27"/>
          <w:rtl/>
        </w:rPr>
        <w:t>وا صلاتنا، فقد حر</w:t>
      </w:r>
      <w:r w:rsidR="008A23F5" w:rsidRPr="00282AC9">
        <w:rPr>
          <w:rFonts w:ascii="AAA GoldenLotus" w:hAnsi="AAA GoldenLotus" w:hint="cs"/>
          <w:sz w:val="27"/>
          <w:rtl/>
        </w:rPr>
        <w:t>ُ</w:t>
      </w:r>
      <w:r w:rsidR="00E355F2" w:rsidRPr="00282AC9">
        <w:rPr>
          <w:rFonts w:ascii="AAA GoldenLotus" w:hAnsi="AAA GoldenLotus"/>
          <w:sz w:val="27"/>
          <w:rtl/>
        </w:rPr>
        <w:t>م</w:t>
      </w:r>
      <w:r w:rsidR="008A23F5" w:rsidRPr="00282AC9">
        <w:rPr>
          <w:rFonts w:ascii="AAA GoldenLotus" w:hAnsi="AAA GoldenLotus" w:hint="cs"/>
          <w:sz w:val="27"/>
          <w:rtl/>
        </w:rPr>
        <w:t>َ</w:t>
      </w:r>
      <w:r w:rsidR="00E355F2" w:rsidRPr="00282AC9">
        <w:rPr>
          <w:rFonts w:ascii="AAA GoldenLotus" w:hAnsi="AAA GoldenLotus"/>
          <w:sz w:val="27"/>
          <w:rtl/>
        </w:rPr>
        <w:t>ت</w:t>
      </w:r>
      <w:r w:rsidR="008A23F5" w:rsidRPr="00282AC9">
        <w:rPr>
          <w:rFonts w:ascii="AAA GoldenLotus" w:hAnsi="AAA GoldenLotus" w:hint="cs"/>
          <w:sz w:val="27"/>
          <w:rtl/>
        </w:rPr>
        <w:t>ْ</w:t>
      </w:r>
      <w:r w:rsidR="00E355F2" w:rsidRPr="00282AC9">
        <w:rPr>
          <w:rFonts w:ascii="AAA GoldenLotus" w:hAnsi="AAA GoldenLotus"/>
          <w:sz w:val="27"/>
          <w:rtl/>
        </w:rPr>
        <w:t xml:space="preserve"> علينا دماؤهم وأموالهم إلا</w:t>
      </w:r>
      <w:r w:rsidR="008A23F5" w:rsidRPr="00282AC9">
        <w:rPr>
          <w:rFonts w:ascii="AAA GoldenLotus" w:hAnsi="AAA GoldenLotus" w:hint="cs"/>
          <w:sz w:val="27"/>
          <w:rtl/>
        </w:rPr>
        <w:t>ّ</w:t>
      </w:r>
      <w:r w:rsidR="00E355F2" w:rsidRPr="00282AC9">
        <w:rPr>
          <w:rFonts w:ascii="AAA GoldenLotus" w:hAnsi="AAA GoldenLotus"/>
          <w:sz w:val="27"/>
          <w:rtl/>
        </w:rPr>
        <w:t xml:space="preserve"> بحق</w:t>
      </w:r>
      <w:r w:rsidR="008A23F5" w:rsidRPr="00282AC9">
        <w:rPr>
          <w:rFonts w:ascii="AAA GoldenLotus" w:hAnsi="AAA GoldenLotus" w:hint="cs"/>
          <w:sz w:val="27"/>
          <w:rtl/>
        </w:rPr>
        <w:t>ِّ</w:t>
      </w:r>
      <w:r w:rsidR="00E355F2" w:rsidRPr="00282AC9">
        <w:rPr>
          <w:rFonts w:ascii="AAA GoldenLotus" w:hAnsi="AAA GoldenLotus"/>
          <w:sz w:val="27"/>
          <w:rtl/>
        </w:rPr>
        <w:t>ها، لهم ما للمسلمين</w:t>
      </w:r>
      <w:r w:rsidR="008A23F5" w:rsidRPr="00282AC9">
        <w:rPr>
          <w:rFonts w:ascii="AAA GoldenLotus" w:hAnsi="AAA GoldenLotus" w:hint="cs"/>
          <w:sz w:val="27"/>
          <w:rtl/>
        </w:rPr>
        <w:t>،</w:t>
      </w:r>
      <w:r w:rsidR="00E355F2" w:rsidRPr="00282AC9">
        <w:rPr>
          <w:rFonts w:ascii="AAA GoldenLotus" w:hAnsi="AAA GoldenLotus"/>
          <w:sz w:val="27"/>
          <w:rtl/>
        </w:rPr>
        <w:t xml:space="preserve"> وعليهم ما عليهم</w:t>
      </w:r>
      <w:r w:rsidR="008A23F5" w:rsidRPr="00282AC9">
        <w:rPr>
          <w:rFonts w:hint="eastAsia"/>
          <w:sz w:val="24"/>
          <w:szCs w:val="24"/>
          <w:rtl/>
        </w:rPr>
        <w:t>»</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67"/>
      </w:r>
      <w:r w:rsidR="00E355F2" w:rsidRPr="00282AC9">
        <w:rPr>
          <w:rFonts w:ascii="AAA GoldenLotus" w:hAnsi="AAA GoldenLotus"/>
          <w:sz w:val="27"/>
          <w:vertAlign w:val="superscript"/>
          <w:rtl/>
        </w:rPr>
        <w:t>)</w:t>
      </w:r>
      <w:r w:rsidR="00E355F2"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فالمستفاد من هذا الحديث أنه[</w:t>
      </w:r>
      <w:r w:rsidR="009A2A04" w:rsidRPr="00282AC9">
        <w:rPr>
          <w:rFonts w:ascii="AAA GoldenLotus" w:hAnsi="AAA GoldenLotus" w:cs="Mosawi"/>
          <w:sz w:val="22"/>
          <w:szCs w:val="22"/>
          <w:rtl/>
        </w:rPr>
        <w:t>|</w:t>
      </w:r>
      <w:r w:rsidRPr="00282AC9">
        <w:rPr>
          <w:rFonts w:ascii="AAA GoldenLotus" w:hAnsi="AAA GoldenLotus"/>
          <w:sz w:val="27"/>
          <w:rtl/>
        </w:rPr>
        <w:t>] مأمور</w:t>
      </w:r>
      <w:r w:rsidR="008A23F5" w:rsidRPr="00282AC9">
        <w:rPr>
          <w:rFonts w:ascii="AAA GoldenLotus" w:hAnsi="AAA GoldenLotus" w:hint="cs"/>
          <w:sz w:val="27"/>
          <w:rtl/>
        </w:rPr>
        <w:t>ٌ</w:t>
      </w:r>
      <w:r w:rsidRPr="00282AC9">
        <w:rPr>
          <w:rFonts w:ascii="AAA GoldenLotus" w:hAnsi="AAA GoldenLotus"/>
          <w:sz w:val="27"/>
          <w:rtl/>
        </w:rPr>
        <w:t xml:space="preserve"> بنشر دين الإسلام، وتعميم الأحكام على جميع الناس</w:t>
      </w:r>
      <w:r w:rsidR="008A23F5" w:rsidRPr="00282AC9">
        <w:rPr>
          <w:rFonts w:ascii="AAA GoldenLotus" w:hAnsi="AAA GoldenLotus" w:hint="cs"/>
          <w:sz w:val="27"/>
          <w:rtl/>
        </w:rPr>
        <w:t>،</w:t>
      </w:r>
      <w:r w:rsidRPr="00282AC9">
        <w:rPr>
          <w:rFonts w:ascii="AAA GoldenLotus" w:hAnsi="AAA GoldenLotus"/>
          <w:sz w:val="27"/>
          <w:rtl/>
        </w:rPr>
        <w:t xml:space="preserve"> دون فرق</w:t>
      </w:r>
      <w:r w:rsidR="008A23F5" w:rsidRPr="00282AC9">
        <w:rPr>
          <w:rFonts w:ascii="AAA GoldenLotus" w:hAnsi="AAA GoldenLotus" w:hint="cs"/>
          <w:sz w:val="27"/>
          <w:rtl/>
        </w:rPr>
        <w:t>ٍ</w:t>
      </w:r>
      <w:r w:rsidRPr="00282AC9">
        <w:rPr>
          <w:rFonts w:ascii="AAA GoldenLotus" w:hAnsi="AAA GoldenLotus"/>
          <w:sz w:val="27"/>
          <w:rtl/>
        </w:rPr>
        <w:t xml:space="preserve"> بين النساء والرجال، فتكون المرأة مشاركة</w:t>
      </w:r>
      <w:r w:rsidR="008A23F5" w:rsidRPr="00282AC9">
        <w:rPr>
          <w:rFonts w:ascii="AAA GoldenLotus" w:hAnsi="AAA GoldenLotus" w:hint="cs"/>
          <w:sz w:val="27"/>
          <w:rtl/>
        </w:rPr>
        <w:t>ً</w:t>
      </w:r>
      <w:r w:rsidRPr="00282AC9">
        <w:rPr>
          <w:rFonts w:ascii="AAA GoldenLotus" w:hAnsi="AAA GoldenLotus"/>
          <w:sz w:val="27"/>
          <w:rtl/>
        </w:rPr>
        <w:t xml:space="preserve"> للرجل في التكليف، وتلك هي حقيقة الدين وغايته.</w:t>
      </w:r>
    </w:p>
    <w:p w:rsidR="00E355F2" w:rsidRPr="00282AC9" w:rsidRDefault="008A23F5" w:rsidP="00046546">
      <w:pPr>
        <w:rPr>
          <w:rFonts w:ascii="AAA GoldenLotus" w:hAnsi="AAA GoldenLotus"/>
          <w:sz w:val="27"/>
          <w:rtl/>
        </w:rPr>
      </w:pPr>
      <w:r w:rsidRPr="00282AC9">
        <w:rPr>
          <w:rFonts w:ascii="AAA GoldenLotus" w:hAnsi="AAA GoldenLotus" w:hint="cs"/>
          <w:sz w:val="27"/>
          <w:rtl/>
        </w:rPr>
        <w:lastRenderedPageBreak/>
        <w:t>2</w:t>
      </w:r>
      <w:r w:rsidR="00E355F2" w:rsidRPr="00282AC9">
        <w:rPr>
          <w:rFonts w:ascii="AAA GoldenLotus" w:hAnsi="AAA GoldenLotus"/>
          <w:sz w:val="27"/>
          <w:rtl/>
        </w:rPr>
        <w:t>ـ ما رواه سعيد بن المرزبان</w:t>
      </w:r>
      <w:r w:rsidRPr="00282AC9">
        <w:rPr>
          <w:rFonts w:ascii="AAA GoldenLotus" w:hAnsi="AAA GoldenLotus" w:hint="cs"/>
          <w:sz w:val="27"/>
          <w:rtl/>
        </w:rPr>
        <w:t>،</w:t>
      </w:r>
      <w:r w:rsidR="00E355F2" w:rsidRPr="00282AC9">
        <w:rPr>
          <w:rFonts w:ascii="AAA GoldenLotus" w:hAnsi="AAA GoldenLotus"/>
          <w:sz w:val="27"/>
          <w:rtl/>
        </w:rPr>
        <w:t xml:space="preserve"> عن أنس بن مالك</w:t>
      </w:r>
      <w:r w:rsidRPr="00282AC9">
        <w:rPr>
          <w:rFonts w:ascii="AAA GoldenLotus" w:hAnsi="AAA GoldenLotus" w:hint="cs"/>
          <w:sz w:val="27"/>
          <w:rtl/>
        </w:rPr>
        <w:t>،</w:t>
      </w:r>
      <w:r w:rsidR="00E355F2" w:rsidRPr="00282AC9">
        <w:rPr>
          <w:rFonts w:ascii="AAA GoldenLotus" w:hAnsi="AAA GoldenLotus"/>
          <w:sz w:val="27"/>
          <w:rtl/>
        </w:rPr>
        <w:t xml:space="preserve"> عن عائشة أنها قالت: س</w:t>
      </w:r>
      <w:r w:rsidRPr="00282AC9">
        <w:rPr>
          <w:rFonts w:ascii="AAA GoldenLotus" w:hAnsi="AAA GoldenLotus" w:hint="cs"/>
          <w:sz w:val="27"/>
          <w:rtl/>
        </w:rPr>
        <w:t>ُ</w:t>
      </w:r>
      <w:r w:rsidR="00E355F2" w:rsidRPr="00282AC9">
        <w:rPr>
          <w:rFonts w:ascii="AAA GoldenLotus" w:hAnsi="AAA GoldenLotus"/>
          <w:sz w:val="27"/>
          <w:rtl/>
        </w:rPr>
        <w:t>ئل رسول الله[</w:t>
      </w:r>
      <w:r w:rsidR="009A2A04" w:rsidRPr="00282AC9">
        <w:rPr>
          <w:rFonts w:ascii="AAA GoldenLotus" w:hAnsi="AAA GoldenLotus" w:cs="Mosawi"/>
          <w:sz w:val="22"/>
          <w:szCs w:val="22"/>
          <w:rtl/>
        </w:rPr>
        <w:t>|</w:t>
      </w:r>
      <w:r w:rsidR="00E355F2" w:rsidRPr="00282AC9">
        <w:rPr>
          <w:rFonts w:ascii="AAA GoldenLotus" w:hAnsi="AAA GoldenLotus"/>
          <w:sz w:val="27"/>
          <w:rtl/>
        </w:rPr>
        <w:t>] عن الرجل يج</w:t>
      </w:r>
      <w:r w:rsidRPr="00282AC9">
        <w:rPr>
          <w:rFonts w:ascii="AAA GoldenLotus" w:hAnsi="AAA GoldenLotus" w:hint="cs"/>
          <w:sz w:val="27"/>
          <w:rtl/>
        </w:rPr>
        <w:t>ِ</w:t>
      </w:r>
      <w:r w:rsidR="00E355F2" w:rsidRPr="00282AC9">
        <w:rPr>
          <w:rFonts w:ascii="AAA GoldenLotus" w:hAnsi="AAA GoldenLotus"/>
          <w:sz w:val="27"/>
          <w:rtl/>
        </w:rPr>
        <w:t>د</w:t>
      </w:r>
      <w:r w:rsidRPr="00282AC9">
        <w:rPr>
          <w:rFonts w:ascii="AAA GoldenLotus" w:hAnsi="AAA GoldenLotus" w:hint="cs"/>
          <w:sz w:val="27"/>
          <w:rtl/>
        </w:rPr>
        <w:t>ُ</w:t>
      </w:r>
      <w:r w:rsidR="00E355F2" w:rsidRPr="00282AC9">
        <w:rPr>
          <w:rFonts w:ascii="AAA GoldenLotus" w:hAnsi="AAA GoldenLotus"/>
          <w:sz w:val="27"/>
          <w:rtl/>
        </w:rPr>
        <w:t xml:space="preserve"> الب</w:t>
      </w:r>
      <w:r w:rsidRPr="00282AC9">
        <w:rPr>
          <w:rFonts w:ascii="AAA GoldenLotus" w:hAnsi="AAA GoldenLotus" w:hint="cs"/>
          <w:sz w:val="27"/>
          <w:rtl/>
        </w:rPr>
        <w:t>َ</w:t>
      </w:r>
      <w:r w:rsidR="00E355F2" w:rsidRPr="00282AC9">
        <w:rPr>
          <w:rFonts w:ascii="AAA GoldenLotus" w:hAnsi="AAA GoldenLotus"/>
          <w:sz w:val="27"/>
          <w:rtl/>
        </w:rPr>
        <w:t>ل</w:t>
      </w:r>
      <w:r w:rsidRPr="00282AC9">
        <w:rPr>
          <w:rFonts w:ascii="AAA GoldenLotus" w:hAnsi="AAA GoldenLotus" w:hint="cs"/>
          <w:sz w:val="27"/>
          <w:rtl/>
        </w:rPr>
        <w:t>َ</w:t>
      </w:r>
      <w:r w:rsidR="00E355F2" w:rsidRPr="00282AC9">
        <w:rPr>
          <w:rFonts w:ascii="AAA GoldenLotus" w:hAnsi="AAA GoldenLotus"/>
          <w:sz w:val="27"/>
          <w:rtl/>
        </w:rPr>
        <w:t>ل</w:t>
      </w:r>
      <w:r w:rsidRPr="00282AC9">
        <w:rPr>
          <w:rFonts w:ascii="AAA GoldenLotus" w:hAnsi="AAA GoldenLotus" w:hint="cs"/>
          <w:sz w:val="27"/>
          <w:rtl/>
        </w:rPr>
        <w:t>،</w:t>
      </w:r>
      <w:r w:rsidR="00E355F2" w:rsidRPr="00282AC9">
        <w:rPr>
          <w:rFonts w:ascii="AAA GoldenLotus" w:hAnsi="AAA GoldenLotus"/>
          <w:sz w:val="27"/>
          <w:rtl/>
        </w:rPr>
        <w:t xml:space="preserve"> ولا يذكر احتلاماً؟ قال: </w:t>
      </w:r>
      <w:r w:rsidRPr="00282AC9">
        <w:rPr>
          <w:rFonts w:hint="eastAsia"/>
          <w:sz w:val="24"/>
          <w:szCs w:val="24"/>
          <w:rtl/>
        </w:rPr>
        <w:t>«</w:t>
      </w:r>
      <w:r w:rsidR="00E355F2" w:rsidRPr="00282AC9">
        <w:rPr>
          <w:rFonts w:ascii="AAA GoldenLotus" w:hAnsi="AAA GoldenLotus"/>
          <w:sz w:val="27"/>
          <w:rtl/>
        </w:rPr>
        <w:t>يغتسل</w:t>
      </w:r>
      <w:r w:rsidRPr="00282AC9">
        <w:rPr>
          <w:rFonts w:hint="eastAsia"/>
          <w:sz w:val="24"/>
          <w:szCs w:val="24"/>
          <w:rtl/>
        </w:rPr>
        <w:t>»</w:t>
      </w:r>
      <w:r w:rsidRPr="00282AC9">
        <w:rPr>
          <w:rFonts w:ascii="AAA GoldenLotus" w:hAnsi="AAA GoldenLotus" w:hint="cs"/>
          <w:sz w:val="27"/>
          <w:rtl/>
        </w:rPr>
        <w:t>؛</w:t>
      </w:r>
      <w:r w:rsidR="00E355F2" w:rsidRPr="00282AC9">
        <w:rPr>
          <w:rFonts w:ascii="AAA GoldenLotus" w:hAnsi="AAA GoldenLotus"/>
          <w:sz w:val="27"/>
          <w:rtl/>
        </w:rPr>
        <w:t xml:space="preserve"> وعن الرجل يرى أنه قد احتلم ولا يجد ب</w:t>
      </w:r>
      <w:r w:rsidRPr="00282AC9">
        <w:rPr>
          <w:rFonts w:ascii="AAA GoldenLotus" w:hAnsi="AAA GoldenLotus" w:hint="cs"/>
          <w:sz w:val="27"/>
          <w:rtl/>
        </w:rPr>
        <w:t>َ</w:t>
      </w:r>
      <w:r w:rsidR="00E355F2" w:rsidRPr="00282AC9">
        <w:rPr>
          <w:rFonts w:ascii="AAA GoldenLotus" w:hAnsi="AAA GoldenLotus"/>
          <w:sz w:val="27"/>
          <w:rtl/>
        </w:rPr>
        <w:t>ل</w:t>
      </w:r>
      <w:r w:rsidRPr="00282AC9">
        <w:rPr>
          <w:rFonts w:ascii="AAA GoldenLotus" w:hAnsi="AAA GoldenLotus" w:hint="cs"/>
          <w:sz w:val="27"/>
          <w:rtl/>
        </w:rPr>
        <w:t>َ</w:t>
      </w:r>
      <w:r w:rsidR="00E355F2" w:rsidRPr="00282AC9">
        <w:rPr>
          <w:rFonts w:ascii="AAA GoldenLotus" w:hAnsi="AAA GoldenLotus"/>
          <w:sz w:val="27"/>
          <w:rtl/>
        </w:rPr>
        <w:t xml:space="preserve">لاً؟ قال: </w:t>
      </w:r>
      <w:r w:rsidRPr="00282AC9">
        <w:rPr>
          <w:rFonts w:hint="eastAsia"/>
          <w:sz w:val="24"/>
          <w:szCs w:val="24"/>
          <w:rtl/>
        </w:rPr>
        <w:t>«</w:t>
      </w:r>
      <w:r w:rsidR="00E355F2" w:rsidRPr="00282AC9">
        <w:rPr>
          <w:rFonts w:ascii="AAA GoldenLotus" w:hAnsi="AAA GoldenLotus"/>
          <w:sz w:val="27"/>
          <w:rtl/>
        </w:rPr>
        <w:t>لا غسل عليه</w:t>
      </w:r>
      <w:r w:rsidRPr="00282AC9">
        <w:rPr>
          <w:rFonts w:hint="eastAsia"/>
          <w:sz w:val="24"/>
          <w:szCs w:val="24"/>
          <w:rtl/>
        </w:rPr>
        <w:t>»</w:t>
      </w:r>
      <w:r w:rsidR="00E355F2" w:rsidRPr="00282AC9">
        <w:rPr>
          <w:rFonts w:ascii="AAA GoldenLotus" w:hAnsi="AAA GoldenLotus"/>
          <w:sz w:val="27"/>
          <w:rtl/>
        </w:rPr>
        <w:t>، قالت أم</w:t>
      </w:r>
      <w:r w:rsidRPr="00282AC9">
        <w:rPr>
          <w:rFonts w:ascii="AAA GoldenLotus" w:hAnsi="AAA GoldenLotus" w:hint="cs"/>
          <w:sz w:val="27"/>
          <w:rtl/>
        </w:rPr>
        <w:t>ّ</w:t>
      </w:r>
      <w:r w:rsidR="00E355F2" w:rsidRPr="00282AC9">
        <w:rPr>
          <w:rFonts w:ascii="AAA GoldenLotus" w:hAnsi="AAA GoldenLotus"/>
          <w:sz w:val="27"/>
          <w:rtl/>
        </w:rPr>
        <w:t xml:space="preserve"> سليم: هل على المرأة ترى ذلك غسل</w:t>
      </w:r>
      <w:r w:rsidRPr="00282AC9">
        <w:rPr>
          <w:rFonts w:ascii="AAA GoldenLotus" w:hAnsi="AAA GoldenLotus" w:hint="cs"/>
          <w:sz w:val="27"/>
          <w:rtl/>
        </w:rPr>
        <w:t>ٌ</w:t>
      </w:r>
      <w:r w:rsidR="00E355F2" w:rsidRPr="00282AC9">
        <w:rPr>
          <w:rFonts w:ascii="AAA GoldenLotus" w:hAnsi="AAA GoldenLotus"/>
          <w:sz w:val="27"/>
          <w:rtl/>
        </w:rPr>
        <w:t xml:space="preserve">؟ قال: </w:t>
      </w:r>
      <w:r w:rsidRPr="00282AC9">
        <w:rPr>
          <w:rFonts w:hint="eastAsia"/>
          <w:sz w:val="24"/>
          <w:szCs w:val="24"/>
          <w:rtl/>
        </w:rPr>
        <w:t>«</w:t>
      </w:r>
      <w:r w:rsidR="00E355F2" w:rsidRPr="00282AC9">
        <w:rPr>
          <w:rFonts w:ascii="AAA GoldenLotus" w:hAnsi="AAA GoldenLotus"/>
          <w:sz w:val="27"/>
          <w:rtl/>
        </w:rPr>
        <w:t>نعم</w:t>
      </w:r>
      <w:r w:rsidRPr="00282AC9">
        <w:rPr>
          <w:rFonts w:ascii="AAA GoldenLotus" w:hAnsi="AAA GoldenLotus" w:hint="cs"/>
          <w:sz w:val="27"/>
          <w:rtl/>
        </w:rPr>
        <w:t xml:space="preserve">؛ </w:t>
      </w:r>
      <w:r w:rsidR="00E355F2" w:rsidRPr="00282AC9">
        <w:rPr>
          <w:rFonts w:ascii="AAA GoldenLotus" w:hAnsi="AAA GoldenLotus"/>
          <w:sz w:val="27"/>
          <w:rtl/>
        </w:rPr>
        <w:t xml:space="preserve"> إن النساء شقائق الرجال</w:t>
      </w:r>
      <w:r w:rsidRPr="00282AC9">
        <w:rPr>
          <w:rFonts w:hint="eastAsia"/>
          <w:sz w:val="24"/>
          <w:szCs w:val="24"/>
          <w:rtl/>
        </w:rPr>
        <w:t>»</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68"/>
      </w:r>
      <w:r w:rsidR="00E355F2" w:rsidRPr="00282AC9">
        <w:rPr>
          <w:rFonts w:ascii="AAA GoldenLotus" w:hAnsi="AAA GoldenLotus"/>
          <w:sz w:val="27"/>
          <w:vertAlign w:val="superscript"/>
          <w:rtl/>
        </w:rPr>
        <w:t>)</w:t>
      </w:r>
      <w:r w:rsidR="00E355F2" w:rsidRPr="00282AC9">
        <w:rPr>
          <w:rFonts w:ascii="AAA GoldenLotus" w:hAnsi="AAA GoldenLotus"/>
          <w:sz w:val="27"/>
          <w:rtl/>
        </w:rPr>
        <w:t xml:space="preserve">. </w:t>
      </w:r>
    </w:p>
    <w:p w:rsidR="00E355F2" w:rsidRPr="00282AC9" w:rsidRDefault="007E1C19" w:rsidP="00046546">
      <w:pPr>
        <w:rPr>
          <w:rFonts w:ascii="AAA GoldenLotus" w:hAnsi="AAA GoldenLotus"/>
          <w:sz w:val="27"/>
          <w:rtl/>
        </w:rPr>
      </w:pPr>
      <w:r w:rsidRPr="00282AC9">
        <w:rPr>
          <w:rFonts w:ascii="AAA GoldenLotus" w:hAnsi="AAA GoldenLotus" w:hint="cs"/>
          <w:sz w:val="27"/>
          <w:rtl/>
        </w:rPr>
        <w:t>و</w:t>
      </w:r>
      <w:r w:rsidR="00E355F2" w:rsidRPr="00282AC9">
        <w:rPr>
          <w:rFonts w:ascii="AAA GoldenLotus" w:hAnsi="AAA GoldenLotus"/>
          <w:sz w:val="27"/>
          <w:rtl/>
        </w:rPr>
        <w:t>وجه الاستدلال</w:t>
      </w:r>
      <w:r w:rsidRPr="00282AC9">
        <w:rPr>
          <w:rFonts w:ascii="AAA GoldenLotus" w:hAnsi="AAA GoldenLotus" w:hint="cs"/>
          <w:sz w:val="27"/>
          <w:rtl/>
        </w:rPr>
        <w:t>: (إ</w:t>
      </w:r>
      <w:r w:rsidR="00E355F2" w:rsidRPr="00282AC9">
        <w:rPr>
          <w:rFonts w:ascii="AAA GoldenLotus" w:hAnsi="AAA GoldenLotus"/>
          <w:sz w:val="27"/>
          <w:rtl/>
        </w:rPr>
        <w:t>ن النساء</w:t>
      </w:r>
      <w:r w:rsidR="00E355F2" w:rsidRPr="00282AC9">
        <w:rPr>
          <w:rFonts w:ascii="AAA GoldenLotus" w:hAnsi="AAA GoldenLotus" w:hint="cs"/>
          <w:sz w:val="27"/>
          <w:rtl/>
        </w:rPr>
        <w:t>)</w:t>
      </w:r>
      <w:r w:rsidR="00E355F2" w:rsidRPr="00282AC9">
        <w:rPr>
          <w:rFonts w:ascii="AAA GoldenLotus" w:hAnsi="AAA GoldenLotus"/>
          <w:sz w:val="27"/>
          <w:rtl/>
        </w:rPr>
        <w:t xml:space="preserve"> </w:t>
      </w:r>
      <w:r w:rsidRPr="00282AC9">
        <w:rPr>
          <w:rFonts w:ascii="AAA GoldenLotus" w:hAnsi="AAA GoldenLotus" w:hint="cs"/>
          <w:sz w:val="27"/>
          <w:rtl/>
        </w:rPr>
        <w:t xml:space="preserve">ـ وهو </w:t>
      </w:r>
      <w:r w:rsidR="00E355F2" w:rsidRPr="00282AC9">
        <w:rPr>
          <w:rFonts w:ascii="AAA GoldenLotus" w:hAnsi="AAA GoldenLotus"/>
          <w:sz w:val="27"/>
          <w:rtl/>
        </w:rPr>
        <w:t>استئناف</w:t>
      </w:r>
      <w:r w:rsidRPr="00282AC9">
        <w:rPr>
          <w:rFonts w:ascii="AAA GoldenLotus" w:hAnsi="AAA GoldenLotus" w:hint="cs"/>
          <w:sz w:val="27"/>
          <w:rtl/>
        </w:rPr>
        <w:t>ٌ</w:t>
      </w:r>
      <w:r w:rsidR="00E355F2" w:rsidRPr="00282AC9">
        <w:rPr>
          <w:rFonts w:ascii="AAA GoldenLotus" w:hAnsi="AAA GoldenLotus"/>
          <w:sz w:val="27"/>
          <w:rtl/>
        </w:rPr>
        <w:t xml:space="preserve"> في معنى التعليل</w:t>
      </w:r>
      <w:r w:rsidRPr="00282AC9">
        <w:rPr>
          <w:rFonts w:ascii="AAA GoldenLotus" w:hAnsi="AAA GoldenLotus" w:hint="cs"/>
          <w:sz w:val="27"/>
          <w:rtl/>
        </w:rPr>
        <w:t xml:space="preserve"> ـ</w:t>
      </w:r>
      <w:r w:rsidR="00E355F2" w:rsidRPr="00282AC9">
        <w:rPr>
          <w:rFonts w:ascii="AAA GoldenLotus" w:hAnsi="AAA GoldenLotus"/>
          <w:sz w:val="27"/>
          <w:rtl/>
        </w:rPr>
        <w:t xml:space="preserve"> </w:t>
      </w:r>
      <w:r w:rsidR="00E355F2" w:rsidRPr="00282AC9">
        <w:rPr>
          <w:rFonts w:ascii="AAA GoldenLotus" w:hAnsi="AAA GoldenLotus" w:hint="cs"/>
          <w:sz w:val="27"/>
          <w:rtl/>
        </w:rPr>
        <w:t>(</w:t>
      </w:r>
      <w:r w:rsidR="00E355F2" w:rsidRPr="00282AC9">
        <w:rPr>
          <w:rFonts w:ascii="AAA GoldenLotus" w:hAnsi="AAA GoldenLotus"/>
          <w:sz w:val="27"/>
          <w:rtl/>
        </w:rPr>
        <w:t>شقائق الرجال</w:t>
      </w:r>
      <w:r w:rsidR="00E355F2" w:rsidRPr="00282AC9">
        <w:rPr>
          <w:rFonts w:ascii="AAA GoldenLotus" w:hAnsi="AAA GoldenLotus" w:hint="cs"/>
          <w:sz w:val="27"/>
          <w:rtl/>
        </w:rPr>
        <w:t>)</w:t>
      </w:r>
      <w:r w:rsidR="00E355F2" w:rsidRPr="00282AC9">
        <w:rPr>
          <w:rFonts w:ascii="AAA GoldenLotus" w:hAnsi="AAA GoldenLotus"/>
          <w:sz w:val="27"/>
          <w:rtl/>
        </w:rPr>
        <w:t>، أي نظائرهم في الخ</w:t>
      </w:r>
      <w:r w:rsidRPr="00282AC9">
        <w:rPr>
          <w:rFonts w:ascii="AAA GoldenLotus" w:hAnsi="AAA GoldenLotus" w:hint="cs"/>
          <w:sz w:val="27"/>
          <w:rtl/>
        </w:rPr>
        <w:t>َ</w:t>
      </w:r>
      <w:r w:rsidR="00E355F2" w:rsidRPr="00282AC9">
        <w:rPr>
          <w:rFonts w:ascii="AAA GoldenLotus" w:hAnsi="AAA GoldenLotus"/>
          <w:sz w:val="27"/>
          <w:rtl/>
        </w:rPr>
        <w:t>ل</w:t>
      </w:r>
      <w:r w:rsidRPr="00282AC9">
        <w:rPr>
          <w:rFonts w:ascii="AAA GoldenLotus" w:hAnsi="AAA GoldenLotus" w:hint="cs"/>
          <w:sz w:val="27"/>
          <w:rtl/>
        </w:rPr>
        <w:t>ْ</w:t>
      </w:r>
      <w:r w:rsidR="00E355F2" w:rsidRPr="00282AC9">
        <w:rPr>
          <w:rFonts w:ascii="AAA GoldenLotus" w:hAnsi="AAA GoldenLotus"/>
          <w:sz w:val="27"/>
          <w:rtl/>
        </w:rPr>
        <w:t>ق والطبائع</w:t>
      </w:r>
      <w:r w:rsidRPr="00282AC9">
        <w:rPr>
          <w:rFonts w:ascii="AAA GoldenLotus" w:hAnsi="AAA GoldenLotus" w:hint="cs"/>
          <w:sz w:val="27"/>
          <w:rtl/>
        </w:rPr>
        <w:t>،</w:t>
      </w:r>
      <w:r w:rsidR="00E355F2" w:rsidRPr="00282AC9">
        <w:rPr>
          <w:rFonts w:ascii="AAA GoldenLotus" w:hAnsi="AAA GoldenLotus"/>
          <w:sz w:val="27"/>
          <w:rtl/>
        </w:rPr>
        <w:t xml:space="preserve"> كأنه</w:t>
      </w:r>
      <w:r w:rsidRPr="00282AC9">
        <w:rPr>
          <w:rFonts w:ascii="AAA GoldenLotus" w:hAnsi="AAA GoldenLotus" w:hint="cs"/>
          <w:sz w:val="27"/>
          <w:rtl/>
        </w:rPr>
        <w:t>ُ</w:t>
      </w:r>
      <w:r w:rsidR="00E355F2" w:rsidRPr="00282AC9">
        <w:rPr>
          <w:rFonts w:ascii="AAA GoldenLotus" w:hAnsi="AAA GoldenLotus"/>
          <w:sz w:val="27"/>
          <w:rtl/>
        </w:rPr>
        <w:t>ن</w:t>
      </w:r>
      <w:r w:rsidRPr="00282AC9">
        <w:rPr>
          <w:rFonts w:ascii="AAA GoldenLotus" w:hAnsi="AAA GoldenLotus" w:hint="cs"/>
          <w:sz w:val="27"/>
          <w:rtl/>
        </w:rPr>
        <w:t>َّ</w:t>
      </w:r>
      <w:r w:rsidR="00E355F2" w:rsidRPr="00282AC9">
        <w:rPr>
          <w:rFonts w:ascii="AAA GoldenLotus" w:hAnsi="AAA GoldenLotus"/>
          <w:sz w:val="27"/>
          <w:rtl/>
        </w:rPr>
        <w:t xml:space="preserve"> شقق</w:t>
      </w:r>
      <w:r w:rsidRPr="00282AC9">
        <w:rPr>
          <w:rFonts w:ascii="AAA GoldenLotus" w:hAnsi="AAA GoldenLotus" w:hint="cs"/>
          <w:sz w:val="27"/>
          <w:rtl/>
        </w:rPr>
        <w:t>ْ</w:t>
      </w:r>
      <w:r w:rsidR="00E355F2" w:rsidRPr="00282AC9">
        <w:rPr>
          <w:rFonts w:ascii="AAA GoldenLotus" w:hAnsi="AAA GoldenLotus"/>
          <w:sz w:val="27"/>
          <w:rtl/>
        </w:rPr>
        <w:t>ن</w:t>
      </w:r>
      <w:r w:rsidRPr="00282AC9">
        <w:rPr>
          <w:rFonts w:ascii="AAA GoldenLotus" w:hAnsi="AAA GoldenLotus" w:hint="cs"/>
          <w:sz w:val="27"/>
          <w:rtl/>
        </w:rPr>
        <w:t>َ</w:t>
      </w:r>
      <w:r w:rsidR="00E355F2" w:rsidRPr="00282AC9">
        <w:rPr>
          <w:rFonts w:ascii="AAA GoldenLotus" w:hAnsi="AAA GoldenLotus"/>
          <w:sz w:val="27"/>
          <w:rtl/>
        </w:rPr>
        <w:t xml:space="preserve"> منهم؛ فما ثبت للرجال من أحكام وتكاليف فهو ثابت</w:t>
      </w:r>
      <w:r w:rsidRPr="00282AC9">
        <w:rPr>
          <w:rFonts w:ascii="AAA GoldenLotus" w:hAnsi="AAA GoldenLotus" w:hint="cs"/>
          <w:sz w:val="27"/>
          <w:rtl/>
        </w:rPr>
        <w:t>ٌ</w:t>
      </w:r>
      <w:r w:rsidR="00E355F2" w:rsidRPr="00282AC9">
        <w:rPr>
          <w:rFonts w:ascii="AAA GoldenLotus" w:hAnsi="AAA GoldenLotus"/>
          <w:sz w:val="27"/>
          <w:rtl/>
        </w:rPr>
        <w:t xml:space="preserve"> للنساء</w:t>
      </w:r>
      <w:r w:rsidRPr="00282AC9">
        <w:rPr>
          <w:rFonts w:ascii="AAA GoldenLotus" w:hAnsi="AAA GoldenLotus" w:hint="cs"/>
          <w:sz w:val="27"/>
          <w:rtl/>
        </w:rPr>
        <w:t>،</w:t>
      </w:r>
      <w:r w:rsidR="00E355F2" w:rsidRPr="00282AC9">
        <w:rPr>
          <w:rFonts w:ascii="AAA GoldenLotus" w:hAnsi="AAA GoldenLotus"/>
          <w:sz w:val="27"/>
          <w:rtl/>
        </w:rPr>
        <w:t xml:space="preserve"> إلا</w:t>
      </w:r>
      <w:r w:rsidRPr="00282AC9">
        <w:rPr>
          <w:rFonts w:ascii="AAA GoldenLotus" w:hAnsi="AAA GoldenLotus" w:hint="cs"/>
          <w:sz w:val="27"/>
          <w:rtl/>
        </w:rPr>
        <w:t>ّ</w:t>
      </w:r>
      <w:r w:rsidR="00E355F2" w:rsidRPr="00282AC9">
        <w:rPr>
          <w:rFonts w:ascii="AAA GoldenLotus" w:hAnsi="AAA GoldenLotus"/>
          <w:sz w:val="27"/>
          <w:rtl/>
        </w:rPr>
        <w:t xml:space="preserve"> ما أخرجه النص</w:t>
      </w:r>
      <w:r w:rsidRPr="00282AC9">
        <w:rPr>
          <w:rFonts w:ascii="AAA GoldenLotus" w:hAnsi="AAA GoldenLotus" w:hint="cs"/>
          <w:sz w:val="27"/>
          <w:rtl/>
        </w:rPr>
        <w:t>ّ.</w:t>
      </w:r>
      <w:r w:rsidR="00E355F2" w:rsidRPr="00282AC9">
        <w:rPr>
          <w:rFonts w:ascii="AAA GoldenLotus" w:hAnsi="AAA GoldenLotus"/>
          <w:sz w:val="27"/>
          <w:rtl/>
        </w:rPr>
        <w:t xml:space="preserve"> وعليه يجب الغسل على المرأة برؤية الب</w:t>
      </w:r>
      <w:r w:rsidRPr="00282AC9">
        <w:rPr>
          <w:rFonts w:ascii="AAA GoldenLotus" w:hAnsi="AAA GoldenLotus" w:hint="cs"/>
          <w:sz w:val="27"/>
          <w:rtl/>
        </w:rPr>
        <w:t>َ</w:t>
      </w:r>
      <w:r w:rsidR="00E355F2" w:rsidRPr="00282AC9">
        <w:rPr>
          <w:rFonts w:ascii="AAA GoldenLotus" w:hAnsi="AAA GoldenLotus"/>
          <w:sz w:val="27"/>
          <w:rtl/>
        </w:rPr>
        <w:t>ل</w:t>
      </w:r>
      <w:r w:rsidRPr="00282AC9">
        <w:rPr>
          <w:rFonts w:ascii="AAA GoldenLotus" w:hAnsi="AAA GoldenLotus" w:hint="cs"/>
          <w:sz w:val="27"/>
          <w:rtl/>
        </w:rPr>
        <w:t>َ</w:t>
      </w:r>
      <w:r w:rsidR="00E355F2" w:rsidRPr="00282AC9">
        <w:rPr>
          <w:rFonts w:ascii="AAA GoldenLotus" w:hAnsi="AAA GoldenLotus"/>
          <w:sz w:val="27"/>
          <w:rtl/>
        </w:rPr>
        <w:t>ل بعد النوم</w:t>
      </w:r>
      <w:r w:rsidRPr="00282AC9">
        <w:rPr>
          <w:rFonts w:ascii="AAA GoldenLotus" w:hAnsi="AAA GoldenLotus" w:hint="cs"/>
          <w:sz w:val="27"/>
          <w:rtl/>
        </w:rPr>
        <w:t>،</w:t>
      </w:r>
      <w:r w:rsidR="00E355F2" w:rsidRPr="00282AC9">
        <w:rPr>
          <w:rFonts w:ascii="AAA GoldenLotus" w:hAnsi="AAA GoldenLotus"/>
          <w:sz w:val="27"/>
          <w:rtl/>
        </w:rPr>
        <w:t xml:space="preserve"> كالرجل. وهذا الاشتراك بين الرجال والنساء أشبه بإلحاق النظير بالنظير</w:t>
      </w:r>
      <w:r w:rsidR="00133927" w:rsidRPr="00282AC9">
        <w:rPr>
          <w:rFonts w:ascii="AAA GoldenLotus" w:hAnsi="AAA GoldenLotus" w:hint="cs"/>
          <w:sz w:val="27"/>
          <w:rtl/>
        </w:rPr>
        <w:t>،</w:t>
      </w:r>
      <w:r w:rsidR="00E355F2" w:rsidRPr="00282AC9">
        <w:rPr>
          <w:rFonts w:ascii="AAA GoldenLotus" w:hAnsi="AAA GoldenLotus"/>
          <w:sz w:val="27"/>
          <w:rtl/>
        </w:rPr>
        <w:t xml:space="preserve"> ومن باب أن الخطاب إذا ورد بلفظ الذكور كان خطاباً للنساء</w:t>
      </w:r>
      <w:r w:rsidR="00133927" w:rsidRPr="00282AC9">
        <w:rPr>
          <w:rFonts w:ascii="AAA GoldenLotus" w:hAnsi="AAA GoldenLotus" w:hint="cs"/>
          <w:sz w:val="27"/>
          <w:rtl/>
        </w:rPr>
        <w:t>،</w:t>
      </w:r>
      <w:r w:rsidR="00E355F2" w:rsidRPr="00282AC9">
        <w:rPr>
          <w:rFonts w:ascii="AAA GoldenLotus" w:hAnsi="AAA GoldenLotus"/>
          <w:sz w:val="27"/>
          <w:rtl/>
        </w:rPr>
        <w:t xml:space="preserve"> إلا</w:t>
      </w:r>
      <w:r w:rsidR="00133927" w:rsidRPr="00282AC9">
        <w:rPr>
          <w:rFonts w:ascii="AAA GoldenLotus" w:hAnsi="AAA GoldenLotus" w:hint="cs"/>
          <w:sz w:val="27"/>
          <w:rtl/>
        </w:rPr>
        <w:t>ّ</w:t>
      </w:r>
      <w:r w:rsidR="00E355F2" w:rsidRPr="00282AC9">
        <w:rPr>
          <w:rFonts w:ascii="AAA GoldenLotus" w:hAnsi="AAA GoldenLotus"/>
          <w:sz w:val="27"/>
          <w:rtl/>
        </w:rPr>
        <w:t xml:space="preserve"> في مواضع مخصوصة</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69"/>
      </w:r>
      <w:r w:rsidR="00E355F2" w:rsidRPr="00282AC9">
        <w:rPr>
          <w:rFonts w:ascii="AAA GoldenLotus" w:hAnsi="AAA GoldenLotus"/>
          <w:sz w:val="27"/>
          <w:vertAlign w:val="superscript"/>
          <w:rtl/>
        </w:rPr>
        <w:t>)</w:t>
      </w:r>
      <w:r w:rsidR="00E355F2"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فهذا الحديث يعتبر من الأحاديث المهم</w:t>
      </w:r>
      <w:r w:rsidR="00133927" w:rsidRPr="00282AC9">
        <w:rPr>
          <w:rFonts w:ascii="AAA GoldenLotus" w:hAnsi="AAA GoldenLotus" w:hint="cs"/>
          <w:sz w:val="27"/>
          <w:rtl/>
        </w:rPr>
        <w:t>ّ</w:t>
      </w:r>
      <w:r w:rsidRPr="00282AC9">
        <w:rPr>
          <w:rFonts w:ascii="AAA GoldenLotus" w:hAnsi="AAA GoldenLotus"/>
          <w:sz w:val="27"/>
          <w:rtl/>
        </w:rPr>
        <w:t>ة التي استدل</w:t>
      </w:r>
      <w:r w:rsidR="00133927" w:rsidRPr="00282AC9">
        <w:rPr>
          <w:rFonts w:ascii="AAA GoldenLotus" w:hAnsi="AAA GoldenLotus" w:hint="cs"/>
          <w:sz w:val="27"/>
          <w:rtl/>
        </w:rPr>
        <w:t>ّ</w:t>
      </w:r>
      <w:r w:rsidRPr="00282AC9">
        <w:rPr>
          <w:rFonts w:ascii="AAA GoldenLotus" w:hAnsi="AAA GoldenLotus"/>
          <w:sz w:val="27"/>
          <w:rtl/>
        </w:rPr>
        <w:t xml:space="preserve"> بها على اشتراك الأحكام بين الرجال والنساء؛ باعتبار أنه موج</w:t>
      </w:r>
      <w:r w:rsidR="00133927" w:rsidRPr="00282AC9">
        <w:rPr>
          <w:rFonts w:ascii="AAA GoldenLotus" w:hAnsi="AAA GoldenLotus" w:hint="cs"/>
          <w:sz w:val="27"/>
          <w:rtl/>
        </w:rPr>
        <w:t>َّ</w:t>
      </w:r>
      <w:r w:rsidRPr="00282AC9">
        <w:rPr>
          <w:rFonts w:ascii="AAA GoldenLotus" w:hAnsi="AAA GoldenLotus"/>
          <w:sz w:val="27"/>
          <w:rtl/>
        </w:rPr>
        <w:t>ه</w:t>
      </w:r>
      <w:r w:rsidR="00133927" w:rsidRPr="00282AC9">
        <w:rPr>
          <w:rFonts w:ascii="AAA GoldenLotus" w:hAnsi="AAA GoldenLotus" w:hint="cs"/>
          <w:sz w:val="27"/>
          <w:rtl/>
        </w:rPr>
        <w:t>ٌ</w:t>
      </w:r>
      <w:r w:rsidRPr="00282AC9">
        <w:rPr>
          <w:rFonts w:ascii="AAA GoldenLotus" w:hAnsi="AAA GoldenLotus"/>
          <w:sz w:val="27"/>
          <w:rtl/>
        </w:rPr>
        <w:t xml:space="preserve"> لهما معاً، ولا فرق فيه بينهما</w:t>
      </w:r>
      <w:r w:rsidR="00133927" w:rsidRPr="00282AC9">
        <w:rPr>
          <w:rFonts w:ascii="AAA GoldenLotus" w:hAnsi="AAA GoldenLotus" w:hint="cs"/>
          <w:sz w:val="27"/>
          <w:rtl/>
        </w:rPr>
        <w:t>،</w:t>
      </w:r>
      <w:r w:rsidRPr="00282AC9">
        <w:rPr>
          <w:rFonts w:ascii="AAA GoldenLotus" w:hAnsi="AAA GoldenLotus"/>
          <w:sz w:val="27"/>
          <w:rtl/>
        </w:rPr>
        <w:t xml:space="preserve"> إلا</w:t>
      </w:r>
      <w:r w:rsidR="00133927" w:rsidRPr="00282AC9">
        <w:rPr>
          <w:rFonts w:ascii="AAA GoldenLotus" w:hAnsi="AAA GoldenLotus" w:hint="cs"/>
          <w:sz w:val="27"/>
          <w:rtl/>
        </w:rPr>
        <w:t>ّ</w:t>
      </w:r>
      <w:r w:rsidRPr="00282AC9">
        <w:rPr>
          <w:rFonts w:ascii="AAA GoldenLotus" w:hAnsi="AAA GoldenLotus"/>
          <w:sz w:val="27"/>
          <w:rtl/>
        </w:rPr>
        <w:t xml:space="preserve"> في</w:t>
      </w:r>
      <w:r w:rsidR="00133927" w:rsidRPr="00282AC9">
        <w:rPr>
          <w:rFonts w:ascii="AAA GoldenLotus" w:hAnsi="AAA GoldenLotus" w:hint="cs"/>
          <w:sz w:val="27"/>
          <w:rtl/>
        </w:rPr>
        <w:t xml:space="preserve"> </w:t>
      </w:r>
      <w:r w:rsidRPr="00282AC9">
        <w:rPr>
          <w:rFonts w:ascii="AAA GoldenLotus" w:hAnsi="AAA GoldenLotus"/>
          <w:sz w:val="27"/>
          <w:rtl/>
        </w:rPr>
        <w:t>ما دل</w:t>
      </w:r>
      <w:r w:rsidR="00133927" w:rsidRPr="00282AC9">
        <w:rPr>
          <w:rFonts w:ascii="AAA GoldenLotus" w:hAnsi="AAA GoldenLotus" w:hint="cs"/>
          <w:sz w:val="27"/>
          <w:rtl/>
        </w:rPr>
        <w:t>َّ</w:t>
      </w:r>
      <w:r w:rsidRPr="00282AC9">
        <w:rPr>
          <w:rFonts w:ascii="AAA GoldenLotus" w:hAnsi="AAA GoldenLotus"/>
          <w:sz w:val="27"/>
          <w:rtl/>
        </w:rPr>
        <w:t xml:space="preserve"> دليل</w:t>
      </w:r>
      <w:r w:rsidR="00133927" w:rsidRPr="00282AC9">
        <w:rPr>
          <w:rFonts w:ascii="AAA GoldenLotus" w:hAnsi="AAA GoldenLotus" w:hint="cs"/>
          <w:sz w:val="27"/>
          <w:rtl/>
        </w:rPr>
        <w:t>ٌ</w:t>
      </w:r>
      <w:r w:rsidRPr="00282AC9">
        <w:rPr>
          <w:rFonts w:ascii="AAA GoldenLotus" w:hAnsi="AAA GoldenLotus"/>
          <w:sz w:val="27"/>
          <w:rtl/>
        </w:rPr>
        <w:t xml:space="preserve"> على تخصيصه بأحدهما</w:t>
      </w:r>
      <w:r w:rsidR="00133927" w:rsidRPr="00282AC9">
        <w:rPr>
          <w:rFonts w:ascii="AAA GoldenLotus" w:hAnsi="AAA GoldenLotus" w:hint="cs"/>
          <w:sz w:val="27"/>
          <w:rtl/>
        </w:rPr>
        <w:t>.</w:t>
      </w:r>
      <w:r w:rsidRPr="00282AC9">
        <w:rPr>
          <w:rFonts w:ascii="AAA GoldenLotus" w:hAnsi="AAA GoldenLotus"/>
          <w:sz w:val="27"/>
          <w:rtl/>
        </w:rPr>
        <w:t xml:space="preserve"> كما أن عنوان القاعدة مأخوذ</w:t>
      </w:r>
      <w:r w:rsidR="00133927" w:rsidRPr="00282AC9">
        <w:rPr>
          <w:rFonts w:ascii="AAA GoldenLotus" w:hAnsi="AAA GoldenLotus" w:hint="cs"/>
          <w:sz w:val="27"/>
          <w:rtl/>
        </w:rPr>
        <w:t>ٌ</w:t>
      </w:r>
      <w:r w:rsidRPr="00282AC9">
        <w:rPr>
          <w:rFonts w:ascii="AAA GoldenLotus" w:hAnsi="AAA GoldenLotus"/>
          <w:sz w:val="27"/>
          <w:rtl/>
        </w:rPr>
        <w:t xml:space="preserve"> منها. </w:t>
      </w:r>
    </w:p>
    <w:p w:rsidR="008573BF" w:rsidRPr="00282AC9" w:rsidRDefault="008573BF" w:rsidP="008573BF">
      <w:pPr>
        <w:spacing w:line="420" w:lineRule="exact"/>
        <w:rPr>
          <w:rtl/>
        </w:rPr>
      </w:pPr>
    </w:p>
    <w:p w:rsidR="00E355F2" w:rsidRPr="00282AC9" w:rsidRDefault="00E355F2" w:rsidP="007D08F4">
      <w:pPr>
        <w:pStyle w:val="31"/>
        <w:rPr>
          <w:color w:val="auto"/>
          <w:rtl/>
        </w:rPr>
      </w:pPr>
      <w:r w:rsidRPr="00282AC9">
        <w:rPr>
          <w:rFonts w:hint="cs"/>
          <w:color w:val="auto"/>
          <w:rtl/>
        </w:rPr>
        <w:t>2ـ</w:t>
      </w:r>
      <w:r w:rsidRPr="00282AC9">
        <w:rPr>
          <w:color w:val="auto"/>
          <w:rtl/>
        </w:rPr>
        <w:t xml:space="preserve"> الأدلة </w:t>
      </w:r>
      <w:r w:rsidRPr="00282AC9">
        <w:rPr>
          <w:rFonts w:hint="cs"/>
          <w:color w:val="auto"/>
          <w:rtl/>
        </w:rPr>
        <w:t>غير اللفظي</w:t>
      </w:r>
      <w:r w:rsidR="00133927" w:rsidRPr="00282AC9">
        <w:rPr>
          <w:rFonts w:hint="cs"/>
          <w:color w:val="auto"/>
          <w:rtl/>
        </w:rPr>
        <w:t>ّ</w:t>
      </w:r>
      <w:r w:rsidRPr="00282AC9">
        <w:rPr>
          <w:rFonts w:hint="cs"/>
          <w:color w:val="auto"/>
          <w:rtl/>
        </w:rPr>
        <w:t>ة</w:t>
      </w:r>
    </w:p>
    <w:p w:rsidR="00E355F2" w:rsidRPr="00282AC9" w:rsidRDefault="00E355F2" w:rsidP="008573BF">
      <w:pPr>
        <w:spacing w:line="410" w:lineRule="exact"/>
        <w:rPr>
          <w:rFonts w:ascii="AAA GoldenLotus" w:hAnsi="AAA GoldenLotus"/>
          <w:sz w:val="27"/>
          <w:rtl/>
        </w:rPr>
      </w:pPr>
      <w:r w:rsidRPr="00282AC9">
        <w:rPr>
          <w:rFonts w:ascii="AAA GoldenLotus" w:hAnsi="AAA GoldenLotus"/>
          <w:sz w:val="27"/>
          <w:rtl/>
        </w:rPr>
        <w:t>كما أنهم استدل</w:t>
      </w:r>
      <w:r w:rsidR="00133927" w:rsidRPr="00282AC9">
        <w:rPr>
          <w:rFonts w:ascii="AAA GoldenLotus" w:hAnsi="AAA GoldenLotus" w:hint="cs"/>
          <w:sz w:val="27"/>
          <w:rtl/>
        </w:rPr>
        <w:t>ّ</w:t>
      </w:r>
      <w:r w:rsidRPr="00282AC9">
        <w:rPr>
          <w:rFonts w:ascii="AAA GoldenLotus" w:hAnsi="AAA GoldenLotus"/>
          <w:sz w:val="27"/>
          <w:rtl/>
        </w:rPr>
        <w:t>وا على قاعدة اشتراك التكليف بين الرجل والمرأة</w:t>
      </w:r>
      <w:r w:rsidR="00133927" w:rsidRPr="00282AC9">
        <w:rPr>
          <w:rFonts w:ascii="AAA GoldenLotus" w:hAnsi="AAA GoldenLotus" w:hint="cs"/>
          <w:sz w:val="27"/>
          <w:rtl/>
        </w:rPr>
        <w:t>،</w:t>
      </w:r>
      <w:r w:rsidRPr="00282AC9">
        <w:rPr>
          <w:rFonts w:ascii="AAA GoldenLotus" w:hAnsi="AAA GoldenLotus"/>
          <w:sz w:val="27"/>
          <w:rtl/>
        </w:rPr>
        <w:t xml:space="preserve"> وعمومه لجميع المكل</w:t>
      </w:r>
      <w:r w:rsidR="00133927" w:rsidRPr="00282AC9">
        <w:rPr>
          <w:rFonts w:ascii="AAA GoldenLotus" w:hAnsi="AAA GoldenLotus" w:hint="cs"/>
          <w:sz w:val="27"/>
          <w:rtl/>
        </w:rPr>
        <w:t>َّ</w:t>
      </w:r>
      <w:r w:rsidRPr="00282AC9">
        <w:rPr>
          <w:rFonts w:ascii="AAA GoldenLotus" w:hAnsi="AAA GoldenLotus"/>
          <w:sz w:val="27"/>
          <w:rtl/>
        </w:rPr>
        <w:t>فين</w:t>
      </w:r>
      <w:r w:rsidR="00133927"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بعد</w:t>
      </w:r>
      <w:r w:rsidR="00133927" w:rsidRPr="00282AC9">
        <w:rPr>
          <w:rFonts w:ascii="AAA GoldenLotus" w:hAnsi="AAA GoldenLotus" w:hint="cs"/>
          <w:sz w:val="27"/>
          <w:rtl/>
        </w:rPr>
        <w:t>ّ</w:t>
      </w:r>
      <w:r w:rsidRPr="00282AC9">
        <w:rPr>
          <w:rFonts w:ascii="AAA GoldenLotus" w:hAnsi="AAA GoldenLotus" w:hint="cs"/>
          <w:sz w:val="27"/>
          <w:rtl/>
        </w:rPr>
        <w:t>ة أدل</w:t>
      </w:r>
      <w:r w:rsidR="00133927" w:rsidRPr="00282AC9">
        <w:rPr>
          <w:rFonts w:ascii="AAA GoldenLotus" w:hAnsi="AAA GoldenLotus" w:hint="cs"/>
          <w:sz w:val="27"/>
          <w:rtl/>
        </w:rPr>
        <w:t>ّ</w:t>
      </w:r>
      <w:r w:rsidRPr="00282AC9">
        <w:rPr>
          <w:rFonts w:ascii="AAA GoldenLotus" w:hAnsi="AAA GoldenLotus" w:hint="cs"/>
          <w:sz w:val="27"/>
          <w:rtl/>
        </w:rPr>
        <w:t>ة</w:t>
      </w:r>
      <w:r w:rsidR="00133927" w:rsidRPr="00282AC9">
        <w:rPr>
          <w:rFonts w:ascii="AAA GoldenLotus" w:hAnsi="AAA GoldenLotus" w:hint="cs"/>
          <w:sz w:val="27"/>
          <w:rtl/>
        </w:rPr>
        <w:t>ٍ</w:t>
      </w:r>
      <w:r w:rsidRPr="00282AC9">
        <w:rPr>
          <w:rFonts w:ascii="AAA GoldenLotus" w:hAnsi="AAA GoldenLotus" w:hint="cs"/>
          <w:sz w:val="27"/>
          <w:rtl/>
        </w:rPr>
        <w:t xml:space="preserve"> غير لفظية، </w:t>
      </w:r>
      <w:r w:rsidR="00133927" w:rsidRPr="00282AC9">
        <w:rPr>
          <w:rFonts w:ascii="AAA GoldenLotus" w:hAnsi="AAA GoldenLotus" w:hint="cs"/>
          <w:sz w:val="27"/>
          <w:rtl/>
        </w:rPr>
        <w:t>و</w:t>
      </w:r>
      <w:r w:rsidRPr="00282AC9">
        <w:rPr>
          <w:rFonts w:ascii="AAA GoldenLotus" w:hAnsi="AAA GoldenLotus" w:hint="cs"/>
          <w:sz w:val="27"/>
          <w:rtl/>
        </w:rPr>
        <w:t>منها</w:t>
      </w:r>
      <w:r w:rsidRPr="00282AC9">
        <w:rPr>
          <w:rFonts w:ascii="AAA GoldenLotus" w:hAnsi="AAA GoldenLotus"/>
          <w:sz w:val="27"/>
          <w:rtl/>
        </w:rPr>
        <w:t>:</w:t>
      </w:r>
    </w:p>
    <w:p w:rsidR="008573BF" w:rsidRPr="00282AC9" w:rsidRDefault="008573BF" w:rsidP="008573BF">
      <w:pPr>
        <w:spacing w:line="420" w:lineRule="exact"/>
        <w:rPr>
          <w:rtl/>
        </w:rPr>
      </w:pPr>
      <w:bookmarkStart w:id="30" w:name="_Toc30778628"/>
    </w:p>
    <w:p w:rsidR="00E355F2" w:rsidRPr="00282AC9" w:rsidRDefault="00E355F2" w:rsidP="007D08F4">
      <w:pPr>
        <w:pStyle w:val="31"/>
        <w:rPr>
          <w:color w:val="auto"/>
          <w:rtl/>
        </w:rPr>
      </w:pPr>
      <w:r w:rsidRPr="00282AC9">
        <w:rPr>
          <w:rFonts w:hint="cs"/>
          <w:color w:val="auto"/>
          <w:rtl/>
        </w:rPr>
        <w:t>أ</w:t>
      </w:r>
      <w:r w:rsidRPr="00282AC9">
        <w:rPr>
          <w:color w:val="auto"/>
          <w:rtl/>
        </w:rPr>
        <w:t>ـ الضرورة</w:t>
      </w:r>
      <w:bookmarkEnd w:id="30"/>
    </w:p>
    <w:p w:rsidR="00E355F2" w:rsidRPr="00282AC9" w:rsidRDefault="00E355F2" w:rsidP="00046546">
      <w:pPr>
        <w:rPr>
          <w:rFonts w:ascii="AAA GoldenLotus" w:hAnsi="AAA GoldenLotus"/>
          <w:sz w:val="27"/>
          <w:rtl/>
        </w:rPr>
      </w:pPr>
      <w:r w:rsidRPr="00282AC9">
        <w:rPr>
          <w:rFonts w:ascii="AAA GoldenLotus" w:hAnsi="AAA GoldenLotus"/>
          <w:sz w:val="27"/>
          <w:rtl/>
        </w:rPr>
        <w:t>لقد ع</w:t>
      </w:r>
      <w:r w:rsidR="00133927" w:rsidRPr="00282AC9">
        <w:rPr>
          <w:rFonts w:ascii="AAA GoldenLotus" w:hAnsi="AAA GoldenLotus" w:hint="cs"/>
          <w:sz w:val="27"/>
          <w:rtl/>
        </w:rPr>
        <w:t>ُ</w:t>
      </w:r>
      <w:r w:rsidRPr="00282AC9">
        <w:rPr>
          <w:rFonts w:ascii="AAA GoldenLotus" w:hAnsi="AAA GoldenLotus"/>
          <w:sz w:val="27"/>
          <w:rtl/>
        </w:rPr>
        <w:t>ل</w:t>
      </w:r>
      <w:r w:rsidR="00133927" w:rsidRPr="00282AC9">
        <w:rPr>
          <w:rFonts w:ascii="AAA GoldenLotus" w:hAnsi="AAA GoldenLotus" w:hint="cs"/>
          <w:sz w:val="27"/>
          <w:rtl/>
        </w:rPr>
        <w:t>ِ</w:t>
      </w:r>
      <w:r w:rsidRPr="00282AC9">
        <w:rPr>
          <w:rFonts w:ascii="AAA GoldenLotus" w:hAnsi="AAA GoldenLotus"/>
          <w:sz w:val="27"/>
          <w:rtl/>
        </w:rPr>
        <w:t>م</w:t>
      </w:r>
      <w:r w:rsidR="00133927" w:rsidRPr="00282AC9">
        <w:rPr>
          <w:rFonts w:ascii="AAA GoldenLotus" w:hAnsi="AAA GoldenLotus" w:hint="cs"/>
          <w:sz w:val="27"/>
          <w:rtl/>
        </w:rPr>
        <w:t>َ</w:t>
      </w:r>
      <w:r w:rsidRPr="00282AC9">
        <w:rPr>
          <w:rFonts w:ascii="AAA GoldenLotus" w:hAnsi="AAA GoldenLotus"/>
          <w:sz w:val="27"/>
          <w:rtl/>
        </w:rPr>
        <w:t xml:space="preserve"> من دين النبي</w:t>
      </w:r>
      <w:r w:rsidR="00133927" w:rsidRPr="00282AC9">
        <w:rPr>
          <w:rFonts w:ascii="AAA GoldenLotus" w:hAnsi="AAA GoldenLotus" w:hint="cs"/>
          <w:sz w:val="27"/>
          <w:rtl/>
        </w:rPr>
        <w:t>ّ</w:t>
      </w:r>
      <w:r w:rsidRPr="00282AC9">
        <w:rPr>
          <w:rFonts w:ascii="AAA GoldenLotus" w:hAnsi="AAA GoldenLotus"/>
          <w:sz w:val="27"/>
          <w:rtl/>
        </w:rPr>
        <w:t xml:space="preserve"> الكريم[</w:t>
      </w:r>
      <w:r w:rsidR="009A2A04" w:rsidRPr="00282AC9">
        <w:rPr>
          <w:rFonts w:ascii="AAA GoldenLotus" w:hAnsi="AAA GoldenLotus" w:cs="Mosawi"/>
          <w:sz w:val="22"/>
          <w:szCs w:val="22"/>
          <w:rtl/>
        </w:rPr>
        <w:t>|</w:t>
      </w:r>
      <w:r w:rsidRPr="00282AC9">
        <w:rPr>
          <w:rFonts w:ascii="AAA GoldenLotus" w:hAnsi="AAA GoldenLotus"/>
          <w:sz w:val="27"/>
          <w:rtl/>
        </w:rPr>
        <w:t>]</w:t>
      </w:r>
      <w:r w:rsidR="00133927" w:rsidRPr="00282AC9">
        <w:rPr>
          <w:rFonts w:ascii="AAA GoldenLotus" w:hAnsi="AAA GoldenLotus" w:hint="cs"/>
          <w:sz w:val="27"/>
          <w:rtl/>
        </w:rPr>
        <w:t>،</w:t>
      </w:r>
      <w:r w:rsidRPr="00282AC9">
        <w:rPr>
          <w:rFonts w:ascii="AAA GoldenLotus" w:hAnsi="AAA GoldenLotus"/>
          <w:sz w:val="27"/>
          <w:rtl/>
        </w:rPr>
        <w:t xml:space="preserve"> والشريعة السمحة التي جاء بها وأ</w:t>
      </w:r>
      <w:r w:rsidR="00133927" w:rsidRPr="00282AC9">
        <w:rPr>
          <w:rFonts w:ascii="AAA GoldenLotus" w:hAnsi="AAA GoldenLotus" w:hint="cs"/>
          <w:sz w:val="27"/>
          <w:rtl/>
        </w:rPr>
        <w:t>ُ</w:t>
      </w:r>
      <w:r w:rsidRPr="00282AC9">
        <w:rPr>
          <w:rFonts w:ascii="AAA GoldenLotus" w:hAnsi="AAA GoldenLotus"/>
          <w:sz w:val="27"/>
          <w:rtl/>
        </w:rPr>
        <w:t>مر بتبليغها</w:t>
      </w:r>
      <w:r w:rsidR="00133927" w:rsidRPr="00282AC9">
        <w:rPr>
          <w:rFonts w:ascii="AAA GoldenLotus" w:hAnsi="AAA GoldenLotus" w:hint="cs"/>
          <w:sz w:val="27"/>
          <w:rtl/>
        </w:rPr>
        <w:t>،</w:t>
      </w:r>
      <w:r w:rsidRPr="00282AC9">
        <w:rPr>
          <w:rFonts w:ascii="AAA GoldenLotus" w:hAnsi="AAA GoldenLotus"/>
          <w:sz w:val="27"/>
          <w:rtl/>
        </w:rPr>
        <w:t xml:space="preserve"> بالضرورة</w:t>
      </w:r>
      <w:r w:rsidR="00133927" w:rsidRPr="00282AC9">
        <w:rPr>
          <w:rFonts w:ascii="AAA GoldenLotus" w:hAnsi="AAA GoldenLotus" w:hint="cs"/>
          <w:sz w:val="27"/>
          <w:rtl/>
        </w:rPr>
        <w:t>،</w:t>
      </w:r>
      <w:r w:rsidRPr="00282AC9">
        <w:rPr>
          <w:rFonts w:ascii="AAA GoldenLotus" w:hAnsi="AAA GoldenLotus"/>
          <w:sz w:val="27"/>
          <w:rtl/>
        </w:rPr>
        <w:t xml:space="preserve"> أن الأحكام والتكاليف للناس كاف</w:t>
      </w:r>
      <w:r w:rsidR="00133927" w:rsidRPr="00282AC9">
        <w:rPr>
          <w:rFonts w:ascii="AAA GoldenLotus" w:hAnsi="AAA GoldenLotus" w:hint="cs"/>
          <w:sz w:val="27"/>
          <w:rtl/>
        </w:rPr>
        <w:t>ّ</w:t>
      </w:r>
      <w:r w:rsidRPr="00282AC9">
        <w:rPr>
          <w:rFonts w:ascii="AAA GoldenLotus" w:hAnsi="AAA GoldenLotus"/>
          <w:sz w:val="27"/>
          <w:rtl/>
        </w:rPr>
        <w:t>ة</w:t>
      </w:r>
      <w:r w:rsidR="00133927" w:rsidRPr="00282AC9">
        <w:rPr>
          <w:rFonts w:ascii="AAA GoldenLotus" w:hAnsi="AAA GoldenLotus" w:hint="cs"/>
          <w:sz w:val="27"/>
          <w:rtl/>
        </w:rPr>
        <w:t>،</w:t>
      </w:r>
      <w:r w:rsidRPr="00282AC9">
        <w:rPr>
          <w:rFonts w:ascii="AAA GoldenLotus" w:hAnsi="AAA GoldenLotus"/>
          <w:sz w:val="27"/>
          <w:rtl/>
        </w:rPr>
        <w:t xml:space="preserve"> ذكرهم وأنثاهم</w:t>
      </w:r>
      <w:r w:rsidR="00133927" w:rsidRPr="00282AC9">
        <w:rPr>
          <w:rFonts w:ascii="AAA GoldenLotus" w:hAnsi="AAA GoldenLotus" w:hint="cs"/>
          <w:sz w:val="27"/>
          <w:rtl/>
        </w:rPr>
        <w:t>،</w:t>
      </w:r>
      <w:r w:rsidRPr="00282AC9">
        <w:rPr>
          <w:rFonts w:ascii="AAA GoldenLotus" w:hAnsi="AAA GoldenLotus"/>
          <w:sz w:val="27"/>
          <w:rtl/>
        </w:rPr>
        <w:t xml:space="preserve"> إلى يوم القيامة</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70"/>
      </w:r>
      <w:r w:rsidRPr="00282AC9">
        <w:rPr>
          <w:rFonts w:ascii="AAA GoldenLotus" w:hAnsi="AAA GoldenLotus"/>
          <w:sz w:val="27"/>
          <w:vertAlign w:val="superscript"/>
          <w:rtl/>
        </w:rPr>
        <w:t>)</w:t>
      </w:r>
      <w:r w:rsidRPr="00282AC9">
        <w:rPr>
          <w:rFonts w:ascii="AAA GoldenLotus" w:hAnsi="AAA GoldenLotus"/>
          <w:sz w:val="27"/>
          <w:rtl/>
        </w:rPr>
        <w:t>.</w:t>
      </w:r>
    </w:p>
    <w:p w:rsidR="008573BF" w:rsidRPr="00282AC9" w:rsidRDefault="008573BF" w:rsidP="008573BF">
      <w:pPr>
        <w:spacing w:line="420" w:lineRule="exact"/>
        <w:rPr>
          <w:rtl/>
        </w:rPr>
      </w:pPr>
    </w:p>
    <w:p w:rsidR="00E355F2" w:rsidRPr="00282AC9" w:rsidRDefault="00E355F2" w:rsidP="007D08F4">
      <w:pPr>
        <w:pStyle w:val="31"/>
        <w:rPr>
          <w:color w:val="auto"/>
          <w:rtl/>
        </w:rPr>
      </w:pPr>
      <w:r w:rsidRPr="00282AC9">
        <w:rPr>
          <w:rFonts w:hint="cs"/>
          <w:color w:val="auto"/>
          <w:rtl/>
        </w:rPr>
        <w:t xml:space="preserve">ب </w:t>
      </w:r>
      <w:r w:rsidRPr="00282AC9">
        <w:rPr>
          <w:color w:val="auto"/>
          <w:rtl/>
        </w:rPr>
        <w:t>ـ الإجماع</w:t>
      </w:r>
    </w:p>
    <w:p w:rsidR="00E355F2" w:rsidRPr="00282AC9" w:rsidRDefault="00E355F2" w:rsidP="00046546">
      <w:pPr>
        <w:rPr>
          <w:rFonts w:ascii="AAA GoldenLotus" w:hAnsi="AAA GoldenLotus"/>
          <w:sz w:val="27"/>
          <w:vertAlign w:val="superscript"/>
          <w:rtl/>
        </w:rPr>
      </w:pPr>
      <w:r w:rsidRPr="00282AC9">
        <w:rPr>
          <w:rFonts w:ascii="AAA GoldenLotus" w:hAnsi="AAA GoldenLotus"/>
          <w:sz w:val="27"/>
          <w:rtl/>
        </w:rPr>
        <w:t>واستدل</w:t>
      </w:r>
      <w:r w:rsidR="00133927" w:rsidRPr="00282AC9">
        <w:rPr>
          <w:rFonts w:ascii="AAA GoldenLotus" w:hAnsi="AAA GoldenLotus" w:hint="cs"/>
          <w:sz w:val="27"/>
          <w:rtl/>
        </w:rPr>
        <w:t>ّ</w:t>
      </w:r>
      <w:r w:rsidRPr="00282AC9">
        <w:rPr>
          <w:rFonts w:ascii="AAA GoldenLotus" w:hAnsi="AAA GoldenLotus"/>
          <w:sz w:val="27"/>
          <w:rtl/>
        </w:rPr>
        <w:t xml:space="preserve"> أيضاً على قاعدة اشتراك التكليف بين الرجل والمرأة وعمومه بالإجماع</w:t>
      </w:r>
      <w:r w:rsidR="00133927" w:rsidRPr="00282AC9">
        <w:rPr>
          <w:rFonts w:ascii="AAA GoldenLotus" w:hAnsi="AAA GoldenLotus" w:hint="cs"/>
          <w:sz w:val="27"/>
          <w:rtl/>
        </w:rPr>
        <w:t>؛</w:t>
      </w:r>
      <w:r w:rsidRPr="00282AC9">
        <w:rPr>
          <w:rFonts w:ascii="AAA GoldenLotus" w:hAnsi="AAA GoldenLotus"/>
          <w:sz w:val="27"/>
          <w:rtl/>
        </w:rPr>
        <w:t xml:space="preserve"> فإنه منعق</w:t>
      </w:r>
      <w:r w:rsidR="00133927" w:rsidRPr="00282AC9">
        <w:rPr>
          <w:rFonts w:ascii="AAA GoldenLotus" w:hAnsi="AAA GoldenLotus" w:hint="cs"/>
          <w:sz w:val="27"/>
          <w:rtl/>
        </w:rPr>
        <w:t>ِ</w:t>
      </w:r>
      <w:r w:rsidRPr="00282AC9">
        <w:rPr>
          <w:rFonts w:ascii="AAA GoldenLotus" w:hAnsi="AAA GoldenLotus"/>
          <w:sz w:val="27"/>
          <w:rtl/>
        </w:rPr>
        <w:t>د</w:t>
      </w:r>
      <w:r w:rsidR="00133927" w:rsidRPr="00282AC9">
        <w:rPr>
          <w:rFonts w:ascii="AAA GoldenLotus" w:hAnsi="AAA GoldenLotus" w:hint="cs"/>
          <w:sz w:val="27"/>
          <w:rtl/>
        </w:rPr>
        <w:t>ٌ</w:t>
      </w:r>
      <w:r w:rsidRPr="00282AC9">
        <w:rPr>
          <w:rFonts w:ascii="AAA GoldenLotus" w:hAnsi="AAA GoldenLotus"/>
          <w:sz w:val="27"/>
          <w:rtl/>
        </w:rPr>
        <w:t xml:space="preserve"> على أن تكاليف الشرع عام</w:t>
      </w:r>
      <w:r w:rsidR="00133927" w:rsidRPr="00282AC9">
        <w:rPr>
          <w:rFonts w:ascii="AAA GoldenLotus" w:hAnsi="AAA GoldenLotus" w:hint="cs"/>
          <w:sz w:val="27"/>
          <w:rtl/>
        </w:rPr>
        <w:t>ّ</w:t>
      </w:r>
      <w:r w:rsidRPr="00282AC9">
        <w:rPr>
          <w:rFonts w:ascii="AAA GoldenLotus" w:hAnsi="AAA GoldenLotus"/>
          <w:sz w:val="27"/>
          <w:rtl/>
        </w:rPr>
        <w:t>ة</w:t>
      </w:r>
      <w:r w:rsidR="00133927" w:rsidRPr="00282AC9">
        <w:rPr>
          <w:rFonts w:ascii="AAA GoldenLotus" w:hAnsi="AAA GoldenLotus" w:hint="cs"/>
          <w:sz w:val="27"/>
          <w:rtl/>
        </w:rPr>
        <w:t>،</w:t>
      </w:r>
      <w:r w:rsidRPr="00282AC9">
        <w:rPr>
          <w:rFonts w:ascii="AAA GoldenLotus" w:hAnsi="AAA GoldenLotus"/>
          <w:sz w:val="27"/>
          <w:rtl/>
        </w:rPr>
        <w:t xml:space="preserve"> متناولة لجميع المكل</w:t>
      </w:r>
      <w:r w:rsidR="00133927" w:rsidRPr="00282AC9">
        <w:rPr>
          <w:rFonts w:ascii="AAA GoldenLotus" w:hAnsi="AAA GoldenLotus" w:hint="cs"/>
          <w:sz w:val="27"/>
          <w:rtl/>
        </w:rPr>
        <w:t>َّ</w:t>
      </w:r>
      <w:r w:rsidRPr="00282AC9">
        <w:rPr>
          <w:rFonts w:ascii="AAA GoldenLotus" w:hAnsi="AAA GoldenLotus"/>
          <w:sz w:val="27"/>
          <w:rtl/>
        </w:rPr>
        <w:t>فين</w:t>
      </w:r>
      <w:r w:rsidR="00133927" w:rsidRPr="00282AC9">
        <w:rPr>
          <w:rFonts w:ascii="AAA GoldenLotus" w:hAnsi="AAA GoldenLotus" w:hint="cs"/>
          <w:sz w:val="27"/>
          <w:rtl/>
        </w:rPr>
        <w:t>،</w:t>
      </w:r>
      <w:r w:rsidRPr="00282AC9">
        <w:rPr>
          <w:rFonts w:ascii="AAA GoldenLotus" w:hAnsi="AAA GoldenLotus"/>
          <w:sz w:val="27"/>
          <w:rtl/>
        </w:rPr>
        <w:t xml:space="preserve"> من </w:t>
      </w:r>
      <w:r w:rsidRPr="00282AC9">
        <w:rPr>
          <w:rFonts w:ascii="AAA GoldenLotus" w:hAnsi="AAA GoldenLotus"/>
          <w:sz w:val="27"/>
          <w:rtl/>
        </w:rPr>
        <w:lastRenderedPageBreak/>
        <w:t>الرجال والنساء</w:t>
      </w:r>
      <w:r w:rsidR="00133927" w:rsidRPr="00282AC9">
        <w:rPr>
          <w:rFonts w:ascii="AAA GoldenLotus" w:hAnsi="AAA GoldenLotus" w:hint="cs"/>
          <w:sz w:val="27"/>
          <w:rtl/>
        </w:rPr>
        <w:t xml:space="preserve">. </w:t>
      </w:r>
      <w:r w:rsidRPr="00282AC9">
        <w:rPr>
          <w:rFonts w:ascii="AAA GoldenLotus" w:hAnsi="AAA GoldenLotus"/>
          <w:sz w:val="27"/>
          <w:rtl/>
        </w:rPr>
        <w:t>ونحن مكل</w:t>
      </w:r>
      <w:r w:rsidR="00133927" w:rsidRPr="00282AC9">
        <w:rPr>
          <w:rFonts w:ascii="AAA GoldenLotus" w:hAnsi="AAA GoldenLotus" w:hint="cs"/>
          <w:sz w:val="27"/>
          <w:rtl/>
        </w:rPr>
        <w:t>َّ</w:t>
      </w:r>
      <w:r w:rsidRPr="00282AC9">
        <w:rPr>
          <w:rFonts w:ascii="AAA GoldenLotus" w:hAnsi="AAA GoldenLotus"/>
          <w:sz w:val="27"/>
          <w:rtl/>
        </w:rPr>
        <w:t>فون باعتقاد تعميمها وشمولها للجميع</w:t>
      </w:r>
      <w:r w:rsidR="00133927" w:rsidRPr="00282AC9">
        <w:rPr>
          <w:rFonts w:ascii="AAA GoldenLotus" w:hAnsi="AAA GoldenLotus" w:hint="cs"/>
          <w:sz w:val="27"/>
          <w:rtl/>
        </w:rPr>
        <w:t>،</w:t>
      </w:r>
      <w:r w:rsidRPr="00282AC9">
        <w:rPr>
          <w:rFonts w:ascii="AAA GoldenLotus" w:hAnsi="AAA GoldenLotus"/>
          <w:sz w:val="27"/>
          <w:rtl/>
        </w:rPr>
        <w:t xml:space="preserve"> من دون فرق</w:t>
      </w:r>
      <w:r w:rsidR="00133927" w:rsidRPr="00282AC9">
        <w:rPr>
          <w:rFonts w:ascii="AAA GoldenLotus" w:hAnsi="AAA GoldenLotus" w:hint="cs"/>
          <w:sz w:val="27"/>
          <w:rtl/>
        </w:rPr>
        <w:t>ٍ.</w:t>
      </w:r>
      <w:r w:rsidRPr="00282AC9">
        <w:rPr>
          <w:rFonts w:ascii="AAA GoldenLotus" w:hAnsi="AAA GoldenLotus"/>
          <w:sz w:val="27"/>
          <w:rtl/>
        </w:rPr>
        <w:t xml:space="preserve"> والحاجة</w:t>
      </w:r>
      <w:r w:rsidR="00133927" w:rsidRPr="00282AC9">
        <w:rPr>
          <w:rFonts w:ascii="AAA GoldenLotus" w:hAnsi="AAA GoldenLotus" w:hint="cs"/>
          <w:sz w:val="27"/>
          <w:rtl/>
        </w:rPr>
        <w:t>ُ</w:t>
      </w:r>
      <w:r w:rsidRPr="00282AC9">
        <w:rPr>
          <w:rFonts w:ascii="AAA GoldenLotus" w:hAnsi="AAA GoldenLotus"/>
          <w:sz w:val="27"/>
          <w:rtl/>
        </w:rPr>
        <w:t xml:space="preserve"> ماس</w:t>
      </w:r>
      <w:r w:rsidR="00133927" w:rsidRPr="00282AC9">
        <w:rPr>
          <w:rFonts w:ascii="AAA GoldenLotus" w:hAnsi="AAA GoldenLotus" w:hint="cs"/>
          <w:sz w:val="27"/>
          <w:rtl/>
        </w:rPr>
        <w:t>ّ</w:t>
      </w:r>
      <w:r w:rsidRPr="00282AC9">
        <w:rPr>
          <w:rFonts w:ascii="AAA GoldenLotus" w:hAnsi="AAA GoldenLotus"/>
          <w:sz w:val="27"/>
          <w:rtl/>
        </w:rPr>
        <w:t>ة</w:t>
      </w:r>
      <w:r w:rsidR="00133927" w:rsidRPr="00282AC9">
        <w:rPr>
          <w:rFonts w:ascii="AAA GoldenLotus" w:hAnsi="AAA GoldenLotus" w:hint="cs"/>
          <w:sz w:val="27"/>
          <w:rtl/>
        </w:rPr>
        <w:t>ٌ</w:t>
      </w:r>
      <w:r w:rsidRPr="00282AC9">
        <w:rPr>
          <w:rFonts w:ascii="AAA GoldenLotus" w:hAnsi="AAA GoldenLotus"/>
          <w:sz w:val="27"/>
          <w:rtl/>
        </w:rPr>
        <w:t xml:space="preserve"> إلى ما يدل</w:t>
      </w:r>
      <w:r w:rsidR="00133927" w:rsidRPr="00282AC9">
        <w:rPr>
          <w:rFonts w:ascii="AAA GoldenLotus" w:hAnsi="AAA GoldenLotus" w:hint="cs"/>
          <w:sz w:val="27"/>
          <w:rtl/>
        </w:rPr>
        <w:t>ّ</w:t>
      </w:r>
      <w:r w:rsidRPr="00282AC9">
        <w:rPr>
          <w:rFonts w:ascii="AAA GoldenLotus" w:hAnsi="AAA GoldenLotus"/>
          <w:sz w:val="27"/>
          <w:rtl/>
        </w:rPr>
        <w:t xml:space="preserve"> فيها بصفة التعميم، لعموم التكليف؛ لذلك فإن الصحابة والعلماء في كل</w:t>
      </w:r>
      <w:r w:rsidR="004563EE" w:rsidRPr="00282AC9">
        <w:rPr>
          <w:rFonts w:ascii="AAA GoldenLotus" w:hAnsi="AAA GoldenLotus" w:hint="cs"/>
          <w:sz w:val="27"/>
          <w:rtl/>
        </w:rPr>
        <w:t>ّ</w:t>
      </w:r>
      <w:r w:rsidRPr="00282AC9">
        <w:rPr>
          <w:rFonts w:ascii="AAA GoldenLotus" w:hAnsi="AAA GoldenLotus"/>
          <w:sz w:val="27"/>
          <w:rtl/>
        </w:rPr>
        <w:t xml:space="preserve"> عصر</w:t>
      </w:r>
      <w:r w:rsidR="004563EE" w:rsidRPr="00282AC9">
        <w:rPr>
          <w:rFonts w:ascii="AAA GoldenLotus" w:hAnsi="AAA GoldenLotus" w:hint="cs"/>
          <w:sz w:val="27"/>
          <w:rtl/>
        </w:rPr>
        <w:t>ٍ</w:t>
      </w:r>
      <w:r w:rsidRPr="00282AC9">
        <w:rPr>
          <w:rFonts w:ascii="AAA GoldenLotus" w:hAnsi="AAA GoldenLotus"/>
          <w:sz w:val="27"/>
          <w:rtl/>
        </w:rPr>
        <w:t xml:space="preserve"> يتمس</w:t>
      </w:r>
      <w:r w:rsidR="004563EE" w:rsidRPr="00282AC9">
        <w:rPr>
          <w:rFonts w:ascii="AAA GoldenLotus" w:hAnsi="AAA GoldenLotus" w:hint="cs"/>
          <w:sz w:val="27"/>
          <w:rtl/>
        </w:rPr>
        <w:t>ّ</w:t>
      </w:r>
      <w:r w:rsidRPr="00282AC9">
        <w:rPr>
          <w:rFonts w:ascii="AAA GoldenLotus" w:hAnsi="AAA GoldenLotus"/>
          <w:sz w:val="27"/>
          <w:rtl/>
        </w:rPr>
        <w:t xml:space="preserve">كون بالآيات والأخبار الواردة </w:t>
      </w:r>
      <w:r w:rsidR="004563EE" w:rsidRPr="00282AC9">
        <w:rPr>
          <w:rFonts w:hint="eastAsia"/>
          <w:sz w:val="24"/>
          <w:szCs w:val="24"/>
          <w:rtl/>
        </w:rPr>
        <w:t>«</w:t>
      </w:r>
      <w:r w:rsidRPr="00282AC9">
        <w:rPr>
          <w:rFonts w:ascii="AAA GoldenLotus" w:hAnsi="AAA GoldenLotus"/>
          <w:sz w:val="27"/>
          <w:rtl/>
        </w:rPr>
        <w:t>إليهم</w:t>
      </w:r>
      <w:r w:rsidR="004563EE" w:rsidRPr="00282AC9">
        <w:rPr>
          <w:rFonts w:hint="eastAsia"/>
          <w:sz w:val="24"/>
          <w:szCs w:val="24"/>
          <w:rtl/>
        </w:rPr>
        <w:t>»</w:t>
      </w:r>
      <w:r w:rsidRPr="00282AC9">
        <w:rPr>
          <w:rFonts w:ascii="AAA GoldenLotus" w:hAnsi="AAA GoldenLotus"/>
          <w:sz w:val="27"/>
          <w:rtl/>
        </w:rPr>
        <w:t xml:space="preserve"> شفاهاً في إثبات الأحكام على م</w:t>
      </w:r>
      <w:r w:rsidR="004563EE" w:rsidRPr="00282AC9">
        <w:rPr>
          <w:rFonts w:ascii="AAA GoldenLotus" w:hAnsi="AAA GoldenLotus" w:hint="cs"/>
          <w:sz w:val="27"/>
          <w:rtl/>
        </w:rPr>
        <w:t>َ</w:t>
      </w:r>
      <w:r w:rsidRPr="00282AC9">
        <w:rPr>
          <w:rFonts w:ascii="AAA GoldenLotus" w:hAnsi="AAA GoldenLotus"/>
          <w:sz w:val="27"/>
          <w:rtl/>
        </w:rPr>
        <w:t>ن</w:t>
      </w:r>
      <w:r w:rsidR="004563EE" w:rsidRPr="00282AC9">
        <w:rPr>
          <w:rFonts w:ascii="AAA GoldenLotus" w:hAnsi="AAA GoldenLotus" w:hint="cs"/>
          <w:sz w:val="27"/>
          <w:rtl/>
        </w:rPr>
        <w:t>ْ</w:t>
      </w:r>
      <w:r w:rsidRPr="00282AC9">
        <w:rPr>
          <w:rFonts w:ascii="AAA GoldenLotus" w:hAnsi="AAA GoldenLotus"/>
          <w:sz w:val="27"/>
          <w:rtl/>
        </w:rPr>
        <w:t xml:space="preserve"> و</w:t>
      </w:r>
      <w:r w:rsidR="004563EE" w:rsidRPr="00282AC9">
        <w:rPr>
          <w:rFonts w:ascii="AAA GoldenLotus" w:hAnsi="AAA GoldenLotus" w:hint="cs"/>
          <w:sz w:val="27"/>
          <w:rtl/>
        </w:rPr>
        <w:t>ُ</w:t>
      </w:r>
      <w:r w:rsidRPr="00282AC9">
        <w:rPr>
          <w:rFonts w:ascii="AAA GoldenLotus" w:hAnsi="AAA GoldenLotus"/>
          <w:sz w:val="27"/>
          <w:rtl/>
        </w:rPr>
        <w:t>جد في زمانهم</w:t>
      </w:r>
      <w:r w:rsidR="004563EE" w:rsidRPr="00282AC9">
        <w:rPr>
          <w:rFonts w:ascii="AAA GoldenLotus" w:hAnsi="AAA GoldenLotus" w:hint="cs"/>
          <w:sz w:val="27"/>
          <w:rtl/>
        </w:rPr>
        <w:t>،</w:t>
      </w:r>
      <w:r w:rsidRPr="00282AC9">
        <w:rPr>
          <w:rFonts w:ascii="AAA GoldenLotus" w:hAnsi="AAA GoldenLotus"/>
          <w:sz w:val="27"/>
          <w:rtl/>
        </w:rPr>
        <w:t xml:space="preserve"> رجلاً أو امرأة، وإن</w:t>
      </w:r>
      <w:r w:rsidR="004563EE" w:rsidRPr="00282AC9">
        <w:rPr>
          <w:rFonts w:ascii="AAA GoldenLotus" w:hAnsi="AAA GoldenLotus" w:hint="cs"/>
          <w:sz w:val="27"/>
          <w:rtl/>
        </w:rPr>
        <w:t>ْ</w:t>
      </w:r>
      <w:r w:rsidRPr="00282AC9">
        <w:rPr>
          <w:rFonts w:ascii="AAA GoldenLotus" w:hAnsi="AAA GoldenLotus"/>
          <w:sz w:val="27"/>
          <w:rtl/>
        </w:rPr>
        <w:t xml:space="preserve"> لم يكن موجوداً وقت نزولها</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71"/>
      </w:r>
      <w:r w:rsidRPr="00282AC9">
        <w:rPr>
          <w:rFonts w:ascii="AAA GoldenLotus" w:hAnsi="AAA GoldenLotus"/>
          <w:sz w:val="27"/>
          <w:vertAlign w:val="superscript"/>
          <w:rtl/>
        </w:rPr>
        <w:t>)</w:t>
      </w:r>
      <w:r w:rsidRPr="00282AC9">
        <w:rPr>
          <w:rFonts w:ascii="AAA GoldenLotus" w:hAnsi="AAA GoldenLotus"/>
          <w:sz w:val="27"/>
          <w:rtl/>
        </w:rPr>
        <w:t>.</w:t>
      </w:r>
    </w:p>
    <w:p w:rsidR="008573BF" w:rsidRPr="00282AC9" w:rsidRDefault="008573BF" w:rsidP="008573BF">
      <w:pPr>
        <w:spacing w:line="420" w:lineRule="exact"/>
        <w:rPr>
          <w:rtl/>
        </w:rPr>
      </w:pPr>
    </w:p>
    <w:p w:rsidR="00E355F2" w:rsidRPr="00282AC9" w:rsidRDefault="00E355F2" w:rsidP="007D08F4">
      <w:pPr>
        <w:pStyle w:val="31"/>
        <w:rPr>
          <w:color w:val="auto"/>
          <w:rtl/>
        </w:rPr>
      </w:pPr>
      <w:r w:rsidRPr="00282AC9">
        <w:rPr>
          <w:rFonts w:hint="cs"/>
          <w:color w:val="auto"/>
          <w:rtl/>
        </w:rPr>
        <w:t xml:space="preserve">ج </w:t>
      </w:r>
      <w:r w:rsidRPr="00282AC9">
        <w:rPr>
          <w:color w:val="auto"/>
          <w:rtl/>
        </w:rPr>
        <w:t>ـ حكاية الفعل من الصحابي</w:t>
      </w:r>
      <w:r w:rsidR="004563EE" w:rsidRPr="00282AC9">
        <w:rPr>
          <w:rFonts w:hint="cs"/>
          <w:color w:val="auto"/>
          <w:rtl/>
        </w:rPr>
        <w:t>ّ</w:t>
      </w:r>
      <w:r w:rsidRPr="00282AC9">
        <w:rPr>
          <w:color w:val="auto"/>
          <w:rtl/>
        </w:rPr>
        <w:t xml:space="preserve"> تقتضي العموم</w:t>
      </w:r>
    </w:p>
    <w:p w:rsidR="00E355F2" w:rsidRPr="00282AC9" w:rsidRDefault="00E355F2" w:rsidP="00046546">
      <w:pPr>
        <w:rPr>
          <w:rFonts w:ascii="AAA GoldenLotus" w:hAnsi="AAA GoldenLotus"/>
          <w:sz w:val="27"/>
          <w:vertAlign w:val="superscript"/>
          <w:rtl/>
        </w:rPr>
      </w:pPr>
      <w:r w:rsidRPr="00282AC9">
        <w:rPr>
          <w:rFonts w:ascii="AAA GoldenLotus" w:hAnsi="AAA GoldenLotus"/>
          <w:sz w:val="27"/>
          <w:rtl/>
        </w:rPr>
        <w:t>ذهب بعض الفقهاء إلى أن قول الصحابي</w:t>
      </w:r>
      <w:r w:rsidR="004563EE" w:rsidRPr="00282AC9">
        <w:rPr>
          <w:rFonts w:ascii="AAA GoldenLotus" w:hAnsi="AAA GoldenLotus" w:hint="cs"/>
          <w:sz w:val="27"/>
          <w:rtl/>
        </w:rPr>
        <w:t>ّ</w:t>
      </w:r>
      <w:r w:rsidRPr="00282AC9">
        <w:rPr>
          <w:rFonts w:ascii="AAA GoldenLotus" w:hAnsi="AAA GoldenLotus"/>
          <w:sz w:val="27"/>
          <w:rtl/>
        </w:rPr>
        <w:t xml:space="preserve">: </w:t>
      </w:r>
      <w:r w:rsidR="004563EE" w:rsidRPr="00282AC9">
        <w:rPr>
          <w:rFonts w:hint="eastAsia"/>
          <w:sz w:val="24"/>
          <w:szCs w:val="24"/>
          <w:rtl/>
        </w:rPr>
        <w:t>«</w:t>
      </w:r>
      <w:r w:rsidRPr="00282AC9">
        <w:rPr>
          <w:rFonts w:ascii="AAA GoldenLotus" w:hAnsi="AAA GoldenLotus"/>
          <w:sz w:val="27"/>
          <w:rtl/>
        </w:rPr>
        <w:t>نهى رسول الله[</w:t>
      </w:r>
      <w:r w:rsidR="009A2A04" w:rsidRPr="00282AC9">
        <w:rPr>
          <w:rFonts w:ascii="AAA GoldenLotus" w:hAnsi="AAA GoldenLotus" w:cs="Mosawi"/>
          <w:sz w:val="22"/>
          <w:szCs w:val="22"/>
          <w:rtl/>
        </w:rPr>
        <w:t>|</w:t>
      </w:r>
      <w:r w:rsidRPr="00282AC9">
        <w:rPr>
          <w:rFonts w:ascii="AAA GoldenLotus" w:hAnsi="AAA GoldenLotus"/>
          <w:sz w:val="27"/>
          <w:rtl/>
        </w:rPr>
        <w:t>] عن المزابنة</w:t>
      </w:r>
      <w:r w:rsidR="004563EE"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72"/>
      </w:r>
      <w:r w:rsidRPr="00282AC9">
        <w:rPr>
          <w:rFonts w:ascii="AAA GoldenLotus" w:hAnsi="AAA GoldenLotus"/>
          <w:sz w:val="27"/>
          <w:vertAlign w:val="superscript"/>
          <w:rtl/>
        </w:rPr>
        <w:t>)</w:t>
      </w:r>
      <w:r w:rsidR="004563EE" w:rsidRPr="00282AC9">
        <w:rPr>
          <w:rFonts w:ascii="AAA GoldenLotus" w:hAnsi="AAA GoldenLotus" w:hint="cs"/>
          <w:sz w:val="27"/>
          <w:rtl/>
        </w:rPr>
        <w:t>؛</w:t>
      </w:r>
      <w:r w:rsidRPr="00282AC9">
        <w:rPr>
          <w:rFonts w:ascii="AAA GoldenLotus" w:hAnsi="AAA GoldenLotus"/>
          <w:sz w:val="27"/>
          <w:rtl/>
        </w:rPr>
        <w:t xml:space="preserve"> و</w:t>
      </w:r>
      <w:r w:rsidR="004563EE" w:rsidRPr="00282AC9">
        <w:rPr>
          <w:rFonts w:hint="eastAsia"/>
          <w:sz w:val="24"/>
          <w:szCs w:val="24"/>
          <w:rtl/>
        </w:rPr>
        <w:t>«</w:t>
      </w:r>
      <w:r w:rsidRPr="00282AC9">
        <w:rPr>
          <w:rFonts w:ascii="AAA GoldenLotus" w:hAnsi="AAA GoldenLotus"/>
          <w:sz w:val="27"/>
          <w:rtl/>
        </w:rPr>
        <w:t>قضى بالشفعة فيما لم يقسم</w:t>
      </w:r>
      <w:r w:rsidR="004563EE" w:rsidRPr="00282AC9">
        <w:rPr>
          <w:rFonts w:ascii="AAA GoldenLotus" w:hAnsi="AAA GoldenLotus" w:hint="cs"/>
          <w:sz w:val="27"/>
          <w:rtl/>
        </w:rPr>
        <w:t>،</w:t>
      </w:r>
      <w:r w:rsidRPr="00282AC9">
        <w:rPr>
          <w:rFonts w:ascii="AAA GoldenLotus" w:hAnsi="AAA GoldenLotus"/>
          <w:sz w:val="27"/>
          <w:rtl/>
        </w:rPr>
        <w:t xml:space="preserve"> فإذا وقعت الحدود، وصرفت الطرق</w:t>
      </w:r>
      <w:r w:rsidR="004563EE" w:rsidRPr="00282AC9">
        <w:rPr>
          <w:rFonts w:ascii="AAA GoldenLotus" w:hAnsi="AAA GoldenLotus" w:hint="cs"/>
          <w:sz w:val="27"/>
          <w:rtl/>
        </w:rPr>
        <w:t>،</w:t>
      </w:r>
      <w:r w:rsidRPr="00282AC9">
        <w:rPr>
          <w:rFonts w:ascii="AAA GoldenLotus" w:hAnsi="AAA GoldenLotus"/>
          <w:sz w:val="27"/>
          <w:rtl/>
        </w:rPr>
        <w:t xml:space="preserve"> فلا شفعة</w:t>
      </w:r>
      <w:r w:rsidR="004563EE"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73"/>
      </w:r>
      <w:r w:rsidRPr="00282AC9">
        <w:rPr>
          <w:rFonts w:ascii="AAA GoldenLotus" w:hAnsi="AAA GoldenLotus"/>
          <w:sz w:val="27"/>
          <w:vertAlign w:val="superscript"/>
          <w:rtl/>
        </w:rPr>
        <w:t>)</w:t>
      </w:r>
      <w:r w:rsidRPr="00282AC9">
        <w:rPr>
          <w:rFonts w:ascii="AAA GoldenLotus" w:hAnsi="AAA GoldenLotus"/>
          <w:sz w:val="27"/>
          <w:rtl/>
        </w:rPr>
        <w:t>، يقتضي العموم، أي يصح</w:t>
      </w:r>
      <w:r w:rsidR="004563EE" w:rsidRPr="00282AC9">
        <w:rPr>
          <w:rFonts w:ascii="AAA GoldenLotus" w:hAnsi="AAA GoldenLotus" w:hint="cs"/>
          <w:sz w:val="27"/>
          <w:rtl/>
        </w:rPr>
        <w:t>ّ</w:t>
      </w:r>
      <w:r w:rsidRPr="00282AC9">
        <w:rPr>
          <w:rFonts w:ascii="AAA GoldenLotus" w:hAnsi="AAA GoldenLotus"/>
          <w:sz w:val="27"/>
          <w:rtl/>
        </w:rPr>
        <w:t xml:space="preserve"> التمس</w:t>
      </w:r>
      <w:r w:rsidR="004D365B" w:rsidRPr="00282AC9">
        <w:rPr>
          <w:rFonts w:ascii="AAA GoldenLotus" w:hAnsi="AAA GoldenLotus" w:hint="cs"/>
          <w:sz w:val="27"/>
          <w:rtl/>
        </w:rPr>
        <w:t>ُّ</w:t>
      </w:r>
      <w:r w:rsidRPr="00282AC9">
        <w:rPr>
          <w:rFonts w:ascii="AAA GoldenLotus" w:hAnsi="AAA GoldenLotus"/>
          <w:sz w:val="27"/>
          <w:rtl/>
        </w:rPr>
        <w:t>ك به في العموم في أمثال تلك القضية الم</w:t>
      </w:r>
      <w:r w:rsidR="004D365B" w:rsidRPr="00282AC9">
        <w:rPr>
          <w:rFonts w:ascii="AAA GoldenLotus" w:hAnsi="AAA GoldenLotus" w:hint="cs"/>
          <w:sz w:val="27"/>
          <w:rtl/>
        </w:rPr>
        <w:t>َ</w:t>
      </w:r>
      <w:r w:rsidRPr="00282AC9">
        <w:rPr>
          <w:rFonts w:ascii="AAA GoldenLotus" w:hAnsi="AAA GoldenLotus"/>
          <w:sz w:val="27"/>
          <w:rtl/>
        </w:rPr>
        <w:t>ح</w:t>
      </w:r>
      <w:r w:rsidR="004D365B" w:rsidRPr="00282AC9">
        <w:rPr>
          <w:rFonts w:ascii="AAA GoldenLotus" w:hAnsi="AAA GoldenLotus" w:hint="cs"/>
          <w:sz w:val="27"/>
          <w:rtl/>
        </w:rPr>
        <w:t>ْ</w:t>
      </w:r>
      <w:r w:rsidRPr="00282AC9">
        <w:rPr>
          <w:rFonts w:ascii="AAA GoldenLotus" w:hAnsi="AAA GoldenLotus"/>
          <w:sz w:val="27"/>
          <w:rtl/>
        </w:rPr>
        <w:t>ك</w:t>
      </w:r>
      <w:r w:rsidR="004D365B" w:rsidRPr="00282AC9">
        <w:rPr>
          <w:rFonts w:ascii="AAA GoldenLotus" w:hAnsi="AAA GoldenLotus" w:hint="cs"/>
          <w:sz w:val="27"/>
          <w:rtl/>
        </w:rPr>
        <w:t>ِ</w:t>
      </w:r>
      <w:r w:rsidRPr="00282AC9">
        <w:rPr>
          <w:rFonts w:ascii="AAA GoldenLotus" w:hAnsi="AAA GoldenLotus"/>
          <w:sz w:val="27"/>
          <w:rtl/>
        </w:rPr>
        <w:t>ي</w:t>
      </w:r>
      <w:r w:rsidR="004D365B" w:rsidRPr="00282AC9">
        <w:rPr>
          <w:rFonts w:ascii="AAA GoldenLotus" w:hAnsi="AAA GoldenLotus" w:hint="cs"/>
          <w:sz w:val="27"/>
          <w:rtl/>
        </w:rPr>
        <w:t>ّ</w:t>
      </w:r>
      <w:r w:rsidRPr="00282AC9">
        <w:rPr>
          <w:rFonts w:ascii="AAA GoldenLotus" w:hAnsi="AAA GoldenLotus"/>
          <w:sz w:val="27"/>
          <w:rtl/>
        </w:rPr>
        <w:t>ة، نحو</w:t>
      </w:r>
      <w:r w:rsidR="004D365B" w:rsidRPr="00282AC9">
        <w:rPr>
          <w:rFonts w:ascii="AAA GoldenLotus" w:hAnsi="AAA GoldenLotus" w:hint="cs"/>
          <w:sz w:val="27"/>
          <w:rtl/>
        </w:rPr>
        <w:t>:</w:t>
      </w:r>
      <w:r w:rsidRPr="00282AC9">
        <w:rPr>
          <w:rFonts w:ascii="AAA GoldenLotus" w:hAnsi="AAA GoldenLotus"/>
          <w:sz w:val="27"/>
          <w:rtl/>
        </w:rPr>
        <w:t xml:space="preserve"> </w:t>
      </w:r>
      <w:r w:rsidR="004D365B" w:rsidRPr="00282AC9">
        <w:rPr>
          <w:rFonts w:hint="eastAsia"/>
          <w:sz w:val="24"/>
          <w:szCs w:val="24"/>
          <w:rtl/>
        </w:rPr>
        <w:t>«</w:t>
      </w:r>
      <w:r w:rsidRPr="00282AC9">
        <w:rPr>
          <w:rFonts w:ascii="AAA GoldenLotus" w:hAnsi="AAA GoldenLotus"/>
          <w:sz w:val="27"/>
          <w:rtl/>
        </w:rPr>
        <w:t>نهى عن بيع الغ</w:t>
      </w:r>
      <w:r w:rsidR="004D365B" w:rsidRPr="00282AC9">
        <w:rPr>
          <w:rFonts w:ascii="AAA GoldenLotus" w:hAnsi="AAA GoldenLotus" w:hint="cs"/>
          <w:sz w:val="27"/>
          <w:rtl/>
        </w:rPr>
        <w:t>َ</w:t>
      </w:r>
      <w:r w:rsidRPr="00282AC9">
        <w:rPr>
          <w:rFonts w:ascii="AAA GoldenLotus" w:hAnsi="AAA GoldenLotus"/>
          <w:sz w:val="27"/>
          <w:rtl/>
        </w:rPr>
        <w:t>ر</w:t>
      </w:r>
      <w:r w:rsidR="004D365B" w:rsidRPr="00282AC9">
        <w:rPr>
          <w:rFonts w:ascii="AAA GoldenLotus" w:hAnsi="AAA GoldenLotus" w:hint="cs"/>
          <w:sz w:val="27"/>
          <w:rtl/>
        </w:rPr>
        <w:t>َ</w:t>
      </w:r>
      <w:r w:rsidRPr="00282AC9">
        <w:rPr>
          <w:rFonts w:ascii="AAA GoldenLotus" w:hAnsi="AAA GoldenLotus"/>
          <w:sz w:val="27"/>
          <w:rtl/>
        </w:rPr>
        <w:t>ر</w:t>
      </w:r>
      <w:r w:rsidR="004D365B" w:rsidRPr="00282AC9">
        <w:rPr>
          <w:rFonts w:hint="eastAsia"/>
          <w:sz w:val="24"/>
          <w:szCs w:val="24"/>
          <w:rtl/>
        </w:rPr>
        <w:t>»</w:t>
      </w:r>
      <w:r w:rsidRPr="00282AC9">
        <w:rPr>
          <w:rFonts w:ascii="AAA GoldenLotus" w:hAnsi="AAA GoldenLotus"/>
          <w:sz w:val="27"/>
          <w:rtl/>
        </w:rPr>
        <w:t>، و</w:t>
      </w:r>
      <w:r w:rsidR="004D365B" w:rsidRPr="00282AC9">
        <w:rPr>
          <w:rFonts w:hint="eastAsia"/>
          <w:sz w:val="24"/>
          <w:szCs w:val="24"/>
          <w:rtl/>
        </w:rPr>
        <w:t>«</w:t>
      </w:r>
      <w:r w:rsidRPr="00282AC9">
        <w:rPr>
          <w:rFonts w:ascii="AAA GoldenLotus" w:hAnsi="AAA GoldenLotus"/>
          <w:sz w:val="27"/>
          <w:rtl/>
        </w:rPr>
        <w:t>حكم بالشاهد واليمين</w:t>
      </w:r>
      <w:r w:rsidR="004D365B" w:rsidRPr="00282AC9">
        <w:rPr>
          <w:rFonts w:hint="eastAsia"/>
          <w:sz w:val="24"/>
          <w:szCs w:val="24"/>
          <w:rtl/>
        </w:rPr>
        <w:t>»</w:t>
      </w:r>
      <w:r w:rsidR="007812BD" w:rsidRPr="00282AC9">
        <w:rPr>
          <w:rFonts w:ascii="AAA GoldenLotus" w:hAnsi="AAA GoldenLotus" w:hint="cs"/>
          <w:sz w:val="27"/>
          <w:rtl/>
        </w:rPr>
        <w:t>.</w:t>
      </w:r>
      <w:r w:rsidRPr="00282AC9">
        <w:rPr>
          <w:rFonts w:ascii="AAA GoldenLotus" w:hAnsi="AAA GoldenLotus"/>
          <w:sz w:val="27"/>
          <w:rtl/>
        </w:rPr>
        <w:t xml:space="preserve"> وكذا لو نقلوا حكماً عاماً في واقعة</w:t>
      </w:r>
      <w:r w:rsidR="007812BD" w:rsidRPr="00282AC9">
        <w:rPr>
          <w:rFonts w:ascii="AAA GoldenLotus" w:hAnsi="AAA GoldenLotus" w:hint="cs"/>
          <w:sz w:val="27"/>
          <w:rtl/>
        </w:rPr>
        <w:t>ٍ</w:t>
      </w:r>
      <w:r w:rsidRPr="00282AC9">
        <w:rPr>
          <w:rFonts w:ascii="AAA GoldenLotus" w:hAnsi="AAA GoldenLotus"/>
          <w:sz w:val="27"/>
          <w:rtl/>
        </w:rPr>
        <w:t xml:space="preserve"> معي</w:t>
      </w:r>
      <w:r w:rsidR="007812BD" w:rsidRPr="00282AC9">
        <w:rPr>
          <w:rFonts w:ascii="AAA GoldenLotus" w:hAnsi="AAA GoldenLotus" w:hint="cs"/>
          <w:sz w:val="27"/>
          <w:rtl/>
        </w:rPr>
        <w:t>َّ</w:t>
      </w:r>
      <w:r w:rsidRPr="00282AC9">
        <w:rPr>
          <w:rFonts w:ascii="AAA GoldenLotus" w:hAnsi="AAA GoldenLotus"/>
          <w:sz w:val="27"/>
          <w:rtl/>
        </w:rPr>
        <w:t>نة من ق</w:t>
      </w:r>
      <w:r w:rsidR="007812BD" w:rsidRPr="00282AC9">
        <w:rPr>
          <w:rFonts w:ascii="AAA GoldenLotus" w:hAnsi="AAA GoldenLotus" w:hint="cs"/>
          <w:sz w:val="27"/>
          <w:rtl/>
        </w:rPr>
        <w:t>ِ</w:t>
      </w:r>
      <w:r w:rsidRPr="00282AC9">
        <w:rPr>
          <w:rFonts w:ascii="AAA GoldenLotus" w:hAnsi="AAA GoldenLotus"/>
          <w:sz w:val="27"/>
          <w:rtl/>
        </w:rPr>
        <w:t>ب</w:t>
      </w:r>
      <w:r w:rsidR="007812BD" w:rsidRPr="00282AC9">
        <w:rPr>
          <w:rFonts w:ascii="AAA GoldenLotus" w:hAnsi="AAA GoldenLotus" w:hint="cs"/>
          <w:sz w:val="27"/>
          <w:rtl/>
        </w:rPr>
        <w:t>َ</w:t>
      </w:r>
      <w:r w:rsidRPr="00282AC9">
        <w:rPr>
          <w:rFonts w:ascii="AAA GoldenLotus" w:hAnsi="AAA GoldenLotus"/>
          <w:sz w:val="27"/>
          <w:rtl/>
        </w:rPr>
        <w:t>ل سائل</w:t>
      </w:r>
      <w:r w:rsidR="007812BD" w:rsidRPr="00282AC9">
        <w:rPr>
          <w:rFonts w:ascii="AAA GoldenLotus" w:hAnsi="AAA GoldenLotus" w:hint="cs"/>
          <w:sz w:val="27"/>
          <w:rtl/>
        </w:rPr>
        <w:t>ٍ</w:t>
      </w:r>
      <w:r w:rsidRPr="00282AC9">
        <w:rPr>
          <w:rFonts w:ascii="AAA GoldenLotus" w:hAnsi="AAA GoldenLotus"/>
          <w:sz w:val="27"/>
          <w:rtl/>
        </w:rPr>
        <w:t xml:space="preserve"> معين؛ فإن نقلهم هذا يفيد العموم والشمول لكل</w:t>
      </w:r>
      <w:r w:rsidR="007812BD" w:rsidRPr="00282AC9">
        <w:rPr>
          <w:rFonts w:ascii="AAA GoldenLotus" w:hAnsi="AAA GoldenLotus" w:hint="cs"/>
          <w:sz w:val="27"/>
          <w:rtl/>
        </w:rPr>
        <w:t>ّ</w:t>
      </w:r>
      <w:r w:rsidRPr="00282AC9">
        <w:rPr>
          <w:rFonts w:ascii="AAA GoldenLotus" w:hAnsi="AAA GoldenLotus"/>
          <w:sz w:val="27"/>
          <w:rtl/>
        </w:rPr>
        <w:t xml:space="preserve"> مكل</w:t>
      </w:r>
      <w:r w:rsidR="007812BD" w:rsidRPr="00282AC9">
        <w:rPr>
          <w:rFonts w:ascii="AAA GoldenLotus" w:hAnsi="AAA GoldenLotus" w:hint="cs"/>
          <w:sz w:val="27"/>
          <w:rtl/>
        </w:rPr>
        <w:t>َّ</w:t>
      </w:r>
      <w:r w:rsidRPr="00282AC9">
        <w:rPr>
          <w:rFonts w:ascii="AAA GoldenLotus" w:hAnsi="AAA GoldenLotus"/>
          <w:sz w:val="27"/>
          <w:rtl/>
        </w:rPr>
        <w:t>ف</w:t>
      </w:r>
      <w:r w:rsidR="007812BD" w:rsidRPr="00282AC9">
        <w:rPr>
          <w:rFonts w:ascii="AAA GoldenLotus" w:hAnsi="AAA GoldenLotus" w:hint="cs"/>
          <w:sz w:val="27"/>
          <w:rtl/>
        </w:rPr>
        <w:t>ٍ،</w:t>
      </w:r>
      <w:r w:rsidRPr="00282AC9">
        <w:rPr>
          <w:rFonts w:ascii="AAA GoldenLotus" w:hAnsi="AAA GoldenLotus"/>
          <w:sz w:val="27"/>
          <w:rtl/>
        </w:rPr>
        <w:t xml:space="preserve"> من دون </w:t>
      </w:r>
      <w:r w:rsidR="007812BD" w:rsidRPr="00282AC9">
        <w:rPr>
          <w:rFonts w:ascii="AAA GoldenLotus" w:hAnsi="AAA GoldenLotus" w:hint="cs"/>
          <w:sz w:val="27"/>
          <w:rtl/>
        </w:rPr>
        <w:t xml:space="preserve">فرقٍ </w:t>
      </w:r>
      <w:r w:rsidRPr="00282AC9">
        <w:rPr>
          <w:rFonts w:ascii="AAA GoldenLotus" w:hAnsi="AAA GoldenLotus"/>
          <w:sz w:val="27"/>
          <w:rtl/>
        </w:rPr>
        <w:t>بين الرجل والمرأة، ولكل</w:t>
      </w:r>
      <w:r w:rsidR="007812BD" w:rsidRPr="00282AC9">
        <w:rPr>
          <w:rFonts w:ascii="AAA GoldenLotus" w:hAnsi="AAA GoldenLotus" w:hint="cs"/>
          <w:sz w:val="27"/>
          <w:rtl/>
        </w:rPr>
        <w:t>ّ</w:t>
      </w:r>
      <w:r w:rsidRPr="00282AC9">
        <w:rPr>
          <w:rFonts w:ascii="AAA GoldenLotus" w:hAnsi="AAA GoldenLotus"/>
          <w:sz w:val="27"/>
          <w:rtl/>
        </w:rPr>
        <w:t xml:space="preserve"> واقعة</w:t>
      </w:r>
      <w:r w:rsidR="007812BD" w:rsidRPr="00282AC9">
        <w:rPr>
          <w:rFonts w:ascii="AAA GoldenLotus" w:hAnsi="AAA GoldenLotus" w:hint="cs"/>
          <w:sz w:val="27"/>
          <w:rtl/>
        </w:rPr>
        <w:t>ٍ</w:t>
      </w:r>
      <w:r w:rsidRPr="00282AC9">
        <w:rPr>
          <w:rFonts w:ascii="AAA GoldenLotus" w:hAnsi="AAA GoldenLotus"/>
          <w:sz w:val="27"/>
          <w:rtl/>
        </w:rPr>
        <w:t xml:space="preserve"> مشابهة لتلك القضية</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74"/>
      </w:r>
      <w:r w:rsidRPr="00282AC9">
        <w:rPr>
          <w:rFonts w:ascii="AAA GoldenLotus" w:hAnsi="AAA GoldenLotus"/>
          <w:sz w:val="27"/>
          <w:vertAlign w:val="superscript"/>
          <w:rtl/>
        </w:rPr>
        <w:t>)</w:t>
      </w:r>
      <w:r w:rsidRPr="00282AC9">
        <w:rPr>
          <w:rFonts w:ascii="AAA GoldenLotus" w:hAnsi="AAA GoldenLotus"/>
          <w:sz w:val="27"/>
          <w:rtl/>
        </w:rPr>
        <w:t>.</w:t>
      </w:r>
    </w:p>
    <w:p w:rsidR="008573BF" w:rsidRPr="00282AC9" w:rsidRDefault="008573BF" w:rsidP="008573BF">
      <w:pPr>
        <w:spacing w:line="420" w:lineRule="exact"/>
        <w:rPr>
          <w:rtl/>
        </w:rPr>
      </w:pPr>
    </w:p>
    <w:p w:rsidR="00E355F2" w:rsidRPr="00282AC9" w:rsidRDefault="00E355F2" w:rsidP="007D08F4">
      <w:pPr>
        <w:pStyle w:val="31"/>
        <w:rPr>
          <w:color w:val="auto"/>
          <w:rtl/>
        </w:rPr>
      </w:pPr>
      <w:r w:rsidRPr="00282AC9">
        <w:rPr>
          <w:rFonts w:hint="cs"/>
          <w:color w:val="auto"/>
          <w:rtl/>
        </w:rPr>
        <w:t>د ـ</w:t>
      </w:r>
      <w:r w:rsidRPr="00282AC9">
        <w:rPr>
          <w:color w:val="auto"/>
          <w:rtl/>
        </w:rPr>
        <w:t xml:space="preserve"> الدليل العقلي</w:t>
      </w:r>
      <w:r w:rsidR="007812BD" w:rsidRPr="00282AC9">
        <w:rPr>
          <w:rFonts w:hint="cs"/>
          <w:color w:val="auto"/>
          <w:rtl/>
        </w:rPr>
        <w:t>ّ</w:t>
      </w:r>
      <w:r w:rsidRPr="00282AC9">
        <w:rPr>
          <w:color w:val="auto"/>
          <w:rtl/>
        </w:rPr>
        <w:t xml:space="preserve"> </w:t>
      </w:r>
    </w:p>
    <w:p w:rsidR="00E355F2" w:rsidRPr="00282AC9" w:rsidRDefault="00E355F2" w:rsidP="008573BF">
      <w:pPr>
        <w:spacing w:line="404" w:lineRule="exact"/>
        <w:rPr>
          <w:rFonts w:ascii="AAA GoldenLotus" w:hAnsi="AAA GoldenLotus"/>
          <w:sz w:val="27"/>
          <w:rtl/>
        </w:rPr>
      </w:pPr>
      <w:r w:rsidRPr="00282AC9">
        <w:rPr>
          <w:rFonts w:ascii="AAA GoldenLotus" w:hAnsi="AAA GoldenLotus"/>
          <w:sz w:val="27"/>
          <w:rtl/>
        </w:rPr>
        <w:t>استدل</w:t>
      </w:r>
      <w:r w:rsidR="007812BD" w:rsidRPr="00282AC9">
        <w:rPr>
          <w:rFonts w:ascii="AAA GoldenLotus" w:hAnsi="AAA GoldenLotus" w:hint="cs"/>
          <w:sz w:val="27"/>
          <w:rtl/>
        </w:rPr>
        <w:t>ّوا</w:t>
      </w:r>
      <w:r w:rsidRPr="00282AC9">
        <w:rPr>
          <w:rFonts w:ascii="AAA GoldenLotus" w:hAnsi="AAA GoldenLotus"/>
          <w:sz w:val="27"/>
          <w:rtl/>
        </w:rPr>
        <w:t xml:space="preserve"> على عموم الأحكام واشتراكها بين جميع المكل</w:t>
      </w:r>
      <w:r w:rsidR="007812BD" w:rsidRPr="00282AC9">
        <w:rPr>
          <w:rFonts w:ascii="AAA GoldenLotus" w:hAnsi="AAA GoldenLotus" w:hint="cs"/>
          <w:sz w:val="27"/>
          <w:rtl/>
        </w:rPr>
        <w:t>َّ</w:t>
      </w:r>
      <w:r w:rsidRPr="00282AC9">
        <w:rPr>
          <w:rFonts w:ascii="AAA GoldenLotus" w:hAnsi="AAA GoldenLotus"/>
          <w:sz w:val="27"/>
          <w:rtl/>
        </w:rPr>
        <w:t>فين</w:t>
      </w:r>
      <w:r w:rsidR="007812BD" w:rsidRPr="00282AC9">
        <w:rPr>
          <w:rFonts w:ascii="AAA GoldenLotus" w:hAnsi="AAA GoldenLotus" w:hint="cs"/>
          <w:sz w:val="27"/>
          <w:rtl/>
        </w:rPr>
        <w:t>،</w:t>
      </w:r>
      <w:r w:rsidRPr="00282AC9">
        <w:rPr>
          <w:rFonts w:ascii="AAA GoldenLotus" w:hAnsi="AAA GoldenLotus"/>
          <w:sz w:val="27"/>
          <w:rtl/>
        </w:rPr>
        <w:t xml:space="preserve"> من الرجال والنساء</w:t>
      </w:r>
      <w:r w:rsidR="007812BD" w:rsidRPr="00282AC9">
        <w:rPr>
          <w:rFonts w:ascii="AAA GoldenLotus" w:hAnsi="AAA GoldenLotus" w:hint="cs"/>
          <w:sz w:val="27"/>
          <w:rtl/>
        </w:rPr>
        <w:t>،</w:t>
      </w:r>
      <w:r w:rsidRPr="00282AC9">
        <w:rPr>
          <w:rFonts w:ascii="AAA GoldenLotus" w:hAnsi="AAA GoldenLotus"/>
          <w:sz w:val="27"/>
          <w:rtl/>
        </w:rPr>
        <w:t xml:space="preserve"> بدليل</w:t>
      </w:r>
      <w:r w:rsidR="007812BD" w:rsidRPr="00282AC9">
        <w:rPr>
          <w:rFonts w:ascii="AAA GoldenLotus" w:hAnsi="AAA GoldenLotus" w:hint="cs"/>
          <w:sz w:val="27"/>
          <w:rtl/>
        </w:rPr>
        <w:t>ٍ</w:t>
      </w:r>
      <w:r w:rsidRPr="00282AC9">
        <w:rPr>
          <w:rFonts w:ascii="AAA GoldenLotus" w:hAnsi="AAA GoldenLotus"/>
          <w:sz w:val="27"/>
          <w:rtl/>
        </w:rPr>
        <w:t xml:space="preserve"> عقلي</w:t>
      </w:r>
      <w:r w:rsidR="007812BD" w:rsidRPr="00282AC9">
        <w:rPr>
          <w:rFonts w:ascii="AAA GoldenLotus" w:hAnsi="AAA GoldenLotus" w:hint="cs"/>
          <w:sz w:val="27"/>
          <w:rtl/>
        </w:rPr>
        <w:t>ّ،</w:t>
      </w:r>
      <w:r w:rsidRPr="00282AC9">
        <w:rPr>
          <w:rFonts w:ascii="AAA GoldenLotus" w:hAnsi="AAA GoldenLotus"/>
          <w:sz w:val="27"/>
          <w:rtl/>
        </w:rPr>
        <w:t xml:space="preserve"> مفاد</w:t>
      </w:r>
      <w:r w:rsidR="007812BD" w:rsidRPr="00282AC9">
        <w:rPr>
          <w:rFonts w:ascii="AAA GoldenLotus" w:hAnsi="AAA GoldenLotus" w:hint="cs"/>
          <w:sz w:val="27"/>
          <w:rtl/>
        </w:rPr>
        <w:t>ُ</w:t>
      </w:r>
      <w:r w:rsidRPr="00282AC9">
        <w:rPr>
          <w:rFonts w:ascii="AAA GoldenLotus" w:hAnsi="AAA GoldenLotus"/>
          <w:sz w:val="27"/>
          <w:rtl/>
        </w:rPr>
        <w:t xml:space="preserve">ه: </w:t>
      </w:r>
      <w:r w:rsidR="007812BD" w:rsidRPr="00282AC9">
        <w:rPr>
          <w:rFonts w:ascii="AAA GoldenLotus" w:hAnsi="AAA GoldenLotus" w:hint="cs"/>
          <w:sz w:val="27"/>
          <w:rtl/>
        </w:rPr>
        <w:t>إ</w:t>
      </w:r>
      <w:r w:rsidRPr="00282AC9">
        <w:rPr>
          <w:rFonts w:ascii="AAA GoldenLotus" w:hAnsi="AAA GoldenLotus"/>
          <w:sz w:val="27"/>
          <w:rtl/>
        </w:rPr>
        <w:t>ن النبي</w:t>
      </w:r>
      <w:r w:rsidR="007812BD" w:rsidRPr="00282AC9">
        <w:rPr>
          <w:rFonts w:ascii="AAA GoldenLotus" w:hAnsi="AAA GoldenLotus" w:hint="cs"/>
          <w:sz w:val="27"/>
          <w:rtl/>
        </w:rPr>
        <w:t>ّ</w:t>
      </w:r>
      <w:r w:rsidRPr="00282AC9">
        <w:rPr>
          <w:rFonts w:ascii="AAA GoldenLotus" w:hAnsi="AAA GoldenLotus"/>
          <w:sz w:val="27"/>
          <w:rtl/>
        </w:rPr>
        <w:t>[</w:t>
      </w:r>
      <w:r w:rsidR="009A2A04" w:rsidRPr="00282AC9">
        <w:rPr>
          <w:rFonts w:ascii="AAA GoldenLotus" w:hAnsi="AAA GoldenLotus" w:cs="Mosawi"/>
          <w:sz w:val="22"/>
          <w:szCs w:val="22"/>
          <w:rtl/>
        </w:rPr>
        <w:t>|</w:t>
      </w:r>
      <w:r w:rsidRPr="00282AC9">
        <w:rPr>
          <w:rFonts w:ascii="AAA GoldenLotus" w:hAnsi="AAA GoldenLotus"/>
          <w:sz w:val="27"/>
          <w:rtl/>
        </w:rPr>
        <w:t>] كان إذا أراد التخصيص ببعض الأم</w:t>
      </w:r>
      <w:r w:rsidR="007812BD" w:rsidRPr="00282AC9">
        <w:rPr>
          <w:rFonts w:ascii="AAA GoldenLotus" w:hAnsi="AAA GoldenLotus" w:hint="cs"/>
          <w:sz w:val="27"/>
          <w:rtl/>
        </w:rPr>
        <w:t>ّ</w:t>
      </w:r>
      <w:r w:rsidRPr="00282AC9">
        <w:rPr>
          <w:rFonts w:ascii="AAA GoldenLotus" w:hAnsi="AAA GoldenLotus"/>
          <w:sz w:val="27"/>
          <w:rtl/>
        </w:rPr>
        <w:t>ة</w:t>
      </w:r>
      <w:r w:rsidR="007812BD" w:rsidRPr="00282AC9">
        <w:rPr>
          <w:rFonts w:ascii="AAA GoldenLotus" w:hAnsi="AAA GoldenLotus" w:hint="cs"/>
          <w:sz w:val="27"/>
          <w:rtl/>
        </w:rPr>
        <w:t>،</w:t>
      </w:r>
      <w:r w:rsidRPr="00282AC9">
        <w:rPr>
          <w:rFonts w:ascii="AAA GoldenLotus" w:hAnsi="AAA GoldenLotus"/>
          <w:sz w:val="27"/>
          <w:rtl/>
        </w:rPr>
        <w:t xml:space="preserve"> أو بالرجال دون النساء</w:t>
      </w:r>
      <w:r w:rsidR="007812BD" w:rsidRPr="00282AC9">
        <w:rPr>
          <w:rFonts w:ascii="AAA GoldenLotus" w:hAnsi="AAA GoldenLotus" w:hint="cs"/>
          <w:sz w:val="27"/>
          <w:rtl/>
        </w:rPr>
        <w:t>،</w:t>
      </w:r>
      <w:r w:rsidRPr="00282AC9">
        <w:rPr>
          <w:rFonts w:ascii="AAA GoldenLotus" w:hAnsi="AAA GoldenLotus"/>
          <w:sz w:val="27"/>
          <w:rtl/>
        </w:rPr>
        <w:t xml:space="preserve"> ن</w:t>
      </w:r>
      <w:r w:rsidR="007812BD" w:rsidRPr="00282AC9">
        <w:rPr>
          <w:rFonts w:ascii="AAA GoldenLotus" w:hAnsi="AAA GoldenLotus" w:hint="cs"/>
          <w:sz w:val="27"/>
          <w:rtl/>
        </w:rPr>
        <w:t>َ</w:t>
      </w:r>
      <w:r w:rsidRPr="00282AC9">
        <w:rPr>
          <w:rFonts w:ascii="AAA GoldenLotus" w:hAnsi="AAA GoldenLotus"/>
          <w:sz w:val="27"/>
          <w:rtl/>
        </w:rPr>
        <w:t>صّ</w:t>
      </w:r>
      <w:r w:rsidR="007812BD" w:rsidRPr="00282AC9">
        <w:rPr>
          <w:rFonts w:ascii="AAA GoldenLotus" w:hAnsi="AAA GoldenLotus" w:hint="cs"/>
          <w:sz w:val="27"/>
          <w:rtl/>
        </w:rPr>
        <w:t>َ</w:t>
      </w:r>
      <w:r w:rsidRPr="00282AC9">
        <w:rPr>
          <w:rFonts w:ascii="AAA GoldenLotus" w:hAnsi="AAA GoldenLotus"/>
          <w:sz w:val="27"/>
          <w:rtl/>
        </w:rPr>
        <w:t xml:space="preserve"> عليه</w:t>
      </w:r>
      <w:r w:rsidR="007812BD" w:rsidRPr="00282AC9">
        <w:rPr>
          <w:rFonts w:ascii="AAA GoldenLotus" w:hAnsi="AAA GoldenLotus" w:hint="cs"/>
          <w:sz w:val="27"/>
          <w:rtl/>
        </w:rPr>
        <w:t>.</w:t>
      </w:r>
      <w:r w:rsidRPr="00282AC9">
        <w:rPr>
          <w:rFonts w:ascii="AAA GoldenLotus" w:hAnsi="AAA GoldenLotus"/>
          <w:sz w:val="27"/>
          <w:rtl/>
        </w:rPr>
        <w:t xml:space="preserve"> ولولا أن الخطاب المطلق العام</w:t>
      </w:r>
      <w:r w:rsidR="007812BD" w:rsidRPr="00282AC9">
        <w:rPr>
          <w:rFonts w:ascii="AAA GoldenLotus" w:hAnsi="AAA GoldenLotus" w:hint="cs"/>
          <w:sz w:val="27"/>
          <w:rtl/>
        </w:rPr>
        <w:t>ّ</w:t>
      </w:r>
      <w:r w:rsidRPr="00282AC9">
        <w:rPr>
          <w:rFonts w:ascii="AAA GoldenLotus" w:hAnsi="AAA GoldenLotus"/>
          <w:sz w:val="27"/>
          <w:rtl/>
        </w:rPr>
        <w:t xml:space="preserve"> يكون خطاباً للكل</w:t>
      </w:r>
      <w:r w:rsidR="007812BD" w:rsidRPr="00282AC9">
        <w:rPr>
          <w:rFonts w:ascii="AAA GoldenLotus" w:hAnsi="AAA GoldenLotus" w:hint="cs"/>
          <w:sz w:val="27"/>
          <w:rtl/>
        </w:rPr>
        <w:t>ّ</w:t>
      </w:r>
      <w:r w:rsidRPr="00282AC9">
        <w:rPr>
          <w:rFonts w:ascii="AAA GoldenLotus" w:hAnsi="AAA GoldenLotus"/>
          <w:sz w:val="27"/>
          <w:rtl/>
        </w:rPr>
        <w:t xml:space="preserve"> لما احتاج إلى التخصيص؛ إذ التخصيص فرع</w:t>
      </w:r>
      <w:r w:rsidR="007812BD" w:rsidRPr="00282AC9">
        <w:rPr>
          <w:rFonts w:ascii="AAA GoldenLotus" w:hAnsi="AAA GoldenLotus" w:hint="cs"/>
          <w:sz w:val="27"/>
          <w:rtl/>
        </w:rPr>
        <w:t>ُ</w:t>
      </w:r>
      <w:r w:rsidRPr="00282AC9">
        <w:rPr>
          <w:rFonts w:ascii="AAA GoldenLotus" w:hAnsi="AAA GoldenLotus"/>
          <w:sz w:val="27"/>
          <w:rtl/>
        </w:rPr>
        <w:t xml:space="preserve"> كون الخطاب عام</w:t>
      </w:r>
      <w:r w:rsidR="007812BD" w:rsidRPr="00282AC9">
        <w:rPr>
          <w:rFonts w:ascii="AAA GoldenLotus" w:hAnsi="AAA GoldenLotus" w:hint="cs"/>
          <w:sz w:val="27"/>
          <w:rtl/>
        </w:rPr>
        <w:t>ّ</w:t>
      </w:r>
      <w:r w:rsidRPr="00282AC9">
        <w:rPr>
          <w:rFonts w:ascii="AAA GoldenLotus" w:hAnsi="AAA GoldenLotus"/>
          <w:sz w:val="27"/>
          <w:rtl/>
        </w:rPr>
        <w:t>اً لجميع المكل</w:t>
      </w:r>
      <w:r w:rsidR="007812BD" w:rsidRPr="00282AC9">
        <w:rPr>
          <w:rFonts w:ascii="AAA GoldenLotus" w:hAnsi="AAA GoldenLotus" w:hint="cs"/>
          <w:sz w:val="27"/>
          <w:rtl/>
        </w:rPr>
        <w:t>َّ</w:t>
      </w:r>
      <w:r w:rsidRPr="00282AC9">
        <w:rPr>
          <w:rFonts w:ascii="AAA GoldenLotus" w:hAnsi="AAA GoldenLotus"/>
          <w:sz w:val="27"/>
          <w:rtl/>
        </w:rPr>
        <w:t>فين</w:t>
      </w:r>
      <w:r w:rsidR="007812BD" w:rsidRPr="00282AC9">
        <w:rPr>
          <w:rFonts w:ascii="AAA GoldenLotus" w:hAnsi="AAA GoldenLotus" w:hint="cs"/>
          <w:sz w:val="27"/>
          <w:rtl/>
        </w:rPr>
        <w:t>.</w:t>
      </w:r>
      <w:r w:rsidRPr="00282AC9">
        <w:rPr>
          <w:rFonts w:ascii="AAA GoldenLotus" w:hAnsi="AAA GoldenLotus"/>
          <w:sz w:val="27"/>
          <w:rtl/>
        </w:rPr>
        <w:t xml:space="preserve"> وبما أن التخصيص هو المحتاج إلى دليل</w:t>
      </w:r>
      <w:r w:rsidR="007812BD" w:rsidRPr="00282AC9">
        <w:rPr>
          <w:rFonts w:ascii="AAA GoldenLotus" w:hAnsi="AAA GoldenLotus" w:hint="cs"/>
          <w:sz w:val="27"/>
          <w:rtl/>
        </w:rPr>
        <w:t>ٍ</w:t>
      </w:r>
      <w:r w:rsidRPr="00282AC9">
        <w:rPr>
          <w:rFonts w:ascii="AAA GoldenLotus" w:hAnsi="AAA GoldenLotus"/>
          <w:sz w:val="27"/>
          <w:rtl/>
        </w:rPr>
        <w:t>، إذن، فالأصل في الخطاب العموم</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75"/>
      </w:r>
      <w:r w:rsidRPr="00282AC9">
        <w:rPr>
          <w:rFonts w:ascii="AAA GoldenLotus" w:hAnsi="AAA GoldenLotus"/>
          <w:sz w:val="27"/>
          <w:vertAlign w:val="superscript"/>
          <w:rtl/>
        </w:rPr>
        <w:t>)</w:t>
      </w:r>
      <w:r w:rsidRPr="00282AC9">
        <w:rPr>
          <w:rFonts w:ascii="AAA GoldenLotus" w:hAnsi="AAA GoldenLotus"/>
          <w:sz w:val="27"/>
          <w:rtl/>
        </w:rPr>
        <w:t xml:space="preserve">. وعليه، فالدليل العقلي يقتضي اشتراك الأحكام والتكاليف بين الرجال والنساء. </w:t>
      </w:r>
    </w:p>
    <w:p w:rsidR="008573BF" w:rsidRPr="00282AC9" w:rsidRDefault="008573BF" w:rsidP="008573BF">
      <w:pPr>
        <w:spacing w:line="420" w:lineRule="exact"/>
        <w:rPr>
          <w:rtl/>
        </w:rPr>
      </w:pPr>
    </w:p>
    <w:p w:rsidR="00E355F2" w:rsidRPr="00282AC9" w:rsidRDefault="00862840" w:rsidP="00862840">
      <w:pPr>
        <w:pStyle w:val="31"/>
        <w:rPr>
          <w:color w:val="auto"/>
          <w:rtl/>
        </w:rPr>
      </w:pPr>
      <w:r w:rsidRPr="00282AC9">
        <w:rPr>
          <w:rFonts w:hint="cs"/>
          <w:color w:val="auto"/>
          <w:rtl/>
        </w:rPr>
        <w:t xml:space="preserve">4ـ </w:t>
      </w:r>
      <w:r w:rsidR="00E355F2" w:rsidRPr="00282AC9">
        <w:rPr>
          <w:color w:val="auto"/>
          <w:rtl/>
        </w:rPr>
        <w:t>الأصل الأو</w:t>
      </w:r>
      <w:r w:rsidR="007812BD" w:rsidRPr="00282AC9">
        <w:rPr>
          <w:rFonts w:hint="cs"/>
          <w:color w:val="auto"/>
          <w:rtl/>
        </w:rPr>
        <w:t>َّ</w:t>
      </w:r>
      <w:r w:rsidR="00E355F2" w:rsidRPr="00282AC9">
        <w:rPr>
          <w:color w:val="auto"/>
          <w:rtl/>
        </w:rPr>
        <w:t>لي عند الشك</w:t>
      </w:r>
      <w:r w:rsidR="007812BD" w:rsidRPr="00282AC9">
        <w:rPr>
          <w:rFonts w:hint="cs"/>
          <w:color w:val="auto"/>
          <w:rtl/>
        </w:rPr>
        <w:t>ّ</w:t>
      </w:r>
      <w:r w:rsidR="00E355F2" w:rsidRPr="00282AC9">
        <w:rPr>
          <w:color w:val="auto"/>
          <w:rtl/>
        </w:rPr>
        <w:t xml:space="preserve"> في </w:t>
      </w:r>
      <w:r w:rsidRPr="00282AC9">
        <w:rPr>
          <w:rFonts w:hint="cs"/>
          <w:color w:val="auto"/>
          <w:rtl/>
        </w:rPr>
        <w:t>ال</w:t>
      </w:r>
      <w:r w:rsidR="00E355F2" w:rsidRPr="00282AC9">
        <w:rPr>
          <w:color w:val="auto"/>
          <w:rtl/>
        </w:rPr>
        <w:t xml:space="preserve">اشتراك </w:t>
      </w:r>
    </w:p>
    <w:p w:rsidR="00E355F2" w:rsidRPr="00282AC9" w:rsidRDefault="00E355F2" w:rsidP="00046546">
      <w:pPr>
        <w:rPr>
          <w:rFonts w:ascii="AAA GoldenLotus" w:hAnsi="AAA GoldenLotus"/>
          <w:sz w:val="27"/>
          <w:rtl/>
        </w:rPr>
      </w:pPr>
      <w:r w:rsidRPr="00282AC9">
        <w:rPr>
          <w:rFonts w:ascii="AAA GoldenLotus" w:hAnsi="AAA GoldenLotus"/>
          <w:sz w:val="27"/>
          <w:rtl/>
        </w:rPr>
        <w:t>من خلال ما تقد</w:t>
      </w:r>
      <w:r w:rsidR="003C16EA" w:rsidRPr="00282AC9">
        <w:rPr>
          <w:rFonts w:ascii="AAA GoldenLotus" w:hAnsi="AAA GoldenLotus" w:hint="cs"/>
          <w:sz w:val="27"/>
          <w:rtl/>
        </w:rPr>
        <w:t>َّ</w:t>
      </w:r>
      <w:r w:rsidRPr="00282AC9">
        <w:rPr>
          <w:rFonts w:ascii="AAA GoldenLotus" w:hAnsi="AAA GoldenLotus"/>
          <w:sz w:val="27"/>
          <w:rtl/>
        </w:rPr>
        <w:t>م</w:t>
      </w:r>
      <w:r w:rsidR="003C16EA" w:rsidRPr="00282AC9">
        <w:rPr>
          <w:rFonts w:ascii="AAA GoldenLotus" w:hAnsi="AAA GoldenLotus" w:hint="cs"/>
          <w:sz w:val="27"/>
          <w:rtl/>
        </w:rPr>
        <w:t>،</w:t>
      </w:r>
      <w:r w:rsidRPr="00282AC9">
        <w:rPr>
          <w:rFonts w:ascii="AAA GoldenLotus" w:hAnsi="AAA GoldenLotus"/>
          <w:sz w:val="27"/>
          <w:rtl/>
        </w:rPr>
        <w:t xml:space="preserve"> من بيان الأدل</w:t>
      </w:r>
      <w:r w:rsidR="003C16EA" w:rsidRPr="00282AC9">
        <w:rPr>
          <w:rFonts w:ascii="AAA GoldenLotus" w:hAnsi="AAA GoldenLotus" w:hint="cs"/>
          <w:sz w:val="27"/>
          <w:rtl/>
        </w:rPr>
        <w:t>ّ</w:t>
      </w:r>
      <w:r w:rsidRPr="00282AC9">
        <w:rPr>
          <w:rFonts w:ascii="AAA GoldenLotus" w:hAnsi="AAA GoldenLotus"/>
          <w:sz w:val="27"/>
          <w:rtl/>
        </w:rPr>
        <w:t>ة والمستندات التي ساقها فقهاء المذاهب ال</w:t>
      </w:r>
      <w:r w:rsidR="003C16EA" w:rsidRPr="00282AC9">
        <w:rPr>
          <w:rFonts w:ascii="AAA GoldenLotus" w:hAnsi="AAA GoldenLotus" w:hint="cs"/>
          <w:sz w:val="27"/>
          <w:rtl/>
        </w:rPr>
        <w:t>إ</w:t>
      </w:r>
      <w:r w:rsidRPr="00282AC9">
        <w:rPr>
          <w:rFonts w:ascii="AAA GoldenLotus" w:hAnsi="AAA GoldenLotus"/>
          <w:sz w:val="27"/>
          <w:rtl/>
        </w:rPr>
        <w:t>سلامي</w:t>
      </w:r>
      <w:r w:rsidR="003C16EA" w:rsidRPr="00282AC9">
        <w:rPr>
          <w:rFonts w:ascii="AAA GoldenLotus" w:hAnsi="AAA GoldenLotus" w:hint="cs"/>
          <w:sz w:val="27"/>
          <w:rtl/>
        </w:rPr>
        <w:t>ّ</w:t>
      </w:r>
      <w:r w:rsidRPr="00282AC9">
        <w:rPr>
          <w:rFonts w:ascii="AAA GoldenLotus" w:hAnsi="AAA GoldenLotus"/>
          <w:sz w:val="27"/>
          <w:rtl/>
        </w:rPr>
        <w:t>ة</w:t>
      </w:r>
      <w:r w:rsidR="003C16EA" w:rsidRPr="00282AC9">
        <w:rPr>
          <w:rFonts w:ascii="AAA GoldenLotus" w:hAnsi="AAA GoldenLotus" w:hint="cs"/>
          <w:sz w:val="27"/>
          <w:rtl/>
        </w:rPr>
        <w:t>،</w:t>
      </w:r>
      <w:r w:rsidRPr="00282AC9">
        <w:rPr>
          <w:rFonts w:ascii="AAA GoldenLotus" w:hAnsi="AAA GoldenLotus"/>
          <w:sz w:val="27"/>
          <w:rtl/>
        </w:rPr>
        <w:t xml:space="preserve"> والتي يثبت من خلالها أنّ الأحكام الشرعية مشتركة</w:t>
      </w:r>
      <w:r w:rsidR="003C16EA" w:rsidRPr="00282AC9">
        <w:rPr>
          <w:rFonts w:ascii="AAA GoldenLotus" w:hAnsi="AAA GoldenLotus" w:hint="cs"/>
          <w:sz w:val="27"/>
          <w:rtl/>
        </w:rPr>
        <w:t>ٌ</w:t>
      </w:r>
      <w:r w:rsidRPr="00282AC9">
        <w:rPr>
          <w:rFonts w:ascii="AAA GoldenLotus" w:hAnsi="AAA GoldenLotus"/>
          <w:sz w:val="27"/>
          <w:rtl/>
        </w:rPr>
        <w:t xml:space="preserve"> بين الرجال والنساء</w:t>
      </w:r>
      <w:r w:rsidR="003C16EA" w:rsidRPr="00282AC9">
        <w:rPr>
          <w:rFonts w:ascii="AAA GoldenLotus" w:hAnsi="AAA GoldenLotus" w:hint="cs"/>
          <w:sz w:val="27"/>
          <w:rtl/>
        </w:rPr>
        <w:t>،</w:t>
      </w:r>
      <w:r w:rsidRPr="00282AC9">
        <w:rPr>
          <w:rFonts w:ascii="AAA GoldenLotus" w:hAnsi="AAA GoldenLotus"/>
          <w:sz w:val="27"/>
          <w:rtl/>
        </w:rPr>
        <w:t xml:space="preserve"> من دون فرق</w:t>
      </w:r>
      <w:r w:rsidR="003C16EA" w:rsidRPr="00282AC9">
        <w:rPr>
          <w:rFonts w:ascii="AAA GoldenLotus" w:hAnsi="AAA GoldenLotus" w:hint="cs"/>
          <w:sz w:val="27"/>
          <w:rtl/>
        </w:rPr>
        <w:t>ٍ</w:t>
      </w:r>
      <w:r w:rsidRPr="00282AC9">
        <w:rPr>
          <w:rFonts w:ascii="AAA GoldenLotus" w:hAnsi="AAA GoldenLotus"/>
          <w:sz w:val="27"/>
          <w:rtl/>
        </w:rPr>
        <w:t xml:space="preserve"> في طبيعة هذا التكليف</w:t>
      </w:r>
      <w:r w:rsidR="003C16EA" w:rsidRPr="00282AC9">
        <w:rPr>
          <w:rFonts w:ascii="AAA GoldenLotus" w:hAnsi="AAA GoldenLotus" w:hint="cs"/>
          <w:sz w:val="27"/>
          <w:rtl/>
        </w:rPr>
        <w:t>،</w:t>
      </w:r>
      <w:r w:rsidRPr="00282AC9">
        <w:rPr>
          <w:rFonts w:ascii="AAA GoldenLotus" w:hAnsi="AAA GoldenLotus"/>
          <w:sz w:val="27"/>
          <w:rtl/>
        </w:rPr>
        <w:t xml:space="preserve"> ما لم يدل</w:t>
      </w:r>
      <w:r w:rsidR="003C16EA" w:rsidRPr="00282AC9">
        <w:rPr>
          <w:rFonts w:ascii="AAA GoldenLotus" w:hAnsi="AAA GoldenLotus" w:hint="cs"/>
          <w:sz w:val="27"/>
          <w:rtl/>
        </w:rPr>
        <w:t>ّ</w:t>
      </w:r>
      <w:r w:rsidRPr="00282AC9">
        <w:rPr>
          <w:rFonts w:ascii="AAA GoldenLotus" w:hAnsi="AAA GoldenLotus"/>
          <w:sz w:val="27"/>
          <w:rtl/>
        </w:rPr>
        <w:t xml:space="preserve"> دليل</w:t>
      </w:r>
      <w:r w:rsidR="003C16EA" w:rsidRPr="00282AC9">
        <w:rPr>
          <w:rFonts w:ascii="AAA GoldenLotus" w:hAnsi="AAA GoldenLotus" w:hint="cs"/>
          <w:sz w:val="27"/>
          <w:rtl/>
        </w:rPr>
        <w:t>ٌ</w:t>
      </w:r>
      <w:r w:rsidRPr="00282AC9">
        <w:rPr>
          <w:rFonts w:ascii="AAA GoldenLotus" w:hAnsi="AAA GoldenLotus"/>
          <w:sz w:val="27"/>
          <w:rtl/>
        </w:rPr>
        <w:t xml:space="preserve"> على اختصاصها </w:t>
      </w:r>
      <w:r w:rsidRPr="00282AC9">
        <w:rPr>
          <w:rFonts w:ascii="AAA GoldenLotus" w:hAnsi="AAA GoldenLotus"/>
          <w:sz w:val="27"/>
          <w:rtl/>
        </w:rPr>
        <w:lastRenderedPageBreak/>
        <w:t>ببعض</w:t>
      </w:r>
      <w:r w:rsidR="003C16EA" w:rsidRPr="00282AC9">
        <w:rPr>
          <w:rFonts w:ascii="AAA GoldenLotus" w:hAnsi="AAA GoldenLotus" w:hint="cs"/>
          <w:sz w:val="27"/>
          <w:rtl/>
        </w:rPr>
        <w:t>ٍ</w:t>
      </w:r>
      <w:r w:rsidRPr="00282AC9">
        <w:rPr>
          <w:rFonts w:ascii="AAA GoldenLotus" w:hAnsi="AAA GoldenLotus"/>
          <w:sz w:val="27"/>
          <w:rtl/>
        </w:rPr>
        <w:t xml:space="preserve"> دون بعض</w:t>
      </w:r>
      <w:r w:rsidR="003C16EA" w:rsidRPr="00282AC9">
        <w:rPr>
          <w:rFonts w:ascii="AAA GoldenLotus" w:hAnsi="AAA GoldenLotus" w:hint="cs"/>
          <w:sz w:val="27"/>
          <w:rtl/>
        </w:rPr>
        <w:t>ٍ</w:t>
      </w:r>
      <w:r w:rsidRPr="00282AC9">
        <w:rPr>
          <w:rFonts w:ascii="AAA GoldenLotus" w:hAnsi="AAA GoldenLotus"/>
          <w:sz w:val="27"/>
          <w:rtl/>
        </w:rPr>
        <w:t>، يت</w:t>
      </w:r>
      <w:r w:rsidR="003C16EA" w:rsidRPr="00282AC9">
        <w:rPr>
          <w:rFonts w:ascii="AAA GoldenLotus" w:hAnsi="AAA GoldenLotus" w:hint="cs"/>
          <w:sz w:val="27"/>
          <w:rtl/>
        </w:rPr>
        <w:t>ّ</w:t>
      </w:r>
      <w:r w:rsidRPr="00282AC9">
        <w:rPr>
          <w:rFonts w:ascii="AAA GoldenLotus" w:hAnsi="AAA GoldenLotus"/>
          <w:sz w:val="27"/>
          <w:rtl/>
        </w:rPr>
        <w:t>ضح أنّ الأصل في التكاليف الشرعية هو اشتراك الرجال والنساء فيها</w:t>
      </w:r>
      <w:r w:rsidR="003C16EA" w:rsidRPr="00282AC9">
        <w:rPr>
          <w:rFonts w:ascii="AAA GoldenLotus" w:hAnsi="AAA GoldenLotus" w:hint="cs"/>
          <w:sz w:val="27"/>
          <w:rtl/>
        </w:rPr>
        <w:t>.</w:t>
      </w:r>
      <w:r w:rsidRPr="00282AC9">
        <w:rPr>
          <w:rFonts w:ascii="AAA GoldenLotus" w:hAnsi="AAA GoldenLotus"/>
          <w:sz w:val="27"/>
          <w:rtl/>
        </w:rPr>
        <w:t xml:space="preserve"> وهذا يعني أنّه إذا لم يكن دليل</w:t>
      </w:r>
      <w:r w:rsidR="003C16EA" w:rsidRPr="00282AC9">
        <w:rPr>
          <w:rFonts w:ascii="AAA GoldenLotus" w:hAnsi="AAA GoldenLotus" w:hint="cs"/>
          <w:sz w:val="27"/>
          <w:rtl/>
        </w:rPr>
        <w:t>ٌ</w:t>
      </w:r>
      <w:r w:rsidRPr="00282AC9">
        <w:rPr>
          <w:rFonts w:ascii="AAA GoldenLotus" w:hAnsi="AAA GoldenLotus"/>
          <w:sz w:val="27"/>
          <w:rtl/>
        </w:rPr>
        <w:t xml:space="preserve"> على اختصاص الحكم بالرجل </w:t>
      </w:r>
      <w:r w:rsidR="003C16EA" w:rsidRPr="00282AC9">
        <w:rPr>
          <w:rFonts w:ascii="AAA GoldenLotus" w:hAnsi="AAA GoldenLotus" w:hint="cs"/>
          <w:sz w:val="27"/>
          <w:rtl/>
        </w:rPr>
        <w:t>أ</w:t>
      </w:r>
      <w:r w:rsidRPr="00282AC9">
        <w:rPr>
          <w:rFonts w:ascii="AAA GoldenLotus" w:hAnsi="AAA GoldenLotus"/>
          <w:sz w:val="27"/>
          <w:rtl/>
        </w:rPr>
        <w:t>و المرأة</w:t>
      </w:r>
      <w:r w:rsidR="003C16EA" w:rsidRPr="00282AC9">
        <w:rPr>
          <w:rFonts w:ascii="AAA GoldenLotus" w:hAnsi="AAA GoldenLotus" w:hint="cs"/>
          <w:sz w:val="27"/>
          <w:rtl/>
        </w:rPr>
        <w:t>،</w:t>
      </w:r>
      <w:r w:rsidRPr="00282AC9">
        <w:rPr>
          <w:rFonts w:ascii="AAA GoldenLotus" w:hAnsi="AAA GoldenLotus"/>
          <w:sz w:val="27"/>
          <w:rtl/>
        </w:rPr>
        <w:t xml:space="preserve"> كأن</w:t>
      </w:r>
      <w:r w:rsidR="003C16EA" w:rsidRPr="00282AC9">
        <w:rPr>
          <w:rFonts w:ascii="AAA GoldenLotus" w:hAnsi="AAA GoldenLotus" w:hint="cs"/>
          <w:sz w:val="27"/>
          <w:rtl/>
        </w:rPr>
        <w:t>ْ</w:t>
      </w:r>
      <w:r w:rsidRPr="00282AC9">
        <w:rPr>
          <w:rFonts w:ascii="AAA GoldenLotus" w:hAnsi="AAA GoldenLotus"/>
          <w:sz w:val="27"/>
          <w:rtl/>
        </w:rPr>
        <w:t xml:space="preserve"> كان الخطاب متوج</w:t>
      </w:r>
      <w:r w:rsidR="003C16EA" w:rsidRPr="00282AC9">
        <w:rPr>
          <w:rFonts w:ascii="AAA GoldenLotus" w:hAnsi="AAA GoldenLotus" w:hint="cs"/>
          <w:sz w:val="27"/>
          <w:rtl/>
        </w:rPr>
        <w:t>ِّ</w:t>
      </w:r>
      <w:r w:rsidRPr="00282AC9">
        <w:rPr>
          <w:rFonts w:ascii="AAA GoldenLotus" w:hAnsi="AAA GoldenLotus"/>
          <w:sz w:val="27"/>
          <w:rtl/>
        </w:rPr>
        <w:t>هاً إلى الرجل بشكل</w:t>
      </w:r>
      <w:r w:rsidR="003C16EA" w:rsidRPr="00282AC9">
        <w:rPr>
          <w:rFonts w:ascii="AAA GoldenLotus" w:hAnsi="AAA GoldenLotus" w:hint="cs"/>
          <w:sz w:val="27"/>
          <w:rtl/>
        </w:rPr>
        <w:t>ٍ</w:t>
      </w:r>
      <w:r w:rsidRPr="00282AC9">
        <w:rPr>
          <w:rFonts w:ascii="AAA GoldenLotus" w:hAnsi="AAA GoldenLotus"/>
          <w:sz w:val="27"/>
          <w:rtl/>
        </w:rPr>
        <w:t xml:space="preserve"> ص</w:t>
      </w:r>
      <w:r w:rsidR="003C16EA" w:rsidRPr="00282AC9">
        <w:rPr>
          <w:rFonts w:ascii="AAA GoldenLotus" w:hAnsi="AAA GoldenLotus" w:hint="cs"/>
          <w:sz w:val="27"/>
          <w:rtl/>
        </w:rPr>
        <w:t>ِ</w:t>
      </w:r>
      <w:r w:rsidRPr="00282AC9">
        <w:rPr>
          <w:rFonts w:ascii="AAA GoldenLotus" w:hAnsi="AAA GoldenLotus"/>
          <w:sz w:val="27"/>
          <w:rtl/>
        </w:rPr>
        <w:t>ر</w:t>
      </w:r>
      <w:r w:rsidR="003C16EA" w:rsidRPr="00282AC9">
        <w:rPr>
          <w:rFonts w:ascii="AAA GoldenLotus" w:hAnsi="AAA GoldenLotus" w:hint="cs"/>
          <w:sz w:val="27"/>
          <w:rtl/>
        </w:rPr>
        <w:t>ْ</w:t>
      </w:r>
      <w:r w:rsidRPr="00282AC9">
        <w:rPr>
          <w:rFonts w:ascii="AAA GoldenLotus" w:hAnsi="AAA GoldenLotus"/>
          <w:sz w:val="27"/>
          <w:rtl/>
        </w:rPr>
        <w:t>ف</w:t>
      </w:r>
      <w:r w:rsidR="003C16EA" w:rsidRPr="00282AC9">
        <w:rPr>
          <w:rFonts w:ascii="AAA GoldenLotus" w:hAnsi="AAA GoldenLotus" w:hint="cs"/>
          <w:sz w:val="27"/>
          <w:rtl/>
        </w:rPr>
        <w:t>ٍ،</w:t>
      </w:r>
      <w:r w:rsidRPr="00282AC9">
        <w:rPr>
          <w:rFonts w:ascii="AAA GoldenLotus" w:hAnsi="AAA GoldenLotus"/>
          <w:sz w:val="27"/>
          <w:rtl/>
        </w:rPr>
        <w:t xml:space="preserve"> أو إلى المرأة كذلك، وشك</w:t>
      </w:r>
      <w:r w:rsidR="003C16EA" w:rsidRPr="00282AC9">
        <w:rPr>
          <w:rFonts w:ascii="AAA GoldenLotus" w:hAnsi="AAA GoldenLotus" w:hint="cs"/>
          <w:sz w:val="27"/>
          <w:rtl/>
        </w:rPr>
        <w:t>َ</w:t>
      </w:r>
      <w:r w:rsidRPr="00282AC9">
        <w:rPr>
          <w:rFonts w:ascii="AAA GoldenLotus" w:hAnsi="AAA GoldenLotus"/>
          <w:sz w:val="27"/>
          <w:rtl/>
        </w:rPr>
        <w:t>ك</w:t>
      </w:r>
      <w:r w:rsidR="003C16EA" w:rsidRPr="00282AC9">
        <w:rPr>
          <w:rFonts w:ascii="AAA GoldenLotus" w:hAnsi="AAA GoldenLotus" w:hint="cs"/>
          <w:sz w:val="27"/>
          <w:rtl/>
        </w:rPr>
        <w:t>ْ</w:t>
      </w:r>
      <w:r w:rsidRPr="00282AC9">
        <w:rPr>
          <w:rFonts w:ascii="AAA GoldenLotus" w:hAnsi="AAA GoldenLotus"/>
          <w:sz w:val="27"/>
          <w:rtl/>
        </w:rPr>
        <w:t>نا في اشتراك المرأة معه</w:t>
      </w:r>
      <w:r w:rsidR="003C16EA" w:rsidRPr="00282AC9">
        <w:rPr>
          <w:rFonts w:ascii="AAA GoldenLotus" w:hAnsi="AAA GoldenLotus" w:hint="cs"/>
          <w:sz w:val="27"/>
          <w:rtl/>
        </w:rPr>
        <w:t xml:space="preserve"> أ</w:t>
      </w:r>
      <w:r w:rsidRPr="00282AC9">
        <w:rPr>
          <w:rFonts w:ascii="AAA GoldenLotus" w:hAnsi="AAA GoldenLotus"/>
          <w:sz w:val="27"/>
          <w:rtl/>
        </w:rPr>
        <w:t>و اشتراك الرجل معها في الحكم</w:t>
      </w:r>
      <w:r w:rsidR="00637C1A" w:rsidRPr="00282AC9">
        <w:rPr>
          <w:rFonts w:ascii="AAA GoldenLotus" w:hAnsi="AAA GoldenLotus" w:hint="cs"/>
          <w:sz w:val="27"/>
          <w:rtl/>
        </w:rPr>
        <w:t>؛</w:t>
      </w:r>
      <w:r w:rsidRPr="00282AC9">
        <w:rPr>
          <w:rFonts w:ascii="AAA GoldenLotus" w:hAnsi="AAA GoldenLotus"/>
          <w:sz w:val="27"/>
          <w:rtl/>
        </w:rPr>
        <w:t xml:space="preserve"> باعتبار أنّ أغلب الأحكام لم ت</w:t>
      </w:r>
      <w:r w:rsidR="003C16EA" w:rsidRPr="00282AC9">
        <w:rPr>
          <w:rFonts w:ascii="AAA GoldenLotus" w:hAnsi="AAA GoldenLotus" w:hint="cs"/>
          <w:sz w:val="27"/>
          <w:rtl/>
        </w:rPr>
        <w:t>َ</w:t>
      </w:r>
      <w:r w:rsidRPr="00282AC9">
        <w:rPr>
          <w:rFonts w:ascii="AAA GoldenLotus" w:hAnsi="AAA GoldenLotus"/>
          <w:sz w:val="27"/>
          <w:rtl/>
        </w:rPr>
        <w:t>ر</w:t>
      </w:r>
      <w:r w:rsidR="003C16EA" w:rsidRPr="00282AC9">
        <w:rPr>
          <w:rFonts w:ascii="AAA GoldenLotus" w:hAnsi="AAA GoldenLotus" w:hint="cs"/>
          <w:sz w:val="27"/>
          <w:rtl/>
        </w:rPr>
        <w:t>ِ</w:t>
      </w:r>
      <w:r w:rsidRPr="00282AC9">
        <w:rPr>
          <w:rFonts w:ascii="AAA GoldenLotus" w:hAnsi="AAA GoldenLotus"/>
          <w:sz w:val="27"/>
          <w:rtl/>
        </w:rPr>
        <w:t>د</w:t>
      </w:r>
      <w:r w:rsidR="003C16EA" w:rsidRPr="00282AC9">
        <w:rPr>
          <w:rFonts w:ascii="AAA GoldenLotus" w:hAnsi="AAA GoldenLotus" w:hint="cs"/>
          <w:sz w:val="27"/>
          <w:rtl/>
        </w:rPr>
        <w:t>ْ</w:t>
      </w:r>
      <w:r w:rsidRPr="00282AC9">
        <w:rPr>
          <w:rFonts w:ascii="AAA GoldenLotus" w:hAnsi="AAA GoldenLotus"/>
          <w:sz w:val="27"/>
          <w:rtl/>
        </w:rPr>
        <w:t xml:space="preserve"> بنحو القضي</w:t>
      </w:r>
      <w:r w:rsidR="003C16EA" w:rsidRPr="00282AC9">
        <w:rPr>
          <w:rFonts w:ascii="AAA GoldenLotus" w:hAnsi="AAA GoldenLotus" w:hint="cs"/>
          <w:sz w:val="27"/>
          <w:rtl/>
        </w:rPr>
        <w:t>ّ</w:t>
      </w:r>
      <w:r w:rsidRPr="00282AC9">
        <w:rPr>
          <w:rFonts w:ascii="AAA GoldenLotus" w:hAnsi="AAA GoldenLotus"/>
          <w:sz w:val="27"/>
          <w:rtl/>
        </w:rPr>
        <w:t>ة الكل</w:t>
      </w:r>
      <w:r w:rsidR="003C16EA" w:rsidRPr="00282AC9">
        <w:rPr>
          <w:rFonts w:ascii="AAA GoldenLotus" w:hAnsi="AAA GoldenLotus" w:hint="cs"/>
          <w:sz w:val="27"/>
          <w:rtl/>
        </w:rPr>
        <w:t>ِّ</w:t>
      </w:r>
      <w:r w:rsidRPr="00282AC9">
        <w:rPr>
          <w:rFonts w:ascii="AAA GoldenLotus" w:hAnsi="AAA GoldenLotus"/>
          <w:sz w:val="27"/>
          <w:rtl/>
        </w:rPr>
        <w:t>ية</w:t>
      </w:r>
      <w:r w:rsidR="003C16EA" w:rsidRPr="00282AC9">
        <w:rPr>
          <w:rFonts w:ascii="AAA GoldenLotus" w:hAnsi="AAA GoldenLotus" w:hint="cs"/>
          <w:sz w:val="27"/>
          <w:rtl/>
        </w:rPr>
        <w:t>،</w:t>
      </w:r>
      <w:r w:rsidRPr="00282AC9">
        <w:rPr>
          <w:rFonts w:ascii="AAA GoldenLotus" w:hAnsi="AAA GoldenLotus"/>
          <w:sz w:val="27"/>
          <w:rtl/>
        </w:rPr>
        <w:t xml:space="preserve"> بل أكثرها جاء</w:t>
      </w:r>
      <w:r w:rsidR="003C16EA" w:rsidRPr="00282AC9">
        <w:rPr>
          <w:rFonts w:ascii="AAA GoldenLotus" w:hAnsi="AAA GoldenLotus" w:hint="cs"/>
          <w:sz w:val="27"/>
          <w:rtl/>
        </w:rPr>
        <w:t>َ</w:t>
      </w:r>
      <w:r w:rsidRPr="00282AC9">
        <w:rPr>
          <w:rFonts w:ascii="AAA GoldenLotus" w:hAnsi="AAA GoldenLotus"/>
          <w:sz w:val="27"/>
          <w:rtl/>
        </w:rPr>
        <w:t>ت</w:t>
      </w:r>
      <w:r w:rsidR="003C16EA" w:rsidRPr="00282AC9">
        <w:rPr>
          <w:rFonts w:ascii="AAA GoldenLotus" w:hAnsi="AAA GoldenLotus" w:hint="cs"/>
          <w:sz w:val="27"/>
          <w:rtl/>
        </w:rPr>
        <w:t>ْ</w:t>
      </w:r>
      <w:r w:rsidRPr="00282AC9">
        <w:rPr>
          <w:rFonts w:ascii="AAA GoldenLotus" w:hAnsi="AAA GoldenLotus"/>
          <w:sz w:val="27"/>
          <w:rtl/>
        </w:rPr>
        <w:t xml:space="preserve"> بصيغة جمع المذك</w:t>
      </w:r>
      <w:r w:rsidR="003C16EA" w:rsidRPr="00282AC9">
        <w:rPr>
          <w:rFonts w:ascii="AAA GoldenLotus" w:hAnsi="AAA GoldenLotus" w:hint="cs"/>
          <w:sz w:val="27"/>
          <w:rtl/>
        </w:rPr>
        <w:t>َّ</w:t>
      </w:r>
      <w:r w:rsidRPr="00282AC9">
        <w:rPr>
          <w:rFonts w:ascii="AAA GoldenLotus" w:hAnsi="AAA GoldenLotus"/>
          <w:sz w:val="27"/>
          <w:rtl/>
        </w:rPr>
        <w:t>ر أو متوج</w:t>
      </w:r>
      <w:r w:rsidR="003C16EA" w:rsidRPr="00282AC9">
        <w:rPr>
          <w:rFonts w:ascii="AAA GoldenLotus" w:hAnsi="AAA GoldenLotus" w:hint="cs"/>
          <w:sz w:val="27"/>
          <w:rtl/>
        </w:rPr>
        <w:t>ِّ</w:t>
      </w:r>
      <w:r w:rsidRPr="00282AC9">
        <w:rPr>
          <w:rFonts w:ascii="AAA GoldenLotus" w:hAnsi="AAA GoldenLotus"/>
          <w:sz w:val="27"/>
          <w:rtl/>
        </w:rPr>
        <w:t>هة</w:t>
      </w:r>
      <w:r w:rsidR="003C16EA" w:rsidRPr="00282AC9">
        <w:rPr>
          <w:rFonts w:ascii="AAA GoldenLotus" w:hAnsi="AAA GoldenLotus" w:hint="cs"/>
          <w:sz w:val="27"/>
          <w:rtl/>
        </w:rPr>
        <w:t>ً</w:t>
      </w:r>
      <w:r w:rsidRPr="00282AC9">
        <w:rPr>
          <w:rFonts w:ascii="AAA GoldenLotus" w:hAnsi="AAA GoldenLotus"/>
          <w:sz w:val="27"/>
          <w:rtl/>
        </w:rPr>
        <w:t xml:space="preserve"> إلى الرجل</w:t>
      </w:r>
      <w:r w:rsidR="003C16EA" w:rsidRPr="00282AC9">
        <w:rPr>
          <w:rFonts w:ascii="AAA GoldenLotus" w:hAnsi="AAA GoldenLotus" w:hint="cs"/>
          <w:sz w:val="27"/>
          <w:rtl/>
        </w:rPr>
        <w:t>،</w:t>
      </w:r>
      <w:r w:rsidRPr="00282AC9">
        <w:rPr>
          <w:rFonts w:ascii="AAA GoldenLotus" w:hAnsi="AAA GoldenLotus"/>
          <w:sz w:val="27"/>
          <w:rtl/>
        </w:rPr>
        <w:t xml:space="preserve"> وقليلا</w:t>
      </w:r>
      <w:r w:rsidR="003C16EA" w:rsidRPr="00282AC9">
        <w:rPr>
          <w:rFonts w:ascii="AAA GoldenLotus" w:hAnsi="AAA GoldenLotus" w:hint="cs"/>
          <w:sz w:val="27"/>
          <w:rtl/>
        </w:rPr>
        <w:t>ً</w:t>
      </w:r>
      <w:r w:rsidRPr="00282AC9">
        <w:rPr>
          <w:rFonts w:ascii="AAA GoldenLotus" w:hAnsi="AAA GoldenLotus"/>
          <w:sz w:val="27"/>
          <w:rtl/>
        </w:rPr>
        <w:t xml:space="preserve"> ما جاءت بصيغة المؤن</w:t>
      </w:r>
      <w:r w:rsidR="003C16EA" w:rsidRPr="00282AC9">
        <w:rPr>
          <w:rFonts w:ascii="AAA GoldenLotus" w:hAnsi="AAA GoldenLotus" w:hint="cs"/>
          <w:sz w:val="27"/>
          <w:rtl/>
        </w:rPr>
        <w:t>َّ</w:t>
      </w:r>
      <w:r w:rsidRPr="00282AC9">
        <w:rPr>
          <w:rFonts w:ascii="AAA GoldenLotus" w:hAnsi="AAA GoldenLotus"/>
          <w:sz w:val="27"/>
          <w:rtl/>
        </w:rPr>
        <w:t>ث أو متوج</w:t>
      </w:r>
      <w:r w:rsidR="003C16EA" w:rsidRPr="00282AC9">
        <w:rPr>
          <w:rFonts w:ascii="AAA GoldenLotus" w:hAnsi="AAA GoldenLotus" w:hint="cs"/>
          <w:sz w:val="27"/>
          <w:rtl/>
        </w:rPr>
        <w:t>ِّ</w:t>
      </w:r>
      <w:r w:rsidRPr="00282AC9">
        <w:rPr>
          <w:rFonts w:ascii="AAA GoldenLotus" w:hAnsi="AAA GoldenLotus"/>
          <w:sz w:val="27"/>
          <w:rtl/>
        </w:rPr>
        <w:t>هة</w:t>
      </w:r>
      <w:r w:rsidR="003C16EA" w:rsidRPr="00282AC9">
        <w:rPr>
          <w:rFonts w:ascii="AAA GoldenLotus" w:hAnsi="AAA GoldenLotus" w:hint="cs"/>
          <w:sz w:val="27"/>
          <w:rtl/>
        </w:rPr>
        <w:t>ً</w:t>
      </w:r>
      <w:r w:rsidRPr="00282AC9">
        <w:rPr>
          <w:rFonts w:ascii="AAA GoldenLotus" w:hAnsi="AAA GoldenLotus"/>
          <w:sz w:val="27"/>
          <w:rtl/>
        </w:rPr>
        <w:t xml:space="preserve"> إلى المرأة، إضافة</w:t>
      </w:r>
      <w:r w:rsidR="003C16EA" w:rsidRPr="00282AC9">
        <w:rPr>
          <w:rFonts w:ascii="AAA GoldenLotus" w:hAnsi="AAA GoldenLotus" w:hint="cs"/>
          <w:sz w:val="27"/>
          <w:rtl/>
        </w:rPr>
        <w:t>ً</w:t>
      </w:r>
      <w:r w:rsidRPr="00282AC9">
        <w:rPr>
          <w:rFonts w:ascii="AAA GoldenLotus" w:hAnsi="AAA GoldenLotus"/>
          <w:sz w:val="27"/>
          <w:rtl/>
        </w:rPr>
        <w:t xml:space="preserve"> إلى عدم وجود ق</w:t>
      </w:r>
      <w:r w:rsidR="003C16EA" w:rsidRPr="00282AC9">
        <w:rPr>
          <w:rFonts w:ascii="AAA GoldenLotus" w:hAnsi="AAA GoldenLotus" w:hint="cs"/>
          <w:sz w:val="27"/>
          <w:rtl/>
        </w:rPr>
        <w:t>َ</w:t>
      </w:r>
      <w:r w:rsidRPr="00282AC9">
        <w:rPr>
          <w:rFonts w:ascii="AAA GoldenLotus" w:hAnsi="AAA GoldenLotus"/>
          <w:sz w:val="27"/>
          <w:rtl/>
        </w:rPr>
        <w:t>ي</w:t>
      </w:r>
      <w:r w:rsidR="003C16EA" w:rsidRPr="00282AC9">
        <w:rPr>
          <w:rFonts w:ascii="AAA GoldenLotus" w:hAnsi="AAA GoldenLotus" w:hint="cs"/>
          <w:sz w:val="27"/>
          <w:rtl/>
        </w:rPr>
        <w:t>ْ</w:t>
      </w:r>
      <w:r w:rsidRPr="00282AC9">
        <w:rPr>
          <w:rFonts w:ascii="AAA GoldenLotus" w:hAnsi="AAA GoldenLotus"/>
          <w:sz w:val="27"/>
          <w:rtl/>
        </w:rPr>
        <w:t>د</w:t>
      </w:r>
      <w:r w:rsidR="003C16EA" w:rsidRPr="00282AC9">
        <w:rPr>
          <w:rFonts w:ascii="AAA GoldenLotus" w:hAnsi="AAA GoldenLotus" w:hint="cs"/>
          <w:sz w:val="27"/>
          <w:rtl/>
        </w:rPr>
        <w:t>ٍ</w:t>
      </w:r>
      <w:r w:rsidRPr="00282AC9">
        <w:rPr>
          <w:rFonts w:ascii="AAA GoldenLotus" w:hAnsi="AAA GoldenLotus"/>
          <w:sz w:val="27"/>
          <w:rtl/>
        </w:rPr>
        <w:t xml:space="preserve"> أو وصف</w:t>
      </w:r>
      <w:r w:rsidR="003C16EA" w:rsidRPr="00282AC9">
        <w:rPr>
          <w:rFonts w:ascii="AAA GoldenLotus" w:hAnsi="AAA GoldenLotus" w:hint="cs"/>
          <w:sz w:val="27"/>
          <w:rtl/>
        </w:rPr>
        <w:t>ٍ</w:t>
      </w:r>
      <w:r w:rsidRPr="00282AC9">
        <w:rPr>
          <w:rFonts w:ascii="AAA GoldenLotus" w:hAnsi="AAA GoldenLotus"/>
          <w:sz w:val="27"/>
          <w:rtl/>
        </w:rPr>
        <w:t xml:space="preserve"> يشير إلى اختصاص الحكم بالرجل او المرأة، وإن</w:t>
      </w:r>
      <w:r w:rsidR="003C16EA" w:rsidRPr="00282AC9">
        <w:rPr>
          <w:rFonts w:ascii="AAA GoldenLotus" w:hAnsi="AAA GoldenLotus" w:hint="cs"/>
          <w:sz w:val="27"/>
          <w:rtl/>
        </w:rPr>
        <w:t>ْ</w:t>
      </w:r>
      <w:r w:rsidRPr="00282AC9">
        <w:rPr>
          <w:rFonts w:ascii="AAA GoldenLotus" w:hAnsi="AAA GoldenLotus"/>
          <w:sz w:val="27"/>
          <w:rtl/>
        </w:rPr>
        <w:t xml:space="preserve"> و</w:t>
      </w:r>
      <w:r w:rsidR="00637C1A" w:rsidRPr="00282AC9">
        <w:rPr>
          <w:rFonts w:ascii="AAA GoldenLotus" w:hAnsi="AAA GoldenLotus" w:hint="cs"/>
          <w:sz w:val="27"/>
          <w:rtl/>
        </w:rPr>
        <w:t>ُ</w:t>
      </w:r>
      <w:r w:rsidRPr="00282AC9">
        <w:rPr>
          <w:rFonts w:ascii="AAA GoldenLotus" w:hAnsi="AAA GoldenLotus"/>
          <w:sz w:val="27"/>
          <w:rtl/>
        </w:rPr>
        <w:t>جد</w:t>
      </w:r>
      <w:r w:rsidR="003C16EA" w:rsidRPr="00282AC9">
        <w:rPr>
          <w:rFonts w:ascii="AAA GoldenLotus" w:hAnsi="AAA GoldenLotus" w:hint="cs"/>
          <w:sz w:val="27"/>
          <w:rtl/>
        </w:rPr>
        <w:t>َ</w:t>
      </w:r>
      <w:r w:rsidRPr="00282AC9">
        <w:rPr>
          <w:rFonts w:ascii="AAA GoldenLotus" w:hAnsi="AAA GoldenLotus"/>
          <w:sz w:val="27"/>
          <w:rtl/>
        </w:rPr>
        <w:t>ت</w:t>
      </w:r>
      <w:r w:rsidR="003C16EA" w:rsidRPr="00282AC9">
        <w:rPr>
          <w:rFonts w:ascii="AAA GoldenLotus" w:hAnsi="AAA GoldenLotus" w:hint="cs"/>
          <w:sz w:val="27"/>
          <w:rtl/>
        </w:rPr>
        <w:t>ْ</w:t>
      </w:r>
      <w:r w:rsidRPr="00282AC9">
        <w:rPr>
          <w:rFonts w:ascii="AAA GoldenLotus" w:hAnsi="AAA GoldenLotus"/>
          <w:sz w:val="27"/>
          <w:rtl/>
        </w:rPr>
        <w:t xml:space="preserve"> بعض القرائن إ</w:t>
      </w:r>
      <w:r w:rsidR="00EE6DBA" w:rsidRPr="00282AC9">
        <w:rPr>
          <w:rFonts w:ascii="AAA GoldenLotus" w:hAnsi="AAA GoldenLotus"/>
          <w:sz w:val="27"/>
          <w:rtl/>
        </w:rPr>
        <w:t>لاّ</w:t>
      </w:r>
      <w:r w:rsidRPr="00282AC9">
        <w:rPr>
          <w:rFonts w:ascii="AAA GoldenLotus" w:hAnsi="AAA GoldenLotus"/>
          <w:sz w:val="27"/>
          <w:rtl/>
        </w:rPr>
        <w:t xml:space="preserve"> أنها غير</w:t>
      </w:r>
      <w:r w:rsidR="003C16EA" w:rsidRPr="00282AC9">
        <w:rPr>
          <w:rFonts w:ascii="AAA GoldenLotus" w:hAnsi="AAA GoldenLotus" w:hint="cs"/>
          <w:sz w:val="27"/>
          <w:rtl/>
        </w:rPr>
        <w:t>ُ</w:t>
      </w:r>
      <w:r w:rsidRPr="00282AC9">
        <w:rPr>
          <w:rFonts w:ascii="AAA GoldenLotus" w:hAnsi="AAA GoldenLotus"/>
          <w:sz w:val="27"/>
          <w:rtl/>
        </w:rPr>
        <w:t xml:space="preserve"> تام</w:t>
      </w:r>
      <w:r w:rsidR="003C16EA" w:rsidRPr="00282AC9">
        <w:rPr>
          <w:rFonts w:ascii="AAA GoldenLotus" w:hAnsi="AAA GoldenLotus" w:hint="cs"/>
          <w:sz w:val="27"/>
          <w:rtl/>
        </w:rPr>
        <w:t>ّ</w:t>
      </w:r>
      <w:r w:rsidRPr="00282AC9">
        <w:rPr>
          <w:rFonts w:ascii="AAA GoldenLotus" w:hAnsi="AAA GoldenLotus"/>
          <w:sz w:val="27"/>
          <w:rtl/>
        </w:rPr>
        <w:t>ة</w:t>
      </w:r>
      <w:r w:rsidR="003C16EA" w:rsidRPr="00282AC9">
        <w:rPr>
          <w:rFonts w:ascii="AAA GoldenLotus" w:hAnsi="AAA GoldenLotus" w:hint="cs"/>
          <w:sz w:val="27"/>
          <w:rtl/>
        </w:rPr>
        <w:t>ٍ</w:t>
      </w:r>
      <w:r w:rsidRPr="00282AC9">
        <w:rPr>
          <w:rFonts w:ascii="AAA GoldenLotus" w:hAnsi="AAA GoldenLotus"/>
          <w:sz w:val="27"/>
          <w:rtl/>
        </w:rPr>
        <w:t xml:space="preserve"> لكي يتمس</w:t>
      </w:r>
      <w:r w:rsidR="003C16EA" w:rsidRPr="00282AC9">
        <w:rPr>
          <w:rFonts w:ascii="AAA GoldenLotus" w:hAnsi="AAA GoldenLotus" w:hint="cs"/>
          <w:sz w:val="27"/>
          <w:rtl/>
        </w:rPr>
        <w:t>َّ</w:t>
      </w:r>
      <w:r w:rsidRPr="00282AC9">
        <w:rPr>
          <w:rFonts w:ascii="AAA GoldenLotus" w:hAnsi="AAA GoldenLotus"/>
          <w:sz w:val="27"/>
          <w:rtl/>
        </w:rPr>
        <w:t>ك بها على اختصاص الحكم به أو بها، عندئذ</w:t>
      </w:r>
      <w:r w:rsidR="003C16EA" w:rsidRPr="00282AC9">
        <w:rPr>
          <w:rFonts w:ascii="AAA GoldenLotus" w:hAnsi="AAA GoldenLotus" w:hint="cs"/>
          <w:sz w:val="27"/>
          <w:rtl/>
        </w:rPr>
        <w:t>ٍ</w:t>
      </w:r>
      <w:r w:rsidRPr="00282AC9">
        <w:rPr>
          <w:rFonts w:ascii="AAA GoldenLotus" w:hAnsi="AAA GoldenLotus"/>
          <w:sz w:val="27"/>
          <w:rtl/>
        </w:rPr>
        <w:t xml:space="preserve"> لا يبقى مانع</w:t>
      </w:r>
      <w:r w:rsidR="003C16EA" w:rsidRPr="00282AC9">
        <w:rPr>
          <w:rFonts w:ascii="AAA GoldenLotus" w:hAnsi="AAA GoldenLotus" w:hint="cs"/>
          <w:sz w:val="27"/>
          <w:rtl/>
        </w:rPr>
        <w:t>ٌ</w:t>
      </w:r>
      <w:r w:rsidRPr="00282AC9">
        <w:rPr>
          <w:rFonts w:ascii="AAA GoldenLotus" w:hAnsi="AAA GoldenLotus"/>
          <w:sz w:val="27"/>
          <w:rtl/>
        </w:rPr>
        <w:t xml:space="preserve"> من تعميم جواز الحكم للمرأة أو للرجل</w:t>
      </w:r>
      <w:r w:rsidR="00637C1A" w:rsidRPr="00282AC9">
        <w:rPr>
          <w:rFonts w:ascii="AAA GoldenLotus" w:hAnsi="AAA GoldenLotus" w:hint="cs"/>
          <w:sz w:val="27"/>
          <w:rtl/>
        </w:rPr>
        <w:t>؛</w:t>
      </w:r>
      <w:r w:rsidRPr="00282AC9">
        <w:rPr>
          <w:rFonts w:ascii="AAA GoldenLotus" w:hAnsi="AAA GoldenLotus"/>
          <w:sz w:val="27"/>
          <w:rtl/>
        </w:rPr>
        <w:t xml:space="preserve"> بمقتضى قاعدة اشتراك الأحكام بين الرجل والمرأة، ولو من خلال المطلقات الدال</w:t>
      </w:r>
      <w:r w:rsidR="00637C1A" w:rsidRPr="00282AC9">
        <w:rPr>
          <w:rFonts w:ascii="AAA GoldenLotus" w:hAnsi="AAA GoldenLotus" w:hint="cs"/>
          <w:sz w:val="27"/>
          <w:rtl/>
        </w:rPr>
        <w:t>ّ</w:t>
      </w:r>
      <w:r w:rsidRPr="00282AC9">
        <w:rPr>
          <w:rFonts w:ascii="AAA GoldenLotus" w:hAnsi="AAA GoldenLotus"/>
          <w:sz w:val="27"/>
          <w:rtl/>
        </w:rPr>
        <w:t>ة على الاشتراك</w:t>
      </w:r>
      <w:r w:rsidR="00637C1A" w:rsidRPr="00282AC9">
        <w:rPr>
          <w:rFonts w:ascii="AAA GoldenLotus" w:hAnsi="AAA GoldenLotus" w:hint="cs"/>
          <w:sz w:val="27"/>
          <w:rtl/>
        </w:rPr>
        <w:t>.</w:t>
      </w:r>
      <w:r w:rsidRPr="00282AC9">
        <w:rPr>
          <w:rFonts w:ascii="AAA GoldenLotus" w:hAnsi="AAA GoldenLotus"/>
          <w:sz w:val="27"/>
          <w:rtl/>
        </w:rPr>
        <w:t xml:space="preserve"> ولذا يقال</w:t>
      </w:r>
      <w:r w:rsidR="00637C1A" w:rsidRPr="00282AC9">
        <w:rPr>
          <w:rFonts w:ascii="AAA GoldenLotus" w:hAnsi="AAA GoldenLotus" w:hint="cs"/>
          <w:sz w:val="27"/>
          <w:rtl/>
        </w:rPr>
        <w:t>:</w:t>
      </w:r>
      <w:r w:rsidRPr="00282AC9">
        <w:rPr>
          <w:rFonts w:ascii="AAA GoldenLotus" w:hAnsi="AAA GoldenLotus"/>
          <w:sz w:val="27"/>
          <w:rtl/>
        </w:rPr>
        <w:t xml:space="preserve"> </w:t>
      </w:r>
      <w:r w:rsidR="00637C1A" w:rsidRPr="00282AC9">
        <w:rPr>
          <w:rFonts w:ascii="AAA GoldenLotus" w:hAnsi="AAA GoldenLotus" w:hint="cs"/>
          <w:sz w:val="27"/>
          <w:rtl/>
        </w:rPr>
        <w:t>إ</w:t>
      </w:r>
      <w:r w:rsidRPr="00282AC9">
        <w:rPr>
          <w:rFonts w:ascii="AAA GoldenLotus" w:hAnsi="AAA GoldenLotus"/>
          <w:sz w:val="27"/>
          <w:rtl/>
        </w:rPr>
        <w:t>ن الأصل عند الشك</w:t>
      </w:r>
      <w:r w:rsidR="00637C1A" w:rsidRPr="00282AC9">
        <w:rPr>
          <w:rFonts w:ascii="AAA GoldenLotus" w:hAnsi="AAA GoldenLotus" w:hint="cs"/>
          <w:sz w:val="27"/>
          <w:rtl/>
        </w:rPr>
        <w:t>ّ</w:t>
      </w:r>
      <w:r w:rsidRPr="00282AC9">
        <w:rPr>
          <w:rFonts w:ascii="AAA GoldenLotus" w:hAnsi="AAA GoldenLotus"/>
          <w:sz w:val="27"/>
          <w:rtl/>
        </w:rPr>
        <w:t xml:space="preserve"> في الاختصاص هو قاعدة الاشتراك. </w:t>
      </w:r>
    </w:p>
    <w:p w:rsidR="008573BF" w:rsidRPr="00282AC9" w:rsidRDefault="008573BF" w:rsidP="008573BF">
      <w:pPr>
        <w:spacing w:line="420" w:lineRule="exact"/>
        <w:rPr>
          <w:rtl/>
        </w:rPr>
      </w:pPr>
      <w:bookmarkStart w:id="31" w:name="_Toc33434578"/>
      <w:bookmarkStart w:id="32" w:name="_Toc33819735"/>
    </w:p>
    <w:p w:rsidR="00E355F2" w:rsidRPr="00282AC9" w:rsidRDefault="00862840" w:rsidP="007D08F4">
      <w:pPr>
        <w:pStyle w:val="31"/>
        <w:rPr>
          <w:color w:val="auto"/>
          <w:rtl/>
        </w:rPr>
      </w:pPr>
      <w:r w:rsidRPr="00282AC9">
        <w:rPr>
          <w:rFonts w:hint="cs"/>
          <w:color w:val="auto"/>
          <w:rtl/>
        </w:rPr>
        <w:t>5ـ</w:t>
      </w:r>
      <w:r w:rsidR="00E355F2" w:rsidRPr="00282AC9">
        <w:rPr>
          <w:rFonts w:hint="cs"/>
          <w:color w:val="auto"/>
          <w:rtl/>
        </w:rPr>
        <w:t xml:space="preserve"> </w:t>
      </w:r>
      <w:r w:rsidR="00E355F2" w:rsidRPr="00282AC9">
        <w:rPr>
          <w:color w:val="auto"/>
          <w:rtl/>
        </w:rPr>
        <w:t>خروج بعض الموارد عن القاعدة</w:t>
      </w:r>
      <w:r w:rsidR="00637C1A" w:rsidRPr="00282AC9">
        <w:rPr>
          <w:rFonts w:hint="cs"/>
          <w:color w:val="auto"/>
          <w:rtl/>
        </w:rPr>
        <w:t>،</w:t>
      </w:r>
      <w:r w:rsidR="00E355F2" w:rsidRPr="00282AC9">
        <w:rPr>
          <w:color w:val="auto"/>
          <w:rtl/>
        </w:rPr>
        <w:t xml:space="preserve"> وم</w:t>
      </w:r>
      <w:bookmarkEnd w:id="31"/>
      <w:bookmarkEnd w:id="32"/>
      <w:r w:rsidR="00E355F2" w:rsidRPr="00282AC9">
        <w:rPr>
          <w:rFonts w:hint="cs"/>
          <w:color w:val="auto"/>
          <w:rtl/>
        </w:rPr>
        <w:t>لاكه</w:t>
      </w:r>
    </w:p>
    <w:p w:rsidR="00637C1A" w:rsidRPr="00282AC9" w:rsidRDefault="00674EF5" w:rsidP="008573BF">
      <w:pPr>
        <w:spacing w:line="410" w:lineRule="exact"/>
        <w:rPr>
          <w:rFonts w:ascii="AAA GoldenLotus" w:hAnsi="AAA GoldenLotus"/>
          <w:sz w:val="27"/>
          <w:rtl/>
        </w:rPr>
      </w:pPr>
      <w:r w:rsidRPr="00282AC9">
        <w:rPr>
          <w:rFonts w:ascii="AAA GoldenLotus" w:hAnsi="AAA GoldenLotus" w:hint="cs"/>
          <w:sz w:val="27"/>
          <w:rtl/>
        </w:rPr>
        <w:t>لا شَكَّ</w:t>
      </w:r>
      <w:r w:rsidR="00E355F2" w:rsidRPr="00282AC9">
        <w:rPr>
          <w:rFonts w:ascii="AAA GoldenLotus" w:hAnsi="AAA GoldenLotus" w:hint="cs"/>
          <w:sz w:val="27"/>
          <w:rtl/>
        </w:rPr>
        <w:t xml:space="preserve"> في أن خروج بعض الموارد عن القاعدة لا ينافي كونها قاعدة</w:t>
      </w:r>
      <w:r w:rsidR="00637C1A" w:rsidRPr="00282AC9">
        <w:rPr>
          <w:rFonts w:ascii="AAA GoldenLotus" w:hAnsi="AAA GoldenLotus" w:hint="cs"/>
          <w:sz w:val="27"/>
          <w:rtl/>
        </w:rPr>
        <w:t>ً</w:t>
      </w:r>
      <w:r w:rsidR="00E355F2" w:rsidRPr="00282AC9">
        <w:rPr>
          <w:rFonts w:ascii="AAA GoldenLotus" w:hAnsi="AAA GoldenLotus" w:hint="cs"/>
          <w:sz w:val="27"/>
          <w:rtl/>
        </w:rPr>
        <w:t xml:space="preserve"> كل</w:t>
      </w:r>
      <w:r w:rsidR="00637C1A" w:rsidRPr="00282AC9">
        <w:rPr>
          <w:rFonts w:ascii="AAA GoldenLotus" w:hAnsi="AAA GoldenLotus" w:hint="cs"/>
          <w:sz w:val="27"/>
          <w:rtl/>
        </w:rPr>
        <w:t>ِّ</w:t>
      </w:r>
      <w:r w:rsidR="00E355F2" w:rsidRPr="00282AC9">
        <w:rPr>
          <w:rFonts w:ascii="AAA GoldenLotus" w:hAnsi="AAA GoldenLotus" w:hint="cs"/>
          <w:sz w:val="27"/>
          <w:rtl/>
        </w:rPr>
        <w:t>ية</w:t>
      </w:r>
      <w:r w:rsidR="00637C1A" w:rsidRPr="00282AC9">
        <w:rPr>
          <w:rFonts w:ascii="AAA GoldenLotus" w:hAnsi="AAA GoldenLotus" w:hint="cs"/>
          <w:sz w:val="27"/>
          <w:rtl/>
        </w:rPr>
        <w:t>،</w:t>
      </w:r>
      <w:r w:rsidR="00E355F2" w:rsidRPr="00282AC9">
        <w:rPr>
          <w:rFonts w:ascii="AAA GoldenLotus" w:hAnsi="AAA GoldenLotus" w:hint="cs"/>
          <w:sz w:val="27"/>
          <w:rtl/>
        </w:rPr>
        <w:t xml:space="preserve"> وقانوناً عاماً ي</w:t>
      </w:r>
      <w:r w:rsidR="00637C1A" w:rsidRPr="00282AC9">
        <w:rPr>
          <w:rFonts w:ascii="AAA GoldenLotus" w:hAnsi="AAA GoldenLotus" w:hint="cs"/>
          <w:sz w:val="27"/>
          <w:rtl/>
        </w:rPr>
        <w:t>ُ</w:t>
      </w:r>
      <w:r w:rsidR="00E355F2" w:rsidRPr="00282AC9">
        <w:rPr>
          <w:rFonts w:ascii="AAA GoldenLotus" w:hAnsi="AAA GoldenLotus" w:hint="cs"/>
          <w:sz w:val="27"/>
          <w:rtl/>
        </w:rPr>
        <w:t>ر</w:t>
      </w:r>
      <w:r w:rsidR="00637C1A" w:rsidRPr="00282AC9">
        <w:rPr>
          <w:rFonts w:ascii="AAA GoldenLotus" w:hAnsi="AAA GoldenLotus" w:hint="cs"/>
          <w:sz w:val="27"/>
          <w:rtl/>
        </w:rPr>
        <w:t>ْ</w:t>
      </w:r>
      <w:r w:rsidR="00E355F2" w:rsidRPr="00282AC9">
        <w:rPr>
          <w:rFonts w:ascii="AAA GoldenLotus" w:hAnsi="AAA GoldenLotus" w:hint="cs"/>
          <w:sz w:val="27"/>
          <w:rtl/>
        </w:rPr>
        <w:t>ج</w:t>
      </w:r>
      <w:r w:rsidR="00637C1A" w:rsidRPr="00282AC9">
        <w:rPr>
          <w:rFonts w:ascii="AAA GoldenLotus" w:hAnsi="AAA GoldenLotus" w:hint="cs"/>
          <w:sz w:val="27"/>
          <w:rtl/>
        </w:rPr>
        <w:t>َ</w:t>
      </w:r>
      <w:r w:rsidR="00E355F2" w:rsidRPr="00282AC9">
        <w:rPr>
          <w:rFonts w:ascii="AAA GoldenLotus" w:hAnsi="AAA GoldenLotus" w:hint="cs"/>
          <w:sz w:val="27"/>
          <w:rtl/>
        </w:rPr>
        <w:t>ع إليه في الم</w:t>
      </w:r>
      <w:r w:rsidR="00637C1A" w:rsidRPr="00282AC9">
        <w:rPr>
          <w:rFonts w:ascii="AAA GoldenLotus" w:hAnsi="AAA GoldenLotus" w:hint="cs"/>
          <w:sz w:val="27"/>
          <w:rtl/>
        </w:rPr>
        <w:t>وا</w:t>
      </w:r>
      <w:r w:rsidR="00E355F2" w:rsidRPr="00282AC9">
        <w:rPr>
          <w:rFonts w:ascii="AAA GoldenLotus" w:hAnsi="AAA GoldenLotus" w:hint="cs"/>
          <w:sz w:val="27"/>
          <w:rtl/>
        </w:rPr>
        <w:t xml:space="preserve">رد </w:t>
      </w:r>
      <w:r w:rsidR="00637C1A" w:rsidRPr="00282AC9">
        <w:rPr>
          <w:rFonts w:ascii="AAA GoldenLotus" w:hAnsi="AAA GoldenLotus" w:hint="cs"/>
          <w:sz w:val="27"/>
          <w:rtl/>
        </w:rPr>
        <w:t>م</w:t>
      </w:r>
      <w:r w:rsidR="00E355F2" w:rsidRPr="00282AC9">
        <w:rPr>
          <w:rFonts w:ascii="AAA GoldenLotus" w:hAnsi="AAA GoldenLotus" w:hint="cs"/>
          <w:sz w:val="27"/>
          <w:rtl/>
        </w:rPr>
        <w:t>شكوكة الاختصاص</w:t>
      </w:r>
      <w:r w:rsidR="00637C1A" w:rsidRPr="00282AC9">
        <w:rPr>
          <w:rFonts w:ascii="AAA GoldenLotus" w:hAnsi="AAA GoldenLotus" w:hint="cs"/>
          <w:sz w:val="27"/>
          <w:rtl/>
        </w:rPr>
        <w:t>.</w:t>
      </w:r>
    </w:p>
    <w:p w:rsidR="00E355F2" w:rsidRPr="00282AC9" w:rsidRDefault="00E355F2" w:rsidP="00046546">
      <w:pPr>
        <w:rPr>
          <w:rFonts w:ascii="AAA GoldenLotus" w:hAnsi="AAA GoldenLotus"/>
          <w:sz w:val="27"/>
          <w:rtl/>
        </w:rPr>
      </w:pPr>
      <w:r w:rsidRPr="00282AC9">
        <w:rPr>
          <w:rFonts w:ascii="AAA GoldenLotus" w:hAnsi="AAA GoldenLotus" w:hint="cs"/>
          <w:sz w:val="27"/>
          <w:rtl/>
        </w:rPr>
        <w:t>ومن هنا كان من المناسب الإشارة إلى بعض الموارد التي خرجت عن القاعدة</w:t>
      </w:r>
      <w:r w:rsidR="00637C1A" w:rsidRPr="00282AC9">
        <w:rPr>
          <w:rFonts w:ascii="AAA GoldenLotus" w:hAnsi="AAA GoldenLotus" w:hint="cs"/>
          <w:sz w:val="27"/>
          <w:rtl/>
        </w:rPr>
        <w:t>،</w:t>
      </w:r>
      <w:r w:rsidRPr="00282AC9">
        <w:rPr>
          <w:rFonts w:ascii="AAA GoldenLotus" w:hAnsi="AAA GoldenLotus" w:hint="cs"/>
          <w:sz w:val="27"/>
          <w:rtl/>
        </w:rPr>
        <w:t xml:space="preserve"> مع بيان ملاك هذا الخروج.</w:t>
      </w:r>
    </w:p>
    <w:p w:rsidR="008573BF" w:rsidRPr="00282AC9" w:rsidRDefault="008573BF" w:rsidP="008573BF">
      <w:pPr>
        <w:spacing w:line="420" w:lineRule="exact"/>
        <w:rPr>
          <w:rtl/>
        </w:rPr>
      </w:pPr>
    </w:p>
    <w:p w:rsidR="00E355F2" w:rsidRPr="00282AC9" w:rsidRDefault="00E355F2" w:rsidP="007D08F4">
      <w:pPr>
        <w:pStyle w:val="31"/>
        <w:rPr>
          <w:color w:val="auto"/>
          <w:rtl/>
        </w:rPr>
      </w:pPr>
      <w:r w:rsidRPr="00282AC9">
        <w:rPr>
          <w:rFonts w:hint="cs"/>
          <w:color w:val="auto"/>
          <w:rtl/>
        </w:rPr>
        <w:t>أولاً: مناط الخروج</w:t>
      </w:r>
    </w:p>
    <w:p w:rsidR="00E355F2" w:rsidRPr="00282AC9" w:rsidRDefault="00E355F2" w:rsidP="00046546">
      <w:pPr>
        <w:rPr>
          <w:rFonts w:ascii="AAA GoldenLotus" w:hAnsi="AAA GoldenLotus"/>
          <w:sz w:val="27"/>
          <w:rtl/>
        </w:rPr>
      </w:pPr>
      <w:r w:rsidRPr="00282AC9">
        <w:rPr>
          <w:rFonts w:ascii="AAA GoldenLotus" w:hAnsi="AAA GoldenLotus"/>
          <w:sz w:val="27"/>
          <w:rtl/>
        </w:rPr>
        <w:t>لا خلاف في أن الأصل في الشريعة هو اشتراك التكليف والحكم بين الرجال والنساء</w:t>
      </w:r>
      <w:r w:rsidR="00637C1A" w:rsidRPr="00282AC9">
        <w:rPr>
          <w:rFonts w:ascii="AAA GoldenLotus" w:hAnsi="AAA GoldenLotus" w:hint="cs"/>
          <w:sz w:val="27"/>
          <w:rtl/>
        </w:rPr>
        <w:t>.</w:t>
      </w:r>
      <w:r w:rsidRPr="00282AC9">
        <w:rPr>
          <w:rFonts w:ascii="AAA GoldenLotus" w:hAnsi="AAA GoldenLotus"/>
          <w:sz w:val="27"/>
          <w:rtl/>
        </w:rPr>
        <w:t xml:space="preserve"> والخروج عن هذا الأصل يحتاج إلى دليل</w:t>
      </w:r>
      <w:r w:rsidR="00637C1A" w:rsidRPr="00282AC9">
        <w:rPr>
          <w:rFonts w:ascii="AAA GoldenLotus" w:hAnsi="AAA GoldenLotus" w:hint="cs"/>
          <w:sz w:val="27"/>
          <w:rtl/>
        </w:rPr>
        <w:t>ٍ.</w:t>
      </w:r>
      <w:r w:rsidRPr="00282AC9">
        <w:rPr>
          <w:rFonts w:ascii="AAA GoldenLotus" w:hAnsi="AAA GoldenLotus"/>
          <w:sz w:val="27"/>
          <w:rtl/>
        </w:rPr>
        <w:t xml:space="preserve"> وهذا لا كلام</w:t>
      </w:r>
      <w:r w:rsidR="00637C1A" w:rsidRPr="00282AC9">
        <w:rPr>
          <w:rFonts w:ascii="AAA GoldenLotus" w:hAnsi="AAA GoldenLotus" w:hint="cs"/>
          <w:sz w:val="27"/>
          <w:rtl/>
        </w:rPr>
        <w:t>َ</w:t>
      </w:r>
      <w:r w:rsidRPr="00282AC9">
        <w:rPr>
          <w:rFonts w:ascii="AAA GoldenLotus" w:hAnsi="AAA GoldenLotus"/>
          <w:sz w:val="27"/>
          <w:rtl/>
        </w:rPr>
        <w:t xml:space="preserve"> فيه</w:t>
      </w:r>
      <w:r w:rsidR="00637C1A" w:rsidRPr="00282AC9">
        <w:rPr>
          <w:rFonts w:ascii="AAA GoldenLotus" w:hAnsi="AAA GoldenLotus" w:hint="cs"/>
          <w:sz w:val="27"/>
          <w:rtl/>
        </w:rPr>
        <w:t>.</w:t>
      </w:r>
      <w:r w:rsidRPr="00282AC9">
        <w:rPr>
          <w:rFonts w:ascii="AAA GoldenLotus" w:hAnsi="AAA GoldenLotus"/>
          <w:sz w:val="27"/>
          <w:rtl/>
        </w:rPr>
        <w:t xml:space="preserve"> إنما الكلام فيما هو المناط في الخروج عن القاعدة</w:t>
      </w:r>
      <w:r w:rsidR="00637C1A" w:rsidRPr="00282AC9">
        <w:rPr>
          <w:rFonts w:ascii="AAA GoldenLotus" w:hAnsi="AAA GoldenLotus" w:hint="cs"/>
          <w:sz w:val="27"/>
          <w:rtl/>
        </w:rPr>
        <w:t>.</w:t>
      </w:r>
      <w:r w:rsidRPr="00282AC9">
        <w:rPr>
          <w:rFonts w:ascii="AAA GoldenLotus" w:hAnsi="AAA GoldenLotus"/>
          <w:sz w:val="27"/>
          <w:rtl/>
        </w:rPr>
        <w:t xml:space="preserve"> وهذا يحتاج إلى القيام بمقاربة</w:t>
      </w:r>
      <w:r w:rsidR="00637C1A" w:rsidRPr="00282AC9">
        <w:rPr>
          <w:rFonts w:ascii="AAA GoldenLotus" w:hAnsi="AAA GoldenLotus" w:hint="cs"/>
          <w:sz w:val="27"/>
          <w:rtl/>
        </w:rPr>
        <w:t>ٍ</w:t>
      </w:r>
      <w:r w:rsidRPr="00282AC9">
        <w:rPr>
          <w:rFonts w:ascii="AAA GoldenLotus" w:hAnsi="AAA GoldenLotus"/>
          <w:sz w:val="27"/>
          <w:rtl/>
        </w:rPr>
        <w:t xml:space="preserve"> من خلال المعطيات التي قد</w:t>
      </w:r>
      <w:r w:rsidR="00637C1A" w:rsidRPr="00282AC9">
        <w:rPr>
          <w:rFonts w:ascii="AAA GoldenLotus" w:hAnsi="AAA GoldenLotus" w:hint="cs"/>
          <w:sz w:val="27"/>
          <w:rtl/>
        </w:rPr>
        <w:t>َّ</w:t>
      </w:r>
      <w:r w:rsidRPr="00282AC9">
        <w:rPr>
          <w:rFonts w:ascii="AAA GoldenLotus" w:hAnsi="AAA GoldenLotus"/>
          <w:sz w:val="27"/>
          <w:rtl/>
        </w:rPr>
        <w:t>متها المذاهب الإسلامي</w:t>
      </w:r>
      <w:r w:rsidR="00637C1A" w:rsidRPr="00282AC9">
        <w:rPr>
          <w:rFonts w:ascii="AAA GoldenLotus" w:hAnsi="AAA GoldenLotus" w:hint="cs"/>
          <w:sz w:val="27"/>
          <w:rtl/>
        </w:rPr>
        <w:t>ّ</w:t>
      </w:r>
      <w:r w:rsidRPr="00282AC9">
        <w:rPr>
          <w:rFonts w:ascii="AAA GoldenLotus" w:hAnsi="AAA GoldenLotus"/>
          <w:sz w:val="27"/>
          <w:rtl/>
        </w:rPr>
        <w:t>ة في هذا المجال:</w:t>
      </w:r>
    </w:p>
    <w:p w:rsidR="008573BF" w:rsidRPr="00282AC9" w:rsidRDefault="008573BF" w:rsidP="008573BF">
      <w:pPr>
        <w:spacing w:line="420" w:lineRule="exact"/>
        <w:rPr>
          <w:rtl/>
        </w:rPr>
      </w:pPr>
      <w:bookmarkStart w:id="33" w:name="_Toc30695477"/>
      <w:bookmarkStart w:id="34" w:name="_Toc33819736"/>
    </w:p>
    <w:p w:rsidR="00E355F2" w:rsidRPr="00282AC9" w:rsidRDefault="00E355F2" w:rsidP="007D08F4">
      <w:pPr>
        <w:pStyle w:val="31"/>
        <w:rPr>
          <w:color w:val="auto"/>
          <w:rtl/>
        </w:rPr>
      </w:pPr>
      <w:r w:rsidRPr="00282AC9">
        <w:rPr>
          <w:rFonts w:hint="cs"/>
          <w:color w:val="auto"/>
          <w:rtl/>
        </w:rPr>
        <w:t xml:space="preserve">1ـ </w:t>
      </w:r>
      <w:r w:rsidRPr="00282AC9">
        <w:rPr>
          <w:color w:val="auto"/>
          <w:rtl/>
        </w:rPr>
        <w:t>مناط الخروج بنظر الإمامي</w:t>
      </w:r>
      <w:r w:rsidR="00637C1A" w:rsidRPr="00282AC9">
        <w:rPr>
          <w:rFonts w:hint="cs"/>
          <w:color w:val="auto"/>
          <w:rtl/>
        </w:rPr>
        <w:t>ّ</w:t>
      </w:r>
      <w:r w:rsidRPr="00282AC9">
        <w:rPr>
          <w:color w:val="auto"/>
          <w:rtl/>
        </w:rPr>
        <w:t>ة</w:t>
      </w:r>
      <w:bookmarkEnd w:id="33"/>
      <w:bookmarkEnd w:id="34"/>
    </w:p>
    <w:p w:rsidR="00E355F2" w:rsidRPr="00282AC9" w:rsidRDefault="00E355F2" w:rsidP="00046546">
      <w:pPr>
        <w:rPr>
          <w:rFonts w:ascii="AAA GoldenLotus" w:hAnsi="AAA GoldenLotus"/>
          <w:sz w:val="27"/>
          <w:rtl/>
        </w:rPr>
      </w:pPr>
      <w:r w:rsidRPr="00282AC9">
        <w:rPr>
          <w:rFonts w:ascii="AAA GoldenLotus" w:hAnsi="AAA GoldenLotus"/>
          <w:sz w:val="27"/>
          <w:rtl/>
        </w:rPr>
        <w:t>المستفاد من كلمات علماء الإمامي</w:t>
      </w:r>
      <w:r w:rsidR="000714FA" w:rsidRPr="00282AC9">
        <w:rPr>
          <w:rFonts w:ascii="AAA GoldenLotus" w:hAnsi="AAA GoldenLotus" w:hint="cs"/>
          <w:sz w:val="27"/>
          <w:rtl/>
        </w:rPr>
        <w:t>ّ</w:t>
      </w:r>
      <w:r w:rsidRPr="00282AC9">
        <w:rPr>
          <w:rFonts w:ascii="AAA GoldenLotus" w:hAnsi="AAA GoldenLotus"/>
          <w:sz w:val="27"/>
          <w:rtl/>
        </w:rPr>
        <w:t xml:space="preserve">ة أن المناط للخروج عن هذه القاعدة </w:t>
      </w:r>
      <w:r w:rsidRPr="00282AC9">
        <w:rPr>
          <w:rFonts w:ascii="AAA GoldenLotus" w:hAnsi="AAA GoldenLotus"/>
          <w:sz w:val="27"/>
          <w:rtl/>
        </w:rPr>
        <w:lastRenderedPageBreak/>
        <w:t>والأصل</w:t>
      </w:r>
      <w:r w:rsidR="000714FA" w:rsidRPr="00282AC9">
        <w:rPr>
          <w:rFonts w:ascii="AAA GoldenLotus" w:hAnsi="AAA GoldenLotus" w:hint="cs"/>
          <w:sz w:val="27"/>
          <w:rtl/>
        </w:rPr>
        <w:t>،</w:t>
      </w:r>
      <w:r w:rsidRPr="00282AC9">
        <w:rPr>
          <w:rFonts w:ascii="AAA GoldenLotus" w:hAnsi="AAA GoldenLotus"/>
          <w:sz w:val="27"/>
          <w:rtl/>
        </w:rPr>
        <w:t xml:space="preserve"> بأن </w:t>
      </w:r>
      <w:r w:rsidR="000714FA" w:rsidRPr="00282AC9">
        <w:rPr>
          <w:rFonts w:ascii="AAA GoldenLotus" w:hAnsi="AAA GoldenLotus" w:hint="cs"/>
          <w:sz w:val="27"/>
          <w:rtl/>
        </w:rPr>
        <w:t>ي</w:t>
      </w:r>
      <w:r w:rsidRPr="00282AC9">
        <w:rPr>
          <w:rFonts w:ascii="AAA GoldenLotus" w:hAnsi="AAA GoldenLotus"/>
          <w:sz w:val="27"/>
          <w:rtl/>
        </w:rPr>
        <w:t>خص</w:t>
      </w:r>
      <w:r w:rsidR="000714FA" w:rsidRPr="00282AC9">
        <w:rPr>
          <w:rFonts w:ascii="AAA GoldenLotus" w:hAnsi="AAA GoldenLotus" w:hint="cs"/>
          <w:sz w:val="27"/>
          <w:rtl/>
        </w:rPr>
        <w:t>َّ</w:t>
      </w:r>
      <w:r w:rsidRPr="00282AC9">
        <w:rPr>
          <w:rFonts w:ascii="AAA GoldenLotus" w:hAnsi="AAA GoldenLotus"/>
          <w:sz w:val="27"/>
          <w:rtl/>
        </w:rPr>
        <w:t>ص الحكم بأحدهما دون الآخر،</w:t>
      </w:r>
      <w:r w:rsidR="000714FA" w:rsidRPr="00282AC9">
        <w:rPr>
          <w:rFonts w:ascii="AAA GoldenLotus" w:hAnsi="AAA GoldenLotus"/>
          <w:sz w:val="27"/>
          <w:rtl/>
        </w:rPr>
        <w:t xml:space="preserve"> هو الخضوع لمصلحةٍ يراها الش</w:t>
      </w:r>
      <w:r w:rsidRPr="00282AC9">
        <w:rPr>
          <w:rFonts w:ascii="AAA GoldenLotus" w:hAnsi="AAA GoldenLotus"/>
          <w:sz w:val="27"/>
          <w:rtl/>
        </w:rPr>
        <w:t>ارع الحكيم</w:t>
      </w:r>
      <w:r w:rsidR="000714FA" w:rsidRPr="00282AC9">
        <w:rPr>
          <w:rFonts w:ascii="AAA GoldenLotus" w:hAnsi="AAA GoldenLotus" w:hint="cs"/>
          <w:sz w:val="27"/>
          <w:rtl/>
        </w:rPr>
        <w:t>؛</w:t>
      </w:r>
      <w:r w:rsidR="000714FA" w:rsidRPr="00282AC9">
        <w:rPr>
          <w:rFonts w:ascii="AAA GoldenLotus" w:hAnsi="AAA GoldenLotus"/>
          <w:sz w:val="27"/>
          <w:rtl/>
        </w:rPr>
        <w:t xml:space="preserve"> وذلك إمّا لاختلاف الت</w:t>
      </w:r>
      <w:r w:rsidRPr="00282AC9">
        <w:rPr>
          <w:rFonts w:ascii="AAA GoldenLotus" w:hAnsi="AAA GoldenLotus"/>
          <w:sz w:val="27"/>
          <w:rtl/>
        </w:rPr>
        <w:t>كوين بين الجنسين، أو اختلاف الأدوار المنوطة بكلٍّ منهما،</w:t>
      </w:r>
      <w:r w:rsidR="000714FA" w:rsidRPr="00282AC9">
        <w:rPr>
          <w:rFonts w:ascii="AAA GoldenLotus" w:hAnsi="AAA GoldenLotus"/>
          <w:sz w:val="27"/>
          <w:rtl/>
        </w:rPr>
        <w:t xml:space="preserve"> أو مراعاة الظ</w:t>
      </w:r>
      <w:r w:rsidRPr="00282AC9">
        <w:rPr>
          <w:rFonts w:ascii="AAA GoldenLotus" w:hAnsi="AAA GoldenLotus"/>
          <w:sz w:val="27"/>
          <w:rtl/>
        </w:rPr>
        <w:t>روف والعناوين الطارئة.</w:t>
      </w:r>
    </w:p>
    <w:p w:rsidR="00E355F2" w:rsidRPr="00282AC9" w:rsidRDefault="00E355F2" w:rsidP="008573BF">
      <w:pPr>
        <w:spacing w:line="360" w:lineRule="exact"/>
        <w:rPr>
          <w:rFonts w:ascii="AAA GoldenLotus" w:hAnsi="AAA GoldenLotus"/>
          <w:sz w:val="27"/>
          <w:rtl/>
        </w:rPr>
      </w:pPr>
    </w:p>
    <w:p w:rsidR="00E355F2" w:rsidRPr="00282AC9" w:rsidRDefault="00E355F2" w:rsidP="007D08F4">
      <w:pPr>
        <w:pStyle w:val="31"/>
        <w:rPr>
          <w:color w:val="auto"/>
          <w:rtl/>
        </w:rPr>
      </w:pPr>
      <w:bookmarkStart w:id="35" w:name="_Toc30695478"/>
      <w:bookmarkStart w:id="36" w:name="_Toc33819737"/>
      <w:r w:rsidRPr="00282AC9">
        <w:rPr>
          <w:rFonts w:hint="cs"/>
          <w:color w:val="auto"/>
          <w:rtl/>
        </w:rPr>
        <w:t xml:space="preserve">2ـ </w:t>
      </w:r>
      <w:r w:rsidRPr="00282AC9">
        <w:rPr>
          <w:color w:val="auto"/>
          <w:rtl/>
        </w:rPr>
        <w:t>مناط الخروج بنظر المذاهب الأخرى</w:t>
      </w:r>
      <w:bookmarkEnd w:id="35"/>
      <w:bookmarkEnd w:id="36"/>
      <w:r w:rsidRPr="00282AC9">
        <w:rPr>
          <w:color w:val="auto"/>
          <w:rtl/>
        </w:rPr>
        <w:t xml:space="preserve"> </w:t>
      </w:r>
    </w:p>
    <w:p w:rsidR="00E355F2" w:rsidRPr="00282AC9" w:rsidRDefault="00E355F2" w:rsidP="008573BF">
      <w:pPr>
        <w:spacing w:line="390" w:lineRule="exact"/>
        <w:rPr>
          <w:rFonts w:ascii="AAA GoldenLotus" w:hAnsi="AAA GoldenLotus"/>
          <w:sz w:val="27"/>
          <w:rtl/>
        </w:rPr>
      </w:pPr>
      <w:r w:rsidRPr="00282AC9">
        <w:rPr>
          <w:rFonts w:ascii="AAA GoldenLotus" w:hAnsi="AAA GoldenLotus"/>
          <w:sz w:val="27"/>
          <w:rtl/>
        </w:rPr>
        <w:t>ذكروا في هذا المجال أن التسوية والعموم يقومان على الفطرة والعدالة، فكذلك الاستثناء واختلاف الأحكام، قد تقتضيها الفطرة والعدالة. ولذلك فاستثناءات هذه القاعدة مرجع</w:t>
      </w:r>
      <w:r w:rsidR="000714FA" w:rsidRPr="00282AC9">
        <w:rPr>
          <w:rFonts w:ascii="AAA GoldenLotus" w:hAnsi="AAA GoldenLotus" w:hint="cs"/>
          <w:sz w:val="27"/>
          <w:rtl/>
        </w:rPr>
        <w:t>ُ</w:t>
      </w:r>
      <w:r w:rsidRPr="00282AC9">
        <w:rPr>
          <w:rFonts w:ascii="AAA GoldenLotus" w:hAnsi="AAA GoldenLotus"/>
          <w:sz w:val="27"/>
          <w:rtl/>
        </w:rPr>
        <w:t>ها إما إلى اختلاف الوظائف الفطري</w:t>
      </w:r>
      <w:r w:rsidR="000714FA" w:rsidRPr="00282AC9">
        <w:rPr>
          <w:rFonts w:ascii="AAA GoldenLotus" w:hAnsi="AAA GoldenLotus" w:hint="cs"/>
          <w:sz w:val="27"/>
          <w:rtl/>
        </w:rPr>
        <w:t>ّ</w:t>
      </w:r>
      <w:r w:rsidRPr="00282AC9">
        <w:rPr>
          <w:rFonts w:ascii="AAA GoldenLotus" w:hAnsi="AAA GoldenLotus"/>
          <w:sz w:val="27"/>
          <w:rtl/>
        </w:rPr>
        <w:t>ة التي تتأس</w:t>
      </w:r>
      <w:r w:rsidR="000714FA" w:rsidRPr="00282AC9">
        <w:rPr>
          <w:rFonts w:ascii="AAA GoldenLotus" w:hAnsi="AAA GoldenLotus" w:hint="cs"/>
          <w:sz w:val="27"/>
          <w:rtl/>
        </w:rPr>
        <w:t>َّ</w:t>
      </w:r>
      <w:r w:rsidRPr="00282AC9">
        <w:rPr>
          <w:rFonts w:ascii="AAA GoldenLotus" w:hAnsi="AAA GoldenLotus"/>
          <w:sz w:val="27"/>
          <w:rtl/>
        </w:rPr>
        <w:t>س عليها الأحكام، كما في الأحكام التي يختلف فيها الذكور والإناث، ويختلف فيها البالغون والقاصرون</w:t>
      </w:r>
      <w:r w:rsidR="000714FA" w:rsidRPr="00282AC9">
        <w:rPr>
          <w:rFonts w:ascii="AAA GoldenLotus" w:hAnsi="AAA GoldenLotus" w:hint="cs"/>
          <w:sz w:val="27"/>
          <w:rtl/>
        </w:rPr>
        <w:t>؛</w:t>
      </w:r>
      <w:r w:rsidRPr="00282AC9">
        <w:rPr>
          <w:rFonts w:ascii="AAA GoldenLotus" w:hAnsi="AAA GoldenLotus"/>
          <w:sz w:val="27"/>
          <w:rtl/>
        </w:rPr>
        <w:t xml:space="preserve"> وإمّا إلى اختلاف الأسباب والصفات الموجبة للحقوق والواجبات، بناء</w:t>
      </w:r>
      <w:r w:rsidR="000714FA" w:rsidRPr="00282AC9">
        <w:rPr>
          <w:rFonts w:ascii="AAA GoldenLotus" w:hAnsi="AAA GoldenLotus" w:hint="cs"/>
          <w:sz w:val="27"/>
          <w:rtl/>
        </w:rPr>
        <w:t>ً</w:t>
      </w:r>
      <w:r w:rsidRPr="00282AC9">
        <w:rPr>
          <w:rFonts w:ascii="AAA GoldenLotus" w:hAnsi="AAA GoldenLotus"/>
          <w:sz w:val="27"/>
          <w:rtl/>
        </w:rPr>
        <w:t xml:space="preserve"> على قاعدة (المساواة في سبب الاستحقاق يوجب المساواة في الاستحقاق)، كما في بعض الاختلافات التشريعية بين المسلمين وغير المسلمين</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76"/>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0714FA" w:rsidP="008573BF">
      <w:pPr>
        <w:spacing w:line="390" w:lineRule="exact"/>
        <w:rPr>
          <w:rFonts w:ascii="AAA GoldenLotus" w:hAnsi="AAA GoldenLotus"/>
          <w:sz w:val="27"/>
          <w:rtl/>
        </w:rPr>
      </w:pPr>
      <w:r w:rsidRPr="00282AC9">
        <w:rPr>
          <w:rFonts w:ascii="AAA GoldenLotus" w:hAnsi="AAA GoldenLotus"/>
          <w:sz w:val="27"/>
          <w:rtl/>
        </w:rPr>
        <w:t>فكلٌّ من الر</w:t>
      </w:r>
      <w:r w:rsidR="00E355F2" w:rsidRPr="00282AC9">
        <w:rPr>
          <w:rFonts w:ascii="AAA GoldenLotus" w:hAnsi="AAA GoldenLotus"/>
          <w:sz w:val="27"/>
          <w:rtl/>
        </w:rPr>
        <w:t>جل والمرأة مكلَّف</w:t>
      </w:r>
      <w:r w:rsidRPr="00282AC9">
        <w:rPr>
          <w:rFonts w:ascii="AAA GoldenLotus" w:hAnsi="AAA GoldenLotus" w:hint="cs"/>
          <w:sz w:val="27"/>
          <w:rtl/>
        </w:rPr>
        <w:t>ٌ</w:t>
      </w:r>
      <w:r w:rsidRPr="00282AC9">
        <w:rPr>
          <w:rFonts w:ascii="AAA GoldenLotus" w:hAnsi="AAA GoldenLotus"/>
          <w:sz w:val="27"/>
          <w:rtl/>
        </w:rPr>
        <w:t xml:space="preserve"> استقلالاً بتكاليف الشريعة</w:t>
      </w:r>
      <w:r w:rsidR="002B12F5" w:rsidRPr="00282AC9">
        <w:rPr>
          <w:rFonts w:ascii="AAA GoldenLotus" w:hAnsi="AAA GoldenLotus" w:hint="cs"/>
          <w:sz w:val="27"/>
          <w:rtl/>
        </w:rPr>
        <w:t>،</w:t>
      </w:r>
      <w:r w:rsidRPr="00282AC9">
        <w:rPr>
          <w:rFonts w:ascii="AAA GoldenLotus" w:hAnsi="AAA GoldenLotus"/>
          <w:sz w:val="27"/>
          <w:rtl/>
        </w:rPr>
        <w:t xml:space="preserve"> إلا</w:t>
      </w:r>
      <w:r w:rsidRPr="00282AC9">
        <w:rPr>
          <w:rFonts w:ascii="AAA GoldenLotus" w:hAnsi="AAA GoldenLotus" w:hint="cs"/>
          <w:sz w:val="27"/>
          <w:rtl/>
        </w:rPr>
        <w:t>ّ</w:t>
      </w:r>
      <w:r w:rsidRPr="00282AC9">
        <w:rPr>
          <w:rFonts w:ascii="AAA GoldenLotus" w:hAnsi="AAA GoldenLotus"/>
          <w:sz w:val="27"/>
          <w:rtl/>
        </w:rPr>
        <w:t xml:space="preserve"> ما اس</w:t>
      </w:r>
      <w:r w:rsidR="00E355F2" w:rsidRPr="00282AC9">
        <w:rPr>
          <w:rFonts w:ascii="AAA GoldenLotus" w:hAnsi="AAA GoldenLotus"/>
          <w:sz w:val="27"/>
          <w:rtl/>
        </w:rPr>
        <w:t>تُثني فيه أحدهما</w:t>
      </w:r>
      <w:r w:rsidR="002B12F5" w:rsidRPr="00282AC9">
        <w:rPr>
          <w:rFonts w:ascii="AAA GoldenLotus" w:hAnsi="AAA GoldenLotus" w:hint="cs"/>
          <w:sz w:val="27"/>
          <w:rtl/>
        </w:rPr>
        <w:t>.</w:t>
      </w:r>
      <w:r w:rsidR="00E355F2" w:rsidRPr="00282AC9">
        <w:rPr>
          <w:rFonts w:ascii="AAA GoldenLotus" w:hAnsi="AAA GoldenLotus"/>
          <w:sz w:val="27"/>
          <w:rtl/>
        </w:rPr>
        <w:t xml:space="preserve"> وفي ذلك يقول ابن القيِّم: </w:t>
      </w:r>
      <w:r w:rsidR="002B12F5" w:rsidRPr="00282AC9">
        <w:rPr>
          <w:rFonts w:hint="eastAsia"/>
          <w:sz w:val="24"/>
          <w:szCs w:val="24"/>
          <w:rtl/>
        </w:rPr>
        <w:t>«</w:t>
      </w:r>
      <w:r w:rsidR="002B12F5" w:rsidRPr="00282AC9">
        <w:rPr>
          <w:rFonts w:ascii="AAA GoldenLotus" w:hAnsi="AAA GoldenLotus"/>
          <w:sz w:val="27"/>
          <w:rtl/>
        </w:rPr>
        <w:t>فإنّ</w:t>
      </w:r>
      <w:r w:rsidR="00E83C6D" w:rsidRPr="00282AC9">
        <w:rPr>
          <w:rFonts w:ascii="AAA GoldenLotus" w:hAnsi="AAA GoldenLotus"/>
          <w:sz w:val="27"/>
          <w:rtl/>
        </w:rPr>
        <w:t xml:space="preserve"> مصلحةَ العبادات البدنيّ</w:t>
      </w:r>
      <w:r w:rsidR="00E355F2" w:rsidRPr="00282AC9">
        <w:rPr>
          <w:rFonts w:ascii="AAA GoldenLotus" w:hAnsi="AAA GoldenLotus"/>
          <w:sz w:val="27"/>
          <w:rtl/>
        </w:rPr>
        <w:t>ة ومصلحةَ العقوبات</w:t>
      </w:r>
      <w:r w:rsidR="002B12F5" w:rsidRPr="00282AC9">
        <w:rPr>
          <w:rFonts w:ascii="AAA GoldenLotus" w:hAnsi="AAA GoldenLotus"/>
          <w:sz w:val="27"/>
          <w:rtl/>
        </w:rPr>
        <w:t xml:space="preserve"> الرجالُ والن</w:t>
      </w:r>
      <w:r w:rsidR="00E355F2" w:rsidRPr="00282AC9">
        <w:rPr>
          <w:rFonts w:ascii="AAA GoldenLotus" w:hAnsi="AAA GoldenLotus"/>
          <w:sz w:val="27"/>
          <w:rtl/>
        </w:rPr>
        <w:t>ساء مشتركون فيها، وحاجة</w:t>
      </w:r>
      <w:r w:rsidR="002B12F5" w:rsidRPr="00282AC9">
        <w:rPr>
          <w:rFonts w:ascii="AAA GoldenLotus" w:hAnsi="AAA GoldenLotus" w:hint="cs"/>
          <w:sz w:val="27"/>
          <w:rtl/>
        </w:rPr>
        <w:t>ُ</w:t>
      </w:r>
      <w:r w:rsidR="00E355F2" w:rsidRPr="00282AC9">
        <w:rPr>
          <w:rFonts w:ascii="AAA GoldenLotus" w:hAnsi="AAA GoldenLotus"/>
          <w:sz w:val="27"/>
          <w:rtl/>
        </w:rPr>
        <w:t xml:space="preserve"> أحد الصِّنفين إليها كحاجة الصِّنف الآخر،</w:t>
      </w:r>
      <w:r w:rsidR="002B12F5" w:rsidRPr="00282AC9">
        <w:rPr>
          <w:rFonts w:ascii="AAA GoldenLotus" w:hAnsi="AAA GoldenLotus"/>
          <w:sz w:val="27"/>
          <w:rtl/>
        </w:rPr>
        <w:t xml:space="preserve"> فلا يليق الت</w:t>
      </w:r>
      <w:r w:rsidR="00E355F2" w:rsidRPr="00282AC9">
        <w:rPr>
          <w:rFonts w:ascii="AAA GoldenLotus" w:hAnsi="AAA GoldenLotus"/>
          <w:sz w:val="27"/>
          <w:rtl/>
        </w:rPr>
        <w:t>فريق بينهما</w:t>
      </w:r>
      <w:r w:rsidR="002B12F5" w:rsidRPr="00282AC9">
        <w:rPr>
          <w:rFonts w:ascii="AAA GoldenLotus" w:hAnsi="AAA GoldenLotus" w:hint="cs"/>
          <w:sz w:val="27"/>
          <w:rtl/>
        </w:rPr>
        <w:t>.</w:t>
      </w:r>
      <w:r w:rsidR="00E355F2" w:rsidRPr="00282AC9">
        <w:rPr>
          <w:rFonts w:ascii="AAA GoldenLotus" w:hAnsi="AAA GoldenLotus"/>
          <w:sz w:val="27"/>
          <w:rtl/>
        </w:rPr>
        <w:t xml:space="preserve"> نعم؛ فرَّق</w:t>
      </w:r>
      <w:r w:rsidR="002B12F5" w:rsidRPr="00282AC9">
        <w:rPr>
          <w:rFonts w:ascii="AAA GoldenLotus" w:hAnsi="AAA GoldenLotus" w:hint="cs"/>
          <w:sz w:val="27"/>
          <w:rtl/>
        </w:rPr>
        <w:t>َ</w:t>
      </w:r>
      <w:r w:rsidR="002B12F5" w:rsidRPr="00282AC9">
        <w:rPr>
          <w:rFonts w:ascii="AAA GoldenLotus" w:hAnsi="AAA GoldenLotus"/>
          <w:sz w:val="27"/>
          <w:rtl/>
        </w:rPr>
        <w:t>ت بينهما في أليق المواضع بالت</w:t>
      </w:r>
      <w:r w:rsidR="00E355F2" w:rsidRPr="00282AC9">
        <w:rPr>
          <w:rFonts w:ascii="AAA GoldenLotus" w:hAnsi="AAA GoldenLotus"/>
          <w:sz w:val="27"/>
          <w:rtl/>
        </w:rPr>
        <w:t>فريق</w:t>
      </w:r>
      <w:r w:rsidR="002B12F5" w:rsidRPr="00282AC9">
        <w:rPr>
          <w:rFonts w:ascii="AAA GoldenLotus" w:hAnsi="AAA GoldenLotus" w:hint="cs"/>
          <w:sz w:val="27"/>
          <w:rtl/>
        </w:rPr>
        <w:t>،</w:t>
      </w:r>
      <w:r w:rsidR="00E355F2" w:rsidRPr="00282AC9">
        <w:rPr>
          <w:rFonts w:ascii="AAA GoldenLotus" w:hAnsi="AAA GoldenLotus"/>
          <w:sz w:val="27"/>
          <w:rtl/>
        </w:rPr>
        <w:t xml:space="preserve"> وهو الجمعة والجماعة،</w:t>
      </w:r>
      <w:r w:rsidR="002B12F5" w:rsidRPr="00282AC9">
        <w:rPr>
          <w:rFonts w:ascii="AAA GoldenLotus" w:hAnsi="AAA GoldenLotus"/>
          <w:sz w:val="27"/>
          <w:rtl/>
        </w:rPr>
        <w:t xml:space="preserve"> فخُصَّ وجوبُهما بالرجال دون النساء؛ لأن</w:t>
      </w:r>
      <w:r w:rsidR="00E355F2" w:rsidRPr="00282AC9">
        <w:rPr>
          <w:rFonts w:ascii="AAA GoldenLotus" w:hAnsi="AAA GoldenLotus"/>
          <w:sz w:val="27"/>
          <w:rtl/>
        </w:rPr>
        <w:t>ه</w:t>
      </w:r>
      <w:r w:rsidR="002B12F5" w:rsidRPr="00282AC9">
        <w:rPr>
          <w:rFonts w:ascii="AAA GoldenLotus" w:hAnsi="AAA GoldenLotus" w:hint="cs"/>
          <w:sz w:val="27"/>
          <w:rtl/>
        </w:rPr>
        <w:t>ُ</w:t>
      </w:r>
      <w:r w:rsidR="00E355F2" w:rsidRPr="00282AC9">
        <w:rPr>
          <w:rFonts w:ascii="AAA GoldenLotus" w:hAnsi="AAA GoldenLotus"/>
          <w:sz w:val="27"/>
          <w:rtl/>
        </w:rPr>
        <w:t>نَّ لَ</w:t>
      </w:r>
      <w:r w:rsidR="002B12F5" w:rsidRPr="00282AC9">
        <w:rPr>
          <w:rFonts w:ascii="AAA GoldenLotus" w:hAnsi="AAA GoldenLotus"/>
          <w:sz w:val="27"/>
          <w:rtl/>
        </w:rPr>
        <w:t>سْنَ من أهل البروز ومخالطة الر</w:t>
      </w:r>
      <w:r w:rsidR="00E355F2" w:rsidRPr="00282AC9">
        <w:rPr>
          <w:rFonts w:ascii="AAA GoldenLotus" w:hAnsi="AAA GoldenLotus"/>
          <w:sz w:val="27"/>
          <w:rtl/>
        </w:rPr>
        <w:t>جال</w:t>
      </w:r>
      <w:r w:rsidR="002B12F5" w:rsidRPr="00282AC9">
        <w:rPr>
          <w:rFonts w:ascii="AAA GoldenLotus" w:hAnsi="AAA GoldenLotus" w:hint="cs"/>
          <w:sz w:val="27"/>
          <w:rtl/>
        </w:rPr>
        <w:t>.</w:t>
      </w:r>
      <w:r w:rsidR="00E355F2" w:rsidRPr="00282AC9">
        <w:rPr>
          <w:rFonts w:ascii="AAA GoldenLotus" w:hAnsi="AAA GoldenLotus"/>
          <w:sz w:val="27"/>
          <w:rtl/>
        </w:rPr>
        <w:t xml:space="preserve"> وكذلك فرَّق</w:t>
      </w:r>
      <w:r w:rsidR="002B12F5" w:rsidRPr="00282AC9">
        <w:rPr>
          <w:rFonts w:ascii="AAA GoldenLotus" w:hAnsi="AAA GoldenLotus" w:hint="cs"/>
          <w:sz w:val="27"/>
          <w:rtl/>
        </w:rPr>
        <w:t>َ</w:t>
      </w:r>
      <w:r w:rsidR="00E355F2" w:rsidRPr="00282AC9">
        <w:rPr>
          <w:rFonts w:ascii="AAA GoldenLotus" w:hAnsi="AAA GoldenLotus"/>
          <w:sz w:val="27"/>
          <w:rtl/>
        </w:rPr>
        <w:t>ت</w:t>
      </w:r>
      <w:r w:rsidR="002B12F5" w:rsidRPr="00282AC9">
        <w:rPr>
          <w:rFonts w:ascii="AAA GoldenLotus" w:hAnsi="AAA GoldenLotus" w:hint="cs"/>
          <w:sz w:val="27"/>
          <w:rtl/>
        </w:rPr>
        <w:t>ْ</w:t>
      </w:r>
      <w:r w:rsidR="00E355F2" w:rsidRPr="00282AC9">
        <w:rPr>
          <w:rFonts w:ascii="AAA GoldenLotus" w:hAnsi="AAA GoldenLotus"/>
          <w:sz w:val="27"/>
          <w:rtl/>
        </w:rPr>
        <w:t xml:space="preserve"> بينهما في عبادة الجهاد</w:t>
      </w:r>
      <w:r w:rsidR="002B12F5" w:rsidRPr="00282AC9">
        <w:rPr>
          <w:rFonts w:ascii="AAA GoldenLotus" w:hAnsi="AAA GoldenLotus" w:hint="cs"/>
          <w:sz w:val="27"/>
          <w:rtl/>
        </w:rPr>
        <w:t>،</w:t>
      </w:r>
      <w:r w:rsidR="00E355F2" w:rsidRPr="00282AC9">
        <w:rPr>
          <w:rFonts w:ascii="AAA GoldenLotus" w:hAnsi="AAA GoldenLotus"/>
          <w:sz w:val="27"/>
          <w:rtl/>
        </w:rPr>
        <w:t xml:space="preserve"> التي ليس الإناثُ من أهلها، وسوَّت</w:t>
      </w:r>
      <w:r w:rsidR="002B12F5" w:rsidRPr="00282AC9">
        <w:rPr>
          <w:rFonts w:ascii="AAA GoldenLotus" w:hAnsi="AAA GoldenLotus" w:hint="cs"/>
          <w:sz w:val="27"/>
          <w:rtl/>
        </w:rPr>
        <w:t>ْ</w:t>
      </w:r>
      <w:r w:rsidR="002B12F5" w:rsidRPr="00282AC9">
        <w:rPr>
          <w:rFonts w:ascii="AAA GoldenLotus" w:hAnsi="AAA GoldenLotus"/>
          <w:sz w:val="27"/>
          <w:rtl/>
        </w:rPr>
        <w:t xml:space="preserve"> بينهما في وجوب </w:t>
      </w:r>
      <w:r w:rsidR="002B12F5" w:rsidRPr="00282AC9">
        <w:rPr>
          <w:rFonts w:ascii="AAA GoldenLotus" w:hAnsi="AAA GoldenLotus" w:hint="cs"/>
          <w:sz w:val="27"/>
          <w:rtl/>
        </w:rPr>
        <w:t>الحجِّ</w:t>
      </w:r>
      <w:r w:rsidR="002B12F5" w:rsidRPr="00282AC9">
        <w:rPr>
          <w:rFonts w:ascii="AAA GoldenLotus" w:hAnsi="AAA GoldenLotus"/>
          <w:sz w:val="27"/>
          <w:rtl/>
        </w:rPr>
        <w:t>؛ لاحتياج الن</w:t>
      </w:r>
      <w:r w:rsidR="00E355F2" w:rsidRPr="00282AC9">
        <w:rPr>
          <w:rFonts w:ascii="AAA GoldenLotus" w:hAnsi="AAA GoldenLotus"/>
          <w:sz w:val="27"/>
          <w:rtl/>
        </w:rPr>
        <w:t>وعين إلى مصلحته،</w:t>
      </w:r>
      <w:r w:rsidR="002B12F5" w:rsidRPr="00282AC9">
        <w:rPr>
          <w:rFonts w:ascii="AAA GoldenLotus" w:hAnsi="AAA GoldenLotus"/>
          <w:sz w:val="27"/>
          <w:rtl/>
        </w:rPr>
        <w:t xml:space="preserve"> وفي وجوب الزكاة والصيام والط</w:t>
      </w:r>
      <w:r w:rsidR="00E355F2" w:rsidRPr="00282AC9">
        <w:rPr>
          <w:rFonts w:ascii="AAA GoldenLotus" w:hAnsi="AAA GoldenLotus"/>
          <w:sz w:val="27"/>
          <w:rtl/>
        </w:rPr>
        <w:t>هارة</w:t>
      </w:r>
      <w:r w:rsidR="002B12F5" w:rsidRPr="00282AC9">
        <w:rPr>
          <w:rFonts w:hint="eastAsia"/>
          <w:sz w:val="24"/>
          <w:szCs w:val="24"/>
          <w:rtl/>
        </w:rPr>
        <w:t>»</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77"/>
      </w:r>
      <w:r w:rsidR="00E355F2" w:rsidRPr="00282AC9">
        <w:rPr>
          <w:rFonts w:ascii="AAA GoldenLotus" w:hAnsi="AAA GoldenLotus"/>
          <w:sz w:val="27"/>
          <w:vertAlign w:val="superscript"/>
          <w:rtl/>
        </w:rPr>
        <w:t>)</w:t>
      </w:r>
      <w:r w:rsidR="00E355F2" w:rsidRPr="00282AC9">
        <w:rPr>
          <w:rFonts w:ascii="AAA GoldenLotus" w:hAnsi="AAA GoldenLotus"/>
          <w:sz w:val="27"/>
          <w:rtl/>
        </w:rPr>
        <w:t xml:space="preserve">. </w:t>
      </w:r>
    </w:p>
    <w:p w:rsidR="00E355F2" w:rsidRPr="00282AC9" w:rsidRDefault="00E355F2" w:rsidP="009C287D">
      <w:pPr>
        <w:spacing w:line="350" w:lineRule="exact"/>
        <w:rPr>
          <w:rFonts w:ascii="AAA GoldenLotus" w:hAnsi="AAA GoldenLotus"/>
          <w:sz w:val="27"/>
          <w:rtl/>
        </w:rPr>
      </w:pPr>
    </w:p>
    <w:p w:rsidR="00E355F2" w:rsidRPr="00282AC9" w:rsidRDefault="00E355F2" w:rsidP="007D08F4">
      <w:pPr>
        <w:pStyle w:val="31"/>
        <w:rPr>
          <w:color w:val="auto"/>
          <w:rtl/>
        </w:rPr>
      </w:pPr>
      <w:r w:rsidRPr="00282AC9">
        <w:rPr>
          <w:rFonts w:hint="cs"/>
          <w:color w:val="auto"/>
          <w:rtl/>
        </w:rPr>
        <w:t xml:space="preserve">ثانياً: </w:t>
      </w:r>
      <w:r w:rsidRPr="00282AC9">
        <w:rPr>
          <w:color w:val="auto"/>
          <w:rtl/>
        </w:rPr>
        <w:t>الموارد الخارجة عن قاعدة الاشتراك</w:t>
      </w:r>
    </w:p>
    <w:p w:rsidR="00E355F2" w:rsidRPr="00282AC9" w:rsidRDefault="00E355F2" w:rsidP="008573BF">
      <w:pPr>
        <w:spacing w:line="390" w:lineRule="exact"/>
        <w:rPr>
          <w:rFonts w:ascii="AAA GoldenLotus" w:hAnsi="AAA GoldenLotus"/>
          <w:sz w:val="27"/>
          <w:rtl/>
        </w:rPr>
      </w:pPr>
      <w:r w:rsidRPr="00282AC9">
        <w:rPr>
          <w:rFonts w:ascii="AAA GoldenLotus" w:hAnsi="AAA GoldenLotus"/>
          <w:sz w:val="27"/>
          <w:rtl/>
        </w:rPr>
        <w:t>وفي</w:t>
      </w:r>
      <w:r w:rsidR="002B12F5" w:rsidRPr="00282AC9">
        <w:rPr>
          <w:rFonts w:ascii="AAA GoldenLotus" w:hAnsi="AAA GoldenLotus" w:hint="cs"/>
          <w:sz w:val="27"/>
          <w:rtl/>
        </w:rPr>
        <w:t xml:space="preserve"> </w:t>
      </w:r>
      <w:r w:rsidRPr="00282AC9">
        <w:rPr>
          <w:rFonts w:ascii="AAA GoldenLotus" w:hAnsi="AAA GoldenLotus"/>
          <w:sz w:val="27"/>
          <w:rtl/>
        </w:rPr>
        <w:t>ما يلي بعض الأمثلة التطبيقي</w:t>
      </w:r>
      <w:r w:rsidR="002B12F5" w:rsidRPr="00282AC9">
        <w:rPr>
          <w:rFonts w:ascii="AAA GoldenLotus" w:hAnsi="AAA GoldenLotus" w:hint="cs"/>
          <w:sz w:val="27"/>
          <w:rtl/>
        </w:rPr>
        <w:t>ّ</w:t>
      </w:r>
      <w:r w:rsidRPr="00282AC9">
        <w:rPr>
          <w:rFonts w:ascii="AAA GoldenLotus" w:hAnsi="AAA GoldenLotus"/>
          <w:sz w:val="27"/>
          <w:rtl/>
        </w:rPr>
        <w:t>ة الخارجة عن القاعدة</w:t>
      </w:r>
      <w:r w:rsidR="002B12F5" w:rsidRPr="00282AC9">
        <w:rPr>
          <w:rFonts w:ascii="AAA GoldenLotus" w:hAnsi="AAA GoldenLotus" w:hint="cs"/>
          <w:sz w:val="27"/>
          <w:rtl/>
        </w:rPr>
        <w:t>،</w:t>
      </w:r>
      <w:r w:rsidRPr="00282AC9">
        <w:rPr>
          <w:rFonts w:ascii="AAA GoldenLotus" w:hAnsi="AAA GoldenLotus"/>
          <w:sz w:val="27"/>
          <w:rtl/>
        </w:rPr>
        <w:t xml:space="preserve"> عند المذاهب الفقهي</w:t>
      </w:r>
      <w:r w:rsidR="002B12F5" w:rsidRPr="00282AC9">
        <w:rPr>
          <w:rFonts w:ascii="AAA GoldenLotus" w:hAnsi="AAA GoldenLotus" w:hint="cs"/>
          <w:sz w:val="27"/>
          <w:rtl/>
        </w:rPr>
        <w:t>ّ</w:t>
      </w:r>
      <w:r w:rsidRPr="00282AC9">
        <w:rPr>
          <w:rFonts w:ascii="AAA GoldenLotus" w:hAnsi="AAA GoldenLotus"/>
          <w:sz w:val="27"/>
          <w:rtl/>
        </w:rPr>
        <w:t>ة الخمسة:</w:t>
      </w:r>
    </w:p>
    <w:p w:rsidR="00E355F2" w:rsidRPr="00282AC9" w:rsidRDefault="00E355F2" w:rsidP="009C287D">
      <w:pPr>
        <w:spacing w:line="340" w:lineRule="exact"/>
        <w:rPr>
          <w:rFonts w:ascii="AAA GoldenLotus" w:hAnsi="AAA GoldenLotus"/>
          <w:sz w:val="27"/>
          <w:rtl/>
        </w:rPr>
      </w:pPr>
    </w:p>
    <w:p w:rsidR="00E355F2" w:rsidRPr="00282AC9" w:rsidRDefault="00E355F2" w:rsidP="007D08F4">
      <w:pPr>
        <w:pStyle w:val="31"/>
        <w:rPr>
          <w:color w:val="auto"/>
          <w:rtl/>
        </w:rPr>
      </w:pPr>
      <w:r w:rsidRPr="00282AC9">
        <w:rPr>
          <w:rFonts w:hint="cs"/>
          <w:color w:val="auto"/>
          <w:rtl/>
        </w:rPr>
        <w:t xml:space="preserve">1ـ </w:t>
      </w:r>
      <w:r w:rsidRPr="00282AC9">
        <w:rPr>
          <w:color w:val="auto"/>
          <w:rtl/>
        </w:rPr>
        <w:t>لبس المخيط والخف</w:t>
      </w:r>
      <w:r w:rsidR="002B12F5" w:rsidRPr="00282AC9">
        <w:rPr>
          <w:rFonts w:hint="cs"/>
          <w:color w:val="auto"/>
          <w:rtl/>
        </w:rPr>
        <w:t>َّ</w:t>
      </w:r>
      <w:r w:rsidRPr="00282AC9">
        <w:rPr>
          <w:color w:val="auto"/>
          <w:rtl/>
        </w:rPr>
        <w:t>ي</w:t>
      </w:r>
      <w:r w:rsidR="002B12F5" w:rsidRPr="00282AC9">
        <w:rPr>
          <w:rFonts w:hint="cs"/>
          <w:color w:val="auto"/>
          <w:rtl/>
        </w:rPr>
        <w:t>ْ</w:t>
      </w:r>
      <w:r w:rsidRPr="00282AC9">
        <w:rPr>
          <w:color w:val="auto"/>
          <w:rtl/>
        </w:rPr>
        <w:t>ن حال الإحرام</w:t>
      </w:r>
    </w:p>
    <w:p w:rsidR="00E355F2" w:rsidRPr="00282AC9" w:rsidRDefault="00E355F2" w:rsidP="00046546">
      <w:pPr>
        <w:rPr>
          <w:rFonts w:ascii="AAA GoldenLotus" w:hAnsi="AAA GoldenLotus"/>
          <w:sz w:val="27"/>
          <w:rtl/>
        </w:rPr>
      </w:pPr>
      <w:r w:rsidRPr="00282AC9">
        <w:rPr>
          <w:rFonts w:ascii="AAA GoldenLotus" w:hAnsi="AAA GoldenLotus"/>
          <w:sz w:val="27"/>
          <w:rtl/>
        </w:rPr>
        <w:t>من المسائل التي خرج</w:t>
      </w:r>
      <w:r w:rsidR="002B12F5" w:rsidRPr="00282AC9">
        <w:rPr>
          <w:rFonts w:ascii="AAA GoldenLotus" w:hAnsi="AAA GoldenLotus" w:hint="cs"/>
          <w:sz w:val="27"/>
          <w:rtl/>
        </w:rPr>
        <w:t>َ</w:t>
      </w:r>
      <w:r w:rsidRPr="00282AC9">
        <w:rPr>
          <w:rFonts w:ascii="AAA GoldenLotus" w:hAnsi="AAA GoldenLotus"/>
          <w:sz w:val="27"/>
          <w:rtl/>
        </w:rPr>
        <w:t>ت</w:t>
      </w:r>
      <w:r w:rsidR="002B12F5" w:rsidRPr="00282AC9">
        <w:rPr>
          <w:rFonts w:ascii="AAA GoldenLotus" w:hAnsi="AAA GoldenLotus" w:hint="cs"/>
          <w:sz w:val="27"/>
          <w:rtl/>
        </w:rPr>
        <w:t>ْ</w:t>
      </w:r>
      <w:r w:rsidRPr="00282AC9">
        <w:rPr>
          <w:rFonts w:ascii="AAA GoldenLotus" w:hAnsi="AAA GoldenLotus"/>
          <w:sz w:val="27"/>
          <w:rtl/>
        </w:rPr>
        <w:t xml:space="preserve"> من تحت قاعدة اشتراك </w:t>
      </w:r>
      <w:bookmarkStart w:id="37" w:name="_Toc33819747"/>
      <w:r w:rsidRPr="00282AC9">
        <w:rPr>
          <w:rFonts w:ascii="AAA GoldenLotus" w:hAnsi="AAA GoldenLotus"/>
          <w:sz w:val="27"/>
          <w:rtl/>
        </w:rPr>
        <w:t xml:space="preserve">التكليف بين الرجل والمرأة </w:t>
      </w:r>
      <w:r w:rsidRPr="00282AC9">
        <w:rPr>
          <w:rFonts w:ascii="AAA GoldenLotus" w:hAnsi="AAA GoldenLotus"/>
          <w:sz w:val="27"/>
          <w:rtl/>
        </w:rPr>
        <w:lastRenderedPageBreak/>
        <w:t>مسألة</w:t>
      </w:r>
      <w:r w:rsidRPr="00282AC9">
        <w:rPr>
          <w:rFonts w:ascii="AAA GoldenLotus" w:hAnsi="AAA GoldenLotus" w:hint="cs"/>
          <w:sz w:val="27"/>
          <w:rtl/>
        </w:rPr>
        <w:t xml:space="preserve"> </w:t>
      </w:r>
      <w:r w:rsidRPr="00282AC9">
        <w:rPr>
          <w:rFonts w:ascii="AAA GoldenLotus" w:hAnsi="AAA GoldenLotus"/>
          <w:i/>
          <w:sz w:val="27"/>
          <w:rtl/>
        </w:rPr>
        <w:t>لبس المخيط والخف</w:t>
      </w:r>
      <w:r w:rsidR="005A34AE" w:rsidRPr="00282AC9">
        <w:rPr>
          <w:rFonts w:ascii="AAA GoldenLotus" w:hAnsi="AAA GoldenLotus" w:hint="cs"/>
          <w:i/>
          <w:sz w:val="27"/>
          <w:rtl/>
        </w:rPr>
        <w:t>َّ</w:t>
      </w:r>
      <w:r w:rsidRPr="00282AC9">
        <w:rPr>
          <w:rFonts w:ascii="AAA GoldenLotus" w:hAnsi="AAA GoldenLotus"/>
          <w:i/>
          <w:sz w:val="27"/>
          <w:rtl/>
        </w:rPr>
        <w:t>ين حال الإحرام</w:t>
      </w:r>
      <w:bookmarkEnd w:id="37"/>
      <w:r w:rsidR="005A34AE" w:rsidRPr="00282AC9">
        <w:rPr>
          <w:rFonts w:ascii="AAA GoldenLotus" w:hAnsi="AAA GoldenLotus" w:hint="cs"/>
          <w:i/>
          <w:sz w:val="27"/>
          <w:rtl/>
        </w:rPr>
        <w:t>،</w:t>
      </w:r>
      <w:r w:rsidRPr="00282AC9">
        <w:rPr>
          <w:rFonts w:ascii="AAA GoldenLotus" w:hAnsi="AAA GoldenLotus"/>
          <w:sz w:val="27"/>
          <w:rtl/>
        </w:rPr>
        <w:t xml:space="preserve"> فقد قيل بحرمة ذلك على الرجل</w:t>
      </w:r>
      <w:r w:rsidR="005A34AE" w:rsidRPr="00282AC9">
        <w:rPr>
          <w:rFonts w:ascii="AAA GoldenLotus" w:hAnsi="AAA GoldenLotus" w:hint="cs"/>
          <w:sz w:val="27"/>
          <w:rtl/>
        </w:rPr>
        <w:t>،</w:t>
      </w:r>
      <w:r w:rsidRPr="00282AC9">
        <w:rPr>
          <w:rFonts w:ascii="AAA GoldenLotus" w:hAnsi="AAA GoldenLotus"/>
          <w:sz w:val="27"/>
          <w:rtl/>
        </w:rPr>
        <w:t xml:space="preserve"> دون المرأة</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78"/>
      </w:r>
      <w:r w:rsidRPr="00282AC9">
        <w:rPr>
          <w:rFonts w:ascii="AAA GoldenLotus" w:hAnsi="AAA GoldenLotus"/>
          <w:sz w:val="27"/>
          <w:vertAlign w:val="superscript"/>
          <w:rtl/>
        </w:rPr>
        <w:t>)</w:t>
      </w:r>
      <w:r w:rsidR="005A34AE" w:rsidRPr="00282AC9">
        <w:rPr>
          <w:rFonts w:ascii="AAA GoldenLotus" w:hAnsi="AAA GoldenLotus" w:hint="cs"/>
          <w:sz w:val="27"/>
          <w:rtl/>
        </w:rPr>
        <w:t>؛</w:t>
      </w:r>
      <w:r w:rsidRPr="00282AC9">
        <w:rPr>
          <w:rFonts w:ascii="AAA GoldenLotus" w:hAnsi="AAA GoldenLotus"/>
          <w:sz w:val="27"/>
          <w:rtl/>
        </w:rPr>
        <w:t xml:space="preserve"> والدليل على ذلك: </w:t>
      </w:r>
    </w:p>
    <w:p w:rsidR="00E355F2" w:rsidRPr="00282AC9" w:rsidRDefault="00E355F2" w:rsidP="00046546">
      <w:pPr>
        <w:rPr>
          <w:rFonts w:ascii="AAA GoldenLotus" w:hAnsi="AAA GoldenLotus"/>
          <w:sz w:val="27"/>
          <w:rtl/>
        </w:rPr>
      </w:pPr>
      <w:r w:rsidRPr="00282AC9">
        <w:rPr>
          <w:rFonts w:ascii="AAA GoldenLotus" w:hAnsi="AAA GoldenLotus"/>
          <w:b/>
          <w:bCs/>
          <w:sz w:val="27"/>
          <w:rtl/>
        </w:rPr>
        <w:t xml:space="preserve">أـ </w:t>
      </w:r>
      <w:r w:rsidR="001F6DD6" w:rsidRPr="00282AC9">
        <w:rPr>
          <w:rFonts w:ascii="AAA GoldenLotus" w:hAnsi="AAA GoldenLotus" w:hint="cs"/>
          <w:b/>
          <w:bCs/>
          <w:sz w:val="27"/>
          <w:rtl/>
        </w:rPr>
        <w:t xml:space="preserve">الأدلّة </w:t>
      </w:r>
      <w:r w:rsidRPr="00282AC9">
        <w:rPr>
          <w:rFonts w:ascii="AAA GoldenLotus" w:hAnsi="AAA GoldenLotus"/>
          <w:b/>
          <w:bCs/>
          <w:sz w:val="27"/>
          <w:rtl/>
        </w:rPr>
        <w:t>عند ال</w:t>
      </w:r>
      <w:r w:rsidRPr="00282AC9">
        <w:rPr>
          <w:rFonts w:ascii="AAA GoldenLotus" w:hAnsi="AAA GoldenLotus" w:hint="cs"/>
          <w:b/>
          <w:bCs/>
          <w:sz w:val="27"/>
          <w:rtl/>
        </w:rPr>
        <w:t>إ</w:t>
      </w:r>
      <w:r w:rsidRPr="00282AC9">
        <w:rPr>
          <w:rFonts w:ascii="AAA GoldenLotus" w:hAnsi="AAA GoldenLotus"/>
          <w:b/>
          <w:bCs/>
          <w:sz w:val="27"/>
          <w:rtl/>
        </w:rPr>
        <w:t>مامي</w:t>
      </w:r>
      <w:r w:rsidR="005A34AE" w:rsidRPr="00282AC9">
        <w:rPr>
          <w:rFonts w:ascii="AAA GoldenLotus" w:hAnsi="AAA GoldenLotus" w:hint="cs"/>
          <w:b/>
          <w:bCs/>
          <w:sz w:val="27"/>
          <w:rtl/>
        </w:rPr>
        <w:t>ّ</w:t>
      </w:r>
      <w:r w:rsidRPr="00282AC9">
        <w:rPr>
          <w:rFonts w:ascii="AAA GoldenLotus" w:hAnsi="AAA GoldenLotus"/>
          <w:b/>
          <w:bCs/>
          <w:sz w:val="27"/>
          <w:rtl/>
        </w:rPr>
        <w:t>ة</w:t>
      </w:r>
      <w:r w:rsidRPr="00282AC9">
        <w:rPr>
          <w:rFonts w:ascii="AAA GoldenLotus" w:hAnsi="AAA GoldenLotus"/>
          <w:sz w:val="27"/>
          <w:rtl/>
        </w:rPr>
        <w:t>: استدل</w:t>
      </w:r>
      <w:r w:rsidR="001F6DD6" w:rsidRPr="00282AC9">
        <w:rPr>
          <w:rFonts w:ascii="AAA GoldenLotus" w:hAnsi="AAA GoldenLotus" w:hint="cs"/>
          <w:sz w:val="27"/>
          <w:rtl/>
        </w:rPr>
        <w:t>َّ</w:t>
      </w:r>
      <w:r w:rsidRPr="00282AC9">
        <w:rPr>
          <w:rFonts w:ascii="AAA GoldenLotus" w:hAnsi="AAA GoldenLotus"/>
          <w:sz w:val="27"/>
          <w:rtl/>
        </w:rPr>
        <w:t>ت الإمامي</w:t>
      </w:r>
      <w:r w:rsidR="005A34AE" w:rsidRPr="00282AC9">
        <w:rPr>
          <w:rFonts w:ascii="AAA GoldenLotus" w:hAnsi="AAA GoldenLotus" w:hint="cs"/>
          <w:sz w:val="27"/>
          <w:rtl/>
        </w:rPr>
        <w:t>ّ</w:t>
      </w:r>
      <w:r w:rsidRPr="00282AC9">
        <w:rPr>
          <w:rFonts w:ascii="AAA GoldenLotus" w:hAnsi="AAA GoldenLotus"/>
          <w:sz w:val="27"/>
          <w:rtl/>
        </w:rPr>
        <w:t>ة على هذا التفكيك في الحرمة بين الرجل والمرأة بأدل</w:t>
      </w:r>
      <w:r w:rsidR="005A34AE" w:rsidRPr="00282AC9">
        <w:rPr>
          <w:rFonts w:ascii="AAA GoldenLotus" w:hAnsi="AAA GoldenLotus" w:hint="cs"/>
          <w:sz w:val="27"/>
          <w:rtl/>
        </w:rPr>
        <w:t>ّ</w:t>
      </w:r>
      <w:r w:rsidRPr="00282AC9">
        <w:rPr>
          <w:rFonts w:ascii="AAA GoldenLotus" w:hAnsi="AAA GoldenLotus"/>
          <w:sz w:val="27"/>
          <w:rtl/>
        </w:rPr>
        <w:t>ة</w:t>
      </w:r>
      <w:r w:rsidR="005A34AE" w:rsidRPr="00282AC9">
        <w:rPr>
          <w:rFonts w:ascii="AAA GoldenLotus" w:hAnsi="AAA GoldenLotus" w:hint="cs"/>
          <w:sz w:val="27"/>
          <w:rtl/>
        </w:rPr>
        <w:t>ٍ</w:t>
      </w:r>
      <w:r w:rsidRPr="00282AC9">
        <w:rPr>
          <w:rFonts w:ascii="AAA GoldenLotus" w:hAnsi="AAA GoldenLotus"/>
          <w:sz w:val="27"/>
          <w:rtl/>
        </w:rPr>
        <w:t xml:space="preserve">، منها: </w:t>
      </w:r>
    </w:p>
    <w:p w:rsidR="00E355F2" w:rsidRPr="00282AC9" w:rsidRDefault="00E355F2" w:rsidP="00046546">
      <w:pPr>
        <w:rPr>
          <w:rFonts w:ascii="AAA GoldenLotus" w:hAnsi="AAA GoldenLotus"/>
          <w:spacing w:val="-2"/>
          <w:sz w:val="27"/>
          <w:rtl/>
        </w:rPr>
      </w:pPr>
      <w:r w:rsidRPr="00282AC9">
        <w:rPr>
          <w:rFonts w:ascii="AAA GoldenLotus" w:hAnsi="AAA GoldenLotus" w:hint="cs"/>
          <w:b/>
          <w:bCs/>
          <w:spacing w:val="-2"/>
          <w:sz w:val="27"/>
          <w:rtl/>
        </w:rPr>
        <w:t>الأو</w:t>
      </w:r>
      <w:r w:rsidR="005A34AE" w:rsidRPr="00282AC9">
        <w:rPr>
          <w:rFonts w:ascii="AAA GoldenLotus" w:hAnsi="AAA GoldenLotus" w:hint="cs"/>
          <w:b/>
          <w:bCs/>
          <w:spacing w:val="-2"/>
          <w:sz w:val="27"/>
          <w:rtl/>
        </w:rPr>
        <w:t>ّ</w:t>
      </w:r>
      <w:r w:rsidRPr="00282AC9">
        <w:rPr>
          <w:rFonts w:ascii="AAA GoldenLotus" w:hAnsi="AAA GoldenLotus" w:hint="cs"/>
          <w:b/>
          <w:bCs/>
          <w:spacing w:val="-2"/>
          <w:sz w:val="27"/>
          <w:rtl/>
        </w:rPr>
        <w:t xml:space="preserve">ل: </w:t>
      </w:r>
      <w:r w:rsidRPr="00282AC9">
        <w:rPr>
          <w:rFonts w:ascii="AAA GoldenLotus" w:hAnsi="AAA GoldenLotus"/>
          <w:b/>
          <w:bCs/>
          <w:spacing w:val="-2"/>
          <w:sz w:val="27"/>
          <w:rtl/>
        </w:rPr>
        <w:t>إجماع العلماء كافّة</w:t>
      </w:r>
      <w:r w:rsidR="005A34AE" w:rsidRPr="00282AC9">
        <w:rPr>
          <w:rFonts w:ascii="AAA GoldenLotus" w:hAnsi="AAA GoldenLotus" w:hint="cs"/>
          <w:b/>
          <w:bCs/>
          <w:spacing w:val="-2"/>
          <w:sz w:val="27"/>
          <w:rtl/>
        </w:rPr>
        <w:t>ً</w:t>
      </w:r>
      <w:r w:rsidRPr="00282AC9">
        <w:rPr>
          <w:rFonts w:ascii="AAA GoldenLotus" w:hAnsi="AAA GoldenLotus"/>
          <w:spacing w:val="-2"/>
          <w:sz w:val="27"/>
          <w:rtl/>
        </w:rPr>
        <w:t xml:space="preserve"> على تحريم لبس المخيط للرجل الم</w:t>
      </w:r>
      <w:r w:rsidR="005A34AE" w:rsidRPr="00282AC9">
        <w:rPr>
          <w:rFonts w:ascii="AAA GoldenLotus" w:hAnsi="AAA GoldenLotus" w:hint="cs"/>
          <w:spacing w:val="-2"/>
          <w:sz w:val="27"/>
          <w:rtl/>
        </w:rPr>
        <w:t>ُ</w:t>
      </w:r>
      <w:r w:rsidRPr="00282AC9">
        <w:rPr>
          <w:rFonts w:ascii="AAA GoldenLotus" w:hAnsi="AAA GoldenLotus"/>
          <w:spacing w:val="-2"/>
          <w:sz w:val="27"/>
          <w:rtl/>
        </w:rPr>
        <w:t>ح</w:t>
      </w:r>
      <w:r w:rsidR="005A34AE" w:rsidRPr="00282AC9">
        <w:rPr>
          <w:rFonts w:ascii="AAA GoldenLotus" w:hAnsi="AAA GoldenLotus" w:hint="cs"/>
          <w:spacing w:val="-2"/>
          <w:sz w:val="27"/>
          <w:rtl/>
        </w:rPr>
        <w:t>ْ</w:t>
      </w:r>
      <w:r w:rsidRPr="00282AC9">
        <w:rPr>
          <w:rFonts w:ascii="AAA GoldenLotus" w:hAnsi="AAA GoldenLotus"/>
          <w:spacing w:val="-2"/>
          <w:sz w:val="27"/>
          <w:rtl/>
        </w:rPr>
        <w:t>ر</w:t>
      </w:r>
      <w:r w:rsidR="005A34AE" w:rsidRPr="00282AC9">
        <w:rPr>
          <w:rFonts w:ascii="AAA GoldenLotus" w:hAnsi="AAA GoldenLotus" w:hint="cs"/>
          <w:spacing w:val="-2"/>
          <w:sz w:val="27"/>
          <w:rtl/>
        </w:rPr>
        <w:t>ِ</w:t>
      </w:r>
      <w:r w:rsidRPr="00282AC9">
        <w:rPr>
          <w:rFonts w:ascii="AAA GoldenLotus" w:hAnsi="AAA GoldenLotus"/>
          <w:spacing w:val="-2"/>
          <w:sz w:val="27"/>
          <w:rtl/>
        </w:rPr>
        <w:t>م، فإذا أراد الإحرام وجب عليه ن</w:t>
      </w:r>
      <w:r w:rsidR="005A34AE" w:rsidRPr="00282AC9">
        <w:rPr>
          <w:rFonts w:ascii="AAA GoldenLotus" w:hAnsi="AAA GoldenLotus" w:hint="cs"/>
          <w:spacing w:val="-2"/>
          <w:sz w:val="27"/>
          <w:rtl/>
        </w:rPr>
        <w:t>َ</w:t>
      </w:r>
      <w:r w:rsidRPr="00282AC9">
        <w:rPr>
          <w:rFonts w:ascii="AAA GoldenLotus" w:hAnsi="AAA GoldenLotus"/>
          <w:spacing w:val="-2"/>
          <w:sz w:val="27"/>
          <w:rtl/>
        </w:rPr>
        <w:t>ز</w:t>
      </w:r>
      <w:r w:rsidR="005A34AE" w:rsidRPr="00282AC9">
        <w:rPr>
          <w:rFonts w:ascii="AAA GoldenLotus" w:hAnsi="AAA GoldenLotus" w:hint="cs"/>
          <w:spacing w:val="-2"/>
          <w:sz w:val="27"/>
          <w:rtl/>
        </w:rPr>
        <w:t>ْ</w:t>
      </w:r>
      <w:r w:rsidRPr="00282AC9">
        <w:rPr>
          <w:rFonts w:ascii="AAA GoldenLotus" w:hAnsi="AAA GoldenLotus"/>
          <w:spacing w:val="-2"/>
          <w:sz w:val="27"/>
          <w:rtl/>
        </w:rPr>
        <w:t>ع ثيابه، ولبس ثوب</w:t>
      </w:r>
      <w:r w:rsidR="005A34AE" w:rsidRPr="00282AC9">
        <w:rPr>
          <w:rFonts w:ascii="AAA GoldenLotus" w:hAnsi="AAA GoldenLotus" w:hint="cs"/>
          <w:spacing w:val="-2"/>
          <w:sz w:val="27"/>
          <w:rtl/>
        </w:rPr>
        <w:t>َ</w:t>
      </w:r>
      <w:r w:rsidRPr="00282AC9">
        <w:rPr>
          <w:rFonts w:ascii="AAA GoldenLotus" w:hAnsi="AAA GoldenLotus"/>
          <w:spacing w:val="-2"/>
          <w:sz w:val="27"/>
          <w:rtl/>
        </w:rPr>
        <w:t>ي</w:t>
      </w:r>
      <w:r w:rsidR="005A34AE" w:rsidRPr="00282AC9">
        <w:rPr>
          <w:rFonts w:ascii="AAA GoldenLotus" w:hAnsi="AAA GoldenLotus" w:hint="cs"/>
          <w:spacing w:val="-2"/>
          <w:sz w:val="27"/>
          <w:rtl/>
        </w:rPr>
        <w:t>ْ</w:t>
      </w:r>
      <w:r w:rsidRPr="00282AC9">
        <w:rPr>
          <w:rFonts w:ascii="AAA GoldenLotus" w:hAnsi="AAA GoldenLotus"/>
          <w:spacing w:val="-2"/>
          <w:sz w:val="27"/>
          <w:rtl/>
        </w:rPr>
        <w:t xml:space="preserve"> الإحرام</w:t>
      </w:r>
      <w:r w:rsidR="005A34AE" w:rsidRPr="00282AC9">
        <w:rPr>
          <w:rFonts w:ascii="AAA GoldenLotus" w:hAnsi="AAA GoldenLotus" w:hint="cs"/>
          <w:spacing w:val="-2"/>
          <w:sz w:val="27"/>
          <w:rtl/>
        </w:rPr>
        <w:t>،</w:t>
      </w:r>
      <w:r w:rsidRPr="00282AC9">
        <w:rPr>
          <w:rFonts w:ascii="AAA GoldenLotus" w:hAnsi="AAA GoldenLotus"/>
          <w:spacing w:val="-2"/>
          <w:sz w:val="27"/>
          <w:rtl/>
        </w:rPr>
        <w:t xml:space="preserve"> يأتزر بأحدهما و يرتدي بالآخر</w:t>
      </w:r>
      <w:r w:rsidR="005A34AE" w:rsidRPr="00282AC9">
        <w:rPr>
          <w:rFonts w:ascii="AAA GoldenLotus" w:hAnsi="AAA GoldenLotus" w:hint="cs"/>
          <w:spacing w:val="-2"/>
          <w:sz w:val="27"/>
          <w:rtl/>
        </w:rPr>
        <w:t>.</w:t>
      </w:r>
      <w:r w:rsidRPr="00282AC9">
        <w:rPr>
          <w:rFonts w:ascii="AAA GoldenLotus" w:hAnsi="AAA GoldenLotus"/>
          <w:spacing w:val="-2"/>
          <w:sz w:val="27"/>
          <w:rtl/>
        </w:rPr>
        <w:t xml:space="preserve"> وكذا أجمعوا على جواز ذلك للمرأة الم</w:t>
      </w:r>
      <w:r w:rsidR="005A34AE" w:rsidRPr="00282AC9">
        <w:rPr>
          <w:rFonts w:ascii="AAA GoldenLotus" w:hAnsi="AAA GoldenLotus" w:hint="cs"/>
          <w:spacing w:val="-2"/>
          <w:sz w:val="27"/>
          <w:rtl/>
        </w:rPr>
        <w:t>ُ</w:t>
      </w:r>
      <w:r w:rsidRPr="00282AC9">
        <w:rPr>
          <w:rFonts w:ascii="AAA GoldenLotus" w:hAnsi="AAA GoldenLotus"/>
          <w:spacing w:val="-2"/>
          <w:sz w:val="27"/>
          <w:rtl/>
        </w:rPr>
        <w:t>ح</w:t>
      </w:r>
      <w:r w:rsidR="005A34AE" w:rsidRPr="00282AC9">
        <w:rPr>
          <w:rFonts w:ascii="AAA GoldenLotus" w:hAnsi="AAA GoldenLotus" w:hint="cs"/>
          <w:spacing w:val="-2"/>
          <w:sz w:val="27"/>
          <w:rtl/>
        </w:rPr>
        <w:t>ْ</w:t>
      </w:r>
      <w:r w:rsidRPr="00282AC9">
        <w:rPr>
          <w:rFonts w:ascii="AAA GoldenLotus" w:hAnsi="AAA GoldenLotus"/>
          <w:spacing w:val="-2"/>
          <w:sz w:val="27"/>
          <w:rtl/>
        </w:rPr>
        <w:t>ر</w:t>
      </w:r>
      <w:r w:rsidR="005A34AE" w:rsidRPr="00282AC9">
        <w:rPr>
          <w:rFonts w:ascii="AAA GoldenLotus" w:hAnsi="AAA GoldenLotus" w:hint="cs"/>
          <w:spacing w:val="-2"/>
          <w:sz w:val="27"/>
          <w:rtl/>
        </w:rPr>
        <w:t>ِ</w:t>
      </w:r>
      <w:r w:rsidRPr="00282AC9">
        <w:rPr>
          <w:rFonts w:ascii="AAA GoldenLotus" w:hAnsi="AAA GoldenLotus"/>
          <w:spacing w:val="-2"/>
          <w:sz w:val="27"/>
          <w:rtl/>
        </w:rPr>
        <w:t>مة</w:t>
      </w:r>
      <w:r w:rsidRPr="00282AC9">
        <w:rPr>
          <w:rFonts w:ascii="AAA GoldenLotus" w:hAnsi="AAA GoldenLotus"/>
          <w:spacing w:val="-2"/>
          <w:sz w:val="27"/>
          <w:vertAlign w:val="superscript"/>
          <w:rtl/>
        </w:rPr>
        <w:t>(</w:t>
      </w:r>
      <w:r w:rsidRPr="00282AC9">
        <w:rPr>
          <w:rFonts w:ascii="AAA GoldenLotus" w:hAnsi="AAA GoldenLotus"/>
          <w:spacing w:val="-2"/>
          <w:sz w:val="27"/>
          <w:vertAlign w:val="superscript"/>
          <w:rtl/>
        </w:rPr>
        <w:endnoteReference w:id="379"/>
      </w:r>
      <w:r w:rsidRPr="00282AC9">
        <w:rPr>
          <w:rFonts w:ascii="AAA GoldenLotus" w:hAnsi="AAA GoldenLotus"/>
          <w:spacing w:val="-2"/>
          <w:sz w:val="27"/>
          <w:vertAlign w:val="superscript"/>
          <w:rtl/>
        </w:rPr>
        <w:t>)</w:t>
      </w:r>
      <w:r w:rsidRPr="00282AC9">
        <w:rPr>
          <w:rFonts w:ascii="AAA GoldenLotus" w:hAnsi="AAA GoldenLotus"/>
          <w:spacing w:val="-2"/>
          <w:sz w:val="27"/>
          <w:rtl/>
        </w:rPr>
        <w:t>.</w:t>
      </w:r>
    </w:p>
    <w:p w:rsidR="00E355F2" w:rsidRPr="00282AC9" w:rsidRDefault="00E355F2" w:rsidP="00046546">
      <w:pPr>
        <w:rPr>
          <w:rFonts w:ascii="AAA GoldenLotus" w:hAnsi="AAA GoldenLotus"/>
          <w:sz w:val="27"/>
          <w:rtl/>
        </w:rPr>
      </w:pPr>
      <w:r w:rsidRPr="00282AC9">
        <w:rPr>
          <w:rFonts w:ascii="AAA GoldenLotus" w:hAnsi="AAA GoldenLotus" w:hint="cs"/>
          <w:b/>
          <w:bCs/>
          <w:sz w:val="27"/>
          <w:rtl/>
        </w:rPr>
        <w:t>الثاني: الأخبار</w:t>
      </w:r>
      <w:r w:rsidRPr="00282AC9">
        <w:rPr>
          <w:rFonts w:ascii="AAA GoldenLotus" w:hAnsi="AAA GoldenLotus" w:hint="cs"/>
          <w:sz w:val="27"/>
          <w:rtl/>
        </w:rPr>
        <w:t>، من قبيل:</w:t>
      </w:r>
    </w:p>
    <w:p w:rsidR="00E355F2" w:rsidRPr="00282AC9" w:rsidRDefault="005A34AE" w:rsidP="00046546">
      <w:pPr>
        <w:rPr>
          <w:rFonts w:ascii="AAA GoldenLotus" w:hAnsi="AAA GoldenLotus"/>
          <w:spacing w:val="-4"/>
          <w:sz w:val="27"/>
          <w:rtl/>
        </w:rPr>
      </w:pPr>
      <w:r w:rsidRPr="00282AC9">
        <w:rPr>
          <w:rFonts w:ascii="AAA GoldenLotus" w:hAnsi="AAA GoldenLotus" w:hint="cs"/>
          <w:spacing w:val="-4"/>
          <w:sz w:val="27"/>
          <w:rtl/>
        </w:rPr>
        <w:t>1</w:t>
      </w:r>
      <w:r w:rsidR="00E355F2" w:rsidRPr="00282AC9">
        <w:rPr>
          <w:rFonts w:ascii="AAA GoldenLotus" w:hAnsi="AAA GoldenLotus"/>
          <w:spacing w:val="-4"/>
          <w:sz w:val="27"/>
          <w:rtl/>
        </w:rPr>
        <w:t>ـ ما رواه الشيخ الطوسي</w:t>
      </w:r>
      <w:r w:rsidRPr="00282AC9">
        <w:rPr>
          <w:rFonts w:ascii="AAA GoldenLotus" w:hAnsi="AAA GoldenLotus" w:hint="cs"/>
          <w:spacing w:val="-4"/>
          <w:sz w:val="27"/>
          <w:rtl/>
        </w:rPr>
        <w:t>،</w:t>
      </w:r>
      <w:r w:rsidR="00E355F2" w:rsidRPr="00282AC9">
        <w:rPr>
          <w:rFonts w:ascii="AAA GoldenLotus" w:hAnsi="AAA GoldenLotus"/>
          <w:spacing w:val="-4"/>
          <w:sz w:val="27"/>
          <w:rtl/>
        </w:rPr>
        <w:t xml:space="preserve"> بإسناده عن معاوية بن عمار</w:t>
      </w:r>
      <w:r w:rsidRPr="00282AC9">
        <w:rPr>
          <w:rFonts w:ascii="AAA GoldenLotus" w:hAnsi="AAA GoldenLotus" w:hint="cs"/>
          <w:spacing w:val="-4"/>
          <w:sz w:val="27"/>
          <w:rtl/>
        </w:rPr>
        <w:t>،</w:t>
      </w:r>
      <w:r w:rsidR="00E355F2" w:rsidRPr="00282AC9">
        <w:rPr>
          <w:rFonts w:ascii="AAA GoldenLotus" w:hAnsi="AAA GoldenLotus"/>
          <w:spacing w:val="-4"/>
          <w:sz w:val="27"/>
          <w:rtl/>
        </w:rPr>
        <w:t xml:space="preserve"> عن أبي عبد الله</w:t>
      </w:r>
      <w:r w:rsidR="009A2A04" w:rsidRPr="00282AC9">
        <w:rPr>
          <w:rFonts w:ascii="AAA GoldenLotus" w:hAnsi="AAA GoldenLotus" w:cs="Mosawi"/>
          <w:spacing w:val="-4"/>
          <w:sz w:val="22"/>
          <w:szCs w:val="22"/>
          <w:rtl/>
        </w:rPr>
        <w:t>×</w:t>
      </w:r>
      <w:r w:rsidR="00E355F2" w:rsidRPr="00282AC9">
        <w:rPr>
          <w:rFonts w:ascii="AAA GoldenLotus" w:hAnsi="AAA GoldenLotus"/>
          <w:spacing w:val="-4"/>
          <w:sz w:val="27"/>
          <w:rtl/>
        </w:rPr>
        <w:t xml:space="preserve">: </w:t>
      </w:r>
      <w:r w:rsidRPr="00282AC9">
        <w:rPr>
          <w:rFonts w:hint="eastAsia"/>
          <w:sz w:val="24"/>
          <w:szCs w:val="24"/>
          <w:rtl/>
        </w:rPr>
        <w:t>«</w:t>
      </w:r>
      <w:r w:rsidR="00E355F2" w:rsidRPr="00282AC9">
        <w:rPr>
          <w:rFonts w:ascii="AAA GoldenLotus" w:hAnsi="AAA GoldenLotus"/>
          <w:spacing w:val="-4"/>
          <w:sz w:val="27"/>
          <w:rtl/>
        </w:rPr>
        <w:t>لا تلبس وأنت تريد الإحرام ثوبا</w:t>
      </w:r>
      <w:r w:rsidRPr="00282AC9">
        <w:rPr>
          <w:rFonts w:ascii="AAA GoldenLotus" w:hAnsi="AAA GoldenLotus" w:hint="cs"/>
          <w:spacing w:val="-4"/>
          <w:sz w:val="27"/>
          <w:rtl/>
        </w:rPr>
        <w:t>ً</w:t>
      </w:r>
      <w:r w:rsidR="00E355F2" w:rsidRPr="00282AC9">
        <w:rPr>
          <w:rFonts w:ascii="AAA GoldenLotus" w:hAnsi="AAA GoldenLotus"/>
          <w:spacing w:val="-4"/>
          <w:sz w:val="27"/>
          <w:rtl/>
        </w:rPr>
        <w:t xml:space="preserve"> تزرّه</w:t>
      </w:r>
      <w:r w:rsidR="00EA7F89" w:rsidRPr="00282AC9">
        <w:rPr>
          <w:rFonts w:ascii="AAA GoldenLotus" w:hAnsi="AAA GoldenLotus" w:hint="cs"/>
          <w:spacing w:val="-4"/>
          <w:sz w:val="27"/>
          <w:rtl/>
        </w:rPr>
        <w:t>،</w:t>
      </w:r>
      <w:r w:rsidR="00E355F2" w:rsidRPr="00282AC9">
        <w:rPr>
          <w:rFonts w:ascii="AAA GoldenLotus" w:hAnsi="AAA GoldenLotus"/>
          <w:spacing w:val="-4"/>
          <w:sz w:val="27"/>
          <w:rtl/>
        </w:rPr>
        <w:t xml:space="preserve"> ولا تد</w:t>
      </w:r>
      <w:r w:rsidR="00EA7F89" w:rsidRPr="00282AC9">
        <w:rPr>
          <w:rFonts w:ascii="AAA GoldenLotus" w:hAnsi="AAA GoldenLotus" w:hint="cs"/>
          <w:spacing w:val="-4"/>
          <w:sz w:val="27"/>
          <w:rtl/>
        </w:rPr>
        <w:t>ّ</w:t>
      </w:r>
      <w:r w:rsidR="00EA7F89" w:rsidRPr="00282AC9">
        <w:rPr>
          <w:rFonts w:ascii="AAA GoldenLotus" w:hAnsi="AAA GoldenLotus"/>
          <w:spacing w:val="-4"/>
          <w:sz w:val="27"/>
          <w:rtl/>
        </w:rPr>
        <w:t>ر</w:t>
      </w:r>
      <w:r w:rsidR="00E355F2" w:rsidRPr="00282AC9">
        <w:rPr>
          <w:rFonts w:ascii="AAA GoldenLotus" w:hAnsi="AAA GoldenLotus"/>
          <w:spacing w:val="-4"/>
          <w:sz w:val="27"/>
          <w:rtl/>
        </w:rPr>
        <w:t>عه، ولا تلبس سراويل</w:t>
      </w:r>
      <w:r w:rsidRPr="00282AC9">
        <w:rPr>
          <w:rFonts w:ascii="AAA GoldenLotus" w:hAnsi="AAA GoldenLotus" w:hint="cs"/>
          <w:spacing w:val="-4"/>
          <w:sz w:val="27"/>
          <w:rtl/>
        </w:rPr>
        <w:t>،</w:t>
      </w:r>
      <w:r w:rsidR="00E355F2" w:rsidRPr="00282AC9">
        <w:rPr>
          <w:rFonts w:ascii="AAA GoldenLotus" w:hAnsi="AAA GoldenLotus"/>
          <w:spacing w:val="-4"/>
          <w:sz w:val="27"/>
          <w:rtl/>
        </w:rPr>
        <w:t xml:space="preserve"> إلا</w:t>
      </w:r>
      <w:r w:rsidRPr="00282AC9">
        <w:rPr>
          <w:rFonts w:ascii="AAA GoldenLotus" w:hAnsi="AAA GoldenLotus" w:hint="cs"/>
          <w:spacing w:val="-4"/>
          <w:sz w:val="27"/>
          <w:rtl/>
        </w:rPr>
        <w:t>ّ</w:t>
      </w:r>
      <w:r w:rsidR="00E355F2" w:rsidRPr="00282AC9">
        <w:rPr>
          <w:rFonts w:ascii="AAA GoldenLotus" w:hAnsi="AAA GoldenLotus"/>
          <w:spacing w:val="-4"/>
          <w:sz w:val="27"/>
          <w:rtl/>
        </w:rPr>
        <w:t xml:space="preserve"> أن لا يكون لك إزار</w:t>
      </w:r>
      <w:r w:rsidRPr="00282AC9">
        <w:rPr>
          <w:rFonts w:ascii="AAA GoldenLotus" w:hAnsi="AAA GoldenLotus" w:hint="cs"/>
          <w:spacing w:val="-4"/>
          <w:sz w:val="27"/>
          <w:rtl/>
        </w:rPr>
        <w:t>ٌ</w:t>
      </w:r>
      <w:r w:rsidR="00E355F2" w:rsidRPr="00282AC9">
        <w:rPr>
          <w:rFonts w:ascii="AAA GoldenLotus" w:hAnsi="AAA GoldenLotus"/>
          <w:spacing w:val="-4"/>
          <w:sz w:val="27"/>
          <w:rtl/>
        </w:rPr>
        <w:t>، ولا خف</w:t>
      </w:r>
      <w:r w:rsidRPr="00282AC9">
        <w:rPr>
          <w:rFonts w:ascii="AAA GoldenLotus" w:hAnsi="AAA GoldenLotus" w:hint="cs"/>
          <w:spacing w:val="-4"/>
          <w:sz w:val="27"/>
          <w:rtl/>
        </w:rPr>
        <w:t>َّ</w:t>
      </w:r>
      <w:r w:rsidR="00E355F2" w:rsidRPr="00282AC9">
        <w:rPr>
          <w:rFonts w:ascii="AAA GoldenLotus" w:hAnsi="AAA GoldenLotus"/>
          <w:spacing w:val="-4"/>
          <w:sz w:val="27"/>
          <w:rtl/>
        </w:rPr>
        <w:t>ين إلا</w:t>
      </w:r>
      <w:r w:rsidRPr="00282AC9">
        <w:rPr>
          <w:rFonts w:ascii="AAA GoldenLotus" w:hAnsi="AAA GoldenLotus" w:hint="cs"/>
          <w:spacing w:val="-4"/>
          <w:sz w:val="27"/>
          <w:rtl/>
        </w:rPr>
        <w:t>ّ</w:t>
      </w:r>
      <w:r w:rsidR="00E355F2" w:rsidRPr="00282AC9">
        <w:rPr>
          <w:rFonts w:ascii="AAA GoldenLotus" w:hAnsi="AAA GoldenLotus"/>
          <w:spacing w:val="-4"/>
          <w:sz w:val="27"/>
          <w:rtl/>
        </w:rPr>
        <w:t xml:space="preserve"> أن لا يكون لك نعلان</w:t>
      </w:r>
      <w:r w:rsidRPr="00282AC9">
        <w:rPr>
          <w:rFonts w:hint="eastAsia"/>
          <w:sz w:val="24"/>
          <w:szCs w:val="24"/>
          <w:rtl/>
        </w:rPr>
        <w:t>»</w:t>
      </w:r>
      <w:r w:rsidR="00E355F2" w:rsidRPr="00282AC9">
        <w:rPr>
          <w:rFonts w:ascii="AAA GoldenLotus" w:hAnsi="AAA GoldenLotus"/>
          <w:spacing w:val="-4"/>
          <w:sz w:val="27"/>
          <w:vertAlign w:val="superscript"/>
          <w:rtl/>
        </w:rPr>
        <w:t>(</w:t>
      </w:r>
      <w:r w:rsidR="00E355F2" w:rsidRPr="00282AC9">
        <w:rPr>
          <w:rFonts w:ascii="AAA GoldenLotus" w:hAnsi="AAA GoldenLotus"/>
          <w:spacing w:val="-4"/>
          <w:sz w:val="27"/>
          <w:vertAlign w:val="superscript"/>
          <w:rtl/>
        </w:rPr>
        <w:endnoteReference w:id="380"/>
      </w:r>
      <w:r w:rsidR="00E355F2" w:rsidRPr="00282AC9">
        <w:rPr>
          <w:rFonts w:ascii="AAA GoldenLotus" w:hAnsi="AAA GoldenLotus"/>
          <w:spacing w:val="-4"/>
          <w:sz w:val="27"/>
          <w:vertAlign w:val="superscript"/>
          <w:rtl/>
        </w:rPr>
        <w:t>)</w:t>
      </w:r>
      <w:r w:rsidR="00E355F2" w:rsidRPr="00282AC9">
        <w:rPr>
          <w:rFonts w:ascii="AAA GoldenLotus" w:hAnsi="AAA GoldenLotus"/>
          <w:spacing w:val="-4"/>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ووجه الدلالة على المطلوب واضحة</w:t>
      </w:r>
      <w:r w:rsidR="00EA7F89" w:rsidRPr="00282AC9">
        <w:rPr>
          <w:rFonts w:ascii="AAA GoldenLotus" w:hAnsi="AAA GoldenLotus" w:hint="cs"/>
          <w:sz w:val="27"/>
          <w:rtl/>
        </w:rPr>
        <w:t>ٌ</w:t>
      </w:r>
      <w:r w:rsidRPr="00282AC9">
        <w:rPr>
          <w:rFonts w:ascii="AAA GoldenLotus" w:hAnsi="AAA GoldenLotus"/>
          <w:sz w:val="27"/>
          <w:rtl/>
        </w:rPr>
        <w:t>؛ فإنها ظاهرة</w:t>
      </w:r>
      <w:r w:rsidR="00EA7F89" w:rsidRPr="00282AC9">
        <w:rPr>
          <w:rFonts w:ascii="AAA GoldenLotus" w:hAnsi="AAA GoldenLotus" w:hint="cs"/>
          <w:sz w:val="27"/>
          <w:rtl/>
        </w:rPr>
        <w:t>ٌ</w:t>
      </w:r>
      <w:r w:rsidRPr="00282AC9">
        <w:rPr>
          <w:rFonts w:ascii="AAA GoldenLotus" w:hAnsi="AAA GoldenLotus"/>
          <w:sz w:val="27"/>
          <w:rtl/>
        </w:rPr>
        <w:t xml:space="preserve"> في </w:t>
      </w:r>
      <w:r w:rsidRPr="00282AC9">
        <w:rPr>
          <w:rFonts w:ascii="AAA GoldenLotus" w:hAnsi="AAA GoldenLotus" w:hint="cs"/>
          <w:sz w:val="27"/>
          <w:rtl/>
        </w:rPr>
        <w:t>أنه يحرم على الرجل</w:t>
      </w:r>
      <w:r w:rsidRPr="00282AC9">
        <w:rPr>
          <w:rFonts w:ascii="AAA GoldenLotus" w:hAnsi="AAA GoldenLotus"/>
          <w:sz w:val="27"/>
          <w:rtl/>
        </w:rPr>
        <w:t xml:space="preserve"> لبس المخيط والثوب والخف</w:t>
      </w:r>
      <w:r w:rsidR="00EA7F89" w:rsidRPr="00282AC9">
        <w:rPr>
          <w:rFonts w:ascii="AAA GoldenLotus" w:hAnsi="AAA GoldenLotus" w:hint="cs"/>
          <w:sz w:val="27"/>
          <w:rtl/>
        </w:rPr>
        <w:t>َّ</w:t>
      </w:r>
      <w:r w:rsidRPr="00282AC9">
        <w:rPr>
          <w:rFonts w:ascii="AAA GoldenLotus" w:hAnsi="AAA GoldenLotus"/>
          <w:sz w:val="27"/>
          <w:rtl/>
        </w:rPr>
        <w:t>ين اختياراً</w:t>
      </w:r>
      <w:r w:rsidRPr="00282AC9">
        <w:rPr>
          <w:rFonts w:ascii="AAA GoldenLotus" w:hAnsi="AAA GoldenLotus" w:hint="cs"/>
          <w:sz w:val="27"/>
          <w:rtl/>
        </w:rPr>
        <w:t>.</w:t>
      </w:r>
    </w:p>
    <w:p w:rsidR="00E355F2" w:rsidRPr="00282AC9" w:rsidRDefault="00EA7F89" w:rsidP="00046546">
      <w:pPr>
        <w:rPr>
          <w:rFonts w:ascii="AAA GoldenLotus" w:hAnsi="AAA GoldenLotus"/>
          <w:sz w:val="27"/>
          <w:rtl/>
        </w:rPr>
      </w:pPr>
      <w:r w:rsidRPr="00282AC9">
        <w:rPr>
          <w:rFonts w:ascii="AAA GoldenLotus" w:hAnsi="AAA GoldenLotus" w:hint="cs"/>
          <w:sz w:val="27"/>
          <w:rtl/>
        </w:rPr>
        <w:t>2</w:t>
      </w:r>
      <w:r w:rsidR="00E355F2" w:rsidRPr="00282AC9">
        <w:rPr>
          <w:rFonts w:ascii="AAA GoldenLotus" w:hAnsi="AAA GoldenLotus"/>
          <w:sz w:val="27"/>
          <w:rtl/>
        </w:rPr>
        <w:t>ـ ما رواه الشيخ الطوسي أيضاً</w:t>
      </w:r>
      <w:r w:rsidRPr="00282AC9">
        <w:rPr>
          <w:rFonts w:ascii="AAA GoldenLotus" w:hAnsi="AAA GoldenLotus" w:hint="cs"/>
          <w:sz w:val="27"/>
          <w:rtl/>
        </w:rPr>
        <w:t>،</w:t>
      </w:r>
      <w:r w:rsidR="00E355F2" w:rsidRPr="00282AC9">
        <w:rPr>
          <w:rFonts w:ascii="AAA GoldenLotus" w:hAnsi="AAA GoldenLotus"/>
          <w:sz w:val="27"/>
          <w:rtl/>
        </w:rPr>
        <w:t xml:space="preserve"> بإسناده عن يعقوب بن شعيب</w:t>
      </w:r>
      <w:r w:rsidRPr="00282AC9">
        <w:rPr>
          <w:rFonts w:ascii="AAA GoldenLotus" w:hAnsi="AAA GoldenLotus" w:hint="cs"/>
          <w:sz w:val="27"/>
          <w:rtl/>
        </w:rPr>
        <w:t>،</w:t>
      </w:r>
      <w:r w:rsidR="00E355F2" w:rsidRPr="00282AC9">
        <w:rPr>
          <w:rFonts w:ascii="AAA GoldenLotus" w:hAnsi="AAA GoldenLotus"/>
          <w:sz w:val="27"/>
          <w:rtl/>
        </w:rPr>
        <w:t xml:space="preserve"> عن أبي عبد الله</w:t>
      </w:r>
      <w:r w:rsidR="009A2A04" w:rsidRPr="00282AC9">
        <w:rPr>
          <w:rFonts w:ascii="AAA GoldenLotus" w:hAnsi="AAA GoldenLotus" w:cs="Mosawi"/>
          <w:sz w:val="22"/>
          <w:szCs w:val="22"/>
          <w:rtl/>
        </w:rPr>
        <w:t>×</w:t>
      </w:r>
      <w:r w:rsidRPr="00282AC9">
        <w:rPr>
          <w:rFonts w:ascii="AAA GoldenLotus" w:hAnsi="AAA GoldenLotus" w:hint="cs"/>
          <w:sz w:val="27"/>
          <w:rtl/>
        </w:rPr>
        <w:t>،</w:t>
      </w:r>
      <w:r w:rsidR="00E355F2" w:rsidRPr="00282AC9">
        <w:rPr>
          <w:rFonts w:ascii="AAA GoldenLotus" w:hAnsi="AAA GoldenLotus"/>
          <w:sz w:val="27"/>
          <w:rtl/>
        </w:rPr>
        <w:t xml:space="preserve"> قال: المرأة تلبس القميص تزر</w:t>
      </w:r>
      <w:r w:rsidRPr="00282AC9">
        <w:rPr>
          <w:rFonts w:ascii="AAA GoldenLotus" w:hAnsi="AAA GoldenLotus" w:hint="cs"/>
          <w:sz w:val="27"/>
          <w:rtl/>
        </w:rPr>
        <w:t>ّ</w:t>
      </w:r>
      <w:r w:rsidRPr="00282AC9">
        <w:rPr>
          <w:rFonts w:ascii="AAA GoldenLotus" w:hAnsi="AAA GoldenLotus"/>
          <w:sz w:val="27"/>
          <w:rtl/>
        </w:rPr>
        <w:t>ه عليها وتلبس الحرير والخز</w:t>
      </w:r>
      <w:r w:rsidR="00E83C6D" w:rsidRPr="00282AC9">
        <w:rPr>
          <w:rFonts w:ascii="AAA GoldenLotus" w:hAnsi="AAA GoldenLotus" w:hint="cs"/>
          <w:sz w:val="27"/>
          <w:rtl/>
        </w:rPr>
        <w:t>ّ</w:t>
      </w:r>
      <w:r w:rsidRPr="00282AC9">
        <w:rPr>
          <w:rFonts w:ascii="AAA GoldenLotus" w:hAnsi="AAA GoldenLotus"/>
          <w:sz w:val="27"/>
          <w:rtl/>
        </w:rPr>
        <w:t xml:space="preserve"> و</w:t>
      </w:r>
      <w:r w:rsidR="00E355F2" w:rsidRPr="00282AC9">
        <w:rPr>
          <w:rFonts w:ascii="AAA GoldenLotus" w:hAnsi="AAA GoldenLotus"/>
          <w:sz w:val="27"/>
          <w:rtl/>
        </w:rPr>
        <w:t>الديباج</w:t>
      </w:r>
      <w:r w:rsidRPr="00282AC9">
        <w:rPr>
          <w:rFonts w:ascii="AAA GoldenLotus" w:hAnsi="AAA GoldenLotus" w:hint="cs"/>
          <w:sz w:val="27"/>
          <w:rtl/>
        </w:rPr>
        <w:t>؟</w:t>
      </w:r>
      <w:r w:rsidR="00E355F2" w:rsidRPr="00282AC9">
        <w:rPr>
          <w:rFonts w:ascii="AAA GoldenLotus" w:hAnsi="AAA GoldenLotus"/>
          <w:sz w:val="27"/>
          <w:rtl/>
        </w:rPr>
        <w:t xml:space="preserve"> فقال:</w:t>
      </w:r>
      <w:r w:rsidR="00E355F2" w:rsidRPr="00282AC9">
        <w:rPr>
          <w:rFonts w:ascii="AAA GoldenLotus" w:hAnsi="AAA GoldenLotus" w:hint="cs"/>
          <w:sz w:val="27"/>
          <w:rtl/>
        </w:rPr>
        <w:t xml:space="preserve"> </w:t>
      </w:r>
      <w:r w:rsidRPr="00282AC9">
        <w:rPr>
          <w:rFonts w:hint="eastAsia"/>
          <w:sz w:val="24"/>
          <w:szCs w:val="24"/>
          <w:rtl/>
        </w:rPr>
        <w:t>«</w:t>
      </w:r>
      <w:r w:rsidR="00E355F2" w:rsidRPr="00282AC9">
        <w:rPr>
          <w:rFonts w:ascii="AAA GoldenLotus" w:hAnsi="AAA GoldenLotus"/>
          <w:sz w:val="27"/>
          <w:rtl/>
        </w:rPr>
        <w:t>نعم</w:t>
      </w:r>
      <w:r w:rsidRPr="00282AC9">
        <w:rPr>
          <w:rFonts w:ascii="AAA GoldenLotus" w:hAnsi="AAA GoldenLotus" w:hint="cs"/>
          <w:sz w:val="27"/>
          <w:rtl/>
        </w:rPr>
        <w:t>،</w:t>
      </w:r>
      <w:r w:rsidR="00E355F2" w:rsidRPr="00282AC9">
        <w:rPr>
          <w:rFonts w:ascii="AAA GoldenLotus" w:hAnsi="AAA GoldenLotus"/>
          <w:sz w:val="27"/>
          <w:rtl/>
        </w:rPr>
        <w:t xml:space="preserve"> لا بأس به</w:t>
      </w:r>
      <w:r w:rsidRPr="00282AC9">
        <w:rPr>
          <w:rFonts w:hint="eastAsia"/>
          <w:sz w:val="24"/>
          <w:szCs w:val="24"/>
          <w:rtl/>
        </w:rPr>
        <w:t>»</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81"/>
      </w:r>
      <w:r w:rsidR="00E355F2" w:rsidRPr="00282AC9">
        <w:rPr>
          <w:rFonts w:ascii="AAA GoldenLotus" w:hAnsi="AAA GoldenLotus"/>
          <w:sz w:val="27"/>
          <w:vertAlign w:val="superscript"/>
          <w:rtl/>
        </w:rPr>
        <w:t>)</w:t>
      </w:r>
      <w:r w:rsidR="00E355F2" w:rsidRPr="00282AC9">
        <w:rPr>
          <w:rFonts w:ascii="AAA GoldenLotus" w:hAnsi="AAA GoldenLotus"/>
          <w:sz w:val="27"/>
          <w:rtl/>
        </w:rPr>
        <w:t>.</w:t>
      </w:r>
    </w:p>
    <w:p w:rsidR="00E355F2" w:rsidRPr="00282AC9" w:rsidRDefault="00EA7F89" w:rsidP="00046546">
      <w:pPr>
        <w:rPr>
          <w:rFonts w:ascii="AAA GoldenLotus" w:hAnsi="AAA GoldenLotus"/>
          <w:spacing w:val="-4"/>
          <w:sz w:val="27"/>
          <w:rtl/>
        </w:rPr>
      </w:pPr>
      <w:r w:rsidRPr="00282AC9">
        <w:rPr>
          <w:rFonts w:ascii="AAA GoldenLotus" w:hAnsi="AAA GoldenLotus" w:hint="cs"/>
          <w:spacing w:val="-4"/>
          <w:sz w:val="27"/>
          <w:rtl/>
        </w:rPr>
        <w:t>3</w:t>
      </w:r>
      <w:r w:rsidR="00E355F2" w:rsidRPr="00282AC9">
        <w:rPr>
          <w:rFonts w:ascii="AAA GoldenLotus" w:hAnsi="AAA GoldenLotus"/>
          <w:spacing w:val="-4"/>
          <w:sz w:val="27"/>
          <w:rtl/>
        </w:rPr>
        <w:t>ـ ما رواه الصدوق</w:t>
      </w:r>
      <w:r w:rsidRPr="00282AC9">
        <w:rPr>
          <w:rFonts w:ascii="AAA GoldenLotus" w:hAnsi="AAA GoldenLotus" w:hint="cs"/>
          <w:spacing w:val="-4"/>
          <w:sz w:val="27"/>
          <w:rtl/>
        </w:rPr>
        <w:t>،</w:t>
      </w:r>
      <w:r w:rsidR="00E355F2" w:rsidRPr="00282AC9">
        <w:rPr>
          <w:rFonts w:ascii="AAA GoldenLotus" w:hAnsi="AAA GoldenLotus"/>
          <w:spacing w:val="-4"/>
          <w:sz w:val="27"/>
          <w:rtl/>
        </w:rPr>
        <w:t xml:space="preserve"> بإسناده عن حريز، عن أبي عبد</w:t>
      </w:r>
      <w:r w:rsidRPr="00282AC9">
        <w:rPr>
          <w:rFonts w:ascii="AAA GoldenLotus" w:hAnsi="AAA GoldenLotus" w:hint="cs"/>
          <w:spacing w:val="-4"/>
          <w:sz w:val="27"/>
          <w:rtl/>
        </w:rPr>
        <w:t xml:space="preserve"> </w:t>
      </w:r>
      <w:r w:rsidR="006D28AF" w:rsidRPr="00282AC9">
        <w:rPr>
          <w:rFonts w:ascii="AAA GoldenLotus" w:hAnsi="AAA GoldenLotus"/>
          <w:spacing w:val="-4"/>
          <w:sz w:val="27"/>
          <w:rtl/>
        </w:rPr>
        <w:t>الل</w:t>
      </w:r>
      <w:r w:rsidR="00E355F2" w:rsidRPr="00282AC9">
        <w:rPr>
          <w:rFonts w:ascii="AAA GoldenLotus" w:hAnsi="AAA GoldenLotus"/>
          <w:spacing w:val="-4"/>
          <w:sz w:val="27"/>
          <w:rtl/>
        </w:rPr>
        <w:t>ه</w:t>
      </w:r>
      <w:r w:rsidR="009A2A04" w:rsidRPr="00282AC9">
        <w:rPr>
          <w:rFonts w:ascii="AAA GoldenLotus" w:hAnsi="AAA GoldenLotus" w:cs="Mosawi" w:hint="cs"/>
          <w:spacing w:val="-4"/>
          <w:sz w:val="22"/>
          <w:szCs w:val="22"/>
          <w:rtl/>
        </w:rPr>
        <w:t>×</w:t>
      </w:r>
      <w:r w:rsidR="00E355F2" w:rsidRPr="00282AC9">
        <w:rPr>
          <w:rFonts w:ascii="AAA GoldenLotus" w:hAnsi="AAA GoldenLotus"/>
          <w:spacing w:val="-4"/>
          <w:sz w:val="27"/>
          <w:rtl/>
        </w:rPr>
        <w:t xml:space="preserve"> قال: </w:t>
      </w:r>
      <w:r w:rsidR="00E355F2" w:rsidRPr="00282AC9">
        <w:rPr>
          <w:rFonts w:ascii="AAA GoldenLotus" w:hAnsi="AAA GoldenLotus"/>
          <w:spacing w:val="-4"/>
          <w:sz w:val="24"/>
          <w:szCs w:val="24"/>
          <w:rtl/>
        </w:rPr>
        <w:t>«</w:t>
      </w:r>
      <w:r w:rsidR="00E355F2" w:rsidRPr="00282AC9">
        <w:rPr>
          <w:rFonts w:ascii="AAA GoldenLotus" w:hAnsi="AAA GoldenLotus"/>
          <w:spacing w:val="-4"/>
          <w:sz w:val="27"/>
          <w:rtl/>
        </w:rPr>
        <w:t>كلّ ثوب</w:t>
      </w:r>
      <w:r w:rsidRPr="00282AC9">
        <w:rPr>
          <w:rFonts w:ascii="AAA GoldenLotus" w:hAnsi="AAA GoldenLotus" w:hint="cs"/>
          <w:spacing w:val="-4"/>
          <w:sz w:val="27"/>
          <w:rtl/>
        </w:rPr>
        <w:t>ٍ</w:t>
      </w:r>
      <w:r w:rsidR="00E355F2" w:rsidRPr="00282AC9">
        <w:rPr>
          <w:rFonts w:ascii="AAA GoldenLotus" w:hAnsi="AAA GoldenLotus"/>
          <w:spacing w:val="-4"/>
          <w:sz w:val="27"/>
          <w:rtl/>
        </w:rPr>
        <w:t xml:space="preserve"> تصلّي فيه فلا بأس أن تحرم فيه</w:t>
      </w:r>
      <w:r w:rsidR="00E355F2" w:rsidRPr="00282AC9">
        <w:rPr>
          <w:rFonts w:ascii="AAA GoldenLotus" w:hAnsi="AAA GoldenLotus"/>
          <w:spacing w:val="-4"/>
          <w:sz w:val="24"/>
          <w:szCs w:val="24"/>
          <w:rtl/>
        </w:rPr>
        <w:t>»</w:t>
      </w:r>
      <w:r w:rsidR="00E355F2" w:rsidRPr="00282AC9">
        <w:rPr>
          <w:rFonts w:ascii="AAA GoldenLotus" w:hAnsi="AAA GoldenLotus"/>
          <w:spacing w:val="-4"/>
          <w:sz w:val="27"/>
          <w:vertAlign w:val="superscript"/>
          <w:rtl/>
        </w:rPr>
        <w:t>(</w:t>
      </w:r>
      <w:r w:rsidR="00E355F2" w:rsidRPr="00282AC9">
        <w:rPr>
          <w:rFonts w:ascii="AAA GoldenLotus" w:hAnsi="AAA GoldenLotus"/>
          <w:spacing w:val="-4"/>
          <w:sz w:val="27"/>
          <w:vertAlign w:val="superscript"/>
          <w:rtl/>
        </w:rPr>
        <w:endnoteReference w:id="382"/>
      </w:r>
      <w:r w:rsidR="00E355F2" w:rsidRPr="00282AC9">
        <w:rPr>
          <w:rFonts w:ascii="AAA GoldenLotus" w:hAnsi="AAA GoldenLotus"/>
          <w:spacing w:val="-4"/>
          <w:sz w:val="27"/>
          <w:vertAlign w:val="superscript"/>
          <w:rtl/>
        </w:rPr>
        <w:t>)</w:t>
      </w:r>
      <w:r w:rsidR="00E355F2" w:rsidRPr="00282AC9">
        <w:rPr>
          <w:rFonts w:ascii="AAA GoldenLotus" w:hAnsi="AAA GoldenLotus"/>
          <w:spacing w:val="-4"/>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بتقريب أن للمرأة الم</w:t>
      </w:r>
      <w:r w:rsidR="00EA7F89" w:rsidRPr="00282AC9">
        <w:rPr>
          <w:rFonts w:ascii="AAA GoldenLotus" w:hAnsi="AAA GoldenLotus" w:hint="cs"/>
          <w:sz w:val="27"/>
          <w:rtl/>
        </w:rPr>
        <w:t>ُ</w:t>
      </w:r>
      <w:r w:rsidRPr="00282AC9">
        <w:rPr>
          <w:rFonts w:ascii="AAA GoldenLotus" w:hAnsi="AAA GoldenLotus"/>
          <w:sz w:val="27"/>
          <w:rtl/>
        </w:rPr>
        <w:t>ح</w:t>
      </w:r>
      <w:r w:rsidR="00EA7F89" w:rsidRPr="00282AC9">
        <w:rPr>
          <w:rFonts w:ascii="AAA GoldenLotus" w:hAnsi="AAA GoldenLotus" w:hint="cs"/>
          <w:sz w:val="27"/>
          <w:rtl/>
        </w:rPr>
        <w:t>ْ</w:t>
      </w:r>
      <w:r w:rsidRPr="00282AC9">
        <w:rPr>
          <w:rFonts w:ascii="AAA GoldenLotus" w:hAnsi="AAA GoldenLotus"/>
          <w:sz w:val="27"/>
          <w:rtl/>
        </w:rPr>
        <w:t>ر</w:t>
      </w:r>
      <w:r w:rsidR="00EA7F89" w:rsidRPr="00282AC9">
        <w:rPr>
          <w:rFonts w:ascii="AAA GoldenLotus" w:hAnsi="AAA GoldenLotus" w:hint="cs"/>
          <w:sz w:val="27"/>
          <w:rtl/>
        </w:rPr>
        <w:t>ِ</w:t>
      </w:r>
      <w:r w:rsidRPr="00282AC9">
        <w:rPr>
          <w:rFonts w:ascii="AAA GoldenLotus" w:hAnsi="AAA GoldenLotus"/>
          <w:sz w:val="27"/>
          <w:rtl/>
        </w:rPr>
        <w:t>مة أن تلبس ما شاء</w:t>
      </w:r>
      <w:r w:rsidR="00EA7F89" w:rsidRPr="00282AC9">
        <w:rPr>
          <w:rFonts w:ascii="AAA GoldenLotus" w:hAnsi="AAA GoldenLotus" w:hint="cs"/>
          <w:sz w:val="27"/>
          <w:rtl/>
        </w:rPr>
        <w:t>َ</w:t>
      </w:r>
      <w:r w:rsidRPr="00282AC9">
        <w:rPr>
          <w:rFonts w:ascii="AAA GoldenLotus" w:hAnsi="AAA GoldenLotus"/>
          <w:sz w:val="27"/>
          <w:rtl/>
        </w:rPr>
        <w:t>ت</w:t>
      </w:r>
      <w:r w:rsidR="00EA7F89" w:rsidRPr="00282AC9">
        <w:rPr>
          <w:rFonts w:ascii="AAA GoldenLotus" w:hAnsi="AAA GoldenLotus" w:hint="cs"/>
          <w:sz w:val="27"/>
          <w:rtl/>
        </w:rPr>
        <w:t>ْ</w:t>
      </w:r>
      <w:r w:rsidRPr="00282AC9">
        <w:rPr>
          <w:rFonts w:ascii="AAA GoldenLotus" w:hAnsi="AAA GoldenLotus"/>
          <w:sz w:val="27"/>
          <w:rtl/>
        </w:rPr>
        <w:t xml:space="preserve"> من أنواع الثياب التي يجوز لها لبسها قبل ال</w:t>
      </w:r>
      <w:r w:rsidR="00EA7F89" w:rsidRPr="00282AC9">
        <w:rPr>
          <w:rFonts w:ascii="AAA GoldenLotus" w:hAnsi="AAA GoldenLotus" w:hint="cs"/>
          <w:sz w:val="27"/>
          <w:rtl/>
        </w:rPr>
        <w:t>إ</w:t>
      </w:r>
      <w:r w:rsidRPr="00282AC9">
        <w:rPr>
          <w:rFonts w:ascii="AAA GoldenLotus" w:hAnsi="AAA GoldenLotus"/>
          <w:sz w:val="27"/>
          <w:rtl/>
        </w:rPr>
        <w:t>حرام</w:t>
      </w:r>
      <w:r w:rsidR="00EA7F89" w:rsidRPr="00282AC9">
        <w:rPr>
          <w:rFonts w:ascii="AAA GoldenLotus" w:hAnsi="AAA GoldenLotus" w:hint="cs"/>
          <w:sz w:val="27"/>
          <w:rtl/>
        </w:rPr>
        <w:t>،</w:t>
      </w:r>
      <w:r w:rsidRPr="00282AC9">
        <w:rPr>
          <w:rFonts w:ascii="AAA GoldenLotus" w:hAnsi="AAA GoldenLotus"/>
          <w:sz w:val="27"/>
          <w:rtl/>
        </w:rPr>
        <w:t xml:space="preserve"> مخيطاً أو منسوجاً أو خلاف ذلك.</w:t>
      </w:r>
    </w:p>
    <w:p w:rsidR="00E355F2" w:rsidRPr="00282AC9" w:rsidRDefault="00E355F2" w:rsidP="00046546">
      <w:pPr>
        <w:rPr>
          <w:rFonts w:ascii="AAA GoldenLotus" w:hAnsi="AAA GoldenLotus"/>
          <w:sz w:val="27"/>
          <w:rtl/>
        </w:rPr>
      </w:pPr>
      <w:r w:rsidRPr="00282AC9">
        <w:rPr>
          <w:rFonts w:ascii="AAA GoldenLotus" w:hAnsi="AAA GoldenLotus"/>
          <w:b/>
          <w:bCs/>
          <w:sz w:val="27"/>
          <w:rtl/>
        </w:rPr>
        <w:t>ب ـ أدل</w:t>
      </w:r>
      <w:r w:rsidR="00EA7F89" w:rsidRPr="00282AC9">
        <w:rPr>
          <w:rFonts w:ascii="AAA GoldenLotus" w:hAnsi="AAA GoldenLotus" w:hint="cs"/>
          <w:b/>
          <w:bCs/>
          <w:sz w:val="27"/>
          <w:rtl/>
        </w:rPr>
        <w:t>ّ</w:t>
      </w:r>
      <w:r w:rsidRPr="00282AC9">
        <w:rPr>
          <w:rFonts w:ascii="AAA GoldenLotus" w:hAnsi="AAA GoldenLotus"/>
          <w:b/>
          <w:bCs/>
          <w:sz w:val="27"/>
          <w:rtl/>
        </w:rPr>
        <w:t>ة جمهور المذاهب</w:t>
      </w:r>
      <w:r w:rsidRPr="00282AC9">
        <w:rPr>
          <w:rFonts w:ascii="AAA GoldenLotus" w:hAnsi="AAA GoldenLotus"/>
          <w:sz w:val="27"/>
          <w:rtl/>
        </w:rPr>
        <w:t>: واستدل</w:t>
      </w:r>
      <w:r w:rsidR="00EA7F89" w:rsidRPr="00282AC9">
        <w:rPr>
          <w:rFonts w:ascii="AAA GoldenLotus" w:hAnsi="AAA GoldenLotus" w:hint="cs"/>
          <w:sz w:val="27"/>
          <w:rtl/>
        </w:rPr>
        <w:t>ّ</w:t>
      </w:r>
      <w:r w:rsidRPr="00282AC9">
        <w:rPr>
          <w:rFonts w:ascii="AAA GoldenLotus" w:hAnsi="AAA GoldenLotus"/>
          <w:sz w:val="27"/>
          <w:rtl/>
        </w:rPr>
        <w:t xml:space="preserve"> علماء سائر المذاهب الإسلامي</w:t>
      </w:r>
      <w:r w:rsidR="00EA7F89" w:rsidRPr="00282AC9">
        <w:rPr>
          <w:rFonts w:ascii="AAA GoldenLotus" w:hAnsi="AAA GoldenLotus" w:hint="cs"/>
          <w:sz w:val="27"/>
          <w:rtl/>
        </w:rPr>
        <w:t>ّ</w:t>
      </w:r>
      <w:r w:rsidRPr="00282AC9">
        <w:rPr>
          <w:rFonts w:ascii="AAA GoldenLotus" w:hAnsi="AAA GoldenLotus"/>
          <w:sz w:val="27"/>
          <w:rtl/>
        </w:rPr>
        <w:t>ة على حرمة لبس المخيط والخف</w:t>
      </w:r>
      <w:r w:rsidR="00EA7F89" w:rsidRPr="00282AC9">
        <w:rPr>
          <w:rFonts w:ascii="AAA GoldenLotus" w:hAnsi="AAA GoldenLotus" w:hint="cs"/>
          <w:sz w:val="27"/>
          <w:rtl/>
        </w:rPr>
        <w:t>َّ</w:t>
      </w:r>
      <w:r w:rsidRPr="00282AC9">
        <w:rPr>
          <w:rFonts w:ascii="AAA GoldenLotus" w:hAnsi="AAA GoldenLotus"/>
          <w:sz w:val="27"/>
          <w:rtl/>
        </w:rPr>
        <w:t>ين للرجل، وعلى جواز لبس المخيط للمرأة</w:t>
      </w:r>
      <w:r w:rsidR="00EA7F89" w:rsidRPr="00282AC9">
        <w:rPr>
          <w:rFonts w:ascii="AAA GoldenLotus" w:hAnsi="AAA GoldenLotus" w:hint="cs"/>
          <w:sz w:val="27"/>
          <w:rtl/>
        </w:rPr>
        <w:t>،</w:t>
      </w:r>
      <w:r w:rsidRPr="00282AC9">
        <w:rPr>
          <w:rFonts w:ascii="AAA GoldenLotus" w:hAnsi="AAA GoldenLotus"/>
          <w:sz w:val="27"/>
          <w:rtl/>
        </w:rPr>
        <w:t xml:space="preserve"> بأدل</w:t>
      </w:r>
      <w:r w:rsidR="00EA7F89" w:rsidRPr="00282AC9">
        <w:rPr>
          <w:rFonts w:ascii="AAA GoldenLotus" w:hAnsi="AAA GoldenLotus" w:hint="cs"/>
          <w:sz w:val="27"/>
          <w:rtl/>
        </w:rPr>
        <w:t>ّ</w:t>
      </w:r>
      <w:r w:rsidRPr="00282AC9">
        <w:rPr>
          <w:rFonts w:ascii="AAA GoldenLotus" w:hAnsi="AAA GoldenLotus"/>
          <w:sz w:val="27"/>
          <w:rtl/>
        </w:rPr>
        <w:t>ة</w:t>
      </w:r>
      <w:r w:rsidR="00EA7F89" w:rsidRPr="00282AC9">
        <w:rPr>
          <w:rFonts w:ascii="AAA GoldenLotus" w:hAnsi="AAA GoldenLotus" w:hint="cs"/>
          <w:sz w:val="27"/>
          <w:rtl/>
        </w:rPr>
        <w:t>ٍ</w:t>
      </w:r>
      <w:r w:rsidRPr="00282AC9">
        <w:rPr>
          <w:rFonts w:ascii="AAA GoldenLotus" w:hAnsi="AAA GoldenLotus"/>
          <w:sz w:val="27"/>
          <w:rtl/>
        </w:rPr>
        <w:t>، منها:</w:t>
      </w:r>
    </w:p>
    <w:p w:rsidR="00E355F2" w:rsidRPr="00282AC9" w:rsidRDefault="00EA7F89" w:rsidP="00046546">
      <w:pPr>
        <w:rPr>
          <w:rFonts w:ascii="AAA GoldenLotus" w:hAnsi="AAA GoldenLotus"/>
          <w:sz w:val="27"/>
          <w:rtl/>
        </w:rPr>
      </w:pPr>
      <w:r w:rsidRPr="00282AC9">
        <w:rPr>
          <w:rFonts w:ascii="AAA GoldenLotus" w:hAnsi="AAA GoldenLotus" w:hint="cs"/>
          <w:b/>
          <w:bCs/>
          <w:sz w:val="27"/>
          <w:rtl/>
        </w:rPr>
        <w:t>1</w:t>
      </w:r>
      <w:r w:rsidR="00E355F2" w:rsidRPr="00282AC9">
        <w:rPr>
          <w:rFonts w:ascii="AAA GoldenLotus" w:hAnsi="AAA GoldenLotus"/>
          <w:b/>
          <w:bCs/>
          <w:sz w:val="27"/>
          <w:rtl/>
        </w:rPr>
        <w:t>ـ الإجماع</w:t>
      </w:r>
      <w:r w:rsidR="00E355F2" w:rsidRPr="00282AC9">
        <w:rPr>
          <w:rFonts w:ascii="AAA GoldenLotus" w:hAnsi="AAA GoldenLotus"/>
          <w:sz w:val="27"/>
          <w:rtl/>
        </w:rPr>
        <w:t>:</w:t>
      </w:r>
      <w:r w:rsidRPr="00282AC9">
        <w:rPr>
          <w:rFonts w:ascii="AAA GoldenLotus" w:hAnsi="AAA GoldenLotus"/>
          <w:sz w:val="27"/>
          <w:rtl/>
        </w:rPr>
        <w:t xml:space="preserve"> أجمع أ</w:t>
      </w:r>
      <w:r w:rsidR="00E355F2" w:rsidRPr="00282AC9">
        <w:rPr>
          <w:rFonts w:ascii="AAA GoldenLotus" w:hAnsi="AAA GoldenLotus"/>
          <w:sz w:val="27"/>
          <w:rtl/>
        </w:rPr>
        <w:t>هل العلم على أنّ الم</w:t>
      </w:r>
      <w:r w:rsidRPr="00282AC9">
        <w:rPr>
          <w:rFonts w:ascii="AAA GoldenLotus" w:hAnsi="AAA GoldenLotus" w:hint="cs"/>
          <w:sz w:val="27"/>
          <w:rtl/>
        </w:rPr>
        <w:t>ُ</w:t>
      </w:r>
      <w:r w:rsidR="00E355F2" w:rsidRPr="00282AC9">
        <w:rPr>
          <w:rFonts w:ascii="AAA GoldenLotus" w:hAnsi="AAA GoldenLotus"/>
          <w:sz w:val="27"/>
          <w:rtl/>
        </w:rPr>
        <w:t>ح</w:t>
      </w:r>
      <w:r w:rsidRPr="00282AC9">
        <w:rPr>
          <w:rFonts w:ascii="AAA GoldenLotus" w:hAnsi="AAA GoldenLotus" w:hint="cs"/>
          <w:sz w:val="27"/>
          <w:rtl/>
        </w:rPr>
        <w:t>ْ</w:t>
      </w:r>
      <w:r w:rsidR="00E355F2" w:rsidRPr="00282AC9">
        <w:rPr>
          <w:rFonts w:ascii="AAA GoldenLotus" w:hAnsi="AAA GoldenLotus"/>
          <w:sz w:val="27"/>
          <w:rtl/>
        </w:rPr>
        <w:t>ر</w:t>
      </w:r>
      <w:r w:rsidRPr="00282AC9">
        <w:rPr>
          <w:rFonts w:ascii="AAA GoldenLotus" w:hAnsi="AAA GoldenLotus" w:hint="cs"/>
          <w:sz w:val="27"/>
          <w:rtl/>
        </w:rPr>
        <w:t>ِ</w:t>
      </w:r>
      <w:r w:rsidR="00E355F2" w:rsidRPr="00282AC9">
        <w:rPr>
          <w:rFonts w:ascii="AAA GoldenLotus" w:hAnsi="AAA GoldenLotus"/>
          <w:sz w:val="27"/>
          <w:rtl/>
        </w:rPr>
        <w:t>م ممنوعٌ من لبس القمص، والعمائم، والسراويلات، والخفاف، والبرانس</w:t>
      </w:r>
      <w:r w:rsidR="00136BCB" w:rsidRPr="00282AC9">
        <w:rPr>
          <w:rFonts w:ascii="AAA GoldenLotus" w:hAnsi="AAA GoldenLotus" w:hint="cs"/>
          <w:sz w:val="27"/>
          <w:rtl/>
        </w:rPr>
        <w:t>؛</w:t>
      </w:r>
      <w:r w:rsidR="00E355F2" w:rsidRPr="00282AC9">
        <w:rPr>
          <w:rFonts w:ascii="AAA GoldenLotus" w:hAnsi="AAA GoldenLotus"/>
          <w:sz w:val="27"/>
          <w:rtl/>
        </w:rPr>
        <w:t xml:space="preserve"> وأجمعوا على أن للمرأة الم</w:t>
      </w:r>
      <w:r w:rsidR="00136BCB" w:rsidRPr="00282AC9">
        <w:rPr>
          <w:rFonts w:ascii="AAA GoldenLotus" w:hAnsi="AAA GoldenLotus" w:hint="cs"/>
          <w:sz w:val="27"/>
          <w:rtl/>
        </w:rPr>
        <w:t>ُ</w:t>
      </w:r>
      <w:r w:rsidR="00E355F2" w:rsidRPr="00282AC9">
        <w:rPr>
          <w:rFonts w:ascii="AAA GoldenLotus" w:hAnsi="AAA GoldenLotus"/>
          <w:sz w:val="27"/>
          <w:rtl/>
        </w:rPr>
        <w:t>ح</w:t>
      </w:r>
      <w:r w:rsidR="00136BCB" w:rsidRPr="00282AC9">
        <w:rPr>
          <w:rFonts w:ascii="AAA GoldenLotus" w:hAnsi="AAA GoldenLotus" w:hint="cs"/>
          <w:sz w:val="27"/>
          <w:rtl/>
        </w:rPr>
        <w:t>ْ</w:t>
      </w:r>
      <w:r w:rsidR="00E355F2" w:rsidRPr="00282AC9">
        <w:rPr>
          <w:rFonts w:ascii="AAA GoldenLotus" w:hAnsi="AAA GoldenLotus"/>
          <w:sz w:val="27"/>
          <w:rtl/>
        </w:rPr>
        <w:t>ر</w:t>
      </w:r>
      <w:r w:rsidR="00136BCB" w:rsidRPr="00282AC9">
        <w:rPr>
          <w:rFonts w:ascii="AAA GoldenLotus" w:hAnsi="AAA GoldenLotus" w:hint="cs"/>
          <w:sz w:val="27"/>
          <w:rtl/>
        </w:rPr>
        <w:t>ِ</w:t>
      </w:r>
      <w:r w:rsidR="00E355F2" w:rsidRPr="00282AC9">
        <w:rPr>
          <w:rFonts w:ascii="AAA GoldenLotus" w:hAnsi="AAA GoldenLotus"/>
          <w:sz w:val="27"/>
          <w:rtl/>
        </w:rPr>
        <w:t>مة لبس القميص، والدروع، والسراويل، والخُمُر، والخِفاف</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83"/>
      </w:r>
      <w:r w:rsidR="00E355F2" w:rsidRPr="00282AC9">
        <w:rPr>
          <w:rFonts w:ascii="AAA GoldenLotus" w:hAnsi="AAA GoldenLotus"/>
          <w:sz w:val="27"/>
          <w:vertAlign w:val="superscript"/>
          <w:rtl/>
        </w:rPr>
        <w:t>)</w:t>
      </w:r>
      <w:r w:rsidR="00E355F2" w:rsidRPr="00282AC9">
        <w:rPr>
          <w:rFonts w:ascii="AAA GoldenLotus" w:hAnsi="AAA GoldenLotus"/>
          <w:sz w:val="27"/>
          <w:rtl/>
        </w:rPr>
        <w:t>.</w:t>
      </w:r>
    </w:p>
    <w:p w:rsidR="00E355F2" w:rsidRPr="00282AC9" w:rsidRDefault="00136BCB" w:rsidP="00046546">
      <w:pPr>
        <w:rPr>
          <w:rFonts w:ascii="AAA GoldenLotus" w:hAnsi="AAA GoldenLotus"/>
          <w:sz w:val="27"/>
          <w:rtl/>
        </w:rPr>
      </w:pPr>
      <w:r w:rsidRPr="00282AC9">
        <w:rPr>
          <w:rFonts w:ascii="AAA GoldenLotus" w:hAnsi="AAA GoldenLotus" w:hint="cs"/>
          <w:b/>
          <w:bCs/>
          <w:sz w:val="27"/>
          <w:rtl/>
        </w:rPr>
        <w:t>2</w:t>
      </w:r>
      <w:r w:rsidR="00E355F2" w:rsidRPr="00282AC9">
        <w:rPr>
          <w:rFonts w:ascii="AAA GoldenLotus" w:hAnsi="AAA GoldenLotus"/>
          <w:b/>
          <w:bCs/>
          <w:sz w:val="27"/>
          <w:rtl/>
        </w:rPr>
        <w:t xml:space="preserve">ـ </w:t>
      </w:r>
      <w:r w:rsidRPr="00282AC9">
        <w:rPr>
          <w:rFonts w:ascii="AAA GoldenLotus" w:hAnsi="AAA GoldenLotus" w:hint="cs"/>
          <w:b/>
          <w:bCs/>
          <w:sz w:val="27"/>
          <w:rtl/>
        </w:rPr>
        <w:t>الأخبار</w:t>
      </w:r>
      <w:r w:rsidRPr="00282AC9">
        <w:rPr>
          <w:rFonts w:ascii="AAA GoldenLotus" w:hAnsi="AAA GoldenLotus" w:hint="cs"/>
          <w:sz w:val="27"/>
          <w:rtl/>
        </w:rPr>
        <w:t>، كالذي</w:t>
      </w:r>
      <w:r w:rsidR="00E355F2" w:rsidRPr="00282AC9">
        <w:rPr>
          <w:rFonts w:ascii="AAA GoldenLotus" w:hAnsi="AAA GoldenLotus"/>
          <w:sz w:val="27"/>
          <w:rtl/>
        </w:rPr>
        <w:t xml:space="preserve"> ر</w:t>
      </w:r>
      <w:r w:rsidRPr="00282AC9">
        <w:rPr>
          <w:rFonts w:ascii="AAA GoldenLotus" w:hAnsi="AAA GoldenLotus" w:hint="cs"/>
          <w:sz w:val="27"/>
          <w:rtl/>
        </w:rPr>
        <w:t>ُ</w:t>
      </w:r>
      <w:r w:rsidR="00E355F2" w:rsidRPr="00282AC9">
        <w:rPr>
          <w:rFonts w:ascii="AAA GoldenLotus" w:hAnsi="AAA GoldenLotus"/>
          <w:sz w:val="27"/>
          <w:rtl/>
        </w:rPr>
        <w:t xml:space="preserve">وي عن عبد </w:t>
      </w:r>
      <w:r w:rsidR="006D28AF" w:rsidRPr="00282AC9">
        <w:rPr>
          <w:rFonts w:ascii="AAA GoldenLotus" w:hAnsi="AAA GoldenLotus"/>
          <w:sz w:val="27"/>
          <w:rtl/>
        </w:rPr>
        <w:t>الل</w:t>
      </w:r>
      <w:r w:rsidR="00E355F2" w:rsidRPr="00282AC9">
        <w:rPr>
          <w:rFonts w:ascii="AAA GoldenLotus" w:hAnsi="AAA GoldenLotus"/>
          <w:sz w:val="27"/>
          <w:rtl/>
        </w:rPr>
        <w:t xml:space="preserve">ه بن عمر، عن أبيه قال: </w:t>
      </w:r>
      <w:r w:rsidR="00E355F2" w:rsidRPr="00282AC9">
        <w:rPr>
          <w:rFonts w:ascii="AAA GoldenLotus" w:hAnsi="AAA GoldenLotus"/>
          <w:sz w:val="24"/>
          <w:szCs w:val="24"/>
          <w:rtl/>
        </w:rPr>
        <w:t>«</w:t>
      </w:r>
      <w:r w:rsidR="00E355F2" w:rsidRPr="00282AC9">
        <w:rPr>
          <w:rFonts w:ascii="AAA GoldenLotus" w:hAnsi="AAA GoldenLotus"/>
          <w:sz w:val="27"/>
          <w:rtl/>
        </w:rPr>
        <w:t>سأل رجل</w:t>
      </w:r>
      <w:r w:rsidRPr="00282AC9">
        <w:rPr>
          <w:rFonts w:ascii="AAA GoldenLotus" w:hAnsi="AAA GoldenLotus" w:hint="cs"/>
          <w:sz w:val="27"/>
          <w:rtl/>
        </w:rPr>
        <w:t>ٌ</w:t>
      </w:r>
      <w:r w:rsidR="00E355F2" w:rsidRPr="00282AC9">
        <w:rPr>
          <w:rFonts w:ascii="AAA GoldenLotus" w:hAnsi="AAA GoldenLotus"/>
          <w:sz w:val="27"/>
          <w:rtl/>
        </w:rPr>
        <w:t xml:space="preserve"> </w:t>
      </w:r>
      <w:r w:rsidR="00E355F2" w:rsidRPr="00282AC9">
        <w:rPr>
          <w:rFonts w:ascii="AAA GoldenLotus" w:hAnsi="AAA GoldenLotus"/>
          <w:sz w:val="27"/>
          <w:rtl/>
        </w:rPr>
        <w:lastRenderedPageBreak/>
        <w:t>النبيّ[</w:t>
      </w:r>
      <w:r w:rsidR="009A2A04" w:rsidRPr="00282AC9">
        <w:rPr>
          <w:rFonts w:ascii="AAA GoldenLotus" w:hAnsi="AAA GoldenLotus" w:cs="Mosawi"/>
          <w:sz w:val="22"/>
          <w:szCs w:val="22"/>
          <w:rtl/>
        </w:rPr>
        <w:t>|</w:t>
      </w:r>
      <w:r w:rsidR="00E355F2" w:rsidRPr="00282AC9">
        <w:rPr>
          <w:rFonts w:ascii="AAA GoldenLotus" w:hAnsi="AAA GoldenLotus"/>
          <w:sz w:val="27"/>
          <w:rtl/>
        </w:rPr>
        <w:t>] عمّا يجتنب الم</w:t>
      </w:r>
      <w:r w:rsidRPr="00282AC9">
        <w:rPr>
          <w:rFonts w:ascii="AAA GoldenLotus" w:hAnsi="AAA GoldenLotus" w:hint="cs"/>
          <w:sz w:val="27"/>
          <w:rtl/>
        </w:rPr>
        <w:t>ُ</w:t>
      </w:r>
      <w:r w:rsidR="00E355F2" w:rsidRPr="00282AC9">
        <w:rPr>
          <w:rFonts w:ascii="AAA GoldenLotus" w:hAnsi="AAA GoldenLotus"/>
          <w:sz w:val="27"/>
          <w:rtl/>
        </w:rPr>
        <w:t>ح</w:t>
      </w:r>
      <w:r w:rsidRPr="00282AC9">
        <w:rPr>
          <w:rFonts w:ascii="AAA GoldenLotus" w:hAnsi="AAA GoldenLotus" w:hint="cs"/>
          <w:sz w:val="27"/>
          <w:rtl/>
        </w:rPr>
        <w:t>ْ</w:t>
      </w:r>
      <w:r w:rsidR="00E355F2" w:rsidRPr="00282AC9">
        <w:rPr>
          <w:rFonts w:ascii="AAA GoldenLotus" w:hAnsi="AAA GoldenLotus"/>
          <w:sz w:val="27"/>
          <w:rtl/>
        </w:rPr>
        <w:t>ر</w:t>
      </w:r>
      <w:r w:rsidRPr="00282AC9">
        <w:rPr>
          <w:rFonts w:ascii="AAA GoldenLotus" w:hAnsi="AAA GoldenLotus" w:hint="cs"/>
          <w:sz w:val="27"/>
          <w:rtl/>
        </w:rPr>
        <w:t>ِ</w:t>
      </w:r>
      <w:r w:rsidR="00E355F2" w:rsidRPr="00282AC9">
        <w:rPr>
          <w:rFonts w:ascii="AAA GoldenLotus" w:hAnsi="AAA GoldenLotus"/>
          <w:sz w:val="27"/>
          <w:rtl/>
        </w:rPr>
        <w:t>م من الثياب</w:t>
      </w:r>
      <w:r w:rsidRPr="00282AC9">
        <w:rPr>
          <w:rFonts w:ascii="AAA GoldenLotus" w:hAnsi="AAA GoldenLotus" w:hint="cs"/>
          <w:sz w:val="27"/>
          <w:rtl/>
        </w:rPr>
        <w:t>؟</w:t>
      </w:r>
      <w:r w:rsidR="00E355F2" w:rsidRPr="00282AC9">
        <w:rPr>
          <w:rFonts w:ascii="AAA GoldenLotus" w:hAnsi="AAA GoldenLotus"/>
          <w:sz w:val="27"/>
          <w:rtl/>
        </w:rPr>
        <w:t xml:space="preserve"> قال: </w:t>
      </w:r>
      <w:r w:rsidRPr="00282AC9">
        <w:rPr>
          <w:rFonts w:hint="eastAsia"/>
          <w:sz w:val="24"/>
          <w:szCs w:val="24"/>
          <w:rtl/>
        </w:rPr>
        <w:t>«</w:t>
      </w:r>
      <w:r w:rsidR="00E355F2" w:rsidRPr="00282AC9">
        <w:rPr>
          <w:rFonts w:ascii="AAA GoldenLotus" w:hAnsi="AAA GoldenLotus"/>
          <w:sz w:val="27"/>
          <w:rtl/>
        </w:rPr>
        <w:t>لا يلبس القميص، ولا السراويل</w:t>
      </w:r>
      <w:r w:rsidRPr="00282AC9">
        <w:rPr>
          <w:rFonts w:ascii="AAA GoldenLotus" w:hAnsi="AAA GoldenLotus" w:hint="cs"/>
          <w:sz w:val="27"/>
          <w:rtl/>
        </w:rPr>
        <w:t>،</w:t>
      </w:r>
      <w:r w:rsidR="00E355F2" w:rsidRPr="00282AC9">
        <w:rPr>
          <w:rFonts w:ascii="AAA GoldenLotus" w:hAnsi="AAA GoldenLotus"/>
          <w:sz w:val="27"/>
          <w:rtl/>
        </w:rPr>
        <w:t xml:space="preserve"> ولا البرنس، ولا العمامة</w:t>
      </w:r>
      <w:r w:rsidRPr="00282AC9">
        <w:rPr>
          <w:rFonts w:ascii="AAA GoldenLotus" w:hAnsi="AAA GoldenLotus" w:hint="cs"/>
          <w:sz w:val="27"/>
          <w:rtl/>
        </w:rPr>
        <w:t>،</w:t>
      </w:r>
      <w:r w:rsidR="00E355F2" w:rsidRPr="00282AC9">
        <w:rPr>
          <w:rFonts w:ascii="AAA GoldenLotus" w:hAnsi="AAA GoldenLotus"/>
          <w:sz w:val="27"/>
          <w:rtl/>
        </w:rPr>
        <w:t xml:space="preserve"> ولا ثوبا</w:t>
      </w:r>
      <w:r w:rsidRPr="00282AC9">
        <w:rPr>
          <w:rFonts w:ascii="AAA GoldenLotus" w:hAnsi="AAA GoldenLotus" w:hint="cs"/>
          <w:sz w:val="27"/>
          <w:rtl/>
        </w:rPr>
        <w:t>ً</w:t>
      </w:r>
      <w:r w:rsidR="00E355F2" w:rsidRPr="00282AC9">
        <w:rPr>
          <w:rFonts w:ascii="AAA GoldenLotus" w:hAnsi="AAA GoldenLotus"/>
          <w:sz w:val="27"/>
          <w:rtl/>
        </w:rPr>
        <w:t xml:space="preserve"> مسّه الورس</w:t>
      </w:r>
      <w:r w:rsidRPr="00282AC9">
        <w:rPr>
          <w:rFonts w:ascii="AAA GoldenLotus" w:hAnsi="AAA GoldenLotus" w:hint="cs"/>
          <w:sz w:val="27"/>
          <w:rtl/>
        </w:rPr>
        <w:t>،</w:t>
      </w:r>
      <w:r w:rsidR="00E355F2" w:rsidRPr="00282AC9">
        <w:rPr>
          <w:rFonts w:ascii="AAA GoldenLotus" w:hAnsi="AAA GoldenLotus"/>
          <w:sz w:val="27"/>
          <w:rtl/>
        </w:rPr>
        <w:t xml:space="preserve"> ولا الزعفران</w:t>
      </w:r>
      <w:r w:rsidRPr="00282AC9">
        <w:rPr>
          <w:rFonts w:ascii="AAA GoldenLotus" w:hAnsi="AAA GoldenLotus" w:hint="cs"/>
          <w:sz w:val="27"/>
          <w:rtl/>
        </w:rPr>
        <w:t>.</w:t>
      </w:r>
      <w:r w:rsidR="00E355F2" w:rsidRPr="00282AC9">
        <w:rPr>
          <w:rFonts w:ascii="AAA GoldenLotus" w:hAnsi="AAA GoldenLotus"/>
          <w:sz w:val="27"/>
          <w:rtl/>
        </w:rPr>
        <w:t xml:space="preserve"> ويلبس إزارا</w:t>
      </w:r>
      <w:r w:rsidRPr="00282AC9">
        <w:rPr>
          <w:rFonts w:ascii="AAA GoldenLotus" w:hAnsi="AAA GoldenLotus" w:hint="cs"/>
          <w:sz w:val="27"/>
          <w:rtl/>
        </w:rPr>
        <w:t>ً</w:t>
      </w:r>
      <w:r w:rsidR="00E355F2" w:rsidRPr="00282AC9">
        <w:rPr>
          <w:rFonts w:ascii="AAA GoldenLotus" w:hAnsi="AAA GoldenLotus"/>
          <w:sz w:val="27"/>
          <w:rtl/>
        </w:rPr>
        <w:t xml:space="preserve"> ورداء</w:t>
      </w:r>
      <w:r w:rsidRPr="00282AC9">
        <w:rPr>
          <w:rFonts w:ascii="AAA GoldenLotus" w:hAnsi="AAA GoldenLotus" w:hint="cs"/>
          <w:sz w:val="27"/>
          <w:rtl/>
        </w:rPr>
        <w:t>ً</w:t>
      </w:r>
      <w:r w:rsidR="00E355F2" w:rsidRPr="00282AC9">
        <w:rPr>
          <w:rFonts w:ascii="AAA GoldenLotus" w:hAnsi="AAA GoldenLotus"/>
          <w:sz w:val="27"/>
          <w:rtl/>
        </w:rPr>
        <w:t xml:space="preserve"> ونعلين، ولا يلبس الخفّ</w:t>
      </w:r>
      <w:r w:rsidRPr="00282AC9">
        <w:rPr>
          <w:rFonts w:ascii="AAA GoldenLotus" w:hAnsi="AAA GoldenLotus" w:hint="cs"/>
          <w:sz w:val="27"/>
          <w:rtl/>
        </w:rPr>
        <w:t>َ</w:t>
      </w:r>
      <w:r w:rsidR="00E355F2" w:rsidRPr="00282AC9">
        <w:rPr>
          <w:rFonts w:ascii="AAA GoldenLotus" w:hAnsi="AAA GoldenLotus"/>
          <w:sz w:val="27"/>
          <w:rtl/>
        </w:rPr>
        <w:t>ين</w:t>
      </w:r>
      <w:r w:rsidRPr="00282AC9">
        <w:rPr>
          <w:rFonts w:ascii="AAA GoldenLotus" w:hAnsi="AAA GoldenLotus" w:hint="cs"/>
          <w:sz w:val="27"/>
          <w:rtl/>
        </w:rPr>
        <w:t xml:space="preserve">، </w:t>
      </w:r>
      <w:r w:rsidR="00E355F2" w:rsidRPr="00282AC9">
        <w:rPr>
          <w:rFonts w:ascii="AAA GoldenLotus" w:hAnsi="AAA GoldenLotus"/>
          <w:sz w:val="27"/>
          <w:rtl/>
        </w:rPr>
        <w:t>إ</w:t>
      </w:r>
      <w:r w:rsidR="00EE6DBA" w:rsidRPr="00282AC9">
        <w:rPr>
          <w:rFonts w:ascii="AAA GoldenLotus" w:hAnsi="AAA GoldenLotus"/>
          <w:sz w:val="27"/>
          <w:rtl/>
        </w:rPr>
        <w:t>لاّ</w:t>
      </w:r>
      <w:r w:rsidR="00E355F2" w:rsidRPr="00282AC9">
        <w:rPr>
          <w:rFonts w:ascii="AAA GoldenLotus" w:hAnsi="AAA GoldenLotus"/>
          <w:sz w:val="27"/>
          <w:rtl/>
        </w:rPr>
        <w:t xml:space="preserve"> لم</w:t>
      </w:r>
      <w:r w:rsidRPr="00282AC9">
        <w:rPr>
          <w:rFonts w:ascii="AAA GoldenLotus" w:hAnsi="AAA GoldenLotus" w:hint="cs"/>
          <w:sz w:val="27"/>
          <w:rtl/>
        </w:rPr>
        <w:t>َ</w:t>
      </w:r>
      <w:r w:rsidR="00E355F2" w:rsidRPr="00282AC9">
        <w:rPr>
          <w:rFonts w:ascii="AAA GoldenLotus" w:hAnsi="AAA GoldenLotus"/>
          <w:sz w:val="27"/>
          <w:rtl/>
        </w:rPr>
        <w:t>ن</w:t>
      </w:r>
      <w:r w:rsidRPr="00282AC9">
        <w:rPr>
          <w:rFonts w:ascii="AAA GoldenLotus" w:hAnsi="AAA GoldenLotus" w:hint="cs"/>
          <w:sz w:val="27"/>
          <w:rtl/>
        </w:rPr>
        <w:t>ْ</w:t>
      </w:r>
      <w:r w:rsidR="00E355F2" w:rsidRPr="00282AC9">
        <w:rPr>
          <w:rFonts w:ascii="AAA GoldenLotus" w:hAnsi="AAA GoldenLotus"/>
          <w:sz w:val="27"/>
          <w:rtl/>
        </w:rPr>
        <w:t xml:space="preserve"> لا يجد النعلين</w:t>
      </w:r>
      <w:r w:rsidRPr="00282AC9">
        <w:rPr>
          <w:rFonts w:ascii="AAA GoldenLotus" w:hAnsi="AAA GoldenLotus" w:hint="cs"/>
          <w:sz w:val="27"/>
          <w:rtl/>
        </w:rPr>
        <w:t>،</w:t>
      </w:r>
      <w:r w:rsidR="00E355F2" w:rsidRPr="00282AC9">
        <w:rPr>
          <w:rFonts w:ascii="AAA GoldenLotus" w:hAnsi="AAA GoldenLotus"/>
          <w:sz w:val="27"/>
          <w:rtl/>
        </w:rPr>
        <w:t xml:space="preserve"> فليلبس الخفّ</w:t>
      </w:r>
      <w:r w:rsidRPr="00282AC9">
        <w:rPr>
          <w:rFonts w:ascii="AAA GoldenLotus" w:hAnsi="AAA GoldenLotus" w:hint="cs"/>
          <w:sz w:val="27"/>
          <w:rtl/>
        </w:rPr>
        <w:t>َ</w:t>
      </w:r>
      <w:r w:rsidR="00E355F2" w:rsidRPr="00282AC9">
        <w:rPr>
          <w:rFonts w:ascii="AAA GoldenLotus" w:hAnsi="AAA GoldenLotus"/>
          <w:sz w:val="27"/>
          <w:rtl/>
        </w:rPr>
        <w:t>ين</w:t>
      </w:r>
      <w:r w:rsidRPr="00282AC9">
        <w:rPr>
          <w:rFonts w:ascii="AAA GoldenLotus" w:hAnsi="AAA GoldenLotus" w:hint="cs"/>
          <w:sz w:val="27"/>
          <w:rtl/>
        </w:rPr>
        <w:t>،</w:t>
      </w:r>
      <w:r w:rsidR="00E355F2" w:rsidRPr="00282AC9">
        <w:rPr>
          <w:rFonts w:ascii="AAA GoldenLotus" w:hAnsi="AAA GoldenLotus"/>
          <w:sz w:val="27"/>
          <w:rtl/>
        </w:rPr>
        <w:t xml:space="preserve"> وليقطعهما حتّى يكونا أسفل من الكعبين</w:t>
      </w:r>
      <w:r w:rsidRPr="00282AC9">
        <w:rPr>
          <w:rFonts w:hint="eastAsia"/>
          <w:sz w:val="24"/>
          <w:szCs w:val="24"/>
          <w:rtl/>
        </w:rPr>
        <w:t>»</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84"/>
      </w:r>
      <w:r w:rsidR="00E355F2" w:rsidRPr="00282AC9">
        <w:rPr>
          <w:rFonts w:ascii="AAA GoldenLotus" w:hAnsi="AAA GoldenLotus"/>
          <w:sz w:val="27"/>
          <w:vertAlign w:val="superscript"/>
          <w:rtl/>
        </w:rPr>
        <w:t>)</w:t>
      </w:r>
      <w:r w:rsidR="00E355F2" w:rsidRPr="00282AC9">
        <w:rPr>
          <w:rFonts w:ascii="AAA GoldenLotus" w:hAnsi="AAA GoldenLotus"/>
          <w:sz w:val="27"/>
          <w:rtl/>
        </w:rPr>
        <w:t>.</w:t>
      </w:r>
    </w:p>
    <w:p w:rsidR="00E355F2" w:rsidRPr="00282AC9" w:rsidRDefault="00136BCB" w:rsidP="00046546">
      <w:pPr>
        <w:rPr>
          <w:rFonts w:ascii="AAA GoldenLotus" w:hAnsi="AAA GoldenLotus"/>
          <w:spacing w:val="-2"/>
          <w:sz w:val="27"/>
          <w:rtl/>
        </w:rPr>
      </w:pPr>
      <w:r w:rsidRPr="00282AC9">
        <w:rPr>
          <w:rFonts w:ascii="AAA GoldenLotus" w:hAnsi="AAA GoldenLotus" w:hint="cs"/>
          <w:spacing w:val="-2"/>
          <w:sz w:val="27"/>
          <w:rtl/>
        </w:rPr>
        <w:t>و</w:t>
      </w:r>
      <w:r w:rsidRPr="00282AC9">
        <w:rPr>
          <w:rFonts w:ascii="AAA GoldenLotus" w:hAnsi="AAA GoldenLotus"/>
          <w:spacing w:val="-2"/>
          <w:sz w:val="27"/>
          <w:rtl/>
        </w:rPr>
        <w:t>وجهُ الد</w:t>
      </w:r>
      <w:r w:rsidR="00E355F2" w:rsidRPr="00282AC9">
        <w:rPr>
          <w:rFonts w:ascii="AAA GoldenLotus" w:hAnsi="AAA GoldenLotus"/>
          <w:spacing w:val="-2"/>
          <w:sz w:val="27"/>
          <w:rtl/>
        </w:rPr>
        <w:t>لالة</w:t>
      </w:r>
      <w:r w:rsidRPr="00282AC9">
        <w:rPr>
          <w:rFonts w:ascii="AAA GoldenLotus" w:hAnsi="AAA GoldenLotus"/>
          <w:spacing w:val="-2"/>
          <w:sz w:val="27"/>
          <w:rtl/>
        </w:rPr>
        <w:t xml:space="preserve"> أنّ النبيّ</w:t>
      </w:r>
      <w:r w:rsidR="00E355F2" w:rsidRPr="00282AC9">
        <w:rPr>
          <w:rFonts w:ascii="AAA GoldenLotus" w:hAnsi="AAA GoldenLotus"/>
          <w:spacing w:val="-2"/>
          <w:sz w:val="27"/>
          <w:rtl/>
        </w:rPr>
        <w:t>[</w:t>
      </w:r>
      <w:r w:rsidR="009A2A04" w:rsidRPr="00282AC9">
        <w:rPr>
          <w:rFonts w:ascii="AAA GoldenLotus" w:hAnsi="AAA GoldenLotus" w:cs="Mosawi"/>
          <w:spacing w:val="-2"/>
          <w:sz w:val="22"/>
          <w:szCs w:val="22"/>
          <w:rtl/>
        </w:rPr>
        <w:t>|</w:t>
      </w:r>
      <w:r w:rsidR="00E355F2" w:rsidRPr="00282AC9">
        <w:rPr>
          <w:rFonts w:ascii="AAA GoldenLotus" w:hAnsi="AAA GoldenLotus"/>
          <w:spacing w:val="-2"/>
          <w:sz w:val="27"/>
          <w:rtl/>
        </w:rPr>
        <w:t xml:space="preserve">] </w:t>
      </w:r>
      <w:r w:rsidRPr="00282AC9">
        <w:rPr>
          <w:rFonts w:ascii="AAA GoldenLotus" w:hAnsi="AAA GoldenLotus"/>
          <w:spacing w:val="-2"/>
          <w:sz w:val="27"/>
          <w:rtl/>
        </w:rPr>
        <w:t>نهى عن خمسة</w:t>
      </w:r>
      <w:r w:rsidR="00E355F2" w:rsidRPr="00282AC9">
        <w:rPr>
          <w:rFonts w:ascii="AAA GoldenLotus" w:hAnsi="AAA GoldenLotus"/>
          <w:spacing w:val="-2"/>
          <w:sz w:val="27"/>
          <w:rtl/>
        </w:rPr>
        <w:t xml:space="preserve"> أنواع</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من اللباس تشمل جميع ما يحرم</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وذلك أنّ اللباس إما أن يصنع للبدن فقط</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فهو القميص وما في معناه</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أو للرأس فقط</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وهو العمامة وما في معناها</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أو لهما</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وهو البُر</w:t>
      </w:r>
      <w:r w:rsidRPr="00282AC9">
        <w:rPr>
          <w:rFonts w:ascii="AAA GoldenLotus" w:hAnsi="AAA GoldenLotus" w:hint="cs"/>
          <w:spacing w:val="-2"/>
          <w:sz w:val="27"/>
          <w:rtl/>
        </w:rPr>
        <w:t>ْ</w:t>
      </w:r>
      <w:r w:rsidR="00E355F2" w:rsidRPr="00282AC9">
        <w:rPr>
          <w:rFonts w:ascii="AAA GoldenLotus" w:hAnsi="AAA GoldenLotus"/>
          <w:spacing w:val="-2"/>
          <w:sz w:val="27"/>
          <w:rtl/>
        </w:rPr>
        <w:t>نس وما في معناه</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أو للفخذين والساق</w:t>
      </w:r>
      <w:r w:rsidRPr="00282AC9">
        <w:rPr>
          <w:rFonts w:ascii="AAA GoldenLotus" w:hAnsi="AAA GoldenLotus" w:hint="cs"/>
          <w:spacing w:val="-2"/>
          <w:sz w:val="27"/>
          <w:rtl/>
        </w:rPr>
        <w:t xml:space="preserve">، </w:t>
      </w:r>
      <w:r w:rsidR="00E355F2" w:rsidRPr="00282AC9">
        <w:rPr>
          <w:rFonts w:ascii="AAA GoldenLotus" w:hAnsi="AAA GoldenLotus"/>
          <w:spacing w:val="-2"/>
          <w:sz w:val="27"/>
          <w:rtl/>
        </w:rPr>
        <w:t>وهو السراويل وما في معناها</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أو للرجلين</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وهو الخف</w:t>
      </w:r>
      <w:r w:rsidRPr="00282AC9">
        <w:rPr>
          <w:rFonts w:ascii="AAA GoldenLotus" w:hAnsi="AAA GoldenLotus" w:hint="cs"/>
          <w:spacing w:val="-2"/>
          <w:sz w:val="27"/>
          <w:rtl/>
        </w:rPr>
        <w:t>ّ</w:t>
      </w:r>
      <w:r w:rsidR="00E355F2" w:rsidRPr="00282AC9">
        <w:rPr>
          <w:rFonts w:ascii="AAA GoldenLotus" w:hAnsi="AAA GoldenLotus"/>
          <w:spacing w:val="-2"/>
          <w:sz w:val="27"/>
          <w:rtl/>
        </w:rPr>
        <w:t xml:space="preserve"> ونحوه.</w:t>
      </w:r>
    </w:p>
    <w:p w:rsidR="00E355F2" w:rsidRPr="00282AC9" w:rsidRDefault="00E355F2" w:rsidP="00046546">
      <w:pPr>
        <w:rPr>
          <w:rFonts w:ascii="AAA GoldenLotus" w:hAnsi="AAA GoldenLotus"/>
          <w:sz w:val="27"/>
          <w:rtl/>
        </w:rPr>
      </w:pPr>
      <w:r w:rsidRPr="00282AC9">
        <w:rPr>
          <w:rFonts w:ascii="AAA GoldenLotus" w:hAnsi="AAA GoldenLotus"/>
          <w:sz w:val="27"/>
          <w:rtl/>
        </w:rPr>
        <w:t>وقالت المذاهب في ذلك: لا بأس أن تغطي المرأة سائر جسدها وهي م</w:t>
      </w:r>
      <w:r w:rsidR="00136BCB" w:rsidRPr="00282AC9">
        <w:rPr>
          <w:rFonts w:ascii="AAA GoldenLotus" w:hAnsi="AAA GoldenLotus" w:hint="cs"/>
          <w:sz w:val="27"/>
          <w:rtl/>
        </w:rPr>
        <w:t>ُ</w:t>
      </w:r>
      <w:r w:rsidRPr="00282AC9">
        <w:rPr>
          <w:rFonts w:ascii="AAA GoldenLotus" w:hAnsi="AAA GoldenLotus"/>
          <w:sz w:val="27"/>
          <w:rtl/>
        </w:rPr>
        <w:t>ح</w:t>
      </w:r>
      <w:r w:rsidR="00136BCB" w:rsidRPr="00282AC9">
        <w:rPr>
          <w:rFonts w:ascii="AAA GoldenLotus" w:hAnsi="AAA GoldenLotus" w:hint="cs"/>
          <w:sz w:val="27"/>
          <w:rtl/>
        </w:rPr>
        <w:t>ْ</w:t>
      </w:r>
      <w:r w:rsidRPr="00282AC9">
        <w:rPr>
          <w:rFonts w:ascii="AAA GoldenLotus" w:hAnsi="AAA GoldenLotus"/>
          <w:sz w:val="27"/>
          <w:rtl/>
        </w:rPr>
        <w:t>ر</w:t>
      </w:r>
      <w:r w:rsidR="00136BCB" w:rsidRPr="00282AC9">
        <w:rPr>
          <w:rFonts w:ascii="AAA GoldenLotus" w:hAnsi="AAA GoldenLotus" w:hint="cs"/>
          <w:sz w:val="27"/>
          <w:rtl/>
        </w:rPr>
        <w:t>ِ</w:t>
      </w:r>
      <w:r w:rsidRPr="00282AC9">
        <w:rPr>
          <w:rFonts w:ascii="AAA GoldenLotus" w:hAnsi="AAA GoldenLotus"/>
          <w:sz w:val="27"/>
          <w:rtl/>
        </w:rPr>
        <w:t>مة</w:t>
      </w:r>
      <w:r w:rsidR="00136BCB" w:rsidRPr="00282AC9">
        <w:rPr>
          <w:rFonts w:ascii="AAA GoldenLotus" w:hAnsi="AAA GoldenLotus" w:hint="cs"/>
          <w:sz w:val="27"/>
          <w:rtl/>
        </w:rPr>
        <w:t>ٌ</w:t>
      </w:r>
      <w:r w:rsidRPr="00282AC9">
        <w:rPr>
          <w:rFonts w:ascii="AAA GoldenLotus" w:hAnsi="AAA GoldenLotus"/>
          <w:sz w:val="27"/>
          <w:rtl/>
        </w:rPr>
        <w:t xml:space="preserve"> بما شاء</w:t>
      </w:r>
      <w:r w:rsidR="00136BCB" w:rsidRPr="00282AC9">
        <w:rPr>
          <w:rFonts w:ascii="AAA GoldenLotus" w:hAnsi="AAA GoldenLotus" w:hint="cs"/>
          <w:sz w:val="27"/>
          <w:rtl/>
        </w:rPr>
        <w:t>َ</w:t>
      </w:r>
      <w:r w:rsidRPr="00282AC9">
        <w:rPr>
          <w:rFonts w:ascii="AAA GoldenLotus" w:hAnsi="AAA GoldenLotus"/>
          <w:sz w:val="27"/>
          <w:rtl/>
        </w:rPr>
        <w:t>ت</w:t>
      </w:r>
      <w:r w:rsidR="00136BCB" w:rsidRPr="00282AC9">
        <w:rPr>
          <w:rFonts w:ascii="AAA GoldenLotus" w:hAnsi="AAA GoldenLotus" w:hint="cs"/>
          <w:sz w:val="27"/>
          <w:rtl/>
        </w:rPr>
        <w:t>ْ</w:t>
      </w:r>
      <w:r w:rsidRPr="00282AC9">
        <w:rPr>
          <w:rFonts w:ascii="AAA GoldenLotus" w:hAnsi="AAA GoldenLotus"/>
          <w:sz w:val="27"/>
          <w:rtl/>
        </w:rPr>
        <w:t xml:space="preserve"> من الثياب</w:t>
      </w:r>
      <w:r w:rsidR="00136BCB" w:rsidRPr="00282AC9">
        <w:rPr>
          <w:rFonts w:ascii="AAA GoldenLotus" w:hAnsi="AAA GoldenLotus" w:hint="cs"/>
          <w:sz w:val="27"/>
          <w:rtl/>
        </w:rPr>
        <w:t>،</w:t>
      </w:r>
      <w:r w:rsidRPr="00282AC9">
        <w:rPr>
          <w:rFonts w:ascii="AAA GoldenLotus" w:hAnsi="AAA GoldenLotus"/>
          <w:sz w:val="27"/>
          <w:rtl/>
        </w:rPr>
        <w:t xml:space="preserve"> المخيطة وغيرها، وأن تلبس الخف</w:t>
      </w:r>
      <w:r w:rsidR="00136BCB" w:rsidRPr="00282AC9">
        <w:rPr>
          <w:rFonts w:ascii="AAA GoldenLotus" w:hAnsi="AAA GoldenLotus" w:hint="cs"/>
          <w:sz w:val="27"/>
          <w:rtl/>
        </w:rPr>
        <w:t>َّ</w:t>
      </w:r>
      <w:r w:rsidRPr="00282AC9">
        <w:rPr>
          <w:rFonts w:ascii="AAA GoldenLotus" w:hAnsi="AAA GoldenLotus"/>
          <w:sz w:val="27"/>
          <w:rtl/>
        </w:rPr>
        <w:t>ين</w:t>
      </w:r>
      <w:r w:rsidR="00136BCB" w:rsidRPr="00282AC9">
        <w:rPr>
          <w:rFonts w:ascii="AAA GoldenLotus" w:hAnsi="AAA GoldenLotus" w:hint="cs"/>
          <w:sz w:val="27"/>
          <w:rtl/>
        </w:rPr>
        <w:t>،</w:t>
      </w:r>
      <w:r w:rsidRPr="00282AC9">
        <w:rPr>
          <w:rFonts w:ascii="AAA GoldenLotus" w:hAnsi="AAA GoldenLotus"/>
          <w:sz w:val="27"/>
          <w:rtl/>
        </w:rPr>
        <w:t xml:space="preserve"> غير أنها لا تغطي وجهها</w:t>
      </w:r>
      <w:r w:rsidR="00136BCB" w:rsidRPr="00282AC9">
        <w:rPr>
          <w:rFonts w:ascii="AAA GoldenLotus" w:hAnsi="AAA GoldenLotus" w:hint="cs"/>
          <w:sz w:val="27"/>
          <w:rtl/>
        </w:rPr>
        <w:t>.</w:t>
      </w:r>
      <w:r w:rsidRPr="00282AC9">
        <w:rPr>
          <w:rFonts w:ascii="AAA GoldenLotus" w:hAnsi="AAA GoldenLotus"/>
          <w:sz w:val="27"/>
          <w:rtl/>
        </w:rPr>
        <w:t xml:space="preserve"> أما ستر سائر بدنها فلأن</w:t>
      </w:r>
      <w:r w:rsidR="00136BCB" w:rsidRPr="00282AC9">
        <w:rPr>
          <w:rFonts w:ascii="AAA GoldenLotus" w:hAnsi="AAA GoldenLotus" w:hint="cs"/>
          <w:sz w:val="27"/>
          <w:rtl/>
        </w:rPr>
        <w:t>ّ</w:t>
      </w:r>
      <w:r w:rsidRPr="00282AC9">
        <w:rPr>
          <w:rFonts w:ascii="AAA GoldenLotus" w:hAnsi="AAA GoldenLotus"/>
          <w:sz w:val="27"/>
          <w:rtl/>
        </w:rPr>
        <w:t xml:space="preserve"> بدنها عورة</w:t>
      </w:r>
      <w:r w:rsidR="00136BCB" w:rsidRPr="00282AC9">
        <w:rPr>
          <w:rFonts w:ascii="AAA GoldenLotus" w:hAnsi="AAA GoldenLotus" w:hint="cs"/>
          <w:sz w:val="27"/>
          <w:rtl/>
        </w:rPr>
        <w:t>ٌ</w:t>
      </w:r>
      <w:r w:rsidRPr="00282AC9">
        <w:rPr>
          <w:rFonts w:ascii="AAA GoldenLotus" w:hAnsi="AAA GoldenLotus"/>
          <w:sz w:val="27"/>
          <w:rtl/>
        </w:rPr>
        <w:t>؛ وستر العورة بما ليس بمخيط</w:t>
      </w:r>
      <w:r w:rsidR="00136BCB" w:rsidRPr="00282AC9">
        <w:rPr>
          <w:rFonts w:ascii="AAA GoldenLotus" w:hAnsi="AAA GoldenLotus" w:hint="cs"/>
          <w:sz w:val="27"/>
          <w:rtl/>
        </w:rPr>
        <w:t>ٍ</w:t>
      </w:r>
      <w:r w:rsidRPr="00282AC9">
        <w:rPr>
          <w:rFonts w:ascii="AAA GoldenLotus" w:hAnsi="AAA GoldenLotus"/>
          <w:sz w:val="27"/>
          <w:rtl/>
        </w:rPr>
        <w:t xml:space="preserve"> متعذ</w:t>
      </w:r>
      <w:r w:rsidR="00136BCB" w:rsidRPr="00282AC9">
        <w:rPr>
          <w:rFonts w:ascii="AAA GoldenLotus" w:hAnsi="AAA GoldenLotus" w:hint="cs"/>
          <w:sz w:val="27"/>
          <w:rtl/>
        </w:rPr>
        <w:t>ِّ</w:t>
      </w:r>
      <w:r w:rsidRPr="00282AC9">
        <w:rPr>
          <w:rFonts w:ascii="AAA GoldenLotus" w:hAnsi="AAA GoldenLotus"/>
          <w:sz w:val="27"/>
          <w:rtl/>
        </w:rPr>
        <w:t>ر</w:t>
      </w:r>
      <w:r w:rsidR="00136BCB" w:rsidRPr="00282AC9">
        <w:rPr>
          <w:rFonts w:ascii="AAA GoldenLotus" w:hAnsi="AAA GoldenLotus" w:hint="cs"/>
          <w:sz w:val="27"/>
          <w:rtl/>
        </w:rPr>
        <w:t>ٌ،</w:t>
      </w:r>
      <w:r w:rsidRPr="00282AC9">
        <w:rPr>
          <w:rFonts w:ascii="AAA GoldenLotus" w:hAnsi="AAA GoldenLotus"/>
          <w:sz w:val="27"/>
          <w:rtl/>
        </w:rPr>
        <w:t xml:space="preserve"> فد</w:t>
      </w:r>
      <w:r w:rsidR="00136BCB" w:rsidRPr="00282AC9">
        <w:rPr>
          <w:rFonts w:ascii="AAA GoldenLotus" w:hAnsi="AAA GoldenLotus" w:hint="cs"/>
          <w:sz w:val="27"/>
          <w:rtl/>
        </w:rPr>
        <w:t>َ</w:t>
      </w:r>
      <w:r w:rsidRPr="00282AC9">
        <w:rPr>
          <w:rFonts w:ascii="AAA GoldenLotus" w:hAnsi="AAA GoldenLotus"/>
          <w:sz w:val="27"/>
          <w:rtl/>
        </w:rPr>
        <w:t>ع</w:t>
      </w:r>
      <w:r w:rsidR="00136BCB" w:rsidRPr="00282AC9">
        <w:rPr>
          <w:rFonts w:ascii="AAA GoldenLotus" w:hAnsi="AAA GoldenLotus" w:hint="cs"/>
          <w:sz w:val="27"/>
          <w:rtl/>
        </w:rPr>
        <w:t>َ</w:t>
      </w:r>
      <w:r w:rsidRPr="00282AC9">
        <w:rPr>
          <w:rFonts w:ascii="AAA GoldenLotus" w:hAnsi="AAA GoldenLotus"/>
          <w:sz w:val="27"/>
          <w:rtl/>
        </w:rPr>
        <w:t>ت</w:t>
      </w:r>
      <w:r w:rsidR="00136BCB" w:rsidRPr="00282AC9">
        <w:rPr>
          <w:rFonts w:ascii="AAA GoldenLotus" w:hAnsi="AAA GoldenLotus" w:hint="cs"/>
          <w:sz w:val="27"/>
          <w:rtl/>
        </w:rPr>
        <w:t>ْ</w:t>
      </w:r>
      <w:r w:rsidR="005A1E7F" w:rsidRPr="00282AC9">
        <w:rPr>
          <w:rFonts w:ascii="AAA GoldenLotus" w:hAnsi="AAA GoldenLotus"/>
          <w:sz w:val="27"/>
          <w:rtl/>
        </w:rPr>
        <w:t xml:space="preserve"> الضرورة إلى لبس المخيط</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85"/>
      </w:r>
      <w:r w:rsidRPr="00282AC9">
        <w:rPr>
          <w:rFonts w:ascii="AAA GoldenLotus" w:hAnsi="AAA GoldenLotus"/>
          <w:sz w:val="27"/>
          <w:vertAlign w:val="superscript"/>
          <w:rtl/>
        </w:rPr>
        <w:t>)</w:t>
      </w:r>
      <w:r w:rsidRPr="00282AC9">
        <w:rPr>
          <w:rFonts w:ascii="AAA GoldenLotus" w:hAnsi="AAA GoldenLotus"/>
          <w:sz w:val="27"/>
          <w:rtl/>
        </w:rPr>
        <w:t>.</w:t>
      </w:r>
    </w:p>
    <w:p w:rsidR="005A1E7F" w:rsidRPr="00282AC9" w:rsidRDefault="00E355F2" w:rsidP="00046546">
      <w:pPr>
        <w:rPr>
          <w:rFonts w:ascii="AAA GoldenLotus" w:hAnsi="AAA GoldenLotus"/>
          <w:sz w:val="27"/>
          <w:rtl/>
        </w:rPr>
      </w:pPr>
      <w:r w:rsidRPr="00282AC9">
        <w:rPr>
          <w:rFonts w:ascii="AAA GoldenLotus" w:hAnsi="AAA GoldenLotus"/>
          <w:sz w:val="27"/>
          <w:rtl/>
        </w:rPr>
        <w:t>والدليل على ذلك:</w:t>
      </w:r>
    </w:p>
    <w:p w:rsidR="00E355F2" w:rsidRPr="00282AC9" w:rsidRDefault="005A1E7F" w:rsidP="00046546">
      <w:pPr>
        <w:rPr>
          <w:rFonts w:ascii="AAA GoldenLotus" w:hAnsi="AAA GoldenLotus"/>
          <w:sz w:val="27"/>
          <w:rtl/>
        </w:rPr>
      </w:pPr>
      <w:r w:rsidRPr="00282AC9">
        <w:rPr>
          <w:rFonts w:ascii="AAA GoldenLotus" w:hAnsi="AAA GoldenLotus" w:hint="cs"/>
          <w:sz w:val="27"/>
          <w:rtl/>
        </w:rPr>
        <w:t xml:space="preserve">1ـ </w:t>
      </w:r>
      <w:r w:rsidR="00E355F2" w:rsidRPr="00282AC9">
        <w:rPr>
          <w:rFonts w:ascii="AAA GoldenLotus" w:hAnsi="AAA GoldenLotus"/>
          <w:sz w:val="27"/>
          <w:rtl/>
        </w:rPr>
        <w:t>ما ر</w:t>
      </w:r>
      <w:r w:rsidRPr="00282AC9">
        <w:rPr>
          <w:rFonts w:ascii="AAA GoldenLotus" w:hAnsi="AAA GoldenLotus" w:hint="cs"/>
          <w:sz w:val="27"/>
          <w:rtl/>
        </w:rPr>
        <w:t>ُ</w:t>
      </w:r>
      <w:r w:rsidR="00E355F2" w:rsidRPr="00282AC9">
        <w:rPr>
          <w:rFonts w:ascii="AAA GoldenLotus" w:hAnsi="AAA GoldenLotus"/>
          <w:sz w:val="27"/>
          <w:rtl/>
        </w:rPr>
        <w:t>وي عن عبد الله بن عمر أنه سمع رسول الله[</w:t>
      </w:r>
      <w:r w:rsidR="009A2A04" w:rsidRPr="00282AC9">
        <w:rPr>
          <w:rFonts w:ascii="AAA GoldenLotus" w:hAnsi="AAA GoldenLotus" w:cs="Mosawi"/>
          <w:sz w:val="22"/>
          <w:szCs w:val="22"/>
          <w:rtl/>
        </w:rPr>
        <w:t>|</w:t>
      </w:r>
      <w:r w:rsidR="00E355F2" w:rsidRPr="00282AC9">
        <w:rPr>
          <w:rFonts w:ascii="AAA GoldenLotus" w:hAnsi="AAA GoldenLotus"/>
          <w:sz w:val="27"/>
          <w:rtl/>
        </w:rPr>
        <w:t>] يقول:</w:t>
      </w:r>
      <w:r w:rsidR="00E355F2" w:rsidRPr="00282AC9">
        <w:rPr>
          <w:rFonts w:ascii="AAA GoldenLotus" w:hAnsi="AAA GoldenLotus" w:hint="cs"/>
          <w:sz w:val="27"/>
          <w:rtl/>
        </w:rPr>
        <w:t xml:space="preserve"> </w:t>
      </w:r>
      <w:r w:rsidRPr="00282AC9">
        <w:rPr>
          <w:rFonts w:hint="eastAsia"/>
          <w:sz w:val="24"/>
          <w:szCs w:val="24"/>
          <w:rtl/>
        </w:rPr>
        <w:t>«</w:t>
      </w:r>
      <w:r w:rsidR="00E355F2" w:rsidRPr="00282AC9">
        <w:rPr>
          <w:rFonts w:ascii="AAA GoldenLotus" w:hAnsi="AAA GoldenLotus"/>
          <w:sz w:val="27"/>
          <w:rtl/>
        </w:rPr>
        <w:t>نهى النساء في إحرامهن</w:t>
      </w:r>
      <w:r w:rsidRPr="00282AC9">
        <w:rPr>
          <w:rFonts w:ascii="AAA GoldenLotus" w:hAnsi="AAA GoldenLotus" w:hint="cs"/>
          <w:sz w:val="27"/>
          <w:rtl/>
        </w:rPr>
        <w:t>َّ</w:t>
      </w:r>
      <w:r w:rsidR="00E355F2" w:rsidRPr="00282AC9">
        <w:rPr>
          <w:rFonts w:ascii="AAA GoldenLotus" w:hAnsi="AAA GoldenLotus"/>
          <w:sz w:val="27"/>
          <w:rtl/>
        </w:rPr>
        <w:t xml:space="preserve"> عن القفاز</w:t>
      </w:r>
      <w:r w:rsidRPr="00282AC9">
        <w:rPr>
          <w:rFonts w:ascii="AAA GoldenLotus" w:hAnsi="AAA GoldenLotus" w:hint="cs"/>
          <w:sz w:val="27"/>
          <w:rtl/>
        </w:rPr>
        <w:t>َ</w:t>
      </w:r>
      <w:r w:rsidR="00E355F2" w:rsidRPr="00282AC9">
        <w:rPr>
          <w:rFonts w:ascii="AAA GoldenLotus" w:hAnsi="AAA GoldenLotus"/>
          <w:sz w:val="27"/>
          <w:rtl/>
        </w:rPr>
        <w:t>ي</w:t>
      </w:r>
      <w:r w:rsidRPr="00282AC9">
        <w:rPr>
          <w:rFonts w:ascii="AAA GoldenLotus" w:hAnsi="AAA GoldenLotus" w:hint="cs"/>
          <w:sz w:val="27"/>
          <w:rtl/>
        </w:rPr>
        <w:t>ْ</w:t>
      </w:r>
      <w:r w:rsidR="00E355F2" w:rsidRPr="00282AC9">
        <w:rPr>
          <w:rFonts w:ascii="AAA GoldenLotus" w:hAnsi="AAA GoldenLotus"/>
          <w:sz w:val="27"/>
          <w:rtl/>
        </w:rPr>
        <w:t>ن والنقاب، وما مس</w:t>
      </w:r>
      <w:r w:rsidRPr="00282AC9">
        <w:rPr>
          <w:rFonts w:ascii="AAA GoldenLotus" w:hAnsi="AAA GoldenLotus" w:hint="cs"/>
          <w:sz w:val="27"/>
          <w:rtl/>
        </w:rPr>
        <w:t>ّ</w:t>
      </w:r>
      <w:r w:rsidR="00E355F2" w:rsidRPr="00282AC9">
        <w:rPr>
          <w:rFonts w:ascii="AAA GoldenLotus" w:hAnsi="AAA GoldenLotus"/>
          <w:sz w:val="27"/>
          <w:rtl/>
        </w:rPr>
        <w:t xml:space="preserve"> الورس والزعفران من الثياب</w:t>
      </w:r>
      <w:r w:rsidRPr="00282AC9">
        <w:rPr>
          <w:rFonts w:ascii="AAA GoldenLotus" w:hAnsi="AAA GoldenLotus" w:hint="cs"/>
          <w:sz w:val="27"/>
          <w:rtl/>
        </w:rPr>
        <w:t>.</w:t>
      </w:r>
      <w:r w:rsidR="00E355F2" w:rsidRPr="00282AC9">
        <w:rPr>
          <w:rFonts w:ascii="AAA GoldenLotus" w:hAnsi="AAA GoldenLotus"/>
          <w:sz w:val="27"/>
          <w:rtl/>
        </w:rPr>
        <w:t xml:space="preserve"> ولتلبس بعد ذلك ما أحب</w:t>
      </w:r>
      <w:r w:rsidRPr="00282AC9">
        <w:rPr>
          <w:rFonts w:ascii="AAA GoldenLotus" w:hAnsi="AAA GoldenLotus" w:hint="cs"/>
          <w:sz w:val="27"/>
          <w:rtl/>
        </w:rPr>
        <w:t>َّ</w:t>
      </w:r>
      <w:r w:rsidR="00E355F2" w:rsidRPr="00282AC9">
        <w:rPr>
          <w:rFonts w:ascii="AAA GoldenLotus" w:hAnsi="AAA GoldenLotus"/>
          <w:sz w:val="27"/>
          <w:rtl/>
        </w:rPr>
        <w:t>ت</w:t>
      </w:r>
      <w:r w:rsidRPr="00282AC9">
        <w:rPr>
          <w:rFonts w:ascii="AAA GoldenLotus" w:hAnsi="AAA GoldenLotus" w:hint="cs"/>
          <w:sz w:val="27"/>
          <w:rtl/>
        </w:rPr>
        <w:t>ْ</w:t>
      </w:r>
      <w:r w:rsidR="00E355F2" w:rsidRPr="00282AC9">
        <w:rPr>
          <w:rFonts w:ascii="AAA GoldenLotus" w:hAnsi="AAA GoldenLotus"/>
          <w:sz w:val="27"/>
          <w:rtl/>
        </w:rPr>
        <w:t xml:space="preserve"> من ألوان الثياب</w:t>
      </w:r>
      <w:r w:rsidRPr="00282AC9">
        <w:rPr>
          <w:rFonts w:ascii="AAA GoldenLotus" w:hAnsi="AAA GoldenLotus" w:hint="cs"/>
          <w:sz w:val="27"/>
          <w:rtl/>
        </w:rPr>
        <w:t>،</w:t>
      </w:r>
      <w:r w:rsidR="00E355F2" w:rsidRPr="00282AC9">
        <w:rPr>
          <w:rFonts w:ascii="AAA GoldenLotus" w:hAnsi="AAA GoldenLotus"/>
          <w:sz w:val="27"/>
          <w:rtl/>
        </w:rPr>
        <w:t xml:space="preserve"> معصفراً أو خز</w:t>
      </w:r>
      <w:r w:rsidRPr="00282AC9">
        <w:rPr>
          <w:rFonts w:ascii="AAA GoldenLotus" w:hAnsi="AAA GoldenLotus" w:hint="cs"/>
          <w:sz w:val="27"/>
          <w:rtl/>
        </w:rPr>
        <w:t>ّ</w:t>
      </w:r>
      <w:r w:rsidR="00E355F2" w:rsidRPr="00282AC9">
        <w:rPr>
          <w:rFonts w:ascii="AAA GoldenLotus" w:hAnsi="AAA GoldenLotus"/>
          <w:sz w:val="27"/>
          <w:rtl/>
        </w:rPr>
        <w:t>اً أو حلياً أو سراويل أو قميصاً أو خف</w:t>
      </w:r>
      <w:r w:rsidRPr="00282AC9">
        <w:rPr>
          <w:rFonts w:ascii="AAA GoldenLotus" w:hAnsi="AAA GoldenLotus" w:hint="cs"/>
          <w:sz w:val="27"/>
          <w:rtl/>
        </w:rPr>
        <w:t>ّ</w:t>
      </w:r>
      <w:r w:rsidR="00E355F2" w:rsidRPr="00282AC9">
        <w:rPr>
          <w:rFonts w:ascii="AAA GoldenLotus" w:hAnsi="AAA GoldenLotus"/>
          <w:sz w:val="27"/>
          <w:rtl/>
        </w:rPr>
        <w:t>اً</w:t>
      </w:r>
      <w:r w:rsidRPr="00282AC9">
        <w:rPr>
          <w:rFonts w:hint="eastAsia"/>
          <w:sz w:val="24"/>
          <w:szCs w:val="24"/>
          <w:rtl/>
        </w:rPr>
        <w:t>»</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86"/>
      </w:r>
      <w:r w:rsidR="00E355F2" w:rsidRPr="00282AC9">
        <w:rPr>
          <w:rFonts w:ascii="AAA GoldenLotus" w:hAnsi="AAA GoldenLotus"/>
          <w:sz w:val="27"/>
          <w:vertAlign w:val="superscript"/>
          <w:rtl/>
        </w:rPr>
        <w:t>)</w:t>
      </w:r>
      <w:r w:rsidR="00E355F2" w:rsidRPr="00282AC9">
        <w:rPr>
          <w:rFonts w:ascii="AAA GoldenLotus" w:hAnsi="AAA GoldenLotus"/>
          <w:sz w:val="27"/>
          <w:rtl/>
        </w:rPr>
        <w:t>.</w:t>
      </w:r>
    </w:p>
    <w:p w:rsidR="00E355F2" w:rsidRPr="00282AC9" w:rsidRDefault="005A1E7F" w:rsidP="00046546">
      <w:pPr>
        <w:rPr>
          <w:rFonts w:ascii="AAA GoldenLotus" w:hAnsi="AAA GoldenLotus"/>
          <w:sz w:val="27"/>
          <w:rtl/>
        </w:rPr>
      </w:pPr>
      <w:r w:rsidRPr="00282AC9">
        <w:rPr>
          <w:rFonts w:ascii="AAA GoldenLotus" w:hAnsi="AAA GoldenLotus" w:hint="cs"/>
          <w:sz w:val="27"/>
          <w:rtl/>
        </w:rPr>
        <w:t xml:space="preserve">2ـ </w:t>
      </w:r>
      <w:r w:rsidR="00E355F2" w:rsidRPr="00282AC9">
        <w:rPr>
          <w:rFonts w:ascii="AAA GoldenLotus" w:hAnsi="AAA GoldenLotus"/>
          <w:sz w:val="27"/>
          <w:rtl/>
        </w:rPr>
        <w:t>ما ر</w:t>
      </w:r>
      <w:r w:rsidRPr="00282AC9">
        <w:rPr>
          <w:rFonts w:ascii="AAA GoldenLotus" w:hAnsi="AAA GoldenLotus" w:hint="cs"/>
          <w:sz w:val="27"/>
          <w:rtl/>
        </w:rPr>
        <w:t>ُ</w:t>
      </w:r>
      <w:r w:rsidR="00E355F2" w:rsidRPr="00282AC9">
        <w:rPr>
          <w:rFonts w:ascii="AAA GoldenLotus" w:hAnsi="AAA GoldenLotus"/>
          <w:sz w:val="27"/>
          <w:rtl/>
        </w:rPr>
        <w:t>وي عن عائشة أنها قالت:</w:t>
      </w:r>
      <w:r w:rsidR="00E355F2" w:rsidRPr="00282AC9">
        <w:rPr>
          <w:rFonts w:ascii="AAA GoldenLotus" w:hAnsi="AAA GoldenLotus" w:hint="cs"/>
          <w:sz w:val="27"/>
          <w:rtl/>
        </w:rPr>
        <w:t xml:space="preserve"> </w:t>
      </w:r>
      <w:r w:rsidRPr="00282AC9">
        <w:rPr>
          <w:rFonts w:hint="eastAsia"/>
          <w:sz w:val="24"/>
          <w:szCs w:val="24"/>
          <w:rtl/>
        </w:rPr>
        <w:t>«</w:t>
      </w:r>
      <w:r w:rsidR="00E355F2" w:rsidRPr="00282AC9">
        <w:rPr>
          <w:rFonts w:ascii="AAA GoldenLotus" w:hAnsi="AAA GoldenLotus"/>
          <w:sz w:val="27"/>
          <w:rtl/>
        </w:rPr>
        <w:t>الم</w:t>
      </w:r>
      <w:r w:rsidRPr="00282AC9">
        <w:rPr>
          <w:rFonts w:ascii="AAA GoldenLotus" w:hAnsi="AAA GoldenLotus" w:hint="cs"/>
          <w:sz w:val="27"/>
          <w:rtl/>
        </w:rPr>
        <w:t>ُ</w:t>
      </w:r>
      <w:r w:rsidR="00E355F2" w:rsidRPr="00282AC9">
        <w:rPr>
          <w:rFonts w:ascii="AAA GoldenLotus" w:hAnsi="AAA GoldenLotus"/>
          <w:sz w:val="27"/>
          <w:rtl/>
        </w:rPr>
        <w:t>ح</w:t>
      </w:r>
      <w:r w:rsidRPr="00282AC9">
        <w:rPr>
          <w:rFonts w:ascii="AAA GoldenLotus" w:hAnsi="AAA GoldenLotus" w:hint="cs"/>
          <w:sz w:val="27"/>
          <w:rtl/>
        </w:rPr>
        <w:t>ْ</w:t>
      </w:r>
      <w:r w:rsidR="00E355F2" w:rsidRPr="00282AC9">
        <w:rPr>
          <w:rFonts w:ascii="AAA GoldenLotus" w:hAnsi="AAA GoldenLotus"/>
          <w:sz w:val="27"/>
          <w:rtl/>
        </w:rPr>
        <w:t>ر</w:t>
      </w:r>
      <w:r w:rsidRPr="00282AC9">
        <w:rPr>
          <w:rFonts w:ascii="AAA GoldenLotus" w:hAnsi="AAA GoldenLotus" w:hint="cs"/>
          <w:sz w:val="27"/>
          <w:rtl/>
        </w:rPr>
        <w:t>ِ</w:t>
      </w:r>
      <w:r w:rsidR="00E355F2" w:rsidRPr="00282AC9">
        <w:rPr>
          <w:rFonts w:ascii="AAA GoldenLotus" w:hAnsi="AAA GoldenLotus"/>
          <w:sz w:val="27"/>
          <w:rtl/>
        </w:rPr>
        <w:t>مةُ تلبس من الثياب ما شاء</w:t>
      </w:r>
      <w:r w:rsidRPr="00282AC9">
        <w:rPr>
          <w:rFonts w:ascii="AAA GoldenLotus" w:hAnsi="AAA GoldenLotus" w:hint="cs"/>
          <w:sz w:val="27"/>
          <w:rtl/>
        </w:rPr>
        <w:t>َ</w:t>
      </w:r>
      <w:r w:rsidR="00E355F2" w:rsidRPr="00282AC9">
        <w:rPr>
          <w:rFonts w:ascii="AAA GoldenLotus" w:hAnsi="AAA GoldenLotus"/>
          <w:sz w:val="27"/>
          <w:rtl/>
        </w:rPr>
        <w:t>ت</w:t>
      </w:r>
      <w:r w:rsidRPr="00282AC9">
        <w:rPr>
          <w:rFonts w:ascii="AAA GoldenLotus" w:hAnsi="AAA GoldenLotus" w:hint="cs"/>
          <w:sz w:val="27"/>
          <w:rtl/>
        </w:rPr>
        <w:t>ْ،</w:t>
      </w:r>
      <w:r w:rsidR="00E355F2" w:rsidRPr="00282AC9">
        <w:rPr>
          <w:rFonts w:ascii="AAA GoldenLotus" w:hAnsi="AAA GoldenLotus"/>
          <w:sz w:val="27"/>
          <w:rtl/>
        </w:rPr>
        <w:t xml:space="preserve"> إلا ثوباً مسّه ورسٌ أو زعفرانٌ، ولا تتبرقع ولا تلثم، وتسدل الثوب على وجهها إن</w:t>
      </w:r>
      <w:r w:rsidRPr="00282AC9">
        <w:rPr>
          <w:rFonts w:ascii="AAA GoldenLotus" w:hAnsi="AAA GoldenLotus" w:hint="cs"/>
          <w:sz w:val="27"/>
          <w:rtl/>
        </w:rPr>
        <w:t>ْ</w:t>
      </w:r>
      <w:r w:rsidR="00E355F2" w:rsidRPr="00282AC9">
        <w:rPr>
          <w:rFonts w:ascii="AAA GoldenLotus" w:hAnsi="AAA GoldenLotus"/>
          <w:sz w:val="27"/>
          <w:rtl/>
        </w:rPr>
        <w:t xml:space="preserve"> شاء</w:t>
      </w:r>
      <w:r w:rsidRPr="00282AC9">
        <w:rPr>
          <w:rFonts w:ascii="AAA GoldenLotus" w:hAnsi="AAA GoldenLotus" w:hint="cs"/>
          <w:sz w:val="27"/>
          <w:rtl/>
        </w:rPr>
        <w:t>َ</w:t>
      </w:r>
      <w:r w:rsidR="00E355F2" w:rsidRPr="00282AC9">
        <w:rPr>
          <w:rFonts w:ascii="AAA GoldenLotus" w:hAnsi="AAA GoldenLotus"/>
          <w:sz w:val="27"/>
          <w:rtl/>
        </w:rPr>
        <w:t>ت</w:t>
      </w:r>
      <w:r w:rsidRPr="00282AC9">
        <w:rPr>
          <w:rFonts w:ascii="AAA GoldenLotus" w:hAnsi="AAA GoldenLotus" w:hint="cs"/>
          <w:sz w:val="27"/>
          <w:rtl/>
        </w:rPr>
        <w:t>ْ</w:t>
      </w:r>
      <w:r w:rsidRPr="00282AC9">
        <w:rPr>
          <w:rFonts w:hint="eastAsia"/>
          <w:sz w:val="24"/>
          <w:szCs w:val="24"/>
          <w:rtl/>
        </w:rPr>
        <w:t>»</w:t>
      </w:r>
      <w:r w:rsidR="00E355F2" w:rsidRPr="00282AC9">
        <w:rPr>
          <w:rFonts w:ascii="AAA GoldenLotus" w:hAnsi="AAA GoldenLotus"/>
          <w:sz w:val="27"/>
          <w:vertAlign w:val="superscript"/>
          <w:rtl/>
        </w:rPr>
        <w:t>(</w:t>
      </w:r>
      <w:r w:rsidR="00E355F2" w:rsidRPr="00282AC9">
        <w:rPr>
          <w:rFonts w:ascii="AAA GoldenLotus" w:hAnsi="AAA GoldenLotus"/>
          <w:sz w:val="27"/>
          <w:vertAlign w:val="superscript"/>
          <w:rtl/>
        </w:rPr>
        <w:endnoteReference w:id="387"/>
      </w:r>
      <w:r w:rsidR="00E355F2" w:rsidRPr="00282AC9">
        <w:rPr>
          <w:rFonts w:ascii="AAA GoldenLotus" w:hAnsi="AAA GoldenLotus"/>
          <w:sz w:val="27"/>
          <w:vertAlign w:val="superscript"/>
          <w:rtl/>
        </w:rPr>
        <w:t>)</w:t>
      </w:r>
      <w:r w:rsidR="00E355F2"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ودلالة</w:t>
      </w:r>
      <w:r w:rsidR="005A1E7F" w:rsidRPr="00282AC9">
        <w:rPr>
          <w:rFonts w:ascii="AAA GoldenLotus" w:hAnsi="AAA GoldenLotus" w:hint="cs"/>
          <w:sz w:val="27"/>
          <w:rtl/>
        </w:rPr>
        <w:t>ُ</w:t>
      </w:r>
      <w:r w:rsidRPr="00282AC9">
        <w:rPr>
          <w:rFonts w:ascii="AAA GoldenLotus" w:hAnsi="AAA GoldenLotus"/>
          <w:sz w:val="27"/>
          <w:rtl/>
        </w:rPr>
        <w:t xml:space="preserve"> هذه الروايات على أن للمرأة الم</w:t>
      </w:r>
      <w:r w:rsidR="005A1E7F" w:rsidRPr="00282AC9">
        <w:rPr>
          <w:rFonts w:ascii="AAA GoldenLotus" w:hAnsi="AAA GoldenLotus" w:hint="cs"/>
          <w:sz w:val="27"/>
          <w:rtl/>
        </w:rPr>
        <w:t>ُ</w:t>
      </w:r>
      <w:r w:rsidRPr="00282AC9">
        <w:rPr>
          <w:rFonts w:ascii="AAA GoldenLotus" w:hAnsi="AAA GoldenLotus"/>
          <w:sz w:val="27"/>
          <w:rtl/>
        </w:rPr>
        <w:t>ح</w:t>
      </w:r>
      <w:r w:rsidR="005A1E7F" w:rsidRPr="00282AC9">
        <w:rPr>
          <w:rFonts w:ascii="AAA GoldenLotus" w:hAnsi="AAA GoldenLotus" w:hint="cs"/>
          <w:sz w:val="27"/>
          <w:rtl/>
        </w:rPr>
        <w:t>ْ</w:t>
      </w:r>
      <w:r w:rsidRPr="00282AC9">
        <w:rPr>
          <w:rFonts w:ascii="AAA GoldenLotus" w:hAnsi="AAA GoldenLotus"/>
          <w:sz w:val="27"/>
          <w:rtl/>
        </w:rPr>
        <w:t>ر</w:t>
      </w:r>
      <w:r w:rsidR="005A1E7F" w:rsidRPr="00282AC9">
        <w:rPr>
          <w:rFonts w:ascii="AAA GoldenLotus" w:hAnsi="AAA GoldenLotus" w:hint="cs"/>
          <w:sz w:val="27"/>
          <w:rtl/>
        </w:rPr>
        <w:t>ِ</w:t>
      </w:r>
      <w:r w:rsidRPr="00282AC9">
        <w:rPr>
          <w:rFonts w:ascii="AAA GoldenLotus" w:hAnsi="AAA GoldenLotus"/>
          <w:sz w:val="27"/>
          <w:rtl/>
        </w:rPr>
        <w:t>مة أن تغطي جسمها بما شاء</w:t>
      </w:r>
      <w:r w:rsidR="005A1E7F" w:rsidRPr="00282AC9">
        <w:rPr>
          <w:rFonts w:ascii="AAA GoldenLotus" w:hAnsi="AAA GoldenLotus" w:hint="cs"/>
          <w:sz w:val="27"/>
          <w:rtl/>
        </w:rPr>
        <w:t>َ</w:t>
      </w:r>
      <w:r w:rsidRPr="00282AC9">
        <w:rPr>
          <w:rFonts w:ascii="AAA GoldenLotus" w:hAnsi="AAA GoldenLotus"/>
          <w:sz w:val="27"/>
          <w:rtl/>
        </w:rPr>
        <w:t>ت</w:t>
      </w:r>
      <w:r w:rsidR="005A1E7F" w:rsidRPr="00282AC9">
        <w:rPr>
          <w:rFonts w:ascii="AAA GoldenLotus" w:hAnsi="AAA GoldenLotus" w:hint="cs"/>
          <w:sz w:val="27"/>
          <w:rtl/>
        </w:rPr>
        <w:t>ْ</w:t>
      </w:r>
      <w:r w:rsidRPr="00282AC9">
        <w:rPr>
          <w:rFonts w:ascii="AAA GoldenLotus" w:hAnsi="AAA GoldenLotus"/>
          <w:sz w:val="27"/>
          <w:rtl/>
        </w:rPr>
        <w:t xml:space="preserve"> من أنواع الثياب</w:t>
      </w:r>
      <w:r w:rsidR="005A1E7F" w:rsidRPr="00282AC9">
        <w:rPr>
          <w:rFonts w:ascii="AAA GoldenLotus" w:hAnsi="AAA GoldenLotus" w:hint="cs"/>
          <w:sz w:val="27"/>
          <w:rtl/>
        </w:rPr>
        <w:t>،</w:t>
      </w:r>
      <w:r w:rsidRPr="00282AC9">
        <w:rPr>
          <w:rFonts w:ascii="AAA GoldenLotus" w:hAnsi="AAA GoldenLotus"/>
          <w:sz w:val="27"/>
          <w:rtl/>
        </w:rPr>
        <w:t xml:space="preserve"> التي يجوز لها لبسها قبل ال</w:t>
      </w:r>
      <w:r w:rsidR="005A1E7F" w:rsidRPr="00282AC9">
        <w:rPr>
          <w:rFonts w:ascii="AAA GoldenLotus" w:hAnsi="AAA GoldenLotus" w:hint="cs"/>
          <w:sz w:val="27"/>
          <w:rtl/>
        </w:rPr>
        <w:t>إ</w:t>
      </w:r>
      <w:r w:rsidRPr="00282AC9">
        <w:rPr>
          <w:rFonts w:ascii="AAA GoldenLotus" w:hAnsi="AAA GoldenLotus"/>
          <w:sz w:val="27"/>
          <w:rtl/>
        </w:rPr>
        <w:t>حرام</w:t>
      </w:r>
      <w:r w:rsidR="005A1E7F" w:rsidRPr="00282AC9">
        <w:rPr>
          <w:rFonts w:ascii="AAA GoldenLotus" w:hAnsi="AAA GoldenLotus" w:hint="cs"/>
          <w:sz w:val="27"/>
          <w:rtl/>
        </w:rPr>
        <w:t>،</w:t>
      </w:r>
      <w:r w:rsidRPr="00282AC9">
        <w:rPr>
          <w:rFonts w:ascii="AAA GoldenLotus" w:hAnsi="AAA GoldenLotus"/>
          <w:sz w:val="27"/>
          <w:rtl/>
        </w:rPr>
        <w:t xml:space="preserve"> مخيطاً أو منسوجاً أو خلاف ذلك.</w:t>
      </w:r>
    </w:p>
    <w:p w:rsidR="009C287D" w:rsidRPr="00282AC9" w:rsidRDefault="009C287D" w:rsidP="009C287D">
      <w:pPr>
        <w:spacing w:line="420" w:lineRule="exact"/>
        <w:rPr>
          <w:rtl/>
        </w:rPr>
      </w:pPr>
    </w:p>
    <w:p w:rsidR="00E355F2" w:rsidRPr="00282AC9" w:rsidRDefault="00E355F2" w:rsidP="001F6DD6">
      <w:pPr>
        <w:pStyle w:val="31"/>
        <w:rPr>
          <w:color w:val="auto"/>
          <w:rtl/>
        </w:rPr>
      </w:pPr>
      <w:r w:rsidRPr="00282AC9">
        <w:rPr>
          <w:rFonts w:hint="cs"/>
          <w:color w:val="auto"/>
          <w:rtl/>
        </w:rPr>
        <w:t xml:space="preserve">2ـ </w:t>
      </w:r>
      <w:r w:rsidRPr="00282AC9">
        <w:rPr>
          <w:color w:val="auto"/>
          <w:rtl/>
        </w:rPr>
        <w:t>الأحكام والأحوال الشخصي</w:t>
      </w:r>
      <w:r w:rsidR="005A1E7F" w:rsidRPr="00282AC9">
        <w:rPr>
          <w:rFonts w:hint="cs"/>
          <w:color w:val="auto"/>
          <w:rtl/>
        </w:rPr>
        <w:t>ّ</w:t>
      </w:r>
      <w:r w:rsidRPr="00282AC9">
        <w:rPr>
          <w:color w:val="auto"/>
          <w:rtl/>
        </w:rPr>
        <w:t>ة</w:t>
      </w:r>
    </w:p>
    <w:p w:rsidR="00E355F2" w:rsidRPr="00282AC9" w:rsidRDefault="00E355F2" w:rsidP="00046546">
      <w:pPr>
        <w:rPr>
          <w:rFonts w:ascii="AAA GoldenLotus" w:hAnsi="AAA GoldenLotus"/>
          <w:sz w:val="27"/>
          <w:rtl/>
        </w:rPr>
      </w:pPr>
      <w:r w:rsidRPr="00282AC9">
        <w:rPr>
          <w:rFonts w:ascii="AAA GoldenLotus" w:hAnsi="AAA GoldenLotus"/>
          <w:sz w:val="27"/>
          <w:rtl/>
        </w:rPr>
        <w:t>ذكرت في باب الأحكام والأحوال الشخصية عد</w:t>
      </w:r>
      <w:r w:rsidR="005A1E7F" w:rsidRPr="00282AC9">
        <w:rPr>
          <w:rFonts w:ascii="AAA GoldenLotus" w:hAnsi="AAA GoldenLotus" w:hint="cs"/>
          <w:sz w:val="27"/>
          <w:rtl/>
        </w:rPr>
        <w:t>ّ</w:t>
      </w:r>
      <w:r w:rsidRPr="00282AC9">
        <w:rPr>
          <w:rFonts w:ascii="AAA GoldenLotus" w:hAnsi="AAA GoldenLotus"/>
          <w:sz w:val="27"/>
          <w:rtl/>
        </w:rPr>
        <w:t>ة مسائل خ</w:t>
      </w:r>
      <w:r w:rsidRPr="00282AC9">
        <w:rPr>
          <w:rFonts w:ascii="AAA GoldenLotus" w:hAnsi="AAA GoldenLotus" w:hint="cs"/>
          <w:sz w:val="27"/>
          <w:rtl/>
        </w:rPr>
        <w:t>ُ</w:t>
      </w:r>
      <w:r w:rsidRPr="00282AC9">
        <w:rPr>
          <w:rFonts w:ascii="AAA GoldenLotus" w:hAnsi="AAA GoldenLotus"/>
          <w:sz w:val="27"/>
          <w:rtl/>
        </w:rPr>
        <w:t>رم</w:t>
      </w:r>
      <w:r w:rsidR="00B6680E" w:rsidRPr="00282AC9">
        <w:rPr>
          <w:rFonts w:ascii="AAA GoldenLotus" w:hAnsi="AAA GoldenLotus" w:hint="cs"/>
          <w:sz w:val="27"/>
          <w:rtl/>
        </w:rPr>
        <w:t>َ</w:t>
      </w:r>
      <w:r w:rsidRPr="00282AC9">
        <w:rPr>
          <w:rFonts w:ascii="AAA GoldenLotus" w:hAnsi="AAA GoldenLotus"/>
          <w:sz w:val="27"/>
          <w:rtl/>
        </w:rPr>
        <w:t>ت</w:t>
      </w:r>
      <w:r w:rsidR="00B6680E" w:rsidRPr="00282AC9">
        <w:rPr>
          <w:rFonts w:ascii="AAA GoldenLotus" w:hAnsi="AAA GoldenLotus" w:hint="cs"/>
          <w:sz w:val="27"/>
          <w:rtl/>
        </w:rPr>
        <w:t>ْ</w:t>
      </w:r>
      <w:r w:rsidRPr="00282AC9">
        <w:rPr>
          <w:rFonts w:ascii="AAA GoldenLotus" w:hAnsi="AAA GoldenLotus"/>
          <w:sz w:val="27"/>
          <w:rtl/>
        </w:rPr>
        <w:t xml:space="preserve"> فيها قاعدة اشتراك المرأة والرجل في التكليف، بأن ثبت للرجل حكم</w:t>
      </w:r>
      <w:r w:rsidR="00B6680E" w:rsidRPr="00282AC9">
        <w:rPr>
          <w:rFonts w:ascii="AAA GoldenLotus" w:hAnsi="AAA GoldenLotus" w:hint="cs"/>
          <w:sz w:val="27"/>
          <w:rtl/>
        </w:rPr>
        <w:t>ٌ</w:t>
      </w:r>
      <w:r w:rsidRPr="00282AC9">
        <w:rPr>
          <w:rFonts w:ascii="AAA GoldenLotus" w:hAnsi="AAA GoldenLotus"/>
          <w:sz w:val="27"/>
          <w:rtl/>
        </w:rPr>
        <w:t xml:space="preserve"> مغاير</w:t>
      </w:r>
      <w:r w:rsidR="00B6680E" w:rsidRPr="00282AC9">
        <w:rPr>
          <w:rFonts w:ascii="AAA GoldenLotus" w:hAnsi="AAA GoldenLotus" w:hint="cs"/>
          <w:sz w:val="27"/>
          <w:rtl/>
        </w:rPr>
        <w:t>ٌ</w:t>
      </w:r>
      <w:r w:rsidRPr="00282AC9">
        <w:rPr>
          <w:rFonts w:ascii="AAA GoldenLotus" w:hAnsi="AAA GoldenLotus"/>
          <w:sz w:val="27"/>
          <w:rtl/>
        </w:rPr>
        <w:t xml:space="preserve"> للمرأة في مورد</w:t>
      </w:r>
      <w:r w:rsidR="00B6680E" w:rsidRPr="00282AC9">
        <w:rPr>
          <w:rFonts w:ascii="AAA GoldenLotus" w:hAnsi="AAA GoldenLotus" w:hint="cs"/>
          <w:sz w:val="27"/>
          <w:rtl/>
        </w:rPr>
        <w:t>ٍ</w:t>
      </w:r>
      <w:r w:rsidRPr="00282AC9">
        <w:rPr>
          <w:rFonts w:ascii="AAA GoldenLotus" w:hAnsi="AAA GoldenLotus"/>
          <w:sz w:val="27"/>
          <w:rtl/>
        </w:rPr>
        <w:t xml:space="preserve"> واحد</w:t>
      </w:r>
      <w:r w:rsidR="00B6680E" w:rsidRPr="00282AC9">
        <w:rPr>
          <w:rFonts w:ascii="AAA GoldenLotus" w:hAnsi="AAA GoldenLotus" w:hint="cs"/>
          <w:sz w:val="27"/>
          <w:rtl/>
        </w:rPr>
        <w:t>.</w:t>
      </w:r>
      <w:r w:rsidRPr="00282AC9">
        <w:rPr>
          <w:rFonts w:ascii="AAA GoldenLotus" w:hAnsi="AAA GoldenLotus"/>
          <w:sz w:val="27"/>
          <w:rtl/>
        </w:rPr>
        <w:t xml:space="preserve"> ومن هذه المسائل:</w:t>
      </w:r>
    </w:p>
    <w:p w:rsidR="00B6680E" w:rsidRPr="00282AC9" w:rsidRDefault="00E355F2" w:rsidP="00046546">
      <w:pPr>
        <w:rPr>
          <w:rFonts w:ascii="AAA GoldenLotus" w:hAnsi="AAA GoldenLotus"/>
          <w:sz w:val="27"/>
          <w:rtl/>
        </w:rPr>
      </w:pPr>
      <w:bookmarkStart w:id="38" w:name="_Toc33819751"/>
      <w:r w:rsidRPr="00282AC9">
        <w:rPr>
          <w:rFonts w:ascii="AAA GoldenLotus" w:hAnsi="AAA GoldenLotus" w:hint="cs"/>
          <w:b/>
          <w:bCs/>
          <w:i/>
          <w:sz w:val="27"/>
          <w:rtl/>
        </w:rPr>
        <w:lastRenderedPageBreak/>
        <w:t>أ</w:t>
      </w:r>
      <w:r w:rsidRPr="00282AC9">
        <w:rPr>
          <w:rFonts w:ascii="AAA GoldenLotus" w:hAnsi="AAA GoldenLotus"/>
          <w:b/>
          <w:bCs/>
          <w:i/>
          <w:sz w:val="27"/>
          <w:rtl/>
        </w:rPr>
        <w:t>ـ ميراث المرأة والرجل</w:t>
      </w:r>
      <w:bookmarkEnd w:id="38"/>
      <w:r w:rsidR="00B6680E" w:rsidRPr="00282AC9">
        <w:rPr>
          <w:rFonts w:ascii="AAA GoldenLotus" w:hAnsi="AAA GoldenLotus" w:hint="cs"/>
          <w:i/>
          <w:sz w:val="27"/>
          <w:rtl/>
        </w:rPr>
        <w:t xml:space="preserve">: </w:t>
      </w:r>
      <w:r w:rsidRPr="00282AC9">
        <w:rPr>
          <w:rFonts w:ascii="AAA GoldenLotus" w:hAnsi="AAA GoldenLotus"/>
          <w:sz w:val="27"/>
          <w:rtl/>
        </w:rPr>
        <w:t>ذهبت جميع المذاهب الإسلامية إلى أن ميراث المرأة أقل</w:t>
      </w:r>
      <w:r w:rsidR="00B6680E" w:rsidRPr="00282AC9">
        <w:rPr>
          <w:rFonts w:ascii="AAA GoldenLotus" w:hAnsi="AAA GoldenLotus" w:hint="cs"/>
          <w:sz w:val="27"/>
          <w:rtl/>
        </w:rPr>
        <w:t>ّ</w:t>
      </w:r>
      <w:r w:rsidRPr="00282AC9">
        <w:rPr>
          <w:rFonts w:ascii="AAA GoldenLotus" w:hAnsi="AAA GoldenLotus"/>
          <w:sz w:val="27"/>
          <w:rtl/>
        </w:rPr>
        <w:t xml:space="preserve"> من ميراث الرجل في الغالب</w:t>
      </w:r>
      <w:r w:rsidR="00B6680E" w:rsidRPr="00282AC9">
        <w:rPr>
          <w:rFonts w:ascii="AAA GoldenLotus" w:hAnsi="AAA GoldenLotus" w:hint="cs"/>
          <w:sz w:val="27"/>
          <w:rtl/>
        </w:rPr>
        <w:t>.</w:t>
      </w:r>
      <w:r w:rsidRPr="00282AC9">
        <w:rPr>
          <w:rFonts w:ascii="AAA GoldenLotus" w:hAnsi="AAA GoldenLotus"/>
          <w:sz w:val="27"/>
          <w:rtl/>
        </w:rPr>
        <w:t xml:space="preserve"> وقد يكون على النصف منه بشروط</w:t>
      </w:r>
      <w:r w:rsidR="00B6680E" w:rsidRPr="00282AC9">
        <w:rPr>
          <w:rFonts w:ascii="AAA GoldenLotus" w:hAnsi="AAA GoldenLotus" w:hint="cs"/>
          <w:sz w:val="27"/>
          <w:rtl/>
        </w:rPr>
        <w:t>ٍ</w:t>
      </w:r>
      <w:r w:rsidRPr="00282AC9">
        <w:rPr>
          <w:rFonts w:ascii="AAA GoldenLotus" w:hAnsi="AAA GoldenLotus"/>
          <w:sz w:val="27"/>
          <w:rtl/>
        </w:rPr>
        <w:t xml:space="preserve"> معينة</w:t>
      </w:r>
      <w:r w:rsidR="00B6680E" w:rsidRPr="00282AC9">
        <w:rPr>
          <w:rFonts w:ascii="AAA GoldenLotus" w:hAnsi="AAA GoldenLotus" w:hint="cs"/>
          <w:sz w:val="27"/>
          <w:rtl/>
        </w:rPr>
        <w:t>.</w:t>
      </w:r>
      <w:r w:rsidRPr="00282AC9">
        <w:rPr>
          <w:rFonts w:ascii="AAA GoldenLotus" w:hAnsi="AAA GoldenLotus"/>
          <w:sz w:val="27"/>
          <w:rtl/>
        </w:rPr>
        <w:t xml:space="preserve"> والمفاضلة في الإسلام بين الرجل والمرأة في الميراث لها شروط</w:t>
      </w:r>
      <w:r w:rsidR="00B6680E" w:rsidRPr="00282AC9">
        <w:rPr>
          <w:rFonts w:ascii="AAA GoldenLotus" w:hAnsi="AAA GoldenLotus" w:hint="cs"/>
          <w:sz w:val="27"/>
          <w:rtl/>
        </w:rPr>
        <w:t>ٌ،</w:t>
      </w:r>
      <w:r w:rsidRPr="00282AC9">
        <w:rPr>
          <w:rFonts w:ascii="AAA GoldenLotus" w:hAnsi="AAA GoldenLotus"/>
          <w:sz w:val="27"/>
          <w:rtl/>
        </w:rPr>
        <w:t xml:space="preserve"> وهي</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88"/>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046546">
      <w:pPr>
        <w:rPr>
          <w:rFonts w:ascii="AAA GoldenLotus" w:hAnsi="AAA GoldenLotus"/>
          <w:i/>
          <w:sz w:val="27"/>
          <w:rtl/>
        </w:rPr>
      </w:pPr>
      <w:r w:rsidRPr="00282AC9">
        <w:rPr>
          <w:rFonts w:ascii="AAA GoldenLotus" w:hAnsi="AAA GoldenLotus"/>
          <w:b/>
          <w:bCs/>
          <w:sz w:val="27"/>
          <w:rtl/>
        </w:rPr>
        <w:t>الشرط الأو</w:t>
      </w:r>
      <w:r w:rsidR="00B6680E" w:rsidRPr="00282AC9">
        <w:rPr>
          <w:rFonts w:ascii="AAA GoldenLotus" w:hAnsi="AAA GoldenLotus" w:hint="cs"/>
          <w:b/>
          <w:bCs/>
          <w:sz w:val="27"/>
          <w:rtl/>
        </w:rPr>
        <w:t>ّ</w:t>
      </w:r>
      <w:r w:rsidRPr="00282AC9">
        <w:rPr>
          <w:rFonts w:ascii="AAA GoldenLotus" w:hAnsi="AAA GoldenLotus"/>
          <w:b/>
          <w:bCs/>
          <w:sz w:val="27"/>
          <w:rtl/>
        </w:rPr>
        <w:t>ل</w:t>
      </w:r>
      <w:r w:rsidRPr="00282AC9">
        <w:rPr>
          <w:rFonts w:ascii="AAA GoldenLotus" w:hAnsi="AAA GoldenLotus"/>
          <w:sz w:val="27"/>
          <w:rtl/>
        </w:rPr>
        <w:t>: أن يكونا في درجة</w:t>
      </w:r>
      <w:r w:rsidR="00B6680E" w:rsidRPr="00282AC9">
        <w:rPr>
          <w:rFonts w:ascii="AAA GoldenLotus" w:hAnsi="AAA GoldenLotus" w:hint="cs"/>
          <w:sz w:val="27"/>
          <w:rtl/>
        </w:rPr>
        <w:t>ٍ</w:t>
      </w:r>
      <w:r w:rsidRPr="00282AC9">
        <w:rPr>
          <w:rFonts w:ascii="AAA GoldenLotus" w:hAnsi="AAA GoldenLotus"/>
          <w:sz w:val="27"/>
          <w:rtl/>
        </w:rPr>
        <w:t xml:space="preserve"> واحدة (ابن وبنت مثلاً).</w:t>
      </w:r>
    </w:p>
    <w:p w:rsidR="00E355F2" w:rsidRPr="00282AC9" w:rsidRDefault="00E355F2" w:rsidP="00046546">
      <w:pPr>
        <w:rPr>
          <w:rFonts w:ascii="AAA GoldenLotus" w:hAnsi="AAA GoldenLotus"/>
          <w:sz w:val="27"/>
          <w:rtl/>
        </w:rPr>
      </w:pPr>
      <w:r w:rsidRPr="00282AC9">
        <w:rPr>
          <w:rFonts w:ascii="AAA GoldenLotus" w:hAnsi="AAA GoldenLotus"/>
          <w:b/>
          <w:bCs/>
          <w:sz w:val="27"/>
          <w:rtl/>
        </w:rPr>
        <w:t>الشرط الثاني</w:t>
      </w:r>
      <w:r w:rsidRPr="00282AC9">
        <w:rPr>
          <w:rFonts w:ascii="AAA GoldenLotus" w:hAnsi="AAA GoldenLotus"/>
          <w:sz w:val="27"/>
          <w:rtl/>
        </w:rPr>
        <w:t>: أن يكونا من جهة</w:t>
      </w:r>
      <w:r w:rsidR="00B6680E" w:rsidRPr="00282AC9">
        <w:rPr>
          <w:rFonts w:ascii="AAA GoldenLotus" w:hAnsi="AAA GoldenLotus" w:hint="cs"/>
          <w:sz w:val="27"/>
          <w:rtl/>
        </w:rPr>
        <w:t>ٍ</w:t>
      </w:r>
      <w:r w:rsidRPr="00282AC9">
        <w:rPr>
          <w:rFonts w:ascii="AAA GoldenLotus" w:hAnsi="AAA GoldenLotus"/>
          <w:sz w:val="27"/>
          <w:rtl/>
        </w:rPr>
        <w:t xml:space="preserve"> واحدة (جهة البنو</w:t>
      </w:r>
      <w:r w:rsidR="00B6680E" w:rsidRPr="00282AC9">
        <w:rPr>
          <w:rFonts w:ascii="AAA GoldenLotus" w:hAnsi="AAA GoldenLotus" w:hint="cs"/>
          <w:sz w:val="27"/>
          <w:rtl/>
        </w:rPr>
        <w:t>ّ</w:t>
      </w:r>
      <w:r w:rsidRPr="00282AC9">
        <w:rPr>
          <w:rFonts w:ascii="AAA GoldenLotus" w:hAnsi="AAA GoldenLotus"/>
          <w:sz w:val="27"/>
          <w:rtl/>
        </w:rPr>
        <w:t>ة أو الأخو</w:t>
      </w:r>
      <w:r w:rsidR="00B6680E" w:rsidRPr="00282AC9">
        <w:rPr>
          <w:rFonts w:ascii="AAA GoldenLotus" w:hAnsi="AAA GoldenLotus" w:hint="cs"/>
          <w:sz w:val="27"/>
          <w:rtl/>
        </w:rPr>
        <w:t>ّ</w:t>
      </w:r>
      <w:r w:rsidRPr="00282AC9">
        <w:rPr>
          <w:rFonts w:ascii="AAA GoldenLotus" w:hAnsi="AAA GoldenLotus"/>
          <w:sz w:val="27"/>
          <w:rtl/>
        </w:rPr>
        <w:t>ة).</w:t>
      </w:r>
    </w:p>
    <w:p w:rsidR="00E355F2" w:rsidRPr="00282AC9" w:rsidRDefault="00E355F2" w:rsidP="00046546">
      <w:pPr>
        <w:rPr>
          <w:rFonts w:ascii="AAA GoldenLotus" w:hAnsi="AAA GoldenLotus"/>
          <w:sz w:val="27"/>
          <w:rtl/>
        </w:rPr>
      </w:pPr>
      <w:r w:rsidRPr="00282AC9">
        <w:rPr>
          <w:rFonts w:ascii="AAA GoldenLotus" w:hAnsi="AAA GoldenLotus"/>
          <w:b/>
          <w:bCs/>
          <w:sz w:val="27"/>
          <w:rtl/>
        </w:rPr>
        <w:t>الشرط الثالث</w:t>
      </w:r>
      <w:r w:rsidRPr="00282AC9">
        <w:rPr>
          <w:rFonts w:ascii="AAA GoldenLotus" w:hAnsi="AAA GoldenLotus"/>
          <w:sz w:val="27"/>
          <w:rtl/>
        </w:rPr>
        <w:t>: أن يستويا في القو</w:t>
      </w:r>
      <w:r w:rsidR="00B6680E" w:rsidRPr="00282AC9">
        <w:rPr>
          <w:rFonts w:ascii="AAA GoldenLotus" w:hAnsi="AAA GoldenLotus" w:hint="cs"/>
          <w:sz w:val="27"/>
          <w:rtl/>
        </w:rPr>
        <w:t>ّ</w:t>
      </w:r>
      <w:r w:rsidRPr="00282AC9">
        <w:rPr>
          <w:rFonts w:ascii="AAA GoldenLotus" w:hAnsi="AAA GoldenLotus"/>
          <w:sz w:val="27"/>
          <w:rtl/>
        </w:rPr>
        <w:t>ة، فالأخ لأب</w:t>
      </w:r>
      <w:r w:rsidR="00B6680E" w:rsidRPr="00282AC9">
        <w:rPr>
          <w:rFonts w:ascii="AAA GoldenLotus" w:hAnsi="AAA GoldenLotus" w:hint="cs"/>
          <w:sz w:val="27"/>
          <w:rtl/>
        </w:rPr>
        <w:t>ٍ</w:t>
      </w:r>
      <w:r w:rsidRPr="00282AC9">
        <w:rPr>
          <w:rFonts w:ascii="AAA GoldenLotus" w:hAnsi="AAA GoldenLotus"/>
          <w:sz w:val="27"/>
          <w:rtl/>
        </w:rPr>
        <w:t xml:space="preserve"> لا يساوي نصيبه ضعف نصيب الأخت الشقيقة؛ لأنها أقوى صلة</w:t>
      </w:r>
      <w:r w:rsidR="00B6680E" w:rsidRPr="00282AC9">
        <w:rPr>
          <w:rFonts w:ascii="AAA GoldenLotus" w:hAnsi="AAA GoldenLotus" w:hint="cs"/>
          <w:sz w:val="27"/>
          <w:rtl/>
        </w:rPr>
        <w:t>ً</w:t>
      </w:r>
      <w:r w:rsidRPr="00282AC9">
        <w:rPr>
          <w:rFonts w:ascii="AAA GoldenLotus" w:hAnsi="AAA GoldenLotus"/>
          <w:sz w:val="27"/>
          <w:rtl/>
        </w:rPr>
        <w:t xml:space="preserve"> منه بالشقيق.</w:t>
      </w:r>
    </w:p>
    <w:p w:rsidR="00E355F2" w:rsidRPr="00282AC9" w:rsidRDefault="00E355F2" w:rsidP="00046546">
      <w:pPr>
        <w:rPr>
          <w:rFonts w:ascii="AAA GoldenLotus" w:hAnsi="AAA GoldenLotus"/>
          <w:sz w:val="27"/>
          <w:rtl/>
        </w:rPr>
      </w:pPr>
      <w:r w:rsidRPr="00282AC9">
        <w:rPr>
          <w:rFonts w:ascii="AAA GoldenLotus" w:hAnsi="AAA GoldenLotus"/>
          <w:sz w:val="27"/>
          <w:rtl/>
        </w:rPr>
        <w:t>فإذا توف</w:t>
      </w:r>
      <w:r w:rsidR="00B6680E" w:rsidRPr="00282AC9">
        <w:rPr>
          <w:rFonts w:ascii="AAA GoldenLotus" w:hAnsi="AAA GoldenLotus" w:hint="cs"/>
          <w:sz w:val="27"/>
          <w:rtl/>
        </w:rPr>
        <w:t>َّ</w:t>
      </w:r>
      <w:r w:rsidRPr="00282AC9">
        <w:rPr>
          <w:rFonts w:ascii="AAA GoldenLotus" w:hAnsi="AAA GoldenLotus"/>
          <w:sz w:val="27"/>
          <w:rtl/>
        </w:rPr>
        <w:t>ر</w:t>
      </w:r>
      <w:r w:rsidR="00B6680E" w:rsidRPr="00282AC9">
        <w:rPr>
          <w:rFonts w:ascii="AAA GoldenLotus" w:hAnsi="AAA GoldenLotus" w:hint="cs"/>
          <w:sz w:val="27"/>
          <w:rtl/>
        </w:rPr>
        <w:t>َ</w:t>
      </w:r>
      <w:r w:rsidRPr="00282AC9">
        <w:rPr>
          <w:rFonts w:ascii="AAA GoldenLotus" w:hAnsi="AAA GoldenLotus"/>
          <w:sz w:val="27"/>
          <w:rtl/>
        </w:rPr>
        <w:t>ت</w:t>
      </w:r>
      <w:r w:rsidR="00B6680E" w:rsidRPr="00282AC9">
        <w:rPr>
          <w:rFonts w:ascii="AAA GoldenLotus" w:hAnsi="AAA GoldenLotus" w:hint="cs"/>
          <w:sz w:val="27"/>
          <w:rtl/>
        </w:rPr>
        <w:t>ْ</w:t>
      </w:r>
      <w:r w:rsidRPr="00282AC9">
        <w:rPr>
          <w:rFonts w:ascii="AAA GoldenLotus" w:hAnsi="AAA GoldenLotus"/>
          <w:sz w:val="27"/>
          <w:rtl/>
        </w:rPr>
        <w:t xml:space="preserve"> هذه الشروط</w:t>
      </w:r>
      <w:r w:rsidR="00B6680E" w:rsidRPr="00282AC9">
        <w:rPr>
          <w:rFonts w:ascii="AAA GoldenLotus" w:hAnsi="AAA GoldenLotus" w:hint="cs"/>
          <w:sz w:val="27"/>
          <w:rtl/>
        </w:rPr>
        <w:t>،</w:t>
      </w:r>
      <w:r w:rsidRPr="00282AC9">
        <w:rPr>
          <w:rFonts w:ascii="AAA GoldenLotus" w:hAnsi="AAA GoldenLotus"/>
          <w:sz w:val="27"/>
          <w:rtl/>
        </w:rPr>
        <w:t xml:space="preserve"> وكان الوارث ذكراً وأنثى</w:t>
      </w:r>
      <w:r w:rsidR="00B6680E" w:rsidRPr="00282AC9">
        <w:rPr>
          <w:rFonts w:ascii="AAA GoldenLotus" w:hAnsi="AAA GoldenLotus" w:hint="cs"/>
          <w:sz w:val="27"/>
          <w:rtl/>
        </w:rPr>
        <w:t>،</w:t>
      </w:r>
      <w:r w:rsidRPr="00282AC9">
        <w:rPr>
          <w:rFonts w:ascii="AAA GoldenLotus" w:hAnsi="AAA GoldenLotus"/>
          <w:sz w:val="27"/>
          <w:rtl/>
        </w:rPr>
        <w:t xml:space="preserve"> وكان الإرث من الأبو</w:t>
      </w:r>
      <w:r w:rsidR="00B6680E" w:rsidRPr="00282AC9">
        <w:rPr>
          <w:rFonts w:ascii="AAA GoldenLotus" w:hAnsi="AAA GoldenLotus" w:hint="cs"/>
          <w:sz w:val="27"/>
          <w:rtl/>
        </w:rPr>
        <w:t>َ</w:t>
      </w:r>
      <w:r w:rsidRPr="00282AC9">
        <w:rPr>
          <w:rFonts w:ascii="AAA GoldenLotus" w:hAnsi="AAA GoldenLotus"/>
          <w:sz w:val="27"/>
          <w:rtl/>
        </w:rPr>
        <w:t>ي</w:t>
      </w:r>
      <w:r w:rsidR="00B6680E" w:rsidRPr="00282AC9">
        <w:rPr>
          <w:rFonts w:ascii="AAA GoldenLotus" w:hAnsi="AAA GoldenLotus" w:hint="cs"/>
          <w:sz w:val="27"/>
          <w:rtl/>
        </w:rPr>
        <w:t>ْ</w:t>
      </w:r>
      <w:r w:rsidRPr="00282AC9">
        <w:rPr>
          <w:rFonts w:ascii="AAA GoldenLotus" w:hAnsi="AAA GoldenLotus"/>
          <w:sz w:val="27"/>
          <w:rtl/>
        </w:rPr>
        <w:t>ن</w:t>
      </w:r>
      <w:r w:rsidR="00B6680E" w:rsidRPr="00282AC9">
        <w:rPr>
          <w:rFonts w:ascii="AAA GoldenLotus" w:hAnsi="AAA GoldenLotus" w:hint="cs"/>
          <w:sz w:val="27"/>
          <w:rtl/>
        </w:rPr>
        <w:t>،</w:t>
      </w:r>
      <w:r w:rsidRPr="00282AC9">
        <w:rPr>
          <w:rFonts w:ascii="AAA GoldenLotus" w:hAnsi="AAA GoldenLotus"/>
          <w:sz w:val="27"/>
          <w:rtl/>
        </w:rPr>
        <w:t xml:space="preserve"> فللذكر حص</w:t>
      </w:r>
      <w:r w:rsidR="00B6680E" w:rsidRPr="00282AC9">
        <w:rPr>
          <w:rFonts w:ascii="AAA GoldenLotus" w:hAnsi="AAA GoldenLotus" w:hint="cs"/>
          <w:sz w:val="27"/>
          <w:rtl/>
        </w:rPr>
        <w:t>ّ</w:t>
      </w:r>
      <w:r w:rsidRPr="00282AC9">
        <w:rPr>
          <w:rFonts w:ascii="AAA GoldenLotus" w:hAnsi="AAA GoldenLotus"/>
          <w:sz w:val="27"/>
          <w:rtl/>
        </w:rPr>
        <w:t>تان</w:t>
      </w:r>
      <w:r w:rsidR="00B6680E" w:rsidRPr="00282AC9">
        <w:rPr>
          <w:rFonts w:ascii="AAA GoldenLotus" w:hAnsi="AAA GoldenLotus" w:hint="cs"/>
          <w:sz w:val="27"/>
          <w:rtl/>
        </w:rPr>
        <w:t>،</w:t>
      </w:r>
      <w:r w:rsidRPr="00282AC9">
        <w:rPr>
          <w:rFonts w:ascii="AAA GoldenLotus" w:hAnsi="AAA GoldenLotus"/>
          <w:sz w:val="27"/>
          <w:rtl/>
        </w:rPr>
        <w:t xml:space="preserve"> وللأنثى حص</w:t>
      </w:r>
      <w:r w:rsidR="00B6680E" w:rsidRPr="00282AC9">
        <w:rPr>
          <w:rFonts w:ascii="AAA GoldenLotus" w:hAnsi="AAA GoldenLotus" w:hint="cs"/>
          <w:sz w:val="27"/>
          <w:rtl/>
        </w:rPr>
        <w:t>ّ</w:t>
      </w:r>
      <w:r w:rsidRPr="00282AC9">
        <w:rPr>
          <w:rFonts w:ascii="AAA GoldenLotus" w:hAnsi="AAA GoldenLotus"/>
          <w:sz w:val="27"/>
          <w:rtl/>
        </w:rPr>
        <w:t>ة</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89"/>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 وي</w:t>
      </w:r>
      <w:r w:rsidR="007821CC" w:rsidRPr="00282AC9">
        <w:rPr>
          <w:rFonts w:ascii="AAA GoldenLotus" w:hAnsi="AAA GoldenLotus" w:hint="cs"/>
          <w:sz w:val="27"/>
          <w:rtl/>
        </w:rPr>
        <w:t>ُ</w:t>
      </w:r>
      <w:r w:rsidRPr="00282AC9">
        <w:rPr>
          <w:rFonts w:ascii="AAA GoldenLotus" w:hAnsi="AAA GoldenLotus"/>
          <w:sz w:val="27"/>
          <w:rtl/>
        </w:rPr>
        <w:t>ست</w:t>
      </w:r>
      <w:r w:rsidR="007821CC" w:rsidRPr="00282AC9">
        <w:rPr>
          <w:rFonts w:ascii="AAA GoldenLotus" w:hAnsi="AAA GoldenLotus" w:hint="cs"/>
          <w:sz w:val="27"/>
          <w:rtl/>
        </w:rPr>
        <w:t>َ</w:t>
      </w:r>
      <w:r w:rsidRPr="00282AC9">
        <w:rPr>
          <w:rFonts w:ascii="AAA GoldenLotus" w:hAnsi="AAA GoldenLotus"/>
          <w:sz w:val="27"/>
          <w:rtl/>
        </w:rPr>
        <w:t>د</w:t>
      </w:r>
      <w:r w:rsidR="007821CC" w:rsidRPr="00282AC9">
        <w:rPr>
          <w:rFonts w:ascii="AAA GoldenLotus" w:hAnsi="AAA GoldenLotus" w:hint="cs"/>
          <w:sz w:val="27"/>
          <w:rtl/>
        </w:rPr>
        <w:t>َ</w:t>
      </w:r>
      <w:r w:rsidRPr="00282AC9">
        <w:rPr>
          <w:rFonts w:ascii="AAA GoldenLotus" w:hAnsi="AAA GoldenLotus"/>
          <w:sz w:val="27"/>
          <w:rtl/>
        </w:rPr>
        <w:t>ل</w:t>
      </w:r>
      <w:r w:rsidR="00B6680E" w:rsidRPr="00282AC9">
        <w:rPr>
          <w:rFonts w:ascii="AAA GoldenLotus" w:hAnsi="AAA GoldenLotus" w:hint="cs"/>
          <w:sz w:val="27"/>
          <w:rtl/>
        </w:rPr>
        <w:t>ّ</w:t>
      </w:r>
      <w:r w:rsidRPr="00282AC9">
        <w:rPr>
          <w:rFonts w:ascii="AAA GoldenLotus" w:hAnsi="AAA GoldenLotus"/>
          <w:sz w:val="27"/>
          <w:rtl/>
        </w:rPr>
        <w:t xml:space="preserve"> على ذلك بقوله تعالى:</w:t>
      </w:r>
      <w:r w:rsidRPr="00282AC9">
        <w:rPr>
          <w:rFonts w:ascii="Mosawi" w:hAnsi="Mosawi" w:cs="Mosawi" w:hint="cs"/>
          <w:sz w:val="24"/>
          <w:szCs w:val="24"/>
          <w:rtl/>
        </w:rPr>
        <w:t xml:space="preserve"> </w:t>
      </w:r>
      <w:r w:rsidR="00C5291F" w:rsidRPr="00282AC9">
        <w:rPr>
          <w:rFonts w:ascii="Mosawi" w:hAnsi="Mosawi" w:cs="Mosawi"/>
          <w:sz w:val="24"/>
          <w:szCs w:val="24"/>
          <w:rtl/>
        </w:rPr>
        <w:t>﴿</w:t>
      </w:r>
      <w:r w:rsidRPr="00282AC9">
        <w:rPr>
          <w:rFonts w:ascii="AAA GoldenLotus" w:hAnsi="AAA GoldenLotus"/>
          <w:b/>
          <w:bCs/>
          <w:sz w:val="27"/>
          <w:rtl/>
        </w:rPr>
        <w:t xml:space="preserve">يُوصِيكُمُ </w:t>
      </w:r>
      <w:r w:rsidR="006D28AF" w:rsidRPr="00282AC9">
        <w:rPr>
          <w:rFonts w:ascii="AAA GoldenLotus" w:hAnsi="AAA GoldenLotus"/>
          <w:b/>
          <w:bCs/>
          <w:sz w:val="27"/>
          <w:rtl/>
        </w:rPr>
        <w:t>الل</w:t>
      </w:r>
      <w:r w:rsidRPr="00282AC9">
        <w:rPr>
          <w:rFonts w:ascii="AAA GoldenLotus" w:hAnsi="AAA GoldenLotus"/>
          <w:b/>
          <w:bCs/>
          <w:sz w:val="27"/>
          <w:rtl/>
        </w:rPr>
        <w:t>هُ فِي أَوْلاَدِكُمْ لِلذَّكَرِ مِثْلُ حَظِّ الأُنثَيَيْنِ</w:t>
      </w:r>
      <w:r w:rsidR="00C5291F" w:rsidRPr="00282AC9">
        <w:rPr>
          <w:rFonts w:ascii="Mosawi" w:hAnsi="Mosawi" w:cs="Mosawi"/>
          <w:sz w:val="24"/>
          <w:szCs w:val="24"/>
          <w:rtl/>
        </w:rPr>
        <w:t>﴾</w:t>
      </w:r>
      <w:r w:rsidRPr="00282AC9">
        <w:rPr>
          <w:rFonts w:ascii="AAA GoldenLotus" w:hAnsi="AAA GoldenLotus"/>
          <w:sz w:val="27"/>
          <w:rtl/>
        </w:rPr>
        <w:t xml:space="preserve"> (النساء: 11). </w:t>
      </w:r>
    </w:p>
    <w:p w:rsidR="00E355F2" w:rsidRPr="00282AC9" w:rsidRDefault="00E355F2" w:rsidP="00046546">
      <w:pPr>
        <w:rPr>
          <w:rFonts w:ascii="AAA GoldenLotus" w:hAnsi="AAA GoldenLotus"/>
          <w:sz w:val="27"/>
          <w:rtl/>
        </w:rPr>
      </w:pPr>
      <w:r w:rsidRPr="00282AC9">
        <w:rPr>
          <w:rFonts w:ascii="AAA GoldenLotus" w:hAnsi="AAA GoldenLotus"/>
          <w:sz w:val="27"/>
          <w:rtl/>
        </w:rPr>
        <w:t>وأما إذا كان الإرث من الزوجين فالزوج له النصف عندما لا يكون للمرأة ولد</w:t>
      </w:r>
      <w:r w:rsidR="007821CC" w:rsidRPr="00282AC9">
        <w:rPr>
          <w:rFonts w:ascii="AAA GoldenLotus" w:hAnsi="AAA GoldenLotus" w:hint="cs"/>
          <w:sz w:val="27"/>
          <w:rtl/>
        </w:rPr>
        <w:t>ٌ</w:t>
      </w:r>
      <w:r w:rsidRPr="00282AC9">
        <w:rPr>
          <w:rFonts w:ascii="AAA GoldenLotus" w:hAnsi="AAA GoldenLotus"/>
          <w:sz w:val="27"/>
          <w:rtl/>
        </w:rPr>
        <w:t>، وإرث الزوجة لها الربع عندما لا يكون للزوج ولد</w:t>
      </w:r>
      <w:r w:rsidR="007821CC" w:rsidRPr="00282AC9">
        <w:rPr>
          <w:rFonts w:ascii="AAA GoldenLotus" w:hAnsi="AAA GoldenLotus" w:hint="cs"/>
          <w:sz w:val="27"/>
          <w:rtl/>
        </w:rPr>
        <w:t>ٌ</w:t>
      </w:r>
      <w:r w:rsidRPr="00282AC9">
        <w:rPr>
          <w:rFonts w:ascii="AAA GoldenLotus" w:hAnsi="AAA GoldenLotus"/>
          <w:sz w:val="27"/>
          <w:rtl/>
        </w:rPr>
        <w:t xml:space="preserve"> وارث</w:t>
      </w:r>
      <w:r w:rsidR="007821CC" w:rsidRPr="00282AC9">
        <w:rPr>
          <w:rFonts w:ascii="AAA GoldenLotus" w:hAnsi="AAA GoldenLotus" w:hint="cs"/>
          <w:sz w:val="27"/>
          <w:rtl/>
        </w:rPr>
        <w:t>.</w:t>
      </w:r>
      <w:r w:rsidRPr="00282AC9">
        <w:rPr>
          <w:rFonts w:ascii="AAA GoldenLotus" w:hAnsi="AAA GoldenLotus"/>
          <w:sz w:val="27"/>
          <w:rtl/>
        </w:rPr>
        <w:t xml:space="preserve"> وهكذا ينزل إلى الربع إذا كان لها ولد</w:t>
      </w:r>
      <w:r w:rsidR="007821CC" w:rsidRPr="00282AC9">
        <w:rPr>
          <w:rFonts w:ascii="AAA GoldenLotus" w:hAnsi="AAA GoldenLotus" w:hint="cs"/>
          <w:sz w:val="27"/>
          <w:rtl/>
        </w:rPr>
        <w:t>ٌ</w:t>
      </w:r>
      <w:r w:rsidRPr="00282AC9">
        <w:rPr>
          <w:rFonts w:ascii="AAA GoldenLotus" w:hAnsi="AAA GoldenLotus"/>
          <w:sz w:val="27"/>
          <w:rtl/>
        </w:rPr>
        <w:t xml:space="preserve"> وارث، وتنزل هي إلى الثمن عندما يكون له ولد</w:t>
      </w:r>
      <w:r w:rsidR="007821CC" w:rsidRPr="00282AC9">
        <w:rPr>
          <w:rFonts w:ascii="AAA GoldenLotus" w:hAnsi="AAA GoldenLotus" w:hint="cs"/>
          <w:sz w:val="27"/>
          <w:rtl/>
        </w:rPr>
        <w:t>ٌ</w:t>
      </w:r>
      <w:r w:rsidRPr="00282AC9">
        <w:rPr>
          <w:rFonts w:ascii="AAA GoldenLotus" w:hAnsi="AAA GoldenLotus"/>
          <w:sz w:val="27"/>
          <w:rtl/>
        </w:rPr>
        <w:t xml:space="preserve"> وارث.</w:t>
      </w:r>
    </w:p>
    <w:p w:rsidR="00E355F2" w:rsidRPr="00282AC9" w:rsidRDefault="00E355F2" w:rsidP="00046546">
      <w:pPr>
        <w:rPr>
          <w:rFonts w:ascii="AAA GoldenLotus" w:hAnsi="AAA GoldenLotus"/>
          <w:sz w:val="27"/>
          <w:rtl/>
        </w:rPr>
      </w:pPr>
      <w:r w:rsidRPr="00282AC9">
        <w:rPr>
          <w:rFonts w:ascii="AAA GoldenLotus" w:hAnsi="AAA GoldenLotus"/>
          <w:sz w:val="27"/>
          <w:rtl/>
        </w:rPr>
        <w:t>ويدل</w:t>
      </w:r>
      <w:r w:rsidR="007821CC" w:rsidRPr="00282AC9">
        <w:rPr>
          <w:rFonts w:ascii="AAA GoldenLotus" w:hAnsi="AAA GoldenLotus" w:hint="cs"/>
          <w:sz w:val="27"/>
          <w:rtl/>
        </w:rPr>
        <w:t>ّ</w:t>
      </w:r>
      <w:r w:rsidRPr="00282AC9">
        <w:rPr>
          <w:rFonts w:ascii="AAA GoldenLotus" w:hAnsi="AAA GoldenLotus"/>
          <w:sz w:val="27"/>
          <w:rtl/>
        </w:rPr>
        <w:t xml:space="preserve"> عليه قوله تعالى: </w:t>
      </w:r>
      <w:r w:rsidR="00C5291F" w:rsidRPr="00282AC9">
        <w:rPr>
          <w:rFonts w:ascii="Mosawi" w:hAnsi="Mosawi" w:cs="Mosawi"/>
          <w:sz w:val="24"/>
          <w:szCs w:val="24"/>
          <w:rtl/>
        </w:rPr>
        <w:t>﴿</w:t>
      </w:r>
      <w:r w:rsidRPr="00282AC9">
        <w:rPr>
          <w:rFonts w:ascii="AAA GoldenLotus" w:hAnsi="AAA GoldenLotus"/>
          <w:b/>
          <w:bCs/>
          <w:sz w:val="27"/>
          <w:rtl/>
        </w:rPr>
        <w:t>وَلَكُمْ نِصْفُ مَا تَرَكَ أَزْوَاجُكُمْ إِنْ لَمْ يَكُنْ لَهُنَّ وَلَدٌ فَإِنْ كَانَ لَهُنَّ وَلَدٌ فَلَكُمُ الرُّبُعُ مِمَّا تَرَكْنَ... وَلَهُنَّ الرُّبُعُ مِمَّا تَرَكْتُمْ إِنْ لَمْ يَكُنْ لَكُمْ وَلَدٌ فَإِنْ كَانَ لَكُمْ وَلَدٌ فَلَهُنَّ الثُّمُنُ مِمَّا تَرَكْتُمْ</w:t>
      </w:r>
      <w:r w:rsidR="00C5291F" w:rsidRPr="00282AC9">
        <w:rPr>
          <w:rFonts w:ascii="Mosawi" w:hAnsi="Mosawi" w:cs="Mosawi"/>
          <w:sz w:val="24"/>
          <w:szCs w:val="24"/>
          <w:rtl/>
        </w:rPr>
        <w:t>﴾</w:t>
      </w:r>
      <w:r w:rsidRPr="00282AC9">
        <w:rPr>
          <w:rFonts w:ascii="AAA GoldenLotus" w:hAnsi="AAA GoldenLotus"/>
          <w:sz w:val="27"/>
          <w:rtl/>
        </w:rPr>
        <w:t xml:space="preserve"> (النساء: 12). </w:t>
      </w:r>
    </w:p>
    <w:p w:rsidR="00E355F2" w:rsidRPr="00282AC9" w:rsidRDefault="00E355F2" w:rsidP="00046546">
      <w:pPr>
        <w:rPr>
          <w:rFonts w:ascii="AAA GoldenLotus" w:hAnsi="AAA GoldenLotus"/>
          <w:sz w:val="27"/>
          <w:rtl/>
        </w:rPr>
      </w:pPr>
      <w:r w:rsidRPr="00282AC9">
        <w:rPr>
          <w:rFonts w:ascii="AAA GoldenLotus" w:hAnsi="AAA GoldenLotus"/>
          <w:sz w:val="27"/>
          <w:rtl/>
        </w:rPr>
        <w:t>وافترق جمهور المذاهب عن الإمامي</w:t>
      </w:r>
      <w:r w:rsidR="007821CC" w:rsidRPr="00282AC9">
        <w:rPr>
          <w:rFonts w:ascii="AAA GoldenLotus" w:hAnsi="AAA GoldenLotus" w:hint="cs"/>
          <w:sz w:val="27"/>
          <w:rtl/>
        </w:rPr>
        <w:t>ّ</w:t>
      </w:r>
      <w:r w:rsidRPr="00282AC9">
        <w:rPr>
          <w:rFonts w:ascii="AAA GoldenLotus" w:hAnsi="AAA GoldenLotus"/>
          <w:sz w:val="27"/>
          <w:rtl/>
        </w:rPr>
        <w:t xml:space="preserve">ة في بعض الحالات بالنسبة </w:t>
      </w:r>
      <w:r w:rsidR="007821CC" w:rsidRPr="00282AC9">
        <w:rPr>
          <w:rFonts w:ascii="AAA GoldenLotus" w:hAnsi="AAA GoldenLotus" w:hint="cs"/>
          <w:sz w:val="27"/>
          <w:rtl/>
        </w:rPr>
        <w:t xml:space="preserve">إلى </w:t>
      </w:r>
      <w:r w:rsidRPr="00282AC9">
        <w:rPr>
          <w:rFonts w:ascii="AAA GoldenLotus" w:hAnsi="AAA GoldenLotus"/>
          <w:sz w:val="27"/>
          <w:rtl/>
        </w:rPr>
        <w:t>ميراث البنت</w:t>
      </w:r>
      <w:r w:rsidR="007821CC" w:rsidRPr="00282AC9">
        <w:rPr>
          <w:rFonts w:ascii="AAA GoldenLotus" w:hAnsi="AAA GoldenLotus" w:hint="cs"/>
          <w:sz w:val="27"/>
          <w:rtl/>
        </w:rPr>
        <w:t>.</w:t>
      </w:r>
      <w:r w:rsidRPr="00282AC9">
        <w:rPr>
          <w:rFonts w:ascii="AAA GoldenLotus" w:hAnsi="AAA GoldenLotus"/>
          <w:sz w:val="27"/>
          <w:rtl/>
        </w:rPr>
        <w:t xml:space="preserve"> ولكن</w:t>
      </w:r>
      <w:r w:rsidR="007821CC" w:rsidRPr="00282AC9">
        <w:rPr>
          <w:rFonts w:ascii="AAA GoldenLotus" w:hAnsi="AAA GoldenLotus" w:hint="cs"/>
          <w:sz w:val="27"/>
          <w:rtl/>
        </w:rPr>
        <w:t>ْ</w:t>
      </w:r>
      <w:r w:rsidRPr="00282AC9">
        <w:rPr>
          <w:rFonts w:ascii="AAA GoldenLotus" w:hAnsi="AAA GoldenLotus"/>
          <w:sz w:val="27"/>
          <w:rtl/>
        </w:rPr>
        <w:t xml:space="preserve"> لا يؤث</w:t>
      </w:r>
      <w:r w:rsidR="0003330A" w:rsidRPr="00282AC9">
        <w:rPr>
          <w:rFonts w:ascii="AAA GoldenLotus" w:hAnsi="AAA GoldenLotus" w:hint="cs"/>
          <w:sz w:val="27"/>
          <w:rtl/>
        </w:rPr>
        <w:t>ِّ</w:t>
      </w:r>
      <w:r w:rsidRPr="00282AC9">
        <w:rPr>
          <w:rFonts w:ascii="AAA GoldenLotus" w:hAnsi="AAA GoldenLotus"/>
          <w:sz w:val="27"/>
          <w:rtl/>
        </w:rPr>
        <w:t>ر ذلك في أصل التفاضل بين إرث الرجل والمرأة</w:t>
      </w:r>
      <w:r w:rsidR="0003330A" w:rsidRPr="00282AC9">
        <w:rPr>
          <w:rFonts w:ascii="AAA GoldenLotus" w:hAnsi="AAA GoldenLotus" w:hint="cs"/>
          <w:sz w:val="27"/>
          <w:rtl/>
        </w:rPr>
        <w:t>؛</w:t>
      </w:r>
      <w:r w:rsidRPr="00282AC9">
        <w:rPr>
          <w:rFonts w:ascii="AAA GoldenLotus" w:hAnsi="AAA GoldenLotus"/>
          <w:sz w:val="27"/>
          <w:rtl/>
        </w:rPr>
        <w:t xml:space="preserve"> وذلك كما إذا لم يكن لها أخ</w:t>
      </w:r>
      <w:r w:rsidR="0003330A" w:rsidRPr="00282AC9">
        <w:rPr>
          <w:rFonts w:ascii="AAA GoldenLotus" w:hAnsi="AAA GoldenLotus" w:hint="cs"/>
          <w:sz w:val="27"/>
          <w:rtl/>
        </w:rPr>
        <w:t>ٌ</w:t>
      </w:r>
      <w:r w:rsidRPr="00282AC9">
        <w:rPr>
          <w:rFonts w:ascii="AAA GoldenLotus" w:hAnsi="AAA GoldenLotus"/>
          <w:sz w:val="27"/>
          <w:rtl/>
        </w:rPr>
        <w:t xml:space="preserve"> يرث معها الأقربون، فقالوا</w:t>
      </w:r>
      <w:r w:rsidR="0003330A" w:rsidRPr="00282AC9">
        <w:rPr>
          <w:rFonts w:ascii="AAA GoldenLotus" w:hAnsi="AAA GoldenLotus" w:hint="cs"/>
          <w:sz w:val="27"/>
          <w:rtl/>
        </w:rPr>
        <w:t>:</w:t>
      </w:r>
      <w:r w:rsidRPr="00282AC9">
        <w:rPr>
          <w:rFonts w:ascii="AAA GoldenLotus" w:hAnsi="AAA GoldenLotus"/>
          <w:sz w:val="27"/>
          <w:rtl/>
        </w:rPr>
        <w:t xml:space="preserve"> تأخذ نصف حص</w:t>
      </w:r>
      <w:r w:rsidR="0003330A" w:rsidRPr="00282AC9">
        <w:rPr>
          <w:rFonts w:ascii="AAA GoldenLotus" w:hAnsi="AAA GoldenLotus" w:hint="cs"/>
          <w:sz w:val="27"/>
          <w:rtl/>
        </w:rPr>
        <w:t>ّ</w:t>
      </w:r>
      <w:r w:rsidRPr="00282AC9">
        <w:rPr>
          <w:rFonts w:ascii="AAA GoldenLotus" w:hAnsi="AAA GoldenLotus"/>
          <w:sz w:val="27"/>
          <w:rtl/>
        </w:rPr>
        <w:t>ة الذكر إذا اجتمع معها ذكر</w:t>
      </w:r>
      <w:r w:rsidR="0003330A" w:rsidRPr="00282AC9">
        <w:rPr>
          <w:rFonts w:ascii="AAA GoldenLotus" w:hAnsi="AAA GoldenLotus" w:hint="cs"/>
          <w:sz w:val="27"/>
          <w:rtl/>
        </w:rPr>
        <w:t>ٌ</w:t>
      </w:r>
      <w:r w:rsidRPr="00282AC9">
        <w:rPr>
          <w:rFonts w:ascii="AAA GoldenLotus" w:hAnsi="AAA GoldenLotus"/>
          <w:sz w:val="27"/>
          <w:rtl/>
        </w:rPr>
        <w:t xml:space="preserve"> مساوٍ لها وصفاً ودرجة</w:t>
      </w:r>
      <w:r w:rsidR="0003330A" w:rsidRPr="00282AC9">
        <w:rPr>
          <w:rFonts w:ascii="AAA GoldenLotus" w:hAnsi="AAA GoldenLotus" w:hint="cs"/>
          <w:sz w:val="27"/>
          <w:rtl/>
        </w:rPr>
        <w:t>ً</w:t>
      </w:r>
      <w:r w:rsidRPr="00282AC9">
        <w:rPr>
          <w:rFonts w:ascii="AAA GoldenLotus" w:hAnsi="AAA GoldenLotus"/>
          <w:sz w:val="27"/>
          <w:rtl/>
        </w:rPr>
        <w:t>، وورث المال بالتعصيب</w:t>
      </w:r>
      <w:r w:rsidR="0003330A" w:rsidRPr="00282AC9">
        <w:rPr>
          <w:rFonts w:ascii="AAA GoldenLotus" w:hAnsi="AAA GoldenLotus" w:hint="cs"/>
          <w:sz w:val="27"/>
          <w:rtl/>
        </w:rPr>
        <w:t>،</w:t>
      </w:r>
      <w:r w:rsidRPr="00282AC9">
        <w:rPr>
          <w:rFonts w:ascii="AAA GoldenLotus" w:hAnsi="AAA GoldenLotus"/>
          <w:sz w:val="27"/>
          <w:rtl/>
        </w:rPr>
        <w:t xml:space="preserve"> والذكر المساو</w:t>
      </w:r>
      <w:r w:rsidR="0003330A" w:rsidRPr="00282AC9">
        <w:rPr>
          <w:rFonts w:ascii="AAA GoldenLotus" w:hAnsi="AAA GoldenLotus" w:hint="cs"/>
          <w:sz w:val="27"/>
          <w:rtl/>
        </w:rPr>
        <w:t>ي</w:t>
      </w:r>
      <w:r w:rsidRPr="00282AC9">
        <w:rPr>
          <w:rFonts w:ascii="AAA GoldenLotus" w:hAnsi="AAA GoldenLotus"/>
          <w:sz w:val="27"/>
          <w:rtl/>
        </w:rPr>
        <w:t xml:space="preserve"> يكون على الترتيب</w:t>
      </w:r>
      <w:r w:rsidR="0003330A" w:rsidRPr="00282AC9">
        <w:rPr>
          <w:rFonts w:ascii="AAA GoldenLotus" w:hAnsi="AAA GoldenLotus" w:hint="cs"/>
          <w:sz w:val="27"/>
          <w:rtl/>
        </w:rPr>
        <w:t>،</w:t>
      </w:r>
      <w:r w:rsidRPr="00282AC9">
        <w:rPr>
          <w:rFonts w:ascii="AAA GoldenLotus" w:hAnsi="AAA GoldenLotus"/>
          <w:sz w:val="27"/>
          <w:rtl/>
        </w:rPr>
        <w:t xml:space="preserve"> الأقرب ثم</w:t>
      </w:r>
      <w:r w:rsidR="0003330A" w:rsidRPr="00282AC9">
        <w:rPr>
          <w:rFonts w:ascii="AAA GoldenLotus" w:hAnsi="AAA GoldenLotus" w:hint="cs"/>
          <w:sz w:val="27"/>
          <w:rtl/>
        </w:rPr>
        <w:t>ّ</w:t>
      </w:r>
      <w:r w:rsidRPr="00282AC9">
        <w:rPr>
          <w:rFonts w:ascii="AAA GoldenLotus" w:hAnsi="AAA GoldenLotus"/>
          <w:sz w:val="27"/>
          <w:rtl/>
        </w:rPr>
        <w:t xml:space="preserve"> الأبعد، ابن الأخ أو ابن الأخت، ثم</w:t>
      </w:r>
      <w:r w:rsidR="0003330A" w:rsidRPr="00282AC9">
        <w:rPr>
          <w:rFonts w:ascii="AAA GoldenLotus" w:hAnsi="AAA GoldenLotus" w:hint="cs"/>
          <w:sz w:val="27"/>
          <w:rtl/>
        </w:rPr>
        <w:t>ّ</w:t>
      </w:r>
      <w:r w:rsidRPr="00282AC9">
        <w:rPr>
          <w:rFonts w:ascii="AAA GoldenLotus" w:hAnsi="AAA GoldenLotus"/>
          <w:sz w:val="27"/>
          <w:rtl/>
        </w:rPr>
        <w:t xml:space="preserve"> الأخ لأب</w:t>
      </w:r>
      <w:r w:rsidR="0003330A" w:rsidRPr="00282AC9">
        <w:rPr>
          <w:rFonts w:ascii="AAA GoldenLotus" w:hAnsi="AAA GoldenLotus" w:hint="cs"/>
          <w:sz w:val="27"/>
          <w:rtl/>
        </w:rPr>
        <w:t>ٍ</w:t>
      </w:r>
      <w:r w:rsidRPr="00282AC9">
        <w:rPr>
          <w:rFonts w:ascii="AAA GoldenLotus" w:hAnsi="AAA GoldenLotus"/>
          <w:sz w:val="27"/>
          <w:rtl/>
        </w:rPr>
        <w:t xml:space="preserve"> وأم</w:t>
      </w:r>
      <w:r w:rsidR="0003330A" w:rsidRPr="00282AC9">
        <w:rPr>
          <w:rFonts w:ascii="AAA GoldenLotus" w:hAnsi="AAA GoldenLotus" w:hint="cs"/>
          <w:sz w:val="27"/>
          <w:rtl/>
        </w:rPr>
        <w:t>ّ</w:t>
      </w:r>
      <w:r w:rsidRPr="00282AC9">
        <w:rPr>
          <w:rFonts w:ascii="AAA GoldenLotus" w:hAnsi="AAA GoldenLotus"/>
          <w:sz w:val="27"/>
          <w:rtl/>
        </w:rPr>
        <w:t xml:space="preserve"> ثم</w:t>
      </w:r>
      <w:r w:rsidR="0003330A" w:rsidRPr="00282AC9">
        <w:rPr>
          <w:rFonts w:ascii="AAA GoldenLotus" w:hAnsi="AAA GoldenLotus" w:hint="cs"/>
          <w:sz w:val="27"/>
          <w:rtl/>
        </w:rPr>
        <w:t>ّ</w:t>
      </w:r>
      <w:r w:rsidRPr="00282AC9">
        <w:rPr>
          <w:rFonts w:ascii="AAA GoldenLotus" w:hAnsi="AAA GoldenLotus"/>
          <w:sz w:val="27"/>
          <w:rtl/>
        </w:rPr>
        <w:t xml:space="preserve"> ابن الأخ لأب</w:t>
      </w:r>
      <w:r w:rsidR="0003330A" w:rsidRPr="00282AC9">
        <w:rPr>
          <w:rFonts w:ascii="AAA GoldenLotus" w:hAnsi="AAA GoldenLotus" w:hint="cs"/>
          <w:sz w:val="27"/>
          <w:rtl/>
        </w:rPr>
        <w:t>ٍ</w:t>
      </w:r>
      <w:r w:rsidRPr="00282AC9">
        <w:rPr>
          <w:rFonts w:ascii="AAA GoldenLotus" w:hAnsi="AAA GoldenLotus"/>
          <w:sz w:val="27"/>
          <w:rtl/>
        </w:rPr>
        <w:t xml:space="preserve"> وأم</w:t>
      </w:r>
      <w:r w:rsidR="0003330A" w:rsidRPr="00282AC9">
        <w:rPr>
          <w:rFonts w:ascii="AAA GoldenLotus" w:hAnsi="AAA GoldenLotus" w:hint="cs"/>
          <w:sz w:val="27"/>
          <w:rtl/>
        </w:rPr>
        <w:t>ّ</w:t>
      </w:r>
      <w:r w:rsidRPr="00282AC9">
        <w:rPr>
          <w:rFonts w:ascii="AAA GoldenLotus" w:hAnsi="AAA GoldenLotus"/>
          <w:sz w:val="27"/>
          <w:rtl/>
        </w:rPr>
        <w:t xml:space="preserve"> ثم</w:t>
      </w:r>
      <w:r w:rsidR="0003330A" w:rsidRPr="00282AC9">
        <w:rPr>
          <w:rFonts w:ascii="AAA GoldenLotus" w:hAnsi="AAA GoldenLotus" w:hint="cs"/>
          <w:sz w:val="27"/>
          <w:rtl/>
        </w:rPr>
        <w:t>ّ</w:t>
      </w:r>
      <w:r w:rsidRPr="00282AC9">
        <w:rPr>
          <w:rFonts w:ascii="AAA GoldenLotus" w:hAnsi="AAA GoldenLotus"/>
          <w:sz w:val="27"/>
          <w:rtl/>
        </w:rPr>
        <w:t xml:space="preserve"> ابن الأخ لأب</w:t>
      </w:r>
      <w:r w:rsidR="0003330A" w:rsidRPr="00282AC9">
        <w:rPr>
          <w:rFonts w:ascii="AAA GoldenLotus" w:hAnsi="AAA GoldenLotus" w:hint="cs"/>
          <w:sz w:val="27"/>
          <w:rtl/>
        </w:rPr>
        <w:t>ٍ.</w:t>
      </w:r>
      <w:r w:rsidRPr="00282AC9">
        <w:rPr>
          <w:rFonts w:ascii="AAA GoldenLotus" w:hAnsi="AAA GoldenLotus"/>
          <w:sz w:val="27"/>
          <w:rtl/>
        </w:rPr>
        <w:t xml:space="preserve"> هذا على فرض لم يكن مع الأقربين إناث</w:t>
      </w:r>
      <w:r w:rsidR="0003330A" w:rsidRPr="00282AC9">
        <w:rPr>
          <w:rFonts w:ascii="AAA GoldenLotus" w:hAnsi="AAA GoldenLotus" w:hint="cs"/>
          <w:sz w:val="27"/>
          <w:rtl/>
        </w:rPr>
        <w:t>ٌ؛</w:t>
      </w:r>
      <w:r w:rsidRPr="00282AC9">
        <w:rPr>
          <w:rFonts w:ascii="AAA GoldenLotus" w:hAnsi="AAA GoldenLotus"/>
          <w:sz w:val="27"/>
          <w:rtl/>
        </w:rPr>
        <w:t xml:space="preserve"> أما إذا كان معهم أخوات</w:t>
      </w:r>
      <w:r w:rsidR="0003330A" w:rsidRPr="00282AC9">
        <w:rPr>
          <w:rFonts w:ascii="AAA GoldenLotus" w:hAnsi="AAA GoldenLotus" w:hint="cs"/>
          <w:sz w:val="27"/>
          <w:rtl/>
        </w:rPr>
        <w:t>ٌ</w:t>
      </w:r>
      <w:r w:rsidRPr="00282AC9">
        <w:rPr>
          <w:rFonts w:ascii="AAA GoldenLotus" w:hAnsi="AAA GoldenLotus"/>
          <w:sz w:val="27"/>
          <w:rtl/>
        </w:rPr>
        <w:t xml:space="preserve"> فيرث</w:t>
      </w:r>
      <w:r w:rsidR="0003330A" w:rsidRPr="00282AC9">
        <w:rPr>
          <w:rFonts w:ascii="AAA GoldenLotus" w:hAnsi="AAA GoldenLotus" w:hint="cs"/>
          <w:sz w:val="27"/>
          <w:rtl/>
        </w:rPr>
        <w:t>ْ</w:t>
      </w:r>
      <w:r w:rsidRPr="00282AC9">
        <w:rPr>
          <w:rFonts w:ascii="AAA GoldenLotus" w:hAnsi="AAA GoldenLotus"/>
          <w:sz w:val="27"/>
          <w:rtl/>
        </w:rPr>
        <w:t>ن</w:t>
      </w:r>
      <w:r w:rsidR="0003330A" w:rsidRPr="00282AC9">
        <w:rPr>
          <w:rFonts w:ascii="AAA GoldenLotus" w:hAnsi="AAA GoldenLotus" w:hint="cs"/>
          <w:sz w:val="27"/>
          <w:rtl/>
        </w:rPr>
        <w:t>َ</w:t>
      </w:r>
      <w:r w:rsidRPr="00282AC9">
        <w:rPr>
          <w:rFonts w:ascii="AAA GoldenLotus" w:hAnsi="AAA GoldenLotus"/>
          <w:sz w:val="27"/>
          <w:rtl/>
        </w:rPr>
        <w:t xml:space="preserve"> مع البنات أيضاً </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90"/>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واستدل</w:t>
      </w:r>
      <w:r w:rsidR="0003330A" w:rsidRPr="00282AC9">
        <w:rPr>
          <w:rFonts w:ascii="AAA GoldenLotus" w:hAnsi="AAA GoldenLotus" w:hint="cs"/>
          <w:sz w:val="27"/>
          <w:rtl/>
        </w:rPr>
        <w:t>ّ</w:t>
      </w:r>
      <w:r w:rsidRPr="00282AC9">
        <w:rPr>
          <w:rFonts w:ascii="AAA GoldenLotus" w:hAnsi="AAA GoldenLotus"/>
          <w:sz w:val="27"/>
          <w:rtl/>
        </w:rPr>
        <w:t xml:space="preserve">وا عليه بقوله تعالى: </w:t>
      </w:r>
      <w:r w:rsidR="00C5291F" w:rsidRPr="00282AC9">
        <w:rPr>
          <w:rFonts w:ascii="Mosawi" w:hAnsi="Mosawi" w:cs="Mosawi"/>
          <w:sz w:val="24"/>
          <w:szCs w:val="24"/>
          <w:rtl/>
        </w:rPr>
        <w:t>﴿</w:t>
      </w:r>
      <w:r w:rsidRPr="00282AC9">
        <w:rPr>
          <w:rFonts w:ascii="AAA GoldenLotus" w:hAnsi="AAA GoldenLotus"/>
          <w:b/>
          <w:bCs/>
          <w:sz w:val="27"/>
          <w:rtl/>
        </w:rPr>
        <w:t xml:space="preserve">يَسْتَفْتُونَكَ قُلِ </w:t>
      </w:r>
      <w:r w:rsidR="006D28AF" w:rsidRPr="00282AC9">
        <w:rPr>
          <w:rFonts w:ascii="AAA GoldenLotus" w:hAnsi="AAA GoldenLotus"/>
          <w:b/>
          <w:bCs/>
          <w:sz w:val="27"/>
          <w:rtl/>
        </w:rPr>
        <w:t>الل</w:t>
      </w:r>
      <w:r w:rsidRPr="00282AC9">
        <w:rPr>
          <w:rFonts w:ascii="AAA GoldenLotus" w:hAnsi="AAA GoldenLotus"/>
          <w:b/>
          <w:bCs/>
          <w:sz w:val="27"/>
          <w:rtl/>
        </w:rPr>
        <w:t>هُ يُفْتِيكُمْ فِي الْكَلالَةِ إِنِ امْرُؤٌ هَلَكَ لَيْسَ لَهُ وَلَدٌ وَلَهُ أُخْتٌ فَلَهَا نِصْفُ مَا تَرَكَ وَهُوَ يَرِثُهَا إِن</w:t>
      </w:r>
      <w:r w:rsidR="0003330A" w:rsidRPr="00282AC9">
        <w:rPr>
          <w:rFonts w:ascii="AAA GoldenLotus" w:hAnsi="AAA GoldenLotus" w:hint="cs"/>
          <w:b/>
          <w:bCs/>
          <w:sz w:val="27"/>
          <w:rtl/>
        </w:rPr>
        <w:t>ْ</w:t>
      </w:r>
      <w:r w:rsidR="0003330A" w:rsidRPr="00282AC9">
        <w:rPr>
          <w:rFonts w:ascii="AAA GoldenLotus" w:hAnsi="AAA GoldenLotus"/>
          <w:b/>
          <w:bCs/>
          <w:sz w:val="27"/>
          <w:rtl/>
        </w:rPr>
        <w:t xml:space="preserve"> </w:t>
      </w:r>
      <w:r w:rsidR="0003330A" w:rsidRPr="00282AC9">
        <w:rPr>
          <w:rFonts w:ascii="AAA GoldenLotus" w:hAnsi="AAA GoldenLotus" w:hint="cs"/>
          <w:b/>
          <w:bCs/>
          <w:sz w:val="27"/>
          <w:rtl/>
        </w:rPr>
        <w:t>ل</w:t>
      </w:r>
      <w:r w:rsidRPr="00282AC9">
        <w:rPr>
          <w:rFonts w:ascii="AAA GoldenLotus" w:hAnsi="AAA GoldenLotus"/>
          <w:b/>
          <w:bCs/>
          <w:sz w:val="27"/>
          <w:rtl/>
        </w:rPr>
        <w:t>َمْ يَكُن</w:t>
      </w:r>
      <w:r w:rsidR="0003330A" w:rsidRPr="00282AC9">
        <w:rPr>
          <w:rFonts w:ascii="AAA GoldenLotus" w:hAnsi="AAA GoldenLotus" w:hint="cs"/>
          <w:b/>
          <w:bCs/>
          <w:sz w:val="27"/>
          <w:rtl/>
        </w:rPr>
        <w:t>ْ</w:t>
      </w:r>
      <w:r w:rsidR="0003330A" w:rsidRPr="00282AC9">
        <w:rPr>
          <w:rFonts w:ascii="AAA GoldenLotus" w:hAnsi="AAA GoldenLotus"/>
          <w:b/>
          <w:bCs/>
          <w:sz w:val="27"/>
          <w:rtl/>
        </w:rPr>
        <w:t xml:space="preserve"> ل</w:t>
      </w:r>
      <w:r w:rsidR="0003330A" w:rsidRPr="00282AC9">
        <w:rPr>
          <w:rFonts w:ascii="AAA GoldenLotus" w:hAnsi="AAA GoldenLotus" w:hint="cs"/>
          <w:b/>
          <w:bCs/>
          <w:sz w:val="27"/>
          <w:rtl/>
        </w:rPr>
        <w:t>َ</w:t>
      </w:r>
      <w:r w:rsidRPr="00282AC9">
        <w:rPr>
          <w:rFonts w:ascii="AAA GoldenLotus" w:hAnsi="AAA GoldenLotus"/>
          <w:b/>
          <w:bCs/>
          <w:sz w:val="27"/>
          <w:rtl/>
        </w:rPr>
        <w:t>هَا وَلَدٌ فَإِن</w:t>
      </w:r>
      <w:r w:rsidR="0003330A" w:rsidRPr="00282AC9">
        <w:rPr>
          <w:rFonts w:ascii="AAA GoldenLotus" w:hAnsi="AAA GoldenLotus" w:hint="cs"/>
          <w:b/>
          <w:bCs/>
          <w:sz w:val="27"/>
          <w:rtl/>
        </w:rPr>
        <w:t>ْ</w:t>
      </w:r>
      <w:r w:rsidRPr="00282AC9">
        <w:rPr>
          <w:rFonts w:ascii="AAA GoldenLotus" w:hAnsi="AAA GoldenLotus"/>
          <w:b/>
          <w:bCs/>
          <w:sz w:val="27"/>
          <w:rtl/>
        </w:rPr>
        <w:t xml:space="preserve"> </w:t>
      </w:r>
      <w:r w:rsidRPr="00282AC9">
        <w:rPr>
          <w:rFonts w:ascii="AAA GoldenLotus" w:hAnsi="AAA GoldenLotus"/>
          <w:b/>
          <w:bCs/>
          <w:sz w:val="27"/>
          <w:rtl/>
        </w:rPr>
        <w:lastRenderedPageBreak/>
        <w:t>كَانَتَا اثْنَتَيْنِ فَلَهُمَا الثُّلُثَانِ مِمَّا تَرَكَ وَإِن</w:t>
      </w:r>
      <w:r w:rsidR="0003330A" w:rsidRPr="00282AC9">
        <w:rPr>
          <w:rFonts w:ascii="AAA GoldenLotus" w:hAnsi="AAA GoldenLotus" w:hint="cs"/>
          <w:b/>
          <w:bCs/>
          <w:sz w:val="27"/>
          <w:rtl/>
        </w:rPr>
        <w:t>ْ</w:t>
      </w:r>
      <w:r w:rsidR="0003330A" w:rsidRPr="00282AC9">
        <w:rPr>
          <w:rFonts w:ascii="AAA GoldenLotus" w:hAnsi="AAA GoldenLotus"/>
          <w:b/>
          <w:bCs/>
          <w:sz w:val="27"/>
          <w:rtl/>
        </w:rPr>
        <w:t xml:space="preserve"> كَانُوا إِخْوَةً ر</w:t>
      </w:r>
      <w:r w:rsidR="0003330A" w:rsidRPr="00282AC9">
        <w:rPr>
          <w:rFonts w:ascii="AAA GoldenLotus" w:hAnsi="AAA GoldenLotus" w:hint="cs"/>
          <w:b/>
          <w:bCs/>
          <w:sz w:val="27"/>
          <w:rtl/>
        </w:rPr>
        <w:t>ِ</w:t>
      </w:r>
      <w:r w:rsidRPr="00282AC9">
        <w:rPr>
          <w:rFonts w:ascii="AAA GoldenLotus" w:hAnsi="AAA GoldenLotus"/>
          <w:b/>
          <w:bCs/>
          <w:sz w:val="27"/>
          <w:rtl/>
        </w:rPr>
        <w:t>جَالاً وَنِسَا</w:t>
      </w:r>
      <w:r w:rsidR="0003330A" w:rsidRPr="00282AC9">
        <w:rPr>
          <w:rFonts w:ascii="AAA GoldenLotus" w:hAnsi="AAA GoldenLotus"/>
          <w:b/>
          <w:bCs/>
          <w:sz w:val="27"/>
          <w:rtl/>
        </w:rPr>
        <w:t>ءً فَلِلذَّكَرِ مِثْلُ حَظِّ ال</w:t>
      </w:r>
      <w:r w:rsidRPr="00282AC9">
        <w:rPr>
          <w:rFonts w:ascii="AAA GoldenLotus" w:hAnsi="AAA GoldenLotus"/>
          <w:b/>
          <w:bCs/>
          <w:sz w:val="27"/>
          <w:rtl/>
        </w:rPr>
        <w:t xml:space="preserve">أُنثَيَيْنِ يُبَيِّنُ </w:t>
      </w:r>
      <w:r w:rsidR="006D28AF" w:rsidRPr="00282AC9">
        <w:rPr>
          <w:rFonts w:ascii="AAA GoldenLotus" w:hAnsi="AAA GoldenLotus"/>
          <w:b/>
          <w:bCs/>
          <w:sz w:val="27"/>
          <w:rtl/>
        </w:rPr>
        <w:t>الل</w:t>
      </w:r>
      <w:r w:rsidRPr="00282AC9">
        <w:rPr>
          <w:rFonts w:ascii="AAA GoldenLotus" w:hAnsi="AAA GoldenLotus"/>
          <w:b/>
          <w:bCs/>
          <w:sz w:val="27"/>
          <w:rtl/>
        </w:rPr>
        <w:t>هُ لَكُمْ أَن تَضِلُّوا وَ</w:t>
      </w:r>
      <w:r w:rsidR="006D28AF" w:rsidRPr="00282AC9">
        <w:rPr>
          <w:rFonts w:ascii="AAA GoldenLotus" w:hAnsi="AAA GoldenLotus"/>
          <w:b/>
          <w:bCs/>
          <w:sz w:val="27"/>
          <w:rtl/>
        </w:rPr>
        <w:t>الل</w:t>
      </w:r>
      <w:r w:rsidRPr="00282AC9">
        <w:rPr>
          <w:rFonts w:ascii="AAA GoldenLotus" w:hAnsi="AAA GoldenLotus"/>
          <w:b/>
          <w:bCs/>
          <w:sz w:val="27"/>
          <w:rtl/>
        </w:rPr>
        <w:t>هُ بِكُلِّ شَيْءٍ عَلِيمٌ</w:t>
      </w:r>
      <w:r w:rsidR="00C5291F" w:rsidRPr="00282AC9">
        <w:rPr>
          <w:rFonts w:ascii="Mosawi" w:hAnsi="Mosawi" w:cs="Mosawi"/>
          <w:sz w:val="24"/>
          <w:szCs w:val="24"/>
          <w:rtl/>
        </w:rPr>
        <w:t>﴾</w:t>
      </w:r>
      <w:r w:rsidRPr="00282AC9">
        <w:rPr>
          <w:rFonts w:ascii="AAA GoldenLotus" w:hAnsi="AAA GoldenLotus"/>
          <w:sz w:val="27"/>
          <w:rtl/>
        </w:rPr>
        <w:t xml:space="preserve"> (النساء: 176). </w:t>
      </w:r>
    </w:p>
    <w:p w:rsidR="009C287D" w:rsidRPr="00282AC9" w:rsidRDefault="009C287D" w:rsidP="009C287D">
      <w:pPr>
        <w:spacing w:line="420" w:lineRule="exact"/>
        <w:rPr>
          <w:rtl/>
        </w:rPr>
      </w:pPr>
    </w:p>
    <w:p w:rsidR="00E355F2" w:rsidRPr="00282AC9" w:rsidRDefault="001F6DD6" w:rsidP="007D08F4">
      <w:pPr>
        <w:pStyle w:val="31"/>
        <w:rPr>
          <w:color w:val="auto"/>
          <w:rtl/>
        </w:rPr>
      </w:pPr>
      <w:r w:rsidRPr="00282AC9">
        <w:rPr>
          <w:rFonts w:hint="cs"/>
          <w:color w:val="auto"/>
          <w:rtl/>
        </w:rPr>
        <w:t>6ـ</w:t>
      </w:r>
      <w:r w:rsidR="00E355F2" w:rsidRPr="00282AC9">
        <w:rPr>
          <w:rFonts w:hint="cs"/>
          <w:color w:val="auto"/>
          <w:rtl/>
        </w:rPr>
        <w:t xml:space="preserve"> </w:t>
      </w:r>
      <w:r w:rsidR="00E355F2" w:rsidRPr="00282AC9">
        <w:rPr>
          <w:color w:val="auto"/>
          <w:rtl/>
        </w:rPr>
        <w:t>الخروج عن الاشتراك</w:t>
      </w:r>
      <w:r w:rsidR="0003330A" w:rsidRPr="00282AC9">
        <w:rPr>
          <w:rFonts w:hint="cs"/>
          <w:color w:val="auto"/>
          <w:rtl/>
        </w:rPr>
        <w:t>،</w:t>
      </w:r>
      <w:r w:rsidR="00E355F2" w:rsidRPr="00282AC9">
        <w:rPr>
          <w:color w:val="auto"/>
          <w:rtl/>
        </w:rPr>
        <w:t xml:space="preserve"> بين التخصيص والتخص</w:t>
      </w:r>
      <w:r w:rsidRPr="00282AC9">
        <w:rPr>
          <w:rFonts w:hint="cs"/>
          <w:color w:val="auto"/>
          <w:rtl/>
        </w:rPr>
        <w:t>ُّ</w:t>
      </w:r>
      <w:r w:rsidR="00E355F2" w:rsidRPr="00282AC9">
        <w:rPr>
          <w:color w:val="auto"/>
          <w:rtl/>
        </w:rPr>
        <w:t>ص</w:t>
      </w:r>
    </w:p>
    <w:p w:rsidR="00E355F2" w:rsidRPr="00282AC9" w:rsidRDefault="00E355F2" w:rsidP="009C287D">
      <w:pPr>
        <w:spacing w:line="406" w:lineRule="exact"/>
        <w:rPr>
          <w:rFonts w:ascii="AAA GoldenLotus" w:hAnsi="AAA GoldenLotus"/>
          <w:sz w:val="27"/>
          <w:rtl/>
        </w:rPr>
      </w:pPr>
      <w:r w:rsidRPr="00282AC9">
        <w:rPr>
          <w:rFonts w:ascii="AAA GoldenLotus" w:hAnsi="AAA GoldenLotus"/>
          <w:sz w:val="27"/>
          <w:rtl/>
        </w:rPr>
        <w:t xml:space="preserve"> </w:t>
      </w:r>
      <w:r w:rsidRPr="00282AC9">
        <w:rPr>
          <w:rFonts w:ascii="AAA GoldenLotus" w:hAnsi="AAA GoldenLotus" w:hint="cs"/>
          <w:sz w:val="27"/>
          <w:rtl/>
        </w:rPr>
        <w:t>بعد ثبوت أن هناك موارد قد خرج</w:t>
      </w:r>
      <w:r w:rsidR="0003330A" w:rsidRPr="00282AC9">
        <w:rPr>
          <w:rFonts w:ascii="AAA GoldenLotus" w:hAnsi="AAA GoldenLotus" w:hint="cs"/>
          <w:sz w:val="27"/>
          <w:rtl/>
        </w:rPr>
        <w:t>َ</w:t>
      </w:r>
      <w:r w:rsidRPr="00282AC9">
        <w:rPr>
          <w:rFonts w:ascii="AAA GoldenLotus" w:hAnsi="AAA GoldenLotus" w:hint="cs"/>
          <w:sz w:val="27"/>
          <w:rtl/>
        </w:rPr>
        <w:t>ت</w:t>
      </w:r>
      <w:r w:rsidR="0003330A" w:rsidRPr="00282AC9">
        <w:rPr>
          <w:rFonts w:ascii="AAA GoldenLotus" w:hAnsi="AAA GoldenLotus" w:hint="cs"/>
          <w:sz w:val="27"/>
          <w:rtl/>
        </w:rPr>
        <w:t>ْ</w:t>
      </w:r>
      <w:r w:rsidRPr="00282AC9">
        <w:rPr>
          <w:rFonts w:ascii="AAA GoldenLotus" w:hAnsi="AAA GoldenLotus" w:hint="cs"/>
          <w:sz w:val="27"/>
          <w:rtl/>
        </w:rPr>
        <w:t xml:space="preserve"> عن القاعدة</w:t>
      </w:r>
      <w:r w:rsidR="00943B9B" w:rsidRPr="00282AC9">
        <w:rPr>
          <w:rFonts w:ascii="AAA GoldenLotus" w:hAnsi="AAA GoldenLotus" w:hint="cs"/>
          <w:sz w:val="27"/>
          <w:rtl/>
        </w:rPr>
        <w:t>،</w:t>
      </w:r>
      <w:r w:rsidRPr="00282AC9">
        <w:rPr>
          <w:rFonts w:ascii="AAA GoldenLotus" w:hAnsi="AAA GoldenLotus" w:hint="cs"/>
          <w:sz w:val="27"/>
          <w:rtl/>
        </w:rPr>
        <w:t xml:space="preserve"> وقع الكلام بين الأعلام ـ حت</w:t>
      </w:r>
      <w:r w:rsidR="00943B9B" w:rsidRPr="00282AC9">
        <w:rPr>
          <w:rFonts w:ascii="AAA GoldenLotus" w:hAnsi="AAA GoldenLotus" w:hint="cs"/>
          <w:sz w:val="27"/>
          <w:rtl/>
        </w:rPr>
        <w:t>ّ</w:t>
      </w:r>
      <w:r w:rsidRPr="00282AC9">
        <w:rPr>
          <w:rFonts w:ascii="AAA GoldenLotus" w:hAnsi="AAA GoldenLotus" w:hint="cs"/>
          <w:sz w:val="27"/>
          <w:rtl/>
        </w:rPr>
        <w:t>ى داخل المذهب الواحد ـ في كيفي</w:t>
      </w:r>
      <w:r w:rsidR="00943B9B" w:rsidRPr="00282AC9">
        <w:rPr>
          <w:rFonts w:ascii="AAA GoldenLotus" w:hAnsi="AAA GoldenLotus" w:hint="cs"/>
          <w:sz w:val="27"/>
          <w:rtl/>
        </w:rPr>
        <w:t>ّ</w:t>
      </w:r>
      <w:r w:rsidRPr="00282AC9">
        <w:rPr>
          <w:rFonts w:ascii="AAA GoldenLotus" w:hAnsi="AAA GoldenLotus" w:hint="cs"/>
          <w:sz w:val="27"/>
          <w:rtl/>
        </w:rPr>
        <w:t>ة هذا الخروج وطبيعته، وأنه بنحو التخصيص أو بنحو التخص</w:t>
      </w:r>
      <w:r w:rsidR="00943B9B" w:rsidRPr="00282AC9">
        <w:rPr>
          <w:rFonts w:ascii="AAA GoldenLotus" w:hAnsi="AAA GoldenLotus" w:hint="cs"/>
          <w:sz w:val="27"/>
          <w:rtl/>
        </w:rPr>
        <w:t>ُّ</w:t>
      </w:r>
      <w:r w:rsidRPr="00282AC9">
        <w:rPr>
          <w:rFonts w:ascii="AAA GoldenLotus" w:hAnsi="AAA GoldenLotus" w:hint="cs"/>
          <w:sz w:val="27"/>
          <w:rtl/>
        </w:rPr>
        <w:t>ص</w:t>
      </w:r>
      <w:r w:rsidR="00943B9B" w:rsidRPr="00282AC9">
        <w:rPr>
          <w:rFonts w:ascii="AAA GoldenLotus" w:hAnsi="AAA GoldenLotus" w:hint="cs"/>
          <w:sz w:val="27"/>
          <w:rtl/>
        </w:rPr>
        <w:t>.</w:t>
      </w:r>
      <w:r w:rsidRPr="00282AC9">
        <w:rPr>
          <w:rFonts w:ascii="AAA GoldenLotus" w:hAnsi="AAA GoldenLotus"/>
          <w:sz w:val="27"/>
          <w:rtl/>
        </w:rPr>
        <w:t xml:space="preserve"> </w:t>
      </w:r>
      <w:r w:rsidR="00943B9B" w:rsidRPr="00282AC9">
        <w:rPr>
          <w:rFonts w:ascii="AAA GoldenLotus" w:hAnsi="AAA GoldenLotus" w:hint="cs"/>
          <w:sz w:val="27"/>
          <w:rtl/>
        </w:rPr>
        <w:t>و</w:t>
      </w:r>
      <w:r w:rsidRPr="00282AC9">
        <w:rPr>
          <w:rFonts w:ascii="AAA GoldenLotus" w:hAnsi="AAA GoldenLotus"/>
          <w:sz w:val="27"/>
          <w:rtl/>
        </w:rPr>
        <w:t>بيان ذلك كما يلي:</w:t>
      </w:r>
    </w:p>
    <w:p w:rsidR="009C287D" w:rsidRPr="00282AC9" w:rsidRDefault="009C287D" w:rsidP="009C287D">
      <w:pPr>
        <w:spacing w:line="420" w:lineRule="exact"/>
        <w:rPr>
          <w:rtl/>
        </w:rPr>
      </w:pPr>
      <w:bookmarkStart w:id="39" w:name="_Toc30695481"/>
      <w:bookmarkStart w:id="40" w:name="_Toc33819759"/>
    </w:p>
    <w:p w:rsidR="00E355F2" w:rsidRPr="00282AC9" w:rsidRDefault="00E355F2" w:rsidP="007D08F4">
      <w:pPr>
        <w:pStyle w:val="31"/>
        <w:rPr>
          <w:color w:val="auto"/>
          <w:rtl/>
        </w:rPr>
      </w:pPr>
      <w:r w:rsidRPr="00282AC9">
        <w:rPr>
          <w:rFonts w:hint="cs"/>
          <w:color w:val="auto"/>
          <w:rtl/>
        </w:rPr>
        <w:t>أو</w:t>
      </w:r>
      <w:r w:rsidR="0018253C" w:rsidRPr="00282AC9">
        <w:rPr>
          <w:rFonts w:hint="cs"/>
          <w:color w:val="auto"/>
          <w:rtl/>
        </w:rPr>
        <w:t>ّ</w:t>
      </w:r>
      <w:r w:rsidRPr="00282AC9">
        <w:rPr>
          <w:rFonts w:hint="cs"/>
          <w:color w:val="auto"/>
          <w:rtl/>
        </w:rPr>
        <w:t xml:space="preserve">لاً: </w:t>
      </w:r>
      <w:r w:rsidRPr="00282AC9">
        <w:rPr>
          <w:color w:val="auto"/>
          <w:rtl/>
        </w:rPr>
        <w:t>عند الإمامي</w:t>
      </w:r>
      <w:r w:rsidR="00943B9B" w:rsidRPr="00282AC9">
        <w:rPr>
          <w:rFonts w:hint="cs"/>
          <w:color w:val="auto"/>
          <w:rtl/>
        </w:rPr>
        <w:t>ّ</w:t>
      </w:r>
      <w:r w:rsidRPr="00282AC9">
        <w:rPr>
          <w:color w:val="auto"/>
          <w:rtl/>
        </w:rPr>
        <w:t>ة</w:t>
      </w:r>
      <w:bookmarkEnd w:id="39"/>
      <w:bookmarkEnd w:id="40"/>
    </w:p>
    <w:p w:rsidR="00E355F2" w:rsidRPr="00282AC9" w:rsidRDefault="00E355F2" w:rsidP="00046546">
      <w:pPr>
        <w:rPr>
          <w:rFonts w:ascii="AAA GoldenLotus" w:hAnsi="AAA GoldenLotus"/>
          <w:sz w:val="27"/>
        </w:rPr>
      </w:pPr>
      <w:r w:rsidRPr="00282AC9">
        <w:rPr>
          <w:rFonts w:ascii="AAA GoldenLotus" w:hAnsi="AAA GoldenLotus"/>
          <w:sz w:val="27"/>
          <w:rtl/>
        </w:rPr>
        <w:t>لقد اختلف فقهاء الإمامية في نوعي</w:t>
      </w:r>
      <w:r w:rsidR="00943B9B" w:rsidRPr="00282AC9">
        <w:rPr>
          <w:rFonts w:ascii="AAA GoldenLotus" w:hAnsi="AAA GoldenLotus" w:hint="cs"/>
          <w:sz w:val="27"/>
          <w:rtl/>
        </w:rPr>
        <w:t>ّ</w:t>
      </w:r>
      <w:r w:rsidRPr="00282AC9">
        <w:rPr>
          <w:rFonts w:ascii="AAA GoldenLotus" w:hAnsi="AAA GoldenLotus"/>
          <w:sz w:val="27"/>
          <w:rtl/>
        </w:rPr>
        <w:t>ة وكيفي</w:t>
      </w:r>
      <w:r w:rsidR="00943B9B" w:rsidRPr="00282AC9">
        <w:rPr>
          <w:rFonts w:ascii="AAA GoldenLotus" w:hAnsi="AAA GoldenLotus" w:hint="cs"/>
          <w:sz w:val="27"/>
          <w:rtl/>
        </w:rPr>
        <w:t>ّ</w:t>
      </w:r>
      <w:r w:rsidRPr="00282AC9">
        <w:rPr>
          <w:rFonts w:ascii="AAA GoldenLotus" w:hAnsi="AAA GoldenLotus"/>
          <w:sz w:val="27"/>
          <w:rtl/>
        </w:rPr>
        <w:t>ة خروج تلك الموارد المتقد</w:t>
      </w:r>
      <w:r w:rsidR="00943B9B" w:rsidRPr="00282AC9">
        <w:rPr>
          <w:rFonts w:ascii="AAA GoldenLotus" w:hAnsi="AAA GoldenLotus" w:hint="cs"/>
          <w:sz w:val="27"/>
          <w:rtl/>
        </w:rPr>
        <w:t>ِّ</w:t>
      </w:r>
      <w:r w:rsidRPr="00282AC9">
        <w:rPr>
          <w:rFonts w:ascii="AAA GoldenLotus" w:hAnsi="AAA GoldenLotus"/>
          <w:sz w:val="27"/>
          <w:rtl/>
        </w:rPr>
        <w:t xml:space="preserve">مة عن القاعدة على قولين: </w:t>
      </w:r>
    </w:p>
    <w:p w:rsidR="00E355F2" w:rsidRPr="00282AC9" w:rsidRDefault="00E355F2" w:rsidP="00046546">
      <w:pPr>
        <w:rPr>
          <w:rFonts w:ascii="AAA GoldenLotus" w:hAnsi="AAA GoldenLotus"/>
          <w:sz w:val="27"/>
          <w:rtl/>
        </w:rPr>
      </w:pPr>
      <w:bookmarkStart w:id="41" w:name="_Toc33819760"/>
      <w:r w:rsidRPr="00282AC9">
        <w:rPr>
          <w:rFonts w:ascii="AAA GoldenLotus" w:hAnsi="AAA GoldenLotus"/>
          <w:b/>
          <w:bCs/>
          <w:i/>
          <w:sz w:val="27"/>
          <w:rtl/>
        </w:rPr>
        <w:t>القول الأو</w:t>
      </w:r>
      <w:r w:rsidR="00943B9B" w:rsidRPr="00282AC9">
        <w:rPr>
          <w:rFonts w:ascii="AAA GoldenLotus" w:hAnsi="AAA GoldenLotus" w:hint="cs"/>
          <w:b/>
          <w:bCs/>
          <w:i/>
          <w:sz w:val="27"/>
          <w:rtl/>
        </w:rPr>
        <w:t>ّ</w:t>
      </w:r>
      <w:r w:rsidRPr="00282AC9">
        <w:rPr>
          <w:rFonts w:ascii="AAA GoldenLotus" w:hAnsi="AAA GoldenLotus"/>
          <w:b/>
          <w:bCs/>
          <w:i/>
          <w:sz w:val="27"/>
          <w:rtl/>
        </w:rPr>
        <w:t>ل</w:t>
      </w:r>
      <w:r w:rsidRPr="00282AC9">
        <w:rPr>
          <w:rFonts w:ascii="AAA GoldenLotus" w:hAnsi="AAA GoldenLotus"/>
          <w:i/>
          <w:sz w:val="27"/>
          <w:rtl/>
        </w:rPr>
        <w:t>: وهو أن الخروج تخصيصي</w:t>
      </w:r>
      <w:r w:rsidR="00943B9B" w:rsidRPr="00282AC9">
        <w:rPr>
          <w:rFonts w:ascii="AAA GoldenLotus" w:hAnsi="AAA GoldenLotus" w:hint="cs"/>
          <w:i/>
          <w:sz w:val="27"/>
          <w:rtl/>
        </w:rPr>
        <w:t>ٌّ.</w:t>
      </w:r>
      <w:r w:rsidRPr="00282AC9">
        <w:rPr>
          <w:rFonts w:ascii="AAA GoldenLotus" w:hAnsi="AAA GoldenLotus"/>
          <w:i/>
          <w:sz w:val="27"/>
          <w:rtl/>
        </w:rPr>
        <w:t xml:space="preserve"> وهو ما ذهب إليه</w:t>
      </w:r>
      <w:bookmarkEnd w:id="41"/>
      <w:r w:rsidRPr="00282AC9">
        <w:rPr>
          <w:rFonts w:ascii="AAA GoldenLotus" w:hAnsi="AAA GoldenLotus"/>
          <w:sz w:val="27"/>
          <w:rtl/>
        </w:rPr>
        <w:t xml:space="preserve"> صاحب العناوين</w:t>
      </w:r>
      <w:r w:rsidR="00943B9B" w:rsidRPr="00282AC9">
        <w:rPr>
          <w:rFonts w:ascii="AAA GoldenLotus" w:hAnsi="AAA GoldenLotus" w:hint="cs"/>
          <w:sz w:val="27"/>
          <w:rtl/>
        </w:rPr>
        <w:t>،</w:t>
      </w:r>
      <w:r w:rsidRPr="00282AC9">
        <w:rPr>
          <w:rFonts w:ascii="AAA GoldenLotus" w:hAnsi="AAA GoldenLotus"/>
          <w:sz w:val="27"/>
          <w:rtl/>
        </w:rPr>
        <w:t xml:space="preserve"> على الظاهر، حيث قال</w:t>
      </w:r>
      <w:r w:rsidR="00943B9B" w:rsidRPr="00282AC9">
        <w:rPr>
          <w:rFonts w:ascii="AAA GoldenLotus" w:hAnsi="AAA GoldenLotus" w:hint="cs"/>
          <w:sz w:val="27"/>
          <w:rtl/>
        </w:rPr>
        <w:t>:</w:t>
      </w:r>
      <w:r w:rsidRPr="00282AC9">
        <w:rPr>
          <w:rFonts w:ascii="AAA GoldenLotus" w:hAnsi="AAA GoldenLotus"/>
          <w:sz w:val="27"/>
          <w:rtl/>
        </w:rPr>
        <w:t xml:space="preserve"> إن خروج تلك الموارد عن قاعدة اشتراك التكليف بين الرجال والنساء هو من باب التخصيص والخروج الح</w:t>
      </w:r>
      <w:r w:rsidR="00943B9B" w:rsidRPr="00282AC9">
        <w:rPr>
          <w:rFonts w:ascii="AAA GoldenLotus" w:hAnsi="AAA GoldenLotus" w:hint="cs"/>
          <w:sz w:val="27"/>
          <w:rtl/>
        </w:rPr>
        <w:t>ُ</w:t>
      </w:r>
      <w:r w:rsidRPr="00282AC9">
        <w:rPr>
          <w:rFonts w:ascii="AAA GoldenLotus" w:hAnsi="AAA GoldenLotus"/>
          <w:sz w:val="27"/>
          <w:rtl/>
        </w:rPr>
        <w:t>ك</w:t>
      </w:r>
      <w:r w:rsidR="00943B9B" w:rsidRPr="00282AC9">
        <w:rPr>
          <w:rFonts w:ascii="AAA GoldenLotus" w:hAnsi="AAA GoldenLotus" w:hint="cs"/>
          <w:sz w:val="27"/>
          <w:rtl/>
        </w:rPr>
        <w:t>ْ</w:t>
      </w:r>
      <w:r w:rsidRPr="00282AC9">
        <w:rPr>
          <w:rFonts w:ascii="AAA GoldenLotus" w:hAnsi="AAA GoldenLotus"/>
          <w:sz w:val="27"/>
          <w:rtl/>
        </w:rPr>
        <w:t>مي</w:t>
      </w:r>
      <w:r w:rsidR="00943B9B" w:rsidRPr="00282AC9">
        <w:rPr>
          <w:rFonts w:ascii="AAA GoldenLotus" w:hAnsi="AAA GoldenLotus" w:hint="cs"/>
          <w:sz w:val="27"/>
          <w:rtl/>
        </w:rPr>
        <w:t>ّ.</w:t>
      </w:r>
      <w:r w:rsidRPr="00282AC9">
        <w:rPr>
          <w:rFonts w:ascii="AAA GoldenLotus" w:hAnsi="AAA GoldenLotus"/>
          <w:sz w:val="27"/>
          <w:rtl/>
        </w:rPr>
        <w:t xml:space="preserve"> واعتبر ذلك موجب</w:t>
      </w:r>
      <w:r w:rsidR="00943B9B" w:rsidRPr="00282AC9">
        <w:rPr>
          <w:rFonts w:ascii="AAA GoldenLotus" w:hAnsi="AAA GoldenLotus" w:hint="cs"/>
          <w:sz w:val="27"/>
          <w:rtl/>
        </w:rPr>
        <w:t>اً</w:t>
      </w:r>
      <w:r w:rsidRPr="00282AC9">
        <w:rPr>
          <w:rFonts w:ascii="AAA GoldenLotus" w:hAnsi="AAA GoldenLotus"/>
          <w:sz w:val="27"/>
          <w:rtl/>
        </w:rPr>
        <w:t xml:space="preserve"> لانخرام القاعدة وعدم اط</w:t>
      </w:r>
      <w:r w:rsidR="00943B9B" w:rsidRPr="00282AC9">
        <w:rPr>
          <w:rFonts w:ascii="AAA GoldenLotus" w:hAnsi="AAA GoldenLotus" w:hint="cs"/>
          <w:sz w:val="27"/>
          <w:rtl/>
        </w:rPr>
        <w:t>ّ</w:t>
      </w:r>
      <w:r w:rsidRPr="00282AC9">
        <w:rPr>
          <w:rFonts w:ascii="AAA GoldenLotus" w:hAnsi="AAA GoldenLotus"/>
          <w:sz w:val="27"/>
          <w:rtl/>
        </w:rPr>
        <w:t>رادها</w:t>
      </w:r>
      <w:r w:rsidR="00943B9B" w:rsidRPr="00282AC9">
        <w:rPr>
          <w:rFonts w:ascii="AAA GoldenLotus" w:hAnsi="AAA GoldenLotus" w:hint="cs"/>
          <w:sz w:val="27"/>
          <w:rtl/>
        </w:rPr>
        <w:t xml:space="preserve">، </w:t>
      </w:r>
      <w:r w:rsidRPr="00282AC9">
        <w:rPr>
          <w:rFonts w:ascii="AAA GoldenLotus" w:hAnsi="AAA GoldenLotus"/>
          <w:sz w:val="27"/>
          <w:rtl/>
        </w:rPr>
        <w:t>مم</w:t>
      </w:r>
      <w:r w:rsidR="00943B9B" w:rsidRPr="00282AC9">
        <w:rPr>
          <w:rFonts w:ascii="AAA GoldenLotus" w:hAnsi="AAA GoldenLotus" w:hint="cs"/>
          <w:sz w:val="27"/>
          <w:rtl/>
        </w:rPr>
        <w:t>ّ</w:t>
      </w:r>
      <w:r w:rsidRPr="00282AC9">
        <w:rPr>
          <w:rFonts w:ascii="AAA GoldenLotus" w:hAnsi="AAA GoldenLotus"/>
          <w:sz w:val="27"/>
          <w:rtl/>
        </w:rPr>
        <w:t xml:space="preserve">ا يؤثر على عمومها، حيث قال: </w:t>
      </w:r>
      <w:r w:rsidR="00943B9B" w:rsidRPr="00282AC9">
        <w:rPr>
          <w:rFonts w:hint="eastAsia"/>
          <w:sz w:val="24"/>
          <w:szCs w:val="24"/>
          <w:rtl/>
        </w:rPr>
        <w:t>«</w:t>
      </w:r>
      <w:r w:rsidR="00943B9B" w:rsidRPr="00282AC9">
        <w:rPr>
          <w:rFonts w:ascii="AAA GoldenLotus" w:hAnsi="AAA GoldenLotus" w:hint="cs"/>
          <w:sz w:val="27"/>
          <w:rtl/>
        </w:rPr>
        <w:t>إ</w:t>
      </w:r>
      <w:r w:rsidRPr="00282AC9">
        <w:rPr>
          <w:rFonts w:ascii="AAA GoldenLotus" w:hAnsi="AAA GoldenLotus"/>
          <w:sz w:val="27"/>
          <w:rtl/>
        </w:rPr>
        <w:t>ن هذه القاعدة قد انخرم</w:t>
      </w:r>
      <w:r w:rsidR="00943B9B" w:rsidRPr="00282AC9">
        <w:rPr>
          <w:rFonts w:ascii="AAA GoldenLotus" w:hAnsi="AAA GoldenLotus" w:hint="cs"/>
          <w:sz w:val="27"/>
          <w:rtl/>
        </w:rPr>
        <w:t>َ</w:t>
      </w:r>
      <w:r w:rsidRPr="00282AC9">
        <w:rPr>
          <w:rFonts w:ascii="AAA GoldenLotus" w:hAnsi="AAA GoldenLotus"/>
          <w:sz w:val="27"/>
          <w:rtl/>
        </w:rPr>
        <w:t>ت</w:t>
      </w:r>
      <w:r w:rsidR="00943B9B" w:rsidRPr="00282AC9">
        <w:rPr>
          <w:rFonts w:ascii="AAA GoldenLotus" w:hAnsi="AAA GoldenLotus" w:hint="cs"/>
          <w:sz w:val="27"/>
          <w:rtl/>
        </w:rPr>
        <w:t>ْ</w:t>
      </w:r>
      <w:r w:rsidRPr="00282AC9">
        <w:rPr>
          <w:rFonts w:ascii="AAA GoldenLotus" w:hAnsi="AAA GoldenLotus"/>
          <w:sz w:val="27"/>
          <w:rtl/>
        </w:rPr>
        <w:t xml:space="preserve"> في مواضع</w:t>
      </w:r>
      <w:r w:rsidR="00943B9B" w:rsidRPr="00282AC9">
        <w:rPr>
          <w:rFonts w:ascii="AAA GoldenLotus" w:hAnsi="AAA GoldenLotus" w:hint="cs"/>
          <w:sz w:val="27"/>
          <w:rtl/>
        </w:rPr>
        <w:t>،</w:t>
      </w:r>
      <w:r w:rsidRPr="00282AC9">
        <w:rPr>
          <w:rFonts w:ascii="AAA GoldenLotus" w:hAnsi="AAA GoldenLotus"/>
          <w:sz w:val="27"/>
          <w:rtl/>
        </w:rPr>
        <w:t xml:space="preserve"> كبطن اليد والظهر في الوضوء للرجل والمرأة، والجهر والإخفات في الصلاة، وكيفي</w:t>
      </w:r>
      <w:r w:rsidR="00943B9B" w:rsidRPr="00282AC9">
        <w:rPr>
          <w:rFonts w:ascii="AAA GoldenLotus" w:hAnsi="AAA GoldenLotus" w:hint="cs"/>
          <w:sz w:val="27"/>
          <w:rtl/>
        </w:rPr>
        <w:t>ّ</w:t>
      </w:r>
      <w:r w:rsidRPr="00282AC9">
        <w:rPr>
          <w:rFonts w:ascii="AAA GoldenLotus" w:hAnsi="AAA GoldenLotus"/>
          <w:sz w:val="27"/>
          <w:rtl/>
        </w:rPr>
        <w:t>ات قيامها وقعودها، وما يجب سترها فيها، وجواز لبس الحرير...</w:t>
      </w:r>
      <w:r w:rsidR="00943B9B"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91"/>
      </w:r>
      <w:r w:rsidRPr="00282AC9">
        <w:rPr>
          <w:rFonts w:ascii="AAA GoldenLotus" w:hAnsi="AAA GoldenLotus"/>
          <w:sz w:val="27"/>
          <w:vertAlign w:val="superscript"/>
          <w:rtl/>
        </w:rPr>
        <w:t>)</w:t>
      </w:r>
      <w:r w:rsidRPr="00282AC9">
        <w:rPr>
          <w:rFonts w:ascii="AAA GoldenLotus" w:hAnsi="AAA GoldenLotus"/>
          <w:sz w:val="27"/>
          <w:rtl/>
        </w:rPr>
        <w:t>.</w:t>
      </w:r>
    </w:p>
    <w:p w:rsidR="00605226" w:rsidRPr="00282AC9" w:rsidRDefault="00E355F2" w:rsidP="00046546">
      <w:pPr>
        <w:rPr>
          <w:rFonts w:ascii="AAA GoldenLotus" w:hAnsi="AAA GoldenLotus"/>
          <w:sz w:val="27"/>
          <w:rtl/>
        </w:rPr>
      </w:pPr>
      <w:bookmarkStart w:id="42" w:name="_Toc33819761"/>
      <w:r w:rsidRPr="00282AC9">
        <w:rPr>
          <w:rFonts w:ascii="AAA GoldenLotus" w:hAnsi="AAA GoldenLotus"/>
          <w:b/>
          <w:bCs/>
          <w:i/>
          <w:sz w:val="27"/>
          <w:rtl/>
        </w:rPr>
        <w:t>القول الثاني</w:t>
      </w:r>
      <w:r w:rsidRPr="00282AC9">
        <w:rPr>
          <w:rFonts w:ascii="AAA GoldenLotus" w:hAnsi="AAA GoldenLotus"/>
          <w:i/>
          <w:sz w:val="27"/>
          <w:rtl/>
        </w:rPr>
        <w:t>: وهو أن الخروج تخص</w:t>
      </w:r>
      <w:r w:rsidR="00943B9B" w:rsidRPr="00282AC9">
        <w:rPr>
          <w:rFonts w:ascii="AAA GoldenLotus" w:hAnsi="AAA GoldenLotus" w:hint="cs"/>
          <w:i/>
          <w:sz w:val="27"/>
          <w:rtl/>
        </w:rPr>
        <w:t>ُّ</w:t>
      </w:r>
      <w:r w:rsidRPr="00282AC9">
        <w:rPr>
          <w:rFonts w:ascii="AAA GoldenLotus" w:hAnsi="AAA GoldenLotus"/>
          <w:i/>
          <w:sz w:val="27"/>
          <w:rtl/>
        </w:rPr>
        <w:t>صي</w:t>
      </w:r>
      <w:r w:rsidR="00943B9B" w:rsidRPr="00282AC9">
        <w:rPr>
          <w:rFonts w:ascii="AAA GoldenLotus" w:hAnsi="AAA GoldenLotus" w:hint="cs"/>
          <w:i/>
          <w:sz w:val="27"/>
          <w:rtl/>
        </w:rPr>
        <w:t>ٌّ.</w:t>
      </w:r>
      <w:r w:rsidRPr="00282AC9">
        <w:rPr>
          <w:rFonts w:ascii="AAA GoldenLotus" w:hAnsi="AAA GoldenLotus"/>
          <w:i/>
          <w:sz w:val="27"/>
          <w:rtl/>
        </w:rPr>
        <w:t xml:space="preserve"> وهو ما ذهب </w:t>
      </w:r>
      <w:r w:rsidR="00943B9B" w:rsidRPr="00282AC9">
        <w:rPr>
          <w:rFonts w:ascii="AAA GoldenLotus" w:hAnsi="AAA GoldenLotus" w:hint="cs"/>
          <w:i/>
          <w:sz w:val="27"/>
          <w:rtl/>
        </w:rPr>
        <w:t xml:space="preserve">إليه </w:t>
      </w:r>
      <w:r w:rsidRPr="00282AC9">
        <w:rPr>
          <w:rFonts w:ascii="AAA GoldenLotus" w:hAnsi="AAA GoldenLotus"/>
          <w:i/>
          <w:sz w:val="27"/>
          <w:rtl/>
        </w:rPr>
        <w:t>جمع</w:t>
      </w:r>
      <w:r w:rsidR="00943B9B" w:rsidRPr="00282AC9">
        <w:rPr>
          <w:rFonts w:ascii="AAA GoldenLotus" w:hAnsi="AAA GoldenLotus" w:hint="cs"/>
          <w:i/>
          <w:sz w:val="27"/>
          <w:rtl/>
        </w:rPr>
        <w:t>ٌ</w:t>
      </w:r>
      <w:r w:rsidRPr="00282AC9">
        <w:rPr>
          <w:rFonts w:ascii="AAA GoldenLotus" w:hAnsi="AAA GoldenLotus"/>
          <w:i/>
          <w:sz w:val="27"/>
          <w:rtl/>
        </w:rPr>
        <w:t xml:space="preserve"> من الأعلام</w:t>
      </w:r>
      <w:bookmarkEnd w:id="42"/>
      <w:r w:rsidR="00943B9B" w:rsidRPr="00282AC9">
        <w:rPr>
          <w:rFonts w:ascii="AAA GoldenLotus" w:hAnsi="AAA GoldenLotus" w:hint="cs"/>
          <w:sz w:val="27"/>
          <w:rtl/>
        </w:rPr>
        <w:t>،</w:t>
      </w:r>
      <w:r w:rsidRPr="00282AC9">
        <w:rPr>
          <w:rFonts w:ascii="AAA GoldenLotus" w:hAnsi="AAA GoldenLotus"/>
          <w:sz w:val="27"/>
          <w:rtl/>
        </w:rPr>
        <w:t xml:space="preserve"> كالبجنوردي واللنكراني وغيرهما، من أنّ خروج تلك الموارد عن القاعدة من باب التخص</w:t>
      </w:r>
      <w:r w:rsidR="00605226" w:rsidRPr="00282AC9">
        <w:rPr>
          <w:rFonts w:ascii="AAA GoldenLotus" w:hAnsi="AAA GoldenLotus" w:hint="cs"/>
          <w:sz w:val="27"/>
          <w:rtl/>
        </w:rPr>
        <w:t>ُّ</w:t>
      </w:r>
      <w:r w:rsidRPr="00282AC9">
        <w:rPr>
          <w:rFonts w:ascii="AAA GoldenLotus" w:hAnsi="AAA GoldenLotus"/>
          <w:sz w:val="27"/>
          <w:rtl/>
        </w:rPr>
        <w:t>ص والخروج الموضوعي</w:t>
      </w:r>
      <w:r w:rsidR="00605226" w:rsidRPr="00282AC9">
        <w:rPr>
          <w:rFonts w:ascii="AAA GoldenLotus" w:hAnsi="AAA GoldenLotus" w:hint="cs"/>
          <w:sz w:val="27"/>
          <w:rtl/>
        </w:rPr>
        <w:t>ّ</w:t>
      </w:r>
      <w:r w:rsidRPr="00282AC9">
        <w:rPr>
          <w:rFonts w:ascii="AAA GoldenLotus" w:hAnsi="AAA GoldenLotus"/>
          <w:sz w:val="27"/>
          <w:rtl/>
        </w:rPr>
        <w:t>، الذي لا يؤث</w:t>
      </w:r>
      <w:r w:rsidR="00605226" w:rsidRPr="00282AC9">
        <w:rPr>
          <w:rFonts w:ascii="AAA GoldenLotus" w:hAnsi="AAA GoldenLotus" w:hint="cs"/>
          <w:sz w:val="27"/>
          <w:rtl/>
        </w:rPr>
        <w:t>ِّ</w:t>
      </w:r>
      <w:r w:rsidRPr="00282AC9">
        <w:rPr>
          <w:rFonts w:ascii="AAA GoldenLotus" w:hAnsi="AAA GoldenLotus"/>
          <w:sz w:val="27"/>
          <w:rtl/>
        </w:rPr>
        <w:t>ر على عمومية القاعدة</w:t>
      </w:r>
      <w:r w:rsidR="00605226" w:rsidRPr="00282AC9">
        <w:rPr>
          <w:rFonts w:ascii="AAA GoldenLotus" w:hAnsi="AAA GoldenLotus" w:hint="c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وبيان ذلك في أمر</w:t>
      </w:r>
      <w:r w:rsidR="00605226" w:rsidRPr="00282AC9">
        <w:rPr>
          <w:rFonts w:ascii="AAA GoldenLotus" w:hAnsi="AAA GoldenLotus" w:hint="cs"/>
          <w:sz w:val="27"/>
          <w:rtl/>
        </w:rPr>
        <w:t>َ</w:t>
      </w:r>
      <w:r w:rsidRPr="00282AC9">
        <w:rPr>
          <w:rFonts w:ascii="AAA GoldenLotus" w:hAnsi="AAA GoldenLotus"/>
          <w:sz w:val="27"/>
          <w:rtl/>
        </w:rPr>
        <w:t>ي</w:t>
      </w:r>
      <w:r w:rsidR="00605226" w:rsidRPr="00282AC9">
        <w:rPr>
          <w:rFonts w:ascii="AAA GoldenLotus" w:hAnsi="AAA GoldenLotus" w:hint="cs"/>
          <w:sz w:val="27"/>
          <w:rtl/>
        </w:rPr>
        <w:t>ْ</w:t>
      </w:r>
      <w:r w:rsidRPr="00282AC9">
        <w:rPr>
          <w:rFonts w:ascii="AAA GoldenLotus" w:hAnsi="AAA GoldenLotus"/>
          <w:sz w:val="27"/>
          <w:rtl/>
        </w:rPr>
        <w:t xml:space="preserve">ن: </w:t>
      </w:r>
    </w:p>
    <w:p w:rsidR="00E355F2" w:rsidRPr="00282AC9" w:rsidRDefault="00E355F2" w:rsidP="00046546">
      <w:pPr>
        <w:rPr>
          <w:rFonts w:ascii="AAA GoldenLotus" w:hAnsi="AAA GoldenLotus"/>
          <w:sz w:val="27"/>
          <w:rtl/>
        </w:rPr>
      </w:pPr>
      <w:r w:rsidRPr="00282AC9">
        <w:rPr>
          <w:rFonts w:ascii="AAA GoldenLotus" w:hAnsi="AAA GoldenLotus" w:hint="cs"/>
          <w:sz w:val="27"/>
          <w:rtl/>
        </w:rPr>
        <w:t>أ</w:t>
      </w:r>
      <w:r w:rsidRPr="00282AC9">
        <w:rPr>
          <w:rFonts w:ascii="AAA GoldenLotus" w:hAnsi="AAA GoldenLotus"/>
          <w:sz w:val="27"/>
          <w:rtl/>
        </w:rPr>
        <w:t>ـ إن خروج الموارد المتقد</w:t>
      </w:r>
      <w:r w:rsidR="00605226" w:rsidRPr="00282AC9">
        <w:rPr>
          <w:rFonts w:ascii="AAA GoldenLotus" w:hAnsi="AAA GoldenLotus" w:hint="cs"/>
          <w:sz w:val="27"/>
          <w:rtl/>
        </w:rPr>
        <w:t>ِّ</w:t>
      </w:r>
      <w:r w:rsidRPr="00282AC9">
        <w:rPr>
          <w:rFonts w:ascii="AAA GoldenLotus" w:hAnsi="AAA GoldenLotus"/>
          <w:sz w:val="27"/>
          <w:rtl/>
        </w:rPr>
        <w:t>مة عن قاعدة الاشتراك ليس بنحو التخصيص</w:t>
      </w:r>
      <w:r w:rsidR="00605226" w:rsidRPr="00282AC9">
        <w:rPr>
          <w:rFonts w:ascii="AAA GoldenLotus" w:hAnsi="AAA GoldenLotus" w:hint="cs"/>
          <w:sz w:val="27"/>
          <w:rtl/>
        </w:rPr>
        <w:t>،</w:t>
      </w:r>
      <w:r w:rsidRPr="00282AC9">
        <w:rPr>
          <w:rFonts w:ascii="AAA GoldenLotus" w:hAnsi="AAA GoldenLotus"/>
          <w:sz w:val="27"/>
          <w:rtl/>
        </w:rPr>
        <w:t xml:space="preserve"> حت</w:t>
      </w:r>
      <w:r w:rsidR="00605226" w:rsidRPr="00282AC9">
        <w:rPr>
          <w:rFonts w:ascii="AAA GoldenLotus" w:hAnsi="AAA GoldenLotus" w:hint="cs"/>
          <w:sz w:val="27"/>
          <w:rtl/>
        </w:rPr>
        <w:t>ّ</w:t>
      </w:r>
      <w:r w:rsidRPr="00282AC9">
        <w:rPr>
          <w:rFonts w:ascii="AAA GoldenLotus" w:hAnsi="AAA GoldenLotus"/>
          <w:sz w:val="27"/>
          <w:rtl/>
        </w:rPr>
        <w:t>ى يكون موجباً لعدم اط</w:t>
      </w:r>
      <w:r w:rsidR="00605226" w:rsidRPr="00282AC9">
        <w:rPr>
          <w:rFonts w:ascii="AAA GoldenLotus" w:hAnsi="AAA GoldenLotus" w:hint="cs"/>
          <w:sz w:val="27"/>
          <w:rtl/>
        </w:rPr>
        <w:t>ّ</w:t>
      </w:r>
      <w:r w:rsidRPr="00282AC9">
        <w:rPr>
          <w:rFonts w:ascii="AAA GoldenLotus" w:hAnsi="AAA GoldenLotus"/>
          <w:sz w:val="27"/>
          <w:rtl/>
        </w:rPr>
        <w:t>راد القاعدة، بل بنحو التخص</w:t>
      </w:r>
      <w:r w:rsidR="00605226" w:rsidRPr="00282AC9">
        <w:rPr>
          <w:rFonts w:ascii="AAA GoldenLotus" w:hAnsi="AAA GoldenLotus" w:hint="cs"/>
          <w:sz w:val="27"/>
          <w:rtl/>
        </w:rPr>
        <w:t>ُّ</w:t>
      </w:r>
      <w:r w:rsidRPr="00282AC9">
        <w:rPr>
          <w:rFonts w:ascii="AAA GoldenLotus" w:hAnsi="AAA GoldenLotus"/>
          <w:sz w:val="27"/>
          <w:rtl/>
        </w:rPr>
        <w:t>ص</w:t>
      </w:r>
      <w:r w:rsidR="00605226" w:rsidRPr="00282AC9">
        <w:rPr>
          <w:rFonts w:ascii="AAA GoldenLotus" w:hAnsi="AAA GoldenLotus" w:hint="cs"/>
          <w:sz w:val="27"/>
          <w:rtl/>
        </w:rPr>
        <w:t>،</w:t>
      </w:r>
      <w:r w:rsidRPr="00282AC9">
        <w:rPr>
          <w:rFonts w:ascii="AAA GoldenLotus" w:hAnsi="AAA GoldenLotus"/>
          <w:sz w:val="27"/>
          <w:rtl/>
        </w:rPr>
        <w:t xml:space="preserve"> الذي مرجعه </w:t>
      </w:r>
      <w:r w:rsidR="00605226" w:rsidRPr="00282AC9">
        <w:rPr>
          <w:rFonts w:ascii="AAA GoldenLotus" w:hAnsi="AAA GoldenLotus" w:hint="cs"/>
          <w:sz w:val="27"/>
          <w:rtl/>
        </w:rPr>
        <w:t>إ</w:t>
      </w:r>
      <w:r w:rsidRPr="00282AC9">
        <w:rPr>
          <w:rFonts w:ascii="AAA GoldenLotus" w:hAnsi="AAA GoldenLotus"/>
          <w:sz w:val="27"/>
          <w:rtl/>
        </w:rPr>
        <w:t xml:space="preserve">لى عدم كونه داخلاً في القاعدة من الأصل؛ ضرورة أن موردها </w:t>
      </w:r>
      <w:r w:rsidR="00605226" w:rsidRPr="00282AC9">
        <w:rPr>
          <w:rFonts w:ascii="AAA GoldenLotus" w:hAnsi="AAA GoldenLotus" w:hint="cs"/>
          <w:sz w:val="27"/>
          <w:rtl/>
        </w:rPr>
        <w:t xml:space="preserve">ـ </w:t>
      </w:r>
      <w:r w:rsidRPr="00282AC9">
        <w:rPr>
          <w:rFonts w:ascii="AAA GoldenLotus" w:hAnsi="AAA GoldenLotus"/>
          <w:sz w:val="27"/>
          <w:rtl/>
        </w:rPr>
        <w:t>كما تقد</w:t>
      </w:r>
      <w:r w:rsidR="00605226" w:rsidRPr="00282AC9">
        <w:rPr>
          <w:rFonts w:ascii="AAA GoldenLotus" w:hAnsi="AAA GoldenLotus" w:hint="cs"/>
          <w:sz w:val="27"/>
          <w:rtl/>
        </w:rPr>
        <w:t>َّ</w:t>
      </w:r>
      <w:r w:rsidRPr="00282AC9">
        <w:rPr>
          <w:rFonts w:ascii="AAA GoldenLotus" w:hAnsi="AAA GoldenLotus"/>
          <w:sz w:val="27"/>
          <w:rtl/>
        </w:rPr>
        <w:t xml:space="preserve">م </w:t>
      </w:r>
      <w:r w:rsidR="00605226" w:rsidRPr="00282AC9">
        <w:rPr>
          <w:rFonts w:ascii="AAA GoldenLotus" w:hAnsi="AAA GoldenLotus" w:hint="cs"/>
          <w:sz w:val="27"/>
          <w:rtl/>
        </w:rPr>
        <w:t xml:space="preserve">ـ </w:t>
      </w:r>
      <w:r w:rsidRPr="00282AC9">
        <w:rPr>
          <w:rFonts w:ascii="AAA GoldenLotus" w:hAnsi="AAA GoldenLotus"/>
          <w:sz w:val="27"/>
          <w:rtl/>
        </w:rPr>
        <w:t>إذا ورد حكم</w:t>
      </w:r>
      <w:r w:rsidR="00605226" w:rsidRPr="00282AC9">
        <w:rPr>
          <w:rFonts w:ascii="AAA GoldenLotus" w:hAnsi="AAA GoldenLotus" w:hint="cs"/>
          <w:sz w:val="27"/>
          <w:rtl/>
        </w:rPr>
        <w:t>ٌ</w:t>
      </w:r>
      <w:r w:rsidRPr="00282AC9">
        <w:rPr>
          <w:rFonts w:ascii="AAA GoldenLotus" w:hAnsi="AAA GoldenLotus"/>
          <w:sz w:val="27"/>
          <w:rtl/>
        </w:rPr>
        <w:t xml:space="preserve"> في مورد</w:t>
      </w:r>
      <w:r w:rsidR="00605226" w:rsidRPr="00282AC9">
        <w:rPr>
          <w:rFonts w:ascii="AAA GoldenLotus" w:hAnsi="AAA GoldenLotus" w:hint="cs"/>
          <w:sz w:val="27"/>
          <w:rtl/>
        </w:rPr>
        <w:t>ٍ</w:t>
      </w:r>
      <w:r w:rsidRPr="00282AC9">
        <w:rPr>
          <w:rFonts w:ascii="AAA GoldenLotus" w:hAnsi="AAA GoldenLotus"/>
          <w:sz w:val="27"/>
          <w:rtl/>
        </w:rPr>
        <w:t xml:space="preserve"> أو خطاب </w:t>
      </w:r>
      <w:r w:rsidR="00605226" w:rsidRPr="00282AC9">
        <w:rPr>
          <w:rFonts w:ascii="AAA GoldenLotus" w:hAnsi="AAA GoldenLotus" w:hint="cs"/>
          <w:sz w:val="27"/>
          <w:rtl/>
        </w:rPr>
        <w:t>إ</w:t>
      </w:r>
      <w:r w:rsidRPr="00282AC9">
        <w:rPr>
          <w:rFonts w:ascii="AAA GoldenLotus" w:hAnsi="AAA GoldenLotus"/>
          <w:sz w:val="27"/>
          <w:rtl/>
        </w:rPr>
        <w:t>لى شخص</w:t>
      </w:r>
      <w:r w:rsidR="00605226" w:rsidRPr="00282AC9">
        <w:rPr>
          <w:rFonts w:ascii="AAA GoldenLotus" w:hAnsi="AAA GoldenLotus" w:hint="cs"/>
          <w:sz w:val="27"/>
          <w:rtl/>
        </w:rPr>
        <w:t>ٍ</w:t>
      </w:r>
      <w:r w:rsidRPr="00282AC9">
        <w:rPr>
          <w:rFonts w:ascii="AAA GoldenLotus" w:hAnsi="AAA GoldenLotus"/>
          <w:sz w:val="27"/>
          <w:rtl/>
        </w:rPr>
        <w:t xml:space="preserve"> أو طائفة، ولم يق</w:t>
      </w:r>
      <w:r w:rsidR="00605226" w:rsidRPr="00282AC9">
        <w:rPr>
          <w:rFonts w:ascii="AAA GoldenLotus" w:hAnsi="AAA GoldenLotus" w:hint="cs"/>
          <w:sz w:val="27"/>
          <w:rtl/>
        </w:rPr>
        <w:t>ُ</w:t>
      </w:r>
      <w:r w:rsidRPr="00282AC9">
        <w:rPr>
          <w:rFonts w:ascii="AAA GoldenLotus" w:hAnsi="AAA GoldenLotus"/>
          <w:sz w:val="27"/>
          <w:rtl/>
        </w:rPr>
        <w:t>م</w:t>
      </w:r>
      <w:r w:rsidR="00605226" w:rsidRPr="00282AC9">
        <w:rPr>
          <w:rFonts w:ascii="AAA GoldenLotus" w:hAnsi="AAA GoldenLotus" w:hint="cs"/>
          <w:sz w:val="27"/>
          <w:rtl/>
        </w:rPr>
        <w:t>ْ</w:t>
      </w:r>
      <w:r w:rsidRPr="00282AC9">
        <w:rPr>
          <w:rFonts w:ascii="AAA GoldenLotus" w:hAnsi="AAA GoldenLotus"/>
          <w:sz w:val="27"/>
          <w:rtl/>
        </w:rPr>
        <w:t xml:space="preserve"> دليل</w:t>
      </w:r>
      <w:r w:rsidR="00605226" w:rsidRPr="00282AC9">
        <w:rPr>
          <w:rFonts w:ascii="AAA GoldenLotus" w:hAnsi="AAA GoldenLotus" w:hint="cs"/>
          <w:sz w:val="27"/>
          <w:rtl/>
        </w:rPr>
        <w:t>ٌ</w:t>
      </w:r>
      <w:r w:rsidRPr="00282AC9">
        <w:rPr>
          <w:rFonts w:ascii="AAA GoldenLotus" w:hAnsi="AAA GoldenLotus"/>
          <w:sz w:val="27"/>
          <w:rtl/>
        </w:rPr>
        <w:t xml:space="preserve"> على الاختصاص ولا على عدمه،</w:t>
      </w:r>
      <w:r w:rsidR="00605226" w:rsidRPr="00282AC9">
        <w:rPr>
          <w:rFonts w:ascii="AAA GoldenLotus" w:hAnsi="AAA GoldenLotus"/>
          <w:sz w:val="27"/>
          <w:rtl/>
        </w:rPr>
        <w:t xml:space="preserve"> و</w:t>
      </w:r>
      <w:r w:rsidRPr="00282AC9">
        <w:rPr>
          <w:rFonts w:ascii="AAA GoldenLotus" w:hAnsi="AAA GoldenLotus"/>
          <w:sz w:val="27"/>
          <w:rtl/>
        </w:rPr>
        <w:t>كان غير ذلك المورد أو غير ذلك الشخص أو الطائفة متّ</w:t>
      </w:r>
      <w:r w:rsidR="00605226" w:rsidRPr="00282AC9">
        <w:rPr>
          <w:rFonts w:ascii="AAA GoldenLotus" w:hAnsi="AAA GoldenLotus" w:hint="cs"/>
          <w:sz w:val="27"/>
          <w:rtl/>
        </w:rPr>
        <w:t>َ</w:t>
      </w:r>
      <w:r w:rsidRPr="00282AC9">
        <w:rPr>
          <w:rFonts w:ascii="AAA GoldenLotus" w:hAnsi="AAA GoldenLotus"/>
          <w:sz w:val="27"/>
          <w:rtl/>
        </w:rPr>
        <w:t xml:space="preserve">حداً معه في الجهات والخصوصيات، </w:t>
      </w:r>
      <w:r w:rsidRPr="00282AC9">
        <w:rPr>
          <w:rFonts w:ascii="AAA GoldenLotus" w:hAnsi="AAA GoldenLotus"/>
          <w:sz w:val="27"/>
          <w:rtl/>
        </w:rPr>
        <w:lastRenderedPageBreak/>
        <w:t>فمقتضى قاعدة الاشتراك هو العموم والشمول.</w:t>
      </w:r>
    </w:p>
    <w:p w:rsidR="00E355F2" w:rsidRPr="00282AC9" w:rsidRDefault="00E355F2" w:rsidP="00046546">
      <w:pPr>
        <w:rPr>
          <w:rFonts w:ascii="AAA GoldenLotus" w:hAnsi="AAA GoldenLotus"/>
          <w:sz w:val="27"/>
          <w:rtl/>
        </w:rPr>
      </w:pPr>
      <w:r w:rsidRPr="00282AC9">
        <w:rPr>
          <w:rFonts w:ascii="AAA GoldenLotus" w:hAnsi="AAA GoldenLotus" w:hint="cs"/>
          <w:sz w:val="27"/>
          <w:rtl/>
        </w:rPr>
        <w:t xml:space="preserve">ب </w:t>
      </w:r>
      <w:r w:rsidRPr="00282AC9">
        <w:rPr>
          <w:rFonts w:ascii="AAA GoldenLotus" w:hAnsi="AAA GoldenLotus"/>
          <w:sz w:val="27"/>
          <w:rtl/>
        </w:rPr>
        <w:t xml:space="preserve">ـ </w:t>
      </w:r>
      <w:r w:rsidRPr="00282AC9">
        <w:rPr>
          <w:rFonts w:ascii="AAA GoldenLotus" w:hAnsi="AAA GoldenLotus" w:hint="cs"/>
          <w:sz w:val="27"/>
          <w:rtl/>
        </w:rPr>
        <w:t>إ</w:t>
      </w:r>
      <w:r w:rsidRPr="00282AC9">
        <w:rPr>
          <w:rFonts w:ascii="AAA GoldenLotus" w:hAnsi="AAA GoldenLotus"/>
          <w:sz w:val="27"/>
          <w:rtl/>
        </w:rPr>
        <w:t>ذا دل</w:t>
      </w:r>
      <w:r w:rsidR="00605226" w:rsidRPr="00282AC9">
        <w:rPr>
          <w:rFonts w:ascii="AAA GoldenLotus" w:hAnsi="AAA GoldenLotus" w:hint="cs"/>
          <w:sz w:val="27"/>
          <w:rtl/>
        </w:rPr>
        <w:t>ّ</w:t>
      </w:r>
      <w:r w:rsidRPr="00282AC9">
        <w:rPr>
          <w:rFonts w:ascii="AAA GoldenLotus" w:hAnsi="AAA GoldenLotus"/>
          <w:sz w:val="27"/>
          <w:rtl/>
        </w:rPr>
        <w:t xml:space="preserve"> الدليل على بعض الفروقات في الأحكام، كالفرق بين الرجل والمرأة في ما تقد</w:t>
      </w:r>
      <w:r w:rsidR="00605226" w:rsidRPr="00282AC9">
        <w:rPr>
          <w:rFonts w:ascii="AAA GoldenLotus" w:hAnsi="AAA GoldenLotus" w:hint="cs"/>
          <w:sz w:val="27"/>
          <w:rtl/>
        </w:rPr>
        <w:t>َّ</w:t>
      </w:r>
      <w:r w:rsidRPr="00282AC9">
        <w:rPr>
          <w:rFonts w:ascii="AAA GoldenLotus" w:hAnsi="AAA GoldenLotus"/>
          <w:sz w:val="27"/>
          <w:rtl/>
        </w:rPr>
        <w:t>م من مسألة لبس المخيط والخفين، وهناك فروقات</w:t>
      </w:r>
      <w:r w:rsidR="00605226" w:rsidRPr="00282AC9">
        <w:rPr>
          <w:rFonts w:ascii="AAA GoldenLotus" w:hAnsi="AAA GoldenLotus" w:hint="cs"/>
          <w:sz w:val="27"/>
          <w:rtl/>
        </w:rPr>
        <w:t>ٌ</w:t>
      </w:r>
      <w:r w:rsidRPr="00282AC9">
        <w:rPr>
          <w:rFonts w:ascii="AAA GoldenLotus" w:hAnsi="AAA GoldenLotus"/>
          <w:sz w:val="27"/>
          <w:rtl/>
        </w:rPr>
        <w:t xml:space="preserve"> أخرى لم نذك</w:t>
      </w:r>
      <w:r w:rsidR="00605226" w:rsidRPr="00282AC9">
        <w:rPr>
          <w:rFonts w:ascii="AAA GoldenLotus" w:hAnsi="AAA GoldenLotus" w:hint="cs"/>
          <w:sz w:val="27"/>
          <w:rtl/>
        </w:rPr>
        <w:t>ُ</w:t>
      </w:r>
      <w:r w:rsidRPr="00282AC9">
        <w:rPr>
          <w:rFonts w:ascii="AAA GoldenLotus" w:hAnsi="AAA GoldenLotus"/>
          <w:sz w:val="27"/>
          <w:rtl/>
        </w:rPr>
        <w:t>ر</w:t>
      </w:r>
      <w:r w:rsidR="00605226" w:rsidRPr="00282AC9">
        <w:rPr>
          <w:rFonts w:ascii="AAA GoldenLotus" w:hAnsi="AAA GoldenLotus" w:hint="cs"/>
          <w:sz w:val="27"/>
          <w:rtl/>
        </w:rPr>
        <w:t>ْ</w:t>
      </w:r>
      <w:r w:rsidRPr="00282AC9">
        <w:rPr>
          <w:rFonts w:ascii="AAA GoldenLotus" w:hAnsi="AAA GoldenLotus"/>
          <w:sz w:val="27"/>
          <w:rtl/>
        </w:rPr>
        <w:t>ها</w:t>
      </w:r>
      <w:r w:rsidR="00605226" w:rsidRPr="00282AC9">
        <w:rPr>
          <w:rFonts w:ascii="AAA GoldenLotus" w:hAnsi="AAA GoldenLotus" w:hint="cs"/>
          <w:sz w:val="27"/>
          <w:rtl/>
        </w:rPr>
        <w:t>،</w:t>
      </w:r>
      <w:r w:rsidRPr="00282AC9">
        <w:rPr>
          <w:rFonts w:ascii="AAA GoldenLotus" w:hAnsi="AAA GoldenLotus"/>
          <w:sz w:val="27"/>
          <w:rtl/>
        </w:rPr>
        <w:t xml:space="preserve"> كمسألة الج</w:t>
      </w:r>
      <w:r w:rsidR="00605226" w:rsidRPr="00282AC9">
        <w:rPr>
          <w:rFonts w:ascii="AAA GoldenLotus" w:hAnsi="AAA GoldenLotus" w:hint="cs"/>
          <w:sz w:val="27"/>
          <w:rtl/>
        </w:rPr>
        <w:t>َ</w:t>
      </w:r>
      <w:r w:rsidRPr="00282AC9">
        <w:rPr>
          <w:rFonts w:ascii="AAA GoldenLotus" w:hAnsi="AAA GoldenLotus"/>
          <w:sz w:val="27"/>
          <w:rtl/>
        </w:rPr>
        <w:t>ه</w:t>
      </w:r>
      <w:r w:rsidR="00605226" w:rsidRPr="00282AC9">
        <w:rPr>
          <w:rFonts w:ascii="AAA GoldenLotus" w:hAnsi="AAA GoldenLotus" w:hint="cs"/>
          <w:sz w:val="27"/>
          <w:rtl/>
        </w:rPr>
        <w:t>ْ</w:t>
      </w:r>
      <w:r w:rsidRPr="00282AC9">
        <w:rPr>
          <w:rFonts w:ascii="AAA GoldenLotus" w:hAnsi="AAA GoldenLotus"/>
          <w:sz w:val="27"/>
          <w:rtl/>
        </w:rPr>
        <w:t>ر وال</w:t>
      </w:r>
      <w:r w:rsidR="00605226" w:rsidRPr="00282AC9">
        <w:rPr>
          <w:rFonts w:ascii="AAA GoldenLotus" w:hAnsi="AAA GoldenLotus" w:hint="cs"/>
          <w:sz w:val="27"/>
          <w:rtl/>
        </w:rPr>
        <w:t>إ</w:t>
      </w:r>
      <w:r w:rsidRPr="00282AC9">
        <w:rPr>
          <w:rFonts w:ascii="AAA GoldenLotus" w:hAnsi="AAA GoldenLotus"/>
          <w:sz w:val="27"/>
          <w:rtl/>
        </w:rPr>
        <w:t>خفات، وفي الستر الواجب ن</w:t>
      </w:r>
      <w:r w:rsidR="00605226" w:rsidRPr="00282AC9">
        <w:rPr>
          <w:rFonts w:ascii="AAA GoldenLotus" w:hAnsi="AAA GoldenLotus" w:hint="cs"/>
          <w:sz w:val="27"/>
          <w:rtl/>
        </w:rPr>
        <w:t>َ</w:t>
      </w:r>
      <w:r w:rsidRPr="00282AC9">
        <w:rPr>
          <w:rFonts w:ascii="AAA GoldenLotus" w:hAnsi="AAA GoldenLotus"/>
          <w:sz w:val="27"/>
          <w:rtl/>
        </w:rPr>
        <w:t>ف</w:t>
      </w:r>
      <w:r w:rsidR="00605226" w:rsidRPr="00282AC9">
        <w:rPr>
          <w:rFonts w:ascii="AAA GoldenLotus" w:hAnsi="AAA GoldenLotus" w:hint="cs"/>
          <w:sz w:val="27"/>
          <w:rtl/>
        </w:rPr>
        <w:t>ْ</w:t>
      </w:r>
      <w:r w:rsidRPr="00282AC9">
        <w:rPr>
          <w:rFonts w:ascii="AAA GoldenLotus" w:hAnsi="AAA GoldenLotus"/>
          <w:sz w:val="27"/>
          <w:rtl/>
        </w:rPr>
        <w:t>ساً أو ش</w:t>
      </w:r>
      <w:r w:rsidR="00605226" w:rsidRPr="00282AC9">
        <w:rPr>
          <w:rFonts w:ascii="AAA GoldenLotus" w:hAnsi="AAA GoldenLotus" w:hint="cs"/>
          <w:sz w:val="27"/>
          <w:rtl/>
        </w:rPr>
        <w:t>َ</w:t>
      </w:r>
      <w:r w:rsidRPr="00282AC9">
        <w:rPr>
          <w:rFonts w:ascii="AAA GoldenLotus" w:hAnsi="AAA GoldenLotus"/>
          <w:sz w:val="27"/>
          <w:rtl/>
        </w:rPr>
        <w:t>ر</w:t>
      </w:r>
      <w:r w:rsidR="00605226" w:rsidRPr="00282AC9">
        <w:rPr>
          <w:rFonts w:ascii="AAA GoldenLotus" w:hAnsi="AAA GoldenLotus" w:hint="cs"/>
          <w:sz w:val="27"/>
          <w:rtl/>
        </w:rPr>
        <w:t>ْ</w:t>
      </w:r>
      <w:r w:rsidRPr="00282AC9">
        <w:rPr>
          <w:rFonts w:ascii="AAA GoldenLotus" w:hAnsi="AAA GoldenLotus"/>
          <w:sz w:val="27"/>
          <w:rtl/>
        </w:rPr>
        <w:t>طاً، وكذا في باب الوضوء</w:t>
      </w:r>
      <w:r w:rsidR="00605226" w:rsidRPr="00282AC9">
        <w:rPr>
          <w:rFonts w:ascii="AAA GoldenLotus" w:hAnsi="AAA GoldenLotus" w:hint="cs"/>
          <w:sz w:val="27"/>
          <w:rtl/>
        </w:rPr>
        <w:t>،</w:t>
      </w:r>
      <w:r w:rsidRPr="00282AC9">
        <w:rPr>
          <w:rFonts w:ascii="AAA GoldenLotus" w:hAnsi="AAA GoldenLotus"/>
          <w:sz w:val="27"/>
          <w:rtl/>
        </w:rPr>
        <w:t xml:space="preserve"> وباب الحج</w:t>
      </w:r>
      <w:r w:rsidR="00605226" w:rsidRPr="00282AC9">
        <w:rPr>
          <w:rFonts w:ascii="AAA GoldenLotus" w:hAnsi="AAA GoldenLotus" w:hint="cs"/>
          <w:sz w:val="27"/>
          <w:rtl/>
        </w:rPr>
        <w:t>ّ</w:t>
      </w:r>
      <w:r w:rsidRPr="00282AC9">
        <w:rPr>
          <w:rFonts w:ascii="AAA GoldenLotus" w:hAnsi="AAA GoldenLotus"/>
          <w:sz w:val="27"/>
          <w:rtl/>
        </w:rPr>
        <w:t xml:space="preserve">، </w:t>
      </w:r>
      <w:r w:rsidR="00605226" w:rsidRPr="00282AC9">
        <w:rPr>
          <w:rFonts w:ascii="AAA GoldenLotus" w:hAnsi="AAA GoldenLotus" w:hint="cs"/>
          <w:sz w:val="27"/>
          <w:rtl/>
        </w:rPr>
        <w:t>و</w:t>
      </w:r>
      <w:r w:rsidRPr="00282AC9">
        <w:rPr>
          <w:rFonts w:ascii="AAA GoldenLotus" w:hAnsi="AAA GoldenLotus"/>
          <w:sz w:val="27"/>
          <w:rtl/>
        </w:rPr>
        <w:t>باب الجهاد</w:t>
      </w:r>
      <w:r w:rsidR="00605226" w:rsidRPr="00282AC9">
        <w:rPr>
          <w:rFonts w:ascii="AAA GoldenLotus" w:hAnsi="AAA GoldenLotus" w:hint="cs"/>
          <w:sz w:val="27"/>
          <w:rtl/>
        </w:rPr>
        <w:t>،</w:t>
      </w:r>
      <w:r w:rsidRPr="00282AC9">
        <w:rPr>
          <w:rFonts w:ascii="AAA GoldenLotus" w:hAnsi="AAA GoldenLotus"/>
          <w:sz w:val="27"/>
          <w:rtl/>
        </w:rPr>
        <w:t xml:space="preserve"> وأمثال ذلك، فلا يكون مثله مورداً للقاعدة حت</w:t>
      </w:r>
      <w:r w:rsidR="00605226" w:rsidRPr="00282AC9">
        <w:rPr>
          <w:rFonts w:ascii="AAA GoldenLotus" w:hAnsi="AAA GoldenLotus" w:hint="cs"/>
          <w:sz w:val="27"/>
          <w:rtl/>
        </w:rPr>
        <w:t>ّ</w:t>
      </w:r>
      <w:r w:rsidRPr="00282AC9">
        <w:rPr>
          <w:rFonts w:ascii="AAA GoldenLotus" w:hAnsi="AAA GoldenLotus"/>
          <w:sz w:val="27"/>
          <w:rtl/>
        </w:rPr>
        <w:t>ى يكون خارجاً عنها؛ لأن الدليل بنفسه دال</w:t>
      </w:r>
      <w:r w:rsidR="00605226" w:rsidRPr="00282AC9">
        <w:rPr>
          <w:rFonts w:ascii="AAA GoldenLotus" w:hAnsi="AAA GoldenLotus" w:hint="cs"/>
          <w:sz w:val="27"/>
          <w:rtl/>
        </w:rPr>
        <w:t>ٌّ</w:t>
      </w:r>
      <w:r w:rsidRPr="00282AC9">
        <w:rPr>
          <w:rFonts w:ascii="AAA GoldenLotus" w:hAnsi="AAA GoldenLotus"/>
          <w:sz w:val="27"/>
          <w:rtl/>
        </w:rPr>
        <w:t xml:space="preserve"> على الاختصاص؛ حيث لا يمكن أن ي</w:t>
      </w:r>
      <w:r w:rsidR="00605226" w:rsidRPr="00282AC9">
        <w:rPr>
          <w:rFonts w:ascii="AAA GoldenLotus" w:hAnsi="AAA GoldenLotus" w:hint="cs"/>
          <w:sz w:val="27"/>
          <w:rtl/>
        </w:rPr>
        <w:t>ُ</w:t>
      </w:r>
      <w:r w:rsidRPr="00282AC9">
        <w:rPr>
          <w:rFonts w:ascii="AAA GoldenLotus" w:hAnsi="AAA GoldenLotus"/>
          <w:sz w:val="27"/>
          <w:rtl/>
        </w:rPr>
        <w:t>قال: إن المسافر والحاضر خارجان عن القاعدة تخصيصاً؛ كذلك المستطيع وغير المستطيع في باب الحج</w:t>
      </w:r>
      <w:r w:rsidR="0018253C" w:rsidRPr="00282AC9">
        <w:rPr>
          <w:rFonts w:ascii="AAA GoldenLotus" w:hAnsi="AAA GoldenLotus" w:hint="cs"/>
          <w:sz w:val="27"/>
          <w:rtl/>
        </w:rPr>
        <w:t>ّ،</w:t>
      </w:r>
      <w:r w:rsidRPr="00282AC9">
        <w:rPr>
          <w:rFonts w:ascii="AAA GoldenLotus" w:hAnsi="AAA GoldenLotus"/>
          <w:sz w:val="27"/>
          <w:rtl/>
        </w:rPr>
        <w:t xml:space="preserve"> أو العناوين التسعة المرفوعة في حديث الرفع</w:t>
      </w:r>
      <w:r w:rsidRPr="00282AC9">
        <w:rPr>
          <w:rFonts w:ascii="Times New Roman" w:hAnsi="Times New Roman" w:hint="cs"/>
          <w:sz w:val="27"/>
          <w:rtl/>
        </w:rPr>
        <w:t>‌</w:t>
      </w:r>
      <w:r w:rsidRPr="00282AC9">
        <w:rPr>
          <w:rFonts w:ascii="AAA GoldenLotus" w:hAnsi="AAA GoldenLotus" w:hint="cs"/>
          <w:sz w:val="27"/>
          <w:rtl/>
        </w:rPr>
        <w:t>؛</w:t>
      </w:r>
      <w:r w:rsidRPr="00282AC9">
        <w:rPr>
          <w:rFonts w:ascii="AAA GoldenLotus" w:hAnsi="AAA GoldenLotus"/>
          <w:sz w:val="27"/>
          <w:rtl/>
        </w:rPr>
        <w:t xml:space="preserve"> لأن رفع الحرمة عن شرب الخمر الواقع </w:t>
      </w:r>
      <w:r w:rsidR="0018253C" w:rsidRPr="00282AC9">
        <w:rPr>
          <w:rFonts w:ascii="AAA GoldenLotus" w:hAnsi="AAA GoldenLotus" w:hint="cs"/>
          <w:sz w:val="27"/>
          <w:rtl/>
        </w:rPr>
        <w:t>إ</w:t>
      </w:r>
      <w:r w:rsidRPr="00282AC9">
        <w:rPr>
          <w:rFonts w:ascii="AAA GoldenLotus" w:hAnsi="AAA GoldenLotus"/>
          <w:sz w:val="27"/>
          <w:rtl/>
        </w:rPr>
        <w:t>كراهاً لا يعتبر خروجاً عن القاعدة</w:t>
      </w:r>
      <w:r w:rsidR="0018253C" w:rsidRPr="00282AC9">
        <w:rPr>
          <w:rFonts w:ascii="AAA GoldenLotus" w:hAnsi="AAA GoldenLotus" w:hint="cs"/>
          <w:sz w:val="27"/>
          <w:rtl/>
        </w:rPr>
        <w:t>؛ ف</w:t>
      </w:r>
      <w:r w:rsidRPr="00282AC9">
        <w:rPr>
          <w:rFonts w:ascii="AAA GoldenLotus" w:hAnsi="AAA GoldenLotus"/>
          <w:sz w:val="27"/>
          <w:rtl/>
        </w:rPr>
        <w:t>من الواضح أن المسألة خلاف ذلك؛ كما أن قيام الدليل على اختصاص حكم</w:t>
      </w:r>
      <w:r w:rsidR="0018253C" w:rsidRPr="00282AC9">
        <w:rPr>
          <w:rFonts w:ascii="AAA GoldenLotus" w:hAnsi="AAA GoldenLotus" w:hint="cs"/>
          <w:sz w:val="27"/>
          <w:rtl/>
        </w:rPr>
        <w:t>ٍ</w:t>
      </w:r>
      <w:r w:rsidRPr="00282AC9">
        <w:rPr>
          <w:rFonts w:ascii="AAA GoldenLotus" w:hAnsi="AAA GoldenLotus"/>
          <w:sz w:val="27"/>
          <w:rtl/>
        </w:rPr>
        <w:t xml:space="preserve"> بعنوان</w:t>
      </w:r>
      <w:r w:rsidR="0018253C" w:rsidRPr="00282AC9">
        <w:rPr>
          <w:rFonts w:ascii="AAA GoldenLotus" w:hAnsi="AAA GoldenLotus" w:hint="cs"/>
          <w:sz w:val="27"/>
          <w:rtl/>
        </w:rPr>
        <w:t>ٍ،</w:t>
      </w:r>
      <w:r w:rsidRPr="00282AC9">
        <w:rPr>
          <w:rFonts w:ascii="AAA GoldenLotus" w:hAnsi="AAA GoldenLotus"/>
          <w:sz w:val="27"/>
          <w:rtl/>
        </w:rPr>
        <w:t xml:space="preserve"> واعتبار القيود المأخوذة في جانب موضوع الحكم</w:t>
      </w:r>
      <w:r w:rsidR="0018253C" w:rsidRPr="00282AC9">
        <w:rPr>
          <w:rFonts w:ascii="AAA GoldenLotus" w:hAnsi="AAA GoldenLotus" w:hint="cs"/>
          <w:sz w:val="27"/>
          <w:rtl/>
        </w:rPr>
        <w:t>،</w:t>
      </w:r>
      <w:r w:rsidRPr="00282AC9">
        <w:rPr>
          <w:rFonts w:ascii="AAA GoldenLotus" w:hAnsi="AAA GoldenLotus"/>
          <w:sz w:val="27"/>
          <w:rtl/>
        </w:rPr>
        <w:t xml:space="preserve"> يوجب عدم ات</w:t>
      </w:r>
      <w:r w:rsidR="0018253C" w:rsidRPr="00282AC9">
        <w:rPr>
          <w:rFonts w:ascii="AAA GoldenLotus" w:hAnsi="AAA GoldenLotus" w:hint="cs"/>
          <w:sz w:val="27"/>
          <w:rtl/>
        </w:rPr>
        <w:t>ّ</w:t>
      </w:r>
      <w:r w:rsidRPr="00282AC9">
        <w:rPr>
          <w:rFonts w:ascii="AAA GoldenLotus" w:hAnsi="AAA GoldenLotus"/>
          <w:sz w:val="27"/>
          <w:rtl/>
        </w:rPr>
        <w:t>حاد الصنف، ويكون خارجاً عن مجرى القاعدة موضوعاً وتخصّ</w:t>
      </w:r>
      <w:r w:rsidR="0018253C" w:rsidRPr="00282AC9">
        <w:rPr>
          <w:rFonts w:ascii="AAA GoldenLotus" w:hAnsi="AAA GoldenLotus" w:hint="cs"/>
          <w:sz w:val="27"/>
          <w:rtl/>
        </w:rPr>
        <w:t>ُ</w:t>
      </w:r>
      <w:r w:rsidR="0018253C" w:rsidRPr="00282AC9">
        <w:rPr>
          <w:rFonts w:ascii="AAA GoldenLotus" w:hAnsi="AAA GoldenLotus"/>
          <w:sz w:val="27"/>
          <w:rtl/>
        </w:rPr>
        <w:t>صاً</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92"/>
      </w:r>
      <w:r w:rsidRPr="00282AC9">
        <w:rPr>
          <w:rFonts w:ascii="AAA GoldenLotus" w:hAnsi="AAA GoldenLotus"/>
          <w:sz w:val="27"/>
          <w:vertAlign w:val="superscript"/>
          <w:rtl/>
        </w:rPr>
        <w:t>)</w:t>
      </w:r>
      <w:r w:rsidRPr="00282AC9">
        <w:rPr>
          <w:rFonts w:ascii="AAA GoldenLotus" w:hAnsi="AAA GoldenLotus"/>
          <w:sz w:val="27"/>
          <w:rtl/>
        </w:rPr>
        <w:t>. وعلى حدّ تعبير البجنوردي</w:t>
      </w:r>
      <w:r w:rsidR="0018253C" w:rsidRPr="00282AC9">
        <w:rPr>
          <w:rFonts w:ascii="AAA GoldenLotus" w:hAnsi="AAA GoldenLotus" w:hint="cs"/>
          <w:sz w:val="27"/>
          <w:rtl/>
        </w:rPr>
        <w:t>:</w:t>
      </w:r>
      <w:r w:rsidRPr="00282AC9">
        <w:rPr>
          <w:rFonts w:ascii="AAA GoldenLotus" w:hAnsi="AAA GoldenLotus"/>
          <w:sz w:val="27"/>
          <w:rtl/>
        </w:rPr>
        <w:t xml:space="preserve"> إن </w:t>
      </w:r>
      <w:r w:rsidR="0018253C" w:rsidRPr="00282AC9">
        <w:rPr>
          <w:rFonts w:hint="eastAsia"/>
          <w:sz w:val="24"/>
          <w:szCs w:val="24"/>
          <w:rtl/>
        </w:rPr>
        <w:t>«</w:t>
      </w:r>
      <w:r w:rsidRPr="00282AC9">
        <w:rPr>
          <w:rFonts w:ascii="AAA GoldenLotus" w:hAnsi="AAA GoldenLotus"/>
          <w:sz w:val="27"/>
          <w:rtl/>
        </w:rPr>
        <w:t>القيود المأخوذة في جانب موضوع الحكم يوجب عدم ات</w:t>
      </w:r>
      <w:r w:rsidR="0018253C" w:rsidRPr="00282AC9">
        <w:rPr>
          <w:rFonts w:ascii="AAA GoldenLotus" w:hAnsi="AAA GoldenLotus" w:hint="cs"/>
          <w:sz w:val="27"/>
          <w:rtl/>
        </w:rPr>
        <w:t>ّ</w:t>
      </w:r>
      <w:r w:rsidRPr="00282AC9">
        <w:rPr>
          <w:rFonts w:ascii="AAA GoldenLotus" w:hAnsi="AAA GoldenLotus"/>
          <w:sz w:val="27"/>
          <w:rtl/>
        </w:rPr>
        <w:t>حاد الصنف</w:t>
      </w:r>
      <w:r w:rsidR="0018253C" w:rsidRPr="00282AC9">
        <w:rPr>
          <w:rFonts w:ascii="AAA GoldenLotus" w:hAnsi="AAA GoldenLotus" w:hint="cs"/>
          <w:sz w:val="27"/>
          <w:rtl/>
        </w:rPr>
        <w:t>،</w:t>
      </w:r>
      <w:r w:rsidRPr="00282AC9">
        <w:rPr>
          <w:rFonts w:ascii="AAA GoldenLotus" w:hAnsi="AAA GoldenLotus"/>
          <w:sz w:val="27"/>
          <w:rtl/>
        </w:rPr>
        <w:t xml:space="preserve"> ويكون خارجاً عن موضوع قاعدة الاشتراك بالتخص</w:t>
      </w:r>
      <w:r w:rsidR="0018253C" w:rsidRPr="00282AC9">
        <w:rPr>
          <w:rFonts w:ascii="AAA GoldenLotus" w:hAnsi="AAA GoldenLotus" w:hint="cs"/>
          <w:sz w:val="27"/>
          <w:rtl/>
        </w:rPr>
        <w:t>ُّ</w:t>
      </w:r>
      <w:r w:rsidRPr="00282AC9">
        <w:rPr>
          <w:rFonts w:ascii="AAA GoldenLotus" w:hAnsi="AAA GoldenLotus"/>
          <w:sz w:val="27"/>
          <w:rtl/>
        </w:rPr>
        <w:t>ص</w:t>
      </w:r>
      <w:r w:rsidR="0018253C" w:rsidRPr="00282AC9">
        <w:rPr>
          <w:rFonts w:ascii="AAA GoldenLotus" w:hAnsi="AAA GoldenLotus" w:hint="cs"/>
          <w:sz w:val="27"/>
          <w:rtl/>
        </w:rPr>
        <w:t>،</w:t>
      </w:r>
      <w:r w:rsidRPr="00282AC9">
        <w:rPr>
          <w:rFonts w:ascii="AAA GoldenLotus" w:hAnsi="AAA GoldenLotus"/>
          <w:sz w:val="27"/>
          <w:rtl/>
        </w:rPr>
        <w:t xml:space="preserve"> لا بالتخصيص</w:t>
      </w:r>
      <w:r w:rsidR="0018253C"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93"/>
      </w:r>
      <w:r w:rsidRPr="00282AC9">
        <w:rPr>
          <w:rFonts w:ascii="AAA GoldenLotus" w:hAnsi="AAA GoldenLotus"/>
          <w:sz w:val="27"/>
          <w:vertAlign w:val="superscript"/>
          <w:rtl/>
        </w:rPr>
        <w:t>)</w:t>
      </w:r>
      <w:r w:rsidR="0018253C" w:rsidRPr="00282AC9">
        <w:rPr>
          <w:rFonts w:ascii="AAA GoldenLotus" w:hAnsi="AAA GoldenLotus" w:hint="cs"/>
          <w:sz w:val="27"/>
          <w:rtl/>
        </w:rPr>
        <w:t>.</w:t>
      </w:r>
      <w:r w:rsidRPr="00282AC9">
        <w:rPr>
          <w:rFonts w:ascii="AAA GoldenLotus" w:hAnsi="AAA GoldenLotus"/>
          <w:sz w:val="27"/>
          <w:rtl/>
        </w:rPr>
        <w:t xml:space="preserve"> والمفروض أن من شرائط جريان القاعدة اتحاد الصنف، ومع عدمه </w:t>
      </w:r>
      <w:r w:rsidR="0018253C" w:rsidRPr="00282AC9">
        <w:rPr>
          <w:rFonts w:ascii="AAA GoldenLotus" w:hAnsi="AAA GoldenLotus" w:hint="cs"/>
          <w:sz w:val="27"/>
          <w:rtl/>
        </w:rPr>
        <w:t xml:space="preserve">ـ </w:t>
      </w:r>
      <w:r w:rsidRPr="00282AC9">
        <w:rPr>
          <w:rFonts w:ascii="AAA GoldenLotus" w:hAnsi="AAA GoldenLotus"/>
          <w:sz w:val="27"/>
          <w:rtl/>
        </w:rPr>
        <w:t xml:space="preserve">الذي قد ينشأ من القيود والأوصاف الملحوظة في موضوع الحكم </w:t>
      </w:r>
      <w:r w:rsidR="0018253C" w:rsidRPr="00282AC9">
        <w:rPr>
          <w:rFonts w:ascii="AAA GoldenLotus" w:hAnsi="AAA GoldenLotus" w:hint="cs"/>
          <w:sz w:val="27"/>
          <w:rtl/>
        </w:rPr>
        <w:t xml:space="preserve">ـ </w:t>
      </w:r>
      <w:r w:rsidRPr="00282AC9">
        <w:rPr>
          <w:rFonts w:ascii="AAA GoldenLotus" w:hAnsi="AAA GoldenLotus"/>
          <w:sz w:val="27"/>
          <w:rtl/>
        </w:rPr>
        <w:t>لا يكون المورد من موارد القاعدة أصلاً.</w:t>
      </w:r>
    </w:p>
    <w:p w:rsidR="009C287D" w:rsidRPr="00282AC9" w:rsidRDefault="009C287D" w:rsidP="009C287D">
      <w:pPr>
        <w:spacing w:line="420" w:lineRule="exact"/>
        <w:rPr>
          <w:rtl/>
        </w:rPr>
      </w:pPr>
      <w:bookmarkStart w:id="43" w:name="_Toc30695482"/>
      <w:bookmarkStart w:id="44" w:name="_Toc33819762"/>
    </w:p>
    <w:p w:rsidR="00E355F2" w:rsidRPr="00282AC9" w:rsidRDefault="00E355F2" w:rsidP="007D08F4">
      <w:pPr>
        <w:pStyle w:val="31"/>
        <w:rPr>
          <w:color w:val="auto"/>
          <w:rtl/>
        </w:rPr>
      </w:pPr>
      <w:r w:rsidRPr="00282AC9">
        <w:rPr>
          <w:rFonts w:hint="cs"/>
          <w:color w:val="auto"/>
          <w:rtl/>
        </w:rPr>
        <w:t xml:space="preserve">ثانياً: </w:t>
      </w:r>
      <w:r w:rsidRPr="00282AC9">
        <w:rPr>
          <w:color w:val="auto"/>
          <w:rtl/>
        </w:rPr>
        <w:t>عند جمهور المذاهب</w:t>
      </w:r>
      <w:bookmarkEnd w:id="43"/>
      <w:bookmarkEnd w:id="44"/>
      <w:r w:rsidRPr="00282AC9">
        <w:rPr>
          <w:color w:val="auto"/>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إنّ وجود استثناءات</w:t>
      </w:r>
      <w:r w:rsidR="0018253C" w:rsidRPr="00282AC9">
        <w:rPr>
          <w:rFonts w:ascii="AAA GoldenLotus" w:hAnsi="AAA GoldenLotus" w:hint="cs"/>
          <w:sz w:val="27"/>
          <w:rtl/>
        </w:rPr>
        <w:t>ٍ</w:t>
      </w:r>
      <w:r w:rsidRPr="00282AC9">
        <w:rPr>
          <w:rFonts w:ascii="AAA GoldenLotus" w:hAnsi="AAA GoldenLotus"/>
          <w:sz w:val="27"/>
          <w:rtl/>
        </w:rPr>
        <w:t xml:space="preserve"> كثيرة للقاعدة الفقهي</w:t>
      </w:r>
      <w:r w:rsidR="0018253C" w:rsidRPr="00282AC9">
        <w:rPr>
          <w:rFonts w:ascii="AAA GoldenLotus" w:hAnsi="AAA GoldenLotus" w:hint="cs"/>
          <w:sz w:val="27"/>
          <w:rtl/>
        </w:rPr>
        <w:t>ّ</w:t>
      </w:r>
      <w:r w:rsidRPr="00282AC9">
        <w:rPr>
          <w:rFonts w:ascii="AAA GoldenLotus" w:hAnsi="AAA GoldenLotus"/>
          <w:sz w:val="27"/>
          <w:rtl/>
        </w:rPr>
        <w:t>ة بشكل</w:t>
      </w:r>
      <w:r w:rsidR="0018253C" w:rsidRPr="00282AC9">
        <w:rPr>
          <w:rFonts w:ascii="AAA GoldenLotus" w:hAnsi="AAA GoldenLotus" w:hint="cs"/>
          <w:sz w:val="27"/>
          <w:rtl/>
        </w:rPr>
        <w:t>ٍ</w:t>
      </w:r>
      <w:r w:rsidRPr="00282AC9">
        <w:rPr>
          <w:rFonts w:ascii="AAA GoldenLotus" w:hAnsi="AAA GoldenLotus"/>
          <w:sz w:val="27"/>
          <w:rtl/>
        </w:rPr>
        <w:t xml:space="preserve"> عام</w:t>
      </w:r>
      <w:r w:rsidR="0018253C" w:rsidRPr="00282AC9">
        <w:rPr>
          <w:rFonts w:ascii="AAA GoldenLotus" w:hAnsi="AAA GoldenLotus" w:hint="cs"/>
          <w:sz w:val="27"/>
          <w:rtl/>
        </w:rPr>
        <w:t>ّ</w:t>
      </w:r>
      <w:r w:rsidRPr="00282AC9">
        <w:rPr>
          <w:rFonts w:ascii="AAA GoldenLotus" w:hAnsi="AAA GoldenLotus"/>
          <w:sz w:val="27"/>
          <w:rtl/>
        </w:rPr>
        <w:t xml:space="preserve"> مسألة</w:t>
      </w:r>
      <w:r w:rsidR="0018253C" w:rsidRPr="00282AC9">
        <w:rPr>
          <w:rFonts w:ascii="AAA GoldenLotus" w:hAnsi="AAA GoldenLotus" w:hint="cs"/>
          <w:sz w:val="27"/>
          <w:rtl/>
        </w:rPr>
        <w:t>ٌ</w:t>
      </w:r>
      <w:r w:rsidRPr="00282AC9">
        <w:rPr>
          <w:rFonts w:ascii="AAA GoldenLotus" w:hAnsi="AAA GoldenLotus"/>
          <w:sz w:val="27"/>
          <w:rtl/>
        </w:rPr>
        <w:t xml:space="preserve"> أثارت الج</w:t>
      </w:r>
      <w:r w:rsidR="0018253C" w:rsidRPr="00282AC9">
        <w:rPr>
          <w:rFonts w:ascii="AAA GoldenLotus" w:hAnsi="AAA GoldenLotus" w:hint="cs"/>
          <w:sz w:val="27"/>
          <w:rtl/>
        </w:rPr>
        <w:t>َ</w:t>
      </w:r>
      <w:r w:rsidRPr="00282AC9">
        <w:rPr>
          <w:rFonts w:ascii="AAA GoldenLotus" w:hAnsi="AAA GoldenLotus"/>
          <w:sz w:val="27"/>
          <w:rtl/>
        </w:rPr>
        <w:t>د</w:t>
      </w:r>
      <w:r w:rsidR="0018253C" w:rsidRPr="00282AC9">
        <w:rPr>
          <w:rFonts w:ascii="AAA GoldenLotus" w:hAnsi="AAA GoldenLotus" w:hint="cs"/>
          <w:sz w:val="27"/>
          <w:rtl/>
        </w:rPr>
        <w:t>َ</w:t>
      </w:r>
      <w:r w:rsidRPr="00282AC9">
        <w:rPr>
          <w:rFonts w:ascii="AAA GoldenLotus" w:hAnsi="AAA GoldenLotus"/>
          <w:sz w:val="27"/>
          <w:rtl/>
        </w:rPr>
        <w:t>ل في وسط علماء مذاهب العام</w:t>
      </w:r>
      <w:r w:rsidR="0018253C" w:rsidRPr="00282AC9">
        <w:rPr>
          <w:rFonts w:ascii="AAA GoldenLotus" w:hAnsi="AAA GoldenLotus" w:hint="cs"/>
          <w:sz w:val="27"/>
          <w:rtl/>
        </w:rPr>
        <w:t>ّ</w:t>
      </w:r>
      <w:r w:rsidRPr="00282AC9">
        <w:rPr>
          <w:rFonts w:ascii="AAA GoldenLotus" w:hAnsi="AAA GoldenLotus"/>
          <w:sz w:val="27"/>
          <w:rtl/>
        </w:rPr>
        <w:t>ة، واعتُبرت من أعوص المشاكل التي تشك</w:t>
      </w:r>
      <w:r w:rsidR="0018253C" w:rsidRPr="00282AC9">
        <w:rPr>
          <w:rFonts w:ascii="AAA GoldenLotus" w:hAnsi="AAA GoldenLotus" w:hint="cs"/>
          <w:sz w:val="27"/>
          <w:rtl/>
        </w:rPr>
        <w:t>ِّ</w:t>
      </w:r>
      <w:r w:rsidRPr="00282AC9">
        <w:rPr>
          <w:rFonts w:ascii="AAA GoldenLotus" w:hAnsi="AAA GoldenLotus"/>
          <w:sz w:val="27"/>
          <w:rtl/>
        </w:rPr>
        <w:t>ل خ</w:t>
      </w:r>
      <w:r w:rsidR="0018253C" w:rsidRPr="00282AC9">
        <w:rPr>
          <w:rFonts w:ascii="AAA GoldenLotus" w:hAnsi="AAA GoldenLotus" w:hint="cs"/>
          <w:sz w:val="27"/>
          <w:rtl/>
        </w:rPr>
        <w:t>َ</w:t>
      </w:r>
      <w:r w:rsidRPr="00282AC9">
        <w:rPr>
          <w:rFonts w:ascii="AAA GoldenLotus" w:hAnsi="AAA GoldenLotus"/>
          <w:sz w:val="27"/>
          <w:rtl/>
        </w:rPr>
        <w:t>ط</w:t>
      </w:r>
      <w:r w:rsidR="0018253C" w:rsidRPr="00282AC9">
        <w:rPr>
          <w:rFonts w:ascii="AAA GoldenLotus" w:hAnsi="AAA GoldenLotus" w:hint="cs"/>
          <w:sz w:val="27"/>
          <w:rtl/>
        </w:rPr>
        <w:t>َ</w:t>
      </w:r>
      <w:r w:rsidRPr="00282AC9">
        <w:rPr>
          <w:rFonts w:ascii="AAA GoldenLotus" w:hAnsi="AAA GoldenLotus"/>
          <w:sz w:val="27"/>
          <w:rtl/>
        </w:rPr>
        <w:t>راً على أي</w:t>
      </w:r>
      <w:r w:rsidR="0018253C" w:rsidRPr="00282AC9">
        <w:rPr>
          <w:rFonts w:ascii="AAA GoldenLotus" w:hAnsi="AAA GoldenLotus" w:hint="cs"/>
          <w:sz w:val="27"/>
          <w:rtl/>
        </w:rPr>
        <w:t>ّ</w:t>
      </w:r>
      <w:r w:rsidRPr="00282AC9">
        <w:rPr>
          <w:rFonts w:ascii="AAA GoldenLotus" w:hAnsi="AAA GoldenLotus"/>
          <w:sz w:val="27"/>
          <w:rtl/>
        </w:rPr>
        <w:t xml:space="preserve"> قاعدة</w:t>
      </w:r>
      <w:r w:rsidR="0018253C" w:rsidRPr="00282AC9">
        <w:rPr>
          <w:rFonts w:ascii="AAA GoldenLotus" w:hAnsi="AAA GoldenLotus" w:hint="cs"/>
          <w:sz w:val="27"/>
          <w:rtl/>
        </w:rPr>
        <w:t>ٍ</w:t>
      </w:r>
      <w:r w:rsidRPr="00282AC9">
        <w:rPr>
          <w:rFonts w:ascii="AAA GoldenLotus" w:hAnsi="AAA GoldenLotus"/>
          <w:sz w:val="27"/>
          <w:rtl/>
        </w:rPr>
        <w:t xml:space="preserve"> فقهية؛ لأنه يؤث</w:t>
      </w:r>
      <w:r w:rsidR="0018253C" w:rsidRPr="00282AC9">
        <w:rPr>
          <w:rFonts w:ascii="AAA GoldenLotus" w:hAnsi="AAA GoldenLotus" w:hint="cs"/>
          <w:sz w:val="27"/>
          <w:rtl/>
        </w:rPr>
        <w:t>ِّ</w:t>
      </w:r>
      <w:r w:rsidRPr="00282AC9">
        <w:rPr>
          <w:rFonts w:ascii="AAA GoldenLotus" w:hAnsi="AAA GoldenLotus"/>
          <w:sz w:val="27"/>
          <w:rtl/>
        </w:rPr>
        <w:t>ر على عمومي</w:t>
      </w:r>
      <w:r w:rsidR="0018253C" w:rsidRPr="00282AC9">
        <w:rPr>
          <w:rFonts w:ascii="AAA GoldenLotus" w:hAnsi="AAA GoldenLotus" w:hint="cs"/>
          <w:sz w:val="27"/>
          <w:rtl/>
        </w:rPr>
        <w:t>ّ</w:t>
      </w:r>
      <w:r w:rsidRPr="00282AC9">
        <w:rPr>
          <w:rFonts w:ascii="AAA GoldenLotus" w:hAnsi="AAA GoldenLotus"/>
          <w:sz w:val="27"/>
          <w:rtl/>
        </w:rPr>
        <w:t>تها واط</w:t>
      </w:r>
      <w:r w:rsidR="0018253C" w:rsidRPr="00282AC9">
        <w:rPr>
          <w:rFonts w:ascii="AAA GoldenLotus" w:hAnsi="AAA GoldenLotus" w:hint="cs"/>
          <w:sz w:val="27"/>
          <w:rtl/>
        </w:rPr>
        <w:t>ّ</w:t>
      </w:r>
      <w:r w:rsidRPr="00282AC9">
        <w:rPr>
          <w:rFonts w:ascii="AAA GoldenLotus" w:hAnsi="AAA GoldenLotus"/>
          <w:sz w:val="27"/>
          <w:rtl/>
        </w:rPr>
        <w:t>رادها</w:t>
      </w:r>
      <w:r w:rsidR="0018253C" w:rsidRPr="00282AC9">
        <w:rPr>
          <w:rFonts w:ascii="AAA GoldenLotus" w:hAnsi="AAA GoldenLotus" w:hint="cs"/>
          <w:sz w:val="27"/>
          <w:rtl/>
        </w:rPr>
        <w:t xml:space="preserve">. </w:t>
      </w:r>
      <w:r w:rsidRPr="00282AC9">
        <w:rPr>
          <w:rFonts w:ascii="AAA GoldenLotus" w:hAnsi="AAA GoldenLotus"/>
          <w:sz w:val="27"/>
          <w:rtl/>
        </w:rPr>
        <w:t>فالفقيه كل</w:t>
      </w:r>
      <w:r w:rsidR="0018253C" w:rsidRPr="00282AC9">
        <w:rPr>
          <w:rFonts w:ascii="AAA GoldenLotus" w:hAnsi="AAA GoldenLotus" w:hint="cs"/>
          <w:sz w:val="27"/>
          <w:rtl/>
        </w:rPr>
        <w:t>ّ</w:t>
      </w:r>
      <w:r w:rsidRPr="00282AC9">
        <w:rPr>
          <w:rFonts w:ascii="AAA GoldenLotus" w:hAnsi="AAA GoldenLotus"/>
          <w:sz w:val="27"/>
          <w:rtl/>
        </w:rPr>
        <w:t>ما حدث</w:t>
      </w:r>
      <w:r w:rsidR="0018253C" w:rsidRPr="00282AC9">
        <w:rPr>
          <w:rFonts w:ascii="AAA GoldenLotus" w:hAnsi="AAA GoldenLotus" w:hint="cs"/>
          <w:sz w:val="27"/>
          <w:rtl/>
        </w:rPr>
        <w:t>َ</w:t>
      </w:r>
      <w:r w:rsidRPr="00282AC9">
        <w:rPr>
          <w:rFonts w:ascii="AAA GoldenLotus" w:hAnsi="AAA GoldenLotus"/>
          <w:sz w:val="27"/>
          <w:rtl/>
        </w:rPr>
        <w:t>ت</w:t>
      </w:r>
      <w:r w:rsidR="0018253C" w:rsidRPr="00282AC9">
        <w:rPr>
          <w:rFonts w:ascii="AAA GoldenLotus" w:hAnsi="AAA GoldenLotus" w:hint="cs"/>
          <w:sz w:val="27"/>
          <w:rtl/>
        </w:rPr>
        <w:t>ْ</w:t>
      </w:r>
      <w:r w:rsidRPr="00282AC9">
        <w:rPr>
          <w:rFonts w:ascii="AAA GoldenLotus" w:hAnsi="AAA GoldenLotus"/>
          <w:sz w:val="27"/>
          <w:rtl/>
        </w:rPr>
        <w:t xml:space="preserve"> له حادثة</w:t>
      </w:r>
      <w:r w:rsidR="0018253C" w:rsidRPr="00282AC9">
        <w:rPr>
          <w:rFonts w:ascii="AAA GoldenLotus" w:hAnsi="AAA GoldenLotus" w:hint="cs"/>
          <w:sz w:val="27"/>
          <w:rtl/>
        </w:rPr>
        <w:t>ٌ،</w:t>
      </w:r>
      <w:r w:rsidRPr="00282AC9">
        <w:rPr>
          <w:rFonts w:ascii="AAA GoldenLotus" w:hAnsi="AAA GoldenLotus"/>
          <w:sz w:val="27"/>
          <w:rtl/>
        </w:rPr>
        <w:t xml:space="preserve"> </w:t>
      </w:r>
      <w:r w:rsidRPr="00282AC9">
        <w:rPr>
          <w:rFonts w:ascii="AAA GoldenLotus" w:hAnsi="AAA GoldenLotus" w:hint="cs"/>
          <w:sz w:val="27"/>
          <w:rtl/>
        </w:rPr>
        <w:t>و</w:t>
      </w:r>
      <w:r w:rsidRPr="00282AC9">
        <w:rPr>
          <w:rFonts w:ascii="AAA GoldenLotus" w:hAnsi="AAA GoldenLotus"/>
          <w:sz w:val="27"/>
          <w:rtl/>
        </w:rPr>
        <w:t>أراد أن يخرج حكمها على قاعدة</w:t>
      </w:r>
      <w:r w:rsidR="0018253C" w:rsidRPr="00282AC9">
        <w:rPr>
          <w:rFonts w:ascii="AAA GoldenLotus" w:hAnsi="AAA GoldenLotus" w:hint="cs"/>
          <w:sz w:val="27"/>
          <w:rtl/>
        </w:rPr>
        <w:t>ٍ</w:t>
      </w:r>
      <w:r w:rsidRPr="00282AC9">
        <w:rPr>
          <w:rFonts w:ascii="AAA GoldenLotus" w:hAnsi="AAA GoldenLotus"/>
          <w:sz w:val="27"/>
          <w:rtl/>
        </w:rPr>
        <w:t xml:space="preserve"> فقهية</w:t>
      </w:r>
      <w:r w:rsidR="0018253C" w:rsidRPr="00282AC9">
        <w:rPr>
          <w:rFonts w:ascii="AAA GoldenLotus" w:hAnsi="AAA GoldenLotus" w:hint="cs"/>
          <w:sz w:val="27"/>
          <w:rtl/>
        </w:rPr>
        <w:t>،</w:t>
      </w:r>
      <w:r w:rsidRPr="00282AC9">
        <w:rPr>
          <w:rFonts w:ascii="AAA GoldenLotus" w:hAnsi="AAA GoldenLotus"/>
          <w:sz w:val="27"/>
          <w:rtl/>
        </w:rPr>
        <w:t xml:space="preserve"> خشي أن تكون تلك المسألة خارجة</w:t>
      </w:r>
      <w:r w:rsidR="0018253C" w:rsidRPr="00282AC9">
        <w:rPr>
          <w:rFonts w:ascii="AAA GoldenLotus" w:hAnsi="AAA GoldenLotus" w:hint="cs"/>
          <w:sz w:val="27"/>
          <w:rtl/>
        </w:rPr>
        <w:t>ً</w:t>
      </w:r>
      <w:r w:rsidRPr="00282AC9">
        <w:rPr>
          <w:rFonts w:ascii="AAA GoldenLotus" w:hAnsi="AAA GoldenLotus"/>
          <w:sz w:val="27"/>
          <w:rtl/>
        </w:rPr>
        <w:t xml:space="preserve"> عن حكم القاعدة</w:t>
      </w:r>
      <w:r w:rsidR="0018253C" w:rsidRPr="00282AC9">
        <w:rPr>
          <w:rFonts w:ascii="AAA GoldenLotus" w:hAnsi="AAA GoldenLotus" w:hint="cs"/>
          <w:sz w:val="27"/>
          <w:rtl/>
        </w:rPr>
        <w:t>،</w:t>
      </w:r>
      <w:r w:rsidRPr="00282AC9">
        <w:rPr>
          <w:rFonts w:ascii="AAA GoldenLotus" w:hAnsi="AAA GoldenLotus"/>
          <w:sz w:val="27"/>
          <w:rtl/>
        </w:rPr>
        <w:t xml:space="preserve"> وداخلة</w:t>
      </w:r>
      <w:r w:rsidR="0018253C" w:rsidRPr="00282AC9">
        <w:rPr>
          <w:rFonts w:ascii="AAA GoldenLotus" w:hAnsi="AAA GoldenLotus" w:hint="cs"/>
          <w:sz w:val="27"/>
          <w:rtl/>
        </w:rPr>
        <w:t>ً</w:t>
      </w:r>
      <w:r w:rsidRPr="00282AC9">
        <w:rPr>
          <w:rFonts w:ascii="AAA GoldenLotus" w:hAnsi="AAA GoldenLotus"/>
          <w:sz w:val="27"/>
          <w:rtl/>
        </w:rPr>
        <w:t xml:space="preserve"> في جملة المستثنيات. ولذلك</w:t>
      </w:r>
      <w:r w:rsidR="0018253C" w:rsidRPr="00282AC9">
        <w:rPr>
          <w:rFonts w:ascii="AAA GoldenLotus" w:hAnsi="AAA GoldenLotus" w:hint="cs"/>
          <w:sz w:val="27"/>
          <w:rtl/>
        </w:rPr>
        <w:t>،</w:t>
      </w:r>
      <w:r w:rsidRPr="00282AC9">
        <w:rPr>
          <w:rFonts w:ascii="AAA GoldenLotus" w:hAnsi="AAA GoldenLotus"/>
          <w:sz w:val="27"/>
          <w:rtl/>
        </w:rPr>
        <w:t xml:space="preserve"> وبناء على رأي العلماء الذين اعتبروا الاستثناءات تشك</w:t>
      </w:r>
      <w:r w:rsidR="00B30F9E" w:rsidRPr="00282AC9">
        <w:rPr>
          <w:rFonts w:ascii="AAA GoldenLotus" w:hAnsi="AAA GoldenLotus" w:hint="cs"/>
          <w:sz w:val="27"/>
          <w:rtl/>
        </w:rPr>
        <w:t>ِّ</w:t>
      </w:r>
      <w:r w:rsidRPr="00282AC9">
        <w:rPr>
          <w:rFonts w:ascii="AAA GoldenLotus" w:hAnsi="AAA GoldenLotus"/>
          <w:sz w:val="27"/>
          <w:rtl/>
        </w:rPr>
        <w:t>ل خ</w:t>
      </w:r>
      <w:r w:rsidR="00B30F9E" w:rsidRPr="00282AC9">
        <w:rPr>
          <w:rFonts w:ascii="AAA GoldenLotus" w:hAnsi="AAA GoldenLotus" w:hint="cs"/>
          <w:sz w:val="27"/>
          <w:rtl/>
        </w:rPr>
        <w:t>َ</w:t>
      </w:r>
      <w:r w:rsidRPr="00282AC9">
        <w:rPr>
          <w:rFonts w:ascii="AAA GoldenLotus" w:hAnsi="AAA GoldenLotus"/>
          <w:sz w:val="27"/>
          <w:rtl/>
        </w:rPr>
        <w:t>ط</w:t>
      </w:r>
      <w:r w:rsidR="00B30F9E" w:rsidRPr="00282AC9">
        <w:rPr>
          <w:rFonts w:ascii="AAA GoldenLotus" w:hAnsi="AAA GoldenLotus" w:hint="cs"/>
          <w:sz w:val="27"/>
          <w:rtl/>
        </w:rPr>
        <w:t>َ</w:t>
      </w:r>
      <w:r w:rsidRPr="00282AC9">
        <w:rPr>
          <w:rFonts w:ascii="AAA GoldenLotus" w:hAnsi="AAA GoldenLotus"/>
          <w:sz w:val="27"/>
          <w:rtl/>
        </w:rPr>
        <w:t>راً على القواعد الفقهية، تعتبر قاعدة اشتراك التكليف بين الرجل والمرأة</w:t>
      </w:r>
      <w:r w:rsidR="00B30F9E" w:rsidRPr="00282AC9">
        <w:rPr>
          <w:rFonts w:ascii="AAA GoldenLotus" w:hAnsi="AAA GoldenLotus" w:hint="cs"/>
          <w:sz w:val="27"/>
          <w:rtl/>
        </w:rPr>
        <w:t>،</w:t>
      </w:r>
      <w:r w:rsidRPr="00282AC9">
        <w:rPr>
          <w:rFonts w:ascii="AAA GoldenLotus" w:hAnsi="AAA GoldenLotus"/>
          <w:sz w:val="27"/>
          <w:rtl/>
        </w:rPr>
        <w:t xml:space="preserve"> أو النساء شقائق الرجال</w:t>
      </w:r>
      <w:r w:rsidR="00B30F9E" w:rsidRPr="00282AC9">
        <w:rPr>
          <w:rFonts w:ascii="AAA GoldenLotus" w:hAnsi="AAA GoldenLotus" w:hint="cs"/>
          <w:sz w:val="27"/>
          <w:rtl/>
        </w:rPr>
        <w:t>،</w:t>
      </w:r>
      <w:r w:rsidRPr="00282AC9">
        <w:rPr>
          <w:rFonts w:ascii="AAA GoldenLotus" w:hAnsi="AAA GoldenLotus"/>
          <w:sz w:val="27"/>
          <w:rtl/>
        </w:rPr>
        <w:t xml:space="preserve"> قياساً على غيرها من القواعد، قد عك</w:t>
      </w:r>
      <w:r w:rsidR="00B30F9E" w:rsidRPr="00282AC9">
        <w:rPr>
          <w:rFonts w:ascii="AAA GoldenLotus" w:hAnsi="AAA GoldenLotus" w:hint="cs"/>
          <w:sz w:val="27"/>
          <w:rtl/>
        </w:rPr>
        <w:t>َّ</w:t>
      </w:r>
      <w:r w:rsidRPr="00282AC9">
        <w:rPr>
          <w:rFonts w:ascii="AAA GoldenLotus" w:hAnsi="AAA GoldenLotus"/>
          <w:sz w:val="27"/>
          <w:rtl/>
        </w:rPr>
        <w:t>ر</w:t>
      </w:r>
      <w:r w:rsidR="00B30F9E" w:rsidRPr="00282AC9">
        <w:rPr>
          <w:rFonts w:ascii="AAA GoldenLotus" w:hAnsi="AAA GoldenLotus" w:hint="cs"/>
          <w:sz w:val="27"/>
          <w:rtl/>
        </w:rPr>
        <w:t>َ</w:t>
      </w:r>
      <w:r w:rsidRPr="00282AC9">
        <w:rPr>
          <w:rFonts w:ascii="AAA GoldenLotus" w:hAnsi="AAA GoldenLotus"/>
          <w:sz w:val="27"/>
          <w:rtl/>
        </w:rPr>
        <w:t>ت</w:t>
      </w:r>
      <w:r w:rsidR="00B30F9E" w:rsidRPr="00282AC9">
        <w:rPr>
          <w:rFonts w:ascii="AAA GoldenLotus" w:hAnsi="AAA GoldenLotus" w:hint="cs"/>
          <w:sz w:val="27"/>
          <w:rtl/>
        </w:rPr>
        <w:t>ْ</w:t>
      </w:r>
      <w:r w:rsidRPr="00282AC9">
        <w:rPr>
          <w:rFonts w:ascii="AAA GoldenLotus" w:hAnsi="AAA GoldenLotus"/>
          <w:sz w:val="27"/>
          <w:rtl/>
        </w:rPr>
        <w:t xml:space="preserve"> على ص</w:t>
      </w:r>
      <w:r w:rsidR="00B30F9E" w:rsidRPr="00282AC9">
        <w:rPr>
          <w:rFonts w:ascii="AAA GoldenLotus" w:hAnsi="AAA GoldenLotus" w:hint="cs"/>
          <w:sz w:val="27"/>
          <w:rtl/>
        </w:rPr>
        <w:t>َ</w:t>
      </w:r>
      <w:r w:rsidRPr="00282AC9">
        <w:rPr>
          <w:rFonts w:ascii="AAA GoldenLotus" w:hAnsi="AAA GoldenLotus"/>
          <w:sz w:val="27"/>
          <w:rtl/>
        </w:rPr>
        <w:t>ف</w:t>
      </w:r>
      <w:r w:rsidR="00B30F9E" w:rsidRPr="00282AC9">
        <w:rPr>
          <w:rFonts w:ascii="AAA GoldenLotus" w:hAnsi="AAA GoldenLotus" w:hint="cs"/>
          <w:sz w:val="27"/>
          <w:rtl/>
        </w:rPr>
        <w:t>ْ</w:t>
      </w:r>
      <w:r w:rsidRPr="00282AC9">
        <w:rPr>
          <w:rFonts w:ascii="AAA GoldenLotus" w:hAnsi="AAA GoldenLotus"/>
          <w:sz w:val="27"/>
          <w:rtl/>
        </w:rPr>
        <w:t>و</w:t>
      </w:r>
      <w:r w:rsidR="00B30F9E" w:rsidRPr="00282AC9">
        <w:rPr>
          <w:rFonts w:ascii="AAA GoldenLotus" w:hAnsi="AAA GoldenLotus" w:hint="cs"/>
          <w:sz w:val="27"/>
          <w:rtl/>
        </w:rPr>
        <w:t>ِ</w:t>
      </w:r>
      <w:r w:rsidRPr="00282AC9">
        <w:rPr>
          <w:rFonts w:ascii="AAA GoldenLotus" w:hAnsi="AAA GoldenLotus"/>
          <w:sz w:val="27"/>
          <w:rtl/>
        </w:rPr>
        <w:t>ها استثناءات</w:t>
      </w:r>
      <w:r w:rsidR="00B30F9E" w:rsidRPr="00282AC9">
        <w:rPr>
          <w:rFonts w:ascii="AAA GoldenLotus" w:hAnsi="AAA GoldenLotus" w:hint="cs"/>
          <w:sz w:val="27"/>
          <w:rtl/>
        </w:rPr>
        <w:t>ٌ</w:t>
      </w:r>
      <w:r w:rsidRPr="00282AC9">
        <w:rPr>
          <w:rFonts w:ascii="AAA GoldenLotus" w:hAnsi="AAA GoldenLotus"/>
          <w:sz w:val="27"/>
          <w:rtl/>
        </w:rPr>
        <w:t xml:space="preserve"> كثيرة، وبالتالي لا تصلح للاحتجاج في الموارد المشكوكة، </w:t>
      </w:r>
      <w:r w:rsidRPr="00282AC9">
        <w:rPr>
          <w:rFonts w:ascii="AAA GoldenLotus" w:hAnsi="AAA GoldenLotus"/>
          <w:sz w:val="27"/>
          <w:rtl/>
        </w:rPr>
        <w:lastRenderedPageBreak/>
        <w:t>فهذا الأمر له ارتباط</w:t>
      </w:r>
      <w:r w:rsidR="00B30F9E" w:rsidRPr="00282AC9">
        <w:rPr>
          <w:rFonts w:ascii="AAA GoldenLotus" w:hAnsi="AAA GoldenLotus" w:hint="cs"/>
          <w:sz w:val="27"/>
          <w:rtl/>
        </w:rPr>
        <w:t>ٌ</w:t>
      </w:r>
      <w:r w:rsidRPr="00282AC9">
        <w:rPr>
          <w:rFonts w:ascii="AAA GoldenLotus" w:hAnsi="AAA GoldenLotus"/>
          <w:sz w:val="27"/>
          <w:rtl/>
        </w:rPr>
        <w:t xml:space="preserve"> وثيق بتقييم القاعدة</w:t>
      </w:r>
      <w:r w:rsidR="00B30F9E" w:rsidRPr="00282AC9">
        <w:rPr>
          <w:rFonts w:ascii="AAA GoldenLotus" w:hAnsi="AAA GoldenLotus" w:hint="cs"/>
          <w:sz w:val="27"/>
          <w:rtl/>
        </w:rPr>
        <w:t>،</w:t>
      </w:r>
      <w:r w:rsidRPr="00282AC9">
        <w:rPr>
          <w:rFonts w:ascii="AAA GoldenLotus" w:hAnsi="AAA GoldenLotus"/>
          <w:sz w:val="27"/>
          <w:rtl/>
        </w:rPr>
        <w:t xml:space="preserve"> والحكم عليها، وهو شاهد</w:t>
      </w:r>
      <w:r w:rsidR="00B30F9E" w:rsidRPr="00282AC9">
        <w:rPr>
          <w:rFonts w:ascii="AAA GoldenLotus" w:hAnsi="AAA GoldenLotus" w:hint="cs"/>
          <w:sz w:val="27"/>
          <w:rtl/>
        </w:rPr>
        <w:t>ٌ</w:t>
      </w:r>
      <w:r w:rsidRPr="00282AC9">
        <w:rPr>
          <w:rFonts w:ascii="AAA GoldenLotus" w:hAnsi="AAA GoldenLotus"/>
          <w:sz w:val="27"/>
          <w:rtl/>
        </w:rPr>
        <w:t xml:space="preserve"> على رتبتها من الاعتبار، ويؤد</w:t>
      </w:r>
      <w:r w:rsidR="00B30F9E" w:rsidRPr="00282AC9">
        <w:rPr>
          <w:rFonts w:ascii="AAA GoldenLotus" w:hAnsi="AAA GoldenLotus" w:hint="cs"/>
          <w:sz w:val="27"/>
          <w:rtl/>
        </w:rPr>
        <w:t>ّ</w:t>
      </w:r>
      <w:r w:rsidRPr="00282AC9">
        <w:rPr>
          <w:rFonts w:ascii="AAA GoldenLotus" w:hAnsi="AAA GoldenLotus"/>
          <w:sz w:val="27"/>
          <w:rtl/>
        </w:rPr>
        <w:t>ي إلى عدم قاعد</w:t>
      </w:r>
      <w:r w:rsidR="00B30F9E" w:rsidRPr="00282AC9">
        <w:rPr>
          <w:rFonts w:ascii="AAA GoldenLotus" w:hAnsi="AAA GoldenLotus" w:hint="cs"/>
          <w:sz w:val="27"/>
          <w:rtl/>
        </w:rPr>
        <w:t>يَّ</w:t>
      </w:r>
      <w:r w:rsidRPr="00282AC9">
        <w:rPr>
          <w:rFonts w:ascii="AAA GoldenLotus" w:hAnsi="AAA GoldenLotus"/>
          <w:sz w:val="27"/>
          <w:rtl/>
        </w:rPr>
        <w:t>ت</w:t>
      </w:r>
      <w:r w:rsidR="00B30F9E" w:rsidRPr="00282AC9">
        <w:rPr>
          <w:rFonts w:ascii="AAA GoldenLotus" w:hAnsi="AAA GoldenLotus" w:hint="cs"/>
          <w:sz w:val="27"/>
          <w:rtl/>
        </w:rPr>
        <w:t>ِ</w:t>
      </w:r>
      <w:r w:rsidRPr="00282AC9">
        <w:rPr>
          <w:rFonts w:ascii="AAA GoldenLotus" w:hAnsi="AAA GoldenLotus"/>
          <w:sz w:val="27"/>
          <w:rtl/>
        </w:rPr>
        <w:t>ها أصلاً.</w:t>
      </w:r>
    </w:p>
    <w:p w:rsidR="00E355F2" w:rsidRPr="00282AC9" w:rsidRDefault="00E355F2" w:rsidP="00046546">
      <w:pPr>
        <w:rPr>
          <w:rFonts w:ascii="AAA GoldenLotus" w:hAnsi="AAA GoldenLotus"/>
          <w:sz w:val="27"/>
          <w:rtl/>
        </w:rPr>
      </w:pPr>
      <w:r w:rsidRPr="00282AC9">
        <w:rPr>
          <w:rFonts w:ascii="AAA GoldenLotus" w:hAnsi="AAA GoldenLotus"/>
          <w:sz w:val="27"/>
          <w:rtl/>
        </w:rPr>
        <w:t>لذلك عالج بعض المحق</w:t>
      </w:r>
      <w:r w:rsidR="00B30F9E" w:rsidRPr="00282AC9">
        <w:rPr>
          <w:rFonts w:ascii="AAA GoldenLotus" w:hAnsi="AAA GoldenLotus" w:hint="cs"/>
          <w:sz w:val="27"/>
          <w:rtl/>
        </w:rPr>
        <w:t>ِّ</w:t>
      </w:r>
      <w:r w:rsidRPr="00282AC9">
        <w:rPr>
          <w:rFonts w:ascii="AAA GoldenLotus" w:hAnsi="AAA GoldenLotus"/>
          <w:sz w:val="27"/>
          <w:rtl/>
        </w:rPr>
        <w:t>قين المسألة من الأصل؛ حيث رج</w:t>
      </w:r>
      <w:r w:rsidR="00B30F9E" w:rsidRPr="00282AC9">
        <w:rPr>
          <w:rFonts w:ascii="AAA GoldenLotus" w:hAnsi="AAA GoldenLotus" w:hint="cs"/>
          <w:sz w:val="27"/>
          <w:rtl/>
        </w:rPr>
        <w:t>َّ</w:t>
      </w:r>
      <w:r w:rsidRPr="00282AC9">
        <w:rPr>
          <w:rFonts w:ascii="AAA GoldenLotus" w:hAnsi="AAA GoldenLotus"/>
          <w:sz w:val="27"/>
          <w:rtl/>
        </w:rPr>
        <w:t>حوا في مقام بيان حقيقة القاعدة الفقهي</w:t>
      </w:r>
      <w:r w:rsidR="00B30F9E" w:rsidRPr="00282AC9">
        <w:rPr>
          <w:rFonts w:ascii="AAA GoldenLotus" w:hAnsi="AAA GoldenLotus" w:hint="cs"/>
          <w:sz w:val="27"/>
          <w:rtl/>
        </w:rPr>
        <w:t>ّ</w:t>
      </w:r>
      <w:r w:rsidRPr="00282AC9">
        <w:rPr>
          <w:rFonts w:ascii="AAA GoldenLotus" w:hAnsi="AAA GoldenLotus"/>
          <w:sz w:val="27"/>
          <w:rtl/>
        </w:rPr>
        <w:t>ة أنّها حكم</w:t>
      </w:r>
      <w:r w:rsidR="00B30F9E" w:rsidRPr="00282AC9">
        <w:rPr>
          <w:rFonts w:ascii="AAA GoldenLotus" w:hAnsi="AAA GoldenLotus" w:hint="cs"/>
          <w:sz w:val="27"/>
          <w:rtl/>
        </w:rPr>
        <w:t>ٌ</w:t>
      </w:r>
      <w:r w:rsidRPr="00282AC9">
        <w:rPr>
          <w:rFonts w:ascii="AAA GoldenLotus" w:hAnsi="AAA GoldenLotus"/>
          <w:sz w:val="27"/>
          <w:rtl/>
        </w:rPr>
        <w:t xml:space="preserve"> أغلبي</w:t>
      </w:r>
      <w:r w:rsidR="00B30F9E" w:rsidRPr="00282AC9">
        <w:rPr>
          <w:rFonts w:ascii="AAA GoldenLotus" w:hAnsi="AAA GoldenLotus" w:hint="cs"/>
          <w:sz w:val="27"/>
          <w:rtl/>
        </w:rPr>
        <w:t>ّ</w:t>
      </w:r>
      <w:r w:rsidRPr="00282AC9">
        <w:rPr>
          <w:rFonts w:ascii="AAA GoldenLotus" w:hAnsi="AAA GoldenLotus"/>
          <w:sz w:val="27"/>
          <w:rtl/>
        </w:rPr>
        <w:t xml:space="preserve"> وأكثري</w:t>
      </w:r>
      <w:r w:rsidR="00B30F9E" w:rsidRPr="00282AC9">
        <w:rPr>
          <w:rFonts w:ascii="AAA GoldenLotus" w:hAnsi="AAA GoldenLotus" w:hint="cs"/>
          <w:sz w:val="27"/>
          <w:rtl/>
        </w:rPr>
        <w:t>ّ،</w:t>
      </w:r>
      <w:r w:rsidRPr="00282AC9">
        <w:rPr>
          <w:rFonts w:ascii="AAA GoldenLotus" w:hAnsi="AAA GoldenLotus"/>
          <w:sz w:val="27"/>
          <w:rtl/>
        </w:rPr>
        <w:t xml:space="preserve"> لا كل</w:t>
      </w:r>
      <w:r w:rsidR="00B30F9E" w:rsidRPr="00282AC9">
        <w:rPr>
          <w:rFonts w:ascii="AAA GoldenLotus" w:hAnsi="AAA GoldenLotus" w:hint="cs"/>
          <w:sz w:val="27"/>
          <w:rtl/>
        </w:rPr>
        <w:t>ِّ</w:t>
      </w:r>
      <w:r w:rsidRPr="00282AC9">
        <w:rPr>
          <w:rFonts w:ascii="AAA GoldenLotus" w:hAnsi="AAA GoldenLotus"/>
          <w:sz w:val="27"/>
          <w:rtl/>
        </w:rPr>
        <w:t>يّ</w:t>
      </w:r>
      <w:r w:rsidR="00B30F9E" w:rsidRPr="00282AC9">
        <w:rPr>
          <w:rFonts w:ascii="AAA GoldenLotus" w:hAnsi="AAA GoldenLotus" w:hint="cs"/>
          <w:sz w:val="27"/>
          <w:rtl/>
        </w:rPr>
        <w:t>.</w:t>
      </w:r>
      <w:r w:rsidRPr="00282AC9">
        <w:rPr>
          <w:rFonts w:ascii="AAA GoldenLotus" w:hAnsi="AAA GoldenLotus"/>
          <w:sz w:val="27"/>
          <w:rtl/>
        </w:rPr>
        <w:t xml:space="preserve"> وحينما أرجعوا المسائل الفقهية عن طريق الاستقراء إلى قواعد كل</w:t>
      </w:r>
      <w:r w:rsidR="00B30F9E" w:rsidRPr="00282AC9">
        <w:rPr>
          <w:rFonts w:ascii="AAA GoldenLotus" w:hAnsi="AAA GoldenLotus" w:hint="cs"/>
          <w:sz w:val="27"/>
          <w:rtl/>
        </w:rPr>
        <w:t>ِّ</w:t>
      </w:r>
      <w:r w:rsidRPr="00282AC9">
        <w:rPr>
          <w:rFonts w:ascii="AAA GoldenLotus" w:hAnsi="AAA GoldenLotus"/>
          <w:sz w:val="27"/>
          <w:rtl/>
        </w:rPr>
        <w:t>ية</w:t>
      </w:r>
      <w:r w:rsidR="00B30F9E" w:rsidRPr="00282AC9">
        <w:rPr>
          <w:rFonts w:ascii="AAA GoldenLotus" w:hAnsi="AAA GoldenLotus" w:hint="cs"/>
          <w:sz w:val="27"/>
          <w:rtl/>
        </w:rPr>
        <w:t>،</w:t>
      </w:r>
      <w:r w:rsidRPr="00282AC9">
        <w:rPr>
          <w:rFonts w:ascii="AAA GoldenLotus" w:hAnsi="AAA GoldenLotus"/>
          <w:sz w:val="27"/>
          <w:rtl/>
        </w:rPr>
        <w:t xml:space="preserve"> كل</w:t>
      </w:r>
      <w:r w:rsidR="00B30F9E" w:rsidRPr="00282AC9">
        <w:rPr>
          <w:rFonts w:ascii="AAA GoldenLotus" w:hAnsi="AAA GoldenLotus" w:hint="cs"/>
          <w:sz w:val="27"/>
          <w:rtl/>
        </w:rPr>
        <w:t>ٌّ</w:t>
      </w:r>
      <w:r w:rsidRPr="00282AC9">
        <w:rPr>
          <w:rFonts w:ascii="AAA GoldenLotus" w:hAnsi="AAA GoldenLotus"/>
          <w:sz w:val="27"/>
          <w:rtl/>
        </w:rPr>
        <w:t xml:space="preserve"> منها ضابط</w:t>
      </w:r>
      <w:r w:rsidR="00B30F9E" w:rsidRPr="00282AC9">
        <w:rPr>
          <w:rFonts w:ascii="AAA GoldenLotus" w:hAnsi="AAA GoldenLotus" w:hint="cs"/>
          <w:sz w:val="27"/>
          <w:rtl/>
        </w:rPr>
        <w:t>ٌ</w:t>
      </w:r>
      <w:r w:rsidRPr="00282AC9">
        <w:rPr>
          <w:rFonts w:ascii="AAA GoldenLotus" w:hAnsi="AAA GoldenLotus"/>
          <w:sz w:val="27"/>
          <w:rtl/>
        </w:rPr>
        <w:t xml:space="preserve"> وجامع</w:t>
      </w:r>
      <w:r w:rsidR="00B30F9E" w:rsidRPr="00282AC9">
        <w:rPr>
          <w:rFonts w:ascii="AAA GoldenLotus" w:hAnsi="AAA GoldenLotus" w:hint="cs"/>
          <w:sz w:val="27"/>
          <w:rtl/>
        </w:rPr>
        <w:t>ٌ</w:t>
      </w:r>
      <w:r w:rsidRPr="00282AC9">
        <w:rPr>
          <w:rFonts w:ascii="AAA GoldenLotus" w:hAnsi="AAA GoldenLotus"/>
          <w:sz w:val="27"/>
          <w:rtl/>
        </w:rPr>
        <w:t xml:space="preserve"> لمسائل كثيرة، وات</w:t>
      </w:r>
      <w:r w:rsidR="00B30F9E" w:rsidRPr="00282AC9">
        <w:rPr>
          <w:rFonts w:ascii="AAA GoldenLotus" w:hAnsi="AAA GoldenLotus" w:hint="cs"/>
          <w:sz w:val="27"/>
          <w:rtl/>
        </w:rPr>
        <w:t>ّ</w:t>
      </w:r>
      <w:r w:rsidRPr="00282AC9">
        <w:rPr>
          <w:rFonts w:ascii="AAA GoldenLotus" w:hAnsi="AAA GoldenLotus"/>
          <w:sz w:val="27"/>
          <w:rtl/>
        </w:rPr>
        <w:t>خذوها أدل</w:t>
      </w:r>
      <w:r w:rsidR="00B30F9E" w:rsidRPr="00282AC9">
        <w:rPr>
          <w:rFonts w:ascii="AAA GoldenLotus" w:hAnsi="AAA GoldenLotus" w:hint="cs"/>
          <w:sz w:val="27"/>
          <w:rtl/>
        </w:rPr>
        <w:t>ّ</w:t>
      </w:r>
      <w:r w:rsidRPr="00282AC9">
        <w:rPr>
          <w:rFonts w:ascii="AAA GoldenLotus" w:hAnsi="AAA GoldenLotus"/>
          <w:sz w:val="27"/>
          <w:rtl/>
        </w:rPr>
        <w:t>ة</w:t>
      </w:r>
      <w:r w:rsidR="00B30F9E" w:rsidRPr="00282AC9">
        <w:rPr>
          <w:rFonts w:ascii="AAA GoldenLotus" w:hAnsi="AAA GoldenLotus" w:hint="cs"/>
          <w:sz w:val="27"/>
          <w:rtl/>
        </w:rPr>
        <w:t>ً</w:t>
      </w:r>
      <w:r w:rsidRPr="00282AC9">
        <w:rPr>
          <w:rFonts w:ascii="AAA GoldenLotus" w:hAnsi="AAA GoldenLotus"/>
          <w:sz w:val="27"/>
          <w:rtl/>
        </w:rPr>
        <w:t xml:space="preserve"> لإثبات أحكام تلك المسائل، رأ</w:t>
      </w:r>
      <w:r w:rsidR="00B30F9E" w:rsidRPr="00282AC9">
        <w:rPr>
          <w:rFonts w:ascii="AAA GoldenLotus" w:hAnsi="AAA GoldenLotus" w:hint="cs"/>
          <w:sz w:val="27"/>
          <w:rtl/>
        </w:rPr>
        <w:t>َ</w:t>
      </w:r>
      <w:r w:rsidRPr="00282AC9">
        <w:rPr>
          <w:rFonts w:ascii="AAA GoldenLotus" w:hAnsi="AAA GoldenLotus"/>
          <w:sz w:val="27"/>
          <w:rtl/>
        </w:rPr>
        <w:t>و</w:t>
      </w:r>
      <w:r w:rsidR="00B30F9E" w:rsidRPr="00282AC9">
        <w:rPr>
          <w:rFonts w:ascii="AAA GoldenLotus" w:hAnsi="AAA GoldenLotus" w:hint="cs"/>
          <w:sz w:val="27"/>
          <w:rtl/>
        </w:rPr>
        <w:t>ْ</w:t>
      </w:r>
      <w:r w:rsidRPr="00282AC9">
        <w:rPr>
          <w:rFonts w:ascii="AAA GoldenLotus" w:hAnsi="AAA GoldenLotus"/>
          <w:sz w:val="27"/>
          <w:rtl/>
        </w:rPr>
        <w:t>ا أن بعض فروع تلك القواعد يعارضه أثر</w:t>
      </w:r>
      <w:r w:rsidR="00B30F9E" w:rsidRPr="00282AC9">
        <w:rPr>
          <w:rFonts w:ascii="AAA GoldenLotus" w:hAnsi="AAA GoldenLotus" w:hint="cs"/>
          <w:sz w:val="27"/>
          <w:rtl/>
        </w:rPr>
        <w:t>ٌ</w:t>
      </w:r>
      <w:r w:rsidRPr="00282AC9">
        <w:rPr>
          <w:rFonts w:ascii="AAA GoldenLotus" w:hAnsi="AAA GoldenLotus"/>
          <w:sz w:val="27"/>
          <w:rtl/>
        </w:rPr>
        <w:t xml:space="preserve"> أو ضرورة</w:t>
      </w:r>
      <w:r w:rsidR="00B30F9E" w:rsidRPr="00282AC9">
        <w:rPr>
          <w:rFonts w:ascii="AAA GoldenLotus" w:hAnsi="AAA GoldenLotus" w:hint="cs"/>
          <w:sz w:val="27"/>
          <w:rtl/>
        </w:rPr>
        <w:t>ٌ</w:t>
      </w:r>
      <w:r w:rsidRPr="00282AC9">
        <w:rPr>
          <w:rFonts w:ascii="AAA GoldenLotus" w:hAnsi="AAA GoldenLotus"/>
          <w:sz w:val="27"/>
          <w:rtl/>
        </w:rPr>
        <w:t xml:space="preserve"> أو ق</w:t>
      </w:r>
      <w:r w:rsidR="00B30F9E" w:rsidRPr="00282AC9">
        <w:rPr>
          <w:rFonts w:ascii="AAA GoldenLotus" w:hAnsi="AAA GoldenLotus" w:hint="cs"/>
          <w:sz w:val="27"/>
          <w:rtl/>
        </w:rPr>
        <w:t>َ</w:t>
      </w:r>
      <w:r w:rsidRPr="00282AC9">
        <w:rPr>
          <w:rFonts w:ascii="AAA GoldenLotus" w:hAnsi="AAA GoldenLotus"/>
          <w:sz w:val="27"/>
          <w:rtl/>
        </w:rPr>
        <w:t>ي</w:t>
      </w:r>
      <w:r w:rsidR="00B30F9E" w:rsidRPr="00282AC9">
        <w:rPr>
          <w:rFonts w:ascii="AAA GoldenLotus" w:hAnsi="AAA GoldenLotus" w:hint="cs"/>
          <w:sz w:val="27"/>
          <w:rtl/>
        </w:rPr>
        <w:t>ْ</w:t>
      </w:r>
      <w:r w:rsidRPr="00282AC9">
        <w:rPr>
          <w:rFonts w:ascii="AAA GoldenLotus" w:hAnsi="AAA GoldenLotus"/>
          <w:sz w:val="27"/>
          <w:rtl/>
        </w:rPr>
        <w:t>د</w:t>
      </w:r>
      <w:r w:rsidR="00B30F9E" w:rsidRPr="00282AC9">
        <w:rPr>
          <w:rFonts w:ascii="AAA GoldenLotus" w:hAnsi="AAA GoldenLotus" w:hint="cs"/>
          <w:sz w:val="27"/>
          <w:rtl/>
        </w:rPr>
        <w:t>ٌ</w:t>
      </w:r>
      <w:r w:rsidRPr="00282AC9">
        <w:rPr>
          <w:rFonts w:ascii="AAA GoldenLotus" w:hAnsi="AAA GoldenLotus"/>
          <w:sz w:val="27"/>
          <w:rtl/>
        </w:rPr>
        <w:t xml:space="preserve"> أو عل</w:t>
      </w:r>
      <w:r w:rsidR="00B30F9E" w:rsidRPr="00282AC9">
        <w:rPr>
          <w:rFonts w:ascii="AAA GoldenLotus" w:hAnsi="AAA GoldenLotus" w:hint="cs"/>
          <w:sz w:val="27"/>
          <w:rtl/>
        </w:rPr>
        <w:t>ّ</w:t>
      </w:r>
      <w:r w:rsidRPr="00282AC9">
        <w:rPr>
          <w:rFonts w:ascii="AAA GoldenLotus" w:hAnsi="AAA GoldenLotus"/>
          <w:sz w:val="27"/>
          <w:rtl/>
        </w:rPr>
        <w:t>ة</w:t>
      </w:r>
      <w:r w:rsidR="00B30F9E" w:rsidRPr="00282AC9">
        <w:rPr>
          <w:rFonts w:ascii="AAA GoldenLotus" w:hAnsi="AAA GoldenLotus" w:hint="cs"/>
          <w:sz w:val="27"/>
          <w:rtl/>
        </w:rPr>
        <w:t>ٌ</w:t>
      </w:r>
      <w:r w:rsidRPr="00282AC9">
        <w:rPr>
          <w:rFonts w:ascii="AAA GoldenLotus" w:hAnsi="AAA GoldenLotus"/>
          <w:sz w:val="27"/>
          <w:rtl/>
        </w:rPr>
        <w:t xml:space="preserve"> مؤث</w:t>
      </w:r>
      <w:r w:rsidR="00B30F9E" w:rsidRPr="00282AC9">
        <w:rPr>
          <w:rFonts w:ascii="AAA GoldenLotus" w:hAnsi="AAA GoldenLotus" w:hint="cs"/>
          <w:sz w:val="27"/>
          <w:rtl/>
        </w:rPr>
        <w:t>ِّ</w:t>
      </w:r>
      <w:r w:rsidRPr="00282AC9">
        <w:rPr>
          <w:rFonts w:ascii="AAA GoldenLotus" w:hAnsi="AAA GoldenLotus"/>
          <w:sz w:val="27"/>
          <w:rtl/>
        </w:rPr>
        <w:t>رة</w:t>
      </w:r>
      <w:r w:rsidR="00B30F9E" w:rsidRPr="00282AC9">
        <w:rPr>
          <w:rFonts w:ascii="AAA GoldenLotus" w:hAnsi="AAA GoldenLotus" w:hint="cs"/>
          <w:sz w:val="27"/>
          <w:rtl/>
        </w:rPr>
        <w:t>،</w:t>
      </w:r>
      <w:r w:rsidRPr="00282AC9">
        <w:rPr>
          <w:rFonts w:ascii="AAA GoldenLotus" w:hAnsi="AAA GoldenLotus"/>
          <w:sz w:val="27"/>
          <w:rtl/>
        </w:rPr>
        <w:t xml:space="preserve"> تخرجها عن الاط</w:t>
      </w:r>
      <w:r w:rsidR="00B30F9E" w:rsidRPr="00282AC9">
        <w:rPr>
          <w:rFonts w:ascii="AAA GoldenLotus" w:hAnsi="AAA GoldenLotus" w:hint="cs"/>
          <w:sz w:val="27"/>
          <w:rtl/>
        </w:rPr>
        <w:t>ّ</w:t>
      </w:r>
      <w:r w:rsidRPr="00282AC9">
        <w:rPr>
          <w:rFonts w:ascii="AAA GoldenLotus" w:hAnsi="AAA GoldenLotus"/>
          <w:sz w:val="27"/>
          <w:rtl/>
        </w:rPr>
        <w:t>راد</w:t>
      </w:r>
      <w:r w:rsidR="00B30F9E" w:rsidRPr="00282AC9">
        <w:rPr>
          <w:rFonts w:ascii="AAA GoldenLotus" w:hAnsi="AAA GoldenLotus" w:hint="cs"/>
          <w:sz w:val="27"/>
          <w:rtl/>
        </w:rPr>
        <w:t>،</w:t>
      </w:r>
      <w:r w:rsidRPr="00282AC9">
        <w:rPr>
          <w:rFonts w:ascii="AAA GoldenLotus" w:hAnsi="AAA GoldenLotus"/>
          <w:sz w:val="27"/>
          <w:rtl/>
        </w:rPr>
        <w:t xml:space="preserve"> فتكون مستثناة</w:t>
      </w:r>
      <w:r w:rsidR="00B30F9E" w:rsidRPr="00282AC9">
        <w:rPr>
          <w:rFonts w:ascii="AAA GoldenLotus" w:hAnsi="AAA GoldenLotus" w:hint="cs"/>
          <w:sz w:val="27"/>
          <w:rtl/>
        </w:rPr>
        <w:t>ً</w:t>
      </w:r>
      <w:r w:rsidRPr="00282AC9">
        <w:rPr>
          <w:rFonts w:ascii="AAA GoldenLotus" w:hAnsi="AAA GoldenLotus"/>
          <w:sz w:val="27"/>
          <w:rtl/>
        </w:rPr>
        <w:t xml:space="preserve"> من تلك القاعدة</w:t>
      </w:r>
      <w:r w:rsidR="00B30F9E" w:rsidRPr="00282AC9">
        <w:rPr>
          <w:rFonts w:ascii="AAA GoldenLotus" w:hAnsi="AAA GoldenLotus" w:hint="cs"/>
          <w:sz w:val="27"/>
          <w:rtl/>
        </w:rPr>
        <w:t xml:space="preserve">، </w:t>
      </w:r>
      <w:r w:rsidRPr="00282AC9">
        <w:rPr>
          <w:rFonts w:ascii="AAA GoldenLotus" w:hAnsi="AAA GoldenLotus"/>
          <w:sz w:val="27"/>
          <w:rtl/>
        </w:rPr>
        <w:t>ومعدولاً بها عن سنن القياس</w:t>
      </w:r>
      <w:r w:rsidR="00B30F9E" w:rsidRPr="00282AC9">
        <w:rPr>
          <w:rFonts w:ascii="AAA GoldenLotus" w:hAnsi="AAA GoldenLotus" w:hint="cs"/>
          <w:sz w:val="27"/>
          <w:rtl/>
        </w:rPr>
        <w:t>،</w:t>
      </w:r>
      <w:r w:rsidRPr="00282AC9">
        <w:rPr>
          <w:rFonts w:ascii="AAA GoldenLotus" w:hAnsi="AAA GoldenLotus"/>
          <w:sz w:val="27"/>
          <w:rtl/>
        </w:rPr>
        <w:t xml:space="preserve"> فحكموا عليها بالأغلبي</w:t>
      </w:r>
      <w:r w:rsidR="00B30F9E" w:rsidRPr="00282AC9">
        <w:rPr>
          <w:rFonts w:ascii="AAA GoldenLotus" w:hAnsi="AAA GoldenLotus" w:hint="cs"/>
          <w:sz w:val="27"/>
          <w:rtl/>
        </w:rPr>
        <w:t>ّ</w:t>
      </w:r>
      <w:r w:rsidRPr="00282AC9">
        <w:rPr>
          <w:rFonts w:ascii="AAA GoldenLotus" w:hAnsi="AAA GoldenLotus"/>
          <w:sz w:val="27"/>
          <w:rtl/>
        </w:rPr>
        <w:t>ة</w:t>
      </w:r>
      <w:r w:rsidR="00B30F9E" w:rsidRPr="00282AC9">
        <w:rPr>
          <w:rFonts w:ascii="AAA GoldenLotus" w:hAnsi="AAA GoldenLotus" w:hint="cs"/>
          <w:sz w:val="27"/>
          <w:rtl/>
        </w:rPr>
        <w:t>،</w:t>
      </w:r>
      <w:r w:rsidRPr="00282AC9">
        <w:rPr>
          <w:rFonts w:ascii="AAA GoldenLotus" w:hAnsi="AAA GoldenLotus"/>
          <w:sz w:val="27"/>
          <w:rtl/>
        </w:rPr>
        <w:t xml:space="preserve"> لا بالاط</w:t>
      </w:r>
      <w:r w:rsidR="00B30F9E" w:rsidRPr="00282AC9">
        <w:rPr>
          <w:rFonts w:ascii="AAA GoldenLotus" w:hAnsi="AAA GoldenLotus" w:hint="cs"/>
          <w:sz w:val="27"/>
          <w:rtl/>
        </w:rPr>
        <w:t>ّ</w:t>
      </w:r>
      <w:r w:rsidRPr="00282AC9">
        <w:rPr>
          <w:rFonts w:ascii="AAA GoldenLotus" w:hAnsi="AAA GoldenLotus"/>
          <w:sz w:val="27"/>
          <w:rtl/>
        </w:rPr>
        <w:t>راد</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94"/>
      </w:r>
      <w:r w:rsidRPr="00282AC9">
        <w:rPr>
          <w:rFonts w:ascii="AAA GoldenLotus" w:hAnsi="AAA GoldenLotus"/>
          <w:sz w:val="27"/>
          <w:vertAlign w:val="superscript"/>
          <w:rtl/>
        </w:rPr>
        <w:t>)</w:t>
      </w:r>
      <w:r w:rsidRPr="00282AC9">
        <w:rPr>
          <w:rFonts w:ascii="AAA GoldenLotus" w:hAnsi="AAA GoldenLotus"/>
          <w:sz w:val="27"/>
          <w:rtl/>
        </w:rPr>
        <w:t>. وبالتالي سيكون نظر هؤلاء إلى أن الموارد الخارجة من تحت القاعدة على أنها خارجة</w:t>
      </w:r>
      <w:r w:rsidR="00B30F9E" w:rsidRPr="00282AC9">
        <w:rPr>
          <w:rFonts w:ascii="AAA GoldenLotus" w:hAnsi="AAA GoldenLotus" w:hint="cs"/>
          <w:sz w:val="27"/>
          <w:rtl/>
        </w:rPr>
        <w:t>ٌ</w:t>
      </w:r>
      <w:r w:rsidRPr="00282AC9">
        <w:rPr>
          <w:rFonts w:ascii="AAA GoldenLotus" w:hAnsi="AAA GoldenLotus"/>
          <w:sz w:val="27"/>
          <w:rtl/>
        </w:rPr>
        <w:t xml:space="preserve"> بالخروج الاستثنائي</w:t>
      </w:r>
      <w:r w:rsidR="00B30F9E" w:rsidRPr="00282AC9">
        <w:rPr>
          <w:rFonts w:ascii="AAA GoldenLotus" w:hAnsi="AAA GoldenLotus" w:hint="cs"/>
          <w:sz w:val="27"/>
          <w:rtl/>
        </w:rPr>
        <w:t>ّ</w:t>
      </w:r>
      <w:r w:rsidRPr="00282AC9">
        <w:rPr>
          <w:rFonts w:ascii="AAA GoldenLotus" w:hAnsi="AAA GoldenLotus"/>
          <w:sz w:val="27"/>
          <w:rtl/>
        </w:rPr>
        <w:t xml:space="preserve"> المت</w:t>
      </w:r>
      <w:r w:rsidR="00B30F9E" w:rsidRPr="00282AC9">
        <w:rPr>
          <w:rFonts w:ascii="AAA GoldenLotus" w:hAnsi="AAA GoldenLotus" w:hint="cs"/>
          <w:sz w:val="27"/>
          <w:rtl/>
        </w:rPr>
        <w:t>َّ</w:t>
      </w:r>
      <w:r w:rsidRPr="00282AC9">
        <w:rPr>
          <w:rFonts w:ascii="AAA GoldenLotus" w:hAnsi="AAA GoldenLotus"/>
          <w:sz w:val="27"/>
          <w:rtl/>
        </w:rPr>
        <w:t>صل</w:t>
      </w:r>
      <w:r w:rsidR="00B30F9E" w:rsidRPr="00282AC9">
        <w:rPr>
          <w:rFonts w:ascii="AAA GoldenLotus" w:hAnsi="AAA GoldenLotus" w:hint="cs"/>
          <w:sz w:val="27"/>
          <w:rtl/>
        </w:rPr>
        <w:t>،</w:t>
      </w:r>
      <w:r w:rsidRPr="00282AC9">
        <w:rPr>
          <w:rFonts w:ascii="AAA GoldenLotus" w:hAnsi="AAA GoldenLotus"/>
          <w:sz w:val="27"/>
          <w:rtl/>
        </w:rPr>
        <w:t xml:space="preserve"> المعب</w:t>
      </w:r>
      <w:r w:rsidR="00B30F9E" w:rsidRPr="00282AC9">
        <w:rPr>
          <w:rFonts w:ascii="AAA GoldenLotus" w:hAnsi="AAA GoldenLotus" w:hint="cs"/>
          <w:sz w:val="27"/>
          <w:rtl/>
        </w:rPr>
        <w:t>َّ</w:t>
      </w:r>
      <w:r w:rsidRPr="00282AC9">
        <w:rPr>
          <w:rFonts w:ascii="AAA GoldenLotus" w:hAnsi="AAA GoldenLotus"/>
          <w:sz w:val="27"/>
          <w:rtl/>
        </w:rPr>
        <w:t>ر عنه بالخروج التخصيصي</w:t>
      </w:r>
      <w:r w:rsidR="00B30F9E" w:rsidRPr="00282AC9">
        <w:rPr>
          <w:rFonts w:ascii="AAA GoldenLotus" w:hAnsi="AAA GoldenLotus" w:hint="cs"/>
          <w:sz w:val="27"/>
          <w:rtl/>
        </w:rPr>
        <w:t>ّ</w:t>
      </w:r>
      <w:r w:rsidRPr="00282AC9">
        <w:rPr>
          <w:rFonts w:ascii="AAA GoldenLotus" w:hAnsi="AAA GoldenLotus"/>
          <w:sz w:val="27"/>
          <w:rtl/>
        </w:rPr>
        <w:t xml:space="preserve"> الح</w:t>
      </w:r>
      <w:r w:rsidR="00B30F9E" w:rsidRPr="00282AC9">
        <w:rPr>
          <w:rFonts w:ascii="AAA GoldenLotus" w:hAnsi="AAA GoldenLotus" w:hint="cs"/>
          <w:sz w:val="27"/>
          <w:rtl/>
        </w:rPr>
        <w:t>ُ</w:t>
      </w:r>
      <w:r w:rsidRPr="00282AC9">
        <w:rPr>
          <w:rFonts w:ascii="AAA GoldenLotus" w:hAnsi="AAA GoldenLotus"/>
          <w:sz w:val="27"/>
          <w:rtl/>
        </w:rPr>
        <w:t>ك</w:t>
      </w:r>
      <w:r w:rsidR="00B30F9E" w:rsidRPr="00282AC9">
        <w:rPr>
          <w:rFonts w:ascii="AAA GoldenLotus" w:hAnsi="AAA GoldenLotus" w:hint="cs"/>
          <w:sz w:val="27"/>
          <w:rtl/>
        </w:rPr>
        <w:t>ْ</w:t>
      </w:r>
      <w:r w:rsidRPr="00282AC9">
        <w:rPr>
          <w:rFonts w:ascii="AAA GoldenLotus" w:hAnsi="AAA GoldenLotus"/>
          <w:sz w:val="27"/>
          <w:rtl/>
        </w:rPr>
        <w:t>مي</w:t>
      </w:r>
      <w:r w:rsidR="00B30F9E" w:rsidRPr="00282AC9">
        <w:rPr>
          <w:rFonts w:ascii="AAA GoldenLotus" w:hAnsi="AAA GoldenLotus" w:hint="cs"/>
          <w:sz w:val="27"/>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إلا</w:t>
      </w:r>
      <w:r w:rsidR="00B30F9E" w:rsidRPr="00282AC9">
        <w:rPr>
          <w:rFonts w:ascii="AAA GoldenLotus" w:hAnsi="AAA GoldenLotus" w:hint="cs"/>
          <w:sz w:val="27"/>
          <w:rtl/>
        </w:rPr>
        <w:t>ّ</w:t>
      </w:r>
      <w:r w:rsidRPr="00282AC9">
        <w:rPr>
          <w:rFonts w:ascii="AAA GoldenLotus" w:hAnsi="AAA GoldenLotus"/>
          <w:sz w:val="27"/>
          <w:rtl/>
        </w:rPr>
        <w:t xml:space="preserve"> أنّ الشاطبي في حديثه عن الجزئي</w:t>
      </w:r>
      <w:r w:rsidR="00B30F9E" w:rsidRPr="00282AC9">
        <w:rPr>
          <w:rFonts w:ascii="AAA GoldenLotus" w:hAnsi="AAA GoldenLotus" w:hint="cs"/>
          <w:sz w:val="27"/>
          <w:rtl/>
        </w:rPr>
        <w:t>ّ</w:t>
      </w:r>
      <w:r w:rsidRPr="00282AC9">
        <w:rPr>
          <w:rFonts w:ascii="AAA GoldenLotus" w:hAnsi="AAA GoldenLotus"/>
          <w:sz w:val="27"/>
          <w:rtl/>
        </w:rPr>
        <w:t xml:space="preserve"> ا</w:t>
      </w:r>
      <w:r w:rsidR="00B30F9E" w:rsidRPr="00282AC9">
        <w:rPr>
          <w:rFonts w:ascii="AAA GoldenLotus" w:hAnsi="AAA GoldenLotus"/>
          <w:sz w:val="27"/>
          <w:rtl/>
        </w:rPr>
        <w:t>لذي يخرج عن القاعدة قد يكون ح</w:t>
      </w:r>
      <w:r w:rsidR="00167C39" w:rsidRPr="00282AC9">
        <w:rPr>
          <w:rFonts w:ascii="AAA GoldenLotus" w:hAnsi="AAA GoldenLotus" w:hint="cs"/>
          <w:sz w:val="27"/>
          <w:rtl/>
        </w:rPr>
        <w:t>َ</w:t>
      </w:r>
      <w:r w:rsidR="00B30F9E" w:rsidRPr="00282AC9">
        <w:rPr>
          <w:rFonts w:ascii="AAA GoldenLotus" w:hAnsi="AAA GoldenLotus"/>
          <w:sz w:val="27"/>
          <w:rtl/>
        </w:rPr>
        <w:t>ل</w:t>
      </w:r>
      <w:r w:rsidR="00167C39" w:rsidRPr="00282AC9">
        <w:rPr>
          <w:rFonts w:ascii="AAA GoldenLotus" w:hAnsi="AAA GoldenLotus" w:hint="cs"/>
          <w:sz w:val="27"/>
          <w:rtl/>
        </w:rPr>
        <w:t>َّ</w:t>
      </w:r>
      <w:r w:rsidRPr="00282AC9">
        <w:rPr>
          <w:rFonts w:ascii="AAA GoldenLotus" w:hAnsi="AAA GoldenLotus"/>
          <w:sz w:val="27"/>
          <w:rtl/>
        </w:rPr>
        <w:t xml:space="preserve"> مشكلة الاستثناءات التي تشك</w:t>
      </w:r>
      <w:r w:rsidR="00167C39" w:rsidRPr="00282AC9">
        <w:rPr>
          <w:rFonts w:ascii="AAA GoldenLotus" w:hAnsi="AAA GoldenLotus" w:hint="cs"/>
          <w:sz w:val="27"/>
          <w:rtl/>
        </w:rPr>
        <w:t>ِّ</w:t>
      </w:r>
      <w:r w:rsidRPr="00282AC9">
        <w:rPr>
          <w:rFonts w:ascii="AAA GoldenLotus" w:hAnsi="AAA GoldenLotus"/>
          <w:sz w:val="27"/>
          <w:rtl/>
        </w:rPr>
        <w:t>ل عائقاً أمام عمومها واط</w:t>
      </w:r>
      <w:r w:rsidR="00167C39" w:rsidRPr="00282AC9">
        <w:rPr>
          <w:rFonts w:ascii="AAA GoldenLotus" w:hAnsi="AAA GoldenLotus" w:hint="cs"/>
          <w:sz w:val="27"/>
          <w:rtl/>
        </w:rPr>
        <w:t>ّ</w:t>
      </w:r>
      <w:r w:rsidRPr="00282AC9">
        <w:rPr>
          <w:rFonts w:ascii="AAA GoldenLotus" w:hAnsi="AAA GoldenLotus"/>
          <w:sz w:val="27"/>
          <w:rtl/>
        </w:rPr>
        <w:t>رادها؛ حيث قال:</w:t>
      </w:r>
      <w:r w:rsidR="00167C39" w:rsidRPr="00282AC9">
        <w:rPr>
          <w:rFonts w:ascii="AAA GoldenLotus" w:hAnsi="AAA GoldenLotus" w:hint="cs"/>
          <w:sz w:val="27"/>
          <w:rtl/>
        </w:rPr>
        <w:t xml:space="preserve"> </w:t>
      </w:r>
      <w:r w:rsidR="00167C39" w:rsidRPr="00282AC9">
        <w:rPr>
          <w:rFonts w:hint="eastAsia"/>
          <w:sz w:val="24"/>
          <w:szCs w:val="24"/>
          <w:rtl/>
        </w:rPr>
        <w:t>«</w:t>
      </w:r>
      <w:r w:rsidRPr="00282AC9">
        <w:rPr>
          <w:rFonts w:ascii="AAA GoldenLotus" w:hAnsi="AAA GoldenLotus"/>
          <w:sz w:val="27"/>
          <w:rtl/>
        </w:rPr>
        <w:t>فالجزئيات المتخل</w:t>
      </w:r>
      <w:r w:rsidR="00167C39" w:rsidRPr="00282AC9">
        <w:rPr>
          <w:rFonts w:ascii="AAA GoldenLotus" w:hAnsi="AAA GoldenLotus" w:hint="cs"/>
          <w:sz w:val="27"/>
          <w:rtl/>
        </w:rPr>
        <w:t>ِّ</w:t>
      </w:r>
      <w:r w:rsidRPr="00282AC9">
        <w:rPr>
          <w:rFonts w:ascii="AAA GoldenLotus" w:hAnsi="AAA GoldenLotus"/>
          <w:sz w:val="27"/>
          <w:rtl/>
        </w:rPr>
        <w:t>فة قد يكون تخل</w:t>
      </w:r>
      <w:r w:rsidR="00167C39" w:rsidRPr="00282AC9">
        <w:rPr>
          <w:rFonts w:ascii="AAA GoldenLotus" w:hAnsi="AAA GoldenLotus" w:hint="cs"/>
          <w:sz w:val="27"/>
          <w:rtl/>
        </w:rPr>
        <w:t>ُّ</w:t>
      </w:r>
      <w:r w:rsidRPr="00282AC9">
        <w:rPr>
          <w:rFonts w:ascii="AAA GoldenLotus" w:hAnsi="AAA GoldenLotus"/>
          <w:sz w:val="27"/>
          <w:rtl/>
        </w:rPr>
        <w:t>فها لحكم</w:t>
      </w:r>
      <w:r w:rsidR="00167C39" w:rsidRPr="00282AC9">
        <w:rPr>
          <w:rFonts w:ascii="AAA GoldenLotus" w:hAnsi="AAA GoldenLotus" w:hint="cs"/>
          <w:sz w:val="27"/>
          <w:rtl/>
        </w:rPr>
        <w:t>ٍ</w:t>
      </w:r>
      <w:r w:rsidRPr="00282AC9">
        <w:rPr>
          <w:rFonts w:ascii="AAA GoldenLotus" w:hAnsi="AAA GoldenLotus"/>
          <w:sz w:val="27"/>
          <w:rtl/>
        </w:rPr>
        <w:t xml:space="preserve"> خارج</w:t>
      </w:r>
      <w:r w:rsidR="00167C39" w:rsidRPr="00282AC9">
        <w:rPr>
          <w:rFonts w:ascii="AAA GoldenLotus" w:hAnsi="AAA GoldenLotus" w:hint="cs"/>
          <w:sz w:val="27"/>
          <w:rtl/>
        </w:rPr>
        <w:t>ٍ</w:t>
      </w:r>
      <w:r w:rsidRPr="00282AC9">
        <w:rPr>
          <w:rFonts w:ascii="AAA GoldenLotus" w:hAnsi="AAA GoldenLotus"/>
          <w:sz w:val="27"/>
          <w:rtl/>
        </w:rPr>
        <w:t xml:space="preserve"> عن مقتضى الكل</w:t>
      </w:r>
      <w:r w:rsidR="00167C39" w:rsidRPr="00282AC9">
        <w:rPr>
          <w:rFonts w:ascii="AAA GoldenLotus" w:hAnsi="AAA GoldenLotus" w:hint="cs"/>
          <w:sz w:val="27"/>
          <w:rtl/>
        </w:rPr>
        <w:t>ِّ</w:t>
      </w:r>
      <w:r w:rsidRPr="00282AC9">
        <w:rPr>
          <w:rFonts w:ascii="AAA GoldenLotus" w:hAnsi="AAA GoldenLotus"/>
          <w:sz w:val="27"/>
          <w:rtl/>
        </w:rPr>
        <w:t>ي، فلا تكون داخلة</w:t>
      </w:r>
      <w:r w:rsidR="00167C39" w:rsidRPr="00282AC9">
        <w:rPr>
          <w:rFonts w:ascii="AAA GoldenLotus" w:hAnsi="AAA GoldenLotus" w:hint="cs"/>
          <w:sz w:val="27"/>
          <w:rtl/>
        </w:rPr>
        <w:t>ً</w:t>
      </w:r>
      <w:r w:rsidRPr="00282AC9">
        <w:rPr>
          <w:rFonts w:ascii="AAA GoldenLotus" w:hAnsi="AAA GoldenLotus"/>
          <w:sz w:val="27"/>
          <w:rtl/>
        </w:rPr>
        <w:t xml:space="preserve"> تحته أصلاً</w:t>
      </w:r>
      <w:r w:rsidR="00167C39" w:rsidRPr="00282AC9">
        <w:rPr>
          <w:rFonts w:ascii="AAA GoldenLotus" w:hAnsi="AAA GoldenLotus" w:hint="cs"/>
          <w:sz w:val="27"/>
          <w:rtl/>
        </w:rPr>
        <w:t>؛</w:t>
      </w:r>
      <w:r w:rsidRPr="00282AC9">
        <w:rPr>
          <w:rFonts w:ascii="AAA GoldenLotus" w:hAnsi="AAA GoldenLotus"/>
          <w:sz w:val="27"/>
          <w:rtl/>
        </w:rPr>
        <w:t xml:space="preserve"> أو تكون داخلة</w:t>
      </w:r>
      <w:r w:rsidR="00167C39" w:rsidRPr="00282AC9">
        <w:rPr>
          <w:rFonts w:ascii="AAA GoldenLotus" w:hAnsi="AAA GoldenLotus" w:hint="cs"/>
          <w:sz w:val="27"/>
          <w:rtl/>
        </w:rPr>
        <w:t>ً،</w:t>
      </w:r>
      <w:r w:rsidRPr="00282AC9">
        <w:rPr>
          <w:rFonts w:ascii="AAA GoldenLotus" w:hAnsi="AAA GoldenLotus"/>
          <w:sz w:val="27"/>
          <w:rtl/>
        </w:rPr>
        <w:t xml:space="preserve"> لكن</w:t>
      </w:r>
      <w:r w:rsidR="00167C39" w:rsidRPr="00282AC9">
        <w:rPr>
          <w:rFonts w:ascii="AAA GoldenLotus" w:hAnsi="AAA GoldenLotus" w:hint="cs"/>
          <w:sz w:val="27"/>
          <w:rtl/>
        </w:rPr>
        <w:t>ْ</w:t>
      </w:r>
      <w:r w:rsidRPr="00282AC9">
        <w:rPr>
          <w:rFonts w:ascii="AAA GoldenLotus" w:hAnsi="AAA GoldenLotus"/>
          <w:sz w:val="27"/>
          <w:rtl/>
        </w:rPr>
        <w:t xml:space="preserve"> لم يظهر لنا دخولها</w:t>
      </w:r>
      <w:r w:rsidR="00167C39" w:rsidRPr="00282AC9">
        <w:rPr>
          <w:rFonts w:ascii="AAA GoldenLotus" w:hAnsi="AAA GoldenLotus" w:hint="cs"/>
          <w:sz w:val="27"/>
          <w:rtl/>
        </w:rPr>
        <w:t>؛</w:t>
      </w:r>
      <w:r w:rsidRPr="00282AC9">
        <w:rPr>
          <w:rFonts w:ascii="AAA GoldenLotus" w:hAnsi="AAA GoldenLotus"/>
          <w:sz w:val="27"/>
          <w:rtl/>
        </w:rPr>
        <w:t xml:space="preserve"> أو داخلة عندنا، لكن</w:t>
      </w:r>
      <w:r w:rsidR="00167C39" w:rsidRPr="00282AC9">
        <w:rPr>
          <w:rFonts w:ascii="AAA GoldenLotus" w:hAnsi="AAA GoldenLotus" w:hint="cs"/>
          <w:sz w:val="27"/>
          <w:rtl/>
        </w:rPr>
        <w:t>ْ</w:t>
      </w:r>
      <w:r w:rsidRPr="00282AC9">
        <w:rPr>
          <w:rFonts w:ascii="AAA GoldenLotus" w:hAnsi="AAA GoldenLotus"/>
          <w:sz w:val="27"/>
          <w:rtl/>
        </w:rPr>
        <w:t xml:space="preserve"> عارضها على الخصوص ما هي به أ</w:t>
      </w:r>
      <w:r w:rsidR="00167C39" w:rsidRPr="00282AC9">
        <w:rPr>
          <w:rFonts w:ascii="AAA GoldenLotus" w:hAnsi="AAA GoldenLotus" w:hint="cs"/>
          <w:sz w:val="27"/>
          <w:rtl/>
        </w:rPr>
        <w:t>َ</w:t>
      </w:r>
      <w:r w:rsidRPr="00282AC9">
        <w:rPr>
          <w:rFonts w:ascii="AAA GoldenLotus" w:hAnsi="AAA GoldenLotus"/>
          <w:sz w:val="27"/>
          <w:rtl/>
        </w:rPr>
        <w:t>و</w:t>
      </w:r>
      <w:r w:rsidR="00167C39" w:rsidRPr="00282AC9">
        <w:rPr>
          <w:rFonts w:ascii="AAA GoldenLotus" w:hAnsi="AAA GoldenLotus" w:hint="cs"/>
          <w:sz w:val="27"/>
          <w:rtl/>
        </w:rPr>
        <w:t>ْ</w:t>
      </w:r>
      <w:r w:rsidRPr="00282AC9">
        <w:rPr>
          <w:rFonts w:ascii="AAA GoldenLotus" w:hAnsi="AAA GoldenLotus"/>
          <w:sz w:val="27"/>
          <w:rtl/>
        </w:rPr>
        <w:t>لى</w:t>
      </w:r>
      <w:r w:rsidR="00167C39"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95"/>
      </w:r>
      <w:r w:rsidRPr="00282AC9">
        <w:rPr>
          <w:rFonts w:ascii="AAA GoldenLotus" w:hAnsi="AAA GoldenLotus"/>
          <w:sz w:val="27"/>
          <w:vertAlign w:val="superscript"/>
          <w:rtl/>
        </w:rPr>
        <w:t>)</w:t>
      </w:r>
      <w:r w:rsidR="00167C39" w:rsidRPr="00282AC9">
        <w:rPr>
          <w:rFonts w:ascii="AAA GoldenLotus" w:hAnsi="AAA GoldenLotus" w:hint="cs"/>
          <w:sz w:val="27"/>
          <w:rtl/>
        </w:rPr>
        <w:t>.</w:t>
      </w:r>
      <w:r w:rsidRPr="00282AC9">
        <w:rPr>
          <w:rFonts w:ascii="AAA GoldenLotus" w:hAnsi="AAA GoldenLotus"/>
          <w:sz w:val="27"/>
          <w:rtl/>
        </w:rPr>
        <w:t xml:space="preserve"> فعلى كل</w:t>
      </w:r>
      <w:r w:rsidR="00167C39" w:rsidRPr="00282AC9">
        <w:rPr>
          <w:rFonts w:ascii="AAA GoldenLotus" w:hAnsi="AAA GoldenLotus" w:hint="cs"/>
          <w:sz w:val="27"/>
          <w:rtl/>
        </w:rPr>
        <w:t>ّ</w:t>
      </w:r>
      <w:r w:rsidRPr="00282AC9">
        <w:rPr>
          <w:rFonts w:ascii="AAA GoldenLotus" w:hAnsi="AAA GoldenLotus"/>
          <w:sz w:val="27"/>
          <w:rtl/>
        </w:rPr>
        <w:t xml:space="preserve"> تقدير</w:t>
      </w:r>
      <w:r w:rsidR="00167C39" w:rsidRPr="00282AC9">
        <w:rPr>
          <w:rFonts w:ascii="AAA GoldenLotus" w:hAnsi="AAA GoldenLotus" w:hint="cs"/>
          <w:sz w:val="27"/>
          <w:rtl/>
        </w:rPr>
        <w:t>ٍ</w:t>
      </w:r>
      <w:r w:rsidRPr="00282AC9">
        <w:rPr>
          <w:rFonts w:ascii="AAA GoldenLotus" w:hAnsi="AAA GoldenLotus"/>
          <w:sz w:val="27"/>
          <w:rtl/>
        </w:rPr>
        <w:t xml:space="preserve"> لا اعتبار بمعارضة الجزئي</w:t>
      </w:r>
      <w:r w:rsidR="00167C39" w:rsidRPr="00282AC9">
        <w:rPr>
          <w:rFonts w:ascii="AAA GoldenLotus" w:hAnsi="AAA GoldenLotus" w:hint="cs"/>
          <w:sz w:val="27"/>
          <w:rtl/>
        </w:rPr>
        <w:t>ّ</w:t>
      </w:r>
      <w:r w:rsidRPr="00282AC9">
        <w:rPr>
          <w:rFonts w:ascii="AAA GoldenLotus" w:hAnsi="AAA GoldenLotus"/>
          <w:sz w:val="27"/>
          <w:rtl/>
        </w:rPr>
        <w:t>ات في صح</w:t>
      </w:r>
      <w:r w:rsidR="00167C39" w:rsidRPr="00282AC9">
        <w:rPr>
          <w:rFonts w:ascii="AAA GoldenLotus" w:hAnsi="AAA GoldenLotus" w:hint="cs"/>
          <w:sz w:val="27"/>
          <w:rtl/>
        </w:rPr>
        <w:t>ّ</w:t>
      </w:r>
      <w:r w:rsidRPr="00282AC9">
        <w:rPr>
          <w:rFonts w:ascii="AAA GoldenLotus" w:hAnsi="AAA GoldenLotus"/>
          <w:sz w:val="27"/>
          <w:rtl/>
        </w:rPr>
        <w:t>ة وضع الكل</w:t>
      </w:r>
      <w:r w:rsidR="00167C39" w:rsidRPr="00282AC9">
        <w:rPr>
          <w:rFonts w:ascii="AAA GoldenLotus" w:hAnsi="AAA GoldenLotus" w:hint="cs"/>
          <w:sz w:val="27"/>
          <w:rtl/>
        </w:rPr>
        <w:t>ِّ</w:t>
      </w:r>
      <w:r w:rsidRPr="00282AC9">
        <w:rPr>
          <w:rFonts w:ascii="AAA GoldenLotus" w:hAnsi="AAA GoldenLotus"/>
          <w:sz w:val="27"/>
          <w:rtl/>
        </w:rPr>
        <w:t>يات للمصالح.</w:t>
      </w:r>
    </w:p>
    <w:p w:rsidR="00E355F2" w:rsidRPr="00282AC9" w:rsidRDefault="00E355F2" w:rsidP="00046546">
      <w:pPr>
        <w:rPr>
          <w:rFonts w:ascii="AAA GoldenLotus" w:hAnsi="AAA GoldenLotus"/>
          <w:sz w:val="27"/>
          <w:rtl/>
        </w:rPr>
      </w:pPr>
      <w:r w:rsidRPr="00282AC9">
        <w:rPr>
          <w:rFonts w:ascii="AAA GoldenLotus" w:hAnsi="AAA GoldenLotus"/>
          <w:sz w:val="27"/>
          <w:rtl/>
        </w:rPr>
        <w:t xml:space="preserve">فتعبير الشاطبي بقوله: </w:t>
      </w:r>
      <w:r w:rsidRPr="00282AC9">
        <w:rPr>
          <w:rFonts w:ascii="AAA GoldenLotus" w:hAnsi="AAA GoldenLotus" w:hint="cs"/>
          <w:sz w:val="27"/>
          <w:rtl/>
        </w:rPr>
        <w:t>(</w:t>
      </w:r>
      <w:r w:rsidRPr="00282AC9">
        <w:rPr>
          <w:rFonts w:ascii="AAA GoldenLotus" w:hAnsi="AAA GoldenLotus"/>
          <w:sz w:val="27"/>
          <w:rtl/>
        </w:rPr>
        <w:t xml:space="preserve">فلا </w:t>
      </w:r>
      <w:r w:rsidR="00167C39" w:rsidRPr="00282AC9">
        <w:rPr>
          <w:rFonts w:ascii="AAA GoldenLotus" w:hAnsi="AAA GoldenLotus" w:hint="cs"/>
          <w:sz w:val="27"/>
          <w:rtl/>
        </w:rPr>
        <w:t>ت</w:t>
      </w:r>
      <w:r w:rsidR="00167C39" w:rsidRPr="00282AC9">
        <w:rPr>
          <w:rFonts w:ascii="AAA GoldenLotus" w:hAnsi="AAA GoldenLotus"/>
          <w:sz w:val="27"/>
          <w:rtl/>
        </w:rPr>
        <w:t>كون داخل</w:t>
      </w:r>
      <w:r w:rsidR="00167C39" w:rsidRPr="00282AC9">
        <w:rPr>
          <w:rFonts w:ascii="AAA GoldenLotus" w:hAnsi="AAA GoldenLotus" w:hint="cs"/>
          <w:sz w:val="27"/>
          <w:rtl/>
        </w:rPr>
        <w:t>ةً</w:t>
      </w:r>
      <w:r w:rsidRPr="00282AC9">
        <w:rPr>
          <w:rFonts w:ascii="AAA GoldenLotus" w:hAnsi="AAA GoldenLotus"/>
          <w:sz w:val="27"/>
          <w:rtl/>
        </w:rPr>
        <w:t xml:space="preserve"> تحته أصلاً</w:t>
      </w:r>
      <w:r w:rsidRPr="00282AC9">
        <w:rPr>
          <w:rFonts w:ascii="AAA GoldenLotus" w:hAnsi="AAA GoldenLotus" w:hint="cs"/>
          <w:sz w:val="27"/>
          <w:rtl/>
        </w:rPr>
        <w:t>)</w:t>
      </w:r>
      <w:r w:rsidRPr="00282AC9">
        <w:rPr>
          <w:rFonts w:ascii="AAA GoldenLotus" w:hAnsi="AAA GoldenLotus"/>
          <w:sz w:val="27"/>
          <w:rtl/>
        </w:rPr>
        <w:t xml:space="preserve"> هو نفسه ما اصطلح</w:t>
      </w:r>
      <w:r w:rsidR="00167C39" w:rsidRPr="00282AC9">
        <w:rPr>
          <w:rFonts w:ascii="AAA GoldenLotus" w:hAnsi="AAA GoldenLotus" w:hint="cs"/>
          <w:sz w:val="27"/>
          <w:rtl/>
        </w:rPr>
        <w:t>َ</w:t>
      </w:r>
      <w:r w:rsidRPr="00282AC9">
        <w:rPr>
          <w:rFonts w:ascii="AAA GoldenLotus" w:hAnsi="AAA GoldenLotus"/>
          <w:sz w:val="27"/>
          <w:rtl/>
        </w:rPr>
        <w:t>ت</w:t>
      </w:r>
      <w:r w:rsidR="00167C39" w:rsidRPr="00282AC9">
        <w:rPr>
          <w:rFonts w:ascii="AAA GoldenLotus" w:hAnsi="AAA GoldenLotus" w:hint="cs"/>
          <w:sz w:val="27"/>
          <w:rtl/>
        </w:rPr>
        <w:t>ْ</w:t>
      </w:r>
      <w:r w:rsidRPr="00282AC9">
        <w:rPr>
          <w:rFonts w:ascii="AAA GoldenLotus" w:hAnsi="AAA GoldenLotus"/>
          <w:sz w:val="27"/>
          <w:rtl/>
        </w:rPr>
        <w:t xml:space="preserve"> عليه بعض علماء الامامي</w:t>
      </w:r>
      <w:r w:rsidR="00167C39" w:rsidRPr="00282AC9">
        <w:rPr>
          <w:rFonts w:ascii="AAA GoldenLotus" w:hAnsi="AAA GoldenLotus" w:hint="cs"/>
          <w:sz w:val="27"/>
          <w:rtl/>
        </w:rPr>
        <w:t>ّ</w:t>
      </w:r>
      <w:r w:rsidRPr="00282AC9">
        <w:rPr>
          <w:rFonts w:ascii="AAA GoldenLotus" w:hAnsi="AAA GoldenLotus"/>
          <w:sz w:val="27"/>
          <w:rtl/>
        </w:rPr>
        <w:t xml:space="preserve">ة بـ </w:t>
      </w:r>
      <w:r w:rsidRPr="00282AC9">
        <w:rPr>
          <w:rFonts w:ascii="AAA GoldenLotus" w:hAnsi="AAA GoldenLotus" w:hint="cs"/>
          <w:sz w:val="27"/>
          <w:rtl/>
        </w:rPr>
        <w:t>(</w:t>
      </w:r>
      <w:r w:rsidRPr="00282AC9">
        <w:rPr>
          <w:rFonts w:ascii="AAA GoldenLotus" w:hAnsi="AAA GoldenLotus"/>
          <w:sz w:val="27"/>
          <w:rtl/>
        </w:rPr>
        <w:t>الخروج التخص</w:t>
      </w:r>
      <w:r w:rsidR="00167C39" w:rsidRPr="00282AC9">
        <w:rPr>
          <w:rFonts w:ascii="AAA GoldenLotus" w:hAnsi="AAA GoldenLotus" w:hint="cs"/>
          <w:sz w:val="27"/>
          <w:rtl/>
        </w:rPr>
        <w:t>ُّ</w:t>
      </w:r>
      <w:r w:rsidRPr="00282AC9">
        <w:rPr>
          <w:rFonts w:ascii="AAA GoldenLotus" w:hAnsi="AAA GoldenLotus"/>
          <w:sz w:val="27"/>
          <w:rtl/>
        </w:rPr>
        <w:t>صي</w:t>
      </w:r>
      <w:r w:rsidRPr="00282AC9">
        <w:rPr>
          <w:rFonts w:ascii="AAA GoldenLotus" w:hAnsi="AAA GoldenLotus" w:hint="cs"/>
          <w:sz w:val="27"/>
          <w:rtl/>
        </w:rPr>
        <w:t>)</w:t>
      </w:r>
      <w:r w:rsidRPr="00282AC9">
        <w:rPr>
          <w:rFonts w:ascii="AAA GoldenLotus" w:hAnsi="AAA GoldenLotus"/>
          <w:sz w:val="27"/>
          <w:rtl/>
        </w:rPr>
        <w:t>، فيكون من القائلين بأن خروج الموارد المتقد</w:t>
      </w:r>
      <w:r w:rsidR="00167C39" w:rsidRPr="00282AC9">
        <w:rPr>
          <w:rFonts w:ascii="AAA GoldenLotus" w:hAnsi="AAA GoldenLotus" w:hint="cs"/>
          <w:sz w:val="27"/>
          <w:rtl/>
        </w:rPr>
        <w:t>ِّ</w:t>
      </w:r>
      <w:r w:rsidRPr="00282AC9">
        <w:rPr>
          <w:rFonts w:ascii="AAA GoldenLotus" w:hAnsi="AAA GoldenLotus"/>
          <w:sz w:val="27"/>
          <w:rtl/>
        </w:rPr>
        <w:t>مة إنما هو من موارد الخروج التخص</w:t>
      </w:r>
      <w:r w:rsidR="00167C39" w:rsidRPr="00282AC9">
        <w:rPr>
          <w:rFonts w:ascii="AAA GoldenLotus" w:hAnsi="AAA GoldenLotus" w:hint="cs"/>
          <w:sz w:val="27"/>
          <w:rtl/>
        </w:rPr>
        <w:t>ُّ</w:t>
      </w:r>
      <w:r w:rsidRPr="00282AC9">
        <w:rPr>
          <w:rFonts w:ascii="AAA GoldenLotus" w:hAnsi="AAA GoldenLotus"/>
          <w:sz w:val="27"/>
          <w:rtl/>
        </w:rPr>
        <w:t>صي الموضوعي</w:t>
      </w:r>
      <w:r w:rsidR="00167C39" w:rsidRPr="00282AC9">
        <w:rPr>
          <w:rFonts w:ascii="AAA GoldenLotus" w:hAnsi="AAA GoldenLotus" w:hint="cs"/>
          <w:sz w:val="27"/>
          <w:rtl/>
        </w:rPr>
        <w:t>ّ،</w:t>
      </w:r>
      <w:r w:rsidRPr="00282AC9">
        <w:rPr>
          <w:rFonts w:ascii="AAA GoldenLotus" w:hAnsi="AAA GoldenLotus"/>
          <w:sz w:val="27"/>
          <w:rtl/>
        </w:rPr>
        <w:t xml:space="preserve"> لا التخصيصي الح</w:t>
      </w:r>
      <w:r w:rsidR="00167C39" w:rsidRPr="00282AC9">
        <w:rPr>
          <w:rFonts w:ascii="AAA GoldenLotus" w:hAnsi="AAA GoldenLotus" w:hint="cs"/>
          <w:sz w:val="27"/>
          <w:rtl/>
        </w:rPr>
        <w:t>ُ</w:t>
      </w:r>
      <w:r w:rsidRPr="00282AC9">
        <w:rPr>
          <w:rFonts w:ascii="AAA GoldenLotus" w:hAnsi="AAA GoldenLotus"/>
          <w:sz w:val="27"/>
          <w:rtl/>
        </w:rPr>
        <w:t>ك</w:t>
      </w:r>
      <w:r w:rsidR="00167C39" w:rsidRPr="00282AC9">
        <w:rPr>
          <w:rFonts w:ascii="AAA GoldenLotus" w:hAnsi="AAA GoldenLotus" w:hint="cs"/>
          <w:sz w:val="27"/>
          <w:rtl/>
        </w:rPr>
        <w:t>ْ</w:t>
      </w:r>
      <w:r w:rsidRPr="00282AC9">
        <w:rPr>
          <w:rFonts w:ascii="AAA GoldenLotus" w:hAnsi="AAA GoldenLotus"/>
          <w:sz w:val="27"/>
          <w:rtl/>
        </w:rPr>
        <w:t>مي.</w:t>
      </w:r>
    </w:p>
    <w:p w:rsidR="00E355F2" w:rsidRPr="00282AC9" w:rsidRDefault="00E355F2" w:rsidP="00046546">
      <w:pPr>
        <w:rPr>
          <w:rFonts w:ascii="AAA GoldenLotus" w:hAnsi="AAA GoldenLotus"/>
          <w:sz w:val="27"/>
          <w:rtl/>
        </w:rPr>
      </w:pPr>
      <w:r w:rsidRPr="00282AC9">
        <w:rPr>
          <w:rFonts w:ascii="AAA GoldenLotus" w:hAnsi="AAA GoldenLotus"/>
          <w:sz w:val="27"/>
          <w:rtl/>
        </w:rPr>
        <w:t>إذن، المذاهب الإسلامي</w:t>
      </w:r>
      <w:r w:rsidR="00167C39" w:rsidRPr="00282AC9">
        <w:rPr>
          <w:rFonts w:ascii="AAA GoldenLotus" w:hAnsi="AAA GoldenLotus" w:hint="cs"/>
          <w:sz w:val="27"/>
          <w:rtl/>
        </w:rPr>
        <w:t>ّ</w:t>
      </w:r>
      <w:r w:rsidRPr="00282AC9">
        <w:rPr>
          <w:rFonts w:ascii="AAA GoldenLotus" w:hAnsi="AAA GoldenLotus"/>
          <w:sz w:val="27"/>
          <w:rtl/>
        </w:rPr>
        <w:t>ة الأخرى مختلفة</w:t>
      </w:r>
      <w:r w:rsidR="00167C39" w:rsidRPr="00282AC9">
        <w:rPr>
          <w:rFonts w:ascii="AAA GoldenLotus" w:hAnsi="AAA GoldenLotus" w:hint="cs"/>
          <w:sz w:val="27"/>
          <w:rtl/>
        </w:rPr>
        <w:t>ٌ</w:t>
      </w:r>
      <w:r w:rsidRPr="00282AC9">
        <w:rPr>
          <w:rFonts w:ascii="AAA GoldenLotus" w:hAnsi="AAA GoldenLotus"/>
          <w:sz w:val="27"/>
          <w:rtl/>
        </w:rPr>
        <w:t xml:space="preserve"> في هذه المسألة على قولين</w:t>
      </w:r>
      <w:r w:rsidR="00167C39" w:rsidRPr="00282AC9">
        <w:rPr>
          <w:rFonts w:ascii="AAA GoldenLotus" w:hAnsi="AAA GoldenLotus" w:hint="cs"/>
          <w:sz w:val="27"/>
          <w:rtl/>
        </w:rPr>
        <w:t>،</w:t>
      </w:r>
      <w:r w:rsidRPr="00282AC9">
        <w:rPr>
          <w:rFonts w:ascii="AAA GoldenLotus" w:hAnsi="AAA GoldenLotus"/>
          <w:sz w:val="27"/>
          <w:rtl/>
        </w:rPr>
        <w:t xml:space="preserve"> كالإمامي</w:t>
      </w:r>
      <w:r w:rsidR="00167C39" w:rsidRPr="00282AC9">
        <w:rPr>
          <w:rFonts w:ascii="AAA GoldenLotus" w:hAnsi="AAA GoldenLotus" w:hint="cs"/>
          <w:sz w:val="27"/>
          <w:rtl/>
        </w:rPr>
        <w:t>ّ</w:t>
      </w:r>
      <w:r w:rsidRPr="00282AC9">
        <w:rPr>
          <w:rFonts w:ascii="AAA GoldenLotus" w:hAnsi="AAA GoldenLotus"/>
          <w:sz w:val="27"/>
          <w:rtl/>
        </w:rPr>
        <w:t xml:space="preserve">ة. </w:t>
      </w:r>
    </w:p>
    <w:p w:rsidR="009C287D" w:rsidRPr="00282AC9" w:rsidRDefault="009C287D" w:rsidP="009C287D">
      <w:pPr>
        <w:spacing w:line="420" w:lineRule="exact"/>
        <w:rPr>
          <w:rtl/>
        </w:rPr>
      </w:pPr>
      <w:bookmarkStart w:id="45" w:name="_Toc33819763"/>
    </w:p>
    <w:p w:rsidR="00E355F2" w:rsidRPr="00282AC9" w:rsidRDefault="00E355F2" w:rsidP="00DD4FB4">
      <w:pPr>
        <w:pStyle w:val="31"/>
        <w:rPr>
          <w:color w:val="auto"/>
          <w:rtl/>
        </w:rPr>
      </w:pPr>
      <w:r w:rsidRPr="00282AC9">
        <w:rPr>
          <w:color w:val="auto"/>
          <w:rtl/>
        </w:rPr>
        <w:t>النتيجة المتحص</w:t>
      </w:r>
      <w:r w:rsidR="00167C39" w:rsidRPr="00282AC9">
        <w:rPr>
          <w:rFonts w:hint="cs"/>
          <w:color w:val="auto"/>
          <w:rtl/>
        </w:rPr>
        <w:t>ِّ</w:t>
      </w:r>
      <w:r w:rsidRPr="00282AC9">
        <w:rPr>
          <w:color w:val="auto"/>
          <w:rtl/>
        </w:rPr>
        <w:t>لة</w:t>
      </w:r>
      <w:bookmarkEnd w:id="45"/>
    </w:p>
    <w:p w:rsidR="00E355F2" w:rsidRPr="00282AC9" w:rsidRDefault="00E355F2" w:rsidP="00046546">
      <w:pPr>
        <w:rPr>
          <w:rFonts w:ascii="AAA GoldenLotus" w:hAnsi="AAA GoldenLotus"/>
          <w:sz w:val="27"/>
          <w:rtl/>
        </w:rPr>
      </w:pPr>
      <w:r w:rsidRPr="00282AC9">
        <w:rPr>
          <w:rFonts w:ascii="AAA GoldenLotus" w:hAnsi="AAA GoldenLotus"/>
          <w:sz w:val="27"/>
          <w:rtl/>
        </w:rPr>
        <w:t>ات</w:t>
      </w:r>
      <w:r w:rsidR="00DD4FB4" w:rsidRPr="00282AC9">
        <w:rPr>
          <w:rFonts w:ascii="AAA GoldenLotus" w:hAnsi="AAA GoldenLotus" w:hint="cs"/>
          <w:sz w:val="27"/>
          <w:rtl/>
        </w:rPr>
        <w:t>ّ</w:t>
      </w:r>
      <w:r w:rsidRPr="00282AC9">
        <w:rPr>
          <w:rFonts w:ascii="AAA GoldenLotus" w:hAnsi="AAA GoldenLotus"/>
          <w:sz w:val="27"/>
          <w:rtl/>
        </w:rPr>
        <w:t>ضح من خلال ما تقد</w:t>
      </w:r>
      <w:r w:rsidR="00DD4FB4" w:rsidRPr="00282AC9">
        <w:rPr>
          <w:rFonts w:ascii="AAA GoldenLotus" w:hAnsi="AAA GoldenLotus" w:hint="cs"/>
          <w:sz w:val="27"/>
          <w:rtl/>
        </w:rPr>
        <w:t>َّ</w:t>
      </w:r>
      <w:r w:rsidRPr="00282AC9">
        <w:rPr>
          <w:rFonts w:ascii="AAA GoldenLotus" w:hAnsi="AAA GoldenLotus"/>
          <w:sz w:val="27"/>
          <w:rtl/>
        </w:rPr>
        <w:t>م الف</w:t>
      </w:r>
      <w:r w:rsidR="00DD4FB4" w:rsidRPr="00282AC9">
        <w:rPr>
          <w:rFonts w:ascii="AAA GoldenLotus" w:hAnsi="AAA GoldenLotus" w:hint="cs"/>
          <w:sz w:val="27"/>
          <w:rtl/>
        </w:rPr>
        <w:t>َ</w:t>
      </w:r>
      <w:r w:rsidRPr="00282AC9">
        <w:rPr>
          <w:rFonts w:ascii="AAA GoldenLotus" w:hAnsi="AAA GoldenLotus"/>
          <w:sz w:val="27"/>
          <w:rtl/>
        </w:rPr>
        <w:t>ر</w:t>
      </w:r>
      <w:r w:rsidR="00DD4FB4" w:rsidRPr="00282AC9">
        <w:rPr>
          <w:rFonts w:ascii="AAA GoldenLotus" w:hAnsi="AAA GoldenLotus" w:hint="cs"/>
          <w:sz w:val="27"/>
          <w:rtl/>
        </w:rPr>
        <w:t>ْ</w:t>
      </w:r>
      <w:r w:rsidRPr="00282AC9">
        <w:rPr>
          <w:rFonts w:ascii="AAA GoldenLotus" w:hAnsi="AAA GoldenLotus"/>
          <w:sz w:val="27"/>
          <w:rtl/>
        </w:rPr>
        <w:t>ق الأساسي بين الخروج التخص</w:t>
      </w:r>
      <w:r w:rsidR="00DD4FB4" w:rsidRPr="00282AC9">
        <w:rPr>
          <w:rFonts w:ascii="AAA GoldenLotus" w:hAnsi="AAA GoldenLotus" w:hint="cs"/>
          <w:sz w:val="27"/>
          <w:rtl/>
        </w:rPr>
        <w:t>ُّ</w:t>
      </w:r>
      <w:r w:rsidRPr="00282AC9">
        <w:rPr>
          <w:rFonts w:ascii="AAA GoldenLotus" w:hAnsi="AAA GoldenLotus"/>
          <w:sz w:val="27"/>
          <w:rtl/>
        </w:rPr>
        <w:t>صي والتخصيصي</w:t>
      </w:r>
      <w:r w:rsidR="00DD4FB4" w:rsidRPr="00282AC9">
        <w:rPr>
          <w:rFonts w:ascii="AAA GoldenLotus" w:hAnsi="AAA GoldenLotus" w:hint="cs"/>
          <w:sz w:val="27"/>
          <w:rtl/>
        </w:rPr>
        <w:t>ّ</w:t>
      </w:r>
      <w:r w:rsidRPr="00282AC9">
        <w:rPr>
          <w:rFonts w:ascii="AAA GoldenLotus" w:hAnsi="AAA GoldenLotus"/>
          <w:sz w:val="27"/>
          <w:rtl/>
        </w:rPr>
        <w:t xml:space="preserve">، وهو </w:t>
      </w:r>
      <w:r w:rsidR="00DD4FB4" w:rsidRPr="00282AC9">
        <w:rPr>
          <w:rFonts w:ascii="AAA GoldenLotus" w:hAnsi="AAA GoldenLotus" w:hint="cs"/>
          <w:sz w:val="27"/>
          <w:rtl/>
        </w:rPr>
        <w:t>أ</w:t>
      </w:r>
      <w:r w:rsidRPr="00282AC9">
        <w:rPr>
          <w:rFonts w:ascii="AAA GoldenLotus" w:hAnsi="AAA GoldenLotus"/>
          <w:sz w:val="27"/>
          <w:rtl/>
        </w:rPr>
        <w:t>ن ال</w:t>
      </w:r>
      <w:r w:rsidR="00DD4FB4" w:rsidRPr="00282AC9">
        <w:rPr>
          <w:rFonts w:ascii="AAA GoldenLotus" w:hAnsi="AAA GoldenLotus" w:hint="cs"/>
          <w:sz w:val="27"/>
          <w:rtl/>
        </w:rPr>
        <w:t>إ</w:t>
      </w:r>
      <w:r w:rsidRPr="00282AC9">
        <w:rPr>
          <w:rFonts w:ascii="AAA GoldenLotus" w:hAnsi="AAA GoldenLotus"/>
          <w:sz w:val="27"/>
          <w:rtl/>
        </w:rPr>
        <w:t xml:space="preserve">خراج في التخصيص عن الحكم ليس </w:t>
      </w:r>
      <w:r w:rsidR="00DD4FB4" w:rsidRPr="00282AC9">
        <w:rPr>
          <w:rFonts w:ascii="AAA GoldenLotus" w:hAnsi="AAA GoldenLotus" w:hint="cs"/>
          <w:sz w:val="27"/>
          <w:rtl/>
        </w:rPr>
        <w:t>إ</w:t>
      </w:r>
      <w:r w:rsidRPr="00282AC9">
        <w:rPr>
          <w:rFonts w:ascii="AAA GoldenLotus" w:hAnsi="AAA GoldenLotus"/>
          <w:sz w:val="27"/>
          <w:rtl/>
        </w:rPr>
        <w:t>خراجاً حقيقي</w:t>
      </w:r>
      <w:r w:rsidR="00DD4FB4" w:rsidRPr="00282AC9">
        <w:rPr>
          <w:rFonts w:ascii="AAA GoldenLotus" w:hAnsi="AAA GoldenLotus" w:hint="cs"/>
          <w:sz w:val="27"/>
          <w:rtl/>
        </w:rPr>
        <w:t>ّ</w:t>
      </w:r>
      <w:r w:rsidRPr="00282AC9">
        <w:rPr>
          <w:rFonts w:ascii="AAA GoldenLotus" w:hAnsi="AAA GoldenLotus"/>
          <w:sz w:val="27"/>
          <w:rtl/>
        </w:rPr>
        <w:t>اً</w:t>
      </w:r>
      <w:r w:rsidR="00DD4FB4" w:rsidRPr="00282AC9">
        <w:rPr>
          <w:rFonts w:ascii="AAA GoldenLotus" w:hAnsi="AAA GoldenLotus" w:hint="cs"/>
          <w:sz w:val="27"/>
          <w:rtl/>
        </w:rPr>
        <w:t>،</w:t>
      </w:r>
      <w:r w:rsidRPr="00282AC9">
        <w:rPr>
          <w:rFonts w:ascii="AAA GoldenLotus" w:hAnsi="AAA GoldenLotus"/>
          <w:sz w:val="27"/>
          <w:rtl/>
        </w:rPr>
        <w:t xml:space="preserve"> فلولا وجود القرينة </w:t>
      </w:r>
      <w:r w:rsidRPr="00282AC9">
        <w:rPr>
          <w:rFonts w:ascii="AAA GoldenLotus" w:hAnsi="AAA GoldenLotus"/>
          <w:sz w:val="27"/>
          <w:rtl/>
        </w:rPr>
        <w:lastRenderedPageBreak/>
        <w:t>الم</w:t>
      </w:r>
      <w:r w:rsidR="00DD4FB4" w:rsidRPr="00282AC9">
        <w:rPr>
          <w:rFonts w:ascii="AAA GoldenLotus" w:hAnsi="AAA GoldenLotus" w:hint="cs"/>
          <w:sz w:val="27"/>
          <w:rtl/>
        </w:rPr>
        <w:t>ُ</w:t>
      </w:r>
      <w:r w:rsidRPr="00282AC9">
        <w:rPr>
          <w:rFonts w:ascii="AAA GoldenLotus" w:hAnsi="AAA GoldenLotus"/>
          <w:sz w:val="27"/>
          <w:rtl/>
        </w:rPr>
        <w:t>خ</w:t>
      </w:r>
      <w:r w:rsidR="00DD4FB4" w:rsidRPr="00282AC9">
        <w:rPr>
          <w:rFonts w:ascii="AAA GoldenLotus" w:hAnsi="AAA GoldenLotus" w:hint="cs"/>
          <w:sz w:val="27"/>
          <w:rtl/>
        </w:rPr>
        <w:t>ْ</w:t>
      </w:r>
      <w:r w:rsidRPr="00282AC9">
        <w:rPr>
          <w:rFonts w:ascii="AAA GoldenLotus" w:hAnsi="AAA GoldenLotus"/>
          <w:sz w:val="27"/>
          <w:rtl/>
        </w:rPr>
        <w:t>ر</w:t>
      </w:r>
      <w:r w:rsidR="00DD4FB4" w:rsidRPr="00282AC9">
        <w:rPr>
          <w:rFonts w:ascii="AAA GoldenLotus" w:hAnsi="AAA GoldenLotus" w:hint="cs"/>
          <w:sz w:val="27"/>
          <w:rtl/>
        </w:rPr>
        <w:t>ِ</w:t>
      </w:r>
      <w:r w:rsidRPr="00282AC9">
        <w:rPr>
          <w:rFonts w:ascii="AAA GoldenLotus" w:hAnsi="AAA GoldenLotus"/>
          <w:sz w:val="27"/>
          <w:rtl/>
        </w:rPr>
        <w:t>جة له</w:t>
      </w:r>
      <w:r w:rsidR="00DD4FB4" w:rsidRPr="00282AC9">
        <w:rPr>
          <w:rFonts w:ascii="AAA GoldenLotus" w:hAnsi="AAA GoldenLotus" w:hint="cs"/>
          <w:sz w:val="27"/>
          <w:rtl/>
        </w:rPr>
        <w:t>،</w:t>
      </w:r>
      <w:r w:rsidRPr="00282AC9">
        <w:rPr>
          <w:rFonts w:ascii="AAA GoldenLotus" w:hAnsi="AAA GoldenLotus"/>
          <w:sz w:val="27"/>
          <w:rtl/>
        </w:rPr>
        <w:t xml:space="preserve"> والتي يعب</w:t>
      </w:r>
      <w:r w:rsidR="00DD4FB4" w:rsidRPr="00282AC9">
        <w:rPr>
          <w:rFonts w:ascii="AAA GoldenLotus" w:hAnsi="AAA GoldenLotus" w:hint="cs"/>
          <w:sz w:val="27"/>
          <w:rtl/>
        </w:rPr>
        <w:t>َّ</w:t>
      </w:r>
      <w:r w:rsidRPr="00282AC9">
        <w:rPr>
          <w:rFonts w:ascii="AAA GoldenLotus" w:hAnsi="AAA GoldenLotus"/>
          <w:sz w:val="27"/>
          <w:rtl/>
        </w:rPr>
        <w:t xml:space="preserve">ر عنها </w:t>
      </w:r>
      <w:r w:rsidRPr="00282AC9">
        <w:rPr>
          <w:rFonts w:ascii="AAA GoldenLotus" w:hAnsi="AAA GoldenLotus" w:hint="cs"/>
          <w:sz w:val="27"/>
          <w:rtl/>
        </w:rPr>
        <w:t>(</w:t>
      </w:r>
      <w:r w:rsidRPr="00282AC9">
        <w:rPr>
          <w:rFonts w:ascii="AAA GoldenLotus" w:hAnsi="AAA GoldenLotus"/>
          <w:sz w:val="27"/>
          <w:rtl/>
        </w:rPr>
        <w:t>بالمخص</w:t>
      </w:r>
      <w:r w:rsidR="00DD4FB4" w:rsidRPr="00282AC9">
        <w:rPr>
          <w:rFonts w:ascii="AAA GoldenLotus" w:hAnsi="AAA GoldenLotus" w:hint="cs"/>
          <w:sz w:val="27"/>
          <w:rtl/>
        </w:rPr>
        <w:t>ِّ</w:t>
      </w:r>
      <w:r w:rsidRPr="00282AC9">
        <w:rPr>
          <w:rFonts w:ascii="AAA GoldenLotus" w:hAnsi="AAA GoldenLotus"/>
          <w:sz w:val="27"/>
          <w:rtl/>
        </w:rPr>
        <w:t>ص</w:t>
      </w:r>
      <w:r w:rsidRPr="00282AC9">
        <w:rPr>
          <w:rFonts w:ascii="AAA GoldenLotus" w:hAnsi="AAA GoldenLotus" w:hint="cs"/>
          <w:sz w:val="27"/>
          <w:rtl/>
        </w:rPr>
        <w:t>)</w:t>
      </w:r>
      <w:r w:rsidR="00DD4FB4" w:rsidRPr="00282AC9">
        <w:rPr>
          <w:rFonts w:ascii="AAA GoldenLotus" w:hAnsi="AAA GoldenLotus" w:hint="cs"/>
          <w:sz w:val="27"/>
          <w:rtl/>
        </w:rPr>
        <w:t>،</w:t>
      </w:r>
      <w:r w:rsidRPr="00282AC9">
        <w:rPr>
          <w:rFonts w:ascii="AAA GoldenLotus" w:hAnsi="AAA GoldenLotus"/>
          <w:sz w:val="27"/>
          <w:rtl/>
        </w:rPr>
        <w:t xml:space="preserve"> لم يخرج عن موضوع الحكم</w:t>
      </w:r>
      <w:r w:rsidR="00DD4FB4" w:rsidRPr="00282AC9">
        <w:rPr>
          <w:rFonts w:ascii="AAA GoldenLotus" w:hAnsi="AAA GoldenLotus" w:hint="cs"/>
          <w:sz w:val="27"/>
          <w:rtl/>
        </w:rPr>
        <w:t xml:space="preserve">؛ </w:t>
      </w:r>
      <w:r w:rsidRPr="00282AC9">
        <w:rPr>
          <w:rFonts w:ascii="AAA GoldenLotus" w:hAnsi="AAA GoldenLotus"/>
          <w:sz w:val="27"/>
          <w:rtl/>
        </w:rPr>
        <w:t>خلافاً للتخص</w:t>
      </w:r>
      <w:r w:rsidR="00DD4FB4" w:rsidRPr="00282AC9">
        <w:rPr>
          <w:rFonts w:ascii="AAA GoldenLotus" w:hAnsi="AAA GoldenLotus" w:hint="cs"/>
          <w:sz w:val="27"/>
          <w:rtl/>
        </w:rPr>
        <w:t>ُّ</w:t>
      </w:r>
      <w:r w:rsidRPr="00282AC9">
        <w:rPr>
          <w:rFonts w:ascii="AAA GoldenLotus" w:hAnsi="AAA GoldenLotus"/>
          <w:sz w:val="27"/>
          <w:rtl/>
        </w:rPr>
        <w:t>ص؛ فإن خروج المخص</w:t>
      </w:r>
      <w:r w:rsidR="00DD4FB4" w:rsidRPr="00282AC9">
        <w:rPr>
          <w:rFonts w:ascii="AAA GoldenLotus" w:hAnsi="AAA GoldenLotus" w:hint="cs"/>
          <w:sz w:val="27"/>
          <w:rtl/>
        </w:rPr>
        <w:t>ِّ</w:t>
      </w:r>
      <w:r w:rsidRPr="00282AC9">
        <w:rPr>
          <w:rFonts w:ascii="AAA GoldenLotus" w:hAnsi="AAA GoldenLotus"/>
          <w:sz w:val="27"/>
          <w:rtl/>
        </w:rPr>
        <w:t>ص خروج</w:t>
      </w:r>
      <w:r w:rsidR="00DD4FB4" w:rsidRPr="00282AC9">
        <w:rPr>
          <w:rFonts w:ascii="AAA GoldenLotus" w:hAnsi="AAA GoldenLotus" w:hint="cs"/>
          <w:sz w:val="27"/>
          <w:rtl/>
        </w:rPr>
        <w:t>ٌ</w:t>
      </w:r>
      <w:r w:rsidRPr="00282AC9">
        <w:rPr>
          <w:rFonts w:ascii="AAA GoldenLotus" w:hAnsi="AAA GoldenLotus"/>
          <w:sz w:val="27"/>
          <w:rtl/>
        </w:rPr>
        <w:t xml:space="preserve"> حقيقي</w:t>
      </w:r>
      <w:r w:rsidR="00DD4FB4" w:rsidRPr="00282AC9">
        <w:rPr>
          <w:rFonts w:ascii="AAA GoldenLotus" w:hAnsi="AAA GoldenLotus" w:hint="cs"/>
          <w:sz w:val="27"/>
          <w:rtl/>
        </w:rPr>
        <w:t xml:space="preserve">ٌّ </w:t>
      </w:r>
      <w:r w:rsidRPr="00282AC9">
        <w:rPr>
          <w:rFonts w:ascii="AAA GoldenLotus" w:hAnsi="AAA GoldenLotus"/>
          <w:sz w:val="27"/>
          <w:rtl/>
        </w:rPr>
        <w:t>عن الموضوع</w:t>
      </w:r>
      <w:r w:rsidR="00DD4FB4" w:rsidRPr="00282AC9">
        <w:rPr>
          <w:rFonts w:ascii="AAA GoldenLotus" w:hAnsi="AAA GoldenLotus" w:hint="cs"/>
          <w:sz w:val="27"/>
          <w:rtl/>
        </w:rPr>
        <w:t>،</w:t>
      </w:r>
      <w:r w:rsidRPr="00282AC9">
        <w:rPr>
          <w:rFonts w:ascii="AAA GoldenLotus" w:hAnsi="AAA GoldenLotus"/>
          <w:sz w:val="27"/>
          <w:rtl/>
        </w:rPr>
        <w:t xml:space="preserve"> بلا حاجة</w:t>
      </w:r>
      <w:r w:rsidR="00DD4FB4" w:rsidRPr="00282AC9">
        <w:rPr>
          <w:rFonts w:ascii="AAA GoldenLotus" w:hAnsi="AAA GoldenLotus" w:hint="cs"/>
          <w:sz w:val="27"/>
          <w:rtl/>
        </w:rPr>
        <w:t>ٍ</w:t>
      </w:r>
      <w:r w:rsidRPr="00282AC9">
        <w:rPr>
          <w:rFonts w:ascii="AAA GoldenLotus" w:hAnsi="AAA GoldenLotus"/>
          <w:sz w:val="27"/>
          <w:rtl/>
        </w:rPr>
        <w:t xml:space="preserve"> </w:t>
      </w:r>
      <w:r w:rsidR="00DD4FB4" w:rsidRPr="00282AC9">
        <w:rPr>
          <w:rFonts w:ascii="AAA GoldenLotus" w:hAnsi="AAA GoldenLotus" w:hint="cs"/>
          <w:sz w:val="27"/>
          <w:rtl/>
        </w:rPr>
        <w:t>إ</w:t>
      </w:r>
      <w:r w:rsidRPr="00282AC9">
        <w:rPr>
          <w:rFonts w:ascii="AAA GoldenLotus" w:hAnsi="AAA GoldenLotus"/>
          <w:sz w:val="27"/>
          <w:rtl/>
        </w:rPr>
        <w:t>لى وجود قرينة</w:t>
      </w:r>
      <w:r w:rsidR="00DD4FB4" w:rsidRPr="00282AC9">
        <w:rPr>
          <w:rFonts w:ascii="AAA GoldenLotus" w:hAnsi="AAA GoldenLotus" w:hint="cs"/>
          <w:sz w:val="27"/>
          <w:rtl/>
        </w:rPr>
        <w:t>ٍ</w:t>
      </w:r>
      <w:r w:rsidRPr="00282AC9">
        <w:rPr>
          <w:rFonts w:ascii="AAA GoldenLotus" w:hAnsi="AAA GoldenLotus"/>
          <w:sz w:val="27"/>
          <w:rtl/>
        </w:rPr>
        <w:t xml:space="preserve"> ت</w:t>
      </w:r>
      <w:r w:rsidR="00DD4FB4" w:rsidRPr="00282AC9">
        <w:rPr>
          <w:rFonts w:ascii="AAA GoldenLotus" w:hAnsi="AAA GoldenLotus" w:hint="cs"/>
          <w:sz w:val="27"/>
          <w:rtl/>
        </w:rPr>
        <w:t>ُ</w:t>
      </w:r>
      <w:r w:rsidRPr="00282AC9">
        <w:rPr>
          <w:rFonts w:ascii="AAA GoldenLotus" w:hAnsi="AAA GoldenLotus"/>
          <w:sz w:val="27"/>
          <w:rtl/>
        </w:rPr>
        <w:t>خ</w:t>
      </w:r>
      <w:r w:rsidR="00DD4FB4" w:rsidRPr="00282AC9">
        <w:rPr>
          <w:rFonts w:ascii="AAA GoldenLotus" w:hAnsi="AAA GoldenLotus" w:hint="cs"/>
          <w:sz w:val="27"/>
          <w:rtl/>
        </w:rPr>
        <w:t>ْ</w:t>
      </w:r>
      <w:r w:rsidRPr="00282AC9">
        <w:rPr>
          <w:rFonts w:ascii="AAA GoldenLotus" w:hAnsi="AAA GoldenLotus"/>
          <w:sz w:val="27"/>
          <w:rtl/>
        </w:rPr>
        <w:t>ر</w:t>
      </w:r>
      <w:r w:rsidR="00DD4FB4" w:rsidRPr="00282AC9">
        <w:rPr>
          <w:rFonts w:ascii="AAA GoldenLotus" w:hAnsi="AAA GoldenLotus" w:hint="cs"/>
          <w:sz w:val="27"/>
          <w:rtl/>
        </w:rPr>
        <w:t>ِ</w:t>
      </w:r>
      <w:r w:rsidRPr="00282AC9">
        <w:rPr>
          <w:rFonts w:ascii="AAA GoldenLotus" w:hAnsi="AAA GoldenLotus"/>
          <w:sz w:val="27"/>
          <w:rtl/>
        </w:rPr>
        <w:t>ج</w:t>
      </w:r>
      <w:r w:rsidR="00DD4FB4" w:rsidRPr="00282AC9">
        <w:rPr>
          <w:rFonts w:ascii="AAA GoldenLotus" w:hAnsi="AAA GoldenLotus" w:hint="cs"/>
          <w:sz w:val="27"/>
          <w:rtl/>
        </w:rPr>
        <w:t>ُ</w:t>
      </w:r>
      <w:r w:rsidRPr="00282AC9">
        <w:rPr>
          <w:rFonts w:ascii="AAA GoldenLotus" w:hAnsi="AAA GoldenLotus"/>
          <w:sz w:val="27"/>
          <w:rtl/>
        </w:rPr>
        <w:t>ه؛ لأن المسافر مثلاً غير الحاضر حقيقة</w:t>
      </w:r>
      <w:r w:rsidR="00DD4FB4" w:rsidRPr="00282AC9">
        <w:rPr>
          <w:rFonts w:ascii="AAA GoldenLotus" w:hAnsi="AAA GoldenLotus" w:hint="cs"/>
          <w:sz w:val="27"/>
          <w:rtl/>
        </w:rPr>
        <w:t xml:space="preserve">ً. </w:t>
      </w:r>
      <w:r w:rsidRPr="00282AC9">
        <w:rPr>
          <w:rFonts w:ascii="AAA GoldenLotus" w:hAnsi="AAA GoldenLotus"/>
          <w:sz w:val="27"/>
          <w:rtl/>
        </w:rPr>
        <w:t xml:space="preserve">فاذا قال الشارع: </w:t>
      </w:r>
      <w:r w:rsidR="00DD4FB4" w:rsidRPr="00282AC9">
        <w:rPr>
          <w:rFonts w:hint="eastAsia"/>
          <w:sz w:val="24"/>
          <w:szCs w:val="24"/>
          <w:rtl/>
        </w:rPr>
        <w:t>«</w:t>
      </w:r>
      <w:r w:rsidRPr="00282AC9">
        <w:rPr>
          <w:rFonts w:ascii="AAA GoldenLotus" w:hAnsi="AAA GoldenLotus"/>
          <w:sz w:val="27"/>
          <w:rtl/>
        </w:rPr>
        <w:t>يجب على المسافر التقصير في صلاته</w:t>
      </w:r>
      <w:r w:rsidR="00DD4FB4" w:rsidRPr="00282AC9">
        <w:rPr>
          <w:rFonts w:hint="eastAsia"/>
          <w:sz w:val="24"/>
          <w:szCs w:val="24"/>
          <w:rtl/>
        </w:rPr>
        <w:t>»</w:t>
      </w:r>
      <w:r w:rsidRPr="00282AC9">
        <w:rPr>
          <w:rFonts w:ascii="AAA GoldenLotus" w:hAnsi="AAA GoldenLotus"/>
          <w:sz w:val="27"/>
          <w:rtl/>
        </w:rPr>
        <w:t xml:space="preserve"> يخرج الحاضر عن الحكم تخص</w:t>
      </w:r>
      <w:r w:rsidR="00DD4FB4" w:rsidRPr="00282AC9">
        <w:rPr>
          <w:rFonts w:ascii="AAA GoldenLotus" w:hAnsi="AAA GoldenLotus" w:hint="cs"/>
          <w:sz w:val="27"/>
          <w:rtl/>
        </w:rPr>
        <w:t>ُّ</w:t>
      </w:r>
      <w:r w:rsidRPr="00282AC9">
        <w:rPr>
          <w:rFonts w:ascii="AAA GoldenLotus" w:hAnsi="AAA GoldenLotus"/>
          <w:sz w:val="27"/>
          <w:rtl/>
        </w:rPr>
        <w:t>صاً</w:t>
      </w:r>
      <w:r w:rsidR="00DD4FB4" w:rsidRPr="00282AC9">
        <w:rPr>
          <w:rFonts w:ascii="AAA GoldenLotus" w:hAnsi="AAA GoldenLotus" w:hint="cs"/>
          <w:sz w:val="27"/>
          <w:rtl/>
        </w:rPr>
        <w:t>،</w:t>
      </w:r>
      <w:r w:rsidRPr="00282AC9">
        <w:rPr>
          <w:rFonts w:ascii="AAA GoldenLotus" w:hAnsi="AAA GoldenLotus"/>
          <w:sz w:val="27"/>
          <w:rtl/>
        </w:rPr>
        <w:t xml:space="preserve"> من دون حاجة</w:t>
      </w:r>
      <w:r w:rsidR="00DD4FB4" w:rsidRPr="00282AC9">
        <w:rPr>
          <w:rFonts w:ascii="AAA GoldenLotus" w:hAnsi="AAA GoldenLotus" w:hint="cs"/>
          <w:sz w:val="27"/>
          <w:rtl/>
        </w:rPr>
        <w:t>ٍ</w:t>
      </w:r>
      <w:r w:rsidRPr="00282AC9">
        <w:rPr>
          <w:rFonts w:ascii="AAA GoldenLotus" w:hAnsi="AAA GoldenLotus"/>
          <w:sz w:val="27"/>
          <w:rtl/>
        </w:rPr>
        <w:t xml:space="preserve"> إلى قرينة</w:t>
      </w:r>
      <w:r w:rsidR="00DD4FB4" w:rsidRPr="00282AC9">
        <w:rPr>
          <w:rFonts w:ascii="AAA GoldenLotus" w:hAnsi="AAA GoldenLotus" w:hint="cs"/>
          <w:sz w:val="27"/>
          <w:rtl/>
        </w:rPr>
        <w:t>ٍ</w:t>
      </w:r>
      <w:r w:rsidRPr="00282AC9">
        <w:rPr>
          <w:rFonts w:ascii="AAA GoldenLotus" w:hAnsi="AAA GoldenLotus"/>
          <w:sz w:val="27"/>
          <w:rtl/>
        </w:rPr>
        <w:t xml:space="preserve"> أو دليل</w:t>
      </w:r>
      <w:r w:rsidR="00DD4FB4" w:rsidRPr="00282AC9">
        <w:rPr>
          <w:rFonts w:ascii="AAA GoldenLotus" w:hAnsi="AAA GoldenLotus" w:hint="cs"/>
          <w:sz w:val="27"/>
          <w:rtl/>
        </w:rPr>
        <w:t>ٍ</w:t>
      </w:r>
      <w:r w:rsidRPr="00282AC9">
        <w:rPr>
          <w:rFonts w:ascii="AAA GoldenLotus" w:hAnsi="AAA GoldenLotus"/>
          <w:sz w:val="27"/>
          <w:rtl/>
        </w:rPr>
        <w:t xml:space="preserve"> آخر، أي من دون حاجة</w:t>
      </w:r>
      <w:r w:rsidR="00DD4FB4" w:rsidRPr="00282AC9">
        <w:rPr>
          <w:rFonts w:ascii="AAA GoldenLotus" w:hAnsi="AAA GoldenLotus" w:hint="cs"/>
          <w:sz w:val="27"/>
          <w:rtl/>
        </w:rPr>
        <w:t>ٍ</w:t>
      </w:r>
      <w:r w:rsidRPr="00282AC9">
        <w:rPr>
          <w:rFonts w:ascii="AAA GoldenLotus" w:hAnsi="AAA GoldenLotus"/>
          <w:sz w:val="27"/>
          <w:rtl/>
        </w:rPr>
        <w:t xml:space="preserve"> </w:t>
      </w:r>
      <w:r w:rsidR="00DD4FB4" w:rsidRPr="00282AC9">
        <w:rPr>
          <w:rFonts w:ascii="AAA GoldenLotus" w:hAnsi="AAA GoldenLotus" w:hint="cs"/>
          <w:sz w:val="27"/>
          <w:rtl/>
        </w:rPr>
        <w:t>إ</w:t>
      </w:r>
      <w:r w:rsidRPr="00282AC9">
        <w:rPr>
          <w:rFonts w:ascii="AAA GoldenLotus" w:hAnsi="AAA GoldenLotus"/>
          <w:sz w:val="27"/>
          <w:rtl/>
        </w:rPr>
        <w:t xml:space="preserve">لى </w:t>
      </w:r>
      <w:r w:rsidRPr="00282AC9">
        <w:rPr>
          <w:rFonts w:ascii="AAA GoldenLotus" w:hAnsi="AAA GoldenLotus" w:hint="cs"/>
          <w:sz w:val="27"/>
          <w:rtl/>
        </w:rPr>
        <w:t>(</w:t>
      </w:r>
      <w:r w:rsidRPr="00282AC9">
        <w:rPr>
          <w:rFonts w:ascii="AAA GoldenLotus" w:hAnsi="AAA GoldenLotus"/>
          <w:sz w:val="27"/>
          <w:rtl/>
        </w:rPr>
        <w:t>مخص</w:t>
      </w:r>
      <w:r w:rsidR="00DD4FB4" w:rsidRPr="00282AC9">
        <w:rPr>
          <w:rFonts w:ascii="AAA GoldenLotus" w:hAnsi="AAA GoldenLotus" w:hint="cs"/>
          <w:sz w:val="27"/>
          <w:rtl/>
        </w:rPr>
        <w:t>ِّ</w:t>
      </w:r>
      <w:r w:rsidRPr="00282AC9">
        <w:rPr>
          <w:rFonts w:ascii="AAA GoldenLotus" w:hAnsi="AAA GoldenLotus"/>
          <w:sz w:val="27"/>
          <w:rtl/>
        </w:rPr>
        <w:t>ص</w:t>
      </w:r>
      <w:r w:rsidRPr="00282AC9">
        <w:rPr>
          <w:rFonts w:ascii="AAA GoldenLotus" w:hAnsi="AAA GoldenLotus" w:hint="cs"/>
          <w:sz w:val="27"/>
          <w:rtl/>
        </w:rPr>
        <w:t>)</w:t>
      </w:r>
      <w:r w:rsidRPr="00282AC9">
        <w:rPr>
          <w:rFonts w:ascii="AAA GoldenLotus" w:hAnsi="AAA GoldenLotus"/>
          <w:sz w:val="27"/>
          <w:rtl/>
        </w:rPr>
        <w:t xml:space="preserve"> خارجي</w:t>
      </w:r>
      <w:r w:rsidR="00DD4FB4" w:rsidRPr="00282AC9">
        <w:rPr>
          <w:rFonts w:ascii="AAA GoldenLotus" w:hAnsi="AAA GoldenLotus" w:hint="cs"/>
          <w:sz w:val="27"/>
          <w:rtl/>
        </w:rPr>
        <w:t xml:space="preserve">ّ. </w:t>
      </w:r>
      <w:r w:rsidRPr="00282AC9">
        <w:rPr>
          <w:rFonts w:ascii="AAA GoldenLotus" w:hAnsi="AAA GoldenLotus"/>
          <w:sz w:val="27"/>
          <w:rtl/>
        </w:rPr>
        <w:t>وهذا لا ي</w:t>
      </w:r>
      <w:r w:rsidR="00DD4FB4" w:rsidRPr="00282AC9">
        <w:rPr>
          <w:rFonts w:ascii="AAA GoldenLotus" w:hAnsi="AAA GoldenLotus" w:hint="cs"/>
          <w:sz w:val="27"/>
          <w:rtl/>
        </w:rPr>
        <w:t>ُ</w:t>
      </w:r>
      <w:r w:rsidRPr="00282AC9">
        <w:rPr>
          <w:rFonts w:ascii="AAA GoldenLotus" w:hAnsi="AAA GoldenLotus"/>
          <w:sz w:val="27"/>
          <w:rtl/>
        </w:rPr>
        <w:t>ع</w:t>
      </w:r>
      <w:r w:rsidR="00DD4FB4" w:rsidRPr="00282AC9">
        <w:rPr>
          <w:rFonts w:ascii="AAA GoldenLotus" w:hAnsi="AAA GoldenLotus" w:hint="cs"/>
          <w:sz w:val="27"/>
          <w:rtl/>
        </w:rPr>
        <w:t>َ</w:t>
      </w:r>
      <w:r w:rsidRPr="00282AC9">
        <w:rPr>
          <w:rFonts w:ascii="AAA GoldenLotus" w:hAnsi="AAA GoldenLotus"/>
          <w:sz w:val="27"/>
          <w:rtl/>
        </w:rPr>
        <w:t>دّ انخراماً لقاعدة.</w:t>
      </w:r>
    </w:p>
    <w:p w:rsidR="00E355F2" w:rsidRPr="00282AC9" w:rsidRDefault="00E355F2" w:rsidP="009C287D">
      <w:pPr>
        <w:spacing w:line="406" w:lineRule="exact"/>
        <w:rPr>
          <w:rFonts w:ascii="AAA GoldenLotus" w:hAnsi="AAA GoldenLotus"/>
          <w:spacing w:val="-4"/>
          <w:sz w:val="27"/>
          <w:rtl/>
        </w:rPr>
      </w:pPr>
      <w:r w:rsidRPr="00282AC9">
        <w:rPr>
          <w:rFonts w:ascii="AAA GoldenLotus" w:hAnsi="AAA GoldenLotus"/>
          <w:spacing w:val="-4"/>
          <w:sz w:val="27"/>
          <w:rtl/>
        </w:rPr>
        <w:t xml:space="preserve"> وهكذا الحال في قاعدة اشتراك الرجل والمرأة في التكليف؛ فإن اختلاف الرجل مع المرأة في أحكام</w:t>
      </w:r>
      <w:r w:rsidR="00DD4FB4" w:rsidRPr="00282AC9">
        <w:rPr>
          <w:rFonts w:ascii="AAA GoldenLotus" w:hAnsi="AAA GoldenLotus" w:hint="cs"/>
          <w:spacing w:val="-4"/>
          <w:sz w:val="27"/>
          <w:rtl/>
        </w:rPr>
        <w:t>ٍ</w:t>
      </w:r>
      <w:r w:rsidRPr="00282AC9">
        <w:rPr>
          <w:rFonts w:ascii="AAA GoldenLotus" w:hAnsi="AAA GoldenLotus"/>
          <w:spacing w:val="-4"/>
          <w:sz w:val="27"/>
          <w:rtl/>
        </w:rPr>
        <w:t xml:space="preserve"> كثيرة لا يؤث</w:t>
      </w:r>
      <w:r w:rsidR="00DD4FB4" w:rsidRPr="00282AC9">
        <w:rPr>
          <w:rFonts w:ascii="AAA GoldenLotus" w:hAnsi="AAA GoldenLotus" w:hint="cs"/>
          <w:spacing w:val="-4"/>
          <w:sz w:val="27"/>
          <w:rtl/>
        </w:rPr>
        <w:t>ِّ</w:t>
      </w:r>
      <w:r w:rsidRPr="00282AC9">
        <w:rPr>
          <w:rFonts w:ascii="AAA GoldenLotus" w:hAnsi="AAA GoldenLotus"/>
          <w:spacing w:val="-4"/>
          <w:sz w:val="27"/>
          <w:rtl/>
        </w:rPr>
        <w:t>ر على كل</w:t>
      </w:r>
      <w:r w:rsidR="00DD4FB4" w:rsidRPr="00282AC9">
        <w:rPr>
          <w:rFonts w:ascii="AAA GoldenLotus" w:hAnsi="AAA GoldenLotus" w:hint="cs"/>
          <w:spacing w:val="-4"/>
          <w:sz w:val="27"/>
          <w:rtl/>
        </w:rPr>
        <w:t>ِّ</w:t>
      </w:r>
      <w:r w:rsidRPr="00282AC9">
        <w:rPr>
          <w:rFonts w:ascii="AAA GoldenLotus" w:hAnsi="AAA GoldenLotus"/>
          <w:spacing w:val="-4"/>
          <w:sz w:val="27"/>
          <w:rtl/>
        </w:rPr>
        <w:t>ية القاعدة، ولا يكون نقضاً لعمومها؛ لأن موارد النقض هذه لم تدخل في القاعدة من الأصل.</w:t>
      </w:r>
    </w:p>
    <w:p w:rsidR="009C287D" w:rsidRPr="00282AC9" w:rsidRDefault="009C287D" w:rsidP="009C287D">
      <w:pPr>
        <w:spacing w:line="420" w:lineRule="exact"/>
        <w:rPr>
          <w:rtl/>
        </w:rPr>
      </w:pPr>
    </w:p>
    <w:p w:rsidR="00E355F2" w:rsidRPr="00282AC9" w:rsidRDefault="001F6DD6" w:rsidP="007D08F4">
      <w:pPr>
        <w:pStyle w:val="31"/>
        <w:rPr>
          <w:color w:val="auto"/>
          <w:rtl/>
        </w:rPr>
      </w:pPr>
      <w:r w:rsidRPr="00282AC9">
        <w:rPr>
          <w:rFonts w:hint="cs"/>
          <w:color w:val="auto"/>
          <w:rtl/>
        </w:rPr>
        <w:t>7ـ</w:t>
      </w:r>
      <w:r w:rsidR="00E355F2" w:rsidRPr="00282AC9">
        <w:rPr>
          <w:rFonts w:hint="cs"/>
          <w:color w:val="auto"/>
          <w:rtl/>
        </w:rPr>
        <w:t xml:space="preserve"> </w:t>
      </w:r>
      <w:r w:rsidR="00E355F2" w:rsidRPr="00282AC9">
        <w:rPr>
          <w:color w:val="auto"/>
          <w:rtl/>
        </w:rPr>
        <w:t>تطبيقات</w:t>
      </w:r>
      <w:r w:rsidR="00913C71" w:rsidRPr="00282AC9">
        <w:rPr>
          <w:rFonts w:hint="cs"/>
          <w:color w:val="auto"/>
          <w:rtl/>
        </w:rPr>
        <w:t>ٌ</w:t>
      </w:r>
      <w:r w:rsidR="00E355F2" w:rsidRPr="00282AC9">
        <w:rPr>
          <w:color w:val="auto"/>
          <w:rtl/>
        </w:rPr>
        <w:t xml:space="preserve"> </w:t>
      </w:r>
      <w:r w:rsidRPr="00282AC9">
        <w:rPr>
          <w:rFonts w:hint="cs"/>
          <w:color w:val="auto"/>
          <w:rtl/>
        </w:rPr>
        <w:t xml:space="preserve">حول </w:t>
      </w:r>
      <w:r w:rsidR="00E355F2" w:rsidRPr="00282AC9">
        <w:rPr>
          <w:color w:val="auto"/>
          <w:rtl/>
        </w:rPr>
        <w:t>القاعدة</w:t>
      </w:r>
    </w:p>
    <w:p w:rsidR="00E355F2" w:rsidRPr="00282AC9" w:rsidRDefault="00E355F2" w:rsidP="00046546">
      <w:pPr>
        <w:rPr>
          <w:rFonts w:ascii="AAA GoldenLotus" w:hAnsi="AAA GoldenLotus"/>
          <w:sz w:val="27"/>
          <w:rtl/>
        </w:rPr>
      </w:pPr>
      <w:r w:rsidRPr="00282AC9">
        <w:rPr>
          <w:rFonts w:ascii="AAA GoldenLotus" w:hAnsi="AAA GoldenLotus"/>
          <w:sz w:val="27"/>
          <w:rtl/>
        </w:rPr>
        <w:t>وبعد ات</w:t>
      </w:r>
      <w:r w:rsidR="00DD4FB4" w:rsidRPr="00282AC9">
        <w:rPr>
          <w:rFonts w:ascii="AAA GoldenLotus" w:hAnsi="AAA GoldenLotus" w:hint="cs"/>
          <w:sz w:val="27"/>
          <w:rtl/>
        </w:rPr>
        <w:t>ّ</w:t>
      </w:r>
      <w:r w:rsidRPr="00282AC9">
        <w:rPr>
          <w:rFonts w:ascii="AAA GoldenLotus" w:hAnsi="AAA GoldenLotus"/>
          <w:sz w:val="27"/>
          <w:rtl/>
        </w:rPr>
        <w:t>ضاح أن الأصل عند الشك</w:t>
      </w:r>
      <w:r w:rsidR="00DD4FB4" w:rsidRPr="00282AC9">
        <w:rPr>
          <w:rFonts w:ascii="AAA GoldenLotus" w:hAnsi="AAA GoldenLotus" w:hint="cs"/>
          <w:sz w:val="27"/>
          <w:rtl/>
        </w:rPr>
        <w:t>ّ</w:t>
      </w:r>
      <w:r w:rsidRPr="00282AC9">
        <w:rPr>
          <w:rFonts w:ascii="AAA GoldenLotus" w:hAnsi="AAA GoldenLotus"/>
          <w:sz w:val="27"/>
          <w:rtl/>
        </w:rPr>
        <w:t xml:space="preserve"> في الاختصاص هو قاعدة الاشتراك، </w:t>
      </w:r>
      <w:r w:rsidR="00DD4FB4" w:rsidRPr="00282AC9">
        <w:rPr>
          <w:rFonts w:ascii="AAA GoldenLotus" w:hAnsi="AAA GoldenLotus" w:hint="cs"/>
          <w:sz w:val="27"/>
          <w:rtl/>
        </w:rPr>
        <w:t>ف</w:t>
      </w:r>
      <w:r w:rsidRPr="00282AC9">
        <w:rPr>
          <w:rFonts w:ascii="AAA GoldenLotus" w:hAnsi="AAA GoldenLotus"/>
          <w:sz w:val="27"/>
          <w:rtl/>
        </w:rPr>
        <w:t>قد تمّ ر</w:t>
      </w:r>
      <w:r w:rsidR="00DD4FB4" w:rsidRPr="00282AC9">
        <w:rPr>
          <w:rFonts w:ascii="AAA GoldenLotus" w:hAnsi="AAA GoldenLotus" w:hint="cs"/>
          <w:sz w:val="27"/>
          <w:rtl/>
        </w:rPr>
        <w:t>َ</w:t>
      </w:r>
      <w:r w:rsidRPr="00282AC9">
        <w:rPr>
          <w:rFonts w:ascii="AAA GoldenLotus" w:hAnsi="AAA GoldenLotus"/>
          <w:sz w:val="27"/>
          <w:rtl/>
        </w:rPr>
        <w:t>ص</w:t>
      </w:r>
      <w:r w:rsidR="00DD4FB4" w:rsidRPr="00282AC9">
        <w:rPr>
          <w:rFonts w:ascii="AAA GoldenLotus" w:hAnsi="AAA GoldenLotus" w:hint="cs"/>
          <w:sz w:val="27"/>
          <w:rtl/>
        </w:rPr>
        <w:t>ْ</w:t>
      </w:r>
      <w:r w:rsidRPr="00282AC9">
        <w:rPr>
          <w:rFonts w:ascii="AAA GoldenLotus" w:hAnsi="AAA GoldenLotus"/>
          <w:sz w:val="27"/>
          <w:rtl/>
        </w:rPr>
        <w:t>د</w:t>
      </w:r>
      <w:r w:rsidR="00DD4FB4" w:rsidRPr="00282AC9">
        <w:rPr>
          <w:rFonts w:ascii="AAA GoldenLotus" w:hAnsi="AAA GoldenLotus" w:hint="cs"/>
          <w:sz w:val="27"/>
          <w:rtl/>
        </w:rPr>
        <w:t>ُ</w:t>
      </w:r>
      <w:r w:rsidRPr="00282AC9">
        <w:rPr>
          <w:rFonts w:ascii="AAA GoldenLotus" w:hAnsi="AAA GoldenLotus"/>
          <w:sz w:val="27"/>
          <w:rtl/>
        </w:rPr>
        <w:t xml:space="preserve"> كثير</w:t>
      </w:r>
      <w:r w:rsidR="00DD4FB4" w:rsidRPr="00282AC9">
        <w:rPr>
          <w:rFonts w:ascii="AAA GoldenLotus" w:hAnsi="AAA GoldenLotus" w:hint="cs"/>
          <w:sz w:val="27"/>
          <w:rtl/>
        </w:rPr>
        <w:t>ٍ</w:t>
      </w:r>
      <w:r w:rsidRPr="00282AC9">
        <w:rPr>
          <w:rFonts w:ascii="AAA GoldenLotus" w:hAnsi="AAA GoldenLotus"/>
          <w:sz w:val="27"/>
          <w:rtl/>
        </w:rPr>
        <w:t xml:space="preserve"> من النماذج التطبيقي</w:t>
      </w:r>
      <w:r w:rsidR="00DD4FB4" w:rsidRPr="00282AC9">
        <w:rPr>
          <w:rFonts w:ascii="AAA GoldenLotus" w:hAnsi="AAA GoldenLotus" w:hint="cs"/>
          <w:sz w:val="27"/>
          <w:rtl/>
        </w:rPr>
        <w:t>ّ</w:t>
      </w:r>
      <w:r w:rsidRPr="00282AC9">
        <w:rPr>
          <w:rFonts w:ascii="AAA GoldenLotus" w:hAnsi="AAA GoldenLotus"/>
          <w:sz w:val="27"/>
          <w:rtl/>
        </w:rPr>
        <w:t>ة</w:t>
      </w:r>
      <w:r w:rsidR="00DD4FB4" w:rsidRPr="00282AC9">
        <w:rPr>
          <w:rFonts w:ascii="AAA GoldenLotus" w:hAnsi="AAA GoldenLotus" w:hint="cs"/>
          <w:sz w:val="27"/>
          <w:rtl/>
        </w:rPr>
        <w:t>؛</w:t>
      </w:r>
      <w:r w:rsidRPr="00282AC9">
        <w:rPr>
          <w:rFonts w:ascii="AAA GoldenLotus" w:hAnsi="AAA GoldenLotus"/>
          <w:sz w:val="27"/>
          <w:rtl/>
        </w:rPr>
        <w:t xml:space="preserve"> ليظهر مدى نفوذ قاعدة اشتراك الأحكام بين الرجال والنساء في الشريعة</w:t>
      </w:r>
      <w:r w:rsidR="00DD4FB4" w:rsidRPr="00282AC9">
        <w:rPr>
          <w:rFonts w:ascii="AAA GoldenLotus" w:hAnsi="AAA GoldenLotus" w:hint="cs"/>
          <w:sz w:val="27"/>
          <w:rtl/>
        </w:rPr>
        <w:t>،</w:t>
      </w:r>
      <w:r w:rsidRPr="00282AC9">
        <w:rPr>
          <w:rFonts w:ascii="AAA GoldenLotus" w:hAnsi="AAA GoldenLotus"/>
          <w:sz w:val="27"/>
          <w:rtl/>
        </w:rPr>
        <w:t xml:space="preserve"> ومدى الحاجة إليها</w:t>
      </w:r>
      <w:r w:rsidR="00EF427F" w:rsidRPr="00282AC9">
        <w:rPr>
          <w:rFonts w:ascii="AAA GoldenLotus" w:hAnsi="AAA GoldenLotus" w:hint="cs"/>
          <w:sz w:val="27"/>
          <w:rtl/>
        </w:rPr>
        <w:t>. ولكنْ</w:t>
      </w:r>
      <w:r w:rsidRPr="00282AC9">
        <w:rPr>
          <w:rFonts w:ascii="AAA GoldenLotus" w:hAnsi="AAA GoldenLotus"/>
          <w:sz w:val="27"/>
          <w:rtl/>
        </w:rPr>
        <w:t xml:space="preserve"> لا ي</w:t>
      </w:r>
      <w:r w:rsidR="00DD4FB4" w:rsidRPr="00282AC9">
        <w:rPr>
          <w:rFonts w:ascii="AAA GoldenLotus" w:hAnsi="AAA GoldenLotus" w:hint="cs"/>
          <w:sz w:val="27"/>
          <w:rtl/>
        </w:rPr>
        <w:t>َ</w:t>
      </w:r>
      <w:r w:rsidRPr="00282AC9">
        <w:rPr>
          <w:rFonts w:ascii="AAA GoldenLotus" w:hAnsi="AAA GoldenLotus"/>
          <w:sz w:val="27"/>
          <w:rtl/>
        </w:rPr>
        <w:t>س</w:t>
      </w:r>
      <w:r w:rsidR="00DD4FB4" w:rsidRPr="00282AC9">
        <w:rPr>
          <w:rFonts w:ascii="AAA GoldenLotus" w:hAnsi="AAA GoldenLotus" w:hint="cs"/>
          <w:sz w:val="27"/>
          <w:rtl/>
        </w:rPr>
        <w:t>َ</w:t>
      </w:r>
      <w:r w:rsidRPr="00282AC9">
        <w:rPr>
          <w:rFonts w:ascii="AAA GoldenLotus" w:hAnsi="AAA GoldenLotus"/>
          <w:sz w:val="27"/>
          <w:rtl/>
        </w:rPr>
        <w:t>ع المجال لذكرها</w:t>
      </w:r>
      <w:r w:rsidR="00EF427F" w:rsidRPr="00282AC9">
        <w:rPr>
          <w:rFonts w:ascii="AAA GoldenLotus" w:hAnsi="AAA GoldenLotus" w:hint="cs"/>
          <w:sz w:val="27"/>
          <w:rtl/>
        </w:rPr>
        <w:t xml:space="preserve"> جميعاً</w:t>
      </w:r>
      <w:r w:rsidRPr="00282AC9">
        <w:rPr>
          <w:rFonts w:ascii="AAA GoldenLotus" w:hAnsi="AAA GoldenLotus"/>
          <w:sz w:val="27"/>
          <w:rtl/>
        </w:rPr>
        <w:t xml:space="preserve">، </w:t>
      </w:r>
      <w:r w:rsidR="00EF427F" w:rsidRPr="00282AC9">
        <w:rPr>
          <w:rFonts w:ascii="AAA GoldenLotus" w:hAnsi="AAA GoldenLotus" w:hint="cs"/>
          <w:sz w:val="27"/>
          <w:rtl/>
        </w:rPr>
        <w:t>غير</w:t>
      </w:r>
      <w:r w:rsidRPr="00282AC9">
        <w:rPr>
          <w:rFonts w:ascii="AAA GoldenLotus" w:hAnsi="AAA GoldenLotus"/>
          <w:sz w:val="27"/>
          <w:rtl/>
        </w:rPr>
        <w:t xml:space="preserve"> أنّنا سوف نذكر ثلاث</w:t>
      </w:r>
      <w:r w:rsidR="00BA6E05" w:rsidRPr="00282AC9">
        <w:rPr>
          <w:rFonts w:ascii="AAA GoldenLotus" w:hAnsi="AAA GoldenLotus" w:hint="cs"/>
          <w:sz w:val="27"/>
          <w:rtl/>
        </w:rPr>
        <w:t>ة</w:t>
      </w:r>
      <w:r w:rsidRPr="00282AC9">
        <w:rPr>
          <w:rFonts w:ascii="AAA GoldenLotus" w:hAnsi="AAA GoldenLotus"/>
          <w:sz w:val="27"/>
          <w:rtl/>
        </w:rPr>
        <w:t xml:space="preserve"> نماذج فقط</w:t>
      </w:r>
      <w:r w:rsidR="00EF427F" w:rsidRPr="00282AC9">
        <w:rPr>
          <w:rFonts w:ascii="AAA GoldenLotus" w:hAnsi="AAA GoldenLotus" w:hint="cs"/>
          <w:sz w:val="27"/>
          <w:rtl/>
        </w:rPr>
        <w:t>؛</w:t>
      </w:r>
      <w:r w:rsidRPr="00282AC9">
        <w:rPr>
          <w:rFonts w:ascii="AAA GoldenLotus" w:hAnsi="AAA GoldenLotus"/>
          <w:sz w:val="27"/>
          <w:rtl/>
        </w:rPr>
        <w:t xml:space="preserve"> من أجل توضيح الصورة. </w:t>
      </w:r>
    </w:p>
    <w:p w:rsidR="009C287D" w:rsidRPr="00282AC9" w:rsidRDefault="009C287D" w:rsidP="009C287D">
      <w:pPr>
        <w:spacing w:line="420" w:lineRule="exact"/>
        <w:rPr>
          <w:rtl/>
        </w:rPr>
      </w:pPr>
    </w:p>
    <w:p w:rsidR="00E355F2" w:rsidRPr="00282AC9" w:rsidRDefault="00146D9A" w:rsidP="007D08F4">
      <w:pPr>
        <w:pStyle w:val="31"/>
        <w:rPr>
          <w:color w:val="auto"/>
          <w:rtl/>
        </w:rPr>
      </w:pPr>
      <w:r w:rsidRPr="00282AC9">
        <w:rPr>
          <w:rFonts w:hint="cs"/>
          <w:color w:val="auto"/>
          <w:rtl/>
        </w:rPr>
        <w:t>أ</w:t>
      </w:r>
      <w:r w:rsidR="00E355F2" w:rsidRPr="00282AC9">
        <w:rPr>
          <w:rFonts w:hint="cs"/>
          <w:color w:val="auto"/>
          <w:rtl/>
        </w:rPr>
        <w:t xml:space="preserve">ـ </w:t>
      </w:r>
      <w:r w:rsidR="00E355F2" w:rsidRPr="00282AC9">
        <w:rPr>
          <w:color w:val="auto"/>
          <w:rtl/>
        </w:rPr>
        <w:t>آية رمي الم</w:t>
      </w:r>
      <w:r w:rsidR="00EF427F" w:rsidRPr="00282AC9">
        <w:rPr>
          <w:rFonts w:hint="cs"/>
          <w:color w:val="auto"/>
          <w:rtl/>
        </w:rPr>
        <w:t>ُ</w:t>
      </w:r>
      <w:r w:rsidR="00E355F2" w:rsidRPr="00282AC9">
        <w:rPr>
          <w:color w:val="auto"/>
          <w:rtl/>
        </w:rPr>
        <w:t>ح</w:t>
      </w:r>
      <w:r w:rsidR="00EF427F" w:rsidRPr="00282AC9">
        <w:rPr>
          <w:rFonts w:hint="cs"/>
          <w:color w:val="auto"/>
          <w:rtl/>
        </w:rPr>
        <w:t>ْ</w:t>
      </w:r>
      <w:r w:rsidR="00E355F2" w:rsidRPr="00282AC9">
        <w:rPr>
          <w:color w:val="auto"/>
          <w:rtl/>
        </w:rPr>
        <w:t>ص</w:t>
      </w:r>
      <w:r w:rsidR="00EF427F" w:rsidRPr="00282AC9">
        <w:rPr>
          <w:rFonts w:hint="cs"/>
          <w:color w:val="auto"/>
          <w:rtl/>
        </w:rPr>
        <w:t>َ</w:t>
      </w:r>
      <w:r w:rsidR="00E355F2" w:rsidRPr="00282AC9">
        <w:rPr>
          <w:color w:val="auto"/>
          <w:rtl/>
        </w:rPr>
        <w:t>نات</w:t>
      </w:r>
    </w:p>
    <w:p w:rsidR="00E355F2" w:rsidRPr="00282AC9" w:rsidRDefault="00E355F2" w:rsidP="00046546">
      <w:pPr>
        <w:rPr>
          <w:rFonts w:ascii="AAA GoldenLotus" w:hAnsi="AAA GoldenLotus"/>
          <w:sz w:val="27"/>
          <w:rtl/>
        </w:rPr>
      </w:pPr>
      <w:r w:rsidRPr="00282AC9">
        <w:rPr>
          <w:rFonts w:ascii="AAA GoldenLotus" w:hAnsi="AAA GoldenLotus"/>
          <w:i/>
          <w:sz w:val="27"/>
          <w:rtl/>
        </w:rPr>
        <w:t>وهي قوله تعالى</w:t>
      </w:r>
      <w:r w:rsidRPr="00282AC9">
        <w:rPr>
          <w:rFonts w:ascii="AAA GoldenLotus" w:hAnsi="AAA GoldenLotus"/>
          <w:sz w:val="27"/>
          <w:rtl/>
        </w:rPr>
        <w:t xml:space="preserve">: </w:t>
      </w:r>
      <w:r w:rsidR="00C5291F" w:rsidRPr="00282AC9">
        <w:rPr>
          <w:rFonts w:ascii="Mosawi" w:hAnsi="Mosawi" w:cs="Mosawi"/>
          <w:sz w:val="24"/>
          <w:szCs w:val="24"/>
          <w:rtl/>
        </w:rPr>
        <w:t>﴿</w:t>
      </w:r>
      <w:r w:rsidRPr="00282AC9">
        <w:rPr>
          <w:rFonts w:ascii="AAA GoldenLotus" w:hAnsi="AAA GoldenLotus"/>
          <w:b/>
          <w:bCs/>
          <w:sz w:val="27"/>
          <w:rtl/>
        </w:rPr>
        <w:t>وَالَّذِينَ يَرْمُونَ الْمُحْصَنَاتِ ثُمَّ لَمْ يَأْتُوا بِأَرْبَعَةِ شُهَدَاءَ فَاجْلِ</w:t>
      </w:r>
      <w:r w:rsidR="00EF427F" w:rsidRPr="00282AC9">
        <w:rPr>
          <w:rFonts w:ascii="AAA GoldenLotus" w:hAnsi="AAA GoldenLotus"/>
          <w:b/>
          <w:bCs/>
          <w:sz w:val="27"/>
          <w:rtl/>
        </w:rPr>
        <w:t>دُوهُمْ ثَمَانِينَ جَلْدَةً وَل</w:t>
      </w:r>
      <w:r w:rsidRPr="00282AC9">
        <w:rPr>
          <w:rFonts w:ascii="AAA GoldenLotus" w:hAnsi="AAA GoldenLotus"/>
          <w:b/>
          <w:bCs/>
          <w:sz w:val="27"/>
          <w:rtl/>
        </w:rPr>
        <w:t>ا تَقْبَلُوا لَهُمْ شَهَادَةً أَبَداً وَأُولَ</w:t>
      </w:r>
      <w:r w:rsidRPr="00282AC9">
        <w:rPr>
          <w:rFonts w:ascii="AAA GoldenLotus" w:hAnsi="AAA GoldenLotus" w:hint="cs"/>
          <w:b/>
          <w:bCs/>
          <w:sz w:val="27"/>
          <w:rtl/>
        </w:rPr>
        <w:t>ئِكَ</w:t>
      </w:r>
      <w:r w:rsidRPr="00282AC9">
        <w:rPr>
          <w:rFonts w:ascii="AAA GoldenLotus" w:hAnsi="AAA GoldenLotus"/>
          <w:b/>
          <w:bCs/>
          <w:sz w:val="27"/>
          <w:rtl/>
        </w:rPr>
        <w:t xml:space="preserve"> </w:t>
      </w:r>
      <w:r w:rsidRPr="00282AC9">
        <w:rPr>
          <w:rFonts w:ascii="AAA GoldenLotus" w:hAnsi="AAA GoldenLotus" w:hint="cs"/>
          <w:b/>
          <w:bCs/>
          <w:sz w:val="27"/>
          <w:rtl/>
        </w:rPr>
        <w:t>هُمُ</w:t>
      </w:r>
      <w:r w:rsidRPr="00282AC9">
        <w:rPr>
          <w:rFonts w:ascii="AAA GoldenLotus" w:hAnsi="AAA GoldenLotus"/>
          <w:b/>
          <w:bCs/>
          <w:sz w:val="27"/>
          <w:rtl/>
        </w:rPr>
        <w:t xml:space="preserve"> </w:t>
      </w:r>
      <w:r w:rsidRPr="00282AC9">
        <w:rPr>
          <w:rFonts w:ascii="AAA GoldenLotus" w:hAnsi="AAA GoldenLotus" w:hint="cs"/>
          <w:b/>
          <w:bCs/>
          <w:sz w:val="27"/>
          <w:rtl/>
        </w:rPr>
        <w:t>الْفَاسِقُون</w:t>
      </w:r>
      <w:r w:rsidR="00EF427F" w:rsidRPr="00282AC9">
        <w:rPr>
          <w:rFonts w:ascii="AAA GoldenLotus" w:hAnsi="AAA GoldenLotus" w:hint="cs"/>
          <w:b/>
          <w:bCs/>
          <w:sz w:val="27"/>
          <w:rtl/>
        </w:rPr>
        <w:t>َ</w:t>
      </w:r>
      <w:r w:rsidR="00C5291F" w:rsidRPr="00282AC9">
        <w:rPr>
          <w:rFonts w:ascii="Mosawi" w:hAnsi="Mosawi" w:cs="Mosawi"/>
          <w:sz w:val="24"/>
          <w:szCs w:val="24"/>
          <w:rtl/>
        </w:rPr>
        <w:t>﴾</w:t>
      </w:r>
      <w:r w:rsidRPr="00282AC9">
        <w:rPr>
          <w:rFonts w:ascii="AAA GoldenLotus" w:hAnsi="AAA GoldenLotus"/>
          <w:sz w:val="27"/>
          <w:rtl/>
        </w:rPr>
        <w:t xml:space="preserve"> (النور: 4).</w:t>
      </w:r>
    </w:p>
    <w:p w:rsidR="00E355F2" w:rsidRPr="00282AC9" w:rsidRDefault="00BA6E05" w:rsidP="00046546">
      <w:pPr>
        <w:rPr>
          <w:rtl/>
        </w:rPr>
      </w:pPr>
      <w:bookmarkStart w:id="46" w:name="_Toc33819780"/>
      <w:r w:rsidRPr="00282AC9">
        <w:rPr>
          <w:rFonts w:hint="cs"/>
          <w:b/>
          <w:bCs/>
          <w:rtl/>
        </w:rPr>
        <w:t>1</w:t>
      </w:r>
      <w:r w:rsidR="00E355F2" w:rsidRPr="00282AC9">
        <w:rPr>
          <w:b/>
          <w:bCs/>
          <w:rtl/>
        </w:rPr>
        <w:t>ـ عند الإمامي</w:t>
      </w:r>
      <w:r w:rsidR="00EF427F" w:rsidRPr="00282AC9">
        <w:rPr>
          <w:rFonts w:hint="cs"/>
          <w:b/>
          <w:bCs/>
          <w:rtl/>
        </w:rPr>
        <w:t>ّ</w:t>
      </w:r>
      <w:r w:rsidR="00E355F2" w:rsidRPr="00282AC9">
        <w:rPr>
          <w:b/>
          <w:bCs/>
          <w:rtl/>
        </w:rPr>
        <w:t>ة</w:t>
      </w:r>
      <w:bookmarkEnd w:id="46"/>
      <w:r w:rsidR="00913C71" w:rsidRPr="00282AC9">
        <w:rPr>
          <w:rFonts w:hint="cs"/>
          <w:rtl/>
        </w:rPr>
        <w:t xml:space="preserve">: </w:t>
      </w:r>
      <w:r w:rsidR="00E355F2" w:rsidRPr="00282AC9">
        <w:rPr>
          <w:rFonts w:ascii="AAA GoldenLotus" w:hAnsi="AAA GoldenLotus"/>
          <w:sz w:val="27"/>
          <w:rtl/>
        </w:rPr>
        <w:t>إنّ لفظ الر</w:t>
      </w:r>
      <w:r w:rsidR="00EF427F" w:rsidRPr="00282AC9">
        <w:rPr>
          <w:rFonts w:ascii="AAA GoldenLotus" w:hAnsi="AAA GoldenLotus" w:hint="cs"/>
          <w:sz w:val="27"/>
          <w:rtl/>
        </w:rPr>
        <w:t>َّ</w:t>
      </w:r>
      <w:r w:rsidR="00E355F2" w:rsidRPr="00282AC9">
        <w:rPr>
          <w:rFonts w:ascii="AAA GoldenLotus" w:hAnsi="AAA GoldenLotus"/>
          <w:sz w:val="27"/>
          <w:rtl/>
        </w:rPr>
        <w:t>م</w:t>
      </w:r>
      <w:r w:rsidR="00EF427F" w:rsidRPr="00282AC9">
        <w:rPr>
          <w:rFonts w:ascii="AAA GoldenLotus" w:hAnsi="AAA GoldenLotus" w:hint="cs"/>
          <w:sz w:val="27"/>
          <w:rtl/>
        </w:rPr>
        <w:t>ْ</w:t>
      </w:r>
      <w:r w:rsidR="00E355F2" w:rsidRPr="00282AC9">
        <w:rPr>
          <w:rFonts w:ascii="AAA GoldenLotus" w:hAnsi="AAA GoldenLotus"/>
          <w:sz w:val="27"/>
          <w:rtl/>
        </w:rPr>
        <w:t>ي معروف</w:t>
      </w:r>
      <w:r w:rsidR="00EF427F" w:rsidRPr="00282AC9">
        <w:rPr>
          <w:rFonts w:ascii="AAA GoldenLotus" w:hAnsi="AAA GoldenLotus" w:hint="cs"/>
          <w:sz w:val="27"/>
          <w:rtl/>
        </w:rPr>
        <w:t>ٌ</w:t>
      </w:r>
      <w:r w:rsidR="00F53411" w:rsidRPr="00282AC9">
        <w:rPr>
          <w:rFonts w:ascii="AAA GoldenLotus" w:hAnsi="AAA GoldenLotus" w:hint="cs"/>
          <w:sz w:val="27"/>
          <w:rtl/>
        </w:rPr>
        <w:t>،</w:t>
      </w:r>
      <w:r w:rsidR="00E355F2" w:rsidRPr="00282AC9">
        <w:rPr>
          <w:rFonts w:ascii="AAA GoldenLotus" w:hAnsi="AAA GoldenLotus"/>
          <w:sz w:val="27"/>
          <w:rtl/>
        </w:rPr>
        <w:t xml:space="preserve"> ثم</w:t>
      </w:r>
      <w:r w:rsidR="00F53411" w:rsidRPr="00282AC9">
        <w:rPr>
          <w:rFonts w:ascii="AAA GoldenLotus" w:hAnsi="AAA GoldenLotus" w:hint="cs"/>
          <w:sz w:val="27"/>
          <w:rtl/>
        </w:rPr>
        <w:t>ّ</w:t>
      </w:r>
      <w:r w:rsidR="00F53411" w:rsidRPr="00282AC9">
        <w:rPr>
          <w:rFonts w:ascii="AAA GoldenLotus" w:hAnsi="AAA GoldenLotus"/>
          <w:sz w:val="27"/>
          <w:rtl/>
        </w:rPr>
        <w:t xml:space="preserve"> </w:t>
      </w:r>
      <w:r w:rsidR="00F53411" w:rsidRPr="00282AC9">
        <w:rPr>
          <w:rFonts w:ascii="AAA GoldenLotus" w:hAnsi="AAA GoldenLotus" w:hint="cs"/>
          <w:sz w:val="27"/>
          <w:rtl/>
        </w:rPr>
        <w:t>ا</w:t>
      </w:r>
      <w:r w:rsidR="00E355F2" w:rsidRPr="00282AC9">
        <w:rPr>
          <w:rFonts w:ascii="AAA GoldenLotus" w:hAnsi="AAA GoldenLotus"/>
          <w:sz w:val="27"/>
          <w:rtl/>
        </w:rPr>
        <w:t>ست</w:t>
      </w:r>
      <w:r w:rsidR="00F53411" w:rsidRPr="00282AC9">
        <w:rPr>
          <w:rFonts w:ascii="AAA GoldenLotus" w:hAnsi="AAA GoldenLotus" w:hint="cs"/>
          <w:sz w:val="27"/>
          <w:rtl/>
        </w:rPr>
        <w:t>ُ</w:t>
      </w:r>
      <w:r w:rsidR="00E355F2" w:rsidRPr="00282AC9">
        <w:rPr>
          <w:rFonts w:ascii="AAA GoldenLotus" w:hAnsi="AAA GoldenLotus"/>
          <w:sz w:val="27"/>
          <w:rtl/>
        </w:rPr>
        <w:t>عير لنسبة أمر</w:t>
      </w:r>
      <w:r w:rsidR="00F53411" w:rsidRPr="00282AC9">
        <w:rPr>
          <w:rFonts w:ascii="AAA GoldenLotus" w:hAnsi="AAA GoldenLotus" w:hint="cs"/>
          <w:sz w:val="27"/>
          <w:rtl/>
        </w:rPr>
        <w:t>ٍ</w:t>
      </w:r>
      <w:r w:rsidR="00E355F2" w:rsidRPr="00282AC9">
        <w:rPr>
          <w:rFonts w:ascii="AAA GoldenLotus" w:hAnsi="AAA GoldenLotus"/>
          <w:sz w:val="27"/>
          <w:rtl/>
        </w:rPr>
        <w:t xml:space="preserve"> غير مرضي</w:t>
      </w:r>
      <w:r w:rsidR="00F53411" w:rsidRPr="00282AC9">
        <w:rPr>
          <w:rFonts w:ascii="AAA GoldenLotus" w:hAnsi="AAA GoldenLotus" w:hint="cs"/>
          <w:sz w:val="27"/>
          <w:rtl/>
        </w:rPr>
        <w:t>ٍّ</w:t>
      </w:r>
      <w:r w:rsidR="00E355F2" w:rsidRPr="00282AC9">
        <w:rPr>
          <w:rFonts w:ascii="AAA GoldenLotus" w:hAnsi="AAA GoldenLotus"/>
          <w:sz w:val="27"/>
          <w:rtl/>
        </w:rPr>
        <w:t xml:space="preserve"> إلى الإنسان</w:t>
      </w:r>
      <w:r w:rsidR="00F53411" w:rsidRPr="00282AC9">
        <w:rPr>
          <w:rFonts w:ascii="AAA GoldenLotus" w:hAnsi="AAA GoldenLotus" w:hint="cs"/>
          <w:sz w:val="27"/>
          <w:rtl/>
        </w:rPr>
        <w:t>،</w:t>
      </w:r>
      <w:r w:rsidR="00E355F2" w:rsidRPr="00282AC9">
        <w:rPr>
          <w:rFonts w:ascii="AAA GoldenLotus" w:hAnsi="AAA GoldenLotus"/>
          <w:sz w:val="27"/>
          <w:rtl/>
        </w:rPr>
        <w:t xml:space="preserve"> كالز</w:t>
      </w:r>
      <w:r w:rsidR="00F53411" w:rsidRPr="00282AC9">
        <w:rPr>
          <w:rFonts w:ascii="AAA GoldenLotus" w:hAnsi="AAA GoldenLotus" w:hint="cs"/>
          <w:sz w:val="27"/>
          <w:rtl/>
        </w:rPr>
        <w:t>ِّ</w:t>
      </w:r>
      <w:r w:rsidR="00E355F2" w:rsidRPr="00282AC9">
        <w:rPr>
          <w:rFonts w:ascii="AAA GoldenLotus" w:hAnsi="AAA GoldenLotus"/>
          <w:sz w:val="27"/>
          <w:rtl/>
        </w:rPr>
        <w:t>ن</w:t>
      </w:r>
      <w:r w:rsidR="00F53411" w:rsidRPr="00282AC9">
        <w:rPr>
          <w:rFonts w:ascii="AAA GoldenLotus" w:hAnsi="AAA GoldenLotus" w:hint="cs"/>
          <w:sz w:val="27"/>
          <w:rtl/>
        </w:rPr>
        <w:t>ى</w:t>
      </w:r>
      <w:r w:rsidR="00E355F2" w:rsidRPr="00282AC9">
        <w:rPr>
          <w:rFonts w:ascii="AAA GoldenLotus" w:hAnsi="AAA GoldenLotus"/>
          <w:sz w:val="27"/>
          <w:rtl/>
        </w:rPr>
        <w:t xml:space="preserve"> والسرقة</w:t>
      </w:r>
      <w:r w:rsidR="00F53411" w:rsidRPr="00282AC9">
        <w:rPr>
          <w:rFonts w:ascii="AAA GoldenLotus" w:hAnsi="AAA GoldenLotus" w:hint="cs"/>
          <w:sz w:val="27"/>
          <w:rtl/>
        </w:rPr>
        <w:t>،</w:t>
      </w:r>
      <w:r w:rsidR="00E355F2" w:rsidRPr="00282AC9">
        <w:rPr>
          <w:rFonts w:ascii="AAA GoldenLotus" w:hAnsi="AAA GoldenLotus"/>
          <w:sz w:val="27"/>
          <w:rtl/>
        </w:rPr>
        <w:t xml:space="preserve"> وهو القذف</w:t>
      </w:r>
      <w:r w:rsidR="00F53411" w:rsidRPr="00282AC9">
        <w:rPr>
          <w:rFonts w:ascii="AAA GoldenLotus" w:hAnsi="AAA GoldenLotus" w:hint="cs"/>
          <w:sz w:val="27"/>
          <w:rtl/>
        </w:rPr>
        <w:t>.</w:t>
      </w:r>
      <w:r w:rsidR="00E355F2" w:rsidRPr="00282AC9">
        <w:rPr>
          <w:rFonts w:ascii="AAA GoldenLotus" w:hAnsi="AAA GoldenLotus"/>
          <w:sz w:val="27"/>
          <w:rtl/>
        </w:rPr>
        <w:t xml:space="preserve"> والسياق يشهد أن المراد به نسبة الز</w:t>
      </w:r>
      <w:r w:rsidR="00F53411" w:rsidRPr="00282AC9">
        <w:rPr>
          <w:rFonts w:ascii="AAA GoldenLotus" w:hAnsi="AAA GoldenLotus" w:hint="cs"/>
          <w:sz w:val="27"/>
          <w:rtl/>
        </w:rPr>
        <w:t>ِّ</w:t>
      </w:r>
      <w:r w:rsidR="00E355F2" w:rsidRPr="00282AC9">
        <w:rPr>
          <w:rFonts w:ascii="AAA GoldenLotus" w:hAnsi="AAA GoldenLotus"/>
          <w:sz w:val="27"/>
          <w:rtl/>
        </w:rPr>
        <w:t>ن</w:t>
      </w:r>
      <w:r w:rsidR="00F53411" w:rsidRPr="00282AC9">
        <w:rPr>
          <w:rFonts w:ascii="AAA GoldenLotus" w:hAnsi="AAA GoldenLotus" w:hint="cs"/>
          <w:sz w:val="27"/>
          <w:rtl/>
        </w:rPr>
        <w:t>ى</w:t>
      </w:r>
      <w:r w:rsidR="00E355F2" w:rsidRPr="00282AC9">
        <w:rPr>
          <w:rFonts w:ascii="AAA GoldenLotus" w:hAnsi="AAA GoldenLotus"/>
          <w:sz w:val="27"/>
          <w:rtl/>
        </w:rPr>
        <w:t xml:space="preserve"> إلى المرأة الم</w:t>
      </w:r>
      <w:r w:rsidR="00F53411" w:rsidRPr="00282AC9">
        <w:rPr>
          <w:rFonts w:ascii="AAA GoldenLotus" w:hAnsi="AAA GoldenLotus" w:hint="cs"/>
          <w:sz w:val="27"/>
          <w:rtl/>
        </w:rPr>
        <w:t>ُ</w:t>
      </w:r>
      <w:r w:rsidR="00E355F2" w:rsidRPr="00282AC9">
        <w:rPr>
          <w:rFonts w:ascii="AAA GoldenLotus" w:hAnsi="AAA GoldenLotus"/>
          <w:sz w:val="27"/>
          <w:rtl/>
        </w:rPr>
        <w:t>ح</w:t>
      </w:r>
      <w:r w:rsidR="00F53411" w:rsidRPr="00282AC9">
        <w:rPr>
          <w:rFonts w:ascii="AAA GoldenLotus" w:hAnsi="AAA GoldenLotus" w:hint="cs"/>
          <w:sz w:val="27"/>
          <w:rtl/>
        </w:rPr>
        <w:t>ْ</w:t>
      </w:r>
      <w:r w:rsidR="00E355F2" w:rsidRPr="00282AC9">
        <w:rPr>
          <w:rFonts w:ascii="AAA GoldenLotus" w:hAnsi="AAA GoldenLotus"/>
          <w:sz w:val="27"/>
          <w:rtl/>
        </w:rPr>
        <w:t>ص</w:t>
      </w:r>
      <w:r w:rsidR="00F53411" w:rsidRPr="00282AC9">
        <w:rPr>
          <w:rFonts w:ascii="AAA GoldenLotus" w:hAnsi="AAA GoldenLotus" w:hint="cs"/>
          <w:sz w:val="27"/>
          <w:rtl/>
        </w:rPr>
        <w:t>َ</w:t>
      </w:r>
      <w:r w:rsidR="00E355F2" w:rsidRPr="00282AC9">
        <w:rPr>
          <w:rFonts w:ascii="AAA GoldenLotus" w:hAnsi="AAA GoldenLotus"/>
          <w:sz w:val="27"/>
          <w:rtl/>
        </w:rPr>
        <w:t>نة العفيفة</w:t>
      </w:r>
      <w:r w:rsidR="00F53411" w:rsidRPr="00282AC9">
        <w:rPr>
          <w:rFonts w:ascii="AAA GoldenLotus" w:hAnsi="AAA GoldenLotus" w:hint="cs"/>
          <w:sz w:val="27"/>
          <w:rtl/>
        </w:rPr>
        <w:t xml:space="preserve">. </w:t>
      </w:r>
      <w:r w:rsidR="00E355F2" w:rsidRPr="00282AC9">
        <w:rPr>
          <w:rFonts w:ascii="AAA GoldenLotus" w:hAnsi="AAA GoldenLotus"/>
          <w:sz w:val="27"/>
          <w:rtl/>
        </w:rPr>
        <w:t>والمراد بالإتيان بأربعة شهداء</w:t>
      </w:r>
      <w:r w:rsidR="00F53411" w:rsidRPr="00282AC9">
        <w:rPr>
          <w:rFonts w:ascii="AAA GoldenLotus" w:hAnsi="AAA GoldenLotus" w:hint="cs"/>
          <w:sz w:val="27"/>
          <w:rtl/>
        </w:rPr>
        <w:t>،</w:t>
      </w:r>
      <w:r w:rsidR="00E355F2" w:rsidRPr="00282AC9">
        <w:rPr>
          <w:rFonts w:ascii="AAA GoldenLotus" w:hAnsi="AAA GoldenLotus"/>
          <w:sz w:val="27"/>
          <w:rtl/>
        </w:rPr>
        <w:t xml:space="preserve"> وهم شهود الز</w:t>
      </w:r>
      <w:r w:rsidR="00F53411" w:rsidRPr="00282AC9">
        <w:rPr>
          <w:rFonts w:ascii="AAA GoldenLotus" w:hAnsi="AAA GoldenLotus" w:hint="cs"/>
          <w:sz w:val="27"/>
          <w:rtl/>
        </w:rPr>
        <w:t>ِّ</w:t>
      </w:r>
      <w:r w:rsidR="00E355F2" w:rsidRPr="00282AC9">
        <w:rPr>
          <w:rFonts w:ascii="AAA GoldenLotus" w:hAnsi="AAA GoldenLotus"/>
          <w:sz w:val="27"/>
          <w:rtl/>
        </w:rPr>
        <w:t>ن</w:t>
      </w:r>
      <w:r w:rsidR="00F53411" w:rsidRPr="00282AC9">
        <w:rPr>
          <w:rFonts w:ascii="AAA GoldenLotus" w:hAnsi="AAA GoldenLotus" w:hint="cs"/>
          <w:sz w:val="27"/>
          <w:rtl/>
        </w:rPr>
        <w:t>ى،</w:t>
      </w:r>
      <w:r w:rsidR="00E355F2" w:rsidRPr="00282AC9">
        <w:rPr>
          <w:rFonts w:ascii="AAA GoldenLotus" w:hAnsi="AAA GoldenLotus"/>
          <w:sz w:val="27"/>
          <w:rtl/>
        </w:rPr>
        <w:t xml:space="preserve"> إقامة الشهادة لإثبات ما قذف به</w:t>
      </w:r>
      <w:r w:rsidR="00F53411" w:rsidRPr="00282AC9">
        <w:rPr>
          <w:rFonts w:ascii="AAA GoldenLotus" w:hAnsi="AAA GoldenLotus" w:hint="cs"/>
          <w:sz w:val="27"/>
          <w:rtl/>
        </w:rPr>
        <w:t>.</w:t>
      </w:r>
      <w:r w:rsidR="00E355F2" w:rsidRPr="00282AC9">
        <w:rPr>
          <w:rFonts w:ascii="AAA GoldenLotus" w:hAnsi="AAA GoldenLotus"/>
          <w:sz w:val="27"/>
          <w:rtl/>
        </w:rPr>
        <w:t xml:space="preserve"> وقد أمر الله تعالى بإقامة الحد</w:t>
      </w:r>
      <w:r w:rsidR="00F53411" w:rsidRPr="00282AC9">
        <w:rPr>
          <w:rFonts w:ascii="AAA GoldenLotus" w:hAnsi="AAA GoldenLotus" w:hint="cs"/>
          <w:sz w:val="27"/>
          <w:rtl/>
        </w:rPr>
        <w:t>ّ</w:t>
      </w:r>
      <w:r w:rsidR="00E355F2" w:rsidRPr="00282AC9">
        <w:rPr>
          <w:rFonts w:ascii="AAA GoldenLotus" w:hAnsi="AAA GoldenLotus"/>
          <w:sz w:val="27"/>
          <w:rtl/>
        </w:rPr>
        <w:t xml:space="preserve"> عليهم إن</w:t>
      </w:r>
      <w:r w:rsidR="00F53411" w:rsidRPr="00282AC9">
        <w:rPr>
          <w:rFonts w:ascii="AAA GoldenLotus" w:hAnsi="AAA GoldenLotus" w:hint="cs"/>
          <w:sz w:val="27"/>
          <w:rtl/>
        </w:rPr>
        <w:t>ْ</w:t>
      </w:r>
      <w:r w:rsidR="00E355F2" w:rsidRPr="00282AC9">
        <w:rPr>
          <w:rFonts w:ascii="AAA GoldenLotus" w:hAnsi="AAA GoldenLotus"/>
          <w:sz w:val="27"/>
          <w:rtl/>
        </w:rPr>
        <w:t xml:space="preserve"> لم يقيموا الشهادة، وحكم بفسقهم وعدم قبول شهادتهم أبدا</w:t>
      </w:r>
      <w:r w:rsidR="00F53411" w:rsidRPr="00282AC9">
        <w:rPr>
          <w:rFonts w:ascii="AAA GoldenLotus" w:hAnsi="AAA GoldenLotus" w:hint="c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والمعنى: والذين يقذفون الم</w:t>
      </w:r>
      <w:r w:rsidR="00F53411" w:rsidRPr="00282AC9">
        <w:rPr>
          <w:rFonts w:ascii="AAA GoldenLotus" w:hAnsi="AAA GoldenLotus" w:hint="cs"/>
          <w:sz w:val="27"/>
          <w:rtl/>
        </w:rPr>
        <w:t>ُ</w:t>
      </w:r>
      <w:r w:rsidRPr="00282AC9">
        <w:rPr>
          <w:rFonts w:ascii="AAA GoldenLotus" w:hAnsi="AAA GoldenLotus"/>
          <w:sz w:val="27"/>
          <w:rtl/>
        </w:rPr>
        <w:t>ح</w:t>
      </w:r>
      <w:r w:rsidR="00F53411" w:rsidRPr="00282AC9">
        <w:rPr>
          <w:rFonts w:ascii="AAA GoldenLotus" w:hAnsi="AAA GoldenLotus" w:hint="cs"/>
          <w:sz w:val="27"/>
          <w:rtl/>
        </w:rPr>
        <w:t>ْ</w:t>
      </w:r>
      <w:r w:rsidRPr="00282AC9">
        <w:rPr>
          <w:rFonts w:ascii="AAA GoldenLotus" w:hAnsi="AAA GoldenLotus"/>
          <w:sz w:val="27"/>
          <w:rtl/>
        </w:rPr>
        <w:t>ص</w:t>
      </w:r>
      <w:r w:rsidR="00F53411" w:rsidRPr="00282AC9">
        <w:rPr>
          <w:rFonts w:ascii="AAA GoldenLotus" w:hAnsi="AAA GoldenLotus" w:hint="cs"/>
          <w:sz w:val="27"/>
          <w:rtl/>
        </w:rPr>
        <w:t>َ</w:t>
      </w:r>
      <w:r w:rsidRPr="00282AC9">
        <w:rPr>
          <w:rFonts w:ascii="AAA GoldenLotus" w:hAnsi="AAA GoldenLotus"/>
          <w:sz w:val="27"/>
          <w:rtl/>
        </w:rPr>
        <w:t>نات من النساء بالز</w:t>
      </w:r>
      <w:r w:rsidR="00F53411" w:rsidRPr="00282AC9">
        <w:rPr>
          <w:rFonts w:ascii="AAA GoldenLotus" w:hAnsi="AAA GoldenLotus" w:hint="cs"/>
          <w:sz w:val="27"/>
          <w:rtl/>
        </w:rPr>
        <w:t>ِّ</w:t>
      </w:r>
      <w:r w:rsidRPr="00282AC9">
        <w:rPr>
          <w:rFonts w:ascii="AAA GoldenLotus" w:hAnsi="AAA GoldenLotus"/>
          <w:sz w:val="27"/>
          <w:rtl/>
        </w:rPr>
        <w:t>ن</w:t>
      </w:r>
      <w:r w:rsidR="00F53411" w:rsidRPr="00282AC9">
        <w:rPr>
          <w:rFonts w:ascii="AAA GoldenLotus" w:hAnsi="AAA GoldenLotus" w:hint="cs"/>
          <w:sz w:val="27"/>
          <w:rtl/>
        </w:rPr>
        <w:t>ى،</w:t>
      </w:r>
      <w:r w:rsidRPr="00282AC9">
        <w:rPr>
          <w:rFonts w:ascii="AAA GoldenLotus" w:hAnsi="AAA GoldenLotus"/>
          <w:sz w:val="27"/>
          <w:rtl/>
        </w:rPr>
        <w:t xml:space="preserve"> ثم</w:t>
      </w:r>
      <w:r w:rsidR="00F53411" w:rsidRPr="00282AC9">
        <w:rPr>
          <w:rFonts w:ascii="AAA GoldenLotus" w:hAnsi="AAA GoldenLotus" w:hint="cs"/>
          <w:sz w:val="27"/>
          <w:rtl/>
        </w:rPr>
        <w:t>ّ</w:t>
      </w:r>
      <w:r w:rsidRPr="00282AC9">
        <w:rPr>
          <w:rFonts w:ascii="AAA GoldenLotus" w:hAnsi="AAA GoldenLotus"/>
          <w:sz w:val="27"/>
          <w:rtl/>
        </w:rPr>
        <w:t xml:space="preserve"> لم يقيموا أربعة</w:t>
      </w:r>
      <w:r w:rsidR="00F53411" w:rsidRPr="00282AC9">
        <w:rPr>
          <w:rFonts w:ascii="AAA GoldenLotus" w:hAnsi="AAA GoldenLotus" w:hint="cs"/>
          <w:sz w:val="27"/>
          <w:rtl/>
        </w:rPr>
        <w:t>ً</w:t>
      </w:r>
      <w:r w:rsidRPr="00282AC9">
        <w:rPr>
          <w:rFonts w:ascii="AAA GoldenLotus" w:hAnsi="AAA GoldenLotus"/>
          <w:sz w:val="27"/>
          <w:rtl/>
        </w:rPr>
        <w:t xml:space="preserve"> من الشهود على صدقهم في قذفهم</w:t>
      </w:r>
      <w:r w:rsidR="00F53411" w:rsidRPr="00282AC9">
        <w:rPr>
          <w:rFonts w:ascii="AAA GoldenLotus" w:hAnsi="AAA GoldenLotus" w:hint="cs"/>
          <w:sz w:val="27"/>
          <w:rtl/>
        </w:rPr>
        <w:t>،</w:t>
      </w:r>
      <w:r w:rsidRPr="00282AC9">
        <w:rPr>
          <w:rFonts w:ascii="AAA GoldenLotus" w:hAnsi="AAA GoldenLotus"/>
          <w:sz w:val="27"/>
          <w:rtl/>
        </w:rPr>
        <w:t xml:space="preserve"> فاجلدوهم ثمانين جلدة على قذفهم</w:t>
      </w:r>
      <w:r w:rsidR="00F53411" w:rsidRPr="00282AC9">
        <w:rPr>
          <w:rFonts w:ascii="AAA GoldenLotus" w:hAnsi="AAA GoldenLotus" w:hint="cs"/>
          <w:sz w:val="27"/>
          <w:rtl/>
        </w:rPr>
        <w:t>،</w:t>
      </w:r>
      <w:r w:rsidRPr="00282AC9">
        <w:rPr>
          <w:rFonts w:ascii="AAA GoldenLotus" w:hAnsi="AAA GoldenLotus"/>
          <w:sz w:val="27"/>
          <w:rtl/>
        </w:rPr>
        <w:t xml:space="preserve"> وهم فاسقون</w:t>
      </w:r>
      <w:r w:rsidR="00F53411" w:rsidRPr="00282AC9">
        <w:rPr>
          <w:rFonts w:ascii="AAA GoldenLotus" w:hAnsi="AAA GoldenLotus" w:hint="cs"/>
          <w:sz w:val="27"/>
          <w:rtl/>
        </w:rPr>
        <w:t>،</w:t>
      </w:r>
      <w:r w:rsidRPr="00282AC9">
        <w:rPr>
          <w:rFonts w:ascii="AAA GoldenLotus" w:hAnsi="AAA GoldenLotus"/>
          <w:sz w:val="27"/>
          <w:rtl/>
        </w:rPr>
        <w:t xml:space="preserve"> لا تقبلوا شهادتهم على شيء</w:t>
      </w:r>
      <w:r w:rsidR="00F53411" w:rsidRPr="00282AC9">
        <w:rPr>
          <w:rFonts w:ascii="AAA GoldenLotus" w:hAnsi="AAA GoldenLotus" w:hint="cs"/>
          <w:sz w:val="27"/>
          <w:rtl/>
        </w:rPr>
        <w:t>ٍ</w:t>
      </w:r>
      <w:r w:rsidRPr="00282AC9">
        <w:rPr>
          <w:rFonts w:ascii="AAA GoldenLotus" w:hAnsi="AAA GoldenLotus"/>
          <w:sz w:val="27"/>
          <w:rtl/>
        </w:rPr>
        <w:t xml:space="preserve"> أبداً</w:t>
      </w:r>
      <w:r w:rsidRPr="00282AC9">
        <w:rPr>
          <w:rFonts w:ascii="AAA GoldenLotus" w:hAnsi="AAA GoldenLotus"/>
          <w:sz w:val="27"/>
          <w:vertAlign w:val="superscript"/>
          <w:rtl/>
        </w:rPr>
        <w:t xml:space="preserve"> (</w:t>
      </w:r>
      <w:r w:rsidRPr="00282AC9">
        <w:rPr>
          <w:rFonts w:ascii="AAA GoldenLotus" w:hAnsi="AAA GoldenLotus"/>
          <w:sz w:val="27"/>
          <w:vertAlign w:val="superscript"/>
          <w:rtl/>
        </w:rPr>
        <w:endnoteReference w:id="396"/>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b/>
          <w:bCs/>
          <w:sz w:val="27"/>
          <w:rtl/>
        </w:rPr>
        <w:lastRenderedPageBreak/>
        <w:t>تقريب الاشتراك</w:t>
      </w:r>
      <w:r w:rsidRPr="00282AC9">
        <w:rPr>
          <w:rFonts w:ascii="AAA GoldenLotus" w:hAnsi="AAA GoldenLotus"/>
          <w:sz w:val="27"/>
          <w:rtl/>
        </w:rPr>
        <w:t>: كما هو ظاهر</w:t>
      </w:r>
      <w:r w:rsidR="00F53411" w:rsidRPr="00282AC9">
        <w:rPr>
          <w:rFonts w:ascii="AAA GoldenLotus" w:hAnsi="AAA GoldenLotus" w:hint="cs"/>
          <w:sz w:val="27"/>
          <w:rtl/>
        </w:rPr>
        <w:t>ٌ</w:t>
      </w:r>
      <w:r w:rsidRPr="00282AC9">
        <w:rPr>
          <w:rFonts w:ascii="AAA GoldenLotus" w:hAnsi="AAA GoldenLotus"/>
          <w:sz w:val="27"/>
          <w:rtl/>
        </w:rPr>
        <w:t xml:space="preserve"> من الآية أنّه يحرم ر</w:t>
      </w:r>
      <w:r w:rsidR="00F53411" w:rsidRPr="00282AC9">
        <w:rPr>
          <w:rFonts w:ascii="AAA GoldenLotus" w:hAnsi="AAA GoldenLotus" w:hint="cs"/>
          <w:sz w:val="27"/>
          <w:rtl/>
        </w:rPr>
        <w:t>َ</w:t>
      </w:r>
      <w:r w:rsidRPr="00282AC9">
        <w:rPr>
          <w:rFonts w:ascii="AAA GoldenLotus" w:hAnsi="AAA GoldenLotus"/>
          <w:sz w:val="27"/>
          <w:rtl/>
        </w:rPr>
        <w:t>م</w:t>
      </w:r>
      <w:r w:rsidR="00F53411" w:rsidRPr="00282AC9">
        <w:rPr>
          <w:rFonts w:ascii="AAA GoldenLotus" w:hAnsi="AAA GoldenLotus" w:hint="cs"/>
          <w:sz w:val="27"/>
          <w:rtl/>
        </w:rPr>
        <w:t>ْ</w:t>
      </w:r>
      <w:r w:rsidRPr="00282AC9">
        <w:rPr>
          <w:rFonts w:ascii="AAA GoldenLotus" w:hAnsi="AAA GoldenLotus"/>
          <w:sz w:val="27"/>
          <w:rtl/>
        </w:rPr>
        <w:t>ي النساء الم</w:t>
      </w:r>
      <w:r w:rsidR="00F53411" w:rsidRPr="00282AC9">
        <w:rPr>
          <w:rFonts w:ascii="AAA GoldenLotus" w:hAnsi="AAA GoldenLotus" w:hint="cs"/>
          <w:sz w:val="27"/>
          <w:rtl/>
        </w:rPr>
        <w:t>ُ</w:t>
      </w:r>
      <w:r w:rsidRPr="00282AC9">
        <w:rPr>
          <w:rFonts w:ascii="AAA GoldenLotus" w:hAnsi="AAA GoldenLotus"/>
          <w:sz w:val="27"/>
          <w:rtl/>
        </w:rPr>
        <w:t>ح</w:t>
      </w:r>
      <w:r w:rsidR="00F53411" w:rsidRPr="00282AC9">
        <w:rPr>
          <w:rFonts w:ascii="AAA GoldenLotus" w:hAnsi="AAA GoldenLotus" w:hint="cs"/>
          <w:sz w:val="27"/>
          <w:rtl/>
        </w:rPr>
        <w:t>ْ</w:t>
      </w:r>
      <w:r w:rsidRPr="00282AC9">
        <w:rPr>
          <w:rFonts w:ascii="AAA GoldenLotus" w:hAnsi="AAA GoldenLotus"/>
          <w:sz w:val="27"/>
          <w:rtl/>
        </w:rPr>
        <w:t>ص</w:t>
      </w:r>
      <w:r w:rsidR="00F53411" w:rsidRPr="00282AC9">
        <w:rPr>
          <w:rFonts w:ascii="AAA GoldenLotus" w:hAnsi="AAA GoldenLotus" w:hint="cs"/>
          <w:sz w:val="27"/>
          <w:rtl/>
        </w:rPr>
        <w:t>َ</w:t>
      </w:r>
      <w:r w:rsidRPr="00282AC9">
        <w:rPr>
          <w:rFonts w:ascii="AAA GoldenLotus" w:hAnsi="AAA GoldenLotus"/>
          <w:sz w:val="27"/>
          <w:rtl/>
        </w:rPr>
        <w:t>نات واتهامهن</w:t>
      </w:r>
      <w:r w:rsidR="00F53411" w:rsidRPr="00282AC9">
        <w:rPr>
          <w:rFonts w:ascii="AAA GoldenLotus" w:hAnsi="AAA GoldenLotus" w:hint="cs"/>
          <w:sz w:val="27"/>
          <w:rtl/>
        </w:rPr>
        <w:t>ّ</w:t>
      </w:r>
      <w:r w:rsidRPr="00282AC9">
        <w:rPr>
          <w:rFonts w:ascii="AAA GoldenLotus" w:hAnsi="AAA GoldenLotus"/>
          <w:sz w:val="27"/>
          <w:rtl/>
        </w:rPr>
        <w:t xml:space="preserve"> بالز</w:t>
      </w:r>
      <w:r w:rsidR="00F53411" w:rsidRPr="00282AC9">
        <w:rPr>
          <w:rFonts w:ascii="AAA GoldenLotus" w:hAnsi="AAA GoldenLotus" w:hint="cs"/>
          <w:sz w:val="27"/>
          <w:rtl/>
        </w:rPr>
        <w:t>ِّ</w:t>
      </w:r>
      <w:r w:rsidRPr="00282AC9">
        <w:rPr>
          <w:rFonts w:ascii="AAA GoldenLotus" w:hAnsi="AAA GoldenLotus"/>
          <w:sz w:val="27"/>
          <w:rtl/>
        </w:rPr>
        <w:t>ن</w:t>
      </w:r>
      <w:r w:rsidR="00F53411" w:rsidRPr="00282AC9">
        <w:rPr>
          <w:rFonts w:ascii="AAA GoldenLotus" w:hAnsi="AAA GoldenLotus" w:hint="cs"/>
          <w:sz w:val="27"/>
          <w:rtl/>
        </w:rPr>
        <w:t>ى</w:t>
      </w:r>
      <w:r w:rsidRPr="00282AC9">
        <w:rPr>
          <w:rFonts w:ascii="AAA GoldenLotus" w:hAnsi="AAA GoldenLotus"/>
          <w:sz w:val="27"/>
          <w:rtl/>
        </w:rPr>
        <w:t>، إ</w:t>
      </w:r>
      <w:r w:rsidR="00EE6DBA" w:rsidRPr="00282AC9">
        <w:rPr>
          <w:rFonts w:ascii="AAA GoldenLotus" w:hAnsi="AAA GoldenLotus"/>
          <w:sz w:val="27"/>
          <w:rtl/>
        </w:rPr>
        <w:t>لاّ</w:t>
      </w:r>
      <w:r w:rsidRPr="00282AC9">
        <w:rPr>
          <w:rFonts w:ascii="AAA GoldenLotus" w:hAnsi="AAA GoldenLotus"/>
          <w:sz w:val="27"/>
          <w:rtl/>
        </w:rPr>
        <w:t xml:space="preserve"> أنّه يحرم الر</w:t>
      </w:r>
      <w:r w:rsidR="00F53411" w:rsidRPr="00282AC9">
        <w:rPr>
          <w:rFonts w:ascii="AAA GoldenLotus" w:hAnsi="AAA GoldenLotus" w:hint="cs"/>
          <w:sz w:val="27"/>
          <w:rtl/>
        </w:rPr>
        <w:t>َّ</w:t>
      </w:r>
      <w:r w:rsidRPr="00282AC9">
        <w:rPr>
          <w:rFonts w:ascii="AAA GoldenLotus" w:hAnsi="AAA GoldenLotus"/>
          <w:sz w:val="27"/>
          <w:rtl/>
        </w:rPr>
        <w:t>م</w:t>
      </w:r>
      <w:r w:rsidR="00F53411" w:rsidRPr="00282AC9">
        <w:rPr>
          <w:rFonts w:ascii="AAA GoldenLotus" w:hAnsi="AAA GoldenLotus" w:hint="cs"/>
          <w:sz w:val="27"/>
          <w:rtl/>
        </w:rPr>
        <w:t>ْ</w:t>
      </w:r>
      <w:r w:rsidRPr="00282AC9">
        <w:rPr>
          <w:rFonts w:ascii="AAA GoldenLotus" w:hAnsi="AAA GoldenLotus"/>
          <w:sz w:val="27"/>
          <w:rtl/>
        </w:rPr>
        <w:t>ي</w:t>
      </w:r>
      <w:r w:rsidR="00F53411" w:rsidRPr="00282AC9">
        <w:rPr>
          <w:rFonts w:ascii="AAA GoldenLotus" w:hAnsi="AAA GoldenLotus" w:hint="cs"/>
          <w:sz w:val="27"/>
          <w:rtl/>
        </w:rPr>
        <w:t>،</w:t>
      </w:r>
      <w:r w:rsidRPr="00282AC9">
        <w:rPr>
          <w:rFonts w:ascii="AAA GoldenLotus" w:hAnsi="AAA GoldenLotus"/>
          <w:sz w:val="27"/>
          <w:rtl/>
        </w:rPr>
        <w:t xml:space="preserve"> سواء كان المقذوف رجلاً أو امرأة</w:t>
      </w:r>
      <w:r w:rsidR="00F53411" w:rsidRPr="00282AC9">
        <w:rPr>
          <w:rFonts w:ascii="AAA GoldenLotus" w:hAnsi="AAA GoldenLotus" w:hint="cs"/>
          <w:sz w:val="27"/>
          <w:rtl/>
        </w:rPr>
        <w:t>،</w:t>
      </w:r>
      <w:r w:rsidRPr="00282AC9">
        <w:rPr>
          <w:rFonts w:ascii="AAA GoldenLotus" w:hAnsi="AAA GoldenLotus"/>
          <w:sz w:val="27"/>
          <w:rtl/>
        </w:rPr>
        <w:t xml:space="preserve"> </w:t>
      </w:r>
      <w:r w:rsidR="00F53411" w:rsidRPr="00282AC9">
        <w:rPr>
          <w:rFonts w:ascii="AAA GoldenLotus" w:hAnsi="AAA GoldenLotus" w:hint="cs"/>
          <w:sz w:val="27"/>
          <w:rtl/>
        </w:rPr>
        <w:t>أي إ</w:t>
      </w:r>
      <w:r w:rsidR="00456C21" w:rsidRPr="00282AC9">
        <w:rPr>
          <w:rFonts w:ascii="AAA GoldenLotus" w:hAnsi="AAA GoldenLotus" w:hint="cs"/>
          <w:sz w:val="27"/>
          <w:rtl/>
        </w:rPr>
        <w:t xml:space="preserve">ن </w:t>
      </w:r>
      <w:r w:rsidRPr="00282AC9">
        <w:rPr>
          <w:rFonts w:ascii="AAA GoldenLotus" w:hAnsi="AAA GoldenLotus"/>
          <w:sz w:val="27"/>
          <w:rtl/>
        </w:rPr>
        <w:t>الحرمة لا تختص</w:t>
      </w:r>
      <w:r w:rsidR="00456C21" w:rsidRPr="00282AC9">
        <w:rPr>
          <w:rFonts w:ascii="AAA GoldenLotus" w:hAnsi="AAA GoldenLotus" w:hint="cs"/>
          <w:sz w:val="27"/>
          <w:rtl/>
        </w:rPr>
        <w:t>ّ</w:t>
      </w:r>
      <w:r w:rsidRPr="00282AC9">
        <w:rPr>
          <w:rFonts w:ascii="AAA GoldenLotus" w:hAnsi="AAA GoldenLotus"/>
          <w:sz w:val="27"/>
          <w:rtl/>
        </w:rPr>
        <w:t xml:space="preserve"> بالنساء الم</w:t>
      </w:r>
      <w:r w:rsidR="00456C21" w:rsidRPr="00282AC9">
        <w:rPr>
          <w:rFonts w:ascii="AAA GoldenLotus" w:hAnsi="AAA GoldenLotus" w:hint="cs"/>
          <w:sz w:val="27"/>
          <w:rtl/>
        </w:rPr>
        <w:t>ُ</w:t>
      </w:r>
      <w:r w:rsidRPr="00282AC9">
        <w:rPr>
          <w:rFonts w:ascii="AAA GoldenLotus" w:hAnsi="AAA GoldenLotus"/>
          <w:sz w:val="27"/>
          <w:rtl/>
        </w:rPr>
        <w:t>ح</w:t>
      </w:r>
      <w:r w:rsidR="00456C21" w:rsidRPr="00282AC9">
        <w:rPr>
          <w:rFonts w:ascii="AAA GoldenLotus" w:hAnsi="AAA GoldenLotus" w:hint="cs"/>
          <w:sz w:val="27"/>
          <w:rtl/>
        </w:rPr>
        <w:t>ْ</w:t>
      </w:r>
      <w:r w:rsidRPr="00282AC9">
        <w:rPr>
          <w:rFonts w:ascii="AAA GoldenLotus" w:hAnsi="AAA GoldenLotus"/>
          <w:sz w:val="27"/>
          <w:rtl/>
        </w:rPr>
        <w:t>ص</w:t>
      </w:r>
      <w:r w:rsidR="00456C21" w:rsidRPr="00282AC9">
        <w:rPr>
          <w:rFonts w:ascii="AAA GoldenLotus" w:hAnsi="AAA GoldenLotus" w:hint="cs"/>
          <w:sz w:val="27"/>
          <w:rtl/>
        </w:rPr>
        <w:t>َ</w:t>
      </w:r>
      <w:r w:rsidRPr="00282AC9">
        <w:rPr>
          <w:rFonts w:ascii="AAA GoldenLotus" w:hAnsi="AAA GoldenLotus"/>
          <w:sz w:val="27"/>
          <w:rtl/>
        </w:rPr>
        <w:t>نات</w:t>
      </w:r>
      <w:r w:rsidR="00456C21" w:rsidRPr="00282AC9">
        <w:rPr>
          <w:rFonts w:ascii="AAA GoldenLotus" w:hAnsi="AAA GoldenLotus" w:hint="cs"/>
          <w:sz w:val="27"/>
          <w:rtl/>
        </w:rPr>
        <w:t>،</w:t>
      </w:r>
      <w:r w:rsidRPr="00282AC9">
        <w:rPr>
          <w:rFonts w:ascii="AAA GoldenLotus" w:hAnsi="AAA GoldenLotus"/>
          <w:sz w:val="27"/>
          <w:rtl/>
        </w:rPr>
        <w:t xml:space="preserve"> كما ورد في الآية، بل تشمل الرجال أيضاً</w:t>
      </w:r>
      <w:r w:rsidR="00456C21" w:rsidRPr="00282AC9">
        <w:rPr>
          <w:rFonts w:ascii="AAA GoldenLotus" w:hAnsi="AAA GoldenLotus" w:hint="cs"/>
          <w:sz w:val="27"/>
          <w:rtl/>
        </w:rPr>
        <w:t>.</w:t>
      </w:r>
      <w:r w:rsidRPr="00282AC9">
        <w:rPr>
          <w:rFonts w:ascii="AAA GoldenLotus" w:hAnsi="AAA GoldenLotus"/>
          <w:sz w:val="27"/>
          <w:rtl/>
        </w:rPr>
        <w:t xml:space="preserve"> </w:t>
      </w:r>
      <w:r w:rsidR="00456C21" w:rsidRPr="00282AC9">
        <w:rPr>
          <w:rFonts w:ascii="AAA GoldenLotus" w:hAnsi="AAA GoldenLotus" w:hint="cs"/>
          <w:sz w:val="27"/>
          <w:rtl/>
        </w:rPr>
        <w:t>و</w:t>
      </w:r>
      <w:r w:rsidRPr="00282AC9">
        <w:rPr>
          <w:rFonts w:ascii="AAA GoldenLotus" w:hAnsi="AAA GoldenLotus"/>
          <w:sz w:val="27"/>
          <w:rtl/>
        </w:rPr>
        <w:t>كذلك تعبير ذ</w:t>
      </w:r>
      <w:r w:rsidR="00456C21" w:rsidRPr="00282AC9">
        <w:rPr>
          <w:rFonts w:ascii="AAA GoldenLotus" w:hAnsi="AAA GoldenLotus" w:hint="cs"/>
          <w:sz w:val="27"/>
          <w:rtl/>
        </w:rPr>
        <w:t>َ</w:t>
      </w:r>
      <w:r w:rsidRPr="00282AC9">
        <w:rPr>
          <w:rFonts w:ascii="AAA GoldenLotus" w:hAnsi="AAA GoldenLotus"/>
          <w:sz w:val="27"/>
          <w:rtl/>
        </w:rPr>
        <w:t>ي</w:t>
      </w:r>
      <w:r w:rsidR="00456C21" w:rsidRPr="00282AC9">
        <w:rPr>
          <w:rFonts w:ascii="AAA GoldenLotus" w:hAnsi="AAA GoldenLotus" w:hint="cs"/>
          <w:sz w:val="27"/>
          <w:rtl/>
        </w:rPr>
        <w:t>ْ</w:t>
      </w:r>
      <w:r w:rsidRPr="00282AC9">
        <w:rPr>
          <w:rFonts w:ascii="AAA GoldenLotus" w:hAnsi="AAA GoldenLotus"/>
          <w:sz w:val="27"/>
          <w:rtl/>
        </w:rPr>
        <w:t>ل الآية</w:t>
      </w:r>
      <w:r w:rsidR="00456C21" w:rsidRPr="00282AC9">
        <w:rPr>
          <w:rFonts w:ascii="AAA GoldenLotus" w:hAnsi="AAA GoldenLotus" w:hint="cs"/>
          <w:sz w:val="27"/>
          <w:rtl/>
        </w:rPr>
        <w:t>:</w:t>
      </w:r>
      <w:r w:rsidRPr="00282AC9">
        <w:rPr>
          <w:rFonts w:ascii="AAA GoldenLotus" w:hAnsi="AAA GoldenLotus"/>
          <w:sz w:val="27"/>
          <w:rtl/>
        </w:rPr>
        <w:t xml:space="preserve"> </w:t>
      </w:r>
      <w:r w:rsidR="00456C21" w:rsidRPr="00282AC9">
        <w:rPr>
          <w:rFonts w:hint="eastAsia"/>
          <w:sz w:val="24"/>
          <w:szCs w:val="24"/>
          <w:rtl/>
        </w:rPr>
        <w:t>«</w:t>
      </w:r>
      <w:r w:rsidR="00456C21" w:rsidRPr="00282AC9">
        <w:rPr>
          <w:rFonts w:ascii="AAA GoldenLotus" w:hAnsi="AAA GoldenLotus"/>
          <w:sz w:val="27"/>
          <w:rtl/>
        </w:rPr>
        <w:t>وَأُولَ</w:t>
      </w:r>
      <w:r w:rsidR="00456C21" w:rsidRPr="00282AC9">
        <w:rPr>
          <w:rFonts w:ascii="AAA GoldenLotus" w:hAnsi="AAA GoldenLotus" w:hint="cs"/>
          <w:sz w:val="27"/>
          <w:rtl/>
        </w:rPr>
        <w:t>ئِكَ</w:t>
      </w:r>
      <w:r w:rsidR="00456C21" w:rsidRPr="00282AC9">
        <w:rPr>
          <w:rFonts w:ascii="AAA GoldenLotus" w:hAnsi="AAA GoldenLotus"/>
          <w:sz w:val="27"/>
          <w:rtl/>
        </w:rPr>
        <w:t xml:space="preserve"> </w:t>
      </w:r>
      <w:r w:rsidR="00456C21" w:rsidRPr="00282AC9">
        <w:rPr>
          <w:rFonts w:ascii="AAA GoldenLotus" w:hAnsi="AAA GoldenLotus" w:hint="cs"/>
          <w:sz w:val="27"/>
          <w:rtl/>
        </w:rPr>
        <w:t>هُمُ</w:t>
      </w:r>
      <w:r w:rsidR="00456C21" w:rsidRPr="00282AC9">
        <w:rPr>
          <w:rFonts w:ascii="AAA GoldenLotus" w:hAnsi="AAA GoldenLotus"/>
          <w:sz w:val="27"/>
          <w:rtl/>
        </w:rPr>
        <w:t xml:space="preserve"> </w:t>
      </w:r>
      <w:r w:rsidR="00456C21" w:rsidRPr="00282AC9">
        <w:rPr>
          <w:rFonts w:ascii="AAA GoldenLotus" w:hAnsi="AAA GoldenLotus" w:hint="cs"/>
          <w:sz w:val="27"/>
          <w:rtl/>
        </w:rPr>
        <w:t>الْفَاسِقُونَ</w:t>
      </w:r>
      <w:r w:rsidR="00456C21" w:rsidRPr="00282AC9">
        <w:rPr>
          <w:rFonts w:hint="eastAsia"/>
          <w:sz w:val="24"/>
          <w:szCs w:val="24"/>
          <w:rtl/>
        </w:rPr>
        <w:t>»</w:t>
      </w:r>
      <w:r w:rsidRPr="00282AC9">
        <w:rPr>
          <w:rFonts w:ascii="AAA GoldenLotus" w:hAnsi="AAA GoldenLotus"/>
          <w:sz w:val="27"/>
          <w:rtl/>
        </w:rPr>
        <w:t xml:space="preserve"> غير مختص</w:t>
      </w:r>
      <w:r w:rsidR="00456C21" w:rsidRPr="00282AC9">
        <w:rPr>
          <w:rFonts w:ascii="AAA GoldenLotus" w:hAnsi="AAA GoldenLotus" w:hint="cs"/>
          <w:sz w:val="27"/>
          <w:rtl/>
        </w:rPr>
        <w:t>ٍّ</w:t>
      </w:r>
      <w:r w:rsidRPr="00282AC9">
        <w:rPr>
          <w:rFonts w:ascii="AAA GoldenLotus" w:hAnsi="AAA GoldenLotus"/>
          <w:sz w:val="27"/>
          <w:rtl/>
        </w:rPr>
        <w:t xml:space="preserve"> بالرجال، بل </w:t>
      </w:r>
      <w:r w:rsidR="00456C21" w:rsidRPr="00282AC9">
        <w:rPr>
          <w:rFonts w:ascii="AAA GoldenLotus" w:hAnsi="AAA GoldenLotus" w:hint="cs"/>
          <w:sz w:val="27"/>
          <w:rtl/>
        </w:rPr>
        <w:t>ي</w:t>
      </w:r>
      <w:r w:rsidRPr="00282AC9">
        <w:rPr>
          <w:rFonts w:ascii="AAA GoldenLotus" w:hAnsi="AAA GoldenLotus"/>
          <w:sz w:val="27"/>
          <w:rtl/>
        </w:rPr>
        <w:t>عم</w:t>
      </w:r>
      <w:r w:rsidR="00456C21" w:rsidRPr="00282AC9">
        <w:rPr>
          <w:rFonts w:ascii="AAA GoldenLotus" w:hAnsi="AAA GoldenLotus" w:hint="cs"/>
          <w:sz w:val="27"/>
          <w:rtl/>
        </w:rPr>
        <w:t>ّ</w:t>
      </w:r>
      <w:r w:rsidRPr="00282AC9">
        <w:rPr>
          <w:rFonts w:ascii="AAA GoldenLotus" w:hAnsi="AAA GoldenLotus"/>
          <w:sz w:val="27"/>
          <w:rtl/>
        </w:rPr>
        <w:t xml:space="preserve"> النساء أيضاً</w:t>
      </w:r>
      <w:r w:rsidR="00456C21" w:rsidRPr="00282AC9">
        <w:rPr>
          <w:rFonts w:ascii="AAA GoldenLotus" w:hAnsi="AAA GoldenLotus" w:hint="cs"/>
          <w:sz w:val="27"/>
          <w:rtl/>
        </w:rPr>
        <w:t>.</w:t>
      </w:r>
      <w:r w:rsidRPr="00282AC9">
        <w:rPr>
          <w:rFonts w:ascii="AAA GoldenLotus" w:hAnsi="AAA GoldenLotus"/>
          <w:sz w:val="27"/>
          <w:rtl/>
        </w:rPr>
        <w:t xml:space="preserve"> لذلك يحرم على المكل</w:t>
      </w:r>
      <w:r w:rsidR="00456C21" w:rsidRPr="00282AC9">
        <w:rPr>
          <w:rFonts w:ascii="AAA GoldenLotus" w:hAnsi="AAA GoldenLotus" w:hint="cs"/>
          <w:sz w:val="27"/>
          <w:rtl/>
        </w:rPr>
        <w:t>َّ</w:t>
      </w:r>
      <w:r w:rsidRPr="00282AC9">
        <w:rPr>
          <w:rFonts w:ascii="AAA GoldenLotus" w:hAnsi="AAA GoldenLotus"/>
          <w:sz w:val="27"/>
          <w:rtl/>
        </w:rPr>
        <w:t>ف قذف الآخرين</w:t>
      </w:r>
      <w:r w:rsidR="00456C21" w:rsidRPr="00282AC9">
        <w:rPr>
          <w:rFonts w:ascii="AAA GoldenLotus" w:hAnsi="AAA GoldenLotus" w:hint="cs"/>
          <w:sz w:val="27"/>
          <w:rtl/>
        </w:rPr>
        <w:t>،</w:t>
      </w:r>
      <w:r w:rsidRPr="00282AC9">
        <w:rPr>
          <w:rFonts w:ascii="AAA GoldenLotus" w:hAnsi="AAA GoldenLotus"/>
          <w:sz w:val="27"/>
          <w:rtl/>
        </w:rPr>
        <w:t xml:space="preserve"> سواء كان القاذف رجلاً او امرأة، لكنّ الشمول والعمو</w:t>
      </w:r>
      <w:r w:rsidR="00456C21" w:rsidRPr="00282AC9">
        <w:rPr>
          <w:rFonts w:ascii="AAA GoldenLotus" w:hAnsi="AAA GoldenLotus" w:hint="cs"/>
          <w:sz w:val="27"/>
          <w:rtl/>
        </w:rPr>
        <w:t>م</w:t>
      </w:r>
      <w:r w:rsidRPr="00282AC9">
        <w:rPr>
          <w:rFonts w:ascii="AAA GoldenLotus" w:hAnsi="AAA GoldenLotus"/>
          <w:sz w:val="27"/>
          <w:rtl/>
        </w:rPr>
        <w:t xml:space="preserve"> لا ي</w:t>
      </w:r>
      <w:r w:rsidR="00456C21" w:rsidRPr="00282AC9">
        <w:rPr>
          <w:rFonts w:ascii="AAA GoldenLotus" w:hAnsi="AAA GoldenLotus" w:hint="cs"/>
          <w:sz w:val="27"/>
          <w:rtl/>
        </w:rPr>
        <w:t>ُ</w:t>
      </w:r>
      <w:r w:rsidRPr="00282AC9">
        <w:rPr>
          <w:rFonts w:ascii="AAA GoldenLotus" w:hAnsi="AAA GoldenLotus"/>
          <w:sz w:val="27"/>
          <w:rtl/>
        </w:rPr>
        <w:t>ستفاد من الوضع اللغوي</w:t>
      </w:r>
      <w:r w:rsidR="00456C21" w:rsidRPr="00282AC9">
        <w:rPr>
          <w:rFonts w:ascii="AAA GoldenLotus" w:hAnsi="AAA GoldenLotus" w:hint="cs"/>
          <w:sz w:val="27"/>
          <w:rtl/>
        </w:rPr>
        <w:t>ّ</w:t>
      </w:r>
      <w:r w:rsidRPr="00282AC9">
        <w:rPr>
          <w:rFonts w:ascii="AAA GoldenLotus" w:hAnsi="AAA GoldenLotus"/>
          <w:sz w:val="27"/>
          <w:rtl/>
        </w:rPr>
        <w:t xml:space="preserve"> للصيغة؛ لأنها ورد</w:t>
      </w:r>
      <w:r w:rsidR="00456C21" w:rsidRPr="00282AC9">
        <w:rPr>
          <w:rFonts w:ascii="AAA GoldenLotus" w:hAnsi="AAA GoldenLotus" w:hint="cs"/>
          <w:sz w:val="27"/>
          <w:rtl/>
        </w:rPr>
        <w:t>َ</w:t>
      </w:r>
      <w:r w:rsidRPr="00282AC9">
        <w:rPr>
          <w:rFonts w:ascii="AAA GoldenLotus" w:hAnsi="AAA GoldenLotus"/>
          <w:sz w:val="27"/>
          <w:rtl/>
        </w:rPr>
        <w:t>ت</w:t>
      </w:r>
      <w:r w:rsidR="00456C21" w:rsidRPr="00282AC9">
        <w:rPr>
          <w:rFonts w:ascii="AAA GoldenLotus" w:hAnsi="AAA GoldenLotus" w:hint="cs"/>
          <w:sz w:val="27"/>
          <w:rtl/>
        </w:rPr>
        <w:t>ْ</w:t>
      </w:r>
      <w:r w:rsidRPr="00282AC9">
        <w:rPr>
          <w:rFonts w:ascii="AAA GoldenLotus" w:hAnsi="AAA GoldenLotus"/>
          <w:sz w:val="27"/>
          <w:rtl/>
        </w:rPr>
        <w:t xml:space="preserve"> في شأن النساء خاص</w:t>
      </w:r>
      <w:r w:rsidR="00456C21" w:rsidRPr="00282AC9">
        <w:rPr>
          <w:rFonts w:ascii="AAA GoldenLotus" w:hAnsi="AAA GoldenLotus" w:hint="cs"/>
          <w:sz w:val="27"/>
          <w:rtl/>
        </w:rPr>
        <w:t>ّ</w:t>
      </w:r>
      <w:r w:rsidRPr="00282AC9">
        <w:rPr>
          <w:rFonts w:ascii="AAA GoldenLotus" w:hAnsi="AAA GoldenLotus"/>
          <w:sz w:val="27"/>
          <w:rtl/>
        </w:rPr>
        <w:t>ة</w:t>
      </w:r>
      <w:r w:rsidR="00456C21" w:rsidRPr="00282AC9">
        <w:rPr>
          <w:rFonts w:ascii="AAA GoldenLotus" w:hAnsi="AAA GoldenLotus" w:hint="cs"/>
          <w:sz w:val="27"/>
          <w:rtl/>
        </w:rPr>
        <w:t>ً</w:t>
      </w:r>
      <w:r w:rsidRPr="00282AC9">
        <w:rPr>
          <w:rFonts w:ascii="AAA GoldenLotus" w:hAnsi="AAA GoldenLotus"/>
          <w:sz w:val="27"/>
          <w:rtl/>
        </w:rPr>
        <w:t>، بل من دليل</w:t>
      </w:r>
      <w:r w:rsidR="00456C21" w:rsidRPr="00282AC9">
        <w:rPr>
          <w:rFonts w:ascii="AAA GoldenLotus" w:hAnsi="AAA GoldenLotus" w:hint="cs"/>
          <w:sz w:val="27"/>
          <w:rtl/>
        </w:rPr>
        <w:t xml:space="preserve">ٍ </w:t>
      </w:r>
      <w:r w:rsidRPr="00282AC9">
        <w:rPr>
          <w:rFonts w:ascii="AAA GoldenLotus" w:hAnsi="AAA GoldenLotus"/>
          <w:sz w:val="27"/>
          <w:rtl/>
        </w:rPr>
        <w:t>آخر</w:t>
      </w:r>
      <w:r w:rsidR="00456C21" w:rsidRPr="00282AC9">
        <w:rPr>
          <w:rFonts w:ascii="AAA GoldenLotus" w:hAnsi="AAA GoldenLotus" w:hint="cs"/>
          <w:sz w:val="27"/>
          <w:rtl/>
        </w:rPr>
        <w:t>،</w:t>
      </w:r>
      <w:r w:rsidRPr="00282AC9">
        <w:rPr>
          <w:rFonts w:ascii="AAA GoldenLotus" w:hAnsi="AAA GoldenLotus"/>
          <w:sz w:val="27"/>
          <w:rtl/>
        </w:rPr>
        <w:t xml:space="preserve"> وهو قاعدة الاشتراك</w:t>
      </w:r>
      <w:r w:rsidR="00456C21" w:rsidRPr="00282AC9">
        <w:rPr>
          <w:rFonts w:ascii="AAA GoldenLotus" w:hAnsi="AAA GoldenLotus" w:hint="cs"/>
          <w:sz w:val="27"/>
          <w:rtl/>
        </w:rPr>
        <w:t>؛</w:t>
      </w:r>
      <w:r w:rsidRPr="00282AC9">
        <w:rPr>
          <w:rFonts w:ascii="AAA GoldenLotus" w:hAnsi="AAA GoldenLotus"/>
          <w:sz w:val="27"/>
          <w:rtl/>
        </w:rPr>
        <w:t xml:space="preserve"> باعتبار توف</w:t>
      </w:r>
      <w:r w:rsidR="00456C21" w:rsidRPr="00282AC9">
        <w:rPr>
          <w:rFonts w:ascii="AAA GoldenLotus" w:hAnsi="AAA GoldenLotus" w:hint="cs"/>
          <w:sz w:val="27"/>
          <w:rtl/>
        </w:rPr>
        <w:t>ُّ</w:t>
      </w:r>
      <w:r w:rsidRPr="00282AC9">
        <w:rPr>
          <w:rFonts w:ascii="AAA GoldenLotus" w:hAnsi="AAA GoldenLotus"/>
          <w:sz w:val="27"/>
          <w:rtl/>
        </w:rPr>
        <w:t>ر الشروط</w:t>
      </w:r>
      <w:r w:rsidR="00456C21" w:rsidRPr="00282AC9">
        <w:rPr>
          <w:rFonts w:ascii="AAA GoldenLotus" w:hAnsi="AAA GoldenLotus" w:hint="cs"/>
          <w:sz w:val="27"/>
          <w:rtl/>
        </w:rPr>
        <w:t>،</w:t>
      </w:r>
      <w:r w:rsidRPr="00282AC9">
        <w:rPr>
          <w:rFonts w:ascii="AAA GoldenLotus" w:hAnsi="AAA GoldenLotus"/>
          <w:sz w:val="27"/>
          <w:rtl/>
        </w:rPr>
        <w:t xml:space="preserve"> التي هي ات</w:t>
      </w:r>
      <w:r w:rsidR="00456C21" w:rsidRPr="00282AC9">
        <w:rPr>
          <w:rFonts w:ascii="AAA GoldenLotus" w:hAnsi="AAA GoldenLotus" w:hint="cs"/>
          <w:sz w:val="27"/>
          <w:rtl/>
        </w:rPr>
        <w:t>ّ</w:t>
      </w:r>
      <w:r w:rsidRPr="00282AC9">
        <w:rPr>
          <w:rFonts w:ascii="AAA GoldenLotus" w:hAnsi="AAA GoldenLotus"/>
          <w:sz w:val="27"/>
          <w:rtl/>
        </w:rPr>
        <w:t>حاد الصنف وإلغاء الخصوصي</w:t>
      </w:r>
      <w:r w:rsidR="00456C21" w:rsidRPr="00282AC9">
        <w:rPr>
          <w:rFonts w:ascii="AAA GoldenLotus" w:hAnsi="AAA GoldenLotus" w:hint="cs"/>
          <w:sz w:val="27"/>
          <w:rtl/>
        </w:rPr>
        <w:t>ّ</w:t>
      </w:r>
      <w:r w:rsidRPr="00282AC9">
        <w:rPr>
          <w:rFonts w:ascii="AAA GoldenLotus" w:hAnsi="AAA GoldenLotus"/>
          <w:sz w:val="27"/>
          <w:rtl/>
        </w:rPr>
        <w:t xml:space="preserve">ة. </w:t>
      </w:r>
    </w:p>
    <w:p w:rsidR="00E355F2" w:rsidRPr="00282AC9" w:rsidRDefault="00E355F2" w:rsidP="00046546">
      <w:pPr>
        <w:rPr>
          <w:rFonts w:ascii="AAA GoldenLotus" w:hAnsi="AAA GoldenLotus"/>
          <w:sz w:val="27"/>
          <w:rtl/>
        </w:rPr>
      </w:pPr>
      <w:bookmarkStart w:id="47" w:name="_Toc33819781"/>
      <w:r w:rsidRPr="00282AC9">
        <w:rPr>
          <w:rFonts w:ascii="AAA GoldenLotus" w:hAnsi="AAA GoldenLotus" w:hint="cs"/>
          <w:b/>
          <w:bCs/>
          <w:sz w:val="27"/>
          <w:rtl/>
        </w:rPr>
        <w:t>2</w:t>
      </w:r>
      <w:r w:rsidRPr="00282AC9">
        <w:rPr>
          <w:rFonts w:ascii="AAA GoldenLotus" w:hAnsi="AAA GoldenLotus"/>
          <w:b/>
          <w:bCs/>
          <w:sz w:val="27"/>
          <w:rtl/>
        </w:rPr>
        <w:t>ـ عند جمهور المذاهب</w:t>
      </w:r>
      <w:bookmarkEnd w:id="47"/>
      <w:r w:rsidR="00913C71" w:rsidRPr="00282AC9">
        <w:rPr>
          <w:rFonts w:ascii="AAA GoldenLotus" w:hAnsi="AAA GoldenLotus" w:hint="cs"/>
          <w:sz w:val="27"/>
          <w:rtl/>
        </w:rPr>
        <w:t xml:space="preserve">: </w:t>
      </w:r>
      <w:r w:rsidRPr="00282AC9">
        <w:rPr>
          <w:rFonts w:ascii="AAA GoldenLotus" w:hAnsi="AAA GoldenLotus"/>
          <w:sz w:val="27"/>
          <w:rtl/>
        </w:rPr>
        <w:t>ذكروا في شأنها أنها ورد</w:t>
      </w:r>
      <w:r w:rsidR="00456C21" w:rsidRPr="00282AC9">
        <w:rPr>
          <w:rFonts w:ascii="AAA GoldenLotus" w:hAnsi="AAA GoldenLotus" w:hint="cs"/>
          <w:sz w:val="27"/>
          <w:rtl/>
        </w:rPr>
        <w:t>َ</w:t>
      </w:r>
      <w:r w:rsidRPr="00282AC9">
        <w:rPr>
          <w:rFonts w:ascii="AAA GoldenLotus" w:hAnsi="AAA GoldenLotus"/>
          <w:sz w:val="27"/>
          <w:rtl/>
        </w:rPr>
        <w:t>ت</w:t>
      </w:r>
      <w:r w:rsidR="00456C21" w:rsidRPr="00282AC9">
        <w:rPr>
          <w:rFonts w:ascii="AAA GoldenLotus" w:hAnsi="AAA GoldenLotus" w:hint="cs"/>
          <w:sz w:val="27"/>
          <w:rtl/>
        </w:rPr>
        <w:t>ْ</w:t>
      </w:r>
      <w:r w:rsidRPr="00282AC9">
        <w:rPr>
          <w:rFonts w:ascii="AAA GoldenLotus" w:hAnsi="AAA GoldenLotus"/>
          <w:sz w:val="27"/>
          <w:rtl/>
        </w:rPr>
        <w:t xml:space="preserve"> في بيان حكم جلد القاذف للم</w:t>
      </w:r>
      <w:r w:rsidR="00456C21" w:rsidRPr="00282AC9">
        <w:rPr>
          <w:rFonts w:ascii="AAA GoldenLotus" w:hAnsi="AAA GoldenLotus" w:hint="cs"/>
          <w:sz w:val="27"/>
          <w:rtl/>
        </w:rPr>
        <w:t>ُ</w:t>
      </w:r>
      <w:r w:rsidRPr="00282AC9">
        <w:rPr>
          <w:rFonts w:ascii="AAA GoldenLotus" w:hAnsi="AAA GoldenLotus"/>
          <w:sz w:val="27"/>
          <w:rtl/>
        </w:rPr>
        <w:t>ح</w:t>
      </w:r>
      <w:r w:rsidR="00456C21" w:rsidRPr="00282AC9">
        <w:rPr>
          <w:rFonts w:ascii="AAA GoldenLotus" w:hAnsi="AAA GoldenLotus" w:hint="cs"/>
          <w:sz w:val="27"/>
          <w:rtl/>
        </w:rPr>
        <w:t>ْ</w:t>
      </w:r>
      <w:r w:rsidRPr="00282AC9">
        <w:rPr>
          <w:rFonts w:ascii="AAA GoldenLotus" w:hAnsi="AAA GoldenLotus"/>
          <w:sz w:val="27"/>
          <w:rtl/>
        </w:rPr>
        <w:t>ص</w:t>
      </w:r>
      <w:r w:rsidR="00456C21" w:rsidRPr="00282AC9">
        <w:rPr>
          <w:rFonts w:ascii="AAA GoldenLotus" w:hAnsi="AAA GoldenLotus" w:hint="cs"/>
          <w:sz w:val="27"/>
          <w:rtl/>
        </w:rPr>
        <w:t>َ</w:t>
      </w:r>
      <w:r w:rsidRPr="00282AC9">
        <w:rPr>
          <w:rFonts w:ascii="AAA GoldenLotus" w:hAnsi="AAA GoldenLotus"/>
          <w:sz w:val="27"/>
          <w:rtl/>
        </w:rPr>
        <w:t>نة، وهي الح</w:t>
      </w:r>
      <w:r w:rsidR="00456C21" w:rsidRPr="00282AC9">
        <w:rPr>
          <w:rFonts w:ascii="AAA GoldenLotus" w:hAnsi="AAA GoldenLotus" w:hint="cs"/>
          <w:sz w:val="27"/>
          <w:rtl/>
        </w:rPr>
        <w:t>ُ</w:t>
      </w:r>
      <w:r w:rsidRPr="00282AC9">
        <w:rPr>
          <w:rFonts w:ascii="AAA GoldenLotus" w:hAnsi="AAA GoldenLotus"/>
          <w:sz w:val="27"/>
          <w:rtl/>
        </w:rPr>
        <w:t>ر</w:t>
      </w:r>
      <w:r w:rsidR="00456C21" w:rsidRPr="00282AC9">
        <w:rPr>
          <w:rFonts w:ascii="AAA GoldenLotus" w:hAnsi="AAA GoldenLotus" w:hint="cs"/>
          <w:sz w:val="27"/>
          <w:rtl/>
        </w:rPr>
        <w:t>ّ</w:t>
      </w:r>
      <w:r w:rsidRPr="00282AC9">
        <w:rPr>
          <w:rFonts w:ascii="AAA GoldenLotus" w:hAnsi="AAA GoldenLotus"/>
          <w:sz w:val="27"/>
          <w:rtl/>
        </w:rPr>
        <w:t>ة البالغة العفيفة</w:t>
      </w:r>
      <w:r w:rsidR="00456C21" w:rsidRPr="00282AC9">
        <w:rPr>
          <w:rFonts w:ascii="AAA GoldenLotus" w:hAnsi="AAA GoldenLotus" w:hint="cs"/>
          <w:sz w:val="27"/>
          <w:rtl/>
        </w:rPr>
        <w:t>.</w:t>
      </w:r>
      <w:r w:rsidRPr="00282AC9">
        <w:rPr>
          <w:rFonts w:ascii="AAA GoldenLotus" w:hAnsi="AAA GoldenLotus"/>
          <w:sz w:val="27"/>
          <w:rtl/>
        </w:rPr>
        <w:t xml:space="preserve"> وكما هو واضح</w:t>
      </w:r>
      <w:r w:rsidR="00456C21" w:rsidRPr="00282AC9">
        <w:rPr>
          <w:rFonts w:ascii="AAA GoldenLotus" w:hAnsi="AAA GoldenLotus" w:hint="cs"/>
          <w:sz w:val="27"/>
          <w:rtl/>
        </w:rPr>
        <w:t>ٌ</w:t>
      </w:r>
      <w:r w:rsidRPr="00282AC9">
        <w:rPr>
          <w:rFonts w:ascii="AAA GoldenLotus" w:hAnsi="AAA GoldenLotus"/>
          <w:sz w:val="27"/>
          <w:rtl/>
        </w:rPr>
        <w:t xml:space="preserve"> عل</w:t>
      </w:r>
      <w:r w:rsidR="00456C21" w:rsidRPr="00282AC9">
        <w:rPr>
          <w:rFonts w:ascii="AAA GoldenLotus" w:hAnsi="AAA GoldenLotus" w:hint="cs"/>
          <w:sz w:val="27"/>
          <w:rtl/>
        </w:rPr>
        <w:t>ّ</w:t>
      </w:r>
      <w:r w:rsidRPr="00282AC9">
        <w:rPr>
          <w:rFonts w:ascii="AAA GoldenLotus" w:hAnsi="AAA GoldenLotus"/>
          <w:sz w:val="27"/>
          <w:rtl/>
        </w:rPr>
        <w:t>ق الحكم فيها بالنساء</w:t>
      </w:r>
      <w:r w:rsidR="00456C21" w:rsidRPr="00282AC9">
        <w:rPr>
          <w:rFonts w:ascii="AAA GoldenLotus" w:hAnsi="AAA GoldenLotus" w:hint="cs"/>
          <w:sz w:val="27"/>
          <w:rtl/>
        </w:rPr>
        <w:t>.</w:t>
      </w:r>
      <w:r w:rsidRPr="00282AC9">
        <w:rPr>
          <w:rFonts w:ascii="AAA GoldenLotus" w:hAnsi="AAA GoldenLotus"/>
          <w:sz w:val="27"/>
          <w:rtl/>
        </w:rPr>
        <w:t xml:space="preserve"> ومن المعلوم أن حكم حرمة القذف يعم</w:t>
      </w:r>
      <w:r w:rsidR="00456C21" w:rsidRPr="00282AC9">
        <w:rPr>
          <w:rFonts w:ascii="AAA GoldenLotus" w:hAnsi="AAA GoldenLotus" w:hint="cs"/>
          <w:sz w:val="27"/>
          <w:rtl/>
        </w:rPr>
        <w:t>ّ</w:t>
      </w:r>
      <w:r w:rsidRPr="00282AC9">
        <w:rPr>
          <w:rFonts w:ascii="AAA GoldenLotus" w:hAnsi="AAA GoldenLotus"/>
          <w:sz w:val="27"/>
          <w:rtl/>
        </w:rPr>
        <w:t xml:space="preserve"> الرجال، </w:t>
      </w:r>
      <w:r w:rsidR="00456C21" w:rsidRPr="00282AC9">
        <w:rPr>
          <w:rFonts w:ascii="AAA GoldenLotus" w:hAnsi="AAA GoldenLotus" w:hint="cs"/>
          <w:sz w:val="27"/>
          <w:rtl/>
        </w:rPr>
        <w:t>أي</w:t>
      </w:r>
      <w:r w:rsidRPr="00282AC9">
        <w:rPr>
          <w:rFonts w:ascii="AAA GoldenLotus" w:hAnsi="AAA GoldenLotus"/>
          <w:sz w:val="27"/>
          <w:rtl/>
        </w:rPr>
        <w:t xml:space="preserve"> كما يحرم قذف النساء كذلك يحرم قذف الرجال أيضاً</w:t>
      </w:r>
      <w:r w:rsidR="00D3472B" w:rsidRPr="00282AC9">
        <w:rPr>
          <w:rFonts w:ascii="AAA GoldenLotus" w:hAnsi="AAA GoldenLotus" w:hint="cs"/>
          <w:sz w:val="27"/>
          <w:rtl/>
        </w:rPr>
        <w:t>.</w:t>
      </w:r>
      <w:r w:rsidRPr="00282AC9">
        <w:rPr>
          <w:rFonts w:ascii="AAA GoldenLotus" w:hAnsi="AAA GoldenLotus"/>
          <w:sz w:val="27"/>
          <w:rtl/>
        </w:rPr>
        <w:t xml:space="preserve"> </w:t>
      </w:r>
      <w:r w:rsidR="00D3472B" w:rsidRPr="00282AC9">
        <w:rPr>
          <w:rFonts w:ascii="AAA GoldenLotus" w:hAnsi="AAA GoldenLotus" w:hint="cs"/>
          <w:sz w:val="27"/>
          <w:rtl/>
        </w:rPr>
        <w:t>وعليه،</w:t>
      </w:r>
      <w:r w:rsidRPr="00282AC9">
        <w:rPr>
          <w:rFonts w:ascii="AAA GoldenLotus" w:hAnsi="AAA GoldenLotus"/>
          <w:sz w:val="27"/>
          <w:rtl/>
        </w:rPr>
        <w:t xml:space="preserve"> فم</w:t>
      </w:r>
      <w:r w:rsidR="00D3472B" w:rsidRPr="00282AC9">
        <w:rPr>
          <w:rFonts w:ascii="AAA GoldenLotus" w:hAnsi="AAA GoldenLotus" w:hint="cs"/>
          <w:sz w:val="27"/>
          <w:rtl/>
        </w:rPr>
        <w:t>َ</w:t>
      </w:r>
      <w:r w:rsidRPr="00282AC9">
        <w:rPr>
          <w:rFonts w:ascii="AAA GoldenLotus" w:hAnsi="AAA GoldenLotus"/>
          <w:sz w:val="27"/>
          <w:rtl/>
        </w:rPr>
        <w:t>ن</w:t>
      </w:r>
      <w:r w:rsidR="00D3472B" w:rsidRPr="00282AC9">
        <w:rPr>
          <w:rFonts w:ascii="AAA GoldenLotus" w:hAnsi="AAA GoldenLotus" w:hint="cs"/>
          <w:sz w:val="27"/>
          <w:rtl/>
        </w:rPr>
        <w:t>ْ</w:t>
      </w:r>
      <w:r w:rsidRPr="00282AC9">
        <w:rPr>
          <w:rFonts w:ascii="AAA GoldenLotus" w:hAnsi="AAA GoldenLotus"/>
          <w:sz w:val="27"/>
          <w:rtl/>
        </w:rPr>
        <w:t xml:space="preserve"> قذف الم</w:t>
      </w:r>
      <w:r w:rsidR="00D3472B" w:rsidRPr="00282AC9">
        <w:rPr>
          <w:rFonts w:ascii="AAA GoldenLotus" w:hAnsi="AAA GoldenLotus" w:hint="cs"/>
          <w:sz w:val="27"/>
          <w:rtl/>
        </w:rPr>
        <w:t>ُ</w:t>
      </w:r>
      <w:r w:rsidRPr="00282AC9">
        <w:rPr>
          <w:rFonts w:ascii="AAA GoldenLotus" w:hAnsi="AAA GoldenLotus"/>
          <w:sz w:val="27"/>
          <w:rtl/>
        </w:rPr>
        <w:t>ح</w:t>
      </w:r>
      <w:r w:rsidR="00D3472B" w:rsidRPr="00282AC9">
        <w:rPr>
          <w:rFonts w:ascii="AAA GoldenLotus" w:hAnsi="AAA GoldenLotus" w:hint="cs"/>
          <w:sz w:val="27"/>
          <w:rtl/>
        </w:rPr>
        <w:t>ْ</w:t>
      </w:r>
      <w:r w:rsidRPr="00282AC9">
        <w:rPr>
          <w:rFonts w:ascii="AAA GoldenLotus" w:hAnsi="AAA GoldenLotus"/>
          <w:sz w:val="27"/>
          <w:rtl/>
        </w:rPr>
        <w:t>ص</w:t>
      </w:r>
      <w:r w:rsidR="00D3472B" w:rsidRPr="00282AC9">
        <w:rPr>
          <w:rFonts w:ascii="AAA GoldenLotus" w:hAnsi="AAA GoldenLotus" w:hint="cs"/>
          <w:sz w:val="27"/>
          <w:rtl/>
        </w:rPr>
        <w:t>َ</w:t>
      </w:r>
      <w:r w:rsidRPr="00282AC9">
        <w:rPr>
          <w:rFonts w:ascii="AAA GoldenLotus" w:hAnsi="AAA GoldenLotus"/>
          <w:sz w:val="27"/>
          <w:rtl/>
        </w:rPr>
        <w:t>نين</w:t>
      </w:r>
      <w:r w:rsidR="00D3472B" w:rsidRPr="00282AC9">
        <w:rPr>
          <w:rFonts w:ascii="AAA GoldenLotus" w:hAnsi="AAA GoldenLotus" w:hint="cs"/>
          <w:sz w:val="27"/>
          <w:rtl/>
        </w:rPr>
        <w:t>،</w:t>
      </w:r>
      <w:r w:rsidRPr="00282AC9">
        <w:rPr>
          <w:rFonts w:ascii="AAA GoldenLotus" w:hAnsi="AAA GoldenLotus"/>
          <w:sz w:val="27"/>
          <w:rtl/>
        </w:rPr>
        <w:t xml:space="preserve"> ولم يأت</w:t>
      </w:r>
      <w:r w:rsidR="00D3472B" w:rsidRPr="00282AC9">
        <w:rPr>
          <w:rFonts w:ascii="AAA GoldenLotus" w:hAnsi="AAA GoldenLotus" w:hint="cs"/>
          <w:sz w:val="27"/>
          <w:rtl/>
        </w:rPr>
        <w:t>ِ</w:t>
      </w:r>
      <w:r w:rsidRPr="00282AC9">
        <w:rPr>
          <w:rFonts w:ascii="AAA GoldenLotus" w:hAnsi="AAA GoldenLotus"/>
          <w:sz w:val="27"/>
          <w:rtl/>
        </w:rPr>
        <w:t xml:space="preserve"> بأربعة شهداء؛ فإنه ي</w:t>
      </w:r>
      <w:r w:rsidR="00D3472B" w:rsidRPr="00282AC9">
        <w:rPr>
          <w:rFonts w:ascii="AAA GoldenLotus" w:hAnsi="AAA GoldenLotus" w:hint="cs"/>
          <w:sz w:val="27"/>
          <w:rtl/>
        </w:rPr>
        <w:t>ُ</w:t>
      </w:r>
      <w:r w:rsidRPr="00282AC9">
        <w:rPr>
          <w:rFonts w:ascii="AAA GoldenLotus" w:hAnsi="AAA GoldenLotus"/>
          <w:sz w:val="27"/>
          <w:rtl/>
        </w:rPr>
        <w:t>ج</w:t>
      </w:r>
      <w:r w:rsidR="00D3472B" w:rsidRPr="00282AC9">
        <w:rPr>
          <w:rFonts w:ascii="AAA GoldenLotus" w:hAnsi="AAA GoldenLotus" w:hint="cs"/>
          <w:sz w:val="27"/>
          <w:rtl/>
        </w:rPr>
        <w:t>ْ</w:t>
      </w:r>
      <w:r w:rsidRPr="00282AC9">
        <w:rPr>
          <w:rFonts w:ascii="AAA GoldenLotus" w:hAnsi="AAA GoldenLotus"/>
          <w:sz w:val="27"/>
          <w:rtl/>
        </w:rPr>
        <w:t>ل</w:t>
      </w:r>
      <w:r w:rsidR="00D3472B" w:rsidRPr="00282AC9">
        <w:rPr>
          <w:rFonts w:ascii="AAA GoldenLotus" w:hAnsi="AAA GoldenLotus" w:hint="cs"/>
          <w:sz w:val="27"/>
          <w:rtl/>
        </w:rPr>
        <w:t>َ</w:t>
      </w:r>
      <w:r w:rsidRPr="00282AC9">
        <w:rPr>
          <w:rFonts w:ascii="AAA GoldenLotus" w:hAnsi="AAA GoldenLotus"/>
          <w:sz w:val="27"/>
          <w:rtl/>
        </w:rPr>
        <w:t>د ثمانين جلدة، ولا ت</w:t>
      </w:r>
      <w:r w:rsidR="00D3472B" w:rsidRPr="00282AC9">
        <w:rPr>
          <w:rFonts w:ascii="AAA GoldenLotus" w:hAnsi="AAA GoldenLotus" w:hint="cs"/>
          <w:sz w:val="27"/>
          <w:rtl/>
        </w:rPr>
        <w:t>ُ</w:t>
      </w:r>
      <w:r w:rsidRPr="00282AC9">
        <w:rPr>
          <w:rFonts w:ascii="AAA GoldenLotus" w:hAnsi="AAA GoldenLotus"/>
          <w:sz w:val="27"/>
          <w:rtl/>
        </w:rPr>
        <w:t>ق</w:t>
      </w:r>
      <w:r w:rsidR="00D3472B" w:rsidRPr="00282AC9">
        <w:rPr>
          <w:rFonts w:ascii="AAA GoldenLotus" w:hAnsi="AAA GoldenLotus" w:hint="cs"/>
          <w:sz w:val="27"/>
          <w:rtl/>
        </w:rPr>
        <w:t>ْ</w:t>
      </w:r>
      <w:r w:rsidRPr="00282AC9">
        <w:rPr>
          <w:rFonts w:ascii="AAA GoldenLotus" w:hAnsi="AAA GoldenLotus"/>
          <w:sz w:val="27"/>
          <w:rtl/>
        </w:rPr>
        <w:t>ب</w:t>
      </w:r>
      <w:r w:rsidR="00D3472B" w:rsidRPr="00282AC9">
        <w:rPr>
          <w:rFonts w:ascii="AAA GoldenLotus" w:hAnsi="AAA GoldenLotus" w:hint="cs"/>
          <w:sz w:val="27"/>
          <w:rtl/>
        </w:rPr>
        <w:t>َ</w:t>
      </w:r>
      <w:r w:rsidRPr="00282AC9">
        <w:rPr>
          <w:rFonts w:ascii="AAA GoldenLotus" w:hAnsi="AAA GoldenLotus"/>
          <w:sz w:val="27"/>
          <w:rtl/>
        </w:rPr>
        <w:t>ل له شهادة</w:t>
      </w:r>
      <w:r w:rsidR="00D3472B" w:rsidRPr="00282AC9">
        <w:rPr>
          <w:rFonts w:ascii="AAA GoldenLotus" w:hAnsi="AAA GoldenLotus" w:hint="cs"/>
          <w:sz w:val="27"/>
          <w:rtl/>
        </w:rPr>
        <w:t>ٌ</w:t>
      </w:r>
      <w:r w:rsidRPr="00282AC9">
        <w:rPr>
          <w:rFonts w:ascii="AAA GoldenLotus" w:hAnsi="AAA GoldenLotus"/>
          <w:sz w:val="27"/>
          <w:rtl/>
        </w:rPr>
        <w:t xml:space="preserve"> أبداً</w:t>
      </w:r>
      <w:r w:rsidR="00D3472B" w:rsidRPr="00282AC9">
        <w:rPr>
          <w:rFonts w:ascii="AAA GoldenLotus" w:hAnsi="AAA GoldenLotus" w:hint="cs"/>
          <w:sz w:val="27"/>
          <w:rtl/>
        </w:rPr>
        <w:t>.</w:t>
      </w:r>
      <w:r w:rsidRPr="00282AC9">
        <w:rPr>
          <w:rFonts w:ascii="AAA GoldenLotus" w:hAnsi="AAA GoldenLotus"/>
          <w:sz w:val="27"/>
          <w:rtl/>
        </w:rPr>
        <w:t xml:space="preserve"> </w:t>
      </w:r>
      <w:r w:rsidR="00D3472B" w:rsidRPr="00282AC9">
        <w:rPr>
          <w:rFonts w:ascii="AAA GoldenLotus" w:hAnsi="AAA GoldenLotus" w:hint="cs"/>
          <w:sz w:val="27"/>
          <w:rtl/>
        </w:rPr>
        <w:t>و</w:t>
      </w:r>
      <w:r w:rsidRPr="00282AC9">
        <w:rPr>
          <w:rFonts w:ascii="AAA GoldenLotus" w:hAnsi="AAA GoldenLotus"/>
          <w:sz w:val="27"/>
          <w:rtl/>
        </w:rPr>
        <w:t xml:space="preserve">كذلك لفظ </w:t>
      </w:r>
      <w:r w:rsidR="00D3472B" w:rsidRPr="00282AC9">
        <w:rPr>
          <w:rFonts w:hint="eastAsia"/>
          <w:sz w:val="24"/>
          <w:szCs w:val="24"/>
          <w:rtl/>
        </w:rPr>
        <w:t>«</w:t>
      </w:r>
      <w:r w:rsidRPr="00282AC9">
        <w:rPr>
          <w:rFonts w:ascii="AAA GoldenLotus" w:hAnsi="AAA GoldenLotus"/>
          <w:sz w:val="27"/>
          <w:rtl/>
        </w:rPr>
        <w:t>الفاسقين</w:t>
      </w:r>
      <w:r w:rsidR="00D3472B" w:rsidRPr="00282AC9">
        <w:rPr>
          <w:rFonts w:hint="eastAsia"/>
          <w:sz w:val="24"/>
          <w:szCs w:val="24"/>
          <w:rtl/>
        </w:rPr>
        <w:t>»</w:t>
      </w:r>
      <w:r w:rsidRPr="00282AC9">
        <w:rPr>
          <w:rFonts w:ascii="AAA GoldenLotus" w:hAnsi="AAA GoldenLotus"/>
          <w:sz w:val="27"/>
          <w:rtl/>
        </w:rPr>
        <w:t xml:space="preserve"> ورد </w:t>
      </w:r>
      <w:r w:rsidR="00D3472B" w:rsidRPr="00282AC9">
        <w:rPr>
          <w:rFonts w:ascii="AAA GoldenLotus" w:hAnsi="AAA GoldenLotus"/>
          <w:sz w:val="27"/>
          <w:rtl/>
        </w:rPr>
        <w:t xml:space="preserve">في الآية </w:t>
      </w:r>
      <w:r w:rsidRPr="00282AC9">
        <w:rPr>
          <w:rFonts w:ascii="AAA GoldenLotus" w:hAnsi="AAA GoldenLotus"/>
          <w:sz w:val="27"/>
          <w:rtl/>
        </w:rPr>
        <w:t>بصيغة المذك</w:t>
      </w:r>
      <w:r w:rsidR="00D3472B" w:rsidRPr="00282AC9">
        <w:rPr>
          <w:rFonts w:ascii="AAA GoldenLotus" w:hAnsi="AAA GoldenLotus" w:hint="cs"/>
          <w:sz w:val="27"/>
          <w:rtl/>
        </w:rPr>
        <w:t>َّ</w:t>
      </w:r>
      <w:r w:rsidRPr="00282AC9">
        <w:rPr>
          <w:rFonts w:ascii="AAA GoldenLotus" w:hAnsi="AAA GoldenLotus"/>
          <w:sz w:val="27"/>
          <w:rtl/>
        </w:rPr>
        <w:t>ر</w:t>
      </w:r>
      <w:r w:rsidR="00D3472B" w:rsidRPr="00282AC9">
        <w:rPr>
          <w:rFonts w:ascii="AAA GoldenLotus" w:hAnsi="AAA GoldenLotus" w:hint="cs"/>
          <w:sz w:val="27"/>
          <w:rtl/>
        </w:rPr>
        <w:t>،</w:t>
      </w:r>
      <w:r w:rsidRPr="00282AC9">
        <w:rPr>
          <w:rFonts w:ascii="AAA GoldenLotus" w:hAnsi="AAA GoldenLotus"/>
          <w:sz w:val="27"/>
          <w:rtl/>
        </w:rPr>
        <w:t xml:space="preserve"> لكنّه يشمل النساء أيضاً</w:t>
      </w:r>
      <w:r w:rsidR="00D3472B" w:rsidRPr="00282AC9">
        <w:rPr>
          <w:rFonts w:ascii="AAA GoldenLotus" w:hAnsi="AAA GoldenLotus" w:hint="cs"/>
          <w:sz w:val="27"/>
          <w:rtl/>
        </w:rPr>
        <w:t>.</w:t>
      </w:r>
      <w:r w:rsidRPr="00282AC9">
        <w:rPr>
          <w:rFonts w:ascii="AAA GoldenLotus" w:hAnsi="AAA GoldenLotus"/>
          <w:sz w:val="27"/>
          <w:rtl/>
        </w:rPr>
        <w:t xml:space="preserve"> ويكون المعنى المتحص</w:t>
      </w:r>
      <w:r w:rsidR="00D3472B" w:rsidRPr="00282AC9">
        <w:rPr>
          <w:rFonts w:ascii="AAA GoldenLotus" w:hAnsi="AAA GoldenLotus" w:hint="cs"/>
          <w:sz w:val="27"/>
          <w:rtl/>
        </w:rPr>
        <w:t>ِّ</w:t>
      </w:r>
      <w:r w:rsidRPr="00282AC9">
        <w:rPr>
          <w:rFonts w:ascii="AAA GoldenLotus" w:hAnsi="AAA GoldenLotus"/>
          <w:sz w:val="27"/>
          <w:rtl/>
        </w:rPr>
        <w:t>ل</w:t>
      </w:r>
      <w:r w:rsidR="00D3472B" w:rsidRPr="00282AC9">
        <w:rPr>
          <w:rFonts w:ascii="AAA GoldenLotus" w:hAnsi="AAA GoldenLotus" w:hint="cs"/>
          <w:sz w:val="27"/>
          <w:rtl/>
        </w:rPr>
        <w:t>:</w:t>
      </w:r>
      <w:r w:rsidRPr="00282AC9">
        <w:rPr>
          <w:rFonts w:ascii="AAA GoldenLotus" w:hAnsi="AAA GoldenLotus"/>
          <w:sz w:val="27"/>
          <w:rtl/>
        </w:rPr>
        <w:t xml:space="preserve"> م</w:t>
      </w:r>
      <w:r w:rsidR="00D3472B" w:rsidRPr="00282AC9">
        <w:rPr>
          <w:rFonts w:ascii="AAA GoldenLotus" w:hAnsi="AAA GoldenLotus" w:hint="cs"/>
          <w:sz w:val="27"/>
          <w:rtl/>
        </w:rPr>
        <w:t>َ</w:t>
      </w:r>
      <w:r w:rsidRPr="00282AC9">
        <w:rPr>
          <w:rFonts w:ascii="AAA GoldenLotus" w:hAnsi="AAA GoldenLotus"/>
          <w:sz w:val="27"/>
          <w:rtl/>
        </w:rPr>
        <w:t>ن</w:t>
      </w:r>
      <w:r w:rsidR="00D3472B" w:rsidRPr="00282AC9">
        <w:rPr>
          <w:rFonts w:ascii="AAA GoldenLotus" w:hAnsi="AAA GoldenLotus" w:hint="cs"/>
          <w:sz w:val="27"/>
          <w:rtl/>
        </w:rPr>
        <w:t>ْ</w:t>
      </w:r>
      <w:r w:rsidRPr="00282AC9">
        <w:rPr>
          <w:rFonts w:ascii="AAA GoldenLotus" w:hAnsi="AAA GoldenLotus"/>
          <w:sz w:val="27"/>
          <w:rtl/>
        </w:rPr>
        <w:t xml:space="preserve"> رمى الم</w:t>
      </w:r>
      <w:r w:rsidR="00D3472B" w:rsidRPr="00282AC9">
        <w:rPr>
          <w:rFonts w:ascii="AAA GoldenLotus" w:hAnsi="AAA GoldenLotus" w:hint="cs"/>
          <w:sz w:val="27"/>
          <w:rtl/>
        </w:rPr>
        <w:t>ُ</w:t>
      </w:r>
      <w:r w:rsidRPr="00282AC9">
        <w:rPr>
          <w:rFonts w:ascii="AAA GoldenLotus" w:hAnsi="AAA GoldenLotus"/>
          <w:sz w:val="27"/>
          <w:rtl/>
        </w:rPr>
        <w:t>ح</w:t>
      </w:r>
      <w:r w:rsidR="00D3472B" w:rsidRPr="00282AC9">
        <w:rPr>
          <w:rFonts w:ascii="AAA GoldenLotus" w:hAnsi="AAA GoldenLotus" w:hint="cs"/>
          <w:sz w:val="27"/>
          <w:rtl/>
        </w:rPr>
        <w:t>ْ</w:t>
      </w:r>
      <w:r w:rsidRPr="00282AC9">
        <w:rPr>
          <w:rFonts w:ascii="AAA GoldenLotus" w:hAnsi="AAA GoldenLotus"/>
          <w:sz w:val="27"/>
          <w:rtl/>
        </w:rPr>
        <w:t>ص</w:t>
      </w:r>
      <w:r w:rsidR="00D3472B" w:rsidRPr="00282AC9">
        <w:rPr>
          <w:rFonts w:ascii="AAA GoldenLotus" w:hAnsi="AAA GoldenLotus" w:hint="cs"/>
          <w:sz w:val="27"/>
          <w:rtl/>
        </w:rPr>
        <w:t>َ</w:t>
      </w:r>
      <w:r w:rsidRPr="00282AC9">
        <w:rPr>
          <w:rFonts w:ascii="AAA GoldenLotus" w:hAnsi="AAA GoldenLotus"/>
          <w:sz w:val="27"/>
          <w:rtl/>
        </w:rPr>
        <w:t xml:space="preserve">نين </w:t>
      </w:r>
      <w:r w:rsidR="00D3472B" w:rsidRPr="00282AC9">
        <w:rPr>
          <w:rFonts w:ascii="AAA GoldenLotus" w:hAnsi="AAA GoldenLotus" w:hint="cs"/>
          <w:sz w:val="27"/>
          <w:rtl/>
        </w:rPr>
        <w:t>أ</w:t>
      </w:r>
      <w:r w:rsidRPr="00282AC9">
        <w:rPr>
          <w:rFonts w:ascii="AAA GoldenLotus" w:hAnsi="AAA GoldenLotus"/>
          <w:sz w:val="27"/>
          <w:rtl/>
        </w:rPr>
        <w:t>و الم</w:t>
      </w:r>
      <w:r w:rsidR="00D3472B" w:rsidRPr="00282AC9">
        <w:rPr>
          <w:rFonts w:ascii="AAA GoldenLotus" w:hAnsi="AAA GoldenLotus" w:hint="cs"/>
          <w:sz w:val="27"/>
          <w:rtl/>
        </w:rPr>
        <w:t>ُ</w:t>
      </w:r>
      <w:r w:rsidRPr="00282AC9">
        <w:rPr>
          <w:rFonts w:ascii="AAA GoldenLotus" w:hAnsi="AAA GoldenLotus"/>
          <w:sz w:val="27"/>
          <w:rtl/>
        </w:rPr>
        <w:t>ح</w:t>
      </w:r>
      <w:r w:rsidR="00D3472B" w:rsidRPr="00282AC9">
        <w:rPr>
          <w:rFonts w:ascii="AAA GoldenLotus" w:hAnsi="AAA GoldenLotus" w:hint="cs"/>
          <w:sz w:val="27"/>
          <w:rtl/>
        </w:rPr>
        <w:t>ْ</w:t>
      </w:r>
      <w:r w:rsidRPr="00282AC9">
        <w:rPr>
          <w:rFonts w:ascii="AAA GoldenLotus" w:hAnsi="AAA GoldenLotus"/>
          <w:sz w:val="27"/>
          <w:rtl/>
        </w:rPr>
        <w:t>ص</w:t>
      </w:r>
      <w:r w:rsidR="00D3472B" w:rsidRPr="00282AC9">
        <w:rPr>
          <w:rFonts w:ascii="AAA GoldenLotus" w:hAnsi="AAA GoldenLotus" w:hint="cs"/>
          <w:sz w:val="27"/>
          <w:rtl/>
        </w:rPr>
        <w:t>َ</w:t>
      </w:r>
      <w:r w:rsidRPr="00282AC9">
        <w:rPr>
          <w:rFonts w:ascii="AAA GoldenLotus" w:hAnsi="AAA GoldenLotus"/>
          <w:sz w:val="27"/>
          <w:rtl/>
        </w:rPr>
        <w:t>نات فهو من الفاسقين أو الفاسقات</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97"/>
      </w:r>
      <w:r w:rsidRPr="00282AC9">
        <w:rPr>
          <w:rFonts w:ascii="AAA GoldenLotus" w:hAnsi="AAA GoldenLotus"/>
          <w:sz w:val="27"/>
          <w:vertAlign w:val="superscript"/>
          <w:rtl/>
        </w:rPr>
        <w:t>)</w:t>
      </w:r>
      <w:r w:rsidRPr="00282AC9">
        <w:rPr>
          <w:rFonts w:ascii="AAA GoldenLotus" w:hAnsi="AAA GoldenLotus"/>
          <w:sz w:val="27"/>
          <w:rtl/>
        </w:rPr>
        <w:t>. وما ذاك إلا</w:t>
      </w:r>
      <w:r w:rsidR="00D3472B" w:rsidRPr="00282AC9">
        <w:rPr>
          <w:rFonts w:ascii="AAA GoldenLotus" w:hAnsi="AAA GoldenLotus" w:hint="cs"/>
          <w:sz w:val="27"/>
          <w:rtl/>
        </w:rPr>
        <w:t>ّ</w:t>
      </w:r>
      <w:r w:rsidRPr="00282AC9">
        <w:rPr>
          <w:rFonts w:ascii="AAA GoldenLotus" w:hAnsi="AAA GoldenLotus"/>
          <w:sz w:val="27"/>
          <w:rtl/>
        </w:rPr>
        <w:t xml:space="preserve"> تمس</w:t>
      </w:r>
      <w:r w:rsidR="00D3472B" w:rsidRPr="00282AC9">
        <w:rPr>
          <w:rFonts w:ascii="AAA GoldenLotus" w:hAnsi="AAA GoldenLotus" w:hint="cs"/>
          <w:sz w:val="27"/>
          <w:rtl/>
        </w:rPr>
        <w:t>ُّ</w:t>
      </w:r>
      <w:r w:rsidRPr="00282AC9">
        <w:rPr>
          <w:rFonts w:ascii="AAA GoldenLotus" w:hAnsi="AAA GoldenLotus"/>
          <w:sz w:val="27"/>
          <w:rtl/>
        </w:rPr>
        <w:t xml:space="preserve">كاً بقاعدة </w:t>
      </w:r>
      <w:r w:rsidR="00D3472B" w:rsidRPr="00282AC9">
        <w:rPr>
          <w:rFonts w:ascii="AAA GoldenLotus" w:hAnsi="AAA GoldenLotus" w:hint="cs"/>
          <w:sz w:val="27"/>
          <w:rtl/>
        </w:rPr>
        <w:t>(</w:t>
      </w:r>
      <w:r w:rsidRPr="00282AC9">
        <w:rPr>
          <w:rFonts w:ascii="AAA GoldenLotus" w:hAnsi="AAA GoldenLotus"/>
          <w:sz w:val="27"/>
          <w:rtl/>
        </w:rPr>
        <w:t>النساء شقائق الرجال</w:t>
      </w:r>
      <w:r w:rsidR="00D3472B" w:rsidRPr="00282AC9">
        <w:rPr>
          <w:rFonts w:ascii="AAA GoldenLotus" w:hAnsi="AAA GoldenLotus" w:hint="cs"/>
          <w:sz w:val="27"/>
          <w:rtl/>
        </w:rPr>
        <w:t>)</w:t>
      </w:r>
      <w:r w:rsidRPr="00282AC9">
        <w:rPr>
          <w:rFonts w:ascii="AAA GoldenLotus" w:hAnsi="AAA GoldenLotus"/>
          <w:sz w:val="27"/>
          <w:rtl/>
        </w:rPr>
        <w:t>.</w:t>
      </w:r>
    </w:p>
    <w:p w:rsidR="009C287D" w:rsidRPr="00282AC9" w:rsidRDefault="009C287D" w:rsidP="009C287D">
      <w:pPr>
        <w:spacing w:line="420" w:lineRule="exact"/>
        <w:rPr>
          <w:rtl/>
        </w:rPr>
      </w:pPr>
    </w:p>
    <w:p w:rsidR="00E355F2" w:rsidRPr="00282AC9" w:rsidRDefault="00146D9A" w:rsidP="007D08F4">
      <w:pPr>
        <w:pStyle w:val="31"/>
        <w:rPr>
          <w:color w:val="auto"/>
          <w:rtl/>
        </w:rPr>
      </w:pPr>
      <w:r w:rsidRPr="00282AC9">
        <w:rPr>
          <w:rFonts w:hint="cs"/>
          <w:color w:val="auto"/>
          <w:rtl/>
        </w:rPr>
        <w:t xml:space="preserve">ب </w:t>
      </w:r>
      <w:r w:rsidR="00913C71" w:rsidRPr="00282AC9">
        <w:rPr>
          <w:rFonts w:hint="cs"/>
          <w:color w:val="auto"/>
          <w:rtl/>
        </w:rPr>
        <w:t>ـ</w:t>
      </w:r>
      <w:r w:rsidR="00E355F2" w:rsidRPr="00282AC9">
        <w:rPr>
          <w:rFonts w:hint="cs"/>
          <w:color w:val="auto"/>
          <w:rtl/>
        </w:rPr>
        <w:t xml:space="preserve"> حك</w:t>
      </w:r>
      <w:r w:rsidR="00E355F2" w:rsidRPr="00282AC9">
        <w:rPr>
          <w:color w:val="auto"/>
          <w:rtl/>
        </w:rPr>
        <w:t>م الاحتكار</w:t>
      </w:r>
    </w:p>
    <w:p w:rsidR="00E355F2" w:rsidRPr="00282AC9" w:rsidRDefault="00E355F2" w:rsidP="00046546">
      <w:pPr>
        <w:rPr>
          <w:rtl/>
        </w:rPr>
      </w:pPr>
      <w:bookmarkStart w:id="48" w:name="_Toc33819817"/>
      <w:r w:rsidRPr="00282AC9">
        <w:rPr>
          <w:rFonts w:hint="cs"/>
          <w:b/>
          <w:bCs/>
          <w:rtl/>
        </w:rPr>
        <w:t>1ـ</w:t>
      </w:r>
      <w:r w:rsidRPr="00282AC9">
        <w:rPr>
          <w:b/>
          <w:bCs/>
          <w:rtl/>
        </w:rPr>
        <w:t xml:space="preserve"> عند الإمامي</w:t>
      </w:r>
      <w:r w:rsidR="00D3472B" w:rsidRPr="00282AC9">
        <w:rPr>
          <w:rFonts w:hint="cs"/>
          <w:b/>
          <w:bCs/>
          <w:rtl/>
        </w:rPr>
        <w:t>ّ</w:t>
      </w:r>
      <w:r w:rsidRPr="00282AC9">
        <w:rPr>
          <w:b/>
          <w:bCs/>
          <w:rtl/>
        </w:rPr>
        <w:t>ة</w:t>
      </w:r>
      <w:bookmarkEnd w:id="48"/>
      <w:r w:rsidR="00913C71" w:rsidRPr="00282AC9">
        <w:rPr>
          <w:rFonts w:hint="cs"/>
          <w:rtl/>
        </w:rPr>
        <w:t>:</w:t>
      </w:r>
      <w:r w:rsidRPr="00282AC9">
        <w:rPr>
          <w:rtl/>
        </w:rPr>
        <w:t xml:space="preserve"> </w:t>
      </w:r>
      <w:r w:rsidRPr="00282AC9">
        <w:rPr>
          <w:rFonts w:ascii="AAA GoldenLotus" w:hAnsi="AAA GoldenLotus"/>
          <w:sz w:val="27"/>
          <w:rtl/>
        </w:rPr>
        <w:t>ذهب بعض الفقهاء إلى تحريم احتكار الس</w:t>
      </w:r>
      <w:r w:rsidR="00D3472B" w:rsidRPr="00282AC9">
        <w:rPr>
          <w:rFonts w:ascii="AAA GoldenLotus" w:hAnsi="AAA GoldenLotus" w:hint="cs"/>
          <w:sz w:val="27"/>
          <w:rtl/>
        </w:rPr>
        <w:t>ِّ</w:t>
      </w:r>
      <w:r w:rsidRPr="00282AC9">
        <w:rPr>
          <w:rFonts w:ascii="AAA GoldenLotus" w:hAnsi="AAA GoldenLotus"/>
          <w:sz w:val="27"/>
          <w:rtl/>
        </w:rPr>
        <w:t>ل</w:t>
      </w:r>
      <w:r w:rsidR="00D3472B" w:rsidRPr="00282AC9">
        <w:rPr>
          <w:rFonts w:ascii="AAA GoldenLotus" w:hAnsi="AAA GoldenLotus" w:hint="cs"/>
          <w:sz w:val="27"/>
          <w:rtl/>
        </w:rPr>
        <w:t>َ</w:t>
      </w:r>
      <w:r w:rsidRPr="00282AC9">
        <w:rPr>
          <w:rFonts w:ascii="AAA GoldenLotus" w:hAnsi="AAA GoldenLotus"/>
          <w:sz w:val="27"/>
          <w:rtl/>
        </w:rPr>
        <w:t>ع؛ لما فيه من هلاك الناس، فيجب البيع؛ لوجوب حفظ الناس</w:t>
      </w:r>
      <w:r w:rsidR="00D3472B" w:rsidRPr="00282AC9">
        <w:rPr>
          <w:rFonts w:ascii="AAA GoldenLotus" w:hAnsi="AAA GoldenLotus" w:hint="cs"/>
          <w:sz w:val="27"/>
          <w:rtl/>
        </w:rPr>
        <w:t>،</w:t>
      </w:r>
      <w:r w:rsidRPr="00282AC9">
        <w:rPr>
          <w:rFonts w:ascii="AAA GoldenLotus" w:hAnsi="AAA GoldenLotus"/>
          <w:sz w:val="27"/>
          <w:rtl/>
        </w:rPr>
        <w:t xml:space="preserve"> كما قيل</w:t>
      </w:r>
      <w:r w:rsidR="00D3472B" w:rsidRPr="00282AC9">
        <w:rPr>
          <w:rFonts w:ascii="AAA GoldenLotus" w:hAnsi="AAA GoldenLotus" w:hint="cs"/>
          <w:sz w:val="27"/>
          <w:rtl/>
        </w:rPr>
        <w:t>،</w:t>
      </w:r>
      <w:r w:rsidRPr="00282AC9">
        <w:rPr>
          <w:rFonts w:ascii="AAA GoldenLotus" w:hAnsi="AAA GoldenLotus"/>
          <w:sz w:val="27"/>
          <w:rtl/>
        </w:rPr>
        <w:t xml:space="preserve"> في المخمصة. </w:t>
      </w:r>
    </w:p>
    <w:p w:rsidR="00E355F2" w:rsidRPr="00282AC9" w:rsidRDefault="00E355F2" w:rsidP="00046546">
      <w:pPr>
        <w:rPr>
          <w:rFonts w:ascii="AAA GoldenLotus" w:hAnsi="AAA GoldenLotus"/>
          <w:sz w:val="27"/>
          <w:rtl/>
        </w:rPr>
      </w:pPr>
      <w:r w:rsidRPr="00282AC9">
        <w:rPr>
          <w:rFonts w:ascii="AAA GoldenLotus" w:hAnsi="AAA GoldenLotus"/>
          <w:sz w:val="27"/>
          <w:rtl/>
        </w:rPr>
        <w:t>واستدل</w:t>
      </w:r>
      <w:r w:rsidR="00D3472B" w:rsidRPr="00282AC9">
        <w:rPr>
          <w:rFonts w:ascii="AAA GoldenLotus" w:hAnsi="AAA GoldenLotus" w:hint="cs"/>
          <w:sz w:val="27"/>
          <w:rtl/>
        </w:rPr>
        <w:t>ّ</w:t>
      </w:r>
      <w:r w:rsidRPr="00282AC9">
        <w:rPr>
          <w:rFonts w:ascii="AAA GoldenLotus" w:hAnsi="AAA GoldenLotus"/>
          <w:sz w:val="27"/>
          <w:rtl/>
        </w:rPr>
        <w:t>وا على التحريم بروايات</w:t>
      </w:r>
      <w:r w:rsidR="00D3472B" w:rsidRPr="00282AC9">
        <w:rPr>
          <w:rFonts w:ascii="AAA GoldenLotus" w:hAnsi="AAA GoldenLotus" w:hint="cs"/>
          <w:sz w:val="27"/>
          <w:rtl/>
        </w:rPr>
        <w:t>ٍ</w:t>
      </w:r>
      <w:r w:rsidRPr="00282AC9">
        <w:rPr>
          <w:rFonts w:ascii="AAA GoldenLotus" w:hAnsi="AAA GoldenLotus"/>
          <w:sz w:val="27"/>
          <w:rtl/>
        </w:rPr>
        <w:t xml:space="preserve"> توج</w:t>
      </w:r>
      <w:r w:rsidR="00D3472B" w:rsidRPr="00282AC9">
        <w:rPr>
          <w:rFonts w:ascii="AAA GoldenLotus" w:hAnsi="AAA GoldenLotus" w:hint="cs"/>
          <w:sz w:val="27"/>
          <w:rtl/>
        </w:rPr>
        <w:t>َّ</w:t>
      </w:r>
      <w:r w:rsidRPr="00282AC9">
        <w:rPr>
          <w:rFonts w:ascii="AAA GoldenLotus" w:hAnsi="AAA GoldenLotus"/>
          <w:sz w:val="27"/>
          <w:rtl/>
        </w:rPr>
        <w:t>ه</w:t>
      </w:r>
      <w:r w:rsidR="00D3472B" w:rsidRPr="00282AC9">
        <w:rPr>
          <w:rFonts w:ascii="AAA GoldenLotus" w:hAnsi="AAA GoldenLotus" w:hint="cs"/>
          <w:sz w:val="27"/>
          <w:rtl/>
        </w:rPr>
        <w:t>َ</w:t>
      </w:r>
      <w:r w:rsidRPr="00282AC9">
        <w:rPr>
          <w:rFonts w:ascii="AAA GoldenLotus" w:hAnsi="AAA GoldenLotus"/>
          <w:sz w:val="27"/>
          <w:rtl/>
        </w:rPr>
        <w:t>ت</w:t>
      </w:r>
      <w:r w:rsidR="00D3472B" w:rsidRPr="00282AC9">
        <w:rPr>
          <w:rFonts w:ascii="AAA GoldenLotus" w:hAnsi="AAA GoldenLotus" w:hint="cs"/>
          <w:sz w:val="27"/>
          <w:rtl/>
        </w:rPr>
        <w:t>ْ</w:t>
      </w:r>
      <w:r w:rsidRPr="00282AC9">
        <w:rPr>
          <w:rFonts w:ascii="AAA GoldenLotus" w:hAnsi="AAA GoldenLotus"/>
          <w:sz w:val="27"/>
          <w:rtl/>
        </w:rPr>
        <w:t xml:space="preserve"> إلى بعض الأفراد بالخصوص</w:t>
      </w:r>
      <w:r w:rsidR="00D3472B" w:rsidRPr="00282AC9">
        <w:rPr>
          <w:rFonts w:ascii="AAA GoldenLotus" w:hAnsi="AAA GoldenLotus" w:hint="cs"/>
          <w:sz w:val="27"/>
          <w:rtl/>
        </w:rPr>
        <w:t>،</w:t>
      </w:r>
      <w:r w:rsidRPr="00282AC9">
        <w:rPr>
          <w:rFonts w:ascii="AAA GoldenLotus" w:hAnsi="AAA GoldenLotus"/>
          <w:sz w:val="27"/>
          <w:rtl/>
        </w:rPr>
        <w:t xml:space="preserve"> كما في الرواية التي رواها الكليني</w:t>
      </w:r>
      <w:r w:rsidR="00D3472B" w:rsidRPr="00282AC9">
        <w:rPr>
          <w:rFonts w:ascii="AAA GoldenLotus" w:hAnsi="AAA GoldenLotus" w:hint="cs"/>
          <w:sz w:val="27"/>
          <w:rtl/>
        </w:rPr>
        <w:t>،</w:t>
      </w:r>
      <w:r w:rsidRPr="00282AC9">
        <w:rPr>
          <w:rFonts w:ascii="AAA GoldenLotus" w:hAnsi="AAA GoldenLotus"/>
          <w:sz w:val="27"/>
          <w:rtl/>
        </w:rPr>
        <w:t xml:space="preserve"> بإسناده عن أبي الفضل سالم الحن</w:t>
      </w:r>
      <w:r w:rsidR="00D3472B" w:rsidRPr="00282AC9">
        <w:rPr>
          <w:rFonts w:ascii="AAA GoldenLotus" w:hAnsi="AAA GoldenLotus" w:hint="cs"/>
          <w:sz w:val="27"/>
          <w:rtl/>
        </w:rPr>
        <w:t>ّ</w:t>
      </w:r>
      <w:r w:rsidRPr="00282AC9">
        <w:rPr>
          <w:rFonts w:ascii="AAA GoldenLotus" w:hAnsi="AAA GoldenLotus"/>
          <w:sz w:val="27"/>
          <w:rtl/>
        </w:rPr>
        <w:t>اط قال: قال لي أبو عبد الله</w:t>
      </w:r>
      <w:r w:rsidR="009A2A04" w:rsidRPr="00282AC9">
        <w:rPr>
          <w:rFonts w:ascii="AAA GoldenLotus" w:hAnsi="AAA GoldenLotus" w:cs="Mosawi"/>
          <w:sz w:val="22"/>
          <w:szCs w:val="22"/>
          <w:rtl/>
        </w:rPr>
        <w:t>×</w:t>
      </w:r>
      <w:r w:rsidRPr="00282AC9">
        <w:rPr>
          <w:rFonts w:ascii="AAA GoldenLotus" w:hAnsi="AAA GoldenLotus"/>
          <w:sz w:val="27"/>
          <w:rtl/>
        </w:rPr>
        <w:t>: ما عملك؟</w:t>
      </w:r>
      <w:r w:rsidR="00D3472B" w:rsidRPr="00282AC9">
        <w:rPr>
          <w:rFonts w:ascii="AAA GoldenLotus" w:hAnsi="AAA GoldenLotus" w:hint="cs"/>
          <w:sz w:val="27"/>
          <w:rtl/>
        </w:rPr>
        <w:t xml:space="preserve"> </w:t>
      </w:r>
      <w:r w:rsidRPr="00282AC9">
        <w:rPr>
          <w:rFonts w:ascii="AAA GoldenLotus" w:hAnsi="AAA GoldenLotus"/>
          <w:sz w:val="27"/>
          <w:rtl/>
        </w:rPr>
        <w:t>قلت</w:t>
      </w:r>
      <w:r w:rsidR="00D3472B" w:rsidRPr="00282AC9">
        <w:rPr>
          <w:rFonts w:ascii="AAA GoldenLotus" w:hAnsi="AAA GoldenLotus" w:hint="cs"/>
          <w:sz w:val="27"/>
          <w:rtl/>
        </w:rPr>
        <w:t>ُ</w:t>
      </w:r>
      <w:r w:rsidRPr="00282AC9">
        <w:rPr>
          <w:rFonts w:ascii="AAA GoldenLotus" w:hAnsi="AAA GoldenLotus"/>
          <w:sz w:val="27"/>
          <w:rtl/>
        </w:rPr>
        <w:t>: حن</w:t>
      </w:r>
      <w:r w:rsidR="00D3472B" w:rsidRPr="00282AC9">
        <w:rPr>
          <w:rFonts w:ascii="AAA GoldenLotus" w:hAnsi="AAA GoldenLotus" w:hint="cs"/>
          <w:sz w:val="27"/>
          <w:rtl/>
        </w:rPr>
        <w:t>ّ</w:t>
      </w:r>
      <w:r w:rsidRPr="00282AC9">
        <w:rPr>
          <w:rFonts w:ascii="AAA GoldenLotus" w:hAnsi="AAA GoldenLotus"/>
          <w:sz w:val="27"/>
          <w:rtl/>
        </w:rPr>
        <w:t>اط</w:t>
      </w:r>
      <w:r w:rsidR="00D3472B" w:rsidRPr="00282AC9">
        <w:rPr>
          <w:rFonts w:ascii="AAA GoldenLotus" w:hAnsi="AAA GoldenLotus" w:hint="cs"/>
          <w:sz w:val="27"/>
          <w:rtl/>
        </w:rPr>
        <w:t>ٌ</w:t>
      </w:r>
      <w:r w:rsidRPr="00282AC9">
        <w:rPr>
          <w:rFonts w:ascii="AAA GoldenLotus" w:hAnsi="AAA GoldenLotus"/>
          <w:sz w:val="27"/>
          <w:rtl/>
        </w:rPr>
        <w:t>، ور</w:t>
      </w:r>
      <w:r w:rsidR="00D3472B" w:rsidRPr="00282AC9">
        <w:rPr>
          <w:rFonts w:ascii="AAA GoldenLotus" w:hAnsi="AAA GoldenLotus" w:hint="cs"/>
          <w:sz w:val="27"/>
          <w:rtl/>
        </w:rPr>
        <w:t>ُ</w:t>
      </w:r>
      <w:r w:rsidRPr="00282AC9">
        <w:rPr>
          <w:rFonts w:ascii="AAA GoldenLotus" w:hAnsi="AAA GoldenLotus"/>
          <w:sz w:val="27"/>
          <w:rtl/>
        </w:rPr>
        <w:t>ب</w:t>
      </w:r>
      <w:r w:rsidR="00D3472B" w:rsidRPr="00282AC9">
        <w:rPr>
          <w:rFonts w:ascii="AAA GoldenLotus" w:hAnsi="AAA GoldenLotus" w:hint="cs"/>
          <w:sz w:val="27"/>
          <w:rtl/>
        </w:rPr>
        <w:t>َ</w:t>
      </w:r>
      <w:r w:rsidRPr="00282AC9">
        <w:rPr>
          <w:rFonts w:ascii="AAA GoldenLotus" w:hAnsi="AAA GoldenLotus"/>
          <w:sz w:val="27"/>
          <w:rtl/>
        </w:rPr>
        <w:t>ما قدم</w:t>
      </w:r>
      <w:r w:rsidR="00D3472B" w:rsidRPr="00282AC9">
        <w:rPr>
          <w:rFonts w:ascii="AAA GoldenLotus" w:hAnsi="AAA GoldenLotus" w:hint="cs"/>
          <w:sz w:val="27"/>
          <w:rtl/>
        </w:rPr>
        <w:t>ْ</w:t>
      </w:r>
      <w:r w:rsidRPr="00282AC9">
        <w:rPr>
          <w:rFonts w:ascii="AAA GoldenLotus" w:hAnsi="AAA GoldenLotus"/>
          <w:sz w:val="27"/>
          <w:rtl/>
        </w:rPr>
        <w:t>ت</w:t>
      </w:r>
      <w:r w:rsidR="00D3472B" w:rsidRPr="00282AC9">
        <w:rPr>
          <w:rFonts w:ascii="AAA GoldenLotus" w:hAnsi="AAA GoldenLotus" w:hint="cs"/>
          <w:sz w:val="27"/>
          <w:rtl/>
        </w:rPr>
        <w:t>ُ</w:t>
      </w:r>
      <w:r w:rsidR="00D3472B" w:rsidRPr="00282AC9">
        <w:rPr>
          <w:rFonts w:ascii="AAA GoldenLotus" w:hAnsi="AAA GoldenLotus"/>
          <w:sz w:val="27"/>
          <w:rtl/>
        </w:rPr>
        <w:t xml:space="preserve"> على نف</w:t>
      </w:r>
      <w:r w:rsidRPr="00282AC9">
        <w:rPr>
          <w:rFonts w:ascii="AAA GoldenLotus" w:hAnsi="AAA GoldenLotus"/>
          <w:sz w:val="27"/>
          <w:rtl/>
        </w:rPr>
        <w:t>اق، ور</w:t>
      </w:r>
      <w:r w:rsidR="00D3472B" w:rsidRPr="00282AC9">
        <w:rPr>
          <w:rFonts w:ascii="AAA GoldenLotus" w:hAnsi="AAA GoldenLotus" w:hint="cs"/>
          <w:sz w:val="27"/>
          <w:rtl/>
        </w:rPr>
        <w:t>ُ</w:t>
      </w:r>
      <w:r w:rsidRPr="00282AC9">
        <w:rPr>
          <w:rFonts w:ascii="AAA GoldenLotus" w:hAnsi="AAA GoldenLotus"/>
          <w:sz w:val="27"/>
          <w:rtl/>
        </w:rPr>
        <w:t>ب</w:t>
      </w:r>
      <w:r w:rsidR="00D3472B" w:rsidRPr="00282AC9">
        <w:rPr>
          <w:rFonts w:ascii="AAA GoldenLotus" w:hAnsi="AAA GoldenLotus" w:hint="cs"/>
          <w:sz w:val="27"/>
          <w:rtl/>
        </w:rPr>
        <w:t>َ</w:t>
      </w:r>
      <w:r w:rsidRPr="00282AC9">
        <w:rPr>
          <w:rFonts w:ascii="AAA GoldenLotus" w:hAnsi="AAA GoldenLotus"/>
          <w:sz w:val="27"/>
          <w:rtl/>
        </w:rPr>
        <w:t>ما قدم</w:t>
      </w:r>
      <w:r w:rsidR="00D3472B" w:rsidRPr="00282AC9">
        <w:rPr>
          <w:rFonts w:ascii="AAA GoldenLotus" w:hAnsi="AAA GoldenLotus" w:hint="cs"/>
          <w:sz w:val="27"/>
          <w:rtl/>
        </w:rPr>
        <w:t>ْ</w:t>
      </w:r>
      <w:r w:rsidRPr="00282AC9">
        <w:rPr>
          <w:rFonts w:ascii="AAA GoldenLotus" w:hAnsi="AAA GoldenLotus"/>
          <w:sz w:val="27"/>
          <w:rtl/>
        </w:rPr>
        <w:t>ت</w:t>
      </w:r>
      <w:r w:rsidR="00D3472B" w:rsidRPr="00282AC9">
        <w:rPr>
          <w:rFonts w:ascii="AAA GoldenLotus" w:hAnsi="AAA GoldenLotus" w:hint="cs"/>
          <w:sz w:val="27"/>
          <w:rtl/>
        </w:rPr>
        <w:t>ُ</w:t>
      </w:r>
      <w:r w:rsidRPr="00282AC9">
        <w:rPr>
          <w:rFonts w:ascii="AAA GoldenLotus" w:hAnsi="AAA GoldenLotus"/>
          <w:sz w:val="27"/>
          <w:rtl/>
        </w:rPr>
        <w:t xml:space="preserve"> على كساد</w:t>
      </w:r>
      <w:r w:rsidR="00D3472B" w:rsidRPr="00282AC9">
        <w:rPr>
          <w:rFonts w:ascii="AAA GoldenLotus" w:hAnsi="AAA GoldenLotus" w:hint="cs"/>
          <w:sz w:val="27"/>
          <w:rtl/>
        </w:rPr>
        <w:t>ٍ</w:t>
      </w:r>
      <w:r w:rsidRPr="00282AC9">
        <w:rPr>
          <w:rFonts w:ascii="AAA GoldenLotus" w:hAnsi="AAA GoldenLotus"/>
          <w:sz w:val="27"/>
          <w:rtl/>
        </w:rPr>
        <w:t xml:space="preserve"> فحبس</w:t>
      </w:r>
      <w:r w:rsidR="00D3472B" w:rsidRPr="00282AC9">
        <w:rPr>
          <w:rFonts w:ascii="AAA GoldenLotus" w:hAnsi="AAA GoldenLotus" w:hint="cs"/>
          <w:sz w:val="27"/>
          <w:rtl/>
        </w:rPr>
        <w:t>ْ</w:t>
      </w:r>
      <w:r w:rsidRPr="00282AC9">
        <w:rPr>
          <w:rFonts w:ascii="AAA GoldenLotus" w:hAnsi="AAA GoldenLotus"/>
          <w:sz w:val="27"/>
          <w:rtl/>
        </w:rPr>
        <w:t>ت</w:t>
      </w:r>
      <w:r w:rsidR="00D3472B" w:rsidRPr="00282AC9">
        <w:rPr>
          <w:rFonts w:ascii="AAA GoldenLotus" w:hAnsi="AAA GoldenLotus" w:hint="cs"/>
          <w:sz w:val="27"/>
          <w:rtl/>
        </w:rPr>
        <w:t>ُ،</w:t>
      </w:r>
      <w:r w:rsidRPr="00282AC9">
        <w:rPr>
          <w:rFonts w:ascii="AAA GoldenLotus" w:hAnsi="AAA GoldenLotus"/>
          <w:sz w:val="27"/>
          <w:rtl/>
        </w:rPr>
        <w:t xml:space="preserve"> قال</w:t>
      </w:r>
      <w:r w:rsidR="009A2A04" w:rsidRPr="00282AC9">
        <w:rPr>
          <w:rFonts w:ascii="AAA GoldenLotus" w:hAnsi="AAA GoldenLotus" w:cs="Mosawi"/>
          <w:sz w:val="22"/>
          <w:szCs w:val="22"/>
          <w:rtl/>
        </w:rPr>
        <w:t>×</w:t>
      </w:r>
      <w:r w:rsidRPr="00282AC9">
        <w:rPr>
          <w:rFonts w:ascii="AAA GoldenLotus" w:hAnsi="AAA GoldenLotus"/>
          <w:sz w:val="27"/>
          <w:rtl/>
        </w:rPr>
        <w:t>: فما يقول م</w:t>
      </w:r>
      <w:r w:rsidR="006E7585" w:rsidRPr="00282AC9">
        <w:rPr>
          <w:rFonts w:ascii="AAA GoldenLotus" w:hAnsi="AAA GoldenLotus" w:hint="cs"/>
          <w:sz w:val="27"/>
          <w:rtl/>
        </w:rPr>
        <w:t>َ</w:t>
      </w:r>
      <w:r w:rsidRPr="00282AC9">
        <w:rPr>
          <w:rFonts w:ascii="AAA GoldenLotus" w:hAnsi="AAA GoldenLotus"/>
          <w:sz w:val="27"/>
          <w:rtl/>
        </w:rPr>
        <w:t>ن</w:t>
      </w:r>
      <w:r w:rsidR="006E7585" w:rsidRPr="00282AC9">
        <w:rPr>
          <w:rFonts w:ascii="AAA GoldenLotus" w:hAnsi="AAA GoldenLotus" w:hint="cs"/>
          <w:sz w:val="27"/>
          <w:rtl/>
        </w:rPr>
        <w:t>ْ</w:t>
      </w:r>
      <w:r w:rsidRPr="00282AC9">
        <w:rPr>
          <w:rFonts w:ascii="AAA GoldenLotus" w:hAnsi="AAA GoldenLotus"/>
          <w:sz w:val="27"/>
          <w:rtl/>
        </w:rPr>
        <w:t xml:space="preserve"> ق</w:t>
      </w:r>
      <w:r w:rsidR="006E7585" w:rsidRPr="00282AC9">
        <w:rPr>
          <w:rFonts w:ascii="AAA GoldenLotus" w:hAnsi="AAA GoldenLotus" w:hint="cs"/>
          <w:sz w:val="27"/>
          <w:rtl/>
        </w:rPr>
        <w:t>ِ</w:t>
      </w:r>
      <w:r w:rsidRPr="00282AC9">
        <w:rPr>
          <w:rFonts w:ascii="AAA GoldenLotus" w:hAnsi="AAA GoldenLotus"/>
          <w:sz w:val="27"/>
          <w:rtl/>
        </w:rPr>
        <w:t>ب</w:t>
      </w:r>
      <w:r w:rsidR="006E7585" w:rsidRPr="00282AC9">
        <w:rPr>
          <w:rFonts w:ascii="AAA GoldenLotus" w:hAnsi="AAA GoldenLotus" w:hint="cs"/>
          <w:sz w:val="27"/>
          <w:rtl/>
        </w:rPr>
        <w:t>َ</w:t>
      </w:r>
      <w:r w:rsidRPr="00282AC9">
        <w:rPr>
          <w:rFonts w:ascii="AAA GoldenLotus" w:hAnsi="AAA GoldenLotus"/>
          <w:sz w:val="27"/>
          <w:rtl/>
        </w:rPr>
        <w:t>لك فيه؟ قلت</w:t>
      </w:r>
      <w:r w:rsidR="006E7585" w:rsidRPr="00282AC9">
        <w:rPr>
          <w:rFonts w:ascii="AAA GoldenLotus" w:hAnsi="AAA GoldenLotus" w:hint="cs"/>
          <w:sz w:val="27"/>
          <w:rtl/>
        </w:rPr>
        <w:t>ُ</w:t>
      </w:r>
      <w:r w:rsidRPr="00282AC9">
        <w:rPr>
          <w:rFonts w:ascii="AAA GoldenLotus" w:hAnsi="AAA GoldenLotus"/>
          <w:sz w:val="27"/>
          <w:rtl/>
        </w:rPr>
        <w:t>: يقولون: محتك</w:t>
      </w:r>
      <w:r w:rsidR="006E7585" w:rsidRPr="00282AC9">
        <w:rPr>
          <w:rFonts w:ascii="AAA GoldenLotus" w:hAnsi="AAA GoldenLotus" w:hint="cs"/>
          <w:sz w:val="27"/>
          <w:rtl/>
        </w:rPr>
        <w:t>ِ</w:t>
      </w:r>
      <w:r w:rsidRPr="00282AC9">
        <w:rPr>
          <w:rFonts w:ascii="AAA GoldenLotus" w:hAnsi="AAA GoldenLotus"/>
          <w:sz w:val="27"/>
          <w:rtl/>
        </w:rPr>
        <w:t>ر</w:t>
      </w:r>
      <w:r w:rsidR="006E7585" w:rsidRPr="00282AC9">
        <w:rPr>
          <w:rFonts w:ascii="AAA GoldenLotus" w:hAnsi="AAA GoldenLotus" w:hint="cs"/>
          <w:sz w:val="27"/>
          <w:rtl/>
        </w:rPr>
        <w:t>ٌ</w:t>
      </w:r>
      <w:r w:rsidRPr="00282AC9">
        <w:rPr>
          <w:rFonts w:ascii="AAA GoldenLotus" w:hAnsi="AAA GoldenLotus"/>
          <w:sz w:val="27"/>
          <w:rtl/>
        </w:rPr>
        <w:t>، فقال</w:t>
      </w:r>
      <w:r w:rsidR="009A2A04" w:rsidRPr="00282AC9">
        <w:rPr>
          <w:rFonts w:ascii="AAA GoldenLotus" w:hAnsi="AAA GoldenLotus" w:cs="Mosawi"/>
          <w:sz w:val="22"/>
          <w:szCs w:val="22"/>
          <w:rtl/>
        </w:rPr>
        <w:t>×</w:t>
      </w:r>
      <w:r w:rsidRPr="00282AC9">
        <w:rPr>
          <w:rFonts w:ascii="AAA GoldenLotus" w:hAnsi="AAA GoldenLotus"/>
          <w:sz w:val="27"/>
          <w:rtl/>
        </w:rPr>
        <w:t>: يبيعه أحد</w:t>
      </w:r>
      <w:r w:rsidR="006E7585" w:rsidRPr="00282AC9">
        <w:rPr>
          <w:rFonts w:ascii="AAA GoldenLotus" w:hAnsi="AAA GoldenLotus" w:hint="cs"/>
          <w:sz w:val="27"/>
          <w:rtl/>
        </w:rPr>
        <w:t>ٌ</w:t>
      </w:r>
      <w:r w:rsidRPr="00282AC9">
        <w:rPr>
          <w:rFonts w:ascii="AAA GoldenLotus" w:hAnsi="AAA GoldenLotus"/>
          <w:sz w:val="27"/>
          <w:rtl/>
        </w:rPr>
        <w:t xml:space="preserve"> غيرك؟</w:t>
      </w:r>
      <w:r w:rsidR="006E7585" w:rsidRPr="00282AC9">
        <w:rPr>
          <w:rFonts w:ascii="AAA GoldenLotus" w:hAnsi="AAA GoldenLotus" w:hint="cs"/>
          <w:sz w:val="27"/>
          <w:rtl/>
        </w:rPr>
        <w:t xml:space="preserve"> </w:t>
      </w:r>
      <w:r w:rsidRPr="00282AC9">
        <w:rPr>
          <w:rFonts w:ascii="AAA GoldenLotus" w:hAnsi="AAA GoldenLotus"/>
          <w:sz w:val="27"/>
          <w:rtl/>
        </w:rPr>
        <w:t>قلت</w:t>
      </w:r>
      <w:r w:rsidR="006E7585" w:rsidRPr="00282AC9">
        <w:rPr>
          <w:rFonts w:ascii="AAA GoldenLotus" w:hAnsi="AAA GoldenLotus" w:hint="cs"/>
          <w:sz w:val="27"/>
          <w:rtl/>
        </w:rPr>
        <w:t>ُ</w:t>
      </w:r>
      <w:r w:rsidRPr="00282AC9">
        <w:rPr>
          <w:rFonts w:ascii="AAA GoldenLotus" w:hAnsi="AAA GoldenLotus"/>
          <w:sz w:val="27"/>
          <w:rtl/>
        </w:rPr>
        <w:t>: ما أبيع أنا من ألف جزء</w:t>
      </w:r>
      <w:r w:rsidR="006E7585" w:rsidRPr="00282AC9">
        <w:rPr>
          <w:rFonts w:ascii="AAA GoldenLotus" w:hAnsi="AAA GoldenLotus" w:hint="cs"/>
          <w:sz w:val="27"/>
          <w:rtl/>
        </w:rPr>
        <w:t>ٍ</w:t>
      </w:r>
      <w:r w:rsidRPr="00282AC9">
        <w:rPr>
          <w:rFonts w:ascii="AAA GoldenLotus" w:hAnsi="AAA GoldenLotus"/>
          <w:sz w:val="27"/>
          <w:rtl/>
        </w:rPr>
        <w:t xml:space="preserve"> جزءاً</w:t>
      </w:r>
      <w:r w:rsidR="006E7585" w:rsidRPr="00282AC9">
        <w:rPr>
          <w:rFonts w:ascii="AAA GoldenLotus" w:hAnsi="AAA GoldenLotus" w:hint="cs"/>
          <w:sz w:val="27"/>
          <w:rtl/>
        </w:rPr>
        <w:t>،</w:t>
      </w:r>
      <w:r w:rsidRPr="00282AC9">
        <w:rPr>
          <w:rFonts w:ascii="AAA GoldenLotus" w:hAnsi="AAA GoldenLotus"/>
          <w:sz w:val="27"/>
          <w:rtl/>
        </w:rPr>
        <w:t xml:space="preserve"> قال</w:t>
      </w:r>
      <w:r w:rsidR="009A2A04" w:rsidRPr="00282AC9">
        <w:rPr>
          <w:rFonts w:ascii="AAA GoldenLotus" w:hAnsi="AAA GoldenLotus" w:cs="Mosawi"/>
          <w:sz w:val="22"/>
          <w:szCs w:val="22"/>
          <w:rtl/>
        </w:rPr>
        <w:t>×</w:t>
      </w:r>
      <w:r w:rsidRPr="00282AC9">
        <w:rPr>
          <w:rFonts w:ascii="AAA GoldenLotus" w:hAnsi="AAA GoldenLotus"/>
          <w:sz w:val="27"/>
          <w:rtl/>
        </w:rPr>
        <w:t xml:space="preserve">: </w:t>
      </w:r>
      <w:r w:rsidR="006E7585" w:rsidRPr="00282AC9">
        <w:rPr>
          <w:rFonts w:hint="eastAsia"/>
          <w:sz w:val="24"/>
          <w:szCs w:val="24"/>
          <w:rtl/>
        </w:rPr>
        <w:t>«</w:t>
      </w:r>
      <w:r w:rsidRPr="00282AC9">
        <w:rPr>
          <w:rFonts w:ascii="AAA GoldenLotus" w:hAnsi="AAA GoldenLotus"/>
          <w:sz w:val="27"/>
          <w:rtl/>
        </w:rPr>
        <w:t>لا بأس</w:t>
      </w:r>
      <w:r w:rsidR="006E7585" w:rsidRPr="00282AC9">
        <w:rPr>
          <w:rFonts w:ascii="AAA GoldenLotus" w:hAnsi="AAA GoldenLotus" w:hint="cs"/>
          <w:sz w:val="27"/>
          <w:rtl/>
        </w:rPr>
        <w:t>،</w:t>
      </w:r>
      <w:r w:rsidRPr="00282AC9">
        <w:rPr>
          <w:rFonts w:ascii="AAA GoldenLotus" w:hAnsi="AAA GoldenLotus"/>
          <w:sz w:val="27"/>
          <w:rtl/>
        </w:rPr>
        <w:t xml:space="preserve"> إنّما كان ذلك رجل</w:t>
      </w:r>
      <w:r w:rsidR="006E7585" w:rsidRPr="00282AC9">
        <w:rPr>
          <w:rFonts w:ascii="AAA GoldenLotus" w:hAnsi="AAA GoldenLotus" w:hint="cs"/>
          <w:sz w:val="27"/>
          <w:rtl/>
        </w:rPr>
        <w:t>ٌ</w:t>
      </w:r>
      <w:r w:rsidRPr="00282AC9">
        <w:rPr>
          <w:rFonts w:ascii="AAA GoldenLotus" w:hAnsi="AAA GoldenLotus"/>
          <w:sz w:val="27"/>
          <w:rtl/>
        </w:rPr>
        <w:t xml:space="preserve"> من قريش</w:t>
      </w:r>
      <w:r w:rsidR="006E7585" w:rsidRPr="00282AC9">
        <w:rPr>
          <w:rFonts w:ascii="AAA GoldenLotus" w:hAnsi="AAA GoldenLotus" w:hint="cs"/>
          <w:sz w:val="27"/>
          <w:rtl/>
        </w:rPr>
        <w:t>،</w:t>
      </w:r>
      <w:r w:rsidRPr="00282AC9">
        <w:rPr>
          <w:rFonts w:ascii="AAA GoldenLotus" w:hAnsi="AAA GoldenLotus"/>
          <w:sz w:val="27"/>
          <w:rtl/>
        </w:rPr>
        <w:t xml:space="preserve"> ي</w:t>
      </w:r>
      <w:r w:rsidR="006E7585" w:rsidRPr="00282AC9">
        <w:rPr>
          <w:rFonts w:ascii="AAA GoldenLotus" w:hAnsi="AAA GoldenLotus" w:hint="cs"/>
          <w:sz w:val="27"/>
          <w:rtl/>
        </w:rPr>
        <w:t>ُ</w:t>
      </w:r>
      <w:r w:rsidRPr="00282AC9">
        <w:rPr>
          <w:rFonts w:ascii="AAA GoldenLotus" w:hAnsi="AAA GoldenLotus"/>
          <w:sz w:val="27"/>
          <w:rtl/>
        </w:rPr>
        <w:t xml:space="preserve">قال له: حكيم بن حزام، وكان إذا دخل الطعام المدينة اشتراه </w:t>
      </w:r>
      <w:r w:rsidRPr="00282AC9">
        <w:rPr>
          <w:rFonts w:ascii="AAA GoldenLotus" w:hAnsi="AAA GoldenLotus"/>
          <w:sz w:val="27"/>
          <w:rtl/>
        </w:rPr>
        <w:lastRenderedPageBreak/>
        <w:t>كلّ</w:t>
      </w:r>
      <w:r w:rsidR="006E7585" w:rsidRPr="00282AC9">
        <w:rPr>
          <w:rFonts w:ascii="AAA GoldenLotus" w:hAnsi="AAA GoldenLotus" w:hint="cs"/>
          <w:sz w:val="27"/>
          <w:rtl/>
        </w:rPr>
        <w:t>َ</w:t>
      </w:r>
      <w:r w:rsidRPr="00282AC9">
        <w:rPr>
          <w:rFonts w:ascii="AAA GoldenLotus" w:hAnsi="AAA GoldenLotus"/>
          <w:sz w:val="27"/>
          <w:rtl/>
        </w:rPr>
        <w:t>ه، فم</w:t>
      </w:r>
      <w:r w:rsidR="006E7585" w:rsidRPr="00282AC9">
        <w:rPr>
          <w:rFonts w:ascii="AAA GoldenLotus" w:hAnsi="AAA GoldenLotus" w:hint="cs"/>
          <w:sz w:val="27"/>
          <w:rtl/>
        </w:rPr>
        <w:t>َ</w:t>
      </w:r>
      <w:r w:rsidRPr="00282AC9">
        <w:rPr>
          <w:rFonts w:ascii="AAA GoldenLotus" w:hAnsi="AAA GoldenLotus"/>
          <w:sz w:val="27"/>
          <w:rtl/>
        </w:rPr>
        <w:t>ر</w:t>
      </w:r>
      <w:r w:rsidR="006E7585" w:rsidRPr="00282AC9">
        <w:rPr>
          <w:rFonts w:ascii="AAA GoldenLotus" w:hAnsi="AAA GoldenLotus" w:hint="cs"/>
          <w:sz w:val="27"/>
          <w:rtl/>
        </w:rPr>
        <w:t>َّ</w:t>
      </w:r>
      <w:r w:rsidRPr="00282AC9">
        <w:rPr>
          <w:rFonts w:ascii="AAA GoldenLotus" w:hAnsi="AAA GoldenLotus"/>
          <w:sz w:val="27"/>
          <w:rtl/>
        </w:rPr>
        <w:t xml:space="preserve"> عليه النبي</w:t>
      </w:r>
      <w:r w:rsidR="006E7585" w:rsidRPr="00282AC9">
        <w:rPr>
          <w:rFonts w:ascii="AAA GoldenLotus" w:hAnsi="AAA GoldenLotus" w:hint="cs"/>
          <w:sz w:val="27"/>
          <w:rtl/>
        </w:rPr>
        <w:t>ّ</w:t>
      </w:r>
      <w:r w:rsidR="009A2A04" w:rsidRPr="00282AC9">
        <w:rPr>
          <w:rFonts w:ascii="AAA GoldenLotus" w:hAnsi="AAA GoldenLotus" w:cs="Mosawi"/>
          <w:sz w:val="22"/>
          <w:szCs w:val="22"/>
          <w:rtl/>
        </w:rPr>
        <w:t>|</w:t>
      </w:r>
      <w:r w:rsidR="006E7585" w:rsidRPr="00282AC9">
        <w:rPr>
          <w:rFonts w:ascii="AAA GoldenLotus" w:hAnsi="AAA GoldenLotus" w:hint="cs"/>
          <w:sz w:val="27"/>
          <w:rtl/>
        </w:rPr>
        <w:t>،</w:t>
      </w:r>
      <w:r w:rsidRPr="00282AC9">
        <w:rPr>
          <w:rFonts w:ascii="AAA GoldenLotus" w:hAnsi="AAA GoldenLotus"/>
          <w:sz w:val="27"/>
          <w:rtl/>
        </w:rPr>
        <w:t xml:space="preserve"> فقال: يا حكيم بن حزام</w:t>
      </w:r>
      <w:r w:rsidR="006E7585" w:rsidRPr="00282AC9">
        <w:rPr>
          <w:rFonts w:ascii="AAA GoldenLotus" w:hAnsi="AAA GoldenLotus" w:hint="cs"/>
          <w:sz w:val="27"/>
          <w:rtl/>
        </w:rPr>
        <w:t>،</w:t>
      </w:r>
      <w:r w:rsidRPr="00282AC9">
        <w:rPr>
          <w:rFonts w:ascii="AAA GoldenLotus" w:hAnsi="AAA GoldenLotus"/>
          <w:sz w:val="27"/>
          <w:rtl/>
        </w:rPr>
        <w:t xml:space="preserve"> إي</w:t>
      </w:r>
      <w:r w:rsidR="006E7585" w:rsidRPr="00282AC9">
        <w:rPr>
          <w:rFonts w:ascii="AAA GoldenLotus" w:hAnsi="AAA GoldenLotus" w:hint="cs"/>
          <w:sz w:val="27"/>
          <w:rtl/>
        </w:rPr>
        <w:t>ّ</w:t>
      </w:r>
      <w:r w:rsidRPr="00282AC9">
        <w:rPr>
          <w:rFonts w:ascii="AAA GoldenLotus" w:hAnsi="AAA GoldenLotus"/>
          <w:sz w:val="27"/>
          <w:rtl/>
        </w:rPr>
        <w:t>اك أن تحتكر</w:t>
      </w:r>
      <w:r w:rsidR="006E7585" w:rsidRPr="00282AC9">
        <w:rPr>
          <w:rFonts w:hint="eastAsia"/>
          <w:sz w:val="24"/>
          <w:szCs w:val="24"/>
          <w:rtl/>
        </w:rPr>
        <w:t>»</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98"/>
      </w:r>
      <w:r w:rsidRPr="00282AC9">
        <w:rPr>
          <w:rFonts w:ascii="AAA GoldenLotus" w:hAnsi="AAA GoldenLotus"/>
          <w:sz w:val="27"/>
          <w:vertAlign w:val="superscript"/>
          <w:rtl/>
        </w:rPr>
        <w:t>)</w:t>
      </w:r>
      <w:r w:rsidRPr="00282AC9">
        <w:rPr>
          <w:rFonts w:ascii="AAA GoldenLotus" w:hAnsi="AAA GoldenLotus"/>
          <w:sz w:val="27"/>
          <w:rtl/>
        </w:rPr>
        <w:t xml:space="preserve">. </w:t>
      </w:r>
    </w:p>
    <w:p w:rsidR="00E355F2" w:rsidRPr="00282AC9" w:rsidRDefault="00E355F2" w:rsidP="00046546">
      <w:pPr>
        <w:rPr>
          <w:rFonts w:ascii="AAA GoldenLotus" w:hAnsi="AAA GoldenLotus"/>
          <w:sz w:val="27"/>
          <w:rtl/>
        </w:rPr>
      </w:pPr>
      <w:r w:rsidRPr="00282AC9">
        <w:rPr>
          <w:rFonts w:ascii="AAA GoldenLotus" w:hAnsi="AAA GoldenLotus"/>
          <w:sz w:val="27"/>
          <w:rtl/>
        </w:rPr>
        <w:t>وهذه الرواية وإن</w:t>
      </w:r>
      <w:r w:rsidR="006E7585" w:rsidRPr="00282AC9">
        <w:rPr>
          <w:rFonts w:ascii="AAA GoldenLotus" w:hAnsi="AAA GoldenLotus" w:hint="cs"/>
          <w:sz w:val="27"/>
          <w:rtl/>
        </w:rPr>
        <w:t>ْ</w:t>
      </w:r>
      <w:r w:rsidRPr="00282AC9">
        <w:rPr>
          <w:rFonts w:ascii="AAA GoldenLotus" w:hAnsi="AAA GoldenLotus"/>
          <w:sz w:val="27"/>
          <w:rtl/>
        </w:rPr>
        <w:t xml:space="preserve"> ورد</w:t>
      </w:r>
      <w:r w:rsidR="006E7585" w:rsidRPr="00282AC9">
        <w:rPr>
          <w:rFonts w:ascii="AAA GoldenLotus" w:hAnsi="AAA GoldenLotus" w:hint="cs"/>
          <w:sz w:val="27"/>
          <w:rtl/>
        </w:rPr>
        <w:t>َ</w:t>
      </w:r>
      <w:r w:rsidRPr="00282AC9">
        <w:rPr>
          <w:rFonts w:ascii="AAA GoldenLotus" w:hAnsi="AAA GoldenLotus"/>
          <w:sz w:val="27"/>
          <w:rtl/>
        </w:rPr>
        <w:t>ت</w:t>
      </w:r>
      <w:r w:rsidR="006E7585" w:rsidRPr="00282AC9">
        <w:rPr>
          <w:rFonts w:ascii="AAA GoldenLotus" w:hAnsi="AAA GoldenLotus" w:hint="cs"/>
          <w:sz w:val="27"/>
          <w:rtl/>
        </w:rPr>
        <w:t>ْ</w:t>
      </w:r>
      <w:r w:rsidRPr="00282AC9">
        <w:rPr>
          <w:rFonts w:ascii="AAA GoldenLotus" w:hAnsi="AAA GoldenLotus"/>
          <w:sz w:val="27"/>
          <w:rtl/>
        </w:rPr>
        <w:t xml:space="preserve"> في مورد</w:t>
      </w:r>
      <w:r w:rsidR="006E7585" w:rsidRPr="00282AC9">
        <w:rPr>
          <w:rFonts w:ascii="AAA GoldenLotus" w:hAnsi="AAA GoldenLotus" w:hint="cs"/>
          <w:sz w:val="27"/>
          <w:rtl/>
        </w:rPr>
        <w:t>ٍ</w:t>
      </w:r>
      <w:r w:rsidRPr="00282AC9">
        <w:rPr>
          <w:rFonts w:ascii="AAA GoldenLotus" w:hAnsi="AAA GoldenLotus"/>
          <w:sz w:val="27"/>
          <w:rtl/>
        </w:rPr>
        <w:t xml:space="preserve"> خاص</w:t>
      </w:r>
      <w:r w:rsidR="006E7585" w:rsidRPr="00282AC9">
        <w:rPr>
          <w:rFonts w:ascii="AAA GoldenLotus" w:hAnsi="AAA GoldenLotus" w:hint="cs"/>
          <w:sz w:val="27"/>
          <w:rtl/>
        </w:rPr>
        <w:t>ّ،</w:t>
      </w:r>
      <w:r w:rsidRPr="00282AC9">
        <w:rPr>
          <w:rFonts w:ascii="AAA GoldenLotus" w:hAnsi="AAA GoldenLotus"/>
          <w:sz w:val="27"/>
          <w:rtl/>
        </w:rPr>
        <w:t xml:space="preserve"> في شأن حكيم بن حزام تنهاه عن الاحتكار، إلا</w:t>
      </w:r>
      <w:r w:rsidR="006E7585" w:rsidRPr="00282AC9">
        <w:rPr>
          <w:rFonts w:ascii="AAA GoldenLotus" w:hAnsi="AAA GoldenLotus" w:hint="cs"/>
          <w:sz w:val="27"/>
          <w:rtl/>
        </w:rPr>
        <w:t>ّ</w:t>
      </w:r>
      <w:r w:rsidRPr="00282AC9">
        <w:rPr>
          <w:rFonts w:ascii="AAA GoldenLotus" w:hAnsi="AAA GoldenLotus"/>
          <w:sz w:val="27"/>
          <w:rtl/>
        </w:rPr>
        <w:t xml:space="preserve"> أنّه لمّا كان الاحتكار سبباً في هلاك الأنفس والإفساد في المجتمع فمن غير المعقول أن هذا الفعل إذا صدر من مكل</w:t>
      </w:r>
      <w:r w:rsidR="006E7585" w:rsidRPr="00282AC9">
        <w:rPr>
          <w:rFonts w:ascii="AAA GoldenLotus" w:hAnsi="AAA GoldenLotus" w:hint="cs"/>
          <w:sz w:val="27"/>
          <w:rtl/>
        </w:rPr>
        <w:t>َّ</w:t>
      </w:r>
      <w:r w:rsidRPr="00282AC9">
        <w:rPr>
          <w:rFonts w:ascii="AAA GoldenLotus" w:hAnsi="AAA GoldenLotus"/>
          <w:sz w:val="27"/>
          <w:rtl/>
        </w:rPr>
        <w:t>ف</w:t>
      </w:r>
      <w:r w:rsidR="006E7585" w:rsidRPr="00282AC9">
        <w:rPr>
          <w:rFonts w:ascii="AAA GoldenLotus" w:hAnsi="AAA GoldenLotus" w:hint="cs"/>
          <w:sz w:val="27"/>
          <w:rtl/>
        </w:rPr>
        <w:t>ٍ</w:t>
      </w:r>
      <w:r w:rsidRPr="00282AC9">
        <w:rPr>
          <w:rFonts w:ascii="AAA GoldenLotus" w:hAnsi="AAA GoldenLotus"/>
          <w:sz w:val="27"/>
          <w:rtl/>
        </w:rPr>
        <w:t xml:space="preserve"> يكون مفسدة</w:t>
      </w:r>
      <w:r w:rsidR="006E7585" w:rsidRPr="00282AC9">
        <w:rPr>
          <w:rFonts w:ascii="AAA GoldenLotus" w:hAnsi="AAA GoldenLotus" w:hint="cs"/>
          <w:sz w:val="27"/>
          <w:rtl/>
        </w:rPr>
        <w:t>ً،</w:t>
      </w:r>
      <w:r w:rsidRPr="00282AC9">
        <w:rPr>
          <w:rFonts w:ascii="AAA GoldenLotus" w:hAnsi="AAA GoldenLotus"/>
          <w:sz w:val="27"/>
          <w:rtl/>
        </w:rPr>
        <w:t xml:space="preserve"> وإذا صدر من مكل</w:t>
      </w:r>
      <w:r w:rsidR="006E7585" w:rsidRPr="00282AC9">
        <w:rPr>
          <w:rFonts w:ascii="AAA GoldenLotus" w:hAnsi="AAA GoldenLotus" w:hint="cs"/>
          <w:sz w:val="27"/>
          <w:rtl/>
        </w:rPr>
        <w:t>َّ</w:t>
      </w:r>
      <w:r w:rsidRPr="00282AC9">
        <w:rPr>
          <w:rFonts w:ascii="AAA GoldenLotus" w:hAnsi="AAA GoldenLotus"/>
          <w:sz w:val="27"/>
          <w:rtl/>
        </w:rPr>
        <w:t>ف</w:t>
      </w:r>
      <w:r w:rsidR="006E7585" w:rsidRPr="00282AC9">
        <w:rPr>
          <w:rFonts w:ascii="AAA GoldenLotus" w:hAnsi="AAA GoldenLotus" w:hint="cs"/>
          <w:sz w:val="27"/>
          <w:rtl/>
        </w:rPr>
        <w:t>ٍ</w:t>
      </w:r>
      <w:r w:rsidRPr="00282AC9">
        <w:rPr>
          <w:rFonts w:ascii="AAA GoldenLotus" w:hAnsi="AAA GoldenLotus"/>
          <w:sz w:val="27"/>
          <w:rtl/>
        </w:rPr>
        <w:t xml:space="preserve"> آخر لا يكون كذلك</w:t>
      </w:r>
      <w:r w:rsidR="006E7585" w:rsidRPr="00282AC9">
        <w:rPr>
          <w:rFonts w:ascii="AAA GoldenLotus" w:hAnsi="AAA GoldenLotus" w:hint="cs"/>
          <w:sz w:val="27"/>
          <w:rtl/>
        </w:rPr>
        <w:t>.</w:t>
      </w:r>
      <w:r w:rsidRPr="00282AC9">
        <w:rPr>
          <w:rFonts w:ascii="AAA GoldenLotus" w:hAnsi="AAA GoldenLotus"/>
          <w:sz w:val="27"/>
          <w:rtl/>
        </w:rPr>
        <w:t xml:space="preserve"> وليس النهي عن الاحتكار الذي ورد في الرواية خاص</w:t>
      </w:r>
      <w:r w:rsidR="006E7585" w:rsidRPr="00282AC9">
        <w:rPr>
          <w:rFonts w:ascii="AAA GoldenLotus" w:hAnsi="AAA GoldenLotus" w:hint="cs"/>
          <w:sz w:val="27"/>
          <w:rtl/>
        </w:rPr>
        <w:t>ّ</w:t>
      </w:r>
      <w:r w:rsidRPr="00282AC9">
        <w:rPr>
          <w:rFonts w:ascii="AAA GoldenLotus" w:hAnsi="AAA GoldenLotus"/>
          <w:sz w:val="27"/>
          <w:rtl/>
        </w:rPr>
        <w:t>اً بحزام</w:t>
      </w:r>
      <w:r w:rsidR="006E7585" w:rsidRPr="00282AC9">
        <w:rPr>
          <w:rFonts w:ascii="AAA GoldenLotus" w:hAnsi="AAA GoldenLotus" w:hint="cs"/>
          <w:sz w:val="27"/>
          <w:rtl/>
        </w:rPr>
        <w:t>ٍ</w:t>
      </w:r>
      <w:r w:rsidRPr="00282AC9">
        <w:rPr>
          <w:rFonts w:ascii="AAA GoldenLotus" w:hAnsi="AAA GoldenLotus"/>
          <w:sz w:val="27"/>
          <w:rtl/>
        </w:rPr>
        <w:t>؛ لأنّه لا دليل على الخصوصية، بل الدليل على إلغائها، كما تقد</w:t>
      </w:r>
      <w:r w:rsidR="006E7585" w:rsidRPr="00282AC9">
        <w:rPr>
          <w:rFonts w:ascii="AAA GoldenLotus" w:hAnsi="AAA GoldenLotus" w:hint="cs"/>
          <w:sz w:val="27"/>
          <w:rtl/>
        </w:rPr>
        <w:t>َّ</w:t>
      </w:r>
      <w:r w:rsidRPr="00282AC9">
        <w:rPr>
          <w:rFonts w:ascii="AAA GoldenLotus" w:hAnsi="AAA GoldenLotus"/>
          <w:sz w:val="27"/>
          <w:rtl/>
        </w:rPr>
        <w:t xml:space="preserve">م من </w:t>
      </w:r>
      <w:r w:rsidR="006E7585" w:rsidRPr="00282AC9">
        <w:rPr>
          <w:rFonts w:ascii="AAA GoldenLotus" w:hAnsi="AAA GoldenLotus" w:hint="cs"/>
          <w:sz w:val="27"/>
          <w:rtl/>
        </w:rPr>
        <w:t>أ</w:t>
      </w:r>
      <w:r w:rsidRPr="00282AC9">
        <w:rPr>
          <w:rFonts w:ascii="AAA GoldenLotus" w:hAnsi="AAA GoldenLotus"/>
          <w:sz w:val="27"/>
          <w:rtl/>
        </w:rPr>
        <w:t>نّ الأحكام عام</w:t>
      </w:r>
      <w:r w:rsidR="006E7585" w:rsidRPr="00282AC9">
        <w:rPr>
          <w:rFonts w:ascii="AAA GoldenLotus" w:hAnsi="AAA GoldenLotus" w:hint="cs"/>
          <w:sz w:val="27"/>
          <w:rtl/>
        </w:rPr>
        <w:t>ّ</w:t>
      </w:r>
      <w:r w:rsidRPr="00282AC9">
        <w:rPr>
          <w:rFonts w:ascii="AAA GoldenLotus" w:hAnsi="AAA GoldenLotus"/>
          <w:sz w:val="27"/>
          <w:rtl/>
        </w:rPr>
        <w:t>ة</w:t>
      </w:r>
      <w:r w:rsidR="006E7585" w:rsidRPr="00282AC9">
        <w:rPr>
          <w:rFonts w:ascii="AAA GoldenLotus" w:hAnsi="AAA GoldenLotus" w:hint="cs"/>
          <w:sz w:val="27"/>
          <w:rtl/>
        </w:rPr>
        <w:t>ٌ</w:t>
      </w:r>
      <w:r w:rsidRPr="00282AC9">
        <w:rPr>
          <w:rFonts w:ascii="AAA GoldenLotus" w:hAnsi="AAA GoldenLotus"/>
          <w:sz w:val="27"/>
          <w:rtl/>
        </w:rPr>
        <w:t xml:space="preserve"> بأدل</w:t>
      </w:r>
      <w:r w:rsidR="006E7585" w:rsidRPr="00282AC9">
        <w:rPr>
          <w:rFonts w:ascii="AAA GoldenLotus" w:hAnsi="AAA GoldenLotus" w:hint="cs"/>
          <w:sz w:val="27"/>
          <w:rtl/>
        </w:rPr>
        <w:t>ّ</w:t>
      </w:r>
      <w:r w:rsidRPr="00282AC9">
        <w:rPr>
          <w:rFonts w:ascii="AAA GoldenLotus" w:hAnsi="AAA GoldenLotus"/>
          <w:sz w:val="27"/>
          <w:rtl/>
        </w:rPr>
        <w:t>ة الاشتراك</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399"/>
      </w:r>
      <w:r w:rsidRPr="00282AC9">
        <w:rPr>
          <w:rFonts w:ascii="AAA GoldenLotus" w:hAnsi="AAA GoldenLotus"/>
          <w:sz w:val="27"/>
          <w:vertAlign w:val="superscript"/>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sz w:val="27"/>
          <w:rtl/>
        </w:rPr>
        <w:t>وبناء</w:t>
      </w:r>
      <w:r w:rsidR="00B2104C" w:rsidRPr="00282AC9">
        <w:rPr>
          <w:rFonts w:ascii="AAA GoldenLotus" w:hAnsi="AAA GoldenLotus" w:hint="cs"/>
          <w:sz w:val="27"/>
          <w:rtl/>
        </w:rPr>
        <w:t>ً</w:t>
      </w:r>
      <w:r w:rsidRPr="00282AC9">
        <w:rPr>
          <w:rFonts w:ascii="AAA GoldenLotus" w:hAnsi="AAA GoldenLotus"/>
          <w:sz w:val="27"/>
          <w:rtl/>
        </w:rPr>
        <w:t xml:space="preserve"> على ما تقد</w:t>
      </w:r>
      <w:r w:rsidR="00B2104C" w:rsidRPr="00282AC9">
        <w:rPr>
          <w:rFonts w:ascii="AAA GoldenLotus" w:hAnsi="AAA GoldenLotus" w:hint="cs"/>
          <w:sz w:val="27"/>
          <w:rtl/>
        </w:rPr>
        <w:t>َّ</w:t>
      </w:r>
      <w:r w:rsidRPr="00282AC9">
        <w:rPr>
          <w:rFonts w:ascii="AAA GoldenLotus" w:hAnsi="AAA GoldenLotus"/>
          <w:sz w:val="27"/>
          <w:rtl/>
        </w:rPr>
        <w:t>م</w:t>
      </w:r>
      <w:r w:rsidR="00B2104C" w:rsidRPr="00282AC9">
        <w:rPr>
          <w:rFonts w:ascii="AAA GoldenLotus" w:hAnsi="AAA GoldenLotus" w:hint="cs"/>
          <w:sz w:val="27"/>
          <w:rtl/>
        </w:rPr>
        <w:t>،</w:t>
      </w:r>
      <w:r w:rsidRPr="00282AC9">
        <w:rPr>
          <w:rFonts w:ascii="AAA GoldenLotus" w:hAnsi="AAA GoldenLotus"/>
          <w:sz w:val="27"/>
          <w:rtl/>
        </w:rPr>
        <w:t xml:space="preserve"> لا يمكن أن تظهر دلالة الرواية على المطلوب الذي هو تسرية الحكم من حزام</w:t>
      </w:r>
      <w:r w:rsidR="00B2104C" w:rsidRPr="00282AC9">
        <w:rPr>
          <w:rFonts w:ascii="AAA GoldenLotus" w:hAnsi="AAA GoldenLotus" w:hint="cs"/>
          <w:sz w:val="27"/>
          <w:rtl/>
        </w:rPr>
        <w:t>ٍ</w:t>
      </w:r>
      <w:r w:rsidRPr="00282AC9">
        <w:rPr>
          <w:rFonts w:ascii="AAA GoldenLotus" w:hAnsi="AAA GoldenLotus"/>
          <w:sz w:val="27"/>
          <w:rtl/>
        </w:rPr>
        <w:t xml:space="preserve"> إلى غيره من الرجال والنساء</w:t>
      </w:r>
      <w:r w:rsidR="00B2104C" w:rsidRPr="00282AC9">
        <w:rPr>
          <w:rFonts w:ascii="AAA GoldenLotus" w:hAnsi="AAA GoldenLotus" w:hint="cs"/>
          <w:sz w:val="27"/>
          <w:rtl/>
        </w:rPr>
        <w:t>،</w:t>
      </w:r>
      <w:r w:rsidRPr="00282AC9">
        <w:rPr>
          <w:rFonts w:ascii="AAA GoldenLotus" w:hAnsi="AAA GoldenLotus"/>
          <w:sz w:val="27"/>
          <w:rtl/>
        </w:rPr>
        <w:t xml:space="preserve"> إلا</w:t>
      </w:r>
      <w:r w:rsidR="00B2104C" w:rsidRPr="00282AC9">
        <w:rPr>
          <w:rFonts w:ascii="AAA GoldenLotus" w:hAnsi="AAA GoldenLotus" w:hint="cs"/>
          <w:sz w:val="27"/>
          <w:rtl/>
        </w:rPr>
        <w:t>ّ</w:t>
      </w:r>
      <w:r w:rsidRPr="00282AC9">
        <w:rPr>
          <w:rFonts w:ascii="AAA GoldenLotus" w:hAnsi="AAA GoldenLotus"/>
          <w:sz w:val="27"/>
          <w:rtl/>
        </w:rPr>
        <w:t xml:space="preserve"> من خلال قاعدة الاشتراك، ولو بنكتة تنقيح المناط. </w:t>
      </w:r>
    </w:p>
    <w:p w:rsidR="00B2104C" w:rsidRPr="00282AC9" w:rsidRDefault="00E355F2" w:rsidP="00046546">
      <w:pPr>
        <w:rPr>
          <w:rtl/>
        </w:rPr>
      </w:pPr>
      <w:bookmarkStart w:id="49" w:name="_Toc33819818"/>
      <w:r w:rsidRPr="00282AC9">
        <w:rPr>
          <w:rFonts w:hint="cs"/>
          <w:b/>
          <w:bCs/>
          <w:rtl/>
        </w:rPr>
        <w:t>2ـ</w:t>
      </w:r>
      <w:r w:rsidRPr="00282AC9">
        <w:rPr>
          <w:b/>
          <w:bCs/>
          <w:rtl/>
        </w:rPr>
        <w:t xml:space="preserve"> عند جمهور المذاهب</w:t>
      </w:r>
      <w:bookmarkEnd w:id="49"/>
      <w:r w:rsidR="00913C71" w:rsidRPr="00282AC9">
        <w:rPr>
          <w:rFonts w:hint="cs"/>
          <w:rtl/>
        </w:rPr>
        <w:t xml:space="preserve">: </w:t>
      </w:r>
      <w:r w:rsidRPr="00282AC9">
        <w:rPr>
          <w:rFonts w:ascii="AAA GoldenLotus" w:hAnsi="AAA GoldenLotus"/>
          <w:spacing w:val="-4"/>
          <w:sz w:val="27"/>
          <w:rtl/>
        </w:rPr>
        <w:t>أجمع جمهور المذاهب على حرمة الاحتكار</w:t>
      </w:r>
      <w:r w:rsidRPr="00282AC9">
        <w:rPr>
          <w:rFonts w:ascii="AAA GoldenLotus" w:hAnsi="AAA GoldenLotus"/>
          <w:spacing w:val="-4"/>
          <w:sz w:val="27"/>
          <w:vertAlign w:val="superscript"/>
          <w:rtl/>
        </w:rPr>
        <w:t>(</w:t>
      </w:r>
      <w:r w:rsidRPr="00282AC9">
        <w:rPr>
          <w:rFonts w:ascii="AAA GoldenLotus" w:hAnsi="AAA GoldenLotus"/>
          <w:spacing w:val="-4"/>
          <w:sz w:val="27"/>
          <w:vertAlign w:val="superscript"/>
          <w:rtl/>
        </w:rPr>
        <w:endnoteReference w:id="400"/>
      </w:r>
      <w:r w:rsidRPr="00282AC9">
        <w:rPr>
          <w:rFonts w:ascii="AAA GoldenLotus" w:hAnsi="AAA GoldenLotus"/>
          <w:spacing w:val="-4"/>
          <w:sz w:val="27"/>
          <w:vertAlign w:val="superscript"/>
          <w:rtl/>
        </w:rPr>
        <w:t>)</w:t>
      </w:r>
      <w:r w:rsidR="00B2104C" w:rsidRPr="00282AC9">
        <w:rPr>
          <w:rFonts w:ascii="AAA GoldenLotus" w:hAnsi="AAA GoldenLotus" w:hint="cs"/>
          <w:spacing w:val="-4"/>
          <w:sz w:val="27"/>
          <w:rtl/>
        </w:rPr>
        <w:t>.</w:t>
      </w:r>
    </w:p>
    <w:p w:rsidR="00E355F2" w:rsidRPr="00282AC9" w:rsidRDefault="00E355F2" w:rsidP="00046546">
      <w:pPr>
        <w:rPr>
          <w:rFonts w:ascii="AAA GoldenLotus" w:hAnsi="AAA GoldenLotus"/>
          <w:spacing w:val="-4"/>
          <w:sz w:val="27"/>
          <w:rtl/>
        </w:rPr>
      </w:pPr>
      <w:r w:rsidRPr="00282AC9">
        <w:rPr>
          <w:rFonts w:ascii="AAA GoldenLotus" w:hAnsi="AAA GoldenLotus"/>
          <w:spacing w:val="-4"/>
          <w:sz w:val="27"/>
          <w:rtl/>
        </w:rPr>
        <w:t>واستدل</w:t>
      </w:r>
      <w:r w:rsidR="00B2104C" w:rsidRPr="00282AC9">
        <w:rPr>
          <w:rFonts w:ascii="AAA GoldenLotus" w:hAnsi="AAA GoldenLotus" w:hint="cs"/>
          <w:spacing w:val="-4"/>
          <w:sz w:val="27"/>
          <w:rtl/>
        </w:rPr>
        <w:t>ّ</w:t>
      </w:r>
      <w:r w:rsidRPr="00282AC9">
        <w:rPr>
          <w:rFonts w:ascii="AAA GoldenLotus" w:hAnsi="AAA GoldenLotus"/>
          <w:spacing w:val="-4"/>
          <w:sz w:val="27"/>
          <w:rtl/>
        </w:rPr>
        <w:t>وا على حرمته بما ر</w:t>
      </w:r>
      <w:r w:rsidR="00B2104C" w:rsidRPr="00282AC9">
        <w:rPr>
          <w:rFonts w:ascii="AAA GoldenLotus" w:hAnsi="AAA GoldenLotus" w:hint="cs"/>
          <w:spacing w:val="-4"/>
          <w:sz w:val="27"/>
          <w:rtl/>
        </w:rPr>
        <w:t>ُ</w:t>
      </w:r>
      <w:r w:rsidRPr="00282AC9">
        <w:rPr>
          <w:rFonts w:ascii="AAA GoldenLotus" w:hAnsi="AAA GoldenLotus"/>
          <w:spacing w:val="-4"/>
          <w:sz w:val="27"/>
          <w:rtl/>
        </w:rPr>
        <w:t>وي عن أحد بني عدي</w:t>
      </w:r>
      <w:r w:rsidR="00B2104C" w:rsidRPr="00282AC9">
        <w:rPr>
          <w:rFonts w:ascii="AAA GoldenLotus" w:hAnsi="AAA GoldenLotus" w:hint="cs"/>
          <w:spacing w:val="-4"/>
          <w:sz w:val="27"/>
          <w:rtl/>
        </w:rPr>
        <w:t>ّ</w:t>
      </w:r>
      <w:r w:rsidRPr="00282AC9">
        <w:rPr>
          <w:rFonts w:ascii="AAA GoldenLotus" w:hAnsi="AAA GoldenLotus"/>
          <w:spacing w:val="-4"/>
          <w:sz w:val="27"/>
          <w:rtl/>
        </w:rPr>
        <w:t xml:space="preserve"> بن كعب قال:</w:t>
      </w:r>
      <w:r w:rsidR="00B2104C" w:rsidRPr="00282AC9">
        <w:rPr>
          <w:rFonts w:ascii="AAA GoldenLotus" w:hAnsi="AAA GoldenLotus"/>
          <w:spacing w:val="-4"/>
          <w:sz w:val="27"/>
          <w:rtl/>
        </w:rPr>
        <w:t xml:space="preserve"> قال رسول الله</w:t>
      </w:r>
      <w:r w:rsidRPr="00282AC9">
        <w:rPr>
          <w:rFonts w:ascii="AAA GoldenLotus" w:hAnsi="AAA GoldenLotus"/>
          <w:spacing w:val="-4"/>
          <w:sz w:val="27"/>
          <w:rtl/>
        </w:rPr>
        <w:t>[</w:t>
      </w:r>
      <w:r w:rsidR="009A2A04" w:rsidRPr="00282AC9">
        <w:rPr>
          <w:rFonts w:ascii="AAA GoldenLotus" w:hAnsi="AAA GoldenLotus" w:cs="Mosawi"/>
          <w:spacing w:val="-4"/>
          <w:sz w:val="22"/>
          <w:szCs w:val="22"/>
          <w:rtl/>
        </w:rPr>
        <w:t>|</w:t>
      </w:r>
      <w:r w:rsidRPr="00282AC9">
        <w:rPr>
          <w:rFonts w:ascii="AAA GoldenLotus" w:hAnsi="AAA GoldenLotus"/>
          <w:spacing w:val="-4"/>
          <w:sz w:val="27"/>
          <w:rtl/>
        </w:rPr>
        <w:t xml:space="preserve">]: </w:t>
      </w:r>
      <w:r w:rsidR="00B2104C" w:rsidRPr="00282AC9">
        <w:rPr>
          <w:rFonts w:hint="eastAsia"/>
          <w:sz w:val="24"/>
          <w:szCs w:val="24"/>
          <w:rtl/>
        </w:rPr>
        <w:t>«</w:t>
      </w:r>
      <w:r w:rsidRPr="00282AC9">
        <w:rPr>
          <w:rFonts w:ascii="AAA GoldenLotus" w:hAnsi="AAA GoldenLotus"/>
          <w:spacing w:val="-4"/>
          <w:sz w:val="27"/>
          <w:rtl/>
        </w:rPr>
        <w:t>لا يحتكر إلا</w:t>
      </w:r>
      <w:r w:rsidR="00B2104C" w:rsidRPr="00282AC9">
        <w:rPr>
          <w:rFonts w:ascii="AAA GoldenLotus" w:hAnsi="AAA GoldenLotus" w:hint="cs"/>
          <w:spacing w:val="-4"/>
          <w:sz w:val="27"/>
          <w:rtl/>
        </w:rPr>
        <w:t>ّ</w:t>
      </w:r>
      <w:r w:rsidRPr="00282AC9">
        <w:rPr>
          <w:rFonts w:ascii="AAA GoldenLotus" w:hAnsi="AAA GoldenLotus"/>
          <w:spacing w:val="-4"/>
          <w:sz w:val="27"/>
          <w:rtl/>
        </w:rPr>
        <w:t xml:space="preserve"> خاطئ</w:t>
      </w:r>
      <w:r w:rsidR="00B2104C" w:rsidRPr="00282AC9">
        <w:rPr>
          <w:rFonts w:ascii="AAA GoldenLotus" w:hAnsi="AAA GoldenLotus" w:hint="cs"/>
          <w:spacing w:val="-4"/>
          <w:sz w:val="27"/>
          <w:rtl/>
        </w:rPr>
        <w:t>ٌ</w:t>
      </w:r>
      <w:r w:rsidR="00B2104C" w:rsidRPr="00282AC9">
        <w:rPr>
          <w:rFonts w:hint="eastAsia"/>
          <w:sz w:val="24"/>
          <w:szCs w:val="24"/>
          <w:rtl/>
        </w:rPr>
        <w:t>»</w:t>
      </w:r>
      <w:r w:rsidR="00B2104C" w:rsidRPr="00282AC9">
        <w:rPr>
          <w:rFonts w:ascii="AAA GoldenLotus" w:hAnsi="AAA GoldenLotus" w:hint="cs"/>
          <w:spacing w:val="-4"/>
          <w:sz w:val="27"/>
          <w:rtl/>
        </w:rPr>
        <w:t>،</w:t>
      </w:r>
      <w:r w:rsidRPr="00282AC9">
        <w:rPr>
          <w:rFonts w:ascii="AAA GoldenLotus" w:hAnsi="AAA GoldenLotus"/>
          <w:spacing w:val="-4"/>
          <w:sz w:val="27"/>
          <w:rtl/>
        </w:rPr>
        <w:t xml:space="preserve"> فقلت</w:t>
      </w:r>
      <w:r w:rsidR="00B2104C" w:rsidRPr="00282AC9">
        <w:rPr>
          <w:rFonts w:ascii="AAA GoldenLotus" w:hAnsi="AAA GoldenLotus" w:hint="cs"/>
          <w:spacing w:val="-4"/>
          <w:sz w:val="27"/>
          <w:rtl/>
        </w:rPr>
        <w:t>ُ</w:t>
      </w:r>
      <w:r w:rsidRPr="00282AC9">
        <w:rPr>
          <w:rFonts w:ascii="AAA GoldenLotus" w:hAnsi="AAA GoldenLotus"/>
          <w:spacing w:val="-4"/>
          <w:sz w:val="27"/>
          <w:rtl/>
        </w:rPr>
        <w:t xml:space="preserve"> لسعيد: فإنك تحتكر، قال</w:t>
      </w:r>
      <w:r w:rsidR="00424F8B" w:rsidRPr="00282AC9">
        <w:rPr>
          <w:rFonts w:ascii="AAA GoldenLotus" w:hAnsi="AAA GoldenLotus" w:hint="cs"/>
          <w:spacing w:val="-4"/>
          <w:sz w:val="27"/>
          <w:rtl/>
        </w:rPr>
        <w:t>:</w:t>
      </w:r>
      <w:r w:rsidRPr="00282AC9">
        <w:rPr>
          <w:rFonts w:ascii="AAA GoldenLotus" w:hAnsi="AAA GoldenLotus"/>
          <w:spacing w:val="-4"/>
          <w:sz w:val="27"/>
          <w:rtl/>
        </w:rPr>
        <w:t xml:space="preserve"> ومعمر كان يحتكر</w:t>
      </w:r>
      <w:r w:rsidRPr="00282AC9">
        <w:rPr>
          <w:rFonts w:ascii="AAA GoldenLotus" w:hAnsi="AAA GoldenLotus"/>
          <w:spacing w:val="-4"/>
          <w:sz w:val="27"/>
          <w:vertAlign w:val="superscript"/>
          <w:rtl/>
        </w:rPr>
        <w:t>(</w:t>
      </w:r>
      <w:r w:rsidRPr="00282AC9">
        <w:rPr>
          <w:rFonts w:ascii="AAA GoldenLotus" w:hAnsi="AAA GoldenLotus"/>
          <w:spacing w:val="-4"/>
          <w:sz w:val="27"/>
          <w:vertAlign w:val="superscript"/>
          <w:rtl/>
        </w:rPr>
        <w:endnoteReference w:id="401"/>
      </w:r>
      <w:r w:rsidRPr="00282AC9">
        <w:rPr>
          <w:rFonts w:ascii="AAA GoldenLotus" w:hAnsi="AAA GoldenLotus"/>
          <w:spacing w:val="-4"/>
          <w:sz w:val="27"/>
          <w:vertAlign w:val="superscript"/>
          <w:rtl/>
        </w:rPr>
        <w:t>)</w:t>
      </w:r>
      <w:r w:rsidRPr="00282AC9">
        <w:rPr>
          <w:rFonts w:ascii="AAA GoldenLotus" w:hAnsi="AAA GoldenLotus"/>
          <w:spacing w:val="-4"/>
          <w:sz w:val="27"/>
          <w:rtl/>
        </w:rPr>
        <w:t xml:space="preserve">. </w:t>
      </w:r>
    </w:p>
    <w:p w:rsidR="00E355F2" w:rsidRPr="00282AC9" w:rsidRDefault="00424F8B" w:rsidP="00046546">
      <w:pPr>
        <w:rPr>
          <w:rFonts w:ascii="AAA GoldenLotus" w:hAnsi="AAA GoldenLotus"/>
          <w:sz w:val="27"/>
          <w:rtl/>
        </w:rPr>
      </w:pPr>
      <w:r w:rsidRPr="00282AC9">
        <w:rPr>
          <w:rFonts w:ascii="AAA GoldenLotus" w:hAnsi="AAA GoldenLotus" w:hint="cs"/>
          <w:sz w:val="27"/>
          <w:rtl/>
        </w:rPr>
        <w:t>و</w:t>
      </w:r>
      <w:r w:rsidR="00E355F2" w:rsidRPr="00282AC9">
        <w:rPr>
          <w:rFonts w:ascii="AAA GoldenLotus" w:hAnsi="AAA GoldenLotus"/>
          <w:sz w:val="27"/>
          <w:rtl/>
        </w:rPr>
        <w:t>من الملاح</w:t>
      </w:r>
      <w:r w:rsidRPr="00282AC9">
        <w:rPr>
          <w:rFonts w:ascii="AAA GoldenLotus" w:hAnsi="AAA GoldenLotus" w:hint="cs"/>
          <w:sz w:val="27"/>
          <w:rtl/>
        </w:rPr>
        <w:t>َ</w:t>
      </w:r>
      <w:r w:rsidR="00E355F2" w:rsidRPr="00282AC9">
        <w:rPr>
          <w:rFonts w:ascii="AAA GoldenLotus" w:hAnsi="AAA GoldenLotus"/>
          <w:sz w:val="27"/>
          <w:rtl/>
        </w:rPr>
        <w:t>ظ أن الظاهر من روايات الاحتكار عند المذاهب الأخرى أنها ورد</w:t>
      </w:r>
      <w:r w:rsidRPr="00282AC9">
        <w:rPr>
          <w:rFonts w:ascii="AAA GoldenLotus" w:hAnsi="AAA GoldenLotus" w:hint="cs"/>
          <w:sz w:val="27"/>
          <w:rtl/>
        </w:rPr>
        <w:t>َ</w:t>
      </w:r>
      <w:r w:rsidR="00E355F2" w:rsidRPr="00282AC9">
        <w:rPr>
          <w:rFonts w:ascii="AAA GoldenLotus" w:hAnsi="AAA GoldenLotus"/>
          <w:sz w:val="27"/>
          <w:rtl/>
        </w:rPr>
        <w:t>ت</w:t>
      </w:r>
      <w:r w:rsidRPr="00282AC9">
        <w:rPr>
          <w:rFonts w:ascii="AAA GoldenLotus" w:hAnsi="AAA GoldenLotus" w:hint="cs"/>
          <w:sz w:val="27"/>
          <w:rtl/>
        </w:rPr>
        <w:t>ْ</w:t>
      </w:r>
      <w:r w:rsidR="00E355F2" w:rsidRPr="00282AC9">
        <w:rPr>
          <w:rFonts w:ascii="AAA GoldenLotus" w:hAnsi="AAA GoldenLotus"/>
          <w:sz w:val="27"/>
          <w:rtl/>
        </w:rPr>
        <w:t xml:space="preserve"> متوج</w:t>
      </w:r>
      <w:r w:rsidRPr="00282AC9">
        <w:rPr>
          <w:rFonts w:ascii="AAA GoldenLotus" w:hAnsi="AAA GoldenLotus" w:hint="cs"/>
          <w:sz w:val="27"/>
          <w:rtl/>
        </w:rPr>
        <w:t>ِّ</w:t>
      </w:r>
      <w:r w:rsidR="00E355F2" w:rsidRPr="00282AC9">
        <w:rPr>
          <w:rFonts w:ascii="AAA GoldenLotus" w:hAnsi="AAA GoldenLotus"/>
          <w:sz w:val="27"/>
          <w:rtl/>
        </w:rPr>
        <w:t>هة</w:t>
      </w:r>
      <w:r w:rsidRPr="00282AC9">
        <w:rPr>
          <w:rFonts w:ascii="AAA GoldenLotus" w:hAnsi="AAA GoldenLotus" w:hint="cs"/>
          <w:sz w:val="27"/>
          <w:rtl/>
        </w:rPr>
        <w:t>ً</w:t>
      </w:r>
      <w:r w:rsidR="00E355F2" w:rsidRPr="00282AC9">
        <w:rPr>
          <w:rFonts w:ascii="AAA GoldenLotus" w:hAnsi="AAA GoldenLotus"/>
          <w:sz w:val="27"/>
          <w:rtl/>
        </w:rPr>
        <w:t xml:space="preserve"> في الخطاب إلى الرجل</w:t>
      </w:r>
      <w:r w:rsidRPr="00282AC9">
        <w:rPr>
          <w:rFonts w:ascii="AAA GoldenLotus" w:hAnsi="AAA GoldenLotus" w:hint="cs"/>
          <w:sz w:val="27"/>
          <w:rtl/>
        </w:rPr>
        <w:t>،</w:t>
      </w:r>
      <w:r w:rsidR="00E355F2" w:rsidRPr="00282AC9">
        <w:rPr>
          <w:rFonts w:ascii="AAA GoldenLotus" w:hAnsi="AAA GoldenLotus"/>
          <w:sz w:val="27"/>
          <w:rtl/>
        </w:rPr>
        <w:t xml:space="preserve"> كما عند الإمامي</w:t>
      </w:r>
      <w:r w:rsidRPr="00282AC9">
        <w:rPr>
          <w:rFonts w:ascii="AAA GoldenLotus" w:hAnsi="AAA GoldenLotus" w:hint="cs"/>
          <w:sz w:val="27"/>
          <w:rtl/>
        </w:rPr>
        <w:t>ّ</w:t>
      </w:r>
      <w:r w:rsidR="00E355F2" w:rsidRPr="00282AC9">
        <w:rPr>
          <w:rFonts w:ascii="AAA GoldenLotus" w:hAnsi="AAA GoldenLotus"/>
          <w:sz w:val="27"/>
          <w:rtl/>
        </w:rPr>
        <w:t>ة</w:t>
      </w:r>
      <w:r w:rsidRPr="00282AC9">
        <w:rPr>
          <w:rFonts w:ascii="AAA GoldenLotus" w:hAnsi="AAA GoldenLotus" w:hint="cs"/>
          <w:sz w:val="27"/>
          <w:rtl/>
        </w:rPr>
        <w:t>؛</w:t>
      </w:r>
      <w:r w:rsidR="00E355F2" w:rsidRPr="00282AC9">
        <w:rPr>
          <w:rFonts w:ascii="AAA GoldenLotus" w:hAnsi="AAA GoldenLotus"/>
          <w:sz w:val="27"/>
          <w:rtl/>
        </w:rPr>
        <w:t xml:space="preserve"> ولعل</w:t>
      </w:r>
      <w:r w:rsidRPr="00282AC9">
        <w:rPr>
          <w:rFonts w:ascii="AAA GoldenLotus" w:hAnsi="AAA GoldenLotus" w:hint="cs"/>
          <w:sz w:val="27"/>
          <w:rtl/>
        </w:rPr>
        <w:t>ّ</w:t>
      </w:r>
      <w:r w:rsidR="00E355F2" w:rsidRPr="00282AC9">
        <w:rPr>
          <w:rFonts w:ascii="AAA GoldenLotus" w:hAnsi="AAA GoldenLotus"/>
          <w:sz w:val="27"/>
          <w:rtl/>
        </w:rPr>
        <w:t xml:space="preserve"> ذلك من باب أن السائد فيما سبق من الأزمنة أنّ الرجل م</w:t>
      </w:r>
      <w:r w:rsidRPr="00282AC9">
        <w:rPr>
          <w:rFonts w:ascii="AAA GoldenLotus" w:hAnsi="AAA GoldenLotus" w:hint="cs"/>
          <w:sz w:val="27"/>
          <w:rtl/>
        </w:rPr>
        <w:t>َ</w:t>
      </w:r>
      <w:r w:rsidR="00E355F2" w:rsidRPr="00282AC9">
        <w:rPr>
          <w:rFonts w:ascii="AAA GoldenLotus" w:hAnsi="AAA GoldenLotus"/>
          <w:sz w:val="27"/>
          <w:rtl/>
        </w:rPr>
        <w:t>ن</w:t>
      </w:r>
      <w:r w:rsidRPr="00282AC9">
        <w:rPr>
          <w:rFonts w:ascii="AAA GoldenLotus" w:hAnsi="AAA GoldenLotus" w:hint="cs"/>
          <w:sz w:val="27"/>
          <w:rtl/>
        </w:rPr>
        <w:t>ْ</w:t>
      </w:r>
      <w:r w:rsidR="00E355F2" w:rsidRPr="00282AC9">
        <w:rPr>
          <w:rFonts w:ascii="AAA GoldenLotus" w:hAnsi="AAA GoldenLotus"/>
          <w:sz w:val="27"/>
          <w:rtl/>
        </w:rPr>
        <w:t xml:space="preserve"> يقوم بفعل الاحتكار؛ نظراً لتصد</w:t>
      </w:r>
      <w:r w:rsidRPr="00282AC9">
        <w:rPr>
          <w:rFonts w:ascii="AAA GoldenLotus" w:hAnsi="AAA GoldenLotus" w:hint="cs"/>
          <w:sz w:val="27"/>
          <w:rtl/>
        </w:rPr>
        <w:t>ّ</w:t>
      </w:r>
      <w:r w:rsidR="00E355F2" w:rsidRPr="00282AC9">
        <w:rPr>
          <w:rFonts w:ascii="AAA GoldenLotus" w:hAnsi="AAA GoldenLotus"/>
          <w:sz w:val="27"/>
          <w:rtl/>
        </w:rPr>
        <w:t xml:space="preserve">يه </w:t>
      </w:r>
      <w:r w:rsidRPr="00282AC9">
        <w:rPr>
          <w:rFonts w:ascii="AAA GoldenLotus" w:hAnsi="AAA GoldenLotus" w:hint="cs"/>
          <w:sz w:val="27"/>
          <w:rtl/>
        </w:rPr>
        <w:t>ل</w:t>
      </w:r>
      <w:r w:rsidR="00E355F2" w:rsidRPr="00282AC9">
        <w:rPr>
          <w:rFonts w:ascii="AAA GoldenLotus" w:hAnsi="AAA GoldenLotus"/>
          <w:sz w:val="27"/>
          <w:rtl/>
        </w:rPr>
        <w:t>أمر التجارة وإجراء المعاملات</w:t>
      </w:r>
      <w:r w:rsidRPr="00282AC9">
        <w:rPr>
          <w:rFonts w:ascii="AAA GoldenLotus" w:hAnsi="AAA GoldenLotus" w:hint="cs"/>
          <w:sz w:val="27"/>
          <w:rtl/>
        </w:rPr>
        <w:t>.</w:t>
      </w:r>
      <w:r w:rsidR="00E355F2" w:rsidRPr="00282AC9">
        <w:rPr>
          <w:rFonts w:ascii="AAA GoldenLotus" w:hAnsi="AAA GoldenLotus"/>
          <w:sz w:val="27"/>
          <w:rtl/>
        </w:rPr>
        <w:t xml:space="preserve"> إ</w:t>
      </w:r>
      <w:r w:rsidR="00EE6DBA" w:rsidRPr="00282AC9">
        <w:rPr>
          <w:rFonts w:ascii="AAA GoldenLotus" w:hAnsi="AAA GoldenLotus"/>
          <w:sz w:val="27"/>
          <w:rtl/>
        </w:rPr>
        <w:t>لاّ</w:t>
      </w:r>
      <w:r w:rsidR="00E355F2" w:rsidRPr="00282AC9">
        <w:rPr>
          <w:rFonts w:ascii="AAA GoldenLotus" w:hAnsi="AAA GoldenLotus"/>
          <w:sz w:val="27"/>
          <w:rtl/>
        </w:rPr>
        <w:t xml:space="preserve"> أنّ حكم الحرمة الذي ورد في الروايات لا يختص</w:t>
      </w:r>
      <w:r w:rsidRPr="00282AC9">
        <w:rPr>
          <w:rFonts w:ascii="AAA GoldenLotus" w:hAnsi="AAA GoldenLotus" w:hint="cs"/>
          <w:sz w:val="27"/>
          <w:rtl/>
        </w:rPr>
        <w:t>ّ</w:t>
      </w:r>
      <w:r w:rsidR="00E355F2" w:rsidRPr="00282AC9">
        <w:rPr>
          <w:rFonts w:ascii="AAA GoldenLotus" w:hAnsi="AAA GoldenLotus"/>
          <w:sz w:val="27"/>
          <w:rtl/>
        </w:rPr>
        <w:t xml:space="preserve"> بالرجال</w:t>
      </w:r>
      <w:r w:rsidRPr="00282AC9">
        <w:rPr>
          <w:rFonts w:ascii="AAA GoldenLotus" w:hAnsi="AAA GoldenLotus" w:hint="cs"/>
          <w:sz w:val="27"/>
          <w:rtl/>
        </w:rPr>
        <w:t>،</w:t>
      </w:r>
      <w:r w:rsidR="00E355F2" w:rsidRPr="00282AC9">
        <w:rPr>
          <w:rFonts w:ascii="AAA GoldenLotus" w:hAnsi="AAA GoldenLotus"/>
          <w:sz w:val="27"/>
          <w:rtl/>
        </w:rPr>
        <w:t xml:space="preserve"> بل ي</w:t>
      </w:r>
      <w:r w:rsidRPr="00282AC9">
        <w:rPr>
          <w:rFonts w:ascii="AAA GoldenLotus" w:hAnsi="AAA GoldenLotus" w:hint="cs"/>
          <w:sz w:val="27"/>
          <w:rtl/>
        </w:rPr>
        <w:t>سري</w:t>
      </w:r>
      <w:r w:rsidR="00E355F2" w:rsidRPr="00282AC9">
        <w:rPr>
          <w:rFonts w:ascii="AAA GoldenLotus" w:hAnsi="AAA GoldenLotus"/>
          <w:sz w:val="27"/>
          <w:rtl/>
        </w:rPr>
        <w:t xml:space="preserve"> إلى النساء؛ لأنّ العموم والمساواة يكون في الحالات والمناطات المتساوية والمتماثلة</w:t>
      </w:r>
      <w:r w:rsidRPr="00282AC9">
        <w:rPr>
          <w:rFonts w:ascii="AAA GoldenLotus" w:hAnsi="AAA GoldenLotus" w:hint="cs"/>
          <w:sz w:val="27"/>
          <w:rtl/>
        </w:rPr>
        <w:t>،</w:t>
      </w:r>
      <w:r w:rsidR="00E355F2" w:rsidRPr="00282AC9">
        <w:rPr>
          <w:rFonts w:ascii="AAA GoldenLotus" w:hAnsi="AAA GoldenLotus"/>
          <w:sz w:val="27"/>
          <w:rtl/>
        </w:rPr>
        <w:t xml:space="preserve"> التي ي</w:t>
      </w:r>
      <w:r w:rsidRPr="00282AC9">
        <w:rPr>
          <w:rFonts w:ascii="AAA GoldenLotus" w:hAnsi="AAA GoldenLotus" w:hint="cs"/>
          <w:sz w:val="27"/>
          <w:rtl/>
        </w:rPr>
        <w:t>ُ</w:t>
      </w:r>
      <w:r w:rsidR="00E355F2" w:rsidRPr="00282AC9">
        <w:rPr>
          <w:rFonts w:ascii="AAA GoldenLotus" w:hAnsi="AAA GoldenLotus"/>
          <w:sz w:val="27"/>
          <w:rtl/>
        </w:rPr>
        <w:t>عب</w:t>
      </w:r>
      <w:r w:rsidRPr="00282AC9">
        <w:rPr>
          <w:rFonts w:ascii="AAA GoldenLotus" w:hAnsi="AAA GoldenLotus" w:hint="cs"/>
          <w:sz w:val="27"/>
          <w:rtl/>
        </w:rPr>
        <w:t>َّ</w:t>
      </w:r>
      <w:r w:rsidR="00E355F2" w:rsidRPr="00282AC9">
        <w:rPr>
          <w:rFonts w:ascii="AAA GoldenLotus" w:hAnsi="AAA GoldenLotus"/>
          <w:sz w:val="27"/>
          <w:rtl/>
        </w:rPr>
        <w:t>ر عنها باتحاد الصنف، ومع عدم وجود قرينة</w:t>
      </w:r>
      <w:r w:rsidRPr="00282AC9">
        <w:rPr>
          <w:rFonts w:ascii="AAA GoldenLotus" w:hAnsi="AAA GoldenLotus" w:hint="cs"/>
          <w:sz w:val="27"/>
          <w:rtl/>
        </w:rPr>
        <w:t>ٍ</w:t>
      </w:r>
      <w:r w:rsidR="00E355F2" w:rsidRPr="00282AC9">
        <w:rPr>
          <w:rFonts w:ascii="AAA GoldenLotus" w:hAnsi="AAA GoldenLotus"/>
          <w:sz w:val="27"/>
          <w:rtl/>
        </w:rPr>
        <w:t xml:space="preserve"> على اختصاص الحكم بالرجال فتشترك النساء فيه؛ لأنه</w:t>
      </w:r>
      <w:r w:rsidRPr="00282AC9">
        <w:rPr>
          <w:rFonts w:ascii="AAA GoldenLotus" w:hAnsi="AAA GoldenLotus" w:hint="cs"/>
          <w:sz w:val="27"/>
          <w:rtl/>
        </w:rPr>
        <w:t>ُ</w:t>
      </w:r>
      <w:r w:rsidR="00E355F2" w:rsidRPr="00282AC9">
        <w:rPr>
          <w:rFonts w:ascii="AAA GoldenLotus" w:hAnsi="AAA GoldenLotus"/>
          <w:sz w:val="27"/>
          <w:rtl/>
        </w:rPr>
        <w:t>ن</w:t>
      </w:r>
      <w:r w:rsidRPr="00282AC9">
        <w:rPr>
          <w:rFonts w:ascii="AAA GoldenLotus" w:hAnsi="AAA GoldenLotus" w:hint="cs"/>
          <w:sz w:val="27"/>
          <w:rtl/>
        </w:rPr>
        <w:t>َّ</w:t>
      </w:r>
      <w:r w:rsidR="00E355F2" w:rsidRPr="00282AC9">
        <w:rPr>
          <w:rFonts w:ascii="AAA GoldenLotus" w:hAnsi="AAA GoldenLotus"/>
          <w:sz w:val="27"/>
          <w:rtl/>
        </w:rPr>
        <w:t xml:space="preserve"> شقائق الرجال. </w:t>
      </w:r>
    </w:p>
    <w:p w:rsidR="009C287D" w:rsidRPr="00282AC9" w:rsidRDefault="009C287D" w:rsidP="009C287D">
      <w:pPr>
        <w:spacing w:line="420" w:lineRule="exact"/>
        <w:rPr>
          <w:rtl/>
        </w:rPr>
      </w:pPr>
    </w:p>
    <w:p w:rsidR="00E355F2" w:rsidRPr="00282AC9" w:rsidRDefault="00146D9A" w:rsidP="007D08F4">
      <w:pPr>
        <w:pStyle w:val="31"/>
        <w:rPr>
          <w:color w:val="auto"/>
          <w:rtl/>
        </w:rPr>
      </w:pPr>
      <w:r w:rsidRPr="00282AC9">
        <w:rPr>
          <w:rFonts w:hint="cs"/>
          <w:color w:val="auto"/>
          <w:rtl/>
        </w:rPr>
        <w:t xml:space="preserve">ج </w:t>
      </w:r>
      <w:r w:rsidR="00913C71" w:rsidRPr="00282AC9">
        <w:rPr>
          <w:rFonts w:hint="cs"/>
          <w:color w:val="auto"/>
          <w:rtl/>
        </w:rPr>
        <w:t>ـ</w:t>
      </w:r>
      <w:r w:rsidR="00E355F2" w:rsidRPr="00282AC9">
        <w:rPr>
          <w:rFonts w:hint="cs"/>
          <w:color w:val="auto"/>
          <w:rtl/>
        </w:rPr>
        <w:t xml:space="preserve"> حكم</w:t>
      </w:r>
      <w:r w:rsidR="00E355F2" w:rsidRPr="00282AC9">
        <w:rPr>
          <w:color w:val="auto"/>
          <w:rtl/>
        </w:rPr>
        <w:t xml:space="preserve"> الم</w:t>
      </w:r>
      <w:r w:rsidR="00424F8B" w:rsidRPr="00282AC9">
        <w:rPr>
          <w:rFonts w:hint="cs"/>
          <w:color w:val="auto"/>
          <w:rtl/>
        </w:rPr>
        <w:t>ُ</w:t>
      </w:r>
      <w:r w:rsidR="00E355F2" w:rsidRPr="00282AC9">
        <w:rPr>
          <w:color w:val="auto"/>
          <w:rtl/>
        </w:rPr>
        <w:t>حار</w:t>
      </w:r>
      <w:r w:rsidR="00424F8B" w:rsidRPr="00282AC9">
        <w:rPr>
          <w:rFonts w:hint="cs"/>
          <w:color w:val="auto"/>
          <w:rtl/>
        </w:rPr>
        <w:t>َ</w:t>
      </w:r>
      <w:r w:rsidR="00E355F2" w:rsidRPr="00282AC9">
        <w:rPr>
          <w:color w:val="auto"/>
          <w:rtl/>
        </w:rPr>
        <w:t xml:space="preserve">بة </w:t>
      </w:r>
    </w:p>
    <w:p w:rsidR="00E355F2" w:rsidRPr="00282AC9" w:rsidRDefault="00E355F2" w:rsidP="00046546">
      <w:pPr>
        <w:rPr>
          <w:rtl/>
        </w:rPr>
      </w:pPr>
      <w:bookmarkStart w:id="50" w:name="_Toc33819823"/>
      <w:r w:rsidRPr="00282AC9">
        <w:rPr>
          <w:rFonts w:hint="cs"/>
          <w:b/>
          <w:bCs/>
          <w:rtl/>
        </w:rPr>
        <w:t>1ـ</w:t>
      </w:r>
      <w:r w:rsidRPr="00282AC9">
        <w:rPr>
          <w:b/>
          <w:bCs/>
          <w:rtl/>
        </w:rPr>
        <w:t xml:space="preserve"> عند الإمامي</w:t>
      </w:r>
      <w:r w:rsidR="00424F8B" w:rsidRPr="00282AC9">
        <w:rPr>
          <w:rFonts w:hint="cs"/>
          <w:b/>
          <w:bCs/>
          <w:rtl/>
        </w:rPr>
        <w:t>ّ</w:t>
      </w:r>
      <w:r w:rsidRPr="00282AC9">
        <w:rPr>
          <w:b/>
          <w:bCs/>
          <w:rtl/>
        </w:rPr>
        <w:t>ة</w:t>
      </w:r>
      <w:bookmarkStart w:id="51" w:name="_Toc33434666"/>
      <w:bookmarkEnd w:id="50"/>
      <w:r w:rsidR="00146D9A" w:rsidRPr="00282AC9">
        <w:rPr>
          <w:rFonts w:hint="cs"/>
          <w:rtl/>
        </w:rPr>
        <w:t xml:space="preserve">: </w:t>
      </w:r>
      <w:r w:rsidRPr="00282AC9">
        <w:rPr>
          <w:rFonts w:ascii="AAA GoldenLotus" w:hAnsi="AAA GoldenLotus"/>
          <w:i/>
          <w:sz w:val="27"/>
          <w:rtl/>
        </w:rPr>
        <w:t>المقصود من المحارب هو كل</w:t>
      </w:r>
      <w:r w:rsidR="00424F8B" w:rsidRPr="00282AC9">
        <w:rPr>
          <w:rFonts w:ascii="AAA GoldenLotus" w:hAnsi="AAA GoldenLotus" w:hint="cs"/>
          <w:i/>
          <w:sz w:val="27"/>
          <w:rtl/>
        </w:rPr>
        <w:t>ّ</w:t>
      </w:r>
      <w:r w:rsidRPr="00282AC9">
        <w:rPr>
          <w:rFonts w:ascii="AAA GoldenLotus" w:hAnsi="AAA GoldenLotus"/>
          <w:i/>
          <w:sz w:val="27"/>
          <w:rtl/>
        </w:rPr>
        <w:t xml:space="preserve"> م</w:t>
      </w:r>
      <w:r w:rsidR="00424F8B" w:rsidRPr="00282AC9">
        <w:rPr>
          <w:rFonts w:ascii="AAA GoldenLotus" w:hAnsi="AAA GoldenLotus" w:hint="cs"/>
          <w:i/>
          <w:sz w:val="27"/>
          <w:rtl/>
        </w:rPr>
        <w:t>َ</w:t>
      </w:r>
      <w:r w:rsidRPr="00282AC9">
        <w:rPr>
          <w:rFonts w:ascii="AAA GoldenLotus" w:hAnsi="AAA GoldenLotus"/>
          <w:i/>
          <w:sz w:val="27"/>
          <w:rtl/>
        </w:rPr>
        <w:t>ن</w:t>
      </w:r>
      <w:r w:rsidR="00424F8B" w:rsidRPr="00282AC9">
        <w:rPr>
          <w:rFonts w:ascii="AAA GoldenLotus" w:hAnsi="AAA GoldenLotus" w:hint="cs"/>
          <w:i/>
          <w:sz w:val="27"/>
          <w:rtl/>
        </w:rPr>
        <w:t>ْ</w:t>
      </w:r>
      <w:r w:rsidRPr="00282AC9">
        <w:rPr>
          <w:rFonts w:ascii="AAA GoldenLotus" w:hAnsi="AAA GoldenLotus"/>
          <w:i/>
          <w:sz w:val="27"/>
          <w:rtl/>
        </w:rPr>
        <w:t xml:space="preserve"> جر</w:t>
      </w:r>
      <w:r w:rsidR="00115185" w:rsidRPr="00282AC9">
        <w:rPr>
          <w:rFonts w:ascii="AAA GoldenLotus" w:hAnsi="AAA GoldenLotus" w:hint="cs"/>
          <w:i/>
          <w:sz w:val="27"/>
          <w:rtl/>
        </w:rPr>
        <w:t>ّ</w:t>
      </w:r>
      <w:r w:rsidRPr="00282AC9">
        <w:rPr>
          <w:rFonts w:ascii="AAA GoldenLotus" w:hAnsi="AAA GoldenLotus"/>
          <w:i/>
          <w:sz w:val="27"/>
          <w:rtl/>
        </w:rPr>
        <w:t>د السلاح</w:t>
      </w:r>
      <w:r w:rsidR="00115185" w:rsidRPr="00282AC9">
        <w:rPr>
          <w:rFonts w:ascii="AAA GoldenLotus" w:hAnsi="AAA GoldenLotus" w:hint="cs"/>
          <w:i/>
          <w:sz w:val="27"/>
          <w:rtl/>
        </w:rPr>
        <w:t>؛</w:t>
      </w:r>
      <w:r w:rsidRPr="00282AC9">
        <w:rPr>
          <w:rFonts w:ascii="AAA GoldenLotus" w:hAnsi="AAA GoldenLotus"/>
          <w:i/>
          <w:sz w:val="27"/>
          <w:rtl/>
        </w:rPr>
        <w:t xml:space="preserve"> للإخافة في برّ</w:t>
      </w:r>
      <w:r w:rsidR="00115185" w:rsidRPr="00282AC9">
        <w:rPr>
          <w:rFonts w:ascii="AAA GoldenLotus" w:hAnsi="AAA GoldenLotus" w:hint="cs"/>
          <w:i/>
          <w:sz w:val="27"/>
          <w:rtl/>
        </w:rPr>
        <w:t>ٍ</w:t>
      </w:r>
      <w:r w:rsidRPr="00282AC9">
        <w:rPr>
          <w:rFonts w:ascii="AAA GoldenLotus" w:hAnsi="AAA GoldenLotus"/>
          <w:i/>
          <w:sz w:val="27"/>
          <w:rtl/>
        </w:rPr>
        <w:t xml:space="preserve"> أو بحر</w:t>
      </w:r>
      <w:r w:rsidR="00115185" w:rsidRPr="00282AC9">
        <w:rPr>
          <w:rFonts w:ascii="AAA GoldenLotus" w:hAnsi="AAA GoldenLotus" w:hint="cs"/>
          <w:i/>
          <w:sz w:val="27"/>
          <w:rtl/>
        </w:rPr>
        <w:t>ٍ</w:t>
      </w:r>
      <w:r w:rsidRPr="00282AC9">
        <w:rPr>
          <w:rFonts w:ascii="AAA GoldenLotus" w:hAnsi="AAA GoldenLotus"/>
          <w:i/>
          <w:sz w:val="27"/>
          <w:rtl/>
        </w:rPr>
        <w:t>، ليلاً أو نهاراً</w:t>
      </w:r>
      <w:r w:rsidRPr="00282AC9">
        <w:rPr>
          <w:rFonts w:ascii="AAA GoldenLotus" w:hAnsi="AAA GoldenLotus"/>
          <w:i/>
          <w:sz w:val="27"/>
          <w:vertAlign w:val="superscript"/>
          <w:rtl/>
        </w:rPr>
        <w:t>(</w:t>
      </w:r>
      <w:r w:rsidRPr="00282AC9">
        <w:rPr>
          <w:rFonts w:ascii="AAA GoldenLotus" w:hAnsi="AAA GoldenLotus"/>
          <w:i/>
          <w:sz w:val="27"/>
          <w:vertAlign w:val="superscript"/>
          <w:rtl/>
        </w:rPr>
        <w:endnoteReference w:id="402"/>
      </w:r>
      <w:r w:rsidRPr="00282AC9">
        <w:rPr>
          <w:rFonts w:ascii="AAA GoldenLotus" w:hAnsi="AAA GoldenLotus"/>
          <w:i/>
          <w:sz w:val="27"/>
          <w:vertAlign w:val="superscript"/>
          <w:rtl/>
        </w:rPr>
        <w:t>)</w:t>
      </w:r>
      <w:r w:rsidRPr="00282AC9">
        <w:rPr>
          <w:rFonts w:ascii="AAA GoldenLotus" w:hAnsi="AAA GoldenLotus"/>
          <w:i/>
          <w:sz w:val="27"/>
          <w:rtl/>
        </w:rPr>
        <w:t>.</w:t>
      </w:r>
      <w:bookmarkEnd w:id="51"/>
    </w:p>
    <w:p w:rsidR="00E355F2" w:rsidRPr="00282AC9" w:rsidRDefault="00E355F2" w:rsidP="00046546">
      <w:pPr>
        <w:rPr>
          <w:rFonts w:ascii="AAA GoldenLotus" w:hAnsi="AAA GoldenLotus"/>
          <w:i/>
          <w:sz w:val="27"/>
          <w:rtl/>
        </w:rPr>
      </w:pPr>
      <w:bookmarkStart w:id="52" w:name="_Toc33434667"/>
      <w:r w:rsidRPr="00282AC9">
        <w:rPr>
          <w:rFonts w:ascii="AAA GoldenLotus" w:hAnsi="AAA GoldenLotus"/>
          <w:i/>
          <w:sz w:val="27"/>
          <w:rtl/>
        </w:rPr>
        <w:t>وقد أفتى علماء الإمامي</w:t>
      </w:r>
      <w:r w:rsidR="00115185" w:rsidRPr="00282AC9">
        <w:rPr>
          <w:rFonts w:ascii="AAA GoldenLotus" w:hAnsi="AAA GoldenLotus" w:hint="cs"/>
          <w:i/>
          <w:sz w:val="27"/>
          <w:rtl/>
        </w:rPr>
        <w:t>ّ</w:t>
      </w:r>
      <w:r w:rsidRPr="00282AC9">
        <w:rPr>
          <w:rFonts w:ascii="AAA GoldenLotus" w:hAnsi="AAA GoldenLotus"/>
          <w:i/>
          <w:sz w:val="27"/>
          <w:rtl/>
        </w:rPr>
        <w:t xml:space="preserve">ة </w:t>
      </w:r>
      <w:r w:rsidR="00115185" w:rsidRPr="00282AC9">
        <w:rPr>
          <w:rFonts w:ascii="AAA GoldenLotus" w:hAnsi="AAA GoldenLotus" w:hint="cs"/>
          <w:i/>
          <w:sz w:val="27"/>
          <w:rtl/>
        </w:rPr>
        <w:t>ب</w:t>
      </w:r>
      <w:r w:rsidRPr="00282AC9">
        <w:rPr>
          <w:rFonts w:ascii="AAA GoldenLotus" w:hAnsi="AAA GoldenLotus"/>
          <w:i/>
          <w:sz w:val="27"/>
          <w:rtl/>
        </w:rPr>
        <w:t>وجوب إقامة الحدّ على الم</w:t>
      </w:r>
      <w:r w:rsidR="00115185" w:rsidRPr="00282AC9">
        <w:rPr>
          <w:rFonts w:ascii="AAA GoldenLotus" w:hAnsi="AAA GoldenLotus" w:hint="cs"/>
          <w:i/>
          <w:sz w:val="27"/>
          <w:rtl/>
        </w:rPr>
        <w:t>ُ</w:t>
      </w:r>
      <w:r w:rsidRPr="00282AC9">
        <w:rPr>
          <w:rFonts w:ascii="AAA GoldenLotus" w:hAnsi="AAA GoldenLotus"/>
          <w:i/>
          <w:sz w:val="27"/>
          <w:rtl/>
        </w:rPr>
        <w:t>حار</w:t>
      </w:r>
      <w:r w:rsidR="00115185" w:rsidRPr="00282AC9">
        <w:rPr>
          <w:rFonts w:ascii="AAA GoldenLotus" w:hAnsi="AAA GoldenLotus" w:hint="cs"/>
          <w:i/>
          <w:sz w:val="27"/>
          <w:rtl/>
        </w:rPr>
        <w:t>ِ</w:t>
      </w:r>
      <w:r w:rsidRPr="00282AC9">
        <w:rPr>
          <w:rFonts w:ascii="AAA GoldenLotus" w:hAnsi="AAA GoldenLotus"/>
          <w:i/>
          <w:sz w:val="27"/>
          <w:rtl/>
        </w:rPr>
        <w:t>ب، من دون فرق</w:t>
      </w:r>
      <w:r w:rsidR="00115185" w:rsidRPr="00282AC9">
        <w:rPr>
          <w:rFonts w:ascii="AAA GoldenLotus" w:hAnsi="AAA GoldenLotus" w:hint="cs"/>
          <w:i/>
          <w:sz w:val="27"/>
          <w:rtl/>
        </w:rPr>
        <w:t>ٍ</w:t>
      </w:r>
      <w:r w:rsidRPr="00282AC9">
        <w:rPr>
          <w:rFonts w:ascii="AAA GoldenLotus" w:hAnsi="AAA GoldenLotus"/>
          <w:i/>
          <w:sz w:val="27"/>
          <w:rtl/>
        </w:rPr>
        <w:t xml:space="preserve"> بين </w:t>
      </w:r>
      <w:r w:rsidRPr="00282AC9">
        <w:rPr>
          <w:rFonts w:ascii="AAA GoldenLotus" w:hAnsi="AAA GoldenLotus"/>
          <w:i/>
          <w:sz w:val="27"/>
          <w:rtl/>
        </w:rPr>
        <w:lastRenderedPageBreak/>
        <w:t>الرجال والنساء</w:t>
      </w:r>
      <w:r w:rsidRPr="00282AC9">
        <w:rPr>
          <w:rFonts w:ascii="AAA GoldenLotus" w:hAnsi="AAA GoldenLotus"/>
          <w:i/>
          <w:sz w:val="27"/>
          <w:vertAlign w:val="superscript"/>
          <w:rtl/>
        </w:rPr>
        <w:t>(</w:t>
      </w:r>
      <w:r w:rsidRPr="00282AC9">
        <w:rPr>
          <w:rFonts w:ascii="AAA GoldenLotus" w:hAnsi="AAA GoldenLotus"/>
          <w:i/>
          <w:sz w:val="27"/>
          <w:vertAlign w:val="superscript"/>
          <w:rtl/>
        </w:rPr>
        <w:endnoteReference w:id="403"/>
      </w:r>
      <w:r w:rsidRPr="00282AC9">
        <w:rPr>
          <w:rFonts w:ascii="AAA GoldenLotus" w:hAnsi="AAA GoldenLotus"/>
          <w:i/>
          <w:sz w:val="27"/>
          <w:vertAlign w:val="superscript"/>
          <w:rtl/>
        </w:rPr>
        <w:t>)</w:t>
      </w:r>
      <w:r w:rsidRPr="00282AC9">
        <w:rPr>
          <w:rFonts w:ascii="AAA GoldenLotus" w:hAnsi="AAA GoldenLotus"/>
          <w:i/>
          <w:sz w:val="27"/>
          <w:rtl/>
        </w:rPr>
        <w:t>.</w:t>
      </w:r>
      <w:bookmarkEnd w:id="52"/>
      <w:r w:rsidRPr="00282AC9">
        <w:rPr>
          <w:rFonts w:ascii="AAA GoldenLotus" w:hAnsi="AAA GoldenLotus"/>
          <w:i/>
          <w:sz w:val="27"/>
          <w:rtl/>
        </w:rPr>
        <w:t xml:space="preserve"> </w:t>
      </w:r>
    </w:p>
    <w:p w:rsidR="00E355F2" w:rsidRPr="00282AC9" w:rsidRDefault="00E355F2" w:rsidP="00046546">
      <w:pPr>
        <w:rPr>
          <w:rFonts w:ascii="AAA GoldenLotus" w:hAnsi="AAA GoldenLotus"/>
          <w:i/>
          <w:spacing w:val="-2"/>
          <w:sz w:val="27"/>
          <w:rtl/>
        </w:rPr>
      </w:pPr>
      <w:bookmarkStart w:id="53" w:name="_Toc33434668"/>
      <w:r w:rsidRPr="00282AC9">
        <w:rPr>
          <w:rFonts w:ascii="AAA GoldenLotus" w:hAnsi="AAA GoldenLotus"/>
          <w:i/>
          <w:spacing w:val="-2"/>
          <w:sz w:val="27"/>
          <w:rtl/>
        </w:rPr>
        <w:t>واستدل</w:t>
      </w:r>
      <w:r w:rsidR="00115185" w:rsidRPr="00282AC9">
        <w:rPr>
          <w:rFonts w:ascii="AAA GoldenLotus" w:hAnsi="AAA GoldenLotus" w:hint="cs"/>
          <w:i/>
          <w:spacing w:val="-2"/>
          <w:sz w:val="27"/>
          <w:rtl/>
        </w:rPr>
        <w:t>ّ</w:t>
      </w:r>
      <w:r w:rsidRPr="00282AC9">
        <w:rPr>
          <w:rFonts w:ascii="AAA GoldenLotus" w:hAnsi="AAA GoldenLotus"/>
          <w:i/>
          <w:spacing w:val="-2"/>
          <w:sz w:val="27"/>
          <w:rtl/>
        </w:rPr>
        <w:t>وا على ذلك بصحيح محمد بن مسلم</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عن الإمام الباقر</w:t>
      </w:r>
      <w:r w:rsidR="009A2A04" w:rsidRPr="00282AC9">
        <w:rPr>
          <w:rFonts w:ascii="AAA GoldenLotus" w:hAnsi="AAA GoldenLotus" w:cs="Mosawi"/>
          <w:i/>
          <w:spacing w:val="-2"/>
          <w:sz w:val="22"/>
          <w:szCs w:val="22"/>
          <w:rtl/>
        </w:rPr>
        <w:t>×</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حيث قال: </w:t>
      </w:r>
      <w:r w:rsidR="00115185" w:rsidRPr="00282AC9">
        <w:rPr>
          <w:rFonts w:hint="eastAsia"/>
          <w:sz w:val="24"/>
          <w:szCs w:val="24"/>
          <w:rtl/>
        </w:rPr>
        <w:t>«</w:t>
      </w:r>
      <w:r w:rsidRPr="00282AC9">
        <w:rPr>
          <w:rFonts w:ascii="AAA GoldenLotus" w:hAnsi="AAA GoldenLotus"/>
          <w:i/>
          <w:spacing w:val="-2"/>
          <w:sz w:val="27"/>
          <w:rtl/>
        </w:rPr>
        <w:t>م</w:t>
      </w:r>
      <w:r w:rsidR="00115185" w:rsidRPr="00282AC9">
        <w:rPr>
          <w:rFonts w:ascii="AAA GoldenLotus" w:hAnsi="AAA GoldenLotus" w:hint="cs"/>
          <w:i/>
          <w:spacing w:val="-2"/>
          <w:sz w:val="27"/>
          <w:rtl/>
        </w:rPr>
        <w:t>َ</w:t>
      </w:r>
      <w:r w:rsidRPr="00282AC9">
        <w:rPr>
          <w:rFonts w:ascii="AAA GoldenLotus" w:hAnsi="AAA GoldenLotus"/>
          <w:i/>
          <w:spacing w:val="-2"/>
          <w:sz w:val="27"/>
          <w:rtl/>
        </w:rPr>
        <w:t>ن</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شهر السلاح في مصر</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من الأمصار</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فعقر</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اقتص</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منه، ون</w:t>
      </w:r>
      <w:r w:rsidR="00115185" w:rsidRPr="00282AC9">
        <w:rPr>
          <w:rFonts w:ascii="AAA GoldenLotus" w:hAnsi="AAA GoldenLotus" w:hint="cs"/>
          <w:i/>
          <w:spacing w:val="-2"/>
          <w:sz w:val="27"/>
          <w:rtl/>
        </w:rPr>
        <w:t>ُ</w:t>
      </w:r>
      <w:r w:rsidRPr="00282AC9">
        <w:rPr>
          <w:rFonts w:ascii="AAA GoldenLotus" w:hAnsi="AAA GoldenLotus"/>
          <w:i/>
          <w:spacing w:val="-2"/>
          <w:sz w:val="27"/>
          <w:rtl/>
        </w:rPr>
        <w:t>في من تلك البلد</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وم</w:t>
      </w:r>
      <w:r w:rsidR="00115185" w:rsidRPr="00282AC9">
        <w:rPr>
          <w:rFonts w:ascii="AAA GoldenLotus" w:hAnsi="AAA GoldenLotus" w:hint="cs"/>
          <w:i/>
          <w:spacing w:val="-2"/>
          <w:sz w:val="27"/>
          <w:rtl/>
        </w:rPr>
        <w:t>َ</w:t>
      </w:r>
      <w:r w:rsidRPr="00282AC9">
        <w:rPr>
          <w:rFonts w:ascii="AAA GoldenLotus" w:hAnsi="AAA GoldenLotus"/>
          <w:i/>
          <w:spacing w:val="-2"/>
          <w:sz w:val="27"/>
          <w:rtl/>
        </w:rPr>
        <w:t>ن</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شهر السلاح في مصر</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من الأمصار</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وضرب وعقر وأخذ</w:t>
      </w:r>
      <w:bookmarkEnd w:id="53"/>
      <w:r w:rsidRPr="00282AC9">
        <w:rPr>
          <w:rFonts w:ascii="AAA GoldenLotus" w:hAnsi="AAA GoldenLotus"/>
          <w:i/>
          <w:spacing w:val="-2"/>
          <w:sz w:val="27"/>
          <w:rtl/>
        </w:rPr>
        <w:t xml:space="preserve"> </w:t>
      </w:r>
      <w:r w:rsidR="00115185" w:rsidRPr="00282AC9">
        <w:rPr>
          <w:rFonts w:ascii="AAA GoldenLotus" w:hAnsi="AAA GoldenLotus" w:hint="cs"/>
          <w:i/>
          <w:spacing w:val="-2"/>
          <w:sz w:val="27"/>
          <w:rtl/>
        </w:rPr>
        <w:t>ا</w:t>
      </w:r>
      <w:r w:rsidRPr="00282AC9">
        <w:rPr>
          <w:rFonts w:ascii="AAA GoldenLotus" w:hAnsi="AAA GoldenLotus"/>
          <w:i/>
          <w:spacing w:val="-2"/>
          <w:sz w:val="27"/>
          <w:rtl/>
        </w:rPr>
        <w:t>لمال</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ولم يقتل</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فهو محار</w:t>
      </w:r>
      <w:r w:rsidR="00115185" w:rsidRPr="00282AC9">
        <w:rPr>
          <w:rFonts w:ascii="AAA GoldenLotus" w:hAnsi="AAA GoldenLotus" w:hint="cs"/>
          <w:i/>
          <w:spacing w:val="-2"/>
          <w:sz w:val="27"/>
          <w:rtl/>
        </w:rPr>
        <w:t>ِ</w:t>
      </w:r>
      <w:r w:rsidRPr="00282AC9">
        <w:rPr>
          <w:rFonts w:ascii="AAA GoldenLotus" w:hAnsi="AAA GoldenLotus"/>
          <w:i/>
          <w:spacing w:val="-2"/>
          <w:sz w:val="27"/>
          <w:rtl/>
        </w:rPr>
        <w:t>ب</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فجزاؤه جزاء المحار</w:t>
      </w:r>
      <w:r w:rsidR="00115185" w:rsidRPr="00282AC9">
        <w:rPr>
          <w:rFonts w:ascii="AAA GoldenLotus" w:hAnsi="AAA GoldenLotus" w:hint="cs"/>
          <w:i/>
          <w:spacing w:val="-2"/>
          <w:sz w:val="27"/>
          <w:rtl/>
        </w:rPr>
        <w:t>ِ</w:t>
      </w:r>
      <w:r w:rsidRPr="00282AC9">
        <w:rPr>
          <w:rFonts w:ascii="AAA GoldenLotus" w:hAnsi="AAA GoldenLotus"/>
          <w:i/>
          <w:spacing w:val="-2"/>
          <w:sz w:val="27"/>
          <w:rtl/>
        </w:rPr>
        <w:t>ب، وأمره إلى الإمام</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إن</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شاء قتله وصلبه</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وإن</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شاء قطع يده ورجله</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وإن</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ضرب وقتل وأخذ المال فعلى الإمام أن يقطع يده اليمنى بالسرقة، ثم</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يدفعه إلى أولياء المقتول فيتبعونه بالمال</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ثم يقتلونه</w:t>
      </w:r>
      <w:r w:rsidR="00046EC1" w:rsidRPr="00282AC9">
        <w:rPr>
          <w:rFonts w:hint="eastAsia"/>
          <w:sz w:val="24"/>
          <w:szCs w:val="24"/>
          <w:rtl/>
        </w:rPr>
        <w:t>»</w:t>
      </w:r>
      <w:r w:rsidRPr="00282AC9">
        <w:rPr>
          <w:rFonts w:ascii="AAA GoldenLotus" w:hAnsi="AAA GoldenLotus"/>
          <w:i/>
          <w:spacing w:val="-2"/>
          <w:sz w:val="27"/>
          <w:rtl/>
        </w:rPr>
        <w:t>. فقال له أبو عبيدة: أرأيت</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إن</w:t>
      </w:r>
      <w:r w:rsidR="00115185" w:rsidRPr="00282AC9">
        <w:rPr>
          <w:rFonts w:ascii="AAA GoldenLotus" w:hAnsi="AAA GoldenLotus" w:hint="cs"/>
          <w:i/>
          <w:spacing w:val="-2"/>
          <w:sz w:val="27"/>
          <w:rtl/>
        </w:rPr>
        <w:t>ْ</w:t>
      </w:r>
      <w:r w:rsidRPr="00282AC9">
        <w:rPr>
          <w:rFonts w:ascii="AAA GoldenLotus" w:hAnsi="AAA GoldenLotus"/>
          <w:i/>
          <w:spacing w:val="-2"/>
          <w:sz w:val="27"/>
          <w:rtl/>
        </w:rPr>
        <w:t xml:space="preserve"> عف</w:t>
      </w:r>
      <w:r w:rsidR="00115185" w:rsidRPr="00282AC9">
        <w:rPr>
          <w:rFonts w:ascii="AAA GoldenLotus" w:hAnsi="AAA GoldenLotus" w:hint="cs"/>
          <w:i/>
          <w:spacing w:val="-2"/>
          <w:sz w:val="27"/>
          <w:rtl/>
        </w:rPr>
        <w:t>ا</w:t>
      </w:r>
      <w:r w:rsidRPr="00282AC9">
        <w:rPr>
          <w:rFonts w:ascii="AAA GoldenLotus" w:hAnsi="AAA GoldenLotus"/>
          <w:i/>
          <w:spacing w:val="-2"/>
          <w:sz w:val="27"/>
          <w:rtl/>
        </w:rPr>
        <w:t xml:space="preserve"> عنه أولياء المقتول؟ فقال أبو جعفر</w:t>
      </w:r>
      <w:r w:rsidR="009A2A04" w:rsidRPr="00282AC9">
        <w:rPr>
          <w:rFonts w:ascii="AAA GoldenLotus" w:hAnsi="AAA GoldenLotus" w:cs="Mosawi"/>
          <w:i/>
          <w:spacing w:val="-2"/>
          <w:sz w:val="22"/>
          <w:szCs w:val="22"/>
          <w:rtl/>
        </w:rPr>
        <w:t>×</w:t>
      </w:r>
      <w:r w:rsidRPr="00282AC9">
        <w:rPr>
          <w:rFonts w:ascii="AAA GoldenLotus" w:hAnsi="AAA GoldenLotus"/>
          <w:i/>
          <w:spacing w:val="-2"/>
          <w:sz w:val="27"/>
          <w:rtl/>
        </w:rPr>
        <w:t xml:space="preserve">: </w:t>
      </w:r>
      <w:r w:rsidR="00046EC1" w:rsidRPr="00282AC9">
        <w:rPr>
          <w:rFonts w:hint="eastAsia"/>
          <w:sz w:val="24"/>
          <w:szCs w:val="24"/>
          <w:rtl/>
        </w:rPr>
        <w:t>«</w:t>
      </w:r>
      <w:r w:rsidRPr="00282AC9">
        <w:rPr>
          <w:rFonts w:ascii="AAA GoldenLotus" w:hAnsi="AAA GoldenLotus"/>
          <w:i/>
          <w:spacing w:val="-2"/>
          <w:sz w:val="27"/>
          <w:rtl/>
        </w:rPr>
        <w:t>إن</w:t>
      </w:r>
      <w:r w:rsidR="00046EC1" w:rsidRPr="00282AC9">
        <w:rPr>
          <w:rFonts w:ascii="AAA GoldenLotus" w:hAnsi="AAA GoldenLotus" w:hint="cs"/>
          <w:i/>
          <w:spacing w:val="-2"/>
          <w:sz w:val="27"/>
          <w:rtl/>
        </w:rPr>
        <w:t>ْ</w:t>
      </w:r>
      <w:r w:rsidRPr="00282AC9">
        <w:rPr>
          <w:rFonts w:ascii="AAA GoldenLotus" w:hAnsi="AAA GoldenLotus"/>
          <w:i/>
          <w:spacing w:val="-2"/>
          <w:sz w:val="27"/>
          <w:rtl/>
        </w:rPr>
        <w:t xml:space="preserve"> عف</w:t>
      </w:r>
      <w:r w:rsidR="00046EC1" w:rsidRPr="00282AC9">
        <w:rPr>
          <w:rFonts w:ascii="AAA GoldenLotus" w:hAnsi="AAA GoldenLotus" w:hint="cs"/>
          <w:i/>
          <w:spacing w:val="-2"/>
          <w:sz w:val="27"/>
          <w:rtl/>
        </w:rPr>
        <w:t>َ</w:t>
      </w:r>
      <w:r w:rsidRPr="00282AC9">
        <w:rPr>
          <w:rFonts w:ascii="AAA GoldenLotus" w:hAnsi="AAA GoldenLotus"/>
          <w:i/>
          <w:spacing w:val="-2"/>
          <w:sz w:val="27"/>
          <w:rtl/>
        </w:rPr>
        <w:t>و</w:t>
      </w:r>
      <w:r w:rsidR="00046EC1" w:rsidRPr="00282AC9">
        <w:rPr>
          <w:rFonts w:ascii="AAA GoldenLotus" w:hAnsi="AAA GoldenLotus" w:hint="cs"/>
          <w:i/>
          <w:spacing w:val="-2"/>
          <w:sz w:val="27"/>
          <w:rtl/>
        </w:rPr>
        <w:t>ْ</w:t>
      </w:r>
      <w:r w:rsidRPr="00282AC9">
        <w:rPr>
          <w:rFonts w:ascii="AAA GoldenLotus" w:hAnsi="AAA GoldenLotus"/>
          <w:i/>
          <w:spacing w:val="-2"/>
          <w:sz w:val="27"/>
          <w:rtl/>
        </w:rPr>
        <w:t>ا عنه كان على الإمام أن يقتله؛ لأنه قد حارب وقتل وسرق</w:t>
      </w:r>
      <w:r w:rsidR="00046EC1" w:rsidRPr="00282AC9">
        <w:rPr>
          <w:rFonts w:hint="eastAsia"/>
          <w:sz w:val="24"/>
          <w:szCs w:val="24"/>
          <w:rtl/>
        </w:rPr>
        <w:t>»</w:t>
      </w:r>
      <w:r w:rsidRPr="00282AC9">
        <w:rPr>
          <w:rFonts w:ascii="AAA GoldenLotus" w:hAnsi="AAA GoldenLotus"/>
          <w:i/>
          <w:spacing w:val="-2"/>
          <w:sz w:val="27"/>
          <w:vertAlign w:val="superscript"/>
          <w:rtl/>
        </w:rPr>
        <w:t>(</w:t>
      </w:r>
      <w:r w:rsidRPr="00282AC9">
        <w:rPr>
          <w:rFonts w:ascii="AAA GoldenLotus" w:hAnsi="AAA GoldenLotus"/>
          <w:i/>
          <w:spacing w:val="-2"/>
          <w:sz w:val="27"/>
          <w:vertAlign w:val="superscript"/>
          <w:rtl/>
        </w:rPr>
        <w:endnoteReference w:id="404"/>
      </w:r>
      <w:r w:rsidRPr="00282AC9">
        <w:rPr>
          <w:rFonts w:ascii="AAA GoldenLotus" w:hAnsi="AAA GoldenLotus"/>
          <w:i/>
          <w:spacing w:val="-2"/>
          <w:sz w:val="27"/>
          <w:vertAlign w:val="superscript"/>
          <w:rtl/>
        </w:rPr>
        <w:t>)</w:t>
      </w:r>
      <w:r w:rsidRPr="00282AC9">
        <w:rPr>
          <w:rFonts w:ascii="AAA GoldenLotus" w:hAnsi="AAA GoldenLotus"/>
          <w:i/>
          <w:spacing w:val="-2"/>
          <w:sz w:val="27"/>
          <w:rtl/>
        </w:rPr>
        <w:t>.</w:t>
      </w:r>
    </w:p>
    <w:p w:rsidR="00E355F2" w:rsidRPr="00282AC9" w:rsidRDefault="00E355F2" w:rsidP="00046546">
      <w:pPr>
        <w:rPr>
          <w:rFonts w:ascii="AAA GoldenLotus" w:hAnsi="AAA GoldenLotus"/>
          <w:i/>
          <w:sz w:val="27"/>
          <w:rtl/>
        </w:rPr>
      </w:pPr>
      <w:r w:rsidRPr="00282AC9">
        <w:rPr>
          <w:rFonts w:ascii="AAA GoldenLotus" w:hAnsi="AAA GoldenLotus"/>
          <w:i/>
          <w:sz w:val="27"/>
          <w:rtl/>
        </w:rPr>
        <w:t>ومن الواضح أنّ ألفاظ الروايات جاء</w:t>
      </w:r>
      <w:r w:rsidR="00046EC1" w:rsidRPr="00282AC9">
        <w:rPr>
          <w:rFonts w:ascii="AAA GoldenLotus" w:hAnsi="AAA GoldenLotus" w:hint="cs"/>
          <w:i/>
          <w:sz w:val="27"/>
          <w:rtl/>
        </w:rPr>
        <w:t>َ</w:t>
      </w:r>
      <w:r w:rsidRPr="00282AC9">
        <w:rPr>
          <w:rFonts w:ascii="AAA GoldenLotus" w:hAnsi="AAA GoldenLotus"/>
          <w:i/>
          <w:sz w:val="27"/>
          <w:rtl/>
        </w:rPr>
        <w:t>ت</w:t>
      </w:r>
      <w:r w:rsidR="00046EC1" w:rsidRPr="00282AC9">
        <w:rPr>
          <w:rFonts w:ascii="AAA GoldenLotus" w:hAnsi="AAA GoldenLotus" w:hint="cs"/>
          <w:i/>
          <w:sz w:val="27"/>
          <w:rtl/>
        </w:rPr>
        <w:t>ْ</w:t>
      </w:r>
      <w:r w:rsidRPr="00282AC9">
        <w:rPr>
          <w:rFonts w:ascii="AAA GoldenLotus" w:hAnsi="AAA GoldenLotus"/>
          <w:i/>
          <w:sz w:val="27"/>
          <w:rtl/>
        </w:rPr>
        <w:t xml:space="preserve"> مطلقة</w:t>
      </w:r>
      <w:r w:rsidR="00046EC1" w:rsidRPr="00282AC9">
        <w:rPr>
          <w:rFonts w:ascii="AAA GoldenLotus" w:hAnsi="AAA GoldenLotus" w:hint="cs"/>
          <w:i/>
          <w:sz w:val="27"/>
          <w:rtl/>
        </w:rPr>
        <w:t>ً،</w:t>
      </w:r>
      <w:r w:rsidRPr="00282AC9">
        <w:rPr>
          <w:rFonts w:ascii="AAA GoldenLotus" w:hAnsi="AAA GoldenLotus"/>
          <w:i/>
          <w:sz w:val="27"/>
          <w:rtl/>
        </w:rPr>
        <w:t xml:space="preserve"> وغير مقي</w:t>
      </w:r>
      <w:r w:rsidR="00046EC1" w:rsidRPr="00282AC9">
        <w:rPr>
          <w:rFonts w:ascii="AAA GoldenLotus" w:hAnsi="AAA GoldenLotus" w:hint="cs"/>
          <w:i/>
          <w:sz w:val="27"/>
          <w:rtl/>
        </w:rPr>
        <w:t>َّ</w:t>
      </w:r>
      <w:r w:rsidRPr="00282AC9">
        <w:rPr>
          <w:rFonts w:ascii="AAA GoldenLotus" w:hAnsi="AAA GoldenLotus"/>
          <w:i/>
          <w:sz w:val="27"/>
          <w:rtl/>
        </w:rPr>
        <w:t>دة</w:t>
      </w:r>
      <w:r w:rsidR="00046EC1" w:rsidRPr="00282AC9">
        <w:rPr>
          <w:rFonts w:ascii="AAA GoldenLotus" w:hAnsi="AAA GoldenLotus" w:hint="cs"/>
          <w:i/>
          <w:sz w:val="27"/>
          <w:rtl/>
        </w:rPr>
        <w:t>ٍ</w:t>
      </w:r>
      <w:r w:rsidRPr="00282AC9">
        <w:rPr>
          <w:rFonts w:ascii="AAA GoldenLotus" w:hAnsi="AAA GoldenLotus"/>
          <w:i/>
          <w:sz w:val="27"/>
          <w:rtl/>
        </w:rPr>
        <w:t xml:space="preserve"> بالرجل أو المرأة، إ</w:t>
      </w:r>
      <w:r w:rsidR="00EE6DBA" w:rsidRPr="00282AC9">
        <w:rPr>
          <w:rFonts w:ascii="AAA GoldenLotus" w:hAnsi="AAA GoldenLotus"/>
          <w:i/>
          <w:sz w:val="27"/>
          <w:rtl/>
        </w:rPr>
        <w:t>لاّ</w:t>
      </w:r>
      <w:r w:rsidRPr="00282AC9">
        <w:rPr>
          <w:rFonts w:ascii="AAA GoldenLotus" w:hAnsi="AAA GoldenLotus"/>
          <w:i/>
          <w:sz w:val="27"/>
          <w:rtl/>
        </w:rPr>
        <w:t xml:space="preserve"> أنّه قد ي</w:t>
      </w:r>
      <w:r w:rsidR="00046EC1" w:rsidRPr="00282AC9">
        <w:rPr>
          <w:rFonts w:ascii="AAA GoldenLotus" w:hAnsi="AAA GoldenLotus" w:hint="cs"/>
          <w:i/>
          <w:sz w:val="27"/>
          <w:rtl/>
        </w:rPr>
        <w:t>ُ</w:t>
      </w:r>
      <w:r w:rsidRPr="00282AC9">
        <w:rPr>
          <w:rFonts w:ascii="AAA GoldenLotus" w:hAnsi="AAA GoldenLotus"/>
          <w:i/>
          <w:sz w:val="27"/>
          <w:rtl/>
        </w:rPr>
        <w:t>قال بانصرافها إلى الرجال؛ باعتبار أنّ عادة قطع الطريق</w:t>
      </w:r>
      <w:r w:rsidR="00046EC1" w:rsidRPr="00282AC9">
        <w:rPr>
          <w:rFonts w:ascii="AAA GoldenLotus" w:hAnsi="AAA GoldenLotus" w:hint="cs"/>
          <w:i/>
          <w:sz w:val="27"/>
          <w:rtl/>
        </w:rPr>
        <w:t>،</w:t>
      </w:r>
      <w:r w:rsidRPr="00282AC9">
        <w:rPr>
          <w:rFonts w:ascii="AAA GoldenLotus" w:hAnsi="AAA GoldenLotus"/>
          <w:i/>
          <w:sz w:val="27"/>
          <w:rtl/>
        </w:rPr>
        <w:t xml:space="preserve"> وإشهار السلاح</w:t>
      </w:r>
      <w:r w:rsidR="00046EC1" w:rsidRPr="00282AC9">
        <w:rPr>
          <w:rFonts w:ascii="AAA GoldenLotus" w:hAnsi="AAA GoldenLotus" w:hint="cs"/>
          <w:i/>
          <w:sz w:val="27"/>
          <w:rtl/>
        </w:rPr>
        <w:t>؛</w:t>
      </w:r>
      <w:r w:rsidRPr="00282AC9">
        <w:rPr>
          <w:rFonts w:ascii="AAA GoldenLotus" w:hAnsi="AAA GoldenLotus"/>
          <w:i/>
          <w:sz w:val="27"/>
          <w:rtl/>
        </w:rPr>
        <w:t xml:space="preserve"> لإخافة الناس</w:t>
      </w:r>
      <w:r w:rsidR="00046EC1" w:rsidRPr="00282AC9">
        <w:rPr>
          <w:rFonts w:ascii="AAA GoldenLotus" w:hAnsi="AAA GoldenLotus" w:hint="cs"/>
          <w:i/>
          <w:sz w:val="27"/>
          <w:rtl/>
        </w:rPr>
        <w:t>،</w:t>
      </w:r>
      <w:r w:rsidRPr="00282AC9">
        <w:rPr>
          <w:rFonts w:ascii="AAA GoldenLotus" w:hAnsi="AAA GoldenLotus"/>
          <w:i/>
          <w:sz w:val="27"/>
          <w:rtl/>
        </w:rPr>
        <w:t xml:space="preserve"> غالباً ما تصدر من الرجال</w:t>
      </w:r>
      <w:r w:rsidR="00046EC1" w:rsidRPr="00282AC9">
        <w:rPr>
          <w:rFonts w:ascii="AAA GoldenLotus" w:hAnsi="AAA GoldenLotus" w:hint="cs"/>
          <w:i/>
          <w:sz w:val="27"/>
          <w:rtl/>
        </w:rPr>
        <w:t>،</w:t>
      </w:r>
      <w:r w:rsidRPr="00282AC9">
        <w:rPr>
          <w:rFonts w:ascii="AAA GoldenLotus" w:hAnsi="AAA GoldenLotus"/>
          <w:i/>
          <w:sz w:val="27"/>
          <w:rtl/>
        </w:rPr>
        <w:t xml:space="preserve"> وقد يفهم الع</w:t>
      </w:r>
      <w:r w:rsidR="00046EC1" w:rsidRPr="00282AC9">
        <w:rPr>
          <w:rFonts w:ascii="AAA GoldenLotus" w:hAnsi="AAA GoldenLotus" w:hint="cs"/>
          <w:i/>
          <w:sz w:val="27"/>
          <w:rtl/>
        </w:rPr>
        <w:t>ُ</w:t>
      </w:r>
      <w:r w:rsidRPr="00282AC9">
        <w:rPr>
          <w:rFonts w:ascii="AAA GoldenLotus" w:hAnsi="AAA GoldenLotus"/>
          <w:i/>
          <w:sz w:val="27"/>
          <w:rtl/>
        </w:rPr>
        <w:t>ر</w:t>
      </w:r>
      <w:r w:rsidR="00046EC1" w:rsidRPr="00282AC9">
        <w:rPr>
          <w:rFonts w:ascii="AAA GoldenLotus" w:hAnsi="AAA GoldenLotus" w:hint="cs"/>
          <w:i/>
          <w:sz w:val="27"/>
          <w:rtl/>
        </w:rPr>
        <w:t>ْ</w:t>
      </w:r>
      <w:r w:rsidRPr="00282AC9">
        <w:rPr>
          <w:rFonts w:ascii="AAA GoldenLotus" w:hAnsi="AAA GoldenLotus"/>
          <w:i/>
          <w:sz w:val="27"/>
          <w:rtl/>
        </w:rPr>
        <w:t>ف أنّ الحكم ورد بخصوص الرجال</w:t>
      </w:r>
      <w:r w:rsidR="00046EC1" w:rsidRPr="00282AC9">
        <w:rPr>
          <w:rFonts w:ascii="AAA GoldenLotus" w:hAnsi="AAA GoldenLotus" w:hint="cs"/>
          <w:i/>
          <w:sz w:val="27"/>
          <w:rtl/>
        </w:rPr>
        <w:t>؛</w:t>
      </w:r>
      <w:r w:rsidRPr="00282AC9">
        <w:rPr>
          <w:rFonts w:ascii="AAA GoldenLotus" w:hAnsi="AAA GoldenLotus"/>
          <w:i/>
          <w:sz w:val="27"/>
          <w:rtl/>
        </w:rPr>
        <w:t xml:space="preserve"> لما ذكر</w:t>
      </w:r>
      <w:r w:rsidR="00046EC1" w:rsidRPr="00282AC9">
        <w:rPr>
          <w:rFonts w:ascii="AAA GoldenLotus" w:hAnsi="AAA GoldenLotus" w:hint="cs"/>
          <w:i/>
          <w:sz w:val="27"/>
          <w:rtl/>
        </w:rPr>
        <w:t>،</w:t>
      </w:r>
      <w:r w:rsidRPr="00282AC9">
        <w:rPr>
          <w:rFonts w:ascii="AAA GoldenLotus" w:hAnsi="AAA GoldenLotus"/>
          <w:i/>
          <w:sz w:val="27"/>
          <w:rtl/>
        </w:rPr>
        <w:t xml:space="preserve"> لذلك </w:t>
      </w:r>
      <w:r w:rsidR="00674EF5" w:rsidRPr="00282AC9">
        <w:rPr>
          <w:rFonts w:ascii="AAA GoldenLotus" w:hAnsi="AAA GoldenLotus"/>
          <w:i/>
          <w:sz w:val="27"/>
          <w:rtl/>
        </w:rPr>
        <w:t>لا بُدَّ</w:t>
      </w:r>
      <w:r w:rsidRPr="00282AC9">
        <w:rPr>
          <w:rFonts w:ascii="AAA GoldenLotus" w:hAnsi="AAA GoldenLotus"/>
          <w:i/>
          <w:sz w:val="27"/>
          <w:rtl/>
        </w:rPr>
        <w:t xml:space="preserve"> من دليل</w:t>
      </w:r>
      <w:r w:rsidR="00046EC1" w:rsidRPr="00282AC9">
        <w:rPr>
          <w:rFonts w:ascii="AAA GoldenLotus" w:hAnsi="AAA GoldenLotus" w:hint="cs"/>
          <w:i/>
          <w:sz w:val="27"/>
          <w:rtl/>
        </w:rPr>
        <w:t>ٍ</w:t>
      </w:r>
      <w:r w:rsidRPr="00282AC9">
        <w:rPr>
          <w:rFonts w:ascii="AAA GoldenLotus" w:hAnsi="AAA GoldenLotus"/>
          <w:i/>
          <w:sz w:val="27"/>
          <w:rtl/>
        </w:rPr>
        <w:t xml:space="preserve"> آخر يدعم الرواية على سراية الحكم للنساء، ويمكن أن ي</w:t>
      </w:r>
      <w:r w:rsidR="00046EC1" w:rsidRPr="00282AC9">
        <w:rPr>
          <w:rFonts w:ascii="AAA GoldenLotus" w:hAnsi="AAA GoldenLotus" w:hint="cs"/>
          <w:i/>
          <w:sz w:val="27"/>
          <w:rtl/>
        </w:rPr>
        <w:t>ُ</w:t>
      </w:r>
      <w:r w:rsidRPr="00282AC9">
        <w:rPr>
          <w:rFonts w:ascii="AAA GoldenLotus" w:hAnsi="AAA GoldenLotus"/>
          <w:i/>
          <w:sz w:val="27"/>
          <w:rtl/>
        </w:rPr>
        <w:t>قال حينئذٍ أنّ المبر</w:t>
      </w:r>
      <w:r w:rsidR="00046EC1" w:rsidRPr="00282AC9">
        <w:rPr>
          <w:rFonts w:ascii="AAA GoldenLotus" w:hAnsi="AAA GoldenLotus" w:hint="cs"/>
          <w:i/>
          <w:sz w:val="27"/>
          <w:rtl/>
        </w:rPr>
        <w:t>ِّ</w:t>
      </w:r>
      <w:r w:rsidRPr="00282AC9">
        <w:rPr>
          <w:rFonts w:ascii="AAA GoldenLotus" w:hAnsi="AAA GoldenLotus"/>
          <w:i/>
          <w:sz w:val="27"/>
          <w:rtl/>
        </w:rPr>
        <w:t>ر للقول بالشمولية هو قاعدة اشتراك الأحكام بين الرجال والنساء.</w:t>
      </w:r>
    </w:p>
    <w:p w:rsidR="00046EC1" w:rsidRPr="00282AC9" w:rsidRDefault="00E355F2" w:rsidP="00046546">
      <w:pPr>
        <w:rPr>
          <w:rtl/>
        </w:rPr>
      </w:pPr>
      <w:bookmarkStart w:id="54" w:name="_Toc33819824"/>
      <w:r w:rsidRPr="00282AC9">
        <w:rPr>
          <w:rFonts w:hint="cs"/>
          <w:b/>
          <w:bCs/>
          <w:rtl/>
        </w:rPr>
        <w:t>2ـ</w:t>
      </w:r>
      <w:r w:rsidRPr="00282AC9">
        <w:rPr>
          <w:b/>
          <w:bCs/>
          <w:rtl/>
        </w:rPr>
        <w:t xml:space="preserve"> عند جمهور المذاهب</w:t>
      </w:r>
      <w:bookmarkStart w:id="55" w:name="_Toc33434671"/>
      <w:bookmarkStart w:id="56" w:name="_Toc33819825"/>
      <w:bookmarkEnd w:id="54"/>
      <w:r w:rsidR="00146D9A" w:rsidRPr="00282AC9">
        <w:rPr>
          <w:rFonts w:hint="cs"/>
          <w:rtl/>
        </w:rPr>
        <w:t xml:space="preserve">: </w:t>
      </w:r>
      <w:r w:rsidRPr="00282AC9">
        <w:rPr>
          <w:rFonts w:ascii="AAA GoldenLotus" w:hAnsi="AAA GoldenLotus"/>
          <w:i/>
          <w:sz w:val="27"/>
          <w:rtl/>
        </w:rPr>
        <w:t>من المسائل التي</w:t>
      </w:r>
      <w:bookmarkEnd w:id="55"/>
      <w:bookmarkEnd w:id="56"/>
      <w:r w:rsidRPr="00282AC9">
        <w:rPr>
          <w:rFonts w:ascii="AAA GoldenLotus" w:hAnsi="AAA GoldenLotus"/>
          <w:sz w:val="27"/>
          <w:rtl/>
        </w:rPr>
        <w:t xml:space="preserve"> وقع الكلام فيها بين الأعلام</w:t>
      </w:r>
      <w:r w:rsidR="00046EC1" w:rsidRPr="00282AC9">
        <w:rPr>
          <w:rFonts w:ascii="AAA GoldenLotus" w:hAnsi="AAA GoldenLotus" w:hint="cs"/>
          <w:sz w:val="27"/>
          <w:rtl/>
        </w:rPr>
        <w:t>،</w:t>
      </w:r>
      <w:r w:rsidRPr="00282AC9">
        <w:rPr>
          <w:rFonts w:ascii="AAA GoldenLotus" w:hAnsi="AAA GoldenLotus"/>
          <w:sz w:val="27"/>
          <w:rtl/>
        </w:rPr>
        <w:t xml:space="preserve"> والتي يمكن عدّ</w:t>
      </w:r>
      <w:r w:rsidR="00046EC1" w:rsidRPr="00282AC9">
        <w:rPr>
          <w:rFonts w:ascii="AAA GoldenLotus" w:hAnsi="AAA GoldenLotus" w:hint="cs"/>
          <w:sz w:val="27"/>
          <w:rtl/>
        </w:rPr>
        <w:t>ُ</w:t>
      </w:r>
      <w:r w:rsidRPr="00282AC9">
        <w:rPr>
          <w:rFonts w:ascii="AAA GoldenLotus" w:hAnsi="AAA GoldenLotus"/>
          <w:sz w:val="27"/>
          <w:rtl/>
        </w:rPr>
        <w:t xml:space="preserve">ها تطبيقاً لقاعدة </w:t>
      </w:r>
      <w:r w:rsidR="00046EC1" w:rsidRPr="00282AC9">
        <w:rPr>
          <w:rFonts w:ascii="AAA GoldenLotus" w:hAnsi="AAA GoldenLotus" w:hint="cs"/>
          <w:sz w:val="27"/>
          <w:rtl/>
        </w:rPr>
        <w:t>(</w:t>
      </w:r>
      <w:r w:rsidRPr="00282AC9">
        <w:rPr>
          <w:rFonts w:ascii="AAA GoldenLotus" w:hAnsi="AAA GoldenLotus"/>
          <w:sz w:val="27"/>
          <w:rtl/>
        </w:rPr>
        <w:t>النساء شقائق الرجال</w:t>
      </w:r>
      <w:r w:rsidR="00046EC1" w:rsidRPr="00282AC9">
        <w:rPr>
          <w:rFonts w:ascii="AAA GoldenLotus" w:hAnsi="AAA GoldenLotus" w:hint="cs"/>
          <w:sz w:val="27"/>
          <w:rtl/>
        </w:rPr>
        <w:t>)،</w:t>
      </w:r>
      <w:r w:rsidRPr="00282AC9">
        <w:rPr>
          <w:rFonts w:ascii="AAA GoldenLotus" w:hAnsi="AAA GoldenLotus"/>
          <w:sz w:val="27"/>
          <w:rtl/>
        </w:rPr>
        <w:t xml:space="preserve"> أو قاعدة الاشتراك</w:t>
      </w:r>
      <w:r w:rsidR="00046EC1" w:rsidRPr="00282AC9">
        <w:rPr>
          <w:rFonts w:ascii="AAA GoldenLotus" w:hAnsi="AAA GoldenLotus" w:hint="cs"/>
          <w:sz w:val="27"/>
          <w:rtl/>
        </w:rPr>
        <w:t>،</w:t>
      </w:r>
      <w:r w:rsidRPr="00282AC9">
        <w:rPr>
          <w:rFonts w:ascii="AAA GoldenLotus" w:hAnsi="AAA GoldenLotus"/>
          <w:sz w:val="27"/>
          <w:rtl/>
        </w:rPr>
        <w:t xml:space="preserve"> مسألة الحرابة</w:t>
      </w:r>
      <w:r w:rsidR="00046EC1" w:rsidRPr="00282AC9">
        <w:rPr>
          <w:rFonts w:ascii="AAA GoldenLotus" w:hAnsi="AAA GoldenLotus" w:hint="cs"/>
          <w:sz w:val="27"/>
          <w:rtl/>
        </w:rPr>
        <w:t>،</w:t>
      </w:r>
      <w:r w:rsidRPr="00282AC9">
        <w:rPr>
          <w:rFonts w:ascii="AAA GoldenLotus" w:hAnsi="AAA GoldenLotus"/>
          <w:sz w:val="27"/>
          <w:rtl/>
        </w:rPr>
        <w:t xml:space="preserve"> وقطع الطريق التي لها حدّ</w:t>
      </w:r>
      <w:r w:rsidR="00046EC1" w:rsidRPr="00282AC9">
        <w:rPr>
          <w:rFonts w:ascii="AAA GoldenLotus" w:hAnsi="AAA GoldenLotus" w:hint="cs"/>
          <w:sz w:val="27"/>
          <w:rtl/>
        </w:rPr>
        <w:t>ٌ</w:t>
      </w:r>
      <w:r w:rsidRPr="00282AC9">
        <w:rPr>
          <w:rFonts w:ascii="AAA GoldenLotus" w:hAnsi="AAA GoldenLotus"/>
          <w:sz w:val="27"/>
          <w:rtl/>
        </w:rPr>
        <w:t xml:space="preserve"> معلوم في الشريعة؛ حيث اشترط بعضهم في إقامة الحد</w:t>
      </w:r>
      <w:r w:rsidR="00046EC1" w:rsidRPr="00282AC9">
        <w:rPr>
          <w:rFonts w:ascii="AAA GoldenLotus" w:hAnsi="AAA GoldenLotus" w:hint="cs"/>
          <w:sz w:val="27"/>
          <w:rtl/>
        </w:rPr>
        <w:t>ّ</w:t>
      </w:r>
      <w:r w:rsidRPr="00282AC9">
        <w:rPr>
          <w:rFonts w:ascii="AAA GoldenLotus" w:hAnsi="AAA GoldenLotus"/>
          <w:sz w:val="27"/>
          <w:rtl/>
        </w:rPr>
        <w:t xml:space="preserve"> على القاطع أن يكون ذ</w:t>
      </w:r>
      <w:r w:rsidR="00046EC1" w:rsidRPr="00282AC9">
        <w:rPr>
          <w:rFonts w:ascii="AAA GoldenLotus" w:hAnsi="AAA GoldenLotus" w:hint="cs"/>
          <w:sz w:val="27"/>
          <w:rtl/>
        </w:rPr>
        <w:t>َ</w:t>
      </w:r>
      <w:r w:rsidRPr="00282AC9">
        <w:rPr>
          <w:rFonts w:ascii="AAA GoldenLotus" w:hAnsi="AAA GoldenLotus"/>
          <w:sz w:val="27"/>
          <w:rtl/>
        </w:rPr>
        <w:t>ك</w:t>
      </w:r>
      <w:r w:rsidR="00046EC1" w:rsidRPr="00282AC9">
        <w:rPr>
          <w:rFonts w:ascii="AAA GoldenLotus" w:hAnsi="AAA GoldenLotus" w:hint="cs"/>
          <w:sz w:val="27"/>
          <w:rtl/>
        </w:rPr>
        <w:t>َ</w:t>
      </w:r>
      <w:r w:rsidRPr="00282AC9">
        <w:rPr>
          <w:rFonts w:ascii="AAA GoldenLotus" w:hAnsi="AAA GoldenLotus"/>
          <w:sz w:val="27"/>
          <w:rtl/>
        </w:rPr>
        <w:t>راً</w:t>
      </w:r>
      <w:r w:rsidR="00046EC1" w:rsidRPr="00282AC9">
        <w:rPr>
          <w:rFonts w:ascii="AAA GoldenLotus" w:hAnsi="AAA GoldenLotus" w:hint="cs"/>
          <w:sz w:val="27"/>
          <w:rtl/>
        </w:rPr>
        <w:t>،</w:t>
      </w:r>
      <w:r w:rsidRPr="00282AC9">
        <w:rPr>
          <w:rFonts w:ascii="AAA GoldenLotus" w:hAnsi="AAA GoldenLotus"/>
          <w:sz w:val="27"/>
          <w:rtl/>
        </w:rPr>
        <w:t xml:space="preserve"> فحت</w:t>
      </w:r>
      <w:r w:rsidR="00046EC1" w:rsidRPr="00282AC9">
        <w:rPr>
          <w:rFonts w:ascii="AAA GoldenLotus" w:hAnsi="AAA GoldenLotus" w:hint="cs"/>
          <w:sz w:val="27"/>
          <w:rtl/>
        </w:rPr>
        <w:t>ّ</w:t>
      </w:r>
      <w:r w:rsidRPr="00282AC9">
        <w:rPr>
          <w:rFonts w:ascii="AAA GoldenLotus" w:hAnsi="AAA GoldenLotus"/>
          <w:sz w:val="27"/>
          <w:rtl/>
        </w:rPr>
        <w:t>ى لو كانت في القط</w:t>
      </w:r>
      <w:r w:rsidR="00046EC1" w:rsidRPr="00282AC9">
        <w:rPr>
          <w:rFonts w:ascii="AAA GoldenLotus" w:hAnsi="AAA GoldenLotus" w:hint="cs"/>
          <w:sz w:val="27"/>
          <w:rtl/>
        </w:rPr>
        <w:t>ّ</w:t>
      </w:r>
      <w:r w:rsidRPr="00282AC9">
        <w:rPr>
          <w:rFonts w:ascii="AAA GoldenLotus" w:hAnsi="AAA GoldenLotus"/>
          <w:sz w:val="27"/>
          <w:rtl/>
        </w:rPr>
        <w:t>اع امرأة</w:t>
      </w:r>
      <w:r w:rsidR="00046EC1" w:rsidRPr="00282AC9">
        <w:rPr>
          <w:rFonts w:ascii="AAA GoldenLotus" w:hAnsi="AAA GoldenLotus" w:hint="cs"/>
          <w:sz w:val="27"/>
          <w:rtl/>
        </w:rPr>
        <w:t>ٌ</w:t>
      </w:r>
      <w:r w:rsidRPr="00282AC9">
        <w:rPr>
          <w:rFonts w:ascii="AAA GoldenLotus" w:hAnsi="AAA GoldenLotus"/>
          <w:sz w:val="27"/>
          <w:rtl/>
        </w:rPr>
        <w:t xml:space="preserve"> فولي</w:t>
      </w:r>
      <w:r w:rsidR="00046EC1" w:rsidRPr="00282AC9">
        <w:rPr>
          <w:rFonts w:ascii="AAA GoldenLotus" w:hAnsi="AAA GoldenLotus" w:hint="cs"/>
          <w:sz w:val="27"/>
          <w:rtl/>
        </w:rPr>
        <w:t>َ</w:t>
      </w:r>
      <w:r w:rsidRPr="00282AC9">
        <w:rPr>
          <w:rFonts w:ascii="AAA GoldenLotus" w:hAnsi="AAA GoldenLotus"/>
          <w:sz w:val="27"/>
          <w:rtl/>
        </w:rPr>
        <w:t>ت</w:t>
      </w:r>
      <w:r w:rsidR="00046EC1" w:rsidRPr="00282AC9">
        <w:rPr>
          <w:rFonts w:ascii="AAA GoldenLotus" w:hAnsi="AAA GoldenLotus" w:hint="cs"/>
          <w:sz w:val="27"/>
          <w:rtl/>
        </w:rPr>
        <w:t>ْ</w:t>
      </w:r>
      <w:r w:rsidRPr="00282AC9">
        <w:rPr>
          <w:rFonts w:ascii="AAA GoldenLotus" w:hAnsi="AAA GoldenLotus"/>
          <w:sz w:val="27"/>
          <w:rtl/>
        </w:rPr>
        <w:t xml:space="preserve"> القتال وأخذ المال</w:t>
      </w:r>
      <w:r w:rsidR="00046EC1" w:rsidRPr="00282AC9">
        <w:rPr>
          <w:rFonts w:ascii="AAA GoldenLotus" w:hAnsi="AAA GoldenLotus" w:hint="cs"/>
          <w:sz w:val="27"/>
          <w:rtl/>
        </w:rPr>
        <w:t>،</w:t>
      </w:r>
      <w:r w:rsidRPr="00282AC9">
        <w:rPr>
          <w:rFonts w:ascii="AAA GoldenLotus" w:hAnsi="AAA GoldenLotus"/>
          <w:sz w:val="27"/>
          <w:rtl/>
        </w:rPr>
        <w:t xml:space="preserve"> دون الرجال</w:t>
      </w:r>
      <w:r w:rsidR="00046EC1" w:rsidRPr="00282AC9">
        <w:rPr>
          <w:rFonts w:ascii="AAA GoldenLotus" w:hAnsi="AAA GoldenLotus" w:hint="cs"/>
          <w:sz w:val="27"/>
          <w:rtl/>
        </w:rPr>
        <w:t>،</w:t>
      </w:r>
      <w:r w:rsidRPr="00282AC9">
        <w:rPr>
          <w:rFonts w:ascii="AAA GoldenLotus" w:hAnsi="AAA GoldenLotus"/>
          <w:sz w:val="27"/>
          <w:rtl/>
        </w:rPr>
        <w:t xml:space="preserve"> لا ي</w:t>
      </w:r>
      <w:r w:rsidR="00046EC1" w:rsidRPr="00282AC9">
        <w:rPr>
          <w:rFonts w:ascii="AAA GoldenLotus" w:hAnsi="AAA GoldenLotus" w:hint="cs"/>
          <w:sz w:val="27"/>
          <w:rtl/>
        </w:rPr>
        <w:t>ُ</w:t>
      </w:r>
      <w:r w:rsidRPr="00282AC9">
        <w:rPr>
          <w:rFonts w:ascii="AAA GoldenLotus" w:hAnsi="AAA GoldenLotus"/>
          <w:sz w:val="27"/>
          <w:rtl/>
        </w:rPr>
        <w:t>قام الح</w:t>
      </w:r>
      <w:r w:rsidR="00046EC1" w:rsidRPr="00282AC9">
        <w:rPr>
          <w:rFonts w:ascii="AAA GoldenLotus" w:hAnsi="AAA GoldenLotus" w:hint="cs"/>
          <w:sz w:val="27"/>
          <w:rtl/>
        </w:rPr>
        <w:t>َ</w:t>
      </w:r>
      <w:r w:rsidRPr="00282AC9">
        <w:rPr>
          <w:rFonts w:ascii="AAA GoldenLotus" w:hAnsi="AAA GoldenLotus"/>
          <w:sz w:val="27"/>
          <w:rtl/>
        </w:rPr>
        <w:t>د</w:t>
      </w:r>
      <w:r w:rsidR="00046EC1" w:rsidRPr="00282AC9">
        <w:rPr>
          <w:rFonts w:ascii="AAA GoldenLotus" w:hAnsi="AAA GoldenLotus" w:hint="cs"/>
          <w:sz w:val="27"/>
          <w:rtl/>
        </w:rPr>
        <w:t>ّ</w:t>
      </w:r>
      <w:r w:rsidRPr="00282AC9">
        <w:rPr>
          <w:rFonts w:ascii="AAA GoldenLotus" w:hAnsi="AAA GoldenLotus"/>
          <w:sz w:val="27"/>
          <w:rtl/>
        </w:rPr>
        <w:t xml:space="preserve"> عليها في الرواية المشهورة</w:t>
      </w:r>
      <w:r w:rsidR="00046EC1" w:rsidRPr="00282AC9">
        <w:rPr>
          <w:rFonts w:ascii="AAA GoldenLotus" w:hAnsi="AAA GoldenLotus" w:hint="cs"/>
          <w:sz w:val="27"/>
          <w:rtl/>
        </w:rPr>
        <w:t>؛</w:t>
      </w:r>
      <w:r w:rsidRPr="00282AC9">
        <w:rPr>
          <w:rFonts w:ascii="AAA GoldenLotus" w:hAnsi="AAA GoldenLotus"/>
          <w:sz w:val="27"/>
          <w:rtl/>
        </w:rPr>
        <w:t xml:space="preserve"> ووجهها أن ركن القطع</w:t>
      </w:r>
      <w:r w:rsidR="00046EC1" w:rsidRPr="00282AC9">
        <w:rPr>
          <w:rFonts w:ascii="AAA GoldenLotus" w:hAnsi="AAA GoldenLotus" w:hint="cs"/>
          <w:sz w:val="27"/>
          <w:rtl/>
        </w:rPr>
        <w:t xml:space="preserve">، </w:t>
      </w:r>
      <w:r w:rsidRPr="00282AC9">
        <w:rPr>
          <w:rFonts w:ascii="AAA GoldenLotus" w:hAnsi="AAA GoldenLotus"/>
          <w:sz w:val="27"/>
          <w:rtl/>
        </w:rPr>
        <w:t>وهو الخروج على المارة على وجه المحار</w:t>
      </w:r>
      <w:r w:rsidR="00046EC1" w:rsidRPr="00282AC9">
        <w:rPr>
          <w:rFonts w:ascii="AAA GoldenLotus" w:hAnsi="AAA GoldenLotus" w:hint="cs"/>
          <w:sz w:val="27"/>
          <w:rtl/>
        </w:rPr>
        <w:t>َ</w:t>
      </w:r>
      <w:r w:rsidRPr="00282AC9">
        <w:rPr>
          <w:rFonts w:ascii="AAA GoldenLotus" w:hAnsi="AAA GoldenLotus"/>
          <w:sz w:val="27"/>
          <w:rtl/>
        </w:rPr>
        <w:t>بة والمغال</w:t>
      </w:r>
      <w:r w:rsidR="00046EC1" w:rsidRPr="00282AC9">
        <w:rPr>
          <w:rFonts w:ascii="AAA GoldenLotus" w:hAnsi="AAA GoldenLotus" w:hint="cs"/>
          <w:sz w:val="27"/>
          <w:rtl/>
        </w:rPr>
        <w:t>َ</w:t>
      </w:r>
      <w:r w:rsidRPr="00282AC9">
        <w:rPr>
          <w:rFonts w:ascii="AAA GoldenLotus" w:hAnsi="AAA GoldenLotus"/>
          <w:sz w:val="27"/>
          <w:rtl/>
        </w:rPr>
        <w:t>بة</w:t>
      </w:r>
      <w:r w:rsidR="00046EC1" w:rsidRPr="00282AC9">
        <w:rPr>
          <w:rFonts w:ascii="AAA GoldenLotus" w:hAnsi="AAA GoldenLotus" w:hint="cs"/>
          <w:sz w:val="27"/>
          <w:rtl/>
        </w:rPr>
        <w:t>،</w:t>
      </w:r>
      <w:r w:rsidRPr="00282AC9">
        <w:rPr>
          <w:rFonts w:ascii="AAA GoldenLotus" w:hAnsi="AAA GoldenLotus"/>
          <w:sz w:val="27"/>
          <w:rtl/>
        </w:rPr>
        <w:t xml:space="preserve"> لا يتحق</w:t>
      </w:r>
      <w:r w:rsidR="00046EC1" w:rsidRPr="00282AC9">
        <w:rPr>
          <w:rFonts w:ascii="AAA GoldenLotus" w:hAnsi="AAA GoldenLotus" w:hint="cs"/>
          <w:sz w:val="27"/>
          <w:rtl/>
        </w:rPr>
        <w:t>َّ</w:t>
      </w:r>
      <w:r w:rsidRPr="00282AC9">
        <w:rPr>
          <w:rFonts w:ascii="AAA GoldenLotus" w:hAnsi="AAA GoldenLotus"/>
          <w:sz w:val="27"/>
          <w:rtl/>
        </w:rPr>
        <w:t>ق من النساء عادة</w:t>
      </w:r>
      <w:r w:rsidR="00046EC1" w:rsidRPr="00282AC9">
        <w:rPr>
          <w:rFonts w:ascii="AAA GoldenLotus" w:hAnsi="AAA GoldenLotus" w:hint="cs"/>
          <w:sz w:val="27"/>
          <w:rtl/>
        </w:rPr>
        <w:t>ً</w:t>
      </w:r>
      <w:r w:rsidRPr="00282AC9">
        <w:rPr>
          <w:rFonts w:ascii="AAA GoldenLotus" w:hAnsi="AAA GoldenLotus"/>
          <w:sz w:val="27"/>
          <w:rtl/>
        </w:rPr>
        <w:t>؛ لرق</w:t>
      </w:r>
      <w:r w:rsidR="00046EC1" w:rsidRPr="00282AC9">
        <w:rPr>
          <w:rFonts w:ascii="AAA GoldenLotus" w:hAnsi="AAA GoldenLotus" w:hint="cs"/>
          <w:sz w:val="27"/>
          <w:rtl/>
        </w:rPr>
        <w:t>ّ</w:t>
      </w:r>
      <w:r w:rsidRPr="00282AC9">
        <w:rPr>
          <w:rFonts w:ascii="AAA GoldenLotus" w:hAnsi="AAA GoldenLotus"/>
          <w:sz w:val="27"/>
          <w:rtl/>
        </w:rPr>
        <w:t>ة قلوبهن</w:t>
      </w:r>
      <w:r w:rsidR="00046EC1" w:rsidRPr="00282AC9">
        <w:rPr>
          <w:rFonts w:ascii="AAA GoldenLotus" w:hAnsi="AAA GoldenLotus" w:hint="cs"/>
          <w:sz w:val="27"/>
          <w:rtl/>
        </w:rPr>
        <w:t>َّ،</w:t>
      </w:r>
      <w:r w:rsidRPr="00282AC9">
        <w:rPr>
          <w:rFonts w:ascii="AAA GoldenLotus" w:hAnsi="AAA GoldenLotus"/>
          <w:sz w:val="27"/>
          <w:rtl/>
        </w:rPr>
        <w:t xml:space="preserve"> وضعف ب</w:t>
      </w:r>
      <w:r w:rsidR="00046EC1" w:rsidRPr="00282AC9">
        <w:rPr>
          <w:rFonts w:ascii="AAA GoldenLotus" w:hAnsi="AAA GoldenLotus" w:hint="cs"/>
          <w:sz w:val="27"/>
          <w:rtl/>
        </w:rPr>
        <w:t>ُ</w:t>
      </w:r>
      <w:r w:rsidRPr="00282AC9">
        <w:rPr>
          <w:rFonts w:ascii="AAA GoldenLotus" w:hAnsi="AAA GoldenLotus"/>
          <w:sz w:val="27"/>
          <w:rtl/>
        </w:rPr>
        <w:t>ن</w:t>
      </w:r>
      <w:r w:rsidR="00046EC1" w:rsidRPr="00282AC9">
        <w:rPr>
          <w:rFonts w:ascii="AAA GoldenLotus" w:hAnsi="AAA GoldenLotus" w:hint="cs"/>
          <w:sz w:val="27"/>
          <w:rtl/>
        </w:rPr>
        <w:t>ْ</w:t>
      </w:r>
      <w:r w:rsidRPr="00282AC9">
        <w:rPr>
          <w:rFonts w:ascii="AAA GoldenLotus" w:hAnsi="AAA GoldenLotus"/>
          <w:sz w:val="27"/>
          <w:rtl/>
        </w:rPr>
        <w:t>ي</w:t>
      </w:r>
      <w:r w:rsidR="00046EC1" w:rsidRPr="00282AC9">
        <w:rPr>
          <w:rFonts w:ascii="AAA GoldenLotus" w:hAnsi="AAA GoldenLotus" w:hint="cs"/>
          <w:sz w:val="27"/>
          <w:rtl/>
        </w:rPr>
        <w:t>َ</w:t>
      </w:r>
      <w:r w:rsidRPr="00282AC9">
        <w:rPr>
          <w:rFonts w:ascii="AAA GoldenLotus" w:hAnsi="AAA GoldenLotus"/>
          <w:sz w:val="27"/>
          <w:rtl/>
        </w:rPr>
        <w:t>تهن</w:t>
      </w:r>
      <w:r w:rsidR="00046EC1" w:rsidRPr="00282AC9">
        <w:rPr>
          <w:rFonts w:ascii="AAA GoldenLotus" w:hAnsi="AAA GoldenLotus" w:hint="cs"/>
          <w:sz w:val="27"/>
          <w:rtl/>
        </w:rPr>
        <w:t>ّ</w:t>
      </w:r>
      <w:r w:rsidR="00BA6E05" w:rsidRPr="00282AC9">
        <w:rPr>
          <w:rFonts w:ascii="AAA GoldenLotus" w:hAnsi="AAA GoldenLotus" w:hint="cs"/>
          <w:sz w:val="27"/>
          <w:rtl/>
        </w:rPr>
        <w:t>َ</w:t>
      </w:r>
      <w:r w:rsidR="00046EC1" w:rsidRPr="00282AC9">
        <w:rPr>
          <w:rFonts w:ascii="AAA GoldenLotus" w:hAnsi="AAA GoldenLotus" w:hint="cs"/>
          <w:sz w:val="27"/>
          <w:rtl/>
        </w:rPr>
        <w:t>،</w:t>
      </w:r>
      <w:r w:rsidRPr="00282AC9">
        <w:rPr>
          <w:rFonts w:ascii="AAA GoldenLotus" w:hAnsi="AAA GoldenLotus"/>
          <w:sz w:val="27"/>
          <w:rtl/>
        </w:rPr>
        <w:t xml:space="preserve"> فلا يك</w:t>
      </w:r>
      <w:r w:rsidR="00046EC1" w:rsidRPr="00282AC9">
        <w:rPr>
          <w:rFonts w:ascii="AAA GoldenLotus" w:hAnsi="AAA GoldenLotus" w:hint="cs"/>
          <w:sz w:val="27"/>
          <w:rtl/>
        </w:rPr>
        <w:t>ُ</w:t>
      </w:r>
      <w:r w:rsidRPr="00282AC9">
        <w:rPr>
          <w:rFonts w:ascii="AAA GoldenLotus" w:hAnsi="AAA GoldenLotus"/>
          <w:sz w:val="27"/>
          <w:rtl/>
        </w:rPr>
        <w:t>ن</w:t>
      </w:r>
      <w:r w:rsidR="00046EC1" w:rsidRPr="00282AC9">
        <w:rPr>
          <w:rFonts w:ascii="AAA GoldenLotus" w:hAnsi="AAA GoldenLotus" w:hint="cs"/>
          <w:sz w:val="27"/>
          <w:rtl/>
        </w:rPr>
        <w:t>َّ</w:t>
      </w:r>
      <w:r w:rsidRPr="00282AC9">
        <w:rPr>
          <w:rFonts w:ascii="AAA GoldenLotus" w:hAnsi="AAA GoldenLotus"/>
          <w:sz w:val="27"/>
          <w:rtl/>
        </w:rPr>
        <w:t xml:space="preserve"> من أهل الحراب، ولهذا لا يقتل</w:t>
      </w:r>
      <w:r w:rsidR="00046EC1" w:rsidRPr="00282AC9">
        <w:rPr>
          <w:rFonts w:ascii="AAA GoldenLotus" w:hAnsi="AAA GoldenLotus" w:hint="cs"/>
          <w:sz w:val="27"/>
          <w:rtl/>
        </w:rPr>
        <w:t>ْ</w:t>
      </w:r>
      <w:r w:rsidRPr="00282AC9">
        <w:rPr>
          <w:rFonts w:ascii="AAA GoldenLotus" w:hAnsi="AAA GoldenLotus"/>
          <w:sz w:val="27"/>
          <w:rtl/>
        </w:rPr>
        <w:t>ن</w:t>
      </w:r>
      <w:r w:rsidR="00046EC1" w:rsidRPr="00282AC9">
        <w:rPr>
          <w:rFonts w:ascii="AAA GoldenLotus" w:hAnsi="AAA GoldenLotus" w:hint="cs"/>
          <w:sz w:val="27"/>
          <w:rtl/>
        </w:rPr>
        <w:t>َ</w:t>
      </w:r>
      <w:r w:rsidRPr="00282AC9">
        <w:rPr>
          <w:rFonts w:ascii="AAA GoldenLotus" w:hAnsi="AAA GoldenLotus"/>
          <w:sz w:val="27"/>
          <w:rtl/>
        </w:rPr>
        <w:t xml:space="preserve"> في دار الحرب</w:t>
      </w:r>
      <w:r w:rsidR="00046EC1" w:rsidRPr="00282AC9">
        <w:rPr>
          <w:rFonts w:ascii="AAA GoldenLotus" w:hAnsi="AAA GoldenLotus" w:hint="cs"/>
          <w:sz w:val="27"/>
          <w:rtl/>
        </w:rPr>
        <w:t>.</w:t>
      </w:r>
      <w:r w:rsidRPr="00282AC9">
        <w:rPr>
          <w:rFonts w:ascii="AAA GoldenLotus" w:hAnsi="AAA GoldenLotus"/>
          <w:sz w:val="27"/>
          <w:rtl/>
        </w:rPr>
        <w:t xml:space="preserve"> بخلاف السرقة؛ لأنها أخذ المال على وجه الاستخفاء</w:t>
      </w:r>
      <w:r w:rsidR="00046EC1" w:rsidRPr="00282AC9">
        <w:rPr>
          <w:rFonts w:ascii="AAA GoldenLotus" w:hAnsi="AAA GoldenLotus" w:hint="cs"/>
          <w:sz w:val="27"/>
          <w:rtl/>
        </w:rPr>
        <w:t>،</w:t>
      </w:r>
      <w:r w:rsidRPr="00282AC9">
        <w:rPr>
          <w:rFonts w:ascii="AAA GoldenLotus" w:hAnsi="AAA GoldenLotus"/>
          <w:sz w:val="27"/>
          <w:rtl/>
        </w:rPr>
        <w:t xml:space="preserve"> ومسارقة الأعين</w:t>
      </w:r>
      <w:r w:rsidR="00046EC1" w:rsidRPr="00282AC9">
        <w:rPr>
          <w:rFonts w:ascii="AAA GoldenLotus" w:hAnsi="AAA GoldenLotus" w:hint="cs"/>
          <w:sz w:val="27"/>
          <w:rtl/>
        </w:rPr>
        <w:t>،</w:t>
      </w:r>
      <w:r w:rsidR="00046EC1" w:rsidRPr="00282AC9">
        <w:rPr>
          <w:rFonts w:ascii="AAA GoldenLotus" w:hAnsi="AAA GoldenLotus"/>
          <w:sz w:val="27"/>
          <w:rtl/>
        </w:rPr>
        <w:t xml:space="preserve"> والأنوثة لا تمنع من ذلك.</w:t>
      </w:r>
    </w:p>
    <w:p w:rsidR="00E355F2" w:rsidRPr="00282AC9" w:rsidRDefault="00E355F2" w:rsidP="00046546">
      <w:pPr>
        <w:rPr>
          <w:rFonts w:ascii="AAA GoldenLotus" w:hAnsi="AAA GoldenLotus"/>
          <w:sz w:val="27"/>
          <w:rtl/>
        </w:rPr>
      </w:pPr>
      <w:r w:rsidRPr="00282AC9">
        <w:rPr>
          <w:rFonts w:ascii="AAA GoldenLotus" w:hAnsi="AAA GoldenLotus"/>
          <w:sz w:val="27"/>
          <w:rtl/>
        </w:rPr>
        <w:t>وفي المقابل ذهب آخرون إلى أن حدّ قطع الطريق يستوي فيه الرجل والمرأة</w:t>
      </w:r>
      <w:r w:rsidR="00D15500" w:rsidRPr="00282AC9">
        <w:rPr>
          <w:rFonts w:ascii="AAA GoldenLotus" w:hAnsi="AAA GoldenLotus" w:hint="cs"/>
          <w:sz w:val="27"/>
          <w:rtl/>
        </w:rPr>
        <w:t>؛</w:t>
      </w:r>
      <w:r w:rsidRPr="00282AC9">
        <w:rPr>
          <w:rFonts w:ascii="AAA GoldenLotus" w:hAnsi="AAA GoldenLotus"/>
          <w:sz w:val="27"/>
          <w:rtl/>
        </w:rPr>
        <w:t xml:space="preserve"> فإن الحدّ مهما كان</w:t>
      </w:r>
      <w:r w:rsidR="00D15500" w:rsidRPr="00282AC9">
        <w:rPr>
          <w:rFonts w:ascii="AAA GoldenLotus" w:hAnsi="AAA GoldenLotus" w:hint="cs"/>
          <w:sz w:val="27"/>
          <w:rtl/>
        </w:rPr>
        <w:t>،</w:t>
      </w:r>
      <w:r w:rsidRPr="00282AC9">
        <w:rPr>
          <w:rFonts w:ascii="AAA GoldenLotus" w:hAnsi="AAA GoldenLotus"/>
          <w:sz w:val="27"/>
          <w:rtl/>
        </w:rPr>
        <w:t xml:space="preserve"> قطعاً أو قتلاً</w:t>
      </w:r>
      <w:r w:rsidR="00D15500" w:rsidRPr="00282AC9">
        <w:rPr>
          <w:rFonts w:ascii="AAA GoldenLotus" w:hAnsi="AAA GoldenLotus" w:hint="cs"/>
          <w:sz w:val="27"/>
          <w:rtl/>
        </w:rPr>
        <w:t>،</w:t>
      </w:r>
      <w:r w:rsidRPr="00282AC9">
        <w:rPr>
          <w:rFonts w:ascii="AAA GoldenLotus" w:hAnsi="AAA GoldenLotus"/>
          <w:sz w:val="27"/>
          <w:rtl/>
        </w:rPr>
        <w:t xml:space="preserve"> تشترك فيه المرأة مع الرجل؛ إذ كل</w:t>
      </w:r>
      <w:r w:rsidR="00D15500" w:rsidRPr="00282AC9">
        <w:rPr>
          <w:rFonts w:ascii="AAA GoldenLotus" w:hAnsi="AAA GoldenLotus" w:hint="cs"/>
          <w:sz w:val="27"/>
          <w:rtl/>
        </w:rPr>
        <w:t>ٌّ</w:t>
      </w:r>
      <w:r w:rsidRPr="00282AC9">
        <w:rPr>
          <w:rFonts w:ascii="AAA GoldenLotus" w:hAnsi="AAA GoldenLotus"/>
          <w:sz w:val="27"/>
          <w:rtl/>
        </w:rPr>
        <w:t xml:space="preserve"> من القطع </w:t>
      </w:r>
      <w:r w:rsidRPr="00282AC9">
        <w:rPr>
          <w:rFonts w:ascii="AAA GoldenLotus" w:hAnsi="AAA GoldenLotus"/>
          <w:sz w:val="27"/>
          <w:rtl/>
        </w:rPr>
        <w:lastRenderedPageBreak/>
        <w:t>والقتل لا يشترط فيه الذكورة والأنوثة</w:t>
      </w:r>
      <w:r w:rsidR="00D15500" w:rsidRPr="00282AC9">
        <w:rPr>
          <w:rFonts w:ascii="AAA GoldenLotus" w:hAnsi="AAA GoldenLotus" w:hint="cs"/>
          <w:sz w:val="27"/>
          <w:rtl/>
        </w:rPr>
        <w:t>.</w:t>
      </w:r>
      <w:r w:rsidRPr="00282AC9">
        <w:rPr>
          <w:rFonts w:ascii="AAA GoldenLotus" w:hAnsi="AAA GoldenLotus"/>
          <w:sz w:val="27"/>
          <w:rtl/>
        </w:rPr>
        <w:t xml:space="preserve"> فمقتضى قاعدة </w:t>
      </w:r>
      <w:r w:rsidR="00D15500" w:rsidRPr="00282AC9">
        <w:rPr>
          <w:rFonts w:ascii="AAA GoldenLotus" w:hAnsi="AAA GoldenLotus" w:hint="cs"/>
          <w:sz w:val="27"/>
          <w:rtl/>
        </w:rPr>
        <w:t>(</w:t>
      </w:r>
      <w:r w:rsidRPr="00282AC9">
        <w:rPr>
          <w:rFonts w:ascii="AAA GoldenLotus" w:hAnsi="AAA GoldenLotus"/>
          <w:sz w:val="27"/>
          <w:rtl/>
        </w:rPr>
        <w:t>النساء شقائق الرجال</w:t>
      </w:r>
      <w:r w:rsidR="00D15500" w:rsidRPr="00282AC9">
        <w:rPr>
          <w:rFonts w:ascii="AAA GoldenLotus" w:hAnsi="AAA GoldenLotus" w:hint="cs"/>
          <w:sz w:val="27"/>
          <w:rtl/>
        </w:rPr>
        <w:t>)</w:t>
      </w:r>
      <w:r w:rsidRPr="00282AC9">
        <w:rPr>
          <w:rFonts w:ascii="AAA GoldenLotus" w:hAnsi="AAA GoldenLotus"/>
          <w:sz w:val="27"/>
          <w:rtl/>
        </w:rPr>
        <w:t xml:space="preserve"> أو قاعدة اشتراك الرجل والمرأة في التكليف عدم الف</w:t>
      </w:r>
      <w:r w:rsidR="00D15500" w:rsidRPr="00282AC9">
        <w:rPr>
          <w:rFonts w:ascii="AAA GoldenLotus" w:hAnsi="AAA GoldenLotus" w:hint="cs"/>
          <w:sz w:val="27"/>
          <w:rtl/>
        </w:rPr>
        <w:t>َ</w:t>
      </w:r>
      <w:r w:rsidRPr="00282AC9">
        <w:rPr>
          <w:rFonts w:ascii="AAA GoldenLotus" w:hAnsi="AAA GoldenLotus"/>
          <w:sz w:val="27"/>
          <w:rtl/>
        </w:rPr>
        <w:t>ر</w:t>
      </w:r>
      <w:r w:rsidR="00D15500" w:rsidRPr="00282AC9">
        <w:rPr>
          <w:rFonts w:ascii="AAA GoldenLotus" w:hAnsi="AAA GoldenLotus" w:hint="cs"/>
          <w:sz w:val="27"/>
          <w:rtl/>
        </w:rPr>
        <w:t>ْ</w:t>
      </w:r>
      <w:r w:rsidRPr="00282AC9">
        <w:rPr>
          <w:rFonts w:ascii="AAA GoldenLotus" w:hAnsi="AAA GoldenLotus"/>
          <w:sz w:val="27"/>
          <w:rtl/>
        </w:rPr>
        <w:t>ق في ذلك</w:t>
      </w:r>
      <w:r w:rsidR="00D15500" w:rsidRPr="00282AC9">
        <w:rPr>
          <w:rFonts w:ascii="AAA GoldenLotus" w:hAnsi="AAA GoldenLotus" w:hint="cs"/>
          <w:sz w:val="27"/>
          <w:rtl/>
        </w:rPr>
        <w:t>،</w:t>
      </w:r>
      <w:r w:rsidRPr="00282AC9">
        <w:rPr>
          <w:rFonts w:ascii="AAA GoldenLotus" w:hAnsi="AAA GoldenLotus"/>
          <w:sz w:val="27"/>
          <w:rtl/>
        </w:rPr>
        <w:t xml:space="preserve"> ما لم يق</w:t>
      </w:r>
      <w:r w:rsidR="00D15500" w:rsidRPr="00282AC9">
        <w:rPr>
          <w:rFonts w:ascii="AAA GoldenLotus" w:hAnsi="AAA GoldenLotus" w:hint="cs"/>
          <w:sz w:val="27"/>
          <w:rtl/>
        </w:rPr>
        <w:t>ُ</w:t>
      </w:r>
      <w:r w:rsidRPr="00282AC9">
        <w:rPr>
          <w:rFonts w:ascii="AAA GoldenLotus" w:hAnsi="AAA GoldenLotus"/>
          <w:sz w:val="27"/>
          <w:rtl/>
        </w:rPr>
        <w:t>م</w:t>
      </w:r>
      <w:r w:rsidR="00D15500" w:rsidRPr="00282AC9">
        <w:rPr>
          <w:rFonts w:ascii="AAA GoldenLotus" w:hAnsi="AAA GoldenLotus" w:hint="cs"/>
          <w:sz w:val="27"/>
          <w:rtl/>
        </w:rPr>
        <w:t>ْ</w:t>
      </w:r>
      <w:r w:rsidRPr="00282AC9">
        <w:rPr>
          <w:rFonts w:ascii="AAA GoldenLotus" w:hAnsi="AAA GoldenLotus"/>
          <w:sz w:val="27"/>
          <w:rtl/>
        </w:rPr>
        <w:t xml:space="preserve"> دليل</w:t>
      </w:r>
      <w:r w:rsidR="00D15500" w:rsidRPr="00282AC9">
        <w:rPr>
          <w:rFonts w:ascii="AAA GoldenLotus" w:hAnsi="AAA GoldenLotus" w:hint="cs"/>
          <w:sz w:val="27"/>
          <w:rtl/>
        </w:rPr>
        <w:t>ٌ</w:t>
      </w:r>
      <w:r w:rsidRPr="00282AC9">
        <w:rPr>
          <w:rFonts w:ascii="AAA GoldenLotus" w:hAnsi="AAA GoldenLotus"/>
          <w:sz w:val="27"/>
          <w:rtl/>
        </w:rPr>
        <w:t xml:space="preserve"> على اشتراط الذكورة</w:t>
      </w:r>
      <w:r w:rsidRPr="00282AC9">
        <w:rPr>
          <w:rFonts w:ascii="AAA GoldenLotus" w:hAnsi="AAA GoldenLotus"/>
          <w:sz w:val="27"/>
          <w:vertAlign w:val="superscript"/>
          <w:rtl/>
        </w:rPr>
        <w:t>(</w:t>
      </w:r>
      <w:r w:rsidRPr="00282AC9">
        <w:rPr>
          <w:rFonts w:ascii="AAA GoldenLotus" w:hAnsi="AAA GoldenLotus"/>
          <w:sz w:val="27"/>
          <w:vertAlign w:val="superscript"/>
          <w:rtl/>
        </w:rPr>
        <w:endnoteReference w:id="405"/>
      </w:r>
      <w:r w:rsidRPr="00282AC9">
        <w:rPr>
          <w:rFonts w:ascii="AAA GoldenLotus" w:hAnsi="AAA GoldenLotus"/>
          <w:sz w:val="27"/>
          <w:vertAlign w:val="superscript"/>
          <w:rtl/>
        </w:rPr>
        <w:t>)</w:t>
      </w:r>
      <w:r w:rsidRPr="00282AC9">
        <w:rPr>
          <w:rFonts w:ascii="AAA GoldenLotus" w:hAnsi="AAA GoldenLotus"/>
          <w:sz w:val="27"/>
          <w:rtl/>
        </w:rPr>
        <w:t>.</w:t>
      </w:r>
    </w:p>
    <w:p w:rsidR="009C287D" w:rsidRPr="00282AC9" w:rsidRDefault="009C287D" w:rsidP="009C287D">
      <w:pPr>
        <w:spacing w:line="420" w:lineRule="exact"/>
        <w:rPr>
          <w:rtl/>
        </w:rPr>
      </w:pPr>
    </w:p>
    <w:p w:rsidR="00E355F2" w:rsidRPr="00282AC9" w:rsidRDefault="00146D9A" w:rsidP="007D08F4">
      <w:pPr>
        <w:pStyle w:val="31"/>
        <w:rPr>
          <w:color w:val="auto"/>
          <w:rtl/>
        </w:rPr>
      </w:pPr>
      <w:r w:rsidRPr="00282AC9">
        <w:rPr>
          <w:rFonts w:hint="cs"/>
          <w:color w:val="auto"/>
          <w:rtl/>
        </w:rPr>
        <w:t xml:space="preserve">8ـ </w:t>
      </w:r>
      <w:r w:rsidR="00E355F2" w:rsidRPr="00282AC9">
        <w:rPr>
          <w:color w:val="auto"/>
          <w:rtl/>
        </w:rPr>
        <w:t xml:space="preserve">الخاتمة </w:t>
      </w:r>
    </w:p>
    <w:p w:rsidR="00E355F2" w:rsidRPr="00282AC9" w:rsidRDefault="00E355F2" w:rsidP="00046546">
      <w:pPr>
        <w:rPr>
          <w:rFonts w:ascii="AAA GoldenLotus" w:hAnsi="AAA GoldenLotus"/>
          <w:sz w:val="27"/>
          <w:rtl/>
        </w:rPr>
      </w:pPr>
      <w:r w:rsidRPr="00282AC9">
        <w:rPr>
          <w:rFonts w:ascii="AAA GoldenLotus" w:hAnsi="AAA GoldenLotus"/>
          <w:sz w:val="27"/>
          <w:rtl/>
        </w:rPr>
        <w:t>1ـ لقد اختلف الفريق</w:t>
      </w:r>
      <w:r w:rsidR="00D15500" w:rsidRPr="00282AC9">
        <w:rPr>
          <w:rFonts w:ascii="AAA GoldenLotus" w:hAnsi="AAA GoldenLotus" w:hint="cs"/>
          <w:sz w:val="27"/>
          <w:rtl/>
        </w:rPr>
        <w:t>ا</w:t>
      </w:r>
      <w:r w:rsidRPr="00282AC9">
        <w:rPr>
          <w:rFonts w:ascii="AAA GoldenLotus" w:hAnsi="AAA GoldenLotus"/>
          <w:sz w:val="27"/>
          <w:rtl/>
        </w:rPr>
        <w:t>ن في عنوان القاعدة المبحوث عنها</w:t>
      </w:r>
      <w:r w:rsidR="00D15500" w:rsidRPr="00282AC9">
        <w:rPr>
          <w:rFonts w:ascii="AAA GoldenLotus" w:hAnsi="AAA GoldenLotus" w:hint="cs"/>
          <w:sz w:val="27"/>
          <w:rtl/>
        </w:rPr>
        <w:t>،</w:t>
      </w:r>
      <w:r w:rsidRPr="00282AC9">
        <w:rPr>
          <w:rFonts w:ascii="AAA GoldenLotus" w:hAnsi="AAA GoldenLotus"/>
          <w:sz w:val="27"/>
          <w:rtl/>
        </w:rPr>
        <w:t xml:space="preserve"> حيث ع</w:t>
      </w:r>
      <w:r w:rsidR="00D15500" w:rsidRPr="00282AC9">
        <w:rPr>
          <w:rFonts w:ascii="AAA GoldenLotus" w:hAnsi="AAA GoldenLotus" w:hint="cs"/>
          <w:sz w:val="27"/>
          <w:rtl/>
        </w:rPr>
        <w:t>ُ</w:t>
      </w:r>
      <w:r w:rsidRPr="00282AC9">
        <w:rPr>
          <w:rFonts w:ascii="AAA GoldenLotus" w:hAnsi="AAA GoldenLotus"/>
          <w:sz w:val="27"/>
          <w:rtl/>
        </w:rPr>
        <w:t>نون</w:t>
      </w:r>
      <w:r w:rsidR="00D15500" w:rsidRPr="00282AC9">
        <w:rPr>
          <w:rFonts w:ascii="AAA GoldenLotus" w:hAnsi="AAA GoldenLotus" w:hint="cs"/>
          <w:sz w:val="27"/>
          <w:rtl/>
        </w:rPr>
        <w:t>َ</w:t>
      </w:r>
      <w:r w:rsidRPr="00282AC9">
        <w:rPr>
          <w:rFonts w:ascii="AAA GoldenLotus" w:hAnsi="AAA GoldenLotus"/>
          <w:sz w:val="27"/>
          <w:rtl/>
        </w:rPr>
        <w:t>ت</w:t>
      </w:r>
      <w:r w:rsidR="00D15500" w:rsidRPr="00282AC9">
        <w:rPr>
          <w:rFonts w:ascii="AAA GoldenLotus" w:hAnsi="AAA GoldenLotus" w:hint="cs"/>
          <w:sz w:val="27"/>
          <w:rtl/>
        </w:rPr>
        <w:t>ْ</w:t>
      </w:r>
      <w:r w:rsidRPr="00282AC9">
        <w:rPr>
          <w:rFonts w:ascii="AAA GoldenLotus" w:hAnsi="AAA GoldenLotus"/>
          <w:sz w:val="27"/>
          <w:rtl/>
        </w:rPr>
        <w:t xml:space="preserve"> عند:</w:t>
      </w:r>
    </w:p>
    <w:p w:rsidR="00E355F2" w:rsidRPr="00282AC9" w:rsidRDefault="00E355F2" w:rsidP="00046546">
      <w:pPr>
        <w:rPr>
          <w:rFonts w:ascii="AAA GoldenLotus" w:hAnsi="AAA GoldenLotus"/>
          <w:sz w:val="27"/>
          <w:rtl/>
        </w:rPr>
      </w:pPr>
      <w:r w:rsidRPr="00282AC9">
        <w:rPr>
          <w:rFonts w:ascii="AAA GoldenLotus" w:hAnsi="AAA GoldenLotus"/>
          <w:b/>
          <w:bCs/>
          <w:sz w:val="27"/>
          <w:rtl/>
        </w:rPr>
        <w:t>أـ الإمامية</w:t>
      </w:r>
      <w:r w:rsidR="00D15500" w:rsidRPr="00282AC9">
        <w:rPr>
          <w:rFonts w:ascii="AAA GoldenLotus" w:hAnsi="AAA GoldenLotus" w:hint="cs"/>
          <w:sz w:val="27"/>
          <w:rtl/>
        </w:rPr>
        <w:t xml:space="preserve"> بـ</w:t>
      </w:r>
      <w:r w:rsidRPr="00282AC9">
        <w:rPr>
          <w:rFonts w:ascii="AAA GoldenLotus" w:hAnsi="AAA GoldenLotus"/>
          <w:sz w:val="27"/>
          <w:rtl/>
        </w:rPr>
        <w:t xml:space="preserve"> </w:t>
      </w:r>
      <w:r w:rsidRPr="00282AC9">
        <w:rPr>
          <w:rFonts w:ascii="AAA GoldenLotus" w:hAnsi="AAA GoldenLotus" w:hint="cs"/>
          <w:sz w:val="27"/>
          <w:rtl/>
        </w:rPr>
        <w:t>(</w:t>
      </w:r>
      <w:r w:rsidRPr="00282AC9">
        <w:rPr>
          <w:rFonts w:ascii="AAA GoldenLotus" w:hAnsi="AAA GoldenLotus"/>
          <w:sz w:val="27"/>
          <w:rtl/>
        </w:rPr>
        <w:t>قاعدة اشتراك الأحكام الشرعية بين الرجال والنساء</w:t>
      </w:r>
      <w:r w:rsidRPr="00282AC9">
        <w:rPr>
          <w:rFonts w:ascii="AAA GoldenLotus" w:hAnsi="AAA GoldenLotus" w:hint="cs"/>
          <w:sz w:val="27"/>
          <w:rtl/>
        </w:rPr>
        <w:t>)</w:t>
      </w:r>
      <w:r w:rsidR="00D15500" w:rsidRPr="00282AC9">
        <w:rPr>
          <w:rFonts w:ascii="AAA GoldenLotus" w:hAnsi="AAA GoldenLotus" w:hint="cs"/>
          <w:sz w:val="27"/>
          <w:rtl/>
        </w:rPr>
        <w:t>.</w:t>
      </w:r>
      <w:r w:rsidRPr="00282AC9">
        <w:rPr>
          <w:rFonts w:ascii="AAA GoldenLotus" w:hAnsi="AAA GoldenLotus"/>
          <w:sz w:val="27"/>
          <w:rtl/>
        </w:rPr>
        <w:t xml:space="preserve"> وهو ينطبق على مضمون القاعدة</w:t>
      </w:r>
      <w:r w:rsidR="00D15500" w:rsidRPr="00282AC9">
        <w:rPr>
          <w:rFonts w:ascii="AAA GoldenLotus" w:hAnsi="AAA GoldenLotus" w:hint="cs"/>
          <w:sz w:val="27"/>
          <w:rtl/>
        </w:rPr>
        <w:t>،</w:t>
      </w:r>
      <w:r w:rsidRPr="00282AC9">
        <w:rPr>
          <w:rFonts w:ascii="AAA GoldenLotus" w:hAnsi="AAA GoldenLotus"/>
          <w:sz w:val="27"/>
          <w:rtl/>
        </w:rPr>
        <w:t xml:space="preserve"> وما يُراد إثباته منها</w:t>
      </w:r>
      <w:r w:rsidR="00D15500" w:rsidRPr="00282AC9">
        <w:rPr>
          <w:rFonts w:ascii="AAA GoldenLotus" w:hAnsi="AAA GoldenLotus" w:hint="cs"/>
          <w:sz w:val="27"/>
          <w:rtl/>
        </w:rPr>
        <w:t>،</w:t>
      </w:r>
      <w:r w:rsidRPr="00282AC9">
        <w:rPr>
          <w:rFonts w:ascii="AAA GoldenLotus" w:hAnsi="AAA GoldenLotus"/>
          <w:sz w:val="27"/>
          <w:rtl/>
        </w:rPr>
        <w:t xml:space="preserve"> بحيث لا ي</w:t>
      </w:r>
      <w:r w:rsidR="00D15500" w:rsidRPr="00282AC9">
        <w:rPr>
          <w:rFonts w:ascii="AAA GoldenLotus" w:hAnsi="AAA GoldenLotus" w:hint="cs"/>
          <w:sz w:val="27"/>
          <w:rtl/>
        </w:rPr>
        <w:t>َ</w:t>
      </w:r>
      <w:r w:rsidRPr="00282AC9">
        <w:rPr>
          <w:rFonts w:ascii="AAA GoldenLotus" w:hAnsi="AAA GoldenLotus"/>
          <w:sz w:val="27"/>
          <w:rtl/>
        </w:rPr>
        <w:t>ر</w:t>
      </w:r>
      <w:r w:rsidR="00D15500" w:rsidRPr="00282AC9">
        <w:rPr>
          <w:rFonts w:ascii="AAA GoldenLotus" w:hAnsi="AAA GoldenLotus" w:hint="cs"/>
          <w:sz w:val="27"/>
          <w:rtl/>
        </w:rPr>
        <w:t>ِ</w:t>
      </w:r>
      <w:r w:rsidRPr="00282AC9">
        <w:rPr>
          <w:rFonts w:ascii="AAA GoldenLotus" w:hAnsi="AAA GoldenLotus"/>
          <w:sz w:val="27"/>
          <w:rtl/>
        </w:rPr>
        <w:t>د</w:t>
      </w:r>
      <w:r w:rsidR="00D15500" w:rsidRPr="00282AC9">
        <w:rPr>
          <w:rFonts w:ascii="AAA GoldenLotus" w:hAnsi="AAA GoldenLotus" w:hint="cs"/>
          <w:sz w:val="27"/>
          <w:rtl/>
        </w:rPr>
        <w:t>ُ</w:t>
      </w:r>
      <w:r w:rsidRPr="00282AC9">
        <w:rPr>
          <w:rFonts w:ascii="AAA GoldenLotus" w:hAnsi="AAA GoldenLotus"/>
          <w:sz w:val="27"/>
          <w:rtl/>
        </w:rPr>
        <w:t xml:space="preserve"> عليه إشكال</w:t>
      </w:r>
      <w:r w:rsidR="00D15500" w:rsidRPr="00282AC9">
        <w:rPr>
          <w:rFonts w:ascii="AAA GoldenLotus" w:hAnsi="AAA GoldenLotus" w:hint="cs"/>
          <w:sz w:val="27"/>
          <w:rtl/>
        </w:rPr>
        <w:t>ٌ</w:t>
      </w:r>
      <w:r w:rsidRPr="00282AC9">
        <w:rPr>
          <w:rFonts w:ascii="AAA GoldenLotus" w:hAnsi="AAA GoldenLotus"/>
          <w:sz w:val="27"/>
          <w:rtl/>
        </w:rPr>
        <w:t xml:space="preserve"> يزعزع كل</w:t>
      </w:r>
      <w:r w:rsidR="00D15500" w:rsidRPr="00282AC9">
        <w:rPr>
          <w:rFonts w:ascii="AAA GoldenLotus" w:hAnsi="AAA GoldenLotus" w:hint="cs"/>
          <w:sz w:val="27"/>
          <w:rtl/>
        </w:rPr>
        <w:t>ِّ</w:t>
      </w:r>
      <w:r w:rsidRPr="00282AC9">
        <w:rPr>
          <w:rFonts w:ascii="AAA GoldenLotus" w:hAnsi="AAA GoldenLotus"/>
          <w:sz w:val="27"/>
          <w:rtl/>
        </w:rPr>
        <w:t>يتها وعمومها وقاعدي</w:t>
      </w:r>
      <w:r w:rsidR="00D15500" w:rsidRPr="00282AC9">
        <w:rPr>
          <w:rFonts w:ascii="AAA GoldenLotus" w:hAnsi="AAA GoldenLotus" w:hint="cs"/>
          <w:sz w:val="27"/>
          <w:rtl/>
        </w:rPr>
        <w:t>ّ</w:t>
      </w:r>
      <w:r w:rsidRPr="00282AC9">
        <w:rPr>
          <w:rFonts w:ascii="AAA GoldenLotus" w:hAnsi="AAA GoldenLotus"/>
          <w:sz w:val="27"/>
          <w:rtl/>
        </w:rPr>
        <w:t xml:space="preserve">تها. </w:t>
      </w:r>
    </w:p>
    <w:p w:rsidR="00E355F2" w:rsidRPr="00282AC9" w:rsidRDefault="00E355F2" w:rsidP="00046546">
      <w:pPr>
        <w:rPr>
          <w:rFonts w:ascii="AAA GoldenLotus" w:hAnsi="AAA GoldenLotus"/>
          <w:sz w:val="27"/>
          <w:rtl/>
        </w:rPr>
      </w:pPr>
      <w:r w:rsidRPr="00282AC9">
        <w:rPr>
          <w:rFonts w:ascii="AAA GoldenLotus" w:hAnsi="AAA GoldenLotus"/>
          <w:b/>
          <w:bCs/>
          <w:sz w:val="27"/>
          <w:rtl/>
        </w:rPr>
        <w:t>ب ـ جمهور المذاهب</w:t>
      </w:r>
      <w:r w:rsidR="00D15500" w:rsidRPr="00282AC9">
        <w:rPr>
          <w:rFonts w:ascii="AAA GoldenLotus" w:hAnsi="AAA GoldenLotus" w:hint="cs"/>
          <w:sz w:val="27"/>
          <w:rtl/>
        </w:rPr>
        <w:t xml:space="preserve"> بـ</w:t>
      </w:r>
      <w:r w:rsidRPr="00282AC9">
        <w:rPr>
          <w:rFonts w:ascii="AAA GoldenLotus" w:hAnsi="AAA GoldenLotus"/>
          <w:sz w:val="27"/>
          <w:rtl/>
        </w:rPr>
        <w:t xml:space="preserve"> </w:t>
      </w:r>
      <w:r w:rsidRPr="00282AC9">
        <w:rPr>
          <w:rFonts w:ascii="AAA GoldenLotus" w:hAnsi="AAA GoldenLotus" w:hint="cs"/>
          <w:sz w:val="27"/>
          <w:rtl/>
        </w:rPr>
        <w:t>(</w:t>
      </w:r>
      <w:r w:rsidRPr="00282AC9">
        <w:rPr>
          <w:rFonts w:ascii="AAA GoldenLotus" w:hAnsi="AAA GoldenLotus"/>
          <w:sz w:val="27"/>
          <w:rtl/>
        </w:rPr>
        <w:t>النساء شقائق الرجال</w:t>
      </w:r>
      <w:r w:rsidRPr="00282AC9">
        <w:rPr>
          <w:rFonts w:ascii="AAA GoldenLotus" w:hAnsi="AAA GoldenLotus" w:hint="cs"/>
          <w:sz w:val="27"/>
          <w:rtl/>
        </w:rPr>
        <w:t>)</w:t>
      </w:r>
      <w:r w:rsidR="00D15500" w:rsidRPr="00282AC9">
        <w:rPr>
          <w:rFonts w:ascii="AAA GoldenLotus" w:hAnsi="AAA GoldenLotus" w:hint="cs"/>
          <w:sz w:val="27"/>
          <w:rtl/>
        </w:rPr>
        <w:t>،</w:t>
      </w:r>
      <w:r w:rsidRPr="00282AC9">
        <w:rPr>
          <w:rFonts w:ascii="AAA GoldenLotus" w:hAnsi="AAA GoldenLotus"/>
          <w:sz w:val="27"/>
          <w:rtl/>
        </w:rPr>
        <w:t xml:space="preserve"> الذي معناه النظ</w:t>
      </w:r>
      <w:r w:rsidR="00D15500" w:rsidRPr="00282AC9">
        <w:rPr>
          <w:rFonts w:ascii="AAA GoldenLotus" w:hAnsi="AAA GoldenLotus" w:hint="cs"/>
          <w:sz w:val="27"/>
          <w:rtl/>
        </w:rPr>
        <w:t>ير،</w:t>
      </w:r>
      <w:r w:rsidRPr="00282AC9">
        <w:rPr>
          <w:rFonts w:ascii="AAA GoldenLotus" w:hAnsi="AAA GoldenLotus"/>
          <w:sz w:val="27"/>
          <w:rtl/>
        </w:rPr>
        <w:t xml:space="preserve"> أي المساوي من جميع الجهات</w:t>
      </w:r>
      <w:r w:rsidR="007D28C6" w:rsidRPr="00282AC9">
        <w:rPr>
          <w:rFonts w:ascii="AAA GoldenLotus" w:hAnsi="AAA GoldenLotus" w:hint="cs"/>
          <w:sz w:val="27"/>
          <w:rtl/>
        </w:rPr>
        <w:t>.</w:t>
      </w:r>
      <w:r w:rsidRPr="00282AC9">
        <w:rPr>
          <w:rFonts w:ascii="AAA GoldenLotus" w:hAnsi="AAA GoldenLotus"/>
          <w:sz w:val="27"/>
          <w:rtl/>
        </w:rPr>
        <w:t xml:space="preserve"> </w:t>
      </w:r>
      <w:r w:rsidR="007D28C6" w:rsidRPr="00282AC9">
        <w:rPr>
          <w:rFonts w:ascii="AAA GoldenLotus" w:hAnsi="AAA GoldenLotus" w:hint="cs"/>
          <w:sz w:val="27"/>
          <w:rtl/>
        </w:rPr>
        <w:t>و</w:t>
      </w:r>
      <w:r w:rsidRPr="00282AC9">
        <w:rPr>
          <w:rFonts w:ascii="AAA GoldenLotus" w:hAnsi="AAA GoldenLotus"/>
          <w:sz w:val="27"/>
          <w:rtl/>
        </w:rPr>
        <w:t>إن هذا لا ينطبق مع مضامين القاعدة.</w:t>
      </w:r>
    </w:p>
    <w:p w:rsidR="00E355F2" w:rsidRPr="00282AC9" w:rsidRDefault="00E355F2" w:rsidP="00046546">
      <w:pPr>
        <w:rPr>
          <w:rFonts w:ascii="AAA GoldenLotus" w:hAnsi="AAA GoldenLotus"/>
          <w:sz w:val="27"/>
          <w:rtl/>
        </w:rPr>
      </w:pPr>
      <w:r w:rsidRPr="00282AC9">
        <w:rPr>
          <w:rFonts w:ascii="AAA GoldenLotus" w:hAnsi="AAA GoldenLotus"/>
          <w:sz w:val="27"/>
          <w:rtl/>
        </w:rPr>
        <w:t>2ـ إنّ مفاد قاعدة اشتراك الأحكام بين الرجال والنساء عند جميع المذاهب الفقهي</w:t>
      </w:r>
      <w:r w:rsidR="007D28C6" w:rsidRPr="00282AC9">
        <w:rPr>
          <w:rFonts w:ascii="AAA GoldenLotus" w:hAnsi="AAA GoldenLotus" w:hint="cs"/>
          <w:sz w:val="27"/>
          <w:rtl/>
        </w:rPr>
        <w:t>ّ</w:t>
      </w:r>
      <w:r w:rsidRPr="00282AC9">
        <w:rPr>
          <w:rFonts w:ascii="AAA GoldenLotus" w:hAnsi="AAA GoldenLotus"/>
          <w:sz w:val="27"/>
          <w:rtl/>
        </w:rPr>
        <w:t>ة تتكف</w:t>
      </w:r>
      <w:r w:rsidR="007D28C6" w:rsidRPr="00282AC9">
        <w:rPr>
          <w:rFonts w:ascii="AAA GoldenLotus" w:hAnsi="AAA GoldenLotus" w:hint="cs"/>
          <w:sz w:val="27"/>
          <w:rtl/>
        </w:rPr>
        <w:t>َّ</w:t>
      </w:r>
      <w:r w:rsidRPr="00282AC9">
        <w:rPr>
          <w:rFonts w:ascii="AAA GoldenLotus" w:hAnsi="AAA GoldenLotus"/>
          <w:sz w:val="27"/>
          <w:rtl/>
        </w:rPr>
        <w:t>ل إثبات الاشتراك في الأحكام الفرعي</w:t>
      </w:r>
      <w:r w:rsidR="007D28C6" w:rsidRPr="00282AC9">
        <w:rPr>
          <w:rFonts w:ascii="AAA GoldenLotus" w:hAnsi="AAA GoldenLotus" w:hint="cs"/>
          <w:sz w:val="27"/>
          <w:rtl/>
        </w:rPr>
        <w:t>ّ</w:t>
      </w:r>
      <w:r w:rsidRPr="00282AC9">
        <w:rPr>
          <w:rFonts w:ascii="AAA GoldenLotus" w:hAnsi="AAA GoldenLotus"/>
          <w:sz w:val="27"/>
          <w:rtl/>
        </w:rPr>
        <w:t>ة</w:t>
      </w:r>
      <w:r w:rsidR="007D28C6" w:rsidRPr="00282AC9">
        <w:rPr>
          <w:rFonts w:ascii="AAA GoldenLotus" w:hAnsi="AAA GoldenLotus" w:hint="cs"/>
          <w:sz w:val="27"/>
          <w:rtl/>
        </w:rPr>
        <w:t>،</w:t>
      </w:r>
      <w:r w:rsidRPr="00282AC9">
        <w:rPr>
          <w:rFonts w:ascii="AAA GoldenLotus" w:hAnsi="AAA GoldenLotus"/>
          <w:sz w:val="27"/>
          <w:rtl/>
        </w:rPr>
        <w:t xml:space="preserve"> التكليفية والوضعي</w:t>
      </w:r>
      <w:r w:rsidR="007D28C6" w:rsidRPr="00282AC9">
        <w:rPr>
          <w:rFonts w:ascii="AAA GoldenLotus" w:hAnsi="AAA GoldenLotus" w:hint="cs"/>
          <w:sz w:val="27"/>
          <w:rtl/>
        </w:rPr>
        <w:t>ّ</w:t>
      </w:r>
      <w:r w:rsidRPr="00282AC9">
        <w:rPr>
          <w:rFonts w:ascii="AAA GoldenLotus" w:hAnsi="AAA GoldenLotus"/>
          <w:sz w:val="27"/>
          <w:rtl/>
        </w:rPr>
        <w:t>ة</w:t>
      </w:r>
      <w:r w:rsidR="007D28C6" w:rsidRPr="00282AC9">
        <w:rPr>
          <w:rFonts w:ascii="AAA GoldenLotus" w:hAnsi="AAA GoldenLotus" w:hint="cs"/>
          <w:sz w:val="27"/>
          <w:rtl/>
        </w:rPr>
        <w:t>،</w:t>
      </w:r>
      <w:r w:rsidRPr="00282AC9">
        <w:rPr>
          <w:rFonts w:ascii="AAA GoldenLotus" w:hAnsi="AAA GoldenLotus"/>
          <w:sz w:val="27"/>
          <w:rtl/>
        </w:rPr>
        <w:t xml:space="preserve"> لا العقائد الديني</w:t>
      </w:r>
      <w:r w:rsidR="007D28C6" w:rsidRPr="00282AC9">
        <w:rPr>
          <w:rFonts w:ascii="AAA GoldenLotus" w:hAnsi="AAA GoldenLotus" w:hint="cs"/>
          <w:sz w:val="27"/>
          <w:rtl/>
        </w:rPr>
        <w:t>ّ</w:t>
      </w:r>
      <w:r w:rsidRPr="00282AC9">
        <w:rPr>
          <w:rFonts w:ascii="AAA GoldenLotus" w:hAnsi="AAA GoldenLotus"/>
          <w:sz w:val="27"/>
          <w:rtl/>
        </w:rPr>
        <w:t>ة</w:t>
      </w:r>
      <w:r w:rsidR="007D28C6" w:rsidRPr="00282AC9">
        <w:rPr>
          <w:rFonts w:ascii="AAA GoldenLotus" w:hAnsi="AAA GoldenLotus" w:hint="cs"/>
          <w:sz w:val="27"/>
          <w:rtl/>
        </w:rPr>
        <w:t>،</w:t>
      </w:r>
      <w:r w:rsidRPr="00282AC9">
        <w:rPr>
          <w:rFonts w:ascii="AAA GoldenLotus" w:hAnsi="AAA GoldenLotus"/>
          <w:sz w:val="27"/>
          <w:rtl/>
        </w:rPr>
        <w:t xml:space="preserve"> فكان تعبيرهم كالتالي:</w:t>
      </w:r>
    </w:p>
    <w:p w:rsidR="00E355F2" w:rsidRPr="00282AC9" w:rsidRDefault="00E355F2" w:rsidP="00046546">
      <w:pPr>
        <w:rPr>
          <w:rFonts w:ascii="AAA GoldenLotus" w:hAnsi="AAA GoldenLotus"/>
          <w:sz w:val="27"/>
          <w:rtl/>
        </w:rPr>
      </w:pPr>
      <w:r w:rsidRPr="00282AC9">
        <w:rPr>
          <w:rFonts w:ascii="AAA GoldenLotus" w:hAnsi="AAA GoldenLotus"/>
          <w:b/>
          <w:bCs/>
          <w:sz w:val="27"/>
          <w:rtl/>
        </w:rPr>
        <w:t>أـ الإمامي</w:t>
      </w:r>
      <w:r w:rsidR="007D28C6" w:rsidRPr="00282AC9">
        <w:rPr>
          <w:rFonts w:ascii="AAA GoldenLotus" w:hAnsi="AAA GoldenLotus" w:hint="cs"/>
          <w:b/>
          <w:bCs/>
          <w:sz w:val="27"/>
          <w:rtl/>
        </w:rPr>
        <w:t>ّ</w:t>
      </w:r>
      <w:r w:rsidRPr="00282AC9">
        <w:rPr>
          <w:rFonts w:ascii="AAA GoldenLotus" w:hAnsi="AAA GoldenLotus"/>
          <w:b/>
          <w:bCs/>
          <w:sz w:val="27"/>
          <w:rtl/>
        </w:rPr>
        <w:t>ة</w:t>
      </w:r>
      <w:r w:rsidRPr="00282AC9">
        <w:rPr>
          <w:rFonts w:ascii="AAA GoldenLotus" w:hAnsi="AAA GoldenLotus"/>
          <w:sz w:val="27"/>
          <w:rtl/>
        </w:rPr>
        <w:t xml:space="preserve">: </w:t>
      </w:r>
      <w:r w:rsidR="007D28C6" w:rsidRPr="00282AC9">
        <w:rPr>
          <w:rFonts w:ascii="AAA GoldenLotus" w:hAnsi="AAA GoldenLotus" w:hint="cs"/>
          <w:sz w:val="27"/>
          <w:rtl/>
        </w:rPr>
        <w:t>إ</w:t>
      </w:r>
      <w:r w:rsidRPr="00282AC9">
        <w:rPr>
          <w:rFonts w:ascii="AAA GoldenLotus" w:hAnsi="AAA GoldenLotus"/>
          <w:sz w:val="27"/>
          <w:rtl/>
        </w:rPr>
        <w:t>نّ مفاد قاعدة اشتراك الأحكام بين الرجال والنساء ـ الفرع ـ عند الإمامية هو أنّ الحكم إذا توج</w:t>
      </w:r>
      <w:r w:rsidR="007D28C6" w:rsidRPr="00282AC9">
        <w:rPr>
          <w:rFonts w:ascii="AAA GoldenLotus" w:hAnsi="AAA GoldenLotus" w:hint="cs"/>
          <w:sz w:val="27"/>
          <w:rtl/>
        </w:rPr>
        <w:t>َّ</w:t>
      </w:r>
      <w:r w:rsidRPr="00282AC9">
        <w:rPr>
          <w:rFonts w:ascii="AAA GoldenLotus" w:hAnsi="AAA GoldenLotus"/>
          <w:sz w:val="27"/>
          <w:rtl/>
        </w:rPr>
        <w:t>ه إلى رجل</w:t>
      </w:r>
      <w:r w:rsidR="007D28C6" w:rsidRPr="00282AC9">
        <w:rPr>
          <w:rFonts w:ascii="AAA GoldenLotus" w:hAnsi="AAA GoldenLotus" w:hint="cs"/>
          <w:sz w:val="27"/>
          <w:rtl/>
        </w:rPr>
        <w:t>ٍ</w:t>
      </w:r>
      <w:r w:rsidRPr="00282AC9">
        <w:rPr>
          <w:rFonts w:ascii="AAA GoldenLotus" w:hAnsi="AAA GoldenLotus"/>
          <w:sz w:val="27"/>
          <w:rtl/>
        </w:rPr>
        <w:t xml:space="preserve"> أو طائفة</w:t>
      </w:r>
      <w:r w:rsidR="007D28C6" w:rsidRPr="00282AC9">
        <w:rPr>
          <w:rFonts w:ascii="AAA GoldenLotus" w:hAnsi="AAA GoldenLotus" w:hint="cs"/>
          <w:sz w:val="27"/>
          <w:rtl/>
        </w:rPr>
        <w:t>ٍ</w:t>
      </w:r>
      <w:r w:rsidRPr="00282AC9">
        <w:rPr>
          <w:rFonts w:ascii="AAA GoldenLotus" w:hAnsi="AAA GoldenLotus"/>
          <w:sz w:val="27"/>
          <w:rtl/>
        </w:rPr>
        <w:t xml:space="preserve"> من دون ق</w:t>
      </w:r>
      <w:r w:rsidR="007D28C6" w:rsidRPr="00282AC9">
        <w:rPr>
          <w:rFonts w:ascii="AAA GoldenLotus" w:hAnsi="AAA GoldenLotus" w:hint="cs"/>
          <w:sz w:val="27"/>
          <w:rtl/>
        </w:rPr>
        <w:t>َ</w:t>
      </w:r>
      <w:r w:rsidRPr="00282AC9">
        <w:rPr>
          <w:rFonts w:ascii="AAA GoldenLotus" w:hAnsi="AAA GoldenLotus"/>
          <w:sz w:val="27"/>
          <w:rtl/>
        </w:rPr>
        <w:t>ي</w:t>
      </w:r>
      <w:r w:rsidR="007D28C6" w:rsidRPr="00282AC9">
        <w:rPr>
          <w:rFonts w:ascii="AAA GoldenLotus" w:hAnsi="AAA GoldenLotus" w:hint="cs"/>
          <w:sz w:val="27"/>
          <w:rtl/>
        </w:rPr>
        <w:t>ْ</w:t>
      </w:r>
      <w:r w:rsidRPr="00282AC9">
        <w:rPr>
          <w:rFonts w:ascii="AAA GoldenLotus" w:hAnsi="AAA GoldenLotus"/>
          <w:sz w:val="27"/>
          <w:rtl/>
        </w:rPr>
        <w:t>د</w:t>
      </w:r>
      <w:r w:rsidR="007D28C6" w:rsidRPr="00282AC9">
        <w:rPr>
          <w:rFonts w:ascii="AAA GoldenLotus" w:hAnsi="AAA GoldenLotus" w:hint="cs"/>
          <w:sz w:val="27"/>
          <w:rtl/>
        </w:rPr>
        <w:t>ٍ</w:t>
      </w:r>
      <w:r w:rsidRPr="00282AC9">
        <w:rPr>
          <w:rFonts w:ascii="AAA GoldenLotus" w:hAnsi="AAA GoldenLotus"/>
          <w:sz w:val="27"/>
          <w:rtl/>
        </w:rPr>
        <w:t xml:space="preserve"> فإنّ المتسالم عند الفقهاء شموله للرجال والنساء معاً، أو فق</w:t>
      </w:r>
      <w:r w:rsidR="00847DB8" w:rsidRPr="00282AC9">
        <w:rPr>
          <w:rFonts w:ascii="AAA GoldenLotus" w:hAnsi="AAA GoldenLotus" w:hint="cs"/>
          <w:sz w:val="27"/>
          <w:rtl/>
        </w:rPr>
        <w:t>ُ</w:t>
      </w:r>
      <w:r w:rsidRPr="00282AC9">
        <w:rPr>
          <w:rFonts w:ascii="AAA GoldenLotus" w:hAnsi="AAA GoldenLotus"/>
          <w:sz w:val="27"/>
          <w:rtl/>
        </w:rPr>
        <w:t>ل</w:t>
      </w:r>
      <w:r w:rsidR="00847DB8" w:rsidRPr="00282AC9">
        <w:rPr>
          <w:rFonts w:ascii="AAA GoldenLotus" w:hAnsi="AAA GoldenLotus" w:hint="cs"/>
          <w:sz w:val="27"/>
          <w:rtl/>
        </w:rPr>
        <w:t>ْ:</w:t>
      </w:r>
      <w:r w:rsidRPr="00282AC9">
        <w:rPr>
          <w:rFonts w:ascii="AAA GoldenLotus" w:hAnsi="AAA GoldenLotus"/>
          <w:sz w:val="27"/>
          <w:rtl/>
        </w:rPr>
        <w:t xml:space="preserve"> هو إلحاق النساء بالرجال ـ أو بالعكس ـ في الأحكام الموج</w:t>
      </w:r>
      <w:r w:rsidR="00847DB8" w:rsidRPr="00282AC9">
        <w:rPr>
          <w:rFonts w:ascii="AAA GoldenLotus" w:hAnsi="AAA GoldenLotus" w:hint="cs"/>
          <w:sz w:val="27"/>
          <w:rtl/>
        </w:rPr>
        <w:t>َّ</w:t>
      </w:r>
      <w:r w:rsidRPr="00282AC9">
        <w:rPr>
          <w:rFonts w:ascii="AAA GoldenLotus" w:hAnsi="AAA GoldenLotus"/>
          <w:sz w:val="27"/>
          <w:rtl/>
        </w:rPr>
        <w:t>هة إليهم</w:t>
      </w:r>
      <w:r w:rsidR="00847DB8" w:rsidRPr="00282AC9">
        <w:rPr>
          <w:rFonts w:ascii="AAA GoldenLotus" w:hAnsi="AAA GoldenLotus" w:hint="cs"/>
          <w:sz w:val="27"/>
          <w:rtl/>
        </w:rPr>
        <w:t>،</w:t>
      </w:r>
      <w:r w:rsidRPr="00282AC9">
        <w:rPr>
          <w:rFonts w:ascii="AAA GoldenLotus" w:hAnsi="AAA GoldenLotus"/>
          <w:sz w:val="27"/>
          <w:rtl/>
        </w:rPr>
        <w:t xml:space="preserve"> المخاط</w:t>
      </w:r>
      <w:r w:rsidR="00847DB8" w:rsidRPr="00282AC9">
        <w:rPr>
          <w:rFonts w:ascii="AAA GoldenLotus" w:hAnsi="AAA GoldenLotus" w:hint="cs"/>
          <w:sz w:val="27"/>
          <w:rtl/>
        </w:rPr>
        <w:t>َ</w:t>
      </w:r>
      <w:r w:rsidRPr="00282AC9">
        <w:rPr>
          <w:rFonts w:ascii="AAA GoldenLotus" w:hAnsi="AAA GoldenLotus"/>
          <w:sz w:val="27"/>
          <w:rtl/>
        </w:rPr>
        <w:t>بين بها.</w:t>
      </w:r>
    </w:p>
    <w:p w:rsidR="00E355F2" w:rsidRPr="00282AC9" w:rsidRDefault="00E355F2" w:rsidP="00046546">
      <w:pPr>
        <w:rPr>
          <w:rFonts w:ascii="AAA GoldenLotus" w:hAnsi="AAA GoldenLotus"/>
          <w:spacing w:val="-6"/>
          <w:sz w:val="27"/>
          <w:rtl/>
        </w:rPr>
      </w:pPr>
      <w:r w:rsidRPr="00282AC9">
        <w:rPr>
          <w:rFonts w:ascii="AAA GoldenLotus" w:hAnsi="AAA GoldenLotus"/>
          <w:b/>
          <w:bCs/>
          <w:spacing w:val="-6"/>
          <w:sz w:val="27"/>
          <w:rtl/>
        </w:rPr>
        <w:t>ب ـ جمهور المذاهب</w:t>
      </w:r>
      <w:r w:rsidRPr="00282AC9">
        <w:rPr>
          <w:rFonts w:ascii="AAA GoldenLotus" w:hAnsi="AAA GoldenLotus"/>
          <w:spacing w:val="-6"/>
          <w:sz w:val="27"/>
          <w:rtl/>
        </w:rPr>
        <w:t>: ذكروا أنّ الأصل في الشريعة شمولي</w:t>
      </w:r>
      <w:r w:rsidR="007D28C6" w:rsidRPr="00282AC9">
        <w:rPr>
          <w:rFonts w:ascii="AAA GoldenLotus" w:hAnsi="AAA GoldenLotus" w:hint="cs"/>
          <w:spacing w:val="-6"/>
          <w:sz w:val="27"/>
          <w:rtl/>
        </w:rPr>
        <w:t>ّ</w:t>
      </w:r>
      <w:r w:rsidRPr="00282AC9">
        <w:rPr>
          <w:rFonts w:ascii="AAA GoldenLotus" w:hAnsi="AAA GoldenLotus"/>
          <w:spacing w:val="-6"/>
          <w:sz w:val="27"/>
          <w:rtl/>
        </w:rPr>
        <w:t>ة الأحكام للنساء والرجال</w:t>
      </w:r>
      <w:r w:rsidR="007D28C6" w:rsidRPr="00282AC9">
        <w:rPr>
          <w:rFonts w:ascii="AAA GoldenLotus" w:hAnsi="AAA GoldenLotus" w:hint="cs"/>
          <w:spacing w:val="-6"/>
          <w:sz w:val="27"/>
          <w:rtl/>
        </w:rPr>
        <w:t>،</w:t>
      </w:r>
      <w:r w:rsidRPr="00282AC9">
        <w:rPr>
          <w:rFonts w:ascii="AAA GoldenLotus" w:hAnsi="AAA GoldenLotus"/>
          <w:spacing w:val="-6"/>
          <w:sz w:val="27"/>
          <w:rtl/>
        </w:rPr>
        <w:t xml:space="preserve"> إ</w:t>
      </w:r>
      <w:r w:rsidR="00EE6DBA" w:rsidRPr="00282AC9">
        <w:rPr>
          <w:rFonts w:ascii="AAA GoldenLotus" w:hAnsi="AAA GoldenLotus"/>
          <w:spacing w:val="-6"/>
          <w:sz w:val="27"/>
          <w:rtl/>
        </w:rPr>
        <w:t>لاّ</w:t>
      </w:r>
      <w:r w:rsidRPr="00282AC9">
        <w:rPr>
          <w:rFonts w:ascii="AAA GoldenLotus" w:hAnsi="AAA GoldenLotus"/>
          <w:spacing w:val="-6"/>
          <w:sz w:val="27"/>
          <w:rtl/>
        </w:rPr>
        <w:t xml:space="preserve"> ما خصّ. </w:t>
      </w:r>
    </w:p>
    <w:p w:rsidR="00E355F2" w:rsidRPr="00282AC9" w:rsidRDefault="00E355F2" w:rsidP="00046546">
      <w:pPr>
        <w:rPr>
          <w:rFonts w:ascii="AAA GoldenLotus" w:hAnsi="AAA GoldenLotus"/>
          <w:sz w:val="27"/>
          <w:rtl/>
        </w:rPr>
      </w:pPr>
      <w:r w:rsidRPr="00282AC9">
        <w:rPr>
          <w:rFonts w:ascii="AAA GoldenLotus" w:hAnsi="AAA GoldenLotus"/>
          <w:sz w:val="27"/>
          <w:rtl/>
        </w:rPr>
        <w:t>3ـ إن تمامية الأدل</w:t>
      </w:r>
      <w:r w:rsidR="007D28C6" w:rsidRPr="00282AC9">
        <w:rPr>
          <w:rFonts w:ascii="AAA GoldenLotus" w:hAnsi="AAA GoldenLotus" w:hint="cs"/>
          <w:sz w:val="27"/>
          <w:rtl/>
        </w:rPr>
        <w:t>ّ</w:t>
      </w:r>
      <w:r w:rsidRPr="00282AC9">
        <w:rPr>
          <w:rFonts w:ascii="AAA GoldenLotus" w:hAnsi="AAA GoldenLotus"/>
          <w:sz w:val="27"/>
          <w:rtl/>
        </w:rPr>
        <w:t>ة التي ساقها العلماء من مختلف المذاهب الإسلامي</w:t>
      </w:r>
      <w:r w:rsidR="00847DB8" w:rsidRPr="00282AC9">
        <w:rPr>
          <w:rFonts w:ascii="AAA GoldenLotus" w:hAnsi="AAA GoldenLotus" w:hint="cs"/>
          <w:sz w:val="27"/>
          <w:rtl/>
        </w:rPr>
        <w:t>ّ</w:t>
      </w:r>
      <w:r w:rsidRPr="00282AC9">
        <w:rPr>
          <w:rFonts w:ascii="AAA GoldenLotus" w:hAnsi="AAA GoldenLotus"/>
          <w:sz w:val="27"/>
          <w:rtl/>
        </w:rPr>
        <w:t>ة على قاعد</w:t>
      </w:r>
      <w:r w:rsidR="00847DB8" w:rsidRPr="00282AC9">
        <w:rPr>
          <w:rFonts w:ascii="AAA GoldenLotus" w:hAnsi="AAA GoldenLotus" w:hint="cs"/>
          <w:sz w:val="27"/>
          <w:rtl/>
        </w:rPr>
        <w:t>ة</w:t>
      </w:r>
      <w:r w:rsidRPr="00282AC9">
        <w:rPr>
          <w:rFonts w:ascii="AAA GoldenLotus" w:hAnsi="AAA GoldenLotus"/>
          <w:sz w:val="27"/>
          <w:rtl/>
        </w:rPr>
        <w:t xml:space="preserve"> اشتراك الأحكام بين الرجل والمرأة تصيّ</w:t>
      </w:r>
      <w:r w:rsidR="00847DB8" w:rsidRPr="00282AC9">
        <w:rPr>
          <w:rFonts w:ascii="AAA GoldenLotus" w:hAnsi="AAA GoldenLotus" w:hint="cs"/>
          <w:sz w:val="27"/>
          <w:rtl/>
        </w:rPr>
        <w:t>ِ</w:t>
      </w:r>
      <w:r w:rsidRPr="00282AC9">
        <w:rPr>
          <w:rFonts w:ascii="AAA GoldenLotus" w:hAnsi="AAA GoldenLotus"/>
          <w:sz w:val="27"/>
          <w:rtl/>
        </w:rPr>
        <w:t>ر هذه القاعدة صالحة</w:t>
      </w:r>
      <w:r w:rsidR="00847DB8" w:rsidRPr="00282AC9">
        <w:rPr>
          <w:rFonts w:ascii="AAA GoldenLotus" w:hAnsi="AAA GoldenLotus" w:hint="cs"/>
          <w:sz w:val="27"/>
          <w:rtl/>
        </w:rPr>
        <w:t>ً</w:t>
      </w:r>
      <w:r w:rsidRPr="00282AC9">
        <w:rPr>
          <w:rFonts w:ascii="AAA GoldenLotus" w:hAnsi="AAA GoldenLotus"/>
          <w:sz w:val="27"/>
          <w:rtl/>
        </w:rPr>
        <w:t xml:space="preserve"> لأن تكون قاعدة</w:t>
      </w:r>
      <w:r w:rsidR="00847DB8" w:rsidRPr="00282AC9">
        <w:rPr>
          <w:rFonts w:ascii="AAA GoldenLotus" w:hAnsi="AAA GoldenLotus" w:hint="cs"/>
          <w:sz w:val="27"/>
          <w:rtl/>
        </w:rPr>
        <w:t>ً</w:t>
      </w:r>
      <w:r w:rsidRPr="00282AC9">
        <w:rPr>
          <w:rFonts w:ascii="AAA GoldenLotus" w:hAnsi="AAA GoldenLotus"/>
          <w:sz w:val="27"/>
          <w:rtl/>
        </w:rPr>
        <w:t xml:space="preserve"> مستقل</w:t>
      </w:r>
      <w:r w:rsidR="00847DB8" w:rsidRPr="00282AC9">
        <w:rPr>
          <w:rFonts w:ascii="AAA GoldenLotus" w:hAnsi="AAA GoldenLotus" w:hint="cs"/>
          <w:sz w:val="27"/>
          <w:rtl/>
        </w:rPr>
        <w:t>ّ</w:t>
      </w:r>
      <w:r w:rsidRPr="00282AC9">
        <w:rPr>
          <w:rFonts w:ascii="AAA GoldenLotus" w:hAnsi="AAA GoldenLotus"/>
          <w:sz w:val="27"/>
          <w:rtl/>
        </w:rPr>
        <w:t>ة قائمة</w:t>
      </w:r>
      <w:r w:rsidR="00847DB8" w:rsidRPr="00282AC9">
        <w:rPr>
          <w:rFonts w:ascii="AAA GoldenLotus" w:hAnsi="AAA GoldenLotus" w:hint="cs"/>
          <w:sz w:val="27"/>
          <w:rtl/>
        </w:rPr>
        <w:t>ً</w:t>
      </w:r>
      <w:r w:rsidRPr="00282AC9">
        <w:rPr>
          <w:rFonts w:ascii="AAA GoldenLotus" w:hAnsi="AAA GoldenLotus"/>
          <w:sz w:val="27"/>
          <w:rtl/>
        </w:rPr>
        <w:t xml:space="preserve"> برأسها؛ حيث إنها تتكف</w:t>
      </w:r>
      <w:r w:rsidR="00847DB8" w:rsidRPr="00282AC9">
        <w:rPr>
          <w:rFonts w:ascii="AAA GoldenLotus" w:hAnsi="AAA GoldenLotus" w:hint="cs"/>
          <w:sz w:val="27"/>
          <w:rtl/>
        </w:rPr>
        <w:t>َّ</w:t>
      </w:r>
      <w:r w:rsidRPr="00282AC9">
        <w:rPr>
          <w:rFonts w:ascii="AAA GoldenLotus" w:hAnsi="AAA GoldenLotus"/>
          <w:sz w:val="27"/>
          <w:rtl/>
        </w:rPr>
        <w:t>ل بعنوانها الخاص</w:t>
      </w:r>
      <w:r w:rsidR="00847DB8" w:rsidRPr="00282AC9">
        <w:rPr>
          <w:rFonts w:ascii="AAA GoldenLotus" w:hAnsi="AAA GoldenLotus" w:hint="cs"/>
          <w:sz w:val="27"/>
          <w:rtl/>
        </w:rPr>
        <w:t>ّ</w:t>
      </w:r>
      <w:r w:rsidRPr="00282AC9">
        <w:rPr>
          <w:rFonts w:ascii="AAA GoldenLotus" w:hAnsi="AAA GoldenLotus"/>
          <w:sz w:val="27"/>
          <w:rtl/>
        </w:rPr>
        <w:t xml:space="preserve"> إثبات التكليف لعموم الرجال والنساء</w:t>
      </w:r>
      <w:r w:rsidR="00847DB8" w:rsidRPr="00282AC9">
        <w:rPr>
          <w:rFonts w:ascii="AAA GoldenLotus" w:hAnsi="AAA GoldenLotus" w:hint="cs"/>
          <w:sz w:val="27"/>
          <w:rtl/>
        </w:rPr>
        <w:t>،</w:t>
      </w:r>
      <w:r w:rsidRPr="00282AC9">
        <w:rPr>
          <w:rFonts w:ascii="AAA GoldenLotus" w:hAnsi="AAA GoldenLotus"/>
          <w:sz w:val="27"/>
          <w:rtl/>
        </w:rPr>
        <w:t xml:space="preserve"> بغض</w:t>
      </w:r>
      <w:r w:rsidR="00847DB8" w:rsidRPr="00282AC9">
        <w:rPr>
          <w:rFonts w:ascii="AAA GoldenLotus" w:hAnsi="AAA GoldenLotus" w:hint="cs"/>
          <w:sz w:val="27"/>
          <w:rtl/>
        </w:rPr>
        <w:t>ّ</w:t>
      </w:r>
      <w:r w:rsidRPr="00282AC9">
        <w:rPr>
          <w:rFonts w:ascii="AAA GoldenLotus" w:hAnsi="AAA GoldenLotus"/>
          <w:sz w:val="27"/>
          <w:rtl/>
        </w:rPr>
        <w:t xml:space="preserve"> النظر عن الزمان والمكان</w:t>
      </w:r>
      <w:r w:rsidR="00847DB8" w:rsidRPr="00282AC9">
        <w:rPr>
          <w:rFonts w:ascii="AAA GoldenLotus" w:hAnsi="AAA GoldenLotus" w:hint="cs"/>
          <w:sz w:val="27"/>
          <w:rtl/>
        </w:rPr>
        <w:t>.</w:t>
      </w:r>
      <w:r w:rsidRPr="00282AC9">
        <w:rPr>
          <w:rFonts w:ascii="AAA GoldenLotus" w:hAnsi="AAA GoldenLotus"/>
          <w:sz w:val="27"/>
          <w:rtl/>
        </w:rPr>
        <w:t xml:space="preserve"> ويترت</w:t>
      </w:r>
      <w:r w:rsidR="00847DB8" w:rsidRPr="00282AC9">
        <w:rPr>
          <w:rFonts w:ascii="AAA GoldenLotus" w:hAnsi="AAA GoldenLotus" w:hint="cs"/>
          <w:sz w:val="27"/>
          <w:rtl/>
        </w:rPr>
        <w:t>َّ</w:t>
      </w:r>
      <w:r w:rsidRPr="00282AC9">
        <w:rPr>
          <w:rFonts w:ascii="AAA GoldenLotus" w:hAnsi="AAA GoldenLotus"/>
          <w:sz w:val="27"/>
          <w:rtl/>
        </w:rPr>
        <w:t>ب عليها فروع كثيرة في جميع أبواب الفقه الإسلامي.</w:t>
      </w:r>
    </w:p>
    <w:p w:rsidR="00E355F2" w:rsidRPr="00282AC9" w:rsidRDefault="00E355F2" w:rsidP="00046546">
      <w:pPr>
        <w:rPr>
          <w:rFonts w:ascii="AAA GoldenLotus" w:hAnsi="AAA GoldenLotus"/>
          <w:sz w:val="27"/>
          <w:rtl/>
        </w:rPr>
      </w:pPr>
      <w:r w:rsidRPr="00282AC9">
        <w:rPr>
          <w:rFonts w:ascii="AAA GoldenLotus" w:hAnsi="AAA GoldenLotus"/>
          <w:sz w:val="27"/>
          <w:rtl/>
        </w:rPr>
        <w:t>ويكفي دليلاً قيام ضرورة الشرع والفقه، والات</w:t>
      </w:r>
      <w:r w:rsidR="00847DB8" w:rsidRPr="00282AC9">
        <w:rPr>
          <w:rFonts w:ascii="AAA GoldenLotus" w:hAnsi="AAA GoldenLotus" w:hint="cs"/>
          <w:sz w:val="27"/>
          <w:rtl/>
        </w:rPr>
        <w:t>ّ</w:t>
      </w:r>
      <w:r w:rsidRPr="00282AC9">
        <w:rPr>
          <w:rFonts w:ascii="AAA GoldenLotus" w:hAnsi="AAA GoldenLotus"/>
          <w:sz w:val="27"/>
          <w:rtl/>
        </w:rPr>
        <w:t>فاق القطعي</w:t>
      </w:r>
      <w:r w:rsidR="00847DB8" w:rsidRPr="00282AC9">
        <w:rPr>
          <w:rFonts w:ascii="AAA GoldenLotus" w:hAnsi="AAA GoldenLotus" w:hint="cs"/>
          <w:sz w:val="27"/>
          <w:rtl/>
        </w:rPr>
        <w:t>ّ،</w:t>
      </w:r>
      <w:r w:rsidRPr="00282AC9">
        <w:rPr>
          <w:rFonts w:ascii="AAA GoldenLotus" w:hAnsi="AAA GoldenLotus"/>
          <w:sz w:val="27"/>
          <w:rtl/>
        </w:rPr>
        <w:t xml:space="preserve"> على اعتبار قاعدة </w:t>
      </w:r>
      <w:r w:rsidRPr="00282AC9">
        <w:rPr>
          <w:rFonts w:ascii="AAA GoldenLotus" w:hAnsi="AAA GoldenLotus"/>
          <w:sz w:val="27"/>
          <w:rtl/>
        </w:rPr>
        <w:lastRenderedPageBreak/>
        <w:t>اشتراك الأحكام بين الرجل والمرأة</w:t>
      </w:r>
      <w:r w:rsidR="00847DB8" w:rsidRPr="00282AC9">
        <w:rPr>
          <w:rFonts w:ascii="AAA GoldenLotus" w:hAnsi="AAA GoldenLotus" w:hint="cs"/>
          <w:sz w:val="27"/>
          <w:rtl/>
        </w:rPr>
        <w:t>،</w:t>
      </w:r>
      <w:r w:rsidRPr="00282AC9">
        <w:rPr>
          <w:rFonts w:ascii="AAA GoldenLotus" w:hAnsi="AAA GoldenLotus"/>
          <w:sz w:val="27"/>
          <w:rtl/>
        </w:rPr>
        <w:t xml:space="preserve"> حت</w:t>
      </w:r>
      <w:r w:rsidR="00847DB8" w:rsidRPr="00282AC9">
        <w:rPr>
          <w:rFonts w:ascii="AAA GoldenLotus" w:hAnsi="AAA GoldenLotus" w:hint="cs"/>
          <w:sz w:val="27"/>
          <w:rtl/>
        </w:rPr>
        <w:t>ّ</w:t>
      </w:r>
      <w:r w:rsidRPr="00282AC9">
        <w:rPr>
          <w:rFonts w:ascii="AAA GoldenLotus" w:hAnsi="AAA GoldenLotus"/>
          <w:sz w:val="27"/>
          <w:rtl/>
        </w:rPr>
        <w:t>ى لو نوقش في سائر الأدل</w:t>
      </w:r>
      <w:r w:rsidR="00847DB8" w:rsidRPr="00282AC9">
        <w:rPr>
          <w:rFonts w:ascii="AAA GoldenLotus" w:hAnsi="AAA GoldenLotus" w:hint="cs"/>
          <w:sz w:val="27"/>
          <w:rtl/>
        </w:rPr>
        <w:t>ّ</w:t>
      </w:r>
      <w:r w:rsidRPr="00282AC9">
        <w:rPr>
          <w:rFonts w:ascii="AAA GoldenLotus" w:hAnsi="AAA GoldenLotus"/>
          <w:sz w:val="27"/>
          <w:rtl/>
        </w:rPr>
        <w:t>ة.</w:t>
      </w:r>
    </w:p>
    <w:p w:rsidR="00E355F2" w:rsidRPr="00282AC9" w:rsidRDefault="00E355F2" w:rsidP="00046546">
      <w:pPr>
        <w:rPr>
          <w:rFonts w:ascii="AAA GoldenLotus" w:hAnsi="AAA GoldenLotus"/>
          <w:sz w:val="27"/>
          <w:rtl/>
        </w:rPr>
      </w:pPr>
      <w:r w:rsidRPr="00282AC9">
        <w:rPr>
          <w:rFonts w:ascii="AAA GoldenLotus" w:hAnsi="AAA GoldenLotus"/>
          <w:sz w:val="27"/>
          <w:rtl/>
        </w:rPr>
        <w:t>4ـ وعلى هذا الأساس يكون الأصل الأو</w:t>
      </w:r>
      <w:r w:rsidR="00847DB8" w:rsidRPr="00282AC9">
        <w:rPr>
          <w:rFonts w:ascii="AAA GoldenLotus" w:hAnsi="AAA GoldenLotus" w:hint="cs"/>
          <w:sz w:val="27"/>
          <w:rtl/>
        </w:rPr>
        <w:t>ّ</w:t>
      </w:r>
      <w:r w:rsidRPr="00282AC9">
        <w:rPr>
          <w:rFonts w:ascii="AAA GoldenLotus" w:hAnsi="AAA GoldenLotus"/>
          <w:sz w:val="27"/>
          <w:rtl/>
        </w:rPr>
        <w:t>لي عند الشك</w:t>
      </w:r>
      <w:r w:rsidR="00847DB8" w:rsidRPr="00282AC9">
        <w:rPr>
          <w:rFonts w:ascii="AAA GoldenLotus" w:hAnsi="AAA GoldenLotus" w:hint="cs"/>
          <w:sz w:val="27"/>
          <w:rtl/>
        </w:rPr>
        <w:t>ّ</w:t>
      </w:r>
      <w:r w:rsidRPr="00282AC9">
        <w:rPr>
          <w:rFonts w:ascii="AAA GoldenLotus" w:hAnsi="AAA GoldenLotus"/>
          <w:sz w:val="27"/>
          <w:rtl/>
        </w:rPr>
        <w:t xml:space="preserve"> في اشتراك التكليف بين الرجل والمرأة، وعند انعدام القرينة على التخصيص</w:t>
      </w:r>
      <w:r w:rsidR="00847DB8" w:rsidRPr="00282AC9">
        <w:rPr>
          <w:rFonts w:ascii="AAA GoldenLotus" w:hAnsi="AAA GoldenLotus" w:hint="cs"/>
          <w:sz w:val="27"/>
          <w:rtl/>
        </w:rPr>
        <w:t>،</w:t>
      </w:r>
      <w:r w:rsidRPr="00282AC9">
        <w:rPr>
          <w:rFonts w:ascii="AAA GoldenLotus" w:hAnsi="AAA GoldenLotus"/>
          <w:sz w:val="27"/>
          <w:rtl/>
        </w:rPr>
        <w:t xml:space="preserve"> هو الاشتراك وعموم التكليف لكل</w:t>
      </w:r>
      <w:r w:rsidR="00847DB8" w:rsidRPr="00282AC9">
        <w:rPr>
          <w:rFonts w:ascii="AAA GoldenLotus" w:hAnsi="AAA GoldenLotus" w:hint="cs"/>
          <w:sz w:val="27"/>
          <w:rtl/>
        </w:rPr>
        <w:t>ٍّ</w:t>
      </w:r>
      <w:r w:rsidRPr="00282AC9">
        <w:rPr>
          <w:rFonts w:ascii="AAA GoldenLotus" w:hAnsi="AAA GoldenLotus"/>
          <w:sz w:val="27"/>
          <w:rtl/>
        </w:rPr>
        <w:t xml:space="preserve"> منهما، فيسري الحكم من أحد الطرفين إلى الآخر بمعونة قاعدة الاشتراك</w:t>
      </w:r>
      <w:r w:rsidR="00847DB8" w:rsidRPr="00282AC9">
        <w:rPr>
          <w:rFonts w:ascii="AAA GoldenLotus" w:hAnsi="AAA GoldenLotus" w:hint="cs"/>
          <w:sz w:val="27"/>
          <w:rtl/>
        </w:rPr>
        <w:t>،</w:t>
      </w:r>
      <w:r w:rsidRPr="00282AC9">
        <w:rPr>
          <w:rFonts w:ascii="AAA GoldenLotus" w:hAnsi="AAA GoldenLotus"/>
          <w:sz w:val="27"/>
          <w:rtl/>
        </w:rPr>
        <w:t xml:space="preserve"> ما لم يدل</w:t>
      </w:r>
      <w:r w:rsidR="00847DB8" w:rsidRPr="00282AC9">
        <w:rPr>
          <w:rFonts w:ascii="AAA GoldenLotus" w:hAnsi="AAA GoldenLotus" w:hint="cs"/>
          <w:sz w:val="27"/>
          <w:rtl/>
        </w:rPr>
        <w:t>ّ</w:t>
      </w:r>
      <w:r w:rsidRPr="00282AC9">
        <w:rPr>
          <w:rFonts w:ascii="AAA GoldenLotus" w:hAnsi="AAA GoldenLotus"/>
          <w:sz w:val="27"/>
          <w:rtl/>
        </w:rPr>
        <w:t xml:space="preserve"> دليل</w:t>
      </w:r>
      <w:r w:rsidR="00847DB8" w:rsidRPr="00282AC9">
        <w:rPr>
          <w:rFonts w:ascii="AAA GoldenLotus" w:hAnsi="AAA GoldenLotus" w:hint="cs"/>
          <w:sz w:val="27"/>
          <w:rtl/>
        </w:rPr>
        <w:t>ٌ</w:t>
      </w:r>
      <w:r w:rsidRPr="00282AC9">
        <w:rPr>
          <w:rFonts w:ascii="AAA GoldenLotus" w:hAnsi="AAA GoldenLotus"/>
          <w:sz w:val="27"/>
          <w:rtl/>
        </w:rPr>
        <w:t xml:space="preserve"> على الع</w:t>
      </w:r>
      <w:r w:rsidR="00847DB8" w:rsidRPr="00282AC9">
        <w:rPr>
          <w:rFonts w:ascii="AAA GoldenLotus" w:hAnsi="AAA GoldenLotus" w:hint="cs"/>
          <w:sz w:val="27"/>
          <w:rtl/>
        </w:rPr>
        <w:t>َ</w:t>
      </w:r>
      <w:r w:rsidRPr="00282AC9">
        <w:rPr>
          <w:rFonts w:ascii="AAA GoldenLotus" w:hAnsi="AAA GoldenLotus"/>
          <w:sz w:val="27"/>
          <w:rtl/>
        </w:rPr>
        <w:t>د</w:t>
      </w:r>
      <w:r w:rsidR="00847DB8" w:rsidRPr="00282AC9">
        <w:rPr>
          <w:rFonts w:ascii="AAA GoldenLotus" w:hAnsi="AAA GoldenLotus" w:hint="cs"/>
          <w:sz w:val="27"/>
          <w:rtl/>
        </w:rPr>
        <w:t>َ</w:t>
      </w:r>
      <w:r w:rsidRPr="00282AC9">
        <w:rPr>
          <w:rFonts w:ascii="AAA GoldenLotus" w:hAnsi="AAA GoldenLotus"/>
          <w:sz w:val="27"/>
          <w:rtl/>
        </w:rPr>
        <w:t>م.</w:t>
      </w:r>
    </w:p>
    <w:p w:rsidR="00E355F2" w:rsidRPr="00282AC9" w:rsidRDefault="00E355F2" w:rsidP="00046546">
      <w:pPr>
        <w:rPr>
          <w:rFonts w:ascii="AAA GoldenLotus" w:hAnsi="AAA GoldenLotus"/>
          <w:sz w:val="27"/>
          <w:rtl/>
        </w:rPr>
      </w:pPr>
      <w:r w:rsidRPr="00282AC9">
        <w:rPr>
          <w:rFonts w:ascii="AAA GoldenLotus" w:hAnsi="AAA GoldenLotus"/>
          <w:sz w:val="27"/>
          <w:rtl/>
        </w:rPr>
        <w:t>وطبعاً هذا الاشتراك الذي تثبته القاعدة عند مختلف المذاهب إنما هو الاشتراك في الأحكام الفرعي</w:t>
      </w:r>
      <w:r w:rsidR="00847DB8" w:rsidRPr="00282AC9">
        <w:rPr>
          <w:rFonts w:ascii="AAA GoldenLotus" w:hAnsi="AAA GoldenLotus" w:hint="cs"/>
          <w:sz w:val="27"/>
          <w:rtl/>
        </w:rPr>
        <w:t>ّ</w:t>
      </w:r>
      <w:r w:rsidRPr="00282AC9">
        <w:rPr>
          <w:rFonts w:ascii="AAA GoldenLotus" w:hAnsi="AAA GoldenLotus"/>
          <w:sz w:val="27"/>
          <w:rtl/>
        </w:rPr>
        <w:t>ة</w:t>
      </w:r>
      <w:r w:rsidR="00847DB8" w:rsidRPr="00282AC9">
        <w:rPr>
          <w:rFonts w:ascii="AAA GoldenLotus" w:hAnsi="AAA GoldenLotus" w:hint="cs"/>
          <w:sz w:val="27"/>
          <w:rtl/>
        </w:rPr>
        <w:t>،</w:t>
      </w:r>
      <w:r w:rsidRPr="00282AC9">
        <w:rPr>
          <w:rFonts w:ascii="AAA GoldenLotus" w:hAnsi="AAA GoldenLotus"/>
          <w:sz w:val="27"/>
          <w:rtl/>
        </w:rPr>
        <w:t xml:space="preserve"> التكليفية والوضعي</w:t>
      </w:r>
      <w:r w:rsidR="00847DB8" w:rsidRPr="00282AC9">
        <w:rPr>
          <w:rFonts w:ascii="AAA GoldenLotus" w:hAnsi="AAA GoldenLotus" w:hint="cs"/>
          <w:sz w:val="27"/>
          <w:rtl/>
        </w:rPr>
        <w:t>ّ</w:t>
      </w:r>
      <w:r w:rsidRPr="00282AC9">
        <w:rPr>
          <w:rFonts w:ascii="AAA GoldenLotus" w:hAnsi="AAA GoldenLotus"/>
          <w:sz w:val="27"/>
          <w:rtl/>
        </w:rPr>
        <w:t>ة</w:t>
      </w:r>
      <w:r w:rsidR="00847DB8" w:rsidRPr="00282AC9">
        <w:rPr>
          <w:rFonts w:ascii="AAA GoldenLotus" w:hAnsi="AAA GoldenLotus" w:hint="cs"/>
          <w:sz w:val="27"/>
          <w:rtl/>
        </w:rPr>
        <w:t>،</w:t>
      </w:r>
      <w:r w:rsidRPr="00282AC9">
        <w:rPr>
          <w:rFonts w:ascii="AAA GoldenLotus" w:hAnsi="AAA GoldenLotus"/>
          <w:sz w:val="27"/>
          <w:rtl/>
        </w:rPr>
        <w:t xml:space="preserve"> لا العقائد الدينية. </w:t>
      </w:r>
    </w:p>
    <w:p w:rsidR="00E355F2" w:rsidRPr="00282AC9" w:rsidRDefault="00E355F2" w:rsidP="00046546">
      <w:pPr>
        <w:rPr>
          <w:rFonts w:ascii="AAA GoldenLotus" w:hAnsi="AAA GoldenLotus"/>
          <w:sz w:val="27"/>
          <w:rtl/>
        </w:rPr>
      </w:pPr>
      <w:r w:rsidRPr="00282AC9">
        <w:rPr>
          <w:rFonts w:ascii="AAA GoldenLotus" w:hAnsi="AAA GoldenLotus"/>
          <w:sz w:val="27"/>
          <w:rtl/>
        </w:rPr>
        <w:t>5ـ هناك موارد عديد</w:t>
      </w:r>
      <w:r w:rsidR="00847DB8" w:rsidRPr="00282AC9">
        <w:rPr>
          <w:rFonts w:ascii="AAA GoldenLotus" w:hAnsi="AAA GoldenLotus" w:hint="cs"/>
          <w:sz w:val="27"/>
          <w:rtl/>
        </w:rPr>
        <w:t>ة</w:t>
      </w:r>
      <w:r w:rsidRPr="00282AC9">
        <w:rPr>
          <w:rFonts w:ascii="AAA GoldenLotus" w:hAnsi="AAA GoldenLotus"/>
          <w:sz w:val="27"/>
          <w:rtl/>
        </w:rPr>
        <w:t xml:space="preserve"> خرج</w:t>
      </w:r>
      <w:r w:rsidR="00847DB8" w:rsidRPr="00282AC9">
        <w:rPr>
          <w:rFonts w:ascii="AAA GoldenLotus" w:hAnsi="AAA GoldenLotus" w:hint="cs"/>
          <w:sz w:val="27"/>
          <w:rtl/>
        </w:rPr>
        <w:t>َ</w:t>
      </w:r>
      <w:r w:rsidRPr="00282AC9">
        <w:rPr>
          <w:rFonts w:ascii="AAA GoldenLotus" w:hAnsi="AAA GoldenLotus"/>
          <w:sz w:val="27"/>
          <w:rtl/>
        </w:rPr>
        <w:t>ت</w:t>
      </w:r>
      <w:r w:rsidR="00847DB8" w:rsidRPr="00282AC9">
        <w:rPr>
          <w:rFonts w:ascii="AAA GoldenLotus" w:hAnsi="AAA GoldenLotus" w:hint="cs"/>
          <w:sz w:val="27"/>
          <w:rtl/>
        </w:rPr>
        <w:t>ْ</w:t>
      </w:r>
      <w:r w:rsidRPr="00282AC9">
        <w:rPr>
          <w:rFonts w:ascii="AAA GoldenLotus" w:hAnsi="AAA GoldenLotus"/>
          <w:sz w:val="27"/>
          <w:rtl/>
        </w:rPr>
        <w:t xml:space="preserve"> عن القاعدة عند جميع المذاهب</w:t>
      </w:r>
      <w:r w:rsidR="00847DB8" w:rsidRPr="00282AC9">
        <w:rPr>
          <w:rFonts w:ascii="AAA GoldenLotus" w:hAnsi="AAA GoldenLotus" w:hint="cs"/>
          <w:sz w:val="27"/>
          <w:rtl/>
        </w:rPr>
        <w:t xml:space="preserve">. </w:t>
      </w:r>
      <w:r w:rsidRPr="00282AC9">
        <w:rPr>
          <w:rFonts w:ascii="AAA GoldenLotus" w:hAnsi="AAA GoldenLotus"/>
          <w:sz w:val="27"/>
          <w:rtl/>
        </w:rPr>
        <w:t>وتقارب</w:t>
      </w:r>
      <w:r w:rsidR="00847DB8" w:rsidRPr="00282AC9">
        <w:rPr>
          <w:rFonts w:ascii="AAA GoldenLotus" w:hAnsi="AAA GoldenLotus" w:hint="cs"/>
          <w:sz w:val="27"/>
          <w:rtl/>
        </w:rPr>
        <w:t>َ</w:t>
      </w:r>
      <w:r w:rsidRPr="00282AC9">
        <w:rPr>
          <w:rFonts w:ascii="AAA GoldenLotus" w:hAnsi="AAA GoldenLotus"/>
          <w:sz w:val="27"/>
          <w:rtl/>
        </w:rPr>
        <w:t>ت</w:t>
      </w:r>
      <w:r w:rsidR="00847DB8" w:rsidRPr="00282AC9">
        <w:rPr>
          <w:rFonts w:ascii="AAA GoldenLotus" w:hAnsi="AAA GoldenLotus" w:hint="cs"/>
          <w:sz w:val="27"/>
          <w:rtl/>
        </w:rPr>
        <w:t>ْ</w:t>
      </w:r>
      <w:r w:rsidRPr="00282AC9">
        <w:rPr>
          <w:rFonts w:ascii="AAA GoldenLotus" w:hAnsi="AAA GoldenLotus"/>
          <w:sz w:val="27"/>
          <w:rtl/>
        </w:rPr>
        <w:t xml:space="preserve"> تعبيراتهم حول مناط الخروج</w:t>
      </w:r>
      <w:r w:rsidR="00847DB8" w:rsidRPr="00282AC9">
        <w:rPr>
          <w:rFonts w:ascii="AAA GoldenLotus" w:hAnsi="AAA GoldenLotus" w:hint="cs"/>
          <w:sz w:val="27"/>
          <w:rtl/>
        </w:rPr>
        <w:t>،</w:t>
      </w:r>
      <w:r w:rsidRPr="00282AC9">
        <w:rPr>
          <w:rFonts w:ascii="AAA GoldenLotus" w:hAnsi="AAA GoldenLotus"/>
          <w:sz w:val="27"/>
          <w:rtl/>
        </w:rPr>
        <w:t xml:space="preserve"> فكانت كالتالي:</w:t>
      </w:r>
    </w:p>
    <w:p w:rsidR="00E355F2" w:rsidRPr="00282AC9" w:rsidRDefault="00E355F2" w:rsidP="00046546">
      <w:pPr>
        <w:rPr>
          <w:rFonts w:ascii="AAA GoldenLotus" w:hAnsi="AAA GoldenLotus"/>
          <w:sz w:val="27"/>
          <w:rtl/>
        </w:rPr>
      </w:pPr>
      <w:r w:rsidRPr="00282AC9">
        <w:rPr>
          <w:rFonts w:ascii="AAA GoldenLotus" w:hAnsi="AAA GoldenLotus"/>
          <w:b/>
          <w:bCs/>
          <w:sz w:val="27"/>
          <w:rtl/>
        </w:rPr>
        <w:t>أـ عند الإمامي</w:t>
      </w:r>
      <w:r w:rsidR="00847DB8" w:rsidRPr="00282AC9">
        <w:rPr>
          <w:rFonts w:ascii="AAA GoldenLotus" w:hAnsi="AAA GoldenLotus" w:hint="cs"/>
          <w:b/>
          <w:bCs/>
          <w:sz w:val="27"/>
          <w:rtl/>
        </w:rPr>
        <w:t>ّ</w:t>
      </w:r>
      <w:r w:rsidRPr="00282AC9">
        <w:rPr>
          <w:rFonts w:ascii="AAA GoldenLotus" w:hAnsi="AAA GoldenLotus"/>
          <w:b/>
          <w:bCs/>
          <w:sz w:val="27"/>
          <w:rtl/>
        </w:rPr>
        <w:t>ة</w:t>
      </w:r>
      <w:r w:rsidRPr="00282AC9">
        <w:rPr>
          <w:rFonts w:ascii="AAA GoldenLotus" w:hAnsi="AAA GoldenLotus"/>
          <w:sz w:val="27"/>
          <w:rtl/>
        </w:rPr>
        <w:t>: مناط الخروج يرجع إلى مصلحة</w:t>
      </w:r>
      <w:r w:rsidR="00847DB8" w:rsidRPr="00282AC9">
        <w:rPr>
          <w:rFonts w:ascii="AAA GoldenLotus" w:hAnsi="AAA GoldenLotus" w:hint="cs"/>
          <w:sz w:val="27"/>
          <w:rtl/>
        </w:rPr>
        <w:t>ٍ</w:t>
      </w:r>
      <w:r w:rsidRPr="00282AC9">
        <w:rPr>
          <w:rFonts w:ascii="AAA GoldenLotus" w:hAnsi="AAA GoldenLotus"/>
          <w:sz w:val="27"/>
          <w:rtl/>
        </w:rPr>
        <w:t xml:space="preserve"> يراها الشارع الحكيم</w:t>
      </w:r>
      <w:r w:rsidR="00847DB8" w:rsidRPr="00282AC9">
        <w:rPr>
          <w:rFonts w:ascii="AAA GoldenLotus" w:hAnsi="AAA GoldenLotus" w:hint="cs"/>
          <w:sz w:val="27"/>
          <w:rtl/>
        </w:rPr>
        <w:t>؛</w:t>
      </w:r>
      <w:r w:rsidR="00847DB8" w:rsidRPr="00282AC9">
        <w:rPr>
          <w:rFonts w:ascii="AAA GoldenLotus" w:hAnsi="AAA GoldenLotus"/>
          <w:sz w:val="27"/>
          <w:rtl/>
        </w:rPr>
        <w:t xml:space="preserve"> إمّا لاختلاف الت</w:t>
      </w:r>
      <w:r w:rsidRPr="00282AC9">
        <w:rPr>
          <w:rFonts w:ascii="AAA GoldenLotus" w:hAnsi="AAA GoldenLotus"/>
          <w:sz w:val="27"/>
          <w:rtl/>
        </w:rPr>
        <w:t>كوين بين الجنسين</w:t>
      </w:r>
      <w:r w:rsidR="00847DB8" w:rsidRPr="00282AC9">
        <w:rPr>
          <w:rFonts w:ascii="AAA GoldenLotus" w:hAnsi="AAA GoldenLotus" w:hint="cs"/>
          <w:sz w:val="27"/>
          <w:rtl/>
        </w:rPr>
        <w:t>؛</w:t>
      </w:r>
      <w:r w:rsidRPr="00282AC9">
        <w:rPr>
          <w:rFonts w:ascii="AAA GoldenLotus" w:hAnsi="AAA GoldenLotus"/>
          <w:sz w:val="27"/>
          <w:rtl/>
        </w:rPr>
        <w:t xml:space="preserve"> أو اختلاف الأدوار المنوطة بكلٍّ منهما</w:t>
      </w:r>
      <w:r w:rsidR="00847DB8" w:rsidRPr="00282AC9">
        <w:rPr>
          <w:rFonts w:ascii="AAA GoldenLotus" w:hAnsi="AAA GoldenLotus" w:hint="cs"/>
          <w:sz w:val="27"/>
          <w:rtl/>
        </w:rPr>
        <w:t>؛</w:t>
      </w:r>
      <w:r w:rsidR="00847DB8" w:rsidRPr="00282AC9">
        <w:rPr>
          <w:rFonts w:ascii="AAA GoldenLotus" w:hAnsi="AAA GoldenLotus"/>
          <w:sz w:val="27"/>
          <w:rtl/>
        </w:rPr>
        <w:t xml:space="preserve"> أو مراعاة الظ</w:t>
      </w:r>
      <w:r w:rsidRPr="00282AC9">
        <w:rPr>
          <w:rFonts w:ascii="AAA GoldenLotus" w:hAnsi="AAA GoldenLotus"/>
          <w:sz w:val="27"/>
          <w:rtl/>
        </w:rPr>
        <w:t>روف والعناوين الطارئة</w:t>
      </w:r>
      <w:r w:rsidR="00847DB8" w:rsidRPr="00282AC9">
        <w:rPr>
          <w:rFonts w:ascii="AAA GoldenLotus" w:hAnsi="AAA GoldenLotus" w:hint="cs"/>
          <w:sz w:val="27"/>
          <w:rtl/>
        </w:rPr>
        <w:t>؛</w:t>
      </w:r>
      <w:r w:rsidRPr="00282AC9">
        <w:rPr>
          <w:rFonts w:ascii="AAA GoldenLotus" w:hAnsi="AAA GoldenLotus"/>
          <w:sz w:val="27"/>
          <w:rtl/>
        </w:rPr>
        <w:t xml:space="preserve"> وما شاكل ذلك.</w:t>
      </w:r>
    </w:p>
    <w:p w:rsidR="00E355F2" w:rsidRPr="00282AC9" w:rsidRDefault="00E355F2" w:rsidP="00046546">
      <w:pPr>
        <w:rPr>
          <w:rFonts w:ascii="AAA GoldenLotus" w:hAnsi="AAA GoldenLotus"/>
          <w:sz w:val="27"/>
          <w:rtl/>
        </w:rPr>
      </w:pPr>
      <w:r w:rsidRPr="00282AC9">
        <w:rPr>
          <w:rFonts w:ascii="AAA GoldenLotus" w:hAnsi="AAA GoldenLotus"/>
          <w:b/>
          <w:bCs/>
          <w:sz w:val="27"/>
          <w:rtl/>
        </w:rPr>
        <w:t>ب ـ عند جمهور المذاهب</w:t>
      </w:r>
      <w:r w:rsidRPr="00282AC9">
        <w:rPr>
          <w:rFonts w:ascii="AAA GoldenLotus" w:hAnsi="AAA GoldenLotus"/>
          <w:sz w:val="27"/>
          <w:rtl/>
        </w:rPr>
        <w:t xml:space="preserve">: </w:t>
      </w:r>
      <w:r w:rsidR="00F3587B" w:rsidRPr="00282AC9">
        <w:rPr>
          <w:rFonts w:ascii="AAA GoldenLotus" w:hAnsi="AAA GoldenLotus" w:hint="cs"/>
          <w:sz w:val="27"/>
          <w:rtl/>
        </w:rPr>
        <w:t>إ</w:t>
      </w:r>
      <w:r w:rsidRPr="00282AC9">
        <w:rPr>
          <w:rFonts w:ascii="AAA GoldenLotus" w:hAnsi="AAA GoldenLotus"/>
          <w:sz w:val="27"/>
          <w:rtl/>
        </w:rPr>
        <w:t>ن التسوية والعموم يقومان على الفطرة والعدالة، فكذلك الاستثناء واختلاف الأحكام قد تقتضيها الفطرة والعدالة.</w:t>
      </w:r>
    </w:p>
    <w:p w:rsidR="00E355F2" w:rsidRPr="00282AC9" w:rsidRDefault="00E355F2" w:rsidP="00046546">
      <w:pPr>
        <w:rPr>
          <w:rFonts w:ascii="AAA GoldenLotus" w:hAnsi="AAA GoldenLotus"/>
          <w:sz w:val="27"/>
          <w:rtl/>
        </w:rPr>
      </w:pPr>
      <w:r w:rsidRPr="00282AC9">
        <w:rPr>
          <w:rFonts w:ascii="AAA GoldenLotus" w:hAnsi="AAA GoldenLotus" w:hint="cs"/>
          <w:sz w:val="27"/>
          <w:rtl/>
        </w:rPr>
        <w:t>6</w:t>
      </w:r>
      <w:r w:rsidRPr="00282AC9">
        <w:rPr>
          <w:rFonts w:ascii="AAA GoldenLotus" w:hAnsi="AAA GoldenLotus"/>
          <w:sz w:val="27"/>
          <w:rtl/>
        </w:rPr>
        <w:t>ـ اختلف</w:t>
      </w:r>
      <w:r w:rsidR="00F3587B" w:rsidRPr="00282AC9">
        <w:rPr>
          <w:rFonts w:ascii="AAA GoldenLotus" w:hAnsi="AAA GoldenLotus" w:hint="cs"/>
          <w:sz w:val="27"/>
          <w:rtl/>
        </w:rPr>
        <w:t>َ</w:t>
      </w:r>
      <w:r w:rsidRPr="00282AC9">
        <w:rPr>
          <w:rFonts w:ascii="AAA GoldenLotus" w:hAnsi="AAA GoldenLotus"/>
          <w:sz w:val="27"/>
          <w:rtl/>
        </w:rPr>
        <w:t>ت</w:t>
      </w:r>
      <w:r w:rsidR="00F3587B" w:rsidRPr="00282AC9">
        <w:rPr>
          <w:rFonts w:ascii="AAA GoldenLotus" w:hAnsi="AAA GoldenLotus" w:hint="cs"/>
          <w:sz w:val="27"/>
          <w:rtl/>
        </w:rPr>
        <w:t>ْ</w:t>
      </w:r>
      <w:r w:rsidRPr="00282AC9">
        <w:rPr>
          <w:rFonts w:ascii="AAA GoldenLotus" w:hAnsi="AAA GoldenLotus"/>
          <w:sz w:val="27"/>
          <w:rtl/>
        </w:rPr>
        <w:t xml:space="preserve"> التعبيرات في كيفي</w:t>
      </w:r>
      <w:r w:rsidR="00F3587B" w:rsidRPr="00282AC9">
        <w:rPr>
          <w:rFonts w:ascii="AAA GoldenLotus" w:hAnsi="AAA GoldenLotus" w:hint="cs"/>
          <w:sz w:val="27"/>
          <w:rtl/>
        </w:rPr>
        <w:t>ّ</w:t>
      </w:r>
      <w:r w:rsidRPr="00282AC9">
        <w:rPr>
          <w:rFonts w:ascii="AAA GoldenLotus" w:hAnsi="AAA GoldenLotus"/>
          <w:sz w:val="27"/>
          <w:rtl/>
        </w:rPr>
        <w:t xml:space="preserve">ة وطبيعة خروج الموارد عن القاعدة عند المذاهب </w:t>
      </w:r>
      <w:r w:rsidR="00F3587B" w:rsidRPr="00282AC9">
        <w:rPr>
          <w:rFonts w:ascii="AAA GoldenLotus" w:hAnsi="AAA GoldenLotus" w:hint="cs"/>
          <w:sz w:val="27"/>
          <w:rtl/>
        </w:rPr>
        <w:t>كما يلي</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b/>
          <w:bCs/>
          <w:sz w:val="27"/>
          <w:rtl/>
        </w:rPr>
        <w:t>أـ عند الإمامي</w:t>
      </w:r>
      <w:r w:rsidR="00F3587B" w:rsidRPr="00282AC9">
        <w:rPr>
          <w:rFonts w:ascii="AAA GoldenLotus" w:hAnsi="AAA GoldenLotus" w:hint="cs"/>
          <w:b/>
          <w:bCs/>
          <w:sz w:val="27"/>
          <w:rtl/>
        </w:rPr>
        <w:t>ّ</w:t>
      </w:r>
      <w:r w:rsidRPr="00282AC9">
        <w:rPr>
          <w:rFonts w:ascii="AAA GoldenLotus" w:hAnsi="AAA GoldenLotus"/>
          <w:b/>
          <w:bCs/>
          <w:sz w:val="27"/>
          <w:rtl/>
        </w:rPr>
        <w:t>ة</w:t>
      </w:r>
      <w:r w:rsidRPr="00282AC9">
        <w:rPr>
          <w:rFonts w:ascii="AAA GoldenLotus" w:hAnsi="AAA GoldenLotus"/>
          <w:sz w:val="27"/>
          <w:rtl/>
        </w:rPr>
        <w:t>: من باب التخص</w:t>
      </w:r>
      <w:r w:rsidR="00BA6E05" w:rsidRPr="00282AC9">
        <w:rPr>
          <w:rFonts w:ascii="AAA GoldenLotus" w:hAnsi="AAA GoldenLotus" w:hint="cs"/>
          <w:sz w:val="27"/>
          <w:rtl/>
        </w:rPr>
        <w:t>ُّ</w:t>
      </w:r>
      <w:r w:rsidRPr="00282AC9">
        <w:rPr>
          <w:rFonts w:ascii="AAA GoldenLotus" w:hAnsi="AAA GoldenLotus"/>
          <w:sz w:val="27"/>
          <w:rtl/>
        </w:rPr>
        <w:t>ص والخروج الموضوعي</w:t>
      </w:r>
      <w:r w:rsidR="00F3587B" w:rsidRPr="00282AC9">
        <w:rPr>
          <w:rFonts w:ascii="AAA GoldenLotus" w:hAnsi="AAA GoldenLotus" w:hint="cs"/>
          <w:sz w:val="27"/>
          <w:rtl/>
        </w:rPr>
        <w:t>،</w:t>
      </w:r>
      <w:r w:rsidRPr="00282AC9">
        <w:rPr>
          <w:rFonts w:ascii="AAA GoldenLotus" w:hAnsi="AAA GoldenLotus"/>
          <w:sz w:val="27"/>
          <w:rtl/>
        </w:rPr>
        <w:t xml:space="preserve"> كما ذهب إليه بعض الأعلام</w:t>
      </w:r>
      <w:r w:rsidR="00F3587B" w:rsidRPr="00282AC9">
        <w:rPr>
          <w:rFonts w:ascii="AAA GoldenLotus" w:hAnsi="AAA GoldenLotus" w:hint="cs"/>
          <w:sz w:val="27"/>
          <w:rtl/>
        </w:rPr>
        <w:t>؛</w:t>
      </w:r>
      <w:r w:rsidRPr="00282AC9">
        <w:rPr>
          <w:rFonts w:ascii="AAA GoldenLotus" w:hAnsi="AAA GoldenLotus"/>
          <w:sz w:val="27"/>
          <w:rtl/>
        </w:rPr>
        <w:t xml:space="preserve"> خلافاً لم</w:t>
      </w:r>
      <w:r w:rsidR="00F3587B" w:rsidRPr="00282AC9">
        <w:rPr>
          <w:rFonts w:ascii="AAA GoldenLotus" w:hAnsi="AAA GoldenLotus" w:hint="cs"/>
          <w:sz w:val="27"/>
          <w:rtl/>
        </w:rPr>
        <w:t>َ</w:t>
      </w:r>
      <w:r w:rsidRPr="00282AC9">
        <w:rPr>
          <w:rFonts w:ascii="AAA GoldenLotus" w:hAnsi="AAA GoldenLotus"/>
          <w:sz w:val="27"/>
          <w:rtl/>
        </w:rPr>
        <w:t>ن</w:t>
      </w:r>
      <w:r w:rsidR="00F3587B" w:rsidRPr="00282AC9">
        <w:rPr>
          <w:rFonts w:ascii="AAA GoldenLotus" w:hAnsi="AAA GoldenLotus" w:hint="cs"/>
          <w:sz w:val="27"/>
          <w:rtl/>
        </w:rPr>
        <w:t>ْ</w:t>
      </w:r>
      <w:r w:rsidRPr="00282AC9">
        <w:rPr>
          <w:rFonts w:ascii="AAA GoldenLotus" w:hAnsi="AAA GoldenLotus"/>
          <w:sz w:val="27"/>
          <w:rtl/>
        </w:rPr>
        <w:t xml:space="preserve"> اعتبر أن هذا الخروج من باب التخصيص والخروج الح</w:t>
      </w:r>
      <w:r w:rsidR="00F3587B" w:rsidRPr="00282AC9">
        <w:rPr>
          <w:rFonts w:ascii="AAA GoldenLotus" w:hAnsi="AAA GoldenLotus" w:hint="cs"/>
          <w:sz w:val="27"/>
          <w:rtl/>
        </w:rPr>
        <w:t>ُ</w:t>
      </w:r>
      <w:r w:rsidRPr="00282AC9">
        <w:rPr>
          <w:rFonts w:ascii="AAA GoldenLotus" w:hAnsi="AAA GoldenLotus"/>
          <w:sz w:val="27"/>
          <w:rtl/>
        </w:rPr>
        <w:t>ك</w:t>
      </w:r>
      <w:r w:rsidR="00F3587B" w:rsidRPr="00282AC9">
        <w:rPr>
          <w:rFonts w:ascii="AAA GoldenLotus" w:hAnsi="AAA GoldenLotus" w:hint="cs"/>
          <w:sz w:val="27"/>
          <w:rtl/>
        </w:rPr>
        <w:t>ْ</w:t>
      </w:r>
      <w:r w:rsidRPr="00282AC9">
        <w:rPr>
          <w:rFonts w:ascii="AAA GoldenLotus" w:hAnsi="AAA GoldenLotus"/>
          <w:sz w:val="27"/>
          <w:rtl/>
        </w:rPr>
        <w:t>مي</w:t>
      </w:r>
      <w:r w:rsidR="00F3587B" w:rsidRPr="00282AC9">
        <w:rPr>
          <w:rFonts w:ascii="AAA GoldenLotus" w:hAnsi="AAA GoldenLotus" w:hint="cs"/>
          <w:sz w:val="27"/>
          <w:rtl/>
        </w:rPr>
        <w:t>ّ،</w:t>
      </w:r>
      <w:r w:rsidRPr="00282AC9">
        <w:rPr>
          <w:rFonts w:ascii="AAA GoldenLotus" w:hAnsi="AAA GoldenLotus"/>
          <w:sz w:val="27"/>
          <w:rtl/>
        </w:rPr>
        <w:t xml:space="preserve"> الذي تبن</w:t>
      </w:r>
      <w:r w:rsidR="00F3587B" w:rsidRPr="00282AC9">
        <w:rPr>
          <w:rFonts w:ascii="AAA GoldenLotus" w:hAnsi="AAA GoldenLotus" w:hint="cs"/>
          <w:sz w:val="27"/>
          <w:rtl/>
        </w:rPr>
        <w:t>ّ</w:t>
      </w:r>
      <w:r w:rsidRPr="00282AC9">
        <w:rPr>
          <w:rFonts w:ascii="AAA GoldenLotus" w:hAnsi="AAA GoldenLotus"/>
          <w:sz w:val="27"/>
          <w:rtl/>
        </w:rPr>
        <w:t>اه بعض</w:t>
      </w:r>
      <w:r w:rsidR="00F3587B" w:rsidRPr="00282AC9">
        <w:rPr>
          <w:rFonts w:ascii="AAA GoldenLotus" w:hAnsi="AAA GoldenLotus" w:hint="cs"/>
          <w:sz w:val="27"/>
          <w:rtl/>
        </w:rPr>
        <w:t>ٌ</w:t>
      </w:r>
      <w:r w:rsidRPr="00282AC9">
        <w:rPr>
          <w:rFonts w:ascii="AAA GoldenLotus" w:hAnsi="AAA GoldenLotus"/>
          <w:sz w:val="27"/>
          <w:rtl/>
        </w:rPr>
        <w:t>.</w:t>
      </w:r>
    </w:p>
    <w:p w:rsidR="00E355F2" w:rsidRPr="00282AC9" w:rsidRDefault="00E355F2" w:rsidP="00046546">
      <w:pPr>
        <w:rPr>
          <w:rFonts w:ascii="AAA GoldenLotus" w:hAnsi="AAA GoldenLotus"/>
          <w:sz w:val="27"/>
          <w:rtl/>
        </w:rPr>
      </w:pPr>
      <w:r w:rsidRPr="00282AC9">
        <w:rPr>
          <w:rFonts w:ascii="AAA GoldenLotus" w:hAnsi="AAA GoldenLotus"/>
          <w:b/>
          <w:bCs/>
          <w:sz w:val="27"/>
          <w:rtl/>
        </w:rPr>
        <w:t>ب ـ عند جمهور المذاهب</w:t>
      </w:r>
      <w:r w:rsidRPr="00282AC9">
        <w:rPr>
          <w:rFonts w:ascii="AAA GoldenLotus" w:hAnsi="AAA GoldenLotus"/>
          <w:sz w:val="27"/>
          <w:rtl/>
        </w:rPr>
        <w:t>: الجزئيات المتخل</w:t>
      </w:r>
      <w:r w:rsidR="00F3587B" w:rsidRPr="00282AC9">
        <w:rPr>
          <w:rFonts w:ascii="AAA GoldenLotus" w:hAnsi="AAA GoldenLotus" w:hint="cs"/>
          <w:sz w:val="27"/>
          <w:rtl/>
        </w:rPr>
        <w:t>ِّ</w:t>
      </w:r>
      <w:r w:rsidRPr="00282AC9">
        <w:rPr>
          <w:rFonts w:ascii="AAA GoldenLotus" w:hAnsi="AAA GoldenLotus"/>
          <w:sz w:val="27"/>
          <w:rtl/>
        </w:rPr>
        <w:t>فة قد يكون تخل</w:t>
      </w:r>
      <w:r w:rsidR="00F3587B" w:rsidRPr="00282AC9">
        <w:rPr>
          <w:rFonts w:ascii="AAA GoldenLotus" w:hAnsi="AAA GoldenLotus" w:hint="cs"/>
          <w:sz w:val="27"/>
          <w:rtl/>
        </w:rPr>
        <w:t>ُّ</w:t>
      </w:r>
      <w:r w:rsidRPr="00282AC9">
        <w:rPr>
          <w:rFonts w:ascii="AAA GoldenLotus" w:hAnsi="AAA GoldenLotus"/>
          <w:sz w:val="27"/>
          <w:rtl/>
        </w:rPr>
        <w:t>فها لح</w:t>
      </w:r>
      <w:r w:rsidR="00F3587B" w:rsidRPr="00282AC9">
        <w:rPr>
          <w:rFonts w:ascii="AAA GoldenLotus" w:hAnsi="AAA GoldenLotus" w:hint="cs"/>
          <w:sz w:val="27"/>
          <w:rtl/>
        </w:rPr>
        <w:t>ِ</w:t>
      </w:r>
      <w:r w:rsidRPr="00282AC9">
        <w:rPr>
          <w:rFonts w:ascii="AAA GoldenLotus" w:hAnsi="AAA GoldenLotus"/>
          <w:sz w:val="27"/>
          <w:rtl/>
        </w:rPr>
        <w:t>ك</w:t>
      </w:r>
      <w:r w:rsidR="00F3587B" w:rsidRPr="00282AC9">
        <w:rPr>
          <w:rFonts w:ascii="AAA GoldenLotus" w:hAnsi="AAA GoldenLotus" w:hint="cs"/>
          <w:sz w:val="27"/>
          <w:rtl/>
        </w:rPr>
        <w:t>َ</w:t>
      </w:r>
      <w:r w:rsidRPr="00282AC9">
        <w:rPr>
          <w:rFonts w:ascii="AAA GoldenLotus" w:hAnsi="AAA GoldenLotus"/>
          <w:sz w:val="27"/>
          <w:rtl/>
        </w:rPr>
        <w:t>م</w:t>
      </w:r>
      <w:r w:rsidR="00F3587B" w:rsidRPr="00282AC9">
        <w:rPr>
          <w:rFonts w:ascii="AAA GoldenLotus" w:hAnsi="AAA GoldenLotus" w:hint="cs"/>
          <w:sz w:val="27"/>
          <w:rtl/>
        </w:rPr>
        <w:t>ٍ</w:t>
      </w:r>
      <w:r w:rsidRPr="00282AC9">
        <w:rPr>
          <w:rFonts w:ascii="AAA GoldenLotus" w:hAnsi="AAA GoldenLotus"/>
          <w:sz w:val="27"/>
          <w:rtl/>
        </w:rPr>
        <w:t xml:space="preserve"> خارجة</w:t>
      </w:r>
      <w:r w:rsidR="00F3587B" w:rsidRPr="00282AC9">
        <w:rPr>
          <w:rFonts w:ascii="AAA GoldenLotus" w:hAnsi="AAA GoldenLotus" w:hint="cs"/>
          <w:sz w:val="27"/>
          <w:rtl/>
        </w:rPr>
        <w:t>ٍ</w:t>
      </w:r>
      <w:r w:rsidRPr="00282AC9">
        <w:rPr>
          <w:rFonts w:ascii="AAA GoldenLotus" w:hAnsi="AAA GoldenLotus"/>
          <w:sz w:val="27"/>
          <w:rtl/>
        </w:rPr>
        <w:t xml:space="preserve"> عن مقتضى الكل</w:t>
      </w:r>
      <w:r w:rsidR="00F3587B" w:rsidRPr="00282AC9">
        <w:rPr>
          <w:rFonts w:ascii="AAA GoldenLotus" w:hAnsi="AAA GoldenLotus" w:hint="cs"/>
          <w:sz w:val="27"/>
          <w:rtl/>
        </w:rPr>
        <w:t>ِّ</w:t>
      </w:r>
      <w:r w:rsidRPr="00282AC9">
        <w:rPr>
          <w:rFonts w:ascii="AAA GoldenLotus" w:hAnsi="AAA GoldenLotus"/>
          <w:sz w:val="27"/>
          <w:rtl/>
        </w:rPr>
        <w:t>ي، فلا تكون داخلة</w:t>
      </w:r>
      <w:r w:rsidR="00F3587B" w:rsidRPr="00282AC9">
        <w:rPr>
          <w:rFonts w:ascii="AAA GoldenLotus" w:hAnsi="AAA GoldenLotus" w:hint="cs"/>
          <w:sz w:val="27"/>
          <w:rtl/>
        </w:rPr>
        <w:t>ً</w:t>
      </w:r>
      <w:r w:rsidRPr="00282AC9">
        <w:rPr>
          <w:rFonts w:ascii="AAA GoldenLotus" w:hAnsi="AAA GoldenLotus"/>
          <w:sz w:val="27"/>
          <w:rtl/>
        </w:rPr>
        <w:t xml:space="preserve"> تحته أصلاً</w:t>
      </w:r>
      <w:r w:rsidR="00F3587B" w:rsidRPr="00282AC9">
        <w:rPr>
          <w:rFonts w:ascii="AAA GoldenLotus" w:hAnsi="AAA GoldenLotus" w:hint="cs"/>
          <w:sz w:val="27"/>
          <w:rtl/>
        </w:rPr>
        <w:t>؛</w:t>
      </w:r>
      <w:r w:rsidRPr="00282AC9">
        <w:rPr>
          <w:rFonts w:ascii="AAA GoldenLotus" w:hAnsi="AAA GoldenLotus"/>
          <w:sz w:val="27"/>
          <w:rtl/>
        </w:rPr>
        <w:t xml:space="preserve"> أو تكون داخلة</w:t>
      </w:r>
      <w:r w:rsidR="00F3587B" w:rsidRPr="00282AC9">
        <w:rPr>
          <w:rFonts w:ascii="AAA GoldenLotus" w:hAnsi="AAA GoldenLotus" w:hint="cs"/>
          <w:sz w:val="27"/>
          <w:rtl/>
        </w:rPr>
        <w:t>ً،</w:t>
      </w:r>
      <w:r w:rsidRPr="00282AC9">
        <w:rPr>
          <w:rFonts w:ascii="AAA GoldenLotus" w:hAnsi="AAA GoldenLotus"/>
          <w:sz w:val="27"/>
          <w:rtl/>
        </w:rPr>
        <w:t xml:space="preserve"> لكن</w:t>
      </w:r>
      <w:r w:rsidR="00F3587B" w:rsidRPr="00282AC9">
        <w:rPr>
          <w:rFonts w:ascii="AAA GoldenLotus" w:hAnsi="AAA GoldenLotus" w:hint="cs"/>
          <w:sz w:val="27"/>
          <w:rtl/>
        </w:rPr>
        <w:t>ْ</w:t>
      </w:r>
      <w:r w:rsidRPr="00282AC9">
        <w:rPr>
          <w:rFonts w:ascii="AAA GoldenLotus" w:hAnsi="AAA GoldenLotus"/>
          <w:sz w:val="27"/>
          <w:rtl/>
        </w:rPr>
        <w:t xml:space="preserve"> لم يظهر لنا دخولها</w:t>
      </w:r>
      <w:r w:rsidR="00F3587B" w:rsidRPr="00282AC9">
        <w:rPr>
          <w:rFonts w:ascii="AAA GoldenLotus" w:hAnsi="AAA GoldenLotus" w:hint="cs"/>
          <w:sz w:val="27"/>
          <w:rtl/>
        </w:rPr>
        <w:t>؛</w:t>
      </w:r>
      <w:r w:rsidRPr="00282AC9">
        <w:rPr>
          <w:rFonts w:ascii="AAA GoldenLotus" w:hAnsi="AAA GoldenLotus"/>
          <w:sz w:val="27"/>
          <w:rtl/>
        </w:rPr>
        <w:t xml:space="preserve"> أو داخلة</w:t>
      </w:r>
      <w:r w:rsidR="00BA6E05" w:rsidRPr="00282AC9">
        <w:rPr>
          <w:rFonts w:ascii="AAA GoldenLotus" w:hAnsi="AAA GoldenLotus" w:hint="cs"/>
          <w:sz w:val="27"/>
          <w:rtl/>
        </w:rPr>
        <w:t>ً</w:t>
      </w:r>
      <w:r w:rsidRPr="00282AC9">
        <w:rPr>
          <w:rFonts w:ascii="AAA GoldenLotus" w:hAnsi="AAA GoldenLotus"/>
          <w:sz w:val="27"/>
          <w:rtl/>
        </w:rPr>
        <w:t xml:space="preserve"> عندنا، لكن</w:t>
      </w:r>
      <w:r w:rsidR="00F3587B" w:rsidRPr="00282AC9">
        <w:rPr>
          <w:rFonts w:ascii="AAA GoldenLotus" w:hAnsi="AAA GoldenLotus" w:hint="cs"/>
          <w:sz w:val="27"/>
          <w:rtl/>
        </w:rPr>
        <w:t>ْ</w:t>
      </w:r>
      <w:r w:rsidRPr="00282AC9">
        <w:rPr>
          <w:rFonts w:ascii="AAA GoldenLotus" w:hAnsi="AAA GoldenLotus"/>
          <w:sz w:val="27"/>
          <w:rtl/>
        </w:rPr>
        <w:t xml:space="preserve"> عارضها على الخصوص ما هي به أ</w:t>
      </w:r>
      <w:r w:rsidR="00F3587B" w:rsidRPr="00282AC9">
        <w:rPr>
          <w:rFonts w:ascii="AAA GoldenLotus" w:hAnsi="AAA GoldenLotus" w:hint="cs"/>
          <w:sz w:val="27"/>
          <w:rtl/>
        </w:rPr>
        <w:t>َ</w:t>
      </w:r>
      <w:r w:rsidRPr="00282AC9">
        <w:rPr>
          <w:rFonts w:ascii="AAA GoldenLotus" w:hAnsi="AAA GoldenLotus"/>
          <w:sz w:val="27"/>
          <w:rtl/>
        </w:rPr>
        <w:t>و</w:t>
      </w:r>
      <w:r w:rsidR="00F3587B" w:rsidRPr="00282AC9">
        <w:rPr>
          <w:rFonts w:ascii="AAA GoldenLotus" w:hAnsi="AAA GoldenLotus" w:hint="cs"/>
          <w:sz w:val="27"/>
          <w:rtl/>
        </w:rPr>
        <w:t>ْ</w:t>
      </w:r>
      <w:r w:rsidRPr="00282AC9">
        <w:rPr>
          <w:rFonts w:ascii="AAA GoldenLotus" w:hAnsi="AAA GoldenLotus"/>
          <w:sz w:val="27"/>
          <w:rtl/>
        </w:rPr>
        <w:t>لى.</w:t>
      </w:r>
    </w:p>
    <w:p w:rsidR="00E83C22" w:rsidRPr="00282AC9" w:rsidRDefault="00E355F2" w:rsidP="00046546">
      <w:pPr>
        <w:rPr>
          <w:rtl/>
        </w:rPr>
      </w:pPr>
      <w:r w:rsidRPr="00282AC9">
        <w:rPr>
          <w:rFonts w:ascii="AAA GoldenLotus" w:hAnsi="AAA GoldenLotus" w:hint="cs"/>
          <w:sz w:val="27"/>
          <w:rtl/>
        </w:rPr>
        <w:t>7</w:t>
      </w:r>
      <w:r w:rsidRPr="00282AC9">
        <w:rPr>
          <w:rFonts w:ascii="AAA GoldenLotus" w:hAnsi="AAA GoldenLotus"/>
          <w:sz w:val="27"/>
          <w:rtl/>
        </w:rPr>
        <w:t>ـ ات</w:t>
      </w:r>
      <w:r w:rsidR="00F3587B" w:rsidRPr="00282AC9">
        <w:rPr>
          <w:rFonts w:ascii="AAA GoldenLotus" w:hAnsi="AAA GoldenLotus" w:hint="cs"/>
          <w:sz w:val="27"/>
          <w:rtl/>
        </w:rPr>
        <w:t>ّ</w:t>
      </w:r>
      <w:r w:rsidRPr="00282AC9">
        <w:rPr>
          <w:rFonts w:ascii="AAA GoldenLotus" w:hAnsi="AAA GoldenLotus"/>
          <w:sz w:val="27"/>
          <w:rtl/>
        </w:rPr>
        <w:t>ضح من خلال ذكر بعض الموارد عند المذاهب الإسلامي</w:t>
      </w:r>
      <w:r w:rsidR="00F3587B" w:rsidRPr="00282AC9">
        <w:rPr>
          <w:rFonts w:ascii="AAA GoldenLotus" w:hAnsi="AAA GoldenLotus" w:hint="cs"/>
          <w:sz w:val="27"/>
          <w:rtl/>
        </w:rPr>
        <w:t>ّ</w:t>
      </w:r>
      <w:r w:rsidRPr="00282AC9">
        <w:rPr>
          <w:rFonts w:ascii="AAA GoldenLotus" w:hAnsi="AAA GoldenLotus"/>
          <w:sz w:val="27"/>
          <w:rtl/>
        </w:rPr>
        <w:t xml:space="preserve">ة الخمسة أن </w:t>
      </w:r>
      <w:r w:rsidR="00646AB3" w:rsidRPr="00282AC9">
        <w:rPr>
          <w:rFonts w:ascii="AAA GoldenLotus" w:hAnsi="AAA GoldenLotus" w:hint="cs"/>
          <w:sz w:val="27"/>
          <w:rtl/>
        </w:rPr>
        <w:t>بعض الأحكام</w:t>
      </w:r>
      <w:r w:rsidRPr="00282AC9">
        <w:rPr>
          <w:rFonts w:ascii="AAA GoldenLotus" w:hAnsi="AAA GoldenLotus"/>
          <w:sz w:val="27"/>
          <w:rtl/>
        </w:rPr>
        <w:t xml:space="preserve"> </w:t>
      </w:r>
      <w:r w:rsidR="00646AB3" w:rsidRPr="00282AC9">
        <w:rPr>
          <w:rFonts w:ascii="AAA GoldenLotus" w:hAnsi="AAA GoldenLotus" w:hint="cs"/>
          <w:sz w:val="27"/>
          <w:rtl/>
        </w:rPr>
        <w:t>ال</w:t>
      </w:r>
      <w:r w:rsidRPr="00282AC9">
        <w:rPr>
          <w:rFonts w:ascii="AAA GoldenLotus" w:hAnsi="AAA GoldenLotus"/>
          <w:sz w:val="27"/>
          <w:rtl/>
        </w:rPr>
        <w:t>شرعي</w:t>
      </w:r>
      <w:r w:rsidR="00F3587B" w:rsidRPr="00282AC9">
        <w:rPr>
          <w:rFonts w:ascii="AAA GoldenLotus" w:hAnsi="AAA GoldenLotus" w:hint="cs"/>
          <w:sz w:val="27"/>
          <w:rtl/>
        </w:rPr>
        <w:t>ّ</w:t>
      </w:r>
      <w:r w:rsidRPr="00282AC9">
        <w:rPr>
          <w:rFonts w:ascii="AAA GoldenLotus" w:hAnsi="AAA GoldenLotus"/>
          <w:sz w:val="27"/>
          <w:rtl/>
        </w:rPr>
        <w:t>ة التي ي</w:t>
      </w:r>
      <w:r w:rsidR="00646AB3" w:rsidRPr="00282AC9">
        <w:rPr>
          <w:rFonts w:ascii="AAA GoldenLotus" w:hAnsi="AAA GoldenLotus" w:hint="cs"/>
          <w:sz w:val="27"/>
          <w:rtl/>
        </w:rPr>
        <w:t>ُ</w:t>
      </w:r>
      <w:r w:rsidRPr="00282AC9">
        <w:rPr>
          <w:rFonts w:ascii="AAA GoldenLotus" w:hAnsi="AAA GoldenLotus"/>
          <w:sz w:val="27"/>
          <w:rtl/>
        </w:rPr>
        <w:t>راد تعميمها لكل</w:t>
      </w:r>
      <w:r w:rsidR="00646AB3" w:rsidRPr="00282AC9">
        <w:rPr>
          <w:rFonts w:ascii="AAA GoldenLotus" w:hAnsi="AAA GoldenLotus" w:hint="cs"/>
          <w:sz w:val="27"/>
          <w:rtl/>
        </w:rPr>
        <w:t>ِّ</w:t>
      </w:r>
      <w:r w:rsidRPr="00282AC9">
        <w:rPr>
          <w:rFonts w:ascii="AAA GoldenLotus" w:hAnsi="AAA GoldenLotus"/>
          <w:sz w:val="27"/>
          <w:rtl/>
        </w:rPr>
        <w:t xml:space="preserve"> المكل</w:t>
      </w:r>
      <w:r w:rsidR="00646AB3" w:rsidRPr="00282AC9">
        <w:rPr>
          <w:rFonts w:ascii="AAA GoldenLotus" w:hAnsi="AAA GoldenLotus" w:hint="cs"/>
          <w:sz w:val="27"/>
          <w:rtl/>
        </w:rPr>
        <w:t>َّ</w:t>
      </w:r>
      <w:r w:rsidRPr="00282AC9">
        <w:rPr>
          <w:rFonts w:ascii="AAA GoldenLotus" w:hAnsi="AAA GoldenLotus"/>
          <w:sz w:val="27"/>
          <w:rtl/>
        </w:rPr>
        <w:t>فين</w:t>
      </w:r>
      <w:r w:rsidR="00646AB3" w:rsidRPr="00282AC9">
        <w:rPr>
          <w:rFonts w:ascii="AAA GoldenLotus" w:hAnsi="AAA GoldenLotus" w:hint="cs"/>
          <w:sz w:val="27"/>
          <w:rtl/>
        </w:rPr>
        <w:t>،</w:t>
      </w:r>
      <w:r w:rsidRPr="00282AC9">
        <w:rPr>
          <w:rFonts w:ascii="AAA GoldenLotus" w:hAnsi="AAA GoldenLotus"/>
          <w:sz w:val="27"/>
          <w:rtl/>
        </w:rPr>
        <w:t xml:space="preserve"> من الرجال والنساء</w:t>
      </w:r>
      <w:r w:rsidR="00646AB3" w:rsidRPr="00282AC9">
        <w:rPr>
          <w:rFonts w:ascii="AAA GoldenLotus" w:hAnsi="AAA GoldenLotus" w:hint="cs"/>
          <w:sz w:val="27"/>
          <w:rtl/>
        </w:rPr>
        <w:t>،</w:t>
      </w:r>
      <w:r w:rsidRPr="00282AC9">
        <w:rPr>
          <w:rFonts w:ascii="AAA GoldenLotus" w:hAnsi="AAA GoldenLotus"/>
          <w:sz w:val="27"/>
          <w:rtl/>
        </w:rPr>
        <w:t xml:space="preserve"> بحاجة</w:t>
      </w:r>
      <w:r w:rsidR="00646AB3" w:rsidRPr="00282AC9">
        <w:rPr>
          <w:rFonts w:ascii="AAA GoldenLotus" w:hAnsi="AAA GoldenLotus" w:hint="cs"/>
          <w:sz w:val="27"/>
          <w:rtl/>
        </w:rPr>
        <w:t>ٍ</w:t>
      </w:r>
      <w:r w:rsidRPr="00282AC9">
        <w:rPr>
          <w:rFonts w:ascii="AAA GoldenLotus" w:hAnsi="AAA GoldenLotus"/>
          <w:sz w:val="27"/>
          <w:rtl/>
        </w:rPr>
        <w:t xml:space="preserve"> لإعمال قاعدة اشتراك الأحكام بين الرجال والنساء محل</w:t>
      </w:r>
      <w:r w:rsidR="00646AB3" w:rsidRPr="00282AC9">
        <w:rPr>
          <w:rFonts w:ascii="AAA GoldenLotus" w:hAnsi="AAA GoldenLotus" w:hint="cs"/>
          <w:sz w:val="27"/>
          <w:rtl/>
        </w:rPr>
        <w:t>ّ</w:t>
      </w:r>
      <w:r w:rsidRPr="00282AC9">
        <w:rPr>
          <w:rFonts w:ascii="AAA GoldenLotus" w:hAnsi="AAA GoldenLotus"/>
          <w:sz w:val="27"/>
          <w:rtl/>
        </w:rPr>
        <w:t xml:space="preserve"> البحث.</w:t>
      </w:r>
    </w:p>
    <w:p w:rsidR="00E83C22" w:rsidRPr="00282AC9" w:rsidRDefault="00E83C22" w:rsidP="00046546">
      <w:pPr>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lastRenderedPageBreak/>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73"/>
          <w:headerReference w:type="default" r:id="rId74"/>
          <w:footerReference w:type="even" r:id="rId75"/>
          <w:footerReference w:type="defaul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77"/>
          <w:headerReference w:type="default" r:id="rId78"/>
          <w:footerReference w:type="even" r:id="rId79"/>
          <w:footerReference w:type="default" r:id="rId80"/>
          <w:headerReference w:type="firs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3C40D2">
      <w:pPr>
        <w:spacing w:line="440" w:lineRule="exact"/>
        <w:rPr>
          <w:rtl/>
        </w:rPr>
      </w:pPr>
    </w:p>
    <w:p w:rsidR="00E83C22" w:rsidRPr="00282AC9" w:rsidRDefault="00E83C22" w:rsidP="003C40D2">
      <w:pPr>
        <w:spacing w:line="420" w:lineRule="exact"/>
        <w:rPr>
          <w:rtl/>
        </w:rPr>
      </w:pPr>
    </w:p>
    <w:p w:rsidR="00E83C22" w:rsidRPr="00282AC9" w:rsidRDefault="00667C32" w:rsidP="00667C32">
      <w:pPr>
        <w:pStyle w:val="11"/>
        <w:spacing w:line="216" w:lineRule="auto"/>
        <w:rPr>
          <w:rtl/>
        </w:rPr>
      </w:pPr>
      <w:bookmarkStart w:id="57" w:name="_Toc87011501"/>
      <w:r w:rsidRPr="00282AC9">
        <w:rPr>
          <w:rtl/>
        </w:rPr>
        <w:t>مفهوم الغنيمة في التراث الفكري</w:t>
      </w:r>
      <w:r w:rsidRPr="00282AC9">
        <w:rPr>
          <w:rFonts w:hint="cs"/>
          <w:rtl/>
        </w:rPr>
        <w:t>ّ</w:t>
      </w:r>
      <w:r w:rsidRPr="00282AC9">
        <w:rPr>
          <w:rtl/>
        </w:rPr>
        <w:t xml:space="preserve"> للمسلمين</w:t>
      </w:r>
      <w:bookmarkEnd w:id="57"/>
    </w:p>
    <w:p w:rsidR="00E83C22" w:rsidRPr="00282AC9" w:rsidRDefault="00667C32" w:rsidP="006A7813">
      <w:pPr>
        <w:pStyle w:val="11"/>
        <w:spacing w:line="216" w:lineRule="auto"/>
        <w:rPr>
          <w:sz w:val="26"/>
          <w:szCs w:val="42"/>
          <w:rtl/>
          <w:lang w:bidi="ar-OM"/>
        </w:rPr>
      </w:pPr>
      <w:bookmarkStart w:id="58" w:name="_Toc87011502"/>
      <w:r w:rsidRPr="00282AC9">
        <w:rPr>
          <w:rFonts w:hint="cs"/>
          <w:sz w:val="26"/>
          <w:szCs w:val="42"/>
          <w:rtl/>
          <w:lang w:bidi="ar-OM"/>
        </w:rPr>
        <w:t>عرضٌ وتحليل</w:t>
      </w:r>
      <w:bookmarkEnd w:id="58"/>
    </w:p>
    <w:p w:rsidR="00E83C22" w:rsidRPr="00282AC9" w:rsidRDefault="00E83C22" w:rsidP="003C40D2">
      <w:pPr>
        <w:spacing w:line="420" w:lineRule="exact"/>
        <w:rPr>
          <w:rtl/>
        </w:rPr>
      </w:pPr>
    </w:p>
    <w:p w:rsidR="00E83C22" w:rsidRPr="00282AC9" w:rsidRDefault="00946A76" w:rsidP="006A7813">
      <w:pPr>
        <w:pStyle w:val="Author"/>
        <w:rPr>
          <w:rtl/>
        </w:rPr>
      </w:pPr>
      <w:bookmarkStart w:id="59" w:name="_Toc87011503"/>
      <w:r w:rsidRPr="00282AC9">
        <w:rPr>
          <w:rFonts w:hint="cs"/>
          <w:rtl/>
        </w:rPr>
        <w:t xml:space="preserve">أ. </w:t>
      </w:r>
      <w:r w:rsidRPr="00282AC9">
        <w:rPr>
          <w:rtl/>
        </w:rPr>
        <w:t>مشتاق بن موسى اللواتي</w:t>
      </w:r>
      <w:r w:rsidR="00527634" w:rsidRPr="00282AC9">
        <w:rPr>
          <w:rFonts w:cs="Taher" w:hint="cs"/>
          <w:vertAlign w:val="superscript"/>
          <w:rtl/>
        </w:rPr>
        <w:t>(</w:t>
      </w:r>
      <w:r w:rsidR="00527634" w:rsidRPr="00282AC9">
        <w:rPr>
          <w:rFonts w:cs="Taher"/>
          <w:vertAlign w:val="superscript"/>
          <w:rtl/>
        </w:rPr>
        <w:footnoteReference w:customMarkFollows="1" w:id="7"/>
        <w:t>*)</w:t>
      </w:r>
      <w:bookmarkEnd w:id="59"/>
    </w:p>
    <w:p w:rsidR="00E83C22" w:rsidRPr="00282AC9" w:rsidRDefault="00E83C22" w:rsidP="003C40D2">
      <w:pPr>
        <w:spacing w:line="420" w:lineRule="exact"/>
        <w:rPr>
          <w:rtl/>
        </w:rPr>
      </w:pPr>
    </w:p>
    <w:p w:rsidR="00946A76" w:rsidRPr="00282AC9" w:rsidRDefault="00946A76" w:rsidP="00B70E1F">
      <w:pPr>
        <w:pStyle w:val="31"/>
        <w:rPr>
          <w:color w:val="auto"/>
          <w:rtl/>
        </w:rPr>
      </w:pPr>
      <w:r w:rsidRPr="00282AC9">
        <w:rPr>
          <w:rFonts w:hint="cs"/>
          <w:color w:val="auto"/>
          <w:rtl/>
          <w:lang w:bidi="ar-OM"/>
        </w:rPr>
        <w:t>مقدّمةٌ</w:t>
      </w:r>
    </w:p>
    <w:p w:rsidR="00946A76" w:rsidRPr="00282AC9" w:rsidRDefault="00946A76" w:rsidP="00186251">
      <w:pPr>
        <w:rPr>
          <w:rtl/>
        </w:rPr>
      </w:pPr>
      <w:r w:rsidRPr="00282AC9">
        <w:rPr>
          <w:rtl/>
        </w:rPr>
        <w:t>يترك</w:t>
      </w:r>
      <w:r w:rsidR="007027E4" w:rsidRPr="00282AC9">
        <w:rPr>
          <w:rFonts w:hint="cs"/>
          <w:rtl/>
        </w:rPr>
        <w:t>َّ</w:t>
      </w:r>
      <w:r w:rsidRPr="00282AC9">
        <w:rPr>
          <w:rtl/>
        </w:rPr>
        <w:t>ز البحث على ماد</w:t>
      </w:r>
      <w:r w:rsidR="00282D56" w:rsidRPr="00282AC9">
        <w:rPr>
          <w:rFonts w:hint="cs"/>
          <w:rtl/>
        </w:rPr>
        <w:t>ّ</w:t>
      </w:r>
      <w:r w:rsidRPr="00282AC9">
        <w:rPr>
          <w:rtl/>
        </w:rPr>
        <w:t xml:space="preserve">ة </w:t>
      </w:r>
      <w:r w:rsidRPr="00282AC9">
        <w:rPr>
          <w:rFonts w:hint="eastAsia"/>
          <w:sz w:val="24"/>
          <w:szCs w:val="24"/>
          <w:rtl/>
        </w:rPr>
        <w:t>«</w:t>
      </w:r>
      <w:r w:rsidRPr="00282AC9">
        <w:rPr>
          <w:rtl/>
        </w:rPr>
        <w:t>الغنم</w:t>
      </w:r>
      <w:r w:rsidRPr="00282AC9">
        <w:rPr>
          <w:rFonts w:hint="eastAsia"/>
          <w:sz w:val="24"/>
          <w:szCs w:val="24"/>
          <w:rtl/>
        </w:rPr>
        <w:t>»</w:t>
      </w:r>
      <w:r w:rsidR="00A24922" w:rsidRPr="00282AC9">
        <w:rPr>
          <w:rFonts w:hint="cs"/>
          <w:rtl/>
        </w:rPr>
        <w:t>،</w:t>
      </w:r>
      <w:r w:rsidRPr="00282AC9">
        <w:rPr>
          <w:rtl/>
        </w:rPr>
        <w:t xml:space="preserve"> وتصريفاتها</w:t>
      </w:r>
      <w:r w:rsidR="00A24922" w:rsidRPr="00282AC9">
        <w:rPr>
          <w:rFonts w:hint="cs"/>
          <w:rtl/>
        </w:rPr>
        <w:t>،</w:t>
      </w:r>
      <w:r w:rsidRPr="00282AC9">
        <w:rPr>
          <w:rtl/>
        </w:rPr>
        <w:t xml:space="preserve"> واستعمالاتها</w:t>
      </w:r>
      <w:r w:rsidR="00A24922" w:rsidRPr="00282AC9">
        <w:rPr>
          <w:rFonts w:hint="cs"/>
          <w:rtl/>
        </w:rPr>
        <w:t>،</w:t>
      </w:r>
      <w:r w:rsidRPr="00282AC9">
        <w:rPr>
          <w:rtl/>
        </w:rPr>
        <w:t xml:space="preserve"> وتجل</w:t>
      </w:r>
      <w:r w:rsidR="007A1AA4" w:rsidRPr="00282AC9">
        <w:rPr>
          <w:rFonts w:hint="cs"/>
          <w:rtl/>
        </w:rPr>
        <w:t>ِّ</w:t>
      </w:r>
      <w:r w:rsidRPr="00282AC9">
        <w:rPr>
          <w:rtl/>
        </w:rPr>
        <w:t>ياتها الج</w:t>
      </w:r>
      <w:r w:rsidR="00A24922" w:rsidRPr="00282AC9">
        <w:rPr>
          <w:rFonts w:hint="cs"/>
          <w:rtl/>
        </w:rPr>
        <w:t>َ</w:t>
      </w:r>
      <w:r w:rsidRPr="00282AC9">
        <w:rPr>
          <w:rtl/>
        </w:rPr>
        <w:t>د</w:t>
      </w:r>
      <w:r w:rsidR="00A24922" w:rsidRPr="00282AC9">
        <w:rPr>
          <w:rFonts w:hint="cs"/>
          <w:rtl/>
        </w:rPr>
        <w:t>َ</w:t>
      </w:r>
      <w:r w:rsidRPr="00282AC9">
        <w:rPr>
          <w:rtl/>
        </w:rPr>
        <w:t>لية حول مفهوم الغنيمة في التراث الفكري</w:t>
      </w:r>
      <w:r w:rsidR="00A24922" w:rsidRPr="00282AC9">
        <w:rPr>
          <w:rFonts w:hint="cs"/>
          <w:rtl/>
        </w:rPr>
        <w:t>ّ</w:t>
      </w:r>
      <w:r w:rsidRPr="00282AC9">
        <w:rPr>
          <w:rtl/>
        </w:rPr>
        <w:t xml:space="preserve"> للمسلمين. </w:t>
      </w:r>
    </w:p>
    <w:p w:rsidR="00946A76" w:rsidRPr="00282AC9" w:rsidRDefault="00946A76" w:rsidP="00186251">
      <w:pPr>
        <w:rPr>
          <w:rtl/>
        </w:rPr>
      </w:pPr>
      <w:r w:rsidRPr="00282AC9">
        <w:rPr>
          <w:rtl/>
        </w:rPr>
        <w:t>ويرصد النواحي الدلالية لهذه الماد</w:t>
      </w:r>
      <w:r w:rsidR="00A24922" w:rsidRPr="00282AC9">
        <w:rPr>
          <w:rFonts w:hint="cs"/>
          <w:rtl/>
        </w:rPr>
        <w:t>ّ</w:t>
      </w:r>
      <w:r w:rsidRPr="00282AC9">
        <w:rPr>
          <w:rtl/>
        </w:rPr>
        <w:t>ة في المعهود اللغوي</w:t>
      </w:r>
      <w:r w:rsidR="00A24922" w:rsidRPr="00282AC9">
        <w:rPr>
          <w:rFonts w:hint="cs"/>
          <w:rtl/>
        </w:rPr>
        <w:t>ّ</w:t>
      </w:r>
      <w:r w:rsidRPr="00282AC9">
        <w:rPr>
          <w:rtl/>
        </w:rPr>
        <w:t xml:space="preserve"> التداولي</w:t>
      </w:r>
      <w:r w:rsidR="00A24922" w:rsidRPr="00282AC9">
        <w:rPr>
          <w:rFonts w:hint="cs"/>
          <w:rtl/>
        </w:rPr>
        <w:t>،</w:t>
      </w:r>
      <w:r w:rsidRPr="00282AC9">
        <w:rPr>
          <w:rtl/>
        </w:rPr>
        <w:t xml:space="preserve"> وانعكاساتها في </w:t>
      </w:r>
      <w:r w:rsidR="00EE6DBA" w:rsidRPr="00282AC9">
        <w:rPr>
          <w:rtl/>
        </w:rPr>
        <w:t>مجال</w:t>
      </w:r>
      <w:r w:rsidR="00A24922" w:rsidRPr="00282AC9">
        <w:rPr>
          <w:rFonts w:hint="cs"/>
          <w:rtl/>
        </w:rPr>
        <w:t>َ</w:t>
      </w:r>
      <w:r w:rsidRPr="00282AC9">
        <w:rPr>
          <w:rtl/>
        </w:rPr>
        <w:t>ي</w:t>
      </w:r>
      <w:r w:rsidR="00A24922" w:rsidRPr="00282AC9">
        <w:rPr>
          <w:rFonts w:hint="cs"/>
          <w:rtl/>
        </w:rPr>
        <w:t>ْ</w:t>
      </w:r>
      <w:r w:rsidRPr="00282AC9">
        <w:rPr>
          <w:rtl/>
        </w:rPr>
        <w:t xml:space="preserve"> التفسير والفقه. </w:t>
      </w:r>
    </w:p>
    <w:p w:rsidR="00946A76" w:rsidRPr="00282AC9" w:rsidRDefault="00946A76" w:rsidP="00186251">
      <w:pPr>
        <w:rPr>
          <w:rtl/>
        </w:rPr>
      </w:pPr>
      <w:r w:rsidRPr="00282AC9">
        <w:rPr>
          <w:rtl/>
        </w:rPr>
        <w:t>ولا يتطر</w:t>
      </w:r>
      <w:r w:rsidR="00A24922" w:rsidRPr="00282AC9">
        <w:rPr>
          <w:rFonts w:hint="cs"/>
          <w:rtl/>
        </w:rPr>
        <w:t>َّ</w:t>
      </w:r>
      <w:r w:rsidRPr="00282AC9">
        <w:rPr>
          <w:rtl/>
        </w:rPr>
        <w:t>ق إلى الأمور المت</w:t>
      </w:r>
      <w:r w:rsidR="00A24922" w:rsidRPr="00282AC9">
        <w:rPr>
          <w:rFonts w:hint="cs"/>
          <w:rtl/>
        </w:rPr>
        <w:t>ّ</w:t>
      </w:r>
      <w:r w:rsidRPr="00282AC9">
        <w:rPr>
          <w:rtl/>
        </w:rPr>
        <w:t>صلة بالتاريخ السياسي</w:t>
      </w:r>
      <w:r w:rsidR="00A24922" w:rsidRPr="00282AC9">
        <w:rPr>
          <w:rFonts w:hint="cs"/>
          <w:rtl/>
        </w:rPr>
        <w:t>ّ،</w:t>
      </w:r>
      <w:r w:rsidRPr="00282AC9">
        <w:rPr>
          <w:rtl/>
        </w:rPr>
        <w:t xml:space="preserve"> التي لم يع</w:t>
      </w:r>
      <w:r w:rsidR="00A24922" w:rsidRPr="00282AC9">
        <w:rPr>
          <w:rFonts w:hint="cs"/>
          <w:rtl/>
        </w:rPr>
        <w:t>ُ</w:t>
      </w:r>
      <w:r w:rsidRPr="00282AC9">
        <w:rPr>
          <w:rtl/>
        </w:rPr>
        <w:t>د</w:t>
      </w:r>
      <w:r w:rsidR="00A24922" w:rsidRPr="00282AC9">
        <w:rPr>
          <w:rFonts w:hint="cs"/>
          <w:rtl/>
        </w:rPr>
        <w:t>ْ</w:t>
      </w:r>
      <w:r w:rsidRPr="00282AC9">
        <w:rPr>
          <w:rtl/>
        </w:rPr>
        <w:t xml:space="preserve"> لها وجود</w:t>
      </w:r>
      <w:r w:rsidR="00A24922" w:rsidRPr="00282AC9">
        <w:rPr>
          <w:rFonts w:hint="cs"/>
          <w:rtl/>
        </w:rPr>
        <w:t>ٌ</w:t>
      </w:r>
      <w:r w:rsidRPr="00282AC9">
        <w:rPr>
          <w:rtl/>
        </w:rPr>
        <w:t xml:space="preserve"> موضوعي</w:t>
      </w:r>
      <w:r w:rsidR="00A24922" w:rsidRPr="00282AC9">
        <w:rPr>
          <w:rFonts w:hint="cs"/>
          <w:rtl/>
        </w:rPr>
        <w:t>ّ</w:t>
      </w:r>
      <w:r w:rsidRPr="00282AC9">
        <w:rPr>
          <w:rtl/>
        </w:rPr>
        <w:t xml:space="preserve"> في التاريخ الحديث. </w:t>
      </w:r>
    </w:p>
    <w:p w:rsidR="00946A76" w:rsidRPr="00282AC9" w:rsidRDefault="00946A76" w:rsidP="00186251">
      <w:pPr>
        <w:rPr>
          <w:rtl/>
        </w:rPr>
      </w:pPr>
      <w:r w:rsidRPr="00282AC9">
        <w:rPr>
          <w:rtl/>
        </w:rPr>
        <w:t>ونعني بالتراث الفكري</w:t>
      </w:r>
      <w:r w:rsidR="00A24922" w:rsidRPr="00282AC9">
        <w:rPr>
          <w:rFonts w:hint="cs"/>
          <w:rtl/>
        </w:rPr>
        <w:t>ّ</w:t>
      </w:r>
      <w:r w:rsidRPr="00282AC9">
        <w:rPr>
          <w:rtl/>
        </w:rPr>
        <w:t xml:space="preserve"> ما تركه علماء العرب والمسلمين من آثار</w:t>
      </w:r>
      <w:r w:rsidR="00A24922" w:rsidRPr="00282AC9">
        <w:rPr>
          <w:rFonts w:hint="cs"/>
          <w:rtl/>
        </w:rPr>
        <w:t>ٍ</w:t>
      </w:r>
      <w:r w:rsidRPr="00282AC9">
        <w:rPr>
          <w:rtl/>
        </w:rPr>
        <w:t xml:space="preserve"> واجتهادات</w:t>
      </w:r>
      <w:r w:rsidR="00A24922" w:rsidRPr="00282AC9">
        <w:rPr>
          <w:rFonts w:hint="cs"/>
          <w:rtl/>
        </w:rPr>
        <w:t>ٍ</w:t>
      </w:r>
      <w:r w:rsidRPr="00282AC9">
        <w:rPr>
          <w:rtl/>
        </w:rPr>
        <w:t xml:space="preserve"> في ال</w:t>
      </w:r>
      <w:r w:rsidR="00EE6DBA" w:rsidRPr="00282AC9">
        <w:rPr>
          <w:rtl/>
        </w:rPr>
        <w:t>مجالات</w:t>
      </w:r>
      <w:r w:rsidRPr="00282AC9">
        <w:rPr>
          <w:rtl/>
        </w:rPr>
        <w:t xml:space="preserve"> الفكري</w:t>
      </w:r>
      <w:r w:rsidR="00A24922" w:rsidRPr="00282AC9">
        <w:rPr>
          <w:rFonts w:hint="cs"/>
          <w:rtl/>
        </w:rPr>
        <w:t>ّ</w:t>
      </w:r>
      <w:r w:rsidRPr="00282AC9">
        <w:rPr>
          <w:rtl/>
        </w:rPr>
        <w:t>ة والأدبي</w:t>
      </w:r>
      <w:r w:rsidR="00A24922" w:rsidRPr="00282AC9">
        <w:rPr>
          <w:rFonts w:hint="cs"/>
          <w:rtl/>
        </w:rPr>
        <w:t>ّ</w:t>
      </w:r>
      <w:r w:rsidRPr="00282AC9">
        <w:rPr>
          <w:rtl/>
        </w:rPr>
        <w:t>ة</w:t>
      </w:r>
      <w:r w:rsidR="00A24922" w:rsidRPr="00282AC9">
        <w:rPr>
          <w:rFonts w:hint="cs"/>
          <w:rtl/>
        </w:rPr>
        <w:t>،</w:t>
      </w:r>
      <w:r w:rsidRPr="00282AC9">
        <w:rPr>
          <w:rtl/>
        </w:rPr>
        <w:t xml:space="preserve"> كاللغة والتفسير والفقه والبحوث الروائي</w:t>
      </w:r>
      <w:r w:rsidR="00A24922" w:rsidRPr="00282AC9">
        <w:rPr>
          <w:rFonts w:hint="cs"/>
          <w:rtl/>
        </w:rPr>
        <w:t>ّ</w:t>
      </w:r>
      <w:r w:rsidRPr="00282AC9">
        <w:rPr>
          <w:rtl/>
        </w:rPr>
        <w:t>ة.</w:t>
      </w:r>
    </w:p>
    <w:p w:rsidR="00946A76" w:rsidRPr="00282AC9" w:rsidRDefault="00946A76" w:rsidP="00186251">
      <w:pPr>
        <w:rPr>
          <w:rtl/>
        </w:rPr>
      </w:pPr>
    </w:p>
    <w:p w:rsidR="00946A76" w:rsidRPr="00282AC9" w:rsidRDefault="00946A76" w:rsidP="00B70E1F">
      <w:pPr>
        <w:pStyle w:val="31"/>
        <w:rPr>
          <w:color w:val="auto"/>
          <w:rtl/>
        </w:rPr>
      </w:pPr>
      <w:r w:rsidRPr="00282AC9">
        <w:rPr>
          <w:color w:val="auto"/>
          <w:rtl/>
        </w:rPr>
        <w:t xml:space="preserve">تشريع الخمس </w:t>
      </w:r>
    </w:p>
    <w:p w:rsidR="00946A76" w:rsidRPr="00282AC9" w:rsidRDefault="00946A76" w:rsidP="00186251">
      <w:pPr>
        <w:rPr>
          <w:rtl/>
        </w:rPr>
      </w:pPr>
      <w:r w:rsidRPr="00282AC9">
        <w:rPr>
          <w:rtl/>
        </w:rPr>
        <w:t>إن أصل تشريع الخمس ثابت</w:t>
      </w:r>
      <w:r w:rsidR="00A24922" w:rsidRPr="00282AC9">
        <w:rPr>
          <w:rFonts w:hint="cs"/>
          <w:rtl/>
        </w:rPr>
        <w:t>ٌ</w:t>
      </w:r>
      <w:r w:rsidRPr="00282AC9">
        <w:rPr>
          <w:rtl/>
        </w:rPr>
        <w:t xml:space="preserve"> بنص</w:t>
      </w:r>
      <w:r w:rsidR="00A24922" w:rsidRPr="00282AC9">
        <w:rPr>
          <w:rFonts w:hint="cs"/>
          <w:rtl/>
        </w:rPr>
        <w:t>ّ</w:t>
      </w:r>
      <w:r w:rsidRPr="00282AC9">
        <w:rPr>
          <w:rtl/>
        </w:rPr>
        <w:t xml:space="preserve"> القرآن الكريم</w:t>
      </w:r>
      <w:r w:rsidR="00A24922" w:rsidRPr="00282AC9">
        <w:rPr>
          <w:rFonts w:hint="cs"/>
          <w:rtl/>
        </w:rPr>
        <w:t>،</w:t>
      </w:r>
      <w:r w:rsidRPr="00282AC9">
        <w:rPr>
          <w:rtl/>
        </w:rPr>
        <w:t xml:space="preserve"> في قوله تعالى: </w:t>
      </w:r>
      <w:r w:rsidR="00A24922" w:rsidRPr="00282AC9">
        <w:rPr>
          <w:rFonts w:ascii="Mosawi" w:hAnsi="Mosawi" w:cs="Mosawi"/>
          <w:sz w:val="24"/>
          <w:szCs w:val="24"/>
          <w:rtl/>
        </w:rPr>
        <w:t>﴿</w:t>
      </w:r>
      <w:r w:rsidR="00A24922" w:rsidRPr="00282AC9">
        <w:rPr>
          <w:b/>
          <w:bCs/>
          <w:sz w:val="27"/>
          <w:rtl/>
        </w:rPr>
        <w:t>وَاعْلَمُوا أَنَّ</w:t>
      </w:r>
      <w:r w:rsidR="00A24922" w:rsidRPr="00282AC9">
        <w:rPr>
          <w:rFonts w:hint="cs"/>
          <w:b/>
          <w:bCs/>
          <w:sz w:val="27"/>
          <w:rtl/>
        </w:rPr>
        <w:t xml:space="preserve"> </w:t>
      </w:r>
      <w:r w:rsidR="00A24922" w:rsidRPr="00282AC9">
        <w:rPr>
          <w:b/>
          <w:bCs/>
          <w:sz w:val="27"/>
          <w:rtl/>
        </w:rPr>
        <w:t>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r w:rsidR="00A24922" w:rsidRPr="00282AC9">
        <w:rPr>
          <w:rFonts w:ascii="Mosawi" w:hAnsi="Mosawi" w:cs="Mosawi"/>
          <w:sz w:val="24"/>
          <w:szCs w:val="24"/>
          <w:rtl/>
        </w:rPr>
        <w:t>﴾</w:t>
      </w:r>
      <w:r w:rsidRPr="00282AC9">
        <w:rPr>
          <w:rFonts w:hint="cs"/>
          <w:rtl/>
        </w:rPr>
        <w:t xml:space="preserve"> (</w:t>
      </w:r>
      <w:r w:rsidRPr="00282AC9">
        <w:rPr>
          <w:rtl/>
        </w:rPr>
        <w:t>الأنفال: 41</w:t>
      </w:r>
      <w:r w:rsidRPr="00282AC9">
        <w:rPr>
          <w:rFonts w:hint="cs"/>
          <w:rtl/>
        </w:rPr>
        <w:t>).</w:t>
      </w:r>
    </w:p>
    <w:p w:rsidR="00946A76" w:rsidRPr="00282AC9" w:rsidRDefault="00946A76" w:rsidP="00186251">
      <w:pPr>
        <w:rPr>
          <w:rtl/>
        </w:rPr>
      </w:pPr>
      <w:r w:rsidRPr="00282AC9">
        <w:rPr>
          <w:rtl/>
        </w:rPr>
        <w:t xml:space="preserve">وبمراجعة تفسير </w:t>
      </w:r>
      <w:r w:rsidRPr="00282AC9">
        <w:rPr>
          <w:rFonts w:hint="eastAsia"/>
          <w:sz w:val="24"/>
          <w:szCs w:val="24"/>
          <w:rtl/>
        </w:rPr>
        <w:t>«</w:t>
      </w:r>
      <w:r w:rsidRPr="00282AC9">
        <w:rPr>
          <w:rtl/>
        </w:rPr>
        <w:t>الكش</w:t>
      </w:r>
      <w:r w:rsidR="00A24922" w:rsidRPr="00282AC9">
        <w:rPr>
          <w:rFonts w:hint="cs"/>
          <w:rtl/>
        </w:rPr>
        <w:t>ّ</w:t>
      </w:r>
      <w:r w:rsidRPr="00282AC9">
        <w:rPr>
          <w:rtl/>
        </w:rPr>
        <w:t>اف</w:t>
      </w:r>
      <w:r w:rsidRPr="00282AC9">
        <w:rPr>
          <w:rFonts w:hint="eastAsia"/>
          <w:sz w:val="24"/>
          <w:szCs w:val="24"/>
          <w:rtl/>
        </w:rPr>
        <w:t>»</w:t>
      </w:r>
      <w:r w:rsidR="00A24922" w:rsidRPr="00282AC9">
        <w:rPr>
          <w:rFonts w:hint="cs"/>
          <w:rtl/>
        </w:rPr>
        <w:t>،</w:t>
      </w:r>
      <w:r w:rsidRPr="00282AC9">
        <w:rPr>
          <w:rtl/>
        </w:rPr>
        <w:t xml:space="preserve"> للزمخشري(538</w:t>
      </w:r>
      <w:r w:rsidRPr="00282AC9">
        <w:rPr>
          <w:rFonts w:hint="cs"/>
          <w:rtl/>
        </w:rPr>
        <w:t>هـ</w:t>
      </w:r>
      <w:r w:rsidRPr="00282AC9">
        <w:rPr>
          <w:rtl/>
        </w:rPr>
        <w:t>) ـ وهو من أئم</w:t>
      </w:r>
      <w:r w:rsidR="00A24922" w:rsidRPr="00282AC9">
        <w:rPr>
          <w:rFonts w:hint="cs"/>
          <w:rtl/>
        </w:rPr>
        <w:t>ّ</w:t>
      </w:r>
      <w:r w:rsidRPr="00282AC9">
        <w:rPr>
          <w:rtl/>
        </w:rPr>
        <w:t>ة اللغة</w:t>
      </w:r>
      <w:r w:rsidR="00A24922" w:rsidRPr="00282AC9">
        <w:rPr>
          <w:rFonts w:hint="cs"/>
          <w:rtl/>
        </w:rPr>
        <w:t>،</w:t>
      </w:r>
      <w:r w:rsidRPr="00282AC9">
        <w:rPr>
          <w:rtl/>
        </w:rPr>
        <w:t xml:space="preserve"> ويمتاز </w:t>
      </w:r>
      <w:r w:rsidRPr="00282AC9">
        <w:rPr>
          <w:rtl/>
        </w:rPr>
        <w:lastRenderedPageBreak/>
        <w:t>تفسيره بالتركيز على الجوانب اللغوية والبلاغية ـ</w:t>
      </w:r>
      <w:r w:rsidR="00A24922" w:rsidRPr="00282AC9">
        <w:rPr>
          <w:rFonts w:hint="cs"/>
          <w:rtl/>
        </w:rPr>
        <w:t>،</w:t>
      </w:r>
      <w:r w:rsidRPr="00282AC9">
        <w:rPr>
          <w:rtl/>
        </w:rPr>
        <w:t xml:space="preserve"> نجده يقول: (أن</w:t>
      </w:r>
      <w:r w:rsidR="001F2848" w:rsidRPr="00282AC9">
        <w:rPr>
          <w:rFonts w:hint="cs"/>
          <w:rtl/>
        </w:rPr>
        <w:t xml:space="preserve"> </w:t>
      </w:r>
      <w:r w:rsidRPr="00282AC9">
        <w:rPr>
          <w:rtl/>
        </w:rPr>
        <w:t>ما غنمتم) ما موصولة</w:t>
      </w:r>
      <w:r w:rsidR="001F2848" w:rsidRPr="00282AC9">
        <w:rPr>
          <w:rFonts w:hint="cs"/>
          <w:rtl/>
        </w:rPr>
        <w:t>ٌ.</w:t>
      </w:r>
      <w:r w:rsidRPr="00282AC9">
        <w:rPr>
          <w:rtl/>
        </w:rPr>
        <w:t xml:space="preserve"> (من شي</w:t>
      </w:r>
      <w:r w:rsidR="001F2848" w:rsidRPr="00282AC9">
        <w:rPr>
          <w:rFonts w:hint="cs"/>
          <w:rtl/>
        </w:rPr>
        <w:t>ء</w:t>
      </w:r>
      <w:r w:rsidRPr="00282AC9">
        <w:rPr>
          <w:rtl/>
        </w:rPr>
        <w:t>) قيل</w:t>
      </w:r>
      <w:r w:rsidR="001F2848" w:rsidRPr="00282AC9">
        <w:rPr>
          <w:rFonts w:hint="cs"/>
          <w:rtl/>
        </w:rPr>
        <w:t>:</w:t>
      </w:r>
      <w:r w:rsidRPr="00282AC9">
        <w:rPr>
          <w:rtl/>
        </w:rPr>
        <w:t xml:space="preserve"> من شي</w:t>
      </w:r>
      <w:r w:rsidR="001F2848" w:rsidRPr="00282AC9">
        <w:rPr>
          <w:rFonts w:hint="cs"/>
          <w:rtl/>
        </w:rPr>
        <w:t>ءٍ</w:t>
      </w:r>
      <w:r w:rsidRPr="00282AC9">
        <w:rPr>
          <w:rtl/>
        </w:rPr>
        <w:t xml:space="preserve"> حت</w:t>
      </w:r>
      <w:r w:rsidR="001F2848" w:rsidRPr="00282AC9">
        <w:rPr>
          <w:rFonts w:hint="cs"/>
          <w:rtl/>
        </w:rPr>
        <w:t>ّ</w:t>
      </w:r>
      <w:r w:rsidRPr="00282AC9">
        <w:rPr>
          <w:rtl/>
        </w:rPr>
        <w:t>ى الخ</w:t>
      </w:r>
      <w:r w:rsidR="001F2848" w:rsidRPr="00282AC9">
        <w:rPr>
          <w:rFonts w:hint="cs"/>
          <w:rtl/>
        </w:rPr>
        <w:t>َ</w:t>
      </w:r>
      <w:r w:rsidRPr="00282AC9">
        <w:rPr>
          <w:rtl/>
        </w:rPr>
        <w:t>ي</w:t>
      </w:r>
      <w:r w:rsidR="001F2848" w:rsidRPr="00282AC9">
        <w:rPr>
          <w:rFonts w:hint="cs"/>
          <w:rtl/>
        </w:rPr>
        <w:t>ْ</w:t>
      </w:r>
      <w:r w:rsidRPr="00282AC9">
        <w:rPr>
          <w:rtl/>
        </w:rPr>
        <w:t>ط والمخيط</w:t>
      </w:r>
      <w:r w:rsidR="001F2848" w:rsidRPr="00282AC9">
        <w:rPr>
          <w:rFonts w:hint="cs"/>
          <w:rtl/>
        </w:rPr>
        <w:t>.</w:t>
      </w:r>
      <w:r w:rsidRPr="00282AC9">
        <w:rPr>
          <w:rtl/>
        </w:rPr>
        <w:t xml:space="preserve"> (فأن لله) مبتدأ</w:t>
      </w:r>
      <w:r w:rsidR="001F2848" w:rsidRPr="00282AC9">
        <w:rPr>
          <w:rFonts w:hint="cs"/>
          <w:rtl/>
        </w:rPr>
        <w:t>ٌ</w:t>
      </w:r>
      <w:r w:rsidRPr="00282AC9">
        <w:rPr>
          <w:rtl/>
        </w:rPr>
        <w:t>، خبره محذوف تقديره فحق</w:t>
      </w:r>
      <w:r w:rsidR="001F2848" w:rsidRPr="00282AC9">
        <w:rPr>
          <w:rFonts w:hint="cs"/>
          <w:rtl/>
        </w:rPr>
        <w:t>ٌّ</w:t>
      </w:r>
      <w:r w:rsidRPr="00282AC9">
        <w:rPr>
          <w:rtl/>
        </w:rPr>
        <w:t xml:space="preserve"> أو فواجب</w:t>
      </w:r>
      <w:r w:rsidR="001F2848" w:rsidRPr="00282AC9">
        <w:rPr>
          <w:rFonts w:hint="cs"/>
          <w:rtl/>
        </w:rPr>
        <w:t>ٌ</w:t>
      </w:r>
      <w:r w:rsidRPr="00282AC9">
        <w:rPr>
          <w:rtl/>
        </w:rPr>
        <w:t xml:space="preserve"> أن لله خمسه...</w:t>
      </w:r>
      <w:r w:rsidRPr="00282AC9">
        <w:rPr>
          <w:rFonts w:hint="cs"/>
          <w:rtl/>
        </w:rPr>
        <w:t xml:space="preserve"> </w:t>
      </w:r>
      <w:r w:rsidRPr="00282AC9">
        <w:rPr>
          <w:rtl/>
        </w:rPr>
        <w:t>كأن</w:t>
      </w:r>
      <w:r w:rsidR="001F2848" w:rsidRPr="00282AC9">
        <w:rPr>
          <w:rFonts w:hint="cs"/>
          <w:rtl/>
        </w:rPr>
        <w:t>ّ</w:t>
      </w:r>
      <w:r w:rsidRPr="00282AC9">
        <w:rPr>
          <w:rtl/>
        </w:rPr>
        <w:t>ه قيل: ف</w:t>
      </w:r>
      <w:r w:rsidR="00674EF5" w:rsidRPr="00282AC9">
        <w:rPr>
          <w:rtl/>
        </w:rPr>
        <w:t>لا بُدَّ</w:t>
      </w:r>
      <w:r w:rsidRPr="00282AC9">
        <w:rPr>
          <w:rtl/>
        </w:rPr>
        <w:t xml:space="preserve"> من ثبات الخمس فيه</w:t>
      </w:r>
      <w:r w:rsidR="001F2848" w:rsidRPr="00282AC9">
        <w:rPr>
          <w:rFonts w:hint="cs"/>
          <w:rtl/>
        </w:rPr>
        <w:t>.</w:t>
      </w:r>
      <w:r w:rsidRPr="00282AC9">
        <w:rPr>
          <w:rtl/>
        </w:rPr>
        <w:t xml:space="preserve"> ولا سبيل الى الإخلال به والتفريط فيه</w:t>
      </w:r>
      <w:r w:rsidR="001F2848" w:rsidRPr="00282AC9">
        <w:rPr>
          <w:rFonts w:hint="cs"/>
          <w:rtl/>
        </w:rPr>
        <w:t>؛</w:t>
      </w:r>
      <w:r w:rsidRPr="00282AC9">
        <w:rPr>
          <w:rtl/>
        </w:rPr>
        <w:t xml:space="preserve"> من حيث </w:t>
      </w:r>
      <w:r w:rsidR="001F2848" w:rsidRPr="00282AC9">
        <w:rPr>
          <w:rFonts w:hint="cs"/>
          <w:rtl/>
        </w:rPr>
        <w:t>إ</w:t>
      </w:r>
      <w:r w:rsidRPr="00282AC9">
        <w:rPr>
          <w:rtl/>
        </w:rPr>
        <w:t>ذا حذف الخبر</w:t>
      </w:r>
      <w:r w:rsidR="001F2848" w:rsidRPr="00282AC9">
        <w:rPr>
          <w:rFonts w:hint="cs"/>
          <w:rtl/>
        </w:rPr>
        <w:t>،</w:t>
      </w:r>
      <w:r w:rsidRPr="00282AC9">
        <w:rPr>
          <w:rtl/>
        </w:rPr>
        <w:t xml:space="preserve"> واحتمل غير واحد من المقد</w:t>
      </w:r>
      <w:r w:rsidR="001F2848" w:rsidRPr="00282AC9">
        <w:rPr>
          <w:rFonts w:hint="cs"/>
          <w:rtl/>
        </w:rPr>
        <w:t>ّ</w:t>
      </w:r>
      <w:r w:rsidRPr="00282AC9">
        <w:rPr>
          <w:rtl/>
        </w:rPr>
        <w:t>رات، كقولك: ثابت واجب حق</w:t>
      </w:r>
      <w:r w:rsidR="001F2848" w:rsidRPr="00282AC9">
        <w:rPr>
          <w:rFonts w:hint="cs"/>
          <w:rtl/>
        </w:rPr>
        <w:t>ّ</w:t>
      </w:r>
      <w:r w:rsidRPr="00282AC9">
        <w:rPr>
          <w:rtl/>
        </w:rPr>
        <w:t xml:space="preserve"> لازم وما أشبه</w:t>
      </w:r>
      <w:r w:rsidR="001F2848" w:rsidRPr="00282AC9">
        <w:rPr>
          <w:rFonts w:hint="cs"/>
          <w:rtl/>
        </w:rPr>
        <w:t>،</w:t>
      </w:r>
      <w:r w:rsidRPr="00282AC9">
        <w:rPr>
          <w:rtl/>
        </w:rPr>
        <w:t xml:space="preserve"> كان أقوى</w:t>
      </w:r>
      <w:r w:rsidR="001F2848" w:rsidRPr="00282AC9">
        <w:rPr>
          <w:rFonts w:hint="cs"/>
          <w:rtl/>
        </w:rPr>
        <w:t>؛</w:t>
      </w:r>
      <w:r w:rsidRPr="00282AC9">
        <w:rPr>
          <w:rtl/>
        </w:rPr>
        <w:t xml:space="preserve"> لإيجابه من النص</w:t>
      </w:r>
      <w:r w:rsidR="001F2848" w:rsidRPr="00282AC9">
        <w:rPr>
          <w:rFonts w:hint="cs"/>
          <w:rtl/>
        </w:rPr>
        <w:t xml:space="preserve">ّ </w:t>
      </w:r>
      <w:r w:rsidRPr="00282AC9">
        <w:rPr>
          <w:rtl/>
        </w:rPr>
        <w:t>على واحد. وأضاف: وإن</w:t>
      </w:r>
      <w:r w:rsidR="001F2848" w:rsidRPr="00282AC9">
        <w:rPr>
          <w:rFonts w:hint="cs"/>
          <w:rtl/>
        </w:rPr>
        <w:t>ْ</w:t>
      </w:r>
      <w:r w:rsidRPr="00282AC9">
        <w:rPr>
          <w:rtl/>
        </w:rPr>
        <w:t xml:space="preserve"> قلت</w:t>
      </w:r>
      <w:r w:rsidR="001F2848" w:rsidRPr="00282AC9">
        <w:rPr>
          <w:rFonts w:hint="cs"/>
          <w:rtl/>
        </w:rPr>
        <w:t>َ</w:t>
      </w:r>
      <w:r w:rsidRPr="00282AC9">
        <w:rPr>
          <w:rtl/>
        </w:rPr>
        <w:t>: ب</w:t>
      </w:r>
      <w:r w:rsidR="001F2848" w:rsidRPr="00282AC9">
        <w:rPr>
          <w:rFonts w:hint="cs"/>
          <w:rtl/>
        </w:rPr>
        <w:t>ِ</w:t>
      </w:r>
      <w:r w:rsidRPr="00282AC9">
        <w:rPr>
          <w:rtl/>
        </w:rPr>
        <w:t>م</w:t>
      </w:r>
      <w:r w:rsidR="001F2848" w:rsidRPr="00282AC9">
        <w:rPr>
          <w:rFonts w:hint="cs"/>
          <w:rtl/>
        </w:rPr>
        <w:t>َ</w:t>
      </w:r>
      <w:r w:rsidRPr="00282AC9">
        <w:rPr>
          <w:rtl/>
        </w:rPr>
        <w:t xml:space="preserve"> تعل</w:t>
      </w:r>
      <w:r w:rsidR="001F2848" w:rsidRPr="00282AC9">
        <w:rPr>
          <w:rFonts w:hint="cs"/>
          <w:rtl/>
        </w:rPr>
        <w:t>َّ</w:t>
      </w:r>
      <w:r w:rsidRPr="00282AC9">
        <w:rPr>
          <w:rtl/>
        </w:rPr>
        <w:t>ق قوله: (إن</w:t>
      </w:r>
      <w:r w:rsidR="001F2848" w:rsidRPr="00282AC9">
        <w:rPr>
          <w:rFonts w:hint="cs"/>
          <w:rtl/>
        </w:rPr>
        <w:t>ْ</w:t>
      </w:r>
      <w:r w:rsidRPr="00282AC9">
        <w:rPr>
          <w:rtl/>
        </w:rPr>
        <w:t xml:space="preserve"> كنتم آمنتم بالله)؟ قلت</w:t>
      </w:r>
      <w:r w:rsidR="001F2848" w:rsidRPr="00282AC9">
        <w:rPr>
          <w:rFonts w:hint="cs"/>
          <w:rtl/>
        </w:rPr>
        <w:t>ُ</w:t>
      </w:r>
      <w:r w:rsidRPr="00282AC9">
        <w:rPr>
          <w:rtl/>
        </w:rPr>
        <w:t>: بمحذوف</w:t>
      </w:r>
      <w:r w:rsidR="001F2848" w:rsidRPr="00282AC9">
        <w:rPr>
          <w:rFonts w:hint="cs"/>
          <w:rtl/>
        </w:rPr>
        <w:t>ٍ</w:t>
      </w:r>
      <w:r w:rsidRPr="00282AC9">
        <w:rPr>
          <w:rtl/>
        </w:rPr>
        <w:t xml:space="preserve"> يدل</w:t>
      </w:r>
      <w:r w:rsidR="001F2848" w:rsidRPr="00282AC9">
        <w:rPr>
          <w:rFonts w:hint="cs"/>
          <w:rtl/>
        </w:rPr>
        <w:t>ّ</w:t>
      </w:r>
      <w:r w:rsidRPr="00282AC9">
        <w:rPr>
          <w:rtl/>
        </w:rPr>
        <w:t xml:space="preserve"> عليه</w:t>
      </w:r>
      <w:r w:rsidR="001F2848" w:rsidRPr="00282AC9">
        <w:rPr>
          <w:rFonts w:hint="cs"/>
          <w:rtl/>
        </w:rPr>
        <w:t>.</w:t>
      </w:r>
      <w:r w:rsidRPr="00282AC9">
        <w:rPr>
          <w:rtl/>
        </w:rPr>
        <w:t xml:space="preserve"> (واعلموا) والمعنى: إن</w:t>
      </w:r>
      <w:r w:rsidR="001F2848" w:rsidRPr="00282AC9">
        <w:rPr>
          <w:rFonts w:hint="cs"/>
          <w:rtl/>
        </w:rPr>
        <w:t>ْ</w:t>
      </w:r>
      <w:r w:rsidRPr="00282AC9">
        <w:rPr>
          <w:rtl/>
        </w:rPr>
        <w:t xml:space="preserve"> كنتم آمنتم بالله اعلموا أن الخمس من الغنيمة يجب التقر</w:t>
      </w:r>
      <w:r w:rsidR="001F2848" w:rsidRPr="00282AC9">
        <w:rPr>
          <w:rFonts w:hint="cs"/>
          <w:rtl/>
        </w:rPr>
        <w:t>ُّ</w:t>
      </w:r>
      <w:r w:rsidRPr="00282AC9">
        <w:rPr>
          <w:rtl/>
        </w:rPr>
        <w:t>ب به، فاقطعوا عنه أطماعكم</w:t>
      </w:r>
      <w:r w:rsidR="001F2848" w:rsidRPr="00282AC9">
        <w:rPr>
          <w:rFonts w:hint="cs"/>
          <w:rtl/>
        </w:rPr>
        <w:t>،</w:t>
      </w:r>
      <w:r w:rsidRPr="00282AC9">
        <w:rPr>
          <w:rtl/>
        </w:rPr>
        <w:t xml:space="preserve"> واقتنعوا بالأخماس الأربعة</w:t>
      </w:r>
      <w:r w:rsidRPr="00282AC9">
        <w:rPr>
          <w:rFonts w:hint="cs"/>
          <w:vertAlign w:val="superscript"/>
          <w:rtl/>
        </w:rPr>
        <w:t>(</w:t>
      </w:r>
      <w:r w:rsidRPr="00282AC9">
        <w:rPr>
          <w:rStyle w:val="af9"/>
          <w:sz w:val="27"/>
          <w:rtl/>
        </w:rPr>
        <w:endnoteReference w:id="406"/>
      </w:r>
      <w:r w:rsidRPr="00282AC9">
        <w:rPr>
          <w:rFonts w:hint="cs"/>
          <w:vertAlign w:val="superscript"/>
          <w:rtl/>
        </w:rPr>
        <w:t>)</w:t>
      </w:r>
      <w:r w:rsidR="001F2848" w:rsidRPr="00282AC9">
        <w:rPr>
          <w:rFonts w:hint="cs"/>
          <w:rtl/>
        </w:rPr>
        <w:t>.</w:t>
      </w:r>
    </w:p>
    <w:p w:rsidR="00946A76" w:rsidRPr="00282AC9" w:rsidRDefault="00946A76" w:rsidP="00186251">
      <w:pPr>
        <w:rPr>
          <w:rtl/>
        </w:rPr>
      </w:pPr>
      <w:r w:rsidRPr="00282AC9">
        <w:rPr>
          <w:rtl/>
        </w:rPr>
        <w:t>وقد آثر</w:t>
      </w:r>
      <w:r w:rsidR="001F2848" w:rsidRPr="00282AC9">
        <w:rPr>
          <w:rFonts w:hint="cs"/>
          <w:rtl/>
        </w:rPr>
        <w:t>ْ</w:t>
      </w:r>
      <w:r w:rsidRPr="00282AC9">
        <w:rPr>
          <w:rtl/>
        </w:rPr>
        <w:t>ت</w:t>
      </w:r>
      <w:r w:rsidR="001F2848" w:rsidRPr="00282AC9">
        <w:rPr>
          <w:rFonts w:hint="cs"/>
          <w:rtl/>
        </w:rPr>
        <w:t>ُ</w:t>
      </w:r>
      <w:r w:rsidRPr="00282AC9">
        <w:rPr>
          <w:rtl/>
        </w:rPr>
        <w:t xml:space="preserve"> نقل تفسيره للآية</w:t>
      </w:r>
      <w:r w:rsidR="001F2848" w:rsidRPr="00282AC9">
        <w:rPr>
          <w:rFonts w:hint="cs"/>
          <w:rtl/>
        </w:rPr>
        <w:t>؛</w:t>
      </w:r>
      <w:r w:rsidRPr="00282AC9">
        <w:rPr>
          <w:rtl/>
        </w:rPr>
        <w:t xml:space="preserve"> لمقابلة ما ذكره قلمداران، بأن الآية صد</w:t>
      </w:r>
      <w:r w:rsidR="001F2848" w:rsidRPr="00282AC9">
        <w:rPr>
          <w:rFonts w:hint="cs"/>
          <w:rtl/>
        </w:rPr>
        <w:t>ِّ</w:t>
      </w:r>
      <w:r w:rsidRPr="00282AC9">
        <w:rPr>
          <w:rtl/>
        </w:rPr>
        <w:t>ر</w:t>
      </w:r>
      <w:r w:rsidR="001F2848" w:rsidRPr="00282AC9">
        <w:rPr>
          <w:rFonts w:hint="cs"/>
          <w:rtl/>
        </w:rPr>
        <w:t>َ</w:t>
      </w:r>
      <w:r w:rsidRPr="00282AC9">
        <w:rPr>
          <w:rtl/>
        </w:rPr>
        <w:t>ت</w:t>
      </w:r>
      <w:r w:rsidR="001F2848" w:rsidRPr="00282AC9">
        <w:rPr>
          <w:rFonts w:hint="cs"/>
          <w:rtl/>
        </w:rPr>
        <w:t>ْ</w:t>
      </w:r>
      <w:r w:rsidRPr="00282AC9">
        <w:rPr>
          <w:rtl/>
        </w:rPr>
        <w:t xml:space="preserve"> بصيغة </w:t>
      </w:r>
      <w:r w:rsidRPr="00282AC9">
        <w:rPr>
          <w:rFonts w:hint="eastAsia"/>
          <w:sz w:val="24"/>
          <w:szCs w:val="24"/>
          <w:rtl/>
        </w:rPr>
        <w:t>«</w:t>
      </w:r>
      <w:r w:rsidRPr="00282AC9">
        <w:rPr>
          <w:rtl/>
        </w:rPr>
        <w:t>واعلموا</w:t>
      </w:r>
      <w:r w:rsidR="001F2848" w:rsidRPr="00282AC9">
        <w:rPr>
          <w:rFonts w:hint="eastAsia"/>
          <w:sz w:val="24"/>
          <w:szCs w:val="24"/>
          <w:rtl/>
        </w:rPr>
        <w:t>»</w:t>
      </w:r>
      <w:r w:rsidR="001F2848" w:rsidRPr="00282AC9">
        <w:rPr>
          <w:rFonts w:hint="cs"/>
          <w:rtl/>
        </w:rPr>
        <w:t xml:space="preserve">، </w:t>
      </w:r>
      <w:r w:rsidRPr="00282AC9">
        <w:rPr>
          <w:rtl/>
        </w:rPr>
        <w:t>وأن التأم</w:t>
      </w:r>
      <w:r w:rsidR="001F2848" w:rsidRPr="00282AC9">
        <w:rPr>
          <w:rFonts w:hint="cs"/>
          <w:rtl/>
        </w:rPr>
        <w:t>ُّ</w:t>
      </w:r>
      <w:r w:rsidRPr="00282AC9">
        <w:rPr>
          <w:rtl/>
        </w:rPr>
        <w:t>ل في ل</w:t>
      </w:r>
      <w:r w:rsidR="001F2848" w:rsidRPr="00282AC9">
        <w:rPr>
          <w:rFonts w:hint="cs"/>
          <w:rtl/>
        </w:rPr>
        <w:t>َ</w:t>
      </w:r>
      <w:r w:rsidRPr="00282AC9">
        <w:rPr>
          <w:rtl/>
        </w:rPr>
        <w:t>ح</w:t>
      </w:r>
      <w:r w:rsidR="001F2848" w:rsidRPr="00282AC9">
        <w:rPr>
          <w:rFonts w:hint="cs"/>
          <w:rtl/>
        </w:rPr>
        <w:t>ْ</w:t>
      </w:r>
      <w:r w:rsidRPr="00282AC9">
        <w:rPr>
          <w:rtl/>
        </w:rPr>
        <w:t>نها ولهجتها يفيد أنها ليست لهجة</w:t>
      </w:r>
      <w:r w:rsidR="001F2848" w:rsidRPr="00282AC9">
        <w:rPr>
          <w:rFonts w:hint="cs"/>
          <w:rtl/>
        </w:rPr>
        <w:t>َ</w:t>
      </w:r>
      <w:r w:rsidRPr="00282AC9">
        <w:rPr>
          <w:rtl/>
        </w:rPr>
        <w:t xml:space="preserve"> أمر</w:t>
      </w:r>
      <w:r w:rsidR="001F2848" w:rsidRPr="00282AC9">
        <w:rPr>
          <w:rFonts w:hint="cs"/>
          <w:rtl/>
        </w:rPr>
        <w:t>ٍ</w:t>
      </w:r>
      <w:r w:rsidRPr="00282AC9">
        <w:rPr>
          <w:rtl/>
        </w:rPr>
        <w:t xml:space="preserve"> أو مطالبة</w:t>
      </w:r>
      <w:r w:rsidR="00E348D1" w:rsidRPr="00282AC9">
        <w:rPr>
          <w:rFonts w:hint="cs"/>
          <w:rtl/>
        </w:rPr>
        <w:t>ٍ</w:t>
      </w:r>
      <w:r w:rsidRPr="00282AC9">
        <w:rPr>
          <w:rtl/>
        </w:rPr>
        <w:t xml:space="preserve"> بأخذ</w:t>
      </w:r>
      <w:r w:rsidR="001F2848" w:rsidRPr="00282AC9">
        <w:rPr>
          <w:rFonts w:hint="cs"/>
          <w:rtl/>
        </w:rPr>
        <w:t>ٍ</w:t>
      </w:r>
      <w:r w:rsidRPr="00282AC9">
        <w:rPr>
          <w:rtl/>
        </w:rPr>
        <w:t>، بل لهجتها لهجة إعلام</w:t>
      </w:r>
      <w:r w:rsidR="00E348D1" w:rsidRPr="00282AC9">
        <w:rPr>
          <w:rFonts w:hint="cs"/>
          <w:rtl/>
        </w:rPr>
        <w:t>ٍ</w:t>
      </w:r>
      <w:r w:rsidRPr="00282AC9">
        <w:rPr>
          <w:rtl/>
        </w:rPr>
        <w:t xml:space="preserve"> وإرشاد</w:t>
      </w:r>
      <w:r w:rsidR="00E348D1" w:rsidRPr="00282AC9">
        <w:rPr>
          <w:rFonts w:hint="cs"/>
          <w:rtl/>
        </w:rPr>
        <w:t>ٍ،</w:t>
      </w:r>
      <w:r w:rsidRPr="00282AC9">
        <w:rPr>
          <w:rtl/>
        </w:rPr>
        <w:t xml:space="preserve"> وأنها لم تأت</w:t>
      </w:r>
      <w:r w:rsidR="00E348D1" w:rsidRPr="00282AC9">
        <w:rPr>
          <w:rFonts w:hint="cs"/>
          <w:rtl/>
        </w:rPr>
        <w:t>ِ</w:t>
      </w:r>
      <w:r w:rsidRPr="00282AC9">
        <w:rPr>
          <w:rtl/>
        </w:rPr>
        <w:t xml:space="preserve"> على النحو الذي جاء</w:t>
      </w:r>
      <w:r w:rsidR="00E348D1" w:rsidRPr="00282AC9">
        <w:rPr>
          <w:rFonts w:hint="cs"/>
          <w:rtl/>
        </w:rPr>
        <w:t>َ</w:t>
      </w:r>
      <w:r w:rsidRPr="00282AC9">
        <w:rPr>
          <w:rtl/>
        </w:rPr>
        <w:t>ت</w:t>
      </w:r>
      <w:r w:rsidR="00E348D1" w:rsidRPr="00282AC9">
        <w:rPr>
          <w:rFonts w:hint="cs"/>
          <w:rtl/>
        </w:rPr>
        <w:t>ْ</w:t>
      </w:r>
      <w:r w:rsidRPr="00282AC9">
        <w:rPr>
          <w:rtl/>
        </w:rPr>
        <w:t xml:space="preserve"> به آيات الأمر بالصلاة والزكاة. وأضاف: </w:t>
      </w:r>
      <w:r w:rsidR="00E348D1" w:rsidRPr="00282AC9">
        <w:rPr>
          <w:rFonts w:hint="cs"/>
          <w:rtl/>
        </w:rPr>
        <w:t>إ</w:t>
      </w:r>
      <w:r w:rsidRPr="00282AC9">
        <w:rPr>
          <w:rtl/>
        </w:rPr>
        <w:t>نه لا يخفى على أهل الأدب والعارفين بلغة العرب ما في الآية من لطف</w:t>
      </w:r>
      <w:r w:rsidR="00E348D1" w:rsidRPr="00282AC9">
        <w:rPr>
          <w:rFonts w:hint="cs"/>
          <w:rtl/>
        </w:rPr>
        <w:t>ٍ</w:t>
      </w:r>
      <w:r w:rsidRPr="00282AC9">
        <w:rPr>
          <w:rtl/>
        </w:rPr>
        <w:t xml:space="preserve"> واختلاف</w:t>
      </w:r>
      <w:r w:rsidR="00E348D1" w:rsidRPr="00282AC9">
        <w:rPr>
          <w:rFonts w:hint="cs"/>
          <w:rtl/>
        </w:rPr>
        <w:t>ٍ</w:t>
      </w:r>
      <w:r w:rsidRPr="00282AC9">
        <w:rPr>
          <w:rtl/>
        </w:rPr>
        <w:t xml:space="preserve"> عن تلك الأوامر</w:t>
      </w:r>
      <w:r w:rsidR="00E348D1" w:rsidRPr="00282AC9">
        <w:rPr>
          <w:rFonts w:hint="cs"/>
          <w:rtl/>
        </w:rPr>
        <w:t>؛</w:t>
      </w:r>
      <w:r w:rsidRPr="00282AC9">
        <w:rPr>
          <w:rtl/>
        </w:rPr>
        <w:t xml:space="preserve"> وذلك لأن المسألة هنا مسألة</w:t>
      </w:r>
      <w:r w:rsidR="00E348D1" w:rsidRPr="00282AC9">
        <w:rPr>
          <w:rFonts w:hint="cs"/>
          <w:rtl/>
        </w:rPr>
        <w:t>ٌ</w:t>
      </w:r>
      <w:r w:rsidRPr="00282AC9">
        <w:rPr>
          <w:rtl/>
        </w:rPr>
        <w:t xml:space="preserve"> علمي</w:t>
      </w:r>
      <w:r w:rsidR="00E348D1" w:rsidRPr="00282AC9">
        <w:rPr>
          <w:rFonts w:hint="cs"/>
          <w:rtl/>
        </w:rPr>
        <w:t>ّ</w:t>
      </w:r>
      <w:r w:rsidRPr="00282AC9">
        <w:rPr>
          <w:rtl/>
        </w:rPr>
        <w:t>ة</w:t>
      </w:r>
      <w:r w:rsidR="00E348D1" w:rsidRPr="00282AC9">
        <w:rPr>
          <w:rFonts w:hint="cs"/>
          <w:rtl/>
        </w:rPr>
        <w:t>،</w:t>
      </w:r>
      <w:r w:rsidRPr="00282AC9">
        <w:rPr>
          <w:rtl/>
        </w:rPr>
        <w:t xml:space="preserve"> وليست عملي</w:t>
      </w:r>
      <w:r w:rsidR="00E348D1" w:rsidRPr="00282AC9">
        <w:rPr>
          <w:rFonts w:hint="cs"/>
          <w:rtl/>
        </w:rPr>
        <w:t>ّ</w:t>
      </w:r>
      <w:r w:rsidRPr="00282AC9">
        <w:rPr>
          <w:rtl/>
        </w:rPr>
        <w:t>ة</w:t>
      </w:r>
      <w:r w:rsidR="00E348D1" w:rsidRPr="00282AC9">
        <w:rPr>
          <w:rFonts w:hint="cs"/>
          <w:rtl/>
        </w:rPr>
        <w:t>.</w:t>
      </w:r>
      <w:r w:rsidRPr="00282AC9">
        <w:rPr>
          <w:rtl/>
        </w:rPr>
        <w:t xml:space="preserve"> ولذا بدأ بعبارة</w:t>
      </w:r>
      <w:r w:rsidR="00E348D1" w:rsidRPr="00282AC9">
        <w:rPr>
          <w:rFonts w:hint="cs"/>
          <w:rtl/>
        </w:rPr>
        <w:t>:</w:t>
      </w:r>
      <w:r w:rsidRPr="00282AC9">
        <w:rPr>
          <w:rtl/>
        </w:rPr>
        <w:t xml:space="preserve"> </w:t>
      </w:r>
      <w:r w:rsidR="00E348D1" w:rsidRPr="00282AC9">
        <w:rPr>
          <w:rFonts w:hint="eastAsia"/>
          <w:sz w:val="24"/>
          <w:szCs w:val="24"/>
          <w:rtl/>
        </w:rPr>
        <w:t>«</w:t>
      </w:r>
      <w:r w:rsidRPr="00282AC9">
        <w:rPr>
          <w:rtl/>
        </w:rPr>
        <w:t>واعلموا</w:t>
      </w:r>
      <w:r w:rsidR="00E348D1" w:rsidRPr="00282AC9">
        <w:rPr>
          <w:rFonts w:hint="eastAsia"/>
          <w:sz w:val="24"/>
          <w:szCs w:val="24"/>
          <w:rtl/>
        </w:rPr>
        <w:t>»</w:t>
      </w:r>
      <w:r w:rsidR="00E348D1" w:rsidRPr="00282AC9">
        <w:rPr>
          <w:rFonts w:hint="cs"/>
          <w:rtl/>
        </w:rPr>
        <w:t>،</w:t>
      </w:r>
      <w:r w:rsidRPr="00282AC9">
        <w:rPr>
          <w:rtl/>
        </w:rPr>
        <w:t xml:space="preserve"> وليس بعبارة</w:t>
      </w:r>
      <w:r w:rsidR="00E348D1" w:rsidRPr="00282AC9">
        <w:rPr>
          <w:rFonts w:hint="cs"/>
          <w:rtl/>
        </w:rPr>
        <w:t>:</w:t>
      </w:r>
      <w:r w:rsidRPr="00282AC9">
        <w:rPr>
          <w:rtl/>
        </w:rPr>
        <w:t xml:space="preserve"> </w:t>
      </w:r>
      <w:r w:rsidR="00E348D1" w:rsidRPr="00282AC9">
        <w:rPr>
          <w:rFonts w:hint="eastAsia"/>
          <w:sz w:val="24"/>
          <w:szCs w:val="24"/>
          <w:rtl/>
        </w:rPr>
        <w:t>«</w:t>
      </w:r>
      <w:r w:rsidRPr="00282AC9">
        <w:rPr>
          <w:rtl/>
        </w:rPr>
        <w:t>آتوا أو أد</w:t>
      </w:r>
      <w:r w:rsidR="00E348D1" w:rsidRPr="00282AC9">
        <w:rPr>
          <w:rFonts w:hint="cs"/>
          <w:rtl/>
        </w:rPr>
        <w:t>ّ</w:t>
      </w:r>
      <w:r w:rsidRPr="00282AC9">
        <w:rPr>
          <w:rtl/>
        </w:rPr>
        <w:t>وا</w:t>
      </w:r>
      <w:r w:rsidR="00E348D1" w:rsidRPr="00282AC9">
        <w:rPr>
          <w:rFonts w:hint="eastAsia"/>
          <w:sz w:val="24"/>
          <w:szCs w:val="24"/>
          <w:rtl/>
        </w:rPr>
        <w:t>»</w:t>
      </w:r>
      <w:r w:rsidRPr="00282AC9">
        <w:rPr>
          <w:rFonts w:hint="cs"/>
          <w:vertAlign w:val="superscript"/>
          <w:rtl/>
        </w:rPr>
        <w:t>(</w:t>
      </w:r>
      <w:r w:rsidRPr="00282AC9">
        <w:rPr>
          <w:rStyle w:val="af9"/>
          <w:sz w:val="27"/>
          <w:rtl/>
        </w:rPr>
        <w:endnoteReference w:id="407"/>
      </w:r>
      <w:r w:rsidRPr="00282AC9">
        <w:rPr>
          <w:rFonts w:hint="cs"/>
          <w:vertAlign w:val="superscript"/>
          <w:rtl/>
        </w:rPr>
        <w:t>)</w:t>
      </w:r>
      <w:r w:rsidR="00E348D1" w:rsidRPr="00282AC9">
        <w:rPr>
          <w:rFonts w:hint="cs"/>
          <w:rtl/>
        </w:rPr>
        <w:t>.</w:t>
      </w:r>
    </w:p>
    <w:p w:rsidR="00946A76" w:rsidRPr="00282AC9" w:rsidRDefault="00946A76" w:rsidP="00186251">
      <w:pPr>
        <w:rPr>
          <w:rtl/>
        </w:rPr>
      </w:pPr>
      <w:r w:rsidRPr="00282AC9">
        <w:rPr>
          <w:rtl/>
        </w:rPr>
        <w:t>وافقه الحيدري على هذه الخصوصية للآية ـ ح</w:t>
      </w:r>
      <w:r w:rsidR="00E348D1" w:rsidRPr="00282AC9">
        <w:rPr>
          <w:rFonts w:hint="cs"/>
          <w:rtl/>
        </w:rPr>
        <w:t>َ</w:t>
      </w:r>
      <w:r w:rsidRPr="00282AC9">
        <w:rPr>
          <w:rtl/>
        </w:rPr>
        <w:t>س</w:t>
      </w:r>
      <w:r w:rsidR="00E348D1" w:rsidRPr="00282AC9">
        <w:rPr>
          <w:rFonts w:hint="cs"/>
          <w:rtl/>
        </w:rPr>
        <w:t>ْ</w:t>
      </w:r>
      <w:r w:rsidRPr="00282AC9">
        <w:rPr>
          <w:rtl/>
        </w:rPr>
        <w:t>ب تعبيره ـ</w:t>
      </w:r>
      <w:r w:rsidR="00E348D1" w:rsidRPr="00282AC9">
        <w:rPr>
          <w:rFonts w:hint="cs"/>
          <w:rtl/>
        </w:rPr>
        <w:t>،</w:t>
      </w:r>
      <w:r w:rsidRPr="00282AC9">
        <w:rPr>
          <w:rtl/>
        </w:rPr>
        <w:t xml:space="preserve"> غير أنه استدرك بأن الجزاء في ذيل الآية نص</w:t>
      </w:r>
      <w:r w:rsidR="00E348D1" w:rsidRPr="00282AC9">
        <w:rPr>
          <w:rFonts w:hint="cs"/>
          <w:rtl/>
        </w:rPr>
        <w:t>ٌّ</w:t>
      </w:r>
      <w:r w:rsidRPr="00282AC9">
        <w:rPr>
          <w:rtl/>
        </w:rPr>
        <w:t xml:space="preserve"> على أن أداء ذلك كاشف</w:t>
      </w:r>
      <w:r w:rsidR="00E348D1" w:rsidRPr="00282AC9">
        <w:rPr>
          <w:rFonts w:hint="cs"/>
          <w:rtl/>
        </w:rPr>
        <w:t>ٌ</w:t>
      </w:r>
      <w:r w:rsidRPr="00282AC9">
        <w:rPr>
          <w:rtl/>
        </w:rPr>
        <w:t xml:space="preserve"> عن الإيمان بالله وبما أ</w:t>
      </w:r>
      <w:r w:rsidR="00E348D1" w:rsidRPr="00282AC9">
        <w:rPr>
          <w:rFonts w:hint="cs"/>
          <w:rtl/>
        </w:rPr>
        <w:t>ُ</w:t>
      </w:r>
      <w:r w:rsidRPr="00282AC9">
        <w:rPr>
          <w:rtl/>
        </w:rPr>
        <w:t>نزل على النبي</w:t>
      </w:r>
      <w:r w:rsidR="009A2A04" w:rsidRPr="00282AC9">
        <w:rPr>
          <w:rFonts w:cs="Mosawi"/>
          <w:sz w:val="22"/>
          <w:szCs w:val="22"/>
          <w:rtl/>
        </w:rPr>
        <w:t>|</w:t>
      </w:r>
      <w:r w:rsidRPr="00282AC9">
        <w:rPr>
          <w:rFonts w:hint="cs"/>
          <w:vertAlign w:val="superscript"/>
          <w:rtl/>
        </w:rPr>
        <w:t>(</w:t>
      </w:r>
      <w:r w:rsidRPr="00282AC9">
        <w:rPr>
          <w:rStyle w:val="af9"/>
          <w:sz w:val="27"/>
          <w:rtl/>
        </w:rPr>
        <w:endnoteReference w:id="408"/>
      </w:r>
      <w:r w:rsidRPr="00282AC9">
        <w:rPr>
          <w:rFonts w:hint="cs"/>
          <w:vertAlign w:val="superscript"/>
          <w:rtl/>
        </w:rPr>
        <w:t>)</w:t>
      </w:r>
      <w:r w:rsidR="00E348D1" w:rsidRPr="00282AC9">
        <w:rPr>
          <w:rFonts w:hint="cs"/>
          <w:rtl/>
        </w:rPr>
        <w:t>.</w:t>
      </w:r>
    </w:p>
    <w:p w:rsidR="000A06AB" w:rsidRPr="00282AC9" w:rsidRDefault="00946A76" w:rsidP="00186251">
      <w:pPr>
        <w:rPr>
          <w:rtl/>
        </w:rPr>
      </w:pPr>
      <w:r w:rsidRPr="00282AC9">
        <w:rPr>
          <w:rtl/>
        </w:rPr>
        <w:t xml:space="preserve">ويرى قلمداران بأن كلمة </w:t>
      </w:r>
      <w:r w:rsidR="000A06AB" w:rsidRPr="00282AC9">
        <w:rPr>
          <w:rFonts w:hint="eastAsia"/>
          <w:sz w:val="24"/>
          <w:szCs w:val="24"/>
          <w:rtl/>
        </w:rPr>
        <w:t>«</w:t>
      </w:r>
      <w:r w:rsidRPr="00282AC9">
        <w:rPr>
          <w:rtl/>
        </w:rPr>
        <w:t>غنمتم</w:t>
      </w:r>
      <w:r w:rsidR="000A06AB" w:rsidRPr="00282AC9">
        <w:rPr>
          <w:rFonts w:hint="eastAsia"/>
          <w:sz w:val="24"/>
          <w:szCs w:val="24"/>
          <w:rtl/>
        </w:rPr>
        <w:t>»</w:t>
      </w:r>
      <w:r w:rsidRPr="00282AC9">
        <w:rPr>
          <w:rtl/>
        </w:rPr>
        <w:t xml:space="preserve"> جاءت بصيغة المخاط</w:t>
      </w:r>
      <w:r w:rsidR="00E348D1" w:rsidRPr="00282AC9">
        <w:rPr>
          <w:rFonts w:hint="cs"/>
          <w:rtl/>
        </w:rPr>
        <w:t>َ</w:t>
      </w:r>
      <w:r w:rsidRPr="00282AC9">
        <w:rPr>
          <w:rtl/>
        </w:rPr>
        <w:t>ب للماضي</w:t>
      </w:r>
      <w:r w:rsidR="000A06AB" w:rsidRPr="00282AC9">
        <w:rPr>
          <w:rFonts w:hint="cs"/>
          <w:rtl/>
        </w:rPr>
        <w:t>،</w:t>
      </w:r>
      <w:r w:rsidRPr="00282AC9">
        <w:rPr>
          <w:rtl/>
        </w:rPr>
        <w:t xml:space="preserve"> مم</w:t>
      </w:r>
      <w:r w:rsidR="00E348D1" w:rsidRPr="00282AC9">
        <w:rPr>
          <w:rFonts w:hint="cs"/>
          <w:rtl/>
        </w:rPr>
        <w:t>ّ</w:t>
      </w:r>
      <w:r w:rsidRPr="00282AC9">
        <w:rPr>
          <w:rtl/>
        </w:rPr>
        <w:t>ا يدل</w:t>
      </w:r>
      <w:r w:rsidR="00E348D1" w:rsidRPr="00282AC9">
        <w:rPr>
          <w:rFonts w:hint="cs"/>
          <w:rtl/>
        </w:rPr>
        <w:t>ّ</w:t>
      </w:r>
      <w:r w:rsidRPr="00282AC9">
        <w:rPr>
          <w:rtl/>
        </w:rPr>
        <w:t xml:space="preserve"> على أن الكلام عن أمر</w:t>
      </w:r>
      <w:r w:rsidR="000A06AB" w:rsidRPr="00282AC9">
        <w:rPr>
          <w:rFonts w:hint="cs"/>
          <w:rtl/>
        </w:rPr>
        <w:t>ٍ</w:t>
      </w:r>
      <w:r w:rsidRPr="00282AC9">
        <w:rPr>
          <w:rtl/>
        </w:rPr>
        <w:t xml:space="preserve"> قد وقع</w:t>
      </w:r>
      <w:r w:rsidR="000A06AB" w:rsidRPr="00282AC9">
        <w:rPr>
          <w:rFonts w:hint="cs"/>
          <w:rtl/>
        </w:rPr>
        <w:t>،</w:t>
      </w:r>
      <w:r w:rsidRPr="00282AC9">
        <w:rPr>
          <w:rtl/>
        </w:rPr>
        <w:t xml:space="preserve"> وعن شي</w:t>
      </w:r>
      <w:r w:rsidR="000A06AB" w:rsidRPr="00282AC9">
        <w:rPr>
          <w:rFonts w:hint="cs"/>
          <w:rtl/>
        </w:rPr>
        <w:t>ءٍ</w:t>
      </w:r>
      <w:r w:rsidRPr="00282AC9">
        <w:rPr>
          <w:rtl/>
        </w:rPr>
        <w:t xml:space="preserve"> كان حاضرا</w:t>
      </w:r>
      <w:r w:rsidR="000A06AB" w:rsidRPr="00282AC9">
        <w:rPr>
          <w:rFonts w:hint="cs"/>
          <w:rtl/>
        </w:rPr>
        <w:t>ً</w:t>
      </w:r>
      <w:r w:rsidRPr="00282AC9">
        <w:rPr>
          <w:rtl/>
        </w:rPr>
        <w:t xml:space="preserve"> في حينها</w:t>
      </w:r>
      <w:r w:rsidR="000A06AB" w:rsidRPr="00282AC9">
        <w:rPr>
          <w:rFonts w:hint="cs"/>
          <w:rtl/>
        </w:rPr>
        <w:t>،</w:t>
      </w:r>
      <w:r w:rsidRPr="00282AC9">
        <w:rPr>
          <w:rtl/>
        </w:rPr>
        <w:t xml:space="preserve"> فلا يصح إذن أن يقصد بها غنائم لم يتم</w:t>
      </w:r>
      <w:r w:rsidR="000A06AB" w:rsidRPr="00282AC9">
        <w:rPr>
          <w:rFonts w:hint="cs"/>
          <w:rtl/>
        </w:rPr>
        <w:t>ّ</w:t>
      </w:r>
      <w:r w:rsidRPr="00282AC9">
        <w:rPr>
          <w:rtl/>
        </w:rPr>
        <w:t xml:space="preserve"> الحصول عليها بعد</w:t>
      </w:r>
      <w:r w:rsidR="000A06AB" w:rsidRPr="00282AC9">
        <w:rPr>
          <w:rFonts w:hint="cs"/>
          <w:rtl/>
        </w:rPr>
        <w:t>ُ،</w:t>
      </w:r>
      <w:r w:rsidRPr="00282AC9">
        <w:rPr>
          <w:rtl/>
        </w:rPr>
        <w:t xml:space="preserve"> وأنها ستختص</w:t>
      </w:r>
      <w:r w:rsidR="000A06AB" w:rsidRPr="00282AC9">
        <w:rPr>
          <w:rFonts w:hint="cs"/>
          <w:rtl/>
        </w:rPr>
        <w:t>ّ</w:t>
      </w:r>
      <w:r w:rsidRPr="00282AC9">
        <w:rPr>
          <w:rtl/>
        </w:rPr>
        <w:t xml:space="preserve"> برسول الله وآله فيما بعد</w:t>
      </w:r>
      <w:r w:rsidR="000A06AB" w:rsidRPr="00282AC9">
        <w:rPr>
          <w:rFonts w:hint="cs"/>
          <w:rtl/>
        </w:rPr>
        <w:t>ُ</w:t>
      </w:r>
      <w:r w:rsidRPr="00282AC9">
        <w:rPr>
          <w:rFonts w:hint="cs"/>
          <w:vertAlign w:val="superscript"/>
          <w:rtl/>
        </w:rPr>
        <w:t>(</w:t>
      </w:r>
      <w:r w:rsidRPr="00282AC9">
        <w:rPr>
          <w:rStyle w:val="af9"/>
          <w:sz w:val="27"/>
          <w:rtl/>
        </w:rPr>
        <w:endnoteReference w:id="409"/>
      </w:r>
      <w:r w:rsidRPr="00282AC9">
        <w:rPr>
          <w:rFonts w:hint="cs"/>
          <w:vertAlign w:val="superscript"/>
          <w:rtl/>
        </w:rPr>
        <w:t>)</w:t>
      </w:r>
      <w:r w:rsidR="000A06AB" w:rsidRPr="00282AC9">
        <w:rPr>
          <w:rFonts w:hint="cs"/>
          <w:rtl/>
        </w:rPr>
        <w:t>.</w:t>
      </w:r>
    </w:p>
    <w:p w:rsidR="00946A76" w:rsidRPr="00282AC9" w:rsidRDefault="00946A76" w:rsidP="00186251">
      <w:pPr>
        <w:rPr>
          <w:rtl/>
        </w:rPr>
      </w:pPr>
      <w:r w:rsidRPr="00282AC9">
        <w:rPr>
          <w:rtl/>
        </w:rPr>
        <w:t>وقد أوضح</w:t>
      </w:r>
      <w:r w:rsidR="000A06AB" w:rsidRPr="00282AC9">
        <w:rPr>
          <w:rFonts w:hint="cs"/>
          <w:rtl/>
        </w:rPr>
        <w:t>َ</w:t>
      </w:r>
      <w:r w:rsidRPr="00282AC9">
        <w:rPr>
          <w:rtl/>
        </w:rPr>
        <w:t>ت</w:t>
      </w:r>
      <w:r w:rsidR="000A06AB" w:rsidRPr="00282AC9">
        <w:rPr>
          <w:rFonts w:hint="cs"/>
          <w:rtl/>
        </w:rPr>
        <w:t>ْ</w:t>
      </w:r>
      <w:r w:rsidRPr="00282AC9">
        <w:rPr>
          <w:rtl/>
        </w:rPr>
        <w:t xml:space="preserve"> دراسات النظم البياني</w:t>
      </w:r>
      <w:r w:rsidR="000A06AB" w:rsidRPr="00282AC9">
        <w:rPr>
          <w:rFonts w:hint="cs"/>
          <w:rtl/>
        </w:rPr>
        <w:t>ّ</w:t>
      </w:r>
      <w:r w:rsidRPr="00282AC9">
        <w:rPr>
          <w:rtl/>
        </w:rPr>
        <w:t xml:space="preserve"> في القرآن الكريم بأن ذلك من بين الأساليب البلاغي</w:t>
      </w:r>
      <w:r w:rsidR="000A06AB" w:rsidRPr="00282AC9">
        <w:rPr>
          <w:rFonts w:hint="cs"/>
          <w:rtl/>
        </w:rPr>
        <w:t>ّ</w:t>
      </w:r>
      <w:r w:rsidRPr="00282AC9">
        <w:rPr>
          <w:rtl/>
        </w:rPr>
        <w:t>ة القرآنية</w:t>
      </w:r>
      <w:r w:rsidR="000A06AB" w:rsidRPr="00282AC9">
        <w:rPr>
          <w:rFonts w:hint="cs"/>
          <w:rtl/>
        </w:rPr>
        <w:t>،</w:t>
      </w:r>
      <w:r w:rsidRPr="00282AC9">
        <w:rPr>
          <w:rtl/>
        </w:rPr>
        <w:t xml:space="preserve"> حيث يعب</w:t>
      </w:r>
      <w:r w:rsidR="008275A7" w:rsidRPr="00282AC9">
        <w:rPr>
          <w:rFonts w:hint="cs"/>
          <w:rtl/>
        </w:rPr>
        <w:t>ِّ</w:t>
      </w:r>
      <w:r w:rsidRPr="00282AC9">
        <w:rPr>
          <w:rtl/>
        </w:rPr>
        <w:t>ر بالمضارع عن الماضي</w:t>
      </w:r>
      <w:r w:rsidR="000A06AB" w:rsidRPr="00282AC9">
        <w:rPr>
          <w:rFonts w:hint="cs"/>
          <w:rtl/>
        </w:rPr>
        <w:t>،</w:t>
      </w:r>
      <w:r w:rsidRPr="00282AC9">
        <w:rPr>
          <w:rtl/>
        </w:rPr>
        <w:t xml:space="preserve"> ويعب</w:t>
      </w:r>
      <w:r w:rsidR="000A06AB" w:rsidRPr="00282AC9">
        <w:rPr>
          <w:rFonts w:hint="cs"/>
          <w:rtl/>
        </w:rPr>
        <w:t>ِّ</w:t>
      </w:r>
      <w:r w:rsidRPr="00282AC9">
        <w:rPr>
          <w:rtl/>
        </w:rPr>
        <w:t>ر بالماضي عن المضارع</w:t>
      </w:r>
      <w:r w:rsidR="000A06AB" w:rsidRPr="00282AC9">
        <w:rPr>
          <w:rFonts w:hint="cs"/>
          <w:rtl/>
        </w:rPr>
        <w:t>،</w:t>
      </w:r>
      <w:r w:rsidRPr="00282AC9">
        <w:rPr>
          <w:rtl/>
        </w:rPr>
        <w:t xml:space="preserve"> وبالماضي عن الأمر، كما يعب</w:t>
      </w:r>
      <w:r w:rsidR="000A06AB" w:rsidRPr="00282AC9">
        <w:rPr>
          <w:rFonts w:hint="cs"/>
          <w:rtl/>
        </w:rPr>
        <w:t>ِّ</w:t>
      </w:r>
      <w:r w:rsidRPr="00282AC9">
        <w:rPr>
          <w:rtl/>
        </w:rPr>
        <w:t>ر عن الأمر بالمضارع</w:t>
      </w:r>
      <w:r w:rsidR="000A06AB" w:rsidRPr="00282AC9">
        <w:rPr>
          <w:rFonts w:hint="cs"/>
          <w:rtl/>
        </w:rPr>
        <w:t>،</w:t>
      </w:r>
      <w:r w:rsidRPr="00282AC9">
        <w:rPr>
          <w:rtl/>
        </w:rPr>
        <w:t xml:space="preserve"> وبالماضي عن الأمر. ومن وجوه التعبير</w:t>
      </w:r>
      <w:r w:rsidR="000A06AB" w:rsidRPr="00282AC9">
        <w:rPr>
          <w:rFonts w:hint="cs"/>
          <w:rtl/>
        </w:rPr>
        <w:t xml:space="preserve"> </w:t>
      </w:r>
      <w:r w:rsidRPr="00282AC9">
        <w:rPr>
          <w:rtl/>
        </w:rPr>
        <w:t>بالماضي إفادته الحال والاستمرار ولما يتحق</w:t>
      </w:r>
      <w:r w:rsidR="000A06AB" w:rsidRPr="00282AC9">
        <w:rPr>
          <w:rFonts w:hint="cs"/>
          <w:rtl/>
        </w:rPr>
        <w:t>َّ</w:t>
      </w:r>
      <w:r w:rsidRPr="00282AC9">
        <w:rPr>
          <w:rtl/>
        </w:rPr>
        <w:t>ق في المستقبل</w:t>
      </w:r>
      <w:r w:rsidRPr="00282AC9">
        <w:rPr>
          <w:rFonts w:hint="cs"/>
          <w:vertAlign w:val="superscript"/>
          <w:rtl/>
        </w:rPr>
        <w:t>(</w:t>
      </w:r>
      <w:r w:rsidRPr="00282AC9">
        <w:rPr>
          <w:rStyle w:val="af9"/>
          <w:sz w:val="27"/>
          <w:rtl/>
        </w:rPr>
        <w:endnoteReference w:id="410"/>
      </w:r>
      <w:r w:rsidRPr="00282AC9">
        <w:rPr>
          <w:rFonts w:hint="cs"/>
          <w:vertAlign w:val="superscript"/>
          <w:rtl/>
        </w:rPr>
        <w:t>)</w:t>
      </w:r>
      <w:r w:rsidR="000A06AB" w:rsidRPr="00282AC9">
        <w:rPr>
          <w:rFonts w:hint="cs"/>
          <w:rtl/>
        </w:rPr>
        <w:t>.</w:t>
      </w:r>
    </w:p>
    <w:p w:rsidR="00946A76" w:rsidRPr="00282AC9" w:rsidRDefault="00946A76" w:rsidP="00186251">
      <w:pPr>
        <w:rPr>
          <w:rtl/>
        </w:rPr>
      </w:pPr>
      <w:r w:rsidRPr="00282AC9">
        <w:rPr>
          <w:rtl/>
        </w:rPr>
        <w:t>ولا يخفى أن هناك ج</w:t>
      </w:r>
      <w:r w:rsidR="00D2690D" w:rsidRPr="00282AC9">
        <w:rPr>
          <w:rFonts w:hint="cs"/>
          <w:rtl/>
        </w:rPr>
        <w:t>َ</w:t>
      </w:r>
      <w:r w:rsidRPr="00282AC9">
        <w:rPr>
          <w:rtl/>
        </w:rPr>
        <w:t>د</w:t>
      </w:r>
      <w:r w:rsidR="00D2690D" w:rsidRPr="00282AC9">
        <w:rPr>
          <w:rFonts w:hint="cs"/>
          <w:rtl/>
        </w:rPr>
        <w:t>َ</w:t>
      </w:r>
      <w:r w:rsidRPr="00282AC9">
        <w:rPr>
          <w:rtl/>
        </w:rPr>
        <w:t>ل</w:t>
      </w:r>
      <w:r w:rsidR="00D56E89" w:rsidRPr="00282AC9">
        <w:rPr>
          <w:rFonts w:hint="cs"/>
          <w:rtl/>
        </w:rPr>
        <w:t>اً</w:t>
      </w:r>
      <w:r w:rsidRPr="00282AC9">
        <w:rPr>
          <w:rtl/>
        </w:rPr>
        <w:t xml:space="preserve"> بين أهل اللغة والتفسير</w:t>
      </w:r>
      <w:r w:rsidRPr="00282AC9">
        <w:rPr>
          <w:rFonts w:hint="cs"/>
          <w:rtl/>
        </w:rPr>
        <w:t xml:space="preserve"> </w:t>
      </w:r>
      <w:r w:rsidRPr="00282AC9">
        <w:rPr>
          <w:rtl/>
        </w:rPr>
        <w:t>والفقه حول بعض مفاهيم الآية</w:t>
      </w:r>
      <w:r w:rsidR="00D56E89" w:rsidRPr="00282AC9">
        <w:rPr>
          <w:rFonts w:hint="cs"/>
          <w:rtl/>
        </w:rPr>
        <w:t>.</w:t>
      </w:r>
      <w:r w:rsidRPr="00282AC9">
        <w:rPr>
          <w:rtl/>
        </w:rPr>
        <w:t xml:space="preserve"> </w:t>
      </w:r>
      <w:r w:rsidRPr="00282AC9">
        <w:rPr>
          <w:rtl/>
        </w:rPr>
        <w:lastRenderedPageBreak/>
        <w:t>ونكتفي في المقام بهذه الإطلالة العام</w:t>
      </w:r>
      <w:r w:rsidR="00D56E89" w:rsidRPr="00282AC9">
        <w:rPr>
          <w:rFonts w:hint="cs"/>
          <w:rtl/>
        </w:rPr>
        <w:t>ّ</w:t>
      </w:r>
      <w:r w:rsidRPr="00282AC9">
        <w:rPr>
          <w:rtl/>
        </w:rPr>
        <w:t xml:space="preserve">ة عليها. </w:t>
      </w:r>
    </w:p>
    <w:p w:rsidR="00946A76" w:rsidRPr="00282AC9" w:rsidRDefault="00946A76" w:rsidP="00186251">
      <w:pPr>
        <w:rPr>
          <w:rtl/>
        </w:rPr>
      </w:pPr>
      <w:r w:rsidRPr="00282AC9">
        <w:rPr>
          <w:rtl/>
        </w:rPr>
        <w:t xml:space="preserve">وسنتناول القضية المبحوثة من خلال المحاور </w:t>
      </w:r>
      <w:r w:rsidR="00D56E89" w:rsidRPr="00282AC9">
        <w:rPr>
          <w:rFonts w:hint="cs"/>
          <w:rtl/>
        </w:rPr>
        <w:t>التالية</w:t>
      </w:r>
      <w:r w:rsidRPr="00282AC9">
        <w:rPr>
          <w:rtl/>
        </w:rPr>
        <w:t>:</w:t>
      </w:r>
    </w:p>
    <w:p w:rsidR="00186251" w:rsidRPr="00282AC9" w:rsidRDefault="00186251" w:rsidP="00186251">
      <w:pPr>
        <w:spacing w:line="420" w:lineRule="exact"/>
        <w:rPr>
          <w:rtl/>
        </w:rPr>
      </w:pPr>
    </w:p>
    <w:p w:rsidR="00946A76" w:rsidRPr="00282AC9" w:rsidRDefault="00946A76" w:rsidP="00B70E1F">
      <w:pPr>
        <w:pStyle w:val="31"/>
        <w:rPr>
          <w:color w:val="auto"/>
          <w:rtl/>
        </w:rPr>
      </w:pPr>
      <w:r w:rsidRPr="00282AC9">
        <w:rPr>
          <w:color w:val="auto"/>
          <w:rtl/>
        </w:rPr>
        <w:t>أو</w:t>
      </w:r>
      <w:r w:rsidRPr="00282AC9">
        <w:rPr>
          <w:rFonts w:hint="cs"/>
          <w:color w:val="auto"/>
          <w:rtl/>
        </w:rPr>
        <w:t>ّ</w:t>
      </w:r>
      <w:r w:rsidRPr="00282AC9">
        <w:rPr>
          <w:color w:val="auto"/>
          <w:rtl/>
        </w:rPr>
        <w:t>لا</w:t>
      </w:r>
      <w:r w:rsidRPr="00282AC9">
        <w:rPr>
          <w:rFonts w:hint="cs"/>
          <w:color w:val="auto"/>
          <w:rtl/>
        </w:rPr>
        <w:t>ً</w:t>
      </w:r>
      <w:r w:rsidRPr="00282AC9">
        <w:rPr>
          <w:color w:val="auto"/>
          <w:rtl/>
        </w:rPr>
        <w:t>: اتجاهات اللغوي</w:t>
      </w:r>
      <w:r w:rsidR="00D56E89" w:rsidRPr="00282AC9">
        <w:rPr>
          <w:rFonts w:hint="cs"/>
          <w:color w:val="auto"/>
          <w:rtl/>
        </w:rPr>
        <w:t>ّ</w:t>
      </w:r>
      <w:r w:rsidRPr="00282AC9">
        <w:rPr>
          <w:color w:val="auto"/>
          <w:rtl/>
        </w:rPr>
        <w:t xml:space="preserve">ين </w:t>
      </w:r>
    </w:p>
    <w:p w:rsidR="00946A76" w:rsidRPr="00282AC9" w:rsidRDefault="00946A76" w:rsidP="00186251">
      <w:pPr>
        <w:rPr>
          <w:rtl/>
        </w:rPr>
      </w:pPr>
      <w:r w:rsidRPr="00282AC9">
        <w:rPr>
          <w:rtl/>
        </w:rPr>
        <w:t>وقع نقاش</w:t>
      </w:r>
      <w:r w:rsidR="00D56E89" w:rsidRPr="00282AC9">
        <w:rPr>
          <w:rFonts w:hint="cs"/>
          <w:rtl/>
        </w:rPr>
        <w:t>ٌ</w:t>
      </w:r>
      <w:r w:rsidRPr="00282AC9">
        <w:rPr>
          <w:rtl/>
        </w:rPr>
        <w:t xml:space="preserve"> بين الفقهاء والمفس</w:t>
      </w:r>
      <w:r w:rsidR="00D56E89" w:rsidRPr="00282AC9">
        <w:rPr>
          <w:rFonts w:hint="cs"/>
          <w:rtl/>
        </w:rPr>
        <w:t>ِّ</w:t>
      </w:r>
      <w:r w:rsidRPr="00282AC9">
        <w:rPr>
          <w:rtl/>
        </w:rPr>
        <w:t>رين في بعض المسائل المتعل</w:t>
      </w:r>
      <w:r w:rsidR="00D56E89" w:rsidRPr="00282AC9">
        <w:rPr>
          <w:rFonts w:hint="cs"/>
          <w:rtl/>
        </w:rPr>
        <w:t>ِّ</w:t>
      </w:r>
      <w:r w:rsidRPr="00282AC9">
        <w:rPr>
          <w:rtl/>
        </w:rPr>
        <w:t>قة بالآية الكريمة، من قبيل</w:t>
      </w:r>
      <w:r w:rsidR="00D56E89" w:rsidRPr="00282AC9">
        <w:rPr>
          <w:rFonts w:hint="cs"/>
          <w:rtl/>
        </w:rPr>
        <w:t>:</w:t>
      </w:r>
      <w:r w:rsidRPr="00282AC9">
        <w:rPr>
          <w:rtl/>
        </w:rPr>
        <w:t xml:space="preserve"> دلالة ماد</w:t>
      </w:r>
      <w:r w:rsidR="00D56E89" w:rsidRPr="00282AC9">
        <w:rPr>
          <w:rFonts w:hint="cs"/>
          <w:rtl/>
        </w:rPr>
        <w:t>ّ</w:t>
      </w:r>
      <w:r w:rsidRPr="00282AC9">
        <w:rPr>
          <w:rtl/>
        </w:rPr>
        <w:t xml:space="preserve">ة </w:t>
      </w:r>
      <w:r w:rsidRPr="00282AC9">
        <w:rPr>
          <w:rFonts w:hint="eastAsia"/>
          <w:sz w:val="24"/>
          <w:szCs w:val="24"/>
          <w:rtl/>
        </w:rPr>
        <w:t>«</w:t>
      </w:r>
      <w:r w:rsidRPr="00282AC9">
        <w:rPr>
          <w:rtl/>
        </w:rPr>
        <w:t>غنم</w:t>
      </w:r>
      <w:r w:rsidR="00D56E89" w:rsidRPr="00282AC9">
        <w:rPr>
          <w:rFonts w:hint="eastAsia"/>
          <w:sz w:val="24"/>
          <w:szCs w:val="24"/>
          <w:rtl/>
        </w:rPr>
        <w:t>»</w:t>
      </w:r>
      <w:r w:rsidR="00D56E89" w:rsidRPr="00282AC9">
        <w:rPr>
          <w:rFonts w:hint="cs"/>
          <w:rtl/>
        </w:rPr>
        <w:t xml:space="preserve"> </w:t>
      </w:r>
      <w:r w:rsidRPr="00282AC9">
        <w:rPr>
          <w:rtl/>
        </w:rPr>
        <w:t>وتصريفاتها</w:t>
      </w:r>
      <w:r w:rsidR="00D56E89" w:rsidRPr="00282AC9">
        <w:rPr>
          <w:rFonts w:hint="cs"/>
          <w:rtl/>
        </w:rPr>
        <w:t>،</w:t>
      </w:r>
      <w:r w:rsidRPr="00282AC9">
        <w:rPr>
          <w:rtl/>
        </w:rPr>
        <w:t xml:space="preserve"> وهل تختص</w:t>
      </w:r>
      <w:r w:rsidR="00D56E89" w:rsidRPr="00282AC9">
        <w:rPr>
          <w:rFonts w:hint="cs"/>
          <w:rtl/>
        </w:rPr>
        <w:t>ّ</w:t>
      </w:r>
      <w:r w:rsidRPr="00282AC9">
        <w:rPr>
          <w:rtl/>
        </w:rPr>
        <w:t xml:space="preserve"> بغنائم دار الحرب أم تعم</w:t>
      </w:r>
      <w:r w:rsidR="00D56E89" w:rsidRPr="00282AC9">
        <w:rPr>
          <w:rFonts w:hint="cs"/>
          <w:rtl/>
        </w:rPr>
        <w:t>ّ</w:t>
      </w:r>
      <w:r w:rsidRPr="00282AC9">
        <w:rPr>
          <w:rtl/>
        </w:rPr>
        <w:t xml:space="preserve"> مختلف المكاسب والفوائد؟ </w:t>
      </w:r>
    </w:p>
    <w:p w:rsidR="00946A76" w:rsidRPr="00282AC9" w:rsidRDefault="00946A76" w:rsidP="00186251">
      <w:pPr>
        <w:rPr>
          <w:rtl/>
        </w:rPr>
      </w:pPr>
      <w:r w:rsidRPr="00282AC9">
        <w:rPr>
          <w:rtl/>
        </w:rPr>
        <w:t>وبتعبير</w:t>
      </w:r>
      <w:r w:rsidR="00D56E89" w:rsidRPr="00282AC9">
        <w:rPr>
          <w:rFonts w:hint="cs"/>
          <w:rtl/>
        </w:rPr>
        <w:t>ٍ</w:t>
      </w:r>
      <w:r w:rsidRPr="00282AC9">
        <w:rPr>
          <w:rtl/>
        </w:rPr>
        <w:t xml:space="preserve"> أدق</w:t>
      </w:r>
      <w:r w:rsidR="00D56E89" w:rsidRPr="00282AC9">
        <w:rPr>
          <w:rFonts w:hint="cs"/>
          <w:rtl/>
        </w:rPr>
        <w:t>ّ:</w:t>
      </w:r>
      <w:r w:rsidRPr="00282AC9">
        <w:rPr>
          <w:rtl/>
        </w:rPr>
        <w:t xml:space="preserve"> ما هو المعنى الذي وضع له لفظ </w:t>
      </w:r>
      <w:r w:rsidR="00D56E89" w:rsidRPr="00282AC9">
        <w:rPr>
          <w:rFonts w:hint="eastAsia"/>
          <w:sz w:val="24"/>
          <w:szCs w:val="24"/>
          <w:rtl/>
        </w:rPr>
        <w:t>«</w:t>
      </w:r>
      <w:r w:rsidRPr="00282AC9">
        <w:rPr>
          <w:rtl/>
        </w:rPr>
        <w:t>الغنيمة</w:t>
      </w:r>
      <w:r w:rsidR="00D56E89" w:rsidRPr="00282AC9">
        <w:rPr>
          <w:rFonts w:hint="eastAsia"/>
          <w:sz w:val="24"/>
          <w:szCs w:val="24"/>
          <w:rtl/>
        </w:rPr>
        <w:t>»</w:t>
      </w:r>
      <w:r w:rsidR="00D56E89" w:rsidRPr="00282AC9">
        <w:rPr>
          <w:rFonts w:hint="cs"/>
          <w:rtl/>
        </w:rPr>
        <w:t>؟</w:t>
      </w:r>
      <w:r w:rsidRPr="00282AC9">
        <w:rPr>
          <w:rtl/>
        </w:rPr>
        <w:t xml:space="preserve"> وما هي استعمالاته المعهودة في ال</w:t>
      </w:r>
      <w:r w:rsidR="00EE6DBA" w:rsidRPr="00282AC9">
        <w:rPr>
          <w:rtl/>
        </w:rPr>
        <w:t>مجال</w:t>
      </w:r>
      <w:r w:rsidRPr="00282AC9">
        <w:rPr>
          <w:rtl/>
        </w:rPr>
        <w:t xml:space="preserve"> التداولي في تراث المسلمين؟ </w:t>
      </w:r>
    </w:p>
    <w:p w:rsidR="00946A76" w:rsidRPr="00282AC9" w:rsidRDefault="00946A76" w:rsidP="00186251">
      <w:pPr>
        <w:rPr>
          <w:rtl/>
        </w:rPr>
      </w:pPr>
      <w:r w:rsidRPr="00282AC9">
        <w:rPr>
          <w:rtl/>
        </w:rPr>
        <w:t>اختلفت تعريفات أئم</w:t>
      </w:r>
      <w:r w:rsidR="00D56E89" w:rsidRPr="00282AC9">
        <w:rPr>
          <w:rFonts w:hint="cs"/>
          <w:rtl/>
        </w:rPr>
        <w:t>ّ</w:t>
      </w:r>
      <w:r w:rsidRPr="00282AC9">
        <w:rPr>
          <w:rtl/>
        </w:rPr>
        <w:t>ة اللغة وعلماء مفردات القرآن وغريبه</w:t>
      </w:r>
      <w:r w:rsidR="00D56E89" w:rsidRPr="00282AC9">
        <w:rPr>
          <w:rFonts w:hint="cs"/>
          <w:rtl/>
        </w:rPr>
        <w:t>،</w:t>
      </w:r>
      <w:r w:rsidRPr="00282AC9">
        <w:rPr>
          <w:rtl/>
        </w:rPr>
        <w:t xml:space="preserve"> وكذلك غريب الحديث</w:t>
      </w:r>
      <w:r w:rsidR="00D56E89" w:rsidRPr="00282AC9">
        <w:rPr>
          <w:rFonts w:hint="cs"/>
          <w:rtl/>
        </w:rPr>
        <w:t>،</w:t>
      </w:r>
      <w:r w:rsidRPr="00282AC9">
        <w:rPr>
          <w:rtl/>
        </w:rPr>
        <w:t xml:space="preserve"> حول ذلك.</w:t>
      </w:r>
    </w:p>
    <w:p w:rsidR="00D56E89" w:rsidRPr="00282AC9" w:rsidRDefault="00946A76" w:rsidP="00186251">
      <w:pPr>
        <w:rPr>
          <w:rtl/>
        </w:rPr>
      </w:pPr>
      <w:r w:rsidRPr="00282AC9">
        <w:rPr>
          <w:rtl/>
        </w:rPr>
        <w:t xml:space="preserve">ففي </w:t>
      </w:r>
      <w:r w:rsidRPr="00282AC9">
        <w:rPr>
          <w:rFonts w:hint="eastAsia"/>
          <w:sz w:val="24"/>
          <w:szCs w:val="24"/>
          <w:rtl/>
        </w:rPr>
        <w:t>«</w:t>
      </w:r>
      <w:r w:rsidRPr="00282AC9">
        <w:rPr>
          <w:rtl/>
        </w:rPr>
        <w:t>العين</w:t>
      </w:r>
      <w:r w:rsidRPr="00282AC9">
        <w:rPr>
          <w:rFonts w:hint="eastAsia"/>
          <w:sz w:val="24"/>
          <w:szCs w:val="24"/>
          <w:rtl/>
        </w:rPr>
        <w:t>»</w:t>
      </w:r>
      <w:r w:rsidR="00D56E89" w:rsidRPr="00282AC9">
        <w:rPr>
          <w:rFonts w:hint="cs"/>
          <w:rtl/>
        </w:rPr>
        <w:t>،</w:t>
      </w:r>
      <w:r w:rsidRPr="00282AC9">
        <w:rPr>
          <w:rtl/>
        </w:rPr>
        <w:t xml:space="preserve"> للخليل بن أحمد(170</w:t>
      </w:r>
      <w:r w:rsidRPr="00282AC9">
        <w:rPr>
          <w:rFonts w:hint="cs"/>
          <w:rtl/>
        </w:rPr>
        <w:t>هـ</w:t>
      </w:r>
      <w:r w:rsidRPr="00282AC9">
        <w:rPr>
          <w:rtl/>
        </w:rPr>
        <w:t>)</w:t>
      </w:r>
      <w:r w:rsidR="00D56E89" w:rsidRPr="00282AC9">
        <w:rPr>
          <w:rFonts w:hint="cs"/>
          <w:rtl/>
        </w:rPr>
        <w:t>:</w:t>
      </w:r>
      <w:r w:rsidRPr="00282AC9">
        <w:rPr>
          <w:rtl/>
        </w:rPr>
        <w:t xml:space="preserve"> والغنم هو الفوز بالش</w:t>
      </w:r>
      <w:r w:rsidR="00D56E89" w:rsidRPr="00282AC9">
        <w:rPr>
          <w:rFonts w:hint="cs"/>
          <w:rtl/>
        </w:rPr>
        <w:t>يء</w:t>
      </w:r>
      <w:r w:rsidRPr="00282AC9">
        <w:rPr>
          <w:rtl/>
        </w:rPr>
        <w:t xml:space="preserve"> في غير مشق</w:t>
      </w:r>
      <w:r w:rsidR="00D56E89" w:rsidRPr="00282AC9">
        <w:rPr>
          <w:rFonts w:hint="cs"/>
          <w:rtl/>
        </w:rPr>
        <w:t>ّ</w:t>
      </w:r>
      <w:r w:rsidRPr="00282AC9">
        <w:rPr>
          <w:rtl/>
        </w:rPr>
        <w:t>ة</w:t>
      </w:r>
      <w:r w:rsidR="00D56E89" w:rsidRPr="00282AC9">
        <w:rPr>
          <w:rFonts w:hint="cs"/>
          <w:rtl/>
        </w:rPr>
        <w:t>ٍ.</w:t>
      </w:r>
      <w:r w:rsidRPr="00282AC9">
        <w:rPr>
          <w:rtl/>
        </w:rPr>
        <w:t xml:space="preserve"> والاغتنام: انتهاب الغنم</w:t>
      </w:r>
      <w:r w:rsidR="00D56E89" w:rsidRPr="00282AC9">
        <w:rPr>
          <w:rFonts w:hint="cs"/>
          <w:rtl/>
        </w:rPr>
        <w:t>.</w:t>
      </w:r>
      <w:r w:rsidRPr="00282AC9">
        <w:rPr>
          <w:rtl/>
        </w:rPr>
        <w:t xml:space="preserve"> والغنيمة: الف</w:t>
      </w:r>
      <w:r w:rsidR="00D56E89" w:rsidRPr="00282AC9">
        <w:rPr>
          <w:rFonts w:hint="cs"/>
          <w:rtl/>
        </w:rPr>
        <w:t>َ</w:t>
      </w:r>
      <w:r w:rsidRPr="00282AC9">
        <w:rPr>
          <w:rtl/>
        </w:rPr>
        <w:t>ي</w:t>
      </w:r>
      <w:r w:rsidR="00D56E89" w:rsidRPr="00282AC9">
        <w:rPr>
          <w:rFonts w:hint="cs"/>
          <w:rtl/>
        </w:rPr>
        <w:t>ْء</w:t>
      </w:r>
      <w:r w:rsidRPr="00282AC9">
        <w:rPr>
          <w:rFonts w:hint="cs"/>
          <w:vertAlign w:val="superscript"/>
          <w:rtl/>
        </w:rPr>
        <w:t>(</w:t>
      </w:r>
      <w:r w:rsidRPr="00282AC9">
        <w:rPr>
          <w:rStyle w:val="af9"/>
          <w:sz w:val="27"/>
          <w:rtl/>
        </w:rPr>
        <w:endnoteReference w:id="411"/>
      </w:r>
      <w:r w:rsidRPr="00282AC9">
        <w:rPr>
          <w:rFonts w:hint="cs"/>
          <w:vertAlign w:val="superscript"/>
          <w:rtl/>
        </w:rPr>
        <w:t>)</w:t>
      </w:r>
      <w:r w:rsidR="00D56E89" w:rsidRPr="00282AC9">
        <w:rPr>
          <w:rFonts w:hint="cs"/>
          <w:rtl/>
        </w:rPr>
        <w:t>.</w:t>
      </w:r>
    </w:p>
    <w:p w:rsidR="00D56E89" w:rsidRPr="00282AC9" w:rsidRDefault="00946A76" w:rsidP="00186251">
      <w:pPr>
        <w:rPr>
          <w:rtl/>
        </w:rPr>
      </w:pPr>
      <w:r w:rsidRPr="00282AC9">
        <w:rPr>
          <w:rtl/>
        </w:rPr>
        <w:t xml:space="preserve">وفي </w:t>
      </w:r>
      <w:r w:rsidRPr="00282AC9">
        <w:rPr>
          <w:rFonts w:hint="eastAsia"/>
          <w:sz w:val="24"/>
          <w:szCs w:val="24"/>
          <w:rtl/>
        </w:rPr>
        <w:t>«</w:t>
      </w:r>
      <w:r w:rsidRPr="00282AC9">
        <w:rPr>
          <w:rtl/>
        </w:rPr>
        <w:t>مقاييس اللغة</w:t>
      </w:r>
      <w:r w:rsidRPr="00282AC9">
        <w:rPr>
          <w:rFonts w:hint="eastAsia"/>
          <w:sz w:val="24"/>
          <w:szCs w:val="24"/>
          <w:rtl/>
        </w:rPr>
        <w:t>»</w:t>
      </w:r>
      <w:r w:rsidR="00D56E89" w:rsidRPr="00282AC9">
        <w:rPr>
          <w:rFonts w:hint="cs"/>
          <w:rtl/>
        </w:rPr>
        <w:t>،</w:t>
      </w:r>
      <w:r w:rsidRPr="00282AC9">
        <w:rPr>
          <w:rtl/>
        </w:rPr>
        <w:t xml:space="preserve"> لابن فارس(395</w:t>
      </w:r>
      <w:r w:rsidRPr="00282AC9">
        <w:rPr>
          <w:rFonts w:hint="cs"/>
          <w:rtl/>
        </w:rPr>
        <w:t>هـ</w:t>
      </w:r>
      <w:r w:rsidRPr="00282AC9">
        <w:rPr>
          <w:rtl/>
        </w:rPr>
        <w:t>): الغين والنون والميم أصل</w:t>
      </w:r>
      <w:r w:rsidR="00D56E89" w:rsidRPr="00282AC9">
        <w:rPr>
          <w:rFonts w:hint="cs"/>
          <w:rtl/>
        </w:rPr>
        <w:t>ٌ</w:t>
      </w:r>
      <w:r w:rsidRPr="00282AC9">
        <w:rPr>
          <w:rtl/>
        </w:rPr>
        <w:t xml:space="preserve"> صحيح واحد</w:t>
      </w:r>
      <w:r w:rsidR="00D56E89" w:rsidRPr="00282AC9">
        <w:rPr>
          <w:rFonts w:hint="cs"/>
          <w:rtl/>
        </w:rPr>
        <w:t>،</w:t>
      </w:r>
      <w:r w:rsidRPr="00282AC9">
        <w:rPr>
          <w:rtl/>
        </w:rPr>
        <w:t xml:space="preserve"> يدل</w:t>
      </w:r>
      <w:r w:rsidR="00D56E89" w:rsidRPr="00282AC9">
        <w:rPr>
          <w:rFonts w:hint="cs"/>
          <w:rtl/>
        </w:rPr>
        <w:t>ّ</w:t>
      </w:r>
      <w:r w:rsidRPr="00282AC9">
        <w:rPr>
          <w:rtl/>
        </w:rPr>
        <w:t xml:space="preserve"> على إفادة شي</w:t>
      </w:r>
      <w:r w:rsidR="00D56E89" w:rsidRPr="00282AC9">
        <w:rPr>
          <w:rFonts w:hint="cs"/>
          <w:rtl/>
        </w:rPr>
        <w:t>ء</w:t>
      </w:r>
      <w:r w:rsidRPr="00282AC9">
        <w:rPr>
          <w:rtl/>
        </w:rPr>
        <w:t xml:space="preserve"> لم يملك من قبل</w:t>
      </w:r>
      <w:r w:rsidR="00D56E89" w:rsidRPr="00282AC9">
        <w:rPr>
          <w:rFonts w:hint="cs"/>
          <w:rtl/>
        </w:rPr>
        <w:t>ُ</w:t>
      </w:r>
      <w:r w:rsidRPr="00282AC9">
        <w:rPr>
          <w:rtl/>
        </w:rPr>
        <w:t>، ثم</w:t>
      </w:r>
      <w:r w:rsidR="00D56E89" w:rsidRPr="00282AC9">
        <w:rPr>
          <w:rFonts w:hint="cs"/>
          <w:rtl/>
        </w:rPr>
        <w:t>ّ</w:t>
      </w:r>
      <w:r w:rsidRPr="00282AC9">
        <w:rPr>
          <w:rtl/>
        </w:rPr>
        <w:t xml:space="preserve"> يختص ما أخذ من مال المشركين بقهر</w:t>
      </w:r>
      <w:r w:rsidR="00D56E89" w:rsidRPr="00282AC9">
        <w:rPr>
          <w:rFonts w:hint="cs"/>
          <w:rtl/>
        </w:rPr>
        <w:t>ٍ</w:t>
      </w:r>
      <w:r w:rsidRPr="00282AC9">
        <w:rPr>
          <w:rtl/>
        </w:rPr>
        <w:t xml:space="preserve"> وغلبة، قال تعالى: </w:t>
      </w:r>
      <w:r w:rsidR="00D56E89" w:rsidRPr="00282AC9">
        <w:rPr>
          <w:rFonts w:ascii="Mosawi" w:hAnsi="Mosawi" w:cs="Mosawi"/>
          <w:sz w:val="24"/>
          <w:szCs w:val="24"/>
          <w:rtl/>
        </w:rPr>
        <w:t>﴿</w:t>
      </w:r>
      <w:r w:rsidR="00D56E89" w:rsidRPr="00282AC9">
        <w:rPr>
          <w:b/>
          <w:bCs/>
          <w:sz w:val="27"/>
          <w:rtl/>
        </w:rPr>
        <w:t>وَاعْلَمُوا أَنَّ</w:t>
      </w:r>
      <w:r w:rsidR="00D56E89" w:rsidRPr="00282AC9">
        <w:rPr>
          <w:rFonts w:hint="cs"/>
          <w:b/>
          <w:bCs/>
          <w:sz w:val="27"/>
          <w:rtl/>
        </w:rPr>
        <w:t xml:space="preserve"> </w:t>
      </w:r>
      <w:r w:rsidR="00D56E89" w:rsidRPr="00282AC9">
        <w:rPr>
          <w:b/>
          <w:bCs/>
          <w:sz w:val="27"/>
          <w:rtl/>
        </w:rPr>
        <w:t>مَا غَنِمْتُمْ مِنْ شَيْءٍ</w:t>
      </w:r>
      <w:r w:rsidR="00D56E89" w:rsidRPr="00282AC9">
        <w:rPr>
          <w:rFonts w:ascii="Mosawi" w:hAnsi="Mosawi" w:cs="Mosawi"/>
          <w:sz w:val="24"/>
          <w:szCs w:val="24"/>
          <w:rtl/>
        </w:rPr>
        <w:t>﴾</w:t>
      </w:r>
      <w:r w:rsidRPr="00282AC9">
        <w:rPr>
          <w:rFonts w:hint="cs"/>
          <w:vertAlign w:val="superscript"/>
          <w:rtl/>
        </w:rPr>
        <w:t>(</w:t>
      </w:r>
      <w:r w:rsidRPr="00282AC9">
        <w:rPr>
          <w:rStyle w:val="af9"/>
          <w:sz w:val="27"/>
          <w:rtl/>
        </w:rPr>
        <w:endnoteReference w:id="412"/>
      </w:r>
      <w:r w:rsidRPr="00282AC9">
        <w:rPr>
          <w:rFonts w:hint="cs"/>
          <w:vertAlign w:val="superscript"/>
          <w:rtl/>
        </w:rPr>
        <w:t>)</w:t>
      </w:r>
      <w:r w:rsidRPr="00282AC9">
        <w:rPr>
          <w:rtl/>
        </w:rPr>
        <w:t>.</w:t>
      </w:r>
    </w:p>
    <w:p w:rsidR="00D56E89" w:rsidRPr="00282AC9" w:rsidRDefault="00946A76" w:rsidP="00186251">
      <w:pPr>
        <w:rPr>
          <w:rtl/>
        </w:rPr>
      </w:pPr>
      <w:r w:rsidRPr="00282AC9">
        <w:rPr>
          <w:rtl/>
        </w:rPr>
        <w:t xml:space="preserve">وفي </w:t>
      </w:r>
      <w:r w:rsidRPr="00282AC9">
        <w:rPr>
          <w:rFonts w:hint="eastAsia"/>
          <w:sz w:val="24"/>
          <w:szCs w:val="24"/>
          <w:rtl/>
        </w:rPr>
        <w:t>«</w:t>
      </w:r>
      <w:r w:rsidRPr="00282AC9">
        <w:rPr>
          <w:rtl/>
        </w:rPr>
        <w:t>لسان العرب</w:t>
      </w:r>
      <w:r w:rsidR="00D56E89" w:rsidRPr="00282AC9">
        <w:rPr>
          <w:rFonts w:hint="eastAsia"/>
          <w:sz w:val="24"/>
          <w:szCs w:val="24"/>
          <w:rtl/>
        </w:rPr>
        <w:t>»</w:t>
      </w:r>
      <w:r w:rsidR="00D56E89" w:rsidRPr="00282AC9">
        <w:rPr>
          <w:rFonts w:hint="cs"/>
          <w:rtl/>
        </w:rPr>
        <w:t xml:space="preserve">، </w:t>
      </w:r>
      <w:r w:rsidRPr="00282AC9">
        <w:rPr>
          <w:rtl/>
        </w:rPr>
        <w:t>لابن منظور(711</w:t>
      </w:r>
      <w:r w:rsidRPr="00282AC9">
        <w:rPr>
          <w:rFonts w:hint="cs"/>
          <w:rtl/>
        </w:rPr>
        <w:t>هـ</w:t>
      </w:r>
      <w:r w:rsidRPr="00282AC9">
        <w:rPr>
          <w:rtl/>
        </w:rPr>
        <w:t>)</w:t>
      </w:r>
      <w:r w:rsidR="00D56E89" w:rsidRPr="00282AC9">
        <w:rPr>
          <w:rFonts w:hint="cs"/>
          <w:rtl/>
        </w:rPr>
        <w:t>:</w:t>
      </w:r>
      <w:r w:rsidRPr="00282AC9">
        <w:rPr>
          <w:rtl/>
        </w:rPr>
        <w:t xml:space="preserve"> الغنم الفوز بالشي</w:t>
      </w:r>
      <w:r w:rsidR="00D56E89" w:rsidRPr="00282AC9">
        <w:rPr>
          <w:rFonts w:hint="cs"/>
          <w:rtl/>
        </w:rPr>
        <w:t>ء</w:t>
      </w:r>
      <w:r w:rsidRPr="00282AC9">
        <w:rPr>
          <w:rtl/>
        </w:rPr>
        <w:t xml:space="preserve"> من غير مشق</w:t>
      </w:r>
      <w:r w:rsidR="00D56E89" w:rsidRPr="00282AC9">
        <w:rPr>
          <w:rFonts w:hint="cs"/>
          <w:rtl/>
        </w:rPr>
        <w:t>ّ</w:t>
      </w:r>
      <w:r w:rsidRPr="00282AC9">
        <w:rPr>
          <w:rtl/>
        </w:rPr>
        <w:t>ة</w:t>
      </w:r>
      <w:r w:rsidR="00D56E89" w:rsidRPr="00282AC9">
        <w:rPr>
          <w:rFonts w:hint="cs"/>
          <w:rtl/>
        </w:rPr>
        <w:t>ٍ.</w:t>
      </w:r>
      <w:r w:rsidRPr="00282AC9">
        <w:rPr>
          <w:rtl/>
        </w:rPr>
        <w:t xml:space="preserve"> والاغتنام انتهاز الغنم</w:t>
      </w:r>
      <w:r w:rsidR="00D56E89" w:rsidRPr="00282AC9">
        <w:rPr>
          <w:rFonts w:hint="cs"/>
          <w:rtl/>
        </w:rPr>
        <w:t>.</w:t>
      </w:r>
      <w:r w:rsidRPr="00282AC9">
        <w:rPr>
          <w:rtl/>
        </w:rPr>
        <w:t xml:space="preserve"> وفي الحديث: الرهن لم</w:t>
      </w:r>
      <w:r w:rsidR="00D56E89" w:rsidRPr="00282AC9">
        <w:rPr>
          <w:rFonts w:hint="cs"/>
          <w:rtl/>
        </w:rPr>
        <w:t>َ</w:t>
      </w:r>
      <w:r w:rsidRPr="00282AC9">
        <w:rPr>
          <w:rtl/>
        </w:rPr>
        <w:t>ن</w:t>
      </w:r>
      <w:r w:rsidR="00D56E89" w:rsidRPr="00282AC9">
        <w:rPr>
          <w:rFonts w:hint="cs"/>
          <w:rtl/>
        </w:rPr>
        <w:t>ْ</w:t>
      </w:r>
      <w:r w:rsidRPr="00282AC9">
        <w:rPr>
          <w:rtl/>
        </w:rPr>
        <w:t xml:space="preserve"> رهنه، له غنمه</w:t>
      </w:r>
      <w:r w:rsidR="00D56E89" w:rsidRPr="00282AC9">
        <w:rPr>
          <w:rFonts w:hint="cs"/>
          <w:rtl/>
        </w:rPr>
        <w:t>،</w:t>
      </w:r>
      <w:r w:rsidRPr="00282AC9">
        <w:rPr>
          <w:rtl/>
        </w:rPr>
        <w:t xml:space="preserve"> وعليه غرمه. غنمه زيادته ونماؤه وفاضل قيمته.</w:t>
      </w:r>
      <w:r w:rsidR="00D56E89" w:rsidRPr="00282AC9">
        <w:rPr>
          <w:rFonts w:hint="cs"/>
          <w:rtl/>
        </w:rPr>
        <w:t>.</w:t>
      </w:r>
      <w:r w:rsidR="00D56E89" w:rsidRPr="00282AC9">
        <w:rPr>
          <w:rtl/>
        </w:rPr>
        <w:t>.</w:t>
      </w:r>
    </w:p>
    <w:p w:rsidR="00D56E89" w:rsidRPr="00282AC9" w:rsidRDefault="00D56E89" w:rsidP="00186251">
      <w:pPr>
        <w:rPr>
          <w:rtl/>
        </w:rPr>
      </w:pPr>
      <w:r w:rsidRPr="00282AC9">
        <w:rPr>
          <w:rFonts w:hint="cs"/>
          <w:rtl/>
        </w:rPr>
        <w:t>و</w:t>
      </w:r>
      <w:r w:rsidR="00946A76" w:rsidRPr="00282AC9">
        <w:rPr>
          <w:rtl/>
        </w:rPr>
        <w:t>قال الأزهري(370</w:t>
      </w:r>
      <w:r w:rsidR="00946A76" w:rsidRPr="00282AC9">
        <w:rPr>
          <w:rFonts w:hint="cs"/>
          <w:rtl/>
        </w:rPr>
        <w:t>هـ</w:t>
      </w:r>
      <w:r w:rsidR="00946A76" w:rsidRPr="00282AC9">
        <w:rPr>
          <w:rtl/>
        </w:rPr>
        <w:t>)</w:t>
      </w:r>
      <w:r w:rsidRPr="00282AC9">
        <w:rPr>
          <w:rFonts w:hint="cs"/>
          <w:rtl/>
        </w:rPr>
        <w:t>:</w:t>
      </w:r>
      <w:r w:rsidR="00946A76" w:rsidRPr="00282AC9">
        <w:rPr>
          <w:rtl/>
        </w:rPr>
        <w:t xml:space="preserve"> الغنيمة ما أوجف عليه المسلمون بخ</w:t>
      </w:r>
      <w:r w:rsidRPr="00282AC9">
        <w:rPr>
          <w:rFonts w:hint="cs"/>
          <w:rtl/>
        </w:rPr>
        <w:t>َ</w:t>
      </w:r>
      <w:r w:rsidR="00946A76" w:rsidRPr="00282AC9">
        <w:rPr>
          <w:rtl/>
        </w:rPr>
        <w:t>ي</w:t>
      </w:r>
      <w:r w:rsidRPr="00282AC9">
        <w:rPr>
          <w:rFonts w:hint="cs"/>
          <w:rtl/>
        </w:rPr>
        <w:t>ْ</w:t>
      </w:r>
      <w:r w:rsidR="00946A76" w:rsidRPr="00282AC9">
        <w:rPr>
          <w:rtl/>
        </w:rPr>
        <w:t>لهم وركابهم من أموال المشركين..</w:t>
      </w:r>
      <w:r w:rsidRPr="00282AC9">
        <w:rPr>
          <w:rFonts w:hint="cs"/>
          <w:rtl/>
        </w:rPr>
        <w:t>.</w:t>
      </w:r>
      <w:r w:rsidR="00946A76" w:rsidRPr="00282AC9">
        <w:rPr>
          <w:rtl/>
        </w:rPr>
        <w:t xml:space="preserve"> وفي الحديث: الصوم في الشتاء الغنيمة الباردة، سم</w:t>
      </w:r>
      <w:r w:rsidRPr="00282AC9">
        <w:rPr>
          <w:rFonts w:hint="cs"/>
          <w:rtl/>
        </w:rPr>
        <w:t>ّ</w:t>
      </w:r>
      <w:r w:rsidR="00946A76" w:rsidRPr="00282AC9">
        <w:rPr>
          <w:rtl/>
        </w:rPr>
        <w:t>اه غنيمة لما فيه من الأجر والثواب</w:t>
      </w:r>
      <w:r w:rsidR="00946A76" w:rsidRPr="00282AC9">
        <w:rPr>
          <w:rFonts w:hint="cs"/>
          <w:vertAlign w:val="superscript"/>
          <w:rtl/>
        </w:rPr>
        <w:t>(</w:t>
      </w:r>
      <w:r w:rsidR="00946A76" w:rsidRPr="00282AC9">
        <w:rPr>
          <w:rStyle w:val="af9"/>
          <w:sz w:val="27"/>
          <w:rtl/>
        </w:rPr>
        <w:endnoteReference w:id="413"/>
      </w:r>
      <w:r w:rsidR="00946A76" w:rsidRPr="00282AC9">
        <w:rPr>
          <w:rFonts w:hint="cs"/>
          <w:vertAlign w:val="superscript"/>
          <w:rtl/>
        </w:rPr>
        <w:t>)</w:t>
      </w:r>
      <w:r w:rsidRPr="00282AC9">
        <w:rPr>
          <w:rFonts w:hint="cs"/>
          <w:rtl/>
        </w:rPr>
        <w:t>.</w:t>
      </w:r>
    </w:p>
    <w:p w:rsidR="00D56E89" w:rsidRPr="00282AC9" w:rsidRDefault="00946A76" w:rsidP="00186251">
      <w:pPr>
        <w:rPr>
          <w:rtl/>
        </w:rPr>
      </w:pPr>
      <w:r w:rsidRPr="00282AC9">
        <w:rPr>
          <w:rFonts w:hint="cs"/>
          <w:rtl/>
        </w:rPr>
        <w:t>و</w:t>
      </w:r>
      <w:r w:rsidRPr="00282AC9">
        <w:rPr>
          <w:rtl/>
        </w:rPr>
        <w:t>لم تبتعد مصادر مفردات القرآن الكريم عم</w:t>
      </w:r>
      <w:r w:rsidR="00D56E89" w:rsidRPr="00282AC9">
        <w:rPr>
          <w:rFonts w:hint="cs"/>
          <w:rtl/>
        </w:rPr>
        <w:t>ّ</w:t>
      </w:r>
      <w:r w:rsidRPr="00282AC9">
        <w:rPr>
          <w:rtl/>
        </w:rPr>
        <w:t>ا ذكره اللغوي</w:t>
      </w:r>
      <w:r w:rsidR="00D56E89" w:rsidRPr="00282AC9">
        <w:rPr>
          <w:rFonts w:hint="cs"/>
          <w:rtl/>
        </w:rPr>
        <w:t>ّ</w:t>
      </w:r>
      <w:r w:rsidRPr="00282AC9">
        <w:rPr>
          <w:rtl/>
        </w:rPr>
        <w:t>و</w:t>
      </w:r>
      <w:r w:rsidRPr="00282AC9">
        <w:rPr>
          <w:rFonts w:hint="cs"/>
          <w:rtl/>
        </w:rPr>
        <w:t>ن</w:t>
      </w:r>
      <w:r w:rsidR="00D56E89" w:rsidRPr="00282AC9">
        <w:rPr>
          <w:rtl/>
        </w:rPr>
        <w:t>.</w:t>
      </w:r>
    </w:p>
    <w:p w:rsidR="00946A76" w:rsidRPr="00282AC9" w:rsidRDefault="00D56E89" w:rsidP="00186251">
      <w:pPr>
        <w:rPr>
          <w:rtl/>
        </w:rPr>
      </w:pPr>
      <w:r w:rsidRPr="00282AC9">
        <w:rPr>
          <w:rFonts w:hint="cs"/>
          <w:rtl/>
        </w:rPr>
        <w:t>و</w:t>
      </w:r>
      <w:r w:rsidRPr="00282AC9">
        <w:rPr>
          <w:rtl/>
        </w:rPr>
        <w:t>قال الراغب</w:t>
      </w:r>
      <w:r w:rsidR="00946A76" w:rsidRPr="00282AC9">
        <w:rPr>
          <w:rtl/>
        </w:rPr>
        <w:t>(502</w:t>
      </w:r>
      <w:r w:rsidR="00946A76" w:rsidRPr="00282AC9">
        <w:rPr>
          <w:rFonts w:hint="cs"/>
          <w:rtl/>
        </w:rPr>
        <w:t>هـ</w:t>
      </w:r>
      <w:r w:rsidR="00946A76" w:rsidRPr="00282AC9">
        <w:rPr>
          <w:rtl/>
        </w:rPr>
        <w:t>): والغنم إصابته والظفر به</w:t>
      </w:r>
      <w:r w:rsidRPr="00282AC9">
        <w:rPr>
          <w:rFonts w:hint="cs"/>
          <w:rtl/>
        </w:rPr>
        <w:t>.</w:t>
      </w:r>
      <w:r w:rsidR="00946A76" w:rsidRPr="00282AC9">
        <w:rPr>
          <w:rtl/>
        </w:rPr>
        <w:t xml:space="preserve"> ثم استعمل في كل</w:t>
      </w:r>
      <w:r w:rsidRPr="00282AC9">
        <w:rPr>
          <w:rFonts w:hint="cs"/>
          <w:rtl/>
        </w:rPr>
        <w:t>ّ</w:t>
      </w:r>
      <w:r w:rsidR="00946A76" w:rsidRPr="00282AC9">
        <w:rPr>
          <w:rtl/>
        </w:rPr>
        <w:t xml:space="preserve"> مظفور</w:t>
      </w:r>
      <w:r w:rsidRPr="00282AC9">
        <w:rPr>
          <w:rFonts w:hint="cs"/>
          <w:rtl/>
        </w:rPr>
        <w:t>ٍ</w:t>
      </w:r>
      <w:r w:rsidR="00946A76" w:rsidRPr="00282AC9">
        <w:rPr>
          <w:rtl/>
        </w:rPr>
        <w:t xml:space="preserve"> به من جهة الع</w:t>
      </w:r>
      <w:r w:rsidRPr="00282AC9">
        <w:rPr>
          <w:rFonts w:hint="cs"/>
          <w:rtl/>
        </w:rPr>
        <w:t>ِ</w:t>
      </w:r>
      <w:r w:rsidR="00946A76" w:rsidRPr="00282AC9">
        <w:rPr>
          <w:rtl/>
        </w:rPr>
        <w:t>دى وغيرهم</w:t>
      </w:r>
      <w:r w:rsidRPr="00282AC9">
        <w:rPr>
          <w:rFonts w:hint="cs"/>
          <w:rtl/>
        </w:rPr>
        <w:t>.</w:t>
      </w:r>
      <w:r w:rsidR="00946A76" w:rsidRPr="00282AC9">
        <w:rPr>
          <w:rtl/>
        </w:rPr>
        <w:t xml:space="preserve"> قال: </w:t>
      </w:r>
      <w:r w:rsidRPr="00282AC9">
        <w:rPr>
          <w:rFonts w:ascii="Mosawi" w:hAnsi="Mosawi" w:cs="Mosawi"/>
          <w:sz w:val="24"/>
          <w:szCs w:val="24"/>
          <w:rtl/>
        </w:rPr>
        <w:t>﴿</w:t>
      </w:r>
      <w:r w:rsidRPr="00282AC9">
        <w:rPr>
          <w:b/>
          <w:bCs/>
          <w:sz w:val="27"/>
          <w:rtl/>
        </w:rPr>
        <w:t>وَاعْلَمُوا أَنَّ</w:t>
      </w:r>
      <w:r w:rsidRPr="00282AC9">
        <w:rPr>
          <w:rFonts w:hint="cs"/>
          <w:b/>
          <w:bCs/>
          <w:sz w:val="27"/>
          <w:rtl/>
        </w:rPr>
        <w:t xml:space="preserve"> </w:t>
      </w:r>
      <w:r w:rsidRPr="00282AC9">
        <w:rPr>
          <w:b/>
          <w:bCs/>
          <w:sz w:val="27"/>
          <w:rtl/>
        </w:rPr>
        <w:t>مَا غَنِمْتُمْ مِنْ شَيْءٍ</w:t>
      </w:r>
      <w:r w:rsidRPr="00282AC9">
        <w:rPr>
          <w:rFonts w:ascii="Mosawi" w:hAnsi="Mosawi" w:cs="Mosawi"/>
          <w:sz w:val="24"/>
          <w:szCs w:val="24"/>
          <w:rtl/>
        </w:rPr>
        <w:t>﴾</w:t>
      </w:r>
      <w:r w:rsidRPr="00282AC9">
        <w:rPr>
          <w:rFonts w:hint="cs"/>
          <w:rtl/>
        </w:rPr>
        <w:t>.</w:t>
      </w:r>
      <w:r w:rsidR="00946A76" w:rsidRPr="00282AC9">
        <w:rPr>
          <w:rtl/>
        </w:rPr>
        <w:t xml:space="preserve"> والمغنم ما يغنم</w:t>
      </w:r>
      <w:r w:rsidRPr="00282AC9">
        <w:rPr>
          <w:rFonts w:hint="cs"/>
          <w:rtl/>
        </w:rPr>
        <w:t>،</w:t>
      </w:r>
      <w:r w:rsidR="00946A76" w:rsidRPr="00282AC9">
        <w:rPr>
          <w:rtl/>
        </w:rPr>
        <w:t xml:space="preserve"> وجمعه</w:t>
      </w:r>
      <w:r w:rsidRPr="00282AC9">
        <w:rPr>
          <w:rFonts w:hint="cs"/>
          <w:rtl/>
        </w:rPr>
        <w:t>:</w:t>
      </w:r>
      <w:r w:rsidR="00946A76" w:rsidRPr="00282AC9">
        <w:rPr>
          <w:rtl/>
        </w:rPr>
        <w:t xml:space="preserve"> مغانم، قال: </w:t>
      </w:r>
      <w:r w:rsidRPr="00282AC9">
        <w:rPr>
          <w:rFonts w:ascii="Mosawi" w:hAnsi="Mosawi" w:cs="Mosawi"/>
          <w:sz w:val="24"/>
          <w:szCs w:val="24"/>
          <w:rtl/>
        </w:rPr>
        <w:t>﴿</w:t>
      </w:r>
      <w:r w:rsidRPr="00282AC9">
        <w:rPr>
          <w:b/>
          <w:bCs/>
          <w:sz w:val="27"/>
          <w:rtl/>
        </w:rPr>
        <w:t>فَعِنْدَ اللهِ مَغَانِمُ كَثِيرَةٌ</w:t>
      </w:r>
      <w:r w:rsidRPr="00282AC9">
        <w:rPr>
          <w:rFonts w:ascii="Mosawi" w:hAnsi="Mosawi" w:cs="Mosawi"/>
          <w:sz w:val="24"/>
          <w:szCs w:val="24"/>
          <w:rtl/>
        </w:rPr>
        <w:t>﴾</w:t>
      </w:r>
      <w:r w:rsidR="00946A76" w:rsidRPr="00282AC9">
        <w:rPr>
          <w:rFonts w:hint="cs"/>
          <w:vertAlign w:val="superscript"/>
          <w:rtl/>
        </w:rPr>
        <w:t>(</w:t>
      </w:r>
      <w:r w:rsidR="00946A76" w:rsidRPr="00282AC9">
        <w:rPr>
          <w:rStyle w:val="af9"/>
          <w:sz w:val="27"/>
          <w:rtl/>
        </w:rPr>
        <w:endnoteReference w:id="414"/>
      </w:r>
      <w:r w:rsidR="00946A76" w:rsidRPr="00282AC9">
        <w:rPr>
          <w:rFonts w:hint="cs"/>
          <w:vertAlign w:val="superscript"/>
          <w:rtl/>
        </w:rPr>
        <w:t>)</w:t>
      </w:r>
      <w:r w:rsidRPr="00282AC9">
        <w:rPr>
          <w:rFonts w:hint="cs"/>
          <w:rtl/>
        </w:rPr>
        <w:t>.</w:t>
      </w:r>
    </w:p>
    <w:p w:rsidR="00946A76" w:rsidRPr="00282AC9" w:rsidRDefault="00946A76" w:rsidP="00186251">
      <w:pPr>
        <w:rPr>
          <w:bCs/>
          <w:rtl/>
        </w:rPr>
      </w:pPr>
      <w:r w:rsidRPr="00282AC9">
        <w:rPr>
          <w:rtl/>
        </w:rPr>
        <w:lastRenderedPageBreak/>
        <w:t>وح</w:t>
      </w:r>
      <w:r w:rsidR="00D56E89" w:rsidRPr="00282AC9">
        <w:rPr>
          <w:rFonts w:hint="cs"/>
          <w:rtl/>
        </w:rPr>
        <w:t>َ</w:t>
      </w:r>
      <w:r w:rsidRPr="00282AC9">
        <w:rPr>
          <w:rtl/>
        </w:rPr>
        <w:t>س</w:t>
      </w:r>
      <w:r w:rsidR="00D56E89" w:rsidRPr="00282AC9">
        <w:rPr>
          <w:rFonts w:hint="cs"/>
          <w:rtl/>
        </w:rPr>
        <w:t>ْ</w:t>
      </w:r>
      <w:r w:rsidRPr="00282AC9">
        <w:rPr>
          <w:rtl/>
        </w:rPr>
        <w:t>ب الطريحي(1085</w:t>
      </w:r>
      <w:r w:rsidRPr="00282AC9">
        <w:rPr>
          <w:rFonts w:hint="cs"/>
          <w:rtl/>
        </w:rPr>
        <w:t>هـ</w:t>
      </w:r>
      <w:r w:rsidRPr="00282AC9">
        <w:rPr>
          <w:rtl/>
        </w:rPr>
        <w:t>)</w:t>
      </w:r>
      <w:r w:rsidR="00D56E89" w:rsidRPr="00282AC9">
        <w:rPr>
          <w:rFonts w:hint="cs"/>
          <w:rtl/>
        </w:rPr>
        <w:t>:</w:t>
      </w:r>
      <w:r w:rsidRPr="00282AC9">
        <w:rPr>
          <w:rtl/>
        </w:rPr>
        <w:t xml:space="preserve"> الغنيمة في الأصل هي الفائدة المكتسبة</w:t>
      </w:r>
      <w:r w:rsidR="005F62BB" w:rsidRPr="00282AC9">
        <w:rPr>
          <w:rFonts w:hint="cs"/>
          <w:rtl/>
        </w:rPr>
        <w:t>.</w:t>
      </w:r>
      <w:r w:rsidRPr="00282AC9">
        <w:rPr>
          <w:rtl/>
        </w:rPr>
        <w:t xml:space="preserve"> ولكن</w:t>
      </w:r>
      <w:r w:rsidR="005F62BB" w:rsidRPr="00282AC9">
        <w:rPr>
          <w:rFonts w:hint="cs"/>
          <w:rtl/>
        </w:rPr>
        <w:t>ْ</w:t>
      </w:r>
      <w:r w:rsidRPr="00282AC9">
        <w:rPr>
          <w:rtl/>
        </w:rPr>
        <w:t xml:space="preserve"> اصطلح جماعة</w:t>
      </w:r>
      <w:r w:rsidR="00D56E89" w:rsidRPr="00282AC9">
        <w:rPr>
          <w:rFonts w:hint="cs"/>
          <w:rtl/>
        </w:rPr>
        <w:t>ٌ</w:t>
      </w:r>
      <w:r w:rsidRPr="00282AC9">
        <w:rPr>
          <w:rtl/>
        </w:rPr>
        <w:t xml:space="preserve"> على ما أخذ من الكف</w:t>
      </w:r>
      <w:r w:rsidR="00D56E89" w:rsidRPr="00282AC9">
        <w:rPr>
          <w:rFonts w:hint="cs"/>
          <w:rtl/>
        </w:rPr>
        <w:t>ّ</w:t>
      </w:r>
      <w:r w:rsidRPr="00282AC9">
        <w:rPr>
          <w:rtl/>
        </w:rPr>
        <w:t>ار، إن</w:t>
      </w:r>
      <w:r w:rsidR="00D56E89" w:rsidRPr="00282AC9">
        <w:rPr>
          <w:rFonts w:hint="cs"/>
          <w:rtl/>
        </w:rPr>
        <w:t>ْ</w:t>
      </w:r>
      <w:r w:rsidRPr="00282AC9">
        <w:rPr>
          <w:rtl/>
        </w:rPr>
        <w:t xml:space="preserve"> كان من غير قتال</w:t>
      </w:r>
      <w:r w:rsidR="00D56E89" w:rsidRPr="00282AC9">
        <w:rPr>
          <w:rFonts w:hint="cs"/>
          <w:rtl/>
        </w:rPr>
        <w:t>ٍ</w:t>
      </w:r>
      <w:r w:rsidRPr="00282AC9">
        <w:rPr>
          <w:rtl/>
        </w:rPr>
        <w:t xml:space="preserve"> فهو الف</w:t>
      </w:r>
      <w:r w:rsidR="005F62BB" w:rsidRPr="00282AC9">
        <w:rPr>
          <w:rFonts w:hint="cs"/>
          <w:rtl/>
        </w:rPr>
        <w:t>َ</w:t>
      </w:r>
      <w:r w:rsidRPr="00282AC9">
        <w:rPr>
          <w:rtl/>
        </w:rPr>
        <w:t>ي</w:t>
      </w:r>
      <w:r w:rsidR="005F62BB" w:rsidRPr="00282AC9">
        <w:rPr>
          <w:rFonts w:hint="cs"/>
          <w:rtl/>
        </w:rPr>
        <w:t>ْء</w:t>
      </w:r>
      <w:r w:rsidR="00D56E89" w:rsidRPr="00282AC9">
        <w:rPr>
          <w:rFonts w:hint="cs"/>
          <w:rtl/>
        </w:rPr>
        <w:t>،</w:t>
      </w:r>
      <w:r w:rsidRPr="00282AC9">
        <w:rPr>
          <w:rtl/>
        </w:rPr>
        <w:t xml:space="preserve"> وإن</w:t>
      </w:r>
      <w:r w:rsidR="005F62BB" w:rsidRPr="00282AC9">
        <w:rPr>
          <w:rFonts w:hint="cs"/>
          <w:rtl/>
        </w:rPr>
        <w:t>ْ</w:t>
      </w:r>
      <w:r w:rsidRPr="00282AC9">
        <w:rPr>
          <w:rtl/>
        </w:rPr>
        <w:t xml:space="preserve"> كان مع القتال فهو غنيمة</w:t>
      </w:r>
      <w:r w:rsidR="005F62BB" w:rsidRPr="00282AC9">
        <w:rPr>
          <w:rFonts w:hint="cs"/>
          <w:rtl/>
        </w:rPr>
        <w:t>ٌ</w:t>
      </w:r>
      <w:r w:rsidRPr="00282AC9">
        <w:rPr>
          <w:rFonts w:hint="cs"/>
          <w:vertAlign w:val="superscript"/>
          <w:rtl/>
        </w:rPr>
        <w:t>(</w:t>
      </w:r>
      <w:r w:rsidRPr="00282AC9">
        <w:rPr>
          <w:rStyle w:val="af9"/>
          <w:b/>
          <w:sz w:val="27"/>
          <w:rtl/>
        </w:rPr>
        <w:endnoteReference w:id="415"/>
      </w:r>
      <w:r w:rsidRPr="00282AC9">
        <w:rPr>
          <w:rFonts w:hint="cs"/>
          <w:vertAlign w:val="superscript"/>
          <w:rtl/>
        </w:rPr>
        <w:t>)</w:t>
      </w:r>
      <w:r w:rsidR="005F62BB" w:rsidRPr="00282AC9">
        <w:rPr>
          <w:rFonts w:hint="cs"/>
          <w:b/>
          <w:rtl/>
        </w:rPr>
        <w:t>.</w:t>
      </w:r>
    </w:p>
    <w:p w:rsidR="005F62BB" w:rsidRPr="00282AC9" w:rsidRDefault="00946A76" w:rsidP="00186251">
      <w:pPr>
        <w:rPr>
          <w:rtl/>
        </w:rPr>
      </w:pPr>
      <w:r w:rsidRPr="00282AC9">
        <w:rPr>
          <w:rtl/>
        </w:rPr>
        <w:t>ومثل ذلك جاء في المصادر المختص</w:t>
      </w:r>
      <w:r w:rsidR="005F62BB" w:rsidRPr="00282AC9">
        <w:rPr>
          <w:rFonts w:hint="cs"/>
          <w:rtl/>
        </w:rPr>
        <w:t>ّ</w:t>
      </w:r>
      <w:r w:rsidR="005F62BB" w:rsidRPr="00282AC9">
        <w:rPr>
          <w:rtl/>
        </w:rPr>
        <w:t>ة بغريب الحديث.</w:t>
      </w:r>
    </w:p>
    <w:p w:rsidR="00946A76" w:rsidRPr="00282AC9" w:rsidRDefault="00946A76" w:rsidP="00186251">
      <w:pPr>
        <w:rPr>
          <w:bCs/>
          <w:rtl/>
        </w:rPr>
      </w:pPr>
      <w:r w:rsidRPr="00282AC9">
        <w:rPr>
          <w:rtl/>
        </w:rPr>
        <w:t>ذكر ابن قتيبة(276</w:t>
      </w:r>
      <w:r w:rsidRPr="00282AC9">
        <w:rPr>
          <w:rFonts w:hint="cs"/>
          <w:rtl/>
        </w:rPr>
        <w:t>هـ</w:t>
      </w:r>
      <w:r w:rsidRPr="00282AC9">
        <w:rPr>
          <w:rtl/>
        </w:rPr>
        <w:t>) أن الغنيمة ما غنمه المسلمون من أرض العدو</w:t>
      </w:r>
      <w:r w:rsidR="005F62BB" w:rsidRPr="00282AC9">
        <w:rPr>
          <w:rFonts w:hint="cs"/>
          <w:rtl/>
        </w:rPr>
        <w:t>ّ،</w:t>
      </w:r>
      <w:r w:rsidRPr="00282AC9">
        <w:rPr>
          <w:rtl/>
        </w:rPr>
        <w:t xml:space="preserve"> وعن حرب</w:t>
      </w:r>
      <w:r w:rsidR="005F62BB" w:rsidRPr="00282AC9">
        <w:rPr>
          <w:rFonts w:hint="cs"/>
          <w:rtl/>
        </w:rPr>
        <w:t>ٍ</w:t>
      </w:r>
      <w:r w:rsidRPr="00282AC9">
        <w:rPr>
          <w:rtl/>
        </w:rPr>
        <w:t xml:space="preserve"> تكون بينهم</w:t>
      </w:r>
      <w:r w:rsidR="005F62BB" w:rsidRPr="00282AC9">
        <w:rPr>
          <w:rFonts w:hint="cs"/>
          <w:rtl/>
        </w:rPr>
        <w:t>،</w:t>
      </w:r>
      <w:r w:rsidRPr="00282AC9">
        <w:rPr>
          <w:rtl/>
        </w:rPr>
        <w:t xml:space="preserve"> فهي لم</w:t>
      </w:r>
      <w:r w:rsidR="005F62BB" w:rsidRPr="00282AC9">
        <w:rPr>
          <w:rFonts w:hint="cs"/>
          <w:rtl/>
        </w:rPr>
        <w:t>َ</w:t>
      </w:r>
      <w:r w:rsidRPr="00282AC9">
        <w:rPr>
          <w:rtl/>
        </w:rPr>
        <w:t>ن</w:t>
      </w:r>
      <w:r w:rsidR="005F62BB" w:rsidRPr="00282AC9">
        <w:rPr>
          <w:rFonts w:hint="cs"/>
          <w:rtl/>
        </w:rPr>
        <w:t>ْ</w:t>
      </w:r>
      <w:r w:rsidRPr="00282AC9">
        <w:rPr>
          <w:rtl/>
        </w:rPr>
        <w:t xml:space="preserve"> غنمها</w:t>
      </w:r>
      <w:r w:rsidR="005F62BB" w:rsidRPr="00282AC9">
        <w:rPr>
          <w:rFonts w:hint="cs"/>
          <w:rtl/>
        </w:rPr>
        <w:t>،</w:t>
      </w:r>
      <w:r w:rsidRPr="00282AC9">
        <w:rPr>
          <w:rtl/>
        </w:rPr>
        <w:t xml:space="preserve"> إلا</w:t>
      </w:r>
      <w:r w:rsidR="005F62BB" w:rsidRPr="00282AC9">
        <w:rPr>
          <w:rFonts w:hint="cs"/>
          <w:rtl/>
        </w:rPr>
        <w:t>ّ</w:t>
      </w:r>
      <w:r w:rsidRPr="00282AC9">
        <w:rPr>
          <w:rtl/>
        </w:rPr>
        <w:t xml:space="preserve"> الخمس. وأضاف: وأصل الغنيمة والغنم في اللغة الربح والفضل</w:t>
      </w:r>
      <w:r w:rsidR="005F62BB" w:rsidRPr="00282AC9">
        <w:rPr>
          <w:rFonts w:hint="cs"/>
          <w:rtl/>
        </w:rPr>
        <w:t>،</w:t>
      </w:r>
      <w:r w:rsidRPr="00282AC9">
        <w:rPr>
          <w:rtl/>
        </w:rPr>
        <w:t xml:space="preserve"> ومنه قيل في الرهن: له غنمه</w:t>
      </w:r>
      <w:r w:rsidR="005F62BB" w:rsidRPr="00282AC9">
        <w:rPr>
          <w:rFonts w:hint="cs"/>
          <w:rtl/>
        </w:rPr>
        <w:t>،</w:t>
      </w:r>
      <w:r w:rsidRPr="00282AC9">
        <w:rPr>
          <w:rtl/>
        </w:rPr>
        <w:t xml:space="preserve"> وعليه غرمه</w:t>
      </w:r>
      <w:r w:rsidR="005F62BB" w:rsidRPr="00282AC9">
        <w:rPr>
          <w:rFonts w:hint="cs"/>
          <w:rtl/>
        </w:rPr>
        <w:t>،</w:t>
      </w:r>
      <w:r w:rsidRPr="00282AC9">
        <w:rPr>
          <w:rtl/>
        </w:rPr>
        <w:t xml:space="preserve"> أي</w:t>
      </w:r>
      <w:r w:rsidR="005F62BB" w:rsidRPr="00282AC9">
        <w:rPr>
          <w:rFonts w:hint="cs"/>
          <w:rtl/>
        </w:rPr>
        <w:t>:</w:t>
      </w:r>
      <w:r w:rsidRPr="00282AC9">
        <w:rPr>
          <w:rtl/>
        </w:rPr>
        <w:t xml:space="preserve"> فضله للراهن</w:t>
      </w:r>
      <w:r w:rsidR="005F62BB" w:rsidRPr="00282AC9">
        <w:rPr>
          <w:rFonts w:hint="cs"/>
          <w:rtl/>
        </w:rPr>
        <w:t>،</w:t>
      </w:r>
      <w:r w:rsidRPr="00282AC9">
        <w:rPr>
          <w:rtl/>
        </w:rPr>
        <w:t xml:space="preserve"> ونقصانه عليه</w:t>
      </w:r>
      <w:r w:rsidRPr="00282AC9">
        <w:rPr>
          <w:rFonts w:hint="cs"/>
          <w:vertAlign w:val="superscript"/>
          <w:rtl/>
        </w:rPr>
        <w:t>(</w:t>
      </w:r>
      <w:r w:rsidRPr="00282AC9">
        <w:rPr>
          <w:rStyle w:val="af9"/>
          <w:b/>
          <w:sz w:val="27"/>
          <w:rtl/>
        </w:rPr>
        <w:endnoteReference w:id="416"/>
      </w:r>
      <w:r w:rsidRPr="00282AC9">
        <w:rPr>
          <w:rFonts w:hint="cs"/>
          <w:vertAlign w:val="superscript"/>
          <w:rtl/>
        </w:rPr>
        <w:t>)</w:t>
      </w:r>
      <w:r w:rsidR="005F62BB" w:rsidRPr="00282AC9">
        <w:rPr>
          <w:rFonts w:hint="cs"/>
          <w:b/>
          <w:rtl/>
        </w:rPr>
        <w:t>.</w:t>
      </w:r>
    </w:p>
    <w:p w:rsidR="00946A76" w:rsidRPr="00282AC9" w:rsidRDefault="00946A76" w:rsidP="00186251">
      <w:pPr>
        <w:rPr>
          <w:bCs/>
          <w:rtl/>
        </w:rPr>
      </w:pPr>
      <w:r w:rsidRPr="00282AC9">
        <w:rPr>
          <w:rtl/>
        </w:rPr>
        <w:t>وح</w:t>
      </w:r>
      <w:r w:rsidR="005F62BB" w:rsidRPr="00282AC9">
        <w:rPr>
          <w:rFonts w:hint="cs"/>
          <w:rtl/>
        </w:rPr>
        <w:t>َ</w:t>
      </w:r>
      <w:r w:rsidRPr="00282AC9">
        <w:rPr>
          <w:rtl/>
        </w:rPr>
        <w:t>س</w:t>
      </w:r>
      <w:r w:rsidR="005F62BB" w:rsidRPr="00282AC9">
        <w:rPr>
          <w:rFonts w:hint="cs"/>
          <w:rtl/>
        </w:rPr>
        <w:t>ْ</w:t>
      </w:r>
      <w:r w:rsidRPr="00282AC9">
        <w:rPr>
          <w:rtl/>
        </w:rPr>
        <w:t xml:space="preserve">ب ابن </w:t>
      </w:r>
      <w:r w:rsidR="005F62BB" w:rsidRPr="00282AC9">
        <w:rPr>
          <w:rFonts w:hint="cs"/>
          <w:rtl/>
        </w:rPr>
        <w:t>ا</w:t>
      </w:r>
      <w:r w:rsidRPr="00282AC9">
        <w:rPr>
          <w:rtl/>
        </w:rPr>
        <w:t>لأثير(606</w:t>
      </w:r>
      <w:r w:rsidRPr="00282AC9">
        <w:rPr>
          <w:rFonts w:hint="cs"/>
          <w:rtl/>
        </w:rPr>
        <w:t>هـ</w:t>
      </w:r>
      <w:r w:rsidRPr="00282AC9">
        <w:rPr>
          <w:rtl/>
        </w:rPr>
        <w:t>): الغنيمة والغنم والمغنم والغنائم</w:t>
      </w:r>
      <w:r w:rsidR="005F62BB" w:rsidRPr="00282AC9">
        <w:rPr>
          <w:rFonts w:hint="cs"/>
          <w:rtl/>
        </w:rPr>
        <w:t>،</w:t>
      </w:r>
      <w:r w:rsidRPr="00282AC9">
        <w:rPr>
          <w:rtl/>
        </w:rPr>
        <w:t xml:space="preserve"> وهو ما أصيب من أموال أهل الحرب</w:t>
      </w:r>
      <w:r w:rsidR="005F62BB" w:rsidRPr="00282AC9">
        <w:rPr>
          <w:rFonts w:hint="cs"/>
          <w:rtl/>
        </w:rPr>
        <w:t>،</w:t>
      </w:r>
      <w:r w:rsidRPr="00282AC9">
        <w:rPr>
          <w:rtl/>
        </w:rPr>
        <w:t xml:space="preserve"> وأوجف عليه المسلمون بالخيل والركاب. ي</w:t>
      </w:r>
      <w:r w:rsidR="005F62BB" w:rsidRPr="00282AC9">
        <w:rPr>
          <w:rFonts w:hint="cs"/>
          <w:rtl/>
        </w:rPr>
        <w:t>ُ</w:t>
      </w:r>
      <w:r w:rsidRPr="00282AC9">
        <w:rPr>
          <w:rtl/>
        </w:rPr>
        <w:t>قال</w:t>
      </w:r>
      <w:r w:rsidR="005F62BB" w:rsidRPr="00282AC9">
        <w:rPr>
          <w:rFonts w:hint="cs"/>
          <w:rtl/>
        </w:rPr>
        <w:t>:</w:t>
      </w:r>
      <w:r w:rsidRPr="00282AC9">
        <w:rPr>
          <w:rtl/>
        </w:rPr>
        <w:t xml:space="preserve"> غنمت أغنم غنما</w:t>
      </w:r>
      <w:r w:rsidR="005F62BB" w:rsidRPr="00282AC9">
        <w:rPr>
          <w:rFonts w:hint="cs"/>
          <w:rtl/>
        </w:rPr>
        <w:t>ً</w:t>
      </w:r>
      <w:r w:rsidRPr="00282AC9">
        <w:rPr>
          <w:rtl/>
        </w:rPr>
        <w:t xml:space="preserve"> وغنيمة</w:t>
      </w:r>
      <w:r w:rsidR="005F62BB" w:rsidRPr="00282AC9">
        <w:rPr>
          <w:rFonts w:hint="cs"/>
          <w:rtl/>
        </w:rPr>
        <w:t>،</w:t>
      </w:r>
      <w:r w:rsidRPr="00282AC9">
        <w:rPr>
          <w:rtl/>
        </w:rPr>
        <w:t xml:space="preserve"> والغنائم جمعها</w:t>
      </w:r>
      <w:r w:rsidR="005F62BB" w:rsidRPr="00282AC9">
        <w:rPr>
          <w:rFonts w:hint="cs"/>
          <w:rtl/>
        </w:rPr>
        <w:t>،</w:t>
      </w:r>
      <w:r w:rsidRPr="00282AC9">
        <w:rPr>
          <w:rtl/>
        </w:rPr>
        <w:t xml:space="preserve"> والمغانم جمع مغنم...</w:t>
      </w:r>
      <w:r w:rsidRPr="00282AC9">
        <w:rPr>
          <w:rFonts w:hint="cs"/>
          <w:rtl/>
        </w:rPr>
        <w:t xml:space="preserve"> </w:t>
      </w:r>
      <w:r w:rsidRPr="00282AC9">
        <w:rPr>
          <w:rtl/>
        </w:rPr>
        <w:t xml:space="preserve">ومنه الحديث: </w:t>
      </w:r>
      <w:r w:rsidRPr="00282AC9">
        <w:rPr>
          <w:rFonts w:hint="eastAsia"/>
          <w:sz w:val="24"/>
          <w:szCs w:val="24"/>
          <w:rtl/>
        </w:rPr>
        <w:t>«</w:t>
      </w:r>
      <w:r w:rsidRPr="00282AC9">
        <w:rPr>
          <w:rtl/>
        </w:rPr>
        <w:t>الصوم في الشتاء الغنيمة الباردة</w:t>
      </w:r>
      <w:r w:rsidRPr="00282AC9">
        <w:rPr>
          <w:rFonts w:hint="eastAsia"/>
          <w:sz w:val="24"/>
          <w:szCs w:val="24"/>
          <w:rtl/>
        </w:rPr>
        <w:t>»</w:t>
      </w:r>
      <w:r w:rsidRPr="00282AC9">
        <w:rPr>
          <w:rFonts w:hint="cs"/>
          <w:rtl/>
        </w:rPr>
        <w:t xml:space="preserve"> </w:t>
      </w:r>
      <w:r w:rsidRPr="00282AC9">
        <w:rPr>
          <w:rtl/>
        </w:rPr>
        <w:t>وإنما سم</w:t>
      </w:r>
      <w:r w:rsidR="005F62BB" w:rsidRPr="00282AC9">
        <w:rPr>
          <w:rFonts w:hint="cs"/>
          <w:rtl/>
        </w:rPr>
        <w:t>ّ</w:t>
      </w:r>
      <w:r w:rsidRPr="00282AC9">
        <w:rPr>
          <w:rtl/>
        </w:rPr>
        <w:t xml:space="preserve">اه غنيمة لما فيه من الأجر والثواب. ومنه الحديث: </w:t>
      </w:r>
      <w:r w:rsidRPr="00282AC9">
        <w:rPr>
          <w:rFonts w:hint="eastAsia"/>
          <w:sz w:val="24"/>
          <w:szCs w:val="24"/>
          <w:rtl/>
        </w:rPr>
        <w:t>«</w:t>
      </w:r>
      <w:r w:rsidRPr="00282AC9">
        <w:rPr>
          <w:rtl/>
        </w:rPr>
        <w:t>الرهن لم</w:t>
      </w:r>
      <w:r w:rsidR="005F62BB" w:rsidRPr="00282AC9">
        <w:rPr>
          <w:rFonts w:hint="cs"/>
          <w:rtl/>
        </w:rPr>
        <w:t>َ</w:t>
      </w:r>
      <w:r w:rsidRPr="00282AC9">
        <w:rPr>
          <w:rtl/>
        </w:rPr>
        <w:t>ن</w:t>
      </w:r>
      <w:r w:rsidR="005F62BB" w:rsidRPr="00282AC9">
        <w:rPr>
          <w:rFonts w:hint="cs"/>
          <w:rtl/>
        </w:rPr>
        <w:t>ْ</w:t>
      </w:r>
      <w:r w:rsidRPr="00282AC9">
        <w:rPr>
          <w:rtl/>
        </w:rPr>
        <w:t xml:space="preserve"> رهنه، له غنمه</w:t>
      </w:r>
      <w:r w:rsidR="005F62BB" w:rsidRPr="00282AC9">
        <w:rPr>
          <w:rFonts w:hint="cs"/>
          <w:rtl/>
        </w:rPr>
        <w:t>،</w:t>
      </w:r>
      <w:r w:rsidRPr="00282AC9">
        <w:rPr>
          <w:rtl/>
        </w:rPr>
        <w:t xml:space="preserve"> وعليه غرمه</w:t>
      </w:r>
      <w:r w:rsidRPr="00282AC9">
        <w:rPr>
          <w:rFonts w:hint="eastAsia"/>
          <w:sz w:val="24"/>
          <w:szCs w:val="24"/>
          <w:rtl/>
        </w:rPr>
        <w:t>»</w:t>
      </w:r>
      <w:r w:rsidR="005F62BB" w:rsidRPr="00282AC9">
        <w:rPr>
          <w:rFonts w:hint="cs"/>
          <w:rtl/>
        </w:rPr>
        <w:t>،</w:t>
      </w:r>
      <w:r w:rsidRPr="00282AC9">
        <w:rPr>
          <w:rtl/>
        </w:rPr>
        <w:t xml:space="preserve"> قال</w:t>
      </w:r>
      <w:r w:rsidR="005F62BB" w:rsidRPr="00282AC9">
        <w:rPr>
          <w:rFonts w:hint="cs"/>
          <w:rtl/>
        </w:rPr>
        <w:t>:</w:t>
      </w:r>
      <w:r w:rsidRPr="00282AC9">
        <w:rPr>
          <w:rtl/>
        </w:rPr>
        <w:t xml:space="preserve"> غنمه زيادته ونماؤه وفاضل قيمته</w:t>
      </w:r>
      <w:r w:rsidRPr="00282AC9">
        <w:rPr>
          <w:rFonts w:hint="cs"/>
          <w:vertAlign w:val="superscript"/>
          <w:rtl/>
        </w:rPr>
        <w:t>(</w:t>
      </w:r>
      <w:r w:rsidRPr="00282AC9">
        <w:rPr>
          <w:rStyle w:val="af9"/>
          <w:b/>
          <w:sz w:val="27"/>
          <w:rtl/>
        </w:rPr>
        <w:endnoteReference w:id="417"/>
      </w:r>
      <w:r w:rsidRPr="00282AC9">
        <w:rPr>
          <w:rFonts w:hint="cs"/>
          <w:vertAlign w:val="superscript"/>
          <w:rtl/>
        </w:rPr>
        <w:t>)</w:t>
      </w:r>
      <w:r w:rsidRPr="00282AC9">
        <w:rPr>
          <w:rFonts w:hint="cs"/>
          <w:rtl/>
        </w:rPr>
        <w:t>.</w:t>
      </w:r>
    </w:p>
    <w:p w:rsidR="005F62BB" w:rsidRPr="00282AC9" w:rsidRDefault="00946A76" w:rsidP="00186251">
      <w:pPr>
        <w:rPr>
          <w:rtl/>
        </w:rPr>
      </w:pPr>
      <w:r w:rsidRPr="00282AC9">
        <w:rPr>
          <w:rtl/>
        </w:rPr>
        <w:t>وإذا تأم</w:t>
      </w:r>
      <w:r w:rsidR="005F62BB" w:rsidRPr="00282AC9">
        <w:rPr>
          <w:rFonts w:hint="cs"/>
          <w:rtl/>
        </w:rPr>
        <w:t>َّ</w:t>
      </w:r>
      <w:r w:rsidRPr="00282AC9">
        <w:rPr>
          <w:rtl/>
        </w:rPr>
        <w:t>لنا في كلمات اللغويين والمتخص</w:t>
      </w:r>
      <w:r w:rsidR="005F62BB" w:rsidRPr="00282AC9">
        <w:rPr>
          <w:rFonts w:hint="cs"/>
          <w:rtl/>
        </w:rPr>
        <w:t>ِّ</w:t>
      </w:r>
      <w:r w:rsidRPr="00282AC9">
        <w:rPr>
          <w:rtl/>
        </w:rPr>
        <w:t>صين في مفردات القرآن والحديث السابقة حول مفهوم مادة الغنم نجدهم طرحوا معان</w:t>
      </w:r>
      <w:r w:rsidR="005F62BB" w:rsidRPr="00282AC9">
        <w:rPr>
          <w:rFonts w:hint="cs"/>
          <w:rtl/>
        </w:rPr>
        <w:t>ي</w:t>
      </w:r>
      <w:r w:rsidRPr="00282AC9">
        <w:rPr>
          <w:rtl/>
        </w:rPr>
        <w:t xml:space="preserve"> متفاوتة</w:t>
      </w:r>
      <w:r w:rsidR="005F62BB" w:rsidRPr="00282AC9">
        <w:rPr>
          <w:rFonts w:hint="cs"/>
          <w:rtl/>
        </w:rPr>
        <w:t>ً</w:t>
      </w:r>
      <w:r w:rsidRPr="00282AC9">
        <w:rPr>
          <w:rtl/>
        </w:rPr>
        <w:t xml:space="preserve"> بين العام</w:t>
      </w:r>
      <w:r w:rsidR="005F62BB" w:rsidRPr="00282AC9">
        <w:rPr>
          <w:rFonts w:hint="cs"/>
          <w:rtl/>
        </w:rPr>
        <w:t>ّ</w:t>
      </w:r>
      <w:r w:rsidRPr="00282AC9">
        <w:rPr>
          <w:rtl/>
        </w:rPr>
        <w:t xml:space="preserve"> والخاص</w:t>
      </w:r>
      <w:r w:rsidR="005F62BB" w:rsidRPr="00282AC9">
        <w:rPr>
          <w:rFonts w:hint="cs"/>
          <w:rtl/>
        </w:rPr>
        <w:t>ّ</w:t>
      </w:r>
      <w:r w:rsidR="005F62BB" w:rsidRPr="00282AC9">
        <w:rPr>
          <w:rtl/>
        </w:rPr>
        <w:t>.</w:t>
      </w:r>
    </w:p>
    <w:p w:rsidR="00946A76" w:rsidRPr="00282AC9" w:rsidRDefault="00946A76" w:rsidP="00186251">
      <w:pPr>
        <w:rPr>
          <w:bCs/>
          <w:rtl/>
        </w:rPr>
      </w:pPr>
      <w:r w:rsidRPr="00282AC9">
        <w:rPr>
          <w:rtl/>
        </w:rPr>
        <w:t>وإذا ماي</w:t>
      </w:r>
      <w:r w:rsidR="005F62BB" w:rsidRPr="00282AC9">
        <w:rPr>
          <w:rFonts w:hint="cs"/>
          <w:rtl/>
        </w:rPr>
        <w:t>َ</w:t>
      </w:r>
      <w:r w:rsidRPr="00282AC9">
        <w:rPr>
          <w:rtl/>
        </w:rPr>
        <w:t>ز</w:t>
      </w:r>
      <w:r w:rsidR="005F62BB" w:rsidRPr="00282AC9">
        <w:rPr>
          <w:rFonts w:hint="cs"/>
          <w:rtl/>
        </w:rPr>
        <w:t>ْ</w:t>
      </w:r>
      <w:r w:rsidRPr="00282AC9">
        <w:rPr>
          <w:rtl/>
        </w:rPr>
        <w:t>نا في كلماتهم بين المعاني اللغوية وبين تطبيقاتها ومصاديقها نجد أن تعريفاتهم على مستوى الدلالة اللغوية أقرب إلى بعض المعاني العام</w:t>
      </w:r>
      <w:r w:rsidR="005F62BB" w:rsidRPr="00282AC9">
        <w:rPr>
          <w:rFonts w:hint="cs"/>
          <w:rtl/>
        </w:rPr>
        <w:t>ّ</w:t>
      </w:r>
      <w:r w:rsidRPr="00282AC9">
        <w:rPr>
          <w:rtl/>
        </w:rPr>
        <w:t>ة لمادة الغنم</w:t>
      </w:r>
      <w:r w:rsidR="005F62BB" w:rsidRPr="00282AC9">
        <w:rPr>
          <w:rFonts w:hint="cs"/>
          <w:rtl/>
        </w:rPr>
        <w:t>،</w:t>
      </w:r>
      <w:r w:rsidRPr="00282AC9">
        <w:rPr>
          <w:rtl/>
        </w:rPr>
        <w:t xml:space="preserve"> من قبيل</w:t>
      </w:r>
      <w:r w:rsidR="005F62BB" w:rsidRPr="00282AC9">
        <w:rPr>
          <w:rFonts w:hint="cs"/>
          <w:rtl/>
        </w:rPr>
        <w:t>:</w:t>
      </w:r>
      <w:r w:rsidRPr="00282AC9">
        <w:rPr>
          <w:rtl/>
        </w:rPr>
        <w:t xml:space="preserve"> الفوز بالشي</w:t>
      </w:r>
      <w:r w:rsidR="005F62BB" w:rsidRPr="00282AC9">
        <w:rPr>
          <w:rFonts w:hint="cs"/>
          <w:rtl/>
        </w:rPr>
        <w:t>ء</w:t>
      </w:r>
      <w:r w:rsidRPr="00282AC9">
        <w:rPr>
          <w:rtl/>
        </w:rPr>
        <w:t xml:space="preserve"> بلا مشق</w:t>
      </w:r>
      <w:r w:rsidR="005F62BB" w:rsidRPr="00282AC9">
        <w:rPr>
          <w:rFonts w:hint="cs"/>
          <w:rtl/>
        </w:rPr>
        <w:t>ّ</w:t>
      </w:r>
      <w:r w:rsidRPr="00282AC9">
        <w:rPr>
          <w:rtl/>
        </w:rPr>
        <w:t>ة، وإفادة شي</w:t>
      </w:r>
      <w:r w:rsidR="005F62BB" w:rsidRPr="00282AC9">
        <w:rPr>
          <w:rFonts w:hint="cs"/>
          <w:rtl/>
        </w:rPr>
        <w:t>ءٍ</w:t>
      </w:r>
      <w:r w:rsidRPr="00282AC9">
        <w:rPr>
          <w:rtl/>
        </w:rPr>
        <w:t xml:space="preserve"> لم يملك من قبل</w:t>
      </w:r>
      <w:r w:rsidR="008275A7" w:rsidRPr="00282AC9">
        <w:rPr>
          <w:rFonts w:hint="cs"/>
          <w:rtl/>
        </w:rPr>
        <w:t>ُ</w:t>
      </w:r>
      <w:r w:rsidRPr="00282AC9">
        <w:rPr>
          <w:rtl/>
        </w:rPr>
        <w:t>، والزيادة والنماء وفاضل القيمة، والربح والفضل، والفائدة الم</w:t>
      </w:r>
      <w:r w:rsidR="005F62BB" w:rsidRPr="00282AC9">
        <w:rPr>
          <w:rFonts w:hint="cs"/>
          <w:rtl/>
        </w:rPr>
        <w:t>ُ</w:t>
      </w:r>
      <w:r w:rsidRPr="00282AC9">
        <w:rPr>
          <w:rtl/>
        </w:rPr>
        <w:t>كت</w:t>
      </w:r>
      <w:r w:rsidR="005F62BB" w:rsidRPr="00282AC9">
        <w:rPr>
          <w:rFonts w:hint="cs"/>
          <w:rtl/>
        </w:rPr>
        <w:t>َ</w:t>
      </w:r>
      <w:r w:rsidRPr="00282AC9">
        <w:rPr>
          <w:rtl/>
        </w:rPr>
        <w:t>س</w:t>
      </w:r>
      <w:r w:rsidR="005F62BB" w:rsidRPr="00282AC9">
        <w:rPr>
          <w:rFonts w:hint="cs"/>
          <w:rtl/>
        </w:rPr>
        <w:t>َ</w:t>
      </w:r>
      <w:r w:rsidRPr="00282AC9">
        <w:rPr>
          <w:rtl/>
        </w:rPr>
        <w:t xml:space="preserve">بة. </w:t>
      </w:r>
    </w:p>
    <w:p w:rsidR="005F62BB" w:rsidRPr="00282AC9" w:rsidRDefault="00946A76" w:rsidP="00186251">
      <w:pPr>
        <w:rPr>
          <w:rtl/>
        </w:rPr>
      </w:pPr>
      <w:r w:rsidRPr="00282AC9">
        <w:rPr>
          <w:rtl/>
        </w:rPr>
        <w:t>أما على المستوى التطبيقي فنجدهم ات</w:t>
      </w:r>
      <w:r w:rsidR="005F62BB" w:rsidRPr="00282AC9">
        <w:rPr>
          <w:rFonts w:hint="cs"/>
          <w:rtl/>
        </w:rPr>
        <w:t>َّ</w:t>
      </w:r>
      <w:r w:rsidRPr="00282AC9">
        <w:rPr>
          <w:rtl/>
        </w:rPr>
        <w:t>جهوا نحو تطبيقات التاريخ السياسي والفقه الشرعي</w:t>
      </w:r>
      <w:r w:rsidR="005F62BB" w:rsidRPr="00282AC9">
        <w:rPr>
          <w:rFonts w:hint="cs"/>
          <w:rtl/>
        </w:rPr>
        <w:t>ّ</w:t>
      </w:r>
      <w:r w:rsidRPr="00282AC9">
        <w:rPr>
          <w:rtl/>
        </w:rPr>
        <w:t>، فربطوا الغنيمة بغنائم دار الحرب</w:t>
      </w:r>
      <w:r w:rsidR="005F62BB" w:rsidRPr="00282AC9">
        <w:rPr>
          <w:rFonts w:hint="cs"/>
          <w:rtl/>
        </w:rPr>
        <w:t>.</w:t>
      </w:r>
    </w:p>
    <w:p w:rsidR="00946A76" w:rsidRPr="00282AC9" w:rsidRDefault="00946A76" w:rsidP="00186251">
      <w:pPr>
        <w:rPr>
          <w:bCs/>
          <w:rtl/>
        </w:rPr>
      </w:pPr>
      <w:r w:rsidRPr="00282AC9">
        <w:rPr>
          <w:rtl/>
        </w:rPr>
        <w:t>وتداخل مفهوم الغنيمة بالف</w:t>
      </w:r>
      <w:r w:rsidR="005F62BB" w:rsidRPr="00282AC9">
        <w:rPr>
          <w:rFonts w:hint="cs"/>
          <w:rtl/>
        </w:rPr>
        <w:t>َ</w:t>
      </w:r>
      <w:r w:rsidRPr="00282AC9">
        <w:rPr>
          <w:rtl/>
        </w:rPr>
        <w:t>ي</w:t>
      </w:r>
      <w:r w:rsidR="005F62BB" w:rsidRPr="00282AC9">
        <w:rPr>
          <w:rFonts w:hint="cs"/>
          <w:rtl/>
        </w:rPr>
        <w:t>ْء</w:t>
      </w:r>
      <w:r w:rsidRPr="00282AC9">
        <w:rPr>
          <w:rtl/>
        </w:rPr>
        <w:t xml:space="preserve"> في بعض التعريفات</w:t>
      </w:r>
      <w:r w:rsidR="005F62BB" w:rsidRPr="00282AC9">
        <w:rPr>
          <w:rFonts w:hint="cs"/>
          <w:rtl/>
        </w:rPr>
        <w:t>،</w:t>
      </w:r>
      <w:r w:rsidRPr="00282AC9">
        <w:rPr>
          <w:rtl/>
        </w:rPr>
        <w:t xml:space="preserve"> ومع ذلك لم يقصروا مدلولها على ما يظفر به في الحرب فقط</w:t>
      </w:r>
      <w:r w:rsidR="005F62BB" w:rsidRPr="00282AC9">
        <w:rPr>
          <w:rFonts w:hint="cs"/>
          <w:rtl/>
        </w:rPr>
        <w:t>،</w:t>
      </w:r>
      <w:r w:rsidRPr="00282AC9">
        <w:rPr>
          <w:rtl/>
        </w:rPr>
        <w:t xml:space="preserve"> بل طب</w:t>
      </w:r>
      <w:r w:rsidR="005F62BB" w:rsidRPr="00282AC9">
        <w:rPr>
          <w:rFonts w:hint="cs"/>
          <w:rtl/>
        </w:rPr>
        <w:t>َّ</w:t>
      </w:r>
      <w:r w:rsidRPr="00282AC9">
        <w:rPr>
          <w:rtl/>
        </w:rPr>
        <w:t>قوه على الثواب الآتي من الصوم في الشتاء</w:t>
      </w:r>
      <w:r w:rsidR="005F62BB" w:rsidRPr="00282AC9">
        <w:rPr>
          <w:rFonts w:hint="cs"/>
          <w:rtl/>
        </w:rPr>
        <w:t>،</w:t>
      </w:r>
      <w:r w:rsidRPr="00282AC9">
        <w:rPr>
          <w:rtl/>
        </w:rPr>
        <w:t xml:space="preserve"> وعلى عوائد الرهن</w:t>
      </w:r>
      <w:r w:rsidR="005F62BB" w:rsidRPr="00282AC9">
        <w:rPr>
          <w:rFonts w:hint="cs"/>
          <w:rtl/>
        </w:rPr>
        <w:t>،</w:t>
      </w:r>
      <w:r w:rsidRPr="00282AC9">
        <w:rPr>
          <w:rtl/>
        </w:rPr>
        <w:t xml:space="preserve"> ومغانم الآخرة. </w:t>
      </w:r>
    </w:p>
    <w:p w:rsidR="005F62BB" w:rsidRPr="00282AC9" w:rsidRDefault="00946A76" w:rsidP="00186251">
      <w:pPr>
        <w:rPr>
          <w:rtl/>
        </w:rPr>
      </w:pPr>
      <w:r w:rsidRPr="00282AC9">
        <w:rPr>
          <w:rtl/>
        </w:rPr>
        <w:t>وثم</w:t>
      </w:r>
      <w:r w:rsidR="005F62BB" w:rsidRPr="00282AC9">
        <w:rPr>
          <w:rFonts w:hint="cs"/>
          <w:rtl/>
        </w:rPr>
        <w:t>ّ</w:t>
      </w:r>
      <w:r w:rsidRPr="00282AC9">
        <w:rPr>
          <w:rtl/>
        </w:rPr>
        <w:t>ة مدخل</w:t>
      </w:r>
      <w:r w:rsidR="005F62BB" w:rsidRPr="00282AC9">
        <w:rPr>
          <w:rFonts w:hint="cs"/>
          <w:rtl/>
        </w:rPr>
        <w:t>ٌ</w:t>
      </w:r>
      <w:r w:rsidRPr="00282AC9">
        <w:rPr>
          <w:rtl/>
        </w:rPr>
        <w:t xml:space="preserve"> لتفسير الفوز بالشي</w:t>
      </w:r>
      <w:r w:rsidR="005F62BB" w:rsidRPr="00282AC9">
        <w:rPr>
          <w:rFonts w:hint="cs"/>
          <w:rtl/>
        </w:rPr>
        <w:t>ء</w:t>
      </w:r>
      <w:r w:rsidRPr="00282AC9">
        <w:rPr>
          <w:rtl/>
        </w:rPr>
        <w:t xml:space="preserve"> والظفر به بالغلبة</w:t>
      </w:r>
      <w:r w:rsidR="005F62BB" w:rsidRPr="00282AC9">
        <w:rPr>
          <w:rFonts w:hint="cs"/>
          <w:rtl/>
        </w:rPr>
        <w:t>؛</w:t>
      </w:r>
      <w:r w:rsidRPr="00282AC9">
        <w:rPr>
          <w:rtl/>
        </w:rPr>
        <w:t xml:space="preserve"> لأن من معاني الظفر الفوز بالمطلوب، وكذا الفلج بما خاصمت</w:t>
      </w:r>
      <w:r w:rsidRPr="00282AC9">
        <w:rPr>
          <w:rFonts w:hint="cs"/>
          <w:vertAlign w:val="superscript"/>
          <w:rtl/>
        </w:rPr>
        <w:t>(</w:t>
      </w:r>
      <w:r w:rsidRPr="00282AC9">
        <w:rPr>
          <w:rStyle w:val="af9"/>
          <w:b/>
          <w:sz w:val="27"/>
          <w:rtl/>
        </w:rPr>
        <w:endnoteReference w:id="418"/>
      </w:r>
      <w:r w:rsidRPr="00282AC9">
        <w:rPr>
          <w:rFonts w:hint="cs"/>
          <w:vertAlign w:val="superscript"/>
          <w:rtl/>
        </w:rPr>
        <w:t>)</w:t>
      </w:r>
      <w:r w:rsidRPr="00282AC9">
        <w:rPr>
          <w:rtl/>
        </w:rPr>
        <w:t>.</w:t>
      </w:r>
    </w:p>
    <w:p w:rsidR="00946A76" w:rsidRPr="00282AC9" w:rsidRDefault="00946A76" w:rsidP="00186251">
      <w:pPr>
        <w:rPr>
          <w:bCs/>
          <w:rtl/>
        </w:rPr>
      </w:pPr>
      <w:r w:rsidRPr="00282AC9">
        <w:rPr>
          <w:rtl/>
        </w:rPr>
        <w:lastRenderedPageBreak/>
        <w:t>والظفر يستبطن معنى الغلبة</w:t>
      </w:r>
      <w:r w:rsidRPr="00282AC9">
        <w:rPr>
          <w:rFonts w:hint="cs"/>
          <w:vertAlign w:val="superscript"/>
          <w:rtl/>
        </w:rPr>
        <w:t>(</w:t>
      </w:r>
      <w:r w:rsidRPr="00282AC9">
        <w:rPr>
          <w:rStyle w:val="af9"/>
          <w:b/>
          <w:sz w:val="27"/>
          <w:rtl/>
        </w:rPr>
        <w:endnoteReference w:id="419"/>
      </w:r>
      <w:r w:rsidRPr="00282AC9">
        <w:rPr>
          <w:rFonts w:hint="cs"/>
          <w:vertAlign w:val="superscript"/>
          <w:rtl/>
        </w:rPr>
        <w:t>)</w:t>
      </w:r>
      <w:r w:rsidR="005F62BB" w:rsidRPr="00282AC9">
        <w:rPr>
          <w:rFonts w:hint="cs"/>
          <w:rtl/>
        </w:rPr>
        <w:t>،</w:t>
      </w:r>
      <w:r w:rsidRPr="00282AC9">
        <w:rPr>
          <w:rFonts w:hint="cs"/>
          <w:rtl/>
        </w:rPr>
        <w:t xml:space="preserve"> </w:t>
      </w:r>
      <w:r w:rsidRPr="00282AC9">
        <w:rPr>
          <w:rtl/>
        </w:rPr>
        <w:t>ولا يقتصر</w:t>
      </w:r>
      <w:r w:rsidR="005F62BB" w:rsidRPr="00282AC9">
        <w:rPr>
          <w:rFonts w:hint="cs"/>
          <w:rtl/>
        </w:rPr>
        <w:t xml:space="preserve"> </w:t>
      </w:r>
      <w:r w:rsidRPr="00282AC9">
        <w:rPr>
          <w:rtl/>
        </w:rPr>
        <w:t xml:space="preserve">على الغلبة في الحرب. </w:t>
      </w:r>
    </w:p>
    <w:p w:rsidR="005F62BB" w:rsidRPr="00282AC9" w:rsidRDefault="00946A76" w:rsidP="00186251">
      <w:pPr>
        <w:rPr>
          <w:rtl/>
        </w:rPr>
      </w:pPr>
      <w:r w:rsidRPr="00282AC9">
        <w:rPr>
          <w:rtl/>
        </w:rPr>
        <w:t>ويفهم من كلام كل</w:t>
      </w:r>
      <w:r w:rsidR="005F62BB" w:rsidRPr="00282AC9">
        <w:rPr>
          <w:rFonts w:hint="cs"/>
          <w:rtl/>
        </w:rPr>
        <w:t>ٍّ</w:t>
      </w:r>
      <w:r w:rsidRPr="00282AC9">
        <w:rPr>
          <w:rtl/>
        </w:rPr>
        <w:t xml:space="preserve"> من</w:t>
      </w:r>
      <w:r w:rsidR="005F62BB" w:rsidRPr="00282AC9">
        <w:rPr>
          <w:rFonts w:hint="cs"/>
          <w:rtl/>
        </w:rPr>
        <w:t>:</w:t>
      </w:r>
      <w:r w:rsidRPr="00282AC9">
        <w:rPr>
          <w:rtl/>
        </w:rPr>
        <w:t xml:space="preserve"> ابن فارس</w:t>
      </w:r>
      <w:r w:rsidR="005F62BB" w:rsidRPr="00282AC9">
        <w:rPr>
          <w:rFonts w:hint="cs"/>
          <w:rtl/>
        </w:rPr>
        <w:t>؛</w:t>
      </w:r>
      <w:r w:rsidRPr="00282AC9">
        <w:rPr>
          <w:rtl/>
        </w:rPr>
        <w:t xml:space="preserve"> والراغب، أن ثم</w:t>
      </w:r>
      <w:r w:rsidR="005F62BB" w:rsidRPr="00282AC9">
        <w:rPr>
          <w:rFonts w:hint="cs"/>
          <w:rtl/>
        </w:rPr>
        <w:t>ّ</w:t>
      </w:r>
      <w:r w:rsidRPr="00282AC9">
        <w:rPr>
          <w:rtl/>
        </w:rPr>
        <w:t>ة تطو</w:t>
      </w:r>
      <w:r w:rsidR="005F62BB" w:rsidRPr="00282AC9">
        <w:rPr>
          <w:rFonts w:hint="cs"/>
          <w:rtl/>
        </w:rPr>
        <w:t>ّ</w:t>
      </w:r>
      <w:r w:rsidRPr="00282AC9">
        <w:rPr>
          <w:rtl/>
        </w:rPr>
        <w:t>ر</w:t>
      </w:r>
      <w:r w:rsidR="005F62BB" w:rsidRPr="00282AC9">
        <w:rPr>
          <w:rFonts w:hint="cs"/>
          <w:rtl/>
        </w:rPr>
        <w:t>اً</w:t>
      </w:r>
      <w:r w:rsidRPr="00282AC9">
        <w:rPr>
          <w:rtl/>
        </w:rPr>
        <w:t xml:space="preserve"> حصل في استعمال الكلمة في المجال التداولي في مرحلة</w:t>
      </w:r>
      <w:r w:rsidR="005F62BB" w:rsidRPr="00282AC9">
        <w:rPr>
          <w:rFonts w:hint="cs"/>
          <w:rtl/>
        </w:rPr>
        <w:t>ٍ</w:t>
      </w:r>
      <w:r w:rsidRPr="00282AC9">
        <w:rPr>
          <w:rtl/>
        </w:rPr>
        <w:t xml:space="preserve"> تاريخية تالية</w:t>
      </w:r>
      <w:r w:rsidR="005F62BB" w:rsidRPr="00282AC9">
        <w:rPr>
          <w:rFonts w:hint="cs"/>
          <w:rtl/>
        </w:rPr>
        <w:t>،</w:t>
      </w:r>
      <w:r w:rsidRPr="00282AC9">
        <w:rPr>
          <w:rtl/>
        </w:rPr>
        <w:t xml:space="preserve"> بحيث صارت تختص</w:t>
      </w:r>
      <w:r w:rsidR="005F62BB" w:rsidRPr="00282AC9">
        <w:rPr>
          <w:rFonts w:hint="cs"/>
          <w:rtl/>
        </w:rPr>
        <w:t>ّ</w:t>
      </w:r>
      <w:r w:rsidR="005F62BB" w:rsidRPr="00282AC9">
        <w:rPr>
          <w:rtl/>
        </w:rPr>
        <w:t xml:space="preserve"> بغنائم الحرب.</w:t>
      </w:r>
    </w:p>
    <w:p w:rsidR="00946A76" w:rsidRPr="00282AC9" w:rsidRDefault="00946A76" w:rsidP="00186251">
      <w:pPr>
        <w:rPr>
          <w:bCs/>
          <w:rtl/>
        </w:rPr>
      </w:pPr>
      <w:r w:rsidRPr="00282AC9">
        <w:rPr>
          <w:rtl/>
        </w:rPr>
        <w:t>وح</w:t>
      </w:r>
      <w:r w:rsidR="005F62BB" w:rsidRPr="00282AC9">
        <w:rPr>
          <w:rFonts w:hint="cs"/>
          <w:rtl/>
        </w:rPr>
        <w:t>َ</w:t>
      </w:r>
      <w:r w:rsidRPr="00282AC9">
        <w:rPr>
          <w:rtl/>
        </w:rPr>
        <w:t>س</w:t>
      </w:r>
      <w:r w:rsidR="005F62BB" w:rsidRPr="00282AC9">
        <w:rPr>
          <w:rFonts w:hint="cs"/>
          <w:rtl/>
        </w:rPr>
        <w:t>ْ</w:t>
      </w:r>
      <w:r w:rsidRPr="00282AC9">
        <w:rPr>
          <w:rtl/>
        </w:rPr>
        <w:t xml:space="preserve">ب الطريحي </w:t>
      </w:r>
      <w:r w:rsidR="005F62BB" w:rsidRPr="00282AC9">
        <w:rPr>
          <w:rFonts w:hint="cs"/>
          <w:rtl/>
        </w:rPr>
        <w:t>فإ</w:t>
      </w:r>
      <w:r w:rsidRPr="00282AC9">
        <w:rPr>
          <w:rtl/>
        </w:rPr>
        <w:t>ن الاختصاص بغنائم دار الحرب معنى اصطلاحي</w:t>
      </w:r>
      <w:r w:rsidR="005F62BB" w:rsidRPr="00282AC9">
        <w:rPr>
          <w:rFonts w:hint="cs"/>
          <w:rtl/>
        </w:rPr>
        <w:t>ّ</w:t>
      </w:r>
      <w:r w:rsidRPr="00282AC9">
        <w:rPr>
          <w:rtl/>
        </w:rPr>
        <w:t xml:space="preserve"> متأخ</w:t>
      </w:r>
      <w:r w:rsidR="005F62BB" w:rsidRPr="00282AC9">
        <w:rPr>
          <w:rFonts w:hint="cs"/>
          <w:rtl/>
        </w:rPr>
        <w:t>ِّ</w:t>
      </w:r>
      <w:r w:rsidRPr="00282AC9">
        <w:rPr>
          <w:rtl/>
        </w:rPr>
        <w:t>ر.</w:t>
      </w:r>
    </w:p>
    <w:p w:rsidR="00186251" w:rsidRPr="00282AC9" w:rsidRDefault="00186251" w:rsidP="00186251">
      <w:pPr>
        <w:spacing w:line="420" w:lineRule="exact"/>
        <w:rPr>
          <w:rtl/>
        </w:rPr>
      </w:pPr>
    </w:p>
    <w:p w:rsidR="00946A76" w:rsidRPr="00282AC9" w:rsidRDefault="00946A76" w:rsidP="00B70E1F">
      <w:pPr>
        <w:pStyle w:val="31"/>
        <w:rPr>
          <w:color w:val="auto"/>
          <w:rtl/>
        </w:rPr>
      </w:pPr>
      <w:r w:rsidRPr="00282AC9">
        <w:rPr>
          <w:color w:val="auto"/>
          <w:rtl/>
        </w:rPr>
        <w:t>مناقشة الحيدري</w:t>
      </w:r>
    </w:p>
    <w:p w:rsidR="00946A76" w:rsidRPr="00282AC9" w:rsidRDefault="00946A76" w:rsidP="00186251">
      <w:pPr>
        <w:rPr>
          <w:rtl/>
        </w:rPr>
      </w:pPr>
      <w:r w:rsidRPr="00282AC9">
        <w:rPr>
          <w:rtl/>
        </w:rPr>
        <w:t xml:space="preserve">وفي ضوء ما سبق يمكن مناقشة ما ذكره الحيدري </w:t>
      </w:r>
      <w:r w:rsidR="00C80335" w:rsidRPr="00282AC9">
        <w:rPr>
          <w:rFonts w:hint="cs"/>
          <w:rtl/>
        </w:rPr>
        <w:t>، من أ</w:t>
      </w:r>
      <w:r w:rsidRPr="00282AC9">
        <w:rPr>
          <w:rtl/>
        </w:rPr>
        <w:t>نه بمراجعة المصادر اللغوية الأصلي</w:t>
      </w:r>
      <w:r w:rsidR="00C80335" w:rsidRPr="00282AC9">
        <w:rPr>
          <w:rFonts w:hint="cs"/>
          <w:rtl/>
        </w:rPr>
        <w:t>ّ</w:t>
      </w:r>
      <w:r w:rsidRPr="00282AC9">
        <w:rPr>
          <w:rtl/>
        </w:rPr>
        <w:t>ة</w:t>
      </w:r>
      <w:r w:rsidR="00C80335" w:rsidRPr="00282AC9">
        <w:rPr>
          <w:rFonts w:hint="cs"/>
          <w:rtl/>
        </w:rPr>
        <w:t>،</w:t>
      </w:r>
      <w:r w:rsidRPr="00282AC9">
        <w:rPr>
          <w:rtl/>
        </w:rPr>
        <w:t xml:space="preserve"> بل الثانوية</w:t>
      </w:r>
      <w:r w:rsidR="00C80335" w:rsidRPr="00282AC9">
        <w:rPr>
          <w:rFonts w:hint="cs"/>
          <w:rtl/>
        </w:rPr>
        <w:t xml:space="preserve"> أيضاً،</w:t>
      </w:r>
      <w:r w:rsidRPr="00282AC9">
        <w:rPr>
          <w:rtl/>
        </w:rPr>
        <w:t xml:space="preserve"> لا نجد وصفا</w:t>
      </w:r>
      <w:r w:rsidR="00C80335" w:rsidRPr="00282AC9">
        <w:rPr>
          <w:rFonts w:hint="cs"/>
          <w:rtl/>
        </w:rPr>
        <w:t>ً</w:t>
      </w:r>
      <w:r w:rsidRPr="00282AC9">
        <w:rPr>
          <w:rtl/>
        </w:rPr>
        <w:t xml:space="preserve"> للغنيمة بأنها مطلق الفائدة المكت</w:t>
      </w:r>
      <w:r w:rsidR="00C80335" w:rsidRPr="00282AC9">
        <w:rPr>
          <w:rFonts w:hint="cs"/>
          <w:rtl/>
        </w:rPr>
        <w:t>َ</w:t>
      </w:r>
      <w:r w:rsidRPr="00282AC9">
        <w:rPr>
          <w:rtl/>
        </w:rPr>
        <w:t>س</w:t>
      </w:r>
      <w:r w:rsidR="00C80335" w:rsidRPr="00282AC9">
        <w:rPr>
          <w:rFonts w:hint="cs"/>
          <w:rtl/>
        </w:rPr>
        <w:t>َ</w:t>
      </w:r>
      <w:r w:rsidRPr="00282AC9">
        <w:rPr>
          <w:rtl/>
        </w:rPr>
        <w:t>بة</w:t>
      </w:r>
      <w:r w:rsidR="00C80335" w:rsidRPr="00282AC9">
        <w:rPr>
          <w:rFonts w:hint="cs"/>
          <w:rtl/>
        </w:rPr>
        <w:t>،</w:t>
      </w:r>
      <w:r w:rsidRPr="00282AC9">
        <w:rPr>
          <w:rtl/>
        </w:rPr>
        <w:t xml:space="preserve"> بل ينص</w:t>
      </w:r>
      <w:r w:rsidR="00C80335" w:rsidRPr="00282AC9">
        <w:rPr>
          <w:rFonts w:hint="cs"/>
          <w:rtl/>
        </w:rPr>
        <w:t>ّ</w:t>
      </w:r>
      <w:r w:rsidRPr="00282AC9">
        <w:rPr>
          <w:rtl/>
        </w:rPr>
        <w:t>ون على أن الغنم هو الفوز بالشي</w:t>
      </w:r>
      <w:r w:rsidR="00C80335" w:rsidRPr="00282AC9">
        <w:rPr>
          <w:rFonts w:hint="cs"/>
          <w:rtl/>
        </w:rPr>
        <w:t>ء</w:t>
      </w:r>
      <w:r w:rsidRPr="00282AC9">
        <w:rPr>
          <w:rtl/>
        </w:rPr>
        <w:t xml:space="preserve"> بلا مشق</w:t>
      </w:r>
      <w:r w:rsidR="00C80335" w:rsidRPr="00282AC9">
        <w:rPr>
          <w:rFonts w:hint="cs"/>
          <w:rtl/>
        </w:rPr>
        <w:t>ّ</w:t>
      </w:r>
      <w:r w:rsidRPr="00282AC9">
        <w:rPr>
          <w:rtl/>
        </w:rPr>
        <w:t>ة</w:t>
      </w:r>
      <w:r w:rsidR="00C80335" w:rsidRPr="00282AC9">
        <w:rPr>
          <w:rFonts w:hint="cs"/>
          <w:rtl/>
        </w:rPr>
        <w:t xml:space="preserve">ٍ، </w:t>
      </w:r>
      <w:r w:rsidRPr="00282AC9">
        <w:rPr>
          <w:rtl/>
        </w:rPr>
        <w:t>و</w:t>
      </w:r>
      <w:r w:rsidR="00C80335" w:rsidRPr="00282AC9">
        <w:rPr>
          <w:rFonts w:hint="cs"/>
          <w:rtl/>
        </w:rPr>
        <w:t>أ</w:t>
      </w:r>
      <w:r w:rsidRPr="00282AC9">
        <w:rPr>
          <w:rtl/>
        </w:rPr>
        <w:t>ن المحص</w:t>
      </w:r>
      <w:r w:rsidR="00C80335" w:rsidRPr="00282AC9">
        <w:rPr>
          <w:rFonts w:hint="cs"/>
          <w:rtl/>
        </w:rPr>
        <w:t>َّ</w:t>
      </w:r>
      <w:r w:rsidRPr="00282AC9">
        <w:rPr>
          <w:rtl/>
        </w:rPr>
        <w:t>لة المستفادة من كلماتهم التفريق بين الغنم والغنيمة</w:t>
      </w:r>
      <w:r w:rsidR="00C80335" w:rsidRPr="00282AC9">
        <w:rPr>
          <w:rFonts w:hint="cs"/>
          <w:rtl/>
        </w:rPr>
        <w:t>،</w:t>
      </w:r>
      <w:r w:rsidRPr="00282AC9">
        <w:rPr>
          <w:rtl/>
        </w:rPr>
        <w:t xml:space="preserve"> وأن الغنم واشتقاقاتها موضوع</w:t>
      </w:r>
      <w:r w:rsidR="008275A7" w:rsidRPr="00282AC9">
        <w:rPr>
          <w:rFonts w:hint="cs"/>
          <w:rtl/>
        </w:rPr>
        <w:t>ٌ</w:t>
      </w:r>
      <w:r w:rsidRPr="00282AC9">
        <w:rPr>
          <w:rtl/>
        </w:rPr>
        <w:t xml:space="preserve"> للفوز بالشي</w:t>
      </w:r>
      <w:r w:rsidR="00C80335" w:rsidRPr="00282AC9">
        <w:rPr>
          <w:rFonts w:hint="cs"/>
          <w:rtl/>
        </w:rPr>
        <w:t>ء</w:t>
      </w:r>
      <w:r w:rsidRPr="00282AC9">
        <w:rPr>
          <w:rtl/>
        </w:rPr>
        <w:t xml:space="preserve"> بلا مشق</w:t>
      </w:r>
      <w:r w:rsidR="00C80335" w:rsidRPr="00282AC9">
        <w:rPr>
          <w:rFonts w:hint="cs"/>
          <w:rtl/>
        </w:rPr>
        <w:t>ّ</w:t>
      </w:r>
      <w:r w:rsidRPr="00282AC9">
        <w:rPr>
          <w:rtl/>
        </w:rPr>
        <w:t>ة، و</w:t>
      </w:r>
      <w:r w:rsidR="00C80335" w:rsidRPr="00282AC9">
        <w:rPr>
          <w:rFonts w:hint="cs"/>
          <w:rtl/>
        </w:rPr>
        <w:t xml:space="preserve">أما </w:t>
      </w:r>
      <w:r w:rsidRPr="00282AC9">
        <w:rPr>
          <w:rtl/>
        </w:rPr>
        <w:t>الغنيمة فهي ما أوجف عليه المسلمون بخ</w:t>
      </w:r>
      <w:r w:rsidR="00C80335" w:rsidRPr="00282AC9">
        <w:rPr>
          <w:rFonts w:hint="cs"/>
          <w:rtl/>
        </w:rPr>
        <w:t>َ</w:t>
      </w:r>
      <w:r w:rsidRPr="00282AC9">
        <w:rPr>
          <w:rtl/>
        </w:rPr>
        <w:t>ي</w:t>
      </w:r>
      <w:r w:rsidR="00C80335" w:rsidRPr="00282AC9">
        <w:rPr>
          <w:rFonts w:hint="cs"/>
          <w:rtl/>
        </w:rPr>
        <w:t>ْ</w:t>
      </w:r>
      <w:r w:rsidRPr="00282AC9">
        <w:rPr>
          <w:rtl/>
        </w:rPr>
        <w:t>لهم وركابهم</w:t>
      </w:r>
      <w:r w:rsidRPr="00282AC9">
        <w:rPr>
          <w:rFonts w:hint="cs"/>
          <w:vertAlign w:val="superscript"/>
          <w:rtl/>
        </w:rPr>
        <w:t>(</w:t>
      </w:r>
      <w:r w:rsidRPr="00282AC9">
        <w:rPr>
          <w:rStyle w:val="af9"/>
          <w:sz w:val="27"/>
          <w:rtl/>
        </w:rPr>
        <w:endnoteReference w:id="420"/>
      </w:r>
      <w:r w:rsidRPr="00282AC9">
        <w:rPr>
          <w:rFonts w:hint="cs"/>
          <w:vertAlign w:val="superscript"/>
          <w:rtl/>
        </w:rPr>
        <w:t>)</w:t>
      </w:r>
      <w:r w:rsidR="00C80335" w:rsidRPr="00282AC9">
        <w:rPr>
          <w:rFonts w:hint="cs"/>
          <w:rtl/>
        </w:rPr>
        <w:t>،</w:t>
      </w:r>
      <w:r w:rsidRPr="00282AC9">
        <w:rPr>
          <w:rFonts w:hint="cs"/>
          <w:rtl/>
        </w:rPr>
        <w:t xml:space="preserve"> و</w:t>
      </w:r>
      <w:r w:rsidRPr="00282AC9">
        <w:rPr>
          <w:rtl/>
        </w:rPr>
        <w:t>اختار تعريف الخليل(170</w:t>
      </w:r>
      <w:r w:rsidRPr="00282AC9">
        <w:rPr>
          <w:rFonts w:hint="cs"/>
          <w:rtl/>
        </w:rPr>
        <w:t>هـ</w:t>
      </w:r>
      <w:r w:rsidRPr="00282AC9">
        <w:rPr>
          <w:rtl/>
        </w:rPr>
        <w:t>) وم</w:t>
      </w:r>
      <w:r w:rsidR="00C80335" w:rsidRPr="00282AC9">
        <w:rPr>
          <w:rFonts w:hint="cs"/>
          <w:rtl/>
        </w:rPr>
        <w:t>َ</w:t>
      </w:r>
      <w:r w:rsidRPr="00282AC9">
        <w:rPr>
          <w:rtl/>
        </w:rPr>
        <w:t>ن</w:t>
      </w:r>
      <w:r w:rsidR="00C80335" w:rsidRPr="00282AC9">
        <w:rPr>
          <w:rFonts w:hint="cs"/>
          <w:rtl/>
        </w:rPr>
        <w:t>ْ</w:t>
      </w:r>
      <w:r w:rsidRPr="00282AC9">
        <w:rPr>
          <w:rtl/>
        </w:rPr>
        <w:t xml:space="preserve"> وافقه</w:t>
      </w:r>
      <w:r w:rsidR="00C80335" w:rsidRPr="00282AC9">
        <w:rPr>
          <w:rFonts w:hint="cs"/>
          <w:rtl/>
        </w:rPr>
        <w:t xml:space="preserve">، </w:t>
      </w:r>
      <w:r w:rsidRPr="00282AC9">
        <w:rPr>
          <w:rtl/>
        </w:rPr>
        <w:t>كأبي عبيدة(224</w:t>
      </w:r>
      <w:r w:rsidRPr="00282AC9">
        <w:rPr>
          <w:rFonts w:hint="cs"/>
          <w:rtl/>
        </w:rPr>
        <w:t>هـ</w:t>
      </w:r>
      <w:r w:rsidRPr="00282AC9">
        <w:rPr>
          <w:rtl/>
        </w:rPr>
        <w:t>) والأزهري(370</w:t>
      </w:r>
      <w:r w:rsidRPr="00282AC9">
        <w:rPr>
          <w:rFonts w:hint="cs"/>
          <w:rtl/>
        </w:rPr>
        <w:t>هـ</w:t>
      </w:r>
      <w:r w:rsidRPr="00282AC9">
        <w:rPr>
          <w:rtl/>
        </w:rPr>
        <w:t>) والصاحب بن عب</w:t>
      </w:r>
      <w:r w:rsidR="00C80335" w:rsidRPr="00282AC9">
        <w:rPr>
          <w:rFonts w:hint="cs"/>
          <w:rtl/>
        </w:rPr>
        <w:t>ّ</w:t>
      </w:r>
      <w:r w:rsidRPr="00282AC9">
        <w:rPr>
          <w:rtl/>
        </w:rPr>
        <w:t>اد(385</w:t>
      </w:r>
      <w:r w:rsidRPr="00282AC9">
        <w:rPr>
          <w:rFonts w:hint="cs"/>
          <w:rtl/>
        </w:rPr>
        <w:t>هـ</w:t>
      </w:r>
      <w:r w:rsidRPr="00282AC9">
        <w:rPr>
          <w:rtl/>
        </w:rPr>
        <w:t>)</w:t>
      </w:r>
      <w:r w:rsidR="00C80335" w:rsidRPr="00282AC9">
        <w:rPr>
          <w:rFonts w:hint="cs"/>
          <w:rtl/>
        </w:rPr>
        <w:t>؛</w:t>
      </w:r>
      <w:r w:rsidRPr="00282AC9">
        <w:rPr>
          <w:rtl/>
        </w:rPr>
        <w:t xml:space="preserve"> لأن آراءهم ـ في نظره ـ استند</w:t>
      </w:r>
      <w:r w:rsidR="00C80335" w:rsidRPr="00282AC9">
        <w:rPr>
          <w:rFonts w:hint="cs"/>
          <w:rtl/>
        </w:rPr>
        <w:t>َ</w:t>
      </w:r>
      <w:r w:rsidRPr="00282AC9">
        <w:rPr>
          <w:rtl/>
        </w:rPr>
        <w:t>ت</w:t>
      </w:r>
      <w:r w:rsidR="00C80335" w:rsidRPr="00282AC9">
        <w:rPr>
          <w:rFonts w:hint="cs"/>
          <w:rtl/>
        </w:rPr>
        <w:t>ْ</w:t>
      </w:r>
      <w:r w:rsidRPr="00282AC9">
        <w:rPr>
          <w:rtl/>
        </w:rPr>
        <w:t xml:space="preserve"> </w:t>
      </w:r>
      <w:r w:rsidR="00C80335" w:rsidRPr="00282AC9">
        <w:rPr>
          <w:rFonts w:hint="cs"/>
          <w:rtl/>
        </w:rPr>
        <w:t>إ</w:t>
      </w:r>
      <w:r w:rsidRPr="00282AC9">
        <w:rPr>
          <w:rtl/>
        </w:rPr>
        <w:t>لى المعاني المستعملة</w:t>
      </w:r>
      <w:r w:rsidR="00C80335" w:rsidRPr="00282AC9">
        <w:rPr>
          <w:rFonts w:hint="cs"/>
          <w:rtl/>
        </w:rPr>
        <w:t>،</w:t>
      </w:r>
      <w:r w:rsidRPr="00282AC9">
        <w:rPr>
          <w:rtl/>
        </w:rPr>
        <w:t xml:space="preserve"> و</w:t>
      </w:r>
      <w:r w:rsidR="00C80335" w:rsidRPr="00282AC9">
        <w:rPr>
          <w:rFonts w:hint="cs"/>
          <w:rtl/>
        </w:rPr>
        <w:t>إ</w:t>
      </w:r>
      <w:r w:rsidRPr="00282AC9">
        <w:rPr>
          <w:rtl/>
        </w:rPr>
        <w:t>لى الرواة والشعر والقرآن والحديث</w:t>
      </w:r>
      <w:r w:rsidR="00C80335" w:rsidRPr="00282AC9">
        <w:rPr>
          <w:rFonts w:hint="cs"/>
          <w:rtl/>
        </w:rPr>
        <w:t xml:space="preserve">؛ </w:t>
      </w:r>
      <w:r w:rsidRPr="00282AC9">
        <w:rPr>
          <w:rtl/>
        </w:rPr>
        <w:t>أما ما عداها فاعتبرها مخالفة</w:t>
      </w:r>
      <w:r w:rsidR="00C80335" w:rsidRPr="00282AC9">
        <w:rPr>
          <w:rFonts w:hint="cs"/>
          <w:rtl/>
        </w:rPr>
        <w:t>ً</w:t>
      </w:r>
      <w:r w:rsidRPr="00282AC9">
        <w:rPr>
          <w:rtl/>
        </w:rPr>
        <w:t xml:space="preserve"> للاستعمالات العربية</w:t>
      </w:r>
      <w:r w:rsidR="00C80335" w:rsidRPr="00282AC9">
        <w:rPr>
          <w:rFonts w:hint="cs"/>
          <w:rtl/>
        </w:rPr>
        <w:t>،</w:t>
      </w:r>
      <w:r w:rsidRPr="00282AC9">
        <w:rPr>
          <w:rtl/>
        </w:rPr>
        <w:t xml:space="preserve"> ومعتمدة على الح</w:t>
      </w:r>
      <w:r w:rsidR="00C80335" w:rsidRPr="00282AC9">
        <w:rPr>
          <w:rFonts w:hint="cs"/>
          <w:rtl/>
        </w:rPr>
        <w:t>َ</w:t>
      </w:r>
      <w:r w:rsidRPr="00282AC9">
        <w:rPr>
          <w:rtl/>
        </w:rPr>
        <w:t>د</w:t>
      </w:r>
      <w:r w:rsidR="00C80335" w:rsidRPr="00282AC9">
        <w:rPr>
          <w:rFonts w:hint="cs"/>
          <w:rtl/>
        </w:rPr>
        <w:t>ْ</w:t>
      </w:r>
      <w:r w:rsidRPr="00282AC9">
        <w:rPr>
          <w:rtl/>
        </w:rPr>
        <w:t>س والاجتهاد</w:t>
      </w:r>
      <w:r w:rsidRPr="00282AC9">
        <w:rPr>
          <w:rFonts w:hint="cs"/>
          <w:vertAlign w:val="superscript"/>
          <w:rtl/>
        </w:rPr>
        <w:t>(</w:t>
      </w:r>
      <w:r w:rsidRPr="00282AC9">
        <w:rPr>
          <w:rStyle w:val="af9"/>
          <w:sz w:val="27"/>
          <w:rtl/>
        </w:rPr>
        <w:endnoteReference w:id="421"/>
      </w:r>
      <w:r w:rsidRPr="00282AC9">
        <w:rPr>
          <w:rFonts w:hint="cs"/>
          <w:vertAlign w:val="superscript"/>
          <w:rtl/>
        </w:rPr>
        <w:t>)</w:t>
      </w:r>
      <w:r w:rsidR="00C80335" w:rsidRPr="00282AC9">
        <w:rPr>
          <w:rFonts w:hint="cs"/>
          <w:rtl/>
        </w:rPr>
        <w:t>،</w:t>
      </w:r>
      <w:r w:rsidRPr="00282AC9">
        <w:rPr>
          <w:rFonts w:hint="cs"/>
          <w:rtl/>
        </w:rPr>
        <w:t xml:space="preserve"> </w:t>
      </w:r>
      <w:r w:rsidRPr="00282AC9">
        <w:rPr>
          <w:rtl/>
        </w:rPr>
        <w:t>واستبعد م</w:t>
      </w:r>
      <w:r w:rsidR="00C80335" w:rsidRPr="00282AC9">
        <w:rPr>
          <w:rFonts w:hint="cs"/>
          <w:rtl/>
        </w:rPr>
        <w:t>َ</w:t>
      </w:r>
      <w:r w:rsidRPr="00282AC9">
        <w:rPr>
          <w:rtl/>
        </w:rPr>
        <w:t>ن</w:t>
      </w:r>
      <w:r w:rsidR="00C80335" w:rsidRPr="00282AC9">
        <w:rPr>
          <w:rFonts w:hint="cs"/>
          <w:rtl/>
        </w:rPr>
        <w:t>ْ</w:t>
      </w:r>
      <w:r w:rsidRPr="00282AC9">
        <w:rPr>
          <w:rtl/>
        </w:rPr>
        <w:t xml:space="preserve"> خالف هؤلاء</w:t>
      </w:r>
      <w:r w:rsidR="00C80335" w:rsidRPr="00282AC9">
        <w:rPr>
          <w:rFonts w:hint="cs"/>
          <w:rtl/>
        </w:rPr>
        <w:t>،</w:t>
      </w:r>
      <w:r w:rsidRPr="00282AC9">
        <w:rPr>
          <w:rtl/>
        </w:rPr>
        <w:t xml:space="preserve"> كابن قتيبة(276</w:t>
      </w:r>
      <w:r w:rsidRPr="00282AC9">
        <w:rPr>
          <w:rFonts w:hint="cs"/>
          <w:rtl/>
        </w:rPr>
        <w:t>هـ</w:t>
      </w:r>
      <w:r w:rsidRPr="00282AC9">
        <w:rPr>
          <w:rtl/>
        </w:rPr>
        <w:t>) وابن فارس(395</w:t>
      </w:r>
      <w:r w:rsidRPr="00282AC9">
        <w:rPr>
          <w:rFonts w:hint="cs"/>
          <w:rtl/>
        </w:rPr>
        <w:t>هـ</w:t>
      </w:r>
      <w:r w:rsidRPr="00282AC9">
        <w:rPr>
          <w:rtl/>
        </w:rPr>
        <w:t>) وغيرهم، معتبرا</w:t>
      </w:r>
      <w:r w:rsidR="00C80335" w:rsidRPr="00282AC9">
        <w:rPr>
          <w:rFonts w:hint="cs"/>
          <w:rtl/>
        </w:rPr>
        <w:t>ً</w:t>
      </w:r>
      <w:r w:rsidRPr="00282AC9">
        <w:rPr>
          <w:rtl/>
        </w:rPr>
        <w:t xml:space="preserve"> تعريفاتهم اجتهادية</w:t>
      </w:r>
      <w:r w:rsidR="00C80335" w:rsidRPr="00282AC9">
        <w:rPr>
          <w:rFonts w:hint="cs"/>
          <w:rtl/>
        </w:rPr>
        <w:t>،</w:t>
      </w:r>
      <w:r w:rsidRPr="00282AC9">
        <w:rPr>
          <w:rtl/>
        </w:rPr>
        <w:t xml:space="preserve"> ومخالفة لما كان مستعملا</w:t>
      </w:r>
      <w:r w:rsidR="00C80335" w:rsidRPr="00282AC9">
        <w:rPr>
          <w:rFonts w:hint="cs"/>
          <w:rtl/>
        </w:rPr>
        <w:t>ً</w:t>
      </w:r>
      <w:r w:rsidRPr="00282AC9">
        <w:rPr>
          <w:rtl/>
        </w:rPr>
        <w:t xml:space="preserve"> لدى العرب</w:t>
      </w:r>
      <w:r w:rsidR="00C80335" w:rsidRPr="00282AC9">
        <w:rPr>
          <w:rFonts w:hint="cs"/>
          <w:rtl/>
        </w:rPr>
        <w:t>،</w:t>
      </w:r>
      <w:r w:rsidRPr="00282AC9">
        <w:rPr>
          <w:rtl/>
        </w:rPr>
        <w:t xml:space="preserve"> وكذا لاستعمالات القرآن والحديث والشعر.</w:t>
      </w:r>
    </w:p>
    <w:p w:rsidR="00F13372" w:rsidRPr="00282AC9" w:rsidRDefault="00946A76" w:rsidP="00186251">
      <w:pPr>
        <w:rPr>
          <w:rtl/>
        </w:rPr>
      </w:pPr>
      <w:r w:rsidRPr="00282AC9">
        <w:rPr>
          <w:rtl/>
        </w:rPr>
        <w:t xml:space="preserve">والواقع </w:t>
      </w:r>
      <w:r w:rsidR="00C80335" w:rsidRPr="00282AC9">
        <w:rPr>
          <w:rFonts w:hint="cs"/>
          <w:rtl/>
        </w:rPr>
        <w:t>أ</w:t>
      </w:r>
      <w:r w:rsidRPr="00282AC9">
        <w:rPr>
          <w:rtl/>
        </w:rPr>
        <w:t>ن اللغويين د</w:t>
      </w:r>
      <w:r w:rsidR="00C80335" w:rsidRPr="00282AC9">
        <w:rPr>
          <w:rFonts w:hint="cs"/>
          <w:rtl/>
        </w:rPr>
        <w:t>َ</w:t>
      </w:r>
      <w:r w:rsidRPr="00282AC9">
        <w:rPr>
          <w:rtl/>
        </w:rPr>
        <w:t>ر</w:t>
      </w:r>
      <w:r w:rsidR="00C80335" w:rsidRPr="00282AC9">
        <w:rPr>
          <w:rFonts w:hint="cs"/>
          <w:rtl/>
        </w:rPr>
        <w:t>َ</w:t>
      </w:r>
      <w:r w:rsidRPr="00282AC9">
        <w:rPr>
          <w:rtl/>
        </w:rPr>
        <w:t>جوا على ذكر المعاني اللغوية</w:t>
      </w:r>
      <w:r w:rsidR="00C80335" w:rsidRPr="00282AC9">
        <w:rPr>
          <w:rFonts w:hint="cs"/>
          <w:rtl/>
        </w:rPr>
        <w:t>،</w:t>
      </w:r>
      <w:r w:rsidRPr="00282AC9">
        <w:rPr>
          <w:rtl/>
        </w:rPr>
        <w:t xml:space="preserve"> وتطبيقاتها</w:t>
      </w:r>
      <w:r w:rsidR="00C80335" w:rsidRPr="00282AC9">
        <w:rPr>
          <w:rFonts w:hint="cs"/>
          <w:rtl/>
        </w:rPr>
        <w:t>،</w:t>
      </w:r>
      <w:r w:rsidRPr="00282AC9">
        <w:rPr>
          <w:rtl/>
        </w:rPr>
        <w:t xml:space="preserve"> واستعمالاتها التاريخي</w:t>
      </w:r>
      <w:r w:rsidR="00C80335" w:rsidRPr="00282AC9">
        <w:rPr>
          <w:rFonts w:hint="cs"/>
          <w:rtl/>
        </w:rPr>
        <w:t>ّ</w:t>
      </w:r>
      <w:r w:rsidRPr="00282AC9">
        <w:rPr>
          <w:rtl/>
        </w:rPr>
        <w:t>ة. والخليل ـ كما لاح</w:t>
      </w:r>
      <w:r w:rsidR="00C80335" w:rsidRPr="00282AC9">
        <w:rPr>
          <w:rFonts w:hint="cs"/>
          <w:rtl/>
        </w:rPr>
        <w:t>َ</w:t>
      </w:r>
      <w:r w:rsidRPr="00282AC9">
        <w:rPr>
          <w:rtl/>
        </w:rPr>
        <w:t>ظ</w:t>
      </w:r>
      <w:r w:rsidR="00C80335" w:rsidRPr="00282AC9">
        <w:rPr>
          <w:rFonts w:hint="cs"/>
          <w:rtl/>
        </w:rPr>
        <w:t>ْ</w:t>
      </w:r>
      <w:r w:rsidRPr="00282AC9">
        <w:rPr>
          <w:rtl/>
        </w:rPr>
        <w:t>نا ـ لم يقصر معنى الغنم بما يظفر به في ساحة</w:t>
      </w:r>
      <w:r w:rsidR="00F13372" w:rsidRPr="00282AC9">
        <w:rPr>
          <w:rFonts w:hint="cs"/>
          <w:rtl/>
        </w:rPr>
        <w:t xml:space="preserve"> </w:t>
      </w:r>
      <w:r w:rsidRPr="00282AC9">
        <w:rPr>
          <w:rtl/>
        </w:rPr>
        <w:t>الحرب. بل طب</w:t>
      </w:r>
      <w:r w:rsidR="00F13372" w:rsidRPr="00282AC9">
        <w:rPr>
          <w:rFonts w:hint="cs"/>
          <w:rtl/>
        </w:rPr>
        <w:t>َّ</w:t>
      </w:r>
      <w:r w:rsidRPr="00282AC9">
        <w:rPr>
          <w:rtl/>
        </w:rPr>
        <w:t>قه على الف</w:t>
      </w:r>
      <w:r w:rsidR="00F13372" w:rsidRPr="00282AC9">
        <w:rPr>
          <w:rFonts w:hint="cs"/>
          <w:rtl/>
        </w:rPr>
        <w:t>َ</w:t>
      </w:r>
      <w:r w:rsidRPr="00282AC9">
        <w:rPr>
          <w:rtl/>
        </w:rPr>
        <w:t>ي</w:t>
      </w:r>
      <w:r w:rsidR="00F13372" w:rsidRPr="00282AC9">
        <w:rPr>
          <w:rFonts w:hint="cs"/>
          <w:rtl/>
        </w:rPr>
        <w:t>ْء</w:t>
      </w:r>
      <w:r w:rsidRPr="00282AC9">
        <w:rPr>
          <w:rtl/>
        </w:rPr>
        <w:t>، وهو ـ ح</w:t>
      </w:r>
      <w:r w:rsidR="00F13372" w:rsidRPr="00282AC9">
        <w:rPr>
          <w:rFonts w:hint="cs"/>
          <w:rtl/>
        </w:rPr>
        <w:t>َ</w:t>
      </w:r>
      <w:r w:rsidRPr="00282AC9">
        <w:rPr>
          <w:rtl/>
        </w:rPr>
        <w:t>س</w:t>
      </w:r>
      <w:r w:rsidR="00F13372" w:rsidRPr="00282AC9">
        <w:rPr>
          <w:rFonts w:hint="cs"/>
          <w:rtl/>
        </w:rPr>
        <w:t>ْ</w:t>
      </w:r>
      <w:r w:rsidRPr="00282AC9">
        <w:rPr>
          <w:rtl/>
        </w:rPr>
        <w:t>ب المشهور ـ مقابل</w:t>
      </w:r>
      <w:r w:rsidR="00F13372" w:rsidRPr="00282AC9">
        <w:rPr>
          <w:rFonts w:hint="cs"/>
          <w:rtl/>
        </w:rPr>
        <w:t>ٌ</w:t>
      </w:r>
      <w:r w:rsidRPr="00282AC9">
        <w:rPr>
          <w:rtl/>
        </w:rPr>
        <w:t xml:space="preserve"> للغنيمة بالمعنى الأخص</w:t>
      </w:r>
      <w:r w:rsidR="00F13372" w:rsidRPr="00282AC9">
        <w:rPr>
          <w:rFonts w:hint="cs"/>
          <w:rtl/>
        </w:rPr>
        <w:t>ّ</w:t>
      </w:r>
      <w:r w:rsidRPr="00282AC9">
        <w:rPr>
          <w:rtl/>
        </w:rPr>
        <w:t>، أي مم</w:t>
      </w:r>
      <w:r w:rsidR="00F13372" w:rsidRPr="00282AC9">
        <w:rPr>
          <w:rFonts w:hint="cs"/>
          <w:rtl/>
        </w:rPr>
        <w:t>ّ</w:t>
      </w:r>
      <w:r w:rsidRPr="00282AC9">
        <w:rPr>
          <w:rtl/>
        </w:rPr>
        <w:t>ا لم يوجف عليه بخ</w:t>
      </w:r>
      <w:r w:rsidR="00F13372" w:rsidRPr="00282AC9">
        <w:rPr>
          <w:rFonts w:hint="cs"/>
          <w:rtl/>
        </w:rPr>
        <w:t>َ</w:t>
      </w:r>
      <w:r w:rsidRPr="00282AC9">
        <w:rPr>
          <w:rtl/>
        </w:rPr>
        <w:t>ي</w:t>
      </w:r>
      <w:r w:rsidR="00F13372" w:rsidRPr="00282AC9">
        <w:rPr>
          <w:rFonts w:hint="cs"/>
          <w:rtl/>
        </w:rPr>
        <w:t>ْ</w:t>
      </w:r>
      <w:r w:rsidRPr="00282AC9">
        <w:rPr>
          <w:rtl/>
        </w:rPr>
        <w:t>ل</w:t>
      </w:r>
      <w:r w:rsidR="00F13372" w:rsidRPr="00282AC9">
        <w:rPr>
          <w:rFonts w:hint="cs"/>
          <w:rtl/>
        </w:rPr>
        <w:t>ٍ</w:t>
      </w:r>
      <w:r w:rsidR="00F13372" w:rsidRPr="00282AC9">
        <w:rPr>
          <w:rtl/>
        </w:rPr>
        <w:t xml:space="preserve"> أو ركاب.</w:t>
      </w:r>
    </w:p>
    <w:p w:rsidR="00946A76" w:rsidRPr="00282AC9" w:rsidRDefault="00946A76" w:rsidP="00186251">
      <w:pPr>
        <w:rPr>
          <w:bCs/>
          <w:rtl/>
        </w:rPr>
      </w:pPr>
      <w:r w:rsidRPr="00282AC9">
        <w:rPr>
          <w:rtl/>
        </w:rPr>
        <w:t>وذكر ابن منظور ـ من المتأخ</w:t>
      </w:r>
      <w:r w:rsidR="00F13372" w:rsidRPr="00282AC9">
        <w:rPr>
          <w:rFonts w:hint="cs"/>
          <w:rtl/>
        </w:rPr>
        <w:t>ِّ</w:t>
      </w:r>
      <w:r w:rsidRPr="00282AC9">
        <w:rPr>
          <w:rtl/>
        </w:rPr>
        <w:t>رين ـ نفس التعريف</w:t>
      </w:r>
      <w:r w:rsidR="00F13372" w:rsidRPr="00282AC9">
        <w:rPr>
          <w:rFonts w:hint="cs"/>
          <w:rtl/>
        </w:rPr>
        <w:t>،</w:t>
      </w:r>
      <w:r w:rsidRPr="00282AC9">
        <w:rPr>
          <w:rtl/>
        </w:rPr>
        <w:t xml:space="preserve"> ونقله عن الأزهري</w:t>
      </w:r>
      <w:r w:rsidR="00F13372" w:rsidRPr="00282AC9">
        <w:rPr>
          <w:rFonts w:hint="cs"/>
          <w:rtl/>
        </w:rPr>
        <w:t>ّ،</w:t>
      </w:r>
      <w:r w:rsidRPr="00282AC9">
        <w:rPr>
          <w:rtl/>
        </w:rPr>
        <w:t xml:space="preserve"> وطبقه على المعنى الاصطلاحي.</w:t>
      </w:r>
      <w:r w:rsidRPr="00282AC9">
        <w:rPr>
          <w:bCs/>
          <w:rtl/>
        </w:rPr>
        <w:t xml:space="preserve"> </w:t>
      </w:r>
    </w:p>
    <w:p w:rsidR="00F13372" w:rsidRPr="00282AC9" w:rsidRDefault="00946A76" w:rsidP="00186251">
      <w:pPr>
        <w:rPr>
          <w:rtl/>
        </w:rPr>
      </w:pPr>
      <w:r w:rsidRPr="00282AC9">
        <w:rPr>
          <w:rtl/>
        </w:rPr>
        <w:t>وليس ابن فارس وحده الذي لم يفر</w:t>
      </w:r>
      <w:r w:rsidR="00F13372" w:rsidRPr="00282AC9">
        <w:rPr>
          <w:rFonts w:hint="cs"/>
          <w:rtl/>
        </w:rPr>
        <w:t>ِّ</w:t>
      </w:r>
      <w:r w:rsidRPr="00282AC9">
        <w:rPr>
          <w:rtl/>
        </w:rPr>
        <w:t>ق بين الغنم والغنيمة</w:t>
      </w:r>
      <w:r w:rsidR="00F13372" w:rsidRPr="00282AC9">
        <w:rPr>
          <w:rFonts w:hint="cs"/>
          <w:rtl/>
        </w:rPr>
        <w:t>،</w:t>
      </w:r>
      <w:r w:rsidRPr="00282AC9">
        <w:rPr>
          <w:rtl/>
        </w:rPr>
        <w:t xml:space="preserve"> بل كذلك </w:t>
      </w:r>
      <w:r w:rsidR="00F13372" w:rsidRPr="00282AC9">
        <w:rPr>
          <w:rtl/>
        </w:rPr>
        <w:t>الأزهري وابن قتيبة وابن الأثير.</w:t>
      </w:r>
    </w:p>
    <w:p w:rsidR="00F13372" w:rsidRPr="00282AC9" w:rsidRDefault="00946A76" w:rsidP="00186251">
      <w:pPr>
        <w:rPr>
          <w:rtl/>
        </w:rPr>
      </w:pPr>
      <w:r w:rsidRPr="00282AC9">
        <w:rPr>
          <w:rtl/>
        </w:rPr>
        <w:lastRenderedPageBreak/>
        <w:t>كما أن ابن قتيبة وأب</w:t>
      </w:r>
      <w:r w:rsidR="00F13372" w:rsidRPr="00282AC9">
        <w:rPr>
          <w:rFonts w:hint="cs"/>
          <w:rtl/>
        </w:rPr>
        <w:t>ا</w:t>
      </w:r>
      <w:r w:rsidRPr="00282AC9">
        <w:rPr>
          <w:rtl/>
        </w:rPr>
        <w:t xml:space="preserve"> عبيدة كانا متقاربين زمانا</w:t>
      </w:r>
      <w:r w:rsidR="00F13372" w:rsidRPr="00282AC9">
        <w:rPr>
          <w:rFonts w:hint="cs"/>
          <w:rtl/>
        </w:rPr>
        <w:t>ً</w:t>
      </w:r>
      <w:r w:rsidRPr="00282AC9">
        <w:rPr>
          <w:rtl/>
        </w:rPr>
        <w:t>، وابن فارس كان معاصرا</w:t>
      </w:r>
      <w:r w:rsidR="00F13372" w:rsidRPr="00282AC9">
        <w:rPr>
          <w:rFonts w:hint="cs"/>
          <w:rtl/>
        </w:rPr>
        <w:t>ً</w:t>
      </w:r>
      <w:r w:rsidRPr="00282AC9">
        <w:rPr>
          <w:rtl/>
        </w:rPr>
        <w:t xml:space="preserve"> أو مقاربا</w:t>
      </w:r>
      <w:r w:rsidR="00F13372" w:rsidRPr="00282AC9">
        <w:rPr>
          <w:rFonts w:hint="cs"/>
          <w:rtl/>
        </w:rPr>
        <w:t>ً</w:t>
      </w:r>
      <w:r w:rsidRPr="00282AC9">
        <w:rPr>
          <w:rtl/>
        </w:rPr>
        <w:t xml:space="preserve"> زمانا</w:t>
      </w:r>
      <w:r w:rsidR="00F13372" w:rsidRPr="00282AC9">
        <w:rPr>
          <w:rFonts w:hint="cs"/>
          <w:rtl/>
        </w:rPr>
        <w:t>ً</w:t>
      </w:r>
      <w:r w:rsidRPr="00282AC9">
        <w:rPr>
          <w:rtl/>
        </w:rPr>
        <w:t xml:space="preserve"> </w:t>
      </w:r>
      <w:r w:rsidR="00F13372" w:rsidRPr="00282AC9">
        <w:rPr>
          <w:rFonts w:hint="cs"/>
          <w:rtl/>
        </w:rPr>
        <w:t>ل</w:t>
      </w:r>
      <w:r w:rsidRPr="00282AC9">
        <w:rPr>
          <w:rtl/>
        </w:rPr>
        <w:t>لأزهري</w:t>
      </w:r>
      <w:r w:rsidR="00F13372" w:rsidRPr="00282AC9">
        <w:rPr>
          <w:rFonts w:hint="cs"/>
          <w:rtl/>
        </w:rPr>
        <w:t>،</w:t>
      </w:r>
      <w:r w:rsidRPr="00282AC9">
        <w:rPr>
          <w:rtl/>
        </w:rPr>
        <w:t xml:space="preserve"> </w:t>
      </w:r>
      <w:r w:rsidR="00F13372" w:rsidRPr="00282AC9">
        <w:rPr>
          <w:rFonts w:hint="cs"/>
          <w:rtl/>
        </w:rPr>
        <w:t>ول</w:t>
      </w:r>
      <w:r w:rsidRPr="00282AC9">
        <w:rPr>
          <w:rtl/>
        </w:rPr>
        <w:t>لصاحب بن عب</w:t>
      </w:r>
      <w:r w:rsidR="00F13372" w:rsidRPr="00282AC9">
        <w:rPr>
          <w:rFonts w:hint="cs"/>
          <w:rtl/>
        </w:rPr>
        <w:t>ّ</w:t>
      </w:r>
      <w:r w:rsidR="00F13372" w:rsidRPr="00282AC9">
        <w:rPr>
          <w:rtl/>
        </w:rPr>
        <w:t>اد.</w:t>
      </w:r>
    </w:p>
    <w:p w:rsidR="00946A76" w:rsidRPr="00282AC9" w:rsidRDefault="00946A76" w:rsidP="00186251">
      <w:pPr>
        <w:rPr>
          <w:bCs/>
          <w:rtl/>
        </w:rPr>
      </w:pPr>
      <w:r w:rsidRPr="00282AC9">
        <w:rPr>
          <w:rtl/>
        </w:rPr>
        <w:t>و</w:t>
      </w:r>
      <w:r w:rsidR="00F13372" w:rsidRPr="00282AC9">
        <w:rPr>
          <w:rFonts w:hint="cs"/>
          <w:rtl/>
        </w:rPr>
        <w:t xml:space="preserve">صرَّح </w:t>
      </w:r>
      <w:r w:rsidRPr="00282AC9">
        <w:rPr>
          <w:rtl/>
        </w:rPr>
        <w:t>ابن فارس بأن كتاب الخليل وغريب</w:t>
      </w:r>
      <w:r w:rsidR="00F13372" w:rsidRPr="00282AC9">
        <w:rPr>
          <w:rFonts w:hint="cs"/>
          <w:rtl/>
        </w:rPr>
        <w:t>َ</w:t>
      </w:r>
      <w:r w:rsidRPr="00282AC9">
        <w:rPr>
          <w:rtl/>
        </w:rPr>
        <w:t>ي</w:t>
      </w:r>
      <w:r w:rsidR="00F13372" w:rsidRPr="00282AC9">
        <w:rPr>
          <w:rFonts w:hint="cs"/>
          <w:rtl/>
        </w:rPr>
        <w:t>ْ</w:t>
      </w:r>
      <w:r w:rsidRPr="00282AC9">
        <w:rPr>
          <w:rtl/>
        </w:rPr>
        <w:t xml:space="preserve"> أبي عبيدة هما من بين مصادره</w:t>
      </w:r>
      <w:r w:rsidR="00F13372" w:rsidRPr="00282AC9">
        <w:rPr>
          <w:rFonts w:hint="cs"/>
          <w:rtl/>
        </w:rPr>
        <w:t>،</w:t>
      </w:r>
      <w:r w:rsidRPr="00282AC9">
        <w:rPr>
          <w:rtl/>
        </w:rPr>
        <w:t xml:space="preserve"> وأنه اعتمد عليهما</w:t>
      </w:r>
      <w:r w:rsidR="00F13372" w:rsidRPr="00282AC9">
        <w:rPr>
          <w:rFonts w:hint="cs"/>
          <w:rtl/>
        </w:rPr>
        <w:t>،</w:t>
      </w:r>
      <w:r w:rsidRPr="00282AC9">
        <w:rPr>
          <w:rtl/>
        </w:rPr>
        <w:t xml:space="preserve"> وعلى غيرها من المصادر الأصلي</w:t>
      </w:r>
      <w:r w:rsidR="00F13372" w:rsidRPr="00282AC9">
        <w:rPr>
          <w:rFonts w:hint="cs"/>
          <w:rtl/>
        </w:rPr>
        <w:t>ّ</w:t>
      </w:r>
      <w:r w:rsidRPr="00282AC9">
        <w:rPr>
          <w:rtl/>
        </w:rPr>
        <w:t>ة لأئم</w:t>
      </w:r>
      <w:r w:rsidR="00F13372" w:rsidRPr="00282AC9">
        <w:rPr>
          <w:rFonts w:hint="cs"/>
          <w:rtl/>
        </w:rPr>
        <w:t>ّ</w:t>
      </w:r>
      <w:r w:rsidRPr="00282AC9">
        <w:rPr>
          <w:rtl/>
        </w:rPr>
        <w:t>ة اللغة المعروفين</w:t>
      </w:r>
      <w:r w:rsidR="00F13372" w:rsidRPr="00282AC9">
        <w:rPr>
          <w:rFonts w:hint="cs"/>
          <w:rtl/>
        </w:rPr>
        <w:t>،</w:t>
      </w:r>
      <w:r w:rsidRPr="00282AC9">
        <w:rPr>
          <w:rtl/>
        </w:rPr>
        <w:t xml:space="preserve"> مثل</w:t>
      </w:r>
      <w:r w:rsidR="00F13372" w:rsidRPr="00282AC9">
        <w:rPr>
          <w:rFonts w:hint="cs"/>
          <w:rtl/>
        </w:rPr>
        <w:t>:</w:t>
      </w:r>
      <w:r w:rsidRPr="00282AC9">
        <w:rPr>
          <w:rtl/>
        </w:rPr>
        <w:t xml:space="preserve"> كتاب </w:t>
      </w:r>
      <w:r w:rsidRPr="00282AC9">
        <w:rPr>
          <w:rFonts w:hint="eastAsia"/>
          <w:sz w:val="24"/>
          <w:szCs w:val="24"/>
          <w:rtl/>
        </w:rPr>
        <w:t>«</w:t>
      </w:r>
      <w:r w:rsidRPr="00282AC9">
        <w:rPr>
          <w:rtl/>
        </w:rPr>
        <w:t>المنطق</w:t>
      </w:r>
      <w:r w:rsidRPr="00282AC9">
        <w:rPr>
          <w:rFonts w:hint="eastAsia"/>
          <w:sz w:val="24"/>
          <w:szCs w:val="24"/>
          <w:rtl/>
        </w:rPr>
        <w:t>»</w:t>
      </w:r>
      <w:r w:rsidR="00F13372" w:rsidRPr="00282AC9">
        <w:rPr>
          <w:rFonts w:hint="cs"/>
          <w:rtl/>
        </w:rPr>
        <w:t>،</w:t>
      </w:r>
      <w:r w:rsidRPr="00282AC9">
        <w:rPr>
          <w:rtl/>
        </w:rPr>
        <w:t xml:space="preserve"> لابن السك</w:t>
      </w:r>
      <w:r w:rsidR="008275A7" w:rsidRPr="00282AC9">
        <w:rPr>
          <w:rFonts w:hint="cs"/>
          <w:rtl/>
        </w:rPr>
        <w:t>ِّ</w:t>
      </w:r>
      <w:r w:rsidRPr="00282AC9">
        <w:rPr>
          <w:rtl/>
        </w:rPr>
        <w:t>يت(244</w:t>
      </w:r>
      <w:r w:rsidRPr="00282AC9">
        <w:rPr>
          <w:rFonts w:hint="cs"/>
          <w:rtl/>
        </w:rPr>
        <w:t>هـ</w:t>
      </w:r>
      <w:r w:rsidRPr="00282AC9">
        <w:rPr>
          <w:rtl/>
        </w:rPr>
        <w:t>)</w:t>
      </w:r>
      <w:r w:rsidR="00F13372" w:rsidRPr="00282AC9">
        <w:rPr>
          <w:rFonts w:hint="cs"/>
          <w:rtl/>
        </w:rPr>
        <w:t xml:space="preserve">؛ </w:t>
      </w:r>
      <w:r w:rsidRPr="00282AC9">
        <w:rPr>
          <w:rFonts w:hint="cs"/>
          <w:rtl/>
        </w:rPr>
        <w:t>و</w:t>
      </w:r>
      <w:r w:rsidRPr="00282AC9">
        <w:rPr>
          <w:rtl/>
        </w:rPr>
        <w:t xml:space="preserve">كتاب </w:t>
      </w:r>
      <w:r w:rsidRPr="00282AC9">
        <w:rPr>
          <w:rFonts w:hint="eastAsia"/>
          <w:sz w:val="24"/>
          <w:szCs w:val="24"/>
          <w:rtl/>
        </w:rPr>
        <w:t>«</w:t>
      </w:r>
      <w:r w:rsidRPr="00282AC9">
        <w:rPr>
          <w:rtl/>
        </w:rPr>
        <w:t>الجمهرة</w:t>
      </w:r>
      <w:r w:rsidRPr="00282AC9">
        <w:rPr>
          <w:rFonts w:hint="eastAsia"/>
          <w:sz w:val="24"/>
          <w:szCs w:val="24"/>
          <w:rtl/>
        </w:rPr>
        <w:t>»</w:t>
      </w:r>
      <w:r w:rsidR="00F13372" w:rsidRPr="00282AC9">
        <w:rPr>
          <w:rFonts w:hint="cs"/>
          <w:rtl/>
        </w:rPr>
        <w:t>،</w:t>
      </w:r>
      <w:r w:rsidRPr="00282AC9">
        <w:rPr>
          <w:rtl/>
        </w:rPr>
        <w:t xml:space="preserve"> لابن دريد(321</w:t>
      </w:r>
      <w:r w:rsidRPr="00282AC9">
        <w:rPr>
          <w:rFonts w:hint="cs"/>
          <w:rtl/>
        </w:rPr>
        <w:t>هـ</w:t>
      </w:r>
      <w:r w:rsidRPr="00282AC9">
        <w:rPr>
          <w:rtl/>
        </w:rPr>
        <w:t>).</w:t>
      </w:r>
      <w:r w:rsidRPr="00282AC9">
        <w:rPr>
          <w:bCs/>
          <w:rtl/>
        </w:rPr>
        <w:t xml:space="preserve"> </w:t>
      </w:r>
    </w:p>
    <w:p w:rsidR="00946A76" w:rsidRPr="00282AC9" w:rsidRDefault="00946A76" w:rsidP="00186251">
      <w:pPr>
        <w:rPr>
          <w:vertAlign w:val="superscript"/>
          <w:rtl/>
        </w:rPr>
      </w:pPr>
      <w:r w:rsidRPr="00282AC9">
        <w:rPr>
          <w:rtl/>
        </w:rPr>
        <w:t>و</w:t>
      </w:r>
      <w:r w:rsidR="00F13372" w:rsidRPr="00282AC9">
        <w:rPr>
          <w:rFonts w:hint="cs"/>
          <w:rtl/>
        </w:rPr>
        <w:t xml:space="preserve">قال </w:t>
      </w:r>
      <w:r w:rsidRPr="00282AC9">
        <w:rPr>
          <w:rtl/>
        </w:rPr>
        <w:t>ابن فارس</w:t>
      </w:r>
      <w:r w:rsidR="00F13372" w:rsidRPr="00282AC9">
        <w:rPr>
          <w:rFonts w:hint="cs"/>
          <w:rtl/>
        </w:rPr>
        <w:t>،</w:t>
      </w:r>
      <w:r w:rsidRPr="00282AC9">
        <w:rPr>
          <w:rtl/>
        </w:rPr>
        <w:t xml:space="preserve"> بعد أن عد</w:t>
      </w:r>
      <w:r w:rsidR="00F13372" w:rsidRPr="00282AC9">
        <w:rPr>
          <w:rFonts w:hint="cs"/>
          <w:rtl/>
        </w:rPr>
        <w:t>َّ</w:t>
      </w:r>
      <w:r w:rsidRPr="00282AC9">
        <w:rPr>
          <w:rtl/>
        </w:rPr>
        <w:t>د مصادره: وهذه الكتب الخمسة معتمد</w:t>
      </w:r>
      <w:r w:rsidR="00F13372" w:rsidRPr="00282AC9">
        <w:rPr>
          <w:rFonts w:hint="cs"/>
          <w:rtl/>
        </w:rPr>
        <w:t>ُ</w:t>
      </w:r>
      <w:r w:rsidRPr="00282AC9">
        <w:rPr>
          <w:rtl/>
        </w:rPr>
        <w:t>نا في</w:t>
      </w:r>
      <w:r w:rsidR="00F13372" w:rsidRPr="00282AC9">
        <w:rPr>
          <w:rFonts w:hint="cs"/>
          <w:rtl/>
        </w:rPr>
        <w:t xml:space="preserve"> </w:t>
      </w:r>
      <w:r w:rsidRPr="00282AC9">
        <w:rPr>
          <w:rtl/>
        </w:rPr>
        <w:t>ما استنبطناه من مقاييس اللغة، وما بعد هذه الكتب محمول</w:t>
      </w:r>
      <w:r w:rsidR="00F13372" w:rsidRPr="00282AC9">
        <w:rPr>
          <w:rFonts w:hint="cs"/>
          <w:rtl/>
        </w:rPr>
        <w:t>ٌ</w:t>
      </w:r>
      <w:r w:rsidRPr="00282AC9">
        <w:rPr>
          <w:rtl/>
        </w:rPr>
        <w:t xml:space="preserve"> عليها</w:t>
      </w:r>
      <w:r w:rsidR="00F13372" w:rsidRPr="00282AC9">
        <w:rPr>
          <w:rFonts w:hint="cs"/>
          <w:rtl/>
        </w:rPr>
        <w:t>،</w:t>
      </w:r>
      <w:r w:rsidRPr="00282AC9">
        <w:rPr>
          <w:rtl/>
        </w:rPr>
        <w:t xml:space="preserve"> وراجع</w:t>
      </w:r>
      <w:r w:rsidR="00F13372" w:rsidRPr="00282AC9">
        <w:rPr>
          <w:rFonts w:hint="cs"/>
          <w:rtl/>
        </w:rPr>
        <w:t>ٌ</w:t>
      </w:r>
      <w:r w:rsidRPr="00282AC9">
        <w:rPr>
          <w:rtl/>
        </w:rPr>
        <w:t xml:space="preserve"> </w:t>
      </w:r>
      <w:r w:rsidR="00F13372" w:rsidRPr="00282AC9">
        <w:rPr>
          <w:rFonts w:hint="cs"/>
          <w:rtl/>
        </w:rPr>
        <w:t>إ</w:t>
      </w:r>
      <w:r w:rsidRPr="00282AC9">
        <w:rPr>
          <w:rtl/>
        </w:rPr>
        <w:t>ليها</w:t>
      </w:r>
      <w:r w:rsidRPr="00282AC9">
        <w:rPr>
          <w:rFonts w:hint="cs"/>
          <w:vertAlign w:val="superscript"/>
          <w:rtl/>
        </w:rPr>
        <w:t>(</w:t>
      </w:r>
      <w:r w:rsidRPr="00282AC9">
        <w:rPr>
          <w:rStyle w:val="af9"/>
          <w:sz w:val="27"/>
          <w:rtl/>
        </w:rPr>
        <w:endnoteReference w:id="422"/>
      </w:r>
      <w:r w:rsidRPr="00282AC9">
        <w:rPr>
          <w:rFonts w:hint="cs"/>
          <w:vertAlign w:val="superscript"/>
          <w:rtl/>
        </w:rPr>
        <w:t>)</w:t>
      </w:r>
      <w:r w:rsidR="00F13372" w:rsidRPr="00282AC9">
        <w:rPr>
          <w:rFonts w:hint="cs"/>
          <w:rtl/>
        </w:rPr>
        <w:t>.</w:t>
      </w:r>
    </w:p>
    <w:p w:rsidR="00186251" w:rsidRPr="00282AC9" w:rsidRDefault="00186251" w:rsidP="00186251">
      <w:pPr>
        <w:spacing w:line="420" w:lineRule="exact"/>
        <w:rPr>
          <w:rtl/>
        </w:rPr>
      </w:pPr>
    </w:p>
    <w:p w:rsidR="00946A76" w:rsidRPr="00282AC9" w:rsidRDefault="00946A76" w:rsidP="00B70E1F">
      <w:pPr>
        <w:pStyle w:val="31"/>
        <w:rPr>
          <w:color w:val="auto"/>
          <w:rtl/>
        </w:rPr>
      </w:pPr>
      <w:r w:rsidRPr="00282AC9">
        <w:rPr>
          <w:color w:val="auto"/>
          <w:rtl/>
        </w:rPr>
        <w:t xml:space="preserve">الخليل ومدرسة البصرة </w:t>
      </w:r>
    </w:p>
    <w:p w:rsidR="00F13372" w:rsidRPr="00282AC9" w:rsidRDefault="00946A76" w:rsidP="00186251">
      <w:pPr>
        <w:rPr>
          <w:rtl/>
        </w:rPr>
      </w:pPr>
      <w:r w:rsidRPr="00282AC9">
        <w:rPr>
          <w:rtl/>
        </w:rPr>
        <w:t xml:space="preserve">ولا نغفل أن الخليل كان ينتمي </w:t>
      </w:r>
      <w:r w:rsidR="00F13372" w:rsidRPr="00282AC9">
        <w:rPr>
          <w:rFonts w:hint="cs"/>
          <w:rtl/>
        </w:rPr>
        <w:t>إ</w:t>
      </w:r>
      <w:r w:rsidRPr="00282AC9">
        <w:rPr>
          <w:rtl/>
        </w:rPr>
        <w:t>لى مدرسة البصرة</w:t>
      </w:r>
      <w:r w:rsidR="00F13372" w:rsidRPr="00282AC9">
        <w:rPr>
          <w:rFonts w:hint="cs"/>
          <w:rtl/>
        </w:rPr>
        <w:t>،</w:t>
      </w:r>
      <w:r w:rsidRPr="00282AC9">
        <w:rPr>
          <w:rtl/>
        </w:rPr>
        <w:t xml:space="preserve"> التي عرف</w:t>
      </w:r>
      <w:r w:rsidR="00F13372" w:rsidRPr="00282AC9">
        <w:rPr>
          <w:rFonts w:hint="cs"/>
          <w:rtl/>
        </w:rPr>
        <w:t>َ</w:t>
      </w:r>
      <w:r w:rsidRPr="00282AC9">
        <w:rPr>
          <w:rtl/>
        </w:rPr>
        <w:t>ت</w:t>
      </w:r>
      <w:r w:rsidR="00F13372" w:rsidRPr="00282AC9">
        <w:rPr>
          <w:rFonts w:hint="cs"/>
          <w:rtl/>
        </w:rPr>
        <w:t>ْ</w:t>
      </w:r>
      <w:r w:rsidRPr="00282AC9">
        <w:rPr>
          <w:rtl/>
        </w:rPr>
        <w:t xml:space="preserve"> باستخدام القياس والاجتهاد والمنطق</w:t>
      </w:r>
      <w:r w:rsidR="00F13372" w:rsidRPr="00282AC9">
        <w:rPr>
          <w:rFonts w:hint="cs"/>
          <w:rtl/>
        </w:rPr>
        <w:t>،</w:t>
      </w:r>
      <w:r w:rsidRPr="00282AC9">
        <w:rPr>
          <w:rtl/>
        </w:rPr>
        <w:t xml:space="preserve"> </w:t>
      </w:r>
      <w:r w:rsidR="00F13372" w:rsidRPr="00282AC9">
        <w:rPr>
          <w:rFonts w:hint="cs"/>
          <w:rtl/>
        </w:rPr>
        <w:t>إ</w:t>
      </w:r>
      <w:r w:rsidRPr="00282AC9">
        <w:rPr>
          <w:rtl/>
        </w:rPr>
        <w:t>لى جانب اعتماد الرواية في اللغة</w:t>
      </w:r>
      <w:r w:rsidR="00F13372" w:rsidRPr="00282AC9">
        <w:rPr>
          <w:rFonts w:hint="cs"/>
          <w:rtl/>
        </w:rPr>
        <w:t xml:space="preserve">، </w:t>
      </w:r>
      <w:r w:rsidRPr="00282AC9">
        <w:rPr>
          <w:rtl/>
        </w:rPr>
        <w:t>وأن كتابه اشتمل على كلمات مول</w:t>
      </w:r>
      <w:r w:rsidR="00F13372" w:rsidRPr="00282AC9">
        <w:rPr>
          <w:rFonts w:hint="cs"/>
          <w:rtl/>
        </w:rPr>
        <w:t>ّ</w:t>
      </w:r>
      <w:r w:rsidRPr="00282AC9">
        <w:rPr>
          <w:rtl/>
        </w:rPr>
        <w:t>دة ومستحد</w:t>
      </w:r>
      <w:r w:rsidR="00F13372" w:rsidRPr="00282AC9">
        <w:rPr>
          <w:rFonts w:hint="cs"/>
          <w:rtl/>
        </w:rPr>
        <w:t>َ</w:t>
      </w:r>
      <w:r w:rsidRPr="00282AC9">
        <w:rPr>
          <w:rtl/>
        </w:rPr>
        <w:t>ثة ومصطنعة</w:t>
      </w:r>
      <w:r w:rsidR="00F13372" w:rsidRPr="00282AC9">
        <w:rPr>
          <w:rFonts w:hint="cs"/>
          <w:rtl/>
        </w:rPr>
        <w:t>،</w:t>
      </w:r>
      <w:r w:rsidRPr="00282AC9">
        <w:rPr>
          <w:rtl/>
        </w:rPr>
        <w:t xml:space="preserve"> مثل</w:t>
      </w:r>
      <w:r w:rsidR="00F13372" w:rsidRPr="00282AC9">
        <w:rPr>
          <w:rFonts w:hint="cs"/>
          <w:rtl/>
        </w:rPr>
        <w:t>:</w:t>
      </w:r>
      <w:r w:rsidRPr="00282AC9">
        <w:rPr>
          <w:rtl/>
        </w:rPr>
        <w:t xml:space="preserve"> دهداق، دهدق</w:t>
      </w:r>
      <w:r w:rsidRPr="00282AC9">
        <w:rPr>
          <w:rFonts w:hint="cs"/>
          <w:vertAlign w:val="superscript"/>
          <w:rtl/>
        </w:rPr>
        <w:t>(</w:t>
      </w:r>
      <w:r w:rsidRPr="00282AC9">
        <w:rPr>
          <w:rStyle w:val="af9"/>
          <w:sz w:val="27"/>
          <w:rtl/>
        </w:rPr>
        <w:endnoteReference w:id="423"/>
      </w:r>
      <w:r w:rsidRPr="00282AC9">
        <w:rPr>
          <w:rFonts w:hint="cs"/>
          <w:vertAlign w:val="superscript"/>
          <w:rtl/>
        </w:rPr>
        <w:t>)</w:t>
      </w:r>
      <w:r w:rsidR="00F13372" w:rsidRPr="00282AC9">
        <w:rPr>
          <w:rFonts w:hint="cs"/>
          <w:rtl/>
        </w:rPr>
        <w:t>.</w:t>
      </w:r>
      <w:r w:rsidRPr="00282AC9">
        <w:rPr>
          <w:rFonts w:hint="cs"/>
          <w:rtl/>
        </w:rPr>
        <w:t xml:space="preserve"> </w:t>
      </w:r>
      <w:r w:rsidRPr="00282AC9">
        <w:rPr>
          <w:rtl/>
        </w:rPr>
        <w:t>وثم</w:t>
      </w:r>
      <w:r w:rsidR="00F13372" w:rsidRPr="00282AC9">
        <w:rPr>
          <w:rFonts w:hint="cs"/>
          <w:rtl/>
        </w:rPr>
        <w:t>ّ</w:t>
      </w:r>
      <w:r w:rsidRPr="00282AC9">
        <w:rPr>
          <w:rtl/>
        </w:rPr>
        <w:t>ة دعوى حول اعتماده على الإمكان الذهني</w:t>
      </w:r>
      <w:r w:rsidR="00F13372" w:rsidRPr="00282AC9">
        <w:rPr>
          <w:rFonts w:hint="cs"/>
          <w:rtl/>
        </w:rPr>
        <w:t>،</w:t>
      </w:r>
      <w:r w:rsidRPr="00282AC9">
        <w:rPr>
          <w:rtl/>
        </w:rPr>
        <w:t xml:space="preserve"> وإسرافه في الاعتماد على المسلك المنطقي والرياضي</w:t>
      </w:r>
      <w:r w:rsidR="00F13372" w:rsidRPr="00282AC9">
        <w:rPr>
          <w:rFonts w:hint="cs"/>
          <w:rtl/>
        </w:rPr>
        <w:t>،</w:t>
      </w:r>
      <w:r w:rsidRPr="00282AC9">
        <w:rPr>
          <w:rtl/>
        </w:rPr>
        <w:t xml:space="preserve"> البعيد عن الواقع التداولي والاجتماعي</w:t>
      </w:r>
      <w:r w:rsidRPr="00282AC9">
        <w:rPr>
          <w:rFonts w:hint="cs"/>
          <w:vertAlign w:val="superscript"/>
          <w:rtl/>
        </w:rPr>
        <w:t>(</w:t>
      </w:r>
      <w:r w:rsidRPr="00282AC9">
        <w:rPr>
          <w:rStyle w:val="af9"/>
          <w:sz w:val="27"/>
          <w:rtl/>
        </w:rPr>
        <w:endnoteReference w:id="424"/>
      </w:r>
      <w:r w:rsidRPr="00282AC9">
        <w:rPr>
          <w:rFonts w:hint="cs"/>
          <w:vertAlign w:val="superscript"/>
          <w:rtl/>
        </w:rPr>
        <w:t>)</w:t>
      </w:r>
      <w:r w:rsidR="00F13372" w:rsidRPr="00282AC9">
        <w:rPr>
          <w:rtl/>
        </w:rPr>
        <w:t>.</w:t>
      </w:r>
    </w:p>
    <w:p w:rsidR="00F13372" w:rsidRPr="00282AC9" w:rsidRDefault="00946A76" w:rsidP="00186251">
      <w:pPr>
        <w:rPr>
          <w:rtl/>
        </w:rPr>
      </w:pPr>
      <w:r w:rsidRPr="00282AC9">
        <w:rPr>
          <w:rtl/>
        </w:rPr>
        <w:t>وهناك م</w:t>
      </w:r>
      <w:r w:rsidR="00F13372" w:rsidRPr="00282AC9">
        <w:rPr>
          <w:rFonts w:hint="cs"/>
          <w:rtl/>
        </w:rPr>
        <w:t>َ</w:t>
      </w:r>
      <w:r w:rsidRPr="00282AC9">
        <w:rPr>
          <w:rtl/>
        </w:rPr>
        <w:t>ن</w:t>
      </w:r>
      <w:r w:rsidR="00F13372" w:rsidRPr="00282AC9">
        <w:rPr>
          <w:rFonts w:hint="cs"/>
          <w:rtl/>
        </w:rPr>
        <w:t>ْ</w:t>
      </w:r>
      <w:r w:rsidRPr="00282AC9">
        <w:rPr>
          <w:rtl/>
        </w:rPr>
        <w:t xml:space="preserve"> شك</w:t>
      </w:r>
      <w:r w:rsidR="00F13372" w:rsidRPr="00282AC9">
        <w:rPr>
          <w:rFonts w:hint="cs"/>
          <w:rtl/>
        </w:rPr>
        <w:t>َّ</w:t>
      </w:r>
      <w:r w:rsidRPr="00282AC9">
        <w:rPr>
          <w:rtl/>
        </w:rPr>
        <w:t>ك في نسبة معجم العين الى الخليل، مثل</w:t>
      </w:r>
      <w:r w:rsidR="00F13372" w:rsidRPr="00282AC9">
        <w:rPr>
          <w:rFonts w:hint="cs"/>
          <w:rtl/>
        </w:rPr>
        <w:t>:</w:t>
      </w:r>
      <w:r w:rsidRPr="00282AC9">
        <w:rPr>
          <w:rtl/>
        </w:rPr>
        <w:t xml:space="preserve"> أبي حاتم السجستاني والأزهري</w:t>
      </w:r>
      <w:r w:rsidR="00F13372" w:rsidRPr="00282AC9">
        <w:rPr>
          <w:rFonts w:hint="cs"/>
          <w:rtl/>
        </w:rPr>
        <w:t>،</w:t>
      </w:r>
      <w:r w:rsidRPr="00282AC9">
        <w:rPr>
          <w:rtl/>
        </w:rPr>
        <w:t xml:space="preserve"> الذي كان يزعم </w:t>
      </w:r>
      <w:r w:rsidR="00F13372" w:rsidRPr="00282AC9">
        <w:rPr>
          <w:rFonts w:hint="cs"/>
          <w:rtl/>
        </w:rPr>
        <w:t>أ</w:t>
      </w:r>
      <w:r w:rsidRPr="00282AC9">
        <w:rPr>
          <w:rtl/>
        </w:rPr>
        <w:t>نه لليث</w:t>
      </w:r>
      <w:r w:rsidR="00F13372" w:rsidRPr="00282AC9">
        <w:rPr>
          <w:rFonts w:hint="cs"/>
          <w:rtl/>
        </w:rPr>
        <w:t>،</w:t>
      </w:r>
      <w:r w:rsidR="00F13372" w:rsidRPr="00282AC9">
        <w:rPr>
          <w:rtl/>
        </w:rPr>
        <w:t xml:space="preserve"> وأن الخليل نحله!</w:t>
      </w:r>
    </w:p>
    <w:p w:rsidR="00F13372" w:rsidRPr="00282AC9" w:rsidRDefault="00946A76" w:rsidP="00186251">
      <w:pPr>
        <w:rPr>
          <w:rtl/>
        </w:rPr>
      </w:pPr>
      <w:r w:rsidRPr="00282AC9">
        <w:rPr>
          <w:rtl/>
        </w:rPr>
        <w:t>مقابل م</w:t>
      </w:r>
      <w:r w:rsidR="00F13372" w:rsidRPr="00282AC9">
        <w:rPr>
          <w:rFonts w:hint="cs"/>
          <w:rtl/>
        </w:rPr>
        <w:t>َ</w:t>
      </w:r>
      <w:r w:rsidRPr="00282AC9">
        <w:rPr>
          <w:rtl/>
        </w:rPr>
        <w:t>ن</w:t>
      </w:r>
      <w:r w:rsidR="00F13372" w:rsidRPr="00282AC9">
        <w:rPr>
          <w:rFonts w:hint="cs"/>
          <w:rtl/>
        </w:rPr>
        <w:t>ْ</w:t>
      </w:r>
      <w:r w:rsidRPr="00282AC9">
        <w:rPr>
          <w:rtl/>
        </w:rPr>
        <w:t xml:space="preserve"> أثبت نسبته </w:t>
      </w:r>
      <w:r w:rsidR="00F13372" w:rsidRPr="00282AC9">
        <w:rPr>
          <w:rFonts w:hint="cs"/>
          <w:rtl/>
        </w:rPr>
        <w:t>إ</w:t>
      </w:r>
      <w:r w:rsidRPr="00282AC9">
        <w:rPr>
          <w:rtl/>
        </w:rPr>
        <w:t>ليه</w:t>
      </w:r>
      <w:r w:rsidR="00F13372" w:rsidRPr="00282AC9">
        <w:rPr>
          <w:rFonts w:hint="cs"/>
          <w:rtl/>
        </w:rPr>
        <w:t>،</w:t>
      </w:r>
      <w:r w:rsidRPr="00282AC9">
        <w:rPr>
          <w:rtl/>
        </w:rPr>
        <w:t xml:space="preserve"> مثل</w:t>
      </w:r>
      <w:r w:rsidR="00F13372" w:rsidRPr="00282AC9">
        <w:rPr>
          <w:rFonts w:hint="cs"/>
          <w:rtl/>
        </w:rPr>
        <w:t>:</w:t>
      </w:r>
      <w:r w:rsidRPr="00282AC9">
        <w:rPr>
          <w:rtl/>
        </w:rPr>
        <w:t xml:space="preserve"> ابن دريد</w:t>
      </w:r>
      <w:r w:rsidR="00F13372" w:rsidRPr="00282AC9">
        <w:rPr>
          <w:rFonts w:hint="cs"/>
          <w:rtl/>
        </w:rPr>
        <w:t>.</w:t>
      </w:r>
    </w:p>
    <w:p w:rsidR="00946A76" w:rsidRPr="00282AC9" w:rsidRDefault="00946A76" w:rsidP="00186251">
      <w:pPr>
        <w:rPr>
          <w:rtl/>
        </w:rPr>
      </w:pPr>
      <w:r w:rsidRPr="00282AC9">
        <w:rPr>
          <w:rtl/>
        </w:rPr>
        <w:t>وهو الذي استقر</w:t>
      </w:r>
      <w:r w:rsidR="00F13372" w:rsidRPr="00282AC9">
        <w:rPr>
          <w:rFonts w:hint="cs"/>
          <w:rtl/>
        </w:rPr>
        <w:t>َّ</w:t>
      </w:r>
      <w:r w:rsidRPr="00282AC9">
        <w:rPr>
          <w:rtl/>
        </w:rPr>
        <w:t>ت</w:t>
      </w:r>
      <w:r w:rsidR="00F13372" w:rsidRPr="00282AC9">
        <w:rPr>
          <w:rFonts w:hint="cs"/>
          <w:rtl/>
        </w:rPr>
        <w:t>ْ</w:t>
      </w:r>
      <w:r w:rsidRPr="00282AC9">
        <w:rPr>
          <w:rtl/>
        </w:rPr>
        <w:t xml:space="preserve"> عليه شهرته</w:t>
      </w:r>
      <w:r w:rsidR="00F13372" w:rsidRPr="00282AC9">
        <w:rPr>
          <w:rFonts w:hint="cs"/>
          <w:rtl/>
        </w:rPr>
        <w:t>،</w:t>
      </w:r>
      <w:r w:rsidRPr="00282AC9">
        <w:rPr>
          <w:rtl/>
        </w:rPr>
        <w:t xml:space="preserve"> ويؤك</w:t>
      </w:r>
      <w:r w:rsidR="00F13372" w:rsidRPr="00282AC9">
        <w:rPr>
          <w:rFonts w:hint="cs"/>
          <w:rtl/>
        </w:rPr>
        <w:t>ِّ</w:t>
      </w:r>
      <w:r w:rsidRPr="00282AC9">
        <w:rPr>
          <w:rtl/>
        </w:rPr>
        <w:t>ده بعض المحق</w:t>
      </w:r>
      <w:r w:rsidR="00F13372" w:rsidRPr="00282AC9">
        <w:rPr>
          <w:rFonts w:hint="cs"/>
          <w:rtl/>
        </w:rPr>
        <w:t>ِّ</w:t>
      </w:r>
      <w:r w:rsidRPr="00282AC9">
        <w:rPr>
          <w:rtl/>
        </w:rPr>
        <w:t>قين</w:t>
      </w:r>
      <w:r w:rsidRPr="00282AC9">
        <w:rPr>
          <w:rFonts w:hint="cs"/>
          <w:vertAlign w:val="superscript"/>
          <w:rtl/>
        </w:rPr>
        <w:t>(</w:t>
      </w:r>
      <w:r w:rsidRPr="00282AC9">
        <w:rPr>
          <w:rStyle w:val="af9"/>
          <w:sz w:val="27"/>
          <w:rtl/>
        </w:rPr>
        <w:endnoteReference w:id="425"/>
      </w:r>
      <w:r w:rsidRPr="00282AC9">
        <w:rPr>
          <w:rFonts w:hint="cs"/>
          <w:vertAlign w:val="superscript"/>
          <w:rtl/>
        </w:rPr>
        <w:t>)</w:t>
      </w:r>
      <w:r w:rsidRPr="00282AC9">
        <w:rPr>
          <w:rFonts w:hint="cs"/>
          <w:rtl/>
        </w:rPr>
        <w:t>.</w:t>
      </w:r>
    </w:p>
    <w:p w:rsidR="00946A76" w:rsidRPr="00282AC9" w:rsidRDefault="00946A76" w:rsidP="00186251">
      <w:pPr>
        <w:rPr>
          <w:bCs/>
          <w:rtl/>
        </w:rPr>
      </w:pPr>
      <w:r w:rsidRPr="00282AC9">
        <w:rPr>
          <w:rtl/>
        </w:rPr>
        <w:t>ويبدو أن التفريق في كلمات بعض اللغوي</w:t>
      </w:r>
      <w:r w:rsidR="00F13372" w:rsidRPr="00282AC9">
        <w:rPr>
          <w:rFonts w:hint="cs"/>
          <w:rtl/>
        </w:rPr>
        <w:t>ّ</w:t>
      </w:r>
      <w:r w:rsidRPr="00282AC9">
        <w:rPr>
          <w:rtl/>
        </w:rPr>
        <w:t>ين بين الغنم والغنيمة يرجع الى أنهم يذكرون المعنى اللغو</w:t>
      </w:r>
      <w:r w:rsidR="00F13372" w:rsidRPr="00282AC9">
        <w:rPr>
          <w:rFonts w:hint="cs"/>
          <w:rtl/>
        </w:rPr>
        <w:t>يّ</w:t>
      </w:r>
      <w:r w:rsidRPr="00282AC9">
        <w:rPr>
          <w:rtl/>
        </w:rPr>
        <w:t xml:space="preserve"> أو</w:t>
      </w:r>
      <w:r w:rsidR="00F13372" w:rsidRPr="00282AC9">
        <w:rPr>
          <w:rFonts w:hint="cs"/>
          <w:rtl/>
        </w:rPr>
        <w:t>ّ</w:t>
      </w:r>
      <w:r w:rsidRPr="00282AC9">
        <w:rPr>
          <w:rtl/>
        </w:rPr>
        <w:t>لا</w:t>
      </w:r>
      <w:r w:rsidR="00F13372" w:rsidRPr="00282AC9">
        <w:rPr>
          <w:rFonts w:hint="cs"/>
          <w:rtl/>
        </w:rPr>
        <w:t>ً،</w:t>
      </w:r>
      <w:r w:rsidRPr="00282AC9">
        <w:rPr>
          <w:rtl/>
        </w:rPr>
        <w:t xml:space="preserve"> ثم</w:t>
      </w:r>
      <w:r w:rsidR="00F13372" w:rsidRPr="00282AC9">
        <w:rPr>
          <w:rFonts w:hint="cs"/>
          <w:rtl/>
        </w:rPr>
        <w:t>ّ</w:t>
      </w:r>
      <w:r w:rsidRPr="00282AC9">
        <w:rPr>
          <w:rtl/>
        </w:rPr>
        <w:t xml:space="preserve"> يطب</w:t>
      </w:r>
      <w:r w:rsidR="00F13372" w:rsidRPr="00282AC9">
        <w:rPr>
          <w:rFonts w:hint="cs"/>
          <w:rtl/>
        </w:rPr>
        <w:t>ِّ</w:t>
      </w:r>
      <w:r w:rsidRPr="00282AC9">
        <w:rPr>
          <w:rtl/>
        </w:rPr>
        <w:t>قونه ـ ح</w:t>
      </w:r>
      <w:r w:rsidR="00F13372" w:rsidRPr="00282AC9">
        <w:rPr>
          <w:rFonts w:hint="cs"/>
          <w:rtl/>
        </w:rPr>
        <w:t>َ</w:t>
      </w:r>
      <w:r w:rsidRPr="00282AC9">
        <w:rPr>
          <w:rtl/>
        </w:rPr>
        <w:t>س</w:t>
      </w:r>
      <w:r w:rsidR="00F13372" w:rsidRPr="00282AC9">
        <w:rPr>
          <w:rFonts w:hint="cs"/>
          <w:rtl/>
        </w:rPr>
        <w:t>ْ</w:t>
      </w:r>
      <w:r w:rsidRPr="00282AC9">
        <w:rPr>
          <w:rtl/>
        </w:rPr>
        <w:t>ب اجتهادهم ـ على مجالات الاستعمال والتداول الفقهي.</w:t>
      </w:r>
    </w:p>
    <w:p w:rsidR="00946A76" w:rsidRPr="00282AC9" w:rsidRDefault="00946A76" w:rsidP="00186251">
      <w:pPr>
        <w:rPr>
          <w:bCs/>
          <w:rtl/>
        </w:rPr>
      </w:pPr>
      <w:r w:rsidRPr="00282AC9">
        <w:rPr>
          <w:rtl/>
        </w:rPr>
        <w:t>وقد يقد</w:t>
      </w:r>
      <w:r w:rsidR="00F13372" w:rsidRPr="00282AC9">
        <w:rPr>
          <w:rFonts w:hint="cs"/>
          <w:rtl/>
        </w:rPr>
        <w:t>ِّ</w:t>
      </w:r>
      <w:r w:rsidRPr="00282AC9">
        <w:rPr>
          <w:rtl/>
        </w:rPr>
        <w:t>م بعضهم المصداق، بينما يبدأ بعضهم بالتعريف</w:t>
      </w:r>
      <w:r w:rsidR="00F13372" w:rsidRPr="00282AC9">
        <w:rPr>
          <w:rFonts w:hint="cs"/>
          <w:rtl/>
        </w:rPr>
        <w:t>،</w:t>
      </w:r>
      <w:r w:rsidRPr="00282AC9">
        <w:rPr>
          <w:rtl/>
        </w:rPr>
        <w:t xml:space="preserve"> ثم</w:t>
      </w:r>
      <w:r w:rsidR="00F13372" w:rsidRPr="00282AC9">
        <w:rPr>
          <w:rFonts w:hint="cs"/>
          <w:rtl/>
        </w:rPr>
        <w:t>ّ</w:t>
      </w:r>
      <w:r w:rsidRPr="00282AC9">
        <w:rPr>
          <w:rtl/>
        </w:rPr>
        <w:t xml:space="preserve"> يردفه بالمصداق. وقد يطب</w:t>
      </w:r>
      <w:r w:rsidR="00F13372" w:rsidRPr="00282AC9">
        <w:rPr>
          <w:rFonts w:hint="cs"/>
          <w:rtl/>
        </w:rPr>
        <w:t>ِّ</w:t>
      </w:r>
      <w:r w:rsidRPr="00282AC9">
        <w:rPr>
          <w:rtl/>
        </w:rPr>
        <w:t>ق بعضهم المعنى على آية الغنيمة</w:t>
      </w:r>
      <w:r w:rsidR="00F13372" w:rsidRPr="00282AC9">
        <w:rPr>
          <w:rFonts w:hint="cs"/>
          <w:rtl/>
        </w:rPr>
        <w:t xml:space="preserve">، </w:t>
      </w:r>
      <w:r w:rsidRPr="00282AC9">
        <w:rPr>
          <w:rtl/>
        </w:rPr>
        <w:t>أو يستشهد بها</w:t>
      </w:r>
      <w:r w:rsidR="00F13372" w:rsidRPr="00282AC9">
        <w:rPr>
          <w:rFonts w:hint="cs"/>
          <w:rtl/>
        </w:rPr>
        <w:t>؛</w:t>
      </w:r>
      <w:r w:rsidRPr="00282AC9">
        <w:rPr>
          <w:rtl/>
        </w:rPr>
        <w:t xml:space="preserve"> لكون موضوعها مصداقا</w:t>
      </w:r>
      <w:r w:rsidR="00F13372" w:rsidRPr="00282AC9">
        <w:rPr>
          <w:rFonts w:hint="cs"/>
          <w:rtl/>
        </w:rPr>
        <w:t>ً</w:t>
      </w:r>
      <w:r w:rsidRPr="00282AC9">
        <w:rPr>
          <w:rtl/>
        </w:rPr>
        <w:t xml:space="preserve"> بارزا</w:t>
      </w:r>
      <w:r w:rsidR="00F13372" w:rsidRPr="00282AC9">
        <w:rPr>
          <w:rFonts w:hint="cs"/>
          <w:rtl/>
        </w:rPr>
        <w:t>ً</w:t>
      </w:r>
      <w:r w:rsidRPr="00282AC9">
        <w:rPr>
          <w:rtl/>
        </w:rPr>
        <w:t xml:space="preserve"> لها</w:t>
      </w:r>
      <w:r w:rsidR="00F13372" w:rsidRPr="00282AC9">
        <w:rPr>
          <w:rFonts w:hint="cs"/>
          <w:rtl/>
        </w:rPr>
        <w:t>،</w:t>
      </w:r>
      <w:r w:rsidRPr="00282AC9">
        <w:rPr>
          <w:rtl/>
        </w:rPr>
        <w:t xml:space="preserve"> وإلا</w:t>
      </w:r>
      <w:r w:rsidR="00F13372" w:rsidRPr="00282AC9">
        <w:rPr>
          <w:rFonts w:hint="cs"/>
          <w:rtl/>
        </w:rPr>
        <w:t>ّ</w:t>
      </w:r>
      <w:r w:rsidRPr="00282AC9">
        <w:rPr>
          <w:rtl/>
        </w:rPr>
        <w:t xml:space="preserve"> ف</w:t>
      </w:r>
      <w:r w:rsidR="008275A7" w:rsidRPr="00282AC9">
        <w:rPr>
          <w:rFonts w:hint="cs"/>
          <w:rtl/>
        </w:rPr>
        <w:t>إ</w:t>
      </w:r>
      <w:r w:rsidRPr="00282AC9">
        <w:rPr>
          <w:rtl/>
        </w:rPr>
        <w:t>ن الغنيمة مصدر غنم</w:t>
      </w:r>
      <w:r w:rsidR="00F13372" w:rsidRPr="00282AC9">
        <w:rPr>
          <w:rFonts w:hint="cs"/>
          <w:rtl/>
        </w:rPr>
        <w:t>،</w:t>
      </w:r>
      <w:r w:rsidRPr="00282AC9">
        <w:rPr>
          <w:rtl/>
        </w:rPr>
        <w:t xml:space="preserve"> ومن مشتق</w:t>
      </w:r>
      <w:r w:rsidR="00F13372" w:rsidRPr="00282AC9">
        <w:rPr>
          <w:rFonts w:hint="cs"/>
          <w:rtl/>
        </w:rPr>
        <w:t>ّ</w:t>
      </w:r>
      <w:r w:rsidRPr="00282AC9">
        <w:rPr>
          <w:rtl/>
        </w:rPr>
        <w:t>اتها</w:t>
      </w:r>
      <w:r w:rsidR="00F13372" w:rsidRPr="00282AC9">
        <w:rPr>
          <w:rFonts w:hint="cs"/>
          <w:rtl/>
        </w:rPr>
        <w:t>،</w:t>
      </w:r>
      <w:r w:rsidRPr="00282AC9">
        <w:rPr>
          <w:rtl/>
        </w:rPr>
        <w:t xml:space="preserve"> وليست أجنبي</w:t>
      </w:r>
      <w:r w:rsidR="00F13372" w:rsidRPr="00282AC9">
        <w:rPr>
          <w:rFonts w:hint="cs"/>
          <w:rtl/>
        </w:rPr>
        <w:t>ّ</w:t>
      </w:r>
      <w:r w:rsidRPr="00282AC9">
        <w:rPr>
          <w:rtl/>
        </w:rPr>
        <w:t>ة</w:t>
      </w:r>
      <w:r w:rsidR="00F13372" w:rsidRPr="00282AC9">
        <w:rPr>
          <w:rFonts w:hint="cs"/>
          <w:rtl/>
        </w:rPr>
        <w:t>ً</w:t>
      </w:r>
      <w:r w:rsidRPr="00282AC9">
        <w:rPr>
          <w:rtl/>
        </w:rPr>
        <w:t xml:space="preserve"> عنها. </w:t>
      </w:r>
    </w:p>
    <w:p w:rsidR="00946A76" w:rsidRPr="00282AC9" w:rsidRDefault="00946A76" w:rsidP="00186251">
      <w:pPr>
        <w:rPr>
          <w:bCs/>
          <w:rtl/>
        </w:rPr>
      </w:pPr>
      <w:r w:rsidRPr="00282AC9">
        <w:rPr>
          <w:rtl/>
        </w:rPr>
        <w:t>ومع الأهم</w:t>
      </w:r>
      <w:r w:rsidR="00F13372" w:rsidRPr="00282AC9">
        <w:rPr>
          <w:rFonts w:hint="cs"/>
          <w:rtl/>
        </w:rPr>
        <w:t>ّ</w:t>
      </w:r>
      <w:r w:rsidRPr="00282AC9">
        <w:rPr>
          <w:rtl/>
        </w:rPr>
        <w:t>ية المرجعية للغة واستعمالاتها المعهودة في تحديد دلالات النصوص، إلا</w:t>
      </w:r>
      <w:r w:rsidR="00F13372" w:rsidRPr="00282AC9">
        <w:rPr>
          <w:rFonts w:hint="cs"/>
          <w:rtl/>
        </w:rPr>
        <w:t>ّ</w:t>
      </w:r>
      <w:r w:rsidRPr="00282AC9">
        <w:rPr>
          <w:rtl/>
        </w:rPr>
        <w:t xml:space="preserve"> أنها كظاهرة</w:t>
      </w:r>
      <w:r w:rsidR="00F13372" w:rsidRPr="00282AC9">
        <w:rPr>
          <w:rFonts w:hint="cs"/>
          <w:rtl/>
        </w:rPr>
        <w:t>ٍ</w:t>
      </w:r>
      <w:r w:rsidRPr="00282AC9">
        <w:rPr>
          <w:rtl/>
        </w:rPr>
        <w:t xml:space="preserve"> اجتماعية تخضع لموازين التطو</w:t>
      </w:r>
      <w:r w:rsidR="00F13372" w:rsidRPr="00282AC9">
        <w:rPr>
          <w:rFonts w:hint="cs"/>
          <w:rtl/>
        </w:rPr>
        <w:t>ُّ</w:t>
      </w:r>
      <w:r w:rsidRPr="00282AC9">
        <w:rPr>
          <w:rtl/>
        </w:rPr>
        <w:t>ر والتغي</w:t>
      </w:r>
      <w:r w:rsidR="00F13372" w:rsidRPr="00282AC9">
        <w:rPr>
          <w:rFonts w:hint="cs"/>
          <w:rtl/>
        </w:rPr>
        <w:t>ُّ</w:t>
      </w:r>
      <w:r w:rsidRPr="00282AC9">
        <w:rPr>
          <w:rtl/>
        </w:rPr>
        <w:t>ر</w:t>
      </w:r>
      <w:r w:rsidR="00F13372" w:rsidRPr="00282AC9">
        <w:rPr>
          <w:rFonts w:hint="cs"/>
          <w:rtl/>
        </w:rPr>
        <w:t>،</w:t>
      </w:r>
      <w:r w:rsidRPr="00282AC9">
        <w:rPr>
          <w:rtl/>
        </w:rPr>
        <w:t xml:space="preserve"> وإن</w:t>
      </w:r>
      <w:r w:rsidR="00F13372" w:rsidRPr="00282AC9">
        <w:rPr>
          <w:rFonts w:hint="cs"/>
          <w:rtl/>
        </w:rPr>
        <w:t>ْ</w:t>
      </w:r>
      <w:r w:rsidRPr="00282AC9">
        <w:rPr>
          <w:rtl/>
        </w:rPr>
        <w:t xml:space="preserve"> كان تطو</w:t>
      </w:r>
      <w:r w:rsidR="00F13372" w:rsidRPr="00282AC9">
        <w:rPr>
          <w:rFonts w:hint="cs"/>
          <w:rtl/>
        </w:rPr>
        <w:t>ُّ</w:t>
      </w:r>
      <w:r w:rsidRPr="00282AC9">
        <w:rPr>
          <w:rtl/>
        </w:rPr>
        <w:t>رها بطيئا</w:t>
      </w:r>
      <w:r w:rsidR="00F13372" w:rsidRPr="00282AC9">
        <w:rPr>
          <w:rFonts w:hint="cs"/>
          <w:rtl/>
        </w:rPr>
        <w:t>ً،</w:t>
      </w:r>
      <w:r w:rsidRPr="00282AC9">
        <w:rPr>
          <w:rtl/>
        </w:rPr>
        <w:t xml:space="preserve"> ومن </w:t>
      </w:r>
      <w:r w:rsidRPr="00282AC9">
        <w:rPr>
          <w:rtl/>
        </w:rPr>
        <w:lastRenderedPageBreak/>
        <w:t>ث</w:t>
      </w:r>
      <w:r w:rsidR="00F13372" w:rsidRPr="00282AC9">
        <w:rPr>
          <w:rFonts w:hint="cs"/>
          <w:rtl/>
        </w:rPr>
        <w:t>َ</w:t>
      </w:r>
      <w:r w:rsidRPr="00282AC9">
        <w:rPr>
          <w:rtl/>
        </w:rPr>
        <w:t>م</w:t>
      </w:r>
      <w:r w:rsidR="00F13372" w:rsidRPr="00282AC9">
        <w:rPr>
          <w:rFonts w:hint="cs"/>
          <w:rtl/>
        </w:rPr>
        <w:t>َّ</w:t>
      </w:r>
      <w:r w:rsidRPr="00282AC9">
        <w:rPr>
          <w:rtl/>
        </w:rPr>
        <w:t xml:space="preserve"> فإنها تتأث</w:t>
      </w:r>
      <w:r w:rsidR="00F13372" w:rsidRPr="00282AC9">
        <w:rPr>
          <w:rFonts w:hint="cs"/>
          <w:rtl/>
        </w:rPr>
        <w:t>َّ</w:t>
      </w:r>
      <w:r w:rsidRPr="00282AC9">
        <w:rPr>
          <w:rtl/>
        </w:rPr>
        <w:t xml:space="preserve">ر بالسياقات الثقافية والتاريخية. وفي هذا الصدد يرى بعض العلماء </w:t>
      </w:r>
      <w:r w:rsidR="00F13372" w:rsidRPr="00282AC9">
        <w:rPr>
          <w:rFonts w:hint="cs"/>
          <w:rtl/>
        </w:rPr>
        <w:t>أ</w:t>
      </w:r>
      <w:r w:rsidRPr="00282AC9">
        <w:rPr>
          <w:rtl/>
        </w:rPr>
        <w:t>ن اللغويين أنفسهم</w:t>
      </w:r>
      <w:r w:rsidR="00F13372" w:rsidRPr="00282AC9">
        <w:rPr>
          <w:rFonts w:hint="cs"/>
          <w:rtl/>
        </w:rPr>
        <w:t>،</w:t>
      </w:r>
      <w:r w:rsidRPr="00282AC9">
        <w:rPr>
          <w:rtl/>
        </w:rPr>
        <w:t xml:space="preserve"> </w:t>
      </w:r>
      <w:r w:rsidR="00F13372" w:rsidRPr="00282AC9">
        <w:rPr>
          <w:rFonts w:hint="cs"/>
          <w:rtl/>
        </w:rPr>
        <w:t>و</w:t>
      </w:r>
      <w:r w:rsidRPr="00282AC9">
        <w:rPr>
          <w:rtl/>
        </w:rPr>
        <w:t>بالأخص</w:t>
      </w:r>
      <w:r w:rsidR="00F13372" w:rsidRPr="00282AC9">
        <w:rPr>
          <w:rFonts w:hint="cs"/>
          <w:rtl/>
        </w:rPr>
        <w:t>ّ</w:t>
      </w:r>
      <w:r w:rsidRPr="00282AC9">
        <w:rPr>
          <w:rtl/>
        </w:rPr>
        <w:t xml:space="preserve"> في موارد التطبيق</w:t>
      </w:r>
      <w:r w:rsidR="00F13372" w:rsidRPr="00282AC9">
        <w:rPr>
          <w:rFonts w:hint="cs"/>
          <w:rtl/>
        </w:rPr>
        <w:t>،</w:t>
      </w:r>
      <w:r w:rsidRPr="00282AC9">
        <w:rPr>
          <w:rtl/>
        </w:rPr>
        <w:t xml:space="preserve"> قد تأث</w:t>
      </w:r>
      <w:r w:rsidR="00F13372" w:rsidRPr="00282AC9">
        <w:rPr>
          <w:rFonts w:hint="cs"/>
          <w:rtl/>
        </w:rPr>
        <w:t>َّ</w:t>
      </w:r>
      <w:r w:rsidRPr="00282AC9">
        <w:rPr>
          <w:rtl/>
        </w:rPr>
        <w:t>روا بالاستعمالات التاريخية الرسمي</w:t>
      </w:r>
      <w:r w:rsidR="00F13372" w:rsidRPr="00282AC9">
        <w:rPr>
          <w:rFonts w:hint="cs"/>
          <w:rtl/>
        </w:rPr>
        <w:t>ّ</w:t>
      </w:r>
      <w:r w:rsidRPr="00282AC9">
        <w:rPr>
          <w:rtl/>
        </w:rPr>
        <w:t>ة</w:t>
      </w:r>
      <w:r w:rsidR="00F13372" w:rsidRPr="00282AC9">
        <w:rPr>
          <w:rFonts w:hint="cs"/>
          <w:rtl/>
        </w:rPr>
        <w:t>،</w:t>
      </w:r>
      <w:r w:rsidRPr="00282AC9">
        <w:rPr>
          <w:rtl/>
        </w:rPr>
        <w:t xml:space="preserve"> وبالاجتهادات الفقهية والتفسيرية السائدة. وي</w:t>
      </w:r>
      <w:r w:rsidR="00F13372" w:rsidRPr="00282AC9">
        <w:rPr>
          <w:rFonts w:hint="cs"/>
          <w:rtl/>
        </w:rPr>
        <w:t>ُ</w:t>
      </w:r>
      <w:r w:rsidRPr="00282AC9">
        <w:rPr>
          <w:rtl/>
        </w:rPr>
        <w:t>لاح</w:t>
      </w:r>
      <w:r w:rsidR="00F13372" w:rsidRPr="00282AC9">
        <w:rPr>
          <w:rFonts w:hint="cs"/>
          <w:rtl/>
        </w:rPr>
        <w:t>َ</w:t>
      </w:r>
      <w:r w:rsidRPr="00282AC9">
        <w:rPr>
          <w:rtl/>
        </w:rPr>
        <w:t>ظ أن بعضهم يذكر المعنى اللغوي</w:t>
      </w:r>
      <w:r w:rsidR="00F13372" w:rsidRPr="00282AC9">
        <w:rPr>
          <w:rFonts w:hint="cs"/>
          <w:rtl/>
        </w:rPr>
        <w:t>ّ،</w:t>
      </w:r>
      <w:r w:rsidRPr="00282AC9">
        <w:rPr>
          <w:rtl/>
        </w:rPr>
        <w:t xml:space="preserve"> ويردفه بما انتهى </w:t>
      </w:r>
      <w:r w:rsidR="00F13372" w:rsidRPr="00282AC9">
        <w:rPr>
          <w:rFonts w:hint="cs"/>
          <w:rtl/>
        </w:rPr>
        <w:t>إ</w:t>
      </w:r>
      <w:r w:rsidRPr="00282AC9">
        <w:rPr>
          <w:rtl/>
        </w:rPr>
        <w:t>ليه الاستعمال الاصطلاحي</w:t>
      </w:r>
      <w:r w:rsidR="00F13372" w:rsidRPr="00282AC9">
        <w:rPr>
          <w:rFonts w:hint="cs"/>
          <w:rtl/>
        </w:rPr>
        <w:t>ّ؛</w:t>
      </w:r>
      <w:r w:rsidRPr="00282AC9">
        <w:rPr>
          <w:rtl/>
        </w:rPr>
        <w:t xml:space="preserve"> ويصر</w:t>
      </w:r>
      <w:r w:rsidR="00F13372" w:rsidRPr="00282AC9">
        <w:rPr>
          <w:rFonts w:hint="cs"/>
          <w:rtl/>
        </w:rPr>
        <w:t>ِّ</w:t>
      </w:r>
      <w:r w:rsidRPr="00282AC9">
        <w:rPr>
          <w:rtl/>
        </w:rPr>
        <w:t>ح بعضهم: ثم</w:t>
      </w:r>
      <w:r w:rsidR="00F13372" w:rsidRPr="00282AC9">
        <w:rPr>
          <w:rFonts w:hint="cs"/>
          <w:rtl/>
        </w:rPr>
        <w:t>ّ</w:t>
      </w:r>
      <w:r w:rsidRPr="00282AC9">
        <w:rPr>
          <w:rtl/>
        </w:rPr>
        <w:t xml:space="preserve"> اختص</w:t>
      </w:r>
      <w:r w:rsidR="00F13372" w:rsidRPr="00282AC9">
        <w:rPr>
          <w:rFonts w:hint="cs"/>
          <w:rtl/>
        </w:rPr>
        <w:t>ّ</w:t>
      </w:r>
      <w:r w:rsidRPr="00282AC9">
        <w:rPr>
          <w:rtl/>
        </w:rPr>
        <w:t xml:space="preserve"> أو استعمل في كذا</w:t>
      </w:r>
      <w:r w:rsidR="00F13372" w:rsidRPr="00282AC9">
        <w:rPr>
          <w:rFonts w:hint="cs"/>
          <w:rtl/>
        </w:rPr>
        <w:t>،</w:t>
      </w:r>
      <w:r w:rsidRPr="00282AC9">
        <w:rPr>
          <w:rtl/>
        </w:rPr>
        <w:t xml:space="preserve"> أو اصطلح على كذا. وتطبيق بعضهم أو استشهادهم</w:t>
      </w:r>
      <w:r w:rsidR="00F13372" w:rsidRPr="00282AC9">
        <w:rPr>
          <w:rFonts w:hint="cs"/>
          <w:rtl/>
        </w:rPr>
        <w:t xml:space="preserve"> بـ</w:t>
      </w:r>
      <w:r w:rsidRPr="00282AC9">
        <w:rPr>
          <w:rtl/>
        </w:rPr>
        <w:t xml:space="preserve"> </w:t>
      </w:r>
      <w:r w:rsidRPr="00282AC9">
        <w:rPr>
          <w:rFonts w:hint="eastAsia"/>
          <w:sz w:val="24"/>
          <w:szCs w:val="24"/>
          <w:rtl/>
        </w:rPr>
        <w:t>«</w:t>
      </w:r>
      <w:r w:rsidRPr="00282AC9">
        <w:rPr>
          <w:rtl/>
        </w:rPr>
        <w:t>آية الخمس</w:t>
      </w:r>
      <w:r w:rsidRPr="00282AC9">
        <w:rPr>
          <w:rFonts w:hint="eastAsia"/>
          <w:sz w:val="24"/>
          <w:szCs w:val="24"/>
          <w:rtl/>
        </w:rPr>
        <w:t>»</w:t>
      </w:r>
      <w:r w:rsidRPr="00282AC9">
        <w:rPr>
          <w:rtl/>
        </w:rPr>
        <w:t xml:space="preserve"> من سورة الأنفال أد</w:t>
      </w:r>
      <w:r w:rsidR="00F13372" w:rsidRPr="00282AC9">
        <w:rPr>
          <w:rFonts w:hint="cs"/>
          <w:rtl/>
        </w:rPr>
        <w:t>ّ</w:t>
      </w:r>
      <w:r w:rsidRPr="00282AC9">
        <w:rPr>
          <w:rtl/>
        </w:rPr>
        <w:t xml:space="preserve">ى </w:t>
      </w:r>
      <w:r w:rsidR="00F13372" w:rsidRPr="00282AC9">
        <w:rPr>
          <w:rFonts w:hint="cs"/>
          <w:rtl/>
        </w:rPr>
        <w:t>إ</w:t>
      </w:r>
      <w:r w:rsidRPr="00282AC9">
        <w:rPr>
          <w:rtl/>
        </w:rPr>
        <w:t>لى تبادل التأثير بينهم وبين المفس</w:t>
      </w:r>
      <w:r w:rsidR="00F13372" w:rsidRPr="00282AC9">
        <w:rPr>
          <w:rFonts w:hint="cs"/>
          <w:rtl/>
        </w:rPr>
        <w:t>ِّ</w:t>
      </w:r>
      <w:r w:rsidRPr="00282AC9">
        <w:rPr>
          <w:rtl/>
        </w:rPr>
        <w:t>رين والفقهاء، كما سيت</w:t>
      </w:r>
      <w:r w:rsidR="00F13372" w:rsidRPr="00282AC9">
        <w:rPr>
          <w:rFonts w:hint="cs"/>
          <w:rtl/>
        </w:rPr>
        <w:t>ّ</w:t>
      </w:r>
      <w:r w:rsidRPr="00282AC9">
        <w:rPr>
          <w:rtl/>
        </w:rPr>
        <w:t>ضح لاحقا</w:t>
      </w:r>
      <w:r w:rsidRPr="00282AC9">
        <w:rPr>
          <w:rFonts w:hint="cs"/>
          <w:rtl/>
        </w:rPr>
        <w:t>ً</w:t>
      </w:r>
      <w:r w:rsidRPr="00282AC9">
        <w:rPr>
          <w:rtl/>
        </w:rPr>
        <w:t xml:space="preserve">. </w:t>
      </w:r>
    </w:p>
    <w:p w:rsidR="00946A76" w:rsidRPr="00282AC9" w:rsidRDefault="00946A76" w:rsidP="00186251">
      <w:pPr>
        <w:rPr>
          <w:bCs/>
          <w:rtl/>
        </w:rPr>
      </w:pPr>
      <w:r w:rsidRPr="00282AC9">
        <w:rPr>
          <w:rtl/>
        </w:rPr>
        <w:t>ويرى السيستاني ـ ح</w:t>
      </w:r>
      <w:r w:rsidR="00F13372" w:rsidRPr="00282AC9">
        <w:rPr>
          <w:rFonts w:hint="cs"/>
          <w:rtl/>
        </w:rPr>
        <w:t>َ</w:t>
      </w:r>
      <w:r w:rsidRPr="00282AC9">
        <w:rPr>
          <w:rtl/>
        </w:rPr>
        <w:t>س</w:t>
      </w:r>
      <w:r w:rsidR="00F13372" w:rsidRPr="00282AC9">
        <w:rPr>
          <w:rFonts w:hint="cs"/>
          <w:rtl/>
        </w:rPr>
        <w:t>ْ</w:t>
      </w:r>
      <w:r w:rsidRPr="00282AC9">
        <w:rPr>
          <w:rtl/>
        </w:rPr>
        <w:t>ب بعض مقر</w:t>
      </w:r>
      <w:r w:rsidR="00F13372" w:rsidRPr="00282AC9">
        <w:rPr>
          <w:rFonts w:hint="cs"/>
          <w:rtl/>
        </w:rPr>
        <w:t>ِّ</w:t>
      </w:r>
      <w:r w:rsidRPr="00282AC9">
        <w:rPr>
          <w:rtl/>
        </w:rPr>
        <w:t>ري درسه ـ أن كتب اللغة متأث</w:t>
      </w:r>
      <w:r w:rsidR="00F13372" w:rsidRPr="00282AC9">
        <w:rPr>
          <w:rFonts w:hint="cs"/>
          <w:rtl/>
        </w:rPr>
        <w:t>ِّ</w:t>
      </w:r>
      <w:r w:rsidRPr="00282AC9">
        <w:rPr>
          <w:rtl/>
        </w:rPr>
        <w:t>رة</w:t>
      </w:r>
      <w:r w:rsidR="00F13372" w:rsidRPr="00282AC9">
        <w:rPr>
          <w:rFonts w:hint="cs"/>
          <w:rtl/>
        </w:rPr>
        <w:t>ٌ</w:t>
      </w:r>
      <w:r w:rsidRPr="00282AC9">
        <w:rPr>
          <w:rtl/>
        </w:rPr>
        <w:t xml:space="preserve"> بمذاهب أهلها غالبا</w:t>
      </w:r>
      <w:r w:rsidR="00F13372" w:rsidRPr="00282AC9">
        <w:rPr>
          <w:rFonts w:hint="cs"/>
          <w:rtl/>
        </w:rPr>
        <w:t>ً،</w:t>
      </w:r>
      <w:r w:rsidRPr="00282AC9">
        <w:rPr>
          <w:rtl/>
        </w:rPr>
        <w:t xml:space="preserve"> </w:t>
      </w:r>
      <w:r w:rsidR="00F13372" w:rsidRPr="00282AC9">
        <w:rPr>
          <w:rFonts w:hint="cs"/>
          <w:rtl/>
        </w:rPr>
        <w:t>و</w:t>
      </w:r>
      <w:r w:rsidRPr="00282AC9">
        <w:rPr>
          <w:rtl/>
        </w:rPr>
        <w:t>لذا فس</w:t>
      </w:r>
      <w:r w:rsidR="00F13372" w:rsidRPr="00282AC9">
        <w:rPr>
          <w:rFonts w:hint="cs"/>
          <w:rtl/>
        </w:rPr>
        <w:t>َّ</w:t>
      </w:r>
      <w:r w:rsidRPr="00282AC9">
        <w:rPr>
          <w:rtl/>
        </w:rPr>
        <w:t>ر كل</w:t>
      </w:r>
      <w:r w:rsidR="00F13372" w:rsidRPr="00282AC9">
        <w:rPr>
          <w:rFonts w:hint="cs"/>
          <w:rtl/>
        </w:rPr>
        <w:t>ٌّ</w:t>
      </w:r>
      <w:r w:rsidRPr="00282AC9">
        <w:rPr>
          <w:rtl/>
        </w:rPr>
        <w:t xml:space="preserve"> منهم ما فيه نحو إجمال</w:t>
      </w:r>
      <w:r w:rsidR="00F13372" w:rsidRPr="00282AC9">
        <w:rPr>
          <w:rFonts w:hint="cs"/>
          <w:rtl/>
        </w:rPr>
        <w:t>ٍ</w:t>
      </w:r>
      <w:r w:rsidRPr="00282AC9">
        <w:rPr>
          <w:rtl/>
        </w:rPr>
        <w:t xml:space="preserve"> وإبهام</w:t>
      </w:r>
      <w:r w:rsidR="00F13372" w:rsidRPr="00282AC9">
        <w:rPr>
          <w:rFonts w:hint="cs"/>
          <w:rtl/>
        </w:rPr>
        <w:t>ٍ</w:t>
      </w:r>
      <w:r w:rsidRPr="00282AC9">
        <w:rPr>
          <w:rtl/>
        </w:rPr>
        <w:t xml:space="preserve"> على مرامه</w:t>
      </w:r>
      <w:r w:rsidR="00F13372" w:rsidRPr="00282AC9">
        <w:rPr>
          <w:rFonts w:hint="cs"/>
          <w:rtl/>
        </w:rPr>
        <w:t>،</w:t>
      </w:r>
      <w:r w:rsidRPr="00282AC9">
        <w:rPr>
          <w:rtl/>
        </w:rPr>
        <w:t xml:space="preserve"> متأث</w:t>
      </w:r>
      <w:r w:rsidR="00F13372" w:rsidRPr="00282AC9">
        <w:rPr>
          <w:rFonts w:hint="cs"/>
          <w:rtl/>
        </w:rPr>
        <w:t>ِّ</w:t>
      </w:r>
      <w:r w:rsidRPr="00282AC9">
        <w:rPr>
          <w:rtl/>
        </w:rPr>
        <w:t>را</w:t>
      </w:r>
      <w:r w:rsidR="00F13372" w:rsidRPr="00282AC9">
        <w:rPr>
          <w:rFonts w:hint="cs"/>
          <w:rtl/>
        </w:rPr>
        <w:t>ً</w:t>
      </w:r>
      <w:r w:rsidRPr="00282AC9">
        <w:rPr>
          <w:rtl/>
        </w:rPr>
        <w:t xml:space="preserve"> بمذهبه الفقهي</w:t>
      </w:r>
      <w:r w:rsidR="00F13372" w:rsidRPr="00282AC9">
        <w:rPr>
          <w:rFonts w:hint="cs"/>
          <w:rtl/>
        </w:rPr>
        <w:t>ّ.</w:t>
      </w:r>
      <w:r w:rsidRPr="00282AC9">
        <w:rPr>
          <w:rtl/>
        </w:rPr>
        <w:t xml:space="preserve"> فمثلا</w:t>
      </w:r>
      <w:r w:rsidR="00F13372" w:rsidRPr="00282AC9">
        <w:rPr>
          <w:rFonts w:hint="cs"/>
          <w:rtl/>
        </w:rPr>
        <w:t>ً:</w:t>
      </w:r>
      <w:r w:rsidRPr="00282AC9">
        <w:rPr>
          <w:rtl/>
        </w:rPr>
        <w:t xml:space="preserve"> نرى أنهم يفس</w:t>
      </w:r>
      <w:r w:rsidR="00F13372" w:rsidRPr="00282AC9">
        <w:rPr>
          <w:rFonts w:hint="cs"/>
          <w:rtl/>
        </w:rPr>
        <w:t>ِّ</w:t>
      </w:r>
      <w:r w:rsidRPr="00282AC9">
        <w:rPr>
          <w:rtl/>
        </w:rPr>
        <w:t>رون الغنيمة بغنائم دار الحرب</w:t>
      </w:r>
      <w:r w:rsidR="002A17E7" w:rsidRPr="00282AC9">
        <w:rPr>
          <w:rFonts w:hint="cs"/>
          <w:rtl/>
        </w:rPr>
        <w:t>؛</w:t>
      </w:r>
      <w:r w:rsidRPr="00282AC9">
        <w:rPr>
          <w:rtl/>
        </w:rPr>
        <w:t xml:space="preserve"> وذلك لتأث</w:t>
      </w:r>
      <w:r w:rsidR="002A17E7" w:rsidRPr="00282AC9">
        <w:rPr>
          <w:rFonts w:hint="cs"/>
          <w:rtl/>
        </w:rPr>
        <w:t>ُّ</w:t>
      </w:r>
      <w:r w:rsidRPr="00282AC9">
        <w:rPr>
          <w:rtl/>
        </w:rPr>
        <w:t>رهم بأن الخمس إنما يجب في غنائم الحرب</w:t>
      </w:r>
      <w:r w:rsidR="002A17E7" w:rsidRPr="00282AC9">
        <w:rPr>
          <w:rFonts w:hint="cs"/>
          <w:rtl/>
        </w:rPr>
        <w:t>.</w:t>
      </w:r>
      <w:r w:rsidRPr="00282AC9">
        <w:rPr>
          <w:rtl/>
        </w:rPr>
        <w:t xml:space="preserve"> والحال أن الغنيمة ـ كما يرى ـ هي الظفر بالشي</w:t>
      </w:r>
      <w:r w:rsidR="002A17E7" w:rsidRPr="00282AC9">
        <w:rPr>
          <w:rFonts w:hint="cs"/>
          <w:rtl/>
        </w:rPr>
        <w:t>ء،</w:t>
      </w:r>
      <w:r w:rsidRPr="00282AC9">
        <w:rPr>
          <w:rtl/>
        </w:rPr>
        <w:t xml:space="preserve"> بل هي كل</w:t>
      </w:r>
      <w:r w:rsidR="002A17E7" w:rsidRPr="00282AC9">
        <w:rPr>
          <w:rFonts w:hint="cs"/>
          <w:rtl/>
        </w:rPr>
        <w:t>ّ</w:t>
      </w:r>
      <w:r w:rsidRPr="00282AC9">
        <w:rPr>
          <w:rtl/>
        </w:rPr>
        <w:t xml:space="preserve"> عوض</w:t>
      </w:r>
      <w:r w:rsidR="002A17E7" w:rsidRPr="00282AC9">
        <w:rPr>
          <w:rFonts w:hint="cs"/>
          <w:rtl/>
        </w:rPr>
        <w:t>ٍ</w:t>
      </w:r>
      <w:r w:rsidRPr="00282AC9">
        <w:rPr>
          <w:rtl/>
        </w:rPr>
        <w:t xml:space="preserve"> ماد</w:t>
      </w:r>
      <w:r w:rsidR="002A17E7" w:rsidRPr="00282AC9">
        <w:rPr>
          <w:rFonts w:hint="cs"/>
          <w:rtl/>
        </w:rPr>
        <w:t>ّ</w:t>
      </w:r>
      <w:r w:rsidRPr="00282AC9">
        <w:rPr>
          <w:rtl/>
        </w:rPr>
        <w:t>ي</w:t>
      </w:r>
      <w:r w:rsidRPr="00282AC9">
        <w:rPr>
          <w:rFonts w:hint="cs"/>
          <w:vertAlign w:val="superscript"/>
          <w:rtl/>
        </w:rPr>
        <w:t>(</w:t>
      </w:r>
      <w:r w:rsidRPr="00282AC9">
        <w:rPr>
          <w:rStyle w:val="af9"/>
          <w:b/>
          <w:sz w:val="27"/>
          <w:rtl/>
        </w:rPr>
        <w:endnoteReference w:id="426"/>
      </w:r>
      <w:r w:rsidRPr="00282AC9">
        <w:rPr>
          <w:rFonts w:hint="cs"/>
          <w:vertAlign w:val="superscript"/>
          <w:rtl/>
        </w:rPr>
        <w:t>)</w:t>
      </w:r>
      <w:r w:rsidR="002A17E7" w:rsidRPr="00282AC9">
        <w:rPr>
          <w:rFonts w:hint="cs"/>
          <w:rtl/>
        </w:rPr>
        <w:t>.</w:t>
      </w:r>
      <w:r w:rsidRPr="00282AC9">
        <w:rPr>
          <w:rFonts w:hint="cs"/>
          <w:rtl/>
        </w:rPr>
        <w:t xml:space="preserve"> </w:t>
      </w:r>
      <w:r w:rsidRPr="00282AC9">
        <w:rPr>
          <w:rtl/>
        </w:rPr>
        <w:t>وقد أشار غير</w:t>
      </w:r>
      <w:r w:rsidR="002A17E7" w:rsidRPr="00282AC9">
        <w:rPr>
          <w:rFonts w:hint="cs"/>
          <w:rtl/>
        </w:rPr>
        <w:t>ُ</w:t>
      </w:r>
      <w:r w:rsidRPr="00282AC9">
        <w:rPr>
          <w:rtl/>
        </w:rPr>
        <w:t xml:space="preserve"> واحد</w:t>
      </w:r>
      <w:r w:rsidR="002A17E7" w:rsidRPr="00282AC9">
        <w:rPr>
          <w:rFonts w:hint="cs"/>
          <w:rtl/>
        </w:rPr>
        <w:t>ٍ</w:t>
      </w:r>
      <w:r w:rsidRPr="00282AC9">
        <w:rPr>
          <w:rtl/>
        </w:rPr>
        <w:t xml:space="preserve"> من العلماء إلى ذلك. </w:t>
      </w:r>
    </w:p>
    <w:p w:rsidR="00946A76" w:rsidRPr="00282AC9" w:rsidRDefault="00946A76" w:rsidP="00186251">
      <w:pPr>
        <w:rPr>
          <w:bCs/>
          <w:rtl/>
        </w:rPr>
      </w:pPr>
      <w:r w:rsidRPr="00282AC9">
        <w:rPr>
          <w:rtl/>
        </w:rPr>
        <w:t>إن هذا التداخل في المعاني والدلالات اللغوي</w:t>
      </w:r>
      <w:r w:rsidR="002A17E7" w:rsidRPr="00282AC9">
        <w:rPr>
          <w:rFonts w:hint="cs"/>
          <w:rtl/>
        </w:rPr>
        <w:t>ّ</w:t>
      </w:r>
      <w:r w:rsidRPr="00282AC9">
        <w:rPr>
          <w:rtl/>
        </w:rPr>
        <w:t>ة</w:t>
      </w:r>
      <w:r w:rsidR="002A17E7" w:rsidRPr="00282AC9">
        <w:rPr>
          <w:rFonts w:hint="cs"/>
          <w:rtl/>
        </w:rPr>
        <w:t>،</w:t>
      </w:r>
      <w:r w:rsidRPr="00282AC9">
        <w:rPr>
          <w:rtl/>
        </w:rPr>
        <w:t xml:space="preserve"> والتأث</w:t>
      </w:r>
      <w:r w:rsidR="002A17E7" w:rsidRPr="00282AC9">
        <w:rPr>
          <w:rFonts w:hint="cs"/>
          <w:rtl/>
        </w:rPr>
        <w:t>ُّ</w:t>
      </w:r>
      <w:r w:rsidRPr="00282AC9">
        <w:rPr>
          <w:rtl/>
        </w:rPr>
        <w:t>ر بالاستعمالات التاريخية الرسمي</w:t>
      </w:r>
      <w:r w:rsidR="002A17E7" w:rsidRPr="00282AC9">
        <w:rPr>
          <w:rFonts w:hint="cs"/>
          <w:rtl/>
        </w:rPr>
        <w:t>ّ</w:t>
      </w:r>
      <w:r w:rsidRPr="00282AC9">
        <w:rPr>
          <w:rtl/>
        </w:rPr>
        <w:t>ة والاصطلاحية الفقهية المتداولة</w:t>
      </w:r>
      <w:r w:rsidR="002A17E7" w:rsidRPr="00282AC9">
        <w:rPr>
          <w:rFonts w:hint="cs"/>
          <w:rtl/>
        </w:rPr>
        <w:t>،</w:t>
      </w:r>
      <w:r w:rsidRPr="00282AC9">
        <w:rPr>
          <w:rtl/>
        </w:rPr>
        <w:t xml:space="preserve"> زاد من صعوبات البحث</w:t>
      </w:r>
      <w:r w:rsidR="002A17E7" w:rsidRPr="00282AC9">
        <w:rPr>
          <w:rFonts w:hint="cs"/>
          <w:rtl/>
        </w:rPr>
        <w:t>؛</w:t>
      </w:r>
      <w:r w:rsidRPr="00282AC9">
        <w:rPr>
          <w:rtl/>
        </w:rPr>
        <w:t xml:space="preserve"> للوصول </w:t>
      </w:r>
      <w:r w:rsidR="002A17E7" w:rsidRPr="00282AC9">
        <w:rPr>
          <w:rFonts w:hint="cs"/>
          <w:rtl/>
        </w:rPr>
        <w:t>إ</w:t>
      </w:r>
      <w:r w:rsidRPr="00282AC9">
        <w:rPr>
          <w:rtl/>
        </w:rPr>
        <w:t>لى تحديد معنى</w:t>
      </w:r>
      <w:r w:rsidR="002A17E7" w:rsidRPr="00282AC9">
        <w:rPr>
          <w:rFonts w:hint="cs"/>
          <w:rtl/>
        </w:rPr>
        <w:t>ً</w:t>
      </w:r>
      <w:r w:rsidRPr="00282AC9">
        <w:rPr>
          <w:rtl/>
        </w:rPr>
        <w:t xml:space="preserve"> محد</w:t>
      </w:r>
      <w:r w:rsidR="002A17E7" w:rsidRPr="00282AC9">
        <w:rPr>
          <w:rFonts w:hint="cs"/>
          <w:rtl/>
        </w:rPr>
        <w:t>َّ</w:t>
      </w:r>
      <w:r w:rsidRPr="00282AC9">
        <w:rPr>
          <w:rtl/>
        </w:rPr>
        <w:t>د</w:t>
      </w:r>
      <w:r w:rsidR="002A17E7" w:rsidRPr="00282AC9">
        <w:rPr>
          <w:rFonts w:hint="cs"/>
          <w:rtl/>
        </w:rPr>
        <w:t>ٍ،</w:t>
      </w:r>
      <w:r w:rsidRPr="00282AC9">
        <w:rPr>
          <w:rtl/>
        </w:rPr>
        <w:t xml:space="preserve"> استعمل فيه لفظ الغنم والغنيمة</w:t>
      </w:r>
      <w:r w:rsidR="002A17E7" w:rsidRPr="00282AC9">
        <w:rPr>
          <w:rFonts w:hint="cs"/>
          <w:rtl/>
        </w:rPr>
        <w:t>،</w:t>
      </w:r>
      <w:r w:rsidRPr="00282AC9">
        <w:rPr>
          <w:rtl/>
        </w:rPr>
        <w:t xml:space="preserve"> فضلا</w:t>
      </w:r>
      <w:r w:rsidR="002A17E7" w:rsidRPr="00282AC9">
        <w:rPr>
          <w:rFonts w:hint="cs"/>
          <w:rtl/>
        </w:rPr>
        <w:t>ً</w:t>
      </w:r>
      <w:r w:rsidRPr="00282AC9">
        <w:rPr>
          <w:rtl/>
        </w:rPr>
        <w:t xml:space="preserve"> عن المعنى الذي و</w:t>
      </w:r>
      <w:r w:rsidR="002A17E7" w:rsidRPr="00282AC9">
        <w:rPr>
          <w:rFonts w:hint="cs"/>
          <w:rtl/>
        </w:rPr>
        <w:t>ُ</w:t>
      </w:r>
      <w:r w:rsidRPr="00282AC9">
        <w:rPr>
          <w:rtl/>
        </w:rPr>
        <w:t xml:space="preserve">ضع له. </w:t>
      </w:r>
    </w:p>
    <w:p w:rsidR="00186251" w:rsidRPr="00282AC9" w:rsidRDefault="00186251" w:rsidP="00186251">
      <w:pPr>
        <w:spacing w:line="420" w:lineRule="exact"/>
        <w:rPr>
          <w:rtl/>
        </w:rPr>
      </w:pPr>
    </w:p>
    <w:p w:rsidR="00946A76" w:rsidRPr="00282AC9" w:rsidRDefault="00946A76" w:rsidP="0029115E">
      <w:pPr>
        <w:pStyle w:val="31"/>
        <w:rPr>
          <w:color w:val="auto"/>
          <w:rtl/>
        </w:rPr>
      </w:pPr>
      <w:r w:rsidRPr="00282AC9">
        <w:rPr>
          <w:color w:val="auto"/>
          <w:rtl/>
        </w:rPr>
        <w:t>استعمالات</w:t>
      </w:r>
      <w:r w:rsidR="002A17E7" w:rsidRPr="00282AC9">
        <w:rPr>
          <w:rFonts w:hint="cs"/>
          <w:color w:val="auto"/>
          <w:rtl/>
        </w:rPr>
        <w:t>ٌ</w:t>
      </w:r>
      <w:r w:rsidRPr="00282AC9">
        <w:rPr>
          <w:color w:val="auto"/>
          <w:rtl/>
        </w:rPr>
        <w:t xml:space="preserve"> عام</w:t>
      </w:r>
      <w:r w:rsidR="002A17E7" w:rsidRPr="00282AC9">
        <w:rPr>
          <w:rFonts w:hint="cs"/>
          <w:color w:val="auto"/>
          <w:rtl/>
        </w:rPr>
        <w:t>ّ</w:t>
      </w:r>
      <w:r w:rsidRPr="00282AC9">
        <w:rPr>
          <w:color w:val="auto"/>
          <w:rtl/>
        </w:rPr>
        <w:t>ة لماد</w:t>
      </w:r>
      <w:r w:rsidR="002A17E7" w:rsidRPr="00282AC9">
        <w:rPr>
          <w:rFonts w:hint="cs"/>
          <w:color w:val="auto"/>
          <w:rtl/>
        </w:rPr>
        <w:t>ّ</w:t>
      </w:r>
      <w:r w:rsidRPr="00282AC9">
        <w:rPr>
          <w:color w:val="auto"/>
          <w:rtl/>
        </w:rPr>
        <w:t xml:space="preserve">ة </w:t>
      </w:r>
      <w:r w:rsidR="0029115E" w:rsidRPr="00282AC9">
        <w:rPr>
          <w:rFonts w:hint="eastAsia"/>
          <w:color w:val="auto"/>
          <w:rtl/>
        </w:rPr>
        <w:t>«</w:t>
      </w:r>
      <w:r w:rsidRPr="00282AC9">
        <w:rPr>
          <w:color w:val="auto"/>
          <w:rtl/>
        </w:rPr>
        <w:t>غنم</w:t>
      </w:r>
      <w:r w:rsidR="0029115E" w:rsidRPr="00282AC9">
        <w:rPr>
          <w:rFonts w:hint="eastAsia"/>
          <w:color w:val="auto"/>
          <w:rtl/>
        </w:rPr>
        <w:t>»</w:t>
      </w:r>
      <w:r w:rsidRPr="00282AC9">
        <w:rPr>
          <w:color w:val="auto"/>
          <w:rtl/>
        </w:rPr>
        <w:t xml:space="preserve"> </w:t>
      </w:r>
    </w:p>
    <w:p w:rsidR="00946A76" w:rsidRPr="00282AC9" w:rsidRDefault="00946A76" w:rsidP="00186251">
      <w:pPr>
        <w:rPr>
          <w:rtl/>
        </w:rPr>
      </w:pPr>
      <w:r w:rsidRPr="00282AC9">
        <w:rPr>
          <w:rtl/>
        </w:rPr>
        <w:t xml:space="preserve">درس الخرسان استعمالات مادة </w:t>
      </w:r>
      <w:r w:rsidRPr="00282AC9">
        <w:rPr>
          <w:rFonts w:hint="eastAsia"/>
          <w:sz w:val="24"/>
          <w:szCs w:val="24"/>
          <w:rtl/>
        </w:rPr>
        <w:t>«</w:t>
      </w:r>
      <w:r w:rsidRPr="00282AC9">
        <w:rPr>
          <w:rtl/>
        </w:rPr>
        <w:t>غنم</w:t>
      </w:r>
      <w:r w:rsidRPr="00282AC9">
        <w:rPr>
          <w:rFonts w:hint="eastAsia"/>
          <w:sz w:val="24"/>
          <w:szCs w:val="24"/>
          <w:rtl/>
        </w:rPr>
        <w:t>»</w:t>
      </w:r>
      <w:r w:rsidRPr="00282AC9">
        <w:rPr>
          <w:rtl/>
        </w:rPr>
        <w:t xml:space="preserve"> وتصريفاتها اللغوي</w:t>
      </w:r>
      <w:r w:rsidR="000400A8" w:rsidRPr="00282AC9">
        <w:rPr>
          <w:rFonts w:hint="cs"/>
          <w:rtl/>
        </w:rPr>
        <w:t>ّ</w:t>
      </w:r>
      <w:r w:rsidRPr="00282AC9">
        <w:rPr>
          <w:rtl/>
        </w:rPr>
        <w:t>ة في الكتاب والسن</w:t>
      </w:r>
      <w:r w:rsidR="000400A8" w:rsidRPr="00282AC9">
        <w:rPr>
          <w:rFonts w:hint="cs"/>
          <w:rtl/>
        </w:rPr>
        <w:t>ّ</w:t>
      </w:r>
      <w:r w:rsidRPr="00282AC9">
        <w:rPr>
          <w:rtl/>
        </w:rPr>
        <w:t>ة والأدب، وانتهى إلى سعة المفهوم</w:t>
      </w:r>
      <w:r w:rsidR="000400A8" w:rsidRPr="00282AC9">
        <w:rPr>
          <w:rFonts w:hint="cs"/>
          <w:rtl/>
        </w:rPr>
        <w:t>،</w:t>
      </w:r>
      <w:r w:rsidRPr="00282AC9">
        <w:rPr>
          <w:rtl/>
        </w:rPr>
        <w:t xml:space="preserve"> وعدم اقتصاره على غنائم الحرب وحدها. </w:t>
      </w:r>
    </w:p>
    <w:p w:rsidR="00946A76" w:rsidRPr="00282AC9" w:rsidRDefault="00946A76" w:rsidP="00186251">
      <w:pPr>
        <w:rPr>
          <w:rtl/>
        </w:rPr>
      </w:pPr>
      <w:r w:rsidRPr="00282AC9">
        <w:rPr>
          <w:rtl/>
        </w:rPr>
        <w:t>ومن الشواهد التي ساقها من القرآن الكريم والحديث والأدب العربي</w:t>
      </w:r>
      <w:r w:rsidR="000400A8" w:rsidRPr="00282AC9">
        <w:rPr>
          <w:rFonts w:hint="cs"/>
          <w:rtl/>
        </w:rPr>
        <w:t>ّ</w:t>
      </w:r>
      <w:r w:rsidRPr="00282AC9">
        <w:rPr>
          <w:rtl/>
        </w:rPr>
        <w:t xml:space="preserve">: </w:t>
      </w:r>
    </w:p>
    <w:p w:rsidR="00946A76" w:rsidRPr="00282AC9" w:rsidRDefault="000400A8" w:rsidP="00186251">
      <w:pPr>
        <w:rPr>
          <w:rtl/>
        </w:rPr>
      </w:pPr>
      <w:r w:rsidRPr="00282AC9">
        <w:rPr>
          <w:rFonts w:hint="cs"/>
          <w:rtl/>
        </w:rPr>
        <w:t xml:space="preserve">1ـ </w:t>
      </w:r>
      <w:r w:rsidR="00946A76" w:rsidRPr="00282AC9">
        <w:rPr>
          <w:rtl/>
        </w:rPr>
        <w:t xml:space="preserve">قوله تعالى: </w:t>
      </w:r>
      <w:r w:rsidRPr="00282AC9">
        <w:rPr>
          <w:rFonts w:ascii="Mosawi" w:hAnsi="Mosawi" w:cs="Mosawi"/>
          <w:sz w:val="24"/>
          <w:szCs w:val="24"/>
          <w:rtl/>
        </w:rPr>
        <w:t>﴿</w:t>
      </w:r>
      <w:r w:rsidRPr="00282AC9">
        <w:rPr>
          <w:b/>
          <w:bCs/>
          <w:sz w:val="27"/>
          <w:rtl/>
        </w:rPr>
        <w:t>يَا أَيُّهَا الَّذِينَ آمَنُوا إِذَا ضَرَبْتُمْ فِي سَبِيلِ اللهِ فَتَبَيَّنُوا وَلاَ تَقُولُوا لِمَنْ أَلْقَى إِلَيْكُمْ السَّلاَمَ لَسْتَ مُؤْمِناً تَبْتَغُونَ عَرَضَ الْحَيَاةِ الدُّنْيَا فَعِنْدَ اللهِ مَغَانِمُ كَثِيرَةٌ</w:t>
      </w:r>
      <w:r w:rsidRPr="00282AC9">
        <w:rPr>
          <w:rFonts w:ascii="Mosawi" w:hAnsi="Mosawi" w:cs="Mosawi"/>
          <w:sz w:val="24"/>
          <w:szCs w:val="24"/>
          <w:rtl/>
        </w:rPr>
        <w:t>﴾</w:t>
      </w:r>
      <w:r w:rsidR="00946A76" w:rsidRPr="00282AC9">
        <w:rPr>
          <w:rFonts w:hint="cs"/>
          <w:rtl/>
        </w:rPr>
        <w:t xml:space="preserve"> (</w:t>
      </w:r>
      <w:r w:rsidR="00946A76" w:rsidRPr="00282AC9">
        <w:rPr>
          <w:rtl/>
        </w:rPr>
        <w:t>النساء</w:t>
      </w:r>
      <w:r w:rsidR="00946A76" w:rsidRPr="00282AC9">
        <w:rPr>
          <w:rFonts w:hint="cs"/>
          <w:rtl/>
        </w:rPr>
        <w:t>:</w:t>
      </w:r>
      <w:r w:rsidR="00946A76" w:rsidRPr="00282AC9">
        <w:rPr>
          <w:rtl/>
        </w:rPr>
        <w:t xml:space="preserve"> 94</w:t>
      </w:r>
      <w:r w:rsidR="00946A76" w:rsidRPr="00282AC9">
        <w:rPr>
          <w:rFonts w:hint="cs"/>
          <w:rtl/>
        </w:rPr>
        <w:t>)</w:t>
      </w:r>
      <w:r w:rsidRPr="00282AC9">
        <w:rPr>
          <w:rFonts w:hint="cs"/>
          <w:rtl/>
        </w:rPr>
        <w:t>،</w:t>
      </w:r>
      <w:r w:rsidR="00946A76" w:rsidRPr="00282AC9">
        <w:rPr>
          <w:rFonts w:hint="cs"/>
          <w:rtl/>
        </w:rPr>
        <w:t xml:space="preserve"> </w:t>
      </w:r>
      <w:r w:rsidR="00946A76" w:rsidRPr="00282AC9">
        <w:rPr>
          <w:rtl/>
        </w:rPr>
        <w:t>وواضح</w:t>
      </w:r>
      <w:r w:rsidRPr="00282AC9">
        <w:rPr>
          <w:rFonts w:hint="cs"/>
          <w:rtl/>
        </w:rPr>
        <w:t>ٌ</w:t>
      </w:r>
      <w:r w:rsidR="00946A76" w:rsidRPr="00282AC9">
        <w:rPr>
          <w:rtl/>
        </w:rPr>
        <w:t xml:space="preserve"> أنها لا تشير الى غنائم الحرب</w:t>
      </w:r>
      <w:r w:rsidRPr="00282AC9">
        <w:rPr>
          <w:rFonts w:hint="cs"/>
          <w:rtl/>
        </w:rPr>
        <w:t xml:space="preserve">، </w:t>
      </w:r>
      <w:r w:rsidRPr="00282AC9">
        <w:rPr>
          <w:rtl/>
        </w:rPr>
        <w:t xml:space="preserve">بل </w:t>
      </w:r>
      <w:r w:rsidR="008275A7" w:rsidRPr="00282AC9">
        <w:rPr>
          <w:rFonts w:hint="cs"/>
          <w:rtl/>
        </w:rPr>
        <w:t>إ</w:t>
      </w:r>
      <w:r w:rsidRPr="00282AC9">
        <w:rPr>
          <w:rtl/>
        </w:rPr>
        <w:t xml:space="preserve">لى مغانم </w:t>
      </w:r>
      <w:r w:rsidRPr="00282AC9">
        <w:rPr>
          <w:rFonts w:hint="cs"/>
          <w:rtl/>
        </w:rPr>
        <w:t>الآ</w:t>
      </w:r>
      <w:r w:rsidR="00946A76" w:rsidRPr="00282AC9">
        <w:rPr>
          <w:rFonts w:hint="cs"/>
          <w:rtl/>
        </w:rPr>
        <w:t>خرة</w:t>
      </w:r>
      <w:r w:rsidR="00946A76" w:rsidRPr="00282AC9">
        <w:rPr>
          <w:rtl/>
        </w:rPr>
        <w:t>.</w:t>
      </w:r>
    </w:p>
    <w:p w:rsidR="00946A76" w:rsidRPr="00282AC9" w:rsidRDefault="000400A8" w:rsidP="00186251">
      <w:pPr>
        <w:rPr>
          <w:rtl/>
        </w:rPr>
      </w:pPr>
      <w:r w:rsidRPr="00282AC9">
        <w:rPr>
          <w:rFonts w:hint="cs"/>
          <w:rtl/>
        </w:rPr>
        <w:t xml:space="preserve">2ـ </w:t>
      </w:r>
      <w:r w:rsidR="00946A76" w:rsidRPr="00282AC9">
        <w:rPr>
          <w:rtl/>
        </w:rPr>
        <w:t>ومن الحديث الشريف</w:t>
      </w:r>
      <w:r w:rsidRPr="00282AC9">
        <w:rPr>
          <w:rFonts w:hint="cs"/>
          <w:rtl/>
        </w:rPr>
        <w:t>،</w:t>
      </w:r>
      <w:r w:rsidR="00946A76" w:rsidRPr="00282AC9">
        <w:rPr>
          <w:rtl/>
        </w:rPr>
        <w:t xml:space="preserve"> عن النبي</w:t>
      </w:r>
      <w:r w:rsidRPr="00282AC9">
        <w:rPr>
          <w:rFonts w:hint="cs"/>
          <w:rtl/>
        </w:rPr>
        <w:t>ّ</w:t>
      </w:r>
      <w:r w:rsidR="00946A76" w:rsidRPr="00282AC9">
        <w:rPr>
          <w:rtl/>
        </w:rPr>
        <w:t xml:space="preserve"> المصطفى</w:t>
      </w:r>
      <w:r w:rsidR="009A2A04" w:rsidRPr="00282AC9">
        <w:rPr>
          <w:rFonts w:cs="Mosawi"/>
          <w:sz w:val="22"/>
          <w:szCs w:val="22"/>
          <w:rtl/>
        </w:rPr>
        <w:t>|</w:t>
      </w:r>
      <w:r w:rsidR="00946A76" w:rsidRPr="00282AC9">
        <w:rPr>
          <w:rtl/>
        </w:rPr>
        <w:t xml:space="preserve">: </w:t>
      </w:r>
      <w:r w:rsidRPr="00282AC9">
        <w:rPr>
          <w:rFonts w:hint="eastAsia"/>
          <w:sz w:val="24"/>
          <w:szCs w:val="24"/>
          <w:rtl/>
        </w:rPr>
        <w:t>«</w:t>
      </w:r>
      <w:r w:rsidR="00946A76" w:rsidRPr="00282AC9">
        <w:rPr>
          <w:rtl/>
        </w:rPr>
        <w:t>سافروا تغنموا</w:t>
      </w:r>
      <w:r w:rsidRPr="00282AC9">
        <w:rPr>
          <w:rFonts w:hint="cs"/>
          <w:rtl/>
        </w:rPr>
        <w:t>،</w:t>
      </w:r>
      <w:r w:rsidR="00946A76" w:rsidRPr="00282AC9">
        <w:rPr>
          <w:rtl/>
        </w:rPr>
        <w:t xml:space="preserve"> وصوموا تصح</w:t>
      </w:r>
      <w:r w:rsidRPr="00282AC9">
        <w:rPr>
          <w:rFonts w:hint="cs"/>
          <w:rtl/>
        </w:rPr>
        <w:t>ّ</w:t>
      </w:r>
      <w:r w:rsidR="00946A76" w:rsidRPr="00282AC9">
        <w:rPr>
          <w:rtl/>
        </w:rPr>
        <w:t>وا</w:t>
      </w:r>
      <w:r w:rsidRPr="00282AC9">
        <w:rPr>
          <w:rFonts w:hint="eastAsia"/>
          <w:sz w:val="24"/>
          <w:szCs w:val="24"/>
          <w:rtl/>
        </w:rPr>
        <w:t>»</w:t>
      </w:r>
      <w:r w:rsidR="00946A76" w:rsidRPr="00282AC9">
        <w:rPr>
          <w:rtl/>
        </w:rPr>
        <w:t xml:space="preserve">. </w:t>
      </w:r>
    </w:p>
    <w:p w:rsidR="00946A76" w:rsidRPr="00282AC9" w:rsidRDefault="000400A8" w:rsidP="00186251">
      <w:pPr>
        <w:rPr>
          <w:rtl/>
        </w:rPr>
      </w:pPr>
      <w:r w:rsidRPr="00282AC9">
        <w:rPr>
          <w:rFonts w:hint="cs"/>
          <w:rtl/>
        </w:rPr>
        <w:t xml:space="preserve">3ـ </w:t>
      </w:r>
      <w:r w:rsidR="00946A76" w:rsidRPr="00282AC9">
        <w:rPr>
          <w:rtl/>
        </w:rPr>
        <w:t>وفي نهاية ابن الأثير</w:t>
      </w:r>
      <w:r w:rsidRPr="00282AC9">
        <w:rPr>
          <w:rFonts w:hint="cs"/>
          <w:rtl/>
        </w:rPr>
        <w:t xml:space="preserve">، </w:t>
      </w:r>
      <w:r w:rsidR="00946A76" w:rsidRPr="00282AC9">
        <w:rPr>
          <w:rtl/>
        </w:rPr>
        <w:t>عن النبي</w:t>
      </w:r>
      <w:r w:rsidRPr="00282AC9">
        <w:rPr>
          <w:rFonts w:hint="cs"/>
          <w:rtl/>
        </w:rPr>
        <w:t>ّ</w:t>
      </w:r>
      <w:r w:rsidR="009A2A04" w:rsidRPr="00282AC9">
        <w:rPr>
          <w:rFonts w:cs="Mosawi"/>
          <w:sz w:val="22"/>
          <w:szCs w:val="22"/>
          <w:rtl/>
        </w:rPr>
        <w:t>|</w:t>
      </w:r>
      <w:r w:rsidR="00946A76" w:rsidRPr="00282AC9">
        <w:rPr>
          <w:rtl/>
        </w:rPr>
        <w:t xml:space="preserve">: </w:t>
      </w:r>
      <w:r w:rsidRPr="00282AC9">
        <w:rPr>
          <w:rFonts w:hint="eastAsia"/>
          <w:sz w:val="24"/>
          <w:szCs w:val="24"/>
          <w:rtl/>
        </w:rPr>
        <w:t>«</w:t>
      </w:r>
      <w:r w:rsidR="00946A76" w:rsidRPr="00282AC9">
        <w:rPr>
          <w:rtl/>
        </w:rPr>
        <w:t>الرهن لم</w:t>
      </w:r>
      <w:r w:rsidRPr="00282AC9">
        <w:rPr>
          <w:rFonts w:hint="cs"/>
          <w:rtl/>
        </w:rPr>
        <w:t>َ</w:t>
      </w:r>
      <w:r w:rsidR="00946A76" w:rsidRPr="00282AC9">
        <w:rPr>
          <w:rtl/>
        </w:rPr>
        <w:t>ن</w:t>
      </w:r>
      <w:r w:rsidRPr="00282AC9">
        <w:rPr>
          <w:rFonts w:hint="cs"/>
          <w:rtl/>
        </w:rPr>
        <w:t>ْ</w:t>
      </w:r>
      <w:r w:rsidR="00946A76" w:rsidRPr="00282AC9">
        <w:rPr>
          <w:rtl/>
        </w:rPr>
        <w:t xml:space="preserve"> رهنه، له غنمه</w:t>
      </w:r>
      <w:r w:rsidRPr="00282AC9">
        <w:rPr>
          <w:rFonts w:hint="cs"/>
          <w:rtl/>
        </w:rPr>
        <w:t>،</w:t>
      </w:r>
      <w:r w:rsidR="00946A76" w:rsidRPr="00282AC9">
        <w:rPr>
          <w:rtl/>
        </w:rPr>
        <w:t xml:space="preserve"> وعليه </w:t>
      </w:r>
      <w:r w:rsidR="00946A76" w:rsidRPr="00282AC9">
        <w:rPr>
          <w:rtl/>
        </w:rPr>
        <w:lastRenderedPageBreak/>
        <w:t>غرمه</w:t>
      </w:r>
      <w:r w:rsidRPr="00282AC9">
        <w:rPr>
          <w:rFonts w:hint="eastAsia"/>
          <w:sz w:val="24"/>
          <w:szCs w:val="24"/>
          <w:rtl/>
        </w:rPr>
        <w:t>»</w:t>
      </w:r>
      <w:r w:rsidR="00946A76" w:rsidRPr="00282AC9">
        <w:rPr>
          <w:rtl/>
        </w:rPr>
        <w:t>. والغنم بمعنى الزيادة والنماء وفاضل القيمة</w:t>
      </w:r>
      <w:r w:rsidR="00946A76" w:rsidRPr="00282AC9">
        <w:rPr>
          <w:rFonts w:hint="cs"/>
          <w:vertAlign w:val="superscript"/>
          <w:rtl/>
        </w:rPr>
        <w:t>(</w:t>
      </w:r>
      <w:r w:rsidR="00946A76" w:rsidRPr="00282AC9">
        <w:rPr>
          <w:rStyle w:val="af9"/>
          <w:sz w:val="27"/>
          <w:rtl/>
        </w:rPr>
        <w:endnoteReference w:id="427"/>
      </w:r>
      <w:r w:rsidR="00946A76" w:rsidRPr="00282AC9">
        <w:rPr>
          <w:rFonts w:hint="cs"/>
          <w:vertAlign w:val="superscript"/>
          <w:rtl/>
        </w:rPr>
        <w:t>)</w:t>
      </w:r>
      <w:r w:rsidRPr="00282AC9">
        <w:rPr>
          <w:rFonts w:hint="cs"/>
          <w:rtl/>
        </w:rPr>
        <w:t>.</w:t>
      </w:r>
      <w:r w:rsidR="00946A76" w:rsidRPr="00282AC9">
        <w:rPr>
          <w:rFonts w:hint="cs"/>
          <w:rtl/>
        </w:rPr>
        <w:t xml:space="preserve"> </w:t>
      </w:r>
      <w:r w:rsidR="00946A76" w:rsidRPr="00282AC9">
        <w:rPr>
          <w:rtl/>
        </w:rPr>
        <w:t>والاستعمال هنا في سياق معاملة</w:t>
      </w:r>
      <w:r w:rsidRPr="00282AC9">
        <w:rPr>
          <w:rFonts w:hint="cs"/>
          <w:rtl/>
        </w:rPr>
        <w:t>ٍ</w:t>
      </w:r>
      <w:r w:rsidR="00946A76" w:rsidRPr="00282AC9">
        <w:rPr>
          <w:rtl/>
        </w:rPr>
        <w:t xml:space="preserve"> تجارية. </w:t>
      </w:r>
    </w:p>
    <w:p w:rsidR="00946A76" w:rsidRPr="00282AC9" w:rsidRDefault="000400A8" w:rsidP="0088149A">
      <w:pPr>
        <w:spacing w:line="420" w:lineRule="exact"/>
        <w:rPr>
          <w:rtl/>
        </w:rPr>
      </w:pPr>
      <w:r w:rsidRPr="00282AC9">
        <w:rPr>
          <w:rFonts w:hint="cs"/>
          <w:rtl/>
        </w:rPr>
        <w:t xml:space="preserve">4ـ </w:t>
      </w:r>
      <w:r w:rsidR="00946A76" w:rsidRPr="00282AC9">
        <w:rPr>
          <w:rtl/>
        </w:rPr>
        <w:t>وفي سنن ابن ماجة</w:t>
      </w:r>
      <w:r w:rsidRPr="00282AC9">
        <w:rPr>
          <w:rFonts w:hint="cs"/>
          <w:rtl/>
        </w:rPr>
        <w:t>:</w:t>
      </w:r>
      <w:r w:rsidR="00946A76" w:rsidRPr="00282AC9">
        <w:rPr>
          <w:rtl/>
        </w:rPr>
        <w:t xml:space="preserve"> ي</w:t>
      </w:r>
      <w:r w:rsidRPr="00282AC9">
        <w:rPr>
          <w:rFonts w:hint="cs"/>
          <w:rtl/>
        </w:rPr>
        <w:t>ُ</w:t>
      </w:r>
      <w:r w:rsidR="00946A76" w:rsidRPr="00282AC9">
        <w:rPr>
          <w:rtl/>
        </w:rPr>
        <w:t>قال عند إخراج الزكاة ما ورد عن النبي</w:t>
      </w:r>
      <w:r w:rsidRPr="00282AC9">
        <w:rPr>
          <w:rFonts w:hint="cs"/>
          <w:rtl/>
        </w:rPr>
        <w:t>ّ</w:t>
      </w:r>
      <w:r w:rsidR="00A9773B" w:rsidRPr="00282AC9">
        <w:rPr>
          <w:rFonts w:ascii="Mosawi" w:hAnsi="Mosawi" w:cs="Mosawi"/>
          <w:sz w:val="22"/>
          <w:szCs w:val="22"/>
          <w:rtl/>
        </w:rPr>
        <w:t>ﷺ</w:t>
      </w:r>
      <w:r w:rsidR="00946A76" w:rsidRPr="00282AC9">
        <w:rPr>
          <w:rtl/>
        </w:rPr>
        <w:t xml:space="preserve">: </w:t>
      </w:r>
      <w:r w:rsidRPr="00282AC9">
        <w:rPr>
          <w:rFonts w:hint="eastAsia"/>
          <w:sz w:val="24"/>
          <w:szCs w:val="24"/>
          <w:rtl/>
        </w:rPr>
        <w:t>«</w:t>
      </w:r>
      <w:r w:rsidR="00946A76" w:rsidRPr="00282AC9">
        <w:rPr>
          <w:rtl/>
        </w:rPr>
        <w:t>اللهم</w:t>
      </w:r>
      <w:r w:rsidRPr="00282AC9">
        <w:rPr>
          <w:rFonts w:hint="cs"/>
          <w:rtl/>
        </w:rPr>
        <w:t>ّ</w:t>
      </w:r>
      <w:r w:rsidR="007A79BC" w:rsidRPr="00282AC9">
        <w:rPr>
          <w:rFonts w:hint="cs"/>
          <w:rtl/>
        </w:rPr>
        <w:t>،</w:t>
      </w:r>
      <w:r w:rsidR="00946A76" w:rsidRPr="00282AC9">
        <w:rPr>
          <w:rtl/>
        </w:rPr>
        <w:t xml:space="preserve"> اجع</w:t>
      </w:r>
      <w:r w:rsidRPr="00282AC9">
        <w:rPr>
          <w:rFonts w:hint="cs"/>
          <w:rtl/>
        </w:rPr>
        <w:t>َ</w:t>
      </w:r>
      <w:r w:rsidR="00946A76" w:rsidRPr="00282AC9">
        <w:rPr>
          <w:rtl/>
        </w:rPr>
        <w:t>ل</w:t>
      </w:r>
      <w:r w:rsidRPr="00282AC9">
        <w:rPr>
          <w:rFonts w:hint="cs"/>
          <w:rtl/>
        </w:rPr>
        <w:t>ْ</w:t>
      </w:r>
      <w:r w:rsidR="00946A76" w:rsidRPr="00282AC9">
        <w:rPr>
          <w:rtl/>
        </w:rPr>
        <w:t>ها مغنما</w:t>
      </w:r>
      <w:r w:rsidRPr="00282AC9">
        <w:rPr>
          <w:rFonts w:hint="cs"/>
          <w:rtl/>
        </w:rPr>
        <w:t>ً،</w:t>
      </w:r>
      <w:r w:rsidR="00946A76" w:rsidRPr="00282AC9">
        <w:rPr>
          <w:rtl/>
        </w:rPr>
        <w:t xml:space="preserve"> ولا تجعلها مغرما</w:t>
      </w:r>
      <w:r w:rsidRPr="00282AC9">
        <w:rPr>
          <w:rFonts w:hint="cs"/>
          <w:rtl/>
        </w:rPr>
        <w:t>ً</w:t>
      </w:r>
      <w:r w:rsidRPr="00282AC9">
        <w:rPr>
          <w:rFonts w:hint="eastAsia"/>
          <w:sz w:val="24"/>
          <w:szCs w:val="24"/>
          <w:rtl/>
        </w:rPr>
        <w:t>»</w:t>
      </w:r>
      <w:r w:rsidR="00946A76" w:rsidRPr="00282AC9">
        <w:rPr>
          <w:rtl/>
        </w:rPr>
        <w:t xml:space="preserve">. </w:t>
      </w:r>
    </w:p>
    <w:p w:rsidR="00946A76" w:rsidRPr="00282AC9" w:rsidRDefault="00703D64" w:rsidP="0088149A">
      <w:pPr>
        <w:spacing w:line="414" w:lineRule="exact"/>
        <w:rPr>
          <w:rtl/>
        </w:rPr>
      </w:pPr>
      <w:r w:rsidRPr="00282AC9">
        <w:rPr>
          <w:rFonts w:hint="cs"/>
          <w:rtl/>
        </w:rPr>
        <w:t xml:space="preserve">5ـ </w:t>
      </w:r>
      <w:r w:rsidR="00946A76" w:rsidRPr="00282AC9">
        <w:rPr>
          <w:rtl/>
        </w:rPr>
        <w:t>وورد</w:t>
      </w:r>
      <w:r w:rsidR="000400A8" w:rsidRPr="00282AC9">
        <w:rPr>
          <w:rFonts w:hint="cs"/>
          <w:rtl/>
        </w:rPr>
        <w:t>َ</w:t>
      </w:r>
      <w:r w:rsidR="00946A76" w:rsidRPr="00282AC9">
        <w:rPr>
          <w:rtl/>
        </w:rPr>
        <w:t>ت</w:t>
      </w:r>
      <w:r w:rsidR="000400A8" w:rsidRPr="00282AC9">
        <w:rPr>
          <w:rFonts w:hint="cs"/>
          <w:rtl/>
        </w:rPr>
        <w:t>ْ</w:t>
      </w:r>
      <w:r w:rsidR="00946A76" w:rsidRPr="00282AC9">
        <w:rPr>
          <w:rtl/>
        </w:rPr>
        <w:t xml:space="preserve"> في كلمات الإمام علي</w:t>
      </w:r>
      <w:r w:rsidR="000400A8" w:rsidRPr="00282AC9">
        <w:rPr>
          <w:rFonts w:hint="cs"/>
          <w:rtl/>
        </w:rPr>
        <w:t>ّ</w:t>
      </w:r>
      <w:r w:rsidR="009A2A04" w:rsidRPr="00282AC9">
        <w:rPr>
          <w:rFonts w:cs="Mosawi"/>
          <w:sz w:val="22"/>
          <w:szCs w:val="22"/>
          <w:rtl/>
        </w:rPr>
        <w:t>×</w:t>
      </w:r>
      <w:r w:rsidR="000400A8" w:rsidRPr="00282AC9">
        <w:rPr>
          <w:rFonts w:hint="cs"/>
          <w:rtl/>
        </w:rPr>
        <w:t>،</w:t>
      </w:r>
      <w:r w:rsidR="00946A76" w:rsidRPr="00282AC9">
        <w:rPr>
          <w:rtl/>
        </w:rPr>
        <w:t xml:space="preserve"> في نهج البلاغة</w:t>
      </w:r>
      <w:r w:rsidR="000400A8" w:rsidRPr="00282AC9">
        <w:rPr>
          <w:rFonts w:hint="cs"/>
          <w:rtl/>
        </w:rPr>
        <w:t>،</w:t>
      </w:r>
      <w:r w:rsidR="00946A76" w:rsidRPr="00282AC9">
        <w:rPr>
          <w:rtl/>
        </w:rPr>
        <w:t xml:space="preserve"> في عدد</w:t>
      </w:r>
      <w:r w:rsidR="000400A8" w:rsidRPr="00282AC9">
        <w:rPr>
          <w:rFonts w:hint="cs"/>
          <w:rtl/>
        </w:rPr>
        <w:t>ٍ</w:t>
      </w:r>
      <w:r w:rsidR="00946A76" w:rsidRPr="00282AC9">
        <w:rPr>
          <w:rtl/>
        </w:rPr>
        <w:t xml:space="preserve"> من الموارد غير الحربي</w:t>
      </w:r>
      <w:r w:rsidR="000400A8" w:rsidRPr="00282AC9">
        <w:rPr>
          <w:rFonts w:hint="cs"/>
          <w:rtl/>
        </w:rPr>
        <w:t>ّ</w:t>
      </w:r>
      <w:r w:rsidR="00946A76" w:rsidRPr="00282AC9">
        <w:rPr>
          <w:rtl/>
        </w:rPr>
        <w:t xml:space="preserve">ة، </w:t>
      </w:r>
      <w:r w:rsidR="000400A8" w:rsidRPr="00282AC9">
        <w:rPr>
          <w:rFonts w:hint="cs"/>
          <w:rtl/>
        </w:rPr>
        <w:t>و</w:t>
      </w:r>
      <w:r w:rsidR="00946A76" w:rsidRPr="00282AC9">
        <w:rPr>
          <w:rtl/>
        </w:rPr>
        <w:t xml:space="preserve">منها: في كتابه لواليه على البصرة: </w:t>
      </w:r>
      <w:r w:rsidR="000400A8" w:rsidRPr="00282AC9">
        <w:rPr>
          <w:rFonts w:hint="eastAsia"/>
          <w:sz w:val="24"/>
          <w:szCs w:val="24"/>
          <w:rtl/>
        </w:rPr>
        <w:t>«</w:t>
      </w:r>
      <w:r w:rsidR="00946A76" w:rsidRPr="00282AC9">
        <w:rPr>
          <w:rtl/>
        </w:rPr>
        <w:t>فوالله ما كن</w:t>
      </w:r>
      <w:r w:rsidR="000400A8" w:rsidRPr="00282AC9">
        <w:rPr>
          <w:rFonts w:hint="cs"/>
          <w:rtl/>
        </w:rPr>
        <w:t>َ</w:t>
      </w:r>
      <w:r w:rsidR="00946A76" w:rsidRPr="00282AC9">
        <w:rPr>
          <w:rtl/>
        </w:rPr>
        <w:t>ز</w:t>
      </w:r>
      <w:r w:rsidR="000400A8" w:rsidRPr="00282AC9">
        <w:rPr>
          <w:rFonts w:hint="cs"/>
          <w:rtl/>
        </w:rPr>
        <w:t>ْ</w:t>
      </w:r>
      <w:r w:rsidR="00946A76" w:rsidRPr="00282AC9">
        <w:rPr>
          <w:rtl/>
        </w:rPr>
        <w:t>ت</w:t>
      </w:r>
      <w:r w:rsidR="000400A8" w:rsidRPr="00282AC9">
        <w:rPr>
          <w:rFonts w:hint="cs"/>
          <w:rtl/>
        </w:rPr>
        <w:t>ُ</w:t>
      </w:r>
      <w:r w:rsidR="00946A76" w:rsidRPr="00282AC9">
        <w:rPr>
          <w:rtl/>
        </w:rPr>
        <w:t xml:space="preserve"> من دنياكم تبرا</w:t>
      </w:r>
      <w:r w:rsidR="000400A8" w:rsidRPr="00282AC9">
        <w:rPr>
          <w:rFonts w:hint="cs"/>
          <w:rtl/>
        </w:rPr>
        <w:t>ً،</w:t>
      </w:r>
      <w:r w:rsidR="00946A76" w:rsidRPr="00282AC9">
        <w:rPr>
          <w:rtl/>
        </w:rPr>
        <w:t xml:space="preserve"> ولا اد</w:t>
      </w:r>
      <w:r w:rsidR="000400A8" w:rsidRPr="00282AC9">
        <w:rPr>
          <w:rFonts w:hint="cs"/>
          <w:rtl/>
        </w:rPr>
        <w:t>َّ</w:t>
      </w:r>
      <w:r w:rsidR="00946A76" w:rsidRPr="00282AC9">
        <w:rPr>
          <w:rtl/>
        </w:rPr>
        <w:t>خ</w:t>
      </w:r>
      <w:r w:rsidR="000400A8" w:rsidRPr="00282AC9">
        <w:rPr>
          <w:rFonts w:hint="cs"/>
          <w:rtl/>
        </w:rPr>
        <w:t>َ</w:t>
      </w:r>
      <w:r w:rsidR="00946A76" w:rsidRPr="00282AC9">
        <w:rPr>
          <w:rtl/>
        </w:rPr>
        <w:t>ر</w:t>
      </w:r>
      <w:r w:rsidR="000400A8" w:rsidRPr="00282AC9">
        <w:rPr>
          <w:rFonts w:hint="cs"/>
          <w:rtl/>
        </w:rPr>
        <w:t>ْ</w:t>
      </w:r>
      <w:r w:rsidR="00946A76" w:rsidRPr="00282AC9">
        <w:rPr>
          <w:rtl/>
        </w:rPr>
        <w:t>ت</w:t>
      </w:r>
      <w:r w:rsidR="000400A8" w:rsidRPr="00282AC9">
        <w:rPr>
          <w:rFonts w:hint="cs"/>
          <w:rtl/>
        </w:rPr>
        <w:t>ُ</w:t>
      </w:r>
      <w:r w:rsidR="00946A76" w:rsidRPr="00282AC9">
        <w:rPr>
          <w:rtl/>
        </w:rPr>
        <w:t xml:space="preserve"> من غنائمها وفرا</w:t>
      </w:r>
      <w:r w:rsidR="000400A8" w:rsidRPr="00282AC9">
        <w:rPr>
          <w:rFonts w:hint="cs"/>
          <w:rtl/>
        </w:rPr>
        <w:t>ً</w:t>
      </w:r>
      <w:r w:rsidR="000400A8" w:rsidRPr="00282AC9">
        <w:rPr>
          <w:rFonts w:hint="eastAsia"/>
          <w:sz w:val="24"/>
          <w:szCs w:val="24"/>
          <w:rtl/>
        </w:rPr>
        <w:t>»</w:t>
      </w:r>
      <w:r w:rsidR="00946A76" w:rsidRPr="00282AC9">
        <w:rPr>
          <w:rtl/>
        </w:rPr>
        <w:t>. وهو واضح</w:t>
      </w:r>
      <w:r w:rsidR="000400A8" w:rsidRPr="00282AC9">
        <w:rPr>
          <w:rFonts w:hint="cs"/>
          <w:rtl/>
        </w:rPr>
        <w:t>ٌ</w:t>
      </w:r>
      <w:r w:rsidR="00946A76" w:rsidRPr="00282AC9">
        <w:rPr>
          <w:rtl/>
        </w:rPr>
        <w:t xml:space="preserve"> </w:t>
      </w:r>
      <w:r w:rsidR="000400A8" w:rsidRPr="00282AC9">
        <w:rPr>
          <w:rFonts w:hint="cs"/>
          <w:rtl/>
        </w:rPr>
        <w:t xml:space="preserve">في </w:t>
      </w:r>
      <w:r w:rsidR="00946A76" w:rsidRPr="00282AC9">
        <w:rPr>
          <w:rtl/>
        </w:rPr>
        <w:t xml:space="preserve">المعنى الواسع </w:t>
      </w:r>
      <w:r w:rsidRPr="00282AC9">
        <w:rPr>
          <w:rFonts w:hint="cs"/>
          <w:rtl/>
        </w:rPr>
        <w:t xml:space="preserve">الشامل </w:t>
      </w:r>
      <w:r w:rsidR="00946A76" w:rsidRPr="00282AC9">
        <w:rPr>
          <w:rtl/>
        </w:rPr>
        <w:t>لمختلف الإفادات الماد</w:t>
      </w:r>
      <w:r w:rsidR="000400A8" w:rsidRPr="00282AC9">
        <w:rPr>
          <w:rFonts w:hint="cs"/>
          <w:rtl/>
        </w:rPr>
        <w:t>ّ</w:t>
      </w:r>
      <w:r w:rsidR="00946A76" w:rsidRPr="00282AC9">
        <w:rPr>
          <w:rtl/>
        </w:rPr>
        <w:t>ية والغنائم الدنيوي</w:t>
      </w:r>
      <w:r w:rsidRPr="00282AC9">
        <w:rPr>
          <w:rFonts w:hint="cs"/>
          <w:rtl/>
        </w:rPr>
        <w:t>ّ</w:t>
      </w:r>
      <w:r w:rsidR="00946A76" w:rsidRPr="00282AC9">
        <w:rPr>
          <w:rtl/>
        </w:rPr>
        <w:t>ة.</w:t>
      </w:r>
    </w:p>
    <w:p w:rsidR="00946A76" w:rsidRPr="00282AC9" w:rsidRDefault="00703D64" w:rsidP="0088149A">
      <w:pPr>
        <w:spacing w:line="414" w:lineRule="exact"/>
        <w:rPr>
          <w:rtl/>
        </w:rPr>
      </w:pPr>
      <w:r w:rsidRPr="00282AC9">
        <w:rPr>
          <w:rFonts w:hint="cs"/>
          <w:rtl/>
        </w:rPr>
        <w:t xml:space="preserve">6ـ </w:t>
      </w:r>
      <w:r w:rsidR="00946A76" w:rsidRPr="00282AC9">
        <w:rPr>
          <w:rtl/>
        </w:rPr>
        <w:t>وجاء في دعاء الإمام زين العابدين</w:t>
      </w:r>
      <w:r w:rsidR="009A2A04" w:rsidRPr="00282AC9">
        <w:rPr>
          <w:rFonts w:cs="Mosawi" w:hint="cs"/>
          <w:sz w:val="22"/>
          <w:szCs w:val="22"/>
          <w:rtl/>
        </w:rPr>
        <w:t>×</w:t>
      </w:r>
      <w:r w:rsidRPr="00282AC9">
        <w:rPr>
          <w:rFonts w:hint="cs"/>
          <w:rtl/>
        </w:rPr>
        <w:t>،</w:t>
      </w:r>
      <w:r w:rsidRPr="00282AC9">
        <w:rPr>
          <w:rtl/>
        </w:rPr>
        <w:t xml:space="preserve"> في الصحيفة السج</w:t>
      </w:r>
      <w:r w:rsidRPr="00282AC9">
        <w:rPr>
          <w:rFonts w:hint="cs"/>
          <w:rtl/>
        </w:rPr>
        <w:t>ّ</w:t>
      </w:r>
      <w:r w:rsidRPr="00282AC9">
        <w:rPr>
          <w:rtl/>
        </w:rPr>
        <w:t xml:space="preserve">ادية: </w:t>
      </w:r>
      <w:r w:rsidRPr="00282AC9">
        <w:rPr>
          <w:rFonts w:hint="eastAsia"/>
          <w:sz w:val="24"/>
          <w:szCs w:val="24"/>
          <w:rtl/>
        </w:rPr>
        <w:t>«</w:t>
      </w:r>
      <w:r w:rsidR="00946A76" w:rsidRPr="00282AC9">
        <w:rPr>
          <w:rtl/>
        </w:rPr>
        <w:t>اللهم</w:t>
      </w:r>
      <w:r w:rsidRPr="00282AC9">
        <w:rPr>
          <w:rFonts w:hint="cs"/>
          <w:rtl/>
        </w:rPr>
        <w:t xml:space="preserve">ّ...، </w:t>
      </w:r>
      <w:r w:rsidR="00946A76" w:rsidRPr="00282AC9">
        <w:rPr>
          <w:rtl/>
        </w:rPr>
        <w:t>م</w:t>
      </w:r>
      <w:r w:rsidRPr="00282AC9">
        <w:rPr>
          <w:rFonts w:hint="cs"/>
          <w:rtl/>
        </w:rPr>
        <w:t>َ</w:t>
      </w:r>
      <w:r w:rsidR="00946A76" w:rsidRPr="00282AC9">
        <w:rPr>
          <w:rtl/>
        </w:rPr>
        <w:t>ن</w:t>
      </w:r>
      <w:r w:rsidRPr="00282AC9">
        <w:rPr>
          <w:rFonts w:hint="cs"/>
          <w:rtl/>
        </w:rPr>
        <w:t>ْ</w:t>
      </w:r>
      <w:r w:rsidR="00946A76" w:rsidRPr="00282AC9">
        <w:rPr>
          <w:rtl/>
        </w:rPr>
        <w:t xml:space="preserve"> تهده يعلم</w:t>
      </w:r>
      <w:r w:rsidRPr="00282AC9">
        <w:rPr>
          <w:rFonts w:hint="cs"/>
          <w:rtl/>
        </w:rPr>
        <w:t>،</w:t>
      </w:r>
      <w:r w:rsidR="00946A76" w:rsidRPr="00282AC9">
        <w:rPr>
          <w:rtl/>
        </w:rPr>
        <w:t xml:space="preserve"> وم</w:t>
      </w:r>
      <w:r w:rsidRPr="00282AC9">
        <w:rPr>
          <w:rFonts w:hint="cs"/>
          <w:rtl/>
        </w:rPr>
        <w:t>َ</w:t>
      </w:r>
      <w:r w:rsidR="00946A76" w:rsidRPr="00282AC9">
        <w:rPr>
          <w:rtl/>
        </w:rPr>
        <w:t>ن</w:t>
      </w:r>
      <w:r w:rsidRPr="00282AC9">
        <w:rPr>
          <w:rFonts w:hint="cs"/>
          <w:rtl/>
        </w:rPr>
        <w:t>ْ</w:t>
      </w:r>
      <w:r w:rsidR="00946A76" w:rsidRPr="00282AC9">
        <w:rPr>
          <w:rtl/>
        </w:rPr>
        <w:t xml:space="preserve"> تقر</w:t>
      </w:r>
      <w:r w:rsidRPr="00282AC9">
        <w:rPr>
          <w:rFonts w:hint="cs"/>
          <w:rtl/>
        </w:rPr>
        <w:t>ِّ</w:t>
      </w:r>
      <w:r w:rsidR="00946A76" w:rsidRPr="00282AC9">
        <w:rPr>
          <w:rtl/>
        </w:rPr>
        <w:t>به إليك يغنم</w:t>
      </w:r>
      <w:r w:rsidRPr="00282AC9">
        <w:rPr>
          <w:rFonts w:hint="eastAsia"/>
          <w:sz w:val="24"/>
          <w:szCs w:val="24"/>
          <w:rtl/>
        </w:rPr>
        <w:t>»</w:t>
      </w:r>
      <w:r w:rsidR="00946A76" w:rsidRPr="00282AC9">
        <w:rPr>
          <w:rtl/>
        </w:rPr>
        <w:t xml:space="preserve">. </w:t>
      </w:r>
    </w:p>
    <w:p w:rsidR="00946A76" w:rsidRPr="00282AC9" w:rsidRDefault="00946A76" w:rsidP="0088149A">
      <w:pPr>
        <w:spacing w:line="414" w:lineRule="exact"/>
        <w:rPr>
          <w:rtl/>
        </w:rPr>
      </w:pPr>
      <w:r w:rsidRPr="00282AC9">
        <w:rPr>
          <w:rtl/>
        </w:rPr>
        <w:t>وفي دعاء</w:t>
      </w:r>
      <w:r w:rsidR="00703D64" w:rsidRPr="00282AC9">
        <w:rPr>
          <w:rFonts w:hint="cs"/>
          <w:rtl/>
        </w:rPr>
        <w:t>ٍ</w:t>
      </w:r>
      <w:r w:rsidRPr="00282AC9">
        <w:rPr>
          <w:rtl/>
        </w:rPr>
        <w:t xml:space="preserve"> آخر: </w:t>
      </w:r>
      <w:r w:rsidR="00703D64" w:rsidRPr="00282AC9">
        <w:rPr>
          <w:rFonts w:hint="eastAsia"/>
          <w:sz w:val="24"/>
          <w:szCs w:val="24"/>
          <w:rtl/>
        </w:rPr>
        <w:t>«</w:t>
      </w:r>
      <w:r w:rsidRPr="00282AC9">
        <w:rPr>
          <w:rtl/>
        </w:rPr>
        <w:t>أسألك الغنيمة من كل</w:t>
      </w:r>
      <w:r w:rsidR="00703D64" w:rsidRPr="00282AC9">
        <w:rPr>
          <w:rFonts w:hint="cs"/>
          <w:rtl/>
        </w:rPr>
        <w:t>ّ</w:t>
      </w:r>
      <w:r w:rsidRPr="00282AC9">
        <w:rPr>
          <w:rtl/>
        </w:rPr>
        <w:t xml:space="preserve"> بر</w:t>
      </w:r>
      <w:r w:rsidR="00703D64" w:rsidRPr="00282AC9">
        <w:rPr>
          <w:rFonts w:hint="cs"/>
          <w:rtl/>
        </w:rPr>
        <w:t>ٍّ</w:t>
      </w:r>
      <w:r w:rsidR="00703D64" w:rsidRPr="00282AC9">
        <w:rPr>
          <w:rFonts w:hint="eastAsia"/>
          <w:sz w:val="24"/>
          <w:szCs w:val="24"/>
          <w:rtl/>
        </w:rPr>
        <w:t>»</w:t>
      </w:r>
      <w:r w:rsidRPr="00282AC9">
        <w:rPr>
          <w:rtl/>
        </w:rPr>
        <w:t xml:space="preserve">. </w:t>
      </w:r>
    </w:p>
    <w:p w:rsidR="00946A76" w:rsidRPr="00282AC9" w:rsidRDefault="00703D64" w:rsidP="0088149A">
      <w:pPr>
        <w:spacing w:line="414" w:lineRule="exact"/>
        <w:rPr>
          <w:rtl/>
        </w:rPr>
      </w:pPr>
      <w:r w:rsidRPr="00282AC9">
        <w:rPr>
          <w:rFonts w:hint="cs"/>
          <w:rtl/>
        </w:rPr>
        <w:t xml:space="preserve">7ـ </w:t>
      </w:r>
      <w:r w:rsidR="00946A76" w:rsidRPr="00282AC9">
        <w:rPr>
          <w:rtl/>
        </w:rPr>
        <w:t>وعن الإمام جعفر الصادق</w:t>
      </w:r>
      <w:r w:rsidR="009A2A04" w:rsidRPr="00282AC9">
        <w:rPr>
          <w:rFonts w:cs="Mosawi" w:hint="cs"/>
          <w:sz w:val="22"/>
          <w:szCs w:val="22"/>
          <w:rtl/>
        </w:rPr>
        <w:t>×</w:t>
      </w:r>
      <w:r w:rsidR="00946A76" w:rsidRPr="00282AC9">
        <w:rPr>
          <w:rtl/>
        </w:rPr>
        <w:t xml:space="preserve">: </w:t>
      </w:r>
      <w:r w:rsidRPr="00282AC9">
        <w:rPr>
          <w:rFonts w:hint="eastAsia"/>
          <w:sz w:val="24"/>
          <w:szCs w:val="24"/>
          <w:rtl/>
        </w:rPr>
        <w:t>«</w:t>
      </w:r>
      <w:r w:rsidR="00946A76" w:rsidRPr="00282AC9">
        <w:rPr>
          <w:rtl/>
        </w:rPr>
        <w:t>قرض المؤمن غنيمة</w:t>
      </w:r>
      <w:r w:rsidRPr="00282AC9">
        <w:rPr>
          <w:rFonts w:hint="cs"/>
          <w:rtl/>
        </w:rPr>
        <w:t>ٌ</w:t>
      </w:r>
      <w:r w:rsidR="00946A76" w:rsidRPr="00282AC9">
        <w:rPr>
          <w:rtl/>
        </w:rPr>
        <w:t xml:space="preserve"> وتعجيل</w:t>
      </w:r>
      <w:r w:rsidRPr="00282AC9">
        <w:rPr>
          <w:rFonts w:hint="cs"/>
          <w:rtl/>
        </w:rPr>
        <w:t>ُ</w:t>
      </w:r>
      <w:r w:rsidR="00946A76" w:rsidRPr="00282AC9">
        <w:rPr>
          <w:rtl/>
        </w:rPr>
        <w:t xml:space="preserve"> أجر</w:t>
      </w:r>
      <w:r w:rsidRPr="00282AC9">
        <w:rPr>
          <w:rFonts w:hint="cs"/>
          <w:rtl/>
        </w:rPr>
        <w:t>ٍ</w:t>
      </w:r>
      <w:r w:rsidRPr="00282AC9">
        <w:rPr>
          <w:rFonts w:hint="eastAsia"/>
          <w:sz w:val="24"/>
          <w:szCs w:val="24"/>
          <w:rtl/>
        </w:rPr>
        <w:t>»</w:t>
      </w:r>
      <w:r w:rsidR="00946A76" w:rsidRPr="00282AC9">
        <w:rPr>
          <w:rtl/>
        </w:rPr>
        <w:t xml:space="preserve">. </w:t>
      </w:r>
    </w:p>
    <w:p w:rsidR="00946A76" w:rsidRPr="00282AC9" w:rsidRDefault="00703D64" w:rsidP="0088149A">
      <w:pPr>
        <w:spacing w:line="414" w:lineRule="exact"/>
        <w:rPr>
          <w:rtl/>
        </w:rPr>
      </w:pPr>
      <w:r w:rsidRPr="00282AC9">
        <w:rPr>
          <w:rFonts w:hint="cs"/>
          <w:rtl/>
        </w:rPr>
        <w:t xml:space="preserve">8ـ </w:t>
      </w:r>
      <w:r w:rsidR="00946A76" w:rsidRPr="00282AC9">
        <w:rPr>
          <w:rtl/>
        </w:rPr>
        <w:t xml:space="preserve">وقال عنترة العبسي: </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703D64" w:rsidRPr="00282AC9" w:rsidTr="00B37889">
        <w:trPr>
          <w:jc w:val="center"/>
        </w:trPr>
        <w:tc>
          <w:tcPr>
            <w:tcW w:w="3136" w:type="dxa"/>
          </w:tcPr>
          <w:p w:rsidR="00703D64" w:rsidRPr="00282AC9" w:rsidRDefault="00703D64" w:rsidP="007A79BC">
            <w:pPr>
              <w:spacing w:line="240" w:lineRule="auto"/>
              <w:ind w:firstLine="0"/>
              <w:jc w:val="lowKashida"/>
              <w:rPr>
                <w:sz w:val="2"/>
                <w:szCs w:val="2"/>
                <w:rtl/>
              </w:rPr>
            </w:pPr>
            <w:r w:rsidRPr="00282AC9">
              <w:rPr>
                <w:rtl/>
              </w:rPr>
              <w:t>فقلت</w:t>
            </w:r>
            <w:r w:rsidRPr="00282AC9">
              <w:rPr>
                <w:rFonts w:hint="cs"/>
                <w:rtl/>
              </w:rPr>
              <w:t>ُ</w:t>
            </w:r>
            <w:r w:rsidRPr="00282AC9">
              <w:rPr>
                <w:rtl/>
              </w:rPr>
              <w:t xml:space="preserve"> لها م</w:t>
            </w:r>
            <w:r w:rsidRPr="00282AC9">
              <w:rPr>
                <w:rFonts w:hint="cs"/>
                <w:rtl/>
              </w:rPr>
              <w:t>َ</w:t>
            </w:r>
            <w:r w:rsidRPr="00282AC9">
              <w:rPr>
                <w:rtl/>
              </w:rPr>
              <w:t>ن</w:t>
            </w:r>
            <w:r w:rsidRPr="00282AC9">
              <w:rPr>
                <w:rFonts w:hint="cs"/>
                <w:rtl/>
              </w:rPr>
              <w:t>ْ</w:t>
            </w:r>
            <w:r w:rsidRPr="00282AC9">
              <w:rPr>
                <w:rtl/>
              </w:rPr>
              <w:t xml:space="preserve"> يغنم اليوم نفسه</w:t>
            </w:r>
            <w:r w:rsidRPr="00282AC9">
              <w:rPr>
                <w:rFonts w:hint="cs"/>
                <w:sz w:val="27"/>
                <w:rtl/>
              </w:rPr>
              <w:br/>
            </w:r>
          </w:p>
        </w:tc>
        <w:tc>
          <w:tcPr>
            <w:tcW w:w="425" w:type="dxa"/>
          </w:tcPr>
          <w:p w:rsidR="00703D64" w:rsidRPr="00282AC9" w:rsidRDefault="00703D64" w:rsidP="00D1080C">
            <w:pPr>
              <w:ind w:firstLine="0"/>
              <w:jc w:val="lowKashida"/>
              <w:rPr>
                <w:sz w:val="27"/>
                <w:rtl/>
              </w:rPr>
            </w:pPr>
          </w:p>
        </w:tc>
        <w:tc>
          <w:tcPr>
            <w:tcW w:w="3052" w:type="dxa"/>
          </w:tcPr>
          <w:p w:rsidR="00703D64" w:rsidRPr="00282AC9" w:rsidRDefault="00703D64" w:rsidP="007A79BC">
            <w:pPr>
              <w:spacing w:line="240" w:lineRule="auto"/>
              <w:ind w:firstLine="0"/>
              <w:jc w:val="lowKashida"/>
              <w:rPr>
                <w:sz w:val="2"/>
                <w:szCs w:val="2"/>
                <w:rtl/>
              </w:rPr>
            </w:pPr>
            <w:r w:rsidRPr="00282AC9">
              <w:rPr>
                <w:rtl/>
              </w:rPr>
              <w:t>وينظر غدا</w:t>
            </w:r>
            <w:r w:rsidRPr="00282AC9">
              <w:rPr>
                <w:rFonts w:hint="cs"/>
                <w:rtl/>
              </w:rPr>
              <w:t>ً</w:t>
            </w:r>
            <w:r w:rsidRPr="00282AC9">
              <w:rPr>
                <w:rtl/>
              </w:rPr>
              <w:t xml:space="preserve"> يل</w:t>
            </w:r>
            <w:r w:rsidRPr="00282AC9">
              <w:rPr>
                <w:rFonts w:hint="cs"/>
                <w:rtl/>
              </w:rPr>
              <w:t>ْ</w:t>
            </w:r>
            <w:r w:rsidRPr="00282AC9">
              <w:rPr>
                <w:rtl/>
              </w:rPr>
              <w:t>ق</w:t>
            </w:r>
            <w:r w:rsidRPr="00282AC9">
              <w:rPr>
                <w:rFonts w:hint="cs"/>
                <w:rtl/>
              </w:rPr>
              <w:t>َ</w:t>
            </w:r>
            <w:r w:rsidRPr="00282AC9">
              <w:rPr>
                <w:rtl/>
              </w:rPr>
              <w:t xml:space="preserve"> الذي كان لاقيا</w:t>
            </w:r>
            <w:r w:rsidRPr="00282AC9">
              <w:rPr>
                <w:rFonts w:hint="cs"/>
                <w:sz w:val="27"/>
                <w:rtl/>
              </w:rPr>
              <w:br/>
            </w:r>
          </w:p>
        </w:tc>
      </w:tr>
    </w:tbl>
    <w:p w:rsidR="00703D64" w:rsidRPr="00282AC9" w:rsidRDefault="00703D64" w:rsidP="0088149A">
      <w:pPr>
        <w:spacing w:line="414" w:lineRule="exact"/>
        <w:rPr>
          <w:bCs/>
          <w:rtl/>
        </w:rPr>
      </w:pPr>
      <w:r w:rsidRPr="00282AC9">
        <w:rPr>
          <w:rFonts w:hint="cs"/>
          <w:rtl/>
        </w:rPr>
        <w:t xml:space="preserve">9ـ </w:t>
      </w:r>
      <w:r w:rsidR="00946A76" w:rsidRPr="00282AC9">
        <w:rPr>
          <w:rtl/>
        </w:rPr>
        <w:t>وقال أبو العتاهية:</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703D64" w:rsidRPr="00282AC9" w:rsidTr="00B37889">
        <w:trPr>
          <w:jc w:val="center"/>
        </w:trPr>
        <w:tc>
          <w:tcPr>
            <w:tcW w:w="3136" w:type="dxa"/>
          </w:tcPr>
          <w:p w:rsidR="00703D64" w:rsidRPr="00282AC9" w:rsidRDefault="002D6CDD" w:rsidP="007A79BC">
            <w:pPr>
              <w:spacing w:line="240" w:lineRule="auto"/>
              <w:ind w:firstLine="0"/>
              <w:jc w:val="lowKashida"/>
              <w:rPr>
                <w:sz w:val="2"/>
                <w:szCs w:val="2"/>
                <w:rtl/>
              </w:rPr>
            </w:pPr>
            <w:r w:rsidRPr="00282AC9">
              <w:rPr>
                <w:b/>
                <w:rtl/>
              </w:rPr>
              <w:t>و</w:t>
            </w:r>
            <w:r w:rsidRPr="00282AC9">
              <w:rPr>
                <w:rtl/>
              </w:rPr>
              <w:t>م</w:t>
            </w:r>
            <w:r w:rsidRPr="00282AC9">
              <w:rPr>
                <w:rFonts w:hint="cs"/>
                <w:rtl/>
              </w:rPr>
              <w:t>َ</w:t>
            </w:r>
            <w:r w:rsidRPr="00282AC9">
              <w:rPr>
                <w:rtl/>
              </w:rPr>
              <w:t>ن</w:t>
            </w:r>
            <w:r w:rsidRPr="00282AC9">
              <w:rPr>
                <w:rFonts w:hint="cs"/>
                <w:rtl/>
              </w:rPr>
              <w:t>ْ</w:t>
            </w:r>
            <w:r w:rsidRPr="00282AC9">
              <w:rPr>
                <w:rtl/>
              </w:rPr>
              <w:t xml:space="preserve"> يغتنم يوما</w:t>
            </w:r>
            <w:r w:rsidRPr="00282AC9">
              <w:rPr>
                <w:rFonts w:hint="cs"/>
                <w:rtl/>
              </w:rPr>
              <w:t>ً</w:t>
            </w:r>
            <w:r w:rsidRPr="00282AC9">
              <w:rPr>
                <w:rtl/>
              </w:rPr>
              <w:t xml:space="preserve"> يجده غنيمة</w:t>
            </w:r>
            <w:r w:rsidRPr="00282AC9">
              <w:rPr>
                <w:rFonts w:hint="cs"/>
                <w:rtl/>
              </w:rPr>
              <w:t>ً</w:t>
            </w:r>
            <w:r w:rsidR="00703D64" w:rsidRPr="00282AC9">
              <w:rPr>
                <w:rFonts w:hint="cs"/>
                <w:sz w:val="27"/>
                <w:rtl/>
              </w:rPr>
              <w:br/>
            </w:r>
          </w:p>
        </w:tc>
        <w:tc>
          <w:tcPr>
            <w:tcW w:w="425" w:type="dxa"/>
          </w:tcPr>
          <w:p w:rsidR="00703D64" w:rsidRPr="00282AC9" w:rsidRDefault="00703D64" w:rsidP="00D1080C">
            <w:pPr>
              <w:ind w:firstLine="0"/>
              <w:jc w:val="lowKashida"/>
              <w:rPr>
                <w:sz w:val="27"/>
                <w:rtl/>
              </w:rPr>
            </w:pPr>
          </w:p>
        </w:tc>
        <w:tc>
          <w:tcPr>
            <w:tcW w:w="3052" w:type="dxa"/>
          </w:tcPr>
          <w:p w:rsidR="00703D64" w:rsidRPr="00282AC9" w:rsidRDefault="002D6CDD" w:rsidP="007A79BC">
            <w:pPr>
              <w:spacing w:line="240" w:lineRule="auto"/>
              <w:ind w:firstLine="0"/>
              <w:jc w:val="lowKashida"/>
              <w:rPr>
                <w:sz w:val="2"/>
                <w:szCs w:val="2"/>
                <w:rtl/>
              </w:rPr>
            </w:pPr>
            <w:r w:rsidRPr="00282AC9">
              <w:rPr>
                <w:rtl/>
              </w:rPr>
              <w:t>وم</w:t>
            </w:r>
            <w:r w:rsidRPr="00282AC9">
              <w:rPr>
                <w:rFonts w:hint="cs"/>
                <w:rtl/>
              </w:rPr>
              <w:t>َ</w:t>
            </w:r>
            <w:r w:rsidRPr="00282AC9">
              <w:rPr>
                <w:rtl/>
              </w:rPr>
              <w:t>ن</w:t>
            </w:r>
            <w:r w:rsidRPr="00282AC9">
              <w:rPr>
                <w:rFonts w:hint="cs"/>
                <w:rtl/>
              </w:rPr>
              <w:t>ْ</w:t>
            </w:r>
            <w:r w:rsidRPr="00282AC9">
              <w:rPr>
                <w:rtl/>
              </w:rPr>
              <w:t xml:space="preserve"> فاته يوم فليس بعائد</w:t>
            </w:r>
            <w:r w:rsidRPr="00282AC9">
              <w:rPr>
                <w:rFonts w:hint="cs"/>
                <w:rtl/>
              </w:rPr>
              <w:t>ِ</w:t>
            </w:r>
            <w:r w:rsidRPr="00282AC9">
              <w:rPr>
                <w:rFonts w:hint="cs"/>
                <w:vertAlign w:val="superscript"/>
                <w:rtl/>
              </w:rPr>
              <w:t>(</w:t>
            </w:r>
            <w:r w:rsidRPr="00282AC9">
              <w:rPr>
                <w:rStyle w:val="af9"/>
                <w:sz w:val="27"/>
                <w:rtl/>
              </w:rPr>
              <w:endnoteReference w:id="428"/>
            </w:r>
            <w:r w:rsidRPr="00282AC9">
              <w:rPr>
                <w:rFonts w:hint="cs"/>
                <w:vertAlign w:val="superscript"/>
                <w:rtl/>
              </w:rPr>
              <w:t>)</w:t>
            </w:r>
            <w:r w:rsidR="00703D64" w:rsidRPr="00282AC9">
              <w:rPr>
                <w:rFonts w:hint="cs"/>
                <w:sz w:val="27"/>
                <w:rtl/>
              </w:rPr>
              <w:br/>
            </w:r>
          </w:p>
        </w:tc>
      </w:tr>
    </w:tbl>
    <w:p w:rsidR="00946A76" w:rsidRPr="00282AC9" w:rsidRDefault="00946A76" w:rsidP="0088149A">
      <w:pPr>
        <w:spacing w:line="414" w:lineRule="exact"/>
        <w:rPr>
          <w:bCs/>
          <w:rtl/>
        </w:rPr>
      </w:pPr>
      <w:r w:rsidRPr="00282AC9">
        <w:rPr>
          <w:rtl/>
        </w:rPr>
        <w:t>وانتهى إلى أن الوضع اللغوي</w:t>
      </w:r>
      <w:r w:rsidR="002D6CDD" w:rsidRPr="00282AC9">
        <w:rPr>
          <w:rFonts w:hint="cs"/>
          <w:rtl/>
        </w:rPr>
        <w:t>ّ</w:t>
      </w:r>
      <w:r w:rsidRPr="00282AC9">
        <w:rPr>
          <w:rtl/>
        </w:rPr>
        <w:t xml:space="preserve"> والاستعمال اللغوي</w:t>
      </w:r>
      <w:r w:rsidR="002D6CDD" w:rsidRPr="00282AC9">
        <w:rPr>
          <w:rFonts w:hint="cs"/>
          <w:rtl/>
        </w:rPr>
        <w:t>ّ</w:t>
      </w:r>
      <w:r w:rsidRPr="00282AC9">
        <w:rPr>
          <w:rtl/>
        </w:rPr>
        <w:t xml:space="preserve"> المتكر</w:t>
      </w:r>
      <w:r w:rsidR="002D6CDD" w:rsidRPr="00282AC9">
        <w:rPr>
          <w:rFonts w:hint="cs"/>
          <w:rtl/>
        </w:rPr>
        <w:t>ِّ</w:t>
      </w:r>
      <w:r w:rsidRPr="00282AC9">
        <w:rPr>
          <w:rtl/>
        </w:rPr>
        <w:t>ر يأبى تخصيص مفهوم الغنيمة بمصداقها الحربي</w:t>
      </w:r>
      <w:r w:rsidR="002D6CDD" w:rsidRPr="00282AC9">
        <w:rPr>
          <w:rFonts w:hint="cs"/>
          <w:rtl/>
        </w:rPr>
        <w:t>ّ</w:t>
      </w:r>
      <w:r w:rsidRPr="00282AC9">
        <w:rPr>
          <w:rtl/>
        </w:rPr>
        <w:t xml:space="preserve"> وحده</w:t>
      </w:r>
      <w:r w:rsidRPr="00282AC9">
        <w:rPr>
          <w:rFonts w:hint="cs"/>
          <w:vertAlign w:val="superscript"/>
          <w:rtl/>
        </w:rPr>
        <w:t>(</w:t>
      </w:r>
      <w:r w:rsidRPr="00282AC9">
        <w:rPr>
          <w:rStyle w:val="af9"/>
          <w:sz w:val="27"/>
          <w:rtl/>
        </w:rPr>
        <w:endnoteReference w:id="429"/>
      </w:r>
      <w:r w:rsidRPr="00282AC9">
        <w:rPr>
          <w:rFonts w:hint="cs"/>
          <w:vertAlign w:val="superscript"/>
          <w:rtl/>
        </w:rPr>
        <w:t>)</w:t>
      </w:r>
      <w:r w:rsidR="002D6CDD" w:rsidRPr="00282AC9">
        <w:rPr>
          <w:rFonts w:hint="cs"/>
          <w:rtl/>
        </w:rPr>
        <w:t>.</w:t>
      </w:r>
    </w:p>
    <w:p w:rsidR="00946A76" w:rsidRPr="00282AC9" w:rsidRDefault="00946A76" w:rsidP="0088149A">
      <w:pPr>
        <w:spacing w:line="414" w:lineRule="exact"/>
        <w:rPr>
          <w:bCs/>
          <w:rtl/>
        </w:rPr>
      </w:pPr>
      <w:r w:rsidRPr="00282AC9">
        <w:rPr>
          <w:rtl/>
        </w:rPr>
        <w:t>وتتب</w:t>
      </w:r>
      <w:r w:rsidR="002D6CDD" w:rsidRPr="00282AC9">
        <w:rPr>
          <w:rFonts w:hint="cs"/>
          <w:rtl/>
        </w:rPr>
        <w:t>َّ</w:t>
      </w:r>
      <w:r w:rsidRPr="00282AC9">
        <w:rPr>
          <w:rtl/>
        </w:rPr>
        <w:t xml:space="preserve">ع الهمداني استعمال مادة </w:t>
      </w:r>
      <w:r w:rsidRPr="00282AC9">
        <w:rPr>
          <w:rFonts w:hint="eastAsia"/>
          <w:sz w:val="24"/>
          <w:szCs w:val="24"/>
          <w:rtl/>
        </w:rPr>
        <w:t>«</w:t>
      </w:r>
      <w:r w:rsidRPr="00282AC9">
        <w:rPr>
          <w:rtl/>
        </w:rPr>
        <w:t>غنم</w:t>
      </w:r>
      <w:r w:rsidRPr="00282AC9">
        <w:rPr>
          <w:rFonts w:hint="eastAsia"/>
          <w:sz w:val="24"/>
          <w:szCs w:val="24"/>
          <w:rtl/>
        </w:rPr>
        <w:t>»</w:t>
      </w:r>
      <w:r w:rsidR="002D6CDD" w:rsidRPr="00282AC9">
        <w:rPr>
          <w:rFonts w:hint="cs"/>
          <w:rtl/>
        </w:rPr>
        <w:t>،</w:t>
      </w:r>
      <w:r w:rsidRPr="00282AC9">
        <w:rPr>
          <w:rtl/>
        </w:rPr>
        <w:t xml:space="preserve"> ومختلف تصريفاتها</w:t>
      </w:r>
      <w:r w:rsidR="002D6CDD" w:rsidRPr="00282AC9">
        <w:rPr>
          <w:rFonts w:hint="cs"/>
          <w:rtl/>
        </w:rPr>
        <w:t>،</w:t>
      </w:r>
      <w:r w:rsidRPr="00282AC9">
        <w:rPr>
          <w:rtl/>
        </w:rPr>
        <w:t xml:space="preserve"> </w:t>
      </w:r>
      <w:r w:rsidR="002D6CDD" w:rsidRPr="00282AC9">
        <w:rPr>
          <w:rFonts w:hint="cs"/>
          <w:rtl/>
        </w:rPr>
        <w:t>ا</w:t>
      </w:r>
      <w:r w:rsidRPr="00282AC9">
        <w:rPr>
          <w:rtl/>
        </w:rPr>
        <w:t>سما</w:t>
      </w:r>
      <w:r w:rsidR="002D6CDD" w:rsidRPr="00282AC9">
        <w:rPr>
          <w:rFonts w:hint="cs"/>
          <w:rtl/>
        </w:rPr>
        <w:t>ً</w:t>
      </w:r>
      <w:r w:rsidRPr="00282AC9">
        <w:rPr>
          <w:rtl/>
        </w:rPr>
        <w:t xml:space="preserve"> وفعلا</w:t>
      </w:r>
      <w:r w:rsidR="002D6CDD" w:rsidRPr="00282AC9">
        <w:rPr>
          <w:rFonts w:hint="cs"/>
          <w:rtl/>
        </w:rPr>
        <w:t>ً</w:t>
      </w:r>
      <w:r w:rsidRPr="00282AC9">
        <w:rPr>
          <w:rtl/>
        </w:rPr>
        <w:t>، مصدرا</w:t>
      </w:r>
      <w:r w:rsidR="002D6CDD" w:rsidRPr="00282AC9">
        <w:rPr>
          <w:rFonts w:hint="cs"/>
          <w:rtl/>
        </w:rPr>
        <w:t>ً</w:t>
      </w:r>
      <w:r w:rsidRPr="00282AC9">
        <w:rPr>
          <w:rtl/>
        </w:rPr>
        <w:t xml:space="preserve"> ومشتق</w:t>
      </w:r>
      <w:r w:rsidR="002D6CDD" w:rsidRPr="00282AC9">
        <w:rPr>
          <w:rFonts w:hint="cs"/>
          <w:rtl/>
        </w:rPr>
        <w:t>ّ</w:t>
      </w:r>
      <w:r w:rsidRPr="00282AC9">
        <w:rPr>
          <w:rtl/>
        </w:rPr>
        <w:t>ا</w:t>
      </w:r>
      <w:r w:rsidR="002D6CDD" w:rsidRPr="00282AC9">
        <w:rPr>
          <w:rFonts w:hint="cs"/>
          <w:rtl/>
        </w:rPr>
        <w:t>ً</w:t>
      </w:r>
      <w:r w:rsidRPr="00282AC9">
        <w:rPr>
          <w:rtl/>
        </w:rPr>
        <w:t>، في مصادر الأخبار لمختلف تي</w:t>
      </w:r>
      <w:r w:rsidR="002D6CDD" w:rsidRPr="00282AC9">
        <w:rPr>
          <w:rFonts w:hint="cs"/>
          <w:rtl/>
        </w:rPr>
        <w:t>ّ</w:t>
      </w:r>
      <w:r w:rsidRPr="00282AC9">
        <w:rPr>
          <w:rtl/>
        </w:rPr>
        <w:t>ارات المسلمين. وأورد 63 رواية في التصريفات الآتية: غنم، غنمت، يغنم، تغنم، المغنم، الغنم، الغانم، الغانمون، الغنيمة، تغنموا، اغتنموا، اغتنم. وانتهى إلى أن دلالتها ليست مختص</w:t>
      </w:r>
      <w:r w:rsidR="002D6CDD" w:rsidRPr="00282AC9">
        <w:rPr>
          <w:rFonts w:hint="cs"/>
          <w:rtl/>
        </w:rPr>
        <w:t>ّ</w:t>
      </w:r>
      <w:r w:rsidRPr="00282AC9">
        <w:rPr>
          <w:rtl/>
        </w:rPr>
        <w:t>ة</w:t>
      </w:r>
      <w:r w:rsidR="002D6CDD" w:rsidRPr="00282AC9">
        <w:rPr>
          <w:rFonts w:hint="cs"/>
          <w:rtl/>
        </w:rPr>
        <w:t>ً</w:t>
      </w:r>
      <w:r w:rsidRPr="00282AC9">
        <w:rPr>
          <w:rtl/>
        </w:rPr>
        <w:t xml:space="preserve"> بالغنائم الحربية، وأن لهذه الماد</w:t>
      </w:r>
      <w:r w:rsidR="002D6CDD" w:rsidRPr="00282AC9">
        <w:rPr>
          <w:rFonts w:hint="cs"/>
          <w:rtl/>
        </w:rPr>
        <w:t>ّ</w:t>
      </w:r>
      <w:r w:rsidRPr="00282AC9">
        <w:rPr>
          <w:rtl/>
        </w:rPr>
        <w:t>ة معنى</w:t>
      </w:r>
      <w:r w:rsidR="002D6CDD" w:rsidRPr="00282AC9">
        <w:rPr>
          <w:rFonts w:hint="cs"/>
          <w:rtl/>
        </w:rPr>
        <w:t>ً</w:t>
      </w:r>
      <w:r w:rsidRPr="00282AC9">
        <w:rPr>
          <w:rtl/>
        </w:rPr>
        <w:t xml:space="preserve"> واحدا</w:t>
      </w:r>
      <w:r w:rsidR="002D6CDD" w:rsidRPr="00282AC9">
        <w:rPr>
          <w:rFonts w:hint="cs"/>
          <w:rtl/>
        </w:rPr>
        <w:t>ً</w:t>
      </w:r>
      <w:r w:rsidRPr="00282AC9">
        <w:rPr>
          <w:rtl/>
        </w:rPr>
        <w:t xml:space="preserve"> ساريا</w:t>
      </w:r>
      <w:r w:rsidR="002D6CDD" w:rsidRPr="00282AC9">
        <w:rPr>
          <w:rFonts w:hint="cs"/>
          <w:rtl/>
        </w:rPr>
        <w:t>ً</w:t>
      </w:r>
      <w:r w:rsidRPr="00282AC9">
        <w:rPr>
          <w:rtl/>
        </w:rPr>
        <w:t xml:space="preserve"> في جميع هذه الموارد</w:t>
      </w:r>
      <w:r w:rsidR="002D6CDD" w:rsidRPr="00282AC9">
        <w:rPr>
          <w:rFonts w:hint="cs"/>
          <w:rtl/>
        </w:rPr>
        <w:t>،</w:t>
      </w:r>
      <w:r w:rsidRPr="00282AC9">
        <w:rPr>
          <w:rtl/>
        </w:rPr>
        <w:t xml:space="preserve"> ومشتركا</w:t>
      </w:r>
      <w:r w:rsidR="002D6CDD" w:rsidRPr="00282AC9">
        <w:rPr>
          <w:rFonts w:hint="cs"/>
          <w:rtl/>
        </w:rPr>
        <w:t>ً</w:t>
      </w:r>
      <w:r w:rsidRPr="00282AC9">
        <w:rPr>
          <w:rtl/>
        </w:rPr>
        <w:t xml:space="preserve"> بينها</w:t>
      </w:r>
      <w:r w:rsidR="002D6CDD" w:rsidRPr="00282AC9">
        <w:rPr>
          <w:rFonts w:hint="cs"/>
          <w:rtl/>
        </w:rPr>
        <w:t>،</w:t>
      </w:r>
      <w:r w:rsidRPr="00282AC9">
        <w:rPr>
          <w:rtl/>
        </w:rPr>
        <w:t xml:space="preserve"> ولهذا المعنى سعة</w:t>
      </w:r>
      <w:r w:rsidR="002D6CDD" w:rsidRPr="00282AC9">
        <w:rPr>
          <w:rFonts w:hint="cs"/>
          <w:rtl/>
        </w:rPr>
        <w:t>ٌ</w:t>
      </w:r>
      <w:r w:rsidRPr="00282AC9">
        <w:rPr>
          <w:rtl/>
        </w:rPr>
        <w:t xml:space="preserve"> تشمل كل</w:t>
      </w:r>
      <w:r w:rsidR="002D6CDD" w:rsidRPr="00282AC9">
        <w:rPr>
          <w:rFonts w:hint="cs"/>
          <w:rtl/>
        </w:rPr>
        <w:t>ّ</w:t>
      </w:r>
      <w:r w:rsidRPr="00282AC9">
        <w:rPr>
          <w:rtl/>
        </w:rPr>
        <w:t xml:space="preserve"> فائدة</w:t>
      </w:r>
      <w:r w:rsidR="002D6CDD" w:rsidRPr="00282AC9">
        <w:rPr>
          <w:rFonts w:hint="cs"/>
          <w:rtl/>
        </w:rPr>
        <w:t>ٍ،</w:t>
      </w:r>
      <w:r w:rsidRPr="00282AC9">
        <w:rPr>
          <w:rtl/>
        </w:rPr>
        <w:t xml:space="preserve"> ولا اختصاص له بالغنائم الحربي</w:t>
      </w:r>
      <w:r w:rsidR="002D6CDD" w:rsidRPr="00282AC9">
        <w:rPr>
          <w:rFonts w:hint="cs"/>
          <w:rtl/>
        </w:rPr>
        <w:t>ّ</w:t>
      </w:r>
      <w:r w:rsidRPr="00282AC9">
        <w:rPr>
          <w:rtl/>
        </w:rPr>
        <w:t>ة</w:t>
      </w:r>
      <w:r w:rsidR="002D6CDD" w:rsidRPr="00282AC9">
        <w:rPr>
          <w:rFonts w:hint="cs"/>
          <w:rtl/>
        </w:rPr>
        <w:t>؛</w:t>
      </w:r>
      <w:r w:rsidRPr="00282AC9">
        <w:rPr>
          <w:rtl/>
        </w:rPr>
        <w:t xml:space="preserve"> فإن استعمال الغنيمة في مقابل الغرام</w:t>
      </w:r>
      <w:r w:rsidR="002D6CDD" w:rsidRPr="00282AC9">
        <w:rPr>
          <w:rFonts w:hint="cs"/>
          <w:rtl/>
        </w:rPr>
        <w:t>،</w:t>
      </w:r>
      <w:r w:rsidRPr="00282AC9">
        <w:rPr>
          <w:rtl/>
        </w:rPr>
        <w:t xml:space="preserve"> واستعمال المغنم في مقابل المغرم</w:t>
      </w:r>
      <w:r w:rsidR="002D6CDD" w:rsidRPr="00282AC9">
        <w:rPr>
          <w:rFonts w:hint="cs"/>
          <w:rtl/>
        </w:rPr>
        <w:t>،</w:t>
      </w:r>
      <w:r w:rsidRPr="00282AC9">
        <w:rPr>
          <w:rtl/>
        </w:rPr>
        <w:t xml:space="preserve"> واستعمال الغنم في مقابل الغرم</w:t>
      </w:r>
      <w:r w:rsidR="002D6CDD" w:rsidRPr="00282AC9">
        <w:rPr>
          <w:rFonts w:hint="cs"/>
          <w:rtl/>
        </w:rPr>
        <w:t>،</w:t>
      </w:r>
      <w:r w:rsidRPr="00282AC9">
        <w:rPr>
          <w:rtl/>
        </w:rPr>
        <w:t xml:space="preserve"> في عشرات </w:t>
      </w:r>
      <w:r w:rsidRPr="00282AC9">
        <w:rPr>
          <w:rtl/>
        </w:rPr>
        <w:lastRenderedPageBreak/>
        <w:t>الأحاديث والآثار وغيرها من القرائن</w:t>
      </w:r>
      <w:r w:rsidR="002D6CDD" w:rsidRPr="00282AC9">
        <w:rPr>
          <w:rFonts w:hint="cs"/>
          <w:rtl/>
        </w:rPr>
        <w:t>،</w:t>
      </w:r>
      <w:r w:rsidRPr="00282AC9">
        <w:rPr>
          <w:rtl/>
        </w:rPr>
        <w:t xml:space="preserve"> يكشف كشفا</w:t>
      </w:r>
      <w:r w:rsidR="002D6CDD" w:rsidRPr="00282AC9">
        <w:rPr>
          <w:rFonts w:hint="cs"/>
          <w:rtl/>
        </w:rPr>
        <w:t>ً</w:t>
      </w:r>
      <w:r w:rsidRPr="00282AC9">
        <w:rPr>
          <w:rtl/>
        </w:rPr>
        <w:t xml:space="preserve"> قاطعا</w:t>
      </w:r>
      <w:r w:rsidR="002D6CDD" w:rsidRPr="00282AC9">
        <w:rPr>
          <w:rFonts w:hint="cs"/>
          <w:rtl/>
        </w:rPr>
        <w:t>ً</w:t>
      </w:r>
      <w:r w:rsidRPr="00282AC9">
        <w:rPr>
          <w:rtl/>
        </w:rPr>
        <w:t xml:space="preserve"> عن س</w:t>
      </w:r>
      <w:r w:rsidR="002D6CDD" w:rsidRPr="00282AC9">
        <w:rPr>
          <w:rFonts w:hint="cs"/>
          <w:rtl/>
        </w:rPr>
        <w:t>َ</w:t>
      </w:r>
      <w:r w:rsidRPr="00282AC9">
        <w:rPr>
          <w:rtl/>
        </w:rPr>
        <w:t>ع</w:t>
      </w:r>
      <w:r w:rsidR="002D6CDD" w:rsidRPr="00282AC9">
        <w:rPr>
          <w:rFonts w:hint="cs"/>
          <w:rtl/>
        </w:rPr>
        <w:t>َ</w:t>
      </w:r>
      <w:r w:rsidRPr="00282AC9">
        <w:rPr>
          <w:rtl/>
        </w:rPr>
        <w:t>ة المعنى</w:t>
      </w:r>
      <w:r w:rsidR="002D6CDD" w:rsidRPr="00282AC9">
        <w:rPr>
          <w:rFonts w:hint="cs"/>
          <w:rtl/>
        </w:rPr>
        <w:t>،</w:t>
      </w:r>
      <w:r w:rsidRPr="00282AC9">
        <w:rPr>
          <w:rtl/>
        </w:rPr>
        <w:t xml:space="preserve"> وعدم اختصاصه بغنائم الحرب. و</w:t>
      </w:r>
      <w:r w:rsidR="002D6CDD" w:rsidRPr="00282AC9">
        <w:rPr>
          <w:rFonts w:hint="cs"/>
          <w:rtl/>
        </w:rPr>
        <w:t>إ</w:t>
      </w:r>
      <w:r w:rsidRPr="00282AC9">
        <w:rPr>
          <w:rtl/>
        </w:rPr>
        <w:t>ن استعمال هذه الماد</w:t>
      </w:r>
      <w:r w:rsidR="002D6CDD" w:rsidRPr="00282AC9">
        <w:rPr>
          <w:rFonts w:hint="cs"/>
          <w:rtl/>
        </w:rPr>
        <w:t>ّ</w:t>
      </w:r>
      <w:r w:rsidRPr="00282AC9">
        <w:rPr>
          <w:rtl/>
        </w:rPr>
        <w:t>ة أحيانا</w:t>
      </w:r>
      <w:r w:rsidR="002D6CDD" w:rsidRPr="00282AC9">
        <w:rPr>
          <w:rFonts w:hint="cs"/>
          <w:rtl/>
        </w:rPr>
        <w:t>ً</w:t>
      </w:r>
      <w:r w:rsidRPr="00282AC9">
        <w:rPr>
          <w:rtl/>
        </w:rPr>
        <w:t xml:space="preserve"> في الغنيمة الحربي</w:t>
      </w:r>
      <w:r w:rsidR="002D6CDD" w:rsidRPr="00282AC9">
        <w:rPr>
          <w:rFonts w:hint="cs"/>
          <w:rtl/>
        </w:rPr>
        <w:t>ّ</w:t>
      </w:r>
      <w:r w:rsidRPr="00282AC9">
        <w:rPr>
          <w:rtl/>
        </w:rPr>
        <w:t>ة ليس من جهة ضيق المعنى ذاتا</w:t>
      </w:r>
      <w:r w:rsidR="002D6CDD" w:rsidRPr="00282AC9">
        <w:rPr>
          <w:rFonts w:hint="cs"/>
          <w:rtl/>
        </w:rPr>
        <w:t>ً،</w:t>
      </w:r>
      <w:r w:rsidRPr="00282AC9">
        <w:rPr>
          <w:rtl/>
        </w:rPr>
        <w:t xml:space="preserve"> واختصاصه بغنيمة الحرب لغة</w:t>
      </w:r>
      <w:r w:rsidR="002D6CDD" w:rsidRPr="00282AC9">
        <w:rPr>
          <w:rFonts w:hint="cs"/>
          <w:rtl/>
        </w:rPr>
        <w:t>ً</w:t>
      </w:r>
      <w:r w:rsidRPr="00282AC9">
        <w:rPr>
          <w:rtl/>
        </w:rPr>
        <w:t>، بل هو من جهة كونها من مصاديق هذا المعنى العام</w:t>
      </w:r>
      <w:r w:rsidR="002D6CDD" w:rsidRPr="00282AC9">
        <w:rPr>
          <w:rFonts w:hint="cs"/>
          <w:rtl/>
        </w:rPr>
        <w:t>ّ</w:t>
      </w:r>
      <w:r w:rsidRPr="00282AC9">
        <w:rPr>
          <w:rFonts w:hint="cs"/>
          <w:vertAlign w:val="superscript"/>
          <w:rtl/>
        </w:rPr>
        <w:t>(</w:t>
      </w:r>
      <w:r w:rsidRPr="00282AC9">
        <w:rPr>
          <w:rStyle w:val="af9"/>
          <w:sz w:val="27"/>
          <w:rtl/>
        </w:rPr>
        <w:endnoteReference w:id="430"/>
      </w:r>
      <w:r w:rsidRPr="00282AC9">
        <w:rPr>
          <w:rFonts w:hint="cs"/>
          <w:vertAlign w:val="superscript"/>
          <w:rtl/>
        </w:rPr>
        <w:t>)</w:t>
      </w:r>
      <w:r w:rsidR="002D6CDD" w:rsidRPr="00282AC9">
        <w:rPr>
          <w:rFonts w:hint="cs"/>
          <w:b/>
          <w:rtl/>
        </w:rPr>
        <w:t>.</w:t>
      </w:r>
    </w:p>
    <w:p w:rsidR="00946A76" w:rsidRPr="00282AC9" w:rsidRDefault="00946A76" w:rsidP="00186251">
      <w:pPr>
        <w:rPr>
          <w:bCs/>
          <w:rtl/>
        </w:rPr>
      </w:pPr>
    </w:p>
    <w:p w:rsidR="00946A76" w:rsidRPr="00282AC9" w:rsidRDefault="00946A76" w:rsidP="00186251">
      <w:pPr>
        <w:pStyle w:val="31"/>
        <w:rPr>
          <w:color w:val="auto"/>
          <w:rtl/>
        </w:rPr>
      </w:pPr>
      <w:r w:rsidRPr="00282AC9">
        <w:rPr>
          <w:color w:val="auto"/>
          <w:rtl/>
        </w:rPr>
        <w:t>ق</w:t>
      </w:r>
      <w:r w:rsidR="002D6CDD" w:rsidRPr="00282AC9">
        <w:rPr>
          <w:rFonts w:hint="cs"/>
          <w:color w:val="auto"/>
          <w:rtl/>
        </w:rPr>
        <w:t>َ</w:t>
      </w:r>
      <w:r w:rsidRPr="00282AC9">
        <w:rPr>
          <w:color w:val="auto"/>
          <w:rtl/>
        </w:rPr>
        <w:t>ي</w:t>
      </w:r>
      <w:r w:rsidR="002D6CDD" w:rsidRPr="00282AC9">
        <w:rPr>
          <w:rFonts w:hint="cs"/>
          <w:color w:val="auto"/>
          <w:rtl/>
        </w:rPr>
        <w:t>ْ</w:t>
      </w:r>
      <w:r w:rsidRPr="00282AC9">
        <w:rPr>
          <w:color w:val="auto"/>
          <w:rtl/>
        </w:rPr>
        <w:t>د الفوز</w:t>
      </w:r>
      <w:r w:rsidRPr="00282AC9">
        <w:rPr>
          <w:rFonts w:hint="cs"/>
          <w:color w:val="auto"/>
          <w:rtl/>
        </w:rPr>
        <w:t xml:space="preserve"> </w:t>
      </w:r>
      <w:r w:rsidRPr="00282AC9">
        <w:rPr>
          <w:rFonts w:hint="eastAsia"/>
          <w:color w:val="auto"/>
          <w:rtl/>
        </w:rPr>
        <w:t>«</w:t>
      </w:r>
      <w:r w:rsidRPr="00282AC9">
        <w:rPr>
          <w:color w:val="auto"/>
          <w:rtl/>
        </w:rPr>
        <w:t>بدون مشق</w:t>
      </w:r>
      <w:r w:rsidR="002D6CDD" w:rsidRPr="00282AC9">
        <w:rPr>
          <w:rFonts w:hint="cs"/>
          <w:color w:val="auto"/>
          <w:rtl/>
        </w:rPr>
        <w:t>ّةٍ</w:t>
      </w:r>
      <w:r w:rsidRPr="00282AC9">
        <w:rPr>
          <w:rFonts w:hint="eastAsia"/>
          <w:color w:val="auto"/>
          <w:rtl/>
        </w:rPr>
        <w:t>»</w:t>
      </w:r>
      <w:r w:rsidRPr="00282AC9">
        <w:rPr>
          <w:color w:val="auto"/>
          <w:rtl/>
        </w:rPr>
        <w:t xml:space="preserve"> </w:t>
      </w:r>
    </w:p>
    <w:p w:rsidR="00946A76" w:rsidRPr="00282AC9" w:rsidRDefault="00946A76" w:rsidP="00186251">
      <w:pPr>
        <w:rPr>
          <w:rtl/>
        </w:rPr>
      </w:pPr>
      <w:r w:rsidRPr="00282AC9">
        <w:rPr>
          <w:rtl/>
        </w:rPr>
        <w:t>لاح</w:t>
      </w:r>
      <w:r w:rsidR="002D6CDD" w:rsidRPr="00282AC9">
        <w:rPr>
          <w:rFonts w:hint="cs"/>
          <w:rtl/>
        </w:rPr>
        <w:t>َ</w:t>
      </w:r>
      <w:r w:rsidRPr="00282AC9">
        <w:rPr>
          <w:rtl/>
        </w:rPr>
        <w:t>ظ</w:t>
      </w:r>
      <w:r w:rsidR="002D6CDD" w:rsidRPr="00282AC9">
        <w:rPr>
          <w:rFonts w:hint="cs"/>
          <w:rtl/>
        </w:rPr>
        <w:t>ْ</w:t>
      </w:r>
      <w:r w:rsidRPr="00282AC9">
        <w:rPr>
          <w:rtl/>
        </w:rPr>
        <w:t>نا أن بعض علماء اللغة عرف الغنم بأنه الفوز بالشي</w:t>
      </w:r>
      <w:r w:rsidR="002D6CDD" w:rsidRPr="00282AC9">
        <w:rPr>
          <w:rFonts w:hint="cs"/>
          <w:rtl/>
        </w:rPr>
        <w:t>ء</w:t>
      </w:r>
      <w:r w:rsidRPr="00282AC9">
        <w:rPr>
          <w:rtl/>
        </w:rPr>
        <w:t xml:space="preserve"> </w:t>
      </w:r>
      <w:r w:rsidRPr="00282AC9">
        <w:rPr>
          <w:rFonts w:hint="eastAsia"/>
          <w:sz w:val="24"/>
          <w:szCs w:val="24"/>
          <w:rtl/>
        </w:rPr>
        <w:t>«</w:t>
      </w:r>
      <w:r w:rsidRPr="00282AC9">
        <w:rPr>
          <w:rtl/>
        </w:rPr>
        <w:t>بدون مشق</w:t>
      </w:r>
      <w:r w:rsidR="002D6CDD" w:rsidRPr="00282AC9">
        <w:rPr>
          <w:rFonts w:hint="cs"/>
          <w:rtl/>
        </w:rPr>
        <w:t>ّ</w:t>
      </w:r>
      <w:r w:rsidRPr="00282AC9">
        <w:rPr>
          <w:rtl/>
        </w:rPr>
        <w:t>ة</w:t>
      </w:r>
      <w:r w:rsidR="002D6CDD" w:rsidRPr="00282AC9">
        <w:rPr>
          <w:rFonts w:hint="cs"/>
          <w:rtl/>
        </w:rPr>
        <w:t>ٍ</w:t>
      </w:r>
      <w:r w:rsidRPr="00282AC9">
        <w:rPr>
          <w:rFonts w:hint="eastAsia"/>
          <w:sz w:val="24"/>
          <w:szCs w:val="24"/>
          <w:rtl/>
        </w:rPr>
        <w:t>»</w:t>
      </w:r>
      <w:r w:rsidRPr="00282AC9">
        <w:rPr>
          <w:rtl/>
        </w:rPr>
        <w:t>.</w:t>
      </w:r>
    </w:p>
    <w:p w:rsidR="00946A76" w:rsidRPr="00282AC9" w:rsidRDefault="00946A76" w:rsidP="00186251">
      <w:pPr>
        <w:rPr>
          <w:rtl/>
        </w:rPr>
      </w:pPr>
      <w:r w:rsidRPr="00282AC9">
        <w:rPr>
          <w:rtl/>
        </w:rPr>
        <w:t>وقد أثير ج</w:t>
      </w:r>
      <w:r w:rsidR="002D6CDD" w:rsidRPr="00282AC9">
        <w:rPr>
          <w:rFonts w:hint="cs"/>
          <w:rtl/>
        </w:rPr>
        <w:t>َ</w:t>
      </w:r>
      <w:r w:rsidRPr="00282AC9">
        <w:rPr>
          <w:rtl/>
        </w:rPr>
        <w:t>د</w:t>
      </w:r>
      <w:r w:rsidR="002D6CDD" w:rsidRPr="00282AC9">
        <w:rPr>
          <w:rFonts w:hint="cs"/>
          <w:rtl/>
        </w:rPr>
        <w:t>َ</w:t>
      </w:r>
      <w:r w:rsidRPr="00282AC9">
        <w:rPr>
          <w:rtl/>
        </w:rPr>
        <w:t>ل</w:t>
      </w:r>
      <w:r w:rsidR="002D6CDD" w:rsidRPr="00282AC9">
        <w:rPr>
          <w:rFonts w:hint="cs"/>
          <w:rtl/>
        </w:rPr>
        <w:t>ٌ</w:t>
      </w:r>
      <w:r w:rsidRPr="00282AC9">
        <w:rPr>
          <w:rtl/>
        </w:rPr>
        <w:t xml:space="preserve"> حول هذا الق</w:t>
      </w:r>
      <w:r w:rsidR="002D6CDD" w:rsidRPr="00282AC9">
        <w:rPr>
          <w:rFonts w:hint="cs"/>
          <w:rtl/>
        </w:rPr>
        <w:t>َ</w:t>
      </w:r>
      <w:r w:rsidRPr="00282AC9">
        <w:rPr>
          <w:rtl/>
        </w:rPr>
        <w:t>ي</w:t>
      </w:r>
      <w:r w:rsidR="002D6CDD" w:rsidRPr="00282AC9">
        <w:rPr>
          <w:rFonts w:hint="cs"/>
          <w:rtl/>
        </w:rPr>
        <w:t>ْ</w:t>
      </w:r>
      <w:r w:rsidRPr="00282AC9">
        <w:rPr>
          <w:rtl/>
        </w:rPr>
        <w:t>د</w:t>
      </w:r>
      <w:r w:rsidR="002D6CDD" w:rsidRPr="00282AC9">
        <w:rPr>
          <w:rFonts w:hint="cs"/>
          <w:rtl/>
        </w:rPr>
        <w:t>؛</w:t>
      </w:r>
      <w:r w:rsidRPr="00282AC9">
        <w:rPr>
          <w:rtl/>
        </w:rPr>
        <w:t xml:space="preserve"> إذ كيف يكون الفوز بالغنيمة بدون مشق</w:t>
      </w:r>
      <w:r w:rsidR="002D6CDD" w:rsidRPr="00282AC9">
        <w:rPr>
          <w:rFonts w:hint="cs"/>
          <w:rtl/>
        </w:rPr>
        <w:t>ّ</w:t>
      </w:r>
      <w:r w:rsidRPr="00282AC9">
        <w:rPr>
          <w:rtl/>
        </w:rPr>
        <w:t>ة</w:t>
      </w:r>
      <w:r w:rsidR="002D6CDD" w:rsidRPr="00282AC9">
        <w:rPr>
          <w:rFonts w:hint="cs"/>
          <w:rtl/>
        </w:rPr>
        <w:t>ٍ</w:t>
      </w:r>
      <w:r w:rsidRPr="00282AC9">
        <w:rPr>
          <w:rtl/>
        </w:rPr>
        <w:t xml:space="preserve"> أو تعب</w:t>
      </w:r>
      <w:r w:rsidR="002D6CDD" w:rsidRPr="00282AC9">
        <w:rPr>
          <w:rFonts w:hint="cs"/>
          <w:rtl/>
        </w:rPr>
        <w:t>ٍ</w:t>
      </w:r>
      <w:r w:rsidRPr="00282AC9">
        <w:rPr>
          <w:rtl/>
        </w:rPr>
        <w:t xml:space="preserve">، على الرغم من </w:t>
      </w:r>
      <w:r w:rsidR="002D6CDD" w:rsidRPr="00282AC9">
        <w:rPr>
          <w:rFonts w:hint="cs"/>
          <w:rtl/>
        </w:rPr>
        <w:t>أ</w:t>
      </w:r>
      <w:r w:rsidRPr="00282AC9">
        <w:rPr>
          <w:rtl/>
        </w:rPr>
        <w:t>ن</w:t>
      </w:r>
      <w:r w:rsidR="002D6CDD" w:rsidRPr="00282AC9">
        <w:rPr>
          <w:rFonts w:hint="cs"/>
          <w:rtl/>
        </w:rPr>
        <w:t>ّ</w:t>
      </w:r>
      <w:r w:rsidRPr="00282AC9">
        <w:rPr>
          <w:rtl/>
        </w:rPr>
        <w:t>هم ات</w:t>
      </w:r>
      <w:r w:rsidR="002D6CDD" w:rsidRPr="00282AC9">
        <w:rPr>
          <w:rFonts w:hint="cs"/>
          <w:rtl/>
        </w:rPr>
        <w:t>َّ</w:t>
      </w:r>
      <w:r w:rsidRPr="00282AC9">
        <w:rPr>
          <w:rtl/>
        </w:rPr>
        <w:t>فقوا على أن ما يظفر به في الحرب أبرز مصداق</w:t>
      </w:r>
      <w:r w:rsidR="002D6CDD" w:rsidRPr="00282AC9">
        <w:rPr>
          <w:rFonts w:hint="cs"/>
          <w:rtl/>
        </w:rPr>
        <w:t>ٍ</w:t>
      </w:r>
      <w:r w:rsidRPr="00282AC9">
        <w:rPr>
          <w:rtl/>
        </w:rPr>
        <w:t xml:space="preserve"> لها. </w:t>
      </w:r>
    </w:p>
    <w:p w:rsidR="00946A76" w:rsidRPr="00282AC9" w:rsidRDefault="00946A76" w:rsidP="00186251">
      <w:pPr>
        <w:rPr>
          <w:rtl/>
        </w:rPr>
      </w:pPr>
      <w:r w:rsidRPr="00282AC9">
        <w:rPr>
          <w:rtl/>
        </w:rPr>
        <w:t>إن العمل بهذ الق</w:t>
      </w:r>
      <w:r w:rsidR="002C5801" w:rsidRPr="00282AC9">
        <w:rPr>
          <w:rFonts w:hint="cs"/>
          <w:rtl/>
        </w:rPr>
        <w:t>َ</w:t>
      </w:r>
      <w:r w:rsidRPr="00282AC9">
        <w:rPr>
          <w:rtl/>
        </w:rPr>
        <w:t>ي</w:t>
      </w:r>
      <w:r w:rsidR="002C5801" w:rsidRPr="00282AC9">
        <w:rPr>
          <w:rFonts w:hint="cs"/>
          <w:rtl/>
        </w:rPr>
        <w:t>ْ</w:t>
      </w:r>
      <w:r w:rsidRPr="00282AC9">
        <w:rPr>
          <w:rtl/>
        </w:rPr>
        <w:t>د يلزم منه إخراج ما يستفاد من غنائم الحروب، وهو أمر</w:t>
      </w:r>
      <w:r w:rsidR="002D6CDD" w:rsidRPr="00282AC9">
        <w:rPr>
          <w:rFonts w:hint="cs"/>
          <w:rtl/>
        </w:rPr>
        <w:t>ٌ</w:t>
      </w:r>
      <w:r w:rsidRPr="00282AC9">
        <w:rPr>
          <w:rtl/>
        </w:rPr>
        <w:t xml:space="preserve"> يخالف ما أطبق عليه اللغوي</w:t>
      </w:r>
      <w:r w:rsidR="002C5801" w:rsidRPr="00282AC9">
        <w:rPr>
          <w:rFonts w:hint="cs"/>
          <w:rtl/>
        </w:rPr>
        <w:t>ّ</w:t>
      </w:r>
      <w:r w:rsidRPr="00282AC9">
        <w:rPr>
          <w:rtl/>
        </w:rPr>
        <w:t>ون وما جرى عليه التداول والاستعمال. بل يمكن القول</w:t>
      </w:r>
      <w:r w:rsidR="002C5801" w:rsidRPr="00282AC9">
        <w:rPr>
          <w:rFonts w:hint="cs"/>
          <w:rtl/>
        </w:rPr>
        <w:t>:</w:t>
      </w:r>
      <w:r w:rsidRPr="00282AC9">
        <w:rPr>
          <w:rtl/>
        </w:rPr>
        <w:t xml:space="preserve"> إن ج</w:t>
      </w:r>
      <w:r w:rsidR="002C5801" w:rsidRPr="00282AC9">
        <w:rPr>
          <w:rFonts w:hint="cs"/>
          <w:rtl/>
        </w:rPr>
        <w:t>ُ</w:t>
      </w:r>
      <w:r w:rsidRPr="00282AC9">
        <w:rPr>
          <w:rtl/>
        </w:rPr>
        <w:t>ل</w:t>
      </w:r>
      <w:r w:rsidR="002C5801" w:rsidRPr="00282AC9">
        <w:rPr>
          <w:rFonts w:hint="cs"/>
          <w:rtl/>
        </w:rPr>
        <w:t>َّ</w:t>
      </w:r>
      <w:r w:rsidRPr="00282AC9">
        <w:rPr>
          <w:rtl/>
        </w:rPr>
        <w:t xml:space="preserve"> ما يحق</w:t>
      </w:r>
      <w:r w:rsidR="002C5801" w:rsidRPr="00282AC9">
        <w:rPr>
          <w:rFonts w:hint="cs"/>
          <w:rtl/>
        </w:rPr>
        <w:t>ِّ</w:t>
      </w:r>
      <w:r w:rsidRPr="00282AC9">
        <w:rPr>
          <w:rtl/>
        </w:rPr>
        <w:t>قه الفرد أو الجماعة من فوائد ومكاسب في مختلف المجالات لا يتحق</w:t>
      </w:r>
      <w:r w:rsidR="002C5801" w:rsidRPr="00282AC9">
        <w:rPr>
          <w:rFonts w:hint="cs"/>
          <w:rtl/>
        </w:rPr>
        <w:t>َّ</w:t>
      </w:r>
      <w:r w:rsidRPr="00282AC9">
        <w:rPr>
          <w:rtl/>
        </w:rPr>
        <w:t>ق بلا جهد</w:t>
      </w:r>
      <w:r w:rsidR="002C5801" w:rsidRPr="00282AC9">
        <w:rPr>
          <w:rFonts w:hint="cs"/>
          <w:rtl/>
        </w:rPr>
        <w:t>ٍ</w:t>
      </w:r>
      <w:r w:rsidRPr="00282AC9">
        <w:rPr>
          <w:rtl/>
        </w:rPr>
        <w:t xml:space="preserve"> أو تعب</w:t>
      </w:r>
      <w:r w:rsidR="002C5801" w:rsidRPr="00282AC9">
        <w:rPr>
          <w:rFonts w:hint="cs"/>
          <w:rtl/>
        </w:rPr>
        <w:t>ٍ</w:t>
      </w:r>
      <w:r w:rsidRPr="00282AC9">
        <w:rPr>
          <w:rtl/>
        </w:rPr>
        <w:t xml:space="preserve"> أو مشق</w:t>
      </w:r>
      <w:r w:rsidR="002C5801" w:rsidRPr="00282AC9">
        <w:rPr>
          <w:rFonts w:hint="cs"/>
          <w:rtl/>
        </w:rPr>
        <w:t>ّ</w:t>
      </w:r>
      <w:r w:rsidRPr="00282AC9">
        <w:rPr>
          <w:rtl/>
        </w:rPr>
        <w:t>ة</w:t>
      </w:r>
      <w:r w:rsidR="002C5801" w:rsidRPr="00282AC9">
        <w:rPr>
          <w:rFonts w:hint="cs"/>
          <w:rtl/>
        </w:rPr>
        <w:t>ٍ</w:t>
      </w:r>
      <w:r w:rsidRPr="00282AC9">
        <w:rPr>
          <w:rtl/>
        </w:rPr>
        <w:t xml:space="preserve"> وعناء</w:t>
      </w:r>
      <w:r w:rsidR="002C5801" w:rsidRPr="00282AC9">
        <w:rPr>
          <w:rFonts w:hint="cs"/>
          <w:rtl/>
        </w:rPr>
        <w:t>ٍ،</w:t>
      </w:r>
      <w:r w:rsidRPr="00282AC9">
        <w:rPr>
          <w:rtl/>
        </w:rPr>
        <w:t xml:space="preserve"> وإن</w:t>
      </w:r>
      <w:r w:rsidR="002C5801" w:rsidRPr="00282AC9">
        <w:rPr>
          <w:rFonts w:hint="cs"/>
          <w:rtl/>
        </w:rPr>
        <w:t>ْ</w:t>
      </w:r>
      <w:r w:rsidRPr="00282AC9">
        <w:rPr>
          <w:rtl/>
        </w:rPr>
        <w:t xml:space="preserve"> على تفاوت</w:t>
      </w:r>
      <w:r w:rsidR="002C5801" w:rsidRPr="00282AC9">
        <w:rPr>
          <w:rFonts w:hint="cs"/>
          <w:rtl/>
        </w:rPr>
        <w:t>ٍ.</w:t>
      </w:r>
      <w:r w:rsidRPr="00282AC9">
        <w:rPr>
          <w:rtl/>
        </w:rPr>
        <w:t xml:space="preserve"> </w:t>
      </w:r>
    </w:p>
    <w:p w:rsidR="002C5801" w:rsidRPr="00282AC9" w:rsidRDefault="00946A76" w:rsidP="00186251">
      <w:pPr>
        <w:rPr>
          <w:rtl/>
        </w:rPr>
      </w:pPr>
      <w:r w:rsidRPr="00282AC9">
        <w:rPr>
          <w:rtl/>
        </w:rPr>
        <w:t>واعترض رشيد رضا(1354</w:t>
      </w:r>
      <w:r w:rsidRPr="00282AC9">
        <w:rPr>
          <w:rFonts w:hint="cs"/>
          <w:rtl/>
        </w:rPr>
        <w:t>هـ</w:t>
      </w:r>
      <w:r w:rsidRPr="00282AC9">
        <w:rPr>
          <w:rtl/>
        </w:rPr>
        <w:t>) على الق</w:t>
      </w:r>
      <w:r w:rsidR="002C5801" w:rsidRPr="00282AC9">
        <w:rPr>
          <w:rFonts w:hint="cs"/>
          <w:rtl/>
        </w:rPr>
        <w:t>َ</w:t>
      </w:r>
      <w:r w:rsidRPr="00282AC9">
        <w:rPr>
          <w:rtl/>
        </w:rPr>
        <w:t>ي</w:t>
      </w:r>
      <w:r w:rsidR="002C5801" w:rsidRPr="00282AC9">
        <w:rPr>
          <w:rFonts w:hint="cs"/>
          <w:rtl/>
        </w:rPr>
        <w:t>ْ</w:t>
      </w:r>
      <w:r w:rsidRPr="00282AC9">
        <w:rPr>
          <w:rtl/>
        </w:rPr>
        <w:t>د المذكور. وفي نظره هو مستند</w:t>
      </w:r>
      <w:r w:rsidR="002C5801" w:rsidRPr="00282AC9">
        <w:rPr>
          <w:rFonts w:hint="cs"/>
          <w:rtl/>
        </w:rPr>
        <w:t>ٌ</w:t>
      </w:r>
      <w:r w:rsidRPr="00282AC9">
        <w:rPr>
          <w:rtl/>
        </w:rPr>
        <w:t xml:space="preserve"> إلى ذوق اللغة</w:t>
      </w:r>
      <w:r w:rsidR="002C5801" w:rsidRPr="00282AC9">
        <w:rPr>
          <w:rFonts w:hint="cs"/>
          <w:rtl/>
        </w:rPr>
        <w:t xml:space="preserve">، </w:t>
      </w:r>
      <w:r w:rsidRPr="00282AC9">
        <w:rPr>
          <w:rtl/>
        </w:rPr>
        <w:t>أو يشتم منه ما يقاربه</w:t>
      </w:r>
      <w:r w:rsidR="002C5801" w:rsidRPr="00282AC9">
        <w:rPr>
          <w:rFonts w:hint="cs"/>
          <w:rtl/>
        </w:rPr>
        <w:t>،</w:t>
      </w:r>
      <w:r w:rsidRPr="00282AC9">
        <w:rPr>
          <w:rtl/>
        </w:rPr>
        <w:t xml:space="preserve"> ولكنه غير</w:t>
      </w:r>
      <w:r w:rsidR="002C5801" w:rsidRPr="00282AC9">
        <w:rPr>
          <w:rFonts w:hint="cs"/>
          <w:rtl/>
        </w:rPr>
        <w:t>ُ</w:t>
      </w:r>
      <w:r w:rsidRPr="00282AC9">
        <w:rPr>
          <w:rtl/>
        </w:rPr>
        <w:t xml:space="preserve"> دقيق</w:t>
      </w:r>
      <w:r w:rsidR="002C5801" w:rsidRPr="00282AC9">
        <w:rPr>
          <w:rFonts w:hint="cs"/>
          <w:rtl/>
        </w:rPr>
        <w:t>ٍ</w:t>
      </w:r>
      <w:r w:rsidRPr="00282AC9">
        <w:rPr>
          <w:rtl/>
        </w:rPr>
        <w:t>. وذكر أن العرب سم</w:t>
      </w:r>
      <w:r w:rsidR="002C5801" w:rsidRPr="00282AC9">
        <w:rPr>
          <w:rFonts w:hint="cs"/>
          <w:rtl/>
        </w:rPr>
        <w:t>ّ</w:t>
      </w:r>
      <w:r w:rsidRPr="00282AC9">
        <w:rPr>
          <w:rtl/>
        </w:rPr>
        <w:t>وا ما يؤخذ من العدو</w:t>
      </w:r>
      <w:r w:rsidR="002C5801" w:rsidRPr="00282AC9">
        <w:rPr>
          <w:rFonts w:hint="cs"/>
          <w:rtl/>
        </w:rPr>
        <w:t>ّ</w:t>
      </w:r>
      <w:r w:rsidRPr="00282AC9">
        <w:rPr>
          <w:rtl/>
        </w:rPr>
        <w:t xml:space="preserve"> في الحرب غنيمة</w:t>
      </w:r>
      <w:r w:rsidR="002C5801" w:rsidRPr="00282AC9">
        <w:rPr>
          <w:rFonts w:hint="cs"/>
          <w:rtl/>
        </w:rPr>
        <w:t>ً،</w:t>
      </w:r>
      <w:r w:rsidRPr="00282AC9">
        <w:rPr>
          <w:rtl/>
        </w:rPr>
        <w:t xml:space="preserve"> وهو لا يخلو من مشق</w:t>
      </w:r>
      <w:r w:rsidR="002C5801" w:rsidRPr="00282AC9">
        <w:rPr>
          <w:rFonts w:hint="cs"/>
          <w:rtl/>
        </w:rPr>
        <w:t>ّ</w:t>
      </w:r>
      <w:r w:rsidRPr="00282AC9">
        <w:rPr>
          <w:rtl/>
        </w:rPr>
        <w:t>ة</w:t>
      </w:r>
      <w:r w:rsidR="002C5801" w:rsidRPr="00282AC9">
        <w:rPr>
          <w:rFonts w:hint="cs"/>
          <w:rtl/>
        </w:rPr>
        <w:t>ٍ</w:t>
      </w:r>
      <w:r w:rsidRPr="00282AC9">
        <w:rPr>
          <w:rFonts w:hint="cs"/>
          <w:vertAlign w:val="superscript"/>
          <w:rtl/>
        </w:rPr>
        <w:t>(</w:t>
      </w:r>
      <w:r w:rsidRPr="00282AC9">
        <w:rPr>
          <w:rStyle w:val="af9"/>
          <w:sz w:val="27"/>
          <w:rtl/>
        </w:rPr>
        <w:endnoteReference w:id="431"/>
      </w:r>
      <w:r w:rsidRPr="00282AC9">
        <w:rPr>
          <w:rFonts w:hint="cs"/>
          <w:vertAlign w:val="superscript"/>
          <w:rtl/>
        </w:rPr>
        <w:t>)</w:t>
      </w:r>
      <w:r w:rsidR="002C5801" w:rsidRPr="00282AC9">
        <w:rPr>
          <w:rFonts w:hint="cs"/>
          <w:rtl/>
        </w:rPr>
        <w:t>.</w:t>
      </w:r>
    </w:p>
    <w:p w:rsidR="00946A76" w:rsidRPr="00282AC9" w:rsidRDefault="00946A76" w:rsidP="00186251">
      <w:pPr>
        <w:rPr>
          <w:rtl/>
        </w:rPr>
      </w:pPr>
      <w:r w:rsidRPr="00282AC9">
        <w:rPr>
          <w:rtl/>
        </w:rPr>
        <w:t>ونقده الخوئي أيضا</w:t>
      </w:r>
      <w:r w:rsidR="002C5801" w:rsidRPr="00282AC9">
        <w:rPr>
          <w:rFonts w:hint="cs"/>
          <w:rtl/>
        </w:rPr>
        <w:t>ً،</w:t>
      </w:r>
      <w:r w:rsidRPr="00282AC9">
        <w:rPr>
          <w:rtl/>
        </w:rPr>
        <w:t xml:space="preserve"> ورأى أن هذا الق</w:t>
      </w:r>
      <w:r w:rsidR="002C5801" w:rsidRPr="00282AC9">
        <w:rPr>
          <w:rFonts w:hint="cs"/>
          <w:rtl/>
        </w:rPr>
        <w:t>َ</w:t>
      </w:r>
      <w:r w:rsidRPr="00282AC9">
        <w:rPr>
          <w:rtl/>
        </w:rPr>
        <w:t>ي</w:t>
      </w:r>
      <w:r w:rsidR="002C5801" w:rsidRPr="00282AC9">
        <w:rPr>
          <w:rFonts w:hint="cs"/>
          <w:rtl/>
        </w:rPr>
        <w:t>ْ</w:t>
      </w:r>
      <w:r w:rsidRPr="00282AC9">
        <w:rPr>
          <w:rtl/>
        </w:rPr>
        <w:t>د ينافيه مورد الآية</w:t>
      </w:r>
      <w:r w:rsidR="002C5801" w:rsidRPr="00282AC9">
        <w:rPr>
          <w:rFonts w:hint="cs"/>
          <w:rtl/>
        </w:rPr>
        <w:t>؛</w:t>
      </w:r>
      <w:r w:rsidRPr="00282AC9">
        <w:rPr>
          <w:rtl/>
        </w:rPr>
        <w:t xml:space="preserve"> لما في الحرب من مشق</w:t>
      </w:r>
      <w:r w:rsidR="002C5801" w:rsidRPr="00282AC9">
        <w:rPr>
          <w:rFonts w:hint="cs"/>
          <w:rtl/>
        </w:rPr>
        <w:t>ّ</w:t>
      </w:r>
      <w:r w:rsidRPr="00282AC9">
        <w:rPr>
          <w:rtl/>
        </w:rPr>
        <w:t>ة</w:t>
      </w:r>
      <w:r w:rsidR="002C5801" w:rsidRPr="00282AC9">
        <w:rPr>
          <w:rFonts w:hint="cs"/>
          <w:rtl/>
        </w:rPr>
        <w:t>ٍ</w:t>
      </w:r>
      <w:r w:rsidRPr="00282AC9">
        <w:rPr>
          <w:rFonts w:hint="cs"/>
          <w:vertAlign w:val="superscript"/>
          <w:rtl/>
        </w:rPr>
        <w:t>(</w:t>
      </w:r>
      <w:r w:rsidRPr="00282AC9">
        <w:rPr>
          <w:rStyle w:val="af9"/>
          <w:sz w:val="27"/>
          <w:rtl/>
        </w:rPr>
        <w:endnoteReference w:id="432"/>
      </w:r>
      <w:r w:rsidRPr="00282AC9">
        <w:rPr>
          <w:rFonts w:hint="cs"/>
          <w:vertAlign w:val="superscript"/>
          <w:rtl/>
        </w:rPr>
        <w:t>)</w:t>
      </w:r>
      <w:r w:rsidRPr="00282AC9">
        <w:rPr>
          <w:rtl/>
        </w:rPr>
        <w:t xml:space="preserve">. </w:t>
      </w:r>
    </w:p>
    <w:p w:rsidR="00946A76" w:rsidRPr="00282AC9" w:rsidRDefault="00946A76" w:rsidP="00186251">
      <w:pPr>
        <w:rPr>
          <w:rtl/>
        </w:rPr>
      </w:pPr>
    </w:p>
    <w:p w:rsidR="00946A76" w:rsidRPr="00282AC9" w:rsidRDefault="0029115E" w:rsidP="0029115E">
      <w:pPr>
        <w:pStyle w:val="31"/>
        <w:rPr>
          <w:color w:val="auto"/>
          <w:rtl/>
        </w:rPr>
      </w:pPr>
      <w:r w:rsidRPr="00282AC9">
        <w:rPr>
          <w:color w:val="auto"/>
          <w:rtl/>
        </w:rPr>
        <w:t>الق</w:t>
      </w:r>
      <w:r w:rsidRPr="00282AC9">
        <w:rPr>
          <w:rFonts w:hint="cs"/>
          <w:color w:val="auto"/>
          <w:rtl/>
        </w:rPr>
        <w:t>َ</w:t>
      </w:r>
      <w:r w:rsidRPr="00282AC9">
        <w:rPr>
          <w:color w:val="auto"/>
          <w:rtl/>
        </w:rPr>
        <w:t>ي</w:t>
      </w:r>
      <w:r w:rsidRPr="00282AC9">
        <w:rPr>
          <w:rFonts w:hint="cs"/>
          <w:color w:val="auto"/>
          <w:rtl/>
        </w:rPr>
        <w:t>ْ</w:t>
      </w:r>
      <w:r w:rsidRPr="00282AC9">
        <w:rPr>
          <w:color w:val="auto"/>
          <w:rtl/>
        </w:rPr>
        <w:t xml:space="preserve">د </w:t>
      </w:r>
      <w:r w:rsidRPr="00282AC9">
        <w:rPr>
          <w:rFonts w:hint="cs"/>
          <w:color w:val="auto"/>
          <w:rtl/>
        </w:rPr>
        <w:t xml:space="preserve">نتاج </w:t>
      </w:r>
      <w:r w:rsidR="00946A76" w:rsidRPr="00282AC9">
        <w:rPr>
          <w:color w:val="auto"/>
          <w:rtl/>
        </w:rPr>
        <w:t>تطو</w:t>
      </w:r>
      <w:r w:rsidR="002C5801" w:rsidRPr="00282AC9">
        <w:rPr>
          <w:rFonts w:hint="cs"/>
          <w:color w:val="auto"/>
          <w:rtl/>
        </w:rPr>
        <w:t>ُّ</w:t>
      </w:r>
      <w:r w:rsidR="00946A76" w:rsidRPr="00282AC9">
        <w:rPr>
          <w:color w:val="auto"/>
          <w:rtl/>
        </w:rPr>
        <w:t xml:space="preserve">ر المفهوم </w:t>
      </w:r>
    </w:p>
    <w:p w:rsidR="00946A76" w:rsidRPr="00282AC9" w:rsidRDefault="00946A76" w:rsidP="00186251">
      <w:pPr>
        <w:rPr>
          <w:rtl/>
        </w:rPr>
      </w:pPr>
      <w:r w:rsidRPr="00282AC9">
        <w:rPr>
          <w:rtl/>
        </w:rPr>
        <w:t>درس العسكري</w:t>
      </w:r>
      <w:r w:rsidR="002C5801" w:rsidRPr="00282AC9">
        <w:rPr>
          <w:rFonts w:hint="cs"/>
          <w:rtl/>
        </w:rPr>
        <w:t>ّ</w:t>
      </w:r>
      <w:r w:rsidRPr="00282AC9">
        <w:rPr>
          <w:rtl/>
        </w:rPr>
        <w:t xml:space="preserve"> ملابسات ظهور هذا الق</w:t>
      </w:r>
      <w:r w:rsidR="002C5801" w:rsidRPr="00282AC9">
        <w:rPr>
          <w:rFonts w:hint="cs"/>
          <w:rtl/>
        </w:rPr>
        <w:t>َ</w:t>
      </w:r>
      <w:r w:rsidRPr="00282AC9">
        <w:rPr>
          <w:rtl/>
        </w:rPr>
        <w:t>ي</w:t>
      </w:r>
      <w:r w:rsidR="002C5801" w:rsidRPr="00282AC9">
        <w:rPr>
          <w:rFonts w:hint="cs"/>
          <w:rtl/>
        </w:rPr>
        <w:t>ْ</w:t>
      </w:r>
      <w:r w:rsidRPr="00282AC9">
        <w:rPr>
          <w:rtl/>
        </w:rPr>
        <w:t>د، فانتهى إلى أن لفظة الغنيمة تطو</w:t>
      </w:r>
      <w:r w:rsidR="002C5801" w:rsidRPr="00282AC9">
        <w:rPr>
          <w:rFonts w:hint="cs"/>
          <w:rtl/>
        </w:rPr>
        <w:t>َّ</w:t>
      </w:r>
      <w:r w:rsidRPr="00282AC9">
        <w:rPr>
          <w:rtl/>
        </w:rPr>
        <w:t>رت استعمالاتها</w:t>
      </w:r>
      <w:r w:rsidR="002C5801" w:rsidRPr="00282AC9">
        <w:rPr>
          <w:rFonts w:hint="cs"/>
          <w:rtl/>
        </w:rPr>
        <w:t>،</w:t>
      </w:r>
      <w:r w:rsidRPr="00282AC9">
        <w:rPr>
          <w:rtl/>
        </w:rPr>
        <w:t xml:space="preserve"> وكانت ألفاظ السلب والنهب في الجاهلية تساوق الغنيمة والمغنم في عصرنا. وكان النبي</w:t>
      </w:r>
      <w:r w:rsidR="002C5801" w:rsidRPr="00282AC9">
        <w:rPr>
          <w:rFonts w:hint="cs"/>
          <w:rtl/>
        </w:rPr>
        <w:t>ّ</w:t>
      </w:r>
      <w:r w:rsidR="009A2A04" w:rsidRPr="00282AC9">
        <w:rPr>
          <w:rFonts w:cs="Mosawi"/>
          <w:sz w:val="22"/>
          <w:szCs w:val="22"/>
          <w:rtl/>
        </w:rPr>
        <w:t>|</w:t>
      </w:r>
      <w:r w:rsidRPr="00282AC9">
        <w:rPr>
          <w:rtl/>
        </w:rPr>
        <w:t xml:space="preserve"> منع النهب والسلب</w:t>
      </w:r>
      <w:r w:rsidR="002C5801" w:rsidRPr="00282AC9">
        <w:rPr>
          <w:rFonts w:hint="cs"/>
          <w:rtl/>
        </w:rPr>
        <w:t>،</w:t>
      </w:r>
      <w:r w:rsidRPr="00282AC9">
        <w:rPr>
          <w:rtl/>
        </w:rPr>
        <w:t xml:space="preserve"> كما ورد في صحيح البخاري</w:t>
      </w:r>
      <w:r w:rsidR="002C5801" w:rsidRPr="00282AC9">
        <w:rPr>
          <w:rFonts w:hint="cs"/>
          <w:rtl/>
        </w:rPr>
        <w:t xml:space="preserve">، </w:t>
      </w:r>
      <w:r w:rsidRPr="00282AC9">
        <w:rPr>
          <w:rtl/>
        </w:rPr>
        <w:t xml:space="preserve">عن عبادة: </w:t>
      </w:r>
      <w:r w:rsidR="002C5801" w:rsidRPr="00282AC9">
        <w:rPr>
          <w:rFonts w:hint="eastAsia"/>
          <w:sz w:val="24"/>
          <w:szCs w:val="24"/>
          <w:rtl/>
        </w:rPr>
        <w:t>«</w:t>
      </w:r>
      <w:r w:rsidRPr="00282AC9">
        <w:rPr>
          <w:rtl/>
        </w:rPr>
        <w:t>بايعنا النبي</w:t>
      </w:r>
      <w:r w:rsidR="002C5801" w:rsidRPr="00282AC9">
        <w:rPr>
          <w:rFonts w:hint="cs"/>
          <w:rtl/>
        </w:rPr>
        <w:t>ّ</w:t>
      </w:r>
      <w:r w:rsidRPr="00282AC9">
        <w:rPr>
          <w:rtl/>
        </w:rPr>
        <w:t xml:space="preserve"> على أ</w:t>
      </w:r>
      <w:r w:rsidR="002C5801" w:rsidRPr="00282AC9">
        <w:rPr>
          <w:rFonts w:hint="cs"/>
          <w:rtl/>
        </w:rPr>
        <w:t xml:space="preserve">ن </w:t>
      </w:r>
      <w:r w:rsidRPr="00282AC9">
        <w:rPr>
          <w:rtl/>
        </w:rPr>
        <w:t>لا ننهب</w:t>
      </w:r>
      <w:r w:rsidR="002C5801" w:rsidRPr="00282AC9">
        <w:rPr>
          <w:rFonts w:hint="eastAsia"/>
          <w:sz w:val="24"/>
          <w:szCs w:val="24"/>
          <w:rtl/>
        </w:rPr>
        <w:t>»</w:t>
      </w:r>
      <w:r w:rsidRPr="00282AC9">
        <w:rPr>
          <w:rtl/>
        </w:rPr>
        <w:t xml:space="preserve">. وفي نظره </w:t>
      </w:r>
      <w:r w:rsidR="002C5801" w:rsidRPr="00282AC9">
        <w:rPr>
          <w:rFonts w:hint="cs"/>
          <w:rtl/>
        </w:rPr>
        <w:t>إ</w:t>
      </w:r>
      <w:r w:rsidRPr="00282AC9">
        <w:rPr>
          <w:rtl/>
        </w:rPr>
        <w:t>ن الخلفية التاريخية لعد</w:t>
      </w:r>
      <w:r w:rsidR="002C5801" w:rsidRPr="00282AC9">
        <w:rPr>
          <w:rFonts w:hint="cs"/>
          <w:rtl/>
        </w:rPr>
        <w:t>ّ</w:t>
      </w:r>
      <w:r w:rsidRPr="00282AC9">
        <w:rPr>
          <w:rtl/>
        </w:rPr>
        <w:t xml:space="preserve"> الغنيمة من غير مشق</w:t>
      </w:r>
      <w:r w:rsidR="002C5801" w:rsidRPr="00282AC9">
        <w:rPr>
          <w:rFonts w:hint="cs"/>
          <w:rtl/>
        </w:rPr>
        <w:t>ّ</w:t>
      </w:r>
      <w:r w:rsidRPr="00282AC9">
        <w:rPr>
          <w:rtl/>
        </w:rPr>
        <w:t>ة</w:t>
      </w:r>
      <w:r w:rsidR="002C5801" w:rsidRPr="00282AC9">
        <w:rPr>
          <w:rFonts w:hint="cs"/>
          <w:rtl/>
        </w:rPr>
        <w:t>ٍ</w:t>
      </w:r>
      <w:r w:rsidRPr="00282AC9">
        <w:rPr>
          <w:rtl/>
        </w:rPr>
        <w:t xml:space="preserve"> تكمن في أنها ج</w:t>
      </w:r>
      <w:r w:rsidR="009A682A" w:rsidRPr="00282AC9">
        <w:rPr>
          <w:rFonts w:hint="cs"/>
          <w:rtl/>
        </w:rPr>
        <w:t>ُ</w:t>
      </w:r>
      <w:r w:rsidRPr="00282AC9">
        <w:rPr>
          <w:rtl/>
        </w:rPr>
        <w:t>عل</w:t>
      </w:r>
      <w:r w:rsidR="009A682A" w:rsidRPr="00282AC9">
        <w:rPr>
          <w:rFonts w:hint="cs"/>
          <w:rtl/>
        </w:rPr>
        <w:t>َ</w:t>
      </w:r>
      <w:r w:rsidRPr="00282AC9">
        <w:rPr>
          <w:rtl/>
        </w:rPr>
        <w:t>ت</w:t>
      </w:r>
      <w:r w:rsidR="009A682A" w:rsidRPr="00282AC9">
        <w:rPr>
          <w:rFonts w:hint="cs"/>
          <w:rtl/>
        </w:rPr>
        <w:t>ْ</w:t>
      </w:r>
      <w:r w:rsidRPr="00282AC9">
        <w:rPr>
          <w:rtl/>
        </w:rPr>
        <w:t xml:space="preserve"> بيد النبي</w:t>
      </w:r>
      <w:r w:rsidR="00674EF5" w:rsidRPr="00282AC9">
        <w:rPr>
          <w:rFonts w:hint="cs"/>
          <w:rtl/>
        </w:rPr>
        <w:t>ّ</w:t>
      </w:r>
      <w:r w:rsidR="009A2A04" w:rsidRPr="00282AC9">
        <w:rPr>
          <w:rFonts w:cs="Mosawi" w:hint="cs"/>
          <w:sz w:val="22"/>
          <w:szCs w:val="22"/>
          <w:rtl/>
        </w:rPr>
        <w:t>|</w:t>
      </w:r>
      <w:r w:rsidR="009A682A" w:rsidRPr="00282AC9">
        <w:rPr>
          <w:rFonts w:hint="cs"/>
          <w:rtl/>
        </w:rPr>
        <w:t>،</w:t>
      </w:r>
      <w:r w:rsidRPr="00282AC9">
        <w:rPr>
          <w:rtl/>
        </w:rPr>
        <w:t xml:space="preserve"> يقس</w:t>
      </w:r>
      <w:r w:rsidR="009A682A" w:rsidRPr="00282AC9">
        <w:rPr>
          <w:rFonts w:hint="cs"/>
          <w:rtl/>
        </w:rPr>
        <w:t>ِّ</w:t>
      </w:r>
      <w:r w:rsidRPr="00282AC9">
        <w:rPr>
          <w:rtl/>
        </w:rPr>
        <w:t>مها ح</w:t>
      </w:r>
      <w:r w:rsidR="009A682A" w:rsidRPr="00282AC9">
        <w:rPr>
          <w:rFonts w:hint="cs"/>
          <w:rtl/>
        </w:rPr>
        <w:t>َ</w:t>
      </w:r>
      <w:r w:rsidRPr="00282AC9">
        <w:rPr>
          <w:rtl/>
        </w:rPr>
        <w:t>س</w:t>
      </w:r>
      <w:r w:rsidR="009A682A" w:rsidRPr="00282AC9">
        <w:rPr>
          <w:rFonts w:hint="cs"/>
          <w:rtl/>
        </w:rPr>
        <w:t>ْ</w:t>
      </w:r>
      <w:r w:rsidRPr="00282AC9">
        <w:rPr>
          <w:rtl/>
        </w:rPr>
        <w:t>ب المصلحة، بعد تنازع المقاتلين وم</w:t>
      </w:r>
      <w:r w:rsidR="009A682A" w:rsidRPr="00282AC9">
        <w:rPr>
          <w:rFonts w:hint="cs"/>
          <w:rtl/>
        </w:rPr>
        <w:t>َ</w:t>
      </w:r>
      <w:r w:rsidRPr="00282AC9">
        <w:rPr>
          <w:rtl/>
        </w:rPr>
        <w:t>ن</w:t>
      </w:r>
      <w:r w:rsidR="009A682A" w:rsidRPr="00282AC9">
        <w:rPr>
          <w:rFonts w:hint="cs"/>
          <w:rtl/>
        </w:rPr>
        <w:t>ْ</w:t>
      </w:r>
      <w:r w:rsidRPr="00282AC9">
        <w:rPr>
          <w:rtl/>
        </w:rPr>
        <w:t xml:space="preserve"> ك</w:t>
      </w:r>
      <w:r w:rsidR="009A682A" w:rsidRPr="00282AC9">
        <w:rPr>
          <w:rFonts w:hint="cs"/>
          <w:rtl/>
        </w:rPr>
        <w:t>ُ</w:t>
      </w:r>
      <w:r w:rsidRPr="00282AC9">
        <w:rPr>
          <w:rtl/>
        </w:rPr>
        <w:t>ل</w:t>
      </w:r>
      <w:r w:rsidR="009A682A" w:rsidRPr="00282AC9">
        <w:rPr>
          <w:rFonts w:hint="cs"/>
          <w:rtl/>
        </w:rPr>
        <w:t>ِّ</w:t>
      </w:r>
      <w:r w:rsidRPr="00282AC9">
        <w:rPr>
          <w:rtl/>
        </w:rPr>
        <w:t>ف بحماية النبي</w:t>
      </w:r>
      <w:r w:rsidR="009A682A" w:rsidRPr="00282AC9">
        <w:rPr>
          <w:rFonts w:hint="cs"/>
          <w:rtl/>
        </w:rPr>
        <w:t>ِّ</w:t>
      </w:r>
      <w:r w:rsidRPr="00282AC9">
        <w:rPr>
          <w:rtl/>
        </w:rPr>
        <w:t xml:space="preserve"> حول أحق</w:t>
      </w:r>
      <w:r w:rsidR="009A682A" w:rsidRPr="00282AC9">
        <w:rPr>
          <w:rFonts w:hint="cs"/>
          <w:rtl/>
        </w:rPr>
        <w:t>ِّ</w:t>
      </w:r>
      <w:r w:rsidRPr="00282AC9">
        <w:rPr>
          <w:rtl/>
        </w:rPr>
        <w:t>يتها بعد معركة بدر. وقد أعطى النبي</w:t>
      </w:r>
      <w:r w:rsidR="00674EF5" w:rsidRPr="00282AC9">
        <w:rPr>
          <w:rFonts w:hint="cs"/>
          <w:rtl/>
        </w:rPr>
        <w:t>ّ</w:t>
      </w:r>
      <w:r w:rsidR="009A682A" w:rsidRPr="00282AC9">
        <w:rPr>
          <w:rFonts w:hint="cs"/>
          <w:rtl/>
        </w:rPr>
        <w:t>ُ</w:t>
      </w:r>
      <w:r w:rsidRPr="00282AC9">
        <w:rPr>
          <w:rtl/>
        </w:rPr>
        <w:t xml:space="preserve"> </w:t>
      </w:r>
      <w:r w:rsidRPr="00282AC9">
        <w:rPr>
          <w:rtl/>
        </w:rPr>
        <w:lastRenderedPageBreak/>
        <w:t>لبعض م</w:t>
      </w:r>
      <w:r w:rsidR="009A682A" w:rsidRPr="00282AC9">
        <w:rPr>
          <w:rFonts w:hint="cs"/>
          <w:rtl/>
        </w:rPr>
        <w:t>َ</w:t>
      </w:r>
      <w:r w:rsidRPr="00282AC9">
        <w:rPr>
          <w:rtl/>
        </w:rPr>
        <w:t>ن</w:t>
      </w:r>
      <w:r w:rsidR="009A682A" w:rsidRPr="00282AC9">
        <w:rPr>
          <w:rFonts w:hint="cs"/>
          <w:rtl/>
        </w:rPr>
        <w:t>ْ</w:t>
      </w:r>
      <w:r w:rsidRPr="00282AC9">
        <w:rPr>
          <w:rtl/>
        </w:rPr>
        <w:t xml:space="preserve"> لم يحضر بعض الغزوات، مثل</w:t>
      </w:r>
      <w:r w:rsidR="009A682A" w:rsidRPr="00282AC9">
        <w:rPr>
          <w:rFonts w:hint="cs"/>
          <w:rtl/>
        </w:rPr>
        <w:t>:</w:t>
      </w:r>
      <w:r w:rsidRPr="00282AC9">
        <w:rPr>
          <w:rtl/>
        </w:rPr>
        <w:t xml:space="preserve"> عثمان بن عفان وأبي موسى الأشعري وجعفر بن أبي طالب وم</w:t>
      </w:r>
      <w:r w:rsidR="009A682A" w:rsidRPr="00282AC9">
        <w:rPr>
          <w:rFonts w:hint="cs"/>
          <w:rtl/>
        </w:rPr>
        <w:t>َ</w:t>
      </w:r>
      <w:r w:rsidRPr="00282AC9">
        <w:rPr>
          <w:rtl/>
        </w:rPr>
        <w:t>ن</w:t>
      </w:r>
      <w:r w:rsidR="009A682A" w:rsidRPr="00282AC9">
        <w:rPr>
          <w:rFonts w:hint="cs"/>
          <w:rtl/>
        </w:rPr>
        <w:t>ْ</w:t>
      </w:r>
      <w:r w:rsidRPr="00282AC9">
        <w:rPr>
          <w:rtl/>
        </w:rPr>
        <w:t xml:space="preserve"> هاجر معه </w:t>
      </w:r>
      <w:r w:rsidR="007A79BC" w:rsidRPr="00282AC9">
        <w:rPr>
          <w:rFonts w:hint="cs"/>
          <w:rtl/>
        </w:rPr>
        <w:t>إ</w:t>
      </w:r>
      <w:r w:rsidRPr="00282AC9">
        <w:rPr>
          <w:rtl/>
        </w:rPr>
        <w:t>لى الحبشة، كما أعطى للمؤل</w:t>
      </w:r>
      <w:r w:rsidR="009A682A" w:rsidRPr="00282AC9">
        <w:rPr>
          <w:rFonts w:hint="cs"/>
          <w:rtl/>
        </w:rPr>
        <w:t>َّ</w:t>
      </w:r>
      <w:r w:rsidRPr="00282AC9">
        <w:rPr>
          <w:rtl/>
        </w:rPr>
        <w:t>فة قلوبهم في حنين</w:t>
      </w:r>
      <w:r w:rsidR="009A682A" w:rsidRPr="00282AC9">
        <w:rPr>
          <w:rFonts w:hint="cs"/>
          <w:rtl/>
        </w:rPr>
        <w:t>،</w:t>
      </w:r>
      <w:r w:rsidRPr="00282AC9">
        <w:rPr>
          <w:rtl/>
        </w:rPr>
        <w:t xml:space="preserve"> أضعاف سهم المؤمن المجاهد</w:t>
      </w:r>
      <w:r w:rsidRPr="00282AC9">
        <w:rPr>
          <w:rFonts w:hint="cs"/>
          <w:vertAlign w:val="superscript"/>
          <w:rtl/>
        </w:rPr>
        <w:t>(</w:t>
      </w:r>
      <w:r w:rsidRPr="00282AC9">
        <w:rPr>
          <w:rStyle w:val="af9"/>
          <w:sz w:val="27"/>
          <w:rtl/>
        </w:rPr>
        <w:endnoteReference w:id="433"/>
      </w:r>
      <w:r w:rsidRPr="00282AC9">
        <w:rPr>
          <w:rFonts w:hint="cs"/>
          <w:vertAlign w:val="superscript"/>
          <w:rtl/>
        </w:rPr>
        <w:t>)</w:t>
      </w:r>
      <w:r w:rsidR="009A682A" w:rsidRPr="00282AC9">
        <w:rPr>
          <w:rFonts w:hint="cs"/>
          <w:rtl/>
        </w:rPr>
        <w:t>.</w:t>
      </w:r>
      <w:r w:rsidRPr="00282AC9">
        <w:rPr>
          <w:rFonts w:hint="cs"/>
          <w:rtl/>
        </w:rPr>
        <w:t xml:space="preserve"> </w:t>
      </w:r>
      <w:r w:rsidRPr="00282AC9">
        <w:rPr>
          <w:rtl/>
        </w:rPr>
        <w:t>ولهذا ن</w:t>
      </w:r>
      <w:r w:rsidR="009A682A" w:rsidRPr="00282AC9">
        <w:rPr>
          <w:rFonts w:hint="cs"/>
          <w:rtl/>
        </w:rPr>
        <w:t>ُ</w:t>
      </w:r>
      <w:r w:rsidRPr="00282AC9">
        <w:rPr>
          <w:rtl/>
        </w:rPr>
        <w:t>ظر إليها وكأن</w:t>
      </w:r>
      <w:r w:rsidR="009A682A" w:rsidRPr="00282AC9">
        <w:rPr>
          <w:rFonts w:hint="cs"/>
          <w:rtl/>
        </w:rPr>
        <w:t>ّ</w:t>
      </w:r>
      <w:r w:rsidRPr="00282AC9">
        <w:rPr>
          <w:rtl/>
        </w:rPr>
        <w:t>ها أصيب</w:t>
      </w:r>
      <w:r w:rsidR="009A682A" w:rsidRPr="00282AC9">
        <w:rPr>
          <w:rFonts w:hint="cs"/>
          <w:rtl/>
        </w:rPr>
        <w:t>َ</w:t>
      </w:r>
      <w:r w:rsidRPr="00282AC9">
        <w:rPr>
          <w:rtl/>
        </w:rPr>
        <w:t>ت</w:t>
      </w:r>
      <w:r w:rsidR="009A682A" w:rsidRPr="00282AC9">
        <w:rPr>
          <w:rFonts w:hint="cs"/>
          <w:rtl/>
        </w:rPr>
        <w:t>ْ</w:t>
      </w:r>
      <w:r w:rsidRPr="00282AC9">
        <w:rPr>
          <w:rtl/>
        </w:rPr>
        <w:t xml:space="preserve"> بلا مشق</w:t>
      </w:r>
      <w:r w:rsidR="009A682A" w:rsidRPr="00282AC9">
        <w:rPr>
          <w:rFonts w:hint="cs"/>
          <w:rtl/>
        </w:rPr>
        <w:t>ّ</w:t>
      </w:r>
      <w:r w:rsidRPr="00282AC9">
        <w:rPr>
          <w:rtl/>
        </w:rPr>
        <w:t>ة</w:t>
      </w:r>
      <w:r w:rsidR="009A682A" w:rsidRPr="00282AC9">
        <w:rPr>
          <w:rFonts w:hint="cs"/>
          <w:rtl/>
        </w:rPr>
        <w:t>ٍ؛</w:t>
      </w:r>
      <w:r w:rsidRPr="00282AC9">
        <w:rPr>
          <w:rtl/>
        </w:rPr>
        <w:t xml:space="preserve"> لأنها بمثابة منحة</w:t>
      </w:r>
      <w:r w:rsidR="009A682A" w:rsidRPr="00282AC9">
        <w:rPr>
          <w:rFonts w:hint="cs"/>
          <w:rtl/>
        </w:rPr>
        <w:t>ٍ</w:t>
      </w:r>
      <w:r w:rsidRPr="00282AC9">
        <w:rPr>
          <w:rtl/>
        </w:rPr>
        <w:t xml:space="preserve"> من رسول الله</w:t>
      </w:r>
      <w:r w:rsidR="009A682A" w:rsidRPr="00282AC9">
        <w:rPr>
          <w:rFonts w:hint="cs"/>
          <w:rtl/>
        </w:rPr>
        <w:t>،</w:t>
      </w:r>
      <w:r w:rsidRPr="00282AC9">
        <w:rPr>
          <w:rtl/>
        </w:rPr>
        <w:t xml:space="preserve"> وليس من الحرب. وفي عصر انتشار الفتوحات</w:t>
      </w:r>
      <w:r w:rsidR="009A682A" w:rsidRPr="00282AC9">
        <w:rPr>
          <w:rFonts w:hint="cs"/>
          <w:rtl/>
        </w:rPr>
        <w:t>،</w:t>
      </w:r>
      <w:r w:rsidRPr="00282AC9">
        <w:rPr>
          <w:rtl/>
        </w:rPr>
        <w:t xml:space="preserve"> على عهد الخليفة عمر وما بعده</w:t>
      </w:r>
      <w:r w:rsidR="009A682A" w:rsidRPr="00282AC9">
        <w:rPr>
          <w:rFonts w:hint="cs"/>
          <w:rtl/>
        </w:rPr>
        <w:t xml:space="preserve">، </w:t>
      </w:r>
      <w:r w:rsidRPr="00282AC9">
        <w:rPr>
          <w:rtl/>
        </w:rPr>
        <w:t>كثر استعمال ماد</w:t>
      </w:r>
      <w:r w:rsidR="009A682A" w:rsidRPr="00282AC9">
        <w:rPr>
          <w:rFonts w:hint="cs"/>
          <w:rtl/>
        </w:rPr>
        <w:t>ّ</w:t>
      </w:r>
      <w:r w:rsidRPr="00282AC9">
        <w:rPr>
          <w:rtl/>
        </w:rPr>
        <w:t xml:space="preserve">ة </w:t>
      </w:r>
      <w:r w:rsidRPr="00282AC9">
        <w:rPr>
          <w:rFonts w:hint="eastAsia"/>
          <w:sz w:val="24"/>
          <w:szCs w:val="24"/>
          <w:rtl/>
        </w:rPr>
        <w:t>«</w:t>
      </w:r>
      <w:r w:rsidRPr="00282AC9">
        <w:rPr>
          <w:rtl/>
        </w:rPr>
        <w:t>غنم</w:t>
      </w:r>
      <w:r w:rsidR="009A682A" w:rsidRPr="00282AC9">
        <w:rPr>
          <w:rFonts w:hint="eastAsia"/>
          <w:sz w:val="24"/>
          <w:szCs w:val="24"/>
          <w:rtl/>
        </w:rPr>
        <w:t>»</w:t>
      </w:r>
      <w:r w:rsidR="009A682A" w:rsidRPr="00282AC9">
        <w:rPr>
          <w:rFonts w:hint="cs"/>
          <w:rtl/>
        </w:rPr>
        <w:t xml:space="preserve"> </w:t>
      </w:r>
      <w:r w:rsidRPr="00282AC9">
        <w:rPr>
          <w:rtl/>
        </w:rPr>
        <w:t>على ما ظفر به من جهة الع</w:t>
      </w:r>
      <w:r w:rsidR="009A682A" w:rsidRPr="00282AC9">
        <w:rPr>
          <w:rFonts w:hint="cs"/>
          <w:rtl/>
        </w:rPr>
        <w:t>ِ</w:t>
      </w:r>
      <w:r w:rsidRPr="00282AC9">
        <w:rPr>
          <w:rtl/>
        </w:rPr>
        <w:t>د</w:t>
      </w:r>
      <w:r w:rsidR="009A682A" w:rsidRPr="00282AC9">
        <w:rPr>
          <w:rFonts w:hint="cs"/>
          <w:rtl/>
        </w:rPr>
        <w:t>َ</w:t>
      </w:r>
      <w:r w:rsidRPr="00282AC9">
        <w:rPr>
          <w:rtl/>
        </w:rPr>
        <w:t>ى خاص</w:t>
      </w:r>
      <w:r w:rsidR="009A682A" w:rsidRPr="00282AC9">
        <w:rPr>
          <w:rFonts w:hint="cs"/>
          <w:rtl/>
        </w:rPr>
        <w:t>ّ</w:t>
      </w:r>
      <w:r w:rsidRPr="00282AC9">
        <w:rPr>
          <w:rtl/>
        </w:rPr>
        <w:t xml:space="preserve">ة. وعندما قام علماء اللغة بتدوينها، ولاحظوا الاستخدامات المختلفة، لم ينتبهوا </w:t>
      </w:r>
      <w:r w:rsidR="00394837" w:rsidRPr="00282AC9">
        <w:rPr>
          <w:rFonts w:hint="cs"/>
          <w:rtl/>
        </w:rPr>
        <w:t>إ</w:t>
      </w:r>
      <w:r w:rsidRPr="00282AC9">
        <w:rPr>
          <w:rtl/>
        </w:rPr>
        <w:t>لى تطو</w:t>
      </w:r>
      <w:r w:rsidR="00394837" w:rsidRPr="00282AC9">
        <w:rPr>
          <w:rFonts w:hint="cs"/>
          <w:rtl/>
        </w:rPr>
        <w:t>ُّ</w:t>
      </w:r>
      <w:r w:rsidRPr="00282AC9">
        <w:rPr>
          <w:rtl/>
        </w:rPr>
        <w:t>ر تطبيقات ماد</w:t>
      </w:r>
      <w:r w:rsidR="00394837" w:rsidRPr="00282AC9">
        <w:rPr>
          <w:rFonts w:hint="cs"/>
          <w:rtl/>
        </w:rPr>
        <w:t>ّ</w:t>
      </w:r>
      <w:r w:rsidRPr="00282AC9">
        <w:rPr>
          <w:rtl/>
        </w:rPr>
        <w:t xml:space="preserve">ة </w:t>
      </w:r>
      <w:r w:rsidRPr="00282AC9">
        <w:rPr>
          <w:rFonts w:hint="eastAsia"/>
          <w:sz w:val="24"/>
          <w:szCs w:val="24"/>
          <w:rtl/>
        </w:rPr>
        <w:t>«</w:t>
      </w:r>
      <w:r w:rsidRPr="00282AC9">
        <w:rPr>
          <w:rtl/>
        </w:rPr>
        <w:t>غنم</w:t>
      </w:r>
      <w:r w:rsidR="00394837" w:rsidRPr="00282AC9">
        <w:rPr>
          <w:rFonts w:hint="eastAsia"/>
          <w:sz w:val="24"/>
          <w:szCs w:val="24"/>
          <w:rtl/>
        </w:rPr>
        <w:t>»</w:t>
      </w:r>
      <w:r w:rsidR="00394837" w:rsidRPr="00282AC9">
        <w:rPr>
          <w:rFonts w:hint="cs"/>
          <w:rtl/>
        </w:rPr>
        <w:t xml:space="preserve"> </w:t>
      </w:r>
      <w:r w:rsidRPr="00282AC9">
        <w:rPr>
          <w:rtl/>
        </w:rPr>
        <w:t>تاريخي</w:t>
      </w:r>
      <w:r w:rsidR="00394837" w:rsidRPr="00282AC9">
        <w:rPr>
          <w:rFonts w:hint="cs"/>
          <w:rtl/>
        </w:rPr>
        <w:t>ّ</w:t>
      </w:r>
      <w:r w:rsidRPr="00282AC9">
        <w:rPr>
          <w:rtl/>
        </w:rPr>
        <w:t>ا</w:t>
      </w:r>
      <w:r w:rsidR="00394837" w:rsidRPr="00282AC9">
        <w:rPr>
          <w:rFonts w:hint="cs"/>
          <w:rtl/>
        </w:rPr>
        <w:t>ً</w:t>
      </w:r>
      <w:r w:rsidRPr="00282AC9">
        <w:rPr>
          <w:rtl/>
        </w:rPr>
        <w:t>، مما جعل بعضهم يخلط في معانيها</w:t>
      </w:r>
      <w:r w:rsidRPr="00282AC9">
        <w:rPr>
          <w:rFonts w:hint="cs"/>
          <w:vertAlign w:val="superscript"/>
          <w:rtl/>
        </w:rPr>
        <w:t>(</w:t>
      </w:r>
      <w:r w:rsidRPr="00282AC9">
        <w:rPr>
          <w:rStyle w:val="af9"/>
          <w:sz w:val="27"/>
          <w:rtl/>
        </w:rPr>
        <w:endnoteReference w:id="434"/>
      </w:r>
      <w:r w:rsidRPr="00282AC9">
        <w:rPr>
          <w:rFonts w:hint="cs"/>
          <w:vertAlign w:val="superscript"/>
          <w:rtl/>
        </w:rPr>
        <w:t>)</w:t>
      </w:r>
      <w:r w:rsidR="00394837" w:rsidRPr="00282AC9">
        <w:rPr>
          <w:rFonts w:hint="cs"/>
          <w:rtl/>
        </w:rPr>
        <w:t>.</w:t>
      </w:r>
      <w:r w:rsidRPr="00282AC9">
        <w:rPr>
          <w:rFonts w:hint="cs"/>
          <w:rtl/>
        </w:rPr>
        <w:t xml:space="preserve"> و</w:t>
      </w:r>
      <w:r w:rsidRPr="00282AC9">
        <w:rPr>
          <w:rtl/>
        </w:rPr>
        <w:t>لا يوافق الهمداني على وقوع تطو</w:t>
      </w:r>
      <w:r w:rsidR="00394837" w:rsidRPr="00282AC9">
        <w:rPr>
          <w:rFonts w:hint="cs"/>
          <w:rtl/>
        </w:rPr>
        <w:t>ُّ</w:t>
      </w:r>
      <w:r w:rsidRPr="00282AC9">
        <w:rPr>
          <w:rtl/>
        </w:rPr>
        <w:t>ر</w:t>
      </w:r>
      <w:r w:rsidR="00394837" w:rsidRPr="00282AC9">
        <w:rPr>
          <w:rFonts w:hint="cs"/>
          <w:rtl/>
        </w:rPr>
        <w:t>ٍ</w:t>
      </w:r>
      <w:r w:rsidRPr="00282AC9">
        <w:rPr>
          <w:rtl/>
        </w:rPr>
        <w:t xml:space="preserve"> في استعمال الكلمة واختصاصها بغنائم الحرب، على الرغم من استعمالها فيها</w:t>
      </w:r>
      <w:r w:rsidR="00394837" w:rsidRPr="00282AC9">
        <w:rPr>
          <w:rFonts w:hint="cs"/>
          <w:rtl/>
        </w:rPr>
        <w:t>،</w:t>
      </w:r>
      <w:r w:rsidRPr="00282AC9">
        <w:rPr>
          <w:rtl/>
        </w:rPr>
        <w:t xml:space="preserve"> مع وجود القرينة الحالي</w:t>
      </w:r>
      <w:r w:rsidR="00394837" w:rsidRPr="00282AC9">
        <w:rPr>
          <w:rFonts w:hint="cs"/>
          <w:rtl/>
        </w:rPr>
        <w:t>ّ</w:t>
      </w:r>
      <w:r w:rsidRPr="00282AC9">
        <w:rPr>
          <w:rtl/>
        </w:rPr>
        <w:t>ة والمقالي</w:t>
      </w:r>
      <w:r w:rsidR="00394837" w:rsidRPr="00282AC9">
        <w:rPr>
          <w:rFonts w:hint="cs"/>
          <w:rtl/>
        </w:rPr>
        <w:t>ّ</w:t>
      </w:r>
      <w:r w:rsidRPr="00282AC9">
        <w:rPr>
          <w:rtl/>
        </w:rPr>
        <w:t>ة. ويرى عدم وجود أثر</w:t>
      </w:r>
      <w:r w:rsidR="00394837" w:rsidRPr="00282AC9">
        <w:rPr>
          <w:rFonts w:hint="cs"/>
          <w:rtl/>
        </w:rPr>
        <w:t>ٍ</w:t>
      </w:r>
      <w:r w:rsidRPr="00282AC9">
        <w:rPr>
          <w:rtl/>
        </w:rPr>
        <w:t xml:space="preserve"> لهذه الدعوى في الآثار</w:t>
      </w:r>
      <w:r w:rsidRPr="00282AC9">
        <w:rPr>
          <w:rFonts w:hint="cs"/>
          <w:vertAlign w:val="superscript"/>
          <w:rtl/>
        </w:rPr>
        <w:t>(</w:t>
      </w:r>
      <w:r w:rsidRPr="00282AC9">
        <w:rPr>
          <w:rStyle w:val="af9"/>
          <w:sz w:val="27"/>
          <w:rtl/>
        </w:rPr>
        <w:endnoteReference w:id="435"/>
      </w:r>
      <w:r w:rsidRPr="00282AC9">
        <w:rPr>
          <w:rFonts w:hint="cs"/>
          <w:vertAlign w:val="superscript"/>
          <w:rtl/>
        </w:rPr>
        <w:t>)</w:t>
      </w:r>
      <w:r w:rsidR="00394837" w:rsidRPr="00282AC9">
        <w:rPr>
          <w:rFonts w:hint="cs"/>
          <w:rtl/>
        </w:rPr>
        <w:t>.</w:t>
      </w:r>
    </w:p>
    <w:p w:rsidR="00946A76" w:rsidRPr="00282AC9" w:rsidRDefault="00946A76" w:rsidP="00186251">
      <w:pPr>
        <w:rPr>
          <w:bCs/>
          <w:rtl/>
        </w:rPr>
      </w:pPr>
      <w:r w:rsidRPr="00282AC9">
        <w:rPr>
          <w:rtl/>
        </w:rPr>
        <w:t xml:space="preserve">ويرى البوطي </w:t>
      </w:r>
      <w:r w:rsidR="00394837" w:rsidRPr="00282AC9">
        <w:rPr>
          <w:rFonts w:hint="cs"/>
          <w:rtl/>
        </w:rPr>
        <w:t>أ</w:t>
      </w:r>
      <w:r w:rsidRPr="00282AC9">
        <w:rPr>
          <w:rtl/>
        </w:rPr>
        <w:t>ن ملكية المقاتل للغنيمة تتحق</w:t>
      </w:r>
      <w:r w:rsidR="00394837" w:rsidRPr="00282AC9">
        <w:rPr>
          <w:rFonts w:hint="cs"/>
          <w:rtl/>
        </w:rPr>
        <w:t>َّ</w:t>
      </w:r>
      <w:r w:rsidRPr="00282AC9">
        <w:rPr>
          <w:rtl/>
        </w:rPr>
        <w:t>ق بعد قسمة النبي</w:t>
      </w:r>
      <w:r w:rsidR="00394837" w:rsidRPr="00282AC9">
        <w:rPr>
          <w:rFonts w:hint="cs"/>
          <w:rtl/>
        </w:rPr>
        <w:t>ّ</w:t>
      </w:r>
      <w:r w:rsidR="009A2A04" w:rsidRPr="00282AC9">
        <w:rPr>
          <w:rFonts w:cs="Mosawi"/>
          <w:sz w:val="22"/>
          <w:szCs w:val="22"/>
          <w:rtl/>
        </w:rPr>
        <w:t>|</w:t>
      </w:r>
      <w:r w:rsidR="00394837" w:rsidRPr="00282AC9">
        <w:rPr>
          <w:rFonts w:hint="cs"/>
          <w:rtl/>
        </w:rPr>
        <w:t>،</w:t>
      </w:r>
      <w:r w:rsidRPr="00282AC9">
        <w:rPr>
          <w:rtl/>
        </w:rPr>
        <w:t xml:space="preserve"> وليس قبلها. واستدل</w:t>
      </w:r>
      <w:r w:rsidR="00394837" w:rsidRPr="00282AC9">
        <w:rPr>
          <w:rFonts w:hint="cs"/>
          <w:rtl/>
        </w:rPr>
        <w:t>ّ</w:t>
      </w:r>
      <w:r w:rsidRPr="00282AC9">
        <w:rPr>
          <w:rtl/>
        </w:rPr>
        <w:t xml:space="preserve"> بقول النبي</w:t>
      </w:r>
      <w:r w:rsidR="00394837" w:rsidRPr="00282AC9">
        <w:rPr>
          <w:rFonts w:hint="cs"/>
          <w:rtl/>
        </w:rPr>
        <w:t>ّ</w:t>
      </w:r>
      <w:r w:rsidR="009A2A04" w:rsidRPr="00282AC9">
        <w:rPr>
          <w:rFonts w:cs="Mosawi" w:hint="cs"/>
          <w:sz w:val="22"/>
          <w:szCs w:val="22"/>
          <w:rtl/>
        </w:rPr>
        <w:t>|</w:t>
      </w:r>
      <w:r w:rsidRPr="00282AC9">
        <w:rPr>
          <w:rtl/>
        </w:rPr>
        <w:t xml:space="preserve"> لوفد هوازن: </w:t>
      </w:r>
      <w:r w:rsidR="00394837" w:rsidRPr="00282AC9">
        <w:rPr>
          <w:rFonts w:hint="eastAsia"/>
          <w:sz w:val="24"/>
          <w:szCs w:val="24"/>
          <w:rtl/>
        </w:rPr>
        <w:t>«</w:t>
      </w:r>
      <w:r w:rsidRPr="00282AC9">
        <w:rPr>
          <w:rtl/>
        </w:rPr>
        <w:t>لقد استأن</w:t>
      </w:r>
      <w:r w:rsidR="00394837" w:rsidRPr="00282AC9">
        <w:rPr>
          <w:rFonts w:hint="cs"/>
          <w:rtl/>
        </w:rPr>
        <w:t>َ</w:t>
      </w:r>
      <w:r w:rsidRPr="00282AC9">
        <w:rPr>
          <w:rtl/>
        </w:rPr>
        <w:t>ي</w:t>
      </w:r>
      <w:r w:rsidR="00394837" w:rsidRPr="00282AC9">
        <w:rPr>
          <w:rFonts w:hint="cs"/>
          <w:rtl/>
        </w:rPr>
        <w:t>ْ</w:t>
      </w:r>
      <w:r w:rsidRPr="00282AC9">
        <w:rPr>
          <w:rtl/>
        </w:rPr>
        <w:t>ت</w:t>
      </w:r>
      <w:r w:rsidR="00394837" w:rsidRPr="00282AC9">
        <w:rPr>
          <w:rFonts w:hint="cs"/>
          <w:rtl/>
        </w:rPr>
        <w:t>ُ</w:t>
      </w:r>
      <w:r w:rsidRPr="00282AC9">
        <w:rPr>
          <w:rtl/>
        </w:rPr>
        <w:t xml:space="preserve"> بكم</w:t>
      </w:r>
      <w:r w:rsidR="00394837" w:rsidRPr="00282AC9">
        <w:rPr>
          <w:rFonts w:hint="eastAsia"/>
          <w:sz w:val="24"/>
          <w:szCs w:val="24"/>
          <w:rtl/>
        </w:rPr>
        <w:t>»</w:t>
      </w:r>
      <w:r w:rsidRPr="00282AC9">
        <w:rPr>
          <w:rtl/>
        </w:rPr>
        <w:t>، أي أخ</w:t>
      </w:r>
      <w:r w:rsidR="00394837" w:rsidRPr="00282AC9">
        <w:rPr>
          <w:rFonts w:hint="cs"/>
          <w:rtl/>
        </w:rPr>
        <w:t>َّ</w:t>
      </w:r>
      <w:r w:rsidRPr="00282AC9">
        <w:rPr>
          <w:rtl/>
        </w:rPr>
        <w:t>ر</w:t>
      </w:r>
      <w:r w:rsidR="00394837" w:rsidRPr="00282AC9">
        <w:rPr>
          <w:rFonts w:hint="cs"/>
          <w:rtl/>
        </w:rPr>
        <w:t>ْ</w:t>
      </w:r>
      <w:r w:rsidRPr="00282AC9">
        <w:rPr>
          <w:rtl/>
        </w:rPr>
        <w:t>ت</w:t>
      </w:r>
      <w:r w:rsidR="00394837" w:rsidRPr="00282AC9">
        <w:rPr>
          <w:rFonts w:hint="cs"/>
          <w:rtl/>
        </w:rPr>
        <w:t>ُ</w:t>
      </w:r>
      <w:r w:rsidRPr="00282AC9">
        <w:rPr>
          <w:rtl/>
        </w:rPr>
        <w:t xml:space="preserve"> قسم</w:t>
      </w:r>
      <w:r w:rsidR="00394837" w:rsidRPr="00282AC9">
        <w:rPr>
          <w:rFonts w:hint="cs"/>
          <w:rtl/>
        </w:rPr>
        <w:t>ة</w:t>
      </w:r>
      <w:r w:rsidRPr="00282AC9">
        <w:rPr>
          <w:rtl/>
        </w:rPr>
        <w:t xml:space="preserve"> الغنائم</w:t>
      </w:r>
      <w:r w:rsidR="00394837" w:rsidRPr="00282AC9">
        <w:rPr>
          <w:rFonts w:hint="cs"/>
          <w:rtl/>
        </w:rPr>
        <w:t>؛</w:t>
      </w:r>
      <w:r w:rsidRPr="00282AC9">
        <w:rPr>
          <w:rtl/>
        </w:rPr>
        <w:t xml:space="preserve"> آملا</w:t>
      </w:r>
      <w:r w:rsidR="00394837" w:rsidRPr="00282AC9">
        <w:rPr>
          <w:rFonts w:hint="cs"/>
          <w:rtl/>
        </w:rPr>
        <w:t>ً</w:t>
      </w:r>
      <w:r w:rsidRPr="00282AC9">
        <w:rPr>
          <w:rtl/>
        </w:rPr>
        <w:t xml:space="preserve"> في إسلامكم، على أن الجند إنما يملكون الغنائم بعد تقسيم الإمام لها. فمهما دام</w:t>
      </w:r>
      <w:r w:rsidR="00394837" w:rsidRPr="00282AC9">
        <w:rPr>
          <w:rFonts w:hint="cs"/>
          <w:rtl/>
        </w:rPr>
        <w:t>َ</w:t>
      </w:r>
      <w:r w:rsidRPr="00282AC9">
        <w:rPr>
          <w:rtl/>
        </w:rPr>
        <w:t>ت</w:t>
      </w:r>
      <w:r w:rsidR="00394837" w:rsidRPr="00282AC9">
        <w:rPr>
          <w:rFonts w:hint="cs"/>
          <w:rtl/>
        </w:rPr>
        <w:t>ْ</w:t>
      </w:r>
      <w:r w:rsidRPr="00282AC9">
        <w:rPr>
          <w:rtl/>
        </w:rPr>
        <w:t xml:space="preserve"> قبل القسمة فهي لا تعتبر ملكا</w:t>
      </w:r>
      <w:r w:rsidRPr="00282AC9">
        <w:rPr>
          <w:rFonts w:hint="cs"/>
          <w:rtl/>
        </w:rPr>
        <w:t>ً</w:t>
      </w:r>
      <w:r w:rsidRPr="00282AC9">
        <w:rPr>
          <w:rtl/>
        </w:rPr>
        <w:t xml:space="preserve"> للمقاتلين</w:t>
      </w:r>
      <w:r w:rsidRPr="00282AC9">
        <w:rPr>
          <w:rFonts w:hint="cs"/>
          <w:vertAlign w:val="superscript"/>
          <w:rtl/>
        </w:rPr>
        <w:t>(</w:t>
      </w:r>
      <w:r w:rsidRPr="00282AC9">
        <w:rPr>
          <w:rStyle w:val="af9"/>
          <w:sz w:val="27"/>
          <w:rtl/>
        </w:rPr>
        <w:endnoteReference w:id="436"/>
      </w:r>
      <w:r w:rsidRPr="00282AC9">
        <w:rPr>
          <w:rFonts w:hint="cs"/>
          <w:vertAlign w:val="superscript"/>
          <w:rtl/>
        </w:rPr>
        <w:t>)</w:t>
      </w:r>
      <w:r w:rsidR="00394837" w:rsidRPr="00282AC9">
        <w:rPr>
          <w:rFonts w:hint="cs"/>
          <w:b/>
          <w:rtl/>
        </w:rPr>
        <w:t>.</w:t>
      </w:r>
    </w:p>
    <w:p w:rsidR="0088149A" w:rsidRPr="00282AC9" w:rsidRDefault="0088149A" w:rsidP="0088149A">
      <w:pPr>
        <w:spacing w:line="420" w:lineRule="exact"/>
        <w:rPr>
          <w:rtl/>
        </w:rPr>
      </w:pPr>
    </w:p>
    <w:p w:rsidR="00946A76" w:rsidRPr="00282AC9" w:rsidRDefault="00946A76" w:rsidP="00B70E1F">
      <w:pPr>
        <w:pStyle w:val="31"/>
        <w:rPr>
          <w:color w:val="auto"/>
          <w:rtl/>
        </w:rPr>
      </w:pPr>
      <w:r w:rsidRPr="00282AC9">
        <w:rPr>
          <w:color w:val="auto"/>
          <w:rtl/>
        </w:rPr>
        <w:t>نظرة</w:t>
      </w:r>
      <w:r w:rsidR="00394837" w:rsidRPr="00282AC9">
        <w:rPr>
          <w:rFonts w:hint="cs"/>
          <w:color w:val="auto"/>
          <w:rtl/>
        </w:rPr>
        <w:t>ٌ</w:t>
      </w:r>
      <w:r w:rsidRPr="00282AC9">
        <w:rPr>
          <w:color w:val="auto"/>
          <w:rtl/>
        </w:rPr>
        <w:t xml:space="preserve"> في تحليل العسكري</w:t>
      </w:r>
      <w:r w:rsidR="00394837" w:rsidRPr="00282AC9">
        <w:rPr>
          <w:rFonts w:hint="cs"/>
          <w:color w:val="auto"/>
          <w:rtl/>
        </w:rPr>
        <w:t>ّ</w:t>
      </w:r>
    </w:p>
    <w:p w:rsidR="00946A76" w:rsidRPr="00282AC9" w:rsidRDefault="00946A76" w:rsidP="00186251">
      <w:pPr>
        <w:rPr>
          <w:bCs/>
          <w:rtl/>
        </w:rPr>
      </w:pPr>
      <w:r w:rsidRPr="00282AC9">
        <w:rPr>
          <w:rtl/>
        </w:rPr>
        <w:t>ي</w:t>
      </w:r>
      <w:r w:rsidR="00394837" w:rsidRPr="00282AC9">
        <w:rPr>
          <w:rFonts w:hint="cs"/>
          <w:rtl/>
        </w:rPr>
        <w:t>َ</w:t>
      </w:r>
      <w:r w:rsidRPr="00282AC9">
        <w:rPr>
          <w:rtl/>
        </w:rPr>
        <w:t>ر</w:t>
      </w:r>
      <w:r w:rsidR="00394837" w:rsidRPr="00282AC9">
        <w:rPr>
          <w:rFonts w:hint="cs"/>
          <w:rtl/>
        </w:rPr>
        <w:t>ِ</w:t>
      </w:r>
      <w:r w:rsidRPr="00282AC9">
        <w:rPr>
          <w:rtl/>
        </w:rPr>
        <w:t>د</w:t>
      </w:r>
      <w:r w:rsidR="00394837" w:rsidRPr="00282AC9">
        <w:rPr>
          <w:rFonts w:hint="cs"/>
          <w:rtl/>
        </w:rPr>
        <w:t>ُ</w:t>
      </w:r>
      <w:r w:rsidRPr="00282AC9">
        <w:rPr>
          <w:rtl/>
        </w:rPr>
        <w:t xml:space="preserve"> على التحليل السابق بأنه لم يبين إن</w:t>
      </w:r>
      <w:r w:rsidR="00394837" w:rsidRPr="00282AC9">
        <w:rPr>
          <w:rFonts w:hint="cs"/>
          <w:rtl/>
        </w:rPr>
        <w:t>ْ</w:t>
      </w:r>
      <w:r w:rsidRPr="00282AC9">
        <w:rPr>
          <w:rtl/>
        </w:rPr>
        <w:t xml:space="preserve"> كانت السيرة السائدة في عهد النبي</w:t>
      </w:r>
      <w:r w:rsidR="00394837" w:rsidRPr="00282AC9">
        <w:rPr>
          <w:rFonts w:hint="cs"/>
          <w:rtl/>
        </w:rPr>
        <w:t>ّ</w:t>
      </w:r>
      <w:r w:rsidR="009A2A04" w:rsidRPr="00282AC9">
        <w:rPr>
          <w:rFonts w:cs="Mosawi" w:hint="cs"/>
          <w:sz w:val="22"/>
          <w:szCs w:val="22"/>
          <w:rtl/>
        </w:rPr>
        <w:t>|</w:t>
      </w:r>
      <w:r w:rsidRPr="00282AC9">
        <w:rPr>
          <w:rtl/>
        </w:rPr>
        <w:t xml:space="preserve"> هي تقسيم الغنائم على المقاتلين وغير المقاتلين دون فرق</w:t>
      </w:r>
      <w:r w:rsidR="00394837" w:rsidRPr="00282AC9">
        <w:rPr>
          <w:rFonts w:hint="cs"/>
          <w:rtl/>
        </w:rPr>
        <w:t>ٍ</w:t>
      </w:r>
      <w:r w:rsidRPr="00282AC9">
        <w:rPr>
          <w:rtl/>
        </w:rPr>
        <w:t xml:space="preserve">، أم </w:t>
      </w:r>
      <w:r w:rsidR="00394837" w:rsidRPr="00282AC9">
        <w:rPr>
          <w:rFonts w:hint="cs"/>
          <w:rtl/>
        </w:rPr>
        <w:t>أ</w:t>
      </w:r>
      <w:r w:rsidRPr="00282AC9">
        <w:rPr>
          <w:rtl/>
        </w:rPr>
        <w:t>ن إعطاء غير المقاتلين كان في حالات</w:t>
      </w:r>
      <w:r w:rsidR="00394837" w:rsidRPr="00282AC9">
        <w:rPr>
          <w:rFonts w:hint="cs"/>
          <w:rtl/>
        </w:rPr>
        <w:t>ٍ</w:t>
      </w:r>
      <w:r w:rsidRPr="00282AC9">
        <w:rPr>
          <w:rtl/>
        </w:rPr>
        <w:t xml:space="preserve"> محدودة</w:t>
      </w:r>
      <w:r w:rsidR="00491DAC" w:rsidRPr="00282AC9">
        <w:rPr>
          <w:rFonts w:hint="cs"/>
          <w:rtl/>
        </w:rPr>
        <w:t>؟</w:t>
      </w:r>
      <w:r w:rsidRPr="00282AC9">
        <w:rPr>
          <w:rtl/>
        </w:rPr>
        <w:t xml:space="preserve"> وأن</w:t>
      </w:r>
      <w:r w:rsidR="00491DAC" w:rsidRPr="00282AC9">
        <w:rPr>
          <w:rFonts w:hint="cs"/>
          <w:rtl/>
        </w:rPr>
        <w:t>ّ</w:t>
      </w:r>
      <w:r w:rsidRPr="00282AC9">
        <w:rPr>
          <w:rtl/>
        </w:rPr>
        <w:t xml:space="preserve"> جعل توزيعها بيد النبي</w:t>
      </w:r>
      <w:r w:rsidR="00491DAC" w:rsidRPr="00282AC9">
        <w:rPr>
          <w:rFonts w:hint="cs"/>
          <w:rtl/>
        </w:rPr>
        <w:t>ّ</w:t>
      </w:r>
      <w:r w:rsidRPr="00282AC9">
        <w:rPr>
          <w:rtl/>
        </w:rPr>
        <w:t xml:space="preserve"> هل كان بمعنى أنه هو مالكها والمتصر</w:t>
      </w:r>
      <w:r w:rsidR="00491DAC" w:rsidRPr="00282AC9">
        <w:rPr>
          <w:rFonts w:hint="cs"/>
          <w:rtl/>
        </w:rPr>
        <w:t>ِّ</w:t>
      </w:r>
      <w:r w:rsidRPr="00282AC9">
        <w:rPr>
          <w:rtl/>
        </w:rPr>
        <w:t>ف فيها أو بصفته الحاكم والقائد</w:t>
      </w:r>
      <w:r w:rsidR="00491DAC" w:rsidRPr="00282AC9">
        <w:rPr>
          <w:rFonts w:hint="cs"/>
          <w:rtl/>
        </w:rPr>
        <w:t>،</w:t>
      </w:r>
      <w:r w:rsidRPr="00282AC9">
        <w:rPr>
          <w:rtl/>
        </w:rPr>
        <w:t xml:space="preserve"> وبالتالي فهو شأن</w:t>
      </w:r>
      <w:r w:rsidR="00491DAC" w:rsidRPr="00282AC9">
        <w:rPr>
          <w:rFonts w:hint="cs"/>
          <w:rtl/>
        </w:rPr>
        <w:t>ٌ</w:t>
      </w:r>
      <w:r w:rsidRPr="00282AC9">
        <w:rPr>
          <w:rtl/>
        </w:rPr>
        <w:t xml:space="preserve"> تنظيمي</w:t>
      </w:r>
      <w:r w:rsidR="00491DAC" w:rsidRPr="00282AC9">
        <w:rPr>
          <w:rFonts w:hint="cs"/>
          <w:rtl/>
        </w:rPr>
        <w:t>ّ</w:t>
      </w:r>
      <w:r w:rsidRPr="00282AC9">
        <w:rPr>
          <w:rtl/>
        </w:rPr>
        <w:t xml:space="preserve"> تدبيري</w:t>
      </w:r>
      <w:r w:rsidR="00491DAC" w:rsidRPr="00282AC9">
        <w:rPr>
          <w:rFonts w:hint="cs"/>
          <w:rtl/>
        </w:rPr>
        <w:t>ّ،</w:t>
      </w:r>
      <w:r w:rsidRPr="00282AC9">
        <w:rPr>
          <w:rtl/>
        </w:rPr>
        <w:t xml:space="preserve"> يحول دون وقوع النزاع بين المقاتلين أو المستحقين لها</w:t>
      </w:r>
      <w:r w:rsidR="00491DAC" w:rsidRPr="00282AC9">
        <w:rPr>
          <w:rFonts w:hint="cs"/>
          <w:rtl/>
        </w:rPr>
        <w:t>؟</w:t>
      </w:r>
      <w:r w:rsidRPr="00282AC9">
        <w:rPr>
          <w:rtl/>
        </w:rPr>
        <w:t xml:space="preserve"> </w:t>
      </w:r>
    </w:p>
    <w:p w:rsidR="00946A76" w:rsidRPr="00282AC9" w:rsidRDefault="00946A76" w:rsidP="00186251">
      <w:pPr>
        <w:rPr>
          <w:rtl/>
        </w:rPr>
      </w:pPr>
      <w:r w:rsidRPr="00282AC9">
        <w:rPr>
          <w:rtl/>
        </w:rPr>
        <w:t>وحت</w:t>
      </w:r>
      <w:r w:rsidR="00491DAC" w:rsidRPr="00282AC9">
        <w:rPr>
          <w:rFonts w:hint="cs"/>
          <w:rtl/>
        </w:rPr>
        <w:t>ّ</w:t>
      </w:r>
      <w:r w:rsidRPr="00282AC9">
        <w:rPr>
          <w:rtl/>
        </w:rPr>
        <w:t>ى لو قيل</w:t>
      </w:r>
      <w:r w:rsidR="00491DAC" w:rsidRPr="00282AC9">
        <w:rPr>
          <w:rFonts w:hint="cs"/>
          <w:rtl/>
        </w:rPr>
        <w:t>:</w:t>
      </w:r>
      <w:r w:rsidRPr="00282AC9">
        <w:rPr>
          <w:rtl/>
        </w:rPr>
        <w:t xml:space="preserve"> إن ملكي</w:t>
      </w:r>
      <w:r w:rsidR="00491DAC" w:rsidRPr="00282AC9">
        <w:rPr>
          <w:rFonts w:hint="cs"/>
          <w:rtl/>
        </w:rPr>
        <w:t>ّ</w:t>
      </w:r>
      <w:r w:rsidRPr="00282AC9">
        <w:rPr>
          <w:rtl/>
        </w:rPr>
        <w:t>تها كانت للنبي</w:t>
      </w:r>
      <w:r w:rsidR="00491DAC" w:rsidRPr="00282AC9">
        <w:rPr>
          <w:rFonts w:hint="cs"/>
          <w:rtl/>
        </w:rPr>
        <w:t>ّ</w:t>
      </w:r>
      <w:r w:rsidR="009A2A04" w:rsidRPr="00282AC9">
        <w:rPr>
          <w:rFonts w:cs="Mosawi"/>
          <w:sz w:val="22"/>
          <w:szCs w:val="22"/>
          <w:rtl/>
        </w:rPr>
        <w:t>|</w:t>
      </w:r>
      <w:r w:rsidR="00491DAC" w:rsidRPr="00282AC9">
        <w:rPr>
          <w:rFonts w:hint="cs"/>
          <w:rtl/>
        </w:rPr>
        <w:t>،</w:t>
      </w:r>
      <w:r w:rsidRPr="00282AC9">
        <w:rPr>
          <w:rtl/>
        </w:rPr>
        <w:t xml:space="preserve"> و</w:t>
      </w:r>
      <w:r w:rsidR="00491DAC" w:rsidRPr="00282AC9">
        <w:rPr>
          <w:rFonts w:hint="cs"/>
          <w:rtl/>
        </w:rPr>
        <w:t>إ</w:t>
      </w:r>
      <w:r w:rsidRPr="00282AC9">
        <w:rPr>
          <w:rtl/>
        </w:rPr>
        <w:t>نه كان المتصر</w:t>
      </w:r>
      <w:r w:rsidR="00491DAC" w:rsidRPr="00282AC9">
        <w:rPr>
          <w:rFonts w:hint="cs"/>
          <w:rtl/>
        </w:rPr>
        <w:t>ِّ</w:t>
      </w:r>
      <w:r w:rsidRPr="00282AC9">
        <w:rPr>
          <w:rtl/>
        </w:rPr>
        <w:t>ف فيها ح</w:t>
      </w:r>
      <w:r w:rsidR="00491DAC" w:rsidRPr="00282AC9">
        <w:rPr>
          <w:rFonts w:hint="cs"/>
          <w:rtl/>
        </w:rPr>
        <w:t>َ</w:t>
      </w:r>
      <w:r w:rsidRPr="00282AC9">
        <w:rPr>
          <w:rtl/>
        </w:rPr>
        <w:t>س</w:t>
      </w:r>
      <w:r w:rsidR="00491DAC" w:rsidRPr="00282AC9">
        <w:rPr>
          <w:rFonts w:hint="cs"/>
          <w:rtl/>
        </w:rPr>
        <w:t>ْ</w:t>
      </w:r>
      <w:r w:rsidRPr="00282AC9">
        <w:rPr>
          <w:rtl/>
        </w:rPr>
        <w:t>ب</w:t>
      </w:r>
      <w:r w:rsidR="00491DAC" w:rsidRPr="00282AC9">
        <w:rPr>
          <w:rFonts w:hint="cs"/>
          <w:rtl/>
        </w:rPr>
        <w:t xml:space="preserve"> </w:t>
      </w:r>
      <w:r w:rsidRPr="00282AC9">
        <w:rPr>
          <w:rtl/>
        </w:rPr>
        <w:t>ما يراه من المصلحة، فإنه لا ينفي المشق</w:t>
      </w:r>
      <w:r w:rsidR="00491DAC" w:rsidRPr="00282AC9">
        <w:rPr>
          <w:rFonts w:hint="cs"/>
          <w:rtl/>
        </w:rPr>
        <w:t>ّ</w:t>
      </w:r>
      <w:r w:rsidRPr="00282AC9">
        <w:rPr>
          <w:rtl/>
        </w:rPr>
        <w:t xml:space="preserve">ة التي يعانيها المقاتلون والمشاركون في الحرب. </w:t>
      </w:r>
    </w:p>
    <w:p w:rsidR="00946A76" w:rsidRPr="00282AC9" w:rsidRDefault="00946A76" w:rsidP="00186251">
      <w:pPr>
        <w:rPr>
          <w:rtl/>
        </w:rPr>
      </w:pPr>
      <w:r w:rsidRPr="00282AC9">
        <w:rPr>
          <w:rtl/>
        </w:rPr>
        <w:t>والتأم</w:t>
      </w:r>
      <w:r w:rsidR="00491DAC" w:rsidRPr="00282AC9">
        <w:rPr>
          <w:rFonts w:hint="cs"/>
          <w:rtl/>
        </w:rPr>
        <w:t>ُّ</w:t>
      </w:r>
      <w:r w:rsidRPr="00282AC9">
        <w:rPr>
          <w:rtl/>
        </w:rPr>
        <w:t>ل في الاعتراضات التي وقع</w:t>
      </w:r>
      <w:r w:rsidR="00491DAC" w:rsidRPr="00282AC9">
        <w:rPr>
          <w:rFonts w:hint="cs"/>
          <w:rtl/>
        </w:rPr>
        <w:t>َ</w:t>
      </w:r>
      <w:r w:rsidRPr="00282AC9">
        <w:rPr>
          <w:rtl/>
        </w:rPr>
        <w:t>ت</w:t>
      </w:r>
      <w:r w:rsidR="00491DAC" w:rsidRPr="00282AC9">
        <w:rPr>
          <w:rFonts w:hint="cs"/>
          <w:rtl/>
        </w:rPr>
        <w:t>ْ</w:t>
      </w:r>
      <w:r w:rsidRPr="00282AC9">
        <w:rPr>
          <w:rtl/>
        </w:rPr>
        <w:t xml:space="preserve"> على أثر منح النبي</w:t>
      </w:r>
      <w:r w:rsidR="00491DAC" w:rsidRPr="00282AC9">
        <w:rPr>
          <w:rFonts w:hint="cs"/>
          <w:rtl/>
        </w:rPr>
        <w:t>ّ</w:t>
      </w:r>
      <w:r w:rsidR="009A2A04" w:rsidRPr="00282AC9">
        <w:rPr>
          <w:rFonts w:cs="Mosawi" w:hint="cs"/>
          <w:sz w:val="22"/>
          <w:szCs w:val="22"/>
          <w:rtl/>
        </w:rPr>
        <w:t>|</w:t>
      </w:r>
      <w:r w:rsidRPr="00282AC9">
        <w:rPr>
          <w:rtl/>
        </w:rPr>
        <w:t xml:space="preserve"> الغنائم للقرشي</w:t>
      </w:r>
      <w:r w:rsidR="00491DAC" w:rsidRPr="00282AC9">
        <w:rPr>
          <w:rFonts w:hint="cs"/>
          <w:rtl/>
        </w:rPr>
        <w:t>ّ</w:t>
      </w:r>
      <w:r w:rsidRPr="00282AC9">
        <w:rPr>
          <w:rtl/>
        </w:rPr>
        <w:t>ين والمؤل</w:t>
      </w:r>
      <w:r w:rsidR="00491DAC" w:rsidRPr="00282AC9">
        <w:rPr>
          <w:rFonts w:hint="cs"/>
          <w:rtl/>
        </w:rPr>
        <w:t>َّ</w:t>
      </w:r>
      <w:r w:rsidRPr="00282AC9">
        <w:rPr>
          <w:rtl/>
        </w:rPr>
        <w:t>فة قلوبهم والطلقاء</w:t>
      </w:r>
      <w:r w:rsidR="00491DAC" w:rsidRPr="00282AC9">
        <w:rPr>
          <w:rFonts w:hint="cs"/>
          <w:rtl/>
        </w:rPr>
        <w:t>،</w:t>
      </w:r>
      <w:r w:rsidRPr="00282AC9">
        <w:rPr>
          <w:rtl/>
        </w:rPr>
        <w:t xml:space="preserve"> دون الأنصار</w:t>
      </w:r>
      <w:r w:rsidR="00491DAC" w:rsidRPr="00282AC9">
        <w:rPr>
          <w:rFonts w:hint="cs"/>
          <w:rtl/>
        </w:rPr>
        <w:t>،</w:t>
      </w:r>
      <w:r w:rsidRPr="00282AC9">
        <w:rPr>
          <w:rtl/>
        </w:rPr>
        <w:t xml:space="preserve"> في </w:t>
      </w:r>
      <w:r w:rsidRPr="00282AC9">
        <w:rPr>
          <w:rFonts w:hint="eastAsia"/>
          <w:sz w:val="24"/>
          <w:szCs w:val="24"/>
          <w:rtl/>
        </w:rPr>
        <w:t>«</w:t>
      </w:r>
      <w:r w:rsidRPr="00282AC9">
        <w:rPr>
          <w:rtl/>
        </w:rPr>
        <w:t>حنين</w:t>
      </w:r>
      <w:r w:rsidR="00491DAC" w:rsidRPr="00282AC9">
        <w:rPr>
          <w:rFonts w:hint="eastAsia"/>
          <w:sz w:val="24"/>
          <w:szCs w:val="24"/>
          <w:rtl/>
        </w:rPr>
        <w:t>»</w:t>
      </w:r>
      <w:r w:rsidR="00491DAC" w:rsidRPr="00282AC9">
        <w:rPr>
          <w:rFonts w:hint="cs"/>
          <w:rtl/>
        </w:rPr>
        <w:t xml:space="preserve"> </w:t>
      </w:r>
      <w:r w:rsidRPr="00282AC9">
        <w:rPr>
          <w:rtl/>
        </w:rPr>
        <w:t>يدل</w:t>
      </w:r>
      <w:r w:rsidR="00491DAC" w:rsidRPr="00282AC9">
        <w:rPr>
          <w:rFonts w:hint="cs"/>
          <w:rtl/>
        </w:rPr>
        <w:t>ّ</w:t>
      </w:r>
      <w:r w:rsidRPr="00282AC9">
        <w:rPr>
          <w:rtl/>
        </w:rPr>
        <w:t xml:space="preserve"> على أن المركوز في أذهان المسلمين آنذاك كان أنها حق</w:t>
      </w:r>
      <w:r w:rsidR="00491DAC" w:rsidRPr="00282AC9">
        <w:rPr>
          <w:rFonts w:hint="cs"/>
          <w:rtl/>
        </w:rPr>
        <w:t>ٌّ</w:t>
      </w:r>
      <w:r w:rsidRPr="00282AC9">
        <w:rPr>
          <w:rtl/>
        </w:rPr>
        <w:t xml:space="preserve"> للمقاتلين والمشاركين في المعركة. كما </w:t>
      </w:r>
      <w:r w:rsidR="00491DAC" w:rsidRPr="00282AC9">
        <w:rPr>
          <w:rFonts w:hint="cs"/>
          <w:rtl/>
        </w:rPr>
        <w:t>أ</w:t>
      </w:r>
      <w:r w:rsidRPr="00282AC9">
        <w:rPr>
          <w:rtl/>
        </w:rPr>
        <w:t xml:space="preserve">ن الموقف </w:t>
      </w:r>
      <w:r w:rsidRPr="00282AC9">
        <w:rPr>
          <w:rtl/>
        </w:rPr>
        <w:lastRenderedPageBreak/>
        <w:t>الفقهي انبنى على ذلك</w:t>
      </w:r>
      <w:r w:rsidRPr="00282AC9">
        <w:rPr>
          <w:rFonts w:hint="cs"/>
          <w:vertAlign w:val="superscript"/>
          <w:rtl/>
        </w:rPr>
        <w:t>(</w:t>
      </w:r>
      <w:r w:rsidRPr="00282AC9">
        <w:rPr>
          <w:rStyle w:val="af9"/>
          <w:sz w:val="27"/>
          <w:rtl/>
        </w:rPr>
        <w:endnoteReference w:id="437"/>
      </w:r>
      <w:r w:rsidRPr="00282AC9">
        <w:rPr>
          <w:rFonts w:hint="cs"/>
          <w:vertAlign w:val="superscript"/>
          <w:rtl/>
        </w:rPr>
        <w:t>)</w:t>
      </w:r>
      <w:r w:rsidR="00491DAC" w:rsidRPr="00282AC9">
        <w:rPr>
          <w:rFonts w:hint="cs"/>
          <w:rtl/>
        </w:rPr>
        <w:t>.</w:t>
      </w:r>
      <w:r w:rsidRPr="00282AC9">
        <w:rPr>
          <w:rFonts w:hint="cs"/>
          <w:rtl/>
        </w:rPr>
        <w:t xml:space="preserve"> </w:t>
      </w:r>
      <w:r w:rsidRPr="00282AC9">
        <w:rPr>
          <w:rtl/>
        </w:rPr>
        <w:t>ثم إن مستحق</w:t>
      </w:r>
      <w:r w:rsidR="00491DAC" w:rsidRPr="00282AC9">
        <w:rPr>
          <w:rFonts w:hint="cs"/>
          <w:rtl/>
        </w:rPr>
        <w:t>ّ</w:t>
      </w:r>
      <w:r w:rsidRPr="00282AC9">
        <w:rPr>
          <w:rtl/>
        </w:rPr>
        <w:t xml:space="preserve"> الغنيمة ـ ح</w:t>
      </w:r>
      <w:r w:rsidR="00491DAC" w:rsidRPr="00282AC9">
        <w:rPr>
          <w:rFonts w:hint="cs"/>
          <w:rtl/>
        </w:rPr>
        <w:t>َ</w:t>
      </w:r>
      <w:r w:rsidRPr="00282AC9">
        <w:rPr>
          <w:rtl/>
        </w:rPr>
        <w:t>س</w:t>
      </w:r>
      <w:r w:rsidR="00491DAC" w:rsidRPr="00282AC9">
        <w:rPr>
          <w:rFonts w:hint="cs"/>
          <w:rtl/>
        </w:rPr>
        <w:t>ْ</w:t>
      </w:r>
      <w:r w:rsidRPr="00282AC9">
        <w:rPr>
          <w:rtl/>
        </w:rPr>
        <w:t>ب هذا المنظور ـ وإن</w:t>
      </w:r>
      <w:r w:rsidR="00491DAC" w:rsidRPr="00282AC9">
        <w:rPr>
          <w:rFonts w:hint="cs"/>
          <w:rtl/>
        </w:rPr>
        <w:t>ْ</w:t>
      </w:r>
      <w:r w:rsidRPr="00282AC9">
        <w:rPr>
          <w:rtl/>
        </w:rPr>
        <w:t xml:space="preserve"> كان لا يمتلكها إلا</w:t>
      </w:r>
      <w:r w:rsidR="00491DAC" w:rsidRPr="00282AC9">
        <w:rPr>
          <w:rFonts w:hint="cs"/>
          <w:rtl/>
        </w:rPr>
        <w:t>ّ</w:t>
      </w:r>
      <w:r w:rsidRPr="00282AC9">
        <w:rPr>
          <w:rtl/>
        </w:rPr>
        <w:t xml:space="preserve"> بعد القسمة، إلا</w:t>
      </w:r>
      <w:r w:rsidR="00491DAC" w:rsidRPr="00282AC9">
        <w:rPr>
          <w:rFonts w:hint="cs"/>
          <w:rtl/>
        </w:rPr>
        <w:t>ّ</w:t>
      </w:r>
      <w:r w:rsidRPr="00282AC9">
        <w:rPr>
          <w:rtl/>
        </w:rPr>
        <w:t xml:space="preserve"> أن مفاد الآية ـ كما بي</w:t>
      </w:r>
      <w:r w:rsidR="00491DAC" w:rsidRPr="00282AC9">
        <w:rPr>
          <w:rFonts w:hint="cs"/>
          <w:rtl/>
        </w:rPr>
        <w:t>َّ</w:t>
      </w:r>
      <w:r w:rsidRPr="00282AC9">
        <w:rPr>
          <w:rtl/>
        </w:rPr>
        <w:t>ن الزمخشري ـ هو اعلموا أن الخمس من الغنيمة يجب التقر</w:t>
      </w:r>
      <w:r w:rsidR="00491DAC" w:rsidRPr="00282AC9">
        <w:rPr>
          <w:rFonts w:hint="cs"/>
          <w:rtl/>
        </w:rPr>
        <w:t>ُّ</w:t>
      </w:r>
      <w:r w:rsidRPr="00282AC9">
        <w:rPr>
          <w:rtl/>
        </w:rPr>
        <w:t>ب به، فاقطعوا عنه أطماعكم</w:t>
      </w:r>
      <w:r w:rsidR="00491DAC" w:rsidRPr="00282AC9">
        <w:rPr>
          <w:rFonts w:hint="cs"/>
          <w:rtl/>
        </w:rPr>
        <w:t>،</w:t>
      </w:r>
      <w:r w:rsidRPr="00282AC9">
        <w:rPr>
          <w:rtl/>
        </w:rPr>
        <w:t xml:space="preserve"> واقتنعوا بالأخماس الأربعة</w:t>
      </w:r>
      <w:r w:rsidR="00491DAC" w:rsidRPr="00282AC9">
        <w:rPr>
          <w:rFonts w:hint="cs"/>
          <w:rtl/>
        </w:rPr>
        <w:t>،</w:t>
      </w:r>
      <w:r w:rsidRPr="00282AC9">
        <w:rPr>
          <w:rtl/>
        </w:rPr>
        <w:t xml:space="preserve"> إن</w:t>
      </w:r>
      <w:r w:rsidR="00491DAC" w:rsidRPr="00282AC9">
        <w:rPr>
          <w:rFonts w:hint="cs"/>
          <w:rtl/>
        </w:rPr>
        <w:t>ْ</w:t>
      </w:r>
      <w:r w:rsidRPr="00282AC9">
        <w:rPr>
          <w:rtl/>
        </w:rPr>
        <w:t xml:space="preserve"> كنت</w:t>
      </w:r>
      <w:r w:rsidR="00491DAC" w:rsidRPr="00282AC9">
        <w:rPr>
          <w:rFonts w:hint="cs"/>
          <w:rtl/>
        </w:rPr>
        <w:t>ُ</w:t>
      </w:r>
      <w:r w:rsidRPr="00282AC9">
        <w:rPr>
          <w:rtl/>
        </w:rPr>
        <w:t>م</w:t>
      </w:r>
      <w:r w:rsidR="00491DAC" w:rsidRPr="00282AC9">
        <w:rPr>
          <w:rFonts w:hint="cs"/>
          <w:rtl/>
        </w:rPr>
        <w:t>ْ</w:t>
      </w:r>
      <w:r w:rsidRPr="00282AC9">
        <w:rPr>
          <w:rtl/>
        </w:rPr>
        <w:t xml:space="preserve"> آمنتم بالله. وكأن</w:t>
      </w:r>
      <w:r w:rsidR="00491DAC" w:rsidRPr="00282AC9">
        <w:rPr>
          <w:rFonts w:hint="cs"/>
          <w:rtl/>
        </w:rPr>
        <w:t>ّ</w:t>
      </w:r>
      <w:r w:rsidRPr="00282AC9">
        <w:rPr>
          <w:rtl/>
        </w:rPr>
        <w:t>ها بمثابة رد</w:t>
      </w:r>
      <w:r w:rsidR="003B76C7" w:rsidRPr="00282AC9">
        <w:rPr>
          <w:rFonts w:hint="cs"/>
          <w:rtl/>
        </w:rPr>
        <w:t>ٍّ</w:t>
      </w:r>
      <w:r w:rsidRPr="00282AC9">
        <w:rPr>
          <w:rtl/>
        </w:rPr>
        <w:t xml:space="preserve"> على المعترضين</w:t>
      </w:r>
      <w:r w:rsidR="003B76C7" w:rsidRPr="00282AC9">
        <w:rPr>
          <w:rFonts w:hint="cs"/>
          <w:rtl/>
        </w:rPr>
        <w:t>،</w:t>
      </w:r>
      <w:r w:rsidRPr="00282AC9">
        <w:rPr>
          <w:rtl/>
        </w:rPr>
        <w:t xml:space="preserve"> أو</w:t>
      </w:r>
      <w:r w:rsidR="003B76C7" w:rsidRPr="00282AC9">
        <w:rPr>
          <w:rFonts w:hint="cs"/>
          <w:rtl/>
        </w:rPr>
        <w:t xml:space="preserve"> </w:t>
      </w:r>
      <w:r w:rsidRPr="00282AC9">
        <w:rPr>
          <w:rtl/>
        </w:rPr>
        <w:t>على م</w:t>
      </w:r>
      <w:r w:rsidR="003B76C7" w:rsidRPr="00282AC9">
        <w:rPr>
          <w:rFonts w:hint="cs"/>
          <w:rtl/>
        </w:rPr>
        <w:t>َ</w:t>
      </w:r>
      <w:r w:rsidRPr="00282AC9">
        <w:rPr>
          <w:rtl/>
        </w:rPr>
        <w:t>ن</w:t>
      </w:r>
      <w:r w:rsidR="003B76C7" w:rsidRPr="00282AC9">
        <w:rPr>
          <w:rFonts w:hint="cs"/>
          <w:rtl/>
        </w:rPr>
        <w:t>ْ</w:t>
      </w:r>
      <w:r w:rsidRPr="00282AC9">
        <w:rPr>
          <w:rtl/>
        </w:rPr>
        <w:t xml:space="preserve"> يختلج في صدره بأن شيئا</w:t>
      </w:r>
      <w:r w:rsidR="003B76C7" w:rsidRPr="00282AC9">
        <w:rPr>
          <w:rFonts w:hint="cs"/>
          <w:rtl/>
        </w:rPr>
        <w:t>ً</w:t>
      </w:r>
      <w:r w:rsidRPr="00282AC9">
        <w:rPr>
          <w:rtl/>
        </w:rPr>
        <w:t xml:space="preserve"> من حقوقه م</w:t>
      </w:r>
      <w:r w:rsidR="003B76C7" w:rsidRPr="00282AC9">
        <w:rPr>
          <w:rFonts w:hint="cs"/>
          <w:rtl/>
        </w:rPr>
        <w:t>ُ</w:t>
      </w:r>
      <w:r w:rsidRPr="00282AC9">
        <w:rPr>
          <w:rtl/>
        </w:rPr>
        <w:t>ن</w:t>
      </w:r>
      <w:r w:rsidR="003B76C7" w:rsidRPr="00282AC9">
        <w:rPr>
          <w:rFonts w:hint="cs"/>
          <w:rtl/>
        </w:rPr>
        <w:t>ِ</w:t>
      </w:r>
      <w:r w:rsidRPr="00282AC9">
        <w:rPr>
          <w:rtl/>
        </w:rPr>
        <w:t>ح</w:t>
      </w:r>
      <w:r w:rsidR="003B76C7" w:rsidRPr="00282AC9">
        <w:rPr>
          <w:rFonts w:hint="cs"/>
          <w:rtl/>
        </w:rPr>
        <w:t>َ</w:t>
      </w:r>
      <w:r w:rsidRPr="00282AC9">
        <w:rPr>
          <w:rtl/>
        </w:rPr>
        <w:t>ت</w:t>
      </w:r>
      <w:r w:rsidR="003B76C7" w:rsidRPr="00282AC9">
        <w:rPr>
          <w:rFonts w:hint="cs"/>
          <w:rtl/>
        </w:rPr>
        <w:t>ْ</w:t>
      </w:r>
      <w:r w:rsidRPr="00282AC9">
        <w:rPr>
          <w:rtl/>
        </w:rPr>
        <w:t xml:space="preserve"> لغير المستحق</w:t>
      </w:r>
      <w:r w:rsidR="003B76C7" w:rsidRPr="00282AC9">
        <w:rPr>
          <w:rFonts w:hint="cs"/>
          <w:rtl/>
        </w:rPr>
        <w:t>ّ</w:t>
      </w:r>
      <w:r w:rsidRPr="00282AC9">
        <w:rPr>
          <w:rtl/>
        </w:rPr>
        <w:t>. ولا يؤث</w:t>
      </w:r>
      <w:r w:rsidR="003B76C7" w:rsidRPr="00282AC9">
        <w:rPr>
          <w:rFonts w:hint="cs"/>
          <w:rtl/>
        </w:rPr>
        <w:t>ِّ</w:t>
      </w:r>
      <w:r w:rsidRPr="00282AC9">
        <w:rPr>
          <w:rtl/>
        </w:rPr>
        <w:t>ر ذلك في الحكم التشريعي الذي أك</w:t>
      </w:r>
      <w:r w:rsidR="003B76C7" w:rsidRPr="00282AC9">
        <w:rPr>
          <w:rFonts w:hint="cs"/>
          <w:rtl/>
        </w:rPr>
        <w:t>َّ</w:t>
      </w:r>
      <w:r w:rsidRPr="00282AC9">
        <w:rPr>
          <w:rtl/>
        </w:rPr>
        <w:t>د عليه القرآن، كما ظن</w:t>
      </w:r>
      <w:r w:rsidR="003B76C7" w:rsidRPr="00282AC9">
        <w:rPr>
          <w:rFonts w:hint="cs"/>
          <w:rtl/>
        </w:rPr>
        <w:t>ّ</w:t>
      </w:r>
      <w:r w:rsidRPr="00282AC9">
        <w:rPr>
          <w:rtl/>
        </w:rPr>
        <w:t xml:space="preserve"> بعض الكت</w:t>
      </w:r>
      <w:r w:rsidR="003B76C7" w:rsidRPr="00282AC9">
        <w:rPr>
          <w:rFonts w:hint="cs"/>
          <w:rtl/>
        </w:rPr>
        <w:t>ّ</w:t>
      </w:r>
      <w:r w:rsidRPr="00282AC9">
        <w:rPr>
          <w:rtl/>
        </w:rPr>
        <w:t>اب</w:t>
      </w:r>
      <w:r w:rsidRPr="00282AC9">
        <w:rPr>
          <w:rFonts w:hint="cs"/>
          <w:vertAlign w:val="superscript"/>
          <w:rtl/>
        </w:rPr>
        <w:t>(</w:t>
      </w:r>
      <w:r w:rsidRPr="00282AC9">
        <w:rPr>
          <w:rStyle w:val="af9"/>
          <w:sz w:val="27"/>
          <w:rtl/>
        </w:rPr>
        <w:endnoteReference w:id="438"/>
      </w:r>
      <w:r w:rsidRPr="00282AC9">
        <w:rPr>
          <w:rFonts w:hint="cs"/>
          <w:vertAlign w:val="superscript"/>
          <w:rtl/>
        </w:rPr>
        <w:t>)</w:t>
      </w:r>
      <w:r w:rsidR="003B76C7" w:rsidRPr="00282AC9">
        <w:rPr>
          <w:rFonts w:hint="cs"/>
          <w:rtl/>
        </w:rPr>
        <w:t>.</w:t>
      </w:r>
    </w:p>
    <w:p w:rsidR="0088149A" w:rsidRPr="00282AC9" w:rsidRDefault="0088149A" w:rsidP="0088149A">
      <w:pPr>
        <w:rPr>
          <w:rtl/>
        </w:rPr>
      </w:pPr>
    </w:p>
    <w:p w:rsidR="00946A76" w:rsidRPr="00282AC9" w:rsidRDefault="00946A76" w:rsidP="00B70E1F">
      <w:pPr>
        <w:pStyle w:val="31"/>
        <w:rPr>
          <w:color w:val="auto"/>
          <w:rtl/>
        </w:rPr>
      </w:pPr>
      <w:r w:rsidRPr="00282AC9">
        <w:rPr>
          <w:color w:val="auto"/>
          <w:rtl/>
        </w:rPr>
        <w:t>الغنيمة ما ي</w:t>
      </w:r>
      <w:r w:rsidR="003B76C7" w:rsidRPr="00282AC9">
        <w:rPr>
          <w:rFonts w:hint="cs"/>
          <w:color w:val="auto"/>
          <w:rtl/>
        </w:rPr>
        <w:t>ُ</w:t>
      </w:r>
      <w:r w:rsidRPr="00282AC9">
        <w:rPr>
          <w:color w:val="auto"/>
          <w:rtl/>
        </w:rPr>
        <w:t>نال بس</w:t>
      </w:r>
      <w:r w:rsidR="003B76C7" w:rsidRPr="00282AC9">
        <w:rPr>
          <w:rFonts w:hint="cs"/>
          <w:color w:val="auto"/>
          <w:rtl/>
        </w:rPr>
        <w:t>َ</w:t>
      </w:r>
      <w:r w:rsidRPr="00282AC9">
        <w:rPr>
          <w:color w:val="auto"/>
          <w:rtl/>
        </w:rPr>
        <w:t>ع</w:t>
      </w:r>
      <w:r w:rsidR="003B76C7" w:rsidRPr="00282AC9">
        <w:rPr>
          <w:rFonts w:hint="cs"/>
          <w:color w:val="auto"/>
          <w:rtl/>
        </w:rPr>
        <w:t>ْ</w:t>
      </w:r>
      <w:r w:rsidRPr="00282AC9">
        <w:rPr>
          <w:color w:val="auto"/>
          <w:rtl/>
        </w:rPr>
        <w:t>ي</w:t>
      </w:r>
      <w:r w:rsidR="003B76C7" w:rsidRPr="00282AC9">
        <w:rPr>
          <w:rFonts w:hint="cs"/>
          <w:color w:val="auto"/>
          <w:rtl/>
        </w:rPr>
        <w:t>ٍ</w:t>
      </w:r>
    </w:p>
    <w:p w:rsidR="00946A76" w:rsidRPr="00282AC9" w:rsidRDefault="00946A76" w:rsidP="00186251">
      <w:pPr>
        <w:rPr>
          <w:bCs/>
          <w:rtl/>
        </w:rPr>
      </w:pPr>
      <w:r w:rsidRPr="00282AC9">
        <w:rPr>
          <w:rFonts w:hint="cs"/>
          <w:rtl/>
        </w:rPr>
        <w:t>يبدو أن</w:t>
      </w:r>
      <w:r w:rsidRPr="00282AC9">
        <w:rPr>
          <w:rtl/>
        </w:rPr>
        <w:t xml:space="preserve"> بعض المفس</w:t>
      </w:r>
      <w:r w:rsidR="003B76C7" w:rsidRPr="00282AC9">
        <w:rPr>
          <w:rFonts w:hint="cs"/>
          <w:rtl/>
        </w:rPr>
        <w:t>ِّ</w:t>
      </w:r>
      <w:r w:rsidRPr="00282AC9">
        <w:rPr>
          <w:rtl/>
        </w:rPr>
        <w:t>رين المتأخ</w:t>
      </w:r>
      <w:r w:rsidR="003B76C7" w:rsidRPr="00282AC9">
        <w:rPr>
          <w:rFonts w:hint="cs"/>
          <w:rtl/>
        </w:rPr>
        <w:t>ِّ</w:t>
      </w:r>
      <w:r w:rsidRPr="00282AC9">
        <w:rPr>
          <w:rtl/>
        </w:rPr>
        <w:t xml:space="preserve">رين </w:t>
      </w:r>
      <w:r w:rsidRPr="00282AC9">
        <w:rPr>
          <w:rFonts w:hint="cs"/>
          <w:rtl/>
        </w:rPr>
        <w:t>التفتوا إلى إشكالية الق</w:t>
      </w:r>
      <w:r w:rsidR="003B76C7" w:rsidRPr="00282AC9">
        <w:rPr>
          <w:rFonts w:hint="cs"/>
          <w:rtl/>
        </w:rPr>
        <w:t>َ</w:t>
      </w:r>
      <w:r w:rsidRPr="00282AC9">
        <w:rPr>
          <w:rFonts w:hint="cs"/>
          <w:rtl/>
        </w:rPr>
        <w:t>ي</w:t>
      </w:r>
      <w:r w:rsidR="003B76C7" w:rsidRPr="00282AC9">
        <w:rPr>
          <w:rFonts w:hint="cs"/>
          <w:rtl/>
        </w:rPr>
        <w:t>ْ</w:t>
      </w:r>
      <w:r w:rsidRPr="00282AC9">
        <w:rPr>
          <w:rFonts w:hint="cs"/>
          <w:rtl/>
        </w:rPr>
        <w:t>د المذكور (بدون مشق</w:t>
      </w:r>
      <w:r w:rsidR="003B76C7" w:rsidRPr="00282AC9">
        <w:rPr>
          <w:rFonts w:hint="cs"/>
          <w:rtl/>
        </w:rPr>
        <w:t>ّ</w:t>
      </w:r>
      <w:r w:rsidRPr="00282AC9">
        <w:rPr>
          <w:rFonts w:hint="cs"/>
          <w:rtl/>
        </w:rPr>
        <w:t>ة</w:t>
      </w:r>
      <w:r w:rsidR="003B76C7" w:rsidRPr="00282AC9">
        <w:rPr>
          <w:rFonts w:hint="cs"/>
          <w:rtl/>
        </w:rPr>
        <w:t>ٍ</w:t>
      </w:r>
      <w:r w:rsidRPr="00282AC9">
        <w:rPr>
          <w:rFonts w:hint="cs"/>
          <w:rtl/>
        </w:rPr>
        <w:t>)</w:t>
      </w:r>
      <w:r w:rsidR="003B76C7" w:rsidRPr="00282AC9">
        <w:rPr>
          <w:rFonts w:hint="cs"/>
          <w:rtl/>
        </w:rPr>
        <w:t>،</w:t>
      </w:r>
      <w:r w:rsidRPr="00282AC9">
        <w:rPr>
          <w:rFonts w:hint="cs"/>
          <w:rtl/>
        </w:rPr>
        <w:t xml:space="preserve"> وعدم انطباقه على الواقع، فقد</w:t>
      </w:r>
      <w:r w:rsidR="003B76C7" w:rsidRPr="00282AC9">
        <w:rPr>
          <w:rFonts w:hint="cs"/>
          <w:rtl/>
        </w:rPr>
        <w:t>َّ</w:t>
      </w:r>
      <w:r w:rsidRPr="00282AC9">
        <w:rPr>
          <w:rFonts w:hint="cs"/>
          <w:rtl/>
        </w:rPr>
        <w:t>موا تعريفا</w:t>
      </w:r>
      <w:r w:rsidR="003B76C7" w:rsidRPr="00282AC9">
        <w:rPr>
          <w:rFonts w:hint="cs"/>
          <w:rtl/>
        </w:rPr>
        <w:t>ً</w:t>
      </w:r>
      <w:r w:rsidRPr="00282AC9">
        <w:rPr>
          <w:rFonts w:hint="cs"/>
          <w:rtl/>
        </w:rPr>
        <w:t xml:space="preserve"> مغايرا</w:t>
      </w:r>
      <w:r w:rsidR="003B76C7" w:rsidRPr="00282AC9">
        <w:rPr>
          <w:rFonts w:hint="cs"/>
          <w:rtl/>
        </w:rPr>
        <w:t>ً</w:t>
      </w:r>
      <w:r w:rsidRPr="00282AC9">
        <w:rPr>
          <w:rFonts w:hint="cs"/>
          <w:rtl/>
        </w:rPr>
        <w:t xml:space="preserve"> ومقابلا</w:t>
      </w:r>
      <w:r w:rsidR="003B76C7" w:rsidRPr="00282AC9">
        <w:rPr>
          <w:rFonts w:hint="cs"/>
          <w:rtl/>
        </w:rPr>
        <w:t>ً</w:t>
      </w:r>
      <w:r w:rsidRPr="00282AC9">
        <w:rPr>
          <w:rFonts w:hint="cs"/>
          <w:rtl/>
        </w:rPr>
        <w:t xml:space="preserve"> للفظ الغنيمة</w:t>
      </w:r>
      <w:r w:rsidR="003B76C7" w:rsidRPr="00282AC9">
        <w:rPr>
          <w:rFonts w:hint="cs"/>
          <w:rtl/>
        </w:rPr>
        <w:t>.</w:t>
      </w:r>
      <w:r w:rsidRPr="00282AC9">
        <w:rPr>
          <w:rFonts w:hint="cs"/>
          <w:rtl/>
        </w:rPr>
        <w:t xml:space="preserve"> و</w:t>
      </w:r>
      <w:r w:rsidRPr="00282AC9">
        <w:rPr>
          <w:rtl/>
        </w:rPr>
        <w:t>قر</w:t>
      </w:r>
      <w:r w:rsidR="003B76C7" w:rsidRPr="00282AC9">
        <w:rPr>
          <w:rFonts w:hint="cs"/>
          <w:rtl/>
        </w:rPr>
        <w:t>َّ</w:t>
      </w:r>
      <w:r w:rsidRPr="00282AC9">
        <w:rPr>
          <w:rtl/>
        </w:rPr>
        <w:t xml:space="preserve">روا </w:t>
      </w:r>
      <w:r w:rsidRPr="00282AC9">
        <w:rPr>
          <w:rFonts w:hint="cs"/>
          <w:rtl/>
        </w:rPr>
        <w:t>أن</w:t>
      </w:r>
      <w:r w:rsidR="003B76C7" w:rsidRPr="00282AC9">
        <w:rPr>
          <w:rFonts w:hint="cs"/>
          <w:rtl/>
        </w:rPr>
        <w:t>ه</w:t>
      </w:r>
      <w:r w:rsidRPr="00282AC9">
        <w:rPr>
          <w:rtl/>
        </w:rPr>
        <w:t xml:space="preserve"> ما يناله الرجل أو الجماعة بس</w:t>
      </w:r>
      <w:r w:rsidR="003B76C7" w:rsidRPr="00282AC9">
        <w:rPr>
          <w:rFonts w:hint="cs"/>
          <w:rtl/>
        </w:rPr>
        <w:t>َ</w:t>
      </w:r>
      <w:r w:rsidRPr="00282AC9">
        <w:rPr>
          <w:rtl/>
        </w:rPr>
        <w:t>ع</w:t>
      </w:r>
      <w:r w:rsidR="003B76C7" w:rsidRPr="00282AC9">
        <w:rPr>
          <w:rFonts w:hint="cs"/>
          <w:rtl/>
        </w:rPr>
        <w:t>ْ</w:t>
      </w:r>
      <w:r w:rsidRPr="00282AC9">
        <w:rPr>
          <w:rtl/>
        </w:rPr>
        <w:t>ي</w:t>
      </w:r>
      <w:r w:rsidR="003B76C7" w:rsidRPr="00282AC9">
        <w:rPr>
          <w:rFonts w:hint="cs"/>
          <w:rtl/>
        </w:rPr>
        <w:t>ٍ.</w:t>
      </w:r>
      <w:r w:rsidRPr="00282AC9">
        <w:rPr>
          <w:rFonts w:hint="cs"/>
          <w:rtl/>
        </w:rPr>
        <w:t xml:space="preserve"> و</w:t>
      </w:r>
      <w:r w:rsidRPr="00282AC9">
        <w:rPr>
          <w:rtl/>
        </w:rPr>
        <w:t>دعموا كلامهم بأمثلة</w:t>
      </w:r>
      <w:r w:rsidR="003B76C7" w:rsidRPr="00282AC9">
        <w:rPr>
          <w:rFonts w:hint="cs"/>
          <w:rtl/>
        </w:rPr>
        <w:t>ٍ</w:t>
      </w:r>
      <w:r w:rsidRPr="00282AC9">
        <w:rPr>
          <w:rtl/>
        </w:rPr>
        <w:t xml:space="preserve"> من الشعر</w:t>
      </w:r>
      <w:r w:rsidR="006A624F" w:rsidRPr="00282AC9">
        <w:rPr>
          <w:rFonts w:hint="cs"/>
          <w:rtl/>
        </w:rPr>
        <w:t xml:space="preserve"> </w:t>
      </w:r>
      <w:r w:rsidRPr="00282AC9">
        <w:rPr>
          <w:rtl/>
        </w:rPr>
        <w:t>العربي. و</w:t>
      </w:r>
      <w:r w:rsidRPr="00282AC9">
        <w:rPr>
          <w:rFonts w:hint="cs"/>
          <w:rtl/>
        </w:rPr>
        <w:t>من هؤلاء</w:t>
      </w:r>
      <w:r w:rsidR="003B76C7" w:rsidRPr="00282AC9">
        <w:rPr>
          <w:rFonts w:hint="cs"/>
          <w:rtl/>
        </w:rPr>
        <w:t>:</w:t>
      </w:r>
      <w:r w:rsidRPr="00282AC9">
        <w:rPr>
          <w:rFonts w:hint="cs"/>
          <w:rtl/>
        </w:rPr>
        <w:t xml:space="preserve"> </w:t>
      </w:r>
      <w:r w:rsidRPr="00282AC9">
        <w:rPr>
          <w:rtl/>
        </w:rPr>
        <w:t>القرطبي(671</w:t>
      </w:r>
      <w:r w:rsidRPr="00282AC9">
        <w:rPr>
          <w:rFonts w:hint="cs"/>
          <w:rtl/>
        </w:rPr>
        <w:t>هـ</w:t>
      </w:r>
      <w:r w:rsidRPr="00282AC9">
        <w:rPr>
          <w:rtl/>
        </w:rPr>
        <w:t>)</w:t>
      </w:r>
      <w:r w:rsidR="003B76C7" w:rsidRPr="00282AC9">
        <w:rPr>
          <w:rFonts w:hint="cs"/>
          <w:rtl/>
        </w:rPr>
        <w:t>؛</w:t>
      </w:r>
      <w:r w:rsidRPr="00282AC9">
        <w:rPr>
          <w:rtl/>
        </w:rPr>
        <w:t xml:space="preserve"> وأب</w:t>
      </w:r>
      <w:r w:rsidR="006A624F" w:rsidRPr="00282AC9">
        <w:rPr>
          <w:rFonts w:hint="cs"/>
          <w:rtl/>
        </w:rPr>
        <w:t>و</w:t>
      </w:r>
      <w:r w:rsidRPr="00282AC9">
        <w:rPr>
          <w:rtl/>
        </w:rPr>
        <w:t xml:space="preserve"> حي</w:t>
      </w:r>
      <w:r w:rsidR="003B76C7" w:rsidRPr="00282AC9">
        <w:rPr>
          <w:rFonts w:hint="cs"/>
          <w:rtl/>
        </w:rPr>
        <w:t>ّ</w:t>
      </w:r>
      <w:r w:rsidRPr="00282AC9">
        <w:rPr>
          <w:rtl/>
        </w:rPr>
        <w:t>ان(745</w:t>
      </w:r>
      <w:r w:rsidRPr="00282AC9">
        <w:rPr>
          <w:rFonts w:hint="cs"/>
          <w:rtl/>
        </w:rPr>
        <w:t>هـ</w:t>
      </w:r>
      <w:r w:rsidRPr="00282AC9">
        <w:rPr>
          <w:rtl/>
        </w:rPr>
        <w:t>)</w:t>
      </w:r>
      <w:r w:rsidR="003B76C7" w:rsidRPr="00282AC9">
        <w:rPr>
          <w:rFonts w:hint="cs"/>
          <w:rtl/>
        </w:rPr>
        <w:t>؛</w:t>
      </w:r>
      <w:r w:rsidRPr="00282AC9">
        <w:rPr>
          <w:rtl/>
        </w:rPr>
        <w:t xml:space="preserve"> والشوكاني(1250</w:t>
      </w:r>
      <w:r w:rsidRPr="00282AC9">
        <w:rPr>
          <w:rFonts w:hint="cs"/>
          <w:rtl/>
        </w:rPr>
        <w:t>هـ</w:t>
      </w:r>
      <w:r w:rsidRPr="00282AC9">
        <w:rPr>
          <w:rtl/>
        </w:rPr>
        <w:t>)</w:t>
      </w:r>
      <w:r w:rsidR="003B76C7" w:rsidRPr="00282AC9">
        <w:rPr>
          <w:rFonts w:hint="cs"/>
          <w:rtl/>
        </w:rPr>
        <w:t>؛</w:t>
      </w:r>
      <w:r w:rsidRPr="00282AC9">
        <w:rPr>
          <w:rtl/>
        </w:rPr>
        <w:t xml:space="preserve"> و</w:t>
      </w:r>
      <w:r w:rsidR="003B76C7" w:rsidRPr="00282AC9">
        <w:rPr>
          <w:rFonts w:hint="cs"/>
          <w:rtl/>
        </w:rPr>
        <w:t>أ</w:t>
      </w:r>
      <w:r w:rsidRPr="00282AC9">
        <w:rPr>
          <w:rtl/>
        </w:rPr>
        <w:t>طفيش(1332</w:t>
      </w:r>
      <w:r w:rsidRPr="00282AC9">
        <w:rPr>
          <w:rFonts w:hint="cs"/>
          <w:rtl/>
        </w:rPr>
        <w:t>هـ</w:t>
      </w:r>
      <w:r w:rsidRPr="00282AC9">
        <w:rPr>
          <w:rtl/>
        </w:rPr>
        <w:t>)</w:t>
      </w:r>
      <w:r w:rsidRPr="00282AC9">
        <w:rPr>
          <w:rFonts w:hint="cs"/>
          <w:vertAlign w:val="superscript"/>
          <w:rtl/>
        </w:rPr>
        <w:t>(</w:t>
      </w:r>
      <w:r w:rsidRPr="00282AC9">
        <w:rPr>
          <w:rStyle w:val="af9"/>
          <w:b/>
          <w:sz w:val="27"/>
          <w:rtl/>
        </w:rPr>
        <w:endnoteReference w:id="439"/>
      </w:r>
      <w:r w:rsidRPr="00282AC9">
        <w:rPr>
          <w:rFonts w:hint="cs"/>
          <w:vertAlign w:val="superscript"/>
          <w:rtl/>
        </w:rPr>
        <w:t>)</w:t>
      </w:r>
      <w:r w:rsidR="003B76C7" w:rsidRPr="00282AC9">
        <w:rPr>
          <w:rFonts w:hint="cs"/>
          <w:b/>
          <w:rtl/>
        </w:rPr>
        <w:t>.</w:t>
      </w:r>
    </w:p>
    <w:p w:rsidR="00946A76" w:rsidRPr="00282AC9" w:rsidRDefault="00946A76" w:rsidP="00186251">
      <w:pPr>
        <w:rPr>
          <w:bCs/>
          <w:rtl/>
        </w:rPr>
      </w:pPr>
      <w:r w:rsidRPr="00282AC9">
        <w:rPr>
          <w:rtl/>
        </w:rPr>
        <w:t>بل انتهى بعض الباحثين بأن من معاني الغنيمة ما يحصل عليه الفرد أو المجموعة بالس</w:t>
      </w:r>
      <w:r w:rsidR="003B76C7" w:rsidRPr="00282AC9">
        <w:rPr>
          <w:rFonts w:hint="cs"/>
          <w:rtl/>
        </w:rPr>
        <w:t>َّ</w:t>
      </w:r>
      <w:r w:rsidRPr="00282AC9">
        <w:rPr>
          <w:rtl/>
        </w:rPr>
        <w:t>ع</w:t>
      </w:r>
      <w:r w:rsidR="003B76C7" w:rsidRPr="00282AC9">
        <w:rPr>
          <w:rFonts w:hint="cs"/>
          <w:rtl/>
        </w:rPr>
        <w:t>ْ</w:t>
      </w:r>
      <w:r w:rsidRPr="00282AC9">
        <w:rPr>
          <w:rtl/>
        </w:rPr>
        <w:t xml:space="preserve">ي والتجوال، وفي ذلك يقول الشاعر: </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3B76C7" w:rsidRPr="00282AC9" w:rsidTr="00B37889">
        <w:trPr>
          <w:jc w:val="center"/>
        </w:trPr>
        <w:tc>
          <w:tcPr>
            <w:tcW w:w="3136" w:type="dxa"/>
          </w:tcPr>
          <w:p w:rsidR="003B76C7" w:rsidRPr="00282AC9" w:rsidRDefault="003B76C7" w:rsidP="00821CCC">
            <w:pPr>
              <w:spacing w:line="240" w:lineRule="auto"/>
              <w:ind w:firstLine="0"/>
              <w:jc w:val="lowKashida"/>
              <w:rPr>
                <w:sz w:val="2"/>
                <w:szCs w:val="2"/>
                <w:rtl/>
              </w:rPr>
            </w:pPr>
            <w:r w:rsidRPr="00282AC9">
              <w:rPr>
                <w:rtl/>
              </w:rPr>
              <w:t>وقد طو</w:t>
            </w:r>
            <w:r w:rsidRPr="00282AC9">
              <w:rPr>
                <w:rFonts w:hint="cs"/>
                <w:rtl/>
              </w:rPr>
              <w:t>َّ</w:t>
            </w:r>
            <w:r w:rsidRPr="00282AC9">
              <w:rPr>
                <w:rtl/>
              </w:rPr>
              <w:t>ف</w:t>
            </w:r>
            <w:r w:rsidRPr="00282AC9">
              <w:rPr>
                <w:rFonts w:hint="cs"/>
                <w:rtl/>
              </w:rPr>
              <w:t>ْ</w:t>
            </w:r>
            <w:r w:rsidRPr="00282AC9">
              <w:rPr>
                <w:rtl/>
              </w:rPr>
              <w:t>ت</w:t>
            </w:r>
            <w:r w:rsidRPr="00282AC9">
              <w:rPr>
                <w:rFonts w:hint="cs"/>
                <w:rtl/>
              </w:rPr>
              <w:t>ُ</w:t>
            </w:r>
            <w:r w:rsidRPr="00282AC9">
              <w:rPr>
                <w:rtl/>
              </w:rPr>
              <w:t xml:space="preserve"> في الآفاق حت</w:t>
            </w:r>
            <w:r w:rsidRPr="00282AC9">
              <w:rPr>
                <w:rFonts w:hint="cs"/>
                <w:rtl/>
              </w:rPr>
              <w:t>ّ</w:t>
            </w:r>
            <w:r w:rsidRPr="00282AC9">
              <w:rPr>
                <w:rtl/>
              </w:rPr>
              <w:t>ى</w:t>
            </w:r>
            <w:r w:rsidRPr="00282AC9">
              <w:rPr>
                <w:rFonts w:hint="cs"/>
                <w:sz w:val="27"/>
                <w:rtl/>
              </w:rPr>
              <w:br/>
            </w:r>
          </w:p>
        </w:tc>
        <w:tc>
          <w:tcPr>
            <w:tcW w:w="425" w:type="dxa"/>
          </w:tcPr>
          <w:p w:rsidR="003B76C7" w:rsidRPr="00282AC9" w:rsidRDefault="003B76C7" w:rsidP="00821CCC">
            <w:pPr>
              <w:spacing w:line="240" w:lineRule="auto"/>
              <w:ind w:firstLine="0"/>
              <w:jc w:val="lowKashida"/>
              <w:rPr>
                <w:sz w:val="27"/>
                <w:rtl/>
              </w:rPr>
            </w:pPr>
          </w:p>
        </w:tc>
        <w:tc>
          <w:tcPr>
            <w:tcW w:w="3052" w:type="dxa"/>
          </w:tcPr>
          <w:p w:rsidR="003B76C7" w:rsidRPr="00282AC9" w:rsidRDefault="003B76C7" w:rsidP="00821CCC">
            <w:pPr>
              <w:spacing w:line="240" w:lineRule="auto"/>
              <w:ind w:firstLine="0"/>
              <w:jc w:val="lowKashida"/>
              <w:rPr>
                <w:sz w:val="2"/>
                <w:szCs w:val="2"/>
                <w:rtl/>
              </w:rPr>
            </w:pPr>
            <w:r w:rsidRPr="00282AC9">
              <w:rPr>
                <w:rtl/>
              </w:rPr>
              <w:t>رضيت</w:t>
            </w:r>
            <w:r w:rsidRPr="00282AC9">
              <w:rPr>
                <w:rFonts w:hint="cs"/>
                <w:rtl/>
              </w:rPr>
              <w:t>ُ</w:t>
            </w:r>
            <w:r w:rsidRPr="00282AC9">
              <w:rPr>
                <w:rtl/>
              </w:rPr>
              <w:t xml:space="preserve"> من الغنيمة بالإياب</w:t>
            </w:r>
            <w:r w:rsidRPr="00282AC9">
              <w:rPr>
                <w:rFonts w:hint="cs"/>
                <w:rtl/>
              </w:rPr>
              <w:t>ِ</w:t>
            </w:r>
            <w:r w:rsidRPr="00282AC9">
              <w:rPr>
                <w:rFonts w:hint="cs"/>
                <w:vertAlign w:val="superscript"/>
                <w:rtl/>
              </w:rPr>
              <w:t>(</w:t>
            </w:r>
            <w:r w:rsidRPr="00282AC9">
              <w:rPr>
                <w:rStyle w:val="af9"/>
                <w:sz w:val="27"/>
                <w:rtl/>
              </w:rPr>
              <w:endnoteReference w:id="440"/>
            </w:r>
            <w:r w:rsidRPr="00282AC9">
              <w:rPr>
                <w:rFonts w:hint="cs"/>
                <w:vertAlign w:val="superscript"/>
                <w:rtl/>
              </w:rPr>
              <w:t>)</w:t>
            </w:r>
            <w:r w:rsidRPr="00282AC9">
              <w:rPr>
                <w:rFonts w:hint="cs"/>
                <w:sz w:val="27"/>
                <w:rtl/>
              </w:rPr>
              <w:br/>
            </w:r>
          </w:p>
        </w:tc>
      </w:tr>
    </w:tbl>
    <w:p w:rsidR="0088149A" w:rsidRPr="00282AC9" w:rsidRDefault="0088149A" w:rsidP="0088149A">
      <w:pPr>
        <w:spacing w:line="410" w:lineRule="exact"/>
        <w:rPr>
          <w:rtl/>
        </w:rPr>
      </w:pPr>
    </w:p>
    <w:p w:rsidR="00946A76" w:rsidRPr="00282AC9" w:rsidRDefault="00D62E1C" w:rsidP="00D62E1C">
      <w:pPr>
        <w:pStyle w:val="31"/>
        <w:rPr>
          <w:color w:val="auto"/>
          <w:rtl/>
        </w:rPr>
      </w:pPr>
      <w:r w:rsidRPr="00282AC9">
        <w:rPr>
          <w:rFonts w:hint="cs"/>
          <w:color w:val="auto"/>
          <w:rtl/>
        </w:rPr>
        <w:t>تخصيص ال</w:t>
      </w:r>
      <w:r w:rsidR="00946A76" w:rsidRPr="00282AC9">
        <w:rPr>
          <w:color w:val="auto"/>
          <w:rtl/>
        </w:rPr>
        <w:t xml:space="preserve">مفهوم </w:t>
      </w:r>
      <w:r w:rsidRPr="00282AC9">
        <w:rPr>
          <w:rFonts w:hint="cs"/>
          <w:color w:val="auto"/>
          <w:rtl/>
        </w:rPr>
        <w:t>ال</w:t>
      </w:r>
      <w:r w:rsidR="00946A76" w:rsidRPr="00282AC9">
        <w:rPr>
          <w:color w:val="auto"/>
          <w:rtl/>
        </w:rPr>
        <w:t>عام</w:t>
      </w:r>
      <w:r w:rsidR="003B76C7" w:rsidRPr="00282AC9">
        <w:rPr>
          <w:rFonts w:hint="cs"/>
          <w:color w:val="auto"/>
          <w:rtl/>
        </w:rPr>
        <w:t>ّ</w:t>
      </w:r>
      <w:r w:rsidR="00946A76" w:rsidRPr="00282AC9">
        <w:rPr>
          <w:color w:val="auto"/>
          <w:rtl/>
        </w:rPr>
        <w:t xml:space="preserve"> بالع</w:t>
      </w:r>
      <w:r w:rsidR="003B76C7" w:rsidRPr="00282AC9">
        <w:rPr>
          <w:rFonts w:hint="cs"/>
          <w:color w:val="auto"/>
          <w:rtl/>
        </w:rPr>
        <w:t>ُ</w:t>
      </w:r>
      <w:r w:rsidR="00946A76" w:rsidRPr="00282AC9">
        <w:rPr>
          <w:color w:val="auto"/>
          <w:rtl/>
        </w:rPr>
        <w:t>ر</w:t>
      </w:r>
      <w:r w:rsidR="003B76C7" w:rsidRPr="00282AC9">
        <w:rPr>
          <w:rFonts w:hint="cs"/>
          <w:color w:val="auto"/>
          <w:rtl/>
        </w:rPr>
        <w:t>ْ</w:t>
      </w:r>
      <w:r w:rsidR="00946A76" w:rsidRPr="00282AC9">
        <w:rPr>
          <w:color w:val="auto"/>
          <w:rtl/>
        </w:rPr>
        <w:t>ف الفقهي</w:t>
      </w:r>
      <w:r w:rsidR="003B76C7" w:rsidRPr="00282AC9">
        <w:rPr>
          <w:rFonts w:hint="cs"/>
          <w:color w:val="auto"/>
          <w:rtl/>
        </w:rPr>
        <w:t>ّ</w:t>
      </w:r>
      <w:r w:rsidR="00946A76" w:rsidRPr="00282AC9">
        <w:rPr>
          <w:color w:val="auto"/>
          <w:rtl/>
        </w:rPr>
        <w:t xml:space="preserve"> </w:t>
      </w:r>
    </w:p>
    <w:p w:rsidR="00946A76" w:rsidRPr="00282AC9" w:rsidRDefault="00946A76" w:rsidP="00186251">
      <w:pPr>
        <w:rPr>
          <w:rtl/>
        </w:rPr>
      </w:pPr>
      <w:r w:rsidRPr="00282AC9">
        <w:rPr>
          <w:rtl/>
        </w:rPr>
        <w:t>وي</w:t>
      </w:r>
      <w:r w:rsidR="003B76C7" w:rsidRPr="00282AC9">
        <w:rPr>
          <w:rFonts w:hint="cs"/>
          <w:rtl/>
        </w:rPr>
        <w:t>ُ</w:t>
      </w:r>
      <w:r w:rsidRPr="00282AC9">
        <w:rPr>
          <w:rtl/>
        </w:rPr>
        <w:t>ستفاد من كلمات بعض المفس</w:t>
      </w:r>
      <w:r w:rsidR="003B76C7" w:rsidRPr="00282AC9">
        <w:rPr>
          <w:rFonts w:hint="cs"/>
          <w:rtl/>
        </w:rPr>
        <w:t>ِّ</w:t>
      </w:r>
      <w:r w:rsidRPr="00282AC9">
        <w:rPr>
          <w:rtl/>
        </w:rPr>
        <w:t>رين أن المفهوم اللغوي للغنيمة أوسع من المعنى السائد</w:t>
      </w:r>
      <w:r w:rsidR="003B76C7" w:rsidRPr="00282AC9">
        <w:rPr>
          <w:rFonts w:hint="cs"/>
          <w:rtl/>
        </w:rPr>
        <w:t>،</w:t>
      </w:r>
      <w:r w:rsidRPr="00282AC9">
        <w:rPr>
          <w:rtl/>
        </w:rPr>
        <w:t xml:space="preserve"> غير أنهم ضي</w:t>
      </w:r>
      <w:r w:rsidR="003B76C7" w:rsidRPr="00282AC9">
        <w:rPr>
          <w:rFonts w:hint="cs"/>
          <w:rtl/>
        </w:rPr>
        <w:t>َّ</w:t>
      </w:r>
      <w:r w:rsidRPr="00282AC9">
        <w:rPr>
          <w:rtl/>
        </w:rPr>
        <w:t>قوا مفهومها التفسيري طبقا</w:t>
      </w:r>
      <w:r w:rsidR="003B76C7" w:rsidRPr="00282AC9">
        <w:rPr>
          <w:rFonts w:hint="cs"/>
          <w:rtl/>
        </w:rPr>
        <w:t>ً</w:t>
      </w:r>
      <w:r w:rsidRPr="00282AC9">
        <w:rPr>
          <w:rtl/>
        </w:rPr>
        <w:t xml:space="preserve"> لما استقر</w:t>
      </w:r>
      <w:r w:rsidR="003B76C7" w:rsidRPr="00282AC9">
        <w:rPr>
          <w:rFonts w:hint="cs"/>
          <w:rtl/>
        </w:rPr>
        <w:t>ّ</w:t>
      </w:r>
      <w:r w:rsidRPr="00282AC9">
        <w:rPr>
          <w:rtl/>
        </w:rPr>
        <w:t xml:space="preserve"> في بعض النظرات الفقهية الشرعية. </w:t>
      </w:r>
    </w:p>
    <w:p w:rsidR="00946A76" w:rsidRPr="00282AC9" w:rsidRDefault="00946A76" w:rsidP="00186251">
      <w:pPr>
        <w:rPr>
          <w:rtl/>
        </w:rPr>
      </w:pPr>
      <w:r w:rsidRPr="00282AC9">
        <w:rPr>
          <w:rtl/>
        </w:rPr>
        <w:t>قال الرازي(606</w:t>
      </w:r>
      <w:r w:rsidRPr="00282AC9">
        <w:rPr>
          <w:rFonts w:hint="cs"/>
          <w:rtl/>
        </w:rPr>
        <w:t>هـ</w:t>
      </w:r>
      <w:r w:rsidRPr="00282AC9">
        <w:rPr>
          <w:rtl/>
        </w:rPr>
        <w:t>): إن الغنم هو الفوز بالشيء</w:t>
      </w:r>
      <w:r w:rsidR="00B37889" w:rsidRPr="00282AC9">
        <w:rPr>
          <w:rFonts w:hint="cs"/>
          <w:rtl/>
        </w:rPr>
        <w:t>؛</w:t>
      </w:r>
      <w:r w:rsidRPr="00282AC9">
        <w:rPr>
          <w:rtl/>
        </w:rPr>
        <w:t xml:space="preserve"> يقال: غنم يغنم غنماً فهو غانم</w:t>
      </w:r>
      <w:r w:rsidR="00B37889" w:rsidRPr="00282AC9">
        <w:rPr>
          <w:rFonts w:hint="cs"/>
          <w:rtl/>
        </w:rPr>
        <w:t>ٌ.</w:t>
      </w:r>
      <w:r w:rsidRPr="00282AC9">
        <w:rPr>
          <w:rtl/>
        </w:rPr>
        <w:t xml:space="preserve"> وأضاف: والغنيمة في الشريعة ما دخل</w:t>
      </w:r>
      <w:r w:rsidR="00B37889" w:rsidRPr="00282AC9">
        <w:rPr>
          <w:rFonts w:hint="cs"/>
          <w:rtl/>
        </w:rPr>
        <w:t>َ</w:t>
      </w:r>
      <w:r w:rsidRPr="00282AC9">
        <w:rPr>
          <w:rtl/>
        </w:rPr>
        <w:t>ت</w:t>
      </w:r>
      <w:r w:rsidR="00B37889" w:rsidRPr="00282AC9">
        <w:rPr>
          <w:rFonts w:hint="cs"/>
          <w:rtl/>
        </w:rPr>
        <w:t>ْ</w:t>
      </w:r>
      <w:r w:rsidRPr="00282AC9">
        <w:rPr>
          <w:rtl/>
        </w:rPr>
        <w:t xml:space="preserve"> في أيدي المسلمين من أموال المشركين على سبيل الق</w:t>
      </w:r>
      <w:r w:rsidR="00B37889" w:rsidRPr="00282AC9">
        <w:rPr>
          <w:rFonts w:hint="cs"/>
          <w:rtl/>
        </w:rPr>
        <w:t>َ</w:t>
      </w:r>
      <w:r w:rsidRPr="00282AC9">
        <w:rPr>
          <w:rtl/>
        </w:rPr>
        <w:t>ه</w:t>
      </w:r>
      <w:r w:rsidR="00B37889" w:rsidRPr="00282AC9">
        <w:rPr>
          <w:rFonts w:hint="cs"/>
          <w:rtl/>
        </w:rPr>
        <w:t>ْ</w:t>
      </w:r>
      <w:r w:rsidRPr="00282AC9">
        <w:rPr>
          <w:rtl/>
        </w:rPr>
        <w:t>ر بالخيل والركاب</w:t>
      </w:r>
      <w:r w:rsidRPr="00282AC9">
        <w:rPr>
          <w:rFonts w:hint="cs"/>
          <w:vertAlign w:val="superscript"/>
          <w:rtl/>
        </w:rPr>
        <w:t>(</w:t>
      </w:r>
      <w:r w:rsidRPr="00282AC9">
        <w:rPr>
          <w:rStyle w:val="af9"/>
          <w:sz w:val="27"/>
          <w:rtl/>
        </w:rPr>
        <w:endnoteReference w:id="441"/>
      </w:r>
      <w:r w:rsidRPr="00282AC9">
        <w:rPr>
          <w:rFonts w:hint="cs"/>
          <w:vertAlign w:val="superscript"/>
          <w:rtl/>
        </w:rPr>
        <w:t>)</w:t>
      </w:r>
      <w:r w:rsidR="00B37889" w:rsidRPr="00282AC9">
        <w:rPr>
          <w:rFonts w:hint="cs"/>
          <w:rtl/>
        </w:rPr>
        <w:t>.</w:t>
      </w:r>
    </w:p>
    <w:p w:rsidR="00946A76" w:rsidRPr="00282AC9" w:rsidRDefault="00946A76" w:rsidP="00186251">
      <w:pPr>
        <w:rPr>
          <w:rtl/>
        </w:rPr>
      </w:pPr>
      <w:r w:rsidRPr="00282AC9">
        <w:rPr>
          <w:rtl/>
        </w:rPr>
        <w:t>أما القرطبي(661) فقد كان أكثر وضوحا</w:t>
      </w:r>
      <w:r w:rsidR="00B37889" w:rsidRPr="00282AC9">
        <w:rPr>
          <w:rFonts w:hint="cs"/>
          <w:rtl/>
        </w:rPr>
        <w:t>ً</w:t>
      </w:r>
      <w:r w:rsidR="006A624F" w:rsidRPr="00282AC9">
        <w:rPr>
          <w:rtl/>
        </w:rPr>
        <w:t>، حيث قال:</w:t>
      </w:r>
      <w:r w:rsidR="006A624F" w:rsidRPr="00282AC9">
        <w:rPr>
          <w:rFonts w:hint="cs"/>
          <w:rtl/>
        </w:rPr>
        <w:t xml:space="preserve"> </w:t>
      </w:r>
      <w:r w:rsidRPr="00282AC9">
        <w:rPr>
          <w:rtl/>
        </w:rPr>
        <w:t>الغنيمة في اللغة ما يناله الرجل أو الجماعة بسَع</w:t>
      </w:r>
      <w:r w:rsidR="00B37889" w:rsidRPr="00282AC9">
        <w:rPr>
          <w:rFonts w:hint="cs"/>
          <w:rtl/>
        </w:rPr>
        <w:t>ْ</w:t>
      </w:r>
      <w:r w:rsidRPr="00282AC9">
        <w:rPr>
          <w:rtl/>
        </w:rPr>
        <w:t>يٍ، ومن ذلك</w:t>
      </w:r>
      <w:r w:rsidR="00B37889" w:rsidRPr="00282AC9">
        <w:rPr>
          <w:rFonts w:hint="cs"/>
          <w:rtl/>
        </w:rPr>
        <w:t>:</w:t>
      </w:r>
      <w:r w:rsidRPr="00282AC9">
        <w:rPr>
          <w:rtl/>
        </w:rPr>
        <w:t xml:space="preserve"> قول الشاعر:</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B37889" w:rsidRPr="00282AC9" w:rsidTr="00B37889">
        <w:trPr>
          <w:jc w:val="center"/>
        </w:trPr>
        <w:tc>
          <w:tcPr>
            <w:tcW w:w="3136" w:type="dxa"/>
          </w:tcPr>
          <w:p w:rsidR="00B37889" w:rsidRPr="00282AC9" w:rsidRDefault="00B37889" w:rsidP="00821CCC">
            <w:pPr>
              <w:spacing w:line="240" w:lineRule="auto"/>
              <w:ind w:firstLine="0"/>
              <w:jc w:val="lowKashida"/>
              <w:rPr>
                <w:sz w:val="2"/>
                <w:szCs w:val="2"/>
                <w:rtl/>
              </w:rPr>
            </w:pPr>
            <w:r w:rsidRPr="00282AC9">
              <w:rPr>
                <w:rtl/>
              </w:rPr>
              <w:lastRenderedPageBreak/>
              <w:t>وقد طو</w:t>
            </w:r>
            <w:r w:rsidRPr="00282AC9">
              <w:rPr>
                <w:rFonts w:hint="cs"/>
                <w:rtl/>
              </w:rPr>
              <w:t>َّ</w:t>
            </w:r>
            <w:r w:rsidRPr="00282AC9">
              <w:rPr>
                <w:rtl/>
              </w:rPr>
              <w:t>ف</w:t>
            </w:r>
            <w:r w:rsidRPr="00282AC9">
              <w:rPr>
                <w:rFonts w:hint="cs"/>
                <w:rtl/>
              </w:rPr>
              <w:t>ْ</w:t>
            </w:r>
            <w:r w:rsidRPr="00282AC9">
              <w:rPr>
                <w:rtl/>
              </w:rPr>
              <w:t>ت</w:t>
            </w:r>
            <w:r w:rsidRPr="00282AC9">
              <w:rPr>
                <w:rFonts w:hint="cs"/>
                <w:rtl/>
              </w:rPr>
              <w:t>ُ</w:t>
            </w:r>
            <w:r w:rsidRPr="00282AC9">
              <w:rPr>
                <w:rtl/>
              </w:rPr>
              <w:t xml:space="preserve"> في الآفاق حت</w:t>
            </w:r>
            <w:r w:rsidRPr="00282AC9">
              <w:rPr>
                <w:rFonts w:hint="cs"/>
                <w:rtl/>
              </w:rPr>
              <w:t>ّ</w:t>
            </w:r>
            <w:r w:rsidRPr="00282AC9">
              <w:rPr>
                <w:rtl/>
              </w:rPr>
              <w:t>ى</w:t>
            </w:r>
            <w:r w:rsidRPr="00282AC9">
              <w:rPr>
                <w:rFonts w:hint="cs"/>
                <w:sz w:val="27"/>
                <w:rtl/>
              </w:rPr>
              <w:br/>
            </w:r>
          </w:p>
        </w:tc>
        <w:tc>
          <w:tcPr>
            <w:tcW w:w="425" w:type="dxa"/>
          </w:tcPr>
          <w:p w:rsidR="00B37889" w:rsidRPr="00282AC9" w:rsidRDefault="00B37889" w:rsidP="00821CCC">
            <w:pPr>
              <w:spacing w:line="240" w:lineRule="auto"/>
              <w:ind w:firstLine="0"/>
              <w:jc w:val="lowKashida"/>
              <w:rPr>
                <w:sz w:val="27"/>
                <w:rtl/>
              </w:rPr>
            </w:pPr>
          </w:p>
        </w:tc>
        <w:tc>
          <w:tcPr>
            <w:tcW w:w="3052" w:type="dxa"/>
          </w:tcPr>
          <w:p w:rsidR="00B37889" w:rsidRPr="00282AC9" w:rsidRDefault="00B37889" w:rsidP="00821CCC">
            <w:pPr>
              <w:spacing w:line="240" w:lineRule="auto"/>
              <w:ind w:firstLine="0"/>
              <w:jc w:val="lowKashida"/>
              <w:rPr>
                <w:sz w:val="2"/>
                <w:szCs w:val="2"/>
                <w:rtl/>
              </w:rPr>
            </w:pPr>
            <w:r w:rsidRPr="00282AC9">
              <w:rPr>
                <w:rtl/>
              </w:rPr>
              <w:t>رضيت</w:t>
            </w:r>
            <w:r w:rsidRPr="00282AC9">
              <w:rPr>
                <w:rFonts w:hint="cs"/>
                <w:rtl/>
              </w:rPr>
              <w:t>ُ</w:t>
            </w:r>
            <w:r w:rsidRPr="00282AC9">
              <w:rPr>
                <w:rtl/>
              </w:rPr>
              <w:t xml:space="preserve"> من الغنيمة بالإياب</w:t>
            </w:r>
            <w:r w:rsidRPr="00282AC9">
              <w:rPr>
                <w:rFonts w:hint="cs"/>
                <w:rtl/>
              </w:rPr>
              <w:t>ِ</w:t>
            </w:r>
            <w:r w:rsidRPr="00282AC9">
              <w:rPr>
                <w:rFonts w:hint="cs"/>
                <w:sz w:val="27"/>
                <w:rtl/>
              </w:rPr>
              <w:br/>
            </w:r>
          </w:p>
        </w:tc>
      </w:tr>
    </w:tbl>
    <w:p w:rsidR="00B37889" w:rsidRPr="00282AC9" w:rsidRDefault="00946A76" w:rsidP="0088149A">
      <w:pPr>
        <w:spacing w:line="414" w:lineRule="exact"/>
        <w:rPr>
          <w:rtl/>
        </w:rPr>
      </w:pPr>
      <w:r w:rsidRPr="00282AC9">
        <w:rPr>
          <w:rtl/>
        </w:rPr>
        <w:t xml:space="preserve">غير أنه قال بعده: </w:t>
      </w:r>
      <w:r w:rsidRPr="00282AC9">
        <w:rPr>
          <w:rFonts w:hint="cs"/>
          <w:rtl/>
        </w:rPr>
        <w:t>واعلم</w:t>
      </w:r>
      <w:r w:rsidRPr="00282AC9">
        <w:rPr>
          <w:rtl/>
        </w:rPr>
        <w:t xml:space="preserve"> </w:t>
      </w:r>
      <w:r w:rsidRPr="00282AC9">
        <w:rPr>
          <w:rFonts w:hint="cs"/>
          <w:rtl/>
        </w:rPr>
        <w:t>أن</w:t>
      </w:r>
      <w:r w:rsidRPr="00282AC9">
        <w:rPr>
          <w:rtl/>
        </w:rPr>
        <w:t xml:space="preserve"> </w:t>
      </w:r>
      <w:r w:rsidRPr="00282AC9">
        <w:rPr>
          <w:rFonts w:hint="cs"/>
          <w:rtl/>
        </w:rPr>
        <w:t>الات</w:t>
      </w:r>
      <w:r w:rsidR="00B37889" w:rsidRPr="00282AC9">
        <w:rPr>
          <w:rFonts w:hint="cs"/>
          <w:rtl/>
        </w:rPr>
        <w:t>ّ</w:t>
      </w:r>
      <w:r w:rsidRPr="00282AC9">
        <w:rPr>
          <w:rFonts w:hint="cs"/>
          <w:rtl/>
        </w:rPr>
        <w:t>فاق</w:t>
      </w:r>
      <w:r w:rsidRPr="00282AC9">
        <w:rPr>
          <w:rtl/>
        </w:rPr>
        <w:t xml:space="preserve"> </w:t>
      </w:r>
      <w:r w:rsidRPr="00282AC9">
        <w:rPr>
          <w:rFonts w:hint="cs"/>
          <w:rtl/>
        </w:rPr>
        <w:t>حاصل</w:t>
      </w:r>
      <w:r w:rsidR="00B37889" w:rsidRPr="00282AC9">
        <w:rPr>
          <w:rFonts w:hint="cs"/>
          <w:rtl/>
        </w:rPr>
        <w:t>ٌ</w:t>
      </w:r>
      <w:r w:rsidRPr="00282AC9">
        <w:rPr>
          <w:rtl/>
        </w:rPr>
        <w:t xml:space="preserve"> </w:t>
      </w:r>
      <w:r w:rsidRPr="00282AC9">
        <w:rPr>
          <w:rFonts w:hint="cs"/>
          <w:rtl/>
        </w:rPr>
        <w:t>على</w:t>
      </w:r>
      <w:r w:rsidRPr="00282AC9">
        <w:rPr>
          <w:rtl/>
        </w:rPr>
        <w:t xml:space="preserve"> </w:t>
      </w:r>
      <w:r w:rsidRPr="00282AC9">
        <w:rPr>
          <w:rFonts w:hint="cs"/>
          <w:rtl/>
        </w:rPr>
        <w:t>أن</w:t>
      </w:r>
      <w:r w:rsidRPr="00282AC9">
        <w:rPr>
          <w:rtl/>
        </w:rPr>
        <w:t xml:space="preserve"> </w:t>
      </w:r>
      <w:r w:rsidRPr="00282AC9">
        <w:rPr>
          <w:rFonts w:hint="cs"/>
          <w:rtl/>
        </w:rPr>
        <w:t>المراد</w:t>
      </w:r>
      <w:r w:rsidRPr="00282AC9">
        <w:rPr>
          <w:rtl/>
        </w:rPr>
        <w:t xml:space="preserve"> </w:t>
      </w:r>
      <w:r w:rsidRPr="00282AC9">
        <w:rPr>
          <w:rFonts w:hint="cs"/>
          <w:rtl/>
        </w:rPr>
        <w:t>بقوله</w:t>
      </w:r>
      <w:r w:rsidRPr="00282AC9">
        <w:rPr>
          <w:rtl/>
        </w:rPr>
        <w:t xml:space="preserve"> </w:t>
      </w:r>
      <w:r w:rsidRPr="00282AC9">
        <w:rPr>
          <w:rFonts w:hint="cs"/>
          <w:rtl/>
        </w:rPr>
        <w:t>تعالى</w:t>
      </w:r>
      <w:r w:rsidRPr="00282AC9">
        <w:rPr>
          <w:rtl/>
        </w:rPr>
        <w:t xml:space="preserve">: </w:t>
      </w:r>
      <w:r w:rsidR="00B37889" w:rsidRPr="00282AC9">
        <w:rPr>
          <w:rFonts w:ascii="Mosawi" w:hAnsi="Mosawi" w:cs="Mosawi"/>
          <w:sz w:val="24"/>
          <w:szCs w:val="24"/>
          <w:rtl/>
        </w:rPr>
        <w:t>﴿</w:t>
      </w:r>
      <w:r w:rsidRPr="00282AC9">
        <w:rPr>
          <w:rFonts w:hint="cs"/>
          <w:b/>
          <w:bCs/>
          <w:rtl/>
        </w:rPr>
        <w:t>غَنِمْتُمْ</w:t>
      </w:r>
      <w:r w:rsidRPr="00282AC9">
        <w:rPr>
          <w:b/>
          <w:bCs/>
          <w:rtl/>
        </w:rPr>
        <w:t xml:space="preserve"> </w:t>
      </w:r>
      <w:r w:rsidRPr="00282AC9">
        <w:rPr>
          <w:rFonts w:hint="cs"/>
          <w:b/>
          <w:bCs/>
          <w:rtl/>
        </w:rPr>
        <w:t>مِّن</w:t>
      </w:r>
      <w:r w:rsidR="00B37889" w:rsidRPr="00282AC9">
        <w:rPr>
          <w:rFonts w:hint="cs"/>
          <w:b/>
          <w:bCs/>
          <w:rtl/>
        </w:rPr>
        <w:t>ْ</w:t>
      </w:r>
      <w:r w:rsidRPr="00282AC9">
        <w:rPr>
          <w:b/>
          <w:bCs/>
          <w:rtl/>
        </w:rPr>
        <w:t xml:space="preserve"> </w:t>
      </w:r>
      <w:r w:rsidRPr="00282AC9">
        <w:rPr>
          <w:rFonts w:hint="cs"/>
          <w:b/>
          <w:bCs/>
          <w:rtl/>
        </w:rPr>
        <w:t>شَيْءٍ</w:t>
      </w:r>
      <w:r w:rsidR="00B37889" w:rsidRPr="00282AC9">
        <w:rPr>
          <w:rFonts w:ascii="Mosawi" w:hAnsi="Mosawi" w:cs="Mosawi"/>
          <w:sz w:val="24"/>
          <w:szCs w:val="24"/>
          <w:rtl/>
        </w:rPr>
        <w:t>﴾</w:t>
      </w:r>
      <w:r w:rsidRPr="00282AC9">
        <w:rPr>
          <w:rtl/>
        </w:rPr>
        <w:t xml:space="preserve"> </w:t>
      </w:r>
      <w:r w:rsidRPr="00282AC9">
        <w:rPr>
          <w:rFonts w:hint="cs"/>
          <w:rtl/>
        </w:rPr>
        <w:t>مال</w:t>
      </w:r>
      <w:r w:rsidR="00B37889" w:rsidRPr="00282AC9">
        <w:rPr>
          <w:rFonts w:hint="cs"/>
          <w:rtl/>
        </w:rPr>
        <w:t>ُ</w:t>
      </w:r>
      <w:r w:rsidRPr="00282AC9">
        <w:rPr>
          <w:rtl/>
        </w:rPr>
        <w:t xml:space="preserve"> </w:t>
      </w:r>
      <w:r w:rsidRPr="00282AC9">
        <w:rPr>
          <w:rFonts w:hint="cs"/>
          <w:rtl/>
        </w:rPr>
        <w:t>الكف</w:t>
      </w:r>
      <w:r w:rsidR="00B37889" w:rsidRPr="00282AC9">
        <w:rPr>
          <w:rFonts w:hint="cs"/>
          <w:rtl/>
        </w:rPr>
        <w:t>ّ</w:t>
      </w:r>
      <w:r w:rsidRPr="00282AC9">
        <w:rPr>
          <w:rFonts w:hint="cs"/>
          <w:rtl/>
        </w:rPr>
        <w:t>ار</w:t>
      </w:r>
      <w:r w:rsidRPr="00282AC9">
        <w:rPr>
          <w:rtl/>
        </w:rPr>
        <w:t xml:space="preserve"> </w:t>
      </w:r>
      <w:r w:rsidRPr="00282AC9">
        <w:rPr>
          <w:rFonts w:hint="cs"/>
          <w:rtl/>
        </w:rPr>
        <w:t>إذا</w:t>
      </w:r>
      <w:r w:rsidRPr="00282AC9">
        <w:rPr>
          <w:rtl/>
        </w:rPr>
        <w:t xml:space="preserve"> </w:t>
      </w:r>
      <w:r w:rsidR="00B37889" w:rsidRPr="00282AC9">
        <w:rPr>
          <w:rFonts w:hint="cs"/>
          <w:rtl/>
        </w:rPr>
        <w:t>ظف</w:t>
      </w:r>
      <w:r w:rsidRPr="00282AC9">
        <w:rPr>
          <w:rFonts w:hint="cs"/>
          <w:rtl/>
        </w:rPr>
        <w:t>ر</w:t>
      </w:r>
      <w:r w:rsidRPr="00282AC9">
        <w:rPr>
          <w:rtl/>
        </w:rPr>
        <w:t xml:space="preserve"> </w:t>
      </w:r>
      <w:r w:rsidRPr="00282AC9">
        <w:rPr>
          <w:rFonts w:hint="cs"/>
          <w:rtl/>
        </w:rPr>
        <w:t>به</w:t>
      </w:r>
      <w:r w:rsidRPr="00282AC9">
        <w:rPr>
          <w:rtl/>
        </w:rPr>
        <w:t xml:space="preserve"> </w:t>
      </w:r>
      <w:r w:rsidRPr="00282AC9">
        <w:rPr>
          <w:rFonts w:hint="cs"/>
          <w:rtl/>
        </w:rPr>
        <w:t>المسلمون</w:t>
      </w:r>
      <w:r w:rsidRPr="00282AC9">
        <w:rPr>
          <w:rtl/>
        </w:rPr>
        <w:t xml:space="preserve"> </w:t>
      </w:r>
      <w:r w:rsidRPr="00282AC9">
        <w:rPr>
          <w:rFonts w:hint="cs"/>
          <w:rtl/>
        </w:rPr>
        <w:t>على</w:t>
      </w:r>
      <w:r w:rsidRPr="00282AC9">
        <w:rPr>
          <w:rtl/>
        </w:rPr>
        <w:t xml:space="preserve"> </w:t>
      </w:r>
      <w:r w:rsidRPr="00282AC9">
        <w:rPr>
          <w:rFonts w:hint="cs"/>
          <w:rtl/>
        </w:rPr>
        <w:t>وجه</w:t>
      </w:r>
      <w:r w:rsidRPr="00282AC9">
        <w:rPr>
          <w:rtl/>
        </w:rPr>
        <w:t xml:space="preserve"> </w:t>
      </w:r>
      <w:r w:rsidRPr="00282AC9">
        <w:rPr>
          <w:rFonts w:hint="cs"/>
          <w:rtl/>
        </w:rPr>
        <w:t>الغلبة</w:t>
      </w:r>
      <w:r w:rsidRPr="00282AC9">
        <w:rPr>
          <w:rtl/>
        </w:rPr>
        <w:t xml:space="preserve"> </w:t>
      </w:r>
      <w:r w:rsidRPr="00282AC9">
        <w:rPr>
          <w:rFonts w:hint="cs"/>
          <w:rtl/>
        </w:rPr>
        <w:t>و</w:t>
      </w:r>
      <w:r w:rsidR="00B37889" w:rsidRPr="00282AC9">
        <w:rPr>
          <w:rtl/>
        </w:rPr>
        <w:t>القَهْر.</w:t>
      </w:r>
    </w:p>
    <w:p w:rsidR="00946A76" w:rsidRPr="00282AC9" w:rsidRDefault="00946A76" w:rsidP="0088149A">
      <w:pPr>
        <w:spacing w:line="414" w:lineRule="exact"/>
        <w:rPr>
          <w:rtl/>
        </w:rPr>
      </w:pPr>
      <w:r w:rsidRPr="00282AC9">
        <w:rPr>
          <w:rtl/>
        </w:rPr>
        <w:t>وصر</w:t>
      </w:r>
      <w:r w:rsidR="00B37889" w:rsidRPr="00282AC9">
        <w:rPr>
          <w:rFonts w:hint="cs"/>
          <w:rtl/>
        </w:rPr>
        <w:t>َّ</w:t>
      </w:r>
      <w:r w:rsidR="00B37889" w:rsidRPr="00282AC9">
        <w:rPr>
          <w:rtl/>
        </w:rPr>
        <w:t xml:space="preserve">ح بالقول: </w:t>
      </w:r>
      <w:r w:rsidRPr="00282AC9">
        <w:rPr>
          <w:rtl/>
        </w:rPr>
        <w:t>ولا تقتضي اللغة هذا التخصيص</w:t>
      </w:r>
      <w:r w:rsidR="00B37889" w:rsidRPr="00282AC9">
        <w:rPr>
          <w:rFonts w:hint="cs"/>
          <w:rtl/>
        </w:rPr>
        <w:t>،</w:t>
      </w:r>
      <w:r w:rsidRPr="00282AC9">
        <w:rPr>
          <w:rtl/>
        </w:rPr>
        <w:t xml:space="preserve"> على ما بيّ</w:t>
      </w:r>
      <w:r w:rsidR="00B37889" w:rsidRPr="00282AC9">
        <w:rPr>
          <w:rFonts w:hint="cs"/>
          <w:rtl/>
        </w:rPr>
        <w:t>َ</w:t>
      </w:r>
      <w:r w:rsidRPr="00282AC9">
        <w:rPr>
          <w:rtl/>
        </w:rPr>
        <w:t>ناه</w:t>
      </w:r>
      <w:r w:rsidR="00B37889" w:rsidRPr="00282AC9">
        <w:rPr>
          <w:rFonts w:hint="cs"/>
          <w:rtl/>
        </w:rPr>
        <w:t>.</w:t>
      </w:r>
      <w:r w:rsidRPr="00282AC9">
        <w:rPr>
          <w:rtl/>
        </w:rPr>
        <w:t xml:space="preserve"> ولكن</w:t>
      </w:r>
      <w:r w:rsidR="00B37889" w:rsidRPr="00282AC9">
        <w:rPr>
          <w:rFonts w:hint="cs"/>
          <w:rtl/>
        </w:rPr>
        <w:t>ْ</w:t>
      </w:r>
      <w:r w:rsidRPr="00282AC9">
        <w:rPr>
          <w:rtl/>
        </w:rPr>
        <w:t xml:space="preserve"> عُر</w:t>
      </w:r>
      <w:r w:rsidR="00B37889" w:rsidRPr="00282AC9">
        <w:rPr>
          <w:rFonts w:hint="cs"/>
          <w:rtl/>
        </w:rPr>
        <w:t>ْ</w:t>
      </w:r>
      <w:r w:rsidRPr="00282AC9">
        <w:rPr>
          <w:rtl/>
        </w:rPr>
        <w:t>ف</w:t>
      </w:r>
      <w:r w:rsidR="00B37889" w:rsidRPr="00282AC9">
        <w:rPr>
          <w:rFonts w:hint="cs"/>
          <w:rtl/>
        </w:rPr>
        <w:t>ُ</w:t>
      </w:r>
      <w:r w:rsidRPr="00282AC9">
        <w:rPr>
          <w:rtl/>
        </w:rPr>
        <w:t xml:space="preserve"> الشرع قيّ</w:t>
      </w:r>
      <w:r w:rsidR="00B37889" w:rsidRPr="00282AC9">
        <w:rPr>
          <w:rFonts w:hint="cs"/>
          <w:rtl/>
        </w:rPr>
        <w:t>َ</w:t>
      </w:r>
      <w:r w:rsidRPr="00282AC9">
        <w:rPr>
          <w:rtl/>
        </w:rPr>
        <w:t>د اللفظ بهذا النوع</w:t>
      </w:r>
      <w:r w:rsidRPr="00282AC9">
        <w:rPr>
          <w:rFonts w:hint="cs"/>
          <w:vertAlign w:val="superscript"/>
          <w:rtl/>
        </w:rPr>
        <w:t>(</w:t>
      </w:r>
      <w:r w:rsidRPr="00282AC9">
        <w:rPr>
          <w:rStyle w:val="af9"/>
          <w:sz w:val="27"/>
          <w:rtl/>
        </w:rPr>
        <w:endnoteReference w:id="442"/>
      </w:r>
      <w:r w:rsidRPr="00282AC9">
        <w:rPr>
          <w:rFonts w:hint="cs"/>
          <w:vertAlign w:val="superscript"/>
          <w:rtl/>
        </w:rPr>
        <w:t>)</w:t>
      </w:r>
      <w:r w:rsidR="00B37889" w:rsidRPr="00282AC9">
        <w:rPr>
          <w:rFonts w:hint="cs"/>
          <w:rtl/>
        </w:rPr>
        <w:t>.</w:t>
      </w:r>
    </w:p>
    <w:p w:rsidR="005D6F9F" w:rsidRPr="00282AC9" w:rsidRDefault="00946A76" w:rsidP="0088149A">
      <w:pPr>
        <w:spacing w:line="414" w:lineRule="exact"/>
        <w:rPr>
          <w:rtl/>
        </w:rPr>
      </w:pPr>
      <w:r w:rsidRPr="00282AC9">
        <w:rPr>
          <w:rtl/>
        </w:rPr>
        <w:t>وكلام</w:t>
      </w:r>
      <w:r w:rsidR="00B37889" w:rsidRPr="00282AC9">
        <w:rPr>
          <w:rFonts w:hint="cs"/>
          <w:rtl/>
        </w:rPr>
        <w:t>ُ</w:t>
      </w:r>
      <w:r w:rsidRPr="00282AC9">
        <w:rPr>
          <w:rtl/>
        </w:rPr>
        <w:t>ه واضح</w:t>
      </w:r>
      <w:r w:rsidR="00B37889" w:rsidRPr="00282AC9">
        <w:rPr>
          <w:rFonts w:hint="cs"/>
          <w:rtl/>
        </w:rPr>
        <w:t>ٌ</w:t>
      </w:r>
      <w:r w:rsidRPr="00282AC9">
        <w:rPr>
          <w:rtl/>
        </w:rPr>
        <w:t xml:space="preserve"> في أن مفهوم الغنيمة في اللغة واسع</w:t>
      </w:r>
      <w:r w:rsidR="00B37889" w:rsidRPr="00282AC9">
        <w:rPr>
          <w:rFonts w:hint="cs"/>
          <w:rtl/>
        </w:rPr>
        <w:t>ٌ</w:t>
      </w:r>
      <w:r w:rsidRPr="00282AC9">
        <w:rPr>
          <w:rtl/>
        </w:rPr>
        <w:t>، وأن التخصيص جاء من جهة ات</w:t>
      </w:r>
      <w:r w:rsidR="00B37889" w:rsidRPr="00282AC9">
        <w:rPr>
          <w:rFonts w:hint="cs"/>
          <w:rtl/>
        </w:rPr>
        <w:t>ّ</w:t>
      </w:r>
      <w:r w:rsidRPr="00282AC9">
        <w:rPr>
          <w:rtl/>
        </w:rPr>
        <w:t>فاق الفقهاء، وما عب</w:t>
      </w:r>
      <w:r w:rsidR="00B37889" w:rsidRPr="00282AC9">
        <w:rPr>
          <w:rFonts w:hint="cs"/>
          <w:rtl/>
        </w:rPr>
        <w:t>َّ</w:t>
      </w:r>
      <w:r w:rsidRPr="00282AC9">
        <w:rPr>
          <w:rtl/>
        </w:rPr>
        <w:t>ر عنه بع</w:t>
      </w:r>
      <w:r w:rsidR="00B37889" w:rsidRPr="00282AC9">
        <w:rPr>
          <w:rFonts w:hint="cs"/>
          <w:rtl/>
        </w:rPr>
        <w:t>ُ</w:t>
      </w:r>
      <w:r w:rsidRPr="00282AC9">
        <w:rPr>
          <w:rtl/>
        </w:rPr>
        <w:t>ر</w:t>
      </w:r>
      <w:r w:rsidR="00B37889" w:rsidRPr="00282AC9">
        <w:rPr>
          <w:rFonts w:hint="cs"/>
          <w:rtl/>
        </w:rPr>
        <w:t>ْ</w:t>
      </w:r>
      <w:r w:rsidRPr="00282AC9">
        <w:rPr>
          <w:rtl/>
        </w:rPr>
        <w:t>ف الشرع، وهو تعبير</w:t>
      </w:r>
      <w:r w:rsidR="00B37889" w:rsidRPr="00282AC9">
        <w:rPr>
          <w:rFonts w:hint="cs"/>
          <w:rtl/>
        </w:rPr>
        <w:t>ٌ</w:t>
      </w:r>
      <w:r w:rsidRPr="00282AC9">
        <w:rPr>
          <w:rtl/>
        </w:rPr>
        <w:t xml:space="preserve"> عن النظرة الفقهية السائدة المتبن</w:t>
      </w:r>
      <w:r w:rsidR="005D6F9F" w:rsidRPr="00282AC9">
        <w:rPr>
          <w:rFonts w:hint="cs"/>
          <w:rtl/>
        </w:rPr>
        <w:t>ّ</w:t>
      </w:r>
      <w:r w:rsidR="005D6F9F" w:rsidRPr="00282AC9">
        <w:rPr>
          <w:rtl/>
        </w:rPr>
        <w:t>اة في هذا الشأن.</w:t>
      </w:r>
    </w:p>
    <w:p w:rsidR="00946A76" w:rsidRPr="00282AC9" w:rsidRDefault="00946A76" w:rsidP="00235851">
      <w:pPr>
        <w:spacing w:line="420" w:lineRule="exact"/>
        <w:rPr>
          <w:rtl/>
        </w:rPr>
      </w:pPr>
      <w:r w:rsidRPr="00282AC9">
        <w:rPr>
          <w:rtl/>
        </w:rPr>
        <w:t>وبهذا فقد مايزا بين المعنى اللغوي</w:t>
      </w:r>
      <w:r w:rsidR="005D6F9F" w:rsidRPr="00282AC9">
        <w:rPr>
          <w:rFonts w:hint="cs"/>
          <w:rtl/>
        </w:rPr>
        <w:t>ّ</w:t>
      </w:r>
      <w:r w:rsidRPr="00282AC9">
        <w:rPr>
          <w:rtl/>
        </w:rPr>
        <w:t xml:space="preserve"> والاصطلاحي الشرعي.</w:t>
      </w:r>
    </w:p>
    <w:p w:rsidR="005D6F9F" w:rsidRPr="00282AC9" w:rsidRDefault="00946A76" w:rsidP="0088149A">
      <w:pPr>
        <w:spacing w:line="414" w:lineRule="exact"/>
        <w:rPr>
          <w:rtl/>
        </w:rPr>
      </w:pPr>
      <w:r w:rsidRPr="00282AC9">
        <w:rPr>
          <w:rtl/>
        </w:rPr>
        <w:t>كما صر</w:t>
      </w:r>
      <w:r w:rsidR="005D6F9F" w:rsidRPr="00282AC9">
        <w:rPr>
          <w:rFonts w:hint="cs"/>
          <w:rtl/>
        </w:rPr>
        <w:t>َّ</w:t>
      </w:r>
      <w:r w:rsidRPr="00282AC9">
        <w:rPr>
          <w:rtl/>
        </w:rPr>
        <w:t>ح الألوسي(1270</w:t>
      </w:r>
      <w:r w:rsidRPr="00282AC9">
        <w:rPr>
          <w:rFonts w:hint="cs"/>
          <w:rtl/>
        </w:rPr>
        <w:t>هـ</w:t>
      </w:r>
      <w:r w:rsidRPr="00282AC9">
        <w:rPr>
          <w:rtl/>
        </w:rPr>
        <w:t>) بقوله: وغنم في الأصل من الغنم</w:t>
      </w:r>
      <w:r w:rsidR="005D6F9F" w:rsidRPr="00282AC9">
        <w:rPr>
          <w:rFonts w:hint="cs"/>
          <w:rtl/>
        </w:rPr>
        <w:t>،</w:t>
      </w:r>
      <w:r w:rsidRPr="00282AC9">
        <w:rPr>
          <w:rtl/>
        </w:rPr>
        <w:t xml:space="preserve"> بمعنى الربح... وفي القاموس</w:t>
      </w:r>
      <w:r w:rsidR="005D6F9F" w:rsidRPr="00282AC9">
        <w:rPr>
          <w:rFonts w:hint="cs"/>
          <w:rtl/>
        </w:rPr>
        <w:t>:</w:t>
      </w:r>
      <w:r w:rsidRPr="00282AC9">
        <w:rPr>
          <w:rtl/>
        </w:rPr>
        <w:t xml:space="preserve"> المغنم والغنيم والغنيمة والغنم بالضم</w:t>
      </w:r>
      <w:r w:rsidR="005D6F9F" w:rsidRPr="00282AC9">
        <w:rPr>
          <w:rFonts w:hint="cs"/>
          <w:rtl/>
        </w:rPr>
        <w:t>ّ</w:t>
      </w:r>
      <w:r w:rsidRPr="00282AC9">
        <w:rPr>
          <w:rtl/>
        </w:rPr>
        <w:t xml:space="preserve"> الف</w:t>
      </w:r>
      <w:r w:rsidR="005D6F9F" w:rsidRPr="00282AC9">
        <w:rPr>
          <w:rFonts w:hint="cs"/>
          <w:rtl/>
        </w:rPr>
        <w:t>َ</w:t>
      </w:r>
      <w:r w:rsidRPr="00282AC9">
        <w:rPr>
          <w:rtl/>
        </w:rPr>
        <w:t>ي</w:t>
      </w:r>
      <w:r w:rsidR="005D6F9F" w:rsidRPr="00282AC9">
        <w:rPr>
          <w:rFonts w:hint="cs"/>
          <w:rtl/>
        </w:rPr>
        <w:t>ْء.</w:t>
      </w:r>
      <w:r w:rsidRPr="00282AC9">
        <w:rPr>
          <w:rtl/>
        </w:rPr>
        <w:t xml:space="preserve"> والمشهور تغاير الغنيمة والف</w:t>
      </w:r>
      <w:r w:rsidR="005D6F9F" w:rsidRPr="00282AC9">
        <w:rPr>
          <w:rFonts w:hint="cs"/>
          <w:rtl/>
        </w:rPr>
        <w:t>َ</w:t>
      </w:r>
      <w:r w:rsidRPr="00282AC9">
        <w:rPr>
          <w:rtl/>
        </w:rPr>
        <w:t>ي</w:t>
      </w:r>
      <w:r w:rsidR="005D6F9F" w:rsidRPr="00282AC9">
        <w:rPr>
          <w:rFonts w:hint="cs"/>
          <w:rtl/>
        </w:rPr>
        <w:t>ْء.</w:t>
      </w:r>
      <w:r w:rsidRPr="00282AC9">
        <w:rPr>
          <w:rtl/>
        </w:rPr>
        <w:t xml:space="preserve"> ثم</w:t>
      </w:r>
      <w:r w:rsidR="005D6F9F" w:rsidRPr="00282AC9">
        <w:rPr>
          <w:rFonts w:hint="cs"/>
          <w:rtl/>
        </w:rPr>
        <w:t>ّ</w:t>
      </w:r>
      <w:r w:rsidRPr="00282AC9">
        <w:rPr>
          <w:rtl/>
        </w:rPr>
        <w:t xml:space="preserve"> قال: وفس</w:t>
      </w:r>
      <w:r w:rsidR="005D6F9F" w:rsidRPr="00282AC9">
        <w:rPr>
          <w:rFonts w:hint="cs"/>
          <w:rtl/>
        </w:rPr>
        <w:t>َّ</w:t>
      </w:r>
      <w:r w:rsidRPr="00282AC9">
        <w:rPr>
          <w:rtl/>
        </w:rPr>
        <w:t>روها بما أخذ من الكفار قهرا</w:t>
      </w:r>
      <w:r w:rsidR="005D6F9F" w:rsidRPr="00282AC9">
        <w:rPr>
          <w:rFonts w:hint="cs"/>
          <w:rtl/>
        </w:rPr>
        <w:t>ً</w:t>
      </w:r>
      <w:r w:rsidRPr="00282AC9">
        <w:rPr>
          <w:rtl/>
        </w:rPr>
        <w:t xml:space="preserve"> بقتال</w:t>
      </w:r>
      <w:r w:rsidR="005D6F9F" w:rsidRPr="00282AC9">
        <w:rPr>
          <w:rFonts w:hint="cs"/>
          <w:rtl/>
        </w:rPr>
        <w:t>ٍ</w:t>
      </w:r>
      <w:r w:rsidRPr="00282AC9">
        <w:rPr>
          <w:rtl/>
        </w:rPr>
        <w:t xml:space="preserve"> أو إيجاف</w:t>
      </w:r>
      <w:r w:rsidR="005D6F9F" w:rsidRPr="00282AC9">
        <w:rPr>
          <w:rFonts w:hint="cs"/>
          <w:rtl/>
        </w:rPr>
        <w:t>ٍ</w:t>
      </w:r>
      <w:r w:rsidRPr="00282AC9">
        <w:rPr>
          <w:rFonts w:hint="cs"/>
          <w:vertAlign w:val="superscript"/>
          <w:rtl/>
        </w:rPr>
        <w:t>(</w:t>
      </w:r>
      <w:r w:rsidRPr="00282AC9">
        <w:rPr>
          <w:rStyle w:val="af9"/>
          <w:sz w:val="27"/>
          <w:rtl/>
        </w:rPr>
        <w:endnoteReference w:id="443"/>
      </w:r>
      <w:r w:rsidRPr="00282AC9">
        <w:rPr>
          <w:rFonts w:hint="cs"/>
          <w:vertAlign w:val="superscript"/>
          <w:rtl/>
        </w:rPr>
        <w:t>)</w:t>
      </w:r>
      <w:r w:rsidRPr="00282AC9">
        <w:rPr>
          <w:rtl/>
        </w:rPr>
        <w:t>.</w:t>
      </w:r>
    </w:p>
    <w:p w:rsidR="00946A76" w:rsidRPr="00282AC9" w:rsidRDefault="00946A76" w:rsidP="0088149A">
      <w:pPr>
        <w:spacing w:line="414" w:lineRule="exact"/>
        <w:rPr>
          <w:rtl/>
        </w:rPr>
      </w:pPr>
      <w:r w:rsidRPr="00282AC9">
        <w:rPr>
          <w:rFonts w:hint="cs"/>
          <w:rtl/>
        </w:rPr>
        <w:t>و</w:t>
      </w:r>
      <w:r w:rsidRPr="00282AC9">
        <w:rPr>
          <w:rtl/>
        </w:rPr>
        <w:t>قد صر</w:t>
      </w:r>
      <w:r w:rsidR="005D6F9F" w:rsidRPr="00282AC9">
        <w:rPr>
          <w:rFonts w:hint="cs"/>
          <w:rtl/>
        </w:rPr>
        <w:t>ّ</w:t>
      </w:r>
      <w:r w:rsidRPr="00282AC9">
        <w:rPr>
          <w:rtl/>
        </w:rPr>
        <w:t>ح بعض الباحثين المعاصرين بأن التعريف السائد هو فقهي</w:t>
      </w:r>
      <w:r w:rsidR="005D6F9F" w:rsidRPr="00282AC9">
        <w:rPr>
          <w:rFonts w:hint="cs"/>
          <w:rtl/>
        </w:rPr>
        <w:t>ٌّ</w:t>
      </w:r>
      <w:r w:rsidRPr="00282AC9">
        <w:rPr>
          <w:rtl/>
        </w:rPr>
        <w:t xml:space="preserve"> اصطلاحي</w:t>
      </w:r>
      <w:r w:rsidR="005D6F9F" w:rsidRPr="00282AC9">
        <w:rPr>
          <w:rFonts w:hint="cs"/>
          <w:rtl/>
        </w:rPr>
        <w:t>ّ</w:t>
      </w:r>
      <w:r w:rsidRPr="00282AC9">
        <w:rPr>
          <w:rtl/>
        </w:rPr>
        <w:t xml:space="preserve">. </w:t>
      </w:r>
    </w:p>
    <w:p w:rsidR="005D6F9F" w:rsidRPr="00282AC9" w:rsidRDefault="00946A76" w:rsidP="0088149A">
      <w:pPr>
        <w:spacing w:line="414" w:lineRule="exact"/>
        <w:rPr>
          <w:rtl/>
        </w:rPr>
      </w:pPr>
      <w:r w:rsidRPr="00282AC9">
        <w:rPr>
          <w:rtl/>
        </w:rPr>
        <w:t>قال القاسمي: فر</w:t>
      </w:r>
      <w:r w:rsidR="005D6F9F" w:rsidRPr="00282AC9">
        <w:rPr>
          <w:rFonts w:hint="cs"/>
          <w:rtl/>
        </w:rPr>
        <w:t>ّ</w:t>
      </w:r>
      <w:r w:rsidRPr="00282AC9">
        <w:rPr>
          <w:rtl/>
        </w:rPr>
        <w:t>ق الشرع بين الغنيمة والف</w:t>
      </w:r>
      <w:r w:rsidR="005D6F9F" w:rsidRPr="00282AC9">
        <w:rPr>
          <w:rFonts w:hint="cs"/>
          <w:rtl/>
        </w:rPr>
        <w:t>َ</w:t>
      </w:r>
      <w:r w:rsidRPr="00282AC9">
        <w:rPr>
          <w:rtl/>
        </w:rPr>
        <w:t>ي</w:t>
      </w:r>
      <w:r w:rsidR="005D6F9F" w:rsidRPr="00282AC9">
        <w:rPr>
          <w:rFonts w:hint="cs"/>
          <w:rtl/>
        </w:rPr>
        <w:t>ْء</w:t>
      </w:r>
      <w:r w:rsidRPr="00282AC9">
        <w:rPr>
          <w:rtl/>
        </w:rPr>
        <w:t xml:space="preserve">، ولا حاجة بنا للرجوع </w:t>
      </w:r>
      <w:r w:rsidR="005D6F9F" w:rsidRPr="00282AC9">
        <w:rPr>
          <w:rFonts w:hint="cs"/>
          <w:rtl/>
        </w:rPr>
        <w:t>إ</w:t>
      </w:r>
      <w:r w:rsidRPr="00282AC9">
        <w:rPr>
          <w:rtl/>
        </w:rPr>
        <w:t>لى الأصل اللغوي، فهو متشع</w:t>
      </w:r>
      <w:r w:rsidR="005D6F9F" w:rsidRPr="00282AC9">
        <w:rPr>
          <w:rFonts w:hint="cs"/>
          <w:rtl/>
        </w:rPr>
        <w:t>ِّ</w:t>
      </w:r>
      <w:r w:rsidRPr="00282AC9">
        <w:rPr>
          <w:rtl/>
        </w:rPr>
        <w:t>ب</w:t>
      </w:r>
      <w:r w:rsidR="005D6F9F" w:rsidRPr="00282AC9">
        <w:rPr>
          <w:rFonts w:hint="cs"/>
          <w:rtl/>
        </w:rPr>
        <w:t>ٌ</w:t>
      </w:r>
      <w:r w:rsidRPr="00282AC9">
        <w:rPr>
          <w:rtl/>
        </w:rPr>
        <w:t xml:space="preserve"> وطويل. ونكتفي هنا بالذي اعتمده الفقهاء</w:t>
      </w:r>
      <w:r w:rsidR="005D6F9F" w:rsidRPr="00282AC9">
        <w:rPr>
          <w:rFonts w:hint="cs"/>
          <w:rtl/>
        </w:rPr>
        <w:t>،</w:t>
      </w:r>
      <w:r w:rsidRPr="00282AC9">
        <w:rPr>
          <w:rtl/>
        </w:rPr>
        <w:t xml:space="preserve"> ولم يختلفوا فيه، فقالوا: إن الغنيمة ما أ</w:t>
      </w:r>
      <w:r w:rsidR="005D6F9F" w:rsidRPr="00282AC9">
        <w:rPr>
          <w:rFonts w:hint="cs"/>
          <w:rtl/>
        </w:rPr>
        <w:t>ُ</w:t>
      </w:r>
      <w:r w:rsidRPr="00282AC9">
        <w:rPr>
          <w:rtl/>
        </w:rPr>
        <w:t>خذ من أموال أهل الحرب عنوة</w:t>
      </w:r>
      <w:r w:rsidR="005D6F9F" w:rsidRPr="00282AC9">
        <w:rPr>
          <w:rFonts w:hint="cs"/>
          <w:rtl/>
        </w:rPr>
        <w:t>ً</w:t>
      </w:r>
      <w:r w:rsidRPr="00282AC9">
        <w:rPr>
          <w:rtl/>
        </w:rPr>
        <w:t xml:space="preserve"> بطريق الق</w:t>
      </w:r>
      <w:r w:rsidR="005D6F9F" w:rsidRPr="00282AC9">
        <w:rPr>
          <w:rFonts w:hint="cs"/>
          <w:rtl/>
        </w:rPr>
        <w:t>َ</w:t>
      </w:r>
      <w:r w:rsidRPr="00282AC9">
        <w:rPr>
          <w:rtl/>
        </w:rPr>
        <w:t>ه</w:t>
      </w:r>
      <w:r w:rsidR="005D6F9F" w:rsidRPr="00282AC9">
        <w:rPr>
          <w:rFonts w:hint="cs"/>
          <w:rtl/>
        </w:rPr>
        <w:t>ْ</w:t>
      </w:r>
      <w:r w:rsidRPr="00282AC9">
        <w:rPr>
          <w:rtl/>
        </w:rPr>
        <w:t>ر والغ</w:t>
      </w:r>
      <w:r w:rsidR="005D6F9F" w:rsidRPr="00282AC9">
        <w:rPr>
          <w:rFonts w:hint="cs"/>
          <w:rtl/>
        </w:rPr>
        <w:t>َ</w:t>
      </w:r>
      <w:r w:rsidRPr="00282AC9">
        <w:rPr>
          <w:rtl/>
        </w:rPr>
        <w:t>ل</w:t>
      </w:r>
      <w:r w:rsidR="005D6F9F" w:rsidRPr="00282AC9">
        <w:rPr>
          <w:rFonts w:hint="cs"/>
          <w:rtl/>
        </w:rPr>
        <w:t>َ</w:t>
      </w:r>
      <w:r w:rsidRPr="00282AC9">
        <w:rPr>
          <w:rtl/>
        </w:rPr>
        <w:t>بة</w:t>
      </w:r>
      <w:r w:rsidRPr="00282AC9">
        <w:rPr>
          <w:rFonts w:hint="cs"/>
          <w:vertAlign w:val="superscript"/>
          <w:rtl/>
        </w:rPr>
        <w:t>(</w:t>
      </w:r>
      <w:r w:rsidRPr="00282AC9">
        <w:rPr>
          <w:rStyle w:val="af9"/>
          <w:sz w:val="27"/>
          <w:rtl/>
        </w:rPr>
        <w:endnoteReference w:id="444"/>
      </w:r>
      <w:r w:rsidRPr="00282AC9">
        <w:rPr>
          <w:rFonts w:hint="cs"/>
          <w:vertAlign w:val="superscript"/>
          <w:rtl/>
        </w:rPr>
        <w:t>)</w:t>
      </w:r>
      <w:r w:rsidR="005D6F9F" w:rsidRPr="00282AC9">
        <w:rPr>
          <w:rFonts w:hint="cs"/>
          <w:rtl/>
        </w:rPr>
        <w:t>.</w:t>
      </w:r>
    </w:p>
    <w:p w:rsidR="00946A76" w:rsidRPr="00282AC9" w:rsidRDefault="00946A76" w:rsidP="0088149A">
      <w:pPr>
        <w:spacing w:line="414" w:lineRule="exact"/>
        <w:rPr>
          <w:rtl/>
        </w:rPr>
      </w:pPr>
      <w:r w:rsidRPr="00282AC9">
        <w:rPr>
          <w:rtl/>
        </w:rPr>
        <w:t>وقال الصالح: الغنيمة مال</w:t>
      </w:r>
      <w:r w:rsidR="005D6F9F" w:rsidRPr="00282AC9">
        <w:rPr>
          <w:rFonts w:hint="cs"/>
          <w:rtl/>
        </w:rPr>
        <w:t>ٌ</w:t>
      </w:r>
      <w:r w:rsidRPr="00282AC9">
        <w:rPr>
          <w:rtl/>
        </w:rPr>
        <w:t xml:space="preserve"> من أموال الكف</w:t>
      </w:r>
      <w:r w:rsidR="005D6F9F" w:rsidRPr="00282AC9">
        <w:rPr>
          <w:rFonts w:hint="cs"/>
          <w:rtl/>
        </w:rPr>
        <w:t>ّ</w:t>
      </w:r>
      <w:r w:rsidRPr="00282AC9">
        <w:rPr>
          <w:rtl/>
        </w:rPr>
        <w:t>ار</w:t>
      </w:r>
      <w:r w:rsidR="005D6F9F" w:rsidRPr="00282AC9">
        <w:rPr>
          <w:rFonts w:hint="cs"/>
          <w:rtl/>
        </w:rPr>
        <w:t>،</w:t>
      </w:r>
      <w:r w:rsidRPr="00282AC9">
        <w:rPr>
          <w:rtl/>
        </w:rPr>
        <w:t xml:space="preserve"> ظفر المؤمنون به على وجه الغ</w:t>
      </w:r>
      <w:r w:rsidR="005D6F9F" w:rsidRPr="00282AC9">
        <w:rPr>
          <w:rFonts w:hint="cs"/>
          <w:rtl/>
        </w:rPr>
        <w:t>َ</w:t>
      </w:r>
      <w:r w:rsidRPr="00282AC9">
        <w:rPr>
          <w:rtl/>
        </w:rPr>
        <w:t>ل</w:t>
      </w:r>
      <w:r w:rsidR="005D6F9F" w:rsidRPr="00282AC9">
        <w:rPr>
          <w:rFonts w:hint="cs"/>
          <w:rtl/>
        </w:rPr>
        <w:t>َ</w:t>
      </w:r>
      <w:r w:rsidRPr="00282AC9">
        <w:rPr>
          <w:rtl/>
        </w:rPr>
        <w:t>بة والق</w:t>
      </w:r>
      <w:r w:rsidR="005D6F9F" w:rsidRPr="00282AC9">
        <w:rPr>
          <w:rFonts w:hint="cs"/>
          <w:rtl/>
        </w:rPr>
        <w:t>َ</w:t>
      </w:r>
      <w:r w:rsidRPr="00282AC9">
        <w:rPr>
          <w:rtl/>
        </w:rPr>
        <w:t>ه</w:t>
      </w:r>
      <w:r w:rsidR="005D6F9F" w:rsidRPr="00282AC9">
        <w:rPr>
          <w:rFonts w:hint="cs"/>
          <w:rtl/>
        </w:rPr>
        <w:t>ْ</w:t>
      </w:r>
      <w:r w:rsidRPr="00282AC9">
        <w:rPr>
          <w:rtl/>
        </w:rPr>
        <w:t>ر. وأضاف: ومعناه الاصطلاحي</w:t>
      </w:r>
      <w:r w:rsidR="005D6F9F" w:rsidRPr="00282AC9">
        <w:rPr>
          <w:rFonts w:hint="cs"/>
          <w:rtl/>
        </w:rPr>
        <w:t>ّ</w:t>
      </w:r>
      <w:r w:rsidRPr="00282AC9">
        <w:rPr>
          <w:rtl/>
        </w:rPr>
        <w:t xml:space="preserve"> هذا مأخوذ</w:t>
      </w:r>
      <w:r w:rsidR="005D6F9F" w:rsidRPr="00282AC9">
        <w:rPr>
          <w:rFonts w:hint="cs"/>
          <w:rtl/>
        </w:rPr>
        <w:t>ٌ</w:t>
      </w:r>
      <w:r w:rsidRPr="00282AC9">
        <w:rPr>
          <w:rtl/>
        </w:rPr>
        <w:t xml:space="preserve"> من المعنى اللغوي للغنيمة: الفوز بالشي</w:t>
      </w:r>
      <w:r w:rsidR="005D6F9F" w:rsidRPr="00282AC9">
        <w:rPr>
          <w:rFonts w:hint="cs"/>
          <w:rtl/>
        </w:rPr>
        <w:t>ء</w:t>
      </w:r>
      <w:r w:rsidRPr="00282AC9">
        <w:rPr>
          <w:rFonts w:hint="cs"/>
          <w:vertAlign w:val="superscript"/>
          <w:rtl/>
        </w:rPr>
        <w:t>(</w:t>
      </w:r>
      <w:r w:rsidRPr="00282AC9">
        <w:rPr>
          <w:rStyle w:val="af9"/>
          <w:sz w:val="27"/>
          <w:rtl/>
        </w:rPr>
        <w:endnoteReference w:id="445"/>
      </w:r>
      <w:r w:rsidRPr="00282AC9">
        <w:rPr>
          <w:rFonts w:hint="cs"/>
          <w:vertAlign w:val="superscript"/>
          <w:rtl/>
        </w:rPr>
        <w:t>)</w:t>
      </w:r>
      <w:r w:rsidR="005D6F9F" w:rsidRPr="00282AC9">
        <w:rPr>
          <w:rFonts w:hint="cs"/>
          <w:rtl/>
        </w:rPr>
        <w:t>.</w:t>
      </w:r>
    </w:p>
    <w:p w:rsidR="00946A76" w:rsidRPr="00282AC9" w:rsidRDefault="00946A76" w:rsidP="0088149A">
      <w:pPr>
        <w:spacing w:line="414" w:lineRule="exact"/>
        <w:rPr>
          <w:bCs/>
          <w:rtl/>
        </w:rPr>
      </w:pPr>
      <w:r w:rsidRPr="00282AC9">
        <w:rPr>
          <w:rtl/>
        </w:rPr>
        <w:t xml:space="preserve">وهكذا نجد </w:t>
      </w:r>
      <w:r w:rsidR="005D6F9F" w:rsidRPr="00282AC9">
        <w:rPr>
          <w:rFonts w:hint="cs"/>
          <w:rtl/>
        </w:rPr>
        <w:t>أ</w:t>
      </w:r>
      <w:r w:rsidRPr="00282AC9">
        <w:rPr>
          <w:rtl/>
        </w:rPr>
        <w:t>ن جملة</w:t>
      </w:r>
      <w:r w:rsidR="005D6F9F" w:rsidRPr="00282AC9">
        <w:rPr>
          <w:rFonts w:hint="cs"/>
          <w:rtl/>
        </w:rPr>
        <w:t>ً</w:t>
      </w:r>
      <w:r w:rsidRPr="00282AC9">
        <w:rPr>
          <w:rtl/>
        </w:rPr>
        <w:t xml:space="preserve"> من المفس</w:t>
      </w:r>
      <w:r w:rsidR="005D6F9F" w:rsidRPr="00282AC9">
        <w:rPr>
          <w:rFonts w:hint="cs"/>
          <w:rtl/>
        </w:rPr>
        <w:t>ِّ</w:t>
      </w:r>
      <w:r w:rsidRPr="00282AC9">
        <w:rPr>
          <w:rtl/>
        </w:rPr>
        <w:t>رين ذكروا بعض المعاني اللغوي</w:t>
      </w:r>
      <w:r w:rsidR="005D6F9F" w:rsidRPr="00282AC9">
        <w:rPr>
          <w:rFonts w:hint="cs"/>
          <w:rtl/>
        </w:rPr>
        <w:t>ّ</w:t>
      </w:r>
      <w:r w:rsidRPr="00282AC9">
        <w:rPr>
          <w:rtl/>
        </w:rPr>
        <w:t>ة العام</w:t>
      </w:r>
      <w:r w:rsidR="005D6F9F" w:rsidRPr="00282AC9">
        <w:rPr>
          <w:rFonts w:hint="cs"/>
          <w:rtl/>
        </w:rPr>
        <w:t>ّ</w:t>
      </w:r>
      <w:r w:rsidRPr="00282AC9">
        <w:rPr>
          <w:rtl/>
        </w:rPr>
        <w:t>ة للفظ الغنيمة</w:t>
      </w:r>
      <w:r w:rsidR="005D6F9F" w:rsidRPr="00282AC9">
        <w:rPr>
          <w:rFonts w:hint="cs"/>
          <w:rtl/>
        </w:rPr>
        <w:t>،</w:t>
      </w:r>
      <w:r w:rsidRPr="00282AC9">
        <w:rPr>
          <w:rtl/>
        </w:rPr>
        <w:t xml:space="preserve"> غير أنهم اختاروا في النتيجة ما غلب على استعماله التاريخي</w:t>
      </w:r>
      <w:r w:rsidR="005D6F9F" w:rsidRPr="00282AC9">
        <w:rPr>
          <w:rFonts w:hint="cs"/>
          <w:rtl/>
        </w:rPr>
        <w:t>ّ،</w:t>
      </w:r>
      <w:r w:rsidRPr="00282AC9">
        <w:rPr>
          <w:rtl/>
        </w:rPr>
        <w:t xml:space="preserve"> واستقر</w:t>
      </w:r>
      <w:r w:rsidR="005D6F9F" w:rsidRPr="00282AC9">
        <w:rPr>
          <w:rFonts w:hint="cs"/>
          <w:rtl/>
        </w:rPr>
        <w:t>ّ</w:t>
      </w:r>
      <w:r w:rsidRPr="00282AC9">
        <w:rPr>
          <w:rtl/>
        </w:rPr>
        <w:t xml:space="preserve"> عليه الع</w:t>
      </w:r>
      <w:r w:rsidR="005D6F9F" w:rsidRPr="00282AC9">
        <w:rPr>
          <w:rFonts w:hint="cs"/>
          <w:rtl/>
        </w:rPr>
        <w:t>ُ</w:t>
      </w:r>
      <w:r w:rsidRPr="00282AC9">
        <w:rPr>
          <w:rtl/>
        </w:rPr>
        <w:t>ر</w:t>
      </w:r>
      <w:r w:rsidR="005D6F9F" w:rsidRPr="00282AC9">
        <w:rPr>
          <w:rFonts w:hint="cs"/>
          <w:rtl/>
        </w:rPr>
        <w:t>ْ</w:t>
      </w:r>
      <w:r w:rsidRPr="00282AC9">
        <w:rPr>
          <w:rtl/>
        </w:rPr>
        <w:t>ف الفقهي السائد</w:t>
      </w:r>
      <w:r w:rsidRPr="00282AC9">
        <w:rPr>
          <w:rFonts w:hint="cs"/>
          <w:rtl/>
        </w:rPr>
        <w:t>.</w:t>
      </w:r>
    </w:p>
    <w:p w:rsidR="00D979F7" w:rsidRPr="00282AC9" w:rsidRDefault="00946A76" w:rsidP="0088149A">
      <w:pPr>
        <w:spacing w:line="414" w:lineRule="exact"/>
        <w:rPr>
          <w:rtl/>
        </w:rPr>
      </w:pPr>
      <w:r w:rsidRPr="00282AC9">
        <w:rPr>
          <w:rtl/>
        </w:rPr>
        <w:t>ولهذا يرى الخرسان أن تخصيص مفهوم الغنيمة بمصداقها الحربي</w:t>
      </w:r>
      <w:r w:rsidR="00D979F7" w:rsidRPr="00282AC9">
        <w:rPr>
          <w:rFonts w:hint="cs"/>
          <w:rtl/>
        </w:rPr>
        <w:t>ّ،</w:t>
      </w:r>
      <w:r w:rsidRPr="00282AC9">
        <w:rPr>
          <w:rtl/>
        </w:rPr>
        <w:t xml:space="preserve"> دون غيره</w:t>
      </w:r>
      <w:r w:rsidR="00D979F7" w:rsidRPr="00282AC9">
        <w:rPr>
          <w:rFonts w:hint="cs"/>
          <w:rtl/>
        </w:rPr>
        <w:t>،</w:t>
      </w:r>
      <w:r w:rsidRPr="00282AC9">
        <w:rPr>
          <w:rtl/>
        </w:rPr>
        <w:t xml:space="preserve"> هو نتيجة التأث</w:t>
      </w:r>
      <w:r w:rsidR="00D979F7" w:rsidRPr="00282AC9">
        <w:rPr>
          <w:rFonts w:hint="cs"/>
          <w:rtl/>
        </w:rPr>
        <w:t>ُّ</w:t>
      </w:r>
      <w:r w:rsidRPr="00282AC9">
        <w:rPr>
          <w:rtl/>
        </w:rPr>
        <w:t>ر بات</w:t>
      </w:r>
      <w:r w:rsidR="00D979F7" w:rsidRPr="00282AC9">
        <w:rPr>
          <w:rFonts w:hint="cs"/>
          <w:rtl/>
        </w:rPr>
        <w:t>ّ</w:t>
      </w:r>
      <w:r w:rsidRPr="00282AC9">
        <w:rPr>
          <w:rtl/>
        </w:rPr>
        <w:t>جاه الفقه الرسمي</w:t>
      </w:r>
      <w:r w:rsidR="00D979F7" w:rsidRPr="00282AC9">
        <w:rPr>
          <w:rFonts w:hint="cs"/>
          <w:rtl/>
        </w:rPr>
        <w:t>ّ</w:t>
      </w:r>
      <w:r w:rsidRPr="00282AC9">
        <w:rPr>
          <w:rtl/>
        </w:rPr>
        <w:t xml:space="preserve"> في ظل</w:t>
      </w:r>
      <w:r w:rsidR="00D979F7" w:rsidRPr="00282AC9">
        <w:rPr>
          <w:rFonts w:hint="cs"/>
          <w:rtl/>
        </w:rPr>
        <w:t>ّ</w:t>
      </w:r>
      <w:r w:rsidRPr="00282AC9">
        <w:rPr>
          <w:rtl/>
        </w:rPr>
        <w:t xml:space="preserve"> الأ</w:t>
      </w:r>
      <w:r w:rsidR="006A624F" w:rsidRPr="00282AC9">
        <w:rPr>
          <w:rFonts w:hint="cs"/>
          <w:rtl/>
        </w:rPr>
        <w:t>ُ</w:t>
      </w:r>
      <w:r w:rsidRPr="00282AC9">
        <w:rPr>
          <w:rtl/>
        </w:rPr>
        <w:t>ن</w:t>
      </w:r>
      <w:r w:rsidR="006A624F" w:rsidRPr="00282AC9">
        <w:rPr>
          <w:rFonts w:hint="cs"/>
          <w:rtl/>
        </w:rPr>
        <w:t>ْ</w:t>
      </w:r>
      <w:r w:rsidRPr="00282AC9">
        <w:rPr>
          <w:rtl/>
        </w:rPr>
        <w:t>س الذهني</w:t>
      </w:r>
      <w:r w:rsidR="00D979F7" w:rsidRPr="00282AC9">
        <w:rPr>
          <w:rFonts w:hint="cs"/>
          <w:rtl/>
        </w:rPr>
        <w:t>ّ</w:t>
      </w:r>
      <w:r w:rsidRPr="00282AC9">
        <w:rPr>
          <w:rtl/>
        </w:rPr>
        <w:t xml:space="preserve"> بكونه من المسل</w:t>
      </w:r>
      <w:r w:rsidR="00D979F7" w:rsidRPr="00282AC9">
        <w:rPr>
          <w:rFonts w:hint="cs"/>
          <w:rtl/>
        </w:rPr>
        <w:t>َّ</w:t>
      </w:r>
      <w:r w:rsidRPr="00282AC9">
        <w:rPr>
          <w:rtl/>
        </w:rPr>
        <w:t>مات</w:t>
      </w:r>
      <w:r w:rsidRPr="00282AC9">
        <w:rPr>
          <w:rFonts w:hint="cs"/>
          <w:vertAlign w:val="superscript"/>
          <w:rtl/>
        </w:rPr>
        <w:t>(</w:t>
      </w:r>
      <w:r w:rsidRPr="00282AC9">
        <w:rPr>
          <w:rStyle w:val="af9"/>
          <w:sz w:val="27"/>
          <w:rtl/>
        </w:rPr>
        <w:endnoteReference w:id="446"/>
      </w:r>
      <w:r w:rsidRPr="00282AC9">
        <w:rPr>
          <w:rFonts w:hint="cs"/>
          <w:vertAlign w:val="superscript"/>
          <w:rtl/>
        </w:rPr>
        <w:t>)</w:t>
      </w:r>
      <w:r w:rsidR="00D979F7" w:rsidRPr="00282AC9">
        <w:rPr>
          <w:rFonts w:hint="cs"/>
          <w:rtl/>
        </w:rPr>
        <w:t>.</w:t>
      </w:r>
    </w:p>
    <w:p w:rsidR="00946A76" w:rsidRPr="00282AC9" w:rsidRDefault="00946A76" w:rsidP="00235851">
      <w:pPr>
        <w:spacing w:line="420" w:lineRule="exact"/>
        <w:rPr>
          <w:rtl/>
        </w:rPr>
      </w:pPr>
      <w:r w:rsidRPr="00282AC9">
        <w:rPr>
          <w:rtl/>
        </w:rPr>
        <w:t>وهو ما أك</w:t>
      </w:r>
      <w:r w:rsidR="00D979F7" w:rsidRPr="00282AC9">
        <w:rPr>
          <w:rFonts w:hint="cs"/>
          <w:rtl/>
        </w:rPr>
        <w:t>َّ</w:t>
      </w:r>
      <w:r w:rsidRPr="00282AC9">
        <w:rPr>
          <w:rtl/>
        </w:rPr>
        <w:t>د عليه بعض الفقهاء</w:t>
      </w:r>
      <w:r w:rsidR="00D979F7" w:rsidRPr="00282AC9">
        <w:rPr>
          <w:rFonts w:hint="cs"/>
          <w:rtl/>
        </w:rPr>
        <w:t>،</w:t>
      </w:r>
      <w:r w:rsidRPr="00282AC9">
        <w:rPr>
          <w:rtl/>
        </w:rPr>
        <w:t xml:space="preserve"> كالنراقي والسيستاني. </w:t>
      </w:r>
    </w:p>
    <w:p w:rsidR="00946A76" w:rsidRPr="00282AC9" w:rsidRDefault="00946A76" w:rsidP="00B70E1F">
      <w:pPr>
        <w:pStyle w:val="31"/>
        <w:rPr>
          <w:color w:val="auto"/>
          <w:rtl/>
        </w:rPr>
      </w:pPr>
      <w:r w:rsidRPr="00282AC9">
        <w:rPr>
          <w:color w:val="auto"/>
          <w:rtl/>
        </w:rPr>
        <w:lastRenderedPageBreak/>
        <w:t>ثانيا</w:t>
      </w:r>
      <w:r w:rsidRPr="00282AC9">
        <w:rPr>
          <w:rFonts w:hint="cs"/>
          <w:color w:val="auto"/>
          <w:rtl/>
        </w:rPr>
        <w:t>ً</w:t>
      </w:r>
      <w:r w:rsidRPr="00282AC9">
        <w:rPr>
          <w:color w:val="auto"/>
          <w:rtl/>
        </w:rPr>
        <w:t xml:space="preserve">: اتجاهات التفسير </w:t>
      </w:r>
    </w:p>
    <w:p w:rsidR="00946A76" w:rsidRPr="00282AC9" w:rsidRDefault="00946A76" w:rsidP="00235851">
      <w:pPr>
        <w:spacing w:line="420" w:lineRule="exact"/>
        <w:rPr>
          <w:rtl/>
        </w:rPr>
      </w:pPr>
      <w:r w:rsidRPr="00282AC9">
        <w:rPr>
          <w:rtl/>
        </w:rPr>
        <w:t>بعد أن عر</w:t>
      </w:r>
      <w:r w:rsidR="00D979F7" w:rsidRPr="00282AC9">
        <w:rPr>
          <w:rFonts w:hint="cs"/>
          <w:rtl/>
        </w:rPr>
        <w:t>َ</w:t>
      </w:r>
      <w:r w:rsidRPr="00282AC9">
        <w:rPr>
          <w:rtl/>
        </w:rPr>
        <w:t>ض</w:t>
      </w:r>
      <w:r w:rsidR="00D979F7" w:rsidRPr="00282AC9">
        <w:rPr>
          <w:rFonts w:hint="cs"/>
          <w:rtl/>
        </w:rPr>
        <w:t>ْ</w:t>
      </w:r>
      <w:r w:rsidRPr="00282AC9">
        <w:rPr>
          <w:rtl/>
        </w:rPr>
        <w:t>نا آراء اللغوي</w:t>
      </w:r>
      <w:r w:rsidR="00D979F7" w:rsidRPr="00282AC9">
        <w:rPr>
          <w:rFonts w:hint="cs"/>
          <w:rtl/>
        </w:rPr>
        <w:t>ّ</w:t>
      </w:r>
      <w:r w:rsidRPr="00282AC9">
        <w:rPr>
          <w:rtl/>
        </w:rPr>
        <w:t>ين حول دلالات الكلمة</w:t>
      </w:r>
      <w:r w:rsidR="00D979F7" w:rsidRPr="00282AC9">
        <w:rPr>
          <w:rFonts w:hint="cs"/>
          <w:rtl/>
        </w:rPr>
        <w:t>،</w:t>
      </w:r>
      <w:r w:rsidRPr="00282AC9">
        <w:rPr>
          <w:rtl/>
        </w:rPr>
        <w:t xml:space="preserve"> واستعمالاتها المعهودة</w:t>
      </w:r>
      <w:r w:rsidR="00D979F7" w:rsidRPr="00282AC9">
        <w:rPr>
          <w:rFonts w:hint="cs"/>
          <w:rtl/>
        </w:rPr>
        <w:t>؛</w:t>
      </w:r>
      <w:r w:rsidRPr="00282AC9">
        <w:rPr>
          <w:rtl/>
        </w:rPr>
        <w:t xml:space="preserve"> وتطر</w:t>
      </w:r>
      <w:r w:rsidR="00D979F7" w:rsidRPr="00282AC9">
        <w:rPr>
          <w:rFonts w:hint="cs"/>
          <w:rtl/>
        </w:rPr>
        <w:t>َّ</w:t>
      </w:r>
      <w:r w:rsidRPr="00282AC9">
        <w:rPr>
          <w:rtl/>
        </w:rPr>
        <w:t>قنا إلى التحليلات التي ترى تأث</w:t>
      </w:r>
      <w:r w:rsidR="00D979F7" w:rsidRPr="00282AC9">
        <w:rPr>
          <w:rFonts w:hint="cs"/>
          <w:rtl/>
        </w:rPr>
        <w:t>ُّ</w:t>
      </w:r>
      <w:r w:rsidRPr="00282AC9">
        <w:rPr>
          <w:rtl/>
        </w:rPr>
        <w:t>ر بعض الآراء بات</w:t>
      </w:r>
      <w:r w:rsidR="00D979F7" w:rsidRPr="00282AC9">
        <w:rPr>
          <w:rFonts w:hint="cs"/>
          <w:rtl/>
        </w:rPr>
        <w:t>ّ</w:t>
      </w:r>
      <w:r w:rsidRPr="00282AC9">
        <w:rPr>
          <w:rtl/>
        </w:rPr>
        <w:t>جاهات الفقه التاريخي</w:t>
      </w:r>
      <w:r w:rsidR="00D979F7" w:rsidRPr="00282AC9">
        <w:rPr>
          <w:rFonts w:hint="cs"/>
          <w:rtl/>
        </w:rPr>
        <w:t>ّ</w:t>
      </w:r>
      <w:r w:rsidRPr="00282AC9">
        <w:rPr>
          <w:rtl/>
        </w:rPr>
        <w:t xml:space="preserve"> الرسمي</w:t>
      </w:r>
      <w:r w:rsidR="00D979F7" w:rsidRPr="00282AC9">
        <w:rPr>
          <w:rFonts w:hint="cs"/>
          <w:rtl/>
        </w:rPr>
        <w:t>ّ</w:t>
      </w:r>
      <w:r w:rsidRPr="00282AC9">
        <w:rPr>
          <w:rtl/>
        </w:rPr>
        <w:t>، نشير إلى انعكاساتها في تشك</w:t>
      </w:r>
      <w:r w:rsidR="00D979F7" w:rsidRPr="00282AC9">
        <w:rPr>
          <w:rFonts w:hint="cs"/>
          <w:rtl/>
        </w:rPr>
        <w:t>ُّ</w:t>
      </w:r>
      <w:r w:rsidRPr="00282AC9">
        <w:rPr>
          <w:rtl/>
        </w:rPr>
        <w:t>ل ات</w:t>
      </w:r>
      <w:r w:rsidR="00D979F7" w:rsidRPr="00282AC9">
        <w:rPr>
          <w:rFonts w:hint="cs"/>
          <w:rtl/>
        </w:rPr>
        <w:t>ّ</w:t>
      </w:r>
      <w:r w:rsidRPr="00282AC9">
        <w:rPr>
          <w:rtl/>
        </w:rPr>
        <w:t>جاهات التفسير لمفهوم الغنيمة:</w:t>
      </w:r>
    </w:p>
    <w:p w:rsidR="00946A76" w:rsidRPr="00282AC9" w:rsidRDefault="00946A76" w:rsidP="00235851">
      <w:pPr>
        <w:spacing w:line="410" w:lineRule="exact"/>
        <w:rPr>
          <w:rtl/>
        </w:rPr>
      </w:pPr>
    </w:p>
    <w:p w:rsidR="00946A76" w:rsidRPr="00282AC9" w:rsidRDefault="00946A76" w:rsidP="00B70E1F">
      <w:pPr>
        <w:pStyle w:val="31"/>
        <w:rPr>
          <w:color w:val="auto"/>
          <w:rtl/>
        </w:rPr>
      </w:pPr>
      <w:r w:rsidRPr="00282AC9">
        <w:rPr>
          <w:color w:val="auto"/>
          <w:rtl/>
        </w:rPr>
        <w:t>الاتجاه المضي</w:t>
      </w:r>
      <w:r w:rsidR="00D979F7" w:rsidRPr="00282AC9">
        <w:rPr>
          <w:rFonts w:hint="cs"/>
          <w:color w:val="auto"/>
          <w:rtl/>
        </w:rPr>
        <w:t>ّ</w:t>
      </w:r>
      <w:r w:rsidRPr="00282AC9">
        <w:rPr>
          <w:color w:val="auto"/>
          <w:rtl/>
        </w:rPr>
        <w:t xml:space="preserve">ق </w:t>
      </w:r>
    </w:p>
    <w:p w:rsidR="00946A76" w:rsidRPr="00282AC9" w:rsidRDefault="00946A76" w:rsidP="00235851">
      <w:pPr>
        <w:spacing w:line="420" w:lineRule="exact"/>
        <w:rPr>
          <w:bCs/>
          <w:rtl/>
        </w:rPr>
      </w:pPr>
      <w:r w:rsidRPr="00282AC9">
        <w:rPr>
          <w:rtl/>
        </w:rPr>
        <w:t>يقصر العديد من المفس</w:t>
      </w:r>
      <w:r w:rsidR="00D979F7" w:rsidRPr="00282AC9">
        <w:rPr>
          <w:rFonts w:hint="cs"/>
          <w:rtl/>
        </w:rPr>
        <w:t>ِّ</w:t>
      </w:r>
      <w:r w:rsidRPr="00282AC9">
        <w:rPr>
          <w:rtl/>
        </w:rPr>
        <w:t>رين مفهوم الغنيمة على المعنى الضي</w:t>
      </w:r>
      <w:r w:rsidR="00D979F7" w:rsidRPr="00282AC9">
        <w:rPr>
          <w:rFonts w:hint="cs"/>
          <w:rtl/>
        </w:rPr>
        <w:t>ِّ</w:t>
      </w:r>
      <w:r w:rsidRPr="00282AC9">
        <w:rPr>
          <w:rtl/>
        </w:rPr>
        <w:t>ق</w:t>
      </w:r>
      <w:r w:rsidR="00D979F7" w:rsidRPr="00282AC9">
        <w:rPr>
          <w:rFonts w:hint="cs"/>
          <w:rtl/>
        </w:rPr>
        <w:t>،</w:t>
      </w:r>
      <w:r w:rsidRPr="00282AC9">
        <w:rPr>
          <w:rtl/>
        </w:rPr>
        <w:t xml:space="preserve"> وهو</w:t>
      </w:r>
      <w:r w:rsidR="00D979F7" w:rsidRPr="00282AC9">
        <w:rPr>
          <w:rFonts w:hint="cs"/>
          <w:rtl/>
        </w:rPr>
        <w:t>:</w:t>
      </w:r>
      <w:r w:rsidRPr="00282AC9">
        <w:rPr>
          <w:rtl/>
        </w:rPr>
        <w:t xml:space="preserve"> ما يظفر به المسلمون في الحرب مع المشركين.</w:t>
      </w:r>
    </w:p>
    <w:p w:rsidR="00D979F7" w:rsidRPr="00282AC9" w:rsidRDefault="00D979F7" w:rsidP="00235851">
      <w:pPr>
        <w:spacing w:line="420" w:lineRule="exact"/>
        <w:rPr>
          <w:rtl/>
        </w:rPr>
      </w:pPr>
      <w:r w:rsidRPr="00282AC9">
        <w:rPr>
          <w:rFonts w:hint="cs"/>
          <w:rtl/>
        </w:rPr>
        <w:t xml:space="preserve">فقد </w:t>
      </w:r>
      <w:r w:rsidRPr="00282AC9">
        <w:rPr>
          <w:rtl/>
        </w:rPr>
        <w:t xml:space="preserve">نقل </w:t>
      </w:r>
      <w:r w:rsidR="00946A76" w:rsidRPr="00282AC9">
        <w:rPr>
          <w:rtl/>
        </w:rPr>
        <w:t>الطبري(310</w:t>
      </w:r>
      <w:r w:rsidR="00946A76" w:rsidRPr="00282AC9">
        <w:rPr>
          <w:rFonts w:hint="cs"/>
          <w:rtl/>
        </w:rPr>
        <w:t>هـ</w:t>
      </w:r>
      <w:r w:rsidR="00946A76" w:rsidRPr="00282AC9">
        <w:rPr>
          <w:rtl/>
        </w:rPr>
        <w:t>) عن عطاء بن السائب: ما أخذوه من مال</w:t>
      </w:r>
      <w:r w:rsidRPr="00282AC9">
        <w:rPr>
          <w:rFonts w:hint="cs"/>
          <w:rtl/>
        </w:rPr>
        <w:t>ٍ</w:t>
      </w:r>
      <w:r w:rsidR="00946A76" w:rsidRPr="00282AC9">
        <w:rPr>
          <w:rtl/>
        </w:rPr>
        <w:t xml:space="preserve"> ظهروا عليه فهو غنيمة</w:t>
      </w:r>
      <w:r w:rsidRPr="00282AC9">
        <w:rPr>
          <w:rFonts w:hint="cs"/>
          <w:rtl/>
        </w:rPr>
        <w:t>ٌ</w:t>
      </w:r>
      <w:r w:rsidRPr="00282AC9">
        <w:rPr>
          <w:rtl/>
        </w:rPr>
        <w:t>.</w:t>
      </w:r>
    </w:p>
    <w:p w:rsidR="00D979F7" w:rsidRPr="00282AC9" w:rsidRDefault="00946A76" w:rsidP="00235851">
      <w:pPr>
        <w:spacing w:line="420" w:lineRule="exact"/>
        <w:rPr>
          <w:rtl/>
        </w:rPr>
      </w:pPr>
      <w:r w:rsidRPr="00282AC9">
        <w:rPr>
          <w:rtl/>
        </w:rPr>
        <w:t>وعن سفيان الثوري: الغنيمة ما أصاب المسلمون عنوة</w:t>
      </w:r>
      <w:r w:rsidR="00D979F7" w:rsidRPr="00282AC9">
        <w:rPr>
          <w:rFonts w:hint="cs"/>
          <w:rtl/>
        </w:rPr>
        <w:t>ً</w:t>
      </w:r>
      <w:r w:rsidRPr="00282AC9">
        <w:rPr>
          <w:rtl/>
        </w:rPr>
        <w:t xml:space="preserve"> بقتال</w:t>
      </w:r>
      <w:r w:rsidR="00D979F7" w:rsidRPr="00282AC9">
        <w:rPr>
          <w:rFonts w:hint="cs"/>
          <w:rtl/>
        </w:rPr>
        <w:t>ٍ</w:t>
      </w:r>
      <w:r w:rsidR="00D979F7" w:rsidRPr="00282AC9">
        <w:rPr>
          <w:rtl/>
        </w:rPr>
        <w:t>.</w:t>
      </w:r>
    </w:p>
    <w:p w:rsidR="00D979F7" w:rsidRPr="00282AC9" w:rsidRDefault="00D979F7" w:rsidP="00235851">
      <w:pPr>
        <w:spacing w:line="420" w:lineRule="exact"/>
        <w:rPr>
          <w:rtl/>
        </w:rPr>
      </w:pPr>
      <w:r w:rsidRPr="00282AC9">
        <w:rPr>
          <w:rFonts w:hint="cs"/>
          <w:rtl/>
        </w:rPr>
        <w:t>و</w:t>
      </w:r>
      <w:r w:rsidR="00946A76" w:rsidRPr="00282AC9">
        <w:rPr>
          <w:rtl/>
        </w:rPr>
        <w:t>قال الطبري:</w:t>
      </w:r>
      <w:r w:rsidRPr="00282AC9">
        <w:rPr>
          <w:rFonts w:hint="cs"/>
          <w:rtl/>
        </w:rPr>
        <w:t xml:space="preserve"> </w:t>
      </w:r>
      <w:r w:rsidR="00946A76" w:rsidRPr="00282AC9">
        <w:rPr>
          <w:rtl/>
        </w:rPr>
        <w:t>الغنيمة هي ما أفاء</w:t>
      </w:r>
      <w:r w:rsidRPr="00282AC9">
        <w:rPr>
          <w:rFonts w:hint="cs"/>
          <w:rtl/>
        </w:rPr>
        <w:t xml:space="preserve"> </w:t>
      </w:r>
      <w:r w:rsidR="00946A76" w:rsidRPr="00282AC9">
        <w:rPr>
          <w:rtl/>
        </w:rPr>
        <w:t>الله على المسلمين من أموال المشركين بغ</w:t>
      </w:r>
      <w:r w:rsidRPr="00282AC9">
        <w:rPr>
          <w:rFonts w:hint="cs"/>
          <w:rtl/>
        </w:rPr>
        <w:t>َ</w:t>
      </w:r>
      <w:r w:rsidR="00946A76" w:rsidRPr="00282AC9">
        <w:rPr>
          <w:rtl/>
        </w:rPr>
        <w:t>ل</w:t>
      </w:r>
      <w:r w:rsidRPr="00282AC9">
        <w:rPr>
          <w:rFonts w:hint="cs"/>
          <w:rtl/>
        </w:rPr>
        <w:t>َ</w:t>
      </w:r>
      <w:r w:rsidR="00946A76" w:rsidRPr="00282AC9">
        <w:rPr>
          <w:rtl/>
        </w:rPr>
        <w:t>بة</w:t>
      </w:r>
      <w:r w:rsidRPr="00282AC9">
        <w:rPr>
          <w:rFonts w:hint="cs"/>
          <w:rtl/>
        </w:rPr>
        <w:t>ٍ</w:t>
      </w:r>
      <w:r w:rsidR="00946A76" w:rsidRPr="00282AC9">
        <w:rPr>
          <w:rtl/>
        </w:rPr>
        <w:t xml:space="preserve"> وق</w:t>
      </w:r>
      <w:r w:rsidRPr="00282AC9">
        <w:rPr>
          <w:rFonts w:hint="cs"/>
          <w:rtl/>
        </w:rPr>
        <w:t>َ</w:t>
      </w:r>
      <w:r w:rsidR="00946A76" w:rsidRPr="00282AC9">
        <w:rPr>
          <w:rtl/>
        </w:rPr>
        <w:t>ه</w:t>
      </w:r>
      <w:r w:rsidRPr="00282AC9">
        <w:rPr>
          <w:rFonts w:hint="cs"/>
          <w:rtl/>
        </w:rPr>
        <w:t>ْ</w:t>
      </w:r>
      <w:r w:rsidR="00946A76" w:rsidRPr="00282AC9">
        <w:rPr>
          <w:rtl/>
        </w:rPr>
        <w:t>ر</w:t>
      </w:r>
      <w:r w:rsidRPr="00282AC9">
        <w:rPr>
          <w:rFonts w:hint="cs"/>
          <w:rtl/>
        </w:rPr>
        <w:t>ٍ</w:t>
      </w:r>
      <w:r w:rsidRPr="00282AC9">
        <w:rPr>
          <w:rtl/>
        </w:rPr>
        <w:t>.</w:t>
      </w:r>
    </w:p>
    <w:p w:rsidR="00946A76" w:rsidRPr="00282AC9" w:rsidRDefault="00946A76" w:rsidP="00235851">
      <w:pPr>
        <w:spacing w:line="420" w:lineRule="exact"/>
        <w:rPr>
          <w:rtl/>
        </w:rPr>
      </w:pPr>
      <w:r w:rsidRPr="00282AC9">
        <w:rPr>
          <w:rtl/>
        </w:rPr>
        <w:t>و</w:t>
      </w:r>
      <w:r w:rsidR="00D979F7" w:rsidRPr="00282AC9">
        <w:rPr>
          <w:rFonts w:hint="cs"/>
          <w:rtl/>
        </w:rPr>
        <w:t xml:space="preserve">قال </w:t>
      </w:r>
      <w:r w:rsidRPr="00282AC9">
        <w:rPr>
          <w:rtl/>
        </w:rPr>
        <w:t>في مورد</w:t>
      </w:r>
      <w:r w:rsidR="00D979F7" w:rsidRPr="00282AC9">
        <w:rPr>
          <w:rFonts w:hint="cs"/>
          <w:rtl/>
        </w:rPr>
        <w:t>ٍ</w:t>
      </w:r>
      <w:r w:rsidRPr="00282AC9">
        <w:rPr>
          <w:rtl/>
        </w:rPr>
        <w:t xml:space="preserve"> آخر: وقد بيَّنا فيما مضى معنى الغنيمة، وأنها المال يوصل إليه من مال م</w:t>
      </w:r>
      <w:r w:rsidR="00F33F0D" w:rsidRPr="00282AC9">
        <w:rPr>
          <w:rFonts w:hint="cs"/>
          <w:rtl/>
        </w:rPr>
        <w:t>َ</w:t>
      </w:r>
      <w:r w:rsidRPr="00282AC9">
        <w:rPr>
          <w:rtl/>
        </w:rPr>
        <w:t>ن</w:t>
      </w:r>
      <w:r w:rsidR="00F33F0D" w:rsidRPr="00282AC9">
        <w:rPr>
          <w:rFonts w:hint="cs"/>
          <w:rtl/>
        </w:rPr>
        <w:t>ْ</w:t>
      </w:r>
      <w:r w:rsidRPr="00282AC9">
        <w:rPr>
          <w:rtl/>
        </w:rPr>
        <w:t xml:space="preserve"> خوّل الله ماله أهل دينه</w:t>
      </w:r>
      <w:r w:rsidR="00F33F0D" w:rsidRPr="00282AC9">
        <w:rPr>
          <w:rFonts w:hint="cs"/>
          <w:rtl/>
        </w:rPr>
        <w:t>،</w:t>
      </w:r>
      <w:r w:rsidRPr="00282AC9">
        <w:rPr>
          <w:rtl/>
        </w:rPr>
        <w:t xml:space="preserve"> بغ</w:t>
      </w:r>
      <w:r w:rsidR="00F33F0D" w:rsidRPr="00282AC9">
        <w:rPr>
          <w:rFonts w:hint="cs"/>
          <w:rtl/>
        </w:rPr>
        <w:t>َ</w:t>
      </w:r>
      <w:r w:rsidRPr="00282AC9">
        <w:rPr>
          <w:rtl/>
        </w:rPr>
        <w:t>ل</w:t>
      </w:r>
      <w:r w:rsidR="00F33F0D" w:rsidRPr="00282AC9">
        <w:rPr>
          <w:rFonts w:hint="cs"/>
          <w:rtl/>
        </w:rPr>
        <w:t>َ</w:t>
      </w:r>
      <w:r w:rsidRPr="00282AC9">
        <w:rPr>
          <w:rtl/>
        </w:rPr>
        <w:t>بة</w:t>
      </w:r>
      <w:r w:rsidR="00F33F0D" w:rsidRPr="00282AC9">
        <w:rPr>
          <w:rFonts w:hint="cs"/>
          <w:rtl/>
        </w:rPr>
        <w:t>ٍ</w:t>
      </w:r>
      <w:r w:rsidRPr="00282AC9">
        <w:rPr>
          <w:rtl/>
        </w:rPr>
        <w:t xml:space="preserve"> عليه</w:t>
      </w:r>
      <w:r w:rsidR="00F33F0D" w:rsidRPr="00282AC9">
        <w:rPr>
          <w:rFonts w:hint="cs"/>
          <w:rtl/>
        </w:rPr>
        <w:t>،</w:t>
      </w:r>
      <w:r w:rsidRPr="00282AC9">
        <w:rPr>
          <w:rtl/>
        </w:rPr>
        <w:t xml:space="preserve"> وقهر</w:t>
      </w:r>
      <w:r w:rsidR="00F33F0D" w:rsidRPr="00282AC9">
        <w:rPr>
          <w:rFonts w:hint="cs"/>
          <w:rtl/>
        </w:rPr>
        <w:t>ٍ</w:t>
      </w:r>
      <w:r w:rsidRPr="00282AC9">
        <w:rPr>
          <w:rtl/>
        </w:rPr>
        <w:t xml:space="preserve"> بقتال</w:t>
      </w:r>
      <w:r w:rsidRPr="00282AC9">
        <w:rPr>
          <w:rFonts w:hint="cs"/>
          <w:vertAlign w:val="superscript"/>
          <w:rtl/>
        </w:rPr>
        <w:t>(</w:t>
      </w:r>
      <w:r w:rsidRPr="00282AC9">
        <w:rPr>
          <w:rStyle w:val="af9"/>
          <w:sz w:val="27"/>
          <w:rtl/>
        </w:rPr>
        <w:endnoteReference w:id="447"/>
      </w:r>
      <w:r w:rsidRPr="00282AC9">
        <w:rPr>
          <w:rFonts w:hint="cs"/>
          <w:vertAlign w:val="superscript"/>
          <w:rtl/>
        </w:rPr>
        <w:t>)</w:t>
      </w:r>
      <w:r w:rsidR="00F33F0D" w:rsidRPr="00282AC9">
        <w:rPr>
          <w:rFonts w:hint="cs"/>
          <w:rtl/>
        </w:rPr>
        <w:t>.</w:t>
      </w:r>
    </w:p>
    <w:p w:rsidR="00946A76" w:rsidRPr="00282AC9" w:rsidRDefault="00946A76" w:rsidP="00235851">
      <w:pPr>
        <w:spacing w:line="420" w:lineRule="exact"/>
        <w:rPr>
          <w:rtl/>
          <w:lang w:bidi="ar-OM"/>
        </w:rPr>
      </w:pPr>
      <w:r w:rsidRPr="00282AC9">
        <w:rPr>
          <w:rtl/>
        </w:rPr>
        <w:t>وذكر البيضاوي(685</w:t>
      </w:r>
      <w:r w:rsidRPr="00282AC9">
        <w:rPr>
          <w:rFonts w:hint="cs"/>
          <w:rtl/>
        </w:rPr>
        <w:t>هـ</w:t>
      </w:r>
      <w:r w:rsidRPr="00282AC9">
        <w:rPr>
          <w:rtl/>
        </w:rPr>
        <w:t>) أن الغنيمة في الشريعة ما دخل</w:t>
      </w:r>
      <w:r w:rsidR="00F33F0D" w:rsidRPr="00282AC9">
        <w:rPr>
          <w:rFonts w:hint="cs"/>
          <w:rtl/>
        </w:rPr>
        <w:t>َ</w:t>
      </w:r>
      <w:r w:rsidRPr="00282AC9">
        <w:rPr>
          <w:rtl/>
        </w:rPr>
        <w:t>ت</w:t>
      </w:r>
      <w:r w:rsidR="00F33F0D" w:rsidRPr="00282AC9">
        <w:rPr>
          <w:rFonts w:hint="cs"/>
          <w:rtl/>
        </w:rPr>
        <w:t>ْ</w:t>
      </w:r>
      <w:r w:rsidRPr="00282AC9">
        <w:rPr>
          <w:rtl/>
        </w:rPr>
        <w:t xml:space="preserve"> في أيدي المسلمين من أموال المشركين</w:t>
      </w:r>
      <w:r w:rsidR="00F33F0D" w:rsidRPr="00282AC9">
        <w:rPr>
          <w:rFonts w:hint="cs"/>
          <w:rtl/>
        </w:rPr>
        <w:t>،</w:t>
      </w:r>
      <w:r w:rsidRPr="00282AC9">
        <w:rPr>
          <w:rtl/>
        </w:rPr>
        <w:t xml:space="preserve"> على سبيل الق</w:t>
      </w:r>
      <w:r w:rsidR="00F33F0D" w:rsidRPr="00282AC9">
        <w:rPr>
          <w:rFonts w:hint="cs"/>
          <w:rtl/>
        </w:rPr>
        <w:t>َ</w:t>
      </w:r>
      <w:r w:rsidRPr="00282AC9">
        <w:rPr>
          <w:rtl/>
        </w:rPr>
        <w:t>ه</w:t>
      </w:r>
      <w:r w:rsidR="00F33F0D" w:rsidRPr="00282AC9">
        <w:rPr>
          <w:rFonts w:hint="cs"/>
          <w:rtl/>
        </w:rPr>
        <w:t>ْ</w:t>
      </w:r>
      <w:r w:rsidRPr="00282AC9">
        <w:rPr>
          <w:rtl/>
        </w:rPr>
        <w:t>ر بالخ</w:t>
      </w:r>
      <w:r w:rsidR="00F33F0D" w:rsidRPr="00282AC9">
        <w:rPr>
          <w:rFonts w:hint="cs"/>
          <w:rtl/>
        </w:rPr>
        <w:t>َ</w:t>
      </w:r>
      <w:r w:rsidRPr="00282AC9">
        <w:rPr>
          <w:rtl/>
        </w:rPr>
        <w:t>ي</w:t>
      </w:r>
      <w:r w:rsidR="00F33F0D" w:rsidRPr="00282AC9">
        <w:rPr>
          <w:rFonts w:hint="cs"/>
          <w:rtl/>
        </w:rPr>
        <w:t>ْ</w:t>
      </w:r>
      <w:r w:rsidRPr="00282AC9">
        <w:rPr>
          <w:rtl/>
        </w:rPr>
        <w:t>ل والر</w:t>
      </w:r>
      <w:r w:rsidR="00F33F0D" w:rsidRPr="00282AC9">
        <w:rPr>
          <w:rFonts w:hint="cs"/>
          <w:rtl/>
        </w:rPr>
        <w:t>ِّ</w:t>
      </w:r>
      <w:r w:rsidRPr="00282AC9">
        <w:rPr>
          <w:rtl/>
        </w:rPr>
        <w:t>كاب</w:t>
      </w:r>
      <w:r w:rsidRPr="00282AC9">
        <w:rPr>
          <w:rFonts w:hint="cs"/>
          <w:vertAlign w:val="superscript"/>
          <w:rtl/>
        </w:rPr>
        <w:t>(</w:t>
      </w:r>
      <w:r w:rsidRPr="00282AC9">
        <w:rPr>
          <w:rStyle w:val="af9"/>
          <w:sz w:val="27"/>
          <w:rtl/>
        </w:rPr>
        <w:endnoteReference w:id="448"/>
      </w:r>
      <w:r w:rsidRPr="00282AC9">
        <w:rPr>
          <w:rFonts w:hint="cs"/>
          <w:vertAlign w:val="superscript"/>
          <w:rtl/>
        </w:rPr>
        <w:t>)</w:t>
      </w:r>
      <w:r w:rsidR="00F33F0D" w:rsidRPr="00282AC9">
        <w:rPr>
          <w:rFonts w:hint="cs"/>
          <w:rtl/>
        </w:rPr>
        <w:t>.</w:t>
      </w:r>
    </w:p>
    <w:p w:rsidR="00F33F0D" w:rsidRPr="00282AC9" w:rsidRDefault="00946A76" w:rsidP="00235851">
      <w:pPr>
        <w:spacing w:line="420" w:lineRule="exact"/>
        <w:rPr>
          <w:rtl/>
        </w:rPr>
      </w:pPr>
      <w:r w:rsidRPr="00282AC9">
        <w:rPr>
          <w:rtl/>
        </w:rPr>
        <w:t>وح</w:t>
      </w:r>
      <w:r w:rsidR="00F33F0D" w:rsidRPr="00282AC9">
        <w:rPr>
          <w:rFonts w:hint="cs"/>
          <w:rtl/>
        </w:rPr>
        <w:t>َ</w:t>
      </w:r>
      <w:r w:rsidRPr="00282AC9">
        <w:rPr>
          <w:rtl/>
        </w:rPr>
        <w:t>س</w:t>
      </w:r>
      <w:r w:rsidR="00F33F0D" w:rsidRPr="00282AC9">
        <w:rPr>
          <w:rFonts w:hint="cs"/>
          <w:rtl/>
        </w:rPr>
        <w:t>ْ</w:t>
      </w:r>
      <w:r w:rsidRPr="00282AC9">
        <w:rPr>
          <w:rtl/>
        </w:rPr>
        <w:t>ب ابن كثير(774</w:t>
      </w:r>
      <w:r w:rsidRPr="00282AC9">
        <w:rPr>
          <w:rFonts w:hint="cs"/>
          <w:rtl/>
        </w:rPr>
        <w:t>هـ</w:t>
      </w:r>
      <w:r w:rsidRPr="00282AC9">
        <w:rPr>
          <w:rtl/>
        </w:rPr>
        <w:t>): الغنيمة هي المال المأخوذ من الكف</w:t>
      </w:r>
      <w:r w:rsidR="00F33F0D" w:rsidRPr="00282AC9">
        <w:rPr>
          <w:rFonts w:hint="cs"/>
          <w:rtl/>
        </w:rPr>
        <w:t>ّ</w:t>
      </w:r>
      <w:r w:rsidRPr="00282AC9">
        <w:rPr>
          <w:rtl/>
        </w:rPr>
        <w:t>ار بإيجاف الخيل والر</w:t>
      </w:r>
      <w:r w:rsidR="00F33F0D" w:rsidRPr="00282AC9">
        <w:rPr>
          <w:rFonts w:hint="cs"/>
          <w:rtl/>
        </w:rPr>
        <w:t>ِّ</w:t>
      </w:r>
      <w:r w:rsidRPr="00282AC9">
        <w:rPr>
          <w:rtl/>
        </w:rPr>
        <w:t>كاب</w:t>
      </w:r>
      <w:r w:rsidRPr="00282AC9">
        <w:rPr>
          <w:rFonts w:hint="cs"/>
          <w:vertAlign w:val="superscript"/>
          <w:rtl/>
        </w:rPr>
        <w:t>(</w:t>
      </w:r>
      <w:r w:rsidRPr="00282AC9">
        <w:rPr>
          <w:rStyle w:val="af9"/>
          <w:sz w:val="27"/>
          <w:rtl/>
        </w:rPr>
        <w:endnoteReference w:id="449"/>
      </w:r>
      <w:r w:rsidRPr="00282AC9">
        <w:rPr>
          <w:rFonts w:hint="cs"/>
          <w:vertAlign w:val="superscript"/>
          <w:rtl/>
        </w:rPr>
        <w:t>)</w:t>
      </w:r>
      <w:r w:rsidR="00F33F0D" w:rsidRPr="00282AC9">
        <w:rPr>
          <w:rFonts w:hint="cs"/>
          <w:rtl/>
        </w:rPr>
        <w:t>.</w:t>
      </w:r>
      <w:r w:rsidRPr="00282AC9">
        <w:rPr>
          <w:rFonts w:hint="cs"/>
          <w:rtl/>
        </w:rPr>
        <w:t xml:space="preserve"> </w:t>
      </w:r>
    </w:p>
    <w:p w:rsidR="00F33F0D" w:rsidRPr="00282AC9" w:rsidRDefault="00946A76" w:rsidP="00235851">
      <w:pPr>
        <w:spacing w:line="420" w:lineRule="exact"/>
        <w:rPr>
          <w:rtl/>
        </w:rPr>
      </w:pPr>
      <w:r w:rsidRPr="00282AC9">
        <w:rPr>
          <w:rtl/>
        </w:rPr>
        <w:t>وصر</w:t>
      </w:r>
      <w:r w:rsidR="00F33F0D" w:rsidRPr="00282AC9">
        <w:rPr>
          <w:rFonts w:hint="cs"/>
          <w:rtl/>
        </w:rPr>
        <w:t>َّ</w:t>
      </w:r>
      <w:r w:rsidRPr="00282AC9">
        <w:rPr>
          <w:rtl/>
        </w:rPr>
        <w:t>ح الأردبيلي(933</w:t>
      </w:r>
      <w:r w:rsidRPr="00282AC9">
        <w:rPr>
          <w:rFonts w:hint="cs"/>
          <w:rtl/>
        </w:rPr>
        <w:t>هـ</w:t>
      </w:r>
      <w:r w:rsidRPr="00282AC9">
        <w:rPr>
          <w:rtl/>
        </w:rPr>
        <w:t>) بقوله: والذي ينبغي أن ي</w:t>
      </w:r>
      <w:r w:rsidR="00F33F0D" w:rsidRPr="00282AC9">
        <w:rPr>
          <w:rFonts w:hint="cs"/>
          <w:rtl/>
        </w:rPr>
        <w:t>ُ</w:t>
      </w:r>
      <w:r w:rsidRPr="00282AC9">
        <w:rPr>
          <w:rtl/>
        </w:rPr>
        <w:t>ذ</w:t>
      </w:r>
      <w:r w:rsidR="00F33F0D" w:rsidRPr="00282AC9">
        <w:rPr>
          <w:rFonts w:hint="cs"/>
          <w:rtl/>
        </w:rPr>
        <w:t>ْ</w:t>
      </w:r>
      <w:r w:rsidRPr="00282AC9">
        <w:rPr>
          <w:rtl/>
        </w:rPr>
        <w:t>ك</w:t>
      </w:r>
      <w:r w:rsidR="00F33F0D" w:rsidRPr="00282AC9">
        <w:rPr>
          <w:rFonts w:hint="cs"/>
          <w:rtl/>
        </w:rPr>
        <w:t>َ</w:t>
      </w:r>
      <w:r w:rsidRPr="00282AC9">
        <w:rPr>
          <w:rtl/>
        </w:rPr>
        <w:t>ر هنا مضمون الآية</w:t>
      </w:r>
      <w:r w:rsidR="00F33F0D" w:rsidRPr="00282AC9">
        <w:rPr>
          <w:rFonts w:hint="cs"/>
          <w:rtl/>
        </w:rPr>
        <w:t>،</w:t>
      </w:r>
      <w:r w:rsidRPr="00282AC9">
        <w:rPr>
          <w:rtl/>
        </w:rPr>
        <w:t xml:space="preserve"> فهي تدل</w:t>
      </w:r>
      <w:r w:rsidR="00F33F0D" w:rsidRPr="00282AC9">
        <w:rPr>
          <w:rFonts w:hint="cs"/>
          <w:rtl/>
        </w:rPr>
        <w:t>ّ</w:t>
      </w:r>
      <w:r w:rsidRPr="00282AC9">
        <w:rPr>
          <w:rtl/>
        </w:rPr>
        <w:t xml:space="preserve"> على وجوبه في غنائم دار الحرب، مم</w:t>
      </w:r>
      <w:r w:rsidR="00F33F0D" w:rsidRPr="00282AC9">
        <w:rPr>
          <w:rFonts w:hint="cs"/>
          <w:rtl/>
        </w:rPr>
        <w:t>ّ</w:t>
      </w:r>
      <w:r w:rsidRPr="00282AC9">
        <w:rPr>
          <w:rtl/>
        </w:rPr>
        <w:t>ا يصدق عليه شي</w:t>
      </w:r>
      <w:r w:rsidR="00F33F0D" w:rsidRPr="00282AC9">
        <w:rPr>
          <w:rFonts w:hint="cs"/>
          <w:rtl/>
        </w:rPr>
        <w:t>ء</w:t>
      </w:r>
      <w:r w:rsidRPr="00282AC9">
        <w:rPr>
          <w:rtl/>
        </w:rPr>
        <w:t>، وأي</w:t>
      </w:r>
      <w:r w:rsidR="00F33F0D" w:rsidRPr="00282AC9">
        <w:rPr>
          <w:rFonts w:hint="cs"/>
          <w:rtl/>
        </w:rPr>
        <w:t>َّ</w:t>
      </w:r>
      <w:r w:rsidRPr="00282AC9">
        <w:rPr>
          <w:rtl/>
        </w:rPr>
        <w:t xml:space="preserve"> شي</w:t>
      </w:r>
      <w:r w:rsidR="00F33F0D" w:rsidRPr="00282AC9">
        <w:rPr>
          <w:rFonts w:hint="cs"/>
          <w:rtl/>
        </w:rPr>
        <w:t>ءٍ</w:t>
      </w:r>
      <w:r w:rsidRPr="00282AC9">
        <w:rPr>
          <w:rtl/>
        </w:rPr>
        <w:t xml:space="preserve"> كان</w:t>
      </w:r>
      <w:r w:rsidR="00F33F0D" w:rsidRPr="00282AC9">
        <w:rPr>
          <w:rFonts w:hint="cs"/>
          <w:rtl/>
        </w:rPr>
        <w:t>،</w:t>
      </w:r>
      <w:r w:rsidRPr="00282AC9">
        <w:rPr>
          <w:rtl/>
        </w:rPr>
        <w:t xml:space="preserve"> منقولا</w:t>
      </w:r>
      <w:r w:rsidR="00F33F0D" w:rsidRPr="00282AC9">
        <w:rPr>
          <w:rFonts w:hint="cs"/>
          <w:rtl/>
        </w:rPr>
        <w:t>ً</w:t>
      </w:r>
      <w:r w:rsidRPr="00282AC9">
        <w:rPr>
          <w:rtl/>
        </w:rPr>
        <w:t xml:space="preserve"> وغير منقول</w:t>
      </w:r>
      <w:r w:rsidRPr="00282AC9">
        <w:rPr>
          <w:rFonts w:hint="cs"/>
          <w:vertAlign w:val="superscript"/>
          <w:rtl/>
        </w:rPr>
        <w:t>(</w:t>
      </w:r>
      <w:r w:rsidRPr="00282AC9">
        <w:rPr>
          <w:rStyle w:val="af9"/>
          <w:sz w:val="27"/>
          <w:rtl/>
        </w:rPr>
        <w:endnoteReference w:id="450"/>
      </w:r>
      <w:r w:rsidRPr="00282AC9">
        <w:rPr>
          <w:rFonts w:hint="cs"/>
          <w:vertAlign w:val="superscript"/>
          <w:rtl/>
        </w:rPr>
        <w:t>)</w:t>
      </w:r>
      <w:r w:rsidR="00F33F0D" w:rsidRPr="00282AC9">
        <w:rPr>
          <w:rFonts w:hint="cs"/>
          <w:rtl/>
        </w:rPr>
        <w:t>.</w:t>
      </w:r>
      <w:r w:rsidRPr="00282AC9">
        <w:rPr>
          <w:rFonts w:hint="cs"/>
          <w:rtl/>
        </w:rPr>
        <w:t xml:space="preserve"> </w:t>
      </w:r>
      <w:r w:rsidR="00F33F0D" w:rsidRPr="00282AC9">
        <w:rPr>
          <w:rFonts w:hint="cs"/>
          <w:rtl/>
        </w:rPr>
        <w:t>وقد</w:t>
      </w:r>
      <w:r w:rsidRPr="00282AC9">
        <w:rPr>
          <w:rtl/>
        </w:rPr>
        <w:t xml:space="preserve"> احتمله في </w:t>
      </w:r>
      <w:r w:rsidRPr="00282AC9">
        <w:rPr>
          <w:rFonts w:hint="eastAsia"/>
          <w:sz w:val="24"/>
          <w:szCs w:val="24"/>
          <w:rtl/>
        </w:rPr>
        <w:t>«</w:t>
      </w:r>
      <w:r w:rsidRPr="00282AC9">
        <w:rPr>
          <w:rtl/>
        </w:rPr>
        <w:t>مجمع الفائدة</w:t>
      </w:r>
      <w:r w:rsidR="00F33F0D" w:rsidRPr="00282AC9">
        <w:rPr>
          <w:rFonts w:hint="eastAsia"/>
          <w:sz w:val="24"/>
          <w:szCs w:val="24"/>
          <w:rtl/>
        </w:rPr>
        <w:t>»</w:t>
      </w:r>
      <w:r w:rsidR="00F33F0D" w:rsidRPr="00282AC9">
        <w:rPr>
          <w:rFonts w:hint="cs"/>
          <w:rtl/>
        </w:rPr>
        <w:t xml:space="preserve">، </w:t>
      </w:r>
      <w:r w:rsidRPr="00282AC9">
        <w:rPr>
          <w:rtl/>
        </w:rPr>
        <w:t>ولم يجزم فيه على دلالة الآية ح</w:t>
      </w:r>
      <w:r w:rsidR="00C066D2" w:rsidRPr="00282AC9">
        <w:rPr>
          <w:rFonts w:hint="cs"/>
          <w:rtl/>
        </w:rPr>
        <w:t>َ</w:t>
      </w:r>
      <w:r w:rsidRPr="00282AC9">
        <w:rPr>
          <w:rtl/>
        </w:rPr>
        <w:t>ص</w:t>
      </w:r>
      <w:r w:rsidR="00C066D2" w:rsidRPr="00282AC9">
        <w:rPr>
          <w:rFonts w:hint="cs"/>
          <w:rtl/>
        </w:rPr>
        <w:t>ْ</w:t>
      </w:r>
      <w:r w:rsidRPr="00282AC9">
        <w:rPr>
          <w:rtl/>
        </w:rPr>
        <w:t>ر</w:t>
      </w:r>
      <w:r w:rsidR="00C066D2" w:rsidRPr="00282AC9">
        <w:rPr>
          <w:rFonts w:hint="cs"/>
          <w:rtl/>
        </w:rPr>
        <w:t>اً</w:t>
      </w:r>
      <w:r w:rsidRPr="00282AC9">
        <w:rPr>
          <w:rtl/>
        </w:rPr>
        <w:t xml:space="preserve"> عل</w:t>
      </w:r>
      <w:r w:rsidR="00F33F0D" w:rsidRPr="00282AC9">
        <w:rPr>
          <w:rtl/>
        </w:rPr>
        <w:t>ى غنائم الحرب.</w:t>
      </w:r>
    </w:p>
    <w:p w:rsidR="00946A76" w:rsidRPr="00282AC9" w:rsidRDefault="00946A76" w:rsidP="00235851">
      <w:pPr>
        <w:spacing w:line="420" w:lineRule="exact"/>
        <w:rPr>
          <w:rtl/>
        </w:rPr>
      </w:pPr>
      <w:r w:rsidRPr="00282AC9">
        <w:rPr>
          <w:rtl/>
        </w:rPr>
        <w:t>وانتهى رشيد رضا إلى القول: والتحقيق أن الغنيمة في الشرع ما أخذه المسلمون من المنقولات في حرب الكف</w:t>
      </w:r>
      <w:r w:rsidR="00C066D2" w:rsidRPr="00282AC9">
        <w:rPr>
          <w:rFonts w:hint="cs"/>
          <w:rtl/>
        </w:rPr>
        <w:t>ّ</w:t>
      </w:r>
      <w:r w:rsidRPr="00282AC9">
        <w:rPr>
          <w:rtl/>
        </w:rPr>
        <w:t>ار عنوة</w:t>
      </w:r>
      <w:r w:rsidR="00C066D2" w:rsidRPr="00282AC9">
        <w:rPr>
          <w:rFonts w:hint="cs"/>
          <w:rtl/>
        </w:rPr>
        <w:t>ً</w:t>
      </w:r>
      <w:r w:rsidRPr="00282AC9">
        <w:rPr>
          <w:rFonts w:hint="cs"/>
          <w:vertAlign w:val="superscript"/>
          <w:rtl/>
        </w:rPr>
        <w:t>(</w:t>
      </w:r>
      <w:r w:rsidRPr="00282AC9">
        <w:rPr>
          <w:rStyle w:val="af9"/>
          <w:sz w:val="27"/>
          <w:rtl/>
        </w:rPr>
        <w:endnoteReference w:id="451"/>
      </w:r>
      <w:r w:rsidRPr="00282AC9">
        <w:rPr>
          <w:rFonts w:hint="cs"/>
          <w:vertAlign w:val="superscript"/>
          <w:rtl/>
        </w:rPr>
        <w:t>)</w:t>
      </w:r>
      <w:r w:rsidRPr="00282AC9">
        <w:rPr>
          <w:rtl/>
        </w:rPr>
        <w:t xml:space="preserve">. </w:t>
      </w:r>
    </w:p>
    <w:p w:rsidR="00946A76" w:rsidRPr="00282AC9" w:rsidRDefault="00946A76" w:rsidP="00C066D2">
      <w:pPr>
        <w:pStyle w:val="31"/>
        <w:rPr>
          <w:color w:val="auto"/>
          <w:rtl/>
        </w:rPr>
      </w:pPr>
      <w:r w:rsidRPr="00282AC9">
        <w:rPr>
          <w:color w:val="auto"/>
          <w:rtl/>
        </w:rPr>
        <w:lastRenderedPageBreak/>
        <w:t>ال</w:t>
      </w:r>
      <w:r w:rsidR="00C066D2" w:rsidRPr="00282AC9">
        <w:rPr>
          <w:rFonts w:hint="cs"/>
          <w:color w:val="auto"/>
          <w:rtl/>
        </w:rPr>
        <w:t>ا</w:t>
      </w:r>
      <w:r w:rsidRPr="00282AC9">
        <w:rPr>
          <w:color w:val="auto"/>
          <w:rtl/>
        </w:rPr>
        <w:t>تجاه الموس</w:t>
      </w:r>
      <w:r w:rsidR="00C066D2" w:rsidRPr="00282AC9">
        <w:rPr>
          <w:rFonts w:hint="cs"/>
          <w:color w:val="auto"/>
          <w:rtl/>
        </w:rPr>
        <w:t>ّ</w:t>
      </w:r>
      <w:r w:rsidRPr="00282AC9">
        <w:rPr>
          <w:color w:val="auto"/>
          <w:rtl/>
        </w:rPr>
        <w:t>ع</w:t>
      </w:r>
    </w:p>
    <w:p w:rsidR="00946A76" w:rsidRPr="00282AC9" w:rsidRDefault="00946A76" w:rsidP="00186251">
      <w:pPr>
        <w:rPr>
          <w:rtl/>
        </w:rPr>
      </w:pPr>
      <w:r w:rsidRPr="00282AC9">
        <w:rPr>
          <w:rtl/>
        </w:rPr>
        <w:t>وفي المقابل ذكر بعض المفس</w:t>
      </w:r>
      <w:r w:rsidR="00C066D2" w:rsidRPr="00282AC9">
        <w:rPr>
          <w:rFonts w:hint="cs"/>
          <w:rtl/>
        </w:rPr>
        <w:t>ِّ</w:t>
      </w:r>
      <w:r w:rsidRPr="00282AC9">
        <w:rPr>
          <w:rtl/>
        </w:rPr>
        <w:t>رين كلا المفهومين للغنيمة</w:t>
      </w:r>
      <w:r w:rsidR="00C066D2" w:rsidRPr="00282AC9">
        <w:rPr>
          <w:rFonts w:hint="cs"/>
          <w:rtl/>
        </w:rPr>
        <w:t>،</w:t>
      </w:r>
      <w:r w:rsidRPr="00282AC9">
        <w:rPr>
          <w:rtl/>
        </w:rPr>
        <w:t xml:space="preserve"> سواء الضي</w:t>
      </w:r>
      <w:r w:rsidR="00C066D2" w:rsidRPr="00282AC9">
        <w:rPr>
          <w:rFonts w:hint="cs"/>
          <w:rtl/>
        </w:rPr>
        <w:t>ِّ</w:t>
      </w:r>
      <w:r w:rsidRPr="00282AC9">
        <w:rPr>
          <w:rtl/>
        </w:rPr>
        <w:t>ق أو الواسع. ومع كون المعنى الضي</w:t>
      </w:r>
      <w:r w:rsidR="00C066D2" w:rsidRPr="00282AC9">
        <w:rPr>
          <w:rFonts w:hint="cs"/>
          <w:rtl/>
        </w:rPr>
        <w:t>ِّ</w:t>
      </w:r>
      <w:r w:rsidRPr="00282AC9">
        <w:rPr>
          <w:rtl/>
        </w:rPr>
        <w:t>ق ـ على الأقل</w:t>
      </w:r>
      <w:r w:rsidR="00C066D2" w:rsidRPr="00282AC9">
        <w:rPr>
          <w:rFonts w:hint="cs"/>
          <w:rtl/>
        </w:rPr>
        <w:t>ّ</w:t>
      </w:r>
      <w:r w:rsidRPr="00282AC9">
        <w:rPr>
          <w:rtl/>
        </w:rPr>
        <w:t xml:space="preserve"> ـ مصداقا</w:t>
      </w:r>
      <w:r w:rsidR="00C066D2" w:rsidRPr="00282AC9">
        <w:rPr>
          <w:rFonts w:hint="cs"/>
          <w:rtl/>
        </w:rPr>
        <w:t>ً</w:t>
      </w:r>
      <w:r w:rsidRPr="00282AC9">
        <w:rPr>
          <w:rtl/>
        </w:rPr>
        <w:t xml:space="preserve"> بارزا</w:t>
      </w:r>
      <w:r w:rsidR="00C066D2" w:rsidRPr="00282AC9">
        <w:rPr>
          <w:rFonts w:hint="cs"/>
          <w:rtl/>
        </w:rPr>
        <w:t>ً</w:t>
      </w:r>
      <w:r w:rsidRPr="00282AC9">
        <w:rPr>
          <w:rtl/>
        </w:rPr>
        <w:t xml:space="preserve"> غير أنهم مالوا إلى المفهوم الأوسع</w:t>
      </w:r>
      <w:r w:rsidR="00C066D2" w:rsidRPr="00282AC9">
        <w:rPr>
          <w:rFonts w:hint="cs"/>
          <w:rtl/>
        </w:rPr>
        <w:t>؛</w:t>
      </w:r>
      <w:r w:rsidRPr="00282AC9">
        <w:rPr>
          <w:rtl/>
        </w:rPr>
        <w:t xml:space="preserve"> ات</w:t>
      </w:r>
      <w:r w:rsidR="00C066D2" w:rsidRPr="00282AC9">
        <w:rPr>
          <w:rFonts w:hint="cs"/>
          <w:rtl/>
        </w:rPr>
        <w:t>ّ</w:t>
      </w:r>
      <w:r w:rsidRPr="00282AC9">
        <w:rPr>
          <w:rtl/>
        </w:rPr>
        <w:t>ساقا</w:t>
      </w:r>
      <w:r w:rsidRPr="00282AC9">
        <w:rPr>
          <w:rFonts w:hint="cs"/>
          <w:rtl/>
        </w:rPr>
        <w:t>ً</w:t>
      </w:r>
      <w:r w:rsidRPr="00282AC9">
        <w:rPr>
          <w:rtl/>
        </w:rPr>
        <w:t xml:space="preserve"> مع الموقف الروائي والفقهي لديهم. وفي الوقت نفسه صر</w:t>
      </w:r>
      <w:r w:rsidR="00C066D2" w:rsidRPr="00282AC9">
        <w:rPr>
          <w:rFonts w:hint="cs"/>
          <w:rtl/>
        </w:rPr>
        <w:t>َّ</w:t>
      </w:r>
      <w:r w:rsidRPr="00282AC9">
        <w:rPr>
          <w:rtl/>
        </w:rPr>
        <w:t>حوا بأنه يت</w:t>
      </w:r>
      <w:r w:rsidR="00C066D2" w:rsidRPr="00282AC9">
        <w:rPr>
          <w:rFonts w:hint="cs"/>
          <w:rtl/>
        </w:rPr>
        <w:t>ّ</w:t>
      </w:r>
      <w:r w:rsidRPr="00282AC9">
        <w:rPr>
          <w:rtl/>
        </w:rPr>
        <w:t xml:space="preserve">فق مع الدلالة اللغوية. </w:t>
      </w:r>
    </w:p>
    <w:p w:rsidR="00946A76" w:rsidRPr="00282AC9" w:rsidRDefault="00946A76" w:rsidP="00186251">
      <w:pPr>
        <w:rPr>
          <w:rtl/>
        </w:rPr>
      </w:pPr>
      <w:r w:rsidRPr="00282AC9">
        <w:rPr>
          <w:rtl/>
        </w:rPr>
        <w:t>عر</w:t>
      </w:r>
      <w:r w:rsidR="00C066D2" w:rsidRPr="00282AC9">
        <w:rPr>
          <w:rFonts w:hint="cs"/>
          <w:rtl/>
        </w:rPr>
        <w:t>ّ</w:t>
      </w:r>
      <w:r w:rsidRPr="00282AC9">
        <w:rPr>
          <w:rtl/>
        </w:rPr>
        <w:t>ف الطوسي(460</w:t>
      </w:r>
      <w:r w:rsidRPr="00282AC9">
        <w:rPr>
          <w:rFonts w:hint="cs"/>
          <w:rtl/>
        </w:rPr>
        <w:t>هـ</w:t>
      </w:r>
      <w:r w:rsidRPr="00282AC9">
        <w:rPr>
          <w:rtl/>
        </w:rPr>
        <w:t>) الغنيمة بالمعنى اللغوي السائد</w:t>
      </w:r>
      <w:r w:rsidR="00C066D2" w:rsidRPr="00282AC9">
        <w:rPr>
          <w:rFonts w:hint="cs"/>
          <w:rtl/>
        </w:rPr>
        <w:t>،</w:t>
      </w:r>
      <w:r w:rsidRPr="00282AC9">
        <w:rPr>
          <w:rtl/>
        </w:rPr>
        <w:t xml:space="preserve"> وهو: ما أخذ من أموال أهل الحرب من الكف</w:t>
      </w:r>
      <w:r w:rsidR="00C066D2" w:rsidRPr="00282AC9">
        <w:rPr>
          <w:rFonts w:hint="cs"/>
          <w:rtl/>
        </w:rPr>
        <w:t>ّ</w:t>
      </w:r>
      <w:r w:rsidRPr="00282AC9">
        <w:rPr>
          <w:rtl/>
        </w:rPr>
        <w:t>ار بقتال</w:t>
      </w:r>
      <w:r w:rsidR="00C066D2" w:rsidRPr="00282AC9">
        <w:rPr>
          <w:rFonts w:hint="cs"/>
          <w:rtl/>
        </w:rPr>
        <w:t>ٍ</w:t>
      </w:r>
      <w:r w:rsidRPr="00282AC9">
        <w:rPr>
          <w:rtl/>
        </w:rPr>
        <w:t>. وتطر</w:t>
      </w:r>
      <w:r w:rsidR="00C066D2" w:rsidRPr="00282AC9">
        <w:rPr>
          <w:rFonts w:hint="cs"/>
          <w:rtl/>
        </w:rPr>
        <w:t>َّ</w:t>
      </w:r>
      <w:r w:rsidRPr="00282AC9">
        <w:rPr>
          <w:rtl/>
        </w:rPr>
        <w:t>ق إلى بعض الآراء حول الفرق بين الغنيمة والف</w:t>
      </w:r>
      <w:r w:rsidR="00C066D2" w:rsidRPr="00282AC9">
        <w:rPr>
          <w:rFonts w:hint="cs"/>
          <w:rtl/>
        </w:rPr>
        <w:t>َ</w:t>
      </w:r>
      <w:r w:rsidRPr="00282AC9">
        <w:rPr>
          <w:rtl/>
        </w:rPr>
        <w:t>ي</w:t>
      </w:r>
      <w:r w:rsidR="00C066D2" w:rsidRPr="00282AC9">
        <w:rPr>
          <w:rFonts w:hint="cs"/>
          <w:rtl/>
        </w:rPr>
        <w:t>ْء.</w:t>
      </w:r>
      <w:r w:rsidRPr="00282AC9">
        <w:rPr>
          <w:rtl/>
        </w:rPr>
        <w:t xml:space="preserve"> وقال: وعند أصحابنا الخمس يجب في كل</w:t>
      </w:r>
      <w:r w:rsidR="00C066D2" w:rsidRPr="00282AC9">
        <w:rPr>
          <w:rFonts w:hint="cs"/>
          <w:rtl/>
        </w:rPr>
        <w:t>ّ</w:t>
      </w:r>
      <w:r w:rsidRPr="00282AC9">
        <w:rPr>
          <w:rtl/>
        </w:rPr>
        <w:t xml:space="preserve"> فائدة</w:t>
      </w:r>
      <w:r w:rsidR="00C066D2" w:rsidRPr="00282AC9">
        <w:rPr>
          <w:rFonts w:hint="cs"/>
          <w:rtl/>
        </w:rPr>
        <w:t>ٍ</w:t>
      </w:r>
      <w:r w:rsidRPr="00282AC9">
        <w:rPr>
          <w:rtl/>
        </w:rPr>
        <w:t xml:space="preserve"> تحصل لل</w:t>
      </w:r>
      <w:r w:rsidR="006A624F" w:rsidRPr="00282AC9">
        <w:rPr>
          <w:rFonts w:hint="cs"/>
          <w:rtl/>
        </w:rPr>
        <w:t>إ</w:t>
      </w:r>
      <w:r w:rsidRPr="00282AC9">
        <w:rPr>
          <w:rtl/>
        </w:rPr>
        <w:t>نسان من المكاسب وأرباح التجارات والكنوز والمعادن والغوص وغير ذلك</w:t>
      </w:r>
      <w:r w:rsidR="00C066D2" w:rsidRPr="00282AC9">
        <w:rPr>
          <w:rFonts w:hint="cs"/>
          <w:rtl/>
        </w:rPr>
        <w:t>،</w:t>
      </w:r>
      <w:r w:rsidRPr="00282AC9">
        <w:rPr>
          <w:rtl/>
        </w:rPr>
        <w:t xml:space="preserve"> مم</w:t>
      </w:r>
      <w:r w:rsidR="00C066D2" w:rsidRPr="00282AC9">
        <w:rPr>
          <w:rFonts w:hint="cs"/>
          <w:rtl/>
        </w:rPr>
        <w:t>ّ</w:t>
      </w:r>
      <w:r w:rsidRPr="00282AC9">
        <w:rPr>
          <w:rtl/>
        </w:rPr>
        <w:t>ا ذكرناه في كتب الفقه. وعل</w:t>
      </w:r>
      <w:r w:rsidR="00C066D2" w:rsidRPr="00282AC9">
        <w:rPr>
          <w:rFonts w:hint="cs"/>
          <w:rtl/>
        </w:rPr>
        <w:t>َّ</w:t>
      </w:r>
      <w:r w:rsidRPr="00282AC9">
        <w:rPr>
          <w:rtl/>
        </w:rPr>
        <w:t xml:space="preserve">ل ذلك بقوله: ويمكن الاستدلال على ذلك </w:t>
      </w:r>
      <w:r w:rsidR="00C066D2" w:rsidRPr="00282AC9">
        <w:rPr>
          <w:rFonts w:hint="cs"/>
          <w:rtl/>
        </w:rPr>
        <w:t>[</w:t>
      </w:r>
      <w:r w:rsidRPr="00282AC9">
        <w:rPr>
          <w:rtl/>
        </w:rPr>
        <w:t>المعنى الواسع</w:t>
      </w:r>
      <w:r w:rsidR="00C066D2" w:rsidRPr="00282AC9">
        <w:rPr>
          <w:rFonts w:hint="cs"/>
          <w:rtl/>
        </w:rPr>
        <w:t>]</w:t>
      </w:r>
      <w:r w:rsidRPr="00282AC9">
        <w:rPr>
          <w:rtl/>
        </w:rPr>
        <w:t xml:space="preserve"> بهذه الآية</w:t>
      </w:r>
      <w:r w:rsidR="00C066D2" w:rsidRPr="00282AC9">
        <w:rPr>
          <w:rFonts w:hint="cs"/>
          <w:rtl/>
        </w:rPr>
        <w:t>؛</w:t>
      </w:r>
      <w:r w:rsidRPr="00282AC9">
        <w:rPr>
          <w:rtl/>
        </w:rPr>
        <w:t xml:space="preserve"> لأن جميع ذلك ي</w:t>
      </w:r>
      <w:r w:rsidR="00C066D2" w:rsidRPr="00282AC9">
        <w:rPr>
          <w:rFonts w:hint="cs"/>
          <w:rtl/>
        </w:rPr>
        <w:t>ُ</w:t>
      </w:r>
      <w:r w:rsidRPr="00282AC9">
        <w:rPr>
          <w:rtl/>
        </w:rPr>
        <w:t>سم</w:t>
      </w:r>
      <w:r w:rsidR="00C066D2" w:rsidRPr="00282AC9">
        <w:rPr>
          <w:rFonts w:hint="cs"/>
          <w:rtl/>
        </w:rPr>
        <w:t>ّ</w:t>
      </w:r>
      <w:r w:rsidRPr="00282AC9">
        <w:rPr>
          <w:rtl/>
        </w:rPr>
        <w:t>ى غنيمة</w:t>
      </w:r>
      <w:r w:rsidR="00C066D2" w:rsidRPr="00282AC9">
        <w:rPr>
          <w:rFonts w:hint="cs"/>
          <w:rtl/>
        </w:rPr>
        <w:t>ً</w:t>
      </w:r>
      <w:r w:rsidRPr="00282AC9">
        <w:rPr>
          <w:rFonts w:hint="cs"/>
          <w:vertAlign w:val="superscript"/>
          <w:rtl/>
        </w:rPr>
        <w:t>(</w:t>
      </w:r>
      <w:r w:rsidRPr="00282AC9">
        <w:rPr>
          <w:rStyle w:val="af9"/>
          <w:sz w:val="27"/>
          <w:rtl/>
        </w:rPr>
        <w:endnoteReference w:id="452"/>
      </w:r>
      <w:r w:rsidRPr="00282AC9">
        <w:rPr>
          <w:rFonts w:hint="cs"/>
          <w:vertAlign w:val="superscript"/>
          <w:rtl/>
        </w:rPr>
        <w:t>)</w:t>
      </w:r>
      <w:r w:rsidR="00C066D2" w:rsidRPr="00282AC9">
        <w:rPr>
          <w:rFonts w:hint="cs"/>
          <w:rtl/>
        </w:rPr>
        <w:t>.</w:t>
      </w:r>
    </w:p>
    <w:p w:rsidR="00C066D2" w:rsidRPr="00282AC9" w:rsidRDefault="00946A76" w:rsidP="00235851">
      <w:pPr>
        <w:spacing w:line="410" w:lineRule="exact"/>
        <w:rPr>
          <w:rtl/>
        </w:rPr>
      </w:pPr>
      <w:r w:rsidRPr="00282AC9">
        <w:rPr>
          <w:rtl/>
        </w:rPr>
        <w:t xml:space="preserve">ففي نظره </w:t>
      </w:r>
      <w:r w:rsidR="00C066D2" w:rsidRPr="00282AC9">
        <w:rPr>
          <w:rFonts w:hint="cs"/>
          <w:rtl/>
        </w:rPr>
        <w:t>إ</w:t>
      </w:r>
      <w:r w:rsidRPr="00282AC9">
        <w:rPr>
          <w:rtl/>
        </w:rPr>
        <w:t>ن دلالة الآية أوسع من مجر</w:t>
      </w:r>
      <w:r w:rsidR="00C066D2" w:rsidRPr="00282AC9">
        <w:rPr>
          <w:rFonts w:hint="cs"/>
          <w:rtl/>
        </w:rPr>
        <w:t>ّ</w:t>
      </w:r>
      <w:r w:rsidRPr="00282AC9">
        <w:rPr>
          <w:rtl/>
        </w:rPr>
        <w:t>د ما ي</w:t>
      </w:r>
      <w:r w:rsidR="00C066D2" w:rsidRPr="00282AC9">
        <w:rPr>
          <w:rFonts w:hint="cs"/>
          <w:rtl/>
        </w:rPr>
        <w:t>ُ</w:t>
      </w:r>
      <w:r w:rsidRPr="00282AC9">
        <w:rPr>
          <w:rtl/>
        </w:rPr>
        <w:t>ؤخ</w:t>
      </w:r>
      <w:r w:rsidR="00C066D2" w:rsidRPr="00282AC9">
        <w:rPr>
          <w:rFonts w:hint="cs"/>
          <w:rtl/>
        </w:rPr>
        <w:t>َ</w:t>
      </w:r>
      <w:r w:rsidRPr="00282AC9">
        <w:rPr>
          <w:rtl/>
        </w:rPr>
        <w:t>ذ من أموال الكف</w:t>
      </w:r>
      <w:r w:rsidR="00C066D2" w:rsidRPr="00282AC9">
        <w:rPr>
          <w:rFonts w:hint="cs"/>
          <w:rtl/>
        </w:rPr>
        <w:t>ّ</w:t>
      </w:r>
      <w:r w:rsidRPr="00282AC9">
        <w:rPr>
          <w:rtl/>
        </w:rPr>
        <w:t>ار في الحرب</w:t>
      </w:r>
      <w:r w:rsidR="00C066D2" w:rsidRPr="00282AC9">
        <w:rPr>
          <w:rFonts w:hint="cs"/>
          <w:rtl/>
        </w:rPr>
        <w:t>؛</w:t>
      </w:r>
      <w:r w:rsidRPr="00282AC9">
        <w:rPr>
          <w:rtl/>
        </w:rPr>
        <w:t xml:space="preserve"> لأن دلالة الغنيمة تشمل كل</w:t>
      </w:r>
      <w:r w:rsidR="00C066D2" w:rsidRPr="00282AC9">
        <w:rPr>
          <w:rFonts w:hint="cs"/>
          <w:rtl/>
        </w:rPr>
        <w:t>ّ</w:t>
      </w:r>
      <w:r w:rsidRPr="00282AC9">
        <w:rPr>
          <w:rtl/>
        </w:rPr>
        <w:t xml:space="preserve"> فائدة</w:t>
      </w:r>
      <w:r w:rsidR="00C066D2" w:rsidRPr="00282AC9">
        <w:rPr>
          <w:rFonts w:hint="cs"/>
          <w:rtl/>
        </w:rPr>
        <w:t>ٍ</w:t>
      </w:r>
      <w:r w:rsidR="00C066D2" w:rsidRPr="00282AC9">
        <w:rPr>
          <w:rtl/>
        </w:rPr>
        <w:t xml:space="preserve"> تحصل للإنسان.</w:t>
      </w:r>
    </w:p>
    <w:p w:rsidR="00946A76" w:rsidRPr="00282AC9" w:rsidRDefault="00946A76" w:rsidP="00186251">
      <w:pPr>
        <w:rPr>
          <w:rtl/>
        </w:rPr>
      </w:pPr>
      <w:r w:rsidRPr="00282AC9">
        <w:rPr>
          <w:rtl/>
        </w:rPr>
        <w:t>ويبدو أنه حاول الجمع بين الدلالة اللغوي</w:t>
      </w:r>
      <w:r w:rsidR="00C066D2" w:rsidRPr="00282AC9">
        <w:rPr>
          <w:rFonts w:hint="cs"/>
          <w:rtl/>
        </w:rPr>
        <w:t>ّ</w:t>
      </w:r>
      <w:r w:rsidRPr="00282AC9">
        <w:rPr>
          <w:rtl/>
        </w:rPr>
        <w:t>ة وموقفه الفقهي</w:t>
      </w:r>
      <w:r w:rsidR="00C066D2" w:rsidRPr="00282AC9">
        <w:rPr>
          <w:rFonts w:hint="cs"/>
          <w:rtl/>
        </w:rPr>
        <w:t>ّ</w:t>
      </w:r>
      <w:r w:rsidRPr="00282AC9">
        <w:rPr>
          <w:rtl/>
        </w:rPr>
        <w:t>.</w:t>
      </w:r>
    </w:p>
    <w:p w:rsidR="00946A76" w:rsidRPr="00282AC9" w:rsidRDefault="00946A76" w:rsidP="00186251">
      <w:pPr>
        <w:rPr>
          <w:rtl/>
        </w:rPr>
      </w:pPr>
      <w:r w:rsidRPr="00282AC9">
        <w:rPr>
          <w:rtl/>
        </w:rPr>
        <w:t xml:space="preserve"> ووافقه الطبرسي(548</w:t>
      </w:r>
      <w:r w:rsidRPr="00282AC9">
        <w:rPr>
          <w:rFonts w:hint="cs"/>
          <w:rtl/>
        </w:rPr>
        <w:t>هـ</w:t>
      </w:r>
      <w:r w:rsidRPr="00282AC9">
        <w:rPr>
          <w:rtl/>
        </w:rPr>
        <w:t>) بقوله: ويمكن أن يستدل</w:t>
      </w:r>
      <w:r w:rsidR="00C066D2" w:rsidRPr="00282AC9">
        <w:rPr>
          <w:rFonts w:hint="cs"/>
          <w:rtl/>
        </w:rPr>
        <w:t>ّ</w:t>
      </w:r>
      <w:r w:rsidRPr="00282AC9">
        <w:rPr>
          <w:rtl/>
        </w:rPr>
        <w:t xml:space="preserve"> على ذلك بهذه الآية</w:t>
      </w:r>
      <w:r w:rsidR="00C066D2" w:rsidRPr="00282AC9">
        <w:rPr>
          <w:rFonts w:hint="cs"/>
          <w:rtl/>
        </w:rPr>
        <w:t>؛</w:t>
      </w:r>
      <w:r w:rsidRPr="00282AC9">
        <w:rPr>
          <w:rtl/>
        </w:rPr>
        <w:t xml:space="preserve"> لأن جميع ذلك ي</w:t>
      </w:r>
      <w:r w:rsidR="00C066D2" w:rsidRPr="00282AC9">
        <w:rPr>
          <w:rFonts w:hint="cs"/>
          <w:rtl/>
        </w:rPr>
        <w:t>ُ</w:t>
      </w:r>
      <w:r w:rsidRPr="00282AC9">
        <w:rPr>
          <w:rtl/>
        </w:rPr>
        <w:t>سم</w:t>
      </w:r>
      <w:r w:rsidR="00C066D2" w:rsidRPr="00282AC9">
        <w:rPr>
          <w:rFonts w:hint="cs"/>
          <w:rtl/>
        </w:rPr>
        <w:t>ّ</w:t>
      </w:r>
      <w:r w:rsidRPr="00282AC9">
        <w:rPr>
          <w:rtl/>
        </w:rPr>
        <w:t>ى غنيمة</w:t>
      </w:r>
      <w:r w:rsidR="00C066D2" w:rsidRPr="00282AC9">
        <w:rPr>
          <w:rFonts w:hint="cs"/>
          <w:rtl/>
        </w:rPr>
        <w:t>ً</w:t>
      </w:r>
      <w:r w:rsidRPr="00282AC9">
        <w:rPr>
          <w:rFonts w:hint="cs"/>
          <w:vertAlign w:val="superscript"/>
          <w:rtl/>
        </w:rPr>
        <w:t>(</w:t>
      </w:r>
      <w:r w:rsidRPr="00282AC9">
        <w:rPr>
          <w:rStyle w:val="af9"/>
          <w:sz w:val="27"/>
          <w:rtl/>
        </w:rPr>
        <w:endnoteReference w:id="453"/>
      </w:r>
      <w:r w:rsidRPr="00282AC9">
        <w:rPr>
          <w:rFonts w:hint="cs"/>
          <w:vertAlign w:val="superscript"/>
          <w:rtl/>
        </w:rPr>
        <w:t>)</w:t>
      </w:r>
      <w:r w:rsidR="00C066D2" w:rsidRPr="00282AC9">
        <w:rPr>
          <w:rFonts w:hint="cs"/>
          <w:rtl/>
        </w:rPr>
        <w:t>.</w:t>
      </w:r>
    </w:p>
    <w:p w:rsidR="00946A76" w:rsidRPr="00282AC9" w:rsidRDefault="00946A76" w:rsidP="00186251">
      <w:pPr>
        <w:rPr>
          <w:rtl/>
        </w:rPr>
      </w:pPr>
      <w:r w:rsidRPr="00282AC9">
        <w:rPr>
          <w:rtl/>
        </w:rPr>
        <w:t>ويت</w:t>
      </w:r>
      <w:r w:rsidR="00C066D2" w:rsidRPr="00282AC9">
        <w:rPr>
          <w:rFonts w:hint="cs"/>
          <w:rtl/>
        </w:rPr>
        <w:t>ّ</w:t>
      </w:r>
      <w:r w:rsidRPr="00282AC9">
        <w:rPr>
          <w:rtl/>
        </w:rPr>
        <w:t>ضح من كلامهما أنه مع كون ما ي</w:t>
      </w:r>
      <w:r w:rsidR="00C066D2" w:rsidRPr="00282AC9">
        <w:rPr>
          <w:rFonts w:hint="cs"/>
          <w:rtl/>
        </w:rPr>
        <w:t>ُ</w:t>
      </w:r>
      <w:r w:rsidRPr="00282AC9">
        <w:rPr>
          <w:rtl/>
        </w:rPr>
        <w:t>ؤخ</w:t>
      </w:r>
      <w:r w:rsidR="00C066D2" w:rsidRPr="00282AC9">
        <w:rPr>
          <w:rFonts w:hint="cs"/>
          <w:rtl/>
        </w:rPr>
        <w:t>َ</w:t>
      </w:r>
      <w:r w:rsidRPr="00282AC9">
        <w:rPr>
          <w:rtl/>
        </w:rPr>
        <w:t>ذ من أموال العدو</w:t>
      </w:r>
      <w:r w:rsidR="00C066D2" w:rsidRPr="00282AC9">
        <w:rPr>
          <w:rFonts w:hint="cs"/>
          <w:rtl/>
        </w:rPr>
        <w:t>ّ</w:t>
      </w:r>
      <w:r w:rsidRPr="00282AC9">
        <w:rPr>
          <w:rtl/>
        </w:rPr>
        <w:t xml:space="preserve"> في الحرب هو المفهوم السائد والمصداق البارز للغنيمة، إلا</w:t>
      </w:r>
      <w:r w:rsidR="00C066D2" w:rsidRPr="00282AC9">
        <w:rPr>
          <w:rFonts w:hint="cs"/>
          <w:rtl/>
        </w:rPr>
        <w:t>ّ</w:t>
      </w:r>
      <w:r w:rsidRPr="00282AC9">
        <w:rPr>
          <w:rtl/>
        </w:rPr>
        <w:t xml:space="preserve"> أن دلالة الكلمة ليست منحصرة</w:t>
      </w:r>
      <w:r w:rsidR="005E14F0" w:rsidRPr="00282AC9">
        <w:rPr>
          <w:rFonts w:hint="cs"/>
          <w:rtl/>
        </w:rPr>
        <w:t>ً</w:t>
      </w:r>
      <w:r w:rsidRPr="00282AC9">
        <w:rPr>
          <w:rtl/>
        </w:rPr>
        <w:t xml:space="preserve"> فيه. </w:t>
      </w:r>
    </w:p>
    <w:p w:rsidR="00946A76" w:rsidRPr="00282AC9" w:rsidRDefault="00946A76" w:rsidP="00186251">
      <w:pPr>
        <w:rPr>
          <w:rtl/>
        </w:rPr>
      </w:pPr>
      <w:r w:rsidRPr="00282AC9">
        <w:rPr>
          <w:rtl/>
        </w:rPr>
        <w:t>وقريب منه رأي الراوندي(573</w:t>
      </w:r>
      <w:r w:rsidRPr="00282AC9">
        <w:rPr>
          <w:rFonts w:hint="cs"/>
          <w:rtl/>
        </w:rPr>
        <w:t>هـ</w:t>
      </w:r>
      <w:r w:rsidRPr="00282AC9">
        <w:rPr>
          <w:rtl/>
        </w:rPr>
        <w:t>)</w:t>
      </w:r>
      <w:r w:rsidR="005E14F0" w:rsidRPr="00282AC9">
        <w:rPr>
          <w:rFonts w:hint="cs"/>
          <w:rtl/>
        </w:rPr>
        <w:t>،</w:t>
      </w:r>
      <w:r w:rsidRPr="00282AC9">
        <w:rPr>
          <w:rtl/>
        </w:rPr>
        <w:t xml:space="preserve"> الذي قال: الغنيمة ما أ</w:t>
      </w:r>
      <w:r w:rsidR="005E14F0" w:rsidRPr="00282AC9">
        <w:rPr>
          <w:rFonts w:hint="cs"/>
          <w:rtl/>
        </w:rPr>
        <w:t>ُ</w:t>
      </w:r>
      <w:r w:rsidRPr="00282AC9">
        <w:rPr>
          <w:rtl/>
        </w:rPr>
        <w:t>خذ من أموال أهل الحرب من الكف</w:t>
      </w:r>
      <w:r w:rsidR="005E14F0" w:rsidRPr="00282AC9">
        <w:rPr>
          <w:rFonts w:hint="cs"/>
          <w:rtl/>
        </w:rPr>
        <w:t>ّ</w:t>
      </w:r>
      <w:r w:rsidRPr="00282AC9">
        <w:rPr>
          <w:rtl/>
        </w:rPr>
        <w:t>ار بقتال</w:t>
      </w:r>
      <w:r w:rsidR="005E14F0" w:rsidRPr="00282AC9">
        <w:rPr>
          <w:rFonts w:hint="cs"/>
          <w:rtl/>
        </w:rPr>
        <w:t>ٍ</w:t>
      </w:r>
      <w:r w:rsidRPr="00282AC9">
        <w:rPr>
          <w:rtl/>
        </w:rPr>
        <w:t>، وهي هبة من الله للمسلمين.</w:t>
      </w:r>
      <w:r w:rsidRPr="00282AC9">
        <w:rPr>
          <w:rFonts w:hint="cs"/>
          <w:rtl/>
        </w:rPr>
        <w:t xml:space="preserve"> </w:t>
      </w:r>
      <w:r w:rsidRPr="00282AC9">
        <w:rPr>
          <w:rtl/>
        </w:rPr>
        <w:t>وأضاف: والخمس يجب فيها</w:t>
      </w:r>
      <w:r w:rsidR="005E14F0" w:rsidRPr="00282AC9">
        <w:rPr>
          <w:rFonts w:hint="cs"/>
          <w:rtl/>
        </w:rPr>
        <w:t>،</w:t>
      </w:r>
      <w:r w:rsidRPr="00282AC9">
        <w:rPr>
          <w:rtl/>
        </w:rPr>
        <w:t xml:space="preserve"> وفي كل</w:t>
      </w:r>
      <w:r w:rsidR="005E14F0" w:rsidRPr="00282AC9">
        <w:rPr>
          <w:rFonts w:hint="cs"/>
          <w:rtl/>
        </w:rPr>
        <w:t>ّ</w:t>
      </w:r>
      <w:r w:rsidRPr="00282AC9">
        <w:rPr>
          <w:rtl/>
        </w:rPr>
        <w:t xml:space="preserve"> فائدة</w:t>
      </w:r>
      <w:r w:rsidR="005E14F0" w:rsidRPr="00282AC9">
        <w:rPr>
          <w:rFonts w:hint="cs"/>
          <w:rtl/>
        </w:rPr>
        <w:t>ٍ</w:t>
      </w:r>
      <w:r w:rsidRPr="00282AC9">
        <w:rPr>
          <w:rtl/>
        </w:rPr>
        <w:t xml:space="preserve"> تحصل لل</w:t>
      </w:r>
      <w:r w:rsidR="006A624F" w:rsidRPr="00282AC9">
        <w:rPr>
          <w:rFonts w:hint="cs"/>
          <w:rtl/>
        </w:rPr>
        <w:t>إ</w:t>
      </w:r>
      <w:r w:rsidRPr="00282AC9">
        <w:rPr>
          <w:rtl/>
        </w:rPr>
        <w:t>نسان من المكاسب وأرباح التجارات</w:t>
      </w:r>
      <w:r w:rsidR="005E14F0" w:rsidRPr="00282AC9">
        <w:rPr>
          <w:rFonts w:hint="cs"/>
          <w:rtl/>
        </w:rPr>
        <w:t>،</w:t>
      </w:r>
      <w:r w:rsidRPr="00282AC9">
        <w:rPr>
          <w:rtl/>
        </w:rPr>
        <w:t xml:space="preserve"> وف</w:t>
      </w:r>
      <w:r w:rsidR="005E14F0" w:rsidRPr="00282AC9">
        <w:rPr>
          <w:rFonts w:hint="cs"/>
          <w:rtl/>
        </w:rPr>
        <w:t>ي</w:t>
      </w:r>
      <w:r w:rsidRPr="00282AC9">
        <w:rPr>
          <w:rtl/>
        </w:rPr>
        <w:t xml:space="preserve"> الكنوز والمعادن والغوص وغير ذلك. وهي خمسة وعشرون جنسا</w:t>
      </w:r>
      <w:r w:rsidR="005E14F0" w:rsidRPr="00282AC9">
        <w:rPr>
          <w:rFonts w:hint="cs"/>
          <w:rtl/>
        </w:rPr>
        <w:t xml:space="preserve">ً، </w:t>
      </w:r>
      <w:r w:rsidRPr="00282AC9">
        <w:rPr>
          <w:rtl/>
        </w:rPr>
        <w:t>وكل</w:t>
      </w:r>
      <w:r w:rsidR="005E14F0" w:rsidRPr="00282AC9">
        <w:rPr>
          <w:rFonts w:hint="cs"/>
          <w:rtl/>
        </w:rPr>
        <w:t>ّ</w:t>
      </w:r>
      <w:r w:rsidRPr="00282AC9">
        <w:rPr>
          <w:rtl/>
        </w:rPr>
        <w:t xml:space="preserve"> واحد منها غنيمة</w:t>
      </w:r>
      <w:r w:rsidR="005E14F0" w:rsidRPr="00282AC9">
        <w:rPr>
          <w:rFonts w:hint="cs"/>
          <w:rtl/>
        </w:rPr>
        <w:t>ٌ.</w:t>
      </w:r>
      <w:r w:rsidRPr="00282AC9">
        <w:rPr>
          <w:rtl/>
        </w:rPr>
        <w:t xml:space="preserve"> فإذا كان كذلك فالاستدلال يمكن عليها كل</w:t>
      </w:r>
      <w:r w:rsidR="005E14F0" w:rsidRPr="00282AC9">
        <w:rPr>
          <w:rFonts w:hint="cs"/>
          <w:rtl/>
        </w:rPr>
        <w:t>ّ</w:t>
      </w:r>
      <w:r w:rsidRPr="00282AC9">
        <w:rPr>
          <w:rtl/>
        </w:rPr>
        <w:t>ها بهذه الآية</w:t>
      </w:r>
      <w:r w:rsidR="005E14F0" w:rsidRPr="00282AC9">
        <w:rPr>
          <w:rFonts w:hint="cs"/>
          <w:rtl/>
        </w:rPr>
        <w:t xml:space="preserve">. </w:t>
      </w:r>
      <w:r w:rsidRPr="00282AC9">
        <w:rPr>
          <w:rtl/>
        </w:rPr>
        <w:t>ويدل</w:t>
      </w:r>
      <w:r w:rsidR="005E14F0" w:rsidRPr="00282AC9">
        <w:rPr>
          <w:rFonts w:hint="cs"/>
          <w:rtl/>
        </w:rPr>
        <w:t>ّ</w:t>
      </w:r>
      <w:r w:rsidRPr="00282AC9">
        <w:rPr>
          <w:rtl/>
        </w:rPr>
        <w:t xml:space="preserve"> عليها جملة</w:t>
      </w:r>
      <w:r w:rsidR="005E14F0" w:rsidRPr="00282AC9">
        <w:rPr>
          <w:rFonts w:hint="cs"/>
          <w:rtl/>
        </w:rPr>
        <w:t>ُ</w:t>
      </w:r>
      <w:r w:rsidRPr="00282AC9">
        <w:rPr>
          <w:rtl/>
        </w:rPr>
        <w:t xml:space="preserve"> قوله تعالى</w:t>
      </w:r>
      <w:r w:rsidR="006A624F" w:rsidRPr="00282AC9">
        <w:rPr>
          <w:rFonts w:hint="cs"/>
          <w:rtl/>
        </w:rPr>
        <w:t>:</w:t>
      </w:r>
      <w:r w:rsidRPr="00282AC9">
        <w:rPr>
          <w:rtl/>
        </w:rPr>
        <w:t xml:space="preserve"> </w:t>
      </w:r>
      <w:r w:rsidR="005E14F0" w:rsidRPr="00282AC9">
        <w:rPr>
          <w:rFonts w:ascii="Mosawi" w:hAnsi="Mosawi" w:cs="Mosawi"/>
          <w:sz w:val="24"/>
          <w:szCs w:val="24"/>
          <w:rtl/>
        </w:rPr>
        <w:t>﴿</w:t>
      </w:r>
      <w:r w:rsidR="005E14F0" w:rsidRPr="00282AC9">
        <w:rPr>
          <w:b/>
          <w:bCs/>
          <w:sz w:val="27"/>
          <w:rtl/>
        </w:rPr>
        <w:t>وَأَنزَلْنَا إِلَيْكَ الذِّكْرَ لِتُبَيِّنَ لِلنَّاسِ مَا نُزِّلَ إِلَيْهِمْ</w:t>
      </w:r>
      <w:r w:rsidR="005E14F0" w:rsidRPr="00282AC9">
        <w:rPr>
          <w:rFonts w:ascii="Mosawi" w:hAnsi="Mosawi" w:cs="Mosawi"/>
          <w:sz w:val="24"/>
          <w:szCs w:val="24"/>
          <w:rtl/>
        </w:rPr>
        <w:t>﴾</w:t>
      </w:r>
      <w:r w:rsidRPr="00282AC9">
        <w:rPr>
          <w:rFonts w:hint="cs"/>
          <w:vertAlign w:val="superscript"/>
          <w:rtl/>
        </w:rPr>
        <w:t>(</w:t>
      </w:r>
      <w:r w:rsidRPr="00282AC9">
        <w:rPr>
          <w:rStyle w:val="af9"/>
          <w:sz w:val="27"/>
          <w:rtl/>
        </w:rPr>
        <w:endnoteReference w:id="454"/>
      </w:r>
      <w:r w:rsidRPr="00282AC9">
        <w:rPr>
          <w:rFonts w:hint="cs"/>
          <w:vertAlign w:val="superscript"/>
          <w:rtl/>
        </w:rPr>
        <w:t>)</w:t>
      </w:r>
      <w:r w:rsidR="005E14F0" w:rsidRPr="00282AC9">
        <w:rPr>
          <w:rFonts w:hint="cs"/>
          <w:rtl/>
        </w:rPr>
        <w:t>.</w:t>
      </w:r>
    </w:p>
    <w:p w:rsidR="00946A76" w:rsidRPr="00282AC9" w:rsidRDefault="00946A76" w:rsidP="00186251">
      <w:pPr>
        <w:rPr>
          <w:rtl/>
        </w:rPr>
      </w:pPr>
      <w:r w:rsidRPr="00282AC9">
        <w:rPr>
          <w:rtl/>
        </w:rPr>
        <w:t>فنجده</w:t>
      </w:r>
      <w:r w:rsidR="005E14F0" w:rsidRPr="00282AC9">
        <w:rPr>
          <w:rFonts w:hint="cs"/>
          <w:rtl/>
        </w:rPr>
        <w:t>،</w:t>
      </w:r>
      <w:r w:rsidRPr="00282AC9">
        <w:rPr>
          <w:rtl/>
        </w:rPr>
        <w:t xml:space="preserve"> مع تعريفه بالمصداق السائد، يؤك</w:t>
      </w:r>
      <w:r w:rsidR="005E14F0" w:rsidRPr="00282AC9">
        <w:rPr>
          <w:rFonts w:hint="cs"/>
          <w:rtl/>
        </w:rPr>
        <w:t>ِّ</w:t>
      </w:r>
      <w:r w:rsidRPr="00282AC9">
        <w:rPr>
          <w:rtl/>
        </w:rPr>
        <w:t>د اندراج مجموعة</w:t>
      </w:r>
      <w:r w:rsidR="005E14F0" w:rsidRPr="00282AC9">
        <w:rPr>
          <w:rFonts w:hint="cs"/>
          <w:rtl/>
        </w:rPr>
        <w:t>ٍ</w:t>
      </w:r>
      <w:r w:rsidRPr="00282AC9">
        <w:rPr>
          <w:rtl/>
        </w:rPr>
        <w:t xml:space="preserve"> من الموارد تحت مفهوم الغنيمة. ويظهر من تعقيبه بالصيغة الشرطية: </w:t>
      </w:r>
      <w:r w:rsidRPr="00282AC9">
        <w:rPr>
          <w:rFonts w:hint="eastAsia"/>
          <w:sz w:val="24"/>
          <w:szCs w:val="24"/>
          <w:rtl/>
        </w:rPr>
        <w:t>«</w:t>
      </w:r>
      <w:r w:rsidRPr="00282AC9">
        <w:rPr>
          <w:rtl/>
        </w:rPr>
        <w:t>ف</w:t>
      </w:r>
      <w:r w:rsidR="006A624F" w:rsidRPr="00282AC9">
        <w:rPr>
          <w:rFonts w:hint="cs"/>
          <w:rtl/>
        </w:rPr>
        <w:t>إ</w:t>
      </w:r>
      <w:r w:rsidRPr="00282AC9">
        <w:rPr>
          <w:rtl/>
        </w:rPr>
        <w:t xml:space="preserve">ذا كان كذلك فالاستدلال </w:t>
      </w:r>
      <w:r w:rsidRPr="00282AC9">
        <w:rPr>
          <w:rtl/>
        </w:rPr>
        <w:lastRenderedPageBreak/>
        <w:t>يمكن عليها كل</w:t>
      </w:r>
      <w:r w:rsidR="005E14F0" w:rsidRPr="00282AC9">
        <w:rPr>
          <w:rFonts w:hint="cs"/>
          <w:rtl/>
        </w:rPr>
        <w:t>ّ</w:t>
      </w:r>
      <w:r w:rsidRPr="00282AC9">
        <w:rPr>
          <w:rtl/>
        </w:rPr>
        <w:t>ها بهذه الآية</w:t>
      </w:r>
      <w:r w:rsidRPr="00282AC9">
        <w:rPr>
          <w:rFonts w:hint="eastAsia"/>
          <w:sz w:val="24"/>
          <w:szCs w:val="24"/>
          <w:rtl/>
        </w:rPr>
        <w:t>»</w:t>
      </w:r>
      <w:r w:rsidRPr="00282AC9">
        <w:rPr>
          <w:rtl/>
        </w:rPr>
        <w:t xml:space="preserve"> عدم جزمه بالمفهوم الواسع</w:t>
      </w:r>
      <w:r w:rsidR="005E14F0" w:rsidRPr="00282AC9">
        <w:rPr>
          <w:rFonts w:hint="cs"/>
          <w:rtl/>
        </w:rPr>
        <w:t>.</w:t>
      </w:r>
      <w:r w:rsidRPr="00282AC9">
        <w:rPr>
          <w:rtl/>
        </w:rPr>
        <w:t xml:space="preserve"> ولهذا عضده بقوله: ويدل</w:t>
      </w:r>
      <w:r w:rsidR="005E14F0" w:rsidRPr="00282AC9">
        <w:rPr>
          <w:rFonts w:hint="cs"/>
          <w:rtl/>
        </w:rPr>
        <w:t>ّ</w:t>
      </w:r>
      <w:r w:rsidRPr="00282AC9">
        <w:rPr>
          <w:rtl/>
        </w:rPr>
        <w:t xml:space="preserve"> عليه جملة</w:t>
      </w:r>
      <w:r w:rsidR="005E14F0" w:rsidRPr="00282AC9">
        <w:rPr>
          <w:rFonts w:hint="cs"/>
          <w:rtl/>
        </w:rPr>
        <w:t>ُ</w:t>
      </w:r>
      <w:r w:rsidRPr="00282AC9">
        <w:rPr>
          <w:rtl/>
        </w:rPr>
        <w:t xml:space="preserve"> قوله تعالى: </w:t>
      </w:r>
      <w:r w:rsidR="005E14F0" w:rsidRPr="00282AC9">
        <w:rPr>
          <w:rFonts w:ascii="Mosawi" w:hAnsi="Mosawi" w:cs="Mosawi"/>
          <w:sz w:val="24"/>
          <w:szCs w:val="24"/>
          <w:rtl/>
        </w:rPr>
        <w:t>﴿</w:t>
      </w:r>
      <w:r w:rsidR="005E14F0" w:rsidRPr="00282AC9">
        <w:rPr>
          <w:b/>
          <w:bCs/>
          <w:sz w:val="27"/>
          <w:rtl/>
        </w:rPr>
        <w:t>وَأَنزَلْنَا إِلَيْكَ الذِّكْرَ لِتُبَيِّنَ لِلنَّاسِ مَا نُزِّلَ إِلَيْهِمْ</w:t>
      </w:r>
      <w:r w:rsidR="005E14F0" w:rsidRPr="00282AC9">
        <w:rPr>
          <w:rFonts w:ascii="Mosawi" w:hAnsi="Mosawi" w:cs="Mosawi"/>
          <w:sz w:val="24"/>
          <w:szCs w:val="24"/>
          <w:rtl/>
        </w:rPr>
        <w:t>﴾</w:t>
      </w:r>
      <w:r w:rsidRPr="00282AC9">
        <w:rPr>
          <w:rtl/>
        </w:rPr>
        <w:t>. وكأن</w:t>
      </w:r>
      <w:r w:rsidR="005E14F0" w:rsidRPr="00282AC9">
        <w:rPr>
          <w:rFonts w:hint="cs"/>
          <w:rtl/>
        </w:rPr>
        <w:t>ّ</w:t>
      </w:r>
      <w:r w:rsidRPr="00282AC9">
        <w:rPr>
          <w:rtl/>
        </w:rPr>
        <w:t xml:space="preserve">ه أراد من ذلك الإشارة الضمنية </w:t>
      </w:r>
      <w:r w:rsidR="005E14F0" w:rsidRPr="00282AC9">
        <w:rPr>
          <w:rFonts w:hint="cs"/>
          <w:rtl/>
        </w:rPr>
        <w:t>إ</w:t>
      </w:r>
      <w:r w:rsidRPr="00282AC9">
        <w:rPr>
          <w:rtl/>
        </w:rPr>
        <w:t>لى أن الآية و</w:t>
      </w:r>
      <w:r w:rsidR="005E14F0" w:rsidRPr="00282AC9">
        <w:rPr>
          <w:rFonts w:hint="cs"/>
          <w:rtl/>
        </w:rPr>
        <w:t>َ</w:t>
      </w:r>
      <w:r w:rsidRPr="00282AC9">
        <w:rPr>
          <w:rtl/>
        </w:rPr>
        <w:t>ح</w:t>
      </w:r>
      <w:r w:rsidR="005E14F0" w:rsidRPr="00282AC9">
        <w:rPr>
          <w:rFonts w:hint="cs"/>
          <w:rtl/>
        </w:rPr>
        <w:t>ْ</w:t>
      </w:r>
      <w:r w:rsidRPr="00282AC9">
        <w:rPr>
          <w:rtl/>
        </w:rPr>
        <w:t>د</w:t>
      </w:r>
      <w:r w:rsidR="005E14F0" w:rsidRPr="00282AC9">
        <w:rPr>
          <w:rFonts w:hint="cs"/>
          <w:rtl/>
        </w:rPr>
        <w:t>َ</w:t>
      </w:r>
      <w:r w:rsidRPr="00282AC9">
        <w:rPr>
          <w:rtl/>
        </w:rPr>
        <w:t xml:space="preserve">ها تشير </w:t>
      </w:r>
      <w:r w:rsidR="006A624F" w:rsidRPr="00282AC9">
        <w:rPr>
          <w:rFonts w:hint="cs"/>
          <w:rtl/>
        </w:rPr>
        <w:t>إ</w:t>
      </w:r>
      <w:r w:rsidRPr="00282AC9">
        <w:rPr>
          <w:rtl/>
        </w:rPr>
        <w:t>لى المفهوم الضي</w:t>
      </w:r>
      <w:r w:rsidR="005E14F0" w:rsidRPr="00282AC9">
        <w:rPr>
          <w:rFonts w:hint="cs"/>
          <w:rtl/>
        </w:rPr>
        <w:t>ِّ</w:t>
      </w:r>
      <w:r w:rsidRPr="00282AC9">
        <w:rPr>
          <w:rtl/>
        </w:rPr>
        <w:t xml:space="preserve">ق، غير </w:t>
      </w:r>
      <w:r w:rsidR="005E14F0" w:rsidRPr="00282AC9">
        <w:rPr>
          <w:rFonts w:hint="cs"/>
          <w:rtl/>
        </w:rPr>
        <w:t>أ</w:t>
      </w:r>
      <w:r w:rsidRPr="00282AC9">
        <w:rPr>
          <w:rtl/>
        </w:rPr>
        <w:t>ن لفظ الغنيمة يشمل الموارد الأخرى بالمفهوم اللغوي</w:t>
      </w:r>
      <w:r w:rsidR="005E14F0" w:rsidRPr="00282AC9">
        <w:rPr>
          <w:rFonts w:hint="cs"/>
          <w:rtl/>
        </w:rPr>
        <w:t>ّ</w:t>
      </w:r>
      <w:r w:rsidRPr="00282AC9">
        <w:rPr>
          <w:rtl/>
        </w:rPr>
        <w:t xml:space="preserve"> الواسع، وبدلالة السن</w:t>
      </w:r>
      <w:r w:rsidR="005E14F0" w:rsidRPr="00282AC9">
        <w:rPr>
          <w:rFonts w:hint="cs"/>
          <w:rtl/>
        </w:rPr>
        <w:t>ّ</w:t>
      </w:r>
      <w:r w:rsidRPr="00282AC9">
        <w:rPr>
          <w:rtl/>
        </w:rPr>
        <w:t>ة</w:t>
      </w:r>
      <w:r w:rsidR="005E14F0" w:rsidRPr="00282AC9">
        <w:rPr>
          <w:rFonts w:hint="cs"/>
          <w:rtl/>
        </w:rPr>
        <w:t>،</w:t>
      </w:r>
      <w:r w:rsidRPr="00282AC9">
        <w:rPr>
          <w:rtl/>
        </w:rPr>
        <w:t xml:space="preserve"> التي هي المبين للقرآن الكريم</w:t>
      </w:r>
      <w:r w:rsidR="005E14F0" w:rsidRPr="00282AC9">
        <w:rPr>
          <w:rFonts w:hint="cs"/>
          <w:rtl/>
        </w:rPr>
        <w:t>،</w:t>
      </w:r>
      <w:r w:rsidRPr="00282AC9">
        <w:rPr>
          <w:rtl/>
        </w:rPr>
        <w:t xml:space="preserve"> ح</w:t>
      </w:r>
      <w:r w:rsidR="005E14F0" w:rsidRPr="00282AC9">
        <w:rPr>
          <w:rFonts w:hint="cs"/>
          <w:rtl/>
        </w:rPr>
        <w:t>َ</w:t>
      </w:r>
      <w:r w:rsidRPr="00282AC9">
        <w:rPr>
          <w:rtl/>
        </w:rPr>
        <w:t>س</w:t>
      </w:r>
      <w:r w:rsidR="005E14F0" w:rsidRPr="00282AC9">
        <w:rPr>
          <w:rFonts w:hint="cs"/>
          <w:rtl/>
        </w:rPr>
        <w:t>ْ</w:t>
      </w:r>
      <w:r w:rsidRPr="00282AC9">
        <w:rPr>
          <w:rtl/>
        </w:rPr>
        <w:t>ب</w:t>
      </w:r>
      <w:r w:rsidR="005E14F0" w:rsidRPr="00282AC9">
        <w:rPr>
          <w:rFonts w:hint="cs"/>
          <w:rtl/>
        </w:rPr>
        <w:t xml:space="preserve">َ </w:t>
      </w:r>
      <w:r w:rsidRPr="00282AC9">
        <w:rPr>
          <w:rtl/>
        </w:rPr>
        <w:t>ما تقر</w:t>
      </w:r>
      <w:r w:rsidR="005E14F0" w:rsidRPr="00282AC9">
        <w:rPr>
          <w:rFonts w:hint="cs"/>
          <w:rtl/>
        </w:rPr>
        <w:t>ِّ</w:t>
      </w:r>
      <w:r w:rsidRPr="00282AC9">
        <w:rPr>
          <w:rtl/>
        </w:rPr>
        <w:t xml:space="preserve">ره الآية الكريمة. </w:t>
      </w:r>
    </w:p>
    <w:p w:rsidR="00946A76" w:rsidRPr="00282AC9" w:rsidRDefault="00946A76" w:rsidP="00186251">
      <w:pPr>
        <w:rPr>
          <w:rtl/>
        </w:rPr>
      </w:pPr>
      <w:r w:rsidRPr="00282AC9">
        <w:rPr>
          <w:rtl/>
        </w:rPr>
        <w:t>أما المفس</w:t>
      </w:r>
      <w:r w:rsidR="005E14F0" w:rsidRPr="00282AC9">
        <w:rPr>
          <w:rFonts w:hint="cs"/>
          <w:rtl/>
        </w:rPr>
        <w:t>ِّ</w:t>
      </w:r>
      <w:r w:rsidRPr="00282AC9">
        <w:rPr>
          <w:rtl/>
        </w:rPr>
        <w:t>رون المعاصرون، فنشير إلى رأيين</w:t>
      </w:r>
      <w:r w:rsidR="005E14F0" w:rsidRPr="00282AC9">
        <w:rPr>
          <w:rFonts w:hint="cs"/>
          <w:rtl/>
        </w:rPr>
        <w:t>:</w:t>
      </w:r>
      <w:r w:rsidRPr="00282AC9">
        <w:rPr>
          <w:rtl/>
        </w:rPr>
        <w:t xml:space="preserve"> </w:t>
      </w:r>
      <w:r w:rsidRPr="00282AC9">
        <w:rPr>
          <w:b/>
          <w:bCs/>
          <w:rtl/>
        </w:rPr>
        <w:t>أحده</w:t>
      </w:r>
      <w:r w:rsidR="005E14F0" w:rsidRPr="00282AC9">
        <w:rPr>
          <w:rFonts w:hint="cs"/>
          <w:b/>
          <w:bCs/>
          <w:rtl/>
        </w:rPr>
        <w:t>م</w:t>
      </w:r>
      <w:r w:rsidRPr="00282AC9">
        <w:rPr>
          <w:b/>
          <w:bCs/>
          <w:rtl/>
        </w:rPr>
        <w:t>ا</w:t>
      </w:r>
      <w:r w:rsidR="005E14F0" w:rsidRPr="00282AC9">
        <w:rPr>
          <w:rFonts w:hint="cs"/>
          <w:rtl/>
        </w:rPr>
        <w:t>:</w:t>
      </w:r>
      <w:r w:rsidRPr="00282AC9">
        <w:rPr>
          <w:rtl/>
        </w:rPr>
        <w:t xml:space="preserve"> للطباطبائي(1981م)</w:t>
      </w:r>
      <w:r w:rsidR="005E14F0" w:rsidRPr="00282AC9">
        <w:rPr>
          <w:rFonts w:hint="cs"/>
          <w:rtl/>
        </w:rPr>
        <w:t>؛</w:t>
      </w:r>
      <w:r w:rsidRPr="00282AC9">
        <w:rPr>
          <w:rtl/>
        </w:rPr>
        <w:t xml:space="preserve"> </w:t>
      </w:r>
      <w:r w:rsidRPr="00282AC9">
        <w:rPr>
          <w:b/>
          <w:bCs/>
          <w:rtl/>
        </w:rPr>
        <w:t>والآخر</w:t>
      </w:r>
      <w:r w:rsidR="005E14F0" w:rsidRPr="00282AC9">
        <w:rPr>
          <w:rFonts w:hint="cs"/>
          <w:rtl/>
        </w:rPr>
        <w:t>:</w:t>
      </w:r>
      <w:r w:rsidRPr="00282AC9">
        <w:rPr>
          <w:rtl/>
        </w:rPr>
        <w:t xml:space="preserve"> لفضل الله(</w:t>
      </w:r>
      <w:r w:rsidRPr="00282AC9">
        <w:rPr>
          <w:rFonts w:hint="cs"/>
          <w:rtl/>
        </w:rPr>
        <w:t>2</w:t>
      </w:r>
      <w:r w:rsidRPr="00282AC9">
        <w:rPr>
          <w:rtl/>
        </w:rPr>
        <w:t xml:space="preserve">010م). </w:t>
      </w:r>
    </w:p>
    <w:p w:rsidR="00946A76" w:rsidRPr="00282AC9" w:rsidRDefault="00946A76" w:rsidP="00186251">
      <w:pPr>
        <w:rPr>
          <w:rtl/>
        </w:rPr>
      </w:pPr>
      <w:r w:rsidRPr="00282AC9">
        <w:rPr>
          <w:rtl/>
        </w:rPr>
        <w:t>ر</w:t>
      </w:r>
      <w:r w:rsidRPr="00282AC9">
        <w:rPr>
          <w:rFonts w:hint="cs"/>
          <w:rtl/>
        </w:rPr>
        <w:t>أ</w:t>
      </w:r>
      <w:r w:rsidRPr="00282AC9">
        <w:rPr>
          <w:rtl/>
        </w:rPr>
        <w:t>ى الطباطبائي أن الآية تشتمل على تشريع</w:t>
      </w:r>
      <w:r w:rsidR="005E14F0" w:rsidRPr="00282AC9">
        <w:rPr>
          <w:rFonts w:hint="cs"/>
          <w:rtl/>
        </w:rPr>
        <w:t>ٍ</w:t>
      </w:r>
      <w:r w:rsidRPr="00282AC9">
        <w:rPr>
          <w:rtl/>
        </w:rPr>
        <w:t xml:space="preserve"> مؤب</w:t>
      </w:r>
      <w:r w:rsidR="005E14F0" w:rsidRPr="00282AC9">
        <w:rPr>
          <w:rFonts w:hint="cs"/>
          <w:rtl/>
        </w:rPr>
        <w:t>َّ</w:t>
      </w:r>
      <w:r w:rsidRPr="00282AC9">
        <w:rPr>
          <w:rtl/>
        </w:rPr>
        <w:t>د</w:t>
      </w:r>
      <w:r w:rsidR="005E14F0" w:rsidRPr="00282AC9">
        <w:rPr>
          <w:rFonts w:hint="cs"/>
          <w:rtl/>
        </w:rPr>
        <w:t>،</w:t>
      </w:r>
      <w:r w:rsidRPr="00282AC9">
        <w:rPr>
          <w:rtl/>
        </w:rPr>
        <w:t xml:space="preserve"> كما هو ظاهر التشريعات القرآنية، وأن الحكم متعل</w:t>
      </w:r>
      <w:r w:rsidR="005E14F0" w:rsidRPr="00282AC9">
        <w:rPr>
          <w:rFonts w:hint="cs"/>
          <w:rtl/>
        </w:rPr>
        <w:t>ِّ</w:t>
      </w:r>
      <w:r w:rsidRPr="00282AC9">
        <w:rPr>
          <w:rtl/>
        </w:rPr>
        <w:t>ق</w:t>
      </w:r>
      <w:r w:rsidR="005E14F0" w:rsidRPr="00282AC9">
        <w:rPr>
          <w:rFonts w:hint="cs"/>
          <w:rtl/>
        </w:rPr>
        <w:t>ٌ</w:t>
      </w:r>
      <w:r w:rsidRPr="00282AC9">
        <w:rPr>
          <w:rtl/>
        </w:rPr>
        <w:t xml:space="preserve"> بما ي</w:t>
      </w:r>
      <w:r w:rsidR="005E14F0" w:rsidRPr="00282AC9">
        <w:rPr>
          <w:rFonts w:hint="cs"/>
          <w:rtl/>
        </w:rPr>
        <w:t>ُ</w:t>
      </w:r>
      <w:r w:rsidRPr="00282AC9">
        <w:rPr>
          <w:rtl/>
        </w:rPr>
        <w:t>سم</w:t>
      </w:r>
      <w:r w:rsidR="005E14F0" w:rsidRPr="00282AC9">
        <w:rPr>
          <w:rFonts w:hint="cs"/>
          <w:rtl/>
        </w:rPr>
        <w:t>ّ</w:t>
      </w:r>
      <w:r w:rsidRPr="00282AC9">
        <w:rPr>
          <w:rtl/>
        </w:rPr>
        <w:t>ى غنما</w:t>
      </w:r>
      <w:r w:rsidR="005E14F0" w:rsidRPr="00282AC9">
        <w:rPr>
          <w:rFonts w:hint="cs"/>
          <w:rtl/>
        </w:rPr>
        <w:t>ً</w:t>
      </w:r>
      <w:r w:rsidRPr="00282AC9">
        <w:rPr>
          <w:rtl/>
        </w:rPr>
        <w:t xml:space="preserve"> وغنيمة</w:t>
      </w:r>
      <w:r w:rsidR="005E14F0" w:rsidRPr="00282AC9">
        <w:rPr>
          <w:rFonts w:hint="cs"/>
          <w:rtl/>
        </w:rPr>
        <w:t>ً،</w:t>
      </w:r>
      <w:r w:rsidRPr="00282AC9">
        <w:rPr>
          <w:rtl/>
        </w:rPr>
        <w:t xml:space="preserve"> سواء كان غنيمة</w:t>
      </w:r>
      <w:r w:rsidR="005E14F0" w:rsidRPr="00282AC9">
        <w:rPr>
          <w:rFonts w:hint="cs"/>
          <w:rtl/>
        </w:rPr>
        <w:t>ً</w:t>
      </w:r>
      <w:r w:rsidRPr="00282AC9">
        <w:rPr>
          <w:rtl/>
        </w:rPr>
        <w:t xml:space="preserve"> حربية مأخوذة من الكف</w:t>
      </w:r>
      <w:r w:rsidR="005E14F0" w:rsidRPr="00282AC9">
        <w:rPr>
          <w:rFonts w:hint="cs"/>
          <w:rtl/>
        </w:rPr>
        <w:t>ّ</w:t>
      </w:r>
      <w:r w:rsidRPr="00282AC9">
        <w:rPr>
          <w:rtl/>
        </w:rPr>
        <w:t>ار أو غيرها مم</w:t>
      </w:r>
      <w:r w:rsidR="005E14F0" w:rsidRPr="00282AC9">
        <w:rPr>
          <w:rFonts w:hint="cs"/>
          <w:rtl/>
        </w:rPr>
        <w:t>ّ</w:t>
      </w:r>
      <w:r w:rsidRPr="00282AC9">
        <w:rPr>
          <w:rtl/>
        </w:rPr>
        <w:t>ا يطلق عليه الغنيمة لغة</w:t>
      </w:r>
      <w:r w:rsidR="005E14F0" w:rsidRPr="00282AC9">
        <w:rPr>
          <w:rFonts w:hint="cs"/>
          <w:rtl/>
        </w:rPr>
        <w:t>ً،</w:t>
      </w:r>
      <w:r w:rsidRPr="00282AC9">
        <w:rPr>
          <w:rtl/>
        </w:rPr>
        <w:t xml:space="preserve"> كأرباح المكاسب والغوص والملاحة والمستخرج من الكنوز والمعادن</w:t>
      </w:r>
      <w:r w:rsidRPr="00282AC9">
        <w:rPr>
          <w:rFonts w:hint="cs"/>
          <w:vertAlign w:val="superscript"/>
          <w:rtl/>
        </w:rPr>
        <w:t>(</w:t>
      </w:r>
      <w:r w:rsidRPr="00282AC9">
        <w:rPr>
          <w:rStyle w:val="af9"/>
          <w:sz w:val="27"/>
          <w:rtl/>
        </w:rPr>
        <w:endnoteReference w:id="455"/>
      </w:r>
      <w:r w:rsidRPr="00282AC9">
        <w:rPr>
          <w:rFonts w:hint="cs"/>
          <w:vertAlign w:val="superscript"/>
          <w:rtl/>
        </w:rPr>
        <w:t>)</w:t>
      </w:r>
      <w:r w:rsidR="005E14F0" w:rsidRPr="00282AC9">
        <w:rPr>
          <w:rFonts w:hint="cs"/>
          <w:rtl/>
        </w:rPr>
        <w:t>.</w:t>
      </w:r>
    </w:p>
    <w:p w:rsidR="00946A76" w:rsidRPr="00282AC9" w:rsidRDefault="00946A76" w:rsidP="00186251">
      <w:pPr>
        <w:rPr>
          <w:rtl/>
        </w:rPr>
      </w:pPr>
      <w:r w:rsidRPr="00282AC9">
        <w:rPr>
          <w:rtl/>
        </w:rPr>
        <w:t>وتطر</w:t>
      </w:r>
      <w:r w:rsidR="005E14F0" w:rsidRPr="00282AC9">
        <w:rPr>
          <w:rFonts w:hint="cs"/>
          <w:rtl/>
        </w:rPr>
        <w:t>َّ</w:t>
      </w:r>
      <w:r w:rsidRPr="00282AC9">
        <w:rPr>
          <w:rtl/>
        </w:rPr>
        <w:t xml:space="preserve">ق فضل الله(2010م) </w:t>
      </w:r>
      <w:r w:rsidR="005E14F0" w:rsidRPr="00282AC9">
        <w:rPr>
          <w:rFonts w:hint="cs"/>
          <w:rtl/>
        </w:rPr>
        <w:t>إ</w:t>
      </w:r>
      <w:r w:rsidRPr="00282AC9">
        <w:rPr>
          <w:rtl/>
        </w:rPr>
        <w:t>لى أبرز اتجاه</w:t>
      </w:r>
      <w:r w:rsidR="005E14F0" w:rsidRPr="00282AC9">
        <w:rPr>
          <w:rFonts w:hint="cs"/>
          <w:rtl/>
        </w:rPr>
        <w:t>َ</w:t>
      </w:r>
      <w:r w:rsidRPr="00282AC9">
        <w:rPr>
          <w:rtl/>
        </w:rPr>
        <w:t>ي</w:t>
      </w:r>
      <w:r w:rsidR="005E14F0" w:rsidRPr="00282AC9">
        <w:rPr>
          <w:rFonts w:hint="cs"/>
          <w:rtl/>
        </w:rPr>
        <w:t>ْ</w:t>
      </w:r>
      <w:r w:rsidRPr="00282AC9">
        <w:rPr>
          <w:rtl/>
        </w:rPr>
        <w:t xml:space="preserve"> التفسير للآية عند المسلمين، مقر</w:t>
      </w:r>
      <w:r w:rsidR="005E14F0" w:rsidRPr="00282AC9">
        <w:rPr>
          <w:rFonts w:hint="cs"/>
          <w:rtl/>
        </w:rPr>
        <w:t>ِّ</w:t>
      </w:r>
      <w:r w:rsidRPr="00282AC9">
        <w:rPr>
          <w:rtl/>
        </w:rPr>
        <w:t>را</w:t>
      </w:r>
      <w:r w:rsidR="005E14F0" w:rsidRPr="00282AC9">
        <w:rPr>
          <w:rFonts w:hint="cs"/>
          <w:rtl/>
        </w:rPr>
        <w:t>ً</w:t>
      </w:r>
      <w:r w:rsidRPr="00282AC9">
        <w:rPr>
          <w:rtl/>
        </w:rPr>
        <w:t xml:space="preserve"> أنها تعني كل</w:t>
      </w:r>
      <w:r w:rsidR="005E14F0" w:rsidRPr="00282AC9">
        <w:rPr>
          <w:rFonts w:hint="cs"/>
          <w:rtl/>
        </w:rPr>
        <w:t>ّ</w:t>
      </w:r>
      <w:r w:rsidRPr="00282AC9">
        <w:rPr>
          <w:rtl/>
        </w:rPr>
        <w:t xml:space="preserve"> الغنائم والفوائد والأرباح</w:t>
      </w:r>
      <w:r w:rsidR="005E14F0" w:rsidRPr="00282AC9">
        <w:rPr>
          <w:rFonts w:hint="cs"/>
          <w:rtl/>
        </w:rPr>
        <w:t>،</w:t>
      </w:r>
      <w:r w:rsidRPr="00282AC9">
        <w:rPr>
          <w:rtl/>
        </w:rPr>
        <w:t xml:space="preserve"> من التجارة والصناعة والزراعة والغوص والكنز والمعادن وغيرها</w:t>
      </w:r>
      <w:r w:rsidR="00216FF4" w:rsidRPr="00282AC9">
        <w:rPr>
          <w:rFonts w:hint="cs"/>
          <w:rtl/>
        </w:rPr>
        <w:t>،</w:t>
      </w:r>
      <w:r w:rsidRPr="00282AC9">
        <w:rPr>
          <w:rtl/>
        </w:rPr>
        <w:t xml:space="preserve"> في</w:t>
      </w:r>
      <w:r w:rsidR="00216FF4" w:rsidRPr="00282AC9">
        <w:rPr>
          <w:rFonts w:hint="cs"/>
          <w:rtl/>
        </w:rPr>
        <w:t xml:space="preserve"> </w:t>
      </w:r>
      <w:r w:rsidRPr="00282AC9">
        <w:rPr>
          <w:rtl/>
        </w:rPr>
        <w:t>ما جاء في التفسير عن أئم</w:t>
      </w:r>
      <w:r w:rsidR="00216FF4" w:rsidRPr="00282AC9">
        <w:rPr>
          <w:rFonts w:hint="cs"/>
          <w:rtl/>
        </w:rPr>
        <w:t>ّ</w:t>
      </w:r>
      <w:r w:rsidRPr="00282AC9">
        <w:rPr>
          <w:rtl/>
        </w:rPr>
        <w:t>ة أهل البيت. وأضاف: وكلمة الغنيمة مطلقة</w:t>
      </w:r>
      <w:r w:rsidR="00216FF4" w:rsidRPr="00282AC9">
        <w:rPr>
          <w:rFonts w:hint="cs"/>
          <w:rtl/>
        </w:rPr>
        <w:t>ٌ</w:t>
      </w:r>
      <w:r w:rsidRPr="00282AC9">
        <w:rPr>
          <w:rtl/>
        </w:rPr>
        <w:t xml:space="preserve"> في الآية</w:t>
      </w:r>
      <w:r w:rsidR="00216FF4" w:rsidRPr="00282AC9">
        <w:rPr>
          <w:rFonts w:hint="cs"/>
          <w:rtl/>
        </w:rPr>
        <w:t>،</w:t>
      </w:r>
      <w:r w:rsidRPr="00282AC9">
        <w:rPr>
          <w:rtl/>
        </w:rPr>
        <w:t xml:space="preserve"> وعلى هذا كان مذهب أهل البيت في وجوب الخمس بشكل</w:t>
      </w:r>
      <w:r w:rsidR="00216FF4" w:rsidRPr="00282AC9">
        <w:rPr>
          <w:rFonts w:hint="cs"/>
          <w:rtl/>
        </w:rPr>
        <w:t>ٍ</w:t>
      </w:r>
      <w:r w:rsidRPr="00282AC9">
        <w:rPr>
          <w:rtl/>
        </w:rPr>
        <w:t xml:space="preserve"> شامل لكل</w:t>
      </w:r>
      <w:r w:rsidR="00216FF4" w:rsidRPr="00282AC9">
        <w:rPr>
          <w:rFonts w:hint="cs"/>
          <w:rtl/>
        </w:rPr>
        <w:t>ّ</w:t>
      </w:r>
      <w:r w:rsidRPr="00282AC9">
        <w:rPr>
          <w:rtl/>
        </w:rPr>
        <w:t xml:space="preserve"> الفوائد والأرباح</w:t>
      </w:r>
      <w:r w:rsidR="00216FF4" w:rsidRPr="00282AC9">
        <w:rPr>
          <w:rFonts w:hint="cs"/>
          <w:rtl/>
        </w:rPr>
        <w:t>،</w:t>
      </w:r>
      <w:r w:rsidRPr="00282AC9">
        <w:rPr>
          <w:rtl/>
        </w:rPr>
        <w:t xml:space="preserve"> من كل</w:t>
      </w:r>
      <w:r w:rsidR="00216FF4" w:rsidRPr="00282AC9">
        <w:rPr>
          <w:rFonts w:hint="cs"/>
          <w:rtl/>
        </w:rPr>
        <w:t>ّ</w:t>
      </w:r>
      <w:r w:rsidRPr="00282AC9">
        <w:rPr>
          <w:rtl/>
        </w:rPr>
        <w:t xml:space="preserve"> المداخيل المالية</w:t>
      </w:r>
      <w:r w:rsidRPr="00282AC9">
        <w:rPr>
          <w:rFonts w:hint="cs"/>
          <w:vertAlign w:val="superscript"/>
          <w:rtl/>
        </w:rPr>
        <w:t>(</w:t>
      </w:r>
      <w:r w:rsidRPr="00282AC9">
        <w:rPr>
          <w:rStyle w:val="af9"/>
          <w:sz w:val="27"/>
          <w:rtl/>
        </w:rPr>
        <w:endnoteReference w:id="456"/>
      </w:r>
      <w:r w:rsidRPr="00282AC9">
        <w:rPr>
          <w:rFonts w:hint="cs"/>
          <w:vertAlign w:val="superscript"/>
          <w:rtl/>
        </w:rPr>
        <w:t>)</w:t>
      </w:r>
      <w:r w:rsidR="00216FF4" w:rsidRPr="00282AC9">
        <w:rPr>
          <w:rFonts w:hint="cs"/>
          <w:rtl/>
        </w:rPr>
        <w:t>.</w:t>
      </w:r>
    </w:p>
    <w:p w:rsidR="00235851" w:rsidRPr="00282AC9" w:rsidRDefault="00235851" w:rsidP="00235851">
      <w:pPr>
        <w:spacing w:line="420" w:lineRule="exact"/>
        <w:rPr>
          <w:rtl/>
        </w:rPr>
      </w:pPr>
    </w:p>
    <w:p w:rsidR="00946A76" w:rsidRPr="00282AC9" w:rsidRDefault="00946A76" w:rsidP="00B70E1F">
      <w:pPr>
        <w:pStyle w:val="31"/>
        <w:rPr>
          <w:color w:val="auto"/>
          <w:rtl/>
        </w:rPr>
      </w:pPr>
      <w:r w:rsidRPr="00282AC9">
        <w:rPr>
          <w:color w:val="auto"/>
          <w:rtl/>
        </w:rPr>
        <w:t>ثالثا</w:t>
      </w:r>
      <w:r w:rsidRPr="00282AC9">
        <w:rPr>
          <w:rFonts w:hint="cs"/>
          <w:color w:val="auto"/>
          <w:rtl/>
        </w:rPr>
        <w:t>ً</w:t>
      </w:r>
      <w:r w:rsidRPr="00282AC9">
        <w:rPr>
          <w:color w:val="auto"/>
          <w:rtl/>
        </w:rPr>
        <w:t>: الات</w:t>
      </w:r>
      <w:r w:rsidR="00216FF4" w:rsidRPr="00282AC9">
        <w:rPr>
          <w:rFonts w:hint="cs"/>
          <w:color w:val="auto"/>
          <w:rtl/>
        </w:rPr>
        <w:t>ّ</w:t>
      </w:r>
      <w:r w:rsidRPr="00282AC9">
        <w:rPr>
          <w:color w:val="auto"/>
          <w:rtl/>
        </w:rPr>
        <w:t>جاهات الفقهي</w:t>
      </w:r>
      <w:r w:rsidR="00216FF4" w:rsidRPr="00282AC9">
        <w:rPr>
          <w:rFonts w:hint="cs"/>
          <w:color w:val="auto"/>
          <w:rtl/>
        </w:rPr>
        <w:t>ّ</w:t>
      </w:r>
      <w:r w:rsidRPr="00282AC9">
        <w:rPr>
          <w:color w:val="auto"/>
          <w:rtl/>
        </w:rPr>
        <w:t xml:space="preserve">ة </w:t>
      </w:r>
    </w:p>
    <w:p w:rsidR="00216FF4" w:rsidRPr="00282AC9" w:rsidRDefault="00946A76" w:rsidP="00235851">
      <w:pPr>
        <w:spacing w:line="406" w:lineRule="exact"/>
        <w:rPr>
          <w:rtl/>
        </w:rPr>
      </w:pPr>
      <w:r w:rsidRPr="00282AC9">
        <w:rPr>
          <w:rtl/>
        </w:rPr>
        <w:t>تتمي</w:t>
      </w:r>
      <w:r w:rsidR="00216FF4" w:rsidRPr="00282AC9">
        <w:rPr>
          <w:rFonts w:hint="cs"/>
          <w:rtl/>
        </w:rPr>
        <w:t>َّ</w:t>
      </w:r>
      <w:r w:rsidRPr="00282AC9">
        <w:rPr>
          <w:rtl/>
        </w:rPr>
        <w:t>ز الآراء الفقهية في أنها تعكس تطبيقات</w:t>
      </w:r>
      <w:r w:rsidR="00216FF4" w:rsidRPr="00282AC9">
        <w:rPr>
          <w:rFonts w:hint="cs"/>
          <w:rtl/>
        </w:rPr>
        <w:t>ٍ</w:t>
      </w:r>
      <w:r w:rsidRPr="00282AC9">
        <w:rPr>
          <w:rtl/>
        </w:rPr>
        <w:t xml:space="preserve"> تاريخية على المستوى الرسمي</w:t>
      </w:r>
      <w:r w:rsidR="00216FF4" w:rsidRPr="00282AC9">
        <w:rPr>
          <w:rFonts w:hint="cs"/>
          <w:rtl/>
        </w:rPr>
        <w:t>ّ</w:t>
      </w:r>
      <w:r w:rsidRPr="00282AC9">
        <w:rPr>
          <w:rtl/>
        </w:rPr>
        <w:t xml:space="preserve"> والشعبي</w:t>
      </w:r>
      <w:r w:rsidR="00216FF4" w:rsidRPr="00282AC9">
        <w:rPr>
          <w:rFonts w:hint="cs"/>
          <w:rtl/>
        </w:rPr>
        <w:t>ّ،</w:t>
      </w:r>
      <w:r w:rsidRPr="00282AC9">
        <w:rPr>
          <w:rtl/>
        </w:rPr>
        <w:t xml:space="preserve"> وبعض</w:t>
      </w:r>
      <w:r w:rsidR="00216FF4" w:rsidRPr="00282AC9">
        <w:rPr>
          <w:rFonts w:hint="cs"/>
          <w:rtl/>
        </w:rPr>
        <w:t>ُ</w:t>
      </w:r>
      <w:r w:rsidRPr="00282AC9">
        <w:rPr>
          <w:rtl/>
        </w:rPr>
        <w:t xml:space="preserve"> اجتهاداتها لا</w:t>
      </w:r>
      <w:r w:rsidR="00216FF4" w:rsidRPr="00282AC9">
        <w:rPr>
          <w:rFonts w:hint="cs"/>
          <w:rtl/>
        </w:rPr>
        <w:t xml:space="preserve"> </w:t>
      </w:r>
      <w:r w:rsidRPr="00282AC9">
        <w:rPr>
          <w:rtl/>
        </w:rPr>
        <w:t>تزال مطب</w:t>
      </w:r>
      <w:r w:rsidR="00216FF4" w:rsidRPr="00282AC9">
        <w:rPr>
          <w:rFonts w:hint="cs"/>
          <w:rtl/>
        </w:rPr>
        <w:t>َّ</w:t>
      </w:r>
      <w:r w:rsidRPr="00282AC9">
        <w:rPr>
          <w:rtl/>
        </w:rPr>
        <w:t>قة</w:t>
      </w:r>
      <w:r w:rsidR="00216FF4" w:rsidRPr="00282AC9">
        <w:rPr>
          <w:rFonts w:hint="cs"/>
          <w:rtl/>
        </w:rPr>
        <w:t>ً</w:t>
      </w:r>
      <w:r w:rsidRPr="00282AC9">
        <w:rPr>
          <w:rtl/>
        </w:rPr>
        <w:t xml:space="preserve"> حت</w:t>
      </w:r>
      <w:r w:rsidR="00216FF4" w:rsidRPr="00282AC9">
        <w:rPr>
          <w:rFonts w:hint="cs"/>
          <w:rtl/>
        </w:rPr>
        <w:t>ّ</w:t>
      </w:r>
      <w:r w:rsidRPr="00282AC9">
        <w:rPr>
          <w:rtl/>
        </w:rPr>
        <w:t>ى اليوم</w:t>
      </w:r>
      <w:r w:rsidR="00216FF4" w:rsidRPr="00282AC9">
        <w:rPr>
          <w:rFonts w:hint="cs"/>
          <w:rtl/>
        </w:rPr>
        <w:t>.</w:t>
      </w:r>
    </w:p>
    <w:p w:rsidR="00946A76" w:rsidRPr="00282AC9" w:rsidRDefault="00946A76" w:rsidP="00186251">
      <w:pPr>
        <w:rPr>
          <w:rtl/>
        </w:rPr>
      </w:pPr>
      <w:r w:rsidRPr="00282AC9">
        <w:rPr>
          <w:rtl/>
        </w:rPr>
        <w:t xml:space="preserve">ويمكننا أن نجملها في الاتجاهات </w:t>
      </w:r>
      <w:r w:rsidR="00216FF4" w:rsidRPr="00282AC9">
        <w:rPr>
          <w:rFonts w:hint="cs"/>
          <w:rtl/>
        </w:rPr>
        <w:t>التالية</w:t>
      </w:r>
      <w:r w:rsidRPr="00282AC9">
        <w:rPr>
          <w:rtl/>
        </w:rPr>
        <w:t xml:space="preserve">: </w:t>
      </w:r>
    </w:p>
    <w:p w:rsidR="00235851" w:rsidRPr="00282AC9" w:rsidRDefault="00235851" w:rsidP="00235851">
      <w:pPr>
        <w:spacing w:line="420" w:lineRule="exact"/>
        <w:rPr>
          <w:rtl/>
        </w:rPr>
      </w:pPr>
    </w:p>
    <w:p w:rsidR="00946A76" w:rsidRPr="00282AC9" w:rsidRDefault="00946A76" w:rsidP="00B70E1F">
      <w:pPr>
        <w:pStyle w:val="31"/>
        <w:rPr>
          <w:color w:val="auto"/>
          <w:rtl/>
        </w:rPr>
      </w:pPr>
      <w:r w:rsidRPr="00282AC9">
        <w:rPr>
          <w:color w:val="auto"/>
          <w:rtl/>
        </w:rPr>
        <w:t>الاتجاه المضي</w:t>
      </w:r>
      <w:r w:rsidR="00216FF4" w:rsidRPr="00282AC9">
        <w:rPr>
          <w:rFonts w:hint="cs"/>
          <w:color w:val="auto"/>
          <w:rtl/>
        </w:rPr>
        <w:t>ّ</w:t>
      </w:r>
      <w:r w:rsidRPr="00282AC9">
        <w:rPr>
          <w:color w:val="auto"/>
          <w:rtl/>
        </w:rPr>
        <w:t xml:space="preserve">ق </w:t>
      </w:r>
    </w:p>
    <w:p w:rsidR="00216FF4" w:rsidRPr="00282AC9" w:rsidRDefault="00946A76" w:rsidP="00235851">
      <w:pPr>
        <w:rPr>
          <w:rtl/>
        </w:rPr>
      </w:pPr>
      <w:r w:rsidRPr="00282AC9">
        <w:rPr>
          <w:rtl/>
        </w:rPr>
        <w:t>ذهب جملة</w:t>
      </w:r>
      <w:r w:rsidR="00216FF4" w:rsidRPr="00282AC9">
        <w:rPr>
          <w:rFonts w:hint="cs"/>
          <w:rtl/>
        </w:rPr>
        <w:t>ٌ</w:t>
      </w:r>
      <w:r w:rsidRPr="00282AC9">
        <w:rPr>
          <w:rtl/>
        </w:rPr>
        <w:t xml:space="preserve"> من الفقهاء إلى تضييق المفهوم</w:t>
      </w:r>
      <w:r w:rsidR="00216FF4" w:rsidRPr="00282AC9">
        <w:rPr>
          <w:rFonts w:hint="cs"/>
          <w:rtl/>
        </w:rPr>
        <w:t>.</w:t>
      </w:r>
      <w:r w:rsidR="00235851" w:rsidRPr="00282AC9">
        <w:rPr>
          <w:rFonts w:hint="cs"/>
          <w:rtl/>
        </w:rPr>
        <w:t xml:space="preserve"> </w:t>
      </w:r>
      <w:r w:rsidRPr="00282AC9">
        <w:rPr>
          <w:rtl/>
        </w:rPr>
        <w:t>ونشير هنا إلى بعض كلماتهم وآرائهم</w:t>
      </w:r>
      <w:r w:rsidR="00216FF4" w:rsidRPr="00282AC9">
        <w:rPr>
          <w:rFonts w:hint="cs"/>
          <w:rtl/>
        </w:rPr>
        <w:t>:</w:t>
      </w:r>
    </w:p>
    <w:p w:rsidR="00216FF4" w:rsidRPr="00282AC9" w:rsidRDefault="00946A76" w:rsidP="00186251">
      <w:pPr>
        <w:rPr>
          <w:rtl/>
        </w:rPr>
      </w:pPr>
      <w:r w:rsidRPr="00282AC9">
        <w:rPr>
          <w:rtl/>
        </w:rPr>
        <w:t>يرى أبو يوسف</w:t>
      </w:r>
      <w:r w:rsidRPr="00282AC9">
        <w:rPr>
          <w:b/>
          <w:rtl/>
        </w:rPr>
        <w:t>(</w:t>
      </w:r>
      <w:r w:rsidRPr="00282AC9">
        <w:rPr>
          <w:rtl/>
        </w:rPr>
        <w:t>182</w:t>
      </w:r>
      <w:r w:rsidRPr="00282AC9">
        <w:rPr>
          <w:rFonts w:hint="cs"/>
          <w:rtl/>
        </w:rPr>
        <w:t>هـ</w:t>
      </w:r>
      <w:r w:rsidRPr="00282AC9">
        <w:rPr>
          <w:rtl/>
        </w:rPr>
        <w:t xml:space="preserve">) أن الغنيمة ما أصاب المسلمون من عساكر أهل </w:t>
      </w:r>
      <w:r w:rsidRPr="00282AC9">
        <w:rPr>
          <w:rtl/>
        </w:rPr>
        <w:lastRenderedPageBreak/>
        <w:t>الشرك</w:t>
      </w:r>
      <w:r w:rsidR="00216FF4" w:rsidRPr="00282AC9">
        <w:rPr>
          <w:rFonts w:hint="cs"/>
          <w:rtl/>
        </w:rPr>
        <w:t>،</w:t>
      </w:r>
      <w:r w:rsidRPr="00282AC9">
        <w:rPr>
          <w:rtl/>
        </w:rPr>
        <w:t xml:space="preserve"> وما أجلبوا به من المتاع والسلاح والكراع</w:t>
      </w:r>
      <w:r w:rsidR="00216FF4" w:rsidRPr="00282AC9">
        <w:rPr>
          <w:rFonts w:hint="cs"/>
          <w:rtl/>
        </w:rPr>
        <w:t>،</w:t>
      </w:r>
      <w:r w:rsidRPr="00282AC9">
        <w:rPr>
          <w:rtl/>
        </w:rPr>
        <w:t xml:space="preserve"> فإن في ذلك الخمس</w:t>
      </w:r>
      <w:r w:rsidRPr="00282AC9">
        <w:rPr>
          <w:rFonts w:hint="cs"/>
          <w:vertAlign w:val="superscript"/>
          <w:rtl/>
        </w:rPr>
        <w:t>(</w:t>
      </w:r>
      <w:r w:rsidRPr="00282AC9">
        <w:rPr>
          <w:rStyle w:val="af9"/>
          <w:sz w:val="27"/>
          <w:rtl/>
        </w:rPr>
        <w:endnoteReference w:id="457"/>
      </w:r>
      <w:r w:rsidRPr="00282AC9">
        <w:rPr>
          <w:rFonts w:hint="cs"/>
          <w:vertAlign w:val="superscript"/>
          <w:rtl/>
        </w:rPr>
        <w:t>)</w:t>
      </w:r>
      <w:r w:rsidRPr="00282AC9">
        <w:rPr>
          <w:rtl/>
        </w:rPr>
        <w:t>.</w:t>
      </w:r>
    </w:p>
    <w:p w:rsidR="00216FF4" w:rsidRPr="00282AC9" w:rsidRDefault="00946A76" w:rsidP="00235851">
      <w:pPr>
        <w:spacing w:line="420" w:lineRule="exact"/>
        <w:rPr>
          <w:rtl/>
        </w:rPr>
      </w:pPr>
      <w:r w:rsidRPr="00282AC9">
        <w:rPr>
          <w:rtl/>
        </w:rPr>
        <w:t>وح</w:t>
      </w:r>
      <w:r w:rsidR="00216FF4" w:rsidRPr="00282AC9">
        <w:rPr>
          <w:rFonts w:hint="cs"/>
          <w:rtl/>
        </w:rPr>
        <w:t>َ</w:t>
      </w:r>
      <w:r w:rsidRPr="00282AC9">
        <w:rPr>
          <w:rtl/>
        </w:rPr>
        <w:t>س</w:t>
      </w:r>
      <w:r w:rsidR="00216FF4" w:rsidRPr="00282AC9">
        <w:rPr>
          <w:rFonts w:hint="cs"/>
          <w:rtl/>
        </w:rPr>
        <w:t>ْ</w:t>
      </w:r>
      <w:r w:rsidRPr="00282AC9">
        <w:rPr>
          <w:rtl/>
        </w:rPr>
        <w:t>ب يحيى بن آدم(203</w:t>
      </w:r>
      <w:r w:rsidRPr="00282AC9">
        <w:rPr>
          <w:rFonts w:hint="cs"/>
          <w:rtl/>
        </w:rPr>
        <w:t>هـ</w:t>
      </w:r>
      <w:r w:rsidRPr="00282AC9">
        <w:rPr>
          <w:rtl/>
        </w:rPr>
        <w:t>)</w:t>
      </w:r>
      <w:r w:rsidR="00216FF4" w:rsidRPr="00282AC9">
        <w:rPr>
          <w:rFonts w:hint="cs"/>
          <w:rtl/>
        </w:rPr>
        <w:t>،</w:t>
      </w:r>
      <w:r w:rsidRPr="00282AC9">
        <w:rPr>
          <w:rtl/>
        </w:rPr>
        <w:t xml:space="preserve"> عن الحسن بن صالح</w:t>
      </w:r>
      <w:r w:rsidR="00216FF4" w:rsidRPr="00282AC9">
        <w:rPr>
          <w:rFonts w:hint="cs"/>
          <w:rtl/>
        </w:rPr>
        <w:t>:</w:t>
      </w:r>
      <w:r w:rsidRPr="00282AC9">
        <w:rPr>
          <w:rtl/>
        </w:rPr>
        <w:t xml:space="preserve"> سمعنا أن الغنيمة ما غلب عليه المسلمون بالقتال</w:t>
      </w:r>
      <w:r w:rsidR="00216FF4" w:rsidRPr="00282AC9">
        <w:rPr>
          <w:rFonts w:hint="cs"/>
          <w:rtl/>
        </w:rPr>
        <w:t>،</w:t>
      </w:r>
      <w:r w:rsidRPr="00282AC9">
        <w:rPr>
          <w:rtl/>
        </w:rPr>
        <w:t xml:space="preserve"> حت</w:t>
      </w:r>
      <w:r w:rsidR="00216FF4" w:rsidRPr="00282AC9">
        <w:rPr>
          <w:rFonts w:hint="cs"/>
          <w:rtl/>
        </w:rPr>
        <w:t>ّ</w:t>
      </w:r>
      <w:r w:rsidRPr="00282AC9">
        <w:rPr>
          <w:rtl/>
        </w:rPr>
        <w:t>ى يأخذوه عنوة</w:t>
      </w:r>
      <w:r w:rsidR="00216FF4" w:rsidRPr="00282AC9">
        <w:rPr>
          <w:rFonts w:hint="cs"/>
          <w:rtl/>
        </w:rPr>
        <w:t>ً</w:t>
      </w:r>
      <w:r w:rsidRPr="00282AC9">
        <w:rPr>
          <w:rFonts w:hint="cs"/>
          <w:vertAlign w:val="superscript"/>
          <w:rtl/>
        </w:rPr>
        <w:t>(</w:t>
      </w:r>
      <w:r w:rsidRPr="00282AC9">
        <w:rPr>
          <w:rStyle w:val="af9"/>
          <w:sz w:val="27"/>
          <w:rtl/>
        </w:rPr>
        <w:endnoteReference w:id="458"/>
      </w:r>
      <w:r w:rsidRPr="00282AC9">
        <w:rPr>
          <w:rFonts w:hint="cs"/>
          <w:vertAlign w:val="superscript"/>
          <w:rtl/>
        </w:rPr>
        <w:t>)</w:t>
      </w:r>
      <w:r w:rsidR="00216FF4" w:rsidRPr="00282AC9">
        <w:rPr>
          <w:rFonts w:hint="cs"/>
          <w:rtl/>
        </w:rPr>
        <w:t>.</w:t>
      </w:r>
    </w:p>
    <w:p w:rsidR="00216FF4" w:rsidRPr="00282AC9" w:rsidRDefault="00946A76" w:rsidP="00235851">
      <w:pPr>
        <w:spacing w:line="416" w:lineRule="exact"/>
        <w:rPr>
          <w:rtl/>
        </w:rPr>
      </w:pPr>
      <w:r w:rsidRPr="00282AC9">
        <w:rPr>
          <w:rtl/>
        </w:rPr>
        <w:t>وصر</w:t>
      </w:r>
      <w:r w:rsidR="00216FF4" w:rsidRPr="00282AC9">
        <w:rPr>
          <w:rFonts w:hint="cs"/>
          <w:rtl/>
        </w:rPr>
        <w:t>َّ</w:t>
      </w:r>
      <w:r w:rsidRPr="00282AC9">
        <w:rPr>
          <w:rtl/>
        </w:rPr>
        <w:t>ح البيساني(</w:t>
      </w:r>
      <w:r w:rsidR="00216FF4" w:rsidRPr="00282AC9">
        <w:rPr>
          <w:rFonts w:hint="cs"/>
          <w:rtl/>
        </w:rPr>
        <w:t xml:space="preserve">القرن </w:t>
      </w:r>
      <w:r w:rsidRPr="00282AC9">
        <w:rPr>
          <w:rtl/>
        </w:rPr>
        <w:t>4</w:t>
      </w:r>
      <w:r w:rsidR="00216FF4" w:rsidRPr="00282AC9">
        <w:rPr>
          <w:rFonts w:hint="cs"/>
          <w:rtl/>
        </w:rPr>
        <w:t>هـ</w:t>
      </w:r>
      <w:r w:rsidRPr="00282AC9">
        <w:rPr>
          <w:rtl/>
        </w:rPr>
        <w:t>): إنما س</w:t>
      </w:r>
      <w:r w:rsidR="00216FF4" w:rsidRPr="00282AC9">
        <w:rPr>
          <w:rFonts w:hint="cs"/>
          <w:rtl/>
        </w:rPr>
        <w:t>ُ</w:t>
      </w:r>
      <w:r w:rsidRPr="00282AC9">
        <w:rPr>
          <w:rtl/>
        </w:rPr>
        <w:t>م</w:t>
      </w:r>
      <w:r w:rsidR="00216FF4" w:rsidRPr="00282AC9">
        <w:rPr>
          <w:rFonts w:hint="cs"/>
          <w:rtl/>
        </w:rPr>
        <w:t>ِّ</w:t>
      </w:r>
      <w:r w:rsidRPr="00282AC9">
        <w:rPr>
          <w:rtl/>
        </w:rPr>
        <w:t>ي غنيمة</w:t>
      </w:r>
      <w:r w:rsidR="00216FF4" w:rsidRPr="00282AC9">
        <w:rPr>
          <w:rFonts w:hint="cs"/>
          <w:rtl/>
        </w:rPr>
        <w:t>ً</w:t>
      </w:r>
      <w:r w:rsidRPr="00282AC9">
        <w:rPr>
          <w:rtl/>
        </w:rPr>
        <w:t xml:space="preserve"> لأنهم ربحوه من مال المشركين</w:t>
      </w:r>
      <w:r w:rsidR="00216FF4" w:rsidRPr="00282AC9">
        <w:rPr>
          <w:rFonts w:hint="cs"/>
          <w:rtl/>
        </w:rPr>
        <w:t>؛</w:t>
      </w:r>
      <w:r w:rsidRPr="00282AC9">
        <w:rPr>
          <w:rtl/>
        </w:rPr>
        <w:t xml:space="preserve"> لأن الربح يسم</w:t>
      </w:r>
      <w:r w:rsidR="006A624F" w:rsidRPr="00282AC9">
        <w:rPr>
          <w:rFonts w:hint="cs"/>
          <w:rtl/>
        </w:rPr>
        <w:t>ّ</w:t>
      </w:r>
      <w:r w:rsidRPr="00282AC9">
        <w:rPr>
          <w:rtl/>
        </w:rPr>
        <w:t>ى غنما</w:t>
      </w:r>
      <w:r w:rsidR="00216FF4" w:rsidRPr="00282AC9">
        <w:rPr>
          <w:rFonts w:hint="cs"/>
          <w:rtl/>
        </w:rPr>
        <w:t>ً.</w:t>
      </w:r>
      <w:r w:rsidRPr="00282AC9">
        <w:rPr>
          <w:rtl/>
        </w:rPr>
        <w:t xml:space="preserve"> والغنيمة هي الربح</w:t>
      </w:r>
      <w:r w:rsidR="00216FF4" w:rsidRPr="00282AC9">
        <w:rPr>
          <w:rFonts w:hint="cs"/>
          <w:rtl/>
        </w:rPr>
        <w:t>؛</w:t>
      </w:r>
      <w:r w:rsidRPr="00282AC9">
        <w:rPr>
          <w:rtl/>
        </w:rPr>
        <w:t xml:space="preserve"> لأنهم غنموه في حرب العدو</w:t>
      </w:r>
      <w:r w:rsidR="00216FF4" w:rsidRPr="00282AC9">
        <w:rPr>
          <w:rFonts w:hint="cs"/>
          <w:rtl/>
        </w:rPr>
        <w:t>ّ</w:t>
      </w:r>
      <w:r w:rsidRPr="00282AC9">
        <w:rPr>
          <w:rtl/>
        </w:rPr>
        <w:t xml:space="preserve"> حلالا</w:t>
      </w:r>
      <w:r w:rsidRPr="00282AC9">
        <w:rPr>
          <w:rFonts w:hint="cs"/>
          <w:rtl/>
        </w:rPr>
        <w:t>ً</w:t>
      </w:r>
      <w:r w:rsidR="00216FF4" w:rsidRPr="00282AC9">
        <w:rPr>
          <w:rFonts w:hint="cs"/>
          <w:rtl/>
        </w:rPr>
        <w:t>.</w:t>
      </w:r>
      <w:r w:rsidRPr="00282AC9">
        <w:rPr>
          <w:rtl/>
        </w:rPr>
        <w:t xml:space="preserve"> وأضاف: وأما ما غنموا في الحرب</w:t>
      </w:r>
      <w:r w:rsidR="00216FF4" w:rsidRPr="00282AC9">
        <w:rPr>
          <w:rFonts w:hint="cs"/>
          <w:rtl/>
        </w:rPr>
        <w:t>،</w:t>
      </w:r>
      <w:r w:rsidRPr="00282AC9">
        <w:rPr>
          <w:rtl/>
        </w:rPr>
        <w:t xml:space="preserve"> وقس</w:t>
      </w:r>
      <w:r w:rsidR="00216FF4" w:rsidRPr="00282AC9">
        <w:rPr>
          <w:rFonts w:hint="cs"/>
          <w:rtl/>
        </w:rPr>
        <w:t>َّ</w:t>
      </w:r>
      <w:r w:rsidRPr="00282AC9">
        <w:rPr>
          <w:rtl/>
        </w:rPr>
        <w:t>موه بينهم من الغنائم</w:t>
      </w:r>
      <w:r w:rsidR="00216FF4" w:rsidRPr="00282AC9">
        <w:rPr>
          <w:rFonts w:hint="cs"/>
          <w:rtl/>
        </w:rPr>
        <w:t>،</w:t>
      </w:r>
      <w:r w:rsidRPr="00282AC9">
        <w:rPr>
          <w:rtl/>
        </w:rPr>
        <w:t xml:space="preserve"> ف</w:t>
      </w:r>
      <w:r w:rsidR="00216FF4" w:rsidRPr="00282AC9">
        <w:rPr>
          <w:rFonts w:hint="cs"/>
          <w:rtl/>
        </w:rPr>
        <w:t>إ</w:t>
      </w:r>
      <w:r w:rsidRPr="00282AC9">
        <w:rPr>
          <w:rtl/>
        </w:rPr>
        <w:t>نه يخرج منه خ</w:t>
      </w:r>
      <w:r w:rsidR="00216FF4" w:rsidRPr="00282AC9">
        <w:rPr>
          <w:rFonts w:hint="cs"/>
          <w:rtl/>
        </w:rPr>
        <w:t>ُ</w:t>
      </w:r>
      <w:r w:rsidRPr="00282AC9">
        <w:rPr>
          <w:rtl/>
        </w:rPr>
        <w:t>م</w:t>
      </w:r>
      <w:r w:rsidR="00216FF4" w:rsidRPr="00282AC9">
        <w:rPr>
          <w:rFonts w:hint="cs"/>
          <w:rtl/>
        </w:rPr>
        <w:t>ْ</w:t>
      </w:r>
      <w:r w:rsidRPr="00282AC9">
        <w:rPr>
          <w:rtl/>
        </w:rPr>
        <w:t>سه الذي جعله الله فيه</w:t>
      </w:r>
      <w:r w:rsidRPr="00282AC9">
        <w:rPr>
          <w:rFonts w:hint="cs"/>
          <w:vertAlign w:val="superscript"/>
          <w:rtl/>
        </w:rPr>
        <w:t>(</w:t>
      </w:r>
      <w:r w:rsidRPr="00282AC9">
        <w:rPr>
          <w:rStyle w:val="af9"/>
          <w:sz w:val="27"/>
          <w:rtl/>
        </w:rPr>
        <w:endnoteReference w:id="459"/>
      </w:r>
      <w:r w:rsidRPr="00282AC9">
        <w:rPr>
          <w:rFonts w:hint="cs"/>
          <w:vertAlign w:val="superscript"/>
          <w:rtl/>
        </w:rPr>
        <w:t>)</w:t>
      </w:r>
      <w:r w:rsidR="00216FF4" w:rsidRPr="00282AC9">
        <w:rPr>
          <w:rFonts w:hint="cs"/>
          <w:rtl/>
        </w:rPr>
        <w:t>.</w:t>
      </w:r>
      <w:r w:rsidRPr="00282AC9">
        <w:rPr>
          <w:rFonts w:hint="cs"/>
          <w:rtl/>
        </w:rPr>
        <w:t xml:space="preserve"> </w:t>
      </w:r>
      <w:r w:rsidRPr="00282AC9">
        <w:rPr>
          <w:rtl/>
        </w:rPr>
        <w:t>ويت</w:t>
      </w:r>
      <w:r w:rsidR="00216FF4" w:rsidRPr="00282AC9">
        <w:rPr>
          <w:rFonts w:hint="cs"/>
          <w:rtl/>
        </w:rPr>
        <w:t>َّ</w:t>
      </w:r>
      <w:r w:rsidRPr="00282AC9">
        <w:rPr>
          <w:rtl/>
        </w:rPr>
        <w:t>ضح من كلامه بأنه يرى أن الربح هو غنيمة</w:t>
      </w:r>
      <w:r w:rsidR="00216FF4" w:rsidRPr="00282AC9">
        <w:rPr>
          <w:rFonts w:hint="cs"/>
          <w:rtl/>
        </w:rPr>
        <w:t>ٌ،</w:t>
      </w:r>
      <w:r w:rsidRPr="00282AC9">
        <w:rPr>
          <w:rtl/>
        </w:rPr>
        <w:t xml:space="preserve"> وأن الغنيمة هي ربح</w:t>
      </w:r>
      <w:r w:rsidR="00216FF4" w:rsidRPr="00282AC9">
        <w:rPr>
          <w:rFonts w:hint="cs"/>
          <w:rtl/>
        </w:rPr>
        <w:t>ٌ.</w:t>
      </w:r>
      <w:r w:rsidRPr="00282AC9">
        <w:rPr>
          <w:rtl/>
        </w:rPr>
        <w:t xml:space="preserve"> وقد ي</w:t>
      </w:r>
      <w:r w:rsidR="00216FF4" w:rsidRPr="00282AC9">
        <w:rPr>
          <w:rFonts w:hint="cs"/>
          <w:rtl/>
        </w:rPr>
        <w:t>ُ</w:t>
      </w:r>
      <w:r w:rsidRPr="00282AC9">
        <w:rPr>
          <w:rtl/>
        </w:rPr>
        <w:t>ستفاد من كلامه أن غنائ</w:t>
      </w:r>
      <w:r w:rsidR="00216FF4" w:rsidRPr="00282AC9">
        <w:rPr>
          <w:rtl/>
        </w:rPr>
        <w:t>م الحرب من مصاديق الربح والغنم.</w:t>
      </w:r>
    </w:p>
    <w:p w:rsidR="00216FF4" w:rsidRPr="00282AC9" w:rsidRDefault="00946A76" w:rsidP="00235851">
      <w:pPr>
        <w:spacing w:line="420" w:lineRule="exact"/>
        <w:rPr>
          <w:rtl/>
        </w:rPr>
      </w:pPr>
      <w:r w:rsidRPr="00282AC9">
        <w:rPr>
          <w:rtl/>
        </w:rPr>
        <w:t>واعتبر الماوردي(450</w:t>
      </w:r>
      <w:r w:rsidRPr="00282AC9">
        <w:rPr>
          <w:rFonts w:hint="cs"/>
          <w:rtl/>
        </w:rPr>
        <w:t>هـ</w:t>
      </w:r>
      <w:r w:rsidRPr="00282AC9">
        <w:rPr>
          <w:rtl/>
        </w:rPr>
        <w:t>) مال الغنيمة مأخوذا</w:t>
      </w:r>
      <w:r w:rsidR="00216FF4" w:rsidRPr="00282AC9">
        <w:rPr>
          <w:rFonts w:hint="cs"/>
          <w:rtl/>
        </w:rPr>
        <w:t>ً</w:t>
      </w:r>
      <w:r w:rsidRPr="00282AC9">
        <w:rPr>
          <w:rtl/>
        </w:rPr>
        <w:t xml:space="preserve"> من الكف</w:t>
      </w:r>
      <w:r w:rsidR="00216FF4" w:rsidRPr="00282AC9">
        <w:rPr>
          <w:rFonts w:hint="cs"/>
          <w:rtl/>
        </w:rPr>
        <w:t>ّ</w:t>
      </w:r>
      <w:r w:rsidRPr="00282AC9">
        <w:rPr>
          <w:rtl/>
        </w:rPr>
        <w:t>ار ق</w:t>
      </w:r>
      <w:r w:rsidR="00216FF4" w:rsidRPr="00282AC9">
        <w:rPr>
          <w:rFonts w:hint="cs"/>
          <w:rtl/>
        </w:rPr>
        <w:t>َ</w:t>
      </w:r>
      <w:r w:rsidRPr="00282AC9">
        <w:rPr>
          <w:rtl/>
        </w:rPr>
        <w:t>ه</w:t>
      </w:r>
      <w:r w:rsidR="00216FF4" w:rsidRPr="00282AC9">
        <w:rPr>
          <w:rFonts w:hint="cs"/>
          <w:rtl/>
        </w:rPr>
        <w:t>ْ</w:t>
      </w:r>
      <w:r w:rsidRPr="00282AC9">
        <w:rPr>
          <w:rtl/>
        </w:rPr>
        <w:t>را</w:t>
      </w:r>
      <w:r w:rsidRPr="00282AC9">
        <w:rPr>
          <w:rFonts w:hint="cs"/>
          <w:rtl/>
        </w:rPr>
        <w:t>ً</w:t>
      </w:r>
      <w:r w:rsidRPr="00282AC9">
        <w:rPr>
          <w:rFonts w:hint="cs"/>
          <w:vertAlign w:val="superscript"/>
          <w:rtl/>
        </w:rPr>
        <w:t>(</w:t>
      </w:r>
      <w:r w:rsidRPr="00282AC9">
        <w:rPr>
          <w:rStyle w:val="af9"/>
          <w:sz w:val="27"/>
          <w:rtl/>
        </w:rPr>
        <w:endnoteReference w:id="460"/>
      </w:r>
      <w:r w:rsidRPr="00282AC9">
        <w:rPr>
          <w:rFonts w:hint="cs"/>
          <w:vertAlign w:val="superscript"/>
          <w:rtl/>
        </w:rPr>
        <w:t>)</w:t>
      </w:r>
      <w:r w:rsidR="00216FF4" w:rsidRPr="00282AC9">
        <w:rPr>
          <w:rFonts w:hint="cs"/>
          <w:rtl/>
        </w:rPr>
        <w:t>.</w:t>
      </w:r>
    </w:p>
    <w:p w:rsidR="00216FF4" w:rsidRPr="00282AC9" w:rsidRDefault="00946A76" w:rsidP="00235851">
      <w:pPr>
        <w:spacing w:line="416" w:lineRule="exact"/>
        <w:rPr>
          <w:b/>
          <w:rtl/>
        </w:rPr>
      </w:pPr>
      <w:r w:rsidRPr="00282AC9">
        <w:rPr>
          <w:rtl/>
        </w:rPr>
        <w:t>وفي نظر ابن تيمية(728</w:t>
      </w:r>
      <w:r w:rsidRPr="00282AC9">
        <w:rPr>
          <w:rFonts w:hint="cs"/>
          <w:rtl/>
        </w:rPr>
        <w:t>هـ</w:t>
      </w:r>
      <w:r w:rsidRPr="00282AC9">
        <w:rPr>
          <w:rtl/>
        </w:rPr>
        <w:t>)</w:t>
      </w:r>
      <w:r w:rsidR="00216FF4" w:rsidRPr="00282AC9">
        <w:rPr>
          <w:rFonts w:hint="cs"/>
          <w:rtl/>
        </w:rPr>
        <w:t>:</w:t>
      </w:r>
      <w:r w:rsidRPr="00282AC9">
        <w:rPr>
          <w:rtl/>
        </w:rPr>
        <w:t xml:space="preserve"> الغنيمة هي المال</w:t>
      </w:r>
      <w:r w:rsidR="00216FF4" w:rsidRPr="00282AC9">
        <w:rPr>
          <w:rFonts w:hint="cs"/>
          <w:rtl/>
        </w:rPr>
        <w:t>ُ</w:t>
      </w:r>
      <w:r w:rsidRPr="00282AC9">
        <w:rPr>
          <w:rtl/>
        </w:rPr>
        <w:t xml:space="preserve"> المأخوذ من الكف</w:t>
      </w:r>
      <w:r w:rsidR="00216FF4" w:rsidRPr="00282AC9">
        <w:rPr>
          <w:rFonts w:hint="cs"/>
          <w:rtl/>
        </w:rPr>
        <w:t>ّ</w:t>
      </w:r>
      <w:r w:rsidRPr="00282AC9">
        <w:rPr>
          <w:rtl/>
        </w:rPr>
        <w:t>ار بالقتال</w:t>
      </w:r>
      <w:r w:rsidR="00216FF4" w:rsidRPr="00282AC9">
        <w:rPr>
          <w:rFonts w:hint="cs"/>
          <w:rtl/>
        </w:rPr>
        <w:t>،</w:t>
      </w:r>
      <w:r w:rsidRPr="00282AC9">
        <w:rPr>
          <w:rtl/>
        </w:rPr>
        <w:t xml:space="preserve"> ذكرها الله في سورة الأنفال</w:t>
      </w:r>
      <w:r w:rsidR="00216FF4" w:rsidRPr="00282AC9">
        <w:rPr>
          <w:rFonts w:hint="cs"/>
          <w:rtl/>
        </w:rPr>
        <w:t>،</w:t>
      </w:r>
      <w:r w:rsidRPr="00282AC9">
        <w:rPr>
          <w:rtl/>
        </w:rPr>
        <w:t xml:space="preserve"> التي أنزلها في غزوة بدر</w:t>
      </w:r>
      <w:r w:rsidRPr="00282AC9">
        <w:rPr>
          <w:rFonts w:hint="cs"/>
          <w:vertAlign w:val="superscript"/>
          <w:rtl/>
        </w:rPr>
        <w:t>(</w:t>
      </w:r>
      <w:r w:rsidRPr="00282AC9">
        <w:rPr>
          <w:rStyle w:val="af9"/>
          <w:sz w:val="27"/>
          <w:rtl/>
        </w:rPr>
        <w:endnoteReference w:id="461"/>
      </w:r>
      <w:r w:rsidRPr="00282AC9">
        <w:rPr>
          <w:rFonts w:hint="cs"/>
          <w:vertAlign w:val="superscript"/>
          <w:rtl/>
        </w:rPr>
        <w:t>)</w:t>
      </w:r>
      <w:r w:rsidR="00216FF4" w:rsidRPr="00282AC9">
        <w:rPr>
          <w:rFonts w:hint="cs"/>
          <w:b/>
          <w:rtl/>
        </w:rPr>
        <w:t>.</w:t>
      </w:r>
    </w:p>
    <w:p w:rsidR="00B20E6D" w:rsidRPr="00282AC9" w:rsidRDefault="00946A76" w:rsidP="00235851">
      <w:pPr>
        <w:spacing w:line="416" w:lineRule="exact"/>
        <w:rPr>
          <w:rtl/>
        </w:rPr>
      </w:pPr>
      <w:r w:rsidRPr="00282AC9">
        <w:rPr>
          <w:b/>
          <w:rtl/>
        </w:rPr>
        <w:t>و</w:t>
      </w:r>
      <w:r w:rsidRPr="00282AC9">
        <w:rPr>
          <w:rtl/>
        </w:rPr>
        <w:t>ذهب محمد العاملي(1009</w:t>
      </w:r>
      <w:r w:rsidRPr="00282AC9">
        <w:rPr>
          <w:rFonts w:hint="cs"/>
          <w:rtl/>
        </w:rPr>
        <w:t>هـ</w:t>
      </w:r>
      <w:r w:rsidRPr="00282AC9">
        <w:rPr>
          <w:rtl/>
        </w:rPr>
        <w:t>) إلى أن المتبادر من الغنيمة الواقعة فيها (</w:t>
      </w:r>
      <w:r w:rsidR="00B20E6D" w:rsidRPr="00282AC9">
        <w:rPr>
          <w:rFonts w:hint="cs"/>
          <w:rtl/>
        </w:rPr>
        <w:t xml:space="preserve">في </w:t>
      </w:r>
      <w:r w:rsidRPr="00282AC9">
        <w:rPr>
          <w:rtl/>
        </w:rPr>
        <w:t>الآية) غنيمة دار الحرب</w:t>
      </w:r>
      <w:r w:rsidR="00B20E6D" w:rsidRPr="00282AC9">
        <w:rPr>
          <w:rFonts w:hint="cs"/>
          <w:rtl/>
        </w:rPr>
        <w:t>،</w:t>
      </w:r>
      <w:r w:rsidRPr="00282AC9">
        <w:rPr>
          <w:rtl/>
        </w:rPr>
        <w:t xml:space="preserve"> كما يدل عليه س</w:t>
      </w:r>
      <w:r w:rsidR="00B20E6D" w:rsidRPr="00282AC9">
        <w:rPr>
          <w:rFonts w:hint="cs"/>
          <w:rtl/>
        </w:rPr>
        <w:t>َ</w:t>
      </w:r>
      <w:r w:rsidRPr="00282AC9">
        <w:rPr>
          <w:rtl/>
        </w:rPr>
        <w:t>و</w:t>
      </w:r>
      <w:r w:rsidR="00B20E6D" w:rsidRPr="00282AC9">
        <w:rPr>
          <w:rFonts w:hint="cs"/>
          <w:rtl/>
        </w:rPr>
        <w:t>ْ</w:t>
      </w:r>
      <w:r w:rsidRPr="00282AC9">
        <w:rPr>
          <w:rtl/>
        </w:rPr>
        <w:t>ق الآيات السابقة واللاحقة، فلا يمكن التجو</w:t>
      </w:r>
      <w:r w:rsidR="00B20E6D" w:rsidRPr="00282AC9">
        <w:rPr>
          <w:rFonts w:hint="cs"/>
          <w:rtl/>
        </w:rPr>
        <w:t>ُّ</w:t>
      </w:r>
      <w:r w:rsidRPr="00282AC9">
        <w:rPr>
          <w:rtl/>
        </w:rPr>
        <w:t>ز بها في غيره</w:t>
      </w:r>
      <w:r w:rsidR="00B20E6D" w:rsidRPr="00282AC9">
        <w:rPr>
          <w:rFonts w:hint="cs"/>
          <w:rtl/>
        </w:rPr>
        <w:t>،</w:t>
      </w:r>
      <w:r w:rsidRPr="00282AC9">
        <w:rPr>
          <w:rtl/>
        </w:rPr>
        <w:t xml:space="preserve"> إلا مع قيام الدلالة عليه</w:t>
      </w:r>
      <w:r w:rsidRPr="00282AC9">
        <w:rPr>
          <w:rFonts w:hint="cs"/>
          <w:vertAlign w:val="superscript"/>
          <w:rtl/>
        </w:rPr>
        <w:t>(</w:t>
      </w:r>
      <w:r w:rsidRPr="00282AC9">
        <w:rPr>
          <w:rStyle w:val="af9"/>
          <w:sz w:val="27"/>
          <w:rtl/>
        </w:rPr>
        <w:endnoteReference w:id="462"/>
      </w:r>
      <w:r w:rsidRPr="00282AC9">
        <w:rPr>
          <w:rFonts w:hint="cs"/>
          <w:vertAlign w:val="superscript"/>
          <w:rtl/>
        </w:rPr>
        <w:t>)</w:t>
      </w:r>
      <w:r w:rsidRPr="00282AC9">
        <w:rPr>
          <w:rtl/>
        </w:rPr>
        <w:t>.</w:t>
      </w:r>
    </w:p>
    <w:p w:rsidR="00B20E6D" w:rsidRPr="00282AC9" w:rsidRDefault="00946A76" w:rsidP="00235851">
      <w:pPr>
        <w:spacing w:line="416" w:lineRule="exact"/>
        <w:rPr>
          <w:rtl/>
        </w:rPr>
      </w:pPr>
      <w:r w:rsidRPr="00282AC9">
        <w:rPr>
          <w:rtl/>
        </w:rPr>
        <w:t>وهو نفس ما قر</w:t>
      </w:r>
      <w:r w:rsidR="00B20E6D" w:rsidRPr="00282AC9">
        <w:rPr>
          <w:rFonts w:hint="cs"/>
          <w:rtl/>
        </w:rPr>
        <w:t>َّ</w:t>
      </w:r>
      <w:r w:rsidRPr="00282AC9">
        <w:rPr>
          <w:rtl/>
        </w:rPr>
        <w:t>ره السبزواري(1090</w:t>
      </w:r>
      <w:r w:rsidRPr="00282AC9">
        <w:rPr>
          <w:rFonts w:hint="cs"/>
          <w:rtl/>
        </w:rPr>
        <w:t>هـ</w:t>
      </w:r>
      <w:r w:rsidRPr="00282AC9">
        <w:rPr>
          <w:rtl/>
        </w:rPr>
        <w:t>)</w:t>
      </w:r>
      <w:r w:rsidR="00B20E6D" w:rsidRPr="00282AC9">
        <w:rPr>
          <w:rFonts w:hint="cs"/>
          <w:rtl/>
        </w:rPr>
        <w:t>،</w:t>
      </w:r>
      <w:r w:rsidRPr="00282AC9">
        <w:rPr>
          <w:rtl/>
        </w:rPr>
        <w:t xml:space="preserve"> وهو أن المتبادر من الغنيمة الواقعة في الآية غنيمة دار الحرب</w:t>
      </w:r>
      <w:r w:rsidR="00B20E6D" w:rsidRPr="00282AC9">
        <w:rPr>
          <w:rFonts w:hint="cs"/>
          <w:rtl/>
        </w:rPr>
        <w:t>،</w:t>
      </w:r>
      <w:r w:rsidRPr="00282AC9">
        <w:rPr>
          <w:rtl/>
        </w:rPr>
        <w:t xml:space="preserve"> كما يدل عليه س</w:t>
      </w:r>
      <w:r w:rsidR="00B20E6D" w:rsidRPr="00282AC9">
        <w:rPr>
          <w:rFonts w:hint="cs"/>
          <w:rtl/>
        </w:rPr>
        <w:t>َ</w:t>
      </w:r>
      <w:r w:rsidRPr="00282AC9">
        <w:rPr>
          <w:rtl/>
        </w:rPr>
        <w:t>و</w:t>
      </w:r>
      <w:r w:rsidR="00B20E6D" w:rsidRPr="00282AC9">
        <w:rPr>
          <w:rFonts w:hint="cs"/>
          <w:rtl/>
        </w:rPr>
        <w:t>ْ</w:t>
      </w:r>
      <w:r w:rsidRPr="00282AC9">
        <w:rPr>
          <w:rtl/>
        </w:rPr>
        <w:t>ق الآيات السابقة واللاحقة</w:t>
      </w:r>
      <w:r w:rsidRPr="00282AC9">
        <w:rPr>
          <w:rFonts w:hint="cs"/>
          <w:vertAlign w:val="superscript"/>
          <w:rtl/>
        </w:rPr>
        <w:t>(</w:t>
      </w:r>
      <w:r w:rsidRPr="00282AC9">
        <w:rPr>
          <w:rStyle w:val="af9"/>
          <w:sz w:val="27"/>
          <w:rtl/>
        </w:rPr>
        <w:endnoteReference w:id="463"/>
      </w:r>
      <w:r w:rsidRPr="00282AC9">
        <w:rPr>
          <w:rFonts w:hint="cs"/>
          <w:vertAlign w:val="superscript"/>
          <w:rtl/>
        </w:rPr>
        <w:t>)</w:t>
      </w:r>
      <w:r w:rsidR="00B20E6D" w:rsidRPr="00282AC9">
        <w:rPr>
          <w:rtl/>
        </w:rPr>
        <w:t>.</w:t>
      </w:r>
    </w:p>
    <w:p w:rsidR="00946A76" w:rsidRPr="00282AC9" w:rsidRDefault="00946A76" w:rsidP="00235851">
      <w:pPr>
        <w:spacing w:line="416" w:lineRule="exact"/>
        <w:rPr>
          <w:rtl/>
        </w:rPr>
      </w:pPr>
      <w:r w:rsidRPr="00282AC9">
        <w:rPr>
          <w:rtl/>
        </w:rPr>
        <w:t>أما علي</w:t>
      </w:r>
      <w:r w:rsidR="00B20E6D" w:rsidRPr="00282AC9">
        <w:rPr>
          <w:rFonts w:hint="cs"/>
          <w:rtl/>
        </w:rPr>
        <w:t>ّ</w:t>
      </w:r>
      <w:r w:rsidRPr="00282AC9">
        <w:rPr>
          <w:rtl/>
        </w:rPr>
        <w:t xml:space="preserve"> الطباطبائي(1231</w:t>
      </w:r>
      <w:r w:rsidRPr="00282AC9">
        <w:rPr>
          <w:rFonts w:hint="cs"/>
          <w:rtl/>
        </w:rPr>
        <w:t>هـ</w:t>
      </w:r>
      <w:r w:rsidRPr="00282AC9">
        <w:rPr>
          <w:rtl/>
        </w:rPr>
        <w:t>) فذكر ما عليه بعض الفقهاء والمفس</w:t>
      </w:r>
      <w:r w:rsidR="00B20E6D" w:rsidRPr="00282AC9">
        <w:rPr>
          <w:rFonts w:hint="cs"/>
          <w:rtl/>
        </w:rPr>
        <w:t>ِّ</w:t>
      </w:r>
      <w:r w:rsidRPr="00282AC9">
        <w:rPr>
          <w:rtl/>
        </w:rPr>
        <w:t>رين من عموم الآية</w:t>
      </w:r>
      <w:r w:rsidR="00B20E6D" w:rsidRPr="00282AC9">
        <w:rPr>
          <w:rFonts w:hint="cs"/>
          <w:rtl/>
        </w:rPr>
        <w:t>؛</w:t>
      </w:r>
      <w:r w:rsidRPr="00282AC9">
        <w:rPr>
          <w:rtl/>
        </w:rPr>
        <w:t xml:space="preserve"> لجملة</w:t>
      </w:r>
      <w:r w:rsidR="00B20E6D" w:rsidRPr="00282AC9">
        <w:rPr>
          <w:rFonts w:hint="cs"/>
          <w:rtl/>
        </w:rPr>
        <w:t>ٍ</w:t>
      </w:r>
      <w:r w:rsidRPr="00282AC9">
        <w:rPr>
          <w:rtl/>
        </w:rPr>
        <w:t xml:space="preserve"> من الموارد التي عليها الأصحاب</w:t>
      </w:r>
      <w:r w:rsidR="00B20E6D" w:rsidRPr="00282AC9">
        <w:rPr>
          <w:rFonts w:hint="cs"/>
          <w:rtl/>
        </w:rPr>
        <w:t>،</w:t>
      </w:r>
      <w:r w:rsidRPr="00282AC9">
        <w:rPr>
          <w:rtl/>
        </w:rPr>
        <w:t xml:space="preserve"> </w:t>
      </w:r>
      <w:r w:rsidR="00B20E6D" w:rsidRPr="00282AC9">
        <w:rPr>
          <w:rFonts w:hint="cs"/>
          <w:rtl/>
        </w:rPr>
        <w:t>ف</w:t>
      </w:r>
      <w:r w:rsidRPr="00282AC9">
        <w:rPr>
          <w:rtl/>
        </w:rPr>
        <w:t>قال: وإثباته حقيقة لغة</w:t>
      </w:r>
      <w:r w:rsidR="00B20E6D" w:rsidRPr="00282AC9">
        <w:rPr>
          <w:rFonts w:hint="cs"/>
          <w:rtl/>
        </w:rPr>
        <w:t>ً</w:t>
      </w:r>
      <w:r w:rsidRPr="00282AC9">
        <w:rPr>
          <w:rtl/>
        </w:rPr>
        <w:t xml:space="preserve"> أو ع</w:t>
      </w:r>
      <w:r w:rsidR="00B20E6D" w:rsidRPr="00282AC9">
        <w:rPr>
          <w:rFonts w:hint="cs"/>
          <w:rtl/>
        </w:rPr>
        <w:t>ُ</w:t>
      </w:r>
      <w:r w:rsidRPr="00282AC9">
        <w:rPr>
          <w:rtl/>
        </w:rPr>
        <w:t>ر</w:t>
      </w:r>
      <w:r w:rsidR="00B20E6D" w:rsidRPr="00282AC9">
        <w:rPr>
          <w:rFonts w:hint="cs"/>
          <w:rtl/>
        </w:rPr>
        <w:t>ْ</w:t>
      </w:r>
      <w:r w:rsidRPr="00282AC9">
        <w:rPr>
          <w:rtl/>
        </w:rPr>
        <w:t>ف</w:t>
      </w:r>
      <w:r w:rsidR="00B20E6D" w:rsidRPr="00282AC9">
        <w:rPr>
          <w:rFonts w:hint="cs"/>
          <w:rtl/>
        </w:rPr>
        <w:t>اً</w:t>
      </w:r>
      <w:r w:rsidRPr="00282AC9">
        <w:rPr>
          <w:rtl/>
        </w:rPr>
        <w:t xml:space="preserve"> مشكل</w:t>
      </w:r>
      <w:r w:rsidR="00B20E6D" w:rsidRPr="00282AC9">
        <w:rPr>
          <w:rFonts w:hint="cs"/>
          <w:rtl/>
        </w:rPr>
        <w:t>ٌ</w:t>
      </w:r>
      <w:r w:rsidRPr="00282AC9">
        <w:rPr>
          <w:rtl/>
        </w:rPr>
        <w:t>، بل ظاهر</w:t>
      </w:r>
      <w:r w:rsidR="00B20E6D" w:rsidRPr="00282AC9">
        <w:rPr>
          <w:rFonts w:hint="cs"/>
          <w:rtl/>
        </w:rPr>
        <w:t>ُ</w:t>
      </w:r>
      <w:r w:rsidRPr="00282AC9">
        <w:rPr>
          <w:rtl/>
        </w:rPr>
        <w:t xml:space="preserve"> الأصحاب وجملة</w:t>
      </w:r>
      <w:r w:rsidR="00B20E6D" w:rsidRPr="00282AC9">
        <w:rPr>
          <w:rFonts w:hint="cs"/>
          <w:rtl/>
        </w:rPr>
        <w:t>ٌ</w:t>
      </w:r>
      <w:r w:rsidRPr="00282AC9">
        <w:rPr>
          <w:rtl/>
        </w:rPr>
        <w:t xml:space="preserve"> من الروايات الع</w:t>
      </w:r>
      <w:r w:rsidR="00B20E6D" w:rsidRPr="00282AC9">
        <w:rPr>
          <w:rFonts w:hint="cs"/>
          <w:rtl/>
        </w:rPr>
        <w:t>َ</w:t>
      </w:r>
      <w:r w:rsidRPr="00282AC9">
        <w:rPr>
          <w:rtl/>
        </w:rPr>
        <w:t>د</w:t>
      </w:r>
      <w:r w:rsidR="00B20E6D" w:rsidRPr="00282AC9">
        <w:rPr>
          <w:rFonts w:hint="cs"/>
          <w:rtl/>
        </w:rPr>
        <w:t>َ</w:t>
      </w:r>
      <w:r w:rsidRPr="00282AC9">
        <w:rPr>
          <w:rtl/>
        </w:rPr>
        <w:t>م</w:t>
      </w:r>
      <w:r w:rsidR="00B20E6D" w:rsidRPr="00282AC9">
        <w:rPr>
          <w:rFonts w:hint="cs"/>
          <w:rtl/>
        </w:rPr>
        <w:t>؛</w:t>
      </w:r>
      <w:r w:rsidRPr="00282AC9">
        <w:rPr>
          <w:rtl/>
        </w:rPr>
        <w:t xml:space="preserve"> حيث قوبل فيها وفي كلامهم المعادن ونحوها بالغنيمة</w:t>
      </w:r>
      <w:r w:rsidR="00B20E6D" w:rsidRPr="00282AC9">
        <w:rPr>
          <w:rFonts w:hint="cs"/>
          <w:rtl/>
        </w:rPr>
        <w:t>،</w:t>
      </w:r>
      <w:r w:rsidRPr="00282AC9">
        <w:rPr>
          <w:rtl/>
        </w:rPr>
        <w:t xml:space="preserve"> بحيث يظهر المغايرة بح</w:t>
      </w:r>
      <w:r w:rsidR="00B20E6D" w:rsidRPr="00282AC9">
        <w:rPr>
          <w:rFonts w:hint="cs"/>
          <w:rtl/>
        </w:rPr>
        <w:t>َ</w:t>
      </w:r>
      <w:r w:rsidRPr="00282AC9">
        <w:rPr>
          <w:rtl/>
        </w:rPr>
        <w:t>س</w:t>
      </w:r>
      <w:r w:rsidR="00B20E6D" w:rsidRPr="00282AC9">
        <w:rPr>
          <w:rFonts w:hint="cs"/>
          <w:rtl/>
        </w:rPr>
        <w:t>َ</w:t>
      </w:r>
      <w:r w:rsidRPr="00282AC9">
        <w:rPr>
          <w:rtl/>
        </w:rPr>
        <w:t>ب الحقيقة الوضعي</w:t>
      </w:r>
      <w:r w:rsidR="00B20E6D" w:rsidRPr="00282AC9">
        <w:rPr>
          <w:rFonts w:hint="cs"/>
          <w:rtl/>
        </w:rPr>
        <w:t>ّ</w:t>
      </w:r>
      <w:r w:rsidRPr="00282AC9">
        <w:rPr>
          <w:rtl/>
        </w:rPr>
        <w:t>ة</w:t>
      </w:r>
      <w:r w:rsidR="00B20E6D" w:rsidRPr="00282AC9">
        <w:rPr>
          <w:rFonts w:hint="cs"/>
          <w:rtl/>
        </w:rPr>
        <w:t>.</w:t>
      </w:r>
      <w:r w:rsidRPr="00282AC9">
        <w:rPr>
          <w:rtl/>
        </w:rPr>
        <w:t xml:space="preserve"> كما هي ظاهر جماعة من أهل اللغة</w:t>
      </w:r>
      <w:r w:rsidR="00B20E6D" w:rsidRPr="00282AC9">
        <w:rPr>
          <w:rFonts w:hint="cs"/>
          <w:rtl/>
        </w:rPr>
        <w:t>،</w:t>
      </w:r>
      <w:r w:rsidRPr="00282AC9">
        <w:rPr>
          <w:rtl/>
        </w:rPr>
        <w:t xml:space="preserve"> بل عام</w:t>
      </w:r>
      <w:r w:rsidR="00B20E6D" w:rsidRPr="00282AC9">
        <w:rPr>
          <w:rFonts w:hint="cs"/>
          <w:rtl/>
        </w:rPr>
        <w:t>ّ</w:t>
      </w:r>
      <w:r w:rsidRPr="00282AC9">
        <w:rPr>
          <w:rtl/>
        </w:rPr>
        <w:t>تهم</w:t>
      </w:r>
      <w:r w:rsidR="00B20E6D" w:rsidRPr="00282AC9">
        <w:rPr>
          <w:rFonts w:hint="cs"/>
          <w:rtl/>
        </w:rPr>
        <w:t>،</w:t>
      </w:r>
      <w:r w:rsidRPr="00282AC9">
        <w:rPr>
          <w:rtl/>
        </w:rPr>
        <w:t xml:space="preserve"> والع</w:t>
      </w:r>
      <w:r w:rsidR="00B20E6D" w:rsidRPr="00282AC9">
        <w:rPr>
          <w:rFonts w:hint="cs"/>
          <w:rtl/>
        </w:rPr>
        <w:t>ُ</w:t>
      </w:r>
      <w:r w:rsidRPr="00282AC9">
        <w:rPr>
          <w:rtl/>
        </w:rPr>
        <w:t>ر</w:t>
      </w:r>
      <w:r w:rsidR="00B20E6D" w:rsidRPr="00282AC9">
        <w:rPr>
          <w:rFonts w:hint="cs"/>
          <w:rtl/>
        </w:rPr>
        <w:t>ْ</w:t>
      </w:r>
      <w:r w:rsidRPr="00282AC9">
        <w:rPr>
          <w:rtl/>
        </w:rPr>
        <w:t>ف أيضا</w:t>
      </w:r>
      <w:r w:rsidR="00B20E6D" w:rsidRPr="00282AC9">
        <w:rPr>
          <w:rFonts w:hint="cs"/>
          <w:rtl/>
        </w:rPr>
        <w:t>ً،</w:t>
      </w:r>
      <w:r w:rsidRPr="00282AC9">
        <w:rPr>
          <w:rtl/>
        </w:rPr>
        <w:t xml:space="preserve"> كما صر</w:t>
      </w:r>
      <w:r w:rsidR="00B20E6D" w:rsidRPr="00282AC9">
        <w:rPr>
          <w:rFonts w:hint="cs"/>
          <w:rtl/>
        </w:rPr>
        <w:t>َّ</w:t>
      </w:r>
      <w:r w:rsidRPr="00282AC9">
        <w:rPr>
          <w:rtl/>
        </w:rPr>
        <w:t>ح بعض الأجل</w:t>
      </w:r>
      <w:r w:rsidR="00B20E6D" w:rsidRPr="00282AC9">
        <w:rPr>
          <w:rFonts w:hint="cs"/>
          <w:rtl/>
        </w:rPr>
        <w:t>ّ</w:t>
      </w:r>
      <w:r w:rsidRPr="00282AC9">
        <w:rPr>
          <w:rtl/>
        </w:rPr>
        <w:t>ة. ثم</w:t>
      </w:r>
      <w:r w:rsidR="00B20E6D" w:rsidRPr="00282AC9">
        <w:rPr>
          <w:rFonts w:hint="cs"/>
          <w:rtl/>
        </w:rPr>
        <w:t>ّ</w:t>
      </w:r>
      <w:r w:rsidRPr="00282AC9">
        <w:rPr>
          <w:rtl/>
        </w:rPr>
        <w:t xml:space="preserve"> قال: وحينئذ</w:t>
      </w:r>
      <w:r w:rsidR="00B20E6D" w:rsidRPr="00282AC9">
        <w:rPr>
          <w:rFonts w:hint="cs"/>
          <w:rtl/>
        </w:rPr>
        <w:t>ٍ</w:t>
      </w:r>
      <w:r w:rsidRPr="00282AC9">
        <w:rPr>
          <w:rtl/>
        </w:rPr>
        <w:t xml:space="preserve"> فتعميم الأصحاب الغنيمة للجميع كما فيه، لعل</w:t>
      </w:r>
      <w:r w:rsidR="00B20E6D" w:rsidRPr="00282AC9">
        <w:rPr>
          <w:rFonts w:hint="cs"/>
          <w:rtl/>
        </w:rPr>
        <w:t>ّ</w:t>
      </w:r>
      <w:r w:rsidRPr="00282AC9">
        <w:rPr>
          <w:rtl/>
        </w:rPr>
        <w:t>ه من جهة النصوص المفس</w:t>
      </w:r>
      <w:r w:rsidR="00B20E6D" w:rsidRPr="00282AC9">
        <w:rPr>
          <w:rFonts w:hint="cs"/>
          <w:rtl/>
        </w:rPr>
        <w:t>ِّ</w:t>
      </w:r>
      <w:r w:rsidRPr="00282AC9">
        <w:rPr>
          <w:rtl/>
        </w:rPr>
        <w:t>رة للغنيمة</w:t>
      </w:r>
      <w:r w:rsidRPr="00282AC9">
        <w:rPr>
          <w:rFonts w:hint="cs"/>
          <w:vertAlign w:val="superscript"/>
          <w:rtl/>
        </w:rPr>
        <w:t>(</w:t>
      </w:r>
      <w:r w:rsidRPr="00282AC9">
        <w:rPr>
          <w:rStyle w:val="af9"/>
          <w:sz w:val="27"/>
          <w:rtl/>
        </w:rPr>
        <w:endnoteReference w:id="464"/>
      </w:r>
      <w:r w:rsidRPr="00282AC9">
        <w:rPr>
          <w:rFonts w:hint="cs"/>
          <w:vertAlign w:val="superscript"/>
          <w:rtl/>
        </w:rPr>
        <w:t>)</w:t>
      </w:r>
      <w:r w:rsidRPr="00282AC9">
        <w:rPr>
          <w:rFonts w:hint="cs"/>
          <w:rtl/>
        </w:rPr>
        <w:t>.</w:t>
      </w:r>
    </w:p>
    <w:p w:rsidR="00946A76" w:rsidRPr="00282AC9" w:rsidRDefault="00946A76" w:rsidP="00235851">
      <w:pPr>
        <w:spacing w:line="416" w:lineRule="exact"/>
        <w:rPr>
          <w:rtl/>
        </w:rPr>
      </w:pPr>
      <w:r w:rsidRPr="00282AC9">
        <w:rPr>
          <w:rtl/>
        </w:rPr>
        <w:t>وهكذا فقد ذهب فريق</w:t>
      </w:r>
      <w:r w:rsidR="005867D3" w:rsidRPr="00282AC9">
        <w:rPr>
          <w:rFonts w:hint="cs"/>
          <w:rtl/>
        </w:rPr>
        <w:t>ٌ</w:t>
      </w:r>
      <w:r w:rsidRPr="00282AC9">
        <w:rPr>
          <w:rtl/>
        </w:rPr>
        <w:t xml:space="preserve"> من الفقهاء </w:t>
      </w:r>
      <w:r w:rsidR="005867D3" w:rsidRPr="00282AC9">
        <w:rPr>
          <w:rFonts w:hint="cs"/>
          <w:rtl/>
        </w:rPr>
        <w:t>إ</w:t>
      </w:r>
      <w:r w:rsidRPr="00282AC9">
        <w:rPr>
          <w:rtl/>
        </w:rPr>
        <w:t xml:space="preserve">لى </w:t>
      </w:r>
      <w:r w:rsidR="005867D3" w:rsidRPr="00282AC9">
        <w:rPr>
          <w:rFonts w:hint="cs"/>
          <w:rtl/>
        </w:rPr>
        <w:t>أ</w:t>
      </w:r>
      <w:r w:rsidRPr="00282AC9">
        <w:rPr>
          <w:rtl/>
        </w:rPr>
        <w:t xml:space="preserve">ن مدلول </w:t>
      </w:r>
      <w:r w:rsidRPr="00282AC9">
        <w:rPr>
          <w:rFonts w:hint="eastAsia"/>
          <w:sz w:val="24"/>
          <w:szCs w:val="24"/>
          <w:rtl/>
        </w:rPr>
        <w:t>«</w:t>
      </w:r>
      <w:r w:rsidRPr="00282AC9">
        <w:rPr>
          <w:rtl/>
        </w:rPr>
        <w:t>غنمت</w:t>
      </w:r>
      <w:r w:rsidR="005867D3" w:rsidRPr="00282AC9">
        <w:rPr>
          <w:rFonts w:hint="cs"/>
          <w:rtl/>
        </w:rPr>
        <w:t>ُ</w:t>
      </w:r>
      <w:r w:rsidRPr="00282AC9">
        <w:rPr>
          <w:rtl/>
        </w:rPr>
        <w:t>م</w:t>
      </w:r>
      <w:r w:rsidR="005867D3" w:rsidRPr="00282AC9">
        <w:rPr>
          <w:rFonts w:hint="cs"/>
          <w:rtl/>
        </w:rPr>
        <w:t>ْ</w:t>
      </w:r>
      <w:r w:rsidRPr="00282AC9">
        <w:rPr>
          <w:rFonts w:hint="eastAsia"/>
          <w:sz w:val="24"/>
          <w:szCs w:val="24"/>
          <w:rtl/>
        </w:rPr>
        <w:t>»</w:t>
      </w:r>
      <w:r w:rsidRPr="00282AC9">
        <w:rPr>
          <w:rtl/>
        </w:rPr>
        <w:t xml:space="preserve"> في الآية يعني ما ظفرت</w:t>
      </w:r>
      <w:r w:rsidR="005867D3" w:rsidRPr="00282AC9">
        <w:rPr>
          <w:rFonts w:hint="cs"/>
          <w:rtl/>
        </w:rPr>
        <w:t>ُ</w:t>
      </w:r>
      <w:r w:rsidRPr="00282AC9">
        <w:rPr>
          <w:rtl/>
        </w:rPr>
        <w:t>م</w:t>
      </w:r>
      <w:r w:rsidR="005867D3" w:rsidRPr="00282AC9">
        <w:rPr>
          <w:rFonts w:hint="cs"/>
          <w:rtl/>
        </w:rPr>
        <w:t>ْ</w:t>
      </w:r>
      <w:r w:rsidRPr="00282AC9">
        <w:rPr>
          <w:rtl/>
        </w:rPr>
        <w:t xml:space="preserve"> به في حرب</w:t>
      </w:r>
      <w:r w:rsidR="005867D3" w:rsidRPr="00282AC9">
        <w:rPr>
          <w:rFonts w:hint="cs"/>
          <w:rtl/>
        </w:rPr>
        <w:t>ٍ،</w:t>
      </w:r>
      <w:r w:rsidRPr="00282AC9">
        <w:rPr>
          <w:rtl/>
        </w:rPr>
        <w:t xml:space="preserve"> بالق</w:t>
      </w:r>
      <w:r w:rsidR="005867D3" w:rsidRPr="00282AC9">
        <w:rPr>
          <w:rFonts w:hint="cs"/>
          <w:rtl/>
        </w:rPr>
        <w:t>َ</w:t>
      </w:r>
      <w:r w:rsidRPr="00282AC9">
        <w:rPr>
          <w:rtl/>
        </w:rPr>
        <w:t>ه</w:t>
      </w:r>
      <w:r w:rsidR="005867D3" w:rsidRPr="00282AC9">
        <w:rPr>
          <w:rFonts w:hint="cs"/>
          <w:rtl/>
        </w:rPr>
        <w:t>ْ</w:t>
      </w:r>
      <w:r w:rsidRPr="00282AC9">
        <w:rPr>
          <w:rtl/>
        </w:rPr>
        <w:t>ر والغ</w:t>
      </w:r>
      <w:r w:rsidR="005867D3" w:rsidRPr="00282AC9">
        <w:rPr>
          <w:rFonts w:hint="cs"/>
          <w:rtl/>
        </w:rPr>
        <w:t>َ</w:t>
      </w:r>
      <w:r w:rsidRPr="00282AC9">
        <w:rPr>
          <w:rtl/>
        </w:rPr>
        <w:t>ل</w:t>
      </w:r>
      <w:r w:rsidR="005867D3" w:rsidRPr="00282AC9">
        <w:rPr>
          <w:rFonts w:hint="cs"/>
          <w:rtl/>
        </w:rPr>
        <w:t>َ</w:t>
      </w:r>
      <w:r w:rsidRPr="00282AC9">
        <w:rPr>
          <w:rtl/>
        </w:rPr>
        <w:t>بة.</w:t>
      </w:r>
    </w:p>
    <w:p w:rsidR="00946A76" w:rsidRPr="00282AC9" w:rsidRDefault="00946A76" w:rsidP="00B70E1F">
      <w:pPr>
        <w:pStyle w:val="31"/>
        <w:rPr>
          <w:color w:val="auto"/>
          <w:rtl/>
        </w:rPr>
      </w:pPr>
      <w:r w:rsidRPr="00282AC9">
        <w:rPr>
          <w:color w:val="auto"/>
          <w:rtl/>
        </w:rPr>
        <w:lastRenderedPageBreak/>
        <w:t>الات</w:t>
      </w:r>
      <w:r w:rsidR="005867D3" w:rsidRPr="00282AC9">
        <w:rPr>
          <w:rFonts w:hint="cs"/>
          <w:color w:val="auto"/>
          <w:rtl/>
        </w:rPr>
        <w:t>ّ</w:t>
      </w:r>
      <w:r w:rsidRPr="00282AC9">
        <w:rPr>
          <w:color w:val="auto"/>
          <w:rtl/>
        </w:rPr>
        <w:t>جاه الموس</w:t>
      </w:r>
      <w:r w:rsidR="005867D3" w:rsidRPr="00282AC9">
        <w:rPr>
          <w:rFonts w:hint="cs"/>
          <w:color w:val="auto"/>
          <w:rtl/>
        </w:rPr>
        <w:t>ّ</w:t>
      </w:r>
      <w:r w:rsidRPr="00282AC9">
        <w:rPr>
          <w:color w:val="auto"/>
          <w:rtl/>
        </w:rPr>
        <w:t>ع جزئي</w:t>
      </w:r>
      <w:r w:rsidRPr="00282AC9">
        <w:rPr>
          <w:rFonts w:hint="cs"/>
          <w:color w:val="auto"/>
          <w:rtl/>
        </w:rPr>
        <w:t>ّ</w:t>
      </w:r>
      <w:r w:rsidRPr="00282AC9">
        <w:rPr>
          <w:color w:val="auto"/>
          <w:rtl/>
        </w:rPr>
        <w:t>ا</w:t>
      </w:r>
      <w:r w:rsidRPr="00282AC9">
        <w:rPr>
          <w:rFonts w:hint="cs"/>
          <w:color w:val="auto"/>
          <w:rtl/>
        </w:rPr>
        <w:t>ً</w:t>
      </w:r>
      <w:r w:rsidRPr="00282AC9">
        <w:rPr>
          <w:color w:val="auto"/>
          <w:rtl/>
        </w:rPr>
        <w:t xml:space="preserve"> </w:t>
      </w:r>
    </w:p>
    <w:p w:rsidR="00946A76" w:rsidRPr="00282AC9" w:rsidRDefault="00946A76" w:rsidP="00186251">
      <w:pPr>
        <w:rPr>
          <w:rtl/>
        </w:rPr>
      </w:pPr>
      <w:r w:rsidRPr="00282AC9">
        <w:rPr>
          <w:rtl/>
        </w:rPr>
        <w:t>ي</w:t>
      </w:r>
      <w:r w:rsidR="005867D3" w:rsidRPr="00282AC9">
        <w:rPr>
          <w:rFonts w:hint="cs"/>
          <w:rtl/>
        </w:rPr>
        <w:t>ُ</w:t>
      </w:r>
      <w:r w:rsidRPr="00282AC9">
        <w:rPr>
          <w:rtl/>
        </w:rPr>
        <w:t>ستفاد من آراء بعض الفقهاء منذ القرون الأولى أنهم لم يقصروا مفهوم الغنيمة على ما ي</w:t>
      </w:r>
      <w:r w:rsidR="003813F5" w:rsidRPr="00282AC9">
        <w:rPr>
          <w:rFonts w:hint="cs"/>
          <w:rtl/>
        </w:rPr>
        <w:t>ُ</w:t>
      </w:r>
      <w:r w:rsidRPr="00282AC9">
        <w:rPr>
          <w:rtl/>
        </w:rPr>
        <w:t>ظ</w:t>
      </w:r>
      <w:r w:rsidR="003813F5" w:rsidRPr="00282AC9">
        <w:rPr>
          <w:rFonts w:hint="cs"/>
          <w:rtl/>
        </w:rPr>
        <w:t>ْ</w:t>
      </w:r>
      <w:r w:rsidRPr="00282AC9">
        <w:rPr>
          <w:rtl/>
        </w:rPr>
        <w:t>ف</w:t>
      </w:r>
      <w:r w:rsidR="003813F5" w:rsidRPr="00282AC9">
        <w:rPr>
          <w:rFonts w:hint="cs"/>
          <w:rtl/>
        </w:rPr>
        <w:t>َ</w:t>
      </w:r>
      <w:r w:rsidRPr="00282AC9">
        <w:rPr>
          <w:rtl/>
        </w:rPr>
        <w:t>ر به على نحو الغ</w:t>
      </w:r>
      <w:r w:rsidR="003813F5" w:rsidRPr="00282AC9">
        <w:rPr>
          <w:rFonts w:hint="cs"/>
          <w:rtl/>
        </w:rPr>
        <w:t>َ</w:t>
      </w:r>
      <w:r w:rsidRPr="00282AC9">
        <w:rPr>
          <w:rtl/>
        </w:rPr>
        <w:t>ل</w:t>
      </w:r>
      <w:r w:rsidR="003813F5" w:rsidRPr="00282AC9">
        <w:rPr>
          <w:rFonts w:hint="cs"/>
          <w:rtl/>
        </w:rPr>
        <w:t>َ</w:t>
      </w:r>
      <w:r w:rsidRPr="00282AC9">
        <w:rPr>
          <w:rtl/>
        </w:rPr>
        <w:t>بة في الحرب</w:t>
      </w:r>
      <w:r w:rsidR="003813F5" w:rsidRPr="00282AC9">
        <w:rPr>
          <w:rFonts w:hint="cs"/>
          <w:rtl/>
        </w:rPr>
        <w:t xml:space="preserve">، </w:t>
      </w:r>
      <w:r w:rsidRPr="00282AC9">
        <w:rPr>
          <w:rtl/>
        </w:rPr>
        <w:t>وإن</w:t>
      </w:r>
      <w:r w:rsidR="003813F5" w:rsidRPr="00282AC9">
        <w:rPr>
          <w:rFonts w:hint="cs"/>
          <w:rtl/>
        </w:rPr>
        <w:t>ْ</w:t>
      </w:r>
      <w:r w:rsidRPr="00282AC9">
        <w:rPr>
          <w:rtl/>
        </w:rPr>
        <w:t xml:space="preserve"> كانت هذه الآراء لم تتوس</w:t>
      </w:r>
      <w:r w:rsidR="003813F5" w:rsidRPr="00282AC9">
        <w:rPr>
          <w:rFonts w:hint="cs"/>
          <w:rtl/>
        </w:rPr>
        <w:t>َّ</w:t>
      </w:r>
      <w:r w:rsidRPr="00282AC9">
        <w:rPr>
          <w:rtl/>
        </w:rPr>
        <w:t>ع في مفهومه ليشمل جميع الأرباح والفوائد، غير</w:t>
      </w:r>
      <w:r w:rsidR="003813F5" w:rsidRPr="00282AC9">
        <w:rPr>
          <w:rFonts w:hint="cs"/>
          <w:rtl/>
        </w:rPr>
        <w:t xml:space="preserve"> </w:t>
      </w:r>
      <w:r w:rsidRPr="00282AC9">
        <w:rPr>
          <w:rtl/>
        </w:rPr>
        <w:t>أنها في النتيجة العملية أم</w:t>
      </w:r>
      <w:r w:rsidR="003813F5" w:rsidRPr="00282AC9">
        <w:rPr>
          <w:rFonts w:hint="cs"/>
          <w:rtl/>
        </w:rPr>
        <w:t>ْ</w:t>
      </w:r>
      <w:r w:rsidRPr="00282AC9">
        <w:rPr>
          <w:rtl/>
        </w:rPr>
        <w:t>ي</w:t>
      </w:r>
      <w:r w:rsidR="003813F5" w:rsidRPr="00282AC9">
        <w:rPr>
          <w:rFonts w:hint="cs"/>
          <w:rtl/>
        </w:rPr>
        <w:t>َ</w:t>
      </w:r>
      <w:r w:rsidRPr="00282AC9">
        <w:rPr>
          <w:rtl/>
        </w:rPr>
        <w:t>ل إلى الاتجاه الثاني</w:t>
      </w:r>
      <w:r w:rsidR="003813F5" w:rsidRPr="00282AC9">
        <w:rPr>
          <w:rFonts w:hint="cs"/>
          <w:rtl/>
        </w:rPr>
        <w:t xml:space="preserve">، </w:t>
      </w:r>
      <w:r w:rsidRPr="00282AC9">
        <w:rPr>
          <w:rtl/>
        </w:rPr>
        <w:t>في عدم ق</w:t>
      </w:r>
      <w:r w:rsidR="003813F5" w:rsidRPr="00282AC9">
        <w:rPr>
          <w:rFonts w:hint="cs"/>
          <w:rtl/>
        </w:rPr>
        <w:t>َ</w:t>
      </w:r>
      <w:r w:rsidRPr="00282AC9">
        <w:rPr>
          <w:rtl/>
        </w:rPr>
        <w:t>ص</w:t>
      </w:r>
      <w:r w:rsidR="003813F5" w:rsidRPr="00282AC9">
        <w:rPr>
          <w:rFonts w:hint="cs"/>
          <w:rtl/>
        </w:rPr>
        <w:t>ْ</w:t>
      </w:r>
      <w:r w:rsidRPr="00282AC9">
        <w:rPr>
          <w:rtl/>
        </w:rPr>
        <w:t xml:space="preserve">ر مفهوم الغنيمة على الحرب. </w:t>
      </w:r>
    </w:p>
    <w:p w:rsidR="00192740" w:rsidRPr="00282AC9" w:rsidRDefault="00946A76" w:rsidP="00186251">
      <w:pPr>
        <w:rPr>
          <w:rtl/>
        </w:rPr>
      </w:pPr>
      <w:r w:rsidRPr="00282AC9">
        <w:rPr>
          <w:rtl/>
        </w:rPr>
        <w:t>فح</w:t>
      </w:r>
      <w:r w:rsidR="003813F5" w:rsidRPr="00282AC9">
        <w:rPr>
          <w:rFonts w:hint="cs"/>
          <w:rtl/>
        </w:rPr>
        <w:t>َ</w:t>
      </w:r>
      <w:r w:rsidRPr="00282AC9">
        <w:rPr>
          <w:rtl/>
        </w:rPr>
        <w:t>س</w:t>
      </w:r>
      <w:r w:rsidR="003813F5" w:rsidRPr="00282AC9">
        <w:rPr>
          <w:rFonts w:hint="cs"/>
          <w:rtl/>
        </w:rPr>
        <w:t>ْ</w:t>
      </w:r>
      <w:r w:rsidRPr="00282AC9">
        <w:rPr>
          <w:rtl/>
        </w:rPr>
        <w:t>ب سيد سابق(2000م)</w:t>
      </w:r>
      <w:r w:rsidR="003813F5" w:rsidRPr="00282AC9">
        <w:rPr>
          <w:rFonts w:hint="cs"/>
          <w:rtl/>
        </w:rPr>
        <w:t>:</w:t>
      </w:r>
      <w:r w:rsidRPr="00282AC9">
        <w:rPr>
          <w:rtl/>
        </w:rPr>
        <w:t xml:space="preserve"> إن الركاز الذي يجب فيه الخ</w:t>
      </w:r>
      <w:r w:rsidR="003813F5" w:rsidRPr="00282AC9">
        <w:rPr>
          <w:rFonts w:hint="cs"/>
          <w:rtl/>
        </w:rPr>
        <w:t>ُ</w:t>
      </w:r>
      <w:r w:rsidRPr="00282AC9">
        <w:rPr>
          <w:rtl/>
        </w:rPr>
        <w:t>م</w:t>
      </w:r>
      <w:r w:rsidR="003813F5" w:rsidRPr="00282AC9">
        <w:rPr>
          <w:rFonts w:hint="cs"/>
          <w:rtl/>
        </w:rPr>
        <w:t>ْ</w:t>
      </w:r>
      <w:r w:rsidRPr="00282AC9">
        <w:rPr>
          <w:rtl/>
        </w:rPr>
        <w:t>س هو كل</w:t>
      </w:r>
      <w:r w:rsidR="003813F5" w:rsidRPr="00282AC9">
        <w:rPr>
          <w:rFonts w:hint="cs"/>
          <w:rtl/>
        </w:rPr>
        <w:t>ّ</w:t>
      </w:r>
      <w:r w:rsidRPr="00282AC9">
        <w:rPr>
          <w:rtl/>
        </w:rPr>
        <w:t xml:space="preserve"> ما كان مالا</w:t>
      </w:r>
      <w:r w:rsidR="003813F5" w:rsidRPr="00282AC9">
        <w:rPr>
          <w:rFonts w:hint="cs"/>
          <w:rtl/>
        </w:rPr>
        <w:t>ً،</w:t>
      </w:r>
      <w:r w:rsidRPr="00282AC9">
        <w:rPr>
          <w:rtl/>
        </w:rPr>
        <w:t xml:space="preserve"> كالذهب والفض</w:t>
      </w:r>
      <w:r w:rsidR="003813F5" w:rsidRPr="00282AC9">
        <w:rPr>
          <w:rFonts w:hint="cs"/>
          <w:rtl/>
        </w:rPr>
        <w:t>ّ</w:t>
      </w:r>
      <w:r w:rsidRPr="00282AC9">
        <w:rPr>
          <w:rtl/>
        </w:rPr>
        <w:t>ة والحديد والرصاص والصفر و</w:t>
      </w:r>
      <w:r w:rsidR="003813F5" w:rsidRPr="00282AC9">
        <w:rPr>
          <w:rFonts w:hint="cs"/>
          <w:rtl/>
        </w:rPr>
        <w:t>ا</w:t>
      </w:r>
      <w:r w:rsidRPr="00282AC9">
        <w:rPr>
          <w:rtl/>
        </w:rPr>
        <w:t>لآنية وما أشبه. وأضاف: هو مذهب الأحناف والحنابلة وإسح</w:t>
      </w:r>
      <w:r w:rsidR="00A9793A" w:rsidRPr="00282AC9">
        <w:rPr>
          <w:rFonts w:hint="cs"/>
          <w:rtl/>
        </w:rPr>
        <w:t>ا</w:t>
      </w:r>
      <w:r w:rsidRPr="00282AC9">
        <w:rPr>
          <w:rtl/>
        </w:rPr>
        <w:t>ق وابن المنذر</w:t>
      </w:r>
      <w:r w:rsidR="003813F5" w:rsidRPr="00282AC9">
        <w:rPr>
          <w:rFonts w:hint="cs"/>
          <w:rtl/>
        </w:rPr>
        <w:t>،</w:t>
      </w:r>
      <w:r w:rsidRPr="00282AC9">
        <w:rPr>
          <w:rtl/>
        </w:rPr>
        <w:t xml:space="preserve"> ورواية عن مالك</w:t>
      </w:r>
      <w:r w:rsidR="003813F5" w:rsidRPr="00282AC9">
        <w:rPr>
          <w:rFonts w:hint="cs"/>
          <w:rtl/>
        </w:rPr>
        <w:t>،</w:t>
      </w:r>
      <w:r w:rsidRPr="00282AC9">
        <w:rPr>
          <w:rtl/>
        </w:rPr>
        <w:t xml:space="preserve"> وأحد قول</w:t>
      </w:r>
      <w:r w:rsidR="003813F5" w:rsidRPr="00282AC9">
        <w:rPr>
          <w:rFonts w:hint="cs"/>
          <w:rtl/>
        </w:rPr>
        <w:t>َ</w:t>
      </w:r>
      <w:r w:rsidRPr="00282AC9">
        <w:rPr>
          <w:rtl/>
        </w:rPr>
        <w:t>ي</w:t>
      </w:r>
      <w:r w:rsidR="003813F5" w:rsidRPr="00282AC9">
        <w:rPr>
          <w:rFonts w:hint="cs"/>
          <w:rtl/>
        </w:rPr>
        <w:t>ْ</w:t>
      </w:r>
      <w:r w:rsidRPr="00282AC9">
        <w:rPr>
          <w:rtl/>
        </w:rPr>
        <w:t xml:space="preserve"> الشافعي</w:t>
      </w:r>
      <w:r w:rsidRPr="00282AC9">
        <w:rPr>
          <w:rFonts w:hint="cs"/>
          <w:vertAlign w:val="superscript"/>
          <w:rtl/>
        </w:rPr>
        <w:t>(</w:t>
      </w:r>
      <w:r w:rsidRPr="00282AC9">
        <w:rPr>
          <w:rStyle w:val="af9"/>
          <w:sz w:val="27"/>
          <w:rtl/>
        </w:rPr>
        <w:endnoteReference w:id="465"/>
      </w:r>
      <w:r w:rsidRPr="00282AC9">
        <w:rPr>
          <w:rFonts w:hint="cs"/>
          <w:vertAlign w:val="superscript"/>
          <w:rtl/>
        </w:rPr>
        <w:t>)</w:t>
      </w:r>
      <w:r w:rsidR="003813F5" w:rsidRPr="00282AC9">
        <w:rPr>
          <w:rFonts w:hint="cs"/>
          <w:rtl/>
        </w:rPr>
        <w:t>.</w:t>
      </w:r>
    </w:p>
    <w:p w:rsidR="00946A76" w:rsidRPr="00282AC9" w:rsidRDefault="00946A76" w:rsidP="00186251">
      <w:pPr>
        <w:rPr>
          <w:rtl/>
        </w:rPr>
      </w:pPr>
      <w:r w:rsidRPr="00282AC9">
        <w:rPr>
          <w:rtl/>
        </w:rPr>
        <w:t>وذكر البخاري في صحيحه</w:t>
      </w:r>
      <w:r w:rsidR="00192740" w:rsidRPr="00282AC9">
        <w:rPr>
          <w:rFonts w:hint="cs"/>
          <w:rtl/>
        </w:rPr>
        <w:t>،</w:t>
      </w:r>
      <w:r w:rsidRPr="00282AC9">
        <w:rPr>
          <w:rtl/>
        </w:rPr>
        <w:t xml:space="preserve"> في باب ما ي</w:t>
      </w:r>
      <w:r w:rsidR="003813F5" w:rsidRPr="00282AC9">
        <w:rPr>
          <w:rFonts w:hint="cs"/>
          <w:rtl/>
        </w:rPr>
        <w:t>ُ</w:t>
      </w:r>
      <w:r w:rsidRPr="00282AC9">
        <w:rPr>
          <w:rtl/>
        </w:rPr>
        <w:t>ست</w:t>
      </w:r>
      <w:r w:rsidR="003813F5" w:rsidRPr="00282AC9">
        <w:rPr>
          <w:rFonts w:hint="cs"/>
          <w:rtl/>
        </w:rPr>
        <w:t>َ</w:t>
      </w:r>
      <w:r w:rsidRPr="00282AC9">
        <w:rPr>
          <w:rtl/>
        </w:rPr>
        <w:t>خ</w:t>
      </w:r>
      <w:r w:rsidR="003813F5" w:rsidRPr="00282AC9">
        <w:rPr>
          <w:rFonts w:hint="cs"/>
          <w:rtl/>
        </w:rPr>
        <w:t>ْ</w:t>
      </w:r>
      <w:r w:rsidRPr="00282AC9">
        <w:rPr>
          <w:rtl/>
        </w:rPr>
        <w:t>ر</w:t>
      </w:r>
      <w:r w:rsidR="003813F5" w:rsidRPr="00282AC9">
        <w:rPr>
          <w:rFonts w:hint="cs"/>
          <w:rtl/>
        </w:rPr>
        <w:t>َ</w:t>
      </w:r>
      <w:r w:rsidRPr="00282AC9">
        <w:rPr>
          <w:rtl/>
        </w:rPr>
        <w:t>ج من البحر: عن الحسن</w:t>
      </w:r>
      <w:r w:rsidR="003813F5" w:rsidRPr="00282AC9">
        <w:rPr>
          <w:rFonts w:hint="cs"/>
          <w:rtl/>
        </w:rPr>
        <w:t>:</w:t>
      </w:r>
      <w:r w:rsidRPr="00282AC9">
        <w:rPr>
          <w:rtl/>
        </w:rPr>
        <w:t xml:space="preserve"> في العنبر واللؤلؤ الخمس</w:t>
      </w:r>
      <w:r w:rsidR="003813F5" w:rsidRPr="00282AC9">
        <w:rPr>
          <w:rFonts w:hint="cs"/>
          <w:rtl/>
        </w:rPr>
        <w:t>؛</w:t>
      </w:r>
      <w:r w:rsidRPr="00282AC9">
        <w:rPr>
          <w:rtl/>
        </w:rPr>
        <w:t xml:space="preserve"> وفي باب في الركاز الخمس: قال مالك وابن إدريس</w:t>
      </w:r>
      <w:r w:rsidR="00192740" w:rsidRPr="00282AC9">
        <w:rPr>
          <w:rFonts w:hint="cs"/>
          <w:rtl/>
        </w:rPr>
        <w:t xml:space="preserve">: </w:t>
      </w:r>
      <w:r w:rsidRPr="00282AC9">
        <w:rPr>
          <w:rtl/>
        </w:rPr>
        <w:t>الركاز دفن الجاهلية</w:t>
      </w:r>
      <w:r w:rsidR="00192740" w:rsidRPr="00282AC9">
        <w:rPr>
          <w:rFonts w:hint="cs"/>
          <w:rtl/>
        </w:rPr>
        <w:t>،</w:t>
      </w:r>
      <w:r w:rsidRPr="00282AC9">
        <w:rPr>
          <w:rtl/>
        </w:rPr>
        <w:t xml:space="preserve"> في قليله وكثيره الخمس. </w:t>
      </w:r>
    </w:p>
    <w:p w:rsidR="00946A76" w:rsidRPr="00282AC9" w:rsidRDefault="00192740" w:rsidP="00186251">
      <w:pPr>
        <w:rPr>
          <w:rtl/>
        </w:rPr>
      </w:pPr>
      <w:r w:rsidRPr="00282AC9">
        <w:rPr>
          <w:rFonts w:hint="cs"/>
          <w:rtl/>
        </w:rPr>
        <w:t>و</w:t>
      </w:r>
      <w:r w:rsidR="00946A76" w:rsidRPr="00282AC9">
        <w:rPr>
          <w:rtl/>
        </w:rPr>
        <w:t>تجدر الإشارة إلى أن مستند الخمس فيها ليست الآية الكريمة المتعل</w:t>
      </w:r>
      <w:r w:rsidRPr="00282AC9">
        <w:rPr>
          <w:rFonts w:hint="cs"/>
          <w:rtl/>
        </w:rPr>
        <w:t>ّ</w:t>
      </w:r>
      <w:r w:rsidR="00946A76" w:rsidRPr="00282AC9">
        <w:rPr>
          <w:rtl/>
        </w:rPr>
        <w:t>قة بالخمس</w:t>
      </w:r>
      <w:r w:rsidRPr="00282AC9">
        <w:rPr>
          <w:rFonts w:hint="cs"/>
          <w:rtl/>
        </w:rPr>
        <w:t>،</w:t>
      </w:r>
      <w:r w:rsidR="00946A76" w:rsidRPr="00282AC9">
        <w:rPr>
          <w:rtl/>
        </w:rPr>
        <w:t xml:space="preserve"> التي ورد فيها لفظ </w:t>
      </w:r>
      <w:r w:rsidR="00946A76" w:rsidRPr="00282AC9">
        <w:rPr>
          <w:rFonts w:hint="eastAsia"/>
          <w:sz w:val="24"/>
          <w:szCs w:val="24"/>
          <w:rtl/>
        </w:rPr>
        <w:t>«</w:t>
      </w:r>
      <w:r w:rsidR="00946A76" w:rsidRPr="00282AC9">
        <w:rPr>
          <w:rtl/>
        </w:rPr>
        <w:t>غنمت</w:t>
      </w:r>
      <w:r w:rsidRPr="00282AC9">
        <w:rPr>
          <w:rFonts w:hint="cs"/>
          <w:rtl/>
        </w:rPr>
        <w:t>ُ</w:t>
      </w:r>
      <w:r w:rsidR="00946A76" w:rsidRPr="00282AC9">
        <w:rPr>
          <w:rtl/>
        </w:rPr>
        <w:t>م</w:t>
      </w:r>
      <w:r w:rsidRPr="00282AC9">
        <w:rPr>
          <w:rFonts w:hint="eastAsia"/>
          <w:sz w:val="24"/>
          <w:szCs w:val="24"/>
          <w:rtl/>
        </w:rPr>
        <w:t>»</w:t>
      </w:r>
      <w:r w:rsidRPr="00282AC9">
        <w:rPr>
          <w:rFonts w:hint="cs"/>
          <w:rtl/>
        </w:rPr>
        <w:t xml:space="preserve">، </w:t>
      </w:r>
      <w:r w:rsidR="00946A76" w:rsidRPr="00282AC9">
        <w:rPr>
          <w:rtl/>
        </w:rPr>
        <w:t>بل أدل</w:t>
      </w:r>
      <w:r w:rsidRPr="00282AC9">
        <w:rPr>
          <w:rFonts w:hint="cs"/>
          <w:rtl/>
        </w:rPr>
        <w:t>ّ</w:t>
      </w:r>
      <w:r w:rsidR="00946A76" w:rsidRPr="00282AC9">
        <w:rPr>
          <w:rtl/>
        </w:rPr>
        <w:t>ة حديثي</w:t>
      </w:r>
      <w:r w:rsidRPr="00282AC9">
        <w:rPr>
          <w:rFonts w:hint="cs"/>
          <w:rtl/>
        </w:rPr>
        <w:t>ّ</w:t>
      </w:r>
      <w:r w:rsidR="00946A76" w:rsidRPr="00282AC9">
        <w:rPr>
          <w:rtl/>
        </w:rPr>
        <w:t>ة أخرى خاص</w:t>
      </w:r>
      <w:r w:rsidRPr="00282AC9">
        <w:rPr>
          <w:rFonts w:hint="cs"/>
          <w:rtl/>
        </w:rPr>
        <w:t>ّ</w:t>
      </w:r>
      <w:r w:rsidR="00946A76" w:rsidRPr="00282AC9">
        <w:rPr>
          <w:rtl/>
        </w:rPr>
        <w:t>ة، من قبيل</w:t>
      </w:r>
      <w:r w:rsidRPr="00282AC9">
        <w:rPr>
          <w:rFonts w:hint="cs"/>
          <w:rtl/>
        </w:rPr>
        <w:t xml:space="preserve">: </w:t>
      </w:r>
      <w:r w:rsidR="00946A76" w:rsidRPr="00282AC9">
        <w:rPr>
          <w:rtl/>
        </w:rPr>
        <w:t>ما روى البخاري</w:t>
      </w:r>
      <w:r w:rsidRPr="00282AC9">
        <w:rPr>
          <w:rFonts w:hint="cs"/>
          <w:rtl/>
        </w:rPr>
        <w:t>،</w:t>
      </w:r>
      <w:r w:rsidR="00946A76" w:rsidRPr="00282AC9">
        <w:rPr>
          <w:rtl/>
        </w:rPr>
        <w:t xml:space="preserve"> عن أبي هريرة</w:t>
      </w:r>
      <w:r w:rsidRPr="00282AC9">
        <w:rPr>
          <w:rFonts w:hint="cs"/>
          <w:rtl/>
        </w:rPr>
        <w:t>،</w:t>
      </w:r>
      <w:r w:rsidR="00946A76" w:rsidRPr="00282AC9">
        <w:rPr>
          <w:rtl/>
        </w:rPr>
        <w:t xml:space="preserve"> عن النبي</w:t>
      </w:r>
      <w:r w:rsidR="009A2A04" w:rsidRPr="00282AC9">
        <w:rPr>
          <w:rFonts w:cs="Mosawi"/>
          <w:sz w:val="22"/>
          <w:szCs w:val="22"/>
          <w:rtl/>
        </w:rPr>
        <w:t>|</w:t>
      </w:r>
      <w:r w:rsidRPr="00282AC9">
        <w:rPr>
          <w:rFonts w:hint="cs"/>
          <w:rtl/>
        </w:rPr>
        <w:t>:</w:t>
      </w:r>
      <w:r w:rsidR="00946A76" w:rsidRPr="00282AC9">
        <w:rPr>
          <w:rtl/>
        </w:rPr>
        <w:t xml:space="preserve"> العجماء جبار</w:t>
      </w:r>
      <w:r w:rsidR="00A57BD9" w:rsidRPr="00282AC9">
        <w:rPr>
          <w:rFonts w:hint="cs"/>
          <w:rtl/>
        </w:rPr>
        <w:t>،</w:t>
      </w:r>
      <w:r w:rsidR="00946A76" w:rsidRPr="00282AC9">
        <w:rPr>
          <w:rtl/>
        </w:rPr>
        <w:t xml:space="preserve"> والبئر جبار</w:t>
      </w:r>
      <w:r w:rsidR="00A57BD9" w:rsidRPr="00282AC9">
        <w:rPr>
          <w:rFonts w:hint="cs"/>
          <w:rtl/>
        </w:rPr>
        <w:t>،</w:t>
      </w:r>
      <w:r w:rsidR="00946A76" w:rsidRPr="00282AC9">
        <w:rPr>
          <w:rtl/>
        </w:rPr>
        <w:t xml:space="preserve"> والمعدن جبار</w:t>
      </w:r>
      <w:r w:rsidR="00A57BD9" w:rsidRPr="00282AC9">
        <w:rPr>
          <w:rFonts w:hint="cs"/>
          <w:rtl/>
        </w:rPr>
        <w:t>،</w:t>
      </w:r>
      <w:r w:rsidR="00946A76" w:rsidRPr="00282AC9">
        <w:rPr>
          <w:rtl/>
        </w:rPr>
        <w:t xml:space="preserve"> وفي الر</w:t>
      </w:r>
      <w:r w:rsidR="00A57BD9" w:rsidRPr="00282AC9">
        <w:rPr>
          <w:rFonts w:hint="cs"/>
          <w:rtl/>
        </w:rPr>
        <w:t>ِّ</w:t>
      </w:r>
      <w:r w:rsidR="00946A76" w:rsidRPr="00282AC9">
        <w:rPr>
          <w:rtl/>
        </w:rPr>
        <w:t>كاز الخمس</w:t>
      </w:r>
      <w:r w:rsidR="00946A76" w:rsidRPr="00282AC9">
        <w:rPr>
          <w:rFonts w:hint="cs"/>
          <w:vertAlign w:val="superscript"/>
          <w:rtl/>
        </w:rPr>
        <w:t>(</w:t>
      </w:r>
      <w:r w:rsidR="00946A76" w:rsidRPr="00282AC9">
        <w:rPr>
          <w:rStyle w:val="af9"/>
          <w:sz w:val="27"/>
          <w:rtl/>
        </w:rPr>
        <w:endnoteReference w:id="466"/>
      </w:r>
      <w:r w:rsidR="00946A76" w:rsidRPr="00282AC9">
        <w:rPr>
          <w:rFonts w:hint="cs"/>
          <w:vertAlign w:val="superscript"/>
          <w:rtl/>
        </w:rPr>
        <w:t>)</w:t>
      </w:r>
      <w:r w:rsidRPr="00282AC9">
        <w:rPr>
          <w:rFonts w:hint="cs"/>
          <w:rtl/>
        </w:rPr>
        <w:t>.</w:t>
      </w:r>
    </w:p>
    <w:p w:rsidR="00946A76" w:rsidRPr="00282AC9" w:rsidRDefault="00946A76" w:rsidP="00235851">
      <w:pPr>
        <w:spacing w:line="410" w:lineRule="exact"/>
        <w:rPr>
          <w:rtl/>
        </w:rPr>
      </w:pPr>
      <w:r w:rsidRPr="00282AC9">
        <w:rPr>
          <w:rtl/>
        </w:rPr>
        <w:t>وبالنظر إلى بعض الآراء الفقهي</w:t>
      </w:r>
      <w:r w:rsidR="00A57BD9" w:rsidRPr="00282AC9">
        <w:rPr>
          <w:rFonts w:hint="cs"/>
          <w:rtl/>
        </w:rPr>
        <w:t>ّ</w:t>
      </w:r>
      <w:r w:rsidRPr="00282AC9">
        <w:rPr>
          <w:rtl/>
        </w:rPr>
        <w:t>ة نجد أنها تضعها مواضع الغنيمة</w:t>
      </w:r>
      <w:r w:rsidR="00A57BD9" w:rsidRPr="00282AC9">
        <w:rPr>
          <w:rFonts w:hint="cs"/>
          <w:rtl/>
        </w:rPr>
        <w:t>،</w:t>
      </w:r>
      <w:r w:rsidRPr="00282AC9">
        <w:rPr>
          <w:rtl/>
        </w:rPr>
        <w:t xml:space="preserve"> أو تجعلها في حكمها</w:t>
      </w:r>
      <w:r w:rsidR="00176198" w:rsidRPr="00282AC9">
        <w:rPr>
          <w:rFonts w:hint="cs"/>
          <w:rtl/>
        </w:rPr>
        <w:t>،</w:t>
      </w:r>
      <w:r w:rsidRPr="00282AC9">
        <w:rPr>
          <w:rtl/>
        </w:rPr>
        <w:t xml:space="preserve"> ويظهر من بعضها أنها تدرجها ضمن مفهوم الغنيمة. </w:t>
      </w:r>
    </w:p>
    <w:p w:rsidR="00946A76" w:rsidRPr="00282AC9" w:rsidRDefault="00946A76" w:rsidP="00186251">
      <w:pPr>
        <w:rPr>
          <w:rtl/>
        </w:rPr>
      </w:pPr>
      <w:r w:rsidRPr="00282AC9">
        <w:rPr>
          <w:rtl/>
        </w:rPr>
        <w:t>ف</w:t>
      </w:r>
      <w:r w:rsidR="00176198" w:rsidRPr="00282AC9">
        <w:rPr>
          <w:rFonts w:hint="cs"/>
          <w:rtl/>
        </w:rPr>
        <w:t>أ</w:t>
      </w:r>
      <w:r w:rsidRPr="00282AC9">
        <w:rPr>
          <w:rtl/>
        </w:rPr>
        <w:t>بو يوسف(182</w:t>
      </w:r>
      <w:r w:rsidRPr="00282AC9">
        <w:rPr>
          <w:rFonts w:hint="cs"/>
          <w:rtl/>
        </w:rPr>
        <w:t>هـ</w:t>
      </w:r>
      <w:r w:rsidRPr="00282AC9">
        <w:rPr>
          <w:rtl/>
        </w:rPr>
        <w:t xml:space="preserve">) ـ وعلى الرغم من أنه قصر مفهوم الغنيمة في الآية على غنائم الحرب ـ </w:t>
      </w:r>
      <w:r w:rsidR="00176198" w:rsidRPr="00282AC9">
        <w:rPr>
          <w:rFonts w:hint="cs"/>
          <w:rtl/>
        </w:rPr>
        <w:t>قد</w:t>
      </w:r>
      <w:r w:rsidRPr="00282AC9">
        <w:rPr>
          <w:rtl/>
        </w:rPr>
        <w:t xml:space="preserve"> أدرج الر</w:t>
      </w:r>
      <w:r w:rsidR="00176198" w:rsidRPr="00282AC9">
        <w:rPr>
          <w:rFonts w:hint="cs"/>
          <w:rtl/>
        </w:rPr>
        <w:t>ِّ</w:t>
      </w:r>
      <w:r w:rsidRPr="00282AC9">
        <w:rPr>
          <w:rtl/>
        </w:rPr>
        <w:t>كاز والمعادن وما ي</w:t>
      </w:r>
      <w:r w:rsidR="00176198" w:rsidRPr="00282AC9">
        <w:rPr>
          <w:rFonts w:hint="cs"/>
          <w:rtl/>
        </w:rPr>
        <w:t>ُ</w:t>
      </w:r>
      <w:r w:rsidRPr="00282AC9">
        <w:rPr>
          <w:rtl/>
        </w:rPr>
        <w:t>ست</w:t>
      </w:r>
      <w:r w:rsidR="00176198" w:rsidRPr="00282AC9">
        <w:rPr>
          <w:rFonts w:hint="cs"/>
          <w:rtl/>
        </w:rPr>
        <w:t>َ</w:t>
      </w:r>
      <w:r w:rsidRPr="00282AC9">
        <w:rPr>
          <w:rtl/>
        </w:rPr>
        <w:t>خ</w:t>
      </w:r>
      <w:r w:rsidR="00176198" w:rsidRPr="00282AC9">
        <w:rPr>
          <w:rFonts w:hint="cs"/>
          <w:rtl/>
        </w:rPr>
        <w:t>ْ</w:t>
      </w:r>
      <w:r w:rsidRPr="00282AC9">
        <w:rPr>
          <w:rtl/>
        </w:rPr>
        <w:t>ر</w:t>
      </w:r>
      <w:r w:rsidR="00176198" w:rsidRPr="00282AC9">
        <w:rPr>
          <w:rFonts w:hint="cs"/>
          <w:rtl/>
        </w:rPr>
        <w:t>َ</w:t>
      </w:r>
      <w:r w:rsidRPr="00282AC9">
        <w:rPr>
          <w:rtl/>
        </w:rPr>
        <w:t>ج من البحر تحت مفهوم الغنيمة</w:t>
      </w:r>
      <w:r w:rsidR="00176198" w:rsidRPr="00282AC9">
        <w:rPr>
          <w:rFonts w:hint="cs"/>
          <w:rtl/>
        </w:rPr>
        <w:t>،</w:t>
      </w:r>
      <w:r w:rsidRPr="00282AC9">
        <w:rPr>
          <w:rtl/>
        </w:rPr>
        <w:t xml:space="preserve"> وطب</w:t>
      </w:r>
      <w:r w:rsidR="00176198" w:rsidRPr="00282AC9">
        <w:rPr>
          <w:rFonts w:hint="cs"/>
          <w:rtl/>
        </w:rPr>
        <w:t>َّ</w:t>
      </w:r>
      <w:r w:rsidRPr="00282AC9">
        <w:rPr>
          <w:rtl/>
        </w:rPr>
        <w:t>ق عليها حكم آية الخمس. قال: فعلى هذا تقسم الغنيمة</w:t>
      </w:r>
      <w:r w:rsidR="00176198" w:rsidRPr="00282AC9">
        <w:rPr>
          <w:rFonts w:hint="cs"/>
          <w:rtl/>
        </w:rPr>
        <w:t>؛</w:t>
      </w:r>
      <w:r w:rsidRPr="00282AC9">
        <w:rPr>
          <w:rtl/>
        </w:rPr>
        <w:t xml:space="preserve"> فما أصاب المسلمون من عساكر أهل الشرك</w:t>
      </w:r>
      <w:r w:rsidR="00176198" w:rsidRPr="00282AC9">
        <w:rPr>
          <w:rFonts w:hint="cs"/>
          <w:rtl/>
        </w:rPr>
        <w:t>،</w:t>
      </w:r>
      <w:r w:rsidRPr="00282AC9">
        <w:rPr>
          <w:rtl/>
        </w:rPr>
        <w:t xml:space="preserve"> وما جلبوا به من المتاع والسلاح والكراع وغير ذلك. وأضاف: وفي</w:t>
      </w:r>
      <w:r w:rsidR="00176198" w:rsidRPr="00282AC9">
        <w:rPr>
          <w:rFonts w:hint="cs"/>
          <w:rtl/>
        </w:rPr>
        <w:t xml:space="preserve"> </w:t>
      </w:r>
      <w:r w:rsidRPr="00282AC9">
        <w:rPr>
          <w:rtl/>
        </w:rPr>
        <w:t>ما ي</w:t>
      </w:r>
      <w:r w:rsidR="00176198" w:rsidRPr="00282AC9">
        <w:rPr>
          <w:rFonts w:hint="cs"/>
          <w:rtl/>
        </w:rPr>
        <w:t>ُ</w:t>
      </w:r>
      <w:r w:rsidRPr="00282AC9">
        <w:rPr>
          <w:rtl/>
        </w:rPr>
        <w:t>ست</w:t>
      </w:r>
      <w:r w:rsidR="00176198" w:rsidRPr="00282AC9">
        <w:rPr>
          <w:rFonts w:hint="cs"/>
          <w:rtl/>
        </w:rPr>
        <w:t>َ</w:t>
      </w:r>
      <w:r w:rsidRPr="00282AC9">
        <w:rPr>
          <w:rtl/>
        </w:rPr>
        <w:t>خ</w:t>
      </w:r>
      <w:r w:rsidR="00176198" w:rsidRPr="00282AC9">
        <w:rPr>
          <w:rFonts w:hint="cs"/>
          <w:rtl/>
        </w:rPr>
        <w:t>ْ</w:t>
      </w:r>
      <w:r w:rsidRPr="00282AC9">
        <w:rPr>
          <w:rtl/>
        </w:rPr>
        <w:t>ر</w:t>
      </w:r>
      <w:r w:rsidR="00176198" w:rsidRPr="00282AC9">
        <w:rPr>
          <w:rFonts w:hint="cs"/>
          <w:rtl/>
        </w:rPr>
        <w:t>َ</w:t>
      </w:r>
      <w:r w:rsidRPr="00282AC9">
        <w:rPr>
          <w:rtl/>
        </w:rPr>
        <w:t>ج من البحر</w:t>
      </w:r>
      <w:r w:rsidR="00176198" w:rsidRPr="00282AC9">
        <w:rPr>
          <w:rFonts w:hint="cs"/>
          <w:rtl/>
        </w:rPr>
        <w:t>،</w:t>
      </w:r>
      <w:r w:rsidRPr="00282AC9">
        <w:rPr>
          <w:rtl/>
        </w:rPr>
        <w:t xml:space="preserve"> من حلية</w:t>
      </w:r>
      <w:r w:rsidR="00176198" w:rsidRPr="00282AC9">
        <w:rPr>
          <w:rFonts w:hint="cs"/>
          <w:rtl/>
        </w:rPr>
        <w:t>ٍ</w:t>
      </w:r>
      <w:r w:rsidRPr="00282AC9">
        <w:rPr>
          <w:rtl/>
        </w:rPr>
        <w:t xml:space="preserve"> وعنبر</w:t>
      </w:r>
      <w:r w:rsidR="00176198" w:rsidRPr="00282AC9">
        <w:rPr>
          <w:rFonts w:hint="cs"/>
          <w:rtl/>
        </w:rPr>
        <w:t>.</w:t>
      </w:r>
      <w:r w:rsidRPr="00282AC9">
        <w:rPr>
          <w:rtl/>
        </w:rPr>
        <w:t xml:space="preserve"> فالخمس يوضع مواضع الغنائم على ما قال الله عز</w:t>
      </w:r>
      <w:r w:rsidR="00176198" w:rsidRPr="00282AC9">
        <w:rPr>
          <w:rFonts w:hint="cs"/>
          <w:rtl/>
        </w:rPr>
        <w:t xml:space="preserve">َّ </w:t>
      </w:r>
      <w:r w:rsidRPr="00282AC9">
        <w:rPr>
          <w:rtl/>
        </w:rPr>
        <w:t>وجل</w:t>
      </w:r>
      <w:r w:rsidR="00176198" w:rsidRPr="00282AC9">
        <w:rPr>
          <w:rFonts w:hint="cs"/>
          <w:rtl/>
        </w:rPr>
        <w:t>َّ</w:t>
      </w:r>
      <w:r w:rsidRPr="00282AC9">
        <w:rPr>
          <w:rtl/>
        </w:rPr>
        <w:t xml:space="preserve"> في كتابه: </w:t>
      </w:r>
      <w:r w:rsidR="00176198" w:rsidRPr="00282AC9">
        <w:rPr>
          <w:rFonts w:ascii="Mosawi" w:hAnsi="Mosawi" w:cs="Mosawi"/>
          <w:sz w:val="24"/>
          <w:szCs w:val="24"/>
          <w:rtl/>
        </w:rPr>
        <w:t>﴿</w:t>
      </w:r>
      <w:r w:rsidR="00176198" w:rsidRPr="00282AC9">
        <w:rPr>
          <w:b/>
          <w:bCs/>
          <w:sz w:val="27"/>
          <w:rtl/>
        </w:rPr>
        <w:t>وَاعْلَمُوا أَنَّ</w:t>
      </w:r>
      <w:r w:rsidR="00176198" w:rsidRPr="00282AC9">
        <w:rPr>
          <w:rFonts w:hint="cs"/>
          <w:b/>
          <w:bCs/>
          <w:sz w:val="27"/>
          <w:rtl/>
        </w:rPr>
        <w:t xml:space="preserve"> </w:t>
      </w:r>
      <w:r w:rsidR="00176198" w:rsidRPr="00282AC9">
        <w:rPr>
          <w:b/>
          <w:bCs/>
          <w:sz w:val="27"/>
          <w:rtl/>
        </w:rPr>
        <w:t>مَا غَنِمْتُمْ مِنْ شَيْءٍ فَأَنَّ للهِ خُمُسَهُ وَلِلرَّسُولِ وَلِذِي الْقُرْبَى وَالْيَتَامَى وَالْمَسَاكِينِ وَابْنِ السَّبِيلِ</w:t>
      </w:r>
      <w:r w:rsidR="00176198" w:rsidRPr="00282AC9">
        <w:rPr>
          <w:rFonts w:ascii="Mosawi" w:hAnsi="Mosawi" w:cs="Mosawi"/>
          <w:sz w:val="24"/>
          <w:szCs w:val="24"/>
          <w:rtl/>
        </w:rPr>
        <w:t>﴾</w:t>
      </w:r>
      <w:r w:rsidRPr="00282AC9">
        <w:rPr>
          <w:rtl/>
        </w:rPr>
        <w:t>. وقال: في كل</w:t>
      </w:r>
      <w:r w:rsidR="00176198" w:rsidRPr="00282AC9">
        <w:rPr>
          <w:rFonts w:hint="cs"/>
          <w:rtl/>
        </w:rPr>
        <w:t>ّ</w:t>
      </w:r>
      <w:r w:rsidRPr="00282AC9">
        <w:rPr>
          <w:rtl/>
        </w:rPr>
        <w:t xml:space="preserve"> ما أصيب من المعادن</w:t>
      </w:r>
      <w:r w:rsidR="00176198" w:rsidRPr="00282AC9">
        <w:rPr>
          <w:rFonts w:hint="cs"/>
          <w:rtl/>
        </w:rPr>
        <w:t>،</w:t>
      </w:r>
      <w:r w:rsidRPr="00282AC9">
        <w:rPr>
          <w:rtl/>
        </w:rPr>
        <w:t xml:space="preserve"> من قليل</w:t>
      </w:r>
      <w:r w:rsidR="00176198" w:rsidRPr="00282AC9">
        <w:rPr>
          <w:rFonts w:hint="cs"/>
          <w:rtl/>
        </w:rPr>
        <w:t>ٍ</w:t>
      </w:r>
      <w:r w:rsidRPr="00282AC9">
        <w:rPr>
          <w:rtl/>
        </w:rPr>
        <w:t xml:space="preserve"> أو كثير</w:t>
      </w:r>
      <w:r w:rsidR="00176198" w:rsidRPr="00282AC9">
        <w:rPr>
          <w:rFonts w:hint="cs"/>
          <w:rtl/>
        </w:rPr>
        <w:t>ٍ،</w:t>
      </w:r>
      <w:r w:rsidRPr="00282AC9">
        <w:rPr>
          <w:rtl/>
        </w:rPr>
        <w:t xml:space="preserve"> الخمس...</w:t>
      </w:r>
      <w:r w:rsidR="00176198" w:rsidRPr="00282AC9">
        <w:rPr>
          <w:rFonts w:hint="cs"/>
          <w:rtl/>
        </w:rPr>
        <w:t xml:space="preserve"> </w:t>
      </w:r>
      <w:r w:rsidRPr="00282AC9">
        <w:rPr>
          <w:rtl/>
        </w:rPr>
        <w:t>ليس هذا على موضع الزكاة</w:t>
      </w:r>
      <w:r w:rsidR="00176198" w:rsidRPr="00282AC9">
        <w:rPr>
          <w:rFonts w:hint="cs"/>
          <w:rtl/>
        </w:rPr>
        <w:t>،</w:t>
      </w:r>
      <w:r w:rsidRPr="00282AC9">
        <w:rPr>
          <w:rtl/>
        </w:rPr>
        <w:t xml:space="preserve"> إنما هو على موضع الغنائم</w:t>
      </w:r>
      <w:r w:rsidR="00176198" w:rsidRPr="00282AC9">
        <w:rPr>
          <w:rFonts w:hint="cs"/>
          <w:rtl/>
        </w:rPr>
        <w:t>.</w:t>
      </w:r>
      <w:r w:rsidRPr="00282AC9">
        <w:rPr>
          <w:rtl/>
        </w:rPr>
        <w:t xml:space="preserve"> </w:t>
      </w:r>
      <w:r w:rsidRPr="00282AC9">
        <w:rPr>
          <w:rtl/>
        </w:rPr>
        <w:lastRenderedPageBreak/>
        <w:t>وليس في تراب ذلك شي</w:t>
      </w:r>
      <w:r w:rsidR="00176198" w:rsidRPr="00282AC9">
        <w:rPr>
          <w:rFonts w:hint="cs"/>
          <w:rtl/>
        </w:rPr>
        <w:t>ءٌ</w:t>
      </w:r>
      <w:r w:rsidRPr="00282AC9">
        <w:rPr>
          <w:rtl/>
        </w:rPr>
        <w:t>، إنما في الذهب الخالص والفض</w:t>
      </w:r>
      <w:r w:rsidR="00176198" w:rsidRPr="00282AC9">
        <w:rPr>
          <w:rFonts w:hint="cs"/>
          <w:rtl/>
        </w:rPr>
        <w:t>ّ</w:t>
      </w:r>
      <w:r w:rsidRPr="00282AC9">
        <w:rPr>
          <w:rtl/>
        </w:rPr>
        <w:t>ة الخالصة والحديد والنحاس والرصاص</w:t>
      </w:r>
      <w:r w:rsidR="00176198" w:rsidRPr="00282AC9">
        <w:rPr>
          <w:rFonts w:hint="cs"/>
          <w:rtl/>
        </w:rPr>
        <w:t>...، إ</w:t>
      </w:r>
      <w:r w:rsidRPr="00282AC9">
        <w:rPr>
          <w:rtl/>
        </w:rPr>
        <w:t>لخ</w:t>
      </w:r>
      <w:r w:rsidRPr="00282AC9">
        <w:rPr>
          <w:rFonts w:hint="cs"/>
          <w:vertAlign w:val="superscript"/>
          <w:rtl/>
        </w:rPr>
        <w:t>(</w:t>
      </w:r>
      <w:r w:rsidRPr="00282AC9">
        <w:rPr>
          <w:rStyle w:val="af9"/>
          <w:sz w:val="27"/>
          <w:rtl/>
        </w:rPr>
        <w:endnoteReference w:id="467"/>
      </w:r>
      <w:r w:rsidRPr="00282AC9">
        <w:rPr>
          <w:rFonts w:hint="cs"/>
          <w:vertAlign w:val="superscript"/>
          <w:rtl/>
        </w:rPr>
        <w:t>)</w:t>
      </w:r>
      <w:r w:rsidR="00176198" w:rsidRPr="00282AC9">
        <w:rPr>
          <w:rFonts w:hint="cs"/>
          <w:rtl/>
        </w:rPr>
        <w:t>.</w:t>
      </w:r>
      <w:r w:rsidRPr="00282AC9">
        <w:rPr>
          <w:rFonts w:hint="cs"/>
          <w:rtl/>
        </w:rPr>
        <w:t xml:space="preserve"> </w:t>
      </w:r>
      <w:r w:rsidRPr="00282AC9">
        <w:rPr>
          <w:rtl/>
        </w:rPr>
        <w:t>ويتبين من كلامه أنه يرى تخميس ما ظفر به في غير الحرب</w:t>
      </w:r>
      <w:r w:rsidR="00E14854" w:rsidRPr="00282AC9">
        <w:rPr>
          <w:rFonts w:hint="cs"/>
          <w:rtl/>
        </w:rPr>
        <w:t>،</w:t>
      </w:r>
      <w:r w:rsidRPr="00282AC9">
        <w:rPr>
          <w:rtl/>
        </w:rPr>
        <w:t xml:space="preserve"> ووضعه موضع الغنيمة، مؤك</w:t>
      </w:r>
      <w:r w:rsidR="00E14854" w:rsidRPr="00282AC9">
        <w:rPr>
          <w:rFonts w:hint="cs"/>
          <w:rtl/>
        </w:rPr>
        <w:t>ِّ</w:t>
      </w:r>
      <w:r w:rsidRPr="00282AC9">
        <w:rPr>
          <w:rtl/>
        </w:rPr>
        <w:t>دا</w:t>
      </w:r>
      <w:r w:rsidR="00E14854" w:rsidRPr="00282AC9">
        <w:rPr>
          <w:rFonts w:hint="cs"/>
          <w:rtl/>
        </w:rPr>
        <w:t>ً</w:t>
      </w:r>
      <w:r w:rsidRPr="00282AC9">
        <w:rPr>
          <w:rtl/>
        </w:rPr>
        <w:t xml:space="preserve"> </w:t>
      </w:r>
      <w:r w:rsidR="00E14854" w:rsidRPr="00282AC9">
        <w:rPr>
          <w:rFonts w:hint="cs"/>
          <w:rtl/>
        </w:rPr>
        <w:t>أ</w:t>
      </w:r>
      <w:r w:rsidRPr="00282AC9">
        <w:rPr>
          <w:rtl/>
        </w:rPr>
        <w:t>نه ليس على موضع الزكاة</w:t>
      </w:r>
      <w:r w:rsidR="00E14854" w:rsidRPr="00282AC9">
        <w:rPr>
          <w:rFonts w:hint="cs"/>
          <w:rtl/>
        </w:rPr>
        <w:t>،</w:t>
      </w:r>
      <w:r w:rsidRPr="00282AC9">
        <w:rPr>
          <w:rtl/>
        </w:rPr>
        <w:t xml:space="preserve"> إنما على موضع الغنائم</w:t>
      </w:r>
      <w:r w:rsidR="00E14854" w:rsidRPr="00282AC9">
        <w:rPr>
          <w:rFonts w:hint="cs"/>
          <w:rtl/>
        </w:rPr>
        <w:t xml:space="preserve">. </w:t>
      </w:r>
      <w:r w:rsidRPr="00282AC9">
        <w:rPr>
          <w:rtl/>
        </w:rPr>
        <w:t>و يستدل</w:t>
      </w:r>
      <w:r w:rsidR="00E14854" w:rsidRPr="00282AC9">
        <w:rPr>
          <w:rFonts w:hint="cs"/>
          <w:rtl/>
        </w:rPr>
        <w:t>ّ</w:t>
      </w:r>
      <w:r w:rsidRPr="00282AC9">
        <w:rPr>
          <w:rtl/>
        </w:rPr>
        <w:t xml:space="preserve"> عليه بآية الخمس بوضوح</w:t>
      </w:r>
      <w:r w:rsidR="00E14854" w:rsidRPr="00282AC9">
        <w:rPr>
          <w:rFonts w:hint="cs"/>
          <w:rtl/>
        </w:rPr>
        <w:t>ٍ</w:t>
      </w:r>
      <w:r w:rsidRPr="00282AC9">
        <w:rPr>
          <w:rtl/>
        </w:rPr>
        <w:t xml:space="preserve">. </w:t>
      </w:r>
    </w:p>
    <w:p w:rsidR="00946A76" w:rsidRPr="00282AC9" w:rsidRDefault="00946A76" w:rsidP="00186251">
      <w:pPr>
        <w:rPr>
          <w:rtl/>
        </w:rPr>
      </w:pPr>
      <w:r w:rsidRPr="00282AC9">
        <w:rPr>
          <w:rtl/>
        </w:rPr>
        <w:t xml:space="preserve"> كما صر</w:t>
      </w:r>
      <w:r w:rsidR="00E14854" w:rsidRPr="00282AC9">
        <w:rPr>
          <w:rFonts w:hint="cs"/>
          <w:rtl/>
        </w:rPr>
        <w:t>َّ</w:t>
      </w:r>
      <w:r w:rsidRPr="00282AC9">
        <w:rPr>
          <w:rtl/>
        </w:rPr>
        <w:t>ح الجزيري(1941م) أن الحنفي</w:t>
      </w:r>
      <w:r w:rsidR="00E14854" w:rsidRPr="00282AC9">
        <w:rPr>
          <w:rFonts w:hint="cs"/>
          <w:rtl/>
        </w:rPr>
        <w:t>ّ</w:t>
      </w:r>
      <w:r w:rsidRPr="00282AC9">
        <w:rPr>
          <w:rtl/>
        </w:rPr>
        <w:t>ة قالوا</w:t>
      </w:r>
      <w:r w:rsidR="00E14854" w:rsidRPr="00282AC9">
        <w:rPr>
          <w:rFonts w:hint="cs"/>
          <w:rtl/>
        </w:rPr>
        <w:t>:</w:t>
      </w:r>
      <w:r w:rsidRPr="00282AC9">
        <w:rPr>
          <w:rtl/>
        </w:rPr>
        <w:t xml:space="preserve"> المعدن والركاز بمع</w:t>
      </w:r>
      <w:r w:rsidR="00E14854" w:rsidRPr="00282AC9">
        <w:rPr>
          <w:rFonts w:hint="cs"/>
          <w:rtl/>
        </w:rPr>
        <w:t>ن</w:t>
      </w:r>
      <w:r w:rsidRPr="00282AC9">
        <w:rPr>
          <w:rtl/>
        </w:rPr>
        <w:t>ى</w:t>
      </w:r>
      <w:r w:rsidR="00E14854" w:rsidRPr="00282AC9">
        <w:rPr>
          <w:rFonts w:hint="cs"/>
          <w:rtl/>
        </w:rPr>
        <w:t>ً</w:t>
      </w:r>
      <w:r w:rsidRPr="00282AC9">
        <w:rPr>
          <w:rtl/>
        </w:rPr>
        <w:t xml:space="preserve"> واحد، وهو شرعا</w:t>
      </w:r>
      <w:r w:rsidRPr="00282AC9">
        <w:rPr>
          <w:rFonts w:hint="cs"/>
          <w:rtl/>
        </w:rPr>
        <w:t>ً</w:t>
      </w:r>
      <w:r w:rsidRPr="00282AC9">
        <w:rPr>
          <w:rtl/>
        </w:rPr>
        <w:t xml:space="preserve"> مال</w:t>
      </w:r>
      <w:r w:rsidR="00E14854" w:rsidRPr="00282AC9">
        <w:rPr>
          <w:rFonts w:hint="cs"/>
          <w:rtl/>
        </w:rPr>
        <w:t>ٌ</w:t>
      </w:r>
      <w:r w:rsidRPr="00282AC9">
        <w:rPr>
          <w:rtl/>
        </w:rPr>
        <w:t xml:space="preserve"> و</w:t>
      </w:r>
      <w:r w:rsidR="00E14854" w:rsidRPr="00282AC9">
        <w:rPr>
          <w:rFonts w:hint="cs"/>
          <w:rtl/>
        </w:rPr>
        <w:t>ُ</w:t>
      </w:r>
      <w:r w:rsidRPr="00282AC9">
        <w:rPr>
          <w:rtl/>
        </w:rPr>
        <w:t>جد تحت الأرض</w:t>
      </w:r>
      <w:r w:rsidR="00E14854" w:rsidRPr="00282AC9">
        <w:rPr>
          <w:rFonts w:hint="cs"/>
          <w:rtl/>
        </w:rPr>
        <w:t>،</w:t>
      </w:r>
      <w:r w:rsidRPr="00282AC9">
        <w:rPr>
          <w:rtl/>
        </w:rPr>
        <w:t xml:space="preserve"> سواء كان معدنا</w:t>
      </w:r>
      <w:r w:rsidR="00E14854" w:rsidRPr="00282AC9">
        <w:rPr>
          <w:rFonts w:hint="cs"/>
          <w:rtl/>
        </w:rPr>
        <w:t>ً</w:t>
      </w:r>
      <w:r w:rsidRPr="00282AC9">
        <w:rPr>
          <w:rtl/>
        </w:rPr>
        <w:t xml:space="preserve"> خلقي</w:t>
      </w:r>
      <w:r w:rsidR="00E14854" w:rsidRPr="00282AC9">
        <w:rPr>
          <w:rFonts w:hint="cs"/>
          <w:rtl/>
        </w:rPr>
        <w:t>ّ</w:t>
      </w:r>
      <w:r w:rsidRPr="00282AC9">
        <w:rPr>
          <w:rtl/>
        </w:rPr>
        <w:t>ا</w:t>
      </w:r>
      <w:r w:rsidR="00E14854" w:rsidRPr="00282AC9">
        <w:rPr>
          <w:rFonts w:hint="cs"/>
          <w:rtl/>
        </w:rPr>
        <w:t>ً</w:t>
      </w:r>
      <w:r w:rsidRPr="00282AC9">
        <w:rPr>
          <w:rtl/>
        </w:rPr>
        <w:t xml:space="preserve"> خلقه الله تعالى</w:t>
      </w:r>
      <w:r w:rsidR="00E14854" w:rsidRPr="00282AC9">
        <w:rPr>
          <w:rFonts w:hint="cs"/>
          <w:rtl/>
        </w:rPr>
        <w:t>،</w:t>
      </w:r>
      <w:r w:rsidRPr="00282AC9">
        <w:rPr>
          <w:rtl/>
        </w:rPr>
        <w:t xml:space="preserve"> بدون أن يضعه أحد فيها</w:t>
      </w:r>
      <w:r w:rsidR="00E14854" w:rsidRPr="00282AC9">
        <w:rPr>
          <w:rFonts w:hint="cs"/>
          <w:rtl/>
        </w:rPr>
        <w:t>،</w:t>
      </w:r>
      <w:r w:rsidRPr="00282AC9">
        <w:rPr>
          <w:rtl/>
        </w:rPr>
        <w:t xml:space="preserve"> أو كان كنزا</w:t>
      </w:r>
      <w:r w:rsidR="00E14854" w:rsidRPr="00282AC9">
        <w:rPr>
          <w:rFonts w:hint="cs"/>
          <w:rtl/>
        </w:rPr>
        <w:t>ً</w:t>
      </w:r>
      <w:r w:rsidRPr="00282AC9">
        <w:rPr>
          <w:rtl/>
        </w:rPr>
        <w:t xml:space="preserve"> دفنه الكفار. وأضاف: ولا ي</w:t>
      </w:r>
      <w:r w:rsidR="00E14854" w:rsidRPr="00282AC9">
        <w:rPr>
          <w:rFonts w:hint="cs"/>
          <w:rtl/>
        </w:rPr>
        <w:t>ُ</w:t>
      </w:r>
      <w:r w:rsidRPr="00282AC9">
        <w:rPr>
          <w:rtl/>
        </w:rPr>
        <w:t>سم</w:t>
      </w:r>
      <w:r w:rsidR="00E14854" w:rsidRPr="00282AC9">
        <w:rPr>
          <w:rFonts w:hint="cs"/>
          <w:rtl/>
        </w:rPr>
        <w:t>ّ</w:t>
      </w:r>
      <w:r w:rsidRPr="00282AC9">
        <w:rPr>
          <w:rtl/>
        </w:rPr>
        <w:t>ى ما يخرج من المعدن والركاز زكاة على الحقيقة. وقال: وتنقسم المعادن الى أقسام ثلاثة...</w:t>
      </w:r>
      <w:r w:rsidR="00E14854" w:rsidRPr="00282AC9">
        <w:rPr>
          <w:rFonts w:hint="cs"/>
          <w:rtl/>
        </w:rPr>
        <w:t xml:space="preserve">؛ </w:t>
      </w:r>
      <w:r w:rsidRPr="00282AC9">
        <w:rPr>
          <w:rtl/>
        </w:rPr>
        <w:t xml:space="preserve">فأما الذي ينطبع بالنار فيجب فيه إخراج الخمس، ومصرفه مصرف خمس الغنيمة المذكورة في قوله تعالى: </w:t>
      </w:r>
      <w:r w:rsidR="00E14854" w:rsidRPr="00282AC9">
        <w:rPr>
          <w:rFonts w:ascii="Mosawi" w:hAnsi="Mosawi" w:cs="Mosawi"/>
          <w:sz w:val="24"/>
          <w:szCs w:val="24"/>
          <w:rtl/>
        </w:rPr>
        <w:t>﴿</w:t>
      </w:r>
      <w:r w:rsidR="00E14854" w:rsidRPr="00282AC9">
        <w:rPr>
          <w:b/>
          <w:bCs/>
          <w:sz w:val="27"/>
          <w:rtl/>
        </w:rPr>
        <w:t>وَاعْلَمُوا أَنَّ</w:t>
      </w:r>
      <w:r w:rsidR="00E14854" w:rsidRPr="00282AC9">
        <w:rPr>
          <w:rFonts w:hint="cs"/>
          <w:b/>
          <w:bCs/>
          <w:sz w:val="27"/>
          <w:rtl/>
        </w:rPr>
        <w:t xml:space="preserve"> </w:t>
      </w:r>
      <w:r w:rsidR="00E14854" w:rsidRPr="00282AC9">
        <w:rPr>
          <w:b/>
          <w:bCs/>
          <w:sz w:val="27"/>
          <w:rtl/>
        </w:rPr>
        <w:t>مَا غَنِمْتُمْ مِنْ شَيْءٍ</w:t>
      </w:r>
      <w:r w:rsidR="00E14854" w:rsidRPr="00282AC9">
        <w:rPr>
          <w:rFonts w:hint="cs"/>
          <w:rtl/>
        </w:rPr>
        <w:t>...</w:t>
      </w:r>
      <w:r w:rsidR="00E14854" w:rsidRPr="00282AC9">
        <w:rPr>
          <w:rtl/>
        </w:rPr>
        <w:t>الآية</w:t>
      </w:r>
      <w:r w:rsidR="00E14854" w:rsidRPr="00282AC9">
        <w:rPr>
          <w:rFonts w:ascii="Mosawi" w:hAnsi="Mosawi" w:cs="Mosawi"/>
          <w:sz w:val="24"/>
          <w:szCs w:val="24"/>
          <w:rtl/>
        </w:rPr>
        <w:t xml:space="preserve"> ﴾</w:t>
      </w:r>
      <w:r w:rsidR="00E14854" w:rsidRPr="00282AC9">
        <w:rPr>
          <w:rFonts w:hint="cs"/>
          <w:vertAlign w:val="superscript"/>
          <w:rtl/>
        </w:rPr>
        <w:t>(</w:t>
      </w:r>
      <w:r w:rsidR="00E14854" w:rsidRPr="00282AC9">
        <w:rPr>
          <w:rStyle w:val="af9"/>
          <w:sz w:val="27"/>
          <w:rtl/>
        </w:rPr>
        <w:endnoteReference w:id="468"/>
      </w:r>
      <w:r w:rsidR="00E14854" w:rsidRPr="00282AC9">
        <w:rPr>
          <w:rFonts w:hint="cs"/>
          <w:vertAlign w:val="superscript"/>
          <w:rtl/>
        </w:rPr>
        <w:t>)</w:t>
      </w:r>
      <w:r w:rsidR="00E14854" w:rsidRPr="00282AC9">
        <w:rPr>
          <w:rFonts w:hint="cs"/>
          <w:rtl/>
        </w:rPr>
        <w:t>.</w:t>
      </w:r>
    </w:p>
    <w:p w:rsidR="00946A76" w:rsidRPr="00282AC9" w:rsidRDefault="00946A76" w:rsidP="00186251">
      <w:pPr>
        <w:rPr>
          <w:rtl/>
        </w:rPr>
      </w:pPr>
      <w:r w:rsidRPr="00282AC9">
        <w:rPr>
          <w:rtl/>
        </w:rPr>
        <w:t>فنجده يؤك</w:t>
      </w:r>
      <w:r w:rsidR="00E14854" w:rsidRPr="00282AC9">
        <w:rPr>
          <w:rFonts w:hint="cs"/>
          <w:rtl/>
        </w:rPr>
        <w:t>ِّ</w:t>
      </w:r>
      <w:r w:rsidRPr="00282AC9">
        <w:rPr>
          <w:rtl/>
        </w:rPr>
        <w:t>د بأن ما يخرج من المعدن والركاز لا يطلق عليه زكاة على الحقيقة، وأن مصرفها هو نفس مصرف الخمس</w:t>
      </w:r>
      <w:r w:rsidR="00E14854" w:rsidRPr="00282AC9">
        <w:rPr>
          <w:rFonts w:hint="cs"/>
          <w:rtl/>
        </w:rPr>
        <w:t>،</w:t>
      </w:r>
      <w:r w:rsidRPr="00282AC9">
        <w:rPr>
          <w:rtl/>
        </w:rPr>
        <w:t xml:space="preserve"> كما جاء في آية الخمس، وإن</w:t>
      </w:r>
      <w:r w:rsidR="00E14854" w:rsidRPr="00282AC9">
        <w:rPr>
          <w:rFonts w:hint="cs"/>
          <w:rtl/>
        </w:rPr>
        <w:t>ْ</w:t>
      </w:r>
      <w:r w:rsidRPr="00282AC9">
        <w:rPr>
          <w:rtl/>
        </w:rPr>
        <w:t xml:space="preserve"> لم يصر</w:t>
      </w:r>
      <w:r w:rsidR="00E14854" w:rsidRPr="00282AC9">
        <w:rPr>
          <w:rFonts w:hint="cs"/>
          <w:rtl/>
        </w:rPr>
        <w:t>ِّ</w:t>
      </w:r>
      <w:r w:rsidRPr="00282AC9">
        <w:rPr>
          <w:rtl/>
        </w:rPr>
        <w:t xml:space="preserve">ح بكونها في حكم الغنيمة. </w:t>
      </w:r>
    </w:p>
    <w:p w:rsidR="00E14854" w:rsidRPr="00282AC9" w:rsidRDefault="00946A76" w:rsidP="00186251">
      <w:pPr>
        <w:rPr>
          <w:rtl/>
        </w:rPr>
      </w:pPr>
      <w:r w:rsidRPr="00282AC9">
        <w:rPr>
          <w:rtl/>
        </w:rPr>
        <w:t>وهناك كلمات</w:t>
      </w:r>
      <w:r w:rsidR="00E14854" w:rsidRPr="00282AC9">
        <w:rPr>
          <w:rFonts w:hint="cs"/>
          <w:rtl/>
        </w:rPr>
        <w:t>ٌ</w:t>
      </w:r>
      <w:r w:rsidRPr="00282AC9">
        <w:rPr>
          <w:rtl/>
        </w:rPr>
        <w:t xml:space="preserve"> فقهي</w:t>
      </w:r>
      <w:r w:rsidR="00E14854" w:rsidRPr="00282AC9">
        <w:rPr>
          <w:rFonts w:hint="cs"/>
          <w:rtl/>
        </w:rPr>
        <w:t>ّ</w:t>
      </w:r>
      <w:r w:rsidRPr="00282AC9">
        <w:rPr>
          <w:rtl/>
        </w:rPr>
        <w:t>ة صريحة</w:t>
      </w:r>
      <w:r w:rsidR="00E14854" w:rsidRPr="00282AC9">
        <w:rPr>
          <w:rFonts w:hint="cs"/>
          <w:rtl/>
        </w:rPr>
        <w:t>ٌ</w:t>
      </w:r>
      <w:r w:rsidRPr="00282AC9">
        <w:rPr>
          <w:rtl/>
        </w:rPr>
        <w:t xml:space="preserve"> في توسيع مفهوم الغنيمة</w:t>
      </w:r>
      <w:r w:rsidR="00E14854" w:rsidRPr="00282AC9">
        <w:rPr>
          <w:rFonts w:hint="cs"/>
          <w:rtl/>
        </w:rPr>
        <w:t>،</w:t>
      </w:r>
      <w:r w:rsidRPr="00282AC9">
        <w:rPr>
          <w:rtl/>
        </w:rPr>
        <w:t xml:space="preserve"> وشموله لغير الغنائم الحربي</w:t>
      </w:r>
      <w:r w:rsidR="00E14854" w:rsidRPr="00282AC9">
        <w:rPr>
          <w:rFonts w:hint="cs"/>
          <w:rtl/>
        </w:rPr>
        <w:t>ّ</w:t>
      </w:r>
      <w:r w:rsidR="00E14854" w:rsidRPr="00282AC9">
        <w:rPr>
          <w:rtl/>
        </w:rPr>
        <w:t>ة.</w:t>
      </w:r>
    </w:p>
    <w:p w:rsidR="00946A76" w:rsidRPr="00282AC9" w:rsidRDefault="00946A76" w:rsidP="00186251">
      <w:pPr>
        <w:rPr>
          <w:rtl/>
        </w:rPr>
      </w:pPr>
      <w:r w:rsidRPr="00282AC9">
        <w:rPr>
          <w:rtl/>
        </w:rPr>
        <w:t>يصر</w:t>
      </w:r>
      <w:r w:rsidR="00E14854" w:rsidRPr="00282AC9">
        <w:rPr>
          <w:rFonts w:hint="cs"/>
          <w:rtl/>
        </w:rPr>
        <w:t>ِّ</w:t>
      </w:r>
      <w:r w:rsidRPr="00282AC9">
        <w:rPr>
          <w:rtl/>
        </w:rPr>
        <w:t>ح ابن المرتضى(840</w:t>
      </w:r>
      <w:r w:rsidRPr="00282AC9">
        <w:rPr>
          <w:rFonts w:hint="cs"/>
          <w:rtl/>
        </w:rPr>
        <w:t>هـ</w:t>
      </w:r>
      <w:r w:rsidRPr="00282AC9">
        <w:rPr>
          <w:rtl/>
        </w:rPr>
        <w:t>) بوجوب إخراج الخمس على كل</w:t>
      </w:r>
      <w:r w:rsidR="00E14854" w:rsidRPr="00282AC9">
        <w:rPr>
          <w:rFonts w:hint="cs"/>
          <w:rtl/>
        </w:rPr>
        <w:t>ّ</w:t>
      </w:r>
      <w:r w:rsidRPr="00282AC9">
        <w:rPr>
          <w:rtl/>
        </w:rPr>
        <w:t xml:space="preserve"> غانم</w:t>
      </w:r>
      <w:r w:rsidR="00E14854" w:rsidRPr="00282AC9">
        <w:rPr>
          <w:rFonts w:hint="cs"/>
          <w:rtl/>
        </w:rPr>
        <w:t>ٍ،</w:t>
      </w:r>
      <w:r w:rsidRPr="00282AC9">
        <w:rPr>
          <w:rtl/>
        </w:rPr>
        <w:t xml:space="preserve"> مستدلا</w:t>
      </w:r>
      <w:r w:rsidR="00E14854" w:rsidRPr="00282AC9">
        <w:rPr>
          <w:rFonts w:hint="cs"/>
          <w:rtl/>
        </w:rPr>
        <w:t>ًّ</w:t>
      </w:r>
      <w:r w:rsidRPr="00282AC9">
        <w:rPr>
          <w:rtl/>
        </w:rPr>
        <w:t xml:space="preserve"> بالكتاب والسن</w:t>
      </w:r>
      <w:r w:rsidR="00E14854" w:rsidRPr="00282AC9">
        <w:rPr>
          <w:rFonts w:hint="cs"/>
          <w:rtl/>
        </w:rPr>
        <w:t>ّ</w:t>
      </w:r>
      <w:r w:rsidRPr="00282AC9">
        <w:rPr>
          <w:rtl/>
        </w:rPr>
        <w:t>ة وال</w:t>
      </w:r>
      <w:r w:rsidR="00E14854" w:rsidRPr="00282AC9">
        <w:rPr>
          <w:rFonts w:hint="cs"/>
          <w:rtl/>
        </w:rPr>
        <w:t>إ</w:t>
      </w:r>
      <w:r w:rsidRPr="00282AC9">
        <w:rPr>
          <w:rtl/>
        </w:rPr>
        <w:t>جماع</w:t>
      </w:r>
      <w:r w:rsidR="00E14854" w:rsidRPr="00282AC9">
        <w:rPr>
          <w:rFonts w:hint="cs"/>
          <w:rtl/>
        </w:rPr>
        <w:t>.</w:t>
      </w:r>
      <w:r w:rsidRPr="00282AC9">
        <w:rPr>
          <w:rtl/>
        </w:rPr>
        <w:t xml:space="preserve"> ويقر</w:t>
      </w:r>
      <w:r w:rsidR="00E14854" w:rsidRPr="00282AC9">
        <w:rPr>
          <w:rFonts w:hint="cs"/>
          <w:rtl/>
        </w:rPr>
        <w:t>ِّ</w:t>
      </w:r>
      <w:r w:rsidRPr="00282AC9">
        <w:rPr>
          <w:rtl/>
        </w:rPr>
        <w:t>ر بوضوح</w:t>
      </w:r>
      <w:r w:rsidR="00E14854" w:rsidRPr="00282AC9">
        <w:rPr>
          <w:rFonts w:hint="cs"/>
          <w:rtl/>
        </w:rPr>
        <w:t>ٍ</w:t>
      </w:r>
      <w:r w:rsidRPr="00282AC9">
        <w:rPr>
          <w:rtl/>
        </w:rPr>
        <w:t xml:space="preserve"> مفهوما</w:t>
      </w:r>
      <w:r w:rsidR="00E14854" w:rsidRPr="00282AC9">
        <w:rPr>
          <w:rFonts w:hint="cs"/>
          <w:rtl/>
        </w:rPr>
        <w:t>ً</w:t>
      </w:r>
      <w:r w:rsidRPr="00282AC9">
        <w:rPr>
          <w:rtl/>
        </w:rPr>
        <w:t xml:space="preserve"> واسعا</w:t>
      </w:r>
      <w:r w:rsidR="00E14854" w:rsidRPr="00282AC9">
        <w:rPr>
          <w:rFonts w:hint="cs"/>
          <w:rtl/>
        </w:rPr>
        <w:t>ً</w:t>
      </w:r>
      <w:r w:rsidRPr="00282AC9">
        <w:rPr>
          <w:rtl/>
        </w:rPr>
        <w:t xml:space="preserve"> للغنيمة: وإنما يجب الخمس في الغنائم فقط. والغنائم ثلاثة أصناف: </w:t>
      </w:r>
      <w:r w:rsidRPr="00282AC9">
        <w:rPr>
          <w:b/>
          <w:bCs/>
          <w:rtl/>
        </w:rPr>
        <w:t>الأو</w:t>
      </w:r>
      <w:r w:rsidR="00E14854" w:rsidRPr="00282AC9">
        <w:rPr>
          <w:rFonts w:hint="cs"/>
          <w:b/>
          <w:bCs/>
          <w:rtl/>
        </w:rPr>
        <w:t>ّ</w:t>
      </w:r>
      <w:r w:rsidRPr="00282AC9">
        <w:rPr>
          <w:b/>
          <w:bCs/>
          <w:rtl/>
        </w:rPr>
        <w:t>ل</w:t>
      </w:r>
      <w:r w:rsidRPr="00282AC9">
        <w:rPr>
          <w:rtl/>
        </w:rPr>
        <w:t>: صيد البر</w:t>
      </w:r>
      <w:r w:rsidR="00E14854" w:rsidRPr="00282AC9">
        <w:rPr>
          <w:rFonts w:hint="cs"/>
          <w:rtl/>
        </w:rPr>
        <w:t>ّ</w:t>
      </w:r>
      <w:r w:rsidRPr="00282AC9">
        <w:rPr>
          <w:rtl/>
        </w:rPr>
        <w:t xml:space="preserve"> والبحر وما استخرج منهما</w:t>
      </w:r>
      <w:r w:rsidR="00E14854" w:rsidRPr="00282AC9">
        <w:rPr>
          <w:rFonts w:hint="cs"/>
          <w:rtl/>
        </w:rPr>
        <w:t>،</w:t>
      </w:r>
      <w:r w:rsidRPr="00282AC9">
        <w:rPr>
          <w:rtl/>
        </w:rPr>
        <w:t xml:space="preserve"> أي من البر</w:t>
      </w:r>
      <w:r w:rsidR="00E14854" w:rsidRPr="00282AC9">
        <w:rPr>
          <w:rFonts w:hint="cs"/>
          <w:rtl/>
        </w:rPr>
        <w:t>ّ</w:t>
      </w:r>
      <w:r w:rsidRPr="00282AC9">
        <w:rPr>
          <w:rtl/>
        </w:rPr>
        <w:t xml:space="preserve"> والبحر</w:t>
      </w:r>
      <w:r w:rsidR="00E14854" w:rsidRPr="00282AC9">
        <w:rPr>
          <w:rFonts w:hint="cs"/>
          <w:rtl/>
        </w:rPr>
        <w:t>،</w:t>
      </w:r>
      <w:r w:rsidRPr="00282AC9">
        <w:rPr>
          <w:rtl/>
        </w:rPr>
        <w:t xml:space="preserve"> أو أ</w:t>
      </w:r>
      <w:r w:rsidR="00E14854" w:rsidRPr="00282AC9">
        <w:rPr>
          <w:rFonts w:hint="cs"/>
          <w:rtl/>
        </w:rPr>
        <w:t>ُ</w:t>
      </w:r>
      <w:r w:rsidRPr="00282AC9">
        <w:rPr>
          <w:rtl/>
        </w:rPr>
        <w:t>خذ من ظاهرهما</w:t>
      </w:r>
      <w:r w:rsidR="00E14854" w:rsidRPr="00282AC9">
        <w:rPr>
          <w:rFonts w:hint="cs"/>
          <w:rtl/>
        </w:rPr>
        <w:t>،</w:t>
      </w:r>
      <w:r w:rsidRPr="00282AC9">
        <w:rPr>
          <w:rtl/>
        </w:rPr>
        <w:t xml:space="preserve"> كمعدن</w:t>
      </w:r>
      <w:r w:rsidR="00E14854" w:rsidRPr="00282AC9">
        <w:rPr>
          <w:rFonts w:hint="cs"/>
          <w:rtl/>
        </w:rPr>
        <w:t>ٍ،</w:t>
      </w:r>
      <w:r w:rsidRPr="00282AC9">
        <w:rPr>
          <w:rtl/>
        </w:rPr>
        <w:t xml:space="preserve"> ف</w:t>
      </w:r>
      <w:r w:rsidR="00E14854" w:rsidRPr="00282AC9">
        <w:rPr>
          <w:rFonts w:hint="cs"/>
          <w:rtl/>
        </w:rPr>
        <w:t>إ</w:t>
      </w:r>
      <w:r w:rsidRPr="00282AC9">
        <w:rPr>
          <w:rtl/>
        </w:rPr>
        <w:t>نه يجب فيه الخمس</w:t>
      </w:r>
      <w:r w:rsidR="00E14854" w:rsidRPr="00282AC9">
        <w:rPr>
          <w:rFonts w:hint="cs"/>
          <w:rtl/>
        </w:rPr>
        <w:t>؛</w:t>
      </w:r>
      <w:r w:rsidRPr="00282AC9">
        <w:rPr>
          <w:rtl/>
        </w:rPr>
        <w:t xml:space="preserve"> وكنز</w:t>
      </w:r>
      <w:r w:rsidR="00573307" w:rsidRPr="00282AC9">
        <w:rPr>
          <w:rFonts w:hint="cs"/>
          <w:rtl/>
        </w:rPr>
        <w:t>ٍ</w:t>
      </w:r>
      <w:r w:rsidRPr="00282AC9">
        <w:rPr>
          <w:rtl/>
        </w:rPr>
        <w:t xml:space="preserve">، </w:t>
      </w:r>
      <w:r w:rsidR="00573307" w:rsidRPr="00282AC9">
        <w:rPr>
          <w:rFonts w:hint="cs"/>
          <w:rtl/>
        </w:rPr>
        <w:t>إ</w:t>
      </w:r>
      <w:r w:rsidRPr="00282AC9">
        <w:rPr>
          <w:rtl/>
        </w:rPr>
        <w:t>ذا كان ذلك الكنز ليس لقطة</w:t>
      </w:r>
      <w:r w:rsidR="00573307" w:rsidRPr="00282AC9">
        <w:rPr>
          <w:rFonts w:hint="cs"/>
          <w:rtl/>
        </w:rPr>
        <w:t>ً،</w:t>
      </w:r>
      <w:r w:rsidRPr="00282AC9">
        <w:rPr>
          <w:rtl/>
        </w:rPr>
        <w:t xml:space="preserve"> ف</w:t>
      </w:r>
      <w:r w:rsidR="00573307" w:rsidRPr="00282AC9">
        <w:rPr>
          <w:rFonts w:hint="cs"/>
          <w:rtl/>
        </w:rPr>
        <w:t>إ</w:t>
      </w:r>
      <w:r w:rsidRPr="00282AC9">
        <w:rPr>
          <w:rtl/>
        </w:rPr>
        <w:t>نه يجب فيه الخمس</w:t>
      </w:r>
      <w:r w:rsidR="00573307" w:rsidRPr="00282AC9">
        <w:rPr>
          <w:rFonts w:hint="cs"/>
          <w:rtl/>
        </w:rPr>
        <w:t>.</w:t>
      </w:r>
      <w:r w:rsidRPr="00282AC9">
        <w:rPr>
          <w:rtl/>
        </w:rPr>
        <w:t xml:space="preserve"> وأما الذي ي</w:t>
      </w:r>
      <w:r w:rsidR="00573307" w:rsidRPr="00282AC9">
        <w:rPr>
          <w:rFonts w:hint="cs"/>
          <w:rtl/>
        </w:rPr>
        <w:t>ُ</w:t>
      </w:r>
      <w:r w:rsidRPr="00282AC9">
        <w:rPr>
          <w:rtl/>
        </w:rPr>
        <w:t>ست</w:t>
      </w:r>
      <w:r w:rsidR="00573307" w:rsidRPr="00282AC9">
        <w:rPr>
          <w:rFonts w:hint="cs"/>
          <w:rtl/>
        </w:rPr>
        <w:t>َ</w:t>
      </w:r>
      <w:r w:rsidRPr="00282AC9">
        <w:rPr>
          <w:rtl/>
        </w:rPr>
        <w:t>خ</w:t>
      </w:r>
      <w:r w:rsidR="00573307" w:rsidRPr="00282AC9">
        <w:rPr>
          <w:rFonts w:hint="cs"/>
          <w:rtl/>
        </w:rPr>
        <w:t>ْ</w:t>
      </w:r>
      <w:r w:rsidRPr="00282AC9">
        <w:rPr>
          <w:rtl/>
        </w:rPr>
        <w:t>ر</w:t>
      </w:r>
      <w:r w:rsidR="00573307" w:rsidRPr="00282AC9">
        <w:rPr>
          <w:rFonts w:hint="cs"/>
          <w:rtl/>
        </w:rPr>
        <w:t>َ</w:t>
      </w:r>
      <w:r w:rsidRPr="00282AC9">
        <w:rPr>
          <w:rtl/>
        </w:rPr>
        <w:t>ج من البحر فهو نحو</w:t>
      </w:r>
      <w:r w:rsidR="00573307" w:rsidRPr="00282AC9">
        <w:rPr>
          <w:rFonts w:hint="cs"/>
          <w:rtl/>
        </w:rPr>
        <w:t>:</w:t>
      </w:r>
      <w:r w:rsidRPr="00282AC9">
        <w:rPr>
          <w:rtl/>
        </w:rPr>
        <w:t xml:space="preserve"> در</w:t>
      </w:r>
      <w:r w:rsidR="00573307" w:rsidRPr="00282AC9">
        <w:rPr>
          <w:rFonts w:hint="cs"/>
          <w:rtl/>
        </w:rPr>
        <w:t>ّ</w:t>
      </w:r>
      <w:r w:rsidRPr="00282AC9">
        <w:rPr>
          <w:rtl/>
        </w:rPr>
        <w:t>ة وعنبر</w:t>
      </w:r>
      <w:r w:rsidR="00573307" w:rsidRPr="00282AC9">
        <w:rPr>
          <w:rFonts w:hint="cs"/>
          <w:rtl/>
        </w:rPr>
        <w:t xml:space="preserve">، </w:t>
      </w:r>
      <w:r w:rsidRPr="00282AC9">
        <w:rPr>
          <w:rtl/>
        </w:rPr>
        <w:t>ف</w:t>
      </w:r>
      <w:r w:rsidR="00573307" w:rsidRPr="00282AC9">
        <w:rPr>
          <w:rFonts w:hint="cs"/>
          <w:rtl/>
        </w:rPr>
        <w:t>إ</w:t>
      </w:r>
      <w:r w:rsidRPr="00282AC9">
        <w:rPr>
          <w:rtl/>
        </w:rPr>
        <w:t>ن فيهما الخمس</w:t>
      </w:r>
      <w:r w:rsidR="00573307" w:rsidRPr="00282AC9">
        <w:rPr>
          <w:rFonts w:hint="cs"/>
          <w:rtl/>
        </w:rPr>
        <w:t>.</w:t>
      </w:r>
      <w:r w:rsidRPr="00282AC9">
        <w:rPr>
          <w:rtl/>
        </w:rPr>
        <w:t xml:space="preserve"> ويجب الخمس في عسل</w:t>
      </w:r>
      <w:r w:rsidR="00573307" w:rsidRPr="00282AC9">
        <w:rPr>
          <w:rFonts w:hint="cs"/>
          <w:rtl/>
        </w:rPr>
        <w:t>ٍ</w:t>
      </w:r>
      <w:r w:rsidRPr="00282AC9">
        <w:rPr>
          <w:rtl/>
        </w:rPr>
        <w:t xml:space="preserve"> مباح. </w:t>
      </w:r>
      <w:r w:rsidRPr="00282AC9">
        <w:rPr>
          <w:b/>
          <w:bCs/>
          <w:rtl/>
        </w:rPr>
        <w:t>والثاني</w:t>
      </w:r>
      <w:r w:rsidRPr="00282AC9">
        <w:rPr>
          <w:rtl/>
        </w:rPr>
        <w:t xml:space="preserve"> من الغنائم التي يجب فيها الخمس</w:t>
      </w:r>
      <w:r w:rsidR="00573307" w:rsidRPr="00282AC9">
        <w:rPr>
          <w:rFonts w:hint="cs"/>
          <w:rtl/>
        </w:rPr>
        <w:t>:</w:t>
      </w:r>
      <w:r w:rsidRPr="00282AC9">
        <w:rPr>
          <w:rtl/>
        </w:rPr>
        <w:t xml:space="preserve"> هو ما ي</w:t>
      </w:r>
      <w:r w:rsidR="00573307" w:rsidRPr="00282AC9">
        <w:rPr>
          <w:rFonts w:hint="cs"/>
          <w:rtl/>
        </w:rPr>
        <w:t>ُ</w:t>
      </w:r>
      <w:r w:rsidRPr="00282AC9">
        <w:rPr>
          <w:rtl/>
        </w:rPr>
        <w:t>غ</w:t>
      </w:r>
      <w:r w:rsidR="00573307" w:rsidRPr="00282AC9">
        <w:rPr>
          <w:rFonts w:hint="cs"/>
          <w:rtl/>
        </w:rPr>
        <w:t>ْ</w:t>
      </w:r>
      <w:r w:rsidRPr="00282AC9">
        <w:rPr>
          <w:rtl/>
        </w:rPr>
        <w:t>ن</w:t>
      </w:r>
      <w:r w:rsidR="00573307" w:rsidRPr="00282AC9">
        <w:rPr>
          <w:rFonts w:hint="cs"/>
          <w:rtl/>
        </w:rPr>
        <w:t>َ</w:t>
      </w:r>
      <w:r w:rsidRPr="00282AC9">
        <w:rPr>
          <w:rtl/>
        </w:rPr>
        <w:t>م في الحرب...</w:t>
      </w:r>
      <w:r w:rsidR="00573307" w:rsidRPr="00282AC9">
        <w:rPr>
          <w:rFonts w:hint="cs"/>
          <w:rtl/>
        </w:rPr>
        <w:t xml:space="preserve"> </w:t>
      </w:r>
      <w:r w:rsidRPr="00282AC9">
        <w:rPr>
          <w:rtl/>
        </w:rPr>
        <w:t xml:space="preserve">و لا خلاف في وجوب الخمس في غنائم أهل الحرب. </w:t>
      </w:r>
      <w:r w:rsidRPr="00282AC9">
        <w:rPr>
          <w:b/>
          <w:bCs/>
          <w:rtl/>
        </w:rPr>
        <w:t>والثالث</w:t>
      </w:r>
      <w:r w:rsidRPr="00282AC9">
        <w:rPr>
          <w:rtl/>
        </w:rPr>
        <w:t xml:space="preserve"> من الأموال التي يجب فيها الخمس</w:t>
      </w:r>
      <w:r w:rsidR="00573307" w:rsidRPr="00282AC9">
        <w:rPr>
          <w:rtl/>
        </w:rPr>
        <w:t>:</w:t>
      </w:r>
      <w:r w:rsidRPr="00282AC9">
        <w:rPr>
          <w:rtl/>
        </w:rPr>
        <w:t xml:space="preserve"> ثلاثة أشياء</w:t>
      </w:r>
      <w:r w:rsidR="00573307" w:rsidRPr="00282AC9">
        <w:rPr>
          <w:rFonts w:hint="cs"/>
          <w:rtl/>
        </w:rPr>
        <w:t>،</w:t>
      </w:r>
      <w:r w:rsidRPr="00282AC9">
        <w:rPr>
          <w:rtl/>
        </w:rPr>
        <w:t xml:space="preserve"> وهي</w:t>
      </w:r>
      <w:r w:rsidR="00573307" w:rsidRPr="00282AC9">
        <w:rPr>
          <w:rFonts w:hint="cs"/>
          <w:rtl/>
        </w:rPr>
        <w:t>:</w:t>
      </w:r>
      <w:r w:rsidRPr="00282AC9">
        <w:rPr>
          <w:rtl/>
        </w:rPr>
        <w:t xml:space="preserve"> مال الخراج</w:t>
      </w:r>
      <w:r w:rsidR="00573307" w:rsidRPr="00282AC9">
        <w:rPr>
          <w:rFonts w:hint="cs"/>
          <w:rtl/>
        </w:rPr>
        <w:t>؛</w:t>
      </w:r>
      <w:r w:rsidRPr="00282AC9">
        <w:rPr>
          <w:rtl/>
        </w:rPr>
        <w:t xml:space="preserve"> ومال المعاملة</w:t>
      </w:r>
      <w:r w:rsidR="00573307" w:rsidRPr="00282AC9">
        <w:rPr>
          <w:rFonts w:hint="cs"/>
          <w:rtl/>
        </w:rPr>
        <w:t>؛</w:t>
      </w:r>
      <w:r w:rsidRPr="00282AC9">
        <w:rPr>
          <w:rtl/>
        </w:rPr>
        <w:t xml:space="preserve"> وما ي</w:t>
      </w:r>
      <w:r w:rsidR="00573307" w:rsidRPr="00282AC9">
        <w:rPr>
          <w:rFonts w:hint="cs"/>
          <w:rtl/>
        </w:rPr>
        <w:t>ُ</w:t>
      </w:r>
      <w:r w:rsidRPr="00282AC9">
        <w:rPr>
          <w:rtl/>
        </w:rPr>
        <w:t>ؤخ</w:t>
      </w:r>
      <w:r w:rsidR="00573307" w:rsidRPr="00282AC9">
        <w:rPr>
          <w:rFonts w:hint="cs"/>
          <w:rtl/>
        </w:rPr>
        <w:t>َ</w:t>
      </w:r>
      <w:r w:rsidRPr="00282AC9">
        <w:rPr>
          <w:rtl/>
        </w:rPr>
        <w:t>ذ من أهل الذم</w:t>
      </w:r>
      <w:r w:rsidR="00573307" w:rsidRPr="00282AC9">
        <w:rPr>
          <w:rFonts w:hint="cs"/>
          <w:rtl/>
        </w:rPr>
        <w:t>ّ</w:t>
      </w:r>
      <w:r w:rsidRPr="00282AC9">
        <w:rPr>
          <w:rtl/>
        </w:rPr>
        <w:t>ة. والمعاملة وضعها رسول الله</w:t>
      </w:r>
      <w:r w:rsidR="009A2A04" w:rsidRPr="00282AC9">
        <w:rPr>
          <w:rFonts w:cs="Mosawi"/>
          <w:sz w:val="22"/>
          <w:szCs w:val="22"/>
          <w:rtl/>
        </w:rPr>
        <w:t>|</w:t>
      </w:r>
      <w:r w:rsidRPr="00282AC9">
        <w:rPr>
          <w:rtl/>
        </w:rPr>
        <w:t xml:space="preserve"> في بعض أراضي خيبر</w:t>
      </w:r>
      <w:r w:rsidRPr="00282AC9">
        <w:rPr>
          <w:rFonts w:hint="cs"/>
          <w:vertAlign w:val="superscript"/>
          <w:rtl/>
        </w:rPr>
        <w:t>(</w:t>
      </w:r>
      <w:r w:rsidRPr="00282AC9">
        <w:rPr>
          <w:rStyle w:val="af9"/>
          <w:sz w:val="27"/>
          <w:rtl/>
        </w:rPr>
        <w:endnoteReference w:id="469"/>
      </w:r>
      <w:r w:rsidRPr="00282AC9">
        <w:rPr>
          <w:rFonts w:hint="cs"/>
          <w:vertAlign w:val="superscript"/>
          <w:rtl/>
        </w:rPr>
        <w:t>)</w:t>
      </w:r>
      <w:r w:rsidR="00573307" w:rsidRPr="00282AC9">
        <w:rPr>
          <w:rFonts w:hint="cs"/>
          <w:rtl/>
        </w:rPr>
        <w:t>.</w:t>
      </w:r>
      <w:r w:rsidRPr="00282AC9">
        <w:rPr>
          <w:rFonts w:hint="cs"/>
          <w:rtl/>
        </w:rPr>
        <w:t xml:space="preserve"> </w:t>
      </w:r>
      <w:r w:rsidRPr="00282AC9">
        <w:rPr>
          <w:rtl/>
        </w:rPr>
        <w:t xml:space="preserve">ونقل عنه من كتابه </w:t>
      </w:r>
      <w:r w:rsidRPr="00282AC9">
        <w:rPr>
          <w:rFonts w:hint="eastAsia"/>
          <w:sz w:val="24"/>
          <w:szCs w:val="24"/>
          <w:rtl/>
        </w:rPr>
        <w:t>«</w:t>
      </w:r>
      <w:r w:rsidRPr="00282AC9">
        <w:rPr>
          <w:rtl/>
        </w:rPr>
        <w:t>البحر الزخ</w:t>
      </w:r>
      <w:r w:rsidR="00573307" w:rsidRPr="00282AC9">
        <w:rPr>
          <w:rFonts w:hint="cs"/>
          <w:rtl/>
        </w:rPr>
        <w:t>ّ</w:t>
      </w:r>
      <w:r w:rsidRPr="00282AC9">
        <w:rPr>
          <w:rtl/>
        </w:rPr>
        <w:t>ار</w:t>
      </w:r>
      <w:r w:rsidRPr="00282AC9">
        <w:rPr>
          <w:rFonts w:hint="eastAsia"/>
          <w:sz w:val="24"/>
          <w:szCs w:val="24"/>
          <w:rtl/>
        </w:rPr>
        <w:t>»</w:t>
      </w:r>
      <w:r w:rsidR="00573307" w:rsidRPr="00282AC9">
        <w:rPr>
          <w:rFonts w:hint="cs"/>
          <w:rtl/>
        </w:rPr>
        <w:t>:</w:t>
      </w:r>
      <w:r w:rsidRPr="00282AC9">
        <w:rPr>
          <w:rtl/>
        </w:rPr>
        <w:t xml:space="preserve"> يجب الخمس في الصيود</w:t>
      </w:r>
      <w:r w:rsidR="00573307" w:rsidRPr="00282AC9">
        <w:rPr>
          <w:rFonts w:hint="cs"/>
          <w:rtl/>
        </w:rPr>
        <w:t>،</w:t>
      </w:r>
      <w:r w:rsidRPr="00282AC9">
        <w:rPr>
          <w:rtl/>
        </w:rPr>
        <w:t xml:space="preserve"> بحري</w:t>
      </w:r>
      <w:r w:rsidR="00573307" w:rsidRPr="00282AC9">
        <w:rPr>
          <w:rFonts w:hint="cs"/>
          <w:rtl/>
        </w:rPr>
        <w:t>ّ</w:t>
      </w:r>
      <w:r w:rsidRPr="00282AC9">
        <w:rPr>
          <w:rtl/>
        </w:rPr>
        <w:t>ة</w:t>
      </w:r>
      <w:r w:rsidR="00573307" w:rsidRPr="00282AC9">
        <w:rPr>
          <w:rFonts w:hint="cs"/>
          <w:rtl/>
        </w:rPr>
        <w:t>ً</w:t>
      </w:r>
      <w:r w:rsidRPr="00282AC9">
        <w:rPr>
          <w:rtl/>
        </w:rPr>
        <w:t xml:space="preserve"> كانت أم بر</w:t>
      </w:r>
      <w:r w:rsidR="00573307" w:rsidRPr="00282AC9">
        <w:rPr>
          <w:rFonts w:hint="cs"/>
          <w:rtl/>
        </w:rPr>
        <w:t>ّ</w:t>
      </w:r>
      <w:r w:rsidRPr="00282AC9">
        <w:rPr>
          <w:rtl/>
        </w:rPr>
        <w:t>ية</w:t>
      </w:r>
      <w:r w:rsidR="00573307" w:rsidRPr="00282AC9">
        <w:rPr>
          <w:rFonts w:hint="cs"/>
          <w:rtl/>
        </w:rPr>
        <w:t>ً</w:t>
      </w:r>
      <w:r w:rsidR="00A9793A" w:rsidRPr="00282AC9">
        <w:rPr>
          <w:rFonts w:hint="cs"/>
          <w:rtl/>
        </w:rPr>
        <w:t>؛</w:t>
      </w:r>
      <w:r w:rsidRPr="00282AC9">
        <w:rPr>
          <w:rtl/>
        </w:rPr>
        <w:t xml:space="preserve"> إذ هي مغنم</w:t>
      </w:r>
      <w:r w:rsidR="00573307" w:rsidRPr="00282AC9">
        <w:rPr>
          <w:rFonts w:hint="cs"/>
          <w:rtl/>
        </w:rPr>
        <w:t>ٌ،</w:t>
      </w:r>
      <w:r w:rsidRPr="00282AC9">
        <w:rPr>
          <w:rtl/>
        </w:rPr>
        <w:t xml:space="preserve"> فعم</w:t>
      </w:r>
      <w:r w:rsidR="00573307" w:rsidRPr="00282AC9">
        <w:rPr>
          <w:rFonts w:hint="cs"/>
          <w:rtl/>
        </w:rPr>
        <w:t>َّ</w:t>
      </w:r>
      <w:r w:rsidRPr="00282AC9">
        <w:rPr>
          <w:rtl/>
        </w:rPr>
        <w:t>ت</w:t>
      </w:r>
      <w:r w:rsidR="00573307" w:rsidRPr="00282AC9">
        <w:rPr>
          <w:rFonts w:hint="cs"/>
          <w:rtl/>
        </w:rPr>
        <w:t>ْ</w:t>
      </w:r>
      <w:r w:rsidRPr="00282AC9">
        <w:rPr>
          <w:rtl/>
        </w:rPr>
        <w:t>ها الآية</w:t>
      </w:r>
      <w:r w:rsidR="00573307" w:rsidRPr="00282AC9">
        <w:rPr>
          <w:rFonts w:hint="cs"/>
          <w:rtl/>
        </w:rPr>
        <w:t>.</w:t>
      </w:r>
      <w:r w:rsidRPr="00282AC9">
        <w:rPr>
          <w:rtl/>
        </w:rPr>
        <w:t xml:space="preserve"> وأضاف: قالوا: </w:t>
      </w:r>
      <w:r w:rsidRPr="00282AC9">
        <w:rPr>
          <w:rtl/>
        </w:rPr>
        <w:lastRenderedPageBreak/>
        <w:t>الغنيمة اسم ما أ</w:t>
      </w:r>
      <w:r w:rsidR="00573307" w:rsidRPr="00282AC9">
        <w:rPr>
          <w:rFonts w:hint="cs"/>
          <w:rtl/>
        </w:rPr>
        <w:t>ُ</w:t>
      </w:r>
      <w:r w:rsidRPr="00282AC9">
        <w:rPr>
          <w:rtl/>
        </w:rPr>
        <w:t>خذ من الكف</w:t>
      </w:r>
      <w:r w:rsidR="00573307" w:rsidRPr="00282AC9">
        <w:rPr>
          <w:rFonts w:hint="cs"/>
          <w:rtl/>
        </w:rPr>
        <w:t>ّ</w:t>
      </w:r>
      <w:r w:rsidRPr="00282AC9">
        <w:rPr>
          <w:rtl/>
        </w:rPr>
        <w:t>ار فقط، قلنا: بل كل</w:t>
      </w:r>
      <w:r w:rsidR="00573307" w:rsidRPr="00282AC9">
        <w:rPr>
          <w:rFonts w:hint="cs"/>
          <w:rtl/>
        </w:rPr>
        <w:t>ّ</w:t>
      </w:r>
      <w:r w:rsidRPr="00282AC9">
        <w:rPr>
          <w:rtl/>
        </w:rPr>
        <w:t xml:space="preserve"> ما اغتنم</w:t>
      </w:r>
      <w:r w:rsidRPr="00282AC9">
        <w:rPr>
          <w:rFonts w:hint="cs"/>
          <w:vertAlign w:val="superscript"/>
          <w:rtl/>
        </w:rPr>
        <w:t>(</w:t>
      </w:r>
      <w:r w:rsidRPr="00282AC9">
        <w:rPr>
          <w:rStyle w:val="af9"/>
          <w:sz w:val="27"/>
          <w:rtl/>
        </w:rPr>
        <w:endnoteReference w:id="470"/>
      </w:r>
      <w:r w:rsidRPr="00282AC9">
        <w:rPr>
          <w:rFonts w:hint="cs"/>
          <w:vertAlign w:val="superscript"/>
          <w:rtl/>
        </w:rPr>
        <w:t>)</w:t>
      </w:r>
      <w:r w:rsidR="00573307" w:rsidRPr="00282AC9">
        <w:rPr>
          <w:rFonts w:hint="cs"/>
          <w:rtl/>
        </w:rPr>
        <w:t>.</w:t>
      </w:r>
      <w:r w:rsidRPr="00282AC9">
        <w:rPr>
          <w:rFonts w:hint="cs"/>
          <w:rtl/>
        </w:rPr>
        <w:t xml:space="preserve"> </w:t>
      </w:r>
      <w:r w:rsidRPr="00282AC9">
        <w:rPr>
          <w:rtl/>
        </w:rPr>
        <w:t>وكلامه واضح</w:t>
      </w:r>
      <w:r w:rsidR="00573307" w:rsidRPr="00282AC9">
        <w:rPr>
          <w:rFonts w:hint="cs"/>
          <w:rtl/>
        </w:rPr>
        <w:t>ٌ</w:t>
      </w:r>
      <w:r w:rsidRPr="00282AC9">
        <w:rPr>
          <w:rtl/>
        </w:rPr>
        <w:t xml:space="preserve"> في توسيع المفهوم. </w:t>
      </w:r>
    </w:p>
    <w:p w:rsidR="008E3D79" w:rsidRPr="00282AC9" w:rsidRDefault="00946A76" w:rsidP="00235851">
      <w:pPr>
        <w:spacing w:line="416" w:lineRule="exact"/>
        <w:rPr>
          <w:rtl/>
        </w:rPr>
      </w:pPr>
      <w:r w:rsidRPr="00282AC9">
        <w:rPr>
          <w:rtl/>
        </w:rPr>
        <w:t>وي</w:t>
      </w:r>
      <w:r w:rsidR="00573307" w:rsidRPr="00282AC9">
        <w:rPr>
          <w:rFonts w:hint="cs"/>
          <w:rtl/>
        </w:rPr>
        <w:t>ُ</w:t>
      </w:r>
      <w:r w:rsidRPr="00282AC9">
        <w:rPr>
          <w:rtl/>
        </w:rPr>
        <w:t>ستفاد من بعض هذه الأقوال الفقهي</w:t>
      </w:r>
      <w:r w:rsidR="00573307" w:rsidRPr="00282AC9">
        <w:rPr>
          <w:rFonts w:hint="cs"/>
          <w:rtl/>
        </w:rPr>
        <w:t>ّ</w:t>
      </w:r>
      <w:r w:rsidRPr="00282AC9">
        <w:rPr>
          <w:rtl/>
        </w:rPr>
        <w:t>ة أنها تدرج بعض ما ي</w:t>
      </w:r>
      <w:r w:rsidR="008E3D79" w:rsidRPr="00282AC9">
        <w:rPr>
          <w:rFonts w:hint="cs"/>
          <w:rtl/>
        </w:rPr>
        <w:t>ُ</w:t>
      </w:r>
      <w:r w:rsidRPr="00282AC9">
        <w:rPr>
          <w:rtl/>
        </w:rPr>
        <w:t>نال</w:t>
      </w:r>
      <w:r w:rsidR="008E3D79" w:rsidRPr="00282AC9">
        <w:rPr>
          <w:rtl/>
        </w:rPr>
        <w:t xml:space="preserve"> عبر الغوص والكنز ضمن الغنائم</w:t>
      </w:r>
      <w:r w:rsidR="008E3D79" w:rsidRPr="00282AC9">
        <w:rPr>
          <w:rFonts w:hint="cs"/>
          <w:rtl/>
        </w:rPr>
        <w:t xml:space="preserve">، </w:t>
      </w:r>
      <w:r w:rsidRPr="00282AC9">
        <w:rPr>
          <w:rtl/>
        </w:rPr>
        <w:t>وإن</w:t>
      </w:r>
      <w:r w:rsidR="008E3D79" w:rsidRPr="00282AC9">
        <w:rPr>
          <w:rFonts w:hint="cs"/>
          <w:rtl/>
        </w:rPr>
        <w:t>ْ</w:t>
      </w:r>
      <w:r w:rsidRPr="00282AC9">
        <w:rPr>
          <w:rtl/>
        </w:rPr>
        <w:t xml:space="preserve"> كانت محص</w:t>
      </w:r>
      <w:r w:rsidR="008E3D79" w:rsidRPr="00282AC9">
        <w:rPr>
          <w:rFonts w:hint="cs"/>
          <w:rtl/>
        </w:rPr>
        <w:t>ّ</w:t>
      </w:r>
      <w:r w:rsidRPr="00282AC9">
        <w:rPr>
          <w:rtl/>
        </w:rPr>
        <w:t>لة البحث في فقه الجمهور ـ ح</w:t>
      </w:r>
      <w:r w:rsidR="008E3D79" w:rsidRPr="00282AC9">
        <w:rPr>
          <w:rFonts w:hint="cs"/>
          <w:rtl/>
        </w:rPr>
        <w:t>َ</w:t>
      </w:r>
      <w:r w:rsidRPr="00282AC9">
        <w:rPr>
          <w:rtl/>
        </w:rPr>
        <w:t>س</w:t>
      </w:r>
      <w:r w:rsidR="008E3D79" w:rsidRPr="00282AC9">
        <w:rPr>
          <w:rFonts w:hint="cs"/>
          <w:rtl/>
        </w:rPr>
        <w:t>ْ</w:t>
      </w:r>
      <w:r w:rsidRPr="00282AC9">
        <w:rPr>
          <w:rtl/>
        </w:rPr>
        <w:t xml:space="preserve">ب الهمداني ـ </w:t>
      </w:r>
      <w:r w:rsidR="008E3D79" w:rsidRPr="00282AC9">
        <w:rPr>
          <w:rFonts w:hint="cs"/>
          <w:rtl/>
        </w:rPr>
        <w:t>ت</w:t>
      </w:r>
      <w:r w:rsidRPr="00282AC9">
        <w:rPr>
          <w:rtl/>
        </w:rPr>
        <w:t>فيد بأن الخمس المقصود هو غير الخمس المصطلح</w:t>
      </w:r>
      <w:r w:rsidR="008E3D79" w:rsidRPr="00282AC9">
        <w:rPr>
          <w:rFonts w:hint="cs"/>
          <w:rtl/>
        </w:rPr>
        <w:t>،</w:t>
      </w:r>
      <w:r w:rsidRPr="00282AC9">
        <w:rPr>
          <w:rtl/>
        </w:rPr>
        <w:t xml:space="preserve"> ومستحق</w:t>
      </w:r>
      <w:r w:rsidR="008E3D79" w:rsidRPr="00282AC9">
        <w:rPr>
          <w:rFonts w:hint="cs"/>
          <w:rtl/>
        </w:rPr>
        <w:t>ّ</w:t>
      </w:r>
      <w:r w:rsidRPr="00282AC9">
        <w:rPr>
          <w:rtl/>
        </w:rPr>
        <w:t>ه هو غير ما صر</w:t>
      </w:r>
      <w:r w:rsidR="008E3D79" w:rsidRPr="00282AC9">
        <w:rPr>
          <w:rFonts w:hint="cs"/>
          <w:rtl/>
        </w:rPr>
        <w:t>َّ</w:t>
      </w:r>
      <w:r w:rsidRPr="00282AC9">
        <w:rPr>
          <w:rtl/>
        </w:rPr>
        <w:t>حت به آية الخمس في سورة الأنفال</w:t>
      </w:r>
      <w:r w:rsidR="008E3D79" w:rsidRPr="00282AC9">
        <w:rPr>
          <w:rFonts w:hint="cs"/>
          <w:rtl/>
        </w:rPr>
        <w:t>،</w:t>
      </w:r>
      <w:r w:rsidRPr="00282AC9">
        <w:rPr>
          <w:rtl/>
        </w:rPr>
        <w:t xml:space="preserve"> وهو قوله تعالى: </w:t>
      </w:r>
      <w:r w:rsidR="008E3D79" w:rsidRPr="00282AC9">
        <w:rPr>
          <w:rFonts w:ascii="Mosawi" w:hAnsi="Mosawi" w:cs="Mosawi"/>
          <w:sz w:val="24"/>
          <w:szCs w:val="24"/>
          <w:rtl/>
        </w:rPr>
        <w:t>﴿</w:t>
      </w:r>
      <w:r w:rsidR="008E3D79" w:rsidRPr="00282AC9">
        <w:rPr>
          <w:b/>
          <w:bCs/>
          <w:sz w:val="27"/>
          <w:rtl/>
        </w:rPr>
        <w:t>وَاعْلَمُوا أَنَّ</w:t>
      </w:r>
      <w:r w:rsidR="008E3D79" w:rsidRPr="00282AC9">
        <w:rPr>
          <w:rFonts w:hint="cs"/>
          <w:b/>
          <w:bCs/>
          <w:sz w:val="27"/>
          <w:rtl/>
        </w:rPr>
        <w:t xml:space="preserve"> </w:t>
      </w:r>
      <w:r w:rsidR="008E3D79" w:rsidRPr="00282AC9">
        <w:rPr>
          <w:b/>
          <w:bCs/>
          <w:sz w:val="27"/>
          <w:rtl/>
        </w:rPr>
        <w:t>مَا غَنِمْتُمْ مِنْ شَيْءٍ</w:t>
      </w:r>
      <w:r w:rsidR="00A9793A" w:rsidRPr="00282AC9">
        <w:rPr>
          <w:rFonts w:hint="cs"/>
          <w:b/>
          <w:bCs/>
          <w:sz w:val="27"/>
          <w:rtl/>
        </w:rPr>
        <w:t>...</w:t>
      </w:r>
      <w:r w:rsidR="008E3D79" w:rsidRPr="00282AC9">
        <w:rPr>
          <w:rtl/>
        </w:rPr>
        <w:t>الآية</w:t>
      </w:r>
      <w:r w:rsidR="008E3D79" w:rsidRPr="00282AC9">
        <w:rPr>
          <w:rFonts w:ascii="Mosawi" w:hAnsi="Mosawi" w:cs="Mosawi"/>
          <w:sz w:val="24"/>
          <w:szCs w:val="24"/>
          <w:rtl/>
        </w:rPr>
        <w:t>﴾</w:t>
      </w:r>
      <w:r w:rsidRPr="00282AC9">
        <w:rPr>
          <w:rFonts w:hint="cs"/>
          <w:vertAlign w:val="superscript"/>
          <w:rtl/>
        </w:rPr>
        <w:t>(</w:t>
      </w:r>
      <w:r w:rsidRPr="00282AC9">
        <w:rPr>
          <w:rStyle w:val="af9"/>
          <w:sz w:val="27"/>
          <w:rtl/>
        </w:rPr>
        <w:endnoteReference w:id="471"/>
      </w:r>
      <w:r w:rsidRPr="00282AC9">
        <w:rPr>
          <w:rFonts w:hint="cs"/>
          <w:vertAlign w:val="superscript"/>
          <w:rtl/>
        </w:rPr>
        <w:t>)</w:t>
      </w:r>
      <w:r w:rsidR="008E3D79" w:rsidRPr="00282AC9">
        <w:rPr>
          <w:rFonts w:hint="cs"/>
          <w:rtl/>
        </w:rPr>
        <w:t>.</w:t>
      </w:r>
    </w:p>
    <w:p w:rsidR="00946A76" w:rsidRPr="00282AC9" w:rsidRDefault="00946A76" w:rsidP="00235851">
      <w:pPr>
        <w:spacing w:line="416" w:lineRule="exact"/>
        <w:rPr>
          <w:rtl/>
        </w:rPr>
      </w:pPr>
      <w:r w:rsidRPr="00282AC9">
        <w:rPr>
          <w:rtl/>
        </w:rPr>
        <w:t>وبصرف النظر عن طبيعة الخمس ومستحق</w:t>
      </w:r>
      <w:r w:rsidR="008E3D79" w:rsidRPr="00282AC9">
        <w:rPr>
          <w:rFonts w:hint="cs"/>
          <w:rtl/>
        </w:rPr>
        <w:t>ّ</w:t>
      </w:r>
      <w:r w:rsidRPr="00282AC9">
        <w:rPr>
          <w:rtl/>
        </w:rPr>
        <w:t xml:space="preserve">ه يظهر من بعض الكلمات الآنفة توسيع مفهوم الغنيمة. </w:t>
      </w:r>
    </w:p>
    <w:p w:rsidR="00946A76" w:rsidRPr="00282AC9" w:rsidRDefault="008E3D79" w:rsidP="00235851">
      <w:pPr>
        <w:spacing w:line="418" w:lineRule="exact"/>
        <w:rPr>
          <w:rtl/>
        </w:rPr>
      </w:pPr>
      <w:r w:rsidRPr="00282AC9">
        <w:rPr>
          <w:rFonts w:hint="cs"/>
          <w:rtl/>
        </w:rPr>
        <w:t>و</w:t>
      </w:r>
      <w:r w:rsidR="00946A76" w:rsidRPr="00282AC9">
        <w:rPr>
          <w:rtl/>
        </w:rPr>
        <w:t>فص</w:t>
      </w:r>
      <w:r w:rsidRPr="00282AC9">
        <w:rPr>
          <w:rFonts w:hint="cs"/>
          <w:rtl/>
        </w:rPr>
        <w:t>ّ</w:t>
      </w:r>
      <w:r w:rsidR="00946A76" w:rsidRPr="00282AC9">
        <w:rPr>
          <w:rtl/>
        </w:rPr>
        <w:t>ل الهاشمي(2018م) القول في مفهوم الغنيمة، فرأى أن المفاد الأصلي</w:t>
      </w:r>
      <w:r w:rsidRPr="00282AC9">
        <w:rPr>
          <w:rFonts w:hint="cs"/>
          <w:rtl/>
        </w:rPr>
        <w:t>ّ</w:t>
      </w:r>
      <w:r w:rsidR="00946A76" w:rsidRPr="00282AC9">
        <w:rPr>
          <w:rtl/>
        </w:rPr>
        <w:t xml:space="preserve"> لماد</w:t>
      </w:r>
      <w:r w:rsidRPr="00282AC9">
        <w:rPr>
          <w:rFonts w:hint="cs"/>
          <w:rtl/>
        </w:rPr>
        <w:t>ّ</w:t>
      </w:r>
      <w:r w:rsidR="00946A76" w:rsidRPr="00282AC9">
        <w:rPr>
          <w:rtl/>
        </w:rPr>
        <w:t>ة الغنم إما هو خصوص المال الذي يفوز به الإنسان</w:t>
      </w:r>
      <w:r w:rsidRPr="00282AC9">
        <w:rPr>
          <w:rFonts w:hint="cs"/>
          <w:rtl/>
        </w:rPr>
        <w:t>،</w:t>
      </w:r>
      <w:r w:rsidR="00946A76" w:rsidRPr="00282AC9">
        <w:rPr>
          <w:rtl/>
        </w:rPr>
        <w:t xml:space="preserve"> ويظفر به من العدو</w:t>
      </w:r>
      <w:r w:rsidRPr="00282AC9">
        <w:rPr>
          <w:rFonts w:hint="cs"/>
          <w:rtl/>
        </w:rPr>
        <w:t>ّ،</w:t>
      </w:r>
      <w:r w:rsidR="00946A76" w:rsidRPr="00282AC9">
        <w:rPr>
          <w:rtl/>
        </w:rPr>
        <w:t xml:space="preserve"> بالغ</w:t>
      </w:r>
      <w:r w:rsidRPr="00282AC9">
        <w:rPr>
          <w:rFonts w:hint="cs"/>
          <w:rtl/>
        </w:rPr>
        <w:t>َ</w:t>
      </w:r>
      <w:r w:rsidR="00946A76" w:rsidRPr="00282AC9">
        <w:rPr>
          <w:rtl/>
        </w:rPr>
        <w:t>ل</w:t>
      </w:r>
      <w:r w:rsidRPr="00282AC9">
        <w:rPr>
          <w:rFonts w:hint="cs"/>
          <w:rtl/>
        </w:rPr>
        <w:t>َ</w:t>
      </w:r>
      <w:r w:rsidR="00946A76" w:rsidRPr="00282AC9">
        <w:rPr>
          <w:rtl/>
        </w:rPr>
        <w:t>بة والقو</w:t>
      </w:r>
      <w:r w:rsidRPr="00282AC9">
        <w:rPr>
          <w:rFonts w:hint="cs"/>
          <w:rtl/>
        </w:rPr>
        <w:t>ّ</w:t>
      </w:r>
      <w:r w:rsidR="00946A76" w:rsidRPr="00282AC9">
        <w:rPr>
          <w:rtl/>
        </w:rPr>
        <w:t>ة</w:t>
      </w:r>
      <w:r w:rsidRPr="00282AC9">
        <w:rPr>
          <w:rFonts w:hint="cs"/>
          <w:rtl/>
        </w:rPr>
        <w:t>،</w:t>
      </w:r>
      <w:r w:rsidR="00946A76" w:rsidRPr="00282AC9">
        <w:rPr>
          <w:rtl/>
        </w:rPr>
        <w:t xml:space="preserve"> وهو ما يختص</w:t>
      </w:r>
      <w:r w:rsidRPr="00282AC9">
        <w:rPr>
          <w:rFonts w:hint="cs"/>
          <w:rtl/>
        </w:rPr>
        <w:t>ّ</w:t>
      </w:r>
      <w:r w:rsidR="00946A76" w:rsidRPr="00282AC9">
        <w:rPr>
          <w:rtl/>
        </w:rPr>
        <w:t xml:space="preserve"> بغنائم الحرب</w:t>
      </w:r>
      <w:r w:rsidRPr="00282AC9">
        <w:rPr>
          <w:rFonts w:hint="cs"/>
          <w:rtl/>
        </w:rPr>
        <w:t xml:space="preserve">؛ </w:t>
      </w:r>
      <w:r w:rsidR="00946A76" w:rsidRPr="00282AC9">
        <w:rPr>
          <w:rtl/>
        </w:rPr>
        <w:t>أو هو الفائدة المطلقة الحاصلة مج</w:t>
      </w:r>
      <w:r w:rsidRPr="00282AC9">
        <w:rPr>
          <w:rFonts w:hint="cs"/>
          <w:rtl/>
        </w:rPr>
        <w:t>ّ</w:t>
      </w:r>
      <w:r w:rsidR="00946A76" w:rsidRPr="00282AC9">
        <w:rPr>
          <w:rtl/>
        </w:rPr>
        <w:t>انا</w:t>
      </w:r>
      <w:r w:rsidRPr="00282AC9">
        <w:rPr>
          <w:rFonts w:hint="cs"/>
          <w:rtl/>
        </w:rPr>
        <w:t>ً</w:t>
      </w:r>
      <w:r w:rsidR="00946A76" w:rsidRPr="00282AC9">
        <w:rPr>
          <w:rtl/>
        </w:rPr>
        <w:t xml:space="preserve"> بلا ترق</w:t>
      </w:r>
      <w:r w:rsidRPr="00282AC9">
        <w:rPr>
          <w:rFonts w:hint="cs"/>
          <w:rtl/>
        </w:rPr>
        <w:t>ُّ</w:t>
      </w:r>
      <w:r w:rsidR="00946A76" w:rsidRPr="00282AC9">
        <w:rPr>
          <w:rtl/>
        </w:rPr>
        <w:t>ب</w:t>
      </w:r>
      <w:r w:rsidRPr="00282AC9">
        <w:rPr>
          <w:rFonts w:hint="cs"/>
          <w:rtl/>
        </w:rPr>
        <w:t>ٍ</w:t>
      </w:r>
      <w:r w:rsidR="00946A76" w:rsidRPr="00282AC9">
        <w:rPr>
          <w:rtl/>
        </w:rPr>
        <w:t xml:space="preserve"> ولا ب</w:t>
      </w:r>
      <w:r w:rsidRPr="00282AC9">
        <w:rPr>
          <w:rFonts w:hint="cs"/>
          <w:rtl/>
        </w:rPr>
        <w:t>َ</w:t>
      </w:r>
      <w:r w:rsidR="00946A76" w:rsidRPr="00282AC9">
        <w:rPr>
          <w:rtl/>
        </w:rPr>
        <w:t>ذ</w:t>
      </w:r>
      <w:r w:rsidRPr="00282AC9">
        <w:rPr>
          <w:rFonts w:hint="cs"/>
          <w:rtl/>
        </w:rPr>
        <w:t>ْ</w:t>
      </w:r>
      <w:r w:rsidR="00946A76" w:rsidRPr="00282AC9">
        <w:rPr>
          <w:rtl/>
        </w:rPr>
        <w:t>ل</w:t>
      </w:r>
      <w:r w:rsidRPr="00282AC9">
        <w:rPr>
          <w:rFonts w:hint="cs"/>
          <w:rtl/>
        </w:rPr>
        <w:t>ِ</w:t>
      </w:r>
      <w:r w:rsidR="00946A76" w:rsidRPr="00282AC9">
        <w:rPr>
          <w:rtl/>
        </w:rPr>
        <w:t xml:space="preserve"> مال</w:t>
      </w:r>
      <w:r w:rsidRPr="00282AC9">
        <w:rPr>
          <w:rFonts w:hint="cs"/>
          <w:rtl/>
        </w:rPr>
        <w:t>ٍ</w:t>
      </w:r>
      <w:r w:rsidR="00946A76" w:rsidRPr="00282AC9">
        <w:rPr>
          <w:rtl/>
        </w:rPr>
        <w:t xml:space="preserve"> أو ج</w:t>
      </w:r>
      <w:r w:rsidRPr="00282AC9">
        <w:rPr>
          <w:rFonts w:hint="cs"/>
          <w:rtl/>
        </w:rPr>
        <w:t>ُ</w:t>
      </w:r>
      <w:r w:rsidR="00946A76" w:rsidRPr="00282AC9">
        <w:rPr>
          <w:rtl/>
        </w:rPr>
        <w:t>ه</w:t>
      </w:r>
      <w:r w:rsidRPr="00282AC9">
        <w:rPr>
          <w:rFonts w:hint="cs"/>
          <w:rtl/>
        </w:rPr>
        <w:t>ْ</w:t>
      </w:r>
      <w:r w:rsidR="00946A76" w:rsidRPr="00282AC9">
        <w:rPr>
          <w:rtl/>
        </w:rPr>
        <w:t>د</w:t>
      </w:r>
      <w:r w:rsidRPr="00282AC9">
        <w:rPr>
          <w:rFonts w:hint="cs"/>
          <w:rtl/>
        </w:rPr>
        <w:t>ٍ</w:t>
      </w:r>
      <w:r w:rsidR="00946A76" w:rsidRPr="00282AC9">
        <w:rPr>
          <w:rFonts w:hint="cs"/>
          <w:vertAlign w:val="superscript"/>
          <w:rtl/>
        </w:rPr>
        <w:t>(</w:t>
      </w:r>
      <w:r w:rsidR="00946A76" w:rsidRPr="00282AC9">
        <w:rPr>
          <w:rStyle w:val="af9"/>
          <w:sz w:val="27"/>
          <w:rtl/>
        </w:rPr>
        <w:endnoteReference w:id="472"/>
      </w:r>
      <w:r w:rsidR="00946A76" w:rsidRPr="00282AC9">
        <w:rPr>
          <w:rFonts w:hint="cs"/>
          <w:vertAlign w:val="superscript"/>
          <w:rtl/>
        </w:rPr>
        <w:t>)</w:t>
      </w:r>
      <w:r w:rsidR="00946A76" w:rsidRPr="00282AC9">
        <w:rPr>
          <w:rtl/>
        </w:rPr>
        <w:t>.</w:t>
      </w:r>
      <w:r w:rsidR="008211F6" w:rsidRPr="00282AC9">
        <w:rPr>
          <w:rFonts w:hint="cs"/>
          <w:rtl/>
        </w:rPr>
        <w:t xml:space="preserve"> </w:t>
      </w:r>
      <w:r w:rsidR="00946A76" w:rsidRPr="00282AC9">
        <w:rPr>
          <w:rtl/>
        </w:rPr>
        <w:t>وهذا المفهوم أوسع من الأو</w:t>
      </w:r>
      <w:r w:rsidRPr="00282AC9">
        <w:rPr>
          <w:rFonts w:hint="cs"/>
          <w:rtl/>
        </w:rPr>
        <w:t>ّ</w:t>
      </w:r>
      <w:r w:rsidR="00946A76" w:rsidRPr="00282AC9">
        <w:rPr>
          <w:rtl/>
        </w:rPr>
        <w:t>ل</w:t>
      </w:r>
      <w:r w:rsidR="008211F6" w:rsidRPr="00282AC9">
        <w:rPr>
          <w:rFonts w:hint="cs"/>
          <w:rtl/>
        </w:rPr>
        <w:t>؛</w:t>
      </w:r>
      <w:r w:rsidR="00946A76" w:rsidRPr="00282AC9">
        <w:rPr>
          <w:rtl/>
        </w:rPr>
        <w:t xml:space="preserve"> حيث يشمل الكنز والمعدن والغ</w:t>
      </w:r>
      <w:r w:rsidR="008211F6" w:rsidRPr="00282AC9">
        <w:rPr>
          <w:rFonts w:hint="cs"/>
          <w:rtl/>
        </w:rPr>
        <w:t>َ</w:t>
      </w:r>
      <w:r w:rsidR="00946A76" w:rsidRPr="00282AC9">
        <w:rPr>
          <w:rtl/>
        </w:rPr>
        <w:t>و</w:t>
      </w:r>
      <w:r w:rsidR="008211F6" w:rsidRPr="00282AC9">
        <w:rPr>
          <w:rFonts w:hint="cs"/>
          <w:rtl/>
        </w:rPr>
        <w:t>ْ</w:t>
      </w:r>
      <w:r w:rsidR="00946A76" w:rsidRPr="00282AC9">
        <w:rPr>
          <w:rtl/>
        </w:rPr>
        <w:t>ص والمال المطروح في الصحراء</w:t>
      </w:r>
      <w:r w:rsidR="008211F6" w:rsidRPr="00282AC9">
        <w:rPr>
          <w:rFonts w:hint="cs"/>
          <w:rtl/>
        </w:rPr>
        <w:t>،</w:t>
      </w:r>
      <w:r w:rsidR="00946A76" w:rsidRPr="00282AC9">
        <w:rPr>
          <w:rtl/>
        </w:rPr>
        <w:t xml:space="preserve"> بل يشمل كل</w:t>
      </w:r>
      <w:r w:rsidR="008211F6" w:rsidRPr="00282AC9">
        <w:rPr>
          <w:rFonts w:hint="cs"/>
          <w:rtl/>
        </w:rPr>
        <w:t>ّ</w:t>
      </w:r>
      <w:r w:rsidR="00946A76" w:rsidRPr="00282AC9">
        <w:rPr>
          <w:rtl/>
        </w:rPr>
        <w:t xml:space="preserve"> ما يستحصله ال</w:t>
      </w:r>
      <w:r w:rsidR="008211F6" w:rsidRPr="00282AC9">
        <w:rPr>
          <w:rFonts w:hint="cs"/>
          <w:rtl/>
        </w:rPr>
        <w:t>إ</w:t>
      </w:r>
      <w:r w:rsidR="00946A76" w:rsidRPr="00282AC9">
        <w:rPr>
          <w:rtl/>
        </w:rPr>
        <w:t>نسان مج</w:t>
      </w:r>
      <w:r w:rsidR="008211F6" w:rsidRPr="00282AC9">
        <w:rPr>
          <w:rFonts w:hint="cs"/>
          <w:rtl/>
        </w:rPr>
        <w:t>ّ</w:t>
      </w:r>
      <w:r w:rsidR="00946A76" w:rsidRPr="00282AC9">
        <w:rPr>
          <w:rtl/>
        </w:rPr>
        <w:t>انا</w:t>
      </w:r>
      <w:r w:rsidR="008211F6" w:rsidRPr="00282AC9">
        <w:rPr>
          <w:rFonts w:hint="cs"/>
          <w:rtl/>
        </w:rPr>
        <w:t>ً</w:t>
      </w:r>
      <w:r w:rsidR="00946A76" w:rsidRPr="00282AC9">
        <w:rPr>
          <w:rtl/>
        </w:rPr>
        <w:t xml:space="preserve"> من غير توق</w:t>
      </w:r>
      <w:r w:rsidR="008211F6" w:rsidRPr="00282AC9">
        <w:rPr>
          <w:rFonts w:hint="cs"/>
          <w:rtl/>
        </w:rPr>
        <w:t>ُّ</w:t>
      </w:r>
      <w:r w:rsidR="00946A76" w:rsidRPr="00282AC9">
        <w:rPr>
          <w:rtl/>
        </w:rPr>
        <w:t>ع</w:t>
      </w:r>
      <w:r w:rsidR="008211F6" w:rsidRPr="00282AC9">
        <w:rPr>
          <w:rFonts w:hint="cs"/>
          <w:rtl/>
        </w:rPr>
        <w:t>ٍ</w:t>
      </w:r>
      <w:r w:rsidR="00946A76" w:rsidRPr="00282AC9">
        <w:rPr>
          <w:rtl/>
        </w:rPr>
        <w:t xml:space="preserve"> له بح</w:t>
      </w:r>
      <w:r w:rsidR="008211F6" w:rsidRPr="00282AC9">
        <w:rPr>
          <w:rFonts w:hint="cs"/>
          <w:rtl/>
        </w:rPr>
        <w:t>َ</w:t>
      </w:r>
      <w:r w:rsidR="00946A76" w:rsidRPr="00282AC9">
        <w:rPr>
          <w:rtl/>
        </w:rPr>
        <w:t>س</w:t>
      </w:r>
      <w:r w:rsidR="008211F6" w:rsidRPr="00282AC9">
        <w:rPr>
          <w:rFonts w:hint="cs"/>
          <w:rtl/>
        </w:rPr>
        <w:t>َ</w:t>
      </w:r>
      <w:r w:rsidR="00946A76" w:rsidRPr="00282AC9">
        <w:rPr>
          <w:rtl/>
        </w:rPr>
        <w:t>ب الطريقة المتعارفة لاستحصال المال. ومن ثم</w:t>
      </w:r>
      <w:r w:rsidR="008211F6" w:rsidRPr="00282AC9">
        <w:rPr>
          <w:rFonts w:hint="cs"/>
          <w:rtl/>
        </w:rPr>
        <w:t>ّ</w:t>
      </w:r>
      <w:r w:rsidR="00946A76" w:rsidRPr="00282AC9">
        <w:rPr>
          <w:rtl/>
        </w:rPr>
        <w:t xml:space="preserve"> فهو لا يشمل أرباح المكاسب وما ي</w:t>
      </w:r>
      <w:r w:rsidR="008211F6" w:rsidRPr="00282AC9">
        <w:rPr>
          <w:rFonts w:hint="cs"/>
          <w:rtl/>
        </w:rPr>
        <w:t>ُ</w:t>
      </w:r>
      <w:r w:rsidR="00946A76" w:rsidRPr="00282AC9">
        <w:rPr>
          <w:rtl/>
        </w:rPr>
        <w:t>ستفاد بالطرق المتعارفة والمتوق</w:t>
      </w:r>
      <w:r w:rsidR="008211F6" w:rsidRPr="00282AC9">
        <w:rPr>
          <w:rFonts w:hint="cs"/>
          <w:rtl/>
        </w:rPr>
        <w:t>َّ</w:t>
      </w:r>
      <w:r w:rsidR="00946A76" w:rsidRPr="00282AC9">
        <w:rPr>
          <w:rtl/>
        </w:rPr>
        <w:t>عة</w:t>
      </w:r>
      <w:r w:rsidR="00946A76" w:rsidRPr="00282AC9">
        <w:rPr>
          <w:rFonts w:hint="cs"/>
          <w:vertAlign w:val="superscript"/>
          <w:rtl/>
        </w:rPr>
        <w:t>(</w:t>
      </w:r>
      <w:r w:rsidR="00946A76" w:rsidRPr="00282AC9">
        <w:rPr>
          <w:rStyle w:val="af9"/>
          <w:sz w:val="27"/>
          <w:rtl/>
        </w:rPr>
        <w:endnoteReference w:id="473"/>
      </w:r>
      <w:r w:rsidR="00946A76" w:rsidRPr="00282AC9">
        <w:rPr>
          <w:rFonts w:hint="cs"/>
          <w:vertAlign w:val="superscript"/>
          <w:rtl/>
        </w:rPr>
        <w:t>)</w:t>
      </w:r>
      <w:r w:rsidR="008211F6" w:rsidRPr="00282AC9">
        <w:rPr>
          <w:rFonts w:hint="cs"/>
          <w:rtl/>
        </w:rPr>
        <w:t>.</w:t>
      </w:r>
      <w:r w:rsidR="00946A76" w:rsidRPr="00282AC9">
        <w:rPr>
          <w:rFonts w:hint="cs"/>
          <w:rtl/>
        </w:rPr>
        <w:t xml:space="preserve"> </w:t>
      </w:r>
      <w:r w:rsidR="00946A76" w:rsidRPr="00282AC9">
        <w:rPr>
          <w:rtl/>
        </w:rPr>
        <w:t>وأك</w:t>
      </w:r>
      <w:r w:rsidR="008211F6" w:rsidRPr="00282AC9">
        <w:rPr>
          <w:rFonts w:hint="cs"/>
          <w:rtl/>
        </w:rPr>
        <w:t>َّ</w:t>
      </w:r>
      <w:r w:rsidR="00946A76" w:rsidRPr="00282AC9">
        <w:rPr>
          <w:rtl/>
        </w:rPr>
        <w:t>د على أن تتب</w:t>
      </w:r>
      <w:r w:rsidR="008211F6" w:rsidRPr="00282AC9">
        <w:rPr>
          <w:rFonts w:hint="cs"/>
          <w:rtl/>
        </w:rPr>
        <w:t>ُّ</w:t>
      </w:r>
      <w:r w:rsidR="00946A76" w:rsidRPr="00282AC9">
        <w:rPr>
          <w:rtl/>
        </w:rPr>
        <w:t>ع استعمالات مادة الغنم في الكتاب الكريم والأحاديث يدل</w:t>
      </w:r>
      <w:r w:rsidR="008211F6" w:rsidRPr="00282AC9">
        <w:rPr>
          <w:rFonts w:hint="cs"/>
          <w:rtl/>
        </w:rPr>
        <w:t>ّ</w:t>
      </w:r>
      <w:r w:rsidR="00946A76" w:rsidRPr="00282AC9">
        <w:rPr>
          <w:rtl/>
        </w:rPr>
        <w:t xml:space="preserve"> على شيوعها في المعنيين المذكورين أعلاه، ولهذا لا نحرز كون المعنى العام</w:t>
      </w:r>
      <w:r w:rsidR="008211F6" w:rsidRPr="00282AC9">
        <w:rPr>
          <w:rFonts w:hint="cs"/>
          <w:rtl/>
        </w:rPr>
        <w:t>ّ</w:t>
      </w:r>
      <w:r w:rsidR="00946A76" w:rsidRPr="00282AC9">
        <w:rPr>
          <w:rtl/>
        </w:rPr>
        <w:t xml:space="preserve"> هو المعنى الحقيقي للفظ</w:t>
      </w:r>
      <w:r w:rsidR="008211F6" w:rsidRPr="00282AC9">
        <w:rPr>
          <w:rFonts w:hint="cs"/>
          <w:rtl/>
        </w:rPr>
        <w:t>،</w:t>
      </w:r>
      <w:r w:rsidR="00946A76" w:rsidRPr="00282AC9">
        <w:rPr>
          <w:rtl/>
        </w:rPr>
        <w:t xml:space="preserve"> وبالتالي لا يصح</w:t>
      </w:r>
      <w:r w:rsidR="008211F6" w:rsidRPr="00282AC9">
        <w:rPr>
          <w:rFonts w:hint="cs"/>
          <w:rtl/>
        </w:rPr>
        <w:t>ّ</w:t>
      </w:r>
      <w:r w:rsidR="00946A76" w:rsidRPr="00282AC9">
        <w:rPr>
          <w:rtl/>
        </w:rPr>
        <w:t xml:space="preserve"> التمس</w:t>
      </w:r>
      <w:r w:rsidR="008211F6" w:rsidRPr="00282AC9">
        <w:rPr>
          <w:rFonts w:hint="cs"/>
          <w:rtl/>
        </w:rPr>
        <w:t>ُّ</w:t>
      </w:r>
      <w:r w:rsidR="00946A76" w:rsidRPr="00282AC9">
        <w:rPr>
          <w:rtl/>
        </w:rPr>
        <w:t>ك بال</w:t>
      </w:r>
      <w:r w:rsidR="008211F6" w:rsidRPr="00282AC9">
        <w:rPr>
          <w:rFonts w:hint="cs"/>
          <w:rtl/>
        </w:rPr>
        <w:t>إ</w:t>
      </w:r>
      <w:r w:rsidR="00946A76" w:rsidRPr="00282AC9">
        <w:rPr>
          <w:rtl/>
        </w:rPr>
        <w:t>طلاق المذكور</w:t>
      </w:r>
      <w:r w:rsidR="00946A76" w:rsidRPr="00282AC9">
        <w:rPr>
          <w:rFonts w:hint="cs"/>
          <w:vertAlign w:val="superscript"/>
          <w:rtl/>
        </w:rPr>
        <w:t>(</w:t>
      </w:r>
      <w:r w:rsidR="00946A76" w:rsidRPr="00282AC9">
        <w:rPr>
          <w:rStyle w:val="af9"/>
          <w:sz w:val="27"/>
          <w:rtl/>
        </w:rPr>
        <w:endnoteReference w:id="474"/>
      </w:r>
      <w:r w:rsidR="00946A76" w:rsidRPr="00282AC9">
        <w:rPr>
          <w:rFonts w:hint="cs"/>
          <w:vertAlign w:val="superscript"/>
          <w:rtl/>
        </w:rPr>
        <w:t>)</w:t>
      </w:r>
      <w:r w:rsidR="008211F6" w:rsidRPr="00282AC9">
        <w:rPr>
          <w:rFonts w:hint="cs"/>
          <w:rtl/>
        </w:rPr>
        <w:t>.</w:t>
      </w:r>
      <w:r w:rsidR="00946A76" w:rsidRPr="00282AC9">
        <w:rPr>
          <w:rFonts w:hint="cs"/>
          <w:rtl/>
        </w:rPr>
        <w:t xml:space="preserve"> </w:t>
      </w:r>
      <w:r w:rsidR="00946A76" w:rsidRPr="00282AC9">
        <w:rPr>
          <w:rtl/>
        </w:rPr>
        <w:t>وح</w:t>
      </w:r>
      <w:r w:rsidR="008211F6" w:rsidRPr="00282AC9">
        <w:rPr>
          <w:rFonts w:hint="cs"/>
          <w:rtl/>
        </w:rPr>
        <w:t>َ</w:t>
      </w:r>
      <w:r w:rsidR="00946A76" w:rsidRPr="00282AC9">
        <w:rPr>
          <w:rtl/>
        </w:rPr>
        <w:t>س</w:t>
      </w:r>
      <w:r w:rsidR="008211F6" w:rsidRPr="00282AC9">
        <w:rPr>
          <w:rFonts w:hint="cs"/>
          <w:rtl/>
        </w:rPr>
        <w:t>ْ</w:t>
      </w:r>
      <w:r w:rsidR="00946A76" w:rsidRPr="00282AC9">
        <w:rPr>
          <w:rtl/>
        </w:rPr>
        <w:t>ب رأيه، لوكان المعنى العام</w:t>
      </w:r>
      <w:r w:rsidR="008211F6" w:rsidRPr="00282AC9">
        <w:rPr>
          <w:rFonts w:hint="cs"/>
          <w:rtl/>
        </w:rPr>
        <w:t>ّ</w:t>
      </w:r>
      <w:r w:rsidR="00946A76" w:rsidRPr="00282AC9">
        <w:rPr>
          <w:rtl/>
        </w:rPr>
        <w:t xml:space="preserve"> هو معنى اللفظ لظهر في صدر ال</w:t>
      </w:r>
      <w:r w:rsidR="008211F6" w:rsidRPr="00282AC9">
        <w:rPr>
          <w:rFonts w:hint="cs"/>
          <w:rtl/>
        </w:rPr>
        <w:t>إ</w:t>
      </w:r>
      <w:r w:rsidR="00946A76" w:rsidRPr="00282AC9">
        <w:rPr>
          <w:rtl/>
        </w:rPr>
        <w:t>سلام وفي زمن النبي</w:t>
      </w:r>
      <w:r w:rsidR="008211F6" w:rsidRPr="00282AC9">
        <w:rPr>
          <w:rFonts w:hint="cs"/>
          <w:rtl/>
        </w:rPr>
        <w:t>ّ</w:t>
      </w:r>
      <w:r w:rsidR="009A2A04" w:rsidRPr="00282AC9">
        <w:rPr>
          <w:rFonts w:cs="Mosawi"/>
          <w:sz w:val="22"/>
          <w:szCs w:val="22"/>
          <w:rtl/>
        </w:rPr>
        <w:t>|</w:t>
      </w:r>
      <w:r w:rsidR="008211F6" w:rsidRPr="00282AC9">
        <w:rPr>
          <w:rFonts w:hint="cs"/>
          <w:rtl/>
        </w:rPr>
        <w:t>،</w:t>
      </w:r>
      <w:r w:rsidR="00946A76" w:rsidRPr="00282AC9">
        <w:rPr>
          <w:rtl/>
        </w:rPr>
        <w:t xml:space="preserve"> ولتمس</w:t>
      </w:r>
      <w:r w:rsidR="008211F6" w:rsidRPr="00282AC9">
        <w:rPr>
          <w:rFonts w:hint="cs"/>
          <w:rtl/>
        </w:rPr>
        <w:t>َّ</w:t>
      </w:r>
      <w:r w:rsidR="00946A76" w:rsidRPr="00282AC9">
        <w:rPr>
          <w:rtl/>
        </w:rPr>
        <w:t>ك به الخلفاء بعده</w:t>
      </w:r>
      <w:r w:rsidR="001E2B3C" w:rsidRPr="00282AC9">
        <w:rPr>
          <w:rFonts w:hint="cs"/>
          <w:rtl/>
        </w:rPr>
        <w:t>؛</w:t>
      </w:r>
      <w:r w:rsidR="00946A76" w:rsidRPr="00282AC9">
        <w:rPr>
          <w:rtl/>
        </w:rPr>
        <w:t xml:space="preserve"> لف</w:t>
      </w:r>
      <w:r w:rsidR="001E2B3C" w:rsidRPr="00282AC9">
        <w:rPr>
          <w:rFonts w:hint="cs"/>
          <w:rtl/>
        </w:rPr>
        <w:t>َ</w:t>
      </w:r>
      <w:r w:rsidR="00946A76" w:rsidRPr="00282AC9">
        <w:rPr>
          <w:rtl/>
        </w:rPr>
        <w:t>ر</w:t>
      </w:r>
      <w:r w:rsidR="001E2B3C" w:rsidRPr="00282AC9">
        <w:rPr>
          <w:rFonts w:hint="cs"/>
          <w:rtl/>
        </w:rPr>
        <w:t>ْ</w:t>
      </w:r>
      <w:r w:rsidR="00946A76" w:rsidRPr="00282AC9">
        <w:rPr>
          <w:rtl/>
        </w:rPr>
        <w:t>ض الخ</w:t>
      </w:r>
      <w:r w:rsidR="001E2B3C" w:rsidRPr="00282AC9">
        <w:rPr>
          <w:rFonts w:hint="cs"/>
          <w:rtl/>
        </w:rPr>
        <w:t>ُ</w:t>
      </w:r>
      <w:r w:rsidR="00946A76" w:rsidRPr="00282AC9">
        <w:rPr>
          <w:rtl/>
        </w:rPr>
        <w:t>م</w:t>
      </w:r>
      <w:r w:rsidR="001E2B3C" w:rsidRPr="00282AC9">
        <w:rPr>
          <w:rFonts w:hint="cs"/>
          <w:rtl/>
        </w:rPr>
        <w:t>ْ</w:t>
      </w:r>
      <w:r w:rsidR="00946A76" w:rsidRPr="00282AC9">
        <w:rPr>
          <w:rtl/>
        </w:rPr>
        <w:t>س على مطلق الفوائد</w:t>
      </w:r>
      <w:r w:rsidR="001E2B3C" w:rsidRPr="00282AC9">
        <w:rPr>
          <w:rFonts w:hint="cs"/>
          <w:rtl/>
        </w:rPr>
        <w:t>،</w:t>
      </w:r>
      <w:r w:rsidR="00946A76" w:rsidRPr="00282AC9">
        <w:rPr>
          <w:rtl/>
        </w:rPr>
        <w:t xml:space="preserve"> وجبايتها لمصلحتهم</w:t>
      </w:r>
      <w:r w:rsidR="00946A76" w:rsidRPr="00282AC9">
        <w:rPr>
          <w:rFonts w:hint="cs"/>
          <w:vertAlign w:val="superscript"/>
          <w:rtl/>
        </w:rPr>
        <w:t>(</w:t>
      </w:r>
      <w:r w:rsidR="00946A76" w:rsidRPr="00282AC9">
        <w:rPr>
          <w:rStyle w:val="af9"/>
          <w:sz w:val="27"/>
          <w:rtl/>
        </w:rPr>
        <w:endnoteReference w:id="475"/>
      </w:r>
      <w:r w:rsidR="00946A76" w:rsidRPr="00282AC9">
        <w:rPr>
          <w:rFonts w:hint="cs"/>
          <w:vertAlign w:val="superscript"/>
          <w:rtl/>
        </w:rPr>
        <w:t>)</w:t>
      </w:r>
      <w:r w:rsidR="001E2B3C" w:rsidRPr="00282AC9">
        <w:rPr>
          <w:rFonts w:hint="cs"/>
          <w:rtl/>
        </w:rPr>
        <w:t>.</w:t>
      </w:r>
      <w:r w:rsidR="00946A76" w:rsidRPr="00282AC9">
        <w:rPr>
          <w:rFonts w:hint="cs"/>
          <w:rtl/>
        </w:rPr>
        <w:t xml:space="preserve"> </w:t>
      </w:r>
      <w:r w:rsidR="00946A76" w:rsidRPr="00282AC9">
        <w:rPr>
          <w:rtl/>
        </w:rPr>
        <w:t>فكيف لم يلتفت أحد</w:t>
      </w:r>
      <w:r w:rsidR="001E2B3C" w:rsidRPr="00282AC9">
        <w:rPr>
          <w:rFonts w:hint="cs"/>
          <w:rtl/>
        </w:rPr>
        <w:t>ٌ</w:t>
      </w:r>
      <w:r w:rsidR="00946A76" w:rsidRPr="00282AC9">
        <w:rPr>
          <w:rtl/>
        </w:rPr>
        <w:t xml:space="preserve"> منهم </w:t>
      </w:r>
      <w:r w:rsidR="001E2B3C" w:rsidRPr="00282AC9">
        <w:rPr>
          <w:rFonts w:hint="cs"/>
          <w:rtl/>
        </w:rPr>
        <w:t>إ</w:t>
      </w:r>
      <w:r w:rsidR="00946A76" w:rsidRPr="00282AC9">
        <w:rPr>
          <w:rtl/>
        </w:rPr>
        <w:t>لى ذلك</w:t>
      </w:r>
      <w:r w:rsidR="001E2B3C" w:rsidRPr="00282AC9">
        <w:rPr>
          <w:rFonts w:hint="cs"/>
          <w:rtl/>
        </w:rPr>
        <w:t>،</w:t>
      </w:r>
      <w:r w:rsidR="00946A76" w:rsidRPr="00282AC9">
        <w:rPr>
          <w:rtl/>
        </w:rPr>
        <w:t xml:space="preserve"> ولم ينعكس في التاريخ</w:t>
      </w:r>
      <w:r w:rsidR="001E2B3C" w:rsidRPr="00282AC9">
        <w:rPr>
          <w:rFonts w:hint="cs"/>
          <w:rtl/>
        </w:rPr>
        <w:t>،</w:t>
      </w:r>
      <w:r w:rsidR="00946A76" w:rsidRPr="00282AC9">
        <w:rPr>
          <w:rtl/>
        </w:rPr>
        <w:t xml:space="preserve"> ولا كتب الفقه</w:t>
      </w:r>
      <w:r w:rsidR="001E2B3C" w:rsidRPr="00282AC9">
        <w:rPr>
          <w:rFonts w:hint="cs"/>
          <w:rtl/>
        </w:rPr>
        <w:t>،</w:t>
      </w:r>
      <w:r w:rsidR="00946A76" w:rsidRPr="00282AC9">
        <w:rPr>
          <w:rtl/>
        </w:rPr>
        <w:t xml:space="preserve"> بل ولا كتب الحديث</w:t>
      </w:r>
      <w:r w:rsidR="001E2B3C" w:rsidRPr="00282AC9">
        <w:rPr>
          <w:rFonts w:hint="cs"/>
          <w:rtl/>
        </w:rPr>
        <w:t>،</w:t>
      </w:r>
      <w:r w:rsidR="00946A76" w:rsidRPr="00282AC9">
        <w:rPr>
          <w:rtl/>
        </w:rPr>
        <w:t xml:space="preserve"> للعام</w:t>
      </w:r>
      <w:r w:rsidR="001E2B3C" w:rsidRPr="00282AC9">
        <w:rPr>
          <w:rFonts w:hint="cs"/>
          <w:rtl/>
        </w:rPr>
        <w:t>ّ</w:t>
      </w:r>
      <w:r w:rsidR="00946A76" w:rsidRPr="00282AC9">
        <w:rPr>
          <w:rtl/>
        </w:rPr>
        <w:t>ة والخاصة</w:t>
      </w:r>
      <w:r w:rsidR="001E2B3C" w:rsidRPr="00282AC9">
        <w:rPr>
          <w:rFonts w:hint="cs"/>
          <w:rtl/>
        </w:rPr>
        <w:t>؟!</w:t>
      </w:r>
      <w:r w:rsidR="00946A76" w:rsidRPr="00282AC9">
        <w:rPr>
          <w:rFonts w:hint="cs"/>
          <w:vertAlign w:val="superscript"/>
          <w:rtl/>
        </w:rPr>
        <w:t>(</w:t>
      </w:r>
      <w:r w:rsidR="00946A76" w:rsidRPr="00282AC9">
        <w:rPr>
          <w:rStyle w:val="af9"/>
          <w:sz w:val="27"/>
          <w:rtl/>
        </w:rPr>
        <w:endnoteReference w:id="476"/>
      </w:r>
      <w:r w:rsidR="00946A76" w:rsidRPr="00282AC9">
        <w:rPr>
          <w:rFonts w:hint="cs"/>
          <w:vertAlign w:val="superscript"/>
          <w:rtl/>
        </w:rPr>
        <w:t>)</w:t>
      </w:r>
      <w:r w:rsidR="00946A76" w:rsidRPr="00282AC9">
        <w:rPr>
          <w:rFonts w:hint="cs"/>
          <w:rtl/>
        </w:rPr>
        <w:t>.</w:t>
      </w:r>
    </w:p>
    <w:p w:rsidR="00946A76" w:rsidRPr="00282AC9" w:rsidRDefault="00946A76" w:rsidP="00235851">
      <w:pPr>
        <w:spacing w:line="418" w:lineRule="exact"/>
        <w:rPr>
          <w:rtl/>
        </w:rPr>
      </w:pPr>
      <w:r w:rsidRPr="00282AC9">
        <w:rPr>
          <w:rtl/>
        </w:rPr>
        <w:t>وهو رأي</w:t>
      </w:r>
      <w:r w:rsidR="001E2B3C" w:rsidRPr="00282AC9">
        <w:rPr>
          <w:rFonts w:hint="cs"/>
          <w:rtl/>
        </w:rPr>
        <w:t>ٌ</w:t>
      </w:r>
      <w:r w:rsidRPr="00282AC9">
        <w:rPr>
          <w:rtl/>
        </w:rPr>
        <w:t xml:space="preserve"> يتوس</w:t>
      </w:r>
      <w:r w:rsidR="001E2B3C" w:rsidRPr="00282AC9">
        <w:rPr>
          <w:rFonts w:hint="cs"/>
          <w:rtl/>
        </w:rPr>
        <w:t>َّ</w:t>
      </w:r>
      <w:r w:rsidRPr="00282AC9">
        <w:rPr>
          <w:rtl/>
        </w:rPr>
        <w:t>ط بين رأيين</w:t>
      </w:r>
      <w:r w:rsidR="001E2B3C" w:rsidRPr="00282AC9">
        <w:rPr>
          <w:rFonts w:hint="cs"/>
          <w:rtl/>
        </w:rPr>
        <w:t>؛</w:t>
      </w:r>
      <w:r w:rsidRPr="00282AC9">
        <w:rPr>
          <w:rtl/>
        </w:rPr>
        <w:t xml:space="preserve"> فهو يت</w:t>
      </w:r>
      <w:r w:rsidR="001E2B3C" w:rsidRPr="00282AC9">
        <w:rPr>
          <w:rFonts w:hint="cs"/>
          <w:rtl/>
        </w:rPr>
        <w:t>ّ</w:t>
      </w:r>
      <w:r w:rsidRPr="00282AC9">
        <w:rPr>
          <w:rtl/>
        </w:rPr>
        <w:t>فق مع الات</w:t>
      </w:r>
      <w:r w:rsidR="001E2B3C" w:rsidRPr="00282AC9">
        <w:rPr>
          <w:rFonts w:hint="cs"/>
          <w:rtl/>
        </w:rPr>
        <w:t>ّ</w:t>
      </w:r>
      <w:r w:rsidRPr="00282AC9">
        <w:rPr>
          <w:rtl/>
        </w:rPr>
        <w:t>جاه الأو</w:t>
      </w:r>
      <w:r w:rsidR="001E2B3C" w:rsidRPr="00282AC9">
        <w:rPr>
          <w:rFonts w:hint="cs"/>
          <w:rtl/>
        </w:rPr>
        <w:t>ّ</w:t>
      </w:r>
      <w:r w:rsidRPr="00282AC9">
        <w:rPr>
          <w:rtl/>
        </w:rPr>
        <w:t>ل في تضييق مفهوم الغنيمة في الآية، غير أنه يوس</w:t>
      </w:r>
      <w:r w:rsidR="001E2B3C" w:rsidRPr="00282AC9">
        <w:rPr>
          <w:rFonts w:hint="cs"/>
          <w:rtl/>
        </w:rPr>
        <w:t>ِّ</w:t>
      </w:r>
      <w:r w:rsidRPr="00282AC9">
        <w:rPr>
          <w:rtl/>
        </w:rPr>
        <w:t>ع مصاديقه</w:t>
      </w:r>
      <w:r w:rsidR="001E2B3C" w:rsidRPr="00282AC9">
        <w:rPr>
          <w:rFonts w:hint="cs"/>
          <w:rtl/>
        </w:rPr>
        <w:t>،</w:t>
      </w:r>
      <w:r w:rsidRPr="00282AC9">
        <w:rPr>
          <w:rtl/>
        </w:rPr>
        <w:t xml:space="preserve"> لتشمل أمورا</w:t>
      </w:r>
      <w:r w:rsidR="001E2B3C" w:rsidRPr="00282AC9">
        <w:rPr>
          <w:rFonts w:hint="cs"/>
          <w:rtl/>
        </w:rPr>
        <w:t>ً</w:t>
      </w:r>
      <w:r w:rsidRPr="00282AC9">
        <w:rPr>
          <w:rtl/>
        </w:rPr>
        <w:t xml:space="preserve"> أخرى</w:t>
      </w:r>
      <w:r w:rsidR="001E2B3C" w:rsidRPr="00282AC9">
        <w:rPr>
          <w:rFonts w:hint="cs"/>
          <w:rtl/>
        </w:rPr>
        <w:t>،</w:t>
      </w:r>
      <w:r w:rsidRPr="00282AC9">
        <w:rPr>
          <w:rtl/>
        </w:rPr>
        <w:t xml:space="preserve"> لا تق</w:t>
      </w:r>
      <w:r w:rsidR="001E2B3C" w:rsidRPr="00282AC9">
        <w:rPr>
          <w:rFonts w:hint="cs"/>
          <w:rtl/>
        </w:rPr>
        <w:t>ت</w:t>
      </w:r>
      <w:r w:rsidRPr="00282AC9">
        <w:rPr>
          <w:rtl/>
        </w:rPr>
        <w:t>صر على ما يظفر به في الحرب</w:t>
      </w:r>
      <w:r w:rsidRPr="00282AC9">
        <w:rPr>
          <w:rFonts w:hint="cs"/>
          <w:rtl/>
        </w:rPr>
        <w:t>.</w:t>
      </w:r>
    </w:p>
    <w:p w:rsidR="00946A76" w:rsidRPr="00282AC9" w:rsidRDefault="00946A76" w:rsidP="00B70E1F">
      <w:pPr>
        <w:pStyle w:val="31"/>
        <w:rPr>
          <w:color w:val="auto"/>
          <w:rtl/>
        </w:rPr>
      </w:pPr>
      <w:r w:rsidRPr="00282AC9">
        <w:rPr>
          <w:color w:val="auto"/>
          <w:rtl/>
        </w:rPr>
        <w:lastRenderedPageBreak/>
        <w:t>ال</w:t>
      </w:r>
      <w:r w:rsidRPr="00282AC9">
        <w:rPr>
          <w:rFonts w:hint="cs"/>
          <w:color w:val="auto"/>
          <w:rtl/>
        </w:rPr>
        <w:t>ا</w:t>
      </w:r>
      <w:r w:rsidRPr="00282AC9">
        <w:rPr>
          <w:color w:val="auto"/>
          <w:rtl/>
        </w:rPr>
        <w:t>تجاه الموس</w:t>
      </w:r>
      <w:r w:rsidR="001E2B3C" w:rsidRPr="00282AC9">
        <w:rPr>
          <w:rFonts w:hint="cs"/>
          <w:color w:val="auto"/>
          <w:rtl/>
        </w:rPr>
        <w:t>ّ</w:t>
      </w:r>
      <w:r w:rsidRPr="00282AC9">
        <w:rPr>
          <w:color w:val="auto"/>
          <w:rtl/>
        </w:rPr>
        <w:t>ع</w:t>
      </w:r>
    </w:p>
    <w:p w:rsidR="001E2B3C" w:rsidRPr="00282AC9" w:rsidRDefault="00946A76" w:rsidP="00235851">
      <w:pPr>
        <w:spacing w:line="410" w:lineRule="exact"/>
        <w:rPr>
          <w:rtl/>
        </w:rPr>
      </w:pPr>
      <w:r w:rsidRPr="00282AC9">
        <w:rPr>
          <w:rtl/>
        </w:rPr>
        <w:t>أما الموقف الفقهي</w:t>
      </w:r>
      <w:r w:rsidR="001E2B3C" w:rsidRPr="00282AC9">
        <w:rPr>
          <w:rFonts w:hint="cs"/>
          <w:rtl/>
        </w:rPr>
        <w:t>ّ</w:t>
      </w:r>
      <w:r w:rsidRPr="00282AC9">
        <w:rPr>
          <w:rtl/>
        </w:rPr>
        <w:t xml:space="preserve"> ح</w:t>
      </w:r>
      <w:r w:rsidR="001E2B3C" w:rsidRPr="00282AC9">
        <w:rPr>
          <w:rFonts w:hint="cs"/>
          <w:rtl/>
        </w:rPr>
        <w:t>َ</w:t>
      </w:r>
      <w:r w:rsidRPr="00282AC9">
        <w:rPr>
          <w:rtl/>
        </w:rPr>
        <w:t>س</w:t>
      </w:r>
      <w:r w:rsidR="001E2B3C" w:rsidRPr="00282AC9">
        <w:rPr>
          <w:rFonts w:hint="cs"/>
          <w:rtl/>
        </w:rPr>
        <w:t>ْ</w:t>
      </w:r>
      <w:r w:rsidRPr="00282AC9">
        <w:rPr>
          <w:rtl/>
        </w:rPr>
        <w:t>ب هذا الات</w:t>
      </w:r>
      <w:r w:rsidR="001E2B3C" w:rsidRPr="00282AC9">
        <w:rPr>
          <w:rFonts w:hint="cs"/>
          <w:rtl/>
        </w:rPr>
        <w:t>ّ</w:t>
      </w:r>
      <w:r w:rsidRPr="00282AC9">
        <w:rPr>
          <w:rtl/>
        </w:rPr>
        <w:t>جاه فقد صر</w:t>
      </w:r>
      <w:r w:rsidR="001E2B3C" w:rsidRPr="00282AC9">
        <w:rPr>
          <w:rFonts w:hint="cs"/>
          <w:rtl/>
        </w:rPr>
        <w:t>َّ</w:t>
      </w:r>
      <w:r w:rsidRPr="00282AC9">
        <w:rPr>
          <w:rtl/>
        </w:rPr>
        <w:t>ح جمع</w:t>
      </w:r>
      <w:r w:rsidR="001E2B3C" w:rsidRPr="00282AC9">
        <w:rPr>
          <w:rFonts w:hint="cs"/>
          <w:rtl/>
        </w:rPr>
        <w:t>ٌ</w:t>
      </w:r>
      <w:r w:rsidRPr="00282AC9">
        <w:rPr>
          <w:rtl/>
        </w:rPr>
        <w:t xml:space="preserve"> من الفقهاء منذ الق</w:t>
      </w:r>
      <w:r w:rsidR="001E2B3C" w:rsidRPr="00282AC9">
        <w:rPr>
          <w:rFonts w:hint="cs"/>
          <w:rtl/>
        </w:rPr>
        <w:t>ِ</w:t>
      </w:r>
      <w:r w:rsidRPr="00282AC9">
        <w:rPr>
          <w:rtl/>
        </w:rPr>
        <w:t>د</w:t>
      </w:r>
      <w:r w:rsidR="001E2B3C" w:rsidRPr="00282AC9">
        <w:rPr>
          <w:rFonts w:hint="cs"/>
          <w:rtl/>
        </w:rPr>
        <w:t>َ</w:t>
      </w:r>
      <w:r w:rsidRPr="00282AC9">
        <w:rPr>
          <w:rtl/>
        </w:rPr>
        <w:t>م بعموم الغنيمة</w:t>
      </w:r>
      <w:r w:rsidR="001E2B3C" w:rsidRPr="00282AC9">
        <w:rPr>
          <w:rFonts w:hint="cs"/>
          <w:rtl/>
        </w:rPr>
        <w:t>،</w:t>
      </w:r>
      <w:r w:rsidRPr="00282AC9">
        <w:rPr>
          <w:rtl/>
        </w:rPr>
        <w:t xml:space="preserve"> وعدم اختصاصها بغنائم دار الحرب</w:t>
      </w:r>
      <w:r w:rsidR="001E2B3C" w:rsidRPr="00282AC9">
        <w:rPr>
          <w:rFonts w:hint="cs"/>
          <w:rtl/>
        </w:rPr>
        <w:t>.</w:t>
      </w:r>
    </w:p>
    <w:p w:rsidR="00946A76" w:rsidRPr="00282AC9" w:rsidRDefault="00946A76" w:rsidP="00186251">
      <w:pPr>
        <w:rPr>
          <w:rtl/>
        </w:rPr>
      </w:pPr>
      <w:r w:rsidRPr="00282AC9">
        <w:rPr>
          <w:rtl/>
        </w:rPr>
        <w:t>قال الصدوق(381</w:t>
      </w:r>
      <w:r w:rsidRPr="00282AC9">
        <w:rPr>
          <w:rFonts w:hint="cs"/>
          <w:rtl/>
        </w:rPr>
        <w:t>هـ</w:t>
      </w:r>
      <w:r w:rsidRPr="00282AC9">
        <w:rPr>
          <w:rtl/>
        </w:rPr>
        <w:t>): كل</w:t>
      </w:r>
      <w:r w:rsidR="001E2B3C" w:rsidRPr="00282AC9">
        <w:rPr>
          <w:rFonts w:hint="cs"/>
          <w:rtl/>
        </w:rPr>
        <w:t>ّ</w:t>
      </w:r>
      <w:r w:rsidRPr="00282AC9">
        <w:rPr>
          <w:rtl/>
        </w:rPr>
        <w:t xml:space="preserve"> شي</w:t>
      </w:r>
      <w:r w:rsidR="001E2B3C" w:rsidRPr="00282AC9">
        <w:rPr>
          <w:rFonts w:hint="cs"/>
          <w:rtl/>
        </w:rPr>
        <w:t>ءٍ</w:t>
      </w:r>
      <w:r w:rsidRPr="00282AC9">
        <w:rPr>
          <w:rtl/>
        </w:rPr>
        <w:t xml:space="preserve"> تبلغ قيمته دينارا</w:t>
      </w:r>
      <w:r w:rsidR="001E2B3C" w:rsidRPr="00282AC9">
        <w:rPr>
          <w:rFonts w:hint="cs"/>
          <w:rtl/>
        </w:rPr>
        <w:t>ً</w:t>
      </w:r>
      <w:r w:rsidRPr="00282AC9">
        <w:rPr>
          <w:rtl/>
        </w:rPr>
        <w:t xml:space="preserve"> ففيه الخمس لله ولرسوله ولذي القربى واليتامى والمساكين وابن السبيل</w:t>
      </w:r>
      <w:r w:rsidRPr="00282AC9">
        <w:rPr>
          <w:rFonts w:hint="cs"/>
          <w:vertAlign w:val="superscript"/>
          <w:rtl/>
        </w:rPr>
        <w:t>(</w:t>
      </w:r>
      <w:r w:rsidRPr="00282AC9">
        <w:rPr>
          <w:rStyle w:val="af9"/>
          <w:sz w:val="27"/>
          <w:rtl/>
        </w:rPr>
        <w:endnoteReference w:id="477"/>
      </w:r>
      <w:r w:rsidRPr="00282AC9">
        <w:rPr>
          <w:rFonts w:hint="cs"/>
          <w:vertAlign w:val="superscript"/>
          <w:rtl/>
        </w:rPr>
        <w:t>)</w:t>
      </w:r>
      <w:r w:rsidRPr="00282AC9">
        <w:rPr>
          <w:rtl/>
        </w:rPr>
        <w:t>.</w:t>
      </w:r>
      <w:r w:rsidRPr="00282AC9">
        <w:rPr>
          <w:rFonts w:hint="cs"/>
          <w:rtl/>
        </w:rPr>
        <w:t xml:space="preserve"> </w:t>
      </w:r>
      <w:r w:rsidR="00F044D6" w:rsidRPr="00282AC9">
        <w:rPr>
          <w:rFonts w:hint="cs"/>
          <w:rtl/>
        </w:rPr>
        <w:t>ولكنّ</w:t>
      </w:r>
      <w:r w:rsidRPr="00282AC9">
        <w:rPr>
          <w:rtl/>
        </w:rPr>
        <w:t xml:space="preserve"> في عبارته نوع</w:t>
      </w:r>
      <w:r w:rsidR="00F044D6" w:rsidRPr="00282AC9">
        <w:rPr>
          <w:rFonts w:hint="cs"/>
          <w:rtl/>
        </w:rPr>
        <w:t>َ</w:t>
      </w:r>
      <w:r w:rsidRPr="00282AC9">
        <w:rPr>
          <w:rtl/>
        </w:rPr>
        <w:t xml:space="preserve"> إجمال</w:t>
      </w:r>
      <w:r w:rsidR="00F044D6" w:rsidRPr="00282AC9">
        <w:rPr>
          <w:rFonts w:hint="cs"/>
          <w:rtl/>
        </w:rPr>
        <w:t>ٍ</w:t>
      </w:r>
      <w:r w:rsidRPr="00282AC9">
        <w:rPr>
          <w:rtl/>
        </w:rPr>
        <w:t xml:space="preserve">. </w:t>
      </w:r>
    </w:p>
    <w:p w:rsidR="00F044D6" w:rsidRPr="00282AC9" w:rsidRDefault="00946A76" w:rsidP="00186251">
      <w:pPr>
        <w:rPr>
          <w:rtl/>
        </w:rPr>
      </w:pPr>
      <w:r w:rsidRPr="00282AC9">
        <w:rPr>
          <w:rtl/>
        </w:rPr>
        <w:t>وقال المفيد(413</w:t>
      </w:r>
      <w:r w:rsidRPr="00282AC9">
        <w:rPr>
          <w:rFonts w:hint="cs"/>
          <w:rtl/>
        </w:rPr>
        <w:t>هـ</w:t>
      </w:r>
      <w:r w:rsidRPr="00282AC9">
        <w:rPr>
          <w:rtl/>
        </w:rPr>
        <w:t>): والخمس واجب</w:t>
      </w:r>
      <w:r w:rsidR="00F044D6" w:rsidRPr="00282AC9">
        <w:rPr>
          <w:rFonts w:hint="cs"/>
          <w:rtl/>
        </w:rPr>
        <w:t>ٌ</w:t>
      </w:r>
      <w:r w:rsidRPr="00282AC9">
        <w:rPr>
          <w:rtl/>
        </w:rPr>
        <w:t xml:space="preserve"> في كل</w:t>
      </w:r>
      <w:r w:rsidR="00F044D6" w:rsidRPr="00282AC9">
        <w:rPr>
          <w:rFonts w:hint="cs"/>
          <w:rtl/>
        </w:rPr>
        <w:t>ّ</w:t>
      </w:r>
      <w:r w:rsidRPr="00282AC9">
        <w:rPr>
          <w:rtl/>
        </w:rPr>
        <w:t xml:space="preserve"> مغنم</w:t>
      </w:r>
      <w:r w:rsidR="00F044D6" w:rsidRPr="00282AC9">
        <w:rPr>
          <w:rFonts w:hint="cs"/>
          <w:rtl/>
        </w:rPr>
        <w:t>ٍ</w:t>
      </w:r>
      <w:r w:rsidRPr="00282AC9">
        <w:rPr>
          <w:rtl/>
        </w:rPr>
        <w:t>، قال الله عز</w:t>
      </w:r>
      <w:r w:rsidR="00F044D6" w:rsidRPr="00282AC9">
        <w:rPr>
          <w:rFonts w:hint="cs"/>
          <w:rtl/>
        </w:rPr>
        <w:t>َّ</w:t>
      </w:r>
      <w:r w:rsidRPr="00282AC9">
        <w:rPr>
          <w:rtl/>
        </w:rPr>
        <w:t xml:space="preserve"> وجل</w:t>
      </w:r>
      <w:r w:rsidR="00F044D6" w:rsidRPr="00282AC9">
        <w:rPr>
          <w:rFonts w:hint="cs"/>
          <w:rtl/>
        </w:rPr>
        <w:t>َّ:</w:t>
      </w:r>
      <w:r w:rsidRPr="00282AC9">
        <w:rPr>
          <w:rtl/>
        </w:rPr>
        <w:t xml:space="preserve"> </w:t>
      </w:r>
      <w:r w:rsidR="00F044D6" w:rsidRPr="00282AC9">
        <w:rPr>
          <w:rFonts w:ascii="Mosawi" w:hAnsi="Mosawi" w:cs="Mosawi"/>
          <w:sz w:val="24"/>
          <w:szCs w:val="24"/>
          <w:rtl/>
        </w:rPr>
        <w:t>﴿</w:t>
      </w:r>
      <w:r w:rsidR="00F044D6" w:rsidRPr="00282AC9">
        <w:rPr>
          <w:b/>
          <w:bCs/>
          <w:sz w:val="27"/>
          <w:rtl/>
        </w:rPr>
        <w:t>وَاعْلَمُوا أَنَّ</w:t>
      </w:r>
      <w:r w:rsidR="00F044D6" w:rsidRPr="00282AC9">
        <w:rPr>
          <w:rFonts w:hint="cs"/>
          <w:b/>
          <w:bCs/>
          <w:sz w:val="27"/>
          <w:rtl/>
        </w:rPr>
        <w:t xml:space="preserve"> </w:t>
      </w:r>
      <w:r w:rsidR="00F044D6" w:rsidRPr="00282AC9">
        <w:rPr>
          <w:b/>
          <w:bCs/>
          <w:sz w:val="27"/>
          <w:rtl/>
        </w:rPr>
        <w:t>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r w:rsidR="00F044D6" w:rsidRPr="00282AC9">
        <w:rPr>
          <w:rFonts w:ascii="Mosawi" w:hAnsi="Mosawi" w:cs="Mosawi"/>
          <w:sz w:val="24"/>
          <w:szCs w:val="24"/>
          <w:rtl/>
        </w:rPr>
        <w:t>﴾</w:t>
      </w:r>
      <w:r w:rsidRPr="00282AC9">
        <w:rPr>
          <w:rtl/>
        </w:rPr>
        <w:t>. وأضاف: والغنائم ما است</w:t>
      </w:r>
      <w:r w:rsidR="00F044D6" w:rsidRPr="00282AC9">
        <w:rPr>
          <w:rFonts w:hint="cs"/>
          <w:rtl/>
        </w:rPr>
        <w:t>ُ</w:t>
      </w:r>
      <w:r w:rsidRPr="00282AC9">
        <w:rPr>
          <w:rtl/>
        </w:rPr>
        <w:t>فيد بالحرب من الأموال والسلاح والثياب والرقيق</w:t>
      </w:r>
      <w:r w:rsidR="00F044D6" w:rsidRPr="00282AC9">
        <w:rPr>
          <w:rFonts w:hint="cs"/>
          <w:rtl/>
        </w:rPr>
        <w:t>،</w:t>
      </w:r>
      <w:r w:rsidRPr="00282AC9">
        <w:rPr>
          <w:rtl/>
        </w:rPr>
        <w:t xml:space="preserve"> وما استفيد من المعادن والغوص والكنوز والعنبر</w:t>
      </w:r>
      <w:r w:rsidR="00F044D6" w:rsidRPr="00282AC9">
        <w:rPr>
          <w:rFonts w:hint="cs"/>
          <w:rtl/>
        </w:rPr>
        <w:t>،</w:t>
      </w:r>
      <w:r w:rsidRPr="00282AC9">
        <w:rPr>
          <w:rtl/>
        </w:rPr>
        <w:t xml:space="preserve"> وكل</w:t>
      </w:r>
      <w:r w:rsidR="00F044D6" w:rsidRPr="00282AC9">
        <w:rPr>
          <w:rFonts w:hint="cs"/>
          <w:rtl/>
        </w:rPr>
        <w:t>ّ</w:t>
      </w:r>
      <w:r w:rsidRPr="00282AC9">
        <w:rPr>
          <w:rtl/>
        </w:rPr>
        <w:t xml:space="preserve"> ما فضل من أرباح التجارات والزراعات والصناعات من المؤنة والكفاية في طول السنة على الاقتصاد</w:t>
      </w:r>
      <w:r w:rsidRPr="00282AC9">
        <w:rPr>
          <w:rFonts w:hint="cs"/>
          <w:vertAlign w:val="superscript"/>
          <w:rtl/>
        </w:rPr>
        <w:t>(</w:t>
      </w:r>
      <w:r w:rsidRPr="00282AC9">
        <w:rPr>
          <w:rStyle w:val="af9"/>
          <w:sz w:val="27"/>
          <w:rtl/>
        </w:rPr>
        <w:endnoteReference w:id="478"/>
      </w:r>
      <w:r w:rsidRPr="00282AC9">
        <w:rPr>
          <w:rFonts w:hint="cs"/>
          <w:vertAlign w:val="superscript"/>
          <w:rtl/>
        </w:rPr>
        <w:t>)</w:t>
      </w:r>
      <w:r w:rsidR="00F044D6" w:rsidRPr="00282AC9">
        <w:rPr>
          <w:rFonts w:hint="cs"/>
          <w:rtl/>
        </w:rPr>
        <w:t>.</w:t>
      </w:r>
    </w:p>
    <w:p w:rsidR="00CF4A82" w:rsidRPr="00282AC9" w:rsidRDefault="00946A76" w:rsidP="00186251">
      <w:pPr>
        <w:rPr>
          <w:rtl/>
        </w:rPr>
      </w:pPr>
      <w:r w:rsidRPr="00282AC9">
        <w:rPr>
          <w:rtl/>
        </w:rPr>
        <w:t>وع</w:t>
      </w:r>
      <w:r w:rsidR="00F044D6" w:rsidRPr="00282AC9">
        <w:rPr>
          <w:rFonts w:hint="cs"/>
          <w:rtl/>
        </w:rPr>
        <w:t>َ</w:t>
      </w:r>
      <w:r w:rsidRPr="00282AC9">
        <w:rPr>
          <w:rtl/>
        </w:rPr>
        <w:t>د</w:t>
      </w:r>
      <w:r w:rsidRPr="00282AC9">
        <w:rPr>
          <w:rFonts w:hint="cs"/>
          <w:rtl/>
        </w:rPr>
        <w:t>ّ</w:t>
      </w:r>
      <w:r w:rsidR="00F044D6" w:rsidRPr="00282AC9">
        <w:rPr>
          <w:rFonts w:hint="cs"/>
          <w:rtl/>
        </w:rPr>
        <w:t>َ</w:t>
      </w:r>
      <w:r w:rsidRPr="00282AC9">
        <w:rPr>
          <w:rtl/>
        </w:rPr>
        <w:t>ه المرتضى(436</w:t>
      </w:r>
      <w:r w:rsidRPr="00282AC9">
        <w:rPr>
          <w:rFonts w:hint="cs"/>
          <w:rtl/>
        </w:rPr>
        <w:t>هـ</w:t>
      </w:r>
      <w:r w:rsidRPr="00282AC9">
        <w:rPr>
          <w:rtl/>
        </w:rPr>
        <w:t>) مم</w:t>
      </w:r>
      <w:r w:rsidR="00F044D6" w:rsidRPr="00282AC9">
        <w:rPr>
          <w:rFonts w:hint="cs"/>
          <w:rtl/>
        </w:rPr>
        <w:t>ّ</w:t>
      </w:r>
      <w:r w:rsidRPr="00282AC9">
        <w:rPr>
          <w:rtl/>
        </w:rPr>
        <w:t>ا انفرد</w:t>
      </w:r>
      <w:r w:rsidR="00F044D6" w:rsidRPr="00282AC9">
        <w:rPr>
          <w:rFonts w:hint="cs"/>
          <w:rtl/>
        </w:rPr>
        <w:t>َ</w:t>
      </w:r>
      <w:r w:rsidRPr="00282AC9">
        <w:rPr>
          <w:rtl/>
        </w:rPr>
        <w:t>ت</w:t>
      </w:r>
      <w:r w:rsidR="00F044D6" w:rsidRPr="00282AC9">
        <w:rPr>
          <w:rFonts w:hint="cs"/>
          <w:rtl/>
        </w:rPr>
        <w:t>ْ</w:t>
      </w:r>
      <w:r w:rsidRPr="00282AC9">
        <w:rPr>
          <w:rtl/>
        </w:rPr>
        <w:t xml:space="preserve"> به الإمامية</w:t>
      </w:r>
      <w:r w:rsidR="00F044D6" w:rsidRPr="00282AC9">
        <w:rPr>
          <w:rFonts w:hint="cs"/>
          <w:rtl/>
        </w:rPr>
        <w:t>،</w:t>
      </w:r>
      <w:r w:rsidRPr="00282AC9">
        <w:rPr>
          <w:rtl/>
        </w:rPr>
        <w:t xml:space="preserve"> وصر</w:t>
      </w:r>
      <w:r w:rsidR="00F044D6" w:rsidRPr="00282AC9">
        <w:rPr>
          <w:rFonts w:hint="cs"/>
          <w:rtl/>
        </w:rPr>
        <w:t>َّ</w:t>
      </w:r>
      <w:r w:rsidRPr="00282AC9">
        <w:rPr>
          <w:rtl/>
        </w:rPr>
        <w:t>ح بوجوبه في جميع المغانم والمكاسب</w:t>
      </w:r>
      <w:r w:rsidR="00F044D6" w:rsidRPr="00282AC9">
        <w:rPr>
          <w:rFonts w:hint="cs"/>
          <w:rtl/>
        </w:rPr>
        <w:t>،</w:t>
      </w:r>
      <w:r w:rsidRPr="00282AC9">
        <w:rPr>
          <w:rtl/>
        </w:rPr>
        <w:t xml:space="preserve"> ومم</w:t>
      </w:r>
      <w:r w:rsidR="00F044D6" w:rsidRPr="00282AC9">
        <w:rPr>
          <w:rFonts w:hint="cs"/>
          <w:rtl/>
        </w:rPr>
        <w:t>ّ</w:t>
      </w:r>
      <w:r w:rsidRPr="00282AC9">
        <w:rPr>
          <w:rtl/>
        </w:rPr>
        <w:t>ا استخرج من المعادن والغوص والكنوز</w:t>
      </w:r>
      <w:r w:rsidR="00CF4A82" w:rsidRPr="00282AC9">
        <w:rPr>
          <w:rFonts w:hint="cs"/>
          <w:rtl/>
        </w:rPr>
        <w:t>،</w:t>
      </w:r>
      <w:r w:rsidRPr="00282AC9">
        <w:rPr>
          <w:rtl/>
        </w:rPr>
        <w:t xml:space="preserve"> ومم</w:t>
      </w:r>
      <w:r w:rsidR="00CF4A82" w:rsidRPr="00282AC9">
        <w:rPr>
          <w:rFonts w:hint="cs"/>
          <w:rtl/>
        </w:rPr>
        <w:t>ّ</w:t>
      </w:r>
      <w:r w:rsidRPr="00282AC9">
        <w:rPr>
          <w:rtl/>
        </w:rPr>
        <w:t>ا فضل من أرباح التجارات والزراعات والصناعات بعد المؤنة والكفاية في طول السنة على الاقتصاد</w:t>
      </w:r>
      <w:r w:rsidRPr="00282AC9">
        <w:rPr>
          <w:rFonts w:hint="cs"/>
          <w:vertAlign w:val="superscript"/>
          <w:rtl/>
        </w:rPr>
        <w:t>(</w:t>
      </w:r>
      <w:r w:rsidRPr="00282AC9">
        <w:rPr>
          <w:rStyle w:val="af9"/>
          <w:sz w:val="27"/>
          <w:rtl/>
        </w:rPr>
        <w:endnoteReference w:id="479"/>
      </w:r>
      <w:r w:rsidRPr="00282AC9">
        <w:rPr>
          <w:rFonts w:hint="cs"/>
          <w:vertAlign w:val="superscript"/>
          <w:rtl/>
        </w:rPr>
        <w:t>)</w:t>
      </w:r>
      <w:r w:rsidR="00CF4A82" w:rsidRPr="00282AC9">
        <w:rPr>
          <w:rFonts w:hint="cs"/>
          <w:rtl/>
        </w:rPr>
        <w:t>.</w:t>
      </w:r>
    </w:p>
    <w:p w:rsidR="00CF4A82" w:rsidRPr="00282AC9" w:rsidRDefault="00946A76" w:rsidP="00186251">
      <w:pPr>
        <w:rPr>
          <w:rtl/>
        </w:rPr>
      </w:pPr>
      <w:r w:rsidRPr="00282AC9">
        <w:rPr>
          <w:rtl/>
        </w:rPr>
        <w:t>وقال الطوسي(460</w:t>
      </w:r>
      <w:r w:rsidRPr="00282AC9">
        <w:rPr>
          <w:rFonts w:hint="cs"/>
          <w:rtl/>
        </w:rPr>
        <w:t>هـ</w:t>
      </w:r>
      <w:r w:rsidRPr="00282AC9">
        <w:rPr>
          <w:rtl/>
        </w:rPr>
        <w:t>): كل</w:t>
      </w:r>
      <w:r w:rsidR="00CF4A82" w:rsidRPr="00282AC9">
        <w:rPr>
          <w:rFonts w:hint="cs"/>
          <w:rtl/>
        </w:rPr>
        <w:t>ّ</w:t>
      </w:r>
      <w:r w:rsidRPr="00282AC9">
        <w:rPr>
          <w:rtl/>
        </w:rPr>
        <w:t xml:space="preserve"> ما ي</w:t>
      </w:r>
      <w:r w:rsidR="00CF4A82" w:rsidRPr="00282AC9">
        <w:rPr>
          <w:rFonts w:hint="cs"/>
          <w:rtl/>
        </w:rPr>
        <w:t>ُ</w:t>
      </w:r>
      <w:r w:rsidRPr="00282AC9">
        <w:rPr>
          <w:rtl/>
        </w:rPr>
        <w:t>ؤخ</w:t>
      </w:r>
      <w:r w:rsidR="00CF4A82" w:rsidRPr="00282AC9">
        <w:rPr>
          <w:rFonts w:hint="cs"/>
          <w:rtl/>
        </w:rPr>
        <w:t>َ</w:t>
      </w:r>
      <w:r w:rsidRPr="00282AC9">
        <w:rPr>
          <w:rtl/>
        </w:rPr>
        <w:t>ذ بالسيف ق</w:t>
      </w:r>
      <w:r w:rsidR="00CF4A82" w:rsidRPr="00282AC9">
        <w:rPr>
          <w:rFonts w:hint="cs"/>
          <w:rtl/>
        </w:rPr>
        <w:t>َ</w:t>
      </w:r>
      <w:r w:rsidRPr="00282AC9">
        <w:rPr>
          <w:rtl/>
        </w:rPr>
        <w:t>ه</w:t>
      </w:r>
      <w:r w:rsidR="00CF4A82" w:rsidRPr="00282AC9">
        <w:rPr>
          <w:rFonts w:hint="cs"/>
          <w:rtl/>
        </w:rPr>
        <w:t>ْ</w:t>
      </w:r>
      <w:r w:rsidRPr="00282AC9">
        <w:rPr>
          <w:rtl/>
        </w:rPr>
        <w:t>را</w:t>
      </w:r>
      <w:r w:rsidRPr="00282AC9">
        <w:rPr>
          <w:rFonts w:hint="cs"/>
          <w:rtl/>
        </w:rPr>
        <w:t>ً</w:t>
      </w:r>
      <w:r w:rsidRPr="00282AC9">
        <w:rPr>
          <w:rtl/>
        </w:rPr>
        <w:t xml:space="preserve"> من المشركين ي</w:t>
      </w:r>
      <w:r w:rsidR="00CF4A82" w:rsidRPr="00282AC9">
        <w:rPr>
          <w:rFonts w:hint="cs"/>
          <w:rtl/>
        </w:rPr>
        <w:t>ُ</w:t>
      </w:r>
      <w:r w:rsidRPr="00282AC9">
        <w:rPr>
          <w:rtl/>
        </w:rPr>
        <w:t>سم</w:t>
      </w:r>
      <w:r w:rsidR="00CF4A82" w:rsidRPr="00282AC9">
        <w:rPr>
          <w:rFonts w:hint="cs"/>
          <w:rtl/>
        </w:rPr>
        <w:t>ّ</w:t>
      </w:r>
      <w:r w:rsidRPr="00282AC9">
        <w:rPr>
          <w:rtl/>
        </w:rPr>
        <w:t>ى غنيمة</w:t>
      </w:r>
      <w:r w:rsidR="00CF4A82" w:rsidRPr="00282AC9">
        <w:rPr>
          <w:rFonts w:hint="cs"/>
          <w:rtl/>
        </w:rPr>
        <w:t>ً،</w:t>
      </w:r>
      <w:r w:rsidRPr="00282AC9">
        <w:rPr>
          <w:rtl/>
        </w:rPr>
        <w:t xml:space="preserve"> بلا خلاف</w:t>
      </w:r>
      <w:r w:rsidR="00CF4A82" w:rsidRPr="00282AC9">
        <w:rPr>
          <w:rFonts w:hint="cs"/>
          <w:rtl/>
        </w:rPr>
        <w:t>ٍ</w:t>
      </w:r>
      <w:r w:rsidRPr="00282AC9">
        <w:rPr>
          <w:rtl/>
        </w:rPr>
        <w:t>. وأضاف: وعندنا أن ما يستفيده الإنسان من أرباح التجارات والمكاسب والصنايع يدخل أيضا</w:t>
      </w:r>
      <w:r w:rsidR="00CF4A82" w:rsidRPr="00282AC9">
        <w:rPr>
          <w:rFonts w:hint="cs"/>
          <w:rtl/>
        </w:rPr>
        <w:t>ً</w:t>
      </w:r>
      <w:r w:rsidRPr="00282AC9">
        <w:rPr>
          <w:rtl/>
        </w:rPr>
        <w:t xml:space="preserve"> فيه</w:t>
      </w:r>
      <w:r w:rsidR="00CF4A82" w:rsidRPr="00282AC9">
        <w:rPr>
          <w:rFonts w:hint="cs"/>
          <w:rtl/>
        </w:rPr>
        <w:t>.</w:t>
      </w:r>
      <w:r w:rsidRPr="00282AC9">
        <w:rPr>
          <w:rtl/>
        </w:rPr>
        <w:t xml:space="preserve"> وخالف جميع الفقهاء في ذلك. واستدل</w:t>
      </w:r>
      <w:r w:rsidR="00CF4A82" w:rsidRPr="00282AC9">
        <w:rPr>
          <w:rFonts w:hint="cs"/>
          <w:rtl/>
        </w:rPr>
        <w:t>ّ</w:t>
      </w:r>
      <w:r w:rsidRPr="00282AC9">
        <w:rPr>
          <w:rtl/>
        </w:rPr>
        <w:t xml:space="preserve"> على هذا الرأي ب</w:t>
      </w:r>
      <w:r w:rsidR="00CF4A82" w:rsidRPr="00282AC9">
        <w:rPr>
          <w:rFonts w:hint="cs"/>
          <w:rtl/>
        </w:rPr>
        <w:t>إ</w:t>
      </w:r>
      <w:r w:rsidRPr="00282AC9">
        <w:rPr>
          <w:rtl/>
        </w:rPr>
        <w:t>جماع الفرقة</w:t>
      </w:r>
      <w:r w:rsidR="00CF4A82" w:rsidRPr="00282AC9">
        <w:rPr>
          <w:rFonts w:hint="cs"/>
          <w:rtl/>
        </w:rPr>
        <w:t>،</w:t>
      </w:r>
      <w:r w:rsidRPr="00282AC9">
        <w:rPr>
          <w:rtl/>
        </w:rPr>
        <w:t xml:space="preserve"> وبآية الخمس، مصر</w:t>
      </w:r>
      <w:r w:rsidR="00CF4A82" w:rsidRPr="00282AC9">
        <w:rPr>
          <w:rFonts w:hint="cs"/>
          <w:rtl/>
        </w:rPr>
        <w:t>ِّ</w:t>
      </w:r>
      <w:r w:rsidRPr="00282AC9">
        <w:rPr>
          <w:rtl/>
        </w:rPr>
        <w:t>حا</w:t>
      </w:r>
      <w:r w:rsidR="00CF4A82" w:rsidRPr="00282AC9">
        <w:rPr>
          <w:rFonts w:hint="cs"/>
          <w:rtl/>
        </w:rPr>
        <w:t>ً</w:t>
      </w:r>
      <w:r w:rsidRPr="00282AC9">
        <w:rPr>
          <w:rtl/>
        </w:rPr>
        <w:t xml:space="preserve"> بأنه عام</w:t>
      </w:r>
      <w:r w:rsidR="00CF4A82" w:rsidRPr="00282AC9">
        <w:rPr>
          <w:rFonts w:hint="cs"/>
          <w:rtl/>
        </w:rPr>
        <w:t>ٌّ</w:t>
      </w:r>
      <w:r w:rsidRPr="00282AC9">
        <w:rPr>
          <w:rtl/>
        </w:rPr>
        <w:t xml:space="preserve"> في جميع ذلك، فم</w:t>
      </w:r>
      <w:r w:rsidR="00CF4A82" w:rsidRPr="00282AC9">
        <w:rPr>
          <w:rFonts w:hint="cs"/>
          <w:rtl/>
        </w:rPr>
        <w:t>َ</w:t>
      </w:r>
      <w:r w:rsidRPr="00282AC9">
        <w:rPr>
          <w:rtl/>
        </w:rPr>
        <w:t>ن</w:t>
      </w:r>
      <w:r w:rsidR="00CF4A82" w:rsidRPr="00282AC9">
        <w:rPr>
          <w:rFonts w:hint="cs"/>
          <w:rtl/>
        </w:rPr>
        <w:t>ْ</w:t>
      </w:r>
      <w:r w:rsidRPr="00282AC9">
        <w:rPr>
          <w:rtl/>
        </w:rPr>
        <w:t xml:space="preserve"> خص</w:t>
      </w:r>
      <w:r w:rsidR="00CF4A82" w:rsidRPr="00282AC9">
        <w:rPr>
          <w:rFonts w:hint="cs"/>
          <w:rtl/>
        </w:rPr>
        <w:t>َّ</w:t>
      </w:r>
      <w:r w:rsidRPr="00282AC9">
        <w:rPr>
          <w:rtl/>
        </w:rPr>
        <w:t>صه فعليه الدلالة</w:t>
      </w:r>
      <w:r w:rsidRPr="00282AC9">
        <w:rPr>
          <w:rFonts w:hint="cs"/>
          <w:vertAlign w:val="superscript"/>
          <w:rtl/>
        </w:rPr>
        <w:t>(</w:t>
      </w:r>
      <w:r w:rsidRPr="00282AC9">
        <w:rPr>
          <w:rStyle w:val="af9"/>
          <w:sz w:val="27"/>
          <w:rtl/>
        </w:rPr>
        <w:endnoteReference w:id="480"/>
      </w:r>
      <w:r w:rsidRPr="00282AC9">
        <w:rPr>
          <w:rFonts w:hint="cs"/>
          <w:vertAlign w:val="superscript"/>
          <w:rtl/>
        </w:rPr>
        <w:t>)</w:t>
      </w:r>
      <w:r w:rsidRPr="00282AC9">
        <w:rPr>
          <w:rtl/>
        </w:rPr>
        <w:t>.</w:t>
      </w:r>
    </w:p>
    <w:p w:rsidR="00946A76" w:rsidRPr="00282AC9" w:rsidRDefault="00946A76" w:rsidP="00186251">
      <w:pPr>
        <w:rPr>
          <w:rtl/>
        </w:rPr>
      </w:pPr>
      <w:r w:rsidRPr="00282AC9">
        <w:rPr>
          <w:rtl/>
        </w:rPr>
        <w:t>وذكر في الخلاف</w:t>
      </w:r>
      <w:r w:rsidR="00CF4A82" w:rsidRPr="00282AC9">
        <w:rPr>
          <w:rFonts w:hint="cs"/>
          <w:rtl/>
        </w:rPr>
        <w:t>،</w:t>
      </w:r>
      <w:r w:rsidRPr="00282AC9">
        <w:rPr>
          <w:rtl/>
        </w:rPr>
        <w:t xml:space="preserve"> في </w:t>
      </w:r>
      <w:r w:rsidR="00CF4A82" w:rsidRPr="00282AC9">
        <w:rPr>
          <w:rFonts w:hint="cs"/>
          <w:rtl/>
        </w:rPr>
        <w:t>ال</w:t>
      </w:r>
      <w:r w:rsidRPr="00282AC9">
        <w:rPr>
          <w:rtl/>
        </w:rPr>
        <w:t>مسألتي</w:t>
      </w:r>
      <w:r w:rsidR="00A9793A" w:rsidRPr="00282AC9">
        <w:rPr>
          <w:rFonts w:hint="cs"/>
          <w:rtl/>
        </w:rPr>
        <w:t>ن</w:t>
      </w:r>
      <w:r w:rsidRPr="00282AC9">
        <w:rPr>
          <w:rtl/>
        </w:rPr>
        <w:t xml:space="preserve"> 138 و139</w:t>
      </w:r>
      <w:r w:rsidR="00CF4A82" w:rsidRPr="00282AC9">
        <w:rPr>
          <w:rFonts w:hint="cs"/>
          <w:rtl/>
        </w:rPr>
        <w:t>،</w:t>
      </w:r>
      <w:r w:rsidRPr="00282AC9">
        <w:rPr>
          <w:rtl/>
        </w:rPr>
        <w:t xml:space="preserve"> أدل</w:t>
      </w:r>
      <w:r w:rsidR="00CF4A82" w:rsidRPr="00282AC9">
        <w:rPr>
          <w:rFonts w:hint="cs"/>
          <w:rtl/>
        </w:rPr>
        <w:t>ّ</w:t>
      </w:r>
      <w:r w:rsidRPr="00282AC9">
        <w:rPr>
          <w:rtl/>
        </w:rPr>
        <w:t>ة</w:t>
      </w:r>
      <w:r w:rsidR="00CF4A82" w:rsidRPr="00282AC9">
        <w:rPr>
          <w:rFonts w:hint="cs"/>
          <w:rtl/>
        </w:rPr>
        <w:t>ً</w:t>
      </w:r>
      <w:r w:rsidRPr="00282AC9">
        <w:rPr>
          <w:rtl/>
        </w:rPr>
        <w:t xml:space="preserve"> أخرى على رأيه من السن</w:t>
      </w:r>
      <w:r w:rsidR="00A9793A" w:rsidRPr="00282AC9">
        <w:rPr>
          <w:rFonts w:hint="cs"/>
          <w:rtl/>
        </w:rPr>
        <w:t>ّ</w:t>
      </w:r>
      <w:r w:rsidRPr="00282AC9">
        <w:rPr>
          <w:rtl/>
        </w:rPr>
        <w:t>ة والمعقول.</w:t>
      </w:r>
    </w:p>
    <w:p w:rsidR="00CF4A82" w:rsidRPr="00282AC9" w:rsidRDefault="00946A76" w:rsidP="00186251">
      <w:pPr>
        <w:rPr>
          <w:rtl/>
        </w:rPr>
      </w:pPr>
      <w:r w:rsidRPr="00282AC9">
        <w:rPr>
          <w:rtl/>
        </w:rPr>
        <w:t>واستدل</w:t>
      </w:r>
      <w:r w:rsidR="00CF4A82" w:rsidRPr="00282AC9">
        <w:rPr>
          <w:rFonts w:hint="cs"/>
          <w:rtl/>
        </w:rPr>
        <w:t>ّ</w:t>
      </w:r>
      <w:r w:rsidRPr="00282AC9">
        <w:rPr>
          <w:rtl/>
        </w:rPr>
        <w:t xml:space="preserve"> نجم الدين الحل</w:t>
      </w:r>
      <w:r w:rsidR="00CF4A82" w:rsidRPr="00282AC9">
        <w:rPr>
          <w:rFonts w:hint="cs"/>
          <w:rtl/>
        </w:rPr>
        <w:t>ّ</w:t>
      </w:r>
      <w:r w:rsidRPr="00282AC9">
        <w:rPr>
          <w:rtl/>
        </w:rPr>
        <w:t>ي(676</w:t>
      </w:r>
      <w:r w:rsidRPr="00282AC9">
        <w:rPr>
          <w:rFonts w:hint="cs"/>
          <w:rtl/>
        </w:rPr>
        <w:t>هـ</w:t>
      </w:r>
      <w:r w:rsidRPr="00282AC9">
        <w:rPr>
          <w:rtl/>
        </w:rPr>
        <w:t>) على شمول الخمس لمختلف الأرباح والفوائد ب</w:t>
      </w:r>
      <w:r w:rsidR="00CF4A82" w:rsidRPr="00282AC9">
        <w:rPr>
          <w:rFonts w:hint="cs"/>
          <w:rtl/>
        </w:rPr>
        <w:t>آ</w:t>
      </w:r>
      <w:r w:rsidRPr="00282AC9">
        <w:rPr>
          <w:rtl/>
        </w:rPr>
        <w:t>ية الخمس</w:t>
      </w:r>
      <w:r w:rsidR="00CF4A82" w:rsidRPr="00282AC9">
        <w:rPr>
          <w:rFonts w:hint="cs"/>
          <w:rtl/>
        </w:rPr>
        <w:t>.</w:t>
      </w:r>
      <w:r w:rsidRPr="00282AC9">
        <w:rPr>
          <w:rtl/>
        </w:rPr>
        <w:t xml:space="preserve"> وعد</w:t>
      </w:r>
      <w:r w:rsidR="00CF4A82" w:rsidRPr="00282AC9">
        <w:rPr>
          <w:rFonts w:hint="cs"/>
          <w:rtl/>
        </w:rPr>
        <w:t>َّ</w:t>
      </w:r>
      <w:r w:rsidRPr="00282AC9">
        <w:rPr>
          <w:rtl/>
        </w:rPr>
        <w:t xml:space="preserve"> الغنيمة اسم الفائدة، فكما يتناول هذا اللفظ غنيمة دار الحرب</w:t>
      </w:r>
      <w:r w:rsidR="00CF4A82" w:rsidRPr="00282AC9">
        <w:rPr>
          <w:rFonts w:hint="cs"/>
          <w:rtl/>
        </w:rPr>
        <w:t>؛</w:t>
      </w:r>
      <w:r w:rsidRPr="00282AC9">
        <w:rPr>
          <w:rtl/>
        </w:rPr>
        <w:t xml:space="preserve"> بإطلاقه</w:t>
      </w:r>
      <w:r w:rsidR="00CF4A82" w:rsidRPr="00282AC9">
        <w:rPr>
          <w:rFonts w:hint="cs"/>
          <w:rtl/>
        </w:rPr>
        <w:t>،</w:t>
      </w:r>
      <w:r w:rsidRPr="00282AC9">
        <w:rPr>
          <w:rtl/>
        </w:rPr>
        <w:t xml:space="preserve"> يتناول غيرها من الفوائد</w:t>
      </w:r>
      <w:r w:rsidRPr="00282AC9">
        <w:rPr>
          <w:rFonts w:hint="cs"/>
          <w:vertAlign w:val="superscript"/>
          <w:rtl/>
        </w:rPr>
        <w:t>(</w:t>
      </w:r>
      <w:r w:rsidRPr="00282AC9">
        <w:rPr>
          <w:rStyle w:val="af9"/>
          <w:sz w:val="27"/>
          <w:rtl/>
        </w:rPr>
        <w:endnoteReference w:id="481"/>
      </w:r>
      <w:r w:rsidRPr="00282AC9">
        <w:rPr>
          <w:rFonts w:hint="cs"/>
          <w:vertAlign w:val="superscript"/>
          <w:rtl/>
        </w:rPr>
        <w:t>)</w:t>
      </w:r>
      <w:r w:rsidR="00CF4A82" w:rsidRPr="00282AC9">
        <w:rPr>
          <w:rFonts w:hint="cs"/>
          <w:rtl/>
        </w:rPr>
        <w:t>.</w:t>
      </w:r>
    </w:p>
    <w:p w:rsidR="00946A76" w:rsidRPr="00282AC9" w:rsidRDefault="00946A76" w:rsidP="00186251">
      <w:pPr>
        <w:rPr>
          <w:rtl/>
        </w:rPr>
      </w:pPr>
      <w:r w:rsidRPr="00282AC9">
        <w:rPr>
          <w:rtl/>
        </w:rPr>
        <w:t>وح</w:t>
      </w:r>
      <w:r w:rsidR="00CF4A82" w:rsidRPr="00282AC9">
        <w:rPr>
          <w:rFonts w:hint="cs"/>
          <w:rtl/>
        </w:rPr>
        <w:t>َ</w:t>
      </w:r>
      <w:r w:rsidRPr="00282AC9">
        <w:rPr>
          <w:rtl/>
        </w:rPr>
        <w:t>س</w:t>
      </w:r>
      <w:r w:rsidR="00CF4A82" w:rsidRPr="00282AC9">
        <w:rPr>
          <w:rFonts w:hint="cs"/>
          <w:rtl/>
        </w:rPr>
        <w:t>ْ</w:t>
      </w:r>
      <w:r w:rsidRPr="00282AC9">
        <w:rPr>
          <w:rtl/>
        </w:rPr>
        <w:t>ب ابن المطه</w:t>
      </w:r>
      <w:r w:rsidR="00CF4A82" w:rsidRPr="00282AC9">
        <w:rPr>
          <w:rFonts w:hint="cs"/>
          <w:rtl/>
        </w:rPr>
        <w:t>َّ</w:t>
      </w:r>
      <w:r w:rsidRPr="00282AC9">
        <w:rPr>
          <w:rtl/>
        </w:rPr>
        <w:t>ر الحل</w:t>
      </w:r>
      <w:r w:rsidR="00CF4A82" w:rsidRPr="00282AC9">
        <w:rPr>
          <w:rFonts w:hint="cs"/>
          <w:rtl/>
        </w:rPr>
        <w:t>ّ</w:t>
      </w:r>
      <w:r w:rsidRPr="00282AC9">
        <w:rPr>
          <w:rtl/>
        </w:rPr>
        <w:t>ي(726</w:t>
      </w:r>
      <w:r w:rsidRPr="00282AC9">
        <w:rPr>
          <w:rFonts w:hint="cs"/>
          <w:rtl/>
        </w:rPr>
        <w:t>هـ</w:t>
      </w:r>
      <w:r w:rsidRPr="00282AC9">
        <w:rPr>
          <w:rtl/>
        </w:rPr>
        <w:t>)</w:t>
      </w:r>
      <w:r w:rsidR="00CF4A82" w:rsidRPr="00282AC9">
        <w:rPr>
          <w:rFonts w:hint="cs"/>
          <w:rtl/>
        </w:rPr>
        <w:t>:</w:t>
      </w:r>
      <w:r w:rsidRPr="00282AC9">
        <w:rPr>
          <w:rtl/>
        </w:rPr>
        <w:t xml:space="preserve"> يجب الخمس على أرباح التجارات والزراعات </w:t>
      </w:r>
      <w:r w:rsidRPr="00282AC9">
        <w:rPr>
          <w:rtl/>
        </w:rPr>
        <w:lastRenderedPageBreak/>
        <w:t>والصنائع وسائر الاكتسابات بعد إخراج مؤونة السنة، عند علمائنا كاف</w:t>
      </w:r>
      <w:r w:rsidR="0054315C" w:rsidRPr="00282AC9">
        <w:rPr>
          <w:rFonts w:hint="cs"/>
          <w:rtl/>
        </w:rPr>
        <w:t>ّ</w:t>
      </w:r>
      <w:r w:rsidRPr="00282AC9">
        <w:rPr>
          <w:rtl/>
        </w:rPr>
        <w:t>ة</w:t>
      </w:r>
      <w:r w:rsidR="0054315C" w:rsidRPr="00282AC9">
        <w:rPr>
          <w:rFonts w:hint="cs"/>
          <w:rtl/>
        </w:rPr>
        <w:t>ً؛</w:t>
      </w:r>
      <w:r w:rsidRPr="00282AC9">
        <w:rPr>
          <w:rtl/>
        </w:rPr>
        <w:t xml:space="preserve"> خلافا</w:t>
      </w:r>
      <w:r w:rsidR="0054315C" w:rsidRPr="00282AC9">
        <w:rPr>
          <w:rFonts w:hint="cs"/>
          <w:rtl/>
        </w:rPr>
        <w:t>ً</w:t>
      </w:r>
      <w:r w:rsidRPr="00282AC9">
        <w:rPr>
          <w:rtl/>
        </w:rPr>
        <w:t xml:space="preserve"> للجمهور</w:t>
      </w:r>
      <w:r w:rsidR="0054315C" w:rsidRPr="00282AC9">
        <w:rPr>
          <w:rFonts w:hint="cs"/>
          <w:rtl/>
        </w:rPr>
        <w:t>؛</w:t>
      </w:r>
      <w:r w:rsidRPr="00282AC9">
        <w:rPr>
          <w:rtl/>
        </w:rPr>
        <w:t xml:space="preserve"> لعموم </w:t>
      </w:r>
      <w:r w:rsidR="0054315C" w:rsidRPr="00282AC9">
        <w:rPr>
          <w:rFonts w:ascii="Mosawi" w:hAnsi="Mosawi" w:cs="Mosawi"/>
          <w:sz w:val="24"/>
          <w:szCs w:val="24"/>
          <w:rtl/>
        </w:rPr>
        <w:t>﴿</w:t>
      </w:r>
      <w:r w:rsidR="0054315C" w:rsidRPr="00282AC9">
        <w:rPr>
          <w:b/>
          <w:bCs/>
          <w:sz w:val="27"/>
          <w:rtl/>
        </w:rPr>
        <w:t>وَاعْلَمُوا أَنَّ</w:t>
      </w:r>
      <w:r w:rsidR="0054315C" w:rsidRPr="00282AC9">
        <w:rPr>
          <w:rFonts w:hint="cs"/>
          <w:b/>
          <w:bCs/>
          <w:sz w:val="27"/>
          <w:rtl/>
        </w:rPr>
        <w:t xml:space="preserve"> </w:t>
      </w:r>
      <w:r w:rsidR="0054315C" w:rsidRPr="00282AC9">
        <w:rPr>
          <w:b/>
          <w:bCs/>
          <w:sz w:val="27"/>
          <w:rtl/>
        </w:rPr>
        <w:t>مَا غَنِمْتُمْ مِنْ شَيْءٍ</w:t>
      </w:r>
      <w:r w:rsidR="0054315C" w:rsidRPr="00282AC9">
        <w:rPr>
          <w:rFonts w:ascii="Mosawi" w:hAnsi="Mosawi" w:cs="Mosawi"/>
          <w:sz w:val="24"/>
          <w:szCs w:val="24"/>
          <w:rtl/>
        </w:rPr>
        <w:t>﴾</w:t>
      </w:r>
      <w:r w:rsidRPr="00282AC9">
        <w:rPr>
          <w:rtl/>
        </w:rPr>
        <w:t xml:space="preserve">، وقوله: </w:t>
      </w:r>
      <w:r w:rsidR="0054315C" w:rsidRPr="00282AC9">
        <w:rPr>
          <w:rFonts w:ascii="Mosawi" w:hAnsi="Mosawi" w:cs="Mosawi"/>
          <w:sz w:val="24"/>
          <w:szCs w:val="24"/>
          <w:rtl/>
        </w:rPr>
        <w:t>﴿</w:t>
      </w:r>
      <w:r w:rsidR="0054315C" w:rsidRPr="00282AC9">
        <w:rPr>
          <w:b/>
          <w:bCs/>
          <w:sz w:val="27"/>
          <w:rtl/>
        </w:rPr>
        <w:t>أَنفِقُوا مِنْ طَيِّبَاتِ مَا كَسَبْتُمْ وَمِمَّا أَخْرَجْنَا لَكُمْ مِنْ الأَرْضِ</w:t>
      </w:r>
      <w:r w:rsidR="0054315C" w:rsidRPr="00282AC9">
        <w:rPr>
          <w:rFonts w:ascii="Mosawi" w:hAnsi="Mosawi" w:cs="Mosawi"/>
          <w:sz w:val="24"/>
          <w:szCs w:val="24"/>
          <w:rtl/>
        </w:rPr>
        <w:t>﴾</w:t>
      </w:r>
      <w:r w:rsidR="0054315C" w:rsidRPr="00282AC9">
        <w:rPr>
          <w:rFonts w:hint="cs"/>
          <w:rtl/>
        </w:rPr>
        <w:t>؛</w:t>
      </w:r>
      <w:r w:rsidRPr="00282AC9">
        <w:rPr>
          <w:rtl/>
        </w:rPr>
        <w:t xml:space="preserve"> وللتواتر المستفاد من الأئم</w:t>
      </w:r>
      <w:r w:rsidR="0054315C" w:rsidRPr="00282AC9">
        <w:rPr>
          <w:rFonts w:hint="cs"/>
          <w:rtl/>
        </w:rPr>
        <w:t>ّ</w:t>
      </w:r>
      <w:r w:rsidRPr="00282AC9">
        <w:rPr>
          <w:rtl/>
        </w:rPr>
        <w:t>ة</w:t>
      </w:r>
      <w:r w:rsidR="00876ECA" w:rsidRPr="00282AC9">
        <w:rPr>
          <w:rFonts w:cs="Mosawi" w:hint="cs"/>
          <w:sz w:val="22"/>
          <w:szCs w:val="22"/>
          <w:rtl/>
        </w:rPr>
        <w:t>^</w:t>
      </w:r>
      <w:r w:rsidRPr="00282AC9">
        <w:rPr>
          <w:rFonts w:hint="cs"/>
          <w:vertAlign w:val="superscript"/>
          <w:rtl/>
        </w:rPr>
        <w:t>(</w:t>
      </w:r>
      <w:r w:rsidRPr="00282AC9">
        <w:rPr>
          <w:rStyle w:val="af9"/>
          <w:sz w:val="27"/>
          <w:rtl/>
        </w:rPr>
        <w:endnoteReference w:id="482"/>
      </w:r>
      <w:r w:rsidRPr="00282AC9">
        <w:rPr>
          <w:rFonts w:hint="cs"/>
          <w:vertAlign w:val="superscript"/>
          <w:rtl/>
        </w:rPr>
        <w:t>)</w:t>
      </w:r>
      <w:r w:rsidR="0054315C" w:rsidRPr="00282AC9">
        <w:rPr>
          <w:rFonts w:hint="cs"/>
          <w:rtl/>
        </w:rPr>
        <w:t>.</w:t>
      </w:r>
      <w:r w:rsidRPr="00282AC9">
        <w:rPr>
          <w:rFonts w:hint="cs"/>
          <w:rtl/>
        </w:rPr>
        <w:t xml:space="preserve"> </w:t>
      </w:r>
      <w:r w:rsidRPr="00282AC9">
        <w:rPr>
          <w:rtl/>
        </w:rPr>
        <w:t>وفي نص</w:t>
      </w:r>
      <w:r w:rsidR="0054315C" w:rsidRPr="00282AC9">
        <w:rPr>
          <w:rFonts w:hint="cs"/>
          <w:rtl/>
        </w:rPr>
        <w:t>ٍّ</w:t>
      </w:r>
      <w:r w:rsidRPr="00282AC9">
        <w:rPr>
          <w:rtl/>
        </w:rPr>
        <w:t xml:space="preserve"> آخر له ذكر أن وجه الاستدلال بآية الخمس أنها أوجبت الخمس في كل</w:t>
      </w:r>
      <w:r w:rsidR="0054315C" w:rsidRPr="00282AC9">
        <w:rPr>
          <w:rFonts w:hint="cs"/>
          <w:rtl/>
        </w:rPr>
        <w:t>ّ</w:t>
      </w:r>
      <w:r w:rsidRPr="00282AC9">
        <w:rPr>
          <w:rtl/>
        </w:rPr>
        <w:t xml:space="preserve"> ما ي</w:t>
      </w:r>
      <w:r w:rsidR="0054315C" w:rsidRPr="00282AC9">
        <w:rPr>
          <w:rFonts w:hint="cs"/>
          <w:rtl/>
        </w:rPr>
        <w:t>ُ</w:t>
      </w:r>
      <w:r w:rsidRPr="00282AC9">
        <w:rPr>
          <w:rtl/>
        </w:rPr>
        <w:t>غ</w:t>
      </w:r>
      <w:r w:rsidR="0054315C" w:rsidRPr="00282AC9">
        <w:rPr>
          <w:rFonts w:hint="cs"/>
          <w:rtl/>
        </w:rPr>
        <w:t>ْ</w:t>
      </w:r>
      <w:r w:rsidRPr="00282AC9">
        <w:rPr>
          <w:rtl/>
        </w:rPr>
        <w:t>ن</w:t>
      </w:r>
      <w:r w:rsidR="0054315C" w:rsidRPr="00282AC9">
        <w:rPr>
          <w:rFonts w:hint="cs"/>
          <w:rtl/>
        </w:rPr>
        <w:t>َ</w:t>
      </w:r>
      <w:r w:rsidRPr="00282AC9">
        <w:rPr>
          <w:rtl/>
        </w:rPr>
        <w:t>م</w:t>
      </w:r>
      <w:r w:rsidR="0054315C" w:rsidRPr="00282AC9">
        <w:rPr>
          <w:rFonts w:hint="cs"/>
          <w:rtl/>
        </w:rPr>
        <w:t>،</w:t>
      </w:r>
      <w:r w:rsidRPr="00282AC9">
        <w:rPr>
          <w:rtl/>
        </w:rPr>
        <w:t xml:space="preserve"> وهو يتناول غنيمة دار الحرب ويتناول غيرها، فالتخصيص</w:t>
      </w:r>
      <w:r w:rsidR="0054315C" w:rsidRPr="00282AC9">
        <w:rPr>
          <w:rFonts w:hint="cs"/>
          <w:rtl/>
        </w:rPr>
        <w:t>ُ</w:t>
      </w:r>
      <w:r w:rsidRPr="00282AC9">
        <w:rPr>
          <w:rtl/>
        </w:rPr>
        <w:t xml:space="preserve"> من غير دليل</w:t>
      </w:r>
      <w:r w:rsidR="0054315C" w:rsidRPr="00282AC9">
        <w:rPr>
          <w:rFonts w:hint="cs"/>
          <w:rtl/>
        </w:rPr>
        <w:t>ٍ</w:t>
      </w:r>
      <w:r w:rsidRPr="00282AC9">
        <w:rPr>
          <w:rtl/>
        </w:rPr>
        <w:t xml:space="preserve"> باطل</w:t>
      </w:r>
      <w:r w:rsidR="0054315C" w:rsidRPr="00282AC9">
        <w:rPr>
          <w:rFonts w:hint="cs"/>
          <w:rtl/>
        </w:rPr>
        <w:t>ٌ</w:t>
      </w:r>
      <w:r w:rsidRPr="00282AC9">
        <w:rPr>
          <w:rFonts w:hint="cs"/>
          <w:vertAlign w:val="superscript"/>
          <w:rtl/>
        </w:rPr>
        <w:t>(</w:t>
      </w:r>
      <w:r w:rsidRPr="00282AC9">
        <w:rPr>
          <w:rStyle w:val="af9"/>
          <w:sz w:val="27"/>
          <w:rtl/>
        </w:rPr>
        <w:endnoteReference w:id="483"/>
      </w:r>
      <w:r w:rsidRPr="00282AC9">
        <w:rPr>
          <w:rFonts w:hint="cs"/>
          <w:vertAlign w:val="superscript"/>
          <w:rtl/>
        </w:rPr>
        <w:t>)</w:t>
      </w:r>
      <w:r w:rsidR="0054315C" w:rsidRPr="00282AC9">
        <w:rPr>
          <w:rFonts w:hint="cs"/>
          <w:rtl/>
        </w:rPr>
        <w:t>.</w:t>
      </w:r>
    </w:p>
    <w:p w:rsidR="00946A76" w:rsidRPr="00282AC9" w:rsidRDefault="00946A76" w:rsidP="00186251">
      <w:pPr>
        <w:rPr>
          <w:rtl/>
        </w:rPr>
      </w:pPr>
      <w:r w:rsidRPr="00282AC9">
        <w:rPr>
          <w:rtl/>
        </w:rPr>
        <w:t>وإليه ذهب زين الدين العاملي(965</w:t>
      </w:r>
      <w:r w:rsidRPr="00282AC9">
        <w:rPr>
          <w:rFonts w:hint="cs"/>
          <w:rtl/>
        </w:rPr>
        <w:t>هـ</w:t>
      </w:r>
      <w:r w:rsidRPr="00282AC9">
        <w:rPr>
          <w:rtl/>
        </w:rPr>
        <w:t>)</w:t>
      </w:r>
      <w:r w:rsidR="0054315C" w:rsidRPr="00282AC9">
        <w:rPr>
          <w:rFonts w:hint="cs"/>
          <w:rtl/>
        </w:rPr>
        <w:t>،</w:t>
      </w:r>
      <w:r w:rsidRPr="00282AC9">
        <w:rPr>
          <w:rtl/>
        </w:rPr>
        <w:t xml:space="preserve"> وقال: خلافا</w:t>
      </w:r>
      <w:r w:rsidR="0054315C" w:rsidRPr="00282AC9">
        <w:rPr>
          <w:rFonts w:hint="cs"/>
          <w:rtl/>
        </w:rPr>
        <w:t>ً</w:t>
      </w:r>
      <w:r w:rsidRPr="00282AC9">
        <w:rPr>
          <w:rtl/>
        </w:rPr>
        <w:t xml:space="preserve"> للعام</w:t>
      </w:r>
      <w:r w:rsidR="0054315C" w:rsidRPr="00282AC9">
        <w:rPr>
          <w:rFonts w:hint="cs"/>
          <w:rtl/>
        </w:rPr>
        <w:t>ّ</w:t>
      </w:r>
      <w:r w:rsidRPr="00282AC9">
        <w:rPr>
          <w:rtl/>
        </w:rPr>
        <w:t>ة</w:t>
      </w:r>
      <w:r w:rsidR="0054315C" w:rsidRPr="00282AC9">
        <w:rPr>
          <w:rFonts w:hint="cs"/>
          <w:rtl/>
        </w:rPr>
        <w:t>،</w:t>
      </w:r>
      <w:r w:rsidRPr="00282AC9">
        <w:rPr>
          <w:rtl/>
        </w:rPr>
        <w:t xml:space="preserve"> حيث خص</w:t>
      </w:r>
      <w:r w:rsidR="0054315C" w:rsidRPr="00282AC9">
        <w:rPr>
          <w:rFonts w:hint="cs"/>
          <w:rtl/>
        </w:rPr>
        <w:t>ّ</w:t>
      </w:r>
      <w:r w:rsidRPr="00282AC9">
        <w:rPr>
          <w:rtl/>
        </w:rPr>
        <w:t>وها بالمعنى الثاني</w:t>
      </w:r>
      <w:r w:rsidR="0054315C" w:rsidRPr="00282AC9">
        <w:rPr>
          <w:rFonts w:hint="cs"/>
          <w:rtl/>
        </w:rPr>
        <w:t>،</w:t>
      </w:r>
      <w:r w:rsidRPr="00282AC9">
        <w:rPr>
          <w:rtl/>
        </w:rPr>
        <w:t xml:space="preserve"> ونقلوها عن موضوعها اللغوي</w:t>
      </w:r>
      <w:r w:rsidR="0054315C" w:rsidRPr="00282AC9">
        <w:rPr>
          <w:rFonts w:hint="cs"/>
          <w:rtl/>
        </w:rPr>
        <w:t>ّ</w:t>
      </w:r>
      <w:r w:rsidRPr="00282AC9">
        <w:rPr>
          <w:rtl/>
        </w:rPr>
        <w:t xml:space="preserve"> إلى غنائم دار الحرب خاص</w:t>
      </w:r>
      <w:r w:rsidR="0054315C" w:rsidRPr="00282AC9">
        <w:rPr>
          <w:rFonts w:hint="cs"/>
          <w:rtl/>
        </w:rPr>
        <w:t>ّ</w:t>
      </w:r>
      <w:r w:rsidRPr="00282AC9">
        <w:rPr>
          <w:rtl/>
        </w:rPr>
        <w:t>ة</w:t>
      </w:r>
      <w:r w:rsidR="0054315C" w:rsidRPr="00282AC9">
        <w:rPr>
          <w:rFonts w:hint="cs"/>
          <w:rtl/>
        </w:rPr>
        <w:t>،</w:t>
      </w:r>
      <w:r w:rsidRPr="00282AC9">
        <w:rPr>
          <w:rtl/>
        </w:rPr>
        <w:t xml:space="preserve"> أو خص</w:t>
      </w:r>
      <w:r w:rsidR="00C93ED6" w:rsidRPr="00282AC9">
        <w:rPr>
          <w:rFonts w:hint="cs"/>
          <w:rtl/>
        </w:rPr>
        <w:t>ّ</w:t>
      </w:r>
      <w:r w:rsidRPr="00282AC9">
        <w:rPr>
          <w:rtl/>
        </w:rPr>
        <w:t>وها به</w:t>
      </w:r>
      <w:r w:rsidRPr="00282AC9">
        <w:rPr>
          <w:rFonts w:hint="cs"/>
          <w:vertAlign w:val="superscript"/>
          <w:rtl/>
        </w:rPr>
        <w:t>(</w:t>
      </w:r>
      <w:r w:rsidRPr="00282AC9">
        <w:rPr>
          <w:rStyle w:val="af9"/>
          <w:sz w:val="27"/>
          <w:rtl/>
        </w:rPr>
        <w:endnoteReference w:id="484"/>
      </w:r>
      <w:r w:rsidRPr="00282AC9">
        <w:rPr>
          <w:rFonts w:hint="cs"/>
          <w:vertAlign w:val="superscript"/>
          <w:rtl/>
        </w:rPr>
        <w:t>)</w:t>
      </w:r>
      <w:r w:rsidRPr="00282AC9">
        <w:rPr>
          <w:rtl/>
        </w:rPr>
        <w:t>.</w:t>
      </w:r>
    </w:p>
    <w:p w:rsidR="00946A76" w:rsidRPr="00282AC9" w:rsidRDefault="00946A76" w:rsidP="00186251">
      <w:pPr>
        <w:rPr>
          <w:rtl/>
        </w:rPr>
      </w:pPr>
      <w:r w:rsidRPr="00282AC9">
        <w:rPr>
          <w:rtl/>
        </w:rPr>
        <w:t>وأك</w:t>
      </w:r>
      <w:r w:rsidR="00C93ED6" w:rsidRPr="00282AC9">
        <w:rPr>
          <w:rFonts w:hint="cs"/>
          <w:rtl/>
        </w:rPr>
        <w:t>َّ</w:t>
      </w:r>
      <w:r w:rsidRPr="00282AC9">
        <w:rPr>
          <w:rtl/>
        </w:rPr>
        <w:t>د أحمد النراقي(1245</w:t>
      </w:r>
      <w:r w:rsidRPr="00282AC9">
        <w:rPr>
          <w:rFonts w:hint="cs"/>
          <w:rtl/>
        </w:rPr>
        <w:t>هـ</w:t>
      </w:r>
      <w:r w:rsidRPr="00282AC9">
        <w:rPr>
          <w:rtl/>
        </w:rPr>
        <w:t>) على أن الأصل في وجوب الخمس في جميع ما يستفيده الإنسان ويكسبه ويغنمه الآية الشريفة والأخبار. والغنيمة في أصل اللغة الفائدة المكت</w:t>
      </w:r>
      <w:r w:rsidR="00C93ED6" w:rsidRPr="00282AC9">
        <w:rPr>
          <w:rFonts w:hint="cs"/>
          <w:rtl/>
        </w:rPr>
        <w:t>َ</w:t>
      </w:r>
      <w:r w:rsidRPr="00282AC9">
        <w:rPr>
          <w:rtl/>
        </w:rPr>
        <w:t>س</w:t>
      </w:r>
      <w:r w:rsidR="00C93ED6" w:rsidRPr="00282AC9">
        <w:rPr>
          <w:rFonts w:hint="cs"/>
          <w:rtl/>
        </w:rPr>
        <w:t>َ</w:t>
      </w:r>
      <w:r w:rsidRPr="00282AC9">
        <w:rPr>
          <w:rtl/>
        </w:rPr>
        <w:t>بة، كما صر</w:t>
      </w:r>
      <w:r w:rsidR="00C93ED6" w:rsidRPr="00282AC9">
        <w:rPr>
          <w:rFonts w:hint="cs"/>
          <w:rtl/>
        </w:rPr>
        <w:t>َّ</w:t>
      </w:r>
      <w:r w:rsidRPr="00282AC9">
        <w:rPr>
          <w:rtl/>
        </w:rPr>
        <w:t>ح بعض أهل اللغة</w:t>
      </w:r>
      <w:r w:rsidRPr="00282AC9">
        <w:rPr>
          <w:rFonts w:hint="cs"/>
          <w:vertAlign w:val="superscript"/>
          <w:rtl/>
        </w:rPr>
        <w:t>(</w:t>
      </w:r>
      <w:r w:rsidRPr="00282AC9">
        <w:rPr>
          <w:rStyle w:val="af9"/>
          <w:sz w:val="27"/>
          <w:rtl/>
        </w:rPr>
        <w:endnoteReference w:id="485"/>
      </w:r>
      <w:r w:rsidRPr="00282AC9">
        <w:rPr>
          <w:rFonts w:hint="cs"/>
          <w:vertAlign w:val="superscript"/>
          <w:rtl/>
        </w:rPr>
        <w:t>)</w:t>
      </w:r>
      <w:r w:rsidRPr="00282AC9">
        <w:rPr>
          <w:rFonts w:hint="cs"/>
          <w:rtl/>
        </w:rPr>
        <w:t xml:space="preserve">. </w:t>
      </w:r>
      <w:r w:rsidRPr="00282AC9">
        <w:rPr>
          <w:rtl/>
        </w:rPr>
        <w:t>ويرى أن تصريح بعض الفقهاء بأن المتبادر من الغنيمة في آية الخمس هو ما ي</w:t>
      </w:r>
      <w:r w:rsidR="00C93ED6" w:rsidRPr="00282AC9">
        <w:rPr>
          <w:rFonts w:hint="cs"/>
          <w:rtl/>
        </w:rPr>
        <w:t>ُ</w:t>
      </w:r>
      <w:r w:rsidRPr="00282AC9">
        <w:rPr>
          <w:rtl/>
        </w:rPr>
        <w:t>ؤخ</w:t>
      </w:r>
      <w:r w:rsidR="00C93ED6" w:rsidRPr="00282AC9">
        <w:rPr>
          <w:rFonts w:hint="cs"/>
          <w:rtl/>
        </w:rPr>
        <w:t>َ</w:t>
      </w:r>
      <w:r w:rsidRPr="00282AC9">
        <w:rPr>
          <w:rtl/>
        </w:rPr>
        <w:t>ذ من دار الحرب</w:t>
      </w:r>
      <w:r w:rsidR="00C93ED6" w:rsidRPr="00282AC9">
        <w:rPr>
          <w:rFonts w:hint="cs"/>
          <w:rtl/>
        </w:rPr>
        <w:t>؛</w:t>
      </w:r>
      <w:r w:rsidRPr="00282AC9">
        <w:rPr>
          <w:rtl/>
        </w:rPr>
        <w:t xml:space="preserve"> بدلالة السياق</w:t>
      </w:r>
      <w:r w:rsidR="00C93ED6" w:rsidRPr="00282AC9">
        <w:rPr>
          <w:rFonts w:hint="cs"/>
          <w:rtl/>
        </w:rPr>
        <w:t>،</w:t>
      </w:r>
      <w:r w:rsidRPr="00282AC9">
        <w:rPr>
          <w:rtl/>
        </w:rPr>
        <w:t xml:space="preserve"> ما هو إلا</w:t>
      </w:r>
      <w:r w:rsidR="00C93ED6" w:rsidRPr="00282AC9">
        <w:rPr>
          <w:rFonts w:hint="cs"/>
          <w:rtl/>
        </w:rPr>
        <w:t>ّ</w:t>
      </w:r>
      <w:r w:rsidRPr="00282AC9">
        <w:rPr>
          <w:rtl/>
        </w:rPr>
        <w:t xml:space="preserve"> انعكاس</w:t>
      </w:r>
      <w:r w:rsidR="00C93ED6" w:rsidRPr="00282AC9">
        <w:rPr>
          <w:rFonts w:hint="cs"/>
          <w:rtl/>
        </w:rPr>
        <w:t>ٌ</w:t>
      </w:r>
      <w:r w:rsidRPr="00282AC9">
        <w:rPr>
          <w:rtl/>
        </w:rPr>
        <w:t xml:space="preserve"> لما اشتهر في الفقه التاريخي</w:t>
      </w:r>
      <w:r w:rsidR="00C93ED6" w:rsidRPr="00282AC9">
        <w:rPr>
          <w:rFonts w:hint="cs"/>
          <w:rtl/>
        </w:rPr>
        <w:t>ّ</w:t>
      </w:r>
      <w:r w:rsidRPr="00282AC9">
        <w:rPr>
          <w:rtl/>
        </w:rPr>
        <w:t xml:space="preserve"> الرسمي</w:t>
      </w:r>
      <w:r w:rsidR="00C93ED6" w:rsidRPr="00282AC9">
        <w:rPr>
          <w:rFonts w:hint="cs"/>
          <w:rtl/>
        </w:rPr>
        <w:t>ّ</w:t>
      </w:r>
      <w:r w:rsidRPr="00282AC9">
        <w:rPr>
          <w:rtl/>
        </w:rPr>
        <w:t xml:space="preserve"> والتفسير غير الإمامي</w:t>
      </w:r>
      <w:r w:rsidR="00C93ED6" w:rsidRPr="00282AC9">
        <w:rPr>
          <w:rFonts w:hint="cs"/>
          <w:rtl/>
        </w:rPr>
        <w:t>ّ</w:t>
      </w:r>
      <w:r w:rsidRPr="00282AC9">
        <w:rPr>
          <w:rtl/>
        </w:rPr>
        <w:t>ين</w:t>
      </w:r>
      <w:r w:rsidRPr="00282AC9">
        <w:rPr>
          <w:rFonts w:hint="cs"/>
          <w:vertAlign w:val="superscript"/>
          <w:rtl/>
        </w:rPr>
        <w:t>(</w:t>
      </w:r>
      <w:r w:rsidRPr="00282AC9">
        <w:rPr>
          <w:rStyle w:val="af9"/>
          <w:sz w:val="27"/>
          <w:rtl/>
        </w:rPr>
        <w:endnoteReference w:id="486"/>
      </w:r>
      <w:r w:rsidRPr="00282AC9">
        <w:rPr>
          <w:rFonts w:hint="cs"/>
          <w:vertAlign w:val="superscript"/>
          <w:rtl/>
        </w:rPr>
        <w:t>)</w:t>
      </w:r>
      <w:r w:rsidRPr="00282AC9">
        <w:rPr>
          <w:rtl/>
        </w:rPr>
        <w:t>.</w:t>
      </w:r>
    </w:p>
    <w:p w:rsidR="00C93ED6" w:rsidRPr="00282AC9" w:rsidRDefault="00946A76" w:rsidP="00186251">
      <w:pPr>
        <w:rPr>
          <w:rtl/>
        </w:rPr>
      </w:pPr>
      <w:r w:rsidRPr="00282AC9">
        <w:rPr>
          <w:rtl/>
        </w:rPr>
        <w:t>ومضى على هذا التفسير العام</w:t>
      </w:r>
      <w:r w:rsidR="00C93ED6" w:rsidRPr="00282AC9">
        <w:rPr>
          <w:rFonts w:hint="cs"/>
          <w:rtl/>
        </w:rPr>
        <w:t>ّ</w:t>
      </w:r>
      <w:r w:rsidRPr="00282AC9">
        <w:rPr>
          <w:rtl/>
        </w:rPr>
        <w:t xml:space="preserve"> للغنيمة جماعة</w:t>
      </w:r>
      <w:r w:rsidR="00C93ED6" w:rsidRPr="00282AC9">
        <w:rPr>
          <w:rFonts w:hint="cs"/>
          <w:rtl/>
        </w:rPr>
        <w:t>ٌ</w:t>
      </w:r>
      <w:r w:rsidRPr="00282AC9">
        <w:rPr>
          <w:rtl/>
        </w:rPr>
        <w:t xml:space="preserve"> من الفقهاء المعاص</w:t>
      </w:r>
      <w:r w:rsidR="00C93ED6" w:rsidRPr="00282AC9">
        <w:rPr>
          <w:rtl/>
        </w:rPr>
        <w:t>رين.</w:t>
      </w:r>
    </w:p>
    <w:p w:rsidR="00946A76" w:rsidRPr="00282AC9" w:rsidRDefault="00946A76" w:rsidP="00186251">
      <w:pPr>
        <w:rPr>
          <w:rtl/>
        </w:rPr>
      </w:pPr>
      <w:r w:rsidRPr="00282AC9">
        <w:rPr>
          <w:rtl/>
        </w:rPr>
        <w:t>فح</w:t>
      </w:r>
      <w:r w:rsidR="00C93ED6" w:rsidRPr="00282AC9">
        <w:rPr>
          <w:rFonts w:hint="cs"/>
          <w:rtl/>
        </w:rPr>
        <w:t>َ</w:t>
      </w:r>
      <w:r w:rsidRPr="00282AC9">
        <w:rPr>
          <w:rtl/>
        </w:rPr>
        <w:t>س</w:t>
      </w:r>
      <w:r w:rsidR="00C93ED6" w:rsidRPr="00282AC9">
        <w:rPr>
          <w:rFonts w:hint="cs"/>
          <w:rtl/>
        </w:rPr>
        <w:t>ْ</w:t>
      </w:r>
      <w:r w:rsidRPr="00282AC9">
        <w:rPr>
          <w:rtl/>
        </w:rPr>
        <w:t>ب الخوئي</w:t>
      </w:r>
      <w:r w:rsidR="00C93ED6" w:rsidRPr="00282AC9">
        <w:rPr>
          <w:rFonts w:hint="cs"/>
          <w:rtl/>
        </w:rPr>
        <w:t>:</w:t>
      </w:r>
      <w:r w:rsidRPr="00282AC9">
        <w:rPr>
          <w:rtl/>
        </w:rPr>
        <w:t xml:space="preserve"> إن كلمة غنم بالصيغة الواردة في الآية المباركة ترادف ربح واستفاد وما شاكل ذلك، فتعم</w:t>
      </w:r>
      <w:r w:rsidR="00C93ED6" w:rsidRPr="00282AC9">
        <w:rPr>
          <w:rFonts w:hint="cs"/>
          <w:rtl/>
        </w:rPr>
        <w:t>ّ</w:t>
      </w:r>
      <w:r w:rsidRPr="00282AC9">
        <w:rPr>
          <w:rtl/>
        </w:rPr>
        <w:t xml:space="preserve"> مطلق الفائدة...</w:t>
      </w:r>
      <w:r w:rsidR="00C93ED6" w:rsidRPr="00282AC9">
        <w:rPr>
          <w:rFonts w:hint="cs"/>
          <w:rtl/>
        </w:rPr>
        <w:t xml:space="preserve"> </w:t>
      </w:r>
      <w:r w:rsidR="00C93ED6" w:rsidRPr="00282AC9">
        <w:rPr>
          <w:rtl/>
        </w:rPr>
        <w:t>و</w:t>
      </w:r>
      <w:r w:rsidRPr="00282AC9">
        <w:rPr>
          <w:rtl/>
        </w:rPr>
        <w:t>أضاف: ولعل</w:t>
      </w:r>
      <w:r w:rsidR="00C93ED6" w:rsidRPr="00282AC9">
        <w:rPr>
          <w:rFonts w:hint="cs"/>
          <w:rtl/>
        </w:rPr>
        <w:t>ّ</w:t>
      </w:r>
      <w:r w:rsidRPr="00282AC9">
        <w:rPr>
          <w:rtl/>
        </w:rPr>
        <w:t xml:space="preserve"> في التعبير بالشي</w:t>
      </w:r>
      <w:r w:rsidR="00C93ED6" w:rsidRPr="00282AC9">
        <w:rPr>
          <w:rFonts w:hint="cs"/>
          <w:rtl/>
        </w:rPr>
        <w:t>ء</w:t>
      </w:r>
      <w:r w:rsidRPr="00282AC9">
        <w:rPr>
          <w:rtl/>
        </w:rPr>
        <w:t xml:space="preserve"> ـ الذي فيه من السعة والشمول ما ترى ـ إيعازا</w:t>
      </w:r>
      <w:r w:rsidR="00C93ED6" w:rsidRPr="00282AC9">
        <w:rPr>
          <w:rFonts w:hint="cs"/>
          <w:rtl/>
        </w:rPr>
        <w:t>ً</w:t>
      </w:r>
      <w:r w:rsidRPr="00282AC9">
        <w:rPr>
          <w:rtl/>
        </w:rPr>
        <w:t xml:space="preserve"> </w:t>
      </w:r>
      <w:r w:rsidR="00C93ED6" w:rsidRPr="00282AC9">
        <w:rPr>
          <w:rFonts w:hint="cs"/>
          <w:rtl/>
        </w:rPr>
        <w:t>إ</w:t>
      </w:r>
      <w:r w:rsidRPr="00282AC9">
        <w:rPr>
          <w:rtl/>
        </w:rPr>
        <w:t>لى هذا التعميم</w:t>
      </w:r>
      <w:r w:rsidR="00C93ED6" w:rsidRPr="00282AC9">
        <w:rPr>
          <w:rFonts w:hint="cs"/>
          <w:rtl/>
        </w:rPr>
        <w:t>.</w:t>
      </w:r>
      <w:r w:rsidRPr="00282AC9">
        <w:rPr>
          <w:rtl/>
        </w:rPr>
        <w:t xml:space="preserve"> و</w:t>
      </w:r>
      <w:r w:rsidR="00C93ED6" w:rsidRPr="00282AC9">
        <w:rPr>
          <w:rFonts w:hint="cs"/>
          <w:rtl/>
        </w:rPr>
        <w:t>إ</w:t>
      </w:r>
      <w:r w:rsidRPr="00282AC9">
        <w:rPr>
          <w:rtl/>
        </w:rPr>
        <w:t>ن الخمس ثابت</w:t>
      </w:r>
      <w:r w:rsidR="00C93ED6" w:rsidRPr="00282AC9">
        <w:rPr>
          <w:rFonts w:hint="cs"/>
          <w:rtl/>
        </w:rPr>
        <w:t>ٌ</w:t>
      </w:r>
      <w:r w:rsidRPr="00282AC9">
        <w:rPr>
          <w:rtl/>
        </w:rPr>
        <w:t xml:space="preserve"> في مطلق ما صدق عليه الشي</w:t>
      </w:r>
      <w:r w:rsidR="00C93ED6" w:rsidRPr="00282AC9">
        <w:rPr>
          <w:rFonts w:hint="cs"/>
          <w:rtl/>
        </w:rPr>
        <w:t>ء</w:t>
      </w:r>
      <w:r w:rsidRPr="00282AC9">
        <w:rPr>
          <w:rtl/>
        </w:rPr>
        <w:t xml:space="preserve"> من الربح</w:t>
      </w:r>
      <w:r w:rsidR="00C93ED6" w:rsidRPr="00282AC9">
        <w:rPr>
          <w:rFonts w:hint="cs"/>
          <w:rtl/>
        </w:rPr>
        <w:t>،</w:t>
      </w:r>
      <w:r w:rsidRPr="00282AC9">
        <w:rPr>
          <w:rtl/>
        </w:rPr>
        <w:t xml:space="preserve"> و</w:t>
      </w:r>
      <w:r w:rsidR="00C93ED6" w:rsidRPr="00282AC9">
        <w:rPr>
          <w:rFonts w:hint="cs"/>
          <w:rtl/>
        </w:rPr>
        <w:t>إ</w:t>
      </w:r>
      <w:r w:rsidRPr="00282AC9">
        <w:rPr>
          <w:rtl/>
        </w:rPr>
        <w:t>ن</w:t>
      </w:r>
      <w:r w:rsidR="00C93ED6" w:rsidRPr="00282AC9">
        <w:rPr>
          <w:rFonts w:hint="cs"/>
          <w:rtl/>
        </w:rPr>
        <w:t>ٍ</w:t>
      </w:r>
      <w:r w:rsidRPr="00282AC9">
        <w:rPr>
          <w:rtl/>
        </w:rPr>
        <w:t xml:space="preserve"> كان يسيرا</w:t>
      </w:r>
      <w:r w:rsidR="00C93ED6" w:rsidRPr="00282AC9">
        <w:rPr>
          <w:rFonts w:hint="cs"/>
          <w:rtl/>
        </w:rPr>
        <w:t>ً</w:t>
      </w:r>
      <w:r w:rsidRPr="00282AC9">
        <w:rPr>
          <w:rtl/>
        </w:rPr>
        <w:t xml:space="preserve"> جد</w:t>
      </w:r>
      <w:r w:rsidR="00C93ED6" w:rsidRPr="00282AC9">
        <w:rPr>
          <w:rFonts w:hint="cs"/>
          <w:rtl/>
        </w:rPr>
        <w:t>ّ</w:t>
      </w:r>
      <w:r w:rsidRPr="00282AC9">
        <w:rPr>
          <w:rtl/>
        </w:rPr>
        <w:t>ا</w:t>
      </w:r>
      <w:r w:rsidR="00C93ED6" w:rsidRPr="00282AC9">
        <w:rPr>
          <w:rFonts w:hint="cs"/>
          <w:rtl/>
        </w:rPr>
        <w:t>ً،</w:t>
      </w:r>
      <w:r w:rsidRPr="00282AC9">
        <w:rPr>
          <w:rtl/>
        </w:rPr>
        <w:t xml:space="preserve"> كالدرهم</w:t>
      </w:r>
      <w:r w:rsidR="00C93ED6" w:rsidRPr="00282AC9">
        <w:rPr>
          <w:rFonts w:hint="cs"/>
          <w:rtl/>
        </w:rPr>
        <w:t>،</w:t>
      </w:r>
      <w:r w:rsidRPr="00282AC9">
        <w:rPr>
          <w:rtl/>
        </w:rPr>
        <w:t xml:space="preserve"> غير المناسب لغنائم دار الحرب</w:t>
      </w:r>
      <w:r w:rsidR="00C93ED6" w:rsidRPr="00282AC9">
        <w:rPr>
          <w:rFonts w:hint="cs"/>
          <w:rtl/>
        </w:rPr>
        <w:t>،</w:t>
      </w:r>
      <w:r w:rsidRPr="00282AC9">
        <w:rPr>
          <w:rtl/>
        </w:rPr>
        <w:t xml:space="preserve"> كما لا يخفى...</w:t>
      </w:r>
      <w:r w:rsidR="00C93ED6" w:rsidRPr="00282AC9">
        <w:rPr>
          <w:rFonts w:hint="cs"/>
          <w:rtl/>
        </w:rPr>
        <w:t xml:space="preserve"> </w:t>
      </w:r>
      <w:r w:rsidR="00C93ED6" w:rsidRPr="00282AC9">
        <w:rPr>
          <w:rtl/>
        </w:rPr>
        <w:t>و</w:t>
      </w:r>
      <w:r w:rsidRPr="00282AC9">
        <w:rPr>
          <w:rtl/>
        </w:rPr>
        <w:t xml:space="preserve">انتهى </w:t>
      </w:r>
      <w:r w:rsidR="00C93ED6" w:rsidRPr="00282AC9">
        <w:rPr>
          <w:rFonts w:hint="cs"/>
          <w:rtl/>
        </w:rPr>
        <w:t>إ</w:t>
      </w:r>
      <w:r w:rsidRPr="00282AC9">
        <w:rPr>
          <w:rtl/>
        </w:rPr>
        <w:t>لى القول: ولا ينبغي التأم</w:t>
      </w:r>
      <w:r w:rsidR="00C93ED6" w:rsidRPr="00282AC9">
        <w:rPr>
          <w:rFonts w:hint="cs"/>
          <w:rtl/>
        </w:rPr>
        <w:t>ُّ</w:t>
      </w:r>
      <w:r w:rsidRPr="00282AC9">
        <w:rPr>
          <w:rtl/>
        </w:rPr>
        <w:t>ل في إطلاق الآية المباركة في حد</w:t>
      </w:r>
      <w:r w:rsidR="00C93ED6" w:rsidRPr="00282AC9">
        <w:rPr>
          <w:rFonts w:hint="cs"/>
          <w:rtl/>
        </w:rPr>
        <w:t>ّ</w:t>
      </w:r>
      <w:r w:rsidRPr="00282AC9">
        <w:rPr>
          <w:rtl/>
        </w:rPr>
        <w:t xml:space="preserve"> ذاتها</w:t>
      </w:r>
      <w:r w:rsidR="00C93ED6" w:rsidRPr="00282AC9">
        <w:rPr>
          <w:rFonts w:hint="cs"/>
          <w:rtl/>
        </w:rPr>
        <w:t>،</w:t>
      </w:r>
      <w:r w:rsidRPr="00282AC9">
        <w:rPr>
          <w:rtl/>
        </w:rPr>
        <w:t xml:space="preserve"> وشمولها لعام</w:t>
      </w:r>
      <w:r w:rsidR="00C93ED6" w:rsidRPr="00282AC9">
        <w:rPr>
          <w:rFonts w:hint="cs"/>
          <w:rtl/>
        </w:rPr>
        <w:t>ّ</w:t>
      </w:r>
      <w:r w:rsidRPr="00282AC9">
        <w:rPr>
          <w:rtl/>
        </w:rPr>
        <w:t>ة الأرباح والغنائم</w:t>
      </w:r>
      <w:r w:rsidRPr="00282AC9">
        <w:rPr>
          <w:rFonts w:hint="cs"/>
          <w:vertAlign w:val="superscript"/>
          <w:rtl/>
        </w:rPr>
        <w:t>(</w:t>
      </w:r>
      <w:r w:rsidRPr="00282AC9">
        <w:rPr>
          <w:rStyle w:val="af9"/>
          <w:sz w:val="27"/>
          <w:rtl/>
        </w:rPr>
        <w:endnoteReference w:id="487"/>
      </w:r>
      <w:r w:rsidRPr="00282AC9">
        <w:rPr>
          <w:rFonts w:hint="cs"/>
          <w:vertAlign w:val="superscript"/>
          <w:rtl/>
        </w:rPr>
        <w:t>)</w:t>
      </w:r>
      <w:r w:rsidRPr="00282AC9">
        <w:rPr>
          <w:rFonts w:hint="cs"/>
          <w:rtl/>
        </w:rPr>
        <w:t>.</w:t>
      </w:r>
    </w:p>
    <w:p w:rsidR="00235851" w:rsidRPr="00282AC9" w:rsidRDefault="00235851" w:rsidP="00235851">
      <w:pPr>
        <w:spacing w:line="420" w:lineRule="exact"/>
        <w:rPr>
          <w:rtl/>
        </w:rPr>
      </w:pPr>
    </w:p>
    <w:p w:rsidR="00946A76" w:rsidRPr="00282AC9" w:rsidRDefault="00946A76" w:rsidP="00526DC0">
      <w:pPr>
        <w:pStyle w:val="31"/>
        <w:rPr>
          <w:color w:val="auto"/>
          <w:rtl/>
        </w:rPr>
      </w:pPr>
      <w:r w:rsidRPr="00282AC9">
        <w:rPr>
          <w:color w:val="auto"/>
          <w:rtl/>
        </w:rPr>
        <w:t>القرائن والمؤي</w:t>
      </w:r>
      <w:r w:rsidR="00C93ED6" w:rsidRPr="00282AC9">
        <w:rPr>
          <w:rFonts w:hint="cs"/>
          <w:color w:val="auto"/>
          <w:rtl/>
        </w:rPr>
        <w:t>ِّ</w:t>
      </w:r>
      <w:r w:rsidRPr="00282AC9">
        <w:rPr>
          <w:rFonts w:hint="cs"/>
          <w:color w:val="auto"/>
          <w:rtl/>
        </w:rPr>
        <w:t>د</w:t>
      </w:r>
      <w:r w:rsidRPr="00282AC9">
        <w:rPr>
          <w:color w:val="auto"/>
          <w:rtl/>
        </w:rPr>
        <w:t xml:space="preserve">ات </w:t>
      </w:r>
      <w:r w:rsidR="00526DC0" w:rsidRPr="00282AC9">
        <w:rPr>
          <w:rFonts w:hint="cs"/>
          <w:color w:val="auto"/>
          <w:rtl/>
        </w:rPr>
        <w:t>لدى الفقهاء</w:t>
      </w:r>
      <w:r w:rsidRPr="00282AC9">
        <w:rPr>
          <w:color w:val="auto"/>
          <w:rtl/>
        </w:rPr>
        <w:t xml:space="preserve"> </w:t>
      </w:r>
    </w:p>
    <w:p w:rsidR="00946A76" w:rsidRPr="00282AC9" w:rsidRDefault="00946A76" w:rsidP="00B70E1F">
      <w:pPr>
        <w:pStyle w:val="31"/>
        <w:rPr>
          <w:color w:val="auto"/>
          <w:rtl/>
        </w:rPr>
      </w:pPr>
      <w:r w:rsidRPr="00282AC9">
        <w:rPr>
          <w:color w:val="auto"/>
          <w:rtl/>
        </w:rPr>
        <w:t>1ـ</w:t>
      </w:r>
      <w:r w:rsidRPr="00282AC9">
        <w:rPr>
          <w:rFonts w:hint="cs"/>
          <w:color w:val="auto"/>
          <w:rtl/>
        </w:rPr>
        <w:t xml:space="preserve"> </w:t>
      </w:r>
      <w:r w:rsidRPr="00282AC9">
        <w:rPr>
          <w:color w:val="auto"/>
          <w:rtl/>
        </w:rPr>
        <w:t>قرينة السياق والمورد</w:t>
      </w:r>
    </w:p>
    <w:p w:rsidR="00946A76" w:rsidRPr="00282AC9" w:rsidRDefault="00946A76" w:rsidP="00235851">
      <w:pPr>
        <w:spacing w:line="410" w:lineRule="exact"/>
        <w:rPr>
          <w:rtl/>
        </w:rPr>
      </w:pPr>
      <w:r w:rsidRPr="00282AC9">
        <w:rPr>
          <w:rtl/>
        </w:rPr>
        <w:t>اعتمد الات</w:t>
      </w:r>
      <w:r w:rsidR="00C93ED6" w:rsidRPr="00282AC9">
        <w:rPr>
          <w:rFonts w:hint="cs"/>
          <w:rtl/>
        </w:rPr>
        <w:t>ّ</w:t>
      </w:r>
      <w:r w:rsidRPr="00282AC9">
        <w:rPr>
          <w:rtl/>
        </w:rPr>
        <w:t>جاه الأو</w:t>
      </w:r>
      <w:r w:rsidR="00C93ED6" w:rsidRPr="00282AC9">
        <w:rPr>
          <w:rFonts w:hint="cs"/>
          <w:rtl/>
        </w:rPr>
        <w:t>ّ</w:t>
      </w:r>
      <w:r w:rsidRPr="00282AC9">
        <w:rPr>
          <w:rtl/>
        </w:rPr>
        <w:t>ل</w:t>
      </w:r>
      <w:r w:rsidR="005C75BB" w:rsidRPr="00282AC9">
        <w:rPr>
          <w:rFonts w:hint="cs"/>
          <w:rtl/>
        </w:rPr>
        <w:t>،</w:t>
      </w:r>
      <w:r w:rsidRPr="00282AC9">
        <w:rPr>
          <w:rtl/>
        </w:rPr>
        <w:t xml:space="preserve"> في تضييق مفهوم الغنيمة </w:t>
      </w:r>
      <w:r w:rsidR="005C75BB" w:rsidRPr="00282AC9">
        <w:rPr>
          <w:rFonts w:hint="cs"/>
          <w:rtl/>
        </w:rPr>
        <w:t xml:space="preserve">وقصره </w:t>
      </w:r>
      <w:r w:rsidRPr="00282AC9">
        <w:rPr>
          <w:rtl/>
        </w:rPr>
        <w:t>على المجال الحربي</w:t>
      </w:r>
      <w:r w:rsidR="00C93ED6" w:rsidRPr="00282AC9">
        <w:rPr>
          <w:rFonts w:hint="cs"/>
          <w:rtl/>
        </w:rPr>
        <w:t>ّ</w:t>
      </w:r>
      <w:r w:rsidRPr="00282AC9">
        <w:rPr>
          <w:rtl/>
        </w:rPr>
        <w:t>، على المعنى الذي ساد استخدامه وتداوله</w:t>
      </w:r>
      <w:r w:rsidR="005C75BB" w:rsidRPr="00282AC9">
        <w:rPr>
          <w:rFonts w:hint="cs"/>
          <w:rtl/>
        </w:rPr>
        <w:t>،</w:t>
      </w:r>
      <w:r w:rsidRPr="00282AC9">
        <w:rPr>
          <w:rtl/>
        </w:rPr>
        <w:t xml:space="preserve"> بل رأى بعضهم أنه المعنى الذي و</w:t>
      </w:r>
      <w:r w:rsidR="005C75BB" w:rsidRPr="00282AC9">
        <w:rPr>
          <w:rFonts w:hint="cs"/>
          <w:rtl/>
        </w:rPr>
        <w:t>ُ</w:t>
      </w:r>
      <w:r w:rsidRPr="00282AC9">
        <w:rPr>
          <w:rtl/>
        </w:rPr>
        <w:t>ض</w:t>
      </w:r>
      <w:r w:rsidR="005C75BB" w:rsidRPr="00282AC9">
        <w:rPr>
          <w:rFonts w:hint="cs"/>
          <w:rtl/>
        </w:rPr>
        <w:t>ِ</w:t>
      </w:r>
      <w:r w:rsidRPr="00282AC9">
        <w:rPr>
          <w:rtl/>
        </w:rPr>
        <w:t xml:space="preserve">ع له اللفظ. </w:t>
      </w:r>
    </w:p>
    <w:p w:rsidR="00946A76" w:rsidRPr="00282AC9" w:rsidRDefault="00946A76" w:rsidP="00186251">
      <w:pPr>
        <w:rPr>
          <w:bCs/>
          <w:rtl/>
        </w:rPr>
      </w:pPr>
      <w:r w:rsidRPr="00282AC9">
        <w:rPr>
          <w:rtl/>
        </w:rPr>
        <w:lastRenderedPageBreak/>
        <w:t>وفي</w:t>
      </w:r>
      <w:r w:rsidR="005C75BB" w:rsidRPr="00282AC9">
        <w:rPr>
          <w:rFonts w:hint="cs"/>
          <w:rtl/>
        </w:rPr>
        <w:t xml:space="preserve"> </w:t>
      </w:r>
      <w:r w:rsidRPr="00282AC9">
        <w:rPr>
          <w:rtl/>
        </w:rPr>
        <w:t>ما يتعل</w:t>
      </w:r>
      <w:r w:rsidR="005C75BB" w:rsidRPr="00282AC9">
        <w:rPr>
          <w:rFonts w:hint="cs"/>
          <w:rtl/>
        </w:rPr>
        <w:t>َّ</w:t>
      </w:r>
      <w:r w:rsidRPr="00282AC9">
        <w:rPr>
          <w:rtl/>
        </w:rPr>
        <w:t>ق بآية الخمس رك</w:t>
      </w:r>
      <w:r w:rsidR="005C75BB" w:rsidRPr="00282AC9">
        <w:rPr>
          <w:rFonts w:hint="cs"/>
          <w:rtl/>
        </w:rPr>
        <w:t>َّ</w:t>
      </w:r>
      <w:r w:rsidRPr="00282AC9">
        <w:rPr>
          <w:rtl/>
        </w:rPr>
        <w:t>ز بعضهم على قرينة السياق</w:t>
      </w:r>
      <w:r w:rsidR="005C75BB" w:rsidRPr="00282AC9">
        <w:rPr>
          <w:rFonts w:hint="cs"/>
          <w:rtl/>
        </w:rPr>
        <w:t>،</w:t>
      </w:r>
      <w:r w:rsidRPr="00282AC9">
        <w:rPr>
          <w:rtl/>
        </w:rPr>
        <w:t xml:space="preserve"> ومورد نزول الآية</w:t>
      </w:r>
      <w:r w:rsidR="005C75BB" w:rsidRPr="00282AC9">
        <w:rPr>
          <w:rFonts w:hint="cs"/>
          <w:rtl/>
        </w:rPr>
        <w:t>.</w:t>
      </w:r>
      <w:r w:rsidRPr="00282AC9">
        <w:rPr>
          <w:rtl/>
        </w:rPr>
        <w:t xml:space="preserve"> وقد ذكرنا فيما سبق كلماتهم حول ذلك.</w:t>
      </w:r>
      <w:r w:rsidRPr="00282AC9">
        <w:rPr>
          <w:bCs/>
          <w:rtl/>
        </w:rPr>
        <w:t xml:space="preserve"> </w:t>
      </w:r>
    </w:p>
    <w:p w:rsidR="005C75BB" w:rsidRPr="00282AC9" w:rsidRDefault="00946A76" w:rsidP="00186251">
      <w:pPr>
        <w:rPr>
          <w:rtl/>
        </w:rPr>
      </w:pPr>
      <w:r w:rsidRPr="00282AC9">
        <w:rPr>
          <w:rtl/>
        </w:rPr>
        <w:t>وتمس</w:t>
      </w:r>
      <w:r w:rsidR="005C75BB" w:rsidRPr="00282AC9">
        <w:rPr>
          <w:rFonts w:hint="cs"/>
          <w:rtl/>
        </w:rPr>
        <w:t>َّ</w:t>
      </w:r>
      <w:r w:rsidRPr="00282AC9">
        <w:rPr>
          <w:rtl/>
        </w:rPr>
        <w:t>ك أصحاب الاتجاه الثاني بإطلاق ا</w:t>
      </w:r>
      <w:r w:rsidRPr="00282AC9">
        <w:rPr>
          <w:rFonts w:ascii="Times New Roman" w:hAnsi="Times New Roman" w:cs="Times New Roman" w:hint="cs"/>
          <w:rtl/>
        </w:rPr>
        <w:t>ﻵ</w:t>
      </w:r>
      <w:r w:rsidRPr="00282AC9">
        <w:rPr>
          <w:rFonts w:hint="cs"/>
          <w:rtl/>
        </w:rPr>
        <w:t>ية</w:t>
      </w:r>
      <w:r w:rsidRPr="00282AC9">
        <w:rPr>
          <w:rtl/>
        </w:rPr>
        <w:t xml:space="preserve"> وكلمات اللغوي</w:t>
      </w:r>
      <w:r w:rsidR="005C75BB" w:rsidRPr="00282AC9">
        <w:rPr>
          <w:rFonts w:hint="cs"/>
          <w:rtl/>
        </w:rPr>
        <w:t>ّ</w:t>
      </w:r>
      <w:r w:rsidRPr="00282AC9">
        <w:rPr>
          <w:rtl/>
        </w:rPr>
        <w:t>ين. ورأ</w:t>
      </w:r>
      <w:r w:rsidR="005C75BB" w:rsidRPr="00282AC9">
        <w:rPr>
          <w:rFonts w:hint="cs"/>
          <w:rtl/>
        </w:rPr>
        <w:t>َ</w:t>
      </w:r>
      <w:r w:rsidRPr="00282AC9">
        <w:rPr>
          <w:rtl/>
        </w:rPr>
        <w:t>و</w:t>
      </w:r>
      <w:r w:rsidR="005C75BB" w:rsidRPr="00282AC9">
        <w:rPr>
          <w:rFonts w:hint="cs"/>
          <w:rtl/>
        </w:rPr>
        <w:t>ْ</w:t>
      </w:r>
      <w:r w:rsidR="005C75BB" w:rsidRPr="00282AC9">
        <w:rPr>
          <w:rtl/>
        </w:rPr>
        <w:t>ا أن السياق لا يفيد الاختصاص.</w:t>
      </w:r>
    </w:p>
    <w:p w:rsidR="00946A76" w:rsidRPr="00282AC9" w:rsidRDefault="00946A76" w:rsidP="00186251">
      <w:pPr>
        <w:rPr>
          <w:rtl/>
        </w:rPr>
      </w:pPr>
      <w:r w:rsidRPr="00282AC9">
        <w:rPr>
          <w:rtl/>
        </w:rPr>
        <w:t>قال المنتظري: إن وقوع الآية في سياق غزوة بدر</w:t>
      </w:r>
      <w:r w:rsidR="005C75BB" w:rsidRPr="00282AC9">
        <w:rPr>
          <w:rFonts w:hint="cs"/>
          <w:rtl/>
        </w:rPr>
        <w:t xml:space="preserve"> </w:t>
      </w:r>
      <w:r w:rsidRPr="00282AC9">
        <w:rPr>
          <w:rtl/>
        </w:rPr>
        <w:t>لا يوجب التخصيص</w:t>
      </w:r>
      <w:r w:rsidR="005C75BB" w:rsidRPr="00282AC9">
        <w:rPr>
          <w:rFonts w:hint="cs"/>
          <w:rtl/>
        </w:rPr>
        <w:t>؛</w:t>
      </w:r>
      <w:r w:rsidRPr="00282AC9">
        <w:rPr>
          <w:rtl/>
        </w:rPr>
        <w:t xml:space="preserve"> إذ المورد غير مخص</w:t>
      </w:r>
      <w:r w:rsidR="005C75BB" w:rsidRPr="00282AC9">
        <w:rPr>
          <w:rFonts w:hint="cs"/>
          <w:rtl/>
        </w:rPr>
        <w:t>ِّ</w:t>
      </w:r>
      <w:r w:rsidRPr="00282AC9">
        <w:rPr>
          <w:rtl/>
        </w:rPr>
        <w:t>ص</w:t>
      </w:r>
      <w:r w:rsidR="005C75BB" w:rsidRPr="00282AC9">
        <w:rPr>
          <w:rFonts w:hint="cs"/>
          <w:rtl/>
        </w:rPr>
        <w:t>ٍ</w:t>
      </w:r>
      <w:r w:rsidRPr="00282AC9">
        <w:rPr>
          <w:rtl/>
        </w:rPr>
        <w:t>، وإلا</w:t>
      </w:r>
      <w:r w:rsidR="005C75BB" w:rsidRPr="00282AC9">
        <w:rPr>
          <w:rFonts w:hint="cs"/>
          <w:rtl/>
        </w:rPr>
        <w:t>ّ</w:t>
      </w:r>
      <w:r w:rsidRPr="00282AC9">
        <w:rPr>
          <w:rtl/>
        </w:rPr>
        <w:t xml:space="preserve"> لوجب اختصاص الخمس لغنائم بدر فقط. ولا مانع من أن يصير مورد</w:t>
      </w:r>
      <w:r w:rsidR="005C75BB" w:rsidRPr="00282AC9">
        <w:rPr>
          <w:rFonts w:hint="cs"/>
          <w:rtl/>
        </w:rPr>
        <w:t>ٌ</w:t>
      </w:r>
      <w:r w:rsidRPr="00282AC9">
        <w:rPr>
          <w:rtl/>
        </w:rPr>
        <w:t xml:space="preserve"> خاص</w:t>
      </w:r>
      <w:r w:rsidR="005C75BB" w:rsidRPr="00282AC9">
        <w:rPr>
          <w:rFonts w:hint="cs"/>
          <w:rtl/>
        </w:rPr>
        <w:t>ّ</w:t>
      </w:r>
      <w:r w:rsidRPr="00282AC9">
        <w:rPr>
          <w:rtl/>
        </w:rPr>
        <w:t xml:space="preserve"> موجبا</w:t>
      </w:r>
      <w:r w:rsidR="005C75BB" w:rsidRPr="00282AC9">
        <w:rPr>
          <w:rFonts w:hint="cs"/>
          <w:rtl/>
        </w:rPr>
        <w:t>ً</w:t>
      </w:r>
      <w:r w:rsidRPr="00282AC9">
        <w:rPr>
          <w:rtl/>
        </w:rPr>
        <w:t xml:space="preserve"> لنزول حكم</w:t>
      </w:r>
      <w:r w:rsidR="005C75BB" w:rsidRPr="00282AC9">
        <w:rPr>
          <w:rFonts w:hint="cs"/>
          <w:rtl/>
        </w:rPr>
        <w:t>ٍ</w:t>
      </w:r>
      <w:r w:rsidRPr="00282AC9">
        <w:rPr>
          <w:rtl/>
        </w:rPr>
        <w:t xml:space="preserve"> كل</w:t>
      </w:r>
      <w:r w:rsidR="005C75BB" w:rsidRPr="00282AC9">
        <w:rPr>
          <w:rFonts w:hint="cs"/>
          <w:rtl/>
        </w:rPr>
        <w:t>ِّ</w:t>
      </w:r>
      <w:r w:rsidRPr="00282AC9">
        <w:rPr>
          <w:rtl/>
        </w:rPr>
        <w:t>ي</w:t>
      </w:r>
      <w:r w:rsidR="005C75BB" w:rsidRPr="00282AC9">
        <w:rPr>
          <w:rFonts w:hint="cs"/>
          <w:rtl/>
        </w:rPr>
        <w:t>،</w:t>
      </w:r>
      <w:r w:rsidRPr="00282AC9">
        <w:rPr>
          <w:rtl/>
        </w:rPr>
        <w:t xml:space="preserve"> يشمله بعمومه وإطلاقه، بل هو المتعار</w:t>
      </w:r>
      <w:r w:rsidR="005C75BB" w:rsidRPr="00282AC9">
        <w:rPr>
          <w:rFonts w:hint="cs"/>
          <w:rtl/>
        </w:rPr>
        <w:t>َ</w:t>
      </w:r>
      <w:r w:rsidRPr="00282AC9">
        <w:rPr>
          <w:rtl/>
        </w:rPr>
        <w:t>ف في آيات الكتاب العزيز</w:t>
      </w:r>
      <w:r w:rsidRPr="00282AC9">
        <w:rPr>
          <w:rFonts w:hint="cs"/>
          <w:vertAlign w:val="superscript"/>
          <w:rtl/>
        </w:rPr>
        <w:t>(</w:t>
      </w:r>
      <w:r w:rsidRPr="00282AC9">
        <w:rPr>
          <w:rStyle w:val="af9"/>
          <w:sz w:val="27"/>
          <w:rtl/>
        </w:rPr>
        <w:endnoteReference w:id="488"/>
      </w:r>
      <w:r w:rsidRPr="00282AC9">
        <w:rPr>
          <w:rFonts w:hint="cs"/>
          <w:vertAlign w:val="superscript"/>
          <w:rtl/>
        </w:rPr>
        <w:t>)</w:t>
      </w:r>
      <w:r w:rsidRPr="00282AC9">
        <w:rPr>
          <w:rFonts w:hint="cs"/>
          <w:rtl/>
        </w:rPr>
        <w:t>.</w:t>
      </w:r>
    </w:p>
    <w:p w:rsidR="00946A76" w:rsidRPr="00282AC9" w:rsidRDefault="00946A76" w:rsidP="00186251">
      <w:pPr>
        <w:rPr>
          <w:rtl/>
        </w:rPr>
      </w:pPr>
      <w:r w:rsidRPr="00282AC9">
        <w:rPr>
          <w:rtl/>
        </w:rPr>
        <w:t>و</w:t>
      </w:r>
      <w:r w:rsidR="00674EF5" w:rsidRPr="00282AC9">
        <w:rPr>
          <w:rtl/>
        </w:rPr>
        <w:t>لا بُدَّ</w:t>
      </w:r>
      <w:r w:rsidRPr="00282AC9">
        <w:rPr>
          <w:rtl/>
        </w:rPr>
        <w:t xml:space="preserve"> هنا من مراعاة التفريق بين السياق ومناسبة النزول</w:t>
      </w:r>
      <w:r w:rsidR="005C75BB" w:rsidRPr="00282AC9">
        <w:rPr>
          <w:rFonts w:hint="cs"/>
          <w:rtl/>
        </w:rPr>
        <w:t>؛</w:t>
      </w:r>
      <w:r w:rsidRPr="00282AC9">
        <w:rPr>
          <w:rtl/>
        </w:rPr>
        <w:t xml:space="preserve"> فال</w:t>
      </w:r>
      <w:r w:rsidR="005C75BB" w:rsidRPr="00282AC9">
        <w:rPr>
          <w:rFonts w:hint="cs"/>
          <w:rtl/>
        </w:rPr>
        <w:t>أ</w:t>
      </w:r>
      <w:r w:rsidRPr="00282AC9">
        <w:rPr>
          <w:rtl/>
        </w:rPr>
        <w:t>و</w:t>
      </w:r>
      <w:r w:rsidR="005C75BB" w:rsidRPr="00282AC9">
        <w:rPr>
          <w:rFonts w:hint="cs"/>
          <w:rtl/>
        </w:rPr>
        <w:t>ّ</w:t>
      </w:r>
      <w:r w:rsidRPr="00282AC9">
        <w:rPr>
          <w:rtl/>
        </w:rPr>
        <w:t>ل هو وقوع آية الخمس في سياق آيات القتال</w:t>
      </w:r>
      <w:r w:rsidR="005C75BB" w:rsidRPr="00282AC9">
        <w:rPr>
          <w:rFonts w:hint="cs"/>
          <w:rtl/>
        </w:rPr>
        <w:t>؛</w:t>
      </w:r>
      <w:r w:rsidRPr="00282AC9">
        <w:rPr>
          <w:rtl/>
        </w:rPr>
        <w:t xml:space="preserve"> والثاني نزولها في واقعة بدر، ح</w:t>
      </w:r>
      <w:r w:rsidR="005C75BB" w:rsidRPr="00282AC9">
        <w:rPr>
          <w:rFonts w:hint="cs"/>
          <w:rtl/>
        </w:rPr>
        <w:t>َ</w:t>
      </w:r>
      <w:r w:rsidRPr="00282AC9">
        <w:rPr>
          <w:rtl/>
        </w:rPr>
        <w:t>س</w:t>
      </w:r>
      <w:r w:rsidR="005C75BB" w:rsidRPr="00282AC9">
        <w:rPr>
          <w:rFonts w:hint="cs"/>
          <w:rtl/>
        </w:rPr>
        <w:t>ْ</w:t>
      </w:r>
      <w:r w:rsidRPr="00282AC9">
        <w:rPr>
          <w:rtl/>
        </w:rPr>
        <w:t>ب بعض المفس</w:t>
      </w:r>
      <w:r w:rsidR="005C75BB" w:rsidRPr="00282AC9">
        <w:rPr>
          <w:rFonts w:hint="cs"/>
          <w:rtl/>
        </w:rPr>
        <w:t>ِّ</w:t>
      </w:r>
      <w:r w:rsidRPr="00282AC9">
        <w:rPr>
          <w:rtl/>
        </w:rPr>
        <w:t>رين. وح</w:t>
      </w:r>
      <w:r w:rsidR="005C75BB" w:rsidRPr="00282AC9">
        <w:rPr>
          <w:rFonts w:hint="cs"/>
          <w:rtl/>
        </w:rPr>
        <w:t>َ</w:t>
      </w:r>
      <w:r w:rsidRPr="00282AC9">
        <w:rPr>
          <w:rtl/>
        </w:rPr>
        <w:t>س</w:t>
      </w:r>
      <w:r w:rsidR="005C75BB" w:rsidRPr="00282AC9">
        <w:rPr>
          <w:rFonts w:hint="cs"/>
          <w:rtl/>
        </w:rPr>
        <w:t>ْ</w:t>
      </w:r>
      <w:r w:rsidRPr="00282AC9">
        <w:rPr>
          <w:rtl/>
        </w:rPr>
        <w:t>ب هذا المنظور</w:t>
      </w:r>
      <w:r w:rsidR="005C75BB" w:rsidRPr="00282AC9">
        <w:rPr>
          <w:rFonts w:hint="cs"/>
          <w:rtl/>
        </w:rPr>
        <w:t>:</w:t>
      </w:r>
      <w:r w:rsidRPr="00282AC9">
        <w:rPr>
          <w:rtl/>
        </w:rPr>
        <w:t xml:space="preserve"> إن السياق في المورد</w:t>
      </w:r>
      <w:r w:rsidR="005C75BB" w:rsidRPr="00282AC9">
        <w:rPr>
          <w:rFonts w:hint="cs"/>
          <w:rtl/>
        </w:rPr>
        <w:t>،</w:t>
      </w:r>
      <w:r w:rsidRPr="00282AC9">
        <w:rPr>
          <w:rtl/>
        </w:rPr>
        <w:t xml:space="preserve"> مع إطلاق اللفظ أو عمومه، لا يشك</w:t>
      </w:r>
      <w:r w:rsidR="005C75BB" w:rsidRPr="00282AC9">
        <w:rPr>
          <w:rFonts w:hint="cs"/>
          <w:rtl/>
        </w:rPr>
        <w:t>ِّ</w:t>
      </w:r>
      <w:r w:rsidRPr="00282AC9">
        <w:rPr>
          <w:rtl/>
        </w:rPr>
        <w:t>ل قرينة</w:t>
      </w:r>
      <w:r w:rsidR="005C75BB" w:rsidRPr="00282AC9">
        <w:rPr>
          <w:rFonts w:hint="cs"/>
          <w:rtl/>
        </w:rPr>
        <w:t>ً،</w:t>
      </w:r>
      <w:r w:rsidRPr="00282AC9">
        <w:rPr>
          <w:rtl/>
        </w:rPr>
        <w:t xml:space="preserve"> ولا يصلح لتخصيص العمومات اللفظي</w:t>
      </w:r>
      <w:r w:rsidR="005C75BB" w:rsidRPr="00282AC9">
        <w:rPr>
          <w:rFonts w:hint="cs"/>
          <w:rtl/>
        </w:rPr>
        <w:t>ّ</w:t>
      </w:r>
      <w:r w:rsidRPr="00282AC9">
        <w:rPr>
          <w:rtl/>
        </w:rPr>
        <w:t>ة. والواقعة التي نزل بها لا تعدو أن تكون المناسبة التي نزل فيها التشريع، فلا يقتصر عليها</w:t>
      </w:r>
      <w:r w:rsidR="005C75BB" w:rsidRPr="00282AC9">
        <w:rPr>
          <w:rFonts w:hint="cs"/>
          <w:rtl/>
        </w:rPr>
        <w:t>،</w:t>
      </w:r>
      <w:r w:rsidRPr="00282AC9">
        <w:rPr>
          <w:rtl/>
        </w:rPr>
        <w:t xml:space="preserve"> ولا يتجم</w:t>
      </w:r>
      <w:r w:rsidR="005C75BB" w:rsidRPr="00282AC9">
        <w:rPr>
          <w:rFonts w:hint="cs"/>
          <w:rtl/>
        </w:rPr>
        <w:t>َّ</w:t>
      </w:r>
      <w:r w:rsidRPr="00282AC9">
        <w:rPr>
          <w:rtl/>
        </w:rPr>
        <w:t xml:space="preserve">د عندها. </w:t>
      </w:r>
    </w:p>
    <w:p w:rsidR="00946A76" w:rsidRPr="00282AC9" w:rsidRDefault="00946A76" w:rsidP="00186251">
      <w:pPr>
        <w:rPr>
          <w:bCs/>
          <w:rtl/>
        </w:rPr>
      </w:pPr>
      <w:r w:rsidRPr="00282AC9">
        <w:rPr>
          <w:rtl/>
        </w:rPr>
        <w:t>وفي المقابل يرى الهاشمي بأن ما ذ</w:t>
      </w:r>
      <w:r w:rsidR="005C75BB" w:rsidRPr="00282AC9">
        <w:rPr>
          <w:rFonts w:hint="cs"/>
          <w:rtl/>
        </w:rPr>
        <w:t>ُ</w:t>
      </w:r>
      <w:r w:rsidRPr="00282AC9">
        <w:rPr>
          <w:rtl/>
        </w:rPr>
        <w:t>كر أعلاه لا يتم</w:t>
      </w:r>
      <w:r w:rsidR="005C75BB" w:rsidRPr="00282AC9">
        <w:rPr>
          <w:rFonts w:hint="cs"/>
          <w:rtl/>
        </w:rPr>
        <w:t>ّ</w:t>
      </w:r>
      <w:r w:rsidRPr="00282AC9">
        <w:rPr>
          <w:rtl/>
        </w:rPr>
        <w:t xml:space="preserve"> على إطلاقه، فإذا فرض أن المعنى الأخص</w:t>
      </w:r>
      <w:r w:rsidR="005C75BB" w:rsidRPr="00282AC9">
        <w:rPr>
          <w:rFonts w:hint="cs"/>
          <w:rtl/>
        </w:rPr>
        <w:t>ّ،</w:t>
      </w:r>
      <w:r w:rsidRPr="00282AC9">
        <w:rPr>
          <w:rtl/>
        </w:rPr>
        <w:t xml:space="preserve"> وهو غنائم الحرب</w:t>
      </w:r>
      <w:r w:rsidR="005C75BB" w:rsidRPr="00282AC9">
        <w:rPr>
          <w:rFonts w:hint="cs"/>
          <w:rtl/>
        </w:rPr>
        <w:t>،</w:t>
      </w:r>
      <w:r w:rsidRPr="00282AC9">
        <w:rPr>
          <w:rtl/>
        </w:rPr>
        <w:t xml:space="preserve"> كان بخصوصي</w:t>
      </w:r>
      <w:r w:rsidR="005C75BB" w:rsidRPr="00282AC9">
        <w:rPr>
          <w:rFonts w:hint="cs"/>
          <w:rtl/>
        </w:rPr>
        <w:t>ّ</w:t>
      </w:r>
      <w:r w:rsidRPr="00282AC9">
        <w:rPr>
          <w:rtl/>
        </w:rPr>
        <w:t>ته مما ي</w:t>
      </w:r>
      <w:r w:rsidR="00700AB5" w:rsidRPr="00282AC9">
        <w:rPr>
          <w:rFonts w:hint="cs"/>
          <w:rtl/>
        </w:rPr>
        <w:t>ُ</w:t>
      </w:r>
      <w:r w:rsidRPr="00282AC9">
        <w:rPr>
          <w:rtl/>
        </w:rPr>
        <w:t>ست</w:t>
      </w:r>
      <w:r w:rsidR="00700AB5" w:rsidRPr="00282AC9">
        <w:rPr>
          <w:rFonts w:hint="cs"/>
          <w:rtl/>
        </w:rPr>
        <w:t>َ</w:t>
      </w:r>
      <w:r w:rsidRPr="00282AC9">
        <w:rPr>
          <w:rtl/>
        </w:rPr>
        <w:t>ع</w:t>
      </w:r>
      <w:r w:rsidR="00700AB5" w:rsidRPr="00282AC9">
        <w:rPr>
          <w:rFonts w:hint="cs"/>
          <w:rtl/>
        </w:rPr>
        <w:t>ْ</w:t>
      </w:r>
      <w:r w:rsidRPr="00282AC9">
        <w:rPr>
          <w:rtl/>
        </w:rPr>
        <w:t>م</w:t>
      </w:r>
      <w:r w:rsidR="00700AB5" w:rsidRPr="00282AC9">
        <w:rPr>
          <w:rFonts w:hint="cs"/>
          <w:rtl/>
        </w:rPr>
        <w:t>َ</w:t>
      </w:r>
      <w:r w:rsidRPr="00282AC9">
        <w:rPr>
          <w:rtl/>
        </w:rPr>
        <w:t>ل فيه لفظ الغنيمة كمعنى</w:t>
      </w:r>
      <w:r w:rsidR="00700AB5" w:rsidRPr="00282AC9">
        <w:rPr>
          <w:rFonts w:hint="cs"/>
          <w:rtl/>
        </w:rPr>
        <w:t>ً</w:t>
      </w:r>
      <w:r w:rsidRPr="00282AC9">
        <w:rPr>
          <w:rtl/>
        </w:rPr>
        <w:t xml:space="preserve"> استعمالي</w:t>
      </w:r>
      <w:r w:rsidR="00700AB5" w:rsidRPr="00282AC9">
        <w:rPr>
          <w:rFonts w:hint="cs"/>
          <w:rtl/>
        </w:rPr>
        <w:t>ّ،</w:t>
      </w:r>
      <w:r w:rsidRPr="00282AC9">
        <w:rPr>
          <w:rtl/>
        </w:rPr>
        <w:t xml:space="preserve"> ولو</w:t>
      </w:r>
      <w:r w:rsidR="00700AB5" w:rsidRPr="00282AC9">
        <w:rPr>
          <w:rFonts w:hint="cs"/>
          <w:rtl/>
        </w:rPr>
        <w:t xml:space="preserve"> </w:t>
      </w:r>
      <w:r w:rsidRPr="00282AC9">
        <w:rPr>
          <w:rtl/>
        </w:rPr>
        <w:t>مجازا</w:t>
      </w:r>
      <w:r w:rsidR="00700AB5" w:rsidRPr="00282AC9">
        <w:rPr>
          <w:rFonts w:hint="cs"/>
          <w:rtl/>
        </w:rPr>
        <w:t>ً</w:t>
      </w:r>
      <w:r w:rsidRPr="00282AC9">
        <w:rPr>
          <w:rtl/>
        </w:rPr>
        <w:t>، أصبح السياق المذكور صالحا</w:t>
      </w:r>
      <w:r w:rsidR="00700AB5" w:rsidRPr="00282AC9">
        <w:rPr>
          <w:rFonts w:hint="cs"/>
          <w:rtl/>
        </w:rPr>
        <w:t>ً</w:t>
      </w:r>
      <w:r w:rsidRPr="00282AC9">
        <w:rPr>
          <w:rtl/>
        </w:rPr>
        <w:t xml:space="preserve"> للقريني</w:t>
      </w:r>
      <w:r w:rsidR="00700AB5" w:rsidRPr="00282AC9">
        <w:rPr>
          <w:rFonts w:hint="cs"/>
          <w:rtl/>
        </w:rPr>
        <w:t>ّ</w:t>
      </w:r>
      <w:r w:rsidRPr="00282AC9">
        <w:rPr>
          <w:rtl/>
        </w:rPr>
        <w:t>ة على تعيين المعنى المست</w:t>
      </w:r>
      <w:r w:rsidR="00700AB5" w:rsidRPr="00282AC9">
        <w:rPr>
          <w:rFonts w:hint="cs"/>
          <w:rtl/>
        </w:rPr>
        <w:t>َ</w:t>
      </w:r>
      <w:r w:rsidRPr="00282AC9">
        <w:rPr>
          <w:rtl/>
        </w:rPr>
        <w:t>ع</w:t>
      </w:r>
      <w:r w:rsidR="00700AB5" w:rsidRPr="00282AC9">
        <w:rPr>
          <w:rFonts w:hint="cs"/>
          <w:rtl/>
        </w:rPr>
        <w:t>ْ</w:t>
      </w:r>
      <w:r w:rsidRPr="00282AC9">
        <w:rPr>
          <w:rtl/>
        </w:rPr>
        <w:t>م</w:t>
      </w:r>
      <w:r w:rsidR="00700AB5" w:rsidRPr="00282AC9">
        <w:rPr>
          <w:rFonts w:hint="cs"/>
          <w:rtl/>
        </w:rPr>
        <w:t>َ</w:t>
      </w:r>
      <w:r w:rsidRPr="00282AC9">
        <w:rPr>
          <w:rtl/>
        </w:rPr>
        <w:t>ل فيه اللفظ في المعنى الخاص</w:t>
      </w:r>
      <w:r w:rsidR="00700AB5" w:rsidRPr="00282AC9">
        <w:rPr>
          <w:rFonts w:hint="cs"/>
          <w:rtl/>
        </w:rPr>
        <w:t>ّ،</w:t>
      </w:r>
      <w:r w:rsidRPr="00282AC9">
        <w:rPr>
          <w:rtl/>
        </w:rPr>
        <w:t xml:space="preserve"> لا العام</w:t>
      </w:r>
      <w:r w:rsidR="00700AB5" w:rsidRPr="00282AC9">
        <w:rPr>
          <w:rFonts w:hint="cs"/>
          <w:rtl/>
        </w:rPr>
        <w:t>ّ</w:t>
      </w:r>
      <w:r w:rsidRPr="00282AC9">
        <w:rPr>
          <w:rFonts w:hint="cs"/>
          <w:vertAlign w:val="superscript"/>
          <w:rtl/>
        </w:rPr>
        <w:t>(</w:t>
      </w:r>
      <w:r w:rsidRPr="00282AC9">
        <w:rPr>
          <w:rStyle w:val="af9"/>
          <w:sz w:val="27"/>
          <w:rtl/>
        </w:rPr>
        <w:endnoteReference w:id="489"/>
      </w:r>
      <w:r w:rsidRPr="00282AC9">
        <w:rPr>
          <w:rFonts w:hint="cs"/>
          <w:vertAlign w:val="superscript"/>
          <w:rtl/>
        </w:rPr>
        <w:t>)</w:t>
      </w:r>
      <w:r w:rsidRPr="00282AC9">
        <w:rPr>
          <w:rtl/>
        </w:rPr>
        <w:t xml:space="preserve">. </w:t>
      </w:r>
    </w:p>
    <w:p w:rsidR="00235851" w:rsidRPr="00282AC9" w:rsidRDefault="00235851" w:rsidP="00235851">
      <w:pPr>
        <w:spacing w:line="420" w:lineRule="exact"/>
        <w:rPr>
          <w:rtl/>
        </w:rPr>
      </w:pPr>
    </w:p>
    <w:p w:rsidR="00946A76" w:rsidRPr="00282AC9" w:rsidRDefault="00946A76" w:rsidP="00B70E1F">
      <w:pPr>
        <w:pStyle w:val="31"/>
        <w:rPr>
          <w:color w:val="auto"/>
          <w:rtl/>
        </w:rPr>
      </w:pPr>
      <w:r w:rsidRPr="00282AC9">
        <w:rPr>
          <w:color w:val="auto"/>
          <w:rtl/>
        </w:rPr>
        <w:t>2ـ</w:t>
      </w:r>
      <w:r w:rsidRPr="00282AC9">
        <w:rPr>
          <w:rFonts w:hint="cs"/>
          <w:color w:val="auto"/>
          <w:rtl/>
        </w:rPr>
        <w:t xml:space="preserve"> </w:t>
      </w:r>
      <w:r w:rsidRPr="00282AC9">
        <w:rPr>
          <w:color w:val="auto"/>
          <w:rtl/>
        </w:rPr>
        <w:t>الغنائم في الكتب النبوي</w:t>
      </w:r>
      <w:r w:rsidR="00700AB5" w:rsidRPr="00282AC9">
        <w:rPr>
          <w:rFonts w:hint="cs"/>
          <w:color w:val="auto"/>
          <w:rtl/>
        </w:rPr>
        <w:t>ّ</w:t>
      </w:r>
      <w:r w:rsidRPr="00282AC9">
        <w:rPr>
          <w:color w:val="auto"/>
          <w:rtl/>
        </w:rPr>
        <w:t xml:space="preserve">ة </w:t>
      </w:r>
    </w:p>
    <w:p w:rsidR="00700AB5" w:rsidRPr="00282AC9" w:rsidRDefault="00946A76" w:rsidP="00186251">
      <w:pPr>
        <w:rPr>
          <w:rtl/>
        </w:rPr>
      </w:pPr>
      <w:r w:rsidRPr="00282AC9">
        <w:rPr>
          <w:rtl/>
        </w:rPr>
        <w:t>يؤي</w:t>
      </w:r>
      <w:r w:rsidR="00700AB5" w:rsidRPr="00282AC9">
        <w:rPr>
          <w:rFonts w:hint="cs"/>
          <w:rtl/>
        </w:rPr>
        <w:t>ِّ</w:t>
      </w:r>
      <w:r w:rsidRPr="00282AC9">
        <w:rPr>
          <w:rtl/>
        </w:rPr>
        <w:t>د بعض الباحثين موقف الات</w:t>
      </w:r>
      <w:r w:rsidR="00700AB5" w:rsidRPr="00282AC9">
        <w:rPr>
          <w:rFonts w:hint="cs"/>
          <w:rtl/>
        </w:rPr>
        <w:t>ّ</w:t>
      </w:r>
      <w:r w:rsidRPr="00282AC9">
        <w:rPr>
          <w:rtl/>
        </w:rPr>
        <w:t>جاه الموس</w:t>
      </w:r>
      <w:r w:rsidR="00700AB5" w:rsidRPr="00282AC9">
        <w:rPr>
          <w:rFonts w:hint="cs"/>
          <w:rtl/>
        </w:rPr>
        <w:t>ّ</w:t>
      </w:r>
      <w:r w:rsidRPr="00282AC9">
        <w:rPr>
          <w:rtl/>
        </w:rPr>
        <w:t>ع</w:t>
      </w:r>
      <w:r w:rsidR="00700AB5" w:rsidRPr="00282AC9">
        <w:rPr>
          <w:rFonts w:hint="cs"/>
          <w:rtl/>
        </w:rPr>
        <w:t>،</w:t>
      </w:r>
      <w:r w:rsidRPr="00282AC9">
        <w:rPr>
          <w:rtl/>
        </w:rPr>
        <w:t xml:space="preserve"> القائل بعدم اقتصار مفهوم الغنيمة على ما ي</w:t>
      </w:r>
      <w:r w:rsidR="00700AB5" w:rsidRPr="00282AC9">
        <w:rPr>
          <w:rFonts w:hint="cs"/>
          <w:rtl/>
        </w:rPr>
        <w:t>ُ</w:t>
      </w:r>
      <w:r w:rsidRPr="00282AC9">
        <w:rPr>
          <w:rtl/>
        </w:rPr>
        <w:t>ؤخ</w:t>
      </w:r>
      <w:r w:rsidR="00700AB5" w:rsidRPr="00282AC9">
        <w:rPr>
          <w:rFonts w:hint="cs"/>
          <w:rtl/>
        </w:rPr>
        <w:t>َ</w:t>
      </w:r>
      <w:r w:rsidRPr="00282AC9">
        <w:rPr>
          <w:rtl/>
        </w:rPr>
        <w:t>ذ من الكف</w:t>
      </w:r>
      <w:r w:rsidR="00700AB5" w:rsidRPr="00282AC9">
        <w:rPr>
          <w:rFonts w:hint="cs"/>
          <w:rtl/>
        </w:rPr>
        <w:t>ّ</w:t>
      </w:r>
      <w:r w:rsidRPr="00282AC9">
        <w:rPr>
          <w:rtl/>
        </w:rPr>
        <w:t>ار في الحرب، ببعض الفقرات التي تضم</w:t>
      </w:r>
      <w:r w:rsidR="00700AB5" w:rsidRPr="00282AC9">
        <w:rPr>
          <w:rFonts w:hint="cs"/>
          <w:rtl/>
        </w:rPr>
        <w:t>َّ</w:t>
      </w:r>
      <w:r w:rsidRPr="00282AC9">
        <w:rPr>
          <w:rtl/>
        </w:rPr>
        <w:t>ن</w:t>
      </w:r>
      <w:r w:rsidR="00700AB5" w:rsidRPr="00282AC9">
        <w:rPr>
          <w:rFonts w:hint="cs"/>
          <w:rtl/>
        </w:rPr>
        <w:t>َ</w:t>
      </w:r>
      <w:r w:rsidRPr="00282AC9">
        <w:rPr>
          <w:rtl/>
        </w:rPr>
        <w:t>ت</w:t>
      </w:r>
      <w:r w:rsidR="00700AB5" w:rsidRPr="00282AC9">
        <w:rPr>
          <w:rFonts w:hint="cs"/>
          <w:rtl/>
        </w:rPr>
        <w:t>ْ</w:t>
      </w:r>
      <w:r w:rsidRPr="00282AC9">
        <w:rPr>
          <w:rtl/>
        </w:rPr>
        <w:t>ها بعض عهود النبي</w:t>
      </w:r>
      <w:r w:rsidR="00700AB5" w:rsidRPr="00282AC9">
        <w:rPr>
          <w:rFonts w:hint="cs"/>
          <w:rtl/>
        </w:rPr>
        <w:t>ّ</w:t>
      </w:r>
      <w:r w:rsidR="009A2A04" w:rsidRPr="00282AC9">
        <w:rPr>
          <w:rFonts w:cs="Mosawi"/>
          <w:sz w:val="22"/>
          <w:szCs w:val="22"/>
          <w:rtl/>
        </w:rPr>
        <w:t>|</w:t>
      </w:r>
      <w:r w:rsidRPr="00282AC9">
        <w:rPr>
          <w:rtl/>
        </w:rPr>
        <w:t xml:space="preserve"> وكتبه</w:t>
      </w:r>
      <w:r w:rsidR="00700AB5" w:rsidRPr="00282AC9">
        <w:rPr>
          <w:rFonts w:hint="cs"/>
          <w:rtl/>
        </w:rPr>
        <w:t>،</w:t>
      </w:r>
      <w:r w:rsidRPr="00282AC9">
        <w:rPr>
          <w:rtl/>
        </w:rPr>
        <w:t xml:space="preserve"> والتي تفيد ـ ح</w:t>
      </w:r>
      <w:r w:rsidR="00700AB5" w:rsidRPr="00282AC9">
        <w:rPr>
          <w:rFonts w:hint="cs"/>
          <w:rtl/>
        </w:rPr>
        <w:t>َ</w:t>
      </w:r>
      <w:r w:rsidRPr="00282AC9">
        <w:rPr>
          <w:rtl/>
        </w:rPr>
        <w:t>س</w:t>
      </w:r>
      <w:r w:rsidR="00700AB5" w:rsidRPr="00282AC9">
        <w:rPr>
          <w:rFonts w:hint="cs"/>
          <w:rtl/>
        </w:rPr>
        <w:t>ْ</w:t>
      </w:r>
      <w:r w:rsidRPr="00282AC9">
        <w:rPr>
          <w:rtl/>
        </w:rPr>
        <w:t>ب رأيهم ـ أن النبي</w:t>
      </w:r>
      <w:r w:rsidR="00700AB5" w:rsidRPr="00282AC9">
        <w:rPr>
          <w:rFonts w:hint="cs"/>
          <w:rtl/>
        </w:rPr>
        <w:t>ّ</w:t>
      </w:r>
      <w:r w:rsidRPr="00282AC9">
        <w:rPr>
          <w:rtl/>
        </w:rPr>
        <w:t xml:space="preserve"> كان يفرض الخمس في غير الغنائم الحربي</w:t>
      </w:r>
      <w:r w:rsidR="00700AB5" w:rsidRPr="00282AC9">
        <w:rPr>
          <w:rFonts w:hint="cs"/>
          <w:rtl/>
        </w:rPr>
        <w:t>ّ</w:t>
      </w:r>
      <w:r w:rsidR="00700AB5" w:rsidRPr="00282AC9">
        <w:rPr>
          <w:rtl/>
        </w:rPr>
        <w:t>ة.</w:t>
      </w:r>
    </w:p>
    <w:p w:rsidR="00700AB5" w:rsidRPr="00282AC9" w:rsidRDefault="00946A76" w:rsidP="00186251">
      <w:pPr>
        <w:rPr>
          <w:rtl/>
        </w:rPr>
      </w:pPr>
      <w:r w:rsidRPr="00282AC9">
        <w:rPr>
          <w:rtl/>
        </w:rPr>
        <w:t>ومن نماذج الكتب</w:t>
      </w:r>
      <w:r w:rsidR="00700AB5" w:rsidRPr="00282AC9">
        <w:rPr>
          <w:rFonts w:hint="cs"/>
          <w:rtl/>
        </w:rPr>
        <w:t>:</w:t>
      </w:r>
      <w:r w:rsidRPr="00282AC9">
        <w:rPr>
          <w:rtl/>
        </w:rPr>
        <w:t xml:space="preserve"> ما رواه البخاري</w:t>
      </w:r>
      <w:r w:rsidR="00700AB5" w:rsidRPr="00282AC9">
        <w:rPr>
          <w:rFonts w:hint="cs"/>
          <w:rtl/>
        </w:rPr>
        <w:t>،</w:t>
      </w:r>
      <w:r w:rsidRPr="00282AC9">
        <w:rPr>
          <w:rtl/>
        </w:rPr>
        <w:t xml:space="preserve"> عن ابن عباس قال: قدم وفد</w:t>
      </w:r>
      <w:r w:rsidR="00700AB5" w:rsidRPr="00282AC9">
        <w:rPr>
          <w:rFonts w:hint="cs"/>
          <w:rtl/>
        </w:rPr>
        <w:t>ُ</w:t>
      </w:r>
      <w:r w:rsidRPr="00282AC9">
        <w:rPr>
          <w:rtl/>
        </w:rPr>
        <w:t xml:space="preserve"> عبد القيس</w:t>
      </w:r>
      <w:r w:rsidR="00700AB5" w:rsidRPr="00282AC9">
        <w:rPr>
          <w:rFonts w:hint="cs"/>
          <w:rtl/>
        </w:rPr>
        <w:t>،</w:t>
      </w:r>
      <w:r w:rsidRPr="00282AC9">
        <w:rPr>
          <w:rtl/>
        </w:rPr>
        <w:t xml:space="preserve"> فقالوا: يا رسول الله، إنا هذا الحي</w:t>
      </w:r>
      <w:r w:rsidR="00700AB5" w:rsidRPr="00282AC9">
        <w:rPr>
          <w:rFonts w:hint="cs"/>
          <w:rtl/>
        </w:rPr>
        <w:t>ّ</w:t>
      </w:r>
      <w:r w:rsidRPr="00282AC9">
        <w:rPr>
          <w:rtl/>
        </w:rPr>
        <w:t xml:space="preserve"> من ربيعة، بيننا وبينك كف</w:t>
      </w:r>
      <w:r w:rsidR="00700AB5" w:rsidRPr="00282AC9">
        <w:rPr>
          <w:rFonts w:hint="cs"/>
          <w:rtl/>
        </w:rPr>
        <w:t>ّ</w:t>
      </w:r>
      <w:r w:rsidRPr="00282AC9">
        <w:rPr>
          <w:rtl/>
        </w:rPr>
        <w:t>ار مضر، فلسنا نصل إليك إلا</w:t>
      </w:r>
      <w:r w:rsidR="00700AB5" w:rsidRPr="00282AC9">
        <w:rPr>
          <w:rFonts w:hint="cs"/>
          <w:rtl/>
        </w:rPr>
        <w:t>ّ</w:t>
      </w:r>
      <w:r w:rsidRPr="00282AC9">
        <w:rPr>
          <w:rtl/>
        </w:rPr>
        <w:t xml:space="preserve"> في الشهر الحرام، فم</w:t>
      </w:r>
      <w:r w:rsidR="00700AB5" w:rsidRPr="00282AC9">
        <w:rPr>
          <w:rFonts w:hint="cs"/>
          <w:rtl/>
        </w:rPr>
        <w:t>ُ</w:t>
      </w:r>
      <w:r w:rsidRPr="00282AC9">
        <w:rPr>
          <w:rtl/>
        </w:rPr>
        <w:t>ر</w:t>
      </w:r>
      <w:r w:rsidR="00700AB5" w:rsidRPr="00282AC9">
        <w:rPr>
          <w:rFonts w:hint="cs"/>
          <w:rtl/>
        </w:rPr>
        <w:t>ْ</w:t>
      </w:r>
      <w:r w:rsidRPr="00282AC9">
        <w:rPr>
          <w:rtl/>
        </w:rPr>
        <w:t>نا بأمر</w:t>
      </w:r>
      <w:r w:rsidR="00700AB5" w:rsidRPr="00282AC9">
        <w:rPr>
          <w:rFonts w:hint="cs"/>
          <w:rtl/>
        </w:rPr>
        <w:t>ٍ</w:t>
      </w:r>
      <w:r w:rsidRPr="00282AC9">
        <w:rPr>
          <w:rtl/>
        </w:rPr>
        <w:t xml:space="preserve"> نأخذ به</w:t>
      </w:r>
      <w:r w:rsidR="00700AB5" w:rsidRPr="00282AC9">
        <w:rPr>
          <w:rFonts w:hint="cs"/>
          <w:rtl/>
        </w:rPr>
        <w:t>،</w:t>
      </w:r>
      <w:r w:rsidRPr="00282AC9">
        <w:rPr>
          <w:rtl/>
        </w:rPr>
        <w:t xml:space="preserve"> وندعو إليه م</w:t>
      </w:r>
      <w:r w:rsidR="00700AB5" w:rsidRPr="00282AC9">
        <w:rPr>
          <w:rFonts w:hint="cs"/>
          <w:rtl/>
        </w:rPr>
        <w:t>َ</w:t>
      </w:r>
      <w:r w:rsidRPr="00282AC9">
        <w:rPr>
          <w:rtl/>
        </w:rPr>
        <w:t>ن</w:t>
      </w:r>
      <w:r w:rsidR="00700AB5" w:rsidRPr="00282AC9">
        <w:rPr>
          <w:rFonts w:hint="cs"/>
          <w:rtl/>
        </w:rPr>
        <w:t>ْ</w:t>
      </w:r>
      <w:r w:rsidRPr="00282AC9">
        <w:rPr>
          <w:rtl/>
        </w:rPr>
        <w:t xml:space="preserve"> وراءنا، </w:t>
      </w:r>
      <w:r w:rsidRPr="00282AC9">
        <w:rPr>
          <w:rtl/>
        </w:rPr>
        <w:lastRenderedPageBreak/>
        <w:t>قال: آمركم بأربع</w:t>
      </w:r>
      <w:r w:rsidR="00700AB5" w:rsidRPr="00282AC9">
        <w:rPr>
          <w:rFonts w:hint="cs"/>
          <w:rtl/>
        </w:rPr>
        <w:t>،</w:t>
      </w:r>
      <w:r w:rsidRPr="00282AC9">
        <w:rPr>
          <w:rtl/>
        </w:rPr>
        <w:t xml:space="preserve"> وأنهاكم عن أربع</w:t>
      </w:r>
      <w:r w:rsidR="00700AB5" w:rsidRPr="00282AC9">
        <w:rPr>
          <w:rFonts w:hint="cs"/>
          <w:rtl/>
        </w:rPr>
        <w:t>:</w:t>
      </w:r>
      <w:r w:rsidRPr="00282AC9">
        <w:rPr>
          <w:rtl/>
        </w:rPr>
        <w:t xml:space="preserve"> الإيمان بالله: شهادة أن لا إله إلا الله ـ وعقد بيده ـ</w:t>
      </w:r>
      <w:r w:rsidR="00700AB5" w:rsidRPr="00282AC9">
        <w:rPr>
          <w:rFonts w:hint="cs"/>
          <w:rtl/>
        </w:rPr>
        <w:t>؛</w:t>
      </w:r>
      <w:r w:rsidRPr="00282AC9">
        <w:rPr>
          <w:rtl/>
        </w:rPr>
        <w:t xml:space="preserve"> وإقام الصلاة</w:t>
      </w:r>
      <w:r w:rsidR="00700AB5" w:rsidRPr="00282AC9">
        <w:rPr>
          <w:rFonts w:hint="cs"/>
          <w:rtl/>
        </w:rPr>
        <w:t>؛</w:t>
      </w:r>
      <w:r w:rsidRPr="00282AC9">
        <w:rPr>
          <w:rtl/>
        </w:rPr>
        <w:t xml:space="preserve"> وإيتاء الزكاة</w:t>
      </w:r>
      <w:r w:rsidR="00700AB5" w:rsidRPr="00282AC9">
        <w:rPr>
          <w:rFonts w:hint="cs"/>
          <w:rtl/>
        </w:rPr>
        <w:t>؛</w:t>
      </w:r>
      <w:r w:rsidRPr="00282AC9">
        <w:rPr>
          <w:rtl/>
        </w:rPr>
        <w:t xml:space="preserve"> وصيام رمضان</w:t>
      </w:r>
      <w:r w:rsidR="00700AB5" w:rsidRPr="00282AC9">
        <w:rPr>
          <w:rFonts w:hint="cs"/>
          <w:rtl/>
        </w:rPr>
        <w:t>؛</w:t>
      </w:r>
      <w:r w:rsidRPr="00282AC9">
        <w:rPr>
          <w:rtl/>
        </w:rPr>
        <w:t xml:space="preserve"> وأن تؤد</w:t>
      </w:r>
      <w:r w:rsidR="00700AB5" w:rsidRPr="00282AC9">
        <w:rPr>
          <w:rFonts w:hint="cs"/>
          <w:rtl/>
        </w:rPr>
        <w:t>ّ</w:t>
      </w:r>
      <w:r w:rsidRPr="00282AC9">
        <w:rPr>
          <w:rtl/>
        </w:rPr>
        <w:t>وا لله خمس ما غنمتم</w:t>
      </w:r>
      <w:r w:rsidR="00700AB5" w:rsidRPr="00282AC9">
        <w:rPr>
          <w:rFonts w:hint="cs"/>
          <w:rtl/>
        </w:rPr>
        <w:t>...،</w:t>
      </w:r>
      <w:r w:rsidRPr="00282AC9">
        <w:rPr>
          <w:rtl/>
        </w:rPr>
        <w:t xml:space="preserve"> </w:t>
      </w:r>
      <w:r w:rsidR="00700AB5" w:rsidRPr="00282AC9">
        <w:rPr>
          <w:rFonts w:hint="cs"/>
          <w:rtl/>
        </w:rPr>
        <w:t>إ</w:t>
      </w:r>
      <w:r w:rsidRPr="00282AC9">
        <w:rPr>
          <w:rtl/>
        </w:rPr>
        <w:t>لخ</w:t>
      </w:r>
      <w:r w:rsidRPr="00282AC9">
        <w:rPr>
          <w:rFonts w:hint="cs"/>
          <w:vertAlign w:val="superscript"/>
          <w:rtl/>
        </w:rPr>
        <w:t>(</w:t>
      </w:r>
      <w:r w:rsidRPr="00282AC9">
        <w:rPr>
          <w:rStyle w:val="af9"/>
          <w:sz w:val="27"/>
          <w:rtl/>
        </w:rPr>
        <w:endnoteReference w:id="490"/>
      </w:r>
      <w:r w:rsidRPr="00282AC9">
        <w:rPr>
          <w:rFonts w:hint="cs"/>
          <w:vertAlign w:val="superscript"/>
          <w:rtl/>
        </w:rPr>
        <w:t>)</w:t>
      </w:r>
      <w:r w:rsidRPr="00282AC9">
        <w:rPr>
          <w:rtl/>
        </w:rPr>
        <w:t>.</w:t>
      </w:r>
    </w:p>
    <w:p w:rsidR="00946A76" w:rsidRPr="00282AC9" w:rsidRDefault="00946A76" w:rsidP="00186251">
      <w:pPr>
        <w:rPr>
          <w:rtl/>
        </w:rPr>
      </w:pPr>
      <w:r w:rsidRPr="00282AC9">
        <w:rPr>
          <w:rtl/>
        </w:rPr>
        <w:t>ومن الجلي</w:t>
      </w:r>
      <w:r w:rsidR="00700AB5" w:rsidRPr="00282AC9">
        <w:rPr>
          <w:rFonts w:hint="cs"/>
          <w:rtl/>
        </w:rPr>
        <w:t>ّ</w:t>
      </w:r>
      <w:r w:rsidRPr="00282AC9">
        <w:rPr>
          <w:rtl/>
        </w:rPr>
        <w:t xml:space="preserve"> ـ في نظرهم ـ أنه لا يمكن أن يكون الخ</w:t>
      </w:r>
      <w:r w:rsidR="00700AB5" w:rsidRPr="00282AC9">
        <w:rPr>
          <w:rFonts w:hint="cs"/>
          <w:rtl/>
        </w:rPr>
        <w:t>ُ</w:t>
      </w:r>
      <w:r w:rsidRPr="00282AC9">
        <w:rPr>
          <w:rtl/>
        </w:rPr>
        <w:t>م</w:t>
      </w:r>
      <w:r w:rsidR="00700AB5" w:rsidRPr="00282AC9">
        <w:rPr>
          <w:rFonts w:hint="cs"/>
          <w:rtl/>
        </w:rPr>
        <w:t>ْ</w:t>
      </w:r>
      <w:r w:rsidRPr="00282AC9">
        <w:rPr>
          <w:rtl/>
        </w:rPr>
        <w:t>س هنا على غنائم حربي</w:t>
      </w:r>
      <w:r w:rsidR="00700AB5" w:rsidRPr="00282AC9">
        <w:rPr>
          <w:rFonts w:hint="cs"/>
          <w:rtl/>
        </w:rPr>
        <w:t>ّ</w:t>
      </w:r>
      <w:r w:rsidRPr="00282AC9">
        <w:rPr>
          <w:rtl/>
        </w:rPr>
        <w:t>ة مع هذا الحي</w:t>
      </w:r>
      <w:r w:rsidR="00700AB5" w:rsidRPr="00282AC9">
        <w:rPr>
          <w:rFonts w:hint="cs"/>
          <w:rtl/>
        </w:rPr>
        <w:t>ّ</w:t>
      </w:r>
      <w:r w:rsidRPr="00282AC9">
        <w:rPr>
          <w:rtl/>
        </w:rPr>
        <w:t xml:space="preserve"> المست</w:t>
      </w:r>
      <w:r w:rsidR="00700AB5" w:rsidRPr="00282AC9">
        <w:rPr>
          <w:rFonts w:hint="cs"/>
          <w:rtl/>
        </w:rPr>
        <w:t>َ</w:t>
      </w:r>
      <w:r w:rsidRPr="00282AC9">
        <w:rPr>
          <w:rtl/>
        </w:rPr>
        <w:t>ض</w:t>
      </w:r>
      <w:r w:rsidR="00700AB5" w:rsidRPr="00282AC9">
        <w:rPr>
          <w:rFonts w:hint="cs"/>
          <w:rtl/>
        </w:rPr>
        <w:t>ْ</w:t>
      </w:r>
      <w:r w:rsidRPr="00282AC9">
        <w:rPr>
          <w:rtl/>
        </w:rPr>
        <w:t>ع</w:t>
      </w:r>
      <w:r w:rsidR="00700AB5" w:rsidRPr="00282AC9">
        <w:rPr>
          <w:rFonts w:hint="cs"/>
          <w:rtl/>
        </w:rPr>
        <w:t>َ</w:t>
      </w:r>
      <w:r w:rsidRPr="00282AC9">
        <w:rPr>
          <w:rtl/>
        </w:rPr>
        <w:t>ف</w:t>
      </w:r>
      <w:r w:rsidR="00700AB5" w:rsidRPr="00282AC9">
        <w:rPr>
          <w:rFonts w:hint="cs"/>
          <w:rtl/>
        </w:rPr>
        <w:t>،</w:t>
      </w:r>
      <w:r w:rsidRPr="00282AC9">
        <w:rPr>
          <w:rtl/>
        </w:rPr>
        <w:t xml:space="preserve"> الذي لا يقوى على الخروج للقاء النبي</w:t>
      </w:r>
      <w:r w:rsidR="00700AB5" w:rsidRPr="00282AC9">
        <w:rPr>
          <w:rFonts w:hint="cs"/>
          <w:rtl/>
        </w:rPr>
        <w:t>ّ</w:t>
      </w:r>
      <w:r w:rsidRPr="00282AC9">
        <w:rPr>
          <w:rtl/>
        </w:rPr>
        <w:t xml:space="preserve"> إلا</w:t>
      </w:r>
      <w:r w:rsidR="00700AB5" w:rsidRPr="00282AC9">
        <w:rPr>
          <w:rFonts w:hint="cs"/>
          <w:rtl/>
        </w:rPr>
        <w:t>ّ</w:t>
      </w:r>
      <w:r w:rsidRPr="00282AC9">
        <w:rPr>
          <w:rtl/>
        </w:rPr>
        <w:t xml:space="preserve"> بمناسبة الس</w:t>
      </w:r>
      <w:r w:rsidR="00700AB5" w:rsidRPr="00282AC9">
        <w:rPr>
          <w:rFonts w:hint="cs"/>
          <w:rtl/>
        </w:rPr>
        <w:t>ِّ</w:t>
      </w:r>
      <w:r w:rsidRPr="00282AC9">
        <w:rPr>
          <w:rtl/>
        </w:rPr>
        <w:t>ل</w:t>
      </w:r>
      <w:r w:rsidR="00700AB5" w:rsidRPr="00282AC9">
        <w:rPr>
          <w:rFonts w:hint="cs"/>
          <w:rtl/>
        </w:rPr>
        <w:t>ْ</w:t>
      </w:r>
      <w:r w:rsidRPr="00282AC9">
        <w:rPr>
          <w:rtl/>
        </w:rPr>
        <w:t>م في الأشهر الح</w:t>
      </w:r>
      <w:r w:rsidR="00700AB5" w:rsidRPr="00282AC9">
        <w:rPr>
          <w:rFonts w:hint="cs"/>
          <w:rtl/>
        </w:rPr>
        <w:t>ُ</w:t>
      </w:r>
      <w:r w:rsidRPr="00282AC9">
        <w:rPr>
          <w:rtl/>
        </w:rPr>
        <w:t>ر</w:t>
      </w:r>
      <w:r w:rsidR="00700AB5" w:rsidRPr="00282AC9">
        <w:rPr>
          <w:rFonts w:hint="cs"/>
          <w:rtl/>
        </w:rPr>
        <w:t>ُ</w:t>
      </w:r>
      <w:r w:rsidRPr="00282AC9">
        <w:rPr>
          <w:rtl/>
        </w:rPr>
        <w:t>م.</w:t>
      </w:r>
    </w:p>
    <w:p w:rsidR="00946A76" w:rsidRPr="00282AC9" w:rsidRDefault="00946A76" w:rsidP="00186251">
      <w:pPr>
        <w:rPr>
          <w:rtl/>
        </w:rPr>
      </w:pPr>
      <w:r w:rsidRPr="00282AC9">
        <w:rPr>
          <w:rtl/>
        </w:rPr>
        <w:t>وقد جاء مثل هذا التأكيد على أداء خمس المغانم في جملة</w:t>
      </w:r>
      <w:r w:rsidR="00700AB5" w:rsidRPr="00282AC9">
        <w:rPr>
          <w:rFonts w:hint="cs"/>
          <w:rtl/>
        </w:rPr>
        <w:t>ٍ</w:t>
      </w:r>
      <w:r w:rsidRPr="00282AC9">
        <w:rPr>
          <w:rtl/>
        </w:rPr>
        <w:t xml:space="preserve"> من كتب الرسول</w:t>
      </w:r>
      <w:r w:rsidR="009A2A04" w:rsidRPr="00282AC9">
        <w:rPr>
          <w:rFonts w:cs="Mosawi"/>
          <w:sz w:val="22"/>
          <w:szCs w:val="22"/>
          <w:rtl/>
        </w:rPr>
        <w:t>|</w:t>
      </w:r>
      <w:r w:rsidRPr="00282AC9">
        <w:rPr>
          <w:rtl/>
        </w:rPr>
        <w:t xml:space="preserve"> </w:t>
      </w:r>
      <w:r w:rsidR="00700AB5" w:rsidRPr="00282AC9">
        <w:rPr>
          <w:rFonts w:hint="cs"/>
          <w:rtl/>
        </w:rPr>
        <w:t>إ</w:t>
      </w:r>
      <w:r w:rsidRPr="00282AC9">
        <w:rPr>
          <w:rtl/>
        </w:rPr>
        <w:t>لى مختلف القبائل التي انضم</w:t>
      </w:r>
      <w:r w:rsidR="00700AB5" w:rsidRPr="00282AC9">
        <w:rPr>
          <w:rFonts w:hint="cs"/>
          <w:rtl/>
        </w:rPr>
        <w:t>َّ</w:t>
      </w:r>
      <w:r w:rsidRPr="00282AC9">
        <w:rPr>
          <w:rtl/>
        </w:rPr>
        <w:t>ت</w:t>
      </w:r>
      <w:r w:rsidR="00700AB5" w:rsidRPr="00282AC9">
        <w:rPr>
          <w:rFonts w:hint="cs"/>
          <w:rtl/>
        </w:rPr>
        <w:t>ْ</w:t>
      </w:r>
      <w:r w:rsidRPr="00282AC9">
        <w:rPr>
          <w:rtl/>
        </w:rPr>
        <w:t xml:space="preserve"> </w:t>
      </w:r>
      <w:r w:rsidR="00700AB5" w:rsidRPr="00282AC9">
        <w:rPr>
          <w:rFonts w:hint="cs"/>
          <w:rtl/>
        </w:rPr>
        <w:t>إ</w:t>
      </w:r>
      <w:r w:rsidRPr="00282AC9">
        <w:rPr>
          <w:rtl/>
        </w:rPr>
        <w:t>لى المسلمين</w:t>
      </w:r>
      <w:r w:rsidR="00700AB5" w:rsidRPr="00282AC9">
        <w:rPr>
          <w:rFonts w:hint="cs"/>
          <w:rtl/>
        </w:rPr>
        <w:t>،</w:t>
      </w:r>
      <w:r w:rsidRPr="00282AC9">
        <w:rPr>
          <w:rtl/>
        </w:rPr>
        <w:t xml:space="preserve"> ح</w:t>
      </w:r>
      <w:r w:rsidR="00700AB5" w:rsidRPr="00282AC9">
        <w:rPr>
          <w:rFonts w:hint="cs"/>
          <w:rtl/>
        </w:rPr>
        <w:t>َ</w:t>
      </w:r>
      <w:r w:rsidRPr="00282AC9">
        <w:rPr>
          <w:rtl/>
        </w:rPr>
        <w:t>س</w:t>
      </w:r>
      <w:r w:rsidR="00700AB5" w:rsidRPr="00282AC9">
        <w:rPr>
          <w:rFonts w:hint="cs"/>
          <w:rtl/>
        </w:rPr>
        <w:t>ْ</w:t>
      </w:r>
      <w:r w:rsidRPr="00282AC9">
        <w:rPr>
          <w:rtl/>
        </w:rPr>
        <w:t>ب بعض المصادر</w:t>
      </w:r>
      <w:r w:rsidR="00700AB5" w:rsidRPr="00282AC9">
        <w:rPr>
          <w:rFonts w:hint="cs"/>
          <w:rtl/>
        </w:rPr>
        <w:t xml:space="preserve">، </w:t>
      </w:r>
      <w:r w:rsidRPr="00282AC9">
        <w:rPr>
          <w:rtl/>
        </w:rPr>
        <w:t>مثل</w:t>
      </w:r>
      <w:r w:rsidR="00700AB5" w:rsidRPr="00282AC9">
        <w:rPr>
          <w:rFonts w:hint="cs"/>
          <w:rtl/>
        </w:rPr>
        <w:t>:</w:t>
      </w:r>
      <w:r w:rsidRPr="00282AC9">
        <w:rPr>
          <w:rtl/>
        </w:rPr>
        <w:t xml:space="preserve"> كتابه لأهل اليمن مع عمرو بن حزم، وكتابه للفجيع، ولجنادة الأزدي وقومه. وكتب لجهينة بن زيد: إن</w:t>
      </w:r>
      <w:r w:rsidR="00B208D5" w:rsidRPr="00282AC9">
        <w:rPr>
          <w:rFonts w:hint="cs"/>
          <w:rtl/>
        </w:rPr>
        <w:t>ّ</w:t>
      </w:r>
      <w:r w:rsidRPr="00282AC9">
        <w:rPr>
          <w:rtl/>
        </w:rPr>
        <w:t xml:space="preserve"> لكم بطون الأرض وسهولها</w:t>
      </w:r>
      <w:r w:rsidR="00B208D5" w:rsidRPr="00282AC9">
        <w:rPr>
          <w:rFonts w:hint="cs"/>
          <w:rtl/>
        </w:rPr>
        <w:t>،</w:t>
      </w:r>
      <w:r w:rsidRPr="00282AC9">
        <w:rPr>
          <w:rtl/>
        </w:rPr>
        <w:t xml:space="preserve"> وتلاع الأودية وظهورها</w:t>
      </w:r>
      <w:r w:rsidR="00B208D5" w:rsidRPr="00282AC9">
        <w:rPr>
          <w:rFonts w:hint="cs"/>
          <w:rtl/>
        </w:rPr>
        <w:t>،</w:t>
      </w:r>
      <w:r w:rsidRPr="00282AC9">
        <w:rPr>
          <w:rtl/>
        </w:rPr>
        <w:t xml:space="preserve"> على أن ترعوا نباتها</w:t>
      </w:r>
      <w:r w:rsidR="00B208D5" w:rsidRPr="00282AC9">
        <w:rPr>
          <w:rFonts w:hint="cs"/>
          <w:rtl/>
        </w:rPr>
        <w:t>،</w:t>
      </w:r>
      <w:r w:rsidRPr="00282AC9">
        <w:rPr>
          <w:rtl/>
        </w:rPr>
        <w:t xml:space="preserve"> وتشربوا ماءها، على أن تؤد</w:t>
      </w:r>
      <w:r w:rsidR="00B208D5" w:rsidRPr="00282AC9">
        <w:rPr>
          <w:rFonts w:hint="cs"/>
          <w:rtl/>
        </w:rPr>
        <w:t>ّ</w:t>
      </w:r>
      <w:r w:rsidRPr="00282AC9">
        <w:rPr>
          <w:rtl/>
        </w:rPr>
        <w:t>وا الخمس. والرسالة الأخيرة ظاهرة</w:t>
      </w:r>
      <w:r w:rsidR="00B208D5" w:rsidRPr="00282AC9">
        <w:rPr>
          <w:rFonts w:hint="cs"/>
          <w:rtl/>
        </w:rPr>
        <w:t>ٌ</w:t>
      </w:r>
      <w:r w:rsidRPr="00282AC9">
        <w:rPr>
          <w:rtl/>
        </w:rPr>
        <w:t xml:space="preserve"> في أنه طلب منهم أن يدفعوا خمس ما يستفيدونه من خ</w:t>
      </w:r>
      <w:r w:rsidR="00B208D5" w:rsidRPr="00282AC9">
        <w:rPr>
          <w:rFonts w:hint="cs"/>
          <w:rtl/>
        </w:rPr>
        <w:t>َ</w:t>
      </w:r>
      <w:r w:rsidRPr="00282AC9">
        <w:rPr>
          <w:rtl/>
        </w:rPr>
        <w:t>ي</w:t>
      </w:r>
      <w:r w:rsidR="00B208D5" w:rsidRPr="00282AC9">
        <w:rPr>
          <w:rFonts w:hint="cs"/>
          <w:rtl/>
        </w:rPr>
        <w:t>ْ</w:t>
      </w:r>
      <w:r w:rsidRPr="00282AC9">
        <w:rPr>
          <w:rtl/>
        </w:rPr>
        <w:t>رات الأرض</w:t>
      </w:r>
      <w:r w:rsidRPr="00282AC9">
        <w:rPr>
          <w:rFonts w:hint="cs"/>
          <w:vertAlign w:val="superscript"/>
          <w:rtl/>
        </w:rPr>
        <w:t>(</w:t>
      </w:r>
      <w:r w:rsidRPr="00282AC9">
        <w:rPr>
          <w:rStyle w:val="af9"/>
          <w:sz w:val="27"/>
          <w:rtl/>
        </w:rPr>
        <w:endnoteReference w:id="491"/>
      </w:r>
      <w:r w:rsidRPr="00282AC9">
        <w:rPr>
          <w:rFonts w:hint="cs"/>
          <w:vertAlign w:val="superscript"/>
          <w:rtl/>
        </w:rPr>
        <w:t>)</w:t>
      </w:r>
      <w:r w:rsidRPr="00282AC9">
        <w:rPr>
          <w:rFonts w:hint="cs"/>
          <w:rtl/>
        </w:rPr>
        <w:t>.</w:t>
      </w:r>
    </w:p>
    <w:p w:rsidR="00946A76" w:rsidRPr="00282AC9" w:rsidRDefault="00946A76" w:rsidP="00186251">
      <w:pPr>
        <w:rPr>
          <w:rtl/>
        </w:rPr>
      </w:pPr>
      <w:r w:rsidRPr="00282AC9">
        <w:rPr>
          <w:rtl/>
        </w:rPr>
        <w:t>وي</w:t>
      </w:r>
      <w:r w:rsidR="00B208D5" w:rsidRPr="00282AC9">
        <w:rPr>
          <w:rFonts w:hint="cs"/>
          <w:rtl/>
        </w:rPr>
        <w:t>ُ</w:t>
      </w:r>
      <w:r w:rsidRPr="00282AC9">
        <w:rPr>
          <w:rtl/>
        </w:rPr>
        <w:t>لاح</w:t>
      </w:r>
      <w:r w:rsidR="00B208D5" w:rsidRPr="00282AC9">
        <w:rPr>
          <w:rFonts w:hint="cs"/>
          <w:rtl/>
        </w:rPr>
        <w:t>َ</w:t>
      </w:r>
      <w:r w:rsidRPr="00282AC9">
        <w:rPr>
          <w:rtl/>
        </w:rPr>
        <w:t>ظ في بعض كتب الرسول</w:t>
      </w:r>
      <w:r w:rsidR="009A2A04" w:rsidRPr="00282AC9">
        <w:rPr>
          <w:rFonts w:cs="Mosawi"/>
          <w:sz w:val="22"/>
          <w:szCs w:val="22"/>
          <w:rtl/>
        </w:rPr>
        <w:t>|</w:t>
      </w:r>
      <w:r w:rsidRPr="00282AC9">
        <w:rPr>
          <w:rtl/>
        </w:rPr>
        <w:t xml:space="preserve"> </w:t>
      </w:r>
      <w:r w:rsidR="00B208D5" w:rsidRPr="00282AC9">
        <w:rPr>
          <w:rFonts w:hint="cs"/>
          <w:rtl/>
        </w:rPr>
        <w:t>أ</w:t>
      </w:r>
      <w:r w:rsidRPr="00282AC9">
        <w:rPr>
          <w:rtl/>
        </w:rPr>
        <w:t>نه ربط فيها بين الصلاة والزكاة والصيام والخمس وغيرها من الأمور</w:t>
      </w:r>
      <w:r w:rsidR="00B208D5" w:rsidRPr="00282AC9">
        <w:rPr>
          <w:rFonts w:hint="cs"/>
          <w:rtl/>
        </w:rPr>
        <w:t>،</w:t>
      </w:r>
      <w:r w:rsidRPr="00282AC9">
        <w:rPr>
          <w:rtl/>
        </w:rPr>
        <w:t xml:space="preserve"> التي اعت</w:t>
      </w:r>
      <w:r w:rsidR="00B208D5" w:rsidRPr="00282AC9">
        <w:rPr>
          <w:rFonts w:hint="cs"/>
          <w:rtl/>
        </w:rPr>
        <w:t>ُ</w:t>
      </w:r>
      <w:r w:rsidRPr="00282AC9">
        <w:rPr>
          <w:rtl/>
        </w:rPr>
        <w:t>ب</w:t>
      </w:r>
      <w:r w:rsidR="00B208D5" w:rsidRPr="00282AC9">
        <w:rPr>
          <w:rFonts w:hint="cs"/>
          <w:rtl/>
        </w:rPr>
        <w:t>ِ</w:t>
      </w:r>
      <w:r w:rsidRPr="00282AC9">
        <w:rPr>
          <w:rtl/>
        </w:rPr>
        <w:t>ر</w:t>
      </w:r>
      <w:r w:rsidR="00B208D5" w:rsidRPr="00282AC9">
        <w:rPr>
          <w:rFonts w:hint="cs"/>
          <w:rtl/>
        </w:rPr>
        <w:t>َ</w:t>
      </w:r>
      <w:r w:rsidRPr="00282AC9">
        <w:rPr>
          <w:rtl/>
        </w:rPr>
        <w:t>ت شرطا</w:t>
      </w:r>
      <w:r w:rsidR="00B208D5" w:rsidRPr="00282AC9">
        <w:rPr>
          <w:rFonts w:hint="cs"/>
          <w:rtl/>
        </w:rPr>
        <w:t>ً</w:t>
      </w:r>
      <w:r w:rsidRPr="00282AC9">
        <w:rPr>
          <w:rtl/>
        </w:rPr>
        <w:t xml:space="preserve"> في قبول إسلامهم</w:t>
      </w:r>
      <w:r w:rsidR="00B208D5" w:rsidRPr="00282AC9">
        <w:rPr>
          <w:rFonts w:hint="cs"/>
          <w:rtl/>
        </w:rPr>
        <w:t>،</w:t>
      </w:r>
      <w:r w:rsidRPr="00282AC9">
        <w:rPr>
          <w:rtl/>
        </w:rPr>
        <w:t xml:space="preserve"> ودخولهم في ذم</w:t>
      </w:r>
      <w:r w:rsidR="00B208D5" w:rsidRPr="00282AC9">
        <w:rPr>
          <w:rFonts w:hint="cs"/>
          <w:rtl/>
        </w:rPr>
        <w:t>ّ</w:t>
      </w:r>
      <w:r w:rsidRPr="00282AC9">
        <w:rPr>
          <w:rtl/>
        </w:rPr>
        <w:t>ة الله ورسوله</w:t>
      </w:r>
      <w:r w:rsidR="009A2A04" w:rsidRPr="00282AC9">
        <w:rPr>
          <w:rFonts w:cs="Mosawi"/>
          <w:sz w:val="22"/>
          <w:szCs w:val="22"/>
          <w:rtl/>
        </w:rPr>
        <w:t>|</w:t>
      </w:r>
      <w:r w:rsidR="00B208D5" w:rsidRPr="00282AC9">
        <w:rPr>
          <w:rFonts w:hint="cs"/>
          <w:rtl/>
        </w:rPr>
        <w:t>،</w:t>
      </w:r>
      <w:r w:rsidRPr="00282AC9">
        <w:rPr>
          <w:rtl/>
        </w:rPr>
        <w:t xml:space="preserve"> وفي</w:t>
      </w:r>
      <w:r w:rsidR="00B208D5" w:rsidRPr="00282AC9">
        <w:rPr>
          <w:rFonts w:hint="cs"/>
          <w:rtl/>
        </w:rPr>
        <w:t xml:space="preserve"> </w:t>
      </w:r>
      <w:r w:rsidRPr="00282AC9">
        <w:rPr>
          <w:rtl/>
        </w:rPr>
        <w:t>ما د</w:t>
      </w:r>
      <w:r w:rsidR="00B208D5" w:rsidRPr="00282AC9">
        <w:rPr>
          <w:rFonts w:hint="cs"/>
          <w:rtl/>
        </w:rPr>
        <w:t>َ</w:t>
      </w:r>
      <w:r w:rsidRPr="00282AC9">
        <w:rPr>
          <w:rtl/>
        </w:rPr>
        <w:t>خ</w:t>
      </w:r>
      <w:r w:rsidR="00B208D5" w:rsidRPr="00282AC9">
        <w:rPr>
          <w:rFonts w:hint="cs"/>
          <w:rtl/>
        </w:rPr>
        <w:t>َ</w:t>
      </w:r>
      <w:r w:rsidRPr="00282AC9">
        <w:rPr>
          <w:rtl/>
        </w:rPr>
        <w:t>ل فيه المسلمون، مم</w:t>
      </w:r>
      <w:r w:rsidR="00B208D5" w:rsidRPr="00282AC9">
        <w:rPr>
          <w:rFonts w:hint="cs"/>
          <w:rtl/>
        </w:rPr>
        <w:t>ّ</w:t>
      </w:r>
      <w:r w:rsidRPr="00282AC9">
        <w:rPr>
          <w:rtl/>
        </w:rPr>
        <w:t>ا يؤك</w:t>
      </w:r>
      <w:r w:rsidR="00B208D5" w:rsidRPr="00282AC9">
        <w:rPr>
          <w:rFonts w:hint="cs"/>
          <w:rtl/>
        </w:rPr>
        <w:t>ِّ</w:t>
      </w:r>
      <w:r w:rsidRPr="00282AC9">
        <w:rPr>
          <w:rtl/>
        </w:rPr>
        <w:t>د على أهم</w:t>
      </w:r>
      <w:r w:rsidR="00B208D5" w:rsidRPr="00282AC9">
        <w:rPr>
          <w:rFonts w:hint="cs"/>
          <w:rtl/>
        </w:rPr>
        <w:t>ِّ</w:t>
      </w:r>
      <w:r w:rsidRPr="00282AC9">
        <w:rPr>
          <w:rtl/>
        </w:rPr>
        <w:t>يته الديني</w:t>
      </w:r>
      <w:r w:rsidR="00B208D5" w:rsidRPr="00282AC9">
        <w:rPr>
          <w:rFonts w:hint="cs"/>
          <w:rtl/>
        </w:rPr>
        <w:t>ّ</w:t>
      </w:r>
      <w:r w:rsidRPr="00282AC9">
        <w:rPr>
          <w:rtl/>
        </w:rPr>
        <w:t>ة</w:t>
      </w:r>
      <w:r w:rsidR="00B208D5" w:rsidRPr="00282AC9">
        <w:rPr>
          <w:rFonts w:hint="cs"/>
          <w:rtl/>
        </w:rPr>
        <w:t>،</w:t>
      </w:r>
      <w:r w:rsidRPr="00282AC9">
        <w:rPr>
          <w:rtl/>
        </w:rPr>
        <w:t xml:space="preserve"> وليس السياسية فقط. وقد بين فيها الوظائف الفردي</w:t>
      </w:r>
      <w:r w:rsidR="00B208D5" w:rsidRPr="00282AC9">
        <w:rPr>
          <w:rFonts w:hint="cs"/>
          <w:rtl/>
        </w:rPr>
        <w:t>ّ</w:t>
      </w:r>
      <w:r w:rsidRPr="00282AC9">
        <w:rPr>
          <w:rtl/>
        </w:rPr>
        <w:t>ة</w:t>
      </w:r>
      <w:r w:rsidR="00B208D5" w:rsidRPr="00282AC9">
        <w:rPr>
          <w:rFonts w:hint="cs"/>
          <w:rtl/>
        </w:rPr>
        <w:t>،</w:t>
      </w:r>
      <w:r w:rsidRPr="00282AC9">
        <w:rPr>
          <w:rtl/>
        </w:rPr>
        <w:t xml:space="preserve"> التي يجب على كل مسلم أن يؤديها. </w:t>
      </w:r>
    </w:p>
    <w:p w:rsidR="00946A76" w:rsidRPr="00282AC9" w:rsidRDefault="00946A76" w:rsidP="00186251">
      <w:pPr>
        <w:rPr>
          <w:rtl/>
        </w:rPr>
      </w:pPr>
      <w:r w:rsidRPr="00282AC9">
        <w:rPr>
          <w:rtl/>
        </w:rPr>
        <w:t>ويرى هذا الفريق أن النبي</w:t>
      </w:r>
      <w:r w:rsidR="00B208D5" w:rsidRPr="00282AC9">
        <w:rPr>
          <w:rFonts w:hint="cs"/>
          <w:rtl/>
        </w:rPr>
        <w:t>ّ</w:t>
      </w:r>
      <w:r w:rsidR="009A2A04" w:rsidRPr="00282AC9">
        <w:rPr>
          <w:rFonts w:cs="Mosawi"/>
          <w:sz w:val="22"/>
          <w:szCs w:val="22"/>
          <w:rtl/>
        </w:rPr>
        <w:t>|</w:t>
      </w:r>
      <w:r w:rsidRPr="00282AC9">
        <w:rPr>
          <w:rtl/>
        </w:rPr>
        <w:t xml:space="preserve"> لم يكن يطلب منهم في تلك العهود والكتب أن يدفعوا الخمس من غنائم الحرب</w:t>
      </w:r>
      <w:r w:rsidR="00B208D5" w:rsidRPr="00282AC9">
        <w:rPr>
          <w:rFonts w:hint="cs"/>
          <w:rtl/>
        </w:rPr>
        <w:t>؛</w:t>
      </w:r>
      <w:r w:rsidRPr="00282AC9">
        <w:rPr>
          <w:rtl/>
        </w:rPr>
        <w:t xml:space="preserve"> لأن بعضهم كانوا مست</w:t>
      </w:r>
      <w:r w:rsidR="00B208D5" w:rsidRPr="00282AC9">
        <w:rPr>
          <w:rFonts w:hint="cs"/>
          <w:rtl/>
        </w:rPr>
        <w:t>َ</w:t>
      </w:r>
      <w:r w:rsidRPr="00282AC9">
        <w:rPr>
          <w:rtl/>
        </w:rPr>
        <w:t>ض</w:t>
      </w:r>
      <w:r w:rsidR="00B208D5" w:rsidRPr="00282AC9">
        <w:rPr>
          <w:rFonts w:hint="cs"/>
          <w:rtl/>
        </w:rPr>
        <w:t>ْ</w:t>
      </w:r>
      <w:r w:rsidRPr="00282AC9">
        <w:rPr>
          <w:rtl/>
        </w:rPr>
        <w:t>ع</w:t>
      </w:r>
      <w:r w:rsidR="00B208D5" w:rsidRPr="00282AC9">
        <w:rPr>
          <w:rFonts w:hint="cs"/>
          <w:rtl/>
        </w:rPr>
        <w:t>َ</w:t>
      </w:r>
      <w:r w:rsidRPr="00282AC9">
        <w:rPr>
          <w:rtl/>
        </w:rPr>
        <w:t>فين</w:t>
      </w:r>
      <w:r w:rsidR="00B208D5" w:rsidRPr="00282AC9">
        <w:rPr>
          <w:rFonts w:hint="cs"/>
          <w:rtl/>
        </w:rPr>
        <w:t>،</w:t>
      </w:r>
      <w:r w:rsidRPr="00282AC9">
        <w:rPr>
          <w:rtl/>
        </w:rPr>
        <w:t xml:space="preserve"> كما تبين من وضع وفد عبد القيس، بالإضافة </w:t>
      </w:r>
      <w:r w:rsidR="00B208D5" w:rsidRPr="00282AC9">
        <w:rPr>
          <w:rFonts w:hint="cs"/>
          <w:rtl/>
        </w:rPr>
        <w:t>إ</w:t>
      </w:r>
      <w:r w:rsidRPr="00282AC9">
        <w:rPr>
          <w:rtl/>
        </w:rPr>
        <w:t>لى أنهم لم يكونوا مخو</w:t>
      </w:r>
      <w:r w:rsidR="00B208D5" w:rsidRPr="00282AC9">
        <w:rPr>
          <w:rFonts w:hint="cs"/>
          <w:rtl/>
        </w:rPr>
        <w:t>َّ</w:t>
      </w:r>
      <w:r w:rsidRPr="00282AC9">
        <w:rPr>
          <w:rtl/>
        </w:rPr>
        <w:t>لين ليعلنوا ح</w:t>
      </w:r>
      <w:r w:rsidR="00545515" w:rsidRPr="00282AC9">
        <w:rPr>
          <w:rFonts w:hint="cs"/>
          <w:rtl/>
        </w:rPr>
        <w:t>َ</w:t>
      </w:r>
      <w:r w:rsidRPr="00282AC9">
        <w:rPr>
          <w:rtl/>
        </w:rPr>
        <w:t>ر</w:t>
      </w:r>
      <w:r w:rsidR="00545515" w:rsidRPr="00282AC9">
        <w:rPr>
          <w:rFonts w:hint="cs"/>
          <w:rtl/>
        </w:rPr>
        <w:t>ْ</w:t>
      </w:r>
      <w:r w:rsidRPr="00282AC9">
        <w:rPr>
          <w:rtl/>
        </w:rPr>
        <w:t>با</w:t>
      </w:r>
      <w:r w:rsidR="00B208D5" w:rsidRPr="00282AC9">
        <w:rPr>
          <w:rFonts w:hint="cs"/>
          <w:rtl/>
        </w:rPr>
        <w:t>ً؛</w:t>
      </w:r>
      <w:r w:rsidRPr="00282AC9">
        <w:rPr>
          <w:rtl/>
        </w:rPr>
        <w:t xml:space="preserve"> لأنه كان من شؤون النبي</w:t>
      </w:r>
      <w:r w:rsidR="00545515" w:rsidRPr="00282AC9">
        <w:rPr>
          <w:rFonts w:hint="cs"/>
          <w:rtl/>
        </w:rPr>
        <w:t>ّ</w:t>
      </w:r>
      <w:r w:rsidR="009A2A04" w:rsidRPr="00282AC9">
        <w:rPr>
          <w:rFonts w:cs="Mosawi"/>
          <w:sz w:val="22"/>
          <w:szCs w:val="22"/>
          <w:rtl/>
        </w:rPr>
        <w:t>|</w:t>
      </w:r>
      <w:r w:rsidRPr="00282AC9">
        <w:rPr>
          <w:rtl/>
        </w:rPr>
        <w:t>. ولو كان المقصود من دفع الغنائم بعد وقوع حرب</w:t>
      </w:r>
      <w:r w:rsidR="00545515" w:rsidRPr="00282AC9">
        <w:rPr>
          <w:rFonts w:hint="cs"/>
          <w:rtl/>
        </w:rPr>
        <w:t>ٍ</w:t>
      </w:r>
      <w:r w:rsidRPr="00282AC9">
        <w:rPr>
          <w:rtl/>
        </w:rPr>
        <w:t xml:space="preserve"> أو قتال</w:t>
      </w:r>
      <w:r w:rsidR="00545515" w:rsidRPr="00282AC9">
        <w:rPr>
          <w:rFonts w:hint="cs"/>
          <w:rtl/>
        </w:rPr>
        <w:t>ٍ</w:t>
      </w:r>
      <w:r w:rsidRPr="00282AC9">
        <w:rPr>
          <w:rtl/>
        </w:rPr>
        <w:t xml:space="preserve"> مع المشركين لناسب أن ي</w:t>
      </w:r>
      <w:r w:rsidR="00545515" w:rsidRPr="00282AC9">
        <w:rPr>
          <w:rFonts w:hint="cs"/>
          <w:rtl/>
        </w:rPr>
        <w:t>ُ</w:t>
      </w:r>
      <w:r w:rsidRPr="00282AC9">
        <w:rPr>
          <w:rtl/>
        </w:rPr>
        <w:t>ذ</w:t>
      </w:r>
      <w:r w:rsidR="00545515" w:rsidRPr="00282AC9">
        <w:rPr>
          <w:rFonts w:hint="cs"/>
          <w:rtl/>
        </w:rPr>
        <w:t>ْ</w:t>
      </w:r>
      <w:r w:rsidRPr="00282AC9">
        <w:rPr>
          <w:rtl/>
        </w:rPr>
        <w:t>ك</w:t>
      </w:r>
      <w:r w:rsidR="00545515" w:rsidRPr="00282AC9">
        <w:rPr>
          <w:rFonts w:hint="cs"/>
          <w:rtl/>
        </w:rPr>
        <w:t>َ</w:t>
      </w:r>
      <w:r w:rsidRPr="00282AC9">
        <w:rPr>
          <w:rtl/>
        </w:rPr>
        <w:t>ر في تلك الرسائل والعهود الجهاد في عداد الصلاة والزكاة والصيام والخ</w:t>
      </w:r>
      <w:r w:rsidR="00545515" w:rsidRPr="00282AC9">
        <w:rPr>
          <w:rFonts w:hint="cs"/>
          <w:rtl/>
        </w:rPr>
        <w:t>ُ</w:t>
      </w:r>
      <w:r w:rsidRPr="00282AC9">
        <w:rPr>
          <w:rtl/>
        </w:rPr>
        <w:t>م</w:t>
      </w:r>
      <w:r w:rsidR="00545515" w:rsidRPr="00282AC9">
        <w:rPr>
          <w:rFonts w:hint="cs"/>
          <w:rtl/>
        </w:rPr>
        <w:t>ْ</w:t>
      </w:r>
      <w:r w:rsidRPr="00282AC9">
        <w:rPr>
          <w:rtl/>
        </w:rPr>
        <w:t>س</w:t>
      </w:r>
      <w:r w:rsidRPr="00282AC9">
        <w:rPr>
          <w:rFonts w:hint="cs"/>
          <w:vertAlign w:val="superscript"/>
          <w:rtl/>
        </w:rPr>
        <w:t>(</w:t>
      </w:r>
      <w:r w:rsidRPr="00282AC9">
        <w:rPr>
          <w:rStyle w:val="af9"/>
          <w:sz w:val="27"/>
          <w:rtl/>
        </w:rPr>
        <w:endnoteReference w:id="492"/>
      </w:r>
      <w:r w:rsidRPr="00282AC9">
        <w:rPr>
          <w:rFonts w:hint="cs"/>
          <w:vertAlign w:val="superscript"/>
          <w:rtl/>
        </w:rPr>
        <w:t>)</w:t>
      </w:r>
      <w:r w:rsidRPr="00282AC9">
        <w:rPr>
          <w:rFonts w:hint="cs"/>
          <w:rtl/>
        </w:rPr>
        <w:t>.</w:t>
      </w:r>
    </w:p>
    <w:p w:rsidR="00235851" w:rsidRPr="00282AC9" w:rsidRDefault="00235851" w:rsidP="00754DE4">
      <w:pPr>
        <w:spacing w:line="410" w:lineRule="exact"/>
        <w:rPr>
          <w:rtl/>
        </w:rPr>
      </w:pPr>
    </w:p>
    <w:p w:rsidR="00946A76" w:rsidRPr="00282AC9" w:rsidRDefault="00946A76" w:rsidP="00B70E1F">
      <w:pPr>
        <w:pStyle w:val="31"/>
        <w:rPr>
          <w:color w:val="auto"/>
          <w:rtl/>
        </w:rPr>
      </w:pPr>
      <w:r w:rsidRPr="00282AC9">
        <w:rPr>
          <w:color w:val="auto"/>
          <w:rtl/>
        </w:rPr>
        <w:t>مناقشة الاستشهاد بكتب النبي</w:t>
      </w:r>
      <w:r w:rsidRPr="00282AC9">
        <w:rPr>
          <w:rFonts w:hint="cs"/>
          <w:color w:val="auto"/>
          <w:rtl/>
        </w:rPr>
        <w:t>ّ</w:t>
      </w:r>
      <w:r w:rsidR="009A2A04" w:rsidRPr="00282AC9">
        <w:rPr>
          <w:rFonts w:cs="Mosawi" w:hint="cs"/>
          <w:color w:val="auto"/>
          <w:sz w:val="23"/>
          <w:szCs w:val="23"/>
          <w:rtl/>
        </w:rPr>
        <w:t>|</w:t>
      </w:r>
      <w:r w:rsidRPr="00282AC9">
        <w:rPr>
          <w:color w:val="auto"/>
          <w:rtl/>
        </w:rPr>
        <w:t xml:space="preserve"> </w:t>
      </w:r>
    </w:p>
    <w:p w:rsidR="00946A76" w:rsidRPr="00282AC9" w:rsidRDefault="00946A76" w:rsidP="00186251">
      <w:pPr>
        <w:rPr>
          <w:rtl/>
        </w:rPr>
      </w:pPr>
      <w:r w:rsidRPr="00282AC9">
        <w:rPr>
          <w:rtl/>
        </w:rPr>
        <w:t>وبالنظر في نصوص الكتب النبوي</w:t>
      </w:r>
      <w:r w:rsidR="00545515" w:rsidRPr="00282AC9">
        <w:rPr>
          <w:rFonts w:hint="cs"/>
          <w:rtl/>
        </w:rPr>
        <w:t>ّ</w:t>
      </w:r>
      <w:r w:rsidRPr="00282AC9">
        <w:rPr>
          <w:rtl/>
        </w:rPr>
        <w:t>ة ي</w:t>
      </w:r>
      <w:r w:rsidR="00545515" w:rsidRPr="00282AC9">
        <w:rPr>
          <w:rFonts w:hint="cs"/>
          <w:rtl/>
        </w:rPr>
        <w:t>ُ</w:t>
      </w:r>
      <w:r w:rsidRPr="00282AC9">
        <w:rPr>
          <w:rtl/>
        </w:rPr>
        <w:t>ط</w:t>
      </w:r>
      <w:r w:rsidR="00545515" w:rsidRPr="00282AC9">
        <w:rPr>
          <w:rFonts w:hint="cs"/>
          <w:rtl/>
        </w:rPr>
        <w:t>ْ</w:t>
      </w:r>
      <w:r w:rsidRPr="00282AC9">
        <w:rPr>
          <w:rtl/>
        </w:rPr>
        <w:t>ر</w:t>
      </w:r>
      <w:r w:rsidR="00545515" w:rsidRPr="00282AC9">
        <w:rPr>
          <w:rFonts w:hint="cs"/>
          <w:rtl/>
        </w:rPr>
        <w:t>َ</w:t>
      </w:r>
      <w:r w:rsidRPr="00282AC9">
        <w:rPr>
          <w:rtl/>
        </w:rPr>
        <w:t>ح تساؤل</w:t>
      </w:r>
      <w:r w:rsidR="00545515" w:rsidRPr="00282AC9">
        <w:rPr>
          <w:rFonts w:hint="cs"/>
          <w:rtl/>
        </w:rPr>
        <w:t>ٌ</w:t>
      </w:r>
      <w:r w:rsidRPr="00282AC9">
        <w:rPr>
          <w:rtl/>
        </w:rPr>
        <w:t xml:space="preserve"> مفاد</w:t>
      </w:r>
      <w:r w:rsidR="00545515" w:rsidRPr="00282AC9">
        <w:rPr>
          <w:rFonts w:hint="cs"/>
          <w:rtl/>
        </w:rPr>
        <w:t>ُ</w:t>
      </w:r>
      <w:r w:rsidRPr="00282AC9">
        <w:rPr>
          <w:rtl/>
        </w:rPr>
        <w:t>ه</w:t>
      </w:r>
      <w:r w:rsidR="00545515" w:rsidRPr="00282AC9">
        <w:rPr>
          <w:rFonts w:hint="cs"/>
          <w:rtl/>
        </w:rPr>
        <w:t>:</w:t>
      </w:r>
      <w:r w:rsidRPr="00282AC9">
        <w:rPr>
          <w:rtl/>
        </w:rPr>
        <w:t xml:space="preserve"> إذا لم يكن المراد</w:t>
      </w:r>
      <w:r w:rsidR="00545515" w:rsidRPr="00282AC9">
        <w:rPr>
          <w:rFonts w:hint="cs"/>
          <w:rtl/>
        </w:rPr>
        <w:t>ُ</w:t>
      </w:r>
      <w:r w:rsidRPr="00282AC9">
        <w:rPr>
          <w:rtl/>
        </w:rPr>
        <w:t xml:space="preserve"> من </w:t>
      </w:r>
      <w:r w:rsidRPr="00282AC9">
        <w:rPr>
          <w:rtl/>
        </w:rPr>
        <w:lastRenderedPageBreak/>
        <w:t xml:space="preserve">الخمس المطلوب دفعه </w:t>
      </w:r>
      <w:r w:rsidR="00545515" w:rsidRPr="00282AC9">
        <w:rPr>
          <w:rFonts w:hint="cs"/>
          <w:rtl/>
        </w:rPr>
        <w:t>إ</w:t>
      </w:r>
      <w:r w:rsidRPr="00282AC9">
        <w:rPr>
          <w:rtl/>
        </w:rPr>
        <w:t>لى النبي</w:t>
      </w:r>
      <w:r w:rsidR="00545515" w:rsidRPr="00282AC9">
        <w:rPr>
          <w:rFonts w:hint="cs"/>
          <w:rtl/>
        </w:rPr>
        <w:t>ّ</w:t>
      </w:r>
      <w:r w:rsidR="009A2A04" w:rsidRPr="00282AC9">
        <w:rPr>
          <w:rFonts w:cs="Mosawi" w:hint="cs"/>
          <w:sz w:val="22"/>
          <w:szCs w:val="22"/>
          <w:rtl/>
        </w:rPr>
        <w:t>|</w:t>
      </w:r>
      <w:r w:rsidRPr="00282AC9">
        <w:rPr>
          <w:rtl/>
        </w:rPr>
        <w:t xml:space="preserve"> ـ ح</w:t>
      </w:r>
      <w:r w:rsidR="00545515" w:rsidRPr="00282AC9">
        <w:rPr>
          <w:rFonts w:hint="cs"/>
          <w:rtl/>
        </w:rPr>
        <w:t>َ</w:t>
      </w:r>
      <w:r w:rsidRPr="00282AC9">
        <w:rPr>
          <w:rtl/>
        </w:rPr>
        <w:t>س</w:t>
      </w:r>
      <w:r w:rsidR="00545515" w:rsidRPr="00282AC9">
        <w:rPr>
          <w:rFonts w:hint="cs"/>
          <w:rtl/>
        </w:rPr>
        <w:t>ْ</w:t>
      </w:r>
      <w:r w:rsidRPr="00282AC9">
        <w:rPr>
          <w:rtl/>
        </w:rPr>
        <w:t xml:space="preserve">ب الكتب المذكورة ـ </w:t>
      </w:r>
      <w:r w:rsidR="00545515" w:rsidRPr="00282AC9">
        <w:rPr>
          <w:rFonts w:hint="cs"/>
          <w:rtl/>
        </w:rPr>
        <w:t>خمسَ</w:t>
      </w:r>
      <w:r w:rsidRPr="00282AC9">
        <w:rPr>
          <w:rtl/>
        </w:rPr>
        <w:t xml:space="preserve"> غنائم الحرب فمن أي</w:t>
      </w:r>
      <w:r w:rsidR="00545515" w:rsidRPr="00282AC9">
        <w:rPr>
          <w:rFonts w:hint="cs"/>
          <w:rtl/>
        </w:rPr>
        <w:t>ِّ</w:t>
      </w:r>
      <w:r w:rsidRPr="00282AC9">
        <w:rPr>
          <w:rtl/>
        </w:rPr>
        <w:t xml:space="preserve"> الغنائم يكون؟ </w:t>
      </w:r>
    </w:p>
    <w:p w:rsidR="00946A76" w:rsidRPr="00282AC9" w:rsidRDefault="00946A76" w:rsidP="00186251">
      <w:pPr>
        <w:rPr>
          <w:rtl/>
        </w:rPr>
      </w:pPr>
      <w:r w:rsidRPr="00282AC9">
        <w:rPr>
          <w:rtl/>
        </w:rPr>
        <w:t>قد يحتمل أنها من الكنوز والمعادن والركاز ومم</w:t>
      </w:r>
      <w:r w:rsidR="00B807B0" w:rsidRPr="00282AC9">
        <w:rPr>
          <w:rFonts w:hint="cs"/>
          <w:rtl/>
        </w:rPr>
        <w:t>ّ</w:t>
      </w:r>
      <w:r w:rsidRPr="00282AC9">
        <w:rPr>
          <w:rtl/>
        </w:rPr>
        <w:t>ا ي</w:t>
      </w:r>
      <w:r w:rsidR="00B807B0" w:rsidRPr="00282AC9">
        <w:rPr>
          <w:rFonts w:hint="cs"/>
          <w:rtl/>
        </w:rPr>
        <w:t>ُ</w:t>
      </w:r>
      <w:r w:rsidRPr="00282AC9">
        <w:rPr>
          <w:rtl/>
        </w:rPr>
        <w:t>ست</w:t>
      </w:r>
      <w:r w:rsidR="00B807B0" w:rsidRPr="00282AC9">
        <w:rPr>
          <w:rFonts w:hint="cs"/>
          <w:rtl/>
        </w:rPr>
        <w:t>َ</w:t>
      </w:r>
      <w:r w:rsidRPr="00282AC9">
        <w:rPr>
          <w:rtl/>
        </w:rPr>
        <w:t>خ</w:t>
      </w:r>
      <w:r w:rsidR="00B807B0" w:rsidRPr="00282AC9">
        <w:rPr>
          <w:rFonts w:hint="cs"/>
          <w:rtl/>
        </w:rPr>
        <w:t>ْ</w:t>
      </w:r>
      <w:r w:rsidRPr="00282AC9">
        <w:rPr>
          <w:rtl/>
        </w:rPr>
        <w:t>ر</w:t>
      </w:r>
      <w:r w:rsidR="00B807B0" w:rsidRPr="00282AC9">
        <w:rPr>
          <w:rFonts w:hint="cs"/>
          <w:rtl/>
        </w:rPr>
        <w:t>َ</w:t>
      </w:r>
      <w:r w:rsidRPr="00282AC9">
        <w:rPr>
          <w:rtl/>
        </w:rPr>
        <w:t>ج من البحر لم</w:t>
      </w:r>
      <w:r w:rsidR="00B807B0" w:rsidRPr="00282AC9">
        <w:rPr>
          <w:rFonts w:hint="cs"/>
          <w:rtl/>
        </w:rPr>
        <w:t>َ</w:t>
      </w:r>
      <w:r w:rsidRPr="00282AC9">
        <w:rPr>
          <w:rtl/>
        </w:rPr>
        <w:t>ن</w:t>
      </w:r>
      <w:r w:rsidR="00B807B0" w:rsidRPr="00282AC9">
        <w:rPr>
          <w:rFonts w:hint="cs"/>
          <w:rtl/>
        </w:rPr>
        <w:t>ْ</w:t>
      </w:r>
      <w:r w:rsidRPr="00282AC9">
        <w:rPr>
          <w:rtl/>
        </w:rPr>
        <w:t xml:space="preserve"> كان قريبا</w:t>
      </w:r>
      <w:r w:rsidR="00B807B0" w:rsidRPr="00282AC9">
        <w:rPr>
          <w:rFonts w:hint="cs"/>
          <w:rtl/>
        </w:rPr>
        <w:t>ً</w:t>
      </w:r>
      <w:r w:rsidRPr="00282AC9">
        <w:rPr>
          <w:rtl/>
        </w:rPr>
        <w:t xml:space="preserve"> منه. </w:t>
      </w:r>
    </w:p>
    <w:p w:rsidR="00946A76" w:rsidRPr="00282AC9" w:rsidRDefault="00946A76" w:rsidP="00186251">
      <w:pPr>
        <w:rPr>
          <w:rtl/>
        </w:rPr>
      </w:pPr>
      <w:r w:rsidRPr="00282AC9">
        <w:rPr>
          <w:rtl/>
        </w:rPr>
        <w:t>ولكن</w:t>
      </w:r>
      <w:r w:rsidR="00B807B0" w:rsidRPr="00282AC9">
        <w:rPr>
          <w:rFonts w:hint="cs"/>
          <w:rtl/>
        </w:rPr>
        <w:t>ْ</w:t>
      </w:r>
      <w:r w:rsidRPr="00282AC9">
        <w:rPr>
          <w:rtl/>
        </w:rPr>
        <w:t xml:space="preserve"> هل كانت هذه الموارد من الكثرة والوفرة لديهم بحيث استدعى كل</w:t>
      </w:r>
      <w:r w:rsidR="00B807B0" w:rsidRPr="00282AC9">
        <w:rPr>
          <w:rFonts w:hint="cs"/>
          <w:rtl/>
        </w:rPr>
        <w:t>ّ</w:t>
      </w:r>
      <w:r w:rsidRPr="00282AC9">
        <w:rPr>
          <w:rtl/>
        </w:rPr>
        <w:t xml:space="preserve"> هذا التأكيد في الكتب النبوي</w:t>
      </w:r>
      <w:r w:rsidR="00B807B0" w:rsidRPr="00282AC9">
        <w:rPr>
          <w:rFonts w:hint="cs"/>
          <w:rtl/>
        </w:rPr>
        <w:t>ّ</w:t>
      </w:r>
      <w:r w:rsidRPr="00282AC9">
        <w:rPr>
          <w:rtl/>
        </w:rPr>
        <w:t>ة؟</w:t>
      </w:r>
      <w:r w:rsidR="00B807B0" w:rsidRPr="00282AC9">
        <w:rPr>
          <w:rFonts w:hint="cs"/>
          <w:rtl/>
        </w:rPr>
        <w:t>!</w:t>
      </w:r>
      <w:r w:rsidRPr="00282AC9">
        <w:rPr>
          <w:rtl/>
        </w:rPr>
        <w:t xml:space="preserve"> </w:t>
      </w:r>
    </w:p>
    <w:p w:rsidR="00946A76" w:rsidRPr="00282AC9" w:rsidRDefault="00946A76" w:rsidP="00186251">
      <w:pPr>
        <w:rPr>
          <w:rtl/>
        </w:rPr>
      </w:pPr>
      <w:r w:rsidRPr="00282AC9">
        <w:rPr>
          <w:rtl/>
        </w:rPr>
        <w:t>ومن جهة</w:t>
      </w:r>
      <w:r w:rsidR="00B807B0" w:rsidRPr="00282AC9">
        <w:rPr>
          <w:rFonts w:hint="cs"/>
          <w:rtl/>
        </w:rPr>
        <w:t>ٍ</w:t>
      </w:r>
      <w:r w:rsidRPr="00282AC9">
        <w:rPr>
          <w:rtl/>
        </w:rPr>
        <w:t xml:space="preserve"> </w:t>
      </w:r>
      <w:r w:rsidR="00B807B0" w:rsidRPr="00282AC9">
        <w:rPr>
          <w:rFonts w:hint="cs"/>
          <w:rtl/>
        </w:rPr>
        <w:t xml:space="preserve">أخرى </w:t>
      </w:r>
      <w:r w:rsidRPr="00282AC9">
        <w:rPr>
          <w:rtl/>
        </w:rPr>
        <w:t>لا يو</w:t>
      </w:r>
      <w:r w:rsidR="00B807B0" w:rsidRPr="00282AC9">
        <w:rPr>
          <w:rFonts w:hint="cs"/>
          <w:rtl/>
        </w:rPr>
        <w:t>ج</w:t>
      </w:r>
      <w:r w:rsidRPr="00282AC9">
        <w:rPr>
          <w:rtl/>
        </w:rPr>
        <w:t>د مانع</w:t>
      </w:r>
      <w:r w:rsidR="00B807B0" w:rsidRPr="00282AC9">
        <w:rPr>
          <w:rFonts w:hint="cs"/>
          <w:rtl/>
        </w:rPr>
        <w:t>ٌ</w:t>
      </w:r>
      <w:r w:rsidRPr="00282AC9">
        <w:rPr>
          <w:rtl/>
        </w:rPr>
        <w:t xml:space="preserve"> من أن يبين لهم النبي</w:t>
      </w:r>
      <w:r w:rsidR="00B807B0" w:rsidRPr="00282AC9">
        <w:rPr>
          <w:rFonts w:hint="cs"/>
          <w:rtl/>
        </w:rPr>
        <w:t>ّ</w:t>
      </w:r>
      <w:r w:rsidR="009A2A04" w:rsidRPr="00282AC9">
        <w:rPr>
          <w:rFonts w:cs="Mosawi"/>
          <w:sz w:val="22"/>
          <w:szCs w:val="22"/>
          <w:rtl/>
        </w:rPr>
        <w:t>|</w:t>
      </w:r>
      <w:r w:rsidRPr="00282AC9">
        <w:rPr>
          <w:rtl/>
        </w:rPr>
        <w:t xml:space="preserve"> هذا التشريع المالي السياسي</w:t>
      </w:r>
      <w:r w:rsidR="00B807B0" w:rsidRPr="00282AC9">
        <w:rPr>
          <w:rFonts w:hint="cs"/>
          <w:rtl/>
        </w:rPr>
        <w:t>ّ،</w:t>
      </w:r>
      <w:r w:rsidRPr="00282AC9">
        <w:rPr>
          <w:rtl/>
        </w:rPr>
        <w:t xml:space="preserve"> رغم كونهم غير مخو</w:t>
      </w:r>
      <w:r w:rsidR="00B807B0" w:rsidRPr="00282AC9">
        <w:rPr>
          <w:rFonts w:hint="cs"/>
          <w:rtl/>
        </w:rPr>
        <w:t>َّ</w:t>
      </w:r>
      <w:r w:rsidRPr="00282AC9">
        <w:rPr>
          <w:rtl/>
        </w:rPr>
        <w:t xml:space="preserve">لين بإعلان الحرب. </w:t>
      </w:r>
    </w:p>
    <w:p w:rsidR="00946A76" w:rsidRPr="00282AC9" w:rsidRDefault="00946A76" w:rsidP="00186251">
      <w:pPr>
        <w:rPr>
          <w:rtl/>
        </w:rPr>
      </w:pPr>
      <w:r w:rsidRPr="00282AC9">
        <w:rPr>
          <w:rtl/>
        </w:rPr>
        <w:t>ثم</w:t>
      </w:r>
      <w:r w:rsidR="00B807B0" w:rsidRPr="00282AC9">
        <w:rPr>
          <w:rFonts w:hint="cs"/>
          <w:rtl/>
        </w:rPr>
        <w:t>ّ</w:t>
      </w:r>
      <w:r w:rsidRPr="00282AC9">
        <w:rPr>
          <w:rtl/>
        </w:rPr>
        <w:t xml:space="preserve"> </w:t>
      </w:r>
      <w:r w:rsidR="00B807B0" w:rsidRPr="00282AC9">
        <w:rPr>
          <w:rFonts w:hint="cs"/>
          <w:rtl/>
        </w:rPr>
        <w:t>إ</w:t>
      </w:r>
      <w:r w:rsidRPr="00282AC9">
        <w:rPr>
          <w:rtl/>
        </w:rPr>
        <w:t>نهم إن</w:t>
      </w:r>
      <w:r w:rsidR="00B807B0" w:rsidRPr="00282AC9">
        <w:rPr>
          <w:rFonts w:hint="cs"/>
          <w:rtl/>
        </w:rPr>
        <w:t>ْ</w:t>
      </w:r>
      <w:r w:rsidRPr="00282AC9">
        <w:rPr>
          <w:rtl/>
        </w:rPr>
        <w:t xml:space="preserve"> لم يكونوا مخو</w:t>
      </w:r>
      <w:r w:rsidR="00B807B0" w:rsidRPr="00282AC9">
        <w:rPr>
          <w:rFonts w:hint="cs"/>
          <w:rtl/>
        </w:rPr>
        <w:t>َّ</w:t>
      </w:r>
      <w:r w:rsidRPr="00282AC9">
        <w:rPr>
          <w:rtl/>
        </w:rPr>
        <w:t>لين بإعلان أي</w:t>
      </w:r>
      <w:r w:rsidR="00B807B0" w:rsidRPr="00282AC9">
        <w:rPr>
          <w:rFonts w:hint="cs"/>
          <w:rtl/>
        </w:rPr>
        <w:t>ّ</w:t>
      </w:r>
      <w:r w:rsidRPr="00282AC9">
        <w:rPr>
          <w:rtl/>
        </w:rPr>
        <w:t xml:space="preserve"> حرب</w:t>
      </w:r>
      <w:r w:rsidR="00B807B0" w:rsidRPr="00282AC9">
        <w:rPr>
          <w:rFonts w:hint="cs"/>
          <w:rtl/>
        </w:rPr>
        <w:t>ٍ</w:t>
      </w:r>
      <w:r w:rsidRPr="00282AC9">
        <w:rPr>
          <w:rtl/>
        </w:rPr>
        <w:t xml:space="preserve"> ابتداء، ف</w:t>
      </w:r>
      <w:r w:rsidR="00B807B0" w:rsidRPr="00282AC9">
        <w:rPr>
          <w:rFonts w:hint="cs"/>
          <w:rtl/>
        </w:rPr>
        <w:t>إ</w:t>
      </w:r>
      <w:r w:rsidRPr="00282AC9">
        <w:rPr>
          <w:rtl/>
        </w:rPr>
        <w:t xml:space="preserve">نه </w:t>
      </w:r>
      <w:r w:rsidR="00674EF5" w:rsidRPr="00282AC9">
        <w:rPr>
          <w:rtl/>
        </w:rPr>
        <w:t>لا رَيْبَ</w:t>
      </w:r>
      <w:r w:rsidRPr="00282AC9">
        <w:rPr>
          <w:rtl/>
        </w:rPr>
        <w:t xml:space="preserve"> في أن</w:t>
      </w:r>
      <w:r w:rsidR="00B807B0" w:rsidRPr="00282AC9">
        <w:rPr>
          <w:rFonts w:hint="cs"/>
          <w:rtl/>
        </w:rPr>
        <w:t>ّ</w:t>
      </w:r>
      <w:r w:rsidRPr="00282AC9">
        <w:rPr>
          <w:rtl/>
        </w:rPr>
        <w:t xml:space="preserve"> من حق</w:t>
      </w:r>
      <w:r w:rsidR="00B807B0" w:rsidRPr="00282AC9">
        <w:rPr>
          <w:rFonts w:hint="cs"/>
          <w:rtl/>
        </w:rPr>
        <w:t>ِّ</w:t>
      </w:r>
      <w:r w:rsidRPr="00282AC9">
        <w:rPr>
          <w:rtl/>
        </w:rPr>
        <w:t xml:space="preserve">هم أن يدافعوا عن أنفسهم </w:t>
      </w:r>
      <w:r w:rsidR="00B807B0" w:rsidRPr="00282AC9">
        <w:rPr>
          <w:rFonts w:hint="cs"/>
          <w:rtl/>
        </w:rPr>
        <w:t>إ</w:t>
      </w:r>
      <w:r w:rsidRPr="00282AC9">
        <w:rPr>
          <w:rtl/>
        </w:rPr>
        <w:t>ذا ما تعر</w:t>
      </w:r>
      <w:r w:rsidR="00B807B0" w:rsidRPr="00282AC9">
        <w:rPr>
          <w:rFonts w:hint="cs"/>
          <w:rtl/>
        </w:rPr>
        <w:t>َّ</w:t>
      </w:r>
      <w:r w:rsidRPr="00282AC9">
        <w:rPr>
          <w:rtl/>
        </w:rPr>
        <w:t>ضوا لأي</w:t>
      </w:r>
      <w:r w:rsidR="00B807B0" w:rsidRPr="00282AC9">
        <w:rPr>
          <w:rFonts w:hint="cs"/>
          <w:rtl/>
        </w:rPr>
        <w:t>ّ</w:t>
      </w:r>
      <w:r w:rsidRPr="00282AC9">
        <w:rPr>
          <w:rtl/>
        </w:rPr>
        <w:t xml:space="preserve"> هجوم</w:t>
      </w:r>
      <w:r w:rsidR="00B807B0" w:rsidRPr="00282AC9">
        <w:rPr>
          <w:rFonts w:hint="cs"/>
          <w:rtl/>
        </w:rPr>
        <w:t>ٍ</w:t>
      </w:r>
      <w:r w:rsidRPr="00282AC9">
        <w:rPr>
          <w:rtl/>
        </w:rPr>
        <w:t xml:space="preserve"> من القبائل المعادية لهم، ومن ثم</w:t>
      </w:r>
      <w:r w:rsidR="00B807B0" w:rsidRPr="00282AC9">
        <w:rPr>
          <w:rFonts w:hint="cs"/>
          <w:rtl/>
        </w:rPr>
        <w:t>ّ</w:t>
      </w:r>
      <w:r w:rsidRPr="00282AC9">
        <w:rPr>
          <w:rtl/>
        </w:rPr>
        <w:t xml:space="preserve"> فإنه اشترطه عليهم بناء</w:t>
      </w:r>
      <w:r w:rsidR="00B807B0" w:rsidRPr="00282AC9">
        <w:rPr>
          <w:rFonts w:hint="cs"/>
          <w:rtl/>
        </w:rPr>
        <w:t>ً</w:t>
      </w:r>
      <w:r w:rsidRPr="00282AC9">
        <w:rPr>
          <w:rtl/>
        </w:rPr>
        <w:t xml:space="preserve"> على هذا الافتراض. </w:t>
      </w:r>
    </w:p>
    <w:p w:rsidR="00946A76" w:rsidRPr="00282AC9" w:rsidRDefault="00946A76" w:rsidP="00186251">
      <w:pPr>
        <w:rPr>
          <w:rtl/>
        </w:rPr>
      </w:pPr>
      <w:r w:rsidRPr="00282AC9">
        <w:rPr>
          <w:rtl/>
        </w:rPr>
        <w:t>وحق</w:t>
      </w:r>
      <w:r w:rsidR="00B807B0" w:rsidRPr="00282AC9">
        <w:rPr>
          <w:rFonts w:hint="cs"/>
          <w:rtl/>
        </w:rPr>
        <w:t>ّ</w:t>
      </w:r>
      <w:r w:rsidRPr="00282AC9">
        <w:rPr>
          <w:rtl/>
        </w:rPr>
        <w:t xml:space="preserve"> الدفاع عن الن</w:t>
      </w:r>
      <w:r w:rsidR="00B807B0" w:rsidRPr="00282AC9">
        <w:rPr>
          <w:rFonts w:hint="cs"/>
          <w:rtl/>
        </w:rPr>
        <w:t>َّ</w:t>
      </w:r>
      <w:r w:rsidRPr="00282AC9">
        <w:rPr>
          <w:rtl/>
        </w:rPr>
        <w:t>ف</w:t>
      </w:r>
      <w:r w:rsidR="00B807B0" w:rsidRPr="00282AC9">
        <w:rPr>
          <w:rFonts w:hint="cs"/>
          <w:rtl/>
        </w:rPr>
        <w:t>ْ</w:t>
      </w:r>
      <w:r w:rsidRPr="00282AC9">
        <w:rPr>
          <w:rtl/>
        </w:rPr>
        <w:t>س والع</w:t>
      </w:r>
      <w:r w:rsidR="00B807B0" w:rsidRPr="00282AC9">
        <w:rPr>
          <w:rFonts w:hint="cs"/>
          <w:rtl/>
        </w:rPr>
        <w:t>ِ</w:t>
      </w:r>
      <w:r w:rsidRPr="00282AC9">
        <w:rPr>
          <w:rtl/>
        </w:rPr>
        <w:t>ر</w:t>
      </w:r>
      <w:r w:rsidR="00B807B0" w:rsidRPr="00282AC9">
        <w:rPr>
          <w:rFonts w:hint="cs"/>
          <w:rtl/>
        </w:rPr>
        <w:t>ْ</w:t>
      </w:r>
      <w:r w:rsidRPr="00282AC9">
        <w:rPr>
          <w:rtl/>
        </w:rPr>
        <w:t>ض والمال مشروع</w:t>
      </w:r>
      <w:r w:rsidR="00B807B0" w:rsidRPr="00282AC9">
        <w:rPr>
          <w:rFonts w:hint="cs"/>
          <w:rtl/>
        </w:rPr>
        <w:t>ٌ،</w:t>
      </w:r>
      <w:r w:rsidRPr="00282AC9">
        <w:rPr>
          <w:rtl/>
        </w:rPr>
        <w:t xml:space="preserve"> ومقر</w:t>
      </w:r>
      <w:r w:rsidR="00B807B0" w:rsidRPr="00282AC9">
        <w:rPr>
          <w:rFonts w:hint="cs"/>
          <w:rtl/>
        </w:rPr>
        <w:t>َّ</w:t>
      </w:r>
      <w:r w:rsidRPr="00282AC9">
        <w:rPr>
          <w:rtl/>
        </w:rPr>
        <w:t>ر</w:t>
      </w:r>
      <w:r w:rsidR="00B807B0" w:rsidRPr="00282AC9">
        <w:rPr>
          <w:rFonts w:hint="cs"/>
          <w:rtl/>
        </w:rPr>
        <w:t>ٌ</w:t>
      </w:r>
      <w:r w:rsidRPr="00282AC9">
        <w:rPr>
          <w:rtl/>
        </w:rPr>
        <w:t xml:space="preserve"> عقلائي</w:t>
      </w:r>
      <w:r w:rsidR="00B807B0" w:rsidRPr="00282AC9">
        <w:rPr>
          <w:rFonts w:hint="cs"/>
          <w:rtl/>
        </w:rPr>
        <w:t>ّ</w:t>
      </w:r>
      <w:r w:rsidRPr="00282AC9">
        <w:rPr>
          <w:rtl/>
        </w:rPr>
        <w:t>ا</w:t>
      </w:r>
      <w:r w:rsidR="00B807B0" w:rsidRPr="00282AC9">
        <w:rPr>
          <w:rFonts w:hint="cs"/>
          <w:rtl/>
        </w:rPr>
        <w:t>ً</w:t>
      </w:r>
      <w:r w:rsidRPr="00282AC9">
        <w:rPr>
          <w:rtl/>
        </w:rPr>
        <w:t xml:space="preserve"> وديني</w:t>
      </w:r>
      <w:r w:rsidR="00B807B0" w:rsidRPr="00282AC9">
        <w:rPr>
          <w:rFonts w:hint="cs"/>
          <w:rtl/>
        </w:rPr>
        <w:t>ّ</w:t>
      </w:r>
      <w:r w:rsidRPr="00282AC9">
        <w:rPr>
          <w:rtl/>
        </w:rPr>
        <w:t>ا</w:t>
      </w:r>
      <w:r w:rsidR="00B807B0" w:rsidRPr="00282AC9">
        <w:rPr>
          <w:rFonts w:hint="cs"/>
          <w:rtl/>
        </w:rPr>
        <w:t>ً،</w:t>
      </w:r>
      <w:r w:rsidRPr="00282AC9">
        <w:rPr>
          <w:rtl/>
        </w:rPr>
        <w:t xml:space="preserve"> ولا يحتاج بطبيعة الحال إلى إذن</w:t>
      </w:r>
      <w:r w:rsidR="00B807B0" w:rsidRPr="00282AC9">
        <w:rPr>
          <w:rFonts w:hint="cs"/>
          <w:rtl/>
        </w:rPr>
        <w:t>ٍ</w:t>
      </w:r>
      <w:r w:rsidRPr="00282AC9">
        <w:rPr>
          <w:rtl/>
        </w:rPr>
        <w:t>. وإن</w:t>
      </w:r>
      <w:r w:rsidR="00B807B0" w:rsidRPr="00282AC9">
        <w:rPr>
          <w:rFonts w:hint="cs"/>
          <w:rtl/>
        </w:rPr>
        <w:t>ْ</w:t>
      </w:r>
      <w:r w:rsidRPr="00282AC9">
        <w:rPr>
          <w:rtl/>
        </w:rPr>
        <w:t xml:space="preserve"> وقع شي</w:t>
      </w:r>
      <w:r w:rsidR="00B807B0" w:rsidRPr="00282AC9">
        <w:rPr>
          <w:rFonts w:hint="cs"/>
          <w:rtl/>
        </w:rPr>
        <w:t>ءٌ</w:t>
      </w:r>
      <w:r w:rsidRPr="00282AC9">
        <w:rPr>
          <w:rtl/>
        </w:rPr>
        <w:t xml:space="preserve"> من ذلك</w:t>
      </w:r>
      <w:r w:rsidR="00B807B0" w:rsidRPr="00282AC9">
        <w:rPr>
          <w:rFonts w:hint="cs"/>
          <w:rtl/>
        </w:rPr>
        <w:t>،</w:t>
      </w:r>
      <w:r w:rsidRPr="00282AC9">
        <w:rPr>
          <w:rtl/>
        </w:rPr>
        <w:t xml:space="preserve"> وغنموا في تلك الحرب الدفاعية</w:t>
      </w:r>
      <w:r w:rsidR="00B807B0" w:rsidRPr="00282AC9">
        <w:rPr>
          <w:rFonts w:hint="cs"/>
          <w:rtl/>
        </w:rPr>
        <w:t>،</w:t>
      </w:r>
      <w:r w:rsidRPr="00282AC9">
        <w:rPr>
          <w:rtl/>
        </w:rPr>
        <w:t xml:space="preserve"> ف</w:t>
      </w:r>
      <w:r w:rsidR="00B807B0" w:rsidRPr="00282AC9">
        <w:rPr>
          <w:rFonts w:hint="cs"/>
          <w:rtl/>
        </w:rPr>
        <w:t>إ</w:t>
      </w:r>
      <w:r w:rsidRPr="00282AC9">
        <w:rPr>
          <w:rtl/>
        </w:rPr>
        <w:t>ن عليهم دفع أخماسها</w:t>
      </w:r>
      <w:r w:rsidR="00B807B0" w:rsidRPr="00282AC9">
        <w:rPr>
          <w:rFonts w:hint="cs"/>
          <w:rtl/>
        </w:rPr>
        <w:t>،</w:t>
      </w:r>
      <w:r w:rsidRPr="00282AC9">
        <w:rPr>
          <w:rtl/>
        </w:rPr>
        <w:t xml:space="preserve"> وفاقا</w:t>
      </w:r>
      <w:r w:rsidR="00B807B0" w:rsidRPr="00282AC9">
        <w:rPr>
          <w:rFonts w:hint="cs"/>
          <w:rtl/>
        </w:rPr>
        <w:t>ً</w:t>
      </w:r>
      <w:r w:rsidRPr="00282AC9">
        <w:rPr>
          <w:rtl/>
        </w:rPr>
        <w:t xml:space="preserve"> لبعض النصوص الفقهية</w:t>
      </w:r>
      <w:r w:rsidRPr="00282AC9">
        <w:rPr>
          <w:rFonts w:hint="cs"/>
          <w:vertAlign w:val="superscript"/>
          <w:rtl/>
        </w:rPr>
        <w:t>(</w:t>
      </w:r>
      <w:r w:rsidRPr="00282AC9">
        <w:rPr>
          <w:rStyle w:val="af9"/>
          <w:sz w:val="27"/>
          <w:rtl/>
        </w:rPr>
        <w:endnoteReference w:id="493"/>
      </w:r>
      <w:r w:rsidRPr="00282AC9">
        <w:rPr>
          <w:rFonts w:hint="cs"/>
          <w:vertAlign w:val="superscript"/>
          <w:rtl/>
        </w:rPr>
        <w:t>)</w:t>
      </w:r>
      <w:r w:rsidRPr="00282AC9">
        <w:rPr>
          <w:rtl/>
        </w:rPr>
        <w:t>.</w:t>
      </w:r>
    </w:p>
    <w:p w:rsidR="00946A76" w:rsidRPr="00282AC9" w:rsidRDefault="00946A76" w:rsidP="00186251">
      <w:pPr>
        <w:rPr>
          <w:rtl/>
        </w:rPr>
      </w:pPr>
      <w:r w:rsidRPr="00282AC9">
        <w:rPr>
          <w:rtl/>
        </w:rPr>
        <w:t>وهناك م</w:t>
      </w:r>
      <w:r w:rsidR="00B807B0" w:rsidRPr="00282AC9">
        <w:rPr>
          <w:rFonts w:hint="cs"/>
          <w:rtl/>
        </w:rPr>
        <w:t>َ</w:t>
      </w:r>
      <w:r w:rsidRPr="00282AC9">
        <w:rPr>
          <w:rtl/>
        </w:rPr>
        <w:t>ن</w:t>
      </w:r>
      <w:r w:rsidR="00B807B0" w:rsidRPr="00282AC9">
        <w:rPr>
          <w:rFonts w:hint="cs"/>
          <w:rtl/>
        </w:rPr>
        <w:t>ْ</w:t>
      </w:r>
      <w:r w:rsidRPr="00282AC9">
        <w:rPr>
          <w:rtl/>
        </w:rPr>
        <w:t xml:space="preserve"> يرى أن مطالبة</w:t>
      </w:r>
      <w:r w:rsidR="00B807B0" w:rsidRPr="00282AC9">
        <w:rPr>
          <w:rFonts w:hint="cs"/>
          <w:rtl/>
        </w:rPr>
        <w:t>َ</w:t>
      </w:r>
      <w:r w:rsidRPr="00282AC9">
        <w:rPr>
          <w:rtl/>
        </w:rPr>
        <w:t xml:space="preserve"> النبي</w:t>
      </w:r>
      <w:r w:rsidR="00B807B0" w:rsidRPr="00282AC9">
        <w:rPr>
          <w:rFonts w:hint="cs"/>
          <w:rtl/>
        </w:rPr>
        <w:t>ّ</w:t>
      </w:r>
      <w:r w:rsidRPr="00282AC9">
        <w:rPr>
          <w:rtl/>
        </w:rPr>
        <w:t xml:space="preserve"> لتلك الوفود والقبائل تقديم الخمس له كان بسبب عدم حضور النبي</w:t>
      </w:r>
      <w:r w:rsidR="00B807B0" w:rsidRPr="00282AC9">
        <w:rPr>
          <w:rFonts w:hint="cs"/>
          <w:rtl/>
        </w:rPr>
        <w:t>ّ</w:t>
      </w:r>
      <w:r w:rsidRPr="00282AC9">
        <w:rPr>
          <w:rtl/>
        </w:rPr>
        <w:t xml:space="preserve"> بنفسه تلك المعارك</w:t>
      </w:r>
      <w:r w:rsidR="00B807B0" w:rsidRPr="00282AC9">
        <w:rPr>
          <w:rFonts w:hint="cs"/>
          <w:rtl/>
        </w:rPr>
        <w:t>،</w:t>
      </w:r>
      <w:r w:rsidRPr="00282AC9">
        <w:rPr>
          <w:rtl/>
        </w:rPr>
        <w:t xml:space="preserve"> فكان يطالب أؤلئك القادة</w:t>
      </w:r>
      <w:r w:rsidR="00B807B0" w:rsidRPr="00282AC9">
        <w:rPr>
          <w:rFonts w:hint="cs"/>
          <w:rtl/>
        </w:rPr>
        <w:t>،</w:t>
      </w:r>
      <w:r w:rsidRPr="00282AC9">
        <w:rPr>
          <w:rtl/>
        </w:rPr>
        <w:t xml:space="preserve"> الذين كانوا نو</w:t>
      </w:r>
      <w:r w:rsidR="00B807B0" w:rsidRPr="00282AC9">
        <w:rPr>
          <w:rFonts w:hint="cs"/>
          <w:rtl/>
        </w:rPr>
        <w:t>ّ</w:t>
      </w:r>
      <w:r w:rsidRPr="00282AC9">
        <w:rPr>
          <w:rtl/>
        </w:rPr>
        <w:t>ابا</w:t>
      </w:r>
      <w:r w:rsidR="00B807B0" w:rsidRPr="00282AC9">
        <w:rPr>
          <w:rFonts w:hint="cs"/>
          <w:rtl/>
        </w:rPr>
        <w:t>ً</w:t>
      </w:r>
      <w:r w:rsidRPr="00282AC9">
        <w:rPr>
          <w:rtl/>
        </w:rPr>
        <w:t xml:space="preserve"> عنه</w:t>
      </w:r>
      <w:r w:rsidR="00B807B0" w:rsidRPr="00282AC9">
        <w:rPr>
          <w:rFonts w:hint="cs"/>
          <w:rtl/>
        </w:rPr>
        <w:t>،</w:t>
      </w:r>
      <w:r w:rsidRPr="00282AC9">
        <w:rPr>
          <w:rtl/>
        </w:rPr>
        <w:t xml:space="preserve"> </w:t>
      </w:r>
      <w:r w:rsidR="00B807B0" w:rsidRPr="00282AC9">
        <w:rPr>
          <w:rFonts w:hint="cs"/>
          <w:rtl/>
        </w:rPr>
        <w:t xml:space="preserve">أن </w:t>
      </w:r>
      <w:r w:rsidRPr="00282AC9">
        <w:rPr>
          <w:rtl/>
        </w:rPr>
        <w:t>يؤد</w:t>
      </w:r>
      <w:r w:rsidR="00B807B0" w:rsidRPr="00282AC9">
        <w:rPr>
          <w:rFonts w:hint="cs"/>
          <w:rtl/>
        </w:rPr>
        <w:t>ّ</w:t>
      </w:r>
      <w:r w:rsidRPr="00282AC9">
        <w:rPr>
          <w:rtl/>
        </w:rPr>
        <w:t>وا إليه خمس غنائمها</w:t>
      </w:r>
      <w:r w:rsidRPr="00282AC9">
        <w:rPr>
          <w:rFonts w:hint="cs"/>
          <w:vertAlign w:val="superscript"/>
          <w:rtl/>
        </w:rPr>
        <w:t>(</w:t>
      </w:r>
      <w:r w:rsidRPr="00282AC9">
        <w:rPr>
          <w:rStyle w:val="af9"/>
          <w:sz w:val="27"/>
          <w:rtl/>
        </w:rPr>
        <w:endnoteReference w:id="494"/>
      </w:r>
      <w:r w:rsidRPr="00282AC9">
        <w:rPr>
          <w:rFonts w:hint="cs"/>
          <w:vertAlign w:val="superscript"/>
          <w:rtl/>
        </w:rPr>
        <w:t>)</w:t>
      </w:r>
      <w:r w:rsidRPr="00282AC9">
        <w:rPr>
          <w:rFonts w:hint="cs"/>
          <w:rtl/>
        </w:rPr>
        <w:t>.</w:t>
      </w:r>
    </w:p>
    <w:p w:rsidR="00946A76" w:rsidRPr="00282AC9" w:rsidRDefault="00946A76" w:rsidP="00186251">
      <w:pPr>
        <w:rPr>
          <w:rtl/>
        </w:rPr>
      </w:pPr>
      <w:r w:rsidRPr="00282AC9">
        <w:rPr>
          <w:rtl/>
        </w:rPr>
        <w:t>وهذا افتراض</w:t>
      </w:r>
      <w:r w:rsidR="00B807B0" w:rsidRPr="00282AC9">
        <w:rPr>
          <w:rFonts w:hint="cs"/>
          <w:rtl/>
        </w:rPr>
        <w:t>ٌ</w:t>
      </w:r>
      <w:r w:rsidRPr="00282AC9">
        <w:rPr>
          <w:rtl/>
        </w:rPr>
        <w:t xml:space="preserve"> لم يستند إلى أي</w:t>
      </w:r>
      <w:r w:rsidR="00B807B0" w:rsidRPr="00282AC9">
        <w:rPr>
          <w:rFonts w:hint="cs"/>
          <w:rtl/>
        </w:rPr>
        <w:t>ّ</w:t>
      </w:r>
      <w:r w:rsidRPr="00282AC9">
        <w:rPr>
          <w:rtl/>
        </w:rPr>
        <w:t xml:space="preserve"> دليل</w:t>
      </w:r>
      <w:r w:rsidR="00B807B0" w:rsidRPr="00282AC9">
        <w:rPr>
          <w:rFonts w:hint="cs"/>
          <w:rtl/>
        </w:rPr>
        <w:t>ٍ</w:t>
      </w:r>
      <w:r w:rsidRPr="00282AC9">
        <w:rPr>
          <w:rtl/>
        </w:rPr>
        <w:t xml:space="preserve"> أو مصدر</w:t>
      </w:r>
      <w:r w:rsidR="00B807B0" w:rsidRPr="00282AC9">
        <w:rPr>
          <w:rFonts w:hint="cs"/>
          <w:rtl/>
        </w:rPr>
        <w:t>ٍ</w:t>
      </w:r>
      <w:r w:rsidRPr="00282AC9">
        <w:rPr>
          <w:rtl/>
        </w:rPr>
        <w:t xml:space="preserve"> تاريخي. فالرسائل لم تكن لقادة</w:t>
      </w:r>
      <w:r w:rsidR="00B807B0" w:rsidRPr="00282AC9">
        <w:rPr>
          <w:rFonts w:hint="cs"/>
          <w:rtl/>
        </w:rPr>
        <w:t>ٍ</w:t>
      </w:r>
      <w:r w:rsidRPr="00282AC9">
        <w:rPr>
          <w:rtl/>
        </w:rPr>
        <w:t xml:space="preserve"> بعثهم النبي</w:t>
      </w:r>
      <w:r w:rsidR="00B807B0" w:rsidRPr="00282AC9">
        <w:rPr>
          <w:rFonts w:hint="cs"/>
          <w:rtl/>
        </w:rPr>
        <w:t>ّ</w:t>
      </w:r>
      <w:r w:rsidRPr="00282AC9">
        <w:rPr>
          <w:rtl/>
        </w:rPr>
        <w:t xml:space="preserve"> بالنيابة عنه لمهم</w:t>
      </w:r>
      <w:r w:rsidR="00B807B0" w:rsidRPr="00282AC9">
        <w:rPr>
          <w:rFonts w:hint="cs"/>
          <w:rtl/>
        </w:rPr>
        <w:t>ّ</w:t>
      </w:r>
      <w:r w:rsidRPr="00282AC9">
        <w:rPr>
          <w:rtl/>
        </w:rPr>
        <w:t>ات</w:t>
      </w:r>
      <w:r w:rsidR="00B807B0" w:rsidRPr="00282AC9">
        <w:rPr>
          <w:rFonts w:hint="cs"/>
          <w:rtl/>
        </w:rPr>
        <w:t>ٍ</w:t>
      </w:r>
      <w:r w:rsidRPr="00282AC9">
        <w:rPr>
          <w:rtl/>
        </w:rPr>
        <w:t xml:space="preserve"> قتالية ضد</w:t>
      </w:r>
      <w:r w:rsidR="00B807B0" w:rsidRPr="00282AC9">
        <w:rPr>
          <w:rFonts w:hint="cs"/>
          <w:rtl/>
        </w:rPr>
        <w:t>ّ</w:t>
      </w:r>
      <w:r w:rsidRPr="00282AC9">
        <w:rPr>
          <w:rtl/>
        </w:rPr>
        <w:t xml:space="preserve"> فئات</w:t>
      </w:r>
      <w:r w:rsidR="00B807B0" w:rsidRPr="00282AC9">
        <w:rPr>
          <w:rFonts w:hint="cs"/>
          <w:rtl/>
        </w:rPr>
        <w:t>ٍ</w:t>
      </w:r>
      <w:r w:rsidRPr="00282AC9">
        <w:rPr>
          <w:rtl/>
        </w:rPr>
        <w:t xml:space="preserve"> من المشركين. إن الرسائل التي بعثها النبي</w:t>
      </w:r>
      <w:r w:rsidR="00B807B0" w:rsidRPr="00282AC9">
        <w:rPr>
          <w:rFonts w:hint="cs"/>
          <w:rtl/>
        </w:rPr>
        <w:t>ّ</w:t>
      </w:r>
      <w:r w:rsidRPr="00282AC9">
        <w:rPr>
          <w:rtl/>
        </w:rPr>
        <w:t xml:space="preserve"> بعد الحديبية</w:t>
      </w:r>
      <w:r w:rsidR="00B807B0" w:rsidRPr="00282AC9">
        <w:rPr>
          <w:rFonts w:hint="cs"/>
          <w:rtl/>
        </w:rPr>
        <w:t>،</w:t>
      </w:r>
      <w:r w:rsidRPr="00282AC9">
        <w:rPr>
          <w:rtl/>
        </w:rPr>
        <w:t xml:space="preserve"> وتحديدا</w:t>
      </w:r>
      <w:r w:rsidR="00B807B0" w:rsidRPr="00282AC9">
        <w:rPr>
          <w:rFonts w:hint="cs"/>
          <w:rtl/>
        </w:rPr>
        <w:t>ً</w:t>
      </w:r>
      <w:r w:rsidRPr="00282AC9">
        <w:rPr>
          <w:rtl/>
        </w:rPr>
        <w:t xml:space="preserve"> في السنتين السادسة أو السابعة، كانت للملوك والأمراء</w:t>
      </w:r>
      <w:r w:rsidR="004259D9" w:rsidRPr="00282AC9">
        <w:rPr>
          <w:rFonts w:hint="cs"/>
          <w:rtl/>
        </w:rPr>
        <w:t>،</w:t>
      </w:r>
      <w:r w:rsidRPr="00282AC9">
        <w:rPr>
          <w:rtl/>
        </w:rPr>
        <w:t xml:space="preserve"> ولناس</w:t>
      </w:r>
      <w:r w:rsidR="004259D9" w:rsidRPr="00282AC9">
        <w:rPr>
          <w:rFonts w:hint="cs"/>
          <w:rtl/>
        </w:rPr>
        <w:t>ٍ</w:t>
      </w:r>
      <w:r w:rsidRPr="00282AC9">
        <w:rPr>
          <w:rtl/>
        </w:rPr>
        <w:t xml:space="preserve"> من العرب. أما الرسائل التي كتبها للقبائل التي وفد</w:t>
      </w:r>
      <w:r w:rsidR="004259D9" w:rsidRPr="00282AC9">
        <w:rPr>
          <w:rFonts w:hint="cs"/>
          <w:rtl/>
        </w:rPr>
        <w:t>َ</w:t>
      </w:r>
      <w:r w:rsidRPr="00282AC9">
        <w:rPr>
          <w:rtl/>
        </w:rPr>
        <w:t>ت</w:t>
      </w:r>
      <w:r w:rsidR="004259D9" w:rsidRPr="00282AC9">
        <w:rPr>
          <w:rFonts w:hint="cs"/>
          <w:rtl/>
        </w:rPr>
        <w:t>ْ</w:t>
      </w:r>
      <w:r w:rsidRPr="00282AC9">
        <w:rPr>
          <w:rtl/>
        </w:rPr>
        <w:t xml:space="preserve"> إليه فكانت في عام الوفود</w:t>
      </w:r>
      <w:r w:rsidR="004259D9" w:rsidRPr="00282AC9">
        <w:rPr>
          <w:rFonts w:hint="cs"/>
          <w:rtl/>
        </w:rPr>
        <w:t>،</w:t>
      </w:r>
      <w:r w:rsidRPr="00282AC9">
        <w:rPr>
          <w:rtl/>
        </w:rPr>
        <w:t xml:space="preserve"> في السنة التاسعة. وبدراسة نصوصها وملاحظة سياقاتها التاريخية لا نجدها تدل</w:t>
      </w:r>
      <w:r w:rsidR="004259D9" w:rsidRPr="00282AC9">
        <w:rPr>
          <w:rFonts w:hint="cs"/>
          <w:rtl/>
        </w:rPr>
        <w:t>ّ</w:t>
      </w:r>
      <w:r w:rsidRPr="00282AC9">
        <w:rPr>
          <w:rtl/>
        </w:rPr>
        <w:t xml:space="preserve"> على ذلك. ولم ي</w:t>
      </w:r>
      <w:r w:rsidR="004259D9" w:rsidRPr="00282AC9">
        <w:rPr>
          <w:rFonts w:hint="cs"/>
          <w:rtl/>
        </w:rPr>
        <w:t>َ</w:t>
      </w:r>
      <w:r w:rsidRPr="00282AC9">
        <w:rPr>
          <w:rtl/>
        </w:rPr>
        <w:t>ر</w:t>
      </w:r>
      <w:r w:rsidR="004259D9" w:rsidRPr="00282AC9">
        <w:rPr>
          <w:rFonts w:hint="cs"/>
          <w:rtl/>
        </w:rPr>
        <w:t>ِ</w:t>
      </w:r>
      <w:r w:rsidRPr="00282AC9">
        <w:rPr>
          <w:rtl/>
        </w:rPr>
        <w:t>د</w:t>
      </w:r>
      <w:r w:rsidR="004259D9" w:rsidRPr="00282AC9">
        <w:rPr>
          <w:rFonts w:hint="cs"/>
          <w:rtl/>
        </w:rPr>
        <w:t>ْ</w:t>
      </w:r>
      <w:r w:rsidRPr="00282AC9">
        <w:rPr>
          <w:rtl/>
        </w:rPr>
        <w:t xml:space="preserve"> في مصادر التاريخ أنها كانت موج</w:t>
      </w:r>
      <w:r w:rsidR="004259D9" w:rsidRPr="00282AC9">
        <w:rPr>
          <w:rFonts w:hint="cs"/>
          <w:rtl/>
        </w:rPr>
        <w:t>َّ</w:t>
      </w:r>
      <w:r w:rsidRPr="00282AC9">
        <w:rPr>
          <w:rtl/>
        </w:rPr>
        <w:t>هة</w:t>
      </w:r>
      <w:r w:rsidR="004259D9" w:rsidRPr="00282AC9">
        <w:rPr>
          <w:rFonts w:hint="cs"/>
          <w:rtl/>
        </w:rPr>
        <w:t>ً</w:t>
      </w:r>
      <w:r w:rsidRPr="00282AC9">
        <w:rPr>
          <w:rtl/>
        </w:rPr>
        <w:t xml:space="preserve"> لسرايا أو بعوث</w:t>
      </w:r>
      <w:r w:rsidR="004259D9" w:rsidRPr="00282AC9">
        <w:rPr>
          <w:rFonts w:hint="cs"/>
          <w:rtl/>
        </w:rPr>
        <w:t>ٍ</w:t>
      </w:r>
      <w:r w:rsidRPr="00282AC9">
        <w:rPr>
          <w:rtl/>
        </w:rPr>
        <w:t xml:space="preserve"> أرسلت لمهم</w:t>
      </w:r>
      <w:r w:rsidR="004259D9" w:rsidRPr="00282AC9">
        <w:rPr>
          <w:rFonts w:hint="cs"/>
          <w:rtl/>
        </w:rPr>
        <w:t>ّ</w:t>
      </w:r>
      <w:r w:rsidRPr="00282AC9">
        <w:rPr>
          <w:rtl/>
        </w:rPr>
        <w:t>ات</w:t>
      </w:r>
      <w:r w:rsidR="004259D9" w:rsidRPr="00282AC9">
        <w:rPr>
          <w:rFonts w:hint="cs"/>
          <w:rtl/>
        </w:rPr>
        <w:t>ٍ</w:t>
      </w:r>
      <w:r w:rsidRPr="00282AC9">
        <w:rPr>
          <w:rtl/>
        </w:rPr>
        <w:t xml:space="preserve"> قتالية. </w:t>
      </w:r>
    </w:p>
    <w:p w:rsidR="00946A76" w:rsidRPr="00282AC9" w:rsidRDefault="00946A76" w:rsidP="00186251">
      <w:pPr>
        <w:rPr>
          <w:rtl/>
        </w:rPr>
      </w:pPr>
      <w:r w:rsidRPr="00282AC9">
        <w:rPr>
          <w:rtl/>
        </w:rPr>
        <w:t>إن السرايا التي بعثها النبي</w:t>
      </w:r>
      <w:r w:rsidR="004259D9" w:rsidRPr="00282AC9">
        <w:rPr>
          <w:rFonts w:hint="cs"/>
          <w:rtl/>
        </w:rPr>
        <w:t>ّ</w:t>
      </w:r>
      <w:r w:rsidR="009A2A04" w:rsidRPr="00282AC9">
        <w:rPr>
          <w:rFonts w:cs="Mosawi"/>
          <w:sz w:val="22"/>
          <w:szCs w:val="22"/>
          <w:rtl/>
        </w:rPr>
        <w:t>|</w:t>
      </w:r>
      <w:r w:rsidRPr="00282AC9">
        <w:rPr>
          <w:rtl/>
        </w:rPr>
        <w:t xml:space="preserve"> ـ ح</w:t>
      </w:r>
      <w:r w:rsidR="004259D9" w:rsidRPr="00282AC9">
        <w:rPr>
          <w:rFonts w:hint="cs"/>
          <w:rtl/>
        </w:rPr>
        <w:t>َ</w:t>
      </w:r>
      <w:r w:rsidRPr="00282AC9">
        <w:rPr>
          <w:rtl/>
        </w:rPr>
        <w:t>س</w:t>
      </w:r>
      <w:r w:rsidR="004259D9" w:rsidRPr="00282AC9">
        <w:rPr>
          <w:rFonts w:hint="cs"/>
          <w:rtl/>
        </w:rPr>
        <w:t>ْ</w:t>
      </w:r>
      <w:r w:rsidRPr="00282AC9">
        <w:rPr>
          <w:rtl/>
        </w:rPr>
        <w:t>ب ابن سعد(230</w:t>
      </w:r>
      <w:r w:rsidRPr="00282AC9">
        <w:rPr>
          <w:rFonts w:hint="cs"/>
          <w:rtl/>
        </w:rPr>
        <w:t>هـ</w:t>
      </w:r>
      <w:r w:rsidRPr="00282AC9">
        <w:rPr>
          <w:rtl/>
        </w:rPr>
        <w:t>)</w:t>
      </w:r>
      <w:r w:rsidRPr="00282AC9">
        <w:rPr>
          <w:rFonts w:hint="cs"/>
          <w:rtl/>
        </w:rPr>
        <w:t xml:space="preserve"> </w:t>
      </w:r>
      <w:r w:rsidRPr="00282AC9">
        <w:rPr>
          <w:rtl/>
        </w:rPr>
        <w:t>ـ كان مجموعها حوالي 56 سري</w:t>
      </w:r>
      <w:r w:rsidR="004259D9" w:rsidRPr="00282AC9">
        <w:rPr>
          <w:rFonts w:hint="cs"/>
          <w:rtl/>
        </w:rPr>
        <w:t>ّ</w:t>
      </w:r>
      <w:r w:rsidRPr="00282AC9">
        <w:rPr>
          <w:rtl/>
        </w:rPr>
        <w:t>ة</w:t>
      </w:r>
      <w:r w:rsidR="004259D9" w:rsidRPr="00282AC9">
        <w:rPr>
          <w:rFonts w:hint="cs"/>
          <w:rtl/>
        </w:rPr>
        <w:t>،</w:t>
      </w:r>
      <w:r w:rsidRPr="00282AC9">
        <w:rPr>
          <w:rtl/>
        </w:rPr>
        <w:t xml:space="preserve"> ومعظمها كانت في السنوات الثانية والخامسة والسادسة والسابعة </w:t>
      </w:r>
      <w:r w:rsidRPr="00282AC9">
        <w:rPr>
          <w:rtl/>
        </w:rPr>
        <w:lastRenderedPageBreak/>
        <w:t>والثامنة والتاسعة للهجرة. والسرايا التي رجع</w:t>
      </w:r>
      <w:r w:rsidR="004259D9" w:rsidRPr="00282AC9">
        <w:rPr>
          <w:rFonts w:hint="cs"/>
          <w:rtl/>
        </w:rPr>
        <w:t>َ</w:t>
      </w:r>
      <w:r w:rsidRPr="00282AC9">
        <w:rPr>
          <w:rtl/>
        </w:rPr>
        <w:t>ت</w:t>
      </w:r>
      <w:r w:rsidR="004259D9" w:rsidRPr="00282AC9">
        <w:rPr>
          <w:rFonts w:hint="cs"/>
          <w:rtl/>
        </w:rPr>
        <w:t>ْ</w:t>
      </w:r>
      <w:r w:rsidRPr="00282AC9">
        <w:rPr>
          <w:rtl/>
        </w:rPr>
        <w:t xml:space="preserve"> بغنائم كانت حوالي 12 سري</w:t>
      </w:r>
      <w:r w:rsidR="004259D9" w:rsidRPr="00282AC9">
        <w:rPr>
          <w:rFonts w:hint="cs"/>
          <w:rtl/>
        </w:rPr>
        <w:t>ّ</w:t>
      </w:r>
      <w:r w:rsidRPr="00282AC9">
        <w:rPr>
          <w:rtl/>
        </w:rPr>
        <w:t>ة</w:t>
      </w:r>
      <w:r w:rsidRPr="00282AC9">
        <w:rPr>
          <w:rFonts w:hint="cs"/>
          <w:vertAlign w:val="superscript"/>
          <w:rtl/>
        </w:rPr>
        <w:t>(</w:t>
      </w:r>
      <w:r w:rsidRPr="00282AC9">
        <w:rPr>
          <w:rStyle w:val="af9"/>
          <w:sz w:val="27"/>
          <w:rtl/>
        </w:rPr>
        <w:endnoteReference w:id="495"/>
      </w:r>
      <w:r w:rsidRPr="00282AC9">
        <w:rPr>
          <w:rFonts w:hint="cs"/>
          <w:vertAlign w:val="superscript"/>
          <w:rtl/>
        </w:rPr>
        <w:t>)</w:t>
      </w:r>
      <w:r w:rsidRPr="00282AC9">
        <w:rPr>
          <w:rFonts w:hint="cs"/>
          <w:rtl/>
        </w:rPr>
        <w:t>.</w:t>
      </w:r>
    </w:p>
    <w:p w:rsidR="00946A76" w:rsidRPr="00282AC9" w:rsidRDefault="00946A76" w:rsidP="00186251">
      <w:pPr>
        <w:rPr>
          <w:rtl/>
        </w:rPr>
      </w:pPr>
      <w:r w:rsidRPr="00282AC9">
        <w:rPr>
          <w:rtl/>
        </w:rPr>
        <w:t>إن مهم</w:t>
      </w:r>
      <w:r w:rsidR="004259D9" w:rsidRPr="00282AC9">
        <w:rPr>
          <w:rFonts w:hint="cs"/>
          <w:rtl/>
        </w:rPr>
        <w:t>ّ</w:t>
      </w:r>
      <w:r w:rsidRPr="00282AC9">
        <w:rPr>
          <w:rtl/>
        </w:rPr>
        <w:t>ات السرايا كانت أمني</w:t>
      </w:r>
      <w:r w:rsidR="004259D9" w:rsidRPr="00282AC9">
        <w:rPr>
          <w:rFonts w:hint="cs"/>
          <w:rtl/>
        </w:rPr>
        <w:t>ّ</w:t>
      </w:r>
      <w:r w:rsidRPr="00282AC9">
        <w:rPr>
          <w:rtl/>
        </w:rPr>
        <w:t>ة</w:t>
      </w:r>
      <w:r w:rsidR="004259D9" w:rsidRPr="00282AC9">
        <w:rPr>
          <w:rFonts w:hint="cs"/>
          <w:rtl/>
        </w:rPr>
        <w:t>ً</w:t>
      </w:r>
      <w:r w:rsidRPr="00282AC9">
        <w:rPr>
          <w:rtl/>
        </w:rPr>
        <w:t xml:space="preserve"> وتأديبي</w:t>
      </w:r>
      <w:r w:rsidR="004259D9" w:rsidRPr="00282AC9">
        <w:rPr>
          <w:rFonts w:hint="cs"/>
          <w:rtl/>
        </w:rPr>
        <w:t>ّ</w:t>
      </w:r>
      <w:r w:rsidRPr="00282AC9">
        <w:rPr>
          <w:rtl/>
        </w:rPr>
        <w:t>ة</w:t>
      </w:r>
      <w:r w:rsidR="004259D9" w:rsidRPr="00282AC9">
        <w:rPr>
          <w:rFonts w:hint="cs"/>
          <w:rtl/>
        </w:rPr>
        <w:t>،</w:t>
      </w:r>
      <w:r w:rsidRPr="00282AC9">
        <w:rPr>
          <w:rtl/>
        </w:rPr>
        <w:t xml:space="preserve"> وبعضها سياسي</w:t>
      </w:r>
      <w:r w:rsidR="004259D9" w:rsidRPr="00282AC9">
        <w:rPr>
          <w:rFonts w:hint="cs"/>
          <w:rtl/>
        </w:rPr>
        <w:t>ّ</w:t>
      </w:r>
      <w:r w:rsidRPr="00282AC9">
        <w:rPr>
          <w:rtl/>
        </w:rPr>
        <w:t>ة ديني</w:t>
      </w:r>
      <w:r w:rsidR="004259D9" w:rsidRPr="00282AC9">
        <w:rPr>
          <w:rFonts w:hint="cs"/>
          <w:rtl/>
        </w:rPr>
        <w:t>ّ</w:t>
      </w:r>
      <w:r w:rsidRPr="00282AC9">
        <w:rPr>
          <w:rtl/>
        </w:rPr>
        <w:t>ة محدودة</w:t>
      </w:r>
      <w:r w:rsidR="004259D9" w:rsidRPr="00282AC9">
        <w:rPr>
          <w:rFonts w:hint="cs"/>
          <w:rtl/>
        </w:rPr>
        <w:t>.</w:t>
      </w:r>
      <w:r w:rsidRPr="00282AC9">
        <w:rPr>
          <w:rtl/>
        </w:rPr>
        <w:t xml:space="preserve"> وح</w:t>
      </w:r>
      <w:r w:rsidR="004259D9" w:rsidRPr="00282AC9">
        <w:rPr>
          <w:rFonts w:hint="cs"/>
          <w:rtl/>
        </w:rPr>
        <w:t>َ</w:t>
      </w:r>
      <w:r w:rsidRPr="00282AC9">
        <w:rPr>
          <w:rtl/>
        </w:rPr>
        <w:t>س</w:t>
      </w:r>
      <w:r w:rsidR="004259D9" w:rsidRPr="00282AC9">
        <w:rPr>
          <w:rFonts w:hint="cs"/>
          <w:rtl/>
        </w:rPr>
        <w:t>ْ</w:t>
      </w:r>
      <w:r w:rsidRPr="00282AC9">
        <w:rPr>
          <w:rtl/>
        </w:rPr>
        <w:t>ب تعبير بعض مؤل</w:t>
      </w:r>
      <w:r w:rsidR="004259D9" w:rsidRPr="00282AC9">
        <w:rPr>
          <w:rFonts w:hint="cs"/>
          <w:rtl/>
        </w:rPr>
        <w:t>ِّ</w:t>
      </w:r>
      <w:r w:rsidRPr="00282AC9">
        <w:rPr>
          <w:rtl/>
        </w:rPr>
        <w:t>في السيرة</w:t>
      </w:r>
      <w:r w:rsidR="004259D9" w:rsidRPr="00282AC9">
        <w:rPr>
          <w:rFonts w:hint="cs"/>
          <w:rtl/>
        </w:rPr>
        <w:t>:</w:t>
      </w:r>
      <w:r w:rsidRPr="00282AC9">
        <w:rPr>
          <w:rtl/>
        </w:rPr>
        <w:t xml:space="preserve"> </w:t>
      </w:r>
      <w:r w:rsidR="004259D9" w:rsidRPr="00282AC9">
        <w:rPr>
          <w:rFonts w:hint="cs"/>
          <w:rtl/>
        </w:rPr>
        <w:t>إ</w:t>
      </w:r>
      <w:r w:rsidRPr="00282AC9">
        <w:rPr>
          <w:rtl/>
        </w:rPr>
        <w:t>نها مهم</w:t>
      </w:r>
      <w:r w:rsidR="004259D9" w:rsidRPr="00282AC9">
        <w:rPr>
          <w:rFonts w:hint="cs"/>
          <w:rtl/>
        </w:rPr>
        <w:t>ّ</w:t>
      </w:r>
      <w:r w:rsidRPr="00282AC9">
        <w:rPr>
          <w:rtl/>
        </w:rPr>
        <w:t>ات ف</w:t>
      </w:r>
      <w:r w:rsidR="004259D9" w:rsidRPr="00282AC9">
        <w:rPr>
          <w:rFonts w:hint="cs"/>
          <w:rtl/>
        </w:rPr>
        <w:t>ِ</w:t>
      </w:r>
      <w:r w:rsidRPr="00282AC9">
        <w:rPr>
          <w:rtl/>
        </w:rPr>
        <w:t>ر</w:t>
      </w:r>
      <w:r w:rsidR="004259D9" w:rsidRPr="00282AC9">
        <w:rPr>
          <w:rFonts w:hint="cs"/>
          <w:rtl/>
        </w:rPr>
        <w:t>َ</w:t>
      </w:r>
      <w:r w:rsidRPr="00282AC9">
        <w:rPr>
          <w:rtl/>
        </w:rPr>
        <w:t>ق الشرطة في زماننا</w:t>
      </w:r>
      <w:r w:rsidRPr="00282AC9">
        <w:rPr>
          <w:rFonts w:hint="cs"/>
          <w:vertAlign w:val="superscript"/>
          <w:rtl/>
        </w:rPr>
        <w:t>(</w:t>
      </w:r>
      <w:r w:rsidRPr="00282AC9">
        <w:rPr>
          <w:rStyle w:val="af9"/>
          <w:sz w:val="27"/>
          <w:rtl/>
        </w:rPr>
        <w:endnoteReference w:id="496"/>
      </w:r>
      <w:r w:rsidRPr="00282AC9">
        <w:rPr>
          <w:rFonts w:hint="cs"/>
          <w:vertAlign w:val="superscript"/>
          <w:rtl/>
        </w:rPr>
        <w:t>)</w:t>
      </w:r>
      <w:r w:rsidR="004259D9" w:rsidRPr="00282AC9">
        <w:rPr>
          <w:rFonts w:hint="cs"/>
          <w:rtl/>
        </w:rPr>
        <w:t>.</w:t>
      </w:r>
      <w:r w:rsidRPr="00282AC9">
        <w:rPr>
          <w:rFonts w:hint="cs"/>
          <w:rtl/>
        </w:rPr>
        <w:t xml:space="preserve"> </w:t>
      </w:r>
      <w:r w:rsidRPr="00282AC9">
        <w:rPr>
          <w:rtl/>
        </w:rPr>
        <w:t>وفي جميع الأحوال فإن هدف الرسائل والعهود كان مختلفا</w:t>
      </w:r>
      <w:r w:rsidR="004259D9" w:rsidRPr="00282AC9">
        <w:rPr>
          <w:rFonts w:hint="cs"/>
          <w:rtl/>
        </w:rPr>
        <w:t>ً</w:t>
      </w:r>
      <w:r w:rsidRPr="00282AC9">
        <w:rPr>
          <w:rtl/>
        </w:rPr>
        <w:t xml:space="preserve"> عن غرض السرايا الأمني</w:t>
      </w:r>
      <w:r w:rsidR="004259D9" w:rsidRPr="00282AC9">
        <w:rPr>
          <w:rFonts w:hint="cs"/>
          <w:rtl/>
        </w:rPr>
        <w:t>ّ</w:t>
      </w:r>
      <w:r w:rsidRPr="00282AC9">
        <w:rPr>
          <w:rtl/>
        </w:rPr>
        <w:t>ة والقتالي</w:t>
      </w:r>
      <w:r w:rsidR="004259D9" w:rsidRPr="00282AC9">
        <w:rPr>
          <w:rFonts w:hint="cs"/>
          <w:rtl/>
        </w:rPr>
        <w:t>ّ</w:t>
      </w:r>
      <w:r w:rsidRPr="00282AC9">
        <w:rPr>
          <w:rtl/>
        </w:rPr>
        <w:t xml:space="preserve">ة. </w:t>
      </w:r>
    </w:p>
    <w:p w:rsidR="00946A76" w:rsidRPr="00282AC9" w:rsidRDefault="00946A76" w:rsidP="00186251">
      <w:pPr>
        <w:rPr>
          <w:rtl/>
        </w:rPr>
      </w:pPr>
      <w:r w:rsidRPr="00282AC9">
        <w:rPr>
          <w:rtl/>
        </w:rPr>
        <w:t>وقد ي</w:t>
      </w:r>
      <w:r w:rsidR="004259D9" w:rsidRPr="00282AC9">
        <w:rPr>
          <w:rFonts w:hint="cs"/>
          <w:rtl/>
        </w:rPr>
        <w:t>َ</w:t>
      </w:r>
      <w:r w:rsidRPr="00282AC9">
        <w:rPr>
          <w:rtl/>
        </w:rPr>
        <w:t>ر</w:t>
      </w:r>
      <w:r w:rsidR="004259D9" w:rsidRPr="00282AC9">
        <w:rPr>
          <w:rFonts w:hint="cs"/>
          <w:rtl/>
        </w:rPr>
        <w:t>ِ</w:t>
      </w:r>
      <w:r w:rsidRPr="00282AC9">
        <w:rPr>
          <w:rtl/>
        </w:rPr>
        <w:t>د</w:t>
      </w:r>
      <w:r w:rsidR="004259D9" w:rsidRPr="00282AC9">
        <w:rPr>
          <w:rFonts w:hint="cs"/>
          <w:rtl/>
        </w:rPr>
        <w:t>ُ</w:t>
      </w:r>
      <w:r w:rsidRPr="00282AC9">
        <w:rPr>
          <w:rtl/>
        </w:rPr>
        <w:t xml:space="preserve"> على دعوى كون المقصود من الخمس في الرسائل النبوي</w:t>
      </w:r>
      <w:r w:rsidR="004259D9" w:rsidRPr="00282AC9">
        <w:rPr>
          <w:rFonts w:hint="cs"/>
          <w:rtl/>
        </w:rPr>
        <w:t>ّ</w:t>
      </w:r>
      <w:r w:rsidRPr="00282AC9">
        <w:rPr>
          <w:rtl/>
        </w:rPr>
        <w:t>ة هو خمس المكاسب والأرباح بأنه ورد في بعضها حكم</w:t>
      </w:r>
      <w:r w:rsidR="004259D9" w:rsidRPr="00282AC9">
        <w:rPr>
          <w:rFonts w:hint="cs"/>
          <w:rtl/>
        </w:rPr>
        <w:t>ُ</w:t>
      </w:r>
      <w:r w:rsidRPr="00282AC9">
        <w:rPr>
          <w:rtl/>
        </w:rPr>
        <w:t xml:space="preserve"> ص</w:t>
      </w:r>
      <w:r w:rsidR="004259D9" w:rsidRPr="00282AC9">
        <w:rPr>
          <w:rFonts w:hint="cs"/>
          <w:rtl/>
        </w:rPr>
        <w:t>َ</w:t>
      </w:r>
      <w:r w:rsidRPr="00282AC9">
        <w:rPr>
          <w:rtl/>
        </w:rPr>
        <w:t>ف</w:t>
      </w:r>
      <w:r w:rsidR="004259D9" w:rsidRPr="00282AC9">
        <w:rPr>
          <w:rFonts w:hint="cs"/>
          <w:rtl/>
        </w:rPr>
        <w:t>ْ</w:t>
      </w:r>
      <w:r w:rsidRPr="00282AC9">
        <w:rPr>
          <w:rtl/>
        </w:rPr>
        <w:t>و المال، مم</w:t>
      </w:r>
      <w:r w:rsidR="004259D9" w:rsidRPr="00282AC9">
        <w:rPr>
          <w:rFonts w:hint="cs"/>
          <w:rtl/>
        </w:rPr>
        <w:t>ّ</w:t>
      </w:r>
      <w:r w:rsidRPr="00282AC9">
        <w:rPr>
          <w:rtl/>
        </w:rPr>
        <w:t>ا يؤي</w:t>
      </w:r>
      <w:r w:rsidR="004259D9" w:rsidRPr="00282AC9">
        <w:rPr>
          <w:rFonts w:hint="cs"/>
          <w:rtl/>
        </w:rPr>
        <w:t>ِّ</w:t>
      </w:r>
      <w:r w:rsidRPr="00282AC9">
        <w:rPr>
          <w:rtl/>
        </w:rPr>
        <w:t>د أنها كانت أقرب إلى السياق الحربي</w:t>
      </w:r>
      <w:r w:rsidR="004259D9" w:rsidRPr="00282AC9">
        <w:rPr>
          <w:rFonts w:hint="cs"/>
          <w:rtl/>
        </w:rPr>
        <w:t>ّ</w:t>
      </w:r>
      <w:r w:rsidRPr="00282AC9">
        <w:rPr>
          <w:rtl/>
        </w:rPr>
        <w:t>. بل جاء في كتابه لعبد يغوث بن وعلة الحارثي</w:t>
      </w:r>
      <w:r w:rsidR="004259D9" w:rsidRPr="00282AC9">
        <w:rPr>
          <w:rFonts w:hint="cs"/>
          <w:rtl/>
        </w:rPr>
        <w:t>:</w:t>
      </w:r>
      <w:r w:rsidRPr="00282AC9">
        <w:rPr>
          <w:rtl/>
        </w:rPr>
        <w:t xml:space="preserve"> </w:t>
      </w:r>
      <w:r w:rsidRPr="00282AC9">
        <w:rPr>
          <w:rFonts w:hint="eastAsia"/>
          <w:sz w:val="24"/>
          <w:szCs w:val="24"/>
          <w:rtl/>
        </w:rPr>
        <w:t>«</w:t>
      </w:r>
      <w:r w:rsidRPr="00282AC9">
        <w:rPr>
          <w:rtl/>
        </w:rPr>
        <w:t>وأعطى خمس المغانم في الغ</w:t>
      </w:r>
      <w:r w:rsidR="004259D9" w:rsidRPr="00282AC9">
        <w:rPr>
          <w:rFonts w:hint="cs"/>
          <w:rtl/>
        </w:rPr>
        <w:t>َ</w:t>
      </w:r>
      <w:r w:rsidRPr="00282AC9">
        <w:rPr>
          <w:rtl/>
        </w:rPr>
        <w:t>ز</w:t>
      </w:r>
      <w:r w:rsidR="004259D9" w:rsidRPr="00282AC9">
        <w:rPr>
          <w:rFonts w:hint="cs"/>
          <w:rtl/>
        </w:rPr>
        <w:t>ْ</w:t>
      </w:r>
      <w:r w:rsidRPr="00282AC9">
        <w:rPr>
          <w:rtl/>
        </w:rPr>
        <w:t>و</w:t>
      </w:r>
      <w:r w:rsidRPr="00282AC9">
        <w:rPr>
          <w:rFonts w:hint="eastAsia"/>
          <w:sz w:val="24"/>
          <w:szCs w:val="24"/>
          <w:rtl/>
        </w:rPr>
        <w:t>»</w:t>
      </w:r>
      <w:r w:rsidRPr="00282AC9">
        <w:rPr>
          <w:rFonts w:hint="cs"/>
          <w:vertAlign w:val="superscript"/>
          <w:rtl/>
        </w:rPr>
        <w:t>(</w:t>
      </w:r>
      <w:r w:rsidRPr="00282AC9">
        <w:rPr>
          <w:rStyle w:val="af9"/>
          <w:sz w:val="27"/>
          <w:rtl/>
        </w:rPr>
        <w:endnoteReference w:id="497"/>
      </w:r>
      <w:r w:rsidRPr="00282AC9">
        <w:rPr>
          <w:rFonts w:hint="cs"/>
          <w:vertAlign w:val="superscript"/>
          <w:rtl/>
        </w:rPr>
        <w:t>)</w:t>
      </w:r>
      <w:r w:rsidR="004259D9" w:rsidRPr="00282AC9">
        <w:rPr>
          <w:rFonts w:hint="cs"/>
          <w:rtl/>
        </w:rPr>
        <w:t>.</w:t>
      </w:r>
      <w:r w:rsidRPr="00282AC9">
        <w:rPr>
          <w:rtl/>
        </w:rPr>
        <w:t xml:space="preserve"> وخل</w:t>
      </w:r>
      <w:r w:rsidR="004259D9" w:rsidRPr="00282AC9">
        <w:rPr>
          <w:rFonts w:hint="cs"/>
          <w:rtl/>
        </w:rPr>
        <w:t>َ</w:t>
      </w:r>
      <w:r w:rsidRPr="00282AC9">
        <w:rPr>
          <w:rtl/>
        </w:rPr>
        <w:t>ت</w:t>
      </w:r>
      <w:r w:rsidR="004259D9" w:rsidRPr="00282AC9">
        <w:rPr>
          <w:rFonts w:hint="cs"/>
          <w:rtl/>
        </w:rPr>
        <w:t>ْ</w:t>
      </w:r>
      <w:r w:rsidRPr="00282AC9">
        <w:rPr>
          <w:rtl/>
        </w:rPr>
        <w:t xml:space="preserve"> جملة</w:t>
      </w:r>
      <w:r w:rsidR="004259D9" w:rsidRPr="00282AC9">
        <w:rPr>
          <w:rFonts w:hint="cs"/>
          <w:rtl/>
        </w:rPr>
        <w:t>ٌ</w:t>
      </w:r>
      <w:r w:rsidRPr="00282AC9">
        <w:rPr>
          <w:rtl/>
        </w:rPr>
        <w:t xml:space="preserve"> من الكتب من أي</w:t>
      </w:r>
      <w:r w:rsidR="004259D9" w:rsidRPr="00282AC9">
        <w:rPr>
          <w:rFonts w:hint="cs"/>
          <w:rtl/>
        </w:rPr>
        <w:t>ّ</w:t>
      </w:r>
      <w:r w:rsidRPr="00282AC9">
        <w:rPr>
          <w:rtl/>
        </w:rPr>
        <w:t xml:space="preserve"> إشارة</w:t>
      </w:r>
      <w:r w:rsidR="004259D9" w:rsidRPr="00282AC9">
        <w:rPr>
          <w:rFonts w:hint="cs"/>
          <w:rtl/>
        </w:rPr>
        <w:t>ٍ</w:t>
      </w:r>
      <w:r w:rsidRPr="00282AC9">
        <w:rPr>
          <w:rtl/>
        </w:rPr>
        <w:t xml:space="preserve"> إلى أخماس المغانم</w:t>
      </w:r>
      <w:r w:rsidRPr="00282AC9">
        <w:rPr>
          <w:rFonts w:hint="cs"/>
          <w:vertAlign w:val="superscript"/>
          <w:rtl/>
        </w:rPr>
        <w:t>(</w:t>
      </w:r>
      <w:r w:rsidRPr="00282AC9">
        <w:rPr>
          <w:rStyle w:val="af9"/>
          <w:sz w:val="27"/>
          <w:rtl/>
        </w:rPr>
        <w:endnoteReference w:id="498"/>
      </w:r>
      <w:r w:rsidRPr="00282AC9">
        <w:rPr>
          <w:rFonts w:hint="cs"/>
          <w:vertAlign w:val="superscript"/>
          <w:rtl/>
        </w:rPr>
        <w:t>)</w:t>
      </w:r>
      <w:r w:rsidRPr="00282AC9">
        <w:rPr>
          <w:rFonts w:hint="cs"/>
          <w:rtl/>
        </w:rPr>
        <w:t>.</w:t>
      </w:r>
    </w:p>
    <w:p w:rsidR="000109A8" w:rsidRPr="00282AC9" w:rsidRDefault="00946A76" w:rsidP="00186251">
      <w:pPr>
        <w:rPr>
          <w:rtl/>
        </w:rPr>
      </w:pPr>
      <w:r w:rsidRPr="00282AC9">
        <w:rPr>
          <w:rtl/>
        </w:rPr>
        <w:t>وتضم</w:t>
      </w:r>
      <w:r w:rsidR="004259D9" w:rsidRPr="00282AC9">
        <w:rPr>
          <w:rFonts w:hint="cs"/>
          <w:rtl/>
        </w:rPr>
        <w:t>َّ</w:t>
      </w:r>
      <w:r w:rsidRPr="00282AC9">
        <w:rPr>
          <w:rtl/>
        </w:rPr>
        <w:t>ن</w:t>
      </w:r>
      <w:r w:rsidR="004259D9" w:rsidRPr="00282AC9">
        <w:rPr>
          <w:rFonts w:hint="cs"/>
          <w:rtl/>
        </w:rPr>
        <w:t>َ</w:t>
      </w:r>
      <w:r w:rsidRPr="00282AC9">
        <w:rPr>
          <w:rtl/>
        </w:rPr>
        <w:t>ت</w:t>
      </w:r>
      <w:r w:rsidR="004259D9" w:rsidRPr="00282AC9">
        <w:rPr>
          <w:rFonts w:hint="cs"/>
          <w:rtl/>
        </w:rPr>
        <w:t>ْ</w:t>
      </w:r>
      <w:r w:rsidRPr="00282AC9">
        <w:rPr>
          <w:rtl/>
        </w:rPr>
        <w:t xml:space="preserve"> بعض الكتب أمورا</w:t>
      </w:r>
      <w:r w:rsidR="004259D9" w:rsidRPr="00282AC9">
        <w:rPr>
          <w:rFonts w:hint="cs"/>
          <w:rtl/>
        </w:rPr>
        <w:t>ً</w:t>
      </w:r>
      <w:r w:rsidRPr="00282AC9">
        <w:rPr>
          <w:rtl/>
        </w:rPr>
        <w:t xml:space="preserve"> إدارية وأمنية وسياسية مهم</w:t>
      </w:r>
      <w:r w:rsidR="004259D9" w:rsidRPr="00282AC9">
        <w:rPr>
          <w:rFonts w:hint="cs"/>
          <w:rtl/>
        </w:rPr>
        <w:t>ّ</w:t>
      </w:r>
      <w:r w:rsidRPr="00282AC9">
        <w:rPr>
          <w:rtl/>
        </w:rPr>
        <w:t>ة</w:t>
      </w:r>
      <w:r w:rsidR="004259D9" w:rsidRPr="00282AC9">
        <w:rPr>
          <w:rFonts w:hint="cs"/>
          <w:rtl/>
        </w:rPr>
        <w:t>،</w:t>
      </w:r>
      <w:r w:rsidRPr="00282AC9">
        <w:rPr>
          <w:rtl/>
        </w:rPr>
        <w:t xml:space="preserve"> بالإضافة إلى الفرائض</w:t>
      </w:r>
      <w:r w:rsidR="004259D9" w:rsidRPr="00282AC9">
        <w:rPr>
          <w:rFonts w:hint="cs"/>
          <w:rtl/>
        </w:rPr>
        <w:t>.</w:t>
      </w:r>
      <w:r w:rsidRPr="00282AC9">
        <w:rPr>
          <w:rtl/>
        </w:rPr>
        <w:t xml:space="preserve"> وفي بعضها نص</w:t>
      </w:r>
      <w:r w:rsidR="004259D9" w:rsidRPr="00282AC9">
        <w:rPr>
          <w:rFonts w:hint="cs"/>
          <w:rtl/>
        </w:rPr>
        <w:t>ّ</w:t>
      </w:r>
      <w:r w:rsidRPr="00282AC9">
        <w:rPr>
          <w:rtl/>
        </w:rPr>
        <w:t xml:space="preserve"> على خمس المغانم</w:t>
      </w:r>
      <w:r w:rsidR="000109A8" w:rsidRPr="00282AC9">
        <w:rPr>
          <w:rFonts w:hint="cs"/>
          <w:rtl/>
        </w:rPr>
        <w:t>؛</w:t>
      </w:r>
      <w:r w:rsidRPr="00282AC9">
        <w:rPr>
          <w:rtl/>
        </w:rPr>
        <w:t xml:space="preserve"> وفي بعضها لم ي</w:t>
      </w:r>
      <w:r w:rsidR="000109A8" w:rsidRPr="00282AC9">
        <w:rPr>
          <w:rFonts w:hint="cs"/>
          <w:rtl/>
        </w:rPr>
        <w:t>َ</w:t>
      </w:r>
      <w:r w:rsidRPr="00282AC9">
        <w:rPr>
          <w:rtl/>
        </w:rPr>
        <w:t>ر</w:t>
      </w:r>
      <w:r w:rsidR="000109A8" w:rsidRPr="00282AC9">
        <w:rPr>
          <w:rFonts w:hint="cs"/>
          <w:rtl/>
        </w:rPr>
        <w:t>ِ</w:t>
      </w:r>
      <w:r w:rsidRPr="00282AC9">
        <w:rPr>
          <w:rtl/>
        </w:rPr>
        <w:t>د</w:t>
      </w:r>
      <w:r w:rsidR="000109A8" w:rsidRPr="00282AC9">
        <w:rPr>
          <w:rFonts w:hint="cs"/>
          <w:rtl/>
        </w:rPr>
        <w:t>ْ</w:t>
      </w:r>
      <w:r w:rsidRPr="00282AC9">
        <w:rPr>
          <w:rtl/>
        </w:rPr>
        <w:t xml:space="preserve"> له ذكر</w:t>
      </w:r>
      <w:r w:rsidR="000109A8" w:rsidRPr="00282AC9">
        <w:rPr>
          <w:rFonts w:hint="cs"/>
          <w:rtl/>
        </w:rPr>
        <w:t>ٌ</w:t>
      </w:r>
      <w:r w:rsidR="000109A8" w:rsidRPr="00282AC9">
        <w:rPr>
          <w:rtl/>
        </w:rPr>
        <w:t>.</w:t>
      </w:r>
    </w:p>
    <w:p w:rsidR="000109A8" w:rsidRPr="00282AC9" w:rsidRDefault="00946A76" w:rsidP="00186251">
      <w:pPr>
        <w:rPr>
          <w:rtl/>
        </w:rPr>
      </w:pPr>
      <w:r w:rsidRPr="00282AC9">
        <w:rPr>
          <w:rtl/>
        </w:rPr>
        <w:t>ففي كتابه لم</w:t>
      </w:r>
      <w:r w:rsidR="000109A8" w:rsidRPr="00282AC9">
        <w:rPr>
          <w:rFonts w:hint="cs"/>
          <w:rtl/>
        </w:rPr>
        <w:t>َ</w:t>
      </w:r>
      <w:r w:rsidRPr="00282AC9">
        <w:rPr>
          <w:rtl/>
        </w:rPr>
        <w:t>ن</w:t>
      </w:r>
      <w:r w:rsidR="000109A8" w:rsidRPr="00282AC9">
        <w:rPr>
          <w:rFonts w:hint="cs"/>
          <w:rtl/>
        </w:rPr>
        <w:t>ْ</w:t>
      </w:r>
      <w:r w:rsidRPr="00282AC9">
        <w:rPr>
          <w:rtl/>
        </w:rPr>
        <w:t xml:space="preserve"> أسلم من حدس من لخم: وأعطى حظ</w:t>
      </w:r>
      <w:r w:rsidR="000109A8" w:rsidRPr="00282AC9">
        <w:rPr>
          <w:rFonts w:hint="cs"/>
          <w:rtl/>
        </w:rPr>
        <w:t>ّ</w:t>
      </w:r>
      <w:r w:rsidRPr="00282AC9">
        <w:rPr>
          <w:rtl/>
        </w:rPr>
        <w:t xml:space="preserve"> الله وحظ</w:t>
      </w:r>
      <w:r w:rsidR="000109A8" w:rsidRPr="00282AC9">
        <w:rPr>
          <w:rFonts w:hint="cs"/>
          <w:rtl/>
        </w:rPr>
        <w:t>ّ</w:t>
      </w:r>
      <w:r w:rsidRPr="00282AC9">
        <w:rPr>
          <w:rtl/>
        </w:rPr>
        <w:t xml:space="preserve"> رسوله</w:t>
      </w:r>
      <w:r w:rsidR="000109A8" w:rsidRPr="00282AC9">
        <w:rPr>
          <w:rFonts w:hint="cs"/>
          <w:rtl/>
        </w:rPr>
        <w:t>،</w:t>
      </w:r>
      <w:r w:rsidRPr="00282AC9">
        <w:rPr>
          <w:rtl/>
        </w:rPr>
        <w:t xml:space="preserve"> وفارق المشركين، فإنه آمن بذم</w:t>
      </w:r>
      <w:r w:rsidR="000109A8" w:rsidRPr="00282AC9">
        <w:rPr>
          <w:rFonts w:hint="cs"/>
          <w:rtl/>
        </w:rPr>
        <w:t>ّ</w:t>
      </w:r>
      <w:r w:rsidRPr="00282AC9">
        <w:rPr>
          <w:rtl/>
        </w:rPr>
        <w:t>ة الله ورسوله</w:t>
      </w:r>
      <w:r w:rsidR="000109A8" w:rsidRPr="00282AC9">
        <w:rPr>
          <w:rFonts w:hint="cs"/>
          <w:rtl/>
        </w:rPr>
        <w:t>؛</w:t>
      </w:r>
      <w:r w:rsidRPr="00282AC9">
        <w:rPr>
          <w:rtl/>
        </w:rPr>
        <w:t xml:space="preserve"> وم</w:t>
      </w:r>
      <w:r w:rsidR="000109A8" w:rsidRPr="00282AC9">
        <w:rPr>
          <w:rFonts w:hint="cs"/>
          <w:rtl/>
        </w:rPr>
        <w:t>َ</w:t>
      </w:r>
      <w:r w:rsidRPr="00282AC9">
        <w:rPr>
          <w:rtl/>
        </w:rPr>
        <w:t>ن</w:t>
      </w:r>
      <w:r w:rsidR="000109A8" w:rsidRPr="00282AC9">
        <w:rPr>
          <w:rFonts w:hint="cs"/>
          <w:rtl/>
        </w:rPr>
        <w:t>ْ</w:t>
      </w:r>
      <w:r w:rsidRPr="00282AC9">
        <w:rPr>
          <w:rtl/>
        </w:rPr>
        <w:t xml:space="preserve"> رجع عن دينه فإن ذم</w:t>
      </w:r>
      <w:r w:rsidR="000109A8" w:rsidRPr="00282AC9">
        <w:rPr>
          <w:rFonts w:hint="cs"/>
          <w:rtl/>
        </w:rPr>
        <w:t>ّ</w:t>
      </w:r>
      <w:r w:rsidRPr="00282AC9">
        <w:rPr>
          <w:rtl/>
        </w:rPr>
        <w:t>ة الله وذم</w:t>
      </w:r>
      <w:r w:rsidR="000109A8" w:rsidRPr="00282AC9">
        <w:rPr>
          <w:rFonts w:hint="cs"/>
          <w:rtl/>
        </w:rPr>
        <w:t>ّ</w:t>
      </w:r>
      <w:r w:rsidR="000109A8" w:rsidRPr="00282AC9">
        <w:rPr>
          <w:rtl/>
        </w:rPr>
        <w:t>ة محمد رسوله بريئة.</w:t>
      </w:r>
    </w:p>
    <w:p w:rsidR="000109A8" w:rsidRPr="00282AC9" w:rsidRDefault="00946A76" w:rsidP="00186251">
      <w:pPr>
        <w:rPr>
          <w:rtl/>
        </w:rPr>
      </w:pPr>
      <w:r w:rsidRPr="00282AC9">
        <w:rPr>
          <w:rtl/>
        </w:rPr>
        <w:t xml:space="preserve">وفي كتابه لربيعة بن ذي مرحب الحضرمي وإخوته وأعمامه: </w:t>
      </w:r>
      <w:r w:rsidR="000109A8" w:rsidRPr="00282AC9">
        <w:rPr>
          <w:rFonts w:hint="cs"/>
          <w:rtl/>
        </w:rPr>
        <w:t>إ</w:t>
      </w:r>
      <w:r w:rsidRPr="00282AC9">
        <w:rPr>
          <w:rtl/>
        </w:rPr>
        <w:t>ن لهم أموالهم ونحلهم ورقيقهم وآبارهم وشجرهم ومياههم..</w:t>
      </w:r>
      <w:r w:rsidR="000109A8" w:rsidRPr="00282AC9">
        <w:rPr>
          <w:rFonts w:hint="cs"/>
          <w:rtl/>
        </w:rPr>
        <w:t>.</w:t>
      </w:r>
      <w:r w:rsidRPr="00282AC9">
        <w:rPr>
          <w:rtl/>
        </w:rPr>
        <w:t xml:space="preserve"> و</w:t>
      </w:r>
      <w:r w:rsidR="000109A8" w:rsidRPr="00282AC9">
        <w:rPr>
          <w:rFonts w:hint="cs"/>
          <w:rtl/>
        </w:rPr>
        <w:t>إ</w:t>
      </w:r>
      <w:r w:rsidRPr="00282AC9">
        <w:rPr>
          <w:rtl/>
        </w:rPr>
        <w:t xml:space="preserve">ن نصر آل ذي مرحب على جماعة </w:t>
      </w:r>
      <w:r w:rsidR="000109A8" w:rsidRPr="00282AC9">
        <w:rPr>
          <w:rtl/>
        </w:rPr>
        <w:t>المسلمين.</w:t>
      </w:r>
    </w:p>
    <w:p w:rsidR="000109A8" w:rsidRPr="00282AC9" w:rsidRDefault="00946A76" w:rsidP="00186251">
      <w:pPr>
        <w:rPr>
          <w:rtl/>
        </w:rPr>
      </w:pPr>
      <w:r w:rsidRPr="00282AC9">
        <w:rPr>
          <w:rtl/>
        </w:rPr>
        <w:t>وفي كتابه لخالد بن ضماد الأزدي</w:t>
      </w:r>
      <w:r w:rsidR="000109A8" w:rsidRPr="00282AC9">
        <w:rPr>
          <w:rFonts w:hint="cs"/>
          <w:rtl/>
        </w:rPr>
        <w:t>:</w:t>
      </w:r>
      <w:r w:rsidRPr="00282AC9">
        <w:rPr>
          <w:rtl/>
        </w:rPr>
        <w:t xml:space="preserve"> </w:t>
      </w:r>
      <w:r w:rsidR="000109A8" w:rsidRPr="00282AC9">
        <w:rPr>
          <w:rFonts w:hint="cs"/>
          <w:rtl/>
        </w:rPr>
        <w:t>إ</w:t>
      </w:r>
      <w:r w:rsidRPr="00282AC9">
        <w:rPr>
          <w:rtl/>
        </w:rPr>
        <w:t>ن له ما أسلم عليه من أرضه</w:t>
      </w:r>
      <w:r w:rsidR="000109A8" w:rsidRPr="00282AC9">
        <w:rPr>
          <w:rFonts w:hint="cs"/>
          <w:rtl/>
        </w:rPr>
        <w:t>،</w:t>
      </w:r>
      <w:r w:rsidRPr="00282AC9">
        <w:rPr>
          <w:rtl/>
        </w:rPr>
        <w:t xml:space="preserve"> على أن يؤمن بالله ولا يشرك به شيئا</w:t>
      </w:r>
      <w:r w:rsidR="000109A8" w:rsidRPr="00282AC9">
        <w:rPr>
          <w:rFonts w:hint="cs"/>
          <w:rtl/>
        </w:rPr>
        <w:t>ً</w:t>
      </w:r>
      <w:r w:rsidRPr="00282AC9">
        <w:rPr>
          <w:rtl/>
        </w:rPr>
        <w:t>.</w:t>
      </w:r>
      <w:r w:rsidR="000109A8" w:rsidRPr="00282AC9">
        <w:rPr>
          <w:rFonts w:hint="cs"/>
          <w:rtl/>
        </w:rPr>
        <w:t>.</w:t>
      </w:r>
      <w:r w:rsidRPr="00282AC9">
        <w:rPr>
          <w:rtl/>
        </w:rPr>
        <w:t>.</w:t>
      </w:r>
      <w:r w:rsidRPr="00282AC9">
        <w:rPr>
          <w:rFonts w:hint="cs"/>
          <w:rtl/>
        </w:rPr>
        <w:t xml:space="preserve"> </w:t>
      </w:r>
      <w:r w:rsidRPr="00282AC9">
        <w:rPr>
          <w:rtl/>
        </w:rPr>
        <w:t>ولا ي</w:t>
      </w:r>
      <w:r w:rsidR="000109A8" w:rsidRPr="00282AC9">
        <w:rPr>
          <w:rFonts w:hint="cs"/>
          <w:rtl/>
        </w:rPr>
        <w:t>ؤ</w:t>
      </w:r>
      <w:r w:rsidRPr="00282AC9">
        <w:rPr>
          <w:rtl/>
        </w:rPr>
        <w:t>وي م</w:t>
      </w:r>
      <w:r w:rsidR="000109A8" w:rsidRPr="00282AC9">
        <w:rPr>
          <w:rFonts w:hint="cs"/>
          <w:rtl/>
        </w:rPr>
        <w:t>ُ</w:t>
      </w:r>
      <w:r w:rsidRPr="00282AC9">
        <w:rPr>
          <w:rtl/>
        </w:rPr>
        <w:t>ح</w:t>
      </w:r>
      <w:r w:rsidR="000109A8" w:rsidRPr="00282AC9">
        <w:rPr>
          <w:rFonts w:hint="cs"/>
          <w:rtl/>
        </w:rPr>
        <w:t>ْ</w:t>
      </w:r>
      <w:r w:rsidRPr="00282AC9">
        <w:rPr>
          <w:rtl/>
        </w:rPr>
        <w:t>د</w:t>
      </w:r>
      <w:r w:rsidR="000109A8" w:rsidRPr="00282AC9">
        <w:rPr>
          <w:rFonts w:hint="cs"/>
          <w:rtl/>
        </w:rPr>
        <w:t>ِ</w:t>
      </w:r>
      <w:r w:rsidRPr="00282AC9">
        <w:rPr>
          <w:rtl/>
        </w:rPr>
        <w:t>ثا</w:t>
      </w:r>
      <w:r w:rsidR="000109A8" w:rsidRPr="00282AC9">
        <w:rPr>
          <w:rFonts w:hint="cs"/>
          <w:rtl/>
        </w:rPr>
        <w:t>ً،</w:t>
      </w:r>
      <w:r w:rsidRPr="00282AC9">
        <w:rPr>
          <w:rtl/>
        </w:rPr>
        <w:t xml:space="preserve"> ولا يرتاب</w:t>
      </w:r>
      <w:r w:rsidR="000109A8" w:rsidRPr="00282AC9">
        <w:rPr>
          <w:rFonts w:hint="cs"/>
          <w:rtl/>
        </w:rPr>
        <w:t>،</w:t>
      </w:r>
      <w:r w:rsidRPr="00282AC9">
        <w:rPr>
          <w:rtl/>
        </w:rPr>
        <w:t xml:space="preserve"> وعلى أن ينصح لله ولرسوله..</w:t>
      </w:r>
      <w:r w:rsidR="000109A8" w:rsidRPr="00282AC9">
        <w:rPr>
          <w:rFonts w:hint="cs"/>
          <w:rtl/>
        </w:rPr>
        <w:t>.</w:t>
      </w:r>
      <w:r w:rsidRPr="00282AC9">
        <w:rPr>
          <w:rtl/>
        </w:rPr>
        <w:t xml:space="preserve"> وعلى محمد النبي</w:t>
      </w:r>
      <w:r w:rsidR="000109A8" w:rsidRPr="00282AC9">
        <w:rPr>
          <w:rFonts w:hint="cs"/>
          <w:rtl/>
        </w:rPr>
        <w:t>ّ</w:t>
      </w:r>
      <w:r w:rsidRPr="00282AC9">
        <w:rPr>
          <w:rtl/>
        </w:rPr>
        <w:t xml:space="preserve"> أن يمنعه مم</w:t>
      </w:r>
      <w:r w:rsidR="000109A8" w:rsidRPr="00282AC9">
        <w:rPr>
          <w:rFonts w:hint="cs"/>
          <w:rtl/>
        </w:rPr>
        <w:t>ّ</w:t>
      </w:r>
      <w:r w:rsidRPr="00282AC9">
        <w:rPr>
          <w:rtl/>
        </w:rPr>
        <w:t>ا يمنع منه نفسه وماله وأهله</w:t>
      </w:r>
      <w:r w:rsidR="000109A8" w:rsidRPr="00282AC9">
        <w:rPr>
          <w:rFonts w:hint="cs"/>
          <w:rtl/>
        </w:rPr>
        <w:t>.</w:t>
      </w:r>
    </w:p>
    <w:p w:rsidR="000109A8" w:rsidRPr="00282AC9" w:rsidRDefault="00946A76" w:rsidP="00186251">
      <w:pPr>
        <w:rPr>
          <w:rtl/>
        </w:rPr>
      </w:pPr>
      <w:r w:rsidRPr="00282AC9">
        <w:rPr>
          <w:rtl/>
        </w:rPr>
        <w:t>وكتب لبني م</w:t>
      </w:r>
      <w:r w:rsidR="000109A8" w:rsidRPr="00282AC9">
        <w:rPr>
          <w:rFonts w:hint="cs"/>
          <w:rtl/>
        </w:rPr>
        <w:t>َ</w:t>
      </w:r>
      <w:r w:rsidRPr="00282AC9">
        <w:rPr>
          <w:rtl/>
        </w:rPr>
        <w:t>ع</w:t>
      </w:r>
      <w:r w:rsidR="000109A8" w:rsidRPr="00282AC9">
        <w:rPr>
          <w:rFonts w:hint="cs"/>
          <w:rtl/>
        </w:rPr>
        <w:t>ْ</w:t>
      </w:r>
      <w:r w:rsidRPr="00282AC9">
        <w:rPr>
          <w:rtl/>
        </w:rPr>
        <w:t>ن الطائي</w:t>
      </w:r>
      <w:r w:rsidR="000109A8" w:rsidRPr="00282AC9">
        <w:rPr>
          <w:rFonts w:hint="cs"/>
          <w:rtl/>
        </w:rPr>
        <w:t>ّ</w:t>
      </w:r>
      <w:r w:rsidRPr="00282AC9">
        <w:rPr>
          <w:rtl/>
        </w:rPr>
        <w:t>ين</w:t>
      </w:r>
      <w:r w:rsidR="000109A8" w:rsidRPr="00282AC9">
        <w:rPr>
          <w:rFonts w:hint="cs"/>
          <w:rtl/>
        </w:rPr>
        <w:t>:</w:t>
      </w:r>
      <w:r w:rsidRPr="00282AC9">
        <w:rPr>
          <w:rtl/>
        </w:rPr>
        <w:t xml:space="preserve"> </w:t>
      </w:r>
      <w:r w:rsidR="000109A8" w:rsidRPr="00282AC9">
        <w:rPr>
          <w:rFonts w:hint="cs"/>
          <w:rtl/>
        </w:rPr>
        <w:t>إ</w:t>
      </w:r>
      <w:r w:rsidRPr="00282AC9">
        <w:rPr>
          <w:rtl/>
        </w:rPr>
        <w:t>ن لهم ما أسلموا عليه</w:t>
      </w:r>
      <w:r w:rsidR="000109A8" w:rsidRPr="00282AC9">
        <w:rPr>
          <w:rFonts w:hint="cs"/>
          <w:rtl/>
        </w:rPr>
        <w:t>،</w:t>
      </w:r>
      <w:r w:rsidRPr="00282AC9">
        <w:rPr>
          <w:rtl/>
        </w:rPr>
        <w:t xml:space="preserve"> من بلادهم ومياههم وغدوة الغنم</w:t>
      </w:r>
      <w:r w:rsidR="000109A8" w:rsidRPr="00282AC9">
        <w:rPr>
          <w:rFonts w:hint="cs"/>
          <w:rtl/>
        </w:rPr>
        <w:t>،</w:t>
      </w:r>
      <w:r w:rsidRPr="00282AC9">
        <w:rPr>
          <w:rtl/>
        </w:rPr>
        <w:t xml:space="preserve"> ما أقاموا الصلاة وآتوا الزكاة</w:t>
      </w:r>
      <w:r w:rsidR="000109A8" w:rsidRPr="00282AC9">
        <w:rPr>
          <w:rFonts w:hint="cs"/>
          <w:rtl/>
        </w:rPr>
        <w:t>،</w:t>
      </w:r>
      <w:r w:rsidRPr="00282AC9">
        <w:rPr>
          <w:rtl/>
        </w:rPr>
        <w:t xml:space="preserve"> وأطاعوا الله ورسوله</w:t>
      </w:r>
      <w:r w:rsidR="000109A8" w:rsidRPr="00282AC9">
        <w:rPr>
          <w:rFonts w:hint="cs"/>
          <w:rtl/>
        </w:rPr>
        <w:t>،</w:t>
      </w:r>
      <w:r w:rsidRPr="00282AC9">
        <w:rPr>
          <w:rtl/>
        </w:rPr>
        <w:t xml:space="preserve"> وفارقوا المشركين</w:t>
      </w:r>
      <w:r w:rsidR="000109A8" w:rsidRPr="00282AC9">
        <w:rPr>
          <w:rFonts w:hint="cs"/>
          <w:rtl/>
        </w:rPr>
        <w:t>،</w:t>
      </w:r>
      <w:r w:rsidRPr="00282AC9">
        <w:rPr>
          <w:rtl/>
        </w:rPr>
        <w:t xml:space="preserve"> وأشهدوا على إسلامهم</w:t>
      </w:r>
      <w:r w:rsidR="000109A8" w:rsidRPr="00282AC9">
        <w:rPr>
          <w:rFonts w:hint="cs"/>
          <w:rtl/>
        </w:rPr>
        <w:t>،</w:t>
      </w:r>
      <w:r w:rsidR="000109A8" w:rsidRPr="00282AC9">
        <w:rPr>
          <w:rtl/>
        </w:rPr>
        <w:t xml:space="preserve"> وأمنوا السبل.</w:t>
      </w:r>
    </w:p>
    <w:p w:rsidR="00946A76" w:rsidRPr="00282AC9" w:rsidRDefault="00946A76" w:rsidP="00186251">
      <w:pPr>
        <w:rPr>
          <w:rtl/>
        </w:rPr>
      </w:pPr>
      <w:r w:rsidRPr="00282AC9">
        <w:rPr>
          <w:rtl/>
        </w:rPr>
        <w:t>وهذه الكتب أيضا</w:t>
      </w:r>
      <w:r w:rsidR="000109A8" w:rsidRPr="00282AC9">
        <w:rPr>
          <w:rFonts w:hint="cs"/>
          <w:rtl/>
        </w:rPr>
        <w:t>ً</w:t>
      </w:r>
      <w:r w:rsidRPr="00282AC9">
        <w:rPr>
          <w:rtl/>
        </w:rPr>
        <w:t xml:space="preserve"> لم ي</w:t>
      </w:r>
      <w:r w:rsidR="000109A8" w:rsidRPr="00282AC9">
        <w:rPr>
          <w:rFonts w:hint="cs"/>
          <w:rtl/>
        </w:rPr>
        <w:t>َ</w:t>
      </w:r>
      <w:r w:rsidRPr="00282AC9">
        <w:rPr>
          <w:rtl/>
        </w:rPr>
        <w:t>ر</w:t>
      </w:r>
      <w:r w:rsidR="000109A8" w:rsidRPr="00282AC9">
        <w:rPr>
          <w:rFonts w:hint="cs"/>
          <w:rtl/>
        </w:rPr>
        <w:t>ِ</w:t>
      </w:r>
      <w:r w:rsidRPr="00282AC9">
        <w:rPr>
          <w:rtl/>
        </w:rPr>
        <w:t>د</w:t>
      </w:r>
      <w:r w:rsidR="000109A8" w:rsidRPr="00282AC9">
        <w:rPr>
          <w:rFonts w:hint="cs"/>
          <w:rtl/>
        </w:rPr>
        <w:t>ْ</w:t>
      </w:r>
      <w:r w:rsidRPr="00282AC9">
        <w:rPr>
          <w:rtl/>
        </w:rPr>
        <w:t xml:space="preserve"> فيها ذكر الغنائم</w:t>
      </w:r>
      <w:r w:rsidRPr="00282AC9">
        <w:rPr>
          <w:rFonts w:hint="cs"/>
          <w:vertAlign w:val="superscript"/>
          <w:rtl/>
        </w:rPr>
        <w:t>(</w:t>
      </w:r>
      <w:r w:rsidRPr="00282AC9">
        <w:rPr>
          <w:rStyle w:val="af9"/>
          <w:sz w:val="27"/>
          <w:rtl/>
        </w:rPr>
        <w:endnoteReference w:id="499"/>
      </w:r>
      <w:r w:rsidRPr="00282AC9">
        <w:rPr>
          <w:rFonts w:hint="cs"/>
          <w:vertAlign w:val="superscript"/>
          <w:rtl/>
        </w:rPr>
        <w:t>)</w:t>
      </w:r>
      <w:r w:rsidRPr="00282AC9">
        <w:rPr>
          <w:rFonts w:hint="cs"/>
          <w:rtl/>
        </w:rPr>
        <w:t>.</w:t>
      </w:r>
    </w:p>
    <w:p w:rsidR="00946A76" w:rsidRPr="00282AC9" w:rsidRDefault="00946A76" w:rsidP="00186251">
      <w:pPr>
        <w:rPr>
          <w:rtl/>
        </w:rPr>
      </w:pPr>
      <w:r w:rsidRPr="00282AC9">
        <w:rPr>
          <w:rtl/>
        </w:rPr>
        <w:t>ثم</w:t>
      </w:r>
      <w:r w:rsidR="000109A8" w:rsidRPr="00282AC9">
        <w:rPr>
          <w:rFonts w:hint="cs"/>
          <w:rtl/>
        </w:rPr>
        <w:t>ّ</w:t>
      </w:r>
      <w:r w:rsidRPr="00282AC9">
        <w:rPr>
          <w:rtl/>
        </w:rPr>
        <w:t xml:space="preserve"> </w:t>
      </w:r>
      <w:r w:rsidR="000109A8" w:rsidRPr="00282AC9">
        <w:rPr>
          <w:rFonts w:hint="cs"/>
          <w:rtl/>
        </w:rPr>
        <w:t>إ</w:t>
      </w:r>
      <w:r w:rsidRPr="00282AC9">
        <w:rPr>
          <w:rtl/>
        </w:rPr>
        <w:t>ن هذه الكتب إن</w:t>
      </w:r>
      <w:r w:rsidR="000109A8" w:rsidRPr="00282AC9">
        <w:rPr>
          <w:rFonts w:hint="cs"/>
          <w:rtl/>
        </w:rPr>
        <w:t>ْ</w:t>
      </w:r>
      <w:r w:rsidRPr="00282AC9">
        <w:rPr>
          <w:rtl/>
        </w:rPr>
        <w:t xml:space="preserve"> سلم</w:t>
      </w:r>
      <w:r w:rsidR="000109A8" w:rsidRPr="00282AC9">
        <w:rPr>
          <w:rFonts w:hint="cs"/>
          <w:rtl/>
        </w:rPr>
        <w:t>َ</w:t>
      </w:r>
      <w:r w:rsidRPr="00282AC9">
        <w:rPr>
          <w:rtl/>
        </w:rPr>
        <w:t>ت</w:t>
      </w:r>
      <w:r w:rsidR="000109A8" w:rsidRPr="00282AC9">
        <w:rPr>
          <w:rFonts w:hint="cs"/>
          <w:rtl/>
        </w:rPr>
        <w:t>ْ</w:t>
      </w:r>
      <w:r w:rsidRPr="00282AC9">
        <w:rPr>
          <w:rtl/>
        </w:rPr>
        <w:t xml:space="preserve"> س</w:t>
      </w:r>
      <w:r w:rsidR="000109A8" w:rsidRPr="00282AC9">
        <w:rPr>
          <w:rFonts w:hint="cs"/>
          <w:rtl/>
        </w:rPr>
        <w:t>َ</w:t>
      </w:r>
      <w:r w:rsidRPr="00282AC9">
        <w:rPr>
          <w:rtl/>
        </w:rPr>
        <w:t>ن</w:t>
      </w:r>
      <w:r w:rsidR="000109A8" w:rsidRPr="00282AC9">
        <w:rPr>
          <w:rFonts w:hint="cs"/>
          <w:rtl/>
        </w:rPr>
        <w:t>َ</w:t>
      </w:r>
      <w:r w:rsidRPr="00282AC9">
        <w:rPr>
          <w:rtl/>
        </w:rPr>
        <w:t>دا</w:t>
      </w:r>
      <w:r w:rsidR="000109A8" w:rsidRPr="00282AC9">
        <w:rPr>
          <w:rFonts w:hint="cs"/>
          <w:rtl/>
        </w:rPr>
        <w:t>ً،</w:t>
      </w:r>
      <w:r w:rsidRPr="00282AC9">
        <w:rPr>
          <w:rtl/>
        </w:rPr>
        <w:t xml:space="preserve"> وتأك</w:t>
      </w:r>
      <w:r w:rsidR="000109A8" w:rsidRPr="00282AC9">
        <w:rPr>
          <w:rFonts w:hint="cs"/>
          <w:rtl/>
        </w:rPr>
        <w:t>َّ</w:t>
      </w:r>
      <w:r w:rsidRPr="00282AC9">
        <w:rPr>
          <w:rtl/>
        </w:rPr>
        <w:t>د صدور بعضها ـ على الأقل</w:t>
      </w:r>
      <w:r w:rsidR="000109A8" w:rsidRPr="00282AC9">
        <w:rPr>
          <w:rFonts w:hint="cs"/>
          <w:rtl/>
        </w:rPr>
        <w:t>ّ</w:t>
      </w:r>
      <w:r w:rsidRPr="00282AC9">
        <w:rPr>
          <w:rtl/>
        </w:rPr>
        <w:t xml:space="preserve"> ـ</w:t>
      </w:r>
      <w:r w:rsidR="000109A8" w:rsidRPr="00282AC9">
        <w:rPr>
          <w:rFonts w:hint="cs"/>
          <w:rtl/>
        </w:rPr>
        <w:t>،</w:t>
      </w:r>
      <w:r w:rsidRPr="00282AC9">
        <w:rPr>
          <w:rtl/>
        </w:rPr>
        <w:t xml:space="preserve"> وظهرت دلالة بعضها على الدعوى، فإن التساؤل الذي ي</w:t>
      </w:r>
      <w:r w:rsidR="000109A8" w:rsidRPr="00282AC9">
        <w:rPr>
          <w:rFonts w:hint="cs"/>
          <w:rtl/>
        </w:rPr>
        <w:t>َ</w:t>
      </w:r>
      <w:r w:rsidRPr="00282AC9">
        <w:rPr>
          <w:rtl/>
        </w:rPr>
        <w:t>ر</w:t>
      </w:r>
      <w:r w:rsidR="000109A8" w:rsidRPr="00282AC9">
        <w:rPr>
          <w:rFonts w:hint="cs"/>
          <w:rtl/>
        </w:rPr>
        <w:t>ِ</w:t>
      </w:r>
      <w:r w:rsidRPr="00282AC9">
        <w:rPr>
          <w:rtl/>
        </w:rPr>
        <w:t>د</w:t>
      </w:r>
      <w:r w:rsidR="000109A8" w:rsidRPr="00282AC9">
        <w:rPr>
          <w:rFonts w:hint="cs"/>
          <w:rtl/>
        </w:rPr>
        <w:t>ُ</w:t>
      </w:r>
      <w:r w:rsidRPr="00282AC9">
        <w:rPr>
          <w:rtl/>
        </w:rPr>
        <w:t xml:space="preserve"> في المقام</w:t>
      </w:r>
      <w:r w:rsidR="000109A8" w:rsidRPr="00282AC9">
        <w:rPr>
          <w:rFonts w:hint="cs"/>
          <w:rtl/>
        </w:rPr>
        <w:t>:</w:t>
      </w:r>
      <w:r w:rsidRPr="00282AC9">
        <w:rPr>
          <w:rtl/>
        </w:rPr>
        <w:t xml:space="preserve"> إن</w:t>
      </w:r>
      <w:r w:rsidR="000109A8" w:rsidRPr="00282AC9">
        <w:rPr>
          <w:rFonts w:hint="cs"/>
          <w:rtl/>
        </w:rPr>
        <w:t>ْ</w:t>
      </w:r>
      <w:r w:rsidRPr="00282AC9">
        <w:rPr>
          <w:rtl/>
        </w:rPr>
        <w:t xml:space="preserve"> كان الخمس على المكاسب التجارية مفروضا</w:t>
      </w:r>
      <w:r w:rsidR="000109A8" w:rsidRPr="00282AC9">
        <w:rPr>
          <w:rFonts w:hint="cs"/>
          <w:rtl/>
        </w:rPr>
        <w:t>ً</w:t>
      </w:r>
      <w:r w:rsidRPr="00282AC9">
        <w:rPr>
          <w:rtl/>
        </w:rPr>
        <w:t xml:space="preserve"> على المسلمين بالفعل في تلك المرحلة</w:t>
      </w:r>
      <w:r w:rsidR="000109A8" w:rsidRPr="00282AC9">
        <w:rPr>
          <w:rFonts w:hint="cs"/>
          <w:rtl/>
        </w:rPr>
        <w:t>،</w:t>
      </w:r>
      <w:r w:rsidRPr="00282AC9">
        <w:rPr>
          <w:rtl/>
        </w:rPr>
        <w:t xml:space="preserve"> وكان هذا </w:t>
      </w:r>
      <w:r w:rsidRPr="00282AC9">
        <w:rPr>
          <w:rtl/>
        </w:rPr>
        <w:lastRenderedPageBreak/>
        <w:t>الحكم الشرعي مفعّ</w:t>
      </w:r>
      <w:r w:rsidR="000109A8" w:rsidRPr="00282AC9">
        <w:rPr>
          <w:rFonts w:hint="cs"/>
          <w:rtl/>
        </w:rPr>
        <w:t>َ</w:t>
      </w:r>
      <w:r w:rsidRPr="00282AC9">
        <w:rPr>
          <w:rtl/>
        </w:rPr>
        <w:t>لا</w:t>
      </w:r>
      <w:r w:rsidR="000109A8" w:rsidRPr="00282AC9">
        <w:rPr>
          <w:rFonts w:hint="cs"/>
          <w:rtl/>
        </w:rPr>
        <w:t>ً</w:t>
      </w:r>
      <w:r w:rsidRPr="00282AC9">
        <w:rPr>
          <w:rtl/>
        </w:rPr>
        <w:t xml:space="preserve"> ومطب</w:t>
      </w:r>
      <w:r w:rsidR="000109A8" w:rsidRPr="00282AC9">
        <w:rPr>
          <w:rFonts w:hint="cs"/>
          <w:rtl/>
        </w:rPr>
        <w:t>َّ</w:t>
      </w:r>
      <w:r w:rsidRPr="00282AC9">
        <w:rPr>
          <w:rtl/>
        </w:rPr>
        <w:t>قا</w:t>
      </w:r>
      <w:r w:rsidR="000109A8" w:rsidRPr="00282AC9">
        <w:rPr>
          <w:rFonts w:hint="cs"/>
          <w:rtl/>
        </w:rPr>
        <w:t>ً</w:t>
      </w:r>
      <w:r w:rsidRPr="00282AC9">
        <w:rPr>
          <w:rtl/>
        </w:rPr>
        <w:t xml:space="preserve"> زمن النبي</w:t>
      </w:r>
      <w:r w:rsidR="000109A8" w:rsidRPr="00282AC9">
        <w:rPr>
          <w:rFonts w:hint="cs"/>
          <w:rtl/>
        </w:rPr>
        <w:t>ّ</w:t>
      </w:r>
      <w:r w:rsidR="009A2A04" w:rsidRPr="00282AC9">
        <w:rPr>
          <w:rFonts w:cs="Mosawi" w:hint="cs"/>
          <w:sz w:val="22"/>
          <w:szCs w:val="22"/>
          <w:rtl/>
        </w:rPr>
        <w:t>|</w:t>
      </w:r>
      <w:r w:rsidRPr="00282AC9">
        <w:rPr>
          <w:rtl/>
        </w:rPr>
        <w:t>، فل</w:t>
      </w:r>
      <w:r w:rsidR="000109A8" w:rsidRPr="00282AC9">
        <w:rPr>
          <w:rFonts w:hint="cs"/>
          <w:rtl/>
        </w:rPr>
        <w:t>ِ</w:t>
      </w:r>
      <w:r w:rsidRPr="00282AC9">
        <w:rPr>
          <w:rtl/>
        </w:rPr>
        <w:t>م</w:t>
      </w:r>
      <w:r w:rsidR="000109A8" w:rsidRPr="00282AC9">
        <w:rPr>
          <w:rFonts w:hint="cs"/>
          <w:rtl/>
        </w:rPr>
        <w:t>َ</w:t>
      </w:r>
      <w:r w:rsidRPr="00282AC9">
        <w:rPr>
          <w:rtl/>
        </w:rPr>
        <w:t xml:space="preserve"> لم يظهر ذكر</w:t>
      </w:r>
      <w:r w:rsidR="000109A8" w:rsidRPr="00282AC9">
        <w:rPr>
          <w:rFonts w:hint="cs"/>
          <w:rtl/>
        </w:rPr>
        <w:t>ُ</w:t>
      </w:r>
      <w:r w:rsidRPr="00282AC9">
        <w:rPr>
          <w:rtl/>
        </w:rPr>
        <w:t>ه في أحاديث النبي</w:t>
      </w:r>
      <w:r w:rsidR="000109A8" w:rsidRPr="00282AC9">
        <w:rPr>
          <w:rFonts w:hint="cs"/>
          <w:rtl/>
        </w:rPr>
        <w:t>ّ</w:t>
      </w:r>
      <w:r w:rsidR="009A2A04" w:rsidRPr="00282AC9">
        <w:rPr>
          <w:rFonts w:cs="Mosawi"/>
          <w:sz w:val="22"/>
          <w:szCs w:val="22"/>
          <w:rtl/>
        </w:rPr>
        <w:t>|</w:t>
      </w:r>
      <w:r w:rsidRPr="00282AC9">
        <w:rPr>
          <w:rtl/>
        </w:rPr>
        <w:t xml:space="preserve"> وتوجيهاته للمسلمين</w:t>
      </w:r>
      <w:r w:rsidR="000109A8" w:rsidRPr="00282AC9">
        <w:rPr>
          <w:rFonts w:hint="cs"/>
          <w:rtl/>
        </w:rPr>
        <w:t>؟!</w:t>
      </w:r>
      <w:r w:rsidRPr="00282AC9">
        <w:rPr>
          <w:rtl/>
        </w:rPr>
        <w:t xml:space="preserve"> كما لم ي</w:t>
      </w:r>
      <w:r w:rsidR="000109A8" w:rsidRPr="00282AC9">
        <w:rPr>
          <w:rFonts w:hint="cs"/>
          <w:rtl/>
        </w:rPr>
        <w:t>َ</w:t>
      </w:r>
      <w:r w:rsidRPr="00282AC9">
        <w:rPr>
          <w:rtl/>
        </w:rPr>
        <w:t>ر</w:t>
      </w:r>
      <w:r w:rsidR="000109A8" w:rsidRPr="00282AC9">
        <w:rPr>
          <w:rFonts w:hint="cs"/>
          <w:rtl/>
        </w:rPr>
        <w:t>ِ</w:t>
      </w:r>
      <w:r w:rsidRPr="00282AC9">
        <w:rPr>
          <w:rtl/>
        </w:rPr>
        <w:t>د</w:t>
      </w:r>
      <w:r w:rsidR="000109A8" w:rsidRPr="00282AC9">
        <w:rPr>
          <w:rFonts w:hint="cs"/>
          <w:rtl/>
        </w:rPr>
        <w:t>ْ</w:t>
      </w:r>
      <w:r w:rsidRPr="00282AC9">
        <w:rPr>
          <w:rtl/>
        </w:rPr>
        <w:t xml:space="preserve"> في استفساراتهم أيضا</w:t>
      </w:r>
      <w:r w:rsidRPr="00282AC9">
        <w:rPr>
          <w:rFonts w:hint="cs"/>
          <w:rtl/>
        </w:rPr>
        <w:t>ً</w:t>
      </w:r>
      <w:r w:rsidRPr="00282AC9">
        <w:rPr>
          <w:rFonts w:hint="cs"/>
          <w:vertAlign w:val="superscript"/>
          <w:rtl/>
        </w:rPr>
        <w:t>(</w:t>
      </w:r>
      <w:r w:rsidRPr="00282AC9">
        <w:rPr>
          <w:rStyle w:val="af9"/>
          <w:sz w:val="27"/>
          <w:rtl/>
        </w:rPr>
        <w:endnoteReference w:id="500"/>
      </w:r>
      <w:r w:rsidRPr="00282AC9">
        <w:rPr>
          <w:rFonts w:hint="cs"/>
          <w:vertAlign w:val="superscript"/>
          <w:rtl/>
        </w:rPr>
        <w:t>)</w:t>
      </w:r>
      <w:r w:rsidRPr="00282AC9">
        <w:rPr>
          <w:rFonts w:hint="cs"/>
          <w:rtl/>
        </w:rPr>
        <w:t>.</w:t>
      </w:r>
    </w:p>
    <w:p w:rsidR="00946A76" w:rsidRPr="00282AC9" w:rsidRDefault="00946A76" w:rsidP="00186251">
      <w:pPr>
        <w:rPr>
          <w:rtl/>
        </w:rPr>
      </w:pPr>
      <w:r w:rsidRPr="00282AC9">
        <w:rPr>
          <w:rtl/>
        </w:rPr>
        <w:t>وأي</w:t>
      </w:r>
      <w:r w:rsidR="000109A8" w:rsidRPr="00282AC9">
        <w:rPr>
          <w:rFonts w:hint="cs"/>
          <w:rtl/>
        </w:rPr>
        <w:t>ّ</w:t>
      </w:r>
      <w:r w:rsidRPr="00282AC9">
        <w:rPr>
          <w:rtl/>
        </w:rPr>
        <w:t>ا</w:t>
      </w:r>
      <w:r w:rsidR="000109A8" w:rsidRPr="00282AC9">
        <w:rPr>
          <w:rFonts w:hint="cs"/>
          <w:rtl/>
        </w:rPr>
        <w:t>ً</w:t>
      </w:r>
      <w:r w:rsidRPr="00282AC9">
        <w:rPr>
          <w:rtl/>
        </w:rPr>
        <w:t xml:space="preserve"> ما كان فإن الطبيعة البارزة لتلك العهود والكتب تبدو إداري</w:t>
      </w:r>
      <w:r w:rsidR="000109A8" w:rsidRPr="00282AC9">
        <w:rPr>
          <w:rFonts w:hint="cs"/>
          <w:rtl/>
        </w:rPr>
        <w:t>ّ</w:t>
      </w:r>
      <w:r w:rsidRPr="00282AC9">
        <w:rPr>
          <w:rtl/>
        </w:rPr>
        <w:t>ة</w:t>
      </w:r>
      <w:r w:rsidR="000109A8" w:rsidRPr="00282AC9">
        <w:rPr>
          <w:rFonts w:hint="cs"/>
          <w:rtl/>
        </w:rPr>
        <w:t>ً</w:t>
      </w:r>
      <w:r w:rsidRPr="00282AC9">
        <w:rPr>
          <w:rtl/>
        </w:rPr>
        <w:t xml:space="preserve"> وسياسي</w:t>
      </w:r>
      <w:r w:rsidR="000109A8" w:rsidRPr="00282AC9">
        <w:rPr>
          <w:rFonts w:hint="cs"/>
          <w:rtl/>
        </w:rPr>
        <w:t>ّ</w:t>
      </w:r>
      <w:r w:rsidRPr="00282AC9">
        <w:rPr>
          <w:rtl/>
        </w:rPr>
        <w:t>ة وأمني</w:t>
      </w:r>
      <w:r w:rsidR="000109A8" w:rsidRPr="00282AC9">
        <w:rPr>
          <w:rFonts w:hint="cs"/>
          <w:rtl/>
        </w:rPr>
        <w:t>ّ</w:t>
      </w:r>
      <w:r w:rsidRPr="00282AC9">
        <w:rPr>
          <w:rtl/>
        </w:rPr>
        <w:t>ة. ودلالتها أبلغ على دخول تلك القبائل في جماعة المسلمين</w:t>
      </w:r>
      <w:r w:rsidR="000109A8" w:rsidRPr="00282AC9">
        <w:rPr>
          <w:rFonts w:hint="cs"/>
          <w:rtl/>
        </w:rPr>
        <w:t>،</w:t>
      </w:r>
      <w:r w:rsidRPr="00282AC9">
        <w:rPr>
          <w:rtl/>
        </w:rPr>
        <w:t xml:space="preserve"> وإذعانها لسيادة النبي</w:t>
      </w:r>
      <w:r w:rsidR="00F45FCF" w:rsidRPr="00282AC9">
        <w:rPr>
          <w:rFonts w:hint="cs"/>
          <w:rtl/>
        </w:rPr>
        <w:t>ّ</w:t>
      </w:r>
      <w:r w:rsidRPr="00282AC9">
        <w:rPr>
          <w:rtl/>
        </w:rPr>
        <w:t xml:space="preserve"> في الس</w:t>
      </w:r>
      <w:r w:rsidR="00F45FCF" w:rsidRPr="00282AC9">
        <w:rPr>
          <w:rFonts w:hint="cs"/>
          <w:rtl/>
        </w:rPr>
        <w:t>ِّ</w:t>
      </w:r>
      <w:r w:rsidRPr="00282AC9">
        <w:rPr>
          <w:rtl/>
        </w:rPr>
        <w:t>ل</w:t>
      </w:r>
      <w:r w:rsidR="00F45FCF" w:rsidRPr="00282AC9">
        <w:rPr>
          <w:rFonts w:hint="cs"/>
          <w:rtl/>
        </w:rPr>
        <w:t>ْ</w:t>
      </w:r>
      <w:r w:rsidRPr="00282AC9">
        <w:rPr>
          <w:rtl/>
        </w:rPr>
        <w:t>م والحرب</w:t>
      </w:r>
      <w:r w:rsidR="00F45FCF" w:rsidRPr="00282AC9">
        <w:rPr>
          <w:rFonts w:hint="cs"/>
          <w:rtl/>
        </w:rPr>
        <w:t>،</w:t>
      </w:r>
      <w:r w:rsidRPr="00282AC9">
        <w:rPr>
          <w:rtl/>
        </w:rPr>
        <w:t xml:space="preserve"> وقبولها بالأحكام والمبادئ العام</w:t>
      </w:r>
      <w:r w:rsidR="00F45FCF" w:rsidRPr="00282AC9">
        <w:rPr>
          <w:rFonts w:hint="cs"/>
          <w:rtl/>
        </w:rPr>
        <w:t>ّ</w:t>
      </w:r>
      <w:r w:rsidRPr="00282AC9">
        <w:rPr>
          <w:rtl/>
        </w:rPr>
        <w:t>ة</w:t>
      </w:r>
      <w:r w:rsidR="00F45FCF" w:rsidRPr="00282AC9">
        <w:rPr>
          <w:rFonts w:hint="cs"/>
          <w:rtl/>
        </w:rPr>
        <w:t>،</w:t>
      </w:r>
      <w:r w:rsidRPr="00282AC9">
        <w:rPr>
          <w:rtl/>
        </w:rPr>
        <w:t xml:space="preserve"> والدخول في ذم</w:t>
      </w:r>
      <w:r w:rsidR="00F45FCF" w:rsidRPr="00282AC9">
        <w:rPr>
          <w:rFonts w:hint="cs"/>
          <w:rtl/>
        </w:rPr>
        <w:t>ّ</w:t>
      </w:r>
      <w:r w:rsidRPr="00282AC9">
        <w:rPr>
          <w:rtl/>
        </w:rPr>
        <w:t>ة المسلمين. إن سياقها التاريخي هو ظهور قو</w:t>
      </w:r>
      <w:r w:rsidR="00F45FCF" w:rsidRPr="00282AC9">
        <w:rPr>
          <w:rFonts w:hint="cs"/>
          <w:rtl/>
        </w:rPr>
        <w:t>ّ</w:t>
      </w:r>
      <w:r w:rsidRPr="00282AC9">
        <w:rPr>
          <w:rtl/>
        </w:rPr>
        <w:t>ة الاسلام والمسلمين بعد الحديبية</w:t>
      </w:r>
      <w:r w:rsidR="00F45FCF" w:rsidRPr="00282AC9">
        <w:rPr>
          <w:rFonts w:hint="cs"/>
          <w:rtl/>
        </w:rPr>
        <w:t>،</w:t>
      </w:r>
      <w:r w:rsidRPr="00282AC9">
        <w:rPr>
          <w:rtl/>
        </w:rPr>
        <w:t xml:space="preserve"> وما تبعها من فتح مك</w:t>
      </w:r>
      <w:r w:rsidR="00F45FCF" w:rsidRPr="00282AC9">
        <w:rPr>
          <w:rFonts w:hint="cs"/>
          <w:rtl/>
        </w:rPr>
        <w:t>ّ</w:t>
      </w:r>
      <w:r w:rsidRPr="00282AC9">
        <w:rPr>
          <w:rtl/>
        </w:rPr>
        <w:t>ة وغزوة حنين</w:t>
      </w:r>
      <w:r w:rsidR="00F45FCF" w:rsidRPr="00282AC9">
        <w:rPr>
          <w:rFonts w:hint="cs"/>
          <w:rtl/>
        </w:rPr>
        <w:t>،</w:t>
      </w:r>
      <w:r w:rsidRPr="00282AC9">
        <w:rPr>
          <w:rtl/>
        </w:rPr>
        <w:t xml:space="preserve"> ثم</w:t>
      </w:r>
      <w:r w:rsidR="00F45FCF" w:rsidRPr="00282AC9">
        <w:rPr>
          <w:rFonts w:hint="cs"/>
          <w:rtl/>
        </w:rPr>
        <w:t>ّ</w:t>
      </w:r>
      <w:r w:rsidRPr="00282AC9">
        <w:rPr>
          <w:rtl/>
        </w:rPr>
        <w:t xml:space="preserve"> تبوك</w:t>
      </w:r>
      <w:r w:rsidR="00F45FCF" w:rsidRPr="00282AC9">
        <w:rPr>
          <w:rFonts w:hint="cs"/>
          <w:rtl/>
        </w:rPr>
        <w:t>،</w:t>
      </w:r>
      <w:r w:rsidRPr="00282AC9">
        <w:rPr>
          <w:rtl/>
        </w:rPr>
        <w:t xml:space="preserve"> حيث جاءت الوفود والقبائل معلنة</w:t>
      </w:r>
      <w:r w:rsidR="00F45FCF" w:rsidRPr="00282AC9">
        <w:rPr>
          <w:rFonts w:hint="cs"/>
          <w:rtl/>
        </w:rPr>
        <w:t>ً</w:t>
      </w:r>
      <w:r w:rsidRPr="00282AC9">
        <w:rPr>
          <w:rtl/>
        </w:rPr>
        <w:t xml:space="preserve"> إسلامها</w:t>
      </w:r>
      <w:r w:rsidR="00F45FCF" w:rsidRPr="00282AC9">
        <w:rPr>
          <w:rFonts w:hint="cs"/>
          <w:rtl/>
        </w:rPr>
        <w:t>،</w:t>
      </w:r>
      <w:r w:rsidRPr="00282AC9">
        <w:rPr>
          <w:rtl/>
        </w:rPr>
        <w:t xml:space="preserve"> ودخولها في جماعة المسلمين. </w:t>
      </w:r>
    </w:p>
    <w:p w:rsidR="00235851" w:rsidRPr="00282AC9" w:rsidRDefault="00235851" w:rsidP="00235851">
      <w:pPr>
        <w:spacing w:line="420" w:lineRule="exact"/>
        <w:rPr>
          <w:rtl/>
        </w:rPr>
      </w:pPr>
    </w:p>
    <w:p w:rsidR="00946A76" w:rsidRPr="00282AC9" w:rsidRDefault="00946A76" w:rsidP="00B70E1F">
      <w:pPr>
        <w:pStyle w:val="31"/>
        <w:rPr>
          <w:color w:val="auto"/>
          <w:rtl/>
        </w:rPr>
      </w:pPr>
      <w:r w:rsidRPr="00282AC9">
        <w:rPr>
          <w:color w:val="auto"/>
          <w:rtl/>
        </w:rPr>
        <w:t>المواءمة بين اللغة والفقه</w:t>
      </w:r>
    </w:p>
    <w:p w:rsidR="009B1EBE" w:rsidRPr="00282AC9" w:rsidRDefault="00946A76" w:rsidP="00186251">
      <w:pPr>
        <w:rPr>
          <w:rtl/>
        </w:rPr>
      </w:pPr>
      <w:r w:rsidRPr="00282AC9">
        <w:rPr>
          <w:rtl/>
        </w:rPr>
        <w:t>حاول المنتظري المواءمة بين بعض التعريفات اللغوي</w:t>
      </w:r>
      <w:r w:rsidR="00F45FCF" w:rsidRPr="00282AC9">
        <w:rPr>
          <w:rFonts w:hint="cs"/>
          <w:rtl/>
        </w:rPr>
        <w:t>ّ</w:t>
      </w:r>
      <w:r w:rsidRPr="00282AC9">
        <w:rPr>
          <w:rtl/>
        </w:rPr>
        <w:t>ة وموقفه الفقهي</w:t>
      </w:r>
      <w:r w:rsidR="00F45FCF" w:rsidRPr="00282AC9">
        <w:rPr>
          <w:rFonts w:hint="cs"/>
          <w:rtl/>
        </w:rPr>
        <w:t>ّ،</w:t>
      </w:r>
      <w:r w:rsidRPr="00282AC9">
        <w:rPr>
          <w:rtl/>
        </w:rPr>
        <w:t xml:space="preserve"> فرأى أن الظاهر من كلماتهم </w:t>
      </w:r>
      <w:r w:rsidR="00F45FCF" w:rsidRPr="00282AC9">
        <w:rPr>
          <w:rFonts w:hint="cs"/>
          <w:rtl/>
        </w:rPr>
        <w:t xml:space="preserve">ـ وهو </w:t>
      </w:r>
      <w:r w:rsidRPr="00282AC9">
        <w:rPr>
          <w:rtl/>
        </w:rPr>
        <w:t>أن الغنيمة هي ما يفوز به الإنسان من غير مشق</w:t>
      </w:r>
      <w:r w:rsidR="00F45FCF" w:rsidRPr="00282AC9">
        <w:rPr>
          <w:rFonts w:hint="cs"/>
          <w:rtl/>
        </w:rPr>
        <w:t>ّ</w:t>
      </w:r>
      <w:r w:rsidRPr="00282AC9">
        <w:rPr>
          <w:rtl/>
        </w:rPr>
        <w:t>ة</w:t>
      </w:r>
      <w:r w:rsidR="00F45FCF" w:rsidRPr="00282AC9">
        <w:rPr>
          <w:rFonts w:hint="cs"/>
          <w:rtl/>
        </w:rPr>
        <w:t>ٍ ـ</w:t>
      </w:r>
      <w:r w:rsidRPr="00282AC9">
        <w:rPr>
          <w:rtl/>
        </w:rPr>
        <w:t xml:space="preserve"> يشير إلى خصوصي</w:t>
      </w:r>
      <w:r w:rsidR="00F45FCF" w:rsidRPr="00282AC9">
        <w:rPr>
          <w:rFonts w:hint="cs"/>
          <w:rtl/>
        </w:rPr>
        <w:t>ّ</w:t>
      </w:r>
      <w:r w:rsidRPr="00282AC9">
        <w:rPr>
          <w:rtl/>
        </w:rPr>
        <w:t>ة</w:t>
      </w:r>
      <w:r w:rsidR="00F45FCF" w:rsidRPr="00282AC9">
        <w:rPr>
          <w:rFonts w:hint="cs"/>
          <w:rtl/>
        </w:rPr>
        <w:t>ٍ</w:t>
      </w:r>
      <w:r w:rsidRPr="00282AC9">
        <w:rPr>
          <w:rtl/>
        </w:rPr>
        <w:t xml:space="preserve"> أ</w:t>
      </w:r>
      <w:r w:rsidR="00F45FCF" w:rsidRPr="00282AC9">
        <w:rPr>
          <w:rFonts w:hint="cs"/>
          <w:rtl/>
        </w:rPr>
        <w:t>ُ</w:t>
      </w:r>
      <w:r w:rsidRPr="00282AC9">
        <w:rPr>
          <w:rtl/>
        </w:rPr>
        <w:t>شرب</w:t>
      </w:r>
      <w:r w:rsidR="00F45FCF" w:rsidRPr="00282AC9">
        <w:rPr>
          <w:rFonts w:hint="cs"/>
          <w:rtl/>
        </w:rPr>
        <w:t>َ</w:t>
      </w:r>
      <w:r w:rsidRPr="00282AC9">
        <w:rPr>
          <w:rtl/>
        </w:rPr>
        <w:t>ت</w:t>
      </w:r>
      <w:r w:rsidR="00F45FCF" w:rsidRPr="00282AC9">
        <w:rPr>
          <w:rFonts w:hint="cs"/>
          <w:rtl/>
        </w:rPr>
        <w:t>ْ</w:t>
      </w:r>
      <w:r w:rsidRPr="00282AC9">
        <w:rPr>
          <w:rtl/>
        </w:rPr>
        <w:t xml:space="preserve"> في المفهوم جعل</w:t>
      </w:r>
      <w:r w:rsidR="00F45FCF" w:rsidRPr="00282AC9">
        <w:rPr>
          <w:rFonts w:hint="cs"/>
          <w:rtl/>
        </w:rPr>
        <w:t>َ</w:t>
      </w:r>
      <w:r w:rsidRPr="00282AC9">
        <w:rPr>
          <w:rtl/>
        </w:rPr>
        <w:t>ت</w:t>
      </w:r>
      <w:r w:rsidR="00F45FCF" w:rsidRPr="00282AC9">
        <w:rPr>
          <w:rFonts w:hint="cs"/>
          <w:rtl/>
        </w:rPr>
        <w:t>ْ</w:t>
      </w:r>
      <w:r w:rsidRPr="00282AC9">
        <w:rPr>
          <w:rtl/>
        </w:rPr>
        <w:t>ه يصدق على الغنيمة بشكل</w:t>
      </w:r>
      <w:r w:rsidR="00F45FCF" w:rsidRPr="00282AC9">
        <w:rPr>
          <w:rFonts w:hint="cs"/>
          <w:rtl/>
        </w:rPr>
        <w:t>ٍ</w:t>
      </w:r>
      <w:r w:rsidRPr="00282AC9">
        <w:rPr>
          <w:rtl/>
        </w:rPr>
        <w:t xml:space="preserve"> عام</w:t>
      </w:r>
      <w:r w:rsidR="00F45FCF" w:rsidRPr="00282AC9">
        <w:rPr>
          <w:rFonts w:hint="cs"/>
          <w:rtl/>
        </w:rPr>
        <w:t>ّ،</w:t>
      </w:r>
      <w:r w:rsidRPr="00282AC9">
        <w:rPr>
          <w:rtl/>
        </w:rPr>
        <w:t xml:space="preserve"> ولا يقتصر على غنائم الحرب. وهذه الخصوصي</w:t>
      </w:r>
      <w:r w:rsidR="00F45FCF" w:rsidRPr="00282AC9">
        <w:rPr>
          <w:rFonts w:hint="cs"/>
          <w:rtl/>
        </w:rPr>
        <w:t>ّ</w:t>
      </w:r>
      <w:r w:rsidRPr="00282AC9">
        <w:rPr>
          <w:rtl/>
        </w:rPr>
        <w:t>ة هي المج</w:t>
      </w:r>
      <w:r w:rsidR="00F45FCF" w:rsidRPr="00282AC9">
        <w:rPr>
          <w:rFonts w:hint="cs"/>
          <w:rtl/>
        </w:rPr>
        <w:t>ّ</w:t>
      </w:r>
      <w:r w:rsidRPr="00282AC9">
        <w:rPr>
          <w:rtl/>
        </w:rPr>
        <w:t>انية وعدم الترق</w:t>
      </w:r>
      <w:r w:rsidR="00F45FCF" w:rsidRPr="00282AC9">
        <w:rPr>
          <w:rFonts w:hint="cs"/>
          <w:rtl/>
        </w:rPr>
        <w:t>ُّ</w:t>
      </w:r>
      <w:r w:rsidRPr="00282AC9">
        <w:rPr>
          <w:rtl/>
        </w:rPr>
        <w:t xml:space="preserve">ب. ويكون </w:t>
      </w:r>
      <w:r w:rsidR="00F45FCF" w:rsidRPr="00282AC9">
        <w:rPr>
          <w:rFonts w:hint="cs"/>
          <w:rtl/>
        </w:rPr>
        <w:t>إ</w:t>
      </w:r>
      <w:r w:rsidRPr="00282AC9">
        <w:rPr>
          <w:rtl/>
        </w:rPr>
        <w:t xml:space="preserve">طلاق الكلمة على غنائم الحرب من باب </w:t>
      </w:r>
      <w:r w:rsidR="00F45FCF" w:rsidRPr="00282AC9">
        <w:rPr>
          <w:rFonts w:hint="cs"/>
          <w:rtl/>
        </w:rPr>
        <w:t>إ</w:t>
      </w:r>
      <w:r w:rsidRPr="00282AC9">
        <w:rPr>
          <w:rtl/>
        </w:rPr>
        <w:t>طلاق المطلق على أظهر أفراده. وطب</w:t>
      </w:r>
      <w:r w:rsidR="00F45FCF" w:rsidRPr="00282AC9">
        <w:rPr>
          <w:rFonts w:hint="cs"/>
          <w:rtl/>
        </w:rPr>
        <w:t>َّ</w:t>
      </w:r>
      <w:r w:rsidRPr="00282AC9">
        <w:rPr>
          <w:rtl/>
        </w:rPr>
        <w:t>ق هذا المفهوم على بعض الموارد، فرأى أن ه</w:t>
      </w:r>
      <w:r w:rsidR="00F45FCF" w:rsidRPr="00282AC9">
        <w:rPr>
          <w:rFonts w:hint="cs"/>
          <w:rtl/>
        </w:rPr>
        <w:t>َ</w:t>
      </w:r>
      <w:r w:rsidRPr="00282AC9">
        <w:rPr>
          <w:rtl/>
        </w:rPr>
        <w:t>د</w:t>
      </w:r>
      <w:r w:rsidR="00F45FCF" w:rsidRPr="00282AC9">
        <w:rPr>
          <w:rFonts w:hint="cs"/>
          <w:rtl/>
        </w:rPr>
        <w:t>َ</w:t>
      </w:r>
      <w:r w:rsidRPr="00282AC9">
        <w:rPr>
          <w:rtl/>
        </w:rPr>
        <w:t>ف المقاتل في الحرب هو خذلان العدو</w:t>
      </w:r>
      <w:r w:rsidR="00F45FCF" w:rsidRPr="00282AC9">
        <w:rPr>
          <w:rFonts w:hint="cs"/>
          <w:rtl/>
        </w:rPr>
        <w:t>ّ</w:t>
      </w:r>
      <w:r w:rsidRPr="00282AC9">
        <w:rPr>
          <w:rtl/>
        </w:rPr>
        <w:t xml:space="preserve"> والغلبة عليه، لا اغتنام الأموال، فهي نعمة</w:t>
      </w:r>
      <w:r w:rsidR="00F45FCF" w:rsidRPr="00282AC9">
        <w:rPr>
          <w:rFonts w:hint="cs"/>
          <w:rtl/>
        </w:rPr>
        <w:t>ٌ</w:t>
      </w:r>
      <w:r w:rsidRPr="00282AC9">
        <w:rPr>
          <w:rtl/>
        </w:rPr>
        <w:t xml:space="preserve"> غير مترق</w:t>
      </w:r>
      <w:r w:rsidR="00F45FCF" w:rsidRPr="00282AC9">
        <w:rPr>
          <w:rFonts w:hint="cs"/>
          <w:rtl/>
        </w:rPr>
        <w:t>َّ</w:t>
      </w:r>
      <w:r w:rsidRPr="00282AC9">
        <w:rPr>
          <w:rtl/>
        </w:rPr>
        <w:t>بة. وما ي</w:t>
      </w:r>
      <w:r w:rsidR="009B1EBE" w:rsidRPr="00282AC9">
        <w:rPr>
          <w:rFonts w:hint="cs"/>
          <w:rtl/>
        </w:rPr>
        <w:t>ُ</w:t>
      </w:r>
      <w:r w:rsidRPr="00282AC9">
        <w:rPr>
          <w:rtl/>
        </w:rPr>
        <w:t>ظ</w:t>
      </w:r>
      <w:r w:rsidR="009B1EBE" w:rsidRPr="00282AC9">
        <w:rPr>
          <w:rFonts w:hint="cs"/>
          <w:rtl/>
        </w:rPr>
        <w:t>ْ</w:t>
      </w:r>
      <w:r w:rsidRPr="00282AC9">
        <w:rPr>
          <w:rtl/>
        </w:rPr>
        <w:t>ف</w:t>
      </w:r>
      <w:r w:rsidR="009B1EBE" w:rsidRPr="00282AC9">
        <w:rPr>
          <w:rFonts w:hint="cs"/>
          <w:rtl/>
        </w:rPr>
        <w:t>َ</w:t>
      </w:r>
      <w:r w:rsidRPr="00282AC9">
        <w:rPr>
          <w:rtl/>
        </w:rPr>
        <w:t>ر ب</w:t>
      </w:r>
      <w:r w:rsidR="009B1EBE" w:rsidRPr="00282AC9">
        <w:rPr>
          <w:rFonts w:hint="cs"/>
          <w:rtl/>
        </w:rPr>
        <w:t xml:space="preserve">ه من </w:t>
      </w:r>
      <w:r w:rsidRPr="00282AC9">
        <w:rPr>
          <w:rtl/>
        </w:rPr>
        <w:t>الكنز والمعدن ن</w:t>
      </w:r>
      <w:r w:rsidR="009B1EBE" w:rsidRPr="00282AC9">
        <w:rPr>
          <w:rFonts w:hint="cs"/>
          <w:rtl/>
        </w:rPr>
        <w:t>ِ</w:t>
      </w:r>
      <w:r w:rsidRPr="00282AC9">
        <w:rPr>
          <w:rtl/>
        </w:rPr>
        <w:t>ع</w:t>
      </w:r>
      <w:r w:rsidR="009B1EBE" w:rsidRPr="00282AC9">
        <w:rPr>
          <w:rFonts w:hint="cs"/>
          <w:rtl/>
        </w:rPr>
        <w:t>َ</w:t>
      </w:r>
      <w:r w:rsidRPr="00282AC9">
        <w:rPr>
          <w:rtl/>
        </w:rPr>
        <w:t>م</w:t>
      </w:r>
      <w:r w:rsidR="009B1EBE" w:rsidRPr="00282AC9">
        <w:rPr>
          <w:rFonts w:hint="cs"/>
          <w:rtl/>
        </w:rPr>
        <w:t>ٌ</w:t>
      </w:r>
      <w:r w:rsidRPr="00282AC9">
        <w:rPr>
          <w:rtl/>
        </w:rPr>
        <w:t xml:space="preserve"> غير مترق</w:t>
      </w:r>
      <w:r w:rsidR="009B1EBE" w:rsidRPr="00282AC9">
        <w:rPr>
          <w:rFonts w:hint="cs"/>
          <w:rtl/>
        </w:rPr>
        <w:t>َّ</w:t>
      </w:r>
      <w:r w:rsidRPr="00282AC9">
        <w:rPr>
          <w:rtl/>
        </w:rPr>
        <w:t>بة في العادة. وهدف الإنسان من كسبه وحرفته اليومي</w:t>
      </w:r>
      <w:r w:rsidR="009B1EBE" w:rsidRPr="00282AC9">
        <w:rPr>
          <w:rFonts w:hint="cs"/>
          <w:rtl/>
        </w:rPr>
        <w:t>ّ</w:t>
      </w:r>
      <w:r w:rsidRPr="00282AC9">
        <w:rPr>
          <w:rtl/>
        </w:rPr>
        <w:t>ة هو الحصول على ما يعيش به</w:t>
      </w:r>
      <w:r w:rsidR="009B1EBE" w:rsidRPr="00282AC9">
        <w:rPr>
          <w:rFonts w:hint="cs"/>
          <w:rtl/>
        </w:rPr>
        <w:t>،</w:t>
      </w:r>
      <w:r w:rsidRPr="00282AC9">
        <w:rPr>
          <w:rtl/>
        </w:rPr>
        <w:t xml:space="preserve"> ويرفع به حاجاته اليومية، فالزائد عليه نعمة</w:t>
      </w:r>
      <w:r w:rsidR="009B1EBE" w:rsidRPr="00282AC9">
        <w:rPr>
          <w:rFonts w:hint="cs"/>
          <w:rtl/>
        </w:rPr>
        <w:t>ٌ</w:t>
      </w:r>
      <w:r w:rsidRPr="00282AC9">
        <w:rPr>
          <w:rtl/>
        </w:rPr>
        <w:t xml:space="preserve"> غير مترق</w:t>
      </w:r>
      <w:r w:rsidR="009B1EBE" w:rsidRPr="00282AC9">
        <w:rPr>
          <w:rFonts w:hint="cs"/>
          <w:rtl/>
        </w:rPr>
        <w:t>َّ</w:t>
      </w:r>
      <w:r w:rsidRPr="00282AC9">
        <w:rPr>
          <w:rtl/>
        </w:rPr>
        <w:t>بة. ولذا عُد</w:t>
      </w:r>
      <w:r w:rsidR="009B1EBE" w:rsidRPr="00282AC9">
        <w:rPr>
          <w:rFonts w:hint="cs"/>
          <w:rtl/>
        </w:rPr>
        <w:t>َّ</w:t>
      </w:r>
      <w:r w:rsidRPr="00282AC9">
        <w:rPr>
          <w:rtl/>
        </w:rPr>
        <w:t xml:space="preserve"> مقدار المؤونة اليومية في أرباح المكاسب خارج</w:t>
      </w:r>
      <w:r w:rsidR="009B1EBE" w:rsidRPr="00282AC9">
        <w:rPr>
          <w:rFonts w:hint="cs"/>
          <w:rtl/>
        </w:rPr>
        <w:t>اً</w:t>
      </w:r>
      <w:r w:rsidRPr="00282AC9">
        <w:rPr>
          <w:rtl/>
        </w:rPr>
        <w:t xml:space="preserve"> تخص</w:t>
      </w:r>
      <w:r w:rsidR="009B1EBE" w:rsidRPr="00282AC9">
        <w:rPr>
          <w:rFonts w:hint="cs"/>
          <w:rtl/>
        </w:rPr>
        <w:t>ُّ</w:t>
      </w:r>
      <w:r w:rsidRPr="00282AC9">
        <w:rPr>
          <w:rtl/>
        </w:rPr>
        <w:t>صا</w:t>
      </w:r>
      <w:r w:rsidR="009B1EBE" w:rsidRPr="00282AC9">
        <w:rPr>
          <w:rFonts w:hint="cs"/>
          <w:rtl/>
        </w:rPr>
        <w:t>ً،</w:t>
      </w:r>
      <w:r w:rsidRPr="00282AC9">
        <w:rPr>
          <w:rtl/>
        </w:rPr>
        <w:t xml:space="preserve"> لا تخصيصا</w:t>
      </w:r>
      <w:r w:rsidRPr="00282AC9">
        <w:rPr>
          <w:rFonts w:hint="cs"/>
          <w:rtl/>
        </w:rPr>
        <w:t>ً</w:t>
      </w:r>
      <w:r w:rsidRPr="00282AC9">
        <w:rPr>
          <w:rFonts w:hint="cs"/>
          <w:vertAlign w:val="superscript"/>
          <w:rtl/>
        </w:rPr>
        <w:t>(</w:t>
      </w:r>
      <w:r w:rsidRPr="00282AC9">
        <w:rPr>
          <w:rStyle w:val="af9"/>
          <w:sz w:val="27"/>
          <w:rtl/>
        </w:rPr>
        <w:endnoteReference w:id="501"/>
      </w:r>
      <w:r w:rsidRPr="00282AC9">
        <w:rPr>
          <w:rFonts w:hint="cs"/>
          <w:vertAlign w:val="superscript"/>
          <w:rtl/>
        </w:rPr>
        <w:t>)</w:t>
      </w:r>
      <w:r w:rsidR="009B1EBE" w:rsidRPr="00282AC9">
        <w:rPr>
          <w:rFonts w:hint="cs"/>
          <w:rtl/>
        </w:rPr>
        <w:t>.</w:t>
      </w:r>
    </w:p>
    <w:p w:rsidR="009B1EBE" w:rsidRPr="00282AC9" w:rsidRDefault="00946A76" w:rsidP="00186251">
      <w:pPr>
        <w:rPr>
          <w:rtl/>
        </w:rPr>
      </w:pPr>
      <w:r w:rsidRPr="00282AC9">
        <w:rPr>
          <w:rtl/>
        </w:rPr>
        <w:t xml:space="preserve">بينما يرى الهاشمي </w:t>
      </w:r>
      <w:r w:rsidR="009B1EBE" w:rsidRPr="00282AC9">
        <w:rPr>
          <w:rFonts w:hint="cs"/>
          <w:rtl/>
        </w:rPr>
        <w:t>أ</w:t>
      </w:r>
      <w:r w:rsidRPr="00282AC9">
        <w:rPr>
          <w:rtl/>
        </w:rPr>
        <w:t>ن المج</w:t>
      </w:r>
      <w:r w:rsidR="009B1EBE" w:rsidRPr="00282AC9">
        <w:rPr>
          <w:rFonts w:hint="cs"/>
          <w:rtl/>
        </w:rPr>
        <w:t>ّ</w:t>
      </w:r>
      <w:r w:rsidRPr="00282AC9">
        <w:rPr>
          <w:rtl/>
        </w:rPr>
        <w:t>انية وعدم الترق</w:t>
      </w:r>
      <w:r w:rsidR="009B1EBE" w:rsidRPr="00282AC9">
        <w:rPr>
          <w:rFonts w:hint="cs"/>
          <w:rtl/>
        </w:rPr>
        <w:t>ُّ</w:t>
      </w:r>
      <w:r w:rsidRPr="00282AC9">
        <w:rPr>
          <w:rtl/>
        </w:rPr>
        <w:t>ب وعدم التوق</w:t>
      </w:r>
      <w:r w:rsidR="009B1EBE" w:rsidRPr="00282AC9">
        <w:rPr>
          <w:rFonts w:hint="cs"/>
          <w:rtl/>
        </w:rPr>
        <w:t>ُّ</w:t>
      </w:r>
      <w:r w:rsidRPr="00282AC9">
        <w:rPr>
          <w:rtl/>
        </w:rPr>
        <w:t xml:space="preserve">ع </w:t>
      </w:r>
      <w:r w:rsidR="009B1EBE" w:rsidRPr="00282AC9">
        <w:rPr>
          <w:rFonts w:hint="cs"/>
          <w:rtl/>
        </w:rPr>
        <w:t>ل</w:t>
      </w:r>
      <w:r w:rsidRPr="00282AC9">
        <w:rPr>
          <w:rtl/>
        </w:rPr>
        <w:t>استحصال المال لا تنطبق على عمليات الك</w:t>
      </w:r>
      <w:r w:rsidR="009B1EBE" w:rsidRPr="00282AC9">
        <w:rPr>
          <w:rFonts w:hint="cs"/>
          <w:rtl/>
        </w:rPr>
        <w:t>َ</w:t>
      </w:r>
      <w:r w:rsidRPr="00282AC9">
        <w:rPr>
          <w:rtl/>
        </w:rPr>
        <w:t>س</w:t>
      </w:r>
      <w:r w:rsidR="009B1EBE" w:rsidRPr="00282AC9">
        <w:rPr>
          <w:rFonts w:hint="cs"/>
          <w:rtl/>
        </w:rPr>
        <w:t>ْ</w:t>
      </w:r>
      <w:r w:rsidRPr="00282AC9">
        <w:rPr>
          <w:rtl/>
        </w:rPr>
        <w:t>ب والتجارة، وهي غير داخلة</w:t>
      </w:r>
      <w:r w:rsidR="009B1EBE" w:rsidRPr="00282AC9">
        <w:rPr>
          <w:rFonts w:hint="cs"/>
          <w:rtl/>
        </w:rPr>
        <w:t>ٍ</w:t>
      </w:r>
      <w:r w:rsidRPr="00282AC9">
        <w:rPr>
          <w:rtl/>
        </w:rPr>
        <w:t xml:space="preserve"> في مفهوم الغنيمة في آية الخمس</w:t>
      </w:r>
      <w:r w:rsidRPr="00282AC9">
        <w:rPr>
          <w:rFonts w:hint="cs"/>
          <w:vertAlign w:val="superscript"/>
          <w:rtl/>
        </w:rPr>
        <w:t>(</w:t>
      </w:r>
      <w:r w:rsidRPr="00282AC9">
        <w:rPr>
          <w:rStyle w:val="af9"/>
          <w:sz w:val="27"/>
          <w:rtl/>
        </w:rPr>
        <w:endnoteReference w:id="502"/>
      </w:r>
      <w:r w:rsidRPr="00282AC9">
        <w:rPr>
          <w:rFonts w:hint="cs"/>
          <w:vertAlign w:val="superscript"/>
          <w:rtl/>
        </w:rPr>
        <w:t>)</w:t>
      </w:r>
      <w:r w:rsidRPr="00282AC9">
        <w:rPr>
          <w:rtl/>
        </w:rPr>
        <w:t>.</w:t>
      </w:r>
    </w:p>
    <w:p w:rsidR="009B1EBE" w:rsidRPr="00282AC9" w:rsidRDefault="00946A76" w:rsidP="00186251">
      <w:pPr>
        <w:rPr>
          <w:rtl/>
        </w:rPr>
      </w:pPr>
      <w:r w:rsidRPr="00282AC9">
        <w:rPr>
          <w:rtl/>
        </w:rPr>
        <w:t>وهو ما استقربه ـ من قبل</w:t>
      </w:r>
      <w:r w:rsidR="009B1EBE" w:rsidRPr="00282AC9">
        <w:rPr>
          <w:rFonts w:hint="cs"/>
          <w:rtl/>
        </w:rPr>
        <w:t>ُ</w:t>
      </w:r>
      <w:r w:rsidRPr="00282AC9">
        <w:rPr>
          <w:rtl/>
        </w:rPr>
        <w:t xml:space="preserve"> ـ رشيد رضا</w:t>
      </w:r>
      <w:r w:rsidR="009B1EBE" w:rsidRPr="00282AC9">
        <w:rPr>
          <w:rFonts w:hint="cs"/>
          <w:rtl/>
        </w:rPr>
        <w:t>؛</w:t>
      </w:r>
      <w:r w:rsidRPr="00282AC9">
        <w:rPr>
          <w:rtl/>
        </w:rPr>
        <w:t xml:space="preserve"> حيث رأى أن المتبادر من الاستعمال أن الغنيمة والغنم ما يناله الإنسان ويظفر به من غير مقابل</w:t>
      </w:r>
      <w:r w:rsidR="009B1EBE" w:rsidRPr="00282AC9">
        <w:rPr>
          <w:rFonts w:hint="cs"/>
          <w:rtl/>
        </w:rPr>
        <w:t>ٍ</w:t>
      </w:r>
      <w:r w:rsidRPr="00282AC9">
        <w:rPr>
          <w:rtl/>
        </w:rPr>
        <w:t xml:space="preserve"> ماد</w:t>
      </w:r>
      <w:r w:rsidR="009B1EBE" w:rsidRPr="00282AC9">
        <w:rPr>
          <w:rFonts w:hint="cs"/>
          <w:rtl/>
        </w:rPr>
        <w:t>ّ</w:t>
      </w:r>
      <w:r w:rsidRPr="00282AC9">
        <w:rPr>
          <w:rtl/>
        </w:rPr>
        <w:t>ي يبذله في سبيله</w:t>
      </w:r>
      <w:r w:rsidR="009B1EBE" w:rsidRPr="00282AC9">
        <w:rPr>
          <w:rFonts w:hint="cs"/>
          <w:rtl/>
        </w:rPr>
        <w:t>.</w:t>
      </w:r>
      <w:r w:rsidRPr="00282AC9">
        <w:rPr>
          <w:rtl/>
        </w:rPr>
        <w:t xml:space="preserve"> غير أنه ن</w:t>
      </w:r>
      <w:r w:rsidR="009B1EBE" w:rsidRPr="00282AC9">
        <w:rPr>
          <w:rFonts w:hint="cs"/>
          <w:rtl/>
        </w:rPr>
        <w:t>َ</w:t>
      </w:r>
      <w:r w:rsidRPr="00282AC9">
        <w:rPr>
          <w:rtl/>
        </w:rPr>
        <w:t>ق</w:t>
      </w:r>
      <w:r w:rsidR="009B1EBE" w:rsidRPr="00282AC9">
        <w:rPr>
          <w:rFonts w:hint="cs"/>
          <w:rtl/>
        </w:rPr>
        <w:t>َ</w:t>
      </w:r>
      <w:r w:rsidRPr="00282AC9">
        <w:rPr>
          <w:rtl/>
        </w:rPr>
        <w:t>د ق</w:t>
      </w:r>
      <w:r w:rsidR="009B1EBE" w:rsidRPr="00282AC9">
        <w:rPr>
          <w:rFonts w:hint="cs"/>
          <w:rtl/>
        </w:rPr>
        <w:t>َ</w:t>
      </w:r>
      <w:r w:rsidRPr="00282AC9">
        <w:rPr>
          <w:rtl/>
        </w:rPr>
        <w:t>ي</w:t>
      </w:r>
      <w:r w:rsidR="009B1EBE" w:rsidRPr="00282AC9">
        <w:rPr>
          <w:rFonts w:hint="cs"/>
          <w:rtl/>
        </w:rPr>
        <w:t>ْ</w:t>
      </w:r>
      <w:r w:rsidRPr="00282AC9">
        <w:rPr>
          <w:rtl/>
        </w:rPr>
        <w:t>د اللغوي</w:t>
      </w:r>
      <w:r w:rsidR="009B1EBE" w:rsidRPr="00282AC9">
        <w:rPr>
          <w:rFonts w:hint="cs"/>
          <w:rtl/>
        </w:rPr>
        <w:t>ّ</w:t>
      </w:r>
      <w:r w:rsidRPr="00282AC9">
        <w:rPr>
          <w:rtl/>
        </w:rPr>
        <w:t>ين بعدم المشق</w:t>
      </w:r>
      <w:r w:rsidR="009B1EBE" w:rsidRPr="00282AC9">
        <w:rPr>
          <w:rFonts w:hint="cs"/>
          <w:rtl/>
        </w:rPr>
        <w:t>ّ</w:t>
      </w:r>
      <w:r w:rsidRPr="00282AC9">
        <w:rPr>
          <w:rtl/>
        </w:rPr>
        <w:t>ة</w:t>
      </w:r>
      <w:r w:rsidRPr="00282AC9">
        <w:rPr>
          <w:rFonts w:hint="cs"/>
          <w:vertAlign w:val="superscript"/>
          <w:rtl/>
        </w:rPr>
        <w:t>(</w:t>
      </w:r>
      <w:r w:rsidRPr="00282AC9">
        <w:rPr>
          <w:rStyle w:val="af9"/>
          <w:sz w:val="27"/>
          <w:rtl/>
        </w:rPr>
        <w:endnoteReference w:id="503"/>
      </w:r>
      <w:r w:rsidRPr="00282AC9">
        <w:rPr>
          <w:rFonts w:hint="cs"/>
          <w:vertAlign w:val="superscript"/>
          <w:rtl/>
        </w:rPr>
        <w:t>)</w:t>
      </w:r>
      <w:r w:rsidR="009B1EBE" w:rsidRPr="00282AC9">
        <w:rPr>
          <w:rFonts w:hint="cs"/>
          <w:rtl/>
        </w:rPr>
        <w:t>.</w:t>
      </w:r>
    </w:p>
    <w:p w:rsidR="00946A76" w:rsidRPr="00282AC9" w:rsidRDefault="00946A76" w:rsidP="00186251">
      <w:pPr>
        <w:rPr>
          <w:rtl/>
        </w:rPr>
      </w:pPr>
      <w:r w:rsidRPr="00282AC9">
        <w:rPr>
          <w:rtl/>
        </w:rPr>
        <w:lastRenderedPageBreak/>
        <w:t>وفص</w:t>
      </w:r>
      <w:r w:rsidR="009B1EBE" w:rsidRPr="00282AC9">
        <w:rPr>
          <w:rFonts w:hint="cs"/>
          <w:rtl/>
        </w:rPr>
        <w:t>َّ</w:t>
      </w:r>
      <w:r w:rsidRPr="00282AC9">
        <w:rPr>
          <w:rtl/>
        </w:rPr>
        <w:t>ل السبحاني في الخصوصيات المتعل</w:t>
      </w:r>
      <w:r w:rsidR="009B1EBE" w:rsidRPr="00282AC9">
        <w:rPr>
          <w:rFonts w:hint="cs"/>
          <w:rtl/>
        </w:rPr>
        <w:t>ِّ</w:t>
      </w:r>
      <w:r w:rsidRPr="00282AC9">
        <w:rPr>
          <w:rtl/>
        </w:rPr>
        <w:t>قة بق</w:t>
      </w:r>
      <w:r w:rsidR="009B1EBE" w:rsidRPr="00282AC9">
        <w:rPr>
          <w:rFonts w:hint="cs"/>
          <w:rtl/>
        </w:rPr>
        <w:t>َ</w:t>
      </w:r>
      <w:r w:rsidRPr="00282AC9">
        <w:rPr>
          <w:rtl/>
        </w:rPr>
        <w:t>ي</w:t>
      </w:r>
      <w:r w:rsidR="009B1EBE" w:rsidRPr="00282AC9">
        <w:rPr>
          <w:rFonts w:hint="cs"/>
          <w:rtl/>
        </w:rPr>
        <w:t>ْ</w:t>
      </w:r>
      <w:r w:rsidRPr="00282AC9">
        <w:rPr>
          <w:rtl/>
        </w:rPr>
        <w:t xml:space="preserve">د </w:t>
      </w:r>
      <w:r w:rsidR="009B1EBE" w:rsidRPr="00282AC9">
        <w:rPr>
          <w:rFonts w:hint="cs"/>
          <w:rtl/>
        </w:rPr>
        <w:t>(</w:t>
      </w:r>
      <w:r w:rsidRPr="00282AC9">
        <w:rPr>
          <w:rtl/>
        </w:rPr>
        <w:t>بلا مشق</w:t>
      </w:r>
      <w:r w:rsidR="009B1EBE" w:rsidRPr="00282AC9">
        <w:rPr>
          <w:rFonts w:hint="cs"/>
          <w:rtl/>
        </w:rPr>
        <w:t>ّ</w:t>
      </w:r>
      <w:r w:rsidRPr="00282AC9">
        <w:rPr>
          <w:rtl/>
        </w:rPr>
        <w:t>ة</w:t>
      </w:r>
      <w:r w:rsidR="009B1EBE" w:rsidRPr="00282AC9">
        <w:rPr>
          <w:rFonts w:hint="cs"/>
          <w:rtl/>
        </w:rPr>
        <w:t>ٍ)</w:t>
      </w:r>
      <w:r w:rsidRPr="00282AC9">
        <w:rPr>
          <w:rtl/>
        </w:rPr>
        <w:t>، ويرى أنها تكمن في أحد الأمور التالية: الظفر به بيسر</w:t>
      </w:r>
      <w:r w:rsidR="009B1EBE" w:rsidRPr="00282AC9">
        <w:rPr>
          <w:rFonts w:hint="cs"/>
          <w:rtl/>
        </w:rPr>
        <w:t>ٍ</w:t>
      </w:r>
      <w:r w:rsidRPr="00282AC9">
        <w:rPr>
          <w:rtl/>
        </w:rPr>
        <w:t xml:space="preserve"> وسهولة، أو الظفر بلا ب</w:t>
      </w:r>
      <w:r w:rsidR="009B1EBE" w:rsidRPr="00282AC9">
        <w:rPr>
          <w:rFonts w:hint="cs"/>
          <w:rtl/>
        </w:rPr>
        <w:t>َ</w:t>
      </w:r>
      <w:r w:rsidRPr="00282AC9">
        <w:rPr>
          <w:rtl/>
        </w:rPr>
        <w:t>ذ</w:t>
      </w:r>
      <w:r w:rsidR="009B1EBE" w:rsidRPr="00282AC9">
        <w:rPr>
          <w:rFonts w:hint="cs"/>
          <w:rtl/>
        </w:rPr>
        <w:t>ْ</w:t>
      </w:r>
      <w:r w:rsidRPr="00282AC9">
        <w:rPr>
          <w:rtl/>
        </w:rPr>
        <w:t>ل مقابل</w:t>
      </w:r>
      <w:r w:rsidR="009B1EBE" w:rsidRPr="00282AC9">
        <w:rPr>
          <w:rFonts w:hint="cs"/>
          <w:rtl/>
        </w:rPr>
        <w:t>ٍ</w:t>
      </w:r>
      <w:r w:rsidRPr="00282AC9">
        <w:rPr>
          <w:rtl/>
        </w:rPr>
        <w:t>، أوالظفر بدون ترق</w:t>
      </w:r>
      <w:r w:rsidR="009B1EBE" w:rsidRPr="00282AC9">
        <w:rPr>
          <w:rFonts w:hint="cs"/>
          <w:rtl/>
        </w:rPr>
        <w:t>ُّ</w:t>
      </w:r>
      <w:r w:rsidRPr="00282AC9">
        <w:rPr>
          <w:rtl/>
        </w:rPr>
        <w:t>ب</w:t>
      </w:r>
      <w:r w:rsidR="009B1EBE" w:rsidRPr="00282AC9">
        <w:rPr>
          <w:rFonts w:hint="cs"/>
          <w:rtl/>
        </w:rPr>
        <w:t>ٍ</w:t>
      </w:r>
      <w:r w:rsidRPr="00282AC9">
        <w:rPr>
          <w:rtl/>
        </w:rPr>
        <w:t xml:space="preserve"> وتوق</w:t>
      </w:r>
      <w:r w:rsidR="009B1EBE" w:rsidRPr="00282AC9">
        <w:rPr>
          <w:rFonts w:hint="cs"/>
          <w:rtl/>
        </w:rPr>
        <w:t>ُّ</w:t>
      </w:r>
      <w:r w:rsidRPr="00282AC9">
        <w:rPr>
          <w:rtl/>
        </w:rPr>
        <w:t>ع</w:t>
      </w:r>
      <w:r w:rsidR="009B1EBE" w:rsidRPr="00282AC9">
        <w:rPr>
          <w:rFonts w:hint="cs"/>
          <w:rtl/>
        </w:rPr>
        <w:t>ٍ</w:t>
      </w:r>
      <w:r w:rsidRPr="00282AC9">
        <w:rPr>
          <w:rFonts w:hint="cs"/>
          <w:vertAlign w:val="superscript"/>
          <w:rtl/>
        </w:rPr>
        <w:t>(</w:t>
      </w:r>
      <w:r w:rsidRPr="00282AC9">
        <w:rPr>
          <w:rStyle w:val="af9"/>
          <w:sz w:val="27"/>
          <w:rtl/>
        </w:rPr>
        <w:endnoteReference w:id="504"/>
      </w:r>
      <w:r w:rsidRPr="00282AC9">
        <w:rPr>
          <w:rFonts w:hint="cs"/>
          <w:vertAlign w:val="superscript"/>
          <w:rtl/>
        </w:rPr>
        <w:t>)</w:t>
      </w:r>
      <w:r w:rsidRPr="00282AC9">
        <w:rPr>
          <w:rFonts w:hint="cs"/>
          <w:rtl/>
        </w:rPr>
        <w:t>.</w:t>
      </w:r>
    </w:p>
    <w:p w:rsidR="00235851" w:rsidRPr="00282AC9" w:rsidRDefault="00235851" w:rsidP="00235851">
      <w:pPr>
        <w:spacing w:line="420" w:lineRule="exact"/>
        <w:rPr>
          <w:rtl/>
        </w:rPr>
      </w:pPr>
    </w:p>
    <w:p w:rsidR="00946A76" w:rsidRPr="00282AC9" w:rsidRDefault="008F055A" w:rsidP="00B70E1F">
      <w:pPr>
        <w:pStyle w:val="31"/>
        <w:rPr>
          <w:color w:val="auto"/>
          <w:rtl/>
        </w:rPr>
      </w:pPr>
      <w:r w:rsidRPr="00282AC9">
        <w:rPr>
          <w:rFonts w:hint="cs"/>
          <w:color w:val="auto"/>
          <w:rtl/>
        </w:rPr>
        <w:t>تامُّلاتٌ</w:t>
      </w:r>
      <w:r w:rsidR="00946A76" w:rsidRPr="00282AC9">
        <w:rPr>
          <w:color w:val="auto"/>
          <w:rtl/>
        </w:rPr>
        <w:t xml:space="preserve"> في محاولات المواءمة</w:t>
      </w:r>
    </w:p>
    <w:p w:rsidR="00946A76" w:rsidRPr="00282AC9" w:rsidRDefault="00946A76" w:rsidP="00186251">
      <w:pPr>
        <w:rPr>
          <w:rtl/>
        </w:rPr>
      </w:pPr>
      <w:r w:rsidRPr="00282AC9">
        <w:rPr>
          <w:rFonts w:eastAsiaTheme="majorEastAsia"/>
          <w:kern w:val="32"/>
          <w:rtl/>
        </w:rPr>
        <w:t>يبدو أنها استنتاجات</w:t>
      </w:r>
      <w:r w:rsidR="00160A26" w:rsidRPr="00282AC9">
        <w:rPr>
          <w:rFonts w:eastAsiaTheme="majorEastAsia" w:hint="cs"/>
          <w:kern w:val="32"/>
          <w:rtl/>
        </w:rPr>
        <w:t>ٌ</w:t>
      </w:r>
      <w:r w:rsidRPr="00282AC9">
        <w:rPr>
          <w:rFonts w:eastAsiaTheme="majorEastAsia"/>
          <w:kern w:val="32"/>
          <w:rtl/>
        </w:rPr>
        <w:t xml:space="preserve"> تحليلية</w:t>
      </w:r>
      <w:r w:rsidR="00160A26" w:rsidRPr="00282AC9">
        <w:rPr>
          <w:rFonts w:eastAsiaTheme="majorEastAsia" w:hint="cs"/>
          <w:kern w:val="32"/>
          <w:rtl/>
        </w:rPr>
        <w:t>؛</w:t>
      </w:r>
      <w:r w:rsidRPr="00282AC9">
        <w:rPr>
          <w:rFonts w:eastAsiaTheme="majorEastAsia"/>
          <w:kern w:val="32"/>
          <w:rtl/>
        </w:rPr>
        <w:t xml:space="preserve"> للمواءمة بين معطيات التعريفات المعجمية والروايات الحديثية والمواقف الفقهية</w:t>
      </w:r>
      <w:r w:rsidRPr="00282AC9">
        <w:rPr>
          <w:bCs/>
          <w:rtl/>
        </w:rPr>
        <w:t>.</w:t>
      </w:r>
      <w:r w:rsidRPr="00282AC9">
        <w:rPr>
          <w:rFonts w:eastAsiaTheme="majorEastAsia" w:hint="cs"/>
          <w:kern w:val="32"/>
          <w:rtl/>
        </w:rPr>
        <w:t xml:space="preserve"> </w:t>
      </w:r>
      <w:r w:rsidRPr="00282AC9">
        <w:rPr>
          <w:rFonts w:eastAsiaTheme="majorEastAsia"/>
          <w:kern w:val="32"/>
          <w:rtl/>
        </w:rPr>
        <w:t xml:space="preserve">والظاهر </w:t>
      </w:r>
      <w:r w:rsidR="00160A26" w:rsidRPr="00282AC9">
        <w:rPr>
          <w:rFonts w:eastAsiaTheme="majorEastAsia" w:hint="cs"/>
          <w:kern w:val="32"/>
          <w:rtl/>
        </w:rPr>
        <w:t>أ</w:t>
      </w:r>
      <w:r w:rsidRPr="00282AC9">
        <w:rPr>
          <w:rFonts w:eastAsiaTheme="majorEastAsia"/>
          <w:kern w:val="32"/>
          <w:rtl/>
        </w:rPr>
        <w:t>ن استنتاج عدم الترق</w:t>
      </w:r>
      <w:r w:rsidR="00160A26" w:rsidRPr="00282AC9">
        <w:rPr>
          <w:rFonts w:eastAsiaTheme="majorEastAsia" w:hint="cs"/>
          <w:kern w:val="32"/>
          <w:rtl/>
        </w:rPr>
        <w:t>ُّ</w:t>
      </w:r>
      <w:r w:rsidRPr="00282AC9">
        <w:rPr>
          <w:rFonts w:eastAsiaTheme="majorEastAsia"/>
          <w:kern w:val="32"/>
          <w:rtl/>
        </w:rPr>
        <w:t xml:space="preserve">ب ـ في نظرهم ـ يرجع </w:t>
      </w:r>
      <w:r w:rsidR="00160A26" w:rsidRPr="00282AC9">
        <w:rPr>
          <w:rFonts w:eastAsiaTheme="majorEastAsia" w:hint="cs"/>
          <w:kern w:val="32"/>
          <w:rtl/>
        </w:rPr>
        <w:t>إ</w:t>
      </w:r>
      <w:r w:rsidRPr="00282AC9">
        <w:rPr>
          <w:rFonts w:eastAsiaTheme="majorEastAsia"/>
          <w:kern w:val="32"/>
          <w:rtl/>
        </w:rPr>
        <w:t>لى أن الفوز بشي</w:t>
      </w:r>
      <w:r w:rsidR="00160A26" w:rsidRPr="00282AC9">
        <w:rPr>
          <w:rFonts w:eastAsiaTheme="majorEastAsia" w:hint="cs"/>
          <w:kern w:val="32"/>
          <w:rtl/>
        </w:rPr>
        <w:t>ءٍ</w:t>
      </w:r>
      <w:r w:rsidRPr="00282AC9">
        <w:rPr>
          <w:rFonts w:eastAsiaTheme="majorEastAsia"/>
          <w:kern w:val="32"/>
          <w:rtl/>
        </w:rPr>
        <w:t xml:space="preserve"> ما يتحق</w:t>
      </w:r>
      <w:r w:rsidR="00160A26" w:rsidRPr="00282AC9">
        <w:rPr>
          <w:rFonts w:eastAsiaTheme="majorEastAsia" w:hint="cs"/>
          <w:kern w:val="32"/>
          <w:rtl/>
        </w:rPr>
        <w:t>َّ</w:t>
      </w:r>
      <w:r w:rsidRPr="00282AC9">
        <w:rPr>
          <w:rFonts w:eastAsiaTheme="majorEastAsia"/>
          <w:kern w:val="32"/>
          <w:rtl/>
        </w:rPr>
        <w:t>ق في حالة عدم ترق</w:t>
      </w:r>
      <w:r w:rsidR="00160A26" w:rsidRPr="00282AC9">
        <w:rPr>
          <w:rFonts w:eastAsiaTheme="majorEastAsia" w:hint="cs"/>
          <w:kern w:val="32"/>
          <w:rtl/>
        </w:rPr>
        <w:t>ُّ</w:t>
      </w:r>
      <w:r w:rsidRPr="00282AC9">
        <w:rPr>
          <w:rFonts w:eastAsiaTheme="majorEastAsia"/>
          <w:kern w:val="32"/>
          <w:rtl/>
        </w:rPr>
        <w:t xml:space="preserve">به، أو </w:t>
      </w:r>
      <w:r w:rsidR="00160A26" w:rsidRPr="00282AC9">
        <w:rPr>
          <w:rFonts w:eastAsiaTheme="majorEastAsia" w:hint="cs"/>
          <w:kern w:val="32"/>
          <w:rtl/>
        </w:rPr>
        <w:t>بقولٍ</w:t>
      </w:r>
      <w:r w:rsidRPr="00282AC9">
        <w:rPr>
          <w:rFonts w:eastAsiaTheme="majorEastAsia"/>
          <w:kern w:val="32"/>
          <w:rtl/>
        </w:rPr>
        <w:t xml:space="preserve"> آخر</w:t>
      </w:r>
      <w:r w:rsidR="00160A26" w:rsidRPr="00282AC9">
        <w:rPr>
          <w:rFonts w:eastAsiaTheme="majorEastAsia" w:hint="cs"/>
          <w:kern w:val="32"/>
          <w:rtl/>
        </w:rPr>
        <w:t>:</w:t>
      </w:r>
      <w:r w:rsidRPr="00282AC9">
        <w:rPr>
          <w:rFonts w:eastAsiaTheme="majorEastAsia"/>
          <w:kern w:val="32"/>
          <w:rtl/>
        </w:rPr>
        <w:t xml:space="preserve"> عند مصاحبته لعنصر المفاجأة</w:t>
      </w:r>
      <w:r w:rsidRPr="00282AC9">
        <w:rPr>
          <w:b/>
          <w:rtl/>
        </w:rPr>
        <w:t>.</w:t>
      </w:r>
    </w:p>
    <w:p w:rsidR="00160A26" w:rsidRPr="00282AC9" w:rsidRDefault="00946A76" w:rsidP="00186251">
      <w:pPr>
        <w:rPr>
          <w:rtl/>
        </w:rPr>
      </w:pPr>
      <w:r w:rsidRPr="00282AC9">
        <w:rPr>
          <w:rtl/>
        </w:rPr>
        <w:t>أما مفهوم عدم المشق</w:t>
      </w:r>
      <w:r w:rsidR="00160A26" w:rsidRPr="00282AC9">
        <w:rPr>
          <w:rFonts w:hint="cs"/>
          <w:rtl/>
        </w:rPr>
        <w:t>ّ</w:t>
      </w:r>
      <w:r w:rsidRPr="00282AC9">
        <w:rPr>
          <w:rtl/>
        </w:rPr>
        <w:t xml:space="preserve">ة فهو أقرب </w:t>
      </w:r>
      <w:r w:rsidR="00160A26" w:rsidRPr="00282AC9">
        <w:rPr>
          <w:rFonts w:hint="cs"/>
          <w:rtl/>
        </w:rPr>
        <w:t>إ</w:t>
      </w:r>
      <w:r w:rsidRPr="00282AC9">
        <w:rPr>
          <w:rtl/>
        </w:rPr>
        <w:t>لى عدم التعب</w:t>
      </w:r>
      <w:r w:rsidR="00160A26" w:rsidRPr="00282AC9">
        <w:rPr>
          <w:rFonts w:hint="cs"/>
          <w:rtl/>
        </w:rPr>
        <w:t>،</w:t>
      </w:r>
      <w:r w:rsidRPr="00282AC9">
        <w:rPr>
          <w:rtl/>
        </w:rPr>
        <w:t xml:space="preserve"> وعدم بذل المجهود المتعارف</w:t>
      </w:r>
      <w:r w:rsidR="00160A26" w:rsidRPr="00282AC9">
        <w:rPr>
          <w:rFonts w:hint="cs"/>
          <w:rtl/>
        </w:rPr>
        <w:t>،</w:t>
      </w:r>
      <w:r w:rsidRPr="00282AC9">
        <w:rPr>
          <w:rtl/>
        </w:rPr>
        <w:t xml:space="preserve"> ومن ثم</w:t>
      </w:r>
      <w:r w:rsidR="00160A26" w:rsidRPr="00282AC9">
        <w:rPr>
          <w:rFonts w:hint="cs"/>
          <w:rtl/>
        </w:rPr>
        <w:t>ّ</w:t>
      </w:r>
      <w:r w:rsidRPr="00282AC9">
        <w:rPr>
          <w:rtl/>
        </w:rPr>
        <w:t xml:space="preserve"> يعني الحصول على الشي</w:t>
      </w:r>
      <w:r w:rsidR="00160A26" w:rsidRPr="00282AC9">
        <w:rPr>
          <w:rFonts w:hint="cs"/>
          <w:rtl/>
        </w:rPr>
        <w:t>ء</w:t>
      </w:r>
      <w:r w:rsidRPr="00282AC9">
        <w:rPr>
          <w:rtl/>
        </w:rPr>
        <w:t xml:space="preserve"> بي</w:t>
      </w:r>
      <w:r w:rsidR="00160A26" w:rsidRPr="00282AC9">
        <w:rPr>
          <w:rFonts w:hint="cs"/>
          <w:rtl/>
        </w:rPr>
        <w:t>ُ</w:t>
      </w:r>
      <w:r w:rsidRPr="00282AC9">
        <w:rPr>
          <w:rtl/>
        </w:rPr>
        <w:t>س</w:t>
      </w:r>
      <w:r w:rsidR="00160A26" w:rsidRPr="00282AC9">
        <w:rPr>
          <w:rFonts w:hint="cs"/>
          <w:rtl/>
        </w:rPr>
        <w:t>ْ</w:t>
      </w:r>
      <w:r w:rsidRPr="00282AC9">
        <w:rPr>
          <w:rtl/>
        </w:rPr>
        <w:t>ر</w:t>
      </w:r>
      <w:r w:rsidR="00160A26" w:rsidRPr="00282AC9">
        <w:rPr>
          <w:rFonts w:hint="cs"/>
          <w:rtl/>
        </w:rPr>
        <w:t>ٍ</w:t>
      </w:r>
      <w:r w:rsidRPr="00282AC9">
        <w:rPr>
          <w:rtl/>
        </w:rPr>
        <w:t xml:space="preserve"> وسهولة</w:t>
      </w:r>
      <w:r w:rsidR="00160A26" w:rsidRPr="00282AC9">
        <w:rPr>
          <w:rFonts w:hint="cs"/>
          <w:rtl/>
        </w:rPr>
        <w:t>ٍ</w:t>
      </w:r>
      <w:r w:rsidR="00160A26" w:rsidRPr="00282AC9">
        <w:rPr>
          <w:rtl/>
        </w:rPr>
        <w:t>.</w:t>
      </w:r>
    </w:p>
    <w:p w:rsidR="00946A76" w:rsidRPr="00282AC9" w:rsidRDefault="00946A76" w:rsidP="00186251">
      <w:pPr>
        <w:rPr>
          <w:bCs/>
          <w:rtl/>
        </w:rPr>
      </w:pPr>
      <w:r w:rsidRPr="00282AC9">
        <w:rPr>
          <w:rtl/>
        </w:rPr>
        <w:t>وي</w:t>
      </w:r>
      <w:r w:rsidR="00160A26" w:rsidRPr="00282AC9">
        <w:rPr>
          <w:rFonts w:hint="cs"/>
          <w:rtl/>
        </w:rPr>
        <w:t>َ</w:t>
      </w:r>
      <w:r w:rsidRPr="00282AC9">
        <w:rPr>
          <w:rtl/>
        </w:rPr>
        <w:t>ر</w:t>
      </w:r>
      <w:r w:rsidR="00160A26" w:rsidRPr="00282AC9">
        <w:rPr>
          <w:rFonts w:hint="cs"/>
          <w:rtl/>
        </w:rPr>
        <w:t>ِ</w:t>
      </w:r>
      <w:r w:rsidRPr="00282AC9">
        <w:rPr>
          <w:rtl/>
        </w:rPr>
        <w:t>د</w:t>
      </w:r>
      <w:r w:rsidR="00160A26" w:rsidRPr="00282AC9">
        <w:rPr>
          <w:rFonts w:hint="cs"/>
          <w:rtl/>
        </w:rPr>
        <w:t>ُ</w:t>
      </w:r>
      <w:r w:rsidRPr="00282AC9">
        <w:rPr>
          <w:rtl/>
        </w:rPr>
        <w:t xml:space="preserve"> عليه أنه لا يتبادر من الفوز معنى عدم الترق</w:t>
      </w:r>
      <w:r w:rsidR="00160A26" w:rsidRPr="00282AC9">
        <w:rPr>
          <w:rFonts w:hint="cs"/>
          <w:rtl/>
        </w:rPr>
        <w:t>ُّ</w:t>
      </w:r>
      <w:r w:rsidRPr="00282AC9">
        <w:rPr>
          <w:rtl/>
        </w:rPr>
        <w:t>ب التام</w:t>
      </w:r>
      <w:r w:rsidR="00160A26" w:rsidRPr="00282AC9">
        <w:rPr>
          <w:rFonts w:hint="cs"/>
          <w:rtl/>
        </w:rPr>
        <w:t>ّ.</w:t>
      </w:r>
      <w:r w:rsidRPr="00282AC9">
        <w:rPr>
          <w:rtl/>
        </w:rPr>
        <w:t xml:space="preserve"> فالذين يشاركون في مسابقات</w:t>
      </w:r>
      <w:r w:rsidR="00160A26" w:rsidRPr="00282AC9">
        <w:rPr>
          <w:rFonts w:hint="cs"/>
          <w:rtl/>
        </w:rPr>
        <w:t>ٍ</w:t>
      </w:r>
      <w:r w:rsidRPr="00282AC9">
        <w:rPr>
          <w:rtl/>
        </w:rPr>
        <w:t xml:space="preserve"> أو يقد</w:t>
      </w:r>
      <w:r w:rsidR="00160A26" w:rsidRPr="00282AC9">
        <w:rPr>
          <w:rFonts w:hint="cs"/>
          <w:rtl/>
        </w:rPr>
        <w:t>ِّ</w:t>
      </w:r>
      <w:r w:rsidRPr="00282AC9">
        <w:rPr>
          <w:rtl/>
        </w:rPr>
        <w:t>مون اختبارات</w:t>
      </w:r>
      <w:r w:rsidR="00160A26" w:rsidRPr="00282AC9">
        <w:rPr>
          <w:rFonts w:hint="cs"/>
          <w:rtl/>
        </w:rPr>
        <w:t>ٍ،</w:t>
      </w:r>
      <w:r w:rsidRPr="00282AC9">
        <w:rPr>
          <w:rtl/>
        </w:rPr>
        <w:t xml:space="preserve"> وإن</w:t>
      </w:r>
      <w:r w:rsidR="00160A26" w:rsidRPr="00282AC9">
        <w:rPr>
          <w:rFonts w:hint="cs"/>
          <w:rtl/>
        </w:rPr>
        <w:t>ْ</w:t>
      </w:r>
      <w:r w:rsidRPr="00282AC9">
        <w:rPr>
          <w:rtl/>
        </w:rPr>
        <w:t xml:space="preserve"> </w:t>
      </w:r>
      <w:r w:rsidR="00160A26" w:rsidRPr="00282AC9">
        <w:rPr>
          <w:rFonts w:hint="cs"/>
          <w:rtl/>
        </w:rPr>
        <w:t xml:space="preserve">كان </w:t>
      </w:r>
      <w:r w:rsidRPr="00282AC9">
        <w:rPr>
          <w:rtl/>
        </w:rPr>
        <w:t>لا يمكنهم الج</w:t>
      </w:r>
      <w:r w:rsidR="00160A26" w:rsidRPr="00282AC9">
        <w:rPr>
          <w:rFonts w:hint="cs"/>
          <w:rtl/>
        </w:rPr>
        <w:t>َ</w:t>
      </w:r>
      <w:r w:rsidRPr="00282AC9">
        <w:rPr>
          <w:rtl/>
        </w:rPr>
        <w:t>ز</w:t>
      </w:r>
      <w:r w:rsidR="00160A26" w:rsidRPr="00282AC9">
        <w:rPr>
          <w:rFonts w:hint="cs"/>
          <w:rtl/>
        </w:rPr>
        <w:t>ْ</w:t>
      </w:r>
      <w:r w:rsidRPr="00282AC9">
        <w:rPr>
          <w:rtl/>
        </w:rPr>
        <w:t>م بالفوز فيها</w:t>
      </w:r>
      <w:r w:rsidR="00160A26" w:rsidRPr="00282AC9">
        <w:rPr>
          <w:rFonts w:hint="cs"/>
          <w:rtl/>
        </w:rPr>
        <w:t>،</w:t>
      </w:r>
      <w:r w:rsidRPr="00282AC9">
        <w:rPr>
          <w:rtl/>
        </w:rPr>
        <w:t xml:space="preserve"> بعض</w:t>
      </w:r>
      <w:r w:rsidR="00160A26" w:rsidRPr="00282AC9">
        <w:rPr>
          <w:rFonts w:hint="cs"/>
          <w:rtl/>
        </w:rPr>
        <w:t>ُ</w:t>
      </w:r>
      <w:r w:rsidRPr="00282AC9">
        <w:rPr>
          <w:rtl/>
        </w:rPr>
        <w:t>هم ـ على الأقل</w:t>
      </w:r>
      <w:r w:rsidR="00160A26" w:rsidRPr="00282AC9">
        <w:rPr>
          <w:rFonts w:hint="cs"/>
          <w:rtl/>
        </w:rPr>
        <w:t>ّ</w:t>
      </w:r>
      <w:r w:rsidRPr="00282AC9">
        <w:rPr>
          <w:rtl/>
        </w:rPr>
        <w:t xml:space="preserve"> ـ يتوق</w:t>
      </w:r>
      <w:r w:rsidR="00160A26" w:rsidRPr="00282AC9">
        <w:rPr>
          <w:rFonts w:hint="cs"/>
          <w:rtl/>
        </w:rPr>
        <w:t>َّ</w:t>
      </w:r>
      <w:r w:rsidRPr="00282AC9">
        <w:rPr>
          <w:rtl/>
        </w:rPr>
        <w:t>ع فرص الفوز بنسب</w:t>
      </w:r>
      <w:r w:rsidR="00160A26" w:rsidRPr="00282AC9">
        <w:rPr>
          <w:rFonts w:hint="cs"/>
          <w:rtl/>
        </w:rPr>
        <w:t>ٍ</w:t>
      </w:r>
      <w:r w:rsidRPr="00282AC9">
        <w:rPr>
          <w:rtl/>
        </w:rPr>
        <w:t xml:space="preserve"> عالية معتد</w:t>
      </w:r>
      <w:r w:rsidR="00160A26" w:rsidRPr="00282AC9">
        <w:rPr>
          <w:rFonts w:hint="cs"/>
          <w:rtl/>
        </w:rPr>
        <w:t>ٍّ</w:t>
      </w:r>
      <w:r w:rsidRPr="00282AC9">
        <w:rPr>
          <w:rtl/>
        </w:rPr>
        <w:t xml:space="preserve"> بها. </w:t>
      </w:r>
      <w:r w:rsidR="00160A26" w:rsidRPr="00282AC9">
        <w:rPr>
          <w:rFonts w:hint="cs"/>
          <w:rtl/>
        </w:rPr>
        <w:t>وبعبارةٍ أخرى:</w:t>
      </w:r>
      <w:r w:rsidRPr="00282AC9">
        <w:rPr>
          <w:rtl/>
        </w:rPr>
        <w:t xml:space="preserve"> إن مثلهم ليس مثل م</w:t>
      </w:r>
      <w:r w:rsidR="00160A26" w:rsidRPr="00282AC9">
        <w:rPr>
          <w:rFonts w:hint="cs"/>
          <w:rtl/>
        </w:rPr>
        <w:t>َ</w:t>
      </w:r>
      <w:r w:rsidRPr="00282AC9">
        <w:rPr>
          <w:rtl/>
        </w:rPr>
        <w:t>ن</w:t>
      </w:r>
      <w:r w:rsidR="00160A26" w:rsidRPr="00282AC9">
        <w:rPr>
          <w:rFonts w:hint="cs"/>
          <w:rtl/>
        </w:rPr>
        <w:t>ْ</w:t>
      </w:r>
      <w:r w:rsidRPr="00282AC9">
        <w:rPr>
          <w:rtl/>
        </w:rPr>
        <w:t xml:space="preserve"> لا يحتسب ولا يتوق</w:t>
      </w:r>
      <w:r w:rsidR="00160A26" w:rsidRPr="00282AC9">
        <w:rPr>
          <w:rFonts w:hint="cs"/>
          <w:rtl/>
        </w:rPr>
        <w:t>َّ</w:t>
      </w:r>
      <w:r w:rsidRPr="00282AC9">
        <w:rPr>
          <w:rtl/>
        </w:rPr>
        <w:t>ع الفوز نهائي</w:t>
      </w:r>
      <w:r w:rsidR="00160A26" w:rsidRPr="00282AC9">
        <w:rPr>
          <w:rFonts w:hint="cs"/>
          <w:rtl/>
        </w:rPr>
        <w:t>ّ</w:t>
      </w:r>
      <w:r w:rsidRPr="00282AC9">
        <w:rPr>
          <w:rtl/>
        </w:rPr>
        <w:t>ا</w:t>
      </w:r>
      <w:r w:rsidR="00160A26" w:rsidRPr="00282AC9">
        <w:rPr>
          <w:rFonts w:hint="cs"/>
          <w:rtl/>
        </w:rPr>
        <w:t>ً</w:t>
      </w:r>
      <w:r w:rsidRPr="00282AC9">
        <w:rPr>
          <w:rtl/>
        </w:rPr>
        <w:t>. وإلا</w:t>
      </w:r>
      <w:r w:rsidR="00160A26" w:rsidRPr="00282AC9">
        <w:rPr>
          <w:rFonts w:hint="cs"/>
          <w:rtl/>
        </w:rPr>
        <w:t>ّ</w:t>
      </w:r>
      <w:r w:rsidRPr="00282AC9">
        <w:rPr>
          <w:rtl/>
        </w:rPr>
        <w:t xml:space="preserve"> </w:t>
      </w:r>
      <w:r w:rsidR="00C91243" w:rsidRPr="00282AC9">
        <w:rPr>
          <w:rFonts w:hint="cs"/>
          <w:rtl/>
        </w:rPr>
        <w:t xml:space="preserve">ـ أي </w:t>
      </w:r>
      <w:r w:rsidRPr="00282AC9">
        <w:rPr>
          <w:rtl/>
        </w:rPr>
        <w:t>بناء</w:t>
      </w:r>
      <w:r w:rsidR="00160A26" w:rsidRPr="00282AC9">
        <w:rPr>
          <w:rFonts w:hint="cs"/>
          <w:rtl/>
        </w:rPr>
        <w:t>ً</w:t>
      </w:r>
      <w:r w:rsidRPr="00282AC9">
        <w:rPr>
          <w:rtl/>
        </w:rPr>
        <w:t xml:space="preserve"> عليه</w:t>
      </w:r>
      <w:r w:rsidR="00C91243" w:rsidRPr="00282AC9">
        <w:rPr>
          <w:rFonts w:hint="cs"/>
          <w:rtl/>
        </w:rPr>
        <w:t xml:space="preserve"> ـ</w:t>
      </w:r>
      <w:r w:rsidRPr="00282AC9">
        <w:rPr>
          <w:rtl/>
        </w:rPr>
        <w:t xml:space="preserve"> ف</w:t>
      </w:r>
      <w:r w:rsidR="00C91243" w:rsidRPr="00282AC9">
        <w:rPr>
          <w:rFonts w:hint="cs"/>
          <w:rtl/>
        </w:rPr>
        <w:t>إ</w:t>
      </w:r>
      <w:r w:rsidRPr="00282AC9">
        <w:rPr>
          <w:rtl/>
        </w:rPr>
        <w:t>ن الأرباح والمكاسب التجاري</w:t>
      </w:r>
      <w:r w:rsidR="00C91243" w:rsidRPr="00282AC9">
        <w:rPr>
          <w:rFonts w:hint="cs"/>
          <w:rtl/>
        </w:rPr>
        <w:t>ّ</w:t>
      </w:r>
      <w:r w:rsidRPr="00282AC9">
        <w:rPr>
          <w:rtl/>
        </w:rPr>
        <w:t>ة هي الأخرى لا تكون محتسبة</w:t>
      </w:r>
      <w:r w:rsidR="00C91243" w:rsidRPr="00282AC9">
        <w:rPr>
          <w:rFonts w:hint="cs"/>
          <w:rtl/>
        </w:rPr>
        <w:t>ً؛</w:t>
      </w:r>
      <w:r w:rsidRPr="00282AC9">
        <w:rPr>
          <w:rtl/>
        </w:rPr>
        <w:t xml:space="preserve"> لأن التاجر كثيرا</w:t>
      </w:r>
      <w:r w:rsidR="00C91243" w:rsidRPr="00282AC9">
        <w:rPr>
          <w:rFonts w:hint="cs"/>
          <w:rtl/>
        </w:rPr>
        <w:t>ً</w:t>
      </w:r>
      <w:r w:rsidRPr="00282AC9">
        <w:rPr>
          <w:rtl/>
        </w:rPr>
        <w:t xml:space="preserve"> ما يدخل في مخاطرات ويحتمل الربح أو الخسارة بنسب</w:t>
      </w:r>
      <w:r w:rsidR="00C91243" w:rsidRPr="00282AC9">
        <w:rPr>
          <w:rFonts w:hint="cs"/>
          <w:rtl/>
        </w:rPr>
        <w:t>ٍ</w:t>
      </w:r>
      <w:r w:rsidRPr="00282AC9">
        <w:rPr>
          <w:rtl/>
        </w:rPr>
        <w:t xml:space="preserve"> متفاوتة. ثم</w:t>
      </w:r>
      <w:r w:rsidR="00C91243" w:rsidRPr="00282AC9">
        <w:rPr>
          <w:rFonts w:hint="cs"/>
          <w:rtl/>
        </w:rPr>
        <w:t>ّ</w:t>
      </w:r>
      <w:r w:rsidRPr="00282AC9">
        <w:rPr>
          <w:rtl/>
        </w:rPr>
        <w:t xml:space="preserve"> </w:t>
      </w:r>
      <w:r w:rsidR="00C91243" w:rsidRPr="00282AC9">
        <w:rPr>
          <w:rFonts w:hint="cs"/>
          <w:rtl/>
        </w:rPr>
        <w:t>إ</w:t>
      </w:r>
      <w:r w:rsidRPr="00282AC9">
        <w:rPr>
          <w:rtl/>
        </w:rPr>
        <w:t>ن هناك من الأعمال التجارية ما قد يجزم أصحابها س</w:t>
      </w:r>
      <w:r w:rsidR="00C91243" w:rsidRPr="00282AC9">
        <w:rPr>
          <w:rFonts w:hint="cs"/>
          <w:rtl/>
        </w:rPr>
        <w:t>َ</w:t>
      </w:r>
      <w:r w:rsidRPr="00282AC9">
        <w:rPr>
          <w:rtl/>
        </w:rPr>
        <w:t>ل</w:t>
      </w:r>
      <w:r w:rsidR="00C91243" w:rsidRPr="00282AC9">
        <w:rPr>
          <w:rFonts w:hint="cs"/>
          <w:rtl/>
        </w:rPr>
        <w:t>َ</w:t>
      </w:r>
      <w:r w:rsidRPr="00282AC9">
        <w:rPr>
          <w:rtl/>
        </w:rPr>
        <w:t>فا</w:t>
      </w:r>
      <w:r w:rsidR="00C91243" w:rsidRPr="00282AC9">
        <w:rPr>
          <w:rFonts w:hint="cs"/>
          <w:rtl/>
        </w:rPr>
        <w:t>ً</w:t>
      </w:r>
      <w:r w:rsidRPr="00282AC9">
        <w:rPr>
          <w:rtl/>
        </w:rPr>
        <w:t xml:space="preserve"> بتحق</w:t>
      </w:r>
      <w:r w:rsidR="00C91243" w:rsidRPr="00282AC9">
        <w:rPr>
          <w:rFonts w:hint="cs"/>
          <w:rtl/>
        </w:rPr>
        <w:t>ُّ</w:t>
      </w:r>
      <w:r w:rsidRPr="00282AC9">
        <w:rPr>
          <w:rtl/>
        </w:rPr>
        <w:t>ق أرباح</w:t>
      </w:r>
      <w:r w:rsidR="00C91243" w:rsidRPr="00282AC9">
        <w:rPr>
          <w:rFonts w:hint="cs"/>
          <w:rtl/>
        </w:rPr>
        <w:t>ٍ</w:t>
      </w:r>
      <w:r w:rsidRPr="00282AC9">
        <w:rPr>
          <w:rtl/>
        </w:rPr>
        <w:t xml:space="preserve"> منها، فهل تخرج من موارد الخمس؟</w:t>
      </w:r>
      <w:r w:rsidR="00C91243" w:rsidRPr="00282AC9">
        <w:rPr>
          <w:rFonts w:hint="cs"/>
          <w:rtl/>
        </w:rPr>
        <w:t>!</w:t>
      </w:r>
    </w:p>
    <w:p w:rsidR="00C91243" w:rsidRPr="00282AC9" w:rsidRDefault="00946A76" w:rsidP="00186251">
      <w:pPr>
        <w:rPr>
          <w:rtl/>
        </w:rPr>
      </w:pPr>
      <w:r w:rsidRPr="00282AC9">
        <w:rPr>
          <w:rtl/>
        </w:rPr>
        <w:t>كما أن عمليات استخراج المعادن من باطن الأرض</w:t>
      </w:r>
      <w:r w:rsidR="00C91243" w:rsidRPr="00282AC9">
        <w:rPr>
          <w:rFonts w:hint="cs"/>
          <w:rtl/>
        </w:rPr>
        <w:t>،</w:t>
      </w:r>
      <w:r w:rsidRPr="00282AC9">
        <w:rPr>
          <w:rtl/>
        </w:rPr>
        <w:t xml:space="preserve"> وصيد اللؤلؤ من البحار</w:t>
      </w:r>
      <w:r w:rsidR="00C91243" w:rsidRPr="00282AC9">
        <w:rPr>
          <w:rFonts w:hint="cs"/>
          <w:rtl/>
        </w:rPr>
        <w:t>،</w:t>
      </w:r>
      <w:r w:rsidRPr="00282AC9">
        <w:rPr>
          <w:rtl/>
        </w:rPr>
        <w:t xml:space="preserve"> لم تع</w:t>
      </w:r>
      <w:r w:rsidR="00C91243" w:rsidRPr="00282AC9">
        <w:rPr>
          <w:rFonts w:hint="cs"/>
          <w:rtl/>
        </w:rPr>
        <w:t>ُ</w:t>
      </w:r>
      <w:r w:rsidRPr="00282AC9">
        <w:rPr>
          <w:rtl/>
        </w:rPr>
        <w:t>د</w:t>
      </w:r>
      <w:r w:rsidR="00C91243" w:rsidRPr="00282AC9">
        <w:rPr>
          <w:rFonts w:hint="cs"/>
          <w:rtl/>
        </w:rPr>
        <w:t>ْ</w:t>
      </w:r>
      <w:r w:rsidRPr="00282AC9">
        <w:rPr>
          <w:rtl/>
        </w:rPr>
        <w:t xml:space="preserve"> متوق</w:t>
      </w:r>
      <w:r w:rsidR="00C91243" w:rsidRPr="00282AC9">
        <w:rPr>
          <w:rFonts w:hint="cs"/>
          <w:rtl/>
        </w:rPr>
        <w:t>ِّ</w:t>
      </w:r>
      <w:r w:rsidRPr="00282AC9">
        <w:rPr>
          <w:rtl/>
        </w:rPr>
        <w:t>فة</w:t>
      </w:r>
      <w:r w:rsidR="00C91243" w:rsidRPr="00282AC9">
        <w:rPr>
          <w:rFonts w:hint="cs"/>
          <w:rtl/>
        </w:rPr>
        <w:t>ً</w:t>
      </w:r>
      <w:r w:rsidRPr="00282AC9">
        <w:rPr>
          <w:rFonts w:hint="cs"/>
          <w:rtl/>
        </w:rPr>
        <w:t xml:space="preserve"> </w:t>
      </w:r>
      <w:r w:rsidRPr="00282AC9">
        <w:rPr>
          <w:rtl/>
        </w:rPr>
        <w:t>على الأساليب التقليدي</w:t>
      </w:r>
      <w:r w:rsidR="00C91243" w:rsidRPr="00282AC9">
        <w:rPr>
          <w:rFonts w:hint="cs"/>
          <w:rtl/>
        </w:rPr>
        <w:t>ّ</w:t>
      </w:r>
      <w:r w:rsidRPr="00282AC9">
        <w:rPr>
          <w:rtl/>
        </w:rPr>
        <w:t>ة</w:t>
      </w:r>
      <w:r w:rsidR="00C91243" w:rsidRPr="00282AC9">
        <w:rPr>
          <w:rFonts w:hint="cs"/>
          <w:rtl/>
        </w:rPr>
        <w:t>،</w:t>
      </w:r>
      <w:r w:rsidRPr="00282AC9">
        <w:rPr>
          <w:rtl/>
        </w:rPr>
        <w:t xml:space="preserve"> بحيث يطبق عليها مفهوم عدم الترق</w:t>
      </w:r>
      <w:r w:rsidR="00C91243" w:rsidRPr="00282AC9">
        <w:rPr>
          <w:rFonts w:hint="cs"/>
          <w:rtl/>
        </w:rPr>
        <w:t>ُّ</w:t>
      </w:r>
      <w:r w:rsidR="00C91243" w:rsidRPr="00282AC9">
        <w:rPr>
          <w:rtl/>
        </w:rPr>
        <w:t>ب.</w:t>
      </w:r>
    </w:p>
    <w:p w:rsidR="00946A76" w:rsidRPr="00282AC9" w:rsidRDefault="00946A76" w:rsidP="00186251">
      <w:pPr>
        <w:rPr>
          <w:rtl/>
        </w:rPr>
      </w:pPr>
      <w:r w:rsidRPr="00282AC9">
        <w:rPr>
          <w:rtl/>
        </w:rPr>
        <w:t>وكذلك الحال بالنسبة لمفهوم المج</w:t>
      </w:r>
      <w:r w:rsidR="00C91243" w:rsidRPr="00282AC9">
        <w:rPr>
          <w:rFonts w:hint="cs"/>
          <w:rtl/>
        </w:rPr>
        <w:t>ّ</w:t>
      </w:r>
      <w:r w:rsidRPr="00282AC9">
        <w:rPr>
          <w:rtl/>
        </w:rPr>
        <w:t>انية وعدم وجود مقابل</w:t>
      </w:r>
      <w:r w:rsidR="00C91243" w:rsidRPr="00282AC9">
        <w:rPr>
          <w:rFonts w:hint="cs"/>
          <w:rtl/>
        </w:rPr>
        <w:t>ٍ</w:t>
      </w:r>
      <w:r w:rsidRPr="00282AC9">
        <w:rPr>
          <w:rtl/>
        </w:rPr>
        <w:t>، ف</w:t>
      </w:r>
      <w:r w:rsidR="00C91243" w:rsidRPr="00282AC9">
        <w:rPr>
          <w:rFonts w:hint="cs"/>
          <w:rtl/>
        </w:rPr>
        <w:t>إ</w:t>
      </w:r>
      <w:r w:rsidRPr="00282AC9">
        <w:rPr>
          <w:rtl/>
        </w:rPr>
        <w:t>نه ليس المعنى المتبادر من ق</w:t>
      </w:r>
      <w:r w:rsidR="00C91243" w:rsidRPr="00282AC9">
        <w:rPr>
          <w:rFonts w:hint="cs"/>
          <w:rtl/>
        </w:rPr>
        <w:t>َ</w:t>
      </w:r>
      <w:r w:rsidRPr="00282AC9">
        <w:rPr>
          <w:rtl/>
        </w:rPr>
        <w:t xml:space="preserve">يد </w:t>
      </w:r>
      <w:r w:rsidRPr="00282AC9">
        <w:rPr>
          <w:rFonts w:hint="eastAsia"/>
          <w:sz w:val="24"/>
          <w:szCs w:val="24"/>
          <w:rtl/>
        </w:rPr>
        <w:t>«</w:t>
      </w:r>
      <w:r w:rsidRPr="00282AC9">
        <w:rPr>
          <w:rtl/>
        </w:rPr>
        <w:t>بدون مشق</w:t>
      </w:r>
      <w:r w:rsidR="00C91243" w:rsidRPr="00282AC9">
        <w:rPr>
          <w:rFonts w:hint="cs"/>
          <w:rtl/>
        </w:rPr>
        <w:t>ّ</w:t>
      </w:r>
      <w:r w:rsidRPr="00282AC9">
        <w:rPr>
          <w:rtl/>
        </w:rPr>
        <w:t>ة</w:t>
      </w:r>
      <w:r w:rsidR="00C91243" w:rsidRPr="00282AC9">
        <w:rPr>
          <w:rFonts w:hint="cs"/>
          <w:rtl/>
        </w:rPr>
        <w:t>ٍ</w:t>
      </w:r>
      <w:r w:rsidRPr="00282AC9">
        <w:rPr>
          <w:rFonts w:hint="eastAsia"/>
          <w:sz w:val="24"/>
          <w:szCs w:val="24"/>
          <w:rtl/>
        </w:rPr>
        <w:t>»</w:t>
      </w:r>
      <w:r w:rsidR="00C91243" w:rsidRPr="00282AC9">
        <w:rPr>
          <w:rFonts w:hint="cs"/>
          <w:rtl/>
        </w:rPr>
        <w:t>،</w:t>
      </w:r>
      <w:r w:rsidRPr="00282AC9">
        <w:rPr>
          <w:rtl/>
        </w:rPr>
        <w:t xml:space="preserve"> بل قد ي</w:t>
      </w:r>
      <w:r w:rsidR="00C91243" w:rsidRPr="00282AC9">
        <w:rPr>
          <w:rFonts w:hint="cs"/>
          <w:rtl/>
        </w:rPr>
        <w:t>ُ</w:t>
      </w:r>
      <w:r w:rsidRPr="00282AC9">
        <w:rPr>
          <w:rtl/>
        </w:rPr>
        <w:t>ست</w:t>
      </w:r>
      <w:r w:rsidR="00C91243" w:rsidRPr="00282AC9">
        <w:rPr>
          <w:rFonts w:hint="cs"/>
          <w:rtl/>
        </w:rPr>
        <w:t>َ</w:t>
      </w:r>
      <w:r w:rsidRPr="00282AC9">
        <w:rPr>
          <w:rtl/>
        </w:rPr>
        <w:t>ف</w:t>
      </w:r>
      <w:r w:rsidR="00C91243" w:rsidRPr="00282AC9">
        <w:rPr>
          <w:rFonts w:hint="cs"/>
          <w:rtl/>
        </w:rPr>
        <w:t>َ</w:t>
      </w:r>
      <w:r w:rsidRPr="00282AC9">
        <w:rPr>
          <w:rtl/>
        </w:rPr>
        <w:t>اد ذلك بضرب</w:t>
      </w:r>
      <w:r w:rsidR="00C91243" w:rsidRPr="00282AC9">
        <w:rPr>
          <w:rFonts w:hint="cs"/>
          <w:rtl/>
        </w:rPr>
        <w:t>ٍ</w:t>
      </w:r>
      <w:r w:rsidRPr="00282AC9">
        <w:rPr>
          <w:rtl/>
        </w:rPr>
        <w:t xml:space="preserve"> من العناية الإضافية. </w:t>
      </w:r>
    </w:p>
    <w:p w:rsidR="00C91243" w:rsidRPr="00282AC9" w:rsidRDefault="00946A76" w:rsidP="00186251">
      <w:pPr>
        <w:rPr>
          <w:rtl/>
        </w:rPr>
      </w:pPr>
      <w:r w:rsidRPr="00282AC9">
        <w:rPr>
          <w:rtl/>
        </w:rPr>
        <w:t>ويبدو أن بعض الدارسين استنتجوا هذه الأمور من بعض المواقف الروائي</w:t>
      </w:r>
      <w:r w:rsidR="00C91243" w:rsidRPr="00282AC9">
        <w:rPr>
          <w:rFonts w:hint="cs"/>
          <w:rtl/>
        </w:rPr>
        <w:t>ّ</w:t>
      </w:r>
      <w:r w:rsidRPr="00282AC9">
        <w:rPr>
          <w:rtl/>
        </w:rPr>
        <w:t>ة والفقهية</w:t>
      </w:r>
      <w:r w:rsidR="00C91243" w:rsidRPr="00282AC9">
        <w:rPr>
          <w:rFonts w:hint="cs"/>
          <w:rtl/>
        </w:rPr>
        <w:t>،</w:t>
      </w:r>
      <w:r w:rsidRPr="00282AC9">
        <w:rPr>
          <w:rtl/>
        </w:rPr>
        <w:t xml:space="preserve"> التي أدرج</w:t>
      </w:r>
      <w:r w:rsidR="00FA070B" w:rsidRPr="00282AC9">
        <w:rPr>
          <w:rFonts w:hint="cs"/>
          <w:rtl/>
        </w:rPr>
        <w:t>َ</w:t>
      </w:r>
      <w:r w:rsidRPr="00282AC9">
        <w:rPr>
          <w:rtl/>
        </w:rPr>
        <w:t>ت</w:t>
      </w:r>
      <w:r w:rsidR="00FA070B" w:rsidRPr="00282AC9">
        <w:rPr>
          <w:rFonts w:hint="cs"/>
          <w:rtl/>
        </w:rPr>
        <w:t>ْ</w:t>
      </w:r>
      <w:r w:rsidRPr="00282AC9">
        <w:rPr>
          <w:rtl/>
        </w:rPr>
        <w:t xml:space="preserve"> الكنز والركاز والمعدن وما ينال بالغ</w:t>
      </w:r>
      <w:r w:rsidR="00C91243" w:rsidRPr="00282AC9">
        <w:rPr>
          <w:rFonts w:hint="cs"/>
          <w:rtl/>
        </w:rPr>
        <w:t>َ</w:t>
      </w:r>
      <w:r w:rsidRPr="00282AC9">
        <w:rPr>
          <w:rtl/>
        </w:rPr>
        <w:t>و</w:t>
      </w:r>
      <w:r w:rsidR="00C91243" w:rsidRPr="00282AC9">
        <w:rPr>
          <w:rFonts w:hint="cs"/>
          <w:rtl/>
        </w:rPr>
        <w:t>ْ</w:t>
      </w:r>
      <w:r w:rsidRPr="00282AC9">
        <w:rPr>
          <w:rtl/>
        </w:rPr>
        <w:t>ص ضمن مفهوم الغنيمة</w:t>
      </w:r>
      <w:r w:rsidR="00C91243" w:rsidRPr="00282AC9">
        <w:rPr>
          <w:rFonts w:hint="cs"/>
          <w:rtl/>
        </w:rPr>
        <w:t>،</w:t>
      </w:r>
      <w:r w:rsidRPr="00282AC9">
        <w:rPr>
          <w:rtl/>
        </w:rPr>
        <w:t xml:space="preserve"> وقر</w:t>
      </w:r>
      <w:r w:rsidR="00C91243" w:rsidRPr="00282AC9">
        <w:rPr>
          <w:rFonts w:hint="cs"/>
          <w:rtl/>
        </w:rPr>
        <w:t>َّ</w:t>
      </w:r>
      <w:r w:rsidRPr="00282AC9">
        <w:rPr>
          <w:rtl/>
        </w:rPr>
        <w:t>ر</w:t>
      </w:r>
      <w:r w:rsidR="00C91243" w:rsidRPr="00282AC9">
        <w:rPr>
          <w:rFonts w:hint="cs"/>
          <w:rtl/>
        </w:rPr>
        <w:t>َ</w:t>
      </w:r>
      <w:r w:rsidRPr="00282AC9">
        <w:rPr>
          <w:rtl/>
        </w:rPr>
        <w:t>ت</w:t>
      </w:r>
      <w:r w:rsidR="00C91243" w:rsidRPr="00282AC9">
        <w:rPr>
          <w:rFonts w:hint="cs"/>
          <w:rtl/>
        </w:rPr>
        <w:t>ْ</w:t>
      </w:r>
      <w:r w:rsidRPr="00282AC9">
        <w:rPr>
          <w:rtl/>
        </w:rPr>
        <w:t xml:space="preserve"> عليها الخمس. وهي مم</w:t>
      </w:r>
      <w:r w:rsidR="00C91243" w:rsidRPr="00282AC9">
        <w:rPr>
          <w:rFonts w:hint="cs"/>
          <w:rtl/>
        </w:rPr>
        <w:t>ّ</w:t>
      </w:r>
      <w:r w:rsidRPr="00282AC9">
        <w:rPr>
          <w:rtl/>
        </w:rPr>
        <w:t>ا ي</w:t>
      </w:r>
      <w:r w:rsidR="00C91243" w:rsidRPr="00282AC9">
        <w:rPr>
          <w:rFonts w:hint="cs"/>
          <w:rtl/>
        </w:rPr>
        <w:t>ُ</w:t>
      </w:r>
      <w:r w:rsidRPr="00282AC9">
        <w:rPr>
          <w:rtl/>
        </w:rPr>
        <w:t>ظ</w:t>
      </w:r>
      <w:r w:rsidR="00C91243" w:rsidRPr="00282AC9">
        <w:rPr>
          <w:rFonts w:hint="cs"/>
          <w:rtl/>
        </w:rPr>
        <w:t>ْ</w:t>
      </w:r>
      <w:r w:rsidRPr="00282AC9">
        <w:rPr>
          <w:rtl/>
        </w:rPr>
        <w:t>ف</w:t>
      </w:r>
      <w:r w:rsidR="00C91243" w:rsidRPr="00282AC9">
        <w:rPr>
          <w:rFonts w:hint="cs"/>
          <w:rtl/>
        </w:rPr>
        <w:t>َ</w:t>
      </w:r>
      <w:r w:rsidRPr="00282AC9">
        <w:rPr>
          <w:rtl/>
        </w:rPr>
        <w:t>ر به ات</w:t>
      </w:r>
      <w:r w:rsidR="00C91243" w:rsidRPr="00282AC9">
        <w:rPr>
          <w:rFonts w:hint="cs"/>
          <w:rtl/>
        </w:rPr>
        <w:t>ّ</w:t>
      </w:r>
      <w:r w:rsidRPr="00282AC9">
        <w:rPr>
          <w:rtl/>
        </w:rPr>
        <w:t>فاقا</w:t>
      </w:r>
      <w:r w:rsidR="00C91243" w:rsidRPr="00282AC9">
        <w:rPr>
          <w:rFonts w:hint="cs"/>
          <w:rtl/>
        </w:rPr>
        <w:t>ً،</w:t>
      </w:r>
      <w:r w:rsidRPr="00282AC9">
        <w:rPr>
          <w:rtl/>
        </w:rPr>
        <w:t xml:space="preserve"> وبدون توق</w:t>
      </w:r>
      <w:r w:rsidR="00C91243" w:rsidRPr="00282AC9">
        <w:rPr>
          <w:rFonts w:hint="cs"/>
          <w:rtl/>
        </w:rPr>
        <w:t>ُّ</w:t>
      </w:r>
      <w:r w:rsidRPr="00282AC9">
        <w:rPr>
          <w:rtl/>
        </w:rPr>
        <w:t>ع</w:t>
      </w:r>
      <w:r w:rsidR="00C91243" w:rsidRPr="00282AC9">
        <w:rPr>
          <w:rFonts w:hint="cs"/>
          <w:rtl/>
        </w:rPr>
        <w:t>ٍ</w:t>
      </w:r>
      <w:r w:rsidR="00C91243" w:rsidRPr="00282AC9">
        <w:rPr>
          <w:rtl/>
        </w:rPr>
        <w:t xml:space="preserve"> سابق.</w:t>
      </w:r>
    </w:p>
    <w:p w:rsidR="00FA070B" w:rsidRPr="00282AC9" w:rsidRDefault="00946A76" w:rsidP="00186251">
      <w:pPr>
        <w:rPr>
          <w:rtl/>
        </w:rPr>
      </w:pPr>
      <w:r w:rsidRPr="00282AC9">
        <w:rPr>
          <w:rtl/>
        </w:rPr>
        <w:t>وح</w:t>
      </w:r>
      <w:r w:rsidR="00C91243" w:rsidRPr="00282AC9">
        <w:rPr>
          <w:rFonts w:hint="cs"/>
          <w:rtl/>
        </w:rPr>
        <w:t>َ</w:t>
      </w:r>
      <w:r w:rsidRPr="00282AC9">
        <w:rPr>
          <w:rtl/>
        </w:rPr>
        <w:t>س</w:t>
      </w:r>
      <w:r w:rsidR="00C91243" w:rsidRPr="00282AC9">
        <w:rPr>
          <w:rFonts w:hint="cs"/>
          <w:rtl/>
        </w:rPr>
        <w:t>ْ</w:t>
      </w:r>
      <w:r w:rsidRPr="00282AC9">
        <w:rPr>
          <w:rtl/>
        </w:rPr>
        <w:t>ب بعض الآراء الفقهية</w:t>
      </w:r>
      <w:r w:rsidR="00C91243" w:rsidRPr="00282AC9">
        <w:rPr>
          <w:rFonts w:hint="cs"/>
          <w:rtl/>
        </w:rPr>
        <w:t>:</w:t>
      </w:r>
      <w:r w:rsidRPr="00282AC9">
        <w:rPr>
          <w:rtl/>
        </w:rPr>
        <w:t xml:space="preserve"> لا يجب دفع الخمس على بعض الفوائد المتوق</w:t>
      </w:r>
      <w:r w:rsidR="00FA070B" w:rsidRPr="00282AC9">
        <w:rPr>
          <w:rFonts w:hint="cs"/>
          <w:rtl/>
        </w:rPr>
        <w:t>َّ</w:t>
      </w:r>
      <w:r w:rsidRPr="00282AC9">
        <w:rPr>
          <w:rtl/>
        </w:rPr>
        <w:t>عة</w:t>
      </w:r>
      <w:r w:rsidR="00FA070B" w:rsidRPr="00282AC9">
        <w:rPr>
          <w:rFonts w:hint="cs"/>
          <w:rtl/>
        </w:rPr>
        <w:t>،</w:t>
      </w:r>
      <w:r w:rsidRPr="00282AC9">
        <w:rPr>
          <w:rtl/>
        </w:rPr>
        <w:t xml:space="preserve"> </w:t>
      </w:r>
      <w:r w:rsidRPr="00282AC9">
        <w:rPr>
          <w:rtl/>
        </w:rPr>
        <w:lastRenderedPageBreak/>
        <w:t>كالمواريث المترق</w:t>
      </w:r>
      <w:r w:rsidR="00FA070B" w:rsidRPr="00282AC9">
        <w:rPr>
          <w:rFonts w:hint="cs"/>
          <w:rtl/>
        </w:rPr>
        <w:t>َّ</w:t>
      </w:r>
      <w:r w:rsidRPr="00282AC9">
        <w:rPr>
          <w:rtl/>
        </w:rPr>
        <w:t>بة</w:t>
      </w:r>
      <w:r w:rsidR="00FA070B" w:rsidRPr="00282AC9">
        <w:rPr>
          <w:rFonts w:hint="cs"/>
          <w:rtl/>
        </w:rPr>
        <w:t>؛</w:t>
      </w:r>
      <w:r w:rsidRPr="00282AC9">
        <w:rPr>
          <w:rtl/>
        </w:rPr>
        <w:t xml:space="preserve"> بينما يجب </w:t>
      </w:r>
      <w:r w:rsidR="00FA070B" w:rsidRPr="00282AC9">
        <w:rPr>
          <w:rFonts w:hint="cs"/>
          <w:rtl/>
        </w:rPr>
        <w:t>إ</w:t>
      </w:r>
      <w:r w:rsidRPr="00282AC9">
        <w:rPr>
          <w:rtl/>
        </w:rPr>
        <w:t>خراج الخمس من المواريث غير المحت</w:t>
      </w:r>
      <w:r w:rsidR="00FA070B" w:rsidRPr="00282AC9">
        <w:rPr>
          <w:rFonts w:hint="cs"/>
          <w:rtl/>
        </w:rPr>
        <w:t>َ</w:t>
      </w:r>
      <w:r w:rsidRPr="00282AC9">
        <w:rPr>
          <w:rtl/>
        </w:rPr>
        <w:t>س</w:t>
      </w:r>
      <w:r w:rsidR="00FA070B" w:rsidRPr="00282AC9">
        <w:rPr>
          <w:rFonts w:hint="cs"/>
          <w:rtl/>
        </w:rPr>
        <w:t>َ</w:t>
      </w:r>
      <w:r w:rsidRPr="00282AC9">
        <w:rPr>
          <w:rtl/>
        </w:rPr>
        <w:t>بة أو غير المتوق</w:t>
      </w:r>
      <w:r w:rsidR="00FA070B" w:rsidRPr="00282AC9">
        <w:rPr>
          <w:rFonts w:hint="cs"/>
          <w:rtl/>
        </w:rPr>
        <w:t>َّ</w:t>
      </w:r>
      <w:r w:rsidR="00FA070B" w:rsidRPr="00282AC9">
        <w:rPr>
          <w:rtl/>
        </w:rPr>
        <w:t>عة.</w:t>
      </w:r>
    </w:p>
    <w:p w:rsidR="00946A76" w:rsidRPr="00282AC9" w:rsidRDefault="00946A76" w:rsidP="00186251">
      <w:pPr>
        <w:rPr>
          <w:rtl/>
        </w:rPr>
      </w:pPr>
      <w:r w:rsidRPr="00282AC9">
        <w:rPr>
          <w:rtl/>
        </w:rPr>
        <w:t>وبناء</w:t>
      </w:r>
      <w:r w:rsidR="00FA070B" w:rsidRPr="00282AC9">
        <w:rPr>
          <w:rFonts w:hint="cs"/>
          <w:rtl/>
        </w:rPr>
        <w:t>ً</w:t>
      </w:r>
      <w:r w:rsidRPr="00282AC9">
        <w:rPr>
          <w:rtl/>
        </w:rPr>
        <w:t xml:space="preserve"> على هذه الآراء تم</w:t>
      </w:r>
      <w:r w:rsidR="00FA070B" w:rsidRPr="00282AC9">
        <w:rPr>
          <w:rFonts w:hint="cs"/>
          <w:rtl/>
        </w:rPr>
        <w:t>ّ</w:t>
      </w:r>
      <w:r w:rsidRPr="00282AC9">
        <w:rPr>
          <w:rtl/>
        </w:rPr>
        <w:t xml:space="preserve"> تفسير قول اللغوي</w:t>
      </w:r>
      <w:r w:rsidR="00FA070B" w:rsidRPr="00282AC9">
        <w:rPr>
          <w:rFonts w:hint="cs"/>
          <w:rtl/>
        </w:rPr>
        <w:t>ّ</w:t>
      </w:r>
      <w:r w:rsidRPr="00282AC9">
        <w:rPr>
          <w:rtl/>
        </w:rPr>
        <w:t xml:space="preserve"> الفوز بالشي</w:t>
      </w:r>
      <w:r w:rsidR="00FA070B" w:rsidRPr="00282AC9">
        <w:rPr>
          <w:rFonts w:hint="cs"/>
          <w:rtl/>
        </w:rPr>
        <w:t>ء</w:t>
      </w:r>
      <w:r w:rsidRPr="00282AC9">
        <w:rPr>
          <w:rtl/>
        </w:rPr>
        <w:t xml:space="preserve"> بلا مشق</w:t>
      </w:r>
      <w:r w:rsidR="00FA070B" w:rsidRPr="00282AC9">
        <w:rPr>
          <w:rFonts w:hint="cs"/>
          <w:rtl/>
        </w:rPr>
        <w:t>ّ</w:t>
      </w:r>
      <w:r w:rsidRPr="00282AC9">
        <w:rPr>
          <w:rtl/>
        </w:rPr>
        <w:t>ة</w:t>
      </w:r>
      <w:r w:rsidR="00FA070B" w:rsidRPr="00282AC9">
        <w:rPr>
          <w:rFonts w:hint="cs"/>
          <w:rtl/>
        </w:rPr>
        <w:t>ٍ</w:t>
      </w:r>
      <w:r w:rsidRPr="00282AC9">
        <w:rPr>
          <w:rtl/>
        </w:rPr>
        <w:t>. ولو لم ت</w:t>
      </w:r>
      <w:r w:rsidR="00FA070B" w:rsidRPr="00282AC9">
        <w:rPr>
          <w:rFonts w:hint="cs"/>
          <w:rtl/>
        </w:rPr>
        <w:t>ُ</w:t>
      </w:r>
      <w:r w:rsidRPr="00282AC9">
        <w:rPr>
          <w:rtl/>
        </w:rPr>
        <w:t>ؤخ</w:t>
      </w:r>
      <w:r w:rsidR="00FA070B" w:rsidRPr="00282AC9">
        <w:rPr>
          <w:rFonts w:hint="cs"/>
          <w:rtl/>
        </w:rPr>
        <w:t>َ</w:t>
      </w:r>
      <w:r w:rsidRPr="00282AC9">
        <w:rPr>
          <w:rtl/>
        </w:rPr>
        <w:t>ذ الروايات الحديثية والآراء الفقهية بعين الاعتبار في التحليلات السابقة لاعتبر الميراث بأنواعه</w:t>
      </w:r>
      <w:r w:rsidR="00FA070B" w:rsidRPr="00282AC9">
        <w:rPr>
          <w:rFonts w:hint="cs"/>
          <w:rtl/>
        </w:rPr>
        <w:t>،</w:t>
      </w:r>
      <w:r w:rsidRPr="00282AC9">
        <w:rPr>
          <w:rtl/>
        </w:rPr>
        <w:t xml:space="preserve"> والهبات بأشكالها</w:t>
      </w:r>
      <w:r w:rsidR="00FA070B" w:rsidRPr="00282AC9">
        <w:rPr>
          <w:rFonts w:hint="cs"/>
          <w:rtl/>
        </w:rPr>
        <w:t>،</w:t>
      </w:r>
      <w:r w:rsidRPr="00282AC9">
        <w:rPr>
          <w:rtl/>
        </w:rPr>
        <w:t xml:space="preserve"> وبعض أشكال المركوزات، من الأمور التي يفوز بها بلا مشق</w:t>
      </w:r>
      <w:r w:rsidR="00FA070B" w:rsidRPr="00282AC9">
        <w:rPr>
          <w:rFonts w:hint="cs"/>
          <w:rtl/>
        </w:rPr>
        <w:t>ّ</w:t>
      </w:r>
      <w:r w:rsidRPr="00282AC9">
        <w:rPr>
          <w:rtl/>
        </w:rPr>
        <w:t>ة</w:t>
      </w:r>
      <w:r w:rsidR="00FA070B" w:rsidRPr="00282AC9">
        <w:rPr>
          <w:rFonts w:hint="cs"/>
          <w:rtl/>
        </w:rPr>
        <w:t>ٍ</w:t>
      </w:r>
      <w:r w:rsidRPr="00282AC9">
        <w:rPr>
          <w:rtl/>
        </w:rPr>
        <w:t xml:space="preserve"> ولا عناء</w:t>
      </w:r>
      <w:r w:rsidR="00FA070B" w:rsidRPr="00282AC9">
        <w:rPr>
          <w:rFonts w:hint="cs"/>
          <w:rtl/>
        </w:rPr>
        <w:t>ٍ</w:t>
      </w:r>
      <w:r w:rsidRPr="00282AC9">
        <w:rPr>
          <w:rtl/>
        </w:rPr>
        <w:t xml:space="preserve">. </w:t>
      </w:r>
    </w:p>
    <w:p w:rsidR="00946A76" w:rsidRPr="00282AC9" w:rsidRDefault="00946A76" w:rsidP="00186251">
      <w:pPr>
        <w:rPr>
          <w:rtl/>
        </w:rPr>
      </w:pPr>
      <w:r w:rsidRPr="00282AC9">
        <w:rPr>
          <w:rtl/>
        </w:rPr>
        <w:t>وي</w:t>
      </w:r>
      <w:r w:rsidR="00FA070B" w:rsidRPr="00282AC9">
        <w:rPr>
          <w:rFonts w:hint="cs"/>
          <w:rtl/>
        </w:rPr>
        <w:t>ُ</w:t>
      </w:r>
      <w:r w:rsidRPr="00282AC9">
        <w:rPr>
          <w:rtl/>
        </w:rPr>
        <w:t>لاح</w:t>
      </w:r>
      <w:r w:rsidR="00FA070B" w:rsidRPr="00282AC9">
        <w:rPr>
          <w:rFonts w:hint="cs"/>
          <w:rtl/>
        </w:rPr>
        <w:t>َ</w:t>
      </w:r>
      <w:r w:rsidRPr="00282AC9">
        <w:rPr>
          <w:rtl/>
        </w:rPr>
        <w:t>ظ أن بعض تحليلات المنتظري حول أغراض المستثمرين والتج</w:t>
      </w:r>
      <w:r w:rsidR="00FA070B" w:rsidRPr="00282AC9">
        <w:rPr>
          <w:rFonts w:hint="cs"/>
          <w:rtl/>
        </w:rPr>
        <w:t>ّ</w:t>
      </w:r>
      <w:r w:rsidRPr="00282AC9">
        <w:rPr>
          <w:rtl/>
        </w:rPr>
        <w:t>ار عن المكاسب والفوائد التجارية لا تصدق على الأنشطة التجارية في مختلف الأزمنة والأمكنة</w:t>
      </w:r>
      <w:r w:rsidR="00FA070B" w:rsidRPr="00282AC9">
        <w:rPr>
          <w:rFonts w:hint="cs"/>
          <w:rtl/>
        </w:rPr>
        <w:t>؛</w:t>
      </w:r>
      <w:r w:rsidRPr="00282AC9">
        <w:rPr>
          <w:rtl/>
        </w:rPr>
        <w:t xml:space="preserve"> إذ يظهر أنه رك</w:t>
      </w:r>
      <w:r w:rsidR="00FA070B" w:rsidRPr="00282AC9">
        <w:rPr>
          <w:rFonts w:hint="cs"/>
          <w:rtl/>
        </w:rPr>
        <w:t>َّ</w:t>
      </w:r>
      <w:r w:rsidRPr="00282AC9">
        <w:rPr>
          <w:rtl/>
        </w:rPr>
        <w:t>ز نظره على أعمال تجاري</w:t>
      </w:r>
      <w:r w:rsidR="00FA070B" w:rsidRPr="00282AC9">
        <w:rPr>
          <w:rFonts w:hint="cs"/>
          <w:rtl/>
        </w:rPr>
        <w:t>ّ</w:t>
      </w:r>
      <w:r w:rsidRPr="00282AC9">
        <w:rPr>
          <w:rtl/>
        </w:rPr>
        <w:t>ة محدودة</w:t>
      </w:r>
      <w:r w:rsidR="00FA070B" w:rsidRPr="00282AC9">
        <w:rPr>
          <w:rFonts w:hint="cs"/>
          <w:rtl/>
        </w:rPr>
        <w:t>،</w:t>
      </w:r>
      <w:r w:rsidRPr="00282AC9">
        <w:rPr>
          <w:rtl/>
        </w:rPr>
        <w:t xml:space="preserve"> لأفراد</w:t>
      </w:r>
      <w:r w:rsidR="00FA070B" w:rsidRPr="00282AC9">
        <w:rPr>
          <w:rFonts w:hint="cs"/>
          <w:rtl/>
        </w:rPr>
        <w:t>ٍ</w:t>
      </w:r>
      <w:r w:rsidRPr="00282AC9">
        <w:rPr>
          <w:rtl/>
        </w:rPr>
        <w:t xml:space="preserve"> هدفهم منها الحصول على لقمة العيش اليومية. إن أغراض التجارة متعد</w:t>
      </w:r>
      <w:r w:rsidR="00FA070B" w:rsidRPr="00282AC9">
        <w:rPr>
          <w:rFonts w:hint="cs"/>
          <w:rtl/>
        </w:rPr>
        <w:t>ِّ</w:t>
      </w:r>
      <w:r w:rsidRPr="00282AC9">
        <w:rPr>
          <w:rtl/>
        </w:rPr>
        <w:t>دة</w:t>
      </w:r>
      <w:r w:rsidR="00FA070B" w:rsidRPr="00282AC9">
        <w:rPr>
          <w:rFonts w:hint="cs"/>
          <w:rtl/>
        </w:rPr>
        <w:t>ٌ،</w:t>
      </w:r>
      <w:r w:rsidRPr="00282AC9">
        <w:rPr>
          <w:rtl/>
        </w:rPr>
        <w:t xml:space="preserve"> ولا تقتصر فقط على توفير الحاجات المعيشي</w:t>
      </w:r>
      <w:r w:rsidR="00FA070B" w:rsidRPr="00282AC9">
        <w:rPr>
          <w:rFonts w:hint="cs"/>
          <w:rtl/>
        </w:rPr>
        <w:t>ّ</w:t>
      </w:r>
      <w:r w:rsidRPr="00282AC9">
        <w:rPr>
          <w:rtl/>
        </w:rPr>
        <w:t>ة الأساس.</w:t>
      </w:r>
    </w:p>
    <w:p w:rsidR="00946A76" w:rsidRPr="00282AC9" w:rsidRDefault="00946A76" w:rsidP="00186251">
      <w:pPr>
        <w:rPr>
          <w:rtl/>
        </w:rPr>
      </w:pPr>
      <w:r w:rsidRPr="00282AC9">
        <w:rPr>
          <w:rtl/>
        </w:rPr>
        <w:t xml:space="preserve">وكذلك الحال بالنسبة </w:t>
      </w:r>
      <w:r w:rsidR="00FA070B" w:rsidRPr="00282AC9">
        <w:rPr>
          <w:rFonts w:hint="cs"/>
          <w:rtl/>
        </w:rPr>
        <w:t>إلى ا</w:t>
      </w:r>
      <w:r w:rsidRPr="00282AC9">
        <w:rPr>
          <w:rtl/>
        </w:rPr>
        <w:t>لحرب</w:t>
      </w:r>
      <w:r w:rsidR="00FA070B" w:rsidRPr="00282AC9">
        <w:rPr>
          <w:rFonts w:hint="cs"/>
          <w:rtl/>
        </w:rPr>
        <w:t>؛</w:t>
      </w:r>
      <w:r w:rsidRPr="00282AC9">
        <w:rPr>
          <w:rtl/>
        </w:rPr>
        <w:t xml:space="preserve"> فإن</w:t>
      </w:r>
      <w:r w:rsidR="00FA070B" w:rsidRPr="00282AC9">
        <w:rPr>
          <w:rFonts w:hint="cs"/>
          <w:rtl/>
        </w:rPr>
        <w:t>ّ</w:t>
      </w:r>
      <w:r w:rsidRPr="00282AC9">
        <w:rPr>
          <w:rtl/>
        </w:rPr>
        <w:t xml:space="preserve"> ما ذكره قد يصدق على الناحية النفسية للمقاتلين لحظة القتال</w:t>
      </w:r>
      <w:r w:rsidR="00FA070B" w:rsidRPr="00282AC9">
        <w:rPr>
          <w:rFonts w:hint="cs"/>
          <w:rtl/>
        </w:rPr>
        <w:t>،</w:t>
      </w:r>
      <w:r w:rsidRPr="00282AC9">
        <w:rPr>
          <w:rtl/>
        </w:rPr>
        <w:t xml:space="preserve"> بأن هدفهم حينها يكون منصب</w:t>
      </w:r>
      <w:r w:rsidR="00FA070B" w:rsidRPr="00282AC9">
        <w:rPr>
          <w:rFonts w:hint="cs"/>
          <w:rtl/>
        </w:rPr>
        <w:t>ّ</w:t>
      </w:r>
      <w:r w:rsidRPr="00282AC9">
        <w:rPr>
          <w:rtl/>
        </w:rPr>
        <w:t>ا</w:t>
      </w:r>
      <w:r w:rsidR="00FA070B" w:rsidRPr="00282AC9">
        <w:rPr>
          <w:rFonts w:hint="cs"/>
          <w:rtl/>
        </w:rPr>
        <w:t>ً</w:t>
      </w:r>
      <w:r w:rsidRPr="00282AC9">
        <w:rPr>
          <w:rtl/>
        </w:rPr>
        <w:t xml:space="preserve"> صوب تحقيق الغ</w:t>
      </w:r>
      <w:r w:rsidR="00FA070B" w:rsidRPr="00282AC9">
        <w:rPr>
          <w:rFonts w:hint="cs"/>
          <w:rtl/>
        </w:rPr>
        <w:t>َ</w:t>
      </w:r>
      <w:r w:rsidRPr="00282AC9">
        <w:rPr>
          <w:rtl/>
        </w:rPr>
        <w:t>ل</w:t>
      </w:r>
      <w:r w:rsidR="00FA070B" w:rsidRPr="00282AC9">
        <w:rPr>
          <w:rFonts w:hint="cs"/>
          <w:rtl/>
        </w:rPr>
        <w:t>َ</w:t>
      </w:r>
      <w:r w:rsidRPr="00282AC9">
        <w:rPr>
          <w:rtl/>
        </w:rPr>
        <w:t>بة والنصر وح</w:t>
      </w:r>
      <w:r w:rsidR="00FA070B" w:rsidRPr="00282AC9">
        <w:rPr>
          <w:rFonts w:hint="cs"/>
          <w:rtl/>
        </w:rPr>
        <w:t>َ</w:t>
      </w:r>
      <w:r w:rsidRPr="00282AC9">
        <w:rPr>
          <w:rtl/>
        </w:rPr>
        <w:t>س</w:t>
      </w:r>
      <w:r w:rsidR="00FA070B" w:rsidRPr="00282AC9">
        <w:rPr>
          <w:rFonts w:hint="cs"/>
          <w:rtl/>
        </w:rPr>
        <w:t>ْ</w:t>
      </w:r>
      <w:r w:rsidR="00FA070B" w:rsidRPr="00282AC9">
        <w:rPr>
          <w:rtl/>
        </w:rPr>
        <w:t>م المعركة لصالحهم</w:t>
      </w:r>
      <w:r w:rsidR="00FA070B" w:rsidRPr="00282AC9">
        <w:rPr>
          <w:rFonts w:hint="cs"/>
          <w:rtl/>
        </w:rPr>
        <w:t xml:space="preserve">، </w:t>
      </w:r>
      <w:r w:rsidRPr="00282AC9">
        <w:rPr>
          <w:rtl/>
        </w:rPr>
        <w:t>وإلا</w:t>
      </w:r>
      <w:r w:rsidR="00FA070B" w:rsidRPr="00282AC9">
        <w:rPr>
          <w:rFonts w:hint="cs"/>
          <w:rtl/>
        </w:rPr>
        <w:t>ّ</w:t>
      </w:r>
      <w:r w:rsidRPr="00282AC9">
        <w:rPr>
          <w:rtl/>
        </w:rPr>
        <w:t xml:space="preserve"> فقد تكون للحروب أهداف</w:t>
      </w:r>
      <w:r w:rsidR="00FA070B" w:rsidRPr="00282AC9">
        <w:rPr>
          <w:rFonts w:hint="cs"/>
          <w:rtl/>
        </w:rPr>
        <w:t>ٌ</w:t>
      </w:r>
      <w:r w:rsidRPr="00282AC9">
        <w:rPr>
          <w:rtl/>
        </w:rPr>
        <w:t xml:space="preserve"> مرك</w:t>
      </w:r>
      <w:r w:rsidR="00FA070B" w:rsidRPr="00282AC9">
        <w:rPr>
          <w:rFonts w:hint="cs"/>
          <w:rtl/>
        </w:rPr>
        <w:t>َّ</w:t>
      </w:r>
      <w:r w:rsidRPr="00282AC9">
        <w:rPr>
          <w:rtl/>
        </w:rPr>
        <w:t>بة</w:t>
      </w:r>
      <w:r w:rsidR="00FA070B" w:rsidRPr="00282AC9">
        <w:rPr>
          <w:rFonts w:hint="cs"/>
          <w:rtl/>
        </w:rPr>
        <w:t>،</w:t>
      </w:r>
      <w:r w:rsidRPr="00282AC9">
        <w:rPr>
          <w:rtl/>
        </w:rPr>
        <w:t xml:space="preserve"> عسكرية وسياسية وأمنية واقتصادية واستر</w:t>
      </w:r>
      <w:r w:rsidR="00FA070B" w:rsidRPr="00282AC9">
        <w:rPr>
          <w:rFonts w:hint="cs"/>
          <w:rtl/>
        </w:rPr>
        <w:t>ا</w:t>
      </w:r>
      <w:r w:rsidRPr="00282AC9">
        <w:rPr>
          <w:rtl/>
        </w:rPr>
        <w:t>تيجية</w:t>
      </w:r>
      <w:r w:rsidR="00FA070B" w:rsidRPr="00282AC9">
        <w:rPr>
          <w:rFonts w:hint="cs"/>
          <w:rtl/>
        </w:rPr>
        <w:t>،</w:t>
      </w:r>
      <w:r w:rsidRPr="00282AC9">
        <w:rPr>
          <w:rtl/>
        </w:rPr>
        <w:t xml:space="preserve"> ولا تكون لمجر</w:t>
      </w:r>
      <w:r w:rsidR="00FA070B" w:rsidRPr="00282AC9">
        <w:rPr>
          <w:rFonts w:hint="cs"/>
          <w:rtl/>
        </w:rPr>
        <w:t>ّ</w:t>
      </w:r>
      <w:r w:rsidRPr="00282AC9">
        <w:rPr>
          <w:rtl/>
        </w:rPr>
        <w:t>د الغ</w:t>
      </w:r>
      <w:r w:rsidR="00FA070B" w:rsidRPr="00282AC9">
        <w:rPr>
          <w:rFonts w:hint="cs"/>
          <w:rtl/>
        </w:rPr>
        <w:t>َ</w:t>
      </w:r>
      <w:r w:rsidRPr="00282AC9">
        <w:rPr>
          <w:rtl/>
        </w:rPr>
        <w:t>ل</w:t>
      </w:r>
      <w:r w:rsidR="00FA070B" w:rsidRPr="00282AC9">
        <w:rPr>
          <w:rFonts w:hint="cs"/>
          <w:rtl/>
        </w:rPr>
        <w:t>َ</w:t>
      </w:r>
      <w:r w:rsidRPr="00282AC9">
        <w:rPr>
          <w:rtl/>
        </w:rPr>
        <w:t>بة العسكرية في الميدان.</w:t>
      </w:r>
    </w:p>
    <w:p w:rsidR="00235851" w:rsidRPr="00282AC9" w:rsidRDefault="00235851" w:rsidP="00235851">
      <w:pPr>
        <w:spacing w:line="420" w:lineRule="exact"/>
        <w:rPr>
          <w:rtl/>
        </w:rPr>
      </w:pPr>
    </w:p>
    <w:p w:rsidR="00946A76" w:rsidRPr="00282AC9" w:rsidRDefault="00946A76" w:rsidP="00B70E1F">
      <w:pPr>
        <w:pStyle w:val="31"/>
        <w:rPr>
          <w:color w:val="auto"/>
          <w:rtl/>
        </w:rPr>
      </w:pPr>
      <w:r w:rsidRPr="00282AC9">
        <w:rPr>
          <w:color w:val="auto"/>
          <w:rtl/>
        </w:rPr>
        <w:t>حافز الغنائم في الحروب التاريخية</w:t>
      </w:r>
    </w:p>
    <w:p w:rsidR="00C32E0C" w:rsidRPr="00282AC9" w:rsidRDefault="00946A76" w:rsidP="00186251">
      <w:pPr>
        <w:rPr>
          <w:rtl/>
        </w:rPr>
      </w:pPr>
      <w:r w:rsidRPr="00282AC9">
        <w:rPr>
          <w:rtl/>
        </w:rPr>
        <w:t>يرى بنحميدة أن الغنائم كانت من أهم</w:t>
      </w:r>
      <w:r w:rsidR="00C32E0C" w:rsidRPr="00282AC9">
        <w:rPr>
          <w:rFonts w:hint="cs"/>
          <w:rtl/>
        </w:rPr>
        <w:t>ّ</w:t>
      </w:r>
      <w:r w:rsidRPr="00282AC9">
        <w:rPr>
          <w:rtl/>
        </w:rPr>
        <w:t xml:space="preserve"> ال</w:t>
      </w:r>
      <w:r w:rsidR="00C32E0C" w:rsidRPr="00282AC9">
        <w:rPr>
          <w:rFonts w:hint="cs"/>
          <w:rtl/>
        </w:rPr>
        <w:t>أسباب</w:t>
      </w:r>
      <w:r w:rsidRPr="00282AC9">
        <w:rPr>
          <w:rtl/>
        </w:rPr>
        <w:t xml:space="preserve"> التي كانت تدفع كثيرا</w:t>
      </w:r>
      <w:r w:rsidR="00C32E0C" w:rsidRPr="00282AC9">
        <w:rPr>
          <w:rFonts w:hint="cs"/>
          <w:rtl/>
        </w:rPr>
        <w:t>ً</w:t>
      </w:r>
      <w:r w:rsidRPr="00282AC9">
        <w:rPr>
          <w:rtl/>
        </w:rPr>
        <w:t xml:space="preserve"> من المقاتلين من المسلمين الأوائل للاشتراك في القتال</w:t>
      </w:r>
      <w:r w:rsidR="00C32E0C" w:rsidRPr="00282AC9">
        <w:rPr>
          <w:rFonts w:hint="cs"/>
          <w:rtl/>
        </w:rPr>
        <w:t>،</w:t>
      </w:r>
      <w:r w:rsidRPr="00282AC9">
        <w:rPr>
          <w:rtl/>
        </w:rPr>
        <w:t xml:space="preserve"> و</w:t>
      </w:r>
      <w:r w:rsidRPr="00282AC9">
        <w:rPr>
          <w:rFonts w:hint="cs"/>
          <w:rtl/>
        </w:rPr>
        <w:t>أ</w:t>
      </w:r>
      <w:r w:rsidRPr="00282AC9">
        <w:rPr>
          <w:rtl/>
        </w:rPr>
        <w:t>ن إغراء الغنائم كان لا ي</w:t>
      </w:r>
      <w:r w:rsidR="00C32E0C" w:rsidRPr="00282AC9">
        <w:rPr>
          <w:rFonts w:hint="cs"/>
          <w:rtl/>
        </w:rPr>
        <w:t>ُ</w:t>
      </w:r>
      <w:r w:rsidRPr="00282AC9">
        <w:rPr>
          <w:rtl/>
        </w:rPr>
        <w:t>قاو</w:t>
      </w:r>
      <w:r w:rsidR="00C32E0C" w:rsidRPr="00282AC9">
        <w:rPr>
          <w:rFonts w:hint="cs"/>
          <w:rtl/>
        </w:rPr>
        <w:t>َ</w:t>
      </w:r>
      <w:r w:rsidRPr="00282AC9">
        <w:rPr>
          <w:rtl/>
        </w:rPr>
        <w:t xml:space="preserve">م، </w:t>
      </w:r>
      <w:r w:rsidR="00C32E0C" w:rsidRPr="00282AC9">
        <w:rPr>
          <w:rFonts w:hint="cs"/>
          <w:rtl/>
        </w:rPr>
        <w:t>إ</w:t>
      </w:r>
      <w:r w:rsidRPr="00282AC9">
        <w:rPr>
          <w:rtl/>
        </w:rPr>
        <w:t>لى درجة أن أعداد المقاتلين تضاعف</w:t>
      </w:r>
      <w:r w:rsidR="00C32E0C" w:rsidRPr="00282AC9">
        <w:rPr>
          <w:rFonts w:hint="cs"/>
          <w:rtl/>
        </w:rPr>
        <w:t>َ</w:t>
      </w:r>
      <w:r w:rsidRPr="00282AC9">
        <w:rPr>
          <w:rtl/>
        </w:rPr>
        <w:t>ت</w:t>
      </w:r>
      <w:r w:rsidR="00C32E0C" w:rsidRPr="00282AC9">
        <w:rPr>
          <w:rFonts w:hint="cs"/>
          <w:rtl/>
        </w:rPr>
        <w:t>ْ،</w:t>
      </w:r>
      <w:r w:rsidRPr="00282AC9">
        <w:rPr>
          <w:rtl/>
        </w:rPr>
        <w:t xml:space="preserve"> حت</w:t>
      </w:r>
      <w:r w:rsidR="00C32E0C" w:rsidRPr="00282AC9">
        <w:rPr>
          <w:rFonts w:hint="cs"/>
          <w:rtl/>
        </w:rPr>
        <w:t>ّ</w:t>
      </w:r>
      <w:r w:rsidRPr="00282AC9">
        <w:rPr>
          <w:rtl/>
        </w:rPr>
        <w:t>ى تكو</w:t>
      </w:r>
      <w:r w:rsidR="00C32E0C" w:rsidRPr="00282AC9">
        <w:rPr>
          <w:rFonts w:hint="cs"/>
          <w:rtl/>
        </w:rPr>
        <w:t>َّ</w:t>
      </w:r>
      <w:r w:rsidRPr="00282AC9">
        <w:rPr>
          <w:rtl/>
        </w:rPr>
        <w:t>نت للمسلمين قو</w:t>
      </w:r>
      <w:r w:rsidR="00C32E0C" w:rsidRPr="00282AC9">
        <w:rPr>
          <w:rFonts w:hint="cs"/>
          <w:rtl/>
        </w:rPr>
        <w:t>ّ</w:t>
      </w:r>
      <w:r w:rsidRPr="00282AC9">
        <w:rPr>
          <w:rtl/>
        </w:rPr>
        <w:t>ة</w:t>
      </w:r>
      <w:r w:rsidR="00C32E0C" w:rsidRPr="00282AC9">
        <w:rPr>
          <w:rFonts w:hint="cs"/>
          <w:rtl/>
        </w:rPr>
        <w:t>ٌ</w:t>
      </w:r>
      <w:r w:rsidRPr="00282AC9">
        <w:rPr>
          <w:rtl/>
        </w:rPr>
        <w:t xml:space="preserve"> ضاربة</w:t>
      </w:r>
      <w:r w:rsidR="00C32E0C" w:rsidRPr="00282AC9">
        <w:rPr>
          <w:rFonts w:hint="cs"/>
          <w:rtl/>
        </w:rPr>
        <w:t>،</w:t>
      </w:r>
      <w:r w:rsidRPr="00282AC9">
        <w:rPr>
          <w:rtl/>
        </w:rPr>
        <w:t xml:space="preserve"> بلغ</w:t>
      </w:r>
      <w:r w:rsidR="00C32E0C" w:rsidRPr="00282AC9">
        <w:rPr>
          <w:rFonts w:hint="cs"/>
          <w:rtl/>
        </w:rPr>
        <w:t>َ</w:t>
      </w:r>
      <w:r w:rsidRPr="00282AC9">
        <w:rPr>
          <w:rtl/>
        </w:rPr>
        <w:t>ت</w:t>
      </w:r>
      <w:r w:rsidR="00C32E0C" w:rsidRPr="00282AC9">
        <w:rPr>
          <w:rFonts w:hint="cs"/>
          <w:rtl/>
        </w:rPr>
        <w:t>ْ</w:t>
      </w:r>
      <w:r w:rsidRPr="00282AC9">
        <w:rPr>
          <w:rtl/>
        </w:rPr>
        <w:t xml:space="preserve"> في وقت</w:t>
      </w:r>
      <w:r w:rsidR="00C32E0C" w:rsidRPr="00282AC9">
        <w:rPr>
          <w:rFonts w:hint="cs"/>
          <w:rtl/>
        </w:rPr>
        <w:t>ٍ</w:t>
      </w:r>
      <w:r w:rsidRPr="00282AC9">
        <w:rPr>
          <w:rtl/>
        </w:rPr>
        <w:t xml:space="preserve"> وجيز</w:t>
      </w:r>
      <w:r w:rsidR="00C32E0C" w:rsidRPr="00282AC9">
        <w:rPr>
          <w:rFonts w:hint="cs"/>
          <w:rtl/>
        </w:rPr>
        <w:t>ٍ</w:t>
      </w:r>
      <w:r w:rsidRPr="00282AC9">
        <w:rPr>
          <w:rtl/>
        </w:rPr>
        <w:t xml:space="preserve"> ثلاثين ألف محارب</w:t>
      </w:r>
      <w:r w:rsidR="00C32E0C" w:rsidRPr="00282AC9">
        <w:rPr>
          <w:rFonts w:hint="cs"/>
          <w:rtl/>
        </w:rPr>
        <w:t>ٍ،</w:t>
      </w:r>
      <w:r w:rsidRPr="00282AC9">
        <w:rPr>
          <w:rtl/>
        </w:rPr>
        <w:t xml:space="preserve"> بعد </w:t>
      </w:r>
      <w:r w:rsidR="00C32E0C" w:rsidRPr="00282AC9">
        <w:rPr>
          <w:rFonts w:hint="cs"/>
          <w:rtl/>
        </w:rPr>
        <w:t>أ</w:t>
      </w:r>
      <w:r w:rsidRPr="00282AC9">
        <w:rPr>
          <w:rtl/>
        </w:rPr>
        <w:t>ن كان عددهم لا يتجاوز بضع مئات من الرجال في معركة بدر</w:t>
      </w:r>
      <w:r w:rsidRPr="00282AC9">
        <w:rPr>
          <w:rFonts w:hint="cs"/>
          <w:vertAlign w:val="superscript"/>
          <w:rtl/>
        </w:rPr>
        <w:t>(</w:t>
      </w:r>
      <w:r w:rsidRPr="00282AC9">
        <w:rPr>
          <w:rStyle w:val="af9"/>
          <w:sz w:val="27"/>
          <w:rtl/>
        </w:rPr>
        <w:endnoteReference w:id="505"/>
      </w:r>
      <w:r w:rsidRPr="00282AC9">
        <w:rPr>
          <w:rFonts w:hint="cs"/>
          <w:vertAlign w:val="superscript"/>
          <w:rtl/>
        </w:rPr>
        <w:t>)</w:t>
      </w:r>
      <w:r w:rsidR="00C32E0C" w:rsidRPr="00282AC9">
        <w:rPr>
          <w:rtl/>
        </w:rPr>
        <w:t>.</w:t>
      </w:r>
    </w:p>
    <w:p w:rsidR="00806B69" w:rsidRPr="00282AC9" w:rsidRDefault="00946A76" w:rsidP="00186251">
      <w:pPr>
        <w:rPr>
          <w:rtl/>
        </w:rPr>
      </w:pPr>
      <w:r w:rsidRPr="00282AC9">
        <w:rPr>
          <w:rtl/>
        </w:rPr>
        <w:t>ويقر</w:t>
      </w:r>
      <w:r w:rsidR="00C32E0C" w:rsidRPr="00282AC9">
        <w:rPr>
          <w:rFonts w:hint="cs"/>
          <w:rtl/>
        </w:rPr>
        <w:t>ِّ</w:t>
      </w:r>
      <w:r w:rsidRPr="00282AC9">
        <w:rPr>
          <w:rtl/>
        </w:rPr>
        <w:t>ر الجابري أن الغالبية العظمى من جمهور المسلمين ـ باستثناء قل</w:t>
      </w:r>
      <w:r w:rsidR="00C32E0C" w:rsidRPr="00282AC9">
        <w:rPr>
          <w:rFonts w:hint="cs"/>
          <w:rtl/>
        </w:rPr>
        <w:t>ّ</w:t>
      </w:r>
      <w:r w:rsidRPr="00282AC9">
        <w:rPr>
          <w:rtl/>
        </w:rPr>
        <w:t>ة</w:t>
      </w:r>
      <w:r w:rsidR="00C32E0C" w:rsidRPr="00282AC9">
        <w:rPr>
          <w:rFonts w:hint="cs"/>
          <w:rtl/>
        </w:rPr>
        <w:t>ٍ</w:t>
      </w:r>
      <w:r w:rsidRPr="00282AC9">
        <w:rPr>
          <w:rtl/>
        </w:rPr>
        <w:t xml:space="preserve"> من السابقين الأو</w:t>
      </w:r>
      <w:r w:rsidR="00C32E0C" w:rsidRPr="00282AC9">
        <w:rPr>
          <w:rFonts w:hint="cs"/>
          <w:rtl/>
        </w:rPr>
        <w:t>ّ</w:t>
      </w:r>
      <w:r w:rsidRPr="00282AC9">
        <w:rPr>
          <w:rtl/>
        </w:rPr>
        <w:t>لين ـ</w:t>
      </w:r>
      <w:r w:rsidR="00C32E0C" w:rsidRPr="00282AC9">
        <w:rPr>
          <w:rFonts w:hint="cs"/>
          <w:rtl/>
        </w:rPr>
        <w:t>،</w:t>
      </w:r>
      <w:r w:rsidRPr="00282AC9">
        <w:rPr>
          <w:rtl/>
        </w:rPr>
        <w:t xml:space="preserve"> وتتكو</w:t>
      </w:r>
      <w:r w:rsidR="00C32E0C" w:rsidRPr="00282AC9">
        <w:rPr>
          <w:rFonts w:hint="cs"/>
          <w:rtl/>
        </w:rPr>
        <w:t>َّ</w:t>
      </w:r>
      <w:r w:rsidRPr="00282AC9">
        <w:rPr>
          <w:rtl/>
        </w:rPr>
        <w:t>ن أساسا</w:t>
      </w:r>
      <w:r w:rsidR="00C32E0C" w:rsidRPr="00282AC9">
        <w:rPr>
          <w:rFonts w:hint="cs"/>
          <w:rtl/>
        </w:rPr>
        <w:t>ً</w:t>
      </w:r>
      <w:r w:rsidRPr="00282AC9">
        <w:rPr>
          <w:rtl/>
        </w:rPr>
        <w:t xml:space="preserve"> من </w:t>
      </w:r>
      <w:r w:rsidRPr="00282AC9">
        <w:rPr>
          <w:rFonts w:hint="eastAsia"/>
          <w:sz w:val="24"/>
          <w:szCs w:val="24"/>
          <w:rtl/>
        </w:rPr>
        <w:t>«</w:t>
      </w:r>
      <w:r w:rsidRPr="00282AC9">
        <w:rPr>
          <w:rtl/>
        </w:rPr>
        <w:t>المسلمين الج</w:t>
      </w:r>
      <w:r w:rsidR="00C32E0C" w:rsidRPr="00282AC9">
        <w:rPr>
          <w:rFonts w:hint="cs"/>
          <w:rtl/>
        </w:rPr>
        <w:t>ُ</w:t>
      </w:r>
      <w:r w:rsidRPr="00282AC9">
        <w:rPr>
          <w:rtl/>
        </w:rPr>
        <w:t>د</w:t>
      </w:r>
      <w:r w:rsidR="00C32E0C" w:rsidRPr="00282AC9">
        <w:rPr>
          <w:rFonts w:hint="cs"/>
          <w:rtl/>
        </w:rPr>
        <w:t>ُ</w:t>
      </w:r>
      <w:r w:rsidRPr="00282AC9">
        <w:rPr>
          <w:rtl/>
        </w:rPr>
        <w:t>د</w:t>
      </w:r>
      <w:r w:rsidR="00C32E0C" w:rsidRPr="00282AC9">
        <w:rPr>
          <w:rFonts w:hint="eastAsia"/>
          <w:sz w:val="24"/>
          <w:szCs w:val="24"/>
          <w:rtl/>
        </w:rPr>
        <w:t>»</w:t>
      </w:r>
      <w:r w:rsidR="00C32E0C" w:rsidRPr="00282AC9">
        <w:rPr>
          <w:rFonts w:hint="cs"/>
          <w:rtl/>
        </w:rPr>
        <w:t xml:space="preserve"> </w:t>
      </w:r>
      <w:r w:rsidRPr="00282AC9">
        <w:rPr>
          <w:rtl/>
        </w:rPr>
        <w:t xml:space="preserve">من قريش والأعراب، </w:t>
      </w:r>
      <w:r w:rsidR="00806B69" w:rsidRPr="00282AC9">
        <w:rPr>
          <w:rFonts w:hint="cs"/>
          <w:rtl/>
        </w:rPr>
        <w:t>مضافاً</w:t>
      </w:r>
      <w:r w:rsidRPr="00282AC9">
        <w:rPr>
          <w:rtl/>
        </w:rPr>
        <w:t xml:space="preserve"> </w:t>
      </w:r>
      <w:r w:rsidR="00806B69" w:rsidRPr="00282AC9">
        <w:rPr>
          <w:rFonts w:hint="cs"/>
          <w:rtl/>
        </w:rPr>
        <w:t>إ</w:t>
      </w:r>
      <w:r w:rsidRPr="00282AC9">
        <w:rPr>
          <w:rtl/>
        </w:rPr>
        <w:t>لى المنافقين، كان إسهامها في حركة الفتح بدافع الغنيمة أساسا</w:t>
      </w:r>
      <w:r w:rsidR="00806B69" w:rsidRPr="00282AC9">
        <w:rPr>
          <w:rFonts w:hint="cs"/>
          <w:rtl/>
        </w:rPr>
        <w:t>ً</w:t>
      </w:r>
      <w:r w:rsidRPr="00282AC9">
        <w:rPr>
          <w:rtl/>
        </w:rPr>
        <w:t>. وح</w:t>
      </w:r>
      <w:r w:rsidR="00806B69" w:rsidRPr="00282AC9">
        <w:rPr>
          <w:rFonts w:hint="cs"/>
          <w:rtl/>
        </w:rPr>
        <w:t>َ</w:t>
      </w:r>
      <w:r w:rsidRPr="00282AC9">
        <w:rPr>
          <w:rtl/>
        </w:rPr>
        <w:t>س</w:t>
      </w:r>
      <w:r w:rsidR="00806B69" w:rsidRPr="00282AC9">
        <w:rPr>
          <w:rFonts w:hint="cs"/>
          <w:rtl/>
        </w:rPr>
        <w:t>ْ</w:t>
      </w:r>
      <w:r w:rsidRPr="00282AC9">
        <w:rPr>
          <w:rtl/>
        </w:rPr>
        <w:t xml:space="preserve">ب قراءته </w:t>
      </w:r>
      <w:r w:rsidR="00806B69" w:rsidRPr="00282AC9">
        <w:rPr>
          <w:rFonts w:hint="cs"/>
          <w:rtl/>
        </w:rPr>
        <w:t>فإ</w:t>
      </w:r>
      <w:r w:rsidRPr="00282AC9">
        <w:rPr>
          <w:rtl/>
        </w:rPr>
        <w:t xml:space="preserve">ن </w:t>
      </w:r>
      <w:r w:rsidRPr="00282AC9">
        <w:rPr>
          <w:rtl/>
        </w:rPr>
        <w:lastRenderedPageBreak/>
        <w:t>الغنيمة والخراج كانا يشك</w:t>
      </w:r>
      <w:r w:rsidR="00806B69" w:rsidRPr="00282AC9">
        <w:rPr>
          <w:rFonts w:hint="cs"/>
          <w:rtl/>
        </w:rPr>
        <w:t>ِّ</w:t>
      </w:r>
      <w:r w:rsidRPr="00282AC9">
        <w:rPr>
          <w:rtl/>
        </w:rPr>
        <w:t>لان مورد</w:t>
      </w:r>
      <w:r w:rsidR="00806B69" w:rsidRPr="00282AC9">
        <w:rPr>
          <w:rFonts w:hint="cs"/>
          <w:rtl/>
        </w:rPr>
        <w:t>َيْ</w:t>
      </w:r>
      <w:r w:rsidRPr="00282AC9">
        <w:rPr>
          <w:rtl/>
        </w:rPr>
        <w:t>ن وحيد</w:t>
      </w:r>
      <w:r w:rsidR="00806B69" w:rsidRPr="00282AC9">
        <w:rPr>
          <w:rFonts w:hint="cs"/>
          <w:rtl/>
        </w:rPr>
        <w:t>َيْ</w:t>
      </w:r>
      <w:r w:rsidRPr="00282AC9">
        <w:rPr>
          <w:rtl/>
        </w:rPr>
        <w:t>ن للدولة الر</w:t>
      </w:r>
      <w:r w:rsidR="00806B69" w:rsidRPr="00282AC9">
        <w:rPr>
          <w:rFonts w:hint="cs"/>
          <w:rtl/>
        </w:rPr>
        <w:t>َّ</w:t>
      </w:r>
      <w:r w:rsidRPr="00282AC9">
        <w:rPr>
          <w:rtl/>
        </w:rPr>
        <w:t>ي</w:t>
      </w:r>
      <w:r w:rsidR="00806B69" w:rsidRPr="00282AC9">
        <w:rPr>
          <w:rFonts w:hint="cs"/>
          <w:rtl/>
        </w:rPr>
        <w:t>ْ</w:t>
      </w:r>
      <w:r w:rsidRPr="00282AC9">
        <w:rPr>
          <w:rtl/>
        </w:rPr>
        <w:t>عي</w:t>
      </w:r>
      <w:r w:rsidR="00806B69" w:rsidRPr="00282AC9">
        <w:rPr>
          <w:rFonts w:hint="cs"/>
          <w:rtl/>
        </w:rPr>
        <w:t>ّ</w:t>
      </w:r>
      <w:r w:rsidRPr="00282AC9">
        <w:rPr>
          <w:rtl/>
        </w:rPr>
        <w:t>ة في صدر ال</w:t>
      </w:r>
      <w:r w:rsidR="00806B69" w:rsidRPr="00282AC9">
        <w:rPr>
          <w:rFonts w:hint="cs"/>
          <w:rtl/>
        </w:rPr>
        <w:t>إ</w:t>
      </w:r>
      <w:r w:rsidRPr="00282AC9">
        <w:rPr>
          <w:rtl/>
        </w:rPr>
        <w:t>سلام والعصر الأموي</w:t>
      </w:r>
      <w:r w:rsidRPr="00282AC9">
        <w:rPr>
          <w:rFonts w:hint="cs"/>
          <w:vertAlign w:val="superscript"/>
          <w:rtl/>
        </w:rPr>
        <w:t>(</w:t>
      </w:r>
      <w:r w:rsidRPr="00282AC9">
        <w:rPr>
          <w:rStyle w:val="af9"/>
          <w:sz w:val="27"/>
          <w:rtl/>
        </w:rPr>
        <w:endnoteReference w:id="506"/>
      </w:r>
      <w:r w:rsidRPr="00282AC9">
        <w:rPr>
          <w:rFonts w:hint="cs"/>
          <w:vertAlign w:val="superscript"/>
          <w:rtl/>
        </w:rPr>
        <w:t>)</w:t>
      </w:r>
      <w:r w:rsidRPr="00282AC9">
        <w:rPr>
          <w:rtl/>
        </w:rPr>
        <w:t>.</w:t>
      </w:r>
    </w:p>
    <w:p w:rsidR="003F6968" w:rsidRPr="00282AC9" w:rsidRDefault="00946A76" w:rsidP="00186251">
      <w:pPr>
        <w:rPr>
          <w:rtl/>
        </w:rPr>
      </w:pPr>
      <w:r w:rsidRPr="00282AC9">
        <w:rPr>
          <w:rtl/>
        </w:rPr>
        <w:t>وفي هذا الصدد يذكر البلاذري(279</w:t>
      </w:r>
      <w:r w:rsidRPr="00282AC9">
        <w:rPr>
          <w:rFonts w:hint="cs"/>
          <w:rtl/>
        </w:rPr>
        <w:t>هـ</w:t>
      </w:r>
      <w:r w:rsidRPr="00282AC9">
        <w:rPr>
          <w:rtl/>
        </w:rPr>
        <w:t>) أن الخليفة أبا بكر لما فرغ من قتال الرد</w:t>
      </w:r>
      <w:r w:rsidR="00806B69" w:rsidRPr="00282AC9">
        <w:rPr>
          <w:rFonts w:hint="cs"/>
          <w:rtl/>
        </w:rPr>
        <w:t>ّ</w:t>
      </w:r>
      <w:r w:rsidRPr="00282AC9">
        <w:rPr>
          <w:rtl/>
        </w:rPr>
        <w:t xml:space="preserve">ة رأى توجيه الجيوش </w:t>
      </w:r>
      <w:r w:rsidR="00806B69" w:rsidRPr="00282AC9">
        <w:rPr>
          <w:rFonts w:hint="cs"/>
          <w:rtl/>
        </w:rPr>
        <w:t>إ</w:t>
      </w:r>
      <w:r w:rsidRPr="00282AC9">
        <w:rPr>
          <w:rtl/>
        </w:rPr>
        <w:t>لى الشام</w:t>
      </w:r>
      <w:r w:rsidR="00806B69" w:rsidRPr="00282AC9">
        <w:rPr>
          <w:rFonts w:hint="cs"/>
          <w:rtl/>
        </w:rPr>
        <w:t>،</w:t>
      </w:r>
      <w:r w:rsidRPr="00282AC9">
        <w:rPr>
          <w:rtl/>
        </w:rPr>
        <w:t xml:space="preserve"> فكتب </w:t>
      </w:r>
      <w:r w:rsidR="00806B69" w:rsidRPr="00282AC9">
        <w:rPr>
          <w:rFonts w:hint="cs"/>
          <w:rtl/>
        </w:rPr>
        <w:t>إ</w:t>
      </w:r>
      <w:r w:rsidRPr="00282AC9">
        <w:rPr>
          <w:rtl/>
        </w:rPr>
        <w:t>لى أهل مك</w:t>
      </w:r>
      <w:r w:rsidR="00806B69" w:rsidRPr="00282AC9">
        <w:rPr>
          <w:rFonts w:hint="cs"/>
          <w:rtl/>
        </w:rPr>
        <w:t>ّ</w:t>
      </w:r>
      <w:r w:rsidRPr="00282AC9">
        <w:rPr>
          <w:rtl/>
        </w:rPr>
        <w:t>ة والطائف واليمن وجميع العرب بن</w:t>
      </w:r>
      <w:r w:rsidR="003F6968" w:rsidRPr="00282AC9">
        <w:rPr>
          <w:rFonts w:hint="cs"/>
          <w:rtl/>
        </w:rPr>
        <w:t>َ</w:t>
      </w:r>
      <w:r w:rsidRPr="00282AC9">
        <w:rPr>
          <w:rtl/>
        </w:rPr>
        <w:t>ج</w:t>
      </w:r>
      <w:r w:rsidR="003F6968" w:rsidRPr="00282AC9">
        <w:rPr>
          <w:rFonts w:hint="cs"/>
          <w:rtl/>
        </w:rPr>
        <w:t>ْ</w:t>
      </w:r>
      <w:r w:rsidRPr="00282AC9">
        <w:rPr>
          <w:rtl/>
        </w:rPr>
        <w:t>د والحجاز يستنفرهم للجهاد</w:t>
      </w:r>
      <w:r w:rsidR="003F6968" w:rsidRPr="00282AC9">
        <w:rPr>
          <w:rFonts w:hint="cs"/>
          <w:rtl/>
        </w:rPr>
        <w:t>،</w:t>
      </w:r>
      <w:r w:rsidRPr="00282AC9">
        <w:rPr>
          <w:rtl/>
        </w:rPr>
        <w:t xml:space="preserve"> ويرغ</w:t>
      </w:r>
      <w:r w:rsidR="003F6968" w:rsidRPr="00282AC9">
        <w:rPr>
          <w:rFonts w:hint="cs"/>
          <w:rtl/>
        </w:rPr>
        <w:t>ِّ</w:t>
      </w:r>
      <w:r w:rsidRPr="00282AC9">
        <w:rPr>
          <w:rtl/>
        </w:rPr>
        <w:t>بهم فيه وفي غنائم الروم، فسارع الناس إليه بين محتسب</w:t>
      </w:r>
      <w:r w:rsidR="003F6968" w:rsidRPr="00282AC9">
        <w:rPr>
          <w:rFonts w:hint="cs"/>
          <w:rtl/>
        </w:rPr>
        <w:t>ٍ</w:t>
      </w:r>
      <w:r w:rsidRPr="00282AC9">
        <w:rPr>
          <w:rtl/>
        </w:rPr>
        <w:t xml:space="preserve"> وطامع</w:t>
      </w:r>
      <w:r w:rsidRPr="00282AC9">
        <w:rPr>
          <w:rFonts w:hint="cs"/>
          <w:vertAlign w:val="superscript"/>
          <w:rtl/>
        </w:rPr>
        <w:t>(</w:t>
      </w:r>
      <w:r w:rsidRPr="00282AC9">
        <w:rPr>
          <w:rStyle w:val="af9"/>
          <w:sz w:val="27"/>
          <w:rtl/>
        </w:rPr>
        <w:endnoteReference w:id="507"/>
      </w:r>
      <w:r w:rsidRPr="00282AC9">
        <w:rPr>
          <w:rFonts w:hint="cs"/>
          <w:vertAlign w:val="superscript"/>
          <w:rtl/>
        </w:rPr>
        <w:t>)</w:t>
      </w:r>
      <w:r w:rsidR="003F6968" w:rsidRPr="00282AC9">
        <w:rPr>
          <w:rFonts w:hint="cs"/>
          <w:rtl/>
        </w:rPr>
        <w:t>.</w:t>
      </w:r>
    </w:p>
    <w:p w:rsidR="003F6968" w:rsidRPr="00282AC9" w:rsidRDefault="00946A76" w:rsidP="00186251">
      <w:pPr>
        <w:rPr>
          <w:rtl/>
        </w:rPr>
      </w:pPr>
      <w:r w:rsidRPr="00282AC9">
        <w:rPr>
          <w:rtl/>
        </w:rPr>
        <w:t>وثمة شواهد تاريخية تؤي</w:t>
      </w:r>
      <w:r w:rsidR="003F6968" w:rsidRPr="00282AC9">
        <w:rPr>
          <w:rFonts w:hint="cs"/>
          <w:rtl/>
        </w:rPr>
        <w:t>ِّ</w:t>
      </w:r>
      <w:r w:rsidRPr="00282AC9">
        <w:rPr>
          <w:rtl/>
        </w:rPr>
        <w:t>د كلامه، فقد كان سبب الهزيمة الم</w:t>
      </w:r>
      <w:r w:rsidR="003F6968" w:rsidRPr="00282AC9">
        <w:rPr>
          <w:rFonts w:hint="cs"/>
          <w:rtl/>
        </w:rPr>
        <w:t>ُ</w:t>
      </w:r>
      <w:r w:rsidRPr="00282AC9">
        <w:rPr>
          <w:rtl/>
        </w:rPr>
        <w:t>ن</w:t>
      </w:r>
      <w:r w:rsidR="003F6968" w:rsidRPr="00282AC9">
        <w:rPr>
          <w:rFonts w:hint="cs"/>
          <w:rtl/>
        </w:rPr>
        <w:t>ْ</w:t>
      </w:r>
      <w:r w:rsidRPr="00282AC9">
        <w:rPr>
          <w:rtl/>
        </w:rPr>
        <w:t>ك</w:t>
      </w:r>
      <w:r w:rsidR="003F6968" w:rsidRPr="00282AC9">
        <w:rPr>
          <w:rFonts w:hint="cs"/>
          <w:rtl/>
        </w:rPr>
        <w:t>َ</w:t>
      </w:r>
      <w:r w:rsidRPr="00282AC9">
        <w:rPr>
          <w:rtl/>
        </w:rPr>
        <w:t>رة التي لحق</w:t>
      </w:r>
      <w:r w:rsidR="003F6968" w:rsidRPr="00282AC9">
        <w:rPr>
          <w:rFonts w:hint="cs"/>
          <w:rtl/>
        </w:rPr>
        <w:t>َ</w:t>
      </w:r>
      <w:r w:rsidRPr="00282AC9">
        <w:rPr>
          <w:rtl/>
        </w:rPr>
        <w:t>ت</w:t>
      </w:r>
      <w:r w:rsidR="003F6968" w:rsidRPr="00282AC9">
        <w:rPr>
          <w:rFonts w:hint="cs"/>
          <w:rtl/>
        </w:rPr>
        <w:t>ْ</w:t>
      </w:r>
      <w:r w:rsidRPr="00282AC9">
        <w:rPr>
          <w:rtl/>
        </w:rPr>
        <w:t xml:space="preserve"> بالمسلمين في غزوة أ</w:t>
      </w:r>
      <w:r w:rsidR="003F6968" w:rsidRPr="00282AC9">
        <w:rPr>
          <w:rFonts w:hint="cs"/>
          <w:rtl/>
        </w:rPr>
        <w:t>ُ</w:t>
      </w:r>
      <w:r w:rsidRPr="00282AC9">
        <w:rPr>
          <w:rtl/>
        </w:rPr>
        <w:t>ح</w:t>
      </w:r>
      <w:r w:rsidR="003F6968" w:rsidRPr="00282AC9">
        <w:rPr>
          <w:rFonts w:hint="cs"/>
          <w:rtl/>
        </w:rPr>
        <w:t>ُ</w:t>
      </w:r>
      <w:r w:rsidRPr="00282AC9">
        <w:rPr>
          <w:rtl/>
        </w:rPr>
        <w:t>د هو مخالفة الرماة تعليمات النبي</w:t>
      </w:r>
      <w:r w:rsidR="003F6968" w:rsidRPr="00282AC9">
        <w:rPr>
          <w:rFonts w:hint="cs"/>
          <w:rtl/>
        </w:rPr>
        <w:t>ّ</w:t>
      </w:r>
      <w:r w:rsidR="009A2A04" w:rsidRPr="00282AC9">
        <w:rPr>
          <w:rFonts w:cs="Mosawi"/>
          <w:sz w:val="22"/>
          <w:szCs w:val="22"/>
          <w:rtl/>
        </w:rPr>
        <w:t>|</w:t>
      </w:r>
      <w:r w:rsidR="003F6968" w:rsidRPr="00282AC9">
        <w:rPr>
          <w:rFonts w:hint="cs"/>
          <w:rtl/>
        </w:rPr>
        <w:t>،</w:t>
      </w:r>
      <w:r w:rsidRPr="00282AC9">
        <w:rPr>
          <w:rtl/>
        </w:rPr>
        <w:t xml:space="preserve"> وتركهم مواقعهم</w:t>
      </w:r>
      <w:r w:rsidR="003F6968" w:rsidRPr="00282AC9">
        <w:rPr>
          <w:rFonts w:hint="cs"/>
          <w:rtl/>
        </w:rPr>
        <w:t>،</w:t>
      </w:r>
      <w:r w:rsidRPr="00282AC9">
        <w:rPr>
          <w:rtl/>
        </w:rPr>
        <w:t xml:space="preserve"> وركضهم وراء جمع الغنائم</w:t>
      </w:r>
      <w:r w:rsidR="003F6968" w:rsidRPr="00282AC9">
        <w:rPr>
          <w:rFonts w:hint="cs"/>
          <w:rtl/>
        </w:rPr>
        <w:t>؛</w:t>
      </w:r>
      <w:r w:rsidRPr="00282AC9">
        <w:rPr>
          <w:rtl/>
        </w:rPr>
        <w:t xml:space="preserve"> خوفا</w:t>
      </w:r>
      <w:r w:rsidR="003F6968" w:rsidRPr="00282AC9">
        <w:rPr>
          <w:rFonts w:hint="cs"/>
          <w:rtl/>
        </w:rPr>
        <w:t>ً</w:t>
      </w:r>
      <w:r w:rsidR="003F6968" w:rsidRPr="00282AC9">
        <w:rPr>
          <w:rtl/>
        </w:rPr>
        <w:t xml:space="preserve"> من أن تفوتهم.</w:t>
      </w:r>
    </w:p>
    <w:p w:rsidR="00946A76" w:rsidRPr="00282AC9" w:rsidRDefault="00946A76" w:rsidP="00186251">
      <w:pPr>
        <w:rPr>
          <w:rtl/>
        </w:rPr>
      </w:pPr>
      <w:r w:rsidRPr="00282AC9">
        <w:rPr>
          <w:rtl/>
        </w:rPr>
        <w:t>كما تطاول بعضهم على النبي</w:t>
      </w:r>
      <w:r w:rsidR="003F6968" w:rsidRPr="00282AC9">
        <w:rPr>
          <w:rFonts w:hint="cs"/>
          <w:rtl/>
        </w:rPr>
        <w:t>ّ</w:t>
      </w:r>
      <w:r w:rsidR="009A2A04" w:rsidRPr="00282AC9">
        <w:rPr>
          <w:rFonts w:cs="Mosawi"/>
          <w:sz w:val="22"/>
          <w:szCs w:val="22"/>
          <w:rtl/>
        </w:rPr>
        <w:t>|</w:t>
      </w:r>
      <w:r w:rsidRPr="00282AC9">
        <w:rPr>
          <w:rtl/>
        </w:rPr>
        <w:t xml:space="preserve"> في غزوة حنين</w:t>
      </w:r>
      <w:r w:rsidR="003F6968" w:rsidRPr="00282AC9">
        <w:rPr>
          <w:rFonts w:hint="cs"/>
          <w:rtl/>
        </w:rPr>
        <w:t>؛</w:t>
      </w:r>
      <w:r w:rsidRPr="00282AC9">
        <w:rPr>
          <w:rtl/>
        </w:rPr>
        <w:t xml:space="preserve"> بسبب قسمة الغنائم. </w:t>
      </w:r>
    </w:p>
    <w:p w:rsidR="00946A76" w:rsidRPr="00282AC9" w:rsidRDefault="00946A76" w:rsidP="00186251">
      <w:pPr>
        <w:rPr>
          <w:rtl/>
        </w:rPr>
      </w:pPr>
      <w:r w:rsidRPr="00282AC9">
        <w:rPr>
          <w:rtl/>
        </w:rPr>
        <w:t>إن التأم</w:t>
      </w:r>
      <w:r w:rsidR="003F6968" w:rsidRPr="00282AC9">
        <w:rPr>
          <w:rFonts w:hint="cs"/>
          <w:rtl/>
        </w:rPr>
        <w:t>ُّ</w:t>
      </w:r>
      <w:r w:rsidRPr="00282AC9">
        <w:rPr>
          <w:rtl/>
        </w:rPr>
        <w:t>ل في الآيات القرآنية التي رافق</w:t>
      </w:r>
      <w:r w:rsidR="003F6968" w:rsidRPr="00282AC9">
        <w:rPr>
          <w:rFonts w:hint="cs"/>
          <w:rtl/>
        </w:rPr>
        <w:t>َ</w:t>
      </w:r>
      <w:r w:rsidRPr="00282AC9">
        <w:rPr>
          <w:rtl/>
        </w:rPr>
        <w:t>ت</w:t>
      </w:r>
      <w:r w:rsidR="003F6968" w:rsidRPr="00282AC9">
        <w:rPr>
          <w:rFonts w:hint="cs"/>
          <w:rtl/>
        </w:rPr>
        <w:t>ْ</w:t>
      </w:r>
      <w:r w:rsidRPr="00282AC9">
        <w:rPr>
          <w:rtl/>
        </w:rPr>
        <w:t xml:space="preserve"> حركة الجهاد في تاريخ المسلمين يفيدنا بوضوح</w:t>
      </w:r>
      <w:r w:rsidR="003F6968" w:rsidRPr="00282AC9">
        <w:rPr>
          <w:rFonts w:hint="cs"/>
          <w:rtl/>
        </w:rPr>
        <w:t>ٍ</w:t>
      </w:r>
      <w:r w:rsidRPr="00282AC9">
        <w:rPr>
          <w:rtl/>
        </w:rPr>
        <w:t xml:space="preserve"> أن ن</w:t>
      </w:r>
      <w:r w:rsidR="003F6968" w:rsidRPr="00282AC9">
        <w:rPr>
          <w:rFonts w:hint="cs"/>
          <w:rtl/>
        </w:rPr>
        <w:t>َ</w:t>
      </w:r>
      <w:r w:rsidRPr="00282AC9">
        <w:rPr>
          <w:rtl/>
        </w:rPr>
        <w:t>ي</w:t>
      </w:r>
      <w:r w:rsidR="003F6968" w:rsidRPr="00282AC9">
        <w:rPr>
          <w:rFonts w:hint="cs"/>
          <w:rtl/>
        </w:rPr>
        <w:t>ْ</w:t>
      </w:r>
      <w:r w:rsidRPr="00282AC9">
        <w:rPr>
          <w:rtl/>
        </w:rPr>
        <w:t>ل المغانم كان من بين الحوافز القوي</w:t>
      </w:r>
      <w:r w:rsidR="003F6968" w:rsidRPr="00282AC9">
        <w:rPr>
          <w:rFonts w:hint="cs"/>
          <w:rtl/>
        </w:rPr>
        <w:t>ّ</w:t>
      </w:r>
      <w:r w:rsidRPr="00282AC9">
        <w:rPr>
          <w:rtl/>
        </w:rPr>
        <w:t xml:space="preserve">ة التي طرحها القرآن لتشجيعهم على القتال. يقول تعالى: </w:t>
      </w:r>
      <w:r w:rsidR="003F6968" w:rsidRPr="00282AC9">
        <w:rPr>
          <w:rFonts w:ascii="Mosawi" w:hAnsi="Mosawi" w:cs="Mosawi"/>
          <w:sz w:val="24"/>
          <w:szCs w:val="24"/>
          <w:rtl/>
        </w:rPr>
        <w:t>﴿</w:t>
      </w:r>
      <w:r w:rsidR="00AC63E5" w:rsidRPr="00282AC9">
        <w:rPr>
          <w:b/>
          <w:bCs/>
          <w:sz w:val="27"/>
          <w:rtl/>
        </w:rPr>
        <w:t xml:space="preserve">لَقَدْ رَضِيَ اللهُ عَنْ الْمُؤْمِنِينَ إِذْ يُبَايِعُونَكَ تَحْتَ الشَّجَرَةِ فَعَلِمَ مَا فِي قُلُوبِهِمْ فَأَنْزَلَ السَّكِينَةَ عَلَيْهِمْ وَأَثَابَهُمْ فَتْحاً قَرِيباً </w:t>
      </w:r>
      <w:r w:rsidR="00AC63E5" w:rsidRPr="00282AC9">
        <w:rPr>
          <w:rFonts w:hint="cs"/>
          <w:b/>
          <w:bCs/>
          <w:sz w:val="27"/>
          <w:rtl/>
        </w:rPr>
        <w:t>*</w:t>
      </w:r>
      <w:r w:rsidR="00AC63E5" w:rsidRPr="00282AC9">
        <w:rPr>
          <w:b/>
          <w:bCs/>
          <w:sz w:val="27"/>
          <w:rtl/>
        </w:rPr>
        <w:t xml:space="preserve"> وَمَغَانِمَ كَثِيرَةً يَأْخُذُونَهَا وَكَانَ اللهُ عَزِيزاً حَكِيماً </w:t>
      </w:r>
      <w:r w:rsidR="00AC63E5" w:rsidRPr="00282AC9">
        <w:rPr>
          <w:rFonts w:hint="cs"/>
          <w:b/>
          <w:bCs/>
          <w:sz w:val="27"/>
          <w:rtl/>
        </w:rPr>
        <w:t>*</w:t>
      </w:r>
      <w:r w:rsidR="00AC63E5" w:rsidRPr="00282AC9">
        <w:rPr>
          <w:b/>
          <w:bCs/>
          <w:sz w:val="27"/>
          <w:rtl/>
        </w:rPr>
        <w:t xml:space="preserve"> وَعَدَكُمْ اللهُ مَغَانِمَ كَثِيرَةً تَأْخُذُونَهَا فَعَجَّلَ لَكُمْ هَذِهِ وَكَفَّ أَيْدِيَ النَّاسِ عَنْكُمْ وَلِتَكُونَ آيَةً لِلْمُؤْمِنِينَ وَيَهْدِيَكُمْ صِرَاطاً مُسْتَقِيماً</w:t>
      </w:r>
      <w:r w:rsidR="003F6968" w:rsidRPr="00282AC9">
        <w:rPr>
          <w:rFonts w:ascii="Mosawi" w:hAnsi="Mosawi" w:cs="Mosawi"/>
          <w:sz w:val="24"/>
          <w:szCs w:val="24"/>
          <w:rtl/>
        </w:rPr>
        <w:t>﴾</w:t>
      </w:r>
      <w:r w:rsidR="00AC63E5" w:rsidRPr="00282AC9">
        <w:rPr>
          <w:rFonts w:hint="cs"/>
          <w:rtl/>
        </w:rPr>
        <w:t xml:space="preserve"> </w:t>
      </w:r>
      <w:r w:rsidRPr="00282AC9">
        <w:rPr>
          <w:rFonts w:hint="cs"/>
          <w:rtl/>
        </w:rPr>
        <w:t>(</w:t>
      </w:r>
      <w:r w:rsidRPr="00282AC9">
        <w:rPr>
          <w:rtl/>
        </w:rPr>
        <w:t>الفتح</w:t>
      </w:r>
      <w:r w:rsidRPr="00282AC9">
        <w:rPr>
          <w:rFonts w:hint="cs"/>
          <w:rtl/>
        </w:rPr>
        <w:t xml:space="preserve">: </w:t>
      </w:r>
      <w:r w:rsidRPr="00282AC9">
        <w:rPr>
          <w:rtl/>
        </w:rPr>
        <w:t>18 ـ 20</w:t>
      </w:r>
      <w:r w:rsidRPr="00282AC9">
        <w:rPr>
          <w:rFonts w:hint="cs"/>
          <w:rtl/>
        </w:rPr>
        <w:t>)</w:t>
      </w:r>
      <w:r w:rsidR="00AC63E5" w:rsidRPr="00282AC9">
        <w:rPr>
          <w:rFonts w:hint="cs"/>
          <w:rtl/>
        </w:rPr>
        <w:t>.</w:t>
      </w:r>
      <w:r w:rsidRPr="00282AC9">
        <w:rPr>
          <w:rFonts w:hint="cs"/>
          <w:rtl/>
        </w:rPr>
        <w:t xml:space="preserve"> </w:t>
      </w:r>
      <w:r w:rsidRPr="00282AC9">
        <w:rPr>
          <w:rtl/>
        </w:rPr>
        <w:t>كان القرآن الكريم يرشّ</w:t>
      </w:r>
      <w:r w:rsidR="00AC63E5" w:rsidRPr="00282AC9">
        <w:rPr>
          <w:rFonts w:hint="cs"/>
          <w:rtl/>
        </w:rPr>
        <w:t>ِ</w:t>
      </w:r>
      <w:r w:rsidRPr="00282AC9">
        <w:rPr>
          <w:rtl/>
        </w:rPr>
        <w:t>د تحر</w:t>
      </w:r>
      <w:r w:rsidR="00AC63E5" w:rsidRPr="00282AC9">
        <w:rPr>
          <w:rFonts w:hint="cs"/>
          <w:rtl/>
        </w:rPr>
        <w:t>ّ</w:t>
      </w:r>
      <w:r w:rsidRPr="00282AC9">
        <w:rPr>
          <w:rtl/>
        </w:rPr>
        <w:t>كاتهم</w:t>
      </w:r>
      <w:r w:rsidR="00AC63E5" w:rsidRPr="00282AC9">
        <w:rPr>
          <w:rFonts w:hint="cs"/>
          <w:rtl/>
        </w:rPr>
        <w:t>،</w:t>
      </w:r>
      <w:r w:rsidRPr="00282AC9">
        <w:rPr>
          <w:rtl/>
        </w:rPr>
        <w:t xml:space="preserve"> ويهذ</w:t>
      </w:r>
      <w:r w:rsidR="00AC63E5" w:rsidRPr="00282AC9">
        <w:rPr>
          <w:rFonts w:hint="cs"/>
          <w:rtl/>
        </w:rPr>
        <w:t>ِّ</w:t>
      </w:r>
      <w:r w:rsidRPr="00282AC9">
        <w:rPr>
          <w:rtl/>
        </w:rPr>
        <w:t>ب اندفاعاتهم</w:t>
      </w:r>
      <w:r w:rsidR="00AC63E5" w:rsidRPr="00282AC9">
        <w:rPr>
          <w:rFonts w:hint="cs"/>
          <w:rtl/>
        </w:rPr>
        <w:t>،</w:t>
      </w:r>
      <w:r w:rsidRPr="00282AC9">
        <w:rPr>
          <w:rtl/>
        </w:rPr>
        <w:t xml:space="preserve"> ويقو</w:t>
      </w:r>
      <w:r w:rsidR="00AC63E5" w:rsidRPr="00282AC9">
        <w:rPr>
          <w:rFonts w:hint="cs"/>
          <w:rtl/>
        </w:rPr>
        <w:t>ِّ</w:t>
      </w:r>
      <w:r w:rsidRPr="00282AC9">
        <w:rPr>
          <w:rtl/>
        </w:rPr>
        <w:t>م اعوجاجهم</w:t>
      </w:r>
      <w:r w:rsidR="00AC63E5" w:rsidRPr="00282AC9">
        <w:rPr>
          <w:rFonts w:hint="cs"/>
          <w:rtl/>
        </w:rPr>
        <w:t>،</w:t>
      </w:r>
      <w:r w:rsidRPr="00282AC9">
        <w:rPr>
          <w:rtl/>
        </w:rPr>
        <w:t xml:space="preserve"> في هذا السياق. يقول سبحانه: </w:t>
      </w:r>
      <w:r w:rsidR="00AC63E5" w:rsidRPr="00282AC9">
        <w:rPr>
          <w:rFonts w:ascii="Mosawi" w:hAnsi="Mosawi" w:cs="Mosawi"/>
          <w:sz w:val="24"/>
          <w:szCs w:val="24"/>
          <w:rtl/>
        </w:rPr>
        <w:t>﴿</w:t>
      </w:r>
      <w:r w:rsidR="00AC63E5" w:rsidRPr="00282AC9">
        <w:rPr>
          <w:b/>
          <w:bCs/>
          <w:sz w:val="27"/>
          <w:rtl/>
        </w:rPr>
        <w:t>يَا أَيُّهَا الَّذِينَ آمَنُوا إِذَا ضَرَبْتُمْ فِي سَبِيلِ اللهِ فَتَبَيَّنُوا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w:t>
      </w:r>
      <w:r w:rsidR="00AC63E5" w:rsidRPr="00282AC9">
        <w:rPr>
          <w:rFonts w:ascii="Mosawi" w:hAnsi="Mosawi" w:cs="Mosawi"/>
          <w:sz w:val="24"/>
          <w:szCs w:val="24"/>
          <w:rtl/>
        </w:rPr>
        <w:t>﴾</w:t>
      </w:r>
      <w:r w:rsidRPr="00282AC9">
        <w:rPr>
          <w:rFonts w:hint="cs"/>
          <w:rtl/>
        </w:rPr>
        <w:t xml:space="preserve"> (</w:t>
      </w:r>
      <w:r w:rsidRPr="00282AC9">
        <w:rPr>
          <w:rtl/>
        </w:rPr>
        <w:t>النساء</w:t>
      </w:r>
      <w:r w:rsidRPr="00282AC9">
        <w:rPr>
          <w:rFonts w:hint="cs"/>
          <w:rtl/>
        </w:rPr>
        <w:t xml:space="preserve">: </w:t>
      </w:r>
      <w:r w:rsidRPr="00282AC9">
        <w:rPr>
          <w:rtl/>
        </w:rPr>
        <w:t>94</w:t>
      </w:r>
      <w:r w:rsidRPr="00282AC9">
        <w:rPr>
          <w:rFonts w:hint="cs"/>
          <w:rtl/>
        </w:rPr>
        <w:t>).</w:t>
      </w:r>
      <w:r w:rsidRPr="00282AC9">
        <w:rPr>
          <w:rtl/>
        </w:rPr>
        <w:t xml:space="preserve"> </w:t>
      </w:r>
    </w:p>
    <w:p w:rsidR="00946A76" w:rsidRPr="00282AC9" w:rsidRDefault="00AC63E5" w:rsidP="00186251">
      <w:pPr>
        <w:rPr>
          <w:bCs/>
          <w:rtl/>
        </w:rPr>
      </w:pPr>
      <w:r w:rsidRPr="00282AC9">
        <w:rPr>
          <w:rtl/>
        </w:rPr>
        <w:t>وكيف</w:t>
      </w:r>
      <w:r w:rsidR="00946A76" w:rsidRPr="00282AC9">
        <w:rPr>
          <w:rtl/>
        </w:rPr>
        <w:t>ما كان فإن الإرباك الحاصل بين الدارسين حول ق</w:t>
      </w:r>
      <w:r w:rsidRPr="00282AC9">
        <w:rPr>
          <w:rFonts w:hint="cs"/>
          <w:rtl/>
        </w:rPr>
        <w:t>َ</w:t>
      </w:r>
      <w:r w:rsidR="00946A76" w:rsidRPr="00282AC9">
        <w:rPr>
          <w:rtl/>
        </w:rPr>
        <w:t>ي</w:t>
      </w:r>
      <w:r w:rsidRPr="00282AC9">
        <w:rPr>
          <w:rFonts w:hint="cs"/>
          <w:rtl/>
        </w:rPr>
        <w:t>ْ</w:t>
      </w:r>
      <w:r w:rsidR="00946A76" w:rsidRPr="00282AC9">
        <w:rPr>
          <w:rtl/>
        </w:rPr>
        <w:t>د اللغويين (بدون مشق</w:t>
      </w:r>
      <w:r w:rsidRPr="00282AC9">
        <w:rPr>
          <w:rFonts w:hint="cs"/>
          <w:rtl/>
        </w:rPr>
        <w:t>ّ</w:t>
      </w:r>
      <w:r w:rsidR="00946A76" w:rsidRPr="00282AC9">
        <w:rPr>
          <w:rtl/>
        </w:rPr>
        <w:t>ة</w:t>
      </w:r>
      <w:r w:rsidRPr="00282AC9">
        <w:rPr>
          <w:rFonts w:hint="cs"/>
          <w:rtl/>
        </w:rPr>
        <w:t>ٍ</w:t>
      </w:r>
      <w:r w:rsidR="00946A76" w:rsidRPr="00282AC9">
        <w:rPr>
          <w:rtl/>
        </w:rPr>
        <w:t>) منشؤه اختلاف المعطيات اللغوي</w:t>
      </w:r>
      <w:r w:rsidRPr="00282AC9">
        <w:rPr>
          <w:rFonts w:hint="cs"/>
          <w:rtl/>
        </w:rPr>
        <w:t>ّ</w:t>
      </w:r>
      <w:r w:rsidR="00946A76" w:rsidRPr="00282AC9">
        <w:rPr>
          <w:rtl/>
        </w:rPr>
        <w:t>ة والروائية والفقهية</w:t>
      </w:r>
      <w:r w:rsidRPr="00282AC9">
        <w:rPr>
          <w:rFonts w:hint="cs"/>
          <w:rtl/>
        </w:rPr>
        <w:t>،</w:t>
      </w:r>
      <w:r w:rsidR="00946A76" w:rsidRPr="00282AC9">
        <w:rPr>
          <w:rtl/>
        </w:rPr>
        <w:t xml:space="preserve"> ولهذا حاولوا التوفيق بينها. </w:t>
      </w:r>
    </w:p>
    <w:p w:rsidR="00235851" w:rsidRPr="00282AC9" w:rsidRDefault="00235851" w:rsidP="00235851">
      <w:pPr>
        <w:spacing w:line="420" w:lineRule="exact"/>
        <w:rPr>
          <w:rtl/>
        </w:rPr>
      </w:pPr>
    </w:p>
    <w:p w:rsidR="00946A76" w:rsidRPr="00282AC9" w:rsidRDefault="00946A76" w:rsidP="00B70E1F">
      <w:pPr>
        <w:pStyle w:val="31"/>
        <w:rPr>
          <w:color w:val="auto"/>
          <w:rtl/>
        </w:rPr>
      </w:pPr>
      <w:r w:rsidRPr="00282AC9">
        <w:rPr>
          <w:color w:val="auto"/>
          <w:rtl/>
        </w:rPr>
        <w:t xml:space="preserve">منظوران رئيسان </w:t>
      </w:r>
    </w:p>
    <w:p w:rsidR="00946A76" w:rsidRPr="00282AC9" w:rsidRDefault="00946A76" w:rsidP="00186251">
      <w:pPr>
        <w:rPr>
          <w:rtl/>
        </w:rPr>
      </w:pPr>
      <w:r w:rsidRPr="00282AC9">
        <w:rPr>
          <w:rtl/>
        </w:rPr>
        <w:t>ومحص</w:t>
      </w:r>
      <w:r w:rsidR="00AC63E5" w:rsidRPr="00282AC9">
        <w:rPr>
          <w:rFonts w:hint="cs"/>
          <w:rtl/>
        </w:rPr>
        <w:t>ّ</w:t>
      </w:r>
      <w:r w:rsidRPr="00282AC9">
        <w:rPr>
          <w:rtl/>
        </w:rPr>
        <w:t>لة البحث أن هناك منظورين رئيسين في تحديد مفهوم الغنيمة في الآية</w:t>
      </w:r>
      <w:r w:rsidR="00AC63E5" w:rsidRPr="00282AC9">
        <w:rPr>
          <w:rFonts w:hint="cs"/>
          <w:rtl/>
        </w:rPr>
        <w:t>،</w:t>
      </w:r>
      <w:r w:rsidRPr="00282AC9">
        <w:rPr>
          <w:rtl/>
        </w:rPr>
        <w:t xml:space="preserve"> </w:t>
      </w:r>
      <w:r w:rsidRPr="00282AC9">
        <w:rPr>
          <w:rtl/>
        </w:rPr>
        <w:lastRenderedPageBreak/>
        <w:t xml:space="preserve">هما: </w:t>
      </w:r>
    </w:p>
    <w:p w:rsidR="00946A76" w:rsidRPr="00282AC9" w:rsidRDefault="00946A76" w:rsidP="00186251">
      <w:pPr>
        <w:rPr>
          <w:rtl/>
        </w:rPr>
      </w:pPr>
      <w:r w:rsidRPr="00282AC9">
        <w:rPr>
          <w:b/>
          <w:bCs/>
          <w:rtl/>
        </w:rPr>
        <w:t>الأو</w:t>
      </w:r>
      <w:r w:rsidR="00AC63E5" w:rsidRPr="00282AC9">
        <w:rPr>
          <w:rFonts w:hint="cs"/>
          <w:b/>
          <w:bCs/>
          <w:rtl/>
        </w:rPr>
        <w:t>ّ</w:t>
      </w:r>
      <w:r w:rsidRPr="00282AC9">
        <w:rPr>
          <w:b/>
          <w:bCs/>
          <w:rtl/>
        </w:rPr>
        <w:t>ل</w:t>
      </w:r>
      <w:r w:rsidRPr="00282AC9">
        <w:rPr>
          <w:rtl/>
        </w:rPr>
        <w:t>: يقصر مدلول الغنيمة على غنائم الحرب و</w:t>
      </w:r>
      <w:r w:rsidR="00AC63E5" w:rsidRPr="00282AC9">
        <w:rPr>
          <w:rFonts w:hint="cs"/>
          <w:rtl/>
        </w:rPr>
        <w:t>َ</w:t>
      </w:r>
      <w:r w:rsidRPr="00282AC9">
        <w:rPr>
          <w:rtl/>
        </w:rPr>
        <w:t>ح</w:t>
      </w:r>
      <w:r w:rsidR="00AC63E5" w:rsidRPr="00282AC9">
        <w:rPr>
          <w:rFonts w:hint="cs"/>
          <w:rtl/>
        </w:rPr>
        <w:t>ْ</w:t>
      </w:r>
      <w:r w:rsidRPr="00282AC9">
        <w:rPr>
          <w:rtl/>
        </w:rPr>
        <w:t>د</w:t>
      </w:r>
      <w:r w:rsidR="00AC63E5" w:rsidRPr="00282AC9">
        <w:rPr>
          <w:rFonts w:hint="cs"/>
          <w:rtl/>
        </w:rPr>
        <w:t>َ</w:t>
      </w:r>
      <w:r w:rsidRPr="00282AC9">
        <w:rPr>
          <w:rtl/>
        </w:rPr>
        <w:t xml:space="preserve">ها. </w:t>
      </w:r>
    </w:p>
    <w:p w:rsidR="00AC63E5" w:rsidRPr="00282AC9" w:rsidRDefault="00946A76" w:rsidP="00186251">
      <w:pPr>
        <w:rPr>
          <w:rtl/>
        </w:rPr>
      </w:pPr>
      <w:r w:rsidRPr="00282AC9">
        <w:rPr>
          <w:b/>
          <w:bCs/>
          <w:rtl/>
        </w:rPr>
        <w:t>الثاني</w:t>
      </w:r>
      <w:r w:rsidRPr="00282AC9">
        <w:rPr>
          <w:rtl/>
        </w:rPr>
        <w:t>: يوس</w:t>
      </w:r>
      <w:r w:rsidR="00AC63E5" w:rsidRPr="00282AC9">
        <w:rPr>
          <w:rFonts w:hint="cs"/>
          <w:rtl/>
        </w:rPr>
        <w:t>ِّ</w:t>
      </w:r>
      <w:r w:rsidRPr="00282AC9">
        <w:rPr>
          <w:rtl/>
        </w:rPr>
        <w:t>ع المفهوم</w:t>
      </w:r>
      <w:r w:rsidR="00AC63E5" w:rsidRPr="00282AC9">
        <w:rPr>
          <w:rFonts w:hint="cs"/>
          <w:rtl/>
        </w:rPr>
        <w:t>،</w:t>
      </w:r>
      <w:r w:rsidRPr="00282AC9">
        <w:rPr>
          <w:rtl/>
        </w:rPr>
        <w:t xml:space="preserve"> ليشمل كل</w:t>
      </w:r>
      <w:r w:rsidR="00AC63E5" w:rsidRPr="00282AC9">
        <w:rPr>
          <w:rFonts w:hint="cs"/>
          <w:rtl/>
        </w:rPr>
        <w:t>ّ</w:t>
      </w:r>
      <w:r w:rsidRPr="00282AC9">
        <w:rPr>
          <w:rtl/>
        </w:rPr>
        <w:t xml:space="preserve"> ما يفوز به المرء</w:t>
      </w:r>
      <w:r w:rsidR="00AC63E5" w:rsidRPr="00282AC9">
        <w:rPr>
          <w:rFonts w:hint="cs"/>
          <w:rtl/>
        </w:rPr>
        <w:t>،</w:t>
      </w:r>
      <w:r w:rsidRPr="00282AC9">
        <w:rPr>
          <w:rtl/>
        </w:rPr>
        <w:t xml:space="preserve"> في الحرب أو السلم</w:t>
      </w:r>
      <w:r w:rsidR="00AC63E5" w:rsidRPr="00282AC9">
        <w:rPr>
          <w:rFonts w:hint="cs"/>
          <w:rtl/>
        </w:rPr>
        <w:t>،</w:t>
      </w:r>
      <w:r w:rsidRPr="00282AC9">
        <w:rPr>
          <w:rtl/>
        </w:rPr>
        <w:t xml:space="preserve"> من كسب</w:t>
      </w:r>
      <w:r w:rsidR="00AC63E5" w:rsidRPr="00282AC9">
        <w:rPr>
          <w:rFonts w:hint="cs"/>
          <w:rtl/>
        </w:rPr>
        <w:t>ٍ</w:t>
      </w:r>
      <w:r w:rsidRPr="00282AC9">
        <w:rPr>
          <w:rtl/>
        </w:rPr>
        <w:t xml:space="preserve"> أو تجارة</w:t>
      </w:r>
      <w:r w:rsidR="00AC63E5" w:rsidRPr="00282AC9">
        <w:rPr>
          <w:rFonts w:hint="cs"/>
          <w:rtl/>
        </w:rPr>
        <w:t>ٍ</w:t>
      </w:r>
      <w:r w:rsidRPr="00282AC9">
        <w:rPr>
          <w:rtl/>
        </w:rPr>
        <w:t xml:space="preserve"> أو كنز</w:t>
      </w:r>
      <w:r w:rsidR="00AC63E5" w:rsidRPr="00282AC9">
        <w:rPr>
          <w:rFonts w:hint="cs"/>
          <w:rtl/>
        </w:rPr>
        <w:t>ٍ</w:t>
      </w:r>
      <w:r w:rsidRPr="00282AC9">
        <w:rPr>
          <w:rtl/>
        </w:rPr>
        <w:t xml:space="preserve"> أو ركاز</w:t>
      </w:r>
      <w:r w:rsidR="00AC63E5" w:rsidRPr="00282AC9">
        <w:rPr>
          <w:rFonts w:hint="cs"/>
          <w:rtl/>
        </w:rPr>
        <w:t>ٍ</w:t>
      </w:r>
      <w:r w:rsidRPr="00282AC9">
        <w:rPr>
          <w:rtl/>
        </w:rPr>
        <w:t xml:space="preserve"> أو غوص</w:t>
      </w:r>
      <w:r w:rsidR="00AC63E5" w:rsidRPr="00282AC9">
        <w:rPr>
          <w:rFonts w:hint="cs"/>
          <w:rtl/>
        </w:rPr>
        <w:t>ٍ</w:t>
      </w:r>
      <w:r w:rsidRPr="00282AC9">
        <w:rPr>
          <w:rtl/>
        </w:rPr>
        <w:t xml:space="preserve"> وما شاكل</w:t>
      </w:r>
      <w:r w:rsidR="00AC63E5" w:rsidRPr="00282AC9">
        <w:rPr>
          <w:rFonts w:hint="cs"/>
          <w:rtl/>
        </w:rPr>
        <w:t>.</w:t>
      </w:r>
    </w:p>
    <w:p w:rsidR="00946A76" w:rsidRPr="00282AC9" w:rsidRDefault="00946A76" w:rsidP="00186251">
      <w:pPr>
        <w:rPr>
          <w:rtl/>
        </w:rPr>
      </w:pPr>
      <w:r w:rsidRPr="00282AC9">
        <w:rPr>
          <w:rtl/>
        </w:rPr>
        <w:t>وهناك منظور</w:t>
      </w:r>
      <w:r w:rsidR="00AC63E5" w:rsidRPr="00282AC9">
        <w:rPr>
          <w:rFonts w:hint="cs"/>
          <w:rtl/>
        </w:rPr>
        <w:t>ٌ</w:t>
      </w:r>
      <w:r w:rsidRPr="00282AC9">
        <w:rPr>
          <w:rtl/>
        </w:rPr>
        <w:t xml:space="preserve"> يتوسط بينهما من بعض الوجوه. </w:t>
      </w:r>
    </w:p>
    <w:p w:rsidR="00946A76" w:rsidRPr="00282AC9" w:rsidRDefault="00946A76" w:rsidP="00186251">
      <w:pPr>
        <w:rPr>
          <w:rtl/>
        </w:rPr>
      </w:pPr>
      <w:r w:rsidRPr="00282AC9">
        <w:rPr>
          <w:rtl/>
        </w:rPr>
        <w:t>وقد أشار الطوسي(460</w:t>
      </w:r>
      <w:r w:rsidRPr="00282AC9">
        <w:rPr>
          <w:rFonts w:hint="cs"/>
          <w:rtl/>
        </w:rPr>
        <w:t>هـ</w:t>
      </w:r>
      <w:r w:rsidRPr="00282AC9">
        <w:rPr>
          <w:rtl/>
        </w:rPr>
        <w:t>) إلى كلا المنظورين</w:t>
      </w:r>
      <w:r w:rsidR="00AC63E5" w:rsidRPr="00282AC9">
        <w:rPr>
          <w:rFonts w:hint="cs"/>
          <w:rtl/>
        </w:rPr>
        <w:t>،</w:t>
      </w:r>
      <w:r w:rsidRPr="00282AC9">
        <w:rPr>
          <w:rtl/>
        </w:rPr>
        <w:t xml:space="preserve"> عند جمعه بين بعض الأخبار المختلفة حول الغنيمة</w:t>
      </w:r>
      <w:r w:rsidR="00AC63E5" w:rsidRPr="00282AC9">
        <w:rPr>
          <w:rFonts w:hint="cs"/>
          <w:rtl/>
        </w:rPr>
        <w:t>،</w:t>
      </w:r>
      <w:r w:rsidRPr="00282AC9">
        <w:rPr>
          <w:rtl/>
        </w:rPr>
        <w:t xml:space="preserve"> وما اذا كانت بالمعنى الخاص</w:t>
      </w:r>
      <w:r w:rsidR="00AC63E5" w:rsidRPr="00282AC9">
        <w:rPr>
          <w:rFonts w:hint="cs"/>
          <w:rtl/>
        </w:rPr>
        <w:t>ّ</w:t>
      </w:r>
      <w:r w:rsidRPr="00282AC9">
        <w:rPr>
          <w:rtl/>
        </w:rPr>
        <w:t xml:space="preserve"> أو العام</w:t>
      </w:r>
      <w:r w:rsidR="00AC63E5" w:rsidRPr="00282AC9">
        <w:rPr>
          <w:rFonts w:hint="cs"/>
          <w:rtl/>
        </w:rPr>
        <w:t>ّ</w:t>
      </w:r>
      <w:r w:rsidR="00AC63E5" w:rsidRPr="00282AC9">
        <w:rPr>
          <w:rtl/>
        </w:rPr>
        <w:t xml:space="preserve">. </w:t>
      </w:r>
      <w:r w:rsidRPr="00282AC9">
        <w:rPr>
          <w:rtl/>
        </w:rPr>
        <w:t xml:space="preserve">قال: </w:t>
      </w:r>
      <w:r w:rsidR="00AC63E5" w:rsidRPr="00282AC9">
        <w:rPr>
          <w:rFonts w:hint="eastAsia"/>
          <w:sz w:val="24"/>
          <w:szCs w:val="24"/>
          <w:rtl/>
        </w:rPr>
        <w:t>«</w:t>
      </w:r>
      <w:r w:rsidRPr="00282AC9">
        <w:rPr>
          <w:rtl/>
        </w:rPr>
        <w:t xml:space="preserve">الوجه فيه أحد شيئين: </w:t>
      </w:r>
    </w:p>
    <w:p w:rsidR="00946A76" w:rsidRPr="00282AC9" w:rsidRDefault="00946A76" w:rsidP="00186251">
      <w:pPr>
        <w:rPr>
          <w:rtl/>
        </w:rPr>
      </w:pPr>
      <w:r w:rsidRPr="00282AC9">
        <w:rPr>
          <w:b/>
          <w:bCs/>
          <w:rtl/>
        </w:rPr>
        <w:t>أحدهما</w:t>
      </w:r>
      <w:r w:rsidR="00AC63E5" w:rsidRPr="00282AC9">
        <w:rPr>
          <w:rFonts w:hint="cs"/>
          <w:rtl/>
        </w:rPr>
        <w:t>:</w:t>
      </w:r>
      <w:r w:rsidRPr="00282AC9">
        <w:rPr>
          <w:rtl/>
        </w:rPr>
        <w:t xml:space="preserve"> أن يكون المعنى فيه أنه ليس الخمس إلا</w:t>
      </w:r>
      <w:r w:rsidR="00AC63E5" w:rsidRPr="00282AC9">
        <w:rPr>
          <w:rFonts w:hint="cs"/>
          <w:rtl/>
        </w:rPr>
        <w:t>ّ</w:t>
      </w:r>
      <w:r w:rsidRPr="00282AC9">
        <w:rPr>
          <w:rtl/>
        </w:rPr>
        <w:t xml:space="preserve"> في الغنائم خاص</w:t>
      </w:r>
      <w:r w:rsidR="00AC63E5" w:rsidRPr="00282AC9">
        <w:rPr>
          <w:rFonts w:hint="cs"/>
          <w:rtl/>
        </w:rPr>
        <w:t>ّ</w:t>
      </w:r>
      <w:r w:rsidRPr="00282AC9">
        <w:rPr>
          <w:rtl/>
        </w:rPr>
        <w:t>ة</w:t>
      </w:r>
      <w:r w:rsidR="00AC63E5" w:rsidRPr="00282AC9">
        <w:rPr>
          <w:rFonts w:hint="cs"/>
          <w:rtl/>
        </w:rPr>
        <w:t>؛</w:t>
      </w:r>
      <w:r w:rsidRPr="00282AC9">
        <w:rPr>
          <w:rtl/>
        </w:rPr>
        <w:t xml:space="preserve"> بظاهر القرآن</w:t>
      </w:r>
      <w:r w:rsidR="00AC63E5" w:rsidRPr="00282AC9">
        <w:rPr>
          <w:rFonts w:hint="cs"/>
          <w:rtl/>
        </w:rPr>
        <w:t>؛</w:t>
      </w:r>
      <w:r w:rsidRPr="00282AC9">
        <w:rPr>
          <w:rtl/>
        </w:rPr>
        <w:t xml:space="preserve"> لأن ما عدا الغنائم إنما علم وجوب الخمس فيه في السن</w:t>
      </w:r>
      <w:r w:rsidR="0098044F" w:rsidRPr="00282AC9">
        <w:rPr>
          <w:rFonts w:hint="cs"/>
          <w:rtl/>
        </w:rPr>
        <w:t>ّ</w:t>
      </w:r>
      <w:r w:rsidRPr="00282AC9">
        <w:rPr>
          <w:rtl/>
        </w:rPr>
        <w:t>ة، ولم ي</w:t>
      </w:r>
      <w:r w:rsidR="0098044F" w:rsidRPr="00282AC9">
        <w:rPr>
          <w:rFonts w:hint="cs"/>
          <w:rtl/>
        </w:rPr>
        <w:t>َ</w:t>
      </w:r>
      <w:r w:rsidRPr="00282AC9">
        <w:rPr>
          <w:rtl/>
        </w:rPr>
        <w:t>ع</w:t>
      </w:r>
      <w:r w:rsidR="0098044F" w:rsidRPr="00282AC9">
        <w:rPr>
          <w:rFonts w:hint="cs"/>
          <w:rtl/>
        </w:rPr>
        <w:t>ْ</w:t>
      </w:r>
      <w:r w:rsidRPr="00282AC9">
        <w:rPr>
          <w:rtl/>
        </w:rPr>
        <w:t>ن</w:t>
      </w:r>
      <w:r w:rsidR="0098044F" w:rsidRPr="00282AC9">
        <w:rPr>
          <w:rFonts w:hint="cs"/>
          <w:rtl/>
        </w:rPr>
        <w:t>ِ</w:t>
      </w:r>
      <w:r w:rsidRPr="00282AC9">
        <w:rPr>
          <w:rtl/>
        </w:rPr>
        <w:t xml:space="preserve"> أنه ليس في ذلك خمس</w:t>
      </w:r>
      <w:r w:rsidR="0098044F" w:rsidRPr="00282AC9">
        <w:rPr>
          <w:rFonts w:hint="cs"/>
          <w:rtl/>
        </w:rPr>
        <w:t>ٌ</w:t>
      </w:r>
      <w:r w:rsidRPr="00282AC9">
        <w:rPr>
          <w:rtl/>
        </w:rPr>
        <w:t xml:space="preserve"> أصلا</w:t>
      </w:r>
      <w:r w:rsidR="0098044F" w:rsidRPr="00282AC9">
        <w:rPr>
          <w:rFonts w:hint="cs"/>
          <w:rtl/>
        </w:rPr>
        <w:t>ً</w:t>
      </w:r>
      <w:r w:rsidRPr="00282AC9">
        <w:rPr>
          <w:rtl/>
        </w:rPr>
        <w:t xml:space="preserve">. </w:t>
      </w:r>
    </w:p>
    <w:p w:rsidR="00946A76" w:rsidRPr="00282AC9" w:rsidRDefault="00946A76" w:rsidP="00186251">
      <w:pPr>
        <w:rPr>
          <w:rtl/>
        </w:rPr>
      </w:pPr>
      <w:r w:rsidRPr="00282AC9">
        <w:rPr>
          <w:b/>
          <w:bCs/>
          <w:rtl/>
        </w:rPr>
        <w:t>والوجه الثاني</w:t>
      </w:r>
      <w:r w:rsidRPr="00282AC9">
        <w:rPr>
          <w:rtl/>
        </w:rPr>
        <w:t>: أن تكون هذه المكاسب والفوائد التي تحصل للإنسان هي من جملة الغنائم التي ذكرها الله تعالى في القرآن، وقد بي</w:t>
      </w:r>
      <w:r w:rsidR="0098044F" w:rsidRPr="00282AC9">
        <w:rPr>
          <w:rFonts w:hint="cs"/>
          <w:rtl/>
        </w:rPr>
        <w:t>َّ</w:t>
      </w:r>
      <w:r w:rsidRPr="00282AC9">
        <w:rPr>
          <w:rtl/>
        </w:rPr>
        <w:t>ن</w:t>
      </w:r>
      <w:r w:rsidR="009A2A04" w:rsidRPr="00282AC9">
        <w:rPr>
          <w:rFonts w:cs="Mosawi" w:hint="cs"/>
          <w:sz w:val="22"/>
          <w:szCs w:val="22"/>
          <w:rtl/>
        </w:rPr>
        <w:t>×</w:t>
      </w:r>
      <w:r w:rsidRPr="00282AC9">
        <w:rPr>
          <w:rtl/>
        </w:rPr>
        <w:t xml:space="preserve"> ذلك في الرواية التي ذكرناها في أو</w:t>
      </w:r>
      <w:r w:rsidR="0098044F" w:rsidRPr="00282AC9">
        <w:rPr>
          <w:rFonts w:hint="cs"/>
          <w:rtl/>
        </w:rPr>
        <w:t>ّ</w:t>
      </w:r>
      <w:r w:rsidRPr="00282AC9">
        <w:rPr>
          <w:rtl/>
        </w:rPr>
        <w:t>ل الباب</w:t>
      </w:r>
      <w:r w:rsidR="0098044F" w:rsidRPr="00282AC9">
        <w:rPr>
          <w:rFonts w:hint="eastAsia"/>
          <w:sz w:val="24"/>
          <w:szCs w:val="24"/>
          <w:rtl/>
        </w:rPr>
        <w:t>»</w:t>
      </w:r>
      <w:r w:rsidRPr="00282AC9">
        <w:rPr>
          <w:rFonts w:hint="cs"/>
          <w:vertAlign w:val="superscript"/>
          <w:rtl/>
        </w:rPr>
        <w:t>(</w:t>
      </w:r>
      <w:r w:rsidRPr="00282AC9">
        <w:rPr>
          <w:rStyle w:val="af9"/>
          <w:sz w:val="27"/>
          <w:rtl/>
        </w:rPr>
        <w:endnoteReference w:id="508"/>
      </w:r>
      <w:r w:rsidRPr="00282AC9">
        <w:rPr>
          <w:rFonts w:hint="cs"/>
          <w:vertAlign w:val="superscript"/>
          <w:rtl/>
        </w:rPr>
        <w:t>)</w:t>
      </w:r>
      <w:r w:rsidRPr="00282AC9">
        <w:rPr>
          <w:rFonts w:hint="cs"/>
          <w:rtl/>
        </w:rPr>
        <w:t>.</w:t>
      </w:r>
    </w:p>
    <w:p w:rsidR="00235851" w:rsidRPr="00282AC9" w:rsidRDefault="00235851" w:rsidP="00235851">
      <w:pPr>
        <w:spacing w:line="420" w:lineRule="exact"/>
        <w:rPr>
          <w:rtl/>
        </w:rPr>
      </w:pPr>
    </w:p>
    <w:p w:rsidR="00946A76" w:rsidRPr="00282AC9" w:rsidRDefault="00946A76" w:rsidP="00B70E1F">
      <w:pPr>
        <w:pStyle w:val="31"/>
        <w:rPr>
          <w:color w:val="auto"/>
          <w:rtl/>
        </w:rPr>
      </w:pPr>
      <w:r w:rsidRPr="00282AC9">
        <w:rPr>
          <w:color w:val="auto"/>
          <w:rtl/>
        </w:rPr>
        <w:t>خمس الأرباح التجاري</w:t>
      </w:r>
      <w:r w:rsidR="0098044F" w:rsidRPr="00282AC9">
        <w:rPr>
          <w:rFonts w:hint="cs"/>
          <w:color w:val="auto"/>
          <w:rtl/>
        </w:rPr>
        <w:t>ّ</w:t>
      </w:r>
      <w:r w:rsidRPr="00282AC9">
        <w:rPr>
          <w:color w:val="auto"/>
          <w:rtl/>
        </w:rPr>
        <w:t xml:space="preserve">ة </w:t>
      </w:r>
    </w:p>
    <w:p w:rsidR="00946A76" w:rsidRPr="00282AC9" w:rsidRDefault="00946A76" w:rsidP="00186251">
      <w:pPr>
        <w:rPr>
          <w:rtl/>
        </w:rPr>
      </w:pPr>
      <w:r w:rsidRPr="00282AC9">
        <w:rPr>
          <w:rtl/>
        </w:rPr>
        <w:t>اختلفت آراء الفقهاء القائلين بثبوت تشريع خمس الأرباح في أمور</w:t>
      </w:r>
      <w:r w:rsidR="0098044F" w:rsidRPr="00282AC9">
        <w:rPr>
          <w:rFonts w:hint="cs"/>
          <w:rtl/>
        </w:rPr>
        <w:t>ٍ،</w:t>
      </w:r>
      <w:r w:rsidRPr="00282AC9">
        <w:rPr>
          <w:rtl/>
        </w:rPr>
        <w:t xml:space="preserve"> منها</w:t>
      </w:r>
      <w:r w:rsidR="0098044F" w:rsidRPr="00282AC9">
        <w:rPr>
          <w:rFonts w:hint="cs"/>
          <w:rtl/>
        </w:rPr>
        <w:t>:</w:t>
      </w:r>
      <w:r w:rsidRPr="00282AC9">
        <w:rPr>
          <w:rtl/>
        </w:rPr>
        <w:t xml:space="preserve"> مستند هذا القول ودليله. </w:t>
      </w:r>
    </w:p>
    <w:p w:rsidR="00946A76" w:rsidRPr="00282AC9" w:rsidRDefault="00946A76" w:rsidP="00186251">
      <w:pPr>
        <w:rPr>
          <w:rtl/>
        </w:rPr>
      </w:pPr>
      <w:r w:rsidRPr="00282AC9">
        <w:rPr>
          <w:rtl/>
        </w:rPr>
        <w:t>فرأى بعض أنه الكتاب والسن</w:t>
      </w:r>
      <w:r w:rsidR="0098044F" w:rsidRPr="00282AC9">
        <w:rPr>
          <w:rFonts w:hint="cs"/>
          <w:rtl/>
        </w:rPr>
        <w:t>ّ</w:t>
      </w:r>
      <w:r w:rsidRPr="00282AC9">
        <w:rPr>
          <w:rtl/>
        </w:rPr>
        <w:t>ة</w:t>
      </w:r>
      <w:r w:rsidR="0098044F" w:rsidRPr="00282AC9">
        <w:rPr>
          <w:rFonts w:hint="cs"/>
          <w:rtl/>
        </w:rPr>
        <w:t>؛</w:t>
      </w:r>
      <w:r w:rsidRPr="00282AC9">
        <w:rPr>
          <w:rtl/>
        </w:rPr>
        <w:t xml:space="preserve"> بينما قر</w:t>
      </w:r>
      <w:r w:rsidR="0098044F" w:rsidRPr="00282AC9">
        <w:rPr>
          <w:rFonts w:hint="cs"/>
          <w:rtl/>
        </w:rPr>
        <w:t>َّ</w:t>
      </w:r>
      <w:r w:rsidRPr="00282AC9">
        <w:rPr>
          <w:rtl/>
        </w:rPr>
        <w:t>ر آخرون أن مستنده السن</w:t>
      </w:r>
      <w:r w:rsidR="0098044F" w:rsidRPr="00282AC9">
        <w:rPr>
          <w:rFonts w:hint="cs"/>
          <w:rtl/>
        </w:rPr>
        <w:t>ّ</w:t>
      </w:r>
      <w:r w:rsidRPr="00282AC9">
        <w:rPr>
          <w:rtl/>
        </w:rPr>
        <w:t>ة الواردة عن أئم</w:t>
      </w:r>
      <w:r w:rsidR="0098044F" w:rsidRPr="00282AC9">
        <w:rPr>
          <w:rFonts w:hint="cs"/>
          <w:rtl/>
        </w:rPr>
        <w:t>ّ</w:t>
      </w:r>
      <w:r w:rsidRPr="00282AC9">
        <w:rPr>
          <w:rtl/>
        </w:rPr>
        <w:t>ة أهل البيت</w:t>
      </w:r>
      <w:r w:rsidR="00876ECA" w:rsidRPr="00282AC9">
        <w:rPr>
          <w:rFonts w:cs="Mosawi" w:hint="cs"/>
          <w:sz w:val="22"/>
          <w:szCs w:val="22"/>
          <w:rtl/>
        </w:rPr>
        <w:t>^</w:t>
      </w:r>
      <w:r w:rsidRPr="00282AC9">
        <w:rPr>
          <w:rtl/>
        </w:rPr>
        <w:t xml:space="preserve">. </w:t>
      </w:r>
    </w:p>
    <w:p w:rsidR="00946A76" w:rsidRPr="00282AC9" w:rsidRDefault="00946A76" w:rsidP="00186251">
      <w:pPr>
        <w:rPr>
          <w:rtl/>
        </w:rPr>
      </w:pPr>
      <w:r w:rsidRPr="00282AC9">
        <w:rPr>
          <w:rtl/>
        </w:rPr>
        <w:t>يرى الهاشمي أن الاستدلال بالسن</w:t>
      </w:r>
      <w:r w:rsidR="0098044F" w:rsidRPr="00282AC9">
        <w:rPr>
          <w:rFonts w:hint="cs"/>
          <w:rtl/>
        </w:rPr>
        <w:t>ّ</w:t>
      </w:r>
      <w:r w:rsidRPr="00282AC9">
        <w:rPr>
          <w:rtl/>
        </w:rPr>
        <w:t>ة على ثبوت الخمس في هذا الصنف (أرباح المكاسب)</w:t>
      </w:r>
      <w:r w:rsidR="0098044F" w:rsidRPr="00282AC9">
        <w:rPr>
          <w:rFonts w:hint="cs"/>
          <w:rtl/>
        </w:rPr>
        <w:t>.</w:t>
      </w:r>
      <w:r w:rsidRPr="00282AC9">
        <w:rPr>
          <w:rtl/>
        </w:rPr>
        <w:t xml:space="preserve"> فهي روايات</w:t>
      </w:r>
      <w:r w:rsidR="0098044F" w:rsidRPr="00282AC9">
        <w:rPr>
          <w:rFonts w:hint="cs"/>
          <w:rtl/>
        </w:rPr>
        <w:t>ٌ</w:t>
      </w:r>
      <w:r w:rsidRPr="00282AC9">
        <w:rPr>
          <w:rtl/>
        </w:rPr>
        <w:t xml:space="preserve"> عديدة مستفيضة، لا يبعد تواترها إجمالا</w:t>
      </w:r>
      <w:r w:rsidRPr="00282AC9">
        <w:rPr>
          <w:rFonts w:hint="cs"/>
          <w:rtl/>
        </w:rPr>
        <w:t>ً</w:t>
      </w:r>
      <w:r w:rsidRPr="00282AC9">
        <w:rPr>
          <w:rFonts w:hint="cs"/>
          <w:vertAlign w:val="superscript"/>
          <w:rtl/>
        </w:rPr>
        <w:t>(</w:t>
      </w:r>
      <w:r w:rsidRPr="00282AC9">
        <w:rPr>
          <w:rStyle w:val="af9"/>
          <w:sz w:val="27"/>
          <w:rtl/>
        </w:rPr>
        <w:endnoteReference w:id="509"/>
      </w:r>
      <w:r w:rsidRPr="00282AC9">
        <w:rPr>
          <w:rFonts w:hint="cs"/>
          <w:vertAlign w:val="superscript"/>
          <w:rtl/>
        </w:rPr>
        <w:t>)</w:t>
      </w:r>
      <w:r w:rsidR="0098044F" w:rsidRPr="00282AC9">
        <w:rPr>
          <w:rFonts w:hint="cs"/>
          <w:rtl/>
        </w:rPr>
        <w:t>.</w:t>
      </w:r>
      <w:r w:rsidRPr="00282AC9">
        <w:rPr>
          <w:rFonts w:hint="cs"/>
          <w:rtl/>
        </w:rPr>
        <w:t xml:space="preserve"> </w:t>
      </w:r>
      <w:r w:rsidRPr="00282AC9">
        <w:rPr>
          <w:rtl/>
        </w:rPr>
        <w:t>واستعرض جملة</w:t>
      </w:r>
      <w:r w:rsidR="0098044F" w:rsidRPr="00282AC9">
        <w:rPr>
          <w:rFonts w:hint="cs"/>
          <w:rtl/>
        </w:rPr>
        <w:t>ً</w:t>
      </w:r>
      <w:r w:rsidRPr="00282AC9">
        <w:rPr>
          <w:rtl/>
        </w:rPr>
        <w:t xml:space="preserve"> منها</w:t>
      </w:r>
      <w:r w:rsidR="0098044F" w:rsidRPr="00282AC9">
        <w:rPr>
          <w:rFonts w:hint="cs"/>
          <w:rtl/>
        </w:rPr>
        <w:t>،</w:t>
      </w:r>
      <w:r w:rsidRPr="00282AC9">
        <w:rPr>
          <w:rtl/>
        </w:rPr>
        <w:t xml:space="preserve"> بلغ</w:t>
      </w:r>
      <w:r w:rsidR="0098044F" w:rsidRPr="00282AC9">
        <w:rPr>
          <w:rFonts w:hint="cs"/>
          <w:rtl/>
        </w:rPr>
        <w:t>َ</w:t>
      </w:r>
      <w:r w:rsidRPr="00282AC9">
        <w:rPr>
          <w:rtl/>
        </w:rPr>
        <w:t>ت</w:t>
      </w:r>
      <w:r w:rsidR="0098044F" w:rsidRPr="00282AC9">
        <w:rPr>
          <w:rFonts w:hint="cs"/>
          <w:rtl/>
        </w:rPr>
        <w:t>ْ</w:t>
      </w:r>
      <w:r w:rsidRPr="00282AC9">
        <w:rPr>
          <w:rtl/>
        </w:rPr>
        <w:t xml:space="preserve"> عشرين رواية</w:t>
      </w:r>
      <w:r w:rsidR="0098044F" w:rsidRPr="00282AC9">
        <w:rPr>
          <w:rFonts w:hint="cs"/>
          <w:rtl/>
        </w:rPr>
        <w:t>ً؛</w:t>
      </w:r>
      <w:r w:rsidRPr="00282AC9">
        <w:rPr>
          <w:rtl/>
        </w:rPr>
        <w:t xml:space="preserve"> معظمها صحيحة ومعتبرة</w:t>
      </w:r>
      <w:r w:rsidR="0098044F" w:rsidRPr="00282AC9">
        <w:rPr>
          <w:rFonts w:hint="cs"/>
          <w:rtl/>
        </w:rPr>
        <w:t>؛</w:t>
      </w:r>
      <w:r w:rsidRPr="00282AC9">
        <w:rPr>
          <w:rtl/>
        </w:rPr>
        <w:t xml:space="preserve"> وبعضها واضحة الدلالة ـ في نظره ـ على المطلوب. وانتهى </w:t>
      </w:r>
      <w:r w:rsidR="0098044F" w:rsidRPr="00282AC9">
        <w:rPr>
          <w:rFonts w:hint="cs"/>
          <w:rtl/>
        </w:rPr>
        <w:t>إ</w:t>
      </w:r>
      <w:r w:rsidRPr="00282AC9">
        <w:rPr>
          <w:rtl/>
        </w:rPr>
        <w:t>لى القول: هذه عمدة الروايات التي يمكن أن يستدل</w:t>
      </w:r>
      <w:r w:rsidR="0098044F" w:rsidRPr="00282AC9">
        <w:rPr>
          <w:rFonts w:hint="cs"/>
          <w:rtl/>
        </w:rPr>
        <w:t>ّ</w:t>
      </w:r>
      <w:r w:rsidRPr="00282AC9">
        <w:rPr>
          <w:rtl/>
        </w:rPr>
        <w:t xml:space="preserve"> بها على أصل ثبوت الخمس في أرباح المكاسب والفوائد، وما تم</w:t>
      </w:r>
      <w:r w:rsidR="0098044F" w:rsidRPr="00282AC9">
        <w:rPr>
          <w:rFonts w:hint="cs"/>
          <w:rtl/>
        </w:rPr>
        <w:t>َّ</w:t>
      </w:r>
      <w:r w:rsidRPr="00282AC9">
        <w:rPr>
          <w:rtl/>
        </w:rPr>
        <w:t>ت</w:t>
      </w:r>
      <w:r w:rsidR="0098044F" w:rsidRPr="00282AC9">
        <w:rPr>
          <w:rFonts w:hint="cs"/>
          <w:rtl/>
        </w:rPr>
        <w:t>ْ</w:t>
      </w:r>
      <w:r w:rsidRPr="00282AC9">
        <w:rPr>
          <w:rtl/>
        </w:rPr>
        <w:t xml:space="preserve"> دلالته منها قد يكفي لحصول الجزم بثبوت تشريع هذا الخمس</w:t>
      </w:r>
      <w:r w:rsidR="0098044F" w:rsidRPr="00282AC9">
        <w:rPr>
          <w:rFonts w:hint="cs"/>
          <w:rtl/>
        </w:rPr>
        <w:t>،</w:t>
      </w:r>
      <w:r w:rsidRPr="00282AC9">
        <w:rPr>
          <w:rtl/>
        </w:rPr>
        <w:t xml:space="preserve"> على الأقل</w:t>
      </w:r>
      <w:r w:rsidR="0098044F" w:rsidRPr="00282AC9">
        <w:rPr>
          <w:rFonts w:hint="cs"/>
          <w:rtl/>
        </w:rPr>
        <w:t>ّ</w:t>
      </w:r>
      <w:r w:rsidRPr="00282AC9">
        <w:rPr>
          <w:rtl/>
        </w:rPr>
        <w:t xml:space="preserve"> في عصر الأئم</w:t>
      </w:r>
      <w:r w:rsidR="0098044F" w:rsidRPr="00282AC9">
        <w:rPr>
          <w:rFonts w:hint="cs"/>
          <w:rtl/>
        </w:rPr>
        <w:t>ّ</w:t>
      </w:r>
      <w:r w:rsidRPr="00282AC9">
        <w:rPr>
          <w:rtl/>
        </w:rPr>
        <w:t>ة المتأخ</w:t>
      </w:r>
      <w:r w:rsidR="0098044F" w:rsidRPr="00282AC9">
        <w:rPr>
          <w:rFonts w:hint="cs"/>
          <w:rtl/>
        </w:rPr>
        <w:t>ِّ</w:t>
      </w:r>
      <w:r w:rsidRPr="00282AC9">
        <w:rPr>
          <w:rtl/>
        </w:rPr>
        <w:t>رين</w:t>
      </w:r>
      <w:r w:rsidR="00876ECA" w:rsidRPr="00282AC9">
        <w:rPr>
          <w:rFonts w:cs="Mosawi" w:hint="cs"/>
          <w:sz w:val="22"/>
          <w:szCs w:val="22"/>
          <w:rtl/>
        </w:rPr>
        <w:t>^</w:t>
      </w:r>
      <w:r w:rsidRPr="00282AC9">
        <w:rPr>
          <w:rtl/>
        </w:rPr>
        <w:t xml:space="preserve">، </w:t>
      </w:r>
      <w:r w:rsidRPr="00282AC9">
        <w:rPr>
          <w:rtl/>
        </w:rPr>
        <w:lastRenderedPageBreak/>
        <w:t>خصوصا</w:t>
      </w:r>
      <w:r w:rsidR="0098044F" w:rsidRPr="00282AC9">
        <w:rPr>
          <w:rFonts w:hint="cs"/>
          <w:rtl/>
        </w:rPr>
        <w:t>ً</w:t>
      </w:r>
      <w:r w:rsidRPr="00282AC9">
        <w:rPr>
          <w:rtl/>
        </w:rPr>
        <w:t xml:space="preserve"> بعد ضم الإجماع والسيرة </w:t>
      </w:r>
      <w:r w:rsidR="0098044F" w:rsidRPr="00282AC9">
        <w:rPr>
          <w:rFonts w:hint="cs"/>
          <w:rtl/>
        </w:rPr>
        <w:t>إ</w:t>
      </w:r>
      <w:r w:rsidRPr="00282AC9">
        <w:rPr>
          <w:rtl/>
        </w:rPr>
        <w:t>لى ذلك</w:t>
      </w:r>
      <w:r w:rsidRPr="00282AC9">
        <w:rPr>
          <w:rFonts w:hint="cs"/>
          <w:vertAlign w:val="superscript"/>
          <w:rtl/>
        </w:rPr>
        <w:t>(</w:t>
      </w:r>
      <w:r w:rsidRPr="00282AC9">
        <w:rPr>
          <w:rStyle w:val="af9"/>
          <w:sz w:val="27"/>
          <w:rtl/>
        </w:rPr>
        <w:endnoteReference w:id="510"/>
      </w:r>
      <w:r w:rsidRPr="00282AC9">
        <w:rPr>
          <w:rFonts w:hint="cs"/>
          <w:vertAlign w:val="superscript"/>
          <w:rtl/>
        </w:rPr>
        <w:t>)</w:t>
      </w:r>
      <w:r w:rsidRPr="00282AC9">
        <w:rPr>
          <w:rFonts w:hint="cs"/>
          <w:rtl/>
        </w:rPr>
        <w:t>.</w:t>
      </w:r>
      <w:r w:rsidRPr="00282AC9">
        <w:rPr>
          <w:rtl/>
        </w:rPr>
        <w:t xml:space="preserve"> </w:t>
      </w:r>
    </w:p>
    <w:p w:rsidR="009962D5" w:rsidRPr="00282AC9" w:rsidRDefault="00946A76" w:rsidP="00186251">
      <w:pPr>
        <w:rPr>
          <w:rtl/>
        </w:rPr>
      </w:pPr>
      <w:r w:rsidRPr="00282AC9">
        <w:rPr>
          <w:rtl/>
        </w:rPr>
        <w:t>و</w:t>
      </w:r>
      <w:r w:rsidR="0098044F" w:rsidRPr="00282AC9">
        <w:rPr>
          <w:rtl/>
        </w:rPr>
        <w:t>يذهب جم</w:t>
      </w:r>
      <w:r w:rsidR="0098044F" w:rsidRPr="00282AC9">
        <w:rPr>
          <w:rFonts w:hint="cs"/>
          <w:rtl/>
        </w:rPr>
        <w:t>عٌ</w:t>
      </w:r>
      <w:r w:rsidRPr="00282AC9">
        <w:rPr>
          <w:rtl/>
        </w:rPr>
        <w:t xml:space="preserve"> من الفقهاء بأنه ثبت بالكتاب والسن</w:t>
      </w:r>
      <w:r w:rsidR="0098044F" w:rsidRPr="00282AC9">
        <w:rPr>
          <w:rFonts w:hint="cs"/>
          <w:rtl/>
        </w:rPr>
        <w:t>ّ</w:t>
      </w:r>
      <w:r w:rsidRPr="00282AC9">
        <w:rPr>
          <w:rtl/>
        </w:rPr>
        <w:t>ة</w:t>
      </w:r>
      <w:r w:rsidR="0098044F" w:rsidRPr="00282AC9">
        <w:rPr>
          <w:rFonts w:hint="cs"/>
          <w:rtl/>
        </w:rPr>
        <w:t>،</w:t>
      </w:r>
      <w:r w:rsidRPr="00282AC9">
        <w:rPr>
          <w:rtl/>
        </w:rPr>
        <w:t xml:space="preserve"> ومنهم</w:t>
      </w:r>
      <w:r w:rsidR="0098044F" w:rsidRPr="00282AC9">
        <w:rPr>
          <w:rFonts w:hint="cs"/>
          <w:rtl/>
        </w:rPr>
        <w:t>:</w:t>
      </w:r>
      <w:r w:rsidRPr="00282AC9">
        <w:rPr>
          <w:rtl/>
        </w:rPr>
        <w:t xml:space="preserve"> المنتظري</w:t>
      </w:r>
      <w:r w:rsidR="0098044F" w:rsidRPr="00282AC9">
        <w:rPr>
          <w:rFonts w:hint="cs"/>
          <w:rtl/>
        </w:rPr>
        <w:t>؛</w:t>
      </w:r>
      <w:r w:rsidRPr="00282AC9">
        <w:rPr>
          <w:rtl/>
        </w:rPr>
        <w:t xml:space="preserve"> حيث أك</w:t>
      </w:r>
      <w:r w:rsidR="0098044F" w:rsidRPr="00282AC9">
        <w:rPr>
          <w:rFonts w:hint="cs"/>
          <w:rtl/>
        </w:rPr>
        <w:t>َّ</w:t>
      </w:r>
      <w:r w:rsidRPr="00282AC9">
        <w:rPr>
          <w:rtl/>
        </w:rPr>
        <w:t>د ثبوته بالسن</w:t>
      </w:r>
      <w:r w:rsidR="0098044F" w:rsidRPr="00282AC9">
        <w:rPr>
          <w:rFonts w:hint="cs"/>
          <w:rtl/>
        </w:rPr>
        <w:t>ّ</w:t>
      </w:r>
      <w:r w:rsidRPr="00282AC9">
        <w:rPr>
          <w:rtl/>
        </w:rPr>
        <w:t>ة أيضا</w:t>
      </w:r>
      <w:r w:rsidR="0098044F" w:rsidRPr="00282AC9">
        <w:rPr>
          <w:rFonts w:hint="cs"/>
          <w:rtl/>
        </w:rPr>
        <w:t>ً.</w:t>
      </w:r>
      <w:r w:rsidRPr="00282AC9">
        <w:rPr>
          <w:rtl/>
        </w:rPr>
        <w:t xml:space="preserve"> وبعد عرض بعض الروايات قال: </w:t>
      </w:r>
      <w:r w:rsidR="0098044F" w:rsidRPr="00282AC9">
        <w:rPr>
          <w:rFonts w:hint="cs"/>
          <w:rtl/>
        </w:rPr>
        <w:t>إ</w:t>
      </w:r>
      <w:r w:rsidRPr="00282AC9">
        <w:rPr>
          <w:rtl/>
        </w:rPr>
        <w:t>لى غير ذلك من الروايات</w:t>
      </w:r>
      <w:r w:rsidR="0098044F" w:rsidRPr="00282AC9">
        <w:rPr>
          <w:rFonts w:hint="cs"/>
          <w:rtl/>
        </w:rPr>
        <w:t>،</w:t>
      </w:r>
      <w:r w:rsidRPr="00282AC9">
        <w:rPr>
          <w:rtl/>
        </w:rPr>
        <w:t xml:space="preserve"> المستفاد منها ثبوت الخمس في الفوائد اليومي</w:t>
      </w:r>
      <w:r w:rsidR="0098044F" w:rsidRPr="00282AC9">
        <w:rPr>
          <w:rFonts w:hint="cs"/>
          <w:rtl/>
        </w:rPr>
        <w:t>ّ</w:t>
      </w:r>
      <w:r w:rsidRPr="00282AC9">
        <w:rPr>
          <w:rtl/>
        </w:rPr>
        <w:t>ة</w:t>
      </w:r>
      <w:r w:rsidR="0098044F" w:rsidRPr="00282AC9">
        <w:rPr>
          <w:rFonts w:hint="cs"/>
          <w:rtl/>
        </w:rPr>
        <w:t>،</w:t>
      </w:r>
      <w:r w:rsidRPr="00282AC9">
        <w:rPr>
          <w:rtl/>
        </w:rPr>
        <w:t xml:space="preserve"> بعد إخراج المؤونة له ولعياله</w:t>
      </w:r>
      <w:r w:rsidR="0098044F" w:rsidRPr="00282AC9">
        <w:rPr>
          <w:rFonts w:hint="cs"/>
          <w:rtl/>
        </w:rPr>
        <w:t>.</w:t>
      </w:r>
      <w:r w:rsidRPr="00282AC9">
        <w:rPr>
          <w:rtl/>
        </w:rPr>
        <w:t xml:space="preserve"> وهي كثيرة</w:t>
      </w:r>
      <w:r w:rsidR="0098044F" w:rsidRPr="00282AC9">
        <w:rPr>
          <w:rFonts w:hint="cs"/>
          <w:rtl/>
        </w:rPr>
        <w:t>ٌ</w:t>
      </w:r>
      <w:r w:rsidRPr="00282AC9">
        <w:rPr>
          <w:rtl/>
        </w:rPr>
        <w:t>، وظاهر أكثرها أو صريحها كونها في مقام بيان الوظيفة الفعلي</w:t>
      </w:r>
      <w:r w:rsidR="009962D5" w:rsidRPr="00282AC9">
        <w:rPr>
          <w:rFonts w:hint="cs"/>
          <w:rtl/>
        </w:rPr>
        <w:t>ّ</w:t>
      </w:r>
      <w:r w:rsidRPr="00282AC9">
        <w:rPr>
          <w:rtl/>
        </w:rPr>
        <w:t>ة</w:t>
      </w:r>
      <w:r w:rsidRPr="00282AC9">
        <w:rPr>
          <w:rFonts w:hint="cs"/>
          <w:vertAlign w:val="superscript"/>
          <w:rtl/>
        </w:rPr>
        <w:t>(</w:t>
      </w:r>
      <w:r w:rsidRPr="00282AC9">
        <w:rPr>
          <w:rStyle w:val="af9"/>
          <w:sz w:val="27"/>
          <w:rtl/>
        </w:rPr>
        <w:endnoteReference w:id="511"/>
      </w:r>
      <w:r w:rsidRPr="00282AC9">
        <w:rPr>
          <w:rFonts w:hint="cs"/>
          <w:vertAlign w:val="superscript"/>
          <w:rtl/>
        </w:rPr>
        <w:t>)</w:t>
      </w:r>
      <w:r w:rsidRPr="00282AC9">
        <w:rPr>
          <w:rFonts w:hint="cs"/>
          <w:rtl/>
        </w:rPr>
        <w:t>.</w:t>
      </w:r>
    </w:p>
    <w:p w:rsidR="00946A76" w:rsidRPr="00282AC9" w:rsidRDefault="00946A76" w:rsidP="00186251">
      <w:pPr>
        <w:rPr>
          <w:rtl/>
        </w:rPr>
      </w:pPr>
      <w:r w:rsidRPr="00282AC9">
        <w:rPr>
          <w:rtl/>
        </w:rPr>
        <w:t>وأك</w:t>
      </w:r>
      <w:r w:rsidR="009962D5" w:rsidRPr="00282AC9">
        <w:rPr>
          <w:rFonts w:hint="cs"/>
          <w:rtl/>
        </w:rPr>
        <w:t>َّ</w:t>
      </w:r>
      <w:r w:rsidRPr="00282AC9">
        <w:rPr>
          <w:rtl/>
        </w:rPr>
        <w:t>د الخوئي على إطلاق الآية وشمولها لعام</w:t>
      </w:r>
      <w:r w:rsidR="009962D5" w:rsidRPr="00282AC9">
        <w:rPr>
          <w:rFonts w:hint="cs"/>
          <w:rtl/>
        </w:rPr>
        <w:t>ّ</w:t>
      </w:r>
      <w:r w:rsidRPr="00282AC9">
        <w:rPr>
          <w:rtl/>
        </w:rPr>
        <w:t>ة الأرباح</w:t>
      </w:r>
      <w:r w:rsidR="009962D5" w:rsidRPr="00282AC9">
        <w:rPr>
          <w:rFonts w:hint="cs"/>
          <w:rtl/>
        </w:rPr>
        <w:t>،</w:t>
      </w:r>
      <w:r w:rsidRPr="00282AC9">
        <w:rPr>
          <w:rtl/>
        </w:rPr>
        <w:t xml:space="preserve"> قال: وتشهد لذلك أخبار</w:t>
      </w:r>
      <w:r w:rsidR="009962D5" w:rsidRPr="00282AC9">
        <w:rPr>
          <w:rFonts w:hint="cs"/>
          <w:rtl/>
        </w:rPr>
        <w:t>ٌ</w:t>
      </w:r>
      <w:r w:rsidRPr="00282AC9">
        <w:rPr>
          <w:rtl/>
        </w:rPr>
        <w:t xml:space="preserve"> كثيرة</w:t>
      </w:r>
      <w:r w:rsidR="009962D5" w:rsidRPr="00282AC9">
        <w:rPr>
          <w:rFonts w:hint="cs"/>
          <w:rtl/>
        </w:rPr>
        <w:t>ٌ،</w:t>
      </w:r>
      <w:r w:rsidRPr="00282AC9">
        <w:rPr>
          <w:rtl/>
        </w:rPr>
        <w:t xml:space="preserve"> دل</w:t>
      </w:r>
      <w:r w:rsidR="009962D5" w:rsidRPr="00282AC9">
        <w:rPr>
          <w:rFonts w:hint="cs"/>
          <w:rtl/>
        </w:rPr>
        <w:t>َّ</w:t>
      </w:r>
      <w:r w:rsidRPr="00282AC9">
        <w:rPr>
          <w:rtl/>
        </w:rPr>
        <w:t>ت</w:t>
      </w:r>
      <w:r w:rsidR="009962D5" w:rsidRPr="00282AC9">
        <w:rPr>
          <w:rFonts w:hint="cs"/>
          <w:rtl/>
        </w:rPr>
        <w:t>ْ</w:t>
      </w:r>
      <w:r w:rsidRPr="00282AC9">
        <w:rPr>
          <w:rtl/>
        </w:rPr>
        <w:t xml:space="preserve"> على أن</w:t>
      </w:r>
      <w:r w:rsidR="009962D5" w:rsidRPr="00282AC9">
        <w:rPr>
          <w:rFonts w:hint="cs"/>
          <w:rtl/>
        </w:rPr>
        <w:t>ّ</w:t>
      </w:r>
      <w:r w:rsidRPr="00282AC9">
        <w:rPr>
          <w:rtl/>
        </w:rPr>
        <w:t>ها الإفادة يوما</w:t>
      </w:r>
      <w:r w:rsidRPr="00282AC9">
        <w:rPr>
          <w:rFonts w:hint="cs"/>
          <w:rtl/>
        </w:rPr>
        <w:t>ً</w:t>
      </w:r>
      <w:r w:rsidRPr="00282AC9">
        <w:rPr>
          <w:rtl/>
        </w:rPr>
        <w:t xml:space="preserve"> فيوما</w:t>
      </w:r>
      <w:r w:rsidRPr="00282AC9">
        <w:rPr>
          <w:rFonts w:hint="cs"/>
          <w:rtl/>
        </w:rPr>
        <w:t>ً</w:t>
      </w:r>
      <w:r w:rsidRPr="00282AC9">
        <w:rPr>
          <w:rFonts w:hint="cs"/>
          <w:vertAlign w:val="superscript"/>
          <w:rtl/>
        </w:rPr>
        <w:t>(</w:t>
      </w:r>
      <w:r w:rsidRPr="00282AC9">
        <w:rPr>
          <w:rStyle w:val="af9"/>
          <w:sz w:val="27"/>
          <w:rtl/>
        </w:rPr>
        <w:endnoteReference w:id="512"/>
      </w:r>
      <w:r w:rsidRPr="00282AC9">
        <w:rPr>
          <w:rFonts w:hint="cs"/>
          <w:vertAlign w:val="superscript"/>
          <w:rtl/>
        </w:rPr>
        <w:t>)</w:t>
      </w:r>
      <w:r w:rsidRPr="00282AC9">
        <w:rPr>
          <w:rFonts w:hint="cs"/>
          <w:rtl/>
        </w:rPr>
        <w:t>.</w:t>
      </w:r>
      <w:r w:rsidRPr="00282AC9">
        <w:rPr>
          <w:rtl/>
        </w:rPr>
        <w:t xml:space="preserve"> </w:t>
      </w:r>
    </w:p>
    <w:p w:rsidR="00946A76" w:rsidRPr="00282AC9" w:rsidRDefault="00946A76" w:rsidP="00186251">
      <w:pPr>
        <w:rPr>
          <w:rtl/>
        </w:rPr>
      </w:pPr>
      <w:r w:rsidRPr="00282AC9">
        <w:rPr>
          <w:rtl/>
        </w:rPr>
        <w:t>وأرجع جواد مغنية الاختلاف بين المنظور</w:t>
      </w:r>
      <w:r w:rsidR="009962D5" w:rsidRPr="00282AC9">
        <w:rPr>
          <w:rFonts w:hint="cs"/>
          <w:rtl/>
        </w:rPr>
        <w:t>َ</w:t>
      </w:r>
      <w:r w:rsidRPr="00282AC9">
        <w:rPr>
          <w:rtl/>
        </w:rPr>
        <w:t>ي</w:t>
      </w:r>
      <w:r w:rsidR="009962D5" w:rsidRPr="00282AC9">
        <w:rPr>
          <w:rFonts w:hint="cs"/>
          <w:rtl/>
        </w:rPr>
        <w:t>ْ</w:t>
      </w:r>
      <w:r w:rsidRPr="00282AC9">
        <w:rPr>
          <w:rtl/>
        </w:rPr>
        <w:t>ن الرئيسين في فقه المسلمين إلى ما استفاده كل</w:t>
      </w:r>
      <w:r w:rsidR="009962D5" w:rsidRPr="00282AC9">
        <w:rPr>
          <w:rFonts w:hint="cs"/>
          <w:rtl/>
        </w:rPr>
        <w:t>ٌّ</w:t>
      </w:r>
      <w:r w:rsidRPr="00282AC9">
        <w:rPr>
          <w:rtl/>
        </w:rPr>
        <w:t xml:space="preserve"> منهما من دلالة الآية</w:t>
      </w:r>
      <w:r w:rsidR="009962D5" w:rsidRPr="00282AC9">
        <w:rPr>
          <w:rFonts w:hint="cs"/>
          <w:rtl/>
        </w:rPr>
        <w:t>؛</w:t>
      </w:r>
      <w:r w:rsidRPr="00282AC9">
        <w:rPr>
          <w:rtl/>
        </w:rPr>
        <w:t xml:space="preserve"> بين م</w:t>
      </w:r>
      <w:r w:rsidR="009962D5" w:rsidRPr="00282AC9">
        <w:rPr>
          <w:rFonts w:hint="cs"/>
          <w:rtl/>
        </w:rPr>
        <w:t>َ</w:t>
      </w:r>
      <w:r w:rsidRPr="00282AC9">
        <w:rPr>
          <w:rtl/>
        </w:rPr>
        <w:t>ن</w:t>
      </w:r>
      <w:r w:rsidR="009962D5" w:rsidRPr="00282AC9">
        <w:rPr>
          <w:rFonts w:hint="cs"/>
          <w:rtl/>
        </w:rPr>
        <w:t>ْ</w:t>
      </w:r>
      <w:r w:rsidRPr="00282AC9">
        <w:rPr>
          <w:rtl/>
        </w:rPr>
        <w:t xml:space="preserve"> وقف عند عمومها</w:t>
      </w:r>
      <w:r w:rsidR="009962D5" w:rsidRPr="00282AC9">
        <w:rPr>
          <w:rFonts w:hint="cs"/>
          <w:rtl/>
        </w:rPr>
        <w:t>؛</w:t>
      </w:r>
      <w:r w:rsidRPr="00282AC9">
        <w:rPr>
          <w:rtl/>
        </w:rPr>
        <w:t xml:space="preserve"> وم</w:t>
      </w:r>
      <w:r w:rsidR="009962D5" w:rsidRPr="00282AC9">
        <w:rPr>
          <w:rFonts w:hint="cs"/>
          <w:rtl/>
        </w:rPr>
        <w:t>َ</w:t>
      </w:r>
      <w:r w:rsidRPr="00282AC9">
        <w:rPr>
          <w:rtl/>
        </w:rPr>
        <w:t>ن</w:t>
      </w:r>
      <w:r w:rsidR="009962D5" w:rsidRPr="00282AC9">
        <w:rPr>
          <w:rFonts w:hint="cs"/>
          <w:rtl/>
        </w:rPr>
        <w:t>ْ</w:t>
      </w:r>
      <w:r w:rsidRPr="00282AC9">
        <w:rPr>
          <w:rtl/>
        </w:rPr>
        <w:t xml:space="preserve"> رأى تخصيصها. ولو ثبت التخصيص عند الموس</w:t>
      </w:r>
      <w:r w:rsidR="009962D5" w:rsidRPr="00282AC9">
        <w:rPr>
          <w:rFonts w:hint="cs"/>
          <w:rtl/>
        </w:rPr>
        <w:t>ّ</w:t>
      </w:r>
      <w:r w:rsidRPr="00282AC9">
        <w:rPr>
          <w:rtl/>
        </w:rPr>
        <w:t>ع لعمل به</w:t>
      </w:r>
      <w:r w:rsidR="009962D5" w:rsidRPr="00282AC9">
        <w:rPr>
          <w:rFonts w:hint="cs"/>
          <w:rtl/>
        </w:rPr>
        <w:t>،</w:t>
      </w:r>
      <w:r w:rsidRPr="00282AC9">
        <w:rPr>
          <w:rtl/>
        </w:rPr>
        <w:t xml:space="preserve"> ولو ثبت العموم عند المضي</w:t>
      </w:r>
      <w:r w:rsidR="009962D5" w:rsidRPr="00282AC9">
        <w:rPr>
          <w:rFonts w:hint="cs"/>
          <w:rtl/>
        </w:rPr>
        <w:t>ّ</w:t>
      </w:r>
      <w:r w:rsidRPr="00282AC9">
        <w:rPr>
          <w:rtl/>
        </w:rPr>
        <w:t>ق لأخذ به. ومع ما فيه من تبسيط</w:t>
      </w:r>
      <w:r w:rsidR="009962D5" w:rsidRPr="00282AC9">
        <w:rPr>
          <w:rFonts w:hint="cs"/>
          <w:rtl/>
        </w:rPr>
        <w:t>ٍ</w:t>
      </w:r>
      <w:r w:rsidRPr="00282AC9">
        <w:rPr>
          <w:rtl/>
        </w:rPr>
        <w:t>، إلا</w:t>
      </w:r>
      <w:r w:rsidR="009962D5" w:rsidRPr="00282AC9">
        <w:rPr>
          <w:rFonts w:hint="cs"/>
          <w:rtl/>
        </w:rPr>
        <w:t>ّ</w:t>
      </w:r>
      <w:r w:rsidRPr="00282AC9">
        <w:rPr>
          <w:rtl/>
        </w:rPr>
        <w:t xml:space="preserve"> أنه خير</w:t>
      </w:r>
      <w:r w:rsidR="009962D5" w:rsidRPr="00282AC9">
        <w:rPr>
          <w:rFonts w:hint="cs"/>
          <w:rtl/>
        </w:rPr>
        <w:t>ُ</w:t>
      </w:r>
      <w:r w:rsidRPr="00282AC9">
        <w:rPr>
          <w:rtl/>
        </w:rPr>
        <w:t xml:space="preserve"> ما نختم به البحث</w:t>
      </w:r>
      <w:r w:rsidRPr="00282AC9">
        <w:rPr>
          <w:rFonts w:hint="cs"/>
          <w:vertAlign w:val="superscript"/>
          <w:rtl/>
        </w:rPr>
        <w:t>(</w:t>
      </w:r>
      <w:r w:rsidRPr="00282AC9">
        <w:rPr>
          <w:rStyle w:val="af9"/>
          <w:sz w:val="27"/>
          <w:rtl/>
        </w:rPr>
        <w:endnoteReference w:id="513"/>
      </w:r>
      <w:r w:rsidRPr="00282AC9">
        <w:rPr>
          <w:rFonts w:hint="cs"/>
          <w:vertAlign w:val="superscript"/>
          <w:rtl/>
        </w:rPr>
        <w:t>)</w:t>
      </w:r>
      <w:r w:rsidRPr="00282AC9">
        <w:rPr>
          <w:rFonts w:hint="cs"/>
          <w:rtl/>
        </w:rPr>
        <w:t>.</w:t>
      </w:r>
      <w:r w:rsidRPr="00282AC9">
        <w:rPr>
          <w:rtl/>
        </w:rPr>
        <w:t xml:space="preserve"> </w:t>
      </w:r>
    </w:p>
    <w:p w:rsidR="00235851" w:rsidRPr="00282AC9" w:rsidRDefault="00235851" w:rsidP="00235851">
      <w:pPr>
        <w:spacing w:line="420" w:lineRule="exact"/>
        <w:rPr>
          <w:rtl/>
        </w:rPr>
      </w:pPr>
    </w:p>
    <w:p w:rsidR="00946A76" w:rsidRPr="00282AC9" w:rsidRDefault="008F055A" w:rsidP="00B70E1F">
      <w:pPr>
        <w:pStyle w:val="31"/>
        <w:rPr>
          <w:color w:val="auto"/>
          <w:rtl/>
        </w:rPr>
      </w:pPr>
      <w:r w:rsidRPr="00282AC9">
        <w:rPr>
          <w:rFonts w:hint="cs"/>
          <w:color w:val="auto"/>
          <w:rtl/>
        </w:rPr>
        <w:t>خلاصاتٌ ونتائج</w:t>
      </w:r>
      <w:r w:rsidR="00946A76" w:rsidRPr="00282AC9">
        <w:rPr>
          <w:color w:val="auto"/>
          <w:rtl/>
        </w:rPr>
        <w:t xml:space="preserve"> </w:t>
      </w:r>
    </w:p>
    <w:p w:rsidR="007A5E3D" w:rsidRPr="00282AC9" w:rsidRDefault="00946A76" w:rsidP="00186251">
      <w:pPr>
        <w:rPr>
          <w:rtl/>
        </w:rPr>
      </w:pPr>
      <w:r w:rsidRPr="00282AC9">
        <w:rPr>
          <w:rtl/>
        </w:rPr>
        <w:t>لقد ات</w:t>
      </w:r>
      <w:r w:rsidR="009962D5" w:rsidRPr="00282AC9">
        <w:rPr>
          <w:rFonts w:hint="cs"/>
          <w:rtl/>
        </w:rPr>
        <w:t>ّ</w:t>
      </w:r>
      <w:r w:rsidRPr="00282AC9">
        <w:rPr>
          <w:rtl/>
        </w:rPr>
        <w:t xml:space="preserve">ضح من البحث </w:t>
      </w:r>
      <w:r w:rsidR="009962D5" w:rsidRPr="00282AC9">
        <w:rPr>
          <w:rFonts w:hint="cs"/>
          <w:rtl/>
        </w:rPr>
        <w:t>أ</w:t>
      </w:r>
      <w:r w:rsidRPr="00282AC9">
        <w:rPr>
          <w:rtl/>
        </w:rPr>
        <w:t>ن الفقهاء والمفس</w:t>
      </w:r>
      <w:r w:rsidR="009962D5" w:rsidRPr="00282AC9">
        <w:rPr>
          <w:rFonts w:hint="cs"/>
          <w:rtl/>
        </w:rPr>
        <w:t>ِّ</w:t>
      </w:r>
      <w:r w:rsidRPr="00282AC9">
        <w:rPr>
          <w:rtl/>
        </w:rPr>
        <w:t>رين تناولوا القضي</w:t>
      </w:r>
      <w:r w:rsidR="009962D5" w:rsidRPr="00282AC9">
        <w:rPr>
          <w:rFonts w:hint="cs"/>
          <w:rtl/>
        </w:rPr>
        <w:t>ّ</w:t>
      </w:r>
      <w:r w:rsidRPr="00282AC9">
        <w:rPr>
          <w:rtl/>
        </w:rPr>
        <w:t>ة من مختلف جوانبها</w:t>
      </w:r>
      <w:r w:rsidR="009962D5" w:rsidRPr="00282AC9">
        <w:rPr>
          <w:rFonts w:hint="cs"/>
          <w:rtl/>
        </w:rPr>
        <w:t>،</w:t>
      </w:r>
      <w:r w:rsidRPr="00282AC9">
        <w:rPr>
          <w:rtl/>
        </w:rPr>
        <w:t xml:space="preserve"> وقد</w:t>
      </w:r>
      <w:r w:rsidR="009962D5" w:rsidRPr="00282AC9">
        <w:rPr>
          <w:rFonts w:hint="cs"/>
          <w:rtl/>
        </w:rPr>
        <w:t>َّ</w:t>
      </w:r>
      <w:r w:rsidRPr="00282AC9">
        <w:rPr>
          <w:rtl/>
        </w:rPr>
        <w:t>م كل</w:t>
      </w:r>
      <w:r w:rsidR="009962D5" w:rsidRPr="00282AC9">
        <w:rPr>
          <w:rFonts w:hint="cs"/>
          <w:rtl/>
        </w:rPr>
        <w:t>ُّ</w:t>
      </w:r>
      <w:r w:rsidRPr="00282AC9">
        <w:rPr>
          <w:rtl/>
        </w:rPr>
        <w:t xml:space="preserve"> ات</w:t>
      </w:r>
      <w:r w:rsidR="009962D5" w:rsidRPr="00282AC9">
        <w:rPr>
          <w:rFonts w:hint="cs"/>
          <w:rtl/>
        </w:rPr>
        <w:t>ّ</w:t>
      </w:r>
      <w:r w:rsidRPr="00282AC9">
        <w:rPr>
          <w:rtl/>
        </w:rPr>
        <w:t>جاه</w:t>
      </w:r>
      <w:r w:rsidR="009962D5" w:rsidRPr="00282AC9">
        <w:rPr>
          <w:rFonts w:hint="cs"/>
          <w:rtl/>
        </w:rPr>
        <w:t>ٍ</w:t>
      </w:r>
      <w:r w:rsidRPr="00282AC9">
        <w:rPr>
          <w:rtl/>
        </w:rPr>
        <w:t xml:space="preserve"> منهم مستنداته</w:t>
      </w:r>
      <w:r w:rsidR="009962D5" w:rsidRPr="00282AC9">
        <w:rPr>
          <w:rFonts w:hint="cs"/>
          <w:rtl/>
        </w:rPr>
        <w:t>،</w:t>
      </w:r>
      <w:r w:rsidRPr="00282AC9">
        <w:rPr>
          <w:rtl/>
        </w:rPr>
        <w:t xml:space="preserve"> وما يؤي</w:t>
      </w:r>
      <w:r w:rsidR="009962D5" w:rsidRPr="00282AC9">
        <w:rPr>
          <w:rFonts w:hint="cs"/>
          <w:rtl/>
        </w:rPr>
        <w:t>ِّ</w:t>
      </w:r>
      <w:r w:rsidR="007A5E3D" w:rsidRPr="00282AC9">
        <w:rPr>
          <w:rtl/>
        </w:rPr>
        <w:t>د رأيه.</w:t>
      </w:r>
    </w:p>
    <w:p w:rsidR="00946A76" w:rsidRPr="00282AC9" w:rsidRDefault="00946A76" w:rsidP="00186251">
      <w:pPr>
        <w:rPr>
          <w:rtl/>
        </w:rPr>
      </w:pPr>
      <w:r w:rsidRPr="00282AC9">
        <w:rPr>
          <w:rtl/>
        </w:rPr>
        <w:t>تم</w:t>
      </w:r>
      <w:r w:rsidR="009962D5" w:rsidRPr="00282AC9">
        <w:rPr>
          <w:rFonts w:hint="cs"/>
          <w:rtl/>
        </w:rPr>
        <w:t>َّ</w:t>
      </w:r>
      <w:r w:rsidRPr="00282AC9">
        <w:rPr>
          <w:rtl/>
        </w:rPr>
        <w:t>ت</w:t>
      </w:r>
      <w:r w:rsidR="009962D5" w:rsidRPr="00282AC9">
        <w:rPr>
          <w:rFonts w:hint="cs"/>
          <w:rtl/>
        </w:rPr>
        <w:t>ْ</w:t>
      </w:r>
      <w:r w:rsidRPr="00282AC9">
        <w:rPr>
          <w:rtl/>
        </w:rPr>
        <w:t xml:space="preserve"> محاكمة الآراء ونقد المباني المختلفة في أجواء اجتهادي</w:t>
      </w:r>
      <w:r w:rsidR="009962D5" w:rsidRPr="00282AC9">
        <w:rPr>
          <w:rFonts w:hint="cs"/>
          <w:rtl/>
        </w:rPr>
        <w:t>ّ</w:t>
      </w:r>
      <w:r w:rsidRPr="00282AC9">
        <w:rPr>
          <w:rtl/>
        </w:rPr>
        <w:t>ة</w:t>
      </w:r>
      <w:r w:rsidR="009962D5" w:rsidRPr="00282AC9">
        <w:rPr>
          <w:rFonts w:hint="cs"/>
          <w:rtl/>
        </w:rPr>
        <w:t>ٍ</w:t>
      </w:r>
      <w:r w:rsidRPr="00282AC9">
        <w:rPr>
          <w:rtl/>
        </w:rPr>
        <w:t xml:space="preserve"> فكري</w:t>
      </w:r>
      <w:r w:rsidR="009962D5" w:rsidRPr="00282AC9">
        <w:rPr>
          <w:rFonts w:hint="cs"/>
          <w:rtl/>
        </w:rPr>
        <w:t>ّ</w:t>
      </w:r>
      <w:r w:rsidRPr="00282AC9">
        <w:rPr>
          <w:rtl/>
        </w:rPr>
        <w:t>ة، مم</w:t>
      </w:r>
      <w:r w:rsidR="009962D5" w:rsidRPr="00282AC9">
        <w:rPr>
          <w:rFonts w:hint="cs"/>
          <w:rtl/>
        </w:rPr>
        <w:t>ّ</w:t>
      </w:r>
      <w:r w:rsidRPr="00282AC9">
        <w:rPr>
          <w:rtl/>
        </w:rPr>
        <w:t>ا يدحض المقولات التي تترد</w:t>
      </w:r>
      <w:r w:rsidR="009962D5" w:rsidRPr="00282AC9">
        <w:rPr>
          <w:rFonts w:hint="cs"/>
          <w:rtl/>
        </w:rPr>
        <w:t>َّ</w:t>
      </w:r>
      <w:r w:rsidRPr="00282AC9">
        <w:rPr>
          <w:rtl/>
        </w:rPr>
        <w:t>د في بعض الكتابات</w:t>
      </w:r>
      <w:r w:rsidR="009962D5" w:rsidRPr="00282AC9">
        <w:rPr>
          <w:rFonts w:hint="cs"/>
          <w:rtl/>
        </w:rPr>
        <w:t>،</w:t>
      </w:r>
      <w:r w:rsidRPr="00282AC9">
        <w:rPr>
          <w:rtl/>
        </w:rPr>
        <w:t xml:space="preserve"> والتي ترجع الاختلاف الفقهي والتفسيري فيها إلى عوامل سياسي</w:t>
      </w:r>
      <w:r w:rsidR="009962D5" w:rsidRPr="00282AC9">
        <w:rPr>
          <w:rFonts w:hint="cs"/>
          <w:rtl/>
        </w:rPr>
        <w:t>ّ</w:t>
      </w:r>
      <w:r w:rsidRPr="00282AC9">
        <w:rPr>
          <w:rtl/>
        </w:rPr>
        <w:t>ة</w:t>
      </w:r>
      <w:r w:rsidR="007A5E3D" w:rsidRPr="00282AC9">
        <w:rPr>
          <w:rFonts w:hint="cs"/>
          <w:rtl/>
        </w:rPr>
        <w:t>،</w:t>
      </w:r>
      <w:r w:rsidRPr="00282AC9">
        <w:rPr>
          <w:rtl/>
        </w:rPr>
        <w:t xml:space="preserve"> ومصالح شخصي</w:t>
      </w:r>
      <w:r w:rsidR="007A5E3D" w:rsidRPr="00282AC9">
        <w:rPr>
          <w:rFonts w:hint="cs"/>
          <w:rtl/>
        </w:rPr>
        <w:t>ّ</w:t>
      </w:r>
      <w:r w:rsidRPr="00282AC9">
        <w:rPr>
          <w:rtl/>
        </w:rPr>
        <w:t>ة وفئوي</w:t>
      </w:r>
      <w:r w:rsidR="007A5E3D" w:rsidRPr="00282AC9">
        <w:rPr>
          <w:rFonts w:hint="cs"/>
          <w:rtl/>
        </w:rPr>
        <w:t>ّ</w:t>
      </w:r>
      <w:r w:rsidRPr="00282AC9">
        <w:rPr>
          <w:rtl/>
        </w:rPr>
        <w:t>ة معي</w:t>
      </w:r>
      <w:r w:rsidR="007A5E3D" w:rsidRPr="00282AC9">
        <w:rPr>
          <w:rFonts w:hint="cs"/>
          <w:rtl/>
        </w:rPr>
        <w:t>َّ</w:t>
      </w:r>
      <w:r w:rsidRPr="00282AC9">
        <w:rPr>
          <w:rtl/>
        </w:rPr>
        <w:t xml:space="preserve">نة. </w:t>
      </w:r>
    </w:p>
    <w:p w:rsidR="00946A76" w:rsidRPr="00282AC9" w:rsidRDefault="00946A76" w:rsidP="00186251">
      <w:pPr>
        <w:rPr>
          <w:rtl/>
        </w:rPr>
      </w:pPr>
      <w:r w:rsidRPr="00282AC9">
        <w:rPr>
          <w:rtl/>
        </w:rPr>
        <w:t xml:space="preserve"> إن الإرباك الحاصل حول تحديد مفهوم الغنيمة يرجع </w:t>
      </w:r>
      <w:r w:rsidR="007A5E3D" w:rsidRPr="00282AC9">
        <w:rPr>
          <w:rFonts w:hint="cs"/>
          <w:rtl/>
        </w:rPr>
        <w:t>إ</w:t>
      </w:r>
      <w:r w:rsidRPr="00282AC9">
        <w:rPr>
          <w:rtl/>
        </w:rPr>
        <w:t>لى الاختلاف بين أئم</w:t>
      </w:r>
      <w:r w:rsidR="007A5E3D" w:rsidRPr="00282AC9">
        <w:rPr>
          <w:rFonts w:hint="cs"/>
          <w:rtl/>
        </w:rPr>
        <w:t>ّ</w:t>
      </w:r>
      <w:r w:rsidRPr="00282AC9">
        <w:rPr>
          <w:rtl/>
        </w:rPr>
        <w:t>ة اللغة والتفسير والفقه. وقد تداخلت مختلف المعطيات اللغوي</w:t>
      </w:r>
      <w:r w:rsidR="007A5E3D" w:rsidRPr="00282AC9">
        <w:rPr>
          <w:rFonts w:hint="cs"/>
          <w:rtl/>
        </w:rPr>
        <w:t>ّ</w:t>
      </w:r>
      <w:r w:rsidRPr="00282AC9">
        <w:rPr>
          <w:rtl/>
        </w:rPr>
        <w:t>ة والروائي</w:t>
      </w:r>
      <w:r w:rsidR="007A5E3D" w:rsidRPr="00282AC9">
        <w:rPr>
          <w:rFonts w:hint="cs"/>
          <w:rtl/>
        </w:rPr>
        <w:t>ّ</w:t>
      </w:r>
      <w:r w:rsidRPr="00282AC9">
        <w:rPr>
          <w:rtl/>
        </w:rPr>
        <w:t>ة والفقهي</w:t>
      </w:r>
      <w:r w:rsidR="007A5E3D" w:rsidRPr="00282AC9">
        <w:rPr>
          <w:rFonts w:hint="cs"/>
          <w:rtl/>
        </w:rPr>
        <w:t>ّ</w:t>
      </w:r>
      <w:r w:rsidRPr="00282AC9">
        <w:rPr>
          <w:rtl/>
        </w:rPr>
        <w:t>ة</w:t>
      </w:r>
      <w:r w:rsidR="007A5E3D" w:rsidRPr="00282AC9">
        <w:rPr>
          <w:rFonts w:hint="cs"/>
          <w:rtl/>
        </w:rPr>
        <w:t>،</w:t>
      </w:r>
      <w:r w:rsidRPr="00282AC9">
        <w:rPr>
          <w:rtl/>
        </w:rPr>
        <w:t xml:space="preserve"> وتطبيقات التاريخ السياسي</w:t>
      </w:r>
      <w:r w:rsidR="007A5E3D" w:rsidRPr="00282AC9">
        <w:rPr>
          <w:rFonts w:hint="cs"/>
          <w:rtl/>
        </w:rPr>
        <w:t>ّ،</w:t>
      </w:r>
      <w:r w:rsidRPr="00282AC9">
        <w:rPr>
          <w:rtl/>
        </w:rPr>
        <w:t xml:space="preserve"> في اتجاهات البحث في هذا الموضوع. </w:t>
      </w:r>
    </w:p>
    <w:p w:rsidR="00946A76" w:rsidRPr="00282AC9" w:rsidRDefault="00946A76" w:rsidP="00186251">
      <w:pPr>
        <w:rPr>
          <w:rtl/>
        </w:rPr>
      </w:pPr>
      <w:r w:rsidRPr="00282AC9">
        <w:rPr>
          <w:rtl/>
        </w:rPr>
        <w:t>كما تبين أن استعمال ماد</w:t>
      </w:r>
      <w:r w:rsidR="007A5E3D" w:rsidRPr="00282AC9">
        <w:rPr>
          <w:rFonts w:hint="cs"/>
          <w:rtl/>
        </w:rPr>
        <w:t>ّ</w:t>
      </w:r>
      <w:r w:rsidRPr="00282AC9">
        <w:rPr>
          <w:rtl/>
        </w:rPr>
        <w:t xml:space="preserve">ة </w:t>
      </w:r>
      <w:r w:rsidR="007A5E3D" w:rsidRPr="00282AC9">
        <w:rPr>
          <w:rFonts w:hint="cs"/>
          <w:rtl/>
        </w:rPr>
        <w:t>ا</w:t>
      </w:r>
      <w:r w:rsidRPr="00282AC9">
        <w:rPr>
          <w:rtl/>
        </w:rPr>
        <w:t>لغنم وتصريفاتها</w:t>
      </w:r>
      <w:r w:rsidRPr="00282AC9">
        <w:rPr>
          <w:rFonts w:hint="cs"/>
          <w:rtl/>
        </w:rPr>
        <w:t xml:space="preserve"> </w:t>
      </w:r>
      <w:r w:rsidRPr="00282AC9">
        <w:rPr>
          <w:rtl/>
        </w:rPr>
        <w:t xml:space="preserve">لم </w:t>
      </w:r>
      <w:r w:rsidRPr="00282AC9">
        <w:rPr>
          <w:rFonts w:hint="cs"/>
          <w:rtl/>
        </w:rPr>
        <w:t>ي</w:t>
      </w:r>
      <w:r w:rsidRPr="00282AC9">
        <w:rPr>
          <w:rtl/>
        </w:rPr>
        <w:t>قتصر</w:t>
      </w:r>
      <w:r w:rsidR="007A5E3D" w:rsidRPr="00282AC9">
        <w:rPr>
          <w:rFonts w:hint="cs"/>
          <w:rtl/>
        </w:rPr>
        <w:t xml:space="preserve"> </w:t>
      </w:r>
      <w:r w:rsidRPr="00282AC9">
        <w:rPr>
          <w:rtl/>
        </w:rPr>
        <w:t>على ما يظفر به في الحروب، واختلف حول م</w:t>
      </w:r>
      <w:r w:rsidR="007A5E3D" w:rsidRPr="00282AC9">
        <w:rPr>
          <w:rFonts w:hint="cs"/>
          <w:rtl/>
        </w:rPr>
        <w:t>َ</w:t>
      </w:r>
      <w:r w:rsidRPr="00282AC9">
        <w:rPr>
          <w:rtl/>
        </w:rPr>
        <w:t>د</w:t>
      </w:r>
      <w:r w:rsidR="007A5E3D" w:rsidRPr="00282AC9">
        <w:rPr>
          <w:rFonts w:hint="cs"/>
          <w:rtl/>
        </w:rPr>
        <w:t>َ</w:t>
      </w:r>
      <w:r w:rsidRPr="00282AC9">
        <w:rPr>
          <w:rtl/>
        </w:rPr>
        <w:t>يات الاستعمال</w:t>
      </w:r>
      <w:r w:rsidR="007A5E3D" w:rsidRPr="00282AC9">
        <w:rPr>
          <w:rFonts w:hint="cs"/>
          <w:rtl/>
        </w:rPr>
        <w:t>،</w:t>
      </w:r>
      <w:r w:rsidRPr="00282AC9">
        <w:rPr>
          <w:rtl/>
        </w:rPr>
        <w:t xml:space="preserve"> وما إذا كانت موارد الك</w:t>
      </w:r>
      <w:r w:rsidR="007A5E3D" w:rsidRPr="00282AC9">
        <w:rPr>
          <w:rFonts w:hint="cs"/>
          <w:rtl/>
        </w:rPr>
        <w:t>َ</w:t>
      </w:r>
      <w:r w:rsidRPr="00282AC9">
        <w:rPr>
          <w:rtl/>
        </w:rPr>
        <w:t>س</w:t>
      </w:r>
      <w:r w:rsidR="007A5E3D" w:rsidRPr="00282AC9">
        <w:rPr>
          <w:rFonts w:hint="cs"/>
          <w:rtl/>
        </w:rPr>
        <w:t>ْ</w:t>
      </w:r>
      <w:r w:rsidRPr="00282AC9">
        <w:rPr>
          <w:rtl/>
        </w:rPr>
        <w:t>ب تشك</w:t>
      </w:r>
      <w:r w:rsidR="007A5E3D" w:rsidRPr="00282AC9">
        <w:rPr>
          <w:rFonts w:hint="cs"/>
          <w:rtl/>
        </w:rPr>
        <w:t>ِّ</w:t>
      </w:r>
      <w:r w:rsidRPr="00282AC9">
        <w:rPr>
          <w:rtl/>
        </w:rPr>
        <w:t>ل ظاهرة</w:t>
      </w:r>
      <w:r w:rsidR="007A5E3D" w:rsidRPr="00282AC9">
        <w:rPr>
          <w:rFonts w:hint="cs"/>
          <w:rtl/>
        </w:rPr>
        <w:t>ً</w:t>
      </w:r>
      <w:r w:rsidRPr="00282AC9">
        <w:rPr>
          <w:rtl/>
        </w:rPr>
        <w:t xml:space="preserve"> لغوي</w:t>
      </w:r>
      <w:r w:rsidR="007A5E3D" w:rsidRPr="00282AC9">
        <w:rPr>
          <w:rFonts w:hint="cs"/>
          <w:rtl/>
        </w:rPr>
        <w:t>ّ</w:t>
      </w:r>
      <w:r w:rsidRPr="00282AC9">
        <w:rPr>
          <w:rtl/>
        </w:rPr>
        <w:t>ة دلالي</w:t>
      </w:r>
      <w:r w:rsidR="007A5E3D" w:rsidRPr="00282AC9">
        <w:rPr>
          <w:rFonts w:hint="cs"/>
          <w:rtl/>
        </w:rPr>
        <w:t>ّ</w:t>
      </w:r>
      <w:r w:rsidRPr="00282AC9">
        <w:rPr>
          <w:rtl/>
        </w:rPr>
        <w:t>ة اجتماعي</w:t>
      </w:r>
      <w:r w:rsidR="007A5E3D" w:rsidRPr="00282AC9">
        <w:rPr>
          <w:rFonts w:hint="cs"/>
          <w:rtl/>
        </w:rPr>
        <w:t>ّ</w:t>
      </w:r>
      <w:r w:rsidRPr="00282AC9">
        <w:rPr>
          <w:rtl/>
        </w:rPr>
        <w:t>ة.</w:t>
      </w:r>
    </w:p>
    <w:p w:rsidR="00946A76" w:rsidRPr="00282AC9" w:rsidRDefault="00946A76" w:rsidP="00186251">
      <w:pPr>
        <w:rPr>
          <w:rtl/>
        </w:rPr>
      </w:pPr>
      <w:r w:rsidRPr="00282AC9">
        <w:rPr>
          <w:rtl/>
        </w:rPr>
        <w:t xml:space="preserve"> </w:t>
      </w:r>
      <w:r w:rsidRPr="00282AC9">
        <w:rPr>
          <w:rFonts w:hint="cs"/>
          <w:rtl/>
        </w:rPr>
        <w:t>وقد</w:t>
      </w:r>
      <w:r w:rsidRPr="00282AC9">
        <w:rPr>
          <w:rtl/>
        </w:rPr>
        <w:t xml:space="preserve"> تبين أن القضية ج</w:t>
      </w:r>
      <w:r w:rsidR="007A5E3D" w:rsidRPr="00282AC9">
        <w:rPr>
          <w:rFonts w:hint="cs"/>
          <w:rtl/>
        </w:rPr>
        <w:t>َ</w:t>
      </w:r>
      <w:r w:rsidRPr="00282AC9">
        <w:rPr>
          <w:rtl/>
        </w:rPr>
        <w:t>د</w:t>
      </w:r>
      <w:r w:rsidR="007A5E3D" w:rsidRPr="00282AC9">
        <w:rPr>
          <w:rFonts w:hint="cs"/>
          <w:rtl/>
        </w:rPr>
        <w:t>َ</w:t>
      </w:r>
      <w:r w:rsidRPr="00282AC9">
        <w:rPr>
          <w:rtl/>
        </w:rPr>
        <w:t>لية</w:t>
      </w:r>
      <w:r w:rsidR="00B66A9C" w:rsidRPr="00282AC9">
        <w:rPr>
          <w:rFonts w:hint="cs"/>
          <w:rtl/>
        </w:rPr>
        <w:t>ٌ</w:t>
      </w:r>
      <w:r w:rsidR="007A5E3D" w:rsidRPr="00282AC9">
        <w:rPr>
          <w:rFonts w:hint="cs"/>
          <w:rtl/>
        </w:rPr>
        <w:t>،</w:t>
      </w:r>
      <w:r w:rsidRPr="00282AC9">
        <w:rPr>
          <w:rtl/>
        </w:rPr>
        <w:t xml:space="preserve"> ومرجعيات البحث فيها متعد</w:t>
      </w:r>
      <w:r w:rsidR="007A5E3D" w:rsidRPr="00282AC9">
        <w:rPr>
          <w:rFonts w:hint="cs"/>
          <w:rtl/>
        </w:rPr>
        <w:t>ِّ</w:t>
      </w:r>
      <w:r w:rsidRPr="00282AC9">
        <w:rPr>
          <w:rtl/>
        </w:rPr>
        <w:t>دة</w:t>
      </w:r>
      <w:r w:rsidR="007A5E3D" w:rsidRPr="00282AC9">
        <w:rPr>
          <w:rFonts w:hint="cs"/>
          <w:rtl/>
        </w:rPr>
        <w:t>ٌ</w:t>
      </w:r>
      <w:r w:rsidRPr="00282AC9">
        <w:rPr>
          <w:rtl/>
        </w:rPr>
        <w:t xml:space="preserve"> ومتداخلة</w:t>
      </w:r>
      <w:r w:rsidR="007A5E3D" w:rsidRPr="00282AC9">
        <w:rPr>
          <w:rFonts w:hint="cs"/>
          <w:rtl/>
        </w:rPr>
        <w:t>ٌ</w:t>
      </w:r>
      <w:r w:rsidRPr="00282AC9">
        <w:rPr>
          <w:rtl/>
        </w:rPr>
        <w:t>. والمرجعية اللغوية لم تحسم الج</w:t>
      </w:r>
      <w:r w:rsidR="007A5E3D" w:rsidRPr="00282AC9">
        <w:rPr>
          <w:rFonts w:hint="cs"/>
          <w:rtl/>
        </w:rPr>
        <w:t>َ</w:t>
      </w:r>
      <w:r w:rsidRPr="00282AC9">
        <w:rPr>
          <w:rtl/>
        </w:rPr>
        <w:t>د</w:t>
      </w:r>
      <w:r w:rsidR="007A5E3D" w:rsidRPr="00282AC9">
        <w:rPr>
          <w:rFonts w:hint="cs"/>
          <w:rtl/>
        </w:rPr>
        <w:t>َ</w:t>
      </w:r>
      <w:r w:rsidRPr="00282AC9">
        <w:rPr>
          <w:rtl/>
        </w:rPr>
        <w:t>ل. ومع وجود مرجعي</w:t>
      </w:r>
      <w:r w:rsidR="007A5E3D" w:rsidRPr="00282AC9">
        <w:rPr>
          <w:rFonts w:hint="cs"/>
          <w:rtl/>
        </w:rPr>
        <w:t>ّ</w:t>
      </w:r>
      <w:r w:rsidRPr="00282AC9">
        <w:rPr>
          <w:rtl/>
        </w:rPr>
        <w:t>ات</w:t>
      </w:r>
      <w:r w:rsidR="007A5E3D" w:rsidRPr="00282AC9">
        <w:rPr>
          <w:rFonts w:hint="cs"/>
          <w:rtl/>
        </w:rPr>
        <w:t>ٍ</w:t>
      </w:r>
      <w:r w:rsidRPr="00282AC9">
        <w:rPr>
          <w:rtl/>
        </w:rPr>
        <w:t xml:space="preserve"> نص</w:t>
      </w:r>
      <w:r w:rsidR="007A5E3D" w:rsidRPr="00282AC9">
        <w:rPr>
          <w:rFonts w:hint="cs"/>
          <w:rtl/>
        </w:rPr>
        <w:t>ّ</w:t>
      </w:r>
      <w:r w:rsidRPr="00282AC9">
        <w:rPr>
          <w:rtl/>
        </w:rPr>
        <w:t>ية</w:t>
      </w:r>
      <w:r w:rsidR="007A5E3D" w:rsidRPr="00282AC9">
        <w:rPr>
          <w:rFonts w:hint="cs"/>
          <w:rtl/>
        </w:rPr>
        <w:t>،</w:t>
      </w:r>
      <w:r w:rsidRPr="00282AC9">
        <w:rPr>
          <w:rtl/>
        </w:rPr>
        <w:t xml:space="preserve"> تواصل الاختلاف </w:t>
      </w:r>
      <w:r w:rsidRPr="00282AC9">
        <w:rPr>
          <w:rtl/>
        </w:rPr>
        <w:lastRenderedPageBreak/>
        <w:t>الفقهي</w:t>
      </w:r>
      <w:r w:rsidR="007A5E3D" w:rsidRPr="00282AC9">
        <w:rPr>
          <w:rFonts w:hint="cs"/>
          <w:rtl/>
        </w:rPr>
        <w:t xml:space="preserve">ّ </w:t>
      </w:r>
      <w:r w:rsidRPr="00282AC9">
        <w:rPr>
          <w:rtl/>
        </w:rPr>
        <w:t>حت</w:t>
      </w:r>
      <w:r w:rsidR="007A5E3D" w:rsidRPr="00282AC9">
        <w:rPr>
          <w:rFonts w:hint="cs"/>
          <w:rtl/>
        </w:rPr>
        <w:t>ّ</w:t>
      </w:r>
      <w:r w:rsidRPr="00282AC9">
        <w:rPr>
          <w:rtl/>
        </w:rPr>
        <w:t>ى في الات</w:t>
      </w:r>
      <w:r w:rsidR="007A5E3D" w:rsidRPr="00282AC9">
        <w:rPr>
          <w:rFonts w:hint="cs"/>
          <w:rtl/>
        </w:rPr>
        <w:t>ّ</w:t>
      </w:r>
      <w:r w:rsidRPr="00282AC9">
        <w:rPr>
          <w:rtl/>
        </w:rPr>
        <w:t>جاه الواحد. وهنا يبرز سؤال اللحظة التاريخية ومقتضيات الواقع في الاجتماع الإنساني</w:t>
      </w:r>
      <w:r w:rsidR="007A5E3D" w:rsidRPr="00282AC9">
        <w:rPr>
          <w:rFonts w:hint="cs"/>
          <w:rtl/>
        </w:rPr>
        <w:t>ّ</w:t>
      </w:r>
      <w:r w:rsidRPr="00282AC9">
        <w:rPr>
          <w:rtl/>
        </w:rPr>
        <w:t>، ومدى مساهمتها في عملية الح</w:t>
      </w:r>
      <w:r w:rsidR="007A5E3D" w:rsidRPr="00282AC9">
        <w:rPr>
          <w:rFonts w:hint="cs"/>
          <w:rtl/>
        </w:rPr>
        <w:t>َ</w:t>
      </w:r>
      <w:r w:rsidRPr="00282AC9">
        <w:rPr>
          <w:rtl/>
        </w:rPr>
        <w:t>س</w:t>
      </w:r>
      <w:r w:rsidR="007A5E3D" w:rsidRPr="00282AC9">
        <w:rPr>
          <w:rFonts w:hint="cs"/>
          <w:rtl/>
        </w:rPr>
        <w:t>ْ</w:t>
      </w:r>
      <w:r w:rsidRPr="00282AC9">
        <w:rPr>
          <w:rtl/>
        </w:rPr>
        <w:t>م</w:t>
      </w:r>
      <w:r w:rsidR="007A5E3D" w:rsidRPr="00282AC9">
        <w:rPr>
          <w:rFonts w:hint="cs"/>
          <w:rtl/>
        </w:rPr>
        <w:t>؟</w:t>
      </w:r>
    </w:p>
    <w:p w:rsidR="00946A76" w:rsidRPr="00282AC9" w:rsidRDefault="00946A76" w:rsidP="00186251">
      <w:pPr>
        <w:rPr>
          <w:rtl/>
        </w:rPr>
      </w:pPr>
      <w:r w:rsidRPr="00282AC9">
        <w:rPr>
          <w:rFonts w:hint="cs"/>
          <w:rtl/>
        </w:rPr>
        <w:t xml:space="preserve"> </w:t>
      </w:r>
      <w:r w:rsidRPr="00282AC9">
        <w:rPr>
          <w:rtl/>
        </w:rPr>
        <w:t>والمفارقة التي ظهرت جلي</w:t>
      </w:r>
      <w:r w:rsidR="007A5E3D" w:rsidRPr="00282AC9">
        <w:rPr>
          <w:rFonts w:hint="cs"/>
          <w:rtl/>
        </w:rPr>
        <w:t>ّ</w:t>
      </w:r>
      <w:r w:rsidRPr="00282AC9">
        <w:rPr>
          <w:rtl/>
        </w:rPr>
        <w:t>ة</w:t>
      </w:r>
      <w:r w:rsidR="007A5E3D" w:rsidRPr="00282AC9">
        <w:rPr>
          <w:rFonts w:hint="cs"/>
          <w:rtl/>
        </w:rPr>
        <w:t>ً</w:t>
      </w:r>
      <w:r w:rsidRPr="00282AC9">
        <w:rPr>
          <w:rtl/>
        </w:rPr>
        <w:t xml:space="preserve"> في المقام </w:t>
      </w:r>
      <w:r w:rsidR="007A5E3D" w:rsidRPr="00282AC9">
        <w:rPr>
          <w:rFonts w:hint="cs"/>
          <w:rtl/>
        </w:rPr>
        <w:t>أ</w:t>
      </w:r>
      <w:r w:rsidRPr="00282AC9">
        <w:rPr>
          <w:rtl/>
        </w:rPr>
        <w:t>نه في الوقت الذي رأى بعضهم أن المفهوم اللغوي للكلمة أعم</w:t>
      </w:r>
      <w:r w:rsidR="002C24E3" w:rsidRPr="00282AC9">
        <w:rPr>
          <w:rFonts w:hint="cs"/>
          <w:rtl/>
        </w:rPr>
        <w:t>ّ</w:t>
      </w:r>
      <w:r w:rsidRPr="00282AC9">
        <w:rPr>
          <w:rtl/>
        </w:rPr>
        <w:t>، قي</w:t>
      </w:r>
      <w:r w:rsidR="002C24E3" w:rsidRPr="00282AC9">
        <w:rPr>
          <w:rFonts w:hint="cs"/>
          <w:rtl/>
        </w:rPr>
        <w:t>َّ</w:t>
      </w:r>
      <w:r w:rsidRPr="00282AC9">
        <w:rPr>
          <w:rtl/>
        </w:rPr>
        <w:t>دوه بالمعنى الاصطلاحي</w:t>
      </w:r>
      <w:r w:rsidR="002C24E3" w:rsidRPr="00282AC9">
        <w:rPr>
          <w:rFonts w:hint="cs"/>
          <w:rtl/>
        </w:rPr>
        <w:t>ّ</w:t>
      </w:r>
      <w:r w:rsidRPr="00282AC9">
        <w:rPr>
          <w:rtl/>
        </w:rPr>
        <w:t xml:space="preserve"> الذي استقر</w:t>
      </w:r>
      <w:r w:rsidR="002C24E3" w:rsidRPr="00282AC9">
        <w:rPr>
          <w:rFonts w:hint="cs"/>
          <w:rtl/>
        </w:rPr>
        <w:t>ّ</w:t>
      </w:r>
      <w:r w:rsidRPr="00282AC9">
        <w:rPr>
          <w:rtl/>
        </w:rPr>
        <w:t xml:space="preserve"> لديهم في الفقه. </w:t>
      </w:r>
      <w:r w:rsidR="002C24E3" w:rsidRPr="00282AC9">
        <w:rPr>
          <w:rFonts w:hint="cs"/>
          <w:rtl/>
        </w:rPr>
        <w:t>و</w:t>
      </w:r>
      <w:r w:rsidRPr="00282AC9">
        <w:rPr>
          <w:rtl/>
        </w:rPr>
        <w:t>في المقابل رأى بعض</w:t>
      </w:r>
      <w:r w:rsidR="002C24E3" w:rsidRPr="00282AC9">
        <w:rPr>
          <w:rFonts w:hint="cs"/>
          <w:rtl/>
        </w:rPr>
        <w:t>ٌ</w:t>
      </w:r>
      <w:r w:rsidRPr="00282AC9">
        <w:rPr>
          <w:rtl/>
        </w:rPr>
        <w:t xml:space="preserve"> أن المفهوم السائد هو أضيق</w:t>
      </w:r>
      <w:r w:rsidR="002C24E3" w:rsidRPr="00282AC9">
        <w:rPr>
          <w:rFonts w:hint="cs"/>
          <w:rtl/>
        </w:rPr>
        <w:t>،</w:t>
      </w:r>
      <w:r w:rsidRPr="00282AC9">
        <w:rPr>
          <w:rtl/>
        </w:rPr>
        <w:t xml:space="preserve"> ومع ذلك تبن</w:t>
      </w:r>
      <w:r w:rsidR="002C24E3" w:rsidRPr="00282AC9">
        <w:rPr>
          <w:rFonts w:hint="cs"/>
          <w:rtl/>
        </w:rPr>
        <w:t>ّ</w:t>
      </w:r>
      <w:r w:rsidRPr="00282AC9">
        <w:rPr>
          <w:rtl/>
        </w:rPr>
        <w:t>ى الات</w:t>
      </w:r>
      <w:r w:rsidR="002C24E3" w:rsidRPr="00282AC9">
        <w:rPr>
          <w:rFonts w:hint="cs"/>
          <w:rtl/>
        </w:rPr>
        <w:t>ّ</w:t>
      </w:r>
      <w:r w:rsidRPr="00282AC9">
        <w:rPr>
          <w:rtl/>
        </w:rPr>
        <w:t>جاه الفقهي</w:t>
      </w:r>
      <w:r w:rsidR="002C24E3" w:rsidRPr="00282AC9">
        <w:rPr>
          <w:rFonts w:hint="cs"/>
          <w:rtl/>
        </w:rPr>
        <w:t>ّ</w:t>
      </w:r>
      <w:r w:rsidRPr="00282AC9">
        <w:rPr>
          <w:rtl/>
        </w:rPr>
        <w:t xml:space="preserve"> المشهور في نظرهم</w:t>
      </w:r>
      <w:r w:rsidR="002C24E3" w:rsidRPr="00282AC9">
        <w:rPr>
          <w:rFonts w:hint="cs"/>
          <w:rtl/>
        </w:rPr>
        <w:t>،</w:t>
      </w:r>
      <w:r w:rsidRPr="00282AC9">
        <w:rPr>
          <w:rtl/>
        </w:rPr>
        <w:t xml:space="preserve"> وفاقا</w:t>
      </w:r>
      <w:r w:rsidR="002C24E3" w:rsidRPr="00282AC9">
        <w:rPr>
          <w:rFonts w:hint="cs"/>
          <w:rtl/>
        </w:rPr>
        <w:t>ً</w:t>
      </w:r>
      <w:r w:rsidRPr="00282AC9">
        <w:rPr>
          <w:rtl/>
        </w:rPr>
        <w:t xml:space="preserve"> للموقف الروائي</w:t>
      </w:r>
      <w:r w:rsidR="002C24E3" w:rsidRPr="00282AC9">
        <w:rPr>
          <w:rFonts w:hint="cs"/>
          <w:rtl/>
        </w:rPr>
        <w:t>ّ</w:t>
      </w:r>
      <w:r w:rsidRPr="00282AC9">
        <w:rPr>
          <w:rtl/>
        </w:rPr>
        <w:t xml:space="preserve"> والفقهي</w:t>
      </w:r>
      <w:r w:rsidR="002C24E3" w:rsidRPr="00282AC9">
        <w:rPr>
          <w:rFonts w:hint="cs"/>
          <w:rtl/>
        </w:rPr>
        <w:t>ّ</w:t>
      </w:r>
      <w:r w:rsidRPr="00282AC9">
        <w:rPr>
          <w:rtl/>
        </w:rPr>
        <w:t xml:space="preserve"> القائل بالمفهوم الواسع. </w:t>
      </w:r>
    </w:p>
    <w:p w:rsidR="00946A76" w:rsidRPr="00282AC9" w:rsidRDefault="00946A76" w:rsidP="00186251">
      <w:pPr>
        <w:rPr>
          <w:bCs/>
          <w:rtl/>
        </w:rPr>
      </w:pPr>
      <w:r w:rsidRPr="00282AC9">
        <w:rPr>
          <w:rtl/>
        </w:rPr>
        <w:t>وتبين أن القول بالمفهوم الضي</w:t>
      </w:r>
      <w:r w:rsidR="002C24E3" w:rsidRPr="00282AC9">
        <w:rPr>
          <w:rFonts w:hint="cs"/>
          <w:rtl/>
        </w:rPr>
        <w:t>ِّ</w:t>
      </w:r>
      <w:r w:rsidRPr="00282AC9">
        <w:rPr>
          <w:rtl/>
        </w:rPr>
        <w:t>ق للغنيمة في آية الخمس ليس مقتصرا</w:t>
      </w:r>
      <w:r w:rsidR="002C24E3" w:rsidRPr="00282AC9">
        <w:rPr>
          <w:rFonts w:hint="cs"/>
          <w:rtl/>
        </w:rPr>
        <w:t>ً</w:t>
      </w:r>
      <w:r w:rsidRPr="00282AC9">
        <w:rPr>
          <w:rtl/>
        </w:rPr>
        <w:t xml:space="preserve"> على ات</w:t>
      </w:r>
      <w:r w:rsidR="002C24E3" w:rsidRPr="00282AC9">
        <w:rPr>
          <w:rFonts w:hint="cs"/>
          <w:rtl/>
        </w:rPr>
        <w:t>ّ</w:t>
      </w:r>
      <w:r w:rsidRPr="00282AC9">
        <w:rPr>
          <w:rtl/>
        </w:rPr>
        <w:t>جاه</w:t>
      </w:r>
      <w:r w:rsidR="002C24E3" w:rsidRPr="00282AC9">
        <w:rPr>
          <w:rFonts w:hint="cs"/>
          <w:rtl/>
        </w:rPr>
        <w:t>ٍ</w:t>
      </w:r>
      <w:r w:rsidRPr="00282AC9">
        <w:rPr>
          <w:rtl/>
        </w:rPr>
        <w:t xml:space="preserve"> فقهي</w:t>
      </w:r>
      <w:r w:rsidR="002C24E3" w:rsidRPr="00282AC9">
        <w:rPr>
          <w:rFonts w:hint="cs"/>
          <w:rtl/>
        </w:rPr>
        <w:t>ّ</w:t>
      </w:r>
      <w:r w:rsidRPr="00282AC9">
        <w:rPr>
          <w:rtl/>
        </w:rPr>
        <w:t xml:space="preserve"> مذهبي</w:t>
      </w:r>
      <w:r w:rsidR="002C24E3" w:rsidRPr="00282AC9">
        <w:rPr>
          <w:rFonts w:hint="cs"/>
          <w:rtl/>
        </w:rPr>
        <w:t>ّ</w:t>
      </w:r>
      <w:r w:rsidRPr="00282AC9">
        <w:rPr>
          <w:rtl/>
        </w:rPr>
        <w:t xml:space="preserve"> وتفسيري</w:t>
      </w:r>
      <w:r w:rsidR="002C24E3" w:rsidRPr="00282AC9">
        <w:rPr>
          <w:rFonts w:hint="cs"/>
          <w:rtl/>
        </w:rPr>
        <w:t>ّ</w:t>
      </w:r>
      <w:r w:rsidRPr="00282AC9">
        <w:rPr>
          <w:rtl/>
        </w:rPr>
        <w:t xml:space="preserve"> معين، وإن</w:t>
      </w:r>
      <w:r w:rsidR="002C24E3" w:rsidRPr="00282AC9">
        <w:rPr>
          <w:rFonts w:hint="cs"/>
          <w:rtl/>
        </w:rPr>
        <w:t>ْ</w:t>
      </w:r>
      <w:r w:rsidRPr="00282AC9">
        <w:rPr>
          <w:rtl/>
        </w:rPr>
        <w:t xml:space="preserve"> كان موضع ات</w:t>
      </w:r>
      <w:r w:rsidR="002C24E3" w:rsidRPr="00282AC9">
        <w:rPr>
          <w:rFonts w:hint="cs"/>
          <w:rtl/>
        </w:rPr>
        <w:t>ّ</w:t>
      </w:r>
      <w:r w:rsidRPr="00282AC9">
        <w:rPr>
          <w:rtl/>
        </w:rPr>
        <w:t>فاق</w:t>
      </w:r>
      <w:r w:rsidR="002C24E3" w:rsidRPr="00282AC9">
        <w:rPr>
          <w:rFonts w:hint="cs"/>
          <w:rtl/>
        </w:rPr>
        <w:t>ٍ</w:t>
      </w:r>
      <w:r w:rsidRPr="00282AC9">
        <w:rPr>
          <w:rtl/>
        </w:rPr>
        <w:t xml:space="preserve"> لدى أحد الات</w:t>
      </w:r>
      <w:r w:rsidR="002C24E3" w:rsidRPr="00282AC9">
        <w:rPr>
          <w:rFonts w:hint="cs"/>
          <w:rtl/>
        </w:rPr>
        <w:t>ّ</w:t>
      </w:r>
      <w:r w:rsidRPr="00282AC9">
        <w:rPr>
          <w:rtl/>
        </w:rPr>
        <w:t>جاهين الفقهي</w:t>
      </w:r>
      <w:r w:rsidR="002C24E3" w:rsidRPr="00282AC9">
        <w:rPr>
          <w:rFonts w:hint="cs"/>
          <w:rtl/>
        </w:rPr>
        <w:t>ّ</w:t>
      </w:r>
      <w:r w:rsidRPr="00282AC9">
        <w:rPr>
          <w:rtl/>
        </w:rPr>
        <w:t>ين الرئيسين للمسلمين، ومحل</w:t>
      </w:r>
      <w:r w:rsidR="002C24E3" w:rsidRPr="00282AC9">
        <w:rPr>
          <w:rFonts w:hint="cs"/>
          <w:rtl/>
        </w:rPr>
        <w:t>ّ</w:t>
      </w:r>
      <w:r w:rsidRPr="00282AC9">
        <w:rPr>
          <w:rtl/>
        </w:rPr>
        <w:t xml:space="preserve"> خلاف لدى الات</w:t>
      </w:r>
      <w:r w:rsidR="002C24E3" w:rsidRPr="00282AC9">
        <w:rPr>
          <w:rFonts w:hint="cs"/>
          <w:rtl/>
        </w:rPr>
        <w:t>ّ</w:t>
      </w:r>
      <w:r w:rsidRPr="00282AC9">
        <w:rPr>
          <w:rtl/>
        </w:rPr>
        <w:t>جاه الآخر، وإن</w:t>
      </w:r>
      <w:r w:rsidR="002C24E3" w:rsidRPr="00282AC9">
        <w:rPr>
          <w:rFonts w:hint="cs"/>
          <w:rtl/>
        </w:rPr>
        <w:t>ْ</w:t>
      </w:r>
      <w:r w:rsidRPr="00282AC9">
        <w:rPr>
          <w:rtl/>
        </w:rPr>
        <w:t xml:space="preserve"> على مستوى</w:t>
      </w:r>
      <w:r w:rsidR="002C24E3" w:rsidRPr="00282AC9">
        <w:rPr>
          <w:rFonts w:hint="cs"/>
          <w:rtl/>
        </w:rPr>
        <w:t>ً</w:t>
      </w:r>
      <w:r w:rsidRPr="00282AC9">
        <w:rPr>
          <w:rtl/>
        </w:rPr>
        <w:t xml:space="preserve"> محدود</w:t>
      </w:r>
      <w:r w:rsidR="002C24E3" w:rsidRPr="00282AC9">
        <w:rPr>
          <w:rFonts w:hint="cs"/>
          <w:rtl/>
        </w:rPr>
        <w:t>ٍ</w:t>
      </w:r>
      <w:r w:rsidRPr="00282AC9">
        <w:rPr>
          <w:rtl/>
        </w:rPr>
        <w:t xml:space="preserve">. </w:t>
      </w:r>
    </w:p>
    <w:p w:rsidR="00946A76" w:rsidRPr="00282AC9" w:rsidRDefault="00946A76" w:rsidP="00186251">
      <w:pPr>
        <w:rPr>
          <w:rtl/>
        </w:rPr>
      </w:pPr>
      <w:r w:rsidRPr="00282AC9">
        <w:rPr>
          <w:rtl/>
        </w:rPr>
        <w:t>وفي الوقت نفسه هناك م</w:t>
      </w:r>
      <w:r w:rsidR="002C24E3" w:rsidRPr="00282AC9">
        <w:rPr>
          <w:rFonts w:hint="cs"/>
          <w:rtl/>
        </w:rPr>
        <w:t>َ</w:t>
      </w:r>
      <w:r w:rsidRPr="00282AC9">
        <w:rPr>
          <w:rtl/>
        </w:rPr>
        <w:t>ن</w:t>
      </w:r>
      <w:r w:rsidR="002C24E3" w:rsidRPr="00282AC9">
        <w:rPr>
          <w:rFonts w:hint="cs"/>
          <w:rtl/>
        </w:rPr>
        <w:t>ْ</w:t>
      </w:r>
      <w:r w:rsidRPr="00282AC9">
        <w:rPr>
          <w:rtl/>
        </w:rPr>
        <w:t xml:space="preserve"> خالف الموقف الفقهي المشهور</w:t>
      </w:r>
      <w:r w:rsidR="002C24E3" w:rsidRPr="00282AC9">
        <w:rPr>
          <w:rFonts w:hint="cs"/>
          <w:rtl/>
        </w:rPr>
        <w:t xml:space="preserve"> </w:t>
      </w:r>
      <w:r w:rsidRPr="00282AC9">
        <w:rPr>
          <w:rtl/>
        </w:rPr>
        <w:t>في مدرسته</w:t>
      </w:r>
      <w:r w:rsidR="002C24E3" w:rsidRPr="00282AC9">
        <w:rPr>
          <w:rFonts w:hint="cs"/>
          <w:rtl/>
        </w:rPr>
        <w:t>،</w:t>
      </w:r>
      <w:r w:rsidRPr="00282AC9">
        <w:rPr>
          <w:rtl/>
        </w:rPr>
        <w:t xml:space="preserve"> وتمس</w:t>
      </w:r>
      <w:r w:rsidR="002C24E3" w:rsidRPr="00282AC9">
        <w:rPr>
          <w:rFonts w:hint="cs"/>
          <w:rtl/>
        </w:rPr>
        <w:t>َّ</w:t>
      </w:r>
      <w:r w:rsidRPr="00282AC9">
        <w:rPr>
          <w:rtl/>
        </w:rPr>
        <w:t>ك</w:t>
      </w:r>
      <w:r w:rsidRPr="00282AC9">
        <w:rPr>
          <w:rFonts w:hint="cs"/>
          <w:rtl/>
        </w:rPr>
        <w:t xml:space="preserve"> </w:t>
      </w:r>
      <w:r w:rsidRPr="00282AC9">
        <w:rPr>
          <w:rtl/>
        </w:rPr>
        <w:t xml:space="preserve">بما قاده </w:t>
      </w:r>
      <w:r w:rsidR="002C24E3" w:rsidRPr="00282AC9">
        <w:rPr>
          <w:rFonts w:hint="cs"/>
          <w:rtl/>
        </w:rPr>
        <w:t>إ</w:t>
      </w:r>
      <w:r w:rsidRPr="00282AC9">
        <w:rPr>
          <w:rtl/>
        </w:rPr>
        <w:t>ليه البحث العلمي</w:t>
      </w:r>
      <w:r w:rsidR="002C24E3" w:rsidRPr="00282AC9">
        <w:rPr>
          <w:rFonts w:hint="cs"/>
          <w:rtl/>
        </w:rPr>
        <w:t>ّ،</w:t>
      </w:r>
      <w:r w:rsidRPr="00282AC9">
        <w:rPr>
          <w:rtl/>
        </w:rPr>
        <w:t xml:space="preserve"> ح</w:t>
      </w:r>
      <w:r w:rsidR="002C24E3" w:rsidRPr="00282AC9">
        <w:rPr>
          <w:rFonts w:hint="cs"/>
          <w:rtl/>
        </w:rPr>
        <w:t>َ</w:t>
      </w:r>
      <w:r w:rsidRPr="00282AC9">
        <w:rPr>
          <w:rtl/>
        </w:rPr>
        <w:t>س</w:t>
      </w:r>
      <w:r w:rsidR="002C24E3" w:rsidRPr="00282AC9">
        <w:rPr>
          <w:rFonts w:hint="cs"/>
          <w:rtl/>
        </w:rPr>
        <w:t>ْ</w:t>
      </w:r>
      <w:r w:rsidRPr="00282AC9">
        <w:rPr>
          <w:rtl/>
        </w:rPr>
        <w:t>ب قناعته المستقل</w:t>
      </w:r>
      <w:r w:rsidR="002C24E3" w:rsidRPr="00282AC9">
        <w:rPr>
          <w:rFonts w:hint="cs"/>
          <w:rtl/>
        </w:rPr>
        <w:t>ّ</w:t>
      </w:r>
      <w:r w:rsidRPr="00282AC9">
        <w:rPr>
          <w:rtl/>
        </w:rPr>
        <w:t>ة.</w:t>
      </w:r>
    </w:p>
    <w:p w:rsidR="00E83C22" w:rsidRPr="00282AC9" w:rsidRDefault="00946A76" w:rsidP="00186251">
      <w:pPr>
        <w:rPr>
          <w:rtl/>
        </w:rPr>
      </w:pPr>
      <w:r w:rsidRPr="00282AC9">
        <w:rPr>
          <w:rtl/>
        </w:rPr>
        <w:t xml:space="preserve"> وأسفر البحث عن وجود آراء منذ الق</w:t>
      </w:r>
      <w:r w:rsidR="002C24E3" w:rsidRPr="00282AC9">
        <w:rPr>
          <w:rFonts w:hint="cs"/>
          <w:rtl/>
        </w:rPr>
        <w:t>ِ</w:t>
      </w:r>
      <w:r w:rsidRPr="00282AC9">
        <w:rPr>
          <w:rtl/>
        </w:rPr>
        <w:t>د</w:t>
      </w:r>
      <w:r w:rsidR="002C24E3" w:rsidRPr="00282AC9">
        <w:rPr>
          <w:rFonts w:hint="cs"/>
          <w:rtl/>
        </w:rPr>
        <w:t>َ</w:t>
      </w:r>
      <w:r w:rsidRPr="00282AC9">
        <w:rPr>
          <w:rtl/>
        </w:rPr>
        <w:t>م</w:t>
      </w:r>
      <w:r w:rsidR="002C24E3" w:rsidRPr="00282AC9">
        <w:rPr>
          <w:rFonts w:hint="cs"/>
          <w:rtl/>
        </w:rPr>
        <w:t>،</w:t>
      </w:r>
      <w:r w:rsidRPr="00282AC9">
        <w:rPr>
          <w:rtl/>
        </w:rPr>
        <w:t xml:space="preserve"> لدى مختلف مذاهب الفقه</w:t>
      </w:r>
      <w:r w:rsidR="002C24E3" w:rsidRPr="00282AC9">
        <w:rPr>
          <w:rFonts w:hint="cs"/>
          <w:rtl/>
        </w:rPr>
        <w:t>،</w:t>
      </w:r>
      <w:r w:rsidRPr="00282AC9">
        <w:rPr>
          <w:rtl/>
        </w:rPr>
        <w:t xml:space="preserve"> فرض</w:t>
      </w:r>
      <w:r w:rsidR="002C24E3" w:rsidRPr="00282AC9">
        <w:rPr>
          <w:rFonts w:hint="cs"/>
          <w:rtl/>
        </w:rPr>
        <w:t>َ</w:t>
      </w:r>
      <w:r w:rsidRPr="00282AC9">
        <w:rPr>
          <w:rtl/>
        </w:rPr>
        <w:t>ت</w:t>
      </w:r>
      <w:r w:rsidR="002C24E3" w:rsidRPr="00282AC9">
        <w:rPr>
          <w:rFonts w:hint="cs"/>
          <w:rtl/>
        </w:rPr>
        <w:t>ْ</w:t>
      </w:r>
      <w:r w:rsidRPr="00282AC9">
        <w:rPr>
          <w:rtl/>
        </w:rPr>
        <w:t xml:space="preserve"> الخمس على بعض موارد الك</w:t>
      </w:r>
      <w:r w:rsidR="002C24E3" w:rsidRPr="00282AC9">
        <w:rPr>
          <w:rFonts w:hint="cs"/>
          <w:rtl/>
        </w:rPr>
        <w:t>َ</w:t>
      </w:r>
      <w:r w:rsidRPr="00282AC9">
        <w:rPr>
          <w:rtl/>
        </w:rPr>
        <w:t>س</w:t>
      </w:r>
      <w:r w:rsidR="002C24E3" w:rsidRPr="00282AC9">
        <w:rPr>
          <w:rFonts w:hint="cs"/>
          <w:rtl/>
        </w:rPr>
        <w:t>ْ</w:t>
      </w:r>
      <w:r w:rsidRPr="00282AC9">
        <w:rPr>
          <w:rtl/>
        </w:rPr>
        <w:t>ب غير الحربي</w:t>
      </w:r>
      <w:r w:rsidR="002C24E3" w:rsidRPr="00282AC9">
        <w:rPr>
          <w:rFonts w:hint="cs"/>
          <w:rtl/>
        </w:rPr>
        <w:t>ّ</w:t>
      </w:r>
      <w:r w:rsidRPr="00282AC9">
        <w:rPr>
          <w:rtl/>
        </w:rPr>
        <w:t>ة</w:t>
      </w:r>
      <w:r w:rsidR="002C24E3" w:rsidRPr="00282AC9">
        <w:rPr>
          <w:rFonts w:hint="cs"/>
          <w:rtl/>
        </w:rPr>
        <w:t>،</w:t>
      </w:r>
      <w:r w:rsidRPr="00282AC9">
        <w:rPr>
          <w:rtl/>
        </w:rPr>
        <w:t xml:space="preserve"> مع تكييفات</w:t>
      </w:r>
      <w:r w:rsidR="002C24E3" w:rsidRPr="00282AC9">
        <w:rPr>
          <w:rFonts w:hint="cs"/>
          <w:rtl/>
        </w:rPr>
        <w:t>ٍ</w:t>
      </w:r>
      <w:r w:rsidRPr="00282AC9">
        <w:rPr>
          <w:rtl/>
        </w:rPr>
        <w:t xml:space="preserve"> فقهي</w:t>
      </w:r>
      <w:r w:rsidR="002C24E3" w:rsidRPr="00282AC9">
        <w:rPr>
          <w:rFonts w:hint="cs"/>
          <w:rtl/>
        </w:rPr>
        <w:t>ّ</w:t>
      </w:r>
      <w:r w:rsidRPr="00282AC9">
        <w:rPr>
          <w:rtl/>
        </w:rPr>
        <w:t>ة معي</w:t>
      </w:r>
      <w:r w:rsidR="002C24E3" w:rsidRPr="00282AC9">
        <w:rPr>
          <w:rFonts w:hint="cs"/>
          <w:rtl/>
        </w:rPr>
        <w:t>َّ</w:t>
      </w:r>
      <w:r w:rsidRPr="00282AC9">
        <w:rPr>
          <w:rtl/>
        </w:rPr>
        <w:t>نة.</w:t>
      </w:r>
    </w:p>
    <w:p w:rsidR="00E83C22" w:rsidRPr="00282AC9" w:rsidRDefault="00E83C22" w:rsidP="00235851">
      <w:pPr>
        <w:spacing w:line="440" w:lineRule="exact"/>
        <w:rPr>
          <w:rtl/>
        </w:rPr>
      </w:pPr>
    </w:p>
    <w:p w:rsidR="00E83C22" w:rsidRPr="00282AC9" w:rsidRDefault="00E83C22" w:rsidP="00235851">
      <w:pPr>
        <w:spacing w:line="460" w:lineRule="exact"/>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82"/>
          <w:headerReference w:type="default" r:id="rId83"/>
          <w:footerReference w:type="even" r:id="rId84"/>
          <w:footerReference w:type="defaul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9F6344">
      <w:pPr>
        <w:spacing w:line="240" w:lineRule="auto"/>
      </w:pPr>
      <w:r w:rsidRPr="00282AC9">
        <w:rPr>
          <w:rtl/>
        </w:rPr>
        <w:lastRenderedPageBreak/>
        <w:br w:type="page"/>
      </w:r>
    </w:p>
    <w:p w:rsidR="00E83C22" w:rsidRPr="00282AC9" w:rsidRDefault="00E83C22" w:rsidP="009F6344">
      <w:pPr>
        <w:spacing w:line="240" w:lineRule="auto"/>
        <w:rPr>
          <w:rtl/>
        </w:rPr>
        <w:sectPr w:rsidR="00E83C22" w:rsidRPr="00282AC9" w:rsidSect="00E85587">
          <w:headerReference w:type="even" r:id="rId86"/>
          <w:headerReference w:type="default" r:id="rId87"/>
          <w:footerReference w:type="even" r:id="rId88"/>
          <w:footerReference w:type="default" r:id="rId89"/>
          <w:headerReference w:type="firs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C31B3F">
      <w:pPr>
        <w:spacing w:line="500" w:lineRule="exact"/>
        <w:rPr>
          <w:rtl/>
        </w:rPr>
      </w:pPr>
    </w:p>
    <w:p w:rsidR="00E83C22" w:rsidRPr="00282AC9" w:rsidRDefault="00E83C22" w:rsidP="00C31B3F">
      <w:pPr>
        <w:spacing w:line="500" w:lineRule="exact"/>
        <w:rPr>
          <w:rtl/>
        </w:rPr>
      </w:pPr>
    </w:p>
    <w:p w:rsidR="00E83C22" w:rsidRPr="00282AC9" w:rsidRDefault="00B1056C" w:rsidP="002A3BCA">
      <w:pPr>
        <w:pStyle w:val="11"/>
        <w:spacing w:line="216" w:lineRule="auto"/>
        <w:rPr>
          <w:rtl/>
        </w:rPr>
      </w:pPr>
      <w:bookmarkStart w:id="60" w:name="_Toc87011504"/>
      <w:r w:rsidRPr="00282AC9">
        <w:rPr>
          <w:rFonts w:hint="eastAsia"/>
          <w:rtl/>
        </w:rPr>
        <w:t>«</w:t>
      </w:r>
      <w:r w:rsidRPr="00282AC9">
        <w:rPr>
          <w:rFonts w:hint="cs"/>
          <w:rtl/>
        </w:rPr>
        <w:t>السُنَّة</w:t>
      </w:r>
      <w:r w:rsidRPr="00282AC9">
        <w:rPr>
          <w:rFonts w:hint="eastAsia"/>
          <w:rtl/>
        </w:rPr>
        <w:t>»</w:t>
      </w:r>
      <w:r w:rsidRPr="00282AC9">
        <w:rPr>
          <w:rtl/>
        </w:rPr>
        <w:t xml:space="preserve"> </w:t>
      </w:r>
      <w:r w:rsidR="002A3BCA" w:rsidRPr="00282AC9">
        <w:rPr>
          <w:rFonts w:hint="cs"/>
          <w:rtl/>
        </w:rPr>
        <w:t>ودلالاتها</w:t>
      </w:r>
      <w:bookmarkEnd w:id="60"/>
    </w:p>
    <w:p w:rsidR="00E83C22" w:rsidRPr="00282AC9" w:rsidRDefault="002A3BCA" w:rsidP="001332DF">
      <w:pPr>
        <w:pStyle w:val="11"/>
        <w:spacing w:line="216" w:lineRule="auto"/>
        <w:rPr>
          <w:sz w:val="26"/>
          <w:szCs w:val="42"/>
          <w:rtl/>
          <w:lang w:bidi="fa-IR"/>
        </w:rPr>
      </w:pPr>
      <w:bookmarkStart w:id="61" w:name="_Toc87011505"/>
      <w:r w:rsidRPr="00282AC9">
        <w:rPr>
          <w:rFonts w:hint="cs"/>
          <w:sz w:val="26"/>
          <w:szCs w:val="42"/>
          <w:rtl/>
        </w:rPr>
        <w:t>في التراثين الدينيّ والأدبيّ في القر</w:t>
      </w:r>
      <w:r w:rsidR="002E3C5E" w:rsidRPr="00282AC9">
        <w:rPr>
          <w:rFonts w:hint="cs"/>
          <w:sz w:val="26"/>
          <w:szCs w:val="42"/>
          <w:rtl/>
        </w:rPr>
        <w:t>ون الهجريّة</w:t>
      </w:r>
      <w:r w:rsidRPr="00282AC9">
        <w:rPr>
          <w:rFonts w:hint="cs"/>
          <w:sz w:val="26"/>
          <w:szCs w:val="42"/>
          <w:rtl/>
        </w:rPr>
        <w:t xml:space="preserve"> الأو</w:t>
      </w:r>
      <w:r w:rsidR="002E3C5E" w:rsidRPr="00282AC9">
        <w:rPr>
          <w:rFonts w:hint="cs"/>
          <w:sz w:val="26"/>
          <w:szCs w:val="42"/>
          <w:rtl/>
        </w:rPr>
        <w:t>لى</w:t>
      </w:r>
      <w:bookmarkEnd w:id="61"/>
    </w:p>
    <w:p w:rsidR="00E83C22" w:rsidRPr="00282AC9" w:rsidRDefault="00E83C22" w:rsidP="000A19EB">
      <w:pPr>
        <w:spacing w:line="440" w:lineRule="exact"/>
        <w:rPr>
          <w:rtl/>
        </w:rPr>
      </w:pPr>
    </w:p>
    <w:p w:rsidR="00E83C22" w:rsidRPr="00282AC9" w:rsidRDefault="00B1056C" w:rsidP="00B1056C">
      <w:pPr>
        <w:pStyle w:val="Author"/>
        <w:rPr>
          <w:rtl/>
        </w:rPr>
      </w:pPr>
      <w:bookmarkStart w:id="62" w:name="_Toc87011506"/>
      <w:r w:rsidRPr="00282AC9">
        <w:rPr>
          <w:rFonts w:hint="cs"/>
          <w:rtl/>
          <w:lang w:bidi="fa-IR"/>
        </w:rPr>
        <w:t xml:space="preserve">الشيخ </w:t>
      </w:r>
      <w:r w:rsidRPr="00282AC9">
        <w:rPr>
          <w:rtl/>
          <w:lang w:bidi="fa-IR"/>
        </w:rPr>
        <w:t>محمد عافي الخراساني</w:t>
      </w:r>
      <w:r w:rsidR="00527634" w:rsidRPr="00282AC9">
        <w:rPr>
          <w:rFonts w:cs="Taher" w:hint="cs"/>
          <w:vertAlign w:val="superscript"/>
          <w:rtl/>
        </w:rPr>
        <w:t>(</w:t>
      </w:r>
      <w:r w:rsidR="00527634" w:rsidRPr="00282AC9">
        <w:rPr>
          <w:rFonts w:cs="Taher"/>
          <w:vertAlign w:val="superscript"/>
          <w:rtl/>
        </w:rPr>
        <w:footnoteReference w:customMarkFollows="1" w:id="8"/>
        <w:t>*)</w:t>
      </w:r>
      <w:bookmarkEnd w:id="62"/>
    </w:p>
    <w:p w:rsidR="00E83C22" w:rsidRPr="00282AC9" w:rsidRDefault="00E83C22" w:rsidP="000A19EB">
      <w:pPr>
        <w:spacing w:line="440" w:lineRule="exact"/>
        <w:rPr>
          <w:rtl/>
        </w:rPr>
      </w:pPr>
    </w:p>
    <w:p w:rsidR="00464852" w:rsidRPr="00282AC9" w:rsidRDefault="00464852" w:rsidP="00B1056C">
      <w:pPr>
        <w:pStyle w:val="31"/>
        <w:rPr>
          <w:b/>
          <w:color w:val="auto"/>
          <w:rtl/>
        </w:rPr>
      </w:pPr>
      <w:r w:rsidRPr="00282AC9">
        <w:rPr>
          <w:color w:val="auto"/>
          <w:rtl/>
        </w:rPr>
        <w:t>المقد</w:t>
      </w:r>
      <w:r w:rsidRPr="00282AC9">
        <w:rPr>
          <w:rFonts w:hint="cs"/>
          <w:color w:val="auto"/>
          <w:rtl/>
        </w:rPr>
        <w:t>ّ</w:t>
      </w:r>
      <w:r w:rsidRPr="00282AC9">
        <w:rPr>
          <w:color w:val="auto"/>
          <w:rtl/>
        </w:rPr>
        <w:t xml:space="preserve">مة </w:t>
      </w:r>
    </w:p>
    <w:p w:rsidR="00456F79"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lang w:bidi="fa-IR"/>
        </w:rPr>
        <w:t xml:space="preserve">إن </w:t>
      </w:r>
      <w:r w:rsidR="00456F79" w:rsidRPr="00282AC9">
        <w:rPr>
          <w:rFonts w:ascii="Noor_Mitra" w:hAnsi="Noor_Mitra" w:cs="AL-Mohanad" w:hint="cs"/>
          <w:sz w:val="27"/>
          <w:szCs w:val="27"/>
          <w:rtl/>
          <w:lang w:bidi="fa-IR"/>
        </w:rPr>
        <w:t xml:space="preserve">أحد </w:t>
      </w:r>
      <w:r w:rsidRPr="00282AC9">
        <w:rPr>
          <w:rFonts w:ascii="Noor_Mitra" w:hAnsi="Noor_Mitra" w:cs="AL-Mohanad"/>
          <w:sz w:val="27"/>
          <w:szCs w:val="27"/>
          <w:rtl/>
          <w:lang w:bidi="fa-IR"/>
        </w:rPr>
        <w:t>الأدل</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الهام</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في حج</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ية السن</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النبوية</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مستقل</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عن القرآن الكريم</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هو عددٌ من أحاديث النبي</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الأكرم</w:t>
      </w:r>
      <w:r w:rsidR="009A2A04" w:rsidRPr="00282AC9">
        <w:rPr>
          <w:rFonts w:ascii="Noor_Mitra" w:hAnsi="Noor_Mitra" w:cs="Mosawi"/>
          <w:sz w:val="22"/>
          <w:szCs w:val="22"/>
          <w:rtl/>
          <w:lang w:bidi="fa-IR"/>
        </w:rPr>
        <w:t>|</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التي تأ</w:t>
      </w:r>
      <w:r w:rsidR="00456F79" w:rsidRPr="00282AC9">
        <w:rPr>
          <w:rFonts w:ascii="Noor_Mitra" w:hAnsi="Noor_Mitra" w:cs="AL-Mohanad"/>
          <w:sz w:val="27"/>
          <w:szCs w:val="27"/>
          <w:rtl/>
          <w:lang w:bidi="fa-IR"/>
        </w:rPr>
        <w:t>مر المسلمين</w:t>
      </w:r>
      <w:r w:rsidRPr="00282AC9">
        <w:rPr>
          <w:rFonts w:ascii="Noor_Mitra" w:hAnsi="Noor_Mitra" w:cs="AL-Mohanad"/>
          <w:sz w:val="27"/>
          <w:szCs w:val="27"/>
          <w:rtl/>
          <w:lang w:bidi="fa-IR"/>
        </w:rPr>
        <w:t xml:space="preserve"> بات</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باع </w:t>
      </w:r>
      <w:r w:rsidRPr="00282AC9">
        <w:rPr>
          <w:rFonts w:cs="AL-Mohanad" w:hint="eastAsia"/>
          <w:rtl/>
          <w:lang w:bidi="fa-IR"/>
        </w:rPr>
        <w:t>«</w:t>
      </w:r>
      <w:r w:rsidR="00456F79" w:rsidRPr="00282AC9">
        <w:rPr>
          <w:rFonts w:ascii="Noor_Mitra" w:hAnsi="Noor_Mitra" w:cs="AL-Mohanad"/>
          <w:sz w:val="27"/>
          <w:szCs w:val="27"/>
          <w:rtl/>
          <w:lang w:bidi="fa-IR"/>
        </w:rPr>
        <w:t>سُنَّت</w:t>
      </w:r>
      <w:r w:rsidRPr="00282AC9">
        <w:rPr>
          <w:rFonts w:ascii="Noor_Mitra" w:hAnsi="Noor_Mitra" w:cs="AL-Mohanad"/>
          <w:sz w:val="27"/>
          <w:szCs w:val="27"/>
          <w:rtl/>
          <w:lang w:bidi="fa-IR"/>
        </w:rPr>
        <w:t>ه</w:t>
      </w:r>
      <w:r w:rsidRPr="00282AC9">
        <w:rPr>
          <w:rFonts w:cs="AL-Mohanad" w:hint="eastAsia"/>
          <w:rtl/>
        </w:rPr>
        <w:t>»</w:t>
      </w:r>
      <w:r w:rsidRPr="00282AC9">
        <w:rPr>
          <w:rFonts w:ascii="Noor_Mitra" w:hAnsi="Noor_Mitra" w:cs="AL-Mohanad"/>
          <w:sz w:val="27"/>
          <w:szCs w:val="27"/>
          <w:rtl/>
          <w:lang w:bidi="fa-IR"/>
        </w:rPr>
        <w:t xml:space="preserve"> الشريفة</w:t>
      </w:r>
      <w:r w:rsidRPr="00282AC9">
        <w:rPr>
          <w:rFonts w:ascii="Noor_Mitra" w:hAnsi="Noor_Mitra" w:cs="AL-Mohanad"/>
          <w:sz w:val="27"/>
          <w:szCs w:val="27"/>
          <w:vertAlign w:val="superscript"/>
          <w:rtl/>
          <w:lang w:bidi="fa-IR"/>
        </w:rPr>
        <w:t>(</w:t>
      </w:r>
      <w:r w:rsidRPr="00282AC9">
        <w:rPr>
          <w:rStyle w:val="af9"/>
          <w:rFonts w:ascii="Noor_Mitra" w:hAnsi="Noor_Mitra" w:cs="AL-Mohanad"/>
          <w:sz w:val="27"/>
          <w:szCs w:val="27"/>
          <w:rtl/>
          <w:lang w:bidi="fa-IR"/>
        </w:rPr>
        <w:endnoteReference w:id="514"/>
      </w:r>
      <w:r w:rsidRPr="00282AC9">
        <w:rPr>
          <w:rFonts w:ascii="Noor_Mitra" w:hAnsi="Noor_Mitra" w:cs="AL-Mohanad"/>
          <w:sz w:val="27"/>
          <w:szCs w:val="27"/>
          <w:vertAlign w:val="superscript"/>
          <w:rtl/>
          <w:lang w:bidi="fa-IR"/>
        </w:rPr>
        <w:t>)</w:t>
      </w:r>
      <w:r w:rsidRPr="00282AC9">
        <w:rPr>
          <w:rFonts w:ascii="Noor_Mitra" w:hAnsi="Noor_Mitra" w:cs="AL-Mohanad"/>
          <w:sz w:val="27"/>
          <w:szCs w:val="27"/>
          <w:rtl/>
          <w:lang w:bidi="fa-IR"/>
        </w:rPr>
        <w:t>. ل</w:t>
      </w:r>
      <w:r w:rsidRPr="00282AC9">
        <w:rPr>
          <w:rFonts w:ascii="Noor_Mitra" w:hAnsi="Noor_Mitra" w:cs="AL-Mohanad" w:hint="cs"/>
          <w:sz w:val="27"/>
          <w:szCs w:val="27"/>
          <w:rtl/>
          <w:lang w:bidi="fa-IR"/>
        </w:rPr>
        <w:t>ك</w:t>
      </w:r>
      <w:r w:rsidRPr="00282AC9">
        <w:rPr>
          <w:rFonts w:ascii="Noor_Mitra" w:hAnsi="Noor_Mitra" w:cs="AL-Mohanad"/>
          <w:sz w:val="27"/>
          <w:szCs w:val="27"/>
          <w:rtl/>
          <w:lang w:bidi="fa-IR"/>
        </w:rPr>
        <w:t>ن</w:t>
      </w:r>
      <w:r w:rsidR="00456F79" w:rsidRPr="00282AC9">
        <w:rPr>
          <w:rFonts w:ascii="Noor_Mitra" w:hAnsi="Noor_Mitra" w:cs="AL-Mohanad" w:hint="cs"/>
          <w:sz w:val="27"/>
          <w:szCs w:val="27"/>
          <w:rtl/>
          <w:lang w:bidi="fa-IR"/>
        </w:rPr>
        <w:t>ْ</w:t>
      </w:r>
      <w:r w:rsidR="00456F79" w:rsidRPr="00282AC9">
        <w:rPr>
          <w:rFonts w:ascii="Noor_Mitra" w:hAnsi="Noor_Mitra" w:cs="AL-Mohanad"/>
          <w:sz w:val="27"/>
          <w:szCs w:val="27"/>
          <w:rtl/>
          <w:lang w:bidi="fa-IR"/>
        </w:rPr>
        <w:t xml:space="preserve"> هناك اختلاف بين اللغ</w:t>
      </w:r>
      <w:r w:rsidRPr="00282AC9">
        <w:rPr>
          <w:rFonts w:ascii="Noor_Mitra" w:hAnsi="Noor_Mitra" w:cs="AL-Mohanad"/>
          <w:sz w:val="27"/>
          <w:szCs w:val="27"/>
          <w:rtl/>
          <w:lang w:bidi="fa-IR"/>
        </w:rPr>
        <w:t xml:space="preserve">ويّين في معنى كلمة </w:t>
      </w:r>
      <w:r w:rsidRPr="00282AC9">
        <w:rPr>
          <w:rFonts w:cs="AL-Mohanad" w:hint="eastAsia"/>
          <w:rtl/>
          <w:lang w:bidi="fa-IR"/>
        </w:rPr>
        <w:t>«</w:t>
      </w:r>
      <w:r w:rsidR="00456F79" w:rsidRPr="00282AC9">
        <w:rPr>
          <w:rFonts w:ascii="Noor_Mitra" w:hAnsi="Noor_Mitra" w:cs="AL-Mohanad"/>
          <w:sz w:val="27"/>
          <w:szCs w:val="27"/>
          <w:rtl/>
          <w:lang w:bidi="fa-IR"/>
        </w:rPr>
        <w:t>الس</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نَّة</w:t>
      </w:r>
      <w:r w:rsidRPr="00282AC9">
        <w:rPr>
          <w:rFonts w:cs="AL-Mohanad" w:hint="eastAsia"/>
          <w:rtl/>
        </w:rPr>
        <w:t>»</w:t>
      </w:r>
      <w:r w:rsidR="00456F79" w:rsidRPr="00282AC9">
        <w:rPr>
          <w:rFonts w:ascii="Noor_Mitra" w:hAnsi="Noor_Mitra" w:cs="AL-Mohanad" w:hint="cs"/>
          <w:sz w:val="27"/>
          <w:szCs w:val="27"/>
          <w:rtl/>
          <w:lang w:bidi="fa-IR"/>
        </w:rPr>
        <w:t>.</w:t>
      </w:r>
    </w:p>
    <w:p w:rsidR="00456F79"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lang w:bidi="fa-IR"/>
        </w:rPr>
        <w:t>ويعتقد بعض</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أن الكلمة تعني </w:t>
      </w:r>
      <w:r w:rsidRPr="00282AC9">
        <w:rPr>
          <w:rFonts w:cs="AL-Mohanad" w:hint="eastAsia"/>
          <w:rtl/>
          <w:lang w:bidi="fa-IR"/>
        </w:rPr>
        <w:t>«</w:t>
      </w:r>
      <w:r w:rsidRPr="00282AC9">
        <w:rPr>
          <w:rFonts w:ascii="Noor_Mitra" w:hAnsi="Noor_Mitra" w:cs="AL-Mohanad"/>
          <w:sz w:val="27"/>
          <w:szCs w:val="27"/>
          <w:rtl/>
          <w:lang w:bidi="fa-IR"/>
        </w:rPr>
        <w:t>الطريقة</w:t>
      </w:r>
      <w:r w:rsidRPr="00282AC9">
        <w:rPr>
          <w:rFonts w:cs="AL-Mohanad" w:hint="eastAsia"/>
          <w:rtl/>
        </w:rPr>
        <w:t>»</w:t>
      </w:r>
      <w:r w:rsidRPr="00282AC9">
        <w:rPr>
          <w:rFonts w:ascii="Noor_Mitra" w:hAnsi="Noor_Mitra" w:cs="AL-Mohanad"/>
          <w:sz w:val="27"/>
          <w:szCs w:val="27"/>
          <w:rtl/>
          <w:lang w:bidi="fa-IR"/>
        </w:rPr>
        <w:t>، سواء</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كانت طريقةً جيّدة</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أو طريقةً سي</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ئة</w:t>
      </w:r>
      <w:r w:rsidR="00456F79"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وعلى العكس من ذلك، يعتقد بعض</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أن </w:t>
      </w:r>
      <w:r w:rsidR="00456F79" w:rsidRPr="00282AC9">
        <w:rPr>
          <w:rFonts w:ascii="Noor_Mitra" w:hAnsi="Noor_Mitra" w:cs="AL-Mohanad" w:hint="cs"/>
          <w:sz w:val="27"/>
          <w:szCs w:val="27"/>
          <w:rtl/>
          <w:lang w:bidi="fa-IR"/>
        </w:rPr>
        <w:t>ل</w:t>
      </w:r>
      <w:r w:rsidRPr="00282AC9">
        <w:rPr>
          <w:rFonts w:ascii="Noor_Mitra" w:hAnsi="Noor_Mitra" w:cs="AL-Mohanad"/>
          <w:sz w:val="27"/>
          <w:szCs w:val="27"/>
          <w:rtl/>
          <w:lang w:bidi="fa-IR"/>
        </w:rPr>
        <w:t>لكلمة دلالة</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إيجابي</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ة</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وإنّما تدلّ على الطريقة الح</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س</w:t>
      </w:r>
      <w:r w:rsidR="00456F79" w:rsidRPr="00282AC9">
        <w:rPr>
          <w:rFonts w:ascii="Noor_Mitra" w:hAnsi="Noor_Mitra" w:cs="AL-Mohanad" w:hint="cs"/>
          <w:sz w:val="27"/>
          <w:szCs w:val="27"/>
          <w:rtl/>
          <w:lang w:bidi="fa-IR"/>
        </w:rPr>
        <w:t>َ</w:t>
      </w:r>
      <w:r w:rsidR="00456F79" w:rsidRPr="00282AC9">
        <w:rPr>
          <w:rFonts w:ascii="Noor_Mitra" w:hAnsi="Noor_Mitra" w:cs="AL-Mohanad"/>
          <w:sz w:val="27"/>
          <w:szCs w:val="27"/>
          <w:rtl/>
          <w:lang w:bidi="fa-IR"/>
        </w:rPr>
        <w:t>نة فقط.</w:t>
      </w:r>
    </w:p>
    <w:p w:rsidR="00464852"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lang w:bidi="fa-IR"/>
        </w:rPr>
        <w:t>وفي مثل هذه الحال يمكن للقرآني</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ين أن يُشكّ</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كوا في حج</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ية السن</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النبوي</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ة</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بدعوى أن الخلاف الموجود في آراء اللغوي</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ين يجعلنا في شك</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في دائرة دلالة لفظ </w:t>
      </w:r>
      <w:r w:rsidRPr="00282AC9">
        <w:rPr>
          <w:rFonts w:cs="AL-Mohanad" w:hint="eastAsia"/>
          <w:rtl/>
        </w:rPr>
        <w:t>«</w:t>
      </w:r>
      <w:r w:rsidR="00456F79" w:rsidRPr="00282AC9">
        <w:rPr>
          <w:rFonts w:ascii="Noor_Mitra" w:hAnsi="Noor_Mitra" w:cs="AL-Mohanad"/>
          <w:sz w:val="27"/>
          <w:szCs w:val="27"/>
          <w:rtl/>
          <w:lang w:bidi="fa-IR"/>
        </w:rPr>
        <w:t>الس</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نَّة</w:t>
      </w:r>
      <w:r w:rsidRPr="00282AC9">
        <w:rPr>
          <w:rFonts w:cs="AL-Mohanad" w:hint="eastAsia"/>
          <w:rtl/>
        </w:rPr>
        <w:t>»</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وحينئذ</w:t>
      </w:r>
      <w:r w:rsidR="00456F7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يجب أن نتمس</w:t>
      </w:r>
      <w:r w:rsidRPr="00282AC9">
        <w:rPr>
          <w:rFonts w:ascii="Noor_Mitra" w:hAnsi="Noor_Mitra" w:cs="AL-Mohanad" w:hint="cs"/>
          <w:sz w:val="27"/>
          <w:szCs w:val="27"/>
          <w:rtl/>
          <w:lang w:bidi="fa-IR"/>
        </w:rPr>
        <w:t>ّ</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ك بالقدر المتيقّ</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ن من دلالته</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وهي الطريقة الح</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س</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نة</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وإذَن</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ليس هناك دليل</w:t>
      </w:r>
      <w:r w:rsidR="00B666A9"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على</w:t>
      </w:r>
      <w:r w:rsidRPr="00282AC9">
        <w:rPr>
          <w:rFonts w:ascii="Noor_Mitra" w:hAnsi="Noor_Mitra" w:cs="AL-Mohanad"/>
          <w:sz w:val="27"/>
          <w:szCs w:val="27"/>
          <w:rtl/>
          <w:lang w:bidi="fa-IR"/>
        </w:rPr>
        <w:t xml:space="preserve"> أن الأحاديث النبوي</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تدل</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على وجوب اتّباع كل</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طريقةٍ للنبي</w:t>
      </w:r>
      <w:r w:rsidR="00B666A9" w:rsidRPr="00282AC9">
        <w:rPr>
          <w:rFonts w:ascii="Noor_Mitra" w:hAnsi="Noor_Mitra" w:cs="AL-Mohanad" w:hint="cs"/>
          <w:sz w:val="27"/>
          <w:szCs w:val="27"/>
          <w:rtl/>
          <w:lang w:bidi="fa-IR"/>
        </w:rPr>
        <w:t>ّ</w:t>
      </w:r>
      <w:r w:rsidR="009A2A04" w:rsidRPr="00282AC9">
        <w:rPr>
          <w:rFonts w:ascii="Noor_Mitra" w:hAnsi="Noor_Mitra" w:cs="Mosawi"/>
          <w:sz w:val="22"/>
          <w:szCs w:val="22"/>
          <w:rtl/>
          <w:lang w:bidi="fa-IR"/>
        </w:rPr>
        <w:t>|</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بل إنما تدل</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على وجوب اتّباع طريقته التي ثبت حُس</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نُها بدليلٍ آخر</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ونتيجة هذا الإشكال أن السن</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النبوي</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ليست حج</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مستقل</w:t>
      </w:r>
      <w:r w:rsidR="00B666A9"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إلى جانب القرآن الكريم</w:t>
      </w:r>
      <w:r w:rsidRPr="00282AC9">
        <w:rPr>
          <w:rFonts w:ascii="Noor_Mitra" w:hAnsi="Noor_Mitra" w:cs="AL-Mohanad"/>
          <w:sz w:val="27"/>
          <w:szCs w:val="27"/>
          <w:vertAlign w:val="superscript"/>
          <w:rtl/>
          <w:lang w:bidi="fa-IR"/>
        </w:rPr>
        <w:t>(</w:t>
      </w:r>
      <w:r w:rsidRPr="00282AC9">
        <w:rPr>
          <w:rStyle w:val="af9"/>
          <w:rFonts w:ascii="Noor_Mitra" w:hAnsi="Noor_Mitra" w:cs="AL-Mohanad"/>
          <w:sz w:val="27"/>
          <w:szCs w:val="27"/>
          <w:rtl/>
          <w:lang w:bidi="fa-IR"/>
        </w:rPr>
        <w:endnoteReference w:id="515"/>
      </w:r>
      <w:r w:rsidRPr="00282AC9">
        <w:rPr>
          <w:rFonts w:ascii="Noor_Mitra" w:hAnsi="Noor_Mitra" w:cs="AL-Mohanad"/>
          <w:sz w:val="27"/>
          <w:szCs w:val="27"/>
          <w:vertAlign w:val="superscript"/>
          <w:rtl/>
          <w:lang w:bidi="fa-IR"/>
        </w:rPr>
        <w:t>)</w:t>
      </w:r>
      <w:r w:rsidRPr="00282AC9">
        <w:rPr>
          <w:rFonts w:ascii="Noor_Mitra" w:hAnsi="Noor_Mitra" w:cs="AL-Mohanad"/>
          <w:sz w:val="27"/>
          <w:szCs w:val="27"/>
          <w:rtl/>
          <w:lang w:bidi="fa-IR"/>
        </w:rPr>
        <w:t>.</w:t>
      </w:r>
    </w:p>
    <w:p w:rsidR="00464852" w:rsidRPr="00282AC9" w:rsidRDefault="00B666A9" w:rsidP="0073600A">
      <w:pPr>
        <w:pStyle w:val="afc"/>
        <w:rPr>
          <w:rFonts w:ascii="Noor_Mitra" w:hAnsi="Noor_Mitra" w:cs="AL-Mohanad"/>
          <w:sz w:val="27"/>
          <w:szCs w:val="27"/>
          <w:rtl/>
          <w:lang w:bidi="fa-IR"/>
        </w:rPr>
      </w:pPr>
      <w:r w:rsidRPr="00282AC9">
        <w:rPr>
          <w:rFonts w:ascii="Noor_Mitra" w:hAnsi="Noor_Mitra" w:cs="AL-Mohanad" w:hint="cs"/>
          <w:sz w:val="27"/>
          <w:szCs w:val="27"/>
          <w:rtl/>
          <w:lang w:bidi="fa-IR"/>
        </w:rPr>
        <w:t>و</w:t>
      </w:r>
      <w:r w:rsidR="00464852" w:rsidRPr="00282AC9">
        <w:rPr>
          <w:rFonts w:ascii="Noor_Mitra" w:hAnsi="Noor_Mitra" w:cs="AL-Mohanad"/>
          <w:sz w:val="27"/>
          <w:szCs w:val="27"/>
          <w:rtl/>
          <w:lang w:bidi="fa-IR"/>
        </w:rPr>
        <w:t xml:space="preserve">في هذه المقالة، بصرف النظر عن الأجوبة الأخرى التي يمكن طرحها في </w:t>
      </w:r>
      <w:r w:rsidR="00464852" w:rsidRPr="00282AC9">
        <w:rPr>
          <w:rFonts w:ascii="Noor_Mitra" w:hAnsi="Noor_Mitra" w:cs="AL-Mohanad"/>
          <w:sz w:val="27"/>
          <w:szCs w:val="27"/>
          <w:rtl/>
          <w:lang w:bidi="fa-IR"/>
        </w:rPr>
        <w:lastRenderedPageBreak/>
        <w:t xml:space="preserve">جواب هذا الإشكال، </w:t>
      </w:r>
      <w:r w:rsidRPr="00282AC9">
        <w:rPr>
          <w:rFonts w:ascii="Noor_Mitra" w:hAnsi="Noor_Mitra" w:cs="AL-Mohanad" w:hint="cs"/>
          <w:sz w:val="27"/>
          <w:szCs w:val="27"/>
          <w:rtl/>
          <w:lang w:bidi="fa-IR"/>
        </w:rPr>
        <w:t>نقدِّم</w:t>
      </w:r>
      <w:r w:rsidR="00464852" w:rsidRPr="00282AC9">
        <w:rPr>
          <w:rFonts w:ascii="Noor_Mitra" w:hAnsi="Noor_Mitra" w:cs="AL-Mohanad"/>
          <w:sz w:val="27"/>
          <w:szCs w:val="27"/>
          <w:rtl/>
          <w:lang w:bidi="fa-IR"/>
        </w:rPr>
        <w:t xml:space="preserve"> دراسةً في الاستعمالات العربي</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ة </w:t>
      </w:r>
      <w:r w:rsidRPr="00282AC9">
        <w:rPr>
          <w:rFonts w:ascii="Noor_Mitra" w:hAnsi="Noor_Mitra" w:cs="AL-Mohanad" w:hint="cs"/>
          <w:sz w:val="27"/>
          <w:szCs w:val="27"/>
          <w:rtl/>
          <w:lang w:bidi="fa-IR"/>
        </w:rPr>
        <w:t>لكلمة</w:t>
      </w:r>
      <w:r w:rsidR="00464852" w:rsidRPr="00282AC9">
        <w:rPr>
          <w:rFonts w:ascii="Noor_Mitra" w:hAnsi="Noor_Mitra" w:cs="AL-Mohanad" w:hint="cs"/>
          <w:sz w:val="27"/>
          <w:szCs w:val="27"/>
          <w:rtl/>
          <w:lang w:bidi="fa-IR"/>
        </w:rPr>
        <w:t xml:space="preserve"> </w:t>
      </w:r>
      <w:r w:rsidR="00464852" w:rsidRPr="00282AC9">
        <w:rPr>
          <w:rFonts w:cs="AL-Mohanad" w:hint="eastAsia"/>
          <w:rtl/>
          <w:lang w:bidi="fa-IR"/>
        </w:rPr>
        <w:t>«</w:t>
      </w:r>
      <w:r w:rsidRPr="00282AC9">
        <w:rPr>
          <w:rFonts w:ascii="Noor_Mitra" w:hAnsi="Noor_Mitra" w:cs="AL-Mohanad" w:hint="cs"/>
          <w:sz w:val="27"/>
          <w:szCs w:val="27"/>
          <w:rtl/>
          <w:lang w:bidi="fa-IR"/>
        </w:rPr>
        <w:t>السُّنَّة</w:t>
      </w:r>
      <w:r w:rsidR="00464852" w:rsidRPr="00282AC9">
        <w:rPr>
          <w:rFonts w:cs="AL-Mohanad" w:hint="eastAsia"/>
          <w:rtl/>
        </w:rPr>
        <w:t>»</w:t>
      </w:r>
      <w:r w:rsidR="00464852" w:rsidRPr="00282AC9">
        <w:rPr>
          <w:rFonts w:ascii="Noor_Mitra" w:hAnsi="Noor_Mitra" w:cs="AL-Mohanad" w:hint="cs"/>
          <w:sz w:val="27"/>
          <w:szCs w:val="27"/>
          <w:rtl/>
          <w:lang w:bidi="fa-IR"/>
        </w:rPr>
        <w:t xml:space="preserve"> في مصداق</w:t>
      </w:r>
      <w:r w:rsidRPr="00282AC9">
        <w:rPr>
          <w:rFonts w:ascii="Noor_Mitra" w:hAnsi="Noor_Mitra" w:cs="AL-Mohanad" w:hint="cs"/>
          <w:sz w:val="27"/>
          <w:szCs w:val="27"/>
          <w:rtl/>
          <w:lang w:bidi="fa-IR"/>
        </w:rPr>
        <w:t>ٍ</w:t>
      </w:r>
      <w:r w:rsidR="00464852" w:rsidRPr="00282AC9">
        <w:rPr>
          <w:rFonts w:ascii="Noor_Mitra" w:hAnsi="Noor_Mitra" w:cs="AL-Mohanad" w:hint="cs"/>
          <w:sz w:val="27"/>
          <w:szCs w:val="27"/>
          <w:rtl/>
          <w:lang w:bidi="fa-IR"/>
        </w:rPr>
        <w:t xml:space="preserve"> قبيحٍ من الطريقة</w:t>
      </w:r>
      <w:r w:rsidRPr="00282AC9">
        <w:rPr>
          <w:rFonts w:ascii="Noor_Mitra" w:hAnsi="Noor_Mitra" w:cs="AL-Mohanad" w:hint="cs"/>
          <w:sz w:val="27"/>
          <w:szCs w:val="27"/>
          <w:rtl/>
          <w:lang w:bidi="fa-IR"/>
        </w:rPr>
        <w:t>.</w:t>
      </w:r>
      <w:r w:rsidR="00464852" w:rsidRPr="00282AC9">
        <w:rPr>
          <w:rFonts w:ascii="Noor_Mitra" w:hAnsi="Noor_Mitra" w:cs="AL-Mohanad" w:hint="cs"/>
          <w:sz w:val="27"/>
          <w:szCs w:val="27"/>
          <w:rtl/>
          <w:lang w:bidi="fa-IR"/>
        </w:rPr>
        <w:t xml:space="preserve"> و</w:t>
      </w:r>
      <w:r w:rsidRPr="00282AC9">
        <w:rPr>
          <w:rFonts w:cs="AL-Mohanad" w:hint="cs"/>
          <w:sz w:val="27"/>
          <w:szCs w:val="27"/>
          <w:rtl/>
          <w:lang w:bidi="fa-IR"/>
        </w:rPr>
        <w:t>ي</w:t>
      </w:r>
      <w:r w:rsidR="00464852" w:rsidRPr="00282AC9">
        <w:rPr>
          <w:rFonts w:ascii="Noor_Mitra" w:hAnsi="Noor_Mitra" w:cs="AL-Mohanad" w:hint="cs"/>
          <w:sz w:val="27"/>
          <w:szCs w:val="27"/>
          <w:rtl/>
          <w:lang w:bidi="fa-IR"/>
        </w:rPr>
        <w:t xml:space="preserve">تّضح </w:t>
      </w:r>
      <w:r w:rsidR="00464852" w:rsidRPr="00282AC9">
        <w:rPr>
          <w:rFonts w:ascii="Noor_Mitra" w:hAnsi="Noor_Mitra" w:cs="AL-Mohanad"/>
          <w:sz w:val="27"/>
          <w:szCs w:val="27"/>
          <w:rtl/>
          <w:lang w:bidi="fa-IR"/>
        </w:rPr>
        <w:t xml:space="preserve">لنا </w:t>
      </w:r>
      <w:r w:rsidR="00464852" w:rsidRPr="00282AC9">
        <w:rPr>
          <w:rFonts w:ascii="Noor_Mitra" w:hAnsi="Noor_Mitra" w:cs="AL-Mohanad" w:hint="cs"/>
          <w:sz w:val="27"/>
          <w:szCs w:val="27"/>
          <w:rtl/>
          <w:lang w:bidi="fa-IR"/>
        </w:rPr>
        <w:t xml:space="preserve">من خلال ذلك </w:t>
      </w:r>
      <w:r w:rsidR="00464852" w:rsidRPr="00282AC9">
        <w:rPr>
          <w:rFonts w:ascii="Noor_Mitra" w:hAnsi="Noor_Mitra" w:cs="AL-Mohanad"/>
          <w:sz w:val="27"/>
          <w:szCs w:val="27"/>
          <w:rtl/>
          <w:lang w:bidi="fa-IR"/>
        </w:rPr>
        <w:t>أن معنى الكلمة عام</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يشمل المصاديق الح</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س</w:t>
      </w:r>
      <w:r w:rsidR="006C6ACD" w:rsidRPr="00282AC9">
        <w:rPr>
          <w:rFonts w:ascii="Noor_Mitra" w:hAnsi="Noor_Mitra" w:cs="AL-Mohanad" w:hint="cs"/>
          <w:sz w:val="27"/>
          <w:szCs w:val="27"/>
          <w:rtl/>
          <w:lang w:bidi="fa-IR"/>
        </w:rPr>
        <w:t>َ</w:t>
      </w:r>
      <w:r w:rsidR="006C6ACD" w:rsidRPr="00282AC9">
        <w:rPr>
          <w:rFonts w:ascii="Noor_Mitra" w:hAnsi="Noor_Mitra" w:cs="AL-Mohanad"/>
          <w:sz w:val="27"/>
          <w:szCs w:val="27"/>
          <w:rtl/>
          <w:lang w:bidi="fa-IR"/>
        </w:rPr>
        <w:t>نة و</w:t>
      </w:r>
      <w:r w:rsidR="00464852" w:rsidRPr="00282AC9">
        <w:rPr>
          <w:rFonts w:ascii="Noor_Mitra" w:hAnsi="Noor_Mitra" w:cs="AL-Mohanad"/>
          <w:sz w:val="27"/>
          <w:szCs w:val="27"/>
          <w:rtl/>
          <w:lang w:bidi="fa-IR"/>
        </w:rPr>
        <w:t>السي</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ئة معاً</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وليس هناك معنى</w:t>
      </w:r>
      <w:r w:rsidR="00464852"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إيجابي</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في</w:t>
      </w:r>
      <w:r w:rsidR="006C6ACD" w:rsidRPr="00282AC9">
        <w:rPr>
          <w:rFonts w:ascii="Noor_Mitra" w:hAnsi="Noor_Mitra" w:cs="AL-Mohanad" w:hint="cs"/>
          <w:sz w:val="27"/>
          <w:szCs w:val="27"/>
          <w:rtl/>
          <w:lang w:bidi="fa-IR"/>
        </w:rPr>
        <w:t>ها</w:t>
      </w:r>
      <w:r w:rsidR="00464852" w:rsidRPr="00282AC9">
        <w:rPr>
          <w:rFonts w:ascii="Noor_Mitra" w:hAnsi="Noor_Mitra" w:cs="AL-Mohanad"/>
          <w:sz w:val="27"/>
          <w:szCs w:val="27"/>
          <w:rtl/>
          <w:lang w:bidi="fa-IR"/>
        </w:rPr>
        <w:t xml:space="preserve"> نفسها</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وبالتالي نستطيع أن نقول</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w:t>
      </w:r>
      <w:r w:rsidR="006C6ACD" w:rsidRPr="00282AC9">
        <w:rPr>
          <w:rFonts w:ascii="Noor_Mitra" w:hAnsi="Noor_Mitra" w:cs="AL-Mohanad" w:hint="cs"/>
          <w:sz w:val="27"/>
          <w:szCs w:val="27"/>
          <w:rtl/>
          <w:lang w:bidi="fa-IR"/>
        </w:rPr>
        <w:t>إ</w:t>
      </w:r>
      <w:r w:rsidR="00464852" w:rsidRPr="00282AC9">
        <w:rPr>
          <w:rFonts w:ascii="Noor_Mitra" w:hAnsi="Noor_Mitra" w:cs="AL-Mohanad"/>
          <w:sz w:val="27"/>
          <w:szCs w:val="27"/>
          <w:rtl/>
          <w:lang w:bidi="fa-IR"/>
        </w:rPr>
        <w:t>ن هذا الإشكال مردودٌ</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وليس هناك أي</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شبهة</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في حج</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ية السن</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ة النبوي</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ة من هذه الجهة</w:t>
      </w:r>
      <w:r w:rsidR="006C6ACD" w:rsidRPr="00282AC9">
        <w:rPr>
          <w:rFonts w:ascii="Noor_Mitra" w:hAnsi="Noor_Mitra" w:cs="AL-Mohanad" w:hint="cs"/>
          <w:sz w:val="27"/>
          <w:szCs w:val="27"/>
          <w:rtl/>
          <w:lang w:bidi="fa-IR"/>
        </w:rPr>
        <w:t xml:space="preserve">، </w:t>
      </w:r>
      <w:r w:rsidR="00464852" w:rsidRPr="00282AC9">
        <w:rPr>
          <w:rFonts w:cs="AL-Mohanad" w:hint="cs"/>
          <w:sz w:val="27"/>
          <w:szCs w:val="27"/>
          <w:rtl/>
          <w:lang w:bidi="fa-IR"/>
        </w:rPr>
        <w:t>ولا</w:t>
      </w:r>
      <w:r w:rsidR="006C6ACD" w:rsidRPr="00282AC9">
        <w:rPr>
          <w:rFonts w:cs="AL-Mohanad" w:hint="cs"/>
          <w:sz w:val="27"/>
          <w:szCs w:val="27"/>
          <w:rtl/>
          <w:lang w:bidi="fa-IR"/>
        </w:rPr>
        <w:t xml:space="preserve"> </w:t>
      </w:r>
      <w:r w:rsidR="00464852" w:rsidRPr="00282AC9">
        <w:rPr>
          <w:rFonts w:cs="AL-Mohanad" w:hint="cs"/>
          <w:sz w:val="27"/>
          <w:szCs w:val="27"/>
          <w:rtl/>
          <w:lang w:bidi="fa-IR"/>
        </w:rPr>
        <w:t xml:space="preserve">عبرة </w:t>
      </w:r>
      <w:r w:rsidR="00464852" w:rsidRPr="00282AC9">
        <w:rPr>
          <w:rFonts w:ascii="Noor_Mitra" w:hAnsi="Noor_Mitra" w:cs="AL-Mohanad" w:hint="cs"/>
          <w:sz w:val="27"/>
          <w:szCs w:val="27"/>
          <w:rtl/>
          <w:lang w:bidi="fa-IR"/>
        </w:rPr>
        <w:t>ب</w:t>
      </w:r>
      <w:r w:rsidR="00464852" w:rsidRPr="00282AC9">
        <w:rPr>
          <w:rFonts w:ascii="Noor_Mitra" w:hAnsi="Noor_Mitra" w:cs="AL-Mohanad"/>
          <w:sz w:val="27"/>
          <w:szCs w:val="27"/>
          <w:rtl/>
          <w:lang w:bidi="fa-IR"/>
        </w:rPr>
        <w:t>آراء اللغوي</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ين</w:t>
      </w:r>
      <w:r w:rsidR="00464852" w:rsidRPr="00282AC9">
        <w:rPr>
          <w:rFonts w:cs="AL-Mohanad" w:hint="cs"/>
          <w:sz w:val="27"/>
          <w:szCs w:val="27"/>
          <w:rtl/>
          <w:lang w:bidi="fa-IR"/>
        </w:rPr>
        <w:t xml:space="preserve"> بعد </w:t>
      </w:r>
      <w:r w:rsidR="00464852" w:rsidRPr="00282AC9">
        <w:rPr>
          <w:rFonts w:ascii="Noor_Mitra" w:hAnsi="Noor_Mitra" w:cs="AL-Mohanad"/>
          <w:sz w:val="27"/>
          <w:szCs w:val="27"/>
          <w:rtl/>
          <w:lang w:bidi="fa-IR"/>
        </w:rPr>
        <w:t>إثبات عمومي</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ة معنى الكلمة</w:t>
      </w:r>
      <w:r w:rsidR="006C6ACD"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عبر الاستشهاد بالاستعمالات مباشرةً</w:t>
      </w:r>
      <w:r w:rsidR="00464852" w:rsidRPr="00282AC9">
        <w:rPr>
          <w:rFonts w:ascii="Noor_Mitra" w:hAnsi="Noor_Mitra" w:cs="AL-Mohanad" w:hint="cs"/>
          <w:sz w:val="27"/>
          <w:szCs w:val="27"/>
          <w:rtl/>
          <w:lang w:bidi="fa-IR"/>
        </w:rPr>
        <w:t>.</w:t>
      </w:r>
    </w:p>
    <w:p w:rsidR="007F03B5"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lang w:bidi="fa-IR"/>
        </w:rPr>
        <w:t>ويجب أن أشير إلى أن</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دراسة الاستعمالات في القرآن الكريم</w:t>
      </w:r>
      <w:r w:rsidR="007F03B5" w:rsidRPr="00282AC9">
        <w:rPr>
          <w:rFonts w:ascii="Noor_Mitra" w:hAnsi="Noor_Mitra" w:cs="AL-Mohanad"/>
          <w:sz w:val="27"/>
          <w:szCs w:val="27"/>
          <w:rtl/>
          <w:lang w:bidi="fa-IR"/>
        </w:rPr>
        <w:t xml:space="preserve"> و</w:t>
      </w:r>
      <w:r w:rsidRPr="00282AC9">
        <w:rPr>
          <w:rFonts w:ascii="Noor_Mitra" w:hAnsi="Noor_Mitra" w:cs="AL-Mohanad"/>
          <w:sz w:val="27"/>
          <w:szCs w:val="27"/>
          <w:rtl/>
          <w:lang w:bidi="fa-IR"/>
        </w:rPr>
        <w:t>الأحاديث النبوية قد تقدّ</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م</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ت</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في مقالة</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أخرى مستقل</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ة</w:t>
      </w:r>
      <w:r w:rsidR="006C7D7D" w:rsidRPr="00282AC9">
        <w:rPr>
          <w:rFonts w:ascii="Noor_Mitra" w:hAnsi="Noor_Mitra" w:cs="AL-Mohanad"/>
          <w:sz w:val="27"/>
          <w:szCs w:val="27"/>
          <w:vertAlign w:val="superscript"/>
          <w:rtl/>
          <w:lang w:bidi="fa-IR"/>
        </w:rPr>
        <w:t>(</w:t>
      </w:r>
      <w:r w:rsidR="006C7D7D" w:rsidRPr="00282AC9">
        <w:rPr>
          <w:rStyle w:val="af9"/>
          <w:rFonts w:ascii="Noor_Mitra" w:hAnsi="Noor_Mitra" w:cs="AL-Mohanad"/>
          <w:sz w:val="27"/>
          <w:szCs w:val="27"/>
          <w:rtl/>
          <w:lang w:bidi="fa-IR"/>
        </w:rPr>
        <w:endnoteReference w:id="516"/>
      </w:r>
      <w:r w:rsidR="006C7D7D" w:rsidRPr="00282AC9">
        <w:rPr>
          <w:rFonts w:ascii="Noor_Mitra" w:hAnsi="Noor_Mitra" w:cs="AL-Mohanad"/>
          <w:sz w:val="27"/>
          <w:szCs w:val="27"/>
          <w:vertAlign w:val="superscript"/>
          <w:rtl/>
          <w:lang w:bidi="fa-IR"/>
        </w:rPr>
        <w:t>)</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وأركّ</w:t>
      </w:r>
      <w:r w:rsidR="007F03B5" w:rsidRPr="00282AC9">
        <w:rPr>
          <w:rFonts w:ascii="Noor_Mitra" w:hAnsi="Noor_Mitra" w:cs="AL-Mohanad" w:hint="cs"/>
          <w:sz w:val="27"/>
          <w:szCs w:val="27"/>
          <w:rtl/>
          <w:lang w:bidi="fa-IR"/>
        </w:rPr>
        <w:t>ِ</w:t>
      </w:r>
      <w:r w:rsidR="007F03B5" w:rsidRPr="00282AC9">
        <w:rPr>
          <w:rFonts w:ascii="Noor_Mitra" w:hAnsi="Noor_Mitra" w:cs="AL-Mohanad"/>
          <w:sz w:val="27"/>
          <w:szCs w:val="27"/>
          <w:rtl/>
          <w:lang w:bidi="fa-IR"/>
        </w:rPr>
        <w:t>ز</w:t>
      </w:r>
      <w:r w:rsidRPr="00282AC9">
        <w:rPr>
          <w:rFonts w:ascii="Noor_Mitra" w:hAnsi="Noor_Mitra" w:cs="AL-Mohanad"/>
          <w:sz w:val="27"/>
          <w:szCs w:val="27"/>
          <w:rtl/>
          <w:lang w:bidi="fa-IR"/>
        </w:rPr>
        <w:t xml:space="preserve"> في هذه المقالة على الاستعمالات في كلمات أهل البيت</w:t>
      </w:r>
      <w:r w:rsidR="00876ECA" w:rsidRPr="00282AC9">
        <w:rPr>
          <w:rFonts w:cs="Mosawi" w:hint="cs"/>
          <w:sz w:val="22"/>
          <w:szCs w:val="22"/>
          <w:rtl/>
        </w:rPr>
        <w:t>^</w:t>
      </w:r>
      <w:r w:rsidRPr="00282AC9">
        <w:rPr>
          <w:rFonts w:ascii="Noor_Mitra" w:hAnsi="Noor_Mitra" w:cs="AL-Mohanad"/>
          <w:sz w:val="27"/>
          <w:szCs w:val="27"/>
          <w:rtl/>
          <w:lang w:bidi="fa-IR"/>
        </w:rPr>
        <w:t xml:space="preserve"> والصحابة </w:t>
      </w:r>
      <w:r w:rsidRPr="00282AC9">
        <w:rPr>
          <w:rFonts w:ascii="Noor_Mitra" w:hAnsi="Noor_Mitra" w:cs="AL-Mohanad" w:hint="cs"/>
          <w:sz w:val="27"/>
          <w:szCs w:val="27"/>
          <w:rtl/>
          <w:lang w:bidi="fa-IR"/>
        </w:rPr>
        <w:t xml:space="preserve">والأشعار </w:t>
      </w:r>
      <w:r w:rsidRPr="00282AC9">
        <w:rPr>
          <w:rFonts w:ascii="Noor_Mitra" w:hAnsi="Noor_Mitra" w:cs="AL-Mohanad"/>
          <w:sz w:val="27"/>
          <w:szCs w:val="27"/>
          <w:rtl/>
          <w:lang w:bidi="fa-IR"/>
        </w:rPr>
        <w:t>في القرن الأول الهجري</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لإثبات المعنى العام</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لمفردة </w:t>
      </w:r>
      <w:r w:rsidRPr="00282AC9">
        <w:rPr>
          <w:rFonts w:ascii="Noor_Mitra" w:hAnsi="Noor_Mitra" w:cs="AL-Mohanad"/>
          <w:rtl/>
          <w:lang w:bidi="fa-IR"/>
        </w:rPr>
        <w:t>«</w:t>
      </w:r>
      <w:r w:rsidR="007F03B5" w:rsidRPr="00282AC9">
        <w:rPr>
          <w:rFonts w:ascii="Noor_Mitra" w:hAnsi="Noor_Mitra" w:cs="AL-Mohanad"/>
          <w:sz w:val="27"/>
          <w:szCs w:val="27"/>
          <w:rtl/>
          <w:lang w:bidi="fa-IR"/>
        </w:rPr>
        <w:t>الس</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نَّة</w:t>
      </w:r>
      <w:r w:rsidRPr="00282AC9">
        <w:rPr>
          <w:rFonts w:ascii="Noor_Mitra" w:hAnsi="Noor_Mitra" w:cs="AL-Mohanad"/>
          <w:rtl/>
          <w:lang w:bidi="fa-IR"/>
        </w:rPr>
        <w:t>»</w:t>
      </w:r>
      <w:r w:rsidRPr="00282AC9">
        <w:rPr>
          <w:rFonts w:ascii="Noor_Mitra" w:hAnsi="Noor_Mitra" w:cs="AL-Mohanad"/>
          <w:sz w:val="27"/>
          <w:szCs w:val="27"/>
          <w:rtl/>
          <w:lang w:bidi="fa-IR"/>
        </w:rPr>
        <w:t xml:space="preserve"> في</w:t>
      </w:r>
      <w:r w:rsidRPr="00282AC9">
        <w:rPr>
          <w:rFonts w:ascii="Noor_Mitra" w:hAnsi="Noor_Mitra" w:cs="AL-Mohanad" w:hint="cs"/>
          <w:sz w:val="27"/>
          <w:szCs w:val="27"/>
          <w:rtl/>
          <w:lang w:bidi="fa-IR"/>
        </w:rPr>
        <w:t xml:space="preserve"> العصر النبوي</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ثم</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w:t>
      </w:r>
      <w:r w:rsidRPr="00282AC9">
        <w:rPr>
          <w:rFonts w:ascii="Noor_Mitra" w:hAnsi="Noor_Mitra" w:cs="AL-Mohanad" w:hint="cs"/>
          <w:sz w:val="27"/>
          <w:szCs w:val="27"/>
          <w:rtl/>
          <w:lang w:bidi="fa-IR"/>
        </w:rPr>
        <w:t>أ</w:t>
      </w:r>
      <w:r w:rsidRPr="00282AC9">
        <w:rPr>
          <w:rFonts w:ascii="Noor_Mitra" w:hAnsi="Noor_Mitra" w:cs="AL-Mohanad"/>
          <w:sz w:val="27"/>
          <w:szCs w:val="27"/>
          <w:rtl/>
          <w:lang w:bidi="fa-IR"/>
        </w:rPr>
        <w:t>ركّ</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ز على الاستعمالات في القرون التالية</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لإثبات المعنى العام</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للكلمة في </w:t>
      </w:r>
      <w:r w:rsidRPr="00282AC9">
        <w:rPr>
          <w:rFonts w:ascii="Noor_Mitra" w:hAnsi="Noor_Mitra" w:cs="AL-Mohanad" w:hint="cs"/>
          <w:sz w:val="27"/>
          <w:szCs w:val="27"/>
          <w:rtl/>
          <w:lang w:bidi="fa-IR"/>
        </w:rPr>
        <w:t>العصور المتأخ</w:t>
      </w:r>
      <w:r w:rsidR="007F03B5" w:rsidRPr="00282AC9">
        <w:rPr>
          <w:rFonts w:ascii="Noor_Mitra" w:hAnsi="Noor_Mitra" w:cs="AL-Mohanad" w:hint="cs"/>
          <w:sz w:val="27"/>
          <w:szCs w:val="27"/>
          <w:rtl/>
          <w:lang w:bidi="fa-IR"/>
        </w:rPr>
        <w:t>ِّرة.</w:t>
      </w:r>
    </w:p>
    <w:p w:rsidR="00464852" w:rsidRPr="00282AC9" w:rsidRDefault="00464852" w:rsidP="0073600A">
      <w:pPr>
        <w:pStyle w:val="afc"/>
        <w:rPr>
          <w:rFonts w:ascii="Noor_Mitra" w:hAnsi="Noor_Mitra" w:cs="AL-Mohanad"/>
          <w:sz w:val="27"/>
          <w:szCs w:val="27"/>
          <w:rtl/>
          <w:lang w:bidi="fa-IR"/>
        </w:rPr>
      </w:pPr>
      <w:r w:rsidRPr="00282AC9">
        <w:rPr>
          <w:rFonts w:ascii="Noor_Mitra" w:hAnsi="Noor_Mitra" w:cs="AL-Mohanad" w:hint="cs"/>
          <w:sz w:val="27"/>
          <w:szCs w:val="27"/>
          <w:rtl/>
          <w:lang w:bidi="fa-IR"/>
        </w:rPr>
        <w:t xml:space="preserve">وإن </w:t>
      </w:r>
      <w:r w:rsidR="007F03B5" w:rsidRPr="00282AC9">
        <w:rPr>
          <w:rFonts w:ascii="Noor_Mitra" w:hAnsi="Noor_Mitra" w:cs="AL-Mohanad" w:hint="cs"/>
          <w:sz w:val="27"/>
          <w:szCs w:val="27"/>
          <w:rtl/>
          <w:lang w:bidi="fa-IR"/>
        </w:rPr>
        <w:t>الذي</w:t>
      </w:r>
      <w:r w:rsidRPr="00282AC9">
        <w:rPr>
          <w:rFonts w:ascii="Noor_Mitra" w:hAnsi="Noor_Mitra" w:cs="AL-Mohanad" w:hint="cs"/>
          <w:sz w:val="27"/>
          <w:szCs w:val="27"/>
          <w:rtl/>
          <w:lang w:bidi="fa-IR"/>
        </w:rPr>
        <w:t xml:space="preserve"> </w:t>
      </w:r>
      <w:r w:rsidR="007F03B5" w:rsidRPr="00282AC9">
        <w:rPr>
          <w:rFonts w:ascii="Noor_Mitra" w:hAnsi="Noor_Mitra" w:cs="AL-Mohanad" w:hint="cs"/>
          <w:sz w:val="27"/>
          <w:szCs w:val="27"/>
          <w:rtl/>
          <w:lang w:bidi="fa-IR"/>
        </w:rPr>
        <w:t>ي</w:t>
      </w:r>
      <w:r w:rsidRPr="00282AC9">
        <w:rPr>
          <w:rFonts w:ascii="Noor_Mitra" w:hAnsi="Noor_Mitra" w:cs="AL-Mohanad" w:hint="cs"/>
          <w:sz w:val="27"/>
          <w:szCs w:val="27"/>
          <w:rtl/>
          <w:lang w:bidi="fa-IR"/>
        </w:rPr>
        <w:t>دعو إلى هذا الت</w:t>
      </w:r>
      <w:r w:rsidR="007F03B5" w:rsidRPr="00282AC9">
        <w:rPr>
          <w:rFonts w:ascii="Noor_Mitra" w:hAnsi="Noor_Mitra" w:cs="AL-Mohanad" w:hint="cs"/>
          <w:sz w:val="27"/>
          <w:szCs w:val="27"/>
          <w:rtl/>
          <w:lang w:bidi="fa-IR"/>
        </w:rPr>
        <w:t>قسيم أن مفردة</w:t>
      </w:r>
      <w:r w:rsidRPr="00282AC9">
        <w:rPr>
          <w:rFonts w:ascii="Noor_Mitra" w:hAnsi="Noor_Mitra" w:cs="AL-Mohanad" w:hint="cs"/>
          <w:sz w:val="27"/>
          <w:szCs w:val="27"/>
          <w:rtl/>
          <w:lang w:bidi="fa-IR"/>
        </w:rPr>
        <w:t xml:space="preserve"> </w:t>
      </w:r>
      <w:r w:rsidRPr="00282AC9">
        <w:rPr>
          <w:rFonts w:cs="AL-Mohanad" w:hint="eastAsia"/>
          <w:rtl/>
          <w:lang w:bidi="fa-IR"/>
        </w:rPr>
        <w:t>«</w:t>
      </w:r>
      <w:r w:rsidR="007F03B5" w:rsidRPr="00282AC9">
        <w:rPr>
          <w:rFonts w:ascii="Noor_Mitra" w:hAnsi="Noor_Mitra" w:cs="AL-Mohanad"/>
          <w:sz w:val="27"/>
          <w:szCs w:val="27"/>
          <w:rtl/>
          <w:lang w:bidi="fa-IR"/>
        </w:rPr>
        <w:t>الس</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نَّة</w:t>
      </w:r>
      <w:r w:rsidRPr="00282AC9">
        <w:rPr>
          <w:rFonts w:cs="AL-Mohanad" w:hint="eastAsia"/>
          <w:rtl/>
        </w:rPr>
        <w:t>»</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التي ور</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د</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ت</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في الأحاديث النبوية الآمرة بات</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باع السن</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ة النبوي</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ة</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لا</w:t>
      </w:r>
      <w:r w:rsidR="007F03B5" w:rsidRPr="00282AC9">
        <w:rPr>
          <w:rFonts w:ascii="Noor_Mitra" w:hAnsi="Noor_Mitra" w:cs="AL-Mohanad" w:hint="cs"/>
          <w:sz w:val="27"/>
          <w:szCs w:val="27"/>
          <w:rtl/>
          <w:lang w:bidi="fa-IR"/>
        </w:rPr>
        <w:t xml:space="preserve"> </w:t>
      </w:r>
      <w:r w:rsidRPr="00282AC9">
        <w:rPr>
          <w:rFonts w:ascii="Noor_Mitra" w:hAnsi="Noor_Mitra" w:cs="AL-Mohanad" w:hint="cs"/>
          <w:sz w:val="27"/>
          <w:szCs w:val="27"/>
          <w:rtl/>
          <w:lang w:bidi="fa-IR"/>
        </w:rPr>
        <w:t>تخلو من إحد</w:t>
      </w:r>
      <w:r w:rsidR="007F03B5" w:rsidRPr="00282AC9">
        <w:rPr>
          <w:rFonts w:ascii="Noor_Mitra" w:hAnsi="Noor_Mitra" w:cs="AL-Mohanad" w:hint="cs"/>
          <w:sz w:val="27"/>
          <w:szCs w:val="27"/>
          <w:rtl/>
          <w:lang w:bidi="fa-IR"/>
        </w:rPr>
        <w:t>ى</w:t>
      </w:r>
      <w:r w:rsidRPr="00282AC9">
        <w:rPr>
          <w:rFonts w:ascii="Noor_Mitra" w:hAnsi="Noor_Mitra" w:cs="AL-Mohanad" w:hint="cs"/>
          <w:sz w:val="27"/>
          <w:szCs w:val="27"/>
          <w:rtl/>
          <w:lang w:bidi="fa-IR"/>
        </w:rPr>
        <w:t xml:space="preserve"> الحالتين: إما أن تكون كلمة </w:t>
      </w:r>
      <w:r w:rsidRPr="00282AC9">
        <w:rPr>
          <w:rFonts w:cs="AL-Mohanad" w:hint="eastAsia"/>
          <w:rtl/>
          <w:lang w:bidi="fa-IR"/>
        </w:rPr>
        <w:t>«</w:t>
      </w:r>
      <w:r w:rsidR="007F03B5" w:rsidRPr="00282AC9">
        <w:rPr>
          <w:rFonts w:ascii="Noor_Mitra" w:hAnsi="Noor_Mitra" w:cs="AL-Mohanad" w:hint="cs"/>
          <w:sz w:val="27"/>
          <w:szCs w:val="27"/>
          <w:rtl/>
          <w:lang w:bidi="fa-IR"/>
        </w:rPr>
        <w:t>السُّ</w:t>
      </w:r>
      <w:r w:rsidRPr="00282AC9">
        <w:rPr>
          <w:rFonts w:ascii="Noor_Mitra" w:hAnsi="Noor_Mitra" w:cs="AL-Mohanad" w:hint="cs"/>
          <w:sz w:val="27"/>
          <w:szCs w:val="27"/>
          <w:rtl/>
          <w:lang w:bidi="fa-IR"/>
        </w:rPr>
        <w:t>نَّة</w:t>
      </w:r>
      <w:r w:rsidRPr="00282AC9">
        <w:rPr>
          <w:rFonts w:cs="AL-Mohanad" w:hint="eastAsia"/>
          <w:rtl/>
        </w:rPr>
        <w:t>»</w:t>
      </w:r>
      <w:r w:rsidRPr="00282AC9">
        <w:rPr>
          <w:rFonts w:ascii="Noor_Mitra" w:hAnsi="Noor_Mitra" w:cs="AL-Mohanad" w:hint="cs"/>
          <w:sz w:val="27"/>
          <w:szCs w:val="27"/>
          <w:rtl/>
          <w:lang w:bidi="fa-IR"/>
        </w:rPr>
        <w:t xml:space="preserve"> فيها هي عين الكلمة التي خرج</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ت</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من شَفَتَيْ رسول الله</w:t>
      </w:r>
      <w:r w:rsidR="009A2A04" w:rsidRPr="00282AC9">
        <w:rPr>
          <w:rFonts w:ascii="Noor_Mitra" w:hAnsi="Noor_Mitra" w:cs="Mosawi" w:hint="cs"/>
          <w:sz w:val="22"/>
          <w:szCs w:val="22"/>
          <w:rtl/>
          <w:lang w:bidi="fa-IR"/>
        </w:rPr>
        <w:t>|</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وبعبارة</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أخرى</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هي منقولة باللفظ</w:t>
      </w:r>
      <w:r w:rsidR="007F03B5" w:rsidRPr="00282AC9">
        <w:rPr>
          <w:rFonts w:ascii="Noor_Mitra" w:hAnsi="Noor_Mitra" w:cs="AL-Mohanad" w:hint="cs"/>
          <w:sz w:val="27"/>
          <w:szCs w:val="27"/>
          <w:rtl/>
          <w:lang w:bidi="fa-IR"/>
        </w:rPr>
        <w:t>؛ و</w:t>
      </w:r>
      <w:r w:rsidRPr="00282AC9">
        <w:rPr>
          <w:rFonts w:ascii="Noor_Mitra" w:hAnsi="Noor_Mitra" w:cs="AL-Mohanad" w:hint="cs"/>
          <w:sz w:val="27"/>
          <w:szCs w:val="27"/>
          <w:rtl/>
          <w:lang w:bidi="fa-IR"/>
        </w:rPr>
        <w:t>إما أن تكون هذه الكلمة منقولة</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بالمعنى</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ولم تكن عينَ الكلمة التي قالها النبي</w:t>
      </w:r>
      <w:r w:rsidR="007F03B5" w:rsidRPr="00282AC9">
        <w:rPr>
          <w:rFonts w:ascii="Noor_Mitra" w:hAnsi="Noor_Mitra" w:cs="AL-Mohanad" w:hint="cs"/>
          <w:sz w:val="27"/>
          <w:szCs w:val="27"/>
          <w:rtl/>
          <w:lang w:bidi="fa-IR"/>
        </w:rPr>
        <w:t>ّ</w:t>
      </w:r>
      <w:r w:rsidR="009A2A04" w:rsidRPr="00282AC9">
        <w:rPr>
          <w:rFonts w:ascii="Noor_Mitra" w:hAnsi="Noor_Mitra" w:cs="Mosawi" w:hint="cs"/>
          <w:sz w:val="22"/>
          <w:szCs w:val="22"/>
          <w:rtl/>
          <w:lang w:bidi="fa-IR"/>
        </w:rPr>
        <w:t>|</w:t>
      </w:r>
      <w:r w:rsidRPr="00282AC9">
        <w:rPr>
          <w:rFonts w:ascii="Noor_Mitra" w:hAnsi="Noor_Mitra" w:cs="AL-Mohanad" w:hint="cs"/>
          <w:sz w:val="27"/>
          <w:szCs w:val="27"/>
          <w:rtl/>
          <w:lang w:bidi="fa-IR"/>
        </w:rPr>
        <w:t>. والاستعمالات في القرن الأو</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ل الهجري</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تساعدنا في فهم معنى الكلمة في حالة النقل باللفظ</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والاستعمالات في القرون التالية تساعدنا في فهم معناها في حالة النقل بالمعنى. </w:t>
      </w:r>
    </w:p>
    <w:p w:rsidR="00464852"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lang w:bidi="fa-IR"/>
        </w:rPr>
        <w:t>ويجب أن أنبّ</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ه القراء الكر</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ام </w:t>
      </w:r>
      <w:r w:rsidR="006C7D7D" w:rsidRPr="00282AC9">
        <w:rPr>
          <w:rFonts w:ascii="Noor_Mitra" w:hAnsi="Noor_Mitra" w:cs="AL-Mohanad" w:hint="cs"/>
          <w:sz w:val="27"/>
          <w:szCs w:val="27"/>
          <w:rtl/>
          <w:lang w:bidi="fa-IR"/>
        </w:rPr>
        <w:t xml:space="preserve">إلى </w:t>
      </w:r>
      <w:r w:rsidRPr="00282AC9">
        <w:rPr>
          <w:rFonts w:ascii="Noor_Mitra" w:hAnsi="Noor_Mitra" w:cs="AL-Mohanad"/>
          <w:sz w:val="27"/>
          <w:szCs w:val="27"/>
          <w:rtl/>
          <w:lang w:bidi="fa-IR"/>
        </w:rPr>
        <w:t>أنني</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حيث قدّ</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م</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تُ في المقالة السابقة </w:t>
      </w:r>
      <w:r w:rsidRPr="00282AC9">
        <w:rPr>
          <w:rFonts w:ascii="Noor_Mitra" w:hAnsi="Noor_Mitra" w:cs="AL-Mohanad" w:hint="cs"/>
          <w:sz w:val="27"/>
          <w:szCs w:val="27"/>
          <w:rtl/>
          <w:lang w:bidi="fa-IR"/>
        </w:rPr>
        <w:t>المختص</w:t>
      </w:r>
      <w:r w:rsidR="007F03B5"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ة ب</w:t>
      </w:r>
      <w:r w:rsidR="007F03B5" w:rsidRPr="00282AC9">
        <w:rPr>
          <w:rFonts w:ascii="Noor_Mitra" w:hAnsi="Noor_Mitra" w:cs="AL-Mohanad"/>
          <w:sz w:val="27"/>
          <w:szCs w:val="27"/>
          <w:rtl/>
          <w:lang w:bidi="fa-IR"/>
        </w:rPr>
        <w:t>الاستعمالات في القرآن و</w:t>
      </w:r>
      <w:r w:rsidRPr="00282AC9">
        <w:rPr>
          <w:rFonts w:ascii="Noor_Mitra" w:hAnsi="Noor_Mitra" w:cs="AL-Mohanad"/>
          <w:sz w:val="27"/>
          <w:szCs w:val="27"/>
          <w:rtl/>
          <w:lang w:bidi="fa-IR"/>
        </w:rPr>
        <w:t>الحديث النبوي</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تفصيلاتٍ كثيرة</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حول جوانب أهم</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ية هذه الدراسة</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ومنهجي فيها</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لا أريد إعادتها هنا</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فللمزيد من الاط</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لاع بإمكانكم أن تراجعوا تلك المقالة</w:t>
      </w:r>
      <w:r w:rsidR="007F03B5"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وإنما أكتفي هنا بنقطةٍ واحدة قبل الخوض في البحث:</w:t>
      </w:r>
    </w:p>
    <w:p w:rsidR="0073600A" w:rsidRPr="00282AC9" w:rsidRDefault="0073600A" w:rsidP="0073600A">
      <w:pPr>
        <w:spacing w:line="420" w:lineRule="exact"/>
        <w:rPr>
          <w:rtl/>
        </w:rPr>
      </w:pPr>
    </w:p>
    <w:p w:rsidR="00464852" w:rsidRPr="00282AC9" w:rsidRDefault="00464852" w:rsidP="007F03B5">
      <w:pPr>
        <w:pStyle w:val="31"/>
        <w:rPr>
          <w:color w:val="auto"/>
          <w:rtl/>
        </w:rPr>
      </w:pPr>
      <w:r w:rsidRPr="00282AC9">
        <w:rPr>
          <w:color w:val="auto"/>
          <w:rtl/>
        </w:rPr>
        <w:t>التردّ</w:t>
      </w:r>
      <w:r w:rsidR="007F03B5" w:rsidRPr="00282AC9">
        <w:rPr>
          <w:rFonts w:hint="cs"/>
          <w:color w:val="auto"/>
          <w:rtl/>
        </w:rPr>
        <w:t>ُ</w:t>
      </w:r>
      <w:r w:rsidRPr="00282AC9">
        <w:rPr>
          <w:color w:val="auto"/>
          <w:rtl/>
        </w:rPr>
        <w:t xml:space="preserve">د بين </w:t>
      </w:r>
      <w:r w:rsidRPr="00282AC9">
        <w:rPr>
          <w:rFonts w:hint="eastAsia"/>
          <w:color w:val="auto"/>
          <w:rtl/>
        </w:rPr>
        <w:t>«</w:t>
      </w:r>
      <w:r w:rsidR="007F03B5" w:rsidRPr="00282AC9">
        <w:rPr>
          <w:color w:val="auto"/>
          <w:rtl/>
        </w:rPr>
        <w:t>الس</w:t>
      </w:r>
      <w:r w:rsidR="007F03B5" w:rsidRPr="00282AC9">
        <w:rPr>
          <w:rFonts w:hint="cs"/>
          <w:color w:val="auto"/>
          <w:rtl/>
        </w:rPr>
        <w:t>َّ</w:t>
      </w:r>
      <w:r w:rsidRPr="00282AC9">
        <w:rPr>
          <w:color w:val="auto"/>
          <w:rtl/>
        </w:rPr>
        <w:t>نَن</w:t>
      </w:r>
      <w:r w:rsidRPr="00282AC9">
        <w:rPr>
          <w:rFonts w:hint="eastAsia"/>
          <w:color w:val="auto"/>
          <w:rtl/>
        </w:rPr>
        <w:t>»</w:t>
      </w:r>
      <w:r w:rsidRPr="00282AC9">
        <w:rPr>
          <w:color w:val="auto"/>
          <w:rtl/>
        </w:rPr>
        <w:t xml:space="preserve"> و</w:t>
      </w:r>
      <w:r w:rsidR="007F03B5" w:rsidRPr="00282AC9">
        <w:rPr>
          <w:rFonts w:hint="eastAsia"/>
          <w:color w:val="auto"/>
          <w:rtl/>
        </w:rPr>
        <w:t>«</w:t>
      </w:r>
      <w:r w:rsidR="007F03B5" w:rsidRPr="00282AC9">
        <w:rPr>
          <w:color w:val="auto"/>
          <w:rtl/>
        </w:rPr>
        <w:t>الس</w:t>
      </w:r>
      <w:r w:rsidR="007F03B5" w:rsidRPr="00282AC9">
        <w:rPr>
          <w:rFonts w:hint="cs"/>
          <w:color w:val="auto"/>
          <w:rtl/>
        </w:rPr>
        <w:t>ُّ</w:t>
      </w:r>
      <w:r w:rsidRPr="00282AC9">
        <w:rPr>
          <w:color w:val="auto"/>
          <w:rtl/>
        </w:rPr>
        <w:t>نَن</w:t>
      </w:r>
      <w:r w:rsidRPr="00282AC9">
        <w:rPr>
          <w:rFonts w:hint="eastAsia"/>
          <w:color w:val="auto"/>
          <w:rtl/>
        </w:rPr>
        <w:t>»</w:t>
      </w:r>
      <w:r w:rsidRPr="00282AC9">
        <w:rPr>
          <w:color w:val="auto"/>
          <w:rtl/>
        </w:rPr>
        <w:t>، التحد</w:t>
      </w:r>
      <w:r w:rsidR="007F03B5" w:rsidRPr="00282AC9">
        <w:rPr>
          <w:rFonts w:hint="cs"/>
          <w:color w:val="auto"/>
          <w:rtl/>
        </w:rPr>
        <w:t>ّ</w:t>
      </w:r>
      <w:r w:rsidRPr="00282AC9">
        <w:rPr>
          <w:color w:val="auto"/>
          <w:rtl/>
        </w:rPr>
        <w:t>ي في الاستشهاد ببعض الاستعمالات</w:t>
      </w:r>
    </w:p>
    <w:p w:rsidR="00464852"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lang w:bidi="fa-IR"/>
        </w:rPr>
        <w:t xml:space="preserve">هناك كلمةٌ يجب أن لا </w:t>
      </w:r>
      <w:r w:rsidR="006C7D7D" w:rsidRPr="00282AC9">
        <w:rPr>
          <w:rFonts w:ascii="Noor_Mitra" w:hAnsi="Noor_Mitra" w:cs="AL-Mohanad" w:hint="cs"/>
          <w:sz w:val="27"/>
          <w:szCs w:val="27"/>
          <w:rtl/>
          <w:lang w:bidi="fa-IR"/>
        </w:rPr>
        <w:t>نلتفت</w:t>
      </w:r>
      <w:r w:rsidRPr="00282AC9">
        <w:rPr>
          <w:rFonts w:ascii="Noor_Mitra" w:hAnsi="Noor_Mitra" w:cs="AL-Mohanad"/>
          <w:sz w:val="27"/>
          <w:szCs w:val="27"/>
          <w:rtl/>
          <w:lang w:bidi="fa-IR"/>
        </w:rPr>
        <w:t xml:space="preserve"> إليها في </w:t>
      </w:r>
      <w:r w:rsidRPr="00282AC9">
        <w:rPr>
          <w:rFonts w:ascii="Noor_Mitra" w:hAnsi="Noor_Mitra" w:cs="AL-Mohanad" w:hint="cs"/>
          <w:sz w:val="27"/>
          <w:szCs w:val="27"/>
          <w:rtl/>
          <w:lang w:bidi="fa-IR"/>
        </w:rPr>
        <w:t>إطار</w:t>
      </w:r>
      <w:r w:rsidR="006C7D7D" w:rsidRPr="00282AC9">
        <w:rPr>
          <w:rFonts w:ascii="Noor_Mitra" w:hAnsi="Noor_Mitra" w:cs="AL-Mohanad"/>
          <w:sz w:val="27"/>
          <w:szCs w:val="27"/>
          <w:rtl/>
          <w:lang w:bidi="fa-IR"/>
        </w:rPr>
        <w:t xml:space="preserve"> الاستشهاد باستعمالات</w:t>
      </w:r>
      <w:r w:rsidRPr="00282AC9">
        <w:rPr>
          <w:rFonts w:ascii="Noor_Mitra" w:hAnsi="Noor_Mitra" w:cs="AL-Mohanad"/>
          <w:sz w:val="27"/>
          <w:szCs w:val="27"/>
          <w:rtl/>
          <w:lang w:bidi="fa-IR"/>
        </w:rPr>
        <w:t xml:space="preserve"> </w:t>
      </w:r>
      <w:r w:rsidRPr="00282AC9">
        <w:rPr>
          <w:rFonts w:ascii="Noor_Mitra" w:hAnsi="Noor_Mitra" w:cs="AL-Mohanad"/>
          <w:rtl/>
          <w:lang w:bidi="fa-IR"/>
        </w:rPr>
        <w:t>«</w:t>
      </w:r>
      <w:r w:rsidR="006C7D7D" w:rsidRPr="00282AC9">
        <w:rPr>
          <w:rFonts w:ascii="Noor_Mitra" w:hAnsi="Noor_Mitra" w:cs="AL-Mohanad"/>
          <w:sz w:val="27"/>
          <w:szCs w:val="27"/>
          <w:rtl/>
          <w:lang w:bidi="fa-IR"/>
        </w:rPr>
        <w:t>الس</w:t>
      </w:r>
      <w:r w:rsidR="006C7D7D" w:rsidRPr="00282AC9">
        <w:rPr>
          <w:rFonts w:ascii="Noor_Mitra" w:hAnsi="Noor_Mitra" w:cs="AL-Mohanad" w:hint="cs"/>
          <w:sz w:val="27"/>
          <w:szCs w:val="27"/>
          <w:rtl/>
          <w:lang w:bidi="fa-IR"/>
        </w:rPr>
        <w:t>ُّ</w:t>
      </w:r>
      <w:r w:rsidRPr="00282AC9">
        <w:rPr>
          <w:rFonts w:ascii="Noor_Mitra" w:hAnsi="Noor_Mitra" w:cs="AL-Mohanad"/>
          <w:sz w:val="27"/>
          <w:szCs w:val="27"/>
          <w:rtl/>
          <w:lang w:bidi="fa-IR"/>
        </w:rPr>
        <w:t>نَّة</w:t>
      </w:r>
      <w:r w:rsidRPr="00282AC9">
        <w:rPr>
          <w:rFonts w:ascii="Noor_Mitra" w:hAnsi="Noor_Mitra" w:cs="AL-Mohanad"/>
          <w:rtl/>
          <w:lang w:bidi="fa-IR"/>
        </w:rPr>
        <w:t>»</w:t>
      </w:r>
      <w:r w:rsidRPr="00282AC9">
        <w:rPr>
          <w:rFonts w:ascii="Noor_Mitra" w:hAnsi="Noor_Mitra" w:cs="AL-Mohanad"/>
          <w:sz w:val="27"/>
          <w:szCs w:val="27"/>
          <w:rtl/>
          <w:lang w:bidi="fa-IR"/>
        </w:rPr>
        <w:t xml:space="preserve"> </w:t>
      </w:r>
      <w:r w:rsidR="006C7D7D" w:rsidRPr="00282AC9">
        <w:rPr>
          <w:rFonts w:ascii="Noor_Mitra" w:hAnsi="Noor_Mitra" w:cs="AL-Mohanad"/>
          <w:sz w:val="27"/>
          <w:szCs w:val="27"/>
          <w:rtl/>
          <w:lang w:bidi="fa-IR"/>
        </w:rPr>
        <w:t>ومشتقّات</w:t>
      </w:r>
      <w:r w:rsidRPr="00282AC9">
        <w:rPr>
          <w:rFonts w:ascii="Noor_Mitra" w:hAnsi="Noor_Mitra" w:cs="AL-Mohanad"/>
          <w:sz w:val="27"/>
          <w:szCs w:val="27"/>
          <w:rtl/>
          <w:lang w:bidi="fa-IR"/>
        </w:rPr>
        <w:t xml:space="preserve">ها، </w:t>
      </w:r>
      <w:r w:rsidR="006C7D7D" w:rsidRPr="00282AC9">
        <w:rPr>
          <w:rFonts w:ascii="Noor_Mitra" w:hAnsi="Noor_Mitra" w:cs="AL-Mohanad"/>
          <w:sz w:val="27"/>
          <w:szCs w:val="27"/>
          <w:rtl/>
          <w:lang w:bidi="fa-IR"/>
        </w:rPr>
        <w:t>و</w:t>
      </w:r>
      <w:r w:rsidRPr="00282AC9">
        <w:rPr>
          <w:rFonts w:ascii="Noor_Mitra" w:hAnsi="Noor_Mitra" w:cs="AL-Mohanad"/>
          <w:sz w:val="27"/>
          <w:szCs w:val="27"/>
          <w:rtl/>
          <w:lang w:bidi="fa-IR"/>
        </w:rPr>
        <w:t xml:space="preserve">هي كلمة </w:t>
      </w:r>
      <w:r w:rsidRPr="00282AC9">
        <w:rPr>
          <w:rFonts w:cs="AL-Mohanad" w:hint="eastAsia"/>
          <w:rtl/>
        </w:rPr>
        <w:t>«</w:t>
      </w:r>
      <w:r w:rsidR="006C7D7D" w:rsidRPr="00282AC9">
        <w:rPr>
          <w:rFonts w:ascii="Noor_Mitra" w:hAnsi="Noor_Mitra" w:cs="AL-Mohanad"/>
          <w:sz w:val="27"/>
          <w:szCs w:val="27"/>
          <w:rtl/>
        </w:rPr>
        <w:t>الس</w:t>
      </w:r>
      <w:r w:rsidR="006C7D7D" w:rsidRPr="00282AC9">
        <w:rPr>
          <w:rFonts w:ascii="Noor_Mitra" w:hAnsi="Noor_Mitra" w:cs="AL-Mohanad" w:hint="cs"/>
          <w:sz w:val="27"/>
          <w:szCs w:val="27"/>
          <w:rtl/>
        </w:rPr>
        <w:t>َّ</w:t>
      </w:r>
      <w:r w:rsidRPr="00282AC9">
        <w:rPr>
          <w:rFonts w:ascii="Noor_Mitra" w:hAnsi="Noor_Mitra" w:cs="AL-Mohanad"/>
          <w:sz w:val="27"/>
          <w:szCs w:val="27"/>
          <w:rtl/>
        </w:rPr>
        <w:t>نَن</w:t>
      </w:r>
      <w:r w:rsidRPr="00282AC9">
        <w:rPr>
          <w:rFonts w:cs="AL-Mohanad" w:hint="eastAsia"/>
          <w:rtl/>
        </w:rPr>
        <w:t>»</w:t>
      </w:r>
      <w:r w:rsidRPr="00282AC9">
        <w:rPr>
          <w:rFonts w:ascii="Noor_Mitra" w:hAnsi="Noor_Mitra" w:cs="AL-Mohanad"/>
          <w:sz w:val="27"/>
          <w:szCs w:val="27"/>
          <w:rtl/>
        </w:rPr>
        <w:t>. إن هذه الكلمة مفردةٌ</w:t>
      </w:r>
      <w:r w:rsidR="006C7D7D" w:rsidRPr="00282AC9">
        <w:rPr>
          <w:rFonts w:ascii="Noor_Mitra" w:hAnsi="Noor_Mitra" w:cs="AL-Mohanad" w:hint="cs"/>
          <w:sz w:val="27"/>
          <w:szCs w:val="27"/>
          <w:rtl/>
        </w:rPr>
        <w:t>،</w:t>
      </w:r>
      <w:r w:rsidRPr="00282AC9">
        <w:rPr>
          <w:rFonts w:ascii="Noor_Mitra" w:hAnsi="Noor_Mitra" w:cs="AL-Mohanad"/>
          <w:sz w:val="27"/>
          <w:szCs w:val="27"/>
          <w:rtl/>
        </w:rPr>
        <w:t xml:space="preserve"> وتعني الطريق والسبيل، </w:t>
      </w:r>
      <w:r w:rsidRPr="00282AC9">
        <w:rPr>
          <w:rFonts w:ascii="Noor_Mitra" w:hAnsi="Noor_Mitra" w:cs="AL-Mohanad"/>
          <w:sz w:val="27"/>
          <w:szCs w:val="27"/>
          <w:rtl/>
        </w:rPr>
        <w:lastRenderedPageBreak/>
        <w:t xml:space="preserve">وهي تختلف عن </w:t>
      </w:r>
      <w:r w:rsidRPr="00282AC9">
        <w:rPr>
          <w:rFonts w:cs="AL-Mohanad" w:hint="eastAsia"/>
          <w:rtl/>
        </w:rPr>
        <w:t>«</w:t>
      </w:r>
      <w:r w:rsidR="006C7D7D" w:rsidRPr="00282AC9">
        <w:rPr>
          <w:rFonts w:ascii="Noor_Mitra" w:hAnsi="Noor_Mitra" w:cs="AL-Mohanad"/>
          <w:sz w:val="27"/>
          <w:szCs w:val="27"/>
          <w:rtl/>
        </w:rPr>
        <w:t>الس</w:t>
      </w:r>
      <w:r w:rsidR="006C7D7D" w:rsidRPr="00282AC9">
        <w:rPr>
          <w:rFonts w:ascii="Noor_Mitra" w:hAnsi="Noor_Mitra" w:cs="AL-Mohanad" w:hint="cs"/>
          <w:sz w:val="27"/>
          <w:szCs w:val="27"/>
          <w:rtl/>
        </w:rPr>
        <w:t>ُّ</w:t>
      </w:r>
      <w:r w:rsidRPr="00282AC9">
        <w:rPr>
          <w:rFonts w:ascii="Noor_Mitra" w:hAnsi="Noor_Mitra" w:cs="AL-Mohanad"/>
          <w:sz w:val="27"/>
          <w:szCs w:val="27"/>
          <w:rtl/>
        </w:rPr>
        <w:t>نَن</w:t>
      </w:r>
      <w:r w:rsidRPr="00282AC9">
        <w:rPr>
          <w:rFonts w:cs="AL-Mohanad" w:hint="eastAsia"/>
          <w:rtl/>
        </w:rPr>
        <w:t>»</w:t>
      </w:r>
      <w:r w:rsidR="006C7D7D" w:rsidRPr="00282AC9">
        <w:rPr>
          <w:rFonts w:ascii="Noor_Mitra" w:hAnsi="Noor_Mitra" w:cs="AL-Mohanad" w:hint="cs"/>
          <w:sz w:val="27"/>
          <w:szCs w:val="27"/>
          <w:rtl/>
        </w:rPr>
        <w:t>،</w:t>
      </w:r>
      <w:r w:rsidRPr="00282AC9">
        <w:rPr>
          <w:rFonts w:ascii="Noor_Mitra" w:hAnsi="Noor_Mitra" w:cs="AL-Mohanad"/>
          <w:sz w:val="27"/>
          <w:szCs w:val="27"/>
          <w:rtl/>
        </w:rPr>
        <w:t xml:space="preserve"> التي هي جمعُ </w:t>
      </w:r>
      <w:r w:rsidRPr="00282AC9">
        <w:rPr>
          <w:rFonts w:cs="AL-Mohanad" w:hint="eastAsia"/>
          <w:rtl/>
        </w:rPr>
        <w:t>«</w:t>
      </w:r>
      <w:r w:rsidR="006C7D7D" w:rsidRPr="00282AC9">
        <w:rPr>
          <w:rFonts w:ascii="Noor_Mitra" w:hAnsi="Noor_Mitra" w:cs="AL-Mohanad"/>
          <w:sz w:val="27"/>
          <w:szCs w:val="27"/>
          <w:rtl/>
        </w:rPr>
        <w:t>الس</w:t>
      </w:r>
      <w:r w:rsidR="006C7D7D" w:rsidRPr="00282AC9">
        <w:rPr>
          <w:rFonts w:ascii="Noor_Mitra" w:hAnsi="Noor_Mitra" w:cs="AL-Mohanad" w:hint="cs"/>
          <w:sz w:val="27"/>
          <w:szCs w:val="27"/>
          <w:rtl/>
        </w:rPr>
        <w:t>ُّ</w:t>
      </w:r>
      <w:r w:rsidRPr="00282AC9">
        <w:rPr>
          <w:rFonts w:ascii="Noor_Mitra" w:hAnsi="Noor_Mitra" w:cs="AL-Mohanad"/>
          <w:sz w:val="27"/>
          <w:szCs w:val="27"/>
          <w:rtl/>
        </w:rPr>
        <w:t>نّ</w:t>
      </w:r>
      <w:r w:rsidR="006C7D7D" w:rsidRPr="00282AC9">
        <w:rPr>
          <w:rFonts w:ascii="Noor_Mitra" w:hAnsi="Noor_Mitra" w:cs="AL-Mohanad" w:hint="cs"/>
          <w:sz w:val="27"/>
          <w:szCs w:val="27"/>
          <w:rtl/>
        </w:rPr>
        <w:t>َ</w:t>
      </w:r>
      <w:r w:rsidRPr="00282AC9">
        <w:rPr>
          <w:rFonts w:ascii="Noor_Mitra" w:hAnsi="Noor_Mitra" w:cs="AL-Mohanad"/>
          <w:sz w:val="27"/>
          <w:szCs w:val="27"/>
          <w:rtl/>
        </w:rPr>
        <w:t>ة</w:t>
      </w:r>
      <w:r w:rsidRPr="00282AC9">
        <w:rPr>
          <w:rFonts w:cs="AL-Mohanad" w:hint="eastAsia"/>
          <w:rtl/>
        </w:rPr>
        <w:t>»</w:t>
      </w:r>
      <w:r w:rsidR="006C7D7D" w:rsidRPr="00282AC9">
        <w:rPr>
          <w:rFonts w:ascii="Noor_Mitra" w:hAnsi="Noor_Mitra" w:cs="AL-Mohanad" w:hint="cs"/>
          <w:sz w:val="27"/>
          <w:szCs w:val="27"/>
          <w:rtl/>
        </w:rPr>
        <w:t>،</w:t>
      </w:r>
      <w:r w:rsidRPr="00282AC9">
        <w:rPr>
          <w:rFonts w:ascii="Noor_Mitra" w:hAnsi="Noor_Mitra" w:cs="AL-Mohanad"/>
          <w:sz w:val="27"/>
          <w:szCs w:val="27"/>
          <w:rtl/>
        </w:rPr>
        <w:t xml:space="preserve"> وهي التي تفيدنا في هذه الدراسة. </w:t>
      </w:r>
      <w:r w:rsidRPr="00282AC9">
        <w:rPr>
          <w:rFonts w:ascii="Noor_Mitra" w:hAnsi="Noor_Mitra" w:cs="AL-Mohanad" w:hint="cs"/>
          <w:sz w:val="27"/>
          <w:szCs w:val="27"/>
          <w:rtl/>
        </w:rPr>
        <w:t xml:space="preserve">يجب الانتباه </w:t>
      </w:r>
      <w:r w:rsidR="006C7D7D" w:rsidRPr="00282AC9">
        <w:rPr>
          <w:rFonts w:ascii="Noor_Mitra" w:hAnsi="Noor_Mitra" w:cs="AL-Mohanad" w:hint="cs"/>
          <w:sz w:val="27"/>
          <w:szCs w:val="27"/>
          <w:rtl/>
        </w:rPr>
        <w:t xml:space="preserve">إلى </w:t>
      </w:r>
      <w:r w:rsidRPr="00282AC9">
        <w:rPr>
          <w:rFonts w:ascii="Noor_Mitra" w:hAnsi="Noor_Mitra" w:cs="AL-Mohanad" w:hint="cs"/>
          <w:sz w:val="27"/>
          <w:szCs w:val="27"/>
          <w:rtl/>
        </w:rPr>
        <w:t>أننا نواجه</w:t>
      </w:r>
      <w:r w:rsidRPr="00282AC9">
        <w:rPr>
          <w:rFonts w:ascii="Noor_Mitra" w:hAnsi="Noor_Mitra" w:cs="AL-Mohanad"/>
          <w:sz w:val="27"/>
          <w:szCs w:val="27"/>
          <w:rtl/>
        </w:rPr>
        <w:t xml:space="preserve"> في </w:t>
      </w:r>
      <w:r w:rsidR="00DE5E17" w:rsidRPr="00282AC9">
        <w:rPr>
          <w:rFonts w:ascii="Noor_Mitra" w:hAnsi="Noor_Mitra" w:cs="AL-Mohanad" w:hint="cs"/>
          <w:sz w:val="27"/>
          <w:szCs w:val="27"/>
          <w:rtl/>
        </w:rPr>
        <w:t>عددٍ</w:t>
      </w:r>
      <w:r w:rsidRPr="00282AC9">
        <w:rPr>
          <w:rFonts w:ascii="Noor_Mitra" w:hAnsi="Noor_Mitra" w:cs="AL-Mohanad"/>
          <w:sz w:val="27"/>
          <w:szCs w:val="27"/>
          <w:rtl/>
        </w:rPr>
        <w:t xml:space="preserve"> من الشواهد أن ما ورد فيها هو </w:t>
      </w:r>
      <w:r w:rsidRPr="00282AC9">
        <w:rPr>
          <w:rFonts w:cs="AL-Mohanad" w:hint="eastAsia"/>
          <w:rtl/>
        </w:rPr>
        <w:t>«</w:t>
      </w:r>
      <w:r w:rsidRPr="00282AC9">
        <w:rPr>
          <w:rFonts w:ascii="Noor_Mitra" w:hAnsi="Noor_Mitra" w:cs="AL-Mohanad"/>
          <w:sz w:val="27"/>
          <w:szCs w:val="27"/>
          <w:rtl/>
        </w:rPr>
        <w:t>الس</w:t>
      </w:r>
      <w:r w:rsidR="00DE5E17" w:rsidRPr="00282AC9">
        <w:rPr>
          <w:rFonts w:ascii="Noor_Mitra" w:hAnsi="Noor_Mitra" w:cs="AL-Mohanad" w:hint="cs"/>
          <w:sz w:val="27"/>
          <w:szCs w:val="27"/>
          <w:rtl/>
        </w:rPr>
        <w:t>ّ</w:t>
      </w:r>
      <w:r w:rsidRPr="00282AC9">
        <w:rPr>
          <w:rFonts w:ascii="Noor_Mitra" w:hAnsi="Noor_Mitra" w:cs="AL-Mohanad"/>
          <w:sz w:val="27"/>
          <w:szCs w:val="27"/>
          <w:rtl/>
        </w:rPr>
        <w:t>نن</w:t>
      </w:r>
      <w:r w:rsidRPr="00282AC9">
        <w:rPr>
          <w:rFonts w:cs="AL-Mohanad" w:hint="eastAsia"/>
          <w:rtl/>
        </w:rPr>
        <w:t>»</w:t>
      </w:r>
      <w:r w:rsidRPr="00282AC9">
        <w:rPr>
          <w:rFonts w:ascii="Noor_Mitra" w:hAnsi="Noor_Mitra" w:cs="AL-Mohanad"/>
          <w:sz w:val="27"/>
          <w:szCs w:val="27"/>
          <w:rtl/>
        </w:rPr>
        <w:t xml:space="preserve">، وحيث لم </w:t>
      </w:r>
      <w:r w:rsidR="00DE5E17" w:rsidRPr="00282AC9">
        <w:rPr>
          <w:rFonts w:ascii="Noor_Mitra" w:hAnsi="Noor_Mitra" w:cs="AL-Mohanad" w:hint="cs"/>
          <w:sz w:val="27"/>
          <w:szCs w:val="27"/>
          <w:rtl/>
        </w:rPr>
        <w:t>ي</w:t>
      </w:r>
      <w:r w:rsidRPr="00282AC9">
        <w:rPr>
          <w:rFonts w:ascii="Noor_Mitra" w:hAnsi="Noor_Mitra" w:cs="AL-Mohanad"/>
          <w:sz w:val="27"/>
          <w:szCs w:val="27"/>
          <w:rtl/>
        </w:rPr>
        <w:t xml:space="preserve">كن هناك </w:t>
      </w:r>
      <w:r w:rsidR="00DE5E17" w:rsidRPr="00282AC9">
        <w:rPr>
          <w:rFonts w:ascii="Noor_Mitra" w:hAnsi="Noor_Mitra" w:cs="AL-Mohanad" w:hint="cs"/>
          <w:sz w:val="27"/>
          <w:szCs w:val="27"/>
          <w:rtl/>
        </w:rPr>
        <w:t>تشكيلٌ</w:t>
      </w:r>
      <w:r w:rsidRPr="00282AC9">
        <w:rPr>
          <w:rFonts w:ascii="Noor_Mitra" w:hAnsi="Noor_Mitra" w:cs="AL-Mohanad"/>
          <w:sz w:val="27"/>
          <w:szCs w:val="27"/>
          <w:rtl/>
        </w:rPr>
        <w:t xml:space="preserve"> في كثير</w:t>
      </w:r>
      <w:r w:rsidR="00DE5E17" w:rsidRPr="00282AC9">
        <w:rPr>
          <w:rFonts w:ascii="Noor_Mitra" w:hAnsi="Noor_Mitra" w:cs="AL-Mohanad" w:hint="cs"/>
          <w:sz w:val="27"/>
          <w:szCs w:val="27"/>
          <w:rtl/>
        </w:rPr>
        <w:t>ٍ</w:t>
      </w:r>
      <w:r w:rsidRPr="00282AC9">
        <w:rPr>
          <w:rFonts w:ascii="Noor_Mitra" w:hAnsi="Noor_Mitra" w:cs="AL-Mohanad"/>
          <w:sz w:val="27"/>
          <w:szCs w:val="27"/>
          <w:rtl/>
        </w:rPr>
        <w:t xml:space="preserve"> من المصادر</w:t>
      </w:r>
      <w:r w:rsidRPr="00282AC9">
        <w:rPr>
          <w:rFonts w:ascii="Noor_Mitra" w:hAnsi="Noor_Mitra" w:cs="AL-Mohanad" w:hint="cs"/>
          <w:sz w:val="27"/>
          <w:szCs w:val="27"/>
          <w:rtl/>
        </w:rPr>
        <w:t>،</w:t>
      </w:r>
      <w:r w:rsidRPr="00282AC9">
        <w:rPr>
          <w:rFonts w:ascii="Noor_Mitra" w:hAnsi="Noor_Mitra" w:cs="AL-Mohanad"/>
          <w:sz w:val="27"/>
          <w:szCs w:val="27"/>
          <w:rtl/>
        </w:rPr>
        <w:t xml:space="preserve"> وكلمة </w:t>
      </w:r>
      <w:r w:rsidRPr="00282AC9">
        <w:rPr>
          <w:rFonts w:cs="AL-Mohanad" w:hint="eastAsia"/>
          <w:rtl/>
        </w:rPr>
        <w:t>«</w:t>
      </w:r>
      <w:r w:rsidRPr="00282AC9">
        <w:rPr>
          <w:rFonts w:ascii="Noor_Mitra" w:hAnsi="Noor_Mitra" w:cs="AL-Mohanad"/>
          <w:sz w:val="27"/>
          <w:szCs w:val="27"/>
          <w:rtl/>
        </w:rPr>
        <w:t>الس</w:t>
      </w:r>
      <w:r w:rsidR="00DE5E17" w:rsidRPr="00282AC9">
        <w:rPr>
          <w:rFonts w:ascii="Noor_Mitra" w:hAnsi="Noor_Mitra" w:cs="AL-Mohanad" w:hint="cs"/>
          <w:sz w:val="27"/>
          <w:szCs w:val="27"/>
          <w:rtl/>
        </w:rPr>
        <w:t>ّ</w:t>
      </w:r>
      <w:r w:rsidRPr="00282AC9">
        <w:rPr>
          <w:rFonts w:ascii="Noor_Mitra" w:hAnsi="Noor_Mitra" w:cs="AL-Mohanad"/>
          <w:sz w:val="27"/>
          <w:szCs w:val="27"/>
          <w:rtl/>
        </w:rPr>
        <w:t>نن</w:t>
      </w:r>
      <w:r w:rsidRPr="00282AC9">
        <w:rPr>
          <w:rFonts w:cs="AL-Mohanad" w:hint="eastAsia"/>
          <w:rtl/>
        </w:rPr>
        <w:t>»</w:t>
      </w:r>
      <w:r w:rsidRPr="00282AC9">
        <w:rPr>
          <w:rFonts w:ascii="Noor_Mitra" w:hAnsi="Noor_Mitra" w:cs="AL-Mohanad"/>
          <w:sz w:val="27"/>
          <w:szCs w:val="27"/>
          <w:rtl/>
        </w:rPr>
        <w:t xml:space="preserve"> متساويةٌ في هيئتها بالنسبة إلى كلمت</w:t>
      </w:r>
      <w:r w:rsidRPr="00282AC9">
        <w:rPr>
          <w:rFonts w:ascii="Noor_Mitra" w:hAnsi="Noor_Mitra" w:cs="AL-Mohanad" w:hint="cs"/>
          <w:sz w:val="27"/>
          <w:szCs w:val="27"/>
          <w:rtl/>
        </w:rPr>
        <w:t>َ</w:t>
      </w:r>
      <w:r w:rsidRPr="00282AC9">
        <w:rPr>
          <w:rFonts w:ascii="Noor_Mitra" w:hAnsi="Noor_Mitra" w:cs="AL-Mohanad"/>
          <w:sz w:val="27"/>
          <w:szCs w:val="27"/>
          <w:rtl/>
        </w:rPr>
        <w:t>ي</w:t>
      </w:r>
      <w:r w:rsidRPr="00282AC9">
        <w:rPr>
          <w:rFonts w:ascii="Noor_Mitra" w:hAnsi="Noor_Mitra" w:cs="AL-Mohanad" w:hint="cs"/>
          <w:sz w:val="27"/>
          <w:szCs w:val="27"/>
          <w:rtl/>
        </w:rPr>
        <w:t>ْ</w:t>
      </w:r>
      <w:r w:rsidRPr="00282AC9">
        <w:rPr>
          <w:rFonts w:ascii="Noor_Mitra" w:hAnsi="Noor_Mitra" w:cs="AL-Mohanad"/>
          <w:sz w:val="27"/>
          <w:szCs w:val="27"/>
          <w:rtl/>
        </w:rPr>
        <w:t xml:space="preserve"> </w:t>
      </w:r>
      <w:r w:rsidRPr="00282AC9">
        <w:rPr>
          <w:rFonts w:cs="AL-Mohanad" w:hint="eastAsia"/>
          <w:rtl/>
        </w:rPr>
        <w:t>«</w:t>
      </w:r>
      <w:r w:rsidR="00DE5E17" w:rsidRPr="00282AC9">
        <w:rPr>
          <w:rFonts w:ascii="Noor_Mitra" w:hAnsi="Noor_Mitra" w:cs="AL-Mohanad"/>
          <w:sz w:val="27"/>
          <w:szCs w:val="27"/>
          <w:rtl/>
        </w:rPr>
        <w:t>الس</w:t>
      </w:r>
      <w:r w:rsidR="00DE5E17" w:rsidRPr="00282AC9">
        <w:rPr>
          <w:rFonts w:ascii="Noor_Mitra" w:hAnsi="Noor_Mitra" w:cs="AL-Mohanad" w:hint="cs"/>
          <w:sz w:val="27"/>
          <w:szCs w:val="27"/>
          <w:rtl/>
        </w:rPr>
        <w:t>ُّ</w:t>
      </w:r>
      <w:r w:rsidRPr="00282AC9">
        <w:rPr>
          <w:rFonts w:ascii="Noor_Mitra" w:hAnsi="Noor_Mitra" w:cs="AL-Mohanad"/>
          <w:sz w:val="27"/>
          <w:szCs w:val="27"/>
          <w:rtl/>
        </w:rPr>
        <w:t>نَن</w:t>
      </w:r>
      <w:r w:rsidRPr="00282AC9">
        <w:rPr>
          <w:rFonts w:cs="AL-Mohanad" w:hint="eastAsia"/>
          <w:rtl/>
        </w:rPr>
        <w:t>»</w:t>
      </w:r>
      <w:r w:rsidRPr="00282AC9">
        <w:rPr>
          <w:rFonts w:ascii="Noor_Mitra" w:hAnsi="Noor_Mitra" w:cs="AL-Mohanad"/>
          <w:sz w:val="27"/>
          <w:szCs w:val="27"/>
          <w:rtl/>
        </w:rPr>
        <w:t xml:space="preserve"> و</w:t>
      </w:r>
      <w:r w:rsidR="00DE5E17" w:rsidRPr="00282AC9">
        <w:rPr>
          <w:rFonts w:cs="AL-Mohanad" w:hint="eastAsia"/>
          <w:rtl/>
        </w:rPr>
        <w:t>«</w:t>
      </w:r>
      <w:r w:rsidR="00DE5E17" w:rsidRPr="00282AC9">
        <w:rPr>
          <w:rFonts w:ascii="Noor_Mitra" w:hAnsi="Noor_Mitra" w:cs="AL-Mohanad"/>
          <w:sz w:val="27"/>
          <w:szCs w:val="27"/>
          <w:rtl/>
        </w:rPr>
        <w:t>الس</w:t>
      </w:r>
      <w:r w:rsidR="00DE5E17" w:rsidRPr="00282AC9">
        <w:rPr>
          <w:rFonts w:ascii="Noor_Mitra" w:hAnsi="Noor_Mitra" w:cs="AL-Mohanad" w:hint="cs"/>
          <w:sz w:val="27"/>
          <w:szCs w:val="27"/>
          <w:rtl/>
        </w:rPr>
        <w:t>َّ</w:t>
      </w:r>
      <w:r w:rsidRPr="00282AC9">
        <w:rPr>
          <w:rFonts w:ascii="Noor_Mitra" w:hAnsi="Noor_Mitra" w:cs="AL-Mohanad"/>
          <w:sz w:val="27"/>
          <w:szCs w:val="27"/>
          <w:rtl/>
        </w:rPr>
        <w:t>نَن</w:t>
      </w:r>
      <w:r w:rsidRPr="00282AC9">
        <w:rPr>
          <w:rFonts w:cs="AL-Mohanad" w:hint="eastAsia"/>
          <w:rtl/>
        </w:rPr>
        <w:t>»</w:t>
      </w:r>
      <w:r w:rsidRPr="00282AC9">
        <w:rPr>
          <w:rFonts w:ascii="Noor_Mitra" w:hAnsi="Noor_Mitra" w:cs="AL-Mohanad"/>
          <w:sz w:val="27"/>
          <w:szCs w:val="27"/>
          <w:rtl/>
        </w:rPr>
        <w:t xml:space="preserve">، </w:t>
      </w:r>
      <w:r w:rsidRPr="00282AC9">
        <w:rPr>
          <w:rFonts w:ascii="Noor_Mitra" w:hAnsi="Noor_Mitra" w:cs="AL-Mohanad" w:hint="cs"/>
          <w:sz w:val="27"/>
          <w:szCs w:val="27"/>
          <w:rtl/>
        </w:rPr>
        <w:t>فلا يمكن أن نميّ</w:t>
      </w:r>
      <w:r w:rsidR="00DE5E17" w:rsidRPr="00282AC9">
        <w:rPr>
          <w:rFonts w:ascii="Noor_Mitra" w:hAnsi="Noor_Mitra" w:cs="AL-Mohanad" w:hint="cs"/>
          <w:sz w:val="27"/>
          <w:szCs w:val="27"/>
          <w:rtl/>
        </w:rPr>
        <w:t>ِ</w:t>
      </w:r>
      <w:r w:rsidRPr="00282AC9">
        <w:rPr>
          <w:rFonts w:ascii="Noor_Mitra" w:hAnsi="Noor_Mitra" w:cs="AL-Mohanad" w:hint="cs"/>
          <w:sz w:val="27"/>
          <w:szCs w:val="27"/>
          <w:rtl/>
        </w:rPr>
        <w:t>ز بين الكلمتين في مثل هذه الحال</w:t>
      </w:r>
      <w:r w:rsidR="00DE5E17" w:rsidRPr="00282AC9">
        <w:rPr>
          <w:rFonts w:ascii="Noor_Mitra" w:hAnsi="Noor_Mitra" w:cs="AL-Mohanad" w:hint="cs"/>
          <w:sz w:val="27"/>
          <w:szCs w:val="27"/>
          <w:rtl/>
        </w:rPr>
        <w:t>،</w:t>
      </w:r>
      <w:r w:rsidRPr="00282AC9">
        <w:rPr>
          <w:rFonts w:ascii="Noor_Mitra" w:hAnsi="Noor_Mitra" w:cs="AL-Mohanad" w:hint="cs"/>
          <w:sz w:val="27"/>
          <w:szCs w:val="27"/>
          <w:rtl/>
        </w:rPr>
        <w:t xml:space="preserve"> وبالتالي </w:t>
      </w:r>
      <w:r w:rsidRPr="00282AC9">
        <w:rPr>
          <w:rFonts w:ascii="Noor_Mitra" w:hAnsi="Noor_Mitra" w:cs="AL-Mohanad"/>
          <w:sz w:val="27"/>
          <w:szCs w:val="27"/>
          <w:rtl/>
        </w:rPr>
        <w:t>لا يصحّ الاستشهاد به</w:t>
      </w:r>
      <w:r w:rsidRPr="00282AC9">
        <w:rPr>
          <w:rFonts w:ascii="Noor_Mitra" w:hAnsi="Noor_Mitra" w:cs="AL-Mohanad" w:hint="cs"/>
          <w:sz w:val="27"/>
          <w:szCs w:val="27"/>
          <w:rtl/>
        </w:rPr>
        <w:t>ذه الشواهد،</w:t>
      </w:r>
      <w:r w:rsidRPr="00282AC9">
        <w:rPr>
          <w:rFonts w:ascii="Noor_Mitra" w:hAnsi="Noor_Mitra" w:cs="AL-Mohanad"/>
          <w:sz w:val="27"/>
          <w:szCs w:val="27"/>
          <w:rtl/>
        </w:rPr>
        <w:t xml:space="preserve"> </w:t>
      </w:r>
      <w:r w:rsidR="00DE5E17" w:rsidRPr="00282AC9">
        <w:rPr>
          <w:rFonts w:ascii="Noor_Mitra" w:hAnsi="Noor_Mitra" w:cs="AL-Mohanad" w:hint="cs"/>
          <w:sz w:val="27"/>
          <w:szCs w:val="27"/>
          <w:rtl/>
        </w:rPr>
        <w:t>و</w:t>
      </w:r>
      <w:r w:rsidRPr="00282AC9">
        <w:rPr>
          <w:rFonts w:ascii="Noor_Mitra" w:hAnsi="Noor_Mitra" w:cs="AL-Mohanad"/>
          <w:sz w:val="27"/>
          <w:szCs w:val="27"/>
          <w:rtl/>
        </w:rPr>
        <w:t>خصوصا</w:t>
      </w:r>
      <w:r w:rsidRPr="00282AC9">
        <w:rPr>
          <w:rFonts w:ascii="Noor_Mitra" w:hAnsi="Noor_Mitra" w:cs="AL-Mohanad" w:hint="cs"/>
          <w:sz w:val="27"/>
          <w:szCs w:val="27"/>
          <w:rtl/>
        </w:rPr>
        <w:t>ً</w:t>
      </w:r>
      <w:r w:rsidRPr="00282AC9">
        <w:rPr>
          <w:rFonts w:ascii="Noor_Mitra" w:hAnsi="Noor_Mitra" w:cs="AL-Mohanad"/>
          <w:sz w:val="27"/>
          <w:szCs w:val="27"/>
          <w:rtl/>
        </w:rPr>
        <w:t xml:space="preserve"> للاقتراب المعنوي بين</w:t>
      </w:r>
      <w:r w:rsidRPr="00282AC9">
        <w:rPr>
          <w:rFonts w:ascii="Noor_Mitra" w:hAnsi="Noor_Mitra" w:cs="AL-Mohanad" w:hint="cs"/>
          <w:sz w:val="27"/>
          <w:szCs w:val="27"/>
          <w:rtl/>
        </w:rPr>
        <w:t xml:space="preserve"> الكلمتين</w:t>
      </w:r>
      <w:r w:rsidRPr="00282AC9">
        <w:rPr>
          <w:rFonts w:ascii="Noor_Mitra" w:hAnsi="Noor_Mitra" w:cs="AL-Mohanad"/>
          <w:sz w:val="27"/>
          <w:szCs w:val="27"/>
          <w:vertAlign w:val="superscript"/>
          <w:rtl/>
        </w:rPr>
        <w:t>(</w:t>
      </w:r>
      <w:r w:rsidRPr="00282AC9">
        <w:rPr>
          <w:rStyle w:val="af9"/>
          <w:rFonts w:ascii="Noor_Mitra" w:hAnsi="Noor_Mitra" w:cs="AL-Mohanad"/>
          <w:sz w:val="27"/>
          <w:szCs w:val="27"/>
          <w:rtl/>
        </w:rPr>
        <w:endnoteReference w:id="517"/>
      </w:r>
      <w:r w:rsidRPr="00282AC9">
        <w:rPr>
          <w:rFonts w:ascii="Noor_Mitra" w:hAnsi="Noor_Mitra" w:cs="AL-Mohanad"/>
          <w:sz w:val="27"/>
          <w:szCs w:val="27"/>
          <w:vertAlign w:val="superscript"/>
          <w:rtl/>
        </w:rPr>
        <w:t>)</w:t>
      </w:r>
      <w:r w:rsidR="00DE5E17" w:rsidRPr="00282AC9">
        <w:rPr>
          <w:rFonts w:ascii="Noor_Mitra" w:hAnsi="Noor_Mitra" w:cs="AL-Mohanad" w:hint="cs"/>
          <w:sz w:val="27"/>
          <w:szCs w:val="27"/>
          <w:rtl/>
        </w:rPr>
        <w:t>؛</w:t>
      </w:r>
      <w:r w:rsidRPr="00282AC9">
        <w:rPr>
          <w:rFonts w:ascii="Noor_Mitra" w:hAnsi="Noor_Mitra" w:cs="AL-Mohanad"/>
          <w:sz w:val="27"/>
          <w:szCs w:val="27"/>
          <w:rtl/>
        </w:rPr>
        <w:t xml:space="preserve"> ولأجل </w:t>
      </w:r>
      <w:r w:rsidRPr="00282AC9">
        <w:rPr>
          <w:rFonts w:ascii="Noor_Mitra" w:hAnsi="Noor_Mitra" w:cs="AL-Mohanad" w:hint="cs"/>
          <w:sz w:val="27"/>
          <w:szCs w:val="27"/>
          <w:rtl/>
        </w:rPr>
        <w:t xml:space="preserve">وجود </w:t>
      </w:r>
      <w:r w:rsidR="00DE5E17" w:rsidRPr="00282AC9">
        <w:rPr>
          <w:rFonts w:ascii="Noor_Mitra" w:hAnsi="Noor_Mitra" w:cs="AL-Mohanad" w:hint="cs"/>
          <w:sz w:val="27"/>
          <w:szCs w:val="27"/>
          <w:rtl/>
        </w:rPr>
        <w:t>عدّةٍ</w:t>
      </w:r>
      <w:r w:rsidRPr="00282AC9">
        <w:rPr>
          <w:rFonts w:ascii="Noor_Mitra" w:hAnsi="Noor_Mitra" w:cs="AL-Mohanad" w:hint="cs"/>
          <w:sz w:val="27"/>
          <w:szCs w:val="27"/>
          <w:rtl/>
        </w:rPr>
        <w:t xml:space="preserve"> من أوجه التشابه </w:t>
      </w:r>
      <w:r w:rsidRPr="00282AC9">
        <w:rPr>
          <w:rFonts w:ascii="Noor_Mitra" w:hAnsi="Noor_Mitra" w:cs="AL-Mohanad"/>
          <w:sz w:val="27"/>
          <w:szCs w:val="27"/>
          <w:rtl/>
        </w:rPr>
        <w:t>بين</w:t>
      </w:r>
      <w:r w:rsidRPr="00282AC9">
        <w:rPr>
          <w:rFonts w:ascii="Noor_Mitra" w:hAnsi="Noor_Mitra" w:cs="AL-Mohanad" w:hint="cs"/>
          <w:sz w:val="27"/>
          <w:szCs w:val="27"/>
          <w:rtl/>
        </w:rPr>
        <w:t>هما</w:t>
      </w:r>
      <w:r w:rsidRPr="00282AC9">
        <w:rPr>
          <w:rFonts w:ascii="Noor_Mitra" w:hAnsi="Noor_Mitra" w:cs="AL-Mohanad"/>
          <w:sz w:val="27"/>
          <w:szCs w:val="27"/>
          <w:vertAlign w:val="superscript"/>
          <w:rtl/>
        </w:rPr>
        <w:t>(</w:t>
      </w:r>
      <w:r w:rsidRPr="00282AC9">
        <w:rPr>
          <w:rStyle w:val="af9"/>
          <w:rFonts w:ascii="Noor_Mitra" w:hAnsi="Noor_Mitra" w:cs="AL-Mohanad"/>
          <w:sz w:val="27"/>
          <w:szCs w:val="27"/>
          <w:rtl/>
        </w:rPr>
        <w:endnoteReference w:id="518"/>
      </w:r>
      <w:r w:rsidRPr="00282AC9">
        <w:rPr>
          <w:rFonts w:ascii="Noor_Mitra" w:hAnsi="Noor_Mitra" w:cs="AL-Mohanad"/>
          <w:sz w:val="27"/>
          <w:szCs w:val="27"/>
          <w:vertAlign w:val="superscript"/>
          <w:rtl/>
        </w:rPr>
        <w:t>)</w:t>
      </w:r>
      <w:r w:rsidRPr="00282AC9">
        <w:rPr>
          <w:rFonts w:ascii="Noor_Mitra" w:hAnsi="Noor_Mitra" w:cs="AL-Mohanad" w:hint="cs"/>
          <w:sz w:val="27"/>
          <w:szCs w:val="27"/>
          <w:rtl/>
        </w:rPr>
        <w:t>. نعم، رغم هذه الإشكالية أيضا</w:t>
      </w:r>
      <w:r w:rsidR="00DE5E17" w:rsidRPr="00282AC9">
        <w:rPr>
          <w:rFonts w:ascii="Noor_Mitra" w:hAnsi="Noor_Mitra" w:cs="AL-Mohanad" w:hint="cs"/>
          <w:sz w:val="27"/>
          <w:szCs w:val="27"/>
          <w:rtl/>
        </w:rPr>
        <w:t>ً</w:t>
      </w:r>
      <w:r w:rsidRPr="00282AC9">
        <w:rPr>
          <w:rFonts w:ascii="Noor_Mitra" w:hAnsi="Noor_Mitra" w:cs="AL-Mohanad" w:hint="cs"/>
          <w:sz w:val="27"/>
          <w:szCs w:val="27"/>
          <w:rtl/>
        </w:rPr>
        <w:t xml:space="preserve"> </w:t>
      </w:r>
      <w:r w:rsidRPr="00282AC9">
        <w:rPr>
          <w:rFonts w:ascii="Noor_Mitra" w:hAnsi="Noor_Mitra" w:cs="AL-Mohanad"/>
          <w:sz w:val="27"/>
          <w:szCs w:val="27"/>
          <w:rtl/>
        </w:rPr>
        <w:t>يمكن استخدام هذه الشواهد على مستوى قرينةٍ مؤي</w:t>
      </w:r>
      <w:r w:rsidR="00DE5E17" w:rsidRPr="00282AC9">
        <w:rPr>
          <w:rFonts w:ascii="Noor_Mitra" w:hAnsi="Noor_Mitra" w:cs="AL-Mohanad" w:hint="cs"/>
          <w:sz w:val="27"/>
          <w:szCs w:val="27"/>
          <w:rtl/>
        </w:rPr>
        <w:t>ّ</w:t>
      </w:r>
      <w:r w:rsidRPr="00282AC9">
        <w:rPr>
          <w:rFonts w:ascii="Noor_Mitra" w:hAnsi="Noor_Mitra" w:cs="AL-Mohanad"/>
          <w:sz w:val="27"/>
          <w:szCs w:val="27"/>
          <w:rtl/>
        </w:rPr>
        <w:t>دةٍ</w:t>
      </w:r>
      <w:r w:rsidR="00DE5E17" w:rsidRPr="00282AC9">
        <w:rPr>
          <w:rFonts w:ascii="Noor_Mitra" w:hAnsi="Noor_Mitra" w:cs="AL-Mohanad" w:hint="cs"/>
          <w:sz w:val="27"/>
          <w:szCs w:val="27"/>
          <w:rtl/>
        </w:rPr>
        <w:t>،</w:t>
      </w:r>
      <w:r w:rsidRPr="00282AC9">
        <w:rPr>
          <w:rFonts w:ascii="Noor_Mitra" w:hAnsi="Noor_Mitra" w:cs="AL-Mohanad"/>
          <w:sz w:val="27"/>
          <w:szCs w:val="27"/>
          <w:rtl/>
        </w:rPr>
        <w:t xml:space="preserve"> إلى جانب شواهد أخرى.</w:t>
      </w:r>
      <w:r w:rsidRPr="00282AC9">
        <w:rPr>
          <w:rFonts w:ascii="Noor_Mitra" w:hAnsi="Noor_Mitra" w:cs="AL-Mohanad" w:hint="cs"/>
          <w:sz w:val="27"/>
          <w:szCs w:val="27"/>
          <w:rtl/>
        </w:rPr>
        <w:t xml:space="preserve"> </w:t>
      </w:r>
    </w:p>
    <w:p w:rsidR="00464852" w:rsidRPr="00282AC9" w:rsidRDefault="00464852" w:rsidP="0073600A">
      <w:pPr>
        <w:pStyle w:val="afc"/>
        <w:rPr>
          <w:rFonts w:ascii="Noor_Mitra" w:hAnsi="Noor_Mitra" w:cs="AL-Mohanad"/>
          <w:sz w:val="27"/>
          <w:szCs w:val="27"/>
        </w:rPr>
      </w:pPr>
      <w:r w:rsidRPr="00282AC9">
        <w:rPr>
          <w:rFonts w:ascii="Noor_Mitra" w:hAnsi="Noor_Mitra" w:cs="AL-Mohanad"/>
          <w:sz w:val="27"/>
          <w:szCs w:val="27"/>
          <w:rtl/>
          <w:lang w:bidi="fa-IR"/>
        </w:rPr>
        <w:t>و</w:t>
      </w:r>
      <w:r w:rsidRPr="00282AC9">
        <w:rPr>
          <w:rFonts w:ascii="Noor_Mitra" w:hAnsi="Noor_Mitra" w:cs="AL-Mohanad" w:hint="cs"/>
          <w:sz w:val="27"/>
          <w:szCs w:val="27"/>
          <w:rtl/>
          <w:lang w:bidi="fa-IR"/>
        </w:rPr>
        <w:t>على أي</w:t>
      </w:r>
      <w:r w:rsidR="00DE5E17"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حال</w:t>
      </w:r>
      <w:r w:rsidR="00DE5E17"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إن هذه النقطة هام</w:t>
      </w:r>
      <w:r w:rsidR="00DE5E17" w:rsidRPr="00282AC9">
        <w:rPr>
          <w:rFonts w:ascii="Noor_Mitra" w:hAnsi="Noor_Mitra" w:cs="AL-Mohanad" w:hint="cs"/>
          <w:sz w:val="27"/>
          <w:szCs w:val="27"/>
          <w:rtl/>
          <w:lang w:bidi="fa-IR"/>
        </w:rPr>
        <w:t>ّ</w:t>
      </w:r>
      <w:r w:rsidRPr="00282AC9">
        <w:rPr>
          <w:rFonts w:ascii="Noor_Mitra" w:hAnsi="Noor_Mitra" w:cs="AL-Mohanad"/>
          <w:sz w:val="27"/>
          <w:szCs w:val="27"/>
          <w:rtl/>
          <w:lang w:bidi="fa-IR"/>
        </w:rPr>
        <w:t>ة</w:t>
      </w:r>
      <w:r w:rsidR="00DE5E17"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w:t>
      </w:r>
      <w:r w:rsidR="00DE5E17" w:rsidRPr="00282AC9">
        <w:rPr>
          <w:rFonts w:ascii="Noor_Mitra" w:hAnsi="Noor_Mitra" w:cs="AL-Mohanad" w:hint="cs"/>
          <w:sz w:val="27"/>
          <w:szCs w:val="27"/>
          <w:rtl/>
          <w:lang w:bidi="fa-IR"/>
        </w:rPr>
        <w:t>و</w:t>
      </w:r>
      <w:r w:rsidRPr="00282AC9">
        <w:rPr>
          <w:rFonts w:ascii="Noor_Mitra" w:hAnsi="Noor_Mitra" w:cs="AL-Mohanad"/>
          <w:sz w:val="27"/>
          <w:szCs w:val="27"/>
          <w:rtl/>
          <w:lang w:bidi="fa-IR"/>
        </w:rPr>
        <w:t xml:space="preserve">يجب أن </w:t>
      </w:r>
      <w:r w:rsidRPr="00282AC9">
        <w:rPr>
          <w:rFonts w:ascii="Noor_Mitra" w:hAnsi="Noor_Mitra" w:cs="AL-Mohanad" w:hint="cs"/>
          <w:sz w:val="27"/>
          <w:szCs w:val="27"/>
          <w:rtl/>
          <w:lang w:bidi="fa-IR"/>
        </w:rPr>
        <w:t>ت</w:t>
      </w:r>
      <w:r w:rsidR="00DE5E17"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ؤخ</w:t>
      </w:r>
      <w:r w:rsidR="00DE5E17"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ذ بعين الاعتبار</w:t>
      </w:r>
      <w:r w:rsidRPr="00282AC9">
        <w:rPr>
          <w:rFonts w:ascii="Noor_Mitra" w:hAnsi="Noor_Mitra" w:cs="AL-Mohanad"/>
          <w:sz w:val="27"/>
          <w:szCs w:val="27"/>
          <w:rtl/>
          <w:lang w:bidi="fa-IR"/>
        </w:rPr>
        <w:t xml:space="preserve"> في كل</w:t>
      </w:r>
      <w:r w:rsidR="00DE5E17"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هذه المقالة</w:t>
      </w:r>
      <w:r w:rsidR="00DE5E17"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ور</w:t>
      </w:r>
      <w:r w:rsidR="00DE5E17" w:rsidRPr="00282AC9">
        <w:rPr>
          <w:rFonts w:ascii="Noor_Mitra" w:hAnsi="Noor_Mitra" w:cs="AL-Mohanad" w:hint="cs"/>
          <w:sz w:val="27"/>
          <w:szCs w:val="27"/>
          <w:rtl/>
          <w:lang w:bidi="fa-IR"/>
        </w:rPr>
        <w:t>ُ</w:t>
      </w:r>
      <w:r w:rsidRPr="00282AC9">
        <w:rPr>
          <w:rFonts w:ascii="Noor_Mitra" w:hAnsi="Noor_Mitra" w:cs="AL-Mohanad"/>
          <w:sz w:val="27"/>
          <w:szCs w:val="27"/>
          <w:rtl/>
          <w:lang w:bidi="fa-IR"/>
        </w:rPr>
        <w:t>ب</w:t>
      </w:r>
      <w:r w:rsidR="00DE5E17" w:rsidRPr="00282AC9">
        <w:rPr>
          <w:rFonts w:ascii="Noor_Mitra" w:hAnsi="Noor_Mitra" w:cs="AL-Mohanad" w:hint="cs"/>
          <w:sz w:val="27"/>
          <w:szCs w:val="27"/>
          <w:rtl/>
          <w:lang w:bidi="fa-IR"/>
        </w:rPr>
        <w:t>َ</w:t>
      </w:r>
      <w:r w:rsidRPr="00282AC9">
        <w:rPr>
          <w:rFonts w:ascii="Noor_Mitra" w:hAnsi="Noor_Mitra" w:cs="AL-Mohanad"/>
          <w:sz w:val="27"/>
          <w:szCs w:val="27"/>
          <w:rtl/>
          <w:lang w:bidi="fa-IR"/>
        </w:rPr>
        <w:t>ما لا أكرّ</w:t>
      </w:r>
      <w:r w:rsidR="00DE5E17" w:rsidRPr="00282AC9">
        <w:rPr>
          <w:rFonts w:ascii="Noor_Mitra" w:hAnsi="Noor_Mitra" w:cs="AL-Mohanad" w:hint="cs"/>
          <w:sz w:val="27"/>
          <w:szCs w:val="27"/>
          <w:rtl/>
          <w:lang w:bidi="fa-IR"/>
        </w:rPr>
        <w:t>ِ</w:t>
      </w:r>
      <w:r w:rsidRPr="00282AC9">
        <w:rPr>
          <w:rFonts w:ascii="Noor_Mitra" w:hAnsi="Noor_Mitra" w:cs="AL-Mohanad"/>
          <w:sz w:val="27"/>
          <w:szCs w:val="27"/>
          <w:rtl/>
          <w:lang w:bidi="fa-IR"/>
        </w:rPr>
        <w:t>رها في كلّ الموارد التالية.</w:t>
      </w:r>
    </w:p>
    <w:p w:rsidR="00464852" w:rsidRPr="00282AC9" w:rsidRDefault="00464852" w:rsidP="0073600A">
      <w:pPr>
        <w:pStyle w:val="afc"/>
        <w:spacing w:line="410" w:lineRule="exact"/>
        <w:rPr>
          <w:rFonts w:ascii="Noor_Mitra" w:hAnsi="Noor_Mitra" w:cs="AL-Mohanad"/>
          <w:sz w:val="27"/>
          <w:szCs w:val="27"/>
          <w:rtl/>
        </w:rPr>
      </w:pPr>
      <w:r w:rsidRPr="00282AC9">
        <w:rPr>
          <w:rFonts w:ascii="Noor_Mitra" w:hAnsi="Noor_Mitra" w:cs="AL-Mohanad" w:hint="cs"/>
          <w:sz w:val="27"/>
          <w:szCs w:val="27"/>
          <w:rtl/>
        </w:rPr>
        <w:t>وفي ختام المقد</w:t>
      </w:r>
      <w:r w:rsidR="00DE5E17" w:rsidRPr="00282AC9">
        <w:rPr>
          <w:rFonts w:ascii="Noor_Mitra" w:hAnsi="Noor_Mitra" w:cs="AL-Mohanad" w:hint="cs"/>
          <w:sz w:val="27"/>
          <w:szCs w:val="27"/>
          <w:rtl/>
        </w:rPr>
        <w:t>ّ</w:t>
      </w:r>
      <w:r w:rsidRPr="00282AC9">
        <w:rPr>
          <w:rFonts w:ascii="Noor_Mitra" w:hAnsi="Noor_Mitra" w:cs="AL-Mohanad" w:hint="cs"/>
          <w:sz w:val="27"/>
          <w:szCs w:val="27"/>
          <w:rtl/>
        </w:rPr>
        <w:t>مة ينبغي أن أشير إلى هذه النقطة أيضا</w:t>
      </w:r>
      <w:r w:rsidR="00DE5E17" w:rsidRPr="00282AC9">
        <w:rPr>
          <w:rFonts w:ascii="Noor_Mitra" w:hAnsi="Noor_Mitra" w:cs="AL-Mohanad" w:hint="cs"/>
          <w:sz w:val="27"/>
          <w:szCs w:val="27"/>
          <w:rtl/>
        </w:rPr>
        <w:t>ً، وهي</w:t>
      </w:r>
      <w:r w:rsidRPr="00282AC9">
        <w:rPr>
          <w:rFonts w:ascii="Noor_Mitra" w:hAnsi="Noor_Mitra" w:cs="AL-Mohanad" w:hint="cs"/>
          <w:sz w:val="27"/>
          <w:szCs w:val="27"/>
          <w:rtl/>
        </w:rPr>
        <w:t xml:space="preserve"> أن محل</w:t>
      </w:r>
      <w:r w:rsidR="00DE5E17" w:rsidRPr="00282AC9">
        <w:rPr>
          <w:rFonts w:ascii="Noor_Mitra" w:hAnsi="Noor_Mitra" w:cs="AL-Mohanad" w:hint="cs"/>
          <w:sz w:val="27"/>
          <w:szCs w:val="27"/>
          <w:rtl/>
        </w:rPr>
        <w:t>ّ</w:t>
      </w:r>
      <w:r w:rsidRPr="00282AC9">
        <w:rPr>
          <w:rFonts w:ascii="Noor_Mitra" w:hAnsi="Noor_Mitra" w:cs="AL-Mohanad" w:hint="cs"/>
          <w:sz w:val="27"/>
          <w:szCs w:val="27"/>
          <w:rtl/>
        </w:rPr>
        <w:t xml:space="preserve"> الاستشهاد في أكثر الشواهد في هذه المقالة جَلِي</w:t>
      </w:r>
      <w:r w:rsidR="00AD3C31" w:rsidRPr="00282AC9">
        <w:rPr>
          <w:rFonts w:ascii="Noor_Mitra" w:hAnsi="Noor_Mitra" w:cs="AL-Mohanad" w:hint="cs"/>
          <w:sz w:val="27"/>
          <w:szCs w:val="27"/>
          <w:rtl/>
        </w:rPr>
        <w:t>ٌّ</w:t>
      </w:r>
      <w:r w:rsidRPr="00282AC9">
        <w:rPr>
          <w:rFonts w:ascii="Noor_Mitra" w:hAnsi="Noor_Mitra" w:cs="AL-Mohanad" w:hint="cs"/>
          <w:sz w:val="27"/>
          <w:szCs w:val="27"/>
          <w:rtl/>
        </w:rPr>
        <w:t xml:space="preserve"> وواضح</w:t>
      </w:r>
      <w:r w:rsidR="00DE5E17" w:rsidRPr="00282AC9">
        <w:rPr>
          <w:rFonts w:ascii="Noor_Mitra" w:hAnsi="Noor_Mitra" w:cs="AL-Mohanad" w:hint="cs"/>
          <w:sz w:val="27"/>
          <w:szCs w:val="27"/>
          <w:rtl/>
        </w:rPr>
        <w:t>ٌ،</w:t>
      </w:r>
      <w:r w:rsidRPr="00282AC9">
        <w:rPr>
          <w:rFonts w:ascii="Noor_Mitra" w:hAnsi="Noor_Mitra" w:cs="AL-Mohanad" w:hint="cs"/>
          <w:sz w:val="27"/>
          <w:szCs w:val="27"/>
          <w:rtl/>
        </w:rPr>
        <w:t xml:space="preserve"> ولأجل ذلك رأي</w:t>
      </w:r>
      <w:r w:rsidR="00DE5E17" w:rsidRPr="00282AC9">
        <w:rPr>
          <w:rFonts w:ascii="Noor_Mitra" w:hAnsi="Noor_Mitra" w:cs="AL-Mohanad" w:hint="cs"/>
          <w:sz w:val="27"/>
          <w:szCs w:val="27"/>
          <w:rtl/>
        </w:rPr>
        <w:t>ْ</w:t>
      </w:r>
      <w:r w:rsidRPr="00282AC9">
        <w:rPr>
          <w:rFonts w:ascii="Noor_Mitra" w:hAnsi="Noor_Mitra" w:cs="AL-Mohanad" w:hint="cs"/>
          <w:sz w:val="27"/>
          <w:szCs w:val="27"/>
          <w:rtl/>
        </w:rPr>
        <w:t>ت</w:t>
      </w:r>
      <w:r w:rsidR="00DE5E17" w:rsidRPr="00282AC9">
        <w:rPr>
          <w:rFonts w:ascii="Noor_Mitra" w:hAnsi="Noor_Mitra" w:cs="AL-Mohanad" w:hint="cs"/>
          <w:sz w:val="27"/>
          <w:szCs w:val="27"/>
          <w:rtl/>
        </w:rPr>
        <w:t>ُ</w:t>
      </w:r>
      <w:r w:rsidRPr="00282AC9">
        <w:rPr>
          <w:rFonts w:ascii="Noor_Mitra" w:hAnsi="Noor_Mitra" w:cs="AL-Mohanad" w:hint="cs"/>
          <w:sz w:val="27"/>
          <w:szCs w:val="27"/>
          <w:rtl/>
        </w:rPr>
        <w:t xml:space="preserve"> أن أتجن</w:t>
      </w:r>
      <w:r w:rsidR="00DE5E17" w:rsidRPr="00282AC9">
        <w:rPr>
          <w:rFonts w:ascii="Noor_Mitra" w:hAnsi="Noor_Mitra" w:cs="AL-Mohanad" w:hint="cs"/>
          <w:sz w:val="27"/>
          <w:szCs w:val="27"/>
          <w:rtl/>
        </w:rPr>
        <w:t>َّ</w:t>
      </w:r>
      <w:r w:rsidRPr="00282AC9">
        <w:rPr>
          <w:rFonts w:ascii="Noor_Mitra" w:hAnsi="Noor_Mitra" w:cs="AL-Mohanad" w:hint="cs"/>
          <w:sz w:val="27"/>
          <w:szCs w:val="27"/>
          <w:rtl/>
        </w:rPr>
        <w:t>ب التوضيح</w:t>
      </w:r>
      <w:r w:rsidR="00DE5E17" w:rsidRPr="00282AC9">
        <w:rPr>
          <w:rFonts w:ascii="Noor_Mitra" w:hAnsi="Noor_Mitra" w:cs="AL-Mohanad" w:hint="cs"/>
          <w:sz w:val="27"/>
          <w:szCs w:val="27"/>
          <w:rtl/>
        </w:rPr>
        <w:t>،</w:t>
      </w:r>
      <w:r w:rsidRPr="00282AC9">
        <w:rPr>
          <w:rFonts w:ascii="Noor_Mitra" w:hAnsi="Noor_Mitra" w:cs="AL-Mohanad" w:hint="cs"/>
          <w:sz w:val="27"/>
          <w:szCs w:val="27"/>
          <w:rtl/>
        </w:rPr>
        <w:t xml:space="preserve"> إلا</w:t>
      </w:r>
      <w:r w:rsidR="00DE5E17" w:rsidRPr="00282AC9">
        <w:rPr>
          <w:rFonts w:ascii="Noor_Mitra" w:hAnsi="Noor_Mitra" w:cs="AL-Mohanad" w:hint="cs"/>
          <w:sz w:val="27"/>
          <w:szCs w:val="27"/>
          <w:rtl/>
        </w:rPr>
        <w:t>ّ</w:t>
      </w:r>
      <w:r w:rsidRPr="00282AC9">
        <w:rPr>
          <w:rFonts w:ascii="Noor_Mitra" w:hAnsi="Noor_Mitra" w:cs="AL-Mohanad" w:hint="cs"/>
          <w:sz w:val="27"/>
          <w:szCs w:val="27"/>
          <w:rtl/>
        </w:rPr>
        <w:t xml:space="preserve"> في بعض الموارد التي كانت بحاجة</w:t>
      </w:r>
      <w:r w:rsidR="00DE5E17" w:rsidRPr="00282AC9">
        <w:rPr>
          <w:rFonts w:ascii="Noor_Mitra" w:hAnsi="Noor_Mitra" w:cs="AL-Mohanad" w:hint="cs"/>
          <w:sz w:val="27"/>
          <w:szCs w:val="27"/>
          <w:rtl/>
        </w:rPr>
        <w:t>ٍ</w:t>
      </w:r>
      <w:r w:rsidRPr="00282AC9">
        <w:rPr>
          <w:rFonts w:ascii="Noor_Mitra" w:hAnsi="Noor_Mitra" w:cs="AL-Mohanad" w:hint="cs"/>
          <w:sz w:val="27"/>
          <w:szCs w:val="27"/>
          <w:rtl/>
        </w:rPr>
        <w:t xml:space="preserve"> إلى بعض التعليقات. </w:t>
      </w:r>
    </w:p>
    <w:p w:rsidR="0073600A" w:rsidRPr="00282AC9" w:rsidRDefault="0073600A" w:rsidP="0073600A">
      <w:pPr>
        <w:spacing w:line="420" w:lineRule="exact"/>
        <w:rPr>
          <w:rtl/>
        </w:rPr>
      </w:pPr>
    </w:p>
    <w:p w:rsidR="00A55697" w:rsidRPr="00282AC9" w:rsidRDefault="00A55697" w:rsidP="00490480">
      <w:pPr>
        <w:pStyle w:val="31"/>
        <w:rPr>
          <w:color w:val="auto"/>
          <w:rtl/>
        </w:rPr>
      </w:pPr>
      <w:r w:rsidRPr="00282AC9">
        <w:rPr>
          <w:rFonts w:hint="eastAsia"/>
          <w:color w:val="auto"/>
          <w:rtl/>
        </w:rPr>
        <w:t>«</w:t>
      </w:r>
      <w:r w:rsidRPr="00282AC9">
        <w:rPr>
          <w:color w:val="auto"/>
          <w:rtl/>
        </w:rPr>
        <w:t>الس</w:t>
      </w:r>
      <w:r w:rsidRPr="00282AC9">
        <w:rPr>
          <w:rFonts w:hint="cs"/>
          <w:color w:val="auto"/>
          <w:rtl/>
        </w:rPr>
        <w:t>ُّ</w:t>
      </w:r>
      <w:r w:rsidRPr="00282AC9">
        <w:rPr>
          <w:color w:val="auto"/>
          <w:rtl/>
        </w:rPr>
        <w:t>نَّة</w:t>
      </w:r>
      <w:r w:rsidRPr="00282AC9">
        <w:rPr>
          <w:rFonts w:hint="eastAsia"/>
          <w:color w:val="auto"/>
          <w:rtl/>
        </w:rPr>
        <w:t>»</w:t>
      </w:r>
      <w:r w:rsidRPr="00282AC9">
        <w:rPr>
          <w:rFonts w:hint="cs"/>
          <w:color w:val="auto"/>
          <w:rtl/>
        </w:rPr>
        <w:t xml:space="preserve"> في </w:t>
      </w:r>
      <w:r w:rsidR="00490480" w:rsidRPr="00282AC9">
        <w:rPr>
          <w:rFonts w:hint="cs"/>
          <w:color w:val="auto"/>
          <w:rtl/>
        </w:rPr>
        <w:t>النصوص</w:t>
      </w:r>
      <w:r w:rsidR="00464852" w:rsidRPr="00282AC9">
        <w:rPr>
          <w:color w:val="auto"/>
          <w:rtl/>
        </w:rPr>
        <w:t xml:space="preserve"> العربي</w:t>
      </w:r>
      <w:r w:rsidR="00DE5E17" w:rsidRPr="00282AC9">
        <w:rPr>
          <w:rFonts w:hint="cs"/>
          <w:color w:val="auto"/>
          <w:rtl/>
        </w:rPr>
        <w:t>ّ</w:t>
      </w:r>
      <w:r w:rsidRPr="00282AC9">
        <w:rPr>
          <w:color w:val="auto"/>
          <w:rtl/>
        </w:rPr>
        <w:t>ة الأصيلة</w:t>
      </w:r>
    </w:p>
    <w:p w:rsidR="00464852" w:rsidRPr="00282AC9" w:rsidRDefault="00A55697" w:rsidP="001332DF">
      <w:pPr>
        <w:pStyle w:val="31"/>
        <w:rPr>
          <w:b/>
          <w:color w:val="auto"/>
          <w:rtl/>
        </w:rPr>
      </w:pPr>
      <w:r w:rsidRPr="00282AC9">
        <w:rPr>
          <w:rFonts w:hint="cs"/>
          <w:color w:val="auto"/>
          <w:rtl/>
        </w:rPr>
        <w:t xml:space="preserve">1ـ </w:t>
      </w:r>
      <w:r w:rsidR="001332DF" w:rsidRPr="00282AC9">
        <w:rPr>
          <w:rFonts w:hint="cs"/>
          <w:color w:val="auto"/>
          <w:rtl/>
        </w:rPr>
        <w:t>إلى أواسط</w:t>
      </w:r>
      <w:r w:rsidR="00464852" w:rsidRPr="00282AC9">
        <w:rPr>
          <w:color w:val="auto"/>
          <w:rtl/>
        </w:rPr>
        <w:t xml:space="preserve"> القرن الأو</w:t>
      </w:r>
      <w:r w:rsidR="00DE5E17" w:rsidRPr="00282AC9">
        <w:rPr>
          <w:rFonts w:hint="cs"/>
          <w:color w:val="auto"/>
          <w:rtl/>
        </w:rPr>
        <w:t>ّ</w:t>
      </w:r>
      <w:r w:rsidR="00464852" w:rsidRPr="00282AC9">
        <w:rPr>
          <w:color w:val="auto"/>
          <w:rtl/>
        </w:rPr>
        <w:t>ل الهجري</w:t>
      </w:r>
      <w:r w:rsidR="00DE5E17" w:rsidRPr="00282AC9">
        <w:rPr>
          <w:rFonts w:hint="cs"/>
          <w:color w:val="auto"/>
          <w:rtl/>
        </w:rPr>
        <w:t>ّ</w:t>
      </w:r>
    </w:p>
    <w:p w:rsidR="00464852" w:rsidRPr="00282AC9" w:rsidRDefault="001332DF" w:rsidP="00D1080C">
      <w:pPr>
        <w:pStyle w:val="31"/>
        <w:spacing w:line="400" w:lineRule="exact"/>
        <w:rPr>
          <w:b/>
          <w:color w:val="auto"/>
          <w:rtl/>
        </w:rPr>
      </w:pPr>
      <w:r w:rsidRPr="00282AC9">
        <w:rPr>
          <w:rFonts w:hint="cs"/>
          <w:b/>
          <w:color w:val="auto"/>
          <w:rtl/>
        </w:rPr>
        <w:t xml:space="preserve">أـ </w:t>
      </w:r>
      <w:r w:rsidR="00464852" w:rsidRPr="00282AC9">
        <w:rPr>
          <w:b/>
          <w:color w:val="auto"/>
          <w:rtl/>
        </w:rPr>
        <w:t>في أحاديث أهل البيت</w:t>
      </w:r>
      <w:r w:rsidR="00876ECA" w:rsidRPr="00282AC9">
        <w:rPr>
          <w:rFonts w:cs="Mosawi" w:hint="cs"/>
          <w:color w:val="auto"/>
          <w:sz w:val="23"/>
          <w:szCs w:val="23"/>
          <w:rtl/>
        </w:rPr>
        <w:t>^</w:t>
      </w:r>
      <w:r w:rsidR="00464852" w:rsidRPr="00282AC9">
        <w:rPr>
          <w:color w:val="auto"/>
          <w:sz w:val="26"/>
          <w:vertAlign w:val="superscript"/>
          <w:rtl/>
        </w:rPr>
        <w:t>(</w:t>
      </w:r>
      <w:r w:rsidR="00464852" w:rsidRPr="00282AC9">
        <w:rPr>
          <w:rStyle w:val="af9"/>
          <w:rFonts w:ascii="Noor_Mitra" w:hAnsi="Noor_Mitra"/>
          <w:color w:val="auto"/>
          <w:sz w:val="26"/>
          <w:rtl/>
        </w:rPr>
        <w:endnoteReference w:id="519"/>
      </w:r>
      <w:r w:rsidR="00464852" w:rsidRPr="00282AC9">
        <w:rPr>
          <w:color w:val="auto"/>
          <w:sz w:val="26"/>
          <w:vertAlign w:val="superscript"/>
          <w:rtl/>
        </w:rPr>
        <w:t>)</w:t>
      </w:r>
    </w:p>
    <w:p w:rsidR="00464852" w:rsidRPr="00282AC9" w:rsidRDefault="00B40784" w:rsidP="0073600A">
      <w:pPr>
        <w:pStyle w:val="afc"/>
        <w:rPr>
          <w:rFonts w:ascii="Noor_Mitra" w:hAnsi="Noor_Mitra" w:cs="AL-Mohanad"/>
          <w:sz w:val="27"/>
          <w:szCs w:val="27"/>
          <w:rtl/>
          <w:lang w:bidi="fa-IR"/>
        </w:rPr>
      </w:pPr>
      <w:r w:rsidRPr="00282AC9">
        <w:rPr>
          <w:rFonts w:ascii="Noor_Mitra" w:hAnsi="Noor_Mitra" w:cs="AL-Mohanad" w:hint="cs"/>
          <w:sz w:val="27"/>
          <w:szCs w:val="27"/>
          <w:rtl/>
        </w:rPr>
        <w:t xml:space="preserve">1ـ </w:t>
      </w:r>
      <w:r w:rsidR="00464852" w:rsidRPr="00282AC9">
        <w:rPr>
          <w:rFonts w:ascii="Noor_Mitra" w:hAnsi="Noor_Mitra" w:cs="AL-Mohanad"/>
          <w:sz w:val="27"/>
          <w:szCs w:val="27"/>
          <w:rtl/>
        </w:rPr>
        <w:t>من خطبة</w:t>
      </w:r>
      <w:r w:rsidR="00DE5E17" w:rsidRPr="00282AC9">
        <w:rPr>
          <w:rFonts w:ascii="Noor_Mitra" w:hAnsi="Noor_Mitra" w:cs="AL-Mohanad" w:hint="cs"/>
          <w:sz w:val="27"/>
          <w:szCs w:val="27"/>
          <w:rtl/>
        </w:rPr>
        <w:t>ٍ</w:t>
      </w:r>
      <w:r w:rsidR="00464852" w:rsidRPr="00282AC9">
        <w:rPr>
          <w:rFonts w:ascii="Noor_Mitra" w:hAnsi="Noor_Mitra" w:cs="AL-Mohanad"/>
          <w:sz w:val="27"/>
          <w:szCs w:val="27"/>
          <w:rtl/>
        </w:rPr>
        <w:t xml:space="preserve"> منقولة عن أمير المؤمنين علي</w:t>
      </w:r>
      <w:r w:rsidR="00DE5E17" w:rsidRPr="00282AC9">
        <w:rPr>
          <w:rFonts w:ascii="Noor_Mitra" w:hAnsi="Noor_Mitra" w:cs="AL-Mohanad" w:hint="cs"/>
          <w:sz w:val="27"/>
          <w:szCs w:val="27"/>
          <w:rtl/>
        </w:rPr>
        <w:t>ّ</w:t>
      </w:r>
      <w:r w:rsidR="009A2A04" w:rsidRPr="00282AC9">
        <w:rPr>
          <w:rFonts w:ascii="Noor_Mitra" w:hAnsi="Noor_Mitra" w:cs="Mosawi"/>
          <w:sz w:val="22"/>
          <w:szCs w:val="22"/>
          <w:rtl/>
        </w:rPr>
        <w:t>×</w:t>
      </w:r>
      <w:r w:rsidR="00464852" w:rsidRPr="00282AC9">
        <w:rPr>
          <w:rFonts w:ascii="Noor_Mitra" w:hAnsi="Noor_Mitra" w:cs="AL-Mohanad"/>
          <w:sz w:val="27"/>
          <w:szCs w:val="27"/>
          <w:rtl/>
        </w:rPr>
        <w:t xml:space="preserve">: </w:t>
      </w:r>
      <w:r w:rsidR="00464852" w:rsidRPr="00282AC9">
        <w:rPr>
          <w:rFonts w:cs="AL-Mohanad" w:hint="eastAsia"/>
          <w:rtl/>
          <w:lang w:bidi="fa-IR"/>
        </w:rPr>
        <w:t>«</w:t>
      </w:r>
      <w:r w:rsidR="00464852" w:rsidRPr="00282AC9">
        <w:rPr>
          <w:rFonts w:ascii="Noor_Mitra" w:hAnsi="Noor_Mitra" w:cs="AL-Mohanad"/>
          <w:sz w:val="27"/>
          <w:szCs w:val="27"/>
          <w:rtl/>
          <w:lang w:bidi="fa-IR"/>
        </w:rPr>
        <w:t>وذهلوا في‏ السكرة على‏ سُنّةٍ من آل فرعون</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من منقطع إلى الدنيا راكن</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أو مفارق للدين مباين</w:t>
      </w:r>
      <w:r w:rsidR="00464852" w:rsidRPr="00282AC9">
        <w:rPr>
          <w:rFonts w:ascii="Noor_Mitra" w:hAnsi="Noor_Mitra" w:cs="AL-Mohanad"/>
          <w:sz w:val="27"/>
          <w:szCs w:val="27"/>
          <w:rtl/>
          <w:lang w:bidi="fa-IR"/>
        </w:rPr>
        <w:t>‏</w:t>
      </w:r>
      <w:r w:rsidR="00464852" w:rsidRPr="00282AC9">
        <w:rPr>
          <w:rFonts w:cs="AL-Mohanad" w:hint="eastAsia"/>
          <w:rtl/>
        </w:rPr>
        <w:t>»</w:t>
      </w:r>
      <w:r w:rsidR="00464852" w:rsidRPr="00282AC9">
        <w:rPr>
          <w:rFonts w:ascii="Noor_Mitra" w:hAnsi="Noor_Mitra" w:cs="AL-Mohanad"/>
          <w:sz w:val="27"/>
          <w:szCs w:val="27"/>
          <w:vertAlign w:val="superscript"/>
          <w:rtl/>
          <w:lang w:bidi="fa-IR"/>
        </w:rPr>
        <w:t>(</w:t>
      </w:r>
      <w:r w:rsidR="00464852" w:rsidRPr="00282AC9">
        <w:rPr>
          <w:rStyle w:val="af9"/>
          <w:rFonts w:ascii="Noor_Mitra" w:hAnsi="Noor_Mitra" w:cs="AL-Mohanad"/>
          <w:sz w:val="27"/>
          <w:szCs w:val="27"/>
          <w:rtl/>
          <w:lang w:bidi="fa-IR"/>
        </w:rPr>
        <w:endnoteReference w:id="520"/>
      </w:r>
      <w:r w:rsidR="00464852" w:rsidRPr="00282AC9">
        <w:rPr>
          <w:rFonts w:ascii="Noor_Mitra" w:hAnsi="Noor_Mitra" w:cs="AL-Mohanad"/>
          <w:sz w:val="27"/>
          <w:szCs w:val="27"/>
          <w:vertAlign w:val="superscript"/>
          <w:rtl/>
          <w:lang w:bidi="fa-IR"/>
        </w:rPr>
        <w:t>)</w:t>
      </w:r>
      <w:r w:rsidR="00464852" w:rsidRPr="00282AC9">
        <w:rPr>
          <w:rFonts w:ascii="Noor_Mitra" w:hAnsi="Noor_Mitra" w:cs="AL-Mohanad"/>
          <w:sz w:val="27"/>
          <w:szCs w:val="27"/>
          <w:rtl/>
          <w:lang w:bidi="fa-IR"/>
        </w:rPr>
        <w:t xml:space="preserve">. </w:t>
      </w:r>
    </w:p>
    <w:p w:rsidR="00464852" w:rsidRPr="00282AC9" w:rsidRDefault="00B40784" w:rsidP="0073600A">
      <w:pPr>
        <w:pStyle w:val="afc"/>
        <w:rPr>
          <w:rFonts w:ascii="Noor_Mitra" w:hAnsi="Noor_Mitra" w:cs="AL-Mohanad"/>
          <w:sz w:val="27"/>
          <w:szCs w:val="27"/>
          <w:rtl/>
        </w:rPr>
      </w:pPr>
      <w:r w:rsidRPr="00282AC9">
        <w:rPr>
          <w:rFonts w:ascii="Noor_Mitra" w:hAnsi="Noor_Mitra" w:cs="AL-Mohanad" w:hint="cs"/>
          <w:sz w:val="27"/>
          <w:szCs w:val="27"/>
          <w:rtl/>
        </w:rPr>
        <w:t xml:space="preserve">2ـ </w:t>
      </w:r>
      <w:r w:rsidR="00464852" w:rsidRPr="00282AC9">
        <w:rPr>
          <w:rFonts w:ascii="Noor_Mitra" w:hAnsi="Noor_Mitra" w:cs="AL-Mohanad"/>
          <w:sz w:val="27"/>
          <w:szCs w:val="27"/>
          <w:rtl/>
        </w:rPr>
        <w:t>وورد في خطبة</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أخرى له</w:t>
      </w:r>
      <w:r w:rsidR="009A2A04" w:rsidRPr="00282AC9">
        <w:rPr>
          <w:rFonts w:ascii="Noor_Mitra" w:hAnsi="Noor_Mitra" w:cs="Mosawi"/>
          <w:sz w:val="22"/>
          <w:szCs w:val="22"/>
          <w:rtl/>
        </w:rPr>
        <w:t>×</w:t>
      </w:r>
      <w:r w:rsidR="00464852" w:rsidRPr="00282AC9">
        <w:rPr>
          <w:rFonts w:ascii="Noor_Mitra" w:hAnsi="Noor_Mitra" w:cs="AL-Mohanad"/>
          <w:sz w:val="27"/>
          <w:szCs w:val="27"/>
          <w:rtl/>
        </w:rPr>
        <w:t xml:space="preserve"> أيضا</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w:t>
      </w:r>
      <w:r w:rsidR="00464852" w:rsidRPr="00282AC9">
        <w:rPr>
          <w:rFonts w:cs="AL-Mohanad" w:hint="eastAsia"/>
          <w:rtl/>
        </w:rPr>
        <w:t>«</w:t>
      </w:r>
      <w:r w:rsidR="00464852" w:rsidRPr="00282AC9">
        <w:rPr>
          <w:rFonts w:ascii="Noor_Mitra" w:hAnsi="Noor_Mitra" w:cs="AL-Mohanad"/>
          <w:sz w:val="27"/>
          <w:szCs w:val="27"/>
          <w:rtl/>
          <w:lang w:bidi="fa-IR"/>
        </w:rPr>
        <w:t>كانوا على سُنّة</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من آل فرعون،‏ أهل جن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ات</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وعيون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وزروع</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21"/>
      </w:r>
      <w:r w:rsidR="00464852" w:rsidRPr="00282AC9">
        <w:rPr>
          <w:rFonts w:cs="AL-Mohanad"/>
          <w:sz w:val="27"/>
          <w:szCs w:val="27"/>
          <w:vertAlign w:val="superscript"/>
          <w:rtl/>
        </w:rPr>
        <w:t>)</w:t>
      </w:r>
      <w:r w:rsidR="00464852" w:rsidRPr="00282AC9">
        <w:rPr>
          <w:rFonts w:ascii="Noor_Mitra" w:hAnsi="Noor_Mitra" w:cs="AL-Mohanad" w:hint="cs"/>
          <w:sz w:val="27"/>
          <w:szCs w:val="27"/>
          <w:rtl/>
        </w:rPr>
        <w:t>.</w:t>
      </w:r>
    </w:p>
    <w:p w:rsidR="00464852" w:rsidRPr="00282AC9" w:rsidRDefault="00B40784" w:rsidP="0073600A">
      <w:pPr>
        <w:rPr>
          <w:sz w:val="27"/>
          <w:rtl/>
          <w:lang w:bidi="fa-IR"/>
        </w:rPr>
      </w:pPr>
      <w:r w:rsidRPr="00282AC9">
        <w:rPr>
          <w:rFonts w:ascii="Noor_Mitra" w:hAnsi="Noor_Mitra" w:hint="cs"/>
          <w:sz w:val="27"/>
          <w:rtl/>
        </w:rPr>
        <w:t xml:space="preserve">3ـ </w:t>
      </w:r>
      <w:r w:rsidR="00464852" w:rsidRPr="00282AC9">
        <w:rPr>
          <w:sz w:val="27"/>
          <w:rtl/>
        </w:rPr>
        <w:t>وفي خطبة</w:t>
      </w:r>
      <w:r w:rsidRPr="00282AC9">
        <w:rPr>
          <w:rFonts w:hint="cs"/>
          <w:sz w:val="27"/>
          <w:rtl/>
        </w:rPr>
        <w:t>ٍ</w:t>
      </w:r>
      <w:r w:rsidR="00464852" w:rsidRPr="00282AC9">
        <w:rPr>
          <w:sz w:val="27"/>
          <w:rtl/>
        </w:rPr>
        <w:t xml:space="preserve"> أخرى أيضا</w:t>
      </w:r>
      <w:r w:rsidR="00464852" w:rsidRPr="00282AC9">
        <w:rPr>
          <w:rFonts w:hint="cs"/>
          <w:sz w:val="27"/>
          <w:rtl/>
        </w:rPr>
        <w:t>ً</w:t>
      </w:r>
      <w:r w:rsidR="00464852" w:rsidRPr="00282AC9">
        <w:rPr>
          <w:sz w:val="27"/>
          <w:rtl/>
        </w:rPr>
        <w:t xml:space="preserve">: </w:t>
      </w:r>
      <w:r w:rsidR="00464852" w:rsidRPr="00282AC9">
        <w:rPr>
          <w:rFonts w:hint="eastAsia"/>
          <w:sz w:val="24"/>
          <w:szCs w:val="24"/>
          <w:rtl/>
        </w:rPr>
        <w:t>«</w:t>
      </w:r>
      <w:r w:rsidR="00464852" w:rsidRPr="00282AC9">
        <w:rPr>
          <w:sz w:val="27"/>
          <w:rtl/>
          <w:lang w:bidi="fa-IR"/>
        </w:rPr>
        <w:t>فإن</w:t>
      </w:r>
      <w:r w:rsidRPr="00282AC9">
        <w:rPr>
          <w:rFonts w:hint="cs"/>
          <w:sz w:val="27"/>
          <w:rtl/>
          <w:lang w:bidi="fa-IR"/>
        </w:rPr>
        <w:t>ّ</w:t>
      </w:r>
      <w:r w:rsidR="00464852" w:rsidRPr="00282AC9">
        <w:rPr>
          <w:sz w:val="27"/>
          <w:rtl/>
          <w:lang w:bidi="fa-IR"/>
        </w:rPr>
        <w:t>ا وأشياعنا يوم خلق [الله‏] السماوات والأرض على سنّة موسى وأشياعه، وإن عدو</w:t>
      </w:r>
      <w:r w:rsidRPr="00282AC9">
        <w:rPr>
          <w:rFonts w:hint="cs"/>
          <w:sz w:val="27"/>
          <w:rtl/>
          <w:lang w:bidi="fa-IR"/>
        </w:rPr>
        <w:t>َّ</w:t>
      </w:r>
      <w:r w:rsidRPr="00282AC9">
        <w:rPr>
          <w:sz w:val="27"/>
          <w:rtl/>
          <w:lang w:bidi="fa-IR"/>
        </w:rPr>
        <w:t>نا [و</w:t>
      </w:r>
      <w:r w:rsidR="00464852" w:rsidRPr="00282AC9">
        <w:rPr>
          <w:sz w:val="27"/>
          <w:rtl/>
          <w:lang w:bidi="fa-IR"/>
        </w:rPr>
        <w:t>أشياعه‏] يوم خلق [الله‏] السماوات والأرض على سنّة فرعون‏ وأشياعه</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22"/>
      </w:r>
      <w:r w:rsidR="00464852" w:rsidRPr="00282AC9">
        <w:rPr>
          <w:sz w:val="27"/>
          <w:vertAlign w:val="superscript"/>
          <w:rtl/>
        </w:rPr>
        <w:t>)</w:t>
      </w:r>
      <w:r w:rsidR="00464852" w:rsidRPr="00282AC9">
        <w:rPr>
          <w:sz w:val="27"/>
          <w:rtl/>
        </w:rPr>
        <w:t>.</w:t>
      </w:r>
    </w:p>
    <w:p w:rsidR="00B40784" w:rsidRPr="00282AC9" w:rsidRDefault="00B40784" w:rsidP="0073600A">
      <w:pPr>
        <w:rPr>
          <w:sz w:val="27"/>
          <w:rtl/>
          <w:lang w:bidi="fa-IR"/>
        </w:rPr>
      </w:pPr>
      <w:r w:rsidRPr="00282AC9">
        <w:rPr>
          <w:rFonts w:ascii="Noor_Mitra" w:hAnsi="Noor_Mitra" w:hint="cs"/>
          <w:sz w:val="27"/>
          <w:rtl/>
        </w:rPr>
        <w:t xml:space="preserve">4ـ </w:t>
      </w:r>
      <w:r w:rsidR="00464852" w:rsidRPr="00282AC9">
        <w:rPr>
          <w:sz w:val="27"/>
          <w:rtl/>
        </w:rPr>
        <w:t>ومن خطبة</w:t>
      </w:r>
      <w:r w:rsidRPr="00282AC9">
        <w:rPr>
          <w:rFonts w:hint="cs"/>
          <w:sz w:val="27"/>
          <w:rtl/>
        </w:rPr>
        <w:t>ٍ</w:t>
      </w:r>
      <w:r w:rsidR="00464852" w:rsidRPr="00282AC9">
        <w:rPr>
          <w:sz w:val="27"/>
          <w:rtl/>
        </w:rPr>
        <w:t xml:space="preserve"> له</w:t>
      </w:r>
      <w:r w:rsidR="009A2A04" w:rsidRPr="00282AC9">
        <w:rPr>
          <w:rFonts w:cs="Mosawi"/>
          <w:sz w:val="22"/>
          <w:szCs w:val="22"/>
          <w:rtl/>
        </w:rPr>
        <w:t>×</w:t>
      </w:r>
      <w:r w:rsidR="00464852" w:rsidRPr="00282AC9">
        <w:rPr>
          <w:sz w:val="27"/>
          <w:rtl/>
        </w:rPr>
        <w:t xml:space="preserve">: </w:t>
      </w:r>
      <w:r w:rsidR="00464852" w:rsidRPr="00282AC9">
        <w:rPr>
          <w:rFonts w:hint="eastAsia"/>
          <w:sz w:val="24"/>
          <w:szCs w:val="24"/>
          <w:rtl/>
        </w:rPr>
        <w:t>«</w:t>
      </w:r>
      <w:r w:rsidR="00464852" w:rsidRPr="00282AC9">
        <w:rPr>
          <w:sz w:val="27"/>
          <w:rtl/>
          <w:lang w:bidi="fa-IR"/>
        </w:rPr>
        <w:t>أما إنكم ستلقون بعدي ذُ</w:t>
      </w:r>
      <w:r w:rsidR="00EE6DBA" w:rsidRPr="00282AC9">
        <w:rPr>
          <w:sz w:val="27"/>
          <w:rtl/>
          <w:lang w:bidi="fa-IR"/>
        </w:rPr>
        <w:t>لاّ</w:t>
      </w:r>
      <w:r w:rsidRPr="00282AC9">
        <w:rPr>
          <w:rFonts w:hint="cs"/>
          <w:sz w:val="27"/>
          <w:rtl/>
          <w:lang w:bidi="fa-IR"/>
        </w:rPr>
        <w:t>ً</w:t>
      </w:r>
      <w:r w:rsidR="00464852" w:rsidRPr="00282AC9">
        <w:rPr>
          <w:sz w:val="27"/>
          <w:rtl/>
          <w:lang w:bidi="fa-IR"/>
        </w:rPr>
        <w:t xml:space="preserve"> شاملاً</w:t>
      </w:r>
      <w:r w:rsidRPr="00282AC9">
        <w:rPr>
          <w:rFonts w:hint="cs"/>
          <w:sz w:val="27"/>
          <w:rtl/>
          <w:lang w:bidi="fa-IR"/>
        </w:rPr>
        <w:t>،</w:t>
      </w:r>
      <w:r w:rsidR="00464852" w:rsidRPr="00282AC9">
        <w:rPr>
          <w:sz w:val="27"/>
          <w:rtl/>
          <w:lang w:bidi="fa-IR"/>
        </w:rPr>
        <w:t xml:space="preserve"> وسَيْفاً قاطعاً</w:t>
      </w:r>
      <w:r w:rsidRPr="00282AC9">
        <w:rPr>
          <w:rFonts w:hint="cs"/>
          <w:sz w:val="27"/>
          <w:rtl/>
          <w:lang w:bidi="fa-IR"/>
        </w:rPr>
        <w:t>،</w:t>
      </w:r>
      <w:r w:rsidR="00464852" w:rsidRPr="00282AC9">
        <w:rPr>
          <w:sz w:val="27"/>
          <w:rtl/>
          <w:lang w:bidi="fa-IR"/>
        </w:rPr>
        <w:t xml:space="preserve"> وأ</w:t>
      </w:r>
      <w:r w:rsidRPr="00282AC9">
        <w:rPr>
          <w:rFonts w:hint="cs"/>
          <w:sz w:val="27"/>
          <w:rtl/>
          <w:lang w:bidi="fa-IR"/>
        </w:rPr>
        <w:t>َ</w:t>
      </w:r>
      <w:r w:rsidR="00464852" w:rsidRPr="00282AC9">
        <w:rPr>
          <w:sz w:val="27"/>
          <w:rtl/>
          <w:lang w:bidi="fa-IR"/>
        </w:rPr>
        <w:t>ث</w:t>
      </w:r>
      <w:r w:rsidRPr="00282AC9">
        <w:rPr>
          <w:rFonts w:hint="cs"/>
          <w:sz w:val="27"/>
          <w:rtl/>
          <w:lang w:bidi="fa-IR"/>
        </w:rPr>
        <w:t>َ</w:t>
      </w:r>
      <w:r w:rsidR="00464852" w:rsidRPr="00282AC9">
        <w:rPr>
          <w:sz w:val="27"/>
          <w:rtl/>
          <w:lang w:bidi="fa-IR"/>
        </w:rPr>
        <w:t>رَةً يتّ</w:t>
      </w:r>
      <w:r w:rsidRPr="00282AC9">
        <w:rPr>
          <w:rFonts w:hint="cs"/>
          <w:sz w:val="27"/>
          <w:rtl/>
          <w:lang w:bidi="fa-IR"/>
        </w:rPr>
        <w:t>َ</w:t>
      </w:r>
      <w:r w:rsidR="00464852" w:rsidRPr="00282AC9">
        <w:rPr>
          <w:sz w:val="27"/>
          <w:rtl/>
          <w:lang w:bidi="fa-IR"/>
        </w:rPr>
        <w:t>خذها الظالمون فيكم سُنّة</w:t>
      </w:r>
      <w:r w:rsidRPr="00282AC9">
        <w:rPr>
          <w:rFonts w:hint="cs"/>
          <w:sz w:val="27"/>
          <w:rtl/>
          <w:lang w:bidi="fa-IR"/>
        </w:rPr>
        <w:t>ً</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23"/>
      </w:r>
      <w:r w:rsidR="00464852" w:rsidRPr="00282AC9">
        <w:rPr>
          <w:sz w:val="27"/>
          <w:vertAlign w:val="superscript"/>
          <w:rtl/>
          <w:lang w:bidi="fa-IR"/>
        </w:rPr>
        <w:t>)</w:t>
      </w:r>
      <w:r w:rsidRPr="00282AC9">
        <w:rPr>
          <w:sz w:val="27"/>
          <w:rtl/>
          <w:lang w:bidi="fa-IR"/>
        </w:rPr>
        <w:t>.</w:t>
      </w:r>
    </w:p>
    <w:p w:rsidR="00464852" w:rsidRPr="00282AC9" w:rsidRDefault="00464852" w:rsidP="0073600A">
      <w:pPr>
        <w:rPr>
          <w:sz w:val="27"/>
          <w:lang w:bidi="fa-IR"/>
        </w:rPr>
      </w:pPr>
      <w:r w:rsidRPr="00282AC9">
        <w:rPr>
          <w:sz w:val="27"/>
          <w:rtl/>
          <w:lang w:bidi="fa-IR"/>
        </w:rPr>
        <w:lastRenderedPageBreak/>
        <w:t>نعم، ر</w:t>
      </w:r>
      <w:r w:rsidR="00B40784" w:rsidRPr="00282AC9">
        <w:rPr>
          <w:rFonts w:hint="cs"/>
          <w:sz w:val="27"/>
          <w:rtl/>
          <w:lang w:bidi="fa-IR"/>
        </w:rPr>
        <w:t>ُ</w:t>
      </w:r>
      <w:r w:rsidRPr="00282AC9">
        <w:rPr>
          <w:sz w:val="27"/>
          <w:rtl/>
          <w:lang w:bidi="fa-IR"/>
        </w:rPr>
        <w:t>ب</w:t>
      </w:r>
      <w:r w:rsidR="00B40784" w:rsidRPr="00282AC9">
        <w:rPr>
          <w:rFonts w:hint="cs"/>
          <w:sz w:val="27"/>
          <w:rtl/>
          <w:lang w:bidi="fa-IR"/>
        </w:rPr>
        <w:t>َ</w:t>
      </w:r>
      <w:r w:rsidRPr="00282AC9">
        <w:rPr>
          <w:sz w:val="27"/>
          <w:rtl/>
          <w:lang w:bidi="fa-IR"/>
        </w:rPr>
        <w:t xml:space="preserve">ما تكون </w:t>
      </w:r>
      <w:r w:rsidRPr="00282AC9">
        <w:rPr>
          <w:rFonts w:hint="eastAsia"/>
          <w:sz w:val="24"/>
          <w:szCs w:val="24"/>
          <w:rtl/>
        </w:rPr>
        <w:t>«</w:t>
      </w:r>
      <w:r w:rsidR="00B40784" w:rsidRPr="00282AC9">
        <w:rPr>
          <w:sz w:val="27"/>
          <w:rtl/>
          <w:lang w:bidi="fa-IR"/>
        </w:rPr>
        <w:t>الس</w:t>
      </w:r>
      <w:r w:rsidR="00B40784" w:rsidRPr="00282AC9">
        <w:rPr>
          <w:rFonts w:hint="cs"/>
          <w:sz w:val="27"/>
          <w:rtl/>
          <w:lang w:bidi="fa-IR"/>
        </w:rPr>
        <w:t>ُّ</w:t>
      </w:r>
      <w:r w:rsidRPr="00282AC9">
        <w:rPr>
          <w:sz w:val="27"/>
          <w:rtl/>
          <w:lang w:bidi="fa-IR"/>
        </w:rPr>
        <w:t>نّة</w:t>
      </w:r>
      <w:r w:rsidRPr="00282AC9">
        <w:rPr>
          <w:rFonts w:hint="eastAsia"/>
          <w:sz w:val="24"/>
          <w:szCs w:val="24"/>
          <w:rtl/>
        </w:rPr>
        <w:t>»</w:t>
      </w:r>
      <w:r w:rsidRPr="00282AC9">
        <w:rPr>
          <w:sz w:val="27"/>
          <w:rtl/>
        </w:rPr>
        <w:t xml:space="preserve"> في هذا الحديث بمعنى سيرةٍ حسنةٍ في رؤية الظالمين ـ كما يؤيّ</w:t>
      </w:r>
      <w:r w:rsidR="00B40784" w:rsidRPr="00282AC9">
        <w:rPr>
          <w:rFonts w:hint="cs"/>
          <w:sz w:val="27"/>
          <w:rtl/>
        </w:rPr>
        <w:t>ِ</w:t>
      </w:r>
      <w:r w:rsidRPr="00282AC9">
        <w:rPr>
          <w:sz w:val="27"/>
          <w:rtl/>
        </w:rPr>
        <w:t xml:space="preserve">د هذا الاحتمالَ وجودُ </w:t>
      </w:r>
      <w:r w:rsidRPr="00282AC9">
        <w:rPr>
          <w:rFonts w:hint="eastAsia"/>
          <w:sz w:val="24"/>
          <w:szCs w:val="24"/>
          <w:rtl/>
        </w:rPr>
        <w:t>«</w:t>
      </w:r>
      <w:r w:rsidRPr="00282AC9">
        <w:rPr>
          <w:sz w:val="27"/>
          <w:rtl/>
        </w:rPr>
        <w:t>يت</w:t>
      </w:r>
      <w:r w:rsidR="00B40784" w:rsidRPr="00282AC9">
        <w:rPr>
          <w:rFonts w:hint="cs"/>
          <w:sz w:val="27"/>
          <w:rtl/>
        </w:rPr>
        <w:t>ّ</w:t>
      </w:r>
      <w:r w:rsidRPr="00282AC9">
        <w:rPr>
          <w:sz w:val="27"/>
          <w:rtl/>
        </w:rPr>
        <w:t>خذها</w:t>
      </w:r>
      <w:r w:rsidRPr="00282AC9">
        <w:rPr>
          <w:rFonts w:hint="eastAsia"/>
          <w:sz w:val="24"/>
          <w:szCs w:val="24"/>
          <w:rtl/>
        </w:rPr>
        <w:t>»</w:t>
      </w:r>
      <w:r w:rsidRPr="00282AC9">
        <w:rPr>
          <w:sz w:val="27"/>
          <w:rtl/>
        </w:rPr>
        <w:t xml:space="preserve"> في العبارة ـ</w:t>
      </w:r>
      <w:r w:rsidR="00B40784" w:rsidRPr="00282AC9">
        <w:rPr>
          <w:rFonts w:hint="cs"/>
          <w:sz w:val="27"/>
          <w:rtl/>
        </w:rPr>
        <w:t>،</w:t>
      </w:r>
      <w:r w:rsidRPr="00282AC9">
        <w:rPr>
          <w:sz w:val="27"/>
          <w:rtl/>
        </w:rPr>
        <w:t xml:space="preserve"> وحينئذ</w:t>
      </w:r>
      <w:r w:rsidR="00B40784" w:rsidRPr="00282AC9">
        <w:rPr>
          <w:rFonts w:hint="cs"/>
          <w:sz w:val="27"/>
          <w:rtl/>
        </w:rPr>
        <w:t>ٍ</w:t>
      </w:r>
      <w:r w:rsidRPr="00282AC9">
        <w:rPr>
          <w:sz w:val="27"/>
          <w:rtl/>
        </w:rPr>
        <w:t xml:space="preserve"> لا يمكن استخدامها لإثبات المعنى العام</w:t>
      </w:r>
      <w:r w:rsidR="00B40784" w:rsidRPr="00282AC9">
        <w:rPr>
          <w:rFonts w:hint="cs"/>
          <w:sz w:val="27"/>
          <w:rtl/>
        </w:rPr>
        <w:t>ّ</w:t>
      </w:r>
      <w:r w:rsidRPr="00282AC9">
        <w:rPr>
          <w:sz w:val="27"/>
          <w:rtl/>
        </w:rPr>
        <w:t xml:space="preserve"> في لفظ </w:t>
      </w:r>
      <w:r w:rsidRPr="00282AC9">
        <w:rPr>
          <w:rFonts w:hint="eastAsia"/>
          <w:sz w:val="24"/>
          <w:szCs w:val="24"/>
          <w:rtl/>
        </w:rPr>
        <w:t>«</w:t>
      </w:r>
      <w:r w:rsidRPr="00282AC9">
        <w:rPr>
          <w:sz w:val="27"/>
          <w:rtl/>
        </w:rPr>
        <w:t>ال</w:t>
      </w:r>
      <w:r w:rsidR="00B40784" w:rsidRPr="00282AC9">
        <w:rPr>
          <w:sz w:val="27"/>
          <w:rtl/>
        </w:rPr>
        <w:t>س</w:t>
      </w:r>
      <w:r w:rsidR="00B40784" w:rsidRPr="00282AC9">
        <w:rPr>
          <w:rFonts w:hint="cs"/>
          <w:sz w:val="27"/>
          <w:rtl/>
        </w:rPr>
        <w:t>ُّ</w:t>
      </w:r>
      <w:r w:rsidRPr="00282AC9">
        <w:rPr>
          <w:sz w:val="27"/>
          <w:rtl/>
        </w:rPr>
        <w:t>نّة</w:t>
      </w:r>
      <w:r w:rsidRPr="00282AC9">
        <w:rPr>
          <w:rFonts w:hint="eastAsia"/>
          <w:sz w:val="24"/>
          <w:szCs w:val="24"/>
          <w:rtl/>
        </w:rPr>
        <w:t>»</w:t>
      </w:r>
      <w:r w:rsidR="00B40784" w:rsidRPr="00282AC9">
        <w:rPr>
          <w:rFonts w:hint="cs"/>
          <w:sz w:val="27"/>
          <w:rtl/>
          <w:lang w:bidi="fa-IR"/>
        </w:rPr>
        <w:t>،</w:t>
      </w:r>
      <w:r w:rsidRPr="00282AC9">
        <w:rPr>
          <w:rFonts w:hint="cs"/>
          <w:sz w:val="27"/>
          <w:rtl/>
          <w:lang w:bidi="fa-IR"/>
        </w:rPr>
        <w:t xml:space="preserve"> إلا</w:t>
      </w:r>
      <w:r w:rsidR="00B40784" w:rsidRPr="00282AC9">
        <w:rPr>
          <w:rFonts w:hint="cs"/>
          <w:sz w:val="27"/>
          <w:rtl/>
          <w:lang w:bidi="fa-IR"/>
        </w:rPr>
        <w:t>ّ</w:t>
      </w:r>
      <w:r w:rsidRPr="00282AC9">
        <w:rPr>
          <w:rFonts w:hint="cs"/>
          <w:sz w:val="27"/>
          <w:rtl/>
          <w:lang w:bidi="fa-IR"/>
        </w:rPr>
        <w:t xml:space="preserve"> على مستوى التأييد.</w:t>
      </w:r>
    </w:p>
    <w:p w:rsidR="00464852" w:rsidRPr="00282AC9" w:rsidRDefault="00B40784" w:rsidP="0073600A">
      <w:pPr>
        <w:rPr>
          <w:sz w:val="27"/>
          <w:lang w:bidi="fa-IR"/>
        </w:rPr>
      </w:pPr>
      <w:r w:rsidRPr="00282AC9">
        <w:rPr>
          <w:rFonts w:ascii="Noor_Mitra" w:hAnsi="Noor_Mitra" w:hint="cs"/>
          <w:sz w:val="27"/>
          <w:rtl/>
        </w:rPr>
        <w:t xml:space="preserve">5ـ </w:t>
      </w:r>
      <w:r w:rsidR="00464852" w:rsidRPr="00282AC9">
        <w:rPr>
          <w:sz w:val="27"/>
          <w:rtl/>
        </w:rPr>
        <w:t>ومن كلام</w:t>
      </w:r>
      <w:r w:rsidRPr="00282AC9">
        <w:rPr>
          <w:rFonts w:hint="cs"/>
          <w:sz w:val="27"/>
          <w:rtl/>
        </w:rPr>
        <w:t>ٍ</w:t>
      </w:r>
      <w:r w:rsidR="00464852" w:rsidRPr="00282AC9">
        <w:rPr>
          <w:sz w:val="27"/>
          <w:rtl/>
        </w:rPr>
        <w:t xml:space="preserve"> له</w:t>
      </w:r>
      <w:r w:rsidR="009A2A04" w:rsidRPr="00282AC9">
        <w:rPr>
          <w:rFonts w:cs="Mosawi"/>
          <w:sz w:val="22"/>
          <w:szCs w:val="22"/>
          <w:rtl/>
        </w:rPr>
        <w:t>×</w:t>
      </w:r>
      <w:r w:rsidR="00464852" w:rsidRPr="00282AC9">
        <w:rPr>
          <w:sz w:val="27"/>
          <w:rtl/>
        </w:rPr>
        <w:t xml:space="preserve">: </w:t>
      </w:r>
      <w:r w:rsidR="00464852" w:rsidRPr="00282AC9">
        <w:rPr>
          <w:rFonts w:hint="eastAsia"/>
          <w:sz w:val="24"/>
          <w:szCs w:val="24"/>
          <w:rtl/>
          <w:lang w:bidi="fa-IR"/>
        </w:rPr>
        <w:t>«</w:t>
      </w:r>
      <w:r w:rsidR="00464852" w:rsidRPr="00282AC9">
        <w:rPr>
          <w:sz w:val="27"/>
          <w:rtl/>
          <w:lang w:bidi="fa-IR"/>
        </w:rPr>
        <w:t>أين أصحابُ مدائنِ الر</w:t>
      </w:r>
      <w:r w:rsidRPr="00282AC9">
        <w:rPr>
          <w:rFonts w:hint="cs"/>
          <w:sz w:val="27"/>
          <w:rtl/>
          <w:lang w:bidi="fa-IR"/>
        </w:rPr>
        <w:t>َّ</w:t>
      </w:r>
      <w:r w:rsidR="00464852" w:rsidRPr="00282AC9">
        <w:rPr>
          <w:sz w:val="27"/>
          <w:rtl/>
          <w:lang w:bidi="fa-IR"/>
        </w:rPr>
        <w:t>سِّ</w:t>
      </w:r>
      <w:r w:rsidRPr="00282AC9">
        <w:rPr>
          <w:rFonts w:hint="cs"/>
          <w:sz w:val="27"/>
          <w:rtl/>
          <w:lang w:bidi="fa-IR"/>
        </w:rPr>
        <w:t xml:space="preserve">، </w:t>
      </w:r>
      <w:r w:rsidR="00464852" w:rsidRPr="00282AC9">
        <w:rPr>
          <w:sz w:val="27"/>
          <w:rtl/>
          <w:lang w:bidi="fa-IR"/>
        </w:rPr>
        <w:t>الذين قتلوا النبيّ</w:t>
      </w:r>
      <w:r w:rsidRPr="00282AC9">
        <w:rPr>
          <w:rFonts w:hint="cs"/>
          <w:sz w:val="27"/>
          <w:rtl/>
          <w:lang w:bidi="fa-IR"/>
        </w:rPr>
        <w:t>ِ</w:t>
      </w:r>
      <w:r w:rsidRPr="00282AC9">
        <w:rPr>
          <w:sz w:val="27"/>
          <w:rtl/>
          <w:lang w:bidi="fa-IR"/>
        </w:rPr>
        <w:t>ين</w:t>
      </w:r>
      <w:r w:rsidR="00464852" w:rsidRPr="00282AC9">
        <w:rPr>
          <w:sz w:val="27"/>
          <w:rtl/>
          <w:lang w:bidi="fa-IR"/>
        </w:rPr>
        <w:t>، وأطف</w:t>
      </w:r>
      <w:r w:rsidRPr="00282AC9">
        <w:rPr>
          <w:rFonts w:hint="cs"/>
          <w:sz w:val="27"/>
          <w:rtl/>
          <w:lang w:bidi="fa-IR"/>
        </w:rPr>
        <w:t>أ</w:t>
      </w:r>
      <w:r w:rsidRPr="00282AC9">
        <w:rPr>
          <w:sz w:val="27"/>
          <w:rtl/>
          <w:lang w:bidi="fa-IR"/>
        </w:rPr>
        <w:t>وا سنن المرسلين، وأحيوا سنن</w:t>
      </w:r>
      <w:r w:rsidR="00464852" w:rsidRPr="00282AC9">
        <w:rPr>
          <w:sz w:val="27"/>
          <w:rtl/>
          <w:lang w:bidi="fa-IR"/>
        </w:rPr>
        <w:t xml:space="preserve"> الجبّارين؟!</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24"/>
      </w:r>
      <w:r w:rsidR="00464852" w:rsidRPr="00282AC9">
        <w:rPr>
          <w:sz w:val="27"/>
          <w:vertAlign w:val="superscript"/>
          <w:rtl/>
        </w:rPr>
        <w:t>)</w:t>
      </w:r>
      <w:r w:rsidR="00464852" w:rsidRPr="00282AC9">
        <w:rPr>
          <w:rFonts w:hint="cs"/>
          <w:sz w:val="27"/>
          <w:rtl/>
        </w:rPr>
        <w:t>.</w:t>
      </w:r>
    </w:p>
    <w:p w:rsidR="00464852" w:rsidRPr="00282AC9" w:rsidRDefault="00B40784" w:rsidP="0073600A">
      <w:pPr>
        <w:rPr>
          <w:sz w:val="27"/>
          <w:rtl/>
          <w:lang w:bidi="fa-IR"/>
        </w:rPr>
      </w:pPr>
      <w:r w:rsidRPr="00282AC9">
        <w:rPr>
          <w:rFonts w:ascii="Noor_Mitra" w:hAnsi="Noor_Mitra" w:hint="cs"/>
          <w:sz w:val="27"/>
          <w:rtl/>
        </w:rPr>
        <w:t xml:space="preserve">6ـ </w:t>
      </w:r>
      <w:r w:rsidR="00464852" w:rsidRPr="00282AC9">
        <w:rPr>
          <w:sz w:val="27"/>
          <w:rtl/>
        </w:rPr>
        <w:t xml:space="preserve">وفي رسالته إلى مالك الأشتر: </w:t>
      </w:r>
      <w:r w:rsidR="00464852" w:rsidRPr="00282AC9">
        <w:rPr>
          <w:rFonts w:hint="eastAsia"/>
          <w:sz w:val="24"/>
          <w:szCs w:val="24"/>
          <w:rtl/>
        </w:rPr>
        <w:t>«</w:t>
      </w:r>
      <w:r w:rsidRPr="00282AC9">
        <w:rPr>
          <w:sz w:val="27"/>
          <w:rtl/>
          <w:lang w:bidi="fa-IR"/>
        </w:rPr>
        <w:t>ولا تنقض سُنّةً صالحةً عمل بها صدورُ هذه الأُمّة</w:t>
      </w:r>
      <w:r w:rsidRPr="00282AC9">
        <w:rPr>
          <w:rFonts w:hint="cs"/>
          <w:sz w:val="27"/>
          <w:rtl/>
          <w:lang w:bidi="fa-IR"/>
        </w:rPr>
        <w:t>،</w:t>
      </w:r>
      <w:r w:rsidRPr="00282AC9">
        <w:rPr>
          <w:sz w:val="27"/>
          <w:rtl/>
          <w:lang w:bidi="fa-IR"/>
        </w:rPr>
        <w:t xml:space="preserve"> واجتمعت بها الألفة</w:t>
      </w:r>
      <w:r w:rsidRPr="00282AC9">
        <w:rPr>
          <w:rFonts w:hint="cs"/>
          <w:sz w:val="27"/>
          <w:rtl/>
          <w:lang w:bidi="fa-IR"/>
        </w:rPr>
        <w:t>،</w:t>
      </w:r>
      <w:r w:rsidRPr="00282AC9">
        <w:rPr>
          <w:sz w:val="27"/>
          <w:rtl/>
          <w:lang w:bidi="fa-IR"/>
        </w:rPr>
        <w:t xml:space="preserve"> وصلحت عليها الرعيّة</w:t>
      </w:r>
      <w:r w:rsidRPr="00282AC9">
        <w:rPr>
          <w:rFonts w:hint="cs"/>
          <w:sz w:val="27"/>
          <w:rtl/>
          <w:lang w:bidi="fa-IR"/>
        </w:rPr>
        <w:t>،</w:t>
      </w:r>
      <w:r w:rsidRPr="00282AC9">
        <w:rPr>
          <w:sz w:val="27"/>
          <w:rtl/>
          <w:lang w:bidi="fa-IR"/>
        </w:rPr>
        <w:t xml:space="preserve"> ولا ت</w:t>
      </w:r>
      <w:r w:rsidRPr="00282AC9">
        <w:rPr>
          <w:rFonts w:hint="cs"/>
          <w:sz w:val="27"/>
          <w:rtl/>
          <w:lang w:bidi="fa-IR"/>
        </w:rPr>
        <w:t>ُ</w:t>
      </w:r>
      <w:r w:rsidR="00464852" w:rsidRPr="00282AC9">
        <w:rPr>
          <w:sz w:val="27"/>
          <w:rtl/>
          <w:lang w:bidi="fa-IR"/>
        </w:rPr>
        <w:t>ح</w:t>
      </w:r>
      <w:r w:rsidRPr="00282AC9">
        <w:rPr>
          <w:rFonts w:hint="cs"/>
          <w:sz w:val="27"/>
          <w:rtl/>
          <w:lang w:bidi="fa-IR"/>
        </w:rPr>
        <w:t>ْ</w:t>
      </w:r>
      <w:r w:rsidR="00464852" w:rsidRPr="00282AC9">
        <w:rPr>
          <w:sz w:val="27"/>
          <w:rtl/>
          <w:lang w:bidi="fa-IR"/>
        </w:rPr>
        <w:t>دِثَنَّ سُنّ</w:t>
      </w:r>
      <w:r w:rsidRPr="00282AC9">
        <w:rPr>
          <w:sz w:val="27"/>
          <w:rtl/>
          <w:lang w:bidi="fa-IR"/>
        </w:rPr>
        <w:t>ةً تضرُّ بشي‏ءٍ من ماضي تلك السنن</w:t>
      </w:r>
      <w:r w:rsidRPr="00282AC9">
        <w:rPr>
          <w:rFonts w:hint="cs"/>
          <w:sz w:val="27"/>
          <w:rtl/>
          <w:lang w:bidi="fa-IR"/>
        </w:rPr>
        <w:t>،</w:t>
      </w:r>
      <w:r w:rsidR="00464852" w:rsidRPr="00282AC9">
        <w:rPr>
          <w:sz w:val="27"/>
          <w:rtl/>
          <w:lang w:bidi="fa-IR"/>
        </w:rPr>
        <w:t xml:space="preserve"> فيكون الأجر لم</w:t>
      </w:r>
      <w:r w:rsidRPr="00282AC9">
        <w:rPr>
          <w:rFonts w:hint="cs"/>
          <w:sz w:val="27"/>
          <w:rtl/>
          <w:lang w:bidi="fa-IR"/>
        </w:rPr>
        <w:t>َ</w:t>
      </w:r>
      <w:r w:rsidR="00464852" w:rsidRPr="00282AC9">
        <w:rPr>
          <w:sz w:val="27"/>
          <w:rtl/>
          <w:lang w:bidi="fa-IR"/>
        </w:rPr>
        <w:t>ن سَنَّها</w:t>
      </w:r>
      <w:r w:rsidRPr="00282AC9">
        <w:rPr>
          <w:rFonts w:hint="cs"/>
          <w:sz w:val="27"/>
          <w:rtl/>
          <w:lang w:bidi="fa-IR"/>
        </w:rPr>
        <w:t>،</w:t>
      </w:r>
      <w:r w:rsidR="00464852" w:rsidRPr="00282AC9">
        <w:rPr>
          <w:sz w:val="27"/>
          <w:rtl/>
          <w:lang w:bidi="fa-IR"/>
        </w:rPr>
        <w:t xml:space="preserve"> والوِز</w:t>
      </w:r>
      <w:r w:rsidRPr="00282AC9">
        <w:rPr>
          <w:rFonts w:hint="cs"/>
          <w:sz w:val="27"/>
          <w:rtl/>
          <w:lang w:bidi="fa-IR"/>
        </w:rPr>
        <w:t>ْ</w:t>
      </w:r>
      <w:r w:rsidRPr="00282AC9">
        <w:rPr>
          <w:sz w:val="27"/>
          <w:rtl/>
          <w:lang w:bidi="fa-IR"/>
        </w:rPr>
        <w:t>ر</w:t>
      </w:r>
      <w:r w:rsidR="00464852" w:rsidRPr="00282AC9">
        <w:rPr>
          <w:sz w:val="27"/>
          <w:rtl/>
          <w:lang w:bidi="fa-IR"/>
        </w:rPr>
        <w:t xml:space="preserve"> عليك بما نق</w:t>
      </w:r>
      <w:r w:rsidRPr="00282AC9">
        <w:rPr>
          <w:rFonts w:hint="cs"/>
          <w:sz w:val="27"/>
          <w:rtl/>
          <w:lang w:bidi="fa-IR"/>
        </w:rPr>
        <w:t>َ</w:t>
      </w:r>
      <w:r w:rsidR="00464852" w:rsidRPr="00282AC9">
        <w:rPr>
          <w:sz w:val="27"/>
          <w:rtl/>
          <w:lang w:bidi="fa-IR"/>
        </w:rPr>
        <w:t>ضت</w:t>
      </w:r>
      <w:r w:rsidRPr="00282AC9">
        <w:rPr>
          <w:rFonts w:hint="cs"/>
          <w:sz w:val="27"/>
          <w:rtl/>
          <w:lang w:bidi="fa-IR"/>
        </w:rPr>
        <w:t>َ</w:t>
      </w:r>
      <w:r w:rsidR="00464852" w:rsidRPr="00282AC9">
        <w:rPr>
          <w:sz w:val="27"/>
          <w:rtl/>
          <w:lang w:bidi="fa-IR"/>
        </w:rPr>
        <w:t xml:space="preserve"> منها</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25"/>
      </w:r>
      <w:r w:rsidR="00464852" w:rsidRPr="00282AC9">
        <w:rPr>
          <w:sz w:val="27"/>
          <w:vertAlign w:val="superscript"/>
          <w:rtl/>
        </w:rPr>
        <w:t>)</w:t>
      </w:r>
      <w:r w:rsidR="00464852" w:rsidRPr="00282AC9">
        <w:rPr>
          <w:rFonts w:hint="cs"/>
          <w:sz w:val="27"/>
          <w:rtl/>
        </w:rPr>
        <w:t>.</w:t>
      </w:r>
    </w:p>
    <w:p w:rsidR="00464852" w:rsidRPr="00282AC9" w:rsidRDefault="00B40784" w:rsidP="0073600A">
      <w:pPr>
        <w:pStyle w:val="afc"/>
        <w:rPr>
          <w:rFonts w:ascii="Noor_Mitra" w:hAnsi="Noor_Mitra" w:cs="AL-Mohanad"/>
          <w:sz w:val="27"/>
          <w:szCs w:val="27"/>
          <w:rtl/>
          <w:lang w:bidi="fa-IR"/>
        </w:rPr>
      </w:pPr>
      <w:r w:rsidRPr="00282AC9">
        <w:rPr>
          <w:rFonts w:ascii="Noor_Mitra" w:hAnsi="Noor_Mitra" w:cs="AL-Mohanad" w:hint="cs"/>
          <w:sz w:val="27"/>
          <w:szCs w:val="27"/>
          <w:rtl/>
        </w:rPr>
        <w:t xml:space="preserve">7ـ </w:t>
      </w:r>
      <w:r w:rsidR="00464852" w:rsidRPr="00282AC9">
        <w:rPr>
          <w:rFonts w:ascii="Noor_Mitra" w:hAnsi="Noor_Mitra" w:cs="AL-Mohanad"/>
          <w:sz w:val="27"/>
          <w:szCs w:val="27"/>
          <w:rtl/>
        </w:rPr>
        <w:t>ومن خطبة</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له</w:t>
      </w:r>
      <w:r w:rsidR="009A2A04" w:rsidRPr="00282AC9">
        <w:rPr>
          <w:rFonts w:ascii="Noor_Mitra" w:hAnsi="Noor_Mitra" w:cs="Mosawi"/>
          <w:sz w:val="22"/>
          <w:szCs w:val="22"/>
          <w:rtl/>
        </w:rPr>
        <w:t>×</w:t>
      </w:r>
      <w:r w:rsidR="00464852" w:rsidRPr="00282AC9">
        <w:rPr>
          <w:rFonts w:ascii="Noor_Mitra" w:hAnsi="Noor_Mitra" w:cs="AL-Mohanad"/>
          <w:sz w:val="27"/>
          <w:szCs w:val="27"/>
          <w:rtl/>
        </w:rPr>
        <w:t xml:space="preserve">: </w:t>
      </w:r>
      <w:r w:rsidR="00464852" w:rsidRPr="00282AC9">
        <w:rPr>
          <w:rFonts w:cs="AL-Mohanad" w:hint="eastAsia"/>
          <w:rtl/>
          <w:lang w:bidi="fa-IR"/>
        </w:rPr>
        <w:t>«</w:t>
      </w:r>
      <w:r w:rsidR="00464852" w:rsidRPr="00282AC9">
        <w:rPr>
          <w:rFonts w:ascii="Noor_Mitra" w:hAnsi="Noor_Mitra" w:cs="AL-Mohanad"/>
          <w:sz w:val="27"/>
          <w:szCs w:val="27"/>
          <w:rtl/>
          <w:lang w:bidi="fa-IR"/>
        </w:rPr>
        <w:t>واليقين على أربع شعب: تبصرة الفطنة، وتأو</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ل الحكمة، ومعرفة العبرة، وسنّة الأولين...</w:t>
      </w:r>
      <w:r w:rsidRPr="00282AC9">
        <w:rPr>
          <w:rFonts w:ascii="Noor_Mitra" w:hAnsi="Noor_Mitra" w:cs="AL-Mohanad" w:hint="cs"/>
          <w:sz w:val="27"/>
          <w:szCs w:val="27"/>
          <w:rtl/>
          <w:lang w:bidi="fa-IR"/>
        </w:rPr>
        <w:t xml:space="preserve"> </w:t>
      </w:r>
      <w:r w:rsidR="00464852" w:rsidRPr="00282AC9">
        <w:rPr>
          <w:rFonts w:ascii="Noor_Mitra" w:hAnsi="Noor_Mitra" w:cs="AL-Mohanad"/>
          <w:sz w:val="27"/>
          <w:szCs w:val="27"/>
          <w:rtl/>
          <w:lang w:bidi="fa-IR"/>
        </w:rPr>
        <w:t>وم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عرف‏ الع</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ب</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رة عرف الس</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ة، وم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عرف الس</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ة فكأن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ما كان مع الأو</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لين، واهتدى إلى التي هي أقوم، ونظر إلى 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نجا بما نجا، وم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هلك بما هلك، و</w:t>
      </w:r>
      <w:r w:rsidR="00464852" w:rsidRPr="00282AC9">
        <w:rPr>
          <w:rFonts w:ascii="Noor_Mitra" w:hAnsi="Noor_Mitra" w:cs="AL-Mohanad"/>
          <w:sz w:val="27"/>
          <w:szCs w:val="27"/>
          <w:rtl/>
          <w:lang w:bidi="fa-IR"/>
        </w:rPr>
        <w:t>إن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ما أهلك الله 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أهلك بمعصيته، و</w:t>
      </w:r>
      <w:r w:rsidR="00464852" w:rsidRPr="00282AC9">
        <w:rPr>
          <w:rFonts w:ascii="Noor_Mitra" w:hAnsi="Noor_Mitra" w:cs="AL-Mohanad"/>
          <w:sz w:val="27"/>
          <w:szCs w:val="27"/>
          <w:rtl/>
          <w:lang w:bidi="fa-IR"/>
        </w:rPr>
        <w:t>أنجى 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أنجى بطاعته</w:t>
      </w:r>
      <w:r w:rsidR="00464852" w:rsidRPr="00282AC9">
        <w:rPr>
          <w:rFonts w:cs="AL-Mohanad" w:hint="eastAsia"/>
          <w:rtl/>
        </w:rPr>
        <w:t>»</w:t>
      </w:r>
      <w:r w:rsidR="00464852" w:rsidRPr="00282AC9">
        <w:rPr>
          <w:rFonts w:ascii="Noor_Mitra" w:hAnsi="Noor_Mitra" w:cs="AL-Mohanad"/>
          <w:sz w:val="27"/>
          <w:szCs w:val="27"/>
          <w:rtl/>
          <w:lang w:bidi="fa-IR"/>
        </w:rPr>
        <w:t>.</w:t>
      </w:r>
    </w:p>
    <w:p w:rsidR="00464852"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lang w:bidi="fa-IR"/>
        </w:rPr>
        <w:t>ورد الحديث الأخير في مصادر كثيرة</w:t>
      </w:r>
      <w:r w:rsidRPr="00282AC9">
        <w:rPr>
          <w:rFonts w:ascii="Noor_Mitra" w:hAnsi="Noor_Mitra" w:cs="AL-Mohanad"/>
          <w:sz w:val="27"/>
          <w:szCs w:val="27"/>
          <w:vertAlign w:val="superscript"/>
          <w:rtl/>
          <w:lang w:bidi="fa-IR"/>
        </w:rPr>
        <w:t>(</w:t>
      </w:r>
      <w:r w:rsidRPr="00282AC9">
        <w:rPr>
          <w:rStyle w:val="af9"/>
          <w:rFonts w:ascii="Noor_Mitra" w:hAnsi="Noor_Mitra" w:cs="AL-Mohanad"/>
          <w:sz w:val="27"/>
          <w:szCs w:val="27"/>
          <w:rtl/>
          <w:lang w:bidi="fa-IR"/>
        </w:rPr>
        <w:endnoteReference w:id="526"/>
      </w:r>
      <w:r w:rsidRPr="00282AC9">
        <w:rPr>
          <w:rFonts w:ascii="Noor_Mitra" w:hAnsi="Noor_Mitra" w:cs="AL-Mohanad"/>
          <w:sz w:val="27"/>
          <w:szCs w:val="27"/>
          <w:vertAlign w:val="superscript"/>
          <w:rtl/>
          <w:lang w:bidi="fa-IR"/>
        </w:rPr>
        <w:t>)</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w:t>
      </w:r>
      <w:r w:rsidRPr="00282AC9">
        <w:rPr>
          <w:rFonts w:ascii="Noor_Mitra" w:hAnsi="Noor_Mitra" w:cs="AL-Mohanad" w:hint="cs"/>
          <w:sz w:val="27"/>
          <w:szCs w:val="27"/>
          <w:rtl/>
          <w:lang w:bidi="fa-IR"/>
        </w:rPr>
        <w:t>منها</w:t>
      </w:r>
      <w:r w:rsidR="00B40784"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كتاب </w:t>
      </w:r>
      <w:r w:rsidRPr="00282AC9">
        <w:rPr>
          <w:rFonts w:ascii="Noor_Mitra" w:hAnsi="Noor_Mitra" w:cs="AL-Mohanad"/>
          <w:sz w:val="27"/>
          <w:szCs w:val="27"/>
          <w:rtl/>
          <w:lang w:bidi="fa-IR"/>
        </w:rPr>
        <w:t>الكافي</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وهو أهم</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المصادر الحديثية اعتباراً عند الإمامي</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ة. </w:t>
      </w:r>
      <w:r w:rsidRPr="00282AC9">
        <w:rPr>
          <w:rFonts w:ascii="Noor_Mitra" w:hAnsi="Noor_Mitra" w:cs="AL-Mohanad" w:hint="cs"/>
          <w:sz w:val="27"/>
          <w:szCs w:val="27"/>
          <w:rtl/>
          <w:lang w:bidi="fa-IR"/>
        </w:rPr>
        <w:t>لكن</w:t>
      </w:r>
      <w:r w:rsidR="00B40784"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مع ذلك</w:t>
      </w:r>
      <w:r w:rsidR="00B40784" w:rsidRPr="00282AC9">
        <w:rPr>
          <w:rFonts w:ascii="Noor_Mitra" w:hAnsi="Noor_Mitra" w:cs="AL-Mohanad" w:hint="cs"/>
          <w:sz w:val="27"/>
          <w:szCs w:val="27"/>
          <w:rtl/>
          <w:lang w:bidi="fa-IR"/>
        </w:rPr>
        <w:t xml:space="preserve"> </w:t>
      </w:r>
      <w:r w:rsidRPr="00282AC9">
        <w:rPr>
          <w:rFonts w:ascii="Noor_Mitra" w:hAnsi="Noor_Mitra" w:cs="AL-Mohanad" w:hint="cs"/>
          <w:sz w:val="27"/>
          <w:szCs w:val="27"/>
          <w:rtl/>
          <w:lang w:bidi="fa-IR"/>
        </w:rPr>
        <w:t xml:space="preserve">قد </w:t>
      </w:r>
      <w:r w:rsidRPr="00282AC9">
        <w:rPr>
          <w:rFonts w:ascii="Noor_Mitra" w:hAnsi="Noor_Mitra" w:cs="AL-Mohanad"/>
          <w:sz w:val="27"/>
          <w:szCs w:val="27"/>
          <w:rtl/>
          <w:lang w:bidi="fa-IR"/>
        </w:rPr>
        <w:t xml:space="preserve">ورد في أكثر المصادر: </w:t>
      </w:r>
      <w:r w:rsidRPr="00282AC9">
        <w:rPr>
          <w:rFonts w:cs="AL-Mohanad" w:hint="eastAsia"/>
          <w:rtl/>
          <w:lang w:bidi="fa-IR"/>
        </w:rPr>
        <w:t>«</w:t>
      </w:r>
      <w:r w:rsidRPr="00282AC9">
        <w:rPr>
          <w:rFonts w:ascii="Noor_Mitra" w:hAnsi="Noor_Mitra" w:cs="AL-Mohanad"/>
          <w:sz w:val="27"/>
          <w:szCs w:val="27"/>
          <w:rtl/>
          <w:lang w:bidi="fa-IR"/>
        </w:rPr>
        <w:t>وم</w:t>
      </w:r>
      <w:r w:rsidR="00B40784" w:rsidRPr="00282AC9">
        <w:rPr>
          <w:rFonts w:ascii="Noor_Mitra" w:hAnsi="Noor_Mitra" w:cs="AL-Mohanad" w:hint="cs"/>
          <w:sz w:val="27"/>
          <w:szCs w:val="27"/>
          <w:rtl/>
          <w:lang w:bidi="fa-IR"/>
        </w:rPr>
        <w:t>َنْ</w:t>
      </w:r>
      <w:r w:rsidRPr="00282AC9">
        <w:rPr>
          <w:rFonts w:ascii="Noor_Mitra" w:hAnsi="Noor_Mitra" w:cs="AL-Mohanad"/>
          <w:sz w:val="27"/>
          <w:szCs w:val="27"/>
          <w:rtl/>
          <w:lang w:bidi="fa-IR"/>
        </w:rPr>
        <w:t>‏ عرف‏ الع</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ب</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رة</w:t>
      </w:r>
      <w:r w:rsidRPr="00282AC9">
        <w:rPr>
          <w:rFonts w:cs="AL-Mohanad" w:hint="eastAsia"/>
          <w:rtl/>
        </w:rPr>
        <w:t>»</w:t>
      </w:r>
      <w:r w:rsidRPr="00282AC9">
        <w:rPr>
          <w:rFonts w:ascii="Noor_Mitra" w:hAnsi="Noor_Mitra" w:cs="AL-Mohanad"/>
          <w:sz w:val="27"/>
          <w:szCs w:val="27"/>
          <w:rtl/>
          <w:lang w:bidi="fa-IR"/>
        </w:rPr>
        <w:t xml:space="preserve"> بدل </w:t>
      </w:r>
      <w:r w:rsidRPr="00282AC9">
        <w:rPr>
          <w:rFonts w:cs="AL-Mohanad" w:hint="eastAsia"/>
          <w:rtl/>
          <w:lang w:bidi="fa-IR"/>
        </w:rPr>
        <w:t>«</w:t>
      </w:r>
      <w:r w:rsidRPr="00282AC9">
        <w:rPr>
          <w:rFonts w:ascii="Noor_Mitra" w:hAnsi="Noor_Mitra" w:cs="AL-Mohanad"/>
          <w:sz w:val="27"/>
          <w:szCs w:val="27"/>
          <w:rtl/>
          <w:lang w:bidi="fa-IR"/>
        </w:rPr>
        <w:t>وم</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عرف‏ الس</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ة</w:t>
      </w:r>
      <w:r w:rsidRPr="00282AC9">
        <w:rPr>
          <w:rFonts w:cs="AL-Mohanad" w:hint="eastAsia"/>
          <w:rtl/>
        </w:rPr>
        <w:t>»</w:t>
      </w:r>
      <w:r w:rsidRPr="00282AC9">
        <w:rPr>
          <w:rFonts w:cs="AL-Mohanad"/>
          <w:sz w:val="27"/>
          <w:szCs w:val="27"/>
          <w:vertAlign w:val="superscript"/>
          <w:rtl/>
        </w:rPr>
        <w:t>(</w:t>
      </w:r>
      <w:r w:rsidRPr="00282AC9">
        <w:rPr>
          <w:rStyle w:val="af9"/>
          <w:rFonts w:ascii="Noor_Mitra" w:hAnsi="Noor_Mitra" w:cs="AL-Mohanad"/>
          <w:sz w:val="27"/>
          <w:szCs w:val="27"/>
          <w:rtl/>
        </w:rPr>
        <w:endnoteReference w:id="527"/>
      </w:r>
      <w:r w:rsidRPr="00282AC9">
        <w:rPr>
          <w:rFonts w:cs="AL-Mohanad"/>
          <w:sz w:val="27"/>
          <w:szCs w:val="27"/>
          <w:vertAlign w:val="superscript"/>
          <w:rtl/>
        </w:rPr>
        <w:t>)</w:t>
      </w:r>
      <w:r w:rsidRPr="00282AC9">
        <w:rPr>
          <w:rFonts w:ascii="Noor_Mitra" w:hAnsi="Noor_Mitra" w:cs="AL-Mohanad"/>
          <w:sz w:val="27"/>
          <w:szCs w:val="27"/>
          <w:rtl/>
        </w:rPr>
        <w:t>. فحينئذ</w:t>
      </w:r>
      <w:r w:rsidR="00B40784" w:rsidRPr="00282AC9">
        <w:rPr>
          <w:rFonts w:ascii="Noor_Mitra" w:hAnsi="Noor_Mitra" w:cs="AL-Mohanad" w:hint="cs"/>
          <w:sz w:val="27"/>
          <w:szCs w:val="27"/>
          <w:rtl/>
        </w:rPr>
        <w:t>ٍ</w:t>
      </w:r>
      <w:r w:rsidRPr="00282AC9">
        <w:rPr>
          <w:rFonts w:ascii="Noor_Mitra" w:hAnsi="Noor_Mitra" w:cs="AL-Mohanad"/>
          <w:sz w:val="27"/>
          <w:szCs w:val="27"/>
          <w:rtl/>
        </w:rPr>
        <w:t xml:space="preserve"> كلمة </w:t>
      </w:r>
      <w:r w:rsidRPr="00282AC9">
        <w:rPr>
          <w:rFonts w:cs="AL-Mohanad" w:hint="eastAsia"/>
          <w:rtl/>
          <w:lang w:bidi="fa-IR"/>
        </w:rPr>
        <w:t>«</w:t>
      </w:r>
      <w:r w:rsidR="00B40784" w:rsidRPr="00282AC9">
        <w:rPr>
          <w:rFonts w:ascii="Noor_Mitra" w:hAnsi="Noor_Mitra" w:cs="AL-Mohanad"/>
          <w:sz w:val="27"/>
          <w:szCs w:val="27"/>
          <w:rtl/>
          <w:lang w:bidi="fa-IR"/>
        </w:rPr>
        <w:t>الس</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ة</w:t>
      </w:r>
      <w:r w:rsidRPr="00282AC9">
        <w:rPr>
          <w:rFonts w:cs="AL-Mohanad" w:hint="eastAsia"/>
          <w:rtl/>
        </w:rPr>
        <w:t>»</w:t>
      </w:r>
      <w:r w:rsidRPr="00282AC9">
        <w:rPr>
          <w:rFonts w:ascii="Noor_Mitra" w:hAnsi="Noor_Mitra" w:cs="AL-Mohanad"/>
          <w:sz w:val="27"/>
          <w:szCs w:val="27"/>
          <w:rtl/>
          <w:lang w:bidi="fa-IR"/>
        </w:rPr>
        <w:t xml:space="preserve"> </w:t>
      </w:r>
      <w:r w:rsidRPr="00282AC9">
        <w:rPr>
          <w:rFonts w:ascii="Noor_Mitra" w:hAnsi="Noor_Mitra" w:cs="AL-Mohanad" w:hint="cs"/>
          <w:sz w:val="27"/>
          <w:szCs w:val="27"/>
          <w:rtl/>
          <w:lang w:bidi="fa-IR"/>
        </w:rPr>
        <w:t>لا</w:t>
      </w:r>
      <w:r w:rsidR="00B40784" w:rsidRPr="00282AC9">
        <w:rPr>
          <w:rFonts w:ascii="Noor_Mitra" w:hAnsi="Noor_Mitra" w:cs="AL-Mohanad" w:hint="cs"/>
          <w:sz w:val="27"/>
          <w:szCs w:val="27"/>
          <w:rtl/>
          <w:lang w:bidi="fa-IR"/>
        </w:rPr>
        <w:t xml:space="preserve"> </w:t>
      </w:r>
      <w:r w:rsidRPr="00282AC9">
        <w:rPr>
          <w:rFonts w:ascii="Noor_Mitra" w:hAnsi="Noor_Mitra" w:cs="AL-Mohanad" w:hint="cs"/>
          <w:sz w:val="27"/>
          <w:szCs w:val="27"/>
          <w:rtl/>
          <w:lang w:bidi="fa-IR"/>
        </w:rPr>
        <w:t>توجد في الحديث إلا</w:t>
      </w:r>
      <w:r w:rsidR="00B40784"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 xml:space="preserve">في </w:t>
      </w:r>
      <w:r w:rsidRPr="00282AC9">
        <w:rPr>
          <w:rFonts w:ascii="Noor_Mitra" w:hAnsi="Noor_Mitra" w:cs="AL-Mohanad" w:hint="cs"/>
          <w:sz w:val="27"/>
          <w:szCs w:val="27"/>
          <w:rtl/>
          <w:lang w:bidi="fa-IR"/>
        </w:rPr>
        <w:t xml:space="preserve">تعبير </w:t>
      </w:r>
      <w:r w:rsidRPr="00282AC9">
        <w:rPr>
          <w:rFonts w:cs="AL-Mohanad" w:hint="eastAsia"/>
          <w:rtl/>
          <w:lang w:bidi="fa-IR"/>
        </w:rPr>
        <w:t>«</w:t>
      </w:r>
      <w:r w:rsidRPr="00282AC9">
        <w:rPr>
          <w:rFonts w:ascii="Noor_Mitra" w:hAnsi="Noor_Mitra" w:cs="AL-Mohanad"/>
          <w:sz w:val="27"/>
          <w:szCs w:val="27"/>
          <w:rtl/>
          <w:lang w:bidi="fa-IR"/>
        </w:rPr>
        <w:t>سن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الأو</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لين</w:t>
      </w:r>
      <w:r w:rsidRPr="00282AC9">
        <w:rPr>
          <w:rFonts w:cs="AL-Mohanad" w:hint="eastAsia"/>
          <w:rtl/>
        </w:rPr>
        <w:t>»</w:t>
      </w:r>
      <w:r w:rsidRPr="00282AC9">
        <w:rPr>
          <w:rFonts w:ascii="Noor_Mitra" w:hAnsi="Noor_Mitra" w:cs="AL-Mohanad"/>
          <w:sz w:val="27"/>
          <w:szCs w:val="27"/>
          <w:rtl/>
          <w:lang w:bidi="fa-IR"/>
        </w:rPr>
        <w:t xml:space="preserve"> في صدر الرواية، وه</w:t>
      </w:r>
      <w:r w:rsidRPr="00282AC9">
        <w:rPr>
          <w:rFonts w:ascii="Noor_Mitra" w:hAnsi="Noor_Mitra" w:cs="AL-Mohanad" w:hint="cs"/>
          <w:sz w:val="27"/>
          <w:szCs w:val="27"/>
          <w:rtl/>
          <w:lang w:bidi="fa-IR"/>
        </w:rPr>
        <w:t>ذا التعبير غير دالٍّ</w:t>
      </w:r>
      <w:r w:rsidRPr="00282AC9">
        <w:rPr>
          <w:rFonts w:ascii="Noor_Mitra" w:hAnsi="Noor_Mitra" w:cs="AL-Mohanad"/>
          <w:sz w:val="27"/>
          <w:szCs w:val="27"/>
          <w:rtl/>
          <w:lang w:bidi="fa-IR"/>
        </w:rPr>
        <w:t xml:space="preserve"> على المعنى العام</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ضرورة</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لأنه ر</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ب</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ما يشير إلى تعبير </w:t>
      </w:r>
      <w:r w:rsidRPr="00282AC9">
        <w:rPr>
          <w:rFonts w:cs="AL-Mohanad" w:hint="eastAsia"/>
          <w:rtl/>
          <w:lang w:bidi="fa-IR"/>
        </w:rPr>
        <w:t>«</w:t>
      </w:r>
      <w:r w:rsidRPr="00282AC9">
        <w:rPr>
          <w:rFonts w:ascii="Noor_Mitra" w:hAnsi="Noor_Mitra" w:cs="AL-Mohanad"/>
          <w:sz w:val="27"/>
          <w:szCs w:val="27"/>
          <w:rtl/>
          <w:lang w:bidi="fa-IR"/>
        </w:rPr>
        <w:t>سن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الأو</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لين</w:t>
      </w:r>
      <w:r w:rsidRPr="00282AC9">
        <w:rPr>
          <w:rFonts w:cs="AL-Mohanad" w:hint="eastAsia"/>
          <w:rtl/>
        </w:rPr>
        <w:t>»</w:t>
      </w:r>
      <w:r w:rsidRPr="00282AC9">
        <w:rPr>
          <w:rFonts w:ascii="Noor_Mitra" w:hAnsi="Noor_Mitra" w:cs="AL-Mohanad"/>
          <w:sz w:val="27"/>
          <w:szCs w:val="27"/>
          <w:rtl/>
          <w:lang w:bidi="fa-IR"/>
        </w:rPr>
        <w:t xml:space="preserve"> في القرآن الكريم</w:t>
      </w:r>
      <w:r w:rsidRPr="00282AC9">
        <w:rPr>
          <w:rFonts w:ascii="Noor_Mitra" w:hAnsi="Noor_Mitra" w:cs="AL-Mohanad"/>
          <w:sz w:val="27"/>
          <w:szCs w:val="27"/>
          <w:vertAlign w:val="superscript"/>
          <w:rtl/>
          <w:lang w:bidi="fa-IR"/>
        </w:rPr>
        <w:t>(</w:t>
      </w:r>
      <w:r w:rsidRPr="00282AC9">
        <w:rPr>
          <w:rStyle w:val="af9"/>
          <w:rFonts w:ascii="Noor_Mitra" w:hAnsi="Noor_Mitra" w:cs="AL-Mohanad"/>
          <w:sz w:val="27"/>
          <w:szCs w:val="27"/>
          <w:rtl/>
          <w:lang w:bidi="fa-IR"/>
        </w:rPr>
        <w:endnoteReference w:id="528"/>
      </w:r>
      <w:r w:rsidRPr="00282AC9">
        <w:rPr>
          <w:rFonts w:ascii="Noor_Mitra" w:hAnsi="Noor_Mitra" w:cs="AL-Mohanad"/>
          <w:sz w:val="27"/>
          <w:szCs w:val="27"/>
          <w:vertAlign w:val="superscript"/>
          <w:rtl/>
          <w:lang w:bidi="fa-IR"/>
        </w:rPr>
        <w:t>)</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وقد تقدّ</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م في المقالة الساب</w:t>
      </w:r>
      <w:r w:rsidR="00B40784" w:rsidRPr="00282AC9">
        <w:rPr>
          <w:rFonts w:ascii="Noor_Mitra" w:hAnsi="Noor_Mitra" w:cs="AL-Mohanad"/>
          <w:sz w:val="27"/>
          <w:szCs w:val="27"/>
          <w:rtl/>
          <w:lang w:bidi="fa-IR"/>
        </w:rPr>
        <w:t>قة حول الاستعمالات القرآنية عدم</w:t>
      </w:r>
      <w:r w:rsidRPr="00282AC9">
        <w:rPr>
          <w:rFonts w:ascii="Noor_Mitra" w:hAnsi="Noor_Mitra" w:cs="AL-Mohanad"/>
          <w:sz w:val="27"/>
          <w:szCs w:val="27"/>
          <w:rtl/>
          <w:lang w:bidi="fa-IR"/>
        </w:rPr>
        <w:t xml:space="preserve"> وضوح</w:t>
      </w:r>
      <w:r w:rsidRPr="00282AC9">
        <w:rPr>
          <w:rFonts w:ascii="Noor_Mitra" w:hAnsi="Noor_Mitra" w:cs="AL-Mohanad" w:hint="cs"/>
          <w:sz w:val="27"/>
          <w:szCs w:val="27"/>
          <w:rtl/>
          <w:lang w:bidi="fa-IR"/>
        </w:rPr>
        <w:t xml:space="preserve"> هذا التعبير</w:t>
      </w:r>
      <w:r w:rsidRPr="00282AC9">
        <w:rPr>
          <w:rFonts w:ascii="Noor_Mitra" w:hAnsi="Noor_Mitra" w:cs="AL-Mohanad"/>
          <w:sz w:val="27"/>
          <w:szCs w:val="27"/>
          <w:rtl/>
          <w:lang w:bidi="fa-IR"/>
        </w:rPr>
        <w:t xml:space="preserve"> في المعنى العام</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لاحتمال كونه بمعنى سن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ة الله في عذابهم</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w:t>
      </w:r>
      <w:r w:rsidRPr="00282AC9">
        <w:rPr>
          <w:rFonts w:ascii="Noor_Mitra" w:hAnsi="Noor_Mitra" w:cs="AL-Mohanad" w:hint="cs"/>
          <w:sz w:val="27"/>
          <w:szCs w:val="27"/>
          <w:rtl/>
          <w:lang w:bidi="fa-IR"/>
        </w:rPr>
        <w:t>ف</w:t>
      </w:r>
      <w:r w:rsidRPr="00282AC9">
        <w:rPr>
          <w:rFonts w:ascii="Noor_Mitra" w:hAnsi="Noor_Mitra" w:cs="AL-Mohanad"/>
          <w:sz w:val="27"/>
          <w:szCs w:val="27"/>
          <w:rtl/>
          <w:lang w:bidi="fa-IR"/>
        </w:rPr>
        <w:t>هي سن</w:t>
      </w:r>
      <w:r w:rsidR="00B40784" w:rsidRPr="00282AC9">
        <w:rPr>
          <w:rFonts w:ascii="Noor_Mitra" w:hAnsi="Noor_Mitra" w:cs="AL-Mohanad" w:hint="cs"/>
          <w:sz w:val="27"/>
          <w:szCs w:val="27"/>
          <w:rtl/>
          <w:lang w:bidi="fa-IR"/>
        </w:rPr>
        <w:t>ّ</w:t>
      </w:r>
      <w:r w:rsidR="00B40784" w:rsidRPr="00282AC9">
        <w:rPr>
          <w:rFonts w:ascii="Noor_Mitra" w:hAnsi="Noor_Mitra" w:cs="AL-Mohanad"/>
          <w:sz w:val="27"/>
          <w:szCs w:val="27"/>
          <w:rtl/>
          <w:lang w:bidi="fa-IR"/>
        </w:rPr>
        <w:t>ة الله</w:t>
      </w:r>
      <w:r w:rsidR="00B40784" w:rsidRPr="00282AC9">
        <w:rPr>
          <w:rFonts w:ascii="Noor_Mitra" w:hAnsi="Noor_Mitra" w:cs="AL-Mohanad" w:hint="cs"/>
          <w:sz w:val="27"/>
          <w:szCs w:val="27"/>
          <w:rtl/>
          <w:lang w:bidi="fa-IR"/>
        </w:rPr>
        <w:t>،</w:t>
      </w:r>
      <w:r w:rsidR="00B40784" w:rsidRPr="00282AC9">
        <w:rPr>
          <w:rFonts w:ascii="Noor_Mitra" w:hAnsi="Noor_Mitra" w:cs="AL-Mohanad"/>
          <w:sz w:val="27"/>
          <w:szCs w:val="27"/>
          <w:rtl/>
          <w:lang w:bidi="fa-IR"/>
        </w:rPr>
        <w:t xml:space="preserve"> و</w:t>
      </w:r>
      <w:r w:rsidRPr="00282AC9">
        <w:rPr>
          <w:rFonts w:ascii="Noor_Mitra" w:hAnsi="Noor_Mitra" w:cs="AL-Mohanad"/>
          <w:sz w:val="27"/>
          <w:szCs w:val="27"/>
          <w:rtl/>
          <w:lang w:bidi="fa-IR"/>
        </w:rPr>
        <w:t>لا</w:t>
      </w:r>
      <w:r w:rsidR="00B40784"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 xml:space="preserve">يمكن أن تكون </w:t>
      </w:r>
      <w:r w:rsidRPr="00282AC9">
        <w:rPr>
          <w:rFonts w:ascii="Noor_Mitra" w:hAnsi="Noor_Mitra" w:cs="AL-Mohanad" w:hint="cs"/>
          <w:sz w:val="27"/>
          <w:szCs w:val="27"/>
          <w:rtl/>
          <w:lang w:bidi="fa-IR"/>
        </w:rPr>
        <w:t>طريقةً</w:t>
      </w:r>
      <w:r w:rsidRPr="00282AC9">
        <w:rPr>
          <w:rFonts w:ascii="Noor_Mitra" w:hAnsi="Noor_Mitra" w:cs="AL-Mohanad"/>
          <w:sz w:val="27"/>
          <w:szCs w:val="27"/>
          <w:rtl/>
          <w:lang w:bidi="fa-IR"/>
        </w:rPr>
        <w:t xml:space="preserve"> سي</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ئةً</w:t>
      </w:r>
      <w:r w:rsidRPr="00282AC9">
        <w:rPr>
          <w:rFonts w:ascii="Noor_Mitra" w:hAnsi="Noor_Mitra" w:cs="AL-Mohanad" w:hint="cs"/>
          <w:sz w:val="27"/>
          <w:szCs w:val="27"/>
          <w:rtl/>
          <w:lang w:bidi="fa-IR"/>
        </w:rPr>
        <w:t xml:space="preserve"> حت</w:t>
      </w:r>
      <w:r w:rsidR="00B40784" w:rsidRPr="00282AC9">
        <w:rPr>
          <w:rFonts w:ascii="Noor_Mitra" w:hAnsi="Noor_Mitra" w:cs="AL-Mohanad" w:hint="cs"/>
          <w:sz w:val="27"/>
          <w:szCs w:val="27"/>
          <w:rtl/>
          <w:lang w:bidi="fa-IR"/>
        </w:rPr>
        <w:t>ّى تُثبت</w:t>
      </w:r>
      <w:r w:rsidRPr="00282AC9">
        <w:rPr>
          <w:rFonts w:ascii="Noor_Mitra" w:hAnsi="Noor_Mitra" w:cs="AL-Mohanad" w:hint="cs"/>
          <w:sz w:val="27"/>
          <w:szCs w:val="27"/>
          <w:rtl/>
          <w:lang w:bidi="fa-IR"/>
        </w:rPr>
        <w:t xml:space="preserve"> المعنى العام</w:t>
      </w:r>
      <w:r w:rsidR="00B40784"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للكلمة</w:t>
      </w:r>
      <w:r w:rsidRPr="00282AC9">
        <w:rPr>
          <w:rFonts w:ascii="Noor_Mitra" w:hAnsi="Noor_Mitra" w:cs="AL-Mohanad"/>
          <w:sz w:val="27"/>
          <w:szCs w:val="27"/>
          <w:vertAlign w:val="superscript"/>
          <w:rtl/>
          <w:lang w:bidi="fa-IR"/>
        </w:rPr>
        <w:t>(</w:t>
      </w:r>
      <w:r w:rsidRPr="00282AC9">
        <w:rPr>
          <w:rStyle w:val="af9"/>
          <w:rFonts w:ascii="Noor_Mitra" w:hAnsi="Noor_Mitra" w:cs="AL-Mohanad"/>
          <w:sz w:val="27"/>
          <w:szCs w:val="27"/>
          <w:rtl/>
          <w:lang w:bidi="fa-IR"/>
        </w:rPr>
        <w:endnoteReference w:id="529"/>
      </w:r>
      <w:r w:rsidRPr="00282AC9">
        <w:rPr>
          <w:rFonts w:ascii="Noor_Mitra" w:hAnsi="Noor_Mitra" w:cs="AL-Mohanad"/>
          <w:sz w:val="27"/>
          <w:szCs w:val="27"/>
          <w:vertAlign w:val="superscript"/>
          <w:rtl/>
          <w:lang w:bidi="fa-IR"/>
        </w:rPr>
        <w:t>)</w:t>
      </w:r>
      <w:r w:rsidRPr="00282AC9">
        <w:rPr>
          <w:rFonts w:ascii="Noor_Mitra" w:hAnsi="Noor_Mitra" w:cs="AL-Mohanad"/>
          <w:sz w:val="27"/>
          <w:szCs w:val="27"/>
          <w:rtl/>
          <w:lang w:bidi="fa-IR"/>
        </w:rPr>
        <w:t xml:space="preserve">. </w:t>
      </w:r>
      <w:r w:rsidRPr="00282AC9">
        <w:rPr>
          <w:rFonts w:ascii="Noor_Mitra" w:hAnsi="Noor_Mitra" w:cs="AL-Mohanad" w:hint="cs"/>
          <w:sz w:val="27"/>
          <w:szCs w:val="27"/>
          <w:rtl/>
          <w:lang w:bidi="fa-IR"/>
        </w:rPr>
        <w:t>و</w:t>
      </w:r>
      <w:r w:rsidRPr="00282AC9">
        <w:rPr>
          <w:rFonts w:ascii="Noor_Mitra" w:hAnsi="Noor_Mitra" w:cs="AL-Mohanad"/>
          <w:sz w:val="27"/>
          <w:szCs w:val="27"/>
          <w:rtl/>
          <w:lang w:bidi="fa-IR"/>
        </w:rPr>
        <w:t>على أي</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حال</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لم يحرز أن تكون </w:t>
      </w:r>
      <w:r w:rsidRPr="00282AC9">
        <w:rPr>
          <w:rFonts w:cs="AL-Mohanad" w:hint="eastAsia"/>
          <w:rtl/>
          <w:lang w:bidi="fa-IR"/>
        </w:rPr>
        <w:t>«</w:t>
      </w:r>
      <w:r w:rsidR="00B40784" w:rsidRPr="00282AC9">
        <w:rPr>
          <w:rFonts w:ascii="Noor_Mitra" w:hAnsi="Noor_Mitra" w:cs="AL-Mohanad"/>
          <w:sz w:val="27"/>
          <w:szCs w:val="27"/>
          <w:rtl/>
          <w:lang w:bidi="fa-IR"/>
        </w:rPr>
        <w:t>الس</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ة</w:t>
      </w:r>
      <w:r w:rsidRPr="00282AC9">
        <w:rPr>
          <w:rFonts w:cs="AL-Mohanad" w:hint="eastAsia"/>
          <w:rtl/>
        </w:rPr>
        <w:t>»</w:t>
      </w:r>
      <w:r w:rsidRPr="00282AC9">
        <w:rPr>
          <w:rFonts w:ascii="Noor_Mitra" w:hAnsi="Noor_Mitra" w:cs="AL-Mohanad"/>
          <w:sz w:val="27"/>
          <w:szCs w:val="27"/>
          <w:rtl/>
          <w:lang w:bidi="fa-IR"/>
        </w:rPr>
        <w:t xml:space="preserve"> في الحديث من المصاديق السي</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ئة للطريقة، لكن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ه ر</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ب</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ما يصلح للاستدلال كقرينةٍ</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إلى جانب سائر القرائن.</w:t>
      </w:r>
    </w:p>
    <w:p w:rsidR="00464852"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lang w:bidi="fa-IR"/>
        </w:rPr>
        <w:t xml:space="preserve"> </w:t>
      </w:r>
      <w:r w:rsidR="004B426B" w:rsidRPr="00282AC9">
        <w:rPr>
          <w:rFonts w:ascii="Noor_Mitra" w:hAnsi="Noor_Mitra" w:cs="AL-Mohanad" w:hint="cs"/>
          <w:sz w:val="27"/>
          <w:szCs w:val="27"/>
          <w:rtl/>
        </w:rPr>
        <w:t>8</w:t>
      </w:r>
      <w:r w:rsidR="00B40784" w:rsidRPr="00282AC9">
        <w:rPr>
          <w:rFonts w:ascii="Noor_Mitra" w:hAnsi="Noor_Mitra" w:cs="AL-Mohanad" w:hint="cs"/>
          <w:sz w:val="27"/>
          <w:szCs w:val="27"/>
          <w:rtl/>
          <w:lang w:bidi="fa-IR"/>
        </w:rPr>
        <w:t xml:space="preserve">ـ </w:t>
      </w:r>
      <w:r w:rsidR="00B40784" w:rsidRPr="00282AC9">
        <w:rPr>
          <w:rFonts w:ascii="Noor_Mitra" w:hAnsi="Noor_Mitra" w:cs="AL-Mohanad"/>
          <w:sz w:val="27"/>
          <w:szCs w:val="27"/>
          <w:rtl/>
          <w:lang w:bidi="fa-IR"/>
        </w:rPr>
        <w:t>ورُو</w:t>
      </w:r>
      <w:r w:rsidRPr="00282AC9">
        <w:rPr>
          <w:rFonts w:ascii="Noor_Mitra" w:hAnsi="Noor_Mitra" w:cs="AL-Mohanad"/>
          <w:sz w:val="27"/>
          <w:szCs w:val="27"/>
          <w:rtl/>
          <w:lang w:bidi="fa-IR"/>
        </w:rPr>
        <w:t>ي عنه</w:t>
      </w:r>
      <w:r w:rsidR="009A2A04" w:rsidRPr="00282AC9">
        <w:rPr>
          <w:rFonts w:ascii="Noor_Mitra" w:hAnsi="Noor_Mitra" w:cs="Mosawi"/>
          <w:sz w:val="22"/>
          <w:szCs w:val="22"/>
          <w:rtl/>
          <w:lang w:bidi="fa-IR"/>
        </w:rPr>
        <w:t>×</w:t>
      </w:r>
      <w:r w:rsidRPr="00282AC9">
        <w:rPr>
          <w:rFonts w:ascii="Noor_Mitra" w:eastAsiaTheme="minorHAnsi" w:hAnsi="Noor_Mitra" w:cs="AL-Mohanad"/>
          <w:sz w:val="27"/>
          <w:szCs w:val="27"/>
          <w:rtl/>
          <w:lang w:bidi="fa-IR"/>
        </w:rPr>
        <w:t xml:space="preserve">: </w:t>
      </w:r>
      <w:r w:rsidRPr="00282AC9">
        <w:rPr>
          <w:rFonts w:cs="AL-Mohanad" w:hint="eastAsia"/>
          <w:rtl/>
          <w:lang w:bidi="fa-IR"/>
        </w:rPr>
        <w:t>«</w:t>
      </w:r>
      <w:r w:rsidRPr="00282AC9">
        <w:rPr>
          <w:rFonts w:ascii="Noor_Mitra" w:hAnsi="Noor_Mitra" w:cs="AL-Mohanad"/>
          <w:sz w:val="27"/>
          <w:szCs w:val="27"/>
          <w:rtl/>
          <w:lang w:bidi="fa-IR"/>
        </w:rPr>
        <w:t>أظلم الناس م</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س</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نّ</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سُنَن</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الج</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و</w:t>
      </w:r>
      <w:r w:rsidR="00B40784" w:rsidRPr="00282AC9">
        <w:rPr>
          <w:rFonts w:ascii="Noor_Mitra" w:hAnsi="Noor_Mitra" w:cs="AL-Mohanad" w:hint="cs"/>
          <w:sz w:val="27"/>
          <w:szCs w:val="27"/>
          <w:rtl/>
          <w:lang w:bidi="fa-IR"/>
        </w:rPr>
        <w:t>ْ</w:t>
      </w:r>
      <w:r w:rsidR="00B40784" w:rsidRPr="00282AC9">
        <w:rPr>
          <w:rFonts w:ascii="Noor_Mitra" w:hAnsi="Noor_Mitra" w:cs="AL-Mohanad"/>
          <w:sz w:val="27"/>
          <w:szCs w:val="27"/>
          <w:rtl/>
          <w:lang w:bidi="fa-IR"/>
        </w:rPr>
        <w:t>ر</w:t>
      </w:r>
      <w:r w:rsidR="00B40784" w:rsidRPr="00282AC9">
        <w:rPr>
          <w:rFonts w:ascii="Noor_Mitra" w:hAnsi="Noor_Mitra" w:cs="AL-Mohanad" w:hint="cs"/>
          <w:sz w:val="27"/>
          <w:szCs w:val="27"/>
          <w:rtl/>
          <w:lang w:bidi="fa-IR"/>
        </w:rPr>
        <w:t>،</w:t>
      </w:r>
      <w:r w:rsidR="00B40784" w:rsidRPr="00282AC9">
        <w:rPr>
          <w:rFonts w:ascii="Noor_Mitra" w:hAnsi="Noor_Mitra" w:cs="AL-Mohanad"/>
          <w:sz w:val="27"/>
          <w:szCs w:val="27"/>
          <w:rtl/>
          <w:lang w:bidi="fa-IR"/>
        </w:rPr>
        <w:t xml:space="preserve"> و</w:t>
      </w:r>
      <w:r w:rsidRPr="00282AC9">
        <w:rPr>
          <w:rFonts w:ascii="Noor_Mitra" w:hAnsi="Noor_Mitra" w:cs="AL-Mohanad"/>
          <w:sz w:val="27"/>
          <w:szCs w:val="27"/>
          <w:rtl/>
          <w:lang w:bidi="fa-IR"/>
        </w:rPr>
        <w:t>محا سُنَن</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العدل</w:t>
      </w:r>
      <w:r w:rsidRPr="00282AC9">
        <w:rPr>
          <w:rFonts w:cs="AL-Mohanad" w:hint="eastAsia"/>
          <w:rtl/>
        </w:rPr>
        <w:t>»</w:t>
      </w:r>
      <w:r w:rsidRPr="00282AC9">
        <w:rPr>
          <w:rFonts w:ascii="Noor_Mitra" w:hAnsi="Noor_Mitra" w:cs="AL-Mohanad"/>
          <w:sz w:val="27"/>
          <w:szCs w:val="27"/>
          <w:vertAlign w:val="superscript"/>
          <w:rtl/>
          <w:lang w:bidi="fa-IR"/>
        </w:rPr>
        <w:t>(</w:t>
      </w:r>
      <w:r w:rsidRPr="00282AC9">
        <w:rPr>
          <w:rStyle w:val="af9"/>
          <w:rFonts w:ascii="Noor_Mitra" w:hAnsi="Noor_Mitra" w:cs="AL-Mohanad"/>
          <w:sz w:val="27"/>
          <w:szCs w:val="27"/>
          <w:rtl/>
          <w:lang w:bidi="fa-IR"/>
        </w:rPr>
        <w:endnoteReference w:id="530"/>
      </w:r>
      <w:r w:rsidRPr="00282AC9">
        <w:rPr>
          <w:rFonts w:ascii="Noor_Mitra" w:hAnsi="Noor_Mitra" w:cs="AL-Mohanad"/>
          <w:sz w:val="27"/>
          <w:szCs w:val="27"/>
          <w:vertAlign w:val="superscript"/>
          <w:rtl/>
          <w:lang w:bidi="fa-IR"/>
        </w:rPr>
        <w:t>)</w:t>
      </w:r>
      <w:r w:rsidRPr="00282AC9">
        <w:rPr>
          <w:rFonts w:ascii="Noor_Mitra" w:hAnsi="Noor_Mitra" w:cs="AL-Mohanad"/>
          <w:sz w:val="27"/>
          <w:szCs w:val="27"/>
          <w:rtl/>
          <w:lang w:bidi="fa-IR"/>
        </w:rPr>
        <w:t xml:space="preserve">. </w:t>
      </w:r>
    </w:p>
    <w:p w:rsidR="00464852" w:rsidRPr="00282AC9" w:rsidRDefault="00B40784" w:rsidP="0073600A">
      <w:pPr>
        <w:pStyle w:val="afc"/>
        <w:rPr>
          <w:rFonts w:ascii="Noor_Mitra" w:hAnsi="Noor_Mitra" w:cs="AL-Mohanad"/>
          <w:sz w:val="27"/>
          <w:szCs w:val="27"/>
          <w:rtl/>
          <w:lang w:bidi="fa-IR"/>
        </w:rPr>
      </w:pPr>
      <w:r w:rsidRPr="00282AC9">
        <w:rPr>
          <w:rFonts w:ascii="Noor_Mitra" w:hAnsi="Noor_Mitra" w:cs="AL-Mohanad" w:hint="cs"/>
          <w:sz w:val="27"/>
          <w:szCs w:val="27"/>
          <w:rtl/>
        </w:rPr>
        <w:t xml:space="preserve">9ـ </w:t>
      </w:r>
      <w:r w:rsidR="00464852" w:rsidRPr="00282AC9">
        <w:rPr>
          <w:rFonts w:ascii="Noor_Mitra" w:hAnsi="Noor_Mitra" w:cs="AL-Mohanad"/>
          <w:sz w:val="27"/>
          <w:szCs w:val="27"/>
          <w:rtl/>
        </w:rPr>
        <w:t>ورُ</w:t>
      </w:r>
      <w:r w:rsidRPr="00282AC9">
        <w:rPr>
          <w:rFonts w:ascii="Noor_Mitra" w:hAnsi="Noor_Mitra" w:cs="AL-Mohanad"/>
          <w:sz w:val="27"/>
          <w:szCs w:val="27"/>
          <w:rtl/>
        </w:rPr>
        <w:t>و</w:t>
      </w:r>
      <w:r w:rsidR="00464852" w:rsidRPr="00282AC9">
        <w:rPr>
          <w:rFonts w:ascii="Noor_Mitra" w:hAnsi="Noor_Mitra" w:cs="AL-Mohanad"/>
          <w:sz w:val="27"/>
          <w:szCs w:val="27"/>
          <w:rtl/>
        </w:rPr>
        <w:t>ي عن الصادق</w:t>
      </w:r>
      <w:r w:rsidR="009A2A04" w:rsidRPr="00282AC9">
        <w:rPr>
          <w:rFonts w:ascii="Noor_Mitra" w:hAnsi="Noor_Mitra" w:cs="Mosawi"/>
          <w:sz w:val="22"/>
          <w:szCs w:val="22"/>
          <w:rtl/>
        </w:rPr>
        <w:t>×</w:t>
      </w:r>
      <w:r w:rsidR="00464852" w:rsidRPr="00282AC9">
        <w:rPr>
          <w:rFonts w:ascii="Noor_Mitra" w:hAnsi="Noor_Mitra" w:cs="AL-Mohanad"/>
          <w:sz w:val="27"/>
          <w:szCs w:val="27"/>
          <w:rtl/>
        </w:rPr>
        <w:t xml:space="preserve"> أن أمير المؤمنين</w:t>
      </w:r>
      <w:r w:rsidR="009A2A04" w:rsidRPr="00282AC9">
        <w:rPr>
          <w:rFonts w:ascii="Noor_Mitra" w:hAnsi="Noor_Mitra" w:cs="Mosawi"/>
          <w:sz w:val="22"/>
          <w:szCs w:val="22"/>
          <w:rtl/>
        </w:rPr>
        <w:t>×</w:t>
      </w:r>
      <w:r w:rsidR="00464852" w:rsidRPr="00282AC9">
        <w:rPr>
          <w:rFonts w:ascii="Noor_Mitra" w:hAnsi="Noor_Mitra" w:cs="AL-Mohanad"/>
          <w:sz w:val="27"/>
          <w:szCs w:val="27"/>
          <w:rtl/>
        </w:rPr>
        <w:t xml:space="preserve"> أحي</w:t>
      </w:r>
      <w:r w:rsidRPr="00282AC9">
        <w:rPr>
          <w:rFonts w:ascii="Noor_Mitra" w:hAnsi="Noor_Mitra" w:cs="AL-Mohanad" w:hint="cs"/>
          <w:sz w:val="27"/>
          <w:szCs w:val="27"/>
          <w:rtl/>
        </w:rPr>
        <w:t>ى</w:t>
      </w:r>
      <w:r w:rsidR="00464852" w:rsidRPr="00282AC9">
        <w:rPr>
          <w:rFonts w:ascii="Noor_Mitra" w:hAnsi="Noor_Mitra" w:cs="AL-Mohanad"/>
          <w:sz w:val="27"/>
          <w:szCs w:val="27"/>
          <w:rtl/>
        </w:rPr>
        <w:t xml:space="preserve"> شخصا</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بعد موته، </w:t>
      </w:r>
      <w:r w:rsidR="00464852" w:rsidRPr="00282AC9">
        <w:rPr>
          <w:rFonts w:cs="AL-Mohanad" w:hint="eastAsia"/>
          <w:rtl/>
          <w:lang w:bidi="fa-IR"/>
        </w:rPr>
        <w:t>«</w:t>
      </w:r>
      <w:r w:rsidR="00464852" w:rsidRPr="00282AC9">
        <w:rPr>
          <w:rFonts w:ascii="Noor_Mitra" w:hAnsi="Noor_Mitra" w:cs="AL-Mohanad"/>
          <w:sz w:val="27"/>
          <w:szCs w:val="27"/>
          <w:rtl/>
          <w:lang w:bidi="fa-IR"/>
        </w:rPr>
        <w:t>فخرج من قبره</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وهو يقول‏ بلسان الفرس، ف</w:t>
      </w:r>
      <w:r w:rsidRPr="00282AC9">
        <w:rPr>
          <w:rFonts w:ascii="Noor_Mitra" w:hAnsi="Noor_Mitra" w:cs="AL-Mohanad"/>
          <w:sz w:val="27"/>
          <w:szCs w:val="27"/>
          <w:rtl/>
          <w:lang w:bidi="fa-IR"/>
        </w:rPr>
        <w:t>قال أمير المؤمنين</w:t>
      </w:r>
      <w:r w:rsidR="009A2A04" w:rsidRPr="00282AC9">
        <w:rPr>
          <w:rFonts w:ascii="Noor_Mitra" w:hAnsi="Noor_Mitra" w:cs="Mosawi"/>
          <w:sz w:val="22"/>
          <w:szCs w:val="22"/>
          <w:rtl/>
          <w:lang w:bidi="fa-IR"/>
        </w:rPr>
        <w:t>×</w:t>
      </w:r>
      <w:r w:rsidRPr="00282AC9">
        <w:rPr>
          <w:rFonts w:ascii="Noor_Mitra" w:hAnsi="Noor_Mitra" w:cs="AL-Mohanad"/>
          <w:sz w:val="27"/>
          <w:szCs w:val="27"/>
          <w:rtl/>
          <w:lang w:bidi="fa-IR"/>
        </w:rPr>
        <w:t>: أ</w:t>
      </w:r>
      <w:r w:rsidR="00464852" w:rsidRPr="00282AC9">
        <w:rPr>
          <w:rFonts w:ascii="Noor_Mitra" w:hAnsi="Noor_Mitra" w:cs="AL-Mohanad"/>
          <w:sz w:val="27"/>
          <w:szCs w:val="27"/>
          <w:rtl/>
          <w:lang w:bidi="fa-IR"/>
        </w:rPr>
        <w:t>ل</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تَمُتْ وأنت</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رجل</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من العرب؟! قال: بلى، ولكن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ا متنا على سُنّ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ة فلان‏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وفلان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فانقلب</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ت</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ألسنتنا</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31"/>
      </w:r>
      <w:r w:rsidR="00464852" w:rsidRPr="00282AC9">
        <w:rPr>
          <w:rFonts w:cs="AL-Mohanad"/>
          <w:sz w:val="27"/>
          <w:szCs w:val="27"/>
          <w:vertAlign w:val="superscript"/>
          <w:rtl/>
        </w:rPr>
        <w:t>)</w:t>
      </w:r>
      <w:r w:rsidR="00464852" w:rsidRPr="00282AC9">
        <w:rPr>
          <w:rFonts w:ascii="Noor_Mitra" w:hAnsi="Noor_Mitra" w:cs="AL-Mohanad"/>
          <w:sz w:val="27"/>
          <w:szCs w:val="27"/>
          <w:rtl/>
        </w:rPr>
        <w:t xml:space="preserve">. </w:t>
      </w:r>
    </w:p>
    <w:p w:rsidR="00B40784"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lang w:bidi="fa-IR"/>
        </w:rPr>
        <w:lastRenderedPageBreak/>
        <w:t>إن هذا الحديث ل</w:t>
      </w:r>
      <w:r w:rsidRPr="00282AC9">
        <w:rPr>
          <w:rFonts w:ascii="Noor_Mitra" w:hAnsi="Noor_Mitra" w:cs="AL-Mohanad" w:hint="cs"/>
          <w:sz w:val="27"/>
          <w:szCs w:val="27"/>
          <w:rtl/>
          <w:lang w:bidi="fa-IR"/>
        </w:rPr>
        <w:t>ا</w:t>
      </w:r>
      <w:r w:rsidRPr="00282AC9">
        <w:rPr>
          <w:rFonts w:ascii="Noor_Mitra" w:hAnsi="Noor_Mitra" w:cs="AL-Mohanad"/>
          <w:sz w:val="27"/>
          <w:szCs w:val="27"/>
          <w:rtl/>
          <w:lang w:bidi="fa-IR"/>
        </w:rPr>
        <w:t xml:space="preserve"> </w:t>
      </w:r>
      <w:r w:rsidRPr="00282AC9">
        <w:rPr>
          <w:rFonts w:ascii="Noor_Mitra" w:hAnsi="Noor_Mitra" w:cs="AL-Mohanad" w:hint="cs"/>
          <w:sz w:val="27"/>
          <w:szCs w:val="27"/>
          <w:rtl/>
          <w:lang w:bidi="fa-IR"/>
        </w:rPr>
        <w:t>يُروَى</w:t>
      </w:r>
      <w:r w:rsidRPr="00282AC9">
        <w:rPr>
          <w:rFonts w:ascii="Noor_Mitra" w:hAnsi="Noor_Mitra" w:cs="AL-Mohanad"/>
          <w:sz w:val="27"/>
          <w:szCs w:val="27"/>
          <w:rtl/>
          <w:lang w:bidi="fa-IR"/>
        </w:rPr>
        <w:t xml:space="preserve"> عن </w:t>
      </w:r>
      <w:r w:rsidR="00B40784" w:rsidRPr="00282AC9">
        <w:rPr>
          <w:rFonts w:ascii="Noor_Mitra" w:hAnsi="Noor_Mitra" w:cs="AL-Mohanad" w:hint="cs"/>
          <w:sz w:val="27"/>
          <w:szCs w:val="27"/>
          <w:rtl/>
          <w:lang w:bidi="fa-IR"/>
        </w:rPr>
        <w:t>أ</w:t>
      </w:r>
      <w:r w:rsidRPr="00282AC9">
        <w:rPr>
          <w:rFonts w:ascii="Noor_Mitra" w:hAnsi="Noor_Mitra" w:cs="AL-Mohanad"/>
          <w:sz w:val="27"/>
          <w:szCs w:val="27"/>
          <w:rtl/>
          <w:lang w:bidi="fa-IR"/>
        </w:rPr>
        <w:t>م</w:t>
      </w:r>
      <w:r w:rsidRPr="00282AC9">
        <w:rPr>
          <w:rFonts w:cs="AL-Mohanad" w:hint="cs"/>
          <w:sz w:val="27"/>
          <w:szCs w:val="27"/>
          <w:rtl/>
          <w:lang w:bidi="fa-IR"/>
        </w:rPr>
        <w:t>ي</w:t>
      </w:r>
      <w:r w:rsidRPr="00282AC9">
        <w:rPr>
          <w:rFonts w:ascii="Noor_Mitra" w:hAnsi="Noor_Mitra" w:cs="AL-Mohanad" w:hint="cs"/>
          <w:sz w:val="27"/>
          <w:szCs w:val="27"/>
          <w:rtl/>
          <w:lang w:bidi="fa-IR"/>
        </w:rPr>
        <w:t>ر</w:t>
      </w:r>
      <w:r w:rsidRPr="00282AC9">
        <w:rPr>
          <w:rFonts w:ascii="Noor_Mitra" w:hAnsi="Noor_Mitra" w:cs="AL-Mohanad"/>
          <w:sz w:val="27"/>
          <w:szCs w:val="27"/>
          <w:rtl/>
          <w:lang w:bidi="fa-IR"/>
        </w:rPr>
        <w:t xml:space="preserve"> </w:t>
      </w:r>
      <w:r w:rsidRPr="00282AC9">
        <w:rPr>
          <w:rFonts w:ascii="Noor_Mitra" w:hAnsi="Noor_Mitra" w:cs="AL-Mohanad" w:hint="cs"/>
          <w:sz w:val="27"/>
          <w:szCs w:val="27"/>
          <w:rtl/>
          <w:lang w:bidi="fa-IR"/>
        </w:rPr>
        <w:t>المؤمن</w:t>
      </w:r>
      <w:r w:rsidRPr="00282AC9">
        <w:rPr>
          <w:rFonts w:cs="AL-Mohanad" w:hint="cs"/>
          <w:sz w:val="27"/>
          <w:szCs w:val="27"/>
          <w:rtl/>
          <w:lang w:bidi="fa-IR"/>
        </w:rPr>
        <w:t>ي</w:t>
      </w:r>
      <w:r w:rsidRPr="00282AC9">
        <w:rPr>
          <w:rFonts w:ascii="Noor_Mitra" w:hAnsi="Noor_Mitra" w:cs="AL-Mohanad" w:hint="cs"/>
          <w:sz w:val="27"/>
          <w:szCs w:val="27"/>
          <w:rtl/>
          <w:lang w:bidi="fa-IR"/>
        </w:rPr>
        <w:t>ن</w:t>
      </w:r>
      <w:r w:rsidR="009A2A04" w:rsidRPr="00282AC9">
        <w:rPr>
          <w:rFonts w:ascii="Noor_Mitra" w:hAnsi="Noor_Mitra" w:cs="Mosawi"/>
          <w:sz w:val="22"/>
          <w:szCs w:val="22"/>
          <w:rtl/>
          <w:lang w:bidi="fa-IR"/>
        </w:rPr>
        <w:t>×</w:t>
      </w:r>
      <w:r w:rsidR="00B40784" w:rsidRPr="00282AC9">
        <w:rPr>
          <w:rFonts w:ascii="Noor_Mitra" w:hAnsi="Noor_Mitra" w:cs="AL-Mohanad"/>
          <w:sz w:val="27"/>
          <w:szCs w:val="27"/>
          <w:rtl/>
          <w:lang w:bidi="fa-IR"/>
        </w:rPr>
        <w:t xml:space="preserve"> مباشرةً، بل هو مروي</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عن الإمام الصادق</w:t>
      </w:r>
      <w:r w:rsidR="009A2A04" w:rsidRPr="00282AC9">
        <w:rPr>
          <w:rFonts w:ascii="Noor_Mitra" w:hAnsi="Noor_Mitra" w:cs="Mosawi"/>
          <w:sz w:val="22"/>
          <w:szCs w:val="22"/>
          <w:rtl/>
          <w:lang w:bidi="fa-IR"/>
        </w:rPr>
        <w:t>×</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عنه</w:t>
      </w:r>
      <w:r w:rsidR="009A2A04" w:rsidRPr="00282AC9">
        <w:rPr>
          <w:rFonts w:ascii="Noor_Mitra" w:hAnsi="Noor_Mitra" w:cs="Mosawi"/>
          <w:sz w:val="22"/>
          <w:szCs w:val="22"/>
          <w:rtl/>
          <w:lang w:bidi="fa-IR"/>
        </w:rPr>
        <w:t>×</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w:t>
      </w:r>
      <w:r w:rsidRPr="00282AC9">
        <w:rPr>
          <w:rFonts w:ascii="Noor_Mitra" w:hAnsi="Noor_Mitra" w:cs="AL-Mohanad" w:hint="cs"/>
          <w:sz w:val="27"/>
          <w:szCs w:val="27"/>
          <w:rtl/>
          <w:lang w:bidi="fa-IR"/>
        </w:rPr>
        <w:t>لا يبعد</w:t>
      </w:r>
      <w:r w:rsidRPr="00282AC9">
        <w:rPr>
          <w:rFonts w:ascii="Noor_Mitra" w:hAnsi="Noor_Mitra" w:cs="AL-Mohanad"/>
          <w:sz w:val="27"/>
          <w:szCs w:val="27"/>
          <w:rtl/>
          <w:lang w:bidi="fa-IR"/>
        </w:rPr>
        <w:t xml:space="preserve"> أن </w:t>
      </w:r>
      <w:r w:rsidR="00B40784" w:rsidRPr="00282AC9">
        <w:rPr>
          <w:rFonts w:cs="AL-Mohanad" w:hint="cs"/>
          <w:sz w:val="27"/>
          <w:szCs w:val="27"/>
          <w:rtl/>
          <w:lang w:bidi="fa-IR"/>
        </w:rPr>
        <w:t>ي</w:t>
      </w:r>
      <w:r w:rsidRPr="00282AC9">
        <w:rPr>
          <w:rFonts w:ascii="Noor_Mitra" w:hAnsi="Noor_Mitra" w:cs="AL-Mohanad" w:hint="cs"/>
          <w:sz w:val="27"/>
          <w:szCs w:val="27"/>
          <w:rtl/>
          <w:lang w:bidi="fa-IR"/>
        </w:rPr>
        <w:t>تكل</w:t>
      </w:r>
      <w:r w:rsidR="00B40784"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م</w:t>
      </w:r>
      <w:r w:rsidRPr="00282AC9">
        <w:rPr>
          <w:rFonts w:ascii="Noor_Mitra" w:hAnsi="Noor_Mitra" w:cs="AL-Mohanad"/>
          <w:sz w:val="27"/>
          <w:szCs w:val="27"/>
          <w:rtl/>
          <w:lang w:bidi="fa-IR"/>
        </w:rPr>
        <w:t xml:space="preserve"> </w:t>
      </w:r>
      <w:r w:rsidRPr="00282AC9">
        <w:rPr>
          <w:rFonts w:ascii="Noor_Mitra" w:hAnsi="Noor_Mitra" w:cs="AL-Mohanad" w:hint="cs"/>
          <w:sz w:val="27"/>
          <w:szCs w:val="27"/>
          <w:rtl/>
          <w:lang w:bidi="fa-IR"/>
        </w:rPr>
        <w:t>الإمام</w:t>
      </w:r>
      <w:r w:rsidRPr="00282AC9">
        <w:rPr>
          <w:rFonts w:ascii="Noor_Mitra" w:hAnsi="Noor_Mitra" w:cs="AL-Mohanad"/>
          <w:sz w:val="27"/>
          <w:szCs w:val="27"/>
          <w:rtl/>
          <w:lang w:bidi="fa-IR"/>
        </w:rPr>
        <w:t xml:space="preserve"> الصادق</w:t>
      </w:r>
      <w:r w:rsidR="009A2A04" w:rsidRPr="00282AC9">
        <w:rPr>
          <w:rFonts w:ascii="Noor_Mitra" w:hAnsi="Noor_Mitra" w:cs="Mosawi"/>
          <w:sz w:val="22"/>
          <w:szCs w:val="22"/>
          <w:rtl/>
          <w:lang w:bidi="fa-IR"/>
        </w:rPr>
        <w:t>×</w:t>
      </w:r>
      <w:r w:rsidRPr="00282AC9">
        <w:rPr>
          <w:rFonts w:ascii="Noor_Mitra" w:hAnsi="Noor_Mitra" w:cs="AL-Mohanad"/>
          <w:sz w:val="27"/>
          <w:szCs w:val="27"/>
          <w:rtl/>
          <w:lang w:bidi="fa-IR"/>
        </w:rPr>
        <w:t xml:space="preserve"> وِفقَ لغة عصره ومخاط</w:t>
      </w:r>
      <w:r w:rsidR="00B40784" w:rsidRPr="00282AC9">
        <w:rPr>
          <w:rFonts w:ascii="Noor_Mitra" w:hAnsi="Noor_Mitra" w:cs="AL-Mohanad" w:hint="cs"/>
          <w:sz w:val="27"/>
          <w:szCs w:val="27"/>
          <w:rtl/>
          <w:lang w:bidi="fa-IR"/>
        </w:rPr>
        <w:t>َ</w:t>
      </w:r>
      <w:r w:rsidR="00B40784" w:rsidRPr="00282AC9">
        <w:rPr>
          <w:rFonts w:ascii="Noor_Mitra" w:hAnsi="Noor_Mitra" w:cs="AL-Mohanad"/>
          <w:sz w:val="27"/>
          <w:szCs w:val="27"/>
          <w:rtl/>
          <w:lang w:bidi="fa-IR"/>
        </w:rPr>
        <w:t>بيه، ويحكي كلام</w:t>
      </w:r>
      <w:r w:rsidRPr="00282AC9">
        <w:rPr>
          <w:rFonts w:ascii="Noor_Mitra" w:hAnsi="Noor_Mitra" w:cs="AL-Mohanad"/>
          <w:sz w:val="27"/>
          <w:szCs w:val="27"/>
          <w:rtl/>
          <w:lang w:bidi="fa-IR"/>
        </w:rPr>
        <w:t xml:space="preserve"> أمير</w:t>
      </w:r>
      <w:r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المؤمنين</w:t>
      </w:r>
      <w:r w:rsidR="009A2A04" w:rsidRPr="00282AC9">
        <w:rPr>
          <w:rFonts w:ascii="Noor_Mitra" w:hAnsi="Noor_Mitra" w:cs="Mosawi"/>
          <w:sz w:val="22"/>
          <w:szCs w:val="22"/>
          <w:rtl/>
          <w:lang w:bidi="fa-IR"/>
        </w:rPr>
        <w:t>×</w:t>
      </w:r>
      <w:r w:rsidRPr="00282AC9">
        <w:rPr>
          <w:rFonts w:ascii="Noor_Mitra" w:hAnsi="Noor_Mitra" w:cs="AL-Mohanad"/>
          <w:sz w:val="27"/>
          <w:szCs w:val="27"/>
          <w:rtl/>
          <w:lang w:bidi="fa-IR"/>
        </w:rPr>
        <w:t xml:space="preserve"> وِفقَ العربي</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ة في القرن الثاني الهجري</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فإذَنْ يبدو أن الاستدلال بهذا الحديث على معنى الكلمة في عصر النبي</w:t>
      </w:r>
      <w:r w:rsidR="00B40784" w:rsidRPr="00282AC9">
        <w:rPr>
          <w:rFonts w:ascii="Noor_Mitra" w:hAnsi="Noor_Mitra" w:cs="AL-Mohanad" w:hint="cs"/>
          <w:sz w:val="27"/>
          <w:szCs w:val="27"/>
          <w:rtl/>
          <w:lang w:bidi="fa-IR"/>
        </w:rPr>
        <w:t>ّ</w:t>
      </w:r>
      <w:r w:rsidR="009A2A04" w:rsidRPr="00282AC9">
        <w:rPr>
          <w:rFonts w:ascii="Noor_Mitra" w:hAnsi="Noor_Mitra" w:cs="Mosawi"/>
          <w:sz w:val="22"/>
          <w:szCs w:val="22"/>
          <w:rtl/>
          <w:lang w:bidi="fa-IR"/>
        </w:rPr>
        <w:t>×</w:t>
      </w:r>
      <w:r w:rsidRPr="00282AC9">
        <w:rPr>
          <w:rFonts w:ascii="Noor_Mitra" w:hAnsi="Noor_Mitra" w:cs="AL-Mohanad"/>
          <w:sz w:val="27"/>
          <w:szCs w:val="27"/>
          <w:rtl/>
          <w:lang w:bidi="fa-IR"/>
        </w:rPr>
        <w:t xml:space="preserve"> لا</w:t>
      </w:r>
      <w:r w:rsidR="00B40784"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يخلو من الإشكال</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والظاهر أنه صالح</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للاستدلال على معنى الكلمة في العصور المتأخ</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رة، خصوصا</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أن سياقه لا</w:t>
      </w:r>
      <w:r w:rsidR="00B40784"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ي</w:t>
      </w:r>
      <w:r w:rsidR="00B40784" w:rsidRPr="00282AC9">
        <w:rPr>
          <w:rFonts w:ascii="Noor_Mitra" w:hAnsi="Noor_Mitra" w:cs="AL-Mohanad" w:hint="cs"/>
          <w:sz w:val="27"/>
          <w:szCs w:val="27"/>
          <w:rtl/>
          <w:lang w:bidi="fa-IR"/>
        </w:rPr>
        <w:t>ت</w:t>
      </w:r>
      <w:r w:rsidRPr="00282AC9">
        <w:rPr>
          <w:rFonts w:ascii="Noor_Mitra" w:hAnsi="Noor_Mitra" w:cs="AL-Mohanad"/>
          <w:sz w:val="27"/>
          <w:szCs w:val="27"/>
          <w:rtl/>
          <w:lang w:bidi="fa-IR"/>
        </w:rPr>
        <w:t>طابق بشكلٍ جلي</w:t>
      </w:r>
      <w:r w:rsidRPr="00282AC9">
        <w:rPr>
          <w:rFonts w:ascii="Noor_Mitra" w:hAnsi="Noor_Mitra" w:cs="AL-Mohanad" w:hint="cs"/>
          <w:sz w:val="27"/>
          <w:szCs w:val="27"/>
          <w:rtl/>
          <w:lang w:bidi="fa-IR"/>
        </w:rPr>
        <w:t>ّ</w:t>
      </w:r>
      <w:r w:rsidR="00B40784"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مع ما ورد من النصوص المختلفة من عصر أمير</w:t>
      </w:r>
      <w:r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المؤمنين</w:t>
      </w:r>
      <w:r w:rsidR="009A2A04" w:rsidRPr="00282AC9">
        <w:rPr>
          <w:rFonts w:ascii="Noor_Mitra" w:hAnsi="Noor_Mitra" w:cs="Mosawi"/>
          <w:sz w:val="22"/>
          <w:szCs w:val="22"/>
          <w:rtl/>
          <w:lang w:bidi="fa-IR"/>
        </w:rPr>
        <w:t>×</w:t>
      </w:r>
      <w:r w:rsidR="00B40784" w:rsidRPr="00282AC9">
        <w:rPr>
          <w:rFonts w:ascii="Noor_Mitra" w:hAnsi="Noor_Mitra" w:cs="AL-Mohanad" w:hint="cs"/>
          <w:sz w:val="27"/>
          <w:szCs w:val="27"/>
          <w:rtl/>
          <w:lang w:bidi="fa-IR"/>
        </w:rPr>
        <w:t>،</w:t>
      </w:r>
      <w:r w:rsidR="00B40784" w:rsidRPr="00282AC9">
        <w:rPr>
          <w:rFonts w:ascii="Noor_Mitra" w:hAnsi="Noor_Mitra" w:cs="AL-Mohanad"/>
          <w:sz w:val="27"/>
          <w:szCs w:val="27"/>
          <w:rtl/>
          <w:lang w:bidi="fa-IR"/>
        </w:rPr>
        <w:t xml:space="preserve"> كخطب نهج البلاغة وغيرها.</w:t>
      </w:r>
    </w:p>
    <w:p w:rsidR="00B40784" w:rsidRPr="00282AC9" w:rsidRDefault="00464852" w:rsidP="0073600A">
      <w:pPr>
        <w:pStyle w:val="afc"/>
        <w:rPr>
          <w:rFonts w:ascii="Noor_Mitra" w:hAnsi="Noor_Mitra" w:cs="AL-Mohanad"/>
          <w:sz w:val="27"/>
          <w:szCs w:val="27"/>
          <w:rtl/>
        </w:rPr>
      </w:pPr>
      <w:r w:rsidRPr="00282AC9">
        <w:rPr>
          <w:rFonts w:ascii="Noor_Mitra" w:hAnsi="Noor_Mitra" w:cs="AL-Mohanad"/>
          <w:sz w:val="27"/>
          <w:szCs w:val="27"/>
          <w:rtl/>
        </w:rPr>
        <w:t xml:space="preserve">نعم، يحتمل أن </w:t>
      </w:r>
      <w:r w:rsidRPr="00282AC9">
        <w:rPr>
          <w:rFonts w:ascii="Noor_Mitra" w:hAnsi="Noor_Mitra" w:cs="AL-Mohanad" w:hint="cs"/>
          <w:sz w:val="27"/>
          <w:szCs w:val="27"/>
          <w:rtl/>
        </w:rPr>
        <w:t>ي</w:t>
      </w:r>
      <w:r w:rsidRPr="00282AC9">
        <w:rPr>
          <w:rFonts w:ascii="Noor_Mitra" w:hAnsi="Noor_Mitra" w:cs="AL-Mohanad"/>
          <w:sz w:val="27"/>
          <w:szCs w:val="27"/>
          <w:rtl/>
        </w:rPr>
        <w:t xml:space="preserve">كون </w:t>
      </w:r>
      <w:r w:rsidR="00B40784" w:rsidRPr="00282AC9">
        <w:rPr>
          <w:rFonts w:ascii="Noor_Mitra" w:hAnsi="Noor_Mitra" w:cs="AL-Mohanad" w:hint="cs"/>
          <w:sz w:val="27"/>
          <w:szCs w:val="27"/>
          <w:rtl/>
        </w:rPr>
        <w:t>باقي</w:t>
      </w:r>
      <w:r w:rsidRPr="00282AC9">
        <w:rPr>
          <w:rFonts w:ascii="Noor_Mitra" w:hAnsi="Noor_Mitra" w:cs="AL-Mohanad"/>
          <w:sz w:val="27"/>
          <w:szCs w:val="27"/>
          <w:rtl/>
        </w:rPr>
        <w:t xml:space="preserve"> كلمات أمير</w:t>
      </w:r>
      <w:r w:rsidRPr="00282AC9">
        <w:rPr>
          <w:rFonts w:ascii="Noor_Mitra" w:hAnsi="Noor_Mitra" w:cs="AL-Mohanad" w:hint="cs"/>
          <w:sz w:val="27"/>
          <w:szCs w:val="27"/>
          <w:rtl/>
        </w:rPr>
        <w:t xml:space="preserve"> </w:t>
      </w:r>
      <w:r w:rsidRPr="00282AC9">
        <w:rPr>
          <w:rFonts w:ascii="Noor_Mitra" w:hAnsi="Noor_Mitra" w:cs="AL-Mohanad"/>
          <w:sz w:val="27"/>
          <w:szCs w:val="27"/>
          <w:rtl/>
        </w:rPr>
        <w:t>المؤمنين</w:t>
      </w:r>
      <w:r w:rsidR="009A2A04" w:rsidRPr="00282AC9">
        <w:rPr>
          <w:rFonts w:ascii="Noor_Mitra" w:hAnsi="Noor_Mitra" w:cs="Mosawi"/>
          <w:sz w:val="22"/>
          <w:szCs w:val="22"/>
          <w:rtl/>
        </w:rPr>
        <w:t>×</w:t>
      </w:r>
      <w:r w:rsidR="00B40784" w:rsidRPr="00282AC9">
        <w:rPr>
          <w:rFonts w:ascii="Noor_Mitra" w:hAnsi="Noor_Mitra" w:cs="AL-Mohanad" w:hint="cs"/>
          <w:sz w:val="27"/>
          <w:szCs w:val="27"/>
          <w:rtl/>
        </w:rPr>
        <w:t xml:space="preserve">، </w:t>
      </w:r>
      <w:r w:rsidR="00B40784" w:rsidRPr="00282AC9">
        <w:rPr>
          <w:rFonts w:ascii="Noor_Mitra" w:hAnsi="Noor_Mitra" w:cs="AL-Mohanad"/>
          <w:sz w:val="27"/>
          <w:szCs w:val="27"/>
          <w:rtl/>
        </w:rPr>
        <w:t>التي رواها غيرُ الصادق</w:t>
      </w:r>
      <w:r w:rsidR="009A2A04" w:rsidRPr="00282AC9">
        <w:rPr>
          <w:rFonts w:ascii="Noor_Mitra" w:hAnsi="Noor_Mitra" w:cs="Mosawi"/>
          <w:sz w:val="22"/>
          <w:szCs w:val="22"/>
          <w:rtl/>
        </w:rPr>
        <w:t>×</w:t>
      </w:r>
      <w:r w:rsidR="00B40784" w:rsidRPr="00282AC9">
        <w:rPr>
          <w:rFonts w:ascii="Noor_Mitra" w:hAnsi="Noor_Mitra" w:cs="AL-Mohanad" w:hint="cs"/>
          <w:sz w:val="27"/>
          <w:szCs w:val="27"/>
          <w:rtl/>
        </w:rPr>
        <w:t>،</w:t>
      </w:r>
      <w:r w:rsidRPr="00282AC9">
        <w:rPr>
          <w:rFonts w:ascii="Noor_Mitra" w:hAnsi="Noor_Mitra" w:cs="AL-Mohanad"/>
          <w:sz w:val="27"/>
          <w:szCs w:val="27"/>
          <w:rtl/>
        </w:rPr>
        <w:t xml:space="preserve"> أيضا</w:t>
      </w:r>
      <w:r w:rsidR="00B40784" w:rsidRPr="00282AC9">
        <w:rPr>
          <w:rFonts w:ascii="Noor_Mitra" w:hAnsi="Noor_Mitra" w:cs="AL-Mohanad" w:hint="cs"/>
          <w:sz w:val="27"/>
          <w:szCs w:val="27"/>
          <w:rtl/>
        </w:rPr>
        <w:t>ً</w:t>
      </w:r>
      <w:r w:rsidRPr="00282AC9">
        <w:rPr>
          <w:rFonts w:ascii="Noor_Mitra" w:hAnsi="Noor_Mitra" w:cs="AL-Mohanad"/>
          <w:sz w:val="27"/>
          <w:szCs w:val="27"/>
          <w:rtl/>
        </w:rPr>
        <w:t xml:space="preserve"> من قبيل</w:t>
      </w:r>
      <w:r w:rsidR="00B40784" w:rsidRPr="00282AC9">
        <w:rPr>
          <w:rFonts w:ascii="Noor_Mitra" w:hAnsi="Noor_Mitra" w:cs="AL-Mohanad" w:hint="cs"/>
          <w:sz w:val="27"/>
          <w:szCs w:val="27"/>
          <w:rtl/>
        </w:rPr>
        <w:t>:</w:t>
      </w:r>
      <w:r w:rsidRPr="00282AC9">
        <w:rPr>
          <w:rFonts w:ascii="Noor_Mitra" w:hAnsi="Noor_Mitra" w:cs="AL-Mohanad"/>
          <w:sz w:val="27"/>
          <w:szCs w:val="27"/>
          <w:rtl/>
        </w:rPr>
        <w:t xml:space="preserve"> النقل بالمعنى، لكنّ </w:t>
      </w:r>
      <w:r w:rsidRPr="00282AC9">
        <w:rPr>
          <w:rFonts w:ascii="Noor_Mitra" w:hAnsi="Noor_Mitra" w:cs="AL-Mohanad" w:hint="cs"/>
          <w:sz w:val="27"/>
          <w:szCs w:val="27"/>
          <w:rtl/>
        </w:rPr>
        <w:t xml:space="preserve">أكثر ما ذكرنا عن </w:t>
      </w:r>
      <w:r w:rsidR="00B40784" w:rsidRPr="00282AC9">
        <w:rPr>
          <w:rFonts w:ascii="Noor_Mitra" w:hAnsi="Noor_Mitra" w:cs="AL-Mohanad" w:hint="cs"/>
          <w:sz w:val="27"/>
          <w:szCs w:val="27"/>
          <w:rtl/>
        </w:rPr>
        <w:t>أ</w:t>
      </w:r>
      <w:r w:rsidRPr="00282AC9">
        <w:rPr>
          <w:rFonts w:ascii="Noor_Mitra" w:hAnsi="Noor_Mitra" w:cs="AL-Mohanad" w:hint="cs"/>
          <w:sz w:val="27"/>
          <w:szCs w:val="27"/>
          <w:rtl/>
        </w:rPr>
        <w:t>م</w:t>
      </w:r>
      <w:r w:rsidRPr="00282AC9">
        <w:rPr>
          <w:rFonts w:cs="AL-Mohanad" w:hint="cs"/>
          <w:sz w:val="27"/>
          <w:szCs w:val="27"/>
          <w:rtl/>
        </w:rPr>
        <w:t>ي</w:t>
      </w:r>
      <w:r w:rsidRPr="00282AC9">
        <w:rPr>
          <w:rFonts w:ascii="Noor_Mitra" w:hAnsi="Noor_Mitra" w:cs="AL-Mohanad" w:hint="cs"/>
          <w:sz w:val="27"/>
          <w:szCs w:val="27"/>
          <w:rtl/>
        </w:rPr>
        <w:t>ر المؤمن</w:t>
      </w:r>
      <w:r w:rsidRPr="00282AC9">
        <w:rPr>
          <w:rFonts w:cs="AL-Mohanad" w:hint="cs"/>
          <w:sz w:val="27"/>
          <w:szCs w:val="27"/>
          <w:rtl/>
        </w:rPr>
        <w:t>ي</w:t>
      </w:r>
      <w:r w:rsidRPr="00282AC9">
        <w:rPr>
          <w:rFonts w:ascii="Noor_Mitra" w:hAnsi="Noor_Mitra" w:cs="AL-Mohanad" w:hint="cs"/>
          <w:sz w:val="27"/>
          <w:szCs w:val="27"/>
          <w:rtl/>
        </w:rPr>
        <w:t>ن</w:t>
      </w:r>
      <w:r w:rsidR="009A2A04" w:rsidRPr="00282AC9">
        <w:rPr>
          <w:rFonts w:ascii="Noor_Mitra" w:hAnsi="Noor_Mitra" w:cs="Mosawi" w:hint="cs"/>
          <w:sz w:val="22"/>
          <w:szCs w:val="22"/>
          <w:rtl/>
        </w:rPr>
        <w:t>×</w:t>
      </w:r>
      <w:r w:rsidRPr="00282AC9">
        <w:rPr>
          <w:rFonts w:ascii="Noor_Mitra" w:hAnsi="Noor_Mitra" w:cs="AL-Mohanad" w:hint="cs"/>
          <w:sz w:val="27"/>
          <w:szCs w:val="27"/>
          <w:rtl/>
        </w:rPr>
        <w:t xml:space="preserve"> في هذه المقالة كان من خطبه</w:t>
      </w:r>
      <w:r w:rsidR="00B40784" w:rsidRPr="00282AC9">
        <w:rPr>
          <w:rFonts w:ascii="Noor_Mitra" w:hAnsi="Noor_Mitra" w:cs="AL-Mohanad" w:hint="cs"/>
          <w:sz w:val="27"/>
          <w:szCs w:val="27"/>
          <w:rtl/>
        </w:rPr>
        <w:t>،</w:t>
      </w:r>
      <w:r w:rsidRPr="00282AC9">
        <w:rPr>
          <w:rFonts w:ascii="Noor_Mitra" w:hAnsi="Noor_Mitra" w:cs="AL-Mohanad" w:hint="cs"/>
          <w:sz w:val="27"/>
          <w:szCs w:val="27"/>
          <w:rtl/>
        </w:rPr>
        <w:t xml:space="preserve"> و</w:t>
      </w:r>
      <w:r w:rsidR="00B40784" w:rsidRPr="00282AC9">
        <w:rPr>
          <w:rFonts w:ascii="Noor_Mitra" w:hAnsi="Noor_Mitra" w:cs="AL-Mohanad"/>
          <w:sz w:val="27"/>
          <w:szCs w:val="27"/>
          <w:rtl/>
        </w:rPr>
        <w:t>الداعي للن</w:t>
      </w:r>
      <w:r w:rsidRPr="00282AC9">
        <w:rPr>
          <w:rFonts w:ascii="Noor_Mitra" w:hAnsi="Noor_Mitra" w:cs="AL-Mohanad"/>
          <w:sz w:val="27"/>
          <w:szCs w:val="27"/>
          <w:rtl/>
        </w:rPr>
        <w:t xml:space="preserve">قل باللفظ في الخُطَب وأمثالها </w:t>
      </w:r>
      <w:r w:rsidR="00B40784" w:rsidRPr="00282AC9">
        <w:rPr>
          <w:rFonts w:cs="AL-Mohanad" w:hint="cs"/>
          <w:sz w:val="27"/>
          <w:szCs w:val="27"/>
          <w:rtl/>
        </w:rPr>
        <w:t xml:space="preserve">ـ </w:t>
      </w:r>
      <w:r w:rsidRPr="00282AC9">
        <w:rPr>
          <w:rFonts w:ascii="Noor_Mitra" w:hAnsi="Noor_Mitra" w:cs="AL-Mohanad"/>
          <w:sz w:val="27"/>
          <w:szCs w:val="27"/>
          <w:rtl/>
        </w:rPr>
        <w:t>كما ي</w:t>
      </w:r>
      <w:r w:rsidR="00B40784" w:rsidRPr="00282AC9">
        <w:rPr>
          <w:rFonts w:ascii="Noor_Mitra" w:hAnsi="Noor_Mitra" w:cs="AL-Mohanad" w:hint="cs"/>
          <w:sz w:val="27"/>
          <w:szCs w:val="27"/>
          <w:rtl/>
        </w:rPr>
        <w:t>ُ</w:t>
      </w:r>
      <w:r w:rsidRPr="00282AC9">
        <w:rPr>
          <w:rFonts w:ascii="Noor_Mitra" w:hAnsi="Noor_Mitra" w:cs="AL-Mohanad"/>
          <w:sz w:val="27"/>
          <w:szCs w:val="27"/>
          <w:rtl/>
        </w:rPr>
        <w:t>لاح</w:t>
      </w:r>
      <w:r w:rsidR="00B40784" w:rsidRPr="00282AC9">
        <w:rPr>
          <w:rFonts w:ascii="Noor_Mitra" w:hAnsi="Noor_Mitra" w:cs="AL-Mohanad" w:hint="cs"/>
          <w:sz w:val="27"/>
          <w:szCs w:val="27"/>
          <w:rtl/>
        </w:rPr>
        <w:t>َ</w:t>
      </w:r>
      <w:r w:rsidRPr="00282AC9">
        <w:rPr>
          <w:rFonts w:ascii="Noor_Mitra" w:hAnsi="Noor_Mitra" w:cs="AL-Mohanad"/>
          <w:sz w:val="27"/>
          <w:szCs w:val="27"/>
          <w:rtl/>
        </w:rPr>
        <w:t>ظ في الخطب المروي</w:t>
      </w:r>
      <w:r w:rsidR="00B40784" w:rsidRPr="00282AC9">
        <w:rPr>
          <w:rFonts w:ascii="Noor_Mitra" w:hAnsi="Noor_Mitra" w:cs="AL-Mohanad" w:hint="cs"/>
          <w:sz w:val="27"/>
          <w:szCs w:val="27"/>
          <w:rtl/>
        </w:rPr>
        <w:t>ّ</w:t>
      </w:r>
      <w:r w:rsidRPr="00282AC9">
        <w:rPr>
          <w:rFonts w:ascii="Noor_Mitra" w:hAnsi="Noor_Mitra" w:cs="AL-Mohanad"/>
          <w:sz w:val="27"/>
          <w:szCs w:val="27"/>
          <w:rtl/>
        </w:rPr>
        <w:t>ة عنه</w:t>
      </w:r>
      <w:r w:rsidR="009A2A04" w:rsidRPr="00282AC9">
        <w:rPr>
          <w:rFonts w:ascii="Noor_Mitra" w:hAnsi="Noor_Mitra" w:cs="Mosawi"/>
          <w:sz w:val="22"/>
          <w:szCs w:val="22"/>
          <w:rtl/>
        </w:rPr>
        <w:t>×</w:t>
      </w:r>
      <w:r w:rsidR="00B40784" w:rsidRPr="00282AC9">
        <w:rPr>
          <w:rFonts w:ascii="Noor_Mitra" w:hAnsi="Noor_Mitra" w:cs="AL-Mohanad"/>
          <w:sz w:val="27"/>
          <w:szCs w:val="27"/>
          <w:rtl/>
        </w:rPr>
        <w:t xml:space="preserve"> في نهج البلاغة ـ أكثر بمراتب م</w:t>
      </w:r>
      <w:r w:rsidRPr="00282AC9">
        <w:rPr>
          <w:rFonts w:ascii="Noor_Mitra" w:hAnsi="Noor_Mitra" w:cs="AL-Mohanad"/>
          <w:sz w:val="27"/>
          <w:szCs w:val="27"/>
          <w:rtl/>
        </w:rPr>
        <w:t>ن هذا الحديث</w:t>
      </w:r>
      <w:r w:rsidR="00B40784" w:rsidRPr="00282AC9">
        <w:rPr>
          <w:rFonts w:ascii="Noor_Mitra" w:hAnsi="Noor_Mitra" w:cs="AL-Mohanad" w:hint="cs"/>
          <w:sz w:val="27"/>
          <w:szCs w:val="27"/>
          <w:rtl/>
        </w:rPr>
        <w:t>،</w:t>
      </w:r>
      <w:r w:rsidRPr="00282AC9">
        <w:rPr>
          <w:rFonts w:ascii="Noor_Mitra" w:hAnsi="Noor_Mitra" w:cs="AL-Mohanad"/>
          <w:sz w:val="27"/>
          <w:szCs w:val="27"/>
          <w:rtl/>
        </w:rPr>
        <w:t xml:space="preserve"> الذي لا</w:t>
      </w:r>
      <w:r w:rsidRPr="00282AC9">
        <w:rPr>
          <w:rFonts w:ascii="Noor_Mitra" w:hAnsi="Noor_Mitra" w:cs="AL-Mohanad" w:hint="cs"/>
          <w:sz w:val="27"/>
          <w:szCs w:val="27"/>
          <w:rtl/>
        </w:rPr>
        <w:t xml:space="preserve"> </w:t>
      </w:r>
      <w:r w:rsidRPr="00282AC9">
        <w:rPr>
          <w:rFonts w:ascii="Noor_Mitra" w:hAnsi="Noor_Mitra" w:cs="AL-Mohanad"/>
          <w:sz w:val="27"/>
          <w:szCs w:val="27"/>
          <w:rtl/>
        </w:rPr>
        <w:t xml:space="preserve">يبدو أن تكون دواعي النقل باللفظ فيه </w:t>
      </w:r>
      <w:r w:rsidRPr="00282AC9">
        <w:rPr>
          <w:rFonts w:ascii="Noor_Mitra" w:hAnsi="Noor_Mitra" w:cs="AL-Mohanad" w:hint="cs"/>
          <w:sz w:val="27"/>
          <w:szCs w:val="27"/>
          <w:rtl/>
        </w:rPr>
        <w:t>بارزةً</w:t>
      </w:r>
      <w:r w:rsidR="00B40784" w:rsidRPr="00282AC9">
        <w:rPr>
          <w:rFonts w:ascii="Noor_Mitra" w:hAnsi="Noor_Mitra" w:cs="AL-Mohanad"/>
          <w:sz w:val="27"/>
          <w:szCs w:val="27"/>
          <w:rtl/>
        </w:rPr>
        <w:t>.</w:t>
      </w:r>
    </w:p>
    <w:p w:rsidR="00464852"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rPr>
        <w:t>ومن جهة</w:t>
      </w:r>
      <w:r w:rsidR="00B40784" w:rsidRPr="00282AC9">
        <w:rPr>
          <w:rFonts w:ascii="Noor_Mitra" w:hAnsi="Noor_Mitra" w:cs="AL-Mohanad" w:hint="cs"/>
          <w:sz w:val="27"/>
          <w:szCs w:val="27"/>
          <w:rtl/>
        </w:rPr>
        <w:t>ٍ</w:t>
      </w:r>
      <w:r w:rsidRPr="00282AC9">
        <w:rPr>
          <w:rFonts w:ascii="Noor_Mitra" w:hAnsi="Noor_Mitra" w:cs="AL-Mohanad"/>
          <w:sz w:val="27"/>
          <w:szCs w:val="27"/>
          <w:rtl/>
        </w:rPr>
        <w:t xml:space="preserve"> أخرى</w:t>
      </w:r>
      <w:r w:rsidR="00B40784" w:rsidRPr="00282AC9">
        <w:rPr>
          <w:rFonts w:ascii="Noor_Mitra" w:hAnsi="Noor_Mitra" w:cs="AL-Mohanad"/>
          <w:sz w:val="27"/>
          <w:szCs w:val="27"/>
          <w:rtl/>
        </w:rPr>
        <w:t xml:space="preserve"> إنني أريد أن أ</w:t>
      </w:r>
      <w:r w:rsidRPr="00282AC9">
        <w:rPr>
          <w:rFonts w:ascii="Noor_Mitra" w:hAnsi="Noor_Mitra" w:cs="AL-Mohanad" w:hint="cs"/>
          <w:sz w:val="27"/>
          <w:szCs w:val="27"/>
          <w:rtl/>
        </w:rPr>
        <w:t>وضّ</w:t>
      </w:r>
      <w:r w:rsidR="00B40784" w:rsidRPr="00282AC9">
        <w:rPr>
          <w:rFonts w:ascii="Noor_Mitra" w:hAnsi="Noor_Mitra" w:cs="AL-Mohanad" w:hint="cs"/>
          <w:sz w:val="27"/>
          <w:szCs w:val="27"/>
          <w:rtl/>
        </w:rPr>
        <w:t>ِ</w:t>
      </w:r>
      <w:r w:rsidRPr="00282AC9">
        <w:rPr>
          <w:rFonts w:ascii="Noor_Mitra" w:hAnsi="Noor_Mitra" w:cs="AL-Mohanad" w:hint="cs"/>
          <w:sz w:val="27"/>
          <w:szCs w:val="27"/>
          <w:rtl/>
        </w:rPr>
        <w:t>ح هذه النقطة</w:t>
      </w:r>
      <w:r w:rsidR="00B40784" w:rsidRPr="00282AC9">
        <w:rPr>
          <w:rFonts w:ascii="Noor_Mitra" w:hAnsi="Noor_Mitra" w:cs="AL-Mohanad" w:hint="cs"/>
          <w:sz w:val="27"/>
          <w:szCs w:val="27"/>
          <w:rtl/>
        </w:rPr>
        <w:t>، وهي</w:t>
      </w:r>
      <w:r w:rsidRPr="00282AC9">
        <w:rPr>
          <w:rFonts w:ascii="Noor_Mitra" w:hAnsi="Noor_Mitra" w:cs="AL-Mohanad" w:hint="cs"/>
          <w:sz w:val="27"/>
          <w:szCs w:val="27"/>
          <w:rtl/>
        </w:rPr>
        <w:t xml:space="preserve"> </w:t>
      </w:r>
      <w:r w:rsidRPr="00282AC9">
        <w:rPr>
          <w:rFonts w:ascii="Noor_Mitra" w:hAnsi="Noor_Mitra" w:cs="AL-Mohanad"/>
          <w:sz w:val="27"/>
          <w:szCs w:val="27"/>
          <w:rtl/>
        </w:rPr>
        <w:t>أن رواية الإمام الصادق</w:t>
      </w:r>
      <w:r w:rsidR="009A2A04" w:rsidRPr="00282AC9">
        <w:rPr>
          <w:rFonts w:ascii="Noor_Mitra" w:hAnsi="Noor_Mitra" w:cs="Mosawi"/>
          <w:sz w:val="22"/>
          <w:szCs w:val="22"/>
          <w:rtl/>
        </w:rPr>
        <w:t>×</w:t>
      </w:r>
      <w:r w:rsidRPr="00282AC9">
        <w:rPr>
          <w:rFonts w:ascii="Noor_Mitra" w:hAnsi="Noor_Mitra" w:cs="AL-Mohanad"/>
          <w:sz w:val="27"/>
          <w:szCs w:val="27"/>
          <w:rtl/>
        </w:rPr>
        <w:t xml:space="preserve"> عن آبائه الطاهرين</w:t>
      </w:r>
      <w:r w:rsidR="00876ECA" w:rsidRPr="00282AC9">
        <w:rPr>
          <w:rFonts w:cs="Mosawi" w:hint="cs"/>
          <w:sz w:val="22"/>
          <w:szCs w:val="22"/>
          <w:rtl/>
        </w:rPr>
        <w:t>^</w:t>
      </w:r>
      <w:r w:rsidRPr="00282AC9">
        <w:rPr>
          <w:rFonts w:ascii="Noor_Mitra" w:hAnsi="Noor_Mitra" w:cs="AL-Mohanad"/>
          <w:sz w:val="27"/>
          <w:szCs w:val="27"/>
          <w:rtl/>
        </w:rPr>
        <w:t xml:space="preserve"> لا </w:t>
      </w:r>
      <w:r w:rsidRPr="00282AC9">
        <w:rPr>
          <w:rFonts w:ascii="Noor_Mitra" w:hAnsi="Noor_Mitra" w:cs="AL-Mohanad" w:hint="cs"/>
          <w:sz w:val="27"/>
          <w:szCs w:val="27"/>
          <w:rtl/>
        </w:rPr>
        <w:t>تعني بالضرورة أنها كانت من قبيل</w:t>
      </w:r>
      <w:r w:rsidR="00B40784" w:rsidRPr="00282AC9">
        <w:rPr>
          <w:rFonts w:ascii="Noor_Mitra" w:hAnsi="Noor_Mitra" w:cs="AL-Mohanad" w:hint="cs"/>
          <w:sz w:val="27"/>
          <w:szCs w:val="27"/>
          <w:rtl/>
        </w:rPr>
        <w:t>:</w:t>
      </w:r>
      <w:r w:rsidRPr="00282AC9">
        <w:rPr>
          <w:rFonts w:ascii="Noor_Mitra" w:hAnsi="Noor_Mitra" w:cs="AL-Mohanad" w:hint="cs"/>
          <w:sz w:val="27"/>
          <w:szCs w:val="27"/>
          <w:rtl/>
        </w:rPr>
        <w:t xml:space="preserve"> </w:t>
      </w:r>
      <w:r w:rsidRPr="00282AC9">
        <w:rPr>
          <w:rFonts w:ascii="Noor_Mitra" w:hAnsi="Noor_Mitra" w:cs="AL-Mohanad"/>
          <w:sz w:val="27"/>
          <w:szCs w:val="27"/>
          <w:rtl/>
        </w:rPr>
        <w:t>النقل باللفظ</w:t>
      </w:r>
      <w:r w:rsidRPr="00282AC9">
        <w:rPr>
          <w:rFonts w:ascii="Noor_Mitra" w:hAnsi="Noor_Mitra" w:cs="AL-Mohanad" w:hint="cs"/>
          <w:sz w:val="27"/>
          <w:szCs w:val="27"/>
          <w:rtl/>
        </w:rPr>
        <w:t xml:space="preserve">. فهناك </w:t>
      </w:r>
      <w:r w:rsidRPr="00282AC9">
        <w:rPr>
          <w:rFonts w:ascii="Noor_Mitra" w:hAnsi="Noor_Mitra" w:cs="AL-Mohanad"/>
          <w:sz w:val="27"/>
          <w:szCs w:val="27"/>
          <w:rtl/>
        </w:rPr>
        <w:t>أسباب</w:t>
      </w:r>
      <w:r w:rsidR="00312F63" w:rsidRPr="00282AC9">
        <w:rPr>
          <w:rFonts w:ascii="Noor_Mitra" w:hAnsi="Noor_Mitra" w:cs="AL-Mohanad" w:hint="cs"/>
          <w:sz w:val="27"/>
          <w:szCs w:val="27"/>
          <w:rtl/>
        </w:rPr>
        <w:t>ٌ</w:t>
      </w:r>
      <w:r w:rsidRPr="00282AC9">
        <w:rPr>
          <w:rFonts w:ascii="Noor_Mitra" w:hAnsi="Noor_Mitra" w:cs="AL-Mohanad"/>
          <w:sz w:val="27"/>
          <w:szCs w:val="27"/>
          <w:rtl/>
        </w:rPr>
        <w:t xml:space="preserve"> كثيرة</w:t>
      </w:r>
      <w:r w:rsidR="00312F63" w:rsidRPr="00282AC9">
        <w:rPr>
          <w:rFonts w:ascii="Noor_Mitra" w:hAnsi="Noor_Mitra" w:cs="AL-Mohanad" w:hint="cs"/>
          <w:sz w:val="27"/>
          <w:szCs w:val="27"/>
          <w:rtl/>
        </w:rPr>
        <w:t>،</w:t>
      </w:r>
      <w:r w:rsidRPr="00282AC9">
        <w:rPr>
          <w:rFonts w:ascii="Noor_Mitra" w:hAnsi="Noor_Mitra" w:cs="AL-Mohanad"/>
          <w:sz w:val="27"/>
          <w:szCs w:val="27"/>
          <w:rtl/>
        </w:rPr>
        <w:t xml:space="preserve"> </w:t>
      </w:r>
      <w:r w:rsidRPr="00282AC9">
        <w:rPr>
          <w:rFonts w:ascii="Noor_Mitra" w:hAnsi="Noor_Mitra" w:cs="AL-Mohanad" w:hint="cs"/>
          <w:sz w:val="27"/>
          <w:szCs w:val="27"/>
          <w:rtl/>
        </w:rPr>
        <w:t>ك</w:t>
      </w:r>
      <w:r w:rsidRPr="00282AC9">
        <w:rPr>
          <w:rFonts w:ascii="Noor_Mitra" w:hAnsi="Noor_Mitra" w:cs="AL-Mohanad"/>
          <w:sz w:val="27"/>
          <w:szCs w:val="27"/>
          <w:rtl/>
        </w:rPr>
        <w:t>ظروف المخاط</w:t>
      </w:r>
      <w:r w:rsidR="00312F63" w:rsidRPr="00282AC9">
        <w:rPr>
          <w:rFonts w:ascii="Noor_Mitra" w:hAnsi="Noor_Mitra" w:cs="AL-Mohanad" w:hint="cs"/>
          <w:sz w:val="27"/>
          <w:szCs w:val="27"/>
          <w:rtl/>
        </w:rPr>
        <w:t>َ</w:t>
      </w:r>
      <w:r w:rsidRPr="00282AC9">
        <w:rPr>
          <w:rFonts w:ascii="Noor_Mitra" w:hAnsi="Noor_Mitra" w:cs="AL-Mohanad"/>
          <w:sz w:val="27"/>
          <w:szCs w:val="27"/>
          <w:rtl/>
        </w:rPr>
        <w:t>بين في عصر</w:t>
      </w:r>
      <w:r w:rsidRPr="00282AC9">
        <w:rPr>
          <w:rFonts w:ascii="Noor_Mitra" w:hAnsi="Noor_Mitra" w:cs="AL-Mohanad" w:hint="cs"/>
          <w:sz w:val="27"/>
          <w:szCs w:val="27"/>
          <w:rtl/>
        </w:rPr>
        <w:t>ه</w:t>
      </w:r>
      <w:r w:rsidR="009A2A04" w:rsidRPr="00282AC9">
        <w:rPr>
          <w:rFonts w:ascii="Noor_Mitra" w:hAnsi="Noor_Mitra" w:cs="Mosawi"/>
          <w:sz w:val="22"/>
          <w:szCs w:val="22"/>
          <w:rtl/>
        </w:rPr>
        <w:t>×</w:t>
      </w:r>
      <w:r w:rsidR="00312F63" w:rsidRPr="00282AC9">
        <w:rPr>
          <w:rFonts w:ascii="Noor_Mitra" w:hAnsi="Noor_Mitra" w:cs="AL-Mohanad" w:hint="cs"/>
          <w:sz w:val="27"/>
          <w:szCs w:val="27"/>
          <w:rtl/>
        </w:rPr>
        <w:t>،</w:t>
      </w:r>
      <w:r w:rsidRPr="00282AC9">
        <w:rPr>
          <w:rFonts w:ascii="Noor_Mitra" w:hAnsi="Noor_Mitra" w:cs="AL-Mohanad" w:hint="cs"/>
          <w:sz w:val="27"/>
          <w:szCs w:val="27"/>
          <w:rtl/>
        </w:rPr>
        <w:t xml:space="preserve"> تدعو إلى النقل بالمعنى</w:t>
      </w:r>
      <w:r w:rsidR="004B426B" w:rsidRPr="00282AC9">
        <w:rPr>
          <w:rFonts w:ascii="Noor_Mitra" w:hAnsi="Noor_Mitra" w:cs="AL-Mohanad"/>
          <w:sz w:val="27"/>
          <w:szCs w:val="27"/>
          <w:rtl/>
        </w:rPr>
        <w:t>. ولا ينافي هذا الاحتمال</w:t>
      </w:r>
      <w:r w:rsidRPr="00282AC9">
        <w:rPr>
          <w:rFonts w:ascii="Noor_Mitra" w:hAnsi="Noor_Mitra" w:cs="AL-Mohanad"/>
          <w:sz w:val="27"/>
          <w:szCs w:val="27"/>
          <w:rtl/>
        </w:rPr>
        <w:t xml:space="preserve"> أن الأئم</w:t>
      </w:r>
      <w:r w:rsidR="00312F63" w:rsidRPr="00282AC9">
        <w:rPr>
          <w:rFonts w:ascii="Noor_Mitra" w:hAnsi="Noor_Mitra" w:cs="AL-Mohanad" w:hint="cs"/>
          <w:sz w:val="27"/>
          <w:szCs w:val="27"/>
          <w:rtl/>
        </w:rPr>
        <w:t>ّ</w:t>
      </w:r>
      <w:r w:rsidR="00312F63" w:rsidRPr="00282AC9">
        <w:rPr>
          <w:rFonts w:ascii="Noor_Mitra" w:hAnsi="Noor_Mitra" w:cs="AL-Mohanad"/>
          <w:sz w:val="27"/>
          <w:szCs w:val="27"/>
          <w:rtl/>
        </w:rPr>
        <w:t>ة</w:t>
      </w:r>
      <w:r w:rsidR="00876ECA" w:rsidRPr="00282AC9">
        <w:rPr>
          <w:rFonts w:cs="Mosawi" w:hint="cs"/>
          <w:sz w:val="22"/>
          <w:szCs w:val="22"/>
          <w:rtl/>
        </w:rPr>
        <w:t>^</w:t>
      </w:r>
      <w:r w:rsidRPr="00282AC9">
        <w:rPr>
          <w:rFonts w:ascii="Noor_Mitra" w:hAnsi="Noor_Mitra" w:cs="AL-Mohanad"/>
          <w:sz w:val="27"/>
          <w:szCs w:val="27"/>
          <w:rtl/>
        </w:rPr>
        <w:t xml:space="preserve"> أمراءُ الكلام</w:t>
      </w:r>
      <w:r w:rsidR="00312F63" w:rsidRPr="00282AC9">
        <w:rPr>
          <w:rFonts w:ascii="Noor_Mitra" w:hAnsi="Noor_Mitra" w:cs="AL-Mohanad" w:hint="cs"/>
          <w:sz w:val="27"/>
          <w:szCs w:val="27"/>
          <w:rtl/>
        </w:rPr>
        <w:t>،</w:t>
      </w:r>
      <w:r w:rsidRPr="00282AC9">
        <w:rPr>
          <w:rFonts w:ascii="Noor_Mitra" w:hAnsi="Noor_Mitra" w:cs="AL-Mohanad"/>
          <w:sz w:val="27"/>
          <w:szCs w:val="27"/>
          <w:rtl/>
        </w:rPr>
        <w:t xml:space="preserve"> وفي قمّة البلاغة، </w:t>
      </w:r>
      <w:r w:rsidRPr="00282AC9">
        <w:rPr>
          <w:rFonts w:ascii="Noor_Mitra" w:hAnsi="Noor_Mitra" w:cs="AL-Mohanad" w:hint="cs"/>
          <w:sz w:val="27"/>
          <w:szCs w:val="27"/>
          <w:rtl/>
        </w:rPr>
        <w:t>فر</w:t>
      </w:r>
      <w:r w:rsidR="00312F63" w:rsidRPr="00282AC9">
        <w:rPr>
          <w:rFonts w:ascii="Noor_Mitra" w:hAnsi="Noor_Mitra" w:cs="AL-Mohanad" w:hint="cs"/>
          <w:sz w:val="27"/>
          <w:szCs w:val="27"/>
          <w:rtl/>
        </w:rPr>
        <w:t>ُ</w:t>
      </w:r>
      <w:r w:rsidRPr="00282AC9">
        <w:rPr>
          <w:rFonts w:ascii="Noor_Mitra" w:hAnsi="Noor_Mitra" w:cs="AL-Mohanad" w:hint="cs"/>
          <w:sz w:val="27"/>
          <w:szCs w:val="27"/>
          <w:rtl/>
        </w:rPr>
        <w:t>ب</w:t>
      </w:r>
      <w:r w:rsidR="00312F63" w:rsidRPr="00282AC9">
        <w:rPr>
          <w:rFonts w:ascii="Noor_Mitra" w:hAnsi="Noor_Mitra" w:cs="AL-Mohanad" w:hint="cs"/>
          <w:sz w:val="27"/>
          <w:szCs w:val="27"/>
          <w:rtl/>
        </w:rPr>
        <w:t>َ</w:t>
      </w:r>
      <w:r w:rsidRPr="00282AC9">
        <w:rPr>
          <w:rFonts w:ascii="Noor_Mitra" w:hAnsi="Noor_Mitra" w:cs="AL-Mohanad" w:hint="cs"/>
          <w:sz w:val="27"/>
          <w:szCs w:val="27"/>
          <w:rtl/>
        </w:rPr>
        <w:t xml:space="preserve">ما </w:t>
      </w:r>
      <w:r w:rsidRPr="00282AC9">
        <w:rPr>
          <w:rFonts w:ascii="Noor_Mitra" w:hAnsi="Noor_Mitra" w:cs="AL-Mohanad"/>
          <w:sz w:val="27"/>
          <w:szCs w:val="27"/>
          <w:rtl/>
        </w:rPr>
        <w:t>كانوا مضطر</w:t>
      </w:r>
      <w:r w:rsidR="00312F63" w:rsidRPr="00282AC9">
        <w:rPr>
          <w:rFonts w:ascii="Noor_Mitra" w:hAnsi="Noor_Mitra" w:cs="AL-Mohanad" w:hint="cs"/>
          <w:sz w:val="27"/>
          <w:szCs w:val="27"/>
          <w:rtl/>
        </w:rPr>
        <w:t>ّ</w:t>
      </w:r>
      <w:r w:rsidRPr="00282AC9">
        <w:rPr>
          <w:rFonts w:ascii="Noor_Mitra" w:hAnsi="Noor_Mitra" w:cs="AL-Mohanad"/>
          <w:sz w:val="27"/>
          <w:szCs w:val="27"/>
          <w:rtl/>
        </w:rPr>
        <w:t xml:space="preserve">ين </w:t>
      </w:r>
      <w:r w:rsidR="00312F63" w:rsidRPr="00282AC9">
        <w:rPr>
          <w:rFonts w:ascii="Noor_Mitra" w:hAnsi="Noor_Mitra" w:cs="AL-Mohanad" w:hint="cs"/>
          <w:sz w:val="27"/>
          <w:szCs w:val="27"/>
          <w:rtl/>
        </w:rPr>
        <w:t xml:space="preserve">إلى </w:t>
      </w:r>
      <w:r w:rsidRPr="00282AC9">
        <w:rPr>
          <w:rFonts w:ascii="Noor_Mitra" w:hAnsi="Noor_Mitra" w:cs="AL-Mohanad"/>
          <w:sz w:val="27"/>
          <w:szCs w:val="27"/>
          <w:rtl/>
        </w:rPr>
        <w:t>أن يتكل</w:t>
      </w:r>
      <w:r w:rsidR="00312F63" w:rsidRPr="00282AC9">
        <w:rPr>
          <w:rFonts w:ascii="Noor_Mitra" w:hAnsi="Noor_Mitra" w:cs="AL-Mohanad" w:hint="cs"/>
          <w:sz w:val="27"/>
          <w:szCs w:val="27"/>
          <w:rtl/>
        </w:rPr>
        <w:t>َّ</w:t>
      </w:r>
      <w:r w:rsidRPr="00282AC9">
        <w:rPr>
          <w:rFonts w:ascii="Noor_Mitra" w:hAnsi="Noor_Mitra" w:cs="AL-Mohanad"/>
          <w:sz w:val="27"/>
          <w:szCs w:val="27"/>
          <w:rtl/>
        </w:rPr>
        <w:t>موا وفق اللغة المألوفة للمخاط</w:t>
      </w:r>
      <w:r w:rsidR="00312F63" w:rsidRPr="00282AC9">
        <w:rPr>
          <w:rFonts w:ascii="Noor_Mitra" w:hAnsi="Noor_Mitra" w:cs="AL-Mohanad" w:hint="cs"/>
          <w:sz w:val="27"/>
          <w:szCs w:val="27"/>
          <w:rtl/>
        </w:rPr>
        <w:t>َ</w:t>
      </w:r>
      <w:r w:rsidRPr="00282AC9">
        <w:rPr>
          <w:rFonts w:ascii="Noor_Mitra" w:hAnsi="Noor_Mitra" w:cs="AL-Mohanad"/>
          <w:sz w:val="27"/>
          <w:szCs w:val="27"/>
          <w:rtl/>
        </w:rPr>
        <w:t xml:space="preserve">بين في عصرهم. </w:t>
      </w:r>
    </w:p>
    <w:p w:rsidR="00464852" w:rsidRPr="00282AC9" w:rsidRDefault="00464852" w:rsidP="0073600A">
      <w:pPr>
        <w:pStyle w:val="afc"/>
        <w:rPr>
          <w:rFonts w:ascii="Noor_Mitra" w:hAnsi="Noor_Mitra" w:cs="AL-Mohanad"/>
          <w:sz w:val="27"/>
          <w:szCs w:val="27"/>
          <w:rtl/>
        </w:rPr>
      </w:pPr>
      <w:r w:rsidRPr="00282AC9">
        <w:rPr>
          <w:rFonts w:ascii="Noor_Mitra" w:hAnsi="Noor_Mitra" w:cs="AL-Mohanad"/>
          <w:sz w:val="27"/>
          <w:szCs w:val="27"/>
          <w:rtl/>
          <w:lang w:bidi="fa-IR"/>
        </w:rPr>
        <w:t>و</w:t>
      </w:r>
      <w:r w:rsidRPr="00282AC9">
        <w:rPr>
          <w:rFonts w:ascii="Noor_Mitra" w:hAnsi="Noor_Mitra" w:cs="AL-Mohanad" w:hint="cs"/>
          <w:sz w:val="27"/>
          <w:szCs w:val="27"/>
          <w:rtl/>
          <w:lang w:bidi="fa-IR"/>
        </w:rPr>
        <w:t>باختصار</w:t>
      </w:r>
      <w:r w:rsidR="00312F63" w:rsidRPr="00282AC9">
        <w:rPr>
          <w:rFonts w:ascii="Noor_Mitra" w:hAnsi="Noor_Mitra" w:cs="AL-Mohanad" w:hint="cs"/>
          <w:sz w:val="27"/>
          <w:szCs w:val="27"/>
          <w:rtl/>
          <w:lang w:bidi="fa-IR"/>
        </w:rPr>
        <w:t>ٍ</w:t>
      </w:r>
      <w:r w:rsidRPr="00282AC9">
        <w:rPr>
          <w:rFonts w:ascii="Noor_Mitra" w:hAnsi="Noor_Mitra" w:cs="AL-Mohanad" w:hint="cs"/>
          <w:sz w:val="27"/>
          <w:szCs w:val="27"/>
          <w:rtl/>
          <w:lang w:bidi="fa-IR"/>
        </w:rPr>
        <w:t xml:space="preserve"> </w:t>
      </w:r>
      <w:r w:rsidRPr="00282AC9">
        <w:rPr>
          <w:rFonts w:ascii="Noor_Mitra" w:hAnsi="Noor_Mitra" w:cs="AL-Mohanad"/>
          <w:sz w:val="27"/>
          <w:szCs w:val="27"/>
          <w:rtl/>
          <w:lang w:bidi="fa-IR"/>
        </w:rPr>
        <w:t>من الأفضل أن يستخدم هذا الشاهد لإثبات معنى الكلمة في العصور المتأخ</w:t>
      </w:r>
      <w:r w:rsidR="00312F63" w:rsidRPr="00282AC9">
        <w:rPr>
          <w:rFonts w:ascii="Noor_Mitra" w:hAnsi="Noor_Mitra" w:cs="AL-Mohanad" w:hint="cs"/>
          <w:sz w:val="27"/>
          <w:szCs w:val="27"/>
          <w:rtl/>
          <w:lang w:bidi="fa-IR"/>
        </w:rPr>
        <w:t>ِّ</w:t>
      </w:r>
      <w:r w:rsidRPr="00282AC9">
        <w:rPr>
          <w:rFonts w:ascii="Noor_Mitra" w:hAnsi="Noor_Mitra" w:cs="AL-Mohanad"/>
          <w:sz w:val="27"/>
          <w:szCs w:val="27"/>
          <w:rtl/>
          <w:lang w:bidi="fa-IR"/>
        </w:rPr>
        <w:t>رة</w:t>
      </w:r>
      <w:r w:rsidR="00312F63"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لا العصر النبوي</w:t>
      </w:r>
      <w:r w:rsidR="00312F63" w:rsidRPr="00282AC9">
        <w:rPr>
          <w:rFonts w:ascii="Noor_Mitra" w:hAnsi="Noor_Mitra" w:cs="AL-Mohanad" w:hint="cs"/>
          <w:sz w:val="27"/>
          <w:szCs w:val="27"/>
          <w:rtl/>
          <w:lang w:bidi="fa-IR"/>
        </w:rPr>
        <w:t>ّ</w:t>
      </w:r>
      <w:r w:rsidR="009A2A04" w:rsidRPr="00282AC9">
        <w:rPr>
          <w:rFonts w:ascii="Noor_Mitra" w:hAnsi="Noor_Mitra" w:cs="Mosawi"/>
          <w:sz w:val="22"/>
          <w:szCs w:val="22"/>
          <w:rtl/>
          <w:lang w:bidi="fa-IR"/>
        </w:rPr>
        <w:t>|</w:t>
      </w:r>
      <w:r w:rsidRPr="00282AC9">
        <w:rPr>
          <w:rFonts w:ascii="Noor_Mitra" w:hAnsi="Noor_Mitra" w:cs="AL-Mohanad"/>
          <w:sz w:val="27"/>
          <w:szCs w:val="27"/>
          <w:rtl/>
          <w:lang w:bidi="fa-IR"/>
        </w:rPr>
        <w:t>.</w:t>
      </w:r>
    </w:p>
    <w:p w:rsidR="00464852" w:rsidRPr="00282AC9" w:rsidRDefault="00B40784" w:rsidP="0073600A">
      <w:pPr>
        <w:pStyle w:val="afc"/>
        <w:rPr>
          <w:rFonts w:ascii="Noor_Mitra" w:hAnsi="Noor_Mitra" w:cs="AL-Mohanad"/>
          <w:sz w:val="27"/>
          <w:szCs w:val="27"/>
          <w:rtl/>
          <w:lang w:bidi="fa-IR"/>
        </w:rPr>
      </w:pPr>
      <w:r w:rsidRPr="00282AC9">
        <w:rPr>
          <w:rFonts w:ascii="Noor_Mitra" w:hAnsi="Noor_Mitra" w:cs="AL-Mohanad" w:hint="cs"/>
          <w:sz w:val="27"/>
          <w:szCs w:val="27"/>
          <w:rtl/>
        </w:rPr>
        <w:t xml:space="preserve">10ـ </w:t>
      </w:r>
      <w:r w:rsidR="00464852" w:rsidRPr="00282AC9">
        <w:rPr>
          <w:rFonts w:ascii="Noor_Mitra" w:hAnsi="Noor_Mitra" w:cs="AL-Mohanad"/>
          <w:sz w:val="27"/>
          <w:szCs w:val="27"/>
          <w:rtl/>
        </w:rPr>
        <w:t>وفي الخطبة الف</w:t>
      </w:r>
      <w:r w:rsidR="00312F63" w:rsidRPr="00282AC9">
        <w:rPr>
          <w:rFonts w:ascii="Noor_Mitra" w:hAnsi="Noor_Mitra" w:cs="AL-Mohanad" w:hint="cs"/>
          <w:sz w:val="27"/>
          <w:szCs w:val="27"/>
          <w:rtl/>
        </w:rPr>
        <w:t>َ</w:t>
      </w:r>
      <w:r w:rsidR="00464852" w:rsidRPr="00282AC9">
        <w:rPr>
          <w:rFonts w:ascii="Noor_Mitra" w:hAnsi="Noor_Mitra" w:cs="AL-Mohanad"/>
          <w:sz w:val="27"/>
          <w:szCs w:val="27"/>
          <w:rtl/>
        </w:rPr>
        <w:t>د</w:t>
      </w:r>
      <w:r w:rsidR="00312F63" w:rsidRPr="00282AC9">
        <w:rPr>
          <w:rFonts w:ascii="Noor_Mitra" w:hAnsi="Noor_Mitra" w:cs="AL-Mohanad" w:hint="cs"/>
          <w:sz w:val="27"/>
          <w:szCs w:val="27"/>
          <w:rtl/>
        </w:rPr>
        <w:t>َ</w:t>
      </w:r>
      <w:r w:rsidR="00464852" w:rsidRPr="00282AC9">
        <w:rPr>
          <w:rFonts w:ascii="Noor_Mitra" w:hAnsi="Noor_Mitra" w:cs="AL-Mohanad"/>
          <w:sz w:val="27"/>
          <w:szCs w:val="27"/>
          <w:rtl/>
        </w:rPr>
        <w:t>كية للزهراء</w:t>
      </w:r>
      <w:r w:rsidR="009A2A04" w:rsidRPr="00282AC9">
        <w:rPr>
          <w:rFonts w:ascii="Noor_Mitra" w:hAnsi="Noor_Mitra" w:cs="Mosawi"/>
          <w:sz w:val="22"/>
          <w:szCs w:val="22"/>
          <w:rtl/>
        </w:rPr>
        <w:t>÷</w:t>
      </w:r>
      <w:r w:rsidR="00464852" w:rsidRPr="00282AC9">
        <w:rPr>
          <w:rFonts w:ascii="Noor_Mitra" w:hAnsi="Noor_Mitra" w:cs="AL-Mohanad"/>
          <w:sz w:val="27"/>
          <w:szCs w:val="27"/>
          <w:rtl/>
        </w:rPr>
        <w:t xml:space="preserve">: </w:t>
      </w:r>
      <w:r w:rsidR="00464852" w:rsidRPr="00282AC9">
        <w:rPr>
          <w:rFonts w:cs="AL-Mohanad" w:hint="eastAsia"/>
          <w:rtl/>
        </w:rPr>
        <w:t>«</w:t>
      </w:r>
      <w:r w:rsidR="00464852" w:rsidRPr="00282AC9">
        <w:rPr>
          <w:rFonts w:ascii="Noor_Mitra" w:hAnsi="Noor_Mitra" w:cs="AL-Mohanad"/>
          <w:sz w:val="27"/>
          <w:szCs w:val="27"/>
          <w:rtl/>
          <w:lang w:bidi="fa-IR"/>
        </w:rPr>
        <w:t>أنا فاطمة</w:t>
      </w:r>
      <w:r w:rsidR="00312F63" w:rsidRPr="00282AC9">
        <w:rPr>
          <w:rFonts w:ascii="Noor_Mitra" w:hAnsi="Noor_Mitra" w:cs="AL-Mohanad" w:hint="cs"/>
          <w:sz w:val="27"/>
          <w:szCs w:val="27"/>
          <w:rtl/>
          <w:lang w:bidi="fa-IR"/>
        </w:rPr>
        <w:t>،</w:t>
      </w:r>
      <w:r w:rsidR="00312F63" w:rsidRPr="00282AC9">
        <w:rPr>
          <w:rFonts w:ascii="Noor_Mitra" w:hAnsi="Noor_Mitra" w:cs="AL-Mohanad"/>
          <w:sz w:val="27"/>
          <w:szCs w:val="27"/>
          <w:rtl/>
          <w:lang w:bidi="fa-IR"/>
        </w:rPr>
        <w:t xml:space="preserve"> و</w:t>
      </w:r>
      <w:r w:rsidR="00464852" w:rsidRPr="00282AC9">
        <w:rPr>
          <w:rFonts w:ascii="Noor_Mitra" w:hAnsi="Noor_Mitra" w:cs="AL-Mohanad"/>
          <w:sz w:val="27"/>
          <w:szCs w:val="27"/>
          <w:rtl/>
          <w:lang w:bidi="fa-IR"/>
        </w:rPr>
        <w:t>أبي محمدٌ... إن</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تعزوه</w:t>
      </w:r>
      <w:r w:rsidR="00464852" w:rsidRPr="00282AC9">
        <w:rPr>
          <w:rFonts w:ascii="Noor_Mitra" w:hAnsi="Noor_Mitra" w:cs="AL-Mohanad"/>
          <w:sz w:val="27"/>
          <w:szCs w:val="27"/>
          <w:vertAlign w:val="superscript"/>
          <w:rtl/>
          <w:lang w:bidi="fa-IR"/>
        </w:rPr>
        <w:t>(</w:t>
      </w:r>
      <w:r w:rsidR="00464852" w:rsidRPr="00282AC9">
        <w:rPr>
          <w:rStyle w:val="af9"/>
          <w:rFonts w:ascii="Noor_Mitra" w:hAnsi="Noor_Mitra" w:cs="AL-Mohanad"/>
          <w:sz w:val="27"/>
          <w:szCs w:val="27"/>
          <w:rtl/>
          <w:lang w:bidi="fa-IR"/>
        </w:rPr>
        <w:endnoteReference w:id="532"/>
      </w:r>
      <w:r w:rsidR="00464852" w:rsidRPr="00282AC9">
        <w:rPr>
          <w:rFonts w:ascii="Noor_Mitra" w:hAnsi="Noor_Mitra" w:cs="AL-Mohanad"/>
          <w:sz w:val="27"/>
          <w:szCs w:val="27"/>
          <w:vertAlign w:val="superscript"/>
          <w:rtl/>
          <w:lang w:bidi="fa-IR"/>
        </w:rPr>
        <w:t>)</w:t>
      </w:r>
      <w:r w:rsidR="00464852" w:rsidRPr="00282AC9">
        <w:rPr>
          <w:rFonts w:ascii="Noor_Mitra" w:hAnsi="Noor_Mitra" w:cs="AL-Mohanad"/>
          <w:sz w:val="27"/>
          <w:szCs w:val="27"/>
          <w:rtl/>
          <w:lang w:bidi="fa-IR"/>
        </w:rPr>
        <w:t xml:space="preserve"> تجدوه أبي</w:t>
      </w:r>
      <w:r w:rsidR="00312F63" w:rsidRPr="00282AC9">
        <w:rPr>
          <w:rFonts w:ascii="Noor_Mitra" w:hAnsi="Noor_Mitra" w:cs="AL-Mohanad" w:hint="cs"/>
          <w:sz w:val="27"/>
          <w:szCs w:val="27"/>
          <w:rtl/>
          <w:lang w:bidi="fa-IR"/>
        </w:rPr>
        <w:t>،</w:t>
      </w:r>
      <w:r w:rsidR="00312F63" w:rsidRPr="00282AC9">
        <w:rPr>
          <w:rFonts w:ascii="Noor_Mitra" w:hAnsi="Noor_Mitra" w:cs="AL-Mohanad"/>
          <w:sz w:val="27"/>
          <w:szCs w:val="27"/>
          <w:rtl/>
          <w:lang w:bidi="fa-IR"/>
        </w:rPr>
        <w:t xml:space="preserve"> دون نسائكم، وأخا ابن</w:t>
      </w:r>
      <w:r w:rsidR="00464852" w:rsidRPr="00282AC9">
        <w:rPr>
          <w:rFonts w:ascii="Noor_Mitra" w:hAnsi="Noor_Mitra" w:cs="AL-Mohanad"/>
          <w:sz w:val="27"/>
          <w:szCs w:val="27"/>
          <w:rtl/>
          <w:lang w:bidi="fa-IR"/>
        </w:rPr>
        <w:t xml:space="preserve"> عم</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ي</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دون رجالكم، بلغ النذارة</w:t>
      </w:r>
      <w:r w:rsidR="00464852" w:rsidRPr="00282AC9">
        <w:rPr>
          <w:rFonts w:ascii="Noor_Mitra" w:hAnsi="Noor_Mitra" w:cs="AL-Mohanad"/>
          <w:sz w:val="27"/>
          <w:szCs w:val="27"/>
          <w:vertAlign w:val="superscript"/>
          <w:rtl/>
          <w:lang w:bidi="fa-IR"/>
        </w:rPr>
        <w:t>(</w:t>
      </w:r>
      <w:r w:rsidR="00464852" w:rsidRPr="00282AC9">
        <w:rPr>
          <w:rStyle w:val="af9"/>
          <w:rFonts w:ascii="Noor_Mitra" w:hAnsi="Noor_Mitra" w:cs="AL-Mohanad"/>
          <w:sz w:val="27"/>
          <w:szCs w:val="27"/>
          <w:rtl/>
          <w:lang w:bidi="fa-IR"/>
        </w:rPr>
        <w:endnoteReference w:id="533"/>
      </w:r>
      <w:r w:rsidR="00464852" w:rsidRPr="00282AC9">
        <w:rPr>
          <w:rFonts w:ascii="Noor_Mitra" w:hAnsi="Noor_Mitra" w:cs="AL-Mohanad"/>
          <w:sz w:val="27"/>
          <w:szCs w:val="27"/>
          <w:vertAlign w:val="superscript"/>
          <w:rtl/>
          <w:lang w:bidi="fa-IR"/>
        </w:rPr>
        <w:t>)</w:t>
      </w:r>
      <w:r w:rsidR="00464852" w:rsidRPr="00282AC9">
        <w:rPr>
          <w:rFonts w:ascii="Noor_Mitra" w:hAnsi="Noor_Mitra" w:cs="AL-Mohanad"/>
          <w:sz w:val="27"/>
          <w:szCs w:val="27"/>
          <w:rtl/>
          <w:lang w:bidi="fa-IR"/>
        </w:rPr>
        <w:t>...</w:t>
      </w:r>
      <w:r w:rsidR="00312F63" w:rsidRPr="00282AC9">
        <w:rPr>
          <w:rFonts w:ascii="Noor_Mitra" w:hAnsi="Noor_Mitra" w:cs="AL-Mohanad" w:hint="cs"/>
          <w:sz w:val="27"/>
          <w:szCs w:val="27"/>
          <w:rtl/>
          <w:lang w:bidi="fa-IR"/>
        </w:rPr>
        <w:t xml:space="preserve"> </w:t>
      </w:r>
      <w:r w:rsidR="00464852" w:rsidRPr="00282AC9">
        <w:rPr>
          <w:rFonts w:ascii="Noor_Mitra" w:hAnsi="Noor_Mitra" w:cs="AL-Mohanad"/>
          <w:sz w:val="27"/>
          <w:szCs w:val="27"/>
          <w:rtl/>
          <w:lang w:bidi="fa-IR"/>
        </w:rPr>
        <w:t>ناكبا</w:t>
      </w:r>
      <w:r w:rsidR="00464852" w:rsidRPr="00282AC9">
        <w:rPr>
          <w:rFonts w:ascii="Noor_Mitra" w:hAnsi="Noor_Mitra" w:cs="AL-Mohanad" w:hint="cs"/>
          <w:sz w:val="27"/>
          <w:szCs w:val="27"/>
          <w:rtl/>
          <w:lang w:bidi="fa-IR"/>
        </w:rPr>
        <w:t>ً</w:t>
      </w:r>
      <w:r w:rsidR="00464852" w:rsidRPr="00282AC9">
        <w:rPr>
          <w:rFonts w:ascii="Noor_Mitra" w:hAnsi="Noor_Mitra" w:cs="AL-Mohanad"/>
          <w:sz w:val="27"/>
          <w:szCs w:val="27"/>
          <w:vertAlign w:val="superscript"/>
          <w:rtl/>
          <w:lang w:bidi="fa-IR"/>
        </w:rPr>
        <w:t>(</w:t>
      </w:r>
      <w:r w:rsidR="00464852" w:rsidRPr="00282AC9">
        <w:rPr>
          <w:rStyle w:val="af9"/>
          <w:rFonts w:ascii="Noor_Mitra" w:hAnsi="Noor_Mitra" w:cs="AL-Mohanad"/>
          <w:sz w:val="27"/>
          <w:szCs w:val="27"/>
          <w:rtl/>
          <w:lang w:bidi="fa-IR"/>
        </w:rPr>
        <w:endnoteReference w:id="534"/>
      </w:r>
      <w:r w:rsidR="00464852" w:rsidRPr="00282AC9">
        <w:rPr>
          <w:rFonts w:ascii="Noor_Mitra" w:hAnsi="Noor_Mitra" w:cs="AL-Mohanad"/>
          <w:sz w:val="27"/>
          <w:szCs w:val="27"/>
          <w:vertAlign w:val="superscript"/>
          <w:rtl/>
          <w:lang w:bidi="fa-IR"/>
        </w:rPr>
        <w:t>)</w:t>
      </w:r>
      <w:r w:rsidR="00464852" w:rsidRPr="00282AC9">
        <w:rPr>
          <w:rFonts w:ascii="Noor_Mitra" w:hAnsi="Noor_Mitra" w:cs="AL-Mohanad"/>
          <w:sz w:val="27"/>
          <w:szCs w:val="27"/>
          <w:rtl/>
          <w:lang w:bidi="fa-IR"/>
        </w:rPr>
        <w:t xml:space="preserve"> عن سنن‏ المشركين‏</w:t>
      </w:r>
      <w:r w:rsidR="00464852" w:rsidRPr="00282AC9">
        <w:rPr>
          <w:rFonts w:cs="AL-Mohanad" w:hint="eastAsia"/>
          <w:rtl/>
        </w:rPr>
        <w:t>»</w:t>
      </w:r>
      <w:r w:rsidR="00464852" w:rsidRPr="00282AC9">
        <w:rPr>
          <w:rFonts w:ascii="Noor_Mitra" w:hAnsi="Noor_Mitra" w:cs="AL-Mohanad"/>
          <w:sz w:val="27"/>
          <w:szCs w:val="27"/>
          <w:rtl/>
          <w:lang w:bidi="fa-IR"/>
        </w:rPr>
        <w:t>. ورد الحديث هكذا باختلاف</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يسير في عد</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ة</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من المصادر</w:t>
      </w:r>
      <w:r w:rsidR="00464852" w:rsidRPr="00282AC9">
        <w:rPr>
          <w:rFonts w:ascii="Noor_Mitra" w:hAnsi="Noor_Mitra" w:cs="AL-Mohanad"/>
          <w:sz w:val="27"/>
          <w:szCs w:val="27"/>
          <w:vertAlign w:val="superscript"/>
          <w:rtl/>
          <w:lang w:bidi="fa-IR"/>
        </w:rPr>
        <w:t>(</w:t>
      </w:r>
      <w:r w:rsidR="00464852" w:rsidRPr="00282AC9">
        <w:rPr>
          <w:rStyle w:val="af9"/>
          <w:rFonts w:ascii="Noor_Mitra" w:hAnsi="Noor_Mitra" w:cs="AL-Mohanad"/>
          <w:sz w:val="27"/>
          <w:szCs w:val="27"/>
          <w:rtl/>
          <w:lang w:bidi="fa-IR"/>
        </w:rPr>
        <w:endnoteReference w:id="535"/>
      </w:r>
      <w:r w:rsidR="00464852" w:rsidRPr="00282AC9">
        <w:rPr>
          <w:rFonts w:ascii="Noor_Mitra" w:hAnsi="Noor_Mitra" w:cs="AL-Mohanad"/>
          <w:sz w:val="27"/>
          <w:szCs w:val="27"/>
          <w:vertAlign w:val="superscript"/>
          <w:rtl/>
          <w:lang w:bidi="fa-IR"/>
        </w:rPr>
        <w:t>)</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ويبدو من ألفاظه أنه ينسجم مع العربية الأصيلة</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إذَنْ </w:t>
      </w:r>
      <w:r w:rsidR="00312F63" w:rsidRPr="00282AC9">
        <w:rPr>
          <w:rFonts w:ascii="Noor_Mitra" w:hAnsi="Noor_Mitra" w:cs="AL-Mohanad" w:hint="cs"/>
          <w:sz w:val="27"/>
          <w:szCs w:val="27"/>
          <w:rtl/>
          <w:lang w:bidi="fa-IR"/>
        </w:rPr>
        <w:t xml:space="preserve">هو </w:t>
      </w:r>
      <w:r w:rsidR="00464852" w:rsidRPr="00282AC9">
        <w:rPr>
          <w:rFonts w:ascii="Noor_Mitra" w:hAnsi="Noor_Mitra" w:cs="AL-Mohanad"/>
          <w:sz w:val="27"/>
          <w:szCs w:val="27"/>
          <w:rtl/>
          <w:lang w:bidi="fa-IR"/>
        </w:rPr>
        <w:t>يصلح للاستدلال على إثبات معنى الكلمة في عصر النبي</w:t>
      </w:r>
      <w:r w:rsidR="00312F63" w:rsidRPr="00282AC9">
        <w:rPr>
          <w:rFonts w:ascii="Noor_Mitra" w:hAnsi="Noor_Mitra" w:cs="AL-Mohanad" w:hint="cs"/>
          <w:sz w:val="27"/>
          <w:szCs w:val="27"/>
          <w:rtl/>
          <w:lang w:bidi="fa-IR"/>
        </w:rPr>
        <w:t>ّ</w:t>
      </w:r>
      <w:r w:rsidR="009A2A04" w:rsidRPr="00282AC9">
        <w:rPr>
          <w:rFonts w:ascii="Noor_Mitra" w:hAnsi="Noor_Mitra" w:cs="Mosawi"/>
          <w:sz w:val="22"/>
          <w:szCs w:val="22"/>
          <w:rtl/>
          <w:lang w:bidi="fa-IR"/>
        </w:rPr>
        <w:t>|</w:t>
      </w:r>
      <w:r w:rsidR="00464852" w:rsidRPr="00282AC9">
        <w:rPr>
          <w:rFonts w:ascii="Noor_Mitra" w:hAnsi="Noor_Mitra" w:cs="AL-Mohanad"/>
          <w:sz w:val="27"/>
          <w:szCs w:val="27"/>
          <w:rtl/>
          <w:lang w:bidi="fa-IR"/>
        </w:rPr>
        <w:t>. لكن</w:t>
      </w:r>
      <w:r w:rsidR="00312F63" w:rsidRPr="00282AC9">
        <w:rPr>
          <w:rFonts w:ascii="Noor_Mitra" w:hAnsi="Noor_Mitra" w:cs="AL-Mohanad" w:hint="cs"/>
          <w:sz w:val="27"/>
          <w:szCs w:val="27"/>
          <w:rtl/>
          <w:lang w:bidi="fa-IR"/>
        </w:rPr>
        <w:t xml:space="preserve">ْ </w:t>
      </w:r>
      <w:r w:rsidR="00464852" w:rsidRPr="00282AC9">
        <w:rPr>
          <w:rFonts w:ascii="Noor_Mitra" w:hAnsi="Noor_Mitra" w:cs="AL-Mohanad" w:hint="cs"/>
          <w:sz w:val="27"/>
          <w:szCs w:val="27"/>
          <w:rtl/>
          <w:lang w:bidi="fa-IR"/>
        </w:rPr>
        <w:t xml:space="preserve">مع ذلك </w:t>
      </w:r>
      <w:r w:rsidR="00464852" w:rsidRPr="00282AC9">
        <w:rPr>
          <w:rFonts w:ascii="Noor_Mitra" w:hAnsi="Noor_Mitra" w:cs="AL-Mohanad"/>
          <w:sz w:val="27"/>
          <w:szCs w:val="27"/>
          <w:rtl/>
          <w:lang w:bidi="fa-IR"/>
        </w:rPr>
        <w:t>هناك شيئان يقلّ</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لان من قيمة هذا الشاهد: </w:t>
      </w:r>
      <w:r w:rsidR="00464852" w:rsidRPr="00282AC9">
        <w:rPr>
          <w:rFonts w:ascii="Noor_Mitra" w:hAnsi="Noor_Mitra" w:cs="AL-Mohanad"/>
          <w:b/>
          <w:bCs/>
          <w:sz w:val="27"/>
          <w:szCs w:val="27"/>
          <w:rtl/>
          <w:lang w:bidi="fa-IR"/>
        </w:rPr>
        <w:t>أحدهما</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اضطرابُ عبارته، حيث ورد في بعض المصادر </w:t>
      </w:r>
      <w:r w:rsidR="00464852" w:rsidRPr="00282AC9">
        <w:rPr>
          <w:rFonts w:ascii="Noor_Mitra" w:hAnsi="Noor_Mitra" w:cs="AL-Mohanad"/>
          <w:rtl/>
          <w:lang w:bidi="fa-IR"/>
        </w:rPr>
        <w:t>«</w:t>
      </w:r>
      <w:r w:rsidR="00464852" w:rsidRPr="00282AC9">
        <w:rPr>
          <w:rFonts w:ascii="Noor_Mitra" w:hAnsi="Noor_Mitra" w:cs="AL-Mohanad"/>
          <w:sz w:val="27"/>
          <w:szCs w:val="27"/>
          <w:rtl/>
          <w:lang w:bidi="fa-IR"/>
        </w:rPr>
        <w:t>مدرجة</w:t>
      </w:r>
      <w:r w:rsidR="00464852" w:rsidRPr="00282AC9">
        <w:rPr>
          <w:rFonts w:ascii="Noor_Mitra" w:hAnsi="Noor_Mitra" w:cs="AL-Mohanad"/>
          <w:rtl/>
          <w:lang w:bidi="fa-IR"/>
        </w:rPr>
        <w:t>»</w:t>
      </w:r>
      <w:r w:rsidR="00464852" w:rsidRPr="00282AC9">
        <w:rPr>
          <w:rFonts w:ascii="Noor_Mitra" w:hAnsi="Noor_Mitra" w:cs="AL-Mohanad"/>
          <w:sz w:val="27"/>
          <w:szCs w:val="27"/>
          <w:rtl/>
          <w:lang w:bidi="fa-IR"/>
        </w:rPr>
        <w:t xml:space="preserve"> بدل </w:t>
      </w:r>
      <w:r w:rsidR="00464852" w:rsidRPr="00282AC9">
        <w:rPr>
          <w:rFonts w:ascii="Noor_Mitra" w:hAnsi="Noor_Mitra" w:cs="AL-Mohanad"/>
          <w:rtl/>
          <w:lang w:bidi="fa-IR"/>
        </w:rPr>
        <w:t>«</w:t>
      </w:r>
      <w:r w:rsidR="00464852" w:rsidRPr="00282AC9">
        <w:rPr>
          <w:rFonts w:ascii="Noor_Mitra" w:hAnsi="Noor_Mitra" w:cs="AL-Mohanad"/>
          <w:sz w:val="27"/>
          <w:szCs w:val="27"/>
          <w:rtl/>
        </w:rPr>
        <w:t>سنن</w:t>
      </w:r>
      <w:r w:rsidR="00464852" w:rsidRPr="00282AC9">
        <w:rPr>
          <w:rFonts w:ascii="Noor_Mitra" w:hAnsi="Noor_Mitra" w:cs="AL-Mohanad"/>
          <w:rtl/>
          <w:lang w:bidi="fa-IR"/>
        </w:rPr>
        <w:t>»</w:t>
      </w:r>
      <w:r w:rsidR="00464852" w:rsidRPr="00282AC9">
        <w:rPr>
          <w:rFonts w:ascii="Noor_Mitra" w:hAnsi="Noor_Mitra" w:cs="AL-Mohanad"/>
          <w:sz w:val="27"/>
          <w:szCs w:val="27"/>
          <w:vertAlign w:val="superscript"/>
          <w:rtl/>
          <w:lang w:bidi="fa-IR"/>
        </w:rPr>
        <w:t>(</w:t>
      </w:r>
      <w:r w:rsidR="00464852" w:rsidRPr="00282AC9">
        <w:rPr>
          <w:rStyle w:val="af9"/>
          <w:rFonts w:ascii="Noor_Mitra" w:hAnsi="Noor_Mitra" w:cs="AL-Mohanad"/>
          <w:sz w:val="27"/>
          <w:szCs w:val="27"/>
          <w:rtl/>
          <w:lang w:bidi="fa-IR"/>
        </w:rPr>
        <w:endnoteReference w:id="536"/>
      </w:r>
      <w:r w:rsidR="00464852" w:rsidRPr="00282AC9">
        <w:rPr>
          <w:rFonts w:ascii="Noor_Mitra" w:hAnsi="Noor_Mitra" w:cs="AL-Mohanad"/>
          <w:sz w:val="27"/>
          <w:szCs w:val="27"/>
          <w:vertAlign w:val="superscript"/>
          <w:rtl/>
          <w:lang w:bidi="fa-IR"/>
        </w:rPr>
        <w:t>)</w:t>
      </w:r>
      <w:r w:rsidR="00464852" w:rsidRPr="00282AC9">
        <w:rPr>
          <w:rFonts w:ascii="Noor_Mitra" w:hAnsi="Noor_Mitra" w:cs="AL-Mohanad"/>
          <w:sz w:val="27"/>
          <w:szCs w:val="27"/>
          <w:rtl/>
          <w:lang w:bidi="fa-IR"/>
        </w:rPr>
        <w:t xml:space="preserve">، </w:t>
      </w:r>
      <w:r w:rsidR="00464852" w:rsidRPr="00282AC9">
        <w:rPr>
          <w:rFonts w:ascii="Noor_Mitra" w:hAnsi="Noor_Mitra" w:cs="AL-Mohanad"/>
          <w:b/>
          <w:bCs/>
          <w:sz w:val="27"/>
          <w:szCs w:val="27"/>
          <w:rtl/>
          <w:lang w:bidi="fa-IR"/>
        </w:rPr>
        <w:t>والثاني</w:t>
      </w:r>
      <w:r w:rsidR="00312F63" w:rsidRPr="00282AC9">
        <w:rPr>
          <w:rFonts w:ascii="Noor_Mitra" w:hAnsi="Noor_Mitra" w:cs="AL-Mohanad" w:hint="cs"/>
          <w:sz w:val="27"/>
          <w:szCs w:val="27"/>
          <w:rtl/>
          <w:lang w:bidi="fa-IR"/>
        </w:rPr>
        <w:t>:</w:t>
      </w:r>
      <w:r w:rsidR="00312F63" w:rsidRPr="00282AC9">
        <w:rPr>
          <w:rFonts w:ascii="Noor_Mitra" w:hAnsi="Noor_Mitra" w:cs="AL-Mohanad"/>
          <w:sz w:val="27"/>
          <w:szCs w:val="27"/>
          <w:rtl/>
          <w:lang w:bidi="fa-IR"/>
        </w:rPr>
        <w:t xml:space="preserve"> احتمالُ كون</w:t>
      </w:r>
      <w:r w:rsidR="00464852" w:rsidRPr="00282AC9">
        <w:rPr>
          <w:rFonts w:ascii="Noor_Mitra" w:hAnsi="Noor_Mitra" w:cs="AL-Mohanad"/>
          <w:sz w:val="27"/>
          <w:szCs w:val="27"/>
          <w:rtl/>
          <w:lang w:bidi="fa-IR"/>
        </w:rPr>
        <w:t xml:space="preserve"> </w:t>
      </w:r>
      <w:r w:rsidR="00464852" w:rsidRPr="00282AC9">
        <w:rPr>
          <w:rFonts w:cs="AL-Mohanad" w:hint="eastAsia"/>
          <w:rtl/>
          <w:lang w:bidi="fa-IR"/>
        </w:rPr>
        <w:t>«</w:t>
      </w:r>
      <w:r w:rsidR="00464852" w:rsidRPr="00282AC9">
        <w:rPr>
          <w:rFonts w:ascii="Noor_Mitra" w:hAnsi="Noor_Mitra" w:cs="AL-Mohanad"/>
          <w:sz w:val="27"/>
          <w:szCs w:val="27"/>
          <w:rtl/>
          <w:lang w:bidi="fa-IR"/>
        </w:rPr>
        <w:t>الس</w:t>
      </w:r>
      <w:r w:rsidR="00312F63"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نن</w:t>
      </w:r>
      <w:r w:rsidR="00464852" w:rsidRPr="00282AC9">
        <w:rPr>
          <w:rFonts w:cs="AL-Mohanad" w:hint="eastAsia"/>
          <w:rtl/>
        </w:rPr>
        <w:t>»</w:t>
      </w:r>
      <w:r w:rsidR="00464852" w:rsidRPr="00282AC9">
        <w:rPr>
          <w:rFonts w:ascii="Noor_Mitra" w:hAnsi="Noor_Mitra" w:cs="AL-Mohanad"/>
          <w:sz w:val="27"/>
          <w:szCs w:val="27"/>
          <w:rtl/>
          <w:lang w:bidi="fa-IR"/>
        </w:rPr>
        <w:t xml:space="preserve"> بفتح السين</w:t>
      </w:r>
      <w:r w:rsidR="00312F63" w:rsidRPr="00282AC9">
        <w:rPr>
          <w:rFonts w:ascii="Noor_Mitra" w:hAnsi="Noor_Mitra" w:cs="AL-Mohanad" w:hint="cs"/>
          <w:sz w:val="27"/>
          <w:szCs w:val="27"/>
          <w:rtl/>
          <w:lang w:bidi="fa-IR"/>
        </w:rPr>
        <w:t>،</w:t>
      </w:r>
      <w:r w:rsidR="00312F63" w:rsidRPr="00282AC9">
        <w:rPr>
          <w:rFonts w:ascii="Noor_Mitra" w:hAnsi="Noor_Mitra" w:cs="AL-Mohanad"/>
          <w:sz w:val="27"/>
          <w:szCs w:val="27"/>
          <w:rtl/>
          <w:lang w:bidi="fa-IR"/>
        </w:rPr>
        <w:t xml:space="preserve"> لا ضمّها، كما ت</w:t>
      </w:r>
      <w:r w:rsidR="00464852" w:rsidRPr="00282AC9">
        <w:rPr>
          <w:rFonts w:ascii="Noor_Mitra" w:hAnsi="Noor_Mitra" w:cs="AL-Mohanad"/>
          <w:sz w:val="27"/>
          <w:szCs w:val="27"/>
          <w:rtl/>
          <w:lang w:bidi="fa-IR"/>
        </w:rPr>
        <w:t>قدّ</w:t>
      </w:r>
      <w:r w:rsidR="00312F63" w:rsidRPr="00282AC9">
        <w:rPr>
          <w:rFonts w:ascii="Noor_Mitra" w:hAnsi="Noor_Mitra" w:cs="AL-Mohanad" w:hint="cs"/>
          <w:sz w:val="27"/>
          <w:szCs w:val="27"/>
          <w:rtl/>
          <w:lang w:bidi="fa-IR"/>
        </w:rPr>
        <w:t>َ</w:t>
      </w:r>
      <w:r w:rsidR="00312F63" w:rsidRPr="00282AC9">
        <w:rPr>
          <w:rFonts w:ascii="Noor_Mitra" w:hAnsi="Noor_Mitra" w:cs="AL-Mohanad"/>
          <w:sz w:val="27"/>
          <w:szCs w:val="27"/>
          <w:rtl/>
          <w:lang w:bidi="fa-IR"/>
        </w:rPr>
        <w:t>م</w:t>
      </w:r>
      <w:r w:rsidR="00464852" w:rsidRPr="00282AC9">
        <w:rPr>
          <w:rFonts w:ascii="Noor_Mitra" w:hAnsi="Noor_Mitra" w:cs="AL-Mohanad"/>
          <w:sz w:val="27"/>
          <w:szCs w:val="27"/>
          <w:rtl/>
          <w:lang w:bidi="fa-IR"/>
        </w:rPr>
        <w:t xml:space="preserve"> في بداية </w:t>
      </w:r>
      <w:r w:rsidR="00464852" w:rsidRPr="00282AC9">
        <w:rPr>
          <w:rFonts w:ascii="Noor_Mitra" w:hAnsi="Noor_Mitra" w:cs="AL-Mohanad"/>
          <w:sz w:val="27"/>
          <w:szCs w:val="27"/>
          <w:rtl/>
          <w:lang w:bidi="fa-IR"/>
        </w:rPr>
        <w:lastRenderedPageBreak/>
        <w:t>المقال.</w:t>
      </w:r>
    </w:p>
    <w:p w:rsidR="0073600A" w:rsidRPr="00282AC9" w:rsidRDefault="0073600A" w:rsidP="0073600A">
      <w:pPr>
        <w:spacing w:line="420" w:lineRule="exact"/>
        <w:rPr>
          <w:rtl/>
        </w:rPr>
      </w:pPr>
    </w:p>
    <w:p w:rsidR="00464852" w:rsidRPr="00282AC9" w:rsidRDefault="001332DF" w:rsidP="00B1056C">
      <w:pPr>
        <w:pStyle w:val="31"/>
        <w:rPr>
          <w:color w:val="auto"/>
          <w:rtl/>
        </w:rPr>
      </w:pPr>
      <w:r w:rsidRPr="00282AC9">
        <w:rPr>
          <w:rFonts w:hint="cs"/>
          <w:color w:val="auto"/>
          <w:rtl/>
        </w:rPr>
        <w:t xml:space="preserve">ب ـ في </w:t>
      </w:r>
      <w:r w:rsidR="00464852" w:rsidRPr="00282AC9">
        <w:rPr>
          <w:color w:val="auto"/>
          <w:rtl/>
        </w:rPr>
        <w:t>كلمات الصحابة</w:t>
      </w:r>
    </w:p>
    <w:p w:rsidR="00464852" w:rsidRPr="00282AC9" w:rsidRDefault="00312F63" w:rsidP="0073600A">
      <w:pPr>
        <w:pStyle w:val="afc"/>
        <w:rPr>
          <w:rFonts w:ascii="Noor_Mitra" w:hAnsi="Noor_Mitra" w:cs="AL-Mohanad"/>
          <w:sz w:val="27"/>
          <w:szCs w:val="27"/>
          <w:rtl/>
          <w:lang w:bidi="fa-IR"/>
        </w:rPr>
      </w:pPr>
      <w:r w:rsidRPr="00282AC9">
        <w:rPr>
          <w:rFonts w:ascii="Noor_Mitra" w:hAnsi="Noor_Mitra" w:cs="AL-Mohanad" w:hint="cs"/>
          <w:sz w:val="27"/>
          <w:szCs w:val="27"/>
          <w:rtl/>
        </w:rPr>
        <w:t xml:space="preserve">1ـ </w:t>
      </w:r>
      <w:r w:rsidR="00645425" w:rsidRPr="00282AC9">
        <w:rPr>
          <w:rFonts w:ascii="Noor_Mitra" w:hAnsi="Noor_Mitra" w:cs="AL-Mohanad"/>
          <w:sz w:val="27"/>
          <w:szCs w:val="27"/>
          <w:rtl/>
        </w:rPr>
        <w:t>وعن سلمان الفارس</w:t>
      </w:r>
      <w:r w:rsidR="00645425" w:rsidRPr="00282AC9">
        <w:rPr>
          <w:rFonts w:ascii="Noor_Mitra" w:hAnsi="Noor_Mitra" w:cs="AL-Mohanad" w:hint="cs"/>
          <w:sz w:val="27"/>
          <w:szCs w:val="27"/>
          <w:rtl/>
        </w:rPr>
        <w:t>ي رضي الله عنه</w:t>
      </w:r>
      <w:r w:rsidR="00464852" w:rsidRPr="00282AC9">
        <w:rPr>
          <w:rFonts w:ascii="Noor_Mitra" w:hAnsi="Noor_Mitra" w:cs="AL-Mohanad"/>
          <w:sz w:val="27"/>
          <w:szCs w:val="27"/>
          <w:rtl/>
        </w:rPr>
        <w:t xml:space="preserve">: </w:t>
      </w:r>
      <w:r w:rsidR="00464852" w:rsidRPr="00282AC9">
        <w:rPr>
          <w:rFonts w:cs="AL-Mohanad" w:hint="eastAsia"/>
          <w:rtl/>
        </w:rPr>
        <w:t>«</w:t>
      </w:r>
      <w:r w:rsidR="00464852" w:rsidRPr="00282AC9">
        <w:rPr>
          <w:rFonts w:ascii="Noor_Mitra" w:hAnsi="Noor_Mitra" w:cs="AL-Mohanad"/>
          <w:sz w:val="27"/>
          <w:szCs w:val="27"/>
          <w:rtl/>
          <w:lang w:bidi="fa-IR"/>
        </w:rPr>
        <w:t>أصب</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تُم سنّةَ 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كان قبلكم من الفرقة والاختلاف</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وأخطأتم س</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ةَ نبي</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كم</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37"/>
      </w:r>
      <w:r w:rsidR="00464852" w:rsidRPr="00282AC9">
        <w:rPr>
          <w:rFonts w:cs="AL-Mohanad"/>
          <w:sz w:val="27"/>
          <w:szCs w:val="27"/>
          <w:vertAlign w:val="superscript"/>
          <w:rtl/>
        </w:rPr>
        <w:t>)</w:t>
      </w:r>
      <w:r w:rsidR="00464852" w:rsidRPr="00282AC9">
        <w:rPr>
          <w:rFonts w:ascii="Noor_Mitra" w:hAnsi="Noor_Mitra" w:cs="AL-Mohanad"/>
          <w:sz w:val="27"/>
          <w:szCs w:val="27"/>
          <w:rtl/>
        </w:rPr>
        <w:t xml:space="preserve">. </w:t>
      </w:r>
    </w:p>
    <w:p w:rsidR="00464852" w:rsidRPr="00282AC9" w:rsidRDefault="00312F63" w:rsidP="0073600A">
      <w:pPr>
        <w:pStyle w:val="afc"/>
        <w:rPr>
          <w:rFonts w:ascii="Noor_Mitra" w:hAnsi="Noor_Mitra" w:cs="AL-Mohanad"/>
          <w:sz w:val="27"/>
          <w:szCs w:val="27"/>
          <w:rtl/>
          <w:lang w:bidi="fa-IR"/>
        </w:rPr>
      </w:pPr>
      <w:r w:rsidRPr="00282AC9">
        <w:rPr>
          <w:rFonts w:ascii="Noor_Mitra" w:hAnsi="Noor_Mitra" w:cs="AL-Mohanad" w:hint="cs"/>
          <w:sz w:val="27"/>
          <w:szCs w:val="27"/>
          <w:rtl/>
        </w:rPr>
        <w:t xml:space="preserve">2ـ </w:t>
      </w:r>
      <w:r w:rsidR="00464852" w:rsidRPr="00282AC9">
        <w:rPr>
          <w:rFonts w:ascii="Noor_Mitra" w:hAnsi="Noor_Mitra" w:cs="AL-Mohanad"/>
          <w:sz w:val="27"/>
          <w:szCs w:val="27"/>
          <w:rtl/>
        </w:rPr>
        <w:t>وعنه</w:t>
      </w:r>
      <w:r w:rsidR="00645425" w:rsidRPr="00282AC9">
        <w:rPr>
          <w:rFonts w:ascii="Noor_Mitra" w:hAnsi="Noor_Mitra" w:cs="AL-Mohanad" w:hint="cs"/>
          <w:sz w:val="27"/>
          <w:szCs w:val="27"/>
          <w:rtl/>
        </w:rPr>
        <w:t xml:space="preserve"> رضي الله عنه</w:t>
      </w:r>
      <w:r w:rsidR="00464852" w:rsidRPr="00282AC9">
        <w:rPr>
          <w:rFonts w:ascii="Noor_Mitra" w:hAnsi="Noor_Mitra" w:cs="AL-Mohanad"/>
          <w:sz w:val="27"/>
          <w:szCs w:val="27"/>
          <w:rtl/>
        </w:rPr>
        <w:t xml:space="preserve"> أيضا</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w:t>
      </w:r>
      <w:r w:rsidR="00464852" w:rsidRPr="00282AC9">
        <w:rPr>
          <w:rFonts w:cs="AL-Mohanad" w:hint="eastAsia"/>
          <w:rtl/>
          <w:lang w:bidi="fa-IR"/>
        </w:rPr>
        <w:t>«</w:t>
      </w:r>
      <w:r w:rsidR="00464852" w:rsidRPr="00282AC9">
        <w:rPr>
          <w:rFonts w:ascii="Noor_Mitra" w:hAnsi="Noor_Mitra" w:cs="AL-Mohanad"/>
          <w:sz w:val="27"/>
          <w:szCs w:val="27"/>
          <w:rtl/>
          <w:lang w:bidi="fa-IR"/>
        </w:rPr>
        <w:t>ل</w:t>
      </w:r>
      <w:r w:rsidRPr="00282AC9">
        <w:rPr>
          <w:rFonts w:ascii="Noor_Mitra" w:hAnsi="Noor_Mitra" w:cs="AL-Mohanad"/>
          <w:sz w:val="27"/>
          <w:szCs w:val="27"/>
          <w:rtl/>
          <w:lang w:bidi="fa-IR"/>
        </w:rPr>
        <w:t>كنّكم أخَذَتْكم سُنّة</w:t>
      </w:r>
      <w:r w:rsidR="00464852" w:rsidRPr="00282AC9">
        <w:rPr>
          <w:rFonts w:ascii="Noor_Mitra" w:hAnsi="Noor_Mitra" w:cs="AL-Mohanad"/>
          <w:sz w:val="27"/>
          <w:szCs w:val="27"/>
          <w:rtl/>
          <w:lang w:bidi="fa-IR"/>
        </w:rPr>
        <w:t xml:space="preserve"> بني‏ إسرائيل</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فأخطأتُم الحقَّ</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38"/>
      </w:r>
      <w:r w:rsidR="00464852" w:rsidRPr="00282AC9">
        <w:rPr>
          <w:rFonts w:cs="AL-Mohanad"/>
          <w:sz w:val="27"/>
          <w:szCs w:val="27"/>
          <w:vertAlign w:val="superscript"/>
          <w:rtl/>
        </w:rPr>
        <w:t>)</w:t>
      </w:r>
      <w:r w:rsidRPr="00282AC9">
        <w:rPr>
          <w:rFonts w:ascii="Noor_Mitra" w:hAnsi="Noor_Mitra" w:cs="AL-Mohanad" w:hint="cs"/>
          <w:sz w:val="27"/>
          <w:szCs w:val="27"/>
          <w:rtl/>
        </w:rPr>
        <w:t>.</w:t>
      </w:r>
      <w:r w:rsidRPr="00282AC9">
        <w:rPr>
          <w:rFonts w:ascii="Noor_Mitra" w:hAnsi="Noor_Mitra" w:cs="AL-Mohanad"/>
          <w:sz w:val="27"/>
          <w:szCs w:val="27"/>
          <w:rtl/>
        </w:rPr>
        <w:t xml:space="preserve"> ورُوي ب</w:t>
      </w:r>
      <w:r w:rsidR="00464852" w:rsidRPr="00282AC9">
        <w:rPr>
          <w:rFonts w:ascii="Noor_Mitra" w:hAnsi="Noor_Mitra" w:cs="AL-Mohanad"/>
          <w:sz w:val="27"/>
          <w:szCs w:val="27"/>
          <w:rtl/>
        </w:rPr>
        <w:t>شكل</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آخر: </w:t>
      </w:r>
      <w:r w:rsidR="00464852" w:rsidRPr="00282AC9">
        <w:rPr>
          <w:rFonts w:cs="AL-Mohanad" w:hint="eastAsia"/>
          <w:rtl/>
          <w:lang w:bidi="fa-IR"/>
        </w:rPr>
        <w:t>«</w:t>
      </w:r>
      <w:r w:rsidRPr="00282AC9">
        <w:rPr>
          <w:rFonts w:ascii="Noor_Mitra" w:hAnsi="Noor_Mitra" w:cs="AL-Mohanad"/>
          <w:sz w:val="27"/>
          <w:szCs w:val="27"/>
          <w:rtl/>
          <w:lang w:bidi="fa-IR"/>
        </w:rPr>
        <w:t>ولكنّكم أصبتُم سُنّة</w:t>
      </w:r>
      <w:r w:rsidR="00464852" w:rsidRPr="00282AC9">
        <w:rPr>
          <w:rFonts w:ascii="Noor_Mitra" w:hAnsi="Noor_Mitra" w:cs="AL-Mohanad"/>
          <w:sz w:val="27"/>
          <w:szCs w:val="27"/>
          <w:rtl/>
          <w:lang w:bidi="fa-IR"/>
        </w:rPr>
        <w:t xml:space="preserve"> الأو</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لين</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وأخطأتُم سبيل</w:t>
      </w:r>
      <w:r w:rsidR="00464852" w:rsidRPr="00282AC9">
        <w:rPr>
          <w:rFonts w:ascii="Noor_Mitra" w:hAnsi="Noor_Mitra" w:cs="AL-Mohanad"/>
          <w:sz w:val="27"/>
          <w:szCs w:val="27"/>
          <w:rtl/>
          <w:lang w:bidi="fa-IR"/>
        </w:rPr>
        <w:t>كم</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39"/>
      </w:r>
      <w:r w:rsidR="00464852" w:rsidRPr="00282AC9">
        <w:rPr>
          <w:rFonts w:cs="AL-Mohanad"/>
          <w:sz w:val="27"/>
          <w:szCs w:val="27"/>
          <w:vertAlign w:val="superscript"/>
          <w:rtl/>
        </w:rPr>
        <w:t>)</w:t>
      </w:r>
      <w:r w:rsidR="00464852" w:rsidRPr="00282AC9">
        <w:rPr>
          <w:rFonts w:ascii="Noor_Mitra" w:hAnsi="Noor_Mitra" w:cs="AL-Mohanad"/>
          <w:sz w:val="27"/>
          <w:szCs w:val="27"/>
          <w:rtl/>
        </w:rPr>
        <w:t xml:space="preserve">. </w:t>
      </w:r>
    </w:p>
    <w:p w:rsidR="00464852" w:rsidRPr="00282AC9" w:rsidRDefault="00464852" w:rsidP="0073600A">
      <w:pPr>
        <w:pStyle w:val="afc"/>
        <w:rPr>
          <w:rFonts w:ascii="Noor_Mitra" w:hAnsi="Noor_Mitra" w:cs="AL-Mohanad"/>
          <w:sz w:val="27"/>
          <w:szCs w:val="27"/>
          <w:rtl/>
          <w:lang w:bidi="fa-IR"/>
        </w:rPr>
      </w:pPr>
      <w:r w:rsidRPr="00282AC9">
        <w:rPr>
          <w:rFonts w:ascii="Noor_Mitra" w:hAnsi="Noor_Mitra" w:cs="AL-Mohanad" w:hint="cs"/>
          <w:sz w:val="27"/>
          <w:szCs w:val="27"/>
          <w:rtl/>
        </w:rPr>
        <w:t>لكن</w:t>
      </w:r>
      <w:r w:rsidR="00312F63" w:rsidRPr="00282AC9">
        <w:rPr>
          <w:rFonts w:ascii="Noor_Mitra" w:hAnsi="Noor_Mitra" w:cs="AL-Mohanad" w:hint="cs"/>
          <w:sz w:val="27"/>
          <w:szCs w:val="27"/>
          <w:rtl/>
        </w:rPr>
        <w:t>ْ</w:t>
      </w:r>
      <w:r w:rsidRPr="00282AC9">
        <w:rPr>
          <w:rFonts w:ascii="Noor_Mitra" w:hAnsi="Noor_Mitra" w:cs="AL-Mohanad" w:hint="cs"/>
          <w:sz w:val="27"/>
          <w:szCs w:val="27"/>
          <w:rtl/>
        </w:rPr>
        <w:t xml:space="preserve"> مع ذلك </w:t>
      </w:r>
      <w:r w:rsidRPr="00282AC9">
        <w:rPr>
          <w:rFonts w:ascii="Noor_Mitra" w:hAnsi="Noor_Mitra" w:cs="AL-Mohanad"/>
          <w:sz w:val="27"/>
          <w:szCs w:val="27"/>
          <w:rtl/>
        </w:rPr>
        <w:t>ر</w:t>
      </w:r>
      <w:r w:rsidR="00312F63" w:rsidRPr="00282AC9">
        <w:rPr>
          <w:rFonts w:ascii="Noor_Mitra" w:hAnsi="Noor_Mitra" w:cs="AL-Mohanad" w:hint="cs"/>
          <w:sz w:val="27"/>
          <w:szCs w:val="27"/>
          <w:rtl/>
        </w:rPr>
        <w:t>ُ</w:t>
      </w:r>
      <w:r w:rsidRPr="00282AC9">
        <w:rPr>
          <w:rFonts w:ascii="Noor_Mitra" w:hAnsi="Noor_Mitra" w:cs="AL-Mohanad"/>
          <w:sz w:val="27"/>
          <w:szCs w:val="27"/>
          <w:rtl/>
        </w:rPr>
        <w:t>ب</w:t>
      </w:r>
      <w:r w:rsidR="00312F63" w:rsidRPr="00282AC9">
        <w:rPr>
          <w:rFonts w:ascii="Noor_Mitra" w:hAnsi="Noor_Mitra" w:cs="AL-Mohanad" w:hint="cs"/>
          <w:sz w:val="27"/>
          <w:szCs w:val="27"/>
          <w:rtl/>
        </w:rPr>
        <w:t>َ</w:t>
      </w:r>
      <w:r w:rsidRPr="00282AC9">
        <w:rPr>
          <w:rFonts w:ascii="Noor_Mitra" w:hAnsi="Noor_Mitra" w:cs="AL-Mohanad"/>
          <w:sz w:val="27"/>
          <w:szCs w:val="27"/>
          <w:rtl/>
        </w:rPr>
        <w:t>ما يخطر بالبال أن سلمان لم يكن عربي</w:t>
      </w:r>
      <w:r w:rsidR="00312F63" w:rsidRPr="00282AC9">
        <w:rPr>
          <w:rFonts w:ascii="Noor_Mitra" w:hAnsi="Noor_Mitra" w:cs="AL-Mohanad" w:hint="cs"/>
          <w:sz w:val="27"/>
          <w:szCs w:val="27"/>
          <w:rtl/>
        </w:rPr>
        <w:t>ّ</w:t>
      </w:r>
      <w:r w:rsidRPr="00282AC9">
        <w:rPr>
          <w:rFonts w:ascii="Noor_Mitra" w:hAnsi="Noor_Mitra" w:cs="AL-Mohanad"/>
          <w:sz w:val="27"/>
          <w:szCs w:val="27"/>
          <w:rtl/>
        </w:rPr>
        <w:t>اً</w:t>
      </w:r>
      <w:r w:rsidR="00312F63" w:rsidRPr="00282AC9">
        <w:rPr>
          <w:rFonts w:ascii="Noor_Mitra" w:hAnsi="Noor_Mitra" w:cs="AL-Mohanad" w:hint="cs"/>
          <w:sz w:val="27"/>
          <w:szCs w:val="27"/>
          <w:rtl/>
        </w:rPr>
        <w:t>،</w:t>
      </w:r>
      <w:r w:rsidRPr="00282AC9">
        <w:rPr>
          <w:rFonts w:ascii="Noor_Mitra" w:hAnsi="Noor_Mitra" w:cs="AL-Mohanad"/>
          <w:sz w:val="27"/>
          <w:szCs w:val="27"/>
          <w:rtl/>
        </w:rPr>
        <w:t xml:space="preserve"> فلا يصحّ الاستشهادُ بكلامه على المعنى اللغوي</w:t>
      </w:r>
      <w:r w:rsidR="00312F63" w:rsidRPr="00282AC9">
        <w:rPr>
          <w:rFonts w:ascii="Noor_Mitra" w:hAnsi="Noor_Mitra" w:cs="AL-Mohanad" w:hint="cs"/>
          <w:sz w:val="27"/>
          <w:szCs w:val="27"/>
          <w:rtl/>
        </w:rPr>
        <w:t>ّ</w:t>
      </w:r>
      <w:r w:rsidRPr="00282AC9">
        <w:rPr>
          <w:rFonts w:ascii="Noor_Mitra" w:hAnsi="Noor_Mitra" w:cs="AL-Mohanad"/>
          <w:sz w:val="27"/>
          <w:szCs w:val="27"/>
          <w:rtl/>
        </w:rPr>
        <w:t xml:space="preserve"> الأصيل. </w:t>
      </w:r>
      <w:r w:rsidR="008B09C0" w:rsidRPr="00282AC9">
        <w:rPr>
          <w:rFonts w:ascii="Noor_Mitra" w:hAnsi="Noor_Mitra" w:cs="AL-Mohanad" w:hint="cs"/>
          <w:sz w:val="27"/>
          <w:szCs w:val="27"/>
          <w:rtl/>
        </w:rPr>
        <w:t>و</w:t>
      </w:r>
      <w:r w:rsidRPr="00282AC9">
        <w:rPr>
          <w:rFonts w:ascii="Noor_Mitra" w:hAnsi="Noor_Mitra" w:cs="AL-Mohanad" w:hint="cs"/>
          <w:sz w:val="27"/>
          <w:szCs w:val="27"/>
          <w:rtl/>
        </w:rPr>
        <w:t>مع ذلك قد</w:t>
      </w:r>
      <w:r w:rsidRPr="00282AC9">
        <w:rPr>
          <w:rFonts w:ascii="Noor_Mitra" w:hAnsi="Noor_Mitra" w:cs="AL-Mohanad"/>
          <w:sz w:val="27"/>
          <w:szCs w:val="27"/>
          <w:rtl/>
        </w:rPr>
        <w:t xml:space="preserve"> يمكن الاستشهاد به في صورة النقل بالمعنى</w:t>
      </w:r>
      <w:r w:rsidR="008B09C0" w:rsidRPr="00282AC9">
        <w:rPr>
          <w:rFonts w:ascii="Noor_Mitra" w:hAnsi="Noor_Mitra" w:cs="AL-Mohanad" w:hint="cs"/>
          <w:sz w:val="27"/>
          <w:szCs w:val="27"/>
          <w:rtl/>
        </w:rPr>
        <w:t>؛</w:t>
      </w:r>
      <w:r w:rsidRPr="00282AC9">
        <w:rPr>
          <w:rFonts w:ascii="Noor_Mitra" w:hAnsi="Noor_Mitra" w:cs="AL-Mohanad"/>
          <w:sz w:val="27"/>
          <w:szCs w:val="27"/>
          <w:rtl/>
        </w:rPr>
        <w:t xml:space="preserve"> حيث يحتمل قوي</w:t>
      </w:r>
      <w:r w:rsidR="008B09C0" w:rsidRPr="00282AC9">
        <w:rPr>
          <w:rFonts w:ascii="Noor_Mitra" w:hAnsi="Noor_Mitra" w:cs="AL-Mohanad" w:hint="cs"/>
          <w:sz w:val="27"/>
          <w:szCs w:val="27"/>
          <w:rtl/>
        </w:rPr>
        <w:t>ّ</w:t>
      </w:r>
      <w:r w:rsidRPr="00282AC9">
        <w:rPr>
          <w:rFonts w:ascii="Noor_Mitra" w:hAnsi="Noor_Mitra" w:cs="AL-Mohanad"/>
          <w:sz w:val="27"/>
          <w:szCs w:val="27"/>
          <w:rtl/>
        </w:rPr>
        <w:t>ا</w:t>
      </w:r>
      <w:r w:rsidR="008B09C0" w:rsidRPr="00282AC9">
        <w:rPr>
          <w:rFonts w:ascii="Noor_Mitra" w:hAnsi="Noor_Mitra" w:cs="AL-Mohanad" w:hint="cs"/>
          <w:sz w:val="27"/>
          <w:szCs w:val="27"/>
          <w:rtl/>
        </w:rPr>
        <w:t>ً</w:t>
      </w:r>
      <w:r w:rsidR="008B09C0" w:rsidRPr="00282AC9">
        <w:rPr>
          <w:rFonts w:ascii="Noor_Mitra" w:hAnsi="Noor_Mitra" w:cs="AL-Mohanad"/>
          <w:sz w:val="27"/>
          <w:szCs w:val="27"/>
          <w:rtl/>
        </w:rPr>
        <w:t xml:space="preserve"> أنّ الرواةَ نقلوا كلام</w:t>
      </w:r>
      <w:r w:rsidRPr="00282AC9">
        <w:rPr>
          <w:rFonts w:ascii="Noor_Mitra" w:hAnsi="Noor_Mitra" w:cs="AL-Mohanad"/>
          <w:sz w:val="27"/>
          <w:szCs w:val="27"/>
          <w:rtl/>
        </w:rPr>
        <w:t>ه وِف</w:t>
      </w:r>
      <w:r w:rsidR="008B09C0" w:rsidRPr="00282AC9">
        <w:rPr>
          <w:rFonts w:ascii="Noor_Mitra" w:hAnsi="Noor_Mitra" w:cs="AL-Mohanad" w:hint="cs"/>
          <w:sz w:val="27"/>
          <w:szCs w:val="27"/>
          <w:rtl/>
        </w:rPr>
        <w:t>ْ</w:t>
      </w:r>
      <w:r w:rsidR="008B09C0" w:rsidRPr="00282AC9">
        <w:rPr>
          <w:rFonts w:ascii="Noor_Mitra" w:hAnsi="Noor_Mitra" w:cs="AL-Mohanad"/>
          <w:sz w:val="27"/>
          <w:szCs w:val="27"/>
          <w:rtl/>
        </w:rPr>
        <w:t>قَ لغت</w:t>
      </w:r>
      <w:r w:rsidRPr="00282AC9">
        <w:rPr>
          <w:rFonts w:ascii="Noor_Mitra" w:hAnsi="Noor_Mitra" w:cs="AL-Mohanad"/>
          <w:sz w:val="27"/>
          <w:szCs w:val="27"/>
          <w:rtl/>
        </w:rPr>
        <w:t>هم.</w:t>
      </w:r>
    </w:p>
    <w:p w:rsidR="00464852" w:rsidRPr="00282AC9" w:rsidRDefault="00312F63" w:rsidP="0073600A">
      <w:pPr>
        <w:pStyle w:val="afc"/>
        <w:rPr>
          <w:rFonts w:ascii="Noor_Mitra" w:hAnsi="Noor_Mitra" w:cs="AL-Mohanad"/>
          <w:sz w:val="27"/>
          <w:szCs w:val="27"/>
          <w:rtl/>
        </w:rPr>
      </w:pPr>
      <w:r w:rsidRPr="00282AC9">
        <w:rPr>
          <w:rFonts w:ascii="Noor_Mitra" w:hAnsi="Noor_Mitra" w:cs="AL-Mohanad" w:hint="cs"/>
          <w:sz w:val="27"/>
          <w:szCs w:val="27"/>
          <w:rtl/>
        </w:rPr>
        <w:t xml:space="preserve">3ـ </w:t>
      </w:r>
      <w:r w:rsidR="00464852" w:rsidRPr="00282AC9">
        <w:rPr>
          <w:rFonts w:ascii="Noor_Mitra" w:hAnsi="Noor_Mitra" w:cs="AL-Mohanad"/>
          <w:sz w:val="27"/>
          <w:szCs w:val="27"/>
          <w:rtl/>
        </w:rPr>
        <w:t>وفي كلام ابن عب</w:t>
      </w:r>
      <w:r w:rsidR="008B09C0" w:rsidRPr="00282AC9">
        <w:rPr>
          <w:rFonts w:ascii="Noor_Mitra" w:hAnsi="Noor_Mitra" w:cs="AL-Mohanad" w:hint="cs"/>
          <w:sz w:val="27"/>
          <w:szCs w:val="27"/>
          <w:rtl/>
        </w:rPr>
        <w:t>ّ</w:t>
      </w:r>
      <w:r w:rsidR="00464852" w:rsidRPr="00282AC9">
        <w:rPr>
          <w:rFonts w:ascii="Noor_Mitra" w:hAnsi="Noor_Mitra" w:cs="AL-Mohanad"/>
          <w:sz w:val="27"/>
          <w:szCs w:val="27"/>
          <w:rtl/>
        </w:rPr>
        <w:t>اس رضي</w:t>
      </w:r>
      <w:r w:rsidR="00464852" w:rsidRPr="00282AC9">
        <w:rPr>
          <w:rFonts w:ascii="Noor_Mitra" w:hAnsi="Noor_Mitra" w:cs="AL-Mohanad"/>
          <w:sz w:val="27"/>
          <w:szCs w:val="27"/>
          <w:rtl/>
        </w:rPr>
        <w:softHyphen/>
      </w:r>
      <w:r w:rsidR="008B09C0" w:rsidRPr="00282AC9">
        <w:rPr>
          <w:rFonts w:ascii="Noor_Mitra" w:hAnsi="Noor_Mitra" w:cs="AL-Mohanad" w:hint="cs"/>
          <w:sz w:val="27"/>
          <w:szCs w:val="27"/>
          <w:rtl/>
        </w:rPr>
        <w:t xml:space="preserve"> </w:t>
      </w:r>
      <w:r w:rsidR="00464852" w:rsidRPr="00282AC9">
        <w:rPr>
          <w:rFonts w:ascii="Noor_Mitra" w:hAnsi="Noor_Mitra" w:cs="AL-Mohanad"/>
          <w:sz w:val="27"/>
          <w:szCs w:val="27"/>
          <w:rtl/>
        </w:rPr>
        <w:t>الله</w:t>
      </w:r>
      <w:r w:rsidR="00464852" w:rsidRPr="00282AC9">
        <w:rPr>
          <w:rFonts w:ascii="Noor_Mitra" w:hAnsi="Noor_Mitra" w:cs="AL-Mohanad"/>
          <w:sz w:val="27"/>
          <w:szCs w:val="27"/>
          <w:rtl/>
        </w:rPr>
        <w:softHyphen/>
      </w:r>
      <w:r w:rsidR="008B09C0" w:rsidRPr="00282AC9">
        <w:rPr>
          <w:rFonts w:ascii="Noor_Mitra" w:hAnsi="Noor_Mitra" w:cs="AL-Mohanad" w:hint="cs"/>
          <w:sz w:val="27"/>
          <w:szCs w:val="27"/>
          <w:rtl/>
        </w:rPr>
        <w:t xml:space="preserve"> </w:t>
      </w:r>
      <w:r w:rsidR="00464852" w:rsidRPr="00282AC9">
        <w:rPr>
          <w:rFonts w:ascii="Noor_Mitra" w:hAnsi="Noor_Mitra" w:cs="AL-Mohanad"/>
          <w:sz w:val="27"/>
          <w:szCs w:val="27"/>
          <w:rtl/>
        </w:rPr>
        <w:t xml:space="preserve">عنه: </w:t>
      </w:r>
      <w:r w:rsidR="00464852" w:rsidRPr="00282AC9">
        <w:rPr>
          <w:rFonts w:cs="AL-Mohanad" w:hint="eastAsia"/>
          <w:rtl/>
        </w:rPr>
        <w:t>«</w:t>
      </w:r>
      <w:r w:rsidR="00464852" w:rsidRPr="00282AC9">
        <w:rPr>
          <w:rFonts w:ascii="Noor_Mitra" w:hAnsi="Noor_Mitra" w:cs="AL-Mohanad"/>
          <w:sz w:val="27"/>
          <w:szCs w:val="27"/>
          <w:rtl/>
        </w:rPr>
        <w:t>كان أصحاب الأ</w:t>
      </w:r>
      <w:r w:rsidR="008B09C0" w:rsidRPr="00282AC9">
        <w:rPr>
          <w:rFonts w:ascii="Noor_Mitra" w:hAnsi="Noor_Mitra" w:cs="AL-Mohanad" w:hint="cs"/>
          <w:sz w:val="27"/>
          <w:szCs w:val="27"/>
          <w:rtl/>
        </w:rPr>
        <w:t>َ</w:t>
      </w:r>
      <w:r w:rsidR="00464852" w:rsidRPr="00282AC9">
        <w:rPr>
          <w:rFonts w:ascii="Noor_Mitra" w:hAnsi="Noor_Mitra" w:cs="AL-Mohanad"/>
          <w:sz w:val="27"/>
          <w:szCs w:val="27"/>
          <w:rtl/>
        </w:rPr>
        <w:t>ي</w:t>
      </w:r>
      <w:r w:rsidR="008B09C0" w:rsidRPr="00282AC9">
        <w:rPr>
          <w:rFonts w:ascii="Noor_Mitra" w:hAnsi="Noor_Mitra" w:cs="AL-Mohanad" w:hint="cs"/>
          <w:sz w:val="27"/>
          <w:szCs w:val="27"/>
          <w:rtl/>
        </w:rPr>
        <w:t>ْ</w:t>
      </w:r>
      <w:r w:rsidR="00464852" w:rsidRPr="00282AC9">
        <w:rPr>
          <w:rFonts w:ascii="Noor_Mitra" w:hAnsi="Noor_Mitra" w:cs="AL-Mohanad"/>
          <w:sz w:val="27"/>
          <w:szCs w:val="27"/>
          <w:rtl/>
        </w:rPr>
        <w:t>كة</w:t>
      </w:r>
      <w:r w:rsidR="008B09C0" w:rsidRPr="00282AC9">
        <w:rPr>
          <w:rFonts w:ascii="Noor_Mitra" w:hAnsi="Noor_Mitra" w:cs="AL-Mohanad" w:hint="cs"/>
          <w:sz w:val="27"/>
          <w:szCs w:val="27"/>
          <w:rtl/>
        </w:rPr>
        <w:t>،</w:t>
      </w:r>
      <w:r w:rsidR="00464852" w:rsidRPr="00282AC9">
        <w:rPr>
          <w:rFonts w:ascii="Noor_Mitra" w:hAnsi="Noor_Mitra" w:cs="AL-Mohanad"/>
          <w:sz w:val="27"/>
          <w:szCs w:val="27"/>
          <w:rtl/>
        </w:rPr>
        <w:t xml:space="preserve"> مع ما كانوا فيه من الش</w:t>
      </w:r>
      <w:r w:rsidR="008B09C0" w:rsidRPr="00282AC9">
        <w:rPr>
          <w:rFonts w:ascii="Noor_Mitra" w:hAnsi="Noor_Mitra" w:cs="AL-Mohanad" w:hint="cs"/>
          <w:sz w:val="27"/>
          <w:szCs w:val="27"/>
          <w:rtl/>
        </w:rPr>
        <w:t>ِّ</w:t>
      </w:r>
      <w:r w:rsidR="00464852" w:rsidRPr="00282AC9">
        <w:rPr>
          <w:rFonts w:ascii="Noor_Mitra" w:hAnsi="Noor_Mitra" w:cs="AL-Mohanad"/>
          <w:sz w:val="27"/>
          <w:szCs w:val="27"/>
          <w:rtl/>
        </w:rPr>
        <w:t>ر</w:t>
      </w:r>
      <w:r w:rsidR="008B09C0" w:rsidRPr="00282AC9">
        <w:rPr>
          <w:rFonts w:ascii="Noor_Mitra" w:hAnsi="Noor_Mitra" w:cs="AL-Mohanad" w:hint="cs"/>
          <w:sz w:val="27"/>
          <w:szCs w:val="27"/>
          <w:rtl/>
        </w:rPr>
        <w:t>ْ</w:t>
      </w:r>
      <w:r w:rsidR="008B09C0" w:rsidRPr="00282AC9">
        <w:rPr>
          <w:rFonts w:ascii="Noor_Mitra" w:hAnsi="Noor_Mitra" w:cs="AL-Mohanad"/>
          <w:sz w:val="27"/>
          <w:szCs w:val="27"/>
          <w:rtl/>
        </w:rPr>
        <w:t>ك، استنّوا سُنّة</w:t>
      </w:r>
      <w:r w:rsidR="00464852" w:rsidRPr="00282AC9">
        <w:rPr>
          <w:rFonts w:ascii="Noor_Mitra" w:hAnsi="Noor_Mitra" w:cs="AL-Mohanad"/>
          <w:sz w:val="27"/>
          <w:szCs w:val="27"/>
          <w:rtl/>
        </w:rPr>
        <w:t xml:space="preserve"> أصحاب م</w:t>
      </w:r>
      <w:r w:rsidR="008B09C0" w:rsidRPr="00282AC9">
        <w:rPr>
          <w:rFonts w:ascii="Noor_Mitra" w:hAnsi="Noor_Mitra" w:cs="AL-Mohanad" w:hint="cs"/>
          <w:sz w:val="27"/>
          <w:szCs w:val="27"/>
          <w:rtl/>
        </w:rPr>
        <w:t>َدْ</w:t>
      </w:r>
      <w:r w:rsidR="00464852" w:rsidRPr="00282AC9">
        <w:rPr>
          <w:rFonts w:ascii="Noor_Mitra" w:hAnsi="Noor_Mitra" w:cs="AL-Mohanad"/>
          <w:sz w:val="27"/>
          <w:szCs w:val="27"/>
          <w:rtl/>
        </w:rPr>
        <w:t>ي</w:t>
      </w:r>
      <w:r w:rsidR="008B09C0" w:rsidRPr="00282AC9">
        <w:rPr>
          <w:rFonts w:ascii="Noor_Mitra" w:hAnsi="Noor_Mitra" w:cs="AL-Mohanad" w:hint="cs"/>
          <w:sz w:val="27"/>
          <w:szCs w:val="27"/>
          <w:rtl/>
        </w:rPr>
        <w:t>َ</w:t>
      </w:r>
      <w:r w:rsidR="00464852" w:rsidRPr="00282AC9">
        <w:rPr>
          <w:rFonts w:ascii="Noor_Mitra" w:hAnsi="Noor_Mitra" w:cs="AL-Mohanad"/>
          <w:sz w:val="27"/>
          <w:szCs w:val="27"/>
          <w:rtl/>
        </w:rPr>
        <w:t xml:space="preserve">ن، فقال لهم شعيب: </w:t>
      </w:r>
      <w:r w:rsidR="00C5291F" w:rsidRPr="00282AC9">
        <w:rPr>
          <w:rFonts w:ascii="Mosawi" w:hAnsi="Mosawi" w:cs="Mosawi"/>
          <w:rtl/>
        </w:rPr>
        <w:t>﴿</w:t>
      </w:r>
      <w:r w:rsidR="00464852" w:rsidRPr="00282AC9">
        <w:rPr>
          <w:rFonts w:ascii="Noor_Mitra" w:hAnsi="Noor_Mitra" w:cs="AL-Mohanad"/>
          <w:b/>
          <w:bCs/>
          <w:sz w:val="27"/>
          <w:szCs w:val="27"/>
          <w:rtl/>
          <w:lang w:bidi="fa-IR"/>
        </w:rPr>
        <w:t>إِنِّي لَكُمْ رَسُولٌ أَمِينٌ...</w:t>
      </w:r>
      <w:r w:rsidR="00C5291F" w:rsidRPr="00282AC9">
        <w:rPr>
          <w:rFonts w:ascii="Mosawi" w:hAnsi="Mosawi" w:cs="Mosawi"/>
          <w:rtl/>
        </w:rPr>
        <w:t>﴾</w:t>
      </w:r>
      <w:r w:rsidR="00464852" w:rsidRPr="00282AC9">
        <w:rPr>
          <w:rFonts w:ascii="Noor_Mitra" w:hAnsi="Noor_Mitra" w:cs="AL-Mohanad" w:hint="cs"/>
          <w:sz w:val="27"/>
          <w:szCs w:val="27"/>
          <w:rtl/>
        </w:rPr>
        <w:t xml:space="preserve"> (الشعراء: 178)</w:t>
      </w:r>
      <w:r w:rsidR="00464852" w:rsidRPr="00282AC9">
        <w:rPr>
          <w:rFonts w:cs="AL-Mohanad" w:hint="eastAsia"/>
          <w:rtl/>
        </w:rPr>
        <w:t>»</w:t>
      </w:r>
      <w:r w:rsidR="00464852" w:rsidRPr="00282AC9">
        <w:rPr>
          <w:rFonts w:ascii="Noor_Mitra" w:hAnsi="Noor_Mitra" w:cs="AL-Mohanad"/>
          <w:sz w:val="27"/>
          <w:szCs w:val="27"/>
          <w:vertAlign w:val="superscript"/>
          <w:rtl/>
        </w:rPr>
        <w:t>(</w:t>
      </w:r>
      <w:r w:rsidR="00464852" w:rsidRPr="00282AC9">
        <w:rPr>
          <w:rStyle w:val="af9"/>
          <w:rFonts w:ascii="Noor_Mitra" w:hAnsi="Noor_Mitra" w:cs="AL-Mohanad"/>
          <w:sz w:val="27"/>
          <w:szCs w:val="27"/>
          <w:rtl/>
        </w:rPr>
        <w:endnoteReference w:id="540"/>
      </w:r>
      <w:r w:rsidR="00464852" w:rsidRPr="00282AC9">
        <w:rPr>
          <w:rFonts w:ascii="Noor_Mitra" w:hAnsi="Noor_Mitra" w:cs="AL-Mohanad"/>
          <w:sz w:val="27"/>
          <w:szCs w:val="27"/>
          <w:vertAlign w:val="superscript"/>
          <w:rtl/>
        </w:rPr>
        <w:t>)</w:t>
      </w:r>
      <w:r w:rsidR="00464852" w:rsidRPr="00282AC9">
        <w:rPr>
          <w:rFonts w:ascii="Noor_Mitra" w:hAnsi="Noor_Mitra" w:cs="AL-Mohanad"/>
          <w:sz w:val="27"/>
          <w:szCs w:val="27"/>
          <w:rtl/>
        </w:rPr>
        <w:t xml:space="preserve">. </w:t>
      </w:r>
    </w:p>
    <w:p w:rsidR="00464852" w:rsidRPr="00282AC9" w:rsidRDefault="008B09C0" w:rsidP="0073600A">
      <w:pPr>
        <w:pStyle w:val="afc"/>
        <w:rPr>
          <w:rFonts w:ascii="Noor_Mitra" w:hAnsi="Noor_Mitra" w:cs="AL-Mohanad"/>
          <w:sz w:val="27"/>
          <w:szCs w:val="27"/>
          <w:rtl/>
        </w:rPr>
      </w:pPr>
      <w:r w:rsidRPr="00282AC9">
        <w:rPr>
          <w:rFonts w:ascii="Noor_Mitra" w:hAnsi="Noor_Mitra" w:cs="AL-Mohanad" w:hint="cs"/>
          <w:sz w:val="27"/>
          <w:szCs w:val="27"/>
          <w:rtl/>
        </w:rPr>
        <w:t xml:space="preserve">4ـ </w:t>
      </w:r>
      <w:r w:rsidRPr="00282AC9">
        <w:rPr>
          <w:rFonts w:ascii="Noor_Mitra" w:hAnsi="Noor_Mitra" w:cs="AL-Mohanad"/>
          <w:sz w:val="27"/>
          <w:szCs w:val="27"/>
          <w:rtl/>
        </w:rPr>
        <w:t>و</w:t>
      </w:r>
      <w:r w:rsidR="00464852" w:rsidRPr="00282AC9">
        <w:rPr>
          <w:rFonts w:ascii="Noor_Mitra" w:hAnsi="Noor_Mitra" w:cs="AL-Mohanad"/>
          <w:sz w:val="27"/>
          <w:szCs w:val="27"/>
          <w:rtl/>
        </w:rPr>
        <w:t>قال في قص</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ة قوم لوط: </w:t>
      </w:r>
      <w:r w:rsidR="00464852" w:rsidRPr="00282AC9">
        <w:rPr>
          <w:rFonts w:cs="AL-Mohanad" w:hint="eastAsia"/>
          <w:rtl/>
        </w:rPr>
        <w:t>«</w:t>
      </w:r>
      <w:r w:rsidR="00464852" w:rsidRPr="00282AC9">
        <w:rPr>
          <w:rFonts w:ascii="Noor_Mitra" w:hAnsi="Noor_Mitra" w:cs="AL-Mohanad"/>
          <w:sz w:val="27"/>
          <w:szCs w:val="27"/>
          <w:rtl/>
        </w:rPr>
        <w:t>...فأقبل بعضهم على بعض</w:t>
      </w:r>
      <w:r w:rsidRPr="00282AC9">
        <w:rPr>
          <w:rFonts w:ascii="Noor_Mitra" w:hAnsi="Noor_Mitra" w:cs="AL-Mohanad" w:hint="cs"/>
          <w:sz w:val="27"/>
          <w:szCs w:val="27"/>
          <w:rtl/>
        </w:rPr>
        <w:t>ٍ</w:t>
      </w:r>
      <w:r w:rsidR="00464852" w:rsidRPr="00282AC9">
        <w:rPr>
          <w:rFonts w:ascii="Noor_Mitra" w:hAnsi="Noor_Mitra" w:cs="AL-Mohanad"/>
          <w:sz w:val="27"/>
          <w:szCs w:val="27"/>
          <w:rtl/>
        </w:rPr>
        <w:t>، فقالوا: اجعلوا سُنّتكم فيها</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م</w:t>
      </w:r>
      <w:r w:rsidRPr="00282AC9">
        <w:rPr>
          <w:rFonts w:ascii="Noor_Mitra" w:hAnsi="Noor_Mitra" w:cs="AL-Mohanad" w:hint="cs"/>
          <w:sz w:val="27"/>
          <w:szCs w:val="27"/>
          <w:rtl/>
        </w:rPr>
        <w:t>َ</w:t>
      </w:r>
      <w:r w:rsidR="00464852" w:rsidRPr="00282AC9">
        <w:rPr>
          <w:rFonts w:ascii="Noor_Mitra" w:hAnsi="Noor_Mitra" w:cs="AL-Mohanad"/>
          <w:sz w:val="27"/>
          <w:szCs w:val="27"/>
          <w:rtl/>
        </w:rPr>
        <w:t>ن</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وجدتموه في بلادكم غريبا</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لا تعرفوه، فاسلبوه وانكحوه واسحبوه...</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41"/>
      </w:r>
      <w:r w:rsidR="00464852" w:rsidRPr="00282AC9">
        <w:rPr>
          <w:rFonts w:cs="AL-Mohanad"/>
          <w:sz w:val="27"/>
          <w:szCs w:val="27"/>
          <w:vertAlign w:val="superscript"/>
          <w:rtl/>
        </w:rPr>
        <w:t>)</w:t>
      </w:r>
      <w:r w:rsidR="00464852" w:rsidRPr="00282AC9">
        <w:rPr>
          <w:rFonts w:ascii="Noor_Mitra" w:hAnsi="Noor_Mitra" w:cs="AL-Mohanad" w:hint="cs"/>
          <w:sz w:val="27"/>
          <w:szCs w:val="27"/>
          <w:rtl/>
        </w:rPr>
        <w:t>.</w:t>
      </w:r>
    </w:p>
    <w:p w:rsidR="00464852" w:rsidRPr="00282AC9" w:rsidRDefault="008B09C0" w:rsidP="0073600A">
      <w:pPr>
        <w:pStyle w:val="afc"/>
        <w:rPr>
          <w:rFonts w:ascii="Noor_Mitra" w:hAnsi="Noor_Mitra" w:cs="AL-Mohanad"/>
          <w:sz w:val="27"/>
          <w:szCs w:val="27"/>
          <w:rtl/>
          <w:lang w:bidi="fa-IR"/>
        </w:rPr>
      </w:pPr>
      <w:r w:rsidRPr="00282AC9">
        <w:rPr>
          <w:rFonts w:ascii="Noor_Mitra" w:hAnsi="Noor_Mitra" w:cs="AL-Mohanad" w:hint="cs"/>
          <w:sz w:val="27"/>
          <w:szCs w:val="27"/>
          <w:rtl/>
        </w:rPr>
        <w:t xml:space="preserve">5ـ </w:t>
      </w:r>
      <w:r w:rsidRPr="00282AC9">
        <w:rPr>
          <w:rFonts w:ascii="Noor_Mitra" w:hAnsi="Noor_Mitra" w:cs="AL-Mohanad"/>
          <w:sz w:val="27"/>
          <w:szCs w:val="27"/>
          <w:rtl/>
        </w:rPr>
        <w:t>و</w:t>
      </w:r>
      <w:r w:rsidR="00464852" w:rsidRPr="00282AC9">
        <w:rPr>
          <w:rFonts w:ascii="Noor_Mitra" w:hAnsi="Noor_Mitra" w:cs="AL-Mohanad"/>
          <w:sz w:val="27"/>
          <w:szCs w:val="27"/>
          <w:rtl/>
        </w:rPr>
        <w:t>قال أيضا</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w:t>
      </w:r>
      <w:r w:rsidR="00464852" w:rsidRPr="00282AC9">
        <w:rPr>
          <w:rFonts w:cs="AL-Mohanad" w:hint="eastAsia"/>
          <w:rtl/>
        </w:rPr>
        <w:t>«</w:t>
      </w:r>
      <w:r w:rsidR="00464852" w:rsidRPr="00282AC9">
        <w:rPr>
          <w:rFonts w:ascii="Noor_Mitra" w:hAnsi="Noor_Mitra" w:cs="AL-Mohanad"/>
          <w:sz w:val="27"/>
          <w:szCs w:val="27"/>
          <w:rtl/>
          <w:lang w:bidi="fa-IR"/>
        </w:rPr>
        <w:t>إن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أو</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ل 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سنّ‏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الن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س</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ي‏ء عمرو بن لحيّ...</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42"/>
      </w:r>
      <w:r w:rsidR="00464852" w:rsidRPr="00282AC9">
        <w:rPr>
          <w:rFonts w:cs="AL-Mohanad"/>
          <w:sz w:val="27"/>
          <w:szCs w:val="27"/>
          <w:vertAlign w:val="superscript"/>
          <w:rtl/>
        </w:rPr>
        <w:t>)</w:t>
      </w:r>
      <w:r w:rsidR="00464852" w:rsidRPr="00282AC9">
        <w:rPr>
          <w:rFonts w:ascii="Noor_Mitra" w:hAnsi="Noor_Mitra" w:cs="AL-Mohanad"/>
          <w:sz w:val="27"/>
          <w:szCs w:val="27"/>
          <w:rtl/>
        </w:rPr>
        <w:t xml:space="preserve">. وحيث </w:t>
      </w:r>
      <w:r w:rsidR="00464852" w:rsidRPr="00282AC9">
        <w:rPr>
          <w:rFonts w:ascii="Noor_Mitra" w:hAnsi="Noor_Mitra" w:cs="AL-Mohanad" w:hint="cs"/>
          <w:sz w:val="27"/>
          <w:szCs w:val="27"/>
          <w:rtl/>
        </w:rPr>
        <w:t>إ</w:t>
      </w:r>
      <w:r w:rsidR="00464852" w:rsidRPr="00282AC9">
        <w:rPr>
          <w:rFonts w:ascii="Noor_Mitra" w:hAnsi="Noor_Mitra" w:cs="AL-Mohanad"/>
          <w:sz w:val="27"/>
          <w:szCs w:val="27"/>
          <w:rtl/>
        </w:rPr>
        <w:t>ن الن</w:t>
      </w:r>
      <w:r w:rsidRPr="00282AC9">
        <w:rPr>
          <w:rFonts w:ascii="Noor_Mitra" w:hAnsi="Noor_Mitra" w:cs="AL-Mohanad" w:hint="cs"/>
          <w:sz w:val="27"/>
          <w:szCs w:val="27"/>
          <w:rtl/>
        </w:rPr>
        <w:t>َّ</w:t>
      </w:r>
      <w:r w:rsidR="00464852" w:rsidRPr="00282AC9">
        <w:rPr>
          <w:rFonts w:ascii="Noor_Mitra" w:hAnsi="Noor_Mitra" w:cs="AL-Mohanad"/>
          <w:sz w:val="27"/>
          <w:szCs w:val="27"/>
          <w:rtl/>
        </w:rPr>
        <w:t>س</w:t>
      </w:r>
      <w:r w:rsidRPr="00282AC9">
        <w:rPr>
          <w:rFonts w:ascii="Noor_Mitra" w:hAnsi="Noor_Mitra" w:cs="AL-Mohanad" w:hint="cs"/>
          <w:sz w:val="27"/>
          <w:szCs w:val="27"/>
          <w:rtl/>
        </w:rPr>
        <w:t>ِ</w:t>
      </w:r>
      <w:r w:rsidR="00464852" w:rsidRPr="00282AC9">
        <w:rPr>
          <w:rFonts w:ascii="Noor_Mitra" w:hAnsi="Noor_Mitra" w:cs="AL-Mohanad"/>
          <w:sz w:val="27"/>
          <w:szCs w:val="27"/>
          <w:rtl/>
        </w:rPr>
        <w:t>يء طريقة</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سي</w:t>
      </w:r>
      <w:r w:rsidRPr="00282AC9">
        <w:rPr>
          <w:rFonts w:ascii="Noor_Mitra" w:hAnsi="Noor_Mitra" w:cs="AL-Mohanad" w:hint="cs"/>
          <w:sz w:val="27"/>
          <w:szCs w:val="27"/>
          <w:rtl/>
        </w:rPr>
        <w:t>ّ</w:t>
      </w:r>
      <w:r w:rsidR="00464852" w:rsidRPr="00282AC9">
        <w:rPr>
          <w:rFonts w:ascii="Noor_Mitra" w:hAnsi="Noor_Mitra" w:cs="AL-Mohanad"/>
          <w:sz w:val="27"/>
          <w:szCs w:val="27"/>
          <w:rtl/>
        </w:rPr>
        <w:t>ئة</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بتصريحٍ من القرآن الكريم</w:t>
      </w:r>
      <w:r w:rsidR="00464852" w:rsidRPr="00282AC9">
        <w:rPr>
          <w:rFonts w:ascii="Noor_Mitra" w:hAnsi="Noor_Mitra" w:cs="AL-Mohanad"/>
          <w:sz w:val="27"/>
          <w:szCs w:val="27"/>
          <w:vertAlign w:val="superscript"/>
          <w:rtl/>
        </w:rPr>
        <w:t>(</w:t>
      </w:r>
      <w:r w:rsidR="00464852" w:rsidRPr="00282AC9">
        <w:rPr>
          <w:rStyle w:val="af9"/>
          <w:rFonts w:ascii="Noor_Mitra" w:hAnsi="Noor_Mitra" w:cs="AL-Mohanad"/>
          <w:sz w:val="27"/>
          <w:szCs w:val="27"/>
          <w:rtl/>
        </w:rPr>
        <w:endnoteReference w:id="543"/>
      </w:r>
      <w:r w:rsidR="00464852" w:rsidRPr="00282AC9">
        <w:rPr>
          <w:rFonts w:ascii="Noor_Mitra" w:hAnsi="Noor_Mitra" w:cs="AL-Mohanad"/>
          <w:sz w:val="27"/>
          <w:szCs w:val="27"/>
          <w:vertAlign w:val="superscript"/>
          <w:rtl/>
        </w:rPr>
        <w:t>)</w:t>
      </w:r>
      <w:r w:rsidRPr="00282AC9">
        <w:rPr>
          <w:rFonts w:ascii="Noor_Mitra" w:hAnsi="Noor_Mitra" w:cs="AL-Mohanad" w:hint="cs"/>
          <w:sz w:val="27"/>
          <w:szCs w:val="27"/>
          <w:rtl/>
        </w:rPr>
        <w:t>،</w:t>
      </w:r>
      <w:r w:rsidR="00464852" w:rsidRPr="00282AC9">
        <w:rPr>
          <w:rFonts w:ascii="Noor_Mitra" w:hAnsi="Noor_Mitra" w:cs="AL-Mohanad"/>
          <w:sz w:val="27"/>
          <w:szCs w:val="27"/>
          <w:rtl/>
        </w:rPr>
        <w:t>يت</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ضح أنّ استعمالَ </w:t>
      </w:r>
      <w:r w:rsidR="00464852" w:rsidRPr="00282AC9">
        <w:rPr>
          <w:rFonts w:cs="AL-Mohanad" w:hint="eastAsia"/>
          <w:rtl/>
        </w:rPr>
        <w:t>«</w:t>
      </w:r>
      <w:r w:rsidRPr="00282AC9">
        <w:rPr>
          <w:rFonts w:ascii="Noor_Mitra" w:hAnsi="Noor_Mitra" w:cs="AL-Mohanad"/>
          <w:sz w:val="27"/>
          <w:szCs w:val="27"/>
          <w:rtl/>
        </w:rPr>
        <w:t>الس</w:t>
      </w:r>
      <w:r w:rsidRPr="00282AC9">
        <w:rPr>
          <w:rFonts w:ascii="Noor_Mitra" w:hAnsi="Noor_Mitra" w:cs="AL-Mohanad" w:hint="cs"/>
          <w:sz w:val="27"/>
          <w:szCs w:val="27"/>
          <w:rtl/>
        </w:rPr>
        <w:t>ُّ</w:t>
      </w:r>
      <w:r w:rsidR="00464852" w:rsidRPr="00282AC9">
        <w:rPr>
          <w:rFonts w:ascii="Noor_Mitra" w:hAnsi="Noor_Mitra" w:cs="AL-Mohanad"/>
          <w:sz w:val="27"/>
          <w:szCs w:val="27"/>
          <w:rtl/>
        </w:rPr>
        <w:t>نّ</w:t>
      </w:r>
      <w:r w:rsidRPr="00282AC9">
        <w:rPr>
          <w:rFonts w:ascii="Noor_Mitra" w:hAnsi="Noor_Mitra" w:cs="AL-Mohanad" w:hint="cs"/>
          <w:sz w:val="27"/>
          <w:szCs w:val="27"/>
          <w:rtl/>
        </w:rPr>
        <w:t>َ</w:t>
      </w:r>
      <w:r w:rsidR="00464852" w:rsidRPr="00282AC9">
        <w:rPr>
          <w:rFonts w:ascii="Noor_Mitra" w:hAnsi="Noor_Mitra" w:cs="AL-Mohanad"/>
          <w:sz w:val="27"/>
          <w:szCs w:val="27"/>
          <w:rtl/>
        </w:rPr>
        <w:t>ة</w:t>
      </w:r>
      <w:r w:rsidR="00464852" w:rsidRPr="00282AC9">
        <w:rPr>
          <w:rFonts w:cs="AL-Mohanad" w:hint="eastAsia"/>
          <w:rtl/>
        </w:rPr>
        <w:t>»</w:t>
      </w:r>
      <w:r w:rsidR="00464852" w:rsidRPr="00282AC9">
        <w:rPr>
          <w:rFonts w:ascii="Noor_Mitra" w:hAnsi="Noor_Mitra" w:cs="AL-Mohanad"/>
          <w:sz w:val="27"/>
          <w:szCs w:val="27"/>
          <w:rtl/>
        </w:rPr>
        <w:t xml:space="preserve"> في هذا الشاهد استعمالٌ في مصداق</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قبيح</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من الطريقة.</w:t>
      </w:r>
      <w:r w:rsidR="00464852" w:rsidRPr="00282AC9">
        <w:rPr>
          <w:rFonts w:ascii="Noor_Mitra" w:hAnsi="Noor_Mitra" w:cs="AL-Mohanad" w:hint="cs"/>
          <w:sz w:val="27"/>
          <w:szCs w:val="27"/>
          <w:rtl/>
        </w:rPr>
        <w:t xml:space="preserve"> لكن</w:t>
      </w:r>
      <w:r w:rsidRPr="00282AC9">
        <w:rPr>
          <w:rFonts w:ascii="Noor_Mitra" w:hAnsi="Noor_Mitra" w:cs="AL-Mohanad" w:hint="cs"/>
          <w:sz w:val="27"/>
          <w:szCs w:val="27"/>
          <w:rtl/>
        </w:rPr>
        <w:t>ْ</w:t>
      </w:r>
      <w:r w:rsidR="00464852" w:rsidRPr="00282AC9">
        <w:rPr>
          <w:rFonts w:ascii="Noor_Mitra" w:hAnsi="Noor_Mitra" w:cs="AL-Mohanad" w:hint="cs"/>
          <w:sz w:val="27"/>
          <w:szCs w:val="27"/>
          <w:rtl/>
        </w:rPr>
        <w:t xml:space="preserve"> ورد </w:t>
      </w:r>
      <w:r w:rsidR="00464852" w:rsidRPr="00282AC9">
        <w:rPr>
          <w:rFonts w:ascii="Noor_Mitra" w:hAnsi="Noor_Mitra" w:cs="AL-Mohanad"/>
          <w:sz w:val="27"/>
          <w:szCs w:val="27"/>
          <w:rtl/>
        </w:rPr>
        <w:t xml:space="preserve">في بعض المصادر </w:t>
      </w:r>
      <w:r w:rsidR="00464852" w:rsidRPr="00282AC9">
        <w:rPr>
          <w:rFonts w:cs="AL-Mohanad" w:hint="eastAsia"/>
          <w:rtl/>
        </w:rPr>
        <w:t>«</w:t>
      </w:r>
      <w:r w:rsidR="00464852" w:rsidRPr="00282AC9">
        <w:rPr>
          <w:rFonts w:ascii="Noor_Mitra" w:hAnsi="Noor_Mitra" w:cs="AL-Mohanad"/>
          <w:sz w:val="27"/>
          <w:szCs w:val="27"/>
          <w:rtl/>
        </w:rPr>
        <w:t>نسأ</w:t>
      </w:r>
      <w:r w:rsidR="00464852" w:rsidRPr="00282AC9">
        <w:rPr>
          <w:rFonts w:cs="AL-Mohanad" w:hint="eastAsia"/>
          <w:rtl/>
        </w:rPr>
        <w:t>»</w:t>
      </w:r>
      <w:r w:rsidR="00464852" w:rsidRPr="00282AC9">
        <w:rPr>
          <w:rFonts w:ascii="Noor_Mitra" w:hAnsi="Noor_Mitra" w:cs="AL-Mohanad"/>
          <w:sz w:val="27"/>
          <w:szCs w:val="27"/>
          <w:rtl/>
        </w:rPr>
        <w:t xml:space="preserve"> بدل </w:t>
      </w:r>
      <w:r w:rsidR="00464852" w:rsidRPr="00282AC9">
        <w:rPr>
          <w:rFonts w:cs="AL-Mohanad" w:hint="eastAsia"/>
          <w:rtl/>
        </w:rPr>
        <w:t>«</w:t>
      </w:r>
      <w:r w:rsidR="00464852" w:rsidRPr="00282AC9">
        <w:rPr>
          <w:rFonts w:ascii="Noor_Mitra" w:hAnsi="Noor_Mitra" w:cs="AL-Mohanad"/>
          <w:sz w:val="27"/>
          <w:szCs w:val="27"/>
          <w:rtl/>
        </w:rPr>
        <w:t>سنّ</w:t>
      </w:r>
      <w:r w:rsidR="00464852" w:rsidRPr="00282AC9">
        <w:rPr>
          <w:rFonts w:cs="AL-Mohanad" w:hint="eastAsia"/>
          <w:rtl/>
        </w:rPr>
        <w:t>»</w:t>
      </w:r>
      <w:r w:rsidR="00464852" w:rsidRPr="00282AC9">
        <w:rPr>
          <w:rFonts w:ascii="Noor_Mitra" w:hAnsi="Noor_Mitra" w:cs="AL-Mohanad"/>
          <w:sz w:val="27"/>
          <w:szCs w:val="27"/>
          <w:vertAlign w:val="superscript"/>
          <w:rtl/>
        </w:rPr>
        <w:t>(</w:t>
      </w:r>
      <w:r w:rsidR="00464852" w:rsidRPr="00282AC9">
        <w:rPr>
          <w:rStyle w:val="af9"/>
          <w:rFonts w:ascii="Noor_Mitra" w:hAnsi="Noor_Mitra" w:cs="AL-Mohanad"/>
          <w:sz w:val="27"/>
          <w:szCs w:val="27"/>
          <w:rtl/>
        </w:rPr>
        <w:endnoteReference w:id="544"/>
      </w:r>
      <w:r w:rsidR="00464852" w:rsidRPr="00282AC9">
        <w:rPr>
          <w:rFonts w:ascii="Noor_Mitra" w:hAnsi="Noor_Mitra" w:cs="AL-Mohanad"/>
          <w:sz w:val="27"/>
          <w:szCs w:val="27"/>
          <w:vertAlign w:val="superscript"/>
          <w:rtl/>
        </w:rPr>
        <w:t>)</w:t>
      </w:r>
      <w:r w:rsidR="00464852" w:rsidRPr="00282AC9">
        <w:rPr>
          <w:rFonts w:ascii="Noor_Mitra" w:hAnsi="Noor_Mitra" w:cs="AL-Mohanad"/>
          <w:sz w:val="27"/>
          <w:szCs w:val="27"/>
          <w:rtl/>
        </w:rPr>
        <w:t>.</w:t>
      </w:r>
    </w:p>
    <w:p w:rsidR="00464852" w:rsidRPr="00282AC9" w:rsidRDefault="008B09C0" w:rsidP="0073600A">
      <w:pPr>
        <w:pStyle w:val="afc"/>
        <w:rPr>
          <w:rFonts w:ascii="Noor_Mitra" w:hAnsi="Noor_Mitra" w:cs="AL-Mohanad"/>
          <w:sz w:val="27"/>
          <w:szCs w:val="27"/>
          <w:rtl/>
        </w:rPr>
      </w:pPr>
      <w:r w:rsidRPr="00282AC9">
        <w:rPr>
          <w:rFonts w:ascii="Noor_Mitra" w:hAnsi="Noor_Mitra" w:cs="AL-Mohanad" w:hint="cs"/>
          <w:sz w:val="27"/>
          <w:szCs w:val="27"/>
          <w:rtl/>
        </w:rPr>
        <w:t xml:space="preserve">6ـ </w:t>
      </w:r>
      <w:r w:rsidR="00464852" w:rsidRPr="00282AC9">
        <w:rPr>
          <w:rFonts w:ascii="Noor_Mitra" w:hAnsi="Noor_Mitra" w:cs="AL-Mohanad"/>
          <w:sz w:val="27"/>
          <w:szCs w:val="27"/>
          <w:rtl/>
        </w:rPr>
        <w:t>وقال أبو</w:t>
      </w:r>
      <w:r w:rsidRPr="00282AC9">
        <w:rPr>
          <w:rFonts w:ascii="Noor_Mitra" w:hAnsi="Noor_Mitra" w:cs="AL-Mohanad" w:hint="cs"/>
          <w:sz w:val="27"/>
          <w:szCs w:val="27"/>
          <w:rtl/>
        </w:rPr>
        <w:t xml:space="preserve"> </w:t>
      </w:r>
      <w:r w:rsidR="00464852" w:rsidRPr="00282AC9">
        <w:rPr>
          <w:rFonts w:ascii="Noor_Mitra" w:hAnsi="Noor_Mitra" w:cs="AL-Mohanad"/>
          <w:sz w:val="27"/>
          <w:szCs w:val="27"/>
          <w:rtl/>
        </w:rPr>
        <w:t>بكر بن أبي</w:t>
      </w:r>
      <w:r w:rsidR="00464852" w:rsidRPr="00282AC9">
        <w:rPr>
          <w:rFonts w:ascii="Noor_Mitra" w:hAnsi="Noor_Mitra" w:cs="AL-Mohanad" w:hint="cs"/>
          <w:sz w:val="27"/>
          <w:szCs w:val="27"/>
          <w:rtl/>
        </w:rPr>
        <w:t xml:space="preserve"> </w:t>
      </w:r>
      <w:r w:rsidR="00464852" w:rsidRPr="00282AC9">
        <w:rPr>
          <w:rFonts w:ascii="Noor_Mitra" w:hAnsi="Noor_Mitra" w:cs="AL-Mohanad"/>
          <w:sz w:val="27"/>
          <w:szCs w:val="27"/>
          <w:rtl/>
        </w:rPr>
        <w:softHyphen/>
        <w:t>قحافة</w:t>
      </w:r>
      <w:r w:rsidRPr="00282AC9">
        <w:rPr>
          <w:rFonts w:ascii="Noor_Mitra" w:hAnsi="Noor_Mitra" w:cs="AL-Mohanad" w:hint="cs"/>
          <w:sz w:val="27"/>
          <w:szCs w:val="27"/>
          <w:rtl/>
        </w:rPr>
        <w:t>،</w:t>
      </w:r>
      <w:r w:rsidRPr="00282AC9">
        <w:rPr>
          <w:rFonts w:ascii="Noor_Mitra" w:hAnsi="Noor_Mitra" w:cs="AL-Mohanad"/>
          <w:sz w:val="27"/>
          <w:szCs w:val="27"/>
          <w:rtl/>
        </w:rPr>
        <w:t xml:space="preserve"> حينما أُتِي له برأس</w:t>
      </w:r>
      <w:r w:rsidR="00464852" w:rsidRPr="00282AC9">
        <w:rPr>
          <w:rFonts w:ascii="Noor_Mitra" w:hAnsi="Noor_Mitra" w:cs="AL-Mohanad"/>
          <w:sz w:val="27"/>
          <w:szCs w:val="27"/>
          <w:rtl/>
        </w:rPr>
        <w:t xml:space="preserve"> كافرٍ من بلاد الشام: </w:t>
      </w:r>
      <w:r w:rsidR="00464852" w:rsidRPr="00282AC9">
        <w:rPr>
          <w:rFonts w:cs="AL-Mohanad" w:hint="eastAsia"/>
          <w:rtl/>
        </w:rPr>
        <w:t>«</w:t>
      </w:r>
      <w:r w:rsidR="00464852" w:rsidRPr="00282AC9">
        <w:rPr>
          <w:rFonts w:ascii="Noor_Mitra" w:hAnsi="Noor_Mitra" w:cs="AL-Mohanad"/>
          <w:sz w:val="27"/>
          <w:szCs w:val="27"/>
          <w:rtl/>
        </w:rPr>
        <w:t>إنه قدم علينا برأس نياق البطريق، ولم يكن لنا به حاجة</w:t>
      </w:r>
      <w:r w:rsidRPr="00282AC9">
        <w:rPr>
          <w:rFonts w:ascii="Noor_Mitra" w:hAnsi="Noor_Mitra" w:cs="AL-Mohanad" w:hint="cs"/>
          <w:sz w:val="27"/>
          <w:szCs w:val="27"/>
          <w:rtl/>
        </w:rPr>
        <w:t>ٌ</w:t>
      </w:r>
      <w:r w:rsidR="00464852" w:rsidRPr="00282AC9">
        <w:rPr>
          <w:rFonts w:ascii="Noor_Mitra" w:hAnsi="Noor_Mitra" w:cs="AL-Mohanad"/>
          <w:sz w:val="27"/>
          <w:szCs w:val="27"/>
          <w:rtl/>
        </w:rPr>
        <w:t>، إنّما هذه س</w:t>
      </w:r>
      <w:r w:rsidRPr="00282AC9">
        <w:rPr>
          <w:rFonts w:ascii="Noor_Mitra" w:hAnsi="Noor_Mitra" w:cs="AL-Mohanad" w:hint="cs"/>
          <w:sz w:val="27"/>
          <w:szCs w:val="27"/>
          <w:rtl/>
        </w:rPr>
        <w:t>ُ</w:t>
      </w:r>
      <w:r w:rsidR="00464852" w:rsidRPr="00282AC9">
        <w:rPr>
          <w:rFonts w:ascii="Noor_Mitra" w:hAnsi="Noor_Mitra" w:cs="AL-Mohanad"/>
          <w:sz w:val="27"/>
          <w:szCs w:val="27"/>
          <w:rtl/>
        </w:rPr>
        <w:t>نّ</w:t>
      </w:r>
      <w:r w:rsidRPr="00282AC9">
        <w:rPr>
          <w:rFonts w:ascii="Noor_Mitra" w:hAnsi="Noor_Mitra" w:cs="AL-Mohanad" w:hint="cs"/>
          <w:sz w:val="27"/>
          <w:szCs w:val="27"/>
          <w:rtl/>
        </w:rPr>
        <w:t>َ</w:t>
      </w:r>
      <w:r w:rsidR="00464852" w:rsidRPr="00282AC9">
        <w:rPr>
          <w:rFonts w:ascii="Noor_Mitra" w:hAnsi="Noor_Mitra" w:cs="AL-Mohanad"/>
          <w:sz w:val="27"/>
          <w:szCs w:val="27"/>
          <w:rtl/>
        </w:rPr>
        <w:t>ة الع</w:t>
      </w:r>
      <w:r w:rsidRPr="00282AC9">
        <w:rPr>
          <w:rFonts w:ascii="Noor_Mitra" w:hAnsi="Noor_Mitra" w:cs="AL-Mohanad" w:hint="cs"/>
          <w:sz w:val="27"/>
          <w:szCs w:val="27"/>
          <w:rtl/>
        </w:rPr>
        <w:t>َ</w:t>
      </w:r>
      <w:r w:rsidR="00464852" w:rsidRPr="00282AC9">
        <w:rPr>
          <w:rFonts w:ascii="Noor_Mitra" w:hAnsi="Noor_Mitra" w:cs="AL-Mohanad"/>
          <w:sz w:val="27"/>
          <w:szCs w:val="27"/>
          <w:rtl/>
        </w:rPr>
        <w:t>ج</w:t>
      </w:r>
      <w:r w:rsidRPr="00282AC9">
        <w:rPr>
          <w:rFonts w:ascii="Noor_Mitra" w:hAnsi="Noor_Mitra" w:cs="AL-Mohanad" w:hint="cs"/>
          <w:sz w:val="27"/>
          <w:szCs w:val="27"/>
          <w:rtl/>
        </w:rPr>
        <w:t>َ</w:t>
      </w:r>
      <w:r w:rsidR="00464852" w:rsidRPr="00282AC9">
        <w:rPr>
          <w:rFonts w:ascii="Noor_Mitra" w:hAnsi="Noor_Mitra" w:cs="AL-Mohanad"/>
          <w:sz w:val="27"/>
          <w:szCs w:val="27"/>
          <w:rtl/>
        </w:rPr>
        <w:t>م‏</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45"/>
      </w:r>
      <w:r w:rsidR="00464852" w:rsidRPr="00282AC9">
        <w:rPr>
          <w:rFonts w:cs="AL-Mohanad"/>
          <w:sz w:val="27"/>
          <w:szCs w:val="27"/>
          <w:vertAlign w:val="superscript"/>
          <w:rtl/>
        </w:rPr>
        <w:t>)</w:t>
      </w:r>
      <w:r w:rsidR="00464852" w:rsidRPr="00282AC9">
        <w:rPr>
          <w:rFonts w:ascii="Noor_Mitra" w:hAnsi="Noor_Mitra" w:cs="AL-Mohanad"/>
          <w:sz w:val="27"/>
          <w:szCs w:val="27"/>
          <w:rtl/>
        </w:rPr>
        <w:t>.</w:t>
      </w:r>
    </w:p>
    <w:p w:rsidR="00464852" w:rsidRPr="00282AC9" w:rsidRDefault="008B09C0" w:rsidP="0073600A">
      <w:pPr>
        <w:pStyle w:val="afc"/>
        <w:rPr>
          <w:rFonts w:ascii="Noor_Mitra" w:hAnsi="Noor_Mitra" w:cs="AL-Mohanad"/>
          <w:sz w:val="27"/>
          <w:szCs w:val="27"/>
          <w:rtl/>
        </w:rPr>
      </w:pPr>
      <w:r w:rsidRPr="00282AC9">
        <w:rPr>
          <w:rFonts w:ascii="Noor_Mitra" w:hAnsi="Noor_Mitra" w:cs="AL-Mohanad" w:hint="cs"/>
          <w:sz w:val="27"/>
          <w:szCs w:val="27"/>
          <w:rtl/>
        </w:rPr>
        <w:t xml:space="preserve">7ـ </w:t>
      </w:r>
      <w:r w:rsidR="00464852" w:rsidRPr="00282AC9">
        <w:rPr>
          <w:rFonts w:ascii="Noor_Mitra" w:hAnsi="Noor_Mitra" w:cs="AL-Mohanad"/>
          <w:sz w:val="27"/>
          <w:szCs w:val="27"/>
          <w:rtl/>
        </w:rPr>
        <w:t>وهناك شاهدٌ آخر من كلام أبي</w:t>
      </w:r>
      <w:r w:rsidR="00464852" w:rsidRPr="00282AC9">
        <w:rPr>
          <w:rFonts w:ascii="Noor_Mitra" w:hAnsi="Noor_Mitra" w:cs="AL-Mohanad"/>
          <w:sz w:val="27"/>
          <w:szCs w:val="27"/>
          <w:rtl/>
        </w:rPr>
        <w:softHyphen/>
      </w:r>
      <w:r w:rsidR="00674EF5" w:rsidRPr="00282AC9">
        <w:rPr>
          <w:rFonts w:ascii="Noor_Mitra" w:hAnsi="Noor_Mitra" w:cs="AL-Mohanad" w:hint="cs"/>
          <w:sz w:val="27"/>
          <w:szCs w:val="27"/>
          <w:rtl/>
        </w:rPr>
        <w:t xml:space="preserve"> </w:t>
      </w:r>
      <w:r w:rsidR="00464852" w:rsidRPr="00282AC9">
        <w:rPr>
          <w:rFonts w:ascii="Noor_Mitra" w:hAnsi="Noor_Mitra" w:cs="AL-Mohanad"/>
          <w:sz w:val="27"/>
          <w:szCs w:val="27"/>
          <w:rtl/>
        </w:rPr>
        <w:t>عبيدة لعُمَر بن الخط</w:t>
      </w:r>
      <w:r w:rsidRPr="00282AC9">
        <w:rPr>
          <w:rFonts w:ascii="Noor_Mitra" w:hAnsi="Noor_Mitra" w:cs="AL-Mohanad" w:hint="cs"/>
          <w:sz w:val="27"/>
          <w:szCs w:val="27"/>
          <w:rtl/>
        </w:rPr>
        <w:t>ّ</w:t>
      </w:r>
      <w:r w:rsidRPr="00282AC9">
        <w:rPr>
          <w:rFonts w:ascii="Noor_Mitra" w:hAnsi="Noor_Mitra" w:cs="AL-Mohanad"/>
          <w:sz w:val="27"/>
          <w:szCs w:val="27"/>
          <w:rtl/>
        </w:rPr>
        <w:t>اب، حيث حُكي</w:t>
      </w:r>
      <w:r w:rsidR="00464852" w:rsidRPr="00282AC9">
        <w:rPr>
          <w:rFonts w:ascii="Noor_Mitra" w:hAnsi="Noor_Mitra" w:cs="AL-Mohanad"/>
          <w:sz w:val="27"/>
          <w:szCs w:val="27"/>
          <w:rtl/>
        </w:rPr>
        <w:t xml:space="preserve">: </w:t>
      </w:r>
      <w:r w:rsidR="00464852" w:rsidRPr="00282AC9">
        <w:rPr>
          <w:rFonts w:cs="AL-Mohanad" w:hint="eastAsia"/>
          <w:rtl/>
        </w:rPr>
        <w:t>«</w:t>
      </w:r>
      <w:r w:rsidR="00464852" w:rsidRPr="00282AC9">
        <w:rPr>
          <w:rFonts w:ascii="Noor_Mitra" w:hAnsi="Noor_Mitra" w:cs="AL-Mohanad"/>
          <w:sz w:val="27"/>
          <w:szCs w:val="27"/>
          <w:rtl/>
          <w:lang w:bidi="fa-IR"/>
        </w:rPr>
        <w:t>فبينما عُم</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ر يسير إذ </w:t>
      </w:r>
      <w:r w:rsidRPr="00282AC9">
        <w:rPr>
          <w:rFonts w:ascii="Noor_Mitra" w:hAnsi="Noor_Mitra" w:cs="AL-Mohanad" w:hint="cs"/>
          <w:sz w:val="27"/>
          <w:szCs w:val="27"/>
          <w:rtl/>
          <w:lang w:bidi="fa-IR"/>
        </w:rPr>
        <w:t>ل</w:t>
      </w:r>
      <w:r w:rsidRPr="00282AC9">
        <w:rPr>
          <w:rFonts w:ascii="Noor_Mitra" w:hAnsi="Noor_Mitra" w:cs="AL-Mohanad"/>
          <w:sz w:val="27"/>
          <w:szCs w:val="27"/>
          <w:rtl/>
          <w:lang w:bidi="fa-IR"/>
        </w:rPr>
        <w:t>قي</w:t>
      </w:r>
      <w:r w:rsidR="00464852" w:rsidRPr="00282AC9">
        <w:rPr>
          <w:rFonts w:ascii="Noor_Mitra" w:hAnsi="Noor_Mitra" w:cs="AL-Mohanad"/>
          <w:sz w:val="27"/>
          <w:szCs w:val="27"/>
          <w:rtl/>
          <w:lang w:bidi="fa-IR"/>
        </w:rPr>
        <w:t>ه المُقلّ</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سون من أهل أذرعات‏ بالسيوف والريحان، فقال عمر: مه، ردّ</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وهم وامنعوهم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فقال أبو</w:t>
      </w:r>
      <w:r w:rsidRPr="00282AC9">
        <w:rPr>
          <w:rFonts w:ascii="Noor_Mitra" w:hAnsi="Noor_Mitra" w:cs="AL-Mohanad" w:hint="cs"/>
          <w:sz w:val="27"/>
          <w:szCs w:val="27"/>
          <w:rtl/>
          <w:lang w:bidi="fa-IR"/>
        </w:rPr>
        <w:t xml:space="preserve"> </w:t>
      </w:r>
      <w:r w:rsidR="00464852" w:rsidRPr="00282AC9">
        <w:rPr>
          <w:rFonts w:ascii="Noor_Mitra" w:hAnsi="Noor_Mitra" w:cs="AL-Mohanad"/>
          <w:sz w:val="27"/>
          <w:szCs w:val="27"/>
          <w:rtl/>
          <w:lang w:bidi="fa-IR"/>
        </w:rPr>
        <w:t>عبيدة: يا أمير المؤمنين، هذه س</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ة الع</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ج</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م‏ ـ أو كلمة نحوها ـ</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وإنّك إن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تمن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عْهم منها ير</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و</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ا أنّ ف</w:t>
      </w:r>
      <w:r w:rsidRPr="00282AC9">
        <w:rPr>
          <w:rFonts w:ascii="Noor_Mitra" w:hAnsi="Noor_Mitra" w:cs="AL-Mohanad" w:hint="cs"/>
          <w:sz w:val="27"/>
          <w:szCs w:val="27"/>
          <w:rtl/>
          <w:lang w:bidi="fa-IR"/>
        </w:rPr>
        <w:t>ي</w:t>
      </w:r>
      <w:r w:rsidR="00464852" w:rsidRPr="00282AC9">
        <w:rPr>
          <w:rFonts w:ascii="Noor_Mitra" w:hAnsi="Noor_Mitra" w:cs="AL-Mohanad"/>
          <w:sz w:val="27"/>
          <w:szCs w:val="27"/>
          <w:rtl/>
          <w:lang w:bidi="fa-IR"/>
        </w:rPr>
        <w:t xml:space="preserve"> نفسك نقضاً لعهدهم</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46"/>
      </w:r>
      <w:r w:rsidR="00464852" w:rsidRPr="00282AC9">
        <w:rPr>
          <w:rFonts w:cs="AL-Mohanad"/>
          <w:sz w:val="27"/>
          <w:szCs w:val="27"/>
          <w:vertAlign w:val="superscript"/>
          <w:rtl/>
        </w:rPr>
        <w:t>)</w:t>
      </w:r>
      <w:r w:rsidR="00464852" w:rsidRPr="00282AC9">
        <w:rPr>
          <w:rFonts w:ascii="Noor_Mitra" w:hAnsi="Noor_Mitra" w:cs="AL-Mohanad"/>
          <w:sz w:val="27"/>
          <w:szCs w:val="27"/>
          <w:rtl/>
        </w:rPr>
        <w:t>. وصرّ</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ح الراوي بترديدها في كون لفظ </w:t>
      </w:r>
      <w:r w:rsidR="00464852" w:rsidRPr="00282AC9">
        <w:rPr>
          <w:rFonts w:cs="AL-Mohanad" w:hint="eastAsia"/>
          <w:rtl/>
        </w:rPr>
        <w:t>«</w:t>
      </w:r>
      <w:r w:rsidRPr="00282AC9">
        <w:rPr>
          <w:rFonts w:ascii="Noor_Mitra" w:hAnsi="Noor_Mitra" w:cs="AL-Mohanad"/>
          <w:sz w:val="27"/>
          <w:szCs w:val="27"/>
          <w:rtl/>
        </w:rPr>
        <w:t>الس</w:t>
      </w:r>
      <w:r w:rsidRPr="00282AC9">
        <w:rPr>
          <w:rFonts w:ascii="Noor_Mitra" w:hAnsi="Noor_Mitra" w:cs="AL-Mohanad" w:hint="cs"/>
          <w:sz w:val="27"/>
          <w:szCs w:val="27"/>
          <w:rtl/>
        </w:rPr>
        <w:t>ُّ</w:t>
      </w:r>
      <w:r w:rsidR="00464852" w:rsidRPr="00282AC9">
        <w:rPr>
          <w:rFonts w:ascii="Noor_Mitra" w:hAnsi="Noor_Mitra" w:cs="AL-Mohanad"/>
          <w:sz w:val="27"/>
          <w:szCs w:val="27"/>
          <w:rtl/>
        </w:rPr>
        <w:t>نّة</w:t>
      </w:r>
      <w:r w:rsidR="00464852" w:rsidRPr="00282AC9">
        <w:rPr>
          <w:rFonts w:cs="AL-Mohanad" w:hint="eastAsia"/>
          <w:rtl/>
        </w:rPr>
        <w:t>»</w:t>
      </w:r>
      <w:r w:rsidR="00464852" w:rsidRPr="00282AC9">
        <w:rPr>
          <w:rFonts w:ascii="Noor_Mitra" w:hAnsi="Noor_Mitra" w:cs="AL-Mohanad"/>
          <w:sz w:val="27"/>
          <w:szCs w:val="27"/>
          <w:rtl/>
        </w:rPr>
        <w:t xml:space="preserve"> في كلام أبي</w:t>
      </w:r>
      <w:r w:rsidR="00464852" w:rsidRPr="00282AC9">
        <w:rPr>
          <w:rFonts w:ascii="Noor_Mitra" w:hAnsi="Noor_Mitra" w:cs="AL-Mohanad"/>
          <w:sz w:val="27"/>
          <w:szCs w:val="27"/>
          <w:rtl/>
        </w:rPr>
        <w:softHyphen/>
      </w:r>
      <w:r w:rsidR="00464852" w:rsidRPr="00282AC9">
        <w:rPr>
          <w:rFonts w:ascii="Noor_Mitra" w:hAnsi="Noor_Mitra" w:cs="AL-Mohanad" w:hint="cs"/>
          <w:sz w:val="27"/>
          <w:szCs w:val="27"/>
          <w:rtl/>
        </w:rPr>
        <w:t xml:space="preserve"> </w:t>
      </w:r>
      <w:r w:rsidR="00464852" w:rsidRPr="00282AC9">
        <w:rPr>
          <w:rFonts w:ascii="Noor_Mitra" w:hAnsi="Noor_Mitra" w:cs="AL-Mohanad"/>
          <w:sz w:val="27"/>
          <w:szCs w:val="27"/>
          <w:rtl/>
        </w:rPr>
        <w:t>عبيدة الجر</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اح. وعليه فمن الأفضل </w:t>
      </w:r>
      <w:r w:rsidR="00464852" w:rsidRPr="00282AC9">
        <w:rPr>
          <w:rFonts w:ascii="Noor_Mitra" w:hAnsi="Noor_Mitra" w:cs="AL-Mohanad"/>
          <w:sz w:val="27"/>
          <w:szCs w:val="27"/>
          <w:rtl/>
        </w:rPr>
        <w:lastRenderedPageBreak/>
        <w:t>استخدام هذا الشاهد لإثبات عمومي</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ة معنى </w:t>
      </w:r>
      <w:r w:rsidR="00464852" w:rsidRPr="00282AC9">
        <w:rPr>
          <w:rFonts w:cs="AL-Mohanad" w:hint="eastAsia"/>
          <w:rtl/>
        </w:rPr>
        <w:t>«</w:t>
      </w:r>
      <w:r w:rsidRPr="00282AC9">
        <w:rPr>
          <w:rFonts w:ascii="Noor_Mitra" w:hAnsi="Noor_Mitra" w:cs="AL-Mohanad"/>
          <w:sz w:val="27"/>
          <w:szCs w:val="27"/>
          <w:rtl/>
        </w:rPr>
        <w:t>الس</w:t>
      </w:r>
      <w:r w:rsidRPr="00282AC9">
        <w:rPr>
          <w:rFonts w:ascii="Noor_Mitra" w:hAnsi="Noor_Mitra" w:cs="AL-Mohanad" w:hint="cs"/>
          <w:sz w:val="27"/>
          <w:szCs w:val="27"/>
          <w:rtl/>
        </w:rPr>
        <w:t>ُّ</w:t>
      </w:r>
      <w:r w:rsidR="00464852" w:rsidRPr="00282AC9">
        <w:rPr>
          <w:rFonts w:ascii="Noor_Mitra" w:hAnsi="Noor_Mitra" w:cs="AL-Mohanad"/>
          <w:sz w:val="27"/>
          <w:szCs w:val="27"/>
          <w:rtl/>
        </w:rPr>
        <w:t>نّ</w:t>
      </w:r>
      <w:r w:rsidRPr="00282AC9">
        <w:rPr>
          <w:rFonts w:ascii="Noor_Mitra" w:hAnsi="Noor_Mitra" w:cs="AL-Mohanad" w:hint="cs"/>
          <w:sz w:val="27"/>
          <w:szCs w:val="27"/>
          <w:rtl/>
        </w:rPr>
        <w:t>َ</w:t>
      </w:r>
      <w:r w:rsidR="00464852" w:rsidRPr="00282AC9">
        <w:rPr>
          <w:rFonts w:ascii="Noor_Mitra" w:hAnsi="Noor_Mitra" w:cs="AL-Mohanad"/>
          <w:sz w:val="27"/>
          <w:szCs w:val="27"/>
          <w:rtl/>
        </w:rPr>
        <w:t>ة</w:t>
      </w:r>
      <w:r w:rsidR="00464852" w:rsidRPr="00282AC9">
        <w:rPr>
          <w:rFonts w:cs="AL-Mohanad" w:hint="eastAsia"/>
          <w:rtl/>
        </w:rPr>
        <w:t>»</w:t>
      </w:r>
      <w:r w:rsidR="00464852" w:rsidRPr="00282AC9">
        <w:rPr>
          <w:rFonts w:ascii="Noor_Mitra" w:hAnsi="Noor_Mitra" w:cs="AL-Mohanad"/>
          <w:sz w:val="27"/>
          <w:szCs w:val="27"/>
          <w:rtl/>
        </w:rPr>
        <w:t xml:space="preserve"> في حالة النقل بالمعنى فقط.</w:t>
      </w:r>
    </w:p>
    <w:p w:rsidR="00464852" w:rsidRPr="00282AC9" w:rsidRDefault="008B09C0" w:rsidP="0073600A">
      <w:pPr>
        <w:spacing w:line="416" w:lineRule="exact"/>
        <w:rPr>
          <w:sz w:val="27"/>
          <w:rtl/>
        </w:rPr>
      </w:pPr>
      <w:r w:rsidRPr="00282AC9">
        <w:rPr>
          <w:rFonts w:ascii="Noor_Mitra" w:hAnsi="Noor_Mitra" w:hint="cs"/>
          <w:sz w:val="27"/>
          <w:rtl/>
        </w:rPr>
        <w:t xml:space="preserve">8ـ </w:t>
      </w:r>
      <w:r w:rsidR="00464852" w:rsidRPr="00282AC9">
        <w:rPr>
          <w:sz w:val="27"/>
          <w:rtl/>
        </w:rPr>
        <w:t>وفي رسالة عثمان بن عف</w:t>
      </w:r>
      <w:r w:rsidRPr="00282AC9">
        <w:rPr>
          <w:rFonts w:hint="cs"/>
          <w:sz w:val="27"/>
          <w:rtl/>
        </w:rPr>
        <w:t>ّ</w:t>
      </w:r>
      <w:r w:rsidR="00464852" w:rsidRPr="00282AC9">
        <w:rPr>
          <w:sz w:val="27"/>
          <w:rtl/>
        </w:rPr>
        <w:t xml:space="preserve">ان إلى مالك الأشتر: </w:t>
      </w:r>
      <w:r w:rsidR="00464852" w:rsidRPr="00282AC9">
        <w:rPr>
          <w:rFonts w:hint="eastAsia"/>
          <w:sz w:val="24"/>
          <w:szCs w:val="24"/>
          <w:rtl/>
        </w:rPr>
        <w:t>«</w:t>
      </w:r>
      <w:r w:rsidR="00464852" w:rsidRPr="00282AC9">
        <w:rPr>
          <w:sz w:val="27"/>
          <w:rtl/>
        </w:rPr>
        <w:t>فأنتم أو</w:t>
      </w:r>
      <w:r w:rsidRPr="00282AC9">
        <w:rPr>
          <w:rFonts w:hint="cs"/>
          <w:sz w:val="27"/>
          <w:rtl/>
        </w:rPr>
        <w:t>ّ</w:t>
      </w:r>
      <w:r w:rsidR="00464852" w:rsidRPr="00282AC9">
        <w:rPr>
          <w:sz w:val="27"/>
          <w:rtl/>
        </w:rPr>
        <w:t>ل م</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 xml:space="preserve"> بدأ بالعصيان</w:t>
      </w:r>
      <w:r w:rsidRPr="00282AC9">
        <w:rPr>
          <w:rFonts w:hint="cs"/>
          <w:sz w:val="27"/>
          <w:rtl/>
        </w:rPr>
        <w:t>،</w:t>
      </w:r>
      <w:r w:rsidRPr="00282AC9">
        <w:rPr>
          <w:sz w:val="27"/>
          <w:rtl/>
        </w:rPr>
        <w:t xml:space="preserve"> وسَنَنْتُم سُنّة</w:t>
      </w:r>
      <w:r w:rsidR="00464852" w:rsidRPr="00282AC9">
        <w:rPr>
          <w:sz w:val="27"/>
          <w:rtl/>
        </w:rPr>
        <w:t xml:space="preserve"> الفرقة</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47"/>
      </w:r>
      <w:r w:rsidR="00464852" w:rsidRPr="00282AC9">
        <w:rPr>
          <w:sz w:val="27"/>
          <w:vertAlign w:val="superscript"/>
          <w:rtl/>
        </w:rPr>
        <w:t>)</w:t>
      </w:r>
      <w:r w:rsidR="00464852" w:rsidRPr="00282AC9">
        <w:rPr>
          <w:sz w:val="27"/>
          <w:rtl/>
        </w:rPr>
        <w:t>.</w:t>
      </w:r>
    </w:p>
    <w:p w:rsidR="00464852" w:rsidRPr="00282AC9" w:rsidRDefault="008B09C0" w:rsidP="0073600A">
      <w:pPr>
        <w:spacing w:line="416" w:lineRule="exact"/>
        <w:rPr>
          <w:sz w:val="27"/>
        </w:rPr>
      </w:pPr>
      <w:r w:rsidRPr="00282AC9">
        <w:rPr>
          <w:rFonts w:ascii="Noor_Mitra" w:hAnsi="Noor_Mitra" w:hint="cs"/>
          <w:sz w:val="27"/>
          <w:rtl/>
        </w:rPr>
        <w:t xml:space="preserve">9ـ </w:t>
      </w:r>
      <w:r w:rsidR="00464852" w:rsidRPr="00282AC9">
        <w:rPr>
          <w:sz w:val="27"/>
          <w:rtl/>
        </w:rPr>
        <w:t xml:space="preserve">وقال رجلٌ لعثمان حينما دعاه للقصاص منه: </w:t>
      </w:r>
      <w:r w:rsidR="00464852" w:rsidRPr="00282AC9">
        <w:rPr>
          <w:rFonts w:hint="eastAsia"/>
          <w:sz w:val="24"/>
          <w:szCs w:val="24"/>
          <w:rtl/>
        </w:rPr>
        <w:t>«</w:t>
      </w:r>
      <w:r w:rsidR="00464852" w:rsidRPr="00282AC9">
        <w:rPr>
          <w:sz w:val="27"/>
          <w:rtl/>
        </w:rPr>
        <w:t>أما أنا فلا أفعل ذلك</w:t>
      </w:r>
      <w:r w:rsidRPr="00282AC9">
        <w:rPr>
          <w:rFonts w:hint="cs"/>
          <w:sz w:val="27"/>
          <w:rtl/>
        </w:rPr>
        <w:t>؛</w:t>
      </w:r>
      <w:r w:rsidR="00464852" w:rsidRPr="00282AC9">
        <w:rPr>
          <w:sz w:val="27"/>
          <w:rtl/>
        </w:rPr>
        <w:t xml:space="preserve"> فإن</w:t>
      </w:r>
      <w:r w:rsidRPr="00282AC9">
        <w:rPr>
          <w:rFonts w:hint="cs"/>
          <w:sz w:val="27"/>
          <w:rtl/>
        </w:rPr>
        <w:t>ّ</w:t>
      </w:r>
      <w:r w:rsidRPr="00282AC9">
        <w:rPr>
          <w:sz w:val="27"/>
          <w:rtl/>
        </w:rPr>
        <w:t>ي أدَعُه لل</w:t>
      </w:r>
      <w:r w:rsidR="00464852" w:rsidRPr="00282AC9">
        <w:rPr>
          <w:sz w:val="27"/>
          <w:rtl/>
        </w:rPr>
        <w:t>ه تعالى، ولا أكون</w:t>
      </w:r>
      <w:r w:rsidR="00464852" w:rsidRPr="00282AC9">
        <w:rPr>
          <w:rFonts w:hint="cs"/>
          <w:sz w:val="27"/>
          <w:rtl/>
        </w:rPr>
        <w:t>ُ</w:t>
      </w:r>
      <w:r w:rsidR="00464852" w:rsidRPr="00282AC9">
        <w:rPr>
          <w:sz w:val="27"/>
          <w:rtl/>
        </w:rPr>
        <w:t xml:space="preserve"> أو</w:t>
      </w:r>
      <w:r w:rsidRPr="00282AC9">
        <w:rPr>
          <w:rFonts w:hint="cs"/>
          <w:sz w:val="27"/>
          <w:rtl/>
        </w:rPr>
        <w:t>ّ</w:t>
      </w:r>
      <w:r w:rsidRPr="00282AC9">
        <w:rPr>
          <w:sz w:val="27"/>
          <w:rtl/>
        </w:rPr>
        <w:t>ل</w:t>
      </w:r>
      <w:r w:rsidR="00464852" w:rsidRPr="00282AC9">
        <w:rPr>
          <w:sz w:val="27"/>
          <w:rtl/>
        </w:rPr>
        <w:t xml:space="preserve"> م</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 xml:space="preserve"> سَن</w:t>
      </w:r>
      <w:r w:rsidR="00313735" w:rsidRPr="00282AC9">
        <w:rPr>
          <w:sz w:val="27"/>
          <w:rtl/>
        </w:rPr>
        <w:t>َّ</w:t>
      </w:r>
      <w:r w:rsidRPr="00282AC9">
        <w:rPr>
          <w:sz w:val="27"/>
          <w:rtl/>
        </w:rPr>
        <w:t xml:space="preserve"> الاقتصاص</w:t>
      </w:r>
      <w:r w:rsidR="00464852" w:rsidRPr="00282AC9">
        <w:rPr>
          <w:sz w:val="27"/>
          <w:rtl/>
        </w:rPr>
        <w:t xml:space="preserve"> من الأئم</w:t>
      </w:r>
      <w:r w:rsidRPr="00282AC9">
        <w:rPr>
          <w:rFonts w:hint="cs"/>
          <w:sz w:val="27"/>
          <w:rtl/>
        </w:rPr>
        <w:t>ّ</w:t>
      </w:r>
      <w:r w:rsidR="00464852" w:rsidRPr="00282AC9">
        <w:rPr>
          <w:sz w:val="27"/>
          <w:rtl/>
        </w:rPr>
        <w:t>ة</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48"/>
      </w:r>
      <w:r w:rsidR="00464852" w:rsidRPr="00282AC9">
        <w:rPr>
          <w:sz w:val="27"/>
          <w:vertAlign w:val="superscript"/>
          <w:rtl/>
        </w:rPr>
        <w:t>)</w:t>
      </w:r>
      <w:r w:rsidR="00464852" w:rsidRPr="00282AC9">
        <w:rPr>
          <w:sz w:val="27"/>
          <w:rtl/>
        </w:rPr>
        <w:t>.</w:t>
      </w:r>
    </w:p>
    <w:p w:rsidR="00464852" w:rsidRPr="00282AC9" w:rsidRDefault="008B09C0" w:rsidP="0073600A">
      <w:pPr>
        <w:spacing w:line="416" w:lineRule="exact"/>
        <w:rPr>
          <w:sz w:val="27"/>
          <w:rtl/>
        </w:rPr>
      </w:pPr>
      <w:r w:rsidRPr="00282AC9">
        <w:rPr>
          <w:rFonts w:ascii="Noor_Mitra" w:hAnsi="Noor_Mitra" w:hint="cs"/>
          <w:sz w:val="27"/>
          <w:rtl/>
        </w:rPr>
        <w:t xml:space="preserve">10ـ </w:t>
      </w:r>
      <w:r w:rsidRPr="00282AC9">
        <w:rPr>
          <w:sz w:val="27"/>
          <w:rtl/>
        </w:rPr>
        <w:t>وسأل رجلٌ عبد</w:t>
      </w:r>
      <w:r w:rsidRPr="00282AC9">
        <w:rPr>
          <w:rFonts w:hint="cs"/>
          <w:sz w:val="27"/>
          <w:rtl/>
        </w:rPr>
        <w:t xml:space="preserve"> </w:t>
      </w:r>
      <w:r w:rsidR="00464852" w:rsidRPr="00282AC9">
        <w:rPr>
          <w:sz w:val="27"/>
          <w:rtl/>
        </w:rPr>
        <w:t xml:space="preserve">الله بن عمر: </w:t>
      </w:r>
      <w:r w:rsidR="00464852" w:rsidRPr="00282AC9">
        <w:rPr>
          <w:rFonts w:hint="eastAsia"/>
          <w:sz w:val="24"/>
          <w:szCs w:val="24"/>
          <w:rtl/>
        </w:rPr>
        <w:t>«</w:t>
      </w:r>
      <w:r w:rsidR="00464852" w:rsidRPr="00282AC9">
        <w:rPr>
          <w:sz w:val="27"/>
          <w:rtl/>
        </w:rPr>
        <w:t>أطوف بالبيت وقد أحرم</w:t>
      </w:r>
      <w:r w:rsidRPr="00282AC9">
        <w:rPr>
          <w:rFonts w:hint="cs"/>
          <w:sz w:val="27"/>
          <w:rtl/>
        </w:rPr>
        <w:t>ْ</w:t>
      </w:r>
      <w:r w:rsidR="00464852" w:rsidRPr="00282AC9">
        <w:rPr>
          <w:sz w:val="27"/>
          <w:rtl/>
        </w:rPr>
        <w:t>ت</w:t>
      </w:r>
      <w:r w:rsidRPr="00282AC9">
        <w:rPr>
          <w:rFonts w:hint="cs"/>
          <w:sz w:val="27"/>
          <w:rtl/>
        </w:rPr>
        <w:t>ُ</w:t>
      </w:r>
      <w:r w:rsidR="00464852" w:rsidRPr="00282AC9">
        <w:rPr>
          <w:sz w:val="27"/>
          <w:rtl/>
        </w:rPr>
        <w:t xml:space="preserve"> بالحج؟ فقال: ما يمنعك؟ قال: إن</w:t>
      </w:r>
      <w:r w:rsidRPr="00282AC9">
        <w:rPr>
          <w:rFonts w:hint="cs"/>
          <w:sz w:val="27"/>
          <w:rtl/>
        </w:rPr>
        <w:t>ّ</w:t>
      </w:r>
      <w:r w:rsidR="00464852" w:rsidRPr="00282AC9">
        <w:rPr>
          <w:sz w:val="27"/>
          <w:rtl/>
        </w:rPr>
        <w:t>ي رأيت</w:t>
      </w:r>
      <w:r w:rsidRPr="00282AC9">
        <w:rPr>
          <w:rFonts w:hint="cs"/>
          <w:sz w:val="27"/>
          <w:rtl/>
        </w:rPr>
        <w:t>ُ</w:t>
      </w:r>
      <w:r w:rsidR="00464852" w:rsidRPr="00282AC9">
        <w:rPr>
          <w:sz w:val="27"/>
          <w:rtl/>
        </w:rPr>
        <w:t xml:space="preserve"> ابن فلان يكرهه، وأنت أحب</w:t>
      </w:r>
      <w:r w:rsidRPr="00282AC9">
        <w:rPr>
          <w:rFonts w:hint="cs"/>
          <w:sz w:val="27"/>
          <w:rtl/>
        </w:rPr>
        <w:t>ُّ</w:t>
      </w:r>
      <w:r w:rsidR="00464852" w:rsidRPr="00282AC9">
        <w:rPr>
          <w:sz w:val="27"/>
          <w:rtl/>
        </w:rPr>
        <w:t xml:space="preserve"> إلينا منه</w:t>
      </w:r>
      <w:r w:rsidRPr="00282AC9">
        <w:rPr>
          <w:rFonts w:hint="cs"/>
          <w:sz w:val="27"/>
          <w:rtl/>
        </w:rPr>
        <w:t>.</w:t>
      </w:r>
      <w:r w:rsidR="00464852" w:rsidRPr="00282AC9">
        <w:rPr>
          <w:sz w:val="27"/>
          <w:rtl/>
        </w:rPr>
        <w:t xml:space="preserve"> رأيناه قد فتن</w:t>
      </w:r>
      <w:r w:rsidRPr="00282AC9">
        <w:rPr>
          <w:rFonts w:hint="cs"/>
          <w:sz w:val="27"/>
          <w:rtl/>
        </w:rPr>
        <w:t>َ</w:t>
      </w:r>
      <w:r w:rsidR="00464852" w:rsidRPr="00282AC9">
        <w:rPr>
          <w:sz w:val="27"/>
          <w:rtl/>
        </w:rPr>
        <w:t>ت</w:t>
      </w:r>
      <w:r w:rsidRPr="00282AC9">
        <w:rPr>
          <w:rFonts w:hint="cs"/>
          <w:sz w:val="27"/>
          <w:rtl/>
        </w:rPr>
        <w:t>ْ</w:t>
      </w:r>
      <w:r w:rsidR="00464852" w:rsidRPr="00282AC9">
        <w:rPr>
          <w:sz w:val="27"/>
          <w:rtl/>
        </w:rPr>
        <w:t>ه الدنيا فقال: وأيّ</w:t>
      </w:r>
      <w:r w:rsidRPr="00282AC9">
        <w:rPr>
          <w:rFonts w:hint="cs"/>
          <w:sz w:val="27"/>
          <w:rtl/>
        </w:rPr>
        <w:t>ُ</w:t>
      </w:r>
      <w:r w:rsidR="00464852" w:rsidRPr="00282AC9">
        <w:rPr>
          <w:sz w:val="27"/>
          <w:rtl/>
        </w:rPr>
        <w:t>نا أو أيّ</w:t>
      </w:r>
      <w:r w:rsidRPr="00282AC9">
        <w:rPr>
          <w:rFonts w:hint="cs"/>
          <w:sz w:val="27"/>
          <w:rtl/>
        </w:rPr>
        <w:t>ُ</w:t>
      </w:r>
      <w:r w:rsidR="00464852" w:rsidRPr="00282AC9">
        <w:rPr>
          <w:sz w:val="27"/>
          <w:rtl/>
        </w:rPr>
        <w:t>كم لم تفت</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ه الدنيا؟! ثم</w:t>
      </w:r>
      <w:r w:rsidRPr="00282AC9">
        <w:rPr>
          <w:rFonts w:hint="cs"/>
          <w:sz w:val="27"/>
          <w:rtl/>
        </w:rPr>
        <w:t>ّ</w:t>
      </w:r>
      <w:r w:rsidR="00464852" w:rsidRPr="00282AC9">
        <w:rPr>
          <w:sz w:val="27"/>
          <w:rtl/>
        </w:rPr>
        <w:t xml:space="preserve"> قال: رأ</w:t>
      </w:r>
      <w:r w:rsidRPr="00282AC9">
        <w:rPr>
          <w:rFonts w:hint="cs"/>
          <w:sz w:val="27"/>
          <w:rtl/>
        </w:rPr>
        <w:t>َ</w:t>
      </w:r>
      <w:r w:rsidR="00464852" w:rsidRPr="00282AC9">
        <w:rPr>
          <w:sz w:val="27"/>
          <w:rtl/>
        </w:rPr>
        <w:t>ي</w:t>
      </w:r>
      <w:r w:rsidRPr="00282AC9">
        <w:rPr>
          <w:rFonts w:hint="cs"/>
          <w:sz w:val="27"/>
          <w:rtl/>
        </w:rPr>
        <w:t>ْ</w:t>
      </w:r>
      <w:r w:rsidR="00464852" w:rsidRPr="00282AC9">
        <w:rPr>
          <w:sz w:val="27"/>
          <w:rtl/>
        </w:rPr>
        <w:t>نا رسول الله</w:t>
      </w:r>
      <w:r w:rsidR="009A2A04" w:rsidRPr="00282AC9">
        <w:rPr>
          <w:rFonts w:cs="Mosawi" w:hint="cs"/>
          <w:sz w:val="22"/>
          <w:szCs w:val="22"/>
          <w:rtl/>
        </w:rPr>
        <w:t>|</w:t>
      </w:r>
      <w:r w:rsidR="00464852" w:rsidRPr="00282AC9">
        <w:rPr>
          <w:sz w:val="27"/>
          <w:rtl/>
        </w:rPr>
        <w:t xml:space="preserve"> أحرم بالحج</w:t>
      </w:r>
      <w:r w:rsidRPr="00282AC9">
        <w:rPr>
          <w:rFonts w:hint="cs"/>
          <w:sz w:val="27"/>
          <w:rtl/>
        </w:rPr>
        <w:t>ّ،</w:t>
      </w:r>
      <w:r w:rsidR="00464852" w:rsidRPr="00282AC9">
        <w:rPr>
          <w:sz w:val="27"/>
          <w:rtl/>
        </w:rPr>
        <w:t xml:space="preserve"> وطاف بالبيت</w:t>
      </w:r>
      <w:r w:rsidRPr="00282AC9">
        <w:rPr>
          <w:rFonts w:hint="cs"/>
          <w:sz w:val="27"/>
          <w:rtl/>
        </w:rPr>
        <w:t>،</w:t>
      </w:r>
      <w:r w:rsidR="00464852" w:rsidRPr="00282AC9">
        <w:rPr>
          <w:sz w:val="27"/>
          <w:rtl/>
        </w:rPr>
        <w:t xml:space="preserve"> وسعى بين الصفا والمروة، فس</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ة الله وس</w:t>
      </w:r>
      <w:r w:rsidRPr="00282AC9">
        <w:rPr>
          <w:rFonts w:hint="cs"/>
          <w:sz w:val="27"/>
          <w:rtl/>
        </w:rPr>
        <w:t>ُ</w:t>
      </w:r>
      <w:r w:rsidR="00464852" w:rsidRPr="00282AC9">
        <w:rPr>
          <w:sz w:val="27"/>
          <w:rtl/>
        </w:rPr>
        <w:t>نّة رسوله</w:t>
      </w:r>
      <w:r w:rsidR="009A2A04" w:rsidRPr="00282AC9">
        <w:rPr>
          <w:rFonts w:cs="Mosawi" w:hint="cs"/>
          <w:sz w:val="22"/>
          <w:szCs w:val="22"/>
          <w:rtl/>
        </w:rPr>
        <w:t>|</w:t>
      </w:r>
      <w:r w:rsidR="00464852" w:rsidRPr="00282AC9">
        <w:rPr>
          <w:sz w:val="27"/>
          <w:rtl/>
        </w:rPr>
        <w:t xml:space="preserve"> أحق</w:t>
      </w:r>
      <w:r w:rsidRPr="00282AC9">
        <w:rPr>
          <w:rFonts w:hint="cs"/>
          <w:sz w:val="27"/>
          <w:rtl/>
        </w:rPr>
        <w:t>ُّ</w:t>
      </w:r>
      <w:r w:rsidR="00464852" w:rsidRPr="00282AC9">
        <w:rPr>
          <w:sz w:val="27"/>
          <w:rtl/>
        </w:rPr>
        <w:t xml:space="preserve"> أن ت</w:t>
      </w:r>
      <w:r w:rsidRPr="00282AC9">
        <w:rPr>
          <w:rFonts w:hint="cs"/>
          <w:sz w:val="27"/>
          <w:rtl/>
        </w:rPr>
        <w:t>ُ</w:t>
      </w:r>
      <w:r w:rsidR="00464852" w:rsidRPr="00282AC9">
        <w:rPr>
          <w:sz w:val="27"/>
          <w:rtl/>
        </w:rPr>
        <w:t>تّ</w:t>
      </w:r>
      <w:r w:rsidRPr="00282AC9">
        <w:rPr>
          <w:rFonts w:hint="cs"/>
          <w:sz w:val="27"/>
          <w:rtl/>
        </w:rPr>
        <w:t>َ</w:t>
      </w:r>
      <w:r w:rsidR="00464852" w:rsidRPr="00282AC9">
        <w:rPr>
          <w:sz w:val="27"/>
          <w:rtl/>
        </w:rPr>
        <w:t>بع من س</w:t>
      </w:r>
      <w:r w:rsidRPr="00282AC9">
        <w:rPr>
          <w:rFonts w:hint="cs"/>
          <w:sz w:val="27"/>
          <w:rtl/>
        </w:rPr>
        <w:t>ُ</w:t>
      </w:r>
      <w:r w:rsidR="00464852" w:rsidRPr="00282AC9">
        <w:rPr>
          <w:sz w:val="27"/>
          <w:rtl/>
        </w:rPr>
        <w:t>نّة فلان...</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49"/>
      </w:r>
      <w:r w:rsidR="00464852" w:rsidRPr="00282AC9">
        <w:rPr>
          <w:sz w:val="27"/>
          <w:vertAlign w:val="superscript"/>
          <w:rtl/>
        </w:rPr>
        <w:t>)</w:t>
      </w:r>
      <w:r w:rsidR="00464852" w:rsidRPr="00282AC9">
        <w:rPr>
          <w:sz w:val="27"/>
          <w:rtl/>
        </w:rPr>
        <w:t>.</w:t>
      </w:r>
    </w:p>
    <w:p w:rsidR="00464852" w:rsidRPr="00282AC9" w:rsidRDefault="0086395B" w:rsidP="0073600A">
      <w:pPr>
        <w:spacing w:line="420" w:lineRule="exact"/>
        <w:rPr>
          <w:sz w:val="27"/>
          <w:rtl/>
        </w:rPr>
      </w:pPr>
      <w:r w:rsidRPr="00282AC9">
        <w:rPr>
          <w:rFonts w:ascii="Noor_Mitra" w:hAnsi="Noor_Mitra" w:hint="cs"/>
          <w:sz w:val="27"/>
          <w:rtl/>
        </w:rPr>
        <w:t xml:space="preserve">11ـ </w:t>
      </w:r>
      <w:r w:rsidR="00464852" w:rsidRPr="00282AC9">
        <w:rPr>
          <w:sz w:val="27"/>
          <w:rtl/>
        </w:rPr>
        <w:t>وأيضا</w:t>
      </w:r>
      <w:r w:rsidR="008B09C0" w:rsidRPr="00282AC9">
        <w:rPr>
          <w:rFonts w:hint="cs"/>
          <w:sz w:val="27"/>
          <w:rtl/>
        </w:rPr>
        <w:t>ً</w:t>
      </w:r>
      <w:r w:rsidR="00464852" w:rsidRPr="00282AC9">
        <w:rPr>
          <w:sz w:val="27"/>
          <w:rtl/>
        </w:rPr>
        <w:t xml:space="preserve"> عن ابن عمر: </w:t>
      </w:r>
      <w:r w:rsidR="00464852" w:rsidRPr="00282AC9">
        <w:rPr>
          <w:rFonts w:hint="eastAsia"/>
          <w:sz w:val="24"/>
          <w:szCs w:val="24"/>
          <w:rtl/>
        </w:rPr>
        <w:t>«</w:t>
      </w:r>
      <w:r w:rsidR="00464852" w:rsidRPr="00282AC9">
        <w:rPr>
          <w:sz w:val="27"/>
          <w:rtl/>
        </w:rPr>
        <w:t>خالفوا س</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ن المشركين</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50"/>
      </w:r>
      <w:r w:rsidR="00464852" w:rsidRPr="00282AC9">
        <w:rPr>
          <w:sz w:val="27"/>
          <w:vertAlign w:val="superscript"/>
          <w:rtl/>
        </w:rPr>
        <w:t>)</w:t>
      </w:r>
      <w:r w:rsidR="00464852" w:rsidRPr="00282AC9">
        <w:rPr>
          <w:sz w:val="27"/>
          <w:rtl/>
        </w:rPr>
        <w:t>.</w:t>
      </w:r>
    </w:p>
    <w:p w:rsidR="00464852" w:rsidRPr="00282AC9" w:rsidRDefault="0086395B" w:rsidP="0073600A">
      <w:pPr>
        <w:spacing w:line="420" w:lineRule="exact"/>
        <w:rPr>
          <w:sz w:val="27"/>
          <w:rtl/>
        </w:rPr>
      </w:pPr>
      <w:r w:rsidRPr="00282AC9">
        <w:rPr>
          <w:rFonts w:ascii="Noor_Mitra" w:hAnsi="Noor_Mitra" w:hint="cs"/>
          <w:sz w:val="27"/>
          <w:rtl/>
        </w:rPr>
        <w:t xml:space="preserve">12ـ </w:t>
      </w:r>
      <w:r w:rsidR="00464852" w:rsidRPr="00282AC9">
        <w:rPr>
          <w:rFonts w:hint="cs"/>
          <w:sz w:val="27"/>
          <w:rtl/>
        </w:rPr>
        <w:t>وي</w:t>
      </w:r>
      <w:r w:rsidRPr="00282AC9">
        <w:rPr>
          <w:rFonts w:hint="cs"/>
          <w:sz w:val="27"/>
          <w:rtl/>
        </w:rPr>
        <w:t>ُ</w:t>
      </w:r>
      <w:r w:rsidR="00464852" w:rsidRPr="00282AC9">
        <w:rPr>
          <w:rFonts w:hint="cs"/>
          <w:sz w:val="27"/>
          <w:rtl/>
        </w:rPr>
        <w:t>حكى أيضا</w:t>
      </w:r>
      <w:r w:rsidRPr="00282AC9">
        <w:rPr>
          <w:rFonts w:hint="cs"/>
          <w:sz w:val="27"/>
          <w:rtl/>
        </w:rPr>
        <w:t>ً</w:t>
      </w:r>
      <w:r w:rsidR="00464852" w:rsidRPr="00282AC9">
        <w:rPr>
          <w:rFonts w:hint="cs"/>
          <w:sz w:val="27"/>
          <w:rtl/>
        </w:rPr>
        <w:t xml:space="preserve">: </w:t>
      </w:r>
      <w:r w:rsidR="00464852" w:rsidRPr="00282AC9">
        <w:rPr>
          <w:rFonts w:hint="eastAsia"/>
          <w:sz w:val="24"/>
          <w:szCs w:val="24"/>
          <w:rtl/>
        </w:rPr>
        <w:t>«</w:t>
      </w:r>
      <w:r w:rsidR="00464852" w:rsidRPr="00282AC9">
        <w:rPr>
          <w:sz w:val="27"/>
          <w:rtl/>
        </w:rPr>
        <w:t>لما بايع معاوية لابنه يزيد قال مروان: س</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ة أبي بكر وعمر! فقال عبد الرحمن بن أبي</w:t>
      </w:r>
      <w:r w:rsidR="00464852" w:rsidRPr="00282AC9">
        <w:rPr>
          <w:rFonts w:hint="cs"/>
          <w:sz w:val="27"/>
          <w:rtl/>
        </w:rPr>
        <w:t xml:space="preserve"> </w:t>
      </w:r>
      <w:r w:rsidR="00464852" w:rsidRPr="00282AC9">
        <w:rPr>
          <w:sz w:val="27"/>
          <w:rtl/>
        </w:rPr>
        <w:t>بكر: س</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ة هرقل وقيصر!...</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51"/>
      </w:r>
      <w:r w:rsidR="00464852" w:rsidRPr="00282AC9">
        <w:rPr>
          <w:sz w:val="27"/>
          <w:vertAlign w:val="superscript"/>
          <w:rtl/>
        </w:rPr>
        <w:t>)</w:t>
      </w:r>
      <w:r w:rsidR="00464852" w:rsidRPr="00282AC9">
        <w:rPr>
          <w:rFonts w:hint="cs"/>
          <w:sz w:val="27"/>
          <w:rtl/>
        </w:rPr>
        <w:t>.</w:t>
      </w:r>
    </w:p>
    <w:p w:rsidR="00464852" w:rsidRPr="00282AC9" w:rsidRDefault="0086395B" w:rsidP="0073600A">
      <w:pPr>
        <w:spacing w:line="416" w:lineRule="exact"/>
        <w:rPr>
          <w:sz w:val="27"/>
          <w:rtl/>
          <w:lang w:bidi="fa-IR"/>
        </w:rPr>
      </w:pPr>
      <w:r w:rsidRPr="00282AC9">
        <w:rPr>
          <w:rFonts w:ascii="Noor_Mitra" w:hAnsi="Noor_Mitra" w:hint="cs"/>
          <w:sz w:val="27"/>
          <w:rtl/>
        </w:rPr>
        <w:t xml:space="preserve">13ـ </w:t>
      </w:r>
      <w:r w:rsidR="00464852" w:rsidRPr="00282AC9">
        <w:rPr>
          <w:sz w:val="27"/>
          <w:rtl/>
        </w:rPr>
        <w:t xml:space="preserve">وعن ابن مسعود: </w:t>
      </w:r>
      <w:r w:rsidR="00464852" w:rsidRPr="00282AC9">
        <w:rPr>
          <w:rFonts w:hint="eastAsia"/>
          <w:sz w:val="24"/>
          <w:szCs w:val="24"/>
          <w:rtl/>
          <w:lang w:bidi="fa-IR"/>
        </w:rPr>
        <w:t>«</w:t>
      </w:r>
      <w:r w:rsidR="00464852" w:rsidRPr="00282AC9">
        <w:rPr>
          <w:sz w:val="27"/>
          <w:rtl/>
          <w:lang w:bidi="fa-IR"/>
        </w:rPr>
        <w:t>اجتمعوا على غسل اليد في طست</w:t>
      </w:r>
      <w:r w:rsidRPr="00282AC9">
        <w:rPr>
          <w:rFonts w:hint="cs"/>
          <w:sz w:val="27"/>
          <w:rtl/>
          <w:lang w:bidi="fa-IR"/>
        </w:rPr>
        <w:t>ٍ</w:t>
      </w:r>
      <w:r w:rsidR="00464852" w:rsidRPr="00282AC9">
        <w:rPr>
          <w:sz w:val="27"/>
          <w:rtl/>
          <w:lang w:bidi="fa-IR"/>
        </w:rPr>
        <w:t xml:space="preserve"> واحدة، و لا تستنّوا بسُنّ</w:t>
      </w:r>
      <w:r w:rsidRPr="00282AC9">
        <w:rPr>
          <w:rFonts w:hint="cs"/>
          <w:sz w:val="27"/>
          <w:rtl/>
          <w:lang w:bidi="fa-IR"/>
        </w:rPr>
        <w:t>َ</w:t>
      </w:r>
      <w:r w:rsidR="00464852" w:rsidRPr="00282AC9">
        <w:rPr>
          <w:sz w:val="27"/>
          <w:rtl/>
          <w:lang w:bidi="fa-IR"/>
        </w:rPr>
        <w:t>ة الأعاجم</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52"/>
      </w:r>
      <w:r w:rsidR="00464852" w:rsidRPr="00282AC9">
        <w:rPr>
          <w:sz w:val="27"/>
          <w:vertAlign w:val="superscript"/>
          <w:rtl/>
        </w:rPr>
        <w:t>)</w:t>
      </w:r>
      <w:r w:rsidR="00464852" w:rsidRPr="00282AC9">
        <w:rPr>
          <w:sz w:val="27"/>
          <w:rtl/>
        </w:rPr>
        <w:t>.</w:t>
      </w:r>
    </w:p>
    <w:p w:rsidR="00464852" w:rsidRPr="00282AC9" w:rsidRDefault="0086395B" w:rsidP="0073600A">
      <w:pPr>
        <w:spacing w:line="416" w:lineRule="exact"/>
        <w:rPr>
          <w:sz w:val="27"/>
          <w:rtl/>
          <w:lang w:bidi="fa-IR"/>
        </w:rPr>
      </w:pPr>
      <w:r w:rsidRPr="00282AC9">
        <w:rPr>
          <w:rFonts w:ascii="Noor_Mitra" w:hAnsi="Noor_Mitra" w:hint="cs"/>
          <w:sz w:val="27"/>
          <w:rtl/>
        </w:rPr>
        <w:t xml:space="preserve">14ـ </w:t>
      </w:r>
      <w:r w:rsidR="00464852" w:rsidRPr="00282AC9">
        <w:rPr>
          <w:sz w:val="27"/>
          <w:rtl/>
        </w:rPr>
        <w:t>كلامٌ للأحنف بن قيس</w:t>
      </w:r>
      <w:r w:rsidR="00464852" w:rsidRPr="00282AC9">
        <w:rPr>
          <w:sz w:val="27"/>
          <w:vertAlign w:val="superscript"/>
          <w:rtl/>
        </w:rPr>
        <w:t>(</w:t>
      </w:r>
      <w:r w:rsidR="00464852" w:rsidRPr="00282AC9">
        <w:rPr>
          <w:rStyle w:val="af9"/>
          <w:sz w:val="27"/>
          <w:rtl/>
        </w:rPr>
        <w:endnoteReference w:id="553"/>
      </w:r>
      <w:r w:rsidR="00464852" w:rsidRPr="00282AC9">
        <w:rPr>
          <w:sz w:val="27"/>
          <w:vertAlign w:val="superscript"/>
          <w:rtl/>
        </w:rPr>
        <w:t>)</w:t>
      </w:r>
      <w:r w:rsidR="00464852" w:rsidRPr="00282AC9">
        <w:rPr>
          <w:sz w:val="27"/>
          <w:rtl/>
        </w:rPr>
        <w:t xml:space="preserve">: </w:t>
      </w:r>
      <w:r w:rsidR="00464852" w:rsidRPr="00282AC9">
        <w:rPr>
          <w:rFonts w:hint="eastAsia"/>
          <w:sz w:val="24"/>
          <w:szCs w:val="24"/>
          <w:rtl/>
          <w:lang w:bidi="fa-IR"/>
        </w:rPr>
        <w:t>«</w:t>
      </w:r>
      <w:r w:rsidR="00464852" w:rsidRPr="00282AC9">
        <w:rPr>
          <w:sz w:val="27"/>
          <w:rtl/>
          <w:lang w:bidi="fa-IR"/>
        </w:rPr>
        <w:t>شهدتُ الأحنف</w:t>
      </w:r>
      <w:r w:rsidR="00464852" w:rsidRPr="00282AC9">
        <w:rPr>
          <w:rFonts w:hint="cs"/>
          <w:sz w:val="27"/>
          <w:rtl/>
          <w:lang w:bidi="fa-IR"/>
        </w:rPr>
        <w:t>َ</w:t>
      </w:r>
      <w:r w:rsidR="00464852" w:rsidRPr="00282AC9">
        <w:rPr>
          <w:sz w:val="27"/>
          <w:rtl/>
          <w:lang w:bidi="fa-IR"/>
        </w:rPr>
        <w:t xml:space="preserve"> بن قيس</w:t>
      </w:r>
      <w:r w:rsidRPr="00282AC9">
        <w:rPr>
          <w:rFonts w:hint="cs"/>
          <w:sz w:val="27"/>
          <w:rtl/>
          <w:lang w:bidi="fa-IR"/>
        </w:rPr>
        <w:t>،</w:t>
      </w:r>
      <w:r w:rsidR="00464852" w:rsidRPr="00282AC9">
        <w:rPr>
          <w:sz w:val="27"/>
          <w:rtl/>
          <w:lang w:bidi="fa-IR"/>
        </w:rPr>
        <w:t xml:space="preserve"> وقد جاء إلى قوم</w:t>
      </w:r>
      <w:r w:rsidRPr="00282AC9">
        <w:rPr>
          <w:rFonts w:hint="cs"/>
          <w:sz w:val="27"/>
          <w:rtl/>
          <w:lang w:bidi="fa-IR"/>
        </w:rPr>
        <w:t>ٍ</w:t>
      </w:r>
      <w:r w:rsidR="00464852" w:rsidRPr="00282AC9">
        <w:rPr>
          <w:sz w:val="27"/>
          <w:rtl/>
          <w:lang w:bidi="fa-IR"/>
        </w:rPr>
        <w:t xml:space="preserve"> في د</w:t>
      </w:r>
      <w:r w:rsidR="00464852" w:rsidRPr="00282AC9">
        <w:rPr>
          <w:rFonts w:hint="cs"/>
          <w:sz w:val="27"/>
          <w:rtl/>
          <w:lang w:bidi="fa-IR"/>
        </w:rPr>
        <w:t>َ</w:t>
      </w:r>
      <w:r w:rsidR="00464852" w:rsidRPr="00282AC9">
        <w:rPr>
          <w:sz w:val="27"/>
          <w:rtl/>
          <w:lang w:bidi="fa-IR"/>
        </w:rPr>
        <w:t>م</w:t>
      </w:r>
      <w:r w:rsidR="00464852" w:rsidRPr="00282AC9">
        <w:rPr>
          <w:rFonts w:hint="cs"/>
          <w:sz w:val="27"/>
          <w:rtl/>
          <w:lang w:bidi="fa-IR"/>
        </w:rPr>
        <w:t>ٍ</w:t>
      </w:r>
      <w:r w:rsidRPr="00282AC9">
        <w:rPr>
          <w:rFonts w:hint="cs"/>
          <w:sz w:val="27"/>
          <w:rtl/>
          <w:lang w:bidi="fa-IR"/>
        </w:rPr>
        <w:t>،</w:t>
      </w:r>
      <w:r w:rsidR="00464852" w:rsidRPr="00282AC9">
        <w:rPr>
          <w:sz w:val="27"/>
          <w:rtl/>
          <w:lang w:bidi="fa-IR"/>
        </w:rPr>
        <w:t xml:space="preserve"> فتكلّ</w:t>
      </w:r>
      <w:r w:rsidRPr="00282AC9">
        <w:rPr>
          <w:rFonts w:hint="cs"/>
          <w:sz w:val="27"/>
          <w:rtl/>
          <w:lang w:bidi="fa-IR"/>
        </w:rPr>
        <w:t>َ</w:t>
      </w:r>
      <w:r w:rsidR="00464852" w:rsidRPr="00282AC9">
        <w:rPr>
          <w:sz w:val="27"/>
          <w:rtl/>
          <w:lang w:bidi="fa-IR"/>
        </w:rPr>
        <w:t>م فيه</w:t>
      </w:r>
      <w:r w:rsidR="00464852" w:rsidRPr="00282AC9">
        <w:rPr>
          <w:rFonts w:hint="cs"/>
          <w:sz w:val="27"/>
          <w:rtl/>
          <w:lang w:bidi="fa-IR"/>
        </w:rPr>
        <w:t>،</w:t>
      </w:r>
      <w:r w:rsidR="00464852" w:rsidRPr="00282AC9">
        <w:rPr>
          <w:sz w:val="27"/>
          <w:rtl/>
          <w:lang w:bidi="fa-IR"/>
        </w:rPr>
        <w:t xml:space="preserve"> فقال: احكموا، فقالوا: نحكم د</w:t>
      </w:r>
      <w:r w:rsidR="00464852" w:rsidRPr="00282AC9">
        <w:rPr>
          <w:rFonts w:hint="cs"/>
          <w:sz w:val="27"/>
          <w:rtl/>
          <w:lang w:bidi="fa-IR"/>
        </w:rPr>
        <w:t>ِ</w:t>
      </w:r>
      <w:r w:rsidR="00464852" w:rsidRPr="00282AC9">
        <w:rPr>
          <w:sz w:val="27"/>
          <w:rtl/>
          <w:lang w:bidi="fa-IR"/>
        </w:rPr>
        <w:t>ي</w:t>
      </w:r>
      <w:r w:rsidR="00464852" w:rsidRPr="00282AC9">
        <w:rPr>
          <w:rFonts w:hint="cs"/>
          <w:sz w:val="27"/>
          <w:rtl/>
          <w:lang w:bidi="fa-IR"/>
        </w:rPr>
        <w:t>َ</w:t>
      </w:r>
      <w:r w:rsidR="00464852" w:rsidRPr="00282AC9">
        <w:rPr>
          <w:sz w:val="27"/>
          <w:rtl/>
          <w:lang w:bidi="fa-IR"/>
        </w:rPr>
        <w:t>ت</w:t>
      </w:r>
      <w:r w:rsidR="00464852" w:rsidRPr="00282AC9">
        <w:rPr>
          <w:rFonts w:hint="cs"/>
          <w:sz w:val="27"/>
          <w:rtl/>
          <w:lang w:bidi="fa-IR"/>
        </w:rPr>
        <w:t>َ</w:t>
      </w:r>
      <w:r w:rsidR="00464852" w:rsidRPr="00282AC9">
        <w:rPr>
          <w:sz w:val="27"/>
          <w:rtl/>
          <w:lang w:bidi="fa-IR"/>
        </w:rPr>
        <w:t>ين، فقال: ذاك لكم</w:t>
      </w:r>
      <w:r w:rsidRPr="00282AC9">
        <w:rPr>
          <w:rFonts w:hint="cs"/>
          <w:sz w:val="27"/>
          <w:rtl/>
          <w:lang w:bidi="fa-IR"/>
        </w:rPr>
        <w:t>.</w:t>
      </w:r>
      <w:r w:rsidR="00464852" w:rsidRPr="00282AC9">
        <w:rPr>
          <w:sz w:val="27"/>
          <w:rtl/>
          <w:lang w:bidi="fa-IR"/>
        </w:rPr>
        <w:t xml:space="preserve"> فلم</w:t>
      </w:r>
      <w:r w:rsidRPr="00282AC9">
        <w:rPr>
          <w:rFonts w:hint="cs"/>
          <w:sz w:val="27"/>
          <w:rtl/>
          <w:lang w:bidi="fa-IR"/>
        </w:rPr>
        <w:t>ّ</w:t>
      </w:r>
      <w:r w:rsidR="00464852" w:rsidRPr="00282AC9">
        <w:rPr>
          <w:sz w:val="27"/>
          <w:rtl/>
          <w:lang w:bidi="fa-IR"/>
        </w:rPr>
        <w:t>ا سكتوا قال: أنا أعطيكم ما سألت</w:t>
      </w:r>
      <w:r w:rsidRPr="00282AC9">
        <w:rPr>
          <w:rFonts w:hint="cs"/>
          <w:sz w:val="27"/>
          <w:rtl/>
          <w:lang w:bidi="fa-IR"/>
        </w:rPr>
        <w:t>ُ</w:t>
      </w:r>
      <w:r w:rsidR="00464852" w:rsidRPr="00282AC9">
        <w:rPr>
          <w:sz w:val="27"/>
          <w:rtl/>
          <w:lang w:bidi="fa-IR"/>
        </w:rPr>
        <w:t>م</w:t>
      </w:r>
      <w:r w:rsidRPr="00282AC9">
        <w:rPr>
          <w:rFonts w:hint="cs"/>
          <w:sz w:val="27"/>
          <w:rtl/>
          <w:lang w:bidi="fa-IR"/>
        </w:rPr>
        <w:t>،</w:t>
      </w:r>
      <w:r w:rsidR="00464852" w:rsidRPr="00282AC9">
        <w:rPr>
          <w:sz w:val="27"/>
          <w:rtl/>
          <w:lang w:bidi="fa-IR"/>
        </w:rPr>
        <w:t xml:space="preserve"> غير أن</w:t>
      </w:r>
      <w:r w:rsidRPr="00282AC9">
        <w:rPr>
          <w:rFonts w:hint="cs"/>
          <w:sz w:val="27"/>
          <w:rtl/>
          <w:lang w:bidi="fa-IR"/>
        </w:rPr>
        <w:t>ّ</w:t>
      </w:r>
      <w:r w:rsidR="00464852" w:rsidRPr="00282AC9">
        <w:rPr>
          <w:sz w:val="27"/>
          <w:rtl/>
          <w:lang w:bidi="fa-IR"/>
        </w:rPr>
        <w:t>ي قائل</w:t>
      </w:r>
      <w:r w:rsidRPr="00282AC9">
        <w:rPr>
          <w:rFonts w:hint="cs"/>
          <w:sz w:val="27"/>
          <w:rtl/>
          <w:lang w:bidi="fa-IR"/>
        </w:rPr>
        <w:t>ٌ</w:t>
      </w:r>
      <w:r w:rsidR="00464852" w:rsidRPr="00282AC9">
        <w:rPr>
          <w:sz w:val="27"/>
          <w:rtl/>
          <w:lang w:bidi="fa-IR"/>
        </w:rPr>
        <w:t xml:space="preserve"> لكم شيئا</w:t>
      </w:r>
      <w:r w:rsidRPr="00282AC9">
        <w:rPr>
          <w:rFonts w:hint="cs"/>
          <w:sz w:val="27"/>
          <w:rtl/>
          <w:lang w:bidi="fa-IR"/>
        </w:rPr>
        <w:t>ً</w:t>
      </w:r>
      <w:r w:rsidR="00464852" w:rsidRPr="00282AC9">
        <w:rPr>
          <w:sz w:val="27"/>
          <w:rtl/>
          <w:lang w:bidi="fa-IR"/>
        </w:rPr>
        <w:t>: إن الله عز</w:t>
      </w:r>
      <w:r w:rsidRPr="00282AC9">
        <w:rPr>
          <w:rFonts w:hint="cs"/>
          <w:sz w:val="27"/>
          <w:rtl/>
          <w:lang w:bidi="fa-IR"/>
        </w:rPr>
        <w:t>َّ</w:t>
      </w:r>
      <w:r w:rsidRPr="00282AC9">
        <w:rPr>
          <w:sz w:val="27"/>
          <w:rtl/>
          <w:lang w:bidi="fa-IR"/>
        </w:rPr>
        <w:t xml:space="preserve"> و</w:t>
      </w:r>
      <w:r w:rsidR="00464852" w:rsidRPr="00282AC9">
        <w:rPr>
          <w:sz w:val="27"/>
          <w:rtl/>
          <w:lang w:bidi="fa-IR"/>
        </w:rPr>
        <w:t>جل</w:t>
      </w:r>
      <w:r w:rsidRPr="00282AC9">
        <w:rPr>
          <w:rFonts w:hint="cs"/>
          <w:sz w:val="27"/>
          <w:rtl/>
          <w:lang w:bidi="fa-IR"/>
        </w:rPr>
        <w:t>َّ</w:t>
      </w:r>
      <w:r w:rsidR="00464852" w:rsidRPr="00282AC9">
        <w:rPr>
          <w:sz w:val="27"/>
          <w:rtl/>
          <w:lang w:bidi="fa-IR"/>
        </w:rPr>
        <w:t xml:space="preserve"> قضى ب</w:t>
      </w:r>
      <w:r w:rsidR="00464852" w:rsidRPr="00282AC9">
        <w:rPr>
          <w:rFonts w:hint="cs"/>
          <w:sz w:val="27"/>
          <w:rtl/>
          <w:lang w:bidi="fa-IR"/>
        </w:rPr>
        <w:t>ِ</w:t>
      </w:r>
      <w:r w:rsidR="00464852" w:rsidRPr="00282AC9">
        <w:rPr>
          <w:sz w:val="27"/>
          <w:rtl/>
          <w:lang w:bidi="fa-IR"/>
        </w:rPr>
        <w:t>د</w:t>
      </w:r>
      <w:r w:rsidR="00464852" w:rsidRPr="00282AC9">
        <w:rPr>
          <w:rFonts w:hint="cs"/>
          <w:sz w:val="27"/>
          <w:rtl/>
          <w:lang w:bidi="fa-IR"/>
        </w:rPr>
        <w:t>ِ</w:t>
      </w:r>
      <w:r w:rsidR="00464852" w:rsidRPr="00282AC9">
        <w:rPr>
          <w:sz w:val="27"/>
          <w:rtl/>
          <w:lang w:bidi="fa-IR"/>
        </w:rPr>
        <w:t>ي</w:t>
      </w:r>
      <w:r w:rsidR="00464852" w:rsidRPr="00282AC9">
        <w:rPr>
          <w:rFonts w:hint="cs"/>
          <w:sz w:val="27"/>
          <w:rtl/>
          <w:lang w:bidi="fa-IR"/>
        </w:rPr>
        <w:t>َ</w:t>
      </w:r>
      <w:r w:rsidR="00464852" w:rsidRPr="00282AC9">
        <w:rPr>
          <w:sz w:val="27"/>
          <w:rtl/>
          <w:lang w:bidi="fa-IR"/>
        </w:rPr>
        <w:t>ة</w:t>
      </w:r>
      <w:r w:rsidR="00464852" w:rsidRPr="00282AC9">
        <w:rPr>
          <w:rFonts w:hint="cs"/>
          <w:sz w:val="27"/>
          <w:rtl/>
          <w:lang w:bidi="fa-IR"/>
        </w:rPr>
        <w:t>ٍ</w:t>
      </w:r>
      <w:r w:rsidR="00464852" w:rsidRPr="00282AC9">
        <w:rPr>
          <w:sz w:val="27"/>
          <w:rtl/>
          <w:lang w:bidi="fa-IR"/>
        </w:rPr>
        <w:t xml:space="preserve"> واحدة</w:t>
      </w:r>
      <w:r w:rsidR="00464852" w:rsidRPr="00282AC9">
        <w:rPr>
          <w:rFonts w:hint="cs"/>
          <w:sz w:val="27"/>
          <w:rtl/>
          <w:lang w:bidi="fa-IR"/>
        </w:rPr>
        <w:t>ٍ</w:t>
      </w:r>
      <w:r w:rsidRPr="00282AC9">
        <w:rPr>
          <w:rFonts w:hint="cs"/>
          <w:sz w:val="27"/>
          <w:rtl/>
          <w:lang w:bidi="fa-IR"/>
        </w:rPr>
        <w:t>،</w:t>
      </w:r>
      <w:r w:rsidR="00464852" w:rsidRPr="00282AC9">
        <w:rPr>
          <w:sz w:val="27"/>
          <w:rtl/>
          <w:lang w:bidi="fa-IR"/>
        </w:rPr>
        <w:t xml:space="preserve"> وإن</w:t>
      </w:r>
      <w:r w:rsidRPr="00282AC9">
        <w:rPr>
          <w:rFonts w:hint="cs"/>
          <w:sz w:val="27"/>
          <w:rtl/>
          <w:lang w:bidi="fa-IR"/>
        </w:rPr>
        <w:t>ّ</w:t>
      </w:r>
      <w:r w:rsidR="00464852" w:rsidRPr="00282AC9">
        <w:rPr>
          <w:sz w:val="27"/>
          <w:rtl/>
          <w:lang w:bidi="fa-IR"/>
        </w:rPr>
        <w:t xml:space="preserve"> النبي</w:t>
      </w:r>
      <w:r w:rsidRPr="00282AC9">
        <w:rPr>
          <w:rFonts w:hint="cs"/>
          <w:sz w:val="27"/>
          <w:rtl/>
          <w:lang w:bidi="fa-IR"/>
        </w:rPr>
        <w:t>ّ</w:t>
      </w:r>
      <w:r w:rsidR="00A9773B" w:rsidRPr="00282AC9">
        <w:rPr>
          <w:rFonts w:ascii="Mosawi" w:hAnsi="Mosawi" w:cs="Mosawi"/>
          <w:sz w:val="22"/>
          <w:szCs w:val="22"/>
          <w:rtl/>
        </w:rPr>
        <w:t>ﷺ</w:t>
      </w:r>
      <w:r w:rsidR="00464852" w:rsidRPr="00282AC9">
        <w:rPr>
          <w:sz w:val="27"/>
          <w:rtl/>
          <w:lang w:bidi="fa-IR"/>
        </w:rPr>
        <w:t xml:space="preserve"> قضى بد</w:t>
      </w:r>
      <w:r w:rsidRPr="00282AC9">
        <w:rPr>
          <w:rFonts w:hint="cs"/>
          <w:sz w:val="27"/>
          <w:rtl/>
          <w:lang w:bidi="fa-IR"/>
        </w:rPr>
        <w:t>ِ</w:t>
      </w:r>
      <w:r w:rsidR="00464852" w:rsidRPr="00282AC9">
        <w:rPr>
          <w:sz w:val="27"/>
          <w:rtl/>
          <w:lang w:bidi="fa-IR"/>
        </w:rPr>
        <w:t>ي</w:t>
      </w:r>
      <w:r w:rsidRPr="00282AC9">
        <w:rPr>
          <w:rFonts w:hint="cs"/>
          <w:sz w:val="27"/>
          <w:rtl/>
          <w:lang w:bidi="fa-IR"/>
        </w:rPr>
        <w:t>َ</w:t>
      </w:r>
      <w:r w:rsidR="00464852" w:rsidRPr="00282AC9">
        <w:rPr>
          <w:sz w:val="27"/>
          <w:rtl/>
          <w:lang w:bidi="fa-IR"/>
        </w:rPr>
        <w:t>ة</w:t>
      </w:r>
      <w:r w:rsidRPr="00282AC9">
        <w:rPr>
          <w:rFonts w:hint="cs"/>
          <w:sz w:val="27"/>
          <w:rtl/>
          <w:lang w:bidi="fa-IR"/>
        </w:rPr>
        <w:t>ٍ</w:t>
      </w:r>
      <w:r w:rsidR="00464852" w:rsidRPr="00282AC9">
        <w:rPr>
          <w:sz w:val="27"/>
          <w:rtl/>
          <w:lang w:bidi="fa-IR"/>
        </w:rPr>
        <w:t xml:space="preserve"> واحدة</w:t>
      </w:r>
      <w:r w:rsidRPr="00282AC9">
        <w:rPr>
          <w:rFonts w:hint="cs"/>
          <w:sz w:val="27"/>
          <w:rtl/>
          <w:lang w:bidi="fa-IR"/>
        </w:rPr>
        <w:t>ٍ</w:t>
      </w:r>
      <w:r w:rsidR="00464852" w:rsidRPr="00282AC9">
        <w:rPr>
          <w:sz w:val="27"/>
          <w:rtl/>
          <w:lang w:bidi="fa-IR"/>
        </w:rPr>
        <w:t>، وإن العرب تعاطي بينها دية</w:t>
      </w:r>
      <w:r w:rsidRPr="00282AC9">
        <w:rPr>
          <w:rFonts w:hint="cs"/>
          <w:sz w:val="27"/>
          <w:rtl/>
          <w:lang w:bidi="fa-IR"/>
        </w:rPr>
        <w:t>ً</w:t>
      </w:r>
      <w:r w:rsidR="00464852" w:rsidRPr="00282AC9">
        <w:rPr>
          <w:sz w:val="27"/>
          <w:rtl/>
          <w:lang w:bidi="fa-IR"/>
        </w:rPr>
        <w:t xml:space="preserve"> واحدة</w:t>
      </w:r>
      <w:r w:rsidRPr="00282AC9">
        <w:rPr>
          <w:rFonts w:hint="cs"/>
          <w:sz w:val="27"/>
          <w:rtl/>
          <w:lang w:bidi="fa-IR"/>
        </w:rPr>
        <w:t>ً</w:t>
      </w:r>
      <w:r w:rsidRPr="00282AC9">
        <w:rPr>
          <w:sz w:val="27"/>
          <w:rtl/>
          <w:lang w:bidi="fa-IR"/>
        </w:rPr>
        <w:t>، وأنتم اليوم تطالبون، و</w:t>
      </w:r>
      <w:r w:rsidR="00464852" w:rsidRPr="00282AC9">
        <w:rPr>
          <w:sz w:val="27"/>
          <w:rtl/>
          <w:lang w:bidi="fa-IR"/>
        </w:rPr>
        <w:t>أخشى أن تكونوا غدا</w:t>
      </w:r>
      <w:r w:rsidRPr="00282AC9">
        <w:rPr>
          <w:rFonts w:hint="cs"/>
          <w:sz w:val="27"/>
          <w:rtl/>
          <w:lang w:bidi="fa-IR"/>
        </w:rPr>
        <w:t>ً</w:t>
      </w:r>
      <w:r w:rsidR="00464852" w:rsidRPr="00282AC9">
        <w:rPr>
          <w:sz w:val="27"/>
          <w:rtl/>
          <w:lang w:bidi="fa-IR"/>
        </w:rPr>
        <w:t xml:space="preserve"> مطلوبين</w:t>
      </w:r>
      <w:r w:rsidRPr="00282AC9">
        <w:rPr>
          <w:rFonts w:hint="cs"/>
          <w:sz w:val="27"/>
          <w:rtl/>
          <w:lang w:bidi="fa-IR"/>
        </w:rPr>
        <w:t>،</w:t>
      </w:r>
      <w:r w:rsidR="00464852" w:rsidRPr="00282AC9">
        <w:rPr>
          <w:sz w:val="27"/>
          <w:rtl/>
          <w:lang w:bidi="fa-IR"/>
        </w:rPr>
        <w:t xml:space="preserve"> فلا يرضى الناس منكم إلا</w:t>
      </w:r>
      <w:r w:rsidRPr="00282AC9">
        <w:rPr>
          <w:rFonts w:hint="cs"/>
          <w:sz w:val="27"/>
          <w:rtl/>
          <w:lang w:bidi="fa-IR"/>
        </w:rPr>
        <w:t>ّ</w:t>
      </w:r>
      <w:r w:rsidR="00464852" w:rsidRPr="00282AC9">
        <w:rPr>
          <w:sz w:val="27"/>
          <w:rtl/>
          <w:lang w:bidi="fa-IR"/>
        </w:rPr>
        <w:t xml:space="preserve"> بمثل الذي س</w:t>
      </w:r>
      <w:r w:rsidRPr="00282AC9">
        <w:rPr>
          <w:rFonts w:hint="cs"/>
          <w:sz w:val="27"/>
          <w:rtl/>
          <w:lang w:bidi="fa-IR"/>
        </w:rPr>
        <w:t>َ</w:t>
      </w:r>
      <w:r w:rsidR="00464852" w:rsidRPr="00282AC9">
        <w:rPr>
          <w:sz w:val="27"/>
          <w:rtl/>
          <w:lang w:bidi="fa-IR"/>
        </w:rPr>
        <w:t>ن</w:t>
      </w:r>
      <w:r w:rsidRPr="00282AC9">
        <w:rPr>
          <w:rFonts w:hint="cs"/>
          <w:sz w:val="27"/>
          <w:rtl/>
          <w:lang w:bidi="fa-IR"/>
        </w:rPr>
        <w:t>َنْ</w:t>
      </w:r>
      <w:r w:rsidR="00464852" w:rsidRPr="00282AC9">
        <w:rPr>
          <w:sz w:val="27"/>
          <w:rtl/>
          <w:lang w:bidi="fa-IR"/>
        </w:rPr>
        <w:t>ت</w:t>
      </w:r>
      <w:r w:rsidRPr="00282AC9">
        <w:rPr>
          <w:rFonts w:hint="cs"/>
          <w:sz w:val="27"/>
          <w:rtl/>
          <w:lang w:bidi="fa-IR"/>
        </w:rPr>
        <w:t>ُ</w:t>
      </w:r>
      <w:r w:rsidR="00464852" w:rsidRPr="00282AC9">
        <w:rPr>
          <w:sz w:val="27"/>
          <w:rtl/>
          <w:lang w:bidi="fa-IR"/>
        </w:rPr>
        <w:t>م‏ على أنفسكم، قالوا: فردّ</w:t>
      </w:r>
      <w:r w:rsidRPr="00282AC9">
        <w:rPr>
          <w:rFonts w:hint="cs"/>
          <w:sz w:val="27"/>
          <w:rtl/>
          <w:lang w:bidi="fa-IR"/>
        </w:rPr>
        <w:t>َ</w:t>
      </w:r>
      <w:r w:rsidR="00464852" w:rsidRPr="00282AC9">
        <w:rPr>
          <w:sz w:val="27"/>
          <w:rtl/>
          <w:lang w:bidi="fa-IR"/>
        </w:rPr>
        <w:t>ها إلى د</w:t>
      </w:r>
      <w:r w:rsidRPr="00282AC9">
        <w:rPr>
          <w:rFonts w:hint="cs"/>
          <w:sz w:val="27"/>
          <w:rtl/>
          <w:lang w:bidi="fa-IR"/>
        </w:rPr>
        <w:t>ِ</w:t>
      </w:r>
      <w:r w:rsidR="00464852" w:rsidRPr="00282AC9">
        <w:rPr>
          <w:sz w:val="27"/>
          <w:rtl/>
          <w:lang w:bidi="fa-IR"/>
        </w:rPr>
        <w:t>ي</w:t>
      </w:r>
      <w:r w:rsidRPr="00282AC9">
        <w:rPr>
          <w:rFonts w:hint="cs"/>
          <w:sz w:val="27"/>
          <w:rtl/>
          <w:lang w:bidi="fa-IR"/>
        </w:rPr>
        <w:t>َ</w:t>
      </w:r>
      <w:r w:rsidR="00464852" w:rsidRPr="00282AC9">
        <w:rPr>
          <w:sz w:val="27"/>
          <w:rtl/>
          <w:lang w:bidi="fa-IR"/>
        </w:rPr>
        <w:t>ة</w:t>
      </w:r>
      <w:r w:rsidRPr="00282AC9">
        <w:rPr>
          <w:rFonts w:hint="cs"/>
          <w:sz w:val="27"/>
          <w:rtl/>
          <w:lang w:bidi="fa-IR"/>
        </w:rPr>
        <w:t>ٍ</w:t>
      </w:r>
      <w:r w:rsidR="00464852" w:rsidRPr="00282AC9">
        <w:rPr>
          <w:sz w:val="27"/>
          <w:rtl/>
          <w:lang w:bidi="fa-IR"/>
        </w:rPr>
        <w:t xml:space="preserve"> واحدة</w:t>
      </w:r>
      <w:r w:rsidRPr="00282AC9">
        <w:rPr>
          <w:rFonts w:hint="cs"/>
          <w:sz w:val="27"/>
          <w:rtl/>
          <w:lang w:bidi="fa-IR"/>
        </w:rPr>
        <w:t>ٍ</w:t>
      </w:r>
      <w:r w:rsidR="00464852" w:rsidRPr="00282AC9">
        <w:rPr>
          <w:rFonts w:hint="eastAsia"/>
          <w:sz w:val="24"/>
          <w:szCs w:val="24"/>
          <w:rtl/>
        </w:rPr>
        <w:t>»</w:t>
      </w:r>
      <w:r w:rsidR="00464852" w:rsidRPr="00282AC9">
        <w:rPr>
          <w:sz w:val="27"/>
          <w:rtl/>
          <w:lang w:bidi="fa-IR"/>
        </w:rPr>
        <w:t xml:space="preserve">. </w:t>
      </w:r>
      <w:r w:rsidR="00464852" w:rsidRPr="00282AC9">
        <w:rPr>
          <w:sz w:val="27"/>
          <w:vertAlign w:val="superscript"/>
          <w:rtl/>
          <w:lang w:bidi="fa-IR"/>
        </w:rPr>
        <w:t>(</w:t>
      </w:r>
      <w:r w:rsidR="00464852" w:rsidRPr="00282AC9">
        <w:rPr>
          <w:rStyle w:val="af9"/>
          <w:sz w:val="27"/>
          <w:rtl/>
          <w:lang w:bidi="fa-IR"/>
        </w:rPr>
        <w:endnoteReference w:id="554"/>
      </w:r>
      <w:r w:rsidR="00464852" w:rsidRPr="00282AC9">
        <w:rPr>
          <w:sz w:val="27"/>
          <w:vertAlign w:val="superscript"/>
          <w:rtl/>
          <w:lang w:bidi="fa-IR"/>
        </w:rPr>
        <w:t>)</w:t>
      </w:r>
    </w:p>
    <w:p w:rsidR="00464852" w:rsidRPr="00282AC9" w:rsidRDefault="00464852" w:rsidP="0073600A">
      <w:pPr>
        <w:spacing w:line="416" w:lineRule="exact"/>
        <w:rPr>
          <w:sz w:val="27"/>
          <w:rtl/>
        </w:rPr>
      </w:pPr>
      <w:r w:rsidRPr="00282AC9">
        <w:rPr>
          <w:sz w:val="27"/>
          <w:rtl/>
        </w:rPr>
        <w:t>وعلى أي</w:t>
      </w:r>
      <w:r w:rsidR="0086395B" w:rsidRPr="00282AC9">
        <w:rPr>
          <w:rFonts w:hint="cs"/>
          <w:sz w:val="27"/>
          <w:rtl/>
        </w:rPr>
        <w:t>ّ</w:t>
      </w:r>
      <w:r w:rsidRPr="00282AC9">
        <w:rPr>
          <w:sz w:val="27"/>
          <w:rtl/>
        </w:rPr>
        <w:t xml:space="preserve"> حال</w:t>
      </w:r>
      <w:r w:rsidR="0086395B" w:rsidRPr="00282AC9">
        <w:rPr>
          <w:rFonts w:hint="cs"/>
          <w:sz w:val="27"/>
          <w:rtl/>
        </w:rPr>
        <w:t>،</w:t>
      </w:r>
      <w:r w:rsidRPr="00282AC9">
        <w:rPr>
          <w:sz w:val="27"/>
          <w:rtl/>
        </w:rPr>
        <w:t xml:space="preserve"> في ظن</w:t>
      </w:r>
      <w:r w:rsidR="0086395B" w:rsidRPr="00282AC9">
        <w:rPr>
          <w:rFonts w:hint="cs"/>
          <w:sz w:val="27"/>
          <w:rtl/>
        </w:rPr>
        <w:t>ّ</w:t>
      </w:r>
      <w:r w:rsidRPr="00282AC9">
        <w:rPr>
          <w:sz w:val="27"/>
          <w:rtl/>
        </w:rPr>
        <w:t xml:space="preserve">ي القاصر </w:t>
      </w:r>
      <w:r w:rsidR="0086395B" w:rsidRPr="00282AC9">
        <w:rPr>
          <w:rFonts w:hint="cs"/>
          <w:sz w:val="27"/>
          <w:rtl/>
        </w:rPr>
        <w:t>أ</w:t>
      </w:r>
      <w:r w:rsidRPr="00282AC9">
        <w:rPr>
          <w:sz w:val="27"/>
          <w:rtl/>
        </w:rPr>
        <w:t>ن الأغلبي</w:t>
      </w:r>
      <w:r w:rsidR="0086395B" w:rsidRPr="00282AC9">
        <w:rPr>
          <w:rFonts w:hint="cs"/>
          <w:sz w:val="27"/>
          <w:rtl/>
        </w:rPr>
        <w:t>ّ</w:t>
      </w:r>
      <w:r w:rsidRPr="00282AC9">
        <w:rPr>
          <w:sz w:val="27"/>
          <w:rtl/>
        </w:rPr>
        <w:t>ة الساحقة من الكلمات المروي</w:t>
      </w:r>
      <w:r w:rsidR="0086395B" w:rsidRPr="00282AC9">
        <w:rPr>
          <w:rFonts w:hint="cs"/>
          <w:sz w:val="27"/>
          <w:rtl/>
        </w:rPr>
        <w:t>ّ</w:t>
      </w:r>
      <w:r w:rsidRPr="00282AC9">
        <w:rPr>
          <w:sz w:val="27"/>
          <w:rtl/>
        </w:rPr>
        <w:t>ة عن الصحابة</w:t>
      </w:r>
      <w:r w:rsidR="0086395B" w:rsidRPr="00282AC9">
        <w:rPr>
          <w:rFonts w:hint="cs"/>
          <w:sz w:val="27"/>
          <w:rtl/>
        </w:rPr>
        <w:t>،</w:t>
      </w:r>
      <w:r w:rsidRPr="00282AC9">
        <w:rPr>
          <w:sz w:val="27"/>
          <w:rtl/>
        </w:rPr>
        <w:t xml:space="preserve"> التي تقدّ</w:t>
      </w:r>
      <w:r w:rsidR="0086395B" w:rsidRPr="00282AC9">
        <w:rPr>
          <w:rFonts w:hint="cs"/>
          <w:sz w:val="27"/>
          <w:rtl/>
        </w:rPr>
        <w:t>َ</w:t>
      </w:r>
      <w:r w:rsidR="0086395B" w:rsidRPr="00282AC9">
        <w:rPr>
          <w:sz w:val="27"/>
          <w:rtl/>
        </w:rPr>
        <w:t>م ذ</w:t>
      </w:r>
      <w:r w:rsidRPr="00282AC9">
        <w:rPr>
          <w:sz w:val="27"/>
          <w:rtl/>
        </w:rPr>
        <w:t>كرُها</w:t>
      </w:r>
      <w:r w:rsidR="0086395B" w:rsidRPr="00282AC9">
        <w:rPr>
          <w:rFonts w:hint="cs"/>
          <w:sz w:val="27"/>
          <w:rtl/>
        </w:rPr>
        <w:t>،</w:t>
      </w:r>
      <w:r w:rsidRPr="00282AC9">
        <w:rPr>
          <w:sz w:val="27"/>
          <w:rtl/>
        </w:rPr>
        <w:t xml:space="preserve"> تختلف عن العربي</w:t>
      </w:r>
      <w:r w:rsidR="0086395B" w:rsidRPr="00282AC9">
        <w:rPr>
          <w:rFonts w:hint="cs"/>
          <w:sz w:val="27"/>
          <w:rtl/>
        </w:rPr>
        <w:t>ّ</w:t>
      </w:r>
      <w:r w:rsidRPr="00282AC9">
        <w:rPr>
          <w:sz w:val="27"/>
          <w:rtl/>
        </w:rPr>
        <w:t>ة في عصر النبي</w:t>
      </w:r>
      <w:r w:rsidR="0086395B" w:rsidRPr="00282AC9">
        <w:rPr>
          <w:rFonts w:hint="cs"/>
          <w:sz w:val="27"/>
          <w:rtl/>
        </w:rPr>
        <w:t>ّ</w:t>
      </w:r>
      <w:r w:rsidR="009A2A04" w:rsidRPr="00282AC9">
        <w:rPr>
          <w:rFonts w:cs="Mosawi"/>
          <w:sz w:val="22"/>
          <w:szCs w:val="22"/>
          <w:rtl/>
        </w:rPr>
        <w:t>|</w:t>
      </w:r>
      <w:r w:rsidR="0086395B" w:rsidRPr="00282AC9">
        <w:rPr>
          <w:rFonts w:hint="cs"/>
          <w:sz w:val="27"/>
          <w:rtl/>
        </w:rPr>
        <w:t xml:space="preserve">، </w:t>
      </w:r>
      <w:r w:rsidRPr="00282AC9">
        <w:rPr>
          <w:sz w:val="27"/>
          <w:rtl/>
        </w:rPr>
        <w:t>والجيل التالي بعده</w:t>
      </w:r>
      <w:r w:rsidR="0086395B" w:rsidRPr="00282AC9">
        <w:rPr>
          <w:rFonts w:hint="cs"/>
          <w:sz w:val="27"/>
          <w:rtl/>
        </w:rPr>
        <w:t>.</w:t>
      </w:r>
      <w:r w:rsidRPr="00282AC9">
        <w:rPr>
          <w:sz w:val="27"/>
          <w:rtl/>
        </w:rPr>
        <w:t xml:space="preserve"> ويبدو أنها لا تخلو من النقل بالمعنى. وحينئذ</w:t>
      </w:r>
      <w:r w:rsidR="0086395B" w:rsidRPr="00282AC9">
        <w:rPr>
          <w:rFonts w:hint="cs"/>
          <w:sz w:val="27"/>
          <w:rtl/>
        </w:rPr>
        <w:t>ٍ</w:t>
      </w:r>
      <w:r w:rsidRPr="00282AC9">
        <w:rPr>
          <w:sz w:val="27"/>
          <w:rtl/>
        </w:rPr>
        <w:t xml:space="preserve"> من الأفضل الاستشهاد بها على المعنى العام</w:t>
      </w:r>
      <w:r w:rsidR="0086395B" w:rsidRPr="00282AC9">
        <w:rPr>
          <w:rFonts w:hint="cs"/>
          <w:sz w:val="27"/>
          <w:rtl/>
        </w:rPr>
        <w:t>ّ</w:t>
      </w:r>
      <w:r w:rsidRPr="00282AC9">
        <w:rPr>
          <w:sz w:val="27"/>
          <w:rtl/>
        </w:rPr>
        <w:t xml:space="preserve"> في العصور المتأخ</w:t>
      </w:r>
      <w:r w:rsidR="0086395B" w:rsidRPr="00282AC9">
        <w:rPr>
          <w:rFonts w:hint="cs"/>
          <w:sz w:val="27"/>
          <w:rtl/>
        </w:rPr>
        <w:t>ِّ</w:t>
      </w:r>
      <w:r w:rsidRPr="00282AC9">
        <w:rPr>
          <w:sz w:val="27"/>
          <w:rtl/>
        </w:rPr>
        <w:t>رة</w:t>
      </w:r>
      <w:r w:rsidR="0086395B" w:rsidRPr="00282AC9">
        <w:rPr>
          <w:rFonts w:hint="cs"/>
          <w:sz w:val="27"/>
          <w:rtl/>
        </w:rPr>
        <w:t>،</w:t>
      </w:r>
      <w:r w:rsidRPr="00282AC9">
        <w:rPr>
          <w:sz w:val="27"/>
          <w:rtl/>
        </w:rPr>
        <w:t xml:space="preserve"> كما تقدّ</w:t>
      </w:r>
      <w:r w:rsidR="0086395B" w:rsidRPr="00282AC9">
        <w:rPr>
          <w:rFonts w:hint="cs"/>
          <w:sz w:val="27"/>
          <w:rtl/>
        </w:rPr>
        <w:t>َ</w:t>
      </w:r>
      <w:r w:rsidR="0086395B" w:rsidRPr="00282AC9">
        <w:rPr>
          <w:sz w:val="27"/>
          <w:rtl/>
        </w:rPr>
        <w:t>مت الإشارة</w:t>
      </w:r>
      <w:r w:rsidRPr="00282AC9">
        <w:rPr>
          <w:sz w:val="27"/>
          <w:rtl/>
        </w:rPr>
        <w:t xml:space="preserve"> إلى هذا الأمر في بعض الموارد.</w:t>
      </w:r>
    </w:p>
    <w:p w:rsidR="00464852" w:rsidRPr="00282AC9" w:rsidRDefault="001332DF" w:rsidP="001332DF">
      <w:pPr>
        <w:pStyle w:val="31"/>
        <w:rPr>
          <w:color w:val="auto"/>
          <w:rtl/>
        </w:rPr>
      </w:pPr>
      <w:r w:rsidRPr="00282AC9">
        <w:rPr>
          <w:rFonts w:hint="cs"/>
          <w:color w:val="auto"/>
          <w:rtl/>
        </w:rPr>
        <w:lastRenderedPageBreak/>
        <w:t>2ـ في النصف</w:t>
      </w:r>
      <w:r w:rsidR="00464852" w:rsidRPr="00282AC9">
        <w:rPr>
          <w:color w:val="auto"/>
          <w:rtl/>
        </w:rPr>
        <w:t xml:space="preserve"> الثاني </w:t>
      </w:r>
      <w:r w:rsidRPr="00282AC9">
        <w:rPr>
          <w:rFonts w:hint="cs"/>
          <w:color w:val="auto"/>
          <w:rtl/>
        </w:rPr>
        <w:t>ل</w:t>
      </w:r>
      <w:r w:rsidR="00464852" w:rsidRPr="00282AC9">
        <w:rPr>
          <w:color w:val="auto"/>
          <w:rtl/>
        </w:rPr>
        <w:t>لقرن الأو</w:t>
      </w:r>
      <w:r w:rsidR="0086395B" w:rsidRPr="00282AC9">
        <w:rPr>
          <w:rFonts w:hint="cs"/>
          <w:color w:val="auto"/>
          <w:rtl/>
        </w:rPr>
        <w:t>ّ</w:t>
      </w:r>
      <w:r w:rsidR="00464852" w:rsidRPr="00282AC9">
        <w:rPr>
          <w:color w:val="auto"/>
          <w:rtl/>
        </w:rPr>
        <w:t>ل الهجري</w:t>
      </w:r>
      <w:r w:rsidR="003A5E1D" w:rsidRPr="00282AC9">
        <w:rPr>
          <w:rFonts w:hint="cs"/>
          <w:color w:val="auto"/>
          <w:rtl/>
        </w:rPr>
        <w:t>ّ</w:t>
      </w:r>
    </w:p>
    <w:p w:rsidR="003A5E1D" w:rsidRPr="00282AC9" w:rsidRDefault="003A5E1D" w:rsidP="003A5E1D">
      <w:pPr>
        <w:pStyle w:val="31"/>
        <w:rPr>
          <w:color w:val="auto"/>
          <w:rtl/>
        </w:rPr>
      </w:pPr>
      <w:r w:rsidRPr="00282AC9">
        <w:rPr>
          <w:rFonts w:hint="cs"/>
          <w:color w:val="auto"/>
          <w:rtl/>
        </w:rPr>
        <w:t>أـ في التراث</w:t>
      </w:r>
      <w:r w:rsidR="00AA552E" w:rsidRPr="00282AC9">
        <w:rPr>
          <w:rFonts w:hint="cs"/>
          <w:color w:val="auto"/>
          <w:rtl/>
        </w:rPr>
        <w:t>ين</w:t>
      </w:r>
      <w:r w:rsidRPr="00282AC9">
        <w:rPr>
          <w:rFonts w:hint="cs"/>
          <w:color w:val="auto"/>
          <w:rtl/>
        </w:rPr>
        <w:t xml:space="preserve"> الدينيّ</w:t>
      </w:r>
      <w:r w:rsidR="00AA552E" w:rsidRPr="00282AC9">
        <w:rPr>
          <w:rFonts w:hint="cs"/>
          <w:color w:val="auto"/>
          <w:rtl/>
        </w:rPr>
        <w:t xml:space="preserve"> والسياسيّ</w:t>
      </w:r>
    </w:p>
    <w:p w:rsidR="00464852" w:rsidRPr="00282AC9" w:rsidRDefault="00464852" w:rsidP="0073600A">
      <w:pPr>
        <w:pStyle w:val="afc"/>
        <w:rPr>
          <w:rFonts w:ascii="Noor_Mitra" w:hAnsi="Noor_Mitra" w:cs="AL-Mohanad"/>
          <w:sz w:val="27"/>
          <w:szCs w:val="27"/>
          <w:rtl/>
          <w:lang w:bidi="fa-IR"/>
        </w:rPr>
      </w:pPr>
      <w:r w:rsidRPr="00282AC9">
        <w:rPr>
          <w:rFonts w:ascii="Noor_Mitra" w:hAnsi="Noor_Mitra" w:cs="AL-Mohanad"/>
          <w:sz w:val="27"/>
          <w:szCs w:val="27"/>
          <w:rtl/>
        </w:rPr>
        <w:t>يمكن الاستدلال بالاستعمالات في هذا العصر أيضا</w:t>
      </w:r>
      <w:r w:rsidR="0086395B" w:rsidRPr="00282AC9">
        <w:rPr>
          <w:rFonts w:ascii="Noor_Mitra" w:hAnsi="Noor_Mitra" w:cs="AL-Mohanad" w:hint="cs"/>
          <w:sz w:val="27"/>
          <w:szCs w:val="27"/>
          <w:rtl/>
        </w:rPr>
        <w:t>ً</w:t>
      </w:r>
      <w:r w:rsidRPr="00282AC9">
        <w:rPr>
          <w:rFonts w:ascii="Noor_Mitra" w:hAnsi="Noor_Mitra" w:cs="AL-Mohanad"/>
          <w:sz w:val="27"/>
          <w:szCs w:val="27"/>
          <w:rtl/>
        </w:rPr>
        <w:t xml:space="preserve"> لإثبات المعنى في العصر النبوي</w:t>
      </w:r>
      <w:r w:rsidR="0086395B" w:rsidRPr="00282AC9">
        <w:rPr>
          <w:rFonts w:ascii="Noor_Mitra" w:hAnsi="Noor_Mitra" w:cs="AL-Mohanad" w:hint="cs"/>
          <w:sz w:val="27"/>
          <w:szCs w:val="27"/>
          <w:rtl/>
        </w:rPr>
        <w:t>ّ،</w:t>
      </w:r>
      <w:r w:rsidRPr="00282AC9">
        <w:rPr>
          <w:rFonts w:ascii="Noor_Mitra" w:hAnsi="Noor_Mitra" w:cs="AL-Mohanad"/>
          <w:sz w:val="27"/>
          <w:szCs w:val="27"/>
          <w:rtl/>
        </w:rPr>
        <w:t xml:space="preserve"> لكنها في الرتبة التالية من الأهم</w:t>
      </w:r>
      <w:r w:rsidR="0086395B" w:rsidRPr="00282AC9">
        <w:rPr>
          <w:rFonts w:ascii="Noor_Mitra" w:hAnsi="Noor_Mitra" w:cs="AL-Mohanad" w:hint="cs"/>
          <w:sz w:val="27"/>
          <w:szCs w:val="27"/>
          <w:rtl/>
        </w:rPr>
        <w:t>ِّ</w:t>
      </w:r>
      <w:r w:rsidRPr="00282AC9">
        <w:rPr>
          <w:rFonts w:ascii="Noor_Mitra" w:hAnsi="Noor_Mitra" w:cs="AL-Mohanad"/>
          <w:sz w:val="27"/>
          <w:szCs w:val="27"/>
          <w:rtl/>
        </w:rPr>
        <w:t>ية</w:t>
      </w:r>
      <w:r w:rsidR="0086395B" w:rsidRPr="00282AC9">
        <w:rPr>
          <w:rFonts w:ascii="Noor_Mitra" w:hAnsi="Noor_Mitra" w:cs="AL-Mohanad" w:hint="cs"/>
          <w:sz w:val="27"/>
          <w:szCs w:val="27"/>
          <w:rtl/>
        </w:rPr>
        <w:t>؛</w:t>
      </w:r>
      <w:r w:rsidRPr="00282AC9">
        <w:rPr>
          <w:rFonts w:ascii="Noor_Mitra" w:hAnsi="Noor_Mitra" w:cs="AL-Mohanad"/>
          <w:sz w:val="27"/>
          <w:szCs w:val="27"/>
          <w:rtl/>
        </w:rPr>
        <w:t xml:space="preserve"> لأنها أبعد من عصر النبي</w:t>
      </w:r>
      <w:r w:rsidR="0086395B" w:rsidRPr="00282AC9">
        <w:rPr>
          <w:rFonts w:ascii="Noor_Mitra" w:hAnsi="Noor_Mitra" w:cs="AL-Mohanad" w:hint="cs"/>
          <w:sz w:val="27"/>
          <w:szCs w:val="27"/>
          <w:rtl/>
        </w:rPr>
        <w:t>ّ</w:t>
      </w:r>
      <w:r w:rsidR="009A2A04" w:rsidRPr="00282AC9">
        <w:rPr>
          <w:rFonts w:ascii="Noor_Mitra" w:hAnsi="Noor_Mitra" w:cs="Mosawi"/>
          <w:sz w:val="22"/>
          <w:szCs w:val="22"/>
          <w:rtl/>
        </w:rPr>
        <w:t>|</w:t>
      </w:r>
      <w:r w:rsidR="0086395B" w:rsidRPr="00282AC9">
        <w:rPr>
          <w:rFonts w:ascii="Noor_Mitra" w:hAnsi="Noor_Mitra" w:cs="AL-Mohanad" w:hint="cs"/>
          <w:sz w:val="27"/>
          <w:szCs w:val="27"/>
          <w:rtl/>
        </w:rPr>
        <w:t>،</w:t>
      </w:r>
      <w:r w:rsidRPr="00282AC9">
        <w:rPr>
          <w:rFonts w:ascii="Noor_Mitra" w:hAnsi="Noor_Mitra" w:cs="AL-Mohanad"/>
          <w:sz w:val="27"/>
          <w:szCs w:val="27"/>
          <w:rtl/>
        </w:rPr>
        <w:t xml:space="preserve"> و</w:t>
      </w:r>
      <w:r w:rsidR="0086395B" w:rsidRPr="00282AC9">
        <w:rPr>
          <w:rFonts w:ascii="Noor_Mitra" w:hAnsi="Noor_Mitra" w:cs="AL-Mohanad" w:hint="cs"/>
          <w:sz w:val="27"/>
          <w:szCs w:val="27"/>
          <w:rtl/>
        </w:rPr>
        <w:t xml:space="preserve">قد </w:t>
      </w:r>
      <w:r w:rsidRPr="00282AC9">
        <w:rPr>
          <w:rFonts w:ascii="Noor_Mitra" w:hAnsi="Noor_Mitra" w:cs="AL-Mohanad" w:hint="cs"/>
          <w:sz w:val="27"/>
          <w:szCs w:val="27"/>
          <w:rtl/>
        </w:rPr>
        <w:t>تغيّ</w:t>
      </w:r>
      <w:r w:rsidR="0086395B" w:rsidRPr="00282AC9">
        <w:rPr>
          <w:rFonts w:ascii="Noor_Mitra" w:hAnsi="Noor_Mitra" w:cs="AL-Mohanad" w:hint="cs"/>
          <w:sz w:val="27"/>
          <w:szCs w:val="27"/>
          <w:rtl/>
        </w:rPr>
        <w:t>َ</w:t>
      </w:r>
      <w:r w:rsidRPr="00282AC9">
        <w:rPr>
          <w:rFonts w:ascii="Noor_Mitra" w:hAnsi="Noor_Mitra" w:cs="AL-Mohanad" w:hint="cs"/>
          <w:sz w:val="27"/>
          <w:szCs w:val="27"/>
          <w:rtl/>
        </w:rPr>
        <w:t xml:space="preserve">رت </w:t>
      </w:r>
      <w:r w:rsidRPr="00282AC9">
        <w:rPr>
          <w:rFonts w:ascii="Noor_Mitra" w:hAnsi="Noor_Mitra" w:cs="AL-Mohanad"/>
          <w:sz w:val="27"/>
          <w:szCs w:val="27"/>
          <w:rtl/>
        </w:rPr>
        <w:t>العربية فيها</w:t>
      </w:r>
      <w:r w:rsidR="0086395B" w:rsidRPr="00282AC9">
        <w:rPr>
          <w:rFonts w:ascii="Noor_Mitra" w:hAnsi="Noor_Mitra" w:cs="AL-Mohanad" w:hint="cs"/>
          <w:sz w:val="27"/>
          <w:szCs w:val="27"/>
          <w:rtl/>
        </w:rPr>
        <w:t>،</w:t>
      </w:r>
      <w:r w:rsidRPr="00282AC9">
        <w:rPr>
          <w:rFonts w:ascii="Noor_Mitra" w:hAnsi="Noor_Mitra" w:cs="AL-Mohanad"/>
          <w:sz w:val="27"/>
          <w:szCs w:val="27"/>
          <w:rtl/>
        </w:rPr>
        <w:t xml:space="preserve"> حت</w:t>
      </w:r>
      <w:r w:rsidR="0086395B" w:rsidRPr="00282AC9">
        <w:rPr>
          <w:rFonts w:ascii="Noor_Mitra" w:hAnsi="Noor_Mitra" w:cs="AL-Mohanad" w:hint="cs"/>
          <w:sz w:val="27"/>
          <w:szCs w:val="27"/>
          <w:rtl/>
        </w:rPr>
        <w:t>ّ</w:t>
      </w:r>
      <w:r w:rsidRPr="00282AC9">
        <w:rPr>
          <w:rFonts w:ascii="Noor_Mitra" w:hAnsi="Noor_Mitra" w:cs="AL-Mohanad"/>
          <w:sz w:val="27"/>
          <w:szCs w:val="27"/>
          <w:rtl/>
        </w:rPr>
        <w:t>ى الأحاديث المروي</w:t>
      </w:r>
      <w:r w:rsidR="0086395B" w:rsidRPr="00282AC9">
        <w:rPr>
          <w:rFonts w:ascii="Noor_Mitra" w:hAnsi="Noor_Mitra" w:cs="AL-Mohanad" w:hint="cs"/>
          <w:sz w:val="27"/>
          <w:szCs w:val="27"/>
          <w:rtl/>
        </w:rPr>
        <w:t>ّ</w:t>
      </w:r>
      <w:r w:rsidRPr="00282AC9">
        <w:rPr>
          <w:rFonts w:ascii="Noor_Mitra" w:hAnsi="Noor_Mitra" w:cs="AL-Mohanad"/>
          <w:sz w:val="27"/>
          <w:szCs w:val="27"/>
          <w:rtl/>
        </w:rPr>
        <w:t>ة عن الإمام السج</w:t>
      </w:r>
      <w:r w:rsidR="0068565A" w:rsidRPr="00282AC9">
        <w:rPr>
          <w:rFonts w:ascii="Noor_Mitra" w:hAnsi="Noor_Mitra" w:cs="AL-Mohanad" w:hint="cs"/>
          <w:sz w:val="27"/>
          <w:szCs w:val="27"/>
          <w:rtl/>
        </w:rPr>
        <w:t>ّ</w:t>
      </w:r>
      <w:r w:rsidRPr="00282AC9">
        <w:rPr>
          <w:rFonts w:ascii="Noor_Mitra" w:hAnsi="Noor_Mitra" w:cs="AL-Mohanad"/>
          <w:sz w:val="27"/>
          <w:szCs w:val="27"/>
          <w:rtl/>
        </w:rPr>
        <w:t>اد</w:t>
      </w:r>
      <w:r w:rsidR="009A2A04" w:rsidRPr="00282AC9">
        <w:rPr>
          <w:rFonts w:ascii="Noor_Mitra" w:hAnsi="Noor_Mitra" w:cs="Mosawi"/>
          <w:sz w:val="22"/>
          <w:szCs w:val="22"/>
          <w:rtl/>
        </w:rPr>
        <w:t>×</w:t>
      </w:r>
      <w:r w:rsidRPr="00282AC9">
        <w:rPr>
          <w:rFonts w:ascii="Noor_Mitra" w:hAnsi="Noor_Mitra" w:cs="AL-Mohanad"/>
          <w:sz w:val="27"/>
          <w:szCs w:val="27"/>
          <w:rtl/>
        </w:rPr>
        <w:t xml:space="preserve"> أيضا</w:t>
      </w:r>
      <w:r w:rsidR="0086395B" w:rsidRPr="00282AC9">
        <w:rPr>
          <w:rFonts w:ascii="Noor_Mitra" w:hAnsi="Noor_Mitra" w:cs="AL-Mohanad" w:hint="cs"/>
          <w:sz w:val="27"/>
          <w:szCs w:val="27"/>
          <w:rtl/>
        </w:rPr>
        <w:t>ً</w:t>
      </w:r>
      <w:r w:rsidRPr="00282AC9">
        <w:rPr>
          <w:rFonts w:ascii="Noor_Mitra" w:hAnsi="Noor_Mitra" w:cs="AL-Mohanad" w:hint="cs"/>
          <w:sz w:val="27"/>
          <w:szCs w:val="27"/>
          <w:rtl/>
        </w:rPr>
        <w:t xml:space="preserve"> ـ كما </w:t>
      </w:r>
      <w:r w:rsidRPr="00282AC9">
        <w:rPr>
          <w:rFonts w:ascii="Noor_Mitra" w:hAnsi="Noor_Mitra" w:cs="AL-Mohanad"/>
          <w:sz w:val="27"/>
          <w:szCs w:val="27"/>
          <w:rtl/>
        </w:rPr>
        <w:t>هو واضح</w:t>
      </w:r>
      <w:r w:rsidR="0086395B" w:rsidRPr="00282AC9">
        <w:rPr>
          <w:rFonts w:ascii="Noor_Mitra" w:hAnsi="Noor_Mitra" w:cs="AL-Mohanad" w:hint="cs"/>
          <w:sz w:val="27"/>
          <w:szCs w:val="27"/>
          <w:rtl/>
        </w:rPr>
        <w:t>ٌ</w:t>
      </w:r>
      <w:r w:rsidRPr="00282AC9">
        <w:rPr>
          <w:rFonts w:ascii="Noor_Mitra" w:hAnsi="Noor_Mitra" w:cs="AL-Mohanad"/>
          <w:sz w:val="27"/>
          <w:szCs w:val="27"/>
          <w:rtl/>
        </w:rPr>
        <w:t xml:space="preserve"> من مقارنة الصحيفة السج</w:t>
      </w:r>
      <w:r w:rsidR="0068565A" w:rsidRPr="00282AC9">
        <w:rPr>
          <w:rFonts w:ascii="Noor_Mitra" w:hAnsi="Noor_Mitra" w:cs="AL-Mohanad" w:hint="cs"/>
          <w:sz w:val="27"/>
          <w:szCs w:val="27"/>
          <w:rtl/>
        </w:rPr>
        <w:t>ّ</w:t>
      </w:r>
      <w:r w:rsidRPr="00282AC9">
        <w:rPr>
          <w:rFonts w:ascii="Noor_Mitra" w:hAnsi="Noor_Mitra" w:cs="AL-Mohanad"/>
          <w:sz w:val="27"/>
          <w:szCs w:val="27"/>
          <w:rtl/>
        </w:rPr>
        <w:t>ادية</w:t>
      </w:r>
      <w:r w:rsidRPr="00282AC9">
        <w:rPr>
          <w:rFonts w:ascii="Noor_Mitra" w:hAnsi="Noor_Mitra" w:cs="AL-Mohanad"/>
          <w:sz w:val="27"/>
          <w:szCs w:val="27"/>
          <w:vertAlign w:val="superscript"/>
          <w:rtl/>
        </w:rPr>
        <w:t>(</w:t>
      </w:r>
      <w:r w:rsidRPr="00282AC9">
        <w:rPr>
          <w:rStyle w:val="af9"/>
          <w:rFonts w:ascii="Noor_Mitra" w:hAnsi="Noor_Mitra" w:cs="AL-Mohanad"/>
          <w:sz w:val="27"/>
          <w:szCs w:val="27"/>
          <w:rtl/>
        </w:rPr>
        <w:endnoteReference w:id="555"/>
      </w:r>
      <w:r w:rsidRPr="00282AC9">
        <w:rPr>
          <w:rFonts w:ascii="Noor_Mitra" w:hAnsi="Noor_Mitra" w:cs="AL-Mohanad"/>
          <w:sz w:val="27"/>
          <w:szCs w:val="27"/>
          <w:vertAlign w:val="superscript"/>
          <w:rtl/>
        </w:rPr>
        <w:t>)</w:t>
      </w:r>
      <w:r w:rsidRPr="00282AC9">
        <w:rPr>
          <w:rFonts w:ascii="Noor_Mitra" w:hAnsi="Noor_Mitra" w:cs="AL-Mohanad"/>
          <w:sz w:val="27"/>
          <w:szCs w:val="27"/>
          <w:rtl/>
        </w:rPr>
        <w:t xml:space="preserve"> مع كلمات أمير المؤمنين</w:t>
      </w:r>
      <w:r w:rsidR="009A2A04" w:rsidRPr="00282AC9">
        <w:rPr>
          <w:rFonts w:ascii="Noor_Mitra" w:hAnsi="Noor_Mitra" w:cs="Mosawi"/>
          <w:sz w:val="22"/>
          <w:szCs w:val="22"/>
          <w:rtl/>
        </w:rPr>
        <w:t>×</w:t>
      </w:r>
      <w:r w:rsidRPr="00282AC9">
        <w:rPr>
          <w:rFonts w:ascii="Noor_Mitra" w:hAnsi="Noor_Mitra" w:cs="AL-Mohanad"/>
          <w:sz w:val="27"/>
          <w:szCs w:val="27"/>
          <w:rtl/>
        </w:rPr>
        <w:t xml:space="preserve"> في نهج البلاغة</w:t>
      </w:r>
      <w:r w:rsidRPr="00282AC9">
        <w:rPr>
          <w:rFonts w:ascii="Noor_Mitra" w:hAnsi="Noor_Mitra" w:cs="AL-Mohanad" w:hint="cs"/>
          <w:sz w:val="27"/>
          <w:szCs w:val="27"/>
          <w:rtl/>
        </w:rPr>
        <w:t xml:space="preserve"> ـ</w:t>
      </w:r>
      <w:r w:rsidR="00F56E0A" w:rsidRPr="00282AC9">
        <w:rPr>
          <w:rFonts w:ascii="Noor_Mitra" w:hAnsi="Noor_Mitra" w:cs="AL-Mohanad" w:hint="cs"/>
          <w:sz w:val="27"/>
          <w:szCs w:val="27"/>
          <w:rtl/>
        </w:rPr>
        <w:t>،</w:t>
      </w:r>
      <w:r w:rsidRPr="00282AC9">
        <w:rPr>
          <w:rFonts w:ascii="Noor_Mitra" w:hAnsi="Noor_Mitra" w:cs="AL-Mohanad" w:hint="cs"/>
          <w:sz w:val="27"/>
          <w:szCs w:val="27"/>
          <w:rtl/>
        </w:rPr>
        <w:t xml:space="preserve"> </w:t>
      </w:r>
      <w:r w:rsidRPr="00282AC9">
        <w:rPr>
          <w:rFonts w:ascii="Noor_Mitra" w:hAnsi="Noor_Mitra" w:cs="AL-Mohanad"/>
          <w:sz w:val="27"/>
          <w:szCs w:val="27"/>
          <w:rtl/>
        </w:rPr>
        <w:t>فلا ي</w:t>
      </w:r>
      <w:r w:rsidRPr="00282AC9">
        <w:rPr>
          <w:rFonts w:ascii="Noor_Mitra" w:hAnsi="Noor_Mitra" w:cs="AL-Mohanad" w:hint="cs"/>
          <w:sz w:val="27"/>
          <w:szCs w:val="27"/>
          <w:rtl/>
        </w:rPr>
        <w:t>ست</w:t>
      </w:r>
      <w:r w:rsidRPr="00282AC9">
        <w:rPr>
          <w:rFonts w:ascii="Noor_Mitra" w:hAnsi="Noor_Mitra" w:cs="AL-Mohanad"/>
          <w:sz w:val="27"/>
          <w:szCs w:val="27"/>
          <w:rtl/>
        </w:rPr>
        <w:t>بعد أن</w:t>
      </w:r>
      <w:r w:rsidRPr="00282AC9">
        <w:rPr>
          <w:rFonts w:ascii="Noor_Mitra" w:hAnsi="Noor_Mitra" w:cs="AL-Mohanad" w:hint="cs"/>
          <w:sz w:val="27"/>
          <w:szCs w:val="27"/>
          <w:rtl/>
        </w:rPr>
        <w:t>ه</w:t>
      </w:r>
      <w:r w:rsidRPr="00282AC9">
        <w:rPr>
          <w:rFonts w:ascii="Noor_Mitra" w:hAnsi="Noor_Mitra" w:cs="AL-Mohanad"/>
          <w:sz w:val="27"/>
          <w:szCs w:val="27"/>
          <w:rtl/>
        </w:rPr>
        <w:t xml:space="preserve"> ت</w:t>
      </w:r>
      <w:r w:rsidRPr="00282AC9">
        <w:rPr>
          <w:rFonts w:ascii="Noor_Mitra" w:hAnsi="Noor_Mitra" w:cs="AL-Mohanad" w:hint="cs"/>
          <w:sz w:val="27"/>
          <w:szCs w:val="27"/>
          <w:rtl/>
        </w:rPr>
        <w:t>حدّ</w:t>
      </w:r>
      <w:r w:rsidR="00F56E0A" w:rsidRPr="00282AC9">
        <w:rPr>
          <w:rFonts w:ascii="Noor_Mitra" w:hAnsi="Noor_Mitra" w:cs="AL-Mohanad" w:hint="cs"/>
          <w:sz w:val="27"/>
          <w:szCs w:val="27"/>
          <w:rtl/>
        </w:rPr>
        <w:t>َث</w:t>
      </w:r>
      <w:r w:rsidR="009A2A04" w:rsidRPr="00282AC9">
        <w:rPr>
          <w:rFonts w:ascii="Noor_Mitra" w:hAnsi="Noor_Mitra" w:cs="Mosawi"/>
          <w:sz w:val="22"/>
          <w:szCs w:val="22"/>
          <w:rtl/>
        </w:rPr>
        <w:t>×</w:t>
      </w:r>
      <w:r w:rsidRPr="00282AC9">
        <w:rPr>
          <w:rFonts w:ascii="Noor_Mitra" w:hAnsi="Noor_Mitra" w:cs="AL-Mohanad"/>
          <w:sz w:val="27"/>
          <w:szCs w:val="27"/>
          <w:rtl/>
        </w:rPr>
        <w:t xml:space="preserve"> ب</w:t>
      </w:r>
      <w:r w:rsidRPr="00282AC9">
        <w:rPr>
          <w:rFonts w:ascii="Noor_Mitra" w:hAnsi="Noor_Mitra" w:cs="AL-Mohanad" w:hint="cs"/>
          <w:sz w:val="27"/>
          <w:szCs w:val="27"/>
          <w:rtl/>
        </w:rPr>
        <w:t>ال</w:t>
      </w:r>
      <w:r w:rsidR="00F56E0A" w:rsidRPr="00282AC9">
        <w:rPr>
          <w:rFonts w:ascii="Noor_Mitra" w:hAnsi="Noor_Mitra" w:cs="AL-Mohanad"/>
          <w:sz w:val="27"/>
          <w:szCs w:val="27"/>
          <w:rtl/>
        </w:rPr>
        <w:t>لغ</w:t>
      </w:r>
      <w:r w:rsidRPr="00282AC9">
        <w:rPr>
          <w:rFonts w:ascii="Noor_Mitra" w:hAnsi="Noor_Mitra" w:cs="AL-Mohanad"/>
          <w:sz w:val="27"/>
          <w:szCs w:val="27"/>
          <w:rtl/>
        </w:rPr>
        <w:t xml:space="preserve">ة </w:t>
      </w:r>
      <w:r w:rsidRPr="00282AC9">
        <w:rPr>
          <w:rFonts w:ascii="Noor_Mitra" w:hAnsi="Noor_Mitra" w:cs="AL-Mohanad" w:hint="cs"/>
          <w:sz w:val="27"/>
          <w:szCs w:val="27"/>
          <w:rtl/>
        </w:rPr>
        <w:t>العربية الشائعة في زمانه</w:t>
      </w:r>
      <w:r w:rsidR="00F56E0A" w:rsidRPr="00282AC9">
        <w:rPr>
          <w:rFonts w:ascii="Noor_Mitra" w:hAnsi="Noor_Mitra" w:cs="AL-Mohanad" w:hint="cs"/>
          <w:sz w:val="27"/>
          <w:szCs w:val="27"/>
          <w:rtl/>
        </w:rPr>
        <w:t>،</w:t>
      </w:r>
      <w:r w:rsidRPr="00282AC9">
        <w:rPr>
          <w:rFonts w:ascii="Noor_Mitra" w:hAnsi="Noor_Mitra" w:cs="AL-Mohanad" w:hint="cs"/>
          <w:sz w:val="27"/>
          <w:szCs w:val="27"/>
          <w:rtl/>
        </w:rPr>
        <w:t xml:space="preserve"> والتي تختلف </w:t>
      </w:r>
      <w:r w:rsidRPr="00282AC9">
        <w:rPr>
          <w:rFonts w:ascii="Noor_Mitra" w:hAnsi="Noor_Mitra" w:cs="AL-Mohanad"/>
          <w:sz w:val="27"/>
          <w:szCs w:val="27"/>
          <w:rtl/>
        </w:rPr>
        <w:t>عن اللغة في العصر الجاهلي</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وصدر الإسلام، كما تقد</w:t>
      </w:r>
      <w:r w:rsidRPr="00282AC9">
        <w:rPr>
          <w:rFonts w:ascii="Noor_Mitra" w:hAnsi="Noor_Mitra" w:cs="AL-Mohanad" w:hint="cs"/>
          <w:sz w:val="27"/>
          <w:szCs w:val="27"/>
          <w:rtl/>
        </w:rPr>
        <w:t>َّ</w:t>
      </w:r>
      <w:r w:rsidRPr="00282AC9">
        <w:rPr>
          <w:rFonts w:ascii="Noor_Mitra" w:hAnsi="Noor_Mitra" w:cs="AL-Mohanad"/>
          <w:sz w:val="27"/>
          <w:szCs w:val="27"/>
          <w:rtl/>
        </w:rPr>
        <w:t>م</w:t>
      </w:r>
      <w:r w:rsidR="00F56E0A" w:rsidRPr="00282AC9">
        <w:rPr>
          <w:rFonts w:ascii="Noor_Mitra" w:hAnsi="Noor_Mitra" w:cs="AL-Mohanad" w:hint="cs"/>
          <w:sz w:val="27"/>
          <w:szCs w:val="27"/>
          <w:rtl/>
        </w:rPr>
        <w:t>َ</w:t>
      </w:r>
      <w:r w:rsidRPr="00282AC9">
        <w:rPr>
          <w:rFonts w:ascii="Noor_Mitra" w:hAnsi="Noor_Mitra" w:cs="AL-Mohanad"/>
          <w:sz w:val="27"/>
          <w:szCs w:val="27"/>
          <w:rtl/>
        </w:rPr>
        <w:t>ت الإشارة</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إل</w:t>
      </w:r>
      <w:r w:rsidRPr="00282AC9">
        <w:rPr>
          <w:rFonts w:ascii="Noor_Mitra" w:hAnsi="Noor_Mitra" w:cs="AL-Mohanad" w:hint="cs"/>
          <w:sz w:val="27"/>
          <w:szCs w:val="27"/>
          <w:rtl/>
        </w:rPr>
        <w:t>ى مثل هذا الأمر.</w:t>
      </w:r>
    </w:p>
    <w:p w:rsidR="00F56E0A" w:rsidRPr="00282AC9" w:rsidRDefault="00F56E0A" w:rsidP="0073600A">
      <w:pPr>
        <w:pStyle w:val="afc"/>
        <w:rPr>
          <w:rFonts w:ascii="Noor_Mitra" w:hAnsi="Noor_Mitra" w:cs="AL-Mohanad"/>
          <w:sz w:val="27"/>
          <w:szCs w:val="27"/>
          <w:rtl/>
        </w:rPr>
      </w:pPr>
      <w:r w:rsidRPr="00282AC9">
        <w:rPr>
          <w:rFonts w:ascii="Noor_Mitra" w:hAnsi="Noor_Mitra" w:cs="AL-Mohanad" w:hint="cs"/>
          <w:sz w:val="27"/>
          <w:szCs w:val="27"/>
          <w:rtl/>
        </w:rPr>
        <w:t xml:space="preserve">1ـ </w:t>
      </w:r>
      <w:r w:rsidR="00464852" w:rsidRPr="00282AC9">
        <w:rPr>
          <w:rFonts w:ascii="Noor_Mitra" w:hAnsi="Noor_Mitra" w:cs="AL-Mohanad"/>
          <w:sz w:val="27"/>
          <w:szCs w:val="27"/>
          <w:rtl/>
        </w:rPr>
        <w:t>وأبدأ بالكلمات المروي</w:t>
      </w:r>
      <w:r w:rsidRPr="00282AC9">
        <w:rPr>
          <w:rFonts w:ascii="Noor_Mitra" w:hAnsi="Noor_Mitra" w:cs="AL-Mohanad" w:hint="cs"/>
          <w:sz w:val="27"/>
          <w:szCs w:val="27"/>
          <w:rtl/>
        </w:rPr>
        <w:t>ّ</w:t>
      </w:r>
      <w:r w:rsidR="00464852" w:rsidRPr="00282AC9">
        <w:rPr>
          <w:rFonts w:ascii="Noor_Mitra" w:hAnsi="Noor_Mitra" w:cs="AL-Mohanad"/>
          <w:sz w:val="27"/>
          <w:szCs w:val="27"/>
          <w:rtl/>
        </w:rPr>
        <w:t>ة عن الإمام السجاد</w:t>
      </w:r>
      <w:r w:rsidR="009A2A04" w:rsidRPr="00282AC9">
        <w:rPr>
          <w:rFonts w:ascii="Noor_Mitra" w:hAnsi="Noor_Mitra" w:cs="Mosawi"/>
          <w:sz w:val="22"/>
          <w:szCs w:val="22"/>
          <w:rtl/>
        </w:rPr>
        <w:t>×</w:t>
      </w:r>
      <w:r w:rsidR="00464852" w:rsidRPr="00282AC9">
        <w:rPr>
          <w:rFonts w:ascii="Noor_Mitra" w:hAnsi="Noor_Mitra" w:cs="AL-Mohanad"/>
          <w:sz w:val="27"/>
          <w:szCs w:val="27"/>
          <w:rtl/>
        </w:rPr>
        <w:t xml:space="preserve">: </w:t>
      </w:r>
      <w:r w:rsidR="00464852" w:rsidRPr="00282AC9">
        <w:rPr>
          <w:rFonts w:cs="AL-Mohanad" w:hint="eastAsia"/>
          <w:rtl/>
          <w:lang w:bidi="fa-IR"/>
        </w:rPr>
        <w:t>«</w:t>
      </w:r>
      <w:r w:rsidR="00464852" w:rsidRPr="00282AC9">
        <w:rPr>
          <w:rFonts w:ascii="Noor_Mitra" w:hAnsi="Noor_Mitra" w:cs="AL-Mohanad"/>
          <w:sz w:val="27"/>
          <w:szCs w:val="27"/>
          <w:rtl/>
          <w:lang w:bidi="fa-IR"/>
        </w:rPr>
        <w:t>إن الأمور الواردة عليكم في كل</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يوم</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وليلة</w:t>
      </w:r>
      <w:r w:rsidRPr="00282AC9">
        <w:rPr>
          <w:rFonts w:ascii="Noor_Mitra" w:hAnsi="Noor_Mitra" w:cs="AL-Mohanad"/>
          <w:sz w:val="27"/>
          <w:szCs w:val="27"/>
          <w:rtl/>
          <w:lang w:bidi="fa-IR"/>
        </w:rPr>
        <w:t xml:space="preserve"> م</w:t>
      </w:r>
      <w:r w:rsidR="00464852" w:rsidRPr="00282AC9">
        <w:rPr>
          <w:rFonts w:ascii="Noor_Mitra" w:hAnsi="Noor_Mitra" w:cs="AL-Mohanad"/>
          <w:sz w:val="27"/>
          <w:szCs w:val="27"/>
          <w:rtl/>
          <w:lang w:bidi="fa-IR"/>
        </w:rPr>
        <w:t>ن مظلمات الفتن</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وحوادث البِدَع</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 وسُنَن الجَو</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ر...</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56"/>
      </w:r>
      <w:r w:rsidR="00464852" w:rsidRPr="00282AC9">
        <w:rPr>
          <w:rFonts w:cs="AL-Mohanad"/>
          <w:sz w:val="27"/>
          <w:szCs w:val="27"/>
          <w:vertAlign w:val="superscript"/>
          <w:rtl/>
        </w:rPr>
        <w:t>)</w:t>
      </w:r>
      <w:r w:rsidRPr="00282AC9">
        <w:rPr>
          <w:rFonts w:ascii="Noor_Mitra" w:hAnsi="Noor_Mitra" w:cs="AL-Mohanad" w:hint="cs"/>
          <w:sz w:val="27"/>
          <w:szCs w:val="27"/>
          <w:rtl/>
        </w:rPr>
        <w:t>.</w:t>
      </w:r>
    </w:p>
    <w:p w:rsidR="00464852" w:rsidRPr="00282AC9" w:rsidRDefault="00464852" w:rsidP="0073600A">
      <w:pPr>
        <w:pStyle w:val="afc"/>
        <w:rPr>
          <w:rFonts w:ascii="Noor_Mitra" w:hAnsi="Noor_Mitra" w:cs="AL-Mohanad"/>
          <w:sz w:val="27"/>
          <w:szCs w:val="27"/>
          <w:rtl/>
        </w:rPr>
      </w:pPr>
      <w:r w:rsidRPr="00282AC9">
        <w:rPr>
          <w:rFonts w:ascii="Noor_Mitra" w:hAnsi="Noor_Mitra" w:cs="AL-Mohanad"/>
          <w:sz w:val="27"/>
          <w:szCs w:val="27"/>
          <w:rtl/>
        </w:rPr>
        <w:t>وهناك قرينة</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على أن ألفاظ </w:t>
      </w:r>
      <w:r w:rsidRPr="00282AC9">
        <w:rPr>
          <w:rFonts w:ascii="Noor_Mitra" w:hAnsi="Noor_Mitra" w:cs="AL-Mohanad" w:hint="cs"/>
          <w:sz w:val="27"/>
          <w:szCs w:val="27"/>
          <w:rtl/>
        </w:rPr>
        <w:t xml:space="preserve">هذه </w:t>
      </w:r>
      <w:r w:rsidRPr="00282AC9">
        <w:rPr>
          <w:rFonts w:ascii="Noor_Mitra" w:hAnsi="Noor_Mitra" w:cs="AL-Mohanad"/>
          <w:sz w:val="27"/>
          <w:szCs w:val="27"/>
          <w:rtl/>
        </w:rPr>
        <w:t>الرواية من نفس الإمام</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w:t>
      </w:r>
      <w:r w:rsidRPr="00282AC9">
        <w:rPr>
          <w:rFonts w:ascii="Noor_Mitra" w:hAnsi="Noor_Mitra" w:cs="AL-Mohanad" w:hint="cs"/>
          <w:sz w:val="27"/>
          <w:szCs w:val="27"/>
          <w:rtl/>
        </w:rPr>
        <w:t>و</w:t>
      </w:r>
      <w:r w:rsidRPr="00282AC9">
        <w:rPr>
          <w:rFonts w:ascii="Noor_Mitra" w:hAnsi="Noor_Mitra" w:cs="AL-Mohanad"/>
          <w:sz w:val="27"/>
          <w:szCs w:val="27"/>
          <w:rtl/>
        </w:rPr>
        <w:t>ليست من قبيل</w:t>
      </w:r>
      <w:r w:rsidR="00041FA0" w:rsidRPr="00282AC9">
        <w:rPr>
          <w:rFonts w:ascii="Noor_Mitra" w:hAnsi="Noor_Mitra" w:cs="AL-Mohanad" w:hint="cs"/>
          <w:sz w:val="27"/>
          <w:szCs w:val="27"/>
          <w:rtl/>
        </w:rPr>
        <w:t>:</w:t>
      </w:r>
      <w:r w:rsidRPr="00282AC9">
        <w:rPr>
          <w:rFonts w:ascii="Noor_Mitra" w:hAnsi="Noor_Mitra" w:cs="AL-Mohanad"/>
          <w:sz w:val="27"/>
          <w:szCs w:val="27"/>
          <w:rtl/>
        </w:rPr>
        <w:t xml:space="preserve"> النقل بالمعنى</w:t>
      </w:r>
      <w:r w:rsidRPr="00282AC9">
        <w:rPr>
          <w:rFonts w:ascii="Noor_Mitra" w:hAnsi="Noor_Mitra" w:cs="AL-Mohanad" w:hint="cs"/>
          <w:sz w:val="27"/>
          <w:szCs w:val="27"/>
          <w:rtl/>
        </w:rPr>
        <w:t>:</w:t>
      </w:r>
      <w:r w:rsidR="00F56E0A" w:rsidRPr="00282AC9">
        <w:rPr>
          <w:rFonts w:ascii="Noor_Mitra" w:hAnsi="Noor_Mitra" w:cs="AL-Mohanad" w:hint="cs"/>
          <w:sz w:val="27"/>
          <w:szCs w:val="27"/>
          <w:rtl/>
        </w:rPr>
        <w:t xml:space="preserve"> </w:t>
      </w:r>
      <w:r w:rsidRPr="00282AC9">
        <w:rPr>
          <w:rFonts w:ascii="Noor_Mitra" w:hAnsi="Noor_Mitra" w:cs="AL-Mohanad"/>
          <w:sz w:val="27"/>
          <w:szCs w:val="27"/>
          <w:rtl/>
        </w:rPr>
        <w:t>يقول الراوي ل</w:t>
      </w:r>
      <w:r w:rsidR="00041FA0" w:rsidRPr="00282AC9">
        <w:rPr>
          <w:rFonts w:ascii="Noor_Mitra" w:hAnsi="Noor_Mitra" w:cs="AL-Mohanad"/>
          <w:sz w:val="27"/>
          <w:szCs w:val="27"/>
          <w:rtl/>
        </w:rPr>
        <w:t>هذا الحديث أب</w:t>
      </w:r>
      <w:r w:rsidR="00041FA0" w:rsidRPr="00282AC9">
        <w:rPr>
          <w:rFonts w:ascii="Noor_Mitra" w:hAnsi="Noor_Mitra" w:cs="AL-Mohanad" w:hint="cs"/>
          <w:sz w:val="27"/>
          <w:szCs w:val="27"/>
          <w:rtl/>
        </w:rPr>
        <w:t xml:space="preserve">و </w:t>
      </w:r>
      <w:r w:rsidRPr="00282AC9">
        <w:rPr>
          <w:rFonts w:ascii="Noor_Mitra" w:hAnsi="Noor_Mitra" w:cs="AL-Mohanad"/>
          <w:sz w:val="27"/>
          <w:szCs w:val="27"/>
          <w:rtl/>
        </w:rPr>
        <w:t>حمزة الثمالي</w:t>
      </w:r>
      <w:r w:rsidRPr="00282AC9">
        <w:rPr>
          <w:rFonts w:ascii="Noor_Mitra" w:hAnsi="Noor_Mitra" w:cs="AL-Mohanad" w:hint="cs"/>
          <w:sz w:val="27"/>
          <w:szCs w:val="27"/>
          <w:rtl/>
        </w:rPr>
        <w:t xml:space="preserve"> في صدر هذه الرواية</w:t>
      </w:r>
      <w:r w:rsidRPr="00282AC9">
        <w:rPr>
          <w:rFonts w:ascii="Noor_Mitra" w:hAnsi="Noor_Mitra" w:cs="AL-Mohanad"/>
          <w:sz w:val="27"/>
          <w:szCs w:val="27"/>
          <w:rtl/>
        </w:rPr>
        <w:t xml:space="preserve">: </w:t>
      </w:r>
      <w:r w:rsidRPr="00282AC9">
        <w:rPr>
          <w:rFonts w:cs="AL-Mohanad" w:hint="eastAsia"/>
          <w:rtl/>
        </w:rPr>
        <w:t>«</w:t>
      </w:r>
      <w:r w:rsidRPr="00282AC9">
        <w:rPr>
          <w:rFonts w:ascii="Noor_Mitra" w:hAnsi="Noor_Mitra" w:cs="AL-Mohanad"/>
          <w:sz w:val="27"/>
          <w:szCs w:val="27"/>
          <w:rtl/>
          <w:lang w:bidi="fa-IR"/>
        </w:rPr>
        <w:t>قرأت</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صحيفة</w:t>
      </w:r>
      <w:r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فيها كلام زهد</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من كلام علي</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بن الحسين</w:t>
      </w:r>
      <w:r w:rsidR="009A2A04" w:rsidRPr="00282AC9">
        <w:rPr>
          <w:rFonts w:ascii="Noor_Mitra" w:hAnsi="Noor_Mitra" w:cs="Mosawi" w:hint="cs"/>
          <w:sz w:val="22"/>
          <w:szCs w:val="22"/>
          <w:rtl/>
          <w:lang w:bidi="fa-IR"/>
        </w:rPr>
        <w:t>×</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وكتبت</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ما فيها</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ثم</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أتيت</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علي</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بن الحسين</w:t>
      </w:r>
      <w:r w:rsidR="009A2A04" w:rsidRPr="00282AC9">
        <w:rPr>
          <w:rFonts w:ascii="Noor_Mitra" w:hAnsi="Noor_Mitra" w:cs="Mosawi" w:hint="cs"/>
          <w:sz w:val="22"/>
          <w:szCs w:val="22"/>
          <w:rtl/>
          <w:lang w:bidi="fa-IR"/>
        </w:rPr>
        <w:t>×</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فعرض</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ت</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ما فيها عليه</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فعرفه وصح</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ح</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ه‏</w:t>
      </w:r>
      <w:r w:rsidRPr="00282AC9">
        <w:rPr>
          <w:rFonts w:cs="AL-Mohanad" w:hint="eastAsia"/>
          <w:rtl/>
        </w:rPr>
        <w:t>»</w:t>
      </w:r>
      <w:r w:rsidRPr="00282AC9">
        <w:rPr>
          <w:rFonts w:ascii="Noor_Mitra" w:hAnsi="Noor_Mitra" w:cs="AL-Mohanad"/>
          <w:sz w:val="27"/>
          <w:szCs w:val="27"/>
          <w:rtl/>
        </w:rPr>
        <w:t>. ومن جهة</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أخرى هناك كتاب</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لأبي</w:t>
      </w:r>
      <w:r w:rsidRPr="00282AC9">
        <w:rPr>
          <w:rFonts w:ascii="Noor_Mitra" w:hAnsi="Noor_Mitra" w:cs="AL-Mohanad"/>
          <w:sz w:val="27"/>
          <w:szCs w:val="27"/>
          <w:rtl/>
        </w:rPr>
        <w:softHyphen/>
      </w:r>
      <w:r w:rsidR="00F56E0A" w:rsidRPr="00282AC9">
        <w:rPr>
          <w:rFonts w:ascii="Noor_Mitra" w:hAnsi="Noor_Mitra" w:cs="AL-Mohanad" w:hint="cs"/>
          <w:sz w:val="27"/>
          <w:szCs w:val="27"/>
          <w:rtl/>
        </w:rPr>
        <w:t xml:space="preserve"> </w:t>
      </w:r>
      <w:r w:rsidRPr="00282AC9">
        <w:rPr>
          <w:rFonts w:ascii="Noor_Mitra" w:hAnsi="Noor_Mitra" w:cs="AL-Mohanad"/>
          <w:sz w:val="27"/>
          <w:szCs w:val="27"/>
          <w:rtl/>
        </w:rPr>
        <w:t>حمزة اسمه كتاب الزهد</w:t>
      </w:r>
      <w:r w:rsidRPr="00282AC9">
        <w:rPr>
          <w:rFonts w:ascii="Noor_Mitra" w:hAnsi="Noor_Mitra" w:cs="AL-Mohanad"/>
          <w:sz w:val="27"/>
          <w:szCs w:val="27"/>
          <w:vertAlign w:val="superscript"/>
          <w:rtl/>
        </w:rPr>
        <w:t>(</w:t>
      </w:r>
      <w:r w:rsidRPr="00282AC9">
        <w:rPr>
          <w:rStyle w:val="af9"/>
          <w:rFonts w:ascii="Noor_Mitra" w:hAnsi="Noor_Mitra" w:cs="AL-Mohanad"/>
          <w:sz w:val="27"/>
          <w:szCs w:val="27"/>
          <w:rtl/>
        </w:rPr>
        <w:endnoteReference w:id="557"/>
      </w:r>
      <w:r w:rsidRPr="00282AC9">
        <w:rPr>
          <w:rFonts w:ascii="Noor_Mitra" w:hAnsi="Noor_Mitra" w:cs="AL-Mohanad"/>
          <w:sz w:val="27"/>
          <w:szCs w:val="27"/>
          <w:vertAlign w:val="superscript"/>
          <w:rtl/>
        </w:rPr>
        <w:t>)</w:t>
      </w:r>
      <w:r w:rsidRPr="00282AC9">
        <w:rPr>
          <w:rFonts w:ascii="Noor_Mitra" w:hAnsi="Noor_Mitra" w:cs="AL-Mohanad" w:hint="cs"/>
          <w:sz w:val="27"/>
          <w:szCs w:val="27"/>
          <w:rtl/>
        </w:rPr>
        <w:t>،</w:t>
      </w:r>
      <w:r w:rsidRPr="00282AC9">
        <w:rPr>
          <w:rFonts w:ascii="Noor_Mitra" w:hAnsi="Noor_Mitra" w:cs="AL-Mohanad"/>
          <w:sz w:val="27"/>
          <w:szCs w:val="27"/>
          <w:rtl/>
        </w:rPr>
        <w:t xml:space="preserve"> فيحتمل جد</w:t>
      </w:r>
      <w:r w:rsidR="00F56E0A" w:rsidRPr="00282AC9">
        <w:rPr>
          <w:rFonts w:ascii="Noor_Mitra" w:hAnsi="Noor_Mitra" w:cs="AL-Mohanad" w:hint="cs"/>
          <w:sz w:val="27"/>
          <w:szCs w:val="27"/>
          <w:rtl/>
        </w:rPr>
        <w:t>ّ</w:t>
      </w:r>
      <w:r w:rsidRPr="00282AC9">
        <w:rPr>
          <w:rFonts w:ascii="Noor_Mitra" w:hAnsi="Noor_Mitra" w:cs="AL-Mohanad"/>
          <w:sz w:val="27"/>
          <w:szCs w:val="27"/>
          <w:rtl/>
        </w:rPr>
        <w:t>ا</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أن هذه الرواية أيضا</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كانت موجودة</w:t>
      </w:r>
      <w:r w:rsidRPr="00282AC9">
        <w:rPr>
          <w:rFonts w:ascii="Noor_Mitra" w:hAnsi="Noor_Mitra" w:cs="AL-Mohanad" w:hint="cs"/>
          <w:sz w:val="27"/>
          <w:szCs w:val="27"/>
          <w:rtl/>
        </w:rPr>
        <w:t>ً</w:t>
      </w:r>
      <w:r w:rsidRPr="00282AC9">
        <w:rPr>
          <w:rFonts w:ascii="Noor_Mitra" w:hAnsi="Noor_Mitra" w:cs="AL-Mohanad"/>
          <w:sz w:val="27"/>
          <w:szCs w:val="27"/>
          <w:rtl/>
        </w:rPr>
        <w:t xml:space="preserve"> في كتابه الزهد</w:t>
      </w:r>
      <w:r w:rsidRPr="00282AC9">
        <w:rPr>
          <w:rFonts w:ascii="Noor_Mitra" w:hAnsi="Noor_Mitra" w:cs="AL-Mohanad" w:hint="cs"/>
          <w:sz w:val="27"/>
          <w:szCs w:val="27"/>
          <w:rtl/>
        </w:rPr>
        <w:t>،</w:t>
      </w:r>
      <w:r w:rsidRPr="00282AC9">
        <w:rPr>
          <w:rFonts w:ascii="Noor_Mitra" w:hAnsi="Noor_Mitra" w:cs="AL-Mohanad"/>
          <w:sz w:val="27"/>
          <w:szCs w:val="27"/>
          <w:rtl/>
        </w:rPr>
        <w:t xml:space="preserve"> فتؤي</w:t>
      </w:r>
      <w:r w:rsidRPr="00282AC9">
        <w:rPr>
          <w:rFonts w:ascii="Noor_Mitra" w:hAnsi="Noor_Mitra" w:cs="AL-Mohanad" w:hint="cs"/>
          <w:sz w:val="27"/>
          <w:szCs w:val="27"/>
          <w:rtl/>
        </w:rPr>
        <w:t>ِّ</w:t>
      </w:r>
      <w:r w:rsidRPr="00282AC9">
        <w:rPr>
          <w:rFonts w:ascii="Noor_Mitra" w:hAnsi="Noor_Mitra" w:cs="AL-Mohanad"/>
          <w:sz w:val="27"/>
          <w:szCs w:val="27"/>
          <w:rtl/>
        </w:rPr>
        <w:t>د</w:t>
      </w:r>
      <w:r w:rsidRPr="00282AC9">
        <w:rPr>
          <w:rFonts w:ascii="Noor_Mitra" w:hAnsi="Noor_Mitra" w:cs="AL-Mohanad" w:hint="cs"/>
          <w:sz w:val="27"/>
          <w:szCs w:val="27"/>
          <w:rtl/>
        </w:rPr>
        <w:t>ُ</w:t>
      </w:r>
      <w:r w:rsidRPr="00282AC9">
        <w:rPr>
          <w:rFonts w:ascii="Noor_Mitra" w:hAnsi="Noor_Mitra" w:cs="AL-Mohanad"/>
          <w:sz w:val="27"/>
          <w:szCs w:val="27"/>
          <w:rtl/>
        </w:rPr>
        <w:t xml:space="preserve"> هذه </w:t>
      </w:r>
      <w:r w:rsidRPr="00282AC9">
        <w:rPr>
          <w:rFonts w:ascii="Noor_Mitra" w:hAnsi="Noor_Mitra" w:cs="AL-Mohanad" w:hint="cs"/>
          <w:sz w:val="27"/>
          <w:szCs w:val="27"/>
          <w:rtl/>
        </w:rPr>
        <w:t>ال</w:t>
      </w:r>
      <w:r w:rsidRPr="00282AC9">
        <w:rPr>
          <w:rFonts w:ascii="Noor_Mitra" w:hAnsi="Noor_Mitra" w:cs="AL-Mohanad"/>
          <w:sz w:val="27"/>
          <w:szCs w:val="27"/>
          <w:rtl/>
        </w:rPr>
        <w:t xml:space="preserve">قرينة أن </w:t>
      </w:r>
      <w:r w:rsidRPr="00282AC9">
        <w:rPr>
          <w:rFonts w:ascii="Noor_Mitra" w:hAnsi="Noor_Mitra" w:cs="AL-Mohanad" w:hint="cs"/>
          <w:sz w:val="27"/>
          <w:szCs w:val="27"/>
          <w:rtl/>
        </w:rPr>
        <w:t xml:space="preserve">هذه </w:t>
      </w:r>
      <w:r w:rsidRPr="00282AC9">
        <w:rPr>
          <w:rFonts w:ascii="Noor_Mitra" w:hAnsi="Noor_Mitra" w:cs="AL-Mohanad"/>
          <w:sz w:val="27"/>
          <w:szCs w:val="27"/>
          <w:rtl/>
        </w:rPr>
        <w:t xml:space="preserve">الرواية </w:t>
      </w:r>
      <w:r w:rsidRPr="00282AC9">
        <w:rPr>
          <w:rFonts w:ascii="Noor_Mitra" w:hAnsi="Noor_Mitra" w:cs="AL-Mohanad" w:hint="cs"/>
          <w:sz w:val="27"/>
          <w:szCs w:val="27"/>
          <w:rtl/>
        </w:rPr>
        <w:t xml:space="preserve">عين </w:t>
      </w:r>
      <w:r w:rsidRPr="00282AC9">
        <w:rPr>
          <w:rFonts w:ascii="Noor_Mitra" w:hAnsi="Noor_Mitra" w:cs="AL-Mohanad"/>
          <w:sz w:val="27"/>
          <w:szCs w:val="27"/>
          <w:rtl/>
        </w:rPr>
        <w:t>ألفاظ الإمام</w:t>
      </w:r>
      <w:r w:rsidR="009A2A04" w:rsidRPr="00282AC9">
        <w:rPr>
          <w:rFonts w:ascii="Noor_Mitra" w:hAnsi="Noor_Mitra" w:cs="Mosawi"/>
          <w:sz w:val="22"/>
          <w:szCs w:val="22"/>
          <w:rtl/>
        </w:rPr>
        <w:t>×</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w:t>
      </w:r>
      <w:r w:rsidRPr="00282AC9">
        <w:rPr>
          <w:rFonts w:ascii="Noor_Mitra" w:hAnsi="Noor_Mitra" w:cs="AL-Mohanad" w:hint="cs"/>
          <w:sz w:val="27"/>
          <w:szCs w:val="27"/>
          <w:rtl/>
        </w:rPr>
        <w:t>أو قريبة</w:t>
      </w:r>
      <w:r w:rsidR="00F56E0A" w:rsidRPr="00282AC9">
        <w:rPr>
          <w:rFonts w:ascii="Noor_Mitra" w:hAnsi="Noor_Mitra" w:cs="AL-Mohanad" w:hint="cs"/>
          <w:sz w:val="27"/>
          <w:szCs w:val="27"/>
          <w:rtl/>
        </w:rPr>
        <w:t>ٌ منها ج</w:t>
      </w:r>
      <w:r w:rsidRPr="00282AC9">
        <w:rPr>
          <w:rFonts w:ascii="Noor_Mitra" w:hAnsi="Noor_Mitra" w:cs="AL-Mohanad" w:hint="cs"/>
          <w:sz w:val="27"/>
          <w:szCs w:val="27"/>
          <w:rtl/>
        </w:rPr>
        <w:t>دّاً، وليست من قبيل</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النقل بالمعنى</w:t>
      </w:r>
      <w:r w:rsidRPr="00282AC9">
        <w:rPr>
          <w:rFonts w:ascii="Noor_Mitra" w:hAnsi="Noor_Mitra" w:cs="AL-Mohanad"/>
          <w:sz w:val="27"/>
          <w:szCs w:val="27"/>
          <w:vertAlign w:val="superscript"/>
          <w:rtl/>
        </w:rPr>
        <w:t>(</w:t>
      </w:r>
      <w:r w:rsidRPr="00282AC9">
        <w:rPr>
          <w:rStyle w:val="af9"/>
          <w:rFonts w:ascii="Noor_Mitra" w:hAnsi="Noor_Mitra" w:cs="AL-Mohanad"/>
          <w:sz w:val="27"/>
          <w:szCs w:val="27"/>
          <w:rtl/>
        </w:rPr>
        <w:endnoteReference w:id="558"/>
      </w:r>
      <w:r w:rsidRPr="00282AC9">
        <w:rPr>
          <w:rFonts w:ascii="Noor_Mitra" w:hAnsi="Noor_Mitra" w:cs="AL-Mohanad"/>
          <w:sz w:val="27"/>
          <w:szCs w:val="27"/>
          <w:vertAlign w:val="superscript"/>
          <w:rtl/>
        </w:rPr>
        <w:t>)</w:t>
      </w:r>
      <w:r w:rsidRPr="00282AC9">
        <w:rPr>
          <w:rFonts w:ascii="Noor_Mitra" w:hAnsi="Noor_Mitra" w:cs="AL-Mohanad"/>
          <w:sz w:val="27"/>
          <w:szCs w:val="27"/>
          <w:rtl/>
        </w:rPr>
        <w:t>.</w:t>
      </w:r>
    </w:p>
    <w:p w:rsidR="00F56E0A" w:rsidRPr="00282AC9" w:rsidRDefault="00F56E0A" w:rsidP="0073600A">
      <w:pPr>
        <w:spacing w:line="410" w:lineRule="exact"/>
        <w:rPr>
          <w:sz w:val="27"/>
          <w:rtl/>
          <w:lang w:bidi="fa-IR"/>
        </w:rPr>
      </w:pPr>
      <w:r w:rsidRPr="00282AC9">
        <w:rPr>
          <w:rFonts w:ascii="Noor_Mitra" w:hAnsi="Noor_Mitra" w:hint="cs"/>
          <w:sz w:val="27"/>
          <w:rtl/>
        </w:rPr>
        <w:t xml:space="preserve">2ـ </w:t>
      </w:r>
      <w:r w:rsidR="00464852" w:rsidRPr="00282AC9">
        <w:rPr>
          <w:sz w:val="27"/>
          <w:rtl/>
        </w:rPr>
        <w:t>وعن</w:t>
      </w:r>
      <w:r w:rsidR="00464852" w:rsidRPr="00282AC9">
        <w:rPr>
          <w:rFonts w:hint="cs"/>
          <w:sz w:val="27"/>
          <w:rtl/>
        </w:rPr>
        <w:t xml:space="preserve"> السج</w:t>
      </w:r>
      <w:r w:rsidRPr="00282AC9">
        <w:rPr>
          <w:rFonts w:hint="cs"/>
          <w:sz w:val="27"/>
          <w:rtl/>
        </w:rPr>
        <w:t>ّ</w:t>
      </w:r>
      <w:r w:rsidR="00464852" w:rsidRPr="00282AC9">
        <w:rPr>
          <w:rFonts w:hint="cs"/>
          <w:sz w:val="27"/>
          <w:rtl/>
        </w:rPr>
        <w:t>اد</w:t>
      </w:r>
      <w:r w:rsidR="009A2A04" w:rsidRPr="00282AC9">
        <w:rPr>
          <w:rFonts w:cs="Mosawi"/>
          <w:sz w:val="22"/>
          <w:szCs w:val="22"/>
          <w:rtl/>
        </w:rPr>
        <w:t>×</w:t>
      </w:r>
      <w:r w:rsidR="00464852" w:rsidRPr="00282AC9">
        <w:rPr>
          <w:rFonts w:hint="cs"/>
          <w:sz w:val="27"/>
          <w:rtl/>
        </w:rPr>
        <w:t xml:space="preserve"> أيضا</w:t>
      </w:r>
      <w:r w:rsidRPr="00282AC9">
        <w:rPr>
          <w:rFonts w:hint="cs"/>
          <w:sz w:val="27"/>
          <w:rtl/>
        </w:rPr>
        <w:t>ً</w:t>
      </w:r>
      <w:r w:rsidR="00464852" w:rsidRPr="00282AC9">
        <w:rPr>
          <w:sz w:val="27"/>
          <w:rtl/>
        </w:rPr>
        <w:t xml:space="preserve">: </w:t>
      </w:r>
      <w:r w:rsidR="00464852" w:rsidRPr="00282AC9">
        <w:rPr>
          <w:rFonts w:hint="eastAsia"/>
          <w:sz w:val="24"/>
          <w:szCs w:val="24"/>
          <w:rtl/>
          <w:lang w:bidi="fa-IR"/>
        </w:rPr>
        <w:t>«</w:t>
      </w:r>
      <w:r w:rsidR="00464852" w:rsidRPr="00282AC9">
        <w:rPr>
          <w:sz w:val="27"/>
          <w:rtl/>
          <w:lang w:bidi="fa-IR"/>
        </w:rPr>
        <w:t>بل ملك</w:t>
      </w:r>
      <w:r w:rsidRPr="00282AC9">
        <w:rPr>
          <w:rFonts w:hint="cs"/>
          <w:sz w:val="27"/>
          <w:rtl/>
          <w:lang w:bidi="fa-IR"/>
        </w:rPr>
        <w:t>ْ</w:t>
      </w:r>
      <w:r w:rsidR="00464852" w:rsidRPr="00282AC9">
        <w:rPr>
          <w:sz w:val="27"/>
          <w:rtl/>
          <w:lang w:bidi="fa-IR"/>
        </w:rPr>
        <w:t>ت</w:t>
      </w:r>
      <w:r w:rsidR="00464852" w:rsidRPr="00282AC9">
        <w:rPr>
          <w:rFonts w:hint="cs"/>
          <w:sz w:val="27"/>
          <w:rtl/>
          <w:lang w:bidi="fa-IR"/>
        </w:rPr>
        <w:t>َ</w:t>
      </w:r>
      <w:r w:rsidR="00464852" w:rsidRPr="00282AC9">
        <w:rPr>
          <w:sz w:val="27"/>
          <w:rtl/>
          <w:lang w:bidi="fa-IR"/>
        </w:rPr>
        <w:t xml:space="preserve"> ـ يا إلهي ـ أمر</w:t>
      </w:r>
      <w:r w:rsidR="00464852" w:rsidRPr="00282AC9">
        <w:rPr>
          <w:rFonts w:hint="cs"/>
          <w:sz w:val="27"/>
          <w:rtl/>
          <w:lang w:bidi="fa-IR"/>
        </w:rPr>
        <w:t>َ</w:t>
      </w:r>
      <w:r w:rsidR="00464852" w:rsidRPr="00282AC9">
        <w:rPr>
          <w:sz w:val="27"/>
          <w:rtl/>
          <w:lang w:bidi="fa-IR"/>
        </w:rPr>
        <w:t>هم قبل أن يملكوا عبادتك، وأعد</w:t>
      </w:r>
      <w:r w:rsidRPr="00282AC9">
        <w:rPr>
          <w:rFonts w:hint="cs"/>
          <w:sz w:val="27"/>
          <w:rtl/>
          <w:lang w:bidi="fa-IR"/>
        </w:rPr>
        <w:t>َ</w:t>
      </w:r>
      <w:r w:rsidR="00464852" w:rsidRPr="00282AC9">
        <w:rPr>
          <w:sz w:val="27"/>
          <w:rtl/>
          <w:lang w:bidi="fa-IR"/>
        </w:rPr>
        <w:t>د</w:t>
      </w:r>
      <w:r w:rsidRPr="00282AC9">
        <w:rPr>
          <w:rFonts w:hint="cs"/>
          <w:sz w:val="27"/>
          <w:rtl/>
          <w:lang w:bidi="fa-IR"/>
        </w:rPr>
        <w:t>ْ</w:t>
      </w:r>
      <w:r w:rsidR="00464852" w:rsidRPr="00282AC9">
        <w:rPr>
          <w:sz w:val="27"/>
          <w:rtl/>
          <w:lang w:bidi="fa-IR"/>
        </w:rPr>
        <w:t>ت</w:t>
      </w:r>
      <w:r w:rsidRPr="00282AC9">
        <w:rPr>
          <w:rFonts w:hint="cs"/>
          <w:sz w:val="27"/>
          <w:rtl/>
          <w:lang w:bidi="fa-IR"/>
        </w:rPr>
        <w:t>َ</w:t>
      </w:r>
      <w:r w:rsidR="00464852" w:rsidRPr="00282AC9">
        <w:rPr>
          <w:sz w:val="27"/>
          <w:rtl/>
          <w:lang w:bidi="fa-IR"/>
        </w:rPr>
        <w:t xml:space="preserve"> ثوابهم قبل أن يفيضوا في طاعتك</w:t>
      </w:r>
      <w:r w:rsidRPr="00282AC9">
        <w:rPr>
          <w:rFonts w:hint="cs"/>
          <w:sz w:val="27"/>
          <w:rtl/>
          <w:lang w:bidi="fa-IR"/>
        </w:rPr>
        <w:t>؛</w:t>
      </w:r>
      <w:r w:rsidR="00464852" w:rsidRPr="00282AC9">
        <w:rPr>
          <w:sz w:val="27"/>
          <w:rtl/>
          <w:lang w:bidi="fa-IR"/>
        </w:rPr>
        <w:t xml:space="preserve"> وذلك أن سُنّ</w:t>
      </w:r>
      <w:r w:rsidRPr="00282AC9">
        <w:rPr>
          <w:rFonts w:hint="cs"/>
          <w:sz w:val="27"/>
          <w:rtl/>
          <w:lang w:bidi="fa-IR"/>
        </w:rPr>
        <w:t>َ</w:t>
      </w:r>
      <w:r w:rsidR="00464852" w:rsidRPr="00282AC9">
        <w:rPr>
          <w:sz w:val="27"/>
          <w:rtl/>
          <w:lang w:bidi="fa-IR"/>
        </w:rPr>
        <w:t>تك‏ الإفضال، وعادتك الإحسان، وسبيلك العفو</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59"/>
      </w:r>
      <w:r w:rsidR="00464852" w:rsidRPr="00282AC9">
        <w:rPr>
          <w:sz w:val="27"/>
          <w:vertAlign w:val="superscript"/>
          <w:rtl/>
          <w:lang w:bidi="fa-IR"/>
        </w:rPr>
        <w:t>)</w:t>
      </w:r>
      <w:r w:rsidRPr="00282AC9">
        <w:rPr>
          <w:sz w:val="27"/>
          <w:rtl/>
          <w:lang w:bidi="fa-IR"/>
        </w:rPr>
        <w:t>.</w:t>
      </w:r>
    </w:p>
    <w:p w:rsidR="00F56E0A" w:rsidRPr="00282AC9" w:rsidRDefault="00464852" w:rsidP="0073600A">
      <w:pPr>
        <w:spacing w:line="410" w:lineRule="exact"/>
        <w:rPr>
          <w:sz w:val="27"/>
          <w:rtl/>
          <w:lang w:bidi="fa-IR"/>
        </w:rPr>
      </w:pPr>
      <w:r w:rsidRPr="00282AC9">
        <w:rPr>
          <w:sz w:val="27"/>
          <w:rtl/>
          <w:lang w:bidi="fa-IR"/>
        </w:rPr>
        <w:t xml:space="preserve">ورغم أن </w:t>
      </w:r>
      <w:r w:rsidRPr="00282AC9">
        <w:rPr>
          <w:rFonts w:hint="eastAsia"/>
          <w:sz w:val="24"/>
          <w:szCs w:val="24"/>
          <w:rtl/>
          <w:lang w:bidi="fa-IR"/>
        </w:rPr>
        <w:t>«</w:t>
      </w:r>
      <w:r w:rsidR="00F56E0A" w:rsidRPr="00282AC9">
        <w:rPr>
          <w:sz w:val="27"/>
          <w:rtl/>
          <w:lang w:bidi="fa-IR"/>
        </w:rPr>
        <w:t>الس</w:t>
      </w:r>
      <w:r w:rsidR="00F56E0A" w:rsidRPr="00282AC9">
        <w:rPr>
          <w:rFonts w:hint="cs"/>
          <w:sz w:val="27"/>
          <w:rtl/>
          <w:lang w:bidi="fa-IR"/>
        </w:rPr>
        <w:t>ُّ</w:t>
      </w:r>
      <w:r w:rsidRPr="00282AC9">
        <w:rPr>
          <w:sz w:val="27"/>
          <w:rtl/>
          <w:lang w:bidi="fa-IR"/>
        </w:rPr>
        <w:t>نّ</w:t>
      </w:r>
      <w:r w:rsidR="00F56E0A" w:rsidRPr="00282AC9">
        <w:rPr>
          <w:rFonts w:hint="cs"/>
          <w:sz w:val="27"/>
          <w:rtl/>
          <w:lang w:bidi="fa-IR"/>
        </w:rPr>
        <w:t>َ</w:t>
      </w:r>
      <w:r w:rsidRPr="00282AC9">
        <w:rPr>
          <w:sz w:val="27"/>
          <w:rtl/>
          <w:lang w:bidi="fa-IR"/>
        </w:rPr>
        <w:t>ة</w:t>
      </w:r>
      <w:r w:rsidRPr="00282AC9">
        <w:rPr>
          <w:rFonts w:hint="eastAsia"/>
          <w:sz w:val="24"/>
          <w:szCs w:val="24"/>
          <w:rtl/>
        </w:rPr>
        <w:t>»</w:t>
      </w:r>
      <w:r w:rsidRPr="00282AC9">
        <w:rPr>
          <w:sz w:val="27"/>
          <w:rtl/>
          <w:lang w:bidi="fa-IR"/>
        </w:rPr>
        <w:t xml:space="preserve"> هنا ليست من المصاديق السي</w:t>
      </w:r>
      <w:r w:rsidR="00F56E0A" w:rsidRPr="00282AC9">
        <w:rPr>
          <w:rFonts w:hint="cs"/>
          <w:sz w:val="27"/>
          <w:rtl/>
          <w:lang w:bidi="fa-IR"/>
        </w:rPr>
        <w:t>ِّ</w:t>
      </w:r>
      <w:r w:rsidRPr="00282AC9">
        <w:rPr>
          <w:sz w:val="27"/>
          <w:rtl/>
          <w:lang w:bidi="fa-IR"/>
        </w:rPr>
        <w:t>ئة للطريقة</w:t>
      </w:r>
      <w:r w:rsidRPr="00282AC9">
        <w:rPr>
          <w:rFonts w:hint="cs"/>
          <w:sz w:val="27"/>
          <w:rtl/>
          <w:lang w:bidi="fa-IR"/>
        </w:rPr>
        <w:t>،</w:t>
      </w:r>
      <w:r w:rsidRPr="00282AC9">
        <w:rPr>
          <w:sz w:val="27"/>
          <w:rtl/>
          <w:lang w:bidi="fa-IR"/>
        </w:rPr>
        <w:t xml:space="preserve"> لكن</w:t>
      </w:r>
      <w:r w:rsidR="00F56E0A" w:rsidRPr="00282AC9">
        <w:rPr>
          <w:rFonts w:hint="cs"/>
          <w:sz w:val="27"/>
          <w:rtl/>
          <w:lang w:bidi="fa-IR"/>
        </w:rPr>
        <w:t>ّ</w:t>
      </w:r>
      <w:r w:rsidRPr="00282AC9">
        <w:rPr>
          <w:sz w:val="27"/>
          <w:rtl/>
          <w:lang w:bidi="fa-IR"/>
        </w:rPr>
        <w:t>ها ورد</w:t>
      </w:r>
      <w:r w:rsidR="00F56E0A" w:rsidRPr="00282AC9">
        <w:rPr>
          <w:rFonts w:hint="cs"/>
          <w:sz w:val="27"/>
          <w:rtl/>
          <w:lang w:bidi="fa-IR"/>
        </w:rPr>
        <w:t>َ</w:t>
      </w:r>
      <w:r w:rsidRPr="00282AC9">
        <w:rPr>
          <w:sz w:val="27"/>
          <w:rtl/>
          <w:lang w:bidi="fa-IR"/>
        </w:rPr>
        <w:t>ت</w:t>
      </w:r>
      <w:r w:rsidR="00F56E0A" w:rsidRPr="00282AC9">
        <w:rPr>
          <w:rFonts w:hint="cs"/>
          <w:sz w:val="27"/>
          <w:rtl/>
          <w:lang w:bidi="fa-IR"/>
        </w:rPr>
        <w:t>ْ</w:t>
      </w:r>
      <w:r w:rsidRPr="00282AC9">
        <w:rPr>
          <w:sz w:val="27"/>
          <w:rtl/>
          <w:lang w:bidi="fa-IR"/>
        </w:rPr>
        <w:t xml:space="preserve"> بجانب </w:t>
      </w:r>
      <w:r w:rsidRPr="00282AC9">
        <w:rPr>
          <w:rFonts w:hint="eastAsia"/>
          <w:sz w:val="24"/>
          <w:szCs w:val="24"/>
          <w:rtl/>
          <w:lang w:bidi="fa-IR"/>
        </w:rPr>
        <w:t>«</w:t>
      </w:r>
      <w:r w:rsidRPr="00282AC9">
        <w:rPr>
          <w:sz w:val="27"/>
          <w:rtl/>
          <w:lang w:bidi="fa-IR"/>
        </w:rPr>
        <w:t>العادة</w:t>
      </w:r>
      <w:r w:rsidRPr="00282AC9">
        <w:rPr>
          <w:rFonts w:hint="eastAsia"/>
          <w:sz w:val="24"/>
          <w:szCs w:val="24"/>
          <w:rtl/>
        </w:rPr>
        <w:t>»</w:t>
      </w:r>
      <w:r w:rsidRPr="00282AC9">
        <w:rPr>
          <w:sz w:val="27"/>
          <w:rtl/>
          <w:lang w:bidi="fa-IR"/>
        </w:rPr>
        <w:t xml:space="preserve"> و</w:t>
      </w:r>
      <w:r w:rsidR="00F56E0A" w:rsidRPr="00282AC9">
        <w:rPr>
          <w:rFonts w:hint="eastAsia"/>
          <w:sz w:val="24"/>
          <w:szCs w:val="24"/>
          <w:rtl/>
          <w:lang w:bidi="fa-IR"/>
        </w:rPr>
        <w:t>«</w:t>
      </w:r>
      <w:r w:rsidRPr="00282AC9">
        <w:rPr>
          <w:sz w:val="27"/>
          <w:rtl/>
          <w:lang w:bidi="fa-IR"/>
        </w:rPr>
        <w:t>السبيل</w:t>
      </w:r>
      <w:r w:rsidRPr="00282AC9">
        <w:rPr>
          <w:rFonts w:hint="eastAsia"/>
          <w:sz w:val="24"/>
          <w:szCs w:val="24"/>
          <w:rtl/>
        </w:rPr>
        <w:t>»</w:t>
      </w:r>
      <w:r w:rsidRPr="00282AC9">
        <w:rPr>
          <w:sz w:val="27"/>
          <w:rtl/>
          <w:lang w:bidi="fa-IR"/>
        </w:rPr>
        <w:t xml:space="preserve"> في السياق، الأمر الذي يؤي</w:t>
      </w:r>
      <w:r w:rsidR="00F56E0A" w:rsidRPr="00282AC9">
        <w:rPr>
          <w:rFonts w:hint="cs"/>
          <w:sz w:val="27"/>
          <w:rtl/>
          <w:lang w:bidi="fa-IR"/>
        </w:rPr>
        <w:t>ِّ</w:t>
      </w:r>
      <w:r w:rsidR="00F56E0A" w:rsidRPr="00282AC9">
        <w:rPr>
          <w:sz w:val="27"/>
          <w:rtl/>
          <w:lang w:bidi="fa-IR"/>
        </w:rPr>
        <w:t>د أنها بمعنى مطلق الطريقة هنا.</w:t>
      </w:r>
    </w:p>
    <w:p w:rsidR="00464852" w:rsidRPr="00282AC9" w:rsidRDefault="00464852" w:rsidP="0073600A">
      <w:pPr>
        <w:rPr>
          <w:sz w:val="27"/>
          <w:rtl/>
          <w:lang w:bidi="fa-IR"/>
        </w:rPr>
      </w:pPr>
      <w:r w:rsidRPr="00282AC9">
        <w:rPr>
          <w:sz w:val="27"/>
          <w:rtl/>
          <w:lang w:bidi="fa-IR"/>
        </w:rPr>
        <w:t>وج</w:t>
      </w:r>
      <w:r w:rsidRPr="00282AC9">
        <w:rPr>
          <w:rFonts w:hint="cs"/>
          <w:sz w:val="27"/>
          <w:rtl/>
          <w:lang w:bidi="fa-IR"/>
        </w:rPr>
        <w:t>َ</w:t>
      </w:r>
      <w:r w:rsidRPr="00282AC9">
        <w:rPr>
          <w:sz w:val="27"/>
          <w:rtl/>
          <w:lang w:bidi="fa-IR"/>
        </w:rPr>
        <w:t>دير</w:t>
      </w:r>
      <w:r w:rsidRPr="00282AC9">
        <w:rPr>
          <w:rFonts w:hint="cs"/>
          <w:sz w:val="27"/>
          <w:rtl/>
          <w:lang w:bidi="fa-IR"/>
        </w:rPr>
        <w:t>ٌ</w:t>
      </w:r>
      <w:r w:rsidRPr="00282AC9">
        <w:rPr>
          <w:sz w:val="27"/>
          <w:rtl/>
          <w:lang w:bidi="fa-IR"/>
        </w:rPr>
        <w:t xml:space="preserve"> بالذكر أن هذا الشاهد </w:t>
      </w:r>
      <w:r w:rsidRPr="00282AC9">
        <w:rPr>
          <w:rFonts w:hint="cs"/>
          <w:sz w:val="27"/>
          <w:rtl/>
          <w:lang w:bidi="fa-IR"/>
        </w:rPr>
        <w:t xml:space="preserve">من </w:t>
      </w:r>
      <w:r w:rsidRPr="00282AC9">
        <w:rPr>
          <w:sz w:val="27"/>
          <w:rtl/>
          <w:lang w:bidi="fa-IR"/>
        </w:rPr>
        <w:t>الصحيفة السج</w:t>
      </w:r>
      <w:r w:rsidR="00F56E0A" w:rsidRPr="00282AC9">
        <w:rPr>
          <w:rFonts w:hint="cs"/>
          <w:sz w:val="27"/>
          <w:rtl/>
          <w:lang w:bidi="fa-IR"/>
        </w:rPr>
        <w:t>ّ</w:t>
      </w:r>
      <w:r w:rsidRPr="00282AC9">
        <w:rPr>
          <w:sz w:val="27"/>
          <w:rtl/>
          <w:lang w:bidi="fa-IR"/>
        </w:rPr>
        <w:t xml:space="preserve">ادية، فاحتمال النقل باللفظ فيها أكثر من </w:t>
      </w:r>
      <w:r w:rsidRPr="00282AC9">
        <w:rPr>
          <w:rFonts w:hint="cs"/>
          <w:sz w:val="27"/>
          <w:rtl/>
          <w:lang w:bidi="fa-IR"/>
        </w:rPr>
        <w:t xml:space="preserve">كثيرٍ من </w:t>
      </w:r>
      <w:r w:rsidRPr="00282AC9">
        <w:rPr>
          <w:sz w:val="27"/>
          <w:rtl/>
          <w:lang w:bidi="fa-IR"/>
        </w:rPr>
        <w:t>الشواهد</w:t>
      </w:r>
      <w:r w:rsidRPr="00282AC9">
        <w:rPr>
          <w:rFonts w:hint="cs"/>
          <w:sz w:val="27"/>
          <w:rtl/>
          <w:lang w:bidi="fa-IR"/>
        </w:rPr>
        <w:t xml:space="preserve">، </w:t>
      </w:r>
      <w:r w:rsidRPr="00282AC9">
        <w:rPr>
          <w:sz w:val="27"/>
          <w:rtl/>
          <w:lang w:bidi="fa-IR"/>
        </w:rPr>
        <w:t>حيث يبدو من روايتها أنها كانت بإملاء الإمام السج</w:t>
      </w:r>
      <w:r w:rsidR="00F56E0A" w:rsidRPr="00282AC9">
        <w:rPr>
          <w:rFonts w:hint="cs"/>
          <w:sz w:val="27"/>
          <w:rtl/>
          <w:lang w:bidi="fa-IR"/>
        </w:rPr>
        <w:t>ّ</w:t>
      </w:r>
      <w:r w:rsidRPr="00282AC9">
        <w:rPr>
          <w:sz w:val="27"/>
          <w:rtl/>
          <w:lang w:bidi="fa-IR"/>
        </w:rPr>
        <w:t>اد</w:t>
      </w:r>
      <w:r w:rsidR="009A2A04" w:rsidRPr="00282AC9">
        <w:rPr>
          <w:rFonts w:cs="Mosawi"/>
          <w:sz w:val="22"/>
          <w:szCs w:val="22"/>
          <w:rtl/>
          <w:lang w:bidi="fa-IR"/>
        </w:rPr>
        <w:t>×</w:t>
      </w:r>
      <w:r w:rsidRPr="00282AC9">
        <w:rPr>
          <w:sz w:val="27"/>
          <w:vertAlign w:val="superscript"/>
          <w:rtl/>
          <w:lang w:bidi="fa-IR"/>
        </w:rPr>
        <w:t>(</w:t>
      </w:r>
      <w:r w:rsidRPr="00282AC9">
        <w:rPr>
          <w:rStyle w:val="af9"/>
          <w:sz w:val="27"/>
          <w:rtl/>
          <w:lang w:bidi="fa-IR"/>
        </w:rPr>
        <w:endnoteReference w:id="560"/>
      </w:r>
      <w:r w:rsidRPr="00282AC9">
        <w:rPr>
          <w:sz w:val="27"/>
          <w:vertAlign w:val="superscript"/>
          <w:rtl/>
          <w:lang w:bidi="fa-IR"/>
        </w:rPr>
        <w:t>)</w:t>
      </w:r>
      <w:r w:rsidRPr="00282AC9">
        <w:rPr>
          <w:rFonts w:hint="cs"/>
          <w:sz w:val="27"/>
          <w:rtl/>
          <w:lang w:bidi="fa-IR"/>
        </w:rPr>
        <w:t>.</w:t>
      </w:r>
    </w:p>
    <w:p w:rsidR="00464852" w:rsidRPr="00282AC9" w:rsidRDefault="00F56E0A" w:rsidP="0073600A">
      <w:pPr>
        <w:rPr>
          <w:sz w:val="27"/>
          <w:rtl/>
        </w:rPr>
      </w:pPr>
      <w:r w:rsidRPr="00282AC9">
        <w:rPr>
          <w:rFonts w:ascii="Noor_Mitra" w:hAnsi="Noor_Mitra" w:hint="cs"/>
          <w:sz w:val="27"/>
          <w:rtl/>
        </w:rPr>
        <w:t xml:space="preserve">3ـ </w:t>
      </w:r>
      <w:r w:rsidR="00464852" w:rsidRPr="00282AC9">
        <w:rPr>
          <w:rFonts w:hint="cs"/>
          <w:sz w:val="27"/>
          <w:rtl/>
        </w:rPr>
        <w:t xml:space="preserve">ورد في حكايةٍ حول مخاطبة </w:t>
      </w:r>
      <w:r w:rsidR="00464852" w:rsidRPr="00282AC9">
        <w:rPr>
          <w:sz w:val="27"/>
          <w:rtl/>
        </w:rPr>
        <w:t>رجل</w:t>
      </w:r>
      <w:r w:rsidR="00464852" w:rsidRPr="00282AC9">
        <w:rPr>
          <w:rFonts w:hint="cs"/>
          <w:sz w:val="27"/>
          <w:rtl/>
        </w:rPr>
        <w:t>ٍ</w:t>
      </w:r>
      <w:r w:rsidR="00464852" w:rsidRPr="00282AC9">
        <w:rPr>
          <w:sz w:val="27"/>
          <w:rtl/>
        </w:rPr>
        <w:t xml:space="preserve"> لعبد</w:t>
      </w:r>
      <w:r w:rsidRPr="00282AC9">
        <w:rPr>
          <w:rFonts w:hint="cs"/>
          <w:sz w:val="27"/>
          <w:rtl/>
        </w:rPr>
        <w:t xml:space="preserve"> </w:t>
      </w:r>
      <w:r w:rsidR="00464852" w:rsidRPr="00282AC9">
        <w:rPr>
          <w:sz w:val="27"/>
          <w:rtl/>
        </w:rPr>
        <w:t>الله بن الزبير بن العو</w:t>
      </w:r>
      <w:r w:rsidRPr="00282AC9">
        <w:rPr>
          <w:rFonts w:hint="cs"/>
          <w:sz w:val="27"/>
          <w:rtl/>
        </w:rPr>
        <w:t>ّ</w:t>
      </w:r>
      <w:r w:rsidR="00464852" w:rsidRPr="00282AC9">
        <w:rPr>
          <w:sz w:val="27"/>
          <w:rtl/>
        </w:rPr>
        <w:t xml:space="preserve">ام: </w:t>
      </w:r>
      <w:r w:rsidR="00464852" w:rsidRPr="00282AC9">
        <w:rPr>
          <w:rFonts w:hint="eastAsia"/>
          <w:sz w:val="24"/>
          <w:szCs w:val="24"/>
          <w:rtl/>
        </w:rPr>
        <w:t>«</w:t>
      </w:r>
      <w:r w:rsidR="00464852" w:rsidRPr="00282AC9">
        <w:rPr>
          <w:sz w:val="27"/>
          <w:rtl/>
        </w:rPr>
        <w:t xml:space="preserve">فدنا منه </w:t>
      </w:r>
      <w:r w:rsidR="00464852" w:rsidRPr="00282AC9">
        <w:rPr>
          <w:sz w:val="27"/>
          <w:rtl/>
        </w:rPr>
        <w:lastRenderedPageBreak/>
        <w:t>ابن الأزرق، فقال له: يا ابن الزبير، ات</w:t>
      </w:r>
      <w:r w:rsidRPr="00282AC9">
        <w:rPr>
          <w:rFonts w:hint="cs"/>
          <w:sz w:val="27"/>
          <w:rtl/>
        </w:rPr>
        <w:t>َّ</w:t>
      </w:r>
      <w:r w:rsidR="00464852" w:rsidRPr="00282AC9">
        <w:rPr>
          <w:sz w:val="27"/>
          <w:rtl/>
        </w:rPr>
        <w:t>ق</w:t>
      </w:r>
      <w:r w:rsidRPr="00282AC9">
        <w:rPr>
          <w:rFonts w:hint="cs"/>
          <w:sz w:val="27"/>
          <w:rtl/>
        </w:rPr>
        <w:t>ِ</w:t>
      </w:r>
      <w:r w:rsidR="00464852" w:rsidRPr="00282AC9">
        <w:rPr>
          <w:sz w:val="27"/>
          <w:rtl/>
        </w:rPr>
        <w:t xml:space="preserve"> الله رب</w:t>
      </w:r>
      <w:r w:rsidRPr="00282AC9">
        <w:rPr>
          <w:rFonts w:hint="cs"/>
          <w:sz w:val="27"/>
          <w:rtl/>
        </w:rPr>
        <w:t>َّ</w:t>
      </w:r>
      <w:r w:rsidR="00464852" w:rsidRPr="00282AC9">
        <w:rPr>
          <w:sz w:val="27"/>
          <w:rtl/>
        </w:rPr>
        <w:t>ك، وأبغض الخائن المست</w:t>
      </w:r>
      <w:r w:rsidRPr="00282AC9">
        <w:rPr>
          <w:rFonts w:hint="cs"/>
          <w:sz w:val="27"/>
          <w:rtl/>
        </w:rPr>
        <w:t>َ</w:t>
      </w:r>
      <w:r w:rsidR="00464852" w:rsidRPr="00282AC9">
        <w:rPr>
          <w:sz w:val="27"/>
          <w:rtl/>
        </w:rPr>
        <w:t>أ</w:t>
      </w:r>
      <w:r w:rsidRPr="00282AC9">
        <w:rPr>
          <w:rFonts w:hint="cs"/>
          <w:sz w:val="27"/>
          <w:rtl/>
        </w:rPr>
        <w:t>ْ</w:t>
      </w:r>
      <w:r w:rsidR="00464852" w:rsidRPr="00282AC9">
        <w:rPr>
          <w:sz w:val="27"/>
          <w:rtl/>
        </w:rPr>
        <w:t>ث</w:t>
      </w:r>
      <w:r w:rsidRPr="00282AC9">
        <w:rPr>
          <w:rFonts w:hint="cs"/>
          <w:sz w:val="27"/>
          <w:rtl/>
        </w:rPr>
        <w:t>ِ</w:t>
      </w:r>
      <w:r w:rsidR="00464852" w:rsidRPr="00282AC9">
        <w:rPr>
          <w:sz w:val="27"/>
          <w:rtl/>
        </w:rPr>
        <w:t>ر، وعاد</w:t>
      </w:r>
      <w:r w:rsidRPr="00282AC9">
        <w:rPr>
          <w:rFonts w:hint="cs"/>
          <w:sz w:val="27"/>
          <w:rtl/>
        </w:rPr>
        <w:t>ِ</w:t>
      </w:r>
      <w:r w:rsidR="00464852" w:rsidRPr="00282AC9">
        <w:rPr>
          <w:sz w:val="27"/>
          <w:rtl/>
        </w:rPr>
        <w:t xml:space="preserve"> أو</w:t>
      </w:r>
      <w:r w:rsidRPr="00282AC9">
        <w:rPr>
          <w:rFonts w:hint="cs"/>
          <w:sz w:val="27"/>
          <w:rtl/>
        </w:rPr>
        <w:t>ّ</w:t>
      </w:r>
      <w:r w:rsidR="00464852" w:rsidRPr="00282AC9">
        <w:rPr>
          <w:sz w:val="27"/>
          <w:rtl/>
        </w:rPr>
        <w:t>ل م</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 xml:space="preserve"> س</w:t>
      </w:r>
      <w:r w:rsidR="00464852" w:rsidRPr="00282AC9">
        <w:rPr>
          <w:rFonts w:hint="cs"/>
          <w:sz w:val="27"/>
          <w:rtl/>
        </w:rPr>
        <w:t>َ</w:t>
      </w:r>
      <w:r w:rsidR="00464852" w:rsidRPr="00282AC9">
        <w:rPr>
          <w:sz w:val="27"/>
          <w:rtl/>
        </w:rPr>
        <w:t>نّ</w:t>
      </w:r>
      <w:r w:rsidR="00464852" w:rsidRPr="00282AC9">
        <w:rPr>
          <w:rFonts w:hint="cs"/>
          <w:sz w:val="27"/>
          <w:rtl/>
        </w:rPr>
        <w:t>َ</w:t>
      </w:r>
      <w:r w:rsidR="00464852" w:rsidRPr="00282AC9">
        <w:rPr>
          <w:sz w:val="27"/>
          <w:rtl/>
        </w:rPr>
        <w:t xml:space="preserve"> الضلالة، وأحدث الأحداث، وخالف حكم الكتاب‏...</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61"/>
      </w:r>
      <w:r w:rsidR="00464852" w:rsidRPr="00282AC9">
        <w:rPr>
          <w:sz w:val="27"/>
          <w:vertAlign w:val="superscript"/>
          <w:rtl/>
        </w:rPr>
        <w:t>)</w:t>
      </w:r>
      <w:r w:rsidRPr="00282AC9">
        <w:rPr>
          <w:rFonts w:hint="cs"/>
          <w:sz w:val="27"/>
          <w:rtl/>
        </w:rPr>
        <w:t>.</w:t>
      </w:r>
    </w:p>
    <w:p w:rsidR="00F56E0A" w:rsidRPr="00282AC9" w:rsidRDefault="00F56E0A" w:rsidP="007E6952">
      <w:pPr>
        <w:spacing w:line="390" w:lineRule="exact"/>
        <w:rPr>
          <w:sz w:val="27"/>
          <w:rtl/>
        </w:rPr>
      </w:pPr>
      <w:r w:rsidRPr="00282AC9">
        <w:rPr>
          <w:rFonts w:ascii="Noor_Mitra" w:hAnsi="Noor_Mitra" w:hint="cs"/>
          <w:sz w:val="27"/>
          <w:rtl/>
        </w:rPr>
        <w:t xml:space="preserve">4ـ </w:t>
      </w:r>
      <w:r w:rsidR="00464852" w:rsidRPr="00282AC9">
        <w:rPr>
          <w:rFonts w:hint="cs"/>
          <w:sz w:val="27"/>
          <w:rtl/>
        </w:rPr>
        <w:t xml:space="preserve">وورد في حكايةٍ حول </w:t>
      </w:r>
      <w:r w:rsidR="00464852" w:rsidRPr="00282AC9">
        <w:rPr>
          <w:sz w:val="27"/>
          <w:rtl/>
        </w:rPr>
        <w:t>أحد الو</w:t>
      </w:r>
      <w:r w:rsidR="00464852" w:rsidRPr="00282AC9">
        <w:rPr>
          <w:rFonts w:hint="cs"/>
          <w:sz w:val="27"/>
          <w:rtl/>
        </w:rPr>
        <w:t>ُ</w:t>
      </w:r>
      <w:r w:rsidR="00464852" w:rsidRPr="00282AC9">
        <w:rPr>
          <w:sz w:val="27"/>
          <w:rtl/>
        </w:rPr>
        <w:t xml:space="preserve">لاة </w:t>
      </w:r>
      <w:r w:rsidRPr="00282AC9">
        <w:rPr>
          <w:rFonts w:hint="cs"/>
          <w:sz w:val="27"/>
          <w:rtl/>
        </w:rPr>
        <w:t>المنصوبين من قِ</w:t>
      </w:r>
      <w:r w:rsidR="00464852" w:rsidRPr="00282AC9">
        <w:rPr>
          <w:rFonts w:hint="cs"/>
          <w:sz w:val="27"/>
          <w:rtl/>
        </w:rPr>
        <w:t>ب</w:t>
      </w:r>
      <w:r w:rsidRPr="00282AC9">
        <w:rPr>
          <w:rFonts w:hint="cs"/>
          <w:sz w:val="27"/>
          <w:rtl/>
        </w:rPr>
        <w:t>َ</w:t>
      </w:r>
      <w:r w:rsidR="00464852" w:rsidRPr="00282AC9">
        <w:rPr>
          <w:rFonts w:hint="cs"/>
          <w:sz w:val="27"/>
          <w:rtl/>
        </w:rPr>
        <w:t xml:space="preserve">ل </w:t>
      </w:r>
      <w:r w:rsidR="00464852" w:rsidRPr="00282AC9">
        <w:rPr>
          <w:sz w:val="27"/>
          <w:rtl/>
        </w:rPr>
        <w:t xml:space="preserve">ابن الزبير: </w:t>
      </w:r>
      <w:r w:rsidR="00464852" w:rsidRPr="00282AC9">
        <w:rPr>
          <w:rFonts w:hint="eastAsia"/>
          <w:sz w:val="24"/>
          <w:szCs w:val="24"/>
          <w:rtl/>
        </w:rPr>
        <w:t>«</w:t>
      </w:r>
      <w:r w:rsidR="00464852" w:rsidRPr="00282AC9">
        <w:rPr>
          <w:sz w:val="27"/>
          <w:rtl/>
        </w:rPr>
        <w:t>وعزل عبد الله بن الزبير عمر بن عبيد الله بن معمر عن البصرة</w:t>
      </w:r>
      <w:r w:rsidRPr="00282AC9">
        <w:rPr>
          <w:rFonts w:hint="cs"/>
          <w:sz w:val="27"/>
          <w:rtl/>
        </w:rPr>
        <w:t>،</w:t>
      </w:r>
      <w:r w:rsidR="00464852" w:rsidRPr="00282AC9">
        <w:rPr>
          <w:sz w:val="27"/>
          <w:rtl/>
        </w:rPr>
        <w:t xml:space="preserve"> وو</w:t>
      </w:r>
      <w:r w:rsidR="00EE6DBA" w:rsidRPr="00282AC9">
        <w:rPr>
          <w:sz w:val="27"/>
          <w:rtl/>
        </w:rPr>
        <w:t>لاّ</w:t>
      </w:r>
      <w:r w:rsidR="00464852" w:rsidRPr="00282AC9">
        <w:rPr>
          <w:sz w:val="27"/>
          <w:rtl/>
        </w:rPr>
        <w:t>ها القباع، فحبس عمر بن عبيد الله بن معمر</w:t>
      </w:r>
      <w:r w:rsidRPr="00282AC9">
        <w:rPr>
          <w:rFonts w:hint="cs"/>
          <w:sz w:val="27"/>
          <w:rtl/>
        </w:rPr>
        <w:t>،</w:t>
      </w:r>
      <w:r w:rsidR="00464852" w:rsidRPr="00282AC9">
        <w:rPr>
          <w:sz w:val="27"/>
          <w:rtl/>
        </w:rPr>
        <w:t xml:space="preserve"> وطالبه بمال</w:t>
      </w:r>
      <w:r w:rsidRPr="00282AC9">
        <w:rPr>
          <w:rFonts w:hint="cs"/>
          <w:sz w:val="27"/>
          <w:rtl/>
        </w:rPr>
        <w:t>ٍ</w:t>
      </w:r>
      <w:r w:rsidR="00464852" w:rsidRPr="00282AC9">
        <w:rPr>
          <w:sz w:val="27"/>
          <w:rtl/>
        </w:rPr>
        <w:t>، فجزع من الحبس</w:t>
      </w:r>
      <w:r w:rsidR="00464852" w:rsidRPr="00282AC9">
        <w:rPr>
          <w:rFonts w:hint="cs"/>
          <w:sz w:val="27"/>
          <w:rtl/>
        </w:rPr>
        <w:t>،</w:t>
      </w:r>
      <w:r w:rsidR="00464852" w:rsidRPr="00282AC9">
        <w:rPr>
          <w:sz w:val="27"/>
          <w:rtl/>
        </w:rPr>
        <w:t xml:space="preserve"> فقال له القباع: يا أبا حفص، لا تجزع</w:t>
      </w:r>
      <w:r w:rsidRPr="00282AC9">
        <w:rPr>
          <w:rFonts w:hint="cs"/>
          <w:sz w:val="27"/>
          <w:rtl/>
        </w:rPr>
        <w:t>؛</w:t>
      </w:r>
      <w:r w:rsidR="00464852" w:rsidRPr="00282AC9">
        <w:rPr>
          <w:sz w:val="27"/>
          <w:rtl/>
        </w:rPr>
        <w:t xml:space="preserve"> فإنّك أوّ</w:t>
      </w:r>
      <w:r w:rsidRPr="00282AC9">
        <w:rPr>
          <w:rFonts w:hint="cs"/>
          <w:sz w:val="27"/>
          <w:rtl/>
        </w:rPr>
        <w:t>َ</w:t>
      </w:r>
      <w:r w:rsidR="00464852" w:rsidRPr="00282AC9">
        <w:rPr>
          <w:sz w:val="27"/>
          <w:rtl/>
        </w:rPr>
        <w:t>ل م</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 xml:space="preserve"> س</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 xml:space="preserve"> هذا، حب</w:t>
      </w:r>
      <w:r w:rsidRPr="00282AC9">
        <w:rPr>
          <w:rFonts w:hint="cs"/>
          <w:sz w:val="27"/>
          <w:rtl/>
        </w:rPr>
        <w:t>َ</w:t>
      </w:r>
      <w:r w:rsidR="00464852" w:rsidRPr="00282AC9">
        <w:rPr>
          <w:sz w:val="27"/>
          <w:rtl/>
        </w:rPr>
        <w:t>س</w:t>
      </w:r>
      <w:r w:rsidRPr="00282AC9">
        <w:rPr>
          <w:rFonts w:hint="cs"/>
          <w:sz w:val="27"/>
          <w:rtl/>
        </w:rPr>
        <w:t>ْ</w:t>
      </w:r>
      <w:r w:rsidR="00464852" w:rsidRPr="00282AC9">
        <w:rPr>
          <w:sz w:val="27"/>
          <w:rtl/>
        </w:rPr>
        <w:t>ت</w:t>
      </w:r>
      <w:r w:rsidRPr="00282AC9">
        <w:rPr>
          <w:rFonts w:hint="cs"/>
          <w:sz w:val="27"/>
          <w:rtl/>
        </w:rPr>
        <w:t>َ</w:t>
      </w:r>
      <w:r w:rsidR="00464852" w:rsidRPr="00282AC9">
        <w:rPr>
          <w:sz w:val="27"/>
          <w:rtl/>
        </w:rPr>
        <w:t xml:space="preserve"> عبد الله بن الحارث</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62"/>
      </w:r>
      <w:r w:rsidR="00464852" w:rsidRPr="00282AC9">
        <w:rPr>
          <w:sz w:val="27"/>
          <w:vertAlign w:val="superscript"/>
          <w:rtl/>
        </w:rPr>
        <w:t>)</w:t>
      </w:r>
      <w:r w:rsidRPr="00282AC9">
        <w:rPr>
          <w:rFonts w:hint="cs"/>
          <w:sz w:val="27"/>
          <w:rtl/>
        </w:rPr>
        <w:t>.</w:t>
      </w:r>
    </w:p>
    <w:p w:rsidR="00464852" w:rsidRPr="00282AC9" w:rsidRDefault="00464852" w:rsidP="007E6952">
      <w:pPr>
        <w:spacing w:line="390" w:lineRule="exact"/>
        <w:rPr>
          <w:sz w:val="27"/>
        </w:rPr>
      </w:pPr>
      <w:r w:rsidRPr="00282AC9">
        <w:rPr>
          <w:sz w:val="27"/>
          <w:rtl/>
        </w:rPr>
        <w:t>والظاهر أن فيه إشارة</w:t>
      </w:r>
      <w:r w:rsidR="00F56E0A" w:rsidRPr="00282AC9">
        <w:rPr>
          <w:rFonts w:hint="cs"/>
          <w:sz w:val="27"/>
          <w:rtl/>
        </w:rPr>
        <w:t>ً</w:t>
      </w:r>
      <w:r w:rsidRPr="00282AC9">
        <w:rPr>
          <w:sz w:val="27"/>
          <w:rtl/>
        </w:rPr>
        <w:t xml:space="preserve"> إلى شعر خالد الهذلي</w:t>
      </w:r>
      <w:r w:rsidR="00F56E0A" w:rsidRPr="00282AC9">
        <w:rPr>
          <w:rFonts w:hint="cs"/>
          <w:sz w:val="27"/>
          <w:rtl/>
        </w:rPr>
        <w:t>،</w:t>
      </w:r>
      <w:r w:rsidRPr="00282AC9">
        <w:rPr>
          <w:sz w:val="27"/>
          <w:rtl/>
        </w:rPr>
        <w:t xml:space="preserve"> الذي سيأتي ذكر</w:t>
      </w:r>
      <w:r w:rsidRPr="00282AC9">
        <w:rPr>
          <w:rFonts w:hint="cs"/>
          <w:sz w:val="27"/>
          <w:rtl/>
        </w:rPr>
        <w:t>ُ</w:t>
      </w:r>
      <w:r w:rsidRPr="00282AC9">
        <w:rPr>
          <w:sz w:val="27"/>
          <w:rtl/>
        </w:rPr>
        <w:t>ه إن</w:t>
      </w:r>
      <w:r w:rsidR="00F56E0A" w:rsidRPr="00282AC9">
        <w:rPr>
          <w:rFonts w:hint="cs"/>
          <w:sz w:val="27"/>
          <w:rtl/>
        </w:rPr>
        <w:t>ْ</w:t>
      </w:r>
      <w:r w:rsidRPr="00282AC9">
        <w:rPr>
          <w:sz w:val="27"/>
          <w:rtl/>
        </w:rPr>
        <w:t xml:space="preserve"> شاء الله. </w:t>
      </w:r>
    </w:p>
    <w:p w:rsidR="00F56E0A" w:rsidRPr="00282AC9" w:rsidRDefault="00F56E0A" w:rsidP="007E6952">
      <w:pPr>
        <w:pStyle w:val="afc"/>
        <w:spacing w:line="390" w:lineRule="exact"/>
        <w:rPr>
          <w:rFonts w:ascii="Noor_Mitra" w:hAnsi="Noor_Mitra" w:cs="AL-Mohanad"/>
          <w:sz w:val="27"/>
          <w:szCs w:val="27"/>
          <w:rtl/>
          <w:lang w:bidi="fa-IR"/>
        </w:rPr>
      </w:pPr>
      <w:r w:rsidRPr="00282AC9">
        <w:rPr>
          <w:rFonts w:ascii="Noor_Mitra" w:hAnsi="Noor_Mitra" w:cs="AL-Mohanad" w:hint="cs"/>
          <w:sz w:val="27"/>
          <w:szCs w:val="27"/>
          <w:rtl/>
        </w:rPr>
        <w:t>4ـ و</w:t>
      </w:r>
      <w:r w:rsidR="00464852" w:rsidRPr="00282AC9">
        <w:rPr>
          <w:rFonts w:ascii="Noor_Mitra" w:hAnsi="Noor_Mitra" w:cs="AL-Mohanad"/>
          <w:sz w:val="27"/>
          <w:szCs w:val="27"/>
          <w:rtl/>
        </w:rPr>
        <w:t>في خطبة الحج</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اج بن يوسف الثقفي: </w:t>
      </w:r>
      <w:r w:rsidR="00464852" w:rsidRPr="00282AC9">
        <w:rPr>
          <w:rFonts w:cs="AL-Mohanad" w:hint="eastAsia"/>
          <w:rtl/>
          <w:lang w:bidi="fa-IR"/>
        </w:rPr>
        <w:t>«</w:t>
      </w:r>
      <w:r w:rsidR="00464852" w:rsidRPr="00282AC9">
        <w:rPr>
          <w:rFonts w:ascii="Noor_Mitra" w:hAnsi="Noor_Mitra" w:cs="AL-Mohanad"/>
          <w:sz w:val="27"/>
          <w:szCs w:val="27"/>
          <w:rtl/>
          <w:lang w:bidi="fa-IR"/>
        </w:rPr>
        <w:t>اضطجعت</w:t>
      </w:r>
      <w:r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م في مراقد الضلال، وس</w:t>
      </w:r>
      <w:r w:rsidR="00464852"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00464852"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w:t>
      </w:r>
      <w:r w:rsidR="00464852"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ت</w:t>
      </w:r>
      <w:r w:rsidR="00464852"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م‏ سنن الغيّ</w:t>
      </w:r>
      <w:r w:rsidR="00464852" w:rsidRPr="00282AC9">
        <w:rPr>
          <w:rFonts w:cs="AL-Mohanad" w:hint="eastAsia"/>
          <w:rtl/>
        </w:rPr>
        <w:t>»</w:t>
      </w:r>
      <w:r w:rsidR="00464852" w:rsidRPr="00282AC9">
        <w:rPr>
          <w:rFonts w:cs="AL-Mohanad"/>
          <w:sz w:val="27"/>
          <w:szCs w:val="27"/>
          <w:vertAlign w:val="superscript"/>
          <w:rtl/>
        </w:rPr>
        <w:t>(</w:t>
      </w:r>
      <w:r w:rsidR="00464852" w:rsidRPr="00282AC9">
        <w:rPr>
          <w:rStyle w:val="af9"/>
          <w:rFonts w:ascii="Noor_Mitra" w:hAnsi="Noor_Mitra" w:cs="AL-Mohanad"/>
          <w:sz w:val="27"/>
          <w:szCs w:val="27"/>
          <w:rtl/>
        </w:rPr>
        <w:endnoteReference w:id="563"/>
      </w:r>
      <w:r w:rsidR="00464852" w:rsidRPr="00282AC9">
        <w:rPr>
          <w:rFonts w:cs="AL-Mohanad"/>
          <w:sz w:val="27"/>
          <w:szCs w:val="27"/>
          <w:vertAlign w:val="superscript"/>
          <w:rtl/>
        </w:rPr>
        <w:t>)</w:t>
      </w:r>
      <w:r w:rsidRPr="00282AC9">
        <w:rPr>
          <w:rFonts w:ascii="Noor_Mitra" w:hAnsi="Noor_Mitra" w:cs="AL-Mohanad" w:hint="cs"/>
          <w:sz w:val="27"/>
          <w:szCs w:val="27"/>
          <w:rtl/>
        </w:rPr>
        <w:t>.</w:t>
      </w:r>
    </w:p>
    <w:p w:rsidR="00464852" w:rsidRPr="00282AC9" w:rsidRDefault="00464852" w:rsidP="007E6952">
      <w:pPr>
        <w:pStyle w:val="afc"/>
        <w:spacing w:line="390" w:lineRule="exact"/>
        <w:rPr>
          <w:rFonts w:ascii="Noor_Mitra" w:hAnsi="Noor_Mitra" w:cs="AL-Mohanad"/>
          <w:sz w:val="27"/>
          <w:szCs w:val="27"/>
          <w:rtl/>
          <w:lang w:bidi="fa-IR"/>
        </w:rPr>
      </w:pPr>
      <w:r w:rsidRPr="00282AC9">
        <w:rPr>
          <w:rFonts w:ascii="Noor_Mitra" w:hAnsi="Noor_Mitra" w:cs="AL-Mohanad"/>
          <w:sz w:val="27"/>
          <w:szCs w:val="27"/>
          <w:rtl/>
          <w:lang w:bidi="fa-IR"/>
        </w:rPr>
        <w:t>وهذه الخطبة مذكورة</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في </w:t>
      </w:r>
      <w:r w:rsidRPr="00282AC9">
        <w:rPr>
          <w:rFonts w:ascii="Noor_Mitra" w:hAnsi="Noor_Mitra" w:cs="AL-Mohanad" w:hint="cs"/>
          <w:sz w:val="27"/>
          <w:szCs w:val="27"/>
          <w:rtl/>
          <w:lang w:bidi="fa-IR"/>
        </w:rPr>
        <w:t>عددٍ</w:t>
      </w:r>
      <w:r w:rsidRPr="00282AC9">
        <w:rPr>
          <w:rFonts w:ascii="Noor_Mitra" w:hAnsi="Noor_Mitra" w:cs="AL-Mohanad"/>
          <w:sz w:val="27"/>
          <w:szCs w:val="27"/>
          <w:rtl/>
          <w:lang w:bidi="fa-IR"/>
        </w:rPr>
        <w:t xml:space="preserve"> من المصادر</w:t>
      </w:r>
      <w:r w:rsidR="00F56E0A" w:rsidRPr="00282AC9">
        <w:rPr>
          <w:rFonts w:ascii="Noor_Mitra" w:hAnsi="Noor_Mitra" w:cs="AL-Mohanad" w:hint="cs"/>
          <w:sz w:val="27"/>
          <w:szCs w:val="27"/>
          <w:rtl/>
          <w:lang w:bidi="fa-IR"/>
        </w:rPr>
        <w:t>،</w:t>
      </w:r>
      <w:r w:rsidRPr="00282AC9">
        <w:rPr>
          <w:rFonts w:ascii="Noor_Mitra" w:hAnsi="Noor_Mitra" w:cs="AL-Mohanad"/>
          <w:sz w:val="27"/>
          <w:szCs w:val="27"/>
          <w:rtl/>
          <w:lang w:bidi="fa-IR"/>
        </w:rPr>
        <w:t xml:space="preserve"> وتبدو أصالتها من ألفاظها و</w:t>
      </w:r>
      <w:r w:rsidR="00F56E0A" w:rsidRPr="00282AC9">
        <w:rPr>
          <w:rFonts w:ascii="Noor_Mitra" w:hAnsi="Noor_Mitra" w:cs="AL-Mohanad" w:hint="cs"/>
          <w:sz w:val="27"/>
          <w:szCs w:val="27"/>
          <w:rtl/>
          <w:lang w:bidi="fa-IR"/>
        </w:rPr>
        <w:t>صيغ</w:t>
      </w:r>
      <w:r w:rsidRPr="00282AC9">
        <w:rPr>
          <w:rFonts w:ascii="Noor_Mitra" w:hAnsi="Noor_Mitra" w:cs="AL-Mohanad" w:hint="cs"/>
          <w:sz w:val="27"/>
          <w:szCs w:val="27"/>
          <w:rtl/>
          <w:lang w:bidi="fa-IR"/>
        </w:rPr>
        <w:t>تها</w:t>
      </w:r>
      <w:r w:rsidRPr="00282AC9">
        <w:rPr>
          <w:rFonts w:ascii="Noor_Mitra" w:hAnsi="Noor_Mitra" w:cs="AL-Mohanad"/>
          <w:sz w:val="27"/>
          <w:szCs w:val="27"/>
          <w:rtl/>
          <w:lang w:bidi="fa-IR"/>
        </w:rPr>
        <w:t>.</w:t>
      </w:r>
    </w:p>
    <w:p w:rsidR="00F56E0A" w:rsidRPr="00282AC9" w:rsidRDefault="00F56E0A" w:rsidP="007E6952">
      <w:pPr>
        <w:pStyle w:val="afc"/>
        <w:spacing w:line="390" w:lineRule="exact"/>
        <w:rPr>
          <w:rFonts w:ascii="Noor_Mitra" w:hAnsi="Noor_Mitra" w:cs="AL-Mohanad"/>
          <w:sz w:val="27"/>
          <w:szCs w:val="27"/>
          <w:rtl/>
        </w:rPr>
      </w:pPr>
      <w:r w:rsidRPr="00282AC9">
        <w:rPr>
          <w:rFonts w:ascii="Noor_Mitra" w:hAnsi="Noor_Mitra" w:cs="AL-Mohanad" w:hint="cs"/>
          <w:sz w:val="27"/>
          <w:szCs w:val="27"/>
          <w:rtl/>
        </w:rPr>
        <w:t xml:space="preserve">5ـ </w:t>
      </w:r>
      <w:r w:rsidR="00464852" w:rsidRPr="00282AC9">
        <w:rPr>
          <w:rFonts w:ascii="Noor_Mitra" w:hAnsi="Noor_Mitra" w:cs="AL-Mohanad"/>
          <w:sz w:val="27"/>
          <w:szCs w:val="27"/>
          <w:rtl/>
        </w:rPr>
        <w:t>ومن رسالة</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له أيضا</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في عتاب شخص</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w:t>
      </w:r>
      <w:r w:rsidR="00464852" w:rsidRPr="00282AC9">
        <w:rPr>
          <w:rFonts w:cs="AL-Mohanad" w:hint="eastAsia"/>
          <w:rtl/>
          <w:lang w:bidi="fa-IR"/>
        </w:rPr>
        <w:t>«</w:t>
      </w:r>
      <w:r w:rsidR="00464852" w:rsidRPr="00282AC9">
        <w:rPr>
          <w:rFonts w:ascii="Noor_Mitra" w:hAnsi="Noor_Mitra" w:cs="AL-Mohanad"/>
          <w:sz w:val="27"/>
          <w:szCs w:val="27"/>
          <w:rtl/>
        </w:rPr>
        <w:t>أقبلتَ مُستَنّا</w:t>
      </w:r>
      <w:r w:rsidR="00464852" w:rsidRPr="00282AC9">
        <w:rPr>
          <w:rFonts w:ascii="Noor_Mitra" w:hAnsi="Noor_Mitra" w:cs="AL-Mohanad" w:hint="cs"/>
          <w:sz w:val="27"/>
          <w:szCs w:val="27"/>
          <w:rtl/>
        </w:rPr>
        <w:t>ً</w:t>
      </w:r>
      <w:r w:rsidR="00464852" w:rsidRPr="00282AC9">
        <w:rPr>
          <w:rFonts w:ascii="Noor_Mitra" w:hAnsi="Noor_Mitra" w:cs="AL-Mohanad"/>
          <w:sz w:val="27"/>
          <w:szCs w:val="27"/>
          <w:rtl/>
        </w:rPr>
        <w:t xml:space="preserve"> بحريم الحرّة</w:t>
      </w:r>
      <w:r w:rsidRPr="00282AC9">
        <w:rPr>
          <w:rFonts w:ascii="Noor_Mitra" w:hAnsi="Noor_Mitra" w:cs="AL-Mohanad" w:hint="cs"/>
          <w:sz w:val="27"/>
          <w:szCs w:val="27"/>
          <w:rtl/>
        </w:rPr>
        <w:t>،</w:t>
      </w:r>
      <w:r w:rsidR="00464852" w:rsidRPr="00282AC9">
        <w:rPr>
          <w:rFonts w:ascii="Noor_Mitra" w:hAnsi="Noor_Mitra" w:cs="AL-Mohanad"/>
          <w:sz w:val="27"/>
          <w:szCs w:val="27"/>
          <w:rtl/>
        </w:rPr>
        <w:t xml:space="preserve"> وتستوقد الفتنة لتصلي بحرّها</w:t>
      </w:r>
      <w:r w:rsidR="00464852" w:rsidRPr="00282AC9">
        <w:rPr>
          <w:rFonts w:cs="AL-Mohanad" w:hint="eastAsia"/>
          <w:rtl/>
        </w:rPr>
        <w:t>»</w:t>
      </w:r>
      <w:r w:rsidR="00464852" w:rsidRPr="00282AC9">
        <w:rPr>
          <w:rFonts w:ascii="Noor_Mitra" w:hAnsi="Noor_Mitra" w:cs="AL-Mohanad"/>
          <w:sz w:val="27"/>
          <w:szCs w:val="27"/>
          <w:vertAlign w:val="superscript"/>
          <w:rtl/>
        </w:rPr>
        <w:t>(</w:t>
      </w:r>
      <w:r w:rsidR="00464852" w:rsidRPr="00282AC9">
        <w:rPr>
          <w:rStyle w:val="af9"/>
          <w:rFonts w:ascii="Noor_Mitra" w:hAnsi="Noor_Mitra" w:cs="AL-Mohanad"/>
          <w:sz w:val="27"/>
          <w:szCs w:val="27"/>
          <w:rtl/>
        </w:rPr>
        <w:endnoteReference w:id="564"/>
      </w:r>
      <w:r w:rsidR="00464852" w:rsidRPr="00282AC9">
        <w:rPr>
          <w:rFonts w:ascii="Noor_Mitra" w:hAnsi="Noor_Mitra" w:cs="AL-Mohanad"/>
          <w:sz w:val="27"/>
          <w:szCs w:val="27"/>
          <w:vertAlign w:val="superscript"/>
          <w:rtl/>
        </w:rPr>
        <w:t>)</w:t>
      </w:r>
      <w:r w:rsidRPr="00282AC9">
        <w:rPr>
          <w:rFonts w:ascii="Noor_Mitra" w:hAnsi="Noor_Mitra" w:cs="AL-Mohanad"/>
          <w:sz w:val="27"/>
          <w:szCs w:val="27"/>
          <w:rtl/>
        </w:rPr>
        <w:t>.</w:t>
      </w:r>
    </w:p>
    <w:p w:rsidR="008F7712" w:rsidRPr="00282AC9" w:rsidRDefault="00464852" w:rsidP="007E6952">
      <w:pPr>
        <w:pStyle w:val="afc"/>
        <w:spacing w:line="390" w:lineRule="exact"/>
        <w:rPr>
          <w:rFonts w:ascii="Noor_Mitra" w:hAnsi="Noor_Mitra" w:cs="AL-Mohanad"/>
          <w:sz w:val="27"/>
          <w:szCs w:val="27"/>
          <w:rtl/>
        </w:rPr>
      </w:pPr>
      <w:r w:rsidRPr="00282AC9">
        <w:rPr>
          <w:rFonts w:ascii="Noor_Mitra" w:hAnsi="Noor_Mitra" w:cs="AL-Mohanad"/>
          <w:sz w:val="27"/>
          <w:szCs w:val="27"/>
          <w:rtl/>
        </w:rPr>
        <w:t>يريد أن يقول: إنك تقتدي بأهل الحرّة</w:t>
      </w:r>
      <w:r w:rsidR="00F56E0A" w:rsidRPr="00282AC9">
        <w:rPr>
          <w:rFonts w:ascii="Noor_Mitra" w:hAnsi="Noor_Mitra" w:cs="AL-Mohanad" w:hint="cs"/>
          <w:sz w:val="27"/>
          <w:szCs w:val="27"/>
          <w:rtl/>
        </w:rPr>
        <w:t>،</w:t>
      </w:r>
      <w:r w:rsidRPr="00282AC9">
        <w:rPr>
          <w:rFonts w:ascii="Noor_Mitra" w:hAnsi="Noor_Mitra" w:cs="AL-Mohanad"/>
          <w:sz w:val="27"/>
          <w:szCs w:val="27"/>
          <w:rtl/>
        </w:rPr>
        <w:t xml:space="preserve"> وتت</w:t>
      </w:r>
      <w:r w:rsidR="00F56E0A" w:rsidRPr="00282AC9">
        <w:rPr>
          <w:rFonts w:ascii="Noor_Mitra" w:hAnsi="Noor_Mitra" w:cs="AL-Mohanad" w:hint="cs"/>
          <w:sz w:val="27"/>
          <w:szCs w:val="27"/>
          <w:rtl/>
        </w:rPr>
        <w:t>ّ</w:t>
      </w:r>
      <w:r w:rsidRPr="00282AC9">
        <w:rPr>
          <w:rFonts w:ascii="Noor_Mitra" w:hAnsi="Noor_Mitra" w:cs="AL-Mohanad"/>
          <w:sz w:val="27"/>
          <w:szCs w:val="27"/>
          <w:rtl/>
        </w:rPr>
        <w:t>خذ طريقتهم في الخروج على</w:t>
      </w:r>
      <w:r w:rsidR="008F7712" w:rsidRPr="00282AC9">
        <w:rPr>
          <w:rFonts w:ascii="Noor_Mitra" w:hAnsi="Noor_Mitra" w:cs="AL-Mohanad"/>
          <w:sz w:val="27"/>
          <w:szCs w:val="27"/>
          <w:rtl/>
        </w:rPr>
        <w:t xml:space="preserve"> الخليفة، فعاقبتُك مثل عاقبتهم.</w:t>
      </w:r>
    </w:p>
    <w:p w:rsidR="00464852" w:rsidRPr="00282AC9" w:rsidRDefault="00464852" w:rsidP="007E6952">
      <w:pPr>
        <w:pStyle w:val="afc"/>
        <w:spacing w:line="390" w:lineRule="exact"/>
        <w:rPr>
          <w:rFonts w:ascii="Noor_Mitra" w:hAnsi="Noor_Mitra" w:cs="AL-Mohanad"/>
          <w:sz w:val="27"/>
          <w:szCs w:val="27"/>
          <w:rtl/>
        </w:rPr>
      </w:pPr>
      <w:r w:rsidRPr="00282AC9">
        <w:rPr>
          <w:rFonts w:ascii="Noor_Mitra" w:hAnsi="Noor_Mitra" w:cs="AL-Mohanad"/>
          <w:sz w:val="27"/>
          <w:szCs w:val="27"/>
          <w:rtl/>
        </w:rPr>
        <w:t xml:space="preserve">ولا يضرّ بالاستدلال وجود </w:t>
      </w:r>
      <w:r w:rsidRPr="00282AC9">
        <w:rPr>
          <w:rFonts w:cs="AL-Mohanad" w:hint="eastAsia"/>
          <w:rtl/>
        </w:rPr>
        <w:t>«</w:t>
      </w:r>
      <w:r w:rsidRPr="00282AC9">
        <w:rPr>
          <w:rFonts w:ascii="Noor_Mitra" w:hAnsi="Noor_Mitra" w:cs="AL-Mohanad"/>
          <w:sz w:val="27"/>
          <w:szCs w:val="27"/>
          <w:rtl/>
        </w:rPr>
        <w:t>الاستنان</w:t>
      </w:r>
      <w:r w:rsidRPr="00282AC9">
        <w:rPr>
          <w:rFonts w:cs="AL-Mohanad" w:hint="eastAsia"/>
          <w:rtl/>
        </w:rPr>
        <w:t>»</w:t>
      </w:r>
      <w:r w:rsidRPr="00282AC9">
        <w:rPr>
          <w:rFonts w:ascii="Noor_Mitra" w:hAnsi="Noor_Mitra" w:cs="AL-Mohanad"/>
          <w:sz w:val="27"/>
          <w:szCs w:val="27"/>
          <w:rtl/>
        </w:rPr>
        <w:t xml:space="preserve"> في كلامه</w:t>
      </w:r>
      <w:r w:rsidR="008F7712" w:rsidRPr="00282AC9">
        <w:rPr>
          <w:rFonts w:ascii="Noor_Mitra" w:hAnsi="Noor_Mitra" w:cs="AL-Mohanad" w:hint="cs"/>
          <w:sz w:val="27"/>
          <w:szCs w:val="27"/>
          <w:rtl/>
        </w:rPr>
        <w:t>؛</w:t>
      </w:r>
      <w:r w:rsidRPr="00282AC9">
        <w:rPr>
          <w:rFonts w:ascii="Noor_Mitra" w:hAnsi="Noor_Mitra" w:cs="AL-Mohanad"/>
          <w:sz w:val="27"/>
          <w:szCs w:val="27"/>
          <w:rtl/>
        </w:rPr>
        <w:t xml:space="preserve"> لأنه من مشتق</w:t>
      </w:r>
      <w:r w:rsidR="008F7712" w:rsidRPr="00282AC9">
        <w:rPr>
          <w:rFonts w:ascii="Noor_Mitra" w:hAnsi="Noor_Mitra" w:cs="AL-Mohanad" w:hint="cs"/>
          <w:sz w:val="27"/>
          <w:szCs w:val="27"/>
          <w:rtl/>
        </w:rPr>
        <w:t>ّ</w:t>
      </w:r>
      <w:r w:rsidRPr="00282AC9">
        <w:rPr>
          <w:rFonts w:ascii="Noor_Mitra" w:hAnsi="Noor_Mitra" w:cs="AL-Mohanad"/>
          <w:sz w:val="27"/>
          <w:szCs w:val="27"/>
          <w:rtl/>
        </w:rPr>
        <w:t xml:space="preserve">ات </w:t>
      </w:r>
      <w:r w:rsidRPr="00282AC9">
        <w:rPr>
          <w:rFonts w:cs="AL-Mohanad" w:hint="eastAsia"/>
          <w:rtl/>
        </w:rPr>
        <w:t>«</w:t>
      </w:r>
      <w:r w:rsidR="008F7712" w:rsidRPr="00282AC9">
        <w:rPr>
          <w:rFonts w:ascii="Noor_Mitra" w:hAnsi="Noor_Mitra" w:cs="AL-Mohanad"/>
          <w:sz w:val="27"/>
          <w:szCs w:val="27"/>
          <w:rtl/>
        </w:rPr>
        <w:t>الس</w:t>
      </w:r>
      <w:r w:rsidR="008F7712" w:rsidRPr="00282AC9">
        <w:rPr>
          <w:rFonts w:ascii="Noor_Mitra" w:hAnsi="Noor_Mitra" w:cs="AL-Mohanad" w:hint="cs"/>
          <w:sz w:val="27"/>
          <w:szCs w:val="27"/>
          <w:rtl/>
        </w:rPr>
        <w:t>ُّ</w:t>
      </w:r>
      <w:r w:rsidRPr="00282AC9">
        <w:rPr>
          <w:rFonts w:ascii="Noor_Mitra" w:hAnsi="Noor_Mitra" w:cs="AL-Mohanad"/>
          <w:sz w:val="27"/>
          <w:szCs w:val="27"/>
          <w:rtl/>
        </w:rPr>
        <w:t>نّ</w:t>
      </w:r>
      <w:r w:rsidR="008F7712" w:rsidRPr="00282AC9">
        <w:rPr>
          <w:rFonts w:ascii="Noor_Mitra" w:hAnsi="Noor_Mitra" w:cs="AL-Mohanad" w:hint="cs"/>
          <w:sz w:val="27"/>
          <w:szCs w:val="27"/>
          <w:rtl/>
        </w:rPr>
        <w:t>َ</w:t>
      </w:r>
      <w:r w:rsidRPr="00282AC9">
        <w:rPr>
          <w:rFonts w:ascii="Noor_Mitra" w:hAnsi="Noor_Mitra" w:cs="AL-Mohanad"/>
          <w:sz w:val="27"/>
          <w:szCs w:val="27"/>
          <w:rtl/>
        </w:rPr>
        <w:t>ة</w:t>
      </w:r>
      <w:r w:rsidRPr="00282AC9">
        <w:rPr>
          <w:rFonts w:cs="AL-Mohanad" w:hint="eastAsia"/>
          <w:rtl/>
        </w:rPr>
        <w:t>»</w:t>
      </w:r>
      <w:r w:rsidRPr="00282AC9">
        <w:rPr>
          <w:rFonts w:ascii="Noor_Mitra" w:hAnsi="Noor_Mitra" w:cs="AL-Mohanad"/>
          <w:sz w:val="27"/>
          <w:szCs w:val="27"/>
          <w:rtl/>
        </w:rPr>
        <w:t xml:space="preserve"> وقريب</w:t>
      </w:r>
      <w:r w:rsidRPr="00282AC9">
        <w:rPr>
          <w:rFonts w:ascii="Noor_Mitra" w:hAnsi="Noor_Mitra" w:cs="AL-Mohanad" w:hint="cs"/>
          <w:sz w:val="27"/>
          <w:szCs w:val="27"/>
          <w:rtl/>
        </w:rPr>
        <w:t>ٌ</w:t>
      </w:r>
      <w:r w:rsidRPr="00282AC9">
        <w:rPr>
          <w:rFonts w:ascii="Noor_Mitra" w:hAnsi="Noor_Mitra" w:cs="AL-Mohanad"/>
          <w:sz w:val="27"/>
          <w:szCs w:val="27"/>
          <w:rtl/>
        </w:rPr>
        <w:t xml:space="preserve"> منها</w:t>
      </w:r>
      <w:r w:rsidRPr="00282AC9">
        <w:rPr>
          <w:rFonts w:ascii="Noor_Mitra" w:hAnsi="Noor_Mitra" w:cs="AL-Mohanad" w:hint="cs"/>
          <w:sz w:val="27"/>
          <w:szCs w:val="27"/>
          <w:rtl/>
        </w:rPr>
        <w:t>،</w:t>
      </w:r>
      <w:r w:rsidRPr="00282AC9">
        <w:rPr>
          <w:rFonts w:ascii="Noor_Mitra" w:hAnsi="Noor_Mitra" w:cs="AL-Mohanad"/>
          <w:sz w:val="27"/>
          <w:szCs w:val="27"/>
          <w:rtl/>
        </w:rPr>
        <w:t xml:space="preserve"> كما هو واضح</w:t>
      </w:r>
      <w:r w:rsidR="008F7712" w:rsidRPr="00282AC9">
        <w:rPr>
          <w:rFonts w:ascii="Noor_Mitra" w:hAnsi="Noor_Mitra" w:cs="AL-Mohanad" w:hint="cs"/>
          <w:sz w:val="27"/>
          <w:szCs w:val="27"/>
          <w:rtl/>
        </w:rPr>
        <w:t>ٌ</w:t>
      </w:r>
      <w:r w:rsidRPr="00282AC9">
        <w:rPr>
          <w:rFonts w:ascii="Noor_Mitra" w:hAnsi="Noor_Mitra" w:cs="AL-Mohanad"/>
          <w:sz w:val="27"/>
          <w:szCs w:val="27"/>
          <w:rtl/>
        </w:rPr>
        <w:t>. وسياق كلامه أيضا</w:t>
      </w:r>
      <w:r w:rsidR="008F7712" w:rsidRPr="00282AC9">
        <w:rPr>
          <w:rFonts w:ascii="Noor_Mitra" w:hAnsi="Noor_Mitra" w:cs="AL-Mohanad" w:hint="cs"/>
          <w:sz w:val="27"/>
          <w:szCs w:val="27"/>
          <w:rtl/>
        </w:rPr>
        <w:t>ً</w:t>
      </w:r>
      <w:r w:rsidRPr="00282AC9">
        <w:rPr>
          <w:rFonts w:ascii="Noor_Mitra" w:hAnsi="Noor_Mitra" w:cs="AL-Mohanad"/>
          <w:sz w:val="27"/>
          <w:szCs w:val="27"/>
          <w:rtl/>
        </w:rPr>
        <w:t xml:space="preserve"> واضح</w:t>
      </w:r>
      <w:r w:rsidRPr="00282AC9">
        <w:rPr>
          <w:rFonts w:ascii="Noor_Mitra" w:hAnsi="Noor_Mitra" w:cs="AL-Mohanad" w:hint="cs"/>
          <w:sz w:val="27"/>
          <w:szCs w:val="27"/>
          <w:rtl/>
        </w:rPr>
        <w:t>ٌ</w:t>
      </w:r>
      <w:r w:rsidRPr="00282AC9">
        <w:rPr>
          <w:rFonts w:ascii="Noor_Mitra" w:hAnsi="Noor_Mitra" w:cs="AL-Mohanad"/>
          <w:sz w:val="27"/>
          <w:szCs w:val="27"/>
          <w:rtl/>
        </w:rPr>
        <w:t xml:space="preserve"> في </w:t>
      </w:r>
      <w:r w:rsidR="008F7712" w:rsidRPr="00282AC9">
        <w:rPr>
          <w:rFonts w:ascii="Noor_Mitra" w:hAnsi="Noor_Mitra" w:cs="AL-Mohanad" w:hint="cs"/>
          <w:sz w:val="27"/>
          <w:szCs w:val="27"/>
          <w:rtl/>
        </w:rPr>
        <w:t>مصداقٍ س</w:t>
      </w:r>
      <w:r w:rsidRPr="00282AC9">
        <w:rPr>
          <w:rFonts w:ascii="Noor_Mitra" w:hAnsi="Noor_Mitra" w:cs="AL-Mohanad" w:hint="cs"/>
          <w:sz w:val="27"/>
          <w:szCs w:val="27"/>
          <w:rtl/>
        </w:rPr>
        <w:t>يّ</w:t>
      </w:r>
      <w:r w:rsidR="008F7712" w:rsidRPr="00282AC9">
        <w:rPr>
          <w:rFonts w:ascii="Noor_Mitra" w:hAnsi="Noor_Mitra" w:cs="AL-Mohanad" w:hint="cs"/>
          <w:sz w:val="27"/>
          <w:szCs w:val="27"/>
          <w:rtl/>
        </w:rPr>
        <w:t>ِئٍ</w:t>
      </w:r>
      <w:r w:rsidRPr="00282AC9">
        <w:rPr>
          <w:rFonts w:ascii="Noor_Mitra" w:hAnsi="Noor_Mitra" w:cs="AL-Mohanad"/>
          <w:sz w:val="27"/>
          <w:szCs w:val="27"/>
          <w:rtl/>
        </w:rPr>
        <w:t xml:space="preserve"> </w:t>
      </w:r>
      <w:r w:rsidRPr="00282AC9">
        <w:rPr>
          <w:rFonts w:ascii="Noor_Mitra" w:hAnsi="Noor_Mitra" w:cs="AL-Mohanad" w:hint="cs"/>
          <w:sz w:val="27"/>
          <w:szCs w:val="27"/>
          <w:rtl/>
        </w:rPr>
        <w:t>للطريقة</w:t>
      </w:r>
      <w:r w:rsidRPr="00282AC9">
        <w:rPr>
          <w:rFonts w:ascii="Noor_Mitra" w:hAnsi="Noor_Mitra" w:cs="AL-Mohanad"/>
          <w:sz w:val="27"/>
          <w:szCs w:val="27"/>
          <w:rtl/>
        </w:rPr>
        <w:t>.</w:t>
      </w:r>
    </w:p>
    <w:p w:rsidR="00464852" w:rsidRPr="00282AC9" w:rsidRDefault="00464852" w:rsidP="007E6952">
      <w:pPr>
        <w:pStyle w:val="afc"/>
        <w:spacing w:line="340" w:lineRule="exact"/>
        <w:rPr>
          <w:rFonts w:ascii="Noor_Mitra" w:hAnsi="Noor_Mitra" w:cs="AL-Mohanad"/>
          <w:sz w:val="27"/>
          <w:szCs w:val="27"/>
          <w:rtl/>
        </w:rPr>
      </w:pPr>
    </w:p>
    <w:p w:rsidR="00464852" w:rsidRPr="00282AC9" w:rsidRDefault="00AA552E" w:rsidP="00AA552E">
      <w:pPr>
        <w:pStyle w:val="31"/>
        <w:rPr>
          <w:b/>
          <w:color w:val="auto"/>
          <w:rtl/>
          <w:lang w:bidi="fa-IR"/>
        </w:rPr>
      </w:pPr>
      <w:r w:rsidRPr="00282AC9">
        <w:rPr>
          <w:rFonts w:hint="cs"/>
          <w:color w:val="auto"/>
          <w:rtl/>
        </w:rPr>
        <w:t>ب ـ في التراث الأدبيّ، الشعر نموذجاً</w:t>
      </w:r>
    </w:p>
    <w:p w:rsidR="00464852" w:rsidRPr="00282AC9" w:rsidRDefault="00464852" w:rsidP="007E6952">
      <w:pPr>
        <w:spacing w:line="390" w:lineRule="exact"/>
        <w:rPr>
          <w:sz w:val="27"/>
          <w:rtl/>
          <w:lang w:bidi="fa-IR"/>
        </w:rPr>
      </w:pPr>
      <w:r w:rsidRPr="00282AC9">
        <w:rPr>
          <w:rFonts w:hint="cs"/>
          <w:sz w:val="27"/>
          <w:rtl/>
          <w:lang w:bidi="fa-IR"/>
        </w:rPr>
        <w:t>ومن الجدير بالذكر هنا أن</w:t>
      </w:r>
      <w:r w:rsidR="008F7712" w:rsidRPr="00282AC9">
        <w:rPr>
          <w:rFonts w:hint="cs"/>
          <w:sz w:val="27"/>
          <w:rtl/>
          <w:lang w:bidi="fa-IR"/>
        </w:rPr>
        <w:t>ّ</w:t>
      </w:r>
      <w:r w:rsidRPr="00282AC9">
        <w:rPr>
          <w:rFonts w:hint="cs"/>
          <w:sz w:val="27"/>
          <w:rtl/>
          <w:lang w:bidi="fa-IR"/>
        </w:rPr>
        <w:t xml:space="preserve">ني </w:t>
      </w:r>
      <w:r w:rsidRPr="00282AC9">
        <w:rPr>
          <w:sz w:val="27"/>
          <w:rtl/>
          <w:lang w:bidi="fa-IR"/>
        </w:rPr>
        <w:t>رأيت</w:t>
      </w:r>
      <w:r w:rsidR="008F7712" w:rsidRPr="00282AC9">
        <w:rPr>
          <w:rFonts w:hint="cs"/>
          <w:sz w:val="27"/>
          <w:rtl/>
          <w:lang w:bidi="fa-IR"/>
        </w:rPr>
        <w:t>ُ</w:t>
      </w:r>
      <w:r w:rsidRPr="00282AC9">
        <w:rPr>
          <w:sz w:val="27"/>
          <w:rtl/>
          <w:lang w:bidi="fa-IR"/>
        </w:rPr>
        <w:t xml:space="preserve"> أن أذكر الأشعار منفصلةً </w:t>
      </w:r>
      <w:r w:rsidR="008F7712" w:rsidRPr="00282AC9">
        <w:rPr>
          <w:rFonts w:ascii="Times New Roman" w:hAnsi="Times New Roman" w:hint="cs"/>
          <w:sz w:val="27"/>
          <w:rtl/>
          <w:lang w:bidi="fa-IR"/>
        </w:rPr>
        <w:t xml:space="preserve">ـ </w:t>
      </w:r>
      <w:r w:rsidRPr="00282AC9">
        <w:rPr>
          <w:sz w:val="27"/>
          <w:rtl/>
          <w:lang w:bidi="fa-IR"/>
        </w:rPr>
        <w:t>وإن</w:t>
      </w:r>
      <w:r w:rsidR="008F7712" w:rsidRPr="00282AC9">
        <w:rPr>
          <w:rFonts w:hint="cs"/>
          <w:sz w:val="27"/>
          <w:rtl/>
          <w:lang w:bidi="fa-IR"/>
        </w:rPr>
        <w:t>ْ</w:t>
      </w:r>
      <w:r w:rsidRPr="00282AC9">
        <w:rPr>
          <w:sz w:val="27"/>
          <w:rtl/>
          <w:lang w:bidi="fa-IR"/>
        </w:rPr>
        <w:t xml:space="preserve"> كان ت</w:t>
      </w:r>
      <w:r w:rsidR="008F7712" w:rsidRPr="00282AC9">
        <w:rPr>
          <w:rFonts w:hint="cs"/>
          <w:sz w:val="27"/>
          <w:rtl/>
          <w:lang w:bidi="fa-IR"/>
        </w:rPr>
        <w:t>قسيمها</w:t>
      </w:r>
      <w:r w:rsidRPr="00282AC9">
        <w:rPr>
          <w:sz w:val="27"/>
          <w:rtl/>
          <w:lang w:bidi="fa-IR"/>
        </w:rPr>
        <w:t xml:space="preserve"> بح</w:t>
      </w:r>
      <w:r w:rsidR="008F7712" w:rsidRPr="00282AC9">
        <w:rPr>
          <w:rFonts w:hint="cs"/>
          <w:sz w:val="27"/>
          <w:rtl/>
          <w:lang w:bidi="fa-IR"/>
        </w:rPr>
        <w:t>َ</w:t>
      </w:r>
      <w:r w:rsidRPr="00282AC9">
        <w:rPr>
          <w:sz w:val="27"/>
          <w:rtl/>
          <w:lang w:bidi="fa-IR"/>
        </w:rPr>
        <w:t>س</w:t>
      </w:r>
      <w:r w:rsidR="008F7712" w:rsidRPr="00282AC9">
        <w:rPr>
          <w:rFonts w:hint="cs"/>
          <w:sz w:val="27"/>
          <w:rtl/>
          <w:lang w:bidi="fa-IR"/>
        </w:rPr>
        <w:t>َ</w:t>
      </w:r>
      <w:r w:rsidRPr="00282AC9">
        <w:rPr>
          <w:sz w:val="27"/>
          <w:rtl/>
          <w:lang w:bidi="fa-IR"/>
        </w:rPr>
        <w:t>ب ترتيبها التاريخي أيضا</w:t>
      </w:r>
      <w:r w:rsidR="008F7712" w:rsidRPr="00282AC9">
        <w:rPr>
          <w:rFonts w:hint="cs"/>
          <w:sz w:val="27"/>
          <w:rtl/>
          <w:lang w:bidi="fa-IR"/>
        </w:rPr>
        <w:t>ً</w:t>
      </w:r>
      <w:r w:rsidRPr="00282AC9">
        <w:rPr>
          <w:sz w:val="27"/>
          <w:rtl/>
          <w:lang w:bidi="fa-IR"/>
        </w:rPr>
        <w:t xml:space="preserve"> ممكنٌ ـ</w:t>
      </w:r>
      <w:r w:rsidR="008F7712" w:rsidRPr="00282AC9">
        <w:rPr>
          <w:rFonts w:hint="cs"/>
          <w:sz w:val="27"/>
          <w:rtl/>
          <w:lang w:bidi="fa-IR"/>
        </w:rPr>
        <w:t>؛</w:t>
      </w:r>
      <w:r w:rsidRPr="00282AC9">
        <w:rPr>
          <w:sz w:val="27"/>
          <w:rtl/>
          <w:lang w:bidi="fa-IR"/>
        </w:rPr>
        <w:t xml:space="preserve"> فإن أكثر</w:t>
      </w:r>
      <w:r w:rsidRPr="00282AC9">
        <w:rPr>
          <w:rFonts w:hint="cs"/>
          <w:sz w:val="27"/>
          <w:rtl/>
          <w:lang w:bidi="fa-IR"/>
        </w:rPr>
        <w:t xml:space="preserve"> </w:t>
      </w:r>
      <w:r w:rsidRPr="00282AC9">
        <w:rPr>
          <w:sz w:val="27"/>
          <w:rtl/>
          <w:lang w:bidi="fa-IR"/>
        </w:rPr>
        <w:t>الأشعار تُر</w:t>
      </w:r>
      <w:r w:rsidR="008F7712" w:rsidRPr="00282AC9">
        <w:rPr>
          <w:rFonts w:hint="cs"/>
          <w:sz w:val="27"/>
          <w:rtl/>
          <w:lang w:bidi="fa-IR"/>
        </w:rPr>
        <w:t>ْ</w:t>
      </w:r>
      <w:r w:rsidRPr="00282AC9">
        <w:rPr>
          <w:sz w:val="27"/>
          <w:rtl/>
          <w:lang w:bidi="fa-IR"/>
        </w:rPr>
        <w:t>و</w:t>
      </w:r>
      <w:r w:rsidR="008F7712" w:rsidRPr="00282AC9">
        <w:rPr>
          <w:rFonts w:hint="cs"/>
          <w:sz w:val="27"/>
          <w:rtl/>
          <w:lang w:bidi="fa-IR"/>
        </w:rPr>
        <w:t>َ</w:t>
      </w:r>
      <w:r w:rsidRPr="00282AC9">
        <w:rPr>
          <w:sz w:val="27"/>
          <w:rtl/>
          <w:lang w:bidi="fa-IR"/>
        </w:rPr>
        <w:t>ى بشكلٍ دقيقٍ</w:t>
      </w:r>
      <w:r w:rsidR="008F7712" w:rsidRPr="00282AC9">
        <w:rPr>
          <w:rFonts w:hint="cs"/>
          <w:sz w:val="27"/>
          <w:rtl/>
          <w:lang w:bidi="fa-IR"/>
        </w:rPr>
        <w:t>،</w:t>
      </w:r>
      <w:r w:rsidRPr="00282AC9">
        <w:rPr>
          <w:sz w:val="27"/>
          <w:rtl/>
          <w:lang w:bidi="fa-IR"/>
        </w:rPr>
        <w:t xml:space="preserve"> ولا تتعر</w:t>
      </w:r>
      <w:r w:rsidRPr="00282AC9">
        <w:rPr>
          <w:rFonts w:hint="cs"/>
          <w:sz w:val="27"/>
          <w:rtl/>
          <w:lang w:bidi="fa-IR"/>
        </w:rPr>
        <w:t>ّ</w:t>
      </w:r>
      <w:r w:rsidR="008F7712" w:rsidRPr="00282AC9">
        <w:rPr>
          <w:rFonts w:hint="cs"/>
          <w:sz w:val="27"/>
          <w:rtl/>
          <w:lang w:bidi="fa-IR"/>
        </w:rPr>
        <w:t>َ</w:t>
      </w:r>
      <w:r w:rsidRPr="00282AC9">
        <w:rPr>
          <w:sz w:val="27"/>
          <w:rtl/>
          <w:lang w:bidi="fa-IR"/>
        </w:rPr>
        <w:t>ض للنقل بالمعنى</w:t>
      </w:r>
      <w:r w:rsidRPr="00282AC9">
        <w:rPr>
          <w:rFonts w:hint="cs"/>
          <w:sz w:val="27"/>
          <w:rtl/>
          <w:lang w:bidi="fa-IR"/>
        </w:rPr>
        <w:t>،</w:t>
      </w:r>
      <w:r w:rsidRPr="00282AC9">
        <w:rPr>
          <w:sz w:val="27"/>
          <w:rtl/>
          <w:lang w:bidi="fa-IR"/>
        </w:rPr>
        <w:t xml:space="preserve"> وحينئذ</w:t>
      </w:r>
      <w:r w:rsidRPr="00282AC9">
        <w:rPr>
          <w:rFonts w:hint="cs"/>
          <w:sz w:val="27"/>
          <w:rtl/>
          <w:lang w:bidi="fa-IR"/>
        </w:rPr>
        <w:t>ٍ</w:t>
      </w:r>
      <w:r w:rsidRPr="00282AC9">
        <w:rPr>
          <w:sz w:val="27"/>
          <w:rtl/>
          <w:lang w:bidi="fa-IR"/>
        </w:rPr>
        <w:t xml:space="preserve"> تصلح لإثبات المعنى </w:t>
      </w:r>
      <w:r w:rsidRPr="00282AC9">
        <w:rPr>
          <w:rFonts w:hint="cs"/>
          <w:sz w:val="27"/>
          <w:rtl/>
          <w:lang w:bidi="fa-IR"/>
        </w:rPr>
        <w:t>المضبوط</w:t>
      </w:r>
      <w:r w:rsidRPr="00282AC9">
        <w:rPr>
          <w:sz w:val="27"/>
          <w:rtl/>
          <w:lang w:bidi="fa-IR"/>
        </w:rPr>
        <w:t xml:space="preserve"> للكلمة في حالة النقل باللفظ، بخلاف الحال في </w:t>
      </w:r>
      <w:r w:rsidRPr="00282AC9">
        <w:rPr>
          <w:rFonts w:hint="cs"/>
          <w:sz w:val="27"/>
          <w:rtl/>
          <w:lang w:bidi="fa-IR"/>
        </w:rPr>
        <w:t>كثيرٍ من</w:t>
      </w:r>
      <w:r w:rsidRPr="00282AC9">
        <w:rPr>
          <w:sz w:val="27"/>
          <w:rtl/>
          <w:lang w:bidi="fa-IR"/>
        </w:rPr>
        <w:t xml:space="preserve"> الشواهد الموجودة من أحاديث </w:t>
      </w:r>
      <w:r w:rsidRPr="00282AC9">
        <w:rPr>
          <w:rFonts w:hint="cs"/>
          <w:sz w:val="27"/>
          <w:rtl/>
          <w:lang w:bidi="fa-IR"/>
        </w:rPr>
        <w:t>النبي</w:t>
      </w:r>
      <w:r w:rsidR="008F7712" w:rsidRPr="00282AC9">
        <w:rPr>
          <w:rFonts w:hint="cs"/>
          <w:sz w:val="27"/>
          <w:rtl/>
          <w:lang w:bidi="fa-IR"/>
        </w:rPr>
        <w:t>ّ</w:t>
      </w:r>
      <w:r w:rsidR="009A2A04" w:rsidRPr="00282AC9">
        <w:rPr>
          <w:rFonts w:cs="Mosawi" w:hint="cs"/>
          <w:sz w:val="22"/>
          <w:szCs w:val="22"/>
          <w:rtl/>
          <w:lang w:bidi="fa-IR"/>
        </w:rPr>
        <w:t>|</w:t>
      </w:r>
      <w:r w:rsidRPr="00282AC9">
        <w:rPr>
          <w:rFonts w:hint="cs"/>
          <w:sz w:val="27"/>
          <w:rtl/>
          <w:lang w:bidi="fa-IR"/>
        </w:rPr>
        <w:t xml:space="preserve"> و</w:t>
      </w:r>
      <w:r w:rsidR="008F7712" w:rsidRPr="00282AC9">
        <w:rPr>
          <w:sz w:val="27"/>
          <w:rtl/>
          <w:lang w:bidi="fa-IR"/>
        </w:rPr>
        <w:t>أهل البيت</w:t>
      </w:r>
      <w:r w:rsidR="00876ECA" w:rsidRPr="00282AC9">
        <w:rPr>
          <w:rFonts w:cs="Mosawi" w:hint="cs"/>
          <w:sz w:val="22"/>
          <w:szCs w:val="22"/>
          <w:rtl/>
        </w:rPr>
        <w:t>^</w:t>
      </w:r>
      <w:r w:rsidR="008F7712" w:rsidRPr="00282AC9">
        <w:rPr>
          <w:sz w:val="27"/>
          <w:rtl/>
          <w:lang w:bidi="fa-IR"/>
        </w:rPr>
        <w:t xml:space="preserve"> و</w:t>
      </w:r>
      <w:r w:rsidRPr="00282AC9">
        <w:rPr>
          <w:sz w:val="27"/>
          <w:rtl/>
          <w:lang w:bidi="fa-IR"/>
        </w:rPr>
        <w:t>غيره</w:t>
      </w:r>
      <w:r w:rsidRPr="00282AC9">
        <w:rPr>
          <w:rFonts w:hint="cs"/>
          <w:sz w:val="27"/>
          <w:rtl/>
          <w:lang w:bidi="fa-IR"/>
        </w:rPr>
        <w:t>م</w:t>
      </w:r>
      <w:r w:rsidRPr="00282AC9">
        <w:rPr>
          <w:sz w:val="27"/>
          <w:rtl/>
          <w:lang w:bidi="fa-IR"/>
        </w:rPr>
        <w:t>ا.</w:t>
      </w:r>
    </w:p>
    <w:p w:rsidR="00464852" w:rsidRPr="00282AC9" w:rsidRDefault="00464852" w:rsidP="007E6952">
      <w:pPr>
        <w:spacing w:line="320" w:lineRule="exact"/>
        <w:rPr>
          <w:sz w:val="27"/>
          <w:rtl/>
          <w:lang w:bidi="fa-IR"/>
        </w:rPr>
      </w:pPr>
    </w:p>
    <w:p w:rsidR="00464852" w:rsidRPr="00282AC9" w:rsidRDefault="008F6C42" w:rsidP="007E1A72">
      <w:pPr>
        <w:pStyle w:val="31"/>
        <w:rPr>
          <w:color w:val="auto"/>
          <w:lang w:bidi="fa-IR"/>
        </w:rPr>
      </w:pPr>
      <w:r w:rsidRPr="00282AC9">
        <w:rPr>
          <w:rFonts w:hint="cs"/>
          <w:color w:val="auto"/>
          <w:rtl/>
          <w:lang w:bidi="fa-IR"/>
        </w:rPr>
        <w:t xml:space="preserve">1ـ </w:t>
      </w:r>
      <w:r w:rsidR="00464852" w:rsidRPr="00282AC9">
        <w:rPr>
          <w:color w:val="auto"/>
          <w:rtl/>
          <w:lang w:bidi="fa-IR"/>
        </w:rPr>
        <w:t>شعرٌ لابن الزّبعر</w:t>
      </w:r>
      <w:r w:rsidR="007E1A72" w:rsidRPr="00282AC9">
        <w:rPr>
          <w:rFonts w:hint="cs"/>
          <w:color w:val="auto"/>
          <w:rtl/>
          <w:lang w:bidi="fa-IR"/>
        </w:rPr>
        <w:t>َى</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8F7712" w:rsidRPr="00282AC9" w:rsidTr="007A4332">
        <w:trPr>
          <w:jc w:val="center"/>
        </w:trPr>
        <w:tc>
          <w:tcPr>
            <w:tcW w:w="3136" w:type="dxa"/>
          </w:tcPr>
          <w:p w:rsidR="008F7712" w:rsidRPr="00282AC9" w:rsidRDefault="008F7712" w:rsidP="00821CCC">
            <w:pPr>
              <w:spacing w:line="240" w:lineRule="auto"/>
              <w:ind w:firstLine="0"/>
              <w:jc w:val="lowKashida"/>
              <w:rPr>
                <w:sz w:val="2"/>
                <w:szCs w:val="2"/>
                <w:rtl/>
              </w:rPr>
            </w:pPr>
            <w:r w:rsidRPr="00282AC9">
              <w:rPr>
                <w:rFonts w:hint="eastAsia"/>
                <w:sz w:val="24"/>
                <w:szCs w:val="24"/>
                <w:rtl/>
                <w:lang w:bidi="fa-IR"/>
              </w:rPr>
              <w:t>«</w:t>
            </w:r>
            <w:r w:rsidRPr="00282AC9">
              <w:rPr>
                <w:sz w:val="27"/>
                <w:rtl/>
                <w:lang w:bidi="fa-IR"/>
              </w:rPr>
              <w:t>يا رسـول الملـيك إنّ لسان</w:t>
            </w:r>
            <w:r w:rsidRPr="00282AC9">
              <w:rPr>
                <w:rFonts w:hint="cs"/>
                <w:sz w:val="27"/>
                <w:rtl/>
                <w:lang w:bidi="fa-IR"/>
              </w:rPr>
              <w:t>ي</w:t>
            </w:r>
            <w:r w:rsidRPr="00282AC9">
              <w:rPr>
                <w:rFonts w:hint="cs"/>
                <w:sz w:val="27"/>
                <w:rtl/>
              </w:rPr>
              <w:br/>
            </w:r>
          </w:p>
        </w:tc>
        <w:tc>
          <w:tcPr>
            <w:tcW w:w="425" w:type="dxa"/>
          </w:tcPr>
          <w:p w:rsidR="008F7712" w:rsidRPr="00282AC9" w:rsidRDefault="008F7712" w:rsidP="00821CCC">
            <w:pPr>
              <w:spacing w:line="240" w:lineRule="auto"/>
              <w:ind w:firstLine="0"/>
              <w:jc w:val="lowKashida"/>
              <w:rPr>
                <w:sz w:val="27"/>
                <w:rtl/>
              </w:rPr>
            </w:pPr>
          </w:p>
        </w:tc>
        <w:tc>
          <w:tcPr>
            <w:tcW w:w="3052" w:type="dxa"/>
          </w:tcPr>
          <w:p w:rsidR="008F7712" w:rsidRPr="00282AC9" w:rsidRDefault="008F7712" w:rsidP="00821CCC">
            <w:pPr>
              <w:spacing w:line="240" w:lineRule="auto"/>
              <w:ind w:firstLine="0"/>
              <w:jc w:val="lowKashida"/>
              <w:rPr>
                <w:sz w:val="2"/>
                <w:szCs w:val="2"/>
                <w:rtl/>
              </w:rPr>
            </w:pPr>
            <w:r w:rsidRPr="00282AC9">
              <w:rPr>
                <w:sz w:val="27"/>
                <w:rtl/>
                <w:lang w:bidi="fa-IR"/>
              </w:rPr>
              <w:t>راتق ما فتقت إذ أنا بور</w:t>
            </w:r>
            <w:r w:rsidRPr="00282AC9">
              <w:rPr>
                <w:rFonts w:hint="cs"/>
                <w:sz w:val="27"/>
                <w:rtl/>
                <w:lang w:bidi="fa-IR"/>
              </w:rPr>
              <w:t>ُ</w:t>
            </w:r>
            <w:r w:rsidRPr="00282AC9">
              <w:rPr>
                <w:rFonts w:hint="cs"/>
                <w:sz w:val="27"/>
                <w:rtl/>
              </w:rPr>
              <w:br/>
            </w:r>
          </w:p>
        </w:tc>
      </w:tr>
      <w:tr w:rsidR="008F7712" w:rsidRPr="00282AC9" w:rsidTr="007A4332">
        <w:trPr>
          <w:jc w:val="center"/>
        </w:trPr>
        <w:tc>
          <w:tcPr>
            <w:tcW w:w="3136" w:type="dxa"/>
          </w:tcPr>
          <w:p w:rsidR="008F7712" w:rsidRPr="00282AC9" w:rsidRDefault="008F7712" w:rsidP="00821CCC">
            <w:pPr>
              <w:spacing w:line="240" w:lineRule="auto"/>
              <w:ind w:firstLine="0"/>
              <w:jc w:val="lowKashida"/>
              <w:rPr>
                <w:sz w:val="2"/>
                <w:szCs w:val="2"/>
                <w:rtl/>
              </w:rPr>
            </w:pPr>
            <w:r w:rsidRPr="00282AC9">
              <w:rPr>
                <w:sz w:val="27"/>
                <w:rtl/>
                <w:lang w:bidi="fa-IR"/>
              </w:rPr>
              <w:lastRenderedPageBreak/>
              <w:t>إذ أجار</w:t>
            </w:r>
            <w:r w:rsidRPr="00282AC9">
              <w:rPr>
                <w:rFonts w:hint="cs"/>
                <w:sz w:val="27"/>
                <w:rtl/>
                <w:lang w:bidi="fa-IR"/>
              </w:rPr>
              <w:t>ي</w:t>
            </w:r>
            <w:r w:rsidRPr="00282AC9">
              <w:rPr>
                <w:sz w:val="27"/>
                <w:rtl/>
                <w:lang w:bidi="fa-IR"/>
              </w:rPr>
              <w:t xml:space="preserve"> الشيطان في سنن‏ الغيّ</w:t>
            </w:r>
            <w:r w:rsidRPr="00282AC9">
              <w:rPr>
                <w:rFonts w:hint="cs"/>
                <w:sz w:val="27"/>
                <w:rtl/>
              </w:rPr>
              <w:br/>
            </w:r>
          </w:p>
        </w:tc>
        <w:tc>
          <w:tcPr>
            <w:tcW w:w="425" w:type="dxa"/>
          </w:tcPr>
          <w:p w:rsidR="008F7712" w:rsidRPr="00282AC9" w:rsidRDefault="008F7712" w:rsidP="00821CCC">
            <w:pPr>
              <w:spacing w:line="240" w:lineRule="auto"/>
              <w:ind w:firstLine="0"/>
              <w:jc w:val="lowKashida"/>
              <w:rPr>
                <w:sz w:val="27"/>
                <w:rtl/>
              </w:rPr>
            </w:pPr>
          </w:p>
        </w:tc>
        <w:tc>
          <w:tcPr>
            <w:tcW w:w="3052" w:type="dxa"/>
          </w:tcPr>
          <w:p w:rsidR="008F7712" w:rsidRPr="00282AC9" w:rsidRDefault="008F7712" w:rsidP="00821CCC">
            <w:pPr>
              <w:spacing w:line="240" w:lineRule="auto"/>
              <w:ind w:firstLine="0"/>
              <w:jc w:val="lowKashida"/>
              <w:rPr>
                <w:sz w:val="2"/>
                <w:szCs w:val="2"/>
                <w:rtl/>
              </w:rPr>
            </w:pPr>
            <w:r w:rsidRPr="00282AC9">
              <w:rPr>
                <w:sz w:val="27"/>
                <w:rtl/>
                <w:lang w:bidi="fa-IR"/>
              </w:rPr>
              <w:t>وم</w:t>
            </w:r>
            <w:r w:rsidR="001231FD"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 xml:space="preserve"> مال م</w:t>
            </w:r>
            <w:r w:rsidRPr="00282AC9">
              <w:rPr>
                <w:rFonts w:hint="cs"/>
                <w:sz w:val="27"/>
                <w:rtl/>
                <w:lang w:bidi="fa-IR"/>
              </w:rPr>
              <w:t>َ</w:t>
            </w:r>
            <w:r w:rsidRPr="00282AC9">
              <w:rPr>
                <w:sz w:val="27"/>
                <w:rtl/>
                <w:lang w:bidi="fa-IR"/>
              </w:rPr>
              <w:t>ي</w:t>
            </w:r>
            <w:r w:rsidRPr="00282AC9">
              <w:rPr>
                <w:rFonts w:hint="cs"/>
                <w:sz w:val="27"/>
                <w:rtl/>
                <w:lang w:bidi="fa-IR"/>
              </w:rPr>
              <w:t>ْ</w:t>
            </w:r>
            <w:r w:rsidRPr="00282AC9">
              <w:rPr>
                <w:sz w:val="27"/>
                <w:rtl/>
                <w:lang w:bidi="fa-IR"/>
              </w:rPr>
              <w:t>ل</w:t>
            </w:r>
            <w:r w:rsidR="001231FD" w:rsidRPr="00282AC9">
              <w:rPr>
                <w:rFonts w:hint="cs"/>
                <w:sz w:val="27"/>
                <w:rtl/>
                <w:lang w:bidi="fa-IR"/>
              </w:rPr>
              <w:t>َ</w:t>
            </w:r>
            <w:r w:rsidRPr="00282AC9">
              <w:rPr>
                <w:sz w:val="27"/>
                <w:rtl/>
                <w:lang w:bidi="fa-IR"/>
              </w:rPr>
              <w:t>ه مثـبور</w:t>
            </w:r>
            <w:r w:rsidRPr="00282AC9">
              <w:rPr>
                <w:rFonts w:hint="cs"/>
                <w:sz w:val="27"/>
                <w:rtl/>
                <w:lang w:bidi="fa-IR"/>
              </w:rPr>
              <w:t>ُ</w:t>
            </w:r>
            <w:r w:rsidRPr="00282AC9">
              <w:rPr>
                <w:rFonts w:hint="eastAsia"/>
                <w:sz w:val="24"/>
                <w:szCs w:val="24"/>
                <w:rtl/>
              </w:rPr>
              <w:t>»</w:t>
            </w:r>
            <w:r w:rsidRPr="00282AC9">
              <w:rPr>
                <w:sz w:val="27"/>
                <w:vertAlign w:val="superscript"/>
                <w:rtl/>
              </w:rPr>
              <w:t>(</w:t>
            </w:r>
            <w:r w:rsidRPr="00282AC9">
              <w:rPr>
                <w:rStyle w:val="af9"/>
                <w:sz w:val="27"/>
                <w:rtl/>
              </w:rPr>
              <w:endnoteReference w:id="565"/>
            </w:r>
            <w:r w:rsidRPr="00282AC9">
              <w:rPr>
                <w:sz w:val="27"/>
                <w:vertAlign w:val="superscript"/>
                <w:rtl/>
              </w:rPr>
              <w:t>)</w:t>
            </w:r>
            <w:r w:rsidRPr="00282AC9">
              <w:rPr>
                <w:rFonts w:hint="cs"/>
                <w:sz w:val="27"/>
                <w:rtl/>
              </w:rPr>
              <w:br/>
            </w:r>
          </w:p>
        </w:tc>
      </w:tr>
    </w:tbl>
    <w:p w:rsidR="00464852" w:rsidRPr="00282AC9" w:rsidRDefault="00464852" w:rsidP="007E6952">
      <w:pPr>
        <w:spacing w:line="390" w:lineRule="exact"/>
        <w:rPr>
          <w:sz w:val="27"/>
          <w:rtl/>
          <w:lang w:bidi="fa-IR"/>
        </w:rPr>
      </w:pPr>
      <w:r w:rsidRPr="00282AC9">
        <w:rPr>
          <w:sz w:val="27"/>
          <w:rtl/>
        </w:rPr>
        <w:t>إن شا</w:t>
      </w:r>
      <w:r w:rsidR="008F7712" w:rsidRPr="00282AC9">
        <w:rPr>
          <w:sz w:val="27"/>
          <w:rtl/>
        </w:rPr>
        <w:t>عرَ هذه الأبيات كان يهجو النبيّ</w:t>
      </w:r>
      <w:r w:rsidR="009A2A04" w:rsidRPr="00282AC9">
        <w:rPr>
          <w:rFonts w:cs="Mosawi"/>
          <w:sz w:val="22"/>
          <w:szCs w:val="22"/>
          <w:rtl/>
        </w:rPr>
        <w:t>|</w:t>
      </w:r>
      <w:r w:rsidRPr="00282AC9">
        <w:rPr>
          <w:sz w:val="27"/>
          <w:rtl/>
        </w:rPr>
        <w:t xml:space="preserve"> ـ والعياذ بالله ـ</w:t>
      </w:r>
      <w:r w:rsidR="008F7712" w:rsidRPr="00282AC9">
        <w:rPr>
          <w:rFonts w:hint="cs"/>
          <w:sz w:val="27"/>
          <w:rtl/>
        </w:rPr>
        <w:t>،</w:t>
      </w:r>
      <w:r w:rsidRPr="00282AC9">
        <w:rPr>
          <w:sz w:val="27"/>
          <w:rtl/>
        </w:rPr>
        <w:t xml:space="preserve"> لكنه أسلم في فتح مك</w:t>
      </w:r>
      <w:r w:rsidR="008F7712" w:rsidRPr="00282AC9">
        <w:rPr>
          <w:rFonts w:hint="cs"/>
          <w:sz w:val="27"/>
          <w:rtl/>
        </w:rPr>
        <w:t>ّ</w:t>
      </w:r>
      <w:r w:rsidRPr="00282AC9">
        <w:rPr>
          <w:sz w:val="27"/>
          <w:rtl/>
        </w:rPr>
        <w:t>ة</w:t>
      </w:r>
      <w:r w:rsidR="008F7712" w:rsidRPr="00282AC9">
        <w:rPr>
          <w:rFonts w:hint="cs"/>
          <w:sz w:val="27"/>
          <w:rtl/>
        </w:rPr>
        <w:t>،</w:t>
      </w:r>
      <w:r w:rsidRPr="00282AC9">
        <w:rPr>
          <w:sz w:val="27"/>
          <w:rtl/>
        </w:rPr>
        <w:t xml:space="preserve"> ومدح النبي</w:t>
      </w:r>
      <w:r w:rsidR="008F7712" w:rsidRPr="00282AC9">
        <w:rPr>
          <w:sz w:val="27"/>
          <w:rtl/>
        </w:rPr>
        <w:t>ّ</w:t>
      </w:r>
      <w:r w:rsidR="009A2A04" w:rsidRPr="00282AC9">
        <w:rPr>
          <w:rFonts w:cs="Mosawi"/>
          <w:sz w:val="22"/>
          <w:szCs w:val="22"/>
          <w:rtl/>
        </w:rPr>
        <w:t>|</w:t>
      </w:r>
      <w:r w:rsidR="008F7712" w:rsidRPr="00282AC9">
        <w:rPr>
          <w:rFonts w:hint="cs"/>
          <w:sz w:val="27"/>
          <w:rtl/>
        </w:rPr>
        <w:t>،</w:t>
      </w:r>
      <w:r w:rsidRPr="00282AC9">
        <w:rPr>
          <w:sz w:val="27"/>
          <w:rtl/>
        </w:rPr>
        <w:t xml:space="preserve"> واعتذر إليه</w:t>
      </w:r>
      <w:r w:rsidR="008F7712" w:rsidRPr="00282AC9">
        <w:rPr>
          <w:rFonts w:hint="cs"/>
          <w:sz w:val="27"/>
          <w:rtl/>
        </w:rPr>
        <w:t>.</w:t>
      </w:r>
      <w:r w:rsidRPr="00282AC9">
        <w:rPr>
          <w:sz w:val="27"/>
          <w:rtl/>
        </w:rPr>
        <w:t xml:space="preserve"> وهذه الأبيات كانت في مقام اعتذاره.</w:t>
      </w:r>
    </w:p>
    <w:p w:rsidR="00464852" w:rsidRPr="00282AC9" w:rsidRDefault="00464852" w:rsidP="007E6952">
      <w:pPr>
        <w:spacing w:line="390" w:lineRule="exact"/>
        <w:rPr>
          <w:sz w:val="27"/>
          <w:rtl/>
          <w:lang w:bidi="fa-IR"/>
        </w:rPr>
      </w:pPr>
      <w:r w:rsidRPr="00282AC9">
        <w:rPr>
          <w:sz w:val="27"/>
          <w:rtl/>
        </w:rPr>
        <w:t>لكن</w:t>
      </w:r>
      <w:r w:rsidR="008F7712" w:rsidRPr="00282AC9">
        <w:rPr>
          <w:rFonts w:hint="cs"/>
          <w:sz w:val="27"/>
          <w:rtl/>
        </w:rPr>
        <w:t>ْ</w:t>
      </w:r>
      <w:r w:rsidRPr="00282AC9">
        <w:rPr>
          <w:sz w:val="27"/>
          <w:rtl/>
        </w:rPr>
        <w:t xml:space="preserve"> هناك رواية</w:t>
      </w:r>
      <w:r w:rsidR="008F7712" w:rsidRPr="00282AC9">
        <w:rPr>
          <w:rFonts w:hint="cs"/>
          <w:sz w:val="27"/>
          <w:rtl/>
        </w:rPr>
        <w:t>ٌ</w:t>
      </w:r>
      <w:r w:rsidRPr="00282AC9">
        <w:rPr>
          <w:sz w:val="27"/>
          <w:rtl/>
        </w:rPr>
        <w:t xml:space="preserve"> أخرى لهذا الشعر أيضا</w:t>
      </w:r>
      <w:r w:rsidRPr="00282AC9">
        <w:rPr>
          <w:rFonts w:hint="cs"/>
          <w:sz w:val="27"/>
          <w:rtl/>
        </w:rPr>
        <w:t>ً</w:t>
      </w:r>
      <w:r w:rsidRPr="00282AC9">
        <w:rPr>
          <w:sz w:val="27"/>
          <w:rtl/>
        </w:rPr>
        <w:t xml:space="preserve">: </w:t>
      </w:r>
      <w:r w:rsidRPr="00282AC9">
        <w:rPr>
          <w:rFonts w:hint="eastAsia"/>
          <w:sz w:val="24"/>
          <w:szCs w:val="24"/>
          <w:rtl/>
          <w:lang w:bidi="fa-IR"/>
        </w:rPr>
        <w:t>«</w:t>
      </w:r>
      <w:r w:rsidRPr="00282AC9">
        <w:rPr>
          <w:sz w:val="27"/>
          <w:rtl/>
          <w:lang w:bidi="fa-IR"/>
        </w:rPr>
        <w:t>إذ أتاني الشيطانُ في س</w:t>
      </w:r>
      <w:r w:rsidR="008F7712" w:rsidRPr="00282AC9">
        <w:rPr>
          <w:rFonts w:hint="cs"/>
          <w:sz w:val="27"/>
          <w:rtl/>
          <w:lang w:bidi="fa-IR"/>
        </w:rPr>
        <w:t>َ</w:t>
      </w:r>
      <w:r w:rsidRPr="00282AC9">
        <w:rPr>
          <w:sz w:val="27"/>
          <w:rtl/>
          <w:lang w:bidi="fa-IR"/>
        </w:rPr>
        <w:t>ن</w:t>
      </w:r>
      <w:r w:rsidR="008F7712" w:rsidRPr="00282AC9">
        <w:rPr>
          <w:rFonts w:hint="cs"/>
          <w:sz w:val="27"/>
          <w:rtl/>
          <w:lang w:bidi="fa-IR"/>
        </w:rPr>
        <w:t>َ</w:t>
      </w:r>
      <w:r w:rsidRPr="00282AC9">
        <w:rPr>
          <w:sz w:val="27"/>
          <w:rtl/>
          <w:lang w:bidi="fa-IR"/>
        </w:rPr>
        <w:t>ة النوم</w:t>
      </w:r>
      <w:r w:rsidRPr="00282AC9">
        <w:rPr>
          <w:rFonts w:hint="eastAsia"/>
          <w:sz w:val="24"/>
          <w:szCs w:val="24"/>
          <w:rtl/>
        </w:rPr>
        <w:t>»</w:t>
      </w:r>
      <w:r w:rsidRPr="00282AC9">
        <w:rPr>
          <w:sz w:val="27"/>
          <w:vertAlign w:val="superscript"/>
          <w:rtl/>
        </w:rPr>
        <w:t>(</w:t>
      </w:r>
      <w:r w:rsidRPr="00282AC9">
        <w:rPr>
          <w:rStyle w:val="af9"/>
          <w:sz w:val="27"/>
          <w:rtl/>
        </w:rPr>
        <w:endnoteReference w:id="566"/>
      </w:r>
      <w:r w:rsidRPr="00282AC9">
        <w:rPr>
          <w:sz w:val="27"/>
          <w:vertAlign w:val="superscript"/>
          <w:rtl/>
        </w:rPr>
        <w:t>)</w:t>
      </w:r>
      <w:r w:rsidR="008F7712" w:rsidRPr="00282AC9">
        <w:rPr>
          <w:rFonts w:hint="cs"/>
          <w:sz w:val="27"/>
          <w:rtl/>
        </w:rPr>
        <w:t>.</w:t>
      </w:r>
      <w:r w:rsidRPr="00282AC9">
        <w:rPr>
          <w:sz w:val="27"/>
          <w:rtl/>
        </w:rPr>
        <w:t xml:space="preserve"> ومع هذا الاضطراب في روايته لا</w:t>
      </w:r>
      <w:r w:rsidR="008F7712" w:rsidRPr="00282AC9">
        <w:rPr>
          <w:rFonts w:hint="cs"/>
          <w:sz w:val="27"/>
          <w:rtl/>
        </w:rPr>
        <w:t xml:space="preserve"> </w:t>
      </w:r>
      <w:r w:rsidRPr="00282AC9">
        <w:rPr>
          <w:sz w:val="27"/>
          <w:rtl/>
        </w:rPr>
        <w:t>يمكن الاستشهاد به</w:t>
      </w:r>
      <w:r w:rsidR="008F7712" w:rsidRPr="00282AC9">
        <w:rPr>
          <w:rFonts w:hint="cs"/>
          <w:sz w:val="27"/>
          <w:rtl/>
        </w:rPr>
        <w:t>؛</w:t>
      </w:r>
      <w:r w:rsidRPr="00282AC9">
        <w:rPr>
          <w:sz w:val="27"/>
          <w:rtl/>
        </w:rPr>
        <w:t xml:space="preserve"> لأن </w:t>
      </w:r>
      <w:r w:rsidRPr="00282AC9">
        <w:rPr>
          <w:rFonts w:hint="eastAsia"/>
          <w:sz w:val="24"/>
          <w:szCs w:val="24"/>
          <w:rtl/>
          <w:lang w:bidi="fa-IR"/>
        </w:rPr>
        <w:t>«</w:t>
      </w:r>
      <w:r w:rsidRPr="00282AC9">
        <w:rPr>
          <w:sz w:val="27"/>
          <w:rtl/>
          <w:lang w:bidi="fa-IR"/>
        </w:rPr>
        <w:t>سنة</w:t>
      </w:r>
      <w:r w:rsidRPr="00282AC9">
        <w:rPr>
          <w:rFonts w:hint="eastAsia"/>
          <w:sz w:val="24"/>
          <w:szCs w:val="24"/>
          <w:rtl/>
        </w:rPr>
        <w:t>»</w:t>
      </w:r>
      <w:r w:rsidRPr="00282AC9">
        <w:rPr>
          <w:sz w:val="27"/>
          <w:rtl/>
          <w:lang w:bidi="fa-IR"/>
        </w:rPr>
        <w:t xml:space="preserve"> في </w:t>
      </w:r>
      <w:r w:rsidRPr="00282AC9">
        <w:rPr>
          <w:rFonts w:hint="eastAsia"/>
          <w:sz w:val="24"/>
          <w:szCs w:val="24"/>
          <w:rtl/>
          <w:lang w:bidi="fa-IR"/>
        </w:rPr>
        <w:t>«</w:t>
      </w:r>
      <w:r w:rsidRPr="00282AC9">
        <w:rPr>
          <w:sz w:val="27"/>
          <w:rtl/>
          <w:lang w:bidi="fa-IR"/>
        </w:rPr>
        <w:t>س</w:t>
      </w:r>
      <w:r w:rsidR="008F7712" w:rsidRPr="00282AC9">
        <w:rPr>
          <w:rFonts w:hint="cs"/>
          <w:sz w:val="27"/>
          <w:rtl/>
          <w:lang w:bidi="fa-IR"/>
        </w:rPr>
        <w:t>َ</w:t>
      </w:r>
      <w:r w:rsidRPr="00282AC9">
        <w:rPr>
          <w:sz w:val="27"/>
          <w:rtl/>
          <w:lang w:bidi="fa-IR"/>
        </w:rPr>
        <w:t>ن</w:t>
      </w:r>
      <w:r w:rsidR="008F7712" w:rsidRPr="00282AC9">
        <w:rPr>
          <w:rFonts w:hint="cs"/>
          <w:sz w:val="27"/>
          <w:rtl/>
          <w:lang w:bidi="fa-IR"/>
        </w:rPr>
        <w:t>َ</w:t>
      </w:r>
      <w:r w:rsidRPr="00282AC9">
        <w:rPr>
          <w:sz w:val="27"/>
          <w:rtl/>
          <w:lang w:bidi="fa-IR"/>
        </w:rPr>
        <w:t>ة النوم</w:t>
      </w:r>
      <w:r w:rsidRPr="00282AC9">
        <w:rPr>
          <w:rFonts w:hint="eastAsia"/>
          <w:sz w:val="24"/>
          <w:szCs w:val="24"/>
          <w:rtl/>
        </w:rPr>
        <w:t>»</w:t>
      </w:r>
      <w:r w:rsidR="008F7712" w:rsidRPr="00282AC9">
        <w:rPr>
          <w:sz w:val="27"/>
          <w:rtl/>
          <w:lang w:bidi="fa-IR"/>
        </w:rPr>
        <w:t xml:space="preserve"> بمعنى الن</w:t>
      </w:r>
      <w:r w:rsidR="008F7712" w:rsidRPr="00282AC9">
        <w:rPr>
          <w:rFonts w:hint="cs"/>
          <w:sz w:val="27"/>
          <w:rtl/>
          <w:lang w:bidi="fa-IR"/>
        </w:rPr>
        <w:t>ُّ</w:t>
      </w:r>
      <w:r w:rsidRPr="00282AC9">
        <w:rPr>
          <w:sz w:val="27"/>
          <w:rtl/>
          <w:lang w:bidi="fa-IR"/>
        </w:rPr>
        <w:t>عاس</w:t>
      </w:r>
      <w:r w:rsidR="008F7712" w:rsidRPr="00282AC9">
        <w:rPr>
          <w:rFonts w:hint="cs"/>
          <w:sz w:val="27"/>
          <w:rtl/>
          <w:lang w:bidi="fa-IR"/>
        </w:rPr>
        <w:t>،</w:t>
      </w:r>
      <w:r w:rsidR="008F7712" w:rsidRPr="00282AC9">
        <w:rPr>
          <w:sz w:val="27"/>
          <w:rtl/>
          <w:lang w:bidi="fa-IR"/>
        </w:rPr>
        <w:t xml:space="preserve"> وبفتح</w:t>
      </w:r>
      <w:r w:rsidRPr="00282AC9">
        <w:rPr>
          <w:sz w:val="27"/>
          <w:rtl/>
          <w:lang w:bidi="fa-IR"/>
        </w:rPr>
        <w:t xml:space="preserve"> السين والنون</w:t>
      </w:r>
      <w:r w:rsidR="008F7712" w:rsidRPr="00282AC9">
        <w:rPr>
          <w:rFonts w:hint="cs"/>
          <w:sz w:val="27"/>
          <w:rtl/>
          <w:lang w:bidi="fa-IR"/>
        </w:rPr>
        <w:t>،</w:t>
      </w:r>
      <w:r w:rsidRPr="00282AC9">
        <w:rPr>
          <w:sz w:val="27"/>
          <w:rtl/>
          <w:lang w:bidi="fa-IR"/>
        </w:rPr>
        <w:t xml:space="preserve"> ولا ربط لها بـ</w:t>
      </w:r>
      <w:r w:rsidRPr="00282AC9">
        <w:rPr>
          <w:rFonts w:hint="cs"/>
          <w:sz w:val="27"/>
          <w:rtl/>
          <w:lang w:bidi="fa-IR"/>
        </w:rPr>
        <w:t xml:space="preserve"> </w:t>
      </w:r>
      <w:r w:rsidRPr="00282AC9">
        <w:rPr>
          <w:rFonts w:hint="eastAsia"/>
          <w:sz w:val="24"/>
          <w:szCs w:val="24"/>
          <w:rtl/>
          <w:lang w:bidi="fa-IR"/>
        </w:rPr>
        <w:t>«</w:t>
      </w:r>
      <w:r w:rsidR="008F7712" w:rsidRPr="00282AC9">
        <w:rPr>
          <w:sz w:val="27"/>
          <w:rtl/>
          <w:lang w:bidi="fa-IR"/>
        </w:rPr>
        <w:t>الس</w:t>
      </w:r>
      <w:r w:rsidR="008F7712" w:rsidRPr="00282AC9">
        <w:rPr>
          <w:rFonts w:hint="cs"/>
          <w:sz w:val="27"/>
          <w:rtl/>
          <w:lang w:bidi="fa-IR"/>
        </w:rPr>
        <w:t>ُّ</w:t>
      </w:r>
      <w:r w:rsidRPr="00282AC9">
        <w:rPr>
          <w:sz w:val="27"/>
          <w:rtl/>
          <w:lang w:bidi="fa-IR"/>
        </w:rPr>
        <w:t>نَّة</w:t>
      </w:r>
      <w:r w:rsidRPr="00282AC9">
        <w:rPr>
          <w:rFonts w:hint="eastAsia"/>
          <w:sz w:val="24"/>
          <w:szCs w:val="24"/>
          <w:rtl/>
        </w:rPr>
        <w:t>»</w:t>
      </w:r>
      <w:r w:rsidR="008F7712" w:rsidRPr="00282AC9">
        <w:rPr>
          <w:rFonts w:hint="cs"/>
          <w:sz w:val="27"/>
          <w:rtl/>
          <w:lang w:bidi="fa-IR"/>
        </w:rPr>
        <w:t>،</w:t>
      </w:r>
      <w:r w:rsidRPr="00282AC9">
        <w:rPr>
          <w:sz w:val="27"/>
          <w:rtl/>
          <w:lang w:bidi="fa-IR"/>
        </w:rPr>
        <w:t xml:space="preserve"> التي نحن بصددها في هذه الدراسة.</w:t>
      </w:r>
    </w:p>
    <w:p w:rsidR="00ED0B02" w:rsidRPr="00282AC9" w:rsidRDefault="00ED0B02" w:rsidP="00C875A1">
      <w:pPr>
        <w:spacing w:line="420" w:lineRule="exact"/>
        <w:rPr>
          <w:rtl/>
        </w:rPr>
      </w:pPr>
    </w:p>
    <w:p w:rsidR="00464852" w:rsidRPr="00282AC9" w:rsidRDefault="008F6C42" w:rsidP="00D933FD">
      <w:pPr>
        <w:pStyle w:val="31"/>
        <w:rPr>
          <w:color w:val="auto"/>
          <w:lang w:bidi="fa-IR"/>
        </w:rPr>
      </w:pPr>
      <w:r w:rsidRPr="00282AC9">
        <w:rPr>
          <w:rFonts w:hint="cs"/>
          <w:color w:val="auto"/>
          <w:rtl/>
          <w:lang w:bidi="fa-IR"/>
        </w:rPr>
        <w:t xml:space="preserve">2ـ </w:t>
      </w:r>
      <w:r w:rsidR="00464852" w:rsidRPr="00282AC9">
        <w:rPr>
          <w:color w:val="auto"/>
          <w:rtl/>
          <w:lang w:bidi="fa-IR"/>
        </w:rPr>
        <w:t>شعرٌ لأيمن بن خريم الأسديّ</w:t>
      </w:r>
      <w:r w:rsidR="008F7712" w:rsidRPr="00282AC9">
        <w:rPr>
          <w:rFonts w:hint="cs"/>
          <w:color w:val="auto"/>
          <w:rtl/>
          <w:lang w:bidi="fa-IR"/>
        </w:rPr>
        <w:t>،</w:t>
      </w:r>
      <w:r w:rsidR="00464852" w:rsidRPr="00282AC9">
        <w:rPr>
          <w:color w:val="auto"/>
          <w:rtl/>
          <w:lang w:bidi="fa-IR"/>
        </w:rPr>
        <w:t xml:space="preserve"> في رثا</w:t>
      </w:r>
      <w:r w:rsidR="008F7712" w:rsidRPr="00282AC9">
        <w:rPr>
          <w:rFonts w:hint="cs"/>
          <w:color w:val="auto"/>
          <w:rtl/>
          <w:lang w:bidi="fa-IR"/>
        </w:rPr>
        <w:t>ئ</w:t>
      </w:r>
      <w:r w:rsidR="00464852" w:rsidRPr="00282AC9">
        <w:rPr>
          <w:color w:val="auto"/>
          <w:rtl/>
          <w:lang w:bidi="fa-IR"/>
        </w:rPr>
        <w:t>ه لعثمان‏ بن عفان وذمّ قاتليه</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850"/>
        <w:gridCol w:w="3052"/>
      </w:tblGrid>
      <w:tr w:rsidR="00956724" w:rsidRPr="00282AC9" w:rsidTr="007A4332">
        <w:trPr>
          <w:jc w:val="center"/>
        </w:trPr>
        <w:tc>
          <w:tcPr>
            <w:tcW w:w="3986" w:type="dxa"/>
            <w:gridSpan w:val="2"/>
          </w:tcPr>
          <w:p w:rsidR="00956724" w:rsidRPr="00282AC9" w:rsidRDefault="00956724" w:rsidP="00821CCC">
            <w:pPr>
              <w:spacing w:line="240" w:lineRule="auto"/>
              <w:ind w:firstLine="0"/>
              <w:jc w:val="lowKashida"/>
              <w:rPr>
                <w:sz w:val="2"/>
                <w:szCs w:val="2"/>
                <w:rtl/>
              </w:rPr>
            </w:pPr>
            <w:r w:rsidRPr="00282AC9">
              <w:rPr>
                <w:rFonts w:hint="eastAsia"/>
                <w:sz w:val="24"/>
                <w:szCs w:val="24"/>
                <w:rtl/>
                <w:lang w:bidi="fa-IR"/>
              </w:rPr>
              <w:t>«</w:t>
            </w:r>
            <w:r w:rsidRPr="00282AC9">
              <w:rPr>
                <w:sz w:val="27"/>
                <w:rtl/>
                <w:lang w:bidi="fa-IR"/>
              </w:rPr>
              <w:t>تفاقد الذابحو</w:t>
            </w:r>
            <w:r w:rsidRPr="00282AC9">
              <w:rPr>
                <w:rFonts w:hint="cs"/>
                <w:sz w:val="27"/>
                <w:rtl/>
                <w:lang w:bidi="fa-IR"/>
              </w:rPr>
              <w:t xml:space="preserve"> </w:t>
            </w:r>
            <w:r w:rsidRPr="00282AC9">
              <w:rPr>
                <w:sz w:val="27"/>
                <w:rtl/>
                <w:lang w:bidi="fa-IR"/>
              </w:rPr>
              <w:t>عثـــــمان ضاحـــية</w:t>
            </w:r>
            <w:r w:rsidRPr="00282AC9">
              <w:rPr>
                <w:rFonts w:hint="cs"/>
                <w:sz w:val="27"/>
                <w:rtl/>
              </w:rPr>
              <w:br/>
            </w:r>
          </w:p>
        </w:tc>
        <w:tc>
          <w:tcPr>
            <w:tcW w:w="3052" w:type="dxa"/>
          </w:tcPr>
          <w:p w:rsidR="00956724" w:rsidRPr="00282AC9" w:rsidRDefault="00956724" w:rsidP="00821CCC">
            <w:pPr>
              <w:spacing w:line="240" w:lineRule="auto"/>
              <w:ind w:firstLine="0"/>
              <w:jc w:val="lowKashida"/>
              <w:rPr>
                <w:sz w:val="2"/>
                <w:szCs w:val="2"/>
                <w:rtl/>
              </w:rPr>
            </w:pPr>
            <w:r w:rsidRPr="00282AC9">
              <w:rPr>
                <w:rFonts w:hint="cs"/>
                <w:sz w:val="27"/>
                <w:rtl/>
              </w:rPr>
              <w:br/>
            </w:r>
          </w:p>
        </w:tc>
      </w:tr>
      <w:tr w:rsidR="00956724" w:rsidRPr="00282AC9" w:rsidTr="007A4332">
        <w:trPr>
          <w:jc w:val="center"/>
        </w:trPr>
        <w:tc>
          <w:tcPr>
            <w:tcW w:w="3136" w:type="dxa"/>
          </w:tcPr>
          <w:p w:rsidR="00956724" w:rsidRPr="00282AC9" w:rsidRDefault="00956724" w:rsidP="00821CCC">
            <w:pPr>
              <w:spacing w:line="240" w:lineRule="auto"/>
              <w:ind w:firstLine="0"/>
              <w:jc w:val="lowKashida"/>
              <w:rPr>
                <w:sz w:val="2"/>
                <w:szCs w:val="2"/>
                <w:rtl/>
              </w:rPr>
            </w:pPr>
            <w:r w:rsidRPr="00282AC9">
              <w:rPr>
                <w:rFonts w:hint="cs"/>
                <w:sz w:val="27"/>
                <w:rtl/>
              </w:rPr>
              <w:br/>
            </w:r>
          </w:p>
        </w:tc>
        <w:tc>
          <w:tcPr>
            <w:tcW w:w="3902" w:type="dxa"/>
            <w:gridSpan w:val="2"/>
          </w:tcPr>
          <w:p w:rsidR="00956724" w:rsidRPr="00282AC9" w:rsidRDefault="00956724" w:rsidP="00821CCC">
            <w:pPr>
              <w:spacing w:line="240" w:lineRule="auto"/>
              <w:ind w:firstLine="0"/>
              <w:jc w:val="lowKashida"/>
              <w:rPr>
                <w:sz w:val="2"/>
                <w:szCs w:val="2"/>
                <w:rtl/>
              </w:rPr>
            </w:pPr>
            <w:r w:rsidRPr="00282AC9">
              <w:rPr>
                <w:sz w:val="27"/>
                <w:rtl/>
                <w:lang w:bidi="fa-IR"/>
              </w:rPr>
              <w:t>أيّ قتيـــل حــــرام ذبّــحوا ذبـحوا</w:t>
            </w:r>
            <w:r w:rsidRPr="00282AC9">
              <w:rPr>
                <w:rFonts w:hint="cs"/>
                <w:sz w:val="27"/>
                <w:rtl/>
              </w:rPr>
              <w:br/>
            </w:r>
          </w:p>
        </w:tc>
      </w:tr>
      <w:tr w:rsidR="00956724" w:rsidRPr="00282AC9" w:rsidTr="007A4332">
        <w:trPr>
          <w:jc w:val="center"/>
        </w:trPr>
        <w:tc>
          <w:tcPr>
            <w:tcW w:w="3986" w:type="dxa"/>
            <w:gridSpan w:val="2"/>
          </w:tcPr>
          <w:p w:rsidR="00956724" w:rsidRPr="00282AC9" w:rsidRDefault="00956724" w:rsidP="00821CCC">
            <w:pPr>
              <w:spacing w:line="240" w:lineRule="auto"/>
              <w:ind w:firstLine="0"/>
              <w:jc w:val="lowKashida"/>
              <w:rPr>
                <w:sz w:val="2"/>
                <w:szCs w:val="2"/>
                <w:rtl/>
              </w:rPr>
            </w:pPr>
            <w:r w:rsidRPr="00282AC9">
              <w:rPr>
                <w:sz w:val="27"/>
                <w:rtl/>
                <w:lang w:bidi="fa-IR"/>
              </w:rPr>
              <w:t>ضحّوا بعثمان في الشهر الحرام ولم</w:t>
            </w:r>
            <w:r w:rsidRPr="00282AC9">
              <w:rPr>
                <w:rFonts w:hint="cs"/>
                <w:sz w:val="27"/>
                <w:rtl/>
              </w:rPr>
              <w:br/>
            </w:r>
          </w:p>
        </w:tc>
        <w:tc>
          <w:tcPr>
            <w:tcW w:w="3052" w:type="dxa"/>
          </w:tcPr>
          <w:p w:rsidR="00956724" w:rsidRPr="00282AC9" w:rsidRDefault="00956724" w:rsidP="00821CCC">
            <w:pPr>
              <w:spacing w:line="240" w:lineRule="auto"/>
              <w:ind w:firstLine="0"/>
              <w:jc w:val="lowKashida"/>
              <w:rPr>
                <w:sz w:val="2"/>
                <w:szCs w:val="2"/>
                <w:rtl/>
              </w:rPr>
            </w:pPr>
            <w:r w:rsidRPr="00282AC9">
              <w:rPr>
                <w:rFonts w:hint="cs"/>
                <w:sz w:val="27"/>
                <w:rtl/>
              </w:rPr>
              <w:br/>
            </w:r>
          </w:p>
        </w:tc>
      </w:tr>
      <w:tr w:rsidR="00956724" w:rsidRPr="00282AC9" w:rsidTr="007A4332">
        <w:trPr>
          <w:jc w:val="center"/>
        </w:trPr>
        <w:tc>
          <w:tcPr>
            <w:tcW w:w="3136" w:type="dxa"/>
          </w:tcPr>
          <w:p w:rsidR="00956724" w:rsidRPr="00282AC9" w:rsidRDefault="00956724" w:rsidP="00821CCC">
            <w:pPr>
              <w:spacing w:line="240" w:lineRule="auto"/>
              <w:ind w:firstLine="0"/>
              <w:jc w:val="lowKashida"/>
              <w:rPr>
                <w:sz w:val="2"/>
                <w:szCs w:val="2"/>
                <w:rtl/>
              </w:rPr>
            </w:pPr>
            <w:r w:rsidRPr="00282AC9">
              <w:rPr>
                <w:rFonts w:hint="cs"/>
                <w:sz w:val="27"/>
                <w:rtl/>
              </w:rPr>
              <w:br/>
            </w:r>
          </w:p>
        </w:tc>
        <w:tc>
          <w:tcPr>
            <w:tcW w:w="3902" w:type="dxa"/>
            <w:gridSpan w:val="2"/>
          </w:tcPr>
          <w:p w:rsidR="00956724" w:rsidRPr="00282AC9" w:rsidRDefault="00956724" w:rsidP="00821CCC">
            <w:pPr>
              <w:spacing w:line="240" w:lineRule="auto"/>
              <w:ind w:firstLine="0"/>
              <w:jc w:val="lowKashida"/>
              <w:rPr>
                <w:sz w:val="2"/>
                <w:szCs w:val="2"/>
                <w:rtl/>
              </w:rPr>
            </w:pPr>
            <w:r w:rsidRPr="00282AC9">
              <w:rPr>
                <w:sz w:val="27"/>
                <w:rtl/>
                <w:lang w:bidi="fa-IR"/>
              </w:rPr>
              <w:t>يخشوا على مطمح الكف</w:t>
            </w:r>
            <w:r w:rsidRPr="00282AC9">
              <w:rPr>
                <w:rFonts w:hint="cs"/>
                <w:sz w:val="27"/>
                <w:rtl/>
                <w:lang w:bidi="fa-IR"/>
              </w:rPr>
              <w:t>ّ</w:t>
            </w:r>
            <w:r w:rsidRPr="00282AC9">
              <w:rPr>
                <w:sz w:val="27"/>
                <w:rtl/>
                <w:lang w:bidi="fa-IR"/>
              </w:rPr>
              <w:t xml:space="preserve"> الذي طمحوا</w:t>
            </w:r>
            <w:r w:rsidRPr="00282AC9">
              <w:rPr>
                <w:rFonts w:hint="cs"/>
                <w:sz w:val="27"/>
                <w:rtl/>
              </w:rPr>
              <w:br/>
            </w:r>
          </w:p>
        </w:tc>
      </w:tr>
      <w:tr w:rsidR="00956724" w:rsidRPr="00282AC9" w:rsidTr="007A4332">
        <w:trPr>
          <w:jc w:val="center"/>
        </w:trPr>
        <w:tc>
          <w:tcPr>
            <w:tcW w:w="3986" w:type="dxa"/>
            <w:gridSpan w:val="2"/>
          </w:tcPr>
          <w:p w:rsidR="00956724" w:rsidRPr="00282AC9" w:rsidRDefault="00956724" w:rsidP="00821CCC">
            <w:pPr>
              <w:spacing w:line="240" w:lineRule="auto"/>
              <w:ind w:firstLine="0"/>
              <w:jc w:val="lowKashida"/>
              <w:rPr>
                <w:sz w:val="2"/>
                <w:szCs w:val="2"/>
                <w:rtl/>
              </w:rPr>
            </w:pPr>
            <w:r w:rsidRPr="00282AC9">
              <w:rPr>
                <w:sz w:val="27"/>
                <w:rtl/>
                <w:lang w:bidi="fa-IR"/>
              </w:rPr>
              <w:t>فـأيّ سنّة ج</w:t>
            </w:r>
            <w:r w:rsidRPr="00282AC9">
              <w:rPr>
                <w:rFonts w:hint="cs"/>
                <w:sz w:val="27"/>
                <w:rtl/>
                <w:lang w:bidi="fa-IR"/>
              </w:rPr>
              <w:t>َ</w:t>
            </w:r>
            <w:r w:rsidRPr="00282AC9">
              <w:rPr>
                <w:sz w:val="27"/>
                <w:rtl/>
                <w:lang w:bidi="fa-IR"/>
              </w:rPr>
              <w:t>و</w:t>
            </w:r>
            <w:r w:rsidRPr="00282AC9">
              <w:rPr>
                <w:rFonts w:hint="cs"/>
                <w:sz w:val="27"/>
                <w:rtl/>
                <w:lang w:bidi="fa-IR"/>
              </w:rPr>
              <w:t>ْ</w:t>
            </w:r>
            <w:r w:rsidRPr="00282AC9">
              <w:rPr>
                <w:sz w:val="27"/>
                <w:rtl/>
                <w:lang w:bidi="fa-IR"/>
              </w:rPr>
              <w:t>ر</w:t>
            </w:r>
            <w:r w:rsidRPr="00282AC9">
              <w:rPr>
                <w:rFonts w:hint="cs"/>
                <w:sz w:val="27"/>
                <w:rtl/>
                <w:lang w:bidi="fa-IR"/>
              </w:rPr>
              <w:t>ٍ</w:t>
            </w:r>
            <w:r w:rsidRPr="00282AC9">
              <w:rPr>
                <w:sz w:val="27"/>
                <w:rtl/>
                <w:lang w:bidi="fa-IR"/>
              </w:rPr>
              <w:t xml:space="preserve"> سنّ‏ أوّل</w:t>
            </w:r>
            <w:r w:rsidRPr="00282AC9">
              <w:rPr>
                <w:rFonts w:hint="cs"/>
                <w:sz w:val="27"/>
                <w:rtl/>
                <w:lang w:bidi="fa-IR"/>
              </w:rPr>
              <w:t>ُ</w:t>
            </w:r>
            <w:r w:rsidRPr="00282AC9">
              <w:rPr>
                <w:sz w:val="27"/>
                <w:rtl/>
                <w:lang w:bidi="fa-IR"/>
              </w:rPr>
              <w:t>ـهم</w:t>
            </w:r>
            <w:r w:rsidRPr="00282AC9">
              <w:rPr>
                <w:rFonts w:hint="cs"/>
                <w:sz w:val="27"/>
                <w:rtl/>
              </w:rPr>
              <w:br/>
            </w:r>
          </w:p>
        </w:tc>
        <w:tc>
          <w:tcPr>
            <w:tcW w:w="3052" w:type="dxa"/>
          </w:tcPr>
          <w:p w:rsidR="00956724" w:rsidRPr="00282AC9" w:rsidRDefault="00956724" w:rsidP="00821CCC">
            <w:pPr>
              <w:spacing w:line="240" w:lineRule="auto"/>
              <w:ind w:firstLine="0"/>
              <w:jc w:val="lowKashida"/>
              <w:rPr>
                <w:sz w:val="2"/>
                <w:szCs w:val="2"/>
                <w:rtl/>
              </w:rPr>
            </w:pPr>
            <w:r w:rsidRPr="00282AC9">
              <w:rPr>
                <w:rFonts w:hint="cs"/>
                <w:sz w:val="27"/>
                <w:rtl/>
              </w:rPr>
              <w:br/>
            </w:r>
          </w:p>
        </w:tc>
      </w:tr>
      <w:tr w:rsidR="00956724" w:rsidRPr="00282AC9" w:rsidTr="007A4332">
        <w:trPr>
          <w:jc w:val="center"/>
        </w:trPr>
        <w:tc>
          <w:tcPr>
            <w:tcW w:w="3136" w:type="dxa"/>
          </w:tcPr>
          <w:p w:rsidR="00956724" w:rsidRPr="00282AC9" w:rsidRDefault="00956724" w:rsidP="00821CCC">
            <w:pPr>
              <w:spacing w:line="240" w:lineRule="auto"/>
              <w:ind w:firstLine="0"/>
              <w:jc w:val="lowKashida"/>
              <w:rPr>
                <w:sz w:val="2"/>
                <w:szCs w:val="2"/>
                <w:rtl/>
              </w:rPr>
            </w:pPr>
            <w:r w:rsidRPr="00282AC9">
              <w:rPr>
                <w:rFonts w:hint="cs"/>
                <w:sz w:val="27"/>
                <w:rtl/>
              </w:rPr>
              <w:br/>
            </w:r>
          </w:p>
        </w:tc>
        <w:tc>
          <w:tcPr>
            <w:tcW w:w="3902" w:type="dxa"/>
            <w:gridSpan w:val="2"/>
          </w:tcPr>
          <w:p w:rsidR="00956724" w:rsidRPr="00282AC9" w:rsidRDefault="00956724" w:rsidP="00821CCC">
            <w:pPr>
              <w:spacing w:line="240" w:lineRule="auto"/>
              <w:ind w:firstLine="0"/>
              <w:jc w:val="lowKashida"/>
              <w:rPr>
                <w:sz w:val="2"/>
                <w:szCs w:val="2"/>
                <w:rtl/>
              </w:rPr>
            </w:pPr>
            <w:r w:rsidRPr="00282AC9">
              <w:rPr>
                <w:sz w:val="27"/>
                <w:rtl/>
                <w:lang w:bidi="fa-IR"/>
              </w:rPr>
              <w:t>وباب ج</w:t>
            </w:r>
            <w:r w:rsidRPr="00282AC9">
              <w:rPr>
                <w:rFonts w:hint="cs"/>
                <w:sz w:val="27"/>
                <w:rtl/>
                <w:lang w:bidi="fa-IR"/>
              </w:rPr>
              <w:t>َ</w:t>
            </w:r>
            <w:r w:rsidRPr="00282AC9">
              <w:rPr>
                <w:sz w:val="27"/>
                <w:rtl/>
                <w:lang w:bidi="fa-IR"/>
              </w:rPr>
              <w:t>و</w:t>
            </w:r>
            <w:r w:rsidRPr="00282AC9">
              <w:rPr>
                <w:rFonts w:hint="cs"/>
                <w:sz w:val="27"/>
                <w:rtl/>
                <w:lang w:bidi="fa-IR"/>
              </w:rPr>
              <w:t>ْ</w:t>
            </w:r>
            <w:r w:rsidRPr="00282AC9">
              <w:rPr>
                <w:sz w:val="27"/>
                <w:rtl/>
                <w:lang w:bidi="fa-IR"/>
              </w:rPr>
              <w:t>ر</w:t>
            </w:r>
            <w:r w:rsidRPr="00282AC9">
              <w:rPr>
                <w:rFonts w:hint="cs"/>
                <w:sz w:val="27"/>
                <w:rtl/>
                <w:lang w:bidi="fa-IR"/>
              </w:rPr>
              <w:t>ٍ</w:t>
            </w:r>
            <w:r w:rsidRPr="00282AC9">
              <w:rPr>
                <w:sz w:val="27"/>
                <w:rtl/>
                <w:lang w:bidi="fa-IR"/>
              </w:rPr>
              <w:t xml:space="preserve"> على ســلطانهم فتحوا</w:t>
            </w:r>
            <w:r w:rsidRPr="00282AC9">
              <w:rPr>
                <w:rFonts w:hint="cs"/>
                <w:sz w:val="27"/>
                <w:rtl/>
              </w:rPr>
              <w:br/>
            </w:r>
          </w:p>
        </w:tc>
      </w:tr>
      <w:tr w:rsidR="00956724" w:rsidRPr="00282AC9" w:rsidTr="007A4332">
        <w:trPr>
          <w:jc w:val="center"/>
        </w:trPr>
        <w:tc>
          <w:tcPr>
            <w:tcW w:w="3986" w:type="dxa"/>
            <w:gridSpan w:val="2"/>
          </w:tcPr>
          <w:p w:rsidR="00956724" w:rsidRPr="00282AC9" w:rsidRDefault="00956724" w:rsidP="00821CCC">
            <w:pPr>
              <w:spacing w:line="240" w:lineRule="auto"/>
              <w:ind w:firstLine="0"/>
              <w:jc w:val="lowKashida"/>
              <w:rPr>
                <w:sz w:val="2"/>
                <w:szCs w:val="2"/>
                <w:rtl/>
              </w:rPr>
            </w:pPr>
            <w:r w:rsidRPr="00282AC9">
              <w:rPr>
                <w:sz w:val="27"/>
                <w:rtl/>
                <w:lang w:bidi="fa-IR"/>
              </w:rPr>
              <w:t>ماذا أرادوا أضــلّ</w:t>
            </w:r>
            <w:r w:rsidRPr="00282AC9">
              <w:rPr>
                <w:rFonts w:hint="cs"/>
                <w:sz w:val="27"/>
                <w:rtl/>
                <w:lang w:bidi="fa-IR"/>
              </w:rPr>
              <w:t>َ</w:t>
            </w:r>
            <w:r w:rsidRPr="00282AC9">
              <w:rPr>
                <w:sz w:val="27"/>
                <w:rtl/>
                <w:lang w:bidi="fa-IR"/>
              </w:rPr>
              <w:t xml:space="preserve"> الله سعـيهم</w:t>
            </w:r>
            <w:r w:rsidRPr="00282AC9">
              <w:rPr>
                <w:rFonts w:hint="cs"/>
                <w:sz w:val="27"/>
                <w:rtl/>
              </w:rPr>
              <w:br/>
            </w:r>
          </w:p>
        </w:tc>
        <w:tc>
          <w:tcPr>
            <w:tcW w:w="3052" w:type="dxa"/>
          </w:tcPr>
          <w:p w:rsidR="00956724" w:rsidRPr="00282AC9" w:rsidRDefault="00956724" w:rsidP="00821CCC">
            <w:pPr>
              <w:spacing w:line="240" w:lineRule="auto"/>
              <w:ind w:firstLine="0"/>
              <w:jc w:val="lowKashida"/>
              <w:rPr>
                <w:sz w:val="2"/>
                <w:szCs w:val="2"/>
                <w:rtl/>
              </w:rPr>
            </w:pPr>
            <w:r w:rsidRPr="00282AC9">
              <w:rPr>
                <w:rFonts w:hint="cs"/>
                <w:sz w:val="27"/>
                <w:rtl/>
              </w:rPr>
              <w:br/>
            </w:r>
          </w:p>
        </w:tc>
      </w:tr>
      <w:tr w:rsidR="00956724" w:rsidRPr="00282AC9" w:rsidTr="007A4332">
        <w:trPr>
          <w:jc w:val="center"/>
        </w:trPr>
        <w:tc>
          <w:tcPr>
            <w:tcW w:w="3136" w:type="dxa"/>
          </w:tcPr>
          <w:p w:rsidR="00956724" w:rsidRPr="00282AC9" w:rsidRDefault="00956724" w:rsidP="00821CCC">
            <w:pPr>
              <w:spacing w:line="240" w:lineRule="auto"/>
              <w:ind w:firstLine="0"/>
              <w:jc w:val="lowKashida"/>
              <w:rPr>
                <w:sz w:val="2"/>
                <w:szCs w:val="2"/>
                <w:rtl/>
              </w:rPr>
            </w:pPr>
            <w:r w:rsidRPr="00282AC9">
              <w:rPr>
                <w:rFonts w:hint="cs"/>
                <w:sz w:val="27"/>
                <w:rtl/>
              </w:rPr>
              <w:br/>
            </w:r>
          </w:p>
        </w:tc>
        <w:tc>
          <w:tcPr>
            <w:tcW w:w="3902" w:type="dxa"/>
            <w:gridSpan w:val="2"/>
          </w:tcPr>
          <w:p w:rsidR="00956724" w:rsidRPr="00282AC9" w:rsidRDefault="00956724" w:rsidP="00821CCC">
            <w:pPr>
              <w:spacing w:line="240" w:lineRule="auto"/>
              <w:ind w:firstLine="0"/>
              <w:jc w:val="lowKashida"/>
              <w:rPr>
                <w:sz w:val="2"/>
                <w:szCs w:val="2"/>
                <w:rtl/>
              </w:rPr>
            </w:pPr>
            <w:r w:rsidRPr="00282AC9">
              <w:rPr>
                <w:sz w:val="27"/>
                <w:rtl/>
                <w:lang w:bidi="fa-IR"/>
              </w:rPr>
              <w:t>من سفح ذاك الدم الزاكي الذي سفحوا</w:t>
            </w:r>
            <w:r w:rsidRPr="00282AC9">
              <w:rPr>
                <w:rFonts w:hint="eastAsia"/>
                <w:sz w:val="24"/>
                <w:szCs w:val="24"/>
                <w:rtl/>
              </w:rPr>
              <w:t>»</w:t>
            </w:r>
            <w:r w:rsidRPr="00282AC9">
              <w:rPr>
                <w:sz w:val="27"/>
                <w:vertAlign w:val="superscript"/>
                <w:rtl/>
              </w:rPr>
              <w:t>(</w:t>
            </w:r>
            <w:r w:rsidRPr="00282AC9">
              <w:rPr>
                <w:rStyle w:val="af9"/>
                <w:sz w:val="27"/>
                <w:rtl/>
              </w:rPr>
              <w:endnoteReference w:id="567"/>
            </w:r>
            <w:r w:rsidRPr="00282AC9">
              <w:rPr>
                <w:sz w:val="27"/>
                <w:vertAlign w:val="superscript"/>
                <w:rtl/>
              </w:rPr>
              <w:t>)</w:t>
            </w:r>
            <w:r w:rsidRPr="00282AC9">
              <w:rPr>
                <w:rFonts w:hint="cs"/>
                <w:sz w:val="27"/>
                <w:rtl/>
              </w:rPr>
              <w:br/>
            </w:r>
          </w:p>
        </w:tc>
      </w:tr>
    </w:tbl>
    <w:p w:rsidR="00464852" w:rsidRPr="00282AC9" w:rsidRDefault="00464852" w:rsidP="007E6952">
      <w:pPr>
        <w:spacing w:line="390" w:lineRule="exact"/>
        <w:rPr>
          <w:sz w:val="27"/>
          <w:rtl/>
          <w:lang w:bidi="fa-IR"/>
        </w:rPr>
      </w:pPr>
      <w:r w:rsidRPr="00282AC9">
        <w:rPr>
          <w:sz w:val="27"/>
          <w:rtl/>
          <w:lang w:bidi="fa-IR"/>
        </w:rPr>
        <w:t>إن المعنى السلبي واضحٌ من هذا السياق</w:t>
      </w:r>
      <w:r w:rsidR="00956724" w:rsidRPr="00282AC9">
        <w:rPr>
          <w:rFonts w:hint="cs"/>
          <w:sz w:val="27"/>
          <w:rtl/>
          <w:lang w:bidi="fa-IR"/>
        </w:rPr>
        <w:t>،</w:t>
      </w:r>
      <w:r w:rsidRPr="00282AC9">
        <w:rPr>
          <w:sz w:val="27"/>
          <w:rtl/>
          <w:lang w:bidi="fa-IR"/>
        </w:rPr>
        <w:t xml:space="preserve"> وبالتالي يت</w:t>
      </w:r>
      <w:r w:rsidR="00956724" w:rsidRPr="00282AC9">
        <w:rPr>
          <w:rFonts w:hint="cs"/>
          <w:sz w:val="27"/>
          <w:rtl/>
          <w:lang w:bidi="fa-IR"/>
        </w:rPr>
        <w:t>ّ</w:t>
      </w:r>
      <w:r w:rsidRPr="00282AC9">
        <w:rPr>
          <w:sz w:val="27"/>
          <w:rtl/>
          <w:lang w:bidi="fa-IR"/>
        </w:rPr>
        <w:t xml:space="preserve">ضح أن </w:t>
      </w:r>
      <w:r w:rsidRPr="00282AC9">
        <w:rPr>
          <w:sz w:val="24"/>
          <w:szCs w:val="24"/>
          <w:rtl/>
          <w:lang w:bidi="fa-IR"/>
        </w:rPr>
        <w:t>«</w:t>
      </w:r>
      <w:r w:rsidR="00956724" w:rsidRPr="00282AC9">
        <w:rPr>
          <w:sz w:val="27"/>
          <w:rtl/>
          <w:lang w:bidi="fa-IR"/>
        </w:rPr>
        <w:t>الس</w:t>
      </w:r>
      <w:r w:rsidR="00956724" w:rsidRPr="00282AC9">
        <w:rPr>
          <w:rFonts w:hint="cs"/>
          <w:sz w:val="27"/>
          <w:rtl/>
          <w:lang w:bidi="fa-IR"/>
        </w:rPr>
        <w:t>ُّ</w:t>
      </w:r>
      <w:r w:rsidRPr="00282AC9">
        <w:rPr>
          <w:sz w:val="27"/>
          <w:rtl/>
          <w:lang w:bidi="fa-IR"/>
        </w:rPr>
        <w:t>نَّة</w:t>
      </w:r>
      <w:r w:rsidRPr="00282AC9">
        <w:rPr>
          <w:sz w:val="24"/>
          <w:szCs w:val="24"/>
          <w:rtl/>
          <w:lang w:bidi="fa-IR"/>
        </w:rPr>
        <w:t>»</w:t>
      </w:r>
      <w:r w:rsidRPr="00282AC9">
        <w:rPr>
          <w:sz w:val="27"/>
          <w:rtl/>
          <w:lang w:bidi="fa-IR"/>
        </w:rPr>
        <w:t xml:space="preserve"> هنا أيضا</w:t>
      </w:r>
      <w:r w:rsidR="00956724" w:rsidRPr="00282AC9">
        <w:rPr>
          <w:rFonts w:hint="cs"/>
          <w:sz w:val="27"/>
          <w:rtl/>
          <w:lang w:bidi="fa-IR"/>
        </w:rPr>
        <w:t>ً</w:t>
      </w:r>
      <w:r w:rsidRPr="00282AC9">
        <w:rPr>
          <w:sz w:val="27"/>
          <w:rtl/>
          <w:lang w:bidi="fa-IR"/>
        </w:rPr>
        <w:t xml:space="preserve"> است</w:t>
      </w:r>
      <w:r w:rsidR="00956724" w:rsidRPr="00282AC9">
        <w:rPr>
          <w:rFonts w:hint="cs"/>
          <w:sz w:val="27"/>
          <w:rtl/>
          <w:lang w:bidi="fa-IR"/>
        </w:rPr>
        <w:t>ُ</w:t>
      </w:r>
      <w:r w:rsidRPr="00282AC9">
        <w:rPr>
          <w:sz w:val="27"/>
          <w:rtl/>
          <w:lang w:bidi="fa-IR"/>
        </w:rPr>
        <w:t>عمل</w:t>
      </w:r>
      <w:r w:rsidR="00956724" w:rsidRPr="00282AC9">
        <w:rPr>
          <w:rFonts w:hint="cs"/>
          <w:sz w:val="27"/>
          <w:rtl/>
          <w:lang w:bidi="fa-IR"/>
        </w:rPr>
        <w:t>َ</w:t>
      </w:r>
      <w:r w:rsidRPr="00282AC9">
        <w:rPr>
          <w:sz w:val="27"/>
          <w:rtl/>
          <w:lang w:bidi="fa-IR"/>
        </w:rPr>
        <w:t>ت</w:t>
      </w:r>
      <w:r w:rsidR="00956724" w:rsidRPr="00282AC9">
        <w:rPr>
          <w:rFonts w:hint="cs"/>
          <w:sz w:val="27"/>
          <w:rtl/>
          <w:lang w:bidi="fa-IR"/>
        </w:rPr>
        <w:t>ْ</w:t>
      </w:r>
      <w:r w:rsidRPr="00282AC9">
        <w:rPr>
          <w:sz w:val="27"/>
          <w:rtl/>
          <w:lang w:bidi="fa-IR"/>
        </w:rPr>
        <w:t xml:space="preserve"> في مصداق</w:t>
      </w:r>
      <w:r w:rsidR="00956724" w:rsidRPr="00282AC9">
        <w:rPr>
          <w:rFonts w:hint="cs"/>
          <w:sz w:val="27"/>
          <w:rtl/>
          <w:lang w:bidi="fa-IR"/>
        </w:rPr>
        <w:t>ٍ</w:t>
      </w:r>
      <w:r w:rsidRPr="00282AC9">
        <w:rPr>
          <w:sz w:val="27"/>
          <w:rtl/>
          <w:lang w:bidi="fa-IR"/>
        </w:rPr>
        <w:t xml:space="preserve"> قبيح للطريقة.</w:t>
      </w:r>
    </w:p>
    <w:p w:rsidR="00ED0B02" w:rsidRPr="00282AC9" w:rsidRDefault="00ED0B02" w:rsidP="00C875A1">
      <w:pPr>
        <w:spacing w:line="440" w:lineRule="exact"/>
        <w:rPr>
          <w:rtl/>
        </w:rPr>
      </w:pPr>
    </w:p>
    <w:p w:rsidR="00464852" w:rsidRPr="00282AC9" w:rsidRDefault="008F6C42" w:rsidP="00F023C0">
      <w:pPr>
        <w:pStyle w:val="31"/>
        <w:rPr>
          <w:color w:val="auto"/>
          <w:lang w:bidi="fa-IR"/>
        </w:rPr>
      </w:pPr>
      <w:r w:rsidRPr="00282AC9">
        <w:rPr>
          <w:rFonts w:hint="cs"/>
          <w:color w:val="auto"/>
          <w:rtl/>
          <w:lang w:bidi="fa-IR"/>
        </w:rPr>
        <w:t xml:space="preserve">3ـ </w:t>
      </w:r>
      <w:r w:rsidR="00464852" w:rsidRPr="00282AC9">
        <w:rPr>
          <w:color w:val="auto"/>
          <w:rtl/>
          <w:lang w:bidi="fa-IR"/>
        </w:rPr>
        <w:t>شعرٌ لخالد الهذلي</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956724" w:rsidRPr="00282AC9" w:rsidTr="007A4332">
        <w:trPr>
          <w:jc w:val="center"/>
        </w:trPr>
        <w:tc>
          <w:tcPr>
            <w:tcW w:w="3136" w:type="dxa"/>
          </w:tcPr>
          <w:p w:rsidR="00956724" w:rsidRPr="00282AC9" w:rsidRDefault="00956724" w:rsidP="00821CCC">
            <w:pPr>
              <w:spacing w:line="240" w:lineRule="auto"/>
              <w:ind w:firstLine="0"/>
              <w:jc w:val="lowKashida"/>
              <w:rPr>
                <w:sz w:val="2"/>
                <w:szCs w:val="2"/>
                <w:rtl/>
              </w:rPr>
            </w:pPr>
            <w:r w:rsidRPr="00282AC9">
              <w:rPr>
                <w:rFonts w:hint="eastAsia"/>
                <w:sz w:val="24"/>
                <w:szCs w:val="24"/>
                <w:rtl/>
                <w:lang w:bidi="fa-IR"/>
              </w:rPr>
              <w:t>«</w:t>
            </w:r>
            <w:r w:rsidRPr="00282AC9">
              <w:rPr>
                <w:sz w:val="27"/>
                <w:rtl/>
                <w:lang w:bidi="fa-IR"/>
              </w:rPr>
              <w:t>فلا تجز</w:t>
            </w:r>
            <w:r w:rsidRPr="00282AC9">
              <w:rPr>
                <w:rFonts w:hint="cs"/>
                <w:sz w:val="27"/>
                <w:rtl/>
                <w:lang w:bidi="fa-IR"/>
              </w:rPr>
              <w:t>َ</w:t>
            </w:r>
            <w:r w:rsidRPr="00282AC9">
              <w:rPr>
                <w:sz w:val="27"/>
                <w:rtl/>
                <w:lang w:bidi="fa-IR"/>
              </w:rPr>
              <w:t>ع</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 xml:space="preserve"> من سُنّ</w:t>
            </w:r>
            <w:r w:rsidRPr="00282AC9">
              <w:rPr>
                <w:rFonts w:hint="cs"/>
                <w:sz w:val="27"/>
                <w:rtl/>
                <w:lang w:bidi="fa-IR"/>
              </w:rPr>
              <w:t>َ</w:t>
            </w:r>
            <w:r w:rsidRPr="00282AC9">
              <w:rPr>
                <w:sz w:val="27"/>
                <w:rtl/>
                <w:lang w:bidi="fa-IR"/>
              </w:rPr>
              <w:t>ة</w:t>
            </w:r>
            <w:r w:rsidRPr="00282AC9">
              <w:rPr>
                <w:rFonts w:hint="cs"/>
                <w:sz w:val="27"/>
                <w:rtl/>
                <w:lang w:bidi="fa-IR"/>
              </w:rPr>
              <w:t>ٍ</w:t>
            </w:r>
            <w:r w:rsidRPr="00282AC9">
              <w:rPr>
                <w:sz w:val="27"/>
                <w:rtl/>
                <w:lang w:bidi="fa-IR"/>
              </w:rPr>
              <w:t xml:space="preserve"> أنت</w:t>
            </w:r>
            <w:r w:rsidRPr="00282AC9">
              <w:rPr>
                <w:rFonts w:hint="cs"/>
                <w:sz w:val="27"/>
                <w:rtl/>
                <w:lang w:bidi="fa-IR"/>
              </w:rPr>
              <w:t>َ</w:t>
            </w:r>
            <w:r w:rsidRPr="00282AC9">
              <w:rPr>
                <w:sz w:val="27"/>
                <w:rtl/>
                <w:lang w:bidi="fa-IR"/>
              </w:rPr>
              <w:t xml:space="preserve"> س</w:t>
            </w:r>
            <w:r w:rsidRPr="00282AC9">
              <w:rPr>
                <w:rFonts w:hint="cs"/>
                <w:sz w:val="27"/>
                <w:rtl/>
                <w:lang w:bidi="fa-IR"/>
              </w:rPr>
              <w:t>ِ</w:t>
            </w:r>
            <w:r w:rsidRPr="00282AC9">
              <w:rPr>
                <w:sz w:val="27"/>
                <w:rtl/>
                <w:lang w:bidi="fa-IR"/>
              </w:rPr>
              <w:t>ر</w:t>
            </w:r>
            <w:r w:rsidRPr="00282AC9">
              <w:rPr>
                <w:rFonts w:hint="cs"/>
                <w:sz w:val="27"/>
                <w:rtl/>
                <w:lang w:bidi="fa-IR"/>
              </w:rPr>
              <w:t>ْ</w:t>
            </w:r>
            <w:r w:rsidRPr="00282AC9">
              <w:rPr>
                <w:sz w:val="27"/>
                <w:rtl/>
                <w:lang w:bidi="fa-IR"/>
              </w:rPr>
              <w:t>ت</w:t>
            </w:r>
            <w:r w:rsidRPr="00282AC9">
              <w:rPr>
                <w:rFonts w:hint="cs"/>
                <w:sz w:val="27"/>
                <w:rtl/>
                <w:lang w:bidi="fa-IR"/>
              </w:rPr>
              <w:t>َ</w:t>
            </w:r>
            <w:r w:rsidRPr="00282AC9">
              <w:rPr>
                <w:sz w:val="27"/>
                <w:rtl/>
                <w:lang w:bidi="fa-IR"/>
              </w:rPr>
              <w:t>ها</w:t>
            </w:r>
            <w:r w:rsidRPr="00282AC9">
              <w:rPr>
                <w:rFonts w:hint="cs"/>
                <w:sz w:val="27"/>
                <w:rtl/>
              </w:rPr>
              <w:br/>
            </w:r>
          </w:p>
        </w:tc>
        <w:tc>
          <w:tcPr>
            <w:tcW w:w="425" w:type="dxa"/>
          </w:tcPr>
          <w:p w:rsidR="00956724" w:rsidRPr="00282AC9" w:rsidRDefault="00956724" w:rsidP="00821CCC">
            <w:pPr>
              <w:spacing w:line="240" w:lineRule="auto"/>
              <w:ind w:firstLine="0"/>
              <w:jc w:val="lowKashida"/>
              <w:rPr>
                <w:sz w:val="27"/>
                <w:rtl/>
              </w:rPr>
            </w:pPr>
          </w:p>
        </w:tc>
        <w:tc>
          <w:tcPr>
            <w:tcW w:w="3052" w:type="dxa"/>
          </w:tcPr>
          <w:p w:rsidR="00956724" w:rsidRPr="00282AC9" w:rsidRDefault="00956724" w:rsidP="00821CCC">
            <w:pPr>
              <w:spacing w:line="240" w:lineRule="auto"/>
              <w:ind w:firstLine="0"/>
              <w:jc w:val="lowKashida"/>
              <w:rPr>
                <w:sz w:val="2"/>
                <w:szCs w:val="2"/>
                <w:rtl/>
              </w:rPr>
            </w:pPr>
            <w:r w:rsidRPr="00282AC9">
              <w:rPr>
                <w:sz w:val="27"/>
                <w:rtl/>
                <w:lang w:bidi="fa-IR"/>
              </w:rPr>
              <w:t>فأوّل</w:t>
            </w:r>
            <w:r w:rsidRPr="00282AC9">
              <w:rPr>
                <w:rFonts w:hint="cs"/>
                <w:sz w:val="27"/>
                <w:rtl/>
                <w:lang w:bidi="fa-IR"/>
              </w:rPr>
              <w:t>ُ</w:t>
            </w:r>
            <w:r w:rsidRPr="00282AC9">
              <w:rPr>
                <w:sz w:val="27"/>
                <w:rtl/>
                <w:lang w:bidi="fa-IR"/>
              </w:rPr>
              <w:t xml:space="preserve"> راض</w:t>
            </w:r>
            <w:r w:rsidRPr="00282AC9">
              <w:rPr>
                <w:rFonts w:hint="cs"/>
                <w:sz w:val="27"/>
                <w:rtl/>
                <w:lang w:bidi="fa-IR"/>
              </w:rPr>
              <w:t>ٍ</w:t>
            </w:r>
            <w:r w:rsidRPr="00282AC9">
              <w:rPr>
                <w:sz w:val="27"/>
                <w:rtl/>
                <w:lang w:bidi="fa-IR"/>
              </w:rPr>
              <w:t xml:space="preserve"> س</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ة</w:t>
            </w:r>
            <w:r w:rsidRPr="00282AC9">
              <w:rPr>
                <w:rFonts w:hint="cs"/>
                <w:sz w:val="27"/>
                <w:rtl/>
                <w:lang w:bidi="fa-IR"/>
              </w:rPr>
              <w:t>ً</w:t>
            </w:r>
            <w:r w:rsidRPr="00282AC9">
              <w:rPr>
                <w:sz w:val="27"/>
                <w:rtl/>
                <w:lang w:bidi="fa-IR"/>
              </w:rPr>
              <w:t xml:space="preserve"> م</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 xml:space="preserve"> يسيرها</w:t>
            </w:r>
            <w:r w:rsidRPr="00282AC9">
              <w:rPr>
                <w:rFonts w:hint="eastAsia"/>
                <w:sz w:val="24"/>
                <w:szCs w:val="24"/>
                <w:rtl/>
              </w:rPr>
              <w:t>»</w:t>
            </w:r>
            <w:r w:rsidRPr="00282AC9">
              <w:rPr>
                <w:rFonts w:hint="cs"/>
                <w:sz w:val="27"/>
                <w:rtl/>
              </w:rPr>
              <w:br/>
            </w:r>
          </w:p>
        </w:tc>
      </w:tr>
    </w:tbl>
    <w:p w:rsidR="00464852" w:rsidRPr="00282AC9" w:rsidRDefault="00464852" w:rsidP="00407A45">
      <w:pPr>
        <w:spacing w:line="386" w:lineRule="exact"/>
        <w:rPr>
          <w:sz w:val="27"/>
          <w:rtl/>
          <w:lang w:bidi="fa-IR"/>
        </w:rPr>
      </w:pPr>
      <w:r w:rsidRPr="00282AC9">
        <w:rPr>
          <w:sz w:val="27"/>
          <w:rtl/>
          <w:lang w:bidi="fa-IR"/>
        </w:rPr>
        <w:t>ورد هذا الشعر في عدد</w:t>
      </w:r>
      <w:r w:rsidR="00956724" w:rsidRPr="00282AC9">
        <w:rPr>
          <w:rFonts w:hint="cs"/>
          <w:sz w:val="27"/>
          <w:rtl/>
          <w:lang w:bidi="fa-IR"/>
        </w:rPr>
        <w:t>ٍ</w:t>
      </w:r>
      <w:r w:rsidRPr="00282AC9">
        <w:rPr>
          <w:sz w:val="27"/>
          <w:rtl/>
          <w:lang w:bidi="fa-IR"/>
        </w:rPr>
        <w:t xml:space="preserve"> ك</w:t>
      </w:r>
      <w:r w:rsidR="00956724" w:rsidRPr="00282AC9">
        <w:rPr>
          <w:rFonts w:hint="cs"/>
          <w:sz w:val="27"/>
          <w:rtl/>
          <w:lang w:bidi="fa-IR"/>
        </w:rPr>
        <w:t>بير</w:t>
      </w:r>
      <w:r w:rsidRPr="00282AC9">
        <w:rPr>
          <w:sz w:val="27"/>
          <w:rtl/>
          <w:lang w:bidi="fa-IR"/>
        </w:rPr>
        <w:t>ٍ من المعاجم اللغوي</w:t>
      </w:r>
      <w:r w:rsidR="00956724" w:rsidRPr="00282AC9">
        <w:rPr>
          <w:rFonts w:hint="cs"/>
          <w:sz w:val="27"/>
          <w:rtl/>
          <w:lang w:bidi="fa-IR"/>
        </w:rPr>
        <w:t>ّ</w:t>
      </w:r>
      <w:r w:rsidRPr="00282AC9">
        <w:rPr>
          <w:sz w:val="27"/>
          <w:rtl/>
          <w:lang w:bidi="fa-IR"/>
        </w:rPr>
        <w:t>ة</w:t>
      </w:r>
      <w:r w:rsidRPr="00282AC9">
        <w:rPr>
          <w:sz w:val="27"/>
          <w:vertAlign w:val="superscript"/>
          <w:rtl/>
          <w:lang w:bidi="fa-IR"/>
        </w:rPr>
        <w:t>(</w:t>
      </w:r>
      <w:r w:rsidRPr="00282AC9">
        <w:rPr>
          <w:rStyle w:val="af9"/>
          <w:sz w:val="27"/>
          <w:rtl/>
          <w:lang w:bidi="fa-IR"/>
        </w:rPr>
        <w:endnoteReference w:id="568"/>
      </w:r>
      <w:r w:rsidRPr="00282AC9">
        <w:rPr>
          <w:sz w:val="27"/>
          <w:vertAlign w:val="superscript"/>
          <w:rtl/>
          <w:lang w:bidi="fa-IR"/>
        </w:rPr>
        <w:t>)</w:t>
      </w:r>
      <w:r w:rsidRPr="00282AC9">
        <w:rPr>
          <w:sz w:val="27"/>
          <w:rtl/>
          <w:lang w:bidi="fa-IR"/>
        </w:rPr>
        <w:t xml:space="preserve"> وغيرها</w:t>
      </w:r>
      <w:r w:rsidRPr="00282AC9">
        <w:rPr>
          <w:sz w:val="27"/>
          <w:vertAlign w:val="superscript"/>
          <w:rtl/>
          <w:lang w:bidi="fa-IR"/>
        </w:rPr>
        <w:t>(</w:t>
      </w:r>
      <w:r w:rsidRPr="00282AC9">
        <w:rPr>
          <w:rStyle w:val="af9"/>
          <w:sz w:val="27"/>
          <w:rtl/>
          <w:lang w:bidi="fa-IR"/>
        </w:rPr>
        <w:endnoteReference w:id="569"/>
      </w:r>
      <w:r w:rsidRPr="00282AC9">
        <w:rPr>
          <w:sz w:val="27"/>
          <w:vertAlign w:val="superscript"/>
          <w:rtl/>
          <w:lang w:bidi="fa-IR"/>
        </w:rPr>
        <w:t>)</w:t>
      </w:r>
      <w:r w:rsidR="00956724" w:rsidRPr="00282AC9">
        <w:rPr>
          <w:sz w:val="27"/>
          <w:rtl/>
          <w:lang w:bidi="fa-IR"/>
        </w:rPr>
        <w:t>. و</w:t>
      </w:r>
      <w:r w:rsidRPr="00282AC9">
        <w:rPr>
          <w:sz w:val="27"/>
          <w:rtl/>
          <w:lang w:bidi="fa-IR"/>
        </w:rPr>
        <w:t>له قصةٌ يجب أن يُشار إليها</w:t>
      </w:r>
      <w:r w:rsidR="00956724" w:rsidRPr="00282AC9">
        <w:rPr>
          <w:rFonts w:hint="cs"/>
          <w:sz w:val="27"/>
          <w:rtl/>
          <w:lang w:bidi="fa-IR"/>
        </w:rPr>
        <w:t>؛</w:t>
      </w:r>
      <w:r w:rsidRPr="00282AC9">
        <w:rPr>
          <w:sz w:val="27"/>
          <w:rtl/>
          <w:lang w:bidi="fa-IR"/>
        </w:rPr>
        <w:t xml:space="preserve"> لأنها تُبيّ</w:t>
      </w:r>
      <w:r w:rsidR="00956724" w:rsidRPr="00282AC9">
        <w:rPr>
          <w:rFonts w:hint="cs"/>
          <w:sz w:val="27"/>
          <w:rtl/>
          <w:lang w:bidi="fa-IR"/>
        </w:rPr>
        <w:t>ِ</w:t>
      </w:r>
      <w:r w:rsidRPr="00282AC9">
        <w:rPr>
          <w:sz w:val="27"/>
          <w:rtl/>
          <w:lang w:bidi="fa-IR"/>
        </w:rPr>
        <w:t>ن بشكل</w:t>
      </w:r>
      <w:r w:rsidR="00956724" w:rsidRPr="00282AC9">
        <w:rPr>
          <w:rFonts w:hint="cs"/>
          <w:sz w:val="27"/>
          <w:rtl/>
          <w:lang w:bidi="fa-IR"/>
        </w:rPr>
        <w:t>ٍ</w:t>
      </w:r>
      <w:r w:rsidRPr="00282AC9">
        <w:rPr>
          <w:sz w:val="27"/>
          <w:rtl/>
          <w:lang w:bidi="fa-IR"/>
        </w:rPr>
        <w:t xml:space="preserve"> واضح أن الكلمة في هذا السياق بالمعنى العام</w:t>
      </w:r>
      <w:r w:rsidR="00956724" w:rsidRPr="00282AC9">
        <w:rPr>
          <w:rFonts w:hint="cs"/>
          <w:sz w:val="27"/>
          <w:rtl/>
          <w:lang w:bidi="fa-IR"/>
        </w:rPr>
        <w:t>ّ،</w:t>
      </w:r>
      <w:r w:rsidRPr="00282AC9">
        <w:rPr>
          <w:sz w:val="27"/>
          <w:rtl/>
          <w:lang w:bidi="fa-IR"/>
        </w:rPr>
        <w:t xml:space="preserve"> واستُعمل</w:t>
      </w:r>
      <w:r w:rsidR="00956724" w:rsidRPr="00282AC9">
        <w:rPr>
          <w:rFonts w:hint="cs"/>
          <w:sz w:val="27"/>
          <w:rtl/>
          <w:lang w:bidi="fa-IR"/>
        </w:rPr>
        <w:t>َ</w:t>
      </w:r>
      <w:r w:rsidRPr="00282AC9">
        <w:rPr>
          <w:sz w:val="27"/>
          <w:rtl/>
          <w:lang w:bidi="fa-IR"/>
        </w:rPr>
        <w:t>ت</w:t>
      </w:r>
      <w:r w:rsidR="00956724" w:rsidRPr="00282AC9">
        <w:rPr>
          <w:rFonts w:hint="cs"/>
          <w:sz w:val="27"/>
          <w:rtl/>
          <w:lang w:bidi="fa-IR"/>
        </w:rPr>
        <w:t>ْ</w:t>
      </w:r>
      <w:r w:rsidRPr="00282AC9">
        <w:rPr>
          <w:sz w:val="27"/>
          <w:rtl/>
          <w:lang w:bidi="fa-IR"/>
        </w:rPr>
        <w:t xml:space="preserve"> مصداقا</w:t>
      </w:r>
      <w:r w:rsidR="00956724" w:rsidRPr="00282AC9">
        <w:rPr>
          <w:rFonts w:hint="cs"/>
          <w:sz w:val="27"/>
          <w:rtl/>
          <w:lang w:bidi="fa-IR"/>
        </w:rPr>
        <w:t>ً</w:t>
      </w:r>
      <w:r w:rsidRPr="00282AC9">
        <w:rPr>
          <w:sz w:val="27"/>
          <w:rtl/>
          <w:lang w:bidi="fa-IR"/>
        </w:rPr>
        <w:t xml:space="preserve"> في طريقةٍ سي</w:t>
      </w:r>
      <w:r w:rsidR="00956724" w:rsidRPr="00282AC9">
        <w:rPr>
          <w:rFonts w:hint="cs"/>
          <w:sz w:val="27"/>
          <w:rtl/>
          <w:lang w:bidi="fa-IR"/>
        </w:rPr>
        <w:t>ّ</w:t>
      </w:r>
      <w:r w:rsidRPr="00282AC9">
        <w:rPr>
          <w:sz w:val="27"/>
          <w:rtl/>
          <w:lang w:bidi="fa-IR"/>
        </w:rPr>
        <w:t>ئة</w:t>
      </w:r>
      <w:r w:rsidRPr="00282AC9">
        <w:rPr>
          <w:rFonts w:hint="cs"/>
          <w:sz w:val="27"/>
          <w:rtl/>
          <w:lang w:bidi="fa-IR"/>
        </w:rPr>
        <w:t>ٍ</w:t>
      </w:r>
      <w:r w:rsidRPr="00282AC9">
        <w:rPr>
          <w:sz w:val="27"/>
          <w:rtl/>
          <w:lang w:bidi="fa-IR"/>
        </w:rPr>
        <w:t xml:space="preserve">: </w:t>
      </w:r>
    </w:p>
    <w:p w:rsidR="00464852" w:rsidRPr="00282AC9" w:rsidRDefault="00464852" w:rsidP="00407A45">
      <w:pPr>
        <w:spacing w:line="386" w:lineRule="exact"/>
        <w:rPr>
          <w:sz w:val="27"/>
          <w:rtl/>
          <w:lang w:bidi="fa-IR"/>
        </w:rPr>
      </w:pPr>
      <w:r w:rsidRPr="00282AC9">
        <w:rPr>
          <w:sz w:val="27"/>
          <w:rtl/>
          <w:lang w:bidi="fa-IR"/>
        </w:rPr>
        <w:lastRenderedPageBreak/>
        <w:t>قيل</w:t>
      </w:r>
      <w:r w:rsidR="00956724" w:rsidRPr="00282AC9">
        <w:rPr>
          <w:rFonts w:hint="cs"/>
          <w:sz w:val="27"/>
          <w:rtl/>
          <w:lang w:bidi="fa-IR"/>
        </w:rPr>
        <w:t>:</w:t>
      </w:r>
      <w:r w:rsidRPr="00282AC9">
        <w:rPr>
          <w:sz w:val="27"/>
          <w:rtl/>
          <w:lang w:bidi="fa-IR"/>
        </w:rPr>
        <w:t xml:space="preserve"> </w:t>
      </w:r>
      <w:r w:rsidR="00956724" w:rsidRPr="00282AC9">
        <w:rPr>
          <w:rFonts w:hint="cs"/>
          <w:sz w:val="27"/>
          <w:rtl/>
          <w:lang w:bidi="fa-IR"/>
        </w:rPr>
        <w:t>إ</w:t>
      </w:r>
      <w:r w:rsidRPr="00282AC9">
        <w:rPr>
          <w:sz w:val="27"/>
          <w:rtl/>
          <w:lang w:bidi="fa-IR"/>
        </w:rPr>
        <w:t>ن أبا</w:t>
      </w:r>
      <w:r w:rsidR="00956724" w:rsidRPr="00282AC9">
        <w:rPr>
          <w:rFonts w:hint="cs"/>
          <w:sz w:val="27"/>
          <w:rtl/>
          <w:lang w:bidi="fa-IR"/>
        </w:rPr>
        <w:t xml:space="preserve"> </w:t>
      </w:r>
      <w:r w:rsidRPr="00282AC9">
        <w:rPr>
          <w:sz w:val="27"/>
          <w:rtl/>
          <w:lang w:bidi="fa-IR"/>
        </w:rPr>
        <w:t>ذؤيب الهذلي أرسل خالدا</w:t>
      </w:r>
      <w:r w:rsidR="00956724" w:rsidRPr="00282AC9">
        <w:rPr>
          <w:rFonts w:hint="cs"/>
          <w:sz w:val="27"/>
          <w:rtl/>
          <w:lang w:bidi="fa-IR"/>
        </w:rPr>
        <w:t>ً؛</w:t>
      </w:r>
      <w:r w:rsidRPr="00282AC9">
        <w:rPr>
          <w:sz w:val="27"/>
          <w:rtl/>
          <w:lang w:bidi="fa-IR"/>
        </w:rPr>
        <w:t xml:space="preserve"> ليكون رسوله إلى امرأةٍ</w:t>
      </w:r>
      <w:r w:rsidR="00956724" w:rsidRPr="00282AC9">
        <w:rPr>
          <w:rFonts w:hint="cs"/>
          <w:sz w:val="27"/>
          <w:rtl/>
          <w:lang w:bidi="fa-IR"/>
        </w:rPr>
        <w:t>،</w:t>
      </w:r>
      <w:r w:rsidR="00956724" w:rsidRPr="00282AC9">
        <w:rPr>
          <w:sz w:val="27"/>
          <w:rtl/>
          <w:lang w:bidi="fa-IR"/>
        </w:rPr>
        <w:t xml:space="preserve"> فعشقَتْه المرأة</w:t>
      </w:r>
      <w:r w:rsidR="00956724" w:rsidRPr="00282AC9">
        <w:rPr>
          <w:rFonts w:hint="cs"/>
          <w:sz w:val="27"/>
          <w:rtl/>
          <w:lang w:bidi="fa-IR"/>
        </w:rPr>
        <w:t>،</w:t>
      </w:r>
      <w:r w:rsidRPr="00282AC9">
        <w:rPr>
          <w:sz w:val="27"/>
          <w:rtl/>
          <w:lang w:bidi="fa-IR"/>
        </w:rPr>
        <w:t xml:space="preserve"> وترك</w:t>
      </w:r>
      <w:r w:rsidRPr="00282AC9">
        <w:rPr>
          <w:rFonts w:hint="cs"/>
          <w:sz w:val="27"/>
          <w:rtl/>
          <w:lang w:bidi="fa-IR"/>
        </w:rPr>
        <w:t>َ</w:t>
      </w:r>
      <w:r w:rsidRPr="00282AC9">
        <w:rPr>
          <w:sz w:val="27"/>
          <w:rtl/>
          <w:lang w:bidi="fa-IR"/>
        </w:rPr>
        <w:t>تْ أبا</w:t>
      </w:r>
      <w:r w:rsidRPr="00282AC9">
        <w:rPr>
          <w:rFonts w:hint="cs"/>
          <w:sz w:val="27"/>
          <w:rtl/>
          <w:lang w:bidi="fa-IR"/>
        </w:rPr>
        <w:t xml:space="preserve"> </w:t>
      </w:r>
      <w:r w:rsidRPr="00282AC9">
        <w:rPr>
          <w:sz w:val="27"/>
          <w:rtl/>
          <w:lang w:bidi="fa-IR"/>
        </w:rPr>
        <w:t>ذؤيب، فعاتب أبو</w:t>
      </w:r>
      <w:r w:rsidRPr="00282AC9">
        <w:rPr>
          <w:rFonts w:hint="cs"/>
          <w:sz w:val="27"/>
          <w:rtl/>
          <w:lang w:bidi="fa-IR"/>
        </w:rPr>
        <w:t xml:space="preserve"> </w:t>
      </w:r>
      <w:r w:rsidRPr="00282AC9">
        <w:rPr>
          <w:sz w:val="27"/>
          <w:rtl/>
          <w:lang w:bidi="fa-IR"/>
        </w:rPr>
        <w:t>ذؤيب خالداً على ذلك</w:t>
      </w:r>
      <w:r w:rsidR="00956724" w:rsidRPr="00282AC9">
        <w:rPr>
          <w:rFonts w:hint="cs"/>
          <w:sz w:val="27"/>
          <w:rtl/>
          <w:lang w:bidi="fa-IR"/>
        </w:rPr>
        <w:t>،</w:t>
      </w:r>
      <w:r w:rsidRPr="00282AC9">
        <w:rPr>
          <w:sz w:val="27"/>
          <w:rtl/>
          <w:lang w:bidi="fa-IR"/>
        </w:rPr>
        <w:t xml:space="preserve"> فأجاب خالدٌ بهذه الأبيات</w:t>
      </w:r>
      <w:r w:rsidR="00956724" w:rsidRPr="00282AC9">
        <w:rPr>
          <w:rFonts w:hint="cs"/>
          <w:sz w:val="27"/>
          <w:rtl/>
          <w:lang w:bidi="fa-IR"/>
        </w:rPr>
        <w:t>،</w:t>
      </w:r>
      <w:r w:rsidRPr="00282AC9">
        <w:rPr>
          <w:sz w:val="27"/>
          <w:rtl/>
          <w:lang w:bidi="fa-IR"/>
        </w:rPr>
        <w:t xml:space="preserve"> وأشار إلى خيانة أبي</w:t>
      </w:r>
      <w:r w:rsidR="00956724" w:rsidRPr="00282AC9">
        <w:rPr>
          <w:rFonts w:hint="cs"/>
          <w:sz w:val="27"/>
          <w:rtl/>
          <w:lang w:bidi="fa-IR"/>
        </w:rPr>
        <w:t xml:space="preserve"> </w:t>
      </w:r>
      <w:r w:rsidRPr="00282AC9">
        <w:rPr>
          <w:sz w:val="27"/>
          <w:rtl/>
          <w:lang w:bidi="fa-IR"/>
        </w:rPr>
        <w:softHyphen/>
        <w:t>ذ</w:t>
      </w:r>
      <w:r w:rsidRPr="00282AC9">
        <w:rPr>
          <w:sz w:val="27"/>
          <w:rtl/>
          <w:lang w:bidi="fa-IR"/>
        </w:rPr>
        <w:softHyphen/>
        <w:t>ؤيب</w:t>
      </w:r>
      <w:r w:rsidRPr="00282AC9">
        <w:rPr>
          <w:rFonts w:hint="cs"/>
          <w:sz w:val="27"/>
          <w:rtl/>
          <w:lang w:bidi="fa-IR"/>
        </w:rPr>
        <w:t>،</w:t>
      </w:r>
      <w:r w:rsidRPr="00282AC9">
        <w:rPr>
          <w:sz w:val="27"/>
          <w:rtl/>
          <w:lang w:bidi="fa-IR"/>
        </w:rPr>
        <w:t xml:space="preserve"> حيث </w:t>
      </w:r>
      <w:r w:rsidR="00401F73" w:rsidRPr="00282AC9">
        <w:rPr>
          <w:rFonts w:hint="cs"/>
          <w:sz w:val="27"/>
          <w:rtl/>
          <w:lang w:bidi="fa-IR"/>
        </w:rPr>
        <w:t xml:space="preserve">كان </w:t>
      </w:r>
      <w:r w:rsidRPr="00282AC9">
        <w:rPr>
          <w:sz w:val="27"/>
          <w:rtl/>
          <w:lang w:bidi="fa-IR"/>
        </w:rPr>
        <w:t xml:space="preserve">هناك شخصٌ آخر </w:t>
      </w:r>
      <w:r w:rsidRPr="00282AC9">
        <w:rPr>
          <w:rFonts w:hint="cs"/>
          <w:sz w:val="27"/>
          <w:rtl/>
          <w:lang w:bidi="fa-IR"/>
        </w:rPr>
        <w:t xml:space="preserve">قد </w:t>
      </w:r>
      <w:r w:rsidRPr="00282AC9">
        <w:rPr>
          <w:sz w:val="27"/>
          <w:rtl/>
          <w:lang w:bidi="fa-IR"/>
        </w:rPr>
        <w:t>أرسل أبا</w:t>
      </w:r>
      <w:r w:rsidRPr="00282AC9">
        <w:rPr>
          <w:rFonts w:hint="cs"/>
          <w:sz w:val="27"/>
          <w:rtl/>
          <w:lang w:bidi="fa-IR"/>
        </w:rPr>
        <w:t xml:space="preserve"> </w:t>
      </w:r>
      <w:r w:rsidRPr="00282AC9">
        <w:rPr>
          <w:sz w:val="27"/>
          <w:rtl/>
          <w:lang w:bidi="fa-IR"/>
        </w:rPr>
        <w:t>ذؤيب كرسولٍ إلى نفس تلك المرأة</w:t>
      </w:r>
      <w:r w:rsidR="00401F73" w:rsidRPr="00282AC9">
        <w:rPr>
          <w:rFonts w:hint="cs"/>
          <w:sz w:val="27"/>
          <w:rtl/>
          <w:lang w:bidi="fa-IR"/>
        </w:rPr>
        <w:t>،</w:t>
      </w:r>
      <w:r w:rsidRPr="00282AC9">
        <w:rPr>
          <w:sz w:val="27"/>
          <w:rtl/>
          <w:lang w:bidi="fa-IR"/>
        </w:rPr>
        <w:t xml:space="preserve"> فخانه أب</w:t>
      </w:r>
      <w:r w:rsidRPr="00282AC9">
        <w:rPr>
          <w:rFonts w:hint="cs"/>
          <w:sz w:val="27"/>
          <w:rtl/>
          <w:lang w:bidi="fa-IR"/>
        </w:rPr>
        <w:t xml:space="preserve">و </w:t>
      </w:r>
      <w:r w:rsidRPr="00282AC9">
        <w:rPr>
          <w:sz w:val="27"/>
          <w:rtl/>
          <w:lang w:bidi="fa-IR"/>
        </w:rPr>
        <w:t>ذؤيب، فيقول خالدٌ الهذلي خطاباً له: أنت أو</w:t>
      </w:r>
      <w:r w:rsidR="00401F73" w:rsidRPr="00282AC9">
        <w:rPr>
          <w:rFonts w:hint="cs"/>
          <w:sz w:val="27"/>
          <w:rtl/>
          <w:lang w:bidi="fa-IR"/>
        </w:rPr>
        <w:t>ّ</w:t>
      </w:r>
      <w:r w:rsidRPr="00282AC9">
        <w:rPr>
          <w:sz w:val="27"/>
          <w:rtl/>
          <w:lang w:bidi="fa-IR"/>
        </w:rPr>
        <w:t>ل م</w:t>
      </w:r>
      <w:r w:rsidR="00401F73" w:rsidRPr="00282AC9">
        <w:rPr>
          <w:rFonts w:hint="cs"/>
          <w:sz w:val="27"/>
          <w:rtl/>
          <w:lang w:bidi="fa-IR"/>
        </w:rPr>
        <w:t>َ</w:t>
      </w:r>
      <w:r w:rsidRPr="00282AC9">
        <w:rPr>
          <w:sz w:val="27"/>
          <w:rtl/>
          <w:lang w:bidi="fa-IR"/>
        </w:rPr>
        <w:t>ن</w:t>
      </w:r>
      <w:r w:rsidR="00401F73" w:rsidRPr="00282AC9">
        <w:rPr>
          <w:rFonts w:hint="cs"/>
          <w:sz w:val="27"/>
          <w:rtl/>
          <w:lang w:bidi="fa-IR"/>
        </w:rPr>
        <w:t>ْ</w:t>
      </w:r>
      <w:r w:rsidRPr="00282AC9">
        <w:rPr>
          <w:sz w:val="27"/>
          <w:rtl/>
          <w:lang w:bidi="fa-IR"/>
        </w:rPr>
        <w:t xml:space="preserve"> س</w:t>
      </w:r>
      <w:r w:rsidR="00401F73" w:rsidRPr="00282AC9">
        <w:rPr>
          <w:rFonts w:hint="cs"/>
          <w:sz w:val="27"/>
          <w:rtl/>
          <w:lang w:bidi="fa-IR"/>
        </w:rPr>
        <w:t>َ</w:t>
      </w:r>
      <w:r w:rsidRPr="00282AC9">
        <w:rPr>
          <w:sz w:val="27"/>
          <w:rtl/>
          <w:lang w:bidi="fa-IR"/>
        </w:rPr>
        <w:t>نّ</w:t>
      </w:r>
      <w:r w:rsidR="00401F73" w:rsidRPr="00282AC9">
        <w:rPr>
          <w:rFonts w:hint="cs"/>
          <w:sz w:val="27"/>
          <w:rtl/>
          <w:lang w:bidi="fa-IR"/>
        </w:rPr>
        <w:t>َ</w:t>
      </w:r>
      <w:r w:rsidR="00401F73" w:rsidRPr="00282AC9">
        <w:rPr>
          <w:sz w:val="27"/>
          <w:rtl/>
          <w:lang w:bidi="fa-IR"/>
        </w:rPr>
        <w:t xml:space="preserve"> هذه السيرة، فلا ت</w:t>
      </w:r>
      <w:r w:rsidR="00401F73" w:rsidRPr="00282AC9">
        <w:rPr>
          <w:rFonts w:hint="cs"/>
          <w:sz w:val="27"/>
          <w:rtl/>
          <w:lang w:bidi="fa-IR"/>
        </w:rPr>
        <w:t>ن</w:t>
      </w:r>
      <w:r w:rsidRPr="00282AC9">
        <w:rPr>
          <w:sz w:val="27"/>
          <w:rtl/>
          <w:lang w:bidi="fa-IR"/>
        </w:rPr>
        <w:t>زعج من طريقةٍ أنت</w:t>
      </w:r>
      <w:r w:rsidR="00401F73" w:rsidRPr="00282AC9">
        <w:rPr>
          <w:rFonts w:hint="cs"/>
          <w:sz w:val="27"/>
          <w:rtl/>
          <w:lang w:bidi="fa-IR"/>
        </w:rPr>
        <w:t>َ</w:t>
      </w:r>
      <w:r w:rsidRPr="00282AC9">
        <w:rPr>
          <w:sz w:val="27"/>
          <w:rtl/>
          <w:lang w:bidi="fa-IR"/>
        </w:rPr>
        <w:t xml:space="preserve"> ات</w:t>
      </w:r>
      <w:r w:rsidR="00401F73" w:rsidRPr="00282AC9">
        <w:rPr>
          <w:rFonts w:hint="cs"/>
          <w:sz w:val="27"/>
          <w:rtl/>
          <w:lang w:bidi="fa-IR"/>
        </w:rPr>
        <w:t>ّ</w:t>
      </w:r>
      <w:r w:rsidRPr="00282AC9">
        <w:rPr>
          <w:sz w:val="27"/>
          <w:rtl/>
          <w:lang w:bidi="fa-IR"/>
        </w:rPr>
        <w:t>خ</w:t>
      </w:r>
      <w:r w:rsidR="00401F73" w:rsidRPr="00282AC9">
        <w:rPr>
          <w:rFonts w:hint="cs"/>
          <w:sz w:val="27"/>
          <w:rtl/>
          <w:lang w:bidi="fa-IR"/>
        </w:rPr>
        <w:t>َ</w:t>
      </w:r>
      <w:r w:rsidRPr="00282AC9">
        <w:rPr>
          <w:sz w:val="27"/>
          <w:rtl/>
          <w:lang w:bidi="fa-IR"/>
        </w:rPr>
        <w:t>ذ</w:t>
      </w:r>
      <w:r w:rsidR="00401F73" w:rsidRPr="00282AC9">
        <w:rPr>
          <w:rFonts w:hint="cs"/>
          <w:sz w:val="27"/>
          <w:rtl/>
          <w:lang w:bidi="fa-IR"/>
        </w:rPr>
        <w:t>ْ</w:t>
      </w:r>
      <w:r w:rsidRPr="00282AC9">
        <w:rPr>
          <w:sz w:val="27"/>
          <w:rtl/>
          <w:lang w:bidi="fa-IR"/>
        </w:rPr>
        <w:t>ت</w:t>
      </w:r>
      <w:r w:rsidR="00401F73" w:rsidRPr="00282AC9">
        <w:rPr>
          <w:rFonts w:hint="cs"/>
          <w:sz w:val="27"/>
          <w:rtl/>
          <w:lang w:bidi="fa-IR"/>
        </w:rPr>
        <w:t>َ</w:t>
      </w:r>
      <w:r w:rsidRPr="00282AC9">
        <w:rPr>
          <w:sz w:val="27"/>
          <w:rtl/>
          <w:lang w:bidi="fa-IR"/>
        </w:rPr>
        <w:t>ها أو جعلت</w:t>
      </w:r>
      <w:r w:rsidR="00401F73" w:rsidRPr="00282AC9">
        <w:rPr>
          <w:rFonts w:hint="cs"/>
          <w:sz w:val="27"/>
          <w:rtl/>
          <w:lang w:bidi="fa-IR"/>
        </w:rPr>
        <w:t>َ</w:t>
      </w:r>
      <w:r w:rsidRPr="00282AC9">
        <w:rPr>
          <w:sz w:val="27"/>
          <w:rtl/>
          <w:lang w:bidi="fa-IR"/>
        </w:rPr>
        <w:t>ها ذائعة</w:t>
      </w:r>
      <w:r w:rsidR="00401F73" w:rsidRPr="00282AC9">
        <w:rPr>
          <w:rFonts w:hint="cs"/>
          <w:sz w:val="27"/>
          <w:rtl/>
          <w:lang w:bidi="fa-IR"/>
        </w:rPr>
        <w:t>ً</w:t>
      </w:r>
      <w:r w:rsidRPr="00282AC9">
        <w:rPr>
          <w:sz w:val="27"/>
          <w:rtl/>
          <w:lang w:bidi="fa-IR"/>
        </w:rPr>
        <w:t xml:space="preserve"> في الناس</w:t>
      </w:r>
      <w:r w:rsidR="00401F73" w:rsidRPr="00282AC9">
        <w:rPr>
          <w:rFonts w:hint="cs"/>
          <w:sz w:val="27"/>
          <w:rtl/>
          <w:lang w:bidi="fa-IR"/>
        </w:rPr>
        <w:t>؛</w:t>
      </w:r>
      <w:r w:rsidRPr="00282AC9">
        <w:rPr>
          <w:sz w:val="27"/>
          <w:rtl/>
          <w:lang w:bidi="fa-IR"/>
        </w:rPr>
        <w:t xml:space="preserve"> لأن الشخص الذي يت</w:t>
      </w:r>
      <w:r w:rsidR="00401F73" w:rsidRPr="00282AC9">
        <w:rPr>
          <w:rFonts w:hint="cs"/>
          <w:sz w:val="27"/>
          <w:rtl/>
          <w:lang w:bidi="fa-IR"/>
        </w:rPr>
        <w:t>ّ</w:t>
      </w:r>
      <w:r w:rsidRPr="00282AC9">
        <w:rPr>
          <w:sz w:val="27"/>
          <w:rtl/>
          <w:lang w:bidi="fa-IR"/>
        </w:rPr>
        <w:t>خذ طريقةً فهو أو</w:t>
      </w:r>
      <w:r w:rsidR="00401F73" w:rsidRPr="00282AC9">
        <w:rPr>
          <w:rFonts w:hint="cs"/>
          <w:sz w:val="27"/>
          <w:rtl/>
          <w:lang w:bidi="fa-IR"/>
        </w:rPr>
        <w:t>ّ</w:t>
      </w:r>
      <w:r w:rsidRPr="00282AC9">
        <w:rPr>
          <w:sz w:val="27"/>
          <w:rtl/>
          <w:lang w:bidi="fa-IR"/>
        </w:rPr>
        <w:t>ل م</w:t>
      </w:r>
      <w:r w:rsidR="00401F73" w:rsidRPr="00282AC9">
        <w:rPr>
          <w:rFonts w:hint="cs"/>
          <w:sz w:val="27"/>
          <w:rtl/>
          <w:lang w:bidi="fa-IR"/>
        </w:rPr>
        <w:t>َ</w:t>
      </w:r>
      <w:r w:rsidRPr="00282AC9">
        <w:rPr>
          <w:sz w:val="27"/>
          <w:rtl/>
          <w:lang w:bidi="fa-IR"/>
        </w:rPr>
        <w:t>ن</w:t>
      </w:r>
      <w:r w:rsidR="00401F73" w:rsidRPr="00282AC9">
        <w:rPr>
          <w:rFonts w:hint="cs"/>
          <w:sz w:val="27"/>
          <w:rtl/>
          <w:lang w:bidi="fa-IR"/>
        </w:rPr>
        <w:t>ْ</w:t>
      </w:r>
      <w:r w:rsidR="00401F73" w:rsidRPr="00282AC9">
        <w:rPr>
          <w:sz w:val="27"/>
          <w:rtl/>
          <w:lang w:bidi="fa-IR"/>
        </w:rPr>
        <w:t xml:space="preserve"> يرضى بها، فلا ينبغي له أن يكون</w:t>
      </w:r>
      <w:r w:rsidR="00401F73" w:rsidRPr="00282AC9">
        <w:rPr>
          <w:rFonts w:hint="cs"/>
          <w:sz w:val="27"/>
          <w:rtl/>
          <w:lang w:bidi="fa-IR"/>
        </w:rPr>
        <w:t xml:space="preserve"> </w:t>
      </w:r>
      <w:r w:rsidR="00401F73" w:rsidRPr="00282AC9">
        <w:rPr>
          <w:sz w:val="27"/>
          <w:rtl/>
          <w:lang w:bidi="fa-IR"/>
        </w:rPr>
        <w:t>م</w:t>
      </w:r>
      <w:r w:rsidR="00401F73" w:rsidRPr="00282AC9">
        <w:rPr>
          <w:rFonts w:hint="cs"/>
          <w:sz w:val="27"/>
          <w:rtl/>
          <w:lang w:bidi="fa-IR"/>
        </w:rPr>
        <w:t>ن</w:t>
      </w:r>
      <w:r w:rsidRPr="00282AC9">
        <w:rPr>
          <w:sz w:val="27"/>
          <w:rtl/>
          <w:lang w:bidi="fa-IR"/>
        </w:rPr>
        <w:t>زعجاً منها حينما يت</w:t>
      </w:r>
      <w:r w:rsidR="00401F73" w:rsidRPr="00282AC9">
        <w:rPr>
          <w:rFonts w:hint="cs"/>
          <w:sz w:val="27"/>
          <w:rtl/>
          <w:lang w:bidi="fa-IR"/>
        </w:rPr>
        <w:t>ّ</w:t>
      </w:r>
      <w:r w:rsidRPr="00282AC9">
        <w:rPr>
          <w:sz w:val="27"/>
          <w:rtl/>
          <w:lang w:bidi="fa-IR"/>
        </w:rPr>
        <w:t>خذها شخصٌ آخر.</w:t>
      </w:r>
    </w:p>
    <w:p w:rsidR="00401F73" w:rsidRPr="00282AC9" w:rsidRDefault="00464852" w:rsidP="00754DE4">
      <w:pPr>
        <w:spacing w:line="386" w:lineRule="exact"/>
        <w:rPr>
          <w:sz w:val="27"/>
          <w:rtl/>
          <w:lang w:bidi="fa-IR"/>
        </w:rPr>
      </w:pPr>
      <w:r w:rsidRPr="00282AC9">
        <w:rPr>
          <w:sz w:val="27"/>
          <w:rtl/>
          <w:lang w:bidi="fa-IR"/>
        </w:rPr>
        <w:t xml:space="preserve">فاستعمال </w:t>
      </w:r>
      <w:r w:rsidRPr="00282AC9">
        <w:rPr>
          <w:rFonts w:hint="eastAsia"/>
          <w:sz w:val="24"/>
          <w:szCs w:val="24"/>
          <w:rtl/>
          <w:lang w:bidi="fa-IR"/>
        </w:rPr>
        <w:t>«</w:t>
      </w:r>
      <w:r w:rsidR="00401F73" w:rsidRPr="00282AC9">
        <w:rPr>
          <w:sz w:val="27"/>
          <w:rtl/>
          <w:lang w:bidi="fa-IR"/>
        </w:rPr>
        <w:t>الس</w:t>
      </w:r>
      <w:r w:rsidR="00401F73" w:rsidRPr="00282AC9">
        <w:rPr>
          <w:rFonts w:hint="cs"/>
          <w:sz w:val="27"/>
          <w:rtl/>
          <w:lang w:bidi="fa-IR"/>
        </w:rPr>
        <w:t>ُّ</w:t>
      </w:r>
      <w:r w:rsidRPr="00282AC9">
        <w:rPr>
          <w:sz w:val="27"/>
          <w:rtl/>
          <w:lang w:bidi="fa-IR"/>
        </w:rPr>
        <w:t>نّ</w:t>
      </w:r>
      <w:r w:rsidR="00401F73" w:rsidRPr="00282AC9">
        <w:rPr>
          <w:rFonts w:hint="cs"/>
          <w:sz w:val="27"/>
          <w:rtl/>
          <w:lang w:bidi="fa-IR"/>
        </w:rPr>
        <w:t>َ</w:t>
      </w:r>
      <w:r w:rsidRPr="00282AC9">
        <w:rPr>
          <w:sz w:val="27"/>
          <w:rtl/>
          <w:lang w:bidi="fa-IR"/>
        </w:rPr>
        <w:t>ة</w:t>
      </w:r>
      <w:r w:rsidRPr="00282AC9">
        <w:rPr>
          <w:rFonts w:hint="eastAsia"/>
          <w:sz w:val="24"/>
          <w:szCs w:val="24"/>
          <w:rtl/>
        </w:rPr>
        <w:t>»</w:t>
      </w:r>
      <w:r w:rsidRPr="00282AC9">
        <w:rPr>
          <w:sz w:val="27"/>
          <w:rtl/>
          <w:lang w:bidi="fa-IR"/>
        </w:rPr>
        <w:t xml:space="preserve"> بالمعنى العام</w:t>
      </w:r>
      <w:r w:rsidR="00401F73" w:rsidRPr="00282AC9">
        <w:rPr>
          <w:rFonts w:hint="cs"/>
          <w:sz w:val="27"/>
          <w:rtl/>
          <w:lang w:bidi="fa-IR"/>
        </w:rPr>
        <w:t>ّ</w:t>
      </w:r>
      <w:r w:rsidRPr="00282AC9">
        <w:rPr>
          <w:sz w:val="27"/>
          <w:rtl/>
          <w:lang w:bidi="fa-IR"/>
        </w:rPr>
        <w:t xml:space="preserve"> في هذا البيت واضحٌ من هذه القصّ</w:t>
      </w:r>
      <w:r w:rsidR="00401F73" w:rsidRPr="00282AC9">
        <w:rPr>
          <w:sz w:val="27"/>
          <w:rtl/>
          <w:lang w:bidi="fa-IR"/>
        </w:rPr>
        <w:t>ة.</w:t>
      </w:r>
    </w:p>
    <w:p w:rsidR="00464852" w:rsidRPr="00282AC9" w:rsidRDefault="00041FA0" w:rsidP="00754DE4">
      <w:pPr>
        <w:spacing w:line="382" w:lineRule="exact"/>
        <w:rPr>
          <w:sz w:val="27"/>
          <w:lang w:bidi="fa-IR"/>
        </w:rPr>
      </w:pPr>
      <w:r w:rsidRPr="00282AC9">
        <w:rPr>
          <w:sz w:val="27"/>
          <w:rtl/>
          <w:lang w:bidi="fa-IR"/>
        </w:rPr>
        <w:t>ومن جه</w:t>
      </w:r>
      <w:r w:rsidRPr="00282AC9">
        <w:rPr>
          <w:rFonts w:hint="cs"/>
          <w:sz w:val="27"/>
          <w:rtl/>
          <w:lang w:bidi="fa-IR"/>
        </w:rPr>
        <w:t>ةٍ</w:t>
      </w:r>
      <w:r w:rsidR="00464852" w:rsidRPr="00282AC9">
        <w:rPr>
          <w:sz w:val="27"/>
          <w:rtl/>
          <w:lang w:bidi="fa-IR"/>
        </w:rPr>
        <w:t xml:space="preserve"> أخرى</w:t>
      </w:r>
      <w:r w:rsidR="00401F73" w:rsidRPr="00282AC9">
        <w:rPr>
          <w:sz w:val="27"/>
          <w:rtl/>
          <w:lang w:bidi="fa-IR"/>
        </w:rPr>
        <w:t xml:space="preserve"> تمث</w:t>
      </w:r>
      <w:r w:rsidR="00401F73" w:rsidRPr="00282AC9">
        <w:rPr>
          <w:rFonts w:hint="cs"/>
          <w:sz w:val="27"/>
          <w:rtl/>
          <w:lang w:bidi="fa-IR"/>
        </w:rPr>
        <w:t>َّ</w:t>
      </w:r>
      <w:r w:rsidR="00401F73" w:rsidRPr="00282AC9">
        <w:rPr>
          <w:sz w:val="27"/>
          <w:rtl/>
          <w:lang w:bidi="fa-IR"/>
        </w:rPr>
        <w:t>ل</w:t>
      </w:r>
      <w:r w:rsidR="00464852" w:rsidRPr="00282AC9">
        <w:rPr>
          <w:sz w:val="27"/>
          <w:rtl/>
          <w:lang w:bidi="fa-IR"/>
        </w:rPr>
        <w:t xml:space="preserve"> بهذا الشعر كثيرون في مقام الل</w:t>
      </w:r>
      <w:r w:rsidR="00401F73" w:rsidRPr="00282AC9">
        <w:rPr>
          <w:rFonts w:hint="cs"/>
          <w:sz w:val="27"/>
          <w:rtl/>
          <w:lang w:bidi="fa-IR"/>
        </w:rPr>
        <w:t>َّ</w:t>
      </w:r>
      <w:r w:rsidR="00464852" w:rsidRPr="00282AC9">
        <w:rPr>
          <w:sz w:val="27"/>
          <w:rtl/>
          <w:lang w:bidi="fa-IR"/>
        </w:rPr>
        <w:t>و</w:t>
      </w:r>
      <w:r w:rsidR="00401F73" w:rsidRPr="00282AC9">
        <w:rPr>
          <w:rFonts w:hint="cs"/>
          <w:sz w:val="27"/>
          <w:rtl/>
          <w:lang w:bidi="fa-IR"/>
        </w:rPr>
        <w:t>ْ</w:t>
      </w:r>
      <w:r w:rsidR="00464852" w:rsidRPr="00282AC9">
        <w:rPr>
          <w:sz w:val="27"/>
          <w:rtl/>
          <w:lang w:bidi="fa-IR"/>
        </w:rPr>
        <w:t>م والتأنيب، كعمر بن الخط</w:t>
      </w:r>
      <w:r w:rsidR="00401F73" w:rsidRPr="00282AC9">
        <w:rPr>
          <w:rFonts w:hint="cs"/>
          <w:sz w:val="27"/>
          <w:rtl/>
          <w:lang w:bidi="fa-IR"/>
        </w:rPr>
        <w:t>ّ</w:t>
      </w:r>
      <w:r w:rsidR="00464852" w:rsidRPr="00282AC9">
        <w:rPr>
          <w:sz w:val="27"/>
          <w:rtl/>
          <w:lang w:bidi="fa-IR"/>
        </w:rPr>
        <w:t>اب</w:t>
      </w:r>
      <w:r w:rsidR="00464852" w:rsidRPr="00282AC9">
        <w:rPr>
          <w:sz w:val="27"/>
          <w:vertAlign w:val="superscript"/>
          <w:rtl/>
          <w:lang w:bidi="fa-IR"/>
        </w:rPr>
        <w:t>(</w:t>
      </w:r>
      <w:r w:rsidR="00464852" w:rsidRPr="00282AC9">
        <w:rPr>
          <w:rStyle w:val="af9"/>
          <w:sz w:val="27"/>
          <w:rtl/>
          <w:lang w:bidi="fa-IR"/>
        </w:rPr>
        <w:endnoteReference w:id="570"/>
      </w:r>
      <w:r w:rsidR="00464852" w:rsidRPr="00282AC9">
        <w:rPr>
          <w:sz w:val="27"/>
          <w:vertAlign w:val="superscript"/>
          <w:rtl/>
          <w:lang w:bidi="fa-IR"/>
        </w:rPr>
        <w:t>)</w:t>
      </w:r>
      <w:r w:rsidR="00401F73" w:rsidRPr="00282AC9">
        <w:rPr>
          <w:rFonts w:hint="cs"/>
          <w:sz w:val="27"/>
          <w:rtl/>
          <w:lang w:bidi="fa-IR"/>
        </w:rPr>
        <w:t>،</w:t>
      </w:r>
      <w:r w:rsidR="00464852" w:rsidRPr="00282AC9">
        <w:rPr>
          <w:sz w:val="27"/>
          <w:rtl/>
          <w:lang w:bidi="fa-IR"/>
        </w:rPr>
        <w:t xml:space="preserve"> وابن الزبير الأسدي في عتاب عبد الله بن الزبير</w:t>
      </w:r>
      <w:r w:rsidR="00464852" w:rsidRPr="00282AC9">
        <w:rPr>
          <w:sz w:val="27"/>
          <w:vertAlign w:val="superscript"/>
          <w:rtl/>
          <w:lang w:bidi="fa-IR"/>
        </w:rPr>
        <w:t>(</w:t>
      </w:r>
      <w:r w:rsidR="00464852" w:rsidRPr="00282AC9">
        <w:rPr>
          <w:rStyle w:val="af9"/>
          <w:sz w:val="27"/>
          <w:rtl/>
          <w:lang w:bidi="fa-IR"/>
        </w:rPr>
        <w:endnoteReference w:id="571"/>
      </w:r>
      <w:r w:rsidR="00464852" w:rsidRPr="00282AC9">
        <w:rPr>
          <w:sz w:val="27"/>
          <w:vertAlign w:val="superscript"/>
          <w:rtl/>
          <w:lang w:bidi="fa-IR"/>
        </w:rPr>
        <w:t>)</w:t>
      </w:r>
      <w:r w:rsidR="00401F73" w:rsidRPr="00282AC9">
        <w:rPr>
          <w:rFonts w:hint="cs"/>
          <w:sz w:val="27"/>
          <w:rtl/>
          <w:lang w:bidi="fa-IR"/>
        </w:rPr>
        <w:t>،</w:t>
      </w:r>
      <w:r w:rsidR="00464852" w:rsidRPr="00282AC9">
        <w:rPr>
          <w:sz w:val="27"/>
          <w:rtl/>
          <w:lang w:bidi="fa-IR"/>
        </w:rPr>
        <w:t xml:space="preserve"> وسليمان العباسي (عمّ السفاح الخليفة العباسي)</w:t>
      </w:r>
      <w:r w:rsidR="00464852" w:rsidRPr="00282AC9">
        <w:rPr>
          <w:sz w:val="27"/>
          <w:vertAlign w:val="superscript"/>
          <w:rtl/>
          <w:lang w:bidi="fa-IR"/>
        </w:rPr>
        <w:t>(</w:t>
      </w:r>
      <w:r w:rsidR="00464852" w:rsidRPr="00282AC9">
        <w:rPr>
          <w:rStyle w:val="af9"/>
          <w:sz w:val="27"/>
          <w:rtl/>
          <w:lang w:bidi="fa-IR"/>
        </w:rPr>
        <w:endnoteReference w:id="572"/>
      </w:r>
      <w:r w:rsidR="00464852" w:rsidRPr="00282AC9">
        <w:rPr>
          <w:sz w:val="27"/>
          <w:vertAlign w:val="superscript"/>
          <w:rtl/>
          <w:lang w:bidi="fa-IR"/>
        </w:rPr>
        <w:t>)</w:t>
      </w:r>
      <w:r w:rsidR="00401F73" w:rsidRPr="00282AC9">
        <w:rPr>
          <w:rFonts w:hint="cs"/>
          <w:sz w:val="27"/>
          <w:rtl/>
          <w:lang w:bidi="fa-IR"/>
        </w:rPr>
        <w:t>،</w:t>
      </w:r>
      <w:r w:rsidR="00464852" w:rsidRPr="00282AC9">
        <w:rPr>
          <w:sz w:val="27"/>
          <w:rtl/>
          <w:lang w:bidi="fa-IR"/>
        </w:rPr>
        <w:t xml:space="preserve"> وآخر</w:t>
      </w:r>
      <w:r w:rsidR="00401F73" w:rsidRPr="00282AC9">
        <w:rPr>
          <w:rFonts w:hint="cs"/>
          <w:sz w:val="27"/>
          <w:rtl/>
          <w:lang w:bidi="fa-IR"/>
        </w:rPr>
        <w:t>ي</w:t>
      </w:r>
      <w:r w:rsidR="00464852" w:rsidRPr="00282AC9">
        <w:rPr>
          <w:sz w:val="27"/>
          <w:rtl/>
          <w:lang w:bidi="fa-IR"/>
        </w:rPr>
        <w:t>ن</w:t>
      </w:r>
      <w:r w:rsidR="00464852" w:rsidRPr="00282AC9">
        <w:rPr>
          <w:sz w:val="27"/>
          <w:vertAlign w:val="superscript"/>
          <w:rtl/>
          <w:lang w:bidi="fa-IR"/>
        </w:rPr>
        <w:t>(</w:t>
      </w:r>
      <w:r w:rsidR="00464852" w:rsidRPr="00282AC9">
        <w:rPr>
          <w:rStyle w:val="af9"/>
          <w:sz w:val="27"/>
          <w:rtl/>
          <w:lang w:bidi="fa-IR"/>
        </w:rPr>
        <w:endnoteReference w:id="573"/>
      </w:r>
      <w:r w:rsidR="00464852" w:rsidRPr="00282AC9">
        <w:rPr>
          <w:sz w:val="27"/>
          <w:vertAlign w:val="superscript"/>
          <w:rtl/>
          <w:lang w:bidi="fa-IR"/>
        </w:rPr>
        <w:t>)</w:t>
      </w:r>
      <w:r w:rsidR="00464852" w:rsidRPr="00282AC9">
        <w:rPr>
          <w:sz w:val="27"/>
          <w:rtl/>
          <w:lang w:bidi="fa-IR"/>
        </w:rPr>
        <w:t>. فيبدو أن البيت مَثَلٌ ـ كما قد ورد في كُتُب الأمثال أيضا</w:t>
      </w:r>
      <w:r w:rsidR="00401F73" w:rsidRPr="00282AC9">
        <w:rPr>
          <w:rFonts w:hint="cs"/>
          <w:sz w:val="27"/>
          <w:rtl/>
          <w:lang w:bidi="fa-IR"/>
        </w:rPr>
        <w:t>ً</w:t>
      </w:r>
      <w:r w:rsidR="00401F73" w:rsidRPr="00282AC9">
        <w:rPr>
          <w:sz w:val="27"/>
          <w:vertAlign w:val="superscript"/>
          <w:rtl/>
          <w:lang w:bidi="fa-IR"/>
        </w:rPr>
        <w:t>(</w:t>
      </w:r>
      <w:r w:rsidR="00401F73" w:rsidRPr="00282AC9">
        <w:rPr>
          <w:rStyle w:val="af9"/>
          <w:sz w:val="27"/>
          <w:rtl/>
          <w:lang w:bidi="fa-IR"/>
        </w:rPr>
        <w:endnoteReference w:id="574"/>
      </w:r>
      <w:r w:rsidR="00401F73" w:rsidRPr="00282AC9">
        <w:rPr>
          <w:sz w:val="27"/>
          <w:vertAlign w:val="superscript"/>
          <w:rtl/>
          <w:lang w:bidi="fa-IR"/>
        </w:rPr>
        <w:t>)</w:t>
      </w:r>
      <w:r w:rsidR="00401F73" w:rsidRPr="00282AC9">
        <w:rPr>
          <w:sz w:val="27"/>
          <w:rtl/>
          <w:lang w:bidi="fa-IR"/>
        </w:rPr>
        <w:t xml:space="preserve"> ـ</w:t>
      </w:r>
      <w:r w:rsidR="00401F73" w:rsidRPr="00282AC9">
        <w:rPr>
          <w:rFonts w:hint="cs"/>
          <w:sz w:val="27"/>
          <w:rtl/>
          <w:lang w:bidi="fa-IR"/>
        </w:rPr>
        <w:t>.</w:t>
      </w:r>
      <w:r w:rsidR="00464852" w:rsidRPr="00282AC9">
        <w:rPr>
          <w:sz w:val="27"/>
          <w:rtl/>
          <w:lang w:bidi="fa-IR"/>
        </w:rPr>
        <w:t xml:space="preserve"> ونفسُ استخدام هذا الشعر في مقام اللوم أيضا</w:t>
      </w:r>
      <w:r w:rsidR="00401F73" w:rsidRPr="00282AC9">
        <w:rPr>
          <w:rFonts w:hint="cs"/>
          <w:sz w:val="27"/>
          <w:rtl/>
          <w:lang w:bidi="fa-IR"/>
        </w:rPr>
        <w:t>ً</w:t>
      </w:r>
      <w:r w:rsidR="00464852" w:rsidRPr="00282AC9">
        <w:rPr>
          <w:sz w:val="27"/>
          <w:rtl/>
          <w:lang w:bidi="fa-IR"/>
        </w:rPr>
        <w:t xml:space="preserve"> مبيّ</w:t>
      </w:r>
      <w:r w:rsidR="00401F73" w:rsidRPr="00282AC9">
        <w:rPr>
          <w:rFonts w:hint="cs"/>
          <w:sz w:val="27"/>
          <w:rtl/>
          <w:lang w:bidi="fa-IR"/>
        </w:rPr>
        <w:t>ِ</w:t>
      </w:r>
      <w:r w:rsidR="00401F73" w:rsidRPr="00282AC9">
        <w:rPr>
          <w:sz w:val="27"/>
          <w:rtl/>
          <w:lang w:bidi="fa-IR"/>
        </w:rPr>
        <w:t>نةٌ أن الكلمة تُستَعمل</w:t>
      </w:r>
      <w:r w:rsidR="00464852" w:rsidRPr="00282AC9">
        <w:rPr>
          <w:sz w:val="27"/>
          <w:rtl/>
          <w:lang w:bidi="fa-IR"/>
        </w:rPr>
        <w:t xml:space="preserve"> في مصداق</w:t>
      </w:r>
      <w:r w:rsidR="00401F73" w:rsidRPr="00282AC9">
        <w:rPr>
          <w:rFonts w:hint="cs"/>
          <w:sz w:val="27"/>
          <w:rtl/>
          <w:lang w:bidi="fa-IR"/>
        </w:rPr>
        <w:t>ٍ</w:t>
      </w:r>
      <w:r w:rsidR="00464852" w:rsidRPr="00282AC9">
        <w:rPr>
          <w:sz w:val="27"/>
          <w:rtl/>
          <w:lang w:bidi="fa-IR"/>
        </w:rPr>
        <w:t xml:space="preserve"> قبيحٍ للطريقة. </w:t>
      </w:r>
    </w:p>
    <w:p w:rsidR="00464852" w:rsidRPr="00282AC9" w:rsidRDefault="00464852" w:rsidP="00407A45">
      <w:pPr>
        <w:spacing w:line="386" w:lineRule="exact"/>
        <w:rPr>
          <w:sz w:val="27"/>
          <w:rtl/>
          <w:lang w:bidi="fa-IR"/>
        </w:rPr>
      </w:pPr>
      <w:r w:rsidRPr="00282AC9">
        <w:rPr>
          <w:sz w:val="27"/>
          <w:rtl/>
        </w:rPr>
        <w:t xml:space="preserve">ويبدو من هذه القرائن أن </w:t>
      </w:r>
      <w:r w:rsidR="007A4332" w:rsidRPr="00282AC9">
        <w:rPr>
          <w:sz w:val="27"/>
          <w:rtl/>
        </w:rPr>
        <w:t>هذا الشعر</w:t>
      </w:r>
      <w:r w:rsidRPr="00282AC9">
        <w:rPr>
          <w:sz w:val="27"/>
          <w:rtl/>
        </w:rPr>
        <w:t xml:space="preserve"> من أهمّ الشواهد في هذه الدراسة</w:t>
      </w:r>
      <w:r w:rsidR="007A4332" w:rsidRPr="00282AC9">
        <w:rPr>
          <w:rFonts w:hint="cs"/>
          <w:sz w:val="27"/>
          <w:rtl/>
        </w:rPr>
        <w:t>؛</w:t>
      </w:r>
      <w:r w:rsidRPr="00282AC9">
        <w:rPr>
          <w:sz w:val="27"/>
          <w:rtl/>
        </w:rPr>
        <w:t xml:space="preserve"> فقد اجتمع فيه عديدٌ من القرائن التي تصلح للاستدلال، منها: وضوحُ المعنى السلبي</w:t>
      </w:r>
      <w:r w:rsidR="007A4332" w:rsidRPr="00282AC9">
        <w:rPr>
          <w:rFonts w:hint="cs"/>
          <w:sz w:val="27"/>
          <w:rtl/>
        </w:rPr>
        <w:t>ّ</w:t>
      </w:r>
      <w:r w:rsidRPr="00282AC9">
        <w:rPr>
          <w:sz w:val="27"/>
          <w:rtl/>
        </w:rPr>
        <w:t xml:space="preserve"> في السياق، وعدمُ احتمال النقل بالمعنى فيه، وعدمُ وجود كلمة </w:t>
      </w:r>
      <w:r w:rsidRPr="00282AC9">
        <w:rPr>
          <w:rFonts w:hint="eastAsia"/>
          <w:sz w:val="24"/>
          <w:szCs w:val="24"/>
          <w:rtl/>
        </w:rPr>
        <w:t>«</w:t>
      </w:r>
      <w:r w:rsidRPr="00282AC9">
        <w:rPr>
          <w:sz w:val="27"/>
          <w:rtl/>
        </w:rPr>
        <w:t>الس</w:t>
      </w:r>
      <w:r w:rsidR="007A4332" w:rsidRPr="00282AC9">
        <w:rPr>
          <w:rFonts w:hint="cs"/>
          <w:sz w:val="27"/>
          <w:rtl/>
        </w:rPr>
        <w:t>ّ</w:t>
      </w:r>
      <w:r w:rsidRPr="00282AC9">
        <w:rPr>
          <w:sz w:val="27"/>
          <w:rtl/>
        </w:rPr>
        <w:t>نن</w:t>
      </w:r>
      <w:r w:rsidRPr="00282AC9">
        <w:rPr>
          <w:rFonts w:hint="eastAsia"/>
          <w:sz w:val="24"/>
          <w:szCs w:val="24"/>
          <w:rtl/>
        </w:rPr>
        <w:t>»</w:t>
      </w:r>
      <w:r w:rsidRPr="00282AC9">
        <w:rPr>
          <w:sz w:val="27"/>
          <w:rtl/>
        </w:rPr>
        <w:t xml:space="preserve"> فيه</w:t>
      </w:r>
      <w:r w:rsidR="007A4332" w:rsidRPr="00282AC9">
        <w:rPr>
          <w:rFonts w:hint="cs"/>
          <w:sz w:val="27"/>
          <w:rtl/>
        </w:rPr>
        <w:t>،</w:t>
      </w:r>
      <w:r w:rsidRPr="00282AC9">
        <w:rPr>
          <w:sz w:val="27"/>
          <w:rtl/>
        </w:rPr>
        <w:t xml:space="preserve"> حت</w:t>
      </w:r>
      <w:r w:rsidR="007A4332" w:rsidRPr="00282AC9">
        <w:rPr>
          <w:rFonts w:hint="cs"/>
          <w:sz w:val="27"/>
          <w:rtl/>
        </w:rPr>
        <w:t>ّ</w:t>
      </w:r>
      <w:r w:rsidRPr="00282AC9">
        <w:rPr>
          <w:sz w:val="27"/>
          <w:rtl/>
        </w:rPr>
        <w:t xml:space="preserve">ى يحتمل أن تكون </w:t>
      </w:r>
      <w:r w:rsidRPr="00282AC9">
        <w:rPr>
          <w:rFonts w:hint="eastAsia"/>
          <w:sz w:val="24"/>
          <w:szCs w:val="24"/>
          <w:rtl/>
        </w:rPr>
        <w:t>«</w:t>
      </w:r>
      <w:r w:rsidR="007A4332" w:rsidRPr="00282AC9">
        <w:rPr>
          <w:sz w:val="27"/>
          <w:rtl/>
        </w:rPr>
        <w:t>الس</w:t>
      </w:r>
      <w:r w:rsidR="007A4332" w:rsidRPr="00282AC9">
        <w:rPr>
          <w:rFonts w:hint="cs"/>
          <w:sz w:val="27"/>
          <w:rtl/>
        </w:rPr>
        <w:t>َّ</w:t>
      </w:r>
      <w:r w:rsidRPr="00282AC9">
        <w:rPr>
          <w:sz w:val="27"/>
          <w:rtl/>
        </w:rPr>
        <w:t>نَن</w:t>
      </w:r>
      <w:r w:rsidRPr="00282AC9">
        <w:rPr>
          <w:rFonts w:hint="eastAsia"/>
          <w:sz w:val="24"/>
          <w:szCs w:val="24"/>
          <w:rtl/>
        </w:rPr>
        <w:t>»</w:t>
      </w:r>
      <w:r w:rsidRPr="00282AC9">
        <w:rPr>
          <w:sz w:val="27"/>
          <w:rtl/>
        </w:rPr>
        <w:t xml:space="preserve"> بدل </w:t>
      </w:r>
      <w:r w:rsidRPr="00282AC9">
        <w:rPr>
          <w:rFonts w:hint="eastAsia"/>
          <w:sz w:val="24"/>
          <w:szCs w:val="24"/>
          <w:rtl/>
        </w:rPr>
        <w:t>«</w:t>
      </w:r>
      <w:r w:rsidR="007A4332" w:rsidRPr="00282AC9">
        <w:rPr>
          <w:sz w:val="27"/>
          <w:rtl/>
        </w:rPr>
        <w:t>الس</w:t>
      </w:r>
      <w:r w:rsidR="007A4332" w:rsidRPr="00282AC9">
        <w:rPr>
          <w:rFonts w:hint="cs"/>
          <w:sz w:val="27"/>
          <w:rtl/>
        </w:rPr>
        <w:t>ُّ</w:t>
      </w:r>
      <w:r w:rsidRPr="00282AC9">
        <w:rPr>
          <w:sz w:val="27"/>
          <w:rtl/>
        </w:rPr>
        <w:t>نَن</w:t>
      </w:r>
      <w:r w:rsidRPr="00282AC9">
        <w:rPr>
          <w:rFonts w:hint="eastAsia"/>
          <w:sz w:val="24"/>
          <w:szCs w:val="24"/>
          <w:rtl/>
        </w:rPr>
        <w:t>»</w:t>
      </w:r>
      <w:r w:rsidR="007A4332" w:rsidRPr="00282AC9">
        <w:rPr>
          <w:sz w:val="27"/>
          <w:rtl/>
        </w:rPr>
        <w:t>، وذ</w:t>
      </w:r>
      <w:r w:rsidRPr="00282AC9">
        <w:rPr>
          <w:sz w:val="27"/>
          <w:rtl/>
        </w:rPr>
        <w:t>كرُه في مصادر كثيرة ومتنو</w:t>
      </w:r>
      <w:r w:rsidR="007A4332" w:rsidRPr="00282AC9">
        <w:rPr>
          <w:rFonts w:hint="cs"/>
          <w:sz w:val="27"/>
          <w:rtl/>
        </w:rPr>
        <w:t>ّ</w:t>
      </w:r>
      <w:r w:rsidRPr="00282AC9">
        <w:rPr>
          <w:sz w:val="27"/>
          <w:rtl/>
        </w:rPr>
        <w:t>عة</w:t>
      </w:r>
      <w:r w:rsidR="007A4332" w:rsidRPr="00282AC9">
        <w:rPr>
          <w:rFonts w:hint="cs"/>
          <w:sz w:val="27"/>
          <w:rtl/>
        </w:rPr>
        <w:t>،</w:t>
      </w:r>
      <w:r w:rsidRPr="00282AC9">
        <w:rPr>
          <w:sz w:val="27"/>
          <w:rtl/>
        </w:rPr>
        <w:t xml:space="preserve"> بحيث يحصل الاطمئنان بأصالته، وكونُ هذا الاستعمال في أفضل الفترات الزمني</w:t>
      </w:r>
      <w:r w:rsidR="007A4332" w:rsidRPr="00282AC9">
        <w:rPr>
          <w:rFonts w:hint="cs"/>
          <w:sz w:val="27"/>
          <w:rtl/>
        </w:rPr>
        <w:t>ّ</w:t>
      </w:r>
      <w:r w:rsidRPr="00282AC9">
        <w:rPr>
          <w:sz w:val="27"/>
          <w:rtl/>
        </w:rPr>
        <w:t>ة للاستشهاد على معنى الكلمة في حالة النقل باللفظ</w:t>
      </w:r>
      <w:r w:rsidR="007A4332" w:rsidRPr="00282AC9">
        <w:rPr>
          <w:rFonts w:hint="cs"/>
          <w:sz w:val="27"/>
          <w:rtl/>
        </w:rPr>
        <w:t>؛</w:t>
      </w:r>
      <w:r w:rsidRPr="00282AC9">
        <w:rPr>
          <w:sz w:val="27"/>
          <w:rtl/>
        </w:rPr>
        <w:t xml:space="preserve"> لأنه من </w:t>
      </w:r>
      <w:r w:rsidR="007A4332" w:rsidRPr="00282AC9">
        <w:rPr>
          <w:sz w:val="27"/>
          <w:rtl/>
        </w:rPr>
        <w:t>شاعرٍ أدرك الجاهلية والإسلام. و</w:t>
      </w:r>
      <w:r w:rsidRPr="00282AC9">
        <w:rPr>
          <w:sz w:val="27"/>
          <w:rtl/>
        </w:rPr>
        <w:t>من المي</w:t>
      </w:r>
      <w:r w:rsidR="007A4332" w:rsidRPr="00282AC9">
        <w:rPr>
          <w:rFonts w:hint="cs"/>
          <w:sz w:val="27"/>
          <w:rtl/>
        </w:rPr>
        <w:t>ِّ</w:t>
      </w:r>
      <w:r w:rsidRPr="00282AC9">
        <w:rPr>
          <w:sz w:val="27"/>
          <w:rtl/>
        </w:rPr>
        <w:t>زات الهام</w:t>
      </w:r>
      <w:r w:rsidR="007A4332" w:rsidRPr="00282AC9">
        <w:rPr>
          <w:rFonts w:hint="cs"/>
          <w:sz w:val="27"/>
          <w:rtl/>
        </w:rPr>
        <w:t>ّ</w:t>
      </w:r>
      <w:r w:rsidRPr="00282AC9">
        <w:rPr>
          <w:sz w:val="27"/>
          <w:rtl/>
        </w:rPr>
        <w:t>ة التي يمتاز هذا الشعر بها</w:t>
      </w:r>
      <w:r w:rsidR="007A4332" w:rsidRPr="00282AC9">
        <w:rPr>
          <w:rFonts w:hint="cs"/>
          <w:sz w:val="27"/>
          <w:rtl/>
        </w:rPr>
        <w:t>،</w:t>
      </w:r>
      <w:r w:rsidRPr="00282AC9">
        <w:rPr>
          <w:sz w:val="27"/>
          <w:rtl/>
        </w:rPr>
        <w:t xml:space="preserve"> خلافا</w:t>
      </w:r>
      <w:r w:rsidR="007A4332" w:rsidRPr="00282AC9">
        <w:rPr>
          <w:rFonts w:hint="cs"/>
          <w:sz w:val="27"/>
          <w:rtl/>
        </w:rPr>
        <w:t>ً</w:t>
      </w:r>
      <w:r w:rsidRPr="00282AC9">
        <w:rPr>
          <w:sz w:val="27"/>
          <w:rtl/>
        </w:rPr>
        <w:t xml:space="preserve"> لسائر الشواهد</w:t>
      </w:r>
      <w:r w:rsidR="007A4332" w:rsidRPr="00282AC9">
        <w:rPr>
          <w:rFonts w:hint="cs"/>
          <w:sz w:val="27"/>
          <w:rtl/>
        </w:rPr>
        <w:t>،</w:t>
      </w:r>
      <w:r w:rsidRPr="00282AC9">
        <w:rPr>
          <w:sz w:val="27"/>
          <w:rtl/>
        </w:rPr>
        <w:t xml:space="preserve"> أن صاحبه من قبيلة هُذَي</w:t>
      </w:r>
      <w:r w:rsidR="007A4332" w:rsidRPr="00282AC9">
        <w:rPr>
          <w:rFonts w:hint="cs"/>
          <w:sz w:val="27"/>
          <w:rtl/>
        </w:rPr>
        <w:t>ْ</w:t>
      </w:r>
      <w:r w:rsidRPr="00282AC9">
        <w:rPr>
          <w:sz w:val="27"/>
          <w:rtl/>
        </w:rPr>
        <w:t>ل</w:t>
      </w:r>
      <w:r w:rsidR="007A4332" w:rsidRPr="00282AC9">
        <w:rPr>
          <w:rFonts w:hint="cs"/>
          <w:sz w:val="27"/>
          <w:rtl/>
        </w:rPr>
        <w:t>؛</w:t>
      </w:r>
      <w:r w:rsidRPr="00282AC9">
        <w:rPr>
          <w:sz w:val="27"/>
          <w:rtl/>
        </w:rPr>
        <w:t xml:space="preserve"> وهناك حكايات</w:t>
      </w:r>
      <w:r w:rsidR="007A4332" w:rsidRPr="00282AC9">
        <w:rPr>
          <w:rFonts w:hint="cs"/>
          <w:sz w:val="27"/>
          <w:rtl/>
        </w:rPr>
        <w:t>ٌ</w:t>
      </w:r>
      <w:r w:rsidRPr="00282AC9">
        <w:rPr>
          <w:sz w:val="27"/>
          <w:rtl/>
        </w:rPr>
        <w:t xml:space="preserve"> مختلفة تبيّ</w:t>
      </w:r>
      <w:r w:rsidR="007A4332" w:rsidRPr="00282AC9">
        <w:rPr>
          <w:rFonts w:hint="cs"/>
          <w:sz w:val="27"/>
          <w:rtl/>
        </w:rPr>
        <w:t>ِ</w:t>
      </w:r>
      <w:r w:rsidRPr="00282AC9">
        <w:rPr>
          <w:sz w:val="27"/>
          <w:rtl/>
        </w:rPr>
        <w:t>ن مكانتَهم العليا في اللغة العربي</w:t>
      </w:r>
      <w:r w:rsidR="007A4332" w:rsidRPr="00282AC9">
        <w:rPr>
          <w:rFonts w:hint="cs"/>
          <w:sz w:val="27"/>
          <w:rtl/>
        </w:rPr>
        <w:t>ّ</w:t>
      </w:r>
      <w:r w:rsidR="007A4332" w:rsidRPr="00282AC9">
        <w:rPr>
          <w:sz w:val="27"/>
          <w:rtl/>
        </w:rPr>
        <w:t>ة</w:t>
      </w:r>
      <w:r w:rsidR="007A4332" w:rsidRPr="00282AC9">
        <w:rPr>
          <w:rFonts w:hint="cs"/>
          <w:sz w:val="27"/>
          <w:rtl/>
        </w:rPr>
        <w:t>؛</w:t>
      </w:r>
      <w:r w:rsidR="007A4332" w:rsidRPr="00282AC9">
        <w:rPr>
          <w:sz w:val="27"/>
          <w:rtl/>
        </w:rPr>
        <w:t xml:space="preserve"> كما حُكي</w:t>
      </w:r>
      <w:r w:rsidRPr="00282AC9">
        <w:rPr>
          <w:sz w:val="27"/>
          <w:rtl/>
        </w:rPr>
        <w:t xml:space="preserve"> أن </w:t>
      </w:r>
      <w:r w:rsidRPr="00282AC9">
        <w:rPr>
          <w:rFonts w:hint="eastAsia"/>
          <w:sz w:val="24"/>
          <w:szCs w:val="24"/>
          <w:rtl/>
          <w:lang w:bidi="fa-IR"/>
        </w:rPr>
        <w:t>«</w:t>
      </w:r>
      <w:r w:rsidRPr="00282AC9">
        <w:rPr>
          <w:sz w:val="27"/>
          <w:rtl/>
          <w:lang w:bidi="fa-IR"/>
        </w:rPr>
        <w:t>هذيلاً أشعر قبائل العرب‏</w:t>
      </w:r>
      <w:r w:rsidRPr="00282AC9">
        <w:rPr>
          <w:rFonts w:hint="eastAsia"/>
          <w:sz w:val="24"/>
          <w:szCs w:val="24"/>
          <w:rtl/>
        </w:rPr>
        <w:t>»</w:t>
      </w:r>
      <w:r w:rsidRPr="00282AC9">
        <w:rPr>
          <w:sz w:val="27"/>
          <w:vertAlign w:val="superscript"/>
          <w:rtl/>
        </w:rPr>
        <w:t>(</w:t>
      </w:r>
      <w:r w:rsidRPr="00282AC9">
        <w:rPr>
          <w:rStyle w:val="af9"/>
          <w:sz w:val="27"/>
          <w:rtl/>
        </w:rPr>
        <w:endnoteReference w:id="575"/>
      </w:r>
      <w:r w:rsidRPr="00282AC9">
        <w:rPr>
          <w:sz w:val="27"/>
          <w:vertAlign w:val="superscript"/>
          <w:rtl/>
        </w:rPr>
        <w:t>)</w:t>
      </w:r>
      <w:r w:rsidR="007A4332" w:rsidRPr="00282AC9">
        <w:rPr>
          <w:rFonts w:hint="cs"/>
          <w:sz w:val="27"/>
          <w:rtl/>
        </w:rPr>
        <w:t>؛</w:t>
      </w:r>
      <w:r w:rsidRPr="00282AC9">
        <w:rPr>
          <w:sz w:val="27"/>
          <w:rtl/>
        </w:rPr>
        <w:t xml:space="preserve"> </w:t>
      </w:r>
      <w:r w:rsidR="007A4332" w:rsidRPr="00282AC9">
        <w:rPr>
          <w:rFonts w:hint="cs"/>
          <w:sz w:val="27"/>
          <w:rtl/>
        </w:rPr>
        <w:t>وقد</w:t>
      </w:r>
      <w:r w:rsidRPr="00282AC9">
        <w:rPr>
          <w:sz w:val="27"/>
          <w:rtl/>
        </w:rPr>
        <w:t xml:space="preserve"> قال عثمان بن عفان لمّا رأى الخ</w:t>
      </w:r>
      <w:r w:rsidR="007A4332" w:rsidRPr="00282AC9">
        <w:rPr>
          <w:rFonts w:hint="cs"/>
          <w:sz w:val="27"/>
          <w:rtl/>
        </w:rPr>
        <w:t>َ</w:t>
      </w:r>
      <w:r w:rsidRPr="00282AC9">
        <w:rPr>
          <w:sz w:val="27"/>
          <w:rtl/>
        </w:rPr>
        <w:t>ل</w:t>
      </w:r>
      <w:r w:rsidR="007A4332" w:rsidRPr="00282AC9">
        <w:rPr>
          <w:rFonts w:hint="cs"/>
          <w:sz w:val="27"/>
          <w:rtl/>
        </w:rPr>
        <w:t>َ</w:t>
      </w:r>
      <w:r w:rsidRPr="00282AC9">
        <w:rPr>
          <w:sz w:val="27"/>
          <w:rtl/>
        </w:rPr>
        <w:t xml:space="preserve">ل الموجودة في كتابة المصحف: </w:t>
      </w:r>
      <w:r w:rsidRPr="00282AC9">
        <w:rPr>
          <w:rFonts w:hint="eastAsia"/>
          <w:sz w:val="24"/>
          <w:szCs w:val="24"/>
          <w:rtl/>
          <w:lang w:bidi="fa-IR"/>
        </w:rPr>
        <w:t>«</w:t>
      </w:r>
      <w:r w:rsidRPr="00282AC9">
        <w:rPr>
          <w:sz w:val="27"/>
          <w:rtl/>
          <w:lang w:bidi="fa-IR"/>
        </w:rPr>
        <w:t>لو كان‏ المُمْلِي‏ من ه</w:t>
      </w:r>
      <w:r w:rsidR="007A4332" w:rsidRPr="00282AC9">
        <w:rPr>
          <w:rFonts w:hint="cs"/>
          <w:sz w:val="27"/>
          <w:rtl/>
          <w:lang w:bidi="fa-IR"/>
        </w:rPr>
        <w:t>ُ</w:t>
      </w:r>
      <w:r w:rsidRPr="00282AC9">
        <w:rPr>
          <w:sz w:val="27"/>
          <w:rtl/>
          <w:lang w:bidi="fa-IR"/>
        </w:rPr>
        <w:t>ذ</w:t>
      </w:r>
      <w:r w:rsidR="007A4332" w:rsidRPr="00282AC9">
        <w:rPr>
          <w:rFonts w:hint="cs"/>
          <w:sz w:val="27"/>
          <w:rtl/>
          <w:lang w:bidi="fa-IR"/>
        </w:rPr>
        <w:t>َ</w:t>
      </w:r>
      <w:r w:rsidRPr="00282AC9">
        <w:rPr>
          <w:sz w:val="27"/>
          <w:rtl/>
          <w:lang w:bidi="fa-IR"/>
        </w:rPr>
        <w:t>ي</w:t>
      </w:r>
      <w:r w:rsidR="007A4332" w:rsidRPr="00282AC9">
        <w:rPr>
          <w:rFonts w:hint="cs"/>
          <w:sz w:val="27"/>
          <w:rtl/>
          <w:lang w:bidi="fa-IR"/>
        </w:rPr>
        <w:t>ْ</w:t>
      </w:r>
      <w:r w:rsidRPr="00282AC9">
        <w:rPr>
          <w:sz w:val="27"/>
          <w:rtl/>
          <w:lang w:bidi="fa-IR"/>
        </w:rPr>
        <w:t>ل والكاتب من ثقيف‏ لم يوجد فيه هذا</w:t>
      </w:r>
      <w:r w:rsidRPr="00282AC9">
        <w:rPr>
          <w:rFonts w:hint="eastAsia"/>
          <w:sz w:val="24"/>
          <w:szCs w:val="24"/>
          <w:rtl/>
        </w:rPr>
        <w:t>»</w:t>
      </w:r>
      <w:r w:rsidRPr="00282AC9">
        <w:rPr>
          <w:sz w:val="27"/>
          <w:vertAlign w:val="superscript"/>
          <w:rtl/>
          <w:lang w:bidi="fa-IR"/>
        </w:rPr>
        <w:t>(</w:t>
      </w:r>
      <w:r w:rsidRPr="00282AC9">
        <w:rPr>
          <w:rStyle w:val="af9"/>
          <w:sz w:val="27"/>
          <w:rtl/>
          <w:lang w:bidi="fa-IR"/>
        </w:rPr>
        <w:endnoteReference w:id="576"/>
      </w:r>
      <w:r w:rsidRPr="00282AC9">
        <w:rPr>
          <w:sz w:val="27"/>
          <w:vertAlign w:val="superscript"/>
          <w:rtl/>
          <w:lang w:bidi="fa-IR"/>
        </w:rPr>
        <w:t>)</w:t>
      </w:r>
      <w:r w:rsidR="007A4332" w:rsidRPr="00282AC9">
        <w:rPr>
          <w:rFonts w:hint="cs"/>
          <w:sz w:val="27"/>
          <w:rtl/>
          <w:lang w:bidi="fa-IR"/>
        </w:rPr>
        <w:t>؛</w:t>
      </w:r>
      <w:r w:rsidRPr="00282AC9">
        <w:rPr>
          <w:sz w:val="27"/>
          <w:rtl/>
          <w:lang w:bidi="fa-IR"/>
        </w:rPr>
        <w:t xml:space="preserve"> وحُ</w:t>
      </w:r>
      <w:r w:rsidR="007A4332" w:rsidRPr="00282AC9">
        <w:rPr>
          <w:sz w:val="27"/>
          <w:rtl/>
          <w:lang w:bidi="fa-IR"/>
        </w:rPr>
        <w:t>كي</w:t>
      </w:r>
      <w:r w:rsidRPr="00282AC9">
        <w:rPr>
          <w:sz w:val="27"/>
          <w:rtl/>
          <w:lang w:bidi="fa-IR"/>
        </w:rPr>
        <w:t xml:space="preserve"> أيضا</w:t>
      </w:r>
      <w:r w:rsidR="007A4332" w:rsidRPr="00282AC9">
        <w:rPr>
          <w:rFonts w:hint="cs"/>
          <w:sz w:val="27"/>
          <w:rtl/>
          <w:lang w:bidi="fa-IR"/>
        </w:rPr>
        <w:t>ً</w:t>
      </w:r>
      <w:r w:rsidR="007A4332" w:rsidRPr="00282AC9">
        <w:rPr>
          <w:sz w:val="27"/>
          <w:rtl/>
          <w:lang w:bidi="fa-IR"/>
        </w:rPr>
        <w:t xml:space="preserve"> أن ابن عب</w:t>
      </w:r>
      <w:r w:rsidR="007A4332" w:rsidRPr="00282AC9">
        <w:rPr>
          <w:rFonts w:hint="cs"/>
          <w:sz w:val="27"/>
          <w:rtl/>
          <w:lang w:bidi="fa-IR"/>
        </w:rPr>
        <w:t>ّ</w:t>
      </w:r>
      <w:r w:rsidR="007A4332" w:rsidRPr="00282AC9">
        <w:rPr>
          <w:sz w:val="27"/>
          <w:rtl/>
          <w:lang w:bidi="fa-IR"/>
        </w:rPr>
        <w:t>اس بحث</w:t>
      </w:r>
      <w:r w:rsidRPr="00282AC9">
        <w:rPr>
          <w:sz w:val="27"/>
          <w:rtl/>
          <w:lang w:bidi="fa-IR"/>
        </w:rPr>
        <w:t xml:space="preserve"> عن رجلٍ من هذه القبيلة ليعرف معنى مفردةٍ من القرآن الكريم</w:t>
      </w:r>
      <w:r w:rsidR="007A4332" w:rsidRPr="00282AC9">
        <w:rPr>
          <w:rFonts w:hint="cs"/>
          <w:sz w:val="27"/>
          <w:rtl/>
          <w:lang w:bidi="fa-IR"/>
        </w:rPr>
        <w:t>،</w:t>
      </w:r>
      <w:r w:rsidRPr="00282AC9">
        <w:rPr>
          <w:sz w:val="27"/>
          <w:rtl/>
          <w:lang w:bidi="fa-IR"/>
        </w:rPr>
        <w:t xml:space="preserve"> وعندما سمع معناها عندهم قال: </w:t>
      </w:r>
      <w:r w:rsidRPr="00282AC9">
        <w:rPr>
          <w:rFonts w:hint="eastAsia"/>
          <w:sz w:val="24"/>
          <w:szCs w:val="24"/>
          <w:rtl/>
          <w:lang w:bidi="fa-IR"/>
        </w:rPr>
        <w:t>«</w:t>
      </w:r>
      <w:r w:rsidRPr="00282AC9">
        <w:rPr>
          <w:sz w:val="27"/>
          <w:rtl/>
          <w:lang w:bidi="fa-IR"/>
        </w:rPr>
        <w:t>فهو كذلك</w:t>
      </w:r>
      <w:r w:rsidRPr="00282AC9">
        <w:rPr>
          <w:rFonts w:hint="eastAsia"/>
          <w:sz w:val="24"/>
          <w:szCs w:val="24"/>
          <w:rtl/>
        </w:rPr>
        <w:t>»</w:t>
      </w:r>
      <w:r w:rsidRPr="00282AC9">
        <w:rPr>
          <w:sz w:val="27"/>
          <w:vertAlign w:val="superscript"/>
          <w:rtl/>
          <w:lang w:bidi="fa-IR"/>
        </w:rPr>
        <w:t>(</w:t>
      </w:r>
      <w:r w:rsidRPr="00282AC9">
        <w:rPr>
          <w:rStyle w:val="af9"/>
          <w:sz w:val="27"/>
          <w:rtl/>
          <w:lang w:bidi="fa-IR"/>
        </w:rPr>
        <w:endnoteReference w:id="577"/>
      </w:r>
      <w:r w:rsidRPr="00282AC9">
        <w:rPr>
          <w:sz w:val="27"/>
          <w:vertAlign w:val="superscript"/>
          <w:rtl/>
          <w:lang w:bidi="fa-IR"/>
        </w:rPr>
        <w:t>)</w:t>
      </w:r>
      <w:r w:rsidRPr="00282AC9">
        <w:rPr>
          <w:sz w:val="27"/>
          <w:rtl/>
          <w:lang w:bidi="fa-IR"/>
        </w:rPr>
        <w:t>.</w:t>
      </w:r>
      <w:r w:rsidRPr="00282AC9">
        <w:rPr>
          <w:rFonts w:hint="cs"/>
          <w:sz w:val="27"/>
          <w:rtl/>
          <w:lang w:bidi="fa-IR"/>
        </w:rPr>
        <w:t xml:space="preserve"> فيظهر أن هذه القبيلة كانت في مكانة</w:t>
      </w:r>
      <w:r w:rsidR="007A4332" w:rsidRPr="00282AC9">
        <w:rPr>
          <w:rFonts w:hint="cs"/>
          <w:sz w:val="27"/>
          <w:rtl/>
          <w:lang w:bidi="fa-IR"/>
        </w:rPr>
        <w:t>ٍ</w:t>
      </w:r>
      <w:r w:rsidRPr="00282AC9">
        <w:rPr>
          <w:rFonts w:hint="cs"/>
          <w:sz w:val="27"/>
          <w:rtl/>
          <w:lang w:bidi="fa-IR"/>
        </w:rPr>
        <w:t xml:space="preserve"> عالية من الفصاحة</w:t>
      </w:r>
      <w:r w:rsidR="007A4332" w:rsidRPr="00282AC9">
        <w:rPr>
          <w:rFonts w:hint="cs"/>
          <w:sz w:val="27"/>
          <w:rtl/>
          <w:lang w:bidi="fa-IR"/>
        </w:rPr>
        <w:t>.</w:t>
      </w:r>
      <w:r w:rsidRPr="00282AC9">
        <w:rPr>
          <w:rFonts w:hint="cs"/>
          <w:sz w:val="27"/>
          <w:rtl/>
          <w:lang w:bidi="fa-IR"/>
        </w:rPr>
        <w:t xml:space="preserve"> ونت</w:t>
      </w:r>
      <w:r w:rsidRPr="00282AC9">
        <w:rPr>
          <w:rFonts w:ascii="Times New Roman" w:hAnsi="Times New Roman" w:hint="cs"/>
          <w:sz w:val="27"/>
          <w:rtl/>
          <w:lang w:bidi="fa-IR"/>
        </w:rPr>
        <w:t>ي</w:t>
      </w:r>
      <w:r w:rsidRPr="00282AC9">
        <w:rPr>
          <w:rFonts w:hint="cs"/>
          <w:sz w:val="27"/>
          <w:rtl/>
          <w:lang w:bidi="fa-IR"/>
        </w:rPr>
        <w:t>جةً لذلك ستكون الشواهد من كلمات</w:t>
      </w:r>
      <w:r w:rsidR="007A4332" w:rsidRPr="00282AC9">
        <w:rPr>
          <w:rFonts w:hint="cs"/>
          <w:sz w:val="27"/>
          <w:rtl/>
          <w:lang w:bidi="fa-IR"/>
        </w:rPr>
        <w:t>هم أكثر ق</w:t>
      </w:r>
      <w:r w:rsidRPr="00282AC9">
        <w:rPr>
          <w:rFonts w:hint="cs"/>
          <w:sz w:val="27"/>
          <w:rtl/>
          <w:lang w:bidi="fa-IR"/>
        </w:rPr>
        <w:t xml:space="preserve">يمةً. </w:t>
      </w:r>
    </w:p>
    <w:p w:rsidR="00464852" w:rsidRPr="00282AC9" w:rsidRDefault="00464852" w:rsidP="00F023C0">
      <w:pPr>
        <w:pStyle w:val="31"/>
        <w:rPr>
          <w:color w:val="auto"/>
        </w:rPr>
      </w:pPr>
      <w:r w:rsidRPr="00282AC9">
        <w:rPr>
          <w:color w:val="auto"/>
          <w:rtl/>
          <w:lang w:bidi="fa-IR"/>
        </w:rPr>
        <w:lastRenderedPageBreak/>
        <w:t>هل هناك اضطراب</w:t>
      </w:r>
      <w:r w:rsidR="007A4332" w:rsidRPr="00282AC9">
        <w:rPr>
          <w:rFonts w:hint="cs"/>
          <w:color w:val="auto"/>
          <w:rtl/>
          <w:lang w:bidi="fa-IR"/>
        </w:rPr>
        <w:t>ٌ</w:t>
      </w:r>
      <w:r w:rsidRPr="00282AC9">
        <w:rPr>
          <w:color w:val="auto"/>
          <w:rtl/>
          <w:lang w:bidi="fa-IR"/>
        </w:rPr>
        <w:t xml:space="preserve"> في رواية </w:t>
      </w:r>
      <w:r w:rsidRPr="00282AC9">
        <w:rPr>
          <w:rFonts w:hint="cs"/>
          <w:color w:val="auto"/>
          <w:rtl/>
          <w:lang w:bidi="fa-IR"/>
        </w:rPr>
        <w:t xml:space="preserve">هذا </w:t>
      </w:r>
      <w:r w:rsidRPr="00282AC9">
        <w:rPr>
          <w:color w:val="auto"/>
          <w:rtl/>
          <w:lang w:bidi="fa-IR"/>
        </w:rPr>
        <w:t>الشعر</w:t>
      </w:r>
      <w:r w:rsidR="00041FA0" w:rsidRPr="00282AC9">
        <w:rPr>
          <w:rFonts w:hint="cs"/>
          <w:color w:val="auto"/>
          <w:rtl/>
          <w:lang w:bidi="fa-IR"/>
        </w:rPr>
        <w:t>؟</w:t>
      </w:r>
    </w:p>
    <w:p w:rsidR="007A4332" w:rsidRPr="00282AC9" w:rsidRDefault="00464852" w:rsidP="00153C0A">
      <w:pPr>
        <w:rPr>
          <w:sz w:val="27"/>
          <w:rtl/>
        </w:rPr>
      </w:pPr>
      <w:r w:rsidRPr="00282AC9">
        <w:rPr>
          <w:sz w:val="27"/>
          <w:rtl/>
        </w:rPr>
        <w:t>وجدير</w:t>
      </w:r>
      <w:r w:rsidR="007A4332" w:rsidRPr="00282AC9">
        <w:rPr>
          <w:rFonts w:hint="cs"/>
          <w:sz w:val="27"/>
          <w:rtl/>
        </w:rPr>
        <w:t>ٌ</w:t>
      </w:r>
      <w:r w:rsidRPr="00282AC9">
        <w:rPr>
          <w:sz w:val="27"/>
          <w:rtl/>
        </w:rPr>
        <w:t xml:space="preserve"> بالذكر أن هناك رواية</w:t>
      </w:r>
      <w:r w:rsidR="007A4332" w:rsidRPr="00282AC9">
        <w:rPr>
          <w:rFonts w:hint="cs"/>
          <w:sz w:val="27"/>
          <w:rtl/>
        </w:rPr>
        <w:t>ً</w:t>
      </w:r>
      <w:r w:rsidRPr="00282AC9">
        <w:rPr>
          <w:sz w:val="27"/>
          <w:rtl/>
        </w:rPr>
        <w:t xml:space="preserve"> أخرى للبيت</w:t>
      </w:r>
      <w:r w:rsidR="007A4332" w:rsidRPr="00282AC9">
        <w:rPr>
          <w:rFonts w:hint="cs"/>
          <w:sz w:val="27"/>
          <w:rtl/>
        </w:rPr>
        <w:t>،</w:t>
      </w:r>
      <w:r w:rsidRPr="00282AC9">
        <w:rPr>
          <w:sz w:val="27"/>
          <w:rtl/>
        </w:rPr>
        <w:t xml:space="preserve"> وورد فيها لفظ </w:t>
      </w:r>
      <w:r w:rsidRPr="00282AC9">
        <w:rPr>
          <w:sz w:val="24"/>
          <w:szCs w:val="24"/>
          <w:rtl/>
        </w:rPr>
        <w:t>«</w:t>
      </w:r>
      <w:r w:rsidRPr="00282AC9">
        <w:rPr>
          <w:sz w:val="27"/>
          <w:rtl/>
        </w:rPr>
        <w:t>الس</w:t>
      </w:r>
      <w:r w:rsidR="007A4332" w:rsidRPr="00282AC9">
        <w:rPr>
          <w:rFonts w:hint="cs"/>
          <w:sz w:val="27"/>
          <w:rtl/>
        </w:rPr>
        <w:t>ِّ</w:t>
      </w:r>
      <w:r w:rsidRPr="00282AC9">
        <w:rPr>
          <w:sz w:val="27"/>
          <w:rtl/>
        </w:rPr>
        <w:t>يرة</w:t>
      </w:r>
      <w:r w:rsidRPr="00282AC9">
        <w:rPr>
          <w:sz w:val="24"/>
          <w:szCs w:val="24"/>
          <w:rtl/>
          <w:lang w:bidi="fa-IR"/>
        </w:rPr>
        <w:t>»</w:t>
      </w:r>
      <w:r w:rsidRPr="00282AC9">
        <w:rPr>
          <w:sz w:val="27"/>
          <w:rtl/>
        </w:rPr>
        <w:t xml:space="preserve"> بدل </w:t>
      </w:r>
      <w:r w:rsidRPr="00282AC9">
        <w:rPr>
          <w:sz w:val="24"/>
          <w:szCs w:val="24"/>
          <w:rtl/>
        </w:rPr>
        <w:t>«</w:t>
      </w:r>
      <w:r w:rsidRPr="00282AC9">
        <w:rPr>
          <w:sz w:val="27"/>
          <w:rtl/>
        </w:rPr>
        <w:t>الس</w:t>
      </w:r>
      <w:r w:rsidR="007A4332" w:rsidRPr="00282AC9">
        <w:rPr>
          <w:rFonts w:hint="cs"/>
          <w:sz w:val="27"/>
          <w:rtl/>
        </w:rPr>
        <w:t>ُّ</w:t>
      </w:r>
      <w:r w:rsidRPr="00282AC9">
        <w:rPr>
          <w:sz w:val="27"/>
          <w:rtl/>
        </w:rPr>
        <w:t>ن</w:t>
      </w:r>
      <w:r w:rsidRPr="00282AC9">
        <w:rPr>
          <w:rFonts w:hint="cs"/>
          <w:sz w:val="27"/>
          <w:rtl/>
        </w:rPr>
        <w:t>ّ</w:t>
      </w:r>
      <w:r w:rsidRPr="00282AC9">
        <w:rPr>
          <w:sz w:val="27"/>
          <w:rtl/>
        </w:rPr>
        <w:t>ة</w:t>
      </w:r>
      <w:r w:rsidRPr="00282AC9">
        <w:rPr>
          <w:sz w:val="24"/>
          <w:szCs w:val="24"/>
          <w:rtl/>
        </w:rPr>
        <w:t>»</w:t>
      </w:r>
      <w:r w:rsidRPr="00282AC9">
        <w:rPr>
          <w:sz w:val="27"/>
          <w:rtl/>
        </w:rPr>
        <w:t xml:space="preserve"> في المصراعين</w:t>
      </w:r>
      <w:r w:rsidR="007A4332" w:rsidRPr="00282AC9">
        <w:rPr>
          <w:sz w:val="27"/>
          <w:vertAlign w:val="superscript"/>
          <w:rtl/>
        </w:rPr>
        <w:t>(</w:t>
      </w:r>
      <w:r w:rsidR="007A4332" w:rsidRPr="00282AC9">
        <w:rPr>
          <w:rStyle w:val="af9"/>
          <w:sz w:val="27"/>
          <w:rtl/>
        </w:rPr>
        <w:endnoteReference w:id="578"/>
      </w:r>
      <w:r w:rsidR="007A4332" w:rsidRPr="00282AC9">
        <w:rPr>
          <w:sz w:val="27"/>
          <w:vertAlign w:val="superscript"/>
          <w:rtl/>
        </w:rPr>
        <w:t>)</w:t>
      </w:r>
      <w:r w:rsidR="007A4332" w:rsidRPr="00282AC9">
        <w:rPr>
          <w:rFonts w:hint="cs"/>
          <w:sz w:val="27"/>
          <w:rtl/>
        </w:rPr>
        <w:t>.</w:t>
      </w:r>
      <w:r w:rsidRPr="00282AC9">
        <w:rPr>
          <w:sz w:val="27"/>
          <w:rtl/>
        </w:rPr>
        <w:t xml:space="preserve"> وعليه ر</w:t>
      </w:r>
      <w:r w:rsidR="007A4332" w:rsidRPr="00282AC9">
        <w:rPr>
          <w:rFonts w:hint="cs"/>
          <w:sz w:val="27"/>
          <w:rtl/>
        </w:rPr>
        <w:t>ُ</w:t>
      </w:r>
      <w:r w:rsidRPr="00282AC9">
        <w:rPr>
          <w:sz w:val="27"/>
          <w:rtl/>
        </w:rPr>
        <w:t>ب</w:t>
      </w:r>
      <w:r w:rsidR="007A4332" w:rsidRPr="00282AC9">
        <w:rPr>
          <w:rFonts w:hint="cs"/>
          <w:sz w:val="27"/>
          <w:rtl/>
        </w:rPr>
        <w:t>َ</w:t>
      </w:r>
      <w:r w:rsidRPr="00282AC9">
        <w:rPr>
          <w:sz w:val="27"/>
          <w:rtl/>
        </w:rPr>
        <w:t>ما يُش</w:t>
      </w:r>
      <w:r w:rsidR="007A4332" w:rsidRPr="00282AC9">
        <w:rPr>
          <w:rFonts w:hint="cs"/>
          <w:sz w:val="27"/>
          <w:rtl/>
        </w:rPr>
        <w:t>ْ</w:t>
      </w:r>
      <w:r w:rsidR="007A4332" w:rsidRPr="00282AC9">
        <w:rPr>
          <w:sz w:val="27"/>
          <w:rtl/>
        </w:rPr>
        <w:t>كَل على الاستدلال به.</w:t>
      </w:r>
    </w:p>
    <w:p w:rsidR="00464852" w:rsidRPr="00282AC9" w:rsidRDefault="00464852" w:rsidP="00153C0A">
      <w:pPr>
        <w:rPr>
          <w:sz w:val="27"/>
          <w:rtl/>
        </w:rPr>
      </w:pPr>
      <w:r w:rsidRPr="00282AC9">
        <w:rPr>
          <w:sz w:val="27"/>
          <w:rtl/>
        </w:rPr>
        <w:t>لكن</w:t>
      </w:r>
      <w:r w:rsidR="007A4332" w:rsidRPr="00282AC9">
        <w:rPr>
          <w:rFonts w:hint="cs"/>
          <w:sz w:val="27"/>
          <w:rtl/>
        </w:rPr>
        <w:t>ّ</w:t>
      </w:r>
      <w:r w:rsidRPr="00282AC9">
        <w:rPr>
          <w:sz w:val="27"/>
          <w:rtl/>
        </w:rPr>
        <w:t xml:space="preserve"> الظاهر ـ في ظن</w:t>
      </w:r>
      <w:r w:rsidR="007A4332" w:rsidRPr="00282AC9">
        <w:rPr>
          <w:rFonts w:hint="cs"/>
          <w:sz w:val="27"/>
          <w:rtl/>
        </w:rPr>
        <w:t>ّ</w:t>
      </w:r>
      <w:r w:rsidRPr="00282AC9">
        <w:rPr>
          <w:sz w:val="27"/>
          <w:rtl/>
        </w:rPr>
        <w:t xml:space="preserve">ي القاصر ـ أن </w:t>
      </w:r>
      <w:r w:rsidRPr="00282AC9">
        <w:rPr>
          <w:rFonts w:hint="eastAsia"/>
          <w:sz w:val="24"/>
          <w:szCs w:val="24"/>
          <w:rtl/>
        </w:rPr>
        <w:t>«</w:t>
      </w:r>
      <w:r w:rsidRPr="00282AC9">
        <w:rPr>
          <w:sz w:val="27"/>
          <w:rtl/>
        </w:rPr>
        <w:t>الس</w:t>
      </w:r>
      <w:r w:rsidR="007A4332" w:rsidRPr="00282AC9">
        <w:rPr>
          <w:rFonts w:hint="cs"/>
          <w:sz w:val="27"/>
          <w:rtl/>
        </w:rPr>
        <w:t>ِّ</w:t>
      </w:r>
      <w:r w:rsidRPr="00282AC9">
        <w:rPr>
          <w:sz w:val="27"/>
          <w:rtl/>
        </w:rPr>
        <w:t>يرة</w:t>
      </w:r>
      <w:r w:rsidRPr="00282AC9">
        <w:rPr>
          <w:rFonts w:hint="eastAsia"/>
          <w:sz w:val="24"/>
          <w:szCs w:val="24"/>
          <w:rtl/>
        </w:rPr>
        <w:t>»</w:t>
      </w:r>
      <w:r w:rsidRPr="00282AC9">
        <w:rPr>
          <w:sz w:val="27"/>
          <w:rtl/>
        </w:rPr>
        <w:t xml:space="preserve"> تصحيفٌ من </w:t>
      </w:r>
      <w:r w:rsidRPr="00282AC9">
        <w:rPr>
          <w:rFonts w:hint="eastAsia"/>
          <w:sz w:val="24"/>
          <w:szCs w:val="24"/>
          <w:rtl/>
        </w:rPr>
        <w:t>«</w:t>
      </w:r>
      <w:r w:rsidRPr="00282AC9">
        <w:rPr>
          <w:sz w:val="27"/>
          <w:rtl/>
        </w:rPr>
        <w:t>الس</w:t>
      </w:r>
      <w:r w:rsidR="007A4332" w:rsidRPr="00282AC9">
        <w:rPr>
          <w:rFonts w:hint="cs"/>
          <w:sz w:val="27"/>
          <w:rtl/>
        </w:rPr>
        <w:t>ُّ</w:t>
      </w:r>
      <w:r w:rsidRPr="00282AC9">
        <w:rPr>
          <w:sz w:val="27"/>
          <w:rtl/>
        </w:rPr>
        <w:t>نّ</w:t>
      </w:r>
      <w:r w:rsidR="007A4332" w:rsidRPr="00282AC9">
        <w:rPr>
          <w:rFonts w:hint="cs"/>
          <w:sz w:val="27"/>
          <w:rtl/>
        </w:rPr>
        <w:t>َ</w:t>
      </w:r>
      <w:r w:rsidRPr="00282AC9">
        <w:rPr>
          <w:sz w:val="27"/>
          <w:rtl/>
        </w:rPr>
        <w:t>ة</w:t>
      </w:r>
      <w:r w:rsidRPr="00282AC9">
        <w:rPr>
          <w:rFonts w:hint="eastAsia"/>
          <w:sz w:val="24"/>
          <w:szCs w:val="24"/>
          <w:rtl/>
        </w:rPr>
        <w:t>»</w:t>
      </w:r>
      <w:r w:rsidRPr="00282AC9">
        <w:rPr>
          <w:sz w:val="27"/>
          <w:rtl/>
        </w:rPr>
        <w:t xml:space="preserve"> في هذه الرواية للشعر</w:t>
      </w:r>
      <w:r w:rsidR="007A4332" w:rsidRPr="00282AC9">
        <w:rPr>
          <w:rFonts w:hint="cs"/>
          <w:sz w:val="27"/>
          <w:rtl/>
        </w:rPr>
        <w:t>؛</w:t>
      </w:r>
      <w:r w:rsidRPr="00282AC9">
        <w:rPr>
          <w:sz w:val="27"/>
          <w:rtl/>
        </w:rPr>
        <w:t xml:space="preserve"> </w:t>
      </w:r>
      <w:r w:rsidR="007A4332" w:rsidRPr="00282AC9">
        <w:rPr>
          <w:rFonts w:hint="cs"/>
          <w:sz w:val="27"/>
          <w:rtl/>
        </w:rPr>
        <w:t>ل</w:t>
      </w:r>
      <w:r w:rsidRPr="00282AC9">
        <w:rPr>
          <w:sz w:val="27"/>
          <w:rtl/>
        </w:rPr>
        <w:t>قرائن، منها:</w:t>
      </w:r>
    </w:p>
    <w:p w:rsidR="00464852" w:rsidRPr="00282AC9" w:rsidRDefault="00464852" w:rsidP="00407A45">
      <w:pPr>
        <w:spacing w:line="380" w:lineRule="exact"/>
        <w:rPr>
          <w:sz w:val="27"/>
          <w:rtl/>
        </w:rPr>
      </w:pPr>
      <w:r w:rsidRPr="00282AC9">
        <w:rPr>
          <w:b/>
          <w:bCs/>
          <w:sz w:val="27"/>
          <w:rtl/>
        </w:rPr>
        <w:t>الأولى</w:t>
      </w:r>
      <w:r w:rsidRPr="00282AC9">
        <w:rPr>
          <w:sz w:val="27"/>
          <w:rtl/>
        </w:rPr>
        <w:t>: تعرّ</w:t>
      </w:r>
      <w:r w:rsidR="007A4332" w:rsidRPr="00282AC9">
        <w:rPr>
          <w:rFonts w:hint="cs"/>
          <w:sz w:val="27"/>
          <w:rtl/>
        </w:rPr>
        <w:t>َ</w:t>
      </w:r>
      <w:r w:rsidRPr="00282AC9">
        <w:rPr>
          <w:sz w:val="27"/>
          <w:rtl/>
        </w:rPr>
        <w:t>ض</w:t>
      </w:r>
      <w:r w:rsidR="007A4332" w:rsidRPr="00282AC9">
        <w:rPr>
          <w:rFonts w:hint="cs"/>
          <w:sz w:val="27"/>
          <w:rtl/>
        </w:rPr>
        <w:t>َ</w:t>
      </w:r>
      <w:r w:rsidRPr="00282AC9">
        <w:rPr>
          <w:sz w:val="27"/>
          <w:rtl/>
        </w:rPr>
        <w:t>تْ أربعٌ من المصادر</w:t>
      </w:r>
      <w:r w:rsidRPr="00282AC9">
        <w:rPr>
          <w:sz w:val="27"/>
          <w:vertAlign w:val="superscript"/>
          <w:rtl/>
        </w:rPr>
        <w:t>(</w:t>
      </w:r>
      <w:r w:rsidRPr="00282AC9">
        <w:rPr>
          <w:rStyle w:val="af9"/>
          <w:sz w:val="27"/>
          <w:rtl/>
        </w:rPr>
        <w:endnoteReference w:id="579"/>
      </w:r>
      <w:r w:rsidRPr="00282AC9">
        <w:rPr>
          <w:sz w:val="27"/>
          <w:vertAlign w:val="superscript"/>
          <w:rtl/>
        </w:rPr>
        <w:t>)</w:t>
      </w:r>
      <w:r w:rsidRPr="00282AC9">
        <w:rPr>
          <w:sz w:val="27"/>
          <w:rtl/>
        </w:rPr>
        <w:t xml:space="preserve"> لاختلاف الرواية في هذا الشعر، ولم يذكر واحدٌ منها </w:t>
      </w:r>
      <w:r w:rsidRPr="00282AC9">
        <w:rPr>
          <w:rFonts w:hint="eastAsia"/>
          <w:sz w:val="24"/>
          <w:szCs w:val="24"/>
          <w:rtl/>
        </w:rPr>
        <w:t>«</w:t>
      </w:r>
      <w:r w:rsidRPr="00282AC9">
        <w:rPr>
          <w:sz w:val="27"/>
          <w:rtl/>
        </w:rPr>
        <w:t>الس</w:t>
      </w:r>
      <w:r w:rsidR="007A4332" w:rsidRPr="00282AC9">
        <w:rPr>
          <w:rFonts w:hint="cs"/>
          <w:sz w:val="27"/>
          <w:rtl/>
        </w:rPr>
        <w:t>ِّ</w:t>
      </w:r>
      <w:r w:rsidRPr="00282AC9">
        <w:rPr>
          <w:sz w:val="27"/>
          <w:rtl/>
        </w:rPr>
        <w:t>يرة</w:t>
      </w:r>
      <w:r w:rsidRPr="00282AC9">
        <w:rPr>
          <w:rFonts w:hint="eastAsia"/>
          <w:sz w:val="24"/>
          <w:szCs w:val="24"/>
          <w:rtl/>
        </w:rPr>
        <w:t>»</w:t>
      </w:r>
      <w:r w:rsidR="007A4332" w:rsidRPr="00282AC9">
        <w:rPr>
          <w:sz w:val="27"/>
          <w:rtl/>
        </w:rPr>
        <w:t xml:space="preserve"> في ك</w:t>
      </w:r>
      <w:r w:rsidRPr="00282AC9">
        <w:rPr>
          <w:sz w:val="27"/>
          <w:rtl/>
        </w:rPr>
        <w:t>لا المصراعين</w:t>
      </w:r>
      <w:r w:rsidR="007A4332" w:rsidRPr="00282AC9">
        <w:rPr>
          <w:rFonts w:hint="cs"/>
          <w:sz w:val="27"/>
          <w:rtl/>
        </w:rPr>
        <w:t>،</w:t>
      </w:r>
      <w:r w:rsidRPr="00282AC9">
        <w:rPr>
          <w:sz w:val="27"/>
          <w:rtl/>
        </w:rPr>
        <w:t xml:space="preserve"> وإنما ورد </w:t>
      </w:r>
      <w:r w:rsidRPr="00282AC9">
        <w:rPr>
          <w:rFonts w:hint="eastAsia"/>
          <w:sz w:val="24"/>
          <w:szCs w:val="24"/>
          <w:rtl/>
        </w:rPr>
        <w:t>«</w:t>
      </w:r>
      <w:r w:rsidRPr="00282AC9">
        <w:rPr>
          <w:sz w:val="27"/>
          <w:rtl/>
        </w:rPr>
        <w:t>الس</w:t>
      </w:r>
      <w:r w:rsidR="007A4332" w:rsidRPr="00282AC9">
        <w:rPr>
          <w:rFonts w:hint="cs"/>
          <w:sz w:val="27"/>
          <w:rtl/>
        </w:rPr>
        <w:t>ِّ</w:t>
      </w:r>
      <w:r w:rsidRPr="00282AC9">
        <w:rPr>
          <w:sz w:val="27"/>
          <w:rtl/>
        </w:rPr>
        <w:t>يرة</w:t>
      </w:r>
      <w:r w:rsidRPr="00282AC9">
        <w:rPr>
          <w:rFonts w:hint="eastAsia"/>
          <w:sz w:val="24"/>
          <w:szCs w:val="24"/>
          <w:rtl/>
        </w:rPr>
        <w:t>»</w:t>
      </w:r>
      <w:r w:rsidRPr="00282AC9">
        <w:rPr>
          <w:sz w:val="27"/>
          <w:rtl/>
        </w:rPr>
        <w:t xml:space="preserve"> في بعض المصادر بدل </w:t>
      </w:r>
      <w:r w:rsidRPr="00282AC9">
        <w:rPr>
          <w:rFonts w:hint="eastAsia"/>
          <w:sz w:val="24"/>
          <w:szCs w:val="24"/>
          <w:rtl/>
        </w:rPr>
        <w:t>«</w:t>
      </w:r>
      <w:r w:rsidRPr="00282AC9">
        <w:rPr>
          <w:sz w:val="27"/>
          <w:rtl/>
        </w:rPr>
        <w:t>الس</w:t>
      </w:r>
      <w:r w:rsidR="007A4332" w:rsidRPr="00282AC9">
        <w:rPr>
          <w:rFonts w:hint="cs"/>
          <w:sz w:val="27"/>
          <w:rtl/>
        </w:rPr>
        <w:t>ُّ</w:t>
      </w:r>
      <w:r w:rsidRPr="00282AC9">
        <w:rPr>
          <w:sz w:val="27"/>
          <w:rtl/>
        </w:rPr>
        <w:t>نّ</w:t>
      </w:r>
      <w:r w:rsidR="007A4332" w:rsidRPr="00282AC9">
        <w:rPr>
          <w:rFonts w:hint="cs"/>
          <w:sz w:val="27"/>
          <w:rtl/>
        </w:rPr>
        <w:t>َ</w:t>
      </w:r>
      <w:r w:rsidRPr="00282AC9">
        <w:rPr>
          <w:sz w:val="27"/>
          <w:rtl/>
        </w:rPr>
        <w:t>ة</w:t>
      </w:r>
      <w:r w:rsidRPr="00282AC9">
        <w:rPr>
          <w:rFonts w:hint="eastAsia"/>
          <w:sz w:val="24"/>
          <w:szCs w:val="24"/>
          <w:rtl/>
        </w:rPr>
        <w:t>»</w:t>
      </w:r>
      <w:r w:rsidRPr="00282AC9">
        <w:rPr>
          <w:sz w:val="27"/>
          <w:rtl/>
        </w:rPr>
        <w:t xml:space="preserve"> في المصراع الأو</w:t>
      </w:r>
      <w:r w:rsidR="007A4332" w:rsidRPr="00282AC9">
        <w:rPr>
          <w:rFonts w:hint="cs"/>
          <w:sz w:val="27"/>
          <w:rtl/>
        </w:rPr>
        <w:t>ّ</w:t>
      </w:r>
      <w:r w:rsidRPr="00282AC9">
        <w:rPr>
          <w:sz w:val="27"/>
          <w:rtl/>
        </w:rPr>
        <w:t>ل فقط</w:t>
      </w:r>
      <w:r w:rsidRPr="00282AC9">
        <w:rPr>
          <w:sz w:val="27"/>
          <w:vertAlign w:val="superscript"/>
          <w:rtl/>
        </w:rPr>
        <w:t>(</w:t>
      </w:r>
      <w:r w:rsidRPr="00282AC9">
        <w:rPr>
          <w:rStyle w:val="af9"/>
          <w:sz w:val="27"/>
          <w:rtl/>
        </w:rPr>
        <w:endnoteReference w:id="580"/>
      </w:r>
      <w:r w:rsidRPr="00282AC9">
        <w:rPr>
          <w:sz w:val="27"/>
          <w:vertAlign w:val="superscript"/>
          <w:rtl/>
        </w:rPr>
        <w:t>)</w:t>
      </w:r>
      <w:r w:rsidR="007A4332" w:rsidRPr="00282AC9">
        <w:rPr>
          <w:rFonts w:hint="cs"/>
          <w:sz w:val="27"/>
          <w:rtl/>
        </w:rPr>
        <w:t>،</w:t>
      </w:r>
      <w:r w:rsidRPr="00282AC9">
        <w:rPr>
          <w:sz w:val="27"/>
          <w:rtl/>
        </w:rPr>
        <w:t xml:space="preserve"> خصوصا</w:t>
      </w:r>
      <w:r w:rsidRPr="00282AC9">
        <w:rPr>
          <w:rFonts w:hint="cs"/>
          <w:sz w:val="27"/>
          <w:rtl/>
        </w:rPr>
        <w:t>ً</w:t>
      </w:r>
      <w:r w:rsidRPr="00282AC9">
        <w:rPr>
          <w:sz w:val="27"/>
          <w:rtl/>
        </w:rPr>
        <w:t xml:space="preserve"> إذا لاحظنا أن</w:t>
      </w:r>
      <w:r w:rsidRPr="00282AC9">
        <w:rPr>
          <w:rFonts w:hint="cs"/>
          <w:sz w:val="27"/>
          <w:rtl/>
        </w:rPr>
        <w:t>ّ</w:t>
      </w:r>
      <w:r w:rsidR="00CF3A2B" w:rsidRPr="00282AC9">
        <w:rPr>
          <w:sz w:val="27"/>
          <w:rtl/>
        </w:rPr>
        <w:t xml:space="preserve"> كلَّ واحدٍ من هذه المصادر ذكر</w:t>
      </w:r>
      <w:r w:rsidRPr="00282AC9">
        <w:rPr>
          <w:sz w:val="27"/>
          <w:rtl/>
        </w:rPr>
        <w:t xml:space="preserve"> اختلافا</w:t>
      </w:r>
      <w:r w:rsidR="00CF3A2B" w:rsidRPr="00282AC9">
        <w:rPr>
          <w:rFonts w:hint="cs"/>
          <w:sz w:val="27"/>
          <w:rtl/>
        </w:rPr>
        <w:t>ً،</w:t>
      </w:r>
      <w:r w:rsidRPr="00282AC9">
        <w:rPr>
          <w:sz w:val="27"/>
          <w:rtl/>
        </w:rPr>
        <w:t xml:space="preserve"> غير الاختلاف الذي ذكره الآخر. </w:t>
      </w:r>
    </w:p>
    <w:p w:rsidR="00464852" w:rsidRPr="00282AC9" w:rsidRDefault="00464852" w:rsidP="00407A45">
      <w:pPr>
        <w:spacing w:line="380" w:lineRule="exact"/>
        <w:rPr>
          <w:sz w:val="27"/>
          <w:rtl/>
        </w:rPr>
      </w:pPr>
      <w:r w:rsidRPr="00282AC9">
        <w:rPr>
          <w:b/>
          <w:bCs/>
          <w:sz w:val="27"/>
          <w:rtl/>
        </w:rPr>
        <w:t>الثانية</w:t>
      </w:r>
      <w:r w:rsidRPr="00282AC9">
        <w:rPr>
          <w:sz w:val="27"/>
          <w:rtl/>
        </w:rPr>
        <w:t>: هناك كثير</w:t>
      </w:r>
      <w:r w:rsidR="00CF3A2B" w:rsidRPr="00282AC9">
        <w:rPr>
          <w:rFonts w:hint="cs"/>
          <w:sz w:val="27"/>
          <w:rtl/>
        </w:rPr>
        <w:t>ٌ</w:t>
      </w:r>
      <w:r w:rsidRPr="00282AC9">
        <w:rPr>
          <w:sz w:val="27"/>
          <w:rtl/>
        </w:rPr>
        <w:t xml:space="preserve"> من اللغويين استشهدوا بهذا البيت في معنى </w:t>
      </w:r>
      <w:r w:rsidRPr="00282AC9">
        <w:rPr>
          <w:rFonts w:hint="eastAsia"/>
          <w:sz w:val="24"/>
          <w:szCs w:val="24"/>
          <w:rtl/>
        </w:rPr>
        <w:t>«</w:t>
      </w:r>
      <w:r w:rsidR="00CF3A2B" w:rsidRPr="00282AC9">
        <w:rPr>
          <w:sz w:val="27"/>
          <w:rtl/>
        </w:rPr>
        <w:t>الس</w:t>
      </w:r>
      <w:r w:rsidR="00CF3A2B" w:rsidRPr="00282AC9">
        <w:rPr>
          <w:rFonts w:hint="cs"/>
          <w:sz w:val="27"/>
          <w:rtl/>
        </w:rPr>
        <w:t>ُّ</w:t>
      </w:r>
      <w:r w:rsidRPr="00282AC9">
        <w:rPr>
          <w:sz w:val="27"/>
          <w:rtl/>
        </w:rPr>
        <w:t>نّ</w:t>
      </w:r>
      <w:r w:rsidR="00CF3A2B" w:rsidRPr="00282AC9">
        <w:rPr>
          <w:rFonts w:hint="cs"/>
          <w:sz w:val="27"/>
          <w:rtl/>
        </w:rPr>
        <w:t>َ</w:t>
      </w:r>
      <w:r w:rsidRPr="00282AC9">
        <w:rPr>
          <w:sz w:val="27"/>
          <w:rtl/>
        </w:rPr>
        <w:t>ة</w:t>
      </w:r>
      <w:r w:rsidRPr="00282AC9">
        <w:rPr>
          <w:rFonts w:hint="eastAsia"/>
          <w:sz w:val="24"/>
          <w:szCs w:val="24"/>
          <w:rtl/>
        </w:rPr>
        <w:t>»</w:t>
      </w:r>
      <w:r w:rsidR="00CF3A2B" w:rsidRPr="00282AC9">
        <w:rPr>
          <w:rFonts w:hint="cs"/>
          <w:sz w:val="27"/>
          <w:rtl/>
        </w:rPr>
        <w:t xml:space="preserve">، </w:t>
      </w:r>
      <w:r w:rsidRPr="00282AC9">
        <w:rPr>
          <w:sz w:val="27"/>
          <w:rtl/>
        </w:rPr>
        <w:t xml:space="preserve">فلا يمكن أن تكون </w:t>
      </w:r>
      <w:r w:rsidRPr="00282AC9">
        <w:rPr>
          <w:rFonts w:hint="eastAsia"/>
          <w:sz w:val="24"/>
          <w:szCs w:val="24"/>
          <w:rtl/>
        </w:rPr>
        <w:t>«</w:t>
      </w:r>
      <w:r w:rsidRPr="00282AC9">
        <w:rPr>
          <w:sz w:val="27"/>
          <w:rtl/>
        </w:rPr>
        <w:t>الس</w:t>
      </w:r>
      <w:r w:rsidR="00CF3A2B" w:rsidRPr="00282AC9">
        <w:rPr>
          <w:rFonts w:hint="cs"/>
          <w:sz w:val="27"/>
          <w:rtl/>
        </w:rPr>
        <w:t>ِّ</w:t>
      </w:r>
      <w:r w:rsidRPr="00282AC9">
        <w:rPr>
          <w:sz w:val="27"/>
          <w:rtl/>
        </w:rPr>
        <w:t>يرة</w:t>
      </w:r>
      <w:r w:rsidRPr="00282AC9">
        <w:rPr>
          <w:rFonts w:hint="eastAsia"/>
          <w:sz w:val="24"/>
          <w:szCs w:val="24"/>
          <w:rtl/>
        </w:rPr>
        <w:t>»</w:t>
      </w:r>
      <w:r w:rsidRPr="00282AC9">
        <w:rPr>
          <w:sz w:val="27"/>
          <w:rtl/>
        </w:rPr>
        <w:t xml:space="preserve"> بدل </w:t>
      </w:r>
      <w:r w:rsidRPr="00282AC9">
        <w:rPr>
          <w:rFonts w:hint="eastAsia"/>
          <w:sz w:val="24"/>
          <w:szCs w:val="24"/>
          <w:rtl/>
        </w:rPr>
        <w:t>«</w:t>
      </w:r>
      <w:r w:rsidRPr="00282AC9">
        <w:rPr>
          <w:sz w:val="27"/>
          <w:rtl/>
        </w:rPr>
        <w:t>الس</w:t>
      </w:r>
      <w:r w:rsidR="00CF3A2B" w:rsidRPr="00282AC9">
        <w:rPr>
          <w:rFonts w:hint="cs"/>
          <w:sz w:val="27"/>
          <w:rtl/>
        </w:rPr>
        <w:t>ُّ</w:t>
      </w:r>
      <w:r w:rsidRPr="00282AC9">
        <w:rPr>
          <w:sz w:val="27"/>
          <w:rtl/>
        </w:rPr>
        <w:t>ن</w:t>
      </w:r>
      <w:r w:rsidR="00CF3A2B" w:rsidRPr="00282AC9">
        <w:rPr>
          <w:rFonts w:hint="cs"/>
          <w:sz w:val="27"/>
          <w:rtl/>
        </w:rPr>
        <w:t>َّ</w:t>
      </w:r>
      <w:r w:rsidRPr="00282AC9">
        <w:rPr>
          <w:sz w:val="27"/>
          <w:rtl/>
        </w:rPr>
        <w:t>ة</w:t>
      </w:r>
      <w:r w:rsidRPr="00282AC9">
        <w:rPr>
          <w:rFonts w:hint="eastAsia"/>
          <w:sz w:val="24"/>
          <w:szCs w:val="24"/>
          <w:rtl/>
        </w:rPr>
        <w:t>»</w:t>
      </w:r>
      <w:r w:rsidR="00CF3A2B" w:rsidRPr="00282AC9">
        <w:rPr>
          <w:sz w:val="27"/>
          <w:rtl/>
        </w:rPr>
        <w:t xml:space="preserve"> في كلا المصراعين</w:t>
      </w:r>
      <w:r w:rsidRPr="00282AC9">
        <w:rPr>
          <w:sz w:val="27"/>
          <w:rtl/>
        </w:rPr>
        <w:t xml:space="preserve"> في روايتهم للبيت. وحتّى م</w:t>
      </w:r>
      <w:r w:rsidR="00CF3A2B" w:rsidRPr="00282AC9">
        <w:rPr>
          <w:rFonts w:hint="cs"/>
          <w:sz w:val="27"/>
          <w:rtl/>
        </w:rPr>
        <w:t>َ</w:t>
      </w:r>
      <w:r w:rsidRPr="00282AC9">
        <w:rPr>
          <w:sz w:val="27"/>
          <w:rtl/>
        </w:rPr>
        <w:t>ن</w:t>
      </w:r>
      <w:r w:rsidR="00CF3A2B" w:rsidRPr="00282AC9">
        <w:rPr>
          <w:rFonts w:hint="cs"/>
          <w:sz w:val="27"/>
          <w:rtl/>
        </w:rPr>
        <w:t>ْ</w:t>
      </w:r>
      <w:r w:rsidRPr="00282AC9">
        <w:rPr>
          <w:sz w:val="27"/>
          <w:rtl/>
        </w:rPr>
        <w:t xml:space="preserve"> استشهد به في معنى </w:t>
      </w:r>
      <w:r w:rsidRPr="00282AC9">
        <w:rPr>
          <w:rFonts w:hint="eastAsia"/>
          <w:sz w:val="24"/>
          <w:szCs w:val="24"/>
          <w:rtl/>
        </w:rPr>
        <w:t>«</w:t>
      </w:r>
      <w:r w:rsidRPr="00282AC9">
        <w:rPr>
          <w:sz w:val="27"/>
          <w:rtl/>
        </w:rPr>
        <w:t>الس</w:t>
      </w:r>
      <w:r w:rsidR="00CF3A2B" w:rsidRPr="00282AC9">
        <w:rPr>
          <w:rFonts w:hint="cs"/>
          <w:sz w:val="27"/>
          <w:rtl/>
        </w:rPr>
        <w:t>ِّ</w:t>
      </w:r>
      <w:r w:rsidRPr="00282AC9">
        <w:rPr>
          <w:sz w:val="27"/>
          <w:rtl/>
        </w:rPr>
        <w:t>يرة</w:t>
      </w:r>
      <w:r w:rsidRPr="00282AC9">
        <w:rPr>
          <w:rFonts w:hint="eastAsia"/>
          <w:sz w:val="24"/>
          <w:szCs w:val="24"/>
          <w:rtl/>
        </w:rPr>
        <w:t>»</w:t>
      </w:r>
      <w:r w:rsidRPr="00282AC9">
        <w:rPr>
          <w:sz w:val="27"/>
          <w:rtl/>
        </w:rPr>
        <w:t xml:space="preserve"> أيضا</w:t>
      </w:r>
      <w:r w:rsidR="00CF3A2B" w:rsidRPr="00282AC9">
        <w:rPr>
          <w:rFonts w:hint="cs"/>
          <w:sz w:val="27"/>
          <w:rtl/>
        </w:rPr>
        <w:t>ً</w:t>
      </w:r>
      <w:r w:rsidR="00CF3A2B" w:rsidRPr="00282AC9">
        <w:rPr>
          <w:sz w:val="27"/>
          <w:rtl/>
        </w:rPr>
        <w:t xml:space="preserve"> ذكر</w:t>
      </w:r>
      <w:r w:rsidRPr="00282AC9">
        <w:rPr>
          <w:sz w:val="27"/>
          <w:rtl/>
        </w:rPr>
        <w:t xml:space="preserve"> </w:t>
      </w:r>
      <w:r w:rsidRPr="00282AC9">
        <w:rPr>
          <w:rFonts w:hint="eastAsia"/>
          <w:sz w:val="24"/>
          <w:szCs w:val="24"/>
          <w:rtl/>
        </w:rPr>
        <w:t>«</w:t>
      </w:r>
      <w:r w:rsidR="00CF3A2B" w:rsidRPr="00282AC9">
        <w:rPr>
          <w:sz w:val="27"/>
          <w:rtl/>
        </w:rPr>
        <w:t>الس</w:t>
      </w:r>
      <w:r w:rsidR="00CF3A2B" w:rsidRPr="00282AC9">
        <w:rPr>
          <w:rFonts w:hint="cs"/>
          <w:sz w:val="27"/>
          <w:rtl/>
        </w:rPr>
        <w:t>ُّ</w:t>
      </w:r>
      <w:r w:rsidRPr="00282AC9">
        <w:rPr>
          <w:sz w:val="27"/>
          <w:rtl/>
        </w:rPr>
        <w:t>ن</w:t>
      </w:r>
      <w:r w:rsidR="00CF3A2B" w:rsidRPr="00282AC9">
        <w:rPr>
          <w:rFonts w:hint="cs"/>
          <w:sz w:val="27"/>
          <w:rtl/>
        </w:rPr>
        <w:t>َّ</w:t>
      </w:r>
      <w:r w:rsidRPr="00282AC9">
        <w:rPr>
          <w:sz w:val="27"/>
          <w:rtl/>
        </w:rPr>
        <w:t>ة</w:t>
      </w:r>
      <w:r w:rsidRPr="00282AC9">
        <w:rPr>
          <w:rFonts w:hint="eastAsia"/>
          <w:sz w:val="24"/>
          <w:szCs w:val="24"/>
          <w:rtl/>
        </w:rPr>
        <w:t>»</w:t>
      </w:r>
      <w:r w:rsidRPr="00282AC9">
        <w:rPr>
          <w:sz w:val="27"/>
          <w:rtl/>
        </w:rPr>
        <w:t xml:space="preserve"> في البيت</w:t>
      </w:r>
      <w:r w:rsidR="00CF3A2B" w:rsidRPr="00282AC9">
        <w:rPr>
          <w:rFonts w:hint="cs"/>
          <w:sz w:val="27"/>
          <w:rtl/>
        </w:rPr>
        <w:t>،</w:t>
      </w:r>
      <w:r w:rsidRPr="00282AC9">
        <w:rPr>
          <w:sz w:val="27"/>
          <w:rtl/>
        </w:rPr>
        <w:t xml:space="preserve"> واستشهد بـ</w:t>
      </w:r>
      <w:r w:rsidRPr="00282AC9">
        <w:rPr>
          <w:rFonts w:hint="cs"/>
          <w:sz w:val="27"/>
          <w:rtl/>
        </w:rPr>
        <w:t xml:space="preserve"> </w:t>
      </w:r>
      <w:r w:rsidRPr="00282AC9">
        <w:rPr>
          <w:rFonts w:hint="eastAsia"/>
          <w:sz w:val="24"/>
          <w:szCs w:val="24"/>
          <w:rtl/>
          <w:lang w:bidi="fa-IR"/>
        </w:rPr>
        <w:t>«</w:t>
      </w:r>
      <w:r w:rsidRPr="00282AC9">
        <w:rPr>
          <w:sz w:val="27"/>
          <w:rtl/>
        </w:rPr>
        <w:t>س</w:t>
      </w:r>
      <w:r w:rsidR="00CF3A2B" w:rsidRPr="00282AC9">
        <w:rPr>
          <w:rFonts w:hint="cs"/>
          <w:sz w:val="27"/>
          <w:rtl/>
        </w:rPr>
        <w:t>ِ</w:t>
      </w:r>
      <w:r w:rsidRPr="00282AC9">
        <w:rPr>
          <w:sz w:val="27"/>
          <w:rtl/>
        </w:rPr>
        <w:t>ر</w:t>
      </w:r>
      <w:r w:rsidR="00CF3A2B" w:rsidRPr="00282AC9">
        <w:rPr>
          <w:rFonts w:hint="cs"/>
          <w:sz w:val="27"/>
          <w:rtl/>
        </w:rPr>
        <w:t>ْ</w:t>
      </w:r>
      <w:r w:rsidRPr="00282AC9">
        <w:rPr>
          <w:sz w:val="27"/>
          <w:rtl/>
        </w:rPr>
        <w:t>ت</w:t>
      </w:r>
      <w:r w:rsidR="00CF3A2B" w:rsidRPr="00282AC9">
        <w:rPr>
          <w:rFonts w:hint="cs"/>
          <w:sz w:val="27"/>
          <w:rtl/>
        </w:rPr>
        <w:t>َ</w:t>
      </w:r>
      <w:r w:rsidRPr="00282AC9">
        <w:rPr>
          <w:sz w:val="27"/>
          <w:rtl/>
        </w:rPr>
        <w:t>ها</w:t>
      </w:r>
      <w:r w:rsidRPr="00282AC9">
        <w:rPr>
          <w:rFonts w:hint="eastAsia"/>
          <w:sz w:val="24"/>
          <w:szCs w:val="24"/>
          <w:rtl/>
        </w:rPr>
        <w:t>»</w:t>
      </w:r>
      <w:r w:rsidRPr="00282AC9">
        <w:rPr>
          <w:sz w:val="27"/>
          <w:vertAlign w:val="superscript"/>
          <w:rtl/>
        </w:rPr>
        <w:t>(</w:t>
      </w:r>
      <w:r w:rsidRPr="00282AC9">
        <w:rPr>
          <w:rStyle w:val="af9"/>
          <w:sz w:val="27"/>
          <w:rtl/>
        </w:rPr>
        <w:endnoteReference w:id="581"/>
      </w:r>
      <w:r w:rsidRPr="00282AC9">
        <w:rPr>
          <w:sz w:val="27"/>
          <w:vertAlign w:val="superscript"/>
          <w:rtl/>
        </w:rPr>
        <w:t>)</w:t>
      </w:r>
      <w:r w:rsidR="00CF3A2B" w:rsidRPr="00282AC9">
        <w:rPr>
          <w:rFonts w:hint="cs"/>
          <w:sz w:val="27"/>
          <w:rtl/>
        </w:rPr>
        <w:t>.</w:t>
      </w:r>
      <w:r w:rsidRPr="00282AC9">
        <w:rPr>
          <w:rFonts w:hint="cs"/>
          <w:sz w:val="27"/>
          <w:rtl/>
        </w:rPr>
        <w:t xml:space="preserve"> </w:t>
      </w:r>
      <w:r w:rsidRPr="00282AC9">
        <w:rPr>
          <w:sz w:val="27"/>
          <w:rtl/>
        </w:rPr>
        <w:t xml:space="preserve">وهذا مما يجب أن نلفت النظر إليه. </w:t>
      </w:r>
    </w:p>
    <w:p w:rsidR="00464852" w:rsidRPr="00282AC9" w:rsidRDefault="00464852" w:rsidP="00407A45">
      <w:pPr>
        <w:spacing w:line="380" w:lineRule="exact"/>
        <w:rPr>
          <w:sz w:val="27"/>
          <w:rtl/>
          <w:lang w:bidi="fa-IR"/>
        </w:rPr>
      </w:pPr>
      <w:r w:rsidRPr="00282AC9">
        <w:rPr>
          <w:b/>
          <w:bCs/>
          <w:sz w:val="27"/>
          <w:rtl/>
        </w:rPr>
        <w:t>الثالثة</w:t>
      </w:r>
      <w:r w:rsidRPr="00282AC9">
        <w:rPr>
          <w:sz w:val="27"/>
          <w:rtl/>
        </w:rPr>
        <w:t>: قد تكرّ</w:t>
      </w:r>
      <w:r w:rsidR="00CF3A2B" w:rsidRPr="00282AC9">
        <w:rPr>
          <w:rFonts w:hint="cs"/>
          <w:sz w:val="27"/>
          <w:rtl/>
        </w:rPr>
        <w:t>َ</w:t>
      </w:r>
      <w:r w:rsidRPr="00282AC9">
        <w:rPr>
          <w:sz w:val="27"/>
          <w:rtl/>
        </w:rPr>
        <w:t>رت ماد</w:t>
      </w:r>
      <w:r w:rsidR="00CF3A2B" w:rsidRPr="00282AC9">
        <w:rPr>
          <w:rFonts w:hint="cs"/>
          <w:sz w:val="27"/>
          <w:rtl/>
        </w:rPr>
        <w:t>ّ</w:t>
      </w:r>
      <w:r w:rsidRPr="00282AC9">
        <w:rPr>
          <w:sz w:val="27"/>
          <w:rtl/>
        </w:rPr>
        <w:t>ة (س ي ر) عدّة مر</w:t>
      </w:r>
      <w:r w:rsidRPr="00282AC9">
        <w:rPr>
          <w:rFonts w:hint="cs"/>
          <w:sz w:val="27"/>
          <w:rtl/>
        </w:rPr>
        <w:t>ّ</w:t>
      </w:r>
      <w:r w:rsidRPr="00282AC9">
        <w:rPr>
          <w:sz w:val="27"/>
          <w:rtl/>
        </w:rPr>
        <w:t>ات</w:t>
      </w:r>
      <w:r w:rsidR="00CF3A2B" w:rsidRPr="00282AC9">
        <w:rPr>
          <w:rFonts w:hint="cs"/>
          <w:sz w:val="27"/>
          <w:rtl/>
        </w:rPr>
        <w:t>ٍ</w:t>
      </w:r>
      <w:r w:rsidRPr="00282AC9">
        <w:rPr>
          <w:sz w:val="27"/>
          <w:rtl/>
        </w:rPr>
        <w:t xml:space="preserve"> في هذا البيت</w:t>
      </w:r>
      <w:r w:rsidRPr="00282AC9">
        <w:rPr>
          <w:sz w:val="27"/>
          <w:vertAlign w:val="superscript"/>
          <w:rtl/>
        </w:rPr>
        <w:t>(</w:t>
      </w:r>
      <w:r w:rsidRPr="00282AC9">
        <w:rPr>
          <w:rStyle w:val="af9"/>
          <w:sz w:val="27"/>
          <w:rtl/>
        </w:rPr>
        <w:endnoteReference w:id="582"/>
      </w:r>
      <w:r w:rsidRPr="00282AC9">
        <w:rPr>
          <w:sz w:val="27"/>
          <w:vertAlign w:val="superscript"/>
          <w:rtl/>
        </w:rPr>
        <w:t>)</w:t>
      </w:r>
      <w:r w:rsidRPr="00282AC9">
        <w:rPr>
          <w:sz w:val="27"/>
          <w:rtl/>
        </w:rPr>
        <w:t>،</w:t>
      </w:r>
      <w:r w:rsidRPr="00282AC9">
        <w:rPr>
          <w:rFonts w:hint="cs"/>
          <w:sz w:val="27"/>
          <w:rtl/>
        </w:rPr>
        <w:t xml:space="preserve"> </w:t>
      </w:r>
      <w:r w:rsidR="00CF3A2B" w:rsidRPr="00282AC9">
        <w:rPr>
          <w:sz w:val="27"/>
          <w:rtl/>
        </w:rPr>
        <w:t>الأمر الذي يُعِدُّ ذهن الن</w:t>
      </w:r>
      <w:r w:rsidRPr="00282AC9">
        <w:rPr>
          <w:sz w:val="27"/>
          <w:rtl/>
        </w:rPr>
        <w:t>س</w:t>
      </w:r>
      <w:r w:rsidR="00CF3A2B" w:rsidRPr="00282AC9">
        <w:rPr>
          <w:rFonts w:hint="cs"/>
          <w:sz w:val="27"/>
          <w:rtl/>
        </w:rPr>
        <w:t>ّ</w:t>
      </w:r>
      <w:r w:rsidR="00CF3A2B" w:rsidRPr="00282AC9">
        <w:rPr>
          <w:sz w:val="27"/>
          <w:rtl/>
        </w:rPr>
        <w:t>اخ أو الرواة ليأنس</w:t>
      </w:r>
      <w:r w:rsidRPr="00282AC9">
        <w:rPr>
          <w:sz w:val="27"/>
          <w:rtl/>
        </w:rPr>
        <w:t xml:space="preserve"> ـ بطريقة</w:t>
      </w:r>
      <w:r w:rsidR="00CF3A2B" w:rsidRPr="00282AC9">
        <w:rPr>
          <w:rFonts w:hint="cs"/>
          <w:sz w:val="27"/>
          <w:rtl/>
        </w:rPr>
        <w:t>ٍ</w:t>
      </w:r>
      <w:r w:rsidRPr="00282AC9">
        <w:rPr>
          <w:sz w:val="27"/>
          <w:rtl/>
        </w:rPr>
        <w:t xml:space="preserve"> عفوية ـ بكلمة </w:t>
      </w:r>
      <w:r w:rsidRPr="00282AC9">
        <w:rPr>
          <w:rFonts w:hint="eastAsia"/>
          <w:sz w:val="24"/>
          <w:szCs w:val="24"/>
          <w:rtl/>
        </w:rPr>
        <w:t>«</w:t>
      </w:r>
      <w:r w:rsidRPr="00282AC9">
        <w:rPr>
          <w:sz w:val="27"/>
          <w:rtl/>
        </w:rPr>
        <w:t>الس</w:t>
      </w:r>
      <w:r w:rsidR="00CF3A2B" w:rsidRPr="00282AC9">
        <w:rPr>
          <w:rFonts w:hint="cs"/>
          <w:sz w:val="27"/>
          <w:rtl/>
        </w:rPr>
        <w:t>ِّ</w:t>
      </w:r>
      <w:r w:rsidRPr="00282AC9">
        <w:rPr>
          <w:sz w:val="27"/>
          <w:rtl/>
        </w:rPr>
        <w:t>يرة</w:t>
      </w:r>
      <w:r w:rsidRPr="00282AC9">
        <w:rPr>
          <w:rFonts w:hint="eastAsia"/>
          <w:sz w:val="24"/>
          <w:szCs w:val="24"/>
          <w:rtl/>
        </w:rPr>
        <w:t>»</w:t>
      </w:r>
      <w:r w:rsidRPr="00282AC9">
        <w:rPr>
          <w:sz w:val="27"/>
          <w:rtl/>
        </w:rPr>
        <w:t>، وحينئذ</w:t>
      </w:r>
      <w:r w:rsidR="00CF3A2B" w:rsidRPr="00282AC9">
        <w:rPr>
          <w:rFonts w:hint="cs"/>
          <w:sz w:val="27"/>
          <w:rtl/>
        </w:rPr>
        <w:t>ٍ</w:t>
      </w:r>
      <w:r w:rsidRPr="00282AC9">
        <w:rPr>
          <w:sz w:val="27"/>
          <w:rtl/>
        </w:rPr>
        <w:t xml:space="preserve"> لا</w:t>
      </w:r>
      <w:r w:rsidR="00CF3A2B" w:rsidRPr="00282AC9">
        <w:rPr>
          <w:rFonts w:hint="cs"/>
          <w:sz w:val="27"/>
          <w:rtl/>
        </w:rPr>
        <w:t xml:space="preserve"> </w:t>
      </w:r>
      <w:r w:rsidRPr="00282AC9">
        <w:rPr>
          <w:sz w:val="27"/>
          <w:rtl/>
        </w:rPr>
        <w:t xml:space="preserve">يبعد أنهم كتبوا أو نقلوا </w:t>
      </w:r>
      <w:r w:rsidRPr="00282AC9">
        <w:rPr>
          <w:rFonts w:hint="eastAsia"/>
          <w:sz w:val="24"/>
          <w:szCs w:val="24"/>
          <w:rtl/>
        </w:rPr>
        <w:t>«</w:t>
      </w:r>
      <w:r w:rsidRPr="00282AC9">
        <w:rPr>
          <w:sz w:val="27"/>
          <w:rtl/>
        </w:rPr>
        <w:t>الس</w:t>
      </w:r>
      <w:r w:rsidR="00CF3A2B" w:rsidRPr="00282AC9">
        <w:rPr>
          <w:rFonts w:hint="cs"/>
          <w:sz w:val="27"/>
          <w:rtl/>
        </w:rPr>
        <w:t>ِّ</w:t>
      </w:r>
      <w:r w:rsidRPr="00282AC9">
        <w:rPr>
          <w:sz w:val="27"/>
          <w:rtl/>
        </w:rPr>
        <w:t>يرة</w:t>
      </w:r>
      <w:r w:rsidRPr="00282AC9">
        <w:rPr>
          <w:rFonts w:hint="eastAsia"/>
          <w:sz w:val="24"/>
          <w:szCs w:val="24"/>
          <w:rtl/>
        </w:rPr>
        <w:t>»</w:t>
      </w:r>
      <w:r w:rsidRPr="00282AC9">
        <w:rPr>
          <w:sz w:val="27"/>
          <w:rtl/>
        </w:rPr>
        <w:t xml:space="preserve"> بدل </w:t>
      </w:r>
      <w:r w:rsidRPr="00282AC9">
        <w:rPr>
          <w:rFonts w:hint="eastAsia"/>
          <w:sz w:val="24"/>
          <w:szCs w:val="24"/>
          <w:rtl/>
        </w:rPr>
        <w:t>«</w:t>
      </w:r>
      <w:r w:rsidRPr="00282AC9">
        <w:rPr>
          <w:sz w:val="27"/>
          <w:rtl/>
        </w:rPr>
        <w:t>الس</w:t>
      </w:r>
      <w:r w:rsidR="00CF3A2B" w:rsidRPr="00282AC9">
        <w:rPr>
          <w:rFonts w:hint="cs"/>
          <w:sz w:val="27"/>
          <w:rtl/>
        </w:rPr>
        <w:t>ُّ</w:t>
      </w:r>
      <w:r w:rsidRPr="00282AC9">
        <w:rPr>
          <w:sz w:val="27"/>
          <w:rtl/>
        </w:rPr>
        <w:t>ن</w:t>
      </w:r>
      <w:r w:rsidR="00CF3A2B" w:rsidRPr="00282AC9">
        <w:rPr>
          <w:rFonts w:hint="cs"/>
          <w:sz w:val="27"/>
          <w:rtl/>
        </w:rPr>
        <w:t>َّ</w:t>
      </w:r>
      <w:r w:rsidRPr="00282AC9">
        <w:rPr>
          <w:sz w:val="27"/>
          <w:rtl/>
        </w:rPr>
        <w:t>ة</w:t>
      </w:r>
      <w:r w:rsidRPr="00282AC9">
        <w:rPr>
          <w:rFonts w:hint="eastAsia"/>
          <w:sz w:val="24"/>
          <w:szCs w:val="24"/>
          <w:rtl/>
        </w:rPr>
        <w:t>»</w:t>
      </w:r>
      <w:r w:rsidRPr="00282AC9">
        <w:rPr>
          <w:sz w:val="27"/>
          <w:rtl/>
        </w:rPr>
        <w:t xml:space="preserve"> تلقائي</w:t>
      </w:r>
      <w:r w:rsidR="00CF3A2B" w:rsidRPr="00282AC9">
        <w:rPr>
          <w:rFonts w:hint="cs"/>
          <w:sz w:val="27"/>
          <w:rtl/>
        </w:rPr>
        <w:t>ّ</w:t>
      </w:r>
      <w:r w:rsidRPr="00282AC9">
        <w:rPr>
          <w:sz w:val="27"/>
          <w:rtl/>
        </w:rPr>
        <w:t>اً</w:t>
      </w:r>
      <w:r w:rsidR="00CF3A2B" w:rsidRPr="00282AC9">
        <w:rPr>
          <w:rFonts w:hint="cs"/>
          <w:sz w:val="27"/>
          <w:rtl/>
        </w:rPr>
        <w:t>؛</w:t>
      </w:r>
      <w:r w:rsidRPr="00282AC9">
        <w:rPr>
          <w:sz w:val="27"/>
          <w:rtl/>
        </w:rPr>
        <w:t xml:space="preserve"> لأجل أ</w:t>
      </w:r>
      <w:r w:rsidRPr="00282AC9">
        <w:rPr>
          <w:rFonts w:hint="cs"/>
          <w:sz w:val="27"/>
          <w:rtl/>
        </w:rPr>
        <w:t>ُ</w:t>
      </w:r>
      <w:r w:rsidRPr="00282AC9">
        <w:rPr>
          <w:sz w:val="27"/>
          <w:rtl/>
        </w:rPr>
        <w:t>ن</w:t>
      </w:r>
      <w:r w:rsidR="00CF3A2B" w:rsidRPr="00282AC9">
        <w:rPr>
          <w:rFonts w:hint="cs"/>
          <w:sz w:val="27"/>
          <w:rtl/>
        </w:rPr>
        <w:t>ْ</w:t>
      </w:r>
      <w:r w:rsidRPr="00282AC9">
        <w:rPr>
          <w:sz w:val="27"/>
          <w:rtl/>
        </w:rPr>
        <w:t xml:space="preserve">سهم </w:t>
      </w:r>
      <w:r w:rsidRPr="00282AC9">
        <w:rPr>
          <w:rFonts w:hint="cs"/>
          <w:sz w:val="27"/>
          <w:rtl/>
        </w:rPr>
        <w:t>الذهني</w:t>
      </w:r>
      <w:r w:rsidR="00CF3A2B" w:rsidRPr="00282AC9">
        <w:rPr>
          <w:rFonts w:hint="cs"/>
          <w:sz w:val="27"/>
          <w:rtl/>
        </w:rPr>
        <w:t>ّ</w:t>
      </w:r>
      <w:r w:rsidRPr="00282AC9">
        <w:rPr>
          <w:rFonts w:hint="cs"/>
          <w:sz w:val="27"/>
          <w:rtl/>
        </w:rPr>
        <w:t xml:space="preserve"> </w:t>
      </w:r>
      <w:r w:rsidRPr="00282AC9">
        <w:rPr>
          <w:sz w:val="27"/>
          <w:rtl/>
        </w:rPr>
        <w:t>بمشتق</w:t>
      </w:r>
      <w:r w:rsidR="00CF3A2B" w:rsidRPr="00282AC9">
        <w:rPr>
          <w:rFonts w:hint="cs"/>
          <w:sz w:val="27"/>
          <w:rtl/>
        </w:rPr>
        <w:t>ّ</w:t>
      </w:r>
      <w:r w:rsidRPr="00282AC9">
        <w:rPr>
          <w:sz w:val="27"/>
          <w:rtl/>
        </w:rPr>
        <w:t>ات</w:t>
      </w:r>
      <w:r w:rsidRPr="00282AC9">
        <w:rPr>
          <w:rFonts w:hint="cs"/>
          <w:sz w:val="27"/>
          <w:rtl/>
        </w:rPr>
        <w:t xml:space="preserve"> كلمة</w:t>
      </w:r>
      <w:r w:rsidRPr="00282AC9">
        <w:rPr>
          <w:sz w:val="27"/>
          <w:rtl/>
        </w:rPr>
        <w:t xml:space="preserve"> </w:t>
      </w:r>
      <w:r w:rsidRPr="00282AC9">
        <w:rPr>
          <w:rFonts w:hint="eastAsia"/>
          <w:sz w:val="24"/>
          <w:szCs w:val="24"/>
          <w:rtl/>
        </w:rPr>
        <w:t>«</w:t>
      </w:r>
      <w:r w:rsidRPr="00282AC9">
        <w:rPr>
          <w:sz w:val="27"/>
          <w:rtl/>
        </w:rPr>
        <w:t>الس</w:t>
      </w:r>
      <w:r w:rsidR="00CF3A2B" w:rsidRPr="00282AC9">
        <w:rPr>
          <w:rFonts w:hint="cs"/>
          <w:sz w:val="27"/>
          <w:rtl/>
        </w:rPr>
        <w:t>ِّ</w:t>
      </w:r>
      <w:r w:rsidRPr="00282AC9">
        <w:rPr>
          <w:sz w:val="27"/>
          <w:rtl/>
        </w:rPr>
        <w:t>يرة</w:t>
      </w:r>
      <w:r w:rsidRPr="00282AC9">
        <w:rPr>
          <w:rFonts w:hint="eastAsia"/>
          <w:sz w:val="24"/>
          <w:szCs w:val="24"/>
          <w:rtl/>
        </w:rPr>
        <w:t>»</w:t>
      </w:r>
      <w:r w:rsidR="00CF3A2B" w:rsidRPr="00282AC9">
        <w:rPr>
          <w:rFonts w:hint="cs"/>
          <w:sz w:val="27"/>
          <w:rtl/>
        </w:rPr>
        <w:t>،</w:t>
      </w:r>
      <w:r w:rsidRPr="00282AC9">
        <w:rPr>
          <w:sz w:val="27"/>
          <w:rtl/>
        </w:rPr>
        <w:t xml:space="preserve"> خصوصاً في كتاب جمهرة اللغة</w:t>
      </w:r>
      <w:r w:rsidR="00CF3A2B" w:rsidRPr="00282AC9">
        <w:rPr>
          <w:rFonts w:hint="cs"/>
          <w:sz w:val="27"/>
          <w:rtl/>
        </w:rPr>
        <w:t>؛</w:t>
      </w:r>
      <w:r w:rsidRPr="00282AC9">
        <w:rPr>
          <w:sz w:val="27"/>
          <w:rtl/>
        </w:rPr>
        <w:t xml:space="preserve"> حيث إن ابن</w:t>
      </w:r>
      <w:r w:rsidRPr="00282AC9">
        <w:rPr>
          <w:rFonts w:hint="cs"/>
          <w:sz w:val="27"/>
          <w:rtl/>
        </w:rPr>
        <w:t xml:space="preserve"> </w:t>
      </w:r>
      <w:r w:rsidRPr="00282AC9">
        <w:rPr>
          <w:sz w:val="27"/>
          <w:rtl/>
        </w:rPr>
        <w:softHyphen/>
        <w:t>دريد ذكره في باب ماد</w:t>
      </w:r>
      <w:r w:rsidR="00CF3A2B" w:rsidRPr="00282AC9">
        <w:rPr>
          <w:rFonts w:hint="cs"/>
          <w:sz w:val="27"/>
          <w:rtl/>
        </w:rPr>
        <w:t>ّ</w:t>
      </w:r>
      <w:r w:rsidRPr="00282AC9">
        <w:rPr>
          <w:sz w:val="27"/>
          <w:rtl/>
        </w:rPr>
        <w:t>ة (س ي ر)</w:t>
      </w:r>
      <w:r w:rsidR="00CF3A2B" w:rsidRPr="00282AC9">
        <w:rPr>
          <w:rFonts w:hint="cs"/>
          <w:sz w:val="27"/>
          <w:rtl/>
        </w:rPr>
        <w:t>،</w:t>
      </w:r>
      <w:r w:rsidRPr="00282AC9">
        <w:rPr>
          <w:sz w:val="27"/>
          <w:rtl/>
        </w:rPr>
        <w:t xml:space="preserve"> وواضحٌ أن هذه الماد</w:t>
      </w:r>
      <w:r w:rsidR="00CF3A2B" w:rsidRPr="00282AC9">
        <w:rPr>
          <w:rFonts w:hint="cs"/>
          <w:sz w:val="27"/>
          <w:rtl/>
        </w:rPr>
        <w:t>ّ</w:t>
      </w:r>
      <w:r w:rsidRPr="00282AC9">
        <w:rPr>
          <w:sz w:val="27"/>
          <w:rtl/>
        </w:rPr>
        <w:t>ة تتكر</w:t>
      </w:r>
      <w:r w:rsidR="00CF3A2B" w:rsidRPr="00282AC9">
        <w:rPr>
          <w:rFonts w:hint="cs"/>
          <w:sz w:val="27"/>
          <w:rtl/>
        </w:rPr>
        <w:t>َّ</w:t>
      </w:r>
      <w:r w:rsidRPr="00282AC9">
        <w:rPr>
          <w:sz w:val="27"/>
          <w:rtl/>
        </w:rPr>
        <w:t>ر كثيرا</w:t>
      </w:r>
      <w:r w:rsidR="00CF3A2B" w:rsidRPr="00282AC9">
        <w:rPr>
          <w:rFonts w:hint="cs"/>
          <w:sz w:val="27"/>
          <w:rtl/>
        </w:rPr>
        <w:t>ً</w:t>
      </w:r>
      <w:r w:rsidRPr="00282AC9">
        <w:rPr>
          <w:sz w:val="27"/>
          <w:rtl/>
        </w:rPr>
        <w:t xml:space="preserve"> في هذا الباب</w:t>
      </w:r>
      <w:r w:rsidRPr="00282AC9">
        <w:rPr>
          <w:rFonts w:hint="cs"/>
          <w:sz w:val="27"/>
          <w:rtl/>
        </w:rPr>
        <w:t>،</w:t>
      </w:r>
      <w:r w:rsidRPr="00282AC9">
        <w:rPr>
          <w:sz w:val="27"/>
          <w:rtl/>
        </w:rPr>
        <w:t xml:space="preserve"> </w:t>
      </w:r>
      <w:r w:rsidRPr="00282AC9">
        <w:rPr>
          <w:rFonts w:hint="cs"/>
          <w:sz w:val="27"/>
          <w:rtl/>
        </w:rPr>
        <w:t>و</w:t>
      </w:r>
      <w:r w:rsidRPr="00282AC9">
        <w:rPr>
          <w:sz w:val="27"/>
          <w:rtl/>
        </w:rPr>
        <w:t>هذا التكرار ي</w:t>
      </w:r>
      <w:r w:rsidRPr="00282AC9">
        <w:rPr>
          <w:rFonts w:hint="cs"/>
          <w:sz w:val="27"/>
          <w:rtl/>
        </w:rPr>
        <w:t>ُ</w:t>
      </w:r>
      <w:r w:rsidRPr="00282AC9">
        <w:rPr>
          <w:sz w:val="27"/>
          <w:rtl/>
        </w:rPr>
        <w:t>مه</w:t>
      </w:r>
      <w:r w:rsidRPr="00282AC9">
        <w:rPr>
          <w:rFonts w:hint="cs"/>
          <w:sz w:val="27"/>
          <w:rtl/>
        </w:rPr>
        <w:t>ّ</w:t>
      </w:r>
      <w:r w:rsidR="00CF3A2B" w:rsidRPr="00282AC9">
        <w:rPr>
          <w:rFonts w:hint="cs"/>
          <w:sz w:val="27"/>
          <w:rtl/>
        </w:rPr>
        <w:t>ِ</w:t>
      </w:r>
      <w:r w:rsidRPr="00282AC9">
        <w:rPr>
          <w:sz w:val="27"/>
          <w:rtl/>
        </w:rPr>
        <w:t>د الطريق ل</w:t>
      </w:r>
      <w:r w:rsidRPr="00282AC9">
        <w:rPr>
          <w:rFonts w:hint="cs"/>
          <w:sz w:val="27"/>
          <w:rtl/>
        </w:rPr>
        <w:t>كاتب المخطوط</w:t>
      </w:r>
      <w:r w:rsidRPr="00282AC9">
        <w:rPr>
          <w:sz w:val="27"/>
          <w:rtl/>
        </w:rPr>
        <w:t xml:space="preserve"> ليصبح مأ</w:t>
      </w:r>
      <w:r w:rsidR="00CF3A2B" w:rsidRPr="00282AC9">
        <w:rPr>
          <w:rFonts w:hint="cs"/>
          <w:sz w:val="27"/>
          <w:rtl/>
        </w:rPr>
        <w:t>نوساً</w:t>
      </w:r>
      <w:r w:rsidRPr="00282AC9">
        <w:rPr>
          <w:sz w:val="27"/>
          <w:rtl/>
        </w:rPr>
        <w:t xml:space="preserve"> ذهني</w:t>
      </w:r>
      <w:r w:rsidR="00CF3A2B" w:rsidRPr="00282AC9">
        <w:rPr>
          <w:rFonts w:hint="cs"/>
          <w:sz w:val="27"/>
          <w:rtl/>
        </w:rPr>
        <w:t>ّ</w:t>
      </w:r>
      <w:r w:rsidR="006D28AF" w:rsidRPr="00282AC9">
        <w:rPr>
          <w:sz w:val="27"/>
          <w:rtl/>
        </w:rPr>
        <w:t>اً</w:t>
      </w:r>
      <w:r w:rsidRPr="00282AC9">
        <w:rPr>
          <w:sz w:val="27"/>
          <w:rtl/>
        </w:rPr>
        <w:t xml:space="preserve"> </w:t>
      </w:r>
      <w:r w:rsidR="00CF3A2B" w:rsidRPr="00282AC9">
        <w:rPr>
          <w:rFonts w:hint="cs"/>
          <w:sz w:val="27"/>
          <w:rtl/>
        </w:rPr>
        <w:t>ب</w:t>
      </w:r>
      <w:r w:rsidRPr="00282AC9">
        <w:rPr>
          <w:sz w:val="27"/>
          <w:rtl/>
        </w:rPr>
        <w:t>كلمة</w:t>
      </w:r>
      <w:r w:rsidRPr="00282AC9">
        <w:rPr>
          <w:rFonts w:hint="cs"/>
          <w:sz w:val="27"/>
          <w:rtl/>
        </w:rPr>
        <w:t xml:space="preserve"> </w:t>
      </w:r>
      <w:r w:rsidRPr="00282AC9">
        <w:rPr>
          <w:rFonts w:hint="eastAsia"/>
          <w:sz w:val="24"/>
          <w:szCs w:val="24"/>
          <w:rtl/>
        </w:rPr>
        <w:t>«</w:t>
      </w:r>
      <w:r w:rsidRPr="00282AC9">
        <w:rPr>
          <w:sz w:val="27"/>
          <w:rtl/>
        </w:rPr>
        <w:t>الس</w:t>
      </w:r>
      <w:r w:rsidR="00CF3A2B" w:rsidRPr="00282AC9">
        <w:rPr>
          <w:rFonts w:hint="cs"/>
          <w:sz w:val="27"/>
          <w:rtl/>
        </w:rPr>
        <w:t>ِّ</w:t>
      </w:r>
      <w:r w:rsidRPr="00282AC9">
        <w:rPr>
          <w:sz w:val="27"/>
          <w:rtl/>
        </w:rPr>
        <w:t>يرة</w:t>
      </w:r>
      <w:r w:rsidRPr="00282AC9">
        <w:rPr>
          <w:rFonts w:hint="eastAsia"/>
          <w:sz w:val="24"/>
          <w:szCs w:val="24"/>
          <w:rtl/>
        </w:rPr>
        <w:t>»</w:t>
      </w:r>
      <w:r w:rsidRPr="00282AC9">
        <w:rPr>
          <w:rFonts w:hint="cs"/>
          <w:sz w:val="27"/>
          <w:rtl/>
        </w:rPr>
        <w:t>،</w:t>
      </w:r>
      <w:r w:rsidRPr="00282AC9">
        <w:rPr>
          <w:sz w:val="27"/>
          <w:rtl/>
        </w:rPr>
        <w:t xml:space="preserve"> وقد تقرّ</w:t>
      </w:r>
      <w:r w:rsidR="00CF3A2B" w:rsidRPr="00282AC9">
        <w:rPr>
          <w:rFonts w:hint="cs"/>
          <w:sz w:val="27"/>
          <w:rtl/>
        </w:rPr>
        <w:t>َ</w:t>
      </w:r>
      <w:r w:rsidRPr="00282AC9">
        <w:rPr>
          <w:sz w:val="27"/>
          <w:rtl/>
        </w:rPr>
        <w:t>ر في محل</w:t>
      </w:r>
      <w:r w:rsidR="00CF3A2B" w:rsidRPr="00282AC9">
        <w:rPr>
          <w:rFonts w:hint="cs"/>
          <w:sz w:val="27"/>
          <w:rtl/>
        </w:rPr>
        <w:t>ِّ</w:t>
      </w:r>
      <w:r w:rsidRPr="00282AC9">
        <w:rPr>
          <w:sz w:val="27"/>
          <w:rtl/>
        </w:rPr>
        <w:t xml:space="preserve">ه أن </w:t>
      </w:r>
      <w:r w:rsidR="00CF3A2B" w:rsidRPr="00282AC9">
        <w:rPr>
          <w:rFonts w:hint="cs"/>
          <w:sz w:val="27"/>
          <w:rtl/>
        </w:rPr>
        <w:t>أحد</w:t>
      </w:r>
      <w:r w:rsidRPr="00282AC9">
        <w:rPr>
          <w:sz w:val="27"/>
          <w:rtl/>
        </w:rPr>
        <w:t xml:space="preserve"> الأسباب الرئيسة للتصحيف تغيير غير المأنوس بالمأنوس</w:t>
      </w:r>
      <w:r w:rsidRPr="00282AC9">
        <w:rPr>
          <w:sz w:val="27"/>
          <w:vertAlign w:val="superscript"/>
          <w:rtl/>
        </w:rPr>
        <w:t>(</w:t>
      </w:r>
      <w:r w:rsidRPr="00282AC9">
        <w:rPr>
          <w:rStyle w:val="af9"/>
          <w:sz w:val="27"/>
          <w:rtl/>
        </w:rPr>
        <w:endnoteReference w:id="583"/>
      </w:r>
      <w:r w:rsidRPr="00282AC9">
        <w:rPr>
          <w:sz w:val="27"/>
          <w:vertAlign w:val="superscript"/>
          <w:rtl/>
        </w:rPr>
        <w:t>)</w:t>
      </w:r>
      <w:r w:rsidRPr="00282AC9">
        <w:rPr>
          <w:sz w:val="27"/>
          <w:rtl/>
        </w:rPr>
        <w:t xml:space="preserve">. </w:t>
      </w:r>
    </w:p>
    <w:p w:rsidR="00464852" w:rsidRPr="00282AC9" w:rsidRDefault="00464852" w:rsidP="00C875A1">
      <w:pPr>
        <w:spacing w:line="390" w:lineRule="exact"/>
        <w:rPr>
          <w:sz w:val="27"/>
          <w:rtl/>
        </w:rPr>
      </w:pPr>
      <w:r w:rsidRPr="00282AC9">
        <w:rPr>
          <w:sz w:val="27"/>
          <w:rtl/>
        </w:rPr>
        <w:t>وعلى أي</w:t>
      </w:r>
      <w:r w:rsidR="00B36FB6" w:rsidRPr="00282AC9">
        <w:rPr>
          <w:rFonts w:hint="cs"/>
          <w:sz w:val="27"/>
          <w:rtl/>
        </w:rPr>
        <w:t>ّ</w:t>
      </w:r>
      <w:r w:rsidRPr="00282AC9">
        <w:rPr>
          <w:sz w:val="27"/>
          <w:rtl/>
        </w:rPr>
        <w:t xml:space="preserve"> حال</w:t>
      </w:r>
      <w:r w:rsidR="00B36FB6" w:rsidRPr="00282AC9">
        <w:rPr>
          <w:rFonts w:hint="cs"/>
          <w:sz w:val="27"/>
          <w:rtl/>
        </w:rPr>
        <w:t>ٍ</w:t>
      </w:r>
      <w:r w:rsidRPr="00282AC9">
        <w:rPr>
          <w:sz w:val="27"/>
          <w:rtl/>
        </w:rPr>
        <w:t xml:space="preserve"> يبدو من مجموع هذه القرائن أنه يمكن الوثوق بأصالة كلمة </w:t>
      </w:r>
      <w:r w:rsidRPr="00282AC9">
        <w:rPr>
          <w:rFonts w:hint="eastAsia"/>
          <w:sz w:val="24"/>
          <w:szCs w:val="24"/>
          <w:rtl/>
        </w:rPr>
        <w:t>«</w:t>
      </w:r>
      <w:r w:rsidR="00B36FB6" w:rsidRPr="00282AC9">
        <w:rPr>
          <w:sz w:val="27"/>
          <w:rtl/>
        </w:rPr>
        <w:t>الس</w:t>
      </w:r>
      <w:r w:rsidR="00B36FB6" w:rsidRPr="00282AC9">
        <w:rPr>
          <w:rFonts w:hint="cs"/>
          <w:sz w:val="27"/>
          <w:rtl/>
        </w:rPr>
        <w:t>ُّ</w:t>
      </w:r>
      <w:r w:rsidRPr="00282AC9">
        <w:rPr>
          <w:sz w:val="27"/>
          <w:rtl/>
        </w:rPr>
        <w:t>نّ</w:t>
      </w:r>
      <w:r w:rsidR="00B36FB6" w:rsidRPr="00282AC9">
        <w:rPr>
          <w:rFonts w:hint="cs"/>
          <w:sz w:val="27"/>
          <w:rtl/>
        </w:rPr>
        <w:t>َ</w:t>
      </w:r>
      <w:r w:rsidRPr="00282AC9">
        <w:rPr>
          <w:sz w:val="27"/>
          <w:rtl/>
        </w:rPr>
        <w:t>ة</w:t>
      </w:r>
      <w:r w:rsidRPr="00282AC9">
        <w:rPr>
          <w:rFonts w:hint="eastAsia"/>
          <w:sz w:val="24"/>
          <w:szCs w:val="24"/>
          <w:rtl/>
        </w:rPr>
        <w:t>»</w:t>
      </w:r>
      <w:r w:rsidR="00B36FB6" w:rsidRPr="00282AC9">
        <w:rPr>
          <w:rFonts w:hint="cs"/>
          <w:sz w:val="27"/>
          <w:rtl/>
        </w:rPr>
        <w:t>،</w:t>
      </w:r>
      <w:r w:rsidRPr="00282AC9">
        <w:rPr>
          <w:sz w:val="27"/>
          <w:rtl/>
        </w:rPr>
        <w:t xml:space="preserve"> وتصحيفها بـ</w:t>
      </w:r>
      <w:r w:rsidRPr="00282AC9">
        <w:rPr>
          <w:rFonts w:hint="cs"/>
          <w:sz w:val="27"/>
          <w:rtl/>
        </w:rPr>
        <w:t xml:space="preserve"> </w:t>
      </w:r>
      <w:r w:rsidRPr="00282AC9">
        <w:rPr>
          <w:rFonts w:hint="eastAsia"/>
          <w:sz w:val="24"/>
          <w:szCs w:val="24"/>
          <w:rtl/>
          <w:lang w:bidi="fa-IR"/>
        </w:rPr>
        <w:t>«</w:t>
      </w:r>
      <w:r w:rsidRPr="00282AC9">
        <w:rPr>
          <w:sz w:val="27"/>
          <w:rtl/>
        </w:rPr>
        <w:t>الس</w:t>
      </w:r>
      <w:r w:rsidR="00B36FB6" w:rsidRPr="00282AC9">
        <w:rPr>
          <w:rFonts w:hint="cs"/>
          <w:sz w:val="27"/>
          <w:rtl/>
        </w:rPr>
        <w:t>ِّ</w:t>
      </w:r>
      <w:r w:rsidRPr="00282AC9">
        <w:rPr>
          <w:sz w:val="27"/>
          <w:rtl/>
        </w:rPr>
        <w:t>يرة</w:t>
      </w:r>
      <w:r w:rsidRPr="00282AC9">
        <w:rPr>
          <w:rFonts w:hint="eastAsia"/>
          <w:sz w:val="24"/>
          <w:szCs w:val="24"/>
          <w:rtl/>
        </w:rPr>
        <w:t>»</w:t>
      </w:r>
      <w:r w:rsidRPr="00282AC9">
        <w:rPr>
          <w:sz w:val="27"/>
          <w:rtl/>
        </w:rPr>
        <w:t xml:space="preserve"> في هذه الرواية للبيت. </w:t>
      </w:r>
    </w:p>
    <w:p w:rsidR="00464852" w:rsidRPr="00282AC9" w:rsidRDefault="00464852" w:rsidP="00C875A1">
      <w:pPr>
        <w:spacing w:line="420" w:lineRule="exact"/>
        <w:rPr>
          <w:sz w:val="27"/>
          <w:rtl/>
        </w:rPr>
      </w:pPr>
    </w:p>
    <w:p w:rsidR="00464852" w:rsidRPr="00282AC9" w:rsidRDefault="008F6C42" w:rsidP="008F6C42">
      <w:pPr>
        <w:pStyle w:val="31"/>
        <w:rPr>
          <w:b/>
          <w:color w:val="auto"/>
          <w:rtl/>
        </w:rPr>
      </w:pPr>
      <w:r w:rsidRPr="00282AC9">
        <w:rPr>
          <w:rFonts w:hint="cs"/>
          <w:color w:val="auto"/>
          <w:rtl/>
        </w:rPr>
        <w:t xml:space="preserve">3ـ </w:t>
      </w:r>
      <w:r w:rsidR="00464852" w:rsidRPr="00282AC9">
        <w:rPr>
          <w:color w:val="auto"/>
          <w:rtl/>
        </w:rPr>
        <w:t>في القرون التالية</w:t>
      </w:r>
    </w:p>
    <w:p w:rsidR="00B36FB6" w:rsidRPr="00282AC9" w:rsidRDefault="00464852" w:rsidP="00407A45">
      <w:pPr>
        <w:spacing w:line="386" w:lineRule="exact"/>
        <w:rPr>
          <w:sz w:val="27"/>
          <w:rtl/>
          <w:lang w:bidi="fa-IR"/>
        </w:rPr>
      </w:pPr>
      <w:r w:rsidRPr="00282AC9">
        <w:rPr>
          <w:sz w:val="27"/>
          <w:rtl/>
        </w:rPr>
        <w:t>أش</w:t>
      </w:r>
      <w:r w:rsidR="00B36FB6" w:rsidRPr="00282AC9">
        <w:rPr>
          <w:rFonts w:hint="cs"/>
          <w:sz w:val="27"/>
          <w:rtl/>
        </w:rPr>
        <w:t>َ</w:t>
      </w:r>
      <w:r w:rsidRPr="00282AC9">
        <w:rPr>
          <w:sz w:val="27"/>
          <w:rtl/>
        </w:rPr>
        <w:t>ر</w:t>
      </w:r>
      <w:r w:rsidR="008F6C42" w:rsidRPr="00282AC9">
        <w:rPr>
          <w:rFonts w:hint="cs"/>
          <w:sz w:val="27"/>
          <w:rtl/>
        </w:rPr>
        <w:t>ْ</w:t>
      </w:r>
      <w:r w:rsidRPr="00282AC9">
        <w:rPr>
          <w:sz w:val="27"/>
          <w:rtl/>
        </w:rPr>
        <w:t>تُ إلى أنه لا يمكن الج</w:t>
      </w:r>
      <w:r w:rsidR="00B36FB6" w:rsidRPr="00282AC9">
        <w:rPr>
          <w:rFonts w:hint="cs"/>
          <w:sz w:val="27"/>
          <w:rtl/>
        </w:rPr>
        <w:t>َ</w:t>
      </w:r>
      <w:r w:rsidRPr="00282AC9">
        <w:rPr>
          <w:sz w:val="27"/>
          <w:rtl/>
        </w:rPr>
        <w:t>ز</w:t>
      </w:r>
      <w:r w:rsidR="00B36FB6" w:rsidRPr="00282AC9">
        <w:rPr>
          <w:rFonts w:hint="cs"/>
          <w:sz w:val="27"/>
          <w:rtl/>
        </w:rPr>
        <w:t>ْ</w:t>
      </w:r>
      <w:r w:rsidRPr="00282AC9">
        <w:rPr>
          <w:sz w:val="27"/>
          <w:rtl/>
        </w:rPr>
        <w:t>م</w:t>
      </w:r>
      <w:r w:rsidR="00B36FB6" w:rsidRPr="00282AC9">
        <w:rPr>
          <w:rFonts w:hint="cs"/>
          <w:sz w:val="27"/>
          <w:rtl/>
        </w:rPr>
        <w:t>،</w:t>
      </w:r>
      <w:r w:rsidRPr="00282AC9">
        <w:rPr>
          <w:sz w:val="27"/>
          <w:rtl/>
        </w:rPr>
        <w:t xml:space="preserve"> مع ظاهرة النقل بالمعنى</w:t>
      </w:r>
      <w:r w:rsidR="00B36FB6" w:rsidRPr="00282AC9">
        <w:rPr>
          <w:rFonts w:hint="cs"/>
          <w:sz w:val="27"/>
          <w:rtl/>
        </w:rPr>
        <w:t>،</w:t>
      </w:r>
      <w:r w:rsidRPr="00282AC9">
        <w:rPr>
          <w:sz w:val="27"/>
          <w:rtl/>
        </w:rPr>
        <w:t xml:space="preserve"> بوجود كلمة </w:t>
      </w:r>
      <w:r w:rsidRPr="00282AC9">
        <w:rPr>
          <w:rFonts w:hint="eastAsia"/>
          <w:sz w:val="24"/>
          <w:szCs w:val="24"/>
          <w:rtl/>
          <w:lang w:bidi="fa-IR"/>
        </w:rPr>
        <w:t>«</w:t>
      </w:r>
      <w:r w:rsidR="00B36FB6" w:rsidRPr="00282AC9">
        <w:rPr>
          <w:sz w:val="27"/>
          <w:rtl/>
          <w:lang w:bidi="fa-IR"/>
        </w:rPr>
        <w:t>الس</w:t>
      </w:r>
      <w:r w:rsidR="00B36FB6" w:rsidRPr="00282AC9">
        <w:rPr>
          <w:rFonts w:hint="cs"/>
          <w:sz w:val="27"/>
          <w:rtl/>
          <w:lang w:bidi="fa-IR"/>
        </w:rPr>
        <w:t>ُّ</w:t>
      </w:r>
      <w:r w:rsidRPr="00282AC9">
        <w:rPr>
          <w:sz w:val="27"/>
          <w:rtl/>
          <w:lang w:bidi="fa-IR"/>
        </w:rPr>
        <w:t>نّ</w:t>
      </w:r>
      <w:r w:rsidR="00B36FB6" w:rsidRPr="00282AC9">
        <w:rPr>
          <w:rFonts w:hint="cs"/>
          <w:sz w:val="27"/>
          <w:rtl/>
          <w:lang w:bidi="fa-IR"/>
        </w:rPr>
        <w:t>َ</w:t>
      </w:r>
      <w:r w:rsidRPr="00282AC9">
        <w:rPr>
          <w:sz w:val="27"/>
          <w:rtl/>
          <w:lang w:bidi="fa-IR"/>
        </w:rPr>
        <w:t>ة</w:t>
      </w:r>
      <w:r w:rsidRPr="00282AC9">
        <w:rPr>
          <w:rFonts w:hint="eastAsia"/>
          <w:sz w:val="24"/>
          <w:szCs w:val="24"/>
          <w:rtl/>
        </w:rPr>
        <w:t>»</w:t>
      </w:r>
      <w:r w:rsidRPr="00282AC9">
        <w:rPr>
          <w:sz w:val="27"/>
          <w:rtl/>
          <w:lang w:bidi="fa-IR"/>
        </w:rPr>
        <w:t xml:space="preserve"> في كلام رسول الله</w:t>
      </w:r>
      <w:r w:rsidR="009A2A04" w:rsidRPr="00282AC9">
        <w:rPr>
          <w:rFonts w:cs="Mosawi"/>
          <w:sz w:val="22"/>
          <w:szCs w:val="22"/>
          <w:rtl/>
          <w:lang w:bidi="fa-IR"/>
        </w:rPr>
        <w:t>|</w:t>
      </w:r>
      <w:r w:rsidRPr="00282AC9">
        <w:rPr>
          <w:sz w:val="27"/>
          <w:rtl/>
          <w:lang w:bidi="fa-IR"/>
        </w:rPr>
        <w:t xml:space="preserve"> ومعاصريه في كثير من الشواهد التي تقد</w:t>
      </w:r>
      <w:r w:rsidR="00B36FB6" w:rsidRPr="00282AC9">
        <w:rPr>
          <w:rFonts w:hint="cs"/>
          <w:sz w:val="27"/>
          <w:rtl/>
          <w:lang w:bidi="fa-IR"/>
        </w:rPr>
        <w:t>َّ</w:t>
      </w:r>
      <w:r w:rsidRPr="00282AC9">
        <w:rPr>
          <w:sz w:val="27"/>
          <w:rtl/>
          <w:lang w:bidi="fa-IR"/>
        </w:rPr>
        <w:t>م ذ</w:t>
      </w:r>
      <w:r w:rsidRPr="00282AC9">
        <w:rPr>
          <w:rFonts w:hint="cs"/>
          <w:sz w:val="27"/>
          <w:rtl/>
          <w:lang w:bidi="fa-IR"/>
        </w:rPr>
        <w:t>ِ</w:t>
      </w:r>
      <w:r w:rsidRPr="00282AC9">
        <w:rPr>
          <w:sz w:val="27"/>
          <w:rtl/>
          <w:lang w:bidi="fa-IR"/>
        </w:rPr>
        <w:t>ك</w:t>
      </w:r>
      <w:r w:rsidR="00B36FB6" w:rsidRPr="00282AC9">
        <w:rPr>
          <w:rFonts w:hint="cs"/>
          <w:sz w:val="27"/>
          <w:rtl/>
          <w:lang w:bidi="fa-IR"/>
        </w:rPr>
        <w:t>ْ</w:t>
      </w:r>
      <w:r w:rsidRPr="00282AC9">
        <w:rPr>
          <w:sz w:val="27"/>
          <w:rtl/>
          <w:lang w:bidi="fa-IR"/>
        </w:rPr>
        <w:t>ر</w:t>
      </w:r>
      <w:r w:rsidRPr="00282AC9">
        <w:rPr>
          <w:rFonts w:hint="cs"/>
          <w:sz w:val="27"/>
          <w:rtl/>
          <w:lang w:bidi="fa-IR"/>
        </w:rPr>
        <w:t>ُ</w:t>
      </w:r>
      <w:r w:rsidRPr="00282AC9">
        <w:rPr>
          <w:sz w:val="27"/>
          <w:rtl/>
          <w:lang w:bidi="fa-IR"/>
        </w:rPr>
        <w:t>ها، بل كان السياق في كثير</w:t>
      </w:r>
      <w:r w:rsidR="00B36FB6" w:rsidRPr="00282AC9">
        <w:rPr>
          <w:rFonts w:hint="cs"/>
          <w:sz w:val="27"/>
          <w:rtl/>
          <w:lang w:bidi="fa-IR"/>
        </w:rPr>
        <w:t>ٍ</w:t>
      </w:r>
      <w:r w:rsidRPr="00282AC9">
        <w:rPr>
          <w:sz w:val="27"/>
          <w:rtl/>
          <w:lang w:bidi="fa-IR"/>
        </w:rPr>
        <w:t xml:space="preserve"> منها بشكلٍ لا ينسجم مع العربي</w:t>
      </w:r>
      <w:r w:rsidR="00B36FB6" w:rsidRPr="00282AC9">
        <w:rPr>
          <w:rFonts w:hint="cs"/>
          <w:sz w:val="27"/>
          <w:rtl/>
          <w:lang w:bidi="fa-IR"/>
        </w:rPr>
        <w:t>ّ</w:t>
      </w:r>
      <w:r w:rsidRPr="00282AC9">
        <w:rPr>
          <w:sz w:val="27"/>
          <w:rtl/>
          <w:lang w:bidi="fa-IR"/>
        </w:rPr>
        <w:t>ة الأصيلة</w:t>
      </w:r>
      <w:r w:rsidR="00B36FB6" w:rsidRPr="00282AC9">
        <w:rPr>
          <w:rFonts w:hint="cs"/>
          <w:sz w:val="27"/>
          <w:rtl/>
          <w:lang w:bidi="fa-IR"/>
        </w:rPr>
        <w:t>.</w:t>
      </w:r>
      <w:r w:rsidRPr="00282AC9">
        <w:rPr>
          <w:sz w:val="27"/>
          <w:rtl/>
          <w:lang w:bidi="fa-IR"/>
        </w:rPr>
        <w:t xml:space="preserve"> فالظاهر عدم </w:t>
      </w:r>
      <w:r w:rsidRPr="00282AC9">
        <w:rPr>
          <w:sz w:val="27"/>
          <w:rtl/>
          <w:lang w:bidi="fa-IR"/>
        </w:rPr>
        <w:lastRenderedPageBreak/>
        <w:t>كونها في كلام النبي</w:t>
      </w:r>
      <w:r w:rsidR="00B36FB6" w:rsidRPr="00282AC9">
        <w:rPr>
          <w:rFonts w:hint="cs"/>
          <w:sz w:val="27"/>
          <w:rtl/>
          <w:lang w:bidi="fa-IR"/>
        </w:rPr>
        <w:t>ّ</w:t>
      </w:r>
      <w:r w:rsidR="009A2A04" w:rsidRPr="00282AC9">
        <w:rPr>
          <w:rFonts w:cs="Mosawi"/>
          <w:sz w:val="22"/>
          <w:szCs w:val="22"/>
          <w:rtl/>
          <w:lang w:bidi="fa-IR"/>
        </w:rPr>
        <w:t>|</w:t>
      </w:r>
      <w:r w:rsidRPr="00282AC9">
        <w:rPr>
          <w:sz w:val="27"/>
          <w:rtl/>
          <w:lang w:bidi="fa-IR"/>
        </w:rPr>
        <w:t xml:space="preserve">، </w:t>
      </w:r>
      <w:r w:rsidR="00B36FB6" w:rsidRPr="00282AC9">
        <w:rPr>
          <w:rFonts w:hint="cs"/>
          <w:sz w:val="27"/>
          <w:rtl/>
          <w:lang w:bidi="fa-IR"/>
        </w:rPr>
        <w:t>و</w:t>
      </w:r>
      <w:r w:rsidRPr="00282AC9">
        <w:rPr>
          <w:sz w:val="27"/>
          <w:rtl/>
          <w:lang w:bidi="fa-IR"/>
        </w:rPr>
        <w:t>من ثَمّ</w:t>
      </w:r>
      <w:r w:rsidR="00B36FB6" w:rsidRPr="00282AC9">
        <w:rPr>
          <w:rFonts w:hint="cs"/>
          <w:sz w:val="27"/>
          <w:rtl/>
          <w:lang w:bidi="fa-IR"/>
        </w:rPr>
        <w:t>َ</w:t>
      </w:r>
      <w:r w:rsidRPr="00282AC9">
        <w:rPr>
          <w:sz w:val="27"/>
          <w:rtl/>
          <w:lang w:bidi="fa-IR"/>
        </w:rPr>
        <w:t xml:space="preserve"> تصلح هذه الاستعمالات لإثبات المعنى العام</w:t>
      </w:r>
      <w:r w:rsidR="00B36FB6" w:rsidRPr="00282AC9">
        <w:rPr>
          <w:rFonts w:hint="cs"/>
          <w:sz w:val="27"/>
          <w:rtl/>
          <w:lang w:bidi="fa-IR"/>
        </w:rPr>
        <w:t>ّ</w:t>
      </w:r>
      <w:r w:rsidRPr="00282AC9">
        <w:rPr>
          <w:sz w:val="27"/>
          <w:rtl/>
          <w:lang w:bidi="fa-IR"/>
        </w:rPr>
        <w:t xml:space="preserve"> للكلمة في حالة النقل بالمعنى</w:t>
      </w:r>
      <w:r w:rsidR="00B36FB6" w:rsidRPr="00282AC9">
        <w:rPr>
          <w:rFonts w:hint="cs"/>
          <w:sz w:val="27"/>
          <w:rtl/>
          <w:lang w:bidi="fa-IR"/>
        </w:rPr>
        <w:t>،</w:t>
      </w:r>
      <w:r w:rsidRPr="00282AC9">
        <w:rPr>
          <w:sz w:val="27"/>
          <w:rtl/>
          <w:lang w:bidi="fa-IR"/>
        </w:rPr>
        <w:t xml:space="preserve"> وفي العربية السائدة في العصور اللاحقة المتأخ</w:t>
      </w:r>
      <w:r w:rsidR="00B36FB6" w:rsidRPr="00282AC9">
        <w:rPr>
          <w:rFonts w:hint="cs"/>
          <w:sz w:val="27"/>
          <w:rtl/>
          <w:lang w:bidi="fa-IR"/>
        </w:rPr>
        <w:t>ِّ</w:t>
      </w:r>
      <w:r w:rsidRPr="00282AC9">
        <w:rPr>
          <w:sz w:val="27"/>
          <w:rtl/>
          <w:lang w:bidi="fa-IR"/>
        </w:rPr>
        <w:t>رة عن عصر النبي</w:t>
      </w:r>
      <w:r w:rsidR="00B36FB6" w:rsidRPr="00282AC9">
        <w:rPr>
          <w:rFonts w:hint="cs"/>
          <w:sz w:val="27"/>
          <w:rtl/>
          <w:lang w:bidi="fa-IR"/>
        </w:rPr>
        <w:t>ّ</w:t>
      </w:r>
      <w:r w:rsidR="009A2A04" w:rsidRPr="00282AC9">
        <w:rPr>
          <w:rFonts w:cs="Mosawi"/>
          <w:sz w:val="22"/>
          <w:szCs w:val="22"/>
          <w:rtl/>
          <w:lang w:bidi="fa-IR"/>
        </w:rPr>
        <w:t>|</w:t>
      </w:r>
      <w:r w:rsidR="00B36FB6" w:rsidRPr="00282AC9">
        <w:rPr>
          <w:sz w:val="27"/>
          <w:rtl/>
          <w:lang w:bidi="fa-IR"/>
        </w:rPr>
        <w:t>.</w:t>
      </w:r>
    </w:p>
    <w:p w:rsidR="00464852" w:rsidRPr="00282AC9" w:rsidRDefault="00464852" w:rsidP="00407A45">
      <w:pPr>
        <w:spacing w:line="386" w:lineRule="exact"/>
        <w:rPr>
          <w:sz w:val="27"/>
          <w:rtl/>
          <w:lang w:bidi="fa-IR"/>
        </w:rPr>
      </w:pPr>
      <w:r w:rsidRPr="00282AC9">
        <w:rPr>
          <w:sz w:val="27"/>
          <w:rtl/>
          <w:lang w:bidi="fa-IR"/>
        </w:rPr>
        <w:t>لكن</w:t>
      </w:r>
      <w:r w:rsidR="00B36FB6" w:rsidRPr="00282AC9">
        <w:rPr>
          <w:rFonts w:hint="cs"/>
          <w:sz w:val="27"/>
          <w:rtl/>
          <w:lang w:bidi="fa-IR"/>
        </w:rPr>
        <w:t>ْ</w:t>
      </w:r>
      <w:r w:rsidRPr="00282AC9">
        <w:rPr>
          <w:sz w:val="27"/>
          <w:rtl/>
          <w:lang w:bidi="fa-IR"/>
        </w:rPr>
        <w:t xml:space="preserve"> رأي</w:t>
      </w:r>
      <w:r w:rsidR="00B36FB6" w:rsidRPr="00282AC9">
        <w:rPr>
          <w:rFonts w:hint="cs"/>
          <w:sz w:val="27"/>
          <w:rtl/>
          <w:lang w:bidi="fa-IR"/>
        </w:rPr>
        <w:t>ْ</w:t>
      </w:r>
      <w:r w:rsidRPr="00282AC9">
        <w:rPr>
          <w:sz w:val="27"/>
          <w:rtl/>
          <w:lang w:bidi="fa-IR"/>
        </w:rPr>
        <w:t>ت</w:t>
      </w:r>
      <w:r w:rsidRPr="00282AC9">
        <w:rPr>
          <w:rFonts w:hint="cs"/>
          <w:sz w:val="27"/>
          <w:rtl/>
          <w:lang w:bidi="fa-IR"/>
        </w:rPr>
        <w:t>ُ</w:t>
      </w:r>
      <w:r w:rsidRPr="00282AC9">
        <w:rPr>
          <w:sz w:val="27"/>
          <w:rtl/>
          <w:lang w:bidi="fa-IR"/>
        </w:rPr>
        <w:t xml:space="preserve"> أن أذكر ـ إضافة</w:t>
      </w:r>
      <w:r w:rsidR="00B36FB6" w:rsidRPr="00282AC9">
        <w:rPr>
          <w:rFonts w:hint="cs"/>
          <w:sz w:val="27"/>
          <w:rtl/>
          <w:lang w:bidi="fa-IR"/>
        </w:rPr>
        <w:t>ً</w:t>
      </w:r>
      <w:r w:rsidRPr="00282AC9">
        <w:rPr>
          <w:sz w:val="27"/>
          <w:rtl/>
          <w:lang w:bidi="fa-IR"/>
        </w:rPr>
        <w:t xml:space="preserve"> إلى ذلك ـ عددا</w:t>
      </w:r>
      <w:r w:rsidR="00B36FB6" w:rsidRPr="00282AC9">
        <w:rPr>
          <w:rFonts w:hint="cs"/>
          <w:sz w:val="27"/>
          <w:rtl/>
          <w:lang w:bidi="fa-IR"/>
        </w:rPr>
        <w:t>ً</w:t>
      </w:r>
      <w:r w:rsidRPr="00282AC9">
        <w:rPr>
          <w:sz w:val="27"/>
          <w:rtl/>
          <w:lang w:bidi="fa-IR"/>
        </w:rPr>
        <w:t xml:space="preserve"> من الشواهد الأخرى من هذه القرون التالية </w:t>
      </w:r>
      <w:r w:rsidR="00B36FB6" w:rsidRPr="00282AC9">
        <w:rPr>
          <w:sz w:val="27"/>
          <w:rtl/>
          <w:lang w:bidi="fa-IR"/>
        </w:rPr>
        <w:t>أيضا</w:t>
      </w:r>
      <w:r w:rsidR="00B36FB6" w:rsidRPr="00282AC9">
        <w:rPr>
          <w:rFonts w:hint="cs"/>
          <w:sz w:val="27"/>
          <w:rtl/>
          <w:lang w:bidi="fa-IR"/>
        </w:rPr>
        <w:t>ً</w:t>
      </w:r>
      <w:r w:rsidR="00B36FB6" w:rsidRPr="00282AC9">
        <w:rPr>
          <w:sz w:val="27"/>
          <w:rtl/>
          <w:lang w:bidi="fa-IR"/>
        </w:rPr>
        <w:t xml:space="preserve"> </w:t>
      </w:r>
      <w:r w:rsidRPr="00282AC9">
        <w:rPr>
          <w:sz w:val="27"/>
          <w:rtl/>
          <w:lang w:bidi="fa-IR"/>
        </w:rPr>
        <w:t>ـ خصوصا</w:t>
      </w:r>
      <w:r w:rsidR="00B36FB6" w:rsidRPr="00282AC9">
        <w:rPr>
          <w:rFonts w:hint="cs"/>
          <w:sz w:val="27"/>
          <w:rtl/>
          <w:lang w:bidi="fa-IR"/>
        </w:rPr>
        <w:t>ً</w:t>
      </w:r>
      <w:r w:rsidRPr="00282AC9">
        <w:rPr>
          <w:sz w:val="27"/>
          <w:rtl/>
          <w:lang w:bidi="fa-IR"/>
        </w:rPr>
        <w:t xml:space="preserve"> القرن</w:t>
      </w:r>
      <w:r w:rsidR="00B36FB6" w:rsidRPr="00282AC9">
        <w:rPr>
          <w:rFonts w:hint="cs"/>
          <w:sz w:val="27"/>
          <w:rtl/>
          <w:lang w:bidi="fa-IR"/>
        </w:rPr>
        <w:t>ين</w:t>
      </w:r>
      <w:r w:rsidRPr="00282AC9">
        <w:rPr>
          <w:sz w:val="27"/>
          <w:rtl/>
          <w:lang w:bidi="fa-IR"/>
        </w:rPr>
        <w:t xml:space="preserve"> الثاني والثالث الهجري</w:t>
      </w:r>
      <w:r w:rsidR="00B36FB6" w:rsidRPr="00282AC9">
        <w:rPr>
          <w:rFonts w:hint="cs"/>
          <w:sz w:val="27"/>
          <w:rtl/>
          <w:lang w:bidi="fa-IR"/>
        </w:rPr>
        <w:t>ّ</w:t>
      </w:r>
      <w:r w:rsidRPr="00282AC9">
        <w:rPr>
          <w:sz w:val="27"/>
          <w:rtl/>
          <w:lang w:bidi="fa-IR"/>
        </w:rPr>
        <w:t>ين ـ</w:t>
      </w:r>
      <w:r w:rsidR="00B36FB6" w:rsidRPr="00282AC9">
        <w:rPr>
          <w:rFonts w:hint="cs"/>
          <w:sz w:val="27"/>
          <w:rtl/>
          <w:lang w:bidi="fa-IR"/>
        </w:rPr>
        <w:t>؛</w:t>
      </w:r>
      <w:r w:rsidRPr="00282AC9">
        <w:rPr>
          <w:sz w:val="27"/>
          <w:rtl/>
          <w:lang w:bidi="fa-IR"/>
        </w:rPr>
        <w:t xml:space="preserve"> ليكون المشهد أكثر وضوحا</w:t>
      </w:r>
      <w:r w:rsidRPr="00282AC9">
        <w:rPr>
          <w:rFonts w:hint="cs"/>
          <w:sz w:val="27"/>
          <w:rtl/>
          <w:lang w:bidi="fa-IR"/>
        </w:rPr>
        <w:t>ً</w:t>
      </w:r>
      <w:r w:rsidRPr="00282AC9">
        <w:rPr>
          <w:sz w:val="27"/>
          <w:rtl/>
          <w:lang w:bidi="fa-IR"/>
        </w:rPr>
        <w:t>:</w:t>
      </w:r>
    </w:p>
    <w:p w:rsidR="00464852" w:rsidRPr="00282AC9" w:rsidRDefault="00B36FB6" w:rsidP="00407A45">
      <w:pPr>
        <w:spacing w:line="386" w:lineRule="exact"/>
        <w:rPr>
          <w:sz w:val="27"/>
          <w:rtl/>
          <w:lang w:bidi="fa-IR"/>
        </w:rPr>
      </w:pPr>
      <w:r w:rsidRPr="00282AC9">
        <w:rPr>
          <w:rFonts w:hint="cs"/>
          <w:sz w:val="27"/>
          <w:rtl/>
        </w:rPr>
        <w:t xml:space="preserve">1ـ </w:t>
      </w:r>
      <w:r w:rsidR="00464852" w:rsidRPr="00282AC9">
        <w:rPr>
          <w:sz w:val="27"/>
          <w:rtl/>
        </w:rPr>
        <w:t>قال وهب بن منبه</w:t>
      </w:r>
      <w:r w:rsidR="00195CF5" w:rsidRPr="00282AC9">
        <w:rPr>
          <w:rFonts w:hint="cs"/>
          <w:sz w:val="27"/>
          <w:rtl/>
        </w:rPr>
        <w:t>(110</w:t>
      </w:r>
      <w:r w:rsidR="00195CF5" w:rsidRPr="00282AC9">
        <w:rPr>
          <w:sz w:val="27"/>
          <w:rtl/>
        </w:rPr>
        <w:t>هـ</w:t>
      </w:r>
      <w:r w:rsidR="00195CF5" w:rsidRPr="00282AC9">
        <w:rPr>
          <w:rFonts w:hint="cs"/>
          <w:sz w:val="27"/>
          <w:rtl/>
        </w:rPr>
        <w:t>)</w:t>
      </w:r>
      <w:r w:rsidR="00464852" w:rsidRPr="00282AC9">
        <w:rPr>
          <w:sz w:val="27"/>
          <w:rtl/>
        </w:rPr>
        <w:t xml:space="preserve">: </w:t>
      </w:r>
      <w:r w:rsidR="00464852" w:rsidRPr="00282AC9">
        <w:rPr>
          <w:rFonts w:hint="eastAsia"/>
          <w:sz w:val="24"/>
          <w:szCs w:val="24"/>
          <w:rtl/>
          <w:lang w:bidi="fa-IR"/>
        </w:rPr>
        <w:t>«</w:t>
      </w:r>
      <w:r w:rsidR="00464852" w:rsidRPr="00282AC9">
        <w:rPr>
          <w:sz w:val="27"/>
          <w:rtl/>
          <w:lang w:bidi="fa-IR"/>
        </w:rPr>
        <w:t>لما دنا الموت من لقمان بن عاد</w:t>
      </w:r>
      <w:r w:rsidR="00464852" w:rsidRPr="00282AC9">
        <w:rPr>
          <w:sz w:val="27"/>
          <w:vertAlign w:val="superscript"/>
          <w:rtl/>
          <w:lang w:bidi="fa-IR"/>
        </w:rPr>
        <w:t>(</w:t>
      </w:r>
      <w:r w:rsidR="00464852" w:rsidRPr="00282AC9">
        <w:rPr>
          <w:rStyle w:val="af9"/>
          <w:sz w:val="27"/>
          <w:rtl/>
          <w:lang w:bidi="fa-IR"/>
        </w:rPr>
        <w:endnoteReference w:id="584"/>
      </w:r>
      <w:r w:rsidR="00464852" w:rsidRPr="00282AC9">
        <w:rPr>
          <w:sz w:val="27"/>
          <w:vertAlign w:val="superscript"/>
          <w:rtl/>
          <w:lang w:bidi="fa-IR"/>
        </w:rPr>
        <w:t>)</w:t>
      </w:r>
      <w:r w:rsidR="00464852" w:rsidRPr="00282AC9">
        <w:rPr>
          <w:sz w:val="27"/>
          <w:rtl/>
          <w:lang w:bidi="fa-IR"/>
        </w:rPr>
        <w:t xml:space="preserve"> قال: يا قوم</w:t>
      </w:r>
      <w:r w:rsidRPr="00282AC9">
        <w:rPr>
          <w:rFonts w:hint="cs"/>
          <w:sz w:val="27"/>
          <w:rtl/>
          <w:lang w:bidi="fa-IR"/>
        </w:rPr>
        <w:t>،</w:t>
      </w:r>
      <w:r w:rsidR="00464852" w:rsidRPr="00282AC9">
        <w:rPr>
          <w:sz w:val="27"/>
          <w:rtl/>
          <w:lang w:bidi="fa-IR"/>
        </w:rPr>
        <w:t xml:space="preserve"> دعوني من‏ سُن</w:t>
      </w:r>
      <w:r w:rsidRPr="00282AC9">
        <w:rPr>
          <w:rFonts w:hint="cs"/>
          <w:sz w:val="27"/>
          <w:rtl/>
          <w:lang w:bidi="fa-IR"/>
        </w:rPr>
        <w:t>َ</w:t>
      </w:r>
      <w:r w:rsidR="00464852" w:rsidRPr="00282AC9">
        <w:rPr>
          <w:sz w:val="27"/>
          <w:rtl/>
          <w:lang w:bidi="fa-IR"/>
        </w:rPr>
        <w:t>ن‏ الجب</w:t>
      </w:r>
      <w:r w:rsidR="0036663A" w:rsidRPr="00282AC9">
        <w:rPr>
          <w:rFonts w:hint="cs"/>
          <w:sz w:val="27"/>
          <w:rtl/>
          <w:lang w:bidi="fa-IR"/>
        </w:rPr>
        <w:t>ّ</w:t>
      </w:r>
      <w:r w:rsidR="00464852" w:rsidRPr="00282AC9">
        <w:rPr>
          <w:sz w:val="27"/>
          <w:rtl/>
          <w:lang w:bidi="fa-IR"/>
        </w:rPr>
        <w:t>ارين</w:t>
      </w:r>
      <w:r w:rsidR="0036663A" w:rsidRPr="00282AC9">
        <w:rPr>
          <w:rFonts w:hint="cs"/>
          <w:sz w:val="27"/>
          <w:rtl/>
          <w:lang w:bidi="fa-IR"/>
        </w:rPr>
        <w:t>،</w:t>
      </w:r>
      <w:r w:rsidR="00464852" w:rsidRPr="00282AC9">
        <w:rPr>
          <w:sz w:val="27"/>
          <w:rtl/>
          <w:lang w:bidi="fa-IR"/>
        </w:rPr>
        <w:t xml:space="preserve"> واسلكوا بي سبيل الصالحين. احفروا لي ضريحا</w:t>
      </w:r>
      <w:r w:rsidR="0036663A" w:rsidRPr="00282AC9">
        <w:rPr>
          <w:rFonts w:hint="cs"/>
          <w:sz w:val="27"/>
          <w:rtl/>
          <w:lang w:bidi="fa-IR"/>
        </w:rPr>
        <w:t>ً،</w:t>
      </w:r>
      <w:r w:rsidR="00464852" w:rsidRPr="00282AC9">
        <w:rPr>
          <w:sz w:val="27"/>
          <w:rtl/>
          <w:lang w:bidi="fa-IR"/>
        </w:rPr>
        <w:t xml:space="preserve"> وواروني فيه ترابا</w:t>
      </w:r>
      <w:r w:rsidR="0036663A" w:rsidRPr="00282AC9">
        <w:rPr>
          <w:rFonts w:hint="cs"/>
          <w:sz w:val="27"/>
          <w:rtl/>
          <w:lang w:bidi="fa-IR"/>
        </w:rPr>
        <w:t>ً</w:t>
      </w:r>
      <w:r w:rsidR="00464852" w:rsidRPr="00282AC9">
        <w:rPr>
          <w:sz w:val="27"/>
          <w:rtl/>
          <w:lang w:bidi="fa-IR"/>
        </w:rPr>
        <w:t>...</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85"/>
      </w:r>
      <w:r w:rsidR="00464852" w:rsidRPr="00282AC9">
        <w:rPr>
          <w:sz w:val="27"/>
          <w:vertAlign w:val="superscript"/>
          <w:rtl/>
          <w:lang w:bidi="fa-IR"/>
        </w:rPr>
        <w:t>)</w:t>
      </w:r>
      <w:r w:rsidR="00464852" w:rsidRPr="00282AC9">
        <w:rPr>
          <w:sz w:val="27"/>
          <w:rtl/>
          <w:lang w:bidi="fa-IR"/>
        </w:rPr>
        <w:t>.</w:t>
      </w:r>
    </w:p>
    <w:p w:rsidR="00464852" w:rsidRPr="00282AC9" w:rsidRDefault="0036663A" w:rsidP="00407A45">
      <w:pPr>
        <w:spacing w:line="386" w:lineRule="exact"/>
        <w:rPr>
          <w:sz w:val="27"/>
          <w:rtl/>
          <w:lang w:bidi="fa-IR"/>
        </w:rPr>
      </w:pPr>
      <w:r w:rsidRPr="00282AC9">
        <w:rPr>
          <w:rFonts w:hint="cs"/>
          <w:sz w:val="27"/>
          <w:rtl/>
        </w:rPr>
        <w:t xml:space="preserve">2ـ </w:t>
      </w:r>
      <w:r w:rsidR="00464852" w:rsidRPr="00282AC9">
        <w:rPr>
          <w:sz w:val="27"/>
          <w:rtl/>
        </w:rPr>
        <w:t>الحسن البصري</w:t>
      </w:r>
      <w:r w:rsidR="00195CF5" w:rsidRPr="00282AC9">
        <w:rPr>
          <w:rFonts w:hint="cs"/>
          <w:sz w:val="27"/>
          <w:rtl/>
        </w:rPr>
        <w:t>(110</w:t>
      </w:r>
      <w:r w:rsidR="00195CF5" w:rsidRPr="00282AC9">
        <w:rPr>
          <w:sz w:val="27"/>
          <w:rtl/>
        </w:rPr>
        <w:t>هـ</w:t>
      </w:r>
      <w:r w:rsidR="00195CF5" w:rsidRPr="00282AC9">
        <w:rPr>
          <w:rFonts w:hint="cs"/>
          <w:sz w:val="27"/>
          <w:rtl/>
        </w:rPr>
        <w:t>)</w:t>
      </w:r>
      <w:r w:rsidR="00464852" w:rsidRPr="00282AC9">
        <w:rPr>
          <w:sz w:val="27"/>
          <w:rtl/>
        </w:rPr>
        <w:t xml:space="preserve">: </w:t>
      </w:r>
      <w:r w:rsidR="00464852" w:rsidRPr="00282AC9">
        <w:rPr>
          <w:rFonts w:hint="eastAsia"/>
          <w:sz w:val="24"/>
          <w:szCs w:val="24"/>
          <w:rtl/>
          <w:lang w:bidi="fa-IR"/>
        </w:rPr>
        <w:t>«</w:t>
      </w:r>
      <w:r w:rsidR="00464852" w:rsidRPr="00282AC9">
        <w:rPr>
          <w:sz w:val="27"/>
          <w:rtl/>
          <w:lang w:bidi="fa-IR"/>
        </w:rPr>
        <w:t>إن أشد</w:t>
      </w:r>
      <w:r w:rsidRPr="00282AC9">
        <w:rPr>
          <w:rFonts w:hint="cs"/>
          <w:sz w:val="27"/>
          <w:rtl/>
          <w:lang w:bidi="fa-IR"/>
        </w:rPr>
        <w:t>ّ</w:t>
      </w:r>
      <w:r w:rsidR="00464852" w:rsidRPr="00282AC9">
        <w:rPr>
          <w:sz w:val="27"/>
          <w:rtl/>
          <w:lang w:bidi="fa-IR"/>
        </w:rPr>
        <w:t xml:space="preserve"> الناس صراخا</w:t>
      </w:r>
      <w:r w:rsidRPr="00282AC9">
        <w:rPr>
          <w:rFonts w:hint="cs"/>
          <w:sz w:val="27"/>
          <w:rtl/>
          <w:lang w:bidi="fa-IR"/>
        </w:rPr>
        <w:t>ً</w:t>
      </w:r>
      <w:r w:rsidR="00464852" w:rsidRPr="00282AC9">
        <w:rPr>
          <w:sz w:val="27"/>
          <w:rtl/>
          <w:lang w:bidi="fa-IR"/>
        </w:rPr>
        <w:t xml:space="preserve"> يوم القيامة رجل</w:t>
      </w:r>
      <w:r w:rsidRPr="00282AC9">
        <w:rPr>
          <w:rFonts w:hint="cs"/>
          <w:sz w:val="27"/>
          <w:rtl/>
          <w:lang w:bidi="fa-IR"/>
        </w:rPr>
        <w:t>ٌ</w:t>
      </w:r>
      <w:r w:rsidR="00464852" w:rsidRPr="00282AC9">
        <w:rPr>
          <w:sz w:val="27"/>
          <w:rtl/>
          <w:lang w:bidi="fa-IR"/>
        </w:rPr>
        <w:t xml:space="preserve"> س</w:t>
      </w:r>
      <w:r w:rsidRPr="00282AC9">
        <w:rPr>
          <w:rFonts w:hint="cs"/>
          <w:sz w:val="27"/>
          <w:rtl/>
          <w:lang w:bidi="fa-IR"/>
        </w:rPr>
        <w:t>َ</w:t>
      </w:r>
      <w:r w:rsidR="00464852" w:rsidRPr="00282AC9">
        <w:rPr>
          <w:sz w:val="27"/>
          <w:rtl/>
          <w:lang w:bidi="fa-IR"/>
        </w:rPr>
        <w:t>ن</w:t>
      </w:r>
      <w:r w:rsidRPr="00282AC9">
        <w:rPr>
          <w:rFonts w:hint="cs"/>
          <w:sz w:val="27"/>
          <w:rtl/>
          <w:lang w:bidi="fa-IR"/>
        </w:rPr>
        <w:t>َّ</w:t>
      </w:r>
      <w:r w:rsidR="00464852" w:rsidRPr="00282AC9">
        <w:rPr>
          <w:sz w:val="27"/>
          <w:rtl/>
          <w:lang w:bidi="fa-IR"/>
        </w:rPr>
        <w:t xml:space="preserve"> س</w:t>
      </w:r>
      <w:r w:rsidRPr="00282AC9">
        <w:rPr>
          <w:rFonts w:hint="cs"/>
          <w:sz w:val="27"/>
          <w:rtl/>
          <w:lang w:bidi="fa-IR"/>
        </w:rPr>
        <w:t>ُ</w:t>
      </w:r>
      <w:r w:rsidR="00464852" w:rsidRPr="00282AC9">
        <w:rPr>
          <w:sz w:val="27"/>
          <w:rtl/>
          <w:lang w:bidi="fa-IR"/>
        </w:rPr>
        <w:t>ن</w:t>
      </w:r>
      <w:r w:rsidRPr="00282AC9">
        <w:rPr>
          <w:rFonts w:hint="cs"/>
          <w:sz w:val="27"/>
          <w:rtl/>
          <w:lang w:bidi="fa-IR"/>
        </w:rPr>
        <w:t>َّ</w:t>
      </w:r>
      <w:r w:rsidR="00464852" w:rsidRPr="00282AC9">
        <w:rPr>
          <w:sz w:val="27"/>
          <w:rtl/>
          <w:lang w:bidi="fa-IR"/>
        </w:rPr>
        <w:t>ة ضلالة</w:t>
      </w:r>
      <w:r w:rsidRPr="00282AC9">
        <w:rPr>
          <w:rFonts w:hint="cs"/>
          <w:sz w:val="27"/>
          <w:rtl/>
          <w:lang w:bidi="fa-IR"/>
        </w:rPr>
        <w:t>ٍ</w:t>
      </w:r>
      <w:r w:rsidR="00464852" w:rsidRPr="00282AC9">
        <w:rPr>
          <w:sz w:val="27"/>
          <w:rtl/>
          <w:lang w:bidi="fa-IR"/>
        </w:rPr>
        <w:t xml:space="preserve"> فات</w:t>
      </w:r>
      <w:r w:rsidRPr="00282AC9">
        <w:rPr>
          <w:rFonts w:hint="cs"/>
          <w:sz w:val="27"/>
          <w:rtl/>
          <w:lang w:bidi="fa-IR"/>
        </w:rPr>
        <w:t>ُّ</w:t>
      </w:r>
      <w:r w:rsidR="00464852" w:rsidRPr="00282AC9">
        <w:rPr>
          <w:sz w:val="27"/>
          <w:rtl/>
          <w:lang w:bidi="fa-IR"/>
        </w:rPr>
        <w:t>ب</w:t>
      </w:r>
      <w:r w:rsidRPr="00282AC9">
        <w:rPr>
          <w:rFonts w:hint="cs"/>
          <w:sz w:val="27"/>
          <w:rtl/>
          <w:lang w:bidi="fa-IR"/>
        </w:rPr>
        <w:t>ِ</w:t>
      </w:r>
      <w:r w:rsidR="00464852" w:rsidRPr="00282AC9">
        <w:rPr>
          <w:sz w:val="27"/>
          <w:rtl/>
          <w:lang w:bidi="fa-IR"/>
        </w:rPr>
        <w:t>ع</w:t>
      </w:r>
      <w:r w:rsidRPr="00282AC9">
        <w:rPr>
          <w:rFonts w:hint="cs"/>
          <w:sz w:val="27"/>
          <w:rtl/>
          <w:lang w:bidi="fa-IR"/>
        </w:rPr>
        <w:t>َ</w:t>
      </w:r>
      <w:r w:rsidR="00464852" w:rsidRPr="00282AC9">
        <w:rPr>
          <w:sz w:val="27"/>
          <w:rtl/>
          <w:lang w:bidi="fa-IR"/>
        </w:rPr>
        <w:t xml:space="preserve"> عليها...</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86"/>
      </w:r>
      <w:r w:rsidR="00464852" w:rsidRPr="00282AC9">
        <w:rPr>
          <w:sz w:val="27"/>
          <w:vertAlign w:val="superscript"/>
          <w:rtl/>
        </w:rPr>
        <w:t>)</w:t>
      </w:r>
      <w:r w:rsidR="00464852" w:rsidRPr="00282AC9">
        <w:rPr>
          <w:rFonts w:hint="cs"/>
          <w:sz w:val="27"/>
          <w:rtl/>
        </w:rPr>
        <w:t>.</w:t>
      </w:r>
    </w:p>
    <w:p w:rsidR="00464852" w:rsidRPr="00282AC9" w:rsidRDefault="0036663A" w:rsidP="00407A45">
      <w:pPr>
        <w:spacing w:line="386" w:lineRule="exact"/>
        <w:rPr>
          <w:sz w:val="27"/>
          <w:rtl/>
          <w:lang w:bidi="fa-IR"/>
        </w:rPr>
      </w:pPr>
      <w:r w:rsidRPr="00282AC9">
        <w:rPr>
          <w:rFonts w:hint="cs"/>
          <w:sz w:val="27"/>
          <w:rtl/>
        </w:rPr>
        <w:t xml:space="preserve">3ـ </w:t>
      </w:r>
      <w:r w:rsidR="00464852" w:rsidRPr="00282AC9">
        <w:rPr>
          <w:sz w:val="27"/>
          <w:rtl/>
        </w:rPr>
        <w:t>في خبر الك</w:t>
      </w:r>
      <w:r w:rsidR="00464852" w:rsidRPr="00282AC9">
        <w:rPr>
          <w:rFonts w:hint="cs"/>
          <w:sz w:val="27"/>
          <w:rtl/>
        </w:rPr>
        <w:t>ُ</w:t>
      </w:r>
      <w:r w:rsidR="00464852" w:rsidRPr="00282AC9">
        <w:rPr>
          <w:sz w:val="27"/>
          <w:rtl/>
        </w:rPr>
        <w:t>م</w:t>
      </w:r>
      <w:r w:rsidRPr="00282AC9">
        <w:rPr>
          <w:rFonts w:hint="cs"/>
          <w:sz w:val="27"/>
          <w:rtl/>
        </w:rPr>
        <w:t>َ</w:t>
      </w:r>
      <w:r w:rsidR="00464852" w:rsidRPr="00282AC9">
        <w:rPr>
          <w:sz w:val="27"/>
          <w:rtl/>
        </w:rPr>
        <w:t>ي</w:t>
      </w:r>
      <w:r w:rsidRPr="00282AC9">
        <w:rPr>
          <w:rFonts w:hint="cs"/>
          <w:sz w:val="27"/>
          <w:rtl/>
        </w:rPr>
        <w:t>ْ</w:t>
      </w:r>
      <w:r w:rsidR="00464852" w:rsidRPr="00282AC9">
        <w:rPr>
          <w:sz w:val="27"/>
          <w:rtl/>
        </w:rPr>
        <w:t xml:space="preserve">ت وهشام بن عبد الملك الأموي: قال له هشام: </w:t>
      </w:r>
      <w:r w:rsidR="00464852" w:rsidRPr="00282AC9">
        <w:rPr>
          <w:rFonts w:hint="eastAsia"/>
          <w:sz w:val="24"/>
          <w:szCs w:val="24"/>
          <w:rtl/>
        </w:rPr>
        <w:t>«</w:t>
      </w:r>
      <w:r w:rsidR="00464852" w:rsidRPr="00282AC9">
        <w:rPr>
          <w:sz w:val="27"/>
          <w:rtl/>
          <w:lang w:bidi="fa-IR"/>
        </w:rPr>
        <w:t>وم</w:t>
      </w:r>
      <w:r w:rsidRPr="00282AC9">
        <w:rPr>
          <w:rFonts w:hint="cs"/>
          <w:sz w:val="27"/>
          <w:rtl/>
          <w:lang w:bidi="fa-IR"/>
        </w:rPr>
        <w:t>َ</w:t>
      </w:r>
      <w:r w:rsidR="00464852" w:rsidRPr="00282AC9">
        <w:rPr>
          <w:sz w:val="27"/>
          <w:rtl/>
          <w:lang w:bidi="fa-IR"/>
        </w:rPr>
        <w:t>ن</w:t>
      </w:r>
      <w:r w:rsidRPr="00282AC9">
        <w:rPr>
          <w:rFonts w:hint="cs"/>
          <w:sz w:val="27"/>
          <w:rtl/>
          <w:lang w:bidi="fa-IR"/>
        </w:rPr>
        <w:t>ْ</w:t>
      </w:r>
      <w:r w:rsidR="00464852" w:rsidRPr="00282AC9">
        <w:rPr>
          <w:sz w:val="27"/>
          <w:rtl/>
          <w:lang w:bidi="fa-IR"/>
        </w:rPr>
        <w:t>‏ س</w:t>
      </w:r>
      <w:r w:rsidR="00464852" w:rsidRPr="00282AC9">
        <w:rPr>
          <w:rFonts w:hint="cs"/>
          <w:sz w:val="27"/>
          <w:rtl/>
          <w:lang w:bidi="fa-IR"/>
        </w:rPr>
        <w:t>َ</w:t>
      </w:r>
      <w:r w:rsidR="00464852" w:rsidRPr="00282AC9">
        <w:rPr>
          <w:sz w:val="27"/>
          <w:rtl/>
          <w:lang w:bidi="fa-IR"/>
        </w:rPr>
        <w:t>نّ</w:t>
      </w:r>
      <w:r w:rsidR="00464852" w:rsidRPr="00282AC9">
        <w:rPr>
          <w:rFonts w:hint="cs"/>
          <w:sz w:val="27"/>
          <w:rtl/>
          <w:lang w:bidi="fa-IR"/>
        </w:rPr>
        <w:t>َ</w:t>
      </w:r>
      <w:r w:rsidR="00464852" w:rsidRPr="00282AC9">
        <w:rPr>
          <w:sz w:val="27"/>
          <w:rtl/>
          <w:lang w:bidi="fa-IR"/>
        </w:rPr>
        <w:t>‏ لك الغيّ</w:t>
      </w:r>
      <w:r w:rsidR="00464852" w:rsidRPr="00282AC9">
        <w:rPr>
          <w:rFonts w:hint="cs"/>
          <w:sz w:val="27"/>
          <w:rtl/>
          <w:lang w:bidi="fa-IR"/>
        </w:rPr>
        <w:t>َ</w:t>
      </w:r>
      <w:r w:rsidR="00464852" w:rsidRPr="00282AC9">
        <w:rPr>
          <w:sz w:val="27"/>
          <w:rtl/>
          <w:lang w:bidi="fa-IR"/>
        </w:rPr>
        <w:t xml:space="preserve"> وأورطك فيه؟</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87"/>
      </w:r>
      <w:r w:rsidR="00464852" w:rsidRPr="00282AC9">
        <w:rPr>
          <w:sz w:val="27"/>
          <w:vertAlign w:val="superscript"/>
          <w:rtl/>
        </w:rPr>
        <w:t>)</w:t>
      </w:r>
      <w:r w:rsidRPr="00282AC9">
        <w:rPr>
          <w:rFonts w:hint="cs"/>
          <w:sz w:val="27"/>
          <w:rtl/>
        </w:rPr>
        <w:t>.</w:t>
      </w:r>
    </w:p>
    <w:p w:rsidR="00464852" w:rsidRPr="00282AC9" w:rsidRDefault="0036663A" w:rsidP="00407A45">
      <w:pPr>
        <w:spacing w:line="386" w:lineRule="exact"/>
        <w:rPr>
          <w:sz w:val="27"/>
          <w:rtl/>
          <w:lang w:bidi="fa-IR"/>
        </w:rPr>
      </w:pPr>
      <w:r w:rsidRPr="00282AC9">
        <w:rPr>
          <w:rFonts w:hint="cs"/>
          <w:sz w:val="27"/>
          <w:rtl/>
        </w:rPr>
        <w:t xml:space="preserve">4ـ </w:t>
      </w:r>
      <w:r w:rsidR="00464852" w:rsidRPr="00282AC9">
        <w:rPr>
          <w:sz w:val="27"/>
          <w:rtl/>
        </w:rPr>
        <w:t>عن الإمام الصادق</w:t>
      </w:r>
      <w:r w:rsidR="009A2A04" w:rsidRPr="00282AC9">
        <w:rPr>
          <w:rFonts w:cs="Mosawi"/>
          <w:sz w:val="22"/>
          <w:szCs w:val="22"/>
          <w:rtl/>
        </w:rPr>
        <w:t>×</w:t>
      </w:r>
      <w:r w:rsidR="00464852" w:rsidRPr="00282AC9">
        <w:rPr>
          <w:sz w:val="27"/>
          <w:rtl/>
        </w:rPr>
        <w:t xml:space="preserve">: </w:t>
      </w:r>
      <w:r w:rsidR="00464852" w:rsidRPr="00282AC9">
        <w:rPr>
          <w:rFonts w:hint="eastAsia"/>
          <w:sz w:val="24"/>
          <w:szCs w:val="24"/>
          <w:rtl/>
          <w:lang w:bidi="fa-IR"/>
        </w:rPr>
        <w:t>«</w:t>
      </w:r>
      <w:r w:rsidR="00464852" w:rsidRPr="00282AC9">
        <w:rPr>
          <w:sz w:val="27"/>
          <w:rtl/>
          <w:lang w:bidi="fa-IR"/>
        </w:rPr>
        <w:t>على المسلم أن يمنع نفسه</w:t>
      </w:r>
      <w:r w:rsidRPr="00282AC9">
        <w:rPr>
          <w:rFonts w:hint="cs"/>
          <w:sz w:val="27"/>
          <w:rtl/>
          <w:lang w:bidi="fa-IR"/>
        </w:rPr>
        <w:t>،</w:t>
      </w:r>
      <w:r w:rsidR="00464852" w:rsidRPr="00282AC9">
        <w:rPr>
          <w:sz w:val="27"/>
          <w:rtl/>
          <w:lang w:bidi="fa-IR"/>
        </w:rPr>
        <w:t xml:space="preserve"> ويقاتل على حكم الله وحكم رسوله</w:t>
      </w:r>
      <w:r w:rsidRPr="00282AC9">
        <w:rPr>
          <w:rFonts w:hint="cs"/>
          <w:sz w:val="27"/>
          <w:rtl/>
          <w:lang w:bidi="fa-IR"/>
        </w:rPr>
        <w:t>؛</w:t>
      </w:r>
      <w:r w:rsidR="00464852" w:rsidRPr="00282AC9">
        <w:rPr>
          <w:sz w:val="27"/>
          <w:rtl/>
          <w:lang w:bidi="fa-IR"/>
        </w:rPr>
        <w:t xml:space="preserve"> وأما أن يقاتل الكف</w:t>
      </w:r>
      <w:r w:rsidRPr="00282AC9">
        <w:rPr>
          <w:rFonts w:hint="cs"/>
          <w:sz w:val="27"/>
          <w:rtl/>
          <w:lang w:bidi="fa-IR"/>
        </w:rPr>
        <w:t>ّ</w:t>
      </w:r>
      <w:r w:rsidR="00464852" w:rsidRPr="00282AC9">
        <w:rPr>
          <w:sz w:val="27"/>
          <w:rtl/>
          <w:lang w:bidi="fa-IR"/>
        </w:rPr>
        <w:t>ار على حكم الج</w:t>
      </w:r>
      <w:r w:rsidRPr="00282AC9">
        <w:rPr>
          <w:rFonts w:hint="cs"/>
          <w:sz w:val="27"/>
          <w:rtl/>
          <w:lang w:bidi="fa-IR"/>
        </w:rPr>
        <w:t>َ</w:t>
      </w:r>
      <w:r w:rsidR="00464852" w:rsidRPr="00282AC9">
        <w:rPr>
          <w:sz w:val="27"/>
          <w:rtl/>
          <w:lang w:bidi="fa-IR"/>
        </w:rPr>
        <w:t>و</w:t>
      </w:r>
      <w:r w:rsidRPr="00282AC9">
        <w:rPr>
          <w:rFonts w:hint="cs"/>
          <w:sz w:val="27"/>
          <w:rtl/>
          <w:lang w:bidi="fa-IR"/>
        </w:rPr>
        <w:t>ْ</w:t>
      </w:r>
      <w:r w:rsidR="00464852" w:rsidRPr="00282AC9">
        <w:rPr>
          <w:sz w:val="27"/>
          <w:rtl/>
          <w:lang w:bidi="fa-IR"/>
        </w:rPr>
        <w:t>ر وس</w:t>
      </w:r>
      <w:r w:rsidR="00464852" w:rsidRPr="00282AC9">
        <w:rPr>
          <w:rFonts w:hint="cs"/>
          <w:sz w:val="27"/>
          <w:rtl/>
          <w:lang w:bidi="fa-IR"/>
        </w:rPr>
        <w:t>ُ</w:t>
      </w:r>
      <w:r w:rsidR="00464852" w:rsidRPr="00282AC9">
        <w:rPr>
          <w:sz w:val="27"/>
          <w:rtl/>
          <w:lang w:bidi="fa-IR"/>
        </w:rPr>
        <w:t>ن</w:t>
      </w:r>
      <w:r w:rsidRPr="00282AC9">
        <w:rPr>
          <w:rFonts w:hint="cs"/>
          <w:sz w:val="27"/>
          <w:rtl/>
          <w:lang w:bidi="fa-IR"/>
        </w:rPr>
        <w:t>َّ</w:t>
      </w:r>
      <w:r w:rsidRPr="00282AC9">
        <w:rPr>
          <w:sz w:val="27"/>
          <w:rtl/>
          <w:lang w:bidi="fa-IR"/>
        </w:rPr>
        <w:t>ت</w:t>
      </w:r>
      <w:r w:rsidR="00464852" w:rsidRPr="00282AC9">
        <w:rPr>
          <w:sz w:val="27"/>
          <w:rtl/>
          <w:lang w:bidi="fa-IR"/>
        </w:rPr>
        <w:t>هم‏ فلا يحلّ له ذلك</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88"/>
      </w:r>
      <w:r w:rsidR="00464852" w:rsidRPr="00282AC9">
        <w:rPr>
          <w:sz w:val="27"/>
          <w:vertAlign w:val="superscript"/>
          <w:rtl/>
          <w:lang w:bidi="fa-IR"/>
        </w:rPr>
        <w:t>)</w:t>
      </w:r>
      <w:r w:rsidR="00464852" w:rsidRPr="00282AC9">
        <w:rPr>
          <w:sz w:val="27"/>
          <w:rtl/>
          <w:lang w:bidi="fa-IR"/>
        </w:rPr>
        <w:t xml:space="preserve">. </w:t>
      </w:r>
    </w:p>
    <w:p w:rsidR="0036663A" w:rsidRPr="00282AC9" w:rsidRDefault="0036663A" w:rsidP="00407A45">
      <w:pPr>
        <w:spacing w:line="386" w:lineRule="exact"/>
        <w:rPr>
          <w:sz w:val="27"/>
          <w:rtl/>
          <w:lang w:bidi="fa-IR"/>
        </w:rPr>
      </w:pPr>
      <w:r w:rsidRPr="00282AC9">
        <w:rPr>
          <w:rFonts w:hint="cs"/>
          <w:sz w:val="27"/>
          <w:rtl/>
        </w:rPr>
        <w:t xml:space="preserve">5ـ </w:t>
      </w:r>
      <w:r w:rsidRPr="00282AC9">
        <w:rPr>
          <w:sz w:val="27"/>
          <w:rtl/>
        </w:rPr>
        <w:t>و</w:t>
      </w:r>
      <w:r w:rsidR="00464852" w:rsidRPr="00282AC9">
        <w:rPr>
          <w:sz w:val="27"/>
          <w:rtl/>
        </w:rPr>
        <w:t>عنه</w:t>
      </w:r>
      <w:r w:rsidR="009A2A04" w:rsidRPr="00282AC9">
        <w:rPr>
          <w:rFonts w:cs="Mosawi"/>
          <w:sz w:val="22"/>
          <w:szCs w:val="22"/>
          <w:rtl/>
        </w:rPr>
        <w:t>×</w:t>
      </w:r>
      <w:r w:rsidR="00464852" w:rsidRPr="00282AC9">
        <w:rPr>
          <w:rFonts w:hint="cs"/>
          <w:sz w:val="27"/>
          <w:rtl/>
        </w:rPr>
        <w:t xml:space="preserve"> </w:t>
      </w:r>
      <w:r w:rsidR="00464852" w:rsidRPr="00282AC9">
        <w:rPr>
          <w:sz w:val="27"/>
          <w:rtl/>
        </w:rPr>
        <w:t xml:space="preserve">قال: </w:t>
      </w:r>
      <w:r w:rsidR="00464852" w:rsidRPr="00282AC9">
        <w:rPr>
          <w:rFonts w:hint="eastAsia"/>
          <w:sz w:val="24"/>
          <w:szCs w:val="24"/>
          <w:rtl/>
          <w:lang w:bidi="fa-IR"/>
        </w:rPr>
        <w:t>«</w:t>
      </w:r>
      <w:r w:rsidR="00464852" w:rsidRPr="00282AC9">
        <w:rPr>
          <w:sz w:val="27"/>
          <w:rtl/>
          <w:lang w:bidi="fa-IR"/>
        </w:rPr>
        <w:t>...ما نزل به كتاب</w:t>
      </w:r>
      <w:r w:rsidR="00464852" w:rsidRPr="00282AC9">
        <w:rPr>
          <w:rFonts w:hint="cs"/>
          <w:sz w:val="27"/>
          <w:rtl/>
          <w:lang w:bidi="fa-IR"/>
        </w:rPr>
        <w:t>ٌ</w:t>
      </w:r>
      <w:r w:rsidRPr="00282AC9">
        <w:rPr>
          <w:rFonts w:hint="cs"/>
          <w:sz w:val="27"/>
          <w:rtl/>
          <w:lang w:bidi="fa-IR"/>
        </w:rPr>
        <w:t>،</w:t>
      </w:r>
      <w:r w:rsidR="00464852" w:rsidRPr="00282AC9">
        <w:rPr>
          <w:sz w:val="27"/>
          <w:rtl/>
          <w:lang w:bidi="fa-IR"/>
        </w:rPr>
        <w:t xml:space="preserve"> ولا ج</w:t>
      </w:r>
      <w:r w:rsidRPr="00282AC9">
        <w:rPr>
          <w:rFonts w:hint="cs"/>
          <w:sz w:val="27"/>
          <w:rtl/>
          <w:lang w:bidi="fa-IR"/>
        </w:rPr>
        <w:t>َ</w:t>
      </w:r>
      <w:r w:rsidR="00464852" w:rsidRPr="00282AC9">
        <w:rPr>
          <w:sz w:val="27"/>
          <w:rtl/>
          <w:lang w:bidi="fa-IR"/>
        </w:rPr>
        <w:t>ر</w:t>
      </w:r>
      <w:r w:rsidRPr="00282AC9">
        <w:rPr>
          <w:rFonts w:hint="cs"/>
          <w:sz w:val="27"/>
          <w:rtl/>
          <w:lang w:bidi="fa-IR"/>
        </w:rPr>
        <w:t>َ</w:t>
      </w:r>
      <w:r w:rsidR="00464852" w:rsidRPr="00282AC9">
        <w:rPr>
          <w:sz w:val="27"/>
          <w:rtl/>
          <w:lang w:bidi="fa-IR"/>
        </w:rPr>
        <w:t>ت</w:t>
      </w:r>
      <w:r w:rsidRPr="00282AC9">
        <w:rPr>
          <w:rFonts w:hint="cs"/>
          <w:sz w:val="27"/>
          <w:rtl/>
          <w:lang w:bidi="fa-IR"/>
        </w:rPr>
        <w:t>ْ</w:t>
      </w:r>
      <w:r w:rsidR="00464852" w:rsidRPr="00282AC9">
        <w:rPr>
          <w:sz w:val="27"/>
          <w:rtl/>
          <w:lang w:bidi="fa-IR"/>
        </w:rPr>
        <w:t xml:space="preserve"> به س</w:t>
      </w:r>
      <w:r w:rsidR="00464852" w:rsidRPr="00282AC9">
        <w:rPr>
          <w:rFonts w:hint="cs"/>
          <w:sz w:val="27"/>
          <w:rtl/>
          <w:lang w:bidi="fa-IR"/>
        </w:rPr>
        <w:t>ُ</w:t>
      </w:r>
      <w:r w:rsidR="00464852" w:rsidRPr="00282AC9">
        <w:rPr>
          <w:sz w:val="27"/>
          <w:rtl/>
          <w:lang w:bidi="fa-IR"/>
        </w:rPr>
        <w:t>نّ</w:t>
      </w:r>
      <w:r w:rsidRPr="00282AC9">
        <w:rPr>
          <w:rFonts w:hint="cs"/>
          <w:sz w:val="27"/>
          <w:rtl/>
          <w:lang w:bidi="fa-IR"/>
        </w:rPr>
        <w:t>َ</w:t>
      </w:r>
      <w:r w:rsidR="00464852" w:rsidRPr="00282AC9">
        <w:rPr>
          <w:sz w:val="27"/>
          <w:rtl/>
          <w:lang w:bidi="fa-IR"/>
        </w:rPr>
        <w:t>ة</w:t>
      </w:r>
      <w:r w:rsidR="00464852" w:rsidRPr="00282AC9">
        <w:rPr>
          <w:rFonts w:hint="cs"/>
          <w:sz w:val="27"/>
          <w:rtl/>
          <w:lang w:bidi="fa-IR"/>
        </w:rPr>
        <w:t>ٌ</w:t>
      </w:r>
      <w:r w:rsidRPr="00282AC9">
        <w:rPr>
          <w:rFonts w:hint="cs"/>
          <w:sz w:val="27"/>
          <w:rtl/>
          <w:lang w:bidi="fa-IR"/>
        </w:rPr>
        <w:t>،</w:t>
      </w:r>
      <w:r w:rsidR="00464852" w:rsidRPr="00282AC9">
        <w:rPr>
          <w:sz w:val="27"/>
          <w:rtl/>
          <w:lang w:bidi="fa-IR"/>
        </w:rPr>
        <w:t xml:space="preserve"> إلا</w:t>
      </w:r>
      <w:r w:rsidRPr="00282AC9">
        <w:rPr>
          <w:rFonts w:hint="cs"/>
          <w:sz w:val="27"/>
          <w:rtl/>
          <w:lang w:bidi="fa-IR"/>
        </w:rPr>
        <w:t>ّ</w:t>
      </w:r>
      <w:r w:rsidR="00464852" w:rsidRPr="00282AC9">
        <w:rPr>
          <w:sz w:val="27"/>
          <w:rtl/>
          <w:lang w:bidi="fa-IR"/>
        </w:rPr>
        <w:t xml:space="preserve"> س</w:t>
      </w:r>
      <w:r w:rsidR="00464852" w:rsidRPr="00282AC9">
        <w:rPr>
          <w:rFonts w:hint="cs"/>
          <w:sz w:val="27"/>
          <w:rtl/>
          <w:lang w:bidi="fa-IR"/>
        </w:rPr>
        <w:t>ُ</w:t>
      </w:r>
      <w:r w:rsidR="00464852" w:rsidRPr="00282AC9">
        <w:rPr>
          <w:sz w:val="27"/>
          <w:rtl/>
          <w:lang w:bidi="fa-IR"/>
        </w:rPr>
        <w:t>نّ</w:t>
      </w:r>
      <w:r w:rsidRPr="00282AC9">
        <w:rPr>
          <w:rFonts w:hint="cs"/>
          <w:sz w:val="27"/>
          <w:rtl/>
          <w:lang w:bidi="fa-IR"/>
        </w:rPr>
        <w:t>َ</w:t>
      </w:r>
      <w:r w:rsidR="00464852" w:rsidRPr="00282AC9">
        <w:rPr>
          <w:sz w:val="27"/>
          <w:rtl/>
          <w:lang w:bidi="fa-IR"/>
        </w:rPr>
        <w:t>ة آل‏ زياد بقتل الحسين بن علي</w:t>
      </w:r>
      <w:r w:rsidRPr="00282AC9">
        <w:rPr>
          <w:rFonts w:hint="cs"/>
          <w:sz w:val="27"/>
          <w:rtl/>
          <w:lang w:bidi="fa-IR"/>
        </w:rPr>
        <w:t>ّ</w:t>
      </w:r>
      <w:r w:rsidR="00464852" w:rsidRPr="00282AC9">
        <w:rPr>
          <w:sz w:val="27"/>
          <w:rtl/>
          <w:lang w:bidi="fa-IR"/>
        </w:rPr>
        <w:t xml:space="preserve"> صلوات الله عليهما</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89"/>
      </w:r>
      <w:r w:rsidR="00464852" w:rsidRPr="00282AC9">
        <w:rPr>
          <w:sz w:val="27"/>
          <w:vertAlign w:val="superscript"/>
          <w:rtl/>
          <w:lang w:bidi="fa-IR"/>
        </w:rPr>
        <w:t>)</w:t>
      </w:r>
      <w:r w:rsidRPr="00282AC9">
        <w:rPr>
          <w:sz w:val="27"/>
          <w:rtl/>
          <w:lang w:bidi="fa-IR"/>
        </w:rPr>
        <w:t>.</w:t>
      </w:r>
    </w:p>
    <w:p w:rsidR="00464852" w:rsidRPr="00282AC9" w:rsidRDefault="00464852" w:rsidP="00407A45">
      <w:pPr>
        <w:spacing w:line="386" w:lineRule="exact"/>
        <w:rPr>
          <w:sz w:val="27"/>
          <w:lang w:bidi="fa-IR"/>
        </w:rPr>
      </w:pPr>
      <w:r w:rsidRPr="00282AC9">
        <w:rPr>
          <w:sz w:val="27"/>
          <w:rtl/>
          <w:lang w:bidi="fa-IR"/>
        </w:rPr>
        <w:t>و</w:t>
      </w:r>
      <w:r w:rsidRPr="00282AC9">
        <w:rPr>
          <w:rFonts w:hint="cs"/>
          <w:sz w:val="27"/>
          <w:rtl/>
          <w:lang w:bidi="fa-IR"/>
        </w:rPr>
        <w:t xml:space="preserve">يبدو أن </w:t>
      </w:r>
      <w:r w:rsidRPr="00282AC9">
        <w:rPr>
          <w:rFonts w:hint="eastAsia"/>
          <w:sz w:val="24"/>
          <w:szCs w:val="24"/>
          <w:rtl/>
          <w:lang w:bidi="fa-IR"/>
        </w:rPr>
        <w:t>«</w:t>
      </w:r>
      <w:r w:rsidRPr="00282AC9">
        <w:rPr>
          <w:sz w:val="27"/>
          <w:rtl/>
          <w:lang w:bidi="fa-IR"/>
        </w:rPr>
        <w:t>الس</w:t>
      </w:r>
      <w:r w:rsidR="00E55AF7" w:rsidRPr="00282AC9">
        <w:rPr>
          <w:rFonts w:hint="cs"/>
          <w:sz w:val="27"/>
          <w:rtl/>
          <w:lang w:bidi="fa-IR"/>
        </w:rPr>
        <w:t>ُّ</w:t>
      </w:r>
      <w:r w:rsidRPr="00282AC9">
        <w:rPr>
          <w:sz w:val="27"/>
          <w:rtl/>
          <w:lang w:bidi="fa-IR"/>
        </w:rPr>
        <w:t>ن</w:t>
      </w:r>
      <w:r w:rsidRPr="00282AC9">
        <w:rPr>
          <w:rFonts w:hint="cs"/>
          <w:sz w:val="27"/>
          <w:rtl/>
          <w:lang w:bidi="fa-IR"/>
        </w:rPr>
        <w:t>ّ</w:t>
      </w:r>
      <w:r w:rsidR="00E55AF7" w:rsidRPr="00282AC9">
        <w:rPr>
          <w:rFonts w:hint="cs"/>
          <w:sz w:val="27"/>
          <w:rtl/>
          <w:lang w:bidi="fa-IR"/>
        </w:rPr>
        <w:t>َ</w:t>
      </w:r>
      <w:r w:rsidRPr="00282AC9">
        <w:rPr>
          <w:sz w:val="27"/>
          <w:rtl/>
          <w:lang w:bidi="fa-IR"/>
        </w:rPr>
        <w:t>ة</w:t>
      </w:r>
      <w:r w:rsidRPr="00282AC9">
        <w:rPr>
          <w:rFonts w:hint="eastAsia"/>
          <w:sz w:val="24"/>
          <w:szCs w:val="24"/>
          <w:rtl/>
        </w:rPr>
        <w:t>»</w:t>
      </w:r>
      <w:r w:rsidRPr="00282AC9">
        <w:rPr>
          <w:sz w:val="27"/>
          <w:rtl/>
          <w:lang w:bidi="fa-IR"/>
        </w:rPr>
        <w:t xml:space="preserve"> الأولى في الحديث بمعنى الس</w:t>
      </w:r>
      <w:r w:rsidR="00E55AF7" w:rsidRPr="00282AC9">
        <w:rPr>
          <w:rFonts w:hint="cs"/>
          <w:sz w:val="27"/>
          <w:rtl/>
          <w:lang w:bidi="fa-IR"/>
        </w:rPr>
        <w:t>ُّ</w:t>
      </w:r>
      <w:r w:rsidRPr="00282AC9">
        <w:rPr>
          <w:sz w:val="27"/>
          <w:rtl/>
          <w:lang w:bidi="fa-IR"/>
        </w:rPr>
        <w:t>ن</w:t>
      </w:r>
      <w:r w:rsidR="00E55AF7" w:rsidRPr="00282AC9">
        <w:rPr>
          <w:rFonts w:hint="cs"/>
          <w:sz w:val="27"/>
          <w:rtl/>
          <w:lang w:bidi="fa-IR"/>
        </w:rPr>
        <w:t>َّ</w:t>
      </w:r>
      <w:r w:rsidRPr="00282AC9">
        <w:rPr>
          <w:sz w:val="27"/>
          <w:rtl/>
          <w:lang w:bidi="fa-IR"/>
        </w:rPr>
        <w:t>ة النبوية</w:t>
      </w:r>
      <w:r w:rsidR="00E55AF7" w:rsidRPr="00282AC9">
        <w:rPr>
          <w:rFonts w:hint="cs"/>
          <w:sz w:val="27"/>
          <w:rtl/>
          <w:lang w:bidi="fa-IR"/>
        </w:rPr>
        <w:t>؛</w:t>
      </w:r>
      <w:r w:rsidRPr="00282AC9">
        <w:rPr>
          <w:rFonts w:hint="cs"/>
          <w:sz w:val="27"/>
          <w:rtl/>
          <w:lang w:bidi="fa-IR"/>
        </w:rPr>
        <w:t xml:space="preserve"> بقرينة مقابلتها للكتاب</w:t>
      </w:r>
      <w:r w:rsidR="00E55AF7" w:rsidRPr="00282AC9">
        <w:rPr>
          <w:rFonts w:hint="cs"/>
          <w:sz w:val="27"/>
          <w:rtl/>
          <w:lang w:bidi="fa-IR"/>
        </w:rPr>
        <w:t>؛</w:t>
      </w:r>
      <w:r w:rsidRPr="00282AC9">
        <w:rPr>
          <w:sz w:val="27"/>
          <w:rtl/>
          <w:lang w:bidi="fa-IR"/>
        </w:rPr>
        <w:t xml:space="preserve"> في مقابل </w:t>
      </w:r>
      <w:r w:rsidRPr="00282AC9">
        <w:rPr>
          <w:rFonts w:hint="eastAsia"/>
          <w:sz w:val="24"/>
          <w:szCs w:val="24"/>
          <w:rtl/>
          <w:lang w:bidi="fa-IR"/>
        </w:rPr>
        <w:t>«</w:t>
      </w:r>
      <w:r w:rsidRPr="00282AC9">
        <w:rPr>
          <w:sz w:val="27"/>
          <w:rtl/>
          <w:lang w:bidi="fa-IR"/>
        </w:rPr>
        <w:t>الس</w:t>
      </w:r>
      <w:r w:rsidR="0036663A" w:rsidRPr="00282AC9">
        <w:rPr>
          <w:rFonts w:hint="cs"/>
          <w:sz w:val="27"/>
          <w:rtl/>
          <w:lang w:bidi="fa-IR"/>
        </w:rPr>
        <w:t>ُّ</w:t>
      </w:r>
      <w:r w:rsidRPr="00282AC9">
        <w:rPr>
          <w:sz w:val="27"/>
          <w:rtl/>
          <w:lang w:bidi="fa-IR"/>
        </w:rPr>
        <w:t>ن</w:t>
      </w:r>
      <w:r w:rsidRPr="00282AC9">
        <w:rPr>
          <w:rFonts w:hint="cs"/>
          <w:sz w:val="27"/>
          <w:rtl/>
          <w:lang w:bidi="fa-IR"/>
        </w:rPr>
        <w:t>ّ</w:t>
      </w:r>
      <w:r w:rsidR="00E55AF7" w:rsidRPr="00282AC9">
        <w:rPr>
          <w:rFonts w:hint="cs"/>
          <w:sz w:val="27"/>
          <w:rtl/>
          <w:lang w:bidi="fa-IR"/>
        </w:rPr>
        <w:t>َ</w:t>
      </w:r>
      <w:r w:rsidRPr="00282AC9">
        <w:rPr>
          <w:sz w:val="27"/>
          <w:rtl/>
          <w:lang w:bidi="fa-IR"/>
        </w:rPr>
        <w:t>ة</w:t>
      </w:r>
      <w:r w:rsidRPr="00282AC9">
        <w:rPr>
          <w:rFonts w:hint="eastAsia"/>
          <w:sz w:val="24"/>
          <w:szCs w:val="24"/>
          <w:rtl/>
        </w:rPr>
        <w:t>»</w:t>
      </w:r>
      <w:r w:rsidRPr="00282AC9">
        <w:rPr>
          <w:sz w:val="27"/>
          <w:rtl/>
          <w:lang w:bidi="fa-IR"/>
        </w:rPr>
        <w:t xml:space="preserve"> الثانية</w:t>
      </w:r>
      <w:r w:rsidR="00E55AF7" w:rsidRPr="00282AC9">
        <w:rPr>
          <w:rFonts w:hint="cs"/>
          <w:sz w:val="27"/>
          <w:rtl/>
          <w:lang w:bidi="fa-IR"/>
        </w:rPr>
        <w:t>،</w:t>
      </w:r>
      <w:r w:rsidRPr="00282AC9">
        <w:rPr>
          <w:sz w:val="27"/>
          <w:rtl/>
          <w:lang w:bidi="fa-IR"/>
        </w:rPr>
        <w:t xml:space="preserve"> التي هي بالمعنى اللغوي</w:t>
      </w:r>
      <w:r w:rsidR="00E55AF7" w:rsidRPr="00282AC9">
        <w:rPr>
          <w:rFonts w:hint="cs"/>
          <w:sz w:val="27"/>
          <w:rtl/>
          <w:lang w:bidi="fa-IR"/>
        </w:rPr>
        <w:t>ّ،</w:t>
      </w:r>
      <w:r w:rsidRPr="00282AC9">
        <w:rPr>
          <w:sz w:val="27"/>
          <w:rtl/>
          <w:lang w:bidi="fa-IR"/>
        </w:rPr>
        <w:t xml:space="preserve"> يعني الطريقة.</w:t>
      </w:r>
      <w:r w:rsidRPr="00282AC9">
        <w:rPr>
          <w:rFonts w:hint="cs"/>
          <w:sz w:val="27"/>
          <w:rtl/>
          <w:lang w:bidi="fa-IR"/>
        </w:rPr>
        <w:t xml:space="preserve"> </w:t>
      </w:r>
    </w:p>
    <w:p w:rsidR="00464852" w:rsidRPr="00282AC9" w:rsidRDefault="00E55AF7" w:rsidP="00446290">
      <w:pPr>
        <w:spacing w:line="380" w:lineRule="exact"/>
        <w:rPr>
          <w:sz w:val="27"/>
          <w:rtl/>
          <w:lang w:bidi="fa-IR"/>
        </w:rPr>
      </w:pPr>
      <w:r w:rsidRPr="00282AC9">
        <w:rPr>
          <w:rFonts w:hint="cs"/>
          <w:sz w:val="27"/>
          <w:rtl/>
        </w:rPr>
        <w:t xml:space="preserve">6ـ </w:t>
      </w:r>
      <w:r w:rsidR="00464852" w:rsidRPr="00282AC9">
        <w:rPr>
          <w:sz w:val="27"/>
          <w:rtl/>
        </w:rPr>
        <w:t>ومن خطبة</w:t>
      </w:r>
      <w:r w:rsidRPr="00282AC9">
        <w:rPr>
          <w:rFonts w:hint="cs"/>
          <w:sz w:val="27"/>
          <w:rtl/>
        </w:rPr>
        <w:t>ٍ</w:t>
      </w:r>
      <w:r w:rsidR="00464852" w:rsidRPr="00282AC9">
        <w:rPr>
          <w:sz w:val="27"/>
          <w:rtl/>
        </w:rPr>
        <w:t xml:space="preserve"> لزيد بن علي</w:t>
      </w:r>
      <w:r w:rsidRPr="00282AC9">
        <w:rPr>
          <w:rFonts w:hint="cs"/>
          <w:sz w:val="27"/>
          <w:rtl/>
        </w:rPr>
        <w:t>ّ</w:t>
      </w:r>
      <w:r w:rsidR="00464852" w:rsidRPr="00282AC9">
        <w:rPr>
          <w:sz w:val="27"/>
          <w:rtl/>
        </w:rPr>
        <w:t xml:space="preserve"> بن الحسين</w:t>
      </w:r>
      <w:r w:rsidR="00464852" w:rsidRPr="00282AC9">
        <w:rPr>
          <w:rFonts w:hint="cs"/>
          <w:sz w:val="27"/>
          <w:rtl/>
        </w:rPr>
        <w:t xml:space="preserve"> رضي </w:t>
      </w:r>
      <w:r w:rsidR="00464852" w:rsidRPr="00282AC9">
        <w:rPr>
          <w:sz w:val="27"/>
          <w:rtl/>
        </w:rPr>
        <w:softHyphen/>
      </w:r>
      <w:r w:rsidR="00464852" w:rsidRPr="00282AC9">
        <w:rPr>
          <w:rFonts w:hint="cs"/>
          <w:sz w:val="27"/>
          <w:rtl/>
        </w:rPr>
        <w:t>الله</w:t>
      </w:r>
      <w:r w:rsidR="00464852" w:rsidRPr="00282AC9">
        <w:rPr>
          <w:sz w:val="27"/>
          <w:rtl/>
        </w:rPr>
        <w:softHyphen/>
      </w:r>
      <w:r w:rsidR="00464852" w:rsidRPr="00282AC9">
        <w:rPr>
          <w:rFonts w:hint="cs"/>
          <w:sz w:val="27"/>
          <w:rtl/>
        </w:rPr>
        <w:t xml:space="preserve"> عنه</w:t>
      </w:r>
      <w:r w:rsidR="00464852" w:rsidRPr="00282AC9">
        <w:rPr>
          <w:sz w:val="27"/>
          <w:rtl/>
        </w:rPr>
        <w:t xml:space="preserve">: </w:t>
      </w:r>
      <w:r w:rsidR="00464852" w:rsidRPr="00282AC9">
        <w:rPr>
          <w:rFonts w:hint="eastAsia"/>
          <w:sz w:val="24"/>
          <w:szCs w:val="24"/>
          <w:rtl/>
          <w:lang w:bidi="fa-IR"/>
        </w:rPr>
        <w:t>«</w:t>
      </w:r>
      <w:r w:rsidR="00464852" w:rsidRPr="00282AC9">
        <w:rPr>
          <w:sz w:val="27"/>
          <w:rtl/>
          <w:lang w:bidi="fa-IR"/>
        </w:rPr>
        <w:t xml:space="preserve">ولا تأخذوا </w:t>
      </w:r>
      <w:r w:rsidRPr="00282AC9">
        <w:rPr>
          <w:rFonts w:hint="cs"/>
          <w:sz w:val="27"/>
          <w:rtl/>
          <w:lang w:bidi="fa-IR"/>
        </w:rPr>
        <w:t>سُنَّة</w:t>
      </w:r>
      <w:r w:rsidR="00464852" w:rsidRPr="00282AC9">
        <w:rPr>
          <w:sz w:val="27"/>
          <w:rtl/>
          <w:lang w:bidi="fa-IR"/>
        </w:rPr>
        <w:t xml:space="preserve"> بني‏ إسرائيل</w:t>
      </w:r>
      <w:r w:rsidRPr="00282AC9">
        <w:rPr>
          <w:rFonts w:hint="cs"/>
          <w:sz w:val="27"/>
          <w:rtl/>
          <w:lang w:bidi="fa-IR"/>
        </w:rPr>
        <w:t>،</w:t>
      </w:r>
      <w:r w:rsidR="00464852" w:rsidRPr="00282AC9">
        <w:rPr>
          <w:sz w:val="27"/>
          <w:rtl/>
          <w:lang w:bidi="fa-IR"/>
        </w:rPr>
        <w:t>‏ كذ</w:t>
      </w:r>
      <w:r w:rsidRPr="00282AC9">
        <w:rPr>
          <w:rFonts w:hint="cs"/>
          <w:sz w:val="27"/>
          <w:rtl/>
          <w:lang w:bidi="fa-IR"/>
        </w:rPr>
        <w:t>َّ</w:t>
      </w:r>
      <w:r w:rsidR="00464852" w:rsidRPr="00282AC9">
        <w:rPr>
          <w:sz w:val="27"/>
          <w:rtl/>
          <w:lang w:bidi="fa-IR"/>
        </w:rPr>
        <w:t>بوا أنبياءهم</w:t>
      </w:r>
      <w:r w:rsidRPr="00282AC9">
        <w:rPr>
          <w:rFonts w:hint="cs"/>
          <w:sz w:val="27"/>
          <w:rtl/>
          <w:lang w:bidi="fa-IR"/>
        </w:rPr>
        <w:t>،</w:t>
      </w:r>
      <w:r w:rsidRPr="00282AC9">
        <w:rPr>
          <w:sz w:val="27"/>
          <w:rtl/>
          <w:lang w:bidi="fa-IR"/>
        </w:rPr>
        <w:t xml:space="preserve"> و</w:t>
      </w:r>
      <w:r w:rsidR="00464852" w:rsidRPr="00282AC9">
        <w:rPr>
          <w:sz w:val="27"/>
          <w:rtl/>
          <w:lang w:bidi="fa-IR"/>
        </w:rPr>
        <w:t>قتلوا أهل بيت نبي</w:t>
      </w:r>
      <w:r w:rsidRPr="00282AC9">
        <w:rPr>
          <w:rFonts w:hint="cs"/>
          <w:sz w:val="27"/>
          <w:rtl/>
          <w:lang w:bidi="fa-IR"/>
        </w:rPr>
        <w:t>ِّ</w:t>
      </w:r>
      <w:r w:rsidR="00464852" w:rsidRPr="00282AC9">
        <w:rPr>
          <w:sz w:val="27"/>
          <w:rtl/>
          <w:lang w:bidi="fa-IR"/>
        </w:rPr>
        <w:t>هم</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90"/>
      </w:r>
      <w:r w:rsidR="00464852" w:rsidRPr="00282AC9">
        <w:rPr>
          <w:sz w:val="27"/>
          <w:vertAlign w:val="superscript"/>
          <w:rtl/>
          <w:lang w:bidi="fa-IR"/>
        </w:rPr>
        <w:t>)</w:t>
      </w:r>
      <w:r w:rsidR="00464852" w:rsidRPr="00282AC9">
        <w:rPr>
          <w:sz w:val="27"/>
          <w:rtl/>
          <w:lang w:bidi="fa-IR"/>
        </w:rPr>
        <w:t>.</w:t>
      </w:r>
    </w:p>
    <w:p w:rsidR="00464852" w:rsidRPr="00282AC9" w:rsidRDefault="00E55AF7" w:rsidP="00446290">
      <w:pPr>
        <w:spacing w:line="380" w:lineRule="exact"/>
        <w:rPr>
          <w:sz w:val="27"/>
          <w:rtl/>
          <w:lang w:bidi="fa-IR"/>
        </w:rPr>
      </w:pPr>
      <w:r w:rsidRPr="00282AC9">
        <w:rPr>
          <w:rFonts w:hint="cs"/>
          <w:sz w:val="27"/>
          <w:rtl/>
        </w:rPr>
        <w:t xml:space="preserve">7ـ </w:t>
      </w:r>
      <w:r w:rsidR="00464852" w:rsidRPr="00282AC9">
        <w:rPr>
          <w:sz w:val="27"/>
          <w:rtl/>
        </w:rPr>
        <w:t>ومن كلام</w:t>
      </w:r>
      <w:r w:rsidRPr="00282AC9">
        <w:rPr>
          <w:rFonts w:hint="cs"/>
          <w:sz w:val="27"/>
          <w:rtl/>
        </w:rPr>
        <w:t>ٍ</w:t>
      </w:r>
      <w:r w:rsidR="00464852" w:rsidRPr="00282AC9">
        <w:rPr>
          <w:sz w:val="27"/>
          <w:rtl/>
        </w:rPr>
        <w:t xml:space="preserve"> لزرارة بن أعين</w:t>
      </w:r>
      <w:r w:rsidRPr="00282AC9">
        <w:rPr>
          <w:rFonts w:hint="cs"/>
          <w:sz w:val="27"/>
          <w:rtl/>
        </w:rPr>
        <w:t>،</w:t>
      </w:r>
      <w:r w:rsidR="00464852" w:rsidRPr="00282AC9">
        <w:rPr>
          <w:sz w:val="27"/>
          <w:rtl/>
        </w:rPr>
        <w:t xml:space="preserve"> من أصحاب الصادق</w:t>
      </w:r>
      <w:r w:rsidR="009A2A04" w:rsidRPr="00282AC9">
        <w:rPr>
          <w:rFonts w:cs="Mosawi"/>
          <w:sz w:val="22"/>
          <w:szCs w:val="22"/>
          <w:rtl/>
        </w:rPr>
        <w:t>×</w:t>
      </w:r>
      <w:r w:rsidR="00464852" w:rsidRPr="00282AC9">
        <w:rPr>
          <w:sz w:val="27"/>
          <w:rtl/>
        </w:rPr>
        <w:t xml:space="preserve">: </w:t>
      </w:r>
      <w:r w:rsidR="00464852" w:rsidRPr="00282AC9">
        <w:rPr>
          <w:rFonts w:hint="eastAsia"/>
          <w:sz w:val="24"/>
          <w:szCs w:val="24"/>
          <w:rtl/>
          <w:lang w:bidi="fa-IR"/>
        </w:rPr>
        <w:t>«</w:t>
      </w:r>
      <w:r w:rsidR="00464852" w:rsidRPr="00282AC9">
        <w:rPr>
          <w:rFonts w:hint="cs"/>
          <w:sz w:val="27"/>
          <w:rtl/>
          <w:lang w:bidi="fa-IR"/>
        </w:rPr>
        <w:t>سُنَّة</w:t>
      </w:r>
      <w:r w:rsidR="00464852" w:rsidRPr="00282AC9">
        <w:rPr>
          <w:sz w:val="27"/>
          <w:rtl/>
          <w:lang w:bidi="fa-IR"/>
        </w:rPr>
        <w:t xml:space="preserve"> الله و</w:t>
      </w:r>
      <w:r w:rsidR="00464852" w:rsidRPr="00282AC9">
        <w:rPr>
          <w:rFonts w:hint="cs"/>
          <w:sz w:val="27"/>
          <w:rtl/>
          <w:lang w:bidi="fa-IR"/>
        </w:rPr>
        <w:t xml:space="preserve">سُنَّة </w:t>
      </w:r>
      <w:r w:rsidR="00464852" w:rsidRPr="00282AC9">
        <w:rPr>
          <w:sz w:val="27"/>
          <w:rtl/>
          <w:lang w:bidi="fa-IR"/>
        </w:rPr>
        <w:t xml:space="preserve">رسوله أو </w:t>
      </w:r>
      <w:r w:rsidR="00464852" w:rsidRPr="00282AC9">
        <w:rPr>
          <w:rFonts w:hint="cs"/>
          <w:sz w:val="27"/>
          <w:rtl/>
          <w:lang w:bidi="fa-IR"/>
        </w:rPr>
        <w:t xml:space="preserve">سُنَّة </w:t>
      </w:r>
      <w:r w:rsidRPr="00282AC9">
        <w:rPr>
          <w:sz w:val="27"/>
          <w:rtl/>
          <w:lang w:bidi="fa-IR"/>
        </w:rPr>
        <w:t>الشيطان‏ و</w:t>
      </w:r>
      <w:r w:rsidR="00464852" w:rsidRPr="00282AC9">
        <w:rPr>
          <w:sz w:val="27"/>
          <w:rtl/>
          <w:lang w:bidi="fa-IR"/>
        </w:rPr>
        <w:t>أوليائه؟</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91"/>
      </w:r>
      <w:r w:rsidR="00464852" w:rsidRPr="00282AC9">
        <w:rPr>
          <w:sz w:val="27"/>
          <w:vertAlign w:val="superscript"/>
          <w:rtl/>
        </w:rPr>
        <w:t>)</w:t>
      </w:r>
      <w:r w:rsidRPr="00282AC9">
        <w:rPr>
          <w:rFonts w:hint="cs"/>
          <w:sz w:val="27"/>
          <w:rtl/>
        </w:rPr>
        <w:t>.</w:t>
      </w:r>
    </w:p>
    <w:p w:rsidR="00464852" w:rsidRPr="00282AC9" w:rsidRDefault="00E55AF7" w:rsidP="00407A45">
      <w:pPr>
        <w:spacing w:line="386" w:lineRule="exact"/>
        <w:rPr>
          <w:sz w:val="27"/>
        </w:rPr>
      </w:pPr>
      <w:r w:rsidRPr="00282AC9">
        <w:rPr>
          <w:rFonts w:hint="cs"/>
          <w:sz w:val="27"/>
          <w:rtl/>
        </w:rPr>
        <w:t xml:space="preserve">8ـ </w:t>
      </w:r>
      <w:r w:rsidR="00464852" w:rsidRPr="00282AC9">
        <w:rPr>
          <w:sz w:val="27"/>
          <w:rtl/>
        </w:rPr>
        <w:t xml:space="preserve">في كتاب مروان بن محمد </w:t>
      </w:r>
      <w:r w:rsidR="00464852" w:rsidRPr="00282AC9">
        <w:rPr>
          <w:rFonts w:hint="cs"/>
          <w:sz w:val="27"/>
          <w:rtl/>
        </w:rPr>
        <w:t>(ال</w:t>
      </w:r>
      <w:r w:rsidR="00464852" w:rsidRPr="00282AC9">
        <w:rPr>
          <w:sz w:val="27"/>
          <w:rtl/>
        </w:rPr>
        <w:t xml:space="preserve">خليفة </w:t>
      </w:r>
      <w:r w:rsidR="00464852" w:rsidRPr="00282AC9">
        <w:rPr>
          <w:rFonts w:hint="cs"/>
          <w:sz w:val="27"/>
          <w:rtl/>
        </w:rPr>
        <w:t>ال</w:t>
      </w:r>
      <w:r w:rsidR="00464852" w:rsidRPr="00282AC9">
        <w:rPr>
          <w:sz w:val="27"/>
          <w:rtl/>
        </w:rPr>
        <w:t>أموي</w:t>
      </w:r>
      <w:r w:rsidRPr="00282AC9">
        <w:rPr>
          <w:rFonts w:hint="cs"/>
          <w:sz w:val="27"/>
          <w:rtl/>
        </w:rPr>
        <w:t>ّ</w:t>
      </w:r>
      <w:r w:rsidR="00464852" w:rsidRPr="00282AC9">
        <w:rPr>
          <w:sz w:val="27"/>
          <w:rtl/>
        </w:rPr>
        <w:t xml:space="preserve"> </w:t>
      </w:r>
      <w:r w:rsidR="00464852" w:rsidRPr="00282AC9">
        <w:rPr>
          <w:rFonts w:hint="cs"/>
          <w:sz w:val="27"/>
          <w:rtl/>
        </w:rPr>
        <w:t xml:space="preserve">الأخير) </w:t>
      </w:r>
      <w:r w:rsidR="00464852" w:rsidRPr="00282AC9">
        <w:rPr>
          <w:sz w:val="27"/>
          <w:rtl/>
        </w:rPr>
        <w:t xml:space="preserve">إلى بعضهم: </w:t>
      </w:r>
      <w:r w:rsidR="00464852" w:rsidRPr="00282AC9">
        <w:rPr>
          <w:rFonts w:hint="eastAsia"/>
          <w:sz w:val="24"/>
          <w:szCs w:val="24"/>
          <w:rtl/>
          <w:lang w:bidi="fa-IR"/>
        </w:rPr>
        <w:t>«</w:t>
      </w:r>
      <w:r w:rsidR="00464852" w:rsidRPr="00282AC9">
        <w:rPr>
          <w:sz w:val="27"/>
          <w:rtl/>
          <w:lang w:bidi="fa-IR"/>
        </w:rPr>
        <w:t>وقد بلغن</w:t>
      </w:r>
      <w:r w:rsidRPr="00282AC9">
        <w:rPr>
          <w:rFonts w:hint="cs"/>
          <w:sz w:val="27"/>
          <w:rtl/>
          <w:lang w:bidi="fa-IR"/>
        </w:rPr>
        <w:t>ي</w:t>
      </w:r>
      <w:r w:rsidR="00464852" w:rsidRPr="00282AC9">
        <w:rPr>
          <w:sz w:val="27"/>
          <w:rtl/>
          <w:lang w:bidi="fa-IR"/>
        </w:rPr>
        <w:t xml:space="preserve"> أن قوماً من سفهاء أهل بيتك قد استنّ</w:t>
      </w:r>
      <w:r w:rsidRPr="00282AC9">
        <w:rPr>
          <w:rFonts w:hint="cs"/>
          <w:sz w:val="27"/>
          <w:rtl/>
          <w:lang w:bidi="fa-IR"/>
        </w:rPr>
        <w:t>ُ</w:t>
      </w:r>
      <w:r w:rsidR="00464852" w:rsidRPr="00282AC9">
        <w:rPr>
          <w:sz w:val="27"/>
          <w:rtl/>
          <w:lang w:bidi="fa-IR"/>
        </w:rPr>
        <w:t>وا أمرا</w:t>
      </w:r>
      <w:r w:rsidRPr="00282AC9">
        <w:rPr>
          <w:rFonts w:hint="cs"/>
          <w:sz w:val="27"/>
          <w:rtl/>
          <w:lang w:bidi="fa-IR"/>
        </w:rPr>
        <w:t>ً،</w:t>
      </w:r>
      <w:r w:rsidR="00464852" w:rsidRPr="00282AC9">
        <w:rPr>
          <w:sz w:val="27"/>
          <w:rtl/>
          <w:lang w:bidi="fa-IR"/>
        </w:rPr>
        <w:t xml:space="preserve"> إن</w:t>
      </w:r>
      <w:r w:rsidRPr="00282AC9">
        <w:rPr>
          <w:rFonts w:hint="cs"/>
          <w:sz w:val="27"/>
          <w:rtl/>
          <w:lang w:bidi="fa-IR"/>
        </w:rPr>
        <w:t>ْ</w:t>
      </w:r>
      <w:r w:rsidR="00464852" w:rsidRPr="00282AC9">
        <w:rPr>
          <w:sz w:val="27"/>
          <w:rtl/>
          <w:lang w:bidi="fa-IR"/>
        </w:rPr>
        <w:t xml:space="preserve"> تمّ</w:t>
      </w:r>
      <w:r w:rsidRPr="00282AC9">
        <w:rPr>
          <w:rFonts w:hint="cs"/>
          <w:sz w:val="27"/>
          <w:rtl/>
          <w:lang w:bidi="fa-IR"/>
        </w:rPr>
        <w:t>َ</w:t>
      </w:r>
      <w:r w:rsidR="00464852" w:rsidRPr="00282AC9">
        <w:rPr>
          <w:sz w:val="27"/>
          <w:rtl/>
          <w:lang w:bidi="fa-IR"/>
        </w:rPr>
        <w:t>ت</w:t>
      </w:r>
      <w:r w:rsidRPr="00282AC9">
        <w:rPr>
          <w:rFonts w:hint="cs"/>
          <w:sz w:val="27"/>
          <w:rtl/>
          <w:lang w:bidi="fa-IR"/>
        </w:rPr>
        <w:t>ْ</w:t>
      </w:r>
      <w:r w:rsidR="00464852" w:rsidRPr="00282AC9">
        <w:rPr>
          <w:sz w:val="27"/>
          <w:rtl/>
          <w:lang w:bidi="fa-IR"/>
        </w:rPr>
        <w:t xml:space="preserve"> لهم رويّتهم فيه على ما أجمعوا عليه من نقض بيعتهم استفتحوا بابا</w:t>
      </w:r>
      <w:r w:rsidRPr="00282AC9">
        <w:rPr>
          <w:rFonts w:hint="cs"/>
          <w:sz w:val="27"/>
          <w:rtl/>
          <w:lang w:bidi="fa-IR"/>
        </w:rPr>
        <w:t>ً</w:t>
      </w:r>
      <w:r w:rsidR="00464852" w:rsidRPr="00282AC9">
        <w:rPr>
          <w:sz w:val="27"/>
          <w:rtl/>
          <w:lang w:bidi="fa-IR"/>
        </w:rPr>
        <w:t xml:space="preserve"> لن يغلقه الله عنهم</w:t>
      </w:r>
      <w:r w:rsidRPr="00282AC9">
        <w:rPr>
          <w:rFonts w:hint="cs"/>
          <w:sz w:val="27"/>
          <w:rtl/>
          <w:lang w:bidi="fa-IR"/>
        </w:rPr>
        <w:t>،</w:t>
      </w:r>
      <w:r w:rsidR="00464852" w:rsidRPr="00282AC9">
        <w:rPr>
          <w:sz w:val="27"/>
          <w:rtl/>
          <w:lang w:bidi="fa-IR"/>
        </w:rPr>
        <w:t xml:space="preserve"> حت</w:t>
      </w:r>
      <w:r w:rsidRPr="00282AC9">
        <w:rPr>
          <w:rFonts w:hint="cs"/>
          <w:sz w:val="27"/>
          <w:rtl/>
          <w:lang w:bidi="fa-IR"/>
        </w:rPr>
        <w:t>ّ</w:t>
      </w:r>
      <w:r w:rsidR="00464852" w:rsidRPr="00282AC9">
        <w:rPr>
          <w:sz w:val="27"/>
          <w:rtl/>
          <w:lang w:bidi="fa-IR"/>
        </w:rPr>
        <w:t>ى تسفك دماء</w:t>
      </w:r>
      <w:r w:rsidRPr="00282AC9">
        <w:rPr>
          <w:rFonts w:hint="cs"/>
          <w:sz w:val="27"/>
          <w:rtl/>
          <w:lang w:bidi="fa-IR"/>
        </w:rPr>
        <w:t>ٌ</w:t>
      </w:r>
      <w:r w:rsidR="00464852" w:rsidRPr="00282AC9">
        <w:rPr>
          <w:sz w:val="27"/>
          <w:rtl/>
          <w:lang w:bidi="fa-IR"/>
        </w:rPr>
        <w:t xml:space="preserve"> كثير</w:t>
      </w:r>
      <w:r w:rsidRPr="00282AC9">
        <w:rPr>
          <w:rFonts w:hint="cs"/>
          <w:sz w:val="27"/>
          <w:rtl/>
          <w:lang w:bidi="fa-IR"/>
        </w:rPr>
        <w:t>ة</w:t>
      </w:r>
      <w:r w:rsidR="00464852" w:rsidRPr="00282AC9">
        <w:rPr>
          <w:sz w:val="27"/>
          <w:rtl/>
          <w:lang w:bidi="fa-IR"/>
        </w:rPr>
        <w:t xml:space="preserve"> منهم</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92"/>
      </w:r>
      <w:r w:rsidR="00464852" w:rsidRPr="00282AC9">
        <w:rPr>
          <w:sz w:val="27"/>
          <w:vertAlign w:val="superscript"/>
          <w:rtl/>
          <w:lang w:bidi="fa-IR"/>
        </w:rPr>
        <w:t>)</w:t>
      </w:r>
      <w:r w:rsidR="00464852" w:rsidRPr="00282AC9">
        <w:rPr>
          <w:sz w:val="27"/>
          <w:rtl/>
          <w:lang w:bidi="fa-IR"/>
        </w:rPr>
        <w:t>.</w:t>
      </w:r>
    </w:p>
    <w:p w:rsidR="00464852" w:rsidRPr="00282AC9" w:rsidRDefault="00E55AF7" w:rsidP="00407A45">
      <w:pPr>
        <w:spacing w:line="386" w:lineRule="exact"/>
        <w:rPr>
          <w:sz w:val="27"/>
          <w:rtl/>
          <w:lang w:bidi="fa-IR"/>
        </w:rPr>
      </w:pPr>
      <w:r w:rsidRPr="00282AC9">
        <w:rPr>
          <w:rFonts w:hint="cs"/>
          <w:sz w:val="27"/>
          <w:rtl/>
        </w:rPr>
        <w:lastRenderedPageBreak/>
        <w:t xml:space="preserve">9ـ </w:t>
      </w:r>
      <w:r w:rsidR="00464852" w:rsidRPr="00282AC9">
        <w:rPr>
          <w:sz w:val="27"/>
          <w:rtl/>
        </w:rPr>
        <w:t>ومن خطبة</w:t>
      </w:r>
      <w:r w:rsidR="00464852" w:rsidRPr="00282AC9">
        <w:rPr>
          <w:rFonts w:hint="cs"/>
          <w:sz w:val="27"/>
          <w:rtl/>
        </w:rPr>
        <w:t>ٍ</w:t>
      </w:r>
      <w:r w:rsidR="00464852" w:rsidRPr="00282AC9">
        <w:rPr>
          <w:sz w:val="27"/>
          <w:rtl/>
        </w:rPr>
        <w:t xml:space="preserve"> </w:t>
      </w:r>
      <w:r w:rsidRPr="00282AC9">
        <w:rPr>
          <w:rFonts w:hint="cs"/>
          <w:sz w:val="27"/>
          <w:rtl/>
        </w:rPr>
        <w:t>لأحد</w:t>
      </w:r>
      <w:r w:rsidR="00464852" w:rsidRPr="00282AC9">
        <w:rPr>
          <w:sz w:val="27"/>
          <w:rtl/>
        </w:rPr>
        <w:t xml:space="preserve"> خطباء مك</w:t>
      </w:r>
      <w:r w:rsidRPr="00282AC9">
        <w:rPr>
          <w:rFonts w:hint="cs"/>
          <w:sz w:val="27"/>
          <w:rtl/>
        </w:rPr>
        <w:t>ّ</w:t>
      </w:r>
      <w:r w:rsidR="00464852" w:rsidRPr="00282AC9">
        <w:rPr>
          <w:sz w:val="27"/>
          <w:rtl/>
        </w:rPr>
        <w:t>ة الحاذقين</w:t>
      </w:r>
      <w:r w:rsidR="00464852" w:rsidRPr="00282AC9">
        <w:rPr>
          <w:sz w:val="27"/>
          <w:vertAlign w:val="superscript"/>
          <w:rtl/>
        </w:rPr>
        <w:t>(</w:t>
      </w:r>
      <w:r w:rsidR="00464852" w:rsidRPr="00282AC9">
        <w:rPr>
          <w:rStyle w:val="af9"/>
          <w:sz w:val="27"/>
          <w:rtl/>
        </w:rPr>
        <w:endnoteReference w:id="593"/>
      </w:r>
      <w:r w:rsidR="00464852" w:rsidRPr="00282AC9">
        <w:rPr>
          <w:sz w:val="27"/>
          <w:vertAlign w:val="superscript"/>
          <w:rtl/>
        </w:rPr>
        <w:t>)</w:t>
      </w:r>
      <w:r w:rsidRPr="00282AC9">
        <w:rPr>
          <w:rFonts w:hint="cs"/>
          <w:sz w:val="27"/>
          <w:rtl/>
        </w:rPr>
        <w:t>،</w:t>
      </w:r>
      <w:r w:rsidR="00464852" w:rsidRPr="00282AC9">
        <w:rPr>
          <w:sz w:val="27"/>
          <w:rtl/>
        </w:rPr>
        <w:t xml:space="preserve"> في أواخر عصر بني أمي</w:t>
      </w:r>
      <w:r w:rsidRPr="00282AC9">
        <w:rPr>
          <w:rFonts w:hint="cs"/>
          <w:sz w:val="27"/>
          <w:rtl/>
        </w:rPr>
        <w:t>ّ</w:t>
      </w:r>
      <w:r w:rsidR="00464852" w:rsidRPr="00282AC9">
        <w:rPr>
          <w:sz w:val="27"/>
          <w:rtl/>
        </w:rPr>
        <w:t xml:space="preserve">ة: </w:t>
      </w:r>
      <w:r w:rsidR="00464852" w:rsidRPr="00282AC9">
        <w:rPr>
          <w:rFonts w:hint="eastAsia"/>
          <w:sz w:val="24"/>
          <w:szCs w:val="24"/>
          <w:rtl/>
          <w:lang w:bidi="fa-IR"/>
        </w:rPr>
        <w:t>«</w:t>
      </w:r>
      <w:r w:rsidR="00464852" w:rsidRPr="00282AC9">
        <w:rPr>
          <w:sz w:val="27"/>
          <w:rtl/>
          <w:lang w:bidi="fa-IR"/>
        </w:rPr>
        <w:t>لشتّان بين‏ م</w:t>
      </w:r>
      <w:r w:rsidRPr="00282AC9">
        <w:rPr>
          <w:rFonts w:hint="cs"/>
          <w:sz w:val="27"/>
          <w:rtl/>
          <w:lang w:bidi="fa-IR"/>
        </w:rPr>
        <w:t>َ</w:t>
      </w:r>
      <w:r w:rsidR="00464852" w:rsidRPr="00282AC9">
        <w:rPr>
          <w:sz w:val="27"/>
          <w:rtl/>
          <w:lang w:bidi="fa-IR"/>
        </w:rPr>
        <w:t>ن</w:t>
      </w:r>
      <w:r w:rsidRPr="00282AC9">
        <w:rPr>
          <w:rFonts w:hint="cs"/>
          <w:sz w:val="27"/>
          <w:rtl/>
          <w:lang w:bidi="fa-IR"/>
        </w:rPr>
        <w:t>ْ</w:t>
      </w:r>
      <w:r w:rsidR="00464852" w:rsidRPr="00282AC9">
        <w:rPr>
          <w:sz w:val="27"/>
          <w:rtl/>
          <w:lang w:bidi="fa-IR"/>
        </w:rPr>
        <w:t xml:space="preserve"> يدعوكم‏ إلى الرحمن وبيعة القرآن، وبين م</w:t>
      </w:r>
      <w:r w:rsidR="00677A6E" w:rsidRPr="00282AC9">
        <w:rPr>
          <w:rFonts w:hint="cs"/>
          <w:sz w:val="27"/>
          <w:rtl/>
          <w:lang w:bidi="fa-IR"/>
        </w:rPr>
        <w:t>َ</w:t>
      </w:r>
      <w:r w:rsidR="00464852" w:rsidRPr="00282AC9">
        <w:rPr>
          <w:sz w:val="27"/>
          <w:rtl/>
          <w:lang w:bidi="fa-IR"/>
        </w:rPr>
        <w:t>ن</w:t>
      </w:r>
      <w:r w:rsidR="00677A6E" w:rsidRPr="00282AC9">
        <w:rPr>
          <w:rFonts w:hint="cs"/>
          <w:sz w:val="27"/>
          <w:rtl/>
          <w:lang w:bidi="fa-IR"/>
        </w:rPr>
        <w:t>ْ</w:t>
      </w:r>
      <w:r w:rsidR="00464852" w:rsidRPr="00282AC9">
        <w:rPr>
          <w:sz w:val="27"/>
          <w:rtl/>
          <w:lang w:bidi="fa-IR"/>
        </w:rPr>
        <w:t xml:space="preserve"> يدعو إلى س</w:t>
      </w:r>
      <w:r w:rsidR="00464852" w:rsidRPr="00282AC9">
        <w:rPr>
          <w:rFonts w:hint="cs"/>
          <w:sz w:val="27"/>
          <w:rtl/>
          <w:lang w:bidi="fa-IR"/>
        </w:rPr>
        <w:t>ُ</w:t>
      </w:r>
      <w:r w:rsidR="00464852" w:rsidRPr="00282AC9">
        <w:rPr>
          <w:sz w:val="27"/>
          <w:rtl/>
          <w:lang w:bidi="fa-IR"/>
        </w:rPr>
        <w:t>نّ</w:t>
      </w:r>
      <w:r w:rsidR="00464852" w:rsidRPr="00282AC9">
        <w:rPr>
          <w:rFonts w:hint="cs"/>
          <w:sz w:val="27"/>
          <w:rtl/>
          <w:lang w:bidi="fa-IR"/>
        </w:rPr>
        <w:t>َ</w:t>
      </w:r>
      <w:r w:rsidR="00464852" w:rsidRPr="00282AC9">
        <w:rPr>
          <w:sz w:val="27"/>
          <w:rtl/>
          <w:lang w:bidi="fa-IR"/>
        </w:rPr>
        <w:t>ة الشيطان‏ وبيعة مروان</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94"/>
      </w:r>
      <w:r w:rsidR="00464852" w:rsidRPr="00282AC9">
        <w:rPr>
          <w:sz w:val="27"/>
          <w:vertAlign w:val="superscript"/>
          <w:rtl/>
          <w:lang w:bidi="fa-IR"/>
        </w:rPr>
        <w:t>)</w:t>
      </w:r>
      <w:r w:rsidR="00464852" w:rsidRPr="00282AC9">
        <w:rPr>
          <w:sz w:val="27"/>
          <w:rtl/>
          <w:lang w:bidi="fa-IR"/>
        </w:rPr>
        <w:t>.</w:t>
      </w:r>
    </w:p>
    <w:p w:rsidR="00464852" w:rsidRPr="00282AC9" w:rsidRDefault="00677A6E" w:rsidP="00407A45">
      <w:pPr>
        <w:spacing w:line="386" w:lineRule="exact"/>
        <w:rPr>
          <w:sz w:val="27"/>
          <w:rtl/>
          <w:lang w:bidi="fa-IR"/>
        </w:rPr>
      </w:pPr>
      <w:r w:rsidRPr="00282AC9">
        <w:rPr>
          <w:rFonts w:hint="cs"/>
          <w:sz w:val="27"/>
          <w:rtl/>
        </w:rPr>
        <w:t xml:space="preserve">10ـ </w:t>
      </w:r>
      <w:r w:rsidR="00464852" w:rsidRPr="00282AC9">
        <w:rPr>
          <w:sz w:val="27"/>
          <w:rtl/>
        </w:rPr>
        <w:t>ومن خطبة</w:t>
      </w:r>
      <w:r w:rsidR="00464852" w:rsidRPr="00282AC9">
        <w:rPr>
          <w:rFonts w:hint="cs"/>
          <w:sz w:val="27"/>
          <w:rtl/>
        </w:rPr>
        <w:t>ٍ</w:t>
      </w:r>
      <w:r w:rsidR="00464852" w:rsidRPr="00282AC9">
        <w:rPr>
          <w:sz w:val="27"/>
          <w:rtl/>
        </w:rPr>
        <w:t xml:space="preserve"> ل</w:t>
      </w:r>
      <w:r w:rsidRPr="00282AC9">
        <w:rPr>
          <w:rFonts w:hint="cs"/>
          <w:sz w:val="27"/>
          <w:rtl/>
        </w:rPr>
        <w:t>ل</w:t>
      </w:r>
      <w:r w:rsidR="00464852" w:rsidRPr="00282AC9">
        <w:rPr>
          <w:sz w:val="27"/>
          <w:rtl/>
        </w:rPr>
        <w:t>سفّاح</w:t>
      </w:r>
      <w:r w:rsidRPr="00282AC9">
        <w:rPr>
          <w:rFonts w:hint="cs"/>
          <w:sz w:val="27"/>
          <w:rtl/>
        </w:rPr>
        <w:t>،</w:t>
      </w:r>
      <w:r w:rsidR="00464852" w:rsidRPr="00282AC9">
        <w:rPr>
          <w:sz w:val="27"/>
          <w:rtl/>
        </w:rPr>
        <w:t xml:space="preserve"> </w:t>
      </w:r>
      <w:r w:rsidR="00464852" w:rsidRPr="00282AC9">
        <w:rPr>
          <w:rFonts w:hint="cs"/>
          <w:sz w:val="27"/>
          <w:rtl/>
        </w:rPr>
        <w:t>ال</w:t>
      </w:r>
      <w:r w:rsidR="00464852" w:rsidRPr="00282AC9">
        <w:rPr>
          <w:sz w:val="27"/>
          <w:rtl/>
        </w:rPr>
        <w:t xml:space="preserve">خليفة </w:t>
      </w:r>
      <w:r w:rsidR="00464852" w:rsidRPr="00282AC9">
        <w:rPr>
          <w:rFonts w:hint="cs"/>
          <w:sz w:val="27"/>
          <w:rtl/>
        </w:rPr>
        <w:t>ال</w:t>
      </w:r>
      <w:r w:rsidR="00464852" w:rsidRPr="00282AC9">
        <w:rPr>
          <w:sz w:val="27"/>
          <w:rtl/>
        </w:rPr>
        <w:t>عب</w:t>
      </w:r>
      <w:r w:rsidRPr="00282AC9">
        <w:rPr>
          <w:rFonts w:hint="cs"/>
          <w:sz w:val="27"/>
          <w:rtl/>
        </w:rPr>
        <w:t>ّ</w:t>
      </w:r>
      <w:r w:rsidR="00464852" w:rsidRPr="00282AC9">
        <w:rPr>
          <w:sz w:val="27"/>
          <w:rtl/>
        </w:rPr>
        <w:t>اسي</w:t>
      </w:r>
      <w:r w:rsidRPr="00282AC9">
        <w:rPr>
          <w:rFonts w:hint="cs"/>
          <w:sz w:val="27"/>
          <w:rtl/>
        </w:rPr>
        <w:t>ّ</w:t>
      </w:r>
      <w:r w:rsidR="00464852" w:rsidRPr="00282AC9">
        <w:rPr>
          <w:rFonts w:hint="cs"/>
          <w:sz w:val="27"/>
          <w:rtl/>
        </w:rPr>
        <w:t xml:space="preserve"> ال</w:t>
      </w:r>
      <w:r w:rsidR="00464852" w:rsidRPr="00282AC9">
        <w:rPr>
          <w:sz w:val="27"/>
          <w:rtl/>
        </w:rPr>
        <w:t>أو</w:t>
      </w:r>
      <w:r w:rsidRPr="00282AC9">
        <w:rPr>
          <w:rFonts w:hint="cs"/>
          <w:sz w:val="27"/>
          <w:rtl/>
        </w:rPr>
        <w:t>ّ</w:t>
      </w:r>
      <w:r w:rsidR="00464852" w:rsidRPr="00282AC9">
        <w:rPr>
          <w:sz w:val="27"/>
          <w:rtl/>
        </w:rPr>
        <w:t xml:space="preserve">ل: </w:t>
      </w:r>
      <w:r w:rsidR="00464852" w:rsidRPr="00282AC9">
        <w:rPr>
          <w:rFonts w:hint="eastAsia"/>
          <w:sz w:val="24"/>
          <w:szCs w:val="24"/>
          <w:rtl/>
        </w:rPr>
        <w:t>«</w:t>
      </w:r>
      <w:r w:rsidR="00464852" w:rsidRPr="00282AC9">
        <w:rPr>
          <w:sz w:val="27"/>
          <w:rtl/>
        </w:rPr>
        <w:t>تبّاً لبني حرب بن أمي</w:t>
      </w:r>
      <w:r w:rsidRPr="00282AC9">
        <w:rPr>
          <w:rFonts w:hint="cs"/>
          <w:sz w:val="27"/>
          <w:rtl/>
        </w:rPr>
        <w:t>ة</w:t>
      </w:r>
      <w:r w:rsidR="00464852" w:rsidRPr="00282AC9">
        <w:rPr>
          <w:sz w:val="27"/>
          <w:rtl/>
        </w:rPr>
        <w:t xml:space="preserve"> وبني مروان!</w:t>
      </w:r>
      <w:r w:rsidRPr="00282AC9">
        <w:rPr>
          <w:rFonts w:hint="cs"/>
          <w:sz w:val="27"/>
          <w:rtl/>
        </w:rPr>
        <w:t>...</w:t>
      </w:r>
      <w:r w:rsidR="00464852" w:rsidRPr="00282AC9">
        <w:rPr>
          <w:sz w:val="27"/>
          <w:rtl/>
        </w:rPr>
        <w:t xml:space="preserve"> ظلموا الأنام</w:t>
      </w:r>
      <w:r w:rsidRPr="00282AC9">
        <w:rPr>
          <w:rFonts w:hint="cs"/>
          <w:sz w:val="27"/>
          <w:rtl/>
        </w:rPr>
        <w:t>،</w:t>
      </w:r>
      <w:r w:rsidR="00464852" w:rsidRPr="00282AC9">
        <w:rPr>
          <w:sz w:val="27"/>
          <w:rtl/>
        </w:rPr>
        <w:t xml:space="preserve"> وانتهكوا المحارم</w:t>
      </w:r>
      <w:r w:rsidRPr="00282AC9">
        <w:rPr>
          <w:rFonts w:hint="cs"/>
          <w:sz w:val="27"/>
          <w:rtl/>
        </w:rPr>
        <w:t>،</w:t>
      </w:r>
      <w:r w:rsidR="00464852" w:rsidRPr="00282AC9">
        <w:rPr>
          <w:sz w:val="27"/>
          <w:rtl/>
        </w:rPr>
        <w:t xml:space="preserve"> وغشوا الجرائم</w:t>
      </w:r>
      <w:r w:rsidRPr="00282AC9">
        <w:rPr>
          <w:rFonts w:hint="cs"/>
          <w:sz w:val="27"/>
          <w:rtl/>
        </w:rPr>
        <w:t>،</w:t>
      </w:r>
      <w:r w:rsidR="00464852" w:rsidRPr="00282AC9">
        <w:rPr>
          <w:sz w:val="27"/>
          <w:rtl/>
        </w:rPr>
        <w:t xml:space="preserve"> وجاروا في سيرتهم في العباد</w:t>
      </w:r>
      <w:r w:rsidRPr="00282AC9">
        <w:rPr>
          <w:rFonts w:hint="cs"/>
          <w:sz w:val="27"/>
          <w:rtl/>
        </w:rPr>
        <w:t>،</w:t>
      </w:r>
      <w:r w:rsidR="00464852" w:rsidRPr="00282AC9">
        <w:rPr>
          <w:sz w:val="27"/>
          <w:rtl/>
        </w:rPr>
        <w:t xml:space="preserve"> وس</w:t>
      </w:r>
      <w:r w:rsidR="00464852" w:rsidRPr="00282AC9">
        <w:rPr>
          <w:rFonts w:hint="cs"/>
          <w:sz w:val="27"/>
          <w:rtl/>
        </w:rPr>
        <w:t>ُ</w:t>
      </w:r>
      <w:r w:rsidR="00464852" w:rsidRPr="00282AC9">
        <w:rPr>
          <w:sz w:val="27"/>
          <w:rtl/>
        </w:rPr>
        <w:t>نّ</w:t>
      </w:r>
      <w:r w:rsidRPr="00282AC9">
        <w:rPr>
          <w:rFonts w:hint="cs"/>
          <w:sz w:val="27"/>
          <w:rtl/>
        </w:rPr>
        <w:t>َ</w:t>
      </w:r>
      <w:r w:rsidR="00464852" w:rsidRPr="00282AC9">
        <w:rPr>
          <w:sz w:val="27"/>
          <w:rtl/>
        </w:rPr>
        <w:t>تهم في البلاد...</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95"/>
      </w:r>
      <w:r w:rsidR="00464852" w:rsidRPr="00282AC9">
        <w:rPr>
          <w:sz w:val="27"/>
          <w:vertAlign w:val="superscript"/>
          <w:rtl/>
          <w:lang w:bidi="fa-IR"/>
        </w:rPr>
        <w:t>)</w:t>
      </w:r>
      <w:r w:rsidR="00464852" w:rsidRPr="00282AC9">
        <w:rPr>
          <w:sz w:val="27"/>
          <w:rtl/>
          <w:lang w:bidi="fa-IR"/>
        </w:rPr>
        <w:t>.</w:t>
      </w:r>
    </w:p>
    <w:p w:rsidR="00464852" w:rsidRPr="00282AC9" w:rsidRDefault="00677A6E" w:rsidP="00407A45">
      <w:pPr>
        <w:spacing w:line="386" w:lineRule="exact"/>
        <w:rPr>
          <w:sz w:val="27"/>
          <w:rtl/>
        </w:rPr>
      </w:pPr>
      <w:r w:rsidRPr="00282AC9">
        <w:rPr>
          <w:rFonts w:hint="cs"/>
          <w:sz w:val="27"/>
          <w:rtl/>
        </w:rPr>
        <w:t xml:space="preserve">11ـ </w:t>
      </w:r>
      <w:r w:rsidR="00464852" w:rsidRPr="00282AC9">
        <w:rPr>
          <w:sz w:val="27"/>
          <w:rtl/>
        </w:rPr>
        <w:t>وقال ابن حبيب</w:t>
      </w:r>
      <w:r w:rsidR="00131C42" w:rsidRPr="00282AC9">
        <w:rPr>
          <w:rFonts w:hint="cs"/>
          <w:sz w:val="27"/>
          <w:rtl/>
        </w:rPr>
        <w:t>(</w:t>
      </w:r>
      <w:r w:rsidR="00131C42" w:rsidRPr="00282AC9">
        <w:rPr>
          <w:sz w:val="27"/>
          <w:rtl/>
        </w:rPr>
        <w:t>2</w:t>
      </w:r>
      <w:r w:rsidR="00131C42" w:rsidRPr="00282AC9">
        <w:rPr>
          <w:rFonts w:hint="cs"/>
          <w:sz w:val="27"/>
          <w:rtl/>
        </w:rPr>
        <w:t>45</w:t>
      </w:r>
      <w:r w:rsidR="00131C42" w:rsidRPr="00282AC9">
        <w:rPr>
          <w:sz w:val="27"/>
          <w:rtl/>
        </w:rPr>
        <w:t>هـ</w:t>
      </w:r>
      <w:r w:rsidR="00131C42" w:rsidRPr="00282AC9">
        <w:rPr>
          <w:rFonts w:hint="cs"/>
          <w:sz w:val="27"/>
          <w:rtl/>
        </w:rPr>
        <w:t>)</w:t>
      </w:r>
      <w:r w:rsidR="00464852" w:rsidRPr="00282AC9">
        <w:rPr>
          <w:sz w:val="27"/>
          <w:rtl/>
        </w:rPr>
        <w:t xml:space="preserve"> في المحبر: </w:t>
      </w:r>
      <w:r w:rsidR="00464852" w:rsidRPr="00282AC9">
        <w:rPr>
          <w:rFonts w:hint="eastAsia"/>
          <w:sz w:val="24"/>
          <w:szCs w:val="24"/>
          <w:rtl/>
          <w:lang w:bidi="fa-IR"/>
        </w:rPr>
        <w:t>«</w:t>
      </w:r>
      <w:r w:rsidR="00464852" w:rsidRPr="00282AC9">
        <w:rPr>
          <w:sz w:val="27"/>
          <w:rtl/>
          <w:lang w:bidi="fa-IR"/>
        </w:rPr>
        <w:t>ومن‏ سُنَنهم‏ أنّهم كانوا يكسبون بفروج إمائهم...</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596"/>
      </w:r>
      <w:r w:rsidR="00464852" w:rsidRPr="00282AC9">
        <w:rPr>
          <w:sz w:val="27"/>
          <w:vertAlign w:val="superscript"/>
          <w:rtl/>
          <w:lang w:bidi="fa-IR"/>
        </w:rPr>
        <w:t>)</w:t>
      </w:r>
      <w:r w:rsidR="00464852" w:rsidRPr="00282AC9">
        <w:rPr>
          <w:sz w:val="27"/>
          <w:rtl/>
          <w:lang w:bidi="fa-IR"/>
        </w:rPr>
        <w:t xml:space="preserve">. </w:t>
      </w:r>
    </w:p>
    <w:p w:rsidR="00464852" w:rsidRPr="00282AC9" w:rsidRDefault="00677A6E" w:rsidP="00407A45">
      <w:pPr>
        <w:spacing w:line="386" w:lineRule="exact"/>
        <w:rPr>
          <w:sz w:val="27"/>
          <w:rtl/>
        </w:rPr>
      </w:pPr>
      <w:r w:rsidRPr="00282AC9">
        <w:rPr>
          <w:rFonts w:hint="cs"/>
          <w:sz w:val="27"/>
          <w:rtl/>
        </w:rPr>
        <w:t xml:space="preserve">12ـ </w:t>
      </w:r>
      <w:r w:rsidR="00464852" w:rsidRPr="00282AC9">
        <w:rPr>
          <w:sz w:val="27"/>
          <w:rtl/>
        </w:rPr>
        <w:t>وفي كتاب البلاذري</w:t>
      </w:r>
      <w:r w:rsidR="00131C42" w:rsidRPr="00282AC9">
        <w:rPr>
          <w:rFonts w:hint="cs"/>
          <w:sz w:val="27"/>
          <w:rtl/>
        </w:rPr>
        <w:t>(</w:t>
      </w:r>
      <w:r w:rsidR="00131C42" w:rsidRPr="00282AC9">
        <w:rPr>
          <w:sz w:val="27"/>
          <w:rtl/>
        </w:rPr>
        <w:t>279هـ</w:t>
      </w:r>
      <w:r w:rsidR="00131C42" w:rsidRPr="00282AC9">
        <w:rPr>
          <w:rFonts w:hint="cs"/>
          <w:sz w:val="27"/>
          <w:rtl/>
        </w:rPr>
        <w:t>)</w:t>
      </w:r>
      <w:r w:rsidR="00464852" w:rsidRPr="00282AC9">
        <w:rPr>
          <w:sz w:val="27"/>
          <w:vertAlign w:val="superscript"/>
          <w:rtl/>
        </w:rPr>
        <w:t>(</w:t>
      </w:r>
      <w:r w:rsidR="00464852" w:rsidRPr="00282AC9">
        <w:rPr>
          <w:rStyle w:val="af9"/>
          <w:sz w:val="27"/>
          <w:rtl/>
        </w:rPr>
        <w:endnoteReference w:id="597"/>
      </w:r>
      <w:r w:rsidR="00464852" w:rsidRPr="00282AC9">
        <w:rPr>
          <w:sz w:val="27"/>
          <w:vertAlign w:val="superscript"/>
          <w:rtl/>
        </w:rPr>
        <w:t>)</w:t>
      </w:r>
      <w:r w:rsidR="00464852" w:rsidRPr="00282AC9">
        <w:rPr>
          <w:sz w:val="27"/>
          <w:rtl/>
        </w:rPr>
        <w:t xml:space="preserve">: </w:t>
      </w:r>
      <w:r w:rsidR="00464852" w:rsidRPr="00282AC9">
        <w:rPr>
          <w:rFonts w:hint="eastAsia"/>
          <w:sz w:val="24"/>
          <w:szCs w:val="24"/>
          <w:rtl/>
        </w:rPr>
        <w:t>«</w:t>
      </w:r>
      <w:r w:rsidR="00464852" w:rsidRPr="00282AC9">
        <w:rPr>
          <w:sz w:val="27"/>
          <w:rtl/>
        </w:rPr>
        <w:t>وقال أبو</w:t>
      </w:r>
      <w:r w:rsidR="00464852" w:rsidRPr="00282AC9">
        <w:rPr>
          <w:rFonts w:hint="cs"/>
          <w:sz w:val="27"/>
          <w:rtl/>
        </w:rPr>
        <w:t xml:space="preserve"> </w:t>
      </w:r>
      <w:r w:rsidR="00464852" w:rsidRPr="00282AC9">
        <w:rPr>
          <w:sz w:val="27"/>
          <w:rtl/>
        </w:rPr>
        <w:t>يوسف: إذا كانت ف</w:t>
      </w:r>
      <w:r w:rsidR="00464852" w:rsidRPr="00282AC9">
        <w:rPr>
          <w:rFonts w:hint="cs"/>
          <w:sz w:val="27"/>
          <w:rtl/>
        </w:rPr>
        <w:t>ي</w:t>
      </w:r>
      <w:r w:rsidR="00464852" w:rsidRPr="00282AC9">
        <w:rPr>
          <w:sz w:val="27"/>
          <w:rtl/>
        </w:rPr>
        <w:t xml:space="preserve"> البلاد س</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ة</w:t>
      </w:r>
      <w:r w:rsidR="00464852" w:rsidRPr="00282AC9">
        <w:rPr>
          <w:rFonts w:hint="cs"/>
          <w:sz w:val="27"/>
          <w:rtl/>
        </w:rPr>
        <w:t>ٌ</w:t>
      </w:r>
      <w:r w:rsidR="00464852" w:rsidRPr="00282AC9">
        <w:rPr>
          <w:sz w:val="27"/>
          <w:rtl/>
        </w:rPr>
        <w:t xml:space="preserve"> أعجمي</w:t>
      </w:r>
      <w:r w:rsidRPr="00282AC9">
        <w:rPr>
          <w:rFonts w:hint="cs"/>
          <w:sz w:val="27"/>
          <w:rtl/>
        </w:rPr>
        <w:t>ّ</w:t>
      </w:r>
      <w:r w:rsidR="00464852" w:rsidRPr="00282AC9">
        <w:rPr>
          <w:sz w:val="27"/>
          <w:rtl/>
        </w:rPr>
        <w:t>ة قديمة</w:t>
      </w:r>
      <w:r w:rsidRPr="00282AC9">
        <w:rPr>
          <w:rFonts w:hint="cs"/>
          <w:sz w:val="27"/>
          <w:rtl/>
        </w:rPr>
        <w:t>،</w:t>
      </w:r>
      <w:r w:rsidR="00464852" w:rsidRPr="00282AC9">
        <w:rPr>
          <w:sz w:val="27"/>
          <w:rtl/>
        </w:rPr>
        <w:t xml:space="preserve"> لم يغيّ</w:t>
      </w:r>
      <w:r w:rsidRPr="00282AC9">
        <w:rPr>
          <w:rFonts w:hint="cs"/>
          <w:sz w:val="27"/>
          <w:rtl/>
        </w:rPr>
        <w:t>ِ</w:t>
      </w:r>
      <w:r w:rsidR="00464852" w:rsidRPr="00282AC9">
        <w:rPr>
          <w:sz w:val="27"/>
          <w:rtl/>
        </w:rPr>
        <w:t>ره</w:t>
      </w:r>
      <w:r w:rsidRPr="00282AC9">
        <w:rPr>
          <w:rFonts w:hint="cs"/>
          <w:sz w:val="27"/>
          <w:rtl/>
        </w:rPr>
        <w:t>ا</w:t>
      </w:r>
      <w:r w:rsidR="00464852" w:rsidRPr="00282AC9">
        <w:rPr>
          <w:sz w:val="27"/>
          <w:rtl/>
        </w:rPr>
        <w:t xml:space="preserve"> الإسلام ولم يبطلها</w:t>
      </w:r>
      <w:r w:rsidRPr="00282AC9">
        <w:rPr>
          <w:rFonts w:hint="cs"/>
          <w:sz w:val="27"/>
          <w:rtl/>
        </w:rPr>
        <w:t>،</w:t>
      </w:r>
      <w:r w:rsidR="00464852" w:rsidRPr="00282AC9">
        <w:rPr>
          <w:sz w:val="27"/>
          <w:rtl/>
        </w:rPr>
        <w:t xml:space="preserve"> فشكاها قوم</w:t>
      </w:r>
      <w:r w:rsidRPr="00282AC9">
        <w:rPr>
          <w:rFonts w:hint="cs"/>
          <w:sz w:val="27"/>
          <w:rtl/>
        </w:rPr>
        <w:t>ٌ</w:t>
      </w:r>
      <w:r w:rsidR="00464852" w:rsidRPr="00282AC9">
        <w:rPr>
          <w:sz w:val="27"/>
          <w:rtl/>
        </w:rPr>
        <w:t xml:space="preserve"> إلى الإمام</w:t>
      </w:r>
      <w:r w:rsidRPr="00282AC9">
        <w:rPr>
          <w:rFonts w:hint="cs"/>
          <w:sz w:val="27"/>
          <w:rtl/>
        </w:rPr>
        <w:t>؛</w:t>
      </w:r>
      <w:r w:rsidR="00464852" w:rsidRPr="00282AC9">
        <w:rPr>
          <w:sz w:val="27"/>
          <w:rtl/>
        </w:rPr>
        <w:t xml:space="preserve"> لما ينالهم من مضرّتها</w:t>
      </w:r>
      <w:r w:rsidRPr="00282AC9">
        <w:rPr>
          <w:rFonts w:hint="cs"/>
          <w:sz w:val="27"/>
          <w:rtl/>
        </w:rPr>
        <w:t>،</w:t>
      </w:r>
      <w:r w:rsidR="00464852" w:rsidRPr="00282AC9">
        <w:rPr>
          <w:sz w:val="27"/>
          <w:rtl/>
        </w:rPr>
        <w:t xml:space="preserve"> فليس له أن يغيّ</w:t>
      </w:r>
      <w:r w:rsidRPr="00282AC9">
        <w:rPr>
          <w:rFonts w:hint="cs"/>
          <w:sz w:val="27"/>
          <w:rtl/>
        </w:rPr>
        <w:t>ِ</w:t>
      </w:r>
      <w:r w:rsidR="00464852" w:rsidRPr="00282AC9">
        <w:rPr>
          <w:sz w:val="27"/>
          <w:rtl/>
        </w:rPr>
        <w:t>رها</w:t>
      </w:r>
      <w:r w:rsidRPr="00282AC9">
        <w:rPr>
          <w:rFonts w:hint="cs"/>
          <w:sz w:val="27"/>
          <w:rtl/>
        </w:rPr>
        <w:t>.</w:t>
      </w:r>
      <w:r w:rsidR="00464852" w:rsidRPr="00282AC9">
        <w:rPr>
          <w:sz w:val="27"/>
          <w:rtl/>
        </w:rPr>
        <w:t xml:space="preserve"> وقال مالك والشافعي: يغيّ</w:t>
      </w:r>
      <w:r w:rsidRPr="00282AC9">
        <w:rPr>
          <w:rFonts w:hint="cs"/>
          <w:sz w:val="27"/>
          <w:rtl/>
        </w:rPr>
        <w:t>ِ</w:t>
      </w:r>
      <w:r w:rsidR="00464852" w:rsidRPr="00282AC9">
        <w:rPr>
          <w:sz w:val="27"/>
          <w:rtl/>
        </w:rPr>
        <w:t>رها وإن</w:t>
      </w:r>
      <w:r w:rsidRPr="00282AC9">
        <w:rPr>
          <w:rFonts w:hint="cs"/>
          <w:sz w:val="27"/>
          <w:rtl/>
        </w:rPr>
        <w:t>ْ</w:t>
      </w:r>
      <w:r w:rsidR="00464852" w:rsidRPr="00282AC9">
        <w:rPr>
          <w:sz w:val="27"/>
          <w:rtl/>
        </w:rPr>
        <w:t xml:space="preserve"> قدم</w:t>
      </w:r>
      <w:r w:rsidRPr="00282AC9">
        <w:rPr>
          <w:rFonts w:hint="cs"/>
          <w:sz w:val="27"/>
          <w:rtl/>
        </w:rPr>
        <w:t>َ</w:t>
      </w:r>
      <w:r w:rsidR="00464852" w:rsidRPr="00282AC9">
        <w:rPr>
          <w:sz w:val="27"/>
          <w:rtl/>
        </w:rPr>
        <w:t>ت</w:t>
      </w:r>
      <w:r w:rsidRPr="00282AC9">
        <w:rPr>
          <w:rFonts w:hint="cs"/>
          <w:sz w:val="27"/>
          <w:rtl/>
        </w:rPr>
        <w:t>ْ؛</w:t>
      </w:r>
      <w:r w:rsidR="00464852" w:rsidRPr="00282AC9">
        <w:rPr>
          <w:sz w:val="27"/>
          <w:rtl/>
        </w:rPr>
        <w:t xml:space="preserve"> لأن عليه نفي كل</w:t>
      </w:r>
      <w:r w:rsidRPr="00282AC9">
        <w:rPr>
          <w:rFonts w:hint="cs"/>
          <w:sz w:val="27"/>
          <w:rtl/>
        </w:rPr>
        <w:t>ّ</w:t>
      </w:r>
      <w:r w:rsidR="00464852" w:rsidRPr="00282AC9">
        <w:rPr>
          <w:sz w:val="27"/>
          <w:rtl/>
        </w:rPr>
        <w:t xml:space="preserve"> سُنّ</w:t>
      </w:r>
      <w:r w:rsidR="00464852" w:rsidRPr="00282AC9">
        <w:rPr>
          <w:rFonts w:hint="cs"/>
          <w:sz w:val="27"/>
          <w:rtl/>
        </w:rPr>
        <w:t>َ</w:t>
      </w:r>
      <w:r w:rsidR="00464852" w:rsidRPr="00282AC9">
        <w:rPr>
          <w:sz w:val="27"/>
          <w:rtl/>
        </w:rPr>
        <w:t>ة</w:t>
      </w:r>
      <w:r w:rsidR="00464852" w:rsidRPr="00282AC9">
        <w:rPr>
          <w:rFonts w:hint="cs"/>
          <w:sz w:val="27"/>
          <w:rtl/>
        </w:rPr>
        <w:t>ٍ</w:t>
      </w:r>
      <w:r w:rsidR="00464852" w:rsidRPr="00282AC9">
        <w:rPr>
          <w:sz w:val="27"/>
          <w:rtl/>
        </w:rPr>
        <w:t xml:space="preserve"> جائرة سنّ</w:t>
      </w:r>
      <w:r w:rsidRPr="00282AC9">
        <w:rPr>
          <w:rFonts w:hint="cs"/>
          <w:sz w:val="27"/>
          <w:rtl/>
        </w:rPr>
        <w:t>َ</w:t>
      </w:r>
      <w:r w:rsidR="00464852" w:rsidRPr="00282AC9">
        <w:rPr>
          <w:sz w:val="27"/>
          <w:rtl/>
        </w:rPr>
        <w:t>ها أحد</w:t>
      </w:r>
      <w:r w:rsidRPr="00282AC9">
        <w:rPr>
          <w:rFonts w:hint="cs"/>
          <w:sz w:val="27"/>
          <w:rtl/>
        </w:rPr>
        <w:t>ٌ</w:t>
      </w:r>
      <w:r w:rsidRPr="00282AC9">
        <w:rPr>
          <w:sz w:val="27"/>
          <w:rtl/>
        </w:rPr>
        <w:t xml:space="preserve"> من المسلمين، فضلاً ع</w:t>
      </w:r>
      <w:r w:rsidR="00464852" w:rsidRPr="00282AC9">
        <w:rPr>
          <w:sz w:val="27"/>
          <w:rtl/>
        </w:rPr>
        <w:t>م</w:t>
      </w:r>
      <w:r w:rsidRPr="00282AC9">
        <w:rPr>
          <w:rFonts w:hint="cs"/>
          <w:sz w:val="27"/>
          <w:rtl/>
        </w:rPr>
        <w:t>ّ</w:t>
      </w:r>
      <w:r w:rsidR="00464852" w:rsidRPr="00282AC9">
        <w:rPr>
          <w:sz w:val="27"/>
          <w:rtl/>
        </w:rPr>
        <w:t>ا</w:t>
      </w:r>
      <w:r w:rsidR="00464852" w:rsidRPr="00282AC9">
        <w:rPr>
          <w:sz w:val="27"/>
          <w:vertAlign w:val="superscript"/>
          <w:rtl/>
        </w:rPr>
        <w:t>(</w:t>
      </w:r>
      <w:r w:rsidR="00464852" w:rsidRPr="00282AC9">
        <w:rPr>
          <w:rStyle w:val="af9"/>
          <w:sz w:val="27"/>
          <w:rtl/>
        </w:rPr>
        <w:endnoteReference w:id="598"/>
      </w:r>
      <w:r w:rsidR="00464852" w:rsidRPr="00282AC9">
        <w:rPr>
          <w:sz w:val="27"/>
          <w:vertAlign w:val="superscript"/>
          <w:rtl/>
        </w:rPr>
        <w:t>)</w:t>
      </w:r>
      <w:r w:rsidR="00464852" w:rsidRPr="00282AC9">
        <w:rPr>
          <w:sz w:val="27"/>
          <w:rtl/>
        </w:rPr>
        <w:t xml:space="preserve"> س</w:t>
      </w:r>
      <w:r w:rsidRPr="00282AC9">
        <w:rPr>
          <w:rFonts w:hint="cs"/>
          <w:sz w:val="27"/>
          <w:rtl/>
        </w:rPr>
        <w:t>َ</w:t>
      </w:r>
      <w:r w:rsidR="00464852" w:rsidRPr="00282AC9">
        <w:rPr>
          <w:sz w:val="27"/>
          <w:rtl/>
        </w:rPr>
        <w:t>نَّ أهل الكفر</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599"/>
      </w:r>
      <w:r w:rsidR="00464852" w:rsidRPr="00282AC9">
        <w:rPr>
          <w:sz w:val="27"/>
          <w:vertAlign w:val="superscript"/>
          <w:rtl/>
        </w:rPr>
        <w:t>)</w:t>
      </w:r>
      <w:r w:rsidR="00464852" w:rsidRPr="00282AC9">
        <w:rPr>
          <w:sz w:val="27"/>
          <w:rtl/>
        </w:rPr>
        <w:t>.</w:t>
      </w:r>
    </w:p>
    <w:p w:rsidR="00464852" w:rsidRPr="00282AC9" w:rsidRDefault="00677A6E" w:rsidP="00407A45">
      <w:pPr>
        <w:spacing w:line="386" w:lineRule="exact"/>
        <w:rPr>
          <w:sz w:val="27"/>
          <w:rtl/>
        </w:rPr>
      </w:pPr>
      <w:r w:rsidRPr="00282AC9">
        <w:rPr>
          <w:rFonts w:hint="cs"/>
          <w:sz w:val="27"/>
          <w:rtl/>
        </w:rPr>
        <w:t xml:space="preserve">13ـ </w:t>
      </w:r>
      <w:r w:rsidR="00464852" w:rsidRPr="00282AC9">
        <w:rPr>
          <w:sz w:val="27"/>
          <w:rtl/>
        </w:rPr>
        <w:t>وقال الطبري</w:t>
      </w:r>
      <w:r w:rsidRPr="00282AC9">
        <w:rPr>
          <w:rFonts w:hint="cs"/>
          <w:sz w:val="27"/>
          <w:rtl/>
        </w:rPr>
        <w:t>،</w:t>
      </w:r>
      <w:r w:rsidR="00464852" w:rsidRPr="00282AC9">
        <w:rPr>
          <w:sz w:val="27"/>
          <w:rtl/>
        </w:rPr>
        <w:t xml:space="preserve"> في تفسيره </w:t>
      </w:r>
      <w:r w:rsidR="00735509" w:rsidRPr="00282AC9">
        <w:rPr>
          <w:rFonts w:hint="cs"/>
          <w:sz w:val="27"/>
          <w:rtl/>
        </w:rPr>
        <w:t>قوله تعالى</w:t>
      </w:r>
      <w:r w:rsidRPr="00282AC9">
        <w:rPr>
          <w:rFonts w:hint="cs"/>
          <w:sz w:val="27"/>
          <w:rtl/>
        </w:rPr>
        <w:t>:</w:t>
      </w:r>
      <w:r w:rsidR="00464852" w:rsidRPr="00282AC9">
        <w:rPr>
          <w:sz w:val="27"/>
          <w:rtl/>
        </w:rPr>
        <w:t xml:space="preserve"> </w:t>
      </w:r>
      <w:r w:rsidR="00C5291F" w:rsidRPr="00282AC9">
        <w:rPr>
          <w:rFonts w:ascii="Mosawi" w:hAnsi="Mosawi" w:cs="Mosawi"/>
          <w:sz w:val="24"/>
          <w:szCs w:val="24"/>
          <w:rtl/>
        </w:rPr>
        <w:t>﴿</w:t>
      </w:r>
      <w:r w:rsidR="00464852" w:rsidRPr="00282AC9">
        <w:rPr>
          <w:b/>
          <w:bCs/>
          <w:sz w:val="27"/>
          <w:rtl/>
          <w:lang w:bidi="fa-IR"/>
        </w:rPr>
        <w:t>إِنَّ الْمُبَذِّرِينَ كانُوا إِخْوانَ الشَّياطِينِ</w:t>
      </w:r>
      <w:r w:rsidR="00464852" w:rsidRPr="00282AC9">
        <w:rPr>
          <w:sz w:val="27"/>
          <w:rtl/>
          <w:lang w:bidi="fa-IR"/>
        </w:rPr>
        <w:t>‏</w:t>
      </w:r>
      <w:r w:rsidR="00C5291F" w:rsidRPr="00282AC9">
        <w:rPr>
          <w:rFonts w:ascii="Mosawi" w:hAnsi="Mosawi" w:cs="Mosawi"/>
          <w:sz w:val="24"/>
          <w:szCs w:val="24"/>
          <w:rtl/>
        </w:rPr>
        <w:t>﴾</w:t>
      </w:r>
      <w:r w:rsidR="00464852" w:rsidRPr="00282AC9">
        <w:rPr>
          <w:sz w:val="27"/>
          <w:rtl/>
        </w:rPr>
        <w:t xml:space="preserve"> </w:t>
      </w:r>
      <w:r w:rsidR="00464852" w:rsidRPr="00282AC9">
        <w:rPr>
          <w:rFonts w:hint="cs"/>
          <w:sz w:val="27"/>
          <w:rtl/>
        </w:rPr>
        <w:t>(الإسراء: 27)</w:t>
      </w:r>
      <w:r w:rsidR="00464852" w:rsidRPr="00282AC9">
        <w:rPr>
          <w:sz w:val="27"/>
          <w:rtl/>
        </w:rPr>
        <w:t>:</w:t>
      </w:r>
      <w:r w:rsidR="00464852" w:rsidRPr="00282AC9">
        <w:rPr>
          <w:rFonts w:hint="cs"/>
          <w:sz w:val="27"/>
          <w:rtl/>
        </w:rPr>
        <w:t xml:space="preserve"> </w:t>
      </w:r>
      <w:r w:rsidR="00464852" w:rsidRPr="00282AC9">
        <w:rPr>
          <w:rFonts w:hint="eastAsia"/>
          <w:sz w:val="24"/>
          <w:szCs w:val="24"/>
          <w:rtl/>
        </w:rPr>
        <w:t>«</w:t>
      </w:r>
      <w:r w:rsidR="00464852" w:rsidRPr="00282AC9">
        <w:rPr>
          <w:sz w:val="27"/>
          <w:rtl/>
          <w:lang w:bidi="fa-IR"/>
        </w:rPr>
        <w:t>تقول العرب لكلّ ملازم</w:t>
      </w:r>
      <w:r w:rsidR="00464852" w:rsidRPr="00282AC9">
        <w:rPr>
          <w:rFonts w:hint="cs"/>
          <w:sz w:val="27"/>
          <w:rtl/>
          <w:lang w:bidi="fa-IR"/>
        </w:rPr>
        <w:t>ٍ</w:t>
      </w:r>
      <w:r w:rsidR="00464852" w:rsidRPr="00282AC9">
        <w:rPr>
          <w:sz w:val="27"/>
          <w:rtl/>
          <w:lang w:bidi="fa-IR"/>
        </w:rPr>
        <w:t xml:space="preserve"> س</w:t>
      </w:r>
      <w:r w:rsidR="00735509" w:rsidRPr="00282AC9">
        <w:rPr>
          <w:rFonts w:hint="cs"/>
          <w:sz w:val="27"/>
          <w:rtl/>
          <w:lang w:bidi="fa-IR"/>
        </w:rPr>
        <w:t>ُ</w:t>
      </w:r>
      <w:r w:rsidR="00464852" w:rsidRPr="00282AC9">
        <w:rPr>
          <w:sz w:val="27"/>
          <w:rtl/>
          <w:lang w:bidi="fa-IR"/>
        </w:rPr>
        <w:t>نّ</w:t>
      </w:r>
      <w:r w:rsidR="00735509" w:rsidRPr="00282AC9">
        <w:rPr>
          <w:rFonts w:hint="cs"/>
          <w:sz w:val="27"/>
          <w:rtl/>
          <w:lang w:bidi="fa-IR"/>
        </w:rPr>
        <w:t>َ</w:t>
      </w:r>
      <w:r w:rsidR="00464852" w:rsidRPr="00282AC9">
        <w:rPr>
          <w:sz w:val="27"/>
          <w:rtl/>
          <w:lang w:bidi="fa-IR"/>
        </w:rPr>
        <w:t>ة قوم</w:t>
      </w:r>
      <w:r w:rsidR="00464852" w:rsidRPr="00282AC9">
        <w:rPr>
          <w:rFonts w:hint="cs"/>
          <w:sz w:val="27"/>
          <w:rtl/>
          <w:lang w:bidi="fa-IR"/>
        </w:rPr>
        <w:t>ٍ</w:t>
      </w:r>
      <w:r w:rsidR="00735509" w:rsidRPr="00282AC9">
        <w:rPr>
          <w:rFonts w:hint="cs"/>
          <w:sz w:val="27"/>
          <w:rtl/>
          <w:lang w:bidi="fa-IR"/>
        </w:rPr>
        <w:t>،</w:t>
      </w:r>
      <w:r w:rsidR="00464852" w:rsidRPr="00282AC9">
        <w:rPr>
          <w:sz w:val="27"/>
          <w:rtl/>
          <w:lang w:bidi="fa-IR"/>
        </w:rPr>
        <w:t xml:space="preserve"> وتابع</w:t>
      </w:r>
      <w:r w:rsidR="00464852" w:rsidRPr="00282AC9">
        <w:rPr>
          <w:rFonts w:hint="cs"/>
          <w:sz w:val="27"/>
          <w:rtl/>
          <w:lang w:bidi="fa-IR"/>
        </w:rPr>
        <w:t>ٍ</w:t>
      </w:r>
      <w:r w:rsidR="00464852" w:rsidRPr="00282AC9">
        <w:rPr>
          <w:sz w:val="27"/>
          <w:rtl/>
          <w:lang w:bidi="fa-IR"/>
        </w:rPr>
        <w:t xml:space="preserve"> أ</w:t>
      </w:r>
      <w:r w:rsidR="00464852" w:rsidRPr="00282AC9">
        <w:rPr>
          <w:rFonts w:hint="cs"/>
          <w:sz w:val="27"/>
          <w:rtl/>
          <w:lang w:bidi="fa-IR"/>
        </w:rPr>
        <w:t>َ</w:t>
      </w:r>
      <w:r w:rsidR="00464852" w:rsidRPr="00282AC9">
        <w:rPr>
          <w:sz w:val="27"/>
          <w:rtl/>
          <w:lang w:bidi="fa-IR"/>
        </w:rPr>
        <w:t>ث</w:t>
      </w:r>
      <w:r w:rsidR="00464852" w:rsidRPr="00282AC9">
        <w:rPr>
          <w:rFonts w:hint="cs"/>
          <w:sz w:val="27"/>
          <w:rtl/>
          <w:lang w:bidi="fa-IR"/>
        </w:rPr>
        <w:t>َ</w:t>
      </w:r>
      <w:r w:rsidR="00464852" w:rsidRPr="00282AC9">
        <w:rPr>
          <w:sz w:val="27"/>
          <w:rtl/>
          <w:lang w:bidi="fa-IR"/>
        </w:rPr>
        <w:t>رهم: هو أخوهم</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600"/>
      </w:r>
      <w:r w:rsidR="00464852" w:rsidRPr="00282AC9">
        <w:rPr>
          <w:sz w:val="27"/>
          <w:vertAlign w:val="superscript"/>
          <w:rtl/>
          <w:lang w:bidi="fa-IR"/>
        </w:rPr>
        <w:t>)</w:t>
      </w:r>
      <w:r w:rsidR="00464852" w:rsidRPr="00282AC9">
        <w:rPr>
          <w:sz w:val="27"/>
          <w:rtl/>
          <w:lang w:bidi="fa-IR"/>
        </w:rPr>
        <w:t xml:space="preserve">. فاستعمل الطبري هنا لفظ </w:t>
      </w:r>
      <w:r w:rsidR="00464852" w:rsidRPr="00282AC9">
        <w:rPr>
          <w:rFonts w:hint="eastAsia"/>
          <w:sz w:val="24"/>
          <w:szCs w:val="24"/>
          <w:rtl/>
          <w:lang w:bidi="fa-IR"/>
        </w:rPr>
        <w:t>«</w:t>
      </w:r>
      <w:r w:rsidR="00735509" w:rsidRPr="00282AC9">
        <w:rPr>
          <w:sz w:val="27"/>
          <w:rtl/>
          <w:lang w:bidi="fa-IR"/>
        </w:rPr>
        <w:t>الس</w:t>
      </w:r>
      <w:r w:rsidR="00735509" w:rsidRPr="00282AC9">
        <w:rPr>
          <w:rFonts w:hint="cs"/>
          <w:sz w:val="27"/>
          <w:rtl/>
          <w:lang w:bidi="fa-IR"/>
        </w:rPr>
        <w:t>ُّ</w:t>
      </w:r>
      <w:r w:rsidR="00464852" w:rsidRPr="00282AC9">
        <w:rPr>
          <w:sz w:val="27"/>
          <w:rtl/>
          <w:lang w:bidi="fa-IR"/>
        </w:rPr>
        <w:t>نّ</w:t>
      </w:r>
      <w:r w:rsidR="00735509" w:rsidRPr="00282AC9">
        <w:rPr>
          <w:rFonts w:hint="cs"/>
          <w:sz w:val="27"/>
          <w:rtl/>
          <w:lang w:bidi="fa-IR"/>
        </w:rPr>
        <w:t>َ</w:t>
      </w:r>
      <w:r w:rsidR="00464852" w:rsidRPr="00282AC9">
        <w:rPr>
          <w:sz w:val="27"/>
          <w:rtl/>
          <w:lang w:bidi="fa-IR"/>
        </w:rPr>
        <w:t>ة</w:t>
      </w:r>
      <w:r w:rsidR="00464852" w:rsidRPr="00282AC9">
        <w:rPr>
          <w:rFonts w:hint="eastAsia"/>
          <w:sz w:val="24"/>
          <w:szCs w:val="24"/>
          <w:rtl/>
        </w:rPr>
        <w:t>»</w:t>
      </w:r>
      <w:r w:rsidR="00464852" w:rsidRPr="00282AC9">
        <w:rPr>
          <w:sz w:val="27"/>
          <w:rtl/>
          <w:lang w:bidi="fa-IR"/>
        </w:rPr>
        <w:t xml:space="preserve"> </w:t>
      </w:r>
      <w:r w:rsidR="00464852" w:rsidRPr="00282AC9">
        <w:rPr>
          <w:rFonts w:hint="cs"/>
          <w:sz w:val="27"/>
          <w:rtl/>
          <w:lang w:bidi="fa-IR"/>
        </w:rPr>
        <w:t xml:space="preserve">في </w:t>
      </w:r>
      <w:r w:rsidR="00464852" w:rsidRPr="00282AC9">
        <w:rPr>
          <w:sz w:val="27"/>
          <w:rtl/>
          <w:lang w:bidi="fa-IR"/>
        </w:rPr>
        <w:t>طريقة الشياطين</w:t>
      </w:r>
      <w:r w:rsidR="00464852" w:rsidRPr="00282AC9">
        <w:rPr>
          <w:rFonts w:hint="cs"/>
          <w:sz w:val="27"/>
          <w:rtl/>
          <w:lang w:bidi="fa-IR"/>
        </w:rPr>
        <w:t xml:space="preserve"> مصداقاً</w:t>
      </w:r>
      <w:r w:rsidR="00464852" w:rsidRPr="00282AC9">
        <w:rPr>
          <w:sz w:val="27"/>
          <w:rtl/>
          <w:lang w:bidi="fa-IR"/>
        </w:rPr>
        <w:t>.</w:t>
      </w:r>
    </w:p>
    <w:p w:rsidR="00464852" w:rsidRPr="00282AC9" w:rsidRDefault="00735509" w:rsidP="00446290">
      <w:pPr>
        <w:spacing w:line="380" w:lineRule="exact"/>
        <w:rPr>
          <w:sz w:val="27"/>
          <w:rtl/>
        </w:rPr>
      </w:pPr>
      <w:r w:rsidRPr="00282AC9">
        <w:rPr>
          <w:rFonts w:hint="cs"/>
          <w:sz w:val="27"/>
          <w:rtl/>
        </w:rPr>
        <w:t xml:space="preserve">14ـ </w:t>
      </w:r>
      <w:r w:rsidR="00464852" w:rsidRPr="00282AC9">
        <w:rPr>
          <w:sz w:val="27"/>
          <w:rtl/>
        </w:rPr>
        <w:t>وقال ابن خزيمة</w:t>
      </w:r>
      <w:r w:rsidR="00131C42" w:rsidRPr="00282AC9">
        <w:rPr>
          <w:rFonts w:hint="cs"/>
          <w:sz w:val="27"/>
          <w:rtl/>
        </w:rPr>
        <w:t>(</w:t>
      </w:r>
      <w:r w:rsidR="00131C42" w:rsidRPr="00282AC9">
        <w:rPr>
          <w:sz w:val="27"/>
          <w:rtl/>
        </w:rPr>
        <w:t>311هـ</w:t>
      </w:r>
      <w:r w:rsidR="00131C42" w:rsidRPr="00282AC9">
        <w:rPr>
          <w:rFonts w:hint="cs"/>
          <w:sz w:val="27"/>
          <w:rtl/>
        </w:rPr>
        <w:t>)</w:t>
      </w:r>
      <w:r w:rsidRPr="00282AC9">
        <w:rPr>
          <w:rFonts w:hint="cs"/>
          <w:sz w:val="27"/>
          <w:rtl/>
        </w:rPr>
        <w:t>،</w:t>
      </w:r>
      <w:r w:rsidR="00464852" w:rsidRPr="00282AC9">
        <w:rPr>
          <w:sz w:val="27"/>
          <w:rtl/>
        </w:rPr>
        <w:t xml:space="preserve"> في عنوان فصلٍ من كتابه: </w:t>
      </w:r>
      <w:r w:rsidR="00464852" w:rsidRPr="00282AC9">
        <w:rPr>
          <w:rFonts w:hint="eastAsia"/>
          <w:sz w:val="24"/>
          <w:szCs w:val="24"/>
          <w:rtl/>
        </w:rPr>
        <w:t>«</w:t>
      </w:r>
      <w:r w:rsidR="00464852" w:rsidRPr="00282AC9">
        <w:rPr>
          <w:sz w:val="27"/>
          <w:rtl/>
        </w:rPr>
        <w:t>باب وقت الدَّفْعَة من عرفة</w:t>
      </w:r>
      <w:r w:rsidRPr="00282AC9">
        <w:rPr>
          <w:rFonts w:hint="cs"/>
          <w:sz w:val="27"/>
          <w:rtl/>
        </w:rPr>
        <w:t>،</w:t>
      </w:r>
      <w:r w:rsidR="00464852" w:rsidRPr="00282AC9">
        <w:rPr>
          <w:sz w:val="27"/>
          <w:rtl/>
        </w:rPr>
        <w:t xml:space="preserve"> خلاف سُنَّة أهل الكفر والأوثان </w:t>
      </w:r>
      <w:r w:rsidRPr="00282AC9">
        <w:rPr>
          <w:rFonts w:hint="cs"/>
          <w:sz w:val="27"/>
          <w:rtl/>
        </w:rPr>
        <w:t xml:space="preserve">التي </w:t>
      </w:r>
      <w:r w:rsidR="00464852" w:rsidRPr="00282AC9">
        <w:rPr>
          <w:sz w:val="27"/>
          <w:rtl/>
        </w:rPr>
        <w:t>كانت في الجاهلي</w:t>
      </w:r>
      <w:r w:rsidRPr="00282AC9">
        <w:rPr>
          <w:rFonts w:hint="cs"/>
          <w:sz w:val="27"/>
          <w:rtl/>
        </w:rPr>
        <w:t>ّ</w:t>
      </w:r>
      <w:r w:rsidR="00464852" w:rsidRPr="00282AC9">
        <w:rPr>
          <w:sz w:val="27"/>
          <w:rtl/>
        </w:rPr>
        <w:t>ة</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601"/>
      </w:r>
      <w:r w:rsidR="00464852" w:rsidRPr="00282AC9">
        <w:rPr>
          <w:sz w:val="27"/>
          <w:vertAlign w:val="superscript"/>
          <w:rtl/>
        </w:rPr>
        <w:t>)</w:t>
      </w:r>
      <w:r w:rsidRPr="00282AC9">
        <w:rPr>
          <w:sz w:val="27"/>
          <w:rtl/>
        </w:rPr>
        <w:t>.</w:t>
      </w:r>
    </w:p>
    <w:p w:rsidR="00464852" w:rsidRPr="00282AC9" w:rsidRDefault="00735509" w:rsidP="00446290">
      <w:pPr>
        <w:spacing w:line="380" w:lineRule="exact"/>
        <w:rPr>
          <w:sz w:val="27"/>
          <w:rtl/>
        </w:rPr>
      </w:pPr>
      <w:r w:rsidRPr="00282AC9">
        <w:rPr>
          <w:rFonts w:hint="cs"/>
          <w:sz w:val="27"/>
          <w:rtl/>
        </w:rPr>
        <w:t xml:space="preserve">15ـ </w:t>
      </w:r>
      <w:r w:rsidR="00464852" w:rsidRPr="00282AC9">
        <w:rPr>
          <w:sz w:val="27"/>
          <w:rtl/>
        </w:rPr>
        <w:t>وقال الهمداني</w:t>
      </w:r>
      <w:r w:rsidR="00512232" w:rsidRPr="00282AC9">
        <w:rPr>
          <w:rFonts w:hint="cs"/>
          <w:sz w:val="27"/>
          <w:rtl/>
        </w:rPr>
        <w:t>(</w:t>
      </w:r>
      <w:r w:rsidR="00512232" w:rsidRPr="00282AC9">
        <w:rPr>
          <w:sz w:val="27"/>
          <w:rtl/>
        </w:rPr>
        <w:t>33</w:t>
      </w:r>
      <w:r w:rsidR="00512232" w:rsidRPr="00282AC9">
        <w:rPr>
          <w:rFonts w:hint="cs"/>
          <w:sz w:val="27"/>
          <w:rtl/>
        </w:rPr>
        <w:t>4</w:t>
      </w:r>
      <w:r w:rsidR="00512232" w:rsidRPr="00282AC9">
        <w:rPr>
          <w:sz w:val="27"/>
          <w:rtl/>
        </w:rPr>
        <w:t>هـ</w:t>
      </w:r>
      <w:r w:rsidR="00512232" w:rsidRPr="00282AC9">
        <w:rPr>
          <w:rFonts w:hint="cs"/>
          <w:sz w:val="27"/>
          <w:rtl/>
        </w:rPr>
        <w:t>)</w:t>
      </w:r>
      <w:r w:rsidRPr="00282AC9">
        <w:rPr>
          <w:sz w:val="27"/>
          <w:rtl/>
        </w:rPr>
        <w:t>: و</w:t>
      </w:r>
      <w:r w:rsidR="00464852" w:rsidRPr="00282AC9">
        <w:rPr>
          <w:sz w:val="27"/>
          <w:rtl/>
        </w:rPr>
        <w:t>كان قد بقي من س</w:t>
      </w:r>
      <w:r w:rsidR="00464852" w:rsidRPr="00282AC9">
        <w:rPr>
          <w:rFonts w:hint="cs"/>
          <w:sz w:val="27"/>
          <w:rtl/>
        </w:rPr>
        <w:t>ُ</w:t>
      </w:r>
      <w:r w:rsidR="00464852" w:rsidRPr="00282AC9">
        <w:rPr>
          <w:sz w:val="27"/>
          <w:rtl/>
        </w:rPr>
        <w:t>نّ</w:t>
      </w:r>
      <w:r w:rsidR="00464852" w:rsidRPr="00282AC9">
        <w:rPr>
          <w:rFonts w:hint="cs"/>
          <w:sz w:val="27"/>
          <w:rtl/>
        </w:rPr>
        <w:t>َ</w:t>
      </w:r>
      <w:r w:rsidR="00464852" w:rsidRPr="00282AC9">
        <w:rPr>
          <w:sz w:val="27"/>
          <w:rtl/>
        </w:rPr>
        <w:t>تهم‏ أشياء</w:t>
      </w:r>
      <w:r w:rsidRPr="00282AC9">
        <w:rPr>
          <w:rFonts w:hint="cs"/>
          <w:sz w:val="27"/>
          <w:rtl/>
        </w:rPr>
        <w:t>،</w:t>
      </w:r>
      <w:r w:rsidR="00464852" w:rsidRPr="00282AC9">
        <w:rPr>
          <w:sz w:val="27"/>
          <w:rtl/>
        </w:rPr>
        <w:t xml:space="preserve"> أبطلها الإسلام</w:t>
      </w:r>
      <w:r w:rsidRPr="00282AC9">
        <w:rPr>
          <w:rFonts w:hint="cs"/>
          <w:sz w:val="27"/>
          <w:rtl/>
        </w:rPr>
        <w:t>،</w:t>
      </w:r>
      <w:r w:rsidR="00464852" w:rsidRPr="00282AC9">
        <w:rPr>
          <w:sz w:val="27"/>
          <w:rtl/>
        </w:rPr>
        <w:t xml:space="preserve"> مثل: الميسر و...</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602"/>
      </w:r>
      <w:r w:rsidR="00464852" w:rsidRPr="00282AC9">
        <w:rPr>
          <w:sz w:val="27"/>
          <w:vertAlign w:val="superscript"/>
          <w:rtl/>
        </w:rPr>
        <w:t>)</w:t>
      </w:r>
      <w:r w:rsidR="00464852" w:rsidRPr="00282AC9">
        <w:rPr>
          <w:sz w:val="27"/>
          <w:rtl/>
        </w:rPr>
        <w:t>.</w:t>
      </w:r>
    </w:p>
    <w:p w:rsidR="00464852" w:rsidRPr="00282AC9" w:rsidRDefault="00735509" w:rsidP="00407A45">
      <w:pPr>
        <w:spacing w:line="386" w:lineRule="exact"/>
        <w:rPr>
          <w:sz w:val="27"/>
          <w:rtl/>
        </w:rPr>
      </w:pPr>
      <w:r w:rsidRPr="00282AC9">
        <w:rPr>
          <w:rFonts w:hint="cs"/>
          <w:sz w:val="27"/>
          <w:rtl/>
        </w:rPr>
        <w:t xml:space="preserve">16ـ </w:t>
      </w:r>
      <w:r w:rsidR="00464852" w:rsidRPr="00282AC9">
        <w:rPr>
          <w:sz w:val="27"/>
          <w:rtl/>
        </w:rPr>
        <w:t>وقال ابن عبد رب</w:t>
      </w:r>
      <w:r w:rsidRPr="00282AC9">
        <w:rPr>
          <w:rFonts w:hint="cs"/>
          <w:sz w:val="27"/>
          <w:rtl/>
        </w:rPr>
        <w:t>ّ</w:t>
      </w:r>
      <w:r w:rsidR="00464852" w:rsidRPr="00282AC9">
        <w:rPr>
          <w:sz w:val="27"/>
          <w:rtl/>
        </w:rPr>
        <w:t>ه</w:t>
      </w:r>
      <w:r w:rsidR="00512232" w:rsidRPr="00282AC9">
        <w:rPr>
          <w:rFonts w:hint="cs"/>
          <w:sz w:val="27"/>
          <w:rtl/>
        </w:rPr>
        <w:t>(</w:t>
      </w:r>
      <w:r w:rsidR="00512232" w:rsidRPr="00282AC9">
        <w:rPr>
          <w:sz w:val="27"/>
          <w:rtl/>
        </w:rPr>
        <w:t>328هـ</w:t>
      </w:r>
      <w:r w:rsidR="00512232" w:rsidRPr="00282AC9">
        <w:rPr>
          <w:rFonts w:hint="cs"/>
          <w:sz w:val="27"/>
          <w:rtl/>
        </w:rPr>
        <w:t>)</w:t>
      </w:r>
      <w:r w:rsidR="00464852" w:rsidRPr="00282AC9">
        <w:rPr>
          <w:sz w:val="27"/>
          <w:rtl/>
        </w:rPr>
        <w:t xml:space="preserve">: </w:t>
      </w:r>
      <w:r w:rsidR="00464852" w:rsidRPr="00282AC9">
        <w:rPr>
          <w:rFonts w:hint="eastAsia"/>
          <w:sz w:val="24"/>
          <w:szCs w:val="24"/>
          <w:rtl/>
        </w:rPr>
        <w:t>«</w:t>
      </w:r>
      <w:r w:rsidR="00464852" w:rsidRPr="00282AC9">
        <w:rPr>
          <w:sz w:val="27"/>
          <w:rtl/>
        </w:rPr>
        <w:t xml:space="preserve">وكان رسول </w:t>
      </w:r>
      <w:r w:rsidR="006D28AF" w:rsidRPr="00282AC9">
        <w:rPr>
          <w:sz w:val="27"/>
          <w:rtl/>
        </w:rPr>
        <w:t>الل</w:t>
      </w:r>
      <w:r w:rsidR="00464852" w:rsidRPr="00282AC9">
        <w:rPr>
          <w:sz w:val="27"/>
          <w:rtl/>
        </w:rPr>
        <w:t>ه</w:t>
      </w:r>
      <w:r w:rsidR="00A9773B" w:rsidRPr="00282AC9">
        <w:rPr>
          <w:rFonts w:ascii="Mosawi" w:hAnsi="Mosawi" w:cs="Mosawi"/>
          <w:sz w:val="22"/>
          <w:szCs w:val="22"/>
          <w:rtl/>
        </w:rPr>
        <w:t>ﷺ</w:t>
      </w:r>
      <w:r w:rsidR="00464852" w:rsidRPr="00282AC9">
        <w:rPr>
          <w:sz w:val="27"/>
          <w:rtl/>
        </w:rPr>
        <w:t xml:space="preserve"> يكتب إلى أصحابه وأمراء جنوده: من محمد رسول </w:t>
      </w:r>
      <w:r w:rsidR="00C06BE6" w:rsidRPr="00282AC9">
        <w:rPr>
          <w:sz w:val="27"/>
          <w:rtl/>
        </w:rPr>
        <w:t>الل</w:t>
      </w:r>
      <w:r w:rsidR="00464852" w:rsidRPr="00282AC9">
        <w:rPr>
          <w:sz w:val="27"/>
          <w:rtl/>
        </w:rPr>
        <w:t>ه إلى فلان</w:t>
      </w:r>
      <w:r w:rsidRPr="00282AC9">
        <w:rPr>
          <w:rFonts w:hint="cs"/>
          <w:sz w:val="27"/>
          <w:rtl/>
        </w:rPr>
        <w:t>ٍ</w:t>
      </w:r>
      <w:r w:rsidR="00464852" w:rsidRPr="00282AC9">
        <w:rPr>
          <w:sz w:val="27"/>
          <w:rtl/>
        </w:rPr>
        <w:t>. وكذلك كانوا يكتبون إليه... ثم</w:t>
      </w:r>
      <w:r w:rsidRPr="00282AC9">
        <w:rPr>
          <w:rFonts w:hint="cs"/>
          <w:sz w:val="27"/>
          <w:rtl/>
        </w:rPr>
        <w:t>ّ</w:t>
      </w:r>
      <w:r w:rsidR="00464852" w:rsidRPr="00282AC9">
        <w:rPr>
          <w:sz w:val="27"/>
          <w:rtl/>
        </w:rPr>
        <w:t xml:space="preserve"> لم ت</w:t>
      </w:r>
      <w:r w:rsidRPr="00282AC9">
        <w:rPr>
          <w:rFonts w:hint="cs"/>
          <w:sz w:val="27"/>
          <w:rtl/>
        </w:rPr>
        <w:t>َ</w:t>
      </w:r>
      <w:r w:rsidR="00464852" w:rsidRPr="00282AC9">
        <w:rPr>
          <w:sz w:val="27"/>
          <w:rtl/>
        </w:rPr>
        <w:t>ز</w:t>
      </w:r>
      <w:r w:rsidRPr="00282AC9">
        <w:rPr>
          <w:rFonts w:hint="cs"/>
          <w:sz w:val="27"/>
          <w:rtl/>
        </w:rPr>
        <w:t>َ</w:t>
      </w:r>
      <w:r w:rsidR="00464852" w:rsidRPr="00282AC9">
        <w:rPr>
          <w:sz w:val="27"/>
          <w:rtl/>
        </w:rPr>
        <w:t>ل</w:t>
      </w:r>
      <w:r w:rsidRPr="00282AC9">
        <w:rPr>
          <w:rFonts w:hint="cs"/>
          <w:sz w:val="27"/>
          <w:rtl/>
        </w:rPr>
        <w:t>ْ</w:t>
      </w:r>
      <w:r w:rsidR="00464852" w:rsidRPr="00282AC9">
        <w:rPr>
          <w:sz w:val="27"/>
          <w:rtl/>
        </w:rPr>
        <w:t xml:space="preserve"> حت</w:t>
      </w:r>
      <w:r w:rsidRPr="00282AC9">
        <w:rPr>
          <w:rFonts w:hint="cs"/>
          <w:sz w:val="27"/>
          <w:rtl/>
        </w:rPr>
        <w:t>ّ</w:t>
      </w:r>
      <w:r w:rsidR="00464852" w:rsidRPr="00282AC9">
        <w:rPr>
          <w:sz w:val="27"/>
          <w:rtl/>
        </w:rPr>
        <w:t>ى وُلّ</w:t>
      </w:r>
      <w:r w:rsidRPr="00282AC9">
        <w:rPr>
          <w:rFonts w:hint="cs"/>
          <w:sz w:val="27"/>
          <w:rtl/>
        </w:rPr>
        <w:t>ِ</w:t>
      </w:r>
      <w:r w:rsidR="00464852" w:rsidRPr="00282AC9">
        <w:rPr>
          <w:sz w:val="27"/>
          <w:rtl/>
        </w:rPr>
        <w:t>ي الوليد بن عبد الملك، فعظم الكتاب</w:t>
      </w:r>
      <w:r w:rsidRPr="00282AC9">
        <w:rPr>
          <w:rFonts w:hint="cs"/>
          <w:sz w:val="27"/>
          <w:rtl/>
        </w:rPr>
        <w:t>،</w:t>
      </w:r>
      <w:r w:rsidR="00464852" w:rsidRPr="00282AC9">
        <w:rPr>
          <w:sz w:val="27"/>
          <w:rtl/>
        </w:rPr>
        <w:t xml:space="preserve"> وأمر أن لا يكاتبه الناس بمثل ما يكاتب به بعضهم بعضا</w:t>
      </w:r>
      <w:r w:rsidRPr="00282AC9">
        <w:rPr>
          <w:rFonts w:hint="cs"/>
          <w:sz w:val="27"/>
          <w:rtl/>
        </w:rPr>
        <w:t>ً</w:t>
      </w:r>
      <w:r w:rsidR="00464852" w:rsidRPr="00282AC9">
        <w:rPr>
          <w:sz w:val="27"/>
          <w:rtl/>
        </w:rPr>
        <w:t>، فج</w:t>
      </w:r>
      <w:r w:rsidRPr="00282AC9">
        <w:rPr>
          <w:rFonts w:hint="cs"/>
          <w:sz w:val="27"/>
          <w:rtl/>
        </w:rPr>
        <w:t>َ</w:t>
      </w:r>
      <w:r w:rsidR="00464852" w:rsidRPr="00282AC9">
        <w:rPr>
          <w:sz w:val="27"/>
          <w:rtl/>
        </w:rPr>
        <w:t>ر</w:t>
      </w:r>
      <w:r w:rsidRPr="00282AC9">
        <w:rPr>
          <w:rFonts w:hint="cs"/>
          <w:sz w:val="27"/>
          <w:rtl/>
        </w:rPr>
        <w:t>َ</w:t>
      </w:r>
      <w:r w:rsidR="00464852" w:rsidRPr="00282AC9">
        <w:rPr>
          <w:sz w:val="27"/>
          <w:rtl/>
        </w:rPr>
        <w:t>ت</w:t>
      </w:r>
      <w:r w:rsidRPr="00282AC9">
        <w:rPr>
          <w:rFonts w:hint="cs"/>
          <w:sz w:val="27"/>
          <w:rtl/>
        </w:rPr>
        <w:t>ْ</w:t>
      </w:r>
      <w:r w:rsidR="00464852" w:rsidRPr="00282AC9">
        <w:rPr>
          <w:sz w:val="27"/>
          <w:rtl/>
        </w:rPr>
        <w:t xml:space="preserve"> به س</w:t>
      </w:r>
      <w:r w:rsidR="00464852" w:rsidRPr="00282AC9">
        <w:rPr>
          <w:rFonts w:hint="cs"/>
          <w:sz w:val="27"/>
          <w:rtl/>
        </w:rPr>
        <w:t>ُ</w:t>
      </w:r>
      <w:r w:rsidR="00464852" w:rsidRPr="00282AC9">
        <w:rPr>
          <w:sz w:val="27"/>
          <w:rtl/>
        </w:rPr>
        <w:t>نّ</w:t>
      </w:r>
      <w:r w:rsidR="00464852" w:rsidRPr="00282AC9">
        <w:rPr>
          <w:rFonts w:hint="cs"/>
          <w:sz w:val="27"/>
          <w:rtl/>
        </w:rPr>
        <w:t>َ</w:t>
      </w:r>
      <w:r w:rsidR="00464852" w:rsidRPr="00282AC9">
        <w:rPr>
          <w:sz w:val="27"/>
          <w:rtl/>
        </w:rPr>
        <w:t>ة الوليد إلى يومنا هذا</w:t>
      </w:r>
      <w:r w:rsidRPr="00282AC9">
        <w:rPr>
          <w:rFonts w:hint="cs"/>
          <w:sz w:val="27"/>
          <w:rtl/>
        </w:rPr>
        <w:t>،</w:t>
      </w:r>
      <w:r w:rsidR="00464852" w:rsidRPr="00282AC9">
        <w:rPr>
          <w:sz w:val="27"/>
          <w:rtl/>
        </w:rPr>
        <w:t xml:space="preserve"> إلا</w:t>
      </w:r>
      <w:r w:rsidRPr="00282AC9">
        <w:rPr>
          <w:rFonts w:hint="cs"/>
          <w:sz w:val="27"/>
          <w:rtl/>
        </w:rPr>
        <w:t>ّ</w:t>
      </w:r>
      <w:r w:rsidR="00464852" w:rsidRPr="00282AC9">
        <w:rPr>
          <w:sz w:val="27"/>
          <w:rtl/>
        </w:rPr>
        <w:t xml:space="preserve"> ما كان من عمر بن عبد العزيز ويزيد الكامل</w:t>
      </w:r>
      <w:r w:rsidRPr="00282AC9">
        <w:rPr>
          <w:rFonts w:hint="cs"/>
          <w:sz w:val="27"/>
          <w:rtl/>
        </w:rPr>
        <w:t>؛</w:t>
      </w:r>
      <w:r w:rsidR="00464852" w:rsidRPr="00282AC9">
        <w:rPr>
          <w:sz w:val="27"/>
          <w:rtl/>
        </w:rPr>
        <w:t xml:space="preserve"> فإنهما عملا بس</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 xml:space="preserve">ة رسول </w:t>
      </w:r>
      <w:r w:rsidR="00C06BE6" w:rsidRPr="00282AC9">
        <w:rPr>
          <w:sz w:val="27"/>
          <w:rtl/>
        </w:rPr>
        <w:t>الل</w:t>
      </w:r>
      <w:r w:rsidR="00464852" w:rsidRPr="00282AC9">
        <w:rPr>
          <w:sz w:val="27"/>
          <w:rtl/>
        </w:rPr>
        <w:t>ه</w:t>
      </w:r>
      <w:r w:rsidR="00A9773B" w:rsidRPr="00282AC9">
        <w:rPr>
          <w:rFonts w:ascii="Mosawi" w:hAnsi="Mosawi" w:cs="Mosawi"/>
          <w:sz w:val="22"/>
          <w:szCs w:val="22"/>
          <w:rtl/>
        </w:rPr>
        <w:t>ﷺ</w:t>
      </w:r>
      <w:r w:rsidR="00464852" w:rsidRPr="00282AC9">
        <w:rPr>
          <w:sz w:val="27"/>
          <w:rtl/>
        </w:rPr>
        <w:t>، ثم</w:t>
      </w:r>
      <w:r w:rsidRPr="00282AC9">
        <w:rPr>
          <w:rFonts w:hint="cs"/>
          <w:sz w:val="27"/>
          <w:rtl/>
        </w:rPr>
        <w:t>ّ</w:t>
      </w:r>
      <w:r w:rsidR="00464852" w:rsidRPr="00282AC9">
        <w:rPr>
          <w:sz w:val="27"/>
          <w:rtl/>
        </w:rPr>
        <w:t xml:space="preserve"> رجع الأمر إلى رأي الوليد...</w:t>
      </w:r>
      <w:r w:rsidR="00464852" w:rsidRPr="00282AC9">
        <w:rPr>
          <w:rFonts w:hint="eastAsia"/>
          <w:sz w:val="24"/>
          <w:szCs w:val="24"/>
          <w:rtl/>
        </w:rPr>
        <w:t>»</w:t>
      </w:r>
      <w:r w:rsidR="00464852" w:rsidRPr="00282AC9">
        <w:rPr>
          <w:sz w:val="27"/>
          <w:vertAlign w:val="superscript"/>
          <w:rtl/>
          <w:lang w:bidi="fa-IR"/>
        </w:rPr>
        <w:t>(</w:t>
      </w:r>
      <w:r w:rsidR="00464852" w:rsidRPr="00282AC9">
        <w:rPr>
          <w:rStyle w:val="af9"/>
          <w:sz w:val="27"/>
          <w:rtl/>
          <w:lang w:bidi="fa-IR"/>
        </w:rPr>
        <w:endnoteReference w:id="603"/>
      </w:r>
      <w:r w:rsidR="00464852" w:rsidRPr="00282AC9">
        <w:rPr>
          <w:sz w:val="27"/>
          <w:vertAlign w:val="superscript"/>
          <w:rtl/>
          <w:lang w:bidi="fa-IR"/>
        </w:rPr>
        <w:t>)</w:t>
      </w:r>
      <w:r w:rsidR="00464852" w:rsidRPr="00282AC9">
        <w:rPr>
          <w:rFonts w:hint="cs"/>
          <w:sz w:val="27"/>
          <w:rtl/>
          <w:lang w:bidi="fa-IR"/>
        </w:rPr>
        <w:t>.</w:t>
      </w:r>
    </w:p>
    <w:p w:rsidR="00464852" w:rsidRPr="00282AC9" w:rsidRDefault="00735509" w:rsidP="00407A45">
      <w:pPr>
        <w:spacing w:line="386" w:lineRule="exact"/>
        <w:rPr>
          <w:sz w:val="27"/>
          <w:rtl/>
        </w:rPr>
      </w:pPr>
      <w:r w:rsidRPr="00282AC9">
        <w:rPr>
          <w:rFonts w:hint="cs"/>
          <w:sz w:val="27"/>
          <w:rtl/>
        </w:rPr>
        <w:t xml:space="preserve">17ـ </w:t>
      </w:r>
      <w:r w:rsidR="00464852" w:rsidRPr="00282AC9">
        <w:rPr>
          <w:sz w:val="27"/>
          <w:rtl/>
        </w:rPr>
        <w:t>وقال ابن الفق</w:t>
      </w:r>
      <w:r w:rsidR="00464852" w:rsidRPr="00282AC9">
        <w:rPr>
          <w:rFonts w:ascii="Times New Roman" w:hAnsi="Times New Roman" w:hint="cs"/>
          <w:sz w:val="27"/>
          <w:rtl/>
        </w:rPr>
        <w:t>ي</w:t>
      </w:r>
      <w:r w:rsidR="00464852" w:rsidRPr="00282AC9">
        <w:rPr>
          <w:rFonts w:hint="cs"/>
          <w:sz w:val="27"/>
          <w:rtl/>
        </w:rPr>
        <w:t>ه</w:t>
      </w:r>
      <w:r w:rsidR="00512232" w:rsidRPr="00282AC9">
        <w:rPr>
          <w:rFonts w:hint="cs"/>
          <w:sz w:val="27"/>
          <w:rtl/>
        </w:rPr>
        <w:t>(</w:t>
      </w:r>
      <w:r w:rsidR="00512232" w:rsidRPr="00282AC9">
        <w:rPr>
          <w:sz w:val="27"/>
          <w:rtl/>
        </w:rPr>
        <w:t>3</w:t>
      </w:r>
      <w:r w:rsidR="00512232" w:rsidRPr="00282AC9">
        <w:rPr>
          <w:rFonts w:hint="cs"/>
          <w:sz w:val="27"/>
          <w:rtl/>
        </w:rPr>
        <w:t>65</w:t>
      </w:r>
      <w:r w:rsidR="00512232" w:rsidRPr="00282AC9">
        <w:rPr>
          <w:sz w:val="27"/>
          <w:rtl/>
        </w:rPr>
        <w:t>هـ</w:t>
      </w:r>
      <w:r w:rsidR="00512232" w:rsidRPr="00282AC9">
        <w:rPr>
          <w:rFonts w:hint="cs"/>
          <w:sz w:val="27"/>
          <w:rtl/>
        </w:rPr>
        <w:t>)</w:t>
      </w:r>
      <w:r w:rsidR="00464852" w:rsidRPr="00282AC9">
        <w:rPr>
          <w:sz w:val="27"/>
          <w:rtl/>
        </w:rPr>
        <w:t xml:space="preserve">: </w:t>
      </w:r>
      <w:r w:rsidR="00464852" w:rsidRPr="00282AC9">
        <w:rPr>
          <w:rFonts w:hint="eastAsia"/>
          <w:sz w:val="24"/>
          <w:szCs w:val="24"/>
          <w:rtl/>
        </w:rPr>
        <w:t>«</w:t>
      </w:r>
      <w:r w:rsidR="00464852" w:rsidRPr="00282AC9">
        <w:rPr>
          <w:sz w:val="27"/>
          <w:rtl/>
        </w:rPr>
        <w:t>...وكانت س</w:t>
      </w:r>
      <w:r w:rsidR="00464852" w:rsidRPr="00282AC9">
        <w:rPr>
          <w:rFonts w:hint="cs"/>
          <w:sz w:val="27"/>
          <w:rtl/>
        </w:rPr>
        <w:t>ُ</w:t>
      </w:r>
      <w:r w:rsidR="00464852" w:rsidRPr="00282AC9">
        <w:rPr>
          <w:sz w:val="27"/>
          <w:rtl/>
        </w:rPr>
        <w:t>نّ</w:t>
      </w:r>
      <w:r w:rsidR="00464852" w:rsidRPr="00282AC9">
        <w:rPr>
          <w:rFonts w:hint="cs"/>
          <w:sz w:val="27"/>
          <w:rtl/>
        </w:rPr>
        <w:t>َ</w:t>
      </w:r>
      <w:r w:rsidR="00464852" w:rsidRPr="00282AC9">
        <w:rPr>
          <w:sz w:val="27"/>
          <w:rtl/>
        </w:rPr>
        <w:t>تهم‏ إذا ه</w:t>
      </w:r>
      <w:r w:rsidRPr="00282AC9">
        <w:rPr>
          <w:rFonts w:hint="cs"/>
          <w:sz w:val="27"/>
          <w:rtl/>
        </w:rPr>
        <w:t>ُ</w:t>
      </w:r>
      <w:r w:rsidR="00464852" w:rsidRPr="00282AC9">
        <w:rPr>
          <w:sz w:val="27"/>
          <w:rtl/>
        </w:rPr>
        <w:t>م</w:t>
      </w:r>
      <w:r w:rsidRPr="00282AC9">
        <w:rPr>
          <w:rFonts w:hint="cs"/>
          <w:sz w:val="27"/>
          <w:rtl/>
        </w:rPr>
        <w:t>ْ</w:t>
      </w:r>
      <w:r w:rsidR="00464852" w:rsidRPr="00282AC9">
        <w:rPr>
          <w:sz w:val="27"/>
          <w:rtl/>
        </w:rPr>
        <w:t xml:space="preserve"> وافوه أن يسجدوا للص</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م الأكبر</w:t>
      </w:r>
      <w:r w:rsidR="00464852" w:rsidRPr="00282AC9">
        <w:rPr>
          <w:rFonts w:hint="eastAsia"/>
          <w:sz w:val="24"/>
          <w:szCs w:val="24"/>
          <w:rtl/>
        </w:rPr>
        <w:t>»</w:t>
      </w:r>
      <w:r w:rsidR="00464852" w:rsidRPr="00282AC9">
        <w:rPr>
          <w:rFonts w:hint="cs"/>
          <w:sz w:val="27"/>
          <w:rtl/>
        </w:rPr>
        <w:t>.</w:t>
      </w:r>
      <w:r w:rsidR="00464852" w:rsidRPr="00282AC9">
        <w:rPr>
          <w:sz w:val="27"/>
          <w:vertAlign w:val="superscript"/>
          <w:rtl/>
        </w:rPr>
        <w:t>(</w:t>
      </w:r>
      <w:r w:rsidR="00464852" w:rsidRPr="00282AC9">
        <w:rPr>
          <w:rStyle w:val="af9"/>
          <w:sz w:val="27"/>
          <w:rtl/>
        </w:rPr>
        <w:endnoteReference w:id="604"/>
      </w:r>
      <w:r w:rsidR="00464852" w:rsidRPr="00282AC9">
        <w:rPr>
          <w:sz w:val="27"/>
          <w:vertAlign w:val="superscript"/>
          <w:rtl/>
        </w:rPr>
        <w:t>)</w:t>
      </w:r>
    </w:p>
    <w:p w:rsidR="00464852" w:rsidRPr="00282AC9" w:rsidRDefault="00735509" w:rsidP="00153C0A">
      <w:pPr>
        <w:spacing w:line="380" w:lineRule="exact"/>
        <w:rPr>
          <w:sz w:val="27"/>
        </w:rPr>
      </w:pPr>
      <w:r w:rsidRPr="00282AC9">
        <w:rPr>
          <w:rFonts w:hint="cs"/>
          <w:sz w:val="27"/>
          <w:rtl/>
        </w:rPr>
        <w:lastRenderedPageBreak/>
        <w:t xml:space="preserve">18ـ </w:t>
      </w:r>
      <w:r w:rsidR="00464852" w:rsidRPr="00282AC9">
        <w:rPr>
          <w:sz w:val="27"/>
          <w:rtl/>
        </w:rPr>
        <w:t>وقال ابن النديم</w:t>
      </w:r>
      <w:r w:rsidR="00512232" w:rsidRPr="00282AC9">
        <w:rPr>
          <w:rFonts w:hint="cs"/>
          <w:sz w:val="27"/>
          <w:rtl/>
        </w:rPr>
        <w:t>(</w:t>
      </w:r>
      <w:r w:rsidR="00512232" w:rsidRPr="00282AC9">
        <w:rPr>
          <w:sz w:val="27"/>
          <w:rtl/>
        </w:rPr>
        <w:t>38</w:t>
      </w:r>
      <w:r w:rsidR="00512232" w:rsidRPr="00282AC9">
        <w:rPr>
          <w:rFonts w:hint="cs"/>
          <w:sz w:val="27"/>
          <w:rtl/>
        </w:rPr>
        <w:t>5</w:t>
      </w:r>
      <w:r w:rsidR="00512232" w:rsidRPr="00282AC9">
        <w:rPr>
          <w:sz w:val="27"/>
          <w:rtl/>
        </w:rPr>
        <w:t>هـ</w:t>
      </w:r>
      <w:r w:rsidR="00512232" w:rsidRPr="00282AC9">
        <w:rPr>
          <w:rFonts w:hint="cs"/>
          <w:sz w:val="27"/>
          <w:rtl/>
        </w:rPr>
        <w:t>)</w:t>
      </w:r>
      <w:r w:rsidR="00464852" w:rsidRPr="00282AC9">
        <w:rPr>
          <w:sz w:val="27"/>
          <w:rtl/>
        </w:rPr>
        <w:t xml:space="preserve">: </w:t>
      </w:r>
      <w:r w:rsidR="00464852" w:rsidRPr="00282AC9">
        <w:rPr>
          <w:rFonts w:hint="eastAsia"/>
          <w:sz w:val="24"/>
          <w:szCs w:val="24"/>
          <w:rtl/>
        </w:rPr>
        <w:t>«</w:t>
      </w:r>
      <w:r w:rsidR="00464852" w:rsidRPr="00282AC9">
        <w:rPr>
          <w:sz w:val="27"/>
          <w:rtl/>
        </w:rPr>
        <w:t>...هم عبّاد القمر، يقولون</w:t>
      </w:r>
      <w:r w:rsidRPr="00282AC9">
        <w:rPr>
          <w:rFonts w:hint="cs"/>
          <w:sz w:val="27"/>
          <w:rtl/>
        </w:rPr>
        <w:t>:</w:t>
      </w:r>
      <w:r w:rsidR="00464852" w:rsidRPr="00282AC9">
        <w:rPr>
          <w:sz w:val="27"/>
          <w:rtl/>
        </w:rPr>
        <w:t xml:space="preserve"> إن القمر من الملائكة، يستحق</w:t>
      </w:r>
      <w:r w:rsidRPr="00282AC9">
        <w:rPr>
          <w:rFonts w:hint="cs"/>
          <w:sz w:val="27"/>
          <w:rtl/>
        </w:rPr>
        <w:t>ّ</w:t>
      </w:r>
      <w:r w:rsidR="00464852" w:rsidRPr="00282AC9">
        <w:rPr>
          <w:sz w:val="27"/>
          <w:rtl/>
        </w:rPr>
        <w:t xml:space="preserve"> التعظيم والعبادة. ومن‏ س</w:t>
      </w:r>
      <w:r w:rsidR="00464852" w:rsidRPr="00282AC9">
        <w:rPr>
          <w:rFonts w:hint="cs"/>
          <w:sz w:val="27"/>
          <w:rtl/>
        </w:rPr>
        <w:t>ُ</w:t>
      </w:r>
      <w:r w:rsidR="00464852" w:rsidRPr="00282AC9">
        <w:rPr>
          <w:sz w:val="27"/>
          <w:rtl/>
        </w:rPr>
        <w:t>نّ</w:t>
      </w:r>
      <w:r w:rsidR="00464852" w:rsidRPr="00282AC9">
        <w:rPr>
          <w:rFonts w:hint="cs"/>
          <w:sz w:val="27"/>
          <w:rtl/>
        </w:rPr>
        <w:t>َ</w:t>
      </w:r>
      <w:r w:rsidR="00464852" w:rsidRPr="00282AC9">
        <w:rPr>
          <w:sz w:val="27"/>
          <w:rtl/>
        </w:rPr>
        <w:t>تهم‏ أن يت</w:t>
      </w:r>
      <w:r w:rsidRPr="00282AC9">
        <w:rPr>
          <w:rFonts w:hint="cs"/>
          <w:sz w:val="27"/>
          <w:rtl/>
        </w:rPr>
        <w:t>َّ</w:t>
      </w:r>
      <w:r w:rsidR="00464852" w:rsidRPr="00282AC9">
        <w:rPr>
          <w:sz w:val="27"/>
          <w:rtl/>
        </w:rPr>
        <w:t>خذوا له ص</w:t>
      </w:r>
      <w:r w:rsidRPr="00282AC9">
        <w:rPr>
          <w:rFonts w:hint="cs"/>
          <w:sz w:val="27"/>
          <w:rtl/>
        </w:rPr>
        <w:t>َ</w:t>
      </w:r>
      <w:r w:rsidR="00464852" w:rsidRPr="00282AC9">
        <w:rPr>
          <w:sz w:val="27"/>
          <w:rtl/>
        </w:rPr>
        <w:t>ن</w:t>
      </w:r>
      <w:r w:rsidRPr="00282AC9">
        <w:rPr>
          <w:rFonts w:hint="cs"/>
          <w:sz w:val="27"/>
          <w:rtl/>
        </w:rPr>
        <w:t>َ</w:t>
      </w:r>
      <w:r w:rsidR="00464852" w:rsidRPr="00282AC9">
        <w:rPr>
          <w:sz w:val="27"/>
          <w:rtl/>
        </w:rPr>
        <w:t>ما</w:t>
      </w:r>
      <w:r w:rsidR="00464852" w:rsidRPr="00282AC9">
        <w:rPr>
          <w:rFonts w:hint="cs"/>
          <w:sz w:val="27"/>
          <w:rtl/>
        </w:rPr>
        <w:t>ً</w:t>
      </w:r>
      <w:r w:rsidR="00464852" w:rsidRPr="00282AC9">
        <w:rPr>
          <w:sz w:val="27"/>
          <w:rtl/>
        </w:rPr>
        <w:t>...</w:t>
      </w:r>
      <w:r w:rsidR="00464852" w:rsidRPr="00282AC9">
        <w:rPr>
          <w:rFonts w:hint="eastAsia"/>
          <w:sz w:val="24"/>
          <w:szCs w:val="24"/>
          <w:rtl/>
        </w:rPr>
        <w:t>»</w:t>
      </w:r>
      <w:r w:rsidR="00464852" w:rsidRPr="00282AC9">
        <w:rPr>
          <w:sz w:val="27"/>
          <w:vertAlign w:val="superscript"/>
          <w:rtl/>
        </w:rPr>
        <w:t>(</w:t>
      </w:r>
      <w:r w:rsidR="00464852" w:rsidRPr="00282AC9">
        <w:rPr>
          <w:rStyle w:val="af9"/>
          <w:sz w:val="27"/>
          <w:rtl/>
        </w:rPr>
        <w:endnoteReference w:id="605"/>
      </w:r>
      <w:r w:rsidR="00464852" w:rsidRPr="00282AC9">
        <w:rPr>
          <w:sz w:val="27"/>
          <w:vertAlign w:val="superscript"/>
          <w:rtl/>
        </w:rPr>
        <w:t>)</w:t>
      </w:r>
      <w:r w:rsidR="00464852" w:rsidRPr="00282AC9">
        <w:rPr>
          <w:rFonts w:hint="cs"/>
          <w:sz w:val="27"/>
          <w:rtl/>
        </w:rPr>
        <w:t>.</w:t>
      </w:r>
    </w:p>
    <w:p w:rsidR="00464852" w:rsidRPr="00282AC9" w:rsidRDefault="00735509" w:rsidP="00153C0A">
      <w:pPr>
        <w:spacing w:line="380" w:lineRule="exact"/>
        <w:rPr>
          <w:sz w:val="27"/>
          <w:rtl/>
          <w:lang w:bidi="fa-IR"/>
        </w:rPr>
      </w:pPr>
      <w:r w:rsidRPr="00282AC9">
        <w:rPr>
          <w:rFonts w:hint="cs"/>
          <w:sz w:val="27"/>
          <w:rtl/>
        </w:rPr>
        <w:t xml:space="preserve">19ـ </w:t>
      </w:r>
      <w:r w:rsidR="00464852" w:rsidRPr="00282AC9">
        <w:rPr>
          <w:sz w:val="27"/>
          <w:rtl/>
        </w:rPr>
        <w:t xml:space="preserve">شعرٌ </w:t>
      </w:r>
      <w:r w:rsidR="00464852" w:rsidRPr="00282AC9">
        <w:rPr>
          <w:rFonts w:hint="cs"/>
          <w:sz w:val="27"/>
          <w:rtl/>
        </w:rPr>
        <w:t>أنشده</w:t>
      </w:r>
      <w:r w:rsidR="00464852" w:rsidRPr="00282AC9">
        <w:rPr>
          <w:sz w:val="27"/>
          <w:rtl/>
        </w:rPr>
        <w:t xml:space="preserve"> عبد</w:t>
      </w:r>
      <w:r w:rsidR="00464852" w:rsidRPr="00282AC9">
        <w:rPr>
          <w:rFonts w:hint="cs"/>
          <w:sz w:val="27"/>
          <w:rtl/>
        </w:rPr>
        <w:t>ُ</w:t>
      </w:r>
      <w:r w:rsidR="00464852" w:rsidRPr="00282AC9">
        <w:rPr>
          <w:sz w:val="27"/>
          <w:rtl/>
        </w:rPr>
        <w:t xml:space="preserve"> </w:t>
      </w:r>
      <w:r w:rsidR="00C06BE6" w:rsidRPr="00282AC9">
        <w:rPr>
          <w:sz w:val="27"/>
          <w:rtl/>
        </w:rPr>
        <w:t>الل</w:t>
      </w:r>
      <w:r w:rsidR="00464852" w:rsidRPr="00282AC9">
        <w:rPr>
          <w:sz w:val="27"/>
          <w:rtl/>
        </w:rPr>
        <w:t>ه بن عليّ‌، عمّ أبي جعفر المنصور</w:t>
      </w:r>
      <w:r w:rsidRPr="00282AC9">
        <w:rPr>
          <w:rFonts w:hint="cs"/>
          <w:sz w:val="27"/>
          <w:rtl/>
        </w:rPr>
        <w:t>،</w:t>
      </w:r>
      <w:r w:rsidR="00464852" w:rsidRPr="00282AC9">
        <w:rPr>
          <w:sz w:val="27"/>
          <w:rtl/>
        </w:rPr>
        <w:t xml:space="preserve"> يخاطب امرأة</w:t>
      </w:r>
      <w:r w:rsidR="00464852" w:rsidRPr="00282AC9">
        <w:rPr>
          <w:rFonts w:hint="cs"/>
          <w:sz w:val="27"/>
          <w:rtl/>
        </w:rPr>
        <w:t>ً</w:t>
      </w:r>
      <w:r w:rsidR="00464852" w:rsidRPr="00282AC9">
        <w:rPr>
          <w:sz w:val="27"/>
          <w:rtl/>
        </w:rPr>
        <w:t xml:space="preserve"> من بني أمي</w:t>
      </w:r>
      <w:r w:rsidRPr="00282AC9">
        <w:rPr>
          <w:rFonts w:hint="cs"/>
          <w:sz w:val="27"/>
          <w:rtl/>
        </w:rPr>
        <w:t>ّ</w:t>
      </w:r>
      <w:r w:rsidR="00464852" w:rsidRPr="00282AC9">
        <w:rPr>
          <w:sz w:val="27"/>
          <w:rtl/>
        </w:rPr>
        <w:t>ة:</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BE6CE3" w:rsidRPr="00282AC9" w:rsidTr="00164C9C">
        <w:trPr>
          <w:jc w:val="center"/>
        </w:trPr>
        <w:tc>
          <w:tcPr>
            <w:tcW w:w="3561" w:type="dxa"/>
            <w:gridSpan w:val="2"/>
          </w:tcPr>
          <w:p w:rsidR="00BE6CE3" w:rsidRPr="00282AC9" w:rsidRDefault="00BE6CE3" w:rsidP="00041FA0">
            <w:pPr>
              <w:spacing w:line="240" w:lineRule="auto"/>
              <w:ind w:firstLine="0"/>
              <w:jc w:val="lowKashida"/>
              <w:rPr>
                <w:sz w:val="2"/>
                <w:szCs w:val="2"/>
                <w:rtl/>
              </w:rPr>
            </w:pPr>
            <w:r w:rsidRPr="00282AC9">
              <w:rPr>
                <w:sz w:val="27"/>
                <w:rtl/>
                <w:lang w:bidi="fa-IR"/>
              </w:rPr>
              <w:t>س</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ت</w:t>
            </w:r>
            <w:r w:rsidRPr="00282AC9">
              <w:rPr>
                <w:rFonts w:hint="cs"/>
                <w:sz w:val="27"/>
                <w:rtl/>
                <w:lang w:bidi="fa-IR"/>
              </w:rPr>
              <w:t>ُ</w:t>
            </w:r>
            <w:r w:rsidRPr="00282AC9">
              <w:rPr>
                <w:sz w:val="27"/>
                <w:rtl/>
                <w:lang w:bidi="fa-IR"/>
              </w:rPr>
              <w:t xml:space="preserve">م‏ </w:t>
            </w:r>
            <w:r w:rsidR="00041FA0" w:rsidRPr="00282AC9">
              <w:rPr>
                <w:rFonts w:hint="cs"/>
                <w:sz w:val="27"/>
                <w:rtl/>
                <w:lang w:bidi="fa-IR"/>
              </w:rPr>
              <w:t>علينا القت</w:t>
            </w:r>
            <w:r w:rsidRPr="00282AC9">
              <w:rPr>
                <w:sz w:val="27"/>
                <w:rtl/>
                <w:lang w:bidi="fa-IR"/>
              </w:rPr>
              <w:t>ل</w:t>
            </w:r>
            <w:r w:rsidRPr="00282AC9">
              <w:rPr>
                <w:rFonts w:hint="cs"/>
                <w:sz w:val="27"/>
                <w:rtl/>
                <w:lang w:bidi="fa-IR"/>
              </w:rPr>
              <w:t>َ</w:t>
            </w:r>
            <w:r w:rsidRPr="00282AC9">
              <w:rPr>
                <w:sz w:val="27"/>
                <w:rtl/>
                <w:lang w:bidi="fa-IR"/>
              </w:rPr>
              <w:t xml:space="preserve"> لا ت</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ك</w:t>
            </w:r>
            <w:r w:rsidRPr="00282AC9">
              <w:rPr>
                <w:rFonts w:hint="cs"/>
                <w:sz w:val="27"/>
                <w:rtl/>
                <w:lang w:bidi="fa-IR"/>
              </w:rPr>
              <w:t>ِ</w:t>
            </w:r>
            <w:r w:rsidRPr="00282AC9">
              <w:rPr>
                <w:sz w:val="27"/>
                <w:rtl/>
                <w:lang w:bidi="fa-IR"/>
              </w:rPr>
              <w:t>رونه</w:t>
            </w:r>
            <w:r w:rsidRPr="00282AC9">
              <w:rPr>
                <w:rFonts w:hint="cs"/>
                <w:sz w:val="27"/>
                <w:rtl/>
              </w:rPr>
              <w:br/>
            </w:r>
          </w:p>
        </w:tc>
        <w:tc>
          <w:tcPr>
            <w:tcW w:w="3052" w:type="dxa"/>
          </w:tcPr>
          <w:p w:rsidR="00BE6CE3" w:rsidRPr="00282AC9" w:rsidRDefault="00BE6CE3" w:rsidP="00821CCC">
            <w:pPr>
              <w:spacing w:line="240" w:lineRule="auto"/>
              <w:ind w:firstLine="0"/>
              <w:jc w:val="lowKashida"/>
              <w:rPr>
                <w:sz w:val="2"/>
                <w:szCs w:val="2"/>
                <w:rtl/>
              </w:rPr>
            </w:pPr>
            <w:r w:rsidRPr="00282AC9">
              <w:rPr>
                <w:rFonts w:hint="cs"/>
                <w:sz w:val="27"/>
                <w:rtl/>
              </w:rPr>
              <w:br/>
            </w:r>
          </w:p>
        </w:tc>
      </w:tr>
      <w:tr w:rsidR="00BE6CE3" w:rsidRPr="00282AC9" w:rsidTr="00164C9C">
        <w:trPr>
          <w:jc w:val="center"/>
        </w:trPr>
        <w:tc>
          <w:tcPr>
            <w:tcW w:w="3136" w:type="dxa"/>
          </w:tcPr>
          <w:p w:rsidR="00BE6CE3" w:rsidRPr="00282AC9" w:rsidRDefault="00BE6CE3" w:rsidP="00821CCC">
            <w:pPr>
              <w:spacing w:line="240" w:lineRule="auto"/>
              <w:ind w:firstLine="0"/>
              <w:jc w:val="lowKashida"/>
              <w:rPr>
                <w:sz w:val="2"/>
                <w:szCs w:val="2"/>
                <w:rtl/>
              </w:rPr>
            </w:pPr>
            <w:r w:rsidRPr="00282AC9">
              <w:rPr>
                <w:rFonts w:hint="cs"/>
                <w:sz w:val="27"/>
                <w:rtl/>
              </w:rPr>
              <w:br/>
            </w:r>
          </w:p>
        </w:tc>
        <w:tc>
          <w:tcPr>
            <w:tcW w:w="3477" w:type="dxa"/>
            <w:gridSpan w:val="2"/>
          </w:tcPr>
          <w:p w:rsidR="00BE6CE3" w:rsidRPr="00282AC9" w:rsidRDefault="00BE6CE3" w:rsidP="00821CCC">
            <w:pPr>
              <w:spacing w:line="240" w:lineRule="auto"/>
              <w:ind w:firstLine="0"/>
              <w:jc w:val="lowKashida"/>
              <w:rPr>
                <w:sz w:val="2"/>
                <w:szCs w:val="2"/>
                <w:rtl/>
              </w:rPr>
            </w:pPr>
            <w:r w:rsidRPr="00282AC9">
              <w:rPr>
                <w:sz w:val="27"/>
                <w:rtl/>
                <w:lang w:bidi="fa-IR"/>
              </w:rPr>
              <w:t>فذوقوا كما ذ</w:t>
            </w:r>
            <w:r w:rsidRPr="00282AC9">
              <w:rPr>
                <w:rFonts w:hint="cs"/>
                <w:sz w:val="27"/>
                <w:rtl/>
                <w:lang w:bidi="fa-IR"/>
              </w:rPr>
              <w:t>ُ</w:t>
            </w:r>
            <w:r w:rsidRPr="00282AC9">
              <w:rPr>
                <w:sz w:val="27"/>
                <w:rtl/>
                <w:lang w:bidi="fa-IR"/>
              </w:rPr>
              <w:t>ق</w:t>
            </w:r>
            <w:r w:rsidRPr="00282AC9">
              <w:rPr>
                <w:rFonts w:hint="cs"/>
                <w:sz w:val="27"/>
                <w:rtl/>
                <w:lang w:bidi="fa-IR"/>
              </w:rPr>
              <w:t>ْ</w:t>
            </w:r>
            <w:r w:rsidRPr="00282AC9">
              <w:rPr>
                <w:sz w:val="27"/>
                <w:rtl/>
                <w:lang w:bidi="fa-IR"/>
              </w:rPr>
              <w:t>نا على سالف الد</w:t>
            </w:r>
            <w:r w:rsidRPr="00282AC9">
              <w:rPr>
                <w:rFonts w:hint="cs"/>
                <w:sz w:val="27"/>
                <w:rtl/>
                <w:lang w:bidi="fa-IR"/>
              </w:rPr>
              <w:t>َّ</w:t>
            </w:r>
            <w:r w:rsidRPr="00282AC9">
              <w:rPr>
                <w:sz w:val="27"/>
                <w:rtl/>
                <w:lang w:bidi="fa-IR"/>
              </w:rPr>
              <w:t>ه</w:t>
            </w:r>
            <w:r w:rsidRPr="00282AC9">
              <w:rPr>
                <w:rFonts w:hint="cs"/>
                <w:sz w:val="27"/>
                <w:rtl/>
                <w:lang w:bidi="fa-IR"/>
              </w:rPr>
              <w:t>ْ</w:t>
            </w:r>
            <w:r w:rsidRPr="00282AC9">
              <w:rPr>
                <w:sz w:val="27"/>
                <w:rtl/>
                <w:lang w:bidi="fa-IR"/>
              </w:rPr>
              <w:t>ر</w:t>
            </w:r>
            <w:r w:rsidRPr="00282AC9">
              <w:rPr>
                <w:rFonts w:hint="cs"/>
                <w:sz w:val="27"/>
                <w:rtl/>
                <w:lang w:bidi="fa-IR"/>
              </w:rPr>
              <w:t>ِ</w:t>
            </w:r>
            <w:r w:rsidRPr="00282AC9">
              <w:rPr>
                <w:sz w:val="27"/>
                <w:vertAlign w:val="superscript"/>
                <w:rtl/>
                <w:lang w:bidi="fa-IR"/>
              </w:rPr>
              <w:t>(</w:t>
            </w:r>
            <w:r w:rsidRPr="00282AC9">
              <w:rPr>
                <w:rStyle w:val="af9"/>
                <w:sz w:val="27"/>
                <w:rtl/>
                <w:lang w:bidi="fa-IR"/>
              </w:rPr>
              <w:endnoteReference w:id="606"/>
            </w:r>
            <w:r w:rsidRPr="00282AC9">
              <w:rPr>
                <w:sz w:val="27"/>
                <w:vertAlign w:val="superscript"/>
                <w:rtl/>
                <w:lang w:bidi="fa-IR"/>
              </w:rPr>
              <w:t>)</w:t>
            </w:r>
            <w:r w:rsidRPr="00282AC9">
              <w:rPr>
                <w:rFonts w:hint="cs"/>
                <w:sz w:val="27"/>
                <w:rtl/>
              </w:rPr>
              <w:br/>
            </w:r>
          </w:p>
        </w:tc>
      </w:tr>
    </w:tbl>
    <w:p w:rsidR="00464852" w:rsidRPr="00282AC9" w:rsidRDefault="00735509" w:rsidP="00153C0A">
      <w:pPr>
        <w:spacing w:line="380" w:lineRule="exact"/>
        <w:rPr>
          <w:sz w:val="27"/>
          <w:rtl/>
          <w:lang w:bidi="fa-IR"/>
        </w:rPr>
      </w:pPr>
      <w:r w:rsidRPr="00282AC9">
        <w:rPr>
          <w:rFonts w:hint="cs"/>
          <w:sz w:val="27"/>
          <w:rtl/>
        </w:rPr>
        <w:t xml:space="preserve">20ـ </w:t>
      </w:r>
      <w:r w:rsidR="00464852" w:rsidRPr="00282AC9">
        <w:rPr>
          <w:sz w:val="27"/>
          <w:rtl/>
        </w:rPr>
        <w:t>وفي كتاب عيسى بن موسى إلى المنصور الدوانيقي:</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BE6CE3" w:rsidRPr="00282AC9" w:rsidTr="00164C9C">
        <w:trPr>
          <w:jc w:val="center"/>
        </w:trPr>
        <w:tc>
          <w:tcPr>
            <w:tcW w:w="3561" w:type="dxa"/>
            <w:gridSpan w:val="2"/>
          </w:tcPr>
          <w:p w:rsidR="00BE6CE3" w:rsidRPr="00282AC9" w:rsidRDefault="00BE6CE3" w:rsidP="00821CCC">
            <w:pPr>
              <w:spacing w:line="240" w:lineRule="auto"/>
              <w:ind w:firstLine="0"/>
              <w:jc w:val="lowKashida"/>
              <w:rPr>
                <w:sz w:val="2"/>
                <w:szCs w:val="2"/>
                <w:rtl/>
              </w:rPr>
            </w:pPr>
            <w:r w:rsidRPr="00282AC9">
              <w:rPr>
                <w:sz w:val="27"/>
                <w:rtl/>
                <w:lang w:bidi="fa-IR"/>
              </w:rPr>
              <w:t>س</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ت</w:t>
            </w:r>
            <w:r w:rsidRPr="00282AC9">
              <w:rPr>
                <w:rFonts w:hint="cs"/>
                <w:sz w:val="27"/>
                <w:rtl/>
                <w:lang w:bidi="fa-IR"/>
              </w:rPr>
              <w:t>َ</w:t>
            </w:r>
            <w:r w:rsidRPr="00282AC9">
              <w:rPr>
                <w:sz w:val="27"/>
                <w:rtl/>
                <w:lang w:bidi="fa-IR"/>
              </w:rPr>
              <w:t>‏ انتقاض العهد فاصبر</w:t>
            </w:r>
            <w:r w:rsidRPr="00282AC9">
              <w:rPr>
                <w:rFonts w:hint="cs"/>
                <w:sz w:val="27"/>
                <w:rtl/>
                <w:lang w:bidi="fa-IR"/>
              </w:rPr>
              <w:t>ْ</w:t>
            </w:r>
            <w:r w:rsidRPr="00282AC9">
              <w:rPr>
                <w:sz w:val="27"/>
                <w:rtl/>
                <w:lang w:bidi="fa-IR"/>
              </w:rPr>
              <w:t xml:space="preserve"> لمثله</w:t>
            </w:r>
            <w:r w:rsidRPr="00282AC9">
              <w:rPr>
                <w:rFonts w:hint="cs"/>
                <w:sz w:val="27"/>
                <w:rtl/>
              </w:rPr>
              <w:br/>
            </w:r>
          </w:p>
        </w:tc>
        <w:tc>
          <w:tcPr>
            <w:tcW w:w="3052" w:type="dxa"/>
          </w:tcPr>
          <w:p w:rsidR="00BE6CE3" w:rsidRPr="00282AC9" w:rsidRDefault="00BE6CE3" w:rsidP="00821CCC">
            <w:pPr>
              <w:spacing w:line="240" w:lineRule="auto"/>
              <w:ind w:firstLine="0"/>
              <w:jc w:val="lowKashida"/>
              <w:rPr>
                <w:sz w:val="2"/>
                <w:szCs w:val="2"/>
                <w:rtl/>
              </w:rPr>
            </w:pPr>
            <w:r w:rsidRPr="00282AC9">
              <w:rPr>
                <w:rFonts w:hint="cs"/>
                <w:sz w:val="27"/>
                <w:rtl/>
              </w:rPr>
              <w:br/>
            </w:r>
          </w:p>
        </w:tc>
      </w:tr>
      <w:tr w:rsidR="00BE6CE3" w:rsidRPr="00282AC9" w:rsidTr="00164C9C">
        <w:trPr>
          <w:jc w:val="center"/>
        </w:trPr>
        <w:tc>
          <w:tcPr>
            <w:tcW w:w="3136" w:type="dxa"/>
          </w:tcPr>
          <w:p w:rsidR="00BE6CE3" w:rsidRPr="00282AC9" w:rsidRDefault="00BE6CE3" w:rsidP="00821CCC">
            <w:pPr>
              <w:spacing w:line="240" w:lineRule="auto"/>
              <w:ind w:firstLine="0"/>
              <w:jc w:val="lowKashida"/>
              <w:rPr>
                <w:sz w:val="2"/>
                <w:szCs w:val="2"/>
                <w:rtl/>
              </w:rPr>
            </w:pPr>
            <w:r w:rsidRPr="00282AC9">
              <w:rPr>
                <w:rFonts w:hint="cs"/>
                <w:sz w:val="27"/>
                <w:rtl/>
              </w:rPr>
              <w:br/>
            </w:r>
          </w:p>
        </w:tc>
        <w:tc>
          <w:tcPr>
            <w:tcW w:w="3477" w:type="dxa"/>
            <w:gridSpan w:val="2"/>
          </w:tcPr>
          <w:p w:rsidR="00BE6CE3" w:rsidRPr="00282AC9" w:rsidRDefault="00BE6CE3" w:rsidP="00821CCC">
            <w:pPr>
              <w:spacing w:line="240" w:lineRule="auto"/>
              <w:ind w:firstLine="0"/>
              <w:jc w:val="lowKashida"/>
              <w:rPr>
                <w:sz w:val="2"/>
                <w:szCs w:val="2"/>
                <w:rtl/>
              </w:rPr>
            </w:pPr>
            <w:r w:rsidRPr="00282AC9">
              <w:rPr>
                <w:sz w:val="27"/>
                <w:rtl/>
                <w:lang w:bidi="fa-IR"/>
              </w:rPr>
              <w:t>بنقضك من عهدي الذي كان أ</w:t>
            </w:r>
            <w:r w:rsidRPr="00282AC9">
              <w:rPr>
                <w:rFonts w:hint="cs"/>
                <w:sz w:val="27"/>
                <w:rtl/>
                <w:lang w:bidi="fa-IR"/>
              </w:rPr>
              <w:t>ُ</w:t>
            </w:r>
            <w:r w:rsidRPr="00282AC9">
              <w:rPr>
                <w:sz w:val="27"/>
                <w:rtl/>
                <w:lang w:bidi="fa-IR"/>
              </w:rPr>
              <w:t>ب</w:t>
            </w:r>
            <w:r w:rsidRPr="00282AC9">
              <w:rPr>
                <w:rFonts w:hint="cs"/>
                <w:sz w:val="27"/>
                <w:rtl/>
                <w:lang w:bidi="fa-IR"/>
              </w:rPr>
              <w:t>ْ</w:t>
            </w:r>
            <w:r w:rsidRPr="00282AC9">
              <w:rPr>
                <w:sz w:val="27"/>
                <w:rtl/>
                <w:lang w:bidi="fa-IR"/>
              </w:rPr>
              <w:t>ر</w:t>
            </w:r>
            <w:r w:rsidRPr="00282AC9">
              <w:rPr>
                <w:rFonts w:hint="cs"/>
                <w:sz w:val="27"/>
                <w:rtl/>
                <w:lang w:bidi="fa-IR"/>
              </w:rPr>
              <w:t>ِ</w:t>
            </w:r>
            <w:r w:rsidRPr="00282AC9">
              <w:rPr>
                <w:sz w:val="27"/>
                <w:rtl/>
                <w:lang w:bidi="fa-IR"/>
              </w:rPr>
              <w:t>ما</w:t>
            </w:r>
            <w:r w:rsidRPr="00282AC9">
              <w:rPr>
                <w:sz w:val="27"/>
                <w:vertAlign w:val="superscript"/>
                <w:rtl/>
                <w:lang w:bidi="fa-IR"/>
              </w:rPr>
              <w:t>(</w:t>
            </w:r>
            <w:r w:rsidRPr="00282AC9">
              <w:rPr>
                <w:rStyle w:val="af9"/>
                <w:sz w:val="27"/>
                <w:rtl/>
                <w:lang w:bidi="fa-IR"/>
              </w:rPr>
              <w:endnoteReference w:id="607"/>
            </w:r>
            <w:r w:rsidRPr="00282AC9">
              <w:rPr>
                <w:sz w:val="27"/>
                <w:vertAlign w:val="superscript"/>
                <w:rtl/>
                <w:lang w:bidi="fa-IR"/>
              </w:rPr>
              <w:t>)</w:t>
            </w:r>
            <w:r w:rsidRPr="00282AC9">
              <w:rPr>
                <w:rFonts w:hint="cs"/>
                <w:sz w:val="27"/>
                <w:rtl/>
              </w:rPr>
              <w:br/>
            </w:r>
          </w:p>
        </w:tc>
      </w:tr>
    </w:tbl>
    <w:p w:rsidR="00464852" w:rsidRPr="00282AC9" w:rsidRDefault="00BE6CE3" w:rsidP="00153C0A">
      <w:pPr>
        <w:spacing w:line="380" w:lineRule="exact"/>
        <w:rPr>
          <w:sz w:val="27"/>
          <w:rtl/>
        </w:rPr>
      </w:pPr>
      <w:r w:rsidRPr="00282AC9">
        <w:rPr>
          <w:rFonts w:hint="cs"/>
          <w:sz w:val="27"/>
          <w:rtl/>
        </w:rPr>
        <w:t xml:space="preserve">21ـ </w:t>
      </w:r>
      <w:r w:rsidR="00365D41" w:rsidRPr="00282AC9">
        <w:rPr>
          <w:rFonts w:hint="cs"/>
          <w:sz w:val="27"/>
          <w:rtl/>
        </w:rPr>
        <w:t>و</w:t>
      </w:r>
      <w:r w:rsidR="00365D41" w:rsidRPr="00282AC9">
        <w:rPr>
          <w:sz w:val="27"/>
          <w:rtl/>
        </w:rPr>
        <w:t>في شعر محمد بن أبان ال</w:t>
      </w:r>
      <w:r w:rsidR="00464852" w:rsidRPr="00282AC9">
        <w:rPr>
          <w:sz w:val="27"/>
          <w:rtl/>
        </w:rPr>
        <w:t>لاحق</w:t>
      </w:r>
      <w:r w:rsidR="00365D41" w:rsidRPr="00282AC9">
        <w:rPr>
          <w:rFonts w:hint="cs"/>
          <w:sz w:val="27"/>
          <w:rtl/>
        </w:rPr>
        <w:t>ي</w:t>
      </w:r>
      <w:r w:rsidR="00045185" w:rsidRPr="00282AC9">
        <w:rPr>
          <w:rFonts w:hint="cs"/>
          <w:sz w:val="27"/>
          <w:rtl/>
        </w:rPr>
        <w:t>(</w:t>
      </w:r>
      <w:r w:rsidR="00045185" w:rsidRPr="00282AC9">
        <w:rPr>
          <w:sz w:val="27"/>
          <w:rtl/>
        </w:rPr>
        <w:t>2</w:t>
      </w:r>
      <w:r w:rsidR="00045185" w:rsidRPr="00282AC9">
        <w:rPr>
          <w:rFonts w:hint="cs"/>
          <w:sz w:val="27"/>
          <w:rtl/>
        </w:rPr>
        <w:t>45</w:t>
      </w:r>
      <w:r w:rsidR="00045185" w:rsidRPr="00282AC9">
        <w:rPr>
          <w:sz w:val="27"/>
          <w:rtl/>
        </w:rPr>
        <w:t>هـ</w:t>
      </w:r>
      <w:r w:rsidR="00045185" w:rsidRPr="00282AC9">
        <w:rPr>
          <w:rFonts w:hint="cs"/>
          <w:sz w:val="27"/>
          <w:rtl/>
        </w:rPr>
        <w:t>)</w:t>
      </w:r>
      <w:r w:rsidR="00464852" w:rsidRPr="00282AC9">
        <w:rPr>
          <w:sz w:val="27"/>
          <w:rtl/>
        </w:rPr>
        <w:t>:</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365D41" w:rsidRPr="00282AC9" w:rsidTr="00164C9C">
        <w:trPr>
          <w:jc w:val="center"/>
        </w:trPr>
        <w:tc>
          <w:tcPr>
            <w:tcW w:w="3136" w:type="dxa"/>
          </w:tcPr>
          <w:p w:rsidR="00365D41" w:rsidRPr="00282AC9" w:rsidRDefault="00365D41" w:rsidP="00821CCC">
            <w:pPr>
              <w:spacing w:line="240" w:lineRule="auto"/>
              <w:ind w:firstLine="0"/>
              <w:jc w:val="lowKashida"/>
              <w:rPr>
                <w:sz w:val="2"/>
                <w:szCs w:val="2"/>
                <w:rtl/>
              </w:rPr>
            </w:pPr>
            <w:r w:rsidRPr="00282AC9">
              <w:rPr>
                <w:sz w:val="27"/>
                <w:rtl/>
                <w:lang w:bidi="fa-IR"/>
              </w:rPr>
              <w:t>تلوم على القطيعة م</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 xml:space="preserve"> أتاها</w:t>
            </w:r>
            <w:r w:rsidRPr="00282AC9">
              <w:rPr>
                <w:rFonts w:hint="cs"/>
                <w:sz w:val="27"/>
                <w:rtl/>
              </w:rPr>
              <w:br/>
            </w:r>
          </w:p>
        </w:tc>
        <w:tc>
          <w:tcPr>
            <w:tcW w:w="425" w:type="dxa"/>
          </w:tcPr>
          <w:p w:rsidR="00365D41" w:rsidRPr="00282AC9" w:rsidRDefault="00365D41" w:rsidP="00821CCC">
            <w:pPr>
              <w:spacing w:line="240" w:lineRule="auto"/>
              <w:ind w:firstLine="0"/>
              <w:jc w:val="lowKashida"/>
              <w:rPr>
                <w:sz w:val="27"/>
                <w:rtl/>
              </w:rPr>
            </w:pPr>
          </w:p>
        </w:tc>
        <w:tc>
          <w:tcPr>
            <w:tcW w:w="3052" w:type="dxa"/>
          </w:tcPr>
          <w:p w:rsidR="00365D41" w:rsidRPr="00282AC9" w:rsidRDefault="00365D41" w:rsidP="00821CCC">
            <w:pPr>
              <w:spacing w:line="240" w:lineRule="auto"/>
              <w:ind w:firstLine="0"/>
              <w:jc w:val="lowKashida"/>
              <w:rPr>
                <w:sz w:val="2"/>
                <w:szCs w:val="2"/>
                <w:rtl/>
              </w:rPr>
            </w:pPr>
            <w:r w:rsidRPr="00282AC9">
              <w:rPr>
                <w:sz w:val="27"/>
                <w:rtl/>
                <w:lang w:bidi="fa-IR"/>
              </w:rPr>
              <w:t>وأن</w:t>
            </w:r>
            <w:r w:rsidRPr="00282AC9">
              <w:rPr>
                <w:rFonts w:hint="cs"/>
                <w:sz w:val="27"/>
                <w:rtl/>
                <w:lang w:bidi="fa-IR"/>
              </w:rPr>
              <w:t>ْ</w:t>
            </w:r>
            <w:r w:rsidRPr="00282AC9">
              <w:rPr>
                <w:sz w:val="27"/>
                <w:rtl/>
                <w:lang w:bidi="fa-IR"/>
              </w:rPr>
              <w:t>ت</w:t>
            </w:r>
            <w:r w:rsidRPr="00282AC9">
              <w:rPr>
                <w:rFonts w:hint="cs"/>
                <w:sz w:val="27"/>
                <w:rtl/>
                <w:lang w:bidi="fa-IR"/>
              </w:rPr>
              <w:t>َ</w:t>
            </w:r>
            <w:r w:rsidRPr="00282AC9">
              <w:rPr>
                <w:sz w:val="27"/>
                <w:rtl/>
                <w:lang w:bidi="fa-IR"/>
              </w:rPr>
              <w:t xml:space="preserve"> س</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ن</w:t>
            </w:r>
            <w:r w:rsidRPr="00282AC9">
              <w:rPr>
                <w:rFonts w:hint="cs"/>
                <w:sz w:val="27"/>
                <w:rtl/>
                <w:lang w:bidi="fa-IR"/>
              </w:rPr>
              <w:t>ْ</w:t>
            </w:r>
            <w:r w:rsidRPr="00282AC9">
              <w:rPr>
                <w:sz w:val="27"/>
                <w:rtl/>
                <w:lang w:bidi="fa-IR"/>
              </w:rPr>
              <w:t>ت</w:t>
            </w:r>
            <w:r w:rsidRPr="00282AC9">
              <w:rPr>
                <w:rFonts w:hint="cs"/>
                <w:sz w:val="27"/>
                <w:rtl/>
                <w:lang w:bidi="fa-IR"/>
              </w:rPr>
              <w:t>َ</w:t>
            </w:r>
            <w:r w:rsidRPr="00282AC9">
              <w:rPr>
                <w:sz w:val="27"/>
                <w:rtl/>
                <w:lang w:bidi="fa-IR"/>
              </w:rPr>
              <w:t>ها للناس قبلي</w:t>
            </w:r>
            <w:r w:rsidRPr="00282AC9">
              <w:rPr>
                <w:sz w:val="27"/>
                <w:vertAlign w:val="superscript"/>
                <w:rtl/>
                <w:lang w:bidi="fa-IR"/>
              </w:rPr>
              <w:t>(</w:t>
            </w:r>
            <w:r w:rsidRPr="00282AC9">
              <w:rPr>
                <w:rStyle w:val="af9"/>
                <w:sz w:val="27"/>
                <w:rtl/>
                <w:lang w:bidi="fa-IR"/>
              </w:rPr>
              <w:endnoteReference w:id="608"/>
            </w:r>
            <w:r w:rsidRPr="00282AC9">
              <w:rPr>
                <w:sz w:val="27"/>
                <w:vertAlign w:val="superscript"/>
                <w:rtl/>
                <w:lang w:bidi="fa-IR"/>
              </w:rPr>
              <w:t>)</w:t>
            </w:r>
            <w:r w:rsidRPr="00282AC9">
              <w:rPr>
                <w:rFonts w:hint="cs"/>
                <w:sz w:val="27"/>
                <w:rtl/>
              </w:rPr>
              <w:br/>
            </w:r>
          </w:p>
        </w:tc>
      </w:tr>
    </w:tbl>
    <w:p w:rsidR="00464852" w:rsidRPr="00282AC9" w:rsidRDefault="00464852" w:rsidP="00153C0A">
      <w:pPr>
        <w:spacing w:line="380" w:lineRule="exact"/>
        <w:rPr>
          <w:sz w:val="27"/>
          <w:rtl/>
          <w:lang w:bidi="fa-IR"/>
        </w:rPr>
      </w:pPr>
      <w:r w:rsidRPr="00282AC9">
        <w:rPr>
          <w:sz w:val="27"/>
          <w:rtl/>
          <w:lang w:bidi="fa-IR"/>
        </w:rPr>
        <w:t>لكن</w:t>
      </w:r>
      <w:r w:rsidR="00365D41" w:rsidRPr="00282AC9">
        <w:rPr>
          <w:rFonts w:hint="cs"/>
          <w:sz w:val="27"/>
          <w:rtl/>
          <w:lang w:bidi="fa-IR"/>
        </w:rPr>
        <w:t>ْ</w:t>
      </w:r>
      <w:r w:rsidRPr="00282AC9">
        <w:rPr>
          <w:sz w:val="27"/>
          <w:rtl/>
          <w:lang w:bidi="fa-IR"/>
        </w:rPr>
        <w:t xml:space="preserve"> في بعض المصادر والن</w:t>
      </w:r>
      <w:r w:rsidR="00365D41" w:rsidRPr="00282AC9">
        <w:rPr>
          <w:rFonts w:hint="cs"/>
          <w:sz w:val="27"/>
          <w:rtl/>
          <w:lang w:bidi="fa-IR"/>
        </w:rPr>
        <w:t>ُّ</w:t>
      </w:r>
      <w:r w:rsidRPr="00282AC9">
        <w:rPr>
          <w:sz w:val="27"/>
          <w:rtl/>
          <w:lang w:bidi="fa-IR"/>
        </w:rPr>
        <w:t>س</w:t>
      </w:r>
      <w:r w:rsidR="00365D41" w:rsidRPr="00282AC9">
        <w:rPr>
          <w:rFonts w:hint="cs"/>
          <w:sz w:val="27"/>
          <w:rtl/>
          <w:lang w:bidi="fa-IR"/>
        </w:rPr>
        <w:t>َ</w:t>
      </w:r>
      <w:r w:rsidRPr="00282AC9">
        <w:rPr>
          <w:sz w:val="27"/>
          <w:rtl/>
          <w:lang w:bidi="fa-IR"/>
        </w:rPr>
        <w:t xml:space="preserve">خ: </w:t>
      </w:r>
      <w:r w:rsidRPr="00282AC9">
        <w:rPr>
          <w:rFonts w:hint="eastAsia"/>
          <w:sz w:val="24"/>
          <w:szCs w:val="24"/>
          <w:rtl/>
          <w:lang w:bidi="fa-IR"/>
        </w:rPr>
        <w:t>«</w:t>
      </w:r>
      <w:r w:rsidRPr="00282AC9">
        <w:rPr>
          <w:sz w:val="27"/>
          <w:rtl/>
          <w:lang w:bidi="fa-IR"/>
        </w:rPr>
        <w:t>شببتها</w:t>
      </w:r>
      <w:r w:rsidRPr="00282AC9">
        <w:rPr>
          <w:rFonts w:hint="eastAsia"/>
          <w:sz w:val="24"/>
          <w:szCs w:val="24"/>
          <w:rtl/>
        </w:rPr>
        <w:t>»</w:t>
      </w:r>
      <w:r w:rsidRPr="00282AC9">
        <w:rPr>
          <w:sz w:val="27"/>
          <w:rtl/>
          <w:lang w:bidi="fa-IR"/>
        </w:rPr>
        <w:t xml:space="preserve"> بدل </w:t>
      </w:r>
      <w:r w:rsidRPr="00282AC9">
        <w:rPr>
          <w:rFonts w:hint="eastAsia"/>
          <w:sz w:val="24"/>
          <w:szCs w:val="24"/>
          <w:rtl/>
          <w:lang w:bidi="fa-IR"/>
        </w:rPr>
        <w:t>«</w:t>
      </w:r>
      <w:r w:rsidRPr="00282AC9">
        <w:rPr>
          <w:sz w:val="27"/>
          <w:rtl/>
          <w:lang w:bidi="fa-IR"/>
        </w:rPr>
        <w:t>س</w:t>
      </w:r>
      <w:r w:rsidR="00365D41" w:rsidRPr="00282AC9">
        <w:rPr>
          <w:rFonts w:hint="cs"/>
          <w:sz w:val="27"/>
          <w:rtl/>
          <w:lang w:bidi="fa-IR"/>
        </w:rPr>
        <w:t>َ</w:t>
      </w:r>
      <w:r w:rsidRPr="00282AC9">
        <w:rPr>
          <w:sz w:val="27"/>
          <w:rtl/>
          <w:lang w:bidi="fa-IR"/>
        </w:rPr>
        <w:t>ن</w:t>
      </w:r>
      <w:r w:rsidR="00365D41" w:rsidRPr="00282AC9">
        <w:rPr>
          <w:rFonts w:hint="cs"/>
          <w:sz w:val="27"/>
          <w:rtl/>
          <w:lang w:bidi="fa-IR"/>
        </w:rPr>
        <w:t>َ</w:t>
      </w:r>
      <w:r w:rsidRPr="00282AC9">
        <w:rPr>
          <w:sz w:val="27"/>
          <w:rtl/>
          <w:lang w:bidi="fa-IR"/>
        </w:rPr>
        <w:t>ن</w:t>
      </w:r>
      <w:r w:rsidR="00365D41" w:rsidRPr="00282AC9">
        <w:rPr>
          <w:rFonts w:hint="cs"/>
          <w:sz w:val="27"/>
          <w:rtl/>
          <w:lang w:bidi="fa-IR"/>
        </w:rPr>
        <w:t>ْ</w:t>
      </w:r>
      <w:r w:rsidRPr="00282AC9">
        <w:rPr>
          <w:sz w:val="27"/>
          <w:rtl/>
          <w:lang w:bidi="fa-IR"/>
        </w:rPr>
        <w:t>تها</w:t>
      </w:r>
      <w:r w:rsidRPr="00282AC9">
        <w:rPr>
          <w:rFonts w:hint="eastAsia"/>
          <w:sz w:val="24"/>
          <w:szCs w:val="24"/>
          <w:rtl/>
        </w:rPr>
        <w:t>»</w:t>
      </w:r>
      <w:r w:rsidR="00365D41" w:rsidRPr="00282AC9">
        <w:rPr>
          <w:rFonts w:hint="cs"/>
          <w:sz w:val="27"/>
          <w:rtl/>
          <w:lang w:bidi="fa-IR"/>
        </w:rPr>
        <w:t>،</w:t>
      </w:r>
      <w:r w:rsidRPr="00282AC9">
        <w:rPr>
          <w:sz w:val="27"/>
          <w:rtl/>
          <w:lang w:bidi="fa-IR"/>
        </w:rPr>
        <w:t xml:space="preserve"> وهي بمعنى الارتفاع والنموّ.</w:t>
      </w:r>
    </w:p>
    <w:p w:rsidR="00464852" w:rsidRPr="00282AC9" w:rsidRDefault="00BE6CE3" w:rsidP="00153C0A">
      <w:pPr>
        <w:spacing w:line="380" w:lineRule="exact"/>
        <w:rPr>
          <w:sz w:val="27"/>
          <w:rtl/>
          <w:lang w:bidi="fa-IR"/>
        </w:rPr>
      </w:pPr>
      <w:r w:rsidRPr="00282AC9">
        <w:rPr>
          <w:rFonts w:hint="cs"/>
          <w:sz w:val="27"/>
          <w:rtl/>
        </w:rPr>
        <w:t xml:space="preserve">22ـ </w:t>
      </w:r>
      <w:r w:rsidR="00365D41" w:rsidRPr="00282AC9">
        <w:rPr>
          <w:rFonts w:hint="cs"/>
          <w:sz w:val="27"/>
          <w:rtl/>
        </w:rPr>
        <w:t>و</w:t>
      </w:r>
      <w:r w:rsidR="00464852" w:rsidRPr="00282AC9">
        <w:rPr>
          <w:sz w:val="27"/>
          <w:rtl/>
        </w:rPr>
        <w:t>في شعر ابن الرومي</w:t>
      </w:r>
      <w:r w:rsidR="00045185" w:rsidRPr="00282AC9">
        <w:rPr>
          <w:rFonts w:hint="cs"/>
          <w:sz w:val="27"/>
          <w:rtl/>
        </w:rPr>
        <w:t>(280</w:t>
      </w:r>
      <w:r w:rsidR="00045185" w:rsidRPr="00282AC9">
        <w:rPr>
          <w:sz w:val="27"/>
          <w:rtl/>
        </w:rPr>
        <w:t>هـ</w:t>
      </w:r>
      <w:r w:rsidR="00045185" w:rsidRPr="00282AC9">
        <w:rPr>
          <w:rFonts w:hint="cs"/>
          <w:sz w:val="27"/>
          <w:rtl/>
        </w:rPr>
        <w:t>)</w:t>
      </w:r>
      <w:r w:rsidR="00464852" w:rsidRPr="00282AC9">
        <w:rPr>
          <w:sz w:val="27"/>
          <w:rtl/>
        </w:rPr>
        <w:t>:</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365D41" w:rsidRPr="00282AC9" w:rsidTr="00164C9C">
        <w:trPr>
          <w:jc w:val="center"/>
        </w:trPr>
        <w:tc>
          <w:tcPr>
            <w:tcW w:w="3136" w:type="dxa"/>
          </w:tcPr>
          <w:p w:rsidR="00365D41" w:rsidRPr="00282AC9" w:rsidRDefault="00365D41" w:rsidP="00821CCC">
            <w:pPr>
              <w:spacing w:line="240" w:lineRule="auto"/>
              <w:ind w:firstLine="0"/>
              <w:jc w:val="lowKashida"/>
              <w:rPr>
                <w:sz w:val="2"/>
                <w:szCs w:val="2"/>
                <w:rtl/>
              </w:rPr>
            </w:pPr>
            <w:r w:rsidRPr="00282AC9">
              <w:rPr>
                <w:sz w:val="27"/>
                <w:rtl/>
                <w:lang w:bidi="fa-IR"/>
              </w:rPr>
              <w:t>لو رام</w:t>
            </w:r>
            <w:r w:rsidRPr="00282AC9">
              <w:rPr>
                <w:rFonts w:hint="cs"/>
                <w:sz w:val="27"/>
                <w:rtl/>
                <w:lang w:bidi="fa-IR"/>
              </w:rPr>
              <w:t>َ</w:t>
            </w:r>
            <w:r w:rsidRPr="00282AC9">
              <w:rPr>
                <w:sz w:val="27"/>
                <w:rtl/>
                <w:lang w:bidi="fa-IR"/>
              </w:rPr>
              <w:t>ت</w:t>
            </w:r>
            <w:r w:rsidRPr="00282AC9">
              <w:rPr>
                <w:rFonts w:hint="cs"/>
                <w:sz w:val="27"/>
                <w:rtl/>
                <w:lang w:bidi="fa-IR"/>
              </w:rPr>
              <w:t>ْ</w:t>
            </w:r>
            <w:r w:rsidRPr="00282AC9">
              <w:rPr>
                <w:sz w:val="27"/>
                <w:rtl/>
                <w:lang w:bidi="fa-IR"/>
              </w:rPr>
              <w:t xml:space="preserve"> التوبة لم تستط</w:t>
            </w:r>
            <w:r w:rsidRPr="00282AC9">
              <w:rPr>
                <w:rFonts w:hint="cs"/>
                <w:sz w:val="27"/>
                <w:rtl/>
                <w:lang w:bidi="fa-IR"/>
              </w:rPr>
              <w:t>ِ</w:t>
            </w:r>
            <w:r w:rsidRPr="00282AC9">
              <w:rPr>
                <w:sz w:val="27"/>
                <w:rtl/>
                <w:lang w:bidi="fa-IR"/>
              </w:rPr>
              <w:t>ع</w:t>
            </w:r>
            <w:r w:rsidRPr="00282AC9">
              <w:rPr>
                <w:rFonts w:hint="cs"/>
                <w:sz w:val="27"/>
                <w:rtl/>
              </w:rPr>
              <w:br/>
            </w:r>
          </w:p>
        </w:tc>
        <w:tc>
          <w:tcPr>
            <w:tcW w:w="425" w:type="dxa"/>
          </w:tcPr>
          <w:p w:rsidR="00365D41" w:rsidRPr="00282AC9" w:rsidRDefault="00365D41" w:rsidP="00821CCC">
            <w:pPr>
              <w:spacing w:line="240" w:lineRule="auto"/>
              <w:ind w:firstLine="0"/>
              <w:jc w:val="lowKashida"/>
              <w:rPr>
                <w:sz w:val="27"/>
                <w:rtl/>
              </w:rPr>
            </w:pPr>
          </w:p>
        </w:tc>
        <w:tc>
          <w:tcPr>
            <w:tcW w:w="3052" w:type="dxa"/>
          </w:tcPr>
          <w:p w:rsidR="00365D41" w:rsidRPr="00282AC9" w:rsidRDefault="00365D41" w:rsidP="00821CCC">
            <w:pPr>
              <w:spacing w:line="240" w:lineRule="auto"/>
              <w:ind w:firstLine="0"/>
              <w:jc w:val="lowKashida"/>
              <w:rPr>
                <w:sz w:val="2"/>
                <w:szCs w:val="2"/>
                <w:rtl/>
              </w:rPr>
            </w:pPr>
            <w:r w:rsidRPr="00282AC9">
              <w:rPr>
                <w:sz w:val="27"/>
                <w:rtl/>
                <w:lang w:bidi="fa-IR"/>
              </w:rPr>
              <w:t>لسُنّ</w:t>
            </w:r>
            <w:r w:rsidRPr="00282AC9">
              <w:rPr>
                <w:rFonts w:hint="cs"/>
                <w:sz w:val="27"/>
                <w:rtl/>
                <w:lang w:bidi="fa-IR"/>
              </w:rPr>
              <w:t>ِ</w:t>
            </w:r>
            <w:r w:rsidRPr="00282AC9">
              <w:rPr>
                <w:sz w:val="27"/>
                <w:rtl/>
                <w:lang w:bidi="fa-IR"/>
              </w:rPr>
              <w:t>ة</w:t>
            </w:r>
            <w:r w:rsidRPr="00282AC9">
              <w:rPr>
                <w:rFonts w:hint="cs"/>
                <w:sz w:val="27"/>
                <w:rtl/>
                <w:lang w:bidi="fa-IR"/>
              </w:rPr>
              <w:t>ِ</w:t>
            </w:r>
            <w:r w:rsidRPr="00282AC9">
              <w:rPr>
                <w:sz w:val="27"/>
                <w:rtl/>
                <w:lang w:bidi="fa-IR"/>
              </w:rPr>
              <w:t xml:space="preserve"> الشيطان تبديلا</w:t>
            </w:r>
            <w:r w:rsidRPr="00282AC9">
              <w:rPr>
                <w:sz w:val="27"/>
                <w:vertAlign w:val="superscript"/>
                <w:rtl/>
                <w:lang w:bidi="fa-IR"/>
              </w:rPr>
              <w:t>(</w:t>
            </w:r>
            <w:r w:rsidRPr="00282AC9">
              <w:rPr>
                <w:rStyle w:val="af9"/>
                <w:sz w:val="27"/>
                <w:rtl/>
                <w:lang w:bidi="fa-IR"/>
              </w:rPr>
              <w:endnoteReference w:id="609"/>
            </w:r>
            <w:r w:rsidRPr="00282AC9">
              <w:rPr>
                <w:sz w:val="27"/>
                <w:vertAlign w:val="superscript"/>
                <w:rtl/>
                <w:lang w:bidi="fa-IR"/>
              </w:rPr>
              <w:t>)</w:t>
            </w:r>
            <w:r w:rsidRPr="00282AC9">
              <w:rPr>
                <w:rFonts w:hint="cs"/>
                <w:sz w:val="27"/>
                <w:rtl/>
              </w:rPr>
              <w:br/>
            </w:r>
          </w:p>
        </w:tc>
      </w:tr>
    </w:tbl>
    <w:p w:rsidR="00464852" w:rsidRPr="00282AC9" w:rsidRDefault="00BE6CE3" w:rsidP="00153C0A">
      <w:pPr>
        <w:spacing w:line="380" w:lineRule="exact"/>
        <w:rPr>
          <w:sz w:val="27"/>
          <w:rtl/>
        </w:rPr>
      </w:pPr>
      <w:r w:rsidRPr="00282AC9">
        <w:rPr>
          <w:rFonts w:hint="cs"/>
          <w:sz w:val="27"/>
          <w:rtl/>
        </w:rPr>
        <w:t xml:space="preserve">23ـ </w:t>
      </w:r>
      <w:r w:rsidR="00464852" w:rsidRPr="00282AC9">
        <w:rPr>
          <w:sz w:val="27"/>
          <w:rtl/>
        </w:rPr>
        <w:t>شعرٌ للمتنبّي</w:t>
      </w:r>
      <w:r w:rsidR="00045185" w:rsidRPr="00282AC9">
        <w:rPr>
          <w:rFonts w:hint="cs"/>
          <w:sz w:val="27"/>
          <w:rtl/>
        </w:rPr>
        <w:t>(</w:t>
      </w:r>
      <w:r w:rsidR="00045185" w:rsidRPr="00282AC9">
        <w:rPr>
          <w:sz w:val="27"/>
          <w:rtl/>
        </w:rPr>
        <w:t>354</w:t>
      </w:r>
      <w:r w:rsidR="00045185" w:rsidRPr="00282AC9">
        <w:rPr>
          <w:rFonts w:hint="eastAsia"/>
          <w:sz w:val="27"/>
          <w:rtl/>
        </w:rPr>
        <w:t>هـ</w:t>
      </w:r>
      <w:r w:rsidR="00045185" w:rsidRPr="00282AC9">
        <w:rPr>
          <w:rFonts w:hint="cs"/>
          <w:sz w:val="27"/>
          <w:rtl/>
        </w:rPr>
        <w:t>)</w:t>
      </w:r>
      <w:r w:rsidR="00464852" w:rsidRPr="00282AC9">
        <w:rPr>
          <w:sz w:val="27"/>
          <w:rtl/>
        </w:rPr>
        <w:t>:</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365D41" w:rsidRPr="00282AC9" w:rsidTr="00164C9C">
        <w:trPr>
          <w:jc w:val="center"/>
        </w:trPr>
        <w:tc>
          <w:tcPr>
            <w:tcW w:w="3136" w:type="dxa"/>
          </w:tcPr>
          <w:p w:rsidR="00365D41" w:rsidRPr="00282AC9" w:rsidRDefault="00365D41" w:rsidP="00821CCC">
            <w:pPr>
              <w:spacing w:line="240" w:lineRule="auto"/>
              <w:ind w:firstLine="0"/>
              <w:jc w:val="lowKashida"/>
              <w:rPr>
                <w:sz w:val="2"/>
                <w:szCs w:val="2"/>
                <w:rtl/>
              </w:rPr>
            </w:pPr>
            <w:r w:rsidRPr="00282AC9">
              <w:rPr>
                <w:rFonts w:ascii="Noor_Mitra" w:hAnsi="Noor_Mitra"/>
                <w:sz w:val="27"/>
                <w:rtl/>
              </w:rPr>
              <w:t>أبوكم آدم س</w:t>
            </w:r>
            <w:r w:rsidRPr="00282AC9">
              <w:rPr>
                <w:rFonts w:ascii="Noor_Mitra" w:hAnsi="Noor_Mitra" w:hint="cs"/>
                <w:sz w:val="27"/>
                <w:rtl/>
              </w:rPr>
              <w:t>َ</w:t>
            </w:r>
            <w:r w:rsidRPr="00282AC9">
              <w:rPr>
                <w:rFonts w:ascii="Noor_Mitra" w:hAnsi="Noor_Mitra"/>
                <w:sz w:val="27"/>
                <w:rtl/>
              </w:rPr>
              <w:t>نّ</w:t>
            </w:r>
            <w:r w:rsidRPr="00282AC9">
              <w:rPr>
                <w:rFonts w:ascii="Noor_Mitra" w:hAnsi="Noor_Mitra" w:hint="cs"/>
                <w:sz w:val="27"/>
                <w:rtl/>
              </w:rPr>
              <w:t>َ</w:t>
            </w:r>
            <w:r w:rsidRPr="00282AC9">
              <w:rPr>
                <w:rFonts w:ascii="Noor_Mitra" w:hAnsi="Noor_Mitra"/>
                <w:sz w:val="27"/>
                <w:rtl/>
              </w:rPr>
              <w:t xml:space="preserve"> المعاصي</w:t>
            </w:r>
            <w:r w:rsidRPr="00282AC9">
              <w:rPr>
                <w:rFonts w:hint="cs"/>
                <w:sz w:val="27"/>
                <w:rtl/>
              </w:rPr>
              <w:br/>
            </w:r>
          </w:p>
        </w:tc>
        <w:tc>
          <w:tcPr>
            <w:tcW w:w="425" w:type="dxa"/>
          </w:tcPr>
          <w:p w:rsidR="00365D41" w:rsidRPr="00282AC9" w:rsidRDefault="00365D41" w:rsidP="00821CCC">
            <w:pPr>
              <w:spacing w:line="240" w:lineRule="auto"/>
              <w:ind w:firstLine="0"/>
              <w:jc w:val="lowKashida"/>
              <w:rPr>
                <w:sz w:val="27"/>
                <w:rtl/>
              </w:rPr>
            </w:pPr>
          </w:p>
        </w:tc>
        <w:tc>
          <w:tcPr>
            <w:tcW w:w="3052" w:type="dxa"/>
          </w:tcPr>
          <w:p w:rsidR="00365D41" w:rsidRPr="00282AC9" w:rsidRDefault="00365D41" w:rsidP="00821CCC">
            <w:pPr>
              <w:spacing w:line="240" w:lineRule="auto"/>
              <w:ind w:firstLine="0"/>
              <w:jc w:val="lowKashida"/>
              <w:rPr>
                <w:sz w:val="2"/>
                <w:szCs w:val="2"/>
                <w:rtl/>
              </w:rPr>
            </w:pPr>
            <w:r w:rsidRPr="00282AC9">
              <w:rPr>
                <w:rFonts w:ascii="Noor_Mitra" w:hAnsi="Noor_Mitra"/>
                <w:sz w:val="27"/>
                <w:rtl/>
              </w:rPr>
              <w:t>وعلّ</w:t>
            </w:r>
            <w:r w:rsidRPr="00282AC9">
              <w:rPr>
                <w:rFonts w:ascii="Noor_Mitra" w:hAnsi="Noor_Mitra" w:hint="cs"/>
                <w:sz w:val="27"/>
                <w:rtl/>
              </w:rPr>
              <w:t>َ</w:t>
            </w:r>
            <w:r w:rsidRPr="00282AC9">
              <w:rPr>
                <w:rFonts w:ascii="Noor_Mitra" w:hAnsi="Noor_Mitra"/>
                <w:sz w:val="27"/>
                <w:rtl/>
              </w:rPr>
              <w:t>م</w:t>
            </w:r>
            <w:r w:rsidRPr="00282AC9">
              <w:rPr>
                <w:rFonts w:ascii="Noor_Mitra" w:hAnsi="Noor_Mitra" w:hint="cs"/>
                <w:sz w:val="27"/>
                <w:rtl/>
              </w:rPr>
              <w:t>َ</w:t>
            </w:r>
            <w:r w:rsidRPr="00282AC9">
              <w:rPr>
                <w:rFonts w:ascii="Noor_Mitra" w:hAnsi="Noor_Mitra"/>
                <w:sz w:val="27"/>
                <w:rtl/>
              </w:rPr>
              <w:t>ك</w:t>
            </w:r>
            <w:r w:rsidRPr="00282AC9">
              <w:rPr>
                <w:rFonts w:ascii="Noor_Mitra" w:hAnsi="Noor_Mitra" w:hint="cs"/>
                <w:sz w:val="27"/>
                <w:rtl/>
              </w:rPr>
              <w:t>ُ</w:t>
            </w:r>
            <w:r w:rsidRPr="00282AC9">
              <w:rPr>
                <w:rFonts w:ascii="Noor_Mitra" w:hAnsi="Noor_Mitra"/>
                <w:sz w:val="27"/>
                <w:rtl/>
              </w:rPr>
              <w:t>م</w:t>
            </w:r>
            <w:r w:rsidRPr="00282AC9">
              <w:rPr>
                <w:rFonts w:ascii="Noor_Mitra" w:hAnsi="Noor_Mitra" w:hint="cs"/>
                <w:sz w:val="27"/>
                <w:rtl/>
              </w:rPr>
              <w:t>ْ</w:t>
            </w:r>
            <w:r w:rsidRPr="00282AC9">
              <w:rPr>
                <w:rFonts w:ascii="Noor_Mitra" w:hAnsi="Noor_Mitra"/>
                <w:sz w:val="27"/>
                <w:rtl/>
              </w:rPr>
              <w:t xml:space="preserve"> مفارقة الجنان</w:t>
            </w:r>
            <w:r w:rsidRPr="00282AC9">
              <w:rPr>
                <w:rFonts w:ascii="Noor_Mitra" w:hAnsi="Noor_Mitra"/>
                <w:sz w:val="27"/>
                <w:vertAlign w:val="superscript"/>
                <w:rtl/>
              </w:rPr>
              <w:t>(</w:t>
            </w:r>
            <w:r w:rsidRPr="00282AC9">
              <w:rPr>
                <w:rStyle w:val="af9"/>
                <w:rFonts w:ascii="Noor_Mitra" w:hAnsi="Noor_Mitra"/>
                <w:sz w:val="27"/>
                <w:rtl/>
              </w:rPr>
              <w:endnoteReference w:id="610"/>
            </w:r>
            <w:r w:rsidRPr="00282AC9">
              <w:rPr>
                <w:rFonts w:ascii="Noor_Mitra" w:hAnsi="Noor_Mitra"/>
                <w:sz w:val="27"/>
                <w:vertAlign w:val="superscript"/>
                <w:rtl/>
              </w:rPr>
              <w:t>)</w:t>
            </w:r>
            <w:r w:rsidRPr="00282AC9">
              <w:rPr>
                <w:rFonts w:hint="cs"/>
                <w:sz w:val="27"/>
                <w:rtl/>
              </w:rPr>
              <w:br/>
            </w:r>
          </w:p>
        </w:tc>
      </w:tr>
    </w:tbl>
    <w:p w:rsidR="00464852" w:rsidRPr="00282AC9" w:rsidRDefault="00365D41" w:rsidP="00153C0A">
      <w:pPr>
        <w:spacing w:line="386" w:lineRule="exact"/>
        <w:rPr>
          <w:sz w:val="27"/>
          <w:lang w:bidi="fa-IR"/>
        </w:rPr>
      </w:pPr>
      <w:r w:rsidRPr="00282AC9">
        <w:rPr>
          <w:rFonts w:hint="cs"/>
          <w:sz w:val="27"/>
          <w:rtl/>
          <w:lang w:bidi="fa-IR"/>
        </w:rPr>
        <w:t>و</w:t>
      </w:r>
      <w:r w:rsidR="00464852" w:rsidRPr="00282AC9">
        <w:rPr>
          <w:sz w:val="27"/>
          <w:rtl/>
          <w:lang w:bidi="fa-IR"/>
        </w:rPr>
        <w:t>بعض هذه الأشعار يحتمل أنها لم تك</w:t>
      </w:r>
      <w:r w:rsidRPr="00282AC9">
        <w:rPr>
          <w:rFonts w:hint="cs"/>
          <w:sz w:val="27"/>
          <w:rtl/>
          <w:lang w:bidi="fa-IR"/>
        </w:rPr>
        <w:t>ُ</w:t>
      </w:r>
      <w:r w:rsidR="00464852" w:rsidRPr="00282AC9">
        <w:rPr>
          <w:sz w:val="27"/>
          <w:rtl/>
          <w:lang w:bidi="fa-IR"/>
        </w:rPr>
        <w:t>ن</w:t>
      </w:r>
      <w:r w:rsidRPr="00282AC9">
        <w:rPr>
          <w:rFonts w:hint="cs"/>
          <w:sz w:val="27"/>
          <w:rtl/>
          <w:lang w:bidi="fa-IR"/>
        </w:rPr>
        <w:t>ْ</w:t>
      </w:r>
      <w:r w:rsidR="00464852" w:rsidRPr="00282AC9">
        <w:rPr>
          <w:sz w:val="27"/>
          <w:rtl/>
          <w:lang w:bidi="fa-IR"/>
        </w:rPr>
        <w:t xml:space="preserve"> من إنشاء هؤلاء</w:t>
      </w:r>
      <w:r w:rsidRPr="00282AC9">
        <w:rPr>
          <w:rFonts w:hint="cs"/>
          <w:sz w:val="27"/>
          <w:rtl/>
          <w:lang w:bidi="fa-IR"/>
        </w:rPr>
        <w:t>،</w:t>
      </w:r>
      <w:r w:rsidR="00464852" w:rsidRPr="00282AC9">
        <w:rPr>
          <w:sz w:val="27"/>
          <w:rtl/>
          <w:lang w:bidi="fa-IR"/>
        </w:rPr>
        <w:t xml:space="preserve"> وإن</w:t>
      </w:r>
      <w:r w:rsidRPr="00282AC9">
        <w:rPr>
          <w:rFonts w:hint="cs"/>
          <w:sz w:val="27"/>
          <w:rtl/>
          <w:lang w:bidi="fa-IR"/>
        </w:rPr>
        <w:t>ّ</w:t>
      </w:r>
      <w:r w:rsidR="00464852" w:rsidRPr="00282AC9">
        <w:rPr>
          <w:sz w:val="27"/>
          <w:rtl/>
          <w:lang w:bidi="fa-IR"/>
        </w:rPr>
        <w:t>ما نقلوها وتمثّ</w:t>
      </w:r>
      <w:r w:rsidRPr="00282AC9">
        <w:rPr>
          <w:rFonts w:hint="cs"/>
          <w:sz w:val="27"/>
          <w:rtl/>
          <w:lang w:bidi="fa-IR"/>
        </w:rPr>
        <w:t>َ</w:t>
      </w:r>
      <w:r w:rsidR="00464852" w:rsidRPr="00282AC9">
        <w:rPr>
          <w:sz w:val="27"/>
          <w:rtl/>
          <w:lang w:bidi="fa-IR"/>
        </w:rPr>
        <w:t>لوا بها</w:t>
      </w:r>
      <w:r w:rsidRPr="00282AC9">
        <w:rPr>
          <w:rFonts w:hint="cs"/>
          <w:sz w:val="27"/>
          <w:rtl/>
          <w:lang w:bidi="fa-IR"/>
        </w:rPr>
        <w:t>.</w:t>
      </w:r>
      <w:r w:rsidR="00464852" w:rsidRPr="00282AC9">
        <w:rPr>
          <w:sz w:val="27"/>
          <w:rtl/>
          <w:lang w:bidi="fa-IR"/>
        </w:rPr>
        <w:t xml:space="preserve"> وعليه </w:t>
      </w:r>
      <w:r w:rsidRPr="00282AC9">
        <w:rPr>
          <w:rFonts w:hint="cs"/>
          <w:sz w:val="27"/>
          <w:rtl/>
          <w:lang w:bidi="fa-IR"/>
        </w:rPr>
        <w:t>يعود</w:t>
      </w:r>
      <w:r w:rsidR="00464852" w:rsidRPr="00282AC9">
        <w:rPr>
          <w:rFonts w:hint="cs"/>
          <w:sz w:val="27"/>
          <w:rtl/>
          <w:lang w:bidi="fa-IR"/>
        </w:rPr>
        <w:t xml:space="preserve"> </w:t>
      </w:r>
      <w:r w:rsidR="00464852" w:rsidRPr="00282AC9">
        <w:rPr>
          <w:sz w:val="27"/>
          <w:rtl/>
          <w:lang w:bidi="fa-IR"/>
        </w:rPr>
        <w:t>عصر هذه الاستعمالات الشعري</w:t>
      </w:r>
      <w:r w:rsidRPr="00282AC9">
        <w:rPr>
          <w:rFonts w:hint="cs"/>
          <w:sz w:val="27"/>
          <w:rtl/>
          <w:lang w:bidi="fa-IR"/>
        </w:rPr>
        <w:t>ّ</w:t>
      </w:r>
      <w:r w:rsidR="00464852" w:rsidRPr="00282AC9">
        <w:rPr>
          <w:sz w:val="27"/>
          <w:rtl/>
          <w:lang w:bidi="fa-IR"/>
        </w:rPr>
        <w:t xml:space="preserve">ة إلى </w:t>
      </w:r>
      <w:r w:rsidR="00164C9C" w:rsidRPr="00282AC9">
        <w:rPr>
          <w:rFonts w:hint="cs"/>
          <w:sz w:val="27"/>
          <w:rtl/>
          <w:lang w:bidi="fa-IR"/>
        </w:rPr>
        <w:t xml:space="preserve">ما </w:t>
      </w:r>
      <w:r w:rsidR="00464852" w:rsidRPr="00282AC9">
        <w:rPr>
          <w:sz w:val="27"/>
          <w:rtl/>
          <w:lang w:bidi="fa-IR"/>
        </w:rPr>
        <w:t>قبلهم، لكن</w:t>
      </w:r>
      <w:r w:rsidRPr="00282AC9">
        <w:rPr>
          <w:rFonts w:hint="cs"/>
          <w:sz w:val="27"/>
          <w:rtl/>
          <w:lang w:bidi="fa-IR"/>
        </w:rPr>
        <w:t>ْ</w:t>
      </w:r>
      <w:r w:rsidR="00464852" w:rsidRPr="00282AC9">
        <w:rPr>
          <w:sz w:val="27"/>
          <w:rtl/>
          <w:lang w:bidi="fa-IR"/>
        </w:rPr>
        <w:t xml:space="preserve"> لا يمكن تحديد زمنها بالضبط.</w:t>
      </w:r>
    </w:p>
    <w:p w:rsidR="00464852" w:rsidRPr="00282AC9" w:rsidRDefault="00BE6CE3" w:rsidP="00153C0A">
      <w:pPr>
        <w:pStyle w:val="afc"/>
        <w:spacing w:line="386" w:lineRule="exact"/>
        <w:rPr>
          <w:rFonts w:ascii="Noor_Mitra" w:hAnsi="Noor_Mitra" w:cs="AL-Mohanad"/>
          <w:sz w:val="27"/>
          <w:szCs w:val="27"/>
          <w:rtl/>
        </w:rPr>
      </w:pPr>
      <w:r w:rsidRPr="00282AC9">
        <w:rPr>
          <w:rFonts w:cs="AL-Mohanad" w:hint="cs"/>
          <w:sz w:val="27"/>
          <w:szCs w:val="27"/>
          <w:rtl/>
        </w:rPr>
        <w:t xml:space="preserve">24ـ </w:t>
      </w:r>
      <w:r w:rsidRPr="00282AC9">
        <w:rPr>
          <w:rFonts w:ascii="Noor_Mitra" w:hAnsi="Noor_Mitra" w:cs="AL-Mohanad" w:hint="cs"/>
          <w:sz w:val="27"/>
          <w:szCs w:val="27"/>
          <w:rtl/>
        </w:rPr>
        <w:t>و</w:t>
      </w:r>
      <w:r w:rsidR="00464852" w:rsidRPr="00282AC9">
        <w:rPr>
          <w:rFonts w:ascii="Noor_Mitra" w:hAnsi="Noor_Mitra" w:cs="AL-Mohanad" w:hint="cs"/>
          <w:sz w:val="27"/>
          <w:szCs w:val="27"/>
          <w:rtl/>
        </w:rPr>
        <w:t>حكى المسعودي عن بعض المؤر</w:t>
      </w:r>
      <w:r w:rsidR="00164C9C" w:rsidRPr="00282AC9">
        <w:rPr>
          <w:rFonts w:ascii="Noor_Mitra" w:hAnsi="Noor_Mitra" w:cs="AL-Mohanad" w:hint="cs"/>
          <w:sz w:val="27"/>
          <w:szCs w:val="27"/>
          <w:rtl/>
        </w:rPr>
        <w:t>ِّخين الملازمي</w:t>
      </w:r>
      <w:r w:rsidR="00464852" w:rsidRPr="00282AC9">
        <w:rPr>
          <w:rFonts w:ascii="Noor_Mitra" w:hAnsi="Noor_Mitra" w:cs="AL-Mohanad" w:hint="cs"/>
          <w:sz w:val="27"/>
          <w:szCs w:val="27"/>
          <w:rtl/>
        </w:rPr>
        <w:t>ن للقاهر الخليفة العب</w:t>
      </w:r>
      <w:r w:rsidR="00164C9C" w:rsidRPr="00282AC9">
        <w:rPr>
          <w:rFonts w:ascii="Noor_Mitra" w:hAnsi="Noor_Mitra" w:cs="AL-Mohanad" w:hint="cs"/>
          <w:sz w:val="27"/>
          <w:szCs w:val="27"/>
          <w:rtl/>
        </w:rPr>
        <w:t>ّ</w:t>
      </w:r>
      <w:r w:rsidR="00464852" w:rsidRPr="00282AC9">
        <w:rPr>
          <w:rFonts w:ascii="Noor_Mitra" w:hAnsi="Noor_Mitra" w:cs="AL-Mohanad" w:hint="cs"/>
          <w:sz w:val="27"/>
          <w:szCs w:val="27"/>
          <w:rtl/>
        </w:rPr>
        <w:t>اسي</w:t>
      </w:r>
      <w:r w:rsidR="00464852" w:rsidRPr="00282AC9">
        <w:rPr>
          <w:rFonts w:ascii="Noor_Mitra" w:hAnsi="Noor_Mitra" w:cs="AL-Mohanad"/>
          <w:sz w:val="27"/>
          <w:szCs w:val="27"/>
          <w:vertAlign w:val="superscript"/>
          <w:rtl/>
        </w:rPr>
        <w:t>(</w:t>
      </w:r>
      <w:r w:rsidR="00464852" w:rsidRPr="00282AC9">
        <w:rPr>
          <w:rStyle w:val="af9"/>
          <w:rFonts w:ascii="Noor_Mitra" w:hAnsi="Noor_Mitra" w:cs="AL-Mohanad"/>
          <w:sz w:val="27"/>
          <w:szCs w:val="27"/>
          <w:rtl/>
        </w:rPr>
        <w:endnoteReference w:id="611"/>
      </w:r>
      <w:r w:rsidR="00464852" w:rsidRPr="00282AC9">
        <w:rPr>
          <w:rFonts w:ascii="Noor_Mitra" w:hAnsi="Noor_Mitra" w:cs="AL-Mohanad"/>
          <w:sz w:val="27"/>
          <w:szCs w:val="27"/>
          <w:vertAlign w:val="superscript"/>
          <w:rtl/>
        </w:rPr>
        <w:t>)</w:t>
      </w:r>
      <w:r w:rsidR="00464852" w:rsidRPr="00282AC9">
        <w:rPr>
          <w:rFonts w:ascii="Noor_Mitra" w:hAnsi="Noor_Mitra" w:cs="AL-Mohanad" w:hint="cs"/>
          <w:sz w:val="27"/>
          <w:szCs w:val="27"/>
          <w:rtl/>
        </w:rPr>
        <w:t xml:space="preserve">: </w:t>
      </w:r>
      <w:r w:rsidR="00464852" w:rsidRPr="00282AC9">
        <w:rPr>
          <w:rFonts w:cs="AL-Mohanad" w:hint="eastAsia"/>
          <w:rtl/>
          <w:lang w:bidi="fa-IR"/>
        </w:rPr>
        <w:t>«</w:t>
      </w:r>
      <w:r w:rsidR="00164C9C" w:rsidRPr="00282AC9">
        <w:rPr>
          <w:rFonts w:ascii="Noor_Mitra" w:hAnsi="Noor_Mitra" w:cs="AL-Mohanad" w:hint="cs"/>
          <w:sz w:val="27"/>
          <w:szCs w:val="27"/>
          <w:rtl/>
          <w:lang w:bidi="fa-IR"/>
        </w:rPr>
        <w:t>أ</w:t>
      </w:r>
      <w:r w:rsidR="00464852" w:rsidRPr="00282AC9">
        <w:rPr>
          <w:rFonts w:ascii="Noor_Mitra" w:hAnsi="Noor_Mitra" w:cs="AL-Mohanad"/>
          <w:sz w:val="27"/>
          <w:szCs w:val="27"/>
          <w:rtl/>
          <w:lang w:bidi="fa-IR"/>
        </w:rPr>
        <w:t xml:space="preserve">ما </w:t>
      </w:r>
      <w:r w:rsidR="00164C9C" w:rsidRPr="00282AC9">
        <w:rPr>
          <w:rFonts w:ascii="Noor_Mitra" w:hAnsi="Noor_Mitra" w:cs="AL-Mohanad" w:hint="cs"/>
          <w:sz w:val="27"/>
          <w:szCs w:val="27"/>
          <w:rtl/>
          <w:lang w:bidi="fa-IR"/>
        </w:rPr>
        <w:t>أ</w:t>
      </w:r>
      <w:r w:rsidR="00464852" w:rsidRPr="00282AC9">
        <w:rPr>
          <w:rFonts w:ascii="Noor_Mitra" w:hAnsi="Noor_Mitra" w:cs="AL-Mohanad"/>
          <w:sz w:val="27"/>
          <w:szCs w:val="27"/>
          <w:rtl/>
          <w:lang w:bidi="fa-IR"/>
        </w:rPr>
        <w:t>بو العب</w:t>
      </w:r>
      <w:r w:rsidR="00164C9C"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اس السف</w:t>
      </w:r>
      <w:r w:rsidR="00164C9C"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 xml:space="preserve">اح فكان سريعاً </w:t>
      </w:r>
      <w:r w:rsidR="00164C9C" w:rsidRPr="00282AC9">
        <w:rPr>
          <w:rFonts w:ascii="Noor_Mitra" w:hAnsi="Noor_Mitra" w:cs="AL-Mohanad" w:hint="cs"/>
          <w:sz w:val="27"/>
          <w:szCs w:val="27"/>
          <w:rtl/>
          <w:lang w:bidi="fa-IR"/>
        </w:rPr>
        <w:t>إ</w:t>
      </w:r>
      <w:r w:rsidR="00464852" w:rsidRPr="00282AC9">
        <w:rPr>
          <w:rFonts w:ascii="Noor_Mitra" w:hAnsi="Noor_Mitra" w:cs="AL-Mohanad"/>
          <w:sz w:val="27"/>
          <w:szCs w:val="27"/>
          <w:rtl/>
          <w:lang w:bidi="fa-IR"/>
        </w:rPr>
        <w:t>لى سفك الدماء و ات</w:t>
      </w:r>
      <w:r w:rsidR="00464852"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بعه عم</w:t>
      </w:r>
      <w:r w:rsidR="00464852"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ال</w:t>
      </w:r>
      <w:r w:rsidR="00164C9C" w:rsidRPr="00282AC9">
        <w:rPr>
          <w:rFonts w:ascii="Noor_Mitra" w:hAnsi="Noor_Mitra" w:cs="AL-Mohanad"/>
          <w:sz w:val="27"/>
          <w:szCs w:val="27"/>
          <w:rtl/>
          <w:lang w:bidi="fa-IR"/>
        </w:rPr>
        <w:t>ه في الشرق و</w:t>
      </w:r>
      <w:r w:rsidR="00464852" w:rsidRPr="00282AC9">
        <w:rPr>
          <w:rFonts w:ascii="Noor_Mitra" w:hAnsi="Noor_Mitra" w:cs="AL-Mohanad"/>
          <w:sz w:val="27"/>
          <w:szCs w:val="27"/>
          <w:rtl/>
          <w:lang w:bidi="fa-IR"/>
        </w:rPr>
        <w:t>الغرب في فعله، واس</w:t>
      </w:r>
      <w:r w:rsidR="00164C9C"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ت</w:t>
      </w:r>
      <w:r w:rsidR="00164C9C" w:rsidRPr="00282AC9">
        <w:rPr>
          <w:rFonts w:ascii="Noor_Mitra" w:hAnsi="Noor_Mitra" w:cs="AL-Mohanad" w:hint="cs"/>
          <w:sz w:val="27"/>
          <w:szCs w:val="27"/>
          <w:rtl/>
          <w:lang w:bidi="fa-IR"/>
        </w:rPr>
        <w:t>َ</w:t>
      </w:r>
      <w:r w:rsidR="00464852" w:rsidRPr="00282AC9">
        <w:rPr>
          <w:rFonts w:ascii="Noor_Mitra" w:hAnsi="Noor_Mitra" w:cs="AL-Mohanad"/>
          <w:sz w:val="27"/>
          <w:szCs w:val="27"/>
          <w:rtl/>
          <w:lang w:bidi="fa-IR"/>
        </w:rPr>
        <w:t>نُّوا بسيرته</w:t>
      </w:r>
      <w:r w:rsidR="00464852" w:rsidRPr="00282AC9">
        <w:rPr>
          <w:rFonts w:cs="AL-Mohanad" w:hint="eastAsia"/>
          <w:rtl/>
        </w:rPr>
        <w:t>»</w:t>
      </w:r>
      <w:r w:rsidR="00464852" w:rsidRPr="00282AC9">
        <w:rPr>
          <w:rFonts w:ascii="Noor_Mitra" w:hAnsi="Noor_Mitra" w:cs="AL-Mohanad"/>
          <w:sz w:val="27"/>
          <w:szCs w:val="27"/>
          <w:vertAlign w:val="superscript"/>
          <w:rtl/>
          <w:lang w:bidi="fa-IR"/>
        </w:rPr>
        <w:t>(</w:t>
      </w:r>
      <w:r w:rsidR="00464852" w:rsidRPr="00282AC9">
        <w:rPr>
          <w:rStyle w:val="af9"/>
          <w:rFonts w:ascii="Noor_Mitra" w:hAnsi="Noor_Mitra" w:cs="AL-Mohanad"/>
          <w:sz w:val="27"/>
          <w:szCs w:val="27"/>
          <w:rtl/>
          <w:lang w:bidi="fa-IR"/>
        </w:rPr>
        <w:endnoteReference w:id="612"/>
      </w:r>
      <w:r w:rsidR="00464852" w:rsidRPr="00282AC9">
        <w:rPr>
          <w:rFonts w:ascii="Noor_Mitra" w:hAnsi="Noor_Mitra" w:cs="AL-Mohanad"/>
          <w:sz w:val="27"/>
          <w:szCs w:val="27"/>
          <w:vertAlign w:val="superscript"/>
          <w:rtl/>
          <w:lang w:bidi="fa-IR"/>
        </w:rPr>
        <w:t>)</w:t>
      </w:r>
      <w:r w:rsidR="00464852" w:rsidRPr="00282AC9">
        <w:rPr>
          <w:rFonts w:ascii="Noor_Mitra" w:hAnsi="Noor_Mitra" w:cs="AL-Mohanad" w:hint="cs"/>
          <w:sz w:val="27"/>
          <w:szCs w:val="27"/>
          <w:rtl/>
          <w:lang w:bidi="fa-IR"/>
        </w:rPr>
        <w:t>.</w:t>
      </w:r>
    </w:p>
    <w:p w:rsidR="00464852" w:rsidRPr="00282AC9" w:rsidRDefault="00464852" w:rsidP="00446290">
      <w:pPr>
        <w:pStyle w:val="afc"/>
        <w:spacing w:line="380" w:lineRule="exact"/>
        <w:rPr>
          <w:rFonts w:ascii="Noor_Mitra" w:hAnsi="Noor_Mitra" w:cs="AL-Mohanad"/>
          <w:sz w:val="27"/>
          <w:szCs w:val="27"/>
          <w:rtl/>
        </w:rPr>
      </w:pPr>
    </w:p>
    <w:p w:rsidR="00464852" w:rsidRPr="00282AC9" w:rsidRDefault="008F6C42" w:rsidP="008F6C42">
      <w:pPr>
        <w:pStyle w:val="31"/>
        <w:rPr>
          <w:b/>
          <w:color w:val="auto"/>
          <w:lang w:bidi="fa-IR"/>
        </w:rPr>
      </w:pPr>
      <w:r w:rsidRPr="00282AC9">
        <w:rPr>
          <w:rFonts w:hint="cs"/>
          <w:color w:val="auto"/>
          <w:rtl/>
          <w:lang w:bidi="fa-IR"/>
        </w:rPr>
        <w:t>النتيجة</w:t>
      </w:r>
    </w:p>
    <w:p w:rsidR="00164C9C" w:rsidRPr="00282AC9" w:rsidRDefault="00464852" w:rsidP="00407A45">
      <w:pPr>
        <w:spacing w:line="386" w:lineRule="exact"/>
        <w:rPr>
          <w:sz w:val="27"/>
          <w:rtl/>
        </w:rPr>
      </w:pPr>
      <w:r w:rsidRPr="00282AC9">
        <w:rPr>
          <w:rFonts w:hint="cs"/>
          <w:sz w:val="27"/>
          <w:rtl/>
        </w:rPr>
        <w:t>استعر</w:t>
      </w:r>
      <w:r w:rsidR="00164C9C" w:rsidRPr="00282AC9">
        <w:rPr>
          <w:rFonts w:hint="cs"/>
          <w:sz w:val="27"/>
          <w:rtl/>
        </w:rPr>
        <w:t>َ</w:t>
      </w:r>
      <w:r w:rsidRPr="00282AC9">
        <w:rPr>
          <w:rFonts w:hint="cs"/>
          <w:sz w:val="27"/>
          <w:rtl/>
        </w:rPr>
        <w:t>ض</w:t>
      </w:r>
      <w:r w:rsidR="00164C9C" w:rsidRPr="00282AC9">
        <w:rPr>
          <w:rFonts w:hint="cs"/>
          <w:sz w:val="27"/>
          <w:rtl/>
        </w:rPr>
        <w:t>ْ</w:t>
      </w:r>
      <w:r w:rsidRPr="00282AC9">
        <w:rPr>
          <w:rFonts w:hint="cs"/>
          <w:sz w:val="27"/>
          <w:rtl/>
        </w:rPr>
        <w:t xml:space="preserve">نا الاستعمالات لكلمة </w:t>
      </w:r>
      <w:r w:rsidRPr="00282AC9">
        <w:rPr>
          <w:rFonts w:hint="eastAsia"/>
          <w:sz w:val="24"/>
          <w:szCs w:val="24"/>
          <w:rtl/>
        </w:rPr>
        <w:t>«</w:t>
      </w:r>
      <w:r w:rsidR="00164C9C" w:rsidRPr="00282AC9">
        <w:rPr>
          <w:rFonts w:hint="cs"/>
          <w:sz w:val="27"/>
          <w:rtl/>
        </w:rPr>
        <w:t>السُّ</w:t>
      </w:r>
      <w:r w:rsidRPr="00282AC9">
        <w:rPr>
          <w:rFonts w:hint="cs"/>
          <w:sz w:val="27"/>
          <w:rtl/>
        </w:rPr>
        <w:t>نّ</w:t>
      </w:r>
      <w:r w:rsidR="00164C9C" w:rsidRPr="00282AC9">
        <w:rPr>
          <w:rFonts w:hint="cs"/>
          <w:sz w:val="27"/>
          <w:rtl/>
        </w:rPr>
        <w:t>َ</w:t>
      </w:r>
      <w:r w:rsidRPr="00282AC9">
        <w:rPr>
          <w:rFonts w:hint="cs"/>
          <w:sz w:val="27"/>
          <w:rtl/>
        </w:rPr>
        <w:t>ة</w:t>
      </w:r>
      <w:r w:rsidRPr="00282AC9">
        <w:rPr>
          <w:rFonts w:hint="eastAsia"/>
          <w:sz w:val="24"/>
          <w:szCs w:val="24"/>
          <w:rtl/>
        </w:rPr>
        <w:t>»</w:t>
      </w:r>
      <w:r w:rsidRPr="00282AC9">
        <w:rPr>
          <w:rFonts w:hint="cs"/>
          <w:sz w:val="27"/>
          <w:rtl/>
        </w:rPr>
        <w:t xml:space="preserve"> في محورين: الاستعمالات في القرن </w:t>
      </w:r>
      <w:r w:rsidRPr="00282AC9">
        <w:rPr>
          <w:rFonts w:hint="cs"/>
          <w:sz w:val="27"/>
          <w:rtl/>
        </w:rPr>
        <w:lastRenderedPageBreak/>
        <w:t>الأو</w:t>
      </w:r>
      <w:r w:rsidR="00164C9C" w:rsidRPr="00282AC9">
        <w:rPr>
          <w:rFonts w:hint="cs"/>
          <w:sz w:val="27"/>
          <w:rtl/>
        </w:rPr>
        <w:t>ّ</w:t>
      </w:r>
      <w:r w:rsidRPr="00282AC9">
        <w:rPr>
          <w:rFonts w:hint="cs"/>
          <w:sz w:val="27"/>
          <w:rtl/>
        </w:rPr>
        <w:t>ل الهجري</w:t>
      </w:r>
      <w:r w:rsidR="00164C9C" w:rsidRPr="00282AC9">
        <w:rPr>
          <w:rFonts w:hint="cs"/>
          <w:sz w:val="27"/>
          <w:rtl/>
        </w:rPr>
        <w:t>ّ؛ و</w:t>
      </w:r>
      <w:r w:rsidRPr="00282AC9">
        <w:rPr>
          <w:rFonts w:hint="cs"/>
          <w:sz w:val="27"/>
          <w:rtl/>
        </w:rPr>
        <w:t>الاستعمالات فيما بعده</w:t>
      </w:r>
      <w:r w:rsidR="00164C9C" w:rsidRPr="00282AC9">
        <w:rPr>
          <w:rFonts w:hint="cs"/>
          <w:sz w:val="27"/>
          <w:rtl/>
        </w:rPr>
        <w:t>.</w:t>
      </w:r>
    </w:p>
    <w:p w:rsidR="00164C9C" w:rsidRPr="00282AC9" w:rsidRDefault="00464852" w:rsidP="00407A45">
      <w:pPr>
        <w:spacing w:line="386" w:lineRule="exact"/>
        <w:rPr>
          <w:sz w:val="27"/>
          <w:rtl/>
        </w:rPr>
      </w:pPr>
      <w:r w:rsidRPr="00282AC9">
        <w:rPr>
          <w:rFonts w:hint="cs"/>
          <w:sz w:val="27"/>
          <w:rtl/>
        </w:rPr>
        <w:t>وقدّ</w:t>
      </w:r>
      <w:r w:rsidR="00164C9C" w:rsidRPr="00282AC9">
        <w:rPr>
          <w:rFonts w:hint="cs"/>
          <w:sz w:val="27"/>
          <w:rtl/>
        </w:rPr>
        <w:t>َ</w:t>
      </w:r>
      <w:r w:rsidRPr="00282AC9">
        <w:rPr>
          <w:rFonts w:hint="cs"/>
          <w:sz w:val="27"/>
          <w:rtl/>
        </w:rPr>
        <w:t>م</w:t>
      </w:r>
      <w:r w:rsidR="00164C9C" w:rsidRPr="00282AC9">
        <w:rPr>
          <w:rFonts w:hint="cs"/>
          <w:sz w:val="27"/>
          <w:rtl/>
        </w:rPr>
        <w:t>ْنا في كلٍّ</w:t>
      </w:r>
      <w:r w:rsidRPr="00282AC9">
        <w:rPr>
          <w:rFonts w:hint="cs"/>
          <w:sz w:val="27"/>
          <w:rtl/>
        </w:rPr>
        <w:t xml:space="preserve"> من المحور</w:t>
      </w:r>
      <w:r w:rsidR="00164C9C" w:rsidRPr="00282AC9">
        <w:rPr>
          <w:rFonts w:hint="cs"/>
          <w:sz w:val="27"/>
          <w:rtl/>
        </w:rPr>
        <w:t>َ</w:t>
      </w:r>
      <w:r w:rsidRPr="00282AC9">
        <w:rPr>
          <w:rFonts w:hint="cs"/>
          <w:sz w:val="27"/>
          <w:rtl/>
        </w:rPr>
        <w:t>ي</w:t>
      </w:r>
      <w:r w:rsidR="00164C9C" w:rsidRPr="00282AC9">
        <w:rPr>
          <w:rFonts w:hint="cs"/>
          <w:sz w:val="27"/>
          <w:rtl/>
        </w:rPr>
        <w:t>ْ</w:t>
      </w:r>
      <w:r w:rsidRPr="00282AC9">
        <w:rPr>
          <w:rFonts w:hint="cs"/>
          <w:sz w:val="27"/>
          <w:rtl/>
        </w:rPr>
        <w:t>ن شواهد متنو</w:t>
      </w:r>
      <w:r w:rsidR="00164C9C" w:rsidRPr="00282AC9">
        <w:rPr>
          <w:rFonts w:hint="cs"/>
          <w:sz w:val="27"/>
          <w:rtl/>
        </w:rPr>
        <w:t>ِّ</w:t>
      </w:r>
      <w:r w:rsidRPr="00282AC9">
        <w:rPr>
          <w:rFonts w:hint="cs"/>
          <w:sz w:val="27"/>
          <w:rtl/>
        </w:rPr>
        <w:t>عة</w:t>
      </w:r>
      <w:r w:rsidR="00164C9C" w:rsidRPr="00282AC9">
        <w:rPr>
          <w:rFonts w:hint="cs"/>
          <w:sz w:val="27"/>
          <w:rtl/>
        </w:rPr>
        <w:t>:</w:t>
      </w:r>
    </w:p>
    <w:p w:rsidR="00164C9C" w:rsidRPr="00282AC9" w:rsidRDefault="00464852" w:rsidP="00407A45">
      <w:pPr>
        <w:spacing w:line="386" w:lineRule="exact"/>
        <w:rPr>
          <w:sz w:val="27"/>
          <w:rtl/>
        </w:rPr>
      </w:pPr>
      <w:r w:rsidRPr="00282AC9">
        <w:rPr>
          <w:rFonts w:hint="cs"/>
          <w:sz w:val="27"/>
          <w:rtl/>
        </w:rPr>
        <w:t>فقد تقدّ</w:t>
      </w:r>
      <w:r w:rsidR="00164C9C" w:rsidRPr="00282AC9">
        <w:rPr>
          <w:rFonts w:hint="cs"/>
          <w:sz w:val="27"/>
          <w:rtl/>
        </w:rPr>
        <w:t>َ</w:t>
      </w:r>
      <w:r w:rsidRPr="00282AC9">
        <w:rPr>
          <w:rFonts w:hint="cs"/>
          <w:sz w:val="27"/>
          <w:rtl/>
        </w:rPr>
        <w:t>م في المحور الأو</w:t>
      </w:r>
      <w:r w:rsidR="00164C9C" w:rsidRPr="00282AC9">
        <w:rPr>
          <w:rFonts w:hint="cs"/>
          <w:sz w:val="27"/>
          <w:rtl/>
        </w:rPr>
        <w:t>ّ</w:t>
      </w:r>
      <w:r w:rsidRPr="00282AC9">
        <w:rPr>
          <w:rFonts w:hint="cs"/>
          <w:sz w:val="27"/>
          <w:rtl/>
        </w:rPr>
        <w:t>ل شواهد مختلفة من أحاديث أهل البيت</w:t>
      </w:r>
      <w:r w:rsidR="00876ECA" w:rsidRPr="00282AC9">
        <w:rPr>
          <w:rFonts w:cs="Mosawi" w:hint="cs"/>
          <w:sz w:val="22"/>
          <w:szCs w:val="22"/>
          <w:rtl/>
        </w:rPr>
        <w:t>^</w:t>
      </w:r>
      <w:r w:rsidRPr="00282AC9">
        <w:rPr>
          <w:rFonts w:hint="cs"/>
          <w:sz w:val="27"/>
          <w:rtl/>
        </w:rPr>
        <w:t xml:space="preserve"> وكلمات الصحابة والأشعار القديمة وغيرها</w:t>
      </w:r>
      <w:r w:rsidR="00164C9C" w:rsidRPr="00282AC9">
        <w:rPr>
          <w:rFonts w:hint="cs"/>
          <w:sz w:val="27"/>
          <w:rtl/>
        </w:rPr>
        <w:t>.</w:t>
      </w:r>
    </w:p>
    <w:p w:rsidR="00164C9C" w:rsidRPr="00282AC9" w:rsidRDefault="00464852" w:rsidP="00407A45">
      <w:pPr>
        <w:spacing w:line="386" w:lineRule="exact"/>
        <w:rPr>
          <w:sz w:val="27"/>
          <w:rtl/>
        </w:rPr>
      </w:pPr>
      <w:r w:rsidRPr="00282AC9">
        <w:rPr>
          <w:rFonts w:hint="cs"/>
          <w:sz w:val="27"/>
          <w:rtl/>
        </w:rPr>
        <w:t>و</w:t>
      </w:r>
      <w:r w:rsidR="00164C9C" w:rsidRPr="00282AC9">
        <w:rPr>
          <w:rFonts w:hint="cs"/>
          <w:sz w:val="27"/>
          <w:rtl/>
        </w:rPr>
        <w:t xml:space="preserve">تقدَّم </w:t>
      </w:r>
      <w:r w:rsidRPr="00282AC9">
        <w:rPr>
          <w:rFonts w:hint="cs"/>
          <w:sz w:val="27"/>
          <w:rtl/>
        </w:rPr>
        <w:t>في المحور الثاني أيضا</w:t>
      </w:r>
      <w:r w:rsidR="00164C9C" w:rsidRPr="00282AC9">
        <w:rPr>
          <w:rFonts w:hint="cs"/>
          <w:sz w:val="27"/>
          <w:rtl/>
        </w:rPr>
        <w:t>ً</w:t>
      </w:r>
      <w:r w:rsidRPr="00282AC9">
        <w:rPr>
          <w:rFonts w:hint="cs"/>
          <w:sz w:val="27"/>
          <w:rtl/>
        </w:rPr>
        <w:t xml:space="preserve"> شواهد متنو</w:t>
      </w:r>
      <w:r w:rsidR="00164C9C" w:rsidRPr="00282AC9">
        <w:rPr>
          <w:rFonts w:hint="cs"/>
          <w:sz w:val="27"/>
          <w:rtl/>
        </w:rPr>
        <w:t>ِّ</w:t>
      </w:r>
      <w:r w:rsidRPr="00282AC9">
        <w:rPr>
          <w:rFonts w:hint="cs"/>
          <w:sz w:val="27"/>
          <w:rtl/>
        </w:rPr>
        <w:t>عة في</w:t>
      </w:r>
      <w:r w:rsidRPr="00282AC9">
        <w:rPr>
          <w:sz w:val="27"/>
          <w:rtl/>
        </w:rPr>
        <w:t xml:space="preserve"> لسان الطبقات المختلفة من الناس</w:t>
      </w:r>
      <w:r w:rsidR="00164C9C" w:rsidRPr="00282AC9">
        <w:rPr>
          <w:rFonts w:hint="cs"/>
          <w:sz w:val="27"/>
          <w:rtl/>
        </w:rPr>
        <w:t>،</w:t>
      </w:r>
      <w:r w:rsidRPr="00282AC9">
        <w:rPr>
          <w:sz w:val="27"/>
          <w:rtl/>
        </w:rPr>
        <w:t xml:space="preserve"> </w:t>
      </w:r>
      <w:r w:rsidRPr="00282AC9">
        <w:rPr>
          <w:rFonts w:hint="cs"/>
          <w:sz w:val="27"/>
          <w:rtl/>
        </w:rPr>
        <w:t>ك</w:t>
      </w:r>
      <w:r w:rsidRPr="00282AC9">
        <w:rPr>
          <w:sz w:val="27"/>
          <w:rtl/>
        </w:rPr>
        <w:t>الفقهاء والمؤر</w:t>
      </w:r>
      <w:r w:rsidR="00164C9C" w:rsidRPr="00282AC9">
        <w:rPr>
          <w:rFonts w:hint="cs"/>
          <w:sz w:val="27"/>
          <w:rtl/>
        </w:rPr>
        <w:t>ِّ</w:t>
      </w:r>
      <w:r w:rsidRPr="00282AC9">
        <w:rPr>
          <w:sz w:val="27"/>
          <w:rtl/>
        </w:rPr>
        <w:t>خين والأمراء والشعراء وغيرهم</w:t>
      </w:r>
      <w:r w:rsidR="00164C9C" w:rsidRPr="00282AC9">
        <w:rPr>
          <w:rFonts w:hint="cs"/>
          <w:sz w:val="27"/>
          <w:rtl/>
        </w:rPr>
        <w:t>.</w:t>
      </w:r>
    </w:p>
    <w:p w:rsidR="00164C9C" w:rsidRPr="00282AC9" w:rsidRDefault="00464852" w:rsidP="00407A45">
      <w:pPr>
        <w:spacing w:line="386" w:lineRule="exact"/>
        <w:rPr>
          <w:sz w:val="27"/>
          <w:rtl/>
        </w:rPr>
      </w:pPr>
      <w:r w:rsidRPr="00282AC9">
        <w:rPr>
          <w:rFonts w:hint="cs"/>
          <w:sz w:val="27"/>
          <w:rtl/>
        </w:rPr>
        <w:t>وات</w:t>
      </w:r>
      <w:r w:rsidR="00164C9C" w:rsidRPr="00282AC9">
        <w:rPr>
          <w:rFonts w:hint="cs"/>
          <w:sz w:val="27"/>
          <w:rtl/>
        </w:rPr>
        <w:t>َّ</w:t>
      </w:r>
      <w:r w:rsidRPr="00282AC9">
        <w:rPr>
          <w:rFonts w:hint="cs"/>
          <w:sz w:val="27"/>
          <w:rtl/>
        </w:rPr>
        <w:t>ضح من جميع ذلك أن المعنى اللغوي</w:t>
      </w:r>
      <w:r w:rsidR="00164C9C" w:rsidRPr="00282AC9">
        <w:rPr>
          <w:rFonts w:hint="cs"/>
          <w:sz w:val="27"/>
          <w:rtl/>
        </w:rPr>
        <w:t>ّ</w:t>
      </w:r>
      <w:r w:rsidRPr="00282AC9">
        <w:rPr>
          <w:rFonts w:hint="cs"/>
          <w:sz w:val="27"/>
          <w:rtl/>
        </w:rPr>
        <w:t xml:space="preserve"> العام</w:t>
      </w:r>
      <w:r w:rsidR="00164C9C" w:rsidRPr="00282AC9">
        <w:rPr>
          <w:rFonts w:hint="cs"/>
          <w:sz w:val="27"/>
          <w:rtl/>
        </w:rPr>
        <w:t>ّ</w:t>
      </w:r>
      <w:r w:rsidRPr="00282AC9">
        <w:rPr>
          <w:rFonts w:hint="cs"/>
          <w:sz w:val="27"/>
          <w:rtl/>
        </w:rPr>
        <w:t xml:space="preserve"> لكلمة </w:t>
      </w:r>
      <w:r w:rsidRPr="00282AC9">
        <w:rPr>
          <w:rFonts w:hint="eastAsia"/>
          <w:sz w:val="24"/>
          <w:szCs w:val="24"/>
          <w:rtl/>
        </w:rPr>
        <w:t>«</w:t>
      </w:r>
      <w:r w:rsidR="00164C9C" w:rsidRPr="00282AC9">
        <w:rPr>
          <w:rFonts w:hint="cs"/>
          <w:sz w:val="27"/>
          <w:rtl/>
        </w:rPr>
        <w:t>السُّ</w:t>
      </w:r>
      <w:r w:rsidRPr="00282AC9">
        <w:rPr>
          <w:rFonts w:hint="cs"/>
          <w:sz w:val="27"/>
          <w:rtl/>
        </w:rPr>
        <w:t>نّ</w:t>
      </w:r>
      <w:r w:rsidR="00164C9C" w:rsidRPr="00282AC9">
        <w:rPr>
          <w:rFonts w:hint="cs"/>
          <w:sz w:val="27"/>
          <w:rtl/>
        </w:rPr>
        <w:t>َ</w:t>
      </w:r>
      <w:r w:rsidRPr="00282AC9">
        <w:rPr>
          <w:rFonts w:hint="cs"/>
          <w:sz w:val="27"/>
          <w:rtl/>
        </w:rPr>
        <w:t>ة</w:t>
      </w:r>
      <w:r w:rsidRPr="00282AC9">
        <w:rPr>
          <w:rFonts w:hint="eastAsia"/>
          <w:sz w:val="24"/>
          <w:szCs w:val="24"/>
          <w:rtl/>
        </w:rPr>
        <w:t>»</w:t>
      </w:r>
      <w:r w:rsidR="00164C9C" w:rsidRPr="00282AC9">
        <w:rPr>
          <w:rFonts w:hint="cs"/>
          <w:sz w:val="27"/>
          <w:rtl/>
        </w:rPr>
        <w:t>،</w:t>
      </w:r>
      <w:r w:rsidRPr="00282AC9">
        <w:rPr>
          <w:rFonts w:hint="cs"/>
          <w:sz w:val="27"/>
          <w:rtl/>
        </w:rPr>
        <w:t xml:space="preserve"> وشمولها للطريقة السي</w:t>
      </w:r>
      <w:r w:rsidR="00164C9C" w:rsidRPr="00282AC9">
        <w:rPr>
          <w:rFonts w:hint="cs"/>
          <w:sz w:val="27"/>
          <w:rtl/>
        </w:rPr>
        <w:t>ِّ</w:t>
      </w:r>
      <w:r w:rsidRPr="00282AC9">
        <w:rPr>
          <w:rFonts w:hint="cs"/>
          <w:sz w:val="27"/>
          <w:rtl/>
        </w:rPr>
        <w:t>ئة والح</w:t>
      </w:r>
      <w:r w:rsidR="00164C9C" w:rsidRPr="00282AC9">
        <w:rPr>
          <w:rFonts w:hint="cs"/>
          <w:sz w:val="27"/>
          <w:rtl/>
        </w:rPr>
        <w:t>َ</w:t>
      </w:r>
      <w:r w:rsidRPr="00282AC9">
        <w:rPr>
          <w:rFonts w:hint="cs"/>
          <w:sz w:val="27"/>
          <w:rtl/>
        </w:rPr>
        <w:t>س</w:t>
      </w:r>
      <w:r w:rsidR="00164C9C" w:rsidRPr="00282AC9">
        <w:rPr>
          <w:rFonts w:hint="cs"/>
          <w:sz w:val="27"/>
          <w:rtl/>
        </w:rPr>
        <w:t>َ</w:t>
      </w:r>
      <w:r w:rsidRPr="00282AC9">
        <w:rPr>
          <w:rFonts w:hint="cs"/>
          <w:sz w:val="27"/>
          <w:rtl/>
        </w:rPr>
        <w:t>نة معاً</w:t>
      </w:r>
      <w:r w:rsidR="00164C9C" w:rsidRPr="00282AC9">
        <w:rPr>
          <w:rFonts w:hint="cs"/>
          <w:sz w:val="27"/>
          <w:rtl/>
        </w:rPr>
        <w:t>،</w:t>
      </w:r>
      <w:r w:rsidRPr="00282AC9">
        <w:rPr>
          <w:rFonts w:hint="cs"/>
          <w:sz w:val="27"/>
          <w:rtl/>
        </w:rPr>
        <w:t xml:space="preserve"> ثابتٌ في كلا الحالتين: النقل باللفظ</w:t>
      </w:r>
      <w:r w:rsidR="00164C9C" w:rsidRPr="00282AC9">
        <w:rPr>
          <w:rFonts w:hint="cs"/>
          <w:sz w:val="27"/>
          <w:rtl/>
        </w:rPr>
        <w:t>؛ والنقل بالمعنى.</w:t>
      </w:r>
    </w:p>
    <w:p w:rsidR="00E83C22" w:rsidRPr="00282AC9" w:rsidRDefault="00464852" w:rsidP="00407A45">
      <w:pPr>
        <w:spacing w:line="386" w:lineRule="exact"/>
        <w:rPr>
          <w:rtl/>
        </w:rPr>
      </w:pPr>
      <w:r w:rsidRPr="00282AC9">
        <w:rPr>
          <w:rFonts w:hint="cs"/>
          <w:sz w:val="27"/>
          <w:rtl/>
        </w:rPr>
        <w:t>وبالتالي يتبي</w:t>
      </w:r>
      <w:r w:rsidR="00164C9C" w:rsidRPr="00282AC9">
        <w:rPr>
          <w:rFonts w:hint="cs"/>
          <w:sz w:val="27"/>
          <w:rtl/>
        </w:rPr>
        <w:t>َّ</w:t>
      </w:r>
      <w:r w:rsidRPr="00282AC9">
        <w:rPr>
          <w:rFonts w:hint="cs"/>
          <w:sz w:val="27"/>
          <w:rtl/>
        </w:rPr>
        <w:t>ن من خلال ذلك أن الأمر النبوي</w:t>
      </w:r>
      <w:r w:rsidR="00164C9C" w:rsidRPr="00282AC9">
        <w:rPr>
          <w:rFonts w:hint="cs"/>
          <w:sz w:val="27"/>
          <w:rtl/>
        </w:rPr>
        <w:t>ّ</w:t>
      </w:r>
      <w:r w:rsidRPr="00282AC9">
        <w:rPr>
          <w:rFonts w:hint="cs"/>
          <w:sz w:val="27"/>
          <w:rtl/>
        </w:rPr>
        <w:t xml:space="preserve"> بات</w:t>
      </w:r>
      <w:r w:rsidR="00164C9C" w:rsidRPr="00282AC9">
        <w:rPr>
          <w:rFonts w:hint="cs"/>
          <w:sz w:val="27"/>
          <w:rtl/>
        </w:rPr>
        <w:t>ّ</w:t>
      </w:r>
      <w:r w:rsidRPr="00282AC9">
        <w:rPr>
          <w:rFonts w:hint="cs"/>
          <w:sz w:val="27"/>
          <w:rtl/>
        </w:rPr>
        <w:t>باع س</w:t>
      </w:r>
      <w:r w:rsidR="00164C9C" w:rsidRPr="00282AC9">
        <w:rPr>
          <w:rFonts w:hint="cs"/>
          <w:sz w:val="27"/>
          <w:rtl/>
        </w:rPr>
        <w:t>ُ</w:t>
      </w:r>
      <w:r w:rsidRPr="00282AC9">
        <w:rPr>
          <w:rFonts w:hint="cs"/>
          <w:sz w:val="27"/>
          <w:rtl/>
        </w:rPr>
        <w:t>ن</w:t>
      </w:r>
      <w:r w:rsidR="00164C9C" w:rsidRPr="00282AC9">
        <w:rPr>
          <w:rFonts w:hint="cs"/>
          <w:sz w:val="27"/>
          <w:rtl/>
        </w:rPr>
        <w:t>َّ</w:t>
      </w:r>
      <w:r w:rsidRPr="00282AC9">
        <w:rPr>
          <w:rFonts w:hint="cs"/>
          <w:sz w:val="27"/>
          <w:rtl/>
        </w:rPr>
        <w:t>ته عام</w:t>
      </w:r>
      <w:r w:rsidR="00164C9C" w:rsidRPr="00282AC9">
        <w:rPr>
          <w:rFonts w:hint="cs"/>
          <w:sz w:val="27"/>
          <w:rtl/>
        </w:rPr>
        <w:t>ّ،</w:t>
      </w:r>
      <w:r w:rsidRPr="00282AC9">
        <w:rPr>
          <w:rFonts w:hint="cs"/>
          <w:sz w:val="27"/>
          <w:rtl/>
        </w:rPr>
        <w:t xml:space="preserve"> يشمل كل</w:t>
      </w:r>
      <w:r w:rsidR="00164C9C" w:rsidRPr="00282AC9">
        <w:rPr>
          <w:rFonts w:hint="cs"/>
          <w:sz w:val="27"/>
          <w:rtl/>
        </w:rPr>
        <w:t>ّ</w:t>
      </w:r>
      <w:r w:rsidRPr="00282AC9">
        <w:rPr>
          <w:rFonts w:hint="cs"/>
          <w:sz w:val="27"/>
          <w:rtl/>
        </w:rPr>
        <w:t xml:space="preserve"> طريقةٍ له</w:t>
      </w:r>
      <w:r w:rsidR="00164C9C" w:rsidRPr="00282AC9">
        <w:rPr>
          <w:rFonts w:hint="cs"/>
          <w:sz w:val="27"/>
          <w:rtl/>
        </w:rPr>
        <w:t>.</w:t>
      </w:r>
      <w:r w:rsidRPr="00282AC9">
        <w:rPr>
          <w:rFonts w:hint="cs"/>
          <w:sz w:val="27"/>
          <w:rtl/>
        </w:rPr>
        <w:t xml:space="preserve"> ويثبت من هذه الجهة أن حج</w:t>
      </w:r>
      <w:r w:rsidR="00164C9C" w:rsidRPr="00282AC9">
        <w:rPr>
          <w:rFonts w:hint="cs"/>
          <w:sz w:val="27"/>
          <w:rtl/>
        </w:rPr>
        <w:t>ِّ</w:t>
      </w:r>
      <w:r w:rsidRPr="00282AC9">
        <w:rPr>
          <w:rFonts w:hint="cs"/>
          <w:sz w:val="27"/>
          <w:rtl/>
        </w:rPr>
        <w:t>ية السن</w:t>
      </w:r>
      <w:r w:rsidR="00164C9C" w:rsidRPr="00282AC9">
        <w:rPr>
          <w:rFonts w:hint="cs"/>
          <w:sz w:val="27"/>
          <w:rtl/>
        </w:rPr>
        <w:t>ّ</w:t>
      </w:r>
      <w:r w:rsidRPr="00282AC9">
        <w:rPr>
          <w:rFonts w:hint="cs"/>
          <w:sz w:val="27"/>
          <w:rtl/>
        </w:rPr>
        <w:t>ة النبوي</w:t>
      </w:r>
      <w:r w:rsidR="00164C9C" w:rsidRPr="00282AC9">
        <w:rPr>
          <w:rFonts w:hint="cs"/>
          <w:sz w:val="27"/>
          <w:rtl/>
        </w:rPr>
        <w:t>ّ</w:t>
      </w:r>
      <w:r w:rsidRPr="00282AC9">
        <w:rPr>
          <w:rFonts w:hint="cs"/>
          <w:sz w:val="27"/>
          <w:rtl/>
        </w:rPr>
        <w:t>ة عام</w:t>
      </w:r>
      <w:r w:rsidR="00164C9C" w:rsidRPr="00282AC9">
        <w:rPr>
          <w:rFonts w:hint="cs"/>
          <w:sz w:val="27"/>
          <w:rtl/>
        </w:rPr>
        <w:t>ٌّ،</w:t>
      </w:r>
      <w:r w:rsidRPr="00282AC9">
        <w:rPr>
          <w:rFonts w:hint="cs"/>
          <w:sz w:val="27"/>
          <w:rtl/>
        </w:rPr>
        <w:t xml:space="preserve"> وهذا الإشكال من القرآني</w:t>
      </w:r>
      <w:r w:rsidR="00164C9C" w:rsidRPr="00282AC9">
        <w:rPr>
          <w:rFonts w:hint="cs"/>
          <w:sz w:val="27"/>
          <w:rtl/>
        </w:rPr>
        <w:t>ّ</w:t>
      </w:r>
      <w:r w:rsidRPr="00282AC9">
        <w:rPr>
          <w:rFonts w:hint="cs"/>
          <w:sz w:val="27"/>
          <w:rtl/>
        </w:rPr>
        <w:t>ين غير</w:t>
      </w:r>
      <w:r w:rsidR="00164C9C" w:rsidRPr="00282AC9">
        <w:rPr>
          <w:rFonts w:hint="cs"/>
          <w:sz w:val="27"/>
          <w:rtl/>
        </w:rPr>
        <w:t>ُ</w:t>
      </w:r>
      <w:r w:rsidRPr="00282AC9">
        <w:rPr>
          <w:rFonts w:hint="cs"/>
          <w:sz w:val="27"/>
          <w:rtl/>
        </w:rPr>
        <w:t xml:space="preserve"> وارد</w:t>
      </w:r>
      <w:r w:rsidR="00164C9C" w:rsidRPr="00282AC9">
        <w:rPr>
          <w:rFonts w:hint="cs"/>
          <w:sz w:val="27"/>
          <w:rtl/>
        </w:rPr>
        <w:t>ٍ</w:t>
      </w:r>
      <w:r w:rsidRPr="00282AC9">
        <w:rPr>
          <w:rFonts w:hint="cs"/>
          <w:sz w:val="27"/>
          <w:rtl/>
        </w:rPr>
        <w:t>.</w:t>
      </w:r>
    </w:p>
    <w:p w:rsidR="00E83C22" w:rsidRPr="00282AC9" w:rsidRDefault="00E83C22" w:rsidP="00446290">
      <w:pPr>
        <w:spacing w:line="410" w:lineRule="exact"/>
        <w:rPr>
          <w:rtl/>
        </w:rPr>
      </w:pPr>
    </w:p>
    <w:p w:rsidR="00E83C22" w:rsidRPr="00282AC9" w:rsidRDefault="00E83C22" w:rsidP="00446290">
      <w:pPr>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91"/>
          <w:headerReference w:type="default" r:id="rId92"/>
          <w:footerReference w:type="even" r:id="rId93"/>
          <w:foot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4003D1">
      <w:pPr>
        <w:spacing w:line="410" w:lineRule="exact"/>
        <w:rPr>
          <w:rtl/>
        </w:rPr>
      </w:pPr>
    </w:p>
    <w:p w:rsidR="00E83C22" w:rsidRPr="00282AC9" w:rsidRDefault="00E83C22" w:rsidP="004003D1">
      <w:pPr>
        <w:spacing w:line="410" w:lineRule="exact"/>
        <w:rPr>
          <w:rtl/>
        </w:rPr>
      </w:pPr>
    </w:p>
    <w:p w:rsidR="00E83C22" w:rsidRPr="00282AC9" w:rsidRDefault="002F7288" w:rsidP="002F7288">
      <w:pPr>
        <w:pStyle w:val="11"/>
        <w:spacing w:line="216" w:lineRule="auto"/>
        <w:rPr>
          <w:rtl/>
        </w:rPr>
      </w:pPr>
      <w:bookmarkStart w:id="63" w:name="_Toc87011507"/>
      <w:r w:rsidRPr="00282AC9">
        <w:rPr>
          <w:rFonts w:hint="cs"/>
          <w:rtl/>
        </w:rPr>
        <w:t>إنكار قاعدة قبح العقاب بلا بيان</w:t>
      </w:r>
      <w:bookmarkEnd w:id="63"/>
    </w:p>
    <w:p w:rsidR="00E83C22" w:rsidRPr="00282AC9" w:rsidRDefault="002F7288" w:rsidP="002F7288">
      <w:pPr>
        <w:pStyle w:val="11"/>
        <w:spacing w:line="216" w:lineRule="auto"/>
        <w:rPr>
          <w:sz w:val="26"/>
          <w:szCs w:val="42"/>
          <w:rtl/>
        </w:rPr>
      </w:pPr>
      <w:bookmarkStart w:id="64" w:name="_Toc87011508"/>
      <w:r w:rsidRPr="00282AC9">
        <w:rPr>
          <w:rFonts w:hint="cs"/>
          <w:sz w:val="26"/>
          <w:szCs w:val="42"/>
          <w:rtl/>
        </w:rPr>
        <w:t>دراسةٌ مقارنةٌ بين نظري</w:t>
      </w:r>
      <w:r w:rsidR="00431FA4" w:rsidRPr="00282AC9">
        <w:rPr>
          <w:rFonts w:hint="cs"/>
          <w:sz w:val="26"/>
          <w:szCs w:val="42"/>
          <w:rtl/>
        </w:rPr>
        <w:t>ّ</w:t>
      </w:r>
      <w:r w:rsidRPr="00282AC9">
        <w:rPr>
          <w:rFonts w:hint="cs"/>
          <w:sz w:val="26"/>
          <w:szCs w:val="42"/>
          <w:rtl/>
        </w:rPr>
        <w:t>تَيْ الروحاني والصدر</w:t>
      </w:r>
      <w:bookmarkEnd w:id="64"/>
    </w:p>
    <w:p w:rsidR="00E83C22" w:rsidRPr="00282AC9" w:rsidRDefault="00E83C22" w:rsidP="004003D1">
      <w:pPr>
        <w:spacing w:line="410" w:lineRule="exact"/>
        <w:rPr>
          <w:rtl/>
        </w:rPr>
      </w:pPr>
    </w:p>
    <w:p w:rsidR="00E83C22" w:rsidRPr="00282AC9" w:rsidRDefault="002F7288" w:rsidP="002F7288">
      <w:pPr>
        <w:pStyle w:val="Author"/>
        <w:rPr>
          <w:rtl/>
        </w:rPr>
      </w:pPr>
      <w:bookmarkStart w:id="65" w:name="_Toc87011509"/>
      <w:r w:rsidRPr="00282AC9">
        <w:rPr>
          <w:rFonts w:hint="cs"/>
          <w:rtl/>
        </w:rPr>
        <w:t>الشيخ محمد حسن گُلي شير دار</w:t>
      </w:r>
      <w:r w:rsidR="00527634" w:rsidRPr="00282AC9">
        <w:rPr>
          <w:rFonts w:cs="Taher" w:hint="cs"/>
          <w:vertAlign w:val="superscript"/>
          <w:rtl/>
        </w:rPr>
        <w:t>(</w:t>
      </w:r>
      <w:r w:rsidR="00527634" w:rsidRPr="00282AC9">
        <w:rPr>
          <w:rFonts w:cs="Taher"/>
          <w:vertAlign w:val="superscript"/>
          <w:rtl/>
        </w:rPr>
        <w:footnoteReference w:customMarkFollows="1" w:id="9"/>
        <w:t>*)</w:t>
      </w:r>
      <w:bookmarkEnd w:id="65"/>
    </w:p>
    <w:p w:rsidR="00E32753" w:rsidRPr="00282AC9" w:rsidRDefault="00E32753" w:rsidP="00E32753">
      <w:pPr>
        <w:pStyle w:val="Author"/>
        <w:rPr>
          <w:rtl/>
        </w:rPr>
      </w:pPr>
      <w:bookmarkStart w:id="66" w:name="_Toc87011510"/>
      <w:r w:rsidRPr="00282AC9">
        <w:rPr>
          <w:rFonts w:hint="cs"/>
          <w:rtl/>
        </w:rPr>
        <w:t>أ. علي محمدي هويه</w:t>
      </w:r>
      <w:r w:rsidRPr="00282AC9">
        <w:rPr>
          <w:rFonts w:cs="Taher" w:hint="cs"/>
          <w:vertAlign w:val="superscript"/>
          <w:rtl/>
        </w:rPr>
        <w:t>(*</w:t>
      </w:r>
      <w:r w:rsidRPr="00282AC9">
        <w:rPr>
          <w:rFonts w:cs="Taher"/>
          <w:vertAlign w:val="superscript"/>
          <w:rtl/>
        </w:rPr>
        <w:footnoteReference w:customMarkFollows="1" w:id="10"/>
        <w:t>*)</w:t>
      </w:r>
      <w:bookmarkEnd w:id="66"/>
    </w:p>
    <w:p w:rsidR="002F7288" w:rsidRPr="00282AC9" w:rsidRDefault="00CC79D2" w:rsidP="00B913D2">
      <w:pPr>
        <w:pStyle w:val="Author"/>
        <w:rPr>
          <w:rtl/>
        </w:rPr>
      </w:pPr>
      <w:bookmarkStart w:id="67" w:name="_Toc87011511"/>
      <w:r>
        <w:rPr>
          <w:rFonts w:hint="cs"/>
          <w:rtl/>
        </w:rPr>
        <w:t>الشيخ</w:t>
      </w:r>
      <w:r w:rsidR="00B913D2" w:rsidRPr="00282AC9">
        <w:rPr>
          <w:rFonts w:hint="cs"/>
          <w:rtl/>
        </w:rPr>
        <w:t xml:space="preserve"> سپهر كرد</w:t>
      </w:r>
      <w:r w:rsidR="002F7288" w:rsidRPr="00282AC9">
        <w:rPr>
          <w:rFonts w:cs="Taher" w:hint="cs"/>
          <w:vertAlign w:val="superscript"/>
          <w:rtl/>
        </w:rPr>
        <w:t>(*</w:t>
      </w:r>
      <w:r w:rsidR="00E32753" w:rsidRPr="00282AC9">
        <w:rPr>
          <w:rFonts w:cs="Taher" w:hint="cs"/>
          <w:vertAlign w:val="superscript"/>
          <w:rtl/>
        </w:rPr>
        <w:t>*</w:t>
      </w:r>
      <w:r w:rsidR="002F7288" w:rsidRPr="00282AC9">
        <w:rPr>
          <w:rFonts w:cs="Taher"/>
          <w:vertAlign w:val="superscript"/>
          <w:rtl/>
        </w:rPr>
        <w:footnoteReference w:customMarkFollows="1" w:id="11"/>
        <w:t>*)</w:t>
      </w:r>
      <w:bookmarkEnd w:id="67"/>
    </w:p>
    <w:p w:rsidR="00E83C22" w:rsidRPr="00282AC9" w:rsidRDefault="00E83C22" w:rsidP="00B913D2">
      <w:pPr>
        <w:pStyle w:val="Author"/>
        <w:rPr>
          <w:rtl/>
        </w:rPr>
      </w:pPr>
      <w:bookmarkStart w:id="68" w:name="_Toc87011512"/>
      <w:r w:rsidRPr="00282AC9">
        <w:rPr>
          <w:rFonts w:hint="cs"/>
          <w:rtl/>
        </w:rPr>
        <w:t xml:space="preserve">ترجمة: </w:t>
      </w:r>
      <w:r w:rsidR="00B913D2" w:rsidRPr="00282AC9">
        <w:rPr>
          <w:rFonts w:hint="cs"/>
          <w:rtl/>
        </w:rPr>
        <w:t>حسن علي مطر الهاشمي</w:t>
      </w:r>
      <w:bookmarkEnd w:id="68"/>
    </w:p>
    <w:p w:rsidR="00E83C22" w:rsidRPr="00282AC9" w:rsidRDefault="00E83C22" w:rsidP="004003D1">
      <w:pPr>
        <w:spacing w:line="410" w:lineRule="exact"/>
        <w:rPr>
          <w:rtl/>
        </w:rPr>
      </w:pPr>
    </w:p>
    <w:p w:rsidR="00BD3176" w:rsidRPr="00282AC9" w:rsidRDefault="00DA2F6D" w:rsidP="00BD3176">
      <w:pPr>
        <w:pStyle w:val="31"/>
        <w:rPr>
          <w:color w:val="auto"/>
        </w:rPr>
      </w:pPr>
      <w:r w:rsidRPr="00282AC9">
        <w:rPr>
          <w:rFonts w:hint="cs"/>
          <w:color w:val="auto"/>
          <w:rtl/>
        </w:rPr>
        <w:t>توطئةٌ</w:t>
      </w:r>
    </w:p>
    <w:p w:rsidR="00AF7C48" w:rsidRPr="00282AC9" w:rsidRDefault="00DA2F6D" w:rsidP="00F066C8">
      <w:pPr>
        <w:rPr>
          <w:sz w:val="27"/>
          <w:rtl/>
        </w:rPr>
      </w:pPr>
      <w:r w:rsidRPr="00282AC9">
        <w:rPr>
          <w:rFonts w:hint="cs"/>
          <w:sz w:val="27"/>
          <w:rtl/>
        </w:rPr>
        <w:t>لقد عمد المنكرون لقاعدة قبح العقاب بلا بيان</w:t>
      </w:r>
      <w:r w:rsidR="005A485D" w:rsidRPr="00282AC9">
        <w:rPr>
          <w:rFonts w:hint="cs"/>
          <w:sz w:val="27"/>
          <w:rtl/>
        </w:rPr>
        <w:t>ٍ</w:t>
      </w:r>
      <w:r w:rsidRPr="00282AC9">
        <w:rPr>
          <w:rFonts w:hint="cs"/>
          <w:sz w:val="27"/>
          <w:rtl/>
        </w:rPr>
        <w:t xml:space="preserve"> إلى التمسّك بأدل</w:t>
      </w:r>
      <w:r w:rsidR="005A485D" w:rsidRPr="00282AC9">
        <w:rPr>
          <w:rFonts w:hint="cs"/>
          <w:sz w:val="27"/>
          <w:rtl/>
        </w:rPr>
        <w:t>ّ</w:t>
      </w:r>
      <w:r w:rsidRPr="00282AC9">
        <w:rPr>
          <w:rFonts w:hint="cs"/>
          <w:sz w:val="27"/>
          <w:rtl/>
        </w:rPr>
        <w:t>ة</w:t>
      </w:r>
      <w:r w:rsidR="005A485D" w:rsidRPr="00282AC9">
        <w:rPr>
          <w:rFonts w:hint="cs"/>
          <w:sz w:val="27"/>
          <w:rtl/>
        </w:rPr>
        <w:t>ٍ</w:t>
      </w:r>
      <w:r w:rsidRPr="00282AC9">
        <w:rPr>
          <w:rFonts w:hint="cs"/>
          <w:sz w:val="27"/>
          <w:rtl/>
        </w:rPr>
        <w:t xml:space="preserve"> في إطار إنكارهم لهذه القاعدة. ومن بين الفقهاء يُع</w:t>
      </w:r>
      <w:r w:rsidR="005A485D" w:rsidRPr="00282AC9">
        <w:rPr>
          <w:rFonts w:hint="cs"/>
          <w:sz w:val="27"/>
          <w:rtl/>
        </w:rPr>
        <w:t>َ</w:t>
      </w:r>
      <w:r w:rsidRPr="00282AC9">
        <w:rPr>
          <w:rFonts w:hint="cs"/>
          <w:sz w:val="27"/>
          <w:rtl/>
        </w:rPr>
        <w:t xml:space="preserve">دّ </w:t>
      </w:r>
      <w:r w:rsidR="005A485D" w:rsidRPr="00282AC9">
        <w:rPr>
          <w:rFonts w:hint="cs"/>
          <w:sz w:val="27"/>
          <w:rtl/>
        </w:rPr>
        <w:t>السيد</w:t>
      </w:r>
      <w:r w:rsidRPr="00282AC9">
        <w:rPr>
          <w:rFonts w:hint="cs"/>
          <w:sz w:val="27"/>
          <w:rtl/>
        </w:rPr>
        <w:t xml:space="preserve"> الشهيد محمد باقر الصدر</w:t>
      </w:r>
      <w:r w:rsidR="005A485D" w:rsidRPr="00282AC9">
        <w:rPr>
          <w:rFonts w:hint="cs"/>
          <w:sz w:val="27"/>
          <w:rtl/>
        </w:rPr>
        <w:t xml:space="preserve"> و</w:t>
      </w:r>
      <w:r w:rsidRPr="00282AC9">
        <w:rPr>
          <w:rFonts w:hint="cs"/>
          <w:sz w:val="27"/>
          <w:rtl/>
        </w:rPr>
        <w:t>السيد الروحاني من المنكرين لهذه القاعدة</w:t>
      </w:r>
      <w:r w:rsidR="005A485D" w:rsidRPr="00282AC9">
        <w:rPr>
          <w:rFonts w:hint="cs"/>
          <w:sz w:val="27"/>
          <w:rtl/>
        </w:rPr>
        <w:t>.</w:t>
      </w:r>
      <w:r w:rsidRPr="00282AC9">
        <w:rPr>
          <w:rFonts w:hint="cs"/>
          <w:sz w:val="27"/>
          <w:rtl/>
        </w:rPr>
        <w:t xml:space="preserve"> </w:t>
      </w:r>
      <w:r w:rsidR="00674EF5" w:rsidRPr="00282AC9">
        <w:rPr>
          <w:rFonts w:hint="cs"/>
          <w:sz w:val="27"/>
          <w:rtl/>
        </w:rPr>
        <w:t>بَيْدَ</w:t>
      </w:r>
      <w:r w:rsidRPr="00282AC9">
        <w:rPr>
          <w:rFonts w:hint="cs"/>
          <w:sz w:val="27"/>
          <w:rtl/>
        </w:rPr>
        <w:t xml:space="preserve"> أن الش</w:t>
      </w:r>
      <w:r w:rsidR="005A485D" w:rsidRPr="00282AC9">
        <w:rPr>
          <w:rFonts w:hint="cs"/>
          <w:sz w:val="27"/>
          <w:rtl/>
        </w:rPr>
        <w:t>َّ</w:t>
      </w:r>
      <w:r w:rsidRPr="00282AC9">
        <w:rPr>
          <w:rFonts w:hint="cs"/>
          <w:sz w:val="27"/>
          <w:rtl/>
        </w:rPr>
        <w:t>ب</w:t>
      </w:r>
      <w:r w:rsidR="005A485D" w:rsidRPr="00282AC9">
        <w:rPr>
          <w:rFonts w:hint="cs"/>
          <w:sz w:val="27"/>
          <w:rtl/>
        </w:rPr>
        <w:t>َ</w:t>
      </w:r>
      <w:r w:rsidRPr="00282AC9">
        <w:rPr>
          <w:rFonts w:hint="cs"/>
          <w:sz w:val="27"/>
          <w:rtl/>
        </w:rPr>
        <w:t>ه الشديد في الأدل</w:t>
      </w:r>
      <w:r w:rsidR="005A485D" w:rsidRPr="00282AC9">
        <w:rPr>
          <w:rFonts w:hint="cs"/>
          <w:sz w:val="27"/>
          <w:rtl/>
        </w:rPr>
        <w:t>ّ</w:t>
      </w:r>
      <w:r w:rsidRPr="00282AC9">
        <w:rPr>
          <w:rFonts w:hint="cs"/>
          <w:sz w:val="27"/>
          <w:rtl/>
        </w:rPr>
        <w:t xml:space="preserve">ة التي يقيمها هذان الفقيهان دفع البعض </w:t>
      </w:r>
      <w:r w:rsidR="005A485D" w:rsidRPr="00282AC9">
        <w:rPr>
          <w:rFonts w:hint="cs"/>
          <w:sz w:val="27"/>
          <w:rtl/>
        </w:rPr>
        <w:t xml:space="preserve">ـ </w:t>
      </w:r>
      <w:r w:rsidRPr="00282AC9">
        <w:rPr>
          <w:rFonts w:hint="cs"/>
          <w:sz w:val="27"/>
          <w:rtl/>
        </w:rPr>
        <w:t>خطأ</w:t>
      </w:r>
      <w:r w:rsidR="005A485D" w:rsidRPr="00282AC9">
        <w:rPr>
          <w:rFonts w:hint="cs"/>
          <w:sz w:val="27"/>
          <w:rtl/>
        </w:rPr>
        <w:t>ً</w:t>
      </w:r>
      <w:r w:rsidRPr="00282AC9">
        <w:rPr>
          <w:rFonts w:hint="cs"/>
          <w:sz w:val="27"/>
          <w:rtl/>
        </w:rPr>
        <w:t xml:space="preserve"> </w:t>
      </w:r>
      <w:r w:rsidR="005A485D" w:rsidRPr="00282AC9">
        <w:rPr>
          <w:rFonts w:hint="cs"/>
          <w:sz w:val="27"/>
          <w:rtl/>
        </w:rPr>
        <w:t xml:space="preserve">ـ </w:t>
      </w:r>
      <w:r w:rsidRPr="00282AC9">
        <w:rPr>
          <w:rFonts w:hint="cs"/>
          <w:sz w:val="27"/>
          <w:rtl/>
        </w:rPr>
        <w:t>إلى اعتبار هاتين النظريتين نظري</w:t>
      </w:r>
      <w:r w:rsidR="005A485D" w:rsidRPr="00282AC9">
        <w:rPr>
          <w:rFonts w:hint="cs"/>
          <w:sz w:val="27"/>
          <w:rtl/>
        </w:rPr>
        <w:t>ّ</w:t>
      </w:r>
      <w:r w:rsidRPr="00282AC9">
        <w:rPr>
          <w:rFonts w:hint="cs"/>
          <w:sz w:val="27"/>
          <w:rtl/>
        </w:rPr>
        <w:t>ة</w:t>
      </w:r>
      <w:r w:rsidR="005A485D" w:rsidRPr="00282AC9">
        <w:rPr>
          <w:rFonts w:hint="cs"/>
          <w:sz w:val="27"/>
          <w:rtl/>
        </w:rPr>
        <w:t>ً</w:t>
      </w:r>
      <w:r w:rsidRPr="00282AC9">
        <w:rPr>
          <w:rFonts w:hint="cs"/>
          <w:sz w:val="27"/>
          <w:rtl/>
        </w:rPr>
        <w:t xml:space="preserve"> واحدة، دون أن يلتفتوا إلى نقاط الاختلاف والتمايز</w:t>
      </w:r>
      <w:r w:rsidR="00AF7C48" w:rsidRPr="00282AC9">
        <w:rPr>
          <w:rFonts w:hint="cs"/>
          <w:sz w:val="27"/>
          <w:rtl/>
        </w:rPr>
        <w:t>،</w:t>
      </w:r>
      <w:r w:rsidRPr="00282AC9">
        <w:rPr>
          <w:rFonts w:hint="cs"/>
          <w:sz w:val="27"/>
          <w:rtl/>
        </w:rPr>
        <w:t xml:space="preserve"> </w:t>
      </w:r>
      <w:r w:rsidR="00AF7C48" w:rsidRPr="00282AC9">
        <w:rPr>
          <w:rFonts w:hint="cs"/>
          <w:sz w:val="27"/>
          <w:rtl/>
        </w:rPr>
        <w:t>في</w:t>
      </w:r>
      <w:r w:rsidRPr="00282AC9">
        <w:rPr>
          <w:rFonts w:hint="cs"/>
          <w:sz w:val="27"/>
          <w:rtl/>
        </w:rPr>
        <w:t xml:space="preserve"> طريقة استدلالهما</w:t>
      </w:r>
      <w:r w:rsidR="005A485D" w:rsidRPr="00282AC9">
        <w:rPr>
          <w:rFonts w:hint="cs"/>
          <w:sz w:val="27"/>
          <w:rtl/>
        </w:rPr>
        <w:t>،</w:t>
      </w:r>
      <w:r w:rsidRPr="00282AC9">
        <w:rPr>
          <w:rFonts w:hint="cs"/>
          <w:sz w:val="27"/>
          <w:rtl/>
        </w:rPr>
        <w:t xml:space="preserve"> والنتيج</w:t>
      </w:r>
      <w:r w:rsidR="00AF7C48" w:rsidRPr="00282AC9">
        <w:rPr>
          <w:rFonts w:hint="cs"/>
          <w:sz w:val="27"/>
          <w:rtl/>
        </w:rPr>
        <w:t>ة التي يصلان إليها من خلال ذلك.</w:t>
      </w:r>
    </w:p>
    <w:p w:rsidR="00DA2F6D" w:rsidRPr="00282AC9" w:rsidRDefault="00DA2F6D" w:rsidP="00F066C8">
      <w:pPr>
        <w:rPr>
          <w:sz w:val="27"/>
          <w:rtl/>
        </w:rPr>
      </w:pPr>
      <w:r w:rsidRPr="00282AC9">
        <w:rPr>
          <w:rFonts w:hint="cs"/>
          <w:sz w:val="27"/>
          <w:rtl/>
        </w:rPr>
        <w:t>وسوف نسعى في هذه المقالة إلى بيان اختلاف رؤية السي</w:t>
      </w:r>
      <w:r w:rsidR="00AF7C48" w:rsidRPr="00282AC9">
        <w:rPr>
          <w:rFonts w:hint="cs"/>
          <w:sz w:val="27"/>
          <w:rtl/>
        </w:rPr>
        <w:t>ّ</w:t>
      </w:r>
      <w:r w:rsidRPr="00282AC9">
        <w:rPr>
          <w:rFonts w:hint="cs"/>
          <w:sz w:val="27"/>
          <w:rtl/>
        </w:rPr>
        <w:t>د الشهيد الصدر عن رؤية السي</w:t>
      </w:r>
      <w:r w:rsidR="00AF7C48" w:rsidRPr="00282AC9">
        <w:rPr>
          <w:rFonts w:hint="cs"/>
          <w:sz w:val="27"/>
          <w:rtl/>
        </w:rPr>
        <w:t>ّ</w:t>
      </w:r>
      <w:r w:rsidRPr="00282AC9">
        <w:rPr>
          <w:rFonts w:hint="cs"/>
          <w:sz w:val="27"/>
          <w:rtl/>
        </w:rPr>
        <w:t>د الروحاني في هذا الشأن، ابتداء</w:t>
      </w:r>
      <w:r w:rsidR="00AF7C48" w:rsidRPr="00282AC9">
        <w:rPr>
          <w:rFonts w:hint="cs"/>
          <w:sz w:val="27"/>
          <w:rtl/>
        </w:rPr>
        <w:t>ً</w:t>
      </w:r>
      <w:r w:rsidRPr="00282AC9">
        <w:rPr>
          <w:rFonts w:hint="cs"/>
          <w:sz w:val="27"/>
          <w:rtl/>
        </w:rPr>
        <w:t xml:space="preserve"> من المباني الاستدلالية التي يعتمدانها، وصولاً إلى النتائج المختلفة المترت</w:t>
      </w:r>
      <w:r w:rsidR="00AF7C48" w:rsidRPr="00282AC9">
        <w:rPr>
          <w:rFonts w:hint="cs"/>
          <w:sz w:val="27"/>
          <w:rtl/>
        </w:rPr>
        <w:t>ِّ</w:t>
      </w:r>
      <w:r w:rsidRPr="00282AC9">
        <w:rPr>
          <w:rFonts w:hint="cs"/>
          <w:sz w:val="27"/>
          <w:rtl/>
        </w:rPr>
        <w:t>بة على أدل</w:t>
      </w:r>
      <w:r w:rsidR="00AF7C48" w:rsidRPr="00282AC9">
        <w:rPr>
          <w:rFonts w:hint="cs"/>
          <w:sz w:val="27"/>
          <w:rtl/>
        </w:rPr>
        <w:t>ّ</w:t>
      </w:r>
      <w:r w:rsidRPr="00282AC9">
        <w:rPr>
          <w:rFonts w:hint="cs"/>
          <w:sz w:val="27"/>
          <w:rtl/>
        </w:rPr>
        <w:t xml:space="preserve">تهما؛ حيث قام السيد الروحاني بنفي وإبطال </w:t>
      </w:r>
      <w:r w:rsidRPr="00282AC9">
        <w:rPr>
          <w:rFonts w:hint="cs"/>
          <w:sz w:val="27"/>
          <w:rtl/>
        </w:rPr>
        <w:lastRenderedPageBreak/>
        <w:t>هذه القاعدة طبقاً لبعض الاستدلالات، دون أن يبدي رأياً على المستوى الإثباتي</w:t>
      </w:r>
      <w:r w:rsidR="00AF7C48" w:rsidRPr="00282AC9">
        <w:rPr>
          <w:rFonts w:hint="cs"/>
          <w:sz w:val="27"/>
          <w:rtl/>
        </w:rPr>
        <w:t>ّ؛</w:t>
      </w:r>
      <w:r w:rsidRPr="00282AC9">
        <w:rPr>
          <w:rFonts w:hint="cs"/>
          <w:sz w:val="27"/>
          <w:rtl/>
        </w:rPr>
        <w:t xml:space="preserve"> في حين أن السيد الشهيد الصدر </w:t>
      </w:r>
      <w:r w:rsidR="00AF7C48" w:rsidRPr="00282AC9">
        <w:rPr>
          <w:rFonts w:hint="cs"/>
          <w:sz w:val="27"/>
          <w:rtl/>
        </w:rPr>
        <w:t xml:space="preserve">ـ </w:t>
      </w:r>
      <w:r w:rsidRPr="00282AC9">
        <w:rPr>
          <w:rFonts w:hint="cs"/>
          <w:sz w:val="27"/>
          <w:rtl/>
        </w:rPr>
        <w:t>بالإضافة إلى ردّ قاعدة قبح العقاب بلا بيان</w:t>
      </w:r>
      <w:r w:rsidR="00AF7C48" w:rsidRPr="00282AC9">
        <w:rPr>
          <w:rFonts w:hint="cs"/>
          <w:sz w:val="27"/>
          <w:rtl/>
        </w:rPr>
        <w:t xml:space="preserve"> ـ</w:t>
      </w:r>
      <w:r w:rsidRPr="00282AC9">
        <w:rPr>
          <w:rFonts w:hint="cs"/>
          <w:sz w:val="27"/>
          <w:rtl/>
        </w:rPr>
        <w:t xml:space="preserve"> ذهب من خلال الاستدلال إلى القول بتنجّ</w:t>
      </w:r>
      <w:r w:rsidR="00AF7C48" w:rsidRPr="00282AC9">
        <w:rPr>
          <w:rFonts w:hint="cs"/>
          <w:sz w:val="27"/>
          <w:rtl/>
        </w:rPr>
        <w:t>ُ</w:t>
      </w:r>
      <w:r w:rsidRPr="00282AC9">
        <w:rPr>
          <w:rFonts w:hint="cs"/>
          <w:sz w:val="27"/>
          <w:rtl/>
        </w:rPr>
        <w:t>ز التكليف</w:t>
      </w:r>
      <w:r w:rsidR="00AF7C48" w:rsidRPr="00282AC9">
        <w:rPr>
          <w:rFonts w:hint="cs"/>
          <w:sz w:val="27"/>
          <w:rtl/>
        </w:rPr>
        <w:t>،</w:t>
      </w:r>
      <w:r w:rsidRPr="00282AC9">
        <w:rPr>
          <w:rFonts w:hint="cs"/>
          <w:sz w:val="27"/>
          <w:rtl/>
        </w:rPr>
        <w:t xml:space="preserve"> واستحقاق العبد للعقاب في ظرف الشك</w:t>
      </w:r>
      <w:r w:rsidR="00AF7C48" w:rsidRPr="00282AC9">
        <w:rPr>
          <w:rFonts w:hint="cs"/>
          <w:sz w:val="27"/>
          <w:rtl/>
        </w:rPr>
        <w:t>ّ</w:t>
      </w:r>
      <w:r w:rsidRPr="00282AC9">
        <w:rPr>
          <w:rFonts w:hint="cs"/>
          <w:sz w:val="27"/>
          <w:rtl/>
        </w:rPr>
        <w:t xml:space="preserve"> أيضاً</w:t>
      </w:r>
      <w:r w:rsidR="00AF7C48" w:rsidRPr="00282AC9">
        <w:rPr>
          <w:rFonts w:hint="cs"/>
          <w:sz w:val="27"/>
          <w:rtl/>
        </w:rPr>
        <w:t>.</w:t>
      </w:r>
      <w:r w:rsidRPr="00282AC9">
        <w:rPr>
          <w:rFonts w:hint="cs"/>
          <w:sz w:val="27"/>
          <w:rtl/>
        </w:rPr>
        <w:t xml:space="preserve"> وهذا ما سوف نبيّ</w:t>
      </w:r>
      <w:r w:rsidR="00AF7C48" w:rsidRPr="00282AC9">
        <w:rPr>
          <w:rFonts w:hint="cs"/>
          <w:sz w:val="27"/>
          <w:rtl/>
        </w:rPr>
        <w:t>ِ</w:t>
      </w:r>
      <w:r w:rsidRPr="00282AC9">
        <w:rPr>
          <w:rFonts w:hint="cs"/>
          <w:sz w:val="27"/>
          <w:rtl/>
        </w:rPr>
        <w:t>نه في هذه المقالة بالتفصيل.</w:t>
      </w:r>
    </w:p>
    <w:p w:rsidR="00F066C8" w:rsidRPr="00282AC9" w:rsidRDefault="00F066C8" w:rsidP="00F066C8">
      <w:pPr>
        <w:spacing w:line="420" w:lineRule="exact"/>
        <w:rPr>
          <w:rtl/>
        </w:rPr>
      </w:pPr>
    </w:p>
    <w:p w:rsidR="00DA2F6D" w:rsidRPr="00282AC9" w:rsidRDefault="00DA2F6D" w:rsidP="00BD3176">
      <w:pPr>
        <w:pStyle w:val="31"/>
        <w:rPr>
          <w:color w:val="auto"/>
          <w:rtl/>
        </w:rPr>
      </w:pPr>
      <w:r w:rsidRPr="00282AC9">
        <w:rPr>
          <w:rFonts w:hint="cs"/>
          <w:color w:val="auto"/>
          <w:rtl/>
        </w:rPr>
        <w:t>المقد</w:t>
      </w:r>
      <w:r w:rsidR="00BD3176" w:rsidRPr="00282AC9">
        <w:rPr>
          <w:rFonts w:hint="cs"/>
          <w:color w:val="auto"/>
          <w:rtl/>
        </w:rPr>
        <w:t>ّ</w:t>
      </w:r>
      <w:r w:rsidRPr="00282AC9">
        <w:rPr>
          <w:rFonts w:hint="cs"/>
          <w:color w:val="auto"/>
          <w:rtl/>
        </w:rPr>
        <w:t>مة</w:t>
      </w:r>
    </w:p>
    <w:p w:rsidR="00DA2F6D" w:rsidRPr="00282AC9" w:rsidRDefault="00DA2F6D" w:rsidP="00F066C8">
      <w:pPr>
        <w:rPr>
          <w:sz w:val="27"/>
          <w:rtl/>
        </w:rPr>
      </w:pPr>
      <w:r w:rsidRPr="00282AC9">
        <w:rPr>
          <w:rFonts w:hint="cs"/>
          <w:sz w:val="27"/>
          <w:rtl/>
        </w:rPr>
        <w:t>إن كل</w:t>
      </w:r>
      <w:r w:rsidR="00AF7C48" w:rsidRPr="00282AC9">
        <w:rPr>
          <w:rFonts w:hint="cs"/>
          <w:sz w:val="27"/>
          <w:rtl/>
        </w:rPr>
        <w:t>ّ</w:t>
      </w:r>
      <w:r w:rsidRPr="00282AC9">
        <w:rPr>
          <w:rFonts w:hint="cs"/>
          <w:sz w:val="27"/>
          <w:rtl/>
        </w:rPr>
        <w:t xml:space="preserve"> علم</w:t>
      </w:r>
      <w:r w:rsidR="00AF7C48" w:rsidRPr="00282AC9">
        <w:rPr>
          <w:rFonts w:hint="cs"/>
          <w:sz w:val="27"/>
          <w:rtl/>
        </w:rPr>
        <w:t>ٍ</w:t>
      </w:r>
      <w:r w:rsidRPr="00282AC9">
        <w:rPr>
          <w:rFonts w:hint="cs"/>
          <w:sz w:val="27"/>
          <w:rtl/>
        </w:rPr>
        <w:t xml:space="preserve"> من العلوم يشتمل على سلسلة</w:t>
      </w:r>
      <w:r w:rsidR="00AF7C48" w:rsidRPr="00282AC9">
        <w:rPr>
          <w:rFonts w:hint="cs"/>
          <w:sz w:val="27"/>
          <w:rtl/>
        </w:rPr>
        <w:t>ٍ</w:t>
      </w:r>
      <w:r w:rsidRPr="00282AC9">
        <w:rPr>
          <w:rFonts w:hint="cs"/>
          <w:sz w:val="27"/>
          <w:rtl/>
        </w:rPr>
        <w:t xml:space="preserve"> من المقدمات والمبادئ التي يُصطلح عليها بمبادئ ذلك العلم. وعلم أصول الفقه ب</w:t>
      </w:r>
      <w:r w:rsidR="00EE6DBA" w:rsidRPr="00282AC9">
        <w:rPr>
          <w:rFonts w:hint="cs"/>
          <w:sz w:val="27"/>
          <w:rtl/>
        </w:rPr>
        <w:t>دَوْر</w:t>
      </w:r>
      <w:r w:rsidRPr="00282AC9">
        <w:rPr>
          <w:rFonts w:hint="cs"/>
          <w:sz w:val="27"/>
          <w:rtl/>
        </w:rPr>
        <w:t>ه يشتمل على سلسلة</w:t>
      </w:r>
      <w:r w:rsidR="00AF7C48" w:rsidRPr="00282AC9">
        <w:rPr>
          <w:rFonts w:hint="cs"/>
          <w:sz w:val="27"/>
          <w:rtl/>
        </w:rPr>
        <w:t>ٍ</w:t>
      </w:r>
      <w:r w:rsidRPr="00282AC9">
        <w:rPr>
          <w:rFonts w:hint="cs"/>
          <w:sz w:val="27"/>
          <w:rtl/>
        </w:rPr>
        <w:t xml:space="preserve"> من المبادئ، تظهر ثمارها المباشرة في مسائل علم الأصول، من قبيل</w:t>
      </w:r>
      <w:r w:rsidR="00AF7C48" w:rsidRPr="00282AC9">
        <w:rPr>
          <w:rFonts w:hint="cs"/>
          <w:sz w:val="27"/>
          <w:rtl/>
        </w:rPr>
        <w:t>:</w:t>
      </w:r>
      <w:r w:rsidRPr="00282AC9">
        <w:rPr>
          <w:rFonts w:hint="cs"/>
          <w:sz w:val="27"/>
          <w:rtl/>
        </w:rPr>
        <w:t xml:space="preserve"> المبادئ اللغوية التي تبحث عن الوضع والاستعمال والإرادة</w:t>
      </w:r>
      <w:r w:rsidR="00AF7C48" w:rsidRPr="00282AC9">
        <w:rPr>
          <w:rFonts w:hint="cs"/>
          <w:sz w:val="27"/>
          <w:rtl/>
        </w:rPr>
        <w:t xml:space="preserve">. </w:t>
      </w:r>
      <w:r w:rsidRPr="00282AC9">
        <w:rPr>
          <w:rFonts w:hint="cs"/>
          <w:sz w:val="27"/>
          <w:rtl/>
        </w:rPr>
        <w:t>وتظهر ثمار ذلك في مباحث الألفاظ. ومن بين المبادئ الهامّة لعلم الأصول المبادئ</w:t>
      </w:r>
      <w:r w:rsidR="00AF7C48" w:rsidRPr="00282AC9">
        <w:rPr>
          <w:rFonts w:hint="cs"/>
          <w:sz w:val="27"/>
          <w:rtl/>
        </w:rPr>
        <w:t>ُ</w:t>
      </w:r>
      <w:r w:rsidRPr="00282AC9">
        <w:rPr>
          <w:rFonts w:hint="cs"/>
          <w:sz w:val="27"/>
          <w:rtl/>
        </w:rPr>
        <w:t xml:space="preserve"> الكلامية</w:t>
      </w:r>
      <w:r w:rsidR="00AF7C48" w:rsidRPr="00282AC9">
        <w:rPr>
          <w:rFonts w:hint="cs"/>
          <w:sz w:val="27"/>
          <w:rtl/>
        </w:rPr>
        <w:t>.</w:t>
      </w:r>
      <w:r w:rsidRPr="00282AC9">
        <w:rPr>
          <w:rFonts w:hint="cs"/>
          <w:sz w:val="27"/>
          <w:rtl/>
        </w:rPr>
        <w:t xml:space="preserve"> وتظهر ثمرة ذلك في أكثر مسائل علم الأصول.</w:t>
      </w:r>
    </w:p>
    <w:p w:rsidR="002C0019" w:rsidRPr="00282AC9" w:rsidRDefault="00DA2F6D" w:rsidP="00F066C8">
      <w:pPr>
        <w:rPr>
          <w:sz w:val="27"/>
          <w:rtl/>
        </w:rPr>
      </w:pPr>
      <w:r w:rsidRPr="00282AC9">
        <w:rPr>
          <w:rFonts w:hint="cs"/>
          <w:sz w:val="27"/>
          <w:rtl/>
        </w:rPr>
        <w:t xml:space="preserve">إن </w:t>
      </w:r>
      <w:r w:rsidR="00AF7C48" w:rsidRPr="00282AC9">
        <w:rPr>
          <w:rFonts w:hint="cs"/>
          <w:sz w:val="27"/>
          <w:rtl/>
        </w:rPr>
        <w:t>أحد</w:t>
      </w:r>
      <w:r w:rsidRPr="00282AC9">
        <w:rPr>
          <w:rFonts w:hint="cs"/>
          <w:sz w:val="27"/>
          <w:rtl/>
        </w:rPr>
        <w:t xml:space="preserve"> هذه المبادئ الكلامي</w:t>
      </w:r>
      <w:r w:rsidR="00AF7C48" w:rsidRPr="00282AC9">
        <w:rPr>
          <w:rFonts w:hint="cs"/>
          <w:sz w:val="27"/>
          <w:rtl/>
        </w:rPr>
        <w:t>ّ</w:t>
      </w:r>
      <w:r w:rsidRPr="00282AC9">
        <w:rPr>
          <w:rFonts w:hint="cs"/>
          <w:sz w:val="27"/>
          <w:rtl/>
        </w:rPr>
        <w:t>ة</w:t>
      </w:r>
      <w:r w:rsidR="00AF7C48" w:rsidRPr="00282AC9">
        <w:rPr>
          <w:rFonts w:hint="cs"/>
          <w:sz w:val="27"/>
          <w:rtl/>
        </w:rPr>
        <w:t>،</w:t>
      </w:r>
      <w:r w:rsidRPr="00282AC9">
        <w:rPr>
          <w:rFonts w:hint="cs"/>
          <w:sz w:val="27"/>
          <w:rtl/>
        </w:rPr>
        <w:t xml:space="preserve"> التي ظهرت منذ عصر الوحيد البهبهاني</w:t>
      </w:r>
      <w:r w:rsidR="009A2A04" w:rsidRPr="00282AC9">
        <w:rPr>
          <w:rFonts w:cs="Mosawi" w:hint="cs"/>
          <w:sz w:val="22"/>
          <w:szCs w:val="22"/>
          <w:rtl/>
        </w:rPr>
        <w:t>&amp;</w:t>
      </w:r>
      <w:r w:rsidRPr="00282AC9">
        <w:rPr>
          <w:rFonts w:hint="cs"/>
          <w:sz w:val="27"/>
          <w:rtl/>
        </w:rPr>
        <w:t>، وتوجّ</w:t>
      </w:r>
      <w:r w:rsidR="00AF7C48" w:rsidRPr="00282AC9">
        <w:rPr>
          <w:rFonts w:hint="cs"/>
          <w:sz w:val="27"/>
          <w:rtl/>
        </w:rPr>
        <w:t>َ</w:t>
      </w:r>
      <w:r w:rsidRPr="00282AC9">
        <w:rPr>
          <w:rFonts w:hint="cs"/>
          <w:sz w:val="27"/>
          <w:rtl/>
        </w:rPr>
        <w:t xml:space="preserve">هت </w:t>
      </w:r>
      <w:r w:rsidR="00AF7C48" w:rsidRPr="00282AC9">
        <w:rPr>
          <w:rFonts w:hint="cs"/>
          <w:sz w:val="27"/>
          <w:rtl/>
        </w:rPr>
        <w:t>إلي</w:t>
      </w:r>
      <w:r w:rsidRPr="00282AC9">
        <w:rPr>
          <w:rFonts w:hint="cs"/>
          <w:sz w:val="27"/>
          <w:rtl/>
        </w:rPr>
        <w:t>ها الأنظار في علم الأصول من ق</w:t>
      </w:r>
      <w:r w:rsidR="00AF7C48" w:rsidRPr="00282AC9">
        <w:rPr>
          <w:rFonts w:hint="cs"/>
          <w:sz w:val="27"/>
          <w:rtl/>
        </w:rPr>
        <w:t>ِ</w:t>
      </w:r>
      <w:r w:rsidRPr="00282AC9">
        <w:rPr>
          <w:rFonts w:hint="cs"/>
          <w:sz w:val="27"/>
          <w:rtl/>
        </w:rPr>
        <w:t>ب</w:t>
      </w:r>
      <w:r w:rsidR="00AF7C48" w:rsidRPr="00282AC9">
        <w:rPr>
          <w:rFonts w:hint="cs"/>
          <w:sz w:val="27"/>
          <w:rtl/>
        </w:rPr>
        <w:t>َ</w:t>
      </w:r>
      <w:r w:rsidRPr="00282AC9">
        <w:rPr>
          <w:rFonts w:hint="cs"/>
          <w:sz w:val="27"/>
          <w:rtl/>
        </w:rPr>
        <w:t>ل المحق</w:t>
      </w:r>
      <w:r w:rsidR="00AF7C48" w:rsidRPr="00282AC9">
        <w:rPr>
          <w:rFonts w:hint="cs"/>
          <w:sz w:val="27"/>
          <w:rtl/>
        </w:rPr>
        <w:t>ِّ</w:t>
      </w:r>
      <w:r w:rsidRPr="00282AC9">
        <w:rPr>
          <w:rFonts w:hint="cs"/>
          <w:sz w:val="27"/>
          <w:rtl/>
        </w:rPr>
        <w:t>قين وكبار العلماء، وظهر</w:t>
      </w:r>
      <w:r w:rsidR="00AF7C48" w:rsidRPr="00282AC9">
        <w:rPr>
          <w:rFonts w:hint="cs"/>
          <w:sz w:val="27"/>
          <w:rtl/>
        </w:rPr>
        <w:t>َ</w:t>
      </w:r>
      <w:r w:rsidRPr="00282AC9">
        <w:rPr>
          <w:rFonts w:hint="cs"/>
          <w:sz w:val="27"/>
          <w:rtl/>
        </w:rPr>
        <w:t>ت</w:t>
      </w:r>
      <w:r w:rsidR="00AF7C48" w:rsidRPr="00282AC9">
        <w:rPr>
          <w:rFonts w:hint="cs"/>
          <w:sz w:val="27"/>
          <w:rtl/>
        </w:rPr>
        <w:t>ْ</w:t>
      </w:r>
      <w:r w:rsidRPr="00282AC9">
        <w:rPr>
          <w:rFonts w:hint="cs"/>
          <w:sz w:val="27"/>
          <w:rtl/>
        </w:rPr>
        <w:t xml:space="preserve"> حولها مختلف الآراء؛ </w:t>
      </w:r>
      <w:r w:rsidR="00AF7C48" w:rsidRPr="00282AC9">
        <w:rPr>
          <w:rFonts w:hint="cs"/>
          <w:sz w:val="27"/>
          <w:rtl/>
        </w:rPr>
        <w:t>هو</w:t>
      </w:r>
      <w:r w:rsidRPr="00282AC9">
        <w:rPr>
          <w:rFonts w:hint="cs"/>
          <w:sz w:val="27"/>
          <w:rtl/>
        </w:rPr>
        <w:t xml:space="preserve"> اتجاه المكل</w:t>
      </w:r>
      <w:r w:rsidR="00AF7C48" w:rsidRPr="00282AC9">
        <w:rPr>
          <w:rFonts w:hint="cs"/>
          <w:sz w:val="27"/>
          <w:rtl/>
        </w:rPr>
        <w:t>َّ</w:t>
      </w:r>
      <w:r w:rsidRPr="00282AC9">
        <w:rPr>
          <w:rFonts w:hint="cs"/>
          <w:sz w:val="27"/>
          <w:rtl/>
        </w:rPr>
        <w:t xml:space="preserve">ف في </w:t>
      </w:r>
      <w:r w:rsidR="00EE6DBA" w:rsidRPr="00282AC9">
        <w:rPr>
          <w:rFonts w:hint="cs"/>
          <w:sz w:val="27"/>
          <w:rtl/>
        </w:rPr>
        <w:t>مقابل</w:t>
      </w:r>
      <w:r w:rsidRPr="00282AC9">
        <w:rPr>
          <w:rFonts w:hint="cs"/>
          <w:sz w:val="27"/>
          <w:rtl/>
        </w:rPr>
        <w:t xml:space="preserve"> الشريعة</w:t>
      </w:r>
      <w:r w:rsidR="00AF7C48" w:rsidRPr="00282AC9">
        <w:rPr>
          <w:rFonts w:hint="cs"/>
          <w:sz w:val="27"/>
          <w:rtl/>
        </w:rPr>
        <w:t>،</w:t>
      </w:r>
      <w:r w:rsidRPr="00282AC9">
        <w:rPr>
          <w:rFonts w:hint="cs"/>
          <w:sz w:val="27"/>
          <w:rtl/>
        </w:rPr>
        <w:t xml:space="preserve"> واحتمال التكليف مع عدم تحق</w:t>
      </w:r>
      <w:r w:rsidR="002C0019" w:rsidRPr="00282AC9">
        <w:rPr>
          <w:rFonts w:hint="cs"/>
          <w:sz w:val="27"/>
          <w:rtl/>
        </w:rPr>
        <w:t>ُّ</w:t>
      </w:r>
      <w:r w:rsidRPr="00282AC9">
        <w:rPr>
          <w:rFonts w:hint="cs"/>
          <w:sz w:val="27"/>
          <w:rtl/>
        </w:rPr>
        <w:t>ق القطع بالتكليف أو الظن</w:t>
      </w:r>
      <w:r w:rsidR="002C0019" w:rsidRPr="00282AC9">
        <w:rPr>
          <w:rFonts w:hint="cs"/>
          <w:sz w:val="27"/>
          <w:rtl/>
        </w:rPr>
        <w:t>ّ المعتبر بالنسبة إليه.</w:t>
      </w:r>
    </w:p>
    <w:p w:rsidR="00DA2F6D" w:rsidRPr="00282AC9" w:rsidRDefault="00DA2F6D" w:rsidP="00F066C8">
      <w:pPr>
        <w:rPr>
          <w:sz w:val="27"/>
          <w:rtl/>
        </w:rPr>
      </w:pPr>
      <w:r w:rsidRPr="00282AC9">
        <w:rPr>
          <w:rFonts w:hint="cs"/>
          <w:sz w:val="27"/>
          <w:rtl/>
        </w:rPr>
        <w:t>وفي مثل هذه الحالة ذهب الكثير من المحق</w:t>
      </w:r>
      <w:r w:rsidR="002C0019" w:rsidRPr="00282AC9">
        <w:rPr>
          <w:rFonts w:hint="cs"/>
          <w:sz w:val="27"/>
          <w:rtl/>
        </w:rPr>
        <w:t>ِّ</w:t>
      </w:r>
      <w:r w:rsidRPr="00282AC9">
        <w:rPr>
          <w:rFonts w:hint="cs"/>
          <w:sz w:val="27"/>
          <w:rtl/>
        </w:rPr>
        <w:t>قين إلى الإذعان بأن أمّ القضايا ـ العقلي</w:t>
      </w:r>
      <w:r w:rsidR="002C0019" w:rsidRPr="00282AC9">
        <w:rPr>
          <w:rFonts w:hint="cs"/>
          <w:sz w:val="27"/>
          <w:rtl/>
        </w:rPr>
        <w:t>ّ</w:t>
      </w:r>
      <w:r w:rsidRPr="00282AC9">
        <w:rPr>
          <w:rFonts w:hint="cs"/>
          <w:sz w:val="27"/>
          <w:rtl/>
        </w:rPr>
        <w:t>ة بحكم العقل العملي</w:t>
      </w:r>
      <w:r w:rsidR="002C0019" w:rsidRPr="00282AC9">
        <w:rPr>
          <w:rFonts w:hint="cs"/>
          <w:sz w:val="27"/>
          <w:rtl/>
        </w:rPr>
        <w:t>ّ</w:t>
      </w:r>
      <w:r w:rsidRPr="00282AC9">
        <w:rPr>
          <w:rFonts w:hint="cs"/>
          <w:sz w:val="27"/>
          <w:rtl/>
        </w:rPr>
        <w:t xml:space="preserve"> ـ عبارة</w:t>
      </w:r>
      <w:r w:rsidR="002C0019" w:rsidRPr="00282AC9">
        <w:rPr>
          <w:rFonts w:hint="cs"/>
          <w:sz w:val="27"/>
          <w:rtl/>
        </w:rPr>
        <w:t>ٌ</w:t>
      </w:r>
      <w:r w:rsidRPr="00282AC9">
        <w:rPr>
          <w:rFonts w:hint="cs"/>
          <w:sz w:val="27"/>
          <w:rtl/>
        </w:rPr>
        <w:t xml:space="preserve"> عن الترخيص والإباحة. وبعبارة</w:t>
      </w:r>
      <w:r w:rsidR="002C0019" w:rsidRPr="00282AC9">
        <w:rPr>
          <w:rFonts w:hint="cs"/>
          <w:sz w:val="27"/>
          <w:rtl/>
        </w:rPr>
        <w:t>ٍ</w:t>
      </w:r>
      <w:r w:rsidRPr="00282AC9">
        <w:rPr>
          <w:rFonts w:hint="cs"/>
          <w:sz w:val="27"/>
          <w:rtl/>
        </w:rPr>
        <w:t xml:space="preserve"> أدق</w:t>
      </w:r>
      <w:r w:rsidR="002C0019" w:rsidRPr="00282AC9">
        <w:rPr>
          <w:rFonts w:hint="cs"/>
          <w:sz w:val="27"/>
          <w:rtl/>
        </w:rPr>
        <w:t>ّ</w:t>
      </w:r>
      <w:r w:rsidRPr="00282AC9">
        <w:rPr>
          <w:rFonts w:hint="cs"/>
          <w:sz w:val="27"/>
          <w:rtl/>
        </w:rPr>
        <w:t>: عدم استحقاق العقاب الأخروي</w:t>
      </w:r>
      <w:r w:rsidR="002C0019" w:rsidRPr="00282AC9">
        <w:rPr>
          <w:rFonts w:hint="cs"/>
          <w:sz w:val="27"/>
          <w:rtl/>
        </w:rPr>
        <w:t>ّ</w:t>
      </w:r>
      <w:r w:rsidRPr="00282AC9">
        <w:rPr>
          <w:rFonts w:hint="cs"/>
          <w:sz w:val="27"/>
          <w:rtl/>
        </w:rPr>
        <w:t xml:space="preserve"> عند مخالفة الحكم الواقعي</w:t>
      </w:r>
      <w:r w:rsidR="002C0019" w:rsidRPr="00282AC9">
        <w:rPr>
          <w:rFonts w:hint="cs"/>
          <w:sz w:val="27"/>
          <w:rtl/>
        </w:rPr>
        <w:t>ّ،</w:t>
      </w:r>
      <w:r w:rsidRPr="00282AC9">
        <w:rPr>
          <w:rFonts w:hint="cs"/>
          <w:sz w:val="27"/>
          <w:rtl/>
        </w:rPr>
        <w:t xml:space="preserve"> </w:t>
      </w:r>
      <w:r w:rsidR="002C0019" w:rsidRPr="00282AC9">
        <w:rPr>
          <w:rFonts w:hint="cs"/>
          <w:sz w:val="27"/>
          <w:rtl/>
        </w:rPr>
        <w:t>أي</w:t>
      </w:r>
      <w:r w:rsidRPr="00282AC9">
        <w:rPr>
          <w:rFonts w:hint="cs"/>
          <w:sz w:val="27"/>
          <w:rtl/>
        </w:rPr>
        <w:t xml:space="preserve"> </w:t>
      </w:r>
      <w:r w:rsidR="002C0019" w:rsidRPr="00282AC9">
        <w:rPr>
          <w:rFonts w:hint="cs"/>
          <w:sz w:val="27"/>
          <w:rtl/>
        </w:rPr>
        <w:t>إ</w:t>
      </w:r>
      <w:r w:rsidRPr="00282AC9">
        <w:rPr>
          <w:rFonts w:hint="cs"/>
          <w:sz w:val="27"/>
          <w:rtl/>
        </w:rPr>
        <w:t>نه كل</w:t>
      </w:r>
      <w:r w:rsidR="002C0019" w:rsidRPr="00282AC9">
        <w:rPr>
          <w:rFonts w:hint="cs"/>
          <w:sz w:val="27"/>
          <w:rtl/>
        </w:rPr>
        <w:t>ّ</w:t>
      </w:r>
      <w:r w:rsidRPr="00282AC9">
        <w:rPr>
          <w:rFonts w:hint="cs"/>
          <w:sz w:val="27"/>
          <w:rtl/>
        </w:rPr>
        <w:t>ما لم يقطع المكل</w:t>
      </w:r>
      <w:r w:rsidR="002C0019" w:rsidRPr="00282AC9">
        <w:rPr>
          <w:rFonts w:hint="cs"/>
          <w:sz w:val="27"/>
          <w:rtl/>
        </w:rPr>
        <w:t>َّ</w:t>
      </w:r>
      <w:r w:rsidRPr="00282AC9">
        <w:rPr>
          <w:rFonts w:hint="cs"/>
          <w:sz w:val="27"/>
          <w:rtl/>
        </w:rPr>
        <w:t>ف بالعدم؛ لعدم وجود دليل</w:t>
      </w:r>
      <w:r w:rsidR="002C0019" w:rsidRPr="00282AC9">
        <w:rPr>
          <w:rFonts w:hint="cs"/>
          <w:sz w:val="27"/>
          <w:rtl/>
        </w:rPr>
        <w:t>ٍ</w:t>
      </w:r>
      <w:r w:rsidRPr="00282AC9">
        <w:rPr>
          <w:rFonts w:hint="cs"/>
          <w:sz w:val="27"/>
          <w:rtl/>
        </w:rPr>
        <w:t xml:space="preserve"> معتبر</w:t>
      </w:r>
      <w:r w:rsidR="002C0019" w:rsidRPr="00282AC9">
        <w:rPr>
          <w:rFonts w:hint="cs"/>
          <w:sz w:val="27"/>
          <w:rtl/>
        </w:rPr>
        <w:t>،</w:t>
      </w:r>
      <w:r w:rsidRPr="00282AC9">
        <w:rPr>
          <w:rFonts w:hint="cs"/>
          <w:sz w:val="27"/>
          <w:rtl/>
        </w:rPr>
        <w:t xml:space="preserve"> وفقدان القطع، بل احتمل مجرّ</w:t>
      </w:r>
      <w:r w:rsidR="002C0019" w:rsidRPr="00282AC9">
        <w:rPr>
          <w:rFonts w:hint="cs"/>
          <w:sz w:val="27"/>
          <w:rtl/>
        </w:rPr>
        <w:t>َ</w:t>
      </w:r>
      <w:r w:rsidRPr="00282AC9">
        <w:rPr>
          <w:rFonts w:hint="cs"/>
          <w:sz w:val="27"/>
          <w:rtl/>
        </w:rPr>
        <w:t>د الإلزام، لا يكون المكل</w:t>
      </w:r>
      <w:r w:rsidR="002C0019" w:rsidRPr="00282AC9">
        <w:rPr>
          <w:rFonts w:hint="cs"/>
          <w:sz w:val="27"/>
          <w:rtl/>
        </w:rPr>
        <w:t>َّ</w:t>
      </w:r>
      <w:r w:rsidRPr="00282AC9">
        <w:rPr>
          <w:rFonts w:hint="cs"/>
          <w:sz w:val="27"/>
          <w:rtl/>
        </w:rPr>
        <w:t>ف في مقام ثبوت التكليف ـ بحكم الأدل</w:t>
      </w:r>
      <w:r w:rsidR="002C0019" w:rsidRPr="00282AC9">
        <w:rPr>
          <w:rFonts w:hint="cs"/>
          <w:sz w:val="27"/>
          <w:rtl/>
        </w:rPr>
        <w:t>ّ</w:t>
      </w:r>
      <w:r w:rsidRPr="00282AC9">
        <w:rPr>
          <w:rFonts w:hint="cs"/>
          <w:sz w:val="27"/>
          <w:rtl/>
        </w:rPr>
        <w:t>ة المتعد</w:t>
      </w:r>
      <w:r w:rsidR="002C0019" w:rsidRPr="00282AC9">
        <w:rPr>
          <w:rFonts w:hint="cs"/>
          <w:sz w:val="27"/>
          <w:rtl/>
        </w:rPr>
        <w:t>ِّ</w:t>
      </w:r>
      <w:r w:rsidRPr="00282AC9">
        <w:rPr>
          <w:rFonts w:hint="cs"/>
          <w:sz w:val="27"/>
          <w:rtl/>
        </w:rPr>
        <w:t>دة عند العقل ـ مستوجباً لاستحقاق العقوبة. وهو ما يُعبّ</w:t>
      </w:r>
      <w:r w:rsidR="002C0019" w:rsidRPr="00282AC9">
        <w:rPr>
          <w:rFonts w:hint="cs"/>
          <w:sz w:val="27"/>
          <w:rtl/>
        </w:rPr>
        <w:t>َ</w:t>
      </w:r>
      <w:r w:rsidRPr="00282AC9">
        <w:rPr>
          <w:rFonts w:hint="cs"/>
          <w:sz w:val="27"/>
          <w:rtl/>
        </w:rPr>
        <w:t>ر عنه في لسان المحق</w:t>
      </w:r>
      <w:r w:rsidR="002C0019" w:rsidRPr="00282AC9">
        <w:rPr>
          <w:rFonts w:hint="cs"/>
          <w:sz w:val="27"/>
          <w:rtl/>
        </w:rPr>
        <w:t>ِّ</w:t>
      </w:r>
      <w:r w:rsidRPr="00282AC9">
        <w:rPr>
          <w:rFonts w:hint="cs"/>
          <w:sz w:val="27"/>
          <w:rtl/>
        </w:rPr>
        <w:t xml:space="preserve">قين بـ </w:t>
      </w:r>
      <w:r w:rsidRPr="00282AC9">
        <w:rPr>
          <w:rFonts w:hint="eastAsia"/>
          <w:sz w:val="24"/>
          <w:szCs w:val="24"/>
          <w:rtl/>
        </w:rPr>
        <w:t>«</w:t>
      </w:r>
      <w:r w:rsidRPr="00282AC9">
        <w:rPr>
          <w:rFonts w:hint="cs"/>
          <w:sz w:val="27"/>
          <w:rtl/>
        </w:rPr>
        <w:t>قاعدة ق</w:t>
      </w:r>
      <w:r w:rsidR="002C0019" w:rsidRPr="00282AC9">
        <w:rPr>
          <w:rFonts w:hint="cs"/>
          <w:sz w:val="27"/>
          <w:rtl/>
        </w:rPr>
        <w:t>ُ</w:t>
      </w:r>
      <w:r w:rsidRPr="00282AC9">
        <w:rPr>
          <w:rFonts w:hint="cs"/>
          <w:sz w:val="27"/>
          <w:rtl/>
        </w:rPr>
        <w:t>ب</w:t>
      </w:r>
      <w:r w:rsidR="002C0019" w:rsidRPr="00282AC9">
        <w:rPr>
          <w:rFonts w:hint="cs"/>
          <w:sz w:val="27"/>
          <w:rtl/>
        </w:rPr>
        <w:t>ْ</w:t>
      </w:r>
      <w:r w:rsidRPr="00282AC9">
        <w:rPr>
          <w:rFonts w:hint="cs"/>
          <w:sz w:val="27"/>
          <w:rtl/>
        </w:rPr>
        <w:t>ح العقاب بلا بيان</w:t>
      </w:r>
      <w:r w:rsidR="002C0019" w:rsidRPr="00282AC9">
        <w:rPr>
          <w:rFonts w:hint="cs"/>
          <w:sz w:val="27"/>
          <w:rtl/>
        </w:rPr>
        <w:t>ٍ</w:t>
      </w:r>
      <w:r w:rsidRPr="00282AC9">
        <w:rPr>
          <w:rFonts w:hint="eastAsia"/>
          <w:sz w:val="24"/>
          <w:szCs w:val="24"/>
          <w:rtl/>
        </w:rPr>
        <w:t>»</w:t>
      </w:r>
      <w:r w:rsidR="002C0019" w:rsidRPr="00282AC9">
        <w:rPr>
          <w:rFonts w:hint="cs"/>
          <w:sz w:val="27"/>
          <w:rtl/>
        </w:rPr>
        <w:t>.</w:t>
      </w:r>
      <w:r w:rsidRPr="00282AC9">
        <w:rPr>
          <w:rFonts w:hint="cs"/>
          <w:sz w:val="27"/>
          <w:rtl/>
        </w:rPr>
        <w:t xml:space="preserve"> وهو القول المنسوب لمشهور الأصولي</w:t>
      </w:r>
      <w:r w:rsidR="002C0019" w:rsidRPr="00282AC9">
        <w:rPr>
          <w:rFonts w:hint="cs"/>
          <w:sz w:val="27"/>
          <w:rtl/>
        </w:rPr>
        <w:t>ّ</w:t>
      </w:r>
      <w:r w:rsidRPr="00282AC9">
        <w:rPr>
          <w:rFonts w:hint="cs"/>
          <w:sz w:val="27"/>
          <w:rtl/>
        </w:rPr>
        <w:t>ين.</w:t>
      </w:r>
    </w:p>
    <w:p w:rsidR="002C0019" w:rsidRPr="00282AC9" w:rsidRDefault="00DA2F6D" w:rsidP="00F066C8">
      <w:pPr>
        <w:rPr>
          <w:sz w:val="27"/>
          <w:rtl/>
        </w:rPr>
      </w:pPr>
      <w:r w:rsidRPr="00282AC9">
        <w:rPr>
          <w:rFonts w:hint="cs"/>
          <w:sz w:val="27"/>
          <w:rtl/>
        </w:rPr>
        <w:t xml:space="preserve">وفي </w:t>
      </w:r>
      <w:r w:rsidR="00EE6DBA" w:rsidRPr="00282AC9">
        <w:rPr>
          <w:rFonts w:hint="cs"/>
          <w:sz w:val="27"/>
          <w:rtl/>
        </w:rPr>
        <w:t>مقابل</w:t>
      </w:r>
      <w:r w:rsidRPr="00282AC9">
        <w:rPr>
          <w:rFonts w:hint="cs"/>
          <w:sz w:val="27"/>
          <w:rtl/>
        </w:rPr>
        <w:t xml:space="preserve"> هذا القول هناك نظري</w:t>
      </w:r>
      <w:r w:rsidR="002C0019" w:rsidRPr="00282AC9">
        <w:rPr>
          <w:rFonts w:hint="cs"/>
          <w:sz w:val="27"/>
          <w:rtl/>
        </w:rPr>
        <w:t>ّ</w:t>
      </w:r>
      <w:r w:rsidRPr="00282AC9">
        <w:rPr>
          <w:rFonts w:hint="cs"/>
          <w:sz w:val="27"/>
          <w:rtl/>
        </w:rPr>
        <w:t>تان أخريان</w:t>
      </w:r>
      <w:r w:rsidR="002C0019" w:rsidRPr="00282AC9">
        <w:rPr>
          <w:rFonts w:hint="cs"/>
          <w:sz w:val="27"/>
          <w:rtl/>
        </w:rPr>
        <w:t>،</w:t>
      </w:r>
      <w:r w:rsidRPr="00282AC9">
        <w:rPr>
          <w:rFonts w:hint="cs"/>
          <w:sz w:val="27"/>
          <w:rtl/>
        </w:rPr>
        <w:t xml:space="preserve"> في مقام النقد والرد</w:t>
      </w:r>
      <w:r w:rsidR="002C0019" w:rsidRPr="00282AC9">
        <w:rPr>
          <w:rFonts w:hint="cs"/>
          <w:sz w:val="27"/>
          <w:rtl/>
        </w:rPr>
        <w:t>ّ على هذه القاعدة.</w:t>
      </w:r>
    </w:p>
    <w:p w:rsidR="00DA2F6D" w:rsidRPr="00282AC9" w:rsidRDefault="00DA2F6D" w:rsidP="00F066C8">
      <w:pPr>
        <w:rPr>
          <w:sz w:val="27"/>
          <w:rtl/>
        </w:rPr>
      </w:pPr>
      <w:r w:rsidRPr="00282AC9">
        <w:rPr>
          <w:rFonts w:hint="cs"/>
          <w:b/>
          <w:bCs/>
          <w:sz w:val="27"/>
          <w:rtl/>
        </w:rPr>
        <w:t>النظرية الأولى</w:t>
      </w:r>
      <w:r w:rsidR="002C0019" w:rsidRPr="00282AC9">
        <w:rPr>
          <w:rFonts w:hint="cs"/>
          <w:sz w:val="27"/>
          <w:rtl/>
        </w:rPr>
        <w:t>:</w:t>
      </w:r>
      <w:r w:rsidRPr="00282AC9">
        <w:rPr>
          <w:rFonts w:hint="cs"/>
          <w:sz w:val="27"/>
          <w:rtl/>
        </w:rPr>
        <w:t xml:space="preserve"> وهي للسيد الروحاني في منتقى الأصول</w:t>
      </w:r>
      <w:r w:rsidR="002C0019" w:rsidRPr="00282AC9">
        <w:rPr>
          <w:rFonts w:hint="cs"/>
          <w:sz w:val="27"/>
          <w:rtl/>
        </w:rPr>
        <w:t>.</w:t>
      </w:r>
      <w:r w:rsidRPr="00282AC9">
        <w:rPr>
          <w:rFonts w:hint="cs"/>
          <w:sz w:val="27"/>
          <w:rtl/>
        </w:rPr>
        <w:t xml:space="preserve"> </w:t>
      </w:r>
      <w:r w:rsidR="002C0019" w:rsidRPr="00282AC9">
        <w:rPr>
          <w:rFonts w:hint="cs"/>
          <w:sz w:val="27"/>
          <w:rtl/>
        </w:rPr>
        <w:t>و</w:t>
      </w:r>
      <w:r w:rsidRPr="00282AC9">
        <w:rPr>
          <w:rFonts w:hint="cs"/>
          <w:sz w:val="27"/>
          <w:rtl/>
        </w:rPr>
        <w:t xml:space="preserve">هي أن </w:t>
      </w:r>
      <w:r w:rsidRPr="00282AC9">
        <w:rPr>
          <w:sz w:val="27"/>
          <w:rtl/>
        </w:rPr>
        <w:t>قاعدة ق</w:t>
      </w:r>
      <w:r w:rsidR="002C0019" w:rsidRPr="00282AC9">
        <w:rPr>
          <w:rFonts w:hint="cs"/>
          <w:sz w:val="27"/>
          <w:rtl/>
        </w:rPr>
        <w:t>ُ</w:t>
      </w:r>
      <w:r w:rsidRPr="00282AC9">
        <w:rPr>
          <w:sz w:val="27"/>
          <w:rtl/>
        </w:rPr>
        <w:t>ب</w:t>
      </w:r>
      <w:r w:rsidR="002C0019" w:rsidRPr="00282AC9">
        <w:rPr>
          <w:rFonts w:hint="cs"/>
          <w:sz w:val="27"/>
          <w:rtl/>
        </w:rPr>
        <w:t>ْ</w:t>
      </w:r>
      <w:r w:rsidRPr="00282AC9">
        <w:rPr>
          <w:sz w:val="27"/>
          <w:rtl/>
        </w:rPr>
        <w:t>ح العقاب بلا بيان</w:t>
      </w:r>
      <w:r w:rsidR="002C0019" w:rsidRPr="00282AC9">
        <w:rPr>
          <w:rFonts w:hint="cs"/>
          <w:sz w:val="27"/>
          <w:rtl/>
        </w:rPr>
        <w:t>ٍ</w:t>
      </w:r>
      <w:r w:rsidRPr="00282AC9">
        <w:rPr>
          <w:rFonts w:hint="cs"/>
          <w:sz w:val="27"/>
          <w:rtl/>
        </w:rPr>
        <w:t xml:space="preserve"> ـ التي تسعى إلى إثبات عدم استحقاق العبد في ظرف فقدان الدليل </w:t>
      </w:r>
      <w:r w:rsidR="002C0019" w:rsidRPr="00282AC9">
        <w:rPr>
          <w:rFonts w:hint="cs"/>
          <w:sz w:val="27"/>
          <w:rtl/>
        </w:rPr>
        <w:lastRenderedPageBreak/>
        <w:t>ل</w:t>
      </w:r>
      <w:r w:rsidRPr="00282AC9">
        <w:rPr>
          <w:rFonts w:hint="cs"/>
          <w:sz w:val="27"/>
          <w:rtl/>
        </w:rPr>
        <w:t>لعقوبة الأخروي</w:t>
      </w:r>
      <w:r w:rsidR="002C0019" w:rsidRPr="00282AC9">
        <w:rPr>
          <w:rFonts w:hint="cs"/>
          <w:sz w:val="27"/>
          <w:rtl/>
        </w:rPr>
        <w:t>ّ</w:t>
      </w:r>
      <w:r w:rsidRPr="00282AC9">
        <w:rPr>
          <w:rFonts w:hint="cs"/>
          <w:sz w:val="27"/>
          <w:rtl/>
        </w:rPr>
        <w:t>ة ـ لا تشتمل على توجيه</w:t>
      </w:r>
      <w:r w:rsidR="00CC6436" w:rsidRPr="00282AC9">
        <w:rPr>
          <w:rFonts w:hint="cs"/>
          <w:sz w:val="27"/>
          <w:rtl/>
        </w:rPr>
        <w:t>ٍ</w:t>
      </w:r>
      <w:r w:rsidRPr="00282AC9">
        <w:rPr>
          <w:rFonts w:hint="cs"/>
          <w:sz w:val="27"/>
          <w:rtl/>
        </w:rPr>
        <w:t xml:space="preserve"> بالنسبة إلى العقوبة الأخروية، ولا يمكن العثور لها على مبنى</w:t>
      </w:r>
      <w:r w:rsidR="00CC6436" w:rsidRPr="00282AC9">
        <w:rPr>
          <w:rFonts w:hint="cs"/>
          <w:sz w:val="27"/>
          <w:rtl/>
        </w:rPr>
        <w:t>ً</w:t>
      </w:r>
      <w:r w:rsidRPr="00282AC9">
        <w:rPr>
          <w:rFonts w:hint="cs"/>
          <w:sz w:val="27"/>
          <w:rtl/>
        </w:rPr>
        <w:t xml:space="preserve"> صحيح. وخلاصة كلامه: </w:t>
      </w:r>
      <w:r w:rsidR="00CC6436" w:rsidRPr="00282AC9">
        <w:rPr>
          <w:rFonts w:hint="cs"/>
          <w:sz w:val="27"/>
          <w:rtl/>
        </w:rPr>
        <w:t>إ</w:t>
      </w:r>
      <w:r w:rsidRPr="00282AC9">
        <w:rPr>
          <w:rFonts w:hint="cs"/>
          <w:sz w:val="27"/>
          <w:rtl/>
        </w:rPr>
        <w:t>ن نسبة العقوبة الأخروية إلى أفعال البشر بحيث لا يمكن لعقول البشر أن تستوعبها وتفهمها؛ وذلك لأن العقوبة عند الموالي العرفي</w:t>
      </w:r>
      <w:r w:rsidR="00CC6436" w:rsidRPr="00282AC9">
        <w:rPr>
          <w:rFonts w:hint="cs"/>
          <w:sz w:val="27"/>
          <w:rtl/>
        </w:rPr>
        <w:t>ّ</w:t>
      </w:r>
      <w:r w:rsidRPr="00282AC9">
        <w:rPr>
          <w:rFonts w:hint="cs"/>
          <w:sz w:val="27"/>
          <w:rtl/>
        </w:rPr>
        <w:t>ين تكون إما للتشفّي أو للتأديب. ومن الواضح والبديهي</w:t>
      </w:r>
      <w:r w:rsidR="00CC6436" w:rsidRPr="00282AC9">
        <w:rPr>
          <w:rFonts w:hint="cs"/>
          <w:sz w:val="27"/>
          <w:rtl/>
        </w:rPr>
        <w:t>ّ</w:t>
      </w:r>
      <w:r w:rsidRPr="00282AC9">
        <w:rPr>
          <w:rFonts w:hint="cs"/>
          <w:sz w:val="27"/>
          <w:rtl/>
        </w:rPr>
        <w:t xml:space="preserve"> أن هذين المنش</w:t>
      </w:r>
      <w:r w:rsidR="00CC6436" w:rsidRPr="00282AC9">
        <w:rPr>
          <w:rFonts w:hint="cs"/>
          <w:sz w:val="27"/>
          <w:rtl/>
        </w:rPr>
        <w:t>أ</w:t>
      </w:r>
      <w:r w:rsidRPr="00282AC9">
        <w:rPr>
          <w:rFonts w:hint="cs"/>
          <w:sz w:val="27"/>
          <w:rtl/>
        </w:rPr>
        <w:t>ين لا معنى لهما</w:t>
      </w:r>
      <w:r w:rsidR="00CC6436" w:rsidRPr="00282AC9">
        <w:rPr>
          <w:rFonts w:hint="cs"/>
          <w:sz w:val="27"/>
          <w:rtl/>
        </w:rPr>
        <w:t>،</w:t>
      </w:r>
      <w:r w:rsidRPr="00282AC9">
        <w:rPr>
          <w:rFonts w:hint="cs"/>
          <w:sz w:val="27"/>
          <w:rtl/>
        </w:rPr>
        <w:t xml:space="preserve"> ولا يمكن تصوّ</w:t>
      </w:r>
      <w:r w:rsidR="00CC6436" w:rsidRPr="00282AC9">
        <w:rPr>
          <w:rFonts w:hint="cs"/>
          <w:sz w:val="27"/>
          <w:rtl/>
        </w:rPr>
        <w:t>ُ</w:t>
      </w:r>
      <w:r w:rsidRPr="00282AC9">
        <w:rPr>
          <w:rFonts w:hint="cs"/>
          <w:sz w:val="27"/>
          <w:rtl/>
        </w:rPr>
        <w:t>رهما</w:t>
      </w:r>
      <w:r w:rsidR="00CC6436" w:rsidRPr="00282AC9">
        <w:rPr>
          <w:rFonts w:hint="cs"/>
          <w:sz w:val="27"/>
          <w:rtl/>
        </w:rPr>
        <w:t>،</w:t>
      </w:r>
      <w:r w:rsidRPr="00282AC9">
        <w:rPr>
          <w:rFonts w:hint="cs"/>
          <w:sz w:val="27"/>
          <w:rtl/>
        </w:rPr>
        <w:t xml:space="preserve"> بالنسبة إلى الله تعالى في العقاب الأخروي بحق</w:t>
      </w:r>
      <w:r w:rsidR="00CC6436" w:rsidRPr="00282AC9">
        <w:rPr>
          <w:rFonts w:hint="cs"/>
          <w:sz w:val="27"/>
          <w:rtl/>
        </w:rPr>
        <w:t>ّ</w:t>
      </w:r>
      <w:r w:rsidRPr="00282AC9">
        <w:rPr>
          <w:rFonts w:hint="cs"/>
          <w:sz w:val="27"/>
          <w:rtl/>
        </w:rPr>
        <w:t xml:space="preserve"> العباد</w:t>
      </w:r>
      <w:r w:rsidR="00CC6436" w:rsidRPr="00282AC9">
        <w:rPr>
          <w:rFonts w:hint="cs"/>
          <w:sz w:val="27"/>
          <w:rtl/>
        </w:rPr>
        <w:t>،</w:t>
      </w:r>
      <w:r w:rsidRPr="00282AC9">
        <w:rPr>
          <w:rFonts w:hint="cs"/>
          <w:sz w:val="27"/>
          <w:rtl/>
        </w:rPr>
        <w:t xml:space="preserve"> وإنما توجيه العقوبة يكون من باب الوعيد بالعقاب. </w:t>
      </w:r>
      <w:r w:rsidR="00674EF5" w:rsidRPr="00282AC9">
        <w:rPr>
          <w:rFonts w:hint="cs"/>
          <w:sz w:val="27"/>
          <w:rtl/>
        </w:rPr>
        <w:t>لا شَكَّ</w:t>
      </w:r>
      <w:r w:rsidRPr="00282AC9">
        <w:rPr>
          <w:rFonts w:hint="cs"/>
          <w:sz w:val="27"/>
          <w:rtl/>
        </w:rPr>
        <w:t xml:space="preserve"> في أن ملاك وعد الله تعالى بالعقوبة (في ظرف المخالفة) ليس بأيدينا، ومع الافتقار إلى فهم الملاك في ترتّ</w:t>
      </w:r>
      <w:r w:rsidR="00CC6436" w:rsidRPr="00282AC9">
        <w:rPr>
          <w:rFonts w:hint="cs"/>
          <w:sz w:val="27"/>
          <w:rtl/>
        </w:rPr>
        <w:t>ُ</w:t>
      </w:r>
      <w:r w:rsidRPr="00282AC9">
        <w:rPr>
          <w:rFonts w:hint="cs"/>
          <w:sz w:val="27"/>
          <w:rtl/>
        </w:rPr>
        <w:t>ب العقوبة الأخروي</w:t>
      </w:r>
      <w:r w:rsidR="00CC6436" w:rsidRPr="00282AC9">
        <w:rPr>
          <w:rFonts w:hint="cs"/>
          <w:sz w:val="27"/>
          <w:rtl/>
        </w:rPr>
        <w:t>ّ</w:t>
      </w:r>
      <w:r w:rsidRPr="00282AC9">
        <w:rPr>
          <w:rFonts w:hint="cs"/>
          <w:sz w:val="27"/>
          <w:rtl/>
        </w:rPr>
        <w:t>ة لا يمكن الج</w:t>
      </w:r>
      <w:r w:rsidR="00CC6436" w:rsidRPr="00282AC9">
        <w:rPr>
          <w:rFonts w:hint="cs"/>
          <w:sz w:val="27"/>
          <w:rtl/>
        </w:rPr>
        <w:t>َ</w:t>
      </w:r>
      <w:r w:rsidRPr="00282AC9">
        <w:rPr>
          <w:rFonts w:hint="cs"/>
          <w:sz w:val="27"/>
          <w:rtl/>
        </w:rPr>
        <w:t>ز</w:t>
      </w:r>
      <w:r w:rsidR="00CC6436" w:rsidRPr="00282AC9">
        <w:rPr>
          <w:rFonts w:hint="cs"/>
          <w:sz w:val="27"/>
          <w:rtl/>
        </w:rPr>
        <w:t>ْ</w:t>
      </w:r>
      <w:r w:rsidRPr="00282AC9">
        <w:rPr>
          <w:rFonts w:hint="cs"/>
          <w:sz w:val="27"/>
          <w:rtl/>
        </w:rPr>
        <w:t>م بثبوت العقاب في فرض</w:t>
      </w:r>
      <w:r w:rsidR="00CC6436" w:rsidRPr="00282AC9">
        <w:rPr>
          <w:rFonts w:hint="cs"/>
          <w:sz w:val="27"/>
          <w:rtl/>
        </w:rPr>
        <w:t>ٍ</w:t>
      </w:r>
      <w:r w:rsidRPr="00282AC9">
        <w:rPr>
          <w:rFonts w:hint="cs"/>
          <w:sz w:val="27"/>
          <w:rtl/>
        </w:rPr>
        <w:t xml:space="preserve"> دون فرض</w:t>
      </w:r>
      <w:r w:rsidR="00CC6436" w:rsidRPr="00282AC9">
        <w:rPr>
          <w:rFonts w:hint="cs"/>
          <w:sz w:val="27"/>
          <w:rtl/>
        </w:rPr>
        <w:t>ٍ</w:t>
      </w:r>
      <w:r w:rsidRPr="00282AC9">
        <w:rPr>
          <w:rFonts w:hint="cs"/>
          <w:sz w:val="27"/>
          <w:rtl/>
        </w:rPr>
        <w:t xml:space="preserve"> آخر.</w:t>
      </w:r>
    </w:p>
    <w:p w:rsidR="00DA2F6D" w:rsidRPr="00282AC9" w:rsidRDefault="00DA2F6D" w:rsidP="00F066C8">
      <w:pPr>
        <w:rPr>
          <w:sz w:val="27"/>
          <w:rtl/>
        </w:rPr>
      </w:pPr>
      <w:r w:rsidRPr="00282AC9">
        <w:rPr>
          <w:rFonts w:hint="cs"/>
          <w:b/>
          <w:bCs/>
          <w:sz w:val="27"/>
          <w:rtl/>
        </w:rPr>
        <w:t>والنظرية الثانية</w:t>
      </w:r>
      <w:r w:rsidR="00CC6436" w:rsidRPr="00282AC9">
        <w:rPr>
          <w:rFonts w:hint="cs"/>
          <w:sz w:val="27"/>
          <w:rtl/>
        </w:rPr>
        <w:t>،</w:t>
      </w:r>
      <w:r w:rsidRPr="00282AC9">
        <w:rPr>
          <w:rFonts w:hint="cs"/>
          <w:sz w:val="27"/>
          <w:rtl/>
        </w:rPr>
        <w:t xml:space="preserve"> في </w:t>
      </w:r>
      <w:r w:rsidR="00EE6DBA" w:rsidRPr="00282AC9">
        <w:rPr>
          <w:rFonts w:hint="cs"/>
          <w:sz w:val="27"/>
          <w:rtl/>
        </w:rPr>
        <w:t>مقابل</w:t>
      </w:r>
      <w:r w:rsidRPr="00282AC9">
        <w:rPr>
          <w:rFonts w:hint="cs"/>
          <w:sz w:val="27"/>
          <w:rtl/>
        </w:rPr>
        <w:t xml:space="preserve"> مبنى المشهور</w:t>
      </w:r>
      <w:r w:rsidR="00CC6436" w:rsidRPr="00282AC9">
        <w:rPr>
          <w:rFonts w:hint="cs"/>
          <w:sz w:val="27"/>
          <w:rtl/>
        </w:rPr>
        <w:t>،</w:t>
      </w:r>
      <w:r w:rsidRPr="00282AC9">
        <w:rPr>
          <w:rFonts w:hint="cs"/>
          <w:sz w:val="27"/>
          <w:rtl/>
        </w:rPr>
        <w:t xml:space="preserve"> هي نظري</w:t>
      </w:r>
      <w:r w:rsidR="00CC6436" w:rsidRPr="00282AC9">
        <w:rPr>
          <w:rFonts w:hint="cs"/>
          <w:sz w:val="27"/>
          <w:rtl/>
        </w:rPr>
        <w:t>ّ</w:t>
      </w:r>
      <w:r w:rsidRPr="00282AC9">
        <w:rPr>
          <w:rFonts w:hint="cs"/>
          <w:sz w:val="27"/>
          <w:rtl/>
        </w:rPr>
        <w:t>ة الشهيد محمد باقر الصدر؛ إذ يرى أن اتجاه المكل</w:t>
      </w:r>
      <w:r w:rsidR="00CC6436" w:rsidRPr="00282AC9">
        <w:rPr>
          <w:rFonts w:hint="cs"/>
          <w:sz w:val="27"/>
          <w:rtl/>
        </w:rPr>
        <w:t>َّ</w:t>
      </w:r>
      <w:r w:rsidRPr="00282AC9">
        <w:rPr>
          <w:rFonts w:hint="cs"/>
          <w:sz w:val="27"/>
          <w:rtl/>
        </w:rPr>
        <w:t>ف في ظرف احتمال التكل</w:t>
      </w:r>
      <w:r w:rsidR="00CC6436" w:rsidRPr="00282AC9">
        <w:rPr>
          <w:rFonts w:hint="cs"/>
          <w:sz w:val="27"/>
          <w:rtl/>
        </w:rPr>
        <w:t>ي</w:t>
      </w:r>
      <w:r w:rsidRPr="00282AC9">
        <w:rPr>
          <w:rFonts w:hint="cs"/>
          <w:sz w:val="27"/>
          <w:rtl/>
        </w:rPr>
        <w:t>ف</w:t>
      </w:r>
      <w:r w:rsidR="00CC6436" w:rsidRPr="00282AC9">
        <w:rPr>
          <w:rFonts w:hint="cs"/>
          <w:sz w:val="27"/>
          <w:rtl/>
        </w:rPr>
        <w:t>،</w:t>
      </w:r>
      <w:r w:rsidRPr="00282AC9">
        <w:rPr>
          <w:rFonts w:hint="cs"/>
          <w:sz w:val="27"/>
          <w:rtl/>
        </w:rPr>
        <w:t xml:space="preserve"> ثبوتاً وسقوطاً</w:t>
      </w:r>
      <w:r w:rsidR="00CC6436" w:rsidRPr="00282AC9">
        <w:rPr>
          <w:rFonts w:hint="cs"/>
          <w:sz w:val="27"/>
          <w:rtl/>
        </w:rPr>
        <w:t>،</w:t>
      </w:r>
      <w:r w:rsidRPr="00282AC9">
        <w:rPr>
          <w:rFonts w:hint="cs"/>
          <w:sz w:val="27"/>
          <w:rtl/>
        </w:rPr>
        <w:t xml:space="preserve"> ـ عند العقل ـ هو الاحتياط</w:t>
      </w:r>
      <w:r w:rsidR="00CC6436" w:rsidRPr="00282AC9">
        <w:rPr>
          <w:rFonts w:hint="cs"/>
          <w:sz w:val="27"/>
          <w:rtl/>
        </w:rPr>
        <w:t>،</w:t>
      </w:r>
      <w:r w:rsidRPr="00282AC9">
        <w:rPr>
          <w:rFonts w:hint="cs"/>
          <w:sz w:val="27"/>
          <w:rtl/>
        </w:rPr>
        <w:t xml:space="preserve"> دون الترخيص والإباحة</w:t>
      </w:r>
      <w:r w:rsidR="00CC6436" w:rsidRPr="00282AC9">
        <w:rPr>
          <w:rFonts w:hint="cs"/>
          <w:sz w:val="27"/>
          <w:rtl/>
        </w:rPr>
        <w:t>، أي إ</w:t>
      </w:r>
      <w:r w:rsidRPr="00282AC9">
        <w:rPr>
          <w:rFonts w:hint="cs"/>
          <w:sz w:val="27"/>
          <w:rtl/>
        </w:rPr>
        <w:t>ن الشهيد الصدر ـ على أساس التحليل العقلي ـ يرى أن المنجّ</w:t>
      </w:r>
      <w:r w:rsidR="00CC6436" w:rsidRPr="00282AC9">
        <w:rPr>
          <w:rFonts w:hint="cs"/>
          <w:sz w:val="27"/>
          <w:rtl/>
        </w:rPr>
        <w:t>ِ</w:t>
      </w:r>
      <w:r w:rsidRPr="00282AC9">
        <w:rPr>
          <w:rFonts w:hint="cs"/>
          <w:sz w:val="27"/>
          <w:rtl/>
        </w:rPr>
        <w:t>ز هو مجرّ</w:t>
      </w:r>
      <w:r w:rsidR="00CC6436" w:rsidRPr="00282AC9">
        <w:rPr>
          <w:rFonts w:hint="cs"/>
          <w:sz w:val="27"/>
          <w:rtl/>
        </w:rPr>
        <w:t>َ</w:t>
      </w:r>
      <w:r w:rsidRPr="00282AC9">
        <w:rPr>
          <w:rFonts w:hint="cs"/>
          <w:sz w:val="27"/>
          <w:rtl/>
        </w:rPr>
        <w:t>د احتمال التكليف، سواء</w:t>
      </w:r>
      <w:r w:rsidR="00CC6436" w:rsidRPr="00282AC9">
        <w:rPr>
          <w:rFonts w:hint="cs"/>
          <w:sz w:val="27"/>
          <w:rtl/>
        </w:rPr>
        <w:t>ٌ</w:t>
      </w:r>
      <w:r w:rsidRPr="00282AC9">
        <w:rPr>
          <w:rFonts w:hint="cs"/>
          <w:sz w:val="27"/>
          <w:rtl/>
        </w:rPr>
        <w:t xml:space="preserve"> في مرحلة احتمال ثبوت التكليف أو في مرحلة احتمال سقوط التكليف وتحصيل فراغ الذم</w:t>
      </w:r>
      <w:r w:rsidR="00CC6436" w:rsidRPr="00282AC9">
        <w:rPr>
          <w:rFonts w:hint="cs"/>
          <w:sz w:val="27"/>
          <w:rtl/>
        </w:rPr>
        <w:t>ّ</w:t>
      </w:r>
      <w:r w:rsidRPr="00282AC9">
        <w:rPr>
          <w:rFonts w:hint="cs"/>
          <w:sz w:val="27"/>
          <w:rtl/>
        </w:rPr>
        <w:t>ة.</w:t>
      </w:r>
    </w:p>
    <w:p w:rsidR="00DA2F6D" w:rsidRPr="00282AC9" w:rsidRDefault="00CC6436" w:rsidP="00F066C8">
      <w:pPr>
        <w:rPr>
          <w:sz w:val="27"/>
          <w:rtl/>
        </w:rPr>
      </w:pPr>
      <w:r w:rsidRPr="00282AC9">
        <w:rPr>
          <w:rFonts w:hint="cs"/>
          <w:sz w:val="27"/>
          <w:rtl/>
        </w:rPr>
        <w:t>يكتفي</w:t>
      </w:r>
      <w:r w:rsidR="00DA2F6D" w:rsidRPr="00282AC9">
        <w:rPr>
          <w:rFonts w:hint="cs"/>
          <w:sz w:val="27"/>
          <w:rtl/>
        </w:rPr>
        <w:t xml:space="preserve"> السيد الروحاني في نظري</w:t>
      </w:r>
      <w:r w:rsidRPr="00282AC9">
        <w:rPr>
          <w:rFonts w:hint="cs"/>
          <w:sz w:val="27"/>
          <w:rtl/>
        </w:rPr>
        <w:t>ّ</w:t>
      </w:r>
      <w:r w:rsidR="00DA2F6D" w:rsidRPr="00282AC9">
        <w:rPr>
          <w:rFonts w:hint="cs"/>
          <w:sz w:val="27"/>
          <w:rtl/>
        </w:rPr>
        <w:t xml:space="preserve">ته بمجرّد السعي إلى نفي </w:t>
      </w:r>
      <w:r w:rsidR="00DA2F6D" w:rsidRPr="00282AC9">
        <w:rPr>
          <w:sz w:val="27"/>
          <w:rtl/>
        </w:rPr>
        <w:t>قاعدة قبح العقاب بلا بيان</w:t>
      </w:r>
      <w:r w:rsidRPr="00282AC9">
        <w:rPr>
          <w:rFonts w:hint="cs"/>
          <w:sz w:val="27"/>
          <w:rtl/>
        </w:rPr>
        <w:t>ٍ</w:t>
      </w:r>
      <w:r w:rsidR="00DA2F6D" w:rsidRPr="00282AC9">
        <w:rPr>
          <w:rFonts w:hint="cs"/>
          <w:sz w:val="27"/>
          <w:rtl/>
        </w:rPr>
        <w:t>، دون أن يبيّ</w:t>
      </w:r>
      <w:r w:rsidRPr="00282AC9">
        <w:rPr>
          <w:rFonts w:hint="cs"/>
          <w:sz w:val="27"/>
          <w:rtl/>
        </w:rPr>
        <w:t>ِ</w:t>
      </w:r>
      <w:r w:rsidR="00DA2F6D" w:rsidRPr="00282AC9">
        <w:rPr>
          <w:rFonts w:hint="cs"/>
          <w:sz w:val="27"/>
          <w:rtl/>
        </w:rPr>
        <w:t>ن رأياً من الناحية الإثباتية</w:t>
      </w:r>
      <w:r w:rsidRPr="00282AC9">
        <w:rPr>
          <w:rFonts w:hint="cs"/>
          <w:sz w:val="27"/>
          <w:rtl/>
        </w:rPr>
        <w:t>؛</w:t>
      </w:r>
      <w:r w:rsidR="00DA2F6D" w:rsidRPr="00282AC9">
        <w:rPr>
          <w:rFonts w:hint="cs"/>
          <w:sz w:val="27"/>
          <w:rtl/>
        </w:rPr>
        <w:t xml:space="preserve"> وأما السيد الشهيد الصدر فإنه</w:t>
      </w:r>
      <w:r w:rsidRPr="00282AC9">
        <w:rPr>
          <w:rFonts w:hint="cs"/>
          <w:sz w:val="27"/>
          <w:rtl/>
        </w:rPr>
        <w:t>،</w:t>
      </w:r>
      <w:r w:rsidR="00DA2F6D" w:rsidRPr="00282AC9">
        <w:rPr>
          <w:rFonts w:hint="cs"/>
          <w:sz w:val="27"/>
          <w:rtl/>
        </w:rPr>
        <w:t xml:space="preserve"> بالإضافة إلى ردّ هذه القاعدة في ضوء المباني الكلامية ـ الاختلاف بين الموالي العرفي</w:t>
      </w:r>
      <w:r w:rsidRPr="00282AC9">
        <w:rPr>
          <w:rFonts w:hint="cs"/>
          <w:sz w:val="27"/>
          <w:rtl/>
        </w:rPr>
        <w:t>ّ</w:t>
      </w:r>
      <w:r w:rsidR="00DA2F6D" w:rsidRPr="00282AC9">
        <w:rPr>
          <w:rFonts w:hint="cs"/>
          <w:sz w:val="27"/>
          <w:rtl/>
        </w:rPr>
        <w:t>ين وذاتي</w:t>
      </w:r>
      <w:r w:rsidRPr="00282AC9">
        <w:rPr>
          <w:rFonts w:hint="cs"/>
          <w:sz w:val="27"/>
          <w:rtl/>
        </w:rPr>
        <w:t>ّ</w:t>
      </w:r>
      <w:r w:rsidR="00DA2F6D" w:rsidRPr="00282AC9">
        <w:rPr>
          <w:rFonts w:hint="cs"/>
          <w:sz w:val="27"/>
          <w:rtl/>
        </w:rPr>
        <w:t>ة دائرة الطاعة لهم بالنسبة إلى حقوقهم المتعل</w:t>
      </w:r>
      <w:r w:rsidR="00690F51" w:rsidRPr="00282AC9">
        <w:rPr>
          <w:rFonts w:hint="cs"/>
          <w:sz w:val="27"/>
          <w:rtl/>
        </w:rPr>
        <w:t>ِّ</w:t>
      </w:r>
      <w:r w:rsidR="00DA2F6D" w:rsidRPr="00282AC9">
        <w:rPr>
          <w:rFonts w:hint="cs"/>
          <w:sz w:val="27"/>
          <w:rtl/>
        </w:rPr>
        <w:t>قة في ذمم وأعناق العبيد ـ</w:t>
      </w:r>
      <w:r w:rsidR="00690F51" w:rsidRPr="00282AC9">
        <w:rPr>
          <w:rFonts w:hint="cs"/>
          <w:sz w:val="27"/>
          <w:rtl/>
        </w:rPr>
        <w:t>،</w:t>
      </w:r>
      <w:r w:rsidR="00DA2F6D" w:rsidRPr="00282AC9">
        <w:rPr>
          <w:rFonts w:hint="cs"/>
          <w:sz w:val="27"/>
          <w:rtl/>
        </w:rPr>
        <w:t xml:space="preserve"> قد رأى بطلان </w:t>
      </w:r>
      <w:r w:rsidR="00DA2F6D" w:rsidRPr="00282AC9">
        <w:rPr>
          <w:sz w:val="27"/>
          <w:rtl/>
        </w:rPr>
        <w:t>قاعدة قبح العقاب بلا بيان</w:t>
      </w:r>
      <w:r w:rsidR="00690F51" w:rsidRPr="00282AC9">
        <w:rPr>
          <w:rFonts w:hint="cs"/>
          <w:sz w:val="27"/>
          <w:rtl/>
        </w:rPr>
        <w:t>.</w:t>
      </w:r>
      <w:r w:rsidR="00DA2F6D" w:rsidRPr="00282AC9">
        <w:rPr>
          <w:rFonts w:hint="cs"/>
          <w:sz w:val="27"/>
          <w:rtl/>
        </w:rPr>
        <w:t xml:space="preserve"> وطبقاً لهذا المبنى منه قال بـ </w:t>
      </w:r>
      <w:r w:rsidR="00DA2F6D" w:rsidRPr="00282AC9">
        <w:rPr>
          <w:rFonts w:hint="eastAsia"/>
          <w:sz w:val="24"/>
          <w:szCs w:val="24"/>
          <w:rtl/>
        </w:rPr>
        <w:t>«</w:t>
      </w:r>
      <w:r w:rsidR="00DA2F6D" w:rsidRPr="00282AC9">
        <w:rPr>
          <w:rFonts w:hint="cs"/>
          <w:sz w:val="27"/>
          <w:rtl/>
        </w:rPr>
        <w:t>حق</w:t>
      </w:r>
      <w:r w:rsidR="00690F51" w:rsidRPr="00282AC9">
        <w:rPr>
          <w:rFonts w:hint="cs"/>
          <w:sz w:val="27"/>
          <w:rtl/>
        </w:rPr>
        <w:t>ّ</w:t>
      </w:r>
      <w:r w:rsidR="00DA2F6D" w:rsidRPr="00282AC9">
        <w:rPr>
          <w:rFonts w:hint="cs"/>
          <w:sz w:val="27"/>
          <w:rtl/>
        </w:rPr>
        <w:t xml:space="preserve"> الطاعة</w:t>
      </w:r>
      <w:r w:rsidR="00DA2F6D" w:rsidRPr="00282AC9">
        <w:rPr>
          <w:rFonts w:hint="eastAsia"/>
          <w:sz w:val="24"/>
          <w:szCs w:val="24"/>
          <w:rtl/>
        </w:rPr>
        <w:t>»</w:t>
      </w:r>
      <w:r w:rsidR="00DA2F6D" w:rsidRPr="00282AC9">
        <w:rPr>
          <w:rFonts w:hint="cs"/>
          <w:sz w:val="27"/>
          <w:rtl/>
        </w:rPr>
        <w:t xml:space="preserve"> في ظرف الشك</w:t>
      </w:r>
      <w:r w:rsidR="00690F51" w:rsidRPr="00282AC9">
        <w:rPr>
          <w:rFonts w:hint="cs"/>
          <w:sz w:val="27"/>
          <w:rtl/>
        </w:rPr>
        <w:t>ّ</w:t>
      </w:r>
      <w:r w:rsidR="00DA2F6D" w:rsidRPr="00282AC9">
        <w:rPr>
          <w:rFonts w:hint="cs"/>
          <w:sz w:val="27"/>
          <w:rtl/>
        </w:rPr>
        <w:t xml:space="preserve">، </w:t>
      </w:r>
      <w:r w:rsidR="00690F51" w:rsidRPr="00282AC9">
        <w:rPr>
          <w:rFonts w:hint="cs"/>
          <w:sz w:val="27"/>
          <w:rtl/>
        </w:rPr>
        <w:t>أي إ</w:t>
      </w:r>
      <w:r w:rsidR="00DA2F6D" w:rsidRPr="00282AC9">
        <w:rPr>
          <w:rFonts w:hint="cs"/>
          <w:sz w:val="27"/>
          <w:rtl/>
        </w:rPr>
        <w:t>نه حت</w:t>
      </w:r>
      <w:r w:rsidR="00690F51" w:rsidRPr="00282AC9">
        <w:rPr>
          <w:rFonts w:hint="cs"/>
          <w:sz w:val="27"/>
          <w:rtl/>
        </w:rPr>
        <w:t>ّ</w:t>
      </w:r>
      <w:r w:rsidR="00DA2F6D" w:rsidRPr="00282AC9">
        <w:rPr>
          <w:rFonts w:hint="cs"/>
          <w:sz w:val="27"/>
          <w:rtl/>
        </w:rPr>
        <w:t>ى في ظرف احتمال التكليف يجب العمل بمضمون ما يثبته الاحتمال أيضاً.</w:t>
      </w:r>
    </w:p>
    <w:p w:rsidR="00DA2F6D" w:rsidRPr="00282AC9" w:rsidRDefault="00DA2F6D" w:rsidP="00F066C8">
      <w:pPr>
        <w:rPr>
          <w:sz w:val="27"/>
          <w:rtl/>
        </w:rPr>
      </w:pPr>
      <w:r w:rsidRPr="00282AC9">
        <w:rPr>
          <w:rFonts w:hint="cs"/>
          <w:sz w:val="27"/>
          <w:rtl/>
        </w:rPr>
        <w:t>وسوف نعمل في هذه المقالة على دراسة ومناقشة أقوال وكلمات السيد الشهيد الصدر وكلمات السيد الروحاني</w:t>
      </w:r>
      <w:r w:rsidR="00690F51" w:rsidRPr="00282AC9">
        <w:rPr>
          <w:rFonts w:hint="cs"/>
          <w:sz w:val="27"/>
          <w:rtl/>
        </w:rPr>
        <w:t>،</w:t>
      </w:r>
      <w:r w:rsidRPr="00282AC9">
        <w:rPr>
          <w:rFonts w:hint="cs"/>
          <w:sz w:val="27"/>
          <w:rtl/>
        </w:rPr>
        <w:t xml:space="preserve"> بشكل</w:t>
      </w:r>
      <w:r w:rsidR="00690F51" w:rsidRPr="00282AC9">
        <w:rPr>
          <w:rFonts w:hint="cs"/>
          <w:sz w:val="27"/>
          <w:rtl/>
        </w:rPr>
        <w:t>ٍ</w:t>
      </w:r>
      <w:r w:rsidRPr="00282AC9">
        <w:rPr>
          <w:rFonts w:hint="cs"/>
          <w:sz w:val="27"/>
          <w:rtl/>
        </w:rPr>
        <w:t xml:space="preserve"> مستقل</w:t>
      </w:r>
      <w:r w:rsidR="00690F51" w:rsidRPr="00282AC9">
        <w:rPr>
          <w:rFonts w:hint="cs"/>
          <w:sz w:val="27"/>
          <w:rtl/>
        </w:rPr>
        <w:t>ٍّ</w:t>
      </w:r>
      <w:r w:rsidRPr="00282AC9">
        <w:rPr>
          <w:rFonts w:hint="cs"/>
          <w:sz w:val="27"/>
          <w:rtl/>
        </w:rPr>
        <w:t>، ثم</w:t>
      </w:r>
      <w:r w:rsidR="00690F51" w:rsidRPr="00282AC9">
        <w:rPr>
          <w:rFonts w:hint="cs"/>
          <w:sz w:val="27"/>
          <w:rtl/>
        </w:rPr>
        <w:t>ّ</w:t>
      </w:r>
      <w:r w:rsidRPr="00282AC9">
        <w:rPr>
          <w:rFonts w:hint="cs"/>
          <w:sz w:val="27"/>
          <w:rtl/>
        </w:rPr>
        <w:t xml:space="preserve"> نذكر بعد ذلك التمايز النظري</w:t>
      </w:r>
      <w:r w:rsidR="00690F51" w:rsidRPr="00282AC9">
        <w:rPr>
          <w:rFonts w:hint="cs"/>
          <w:sz w:val="27"/>
          <w:rtl/>
        </w:rPr>
        <w:t>ّ</w:t>
      </w:r>
      <w:r w:rsidRPr="00282AC9">
        <w:rPr>
          <w:rFonts w:hint="cs"/>
          <w:sz w:val="27"/>
          <w:rtl/>
        </w:rPr>
        <w:t xml:space="preserve"> بينهما. وبذلك سيت</w:t>
      </w:r>
      <w:r w:rsidR="00690F51" w:rsidRPr="00282AC9">
        <w:rPr>
          <w:rFonts w:hint="cs"/>
          <w:sz w:val="27"/>
          <w:rtl/>
        </w:rPr>
        <w:t>ّ</w:t>
      </w:r>
      <w:r w:rsidRPr="00282AC9">
        <w:rPr>
          <w:rFonts w:hint="cs"/>
          <w:sz w:val="27"/>
          <w:rtl/>
        </w:rPr>
        <w:t>ضح بطلان تصوّ</w:t>
      </w:r>
      <w:r w:rsidR="00690F51" w:rsidRPr="00282AC9">
        <w:rPr>
          <w:rFonts w:hint="cs"/>
          <w:sz w:val="27"/>
          <w:rtl/>
        </w:rPr>
        <w:t>ُ</w:t>
      </w:r>
      <w:r w:rsidRPr="00282AC9">
        <w:rPr>
          <w:rFonts w:hint="cs"/>
          <w:sz w:val="27"/>
          <w:rtl/>
        </w:rPr>
        <w:t>ر بعض</w:t>
      </w:r>
      <w:r w:rsidR="00690F51" w:rsidRPr="00282AC9">
        <w:rPr>
          <w:rFonts w:hint="cs"/>
          <w:sz w:val="27"/>
          <w:rtl/>
        </w:rPr>
        <w:t>ٍ،</w:t>
      </w:r>
      <w:r w:rsidRPr="00282AC9">
        <w:rPr>
          <w:rFonts w:hint="cs"/>
          <w:sz w:val="27"/>
          <w:rtl/>
        </w:rPr>
        <w:t xml:space="preserve"> القائل بعدم وجود اختلاف جوهري</w:t>
      </w:r>
      <w:r w:rsidR="00690F51" w:rsidRPr="00282AC9">
        <w:rPr>
          <w:rFonts w:hint="cs"/>
          <w:sz w:val="27"/>
          <w:rtl/>
        </w:rPr>
        <w:t>ّ</w:t>
      </w:r>
      <w:r w:rsidRPr="00282AC9">
        <w:rPr>
          <w:rFonts w:hint="cs"/>
          <w:sz w:val="27"/>
          <w:rtl/>
        </w:rPr>
        <w:t xml:space="preserve"> بين هاتين النظري</w:t>
      </w:r>
      <w:r w:rsidR="00690F51" w:rsidRPr="00282AC9">
        <w:rPr>
          <w:rFonts w:hint="cs"/>
          <w:sz w:val="27"/>
          <w:rtl/>
        </w:rPr>
        <w:t>ّ</w:t>
      </w:r>
      <w:r w:rsidRPr="00282AC9">
        <w:rPr>
          <w:rFonts w:hint="cs"/>
          <w:sz w:val="27"/>
          <w:rtl/>
        </w:rPr>
        <w:t>تين؛ إذ سنثبت أن هاتين النظري</w:t>
      </w:r>
      <w:r w:rsidR="00690F51" w:rsidRPr="00282AC9">
        <w:rPr>
          <w:rFonts w:hint="cs"/>
          <w:sz w:val="27"/>
          <w:rtl/>
        </w:rPr>
        <w:t>ّ</w:t>
      </w:r>
      <w:r w:rsidRPr="00282AC9">
        <w:rPr>
          <w:rFonts w:hint="cs"/>
          <w:sz w:val="27"/>
          <w:rtl/>
        </w:rPr>
        <w:t>تين مختلفتان عن بعضهما</w:t>
      </w:r>
      <w:r w:rsidR="00690F51" w:rsidRPr="00282AC9">
        <w:rPr>
          <w:rFonts w:hint="cs"/>
          <w:sz w:val="27"/>
          <w:rtl/>
        </w:rPr>
        <w:t>،</w:t>
      </w:r>
      <w:r w:rsidRPr="00282AC9">
        <w:rPr>
          <w:rFonts w:hint="cs"/>
          <w:sz w:val="27"/>
          <w:rtl/>
        </w:rPr>
        <w:t xml:space="preserve"> في طريقة الاستدلال</w:t>
      </w:r>
      <w:r w:rsidR="00690F51" w:rsidRPr="00282AC9">
        <w:rPr>
          <w:rFonts w:hint="cs"/>
          <w:sz w:val="27"/>
          <w:rtl/>
        </w:rPr>
        <w:t>،</w:t>
      </w:r>
      <w:r w:rsidRPr="00282AC9">
        <w:rPr>
          <w:rFonts w:hint="cs"/>
          <w:sz w:val="27"/>
          <w:rtl/>
        </w:rPr>
        <w:t xml:space="preserve"> وفي استخلاص النتائج والثمار أيضاً.</w:t>
      </w:r>
    </w:p>
    <w:p w:rsidR="00DA2F6D" w:rsidRPr="00282AC9" w:rsidRDefault="006363F6" w:rsidP="00BD3176">
      <w:pPr>
        <w:pStyle w:val="31"/>
        <w:rPr>
          <w:color w:val="auto"/>
          <w:rtl/>
        </w:rPr>
      </w:pPr>
      <w:r w:rsidRPr="00282AC9">
        <w:rPr>
          <w:rFonts w:hint="cs"/>
          <w:color w:val="auto"/>
          <w:rtl/>
        </w:rPr>
        <w:lastRenderedPageBreak/>
        <w:t>أوّلاً:</w:t>
      </w:r>
      <w:r w:rsidR="00DA2F6D" w:rsidRPr="00282AC9">
        <w:rPr>
          <w:rFonts w:hint="cs"/>
          <w:color w:val="auto"/>
          <w:rtl/>
        </w:rPr>
        <w:t xml:space="preserve"> نظري</w:t>
      </w:r>
      <w:r w:rsidR="00690F51" w:rsidRPr="00282AC9">
        <w:rPr>
          <w:rFonts w:hint="cs"/>
          <w:color w:val="auto"/>
          <w:rtl/>
        </w:rPr>
        <w:t>ّ</w:t>
      </w:r>
      <w:r w:rsidR="00DA2F6D" w:rsidRPr="00282AC9">
        <w:rPr>
          <w:rFonts w:hint="cs"/>
          <w:color w:val="auto"/>
          <w:rtl/>
        </w:rPr>
        <w:t>ة السيد الروحاني</w:t>
      </w:r>
    </w:p>
    <w:p w:rsidR="00DA2F6D" w:rsidRPr="00282AC9" w:rsidRDefault="00DA2F6D" w:rsidP="00F066C8">
      <w:pPr>
        <w:spacing w:line="410" w:lineRule="exact"/>
        <w:rPr>
          <w:sz w:val="27"/>
          <w:rtl/>
        </w:rPr>
      </w:pPr>
      <w:r w:rsidRPr="00282AC9">
        <w:rPr>
          <w:rFonts w:hint="cs"/>
          <w:sz w:val="27"/>
          <w:rtl/>
        </w:rPr>
        <w:t>لقد أشار السيد الروحاني ـ قبل بيان رأيه في صحّة أو عدم صح</w:t>
      </w:r>
      <w:r w:rsidR="00690F51" w:rsidRPr="00282AC9">
        <w:rPr>
          <w:rFonts w:hint="cs"/>
          <w:sz w:val="27"/>
          <w:rtl/>
        </w:rPr>
        <w:t>ّ</w:t>
      </w:r>
      <w:r w:rsidRPr="00282AC9">
        <w:rPr>
          <w:rFonts w:hint="cs"/>
          <w:sz w:val="27"/>
          <w:rtl/>
        </w:rPr>
        <w:t xml:space="preserve">ة قاعدة </w:t>
      </w:r>
      <w:r w:rsidRPr="00282AC9">
        <w:rPr>
          <w:rFonts w:hint="eastAsia"/>
          <w:sz w:val="24"/>
          <w:szCs w:val="24"/>
          <w:rtl/>
        </w:rPr>
        <w:t>«</w:t>
      </w:r>
      <w:r w:rsidRPr="00282AC9">
        <w:rPr>
          <w:rFonts w:hint="cs"/>
          <w:sz w:val="27"/>
          <w:rtl/>
        </w:rPr>
        <w:t>قبح العقاب بلا بيان</w:t>
      </w:r>
      <w:r w:rsidR="00690F51" w:rsidRPr="00282AC9">
        <w:rPr>
          <w:rFonts w:hint="cs"/>
          <w:sz w:val="27"/>
          <w:rtl/>
        </w:rPr>
        <w:t>ٍ</w:t>
      </w:r>
      <w:r w:rsidRPr="00282AC9">
        <w:rPr>
          <w:rFonts w:hint="eastAsia"/>
          <w:sz w:val="24"/>
          <w:szCs w:val="24"/>
          <w:rtl/>
        </w:rPr>
        <w:t>»</w:t>
      </w:r>
      <w:r w:rsidRPr="00282AC9">
        <w:rPr>
          <w:rFonts w:hint="cs"/>
          <w:sz w:val="27"/>
          <w:rtl/>
        </w:rPr>
        <w:t xml:space="preserve"> ـ إلى مسلك</w:t>
      </w:r>
      <w:r w:rsidR="00690F51" w:rsidRPr="00282AC9">
        <w:rPr>
          <w:rFonts w:hint="cs"/>
          <w:sz w:val="27"/>
          <w:rtl/>
        </w:rPr>
        <w:t>َ</w:t>
      </w:r>
      <w:r w:rsidRPr="00282AC9">
        <w:rPr>
          <w:rFonts w:hint="cs"/>
          <w:sz w:val="27"/>
          <w:rtl/>
        </w:rPr>
        <w:t>ين في مفهوم الحُس</w:t>
      </w:r>
      <w:r w:rsidR="00690F51" w:rsidRPr="00282AC9">
        <w:rPr>
          <w:rFonts w:hint="cs"/>
          <w:sz w:val="27"/>
          <w:rtl/>
        </w:rPr>
        <w:t>ْ</w:t>
      </w:r>
      <w:r w:rsidRPr="00282AC9">
        <w:rPr>
          <w:rFonts w:hint="cs"/>
          <w:sz w:val="27"/>
          <w:rtl/>
        </w:rPr>
        <w:t>ن والق</w:t>
      </w:r>
      <w:r w:rsidR="00690F51" w:rsidRPr="00282AC9">
        <w:rPr>
          <w:rFonts w:hint="cs"/>
          <w:sz w:val="27"/>
          <w:rtl/>
        </w:rPr>
        <w:t>ُ</w:t>
      </w:r>
      <w:r w:rsidRPr="00282AC9">
        <w:rPr>
          <w:rFonts w:hint="cs"/>
          <w:sz w:val="27"/>
          <w:rtl/>
        </w:rPr>
        <w:t>ب</w:t>
      </w:r>
      <w:r w:rsidR="00690F51" w:rsidRPr="00282AC9">
        <w:rPr>
          <w:rFonts w:hint="cs"/>
          <w:sz w:val="27"/>
          <w:rtl/>
        </w:rPr>
        <w:t>ْ</w:t>
      </w:r>
      <w:r w:rsidRPr="00282AC9">
        <w:rPr>
          <w:rFonts w:hint="cs"/>
          <w:sz w:val="27"/>
          <w:rtl/>
        </w:rPr>
        <w:t>ح</w:t>
      </w:r>
      <w:r w:rsidR="00690F51" w:rsidRPr="00282AC9">
        <w:rPr>
          <w:rFonts w:hint="cs"/>
          <w:sz w:val="27"/>
          <w:rtl/>
        </w:rPr>
        <w:t>،</w:t>
      </w:r>
      <w:r w:rsidRPr="00282AC9">
        <w:rPr>
          <w:rFonts w:hint="cs"/>
          <w:sz w:val="27"/>
          <w:rtl/>
        </w:rPr>
        <w:t xml:space="preserve"> على سبيل المقدّمة.</w:t>
      </w:r>
    </w:p>
    <w:p w:rsidR="00DA2F6D" w:rsidRPr="00282AC9" w:rsidRDefault="00DA2F6D" w:rsidP="00F066C8">
      <w:pPr>
        <w:rPr>
          <w:sz w:val="27"/>
          <w:rtl/>
        </w:rPr>
      </w:pPr>
      <w:r w:rsidRPr="00282AC9">
        <w:rPr>
          <w:rFonts w:hint="cs"/>
          <w:sz w:val="27"/>
          <w:rtl/>
        </w:rPr>
        <w:t>قال: هناك مسلكان في الحُسْن والق</w:t>
      </w:r>
      <w:r w:rsidR="008E2B68" w:rsidRPr="00282AC9">
        <w:rPr>
          <w:rFonts w:hint="cs"/>
          <w:sz w:val="27"/>
          <w:rtl/>
        </w:rPr>
        <w:t>ُ</w:t>
      </w:r>
      <w:r w:rsidRPr="00282AC9">
        <w:rPr>
          <w:rFonts w:hint="cs"/>
          <w:sz w:val="27"/>
          <w:rtl/>
        </w:rPr>
        <w:t>ب</w:t>
      </w:r>
      <w:r w:rsidR="008E2B68" w:rsidRPr="00282AC9">
        <w:rPr>
          <w:rFonts w:hint="cs"/>
          <w:sz w:val="27"/>
          <w:rtl/>
        </w:rPr>
        <w:t>ْ</w:t>
      </w:r>
      <w:r w:rsidRPr="00282AC9">
        <w:rPr>
          <w:rFonts w:hint="cs"/>
          <w:sz w:val="27"/>
          <w:rtl/>
        </w:rPr>
        <w:t xml:space="preserve">ح، وهما: </w:t>
      </w:r>
    </w:p>
    <w:p w:rsidR="00DA2F6D" w:rsidRPr="00282AC9" w:rsidRDefault="008E2B68" w:rsidP="00F066C8">
      <w:pPr>
        <w:rPr>
          <w:sz w:val="27"/>
          <w:rtl/>
        </w:rPr>
      </w:pPr>
      <w:r w:rsidRPr="00282AC9">
        <w:rPr>
          <w:rFonts w:hint="cs"/>
          <w:b/>
          <w:bCs/>
          <w:sz w:val="27"/>
          <w:rtl/>
        </w:rPr>
        <w:t>المسلك الأوّل</w:t>
      </w:r>
      <w:r w:rsidRPr="00282AC9">
        <w:rPr>
          <w:rFonts w:hint="cs"/>
          <w:sz w:val="27"/>
          <w:rtl/>
        </w:rPr>
        <w:t xml:space="preserve">: </w:t>
      </w:r>
      <w:r w:rsidR="00DA2F6D" w:rsidRPr="00282AC9">
        <w:rPr>
          <w:rFonts w:hint="cs"/>
          <w:sz w:val="27"/>
          <w:rtl/>
        </w:rPr>
        <w:t>يذهب القائلون بهذا المسلك إلى الاعتقاد بأن الشأنية المتصوّ</w:t>
      </w:r>
      <w:r w:rsidRPr="00282AC9">
        <w:rPr>
          <w:rFonts w:hint="cs"/>
          <w:sz w:val="27"/>
          <w:rtl/>
        </w:rPr>
        <w:t>َ</w:t>
      </w:r>
      <w:r w:rsidR="00DA2F6D" w:rsidRPr="00282AC9">
        <w:rPr>
          <w:rFonts w:hint="cs"/>
          <w:sz w:val="27"/>
          <w:rtl/>
        </w:rPr>
        <w:t>رة للعقل</w:t>
      </w:r>
      <w:r w:rsidRPr="00282AC9">
        <w:rPr>
          <w:rFonts w:hint="cs"/>
          <w:sz w:val="27"/>
          <w:rtl/>
        </w:rPr>
        <w:t xml:space="preserve"> </w:t>
      </w:r>
      <w:r w:rsidR="00DA2F6D" w:rsidRPr="00282AC9">
        <w:rPr>
          <w:rFonts w:hint="cs"/>
          <w:sz w:val="27"/>
          <w:rtl/>
        </w:rPr>
        <w:t>هي شأنية الإدراك. وبعبارة</w:t>
      </w:r>
      <w:r w:rsidRPr="00282AC9">
        <w:rPr>
          <w:rFonts w:hint="cs"/>
          <w:sz w:val="27"/>
          <w:rtl/>
        </w:rPr>
        <w:t>ٍ</w:t>
      </w:r>
      <w:r w:rsidR="00DA2F6D" w:rsidRPr="00282AC9">
        <w:rPr>
          <w:rFonts w:hint="cs"/>
          <w:sz w:val="27"/>
          <w:rtl/>
        </w:rPr>
        <w:t xml:space="preserve"> أخرى: لا يمكن تصوّ</w:t>
      </w:r>
      <w:r w:rsidRPr="00282AC9">
        <w:rPr>
          <w:rFonts w:hint="cs"/>
          <w:sz w:val="27"/>
          <w:rtl/>
        </w:rPr>
        <w:t>ُ</w:t>
      </w:r>
      <w:r w:rsidR="00DA2F6D" w:rsidRPr="00282AC9">
        <w:rPr>
          <w:rFonts w:hint="cs"/>
          <w:sz w:val="27"/>
          <w:rtl/>
        </w:rPr>
        <w:t>ر حكم العقل على شيء</w:t>
      </w:r>
      <w:r w:rsidRPr="00282AC9">
        <w:rPr>
          <w:rFonts w:hint="cs"/>
          <w:sz w:val="27"/>
          <w:rtl/>
        </w:rPr>
        <w:t>ٍ</w:t>
      </w:r>
      <w:r w:rsidR="00DA2F6D" w:rsidRPr="00282AC9">
        <w:rPr>
          <w:rFonts w:hint="cs"/>
          <w:sz w:val="27"/>
          <w:rtl/>
        </w:rPr>
        <w:t>، بل إن شأن العقل هو مجرّ</w:t>
      </w:r>
      <w:r w:rsidRPr="00282AC9">
        <w:rPr>
          <w:rFonts w:hint="cs"/>
          <w:sz w:val="27"/>
          <w:rtl/>
        </w:rPr>
        <w:t>َ</w:t>
      </w:r>
      <w:r w:rsidR="00DA2F6D" w:rsidRPr="00282AC9">
        <w:rPr>
          <w:rFonts w:hint="cs"/>
          <w:sz w:val="27"/>
          <w:rtl/>
        </w:rPr>
        <w:t>د إدراك الأشياء بما يتطابق مع واقعي</w:t>
      </w:r>
      <w:r w:rsidRPr="00282AC9">
        <w:rPr>
          <w:rFonts w:hint="cs"/>
          <w:sz w:val="27"/>
          <w:rtl/>
        </w:rPr>
        <w:t>ّ</w:t>
      </w:r>
      <w:r w:rsidR="00DA2F6D" w:rsidRPr="00282AC9">
        <w:rPr>
          <w:rFonts w:hint="cs"/>
          <w:sz w:val="27"/>
          <w:rtl/>
        </w:rPr>
        <w:t>تها. وعليه</w:t>
      </w:r>
      <w:r w:rsidRPr="00282AC9">
        <w:rPr>
          <w:rFonts w:hint="cs"/>
          <w:sz w:val="27"/>
          <w:rtl/>
        </w:rPr>
        <w:t>،</w:t>
      </w:r>
      <w:r w:rsidR="00DA2F6D" w:rsidRPr="00282AC9">
        <w:rPr>
          <w:rFonts w:hint="cs"/>
          <w:sz w:val="27"/>
          <w:rtl/>
        </w:rPr>
        <w:t xml:space="preserve"> فإن الأحكام العقلية تعود إلى الأحكام العقلائي</w:t>
      </w:r>
      <w:r w:rsidRPr="00282AC9">
        <w:rPr>
          <w:rFonts w:hint="cs"/>
          <w:sz w:val="27"/>
          <w:rtl/>
        </w:rPr>
        <w:t>ّ</w:t>
      </w:r>
      <w:r w:rsidR="00DA2F6D" w:rsidRPr="00282AC9">
        <w:rPr>
          <w:rFonts w:hint="cs"/>
          <w:sz w:val="27"/>
          <w:rtl/>
        </w:rPr>
        <w:t>ة</w:t>
      </w:r>
      <w:r w:rsidRPr="00282AC9">
        <w:rPr>
          <w:rFonts w:hint="cs"/>
          <w:sz w:val="27"/>
          <w:rtl/>
        </w:rPr>
        <w:t>،</w:t>
      </w:r>
      <w:r w:rsidR="00DA2F6D" w:rsidRPr="00282AC9">
        <w:rPr>
          <w:rFonts w:hint="cs"/>
          <w:sz w:val="27"/>
          <w:rtl/>
        </w:rPr>
        <w:t xml:space="preserve"> التي أجمع عليها العقلاء</w:t>
      </w:r>
      <w:r w:rsidRPr="00282AC9">
        <w:rPr>
          <w:rFonts w:hint="cs"/>
          <w:sz w:val="27"/>
          <w:rtl/>
        </w:rPr>
        <w:t>،</w:t>
      </w:r>
      <w:r w:rsidR="00DA2F6D" w:rsidRPr="00282AC9">
        <w:rPr>
          <w:rFonts w:hint="cs"/>
          <w:sz w:val="27"/>
          <w:rtl/>
        </w:rPr>
        <w:t xml:space="preserve"> وات</w:t>
      </w:r>
      <w:r w:rsidRPr="00282AC9">
        <w:rPr>
          <w:rFonts w:hint="cs"/>
          <w:sz w:val="27"/>
          <w:rtl/>
        </w:rPr>
        <w:t>ّ</w:t>
      </w:r>
      <w:r w:rsidR="00DA2F6D" w:rsidRPr="00282AC9">
        <w:rPr>
          <w:rFonts w:hint="cs"/>
          <w:sz w:val="27"/>
          <w:rtl/>
        </w:rPr>
        <w:t>فق</w:t>
      </w:r>
      <w:r w:rsidRPr="00282AC9">
        <w:rPr>
          <w:rFonts w:hint="cs"/>
          <w:sz w:val="27"/>
          <w:rtl/>
        </w:rPr>
        <w:t>َ</w:t>
      </w:r>
      <w:r w:rsidR="00DA2F6D" w:rsidRPr="00282AC9">
        <w:rPr>
          <w:rFonts w:hint="cs"/>
          <w:sz w:val="27"/>
          <w:rtl/>
        </w:rPr>
        <w:t>ت</w:t>
      </w:r>
      <w:r w:rsidRPr="00282AC9">
        <w:rPr>
          <w:rFonts w:hint="cs"/>
          <w:sz w:val="27"/>
          <w:rtl/>
        </w:rPr>
        <w:t>ْ</w:t>
      </w:r>
      <w:r w:rsidR="00DA2F6D" w:rsidRPr="00282AC9">
        <w:rPr>
          <w:rFonts w:hint="cs"/>
          <w:sz w:val="27"/>
          <w:rtl/>
        </w:rPr>
        <w:t xml:space="preserve"> عليها كلمتهم</w:t>
      </w:r>
      <w:r w:rsidRPr="00282AC9">
        <w:rPr>
          <w:rFonts w:hint="cs"/>
          <w:sz w:val="27"/>
          <w:rtl/>
        </w:rPr>
        <w:t>؛</w:t>
      </w:r>
      <w:r w:rsidR="00DA2F6D" w:rsidRPr="00282AC9">
        <w:rPr>
          <w:rFonts w:hint="cs"/>
          <w:sz w:val="27"/>
          <w:rtl/>
        </w:rPr>
        <w:t xml:space="preserve"> من أجل الحفاظ على النوع من الفساد.</w:t>
      </w:r>
    </w:p>
    <w:p w:rsidR="00DA2F6D" w:rsidRPr="00282AC9" w:rsidRDefault="00DA2F6D" w:rsidP="00F066C8">
      <w:pPr>
        <w:rPr>
          <w:sz w:val="27"/>
          <w:rtl/>
        </w:rPr>
      </w:pPr>
      <w:r w:rsidRPr="00282AC9">
        <w:rPr>
          <w:rFonts w:hint="cs"/>
          <w:sz w:val="27"/>
          <w:rtl/>
        </w:rPr>
        <w:t>وعلى هذا المسلك ليس لحكم العقل بق</w:t>
      </w:r>
      <w:r w:rsidR="008E2B68" w:rsidRPr="00282AC9">
        <w:rPr>
          <w:rFonts w:hint="cs"/>
          <w:sz w:val="27"/>
          <w:rtl/>
        </w:rPr>
        <w:t>ُ</w:t>
      </w:r>
      <w:r w:rsidRPr="00282AC9">
        <w:rPr>
          <w:rFonts w:hint="cs"/>
          <w:sz w:val="27"/>
          <w:rtl/>
        </w:rPr>
        <w:t>ب</w:t>
      </w:r>
      <w:r w:rsidR="008E2B68" w:rsidRPr="00282AC9">
        <w:rPr>
          <w:rFonts w:hint="cs"/>
          <w:sz w:val="27"/>
          <w:rtl/>
        </w:rPr>
        <w:t>ْ</w:t>
      </w:r>
      <w:r w:rsidRPr="00282AC9">
        <w:rPr>
          <w:rFonts w:hint="cs"/>
          <w:sz w:val="27"/>
          <w:rtl/>
        </w:rPr>
        <w:t>ح العقاب بلا بيان من حقيقة</w:t>
      </w:r>
      <w:r w:rsidR="008E2B68" w:rsidRPr="00282AC9">
        <w:rPr>
          <w:rFonts w:hint="cs"/>
          <w:sz w:val="27"/>
          <w:rtl/>
        </w:rPr>
        <w:t>ٍ</w:t>
      </w:r>
      <w:r w:rsidRPr="00282AC9">
        <w:rPr>
          <w:rFonts w:hint="cs"/>
          <w:sz w:val="27"/>
          <w:rtl/>
        </w:rPr>
        <w:t xml:space="preserve"> غير ات</w:t>
      </w:r>
      <w:r w:rsidR="008E2B68" w:rsidRPr="00282AC9">
        <w:rPr>
          <w:rFonts w:hint="cs"/>
          <w:sz w:val="27"/>
          <w:rtl/>
        </w:rPr>
        <w:t>ّ</w:t>
      </w:r>
      <w:r w:rsidRPr="00282AC9">
        <w:rPr>
          <w:rFonts w:hint="cs"/>
          <w:sz w:val="27"/>
          <w:rtl/>
        </w:rPr>
        <w:t>فاق رأي العقلاء على ذلك، وأن الشارع</w:t>
      </w:r>
      <w:r w:rsidR="008E2B68" w:rsidRPr="00282AC9">
        <w:rPr>
          <w:rFonts w:hint="cs"/>
          <w:sz w:val="27"/>
          <w:rtl/>
        </w:rPr>
        <w:t>؛</w:t>
      </w:r>
      <w:r w:rsidRPr="00282AC9">
        <w:rPr>
          <w:rFonts w:hint="cs"/>
          <w:sz w:val="27"/>
          <w:rtl/>
        </w:rPr>
        <w:t xml:space="preserve"> بوصفه رئيس العقلاء، يوافقهم على هذا الات</w:t>
      </w:r>
      <w:r w:rsidR="008E2B68" w:rsidRPr="00282AC9">
        <w:rPr>
          <w:rFonts w:hint="cs"/>
          <w:sz w:val="27"/>
          <w:rtl/>
        </w:rPr>
        <w:t>ّ</w:t>
      </w:r>
      <w:r w:rsidRPr="00282AC9">
        <w:rPr>
          <w:rFonts w:hint="cs"/>
          <w:sz w:val="27"/>
          <w:rtl/>
        </w:rPr>
        <w:t>فاق.</w:t>
      </w:r>
    </w:p>
    <w:p w:rsidR="00DA2F6D" w:rsidRPr="00282AC9" w:rsidRDefault="008E2B68" w:rsidP="00F066C8">
      <w:pPr>
        <w:rPr>
          <w:sz w:val="27"/>
          <w:rtl/>
        </w:rPr>
      </w:pPr>
      <w:r w:rsidRPr="00282AC9">
        <w:rPr>
          <w:rFonts w:hint="cs"/>
          <w:b/>
          <w:bCs/>
          <w:sz w:val="27"/>
          <w:rtl/>
        </w:rPr>
        <w:t>المسلك الثاني</w:t>
      </w:r>
      <w:r w:rsidRPr="00282AC9">
        <w:rPr>
          <w:rFonts w:hint="cs"/>
          <w:sz w:val="27"/>
          <w:rtl/>
        </w:rPr>
        <w:t xml:space="preserve">: </w:t>
      </w:r>
      <w:r w:rsidR="00DA2F6D" w:rsidRPr="00282AC9">
        <w:rPr>
          <w:rFonts w:hint="cs"/>
          <w:sz w:val="27"/>
          <w:rtl/>
        </w:rPr>
        <w:t>يعمل القائلون بالمسلك الثاني على تحليل حكم العقل بالحُس</w:t>
      </w:r>
      <w:r w:rsidRPr="00282AC9">
        <w:rPr>
          <w:rFonts w:hint="cs"/>
          <w:sz w:val="27"/>
          <w:rtl/>
        </w:rPr>
        <w:t>ْ</w:t>
      </w:r>
      <w:r w:rsidR="00DA2F6D" w:rsidRPr="00282AC9">
        <w:rPr>
          <w:rFonts w:hint="cs"/>
          <w:sz w:val="27"/>
          <w:rtl/>
        </w:rPr>
        <w:t>ن والق</w:t>
      </w:r>
      <w:r w:rsidRPr="00282AC9">
        <w:rPr>
          <w:rFonts w:hint="cs"/>
          <w:sz w:val="27"/>
          <w:rtl/>
        </w:rPr>
        <w:t>ُ</w:t>
      </w:r>
      <w:r w:rsidR="00DA2F6D" w:rsidRPr="00282AC9">
        <w:rPr>
          <w:rFonts w:hint="cs"/>
          <w:sz w:val="27"/>
          <w:rtl/>
        </w:rPr>
        <w:t>ب</w:t>
      </w:r>
      <w:r w:rsidRPr="00282AC9">
        <w:rPr>
          <w:rFonts w:hint="cs"/>
          <w:sz w:val="27"/>
          <w:rtl/>
        </w:rPr>
        <w:t>ْ</w:t>
      </w:r>
      <w:r w:rsidR="00DA2F6D" w:rsidRPr="00282AC9">
        <w:rPr>
          <w:rFonts w:hint="cs"/>
          <w:sz w:val="27"/>
          <w:rtl/>
        </w:rPr>
        <w:t>ح من طريق ملاءمته وتنافره مع القوّة العاقلة، ببيان قولهم</w:t>
      </w:r>
      <w:r w:rsidRPr="00282AC9">
        <w:rPr>
          <w:rFonts w:hint="cs"/>
          <w:sz w:val="27"/>
          <w:rtl/>
        </w:rPr>
        <w:t>:</w:t>
      </w:r>
      <w:r w:rsidR="00DA2F6D" w:rsidRPr="00282AC9">
        <w:rPr>
          <w:rFonts w:hint="cs"/>
          <w:sz w:val="27"/>
          <w:rtl/>
        </w:rPr>
        <w:t xml:space="preserve"> إن المراد من حكم العقل بالحُس</w:t>
      </w:r>
      <w:r w:rsidR="004418EA" w:rsidRPr="00282AC9">
        <w:rPr>
          <w:rFonts w:hint="cs"/>
          <w:sz w:val="27"/>
          <w:rtl/>
        </w:rPr>
        <w:t>ْ</w:t>
      </w:r>
      <w:r w:rsidR="00DA2F6D" w:rsidRPr="00282AC9">
        <w:rPr>
          <w:rFonts w:hint="cs"/>
          <w:sz w:val="27"/>
          <w:rtl/>
        </w:rPr>
        <w:t>ن والق</w:t>
      </w:r>
      <w:r w:rsidR="004418EA" w:rsidRPr="00282AC9">
        <w:rPr>
          <w:rFonts w:hint="cs"/>
          <w:sz w:val="27"/>
          <w:rtl/>
        </w:rPr>
        <w:t>ُ</w:t>
      </w:r>
      <w:r w:rsidR="00DA2F6D" w:rsidRPr="00282AC9">
        <w:rPr>
          <w:rFonts w:hint="cs"/>
          <w:sz w:val="27"/>
          <w:rtl/>
        </w:rPr>
        <w:t>ب</w:t>
      </w:r>
      <w:r w:rsidR="004418EA" w:rsidRPr="00282AC9">
        <w:rPr>
          <w:rFonts w:hint="cs"/>
          <w:sz w:val="27"/>
          <w:rtl/>
        </w:rPr>
        <w:t>ْ</w:t>
      </w:r>
      <w:r w:rsidR="00DA2F6D" w:rsidRPr="00282AC9">
        <w:rPr>
          <w:rFonts w:hint="cs"/>
          <w:sz w:val="27"/>
          <w:rtl/>
        </w:rPr>
        <w:t>ح هو ملاءمة الشيء مع القو</w:t>
      </w:r>
      <w:r w:rsidR="004418EA" w:rsidRPr="00282AC9">
        <w:rPr>
          <w:rFonts w:hint="cs"/>
          <w:sz w:val="27"/>
          <w:rtl/>
        </w:rPr>
        <w:t>ّ</w:t>
      </w:r>
      <w:r w:rsidR="00DA2F6D" w:rsidRPr="00282AC9">
        <w:rPr>
          <w:rFonts w:hint="cs"/>
          <w:sz w:val="27"/>
          <w:rtl/>
        </w:rPr>
        <w:t>ة العاقلة</w:t>
      </w:r>
      <w:r w:rsidR="004418EA" w:rsidRPr="00282AC9">
        <w:rPr>
          <w:rFonts w:hint="cs"/>
          <w:sz w:val="27"/>
          <w:rtl/>
        </w:rPr>
        <w:t>،</w:t>
      </w:r>
      <w:r w:rsidR="00DA2F6D" w:rsidRPr="00282AC9">
        <w:rPr>
          <w:rFonts w:hint="cs"/>
          <w:sz w:val="27"/>
          <w:rtl/>
        </w:rPr>
        <w:t xml:space="preserve"> ونفرته من القوّة العاقلة أيضاً</w:t>
      </w:r>
      <w:r w:rsidR="004418EA" w:rsidRPr="00282AC9">
        <w:rPr>
          <w:rFonts w:hint="cs"/>
          <w:sz w:val="27"/>
          <w:rtl/>
        </w:rPr>
        <w:t xml:space="preserve">، </w:t>
      </w:r>
      <w:r w:rsidR="00DA2F6D" w:rsidRPr="00282AC9">
        <w:rPr>
          <w:rFonts w:hint="cs"/>
          <w:sz w:val="27"/>
          <w:rtl/>
        </w:rPr>
        <w:t>بمعنى أن الشيء إذا كان متلائماً مع القوّة العاقلة فإن العقل يحكم بحُس</w:t>
      </w:r>
      <w:r w:rsidR="004418EA" w:rsidRPr="00282AC9">
        <w:rPr>
          <w:rFonts w:hint="cs"/>
          <w:sz w:val="27"/>
          <w:rtl/>
        </w:rPr>
        <w:t>ْ</w:t>
      </w:r>
      <w:r w:rsidR="00DA2F6D" w:rsidRPr="00282AC9">
        <w:rPr>
          <w:rFonts w:hint="cs"/>
          <w:sz w:val="27"/>
          <w:rtl/>
        </w:rPr>
        <w:t>نه، وإن</w:t>
      </w:r>
      <w:r w:rsidR="004418EA" w:rsidRPr="00282AC9">
        <w:rPr>
          <w:rFonts w:hint="cs"/>
          <w:sz w:val="27"/>
          <w:rtl/>
        </w:rPr>
        <w:t>ْ</w:t>
      </w:r>
      <w:r w:rsidR="00DA2F6D" w:rsidRPr="00282AC9">
        <w:rPr>
          <w:rFonts w:hint="cs"/>
          <w:sz w:val="27"/>
          <w:rtl/>
        </w:rPr>
        <w:t xml:space="preserve"> كان متنافراً مع القو</w:t>
      </w:r>
      <w:r w:rsidR="004418EA" w:rsidRPr="00282AC9">
        <w:rPr>
          <w:rFonts w:hint="cs"/>
          <w:sz w:val="27"/>
          <w:rtl/>
        </w:rPr>
        <w:t>ّ</w:t>
      </w:r>
      <w:r w:rsidR="00DA2F6D" w:rsidRPr="00282AC9">
        <w:rPr>
          <w:rFonts w:hint="cs"/>
          <w:sz w:val="27"/>
          <w:rtl/>
        </w:rPr>
        <w:t>ة العاقلة حكم العقل بق</w:t>
      </w:r>
      <w:r w:rsidR="004418EA" w:rsidRPr="00282AC9">
        <w:rPr>
          <w:rFonts w:hint="cs"/>
          <w:sz w:val="27"/>
          <w:rtl/>
        </w:rPr>
        <w:t>ُ</w:t>
      </w:r>
      <w:r w:rsidR="00DA2F6D" w:rsidRPr="00282AC9">
        <w:rPr>
          <w:rFonts w:hint="cs"/>
          <w:sz w:val="27"/>
          <w:rtl/>
        </w:rPr>
        <w:t>ب</w:t>
      </w:r>
      <w:r w:rsidR="004418EA" w:rsidRPr="00282AC9">
        <w:rPr>
          <w:rFonts w:hint="cs"/>
          <w:sz w:val="27"/>
          <w:rtl/>
        </w:rPr>
        <w:t>ْ</w:t>
      </w:r>
      <w:r w:rsidR="00DA2F6D" w:rsidRPr="00282AC9">
        <w:rPr>
          <w:rFonts w:hint="cs"/>
          <w:sz w:val="27"/>
          <w:rtl/>
        </w:rPr>
        <w:t>حه</w:t>
      </w:r>
      <w:r w:rsidR="004418EA" w:rsidRPr="00282AC9">
        <w:rPr>
          <w:rFonts w:hint="cs"/>
          <w:sz w:val="27"/>
          <w:rtl/>
        </w:rPr>
        <w:t xml:space="preserve">؛ </w:t>
      </w:r>
      <w:r w:rsidR="00DA2F6D" w:rsidRPr="00282AC9">
        <w:rPr>
          <w:rFonts w:hint="cs"/>
          <w:sz w:val="27"/>
          <w:rtl/>
        </w:rPr>
        <w:t>والدليل على ذلك أن الفرد يمتلك العديد من الق</w:t>
      </w:r>
      <w:r w:rsidR="004418EA" w:rsidRPr="00282AC9">
        <w:rPr>
          <w:rFonts w:hint="cs"/>
          <w:sz w:val="27"/>
          <w:rtl/>
        </w:rPr>
        <w:t>ِ</w:t>
      </w:r>
      <w:r w:rsidR="00DA2F6D" w:rsidRPr="00282AC9">
        <w:rPr>
          <w:rFonts w:hint="cs"/>
          <w:sz w:val="27"/>
          <w:rtl/>
        </w:rPr>
        <w:t>و</w:t>
      </w:r>
      <w:r w:rsidR="004418EA" w:rsidRPr="00282AC9">
        <w:rPr>
          <w:rFonts w:hint="cs"/>
          <w:sz w:val="27"/>
          <w:rtl/>
        </w:rPr>
        <w:t>َ</w:t>
      </w:r>
      <w:r w:rsidR="00DA2F6D" w:rsidRPr="00282AC9">
        <w:rPr>
          <w:rFonts w:hint="cs"/>
          <w:sz w:val="27"/>
          <w:rtl/>
        </w:rPr>
        <w:t>ى، من قبيل</w:t>
      </w:r>
      <w:r w:rsidR="004418EA" w:rsidRPr="00282AC9">
        <w:rPr>
          <w:rFonts w:hint="cs"/>
          <w:sz w:val="27"/>
          <w:rtl/>
        </w:rPr>
        <w:t>:</w:t>
      </w:r>
      <w:r w:rsidR="00DA2F6D" w:rsidRPr="00282AC9">
        <w:rPr>
          <w:rFonts w:hint="cs"/>
          <w:sz w:val="27"/>
          <w:rtl/>
        </w:rPr>
        <w:t xml:space="preserve"> القوّة الباصرة، والذائقة، واللامسة</w:t>
      </w:r>
      <w:r w:rsidR="004418EA" w:rsidRPr="00282AC9">
        <w:rPr>
          <w:rFonts w:hint="cs"/>
          <w:sz w:val="27"/>
          <w:rtl/>
        </w:rPr>
        <w:t>،</w:t>
      </w:r>
      <w:r w:rsidR="00DA2F6D" w:rsidRPr="00282AC9">
        <w:rPr>
          <w:rFonts w:hint="cs"/>
          <w:sz w:val="27"/>
          <w:rtl/>
        </w:rPr>
        <w:t xml:space="preserve"> وما إلى ذلك، وإن من بين هذه الموارد القوّة العاقلة. وعليه</w:t>
      </w:r>
      <w:r w:rsidR="004418EA" w:rsidRPr="00282AC9">
        <w:rPr>
          <w:rFonts w:hint="cs"/>
          <w:sz w:val="27"/>
          <w:rtl/>
        </w:rPr>
        <w:t>،</w:t>
      </w:r>
      <w:r w:rsidR="00DA2F6D" w:rsidRPr="00282AC9">
        <w:rPr>
          <w:rFonts w:hint="cs"/>
          <w:sz w:val="27"/>
          <w:rtl/>
        </w:rPr>
        <w:t xml:space="preserve"> كما توجد لكل</w:t>
      </w:r>
      <w:r w:rsidR="004418EA" w:rsidRPr="00282AC9">
        <w:rPr>
          <w:rFonts w:hint="cs"/>
          <w:sz w:val="27"/>
          <w:rtl/>
        </w:rPr>
        <w:t>ّ</w:t>
      </w:r>
      <w:r w:rsidR="00DA2F6D" w:rsidRPr="00282AC9">
        <w:rPr>
          <w:rFonts w:hint="cs"/>
          <w:sz w:val="27"/>
          <w:rtl/>
        </w:rPr>
        <w:t xml:space="preserve"> واحد</w:t>
      </w:r>
      <w:r w:rsidR="004418EA" w:rsidRPr="00282AC9">
        <w:rPr>
          <w:rFonts w:hint="cs"/>
          <w:sz w:val="27"/>
          <w:rtl/>
        </w:rPr>
        <w:t>ٍ</w:t>
      </w:r>
      <w:r w:rsidR="00DA2F6D" w:rsidRPr="00282AC9">
        <w:rPr>
          <w:rFonts w:hint="cs"/>
          <w:sz w:val="27"/>
          <w:rtl/>
        </w:rPr>
        <w:t xml:space="preserve"> من هذه القوى والحواس ما يلائمها وما يتنافر معها ـ كما في النعومة التي تلائم اللمس، والخشونة التي تتنافر معها ـ كذلك هناك للقو</w:t>
      </w:r>
      <w:r w:rsidR="004418EA" w:rsidRPr="00282AC9">
        <w:rPr>
          <w:rFonts w:hint="cs"/>
          <w:sz w:val="27"/>
          <w:rtl/>
        </w:rPr>
        <w:t>ّ</w:t>
      </w:r>
      <w:r w:rsidR="00DA2F6D" w:rsidRPr="00282AC9">
        <w:rPr>
          <w:rFonts w:hint="cs"/>
          <w:sz w:val="27"/>
          <w:rtl/>
        </w:rPr>
        <w:t>ة العاقلة ما يلائمها وما يتنافر معها أيضاً، فكل</w:t>
      </w:r>
      <w:r w:rsidR="004418EA" w:rsidRPr="00282AC9">
        <w:rPr>
          <w:rFonts w:hint="cs"/>
          <w:sz w:val="27"/>
          <w:rtl/>
        </w:rPr>
        <w:t>ّ</w:t>
      </w:r>
      <w:r w:rsidR="00DA2F6D" w:rsidRPr="00282AC9">
        <w:rPr>
          <w:rFonts w:hint="cs"/>
          <w:sz w:val="27"/>
          <w:rtl/>
        </w:rPr>
        <w:t xml:space="preserve"> ما يتلائم مع القوّة العاقلة ح</w:t>
      </w:r>
      <w:r w:rsidR="004418EA" w:rsidRPr="00282AC9">
        <w:rPr>
          <w:rFonts w:hint="cs"/>
          <w:sz w:val="27"/>
          <w:rtl/>
        </w:rPr>
        <w:t>َ</w:t>
      </w:r>
      <w:r w:rsidR="00DA2F6D" w:rsidRPr="00282AC9">
        <w:rPr>
          <w:rFonts w:hint="cs"/>
          <w:sz w:val="27"/>
          <w:rtl/>
        </w:rPr>
        <w:t>س</w:t>
      </w:r>
      <w:r w:rsidR="004418EA" w:rsidRPr="00282AC9">
        <w:rPr>
          <w:rFonts w:hint="cs"/>
          <w:sz w:val="27"/>
          <w:rtl/>
        </w:rPr>
        <w:t>َ</w:t>
      </w:r>
      <w:r w:rsidR="00DA2F6D" w:rsidRPr="00282AC9">
        <w:rPr>
          <w:rFonts w:hint="cs"/>
          <w:sz w:val="27"/>
          <w:rtl/>
        </w:rPr>
        <w:t>ن</w:t>
      </w:r>
      <w:r w:rsidR="004418EA" w:rsidRPr="00282AC9">
        <w:rPr>
          <w:rFonts w:hint="cs"/>
          <w:sz w:val="27"/>
          <w:rtl/>
        </w:rPr>
        <w:t>ٌ</w:t>
      </w:r>
      <w:r w:rsidR="00DA2F6D" w:rsidRPr="00282AC9">
        <w:rPr>
          <w:rFonts w:hint="cs"/>
          <w:sz w:val="27"/>
          <w:rtl/>
        </w:rPr>
        <w:t>، وكل</w:t>
      </w:r>
      <w:r w:rsidR="004418EA" w:rsidRPr="00282AC9">
        <w:rPr>
          <w:rFonts w:hint="cs"/>
          <w:sz w:val="27"/>
          <w:rtl/>
        </w:rPr>
        <w:t>ُّ</w:t>
      </w:r>
      <w:r w:rsidR="00DA2F6D" w:rsidRPr="00282AC9">
        <w:rPr>
          <w:rFonts w:hint="cs"/>
          <w:sz w:val="27"/>
          <w:rtl/>
        </w:rPr>
        <w:t xml:space="preserve"> ما يتنافر معها قبيح</w:t>
      </w:r>
      <w:r w:rsidR="004418EA" w:rsidRPr="00282AC9">
        <w:rPr>
          <w:rFonts w:hint="cs"/>
          <w:sz w:val="27"/>
          <w:rtl/>
        </w:rPr>
        <w:t>ٌ</w:t>
      </w:r>
      <w:r w:rsidR="00DA2F6D" w:rsidRPr="00282AC9">
        <w:rPr>
          <w:rFonts w:hint="cs"/>
          <w:sz w:val="27"/>
          <w:rtl/>
        </w:rPr>
        <w:t>.</w:t>
      </w:r>
    </w:p>
    <w:p w:rsidR="00DA2F6D" w:rsidRPr="00282AC9" w:rsidRDefault="00DA2F6D" w:rsidP="00F066C8">
      <w:pPr>
        <w:rPr>
          <w:sz w:val="27"/>
          <w:rtl/>
        </w:rPr>
      </w:pPr>
      <w:r w:rsidRPr="00282AC9">
        <w:rPr>
          <w:rFonts w:hint="cs"/>
          <w:sz w:val="27"/>
          <w:rtl/>
        </w:rPr>
        <w:t>وعلى هذا الأساس، فإن حكم العقل بق</w:t>
      </w:r>
      <w:r w:rsidR="004418EA" w:rsidRPr="00282AC9">
        <w:rPr>
          <w:rFonts w:hint="cs"/>
          <w:sz w:val="27"/>
          <w:rtl/>
        </w:rPr>
        <w:t>ُ</w:t>
      </w:r>
      <w:r w:rsidRPr="00282AC9">
        <w:rPr>
          <w:rFonts w:hint="cs"/>
          <w:sz w:val="27"/>
          <w:rtl/>
        </w:rPr>
        <w:t>ب</w:t>
      </w:r>
      <w:r w:rsidR="004418EA" w:rsidRPr="00282AC9">
        <w:rPr>
          <w:rFonts w:hint="cs"/>
          <w:sz w:val="27"/>
          <w:rtl/>
        </w:rPr>
        <w:t>ْ</w:t>
      </w:r>
      <w:r w:rsidRPr="00282AC9">
        <w:rPr>
          <w:rFonts w:hint="cs"/>
          <w:sz w:val="27"/>
          <w:rtl/>
        </w:rPr>
        <w:t>ح العقاب بلا بيان</w:t>
      </w:r>
      <w:r w:rsidR="004418EA" w:rsidRPr="00282AC9">
        <w:rPr>
          <w:rFonts w:hint="cs"/>
          <w:sz w:val="27"/>
          <w:rtl/>
        </w:rPr>
        <w:t>ٍ</w:t>
      </w:r>
      <w:r w:rsidRPr="00282AC9">
        <w:rPr>
          <w:rFonts w:hint="cs"/>
          <w:sz w:val="27"/>
          <w:rtl/>
        </w:rPr>
        <w:t xml:space="preserve"> في هذا المسلك يعود إلى منافرة العقاب بلا حج</w:t>
      </w:r>
      <w:r w:rsidR="004418EA" w:rsidRPr="00282AC9">
        <w:rPr>
          <w:rFonts w:hint="cs"/>
          <w:sz w:val="27"/>
          <w:rtl/>
        </w:rPr>
        <w:t>ّ</w:t>
      </w:r>
      <w:r w:rsidRPr="00282AC9">
        <w:rPr>
          <w:rFonts w:hint="cs"/>
          <w:sz w:val="27"/>
          <w:rtl/>
        </w:rPr>
        <w:t>ة</w:t>
      </w:r>
      <w:r w:rsidR="004418EA" w:rsidRPr="00282AC9">
        <w:rPr>
          <w:rFonts w:hint="cs"/>
          <w:sz w:val="27"/>
          <w:rtl/>
        </w:rPr>
        <w:t>ٍ</w:t>
      </w:r>
      <w:r w:rsidRPr="00282AC9">
        <w:rPr>
          <w:rFonts w:hint="cs"/>
          <w:sz w:val="27"/>
          <w:rtl/>
        </w:rPr>
        <w:t xml:space="preserve"> مع القوّة العاقلة</w:t>
      </w:r>
      <w:r w:rsidR="004418EA" w:rsidRPr="00282AC9">
        <w:rPr>
          <w:rFonts w:hint="cs"/>
          <w:sz w:val="27"/>
          <w:rtl/>
        </w:rPr>
        <w:t>،</w:t>
      </w:r>
      <w:r w:rsidRPr="00282AC9">
        <w:rPr>
          <w:rFonts w:hint="cs"/>
          <w:sz w:val="27"/>
          <w:rtl/>
        </w:rPr>
        <w:t xml:space="preserve"> </w:t>
      </w:r>
      <w:r w:rsidR="004418EA" w:rsidRPr="00282AC9">
        <w:rPr>
          <w:rFonts w:hint="cs"/>
          <w:sz w:val="27"/>
          <w:rtl/>
        </w:rPr>
        <w:t xml:space="preserve">أي </w:t>
      </w:r>
      <w:r w:rsidR="0070620E" w:rsidRPr="00282AC9">
        <w:rPr>
          <w:rFonts w:hint="cs"/>
          <w:sz w:val="27"/>
          <w:rtl/>
        </w:rPr>
        <w:t>حين</w:t>
      </w:r>
      <w:r w:rsidRPr="00282AC9">
        <w:rPr>
          <w:rFonts w:hint="cs"/>
          <w:sz w:val="27"/>
          <w:rtl/>
        </w:rPr>
        <w:t xml:space="preserve"> يكون العقاب على</w:t>
      </w:r>
      <w:r w:rsidRPr="00282AC9">
        <w:rPr>
          <w:sz w:val="27"/>
          <w:rtl/>
        </w:rPr>
        <w:t xml:space="preserve"> مخالفة أمر</w:t>
      </w:r>
      <w:r w:rsidR="004418EA" w:rsidRPr="00282AC9">
        <w:rPr>
          <w:rFonts w:hint="cs"/>
          <w:sz w:val="27"/>
          <w:rtl/>
        </w:rPr>
        <w:t>ٍ</w:t>
      </w:r>
      <w:r w:rsidRPr="00282AC9">
        <w:rPr>
          <w:rFonts w:hint="cs"/>
          <w:sz w:val="27"/>
          <w:rtl/>
        </w:rPr>
        <w:t xml:space="preserve"> </w:t>
      </w:r>
      <w:r w:rsidRPr="00282AC9">
        <w:rPr>
          <w:sz w:val="27"/>
          <w:rtl/>
        </w:rPr>
        <w:t>لم تق</w:t>
      </w:r>
      <w:r w:rsidR="004418EA" w:rsidRPr="00282AC9">
        <w:rPr>
          <w:rFonts w:hint="cs"/>
          <w:sz w:val="27"/>
          <w:rtl/>
        </w:rPr>
        <w:t>ُ</w:t>
      </w:r>
      <w:r w:rsidRPr="00282AC9">
        <w:rPr>
          <w:sz w:val="27"/>
          <w:rtl/>
        </w:rPr>
        <w:t>م</w:t>
      </w:r>
      <w:r w:rsidR="004418EA" w:rsidRPr="00282AC9">
        <w:rPr>
          <w:rFonts w:hint="cs"/>
          <w:sz w:val="27"/>
          <w:rtl/>
        </w:rPr>
        <w:t>ْ</w:t>
      </w:r>
      <w:r w:rsidRPr="00282AC9">
        <w:rPr>
          <w:rFonts w:hint="cs"/>
          <w:sz w:val="27"/>
          <w:rtl/>
        </w:rPr>
        <w:t xml:space="preserve"> عليه</w:t>
      </w:r>
      <w:r w:rsidRPr="00282AC9">
        <w:rPr>
          <w:sz w:val="27"/>
          <w:rtl/>
        </w:rPr>
        <w:t xml:space="preserve"> </w:t>
      </w:r>
      <w:r w:rsidRPr="00282AC9">
        <w:rPr>
          <w:rFonts w:hint="cs"/>
          <w:sz w:val="27"/>
          <w:rtl/>
        </w:rPr>
        <w:t>ال</w:t>
      </w:r>
      <w:r w:rsidRPr="00282AC9">
        <w:rPr>
          <w:sz w:val="27"/>
          <w:rtl/>
        </w:rPr>
        <w:t>حج</w:t>
      </w:r>
      <w:r w:rsidR="004418EA" w:rsidRPr="00282AC9">
        <w:rPr>
          <w:rFonts w:hint="cs"/>
          <w:sz w:val="27"/>
          <w:rtl/>
        </w:rPr>
        <w:t>ّ</w:t>
      </w:r>
      <w:r w:rsidRPr="00282AC9">
        <w:rPr>
          <w:sz w:val="27"/>
          <w:rtl/>
        </w:rPr>
        <w:t>ة</w:t>
      </w:r>
      <w:r w:rsidR="0070620E" w:rsidRPr="00282AC9">
        <w:rPr>
          <w:rFonts w:hint="cs"/>
          <w:sz w:val="27"/>
          <w:rtl/>
        </w:rPr>
        <w:t xml:space="preserve"> يكون</w:t>
      </w:r>
      <w:r w:rsidRPr="00282AC9">
        <w:rPr>
          <w:rFonts w:hint="cs"/>
          <w:sz w:val="27"/>
          <w:rtl/>
        </w:rPr>
        <w:t xml:space="preserve"> هذا العقاب متنافراً مع القوّة العاقلة، فالعقل لا يرتضيه؛ فيكون هذا العقاب قبيحاً.</w:t>
      </w:r>
    </w:p>
    <w:p w:rsidR="0070620E" w:rsidRPr="00282AC9" w:rsidRDefault="00DA2F6D" w:rsidP="00F066C8">
      <w:pPr>
        <w:rPr>
          <w:sz w:val="27"/>
          <w:rtl/>
        </w:rPr>
      </w:pPr>
      <w:r w:rsidRPr="00282AC9">
        <w:rPr>
          <w:rFonts w:hint="cs"/>
          <w:sz w:val="27"/>
          <w:rtl/>
        </w:rPr>
        <w:t>والآن يظهر الاختلاف بين هذين المسلكين</w:t>
      </w:r>
      <w:r w:rsidR="0070620E" w:rsidRPr="00282AC9">
        <w:rPr>
          <w:rFonts w:hint="cs"/>
          <w:sz w:val="27"/>
          <w:rtl/>
        </w:rPr>
        <w:t>،</w:t>
      </w:r>
      <w:r w:rsidRPr="00282AC9">
        <w:rPr>
          <w:rFonts w:hint="cs"/>
          <w:sz w:val="27"/>
          <w:rtl/>
        </w:rPr>
        <w:t xml:space="preserve"> حيث نشك</w:t>
      </w:r>
      <w:r w:rsidR="0070620E" w:rsidRPr="00282AC9">
        <w:rPr>
          <w:rFonts w:hint="cs"/>
          <w:sz w:val="27"/>
          <w:rtl/>
        </w:rPr>
        <w:t>ّ</w:t>
      </w:r>
      <w:r w:rsidRPr="00282AC9">
        <w:rPr>
          <w:rFonts w:hint="cs"/>
          <w:sz w:val="27"/>
          <w:rtl/>
        </w:rPr>
        <w:t xml:space="preserve"> في شيء</w:t>
      </w:r>
      <w:r w:rsidR="0070620E" w:rsidRPr="00282AC9">
        <w:rPr>
          <w:rFonts w:hint="cs"/>
          <w:sz w:val="27"/>
          <w:rtl/>
        </w:rPr>
        <w:t>ٍ</w:t>
      </w:r>
      <w:r w:rsidRPr="00282AC9">
        <w:rPr>
          <w:rFonts w:hint="cs"/>
          <w:sz w:val="27"/>
          <w:rtl/>
        </w:rPr>
        <w:t xml:space="preserve"> ما إذا كان </w:t>
      </w:r>
      <w:r w:rsidRPr="00282AC9">
        <w:rPr>
          <w:rFonts w:hint="cs"/>
          <w:sz w:val="27"/>
          <w:rtl/>
        </w:rPr>
        <w:lastRenderedPageBreak/>
        <w:t>مصداقاً للظلم أم لا</w:t>
      </w:r>
      <w:r w:rsidR="0070620E" w:rsidRPr="00282AC9">
        <w:rPr>
          <w:rFonts w:hint="cs"/>
          <w:sz w:val="27"/>
          <w:rtl/>
        </w:rPr>
        <w:t>؟</w:t>
      </w:r>
    </w:p>
    <w:p w:rsidR="00C15AC1" w:rsidRPr="00282AC9" w:rsidRDefault="00DA2F6D" w:rsidP="00F066C8">
      <w:pPr>
        <w:rPr>
          <w:sz w:val="27"/>
          <w:rtl/>
        </w:rPr>
      </w:pPr>
      <w:r w:rsidRPr="00282AC9">
        <w:rPr>
          <w:rFonts w:hint="cs"/>
          <w:sz w:val="27"/>
          <w:rtl/>
        </w:rPr>
        <w:t>بناء</w:t>
      </w:r>
      <w:r w:rsidR="0070620E" w:rsidRPr="00282AC9">
        <w:rPr>
          <w:rFonts w:hint="cs"/>
          <w:sz w:val="27"/>
          <w:rtl/>
        </w:rPr>
        <w:t>ً</w:t>
      </w:r>
      <w:r w:rsidRPr="00282AC9">
        <w:rPr>
          <w:rFonts w:hint="cs"/>
          <w:sz w:val="27"/>
          <w:rtl/>
        </w:rPr>
        <w:t xml:space="preserve"> على المسلك الأو</w:t>
      </w:r>
      <w:r w:rsidR="00C15AC1" w:rsidRPr="00282AC9">
        <w:rPr>
          <w:rFonts w:hint="cs"/>
          <w:sz w:val="27"/>
          <w:rtl/>
        </w:rPr>
        <w:t>ّ</w:t>
      </w:r>
      <w:r w:rsidRPr="00282AC9">
        <w:rPr>
          <w:rFonts w:hint="cs"/>
          <w:sz w:val="27"/>
          <w:rtl/>
        </w:rPr>
        <w:t>ل يجب الرجوع إلى البناء العملي</w:t>
      </w:r>
      <w:r w:rsidR="00C15AC1" w:rsidRPr="00282AC9">
        <w:rPr>
          <w:rFonts w:hint="cs"/>
          <w:sz w:val="27"/>
          <w:rtl/>
        </w:rPr>
        <w:t>ّ</w:t>
      </w:r>
      <w:r w:rsidRPr="00282AC9">
        <w:rPr>
          <w:rFonts w:hint="cs"/>
          <w:sz w:val="27"/>
          <w:rtl/>
        </w:rPr>
        <w:t xml:space="preserve"> للعقلاء من أجل رفع الشك</w:t>
      </w:r>
      <w:r w:rsidR="00C15AC1" w:rsidRPr="00282AC9">
        <w:rPr>
          <w:rFonts w:hint="cs"/>
          <w:sz w:val="27"/>
          <w:rtl/>
        </w:rPr>
        <w:t>ّ؛</w:t>
      </w:r>
      <w:r w:rsidRPr="00282AC9">
        <w:rPr>
          <w:rFonts w:hint="cs"/>
          <w:sz w:val="27"/>
          <w:rtl/>
        </w:rPr>
        <w:t xml:space="preserve"> لنرى ما إذا كان يعتبر هذ</w:t>
      </w:r>
      <w:r w:rsidR="00C15AC1" w:rsidRPr="00282AC9">
        <w:rPr>
          <w:rFonts w:hint="cs"/>
          <w:sz w:val="27"/>
          <w:rtl/>
        </w:rPr>
        <w:t>ه الموارد من موارد الظلم أم لا.</w:t>
      </w:r>
    </w:p>
    <w:p w:rsidR="00DA2F6D" w:rsidRPr="00282AC9" w:rsidRDefault="00DA2F6D" w:rsidP="00F066C8">
      <w:pPr>
        <w:rPr>
          <w:sz w:val="27"/>
          <w:rtl/>
        </w:rPr>
      </w:pPr>
      <w:r w:rsidRPr="00282AC9">
        <w:rPr>
          <w:rFonts w:hint="cs"/>
          <w:sz w:val="27"/>
          <w:rtl/>
        </w:rPr>
        <w:t>وأما بناء على المسلك الثاني فإن المرجع في تحديد هذا الأمر هو وجدان الفرد، وليس هناك من طريق</w:t>
      </w:r>
      <w:r w:rsidR="00C15AC1" w:rsidRPr="00282AC9">
        <w:rPr>
          <w:rFonts w:hint="cs"/>
          <w:sz w:val="27"/>
          <w:rtl/>
        </w:rPr>
        <w:t>ٍ</w:t>
      </w:r>
      <w:r w:rsidRPr="00282AC9">
        <w:rPr>
          <w:rFonts w:hint="cs"/>
          <w:sz w:val="27"/>
          <w:rtl/>
        </w:rPr>
        <w:t xml:space="preserve"> آخر</w:t>
      </w:r>
      <w:r w:rsidR="00C15AC1" w:rsidRPr="00282AC9">
        <w:rPr>
          <w:rFonts w:hint="cs"/>
          <w:sz w:val="27"/>
          <w:rtl/>
        </w:rPr>
        <w:t>،</w:t>
      </w:r>
      <w:r w:rsidRPr="00282AC9">
        <w:rPr>
          <w:rFonts w:hint="cs"/>
          <w:sz w:val="27"/>
          <w:rtl/>
        </w:rPr>
        <w:t xml:space="preserve"> غير الوجدان. وعلى هذا الأساس حيث يقع الفرد في مقام الشك</w:t>
      </w:r>
      <w:r w:rsidR="00C15AC1" w:rsidRPr="00282AC9">
        <w:rPr>
          <w:rFonts w:hint="cs"/>
          <w:sz w:val="27"/>
          <w:rtl/>
        </w:rPr>
        <w:t>ّ،</w:t>
      </w:r>
      <w:r w:rsidRPr="00282AC9">
        <w:rPr>
          <w:rFonts w:hint="cs"/>
          <w:sz w:val="27"/>
          <w:rtl/>
        </w:rPr>
        <w:t xml:space="preserve"> ولا يوجد حكم</w:t>
      </w:r>
      <w:r w:rsidR="00C15AC1" w:rsidRPr="00282AC9">
        <w:rPr>
          <w:rFonts w:hint="cs"/>
          <w:sz w:val="27"/>
          <w:rtl/>
        </w:rPr>
        <w:t>ٌ</w:t>
      </w:r>
      <w:r w:rsidRPr="00282AC9">
        <w:rPr>
          <w:rFonts w:hint="cs"/>
          <w:sz w:val="27"/>
          <w:rtl/>
        </w:rPr>
        <w:t xml:space="preserve"> له في البين، فإن المسألة سوف تبقى على حالة الشك</w:t>
      </w:r>
      <w:r w:rsidR="00C15AC1" w:rsidRPr="00282AC9">
        <w:rPr>
          <w:rFonts w:hint="cs"/>
          <w:sz w:val="27"/>
          <w:rtl/>
        </w:rPr>
        <w:t>ّ</w:t>
      </w:r>
      <w:r w:rsidRPr="00282AC9">
        <w:rPr>
          <w:sz w:val="27"/>
          <w:vertAlign w:val="superscript"/>
          <w:rtl/>
        </w:rPr>
        <w:t>(</w:t>
      </w:r>
      <w:r w:rsidRPr="00282AC9">
        <w:rPr>
          <w:rStyle w:val="af9"/>
          <w:sz w:val="27"/>
          <w:rtl/>
        </w:rPr>
        <w:endnoteReference w:id="613"/>
      </w:r>
      <w:r w:rsidRPr="00282AC9">
        <w:rPr>
          <w:sz w:val="27"/>
          <w:vertAlign w:val="superscript"/>
          <w:rtl/>
        </w:rPr>
        <w:t>)</w:t>
      </w:r>
      <w:r w:rsidRPr="00282AC9">
        <w:rPr>
          <w:rFonts w:hint="cs"/>
          <w:sz w:val="27"/>
          <w:rtl/>
        </w:rPr>
        <w:t>.</w:t>
      </w:r>
    </w:p>
    <w:p w:rsidR="00DA2F6D" w:rsidRPr="00282AC9" w:rsidRDefault="00DA2F6D" w:rsidP="00F066C8">
      <w:pPr>
        <w:rPr>
          <w:sz w:val="27"/>
          <w:rtl/>
        </w:rPr>
      </w:pPr>
      <w:r w:rsidRPr="00282AC9">
        <w:rPr>
          <w:rFonts w:hint="cs"/>
          <w:sz w:val="27"/>
          <w:rtl/>
        </w:rPr>
        <w:t>وبعد ذكر هذه المقد</w:t>
      </w:r>
      <w:r w:rsidR="00C15AC1" w:rsidRPr="00282AC9">
        <w:rPr>
          <w:rFonts w:hint="cs"/>
          <w:sz w:val="27"/>
          <w:rtl/>
        </w:rPr>
        <w:t>ّ</w:t>
      </w:r>
      <w:r w:rsidRPr="00282AC9">
        <w:rPr>
          <w:rFonts w:hint="cs"/>
          <w:sz w:val="27"/>
          <w:rtl/>
        </w:rPr>
        <w:t>مة</w:t>
      </w:r>
      <w:r w:rsidR="00C15AC1" w:rsidRPr="00282AC9">
        <w:rPr>
          <w:rFonts w:hint="cs"/>
          <w:sz w:val="27"/>
          <w:rtl/>
        </w:rPr>
        <w:t>،</w:t>
      </w:r>
      <w:r w:rsidRPr="00282AC9">
        <w:rPr>
          <w:rFonts w:hint="cs"/>
          <w:sz w:val="27"/>
          <w:rtl/>
        </w:rPr>
        <w:t xml:space="preserve"> يدخل سماحته في تحليل قاعدة ق</w:t>
      </w:r>
      <w:r w:rsidR="00C15AC1" w:rsidRPr="00282AC9">
        <w:rPr>
          <w:rFonts w:hint="cs"/>
          <w:sz w:val="27"/>
          <w:rtl/>
        </w:rPr>
        <w:t>ُ</w:t>
      </w:r>
      <w:r w:rsidRPr="00282AC9">
        <w:rPr>
          <w:rFonts w:hint="cs"/>
          <w:sz w:val="27"/>
          <w:rtl/>
        </w:rPr>
        <w:t>ب</w:t>
      </w:r>
      <w:r w:rsidR="00C15AC1" w:rsidRPr="00282AC9">
        <w:rPr>
          <w:rFonts w:hint="cs"/>
          <w:sz w:val="27"/>
          <w:rtl/>
        </w:rPr>
        <w:t>ْ</w:t>
      </w:r>
      <w:r w:rsidRPr="00282AC9">
        <w:rPr>
          <w:rFonts w:hint="cs"/>
          <w:sz w:val="27"/>
          <w:rtl/>
        </w:rPr>
        <w:t>ح العقاب بلا بيان</w:t>
      </w:r>
      <w:r w:rsidR="00C15AC1" w:rsidRPr="00282AC9">
        <w:rPr>
          <w:rFonts w:hint="cs"/>
          <w:sz w:val="27"/>
          <w:rtl/>
        </w:rPr>
        <w:t>ٍ</w:t>
      </w:r>
      <w:r w:rsidRPr="00282AC9">
        <w:rPr>
          <w:rFonts w:hint="cs"/>
          <w:sz w:val="27"/>
          <w:rtl/>
        </w:rPr>
        <w:t xml:space="preserve"> العقلي</w:t>
      </w:r>
      <w:r w:rsidR="00C15AC1" w:rsidRPr="00282AC9">
        <w:rPr>
          <w:rFonts w:hint="cs"/>
          <w:sz w:val="27"/>
          <w:rtl/>
        </w:rPr>
        <w:t>ّ</w:t>
      </w:r>
      <w:r w:rsidRPr="00282AC9">
        <w:rPr>
          <w:rFonts w:hint="cs"/>
          <w:sz w:val="27"/>
          <w:rtl/>
        </w:rPr>
        <w:t>ة؛ ليبيّ</w:t>
      </w:r>
      <w:r w:rsidR="00C15AC1" w:rsidRPr="00282AC9">
        <w:rPr>
          <w:rFonts w:hint="cs"/>
          <w:sz w:val="27"/>
          <w:rtl/>
        </w:rPr>
        <w:t>ِ</w:t>
      </w:r>
      <w:r w:rsidRPr="00282AC9">
        <w:rPr>
          <w:rFonts w:hint="cs"/>
          <w:sz w:val="27"/>
          <w:rtl/>
        </w:rPr>
        <w:t xml:space="preserve">ن </w:t>
      </w:r>
      <w:r w:rsidR="00C15AC1" w:rsidRPr="00282AC9">
        <w:rPr>
          <w:rFonts w:hint="cs"/>
          <w:sz w:val="27"/>
          <w:rtl/>
        </w:rPr>
        <w:t>أنه</w:t>
      </w:r>
      <w:r w:rsidRPr="00282AC9">
        <w:rPr>
          <w:rFonts w:hint="cs"/>
          <w:sz w:val="27"/>
          <w:rtl/>
        </w:rPr>
        <w:t xml:space="preserve"> إذا بقي المكل</w:t>
      </w:r>
      <w:r w:rsidR="00C15AC1" w:rsidRPr="00282AC9">
        <w:rPr>
          <w:rFonts w:hint="cs"/>
          <w:sz w:val="27"/>
          <w:rtl/>
        </w:rPr>
        <w:t>َّ</w:t>
      </w:r>
      <w:r w:rsidRPr="00282AC9">
        <w:rPr>
          <w:rFonts w:hint="cs"/>
          <w:sz w:val="27"/>
          <w:rtl/>
        </w:rPr>
        <w:t>ف في ظرف الشك</w:t>
      </w:r>
      <w:r w:rsidR="00C15AC1" w:rsidRPr="00282AC9">
        <w:rPr>
          <w:rFonts w:hint="cs"/>
          <w:sz w:val="27"/>
          <w:rtl/>
        </w:rPr>
        <w:t>ّ</w:t>
      </w:r>
      <w:r w:rsidRPr="00282AC9">
        <w:rPr>
          <w:rFonts w:hint="cs"/>
          <w:sz w:val="27"/>
          <w:rtl/>
        </w:rPr>
        <w:t xml:space="preserve"> </w:t>
      </w:r>
      <w:r w:rsidR="00C15AC1" w:rsidRPr="00282AC9">
        <w:rPr>
          <w:rFonts w:hint="cs"/>
          <w:sz w:val="27"/>
          <w:rtl/>
        </w:rPr>
        <w:t>ف</w:t>
      </w:r>
      <w:r w:rsidRPr="00282AC9">
        <w:rPr>
          <w:rFonts w:hint="cs"/>
          <w:sz w:val="27"/>
          <w:rtl/>
        </w:rPr>
        <w:t>هل يكون العقاب على مخالفة التكليف صحيحاً أم لا</w:t>
      </w:r>
      <w:r w:rsidR="00C15AC1" w:rsidRPr="00282AC9">
        <w:rPr>
          <w:rFonts w:hint="cs"/>
          <w:sz w:val="27"/>
          <w:rtl/>
        </w:rPr>
        <w:t>؟</w:t>
      </w:r>
    </w:p>
    <w:p w:rsidR="00DA2F6D" w:rsidRPr="00282AC9" w:rsidRDefault="00DA2F6D" w:rsidP="00F066C8">
      <w:pPr>
        <w:rPr>
          <w:sz w:val="27"/>
          <w:rtl/>
        </w:rPr>
      </w:pPr>
      <w:r w:rsidRPr="00282AC9">
        <w:rPr>
          <w:rFonts w:hint="cs"/>
          <w:sz w:val="27"/>
          <w:rtl/>
        </w:rPr>
        <w:t>لقد قام سماحته بدراسة هذا البحث ضمن ثلاثة مقامات. والذي نحتاج إليه في هذه المقالة</w:t>
      </w:r>
      <w:r w:rsidR="00C15AC1" w:rsidRPr="00282AC9">
        <w:rPr>
          <w:rFonts w:hint="cs"/>
          <w:sz w:val="27"/>
          <w:rtl/>
        </w:rPr>
        <w:t>،</w:t>
      </w:r>
      <w:r w:rsidRPr="00282AC9">
        <w:rPr>
          <w:rFonts w:hint="cs"/>
          <w:sz w:val="27"/>
          <w:rtl/>
        </w:rPr>
        <w:t xml:space="preserve"> في </w:t>
      </w:r>
      <w:r w:rsidR="00EE6DBA" w:rsidRPr="00282AC9">
        <w:rPr>
          <w:rFonts w:hint="cs"/>
          <w:sz w:val="27"/>
          <w:rtl/>
        </w:rPr>
        <w:t>مقابل</w:t>
      </w:r>
      <w:r w:rsidRPr="00282AC9">
        <w:rPr>
          <w:rFonts w:hint="cs"/>
          <w:sz w:val="27"/>
          <w:rtl/>
        </w:rPr>
        <w:t xml:space="preserve"> قاعدة ق</w:t>
      </w:r>
      <w:r w:rsidR="00C15AC1" w:rsidRPr="00282AC9">
        <w:rPr>
          <w:rFonts w:hint="cs"/>
          <w:sz w:val="27"/>
          <w:rtl/>
        </w:rPr>
        <w:t>ُ</w:t>
      </w:r>
      <w:r w:rsidRPr="00282AC9">
        <w:rPr>
          <w:rFonts w:hint="cs"/>
          <w:sz w:val="27"/>
          <w:rtl/>
        </w:rPr>
        <w:t>ب</w:t>
      </w:r>
      <w:r w:rsidR="00C15AC1" w:rsidRPr="00282AC9">
        <w:rPr>
          <w:rFonts w:hint="cs"/>
          <w:sz w:val="27"/>
          <w:rtl/>
        </w:rPr>
        <w:t>ْ</w:t>
      </w:r>
      <w:r w:rsidRPr="00282AC9">
        <w:rPr>
          <w:rFonts w:hint="cs"/>
          <w:sz w:val="27"/>
          <w:rtl/>
        </w:rPr>
        <w:t>ح العقاب بلا بيان</w:t>
      </w:r>
      <w:r w:rsidR="00C15AC1" w:rsidRPr="00282AC9">
        <w:rPr>
          <w:rFonts w:hint="cs"/>
          <w:sz w:val="27"/>
          <w:rtl/>
        </w:rPr>
        <w:t>ٍ</w:t>
      </w:r>
      <w:r w:rsidRPr="00282AC9">
        <w:rPr>
          <w:rFonts w:hint="cs"/>
          <w:sz w:val="27"/>
          <w:rtl/>
        </w:rPr>
        <w:t xml:space="preserve"> من وجهة نظر المشهور، هو المقام الثالث</w:t>
      </w:r>
      <w:r w:rsidR="00C15AC1" w:rsidRPr="00282AC9">
        <w:rPr>
          <w:rFonts w:hint="cs"/>
          <w:sz w:val="27"/>
          <w:rtl/>
        </w:rPr>
        <w:t>،</w:t>
      </w:r>
      <w:r w:rsidRPr="00282AC9">
        <w:rPr>
          <w:rFonts w:hint="cs"/>
          <w:sz w:val="27"/>
          <w:rtl/>
        </w:rPr>
        <w:t xml:space="preserve"> الذي هو في مورد صحّة أو عدم صحّة عقاب المولى الشرعي</w:t>
      </w:r>
      <w:r w:rsidR="00C15AC1" w:rsidRPr="00282AC9">
        <w:rPr>
          <w:rFonts w:hint="cs"/>
          <w:sz w:val="27"/>
          <w:rtl/>
        </w:rPr>
        <w:t>ّ</w:t>
      </w:r>
      <w:r w:rsidRPr="00282AC9">
        <w:rPr>
          <w:rFonts w:hint="cs"/>
          <w:sz w:val="27"/>
          <w:rtl/>
        </w:rPr>
        <w:t xml:space="preserve"> في الآخرة في ظرف الشك</w:t>
      </w:r>
      <w:r w:rsidR="00C15AC1" w:rsidRPr="00282AC9">
        <w:rPr>
          <w:rFonts w:hint="cs"/>
          <w:sz w:val="27"/>
          <w:rtl/>
        </w:rPr>
        <w:t>ّ؛</w:t>
      </w:r>
      <w:r w:rsidRPr="00282AC9">
        <w:rPr>
          <w:rFonts w:hint="cs"/>
          <w:sz w:val="27"/>
          <w:rtl/>
        </w:rPr>
        <w:t xml:space="preserve"> وذلك</w:t>
      </w:r>
      <w:r w:rsidR="00C15AC1" w:rsidRPr="00282AC9">
        <w:rPr>
          <w:rFonts w:hint="cs"/>
          <w:sz w:val="27"/>
          <w:rtl/>
        </w:rPr>
        <w:t xml:space="preserve"> </w:t>
      </w:r>
      <w:r w:rsidR="00C15AC1" w:rsidRPr="00282AC9">
        <w:rPr>
          <w:rFonts w:hint="cs"/>
          <w:b/>
          <w:bCs/>
          <w:sz w:val="27"/>
          <w:rtl/>
        </w:rPr>
        <w:t>أوّلاً</w:t>
      </w:r>
      <w:r w:rsidR="00C15AC1" w:rsidRPr="00282AC9">
        <w:rPr>
          <w:rFonts w:hint="cs"/>
          <w:sz w:val="27"/>
          <w:rtl/>
        </w:rPr>
        <w:t>:</w:t>
      </w:r>
      <w:r w:rsidRPr="00282AC9">
        <w:rPr>
          <w:rFonts w:hint="cs"/>
          <w:sz w:val="27"/>
          <w:rtl/>
        </w:rPr>
        <w:t xml:space="preserve"> </w:t>
      </w:r>
      <w:r w:rsidR="00C15AC1" w:rsidRPr="00282AC9">
        <w:rPr>
          <w:rFonts w:hint="cs"/>
          <w:sz w:val="27"/>
          <w:rtl/>
        </w:rPr>
        <w:t>إن</w:t>
      </w:r>
      <w:r w:rsidRPr="00282AC9">
        <w:rPr>
          <w:rFonts w:hint="cs"/>
          <w:sz w:val="27"/>
          <w:rtl/>
        </w:rPr>
        <w:t xml:space="preserve"> محل</w:t>
      </w:r>
      <w:r w:rsidR="00C15AC1" w:rsidRPr="00282AC9">
        <w:rPr>
          <w:rFonts w:hint="cs"/>
          <w:sz w:val="27"/>
          <w:rtl/>
        </w:rPr>
        <w:t xml:space="preserve">ّ </w:t>
      </w:r>
      <w:r w:rsidRPr="00282AC9">
        <w:rPr>
          <w:rFonts w:hint="cs"/>
          <w:sz w:val="27"/>
          <w:rtl/>
        </w:rPr>
        <w:t>البحث في قاعدة ق</w:t>
      </w:r>
      <w:r w:rsidR="00C15AC1" w:rsidRPr="00282AC9">
        <w:rPr>
          <w:rFonts w:hint="cs"/>
          <w:sz w:val="27"/>
          <w:rtl/>
        </w:rPr>
        <w:t>ُ</w:t>
      </w:r>
      <w:r w:rsidRPr="00282AC9">
        <w:rPr>
          <w:rFonts w:hint="cs"/>
          <w:sz w:val="27"/>
          <w:rtl/>
        </w:rPr>
        <w:t>ب</w:t>
      </w:r>
      <w:r w:rsidR="00C15AC1" w:rsidRPr="00282AC9">
        <w:rPr>
          <w:rFonts w:hint="cs"/>
          <w:sz w:val="27"/>
          <w:rtl/>
        </w:rPr>
        <w:t>ْ</w:t>
      </w:r>
      <w:r w:rsidRPr="00282AC9">
        <w:rPr>
          <w:rFonts w:hint="cs"/>
          <w:sz w:val="27"/>
          <w:rtl/>
        </w:rPr>
        <w:t>ح العقاب بلا بيان</w:t>
      </w:r>
      <w:r w:rsidR="00C15AC1" w:rsidRPr="00282AC9">
        <w:rPr>
          <w:rFonts w:hint="cs"/>
          <w:sz w:val="27"/>
          <w:rtl/>
        </w:rPr>
        <w:t>ٍ</w:t>
      </w:r>
      <w:r w:rsidRPr="00282AC9">
        <w:rPr>
          <w:rFonts w:hint="cs"/>
          <w:sz w:val="27"/>
          <w:rtl/>
        </w:rPr>
        <w:t xml:space="preserve"> العقلية هو العقاب من ق</w:t>
      </w:r>
      <w:r w:rsidR="00C15AC1" w:rsidRPr="00282AC9">
        <w:rPr>
          <w:rFonts w:hint="cs"/>
          <w:sz w:val="27"/>
          <w:rtl/>
        </w:rPr>
        <w:t>ِ</w:t>
      </w:r>
      <w:r w:rsidRPr="00282AC9">
        <w:rPr>
          <w:rFonts w:hint="cs"/>
          <w:sz w:val="27"/>
          <w:rtl/>
        </w:rPr>
        <w:t>ب</w:t>
      </w:r>
      <w:r w:rsidR="00C15AC1" w:rsidRPr="00282AC9">
        <w:rPr>
          <w:rFonts w:hint="cs"/>
          <w:sz w:val="27"/>
          <w:rtl/>
        </w:rPr>
        <w:t>َ</w:t>
      </w:r>
      <w:r w:rsidRPr="00282AC9">
        <w:rPr>
          <w:rFonts w:hint="cs"/>
          <w:sz w:val="27"/>
          <w:rtl/>
        </w:rPr>
        <w:t>ل المولى الشرعي</w:t>
      </w:r>
      <w:r w:rsidR="00C15AC1" w:rsidRPr="00282AC9">
        <w:rPr>
          <w:rFonts w:hint="cs"/>
          <w:sz w:val="27"/>
          <w:rtl/>
        </w:rPr>
        <w:t xml:space="preserve">ّ؛ </w:t>
      </w:r>
      <w:r w:rsidRPr="00282AC9">
        <w:rPr>
          <w:rFonts w:hint="cs"/>
          <w:b/>
          <w:bCs/>
          <w:sz w:val="27"/>
          <w:rtl/>
        </w:rPr>
        <w:t>وثانياً</w:t>
      </w:r>
      <w:r w:rsidRPr="00282AC9">
        <w:rPr>
          <w:rFonts w:hint="cs"/>
          <w:sz w:val="27"/>
          <w:rtl/>
        </w:rPr>
        <w:t>: إن المطروح في هذه القاعدة هو العقاب الأخروي</w:t>
      </w:r>
      <w:r w:rsidR="00C15AC1" w:rsidRPr="00282AC9">
        <w:rPr>
          <w:rFonts w:hint="cs"/>
          <w:sz w:val="27"/>
          <w:rtl/>
        </w:rPr>
        <w:t>،</w:t>
      </w:r>
      <w:r w:rsidRPr="00282AC9">
        <w:rPr>
          <w:rFonts w:hint="cs"/>
          <w:sz w:val="27"/>
          <w:rtl/>
        </w:rPr>
        <w:t xml:space="preserve"> وليس الدنيوي. ولكن</w:t>
      </w:r>
      <w:r w:rsidR="00C15AC1" w:rsidRPr="00282AC9">
        <w:rPr>
          <w:rFonts w:hint="cs"/>
          <w:sz w:val="27"/>
          <w:rtl/>
        </w:rPr>
        <w:t>ْ</w:t>
      </w:r>
      <w:r w:rsidRPr="00282AC9">
        <w:rPr>
          <w:rFonts w:hint="cs"/>
          <w:sz w:val="27"/>
          <w:rtl/>
        </w:rPr>
        <w:t xml:space="preserve"> في إطار تكميل نظريته، وكذلك الفهم الأدق</w:t>
      </w:r>
      <w:r w:rsidR="00C15AC1" w:rsidRPr="00282AC9">
        <w:rPr>
          <w:rFonts w:hint="cs"/>
          <w:sz w:val="27"/>
          <w:rtl/>
        </w:rPr>
        <w:t>ّ</w:t>
      </w:r>
      <w:r w:rsidRPr="00282AC9">
        <w:rPr>
          <w:rFonts w:hint="cs"/>
          <w:sz w:val="27"/>
          <w:rtl/>
        </w:rPr>
        <w:t xml:space="preserve"> للتفاوت والتمايز بين الحالات الثلاثة المطروحة في نظري</w:t>
      </w:r>
      <w:r w:rsidR="00B310E7" w:rsidRPr="00282AC9">
        <w:rPr>
          <w:rFonts w:hint="cs"/>
          <w:sz w:val="27"/>
          <w:rtl/>
        </w:rPr>
        <w:t>ّ</w:t>
      </w:r>
      <w:r w:rsidRPr="00282AC9">
        <w:rPr>
          <w:rFonts w:hint="cs"/>
          <w:sz w:val="27"/>
          <w:rtl/>
        </w:rPr>
        <w:t>ته، سوف نشير إلى المقام</w:t>
      </w:r>
      <w:r w:rsidR="00B310E7" w:rsidRPr="00282AC9">
        <w:rPr>
          <w:rFonts w:hint="cs"/>
          <w:sz w:val="27"/>
          <w:rtl/>
        </w:rPr>
        <w:t>ين</w:t>
      </w:r>
      <w:r w:rsidRPr="00282AC9">
        <w:rPr>
          <w:rFonts w:hint="cs"/>
          <w:sz w:val="27"/>
          <w:rtl/>
        </w:rPr>
        <w:t xml:space="preserve"> الأو</w:t>
      </w:r>
      <w:r w:rsidR="00B310E7" w:rsidRPr="00282AC9">
        <w:rPr>
          <w:rFonts w:hint="cs"/>
          <w:sz w:val="27"/>
          <w:rtl/>
        </w:rPr>
        <w:t>ّ</w:t>
      </w:r>
      <w:r w:rsidRPr="00282AC9">
        <w:rPr>
          <w:rFonts w:hint="cs"/>
          <w:sz w:val="27"/>
          <w:rtl/>
        </w:rPr>
        <w:t>ل والثاني من نظري</w:t>
      </w:r>
      <w:r w:rsidR="00B310E7" w:rsidRPr="00282AC9">
        <w:rPr>
          <w:rFonts w:hint="cs"/>
          <w:sz w:val="27"/>
          <w:rtl/>
        </w:rPr>
        <w:t>ّ</w:t>
      </w:r>
      <w:r w:rsidRPr="00282AC9">
        <w:rPr>
          <w:rFonts w:hint="cs"/>
          <w:sz w:val="27"/>
          <w:rtl/>
        </w:rPr>
        <w:t>ته أيضاً.</w:t>
      </w:r>
    </w:p>
    <w:p w:rsidR="00F066C8" w:rsidRPr="00282AC9" w:rsidRDefault="00F066C8" w:rsidP="00F066C8">
      <w:pPr>
        <w:spacing w:line="420" w:lineRule="exact"/>
        <w:rPr>
          <w:rtl/>
        </w:rPr>
      </w:pPr>
    </w:p>
    <w:p w:rsidR="00DA2F6D" w:rsidRPr="00282AC9" w:rsidRDefault="007B03E3" w:rsidP="00BD3176">
      <w:pPr>
        <w:pStyle w:val="31"/>
        <w:rPr>
          <w:color w:val="auto"/>
          <w:rtl/>
        </w:rPr>
      </w:pPr>
      <w:r w:rsidRPr="00282AC9">
        <w:rPr>
          <w:rFonts w:hint="cs"/>
          <w:color w:val="auto"/>
          <w:rtl/>
        </w:rPr>
        <w:t>1ـ</w:t>
      </w:r>
      <w:r w:rsidR="00DA2F6D" w:rsidRPr="00282AC9">
        <w:rPr>
          <w:rFonts w:hint="cs"/>
          <w:color w:val="auto"/>
          <w:rtl/>
        </w:rPr>
        <w:t xml:space="preserve"> صحّة مؤاخذة المولى العُر</w:t>
      </w:r>
      <w:r w:rsidR="00B310E7" w:rsidRPr="00282AC9">
        <w:rPr>
          <w:rFonts w:hint="cs"/>
          <w:color w:val="auto"/>
          <w:rtl/>
        </w:rPr>
        <w:t>ْ</w:t>
      </w:r>
      <w:r w:rsidR="00DA2F6D" w:rsidRPr="00282AC9">
        <w:rPr>
          <w:rFonts w:hint="cs"/>
          <w:color w:val="auto"/>
          <w:rtl/>
        </w:rPr>
        <w:t>في</w:t>
      </w:r>
    </w:p>
    <w:p w:rsidR="00DA2F6D" w:rsidRPr="00282AC9" w:rsidRDefault="00DA2F6D" w:rsidP="00F066C8">
      <w:pPr>
        <w:rPr>
          <w:sz w:val="27"/>
          <w:rtl/>
        </w:rPr>
      </w:pPr>
      <w:r w:rsidRPr="00282AC9">
        <w:rPr>
          <w:rFonts w:hint="cs"/>
          <w:sz w:val="27"/>
          <w:rtl/>
        </w:rPr>
        <w:t>لقد صوّ</w:t>
      </w:r>
      <w:r w:rsidR="00B310E7" w:rsidRPr="00282AC9">
        <w:rPr>
          <w:rFonts w:hint="cs"/>
          <w:sz w:val="27"/>
          <w:rtl/>
        </w:rPr>
        <w:t>َ</w:t>
      </w:r>
      <w:r w:rsidRPr="00282AC9">
        <w:rPr>
          <w:rFonts w:hint="cs"/>
          <w:sz w:val="27"/>
          <w:rtl/>
        </w:rPr>
        <w:t>ر السيد الروحاني ثلاث حالات في هذا المقام:</w:t>
      </w:r>
    </w:p>
    <w:p w:rsidR="00DA2F6D" w:rsidRPr="00282AC9" w:rsidRDefault="00DA2F6D" w:rsidP="00F066C8">
      <w:pPr>
        <w:rPr>
          <w:sz w:val="27"/>
          <w:rtl/>
        </w:rPr>
      </w:pPr>
      <w:r w:rsidRPr="00282AC9">
        <w:rPr>
          <w:rFonts w:hint="cs"/>
          <w:b/>
          <w:bCs/>
          <w:sz w:val="27"/>
          <w:rtl/>
        </w:rPr>
        <w:t>أـ أن تكون مخالفة العبد للتكليف مقرونة</w:t>
      </w:r>
      <w:r w:rsidR="00B310E7" w:rsidRPr="00282AC9">
        <w:rPr>
          <w:rFonts w:hint="cs"/>
          <w:b/>
          <w:bCs/>
          <w:sz w:val="27"/>
          <w:rtl/>
        </w:rPr>
        <w:t>ً</w:t>
      </w:r>
      <w:r w:rsidRPr="00282AC9">
        <w:rPr>
          <w:rFonts w:hint="cs"/>
          <w:b/>
          <w:bCs/>
          <w:sz w:val="27"/>
          <w:rtl/>
        </w:rPr>
        <w:t xml:space="preserve"> بالعلم</w:t>
      </w:r>
      <w:r w:rsidRPr="00282AC9">
        <w:rPr>
          <w:rFonts w:hint="cs"/>
          <w:sz w:val="27"/>
          <w:rtl/>
        </w:rPr>
        <w:t>: في هذه الحالة لا يكون العقاب على المخالفة ـ بناء</w:t>
      </w:r>
      <w:r w:rsidR="00B310E7" w:rsidRPr="00282AC9">
        <w:rPr>
          <w:rFonts w:hint="cs"/>
          <w:sz w:val="27"/>
          <w:rtl/>
        </w:rPr>
        <w:t>ً</w:t>
      </w:r>
      <w:r w:rsidRPr="00282AC9">
        <w:rPr>
          <w:rFonts w:hint="cs"/>
          <w:sz w:val="27"/>
          <w:rtl/>
        </w:rPr>
        <w:t xml:space="preserve"> على كلا المسلك</w:t>
      </w:r>
      <w:r w:rsidR="00B310E7" w:rsidRPr="00282AC9">
        <w:rPr>
          <w:rFonts w:hint="cs"/>
          <w:sz w:val="27"/>
          <w:rtl/>
        </w:rPr>
        <w:t>َ</w:t>
      </w:r>
      <w:r w:rsidRPr="00282AC9">
        <w:rPr>
          <w:rFonts w:hint="cs"/>
          <w:sz w:val="27"/>
          <w:rtl/>
        </w:rPr>
        <w:t>ين المذكورين في باب حكم العقل ـ قبيحاً</w:t>
      </w:r>
      <w:r w:rsidR="00B310E7" w:rsidRPr="00282AC9">
        <w:rPr>
          <w:rFonts w:hint="cs"/>
          <w:sz w:val="27"/>
          <w:rtl/>
        </w:rPr>
        <w:t>؛</w:t>
      </w:r>
      <w:r w:rsidRPr="00282AC9">
        <w:rPr>
          <w:rFonts w:hint="cs"/>
          <w:sz w:val="27"/>
          <w:rtl/>
        </w:rPr>
        <w:t xml:space="preserve"> وذلك لأن المخالفة قد اقترن</w:t>
      </w:r>
      <w:r w:rsidR="00B310E7" w:rsidRPr="00282AC9">
        <w:rPr>
          <w:rFonts w:hint="cs"/>
          <w:sz w:val="27"/>
          <w:rtl/>
        </w:rPr>
        <w:t>َ</w:t>
      </w:r>
      <w:r w:rsidRPr="00282AC9">
        <w:rPr>
          <w:rFonts w:hint="cs"/>
          <w:sz w:val="27"/>
          <w:rtl/>
        </w:rPr>
        <w:t>ت</w:t>
      </w:r>
      <w:r w:rsidR="00B310E7" w:rsidRPr="00282AC9">
        <w:rPr>
          <w:rFonts w:hint="cs"/>
          <w:sz w:val="27"/>
          <w:rtl/>
        </w:rPr>
        <w:t>ْ</w:t>
      </w:r>
      <w:r w:rsidRPr="00282AC9">
        <w:rPr>
          <w:rFonts w:hint="cs"/>
          <w:sz w:val="27"/>
          <w:rtl/>
        </w:rPr>
        <w:t xml:space="preserve"> هنا بالعلم والع</w:t>
      </w:r>
      <w:r w:rsidR="00B310E7" w:rsidRPr="00282AC9">
        <w:rPr>
          <w:rFonts w:hint="cs"/>
          <w:sz w:val="27"/>
          <w:rtl/>
        </w:rPr>
        <w:t>َ</w:t>
      </w:r>
      <w:r w:rsidRPr="00282AC9">
        <w:rPr>
          <w:rFonts w:hint="cs"/>
          <w:sz w:val="27"/>
          <w:rtl/>
        </w:rPr>
        <w:t>م</w:t>
      </w:r>
      <w:r w:rsidR="00B310E7" w:rsidRPr="00282AC9">
        <w:rPr>
          <w:rFonts w:hint="cs"/>
          <w:sz w:val="27"/>
          <w:rtl/>
        </w:rPr>
        <w:t>ْ</w:t>
      </w:r>
      <w:r w:rsidRPr="00282AC9">
        <w:rPr>
          <w:rFonts w:hint="cs"/>
          <w:sz w:val="27"/>
          <w:rtl/>
        </w:rPr>
        <w:t>د.</w:t>
      </w:r>
    </w:p>
    <w:p w:rsidR="00DA2F6D" w:rsidRPr="00282AC9" w:rsidRDefault="00DA2F6D" w:rsidP="00F066C8">
      <w:pPr>
        <w:rPr>
          <w:sz w:val="27"/>
          <w:rtl/>
        </w:rPr>
      </w:pPr>
      <w:r w:rsidRPr="00282AC9">
        <w:rPr>
          <w:rFonts w:hint="cs"/>
          <w:b/>
          <w:bCs/>
          <w:sz w:val="27"/>
          <w:rtl/>
        </w:rPr>
        <w:t>ب ـ أن تكون مخالفة العبد بسبب الغفلة أو الجهل المركّ</w:t>
      </w:r>
      <w:r w:rsidR="00B310E7" w:rsidRPr="00282AC9">
        <w:rPr>
          <w:rFonts w:hint="cs"/>
          <w:b/>
          <w:bCs/>
          <w:sz w:val="27"/>
          <w:rtl/>
        </w:rPr>
        <w:t>َ</w:t>
      </w:r>
      <w:r w:rsidRPr="00282AC9">
        <w:rPr>
          <w:rFonts w:hint="cs"/>
          <w:b/>
          <w:bCs/>
          <w:sz w:val="27"/>
          <w:rtl/>
        </w:rPr>
        <w:t>ب</w:t>
      </w:r>
      <w:r w:rsidRPr="00282AC9">
        <w:rPr>
          <w:rFonts w:hint="cs"/>
          <w:sz w:val="27"/>
          <w:rtl/>
        </w:rPr>
        <w:t>: في مثل هذه الحالة إذا لم يكن الجاهل مقصّ</w:t>
      </w:r>
      <w:r w:rsidR="00B310E7" w:rsidRPr="00282AC9">
        <w:rPr>
          <w:rFonts w:hint="cs"/>
          <w:sz w:val="27"/>
          <w:rtl/>
        </w:rPr>
        <w:t>ِ</w:t>
      </w:r>
      <w:r w:rsidRPr="00282AC9">
        <w:rPr>
          <w:rFonts w:hint="cs"/>
          <w:sz w:val="27"/>
          <w:rtl/>
        </w:rPr>
        <w:t>راً يكون العقاب على المخالفة قبيحاً.</w:t>
      </w:r>
    </w:p>
    <w:p w:rsidR="00DA2F6D" w:rsidRPr="00282AC9" w:rsidRDefault="00DA2F6D" w:rsidP="00F066C8">
      <w:pPr>
        <w:rPr>
          <w:sz w:val="27"/>
          <w:rtl/>
        </w:rPr>
      </w:pPr>
      <w:r w:rsidRPr="00282AC9">
        <w:rPr>
          <w:rFonts w:hint="cs"/>
          <w:b/>
          <w:bCs/>
          <w:sz w:val="27"/>
          <w:rtl/>
        </w:rPr>
        <w:t xml:space="preserve">ج ـ </w:t>
      </w:r>
      <w:r w:rsidRPr="00282AC9">
        <w:rPr>
          <w:b/>
          <w:bCs/>
          <w:sz w:val="27"/>
          <w:rtl/>
        </w:rPr>
        <w:t>أن تكون مخالفة العبد</w:t>
      </w:r>
      <w:r w:rsidRPr="00282AC9">
        <w:rPr>
          <w:rFonts w:hint="cs"/>
          <w:b/>
          <w:bCs/>
          <w:sz w:val="27"/>
          <w:rtl/>
        </w:rPr>
        <w:t xml:space="preserve"> في ظرف الشك</w:t>
      </w:r>
      <w:r w:rsidR="00B310E7" w:rsidRPr="00282AC9">
        <w:rPr>
          <w:rFonts w:hint="cs"/>
          <w:b/>
          <w:bCs/>
          <w:sz w:val="27"/>
          <w:rtl/>
        </w:rPr>
        <w:t>ّ</w:t>
      </w:r>
      <w:r w:rsidRPr="00282AC9">
        <w:rPr>
          <w:rFonts w:hint="cs"/>
          <w:b/>
          <w:bCs/>
          <w:sz w:val="27"/>
          <w:rtl/>
        </w:rPr>
        <w:t xml:space="preserve"> في التكليف</w:t>
      </w:r>
      <w:r w:rsidRPr="00282AC9">
        <w:rPr>
          <w:rFonts w:hint="cs"/>
          <w:sz w:val="27"/>
          <w:rtl/>
        </w:rPr>
        <w:t>: في</w:t>
      </w:r>
      <w:r w:rsidR="00B310E7" w:rsidRPr="00282AC9">
        <w:rPr>
          <w:rFonts w:hint="cs"/>
          <w:sz w:val="27"/>
          <w:rtl/>
        </w:rPr>
        <w:t>ُ</w:t>
      </w:r>
      <w:r w:rsidRPr="00282AC9">
        <w:rPr>
          <w:rFonts w:hint="cs"/>
          <w:sz w:val="27"/>
          <w:rtl/>
        </w:rPr>
        <w:t xml:space="preserve">قال في هذا القسم: </w:t>
      </w:r>
      <w:r w:rsidRPr="00282AC9">
        <w:rPr>
          <w:rFonts w:hint="cs"/>
          <w:sz w:val="27"/>
          <w:rtl/>
        </w:rPr>
        <w:lastRenderedPageBreak/>
        <w:t>أما في مورد العقاب في حالة الشك</w:t>
      </w:r>
      <w:r w:rsidR="00B310E7" w:rsidRPr="00282AC9">
        <w:rPr>
          <w:rFonts w:hint="cs"/>
          <w:sz w:val="27"/>
          <w:rtl/>
        </w:rPr>
        <w:t>ّ</w:t>
      </w:r>
      <w:r w:rsidRPr="00282AC9">
        <w:rPr>
          <w:rFonts w:hint="cs"/>
          <w:sz w:val="27"/>
          <w:rtl/>
        </w:rPr>
        <w:t xml:space="preserve"> فلا يمكن إبداء الرأي</w:t>
      </w:r>
      <w:r w:rsidR="00B310E7" w:rsidRPr="00282AC9">
        <w:rPr>
          <w:rFonts w:hint="cs"/>
          <w:sz w:val="27"/>
          <w:rtl/>
        </w:rPr>
        <w:t>،</w:t>
      </w:r>
      <w:r w:rsidRPr="00282AC9">
        <w:rPr>
          <w:rFonts w:hint="cs"/>
          <w:sz w:val="27"/>
          <w:rtl/>
        </w:rPr>
        <w:t xml:space="preserve"> والقول بالق</w:t>
      </w:r>
      <w:r w:rsidR="00B310E7" w:rsidRPr="00282AC9">
        <w:rPr>
          <w:rFonts w:hint="cs"/>
          <w:sz w:val="27"/>
          <w:rtl/>
        </w:rPr>
        <w:t>ُ</w:t>
      </w:r>
      <w:r w:rsidRPr="00282AC9">
        <w:rPr>
          <w:rFonts w:hint="cs"/>
          <w:sz w:val="27"/>
          <w:rtl/>
        </w:rPr>
        <w:t>ب</w:t>
      </w:r>
      <w:r w:rsidR="00B310E7" w:rsidRPr="00282AC9">
        <w:rPr>
          <w:rFonts w:hint="cs"/>
          <w:sz w:val="27"/>
          <w:rtl/>
        </w:rPr>
        <w:t>ْ</w:t>
      </w:r>
      <w:r w:rsidRPr="00282AC9">
        <w:rPr>
          <w:rFonts w:hint="cs"/>
          <w:sz w:val="27"/>
          <w:rtl/>
        </w:rPr>
        <w:t>ح أو عدم الق</w:t>
      </w:r>
      <w:r w:rsidR="00B310E7" w:rsidRPr="00282AC9">
        <w:rPr>
          <w:rFonts w:hint="cs"/>
          <w:sz w:val="27"/>
          <w:rtl/>
        </w:rPr>
        <w:t>ُ</w:t>
      </w:r>
      <w:r w:rsidRPr="00282AC9">
        <w:rPr>
          <w:rFonts w:hint="cs"/>
          <w:sz w:val="27"/>
          <w:rtl/>
        </w:rPr>
        <w:t>ب</w:t>
      </w:r>
      <w:r w:rsidR="00B310E7" w:rsidRPr="00282AC9">
        <w:rPr>
          <w:rFonts w:hint="cs"/>
          <w:sz w:val="27"/>
          <w:rtl/>
        </w:rPr>
        <w:t>ْ</w:t>
      </w:r>
      <w:r w:rsidRPr="00282AC9">
        <w:rPr>
          <w:rFonts w:hint="cs"/>
          <w:sz w:val="27"/>
          <w:rtl/>
        </w:rPr>
        <w:t>ح، على كلا المسلكين. بل تكون هذه المسألة مسكوتاً عنها</w:t>
      </w:r>
      <w:r w:rsidR="00B310E7" w:rsidRPr="00282AC9">
        <w:rPr>
          <w:rFonts w:hint="cs"/>
          <w:sz w:val="27"/>
          <w:rtl/>
        </w:rPr>
        <w:t>؛</w:t>
      </w:r>
      <w:r w:rsidRPr="00282AC9">
        <w:rPr>
          <w:rFonts w:hint="cs"/>
          <w:sz w:val="27"/>
          <w:rtl/>
        </w:rPr>
        <w:t xml:space="preserve"> إذ بناء</w:t>
      </w:r>
      <w:r w:rsidR="00B310E7" w:rsidRPr="00282AC9">
        <w:rPr>
          <w:rFonts w:hint="cs"/>
          <w:sz w:val="27"/>
          <w:rtl/>
        </w:rPr>
        <w:t>ً</w:t>
      </w:r>
      <w:r w:rsidRPr="00282AC9">
        <w:rPr>
          <w:rFonts w:hint="cs"/>
          <w:sz w:val="27"/>
          <w:rtl/>
        </w:rPr>
        <w:t xml:space="preserve"> على المسلك الثاني لا نعلم ما إذا كان العقاب في هذه الحالة متنافراً مع القو</w:t>
      </w:r>
      <w:r w:rsidR="00B310E7" w:rsidRPr="00282AC9">
        <w:rPr>
          <w:rFonts w:hint="cs"/>
          <w:sz w:val="27"/>
          <w:rtl/>
        </w:rPr>
        <w:t>ّ</w:t>
      </w:r>
      <w:r w:rsidRPr="00282AC9">
        <w:rPr>
          <w:rFonts w:hint="cs"/>
          <w:sz w:val="27"/>
          <w:rtl/>
        </w:rPr>
        <w:t>ة العاقلة أم لا، وبالتالي لا يمكن القول بالق</w:t>
      </w:r>
      <w:r w:rsidR="00B310E7" w:rsidRPr="00282AC9">
        <w:rPr>
          <w:rFonts w:hint="cs"/>
          <w:sz w:val="27"/>
          <w:rtl/>
        </w:rPr>
        <w:t>ُ</w:t>
      </w:r>
      <w:r w:rsidRPr="00282AC9">
        <w:rPr>
          <w:rFonts w:hint="cs"/>
          <w:sz w:val="27"/>
          <w:rtl/>
        </w:rPr>
        <w:t>ب</w:t>
      </w:r>
      <w:r w:rsidR="00B310E7" w:rsidRPr="00282AC9">
        <w:rPr>
          <w:rFonts w:hint="cs"/>
          <w:sz w:val="27"/>
          <w:rtl/>
        </w:rPr>
        <w:t>ْ</w:t>
      </w:r>
      <w:r w:rsidRPr="00282AC9">
        <w:rPr>
          <w:rFonts w:hint="cs"/>
          <w:sz w:val="27"/>
          <w:rtl/>
        </w:rPr>
        <w:t>ح أو الحُس</w:t>
      </w:r>
      <w:r w:rsidR="00B310E7" w:rsidRPr="00282AC9">
        <w:rPr>
          <w:rFonts w:hint="cs"/>
          <w:sz w:val="27"/>
          <w:rtl/>
        </w:rPr>
        <w:t>ْ</w:t>
      </w:r>
      <w:r w:rsidRPr="00282AC9">
        <w:rPr>
          <w:rFonts w:hint="cs"/>
          <w:sz w:val="27"/>
          <w:rtl/>
        </w:rPr>
        <w:t>ن</w:t>
      </w:r>
      <w:r w:rsidR="00B310E7" w:rsidRPr="00282AC9">
        <w:rPr>
          <w:rFonts w:hint="cs"/>
          <w:sz w:val="27"/>
          <w:rtl/>
        </w:rPr>
        <w:t>؛</w:t>
      </w:r>
      <w:r w:rsidRPr="00282AC9">
        <w:rPr>
          <w:rFonts w:hint="cs"/>
          <w:sz w:val="27"/>
          <w:rtl/>
        </w:rPr>
        <w:t xml:space="preserve"> وبناء</w:t>
      </w:r>
      <w:r w:rsidR="00B310E7" w:rsidRPr="00282AC9">
        <w:rPr>
          <w:rFonts w:hint="cs"/>
          <w:sz w:val="27"/>
          <w:rtl/>
        </w:rPr>
        <w:t>ً</w:t>
      </w:r>
      <w:r w:rsidRPr="00282AC9">
        <w:rPr>
          <w:rFonts w:hint="cs"/>
          <w:sz w:val="27"/>
          <w:rtl/>
        </w:rPr>
        <w:t xml:space="preserve"> على المسلك الأو</w:t>
      </w:r>
      <w:r w:rsidR="00B310E7" w:rsidRPr="00282AC9">
        <w:rPr>
          <w:rFonts w:hint="cs"/>
          <w:sz w:val="27"/>
          <w:rtl/>
        </w:rPr>
        <w:t>ّ</w:t>
      </w:r>
      <w:r w:rsidRPr="00282AC9">
        <w:rPr>
          <w:rFonts w:hint="cs"/>
          <w:sz w:val="27"/>
          <w:rtl/>
        </w:rPr>
        <w:t>ل كذلك</w:t>
      </w:r>
      <w:r w:rsidR="00B310E7" w:rsidRPr="00282AC9">
        <w:rPr>
          <w:rFonts w:hint="cs"/>
          <w:sz w:val="27"/>
          <w:rtl/>
        </w:rPr>
        <w:t>،</w:t>
      </w:r>
      <w:r w:rsidRPr="00282AC9">
        <w:rPr>
          <w:rFonts w:hint="cs"/>
          <w:sz w:val="27"/>
          <w:rtl/>
        </w:rPr>
        <w:t xml:space="preserve"> حيث يكون بناء العقلاء على عدم العقاب</w:t>
      </w:r>
      <w:r w:rsidR="00B310E7" w:rsidRPr="00282AC9">
        <w:rPr>
          <w:rFonts w:hint="cs"/>
          <w:sz w:val="27"/>
          <w:rtl/>
        </w:rPr>
        <w:t>؛</w:t>
      </w:r>
      <w:r w:rsidRPr="00282AC9">
        <w:rPr>
          <w:rFonts w:hint="cs"/>
          <w:sz w:val="27"/>
          <w:rtl/>
        </w:rPr>
        <w:t xml:space="preserve"> وذلك من أجل حفظ النظام، كذلك لا يكون لدينا علم</w:t>
      </w:r>
      <w:r w:rsidR="00B310E7" w:rsidRPr="00282AC9">
        <w:rPr>
          <w:rFonts w:hint="cs"/>
          <w:sz w:val="27"/>
          <w:rtl/>
        </w:rPr>
        <w:t>ٌ</w:t>
      </w:r>
      <w:r w:rsidRPr="00282AC9">
        <w:rPr>
          <w:rFonts w:hint="cs"/>
          <w:sz w:val="27"/>
          <w:rtl/>
        </w:rPr>
        <w:t xml:space="preserve"> في البين؛ إذ</w:t>
      </w:r>
      <w:r w:rsidR="00B310E7" w:rsidRPr="00282AC9">
        <w:rPr>
          <w:rFonts w:hint="cs"/>
          <w:sz w:val="27"/>
          <w:rtl/>
        </w:rPr>
        <w:t xml:space="preserve"> لا نعلم ما إذا كان العقاب مخلاًّ</w:t>
      </w:r>
      <w:r w:rsidRPr="00282AC9">
        <w:rPr>
          <w:rFonts w:hint="cs"/>
          <w:sz w:val="27"/>
          <w:rtl/>
        </w:rPr>
        <w:t xml:space="preserve"> بالنظام أم لا، وليس لدينا أيّ طريق</w:t>
      </w:r>
      <w:r w:rsidR="00B310E7" w:rsidRPr="00282AC9">
        <w:rPr>
          <w:rFonts w:hint="cs"/>
          <w:sz w:val="27"/>
          <w:rtl/>
        </w:rPr>
        <w:t>ٍ</w:t>
      </w:r>
      <w:r w:rsidRPr="00282AC9">
        <w:rPr>
          <w:rFonts w:hint="cs"/>
          <w:sz w:val="27"/>
          <w:rtl/>
        </w:rPr>
        <w:t xml:space="preserve"> لإحراز هذه المسألة</w:t>
      </w:r>
      <w:r w:rsidR="00B310E7" w:rsidRPr="00282AC9">
        <w:rPr>
          <w:rFonts w:hint="cs"/>
          <w:sz w:val="27"/>
          <w:rtl/>
        </w:rPr>
        <w:t>.</w:t>
      </w:r>
      <w:r w:rsidRPr="00282AC9">
        <w:rPr>
          <w:rFonts w:hint="cs"/>
          <w:sz w:val="27"/>
          <w:rtl/>
        </w:rPr>
        <w:t xml:space="preserve"> وعليه </w:t>
      </w:r>
      <w:r w:rsidRPr="00282AC9">
        <w:rPr>
          <w:sz w:val="27"/>
          <w:rtl/>
        </w:rPr>
        <w:t xml:space="preserve">لا يمكن القول </w:t>
      </w:r>
      <w:r w:rsidRPr="00282AC9">
        <w:rPr>
          <w:rFonts w:hint="cs"/>
          <w:sz w:val="27"/>
          <w:rtl/>
        </w:rPr>
        <w:t xml:space="preserve">ـ </w:t>
      </w:r>
      <w:r w:rsidRPr="00282AC9">
        <w:rPr>
          <w:sz w:val="27"/>
          <w:rtl/>
        </w:rPr>
        <w:t>في مثل هذه الحالة</w:t>
      </w:r>
      <w:r w:rsidRPr="00282AC9">
        <w:rPr>
          <w:rFonts w:hint="cs"/>
          <w:sz w:val="27"/>
          <w:rtl/>
        </w:rPr>
        <w:t xml:space="preserve"> ـ بق</w:t>
      </w:r>
      <w:r w:rsidR="00B310E7" w:rsidRPr="00282AC9">
        <w:rPr>
          <w:rFonts w:hint="cs"/>
          <w:sz w:val="27"/>
          <w:rtl/>
        </w:rPr>
        <w:t>ُ</w:t>
      </w:r>
      <w:r w:rsidRPr="00282AC9">
        <w:rPr>
          <w:rFonts w:hint="cs"/>
          <w:sz w:val="27"/>
          <w:rtl/>
        </w:rPr>
        <w:t>ب</w:t>
      </w:r>
      <w:r w:rsidR="00B310E7" w:rsidRPr="00282AC9">
        <w:rPr>
          <w:rFonts w:hint="cs"/>
          <w:sz w:val="27"/>
          <w:rtl/>
        </w:rPr>
        <w:t>ْح</w:t>
      </w:r>
      <w:r w:rsidRPr="00282AC9">
        <w:rPr>
          <w:rFonts w:hint="cs"/>
          <w:sz w:val="27"/>
          <w:rtl/>
        </w:rPr>
        <w:t xml:space="preserve"> العقاب بلا بيان</w:t>
      </w:r>
      <w:r w:rsidR="00B310E7" w:rsidRPr="00282AC9">
        <w:rPr>
          <w:rFonts w:hint="cs"/>
          <w:sz w:val="27"/>
          <w:rtl/>
        </w:rPr>
        <w:t>ٍ</w:t>
      </w:r>
      <w:r w:rsidRPr="00282AC9">
        <w:rPr>
          <w:rFonts w:hint="cs"/>
          <w:sz w:val="27"/>
          <w:rtl/>
        </w:rPr>
        <w:t>، ولا القول بعد</w:t>
      </w:r>
      <w:r w:rsidR="00B310E7" w:rsidRPr="00282AC9">
        <w:rPr>
          <w:rFonts w:hint="cs"/>
          <w:sz w:val="27"/>
          <w:rtl/>
        </w:rPr>
        <w:t>م</w:t>
      </w:r>
      <w:r w:rsidRPr="00282AC9">
        <w:rPr>
          <w:rFonts w:hint="cs"/>
          <w:sz w:val="27"/>
          <w:rtl/>
        </w:rPr>
        <w:t xml:space="preserve"> الق</w:t>
      </w:r>
      <w:r w:rsidR="00B310E7" w:rsidRPr="00282AC9">
        <w:rPr>
          <w:rFonts w:hint="cs"/>
          <w:sz w:val="27"/>
          <w:rtl/>
        </w:rPr>
        <w:t>ُ</w:t>
      </w:r>
      <w:r w:rsidRPr="00282AC9">
        <w:rPr>
          <w:rFonts w:hint="cs"/>
          <w:sz w:val="27"/>
          <w:rtl/>
        </w:rPr>
        <w:t>ب</w:t>
      </w:r>
      <w:r w:rsidR="00B310E7" w:rsidRPr="00282AC9">
        <w:rPr>
          <w:rFonts w:hint="cs"/>
          <w:sz w:val="27"/>
          <w:rtl/>
        </w:rPr>
        <w:t>ْ</w:t>
      </w:r>
      <w:r w:rsidRPr="00282AC9">
        <w:rPr>
          <w:rFonts w:hint="cs"/>
          <w:sz w:val="27"/>
          <w:rtl/>
        </w:rPr>
        <w:t>ح</w:t>
      </w:r>
      <w:r w:rsidRPr="00282AC9">
        <w:rPr>
          <w:sz w:val="27"/>
          <w:vertAlign w:val="superscript"/>
          <w:rtl/>
        </w:rPr>
        <w:t>(</w:t>
      </w:r>
      <w:r w:rsidRPr="00282AC9">
        <w:rPr>
          <w:rStyle w:val="af9"/>
          <w:sz w:val="27"/>
          <w:rtl/>
        </w:rPr>
        <w:endnoteReference w:id="614"/>
      </w:r>
      <w:r w:rsidRPr="00282AC9">
        <w:rPr>
          <w:sz w:val="27"/>
          <w:vertAlign w:val="superscript"/>
          <w:rtl/>
        </w:rPr>
        <w:t>)</w:t>
      </w:r>
      <w:r w:rsidRPr="00282AC9">
        <w:rPr>
          <w:rFonts w:hint="cs"/>
          <w:sz w:val="27"/>
          <w:rtl/>
        </w:rPr>
        <w:t>.</w:t>
      </w:r>
    </w:p>
    <w:p w:rsidR="00F066C8" w:rsidRPr="00282AC9" w:rsidRDefault="00F066C8" w:rsidP="00F066C8">
      <w:pPr>
        <w:spacing w:line="420" w:lineRule="exact"/>
        <w:rPr>
          <w:rtl/>
        </w:rPr>
      </w:pPr>
    </w:p>
    <w:p w:rsidR="00DA2F6D" w:rsidRPr="00282AC9" w:rsidRDefault="007B03E3" w:rsidP="00BD3176">
      <w:pPr>
        <w:pStyle w:val="31"/>
        <w:rPr>
          <w:color w:val="auto"/>
          <w:rtl/>
        </w:rPr>
      </w:pPr>
      <w:r w:rsidRPr="00282AC9">
        <w:rPr>
          <w:rFonts w:hint="cs"/>
          <w:color w:val="auto"/>
          <w:rtl/>
        </w:rPr>
        <w:t>2ـ</w:t>
      </w:r>
      <w:r w:rsidR="00DA2F6D" w:rsidRPr="00282AC9">
        <w:rPr>
          <w:rFonts w:hint="cs"/>
          <w:color w:val="auto"/>
          <w:rtl/>
        </w:rPr>
        <w:t xml:space="preserve"> صحّة مؤاخذة المولى الشرعي</w:t>
      </w:r>
      <w:r w:rsidR="00B310E7" w:rsidRPr="00282AC9">
        <w:rPr>
          <w:rFonts w:hint="cs"/>
          <w:color w:val="auto"/>
          <w:rtl/>
        </w:rPr>
        <w:t>ّ</w:t>
      </w:r>
      <w:r w:rsidR="00DA2F6D" w:rsidRPr="00282AC9">
        <w:rPr>
          <w:rFonts w:hint="cs"/>
          <w:color w:val="auto"/>
          <w:rtl/>
        </w:rPr>
        <w:t xml:space="preserve"> في الدنيا</w:t>
      </w:r>
    </w:p>
    <w:p w:rsidR="00DA2F6D" w:rsidRPr="00282AC9" w:rsidRDefault="00DA2F6D" w:rsidP="00F066C8">
      <w:pPr>
        <w:rPr>
          <w:sz w:val="27"/>
          <w:rtl/>
        </w:rPr>
      </w:pPr>
      <w:r w:rsidRPr="00282AC9">
        <w:rPr>
          <w:rFonts w:hint="cs"/>
          <w:sz w:val="27"/>
          <w:rtl/>
        </w:rPr>
        <w:t>لو سل</w:t>
      </w:r>
      <w:r w:rsidR="00B310E7" w:rsidRPr="00282AC9">
        <w:rPr>
          <w:rFonts w:hint="cs"/>
          <w:sz w:val="27"/>
          <w:rtl/>
        </w:rPr>
        <w:t>َّ</w:t>
      </w:r>
      <w:r w:rsidRPr="00282AC9">
        <w:rPr>
          <w:rFonts w:hint="cs"/>
          <w:sz w:val="27"/>
          <w:rtl/>
        </w:rPr>
        <w:t>منا القول بق</w:t>
      </w:r>
      <w:r w:rsidR="00B310E7" w:rsidRPr="00282AC9">
        <w:rPr>
          <w:rFonts w:hint="cs"/>
          <w:sz w:val="27"/>
          <w:rtl/>
        </w:rPr>
        <w:t>ُ</w:t>
      </w:r>
      <w:r w:rsidRPr="00282AC9">
        <w:rPr>
          <w:rFonts w:hint="cs"/>
          <w:sz w:val="27"/>
          <w:rtl/>
        </w:rPr>
        <w:t>ب</w:t>
      </w:r>
      <w:r w:rsidR="00B310E7" w:rsidRPr="00282AC9">
        <w:rPr>
          <w:rFonts w:hint="cs"/>
          <w:sz w:val="27"/>
          <w:rtl/>
        </w:rPr>
        <w:t>ْ</w:t>
      </w:r>
      <w:r w:rsidRPr="00282AC9">
        <w:rPr>
          <w:rFonts w:hint="cs"/>
          <w:sz w:val="27"/>
          <w:rtl/>
        </w:rPr>
        <w:t>ح العقاب من المولى العُر</w:t>
      </w:r>
      <w:r w:rsidR="00B310E7" w:rsidRPr="00282AC9">
        <w:rPr>
          <w:rFonts w:hint="cs"/>
          <w:sz w:val="27"/>
          <w:rtl/>
        </w:rPr>
        <w:t>ْ</w:t>
      </w:r>
      <w:r w:rsidRPr="00282AC9">
        <w:rPr>
          <w:rFonts w:hint="cs"/>
          <w:sz w:val="27"/>
          <w:rtl/>
        </w:rPr>
        <w:t>في</w:t>
      </w:r>
      <w:r w:rsidR="00B310E7" w:rsidRPr="00282AC9">
        <w:rPr>
          <w:rFonts w:hint="cs"/>
          <w:sz w:val="27"/>
          <w:rtl/>
        </w:rPr>
        <w:t>؛</w:t>
      </w:r>
      <w:r w:rsidRPr="00282AC9">
        <w:rPr>
          <w:rFonts w:hint="cs"/>
          <w:sz w:val="27"/>
          <w:rtl/>
        </w:rPr>
        <w:t xml:space="preserve"> بسبب مخالفة العبد في حالة الشك</w:t>
      </w:r>
      <w:r w:rsidR="00B310E7" w:rsidRPr="00282AC9">
        <w:rPr>
          <w:rFonts w:hint="cs"/>
          <w:sz w:val="27"/>
          <w:rtl/>
        </w:rPr>
        <w:t>ّ</w:t>
      </w:r>
      <w:r w:rsidRPr="00282AC9">
        <w:rPr>
          <w:rFonts w:hint="cs"/>
          <w:sz w:val="27"/>
          <w:rtl/>
        </w:rPr>
        <w:t>، نقول: هل يصحّ عقاب العبد على المخالفة في ظرف الشك</w:t>
      </w:r>
      <w:r w:rsidR="00B310E7" w:rsidRPr="00282AC9">
        <w:rPr>
          <w:rFonts w:hint="cs"/>
          <w:sz w:val="27"/>
          <w:rtl/>
        </w:rPr>
        <w:t>ّ</w:t>
      </w:r>
      <w:r w:rsidRPr="00282AC9">
        <w:rPr>
          <w:rFonts w:hint="cs"/>
          <w:sz w:val="27"/>
          <w:rtl/>
        </w:rPr>
        <w:t>، من ق</w:t>
      </w:r>
      <w:r w:rsidR="00B310E7" w:rsidRPr="00282AC9">
        <w:rPr>
          <w:rFonts w:hint="cs"/>
          <w:sz w:val="27"/>
          <w:rtl/>
        </w:rPr>
        <w:t>ِ</w:t>
      </w:r>
      <w:r w:rsidRPr="00282AC9">
        <w:rPr>
          <w:rFonts w:hint="cs"/>
          <w:sz w:val="27"/>
          <w:rtl/>
        </w:rPr>
        <w:t>ب</w:t>
      </w:r>
      <w:r w:rsidR="00B310E7" w:rsidRPr="00282AC9">
        <w:rPr>
          <w:rFonts w:hint="cs"/>
          <w:sz w:val="27"/>
          <w:rtl/>
        </w:rPr>
        <w:t>َ</w:t>
      </w:r>
      <w:r w:rsidRPr="00282AC9">
        <w:rPr>
          <w:rFonts w:hint="cs"/>
          <w:sz w:val="27"/>
          <w:rtl/>
        </w:rPr>
        <w:t>ل المولى الشرعي</w:t>
      </w:r>
      <w:r w:rsidR="00B310E7" w:rsidRPr="00282AC9">
        <w:rPr>
          <w:rFonts w:hint="cs"/>
          <w:sz w:val="27"/>
          <w:rtl/>
        </w:rPr>
        <w:t>ّ</w:t>
      </w:r>
      <w:r w:rsidRPr="00282AC9">
        <w:rPr>
          <w:rFonts w:hint="cs"/>
          <w:sz w:val="27"/>
          <w:rtl/>
        </w:rPr>
        <w:t xml:space="preserve"> في الحياة الدنيا</w:t>
      </w:r>
      <w:r w:rsidR="001B75D5" w:rsidRPr="00282AC9">
        <w:rPr>
          <w:rFonts w:hint="cs"/>
          <w:sz w:val="27"/>
          <w:rtl/>
        </w:rPr>
        <w:t>،</w:t>
      </w:r>
      <w:r w:rsidRPr="00282AC9">
        <w:rPr>
          <w:rFonts w:hint="cs"/>
          <w:sz w:val="27"/>
          <w:rtl/>
        </w:rPr>
        <w:t xml:space="preserve"> أم لا؟</w:t>
      </w:r>
    </w:p>
    <w:p w:rsidR="00DA2F6D" w:rsidRPr="00282AC9" w:rsidRDefault="00DA2F6D" w:rsidP="00F066C8">
      <w:pPr>
        <w:rPr>
          <w:sz w:val="27"/>
          <w:rtl/>
        </w:rPr>
      </w:pPr>
      <w:r w:rsidRPr="00282AC9">
        <w:rPr>
          <w:rFonts w:hint="cs"/>
          <w:sz w:val="27"/>
          <w:rtl/>
        </w:rPr>
        <w:t>كذلك هنا لا يوجد ـ بناء</w:t>
      </w:r>
      <w:r w:rsidR="001B75D5" w:rsidRPr="00282AC9">
        <w:rPr>
          <w:rFonts w:hint="cs"/>
          <w:sz w:val="27"/>
          <w:rtl/>
        </w:rPr>
        <w:t>ً</w:t>
      </w:r>
      <w:r w:rsidRPr="00282AC9">
        <w:rPr>
          <w:rFonts w:hint="cs"/>
          <w:sz w:val="27"/>
          <w:rtl/>
        </w:rPr>
        <w:t xml:space="preserve"> على كلا المس</w:t>
      </w:r>
      <w:r w:rsidR="001B75D5" w:rsidRPr="00282AC9">
        <w:rPr>
          <w:rFonts w:hint="cs"/>
          <w:sz w:val="27"/>
          <w:rtl/>
        </w:rPr>
        <w:t>ل</w:t>
      </w:r>
      <w:r w:rsidRPr="00282AC9">
        <w:rPr>
          <w:rFonts w:hint="cs"/>
          <w:sz w:val="27"/>
          <w:rtl/>
        </w:rPr>
        <w:t>ك</w:t>
      </w:r>
      <w:r w:rsidR="001B75D5" w:rsidRPr="00282AC9">
        <w:rPr>
          <w:rFonts w:hint="cs"/>
          <w:sz w:val="27"/>
          <w:rtl/>
        </w:rPr>
        <w:t>َ</w:t>
      </w:r>
      <w:r w:rsidRPr="00282AC9">
        <w:rPr>
          <w:rFonts w:hint="cs"/>
          <w:sz w:val="27"/>
          <w:rtl/>
        </w:rPr>
        <w:t>ين المذكورين في باب الحُس</w:t>
      </w:r>
      <w:r w:rsidR="001B75D5" w:rsidRPr="00282AC9">
        <w:rPr>
          <w:rFonts w:hint="cs"/>
          <w:sz w:val="27"/>
          <w:rtl/>
        </w:rPr>
        <w:t>ْ</w:t>
      </w:r>
      <w:r w:rsidRPr="00282AC9">
        <w:rPr>
          <w:rFonts w:hint="cs"/>
          <w:sz w:val="27"/>
          <w:rtl/>
        </w:rPr>
        <w:t>ن والق</w:t>
      </w:r>
      <w:r w:rsidR="001B75D5" w:rsidRPr="00282AC9">
        <w:rPr>
          <w:rFonts w:hint="cs"/>
          <w:sz w:val="27"/>
          <w:rtl/>
        </w:rPr>
        <w:t>ُ</w:t>
      </w:r>
      <w:r w:rsidRPr="00282AC9">
        <w:rPr>
          <w:rFonts w:hint="cs"/>
          <w:sz w:val="27"/>
          <w:rtl/>
        </w:rPr>
        <w:t>ب</w:t>
      </w:r>
      <w:r w:rsidR="001B75D5" w:rsidRPr="00282AC9">
        <w:rPr>
          <w:rFonts w:hint="cs"/>
          <w:sz w:val="27"/>
          <w:rtl/>
        </w:rPr>
        <w:t>ْ</w:t>
      </w:r>
      <w:r w:rsidRPr="00282AC9">
        <w:rPr>
          <w:rFonts w:hint="cs"/>
          <w:sz w:val="27"/>
          <w:rtl/>
        </w:rPr>
        <w:t>ح ـ من طريق</w:t>
      </w:r>
      <w:r w:rsidR="001B75D5" w:rsidRPr="00282AC9">
        <w:rPr>
          <w:rFonts w:hint="cs"/>
          <w:sz w:val="27"/>
          <w:rtl/>
        </w:rPr>
        <w:t>ٍ</w:t>
      </w:r>
      <w:r w:rsidRPr="00282AC9">
        <w:rPr>
          <w:rFonts w:hint="cs"/>
          <w:sz w:val="27"/>
          <w:rtl/>
        </w:rPr>
        <w:t xml:space="preserve"> إلى الج</w:t>
      </w:r>
      <w:r w:rsidR="001B75D5" w:rsidRPr="00282AC9">
        <w:rPr>
          <w:rFonts w:hint="cs"/>
          <w:sz w:val="27"/>
          <w:rtl/>
        </w:rPr>
        <w:t>َ</w:t>
      </w:r>
      <w:r w:rsidRPr="00282AC9">
        <w:rPr>
          <w:rFonts w:hint="cs"/>
          <w:sz w:val="27"/>
          <w:rtl/>
        </w:rPr>
        <w:t>ز</w:t>
      </w:r>
      <w:r w:rsidR="001B75D5" w:rsidRPr="00282AC9">
        <w:rPr>
          <w:rFonts w:hint="cs"/>
          <w:sz w:val="27"/>
          <w:rtl/>
        </w:rPr>
        <w:t>ْ</w:t>
      </w:r>
      <w:r w:rsidRPr="00282AC9">
        <w:rPr>
          <w:rFonts w:hint="cs"/>
          <w:sz w:val="27"/>
          <w:rtl/>
        </w:rPr>
        <w:t>م بحكم العقل القائل بمثل هذا العقاب من ق</w:t>
      </w:r>
      <w:r w:rsidR="001B75D5" w:rsidRPr="00282AC9">
        <w:rPr>
          <w:rFonts w:hint="cs"/>
          <w:sz w:val="27"/>
          <w:rtl/>
        </w:rPr>
        <w:t>ِ</w:t>
      </w:r>
      <w:r w:rsidRPr="00282AC9">
        <w:rPr>
          <w:rFonts w:hint="cs"/>
          <w:sz w:val="27"/>
          <w:rtl/>
        </w:rPr>
        <w:t>ب</w:t>
      </w:r>
      <w:r w:rsidR="001B75D5" w:rsidRPr="00282AC9">
        <w:rPr>
          <w:rFonts w:hint="cs"/>
          <w:sz w:val="27"/>
          <w:rtl/>
        </w:rPr>
        <w:t>َ</w:t>
      </w:r>
      <w:r w:rsidRPr="00282AC9">
        <w:rPr>
          <w:rFonts w:hint="cs"/>
          <w:sz w:val="27"/>
          <w:rtl/>
        </w:rPr>
        <w:t>ل المولى الشرعي</w:t>
      </w:r>
      <w:r w:rsidR="001B75D5" w:rsidRPr="00282AC9">
        <w:rPr>
          <w:rFonts w:hint="cs"/>
          <w:sz w:val="27"/>
          <w:rtl/>
        </w:rPr>
        <w:t>ّ</w:t>
      </w:r>
      <w:r w:rsidRPr="00282AC9">
        <w:rPr>
          <w:rFonts w:hint="cs"/>
          <w:sz w:val="27"/>
          <w:rtl/>
        </w:rPr>
        <w:t xml:space="preserve"> الحقيقي</w:t>
      </w:r>
      <w:r w:rsidR="001B75D5" w:rsidRPr="00282AC9">
        <w:rPr>
          <w:rFonts w:hint="cs"/>
          <w:sz w:val="27"/>
          <w:rtl/>
        </w:rPr>
        <w:t>ّ</w:t>
      </w:r>
      <w:r w:rsidRPr="00282AC9">
        <w:rPr>
          <w:rFonts w:hint="cs"/>
          <w:sz w:val="27"/>
          <w:rtl/>
        </w:rPr>
        <w:t xml:space="preserve"> خالق العباد؛ إذ يحصل كثيراً أن يُب</w:t>
      </w:r>
      <w:r w:rsidR="001B75D5" w:rsidRPr="00282AC9">
        <w:rPr>
          <w:rFonts w:hint="cs"/>
          <w:sz w:val="27"/>
          <w:rtl/>
        </w:rPr>
        <w:t>ْ</w:t>
      </w:r>
      <w:r w:rsidRPr="00282AC9">
        <w:rPr>
          <w:rFonts w:hint="cs"/>
          <w:sz w:val="27"/>
          <w:rtl/>
        </w:rPr>
        <w:t>ت</w:t>
      </w:r>
      <w:r w:rsidR="001B75D5" w:rsidRPr="00282AC9">
        <w:rPr>
          <w:rFonts w:hint="cs"/>
          <w:sz w:val="27"/>
          <w:rtl/>
        </w:rPr>
        <w:t>َ</w:t>
      </w:r>
      <w:r w:rsidRPr="00282AC9">
        <w:rPr>
          <w:rFonts w:hint="cs"/>
          <w:sz w:val="27"/>
          <w:rtl/>
        </w:rPr>
        <w:t>لى المؤمنون والمطيعون بالأمراض الدنيوية</w:t>
      </w:r>
      <w:r w:rsidR="001B75D5" w:rsidRPr="00282AC9">
        <w:rPr>
          <w:rFonts w:hint="cs"/>
          <w:sz w:val="27"/>
          <w:rtl/>
        </w:rPr>
        <w:t>،</w:t>
      </w:r>
      <w:r w:rsidRPr="00282AC9">
        <w:rPr>
          <w:rFonts w:hint="cs"/>
          <w:sz w:val="27"/>
          <w:rtl/>
        </w:rPr>
        <w:t xml:space="preserve"> دون أن يكون في ذلك ق</w:t>
      </w:r>
      <w:r w:rsidR="001B75D5" w:rsidRPr="00282AC9">
        <w:rPr>
          <w:rFonts w:hint="cs"/>
          <w:sz w:val="27"/>
          <w:rtl/>
        </w:rPr>
        <w:t>ُ</w:t>
      </w:r>
      <w:r w:rsidRPr="00282AC9">
        <w:rPr>
          <w:rFonts w:hint="cs"/>
          <w:sz w:val="27"/>
          <w:rtl/>
        </w:rPr>
        <w:t>ب</w:t>
      </w:r>
      <w:r w:rsidR="001B75D5" w:rsidRPr="00282AC9">
        <w:rPr>
          <w:rFonts w:hint="cs"/>
          <w:sz w:val="27"/>
          <w:rtl/>
        </w:rPr>
        <w:t>ْ</w:t>
      </w:r>
      <w:r w:rsidRPr="00282AC9">
        <w:rPr>
          <w:rFonts w:hint="cs"/>
          <w:sz w:val="27"/>
          <w:rtl/>
        </w:rPr>
        <w:t>ح</w:t>
      </w:r>
      <w:r w:rsidR="001B75D5" w:rsidRPr="00282AC9">
        <w:rPr>
          <w:rFonts w:hint="cs"/>
          <w:sz w:val="27"/>
          <w:rtl/>
        </w:rPr>
        <w:t>ٌ</w:t>
      </w:r>
      <w:r w:rsidRPr="00282AC9">
        <w:rPr>
          <w:rFonts w:hint="cs"/>
          <w:sz w:val="27"/>
          <w:rtl/>
        </w:rPr>
        <w:t xml:space="preserve"> أصلاً، ناهيك عن أن يكون ذلك في حق</w:t>
      </w:r>
      <w:r w:rsidR="001B75D5" w:rsidRPr="00282AC9">
        <w:rPr>
          <w:rFonts w:hint="cs"/>
          <w:sz w:val="27"/>
          <w:rtl/>
        </w:rPr>
        <w:t>ّ</w:t>
      </w:r>
      <w:r w:rsidRPr="00282AC9">
        <w:rPr>
          <w:rFonts w:hint="cs"/>
          <w:sz w:val="27"/>
          <w:rtl/>
        </w:rPr>
        <w:t xml:space="preserve"> المخالف.</w:t>
      </w:r>
    </w:p>
    <w:p w:rsidR="00DA2F6D" w:rsidRPr="00282AC9" w:rsidRDefault="00DA2F6D" w:rsidP="00F066C8">
      <w:pPr>
        <w:rPr>
          <w:sz w:val="27"/>
          <w:rtl/>
        </w:rPr>
      </w:pPr>
      <w:r w:rsidRPr="00282AC9">
        <w:rPr>
          <w:rFonts w:hint="cs"/>
          <w:sz w:val="27"/>
          <w:rtl/>
        </w:rPr>
        <w:t>إن الوجه الرئيس في نفي حكم العقل بقبح العقاب في هذا المقام هو أن الحُس</w:t>
      </w:r>
      <w:r w:rsidR="001B75D5" w:rsidRPr="00282AC9">
        <w:rPr>
          <w:rFonts w:hint="cs"/>
          <w:sz w:val="27"/>
          <w:rtl/>
        </w:rPr>
        <w:t>ْ</w:t>
      </w:r>
      <w:r w:rsidRPr="00282AC9">
        <w:rPr>
          <w:rFonts w:hint="cs"/>
          <w:sz w:val="27"/>
          <w:rtl/>
        </w:rPr>
        <w:t>ن والق</w:t>
      </w:r>
      <w:r w:rsidR="001B75D5" w:rsidRPr="00282AC9">
        <w:rPr>
          <w:rFonts w:hint="cs"/>
          <w:sz w:val="27"/>
          <w:rtl/>
        </w:rPr>
        <w:t>ُ</w:t>
      </w:r>
      <w:r w:rsidRPr="00282AC9">
        <w:rPr>
          <w:rFonts w:hint="cs"/>
          <w:sz w:val="27"/>
          <w:rtl/>
        </w:rPr>
        <w:t>ب</w:t>
      </w:r>
      <w:r w:rsidR="001B75D5" w:rsidRPr="00282AC9">
        <w:rPr>
          <w:rFonts w:hint="cs"/>
          <w:sz w:val="27"/>
          <w:rtl/>
        </w:rPr>
        <w:t>ْ</w:t>
      </w:r>
      <w:r w:rsidRPr="00282AC9">
        <w:rPr>
          <w:rFonts w:hint="cs"/>
          <w:sz w:val="27"/>
          <w:rtl/>
        </w:rPr>
        <w:t>ح</w:t>
      </w:r>
      <w:r w:rsidR="001B75D5" w:rsidRPr="00282AC9">
        <w:rPr>
          <w:rFonts w:hint="cs"/>
          <w:sz w:val="27"/>
          <w:rtl/>
        </w:rPr>
        <w:t>،</w:t>
      </w:r>
      <w:r w:rsidRPr="00282AC9">
        <w:rPr>
          <w:rFonts w:hint="cs"/>
          <w:sz w:val="27"/>
          <w:rtl/>
        </w:rPr>
        <w:t xml:space="preserve"> بناء</w:t>
      </w:r>
      <w:r w:rsidR="001B75D5" w:rsidRPr="00282AC9">
        <w:rPr>
          <w:rFonts w:hint="cs"/>
          <w:sz w:val="27"/>
          <w:rtl/>
        </w:rPr>
        <w:t>ً</w:t>
      </w:r>
      <w:r w:rsidRPr="00282AC9">
        <w:rPr>
          <w:rFonts w:hint="cs"/>
          <w:sz w:val="27"/>
          <w:rtl/>
        </w:rPr>
        <w:t xml:space="preserve"> على كلا المسلكين المذكورين في المقد</w:t>
      </w:r>
      <w:r w:rsidR="001B75D5" w:rsidRPr="00282AC9">
        <w:rPr>
          <w:rFonts w:hint="cs"/>
          <w:sz w:val="27"/>
          <w:rtl/>
        </w:rPr>
        <w:t>ّ</w:t>
      </w:r>
      <w:r w:rsidRPr="00282AC9">
        <w:rPr>
          <w:rFonts w:hint="cs"/>
          <w:sz w:val="27"/>
          <w:rtl/>
        </w:rPr>
        <w:t>مة</w:t>
      </w:r>
      <w:r w:rsidR="001B75D5" w:rsidRPr="00282AC9">
        <w:rPr>
          <w:rFonts w:hint="cs"/>
          <w:sz w:val="27"/>
          <w:rtl/>
        </w:rPr>
        <w:t>،</w:t>
      </w:r>
      <w:r w:rsidRPr="00282AC9">
        <w:rPr>
          <w:rFonts w:hint="cs"/>
          <w:sz w:val="27"/>
          <w:rtl/>
        </w:rPr>
        <w:t xml:space="preserve"> يقوم على محور تحق</w:t>
      </w:r>
      <w:r w:rsidR="001B75D5" w:rsidRPr="00282AC9">
        <w:rPr>
          <w:rFonts w:hint="cs"/>
          <w:sz w:val="27"/>
          <w:rtl/>
        </w:rPr>
        <w:t>ُّ</w:t>
      </w:r>
      <w:r w:rsidRPr="00282AC9">
        <w:rPr>
          <w:rFonts w:hint="cs"/>
          <w:sz w:val="27"/>
          <w:rtl/>
        </w:rPr>
        <w:t>ق الظلم والعدل. وإن أساس الظلم والعدل يقوم على فرض الحقوق والحدود بين طرفين، بحيث يُع</w:t>
      </w:r>
      <w:r w:rsidR="001B75D5" w:rsidRPr="00282AC9">
        <w:rPr>
          <w:rFonts w:hint="cs"/>
          <w:sz w:val="27"/>
          <w:rtl/>
        </w:rPr>
        <w:t>َ</w:t>
      </w:r>
      <w:r w:rsidRPr="00282AC9">
        <w:rPr>
          <w:rFonts w:hint="cs"/>
          <w:sz w:val="27"/>
          <w:rtl/>
        </w:rPr>
        <w:t>دّ تجاوزه ظلماً</w:t>
      </w:r>
      <w:r w:rsidR="001B75D5" w:rsidRPr="00282AC9">
        <w:rPr>
          <w:rFonts w:hint="cs"/>
          <w:sz w:val="27"/>
          <w:rtl/>
        </w:rPr>
        <w:t>،</w:t>
      </w:r>
      <w:r w:rsidRPr="00282AC9">
        <w:rPr>
          <w:rFonts w:hint="cs"/>
          <w:sz w:val="27"/>
          <w:rtl/>
        </w:rPr>
        <w:t xml:space="preserve"> وعدم تجاوزه عدلاً. وهذه المسألة موجودة</w:t>
      </w:r>
      <w:r w:rsidR="00647E6C" w:rsidRPr="00282AC9">
        <w:rPr>
          <w:rFonts w:hint="cs"/>
          <w:sz w:val="27"/>
          <w:rtl/>
        </w:rPr>
        <w:t>ٌ</w:t>
      </w:r>
      <w:r w:rsidRPr="00282AC9">
        <w:rPr>
          <w:rFonts w:hint="cs"/>
          <w:sz w:val="27"/>
          <w:rtl/>
        </w:rPr>
        <w:t xml:space="preserve"> بين العبد والمولى الع</w:t>
      </w:r>
      <w:r w:rsidR="00647E6C" w:rsidRPr="00282AC9">
        <w:rPr>
          <w:rFonts w:hint="cs"/>
          <w:sz w:val="27"/>
          <w:rtl/>
        </w:rPr>
        <w:t>ُ</w:t>
      </w:r>
      <w:r w:rsidRPr="00282AC9">
        <w:rPr>
          <w:rFonts w:hint="cs"/>
          <w:sz w:val="27"/>
          <w:rtl/>
        </w:rPr>
        <w:t>ر</w:t>
      </w:r>
      <w:r w:rsidR="00647E6C" w:rsidRPr="00282AC9">
        <w:rPr>
          <w:rFonts w:hint="cs"/>
          <w:sz w:val="27"/>
          <w:rtl/>
        </w:rPr>
        <w:t>ْ</w:t>
      </w:r>
      <w:r w:rsidRPr="00282AC9">
        <w:rPr>
          <w:rFonts w:hint="cs"/>
          <w:sz w:val="27"/>
          <w:rtl/>
        </w:rPr>
        <w:t>في</w:t>
      </w:r>
      <w:r w:rsidR="00647E6C" w:rsidRPr="00282AC9">
        <w:rPr>
          <w:rFonts w:hint="cs"/>
          <w:sz w:val="27"/>
          <w:rtl/>
        </w:rPr>
        <w:t>،</w:t>
      </w:r>
      <w:r w:rsidRPr="00282AC9">
        <w:rPr>
          <w:rFonts w:hint="cs"/>
          <w:sz w:val="27"/>
          <w:rtl/>
        </w:rPr>
        <w:t xml:space="preserve"> وبين الأب والولد، وأما بين العبد والمولى الحقيقي</w:t>
      </w:r>
      <w:r w:rsidR="00647E6C" w:rsidRPr="00282AC9">
        <w:rPr>
          <w:rFonts w:hint="cs"/>
          <w:sz w:val="27"/>
          <w:rtl/>
        </w:rPr>
        <w:t>ّ</w:t>
      </w:r>
      <w:r w:rsidRPr="00282AC9">
        <w:rPr>
          <w:rFonts w:hint="cs"/>
          <w:sz w:val="27"/>
          <w:rtl/>
        </w:rPr>
        <w:t xml:space="preserve"> فلا يمكن تصوّ</w:t>
      </w:r>
      <w:r w:rsidR="00647E6C" w:rsidRPr="00282AC9">
        <w:rPr>
          <w:rFonts w:hint="cs"/>
          <w:sz w:val="27"/>
          <w:rtl/>
        </w:rPr>
        <w:t>ُ</w:t>
      </w:r>
      <w:r w:rsidRPr="00282AC9">
        <w:rPr>
          <w:rFonts w:hint="cs"/>
          <w:sz w:val="27"/>
          <w:rtl/>
        </w:rPr>
        <w:t>ر مثل هذا الحق</w:t>
      </w:r>
      <w:r w:rsidR="00647E6C" w:rsidRPr="00282AC9">
        <w:rPr>
          <w:rFonts w:hint="cs"/>
          <w:sz w:val="27"/>
          <w:rtl/>
        </w:rPr>
        <w:t>ّ</w:t>
      </w:r>
      <w:r w:rsidRPr="00282AC9">
        <w:rPr>
          <w:rFonts w:hint="cs"/>
          <w:sz w:val="27"/>
          <w:rtl/>
        </w:rPr>
        <w:t>؛ إذ لو تصوّ</w:t>
      </w:r>
      <w:r w:rsidR="00647E6C" w:rsidRPr="00282AC9">
        <w:rPr>
          <w:rFonts w:hint="cs"/>
          <w:sz w:val="27"/>
          <w:rtl/>
        </w:rPr>
        <w:t>َ</w:t>
      </w:r>
      <w:r w:rsidRPr="00282AC9">
        <w:rPr>
          <w:rFonts w:hint="cs"/>
          <w:sz w:val="27"/>
          <w:rtl/>
        </w:rPr>
        <w:t>رنا العلاقة بين العبد ومولاه الحقيقي</w:t>
      </w:r>
      <w:r w:rsidR="00647E6C" w:rsidRPr="00282AC9">
        <w:rPr>
          <w:rFonts w:hint="cs"/>
          <w:sz w:val="27"/>
          <w:rtl/>
        </w:rPr>
        <w:t>،</w:t>
      </w:r>
      <w:r w:rsidRPr="00282AC9">
        <w:rPr>
          <w:rFonts w:hint="cs"/>
          <w:sz w:val="27"/>
          <w:rtl/>
        </w:rPr>
        <w:t xml:space="preserve"> وتدبّ</w:t>
      </w:r>
      <w:r w:rsidR="00647E6C" w:rsidRPr="00282AC9">
        <w:rPr>
          <w:rFonts w:hint="cs"/>
          <w:sz w:val="27"/>
          <w:rtl/>
        </w:rPr>
        <w:t>َ</w:t>
      </w:r>
      <w:r w:rsidRPr="00282AC9">
        <w:rPr>
          <w:rFonts w:hint="cs"/>
          <w:sz w:val="27"/>
          <w:rtl/>
        </w:rPr>
        <w:t>رنا في ماهي</w:t>
      </w:r>
      <w:r w:rsidR="00647E6C" w:rsidRPr="00282AC9">
        <w:rPr>
          <w:rFonts w:hint="cs"/>
          <w:sz w:val="27"/>
          <w:rtl/>
        </w:rPr>
        <w:t>ّ</w:t>
      </w:r>
      <w:r w:rsidRPr="00282AC9">
        <w:rPr>
          <w:rFonts w:hint="cs"/>
          <w:sz w:val="27"/>
          <w:rtl/>
        </w:rPr>
        <w:t>ة هذه العلاقة، سوف ندرك أن العبد ليس له من حق</w:t>
      </w:r>
      <w:r w:rsidR="00647E6C" w:rsidRPr="00282AC9">
        <w:rPr>
          <w:rFonts w:hint="cs"/>
          <w:sz w:val="27"/>
          <w:rtl/>
        </w:rPr>
        <w:t>ٍّ</w:t>
      </w:r>
      <w:r w:rsidRPr="00282AC9">
        <w:rPr>
          <w:rFonts w:hint="cs"/>
          <w:sz w:val="27"/>
          <w:rtl/>
        </w:rPr>
        <w:t xml:space="preserve"> خاص</w:t>
      </w:r>
      <w:r w:rsidR="00647E6C" w:rsidRPr="00282AC9">
        <w:rPr>
          <w:rFonts w:hint="cs"/>
          <w:sz w:val="27"/>
          <w:rtl/>
        </w:rPr>
        <w:t>ّ</w:t>
      </w:r>
      <w:r w:rsidRPr="00282AC9">
        <w:rPr>
          <w:rFonts w:hint="cs"/>
          <w:sz w:val="27"/>
          <w:rtl/>
        </w:rPr>
        <w:t xml:space="preserve"> على مولاه الحقيقي؛ وذلك لأن المولى الحقيقي هو مالك</w:t>
      </w:r>
      <w:r w:rsidR="00647E6C" w:rsidRPr="00282AC9">
        <w:rPr>
          <w:rFonts w:hint="cs"/>
          <w:sz w:val="27"/>
          <w:rtl/>
        </w:rPr>
        <w:t>ٌ</w:t>
      </w:r>
      <w:r w:rsidRPr="00282AC9">
        <w:rPr>
          <w:rFonts w:hint="cs"/>
          <w:sz w:val="27"/>
          <w:rtl/>
        </w:rPr>
        <w:t xml:space="preserve"> وخالق للعبد، ولذلك يحق</w:t>
      </w:r>
      <w:r w:rsidR="00647E6C" w:rsidRPr="00282AC9">
        <w:rPr>
          <w:rFonts w:hint="cs"/>
          <w:sz w:val="27"/>
          <w:rtl/>
        </w:rPr>
        <w:t>ّ</w:t>
      </w:r>
      <w:r w:rsidRPr="00282AC9">
        <w:rPr>
          <w:rFonts w:hint="cs"/>
          <w:sz w:val="27"/>
          <w:rtl/>
        </w:rPr>
        <w:t xml:space="preserve"> له القيام بكل</w:t>
      </w:r>
      <w:r w:rsidR="00647E6C" w:rsidRPr="00282AC9">
        <w:rPr>
          <w:rFonts w:hint="cs"/>
          <w:sz w:val="27"/>
          <w:rtl/>
        </w:rPr>
        <w:t>ّ</w:t>
      </w:r>
      <w:r w:rsidRPr="00282AC9">
        <w:rPr>
          <w:rFonts w:hint="cs"/>
          <w:sz w:val="27"/>
          <w:rtl/>
        </w:rPr>
        <w:t xml:space="preserve"> فعل</w:t>
      </w:r>
      <w:r w:rsidR="00647E6C" w:rsidRPr="00282AC9">
        <w:rPr>
          <w:rFonts w:hint="cs"/>
          <w:sz w:val="27"/>
          <w:rtl/>
        </w:rPr>
        <w:t>ٍ</w:t>
      </w:r>
      <w:r w:rsidRPr="00282AC9">
        <w:rPr>
          <w:rFonts w:hint="cs"/>
          <w:sz w:val="27"/>
          <w:rtl/>
        </w:rPr>
        <w:t xml:space="preserve"> وتصر</w:t>
      </w:r>
      <w:r w:rsidR="00647E6C" w:rsidRPr="00282AC9">
        <w:rPr>
          <w:rFonts w:hint="cs"/>
          <w:sz w:val="27"/>
          <w:rtl/>
        </w:rPr>
        <w:t>ُّ</w:t>
      </w:r>
      <w:r w:rsidRPr="00282AC9">
        <w:rPr>
          <w:rFonts w:hint="cs"/>
          <w:sz w:val="27"/>
          <w:rtl/>
        </w:rPr>
        <w:t>ف</w:t>
      </w:r>
      <w:r w:rsidR="00647E6C" w:rsidRPr="00282AC9">
        <w:rPr>
          <w:rFonts w:hint="cs"/>
          <w:sz w:val="27"/>
          <w:rtl/>
        </w:rPr>
        <w:t>ٍ</w:t>
      </w:r>
      <w:r w:rsidRPr="00282AC9">
        <w:rPr>
          <w:rFonts w:hint="cs"/>
          <w:sz w:val="27"/>
          <w:rtl/>
        </w:rPr>
        <w:t xml:space="preserve"> تجاه هذا العبد، كأن</w:t>
      </w:r>
      <w:r w:rsidR="00647E6C" w:rsidRPr="00282AC9">
        <w:rPr>
          <w:rFonts w:hint="cs"/>
          <w:sz w:val="27"/>
          <w:rtl/>
        </w:rPr>
        <w:t>ْ</w:t>
      </w:r>
      <w:r w:rsidRPr="00282AC9">
        <w:rPr>
          <w:rFonts w:hint="cs"/>
          <w:sz w:val="27"/>
          <w:rtl/>
        </w:rPr>
        <w:t xml:space="preserve"> </w:t>
      </w:r>
      <w:r w:rsidRPr="00282AC9">
        <w:rPr>
          <w:rFonts w:hint="cs"/>
          <w:sz w:val="27"/>
          <w:rtl/>
        </w:rPr>
        <w:lastRenderedPageBreak/>
        <w:t>يبتليه بالمرض أو الفقر وما إلى ذلك</w:t>
      </w:r>
      <w:r w:rsidR="00647E6C" w:rsidRPr="00282AC9">
        <w:rPr>
          <w:rFonts w:hint="cs"/>
          <w:sz w:val="27"/>
          <w:rtl/>
        </w:rPr>
        <w:t>،</w:t>
      </w:r>
      <w:r w:rsidRPr="00282AC9">
        <w:rPr>
          <w:rFonts w:hint="cs"/>
          <w:sz w:val="27"/>
          <w:rtl/>
        </w:rPr>
        <w:t xml:space="preserve"> سواء أكان العبد في</w:t>
      </w:r>
      <w:r w:rsidR="00647E6C" w:rsidRPr="00282AC9">
        <w:rPr>
          <w:rFonts w:hint="cs"/>
          <w:sz w:val="27"/>
          <w:rtl/>
        </w:rPr>
        <w:t xml:space="preserve"> </w:t>
      </w:r>
      <w:r w:rsidRPr="00282AC9">
        <w:rPr>
          <w:rFonts w:hint="cs"/>
          <w:sz w:val="27"/>
          <w:rtl/>
        </w:rPr>
        <w:t>ما يتعل</w:t>
      </w:r>
      <w:r w:rsidR="00647E6C" w:rsidRPr="00282AC9">
        <w:rPr>
          <w:rFonts w:hint="cs"/>
          <w:sz w:val="27"/>
          <w:rtl/>
        </w:rPr>
        <w:t>َّ</w:t>
      </w:r>
      <w:r w:rsidRPr="00282AC9">
        <w:rPr>
          <w:rFonts w:hint="cs"/>
          <w:sz w:val="27"/>
          <w:rtl/>
        </w:rPr>
        <w:t>ق بالمخالفة عالماً أو جاهلاً. فحت</w:t>
      </w:r>
      <w:r w:rsidR="00647E6C" w:rsidRPr="00282AC9">
        <w:rPr>
          <w:rFonts w:hint="cs"/>
          <w:sz w:val="27"/>
          <w:rtl/>
        </w:rPr>
        <w:t>ّ</w:t>
      </w:r>
      <w:r w:rsidRPr="00282AC9">
        <w:rPr>
          <w:rFonts w:hint="cs"/>
          <w:sz w:val="27"/>
          <w:rtl/>
        </w:rPr>
        <w:t>ى إذا كان العبد مطيعاً لن يكون في قيام المولى بهذه الأمور إشكال</w:t>
      </w:r>
      <w:r w:rsidR="00647E6C" w:rsidRPr="00282AC9">
        <w:rPr>
          <w:rFonts w:hint="cs"/>
          <w:sz w:val="27"/>
          <w:rtl/>
        </w:rPr>
        <w:t>ٌ</w:t>
      </w:r>
      <w:r w:rsidRPr="00282AC9">
        <w:rPr>
          <w:rFonts w:hint="cs"/>
          <w:sz w:val="27"/>
          <w:rtl/>
        </w:rPr>
        <w:t>. وهذه المسألة لا تتنافى مع بناء العقلاء، ولا تتنافر مع القوّة العاقلة أيضاً</w:t>
      </w:r>
      <w:r w:rsidRPr="00282AC9">
        <w:rPr>
          <w:sz w:val="27"/>
          <w:vertAlign w:val="superscript"/>
          <w:rtl/>
        </w:rPr>
        <w:t>(</w:t>
      </w:r>
      <w:r w:rsidRPr="00282AC9">
        <w:rPr>
          <w:rStyle w:val="af9"/>
          <w:sz w:val="27"/>
          <w:rtl/>
        </w:rPr>
        <w:endnoteReference w:id="615"/>
      </w:r>
      <w:r w:rsidRPr="00282AC9">
        <w:rPr>
          <w:sz w:val="27"/>
          <w:vertAlign w:val="superscript"/>
          <w:rtl/>
        </w:rPr>
        <w:t>)</w:t>
      </w:r>
      <w:r w:rsidRPr="00282AC9">
        <w:rPr>
          <w:rFonts w:hint="cs"/>
          <w:sz w:val="27"/>
          <w:rtl/>
        </w:rPr>
        <w:t xml:space="preserve">. </w:t>
      </w:r>
    </w:p>
    <w:p w:rsidR="00F066C8" w:rsidRPr="00282AC9" w:rsidRDefault="00F066C8" w:rsidP="00F066C8">
      <w:pPr>
        <w:spacing w:line="420" w:lineRule="exact"/>
        <w:rPr>
          <w:rtl/>
        </w:rPr>
      </w:pPr>
    </w:p>
    <w:p w:rsidR="00DA2F6D" w:rsidRPr="00282AC9" w:rsidRDefault="007B03E3" w:rsidP="007B03E3">
      <w:pPr>
        <w:pStyle w:val="31"/>
        <w:rPr>
          <w:color w:val="auto"/>
          <w:rtl/>
        </w:rPr>
      </w:pPr>
      <w:r w:rsidRPr="00282AC9">
        <w:rPr>
          <w:rFonts w:hint="cs"/>
          <w:color w:val="auto"/>
          <w:rtl/>
        </w:rPr>
        <w:t>3ـ</w:t>
      </w:r>
      <w:r w:rsidR="00DA2F6D" w:rsidRPr="00282AC9">
        <w:rPr>
          <w:rFonts w:hint="cs"/>
          <w:color w:val="auto"/>
          <w:rtl/>
        </w:rPr>
        <w:t xml:space="preserve"> صح</w:t>
      </w:r>
      <w:r w:rsidR="00647E6C" w:rsidRPr="00282AC9">
        <w:rPr>
          <w:rFonts w:hint="cs"/>
          <w:color w:val="auto"/>
          <w:rtl/>
        </w:rPr>
        <w:t>ّ</w:t>
      </w:r>
      <w:r w:rsidR="00DA2F6D" w:rsidRPr="00282AC9">
        <w:rPr>
          <w:rFonts w:hint="cs"/>
          <w:color w:val="auto"/>
          <w:rtl/>
        </w:rPr>
        <w:t>ة العقاب في الآخرة على مخالفة العبد في ظرف الشك</w:t>
      </w:r>
      <w:r w:rsidR="00F40C5B" w:rsidRPr="00282AC9">
        <w:rPr>
          <w:rFonts w:hint="cs"/>
          <w:color w:val="auto"/>
          <w:rtl/>
        </w:rPr>
        <w:t>ّ</w:t>
      </w:r>
      <w:r w:rsidR="00DA2F6D" w:rsidRPr="00282AC9">
        <w:rPr>
          <w:rFonts w:hint="cs"/>
          <w:color w:val="auto"/>
          <w:rtl/>
        </w:rPr>
        <w:t xml:space="preserve"> </w:t>
      </w:r>
    </w:p>
    <w:p w:rsidR="00F40C5B" w:rsidRPr="00282AC9" w:rsidRDefault="00DA2F6D" w:rsidP="00F066C8">
      <w:pPr>
        <w:rPr>
          <w:sz w:val="27"/>
          <w:rtl/>
        </w:rPr>
      </w:pPr>
      <w:r w:rsidRPr="00282AC9">
        <w:rPr>
          <w:rFonts w:hint="cs"/>
          <w:sz w:val="27"/>
          <w:rtl/>
        </w:rPr>
        <w:t>كما سبق أن ذكرنا في المقد</w:t>
      </w:r>
      <w:r w:rsidR="00F40C5B" w:rsidRPr="00282AC9">
        <w:rPr>
          <w:rFonts w:hint="cs"/>
          <w:sz w:val="27"/>
          <w:rtl/>
        </w:rPr>
        <w:t>ّ</w:t>
      </w:r>
      <w:r w:rsidRPr="00282AC9">
        <w:rPr>
          <w:rFonts w:hint="cs"/>
          <w:sz w:val="27"/>
          <w:rtl/>
        </w:rPr>
        <w:t>مة فإن الذي يحظى بالأهم</w:t>
      </w:r>
      <w:r w:rsidR="00F40C5B" w:rsidRPr="00282AC9">
        <w:rPr>
          <w:rFonts w:hint="cs"/>
          <w:sz w:val="27"/>
          <w:rtl/>
        </w:rPr>
        <w:t>ّ</w:t>
      </w:r>
      <w:r w:rsidRPr="00282AC9">
        <w:rPr>
          <w:rFonts w:hint="cs"/>
          <w:sz w:val="27"/>
          <w:rtl/>
        </w:rPr>
        <w:t>ية قبل غيره في هذه النظرية هو القسم الثالث. ومن الجدير ذكر</w:t>
      </w:r>
      <w:r w:rsidR="00F40C5B" w:rsidRPr="00282AC9">
        <w:rPr>
          <w:rFonts w:hint="cs"/>
          <w:sz w:val="27"/>
          <w:rtl/>
        </w:rPr>
        <w:t>ُ</w:t>
      </w:r>
      <w:r w:rsidRPr="00282AC9">
        <w:rPr>
          <w:rFonts w:hint="cs"/>
          <w:sz w:val="27"/>
          <w:rtl/>
        </w:rPr>
        <w:t>ه أن هناك نظري</w:t>
      </w:r>
      <w:r w:rsidR="00F40C5B" w:rsidRPr="00282AC9">
        <w:rPr>
          <w:rFonts w:hint="cs"/>
          <w:sz w:val="27"/>
          <w:rtl/>
        </w:rPr>
        <w:t>ّ</w:t>
      </w:r>
      <w:r w:rsidRPr="00282AC9">
        <w:rPr>
          <w:rFonts w:hint="cs"/>
          <w:sz w:val="27"/>
          <w:rtl/>
        </w:rPr>
        <w:t>ات</w:t>
      </w:r>
      <w:r w:rsidR="00F40C5B" w:rsidRPr="00282AC9">
        <w:rPr>
          <w:rFonts w:hint="cs"/>
          <w:sz w:val="27"/>
          <w:rtl/>
        </w:rPr>
        <w:t>ٍ</w:t>
      </w:r>
      <w:r w:rsidRPr="00282AC9">
        <w:rPr>
          <w:rFonts w:hint="cs"/>
          <w:sz w:val="27"/>
          <w:rtl/>
        </w:rPr>
        <w:t xml:space="preserve"> متعدّ</w:t>
      </w:r>
      <w:r w:rsidR="00F40C5B" w:rsidRPr="00282AC9">
        <w:rPr>
          <w:rFonts w:hint="cs"/>
          <w:sz w:val="27"/>
          <w:rtl/>
        </w:rPr>
        <w:t>ِ</w:t>
      </w:r>
      <w:r w:rsidRPr="00282AC9">
        <w:rPr>
          <w:rFonts w:hint="cs"/>
          <w:sz w:val="27"/>
          <w:rtl/>
        </w:rPr>
        <w:t>دة</w:t>
      </w:r>
      <w:r w:rsidR="00F40C5B" w:rsidRPr="00282AC9">
        <w:rPr>
          <w:rFonts w:hint="cs"/>
          <w:sz w:val="27"/>
          <w:rtl/>
        </w:rPr>
        <w:t>ً</w:t>
      </w:r>
      <w:r w:rsidRPr="00282AC9">
        <w:rPr>
          <w:rFonts w:hint="cs"/>
          <w:sz w:val="27"/>
          <w:rtl/>
        </w:rPr>
        <w:t xml:space="preserve"> بشأن ماهية الثواب والعقاب الأخروي. ويرى سماحته أن هذا الاختلاف في المباني يؤث</w:t>
      </w:r>
      <w:r w:rsidR="00F40C5B" w:rsidRPr="00282AC9">
        <w:rPr>
          <w:rFonts w:hint="cs"/>
          <w:sz w:val="27"/>
          <w:rtl/>
        </w:rPr>
        <w:t>ِّ</w:t>
      </w:r>
      <w:r w:rsidRPr="00282AC9">
        <w:rPr>
          <w:rFonts w:hint="cs"/>
          <w:sz w:val="27"/>
          <w:rtl/>
        </w:rPr>
        <w:t>ر في هذا البحث. ولذلك سوف نعمل في البداية على ذكر هذه المباني بشكل</w:t>
      </w:r>
      <w:r w:rsidR="00F40C5B" w:rsidRPr="00282AC9">
        <w:rPr>
          <w:rFonts w:hint="cs"/>
          <w:sz w:val="27"/>
          <w:rtl/>
        </w:rPr>
        <w:t>ٍ مختصر:</w:t>
      </w:r>
    </w:p>
    <w:p w:rsidR="00DA2F6D" w:rsidRPr="00282AC9" w:rsidRDefault="00DA2F6D" w:rsidP="00F066C8">
      <w:pPr>
        <w:rPr>
          <w:sz w:val="27"/>
          <w:rtl/>
        </w:rPr>
      </w:pPr>
      <w:r w:rsidRPr="00282AC9">
        <w:rPr>
          <w:rFonts w:hint="cs"/>
          <w:sz w:val="27"/>
          <w:rtl/>
        </w:rPr>
        <w:t>قال سماحته بوجود ثلاثة اتجاهات في ماهية الثواب والعقاب الأخروي:</w:t>
      </w:r>
    </w:p>
    <w:p w:rsidR="00DA2F6D" w:rsidRPr="00282AC9" w:rsidRDefault="00DA2F6D" w:rsidP="00F066C8">
      <w:pPr>
        <w:rPr>
          <w:sz w:val="27"/>
          <w:rtl/>
        </w:rPr>
      </w:pPr>
      <w:r w:rsidRPr="00282AC9">
        <w:rPr>
          <w:rFonts w:hint="cs"/>
          <w:b/>
          <w:bCs/>
          <w:sz w:val="27"/>
          <w:rtl/>
        </w:rPr>
        <w:t>1ـ نظرية تجسّ</w:t>
      </w:r>
      <w:r w:rsidR="00F40C5B" w:rsidRPr="00282AC9">
        <w:rPr>
          <w:rFonts w:hint="cs"/>
          <w:b/>
          <w:bCs/>
          <w:sz w:val="27"/>
          <w:rtl/>
        </w:rPr>
        <w:t>ُ</w:t>
      </w:r>
      <w:r w:rsidRPr="00282AC9">
        <w:rPr>
          <w:rFonts w:hint="cs"/>
          <w:b/>
          <w:bCs/>
          <w:sz w:val="27"/>
          <w:rtl/>
        </w:rPr>
        <w:t>م الأعمال</w:t>
      </w:r>
      <w:r w:rsidRPr="00282AC9">
        <w:rPr>
          <w:rFonts w:hint="cs"/>
          <w:sz w:val="27"/>
          <w:rtl/>
        </w:rPr>
        <w:t>: هناك م</w:t>
      </w:r>
      <w:r w:rsidR="00F40C5B" w:rsidRPr="00282AC9">
        <w:rPr>
          <w:rFonts w:hint="cs"/>
          <w:sz w:val="27"/>
          <w:rtl/>
        </w:rPr>
        <w:t>َ</w:t>
      </w:r>
      <w:r w:rsidRPr="00282AC9">
        <w:rPr>
          <w:rFonts w:hint="cs"/>
          <w:sz w:val="27"/>
          <w:rtl/>
        </w:rPr>
        <w:t>ن</w:t>
      </w:r>
      <w:r w:rsidR="00F40C5B" w:rsidRPr="00282AC9">
        <w:rPr>
          <w:rFonts w:hint="cs"/>
          <w:sz w:val="27"/>
          <w:rtl/>
        </w:rPr>
        <w:t>ْ</w:t>
      </w:r>
      <w:r w:rsidRPr="00282AC9">
        <w:rPr>
          <w:rFonts w:hint="cs"/>
          <w:sz w:val="27"/>
          <w:rtl/>
        </w:rPr>
        <w:t xml:space="preserve"> يعتبر الثواب والعقاب من باب تجسّ</w:t>
      </w:r>
      <w:r w:rsidR="00F40C5B" w:rsidRPr="00282AC9">
        <w:rPr>
          <w:rFonts w:hint="cs"/>
          <w:sz w:val="27"/>
          <w:rtl/>
        </w:rPr>
        <w:t>ُ</w:t>
      </w:r>
      <w:r w:rsidRPr="00282AC9">
        <w:rPr>
          <w:rFonts w:hint="cs"/>
          <w:sz w:val="27"/>
          <w:rtl/>
        </w:rPr>
        <w:t>م الأعمال</w:t>
      </w:r>
      <w:r w:rsidR="00F40C5B" w:rsidRPr="00282AC9">
        <w:rPr>
          <w:rFonts w:hint="cs"/>
          <w:sz w:val="27"/>
          <w:rtl/>
        </w:rPr>
        <w:t xml:space="preserve">، </w:t>
      </w:r>
      <w:r w:rsidRPr="00282AC9">
        <w:rPr>
          <w:rFonts w:hint="cs"/>
          <w:sz w:val="27"/>
          <w:rtl/>
        </w:rPr>
        <w:t>بمعنى أن العمل والثواب والعقاب ليسا شيئين، وإنما هما حقيقة</w:t>
      </w:r>
      <w:r w:rsidR="00F40C5B" w:rsidRPr="00282AC9">
        <w:rPr>
          <w:rFonts w:hint="cs"/>
          <w:sz w:val="27"/>
          <w:rtl/>
        </w:rPr>
        <w:t>ٌ</w:t>
      </w:r>
      <w:r w:rsidRPr="00282AC9">
        <w:rPr>
          <w:rFonts w:hint="cs"/>
          <w:sz w:val="27"/>
          <w:rtl/>
        </w:rPr>
        <w:t xml:space="preserve"> واحدة</w:t>
      </w:r>
      <w:r w:rsidR="00F40C5B" w:rsidRPr="00282AC9">
        <w:rPr>
          <w:rFonts w:hint="cs"/>
          <w:sz w:val="27"/>
          <w:rtl/>
        </w:rPr>
        <w:t>.</w:t>
      </w:r>
      <w:r w:rsidRPr="00282AC9">
        <w:rPr>
          <w:rFonts w:hint="cs"/>
          <w:sz w:val="27"/>
          <w:rtl/>
        </w:rPr>
        <w:t xml:space="preserve"> فإن حقيقة العمل القبيح هو ذات العقاب والهوان والبؤس والخسران؛ حيث ستظهر لنا هذه الحقيقة ماثلة</w:t>
      </w:r>
      <w:r w:rsidR="00F40C5B" w:rsidRPr="00282AC9">
        <w:rPr>
          <w:rFonts w:hint="cs"/>
          <w:sz w:val="27"/>
          <w:rtl/>
        </w:rPr>
        <w:t>ً</w:t>
      </w:r>
      <w:r w:rsidRPr="00282AC9">
        <w:rPr>
          <w:rFonts w:hint="cs"/>
          <w:sz w:val="27"/>
          <w:rtl/>
        </w:rPr>
        <w:t xml:space="preserve"> في عالم الآخرة؛ ولذلك نتعرّ</w:t>
      </w:r>
      <w:r w:rsidR="00F40C5B" w:rsidRPr="00282AC9">
        <w:rPr>
          <w:rFonts w:hint="cs"/>
          <w:sz w:val="27"/>
          <w:rtl/>
        </w:rPr>
        <w:t>َ</w:t>
      </w:r>
      <w:r w:rsidRPr="00282AC9">
        <w:rPr>
          <w:rFonts w:hint="cs"/>
          <w:sz w:val="27"/>
          <w:rtl/>
        </w:rPr>
        <w:t>ض للعقاب. كما أن حقيقة العمل الصالح هو الجن</w:t>
      </w:r>
      <w:r w:rsidR="00F40C5B" w:rsidRPr="00282AC9">
        <w:rPr>
          <w:rFonts w:hint="cs"/>
          <w:sz w:val="27"/>
          <w:rtl/>
        </w:rPr>
        <w:t>ّ</w:t>
      </w:r>
      <w:r w:rsidRPr="00282AC9">
        <w:rPr>
          <w:rFonts w:hint="cs"/>
          <w:sz w:val="27"/>
          <w:rtl/>
        </w:rPr>
        <w:t>ة والسعادة والثواب</w:t>
      </w:r>
      <w:r w:rsidR="00F40C5B" w:rsidRPr="00282AC9">
        <w:rPr>
          <w:rFonts w:hint="cs"/>
          <w:sz w:val="27"/>
          <w:rtl/>
        </w:rPr>
        <w:t>؛</w:t>
      </w:r>
      <w:r w:rsidRPr="00282AC9">
        <w:rPr>
          <w:rFonts w:hint="cs"/>
          <w:sz w:val="27"/>
          <w:rtl/>
        </w:rPr>
        <w:t xml:space="preserve"> حيث ستظهر لنا هذه الحقيقة ب</w:t>
      </w:r>
      <w:r w:rsidR="00EE6DBA" w:rsidRPr="00282AC9">
        <w:rPr>
          <w:rFonts w:hint="cs"/>
          <w:sz w:val="27"/>
          <w:rtl/>
        </w:rPr>
        <w:t>دَوْر</w:t>
      </w:r>
      <w:r w:rsidRPr="00282AC9">
        <w:rPr>
          <w:rFonts w:hint="cs"/>
          <w:sz w:val="27"/>
          <w:rtl/>
        </w:rPr>
        <w:t xml:space="preserve">ها في عالم الآخرة أيضاً. وفي الحقيقة فإننا سوف نواجه أعمالنا وأفعالنا. </w:t>
      </w:r>
      <w:r w:rsidR="00F40C5B" w:rsidRPr="00282AC9">
        <w:rPr>
          <w:rFonts w:hint="cs"/>
          <w:sz w:val="27"/>
          <w:rtl/>
        </w:rPr>
        <w:t>و</w:t>
      </w:r>
      <w:r w:rsidRPr="00282AC9">
        <w:rPr>
          <w:rFonts w:hint="cs"/>
          <w:sz w:val="27"/>
          <w:rtl/>
        </w:rPr>
        <w:t>من ذلك</w:t>
      </w:r>
      <w:r w:rsidR="00F40C5B" w:rsidRPr="00282AC9">
        <w:rPr>
          <w:rFonts w:hint="cs"/>
          <w:sz w:val="27"/>
          <w:rtl/>
        </w:rPr>
        <w:t>،</w:t>
      </w:r>
      <w:r w:rsidRPr="00282AC9">
        <w:rPr>
          <w:rFonts w:hint="cs"/>
          <w:sz w:val="27"/>
          <w:rtl/>
        </w:rPr>
        <w:t xml:space="preserve"> على سبيل المثال</w:t>
      </w:r>
      <w:r w:rsidR="00F40C5B" w:rsidRPr="00282AC9">
        <w:rPr>
          <w:rFonts w:hint="cs"/>
          <w:sz w:val="27"/>
          <w:rtl/>
        </w:rPr>
        <w:t>،</w:t>
      </w:r>
      <w:r w:rsidRPr="00282AC9">
        <w:rPr>
          <w:rFonts w:hint="cs"/>
          <w:sz w:val="27"/>
          <w:rtl/>
        </w:rPr>
        <w:t xml:space="preserve"> أن المعصية سوف تظهر لنا في مقام التجسّ</w:t>
      </w:r>
      <w:r w:rsidR="00F40C5B" w:rsidRPr="00282AC9">
        <w:rPr>
          <w:rFonts w:hint="cs"/>
          <w:sz w:val="27"/>
          <w:rtl/>
        </w:rPr>
        <w:t>ُ</w:t>
      </w:r>
      <w:r w:rsidRPr="00282AC9">
        <w:rPr>
          <w:rFonts w:hint="cs"/>
          <w:sz w:val="27"/>
          <w:rtl/>
        </w:rPr>
        <w:t>م على شكل عقرب</w:t>
      </w:r>
      <w:r w:rsidR="00F40C5B" w:rsidRPr="00282AC9">
        <w:rPr>
          <w:rFonts w:hint="cs"/>
          <w:sz w:val="27"/>
          <w:rtl/>
        </w:rPr>
        <w:t>ٍ</w:t>
      </w:r>
      <w:r w:rsidRPr="00282AC9">
        <w:rPr>
          <w:rFonts w:hint="cs"/>
          <w:sz w:val="27"/>
          <w:rtl/>
        </w:rPr>
        <w:t>، وتظهر الطاعة في مقام التجسّ</w:t>
      </w:r>
      <w:r w:rsidR="00F40C5B" w:rsidRPr="00282AC9">
        <w:rPr>
          <w:rFonts w:hint="cs"/>
          <w:sz w:val="27"/>
          <w:rtl/>
        </w:rPr>
        <w:t>ُ</w:t>
      </w:r>
      <w:r w:rsidRPr="00282AC9">
        <w:rPr>
          <w:rFonts w:hint="cs"/>
          <w:sz w:val="27"/>
          <w:rtl/>
        </w:rPr>
        <w:t>م على هيئة شجرة</w:t>
      </w:r>
      <w:r w:rsidR="00F40C5B" w:rsidRPr="00282AC9">
        <w:rPr>
          <w:rFonts w:hint="cs"/>
          <w:sz w:val="27"/>
          <w:rtl/>
        </w:rPr>
        <w:t>ٍ</w:t>
      </w:r>
      <w:r w:rsidRPr="00282AC9">
        <w:rPr>
          <w:rFonts w:hint="cs"/>
          <w:sz w:val="27"/>
          <w:rtl/>
        </w:rPr>
        <w:t xml:space="preserve"> طيّبة.</w:t>
      </w:r>
    </w:p>
    <w:p w:rsidR="00DA2F6D" w:rsidRPr="00282AC9" w:rsidRDefault="00DA2F6D" w:rsidP="00F066C8">
      <w:pPr>
        <w:rPr>
          <w:sz w:val="27"/>
          <w:rtl/>
        </w:rPr>
      </w:pPr>
      <w:r w:rsidRPr="00282AC9">
        <w:rPr>
          <w:rFonts w:hint="cs"/>
          <w:b/>
          <w:bCs/>
          <w:sz w:val="27"/>
          <w:rtl/>
        </w:rPr>
        <w:t>2ـ نظرية الأثر الوضعي</w:t>
      </w:r>
      <w:r w:rsidR="00F40C5B" w:rsidRPr="00282AC9">
        <w:rPr>
          <w:rFonts w:hint="cs"/>
          <w:b/>
          <w:bCs/>
          <w:sz w:val="27"/>
          <w:rtl/>
        </w:rPr>
        <w:t>ّ</w:t>
      </w:r>
      <w:r w:rsidRPr="00282AC9">
        <w:rPr>
          <w:rFonts w:hint="cs"/>
          <w:sz w:val="27"/>
          <w:rtl/>
        </w:rPr>
        <w:t>: ي</w:t>
      </w:r>
      <w:r w:rsidR="00F40C5B" w:rsidRPr="00282AC9">
        <w:rPr>
          <w:rFonts w:hint="cs"/>
          <w:sz w:val="27"/>
          <w:rtl/>
        </w:rPr>
        <w:t>ُ</w:t>
      </w:r>
      <w:r w:rsidRPr="00282AC9">
        <w:rPr>
          <w:rFonts w:hint="cs"/>
          <w:sz w:val="27"/>
          <w:rtl/>
        </w:rPr>
        <w:t>ع</w:t>
      </w:r>
      <w:r w:rsidR="00F40C5B" w:rsidRPr="00282AC9">
        <w:rPr>
          <w:rFonts w:hint="cs"/>
          <w:sz w:val="27"/>
          <w:rtl/>
        </w:rPr>
        <w:t>َ</w:t>
      </w:r>
      <w:r w:rsidRPr="00282AC9">
        <w:rPr>
          <w:rFonts w:hint="cs"/>
          <w:sz w:val="27"/>
          <w:rtl/>
        </w:rPr>
        <w:t>دّ الثواب والعقاب في هذه النظري</w:t>
      </w:r>
      <w:r w:rsidR="00F40C5B" w:rsidRPr="00282AC9">
        <w:rPr>
          <w:rFonts w:hint="cs"/>
          <w:sz w:val="27"/>
          <w:rtl/>
        </w:rPr>
        <w:t>ّ</w:t>
      </w:r>
      <w:r w:rsidRPr="00282AC9">
        <w:rPr>
          <w:rFonts w:hint="cs"/>
          <w:sz w:val="27"/>
          <w:rtl/>
        </w:rPr>
        <w:t>ة من قبيل</w:t>
      </w:r>
      <w:r w:rsidR="00F40C5B" w:rsidRPr="00282AC9">
        <w:rPr>
          <w:rFonts w:hint="cs"/>
          <w:sz w:val="27"/>
          <w:rtl/>
        </w:rPr>
        <w:t>:</w:t>
      </w:r>
      <w:r w:rsidRPr="00282AC9">
        <w:rPr>
          <w:rFonts w:hint="cs"/>
          <w:sz w:val="27"/>
          <w:rtl/>
        </w:rPr>
        <w:t xml:space="preserve"> الأثر الوضعي</w:t>
      </w:r>
      <w:r w:rsidR="00F40C5B" w:rsidRPr="00282AC9">
        <w:rPr>
          <w:rFonts w:hint="cs"/>
          <w:sz w:val="27"/>
          <w:rtl/>
        </w:rPr>
        <w:t>ّ</w:t>
      </w:r>
      <w:r w:rsidRPr="00282AC9">
        <w:rPr>
          <w:rFonts w:hint="cs"/>
          <w:sz w:val="27"/>
          <w:rtl/>
        </w:rPr>
        <w:t xml:space="preserve"> للفعل، كما في حال تناول السم</w:t>
      </w:r>
      <w:r w:rsidR="00B00CDE" w:rsidRPr="00282AC9">
        <w:rPr>
          <w:rFonts w:hint="cs"/>
          <w:sz w:val="27"/>
          <w:rtl/>
        </w:rPr>
        <w:t>ّ</w:t>
      </w:r>
      <w:r w:rsidRPr="00282AC9">
        <w:rPr>
          <w:rFonts w:hint="cs"/>
          <w:sz w:val="27"/>
          <w:rtl/>
        </w:rPr>
        <w:t>؛ حيث الأثر الوضعي</w:t>
      </w:r>
      <w:r w:rsidR="00B00CDE" w:rsidRPr="00282AC9">
        <w:rPr>
          <w:rFonts w:hint="cs"/>
          <w:sz w:val="27"/>
          <w:rtl/>
        </w:rPr>
        <w:t>ّ</w:t>
      </w:r>
      <w:r w:rsidRPr="00282AC9">
        <w:rPr>
          <w:rFonts w:hint="cs"/>
          <w:sz w:val="27"/>
          <w:rtl/>
        </w:rPr>
        <w:t xml:space="preserve"> له هو الموت. وفي ما نحن فيه نقول كذلك</w:t>
      </w:r>
      <w:r w:rsidR="00B00CDE" w:rsidRPr="00282AC9">
        <w:rPr>
          <w:rFonts w:hint="cs"/>
          <w:sz w:val="27"/>
          <w:rtl/>
        </w:rPr>
        <w:t>:</w:t>
      </w:r>
      <w:r w:rsidRPr="00282AC9">
        <w:rPr>
          <w:rFonts w:hint="cs"/>
          <w:sz w:val="27"/>
          <w:rtl/>
        </w:rPr>
        <w:t xml:space="preserve"> إن الأثر الوضعي</w:t>
      </w:r>
      <w:r w:rsidR="00B00CDE" w:rsidRPr="00282AC9">
        <w:rPr>
          <w:rFonts w:hint="cs"/>
          <w:sz w:val="27"/>
          <w:rtl/>
        </w:rPr>
        <w:t>ّ</w:t>
      </w:r>
      <w:r w:rsidRPr="00282AC9">
        <w:rPr>
          <w:rFonts w:hint="cs"/>
          <w:sz w:val="27"/>
          <w:rtl/>
        </w:rPr>
        <w:t xml:space="preserve"> للمعصية هو العقاب.</w:t>
      </w:r>
    </w:p>
    <w:p w:rsidR="00DA2F6D" w:rsidRPr="00282AC9" w:rsidRDefault="00DA2F6D" w:rsidP="00F066C8">
      <w:pPr>
        <w:rPr>
          <w:sz w:val="27"/>
          <w:rtl/>
        </w:rPr>
      </w:pPr>
      <w:r w:rsidRPr="00282AC9">
        <w:rPr>
          <w:rFonts w:hint="cs"/>
          <w:b/>
          <w:bCs/>
          <w:sz w:val="27"/>
          <w:rtl/>
        </w:rPr>
        <w:t>3ـ نظرية العلاقة الاعتباري</w:t>
      </w:r>
      <w:r w:rsidR="00F40C5B" w:rsidRPr="00282AC9">
        <w:rPr>
          <w:rFonts w:hint="cs"/>
          <w:b/>
          <w:bCs/>
          <w:sz w:val="27"/>
          <w:rtl/>
        </w:rPr>
        <w:t>ّ</w:t>
      </w:r>
      <w:r w:rsidRPr="00282AC9">
        <w:rPr>
          <w:rFonts w:hint="cs"/>
          <w:b/>
          <w:bCs/>
          <w:sz w:val="27"/>
          <w:rtl/>
        </w:rPr>
        <w:t>ة</w:t>
      </w:r>
      <w:r w:rsidRPr="00282AC9">
        <w:rPr>
          <w:rFonts w:hint="cs"/>
          <w:sz w:val="27"/>
          <w:rtl/>
        </w:rPr>
        <w:t>: وفي هذه النظري</w:t>
      </w:r>
      <w:r w:rsidR="00B00CDE" w:rsidRPr="00282AC9">
        <w:rPr>
          <w:rFonts w:hint="cs"/>
          <w:sz w:val="27"/>
          <w:rtl/>
        </w:rPr>
        <w:t>ّة يكون الثواب والعقاب شيئاً</w:t>
      </w:r>
      <w:r w:rsidRPr="00282AC9">
        <w:rPr>
          <w:rFonts w:hint="cs"/>
          <w:sz w:val="27"/>
          <w:rtl/>
        </w:rPr>
        <w:t xml:space="preserve"> آخر غير عملنا وفعلنا، وإن العلاقة الوحيدة القائمة في البين هي العلاقة الاعتباري</w:t>
      </w:r>
      <w:r w:rsidR="00B00CDE" w:rsidRPr="00282AC9">
        <w:rPr>
          <w:rFonts w:hint="cs"/>
          <w:sz w:val="27"/>
          <w:rtl/>
        </w:rPr>
        <w:t>ّ</w:t>
      </w:r>
      <w:r w:rsidRPr="00282AC9">
        <w:rPr>
          <w:rFonts w:hint="cs"/>
          <w:sz w:val="27"/>
          <w:rtl/>
        </w:rPr>
        <w:t>ة والعقدية؛ حيث تتحدّ</w:t>
      </w:r>
      <w:r w:rsidR="00B00CDE" w:rsidRPr="00282AC9">
        <w:rPr>
          <w:rFonts w:hint="cs"/>
          <w:sz w:val="27"/>
          <w:rtl/>
        </w:rPr>
        <w:t>َ</w:t>
      </w:r>
      <w:r w:rsidRPr="00282AC9">
        <w:rPr>
          <w:rFonts w:hint="cs"/>
          <w:sz w:val="27"/>
          <w:rtl/>
        </w:rPr>
        <w:t>د في ضوء الو</w:t>
      </w:r>
      <w:r w:rsidR="00B00CDE" w:rsidRPr="00282AC9">
        <w:rPr>
          <w:rFonts w:hint="cs"/>
          <w:sz w:val="27"/>
          <w:rtl/>
        </w:rPr>
        <w:t>َ</w:t>
      </w:r>
      <w:r w:rsidRPr="00282AC9">
        <w:rPr>
          <w:rFonts w:hint="cs"/>
          <w:sz w:val="27"/>
          <w:rtl/>
        </w:rPr>
        <w:t>ع</w:t>
      </w:r>
      <w:r w:rsidR="00B00CDE" w:rsidRPr="00282AC9">
        <w:rPr>
          <w:rFonts w:hint="cs"/>
          <w:sz w:val="27"/>
          <w:rtl/>
        </w:rPr>
        <w:t>ْ</w:t>
      </w:r>
      <w:r w:rsidRPr="00282AC9">
        <w:rPr>
          <w:rFonts w:hint="cs"/>
          <w:sz w:val="27"/>
          <w:rtl/>
        </w:rPr>
        <w:t>د والوعيد الصادر عن المولى الشرعي</w:t>
      </w:r>
      <w:r w:rsidR="00B00CDE" w:rsidRPr="00282AC9">
        <w:rPr>
          <w:rFonts w:hint="cs"/>
          <w:sz w:val="27"/>
          <w:rtl/>
        </w:rPr>
        <w:t>ّ</w:t>
      </w:r>
      <w:r w:rsidRPr="00282AC9">
        <w:rPr>
          <w:rFonts w:hint="cs"/>
          <w:sz w:val="27"/>
          <w:rtl/>
        </w:rPr>
        <w:t>، بحيث لو خالف العبد فإن المولى يتوعّ</w:t>
      </w:r>
      <w:r w:rsidR="00B00CDE" w:rsidRPr="00282AC9">
        <w:rPr>
          <w:rFonts w:hint="cs"/>
          <w:sz w:val="27"/>
          <w:rtl/>
        </w:rPr>
        <w:t>َ</w:t>
      </w:r>
      <w:r w:rsidRPr="00282AC9">
        <w:rPr>
          <w:rFonts w:hint="cs"/>
          <w:sz w:val="27"/>
          <w:rtl/>
        </w:rPr>
        <w:t>ده بالعقاب، وإن</w:t>
      </w:r>
      <w:r w:rsidR="00B00CDE" w:rsidRPr="00282AC9">
        <w:rPr>
          <w:rFonts w:hint="cs"/>
          <w:sz w:val="27"/>
          <w:rtl/>
        </w:rPr>
        <w:t>ْ</w:t>
      </w:r>
      <w:r w:rsidRPr="00282AC9">
        <w:rPr>
          <w:rFonts w:hint="cs"/>
          <w:sz w:val="27"/>
          <w:rtl/>
        </w:rPr>
        <w:t xml:space="preserve"> أطاع ي</w:t>
      </w:r>
      <w:r w:rsidR="00B00CDE" w:rsidRPr="00282AC9">
        <w:rPr>
          <w:rFonts w:hint="cs"/>
          <w:sz w:val="27"/>
          <w:rtl/>
        </w:rPr>
        <w:t>َ</w:t>
      </w:r>
      <w:r w:rsidRPr="00282AC9">
        <w:rPr>
          <w:rFonts w:hint="cs"/>
          <w:sz w:val="27"/>
          <w:rtl/>
        </w:rPr>
        <w:t>ع</w:t>
      </w:r>
      <w:r w:rsidR="00B00CDE" w:rsidRPr="00282AC9">
        <w:rPr>
          <w:rFonts w:hint="cs"/>
          <w:sz w:val="27"/>
          <w:rtl/>
        </w:rPr>
        <w:t>ِ</w:t>
      </w:r>
      <w:r w:rsidRPr="00282AC9">
        <w:rPr>
          <w:rFonts w:hint="cs"/>
          <w:sz w:val="27"/>
          <w:rtl/>
        </w:rPr>
        <w:t>د</w:t>
      </w:r>
      <w:r w:rsidR="00B00CDE" w:rsidRPr="00282AC9">
        <w:rPr>
          <w:rFonts w:hint="cs"/>
          <w:sz w:val="27"/>
          <w:rtl/>
        </w:rPr>
        <w:t>ُ</w:t>
      </w:r>
      <w:r w:rsidRPr="00282AC9">
        <w:rPr>
          <w:rFonts w:hint="cs"/>
          <w:sz w:val="27"/>
          <w:rtl/>
        </w:rPr>
        <w:t>ه بالثواب</w:t>
      </w:r>
      <w:r w:rsidRPr="00282AC9">
        <w:rPr>
          <w:sz w:val="27"/>
          <w:vertAlign w:val="superscript"/>
          <w:rtl/>
        </w:rPr>
        <w:t>(</w:t>
      </w:r>
      <w:r w:rsidRPr="00282AC9">
        <w:rPr>
          <w:rStyle w:val="af9"/>
          <w:sz w:val="27"/>
          <w:rtl/>
        </w:rPr>
        <w:endnoteReference w:id="616"/>
      </w:r>
      <w:r w:rsidRPr="00282AC9">
        <w:rPr>
          <w:sz w:val="27"/>
          <w:vertAlign w:val="superscript"/>
          <w:rtl/>
        </w:rPr>
        <w:t>)</w:t>
      </w:r>
      <w:r w:rsidRPr="00282AC9">
        <w:rPr>
          <w:rFonts w:hint="cs"/>
          <w:sz w:val="27"/>
          <w:rtl/>
        </w:rPr>
        <w:t>.</w:t>
      </w:r>
    </w:p>
    <w:p w:rsidR="00DA2F6D" w:rsidRPr="00282AC9" w:rsidRDefault="00DA2F6D" w:rsidP="00F066C8">
      <w:pPr>
        <w:rPr>
          <w:sz w:val="27"/>
          <w:rtl/>
        </w:rPr>
      </w:pPr>
      <w:r w:rsidRPr="00282AC9">
        <w:rPr>
          <w:rFonts w:hint="cs"/>
          <w:sz w:val="27"/>
          <w:rtl/>
        </w:rPr>
        <w:t>والآن</w:t>
      </w:r>
      <w:r w:rsidR="00B00CDE" w:rsidRPr="00282AC9">
        <w:rPr>
          <w:rFonts w:hint="cs"/>
          <w:sz w:val="27"/>
          <w:rtl/>
        </w:rPr>
        <w:t>،</w:t>
      </w:r>
      <w:r w:rsidRPr="00282AC9">
        <w:rPr>
          <w:rFonts w:hint="cs"/>
          <w:sz w:val="27"/>
          <w:rtl/>
        </w:rPr>
        <w:t xml:space="preserve"> بعد بيان هذه المباني الثلاثة الموجودة حول ماهي</w:t>
      </w:r>
      <w:r w:rsidR="00B00CDE" w:rsidRPr="00282AC9">
        <w:rPr>
          <w:rFonts w:hint="cs"/>
          <w:sz w:val="27"/>
          <w:rtl/>
        </w:rPr>
        <w:t>ّ</w:t>
      </w:r>
      <w:r w:rsidRPr="00282AC9">
        <w:rPr>
          <w:rFonts w:hint="cs"/>
          <w:sz w:val="27"/>
          <w:rtl/>
        </w:rPr>
        <w:t xml:space="preserve">ة الثواب والعقاب، ننتقل </w:t>
      </w:r>
      <w:r w:rsidRPr="00282AC9">
        <w:rPr>
          <w:rFonts w:hint="cs"/>
          <w:sz w:val="27"/>
          <w:rtl/>
        </w:rPr>
        <w:lastRenderedPageBreak/>
        <w:t>إلى بيان صحّة أو عدم صح</w:t>
      </w:r>
      <w:r w:rsidR="00B00CDE" w:rsidRPr="00282AC9">
        <w:rPr>
          <w:rFonts w:hint="cs"/>
          <w:sz w:val="27"/>
          <w:rtl/>
        </w:rPr>
        <w:t>ّ</w:t>
      </w:r>
      <w:r w:rsidRPr="00282AC9">
        <w:rPr>
          <w:rFonts w:hint="cs"/>
          <w:sz w:val="27"/>
          <w:rtl/>
        </w:rPr>
        <w:t>ة ق</w:t>
      </w:r>
      <w:r w:rsidR="00B00CDE" w:rsidRPr="00282AC9">
        <w:rPr>
          <w:rFonts w:hint="cs"/>
          <w:sz w:val="27"/>
          <w:rtl/>
        </w:rPr>
        <w:t>ُ</w:t>
      </w:r>
      <w:r w:rsidRPr="00282AC9">
        <w:rPr>
          <w:rFonts w:hint="cs"/>
          <w:sz w:val="27"/>
          <w:rtl/>
        </w:rPr>
        <w:t>ب</w:t>
      </w:r>
      <w:r w:rsidR="00B00CDE" w:rsidRPr="00282AC9">
        <w:rPr>
          <w:rFonts w:hint="cs"/>
          <w:sz w:val="27"/>
          <w:rtl/>
        </w:rPr>
        <w:t>ْ</w:t>
      </w:r>
      <w:r w:rsidRPr="00282AC9">
        <w:rPr>
          <w:rFonts w:hint="cs"/>
          <w:sz w:val="27"/>
          <w:rtl/>
        </w:rPr>
        <w:t>ح العقاب بلا بيان</w:t>
      </w:r>
      <w:r w:rsidR="00B00CDE" w:rsidRPr="00282AC9">
        <w:rPr>
          <w:rFonts w:hint="cs"/>
          <w:sz w:val="27"/>
          <w:rtl/>
        </w:rPr>
        <w:t>ٍ</w:t>
      </w:r>
      <w:r w:rsidRPr="00282AC9">
        <w:rPr>
          <w:rFonts w:hint="cs"/>
          <w:sz w:val="27"/>
          <w:rtl/>
        </w:rPr>
        <w:t>، في ضوء هذه الات</w:t>
      </w:r>
      <w:r w:rsidR="00B00CDE" w:rsidRPr="00282AC9">
        <w:rPr>
          <w:rFonts w:hint="cs"/>
          <w:sz w:val="27"/>
          <w:rtl/>
        </w:rPr>
        <w:t>ّ</w:t>
      </w:r>
      <w:r w:rsidRPr="00282AC9">
        <w:rPr>
          <w:rFonts w:hint="cs"/>
          <w:sz w:val="27"/>
          <w:rtl/>
        </w:rPr>
        <w:t>جاهات الثلاثة:</w:t>
      </w:r>
    </w:p>
    <w:p w:rsidR="00B00CDE" w:rsidRPr="00282AC9" w:rsidRDefault="00DA2F6D" w:rsidP="00F066C8">
      <w:pPr>
        <w:rPr>
          <w:sz w:val="27"/>
          <w:rtl/>
        </w:rPr>
      </w:pPr>
      <w:r w:rsidRPr="00282AC9">
        <w:rPr>
          <w:rFonts w:hint="cs"/>
          <w:sz w:val="27"/>
          <w:rtl/>
        </w:rPr>
        <w:t>أما بناء</w:t>
      </w:r>
      <w:r w:rsidR="00B00CDE" w:rsidRPr="00282AC9">
        <w:rPr>
          <w:rFonts w:hint="cs"/>
          <w:sz w:val="27"/>
          <w:rtl/>
        </w:rPr>
        <w:t>ً</w:t>
      </w:r>
      <w:r w:rsidRPr="00282AC9">
        <w:rPr>
          <w:rFonts w:hint="cs"/>
          <w:sz w:val="27"/>
          <w:rtl/>
        </w:rPr>
        <w:t xml:space="preserve"> على المسلك</w:t>
      </w:r>
      <w:r w:rsidR="00B00CDE" w:rsidRPr="00282AC9">
        <w:rPr>
          <w:rFonts w:hint="cs"/>
          <w:sz w:val="27"/>
          <w:rtl/>
        </w:rPr>
        <w:t>ين</w:t>
      </w:r>
      <w:r w:rsidRPr="00282AC9">
        <w:rPr>
          <w:rFonts w:hint="cs"/>
          <w:sz w:val="27"/>
          <w:rtl/>
        </w:rPr>
        <w:t xml:space="preserve"> الأو</w:t>
      </w:r>
      <w:r w:rsidR="00B00CDE" w:rsidRPr="00282AC9">
        <w:rPr>
          <w:rFonts w:hint="cs"/>
          <w:sz w:val="27"/>
          <w:rtl/>
        </w:rPr>
        <w:t>ّ</w:t>
      </w:r>
      <w:r w:rsidRPr="00282AC9">
        <w:rPr>
          <w:rFonts w:hint="cs"/>
          <w:sz w:val="27"/>
          <w:rtl/>
        </w:rPr>
        <w:t>ل والثاني فلا يكون القول بق</w:t>
      </w:r>
      <w:r w:rsidR="00B00CDE" w:rsidRPr="00282AC9">
        <w:rPr>
          <w:rFonts w:hint="cs"/>
          <w:sz w:val="27"/>
          <w:rtl/>
        </w:rPr>
        <w:t>ُ</w:t>
      </w:r>
      <w:r w:rsidRPr="00282AC9">
        <w:rPr>
          <w:rFonts w:hint="cs"/>
          <w:sz w:val="27"/>
          <w:rtl/>
        </w:rPr>
        <w:t>ب</w:t>
      </w:r>
      <w:r w:rsidR="00B00CDE" w:rsidRPr="00282AC9">
        <w:rPr>
          <w:rFonts w:hint="cs"/>
          <w:sz w:val="27"/>
          <w:rtl/>
        </w:rPr>
        <w:t>ْ</w:t>
      </w:r>
      <w:r w:rsidRPr="00282AC9">
        <w:rPr>
          <w:rFonts w:hint="cs"/>
          <w:sz w:val="27"/>
          <w:rtl/>
        </w:rPr>
        <w:t>ح العقاب بلا بيان</w:t>
      </w:r>
      <w:r w:rsidR="00B00CDE" w:rsidRPr="00282AC9">
        <w:rPr>
          <w:rFonts w:hint="cs"/>
          <w:sz w:val="27"/>
          <w:rtl/>
        </w:rPr>
        <w:t>ٍ</w:t>
      </w:r>
      <w:r w:rsidRPr="00282AC9">
        <w:rPr>
          <w:rFonts w:hint="cs"/>
          <w:sz w:val="27"/>
          <w:rtl/>
        </w:rPr>
        <w:t xml:space="preserve"> صحيحاً؛ وذلك لأن العقاب في هذين المسلك</w:t>
      </w:r>
      <w:r w:rsidR="00B00CDE" w:rsidRPr="00282AC9">
        <w:rPr>
          <w:rFonts w:hint="cs"/>
          <w:sz w:val="27"/>
          <w:rtl/>
        </w:rPr>
        <w:t>َ</w:t>
      </w:r>
      <w:r w:rsidRPr="00282AC9">
        <w:rPr>
          <w:rFonts w:hint="cs"/>
          <w:sz w:val="27"/>
          <w:rtl/>
        </w:rPr>
        <w:t>ين ليس فعلاً اختياري</w:t>
      </w:r>
      <w:r w:rsidR="00B00CDE" w:rsidRPr="00282AC9">
        <w:rPr>
          <w:rFonts w:hint="cs"/>
          <w:sz w:val="27"/>
          <w:rtl/>
        </w:rPr>
        <w:t>ّ</w:t>
      </w:r>
      <w:r w:rsidRPr="00282AC9">
        <w:rPr>
          <w:rFonts w:hint="cs"/>
          <w:sz w:val="27"/>
          <w:rtl/>
        </w:rPr>
        <w:t>اً</w:t>
      </w:r>
      <w:r w:rsidR="00B00CDE" w:rsidRPr="00282AC9">
        <w:rPr>
          <w:rFonts w:hint="cs"/>
          <w:sz w:val="27"/>
          <w:rtl/>
        </w:rPr>
        <w:t>،</w:t>
      </w:r>
      <w:r w:rsidRPr="00282AC9">
        <w:rPr>
          <w:rFonts w:hint="cs"/>
          <w:sz w:val="27"/>
          <w:rtl/>
        </w:rPr>
        <w:t xml:space="preserve"> ليت</w:t>
      </w:r>
      <w:r w:rsidR="00B00CDE" w:rsidRPr="00282AC9">
        <w:rPr>
          <w:rFonts w:hint="cs"/>
          <w:sz w:val="27"/>
          <w:rtl/>
        </w:rPr>
        <w:t>ّ</w:t>
      </w:r>
      <w:r w:rsidRPr="00282AC9">
        <w:rPr>
          <w:rFonts w:hint="cs"/>
          <w:sz w:val="27"/>
          <w:rtl/>
        </w:rPr>
        <w:t>صف بالحُس</w:t>
      </w:r>
      <w:r w:rsidR="00B00CDE" w:rsidRPr="00282AC9">
        <w:rPr>
          <w:rFonts w:hint="cs"/>
          <w:sz w:val="27"/>
          <w:rtl/>
        </w:rPr>
        <w:t>ْ</w:t>
      </w:r>
      <w:r w:rsidRPr="00282AC9">
        <w:rPr>
          <w:rFonts w:hint="cs"/>
          <w:sz w:val="27"/>
          <w:rtl/>
        </w:rPr>
        <w:t>ن والق</w:t>
      </w:r>
      <w:r w:rsidR="00B00CDE" w:rsidRPr="00282AC9">
        <w:rPr>
          <w:rFonts w:hint="cs"/>
          <w:sz w:val="27"/>
          <w:rtl/>
        </w:rPr>
        <w:t>ُ</w:t>
      </w:r>
      <w:r w:rsidRPr="00282AC9">
        <w:rPr>
          <w:rFonts w:hint="cs"/>
          <w:sz w:val="27"/>
          <w:rtl/>
        </w:rPr>
        <w:t>ب</w:t>
      </w:r>
      <w:r w:rsidR="00B00CDE" w:rsidRPr="00282AC9">
        <w:rPr>
          <w:rFonts w:hint="cs"/>
          <w:sz w:val="27"/>
          <w:rtl/>
        </w:rPr>
        <w:t>ْ</w:t>
      </w:r>
      <w:r w:rsidRPr="00282AC9">
        <w:rPr>
          <w:rFonts w:hint="cs"/>
          <w:sz w:val="27"/>
          <w:rtl/>
        </w:rPr>
        <w:t>ح، بل هو أمر</w:t>
      </w:r>
      <w:r w:rsidR="00B00CDE" w:rsidRPr="00282AC9">
        <w:rPr>
          <w:rFonts w:hint="cs"/>
          <w:sz w:val="27"/>
          <w:rtl/>
        </w:rPr>
        <w:t>ٌ</w:t>
      </w:r>
      <w:r w:rsidRPr="00282AC9">
        <w:rPr>
          <w:rFonts w:hint="cs"/>
          <w:sz w:val="27"/>
          <w:rtl/>
        </w:rPr>
        <w:t xml:space="preserve"> قهري</w:t>
      </w:r>
      <w:r w:rsidR="00B00CDE" w:rsidRPr="00282AC9">
        <w:rPr>
          <w:rFonts w:hint="cs"/>
          <w:sz w:val="27"/>
          <w:rtl/>
        </w:rPr>
        <w:t>ّ</w:t>
      </w:r>
      <w:r w:rsidRPr="00282AC9">
        <w:rPr>
          <w:rFonts w:hint="cs"/>
          <w:sz w:val="27"/>
          <w:rtl/>
        </w:rPr>
        <w:t xml:space="preserve"> يترت</w:t>
      </w:r>
      <w:r w:rsidR="00B00CDE" w:rsidRPr="00282AC9">
        <w:rPr>
          <w:rFonts w:hint="cs"/>
          <w:sz w:val="27"/>
          <w:rtl/>
        </w:rPr>
        <w:t>َّ</w:t>
      </w:r>
      <w:r w:rsidRPr="00282AC9">
        <w:rPr>
          <w:rFonts w:hint="cs"/>
          <w:sz w:val="27"/>
          <w:rtl/>
        </w:rPr>
        <w:t>ب على فعل المكل</w:t>
      </w:r>
      <w:r w:rsidR="00B00CDE" w:rsidRPr="00282AC9">
        <w:rPr>
          <w:rFonts w:hint="cs"/>
          <w:sz w:val="27"/>
          <w:rtl/>
        </w:rPr>
        <w:t>َّ</w:t>
      </w:r>
      <w:r w:rsidRPr="00282AC9">
        <w:rPr>
          <w:rFonts w:hint="cs"/>
          <w:sz w:val="27"/>
          <w:rtl/>
        </w:rPr>
        <w:t>ف بشكل</w:t>
      </w:r>
      <w:r w:rsidR="00B00CDE" w:rsidRPr="00282AC9">
        <w:rPr>
          <w:rFonts w:hint="cs"/>
          <w:sz w:val="27"/>
          <w:rtl/>
        </w:rPr>
        <w:t>ٍ</w:t>
      </w:r>
      <w:r w:rsidRPr="00282AC9">
        <w:rPr>
          <w:rFonts w:hint="cs"/>
          <w:sz w:val="27"/>
          <w:rtl/>
        </w:rPr>
        <w:t xml:space="preserve"> تلقائي</w:t>
      </w:r>
      <w:r w:rsidR="00B00CDE" w:rsidRPr="00282AC9">
        <w:rPr>
          <w:rFonts w:hint="cs"/>
          <w:sz w:val="27"/>
          <w:rtl/>
        </w:rPr>
        <w:t>ّ</w:t>
      </w:r>
      <w:r w:rsidRPr="00282AC9">
        <w:rPr>
          <w:rFonts w:hint="cs"/>
          <w:sz w:val="27"/>
          <w:rtl/>
        </w:rPr>
        <w:t>، سواء</w:t>
      </w:r>
      <w:r w:rsidR="00B00CDE" w:rsidRPr="00282AC9">
        <w:rPr>
          <w:rFonts w:hint="cs"/>
          <w:sz w:val="27"/>
          <w:rtl/>
        </w:rPr>
        <w:t>ٌ</w:t>
      </w:r>
      <w:r w:rsidRPr="00282AC9">
        <w:rPr>
          <w:rFonts w:hint="cs"/>
          <w:sz w:val="27"/>
          <w:rtl/>
        </w:rPr>
        <w:t xml:space="preserve"> أكان ذلك من باب تجسّ</w:t>
      </w:r>
      <w:r w:rsidR="00B00CDE" w:rsidRPr="00282AC9">
        <w:rPr>
          <w:rFonts w:hint="cs"/>
          <w:sz w:val="27"/>
          <w:rtl/>
        </w:rPr>
        <w:t>ُ</w:t>
      </w:r>
      <w:r w:rsidRPr="00282AC9">
        <w:rPr>
          <w:rFonts w:hint="cs"/>
          <w:sz w:val="27"/>
          <w:rtl/>
        </w:rPr>
        <w:t>م الأعمال أو بوصفه أثراً وضعي</w:t>
      </w:r>
      <w:r w:rsidR="00B00CDE" w:rsidRPr="00282AC9">
        <w:rPr>
          <w:rFonts w:hint="cs"/>
          <w:sz w:val="27"/>
          <w:rtl/>
        </w:rPr>
        <w:t>ّ</w:t>
      </w:r>
      <w:r w:rsidRPr="00282AC9">
        <w:rPr>
          <w:rFonts w:hint="cs"/>
          <w:sz w:val="27"/>
          <w:rtl/>
        </w:rPr>
        <w:t xml:space="preserve">اً. ولا </w:t>
      </w:r>
      <w:r w:rsidR="00EE6DBA" w:rsidRPr="00282AC9">
        <w:rPr>
          <w:rFonts w:hint="cs"/>
          <w:sz w:val="27"/>
          <w:rtl/>
        </w:rPr>
        <w:t>دَوْر</w:t>
      </w:r>
      <w:r w:rsidRPr="00282AC9">
        <w:rPr>
          <w:rFonts w:hint="cs"/>
          <w:sz w:val="27"/>
          <w:rtl/>
        </w:rPr>
        <w:t xml:space="preserve"> للعلم والجهل في هذا الترتّ</w:t>
      </w:r>
      <w:r w:rsidR="00B00CDE" w:rsidRPr="00282AC9">
        <w:rPr>
          <w:rFonts w:hint="cs"/>
          <w:sz w:val="27"/>
          <w:rtl/>
        </w:rPr>
        <w:t>ُ</w:t>
      </w:r>
      <w:r w:rsidRPr="00282AC9">
        <w:rPr>
          <w:rFonts w:hint="cs"/>
          <w:sz w:val="27"/>
          <w:rtl/>
        </w:rPr>
        <w:t>ب، كما هو الحال في بقية موارد الآثار الوضعي</w:t>
      </w:r>
      <w:r w:rsidR="00B00CDE" w:rsidRPr="00282AC9">
        <w:rPr>
          <w:rFonts w:hint="cs"/>
          <w:sz w:val="27"/>
          <w:rtl/>
        </w:rPr>
        <w:t>ّ</w:t>
      </w:r>
      <w:r w:rsidRPr="00282AC9">
        <w:rPr>
          <w:rFonts w:hint="cs"/>
          <w:sz w:val="27"/>
          <w:rtl/>
        </w:rPr>
        <w:t>ة لتجسّ</w:t>
      </w:r>
      <w:r w:rsidR="00B00CDE" w:rsidRPr="00282AC9">
        <w:rPr>
          <w:rFonts w:hint="cs"/>
          <w:sz w:val="27"/>
          <w:rtl/>
        </w:rPr>
        <w:t>ُ</w:t>
      </w:r>
      <w:r w:rsidRPr="00282AC9">
        <w:rPr>
          <w:rFonts w:hint="cs"/>
          <w:sz w:val="27"/>
          <w:rtl/>
        </w:rPr>
        <w:t>م الأعمال أيضاً</w:t>
      </w:r>
      <w:r w:rsidRPr="00282AC9">
        <w:rPr>
          <w:sz w:val="27"/>
          <w:vertAlign w:val="superscript"/>
          <w:rtl/>
        </w:rPr>
        <w:t>(</w:t>
      </w:r>
      <w:r w:rsidRPr="00282AC9">
        <w:rPr>
          <w:rStyle w:val="af9"/>
          <w:sz w:val="27"/>
          <w:rtl/>
        </w:rPr>
        <w:endnoteReference w:id="617"/>
      </w:r>
      <w:r w:rsidRPr="00282AC9">
        <w:rPr>
          <w:sz w:val="27"/>
          <w:vertAlign w:val="superscript"/>
          <w:rtl/>
        </w:rPr>
        <w:t>)</w:t>
      </w:r>
      <w:r w:rsidRPr="00282AC9">
        <w:rPr>
          <w:rFonts w:hint="cs"/>
          <w:sz w:val="27"/>
          <w:rtl/>
        </w:rPr>
        <w:t>؛ إذ بمجرّ</w:t>
      </w:r>
      <w:r w:rsidR="00B00CDE" w:rsidRPr="00282AC9">
        <w:rPr>
          <w:rFonts w:hint="cs"/>
          <w:sz w:val="27"/>
          <w:rtl/>
        </w:rPr>
        <w:t>َ</w:t>
      </w:r>
      <w:r w:rsidRPr="00282AC9">
        <w:rPr>
          <w:rFonts w:hint="cs"/>
          <w:sz w:val="27"/>
          <w:rtl/>
        </w:rPr>
        <w:t>د أن يصدر عنه العمل تظهر نتيجته وأثره</w:t>
      </w:r>
      <w:r w:rsidR="00B00CDE" w:rsidRPr="00282AC9">
        <w:rPr>
          <w:rFonts w:hint="cs"/>
          <w:sz w:val="27"/>
          <w:rtl/>
        </w:rPr>
        <w:t>،</w:t>
      </w:r>
      <w:r w:rsidRPr="00282AC9">
        <w:rPr>
          <w:rFonts w:hint="cs"/>
          <w:sz w:val="27"/>
          <w:rtl/>
        </w:rPr>
        <w:t xml:space="preserve"> سواء</w:t>
      </w:r>
      <w:r w:rsidR="00B00CDE" w:rsidRPr="00282AC9">
        <w:rPr>
          <w:rFonts w:hint="cs"/>
          <w:sz w:val="27"/>
          <w:rtl/>
        </w:rPr>
        <w:t>ٌ</w:t>
      </w:r>
      <w:r w:rsidRPr="00282AC9">
        <w:rPr>
          <w:rFonts w:hint="cs"/>
          <w:sz w:val="27"/>
          <w:rtl/>
        </w:rPr>
        <w:t xml:space="preserve"> أكان عالماً أو جاهلاً</w:t>
      </w:r>
      <w:r w:rsidR="00B00CDE" w:rsidRPr="00282AC9">
        <w:rPr>
          <w:rFonts w:hint="cs"/>
          <w:sz w:val="27"/>
          <w:rtl/>
        </w:rPr>
        <w:t>،</w:t>
      </w:r>
      <w:r w:rsidRPr="00282AC9">
        <w:rPr>
          <w:rFonts w:hint="cs"/>
          <w:sz w:val="27"/>
          <w:rtl/>
        </w:rPr>
        <w:t xml:space="preserve"> من قبيل</w:t>
      </w:r>
      <w:r w:rsidR="00B00CDE" w:rsidRPr="00282AC9">
        <w:rPr>
          <w:rFonts w:hint="cs"/>
          <w:sz w:val="27"/>
          <w:rtl/>
        </w:rPr>
        <w:t>:</w:t>
      </w:r>
      <w:r w:rsidRPr="00282AC9">
        <w:rPr>
          <w:rFonts w:hint="cs"/>
          <w:sz w:val="27"/>
          <w:rtl/>
        </w:rPr>
        <w:t xml:space="preserve"> الشخص الذي يتناول السم</w:t>
      </w:r>
      <w:r w:rsidR="00B00CDE" w:rsidRPr="00282AC9">
        <w:rPr>
          <w:rFonts w:hint="cs"/>
          <w:sz w:val="27"/>
          <w:rtl/>
        </w:rPr>
        <w:t>ّ،</w:t>
      </w:r>
      <w:r w:rsidRPr="00282AC9">
        <w:rPr>
          <w:rFonts w:hint="cs"/>
          <w:sz w:val="27"/>
          <w:rtl/>
        </w:rPr>
        <w:t xml:space="preserve"> فإنه بمجرّد تناول السم</w:t>
      </w:r>
      <w:r w:rsidR="00B00CDE" w:rsidRPr="00282AC9">
        <w:rPr>
          <w:rFonts w:hint="cs"/>
          <w:sz w:val="27"/>
          <w:rtl/>
        </w:rPr>
        <w:t>ّ</w:t>
      </w:r>
      <w:r w:rsidRPr="00282AC9">
        <w:rPr>
          <w:rFonts w:hint="cs"/>
          <w:sz w:val="27"/>
          <w:rtl/>
        </w:rPr>
        <w:t xml:space="preserve"> يظهر عليه تأثيره</w:t>
      </w:r>
      <w:r w:rsidR="00B00CDE" w:rsidRPr="00282AC9">
        <w:rPr>
          <w:rFonts w:hint="cs"/>
          <w:sz w:val="27"/>
          <w:rtl/>
        </w:rPr>
        <w:t>،</w:t>
      </w:r>
      <w:r w:rsidRPr="00282AC9">
        <w:rPr>
          <w:rFonts w:hint="cs"/>
          <w:sz w:val="27"/>
          <w:rtl/>
        </w:rPr>
        <w:t xml:space="preserve"> المتمث</w:t>
      </w:r>
      <w:r w:rsidR="00B00CDE" w:rsidRPr="00282AC9">
        <w:rPr>
          <w:rFonts w:hint="cs"/>
          <w:sz w:val="27"/>
          <w:rtl/>
        </w:rPr>
        <w:t>ِّ</w:t>
      </w:r>
      <w:r w:rsidRPr="00282AC9">
        <w:rPr>
          <w:rFonts w:hint="cs"/>
          <w:sz w:val="27"/>
          <w:rtl/>
        </w:rPr>
        <w:t>ل بالموت، سواء</w:t>
      </w:r>
      <w:r w:rsidR="00B00CDE" w:rsidRPr="00282AC9">
        <w:rPr>
          <w:rFonts w:hint="cs"/>
          <w:sz w:val="27"/>
          <w:rtl/>
        </w:rPr>
        <w:t xml:space="preserve">ٌ </w:t>
      </w:r>
      <w:r w:rsidRPr="00282AC9">
        <w:rPr>
          <w:rFonts w:hint="cs"/>
          <w:sz w:val="27"/>
          <w:rtl/>
        </w:rPr>
        <w:t>أكان عالماً بأن ما تناوله سمّ</w:t>
      </w:r>
      <w:r w:rsidR="00B00CDE" w:rsidRPr="00282AC9">
        <w:rPr>
          <w:rFonts w:hint="cs"/>
          <w:sz w:val="27"/>
          <w:rtl/>
        </w:rPr>
        <w:t>ٌ</w:t>
      </w:r>
      <w:r w:rsidRPr="00282AC9">
        <w:rPr>
          <w:rFonts w:hint="cs"/>
          <w:sz w:val="27"/>
          <w:rtl/>
        </w:rPr>
        <w:t xml:space="preserve"> أ</w:t>
      </w:r>
      <w:r w:rsidR="00B00CDE" w:rsidRPr="00282AC9">
        <w:rPr>
          <w:rFonts w:hint="cs"/>
          <w:sz w:val="27"/>
          <w:rtl/>
        </w:rPr>
        <w:t>م لم يكن عالماً بذلك.</w:t>
      </w:r>
    </w:p>
    <w:p w:rsidR="00DA2F6D" w:rsidRPr="00282AC9" w:rsidRDefault="00DA2F6D" w:rsidP="00F066C8">
      <w:pPr>
        <w:rPr>
          <w:sz w:val="27"/>
          <w:rtl/>
        </w:rPr>
      </w:pPr>
      <w:r w:rsidRPr="00282AC9">
        <w:rPr>
          <w:rFonts w:hint="cs"/>
          <w:sz w:val="27"/>
          <w:rtl/>
        </w:rPr>
        <w:t>وبناء</w:t>
      </w:r>
      <w:r w:rsidR="00B00CDE" w:rsidRPr="00282AC9">
        <w:rPr>
          <w:rFonts w:hint="cs"/>
          <w:sz w:val="27"/>
          <w:rtl/>
        </w:rPr>
        <w:t>ً</w:t>
      </w:r>
      <w:r w:rsidRPr="00282AC9">
        <w:rPr>
          <w:rFonts w:hint="cs"/>
          <w:sz w:val="27"/>
          <w:rtl/>
        </w:rPr>
        <w:t xml:space="preserve"> على مسلك تجسّ</w:t>
      </w:r>
      <w:r w:rsidR="00B00CDE" w:rsidRPr="00282AC9">
        <w:rPr>
          <w:rFonts w:hint="cs"/>
          <w:sz w:val="27"/>
          <w:rtl/>
        </w:rPr>
        <w:t>ُ</w:t>
      </w:r>
      <w:r w:rsidRPr="00282AC9">
        <w:rPr>
          <w:rFonts w:hint="cs"/>
          <w:sz w:val="27"/>
          <w:rtl/>
        </w:rPr>
        <w:t>م الأعمال؛ حيث لا يكون هناك اختلاف</w:t>
      </w:r>
      <w:r w:rsidR="00B00CDE" w:rsidRPr="00282AC9">
        <w:rPr>
          <w:rFonts w:hint="cs"/>
          <w:sz w:val="27"/>
          <w:rtl/>
        </w:rPr>
        <w:t>ٌ</w:t>
      </w:r>
      <w:r w:rsidRPr="00282AC9">
        <w:rPr>
          <w:rFonts w:hint="cs"/>
          <w:sz w:val="27"/>
          <w:rtl/>
        </w:rPr>
        <w:t xml:space="preserve"> ماهو</w:t>
      </w:r>
      <w:r w:rsidR="00B00CDE" w:rsidRPr="00282AC9">
        <w:rPr>
          <w:rFonts w:hint="cs"/>
          <w:sz w:val="27"/>
          <w:rtl/>
        </w:rPr>
        <w:t>ّ</w:t>
      </w:r>
      <w:r w:rsidRPr="00282AC9">
        <w:rPr>
          <w:rFonts w:hint="cs"/>
          <w:sz w:val="27"/>
          <w:rtl/>
        </w:rPr>
        <w:t>ي بين العمل والثواب والعقاب</w:t>
      </w:r>
      <w:r w:rsidR="00B00CDE" w:rsidRPr="00282AC9">
        <w:rPr>
          <w:rFonts w:hint="cs"/>
          <w:sz w:val="27"/>
          <w:rtl/>
        </w:rPr>
        <w:t>،</w:t>
      </w:r>
      <w:r w:rsidRPr="00282AC9">
        <w:rPr>
          <w:rFonts w:hint="cs"/>
          <w:sz w:val="27"/>
          <w:rtl/>
        </w:rPr>
        <w:t xml:space="preserve"> </w:t>
      </w:r>
      <w:r w:rsidR="00712E30" w:rsidRPr="00282AC9">
        <w:rPr>
          <w:rFonts w:hint="cs"/>
          <w:sz w:val="27"/>
          <w:rtl/>
        </w:rPr>
        <w:t>فإنه</w:t>
      </w:r>
      <w:r w:rsidRPr="00282AC9">
        <w:rPr>
          <w:rFonts w:hint="cs"/>
          <w:sz w:val="27"/>
          <w:rtl/>
        </w:rPr>
        <w:t xml:space="preserve"> بمجرّ</w:t>
      </w:r>
      <w:r w:rsidR="00B00CDE" w:rsidRPr="00282AC9">
        <w:rPr>
          <w:rFonts w:hint="cs"/>
          <w:sz w:val="27"/>
          <w:rtl/>
        </w:rPr>
        <w:t>َ</w:t>
      </w:r>
      <w:r w:rsidRPr="00282AC9">
        <w:rPr>
          <w:rFonts w:hint="cs"/>
          <w:sz w:val="27"/>
          <w:rtl/>
        </w:rPr>
        <w:t>د صدور الفعل يكون في الحقيقة قد عمل على إيجاد النار والعقاب أو الجن</w:t>
      </w:r>
      <w:r w:rsidR="00B00CDE" w:rsidRPr="00282AC9">
        <w:rPr>
          <w:rFonts w:hint="cs"/>
          <w:sz w:val="27"/>
          <w:rtl/>
        </w:rPr>
        <w:t>ّ</w:t>
      </w:r>
      <w:r w:rsidRPr="00282AC9">
        <w:rPr>
          <w:rFonts w:hint="cs"/>
          <w:sz w:val="27"/>
          <w:rtl/>
        </w:rPr>
        <w:t>ة والثواب والسعادة، ولا تأثير في هذه المسألة للعلم والجهل أيضاً. وعلى هذا الأساس عندما نفترض أن ذات الفعل عندما تتحق</w:t>
      </w:r>
      <w:r w:rsidR="00712E30" w:rsidRPr="00282AC9">
        <w:rPr>
          <w:rFonts w:hint="cs"/>
          <w:sz w:val="27"/>
          <w:rtl/>
        </w:rPr>
        <w:t>َّ</w:t>
      </w:r>
      <w:r w:rsidRPr="00282AC9">
        <w:rPr>
          <w:rFonts w:hint="cs"/>
          <w:sz w:val="27"/>
          <w:rtl/>
        </w:rPr>
        <w:t xml:space="preserve">ق ـ سواء في حالة العلم أو الجهل ـ </w:t>
      </w:r>
      <w:r w:rsidR="00712E30" w:rsidRPr="00282AC9">
        <w:rPr>
          <w:rFonts w:hint="cs"/>
          <w:sz w:val="27"/>
          <w:rtl/>
        </w:rPr>
        <w:t>ي</w:t>
      </w:r>
      <w:r w:rsidRPr="00282AC9">
        <w:rPr>
          <w:rFonts w:hint="cs"/>
          <w:sz w:val="27"/>
          <w:rtl/>
        </w:rPr>
        <w:t>ترت</w:t>
      </w:r>
      <w:r w:rsidR="00712E30" w:rsidRPr="00282AC9">
        <w:rPr>
          <w:rFonts w:hint="cs"/>
          <w:sz w:val="27"/>
          <w:rtl/>
        </w:rPr>
        <w:t>َّ</w:t>
      </w:r>
      <w:r w:rsidRPr="00282AC9">
        <w:rPr>
          <w:rFonts w:hint="cs"/>
          <w:sz w:val="27"/>
          <w:rtl/>
        </w:rPr>
        <w:t>ب على ذلك لازمه</w:t>
      </w:r>
      <w:r w:rsidR="00712E30" w:rsidRPr="00282AC9">
        <w:rPr>
          <w:rFonts w:hint="cs"/>
          <w:sz w:val="27"/>
          <w:rtl/>
        </w:rPr>
        <w:t>،</w:t>
      </w:r>
      <w:r w:rsidRPr="00282AC9">
        <w:rPr>
          <w:rFonts w:hint="cs"/>
          <w:sz w:val="27"/>
          <w:rtl/>
        </w:rPr>
        <w:t xml:space="preserve"> المتمثّ</w:t>
      </w:r>
      <w:r w:rsidR="00712E30" w:rsidRPr="00282AC9">
        <w:rPr>
          <w:rFonts w:hint="cs"/>
          <w:sz w:val="27"/>
          <w:rtl/>
        </w:rPr>
        <w:t>ِ</w:t>
      </w:r>
      <w:r w:rsidRPr="00282AC9">
        <w:rPr>
          <w:rFonts w:hint="cs"/>
          <w:sz w:val="27"/>
          <w:rtl/>
        </w:rPr>
        <w:t>ل في العقاب، لا يكون ترت</w:t>
      </w:r>
      <w:r w:rsidR="00712E30" w:rsidRPr="00282AC9">
        <w:rPr>
          <w:rFonts w:hint="cs"/>
          <w:sz w:val="27"/>
          <w:rtl/>
        </w:rPr>
        <w:t>ُّ</w:t>
      </w:r>
      <w:r w:rsidRPr="00282AC9">
        <w:rPr>
          <w:rFonts w:hint="cs"/>
          <w:sz w:val="27"/>
          <w:rtl/>
        </w:rPr>
        <w:t>ب العقاب هنا قبيحاً. وبعبارة</w:t>
      </w:r>
      <w:r w:rsidR="00712E30" w:rsidRPr="00282AC9">
        <w:rPr>
          <w:rFonts w:hint="cs"/>
          <w:sz w:val="27"/>
          <w:rtl/>
        </w:rPr>
        <w:t>ٍ</w:t>
      </w:r>
      <w:r w:rsidRPr="00282AC9">
        <w:rPr>
          <w:rFonts w:hint="cs"/>
          <w:sz w:val="27"/>
          <w:rtl/>
        </w:rPr>
        <w:t xml:space="preserve"> أخرى: لا يعود من الصحيح بيان قاعدة ق</w:t>
      </w:r>
      <w:r w:rsidR="00712E30" w:rsidRPr="00282AC9">
        <w:rPr>
          <w:rFonts w:hint="cs"/>
          <w:sz w:val="27"/>
          <w:rtl/>
        </w:rPr>
        <w:t>ُ</w:t>
      </w:r>
      <w:r w:rsidRPr="00282AC9">
        <w:rPr>
          <w:rFonts w:hint="cs"/>
          <w:sz w:val="27"/>
          <w:rtl/>
        </w:rPr>
        <w:t>ب</w:t>
      </w:r>
      <w:r w:rsidR="00712E30" w:rsidRPr="00282AC9">
        <w:rPr>
          <w:rFonts w:hint="cs"/>
          <w:sz w:val="27"/>
          <w:rtl/>
        </w:rPr>
        <w:t>ْ</w:t>
      </w:r>
      <w:r w:rsidRPr="00282AC9">
        <w:rPr>
          <w:rFonts w:hint="cs"/>
          <w:sz w:val="27"/>
          <w:rtl/>
        </w:rPr>
        <w:t>ح العقاب بلا بيان</w:t>
      </w:r>
      <w:r w:rsidR="00712E30" w:rsidRPr="00282AC9">
        <w:rPr>
          <w:rFonts w:hint="cs"/>
          <w:sz w:val="27"/>
          <w:rtl/>
        </w:rPr>
        <w:t>ٍ</w:t>
      </w:r>
      <w:r w:rsidRPr="00282AC9">
        <w:rPr>
          <w:rFonts w:hint="cs"/>
          <w:sz w:val="27"/>
          <w:rtl/>
        </w:rPr>
        <w:t xml:space="preserve"> في هذين المسلكين أصلاً</w:t>
      </w:r>
      <w:r w:rsidR="00712E30" w:rsidRPr="00282AC9">
        <w:rPr>
          <w:rFonts w:hint="cs"/>
          <w:sz w:val="27"/>
          <w:rtl/>
        </w:rPr>
        <w:t>؛</w:t>
      </w:r>
      <w:r w:rsidRPr="00282AC9">
        <w:rPr>
          <w:rFonts w:hint="cs"/>
          <w:sz w:val="27"/>
          <w:rtl/>
        </w:rPr>
        <w:t xml:space="preserve"> فهي خارجة</w:t>
      </w:r>
      <w:r w:rsidR="00712E30" w:rsidRPr="00282AC9">
        <w:rPr>
          <w:rFonts w:hint="cs"/>
          <w:sz w:val="27"/>
          <w:rtl/>
        </w:rPr>
        <w:t>ٌ</w:t>
      </w:r>
      <w:r w:rsidRPr="00282AC9">
        <w:rPr>
          <w:rFonts w:hint="cs"/>
          <w:sz w:val="27"/>
          <w:rtl/>
        </w:rPr>
        <w:t xml:space="preserve"> عن محل</w:t>
      </w:r>
      <w:r w:rsidR="00712E30" w:rsidRPr="00282AC9">
        <w:rPr>
          <w:rFonts w:hint="cs"/>
          <w:sz w:val="27"/>
          <w:rtl/>
        </w:rPr>
        <w:t>ّ</w:t>
      </w:r>
      <w:r w:rsidRPr="00282AC9">
        <w:rPr>
          <w:rFonts w:hint="cs"/>
          <w:sz w:val="27"/>
          <w:rtl/>
        </w:rPr>
        <w:t xml:space="preserve"> البحث؛ إذ يكون ج</w:t>
      </w:r>
      <w:r w:rsidR="00712E30" w:rsidRPr="00282AC9">
        <w:rPr>
          <w:rFonts w:hint="cs"/>
          <w:sz w:val="27"/>
          <w:rtl/>
        </w:rPr>
        <w:t>َ</w:t>
      </w:r>
      <w:r w:rsidRPr="00282AC9">
        <w:rPr>
          <w:rFonts w:hint="cs"/>
          <w:sz w:val="27"/>
          <w:rtl/>
        </w:rPr>
        <w:t>ر</w:t>
      </w:r>
      <w:r w:rsidR="00712E30" w:rsidRPr="00282AC9">
        <w:rPr>
          <w:rFonts w:hint="cs"/>
          <w:sz w:val="27"/>
          <w:rtl/>
        </w:rPr>
        <w:t>َ</w:t>
      </w:r>
      <w:r w:rsidRPr="00282AC9">
        <w:rPr>
          <w:rFonts w:hint="cs"/>
          <w:sz w:val="27"/>
          <w:rtl/>
        </w:rPr>
        <w:t>يان العقاب في مثل هذه الحالة أمراً قهري</w:t>
      </w:r>
      <w:r w:rsidR="00712E30" w:rsidRPr="00282AC9">
        <w:rPr>
          <w:rFonts w:hint="cs"/>
          <w:sz w:val="27"/>
          <w:rtl/>
        </w:rPr>
        <w:t>ّ</w:t>
      </w:r>
      <w:r w:rsidRPr="00282AC9">
        <w:rPr>
          <w:rFonts w:hint="cs"/>
          <w:sz w:val="27"/>
          <w:rtl/>
        </w:rPr>
        <w:t>اً وملازماً لفعل المكل</w:t>
      </w:r>
      <w:r w:rsidR="00712E30" w:rsidRPr="00282AC9">
        <w:rPr>
          <w:rFonts w:hint="cs"/>
          <w:sz w:val="27"/>
          <w:rtl/>
        </w:rPr>
        <w:t>َّ</w:t>
      </w:r>
      <w:r w:rsidRPr="00282AC9">
        <w:rPr>
          <w:rFonts w:hint="cs"/>
          <w:sz w:val="27"/>
          <w:rtl/>
        </w:rPr>
        <w:t>ف</w:t>
      </w:r>
      <w:r w:rsidR="00712E30" w:rsidRPr="00282AC9">
        <w:rPr>
          <w:rFonts w:hint="cs"/>
          <w:sz w:val="27"/>
          <w:rtl/>
        </w:rPr>
        <w:t>.</w:t>
      </w:r>
      <w:r w:rsidRPr="00282AC9">
        <w:rPr>
          <w:rFonts w:hint="cs"/>
          <w:sz w:val="27"/>
          <w:rtl/>
        </w:rPr>
        <w:t xml:space="preserve"> وعليه لا يكون هناك وجه</w:t>
      </w:r>
      <w:r w:rsidR="00712E30" w:rsidRPr="00282AC9">
        <w:rPr>
          <w:rFonts w:hint="cs"/>
          <w:sz w:val="27"/>
          <w:rtl/>
        </w:rPr>
        <w:t>ٌ</w:t>
      </w:r>
      <w:r w:rsidRPr="00282AC9">
        <w:rPr>
          <w:rFonts w:hint="cs"/>
          <w:sz w:val="27"/>
          <w:rtl/>
        </w:rPr>
        <w:t xml:space="preserve"> للقول بق</w:t>
      </w:r>
      <w:r w:rsidR="00712E30" w:rsidRPr="00282AC9">
        <w:rPr>
          <w:rFonts w:hint="cs"/>
          <w:sz w:val="27"/>
          <w:rtl/>
        </w:rPr>
        <w:t>ُ</w:t>
      </w:r>
      <w:r w:rsidRPr="00282AC9">
        <w:rPr>
          <w:rFonts w:hint="cs"/>
          <w:sz w:val="27"/>
          <w:rtl/>
        </w:rPr>
        <w:t>ب</w:t>
      </w:r>
      <w:r w:rsidR="00712E30" w:rsidRPr="00282AC9">
        <w:rPr>
          <w:rFonts w:hint="cs"/>
          <w:sz w:val="27"/>
          <w:rtl/>
        </w:rPr>
        <w:t>ْ</w:t>
      </w:r>
      <w:r w:rsidRPr="00282AC9">
        <w:rPr>
          <w:rFonts w:hint="cs"/>
          <w:sz w:val="27"/>
          <w:rtl/>
        </w:rPr>
        <w:t>ح العقاب في هذه الحالة.</w:t>
      </w:r>
    </w:p>
    <w:p w:rsidR="00DA2F6D" w:rsidRPr="00282AC9" w:rsidRDefault="00DA2F6D" w:rsidP="00F066C8">
      <w:pPr>
        <w:rPr>
          <w:sz w:val="27"/>
          <w:rtl/>
        </w:rPr>
      </w:pPr>
      <w:r w:rsidRPr="00282AC9">
        <w:rPr>
          <w:rFonts w:hint="cs"/>
          <w:sz w:val="27"/>
          <w:rtl/>
        </w:rPr>
        <w:t>وأما بناء</w:t>
      </w:r>
      <w:r w:rsidR="00712E30" w:rsidRPr="00282AC9">
        <w:rPr>
          <w:rFonts w:hint="cs"/>
          <w:sz w:val="27"/>
          <w:rtl/>
        </w:rPr>
        <w:t>ً</w:t>
      </w:r>
      <w:r w:rsidRPr="00282AC9">
        <w:rPr>
          <w:rFonts w:hint="cs"/>
          <w:sz w:val="27"/>
          <w:rtl/>
        </w:rPr>
        <w:t xml:space="preserve"> على المسلك الثالث فلا يوجد طريق</w:t>
      </w:r>
      <w:r w:rsidR="00712E30" w:rsidRPr="00282AC9">
        <w:rPr>
          <w:rFonts w:hint="cs"/>
          <w:sz w:val="27"/>
          <w:rtl/>
        </w:rPr>
        <w:t>ٌ</w:t>
      </w:r>
      <w:r w:rsidRPr="00282AC9">
        <w:rPr>
          <w:rFonts w:hint="cs"/>
          <w:sz w:val="27"/>
          <w:rtl/>
        </w:rPr>
        <w:t xml:space="preserve"> أيضاً للحكم بصحّة القول بق</w:t>
      </w:r>
      <w:r w:rsidR="00712E30" w:rsidRPr="00282AC9">
        <w:rPr>
          <w:rFonts w:hint="cs"/>
          <w:sz w:val="27"/>
          <w:rtl/>
        </w:rPr>
        <w:t>ُ</w:t>
      </w:r>
      <w:r w:rsidRPr="00282AC9">
        <w:rPr>
          <w:rFonts w:hint="cs"/>
          <w:sz w:val="27"/>
          <w:rtl/>
        </w:rPr>
        <w:t>ب</w:t>
      </w:r>
      <w:r w:rsidR="00712E30" w:rsidRPr="00282AC9">
        <w:rPr>
          <w:rFonts w:hint="cs"/>
          <w:sz w:val="27"/>
          <w:rtl/>
        </w:rPr>
        <w:t>ْ</w:t>
      </w:r>
      <w:r w:rsidRPr="00282AC9">
        <w:rPr>
          <w:rFonts w:hint="cs"/>
          <w:sz w:val="27"/>
          <w:rtl/>
        </w:rPr>
        <w:t>ح العقاب بلا بيان</w:t>
      </w:r>
      <w:r w:rsidR="00712E30" w:rsidRPr="00282AC9">
        <w:rPr>
          <w:rFonts w:hint="cs"/>
          <w:sz w:val="27"/>
          <w:rtl/>
        </w:rPr>
        <w:t>ٍ</w:t>
      </w:r>
      <w:r w:rsidRPr="00282AC9">
        <w:rPr>
          <w:rFonts w:hint="cs"/>
          <w:sz w:val="27"/>
          <w:rtl/>
        </w:rPr>
        <w:t xml:space="preserve">؛ </w:t>
      </w:r>
      <w:r w:rsidR="00712E30" w:rsidRPr="00282AC9">
        <w:rPr>
          <w:rFonts w:hint="cs"/>
          <w:sz w:val="27"/>
          <w:rtl/>
        </w:rPr>
        <w:t>أي إ</w:t>
      </w:r>
      <w:r w:rsidRPr="00282AC9">
        <w:rPr>
          <w:rFonts w:hint="cs"/>
          <w:sz w:val="27"/>
          <w:rtl/>
        </w:rPr>
        <w:t>نه لا يمكن القول بق</w:t>
      </w:r>
      <w:r w:rsidR="00712E30" w:rsidRPr="00282AC9">
        <w:rPr>
          <w:rFonts w:hint="cs"/>
          <w:sz w:val="27"/>
          <w:rtl/>
        </w:rPr>
        <w:t>ُ</w:t>
      </w:r>
      <w:r w:rsidRPr="00282AC9">
        <w:rPr>
          <w:rFonts w:hint="cs"/>
          <w:sz w:val="27"/>
          <w:rtl/>
        </w:rPr>
        <w:t>ب</w:t>
      </w:r>
      <w:r w:rsidR="00712E30" w:rsidRPr="00282AC9">
        <w:rPr>
          <w:rFonts w:hint="cs"/>
          <w:sz w:val="27"/>
          <w:rtl/>
        </w:rPr>
        <w:t>ْ</w:t>
      </w:r>
      <w:r w:rsidRPr="00282AC9">
        <w:rPr>
          <w:rFonts w:hint="cs"/>
          <w:sz w:val="27"/>
          <w:rtl/>
        </w:rPr>
        <w:t>حه</w:t>
      </w:r>
      <w:r w:rsidR="00712E30" w:rsidRPr="00282AC9">
        <w:rPr>
          <w:rFonts w:hint="cs"/>
          <w:sz w:val="27"/>
          <w:rtl/>
        </w:rPr>
        <w:t>،</w:t>
      </w:r>
      <w:r w:rsidRPr="00282AC9">
        <w:rPr>
          <w:rFonts w:hint="cs"/>
          <w:sz w:val="27"/>
          <w:rtl/>
        </w:rPr>
        <w:t xml:space="preserve"> ولا يمكن القول بعدم ق</w:t>
      </w:r>
      <w:r w:rsidR="00712E30" w:rsidRPr="00282AC9">
        <w:rPr>
          <w:rFonts w:hint="cs"/>
          <w:sz w:val="27"/>
          <w:rtl/>
        </w:rPr>
        <w:t>ُ</w:t>
      </w:r>
      <w:r w:rsidRPr="00282AC9">
        <w:rPr>
          <w:rFonts w:hint="cs"/>
          <w:sz w:val="27"/>
          <w:rtl/>
        </w:rPr>
        <w:t>ب</w:t>
      </w:r>
      <w:r w:rsidR="00712E30" w:rsidRPr="00282AC9">
        <w:rPr>
          <w:rFonts w:hint="cs"/>
          <w:sz w:val="27"/>
          <w:rtl/>
        </w:rPr>
        <w:t>ْ</w:t>
      </w:r>
      <w:r w:rsidRPr="00282AC9">
        <w:rPr>
          <w:rFonts w:hint="cs"/>
          <w:sz w:val="27"/>
          <w:rtl/>
        </w:rPr>
        <w:t>حه</w:t>
      </w:r>
      <w:r w:rsidR="00712E30" w:rsidRPr="00282AC9">
        <w:rPr>
          <w:rFonts w:hint="cs"/>
          <w:sz w:val="27"/>
          <w:rtl/>
        </w:rPr>
        <w:t xml:space="preserve">؛ </w:t>
      </w:r>
      <w:r w:rsidRPr="00282AC9">
        <w:rPr>
          <w:rFonts w:hint="cs"/>
          <w:sz w:val="27"/>
          <w:rtl/>
        </w:rPr>
        <w:t>وذلك لعدم علمنا بالملاك الذي بموجبه يقوم الشارع بالتوعّ</w:t>
      </w:r>
      <w:r w:rsidR="00712E30" w:rsidRPr="00282AC9">
        <w:rPr>
          <w:rFonts w:hint="cs"/>
          <w:sz w:val="27"/>
          <w:rtl/>
        </w:rPr>
        <w:t>ُ</w:t>
      </w:r>
      <w:r w:rsidRPr="00282AC9">
        <w:rPr>
          <w:rFonts w:hint="cs"/>
          <w:sz w:val="27"/>
          <w:rtl/>
        </w:rPr>
        <w:t>د على العقاب</w:t>
      </w:r>
      <w:r w:rsidR="00712E30" w:rsidRPr="00282AC9">
        <w:rPr>
          <w:rFonts w:hint="cs"/>
          <w:sz w:val="27"/>
          <w:rtl/>
        </w:rPr>
        <w:t>؛</w:t>
      </w:r>
      <w:r w:rsidRPr="00282AC9">
        <w:rPr>
          <w:rFonts w:hint="cs"/>
          <w:sz w:val="27"/>
          <w:rtl/>
        </w:rPr>
        <w:t xml:space="preserve"> بسبب المخالفة. وحيث لا نعلم ملاك الشارع في ترتّ</w:t>
      </w:r>
      <w:r w:rsidR="00712E30" w:rsidRPr="00282AC9">
        <w:rPr>
          <w:rFonts w:hint="cs"/>
          <w:sz w:val="27"/>
          <w:rtl/>
        </w:rPr>
        <w:t>ُ</w:t>
      </w:r>
      <w:r w:rsidRPr="00282AC9">
        <w:rPr>
          <w:rFonts w:hint="cs"/>
          <w:sz w:val="27"/>
          <w:rtl/>
        </w:rPr>
        <w:t>ب العقاب لا نستطيع القول هنا بأن العقاب قبيح</w:t>
      </w:r>
      <w:r w:rsidR="00712E30" w:rsidRPr="00282AC9">
        <w:rPr>
          <w:rFonts w:hint="cs"/>
          <w:sz w:val="27"/>
          <w:rtl/>
        </w:rPr>
        <w:t>ٌ</w:t>
      </w:r>
      <w:r w:rsidRPr="00282AC9">
        <w:rPr>
          <w:rFonts w:hint="cs"/>
          <w:sz w:val="27"/>
          <w:rtl/>
        </w:rPr>
        <w:t xml:space="preserve"> أم لا.</w:t>
      </w:r>
    </w:p>
    <w:p w:rsidR="00DA2F6D" w:rsidRPr="00282AC9" w:rsidRDefault="00712E30" w:rsidP="00F066C8">
      <w:pPr>
        <w:rPr>
          <w:sz w:val="27"/>
          <w:rtl/>
        </w:rPr>
      </w:pPr>
      <w:r w:rsidRPr="00282AC9">
        <w:rPr>
          <w:rFonts w:hint="cs"/>
          <w:sz w:val="27"/>
          <w:rtl/>
        </w:rPr>
        <w:t>و</w:t>
      </w:r>
      <w:r w:rsidR="00DA2F6D" w:rsidRPr="00282AC9">
        <w:rPr>
          <w:rFonts w:hint="cs"/>
          <w:sz w:val="27"/>
          <w:rtl/>
        </w:rPr>
        <w:t>توضيح ذلك</w:t>
      </w:r>
      <w:r w:rsidRPr="00282AC9">
        <w:rPr>
          <w:rFonts w:hint="cs"/>
          <w:sz w:val="27"/>
          <w:rtl/>
        </w:rPr>
        <w:t>:</w:t>
      </w:r>
      <w:r w:rsidR="00DA2F6D" w:rsidRPr="00282AC9">
        <w:rPr>
          <w:rFonts w:hint="cs"/>
          <w:sz w:val="27"/>
          <w:rtl/>
        </w:rPr>
        <w:t xml:space="preserve"> </w:t>
      </w:r>
      <w:r w:rsidRPr="00282AC9">
        <w:rPr>
          <w:rFonts w:hint="cs"/>
          <w:sz w:val="27"/>
          <w:rtl/>
        </w:rPr>
        <w:t>إ</w:t>
      </w:r>
      <w:r w:rsidR="00DA2F6D" w:rsidRPr="00282AC9">
        <w:rPr>
          <w:rFonts w:hint="cs"/>
          <w:sz w:val="27"/>
          <w:rtl/>
        </w:rPr>
        <w:t>ن سماحته يقول: إن الملاك في مورد العقاب والثواب الأخروي واضح</w:t>
      </w:r>
      <w:r w:rsidR="00333FCA" w:rsidRPr="00282AC9">
        <w:rPr>
          <w:rFonts w:hint="cs"/>
          <w:sz w:val="27"/>
          <w:rtl/>
        </w:rPr>
        <w:t>ٌ</w:t>
      </w:r>
      <w:r w:rsidR="00DA2F6D" w:rsidRPr="00282AC9">
        <w:rPr>
          <w:rFonts w:hint="cs"/>
          <w:sz w:val="27"/>
          <w:rtl/>
        </w:rPr>
        <w:t xml:space="preserve"> ومعلوم، فهو لا يخرج من إحدى حالتين</w:t>
      </w:r>
      <w:r w:rsidR="00333FCA" w:rsidRPr="00282AC9">
        <w:rPr>
          <w:rFonts w:hint="cs"/>
          <w:sz w:val="27"/>
          <w:rtl/>
        </w:rPr>
        <w:t>؛</w:t>
      </w:r>
      <w:r w:rsidR="00DA2F6D" w:rsidRPr="00282AC9">
        <w:rPr>
          <w:rFonts w:hint="cs"/>
          <w:sz w:val="27"/>
          <w:rtl/>
        </w:rPr>
        <w:t xml:space="preserve"> إن ملاك العقوبة الدنيوية يكون </w:t>
      </w:r>
      <w:r w:rsidR="00DA2F6D" w:rsidRPr="00282AC9">
        <w:rPr>
          <w:sz w:val="27"/>
          <w:rtl/>
        </w:rPr>
        <w:t xml:space="preserve">إما </w:t>
      </w:r>
      <w:r w:rsidR="00DA2F6D" w:rsidRPr="00282AC9">
        <w:rPr>
          <w:rFonts w:hint="cs"/>
          <w:sz w:val="27"/>
          <w:rtl/>
        </w:rPr>
        <w:t>من أجل تحذير المذنب نفسه</w:t>
      </w:r>
      <w:r w:rsidR="00333FCA" w:rsidRPr="00282AC9">
        <w:rPr>
          <w:rFonts w:hint="cs"/>
          <w:sz w:val="27"/>
          <w:rtl/>
        </w:rPr>
        <w:t>؛</w:t>
      </w:r>
      <w:r w:rsidR="00DA2F6D" w:rsidRPr="00282AC9">
        <w:rPr>
          <w:rFonts w:hint="cs"/>
          <w:sz w:val="27"/>
          <w:rtl/>
        </w:rPr>
        <w:t xml:space="preserve"> كي لا يعود إلى تكرار المعصية مجدّ</w:t>
      </w:r>
      <w:r w:rsidR="00333FCA" w:rsidRPr="00282AC9">
        <w:rPr>
          <w:rFonts w:hint="cs"/>
          <w:sz w:val="27"/>
          <w:rtl/>
        </w:rPr>
        <w:t>َ</w:t>
      </w:r>
      <w:r w:rsidR="00DA2F6D" w:rsidRPr="00282AC9">
        <w:rPr>
          <w:rFonts w:hint="cs"/>
          <w:sz w:val="27"/>
          <w:rtl/>
        </w:rPr>
        <w:t>داً</w:t>
      </w:r>
      <w:r w:rsidR="00333FCA" w:rsidRPr="00282AC9">
        <w:rPr>
          <w:rFonts w:hint="cs"/>
          <w:sz w:val="27"/>
          <w:rtl/>
        </w:rPr>
        <w:t>؛</w:t>
      </w:r>
      <w:r w:rsidR="00DA2F6D" w:rsidRPr="00282AC9">
        <w:rPr>
          <w:rFonts w:hint="cs"/>
          <w:sz w:val="27"/>
          <w:rtl/>
        </w:rPr>
        <w:t xml:space="preserve"> أو من باب تأديب </w:t>
      </w:r>
      <w:r w:rsidR="00DA2F6D" w:rsidRPr="00282AC9">
        <w:rPr>
          <w:rFonts w:hint="cs"/>
          <w:sz w:val="27"/>
          <w:rtl/>
        </w:rPr>
        <w:lastRenderedPageBreak/>
        <w:t>الآخرين وردعهم</w:t>
      </w:r>
      <w:r w:rsidR="00333FCA" w:rsidRPr="00282AC9">
        <w:rPr>
          <w:rFonts w:hint="cs"/>
          <w:sz w:val="27"/>
          <w:rtl/>
        </w:rPr>
        <w:t>؛</w:t>
      </w:r>
      <w:r w:rsidR="00DA2F6D" w:rsidRPr="00282AC9">
        <w:rPr>
          <w:rFonts w:hint="cs"/>
          <w:sz w:val="27"/>
          <w:rtl/>
        </w:rPr>
        <w:t xml:space="preserve"> كي لا يرتكبوا هذه المعصية. إن هذا الملاك إنما يمكن بيانه وتفسيره بلحاظ عالم الدنيا</w:t>
      </w:r>
      <w:r w:rsidR="00333FCA" w:rsidRPr="00282AC9">
        <w:rPr>
          <w:rFonts w:hint="cs"/>
          <w:sz w:val="27"/>
          <w:rtl/>
        </w:rPr>
        <w:t>،</w:t>
      </w:r>
      <w:r w:rsidR="00DA2F6D" w:rsidRPr="00282AC9">
        <w:rPr>
          <w:rFonts w:hint="cs"/>
          <w:sz w:val="27"/>
          <w:rtl/>
        </w:rPr>
        <w:t xml:space="preserve"> دون عالم الآخرة؛ إذ </w:t>
      </w:r>
      <w:r w:rsidR="00333FCA" w:rsidRPr="00282AC9">
        <w:rPr>
          <w:rFonts w:hint="cs"/>
          <w:sz w:val="27"/>
          <w:rtl/>
        </w:rPr>
        <w:t>إ</w:t>
      </w:r>
      <w:r w:rsidR="00DA2F6D" w:rsidRPr="00282AC9">
        <w:rPr>
          <w:rFonts w:hint="cs"/>
          <w:sz w:val="27"/>
          <w:rtl/>
        </w:rPr>
        <w:t>ن عالم الآخرة ليس عالم</w:t>
      </w:r>
      <w:r w:rsidR="00333FCA" w:rsidRPr="00282AC9">
        <w:rPr>
          <w:rFonts w:hint="cs"/>
          <w:sz w:val="27"/>
          <w:rtl/>
        </w:rPr>
        <w:t>َ</w:t>
      </w:r>
      <w:r w:rsidR="00DA2F6D" w:rsidRPr="00282AC9">
        <w:rPr>
          <w:rFonts w:hint="cs"/>
          <w:sz w:val="27"/>
          <w:rtl/>
        </w:rPr>
        <w:t xml:space="preserve"> تكليف</w:t>
      </w:r>
      <w:r w:rsidR="00333FCA" w:rsidRPr="00282AC9">
        <w:rPr>
          <w:rFonts w:hint="cs"/>
          <w:sz w:val="27"/>
          <w:rtl/>
        </w:rPr>
        <w:t>ٍ</w:t>
      </w:r>
      <w:r w:rsidR="00DA2F6D" w:rsidRPr="00282AC9">
        <w:rPr>
          <w:rFonts w:hint="cs"/>
          <w:sz w:val="27"/>
          <w:rtl/>
        </w:rPr>
        <w:t xml:space="preserve"> وفعل</w:t>
      </w:r>
      <w:r w:rsidR="00333FCA" w:rsidRPr="00282AC9">
        <w:rPr>
          <w:rFonts w:hint="cs"/>
          <w:sz w:val="27"/>
          <w:rtl/>
        </w:rPr>
        <w:t>ٍ</w:t>
      </w:r>
      <w:r w:rsidR="00DA2F6D" w:rsidRPr="00282AC9">
        <w:rPr>
          <w:rFonts w:hint="cs"/>
          <w:sz w:val="27"/>
          <w:rtl/>
        </w:rPr>
        <w:t>؛ لتكون هذه الموارد مطروحة</w:t>
      </w:r>
      <w:r w:rsidR="00333FCA" w:rsidRPr="00282AC9">
        <w:rPr>
          <w:rFonts w:hint="cs"/>
          <w:sz w:val="27"/>
          <w:rtl/>
        </w:rPr>
        <w:t>ً</w:t>
      </w:r>
      <w:r w:rsidR="00DA2F6D" w:rsidRPr="00282AC9">
        <w:rPr>
          <w:rFonts w:hint="cs"/>
          <w:sz w:val="27"/>
          <w:rtl/>
        </w:rPr>
        <w:t xml:space="preserve"> في ذلك العالم. وعلى هذا الأساس يجب أن يقوم العقاب الأخروي</w:t>
      </w:r>
      <w:r w:rsidR="00333FCA" w:rsidRPr="00282AC9">
        <w:rPr>
          <w:rFonts w:hint="cs"/>
          <w:sz w:val="27"/>
          <w:rtl/>
        </w:rPr>
        <w:t>ّ</w:t>
      </w:r>
      <w:r w:rsidR="00DA2F6D" w:rsidRPr="00282AC9">
        <w:rPr>
          <w:rFonts w:hint="cs"/>
          <w:sz w:val="27"/>
          <w:rtl/>
        </w:rPr>
        <w:t xml:space="preserve"> على أساس ملاك</w:t>
      </w:r>
      <w:r w:rsidR="00333FCA" w:rsidRPr="00282AC9">
        <w:rPr>
          <w:rFonts w:hint="cs"/>
          <w:sz w:val="27"/>
          <w:rtl/>
        </w:rPr>
        <w:t>ٍ</w:t>
      </w:r>
      <w:r w:rsidR="00DA2F6D" w:rsidRPr="00282AC9">
        <w:rPr>
          <w:rFonts w:hint="cs"/>
          <w:sz w:val="27"/>
          <w:rtl/>
        </w:rPr>
        <w:t xml:space="preserve"> آخر، ولا علم لنا بهذا الملاك. وحيث لا يكون لدينا طريق</w:t>
      </w:r>
      <w:r w:rsidR="00333FCA" w:rsidRPr="00282AC9">
        <w:rPr>
          <w:rFonts w:hint="cs"/>
          <w:sz w:val="27"/>
          <w:rtl/>
        </w:rPr>
        <w:t>ٌ</w:t>
      </w:r>
      <w:r w:rsidR="00DA2F6D" w:rsidRPr="00282AC9">
        <w:rPr>
          <w:rFonts w:hint="cs"/>
          <w:sz w:val="27"/>
          <w:rtl/>
        </w:rPr>
        <w:t xml:space="preserve"> إلى معرفة هذا الملاك</w:t>
      </w:r>
      <w:r w:rsidR="00333FCA" w:rsidRPr="00282AC9">
        <w:rPr>
          <w:rFonts w:hint="cs"/>
          <w:sz w:val="27"/>
          <w:rtl/>
        </w:rPr>
        <w:t>،</w:t>
      </w:r>
      <w:r w:rsidR="00DA2F6D" w:rsidRPr="00282AC9">
        <w:rPr>
          <w:rFonts w:hint="cs"/>
          <w:sz w:val="27"/>
          <w:rtl/>
        </w:rPr>
        <w:t xml:space="preserve"> وبيان حدوده وأبعاده، لا نستطيع القول بق</w:t>
      </w:r>
      <w:r w:rsidR="00333FCA" w:rsidRPr="00282AC9">
        <w:rPr>
          <w:rFonts w:hint="cs"/>
          <w:sz w:val="27"/>
          <w:rtl/>
        </w:rPr>
        <w:t>ُ</w:t>
      </w:r>
      <w:r w:rsidR="00DA2F6D" w:rsidRPr="00282AC9">
        <w:rPr>
          <w:rFonts w:hint="cs"/>
          <w:sz w:val="27"/>
          <w:rtl/>
        </w:rPr>
        <w:t>ب</w:t>
      </w:r>
      <w:r w:rsidR="00333FCA" w:rsidRPr="00282AC9">
        <w:rPr>
          <w:rFonts w:hint="cs"/>
          <w:sz w:val="27"/>
          <w:rtl/>
        </w:rPr>
        <w:t>ْ</w:t>
      </w:r>
      <w:r w:rsidR="00DA2F6D" w:rsidRPr="00282AC9">
        <w:rPr>
          <w:rFonts w:hint="cs"/>
          <w:sz w:val="27"/>
          <w:rtl/>
        </w:rPr>
        <w:t>ح العقاب</w:t>
      </w:r>
      <w:r w:rsidR="00333FCA" w:rsidRPr="00282AC9">
        <w:rPr>
          <w:rFonts w:hint="cs"/>
          <w:sz w:val="27"/>
          <w:rtl/>
        </w:rPr>
        <w:t>،</w:t>
      </w:r>
      <w:r w:rsidR="00DA2F6D" w:rsidRPr="00282AC9">
        <w:rPr>
          <w:rFonts w:hint="cs"/>
          <w:sz w:val="27"/>
          <w:rtl/>
        </w:rPr>
        <w:t xml:space="preserve"> والبحث عنه في موضع</w:t>
      </w:r>
      <w:r w:rsidR="00333FCA" w:rsidRPr="00282AC9">
        <w:rPr>
          <w:rFonts w:hint="cs"/>
          <w:sz w:val="27"/>
          <w:rtl/>
        </w:rPr>
        <w:t>ٍ</w:t>
      </w:r>
      <w:r w:rsidR="00DA2F6D" w:rsidRPr="00282AC9">
        <w:rPr>
          <w:rFonts w:hint="cs"/>
          <w:sz w:val="27"/>
          <w:rtl/>
        </w:rPr>
        <w:t xml:space="preserve"> دون موضع</w:t>
      </w:r>
      <w:r w:rsidR="00333FCA" w:rsidRPr="00282AC9">
        <w:rPr>
          <w:rFonts w:hint="cs"/>
          <w:sz w:val="27"/>
          <w:rtl/>
        </w:rPr>
        <w:t>ٍ</w:t>
      </w:r>
      <w:r w:rsidR="00DA2F6D" w:rsidRPr="00282AC9">
        <w:rPr>
          <w:rFonts w:hint="cs"/>
          <w:sz w:val="27"/>
          <w:rtl/>
        </w:rPr>
        <w:t xml:space="preserve"> آخر</w:t>
      </w:r>
      <w:r w:rsidR="00DA2F6D" w:rsidRPr="00282AC9">
        <w:rPr>
          <w:sz w:val="27"/>
          <w:vertAlign w:val="superscript"/>
          <w:rtl/>
        </w:rPr>
        <w:t>(</w:t>
      </w:r>
      <w:r w:rsidR="00DA2F6D" w:rsidRPr="00282AC9">
        <w:rPr>
          <w:rStyle w:val="af9"/>
          <w:sz w:val="27"/>
          <w:rtl/>
        </w:rPr>
        <w:endnoteReference w:id="618"/>
      </w:r>
      <w:r w:rsidR="00DA2F6D" w:rsidRPr="00282AC9">
        <w:rPr>
          <w:sz w:val="27"/>
          <w:vertAlign w:val="superscript"/>
          <w:rtl/>
        </w:rPr>
        <w:t>)</w:t>
      </w:r>
      <w:r w:rsidR="00DA2F6D" w:rsidRPr="00282AC9">
        <w:rPr>
          <w:rFonts w:hint="cs"/>
          <w:sz w:val="27"/>
          <w:rtl/>
        </w:rPr>
        <w:t>. وبعبارة</w:t>
      </w:r>
      <w:r w:rsidR="00333FCA" w:rsidRPr="00282AC9">
        <w:rPr>
          <w:rFonts w:hint="cs"/>
          <w:sz w:val="27"/>
          <w:rtl/>
        </w:rPr>
        <w:t>ٍ</w:t>
      </w:r>
      <w:r w:rsidR="00DA2F6D" w:rsidRPr="00282AC9">
        <w:rPr>
          <w:rFonts w:hint="cs"/>
          <w:sz w:val="27"/>
          <w:rtl/>
        </w:rPr>
        <w:t xml:space="preserve"> أخرى: إن البحث في هذا الشأن خاطئ</w:t>
      </w:r>
      <w:r w:rsidR="00333FCA" w:rsidRPr="00282AC9">
        <w:rPr>
          <w:rFonts w:hint="cs"/>
          <w:sz w:val="27"/>
          <w:rtl/>
        </w:rPr>
        <w:t>ٌ</w:t>
      </w:r>
      <w:r w:rsidR="00095F3A" w:rsidRPr="00282AC9">
        <w:rPr>
          <w:rFonts w:hint="cs"/>
          <w:sz w:val="27"/>
          <w:rtl/>
        </w:rPr>
        <w:t xml:space="preserve"> من رأسٍ</w:t>
      </w:r>
      <w:r w:rsidR="00DA2F6D" w:rsidRPr="00282AC9">
        <w:rPr>
          <w:rFonts w:hint="cs"/>
          <w:sz w:val="27"/>
          <w:rtl/>
        </w:rPr>
        <w:t>؛ إذ لا علم</w:t>
      </w:r>
      <w:r w:rsidR="00333FCA" w:rsidRPr="00282AC9">
        <w:rPr>
          <w:rFonts w:hint="cs"/>
          <w:sz w:val="27"/>
          <w:rtl/>
        </w:rPr>
        <w:t>َ</w:t>
      </w:r>
      <w:r w:rsidR="00DA2F6D" w:rsidRPr="00282AC9">
        <w:rPr>
          <w:rFonts w:hint="cs"/>
          <w:sz w:val="27"/>
          <w:rtl/>
        </w:rPr>
        <w:t xml:space="preserve"> لدينا بملاك الترتّ</w:t>
      </w:r>
      <w:r w:rsidR="00333FCA" w:rsidRPr="00282AC9">
        <w:rPr>
          <w:rFonts w:hint="cs"/>
          <w:sz w:val="27"/>
          <w:rtl/>
        </w:rPr>
        <w:t>ُ</w:t>
      </w:r>
      <w:r w:rsidR="00DA2F6D" w:rsidRPr="00282AC9">
        <w:rPr>
          <w:rFonts w:hint="cs"/>
          <w:sz w:val="27"/>
          <w:rtl/>
        </w:rPr>
        <w:t>ب أبداً. وحيث لا يكون لدينا علم بملاك الترتّ</w:t>
      </w:r>
      <w:r w:rsidR="00333FCA" w:rsidRPr="00282AC9">
        <w:rPr>
          <w:rFonts w:hint="cs"/>
          <w:sz w:val="27"/>
          <w:rtl/>
        </w:rPr>
        <w:t>ُ</w:t>
      </w:r>
      <w:r w:rsidR="00DA2F6D" w:rsidRPr="00282AC9">
        <w:rPr>
          <w:rFonts w:hint="cs"/>
          <w:sz w:val="27"/>
          <w:rtl/>
        </w:rPr>
        <w:t>ب لا نستطيع القول بأن العقاب في ظرف الشك</w:t>
      </w:r>
      <w:r w:rsidR="00333FCA" w:rsidRPr="00282AC9">
        <w:rPr>
          <w:rFonts w:hint="cs"/>
          <w:sz w:val="27"/>
          <w:rtl/>
        </w:rPr>
        <w:t>ّ</w:t>
      </w:r>
      <w:r w:rsidR="00DA2F6D" w:rsidRPr="00282AC9">
        <w:rPr>
          <w:rFonts w:hint="cs"/>
          <w:sz w:val="27"/>
          <w:rtl/>
        </w:rPr>
        <w:t xml:space="preserve"> قبيح</w:t>
      </w:r>
      <w:r w:rsidR="00333FCA" w:rsidRPr="00282AC9">
        <w:rPr>
          <w:rFonts w:hint="cs"/>
          <w:sz w:val="27"/>
          <w:rtl/>
        </w:rPr>
        <w:t>ٌ</w:t>
      </w:r>
      <w:r w:rsidR="00DA2F6D" w:rsidRPr="00282AC9">
        <w:rPr>
          <w:rFonts w:hint="cs"/>
          <w:sz w:val="27"/>
          <w:rtl/>
        </w:rPr>
        <w:t xml:space="preserve"> أو غير</w:t>
      </w:r>
      <w:r w:rsidR="00333FCA" w:rsidRPr="00282AC9">
        <w:rPr>
          <w:rFonts w:hint="cs"/>
          <w:sz w:val="27"/>
          <w:rtl/>
        </w:rPr>
        <w:t xml:space="preserve">ُ </w:t>
      </w:r>
      <w:r w:rsidR="00DA2F6D" w:rsidRPr="00282AC9">
        <w:rPr>
          <w:rFonts w:hint="cs"/>
          <w:sz w:val="27"/>
          <w:rtl/>
        </w:rPr>
        <w:t>قبيح</w:t>
      </w:r>
      <w:r w:rsidR="00333FCA" w:rsidRPr="00282AC9">
        <w:rPr>
          <w:rFonts w:hint="cs"/>
          <w:sz w:val="27"/>
          <w:rtl/>
        </w:rPr>
        <w:t>ٍ؛</w:t>
      </w:r>
      <w:r w:rsidR="00DA2F6D" w:rsidRPr="00282AC9">
        <w:rPr>
          <w:rFonts w:hint="cs"/>
          <w:sz w:val="27"/>
          <w:rtl/>
        </w:rPr>
        <w:t xml:space="preserve"> إذ قد يكون ملاك العقاب ثابت</w:t>
      </w:r>
      <w:r w:rsidR="00333FCA" w:rsidRPr="00282AC9">
        <w:rPr>
          <w:rFonts w:hint="cs"/>
          <w:sz w:val="27"/>
          <w:rtl/>
        </w:rPr>
        <w:t>اً</w:t>
      </w:r>
      <w:r w:rsidR="00DA2F6D" w:rsidRPr="00282AC9">
        <w:rPr>
          <w:rFonts w:hint="cs"/>
          <w:sz w:val="27"/>
          <w:rtl/>
        </w:rPr>
        <w:t xml:space="preserve"> في ظرف الشك</w:t>
      </w:r>
      <w:r w:rsidR="00333FCA" w:rsidRPr="00282AC9">
        <w:rPr>
          <w:rFonts w:hint="cs"/>
          <w:sz w:val="27"/>
          <w:rtl/>
        </w:rPr>
        <w:t>ّ</w:t>
      </w:r>
      <w:r w:rsidR="00DA2F6D" w:rsidRPr="00282AC9">
        <w:rPr>
          <w:rFonts w:hint="cs"/>
          <w:sz w:val="27"/>
          <w:rtl/>
        </w:rPr>
        <w:t xml:space="preserve"> والجهل. </w:t>
      </w:r>
      <w:r w:rsidR="00333FCA" w:rsidRPr="00282AC9">
        <w:rPr>
          <w:rFonts w:hint="cs"/>
          <w:sz w:val="27"/>
          <w:rtl/>
        </w:rPr>
        <w:t>و</w:t>
      </w:r>
      <w:r w:rsidR="00DA2F6D" w:rsidRPr="00282AC9">
        <w:rPr>
          <w:rFonts w:hint="cs"/>
          <w:sz w:val="27"/>
          <w:rtl/>
        </w:rPr>
        <w:t>عليه</w:t>
      </w:r>
      <w:r w:rsidR="00333FCA" w:rsidRPr="00282AC9">
        <w:rPr>
          <w:rFonts w:hint="cs"/>
          <w:sz w:val="27"/>
          <w:rtl/>
        </w:rPr>
        <w:t>،</w:t>
      </w:r>
      <w:r w:rsidR="00DA2F6D" w:rsidRPr="00282AC9">
        <w:rPr>
          <w:rFonts w:hint="cs"/>
          <w:sz w:val="27"/>
          <w:rtl/>
        </w:rPr>
        <w:t xml:space="preserve"> كيف يمكن لنا القول بأن العقاب في مثل هذه الحالة ـ أي في حالة شك</w:t>
      </w:r>
      <w:r w:rsidR="00333FCA" w:rsidRPr="00282AC9">
        <w:rPr>
          <w:rFonts w:hint="cs"/>
          <w:sz w:val="27"/>
          <w:rtl/>
        </w:rPr>
        <w:t>ِّ</w:t>
      </w:r>
      <w:r w:rsidR="00DA2F6D" w:rsidRPr="00282AC9">
        <w:rPr>
          <w:rFonts w:hint="cs"/>
          <w:sz w:val="27"/>
          <w:rtl/>
        </w:rPr>
        <w:t>نا في التكليف ـ يتنافى مع القو</w:t>
      </w:r>
      <w:r w:rsidR="00333FCA" w:rsidRPr="00282AC9">
        <w:rPr>
          <w:rFonts w:hint="cs"/>
          <w:sz w:val="27"/>
          <w:rtl/>
        </w:rPr>
        <w:t>ّ</w:t>
      </w:r>
      <w:r w:rsidR="00DA2F6D" w:rsidRPr="00282AC9">
        <w:rPr>
          <w:rFonts w:hint="cs"/>
          <w:sz w:val="27"/>
          <w:rtl/>
        </w:rPr>
        <w:t>ة العاقلة أو يتنافى مع بناء العقلاء؟</w:t>
      </w:r>
      <w:r w:rsidR="00333FCA" w:rsidRPr="00282AC9">
        <w:rPr>
          <w:rFonts w:hint="cs"/>
          <w:sz w:val="27"/>
          <w:rtl/>
        </w:rPr>
        <w:t>!</w:t>
      </w:r>
      <w:r w:rsidR="00DA2F6D" w:rsidRPr="00282AC9">
        <w:rPr>
          <w:rFonts w:hint="cs"/>
          <w:sz w:val="27"/>
          <w:rtl/>
        </w:rPr>
        <w:t xml:space="preserve"> وبعبارة</w:t>
      </w:r>
      <w:r w:rsidR="00333FCA" w:rsidRPr="00282AC9">
        <w:rPr>
          <w:rFonts w:hint="cs"/>
          <w:sz w:val="27"/>
          <w:rtl/>
        </w:rPr>
        <w:t>ٍ</w:t>
      </w:r>
      <w:r w:rsidR="00DA2F6D" w:rsidRPr="00282AC9">
        <w:rPr>
          <w:rFonts w:hint="cs"/>
          <w:sz w:val="27"/>
          <w:rtl/>
        </w:rPr>
        <w:t xml:space="preserve"> أخرى: إن دخول المكل</w:t>
      </w:r>
      <w:r w:rsidR="00333FCA" w:rsidRPr="00282AC9">
        <w:rPr>
          <w:rFonts w:hint="cs"/>
          <w:sz w:val="27"/>
          <w:rtl/>
        </w:rPr>
        <w:t>َّ</w:t>
      </w:r>
      <w:r w:rsidR="00DA2F6D" w:rsidRPr="00282AC9">
        <w:rPr>
          <w:rFonts w:hint="cs"/>
          <w:sz w:val="27"/>
          <w:rtl/>
        </w:rPr>
        <w:t>ف في تحليل هذه المسألة خاطئ</w:t>
      </w:r>
      <w:r w:rsidR="00333FCA" w:rsidRPr="00282AC9">
        <w:rPr>
          <w:rFonts w:hint="cs"/>
          <w:sz w:val="27"/>
          <w:rtl/>
        </w:rPr>
        <w:t>ٌ</w:t>
      </w:r>
      <w:r w:rsidR="00DA2F6D" w:rsidRPr="00282AC9">
        <w:rPr>
          <w:rFonts w:hint="cs"/>
          <w:sz w:val="27"/>
          <w:rtl/>
        </w:rPr>
        <w:t xml:space="preserve"> من الأساس؛ وذلك لأن هذه المسألة تدور حول مدار بيان الشارع بالنسبة إلى موضوع العقاب</w:t>
      </w:r>
      <w:r w:rsidR="00333FCA" w:rsidRPr="00282AC9">
        <w:rPr>
          <w:rFonts w:hint="cs"/>
          <w:sz w:val="27"/>
          <w:rtl/>
        </w:rPr>
        <w:t>،</w:t>
      </w:r>
      <w:r w:rsidR="00DA2F6D" w:rsidRPr="00282AC9">
        <w:rPr>
          <w:rFonts w:hint="cs"/>
          <w:sz w:val="27"/>
          <w:rtl/>
        </w:rPr>
        <w:t xml:space="preserve"> وتحديد مساحته وحدوده.</w:t>
      </w:r>
    </w:p>
    <w:p w:rsidR="00DA2F6D" w:rsidRPr="00282AC9" w:rsidRDefault="00DA2F6D" w:rsidP="00F066C8">
      <w:pPr>
        <w:rPr>
          <w:sz w:val="27"/>
          <w:rtl/>
        </w:rPr>
      </w:pPr>
      <w:r w:rsidRPr="00282AC9">
        <w:rPr>
          <w:rFonts w:hint="cs"/>
          <w:sz w:val="27"/>
          <w:rtl/>
        </w:rPr>
        <w:t>وعلى هذا الأساس يمكن القول</w:t>
      </w:r>
      <w:r w:rsidR="00333FCA" w:rsidRPr="00282AC9">
        <w:rPr>
          <w:rFonts w:hint="cs"/>
          <w:sz w:val="27"/>
          <w:rtl/>
        </w:rPr>
        <w:t>،</w:t>
      </w:r>
      <w:r w:rsidRPr="00282AC9">
        <w:rPr>
          <w:rFonts w:hint="cs"/>
          <w:sz w:val="27"/>
          <w:rtl/>
        </w:rPr>
        <w:t xml:space="preserve"> كنتيجة</w:t>
      </w:r>
      <w:r w:rsidR="00333FCA" w:rsidRPr="00282AC9">
        <w:rPr>
          <w:rFonts w:hint="cs"/>
          <w:sz w:val="27"/>
          <w:rtl/>
        </w:rPr>
        <w:t>ٍ</w:t>
      </w:r>
      <w:r w:rsidRPr="00282AC9">
        <w:rPr>
          <w:rFonts w:hint="cs"/>
          <w:sz w:val="27"/>
          <w:rtl/>
        </w:rPr>
        <w:t xml:space="preserve"> عامّة: إن العقل ليس له طريق</w:t>
      </w:r>
      <w:r w:rsidR="00333FCA" w:rsidRPr="00282AC9">
        <w:rPr>
          <w:rFonts w:hint="cs"/>
          <w:sz w:val="27"/>
          <w:rtl/>
        </w:rPr>
        <w:t>ٌ</w:t>
      </w:r>
      <w:r w:rsidRPr="00282AC9">
        <w:rPr>
          <w:rFonts w:hint="cs"/>
          <w:sz w:val="27"/>
          <w:rtl/>
        </w:rPr>
        <w:t xml:space="preserve"> إلى الحكم بقبح العقاب بلا بيان</w:t>
      </w:r>
      <w:r w:rsidR="00333FCA" w:rsidRPr="00282AC9">
        <w:rPr>
          <w:rFonts w:hint="cs"/>
          <w:sz w:val="27"/>
          <w:rtl/>
        </w:rPr>
        <w:t>ٍ</w:t>
      </w:r>
      <w:r w:rsidR="00660898" w:rsidRPr="00282AC9">
        <w:rPr>
          <w:rFonts w:hint="cs"/>
          <w:sz w:val="27"/>
          <w:rtl/>
        </w:rPr>
        <w:t>.</w:t>
      </w:r>
      <w:r w:rsidRPr="00282AC9">
        <w:rPr>
          <w:rFonts w:hint="cs"/>
          <w:sz w:val="27"/>
          <w:rtl/>
        </w:rPr>
        <w:t xml:space="preserve"> ومن هنا</w:t>
      </w:r>
      <w:r w:rsidR="00660898" w:rsidRPr="00282AC9">
        <w:rPr>
          <w:rFonts w:hint="cs"/>
          <w:sz w:val="27"/>
          <w:rtl/>
        </w:rPr>
        <w:t>،</w:t>
      </w:r>
      <w:r w:rsidRPr="00282AC9">
        <w:rPr>
          <w:rFonts w:hint="cs"/>
          <w:sz w:val="27"/>
          <w:rtl/>
        </w:rPr>
        <w:t xml:space="preserve"> لا تقوم هذه القاعدة المشهورة ـ </w:t>
      </w:r>
      <w:r w:rsidRPr="00282AC9">
        <w:rPr>
          <w:rFonts w:hint="eastAsia"/>
          <w:sz w:val="24"/>
          <w:szCs w:val="24"/>
          <w:rtl/>
        </w:rPr>
        <w:t>«</w:t>
      </w:r>
      <w:r w:rsidRPr="00282AC9">
        <w:rPr>
          <w:rFonts w:hint="cs"/>
          <w:sz w:val="27"/>
          <w:rtl/>
        </w:rPr>
        <w:t>ق</w:t>
      </w:r>
      <w:r w:rsidR="00660898" w:rsidRPr="00282AC9">
        <w:rPr>
          <w:rFonts w:hint="cs"/>
          <w:sz w:val="27"/>
          <w:rtl/>
        </w:rPr>
        <w:t>ُ</w:t>
      </w:r>
      <w:r w:rsidRPr="00282AC9">
        <w:rPr>
          <w:rFonts w:hint="cs"/>
          <w:sz w:val="27"/>
          <w:rtl/>
        </w:rPr>
        <w:t>ب</w:t>
      </w:r>
      <w:r w:rsidR="00660898" w:rsidRPr="00282AC9">
        <w:rPr>
          <w:rFonts w:hint="cs"/>
          <w:sz w:val="27"/>
          <w:rtl/>
        </w:rPr>
        <w:t>ْ</w:t>
      </w:r>
      <w:r w:rsidRPr="00282AC9">
        <w:rPr>
          <w:rFonts w:hint="cs"/>
          <w:sz w:val="27"/>
          <w:rtl/>
        </w:rPr>
        <w:t>ح العقاب بلا بيان</w:t>
      </w:r>
      <w:r w:rsidR="00660898" w:rsidRPr="00282AC9">
        <w:rPr>
          <w:rFonts w:hint="cs"/>
          <w:sz w:val="27"/>
          <w:rtl/>
        </w:rPr>
        <w:t>ٍ</w:t>
      </w:r>
      <w:r w:rsidRPr="00282AC9">
        <w:rPr>
          <w:rFonts w:hint="eastAsia"/>
          <w:sz w:val="24"/>
          <w:szCs w:val="24"/>
          <w:rtl/>
        </w:rPr>
        <w:t>»</w:t>
      </w:r>
      <w:r w:rsidRPr="00282AC9">
        <w:rPr>
          <w:rFonts w:hint="cs"/>
          <w:sz w:val="27"/>
          <w:rtl/>
        </w:rPr>
        <w:t xml:space="preserve"> ـ على أيّ أساس</w:t>
      </w:r>
      <w:r w:rsidR="00660898" w:rsidRPr="00282AC9">
        <w:rPr>
          <w:rFonts w:hint="cs"/>
          <w:sz w:val="27"/>
          <w:rtl/>
        </w:rPr>
        <w:t>ٍ</w:t>
      </w:r>
      <w:r w:rsidRPr="00282AC9">
        <w:rPr>
          <w:sz w:val="27"/>
          <w:vertAlign w:val="superscript"/>
          <w:rtl/>
        </w:rPr>
        <w:t>(</w:t>
      </w:r>
      <w:r w:rsidRPr="00282AC9">
        <w:rPr>
          <w:rStyle w:val="af9"/>
          <w:sz w:val="27"/>
          <w:rtl/>
        </w:rPr>
        <w:endnoteReference w:id="619"/>
      </w:r>
      <w:r w:rsidRPr="00282AC9">
        <w:rPr>
          <w:sz w:val="27"/>
          <w:vertAlign w:val="superscript"/>
          <w:rtl/>
        </w:rPr>
        <w:t>)</w:t>
      </w:r>
      <w:r w:rsidRPr="00282AC9">
        <w:rPr>
          <w:rFonts w:hint="cs"/>
          <w:sz w:val="27"/>
          <w:rtl/>
        </w:rPr>
        <w:t>.</w:t>
      </w:r>
    </w:p>
    <w:p w:rsidR="00DA2F6D" w:rsidRPr="00282AC9" w:rsidRDefault="00DA2F6D" w:rsidP="00F066C8">
      <w:pPr>
        <w:rPr>
          <w:sz w:val="27"/>
          <w:rtl/>
        </w:rPr>
      </w:pPr>
      <w:r w:rsidRPr="00282AC9">
        <w:rPr>
          <w:rFonts w:hint="cs"/>
          <w:sz w:val="27"/>
          <w:rtl/>
        </w:rPr>
        <w:t>لقد ات</w:t>
      </w:r>
      <w:r w:rsidR="00660898" w:rsidRPr="00282AC9">
        <w:rPr>
          <w:rFonts w:hint="cs"/>
          <w:sz w:val="27"/>
          <w:rtl/>
        </w:rPr>
        <w:t>ّ</w:t>
      </w:r>
      <w:r w:rsidRPr="00282AC9">
        <w:rPr>
          <w:rFonts w:hint="cs"/>
          <w:sz w:val="27"/>
          <w:rtl/>
        </w:rPr>
        <w:t>ضح ـ في ضوء ما ذكره السي</w:t>
      </w:r>
      <w:r w:rsidR="00660898" w:rsidRPr="00282AC9">
        <w:rPr>
          <w:rFonts w:hint="cs"/>
          <w:sz w:val="27"/>
          <w:rtl/>
        </w:rPr>
        <w:t>ّ</w:t>
      </w:r>
      <w:r w:rsidRPr="00282AC9">
        <w:rPr>
          <w:rFonts w:hint="cs"/>
          <w:sz w:val="27"/>
          <w:rtl/>
        </w:rPr>
        <w:t>د الروحاني ـ أن موقفه من قاعدة ق</w:t>
      </w:r>
      <w:r w:rsidR="00660898" w:rsidRPr="00282AC9">
        <w:rPr>
          <w:rFonts w:hint="cs"/>
          <w:sz w:val="27"/>
          <w:rtl/>
        </w:rPr>
        <w:t>ُ</w:t>
      </w:r>
      <w:r w:rsidRPr="00282AC9">
        <w:rPr>
          <w:rFonts w:hint="cs"/>
          <w:sz w:val="27"/>
          <w:rtl/>
        </w:rPr>
        <w:t>ب</w:t>
      </w:r>
      <w:r w:rsidR="00660898" w:rsidRPr="00282AC9">
        <w:rPr>
          <w:rFonts w:hint="cs"/>
          <w:sz w:val="27"/>
          <w:rtl/>
        </w:rPr>
        <w:t>ْ</w:t>
      </w:r>
      <w:r w:rsidRPr="00282AC9">
        <w:rPr>
          <w:rFonts w:hint="cs"/>
          <w:sz w:val="27"/>
          <w:rtl/>
        </w:rPr>
        <w:t>ح العقاب بلا بيان</w:t>
      </w:r>
      <w:r w:rsidR="00660898" w:rsidRPr="00282AC9">
        <w:rPr>
          <w:rFonts w:hint="cs"/>
          <w:sz w:val="27"/>
          <w:rtl/>
        </w:rPr>
        <w:t>ٍ</w:t>
      </w:r>
      <w:r w:rsidRPr="00282AC9">
        <w:rPr>
          <w:rFonts w:hint="cs"/>
          <w:sz w:val="27"/>
          <w:rtl/>
        </w:rPr>
        <w:t xml:space="preserve"> العقلية هو نفي هذه القاعدة</w:t>
      </w:r>
      <w:r w:rsidR="00660898" w:rsidRPr="00282AC9">
        <w:rPr>
          <w:rFonts w:hint="cs"/>
          <w:sz w:val="27"/>
          <w:rtl/>
        </w:rPr>
        <w:t>.</w:t>
      </w:r>
      <w:r w:rsidRPr="00282AC9">
        <w:rPr>
          <w:rFonts w:hint="cs"/>
          <w:sz w:val="27"/>
          <w:rtl/>
        </w:rPr>
        <w:t xml:space="preserve"> ولكن</w:t>
      </w:r>
      <w:r w:rsidR="00660898" w:rsidRPr="00282AC9">
        <w:rPr>
          <w:rFonts w:hint="cs"/>
          <w:sz w:val="27"/>
          <w:rtl/>
        </w:rPr>
        <w:t>ّ</w:t>
      </w:r>
      <w:r w:rsidRPr="00282AC9">
        <w:rPr>
          <w:rFonts w:hint="cs"/>
          <w:sz w:val="27"/>
          <w:rtl/>
        </w:rPr>
        <w:t>ه ليس بصدد إثبات ما يقابلها</w:t>
      </w:r>
      <w:r w:rsidR="00660898" w:rsidRPr="00282AC9">
        <w:rPr>
          <w:rFonts w:hint="cs"/>
          <w:sz w:val="27"/>
          <w:rtl/>
        </w:rPr>
        <w:t>،</w:t>
      </w:r>
      <w:r w:rsidRPr="00282AC9">
        <w:rPr>
          <w:rFonts w:hint="cs"/>
          <w:sz w:val="27"/>
          <w:rtl/>
        </w:rPr>
        <w:t xml:space="preserve"> الذي هو عبارة</w:t>
      </w:r>
      <w:r w:rsidR="00660898" w:rsidRPr="00282AC9">
        <w:rPr>
          <w:rFonts w:hint="cs"/>
          <w:sz w:val="27"/>
          <w:rtl/>
        </w:rPr>
        <w:t>ٌ</w:t>
      </w:r>
      <w:r w:rsidRPr="00282AC9">
        <w:rPr>
          <w:rFonts w:hint="cs"/>
          <w:sz w:val="27"/>
          <w:rtl/>
        </w:rPr>
        <w:t xml:space="preserve"> عن عدم ق</w:t>
      </w:r>
      <w:r w:rsidR="00660898" w:rsidRPr="00282AC9">
        <w:rPr>
          <w:rFonts w:hint="cs"/>
          <w:sz w:val="27"/>
          <w:rtl/>
        </w:rPr>
        <w:t>ُ</w:t>
      </w:r>
      <w:r w:rsidRPr="00282AC9">
        <w:rPr>
          <w:rFonts w:hint="cs"/>
          <w:sz w:val="27"/>
          <w:rtl/>
        </w:rPr>
        <w:t>ب</w:t>
      </w:r>
      <w:r w:rsidR="00660898" w:rsidRPr="00282AC9">
        <w:rPr>
          <w:rFonts w:hint="cs"/>
          <w:sz w:val="27"/>
          <w:rtl/>
        </w:rPr>
        <w:t>ْ</w:t>
      </w:r>
      <w:r w:rsidRPr="00282AC9">
        <w:rPr>
          <w:rFonts w:hint="cs"/>
          <w:sz w:val="27"/>
          <w:rtl/>
        </w:rPr>
        <w:t>ح العقاب بلا بيان</w:t>
      </w:r>
      <w:r w:rsidR="00660898" w:rsidRPr="00282AC9">
        <w:rPr>
          <w:rFonts w:hint="cs"/>
          <w:sz w:val="27"/>
          <w:rtl/>
        </w:rPr>
        <w:t>ٍ</w:t>
      </w:r>
      <w:r w:rsidRPr="00282AC9">
        <w:rPr>
          <w:rFonts w:hint="cs"/>
          <w:sz w:val="27"/>
          <w:rtl/>
        </w:rPr>
        <w:t>، وإنما هو يكتفي بمجر</w:t>
      </w:r>
      <w:r w:rsidR="00660898" w:rsidRPr="00282AC9">
        <w:rPr>
          <w:rFonts w:hint="cs"/>
          <w:sz w:val="27"/>
          <w:rtl/>
        </w:rPr>
        <w:t>ّ</w:t>
      </w:r>
      <w:r w:rsidRPr="00282AC9">
        <w:rPr>
          <w:rFonts w:hint="cs"/>
          <w:sz w:val="27"/>
          <w:rtl/>
        </w:rPr>
        <w:t xml:space="preserve">د نفي هذه القاعدة، </w:t>
      </w:r>
      <w:r w:rsidR="00660898" w:rsidRPr="00282AC9">
        <w:rPr>
          <w:rFonts w:hint="cs"/>
          <w:sz w:val="27"/>
          <w:rtl/>
        </w:rPr>
        <w:t>أي إ</w:t>
      </w:r>
      <w:r w:rsidRPr="00282AC9">
        <w:rPr>
          <w:rFonts w:hint="cs"/>
          <w:sz w:val="27"/>
          <w:rtl/>
        </w:rPr>
        <w:t xml:space="preserve">نه يقول: إن </w:t>
      </w:r>
      <w:r w:rsidRPr="00282AC9">
        <w:rPr>
          <w:sz w:val="27"/>
          <w:rtl/>
        </w:rPr>
        <w:t>قاعدة قبح العقاب بلا بيان</w:t>
      </w:r>
      <w:r w:rsidR="00660898" w:rsidRPr="00282AC9">
        <w:rPr>
          <w:rFonts w:hint="cs"/>
          <w:sz w:val="27"/>
          <w:rtl/>
        </w:rPr>
        <w:t>ٍ</w:t>
      </w:r>
      <w:r w:rsidRPr="00282AC9">
        <w:rPr>
          <w:rFonts w:hint="cs"/>
          <w:sz w:val="27"/>
          <w:rtl/>
        </w:rPr>
        <w:t xml:space="preserve"> ليست صحيحة</w:t>
      </w:r>
      <w:r w:rsidR="00660898" w:rsidRPr="00282AC9">
        <w:rPr>
          <w:rFonts w:hint="cs"/>
          <w:sz w:val="27"/>
          <w:rtl/>
        </w:rPr>
        <w:t>ً</w:t>
      </w:r>
      <w:r w:rsidRPr="00282AC9">
        <w:rPr>
          <w:rFonts w:hint="cs"/>
          <w:sz w:val="27"/>
          <w:rtl/>
        </w:rPr>
        <w:t>، ولا يمكن القول بقبح العقاب في محل</w:t>
      </w:r>
      <w:r w:rsidR="00660898" w:rsidRPr="00282AC9">
        <w:rPr>
          <w:rFonts w:hint="cs"/>
          <w:sz w:val="27"/>
          <w:rtl/>
        </w:rPr>
        <w:t>ّ</w:t>
      </w:r>
      <w:r w:rsidRPr="00282AC9">
        <w:rPr>
          <w:rFonts w:hint="cs"/>
          <w:sz w:val="27"/>
          <w:rtl/>
        </w:rPr>
        <w:t xml:space="preserve"> البحث</w:t>
      </w:r>
      <w:r w:rsidR="00660898" w:rsidRPr="00282AC9">
        <w:rPr>
          <w:rFonts w:hint="cs"/>
          <w:sz w:val="27"/>
          <w:rtl/>
        </w:rPr>
        <w:t>،</w:t>
      </w:r>
      <w:r w:rsidRPr="00282AC9">
        <w:rPr>
          <w:rFonts w:hint="cs"/>
          <w:sz w:val="27"/>
          <w:rtl/>
        </w:rPr>
        <w:t xml:space="preserve"> ولا القول بح</w:t>
      </w:r>
      <w:r w:rsidR="00660898" w:rsidRPr="00282AC9">
        <w:rPr>
          <w:rFonts w:hint="cs"/>
          <w:sz w:val="27"/>
          <w:rtl/>
        </w:rPr>
        <w:t>ُ</w:t>
      </w:r>
      <w:r w:rsidRPr="00282AC9">
        <w:rPr>
          <w:rFonts w:hint="cs"/>
          <w:sz w:val="27"/>
          <w:rtl/>
        </w:rPr>
        <w:t>س</w:t>
      </w:r>
      <w:r w:rsidR="00660898" w:rsidRPr="00282AC9">
        <w:rPr>
          <w:rFonts w:hint="cs"/>
          <w:sz w:val="27"/>
          <w:rtl/>
        </w:rPr>
        <w:t>ْ</w:t>
      </w:r>
      <w:r w:rsidRPr="00282AC9">
        <w:rPr>
          <w:rFonts w:hint="cs"/>
          <w:sz w:val="27"/>
          <w:rtl/>
        </w:rPr>
        <w:t>ن العقاب. وبعبارة</w:t>
      </w:r>
      <w:r w:rsidR="00660898" w:rsidRPr="00282AC9">
        <w:rPr>
          <w:rFonts w:hint="cs"/>
          <w:sz w:val="27"/>
          <w:rtl/>
        </w:rPr>
        <w:t>ٍ</w:t>
      </w:r>
      <w:r w:rsidRPr="00282AC9">
        <w:rPr>
          <w:rFonts w:hint="cs"/>
          <w:sz w:val="27"/>
          <w:rtl/>
        </w:rPr>
        <w:t xml:space="preserve"> أخرى: إن هذه المسألة من وجهة نظره مسكوت</w:t>
      </w:r>
      <w:r w:rsidR="00660898" w:rsidRPr="00282AC9">
        <w:rPr>
          <w:rFonts w:hint="cs"/>
          <w:sz w:val="27"/>
          <w:rtl/>
        </w:rPr>
        <w:t>ٌ</w:t>
      </w:r>
      <w:r w:rsidRPr="00282AC9">
        <w:rPr>
          <w:rFonts w:hint="cs"/>
          <w:sz w:val="27"/>
          <w:rtl/>
        </w:rPr>
        <w:t xml:space="preserve"> عنها، وليس لدينا طريق</w:t>
      </w:r>
      <w:r w:rsidR="00660898" w:rsidRPr="00282AC9">
        <w:rPr>
          <w:rFonts w:hint="cs"/>
          <w:sz w:val="27"/>
          <w:rtl/>
        </w:rPr>
        <w:t>ٌ</w:t>
      </w:r>
      <w:r w:rsidRPr="00282AC9">
        <w:rPr>
          <w:rFonts w:hint="cs"/>
          <w:sz w:val="27"/>
          <w:rtl/>
        </w:rPr>
        <w:t xml:space="preserve"> إلى معرفة ك</w:t>
      </w:r>
      <w:r w:rsidR="00660898" w:rsidRPr="00282AC9">
        <w:rPr>
          <w:rFonts w:hint="cs"/>
          <w:sz w:val="27"/>
          <w:rtl/>
        </w:rPr>
        <w:t>ُ</w:t>
      </w:r>
      <w:r w:rsidRPr="00282AC9">
        <w:rPr>
          <w:rFonts w:hint="cs"/>
          <w:sz w:val="27"/>
          <w:rtl/>
        </w:rPr>
        <w:t>ن</w:t>
      </w:r>
      <w:r w:rsidR="00660898" w:rsidRPr="00282AC9">
        <w:rPr>
          <w:rFonts w:hint="cs"/>
          <w:sz w:val="27"/>
          <w:rtl/>
        </w:rPr>
        <w:t>ْ</w:t>
      </w:r>
      <w:r w:rsidRPr="00282AC9">
        <w:rPr>
          <w:rFonts w:hint="cs"/>
          <w:sz w:val="27"/>
          <w:rtl/>
        </w:rPr>
        <w:t>هها.</w:t>
      </w:r>
    </w:p>
    <w:p w:rsidR="00DA2F6D" w:rsidRPr="00282AC9" w:rsidRDefault="00DA2F6D" w:rsidP="00F066C8">
      <w:pPr>
        <w:rPr>
          <w:sz w:val="27"/>
          <w:rtl/>
        </w:rPr>
      </w:pPr>
      <w:r w:rsidRPr="00282AC9">
        <w:rPr>
          <w:rFonts w:hint="cs"/>
          <w:sz w:val="27"/>
          <w:rtl/>
        </w:rPr>
        <w:t>وفي ختا</w:t>
      </w:r>
      <w:r w:rsidR="00660898" w:rsidRPr="00282AC9">
        <w:rPr>
          <w:rFonts w:hint="cs"/>
          <w:sz w:val="27"/>
          <w:rtl/>
        </w:rPr>
        <w:t>م</w:t>
      </w:r>
      <w:r w:rsidRPr="00282AC9">
        <w:rPr>
          <w:rFonts w:hint="cs"/>
          <w:sz w:val="27"/>
          <w:rtl/>
        </w:rPr>
        <w:t xml:space="preserve"> بيان هذه النظري</w:t>
      </w:r>
      <w:r w:rsidR="00660898" w:rsidRPr="00282AC9">
        <w:rPr>
          <w:rFonts w:hint="cs"/>
          <w:sz w:val="27"/>
          <w:rtl/>
        </w:rPr>
        <w:t>ّ</w:t>
      </w:r>
      <w:r w:rsidRPr="00282AC9">
        <w:rPr>
          <w:rFonts w:hint="cs"/>
          <w:sz w:val="27"/>
          <w:rtl/>
        </w:rPr>
        <w:t xml:space="preserve">ة </w:t>
      </w:r>
      <w:r w:rsidR="00674EF5" w:rsidRPr="00282AC9">
        <w:rPr>
          <w:rFonts w:hint="cs"/>
          <w:sz w:val="27"/>
          <w:rtl/>
        </w:rPr>
        <w:t>لا بُدَّ</w:t>
      </w:r>
      <w:r w:rsidRPr="00282AC9">
        <w:rPr>
          <w:rFonts w:hint="cs"/>
          <w:sz w:val="27"/>
          <w:rtl/>
        </w:rPr>
        <w:t xml:space="preserve"> من التذكير بأن هذه النظرية قد تواجه الكثير من الإشكالات</w:t>
      </w:r>
      <w:r w:rsidR="00660898" w:rsidRPr="00282AC9">
        <w:rPr>
          <w:rFonts w:hint="cs"/>
          <w:sz w:val="27"/>
          <w:rtl/>
        </w:rPr>
        <w:t>.</w:t>
      </w:r>
      <w:r w:rsidRPr="00282AC9">
        <w:rPr>
          <w:rFonts w:hint="cs"/>
          <w:sz w:val="27"/>
          <w:rtl/>
        </w:rPr>
        <w:t xml:space="preserve"> ولكن</w:t>
      </w:r>
      <w:r w:rsidR="00660898" w:rsidRPr="00282AC9">
        <w:rPr>
          <w:rFonts w:hint="cs"/>
          <w:sz w:val="27"/>
          <w:rtl/>
        </w:rPr>
        <w:t>ْ</w:t>
      </w:r>
      <w:r w:rsidRPr="00282AC9">
        <w:rPr>
          <w:rFonts w:hint="cs"/>
          <w:sz w:val="27"/>
          <w:rtl/>
        </w:rPr>
        <w:t xml:space="preserve"> حيث </w:t>
      </w:r>
      <w:r w:rsidR="00660898" w:rsidRPr="00282AC9">
        <w:rPr>
          <w:rFonts w:hint="cs"/>
          <w:sz w:val="27"/>
          <w:rtl/>
        </w:rPr>
        <w:t>إ</w:t>
      </w:r>
      <w:r w:rsidRPr="00282AC9">
        <w:rPr>
          <w:rFonts w:hint="cs"/>
          <w:sz w:val="27"/>
          <w:rtl/>
        </w:rPr>
        <w:t>ننا لسنا في هذه المقالة بصدد بحث صحّة وسقم هذه النظري</w:t>
      </w:r>
      <w:r w:rsidR="00660898" w:rsidRPr="00282AC9">
        <w:rPr>
          <w:rFonts w:hint="cs"/>
          <w:sz w:val="27"/>
          <w:rtl/>
        </w:rPr>
        <w:t>ّ</w:t>
      </w:r>
      <w:r w:rsidRPr="00282AC9">
        <w:rPr>
          <w:rFonts w:hint="cs"/>
          <w:sz w:val="27"/>
          <w:rtl/>
        </w:rPr>
        <w:t>ة، لا نرى مناسبة</w:t>
      </w:r>
      <w:r w:rsidR="00660898" w:rsidRPr="00282AC9">
        <w:rPr>
          <w:rFonts w:hint="cs"/>
          <w:sz w:val="27"/>
          <w:rtl/>
        </w:rPr>
        <w:t>ً</w:t>
      </w:r>
      <w:r w:rsidRPr="00282AC9">
        <w:rPr>
          <w:rFonts w:hint="cs"/>
          <w:sz w:val="27"/>
          <w:rtl/>
        </w:rPr>
        <w:t xml:space="preserve"> للخوض في بيان هذه الإشكالات</w:t>
      </w:r>
      <w:r w:rsidR="00660898" w:rsidRPr="00282AC9">
        <w:rPr>
          <w:rFonts w:hint="cs"/>
          <w:sz w:val="27"/>
          <w:rtl/>
        </w:rPr>
        <w:t>.</w:t>
      </w:r>
      <w:r w:rsidRPr="00282AC9">
        <w:rPr>
          <w:rFonts w:hint="cs"/>
          <w:sz w:val="27"/>
          <w:rtl/>
        </w:rPr>
        <w:t xml:space="preserve"> وكل</w:t>
      </w:r>
      <w:r w:rsidR="00660898" w:rsidRPr="00282AC9">
        <w:rPr>
          <w:rFonts w:hint="cs"/>
          <w:sz w:val="27"/>
          <w:rtl/>
        </w:rPr>
        <w:t>ُّ</w:t>
      </w:r>
      <w:r w:rsidRPr="00282AC9">
        <w:rPr>
          <w:rFonts w:hint="cs"/>
          <w:sz w:val="27"/>
          <w:rtl/>
        </w:rPr>
        <w:t xml:space="preserve"> الذي نرومه في هذه المقالة هو إيضاح هذه النظرية، وبيان نتيجتها النهائية</w:t>
      </w:r>
      <w:r w:rsidR="00660898" w:rsidRPr="00282AC9">
        <w:rPr>
          <w:rFonts w:hint="cs"/>
          <w:sz w:val="27"/>
          <w:rtl/>
        </w:rPr>
        <w:t>،</w:t>
      </w:r>
      <w:r w:rsidRPr="00282AC9">
        <w:rPr>
          <w:rFonts w:hint="cs"/>
          <w:sz w:val="27"/>
          <w:rtl/>
        </w:rPr>
        <w:t xml:space="preserve"> بحيث نتمك</w:t>
      </w:r>
      <w:r w:rsidR="00660898" w:rsidRPr="00282AC9">
        <w:rPr>
          <w:rFonts w:hint="cs"/>
          <w:sz w:val="27"/>
          <w:rtl/>
        </w:rPr>
        <w:t>َّ</w:t>
      </w:r>
      <w:r w:rsidRPr="00282AC9">
        <w:rPr>
          <w:rFonts w:hint="cs"/>
          <w:sz w:val="27"/>
          <w:rtl/>
        </w:rPr>
        <w:t xml:space="preserve">ن </w:t>
      </w:r>
      <w:r w:rsidRPr="00282AC9">
        <w:rPr>
          <w:rFonts w:hint="cs"/>
          <w:sz w:val="27"/>
          <w:rtl/>
        </w:rPr>
        <w:lastRenderedPageBreak/>
        <w:t>بعد ذلك من مقارنتها بنظري</w:t>
      </w:r>
      <w:r w:rsidR="00660898" w:rsidRPr="00282AC9">
        <w:rPr>
          <w:rFonts w:hint="cs"/>
          <w:sz w:val="27"/>
          <w:rtl/>
        </w:rPr>
        <w:t>ّ</w:t>
      </w:r>
      <w:r w:rsidRPr="00282AC9">
        <w:rPr>
          <w:rFonts w:hint="cs"/>
          <w:sz w:val="27"/>
          <w:rtl/>
        </w:rPr>
        <w:t>ة حق</w:t>
      </w:r>
      <w:r w:rsidR="00660898" w:rsidRPr="00282AC9">
        <w:rPr>
          <w:rFonts w:hint="cs"/>
          <w:sz w:val="27"/>
          <w:rtl/>
        </w:rPr>
        <w:t>ّ</w:t>
      </w:r>
      <w:r w:rsidRPr="00282AC9">
        <w:rPr>
          <w:rFonts w:hint="cs"/>
          <w:sz w:val="27"/>
          <w:rtl/>
        </w:rPr>
        <w:t xml:space="preserve"> الطاعة</w:t>
      </w:r>
      <w:r w:rsidR="00660898" w:rsidRPr="00282AC9">
        <w:rPr>
          <w:rFonts w:hint="cs"/>
          <w:sz w:val="27"/>
          <w:rtl/>
        </w:rPr>
        <w:t>،</w:t>
      </w:r>
      <w:r w:rsidRPr="00282AC9">
        <w:rPr>
          <w:rFonts w:hint="cs"/>
          <w:sz w:val="27"/>
          <w:rtl/>
        </w:rPr>
        <w:t xml:space="preserve"> للسيد الشهيد محمد باقر الصدر، مع بيان الاختلافات الأساسي</w:t>
      </w:r>
      <w:r w:rsidR="00660898" w:rsidRPr="00282AC9">
        <w:rPr>
          <w:rFonts w:hint="cs"/>
          <w:sz w:val="27"/>
          <w:rtl/>
        </w:rPr>
        <w:t>ّ</w:t>
      </w:r>
      <w:r w:rsidRPr="00282AC9">
        <w:rPr>
          <w:rFonts w:hint="cs"/>
          <w:sz w:val="27"/>
          <w:rtl/>
        </w:rPr>
        <w:t>ة بين هاتين النظريتين.</w:t>
      </w:r>
    </w:p>
    <w:p w:rsidR="00DA2F6D" w:rsidRPr="00282AC9" w:rsidRDefault="00660898" w:rsidP="00F066C8">
      <w:pPr>
        <w:rPr>
          <w:sz w:val="27"/>
          <w:rtl/>
        </w:rPr>
      </w:pPr>
      <w:r w:rsidRPr="00282AC9">
        <w:rPr>
          <w:rFonts w:hint="cs"/>
          <w:sz w:val="27"/>
          <w:rtl/>
        </w:rPr>
        <w:t>و</w:t>
      </w:r>
      <w:r w:rsidR="00DA2F6D" w:rsidRPr="00282AC9">
        <w:rPr>
          <w:rFonts w:hint="cs"/>
          <w:sz w:val="27"/>
          <w:rtl/>
        </w:rPr>
        <w:t>بعد الانتهاء من بيان نظري</w:t>
      </w:r>
      <w:r w:rsidRPr="00282AC9">
        <w:rPr>
          <w:rFonts w:hint="cs"/>
          <w:sz w:val="27"/>
          <w:rtl/>
        </w:rPr>
        <w:t>ّ</w:t>
      </w:r>
      <w:r w:rsidR="00DA2F6D" w:rsidRPr="00282AC9">
        <w:rPr>
          <w:rFonts w:hint="cs"/>
          <w:sz w:val="27"/>
          <w:rtl/>
        </w:rPr>
        <w:t>ة السيد الروحاني ننتقل إلى بيان نظري</w:t>
      </w:r>
      <w:r w:rsidRPr="00282AC9">
        <w:rPr>
          <w:rFonts w:hint="cs"/>
          <w:sz w:val="27"/>
          <w:rtl/>
        </w:rPr>
        <w:t>ّ</w:t>
      </w:r>
      <w:r w:rsidR="00DA2F6D" w:rsidRPr="00282AC9">
        <w:rPr>
          <w:rFonts w:hint="cs"/>
          <w:sz w:val="27"/>
          <w:rtl/>
        </w:rPr>
        <w:t>ة السيد الشهيد الصدر، ومقارنتها ب</w:t>
      </w:r>
      <w:r w:rsidR="00DA2F6D" w:rsidRPr="00282AC9">
        <w:rPr>
          <w:sz w:val="27"/>
          <w:rtl/>
        </w:rPr>
        <w:t>قاعدة ق</w:t>
      </w:r>
      <w:r w:rsidRPr="00282AC9">
        <w:rPr>
          <w:rFonts w:hint="cs"/>
          <w:sz w:val="27"/>
          <w:rtl/>
        </w:rPr>
        <w:t>ُ</w:t>
      </w:r>
      <w:r w:rsidR="00DA2F6D" w:rsidRPr="00282AC9">
        <w:rPr>
          <w:sz w:val="27"/>
          <w:rtl/>
        </w:rPr>
        <w:t>ب</w:t>
      </w:r>
      <w:r w:rsidRPr="00282AC9">
        <w:rPr>
          <w:rFonts w:hint="cs"/>
          <w:sz w:val="27"/>
          <w:rtl/>
        </w:rPr>
        <w:t>ْ</w:t>
      </w:r>
      <w:r w:rsidR="00DA2F6D" w:rsidRPr="00282AC9">
        <w:rPr>
          <w:sz w:val="27"/>
          <w:rtl/>
        </w:rPr>
        <w:t>ح العقاب بلا بيان</w:t>
      </w:r>
      <w:r w:rsidRPr="00282AC9">
        <w:rPr>
          <w:rFonts w:hint="cs"/>
          <w:sz w:val="27"/>
          <w:rtl/>
        </w:rPr>
        <w:t>ٍ</w:t>
      </w:r>
      <w:r w:rsidR="00DA2F6D" w:rsidRPr="00282AC9">
        <w:rPr>
          <w:rFonts w:hint="cs"/>
          <w:sz w:val="27"/>
          <w:rtl/>
        </w:rPr>
        <w:t>، وتقييمها بالنسبة إلى نظرية السيد الروحاني</w:t>
      </w:r>
      <w:r w:rsidRPr="00282AC9">
        <w:rPr>
          <w:rFonts w:hint="cs"/>
          <w:sz w:val="27"/>
          <w:rtl/>
        </w:rPr>
        <w:t>ّ</w:t>
      </w:r>
      <w:r w:rsidR="00DA2F6D" w:rsidRPr="00282AC9">
        <w:rPr>
          <w:rFonts w:hint="cs"/>
          <w:sz w:val="27"/>
          <w:rtl/>
        </w:rPr>
        <w:t xml:space="preserve"> أيضاً.</w:t>
      </w:r>
    </w:p>
    <w:p w:rsidR="00F066C8" w:rsidRPr="00282AC9" w:rsidRDefault="00F066C8" w:rsidP="00F066C8">
      <w:pPr>
        <w:spacing w:line="420" w:lineRule="exact"/>
        <w:rPr>
          <w:rtl/>
        </w:rPr>
      </w:pPr>
    </w:p>
    <w:p w:rsidR="00DA2F6D" w:rsidRPr="00282AC9" w:rsidRDefault="006363F6" w:rsidP="00BD3176">
      <w:pPr>
        <w:pStyle w:val="31"/>
        <w:rPr>
          <w:color w:val="auto"/>
          <w:rtl/>
        </w:rPr>
      </w:pPr>
      <w:r w:rsidRPr="00282AC9">
        <w:rPr>
          <w:rFonts w:hint="cs"/>
          <w:color w:val="auto"/>
          <w:rtl/>
        </w:rPr>
        <w:t>ثانياً:</w:t>
      </w:r>
      <w:r w:rsidR="00DA2F6D" w:rsidRPr="00282AC9">
        <w:rPr>
          <w:rFonts w:hint="cs"/>
          <w:color w:val="auto"/>
          <w:rtl/>
        </w:rPr>
        <w:t xml:space="preserve"> نظري</w:t>
      </w:r>
      <w:r w:rsidR="00660898" w:rsidRPr="00282AC9">
        <w:rPr>
          <w:rFonts w:hint="cs"/>
          <w:color w:val="auto"/>
          <w:rtl/>
        </w:rPr>
        <w:t>ّ</w:t>
      </w:r>
      <w:r w:rsidR="00DA2F6D" w:rsidRPr="00282AC9">
        <w:rPr>
          <w:rFonts w:hint="cs"/>
          <w:color w:val="auto"/>
          <w:rtl/>
        </w:rPr>
        <w:t>ة السيد الشهيد محمد باقر الصدر</w:t>
      </w:r>
    </w:p>
    <w:p w:rsidR="004C546C" w:rsidRPr="00282AC9" w:rsidRDefault="00DA2F6D" w:rsidP="00F066C8">
      <w:pPr>
        <w:rPr>
          <w:sz w:val="27"/>
          <w:rtl/>
        </w:rPr>
      </w:pPr>
      <w:r w:rsidRPr="00282AC9">
        <w:rPr>
          <w:rFonts w:hint="cs"/>
          <w:sz w:val="27"/>
          <w:rtl/>
        </w:rPr>
        <w:t>إن السيد الشهيد الصدر</w:t>
      </w:r>
      <w:r w:rsidR="00660898" w:rsidRPr="00282AC9">
        <w:rPr>
          <w:rFonts w:hint="cs"/>
          <w:sz w:val="27"/>
          <w:rtl/>
        </w:rPr>
        <w:t xml:space="preserve">؛ </w:t>
      </w:r>
      <w:r w:rsidRPr="00282AC9">
        <w:rPr>
          <w:rFonts w:hint="cs"/>
          <w:sz w:val="27"/>
          <w:rtl/>
        </w:rPr>
        <w:t>بالالتفات إلى عدم فصله بين الحج</w:t>
      </w:r>
      <w:r w:rsidR="00660898" w:rsidRPr="00282AC9">
        <w:rPr>
          <w:rFonts w:hint="cs"/>
          <w:sz w:val="27"/>
          <w:rtl/>
        </w:rPr>
        <w:t>ِّ</w:t>
      </w:r>
      <w:r w:rsidRPr="00282AC9">
        <w:rPr>
          <w:rFonts w:hint="cs"/>
          <w:sz w:val="27"/>
          <w:rtl/>
        </w:rPr>
        <w:t xml:space="preserve">ية والمولوية، </w:t>
      </w:r>
      <w:r w:rsidR="00660898" w:rsidRPr="00282AC9">
        <w:rPr>
          <w:rFonts w:hint="cs"/>
          <w:sz w:val="27"/>
          <w:rtl/>
        </w:rPr>
        <w:t>و</w:t>
      </w:r>
      <w:r w:rsidRPr="00282AC9">
        <w:rPr>
          <w:rFonts w:hint="cs"/>
          <w:sz w:val="27"/>
          <w:rtl/>
        </w:rPr>
        <w:t>إنما يعمل على تحليلهما في ع</w:t>
      </w:r>
      <w:r w:rsidR="00660898" w:rsidRPr="00282AC9">
        <w:rPr>
          <w:rFonts w:hint="cs"/>
          <w:sz w:val="27"/>
          <w:rtl/>
        </w:rPr>
        <w:t>َ</w:t>
      </w:r>
      <w:r w:rsidRPr="00282AC9">
        <w:rPr>
          <w:rFonts w:hint="cs"/>
          <w:sz w:val="27"/>
          <w:rtl/>
        </w:rPr>
        <w:t>ر</w:t>
      </w:r>
      <w:r w:rsidR="00660898" w:rsidRPr="00282AC9">
        <w:rPr>
          <w:rFonts w:hint="cs"/>
          <w:sz w:val="27"/>
          <w:rtl/>
        </w:rPr>
        <w:t>ْ</w:t>
      </w:r>
      <w:r w:rsidRPr="00282AC9">
        <w:rPr>
          <w:rFonts w:hint="cs"/>
          <w:sz w:val="27"/>
          <w:rtl/>
        </w:rPr>
        <w:t>ض بعضهما، عمد في بيان</w:t>
      </w:r>
      <w:r w:rsidR="00660898" w:rsidRPr="00282AC9">
        <w:rPr>
          <w:rFonts w:hint="cs"/>
          <w:sz w:val="27"/>
          <w:rtl/>
        </w:rPr>
        <w:t>ٍ</w:t>
      </w:r>
      <w:r w:rsidRPr="00282AC9">
        <w:rPr>
          <w:rFonts w:hint="cs"/>
          <w:sz w:val="27"/>
          <w:rtl/>
        </w:rPr>
        <w:t xml:space="preserve"> له</w:t>
      </w:r>
      <w:r w:rsidR="00660898" w:rsidRPr="00282AC9">
        <w:rPr>
          <w:rFonts w:hint="cs"/>
          <w:sz w:val="27"/>
          <w:rtl/>
        </w:rPr>
        <w:t xml:space="preserve"> ـ</w:t>
      </w:r>
      <w:r w:rsidRPr="00282AC9">
        <w:rPr>
          <w:rFonts w:hint="cs"/>
          <w:sz w:val="27"/>
          <w:rtl/>
        </w:rPr>
        <w:t xml:space="preserve"> بعد ذكر خصيصتين ذاتي</w:t>
      </w:r>
      <w:r w:rsidR="00660898" w:rsidRPr="00282AC9">
        <w:rPr>
          <w:rFonts w:hint="cs"/>
          <w:sz w:val="27"/>
          <w:rtl/>
        </w:rPr>
        <w:t>ّ</w:t>
      </w:r>
      <w:r w:rsidRPr="00282AC9">
        <w:rPr>
          <w:rFonts w:hint="cs"/>
          <w:sz w:val="27"/>
          <w:rtl/>
        </w:rPr>
        <w:t>تين للقطع، وهما عبارة</w:t>
      </w:r>
      <w:r w:rsidR="00660898" w:rsidRPr="00282AC9">
        <w:rPr>
          <w:rFonts w:hint="cs"/>
          <w:sz w:val="27"/>
          <w:rtl/>
        </w:rPr>
        <w:t>ٌ</w:t>
      </w:r>
      <w:r w:rsidRPr="00282AC9">
        <w:rPr>
          <w:rFonts w:hint="cs"/>
          <w:sz w:val="27"/>
          <w:rtl/>
        </w:rPr>
        <w:t xml:space="preserve"> عن: الكاشفية</w:t>
      </w:r>
      <w:r w:rsidR="00660898" w:rsidRPr="00282AC9">
        <w:rPr>
          <w:rFonts w:hint="cs"/>
          <w:sz w:val="27"/>
          <w:rtl/>
        </w:rPr>
        <w:t>؛</w:t>
      </w:r>
      <w:r w:rsidRPr="00282AC9">
        <w:rPr>
          <w:rFonts w:hint="cs"/>
          <w:sz w:val="27"/>
          <w:rtl/>
        </w:rPr>
        <w:t xml:space="preserve"> والمحر</w:t>
      </w:r>
      <w:r w:rsidR="00660898" w:rsidRPr="00282AC9">
        <w:rPr>
          <w:rFonts w:hint="cs"/>
          <w:sz w:val="27"/>
          <w:rtl/>
        </w:rPr>
        <w:t>ِّ</w:t>
      </w:r>
      <w:r w:rsidRPr="00282AC9">
        <w:rPr>
          <w:rFonts w:hint="cs"/>
          <w:sz w:val="27"/>
          <w:rtl/>
        </w:rPr>
        <w:t>كية</w:t>
      </w:r>
      <w:r w:rsidR="00660898" w:rsidRPr="00282AC9">
        <w:rPr>
          <w:rFonts w:hint="cs"/>
          <w:sz w:val="27"/>
          <w:rtl/>
        </w:rPr>
        <w:t xml:space="preserve"> ـ</w:t>
      </w:r>
      <w:r w:rsidRPr="00282AC9">
        <w:rPr>
          <w:rFonts w:hint="cs"/>
          <w:sz w:val="27"/>
          <w:rtl/>
        </w:rPr>
        <w:t xml:space="preserve"> إلى التأمّ</w:t>
      </w:r>
      <w:r w:rsidR="00660898" w:rsidRPr="00282AC9">
        <w:rPr>
          <w:rFonts w:hint="cs"/>
          <w:sz w:val="27"/>
          <w:rtl/>
        </w:rPr>
        <w:t>ُ</w:t>
      </w:r>
      <w:r w:rsidRPr="00282AC9">
        <w:rPr>
          <w:rFonts w:hint="cs"/>
          <w:sz w:val="27"/>
          <w:rtl/>
        </w:rPr>
        <w:t>ل في خصيصة</w:t>
      </w:r>
      <w:r w:rsidR="00660898" w:rsidRPr="00282AC9">
        <w:rPr>
          <w:rFonts w:hint="cs"/>
          <w:sz w:val="27"/>
          <w:rtl/>
        </w:rPr>
        <w:t>ٍ</w:t>
      </w:r>
      <w:r w:rsidRPr="00282AC9">
        <w:rPr>
          <w:rFonts w:hint="cs"/>
          <w:sz w:val="27"/>
          <w:rtl/>
        </w:rPr>
        <w:t xml:space="preserve"> ثالثة للقطع ـ والتي هي عبارة</w:t>
      </w:r>
      <w:r w:rsidR="00660898" w:rsidRPr="00282AC9">
        <w:rPr>
          <w:rFonts w:hint="cs"/>
          <w:sz w:val="27"/>
          <w:rtl/>
        </w:rPr>
        <w:t>ٌ</w:t>
      </w:r>
      <w:r w:rsidRPr="00282AC9">
        <w:rPr>
          <w:rFonts w:hint="cs"/>
          <w:sz w:val="27"/>
          <w:rtl/>
        </w:rPr>
        <w:t xml:space="preserve"> عن الحج</w:t>
      </w:r>
      <w:r w:rsidR="00660898" w:rsidRPr="00282AC9">
        <w:rPr>
          <w:rFonts w:hint="cs"/>
          <w:sz w:val="27"/>
          <w:rtl/>
        </w:rPr>
        <w:t>ِّ</w:t>
      </w:r>
      <w:r w:rsidRPr="00282AC9">
        <w:rPr>
          <w:rFonts w:hint="cs"/>
          <w:sz w:val="27"/>
          <w:rtl/>
        </w:rPr>
        <w:t>ية ـ من حيث ذاتي</w:t>
      </w:r>
      <w:r w:rsidR="004C546C" w:rsidRPr="00282AC9">
        <w:rPr>
          <w:rFonts w:hint="cs"/>
          <w:sz w:val="27"/>
          <w:rtl/>
        </w:rPr>
        <w:t>ّ</w:t>
      </w:r>
      <w:r w:rsidRPr="00282AC9">
        <w:rPr>
          <w:rFonts w:hint="cs"/>
          <w:sz w:val="27"/>
          <w:rtl/>
        </w:rPr>
        <w:t>ة أو عدم ذاتي</w:t>
      </w:r>
      <w:r w:rsidR="004C546C" w:rsidRPr="00282AC9">
        <w:rPr>
          <w:rFonts w:hint="cs"/>
          <w:sz w:val="27"/>
          <w:rtl/>
        </w:rPr>
        <w:t>ّ</w:t>
      </w:r>
      <w:r w:rsidRPr="00282AC9">
        <w:rPr>
          <w:rFonts w:hint="cs"/>
          <w:sz w:val="27"/>
          <w:rtl/>
        </w:rPr>
        <w:t xml:space="preserve">ة هذه الخصيصة بالنسبة إلى </w:t>
      </w:r>
      <w:r w:rsidR="004C546C" w:rsidRPr="00282AC9">
        <w:rPr>
          <w:rFonts w:hint="cs"/>
          <w:sz w:val="27"/>
          <w:rtl/>
        </w:rPr>
        <w:t>القطع.</w:t>
      </w:r>
    </w:p>
    <w:p w:rsidR="00DA2F6D" w:rsidRPr="00282AC9" w:rsidRDefault="00DA2F6D" w:rsidP="00F066C8">
      <w:pPr>
        <w:rPr>
          <w:sz w:val="27"/>
          <w:rtl/>
        </w:rPr>
      </w:pPr>
      <w:r w:rsidRPr="00282AC9">
        <w:rPr>
          <w:rFonts w:hint="cs"/>
          <w:sz w:val="27"/>
          <w:rtl/>
        </w:rPr>
        <w:t>يذهب المشهور من الأصوليين إلى القول بأن هذه الخصيصة من اللوازم الذاتي</w:t>
      </w:r>
      <w:r w:rsidR="004C546C" w:rsidRPr="00282AC9">
        <w:rPr>
          <w:rFonts w:hint="cs"/>
          <w:sz w:val="27"/>
          <w:rtl/>
        </w:rPr>
        <w:t>ّ</w:t>
      </w:r>
      <w:r w:rsidRPr="00282AC9">
        <w:rPr>
          <w:rFonts w:hint="cs"/>
          <w:sz w:val="27"/>
          <w:rtl/>
        </w:rPr>
        <w:t>ة للقطع، كما أن الحرارة من اللوازم الذاتي</w:t>
      </w:r>
      <w:r w:rsidR="004C546C" w:rsidRPr="00282AC9">
        <w:rPr>
          <w:rFonts w:hint="cs"/>
          <w:sz w:val="27"/>
          <w:rtl/>
        </w:rPr>
        <w:t>ّ</w:t>
      </w:r>
      <w:r w:rsidRPr="00282AC9">
        <w:rPr>
          <w:rFonts w:hint="cs"/>
          <w:sz w:val="27"/>
          <w:rtl/>
        </w:rPr>
        <w:t>ة للنار</w:t>
      </w:r>
      <w:r w:rsidR="004C546C" w:rsidRPr="00282AC9">
        <w:rPr>
          <w:rFonts w:hint="cs"/>
          <w:sz w:val="27"/>
          <w:rtl/>
        </w:rPr>
        <w:t>.</w:t>
      </w:r>
      <w:r w:rsidRPr="00282AC9">
        <w:rPr>
          <w:rFonts w:hint="cs"/>
          <w:sz w:val="27"/>
          <w:rtl/>
        </w:rPr>
        <w:t xml:space="preserve"> وعليه</w:t>
      </w:r>
      <w:r w:rsidR="004C546C" w:rsidRPr="00282AC9">
        <w:rPr>
          <w:rFonts w:hint="cs"/>
          <w:sz w:val="27"/>
          <w:rtl/>
        </w:rPr>
        <w:t>،</w:t>
      </w:r>
      <w:r w:rsidRPr="00282AC9">
        <w:rPr>
          <w:rFonts w:hint="cs"/>
          <w:sz w:val="27"/>
          <w:rtl/>
        </w:rPr>
        <w:t xml:space="preserve"> في القطع يستلزم الحج</w:t>
      </w:r>
      <w:r w:rsidR="004C546C" w:rsidRPr="00282AC9">
        <w:rPr>
          <w:rFonts w:hint="cs"/>
          <w:sz w:val="27"/>
          <w:rtl/>
        </w:rPr>
        <w:t>ِّي</w:t>
      </w:r>
      <w:r w:rsidRPr="00282AC9">
        <w:rPr>
          <w:rFonts w:hint="cs"/>
          <w:sz w:val="27"/>
          <w:rtl/>
        </w:rPr>
        <w:t>ة والمنج</w:t>
      </w:r>
      <w:r w:rsidR="004C546C" w:rsidRPr="00282AC9">
        <w:rPr>
          <w:rFonts w:hint="cs"/>
          <w:sz w:val="27"/>
          <w:rtl/>
        </w:rPr>
        <w:t>ِّ</w:t>
      </w:r>
      <w:r w:rsidRPr="00282AC9">
        <w:rPr>
          <w:rFonts w:hint="cs"/>
          <w:sz w:val="27"/>
          <w:rtl/>
        </w:rPr>
        <w:t>زية في حدّ ذاته، بمعنى أنه حيثما وُجد القطع كانت الحج</w:t>
      </w:r>
      <w:r w:rsidR="004C546C" w:rsidRPr="00282AC9">
        <w:rPr>
          <w:rFonts w:hint="cs"/>
          <w:sz w:val="27"/>
          <w:rtl/>
        </w:rPr>
        <w:t>ِّي</w:t>
      </w:r>
      <w:r w:rsidRPr="00282AC9">
        <w:rPr>
          <w:rFonts w:hint="cs"/>
          <w:sz w:val="27"/>
          <w:rtl/>
        </w:rPr>
        <w:t>ة والمنج</w:t>
      </w:r>
      <w:r w:rsidR="004C546C" w:rsidRPr="00282AC9">
        <w:rPr>
          <w:rFonts w:hint="cs"/>
          <w:sz w:val="27"/>
          <w:rtl/>
        </w:rPr>
        <w:t>ِّ</w:t>
      </w:r>
      <w:r w:rsidRPr="00282AC9">
        <w:rPr>
          <w:rFonts w:hint="cs"/>
          <w:sz w:val="27"/>
          <w:rtl/>
        </w:rPr>
        <w:t>ز</w:t>
      </w:r>
      <w:r w:rsidR="00E40C58" w:rsidRPr="00282AC9">
        <w:rPr>
          <w:rFonts w:hint="cs"/>
          <w:sz w:val="27"/>
          <w:rtl/>
        </w:rPr>
        <w:t>ية موجودةً</w:t>
      </w:r>
      <w:r w:rsidRPr="00282AC9">
        <w:rPr>
          <w:rFonts w:hint="cs"/>
          <w:sz w:val="27"/>
          <w:rtl/>
        </w:rPr>
        <w:t xml:space="preserve"> أيضاً؛ وذلك لأن اللازم الذاتي</w:t>
      </w:r>
      <w:r w:rsidR="004C546C" w:rsidRPr="00282AC9">
        <w:rPr>
          <w:rFonts w:hint="cs"/>
          <w:sz w:val="27"/>
          <w:rtl/>
        </w:rPr>
        <w:t>ّ</w:t>
      </w:r>
      <w:r w:rsidRPr="00282AC9">
        <w:rPr>
          <w:rFonts w:hint="cs"/>
          <w:sz w:val="27"/>
          <w:rtl/>
        </w:rPr>
        <w:t xml:space="preserve"> للشيء لا ينفك</w:t>
      </w:r>
      <w:r w:rsidR="004C546C" w:rsidRPr="00282AC9">
        <w:rPr>
          <w:rFonts w:hint="cs"/>
          <w:sz w:val="27"/>
          <w:rtl/>
        </w:rPr>
        <w:t>ّ</w:t>
      </w:r>
      <w:r w:rsidRPr="00282AC9">
        <w:rPr>
          <w:rFonts w:hint="cs"/>
          <w:sz w:val="27"/>
          <w:rtl/>
        </w:rPr>
        <w:t xml:space="preserve"> عنه</w:t>
      </w:r>
      <w:r w:rsidRPr="00282AC9">
        <w:rPr>
          <w:sz w:val="27"/>
          <w:vertAlign w:val="superscript"/>
          <w:rtl/>
        </w:rPr>
        <w:t>(</w:t>
      </w:r>
      <w:r w:rsidRPr="00282AC9">
        <w:rPr>
          <w:rStyle w:val="af9"/>
          <w:sz w:val="27"/>
          <w:rtl/>
        </w:rPr>
        <w:endnoteReference w:id="620"/>
      </w:r>
      <w:r w:rsidRPr="00282AC9">
        <w:rPr>
          <w:sz w:val="27"/>
          <w:vertAlign w:val="superscript"/>
          <w:rtl/>
        </w:rPr>
        <w:t>)</w:t>
      </w:r>
      <w:r w:rsidRPr="00282AC9">
        <w:rPr>
          <w:rFonts w:hint="cs"/>
          <w:sz w:val="27"/>
          <w:rtl/>
        </w:rPr>
        <w:t>. وعليه</w:t>
      </w:r>
      <w:r w:rsidR="004C546C" w:rsidRPr="00282AC9">
        <w:rPr>
          <w:rFonts w:hint="cs"/>
          <w:sz w:val="27"/>
          <w:rtl/>
        </w:rPr>
        <w:t>؛</w:t>
      </w:r>
      <w:r w:rsidRPr="00282AC9">
        <w:rPr>
          <w:rFonts w:hint="cs"/>
          <w:sz w:val="27"/>
          <w:rtl/>
        </w:rPr>
        <w:t xml:space="preserve"> حيث </w:t>
      </w:r>
      <w:r w:rsidR="004C546C" w:rsidRPr="00282AC9">
        <w:rPr>
          <w:rFonts w:hint="cs"/>
          <w:sz w:val="27"/>
          <w:rtl/>
        </w:rPr>
        <w:t>إ</w:t>
      </w:r>
      <w:r w:rsidRPr="00282AC9">
        <w:rPr>
          <w:rFonts w:hint="cs"/>
          <w:sz w:val="27"/>
          <w:rtl/>
        </w:rPr>
        <w:t>نهم قالوا بأن الحج</w:t>
      </w:r>
      <w:r w:rsidR="004C546C" w:rsidRPr="00282AC9">
        <w:rPr>
          <w:rFonts w:hint="cs"/>
          <w:sz w:val="27"/>
          <w:rtl/>
        </w:rPr>
        <w:t>ِّ</w:t>
      </w:r>
      <w:r w:rsidRPr="00282AC9">
        <w:rPr>
          <w:rFonts w:hint="cs"/>
          <w:sz w:val="27"/>
          <w:rtl/>
        </w:rPr>
        <w:t>ية من اللوازم الذاتي</w:t>
      </w:r>
      <w:r w:rsidR="004C546C" w:rsidRPr="00282AC9">
        <w:rPr>
          <w:rFonts w:hint="cs"/>
          <w:sz w:val="27"/>
          <w:rtl/>
        </w:rPr>
        <w:t>ّ</w:t>
      </w:r>
      <w:r w:rsidRPr="00282AC9">
        <w:rPr>
          <w:rFonts w:hint="cs"/>
          <w:sz w:val="27"/>
          <w:rtl/>
        </w:rPr>
        <w:t>ة للقطع، فقد ذهبوا إلى انتفاء الحج</w:t>
      </w:r>
      <w:r w:rsidR="004C546C" w:rsidRPr="00282AC9">
        <w:rPr>
          <w:rFonts w:hint="cs"/>
          <w:sz w:val="27"/>
          <w:rtl/>
        </w:rPr>
        <w:t>ِّ</w:t>
      </w:r>
      <w:r w:rsidRPr="00282AC9">
        <w:rPr>
          <w:rFonts w:hint="cs"/>
          <w:sz w:val="27"/>
          <w:rtl/>
        </w:rPr>
        <w:t>ية في حالة عدم وجود القطع</w:t>
      </w:r>
      <w:r w:rsidR="004C546C" w:rsidRPr="00282AC9">
        <w:rPr>
          <w:rFonts w:hint="cs"/>
          <w:sz w:val="27"/>
          <w:rtl/>
        </w:rPr>
        <w:t>.</w:t>
      </w:r>
      <w:r w:rsidRPr="00282AC9">
        <w:rPr>
          <w:rFonts w:hint="cs"/>
          <w:sz w:val="27"/>
          <w:rtl/>
        </w:rPr>
        <w:t xml:space="preserve"> وعلى هذا الأساس قالوا بقاعدة ق</w:t>
      </w:r>
      <w:r w:rsidR="004C546C" w:rsidRPr="00282AC9">
        <w:rPr>
          <w:rFonts w:hint="cs"/>
          <w:sz w:val="27"/>
          <w:rtl/>
        </w:rPr>
        <w:t>ُ</w:t>
      </w:r>
      <w:r w:rsidRPr="00282AC9">
        <w:rPr>
          <w:rFonts w:hint="cs"/>
          <w:sz w:val="27"/>
          <w:rtl/>
        </w:rPr>
        <w:t>ب</w:t>
      </w:r>
      <w:r w:rsidR="004C546C" w:rsidRPr="00282AC9">
        <w:rPr>
          <w:rFonts w:hint="cs"/>
          <w:sz w:val="27"/>
          <w:rtl/>
        </w:rPr>
        <w:t>ْ</w:t>
      </w:r>
      <w:r w:rsidRPr="00282AC9">
        <w:rPr>
          <w:rFonts w:hint="cs"/>
          <w:sz w:val="27"/>
          <w:rtl/>
        </w:rPr>
        <w:t>ح العقاب بلا بيان</w:t>
      </w:r>
      <w:r w:rsidR="004C546C" w:rsidRPr="00282AC9">
        <w:rPr>
          <w:rFonts w:hint="cs"/>
          <w:sz w:val="27"/>
          <w:rtl/>
        </w:rPr>
        <w:t>ٍ</w:t>
      </w:r>
      <w:r w:rsidRPr="00282AC9">
        <w:rPr>
          <w:sz w:val="27"/>
          <w:vertAlign w:val="superscript"/>
          <w:rtl/>
        </w:rPr>
        <w:t>(</w:t>
      </w:r>
      <w:r w:rsidRPr="00282AC9">
        <w:rPr>
          <w:rStyle w:val="af9"/>
          <w:sz w:val="27"/>
          <w:rtl/>
        </w:rPr>
        <w:endnoteReference w:id="621"/>
      </w:r>
      <w:r w:rsidRPr="00282AC9">
        <w:rPr>
          <w:sz w:val="27"/>
          <w:vertAlign w:val="superscript"/>
          <w:rtl/>
        </w:rPr>
        <w:t>)</w:t>
      </w:r>
      <w:r w:rsidRPr="00282AC9">
        <w:rPr>
          <w:rFonts w:hint="cs"/>
          <w:sz w:val="27"/>
          <w:rtl/>
        </w:rPr>
        <w:t>.</w:t>
      </w:r>
    </w:p>
    <w:p w:rsidR="00DA2F6D" w:rsidRPr="00282AC9" w:rsidRDefault="00DA2F6D" w:rsidP="00F066C8">
      <w:pPr>
        <w:rPr>
          <w:sz w:val="27"/>
          <w:rtl/>
        </w:rPr>
      </w:pPr>
      <w:r w:rsidRPr="00282AC9">
        <w:rPr>
          <w:rFonts w:hint="cs"/>
          <w:sz w:val="27"/>
          <w:rtl/>
        </w:rPr>
        <w:t xml:space="preserve">يقول السيد الشهيد الصدر هنا: علينا أن نبحث في هذه المسألة، وهي </w:t>
      </w:r>
      <w:r w:rsidR="000E1FEB" w:rsidRPr="00282AC9">
        <w:rPr>
          <w:rFonts w:hint="cs"/>
          <w:sz w:val="27"/>
          <w:rtl/>
        </w:rPr>
        <w:t xml:space="preserve">القطع </w:t>
      </w:r>
      <w:r w:rsidRPr="00282AC9">
        <w:rPr>
          <w:rFonts w:hint="cs"/>
          <w:sz w:val="27"/>
          <w:rtl/>
        </w:rPr>
        <w:t>بأمر أيّ شخص</w:t>
      </w:r>
      <w:r w:rsidR="000E1FEB" w:rsidRPr="00282AC9">
        <w:rPr>
          <w:rFonts w:hint="cs"/>
          <w:sz w:val="27"/>
          <w:rtl/>
        </w:rPr>
        <w:t>ٍ</w:t>
      </w:r>
      <w:r w:rsidRPr="00282AC9">
        <w:rPr>
          <w:rFonts w:hint="cs"/>
          <w:sz w:val="27"/>
          <w:rtl/>
        </w:rPr>
        <w:t xml:space="preserve"> يكون هو المنج</w:t>
      </w:r>
      <w:r w:rsidR="000E1FEB" w:rsidRPr="00282AC9">
        <w:rPr>
          <w:rFonts w:hint="cs"/>
          <w:sz w:val="27"/>
          <w:rtl/>
        </w:rPr>
        <w:t>ِّ</w:t>
      </w:r>
      <w:r w:rsidRPr="00282AC9">
        <w:rPr>
          <w:rFonts w:hint="cs"/>
          <w:sz w:val="27"/>
          <w:rtl/>
        </w:rPr>
        <w:t>ز</w:t>
      </w:r>
      <w:r w:rsidR="000E1FEB" w:rsidRPr="00282AC9">
        <w:rPr>
          <w:rFonts w:hint="cs"/>
          <w:sz w:val="27"/>
          <w:rtl/>
        </w:rPr>
        <w:t>؟</w:t>
      </w:r>
      <w:r w:rsidRPr="00282AC9">
        <w:rPr>
          <w:rFonts w:hint="cs"/>
          <w:sz w:val="27"/>
          <w:rtl/>
        </w:rPr>
        <w:t xml:space="preserve"> فهل القطع بأمر كل</w:t>
      </w:r>
      <w:r w:rsidR="000E1FEB" w:rsidRPr="00282AC9">
        <w:rPr>
          <w:rFonts w:hint="cs"/>
          <w:sz w:val="27"/>
          <w:rtl/>
        </w:rPr>
        <w:t>ّ</w:t>
      </w:r>
      <w:r w:rsidRPr="00282AC9">
        <w:rPr>
          <w:rFonts w:hint="cs"/>
          <w:sz w:val="27"/>
          <w:rtl/>
        </w:rPr>
        <w:t xml:space="preserve"> شخص</w:t>
      </w:r>
      <w:r w:rsidR="000E1FEB" w:rsidRPr="00282AC9">
        <w:rPr>
          <w:rFonts w:hint="cs"/>
          <w:sz w:val="27"/>
          <w:rtl/>
        </w:rPr>
        <w:t>ٍ</w:t>
      </w:r>
      <w:r w:rsidRPr="00282AC9">
        <w:rPr>
          <w:rFonts w:hint="cs"/>
          <w:sz w:val="27"/>
          <w:rtl/>
        </w:rPr>
        <w:t xml:space="preserve"> هو المنجّ</w:t>
      </w:r>
      <w:r w:rsidR="000E1FEB" w:rsidRPr="00282AC9">
        <w:rPr>
          <w:rFonts w:hint="cs"/>
          <w:sz w:val="27"/>
          <w:rtl/>
        </w:rPr>
        <w:t>ِ</w:t>
      </w:r>
      <w:r w:rsidRPr="00282AC9">
        <w:rPr>
          <w:rFonts w:hint="cs"/>
          <w:sz w:val="27"/>
          <w:rtl/>
        </w:rPr>
        <w:t>ز أم أن المنجّ</w:t>
      </w:r>
      <w:r w:rsidR="000E1FEB" w:rsidRPr="00282AC9">
        <w:rPr>
          <w:rFonts w:hint="cs"/>
          <w:sz w:val="27"/>
          <w:rtl/>
        </w:rPr>
        <w:t>ِ</w:t>
      </w:r>
      <w:r w:rsidRPr="00282AC9">
        <w:rPr>
          <w:rFonts w:hint="cs"/>
          <w:sz w:val="27"/>
          <w:rtl/>
        </w:rPr>
        <w:t>ز هو القطع بخصوص أمر المولى؟ من الواضح جدّاً أن المنج</w:t>
      </w:r>
      <w:r w:rsidR="000E1FEB" w:rsidRPr="00282AC9">
        <w:rPr>
          <w:rFonts w:hint="cs"/>
          <w:sz w:val="27"/>
          <w:rtl/>
        </w:rPr>
        <w:t>ِّ</w:t>
      </w:r>
      <w:r w:rsidRPr="00282AC9">
        <w:rPr>
          <w:rFonts w:hint="cs"/>
          <w:sz w:val="27"/>
          <w:rtl/>
        </w:rPr>
        <w:t>ز ليس هو القطع بأمر كل</w:t>
      </w:r>
      <w:r w:rsidR="000E1FEB" w:rsidRPr="00282AC9">
        <w:rPr>
          <w:rFonts w:hint="cs"/>
          <w:sz w:val="27"/>
          <w:rtl/>
        </w:rPr>
        <w:t>ّ</w:t>
      </w:r>
      <w:r w:rsidRPr="00282AC9">
        <w:rPr>
          <w:rFonts w:hint="cs"/>
          <w:sz w:val="27"/>
          <w:rtl/>
        </w:rPr>
        <w:t xml:space="preserve"> شخص</w:t>
      </w:r>
      <w:r w:rsidR="000E1FEB" w:rsidRPr="00282AC9">
        <w:rPr>
          <w:rFonts w:hint="cs"/>
          <w:sz w:val="27"/>
          <w:rtl/>
        </w:rPr>
        <w:t>ٍ</w:t>
      </w:r>
      <w:r w:rsidRPr="00282AC9">
        <w:rPr>
          <w:rFonts w:hint="cs"/>
          <w:sz w:val="27"/>
          <w:rtl/>
        </w:rPr>
        <w:t>، بل القطع المنجّ</w:t>
      </w:r>
      <w:r w:rsidR="000E1FEB" w:rsidRPr="00282AC9">
        <w:rPr>
          <w:rFonts w:hint="cs"/>
          <w:sz w:val="27"/>
          <w:rtl/>
        </w:rPr>
        <w:t>ِ</w:t>
      </w:r>
      <w:r w:rsidRPr="00282AC9">
        <w:rPr>
          <w:rFonts w:hint="cs"/>
          <w:sz w:val="27"/>
          <w:rtl/>
        </w:rPr>
        <w:t>ز هو القطع بأمر المولى. فحيث تكون المنج</w:t>
      </w:r>
      <w:r w:rsidR="000E1FEB" w:rsidRPr="00282AC9">
        <w:rPr>
          <w:rFonts w:hint="cs"/>
          <w:sz w:val="27"/>
          <w:rtl/>
        </w:rPr>
        <w:t>ِّ</w:t>
      </w:r>
      <w:r w:rsidRPr="00282AC9">
        <w:rPr>
          <w:rFonts w:hint="cs"/>
          <w:sz w:val="27"/>
          <w:rtl/>
        </w:rPr>
        <w:t>زية دائرة</w:t>
      </w:r>
      <w:r w:rsidR="000E1FEB" w:rsidRPr="00282AC9">
        <w:rPr>
          <w:rFonts w:hint="cs"/>
          <w:sz w:val="27"/>
          <w:rtl/>
        </w:rPr>
        <w:t>ً</w:t>
      </w:r>
      <w:r w:rsidRPr="00282AC9">
        <w:rPr>
          <w:rFonts w:hint="cs"/>
          <w:sz w:val="27"/>
          <w:rtl/>
        </w:rPr>
        <w:t xml:space="preserve"> مدار حكم العقل فإن العقل لا يرى المنج</w:t>
      </w:r>
      <w:r w:rsidR="000E1FEB" w:rsidRPr="00282AC9">
        <w:rPr>
          <w:rFonts w:hint="cs"/>
          <w:sz w:val="27"/>
          <w:rtl/>
        </w:rPr>
        <w:t>ِّ</w:t>
      </w:r>
      <w:r w:rsidRPr="00282AC9">
        <w:rPr>
          <w:rFonts w:hint="cs"/>
          <w:sz w:val="27"/>
          <w:rtl/>
        </w:rPr>
        <w:t>زية لأمر كل</w:t>
      </w:r>
      <w:r w:rsidR="000E1FEB" w:rsidRPr="00282AC9">
        <w:rPr>
          <w:rFonts w:hint="cs"/>
          <w:sz w:val="27"/>
          <w:rtl/>
        </w:rPr>
        <w:t>ّ</w:t>
      </w:r>
      <w:r w:rsidRPr="00282AC9">
        <w:rPr>
          <w:rFonts w:hint="cs"/>
          <w:sz w:val="27"/>
          <w:rtl/>
        </w:rPr>
        <w:t xml:space="preserve"> شخص</w:t>
      </w:r>
      <w:r w:rsidR="000E1FEB" w:rsidRPr="00282AC9">
        <w:rPr>
          <w:rFonts w:hint="cs"/>
          <w:sz w:val="27"/>
          <w:rtl/>
        </w:rPr>
        <w:t>ٍ</w:t>
      </w:r>
      <w:r w:rsidRPr="00282AC9">
        <w:rPr>
          <w:rFonts w:hint="cs"/>
          <w:sz w:val="27"/>
          <w:rtl/>
        </w:rPr>
        <w:t xml:space="preserve">، بل إن العقل إنما يحكم بتنجيز ووجوب </w:t>
      </w:r>
      <w:r w:rsidR="000E1FEB" w:rsidRPr="00282AC9">
        <w:rPr>
          <w:rFonts w:hint="cs"/>
          <w:sz w:val="27"/>
          <w:rtl/>
        </w:rPr>
        <w:t>أ</w:t>
      </w:r>
      <w:r w:rsidRPr="00282AC9">
        <w:rPr>
          <w:rFonts w:hint="cs"/>
          <w:sz w:val="27"/>
          <w:rtl/>
        </w:rPr>
        <w:t>مثال أمر الشخص الذي أثبت له المولوي</w:t>
      </w:r>
      <w:r w:rsidR="000E1FEB" w:rsidRPr="00282AC9">
        <w:rPr>
          <w:rFonts w:hint="cs"/>
          <w:sz w:val="27"/>
          <w:rtl/>
        </w:rPr>
        <w:t>ّ</w:t>
      </w:r>
      <w:r w:rsidRPr="00282AC9">
        <w:rPr>
          <w:rFonts w:hint="cs"/>
          <w:sz w:val="27"/>
          <w:rtl/>
        </w:rPr>
        <w:t>ة</w:t>
      </w:r>
      <w:r w:rsidR="000E1FEB" w:rsidRPr="00282AC9">
        <w:rPr>
          <w:rFonts w:hint="cs"/>
          <w:sz w:val="27"/>
          <w:rtl/>
        </w:rPr>
        <w:t>،</w:t>
      </w:r>
      <w:r w:rsidRPr="00282AC9">
        <w:rPr>
          <w:rFonts w:hint="cs"/>
          <w:sz w:val="27"/>
          <w:rtl/>
        </w:rPr>
        <w:t xml:space="preserve"> وأوجب له حق</w:t>
      </w:r>
      <w:r w:rsidR="000E1FEB" w:rsidRPr="00282AC9">
        <w:rPr>
          <w:rFonts w:hint="cs"/>
          <w:sz w:val="27"/>
          <w:rtl/>
        </w:rPr>
        <w:t>ّ</w:t>
      </w:r>
      <w:r w:rsidRPr="00282AC9">
        <w:rPr>
          <w:rFonts w:hint="cs"/>
          <w:sz w:val="27"/>
          <w:rtl/>
        </w:rPr>
        <w:t xml:space="preserve"> الطاعة. فتكون النتيجة هي أن المنج</w:t>
      </w:r>
      <w:r w:rsidR="000E1FEB" w:rsidRPr="00282AC9">
        <w:rPr>
          <w:rFonts w:hint="cs"/>
          <w:sz w:val="27"/>
          <w:rtl/>
        </w:rPr>
        <w:t>ِّ</w:t>
      </w:r>
      <w:r w:rsidRPr="00282AC9">
        <w:rPr>
          <w:rFonts w:hint="cs"/>
          <w:sz w:val="27"/>
          <w:rtl/>
        </w:rPr>
        <w:t>زية إنما تكون تابعة</w:t>
      </w:r>
      <w:r w:rsidR="000E1FEB" w:rsidRPr="00282AC9">
        <w:rPr>
          <w:rFonts w:hint="cs"/>
          <w:sz w:val="27"/>
          <w:rtl/>
        </w:rPr>
        <w:t>ً</w:t>
      </w:r>
      <w:r w:rsidRPr="00282AC9">
        <w:rPr>
          <w:rFonts w:hint="cs"/>
          <w:sz w:val="27"/>
          <w:rtl/>
        </w:rPr>
        <w:t xml:space="preserve"> للقطع بأمر المولى</w:t>
      </w:r>
      <w:r w:rsidR="000E1FEB" w:rsidRPr="00282AC9">
        <w:rPr>
          <w:rFonts w:hint="cs"/>
          <w:sz w:val="27"/>
          <w:rtl/>
        </w:rPr>
        <w:t>،</w:t>
      </w:r>
      <w:r w:rsidRPr="00282AC9">
        <w:rPr>
          <w:rFonts w:hint="cs"/>
          <w:sz w:val="27"/>
          <w:rtl/>
        </w:rPr>
        <w:t xml:space="preserve"> وليس مطلق القطع. فإذا قلنا ذلك ستكون النتيجة أن الحج</w:t>
      </w:r>
      <w:r w:rsidR="000E1FEB" w:rsidRPr="00282AC9">
        <w:rPr>
          <w:rFonts w:hint="cs"/>
          <w:sz w:val="27"/>
          <w:rtl/>
        </w:rPr>
        <w:t>ّ</w:t>
      </w:r>
      <w:r w:rsidRPr="00282AC9">
        <w:rPr>
          <w:rFonts w:hint="cs"/>
          <w:sz w:val="27"/>
          <w:rtl/>
        </w:rPr>
        <w:t>ية والمنج</w:t>
      </w:r>
      <w:r w:rsidR="000E1FEB" w:rsidRPr="00282AC9">
        <w:rPr>
          <w:rFonts w:hint="cs"/>
          <w:sz w:val="27"/>
          <w:rtl/>
        </w:rPr>
        <w:t>ِّزي</w:t>
      </w:r>
      <w:r w:rsidRPr="00282AC9">
        <w:rPr>
          <w:rFonts w:hint="cs"/>
          <w:sz w:val="27"/>
          <w:rtl/>
        </w:rPr>
        <w:t>ة تدور مدار المولوي</w:t>
      </w:r>
      <w:r w:rsidR="000E1FEB" w:rsidRPr="00282AC9">
        <w:rPr>
          <w:rFonts w:hint="cs"/>
          <w:sz w:val="27"/>
          <w:rtl/>
        </w:rPr>
        <w:t>ّ</w:t>
      </w:r>
      <w:r w:rsidRPr="00282AC9">
        <w:rPr>
          <w:rFonts w:hint="cs"/>
          <w:sz w:val="27"/>
          <w:rtl/>
        </w:rPr>
        <w:t xml:space="preserve">ة، </w:t>
      </w:r>
      <w:r w:rsidRPr="00282AC9">
        <w:rPr>
          <w:rFonts w:hint="cs"/>
          <w:sz w:val="27"/>
          <w:rtl/>
        </w:rPr>
        <w:lastRenderedPageBreak/>
        <w:t>وبعبارة</w:t>
      </w:r>
      <w:r w:rsidR="000E1FEB" w:rsidRPr="00282AC9">
        <w:rPr>
          <w:rFonts w:hint="cs"/>
          <w:sz w:val="27"/>
          <w:rtl/>
        </w:rPr>
        <w:t>ٍ</w:t>
      </w:r>
      <w:r w:rsidRPr="00282AC9">
        <w:rPr>
          <w:rFonts w:hint="cs"/>
          <w:sz w:val="27"/>
          <w:rtl/>
        </w:rPr>
        <w:t xml:space="preserve"> أخرى: إن الحج</w:t>
      </w:r>
      <w:r w:rsidR="000E1FEB" w:rsidRPr="00282AC9">
        <w:rPr>
          <w:rFonts w:hint="cs"/>
          <w:sz w:val="27"/>
          <w:rtl/>
        </w:rPr>
        <w:t>ِّ</w:t>
      </w:r>
      <w:r w:rsidRPr="00282AC9">
        <w:rPr>
          <w:rFonts w:hint="cs"/>
          <w:sz w:val="27"/>
          <w:rtl/>
        </w:rPr>
        <w:t>ية والمنج</w:t>
      </w:r>
      <w:r w:rsidR="000E1FEB" w:rsidRPr="00282AC9">
        <w:rPr>
          <w:rFonts w:hint="cs"/>
          <w:sz w:val="27"/>
          <w:rtl/>
        </w:rPr>
        <w:t>ِّ</w:t>
      </w:r>
      <w:r w:rsidRPr="00282AC9">
        <w:rPr>
          <w:rFonts w:hint="cs"/>
          <w:sz w:val="27"/>
          <w:rtl/>
        </w:rPr>
        <w:t>زية من شؤون المولوي</w:t>
      </w:r>
      <w:r w:rsidR="000E1FEB" w:rsidRPr="00282AC9">
        <w:rPr>
          <w:rFonts w:hint="cs"/>
          <w:sz w:val="27"/>
          <w:rtl/>
        </w:rPr>
        <w:t>ّ</w:t>
      </w:r>
      <w:r w:rsidRPr="00282AC9">
        <w:rPr>
          <w:rFonts w:hint="cs"/>
          <w:sz w:val="27"/>
          <w:rtl/>
        </w:rPr>
        <w:t>ة، وليست من شؤون القطع. وأضاف سماحته بعد ذلك</w:t>
      </w:r>
      <w:r w:rsidR="000E1FEB" w:rsidRPr="00282AC9">
        <w:rPr>
          <w:rFonts w:hint="cs"/>
          <w:sz w:val="27"/>
          <w:rtl/>
        </w:rPr>
        <w:t>،</w:t>
      </w:r>
      <w:r w:rsidRPr="00282AC9">
        <w:rPr>
          <w:rFonts w:hint="cs"/>
          <w:sz w:val="27"/>
          <w:rtl/>
        </w:rPr>
        <w:t xml:space="preserve"> قائلاً: ثم</w:t>
      </w:r>
      <w:r w:rsidR="000E1FEB" w:rsidRPr="00282AC9">
        <w:rPr>
          <w:rFonts w:hint="cs"/>
          <w:sz w:val="27"/>
          <w:rtl/>
        </w:rPr>
        <w:t>ّ</w:t>
      </w:r>
      <w:r w:rsidRPr="00282AC9">
        <w:rPr>
          <w:rFonts w:hint="cs"/>
          <w:sz w:val="27"/>
          <w:rtl/>
        </w:rPr>
        <w:t xml:space="preserve"> نسأل ذات هذا العقل ـ الذي قال بوجوب الامتثال لأمر المولى ـ</w:t>
      </w:r>
      <w:r w:rsidR="0080179C" w:rsidRPr="00282AC9">
        <w:rPr>
          <w:rFonts w:hint="cs"/>
          <w:sz w:val="27"/>
          <w:rtl/>
        </w:rPr>
        <w:t>:</w:t>
      </w:r>
      <w:r w:rsidRPr="00282AC9">
        <w:rPr>
          <w:rFonts w:hint="cs"/>
          <w:sz w:val="27"/>
          <w:rtl/>
        </w:rPr>
        <w:t xml:space="preserve"> هل وجوب الامتثال هذا، </w:t>
      </w:r>
      <w:r w:rsidR="0080179C" w:rsidRPr="00282AC9">
        <w:rPr>
          <w:rFonts w:hint="cs"/>
          <w:sz w:val="27"/>
          <w:rtl/>
        </w:rPr>
        <w:t xml:space="preserve">وبعبارةٍ أخرى: </w:t>
      </w:r>
      <w:r w:rsidRPr="00282AC9">
        <w:rPr>
          <w:rFonts w:hint="cs"/>
          <w:sz w:val="27"/>
          <w:rtl/>
        </w:rPr>
        <w:t>الحج</w:t>
      </w:r>
      <w:r w:rsidR="0080179C" w:rsidRPr="00282AC9">
        <w:rPr>
          <w:rFonts w:hint="cs"/>
          <w:sz w:val="27"/>
          <w:rtl/>
        </w:rPr>
        <w:t>ِّ</w:t>
      </w:r>
      <w:r w:rsidRPr="00282AC9">
        <w:rPr>
          <w:rFonts w:hint="cs"/>
          <w:sz w:val="27"/>
          <w:rtl/>
        </w:rPr>
        <w:t>ية والمنج</w:t>
      </w:r>
      <w:r w:rsidR="0080179C" w:rsidRPr="00282AC9">
        <w:rPr>
          <w:rFonts w:hint="cs"/>
          <w:sz w:val="27"/>
          <w:rtl/>
        </w:rPr>
        <w:t>ِّزية</w:t>
      </w:r>
      <w:r w:rsidRPr="00282AC9">
        <w:rPr>
          <w:rFonts w:hint="cs"/>
          <w:sz w:val="27"/>
          <w:rtl/>
        </w:rPr>
        <w:t>، منحصر</w:t>
      </w:r>
      <w:r w:rsidR="0080179C" w:rsidRPr="00282AC9">
        <w:rPr>
          <w:rFonts w:hint="cs"/>
          <w:sz w:val="27"/>
          <w:rtl/>
        </w:rPr>
        <w:t>ٌ</w:t>
      </w:r>
      <w:r w:rsidRPr="00282AC9">
        <w:rPr>
          <w:rFonts w:hint="cs"/>
          <w:sz w:val="27"/>
          <w:rtl/>
        </w:rPr>
        <w:t xml:space="preserve"> بظرف القطع بأمر المولى أو </w:t>
      </w:r>
      <w:r w:rsidR="0080179C" w:rsidRPr="00282AC9">
        <w:rPr>
          <w:rFonts w:hint="cs"/>
          <w:sz w:val="27"/>
          <w:rtl/>
        </w:rPr>
        <w:t>ي</w:t>
      </w:r>
      <w:r w:rsidRPr="00282AC9">
        <w:rPr>
          <w:rFonts w:hint="cs"/>
          <w:sz w:val="27"/>
          <w:rtl/>
        </w:rPr>
        <w:t>شمل حالات الظن</w:t>
      </w:r>
      <w:r w:rsidR="0080179C" w:rsidRPr="00282AC9">
        <w:rPr>
          <w:rFonts w:hint="cs"/>
          <w:sz w:val="27"/>
          <w:rtl/>
        </w:rPr>
        <w:t>ّ</w:t>
      </w:r>
      <w:r w:rsidRPr="00282AC9">
        <w:rPr>
          <w:rFonts w:hint="cs"/>
          <w:sz w:val="27"/>
          <w:rtl/>
        </w:rPr>
        <w:t xml:space="preserve"> والشك</w:t>
      </w:r>
      <w:r w:rsidR="0080179C" w:rsidRPr="00282AC9">
        <w:rPr>
          <w:rFonts w:hint="cs"/>
          <w:sz w:val="27"/>
          <w:rtl/>
        </w:rPr>
        <w:t>ّ</w:t>
      </w:r>
      <w:r w:rsidRPr="00282AC9">
        <w:rPr>
          <w:rFonts w:hint="cs"/>
          <w:sz w:val="27"/>
          <w:rtl/>
        </w:rPr>
        <w:t xml:space="preserve"> أيضاً؟ وبعبارة</w:t>
      </w:r>
      <w:r w:rsidR="0080179C" w:rsidRPr="00282AC9">
        <w:rPr>
          <w:rFonts w:hint="cs"/>
          <w:sz w:val="27"/>
          <w:rtl/>
        </w:rPr>
        <w:t>ٍ</w:t>
      </w:r>
      <w:r w:rsidRPr="00282AC9">
        <w:rPr>
          <w:rFonts w:hint="cs"/>
          <w:sz w:val="27"/>
          <w:rtl/>
        </w:rPr>
        <w:t xml:space="preserve"> أخرى: هل حق</w:t>
      </w:r>
      <w:r w:rsidR="0080179C" w:rsidRPr="00282AC9">
        <w:rPr>
          <w:rFonts w:hint="cs"/>
          <w:sz w:val="27"/>
          <w:rtl/>
        </w:rPr>
        <w:t>ّ</w:t>
      </w:r>
      <w:r w:rsidRPr="00282AC9">
        <w:rPr>
          <w:rFonts w:hint="cs"/>
          <w:sz w:val="27"/>
          <w:rtl/>
        </w:rPr>
        <w:t xml:space="preserve"> الطاعة للمولى منحصر</w:t>
      </w:r>
      <w:r w:rsidR="0080179C" w:rsidRPr="00282AC9">
        <w:rPr>
          <w:rFonts w:hint="cs"/>
          <w:sz w:val="27"/>
          <w:rtl/>
        </w:rPr>
        <w:t>ٌ</w:t>
      </w:r>
      <w:r w:rsidRPr="00282AC9">
        <w:rPr>
          <w:rFonts w:hint="cs"/>
          <w:sz w:val="27"/>
          <w:rtl/>
        </w:rPr>
        <w:t xml:space="preserve"> بالتكاليف المعلومة فقط أم هو شامل</w:t>
      </w:r>
      <w:r w:rsidR="0080179C" w:rsidRPr="00282AC9">
        <w:rPr>
          <w:rFonts w:hint="cs"/>
          <w:sz w:val="27"/>
          <w:rtl/>
        </w:rPr>
        <w:t>ٌ</w:t>
      </w:r>
      <w:r w:rsidRPr="00282AC9">
        <w:rPr>
          <w:rFonts w:hint="cs"/>
          <w:sz w:val="27"/>
          <w:rtl/>
        </w:rPr>
        <w:t xml:space="preserve"> للتكاليف المشكوكة والمظنونة أيضاً؟ وعلى هذا الأساس</w:t>
      </w:r>
      <w:r w:rsidR="0080179C" w:rsidRPr="00282AC9">
        <w:rPr>
          <w:rFonts w:hint="cs"/>
          <w:sz w:val="27"/>
          <w:rtl/>
        </w:rPr>
        <w:t>،</w:t>
      </w:r>
      <w:r w:rsidRPr="00282AC9">
        <w:rPr>
          <w:rFonts w:hint="cs"/>
          <w:sz w:val="27"/>
          <w:rtl/>
        </w:rPr>
        <w:t xml:space="preserve"> فإن البحث هنا يقع حول دائرة مولوي</w:t>
      </w:r>
      <w:r w:rsidR="0080179C" w:rsidRPr="00282AC9">
        <w:rPr>
          <w:rFonts w:hint="cs"/>
          <w:sz w:val="27"/>
          <w:rtl/>
        </w:rPr>
        <w:t>ّ</w:t>
      </w:r>
      <w:r w:rsidRPr="00282AC9">
        <w:rPr>
          <w:rFonts w:hint="cs"/>
          <w:sz w:val="27"/>
          <w:rtl/>
        </w:rPr>
        <w:t>ة المولى</w:t>
      </w:r>
      <w:r w:rsidRPr="00282AC9">
        <w:rPr>
          <w:sz w:val="27"/>
          <w:vertAlign w:val="superscript"/>
          <w:rtl/>
        </w:rPr>
        <w:t>(</w:t>
      </w:r>
      <w:r w:rsidRPr="00282AC9">
        <w:rPr>
          <w:rStyle w:val="af9"/>
          <w:sz w:val="27"/>
          <w:rtl/>
        </w:rPr>
        <w:endnoteReference w:id="622"/>
      </w:r>
      <w:r w:rsidRPr="00282AC9">
        <w:rPr>
          <w:sz w:val="27"/>
          <w:vertAlign w:val="superscript"/>
          <w:rtl/>
        </w:rPr>
        <w:t>)</w:t>
      </w:r>
      <w:r w:rsidRPr="00282AC9">
        <w:rPr>
          <w:rFonts w:hint="cs"/>
          <w:sz w:val="27"/>
          <w:rtl/>
        </w:rPr>
        <w:t>.</w:t>
      </w:r>
    </w:p>
    <w:p w:rsidR="00DA2F6D" w:rsidRPr="00282AC9" w:rsidRDefault="00DA2F6D" w:rsidP="00F066C8">
      <w:pPr>
        <w:rPr>
          <w:sz w:val="27"/>
          <w:rtl/>
        </w:rPr>
      </w:pPr>
      <w:r w:rsidRPr="00282AC9">
        <w:rPr>
          <w:rFonts w:hint="cs"/>
          <w:sz w:val="27"/>
          <w:rtl/>
        </w:rPr>
        <w:t>يقول السيد الشهيد الصدر: نحن نرى أن العقل في هذه المسألة يذهب إلى القول بالتوسعة؛ بمعنى أن مقتضى حكم العقل هو ثبوت حق</w:t>
      </w:r>
      <w:r w:rsidR="001B34FC" w:rsidRPr="00282AC9">
        <w:rPr>
          <w:rFonts w:hint="cs"/>
          <w:sz w:val="27"/>
          <w:rtl/>
        </w:rPr>
        <w:t>ّ</w:t>
      </w:r>
      <w:r w:rsidRPr="00282AC9">
        <w:rPr>
          <w:rFonts w:hint="cs"/>
          <w:sz w:val="27"/>
          <w:rtl/>
        </w:rPr>
        <w:t xml:space="preserve"> الطاعة لله تبارك وتعالى في كل</w:t>
      </w:r>
      <w:r w:rsidR="001B34FC" w:rsidRPr="00282AC9">
        <w:rPr>
          <w:rFonts w:hint="cs"/>
          <w:sz w:val="27"/>
          <w:rtl/>
        </w:rPr>
        <w:t>ّ</w:t>
      </w:r>
      <w:r w:rsidRPr="00282AC9">
        <w:rPr>
          <w:rFonts w:hint="cs"/>
          <w:sz w:val="27"/>
          <w:rtl/>
        </w:rPr>
        <w:t xml:space="preserve"> أوامره المنكشفة للمكل</w:t>
      </w:r>
      <w:r w:rsidR="001B34FC" w:rsidRPr="00282AC9">
        <w:rPr>
          <w:rFonts w:hint="cs"/>
          <w:sz w:val="27"/>
          <w:rtl/>
        </w:rPr>
        <w:t>َّ</w:t>
      </w:r>
      <w:r w:rsidRPr="00282AC9">
        <w:rPr>
          <w:rFonts w:hint="cs"/>
          <w:sz w:val="27"/>
          <w:rtl/>
        </w:rPr>
        <w:t>فين، سواء</w:t>
      </w:r>
      <w:r w:rsidR="001B34FC" w:rsidRPr="00282AC9">
        <w:rPr>
          <w:rFonts w:hint="cs"/>
          <w:sz w:val="27"/>
          <w:rtl/>
        </w:rPr>
        <w:t>ٌ</w:t>
      </w:r>
      <w:r w:rsidRPr="00282AC9">
        <w:rPr>
          <w:rFonts w:hint="cs"/>
          <w:sz w:val="27"/>
          <w:rtl/>
        </w:rPr>
        <w:t xml:space="preserve"> أكان هذا الانكشاف على مستوى القطع أم لا، ولكن</w:t>
      </w:r>
      <w:r w:rsidR="001B34FC" w:rsidRPr="00282AC9">
        <w:rPr>
          <w:rFonts w:hint="cs"/>
          <w:sz w:val="27"/>
          <w:rtl/>
        </w:rPr>
        <w:t>ْ</w:t>
      </w:r>
      <w:r w:rsidRPr="00282AC9">
        <w:rPr>
          <w:rFonts w:hint="cs"/>
          <w:sz w:val="27"/>
          <w:rtl/>
        </w:rPr>
        <w:t xml:space="preserve"> هذا إنما يكون ـ بطبيعة الحال ـ ما لم يصدر إذن</w:t>
      </w:r>
      <w:r w:rsidR="001B34FC" w:rsidRPr="00282AC9">
        <w:rPr>
          <w:rFonts w:hint="cs"/>
          <w:sz w:val="27"/>
          <w:rtl/>
        </w:rPr>
        <w:t>ٌ</w:t>
      </w:r>
      <w:r w:rsidRPr="00282AC9">
        <w:rPr>
          <w:rFonts w:hint="cs"/>
          <w:sz w:val="27"/>
          <w:rtl/>
        </w:rPr>
        <w:t xml:space="preserve"> من المولى نفسه بالترك. وهذا يعني أن المهم</w:t>
      </w:r>
      <w:r w:rsidR="001B34FC" w:rsidRPr="00282AC9">
        <w:rPr>
          <w:rFonts w:hint="cs"/>
          <w:sz w:val="27"/>
          <w:rtl/>
        </w:rPr>
        <w:t>ّ</w:t>
      </w:r>
      <w:r w:rsidRPr="00282AC9">
        <w:rPr>
          <w:rFonts w:hint="cs"/>
          <w:sz w:val="27"/>
          <w:rtl/>
        </w:rPr>
        <w:t xml:space="preserve"> في تنجّ</w:t>
      </w:r>
      <w:r w:rsidR="001B34FC" w:rsidRPr="00282AC9">
        <w:rPr>
          <w:rFonts w:hint="cs"/>
          <w:sz w:val="27"/>
          <w:rtl/>
        </w:rPr>
        <w:t>ُ</w:t>
      </w:r>
      <w:r w:rsidRPr="00282AC9">
        <w:rPr>
          <w:rFonts w:hint="cs"/>
          <w:sz w:val="27"/>
          <w:rtl/>
        </w:rPr>
        <w:t>ز التكليف هو انكشاف أمر المولى، وأما القطع بما هو قطع</w:t>
      </w:r>
      <w:r w:rsidR="001B34FC" w:rsidRPr="00282AC9">
        <w:rPr>
          <w:rFonts w:hint="cs"/>
          <w:sz w:val="27"/>
          <w:rtl/>
        </w:rPr>
        <w:t>ٌ</w:t>
      </w:r>
      <w:r w:rsidRPr="00282AC9">
        <w:rPr>
          <w:rFonts w:hint="cs"/>
          <w:sz w:val="27"/>
          <w:rtl/>
        </w:rPr>
        <w:t xml:space="preserve"> فلا تأثير له في هذه المسألة، بل حت</w:t>
      </w:r>
      <w:r w:rsidR="001B34FC" w:rsidRPr="00282AC9">
        <w:rPr>
          <w:rFonts w:hint="cs"/>
          <w:sz w:val="27"/>
          <w:rtl/>
        </w:rPr>
        <w:t>ّ</w:t>
      </w:r>
      <w:r w:rsidRPr="00282AC9">
        <w:rPr>
          <w:rFonts w:hint="cs"/>
          <w:sz w:val="27"/>
          <w:rtl/>
        </w:rPr>
        <w:t>ى إذا كان للقطع بأمر المولى منج</w:t>
      </w:r>
      <w:r w:rsidR="001B34FC" w:rsidRPr="00282AC9">
        <w:rPr>
          <w:rFonts w:hint="cs"/>
          <w:sz w:val="27"/>
          <w:rtl/>
        </w:rPr>
        <w:t>ِّ</w:t>
      </w:r>
      <w:r w:rsidRPr="00282AC9">
        <w:rPr>
          <w:rFonts w:hint="cs"/>
          <w:sz w:val="27"/>
          <w:rtl/>
        </w:rPr>
        <w:t>زية فمردّ ذلك إن</w:t>
      </w:r>
      <w:r w:rsidR="001B34FC" w:rsidRPr="00282AC9">
        <w:rPr>
          <w:rFonts w:hint="cs"/>
          <w:sz w:val="27"/>
          <w:rtl/>
        </w:rPr>
        <w:t>ّ</w:t>
      </w:r>
      <w:r w:rsidRPr="00282AC9">
        <w:rPr>
          <w:rFonts w:hint="cs"/>
          <w:sz w:val="27"/>
          <w:rtl/>
        </w:rPr>
        <w:t xml:space="preserve">ما هو </w:t>
      </w:r>
      <w:r w:rsidR="00A257B7" w:rsidRPr="00282AC9">
        <w:rPr>
          <w:rFonts w:hint="cs"/>
          <w:sz w:val="27"/>
          <w:rtl/>
        </w:rPr>
        <w:t xml:space="preserve">إلى </w:t>
      </w:r>
      <w:r w:rsidRPr="00282AC9">
        <w:rPr>
          <w:rFonts w:hint="cs"/>
          <w:sz w:val="27"/>
          <w:rtl/>
        </w:rPr>
        <w:t>حيثي</w:t>
      </w:r>
      <w:r w:rsidR="001B34FC" w:rsidRPr="00282AC9">
        <w:rPr>
          <w:rFonts w:hint="cs"/>
          <w:sz w:val="27"/>
          <w:rtl/>
        </w:rPr>
        <w:t>ّ</w:t>
      </w:r>
      <w:r w:rsidRPr="00282AC9">
        <w:rPr>
          <w:rFonts w:hint="cs"/>
          <w:sz w:val="27"/>
          <w:rtl/>
        </w:rPr>
        <w:t xml:space="preserve">ة الانكشاف الموجود في القطع، وليس </w:t>
      </w:r>
      <w:r w:rsidR="00A257B7" w:rsidRPr="00282AC9">
        <w:rPr>
          <w:rFonts w:hint="cs"/>
          <w:sz w:val="27"/>
          <w:rtl/>
        </w:rPr>
        <w:t xml:space="preserve">إلى </w:t>
      </w:r>
      <w:r w:rsidRPr="00282AC9">
        <w:rPr>
          <w:rFonts w:hint="cs"/>
          <w:sz w:val="27"/>
          <w:rtl/>
        </w:rPr>
        <w:t>حيثي</w:t>
      </w:r>
      <w:r w:rsidR="00A257B7" w:rsidRPr="00282AC9">
        <w:rPr>
          <w:rFonts w:hint="cs"/>
          <w:sz w:val="27"/>
          <w:rtl/>
        </w:rPr>
        <w:t>ّ</w:t>
      </w:r>
      <w:r w:rsidRPr="00282AC9">
        <w:rPr>
          <w:rFonts w:hint="cs"/>
          <w:sz w:val="27"/>
          <w:rtl/>
        </w:rPr>
        <w:t>ة القطع بما هو قطع</w:t>
      </w:r>
      <w:r w:rsidR="00A257B7" w:rsidRPr="00282AC9">
        <w:rPr>
          <w:rFonts w:hint="cs"/>
          <w:sz w:val="27"/>
          <w:rtl/>
        </w:rPr>
        <w:t>ٌ</w:t>
      </w:r>
      <w:r w:rsidRPr="00282AC9">
        <w:rPr>
          <w:rFonts w:hint="cs"/>
          <w:sz w:val="27"/>
          <w:rtl/>
        </w:rPr>
        <w:t>. وبعبارة</w:t>
      </w:r>
      <w:r w:rsidR="00A257B7" w:rsidRPr="00282AC9">
        <w:rPr>
          <w:rFonts w:hint="cs"/>
          <w:sz w:val="27"/>
          <w:rtl/>
        </w:rPr>
        <w:t>ٍ</w:t>
      </w:r>
      <w:r w:rsidRPr="00282AC9">
        <w:rPr>
          <w:rFonts w:hint="cs"/>
          <w:sz w:val="27"/>
          <w:rtl/>
        </w:rPr>
        <w:t xml:space="preserve"> أخرى: إن المنج</w:t>
      </w:r>
      <w:r w:rsidR="00A257B7" w:rsidRPr="00282AC9">
        <w:rPr>
          <w:rFonts w:hint="cs"/>
          <w:sz w:val="27"/>
          <w:rtl/>
        </w:rPr>
        <w:t>ِّ</w:t>
      </w:r>
      <w:r w:rsidRPr="00282AC9">
        <w:rPr>
          <w:rFonts w:hint="cs"/>
          <w:sz w:val="27"/>
          <w:rtl/>
        </w:rPr>
        <w:t>زية لم تتعل</w:t>
      </w:r>
      <w:r w:rsidR="00A257B7" w:rsidRPr="00282AC9">
        <w:rPr>
          <w:rFonts w:hint="cs"/>
          <w:sz w:val="27"/>
          <w:rtl/>
        </w:rPr>
        <w:t>َّ</w:t>
      </w:r>
      <w:r w:rsidRPr="00282AC9">
        <w:rPr>
          <w:rFonts w:hint="cs"/>
          <w:sz w:val="27"/>
          <w:rtl/>
        </w:rPr>
        <w:t>ق بالقطع بما هو قطع</w:t>
      </w:r>
      <w:r w:rsidR="00A257B7" w:rsidRPr="00282AC9">
        <w:rPr>
          <w:rFonts w:hint="cs"/>
          <w:sz w:val="27"/>
          <w:rtl/>
        </w:rPr>
        <w:t>ٌ</w:t>
      </w:r>
      <w:r w:rsidRPr="00282AC9">
        <w:rPr>
          <w:rFonts w:hint="cs"/>
          <w:sz w:val="27"/>
          <w:rtl/>
        </w:rPr>
        <w:t>، بل تعل</w:t>
      </w:r>
      <w:r w:rsidR="00A257B7" w:rsidRPr="00282AC9">
        <w:rPr>
          <w:rFonts w:hint="cs"/>
          <w:sz w:val="27"/>
          <w:rtl/>
        </w:rPr>
        <w:t>َّ</w:t>
      </w:r>
      <w:r w:rsidRPr="00282AC9">
        <w:rPr>
          <w:rFonts w:hint="cs"/>
          <w:sz w:val="27"/>
          <w:rtl/>
        </w:rPr>
        <w:t>ق</w:t>
      </w:r>
      <w:r w:rsidR="00A257B7" w:rsidRPr="00282AC9">
        <w:rPr>
          <w:rFonts w:hint="cs"/>
          <w:sz w:val="27"/>
          <w:rtl/>
        </w:rPr>
        <w:t>َ</w:t>
      </w:r>
      <w:r w:rsidRPr="00282AC9">
        <w:rPr>
          <w:rFonts w:hint="cs"/>
          <w:sz w:val="27"/>
          <w:rtl/>
        </w:rPr>
        <w:t>ت</w:t>
      </w:r>
      <w:r w:rsidR="00A257B7" w:rsidRPr="00282AC9">
        <w:rPr>
          <w:rFonts w:hint="cs"/>
          <w:sz w:val="27"/>
          <w:rtl/>
        </w:rPr>
        <w:t>ْ</w:t>
      </w:r>
      <w:r w:rsidRPr="00282AC9">
        <w:rPr>
          <w:rFonts w:hint="cs"/>
          <w:sz w:val="27"/>
          <w:rtl/>
        </w:rPr>
        <w:t xml:space="preserve"> بالقطع بما هو انكشاف</w:t>
      </w:r>
      <w:r w:rsidR="00A257B7" w:rsidRPr="00282AC9">
        <w:rPr>
          <w:rFonts w:hint="cs"/>
          <w:sz w:val="27"/>
          <w:rtl/>
        </w:rPr>
        <w:t>ٌ</w:t>
      </w:r>
      <w:r w:rsidRPr="00282AC9">
        <w:rPr>
          <w:rFonts w:hint="cs"/>
          <w:sz w:val="27"/>
          <w:rtl/>
        </w:rPr>
        <w:t xml:space="preserve">. غاية ما هنالك أن لهذا الانكشاف مراتب، وهي </w:t>
      </w:r>
      <w:r w:rsidR="00A257B7" w:rsidRPr="00282AC9">
        <w:rPr>
          <w:rFonts w:hint="cs"/>
          <w:sz w:val="27"/>
          <w:rtl/>
        </w:rPr>
        <w:t xml:space="preserve">ـ </w:t>
      </w:r>
      <w:r w:rsidRPr="00282AC9">
        <w:rPr>
          <w:rFonts w:hint="cs"/>
          <w:sz w:val="27"/>
          <w:rtl/>
        </w:rPr>
        <w:t>بشكل</w:t>
      </w:r>
      <w:r w:rsidR="00A257B7" w:rsidRPr="00282AC9">
        <w:rPr>
          <w:rFonts w:hint="cs"/>
          <w:sz w:val="27"/>
          <w:rtl/>
        </w:rPr>
        <w:t>ٍ</w:t>
      </w:r>
      <w:r w:rsidRPr="00282AC9">
        <w:rPr>
          <w:rFonts w:hint="cs"/>
          <w:sz w:val="27"/>
          <w:rtl/>
        </w:rPr>
        <w:t xml:space="preserve"> عام</w:t>
      </w:r>
      <w:r w:rsidR="00A257B7" w:rsidRPr="00282AC9">
        <w:rPr>
          <w:rFonts w:hint="cs"/>
          <w:sz w:val="27"/>
          <w:rtl/>
        </w:rPr>
        <w:t>ّ</w:t>
      </w:r>
      <w:r w:rsidRPr="00282AC9">
        <w:rPr>
          <w:rFonts w:hint="cs"/>
          <w:sz w:val="27"/>
          <w:rtl/>
        </w:rPr>
        <w:t xml:space="preserve"> </w:t>
      </w:r>
      <w:r w:rsidR="00A257B7" w:rsidRPr="00282AC9">
        <w:rPr>
          <w:rFonts w:hint="cs"/>
          <w:sz w:val="27"/>
          <w:rtl/>
        </w:rPr>
        <w:t xml:space="preserve">ـ </w:t>
      </w:r>
      <w:r w:rsidRPr="00282AC9">
        <w:rPr>
          <w:rFonts w:hint="cs"/>
          <w:sz w:val="27"/>
          <w:rtl/>
        </w:rPr>
        <w:t>عبارة</w:t>
      </w:r>
      <w:r w:rsidR="00A257B7" w:rsidRPr="00282AC9">
        <w:rPr>
          <w:rFonts w:hint="cs"/>
          <w:sz w:val="27"/>
          <w:rtl/>
        </w:rPr>
        <w:t>ٌ</w:t>
      </w:r>
      <w:r w:rsidRPr="00282AC9">
        <w:rPr>
          <w:rFonts w:hint="cs"/>
          <w:sz w:val="27"/>
          <w:rtl/>
        </w:rPr>
        <w:t xml:space="preserve"> عن القطع والاحتمال (بمعنى الظن</w:t>
      </w:r>
      <w:r w:rsidR="00A257B7" w:rsidRPr="00282AC9">
        <w:rPr>
          <w:rFonts w:hint="cs"/>
          <w:sz w:val="27"/>
          <w:rtl/>
        </w:rPr>
        <w:t>ّ</w:t>
      </w:r>
      <w:r w:rsidRPr="00282AC9">
        <w:rPr>
          <w:rFonts w:hint="cs"/>
          <w:sz w:val="27"/>
          <w:rtl/>
        </w:rPr>
        <w:t xml:space="preserve"> والشك</w:t>
      </w:r>
      <w:r w:rsidR="00A257B7" w:rsidRPr="00282AC9">
        <w:rPr>
          <w:rFonts w:hint="cs"/>
          <w:sz w:val="27"/>
          <w:rtl/>
        </w:rPr>
        <w:t>ّ</w:t>
      </w:r>
      <w:r w:rsidRPr="00282AC9">
        <w:rPr>
          <w:rFonts w:hint="cs"/>
          <w:sz w:val="27"/>
          <w:rtl/>
        </w:rPr>
        <w:t xml:space="preserve"> والو</w:t>
      </w:r>
      <w:r w:rsidR="00A257B7" w:rsidRPr="00282AC9">
        <w:rPr>
          <w:rFonts w:hint="cs"/>
          <w:sz w:val="27"/>
          <w:rtl/>
        </w:rPr>
        <w:t>َ</w:t>
      </w:r>
      <w:r w:rsidRPr="00282AC9">
        <w:rPr>
          <w:rFonts w:hint="cs"/>
          <w:sz w:val="27"/>
          <w:rtl/>
        </w:rPr>
        <w:t>ه</w:t>
      </w:r>
      <w:r w:rsidR="00A257B7" w:rsidRPr="00282AC9">
        <w:rPr>
          <w:rFonts w:hint="cs"/>
          <w:sz w:val="27"/>
          <w:rtl/>
        </w:rPr>
        <w:t>ْ</w:t>
      </w:r>
      <w:r w:rsidRPr="00282AC9">
        <w:rPr>
          <w:rFonts w:hint="cs"/>
          <w:sz w:val="27"/>
          <w:rtl/>
        </w:rPr>
        <w:t>م). وإن العقل يثبت حق</w:t>
      </w:r>
      <w:r w:rsidR="00A257B7" w:rsidRPr="00282AC9">
        <w:rPr>
          <w:rFonts w:hint="cs"/>
          <w:sz w:val="27"/>
          <w:rtl/>
        </w:rPr>
        <w:t>ّ</w:t>
      </w:r>
      <w:r w:rsidRPr="00282AC9">
        <w:rPr>
          <w:rFonts w:hint="cs"/>
          <w:sz w:val="27"/>
          <w:rtl/>
        </w:rPr>
        <w:t xml:space="preserve"> الطاعة للمولى في جميع مراتب الانكشاف، ما لم يصدر ترخيص</w:t>
      </w:r>
      <w:r w:rsidR="00A257B7" w:rsidRPr="00282AC9">
        <w:rPr>
          <w:rFonts w:hint="cs"/>
          <w:sz w:val="27"/>
          <w:rtl/>
        </w:rPr>
        <w:t>ٌ</w:t>
      </w:r>
      <w:r w:rsidRPr="00282AC9">
        <w:rPr>
          <w:rFonts w:hint="cs"/>
          <w:sz w:val="27"/>
          <w:rtl/>
        </w:rPr>
        <w:t xml:space="preserve"> من ق</w:t>
      </w:r>
      <w:r w:rsidR="00A257B7" w:rsidRPr="00282AC9">
        <w:rPr>
          <w:rFonts w:hint="cs"/>
          <w:sz w:val="27"/>
          <w:rtl/>
        </w:rPr>
        <w:t>ِ</w:t>
      </w:r>
      <w:r w:rsidRPr="00282AC9">
        <w:rPr>
          <w:rFonts w:hint="cs"/>
          <w:sz w:val="27"/>
          <w:rtl/>
        </w:rPr>
        <w:t>ب</w:t>
      </w:r>
      <w:r w:rsidR="00A257B7" w:rsidRPr="00282AC9">
        <w:rPr>
          <w:rFonts w:hint="cs"/>
          <w:sz w:val="27"/>
          <w:rtl/>
        </w:rPr>
        <w:t>َ</w:t>
      </w:r>
      <w:r w:rsidRPr="00282AC9">
        <w:rPr>
          <w:rFonts w:hint="cs"/>
          <w:sz w:val="27"/>
          <w:rtl/>
        </w:rPr>
        <w:t>ل الشارع بطبيعة الحال</w:t>
      </w:r>
      <w:r w:rsidRPr="00282AC9">
        <w:rPr>
          <w:sz w:val="27"/>
          <w:vertAlign w:val="superscript"/>
          <w:rtl/>
        </w:rPr>
        <w:t>(</w:t>
      </w:r>
      <w:r w:rsidRPr="00282AC9">
        <w:rPr>
          <w:rStyle w:val="af9"/>
          <w:sz w:val="27"/>
          <w:rtl/>
        </w:rPr>
        <w:endnoteReference w:id="623"/>
      </w:r>
      <w:r w:rsidRPr="00282AC9">
        <w:rPr>
          <w:sz w:val="27"/>
          <w:vertAlign w:val="superscript"/>
          <w:rtl/>
        </w:rPr>
        <w:t>)</w:t>
      </w:r>
      <w:r w:rsidRPr="00282AC9">
        <w:rPr>
          <w:rFonts w:hint="cs"/>
          <w:sz w:val="27"/>
          <w:rtl/>
        </w:rPr>
        <w:t>.</w:t>
      </w:r>
    </w:p>
    <w:p w:rsidR="00F066C8" w:rsidRPr="00282AC9" w:rsidRDefault="00F066C8" w:rsidP="00F066C8">
      <w:pPr>
        <w:spacing w:line="420" w:lineRule="exact"/>
        <w:rPr>
          <w:rtl/>
        </w:rPr>
      </w:pPr>
    </w:p>
    <w:p w:rsidR="00DA2F6D" w:rsidRPr="00282AC9" w:rsidRDefault="009C1202" w:rsidP="00BD3176">
      <w:pPr>
        <w:pStyle w:val="31"/>
        <w:rPr>
          <w:color w:val="auto"/>
          <w:rtl/>
        </w:rPr>
      </w:pPr>
      <w:r w:rsidRPr="00282AC9">
        <w:rPr>
          <w:rFonts w:hint="cs"/>
          <w:color w:val="auto"/>
          <w:rtl/>
        </w:rPr>
        <w:t xml:space="preserve">1ـ </w:t>
      </w:r>
      <w:r w:rsidR="006363F6" w:rsidRPr="00282AC9">
        <w:rPr>
          <w:rFonts w:hint="cs"/>
          <w:color w:val="auto"/>
          <w:rtl/>
        </w:rPr>
        <w:t>الدليل والمستند</w:t>
      </w:r>
    </w:p>
    <w:p w:rsidR="00DA2F6D" w:rsidRPr="00282AC9" w:rsidRDefault="00DA2F6D" w:rsidP="00F066C8">
      <w:pPr>
        <w:rPr>
          <w:sz w:val="27"/>
          <w:rtl/>
        </w:rPr>
      </w:pPr>
      <w:r w:rsidRPr="00282AC9">
        <w:rPr>
          <w:rFonts w:hint="cs"/>
          <w:sz w:val="27"/>
          <w:rtl/>
        </w:rPr>
        <w:t>قد ي</w:t>
      </w:r>
      <w:r w:rsidR="00A257B7" w:rsidRPr="00282AC9">
        <w:rPr>
          <w:rFonts w:hint="cs"/>
          <w:sz w:val="27"/>
          <w:rtl/>
        </w:rPr>
        <w:t>َ</w:t>
      </w:r>
      <w:r w:rsidRPr="00282AC9">
        <w:rPr>
          <w:rFonts w:hint="cs"/>
          <w:sz w:val="27"/>
          <w:rtl/>
        </w:rPr>
        <w:t>ر</w:t>
      </w:r>
      <w:r w:rsidR="00A257B7" w:rsidRPr="00282AC9">
        <w:rPr>
          <w:rFonts w:hint="cs"/>
          <w:sz w:val="27"/>
          <w:rtl/>
        </w:rPr>
        <w:t>ِ</w:t>
      </w:r>
      <w:r w:rsidRPr="00282AC9">
        <w:rPr>
          <w:rFonts w:hint="cs"/>
          <w:sz w:val="27"/>
          <w:rtl/>
        </w:rPr>
        <w:t>د</w:t>
      </w:r>
      <w:r w:rsidR="00A257B7" w:rsidRPr="00282AC9">
        <w:rPr>
          <w:rFonts w:hint="cs"/>
          <w:sz w:val="27"/>
          <w:rtl/>
        </w:rPr>
        <w:t>ُ</w:t>
      </w:r>
      <w:r w:rsidRPr="00282AC9">
        <w:rPr>
          <w:rFonts w:hint="cs"/>
          <w:sz w:val="27"/>
          <w:rtl/>
        </w:rPr>
        <w:t xml:space="preserve"> هذا السؤال القائل: ما هو برهان ودليل السيد الشهيد الصدر على هذه المسألة؟</w:t>
      </w:r>
    </w:p>
    <w:p w:rsidR="00DA2F6D" w:rsidRPr="00282AC9" w:rsidRDefault="00DA2F6D" w:rsidP="00F066C8">
      <w:pPr>
        <w:rPr>
          <w:sz w:val="27"/>
          <w:rtl/>
        </w:rPr>
      </w:pPr>
      <w:r w:rsidRPr="00282AC9">
        <w:rPr>
          <w:rFonts w:hint="cs"/>
          <w:sz w:val="27"/>
          <w:rtl/>
        </w:rPr>
        <w:t>يقول سماحته</w:t>
      </w:r>
      <w:r w:rsidR="00A257B7" w:rsidRPr="00282AC9">
        <w:rPr>
          <w:rFonts w:hint="cs"/>
          <w:sz w:val="27"/>
          <w:rtl/>
        </w:rPr>
        <w:t>:</w:t>
      </w:r>
      <w:r w:rsidRPr="00282AC9">
        <w:rPr>
          <w:rFonts w:hint="cs"/>
          <w:sz w:val="27"/>
          <w:rtl/>
        </w:rPr>
        <w:t xml:space="preserve"> إن الدليل على هذه المسألة هو الوجدان</w:t>
      </w:r>
      <w:r w:rsidR="00A257B7" w:rsidRPr="00282AC9">
        <w:rPr>
          <w:rFonts w:hint="cs"/>
          <w:sz w:val="27"/>
          <w:rtl/>
        </w:rPr>
        <w:t>،</w:t>
      </w:r>
      <w:r w:rsidRPr="00282AC9">
        <w:rPr>
          <w:rFonts w:hint="cs"/>
          <w:sz w:val="27"/>
          <w:rtl/>
        </w:rPr>
        <w:t xml:space="preserve"> ببيان أن أساس المشكلة قد نشأ من قياس المولى الحقيقي</w:t>
      </w:r>
      <w:r w:rsidR="00A257B7" w:rsidRPr="00282AC9">
        <w:rPr>
          <w:rFonts w:hint="cs"/>
          <w:sz w:val="27"/>
          <w:rtl/>
        </w:rPr>
        <w:t>ّ</w:t>
      </w:r>
      <w:r w:rsidRPr="00282AC9">
        <w:rPr>
          <w:rFonts w:hint="cs"/>
          <w:sz w:val="27"/>
          <w:rtl/>
        </w:rPr>
        <w:t xml:space="preserve"> إلى الموالي العرفي</w:t>
      </w:r>
      <w:r w:rsidR="00A257B7" w:rsidRPr="00282AC9">
        <w:rPr>
          <w:rFonts w:hint="cs"/>
          <w:sz w:val="27"/>
          <w:rtl/>
        </w:rPr>
        <w:t>ّ</w:t>
      </w:r>
      <w:r w:rsidRPr="00282AC9">
        <w:rPr>
          <w:rFonts w:hint="cs"/>
          <w:sz w:val="27"/>
          <w:rtl/>
        </w:rPr>
        <w:t>ين، وتسرية الحكم الثابت لدى العُر</w:t>
      </w:r>
      <w:r w:rsidR="00A257B7" w:rsidRPr="00282AC9">
        <w:rPr>
          <w:rFonts w:hint="cs"/>
          <w:sz w:val="27"/>
          <w:rtl/>
        </w:rPr>
        <w:t>ْ</w:t>
      </w:r>
      <w:r w:rsidRPr="00282AC9">
        <w:rPr>
          <w:rFonts w:hint="cs"/>
          <w:sz w:val="27"/>
          <w:rtl/>
        </w:rPr>
        <w:t>ف بحق</w:t>
      </w:r>
      <w:r w:rsidR="00A257B7" w:rsidRPr="00282AC9">
        <w:rPr>
          <w:rFonts w:hint="cs"/>
          <w:sz w:val="27"/>
          <w:rtl/>
        </w:rPr>
        <w:t>ّ</w:t>
      </w:r>
      <w:r w:rsidRPr="00282AC9">
        <w:rPr>
          <w:rFonts w:hint="cs"/>
          <w:sz w:val="27"/>
          <w:rtl/>
        </w:rPr>
        <w:t xml:space="preserve"> الموالي العُر</w:t>
      </w:r>
      <w:r w:rsidR="00A257B7" w:rsidRPr="00282AC9">
        <w:rPr>
          <w:rFonts w:hint="cs"/>
          <w:sz w:val="27"/>
          <w:rtl/>
        </w:rPr>
        <w:t>ْ</w:t>
      </w:r>
      <w:r w:rsidRPr="00282AC9">
        <w:rPr>
          <w:rFonts w:hint="cs"/>
          <w:sz w:val="27"/>
          <w:rtl/>
        </w:rPr>
        <w:t>فيين إلى المولى الحقيقي</w:t>
      </w:r>
      <w:r w:rsidR="00A257B7" w:rsidRPr="00282AC9">
        <w:rPr>
          <w:rFonts w:hint="cs"/>
          <w:sz w:val="27"/>
          <w:rtl/>
        </w:rPr>
        <w:t>.</w:t>
      </w:r>
      <w:r w:rsidRPr="00282AC9">
        <w:rPr>
          <w:rFonts w:hint="cs"/>
          <w:sz w:val="27"/>
          <w:rtl/>
        </w:rPr>
        <w:t xml:space="preserve"> في حين أن هذا قياس</w:t>
      </w:r>
      <w:r w:rsidR="00A257B7" w:rsidRPr="00282AC9">
        <w:rPr>
          <w:rFonts w:hint="cs"/>
          <w:sz w:val="27"/>
          <w:rtl/>
        </w:rPr>
        <w:t>ٌ</w:t>
      </w:r>
      <w:r w:rsidRPr="00282AC9">
        <w:rPr>
          <w:rFonts w:hint="cs"/>
          <w:sz w:val="27"/>
          <w:rtl/>
        </w:rPr>
        <w:t xml:space="preserve"> باطل</w:t>
      </w:r>
      <w:r w:rsidR="00A257B7" w:rsidRPr="00282AC9">
        <w:rPr>
          <w:rFonts w:hint="cs"/>
          <w:sz w:val="27"/>
          <w:rtl/>
        </w:rPr>
        <w:t xml:space="preserve">؛ </w:t>
      </w:r>
      <w:r w:rsidRPr="00282AC9">
        <w:rPr>
          <w:rFonts w:hint="cs"/>
          <w:sz w:val="27"/>
          <w:rtl/>
        </w:rPr>
        <w:t xml:space="preserve">فلو تمّ الالتفات إلى المولى الحقيقي بما له من الخصائص والأوصاف فإن العقل </w:t>
      </w:r>
      <w:r w:rsidRPr="00282AC9">
        <w:rPr>
          <w:rFonts w:hint="cs"/>
          <w:sz w:val="27"/>
          <w:rtl/>
        </w:rPr>
        <w:lastRenderedPageBreak/>
        <w:t>في</w:t>
      </w:r>
      <w:r w:rsidR="00A257B7" w:rsidRPr="00282AC9">
        <w:rPr>
          <w:rFonts w:hint="cs"/>
          <w:sz w:val="27"/>
          <w:rtl/>
        </w:rPr>
        <w:t xml:space="preserve"> </w:t>
      </w:r>
      <w:r w:rsidRPr="00282AC9">
        <w:rPr>
          <w:rFonts w:hint="cs"/>
          <w:sz w:val="27"/>
          <w:rtl/>
        </w:rPr>
        <w:t>ما يتعل</w:t>
      </w:r>
      <w:r w:rsidR="00A257B7" w:rsidRPr="00282AC9">
        <w:rPr>
          <w:rFonts w:hint="cs"/>
          <w:sz w:val="27"/>
          <w:rtl/>
        </w:rPr>
        <w:t>َّ</w:t>
      </w:r>
      <w:r w:rsidRPr="00282AC9">
        <w:rPr>
          <w:rFonts w:hint="cs"/>
          <w:sz w:val="27"/>
          <w:rtl/>
        </w:rPr>
        <w:t>ق بهذا المولى سيحكم قطعاً بتنجّ</w:t>
      </w:r>
      <w:r w:rsidR="00A257B7" w:rsidRPr="00282AC9">
        <w:rPr>
          <w:rFonts w:hint="cs"/>
          <w:sz w:val="27"/>
          <w:rtl/>
        </w:rPr>
        <w:t>ُ</w:t>
      </w:r>
      <w:r w:rsidRPr="00282AC9">
        <w:rPr>
          <w:rFonts w:hint="cs"/>
          <w:sz w:val="27"/>
          <w:rtl/>
        </w:rPr>
        <w:t>ز التكليف</w:t>
      </w:r>
      <w:r w:rsidR="00A257B7" w:rsidRPr="00282AC9">
        <w:rPr>
          <w:rFonts w:hint="cs"/>
          <w:sz w:val="27"/>
          <w:rtl/>
        </w:rPr>
        <w:t>،</w:t>
      </w:r>
      <w:r w:rsidRPr="00282AC9">
        <w:rPr>
          <w:rFonts w:hint="cs"/>
          <w:sz w:val="27"/>
          <w:rtl/>
        </w:rPr>
        <w:t xml:space="preserve"> حت</w:t>
      </w:r>
      <w:r w:rsidR="00A257B7" w:rsidRPr="00282AC9">
        <w:rPr>
          <w:rFonts w:hint="cs"/>
          <w:sz w:val="27"/>
          <w:rtl/>
        </w:rPr>
        <w:t>ّ</w:t>
      </w:r>
      <w:r w:rsidRPr="00282AC9">
        <w:rPr>
          <w:rFonts w:hint="cs"/>
          <w:sz w:val="27"/>
          <w:rtl/>
        </w:rPr>
        <w:t>ى في الأمور المشكوكة أيضاً</w:t>
      </w:r>
      <w:r w:rsidRPr="00282AC9">
        <w:rPr>
          <w:sz w:val="27"/>
          <w:vertAlign w:val="superscript"/>
          <w:rtl/>
        </w:rPr>
        <w:t>(</w:t>
      </w:r>
      <w:r w:rsidRPr="00282AC9">
        <w:rPr>
          <w:rStyle w:val="af9"/>
          <w:sz w:val="27"/>
          <w:rtl/>
        </w:rPr>
        <w:endnoteReference w:id="624"/>
      </w:r>
      <w:r w:rsidRPr="00282AC9">
        <w:rPr>
          <w:sz w:val="27"/>
          <w:vertAlign w:val="superscript"/>
          <w:rtl/>
        </w:rPr>
        <w:t>)</w:t>
      </w:r>
      <w:r w:rsidRPr="00282AC9">
        <w:rPr>
          <w:rFonts w:hint="cs"/>
          <w:sz w:val="27"/>
          <w:rtl/>
        </w:rPr>
        <w:t>.</w:t>
      </w:r>
    </w:p>
    <w:p w:rsidR="00DA2F6D" w:rsidRPr="00282AC9" w:rsidRDefault="00DA2F6D" w:rsidP="00F066C8">
      <w:pPr>
        <w:rPr>
          <w:sz w:val="27"/>
          <w:rtl/>
        </w:rPr>
      </w:pPr>
      <w:r w:rsidRPr="00282AC9">
        <w:rPr>
          <w:rFonts w:hint="cs"/>
          <w:sz w:val="27"/>
          <w:rtl/>
        </w:rPr>
        <w:t>بيان المسألة</w:t>
      </w:r>
      <w:r w:rsidR="00A257B7" w:rsidRPr="00282AC9">
        <w:rPr>
          <w:rFonts w:hint="cs"/>
          <w:sz w:val="27"/>
          <w:rtl/>
        </w:rPr>
        <w:t>:</w:t>
      </w:r>
      <w:r w:rsidRPr="00282AC9">
        <w:rPr>
          <w:rFonts w:hint="cs"/>
          <w:sz w:val="27"/>
          <w:rtl/>
        </w:rPr>
        <w:t xml:space="preserve"> </w:t>
      </w:r>
      <w:r w:rsidR="00A257B7" w:rsidRPr="00282AC9">
        <w:rPr>
          <w:rFonts w:hint="cs"/>
          <w:sz w:val="27"/>
          <w:rtl/>
        </w:rPr>
        <w:t>إ</w:t>
      </w:r>
      <w:r w:rsidRPr="00282AC9">
        <w:rPr>
          <w:rFonts w:hint="cs"/>
          <w:sz w:val="27"/>
          <w:rtl/>
        </w:rPr>
        <w:t>ن المشهور في استناده إلى قاعدة ق</w:t>
      </w:r>
      <w:r w:rsidR="00A257B7" w:rsidRPr="00282AC9">
        <w:rPr>
          <w:rFonts w:hint="cs"/>
          <w:sz w:val="27"/>
          <w:rtl/>
        </w:rPr>
        <w:t>ُ</w:t>
      </w:r>
      <w:r w:rsidRPr="00282AC9">
        <w:rPr>
          <w:rFonts w:hint="cs"/>
          <w:sz w:val="27"/>
          <w:rtl/>
        </w:rPr>
        <w:t>ب</w:t>
      </w:r>
      <w:r w:rsidR="00A257B7" w:rsidRPr="00282AC9">
        <w:rPr>
          <w:rFonts w:hint="cs"/>
          <w:sz w:val="27"/>
          <w:rtl/>
        </w:rPr>
        <w:t>ْ</w:t>
      </w:r>
      <w:r w:rsidRPr="00282AC9">
        <w:rPr>
          <w:rFonts w:hint="cs"/>
          <w:sz w:val="27"/>
          <w:rtl/>
        </w:rPr>
        <w:t>ح العقاب بلا بيان</w:t>
      </w:r>
      <w:r w:rsidR="00A257B7" w:rsidRPr="00282AC9">
        <w:rPr>
          <w:rFonts w:hint="cs"/>
          <w:sz w:val="27"/>
          <w:rtl/>
        </w:rPr>
        <w:t>ٍ</w:t>
      </w:r>
      <w:r w:rsidRPr="00282AC9">
        <w:rPr>
          <w:rFonts w:hint="cs"/>
          <w:sz w:val="27"/>
          <w:rtl/>
        </w:rPr>
        <w:t xml:space="preserve"> ـ والتي تقتضي في الحقيقة تضييق دائرة المولوي</w:t>
      </w:r>
      <w:r w:rsidR="00A257B7" w:rsidRPr="00282AC9">
        <w:rPr>
          <w:rFonts w:hint="cs"/>
          <w:sz w:val="27"/>
          <w:rtl/>
        </w:rPr>
        <w:t>ّ</w:t>
      </w:r>
      <w:r w:rsidRPr="00282AC9">
        <w:rPr>
          <w:rFonts w:hint="cs"/>
          <w:sz w:val="27"/>
          <w:rtl/>
        </w:rPr>
        <w:t>ة وحق</w:t>
      </w:r>
      <w:r w:rsidR="00A257B7" w:rsidRPr="00282AC9">
        <w:rPr>
          <w:rFonts w:hint="cs"/>
          <w:sz w:val="27"/>
          <w:rtl/>
        </w:rPr>
        <w:t>ّ</w:t>
      </w:r>
      <w:r w:rsidRPr="00282AC9">
        <w:rPr>
          <w:rFonts w:hint="cs"/>
          <w:sz w:val="27"/>
          <w:rtl/>
        </w:rPr>
        <w:t xml:space="preserve"> الطاعة</w:t>
      </w:r>
      <w:r w:rsidRPr="00282AC9">
        <w:rPr>
          <w:sz w:val="27"/>
          <w:vertAlign w:val="superscript"/>
          <w:rtl/>
        </w:rPr>
        <w:t>(</w:t>
      </w:r>
      <w:r w:rsidRPr="00282AC9">
        <w:rPr>
          <w:rStyle w:val="af9"/>
          <w:sz w:val="27"/>
          <w:rtl/>
        </w:rPr>
        <w:endnoteReference w:id="625"/>
      </w:r>
      <w:r w:rsidRPr="00282AC9">
        <w:rPr>
          <w:sz w:val="27"/>
          <w:vertAlign w:val="superscript"/>
          <w:rtl/>
        </w:rPr>
        <w:t>)</w:t>
      </w:r>
      <w:r w:rsidRPr="00282AC9">
        <w:rPr>
          <w:rFonts w:hint="cs"/>
          <w:sz w:val="27"/>
          <w:rtl/>
        </w:rPr>
        <w:t xml:space="preserve"> ـ يستشهد بعُر</w:t>
      </w:r>
      <w:r w:rsidR="00A257B7" w:rsidRPr="00282AC9">
        <w:rPr>
          <w:rFonts w:hint="cs"/>
          <w:sz w:val="27"/>
          <w:rtl/>
        </w:rPr>
        <w:t>ْ</w:t>
      </w:r>
      <w:r w:rsidRPr="00282AC9">
        <w:rPr>
          <w:rFonts w:hint="cs"/>
          <w:sz w:val="27"/>
          <w:rtl/>
        </w:rPr>
        <w:t>ف العقلاء</w:t>
      </w:r>
      <w:r w:rsidRPr="00282AC9">
        <w:rPr>
          <w:sz w:val="27"/>
          <w:vertAlign w:val="superscript"/>
          <w:rtl/>
        </w:rPr>
        <w:t>(</w:t>
      </w:r>
      <w:r w:rsidRPr="00282AC9">
        <w:rPr>
          <w:rStyle w:val="af9"/>
          <w:sz w:val="27"/>
          <w:rtl/>
        </w:rPr>
        <w:endnoteReference w:id="626"/>
      </w:r>
      <w:r w:rsidRPr="00282AC9">
        <w:rPr>
          <w:sz w:val="27"/>
          <w:vertAlign w:val="superscript"/>
          <w:rtl/>
        </w:rPr>
        <w:t>)</w:t>
      </w:r>
      <w:r w:rsidR="00A257B7" w:rsidRPr="00282AC9">
        <w:rPr>
          <w:rFonts w:hint="cs"/>
          <w:sz w:val="27"/>
          <w:rtl/>
        </w:rPr>
        <w:t>،</w:t>
      </w:r>
      <w:r w:rsidRPr="00282AC9">
        <w:rPr>
          <w:rFonts w:hint="cs"/>
          <w:sz w:val="27"/>
          <w:rtl/>
        </w:rPr>
        <w:t xml:space="preserve"> ببيان أن الموجود بين الموالي الع</w:t>
      </w:r>
      <w:r w:rsidR="00A257B7" w:rsidRPr="00282AC9">
        <w:rPr>
          <w:rFonts w:hint="cs"/>
          <w:sz w:val="27"/>
          <w:rtl/>
        </w:rPr>
        <w:t>ُ</w:t>
      </w:r>
      <w:r w:rsidRPr="00282AC9">
        <w:rPr>
          <w:rFonts w:hint="cs"/>
          <w:sz w:val="27"/>
          <w:rtl/>
        </w:rPr>
        <w:t>ر</w:t>
      </w:r>
      <w:r w:rsidR="00A257B7" w:rsidRPr="00282AC9">
        <w:rPr>
          <w:rFonts w:hint="cs"/>
          <w:sz w:val="27"/>
          <w:rtl/>
        </w:rPr>
        <w:t>ْ</w:t>
      </w:r>
      <w:r w:rsidRPr="00282AC9">
        <w:rPr>
          <w:rFonts w:hint="cs"/>
          <w:sz w:val="27"/>
          <w:rtl/>
        </w:rPr>
        <w:t>فيين هو استقباح معاقبة العبد على ترك التكاليف المشكوكة</w:t>
      </w:r>
      <w:r w:rsidR="00A257B7" w:rsidRPr="00282AC9">
        <w:rPr>
          <w:rFonts w:hint="cs"/>
          <w:sz w:val="27"/>
          <w:rtl/>
        </w:rPr>
        <w:t>،</w:t>
      </w:r>
      <w:r w:rsidRPr="00282AC9">
        <w:rPr>
          <w:rFonts w:hint="cs"/>
          <w:sz w:val="27"/>
          <w:rtl/>
        </w:rPr>
        <w:t xml:space="preserve"> </w:t>
      </w:r>
      <w:r w:rsidR="00A257B7" w:rsidRPr="00282AC9">
        <w:rPr>
          <w:rFonts w:hint="cs"/>
          <w:sz w:val="27"/>
          <w:rtl/>
        </w:rPr>
        <w:t>أي إ</w:t>
      </w:r>
      <w:r w:rsidRPr="00282AC9">
        <w:rPr>
          <w:rFonts w:hint="cs"/>
          <w:sz w:val="27"/>
          <w:rtl/>
        </w:rPr>
        <w:t>ن العبد إذا كان جاهلاً بأمر مولاه، وخالفه</w:t>
      </w:r>
      <w:r w:rsidR="00A257B7" w:rsidRPr="00282AC9">
        <w:rPr>
          <w:rFonts w:hint="cs"/>
          <w:sz w:val="27"/>
          <w:rtl/>
        </w:rPr>
        <w:t>؛</w:t>
      </w:r>
      <w:r w:rsidRPr="00282AC9">
        <w:rPr>
          <w:rFonts w:hint="cs"/>
          <w:sz w:val="27"/>
          <w:rtl/>
        </w:rPr>
        <w:t xml:space="preserve"> بسبب جهله، تكون معاقبته من ق</w:t>
      </w:r>
      <w:r w:rsidR="00A257B7" w:rsidRPr="00282AC9">
        <w:rPr>
          <w:rFonts w:hint="cs"/>
          <w:sz w:val="27"/>
          <w:rtl/>
        </w:rPr>
        <w:t>ِ</w:t>
      </w:r>
      <w:r w:rsidRPr="00282AC9">
        <w:rPr>
          <w:rFonts w:hint="cs"/>
          <w:sz w:val="27"/>
          <w:rtl/>
        </w:rPr>
        <w:t>ب</w:t>
      </w:r>
      <w:r w:rsidR="00A257B7" w:rsidRPr="00282AC9">
        <w:rPr>
          <w:rFonts w:hint="cs"/>
          <w:sz w:val="27"/>
          <w:rtl/>
        </w:rPr>
        <w:t>َ</w:t>
      </w:r>
      <w:r w:rsidRPr="00282AC9">
        <w:rPr>
          <w:rFonts w:hint="cs"/>
          <w:sz w:val="27"/>
          <w:rtl/>
        </w:rPr>
        <w:t>ل المولى في مثل هذه الحالة قبيحة</w:t>
      </w:r>
      <w:r w:rsidR="00A257B7" w:rsidRPr="00282AC9">
        <w:rPr>
          <w:rFonts w:hint="cs"/>
          <w:sz w:val="27"/>
          <w:rtl/>
        </w:rPr>
        <w:t>ٌ</w:t>
      </w:r>
      <w:r w:rsidRPr="00282AC9">
        <w:rPr>
          <w:rFonts w:hint="cs"/>
          <w:sz w:val="27"/>
          <w:rtl/>
        </w:rPr>
        <w:t>. فهكذا الأمر بالنسبة إلى محلّ بحثنا؛ بمعنى أن العبد إذا لم يكن عالماً بتكاليف الشارع، وبسبب عدم علمه لا يبادر إلى امتثالها، لن يكون العبد في مثل هذه الحالة مستحق</w:t>
      </w:r>
      <w:r w:rsidR="00256A30" w:rsidRPr="00282AC9">
        <w:rPr>
          <w:rFonts w:hint="cs"/>
          <w:sz w:val="27"/>
          <w:rtl/>
        </w:rPr>
        <w:t>ّ</w:t>
      </w:r>
      <w:r w:rsidRPr="00282AC9">
        <w:rPr>
          <w:rFonts w:hint="cs"/>
          <w:sz w:val="27"/>
          <w:rtl/>
        </w:rPr>
        <w:t>اً للعقاب، وإن معاقبته من ق</w:t>
      </w:r>
      <w:r w:rsidR="00256A30" w:rsidRPr="00282AC9">
        <w:rPr>
          <w:rFonts w:hint="cs"/>
          <w:sz w:val="27"/>
          <w:rtl/>
        </w:rPr>
        <w:t>ِ</w:t>
      </w:r>
      <w:r w:rsidRPr="00282AC9">
        <w:rPr>
          <w:rFonts w:hint="cs"/>
          <w:sz w:val="27"/>
          <w:rtl/>
        </w:rPr>
        <w:t>ب</w:t>
      </w:r>
      <w:r w:rsidR="00256A30" w:rsidRPr="00282AC9">
        <w:rPr>
          <w:rFonts w:hint="cs"/>
          <w:sz w:val="27"/>
          <w:rtl/>
        </w:rPr>
        <w:t>َ</w:t>
      </w:r>
      <w:r w:rsidRPr="00282AC9">
        <w:rPr>
          <w:rFonts w:hint="cs"/>
          <w:sz w:val="27"/>
          <w:rtl/>
        </w:rPr>
        <w:t>ل الشارع قبيحة</w:t>
      </w:r>
      <w:r w:rsidR="00256A30" w:rsidRPr="00282AC9">
        <w:rPr>
          <w:rFonts w:hint="cs"/>
          <w:sz w:val="27"/>
          <w:rtl/>
        </w:rPr>
        <w:t>ٌ</w:t>
      </w:r>
      <w:r w:rsidRPr="00282AC9">
        <w:rPr>
          <w:rFonts w:hint="cs"/>
          <w:sz w:val="27"/>
          <w:rtl/>
        </w:rPr>
        <w:t>. في حين أن هذا الاستدلال خاطئ</w:t>
      </w:r>
      <w:r w:rsidR="00256A30" w:rsidRPr="00282AC9">
        <w:rPr>
          <w:rFonts w:hint="cs"/>
          <w:sz w:val="27"/>
          <w:rtl/>
        </w:rPr>
        <w:t>ٌ</w:t>
      </w:r>
      <w:r w:rsidRPr="00282AC9">
        <w:rPr>
          <w:rFonts w:hint="cs"/>
          <w:sz w:val="27"/>
          <w:rtl/>
        </w:rPr>
        <w:t xml:space="preserve"> من الأساس</w:t>
      </w:r>
      <w:r w:rsidRPr="00282AC9">
        <w:rPr>
          <w:sz w:val="27"/>
          <w:vertAlign w:val="superscript"/>
          <w:rtl/>
        </w:rPr>
        <w:t>(</w:t>
      </w:r>
      <w:r w:rsidRPr="00282AC9">
        <w:rPr>
          <w:rStyle w:val="af9"/>
          <w:sz w:val="27"/>
          <w:rtl/>
        </w:rPr>
        <w:endnoteReference w:id="627"/>
      </w:r>
      <w:r w:rsidRPr="00282AC9">
        <w:rPr>
          <w:sz w:val="27"/>
          <w:vertAlign w:val="superscript"/>
          <w:rtl/>
        </w:rPr>
        <w:t>)</w:t>
      </w:r>
      <w:r w:rsidR="00256A30" w:rsidRPr="00282AC9">
        <w:rPr>
          <w:rFonts w:hint="cs"/>
          <w:sz w:val="27"/>
          <w:rtl/>
        </w:rPr>
        <w:t xml:space="preserve">؛ </w:t>
      </w:r>
      <w:r w:rsidRPr="00282AC9">
        <w:rPr>
          <w:rFonts w:hint="cs"/>
          <w:sz w:val="27"/>
          <w:rtl/>
        </w:rPr>
        <w:t>وذلك لأنه يقوم على أساس تفكير</w:t>
      </w:r>
      <w:r w:rsidR="00256A30" w:rsidRPr="00282AC9">
        <w:rPr>
          <w:rFonts w:hint="cs"/>
          <w:sz w:val="27"/>
          <w:rtl/>
        </w:rPr>
        <w:t>ٍ</w:t>
      </w:r>
      <w:r w:rsidRPr="00282AC9">
        <w:rPr>
          <w:rFonts w:hint="cs"/>
          <w:sz w:val="27"/>
          <w:rtl/>
        </w:rPr>
        <w:t xml:space="preserve"> باطل</w:t>
      </w:r>
      <w:r w:rsidR="00256A30" w:rsidRPr="00282AC9">
        <w:rPr>
          <w:rFonts w:hint="cs"/>
          <w:sz w:val="27"/>
          <w:rtl/>
        </w:rPr>
        <w:t>،</w:t>
      </w:r>
      <w:r w:rsidRPr="00282AC9">
        <w:rPr>
          <w:rFonts w:hint="cs"/>
          <w:sz w:val="27"/>
          <w:rtl/>
        </w:rPr>
        <w:t xml:space="preserve"> يساوي بين المولويات</w:t>
      </w:r>
      <w:r w:rsidR="00256A30" w:rsidRPr="00282AC9">
        <w:rPr>
          <w:rFonts w:hint="cs"/>
          <w:sz w:val="27"/>
          <w:rtl/>
        </w:rPr>
        <w:t>،</w:t>
      </w:r>
      <w:r w:rsidRPr="00282AC9">
        <w:rPr>
          <w:rFonts w:hint="cs"/>
          <w:sz w:val="27"/>
          <w:rtl/>
        </w:rPr>
        <w:t xml:space="preserve"> ويرى لها معنى واحداً، ولا يرى ف</w:t>
      </w:r>
      <w:r w:rsidR="00256A30" w:rsidRPr="00282AC9">
        <w:rPr>
          <w:rFonts w:hint="cs"/>
          <w:sz w:val="27"/>
          <w:rtl/>
        </w:rPr>
        <w:t>َ</w:t>
      </w:r>
      <w:r w:rsidRPr="00282AC9">
        <w:rPr>
          <w:rFonts w:hint="cs"/>
          <w:sz w:val="27"/>
          <w:rtl/>
        </w:rPr>
        <w:t>ر</w:t>
      </w:r>
      <w:r w:rsidR="00256A30" w:rsidRPr="00282AC9">
        <w:rPr>
          <w:rFonts w:hint="cs"/>
          <w:sz w:val="27"/>
          <w:rtl/>
        </w:rPr>
        <w:t>ْ</w:t>
      </w:r>
      <w:r w:rsidRPr="00282AC9">
        <w:rPr>
          <w:rFonts w:hint="cs"/>
          <w:sz w:val="27"/>
          <w:rtl/>
        </w:rPr>
        <w:t>قاً بين المولى الحقيقي</w:t>
      </w:r>
      <w:r w:rsidR="00256A30" w:rsidRPr="00282AC9">
        <w:rPr>
          <w:rFonts w:hint="cs"/>
          <w:sz w:val="27"/>
          <w:rtl/>
        </w:rPr>
        <w:t>ّ</w:t>
      </w:r>
      <w:r w:rsidRPr="00282AC9">
        <w:rPr>
          <w:rFonts w:hint="cs"/>
          <w:sz w:val="27"/>
          <w:rtl/>
        </w:rPr>
        <w:t xml:space="preserve"> والمولى الع</w:t>
      </w:r>
      <w:r w:rsidR="00256A30" w:rsidRPr="00282AC9">
        <w:rPr>
          <w:rFonts w:hint="cs"/>
          <w:sz w:val="27"/>
          <w:rtl/>
        </w:rPr>
        <w:t>ُ</w:t>
      </w:r>
      <w:r w:rsidRPr="00282AC9">
        <w:rPr>
          <w:rFonts w:hint="cs"/>
          <w:sz w:val="27"/>
          <w:rtl/>
        </w:rPr>
        <w:t>ر</w:t>
      </w:r>
      <w:r w:rsidR="00256A30" w:rsidRPr="00282AC9">
        <w:rPr>
          <w:rFonts w:hint="cs"/>
          <w:sz w:val="27"/>
          <w:rtl/>
        </w:rPr>
        <w:t>ْ</w:t>
      </w:r>
      <w:r w:rsidRPr="00282AC9">
        <w:rPr>
          <w:rFonts w:hint="cs"/>
          <w:sz w:val="27"/>
          <w:rtl/>
        </w:rPr>
        <w:t>في</w:t>
      </w:r>
      <w:r w:rsidR="00256A30" w:rsidRPr="00282AC9">
        <w:rPr>
          <w:rFonts w:hint="cs"/>
          <w:sz w:val="27"/>
          <w:rtl/>
        </w:rPr>
        <w:t>.</w:t>
      </w:r>
      <w:r w:rsidRPr="00282AC9">
        <w:rPr>
          <w:rFonts w:hint="cs"/>
          <w:sz w:val="27"/>
          <w:rtl/>
        </w:rPr>
        <w:t xml:space="preserve"> ومن هنا تم</w:t>
      </w:r>
      <w:r w:rsidR="00256A30" w:rsidRPr="00282AC9">
        <w:rPr>
          <w:rFonts w:hint="cs"/>
          <w:sz w:val="27"/>
          <w:rtl/>
        </w:rPr>
        <w:t>ّ</w:t>
      </w:r>
      <w:r w:rsidRPr="00282AC9">
        <w:rPr>
          <w:rFonts w:hint="cs"/>
          <w:sz w:val="27"/>
          <w:rtl/>
        </w:rPr>
        <w:t xml:space="preserve"> قياس مقتضيات الموالي الع</w:t>
      </w:r>
      <w:r w:rsidR="00256A30" w:rsidRPr="00282AC9">
        <w:rPr>
          <w:rFonts w:hint="cs"/>
          <w:sz w:val="27"/>
          <w:rtl/>
        </w:rPr>
        <w:t>ُ</w:t>
      </w:r>
      <w:r w:rsidRPr="00282AC9">
        <w:rPr>
          <w:rFonts w:hint="cs"/>
          <w:sz w:val="27"/>
          <w:rtl/>
        </w:rPr>
        <w:t>ر</w:t>
      </w:r>
      <w:r w:rsidR="00256A30" w:rsidRPr="00282AC9">
        <w:rPr>
          <w:rFonts w:hint="cs"/>
          <w:sz w:val="27"/>
          <w:rtl/>
        </w:rPr>
        <w:t>ْ</w:t>
      </w:r>
      <w:r w:rsidRPr="00282AC9">
        <w:rPr>
          <w:rFonts w:hint="cs"/>
          <w:sz w:val="27"/>
          <w:rtl/>
        </w:rPr>
        <w:t>فيين</w:t>
      </w:r>
      <w:r w:rsidR="00256A30" w:rsidRPr="00282AC9">
        <w:rPr>
          <w:rFonts w:hint="cs"/>
          <w:sz w:val="27"/>
          <w:rtl/>
        </w:rPr>
        <w:t>،</w:t>
      </w:r>
      <w:r w:rsidRPr="00282AC9">
        <w:rPr>
          <w:rFonts w:hint="cs"/>
          <w:sz w:val="27"/>
          <w:rtl/>
        </w:rPr>
        <w:t xml:space="preserve"> وتعميمها على المولى الحقيقي، في حين أن مولوية الله تعالى</w:t>
      </w:r>
      <w:r w:rsidR="00256A30" w:rsidRPr="00282AC9">
        <w:rPr>
          <w:rFonts w:hint="cs"/>
          <w:sz w:val="27"/>
          <w:rtl/>
        </w:rPr>
        <w:t>،</w:t>
      </w:r>
      <w:r w:rsidRPr="00282AC9">
        <w:rPr>
          <w:rFonts w:hint="cs"/>
          <w:sz w:val="27"/>
          <w:rtl/>
        </w:rPr>
        <w:t xml:space="preserve"> الثابتة بملاك المالكية والمنعمية المطلقة</w:t>
      </w:r>
      <w:r w:rsidR="00256A30" w:rsidRPr="00282AC9">
        <w:rPr>
          <w:rFonts w:hint="cs"/>
          <w:sz w:val="27"/>
          <w:rtl/>
        </w:rPr>
        <w:t>،</w:t>
      </w:r>
      <w:r w:rsidRPr="00282AC9">
        <w:rPr>
          <w:rFonts w:hint="cs"/>
          <w:sz w:val="27"/>
          <w:rtl/>
        </w:rPr>
        <w:t xml:space="preserve"> تختلف عن المولوية المجعولة بجعل جاعل</w:t>
      </w:r>
      <w:r w:rsidR="00256A30" w:rsidRPr="00282AC9">
        <w:rPr>
          <w:rFonts w:hint="cs"/>
          <w:sz w:val="27"/>
          <w:rtl/>
        </w:rPr>
        <w:t>ٍ،</w:t>
      </w:r>
      <w:r w:rsidRPr="00282AC9">
        <w:rPr>
          <w:rFonts w:hint="cs"/>
          <w:sz w:val="27"/>
          <w:rtl/>
        </w:rPr>
        <w:t xml:space="preserve"> من قبيل: المولوية بالنسبة إلى الموالي الع</w:t>
      </w:r>
      <w:r w:rsidR="00256A30" w:rsidRPr="00282AC9">
        <w:rPr>
          <w:rFonts w:hint="cs"/>
          <w:sz w:val="27"/>
          <w:rtl/>
        </w:rPr>
        <w:t>ُ</w:t>
      </w:r>
      <w:r w:rsidRPr="00282AC9">
        <w:rPr>
          <w:rFonts w:hint="cs"/>
          <w:sz w:val="27"/>
          <w:rtl/>
        </w:rPr>
        <w:t>ر</w:t>
      </w:r>
      <w:r w:rsidR="00256A30" w:rsidRPr="00282AC9">
        <w:rPr>
          <w:rFonts w:hint="cs"/>
          <w:sz w:val="27"/>
          <w:rtl/>
        </w:rPr>
        <w:t>ْ</w:t>
      </w:r>
      <w:r w:rsidRPr="00282AC9">
        <w:rPr>
          <w:rFonts w:hint="cs"/>
          <w:sz w:val="27"/>
          <w:rtl/>
        </w:rPr>
        <w:t>فيين</w:t>
      </w:r>
      <w:r w:rsidR="00256A30" w:rsidRPr="00282AC9">
        <w:rPr>
          <w:rFonts w:hint="cs"/>
          <w:sz w:val="27"/>
          <w:rtl/>
        </w:rPr>
        <w:t>،</w:t>
      </w:r>
      <w:r w:rsidRPr="00282AC9">
        <w:rPr>
          <w:rFonts w:hint="cs"/>
          <w:sz w:val="27"/>
          <w:rtl/>
        </w:rPr>
        <w:t xml:space="preserve"> المجعولة لهم من ق</w:t>
      </w:r>
      <w:r w:rsidR="00256A30" w:rsidRPr="00282AC9">
        <w:rPr>
          <w:rFonts w:hint="cs"/>
          <w:sz w:val="27"/>
          <w:rtl/>
        </w:rPr>
        <w:t>ِ</w:t>
      </w:r>
      <w:r w:rsidRPr="00282AC9">
        <w:rPr>
          <w:rFonts w:hint="cs"/>
          <w:sz w:val="27"/>
          <w:rtl/>
        </w:rPr>
        <w:t>ب</w:t>
      </w:r>
      <w:r w:rsidR="00256A30" w:rsidRPr="00282AC9">
        <w:rPr>
          <w:rFonts w:hint="cs"/>
          <w:sz w:val="27"/>
          <w:rtl/>
        </w:rPr>
        <w:t>َ</w:t>
      </w:r>
      <w:r w:rsidRPr="00282AC9">
        <w:rPr>
          <w:rFonts w:hint="cs"/>
          <w:sz w:val="27"/>
          <w:rtl/>
        </w:rPr>
        <w:t>ل العُر</w:t>
      </w:r>
      <w:r w:rsidR="00256A30" w:rsidRPr="00282AC9">
        <w:rPr>
          <w:rFonts w:hint="cs"/>
          <w:sz w:val="27"/>
          <w:rtl/>
        </w:rPr>
        <w:t>ْ</w:t>
      </w:r>
      <w:r w:rsidRPr="00282AC9">
        <w:rPr>
          <w:rFonts w:hint="cs"/>
          <w:sz w:val="27"/>
          <w:rtl/>
        </w:rPr>
        <w:t>ف</w:t>
      </w:r>
      <w:r w:rsidR="00256A30" w:rsidRPr="00282AC9">
        <w:rPr>
          <w:rFonts w:hint="cs"/>
          <w:sz w:val="27"/>
          <w:rtl/>
        </w:rPr>
        <w:t>.</w:t>
      </w:r>
      <w:r w:rsidRPr="00282AC9">
        <w:rPr>
          <w:rFonts w:hint="cs"/>
          <w:sz w:val="27"/>
          <w:rtl/>
        </w:rPr>
        <w:t xml:space="preserve"> وعليه</w:t>
      </w:r>
      <w:r w:rsidR="00256A30" w:rsidRPr="00282AC9">
        <w:rPr>
          <w:rFonts w:hint="cs"/>
          <w:sz w:val="27"/>
          <w:rtl/>
        </w:rPr>
        <w:t>،</w:t>
      </w:r>
      <w:r w:rsidRPr="00282AC9">
        <w:rPr>
          <w:rFonts w:hint="cs"/>
          <w:sz w:val="27"/>
          <w:rtl/>
        </w:rPr>
        <w:t xml:space="preserve"> يجب التفريق بين هاتين المولويتين. ومن هنا نقول: إن المولوية الع</w:t>
      </w:r>
      <w:r w:rsidR="00256A30" w:rsidRPr="00282AC9">
        <w:rPr>
          <w:rFonts w:hint="cs"/>
          <w:sz w:val="27"/>
          <w:rtl/>
        </w:rPr>
        <w:t>ُ</w:t>
      </w:r>
      <w:r w:rsidRPr="00282AC9">
        <w:rPr>
          <w:rFonts w:hint="cs"/>
          <w:sz w:val="27"/>
          <w:rtl/>
        </w:rPr>
        <w:t>ر</w:t>
      </w:r>
      <w:r w:rsidR="00256A30" w:rsidRPr="00282AC9">
        <w:rPr>
          <w:rFonts w:hint="cs"/>
          <w:sz w:val="27"/>
          <w:rtl/>
        </w:rPr>
        <w:t>ْ</w:t>
      </w:r>
      <w:r w:rsidRPr="00282AC9">
        <w:rPr>
          <w:rFonts w:hint="cs"/>
          <w:sz w:val="27"/>
          <w:rtl/>
        </w:rPr>
        <w:t>فية تجري في ظرف التكاليف المقطوعة فقط</w:t>
      </w:r>
      <w:r w:rsidR="00256A30" w:rsidRPr="00282AC9">
        <w:rPr>
          <w:rFonts w:hint="cs"/>
          <w:sz w:val="27"/>
          <w:rtl/>
        </w:rPr>
        <w:t>؛</w:t>
      </w:r>
      <w:r w:rsidRPr="00282AC9">
        <w:rPr>
          <w:rFonts w:hint="cs"/>
          <w:sz w:val="27"/>
          <w:rtl/>
        </w:rPr>
        <w:t xml:space="preserve"> وأما المولوية غير المجعولة فيتم</w:t>
      </w:r>
      <w:r w:rsidR="00256A30" w:rsidRPr="00282AC9">
        <w:rPr>
          <w:rFonts w:hint="cs"/>
          <w:sz w:val="27"/>
          <w:rtl/>
        </w:rPr>
        <w:t>ّ</w:t>
      </w:r>
      <w:r w:rsidRPr="00282AC9">
        <w:rPr>
          <w:rFonts w:hint="cs"/>
          <w:sz w:val="27"/>
          <w:rtl/>
        </w:rPr>
        <w:t xml:space="preserve"> تعريفها على أساس اختلاف حدود ودائرة حق</w:t>
      </w:r>
      <w:r w:rsidR="00256A30" w:rsidRPr="00282AC9">
        <w:rPr>
          <w:rFonts w:hint="cs"/>
          <w:sz w:val="27"/>
          <w:rtl/>
        </w:rPr>
        <w:t>ّ</w:t>
      </w:r>
      <w:r w:rsidRPr="00282AC9">
        <w:rPr>
          <w:rFonts w:hint="cs"/>
          <w:sz w:val="27"/>
          <w:rtl/>
        </w:rPr>
        <w:t xml:space="preserve"> المولى تجاه العبد</w:t>
      </w:r>
      <w:r w:rsidR="00256A30" w:rsidRPr="00282AC9">
        <w:rPr>
          <w:rFonts w:hint="cs"/>
          <w:sz w:val="27"/>
          <w:rtl/>
        </w:rPr>
        <w:t>،</w:t>
      </w:r>
      <w:r w:rsidRPr="00282AC9">
        <w:rPr>
          <w:rFonts w:hint="cs"/>
          <w:sz w:val="27"/>
          <w:rtl/>
        </w:rPr>
        <w:t xml:space="preserve"> بلحاظ منعمي</w:t>
      </w:r>
      <w:r w:rsidR="00256A30" w:rsidRPr="00282AC9">
        <w:rPr>
          <w:rFonts w:hint="cs"/>
          <w:sz w:val="27"/>
          <w:rtl/>
        </w:rPr>
        <w:t>ّ</w:t>
      </w:r>
      <w:r w:rsidRPr="00282AC9">
        <w:rPr>
          <w:rFonts w:hint="cs"/>
          <w:sz w:val="27"/>
          <w:rtl/>
        </w:rPr>
        <w:t>ته ومالكي</w:t>
      </w:r>
      <w:r w:rsidR="00256A30" w:rsidRPr="00282AC9">
        <w:rPr>
          <w:rFonts w:hint="cs"/>
          <w:sz w:val="27"/>
          <w:rtl/>
        </w:rPr>
        <w:t>ّ</w:t>
      </w:r>
      <w:r w:rsidRPr="00282AC9">
        <w:rPr>
          <w:rFonts w:hint="cs"/>
          <w:sz w:val="27"/>
          <w:rtl/>
        </w:rPr>
        <w:t>ته</w:t>
      </w:r>
      <w:r w:rsidR="00256A30" w:rsidRPr="00282AC9">
        <w:rPr>
          <w:rFonts w:hint="cs"/>
          <w:sz w:val="27"/>
          <w:rtl/>
        </w:rPr>
        <w:t xml:space="preserve">. </w:t>
      </w:r>
      <w:r w:rsidRPr="00282AC9">
        <w:rPr>
          <w:rFonts w:hint="cs"/>
          <w:sz w:val="27"/>
          <w:rtl/>
        </w:rPr>
        <w:t>وعلى هذا الأساس</w:t>
      </w:r>
      <w:r w:rsidR="00256A30" w:rsidRPr="00282AC9">
        <w:rPr>
          <w:rFonts w:hint="cs"/>
          <w:sz w:val="27"/>
          <w:rtl/>
        </w:rPr>
        <w:t>،</w:t>
      </w:r>
      <w:r w:rsidRPr="00282AC9">
        <w:rPr>
          <w:rFonts w:hint="cs"/>
          <w:sz w:val="27"/>
          <w:rtl/>
        </w:rPr>
        <w:t xml:space="preserve"> فإن تحديد وضيق مولوي</w:t>
      </w:r>
      <w:r w:rsidR="00256A30" w:rsidRPr="00282AC9">
        <w:rPr>
          <w:rFonts w:hint="cs"/>
          <w:sz w:val="27"/>
          <w:rtl/>
        </w:rPr>
        <w:t>ّ</w:t>
      </w:r>
      <w:r w:rsidRPr="00282AC9">
        <w:rPr>
          <w:rFonts w:hint="cs"/>
          <w:sz w:val="27"/>
          <w:rtl/>
        </w:rPr>
        <w:t>ة</w:t>
      </w:r>
      <w:r w:rsidR="00256A30" w:rsidRPr="00282AC9">
        <w:rPr>
          <w:rFonts w:hint="cs"/>
          <w:sz w:val="27"/>
          <w:rtl/>
        </w:rPr>
        <w:t>ٍ</w:t>
      </w:r>
      <w:r w:rsidRPr="00282AC9">
        <w:rPr>
          <w:rFonts w:hint="cs"/>
          <w:sz w:val="27"/>
          <w:rtl/>
        </w:rPr>
        <w:t xml:space="preserve"> هنا لا يؤدّي بالضرورة إلى تحديد وتضييق مولوي</w:t>
      </w:r>
      <w:r w:rsidR="00256A30" w:rsidRPr="00282AC9">
        <w:rPr>
          <w:rFonts w:hint="cs"/>
          <w:sz w:val="27"/>
          <w:rtl/>
        </w:rPr>
        <w:t>ّ</w:t>
      </w:r>
      <w:r w:rsidRPr="00282AC9">
        <w:rPr>
          <w:rFonts w:hint="cs"/>
          <w:sz w:val="27"/>
          <w:rtl/>
        </w:rPr>
        <w:t>ة</w:t>
      </w:r>
      <w:r w:rsidR="00256A30" w:rsidRPr="00282AC9">
        <w:rPr>
          <w:rFonts w:hint="cs"/>
          <w:sz w:val="27"/>
          <w:rtl/>
        </w:rPr>
        <w:t>ٍ</w:t>
      </w:r>
      <w:r w:rsidRPr="00282AC9">
        <w:rPr>
          <w:rFonts w:hint="cs"/>
          <w:sz w:val="27"/>
          <w:rtl/>
        </w:rPr>
        <w:t xml:space="preserve"> هناك</w:t>
      </w:r>
      <w:r w:rsidRPr="00282AC9">
        <w:rPr>
          <w:sz w:val="27"/>
          <w:vertAlign w:val="superscript"/>
          <w:rtl/>
        </w:rPr>
        <w:t>(</w:t>
      </w:r>
      <w:r w:rsidRPr="00282AC9">
        <w:rPr>
          <w:rStyle w:val="af9"/>
          <w:sz w:val="27"/>
          <w:rtl/>
        </w:rPr>
        <w:endnoteReference w:id="628"/>
      </w:r>
      <w:r w:rsidRPr="00282AC9">
        <w:rPr>
          <w:sz w:val="27"/>
          <w:vertAlign w:val="superscript"/>
          <w:rtl/>
        </w:rPr>
        <w:t>)</w:t>
      </w:r>
      <w:r w:rsidRPr="00282AC9">
        <w:rPr>
          <w:rFonts w:hint="cs"/>
          <w:sz w:val="27"/>
          <w:rtl/>
        </w:rPr>
        <w:t>.</w:t>
      </w:r>
    </w:p>
    <w:p w:rsidR="00F066C8" w:rsidRPr="00282AC9" w:rsidRDefault="00F066C8" w:rsidP="00F066C8">
      <w:pPr>
        <w:spacing w:line="420" w:lineRule="exact"/>
        <w:rPr>
          <w:rtl/>
        </w:rPr>
      </w:pPr>
    </w:p>
    <w:p w:rsidR="00DA2F6D" w:rsidRPr="00282AC9" w:rsidRDefault="009C1202" w:rsidP="00BD3176">
      <w:pPr>
        <w:pStyle w:val="31"/>
        <w:rPr>
          <w:color w:val="auto"/>
          <w:rtl/>
        </w:rPr>
      </w:pPr>
      <w:r w:rsidRPr="00282AC9">
        <w:rPr>
          <w:rFonts w:hint="cs"/>
          <w:color w:val="auto"/>
          <w:rtl/>
        </w:rPr>
        <w:t xml:space="preserve">2ـ </w:t>
      </w:r>
      <w:r w:rsidR="00DA2F6D" w:rsidRPr="00282AC9">
        <w:rPr>
          <w:rFonts w:hint="cs"/>
          <w:color w:val="auto"/>
          <w:rtl/>
        </w:rPr>
        <w:t>أقسام المولوي</w:t>
      </w:r>
      <w:r w:rsidR="00256A30" w:rsidRPr="00282AC9">
        <w:rPr>
          <w:rFonts w:hint="cs"/>
          <w:color w:val="auto"/>
          <w:rtl/>
        </w:rPr>
        <w:t>ّ</w:t>
      </w:r>
      <w:r w:rsidR="00DA2F6D" w:rsidRPr="00282AC9">
        <w:rPr>
          <w:rFonts w:hint="cs"/>
          <w:color w:val="auto"/>
          <w:rtl/>
        </w:rPr>
        <w:t>ة</w:t>
      </w:r>
    </w:p>
    <w:p w:rsidR="00DA2F6D" w:rsidRPr="00282AC9" w:rsidRDefault="00256A30" w:rsidP="00F066C8">
      <w:pPr>
        <w:rPr>
          <w:sz w:val="27"/>
          <w:rtl/>
        </w:rPr>
      </w:pPr>
      <w:r w:rsidRPr="00282AC9">
        <w:rPr>
          <w:rFonts w:hint="cs"/>
          <w:sz w:val="27"/>
          <w:rtl/>
        </w:rPr>
        <w:t>و</w:t>
      </w:r>
      <w:r w:rsidR="00DA2F6D" w:rsidRPr="00282AC9">
        <w:rPr>
          <w:rFonts w:hint="cs"/>
          <w:sz w:val="27"/>
          <w:rtl/>
        </w:rPr>
        <w:t xml:space="preserve">للمزيد من التوضيح </w:t>
      </w:r>
      <w:r w:rsidR="00674EF5" w:rsidRPr="00282AC9">
        <w:rPr>
          <w:rFonts w:hint="cs"/>
          <w:sz w:val="27"/>
          <w:rtl/>
        </w:rPr>
        <w:t>لا بُدَّ</w:t>
      </w:r>
      <w:r w:rsidR="00DA2F6D" w:rsidRPr="00282AC9">
        <w:rPr>
          <w:rFonts w:hint="cs"/>
          <w:sz w:val="27"/>
          <w:rtl/>
        </w:rPr>
        <w:t xml:space="preserve"> هنا من بيان أقسام المولوي</w:t>
      </w:r>
      <w:r w:rsidRPr="00282AC9">
        <w:rPr>
          <w:rFonts w:hint="cs"/>
          <w:sz w:val="27"/>
          <w:rtl/>
        </w:rPr>
        <w:t>ّ</w:t>
      </w:r>
      <w:r w:rsidR="00DA2F6D" w:rsidRPr="00282AC9">
        <w:rPr>
          <w:rFonts w:hint="cs"/>
          <w:sz w:val="27"/>
          <w:rtl/>
        </w:rPr>
        <w:t>ة</w:t>
      </w:r>
      <w:r w:rsidRPr="00282AC9">
        <w:rPr>
          <w:rFonts w:hint="cs"/>
          <w:sz w:val="27"/>
          <w:rtl/>
        </w:rPr>
        <w:t>،</w:t>
      </w:r>
      <w:r w:rsidR="00DA2F6D" w:rsidRPr="00282AC9">
        <w:rPr>
          <w:rFonts w:hint="cs"/>
          <w:sz w:val="27"/>
          <w:rtl/>
        </w:rPr>
        <w:t xml:space="preserve"> والاختلافات فيما بينها.</w:t>
      </w:r>
    </w:p>
    <w:p w:rsidR="00DA2F6D" w:rsidRPr="00282AC9" w:rsidRDefault="00DA2F6D" w:rsidP="00F066C8">
      <w:pPr>
        <w:rPr>
          <w:sz w:val="27"/>
          <w:rtl/>
        </w:rPr>
      </w:pPr>
      <w:r w:rsidRPr="00282AC9">
        <w:rPr>
          <w:rFonts w:hint="cs"/>
          <w:sz w:val="27"/>
          <w:rtl/>
        </w:rPr>
        <w:t>لقد قسّ</w:t>
      </w:r>
      <w:r w:rsidR="00256A30" w:rsidRPr="00282AC9">
        <w:rPr>
          <w:rFonts w:hint="cs"/>
          <w:sz w:val="27"/>
          <w:rtl/>
        </w:rPr>
        <w:t>َ</w:t>
      </w:r>
      <w:r w:rsidRPr="00282AC9">
        <w:rPr>
          <w:rFonts w:hint="cs"/>
          <w:sz w:val="27"/>
          <w:rtl/>
        </w:rPr>
        <w:t>م السيد الشهيد الصدر المولوية إلى ثلاثة أقسام</w:t>
      </w:r>
      <w:r w:rsidRPr="00282AC9">
        <w:rPr>
          <w:sz w:val="27"/>
          <w:vertAlign w:val="superscript"/>
          <w:rtl/>
        </w:rPr>
        <w:t>(</w:t>
      </w:r>
      <w:r w:rsidRPr="00282AC9">
        <w:rPr>
          <w:rStyle w:val="af9"/>
          <w:sz w:val="27"/>
          <w:rtl/>
        </w:rPr>
        <w:endnoteReference w:id="629"/>
      </w:r>
      <w:r w:rsidRPr="00282AC9">
        <w:rPr>
          <w:sz w:val="27"/>
          <w:vertAlign w:val="superscript"/>
          <w:rtl/>
        </w:rPr>
        <w:t>)</w:t>
      </w:r>
      <w:r w:rsidRPr="00282AC9">
        <w:rPr>
          <w:rFonts w:hint="cs"/>
          <w:sz w:val="27"/>
          <w:rtl/>
        </w:rPr>
        <w:t>، وهي:</w:t>
      </w:r>
    </w:p>
    <w:p w:rsidR="00DA2F6D" w:rsidRPr="00282AC9" w:rsidRDefault="00DA2F6D" w:rsidP="00F066C8">
      <w:pPr>
        <w:rPr>
          <w:sz w:val="27"/>
          <w:rtl/>
        </w:rPr>
      </w:pPr>
      <w:r w:rsidRPr="00282AC9">
        <w:rPr>
          <w:rFonts w:hint="cs"/>
          <w:b/>
          <w:bCs/>
          <w:sz w:val="27"/>
          <w:rtl/>
        </w:rPr>
        <w:t>1ـ المولوية الذاتي</w:t>
      </w:r>
      <w:r w:rsidR="00256A30" w:rsidRPr="00282AC9">
        <w:rPr>
          <w:rFonts w:hint="cs"/>
          <w:b/>
          <w:bCs/>
          <w:sz w:val="27"/>
          <w:rtl/>
        </w:rPr>
        <w:t>ّ</w:t>
      </w:r>
      <w:r w:rsidRPr="00282AC9">
        <w:rPr>
          <w:rFonts w:hint="cs"/>
          <w:b/>
          <w:bCs/>
          <w:sz w:val="27"/>
          <w:rtl/>
        </w:rPr>
        <w:t>ة:</w:t>
      </w:r>
      <w:r w:rsidRPr="00282AC9">
        <w:rPr>
          <w:rFonts w:hint="cs"/>
          <w:sz w:val="27"/>
          <w:rtl/>
        </w:rPr>
        <w:t xml:space="preserve"> والمراد منها ه</w:t>
      </w:r>
      <w:r w:rsidR="00B36D77" w:rsidRPr="00282AC9">
        <w:rPr>
          <w:rFonts w:hint="cs"/>
          <w:sz w:val="27"/>
          <w:rtl/>
        </w:rPr>
        <w:t>و</w:t>
      </w:r>
      <w:r w:rsidRPr="00282AC9">
        <w:rPr>
          <w:rFonts w:hint="cs"/>
          <w:sz w:val="27"/>
          <w:rtl/>
        </w:rPr>
        <w:t xml:space="preserve"> المولوي</w:t>
      </w:r>
      <w:r w:rsidR="00B36D77" w:rsidRPr="00282AC9">
        <w:rPr>
          <w:rFonts w:hint="cs"/>
          <w:sz w:val="27"/>
          <w:rtl/>
        </w:rPr>
        <w:t>ّ</w:t>
      </w:r>
      <w:r w:rsidRPr="00282AC9">
        <w:rPr>
          <w:rFonts w:hint="cs"/>
          <w:sz w:val="27"/>
          <w:rtl/>
        </w:rPr>
        <w:t>ة التي تثبت دون أيّ جعل</w:t>
      </w:r>
      <w:r w:rsidR="00B36D77" w:rsidRPr="00282AC9">
        <w:rPr>
          <w:rFonts w:hint="cs"/>
          <w:sz w:val="27"/>
          <w:rtl/>
        </w:rPr>
        <w:t>ٍ</w:t>
      </w:r>
      <w:r w:rsidRPr="00282AC9">
        <w:rPr>
          <w:rFonts w:hint="cs"/>
          <w:sz w:val="27"/>
          <w:rtl/>
        </w:rPr>
        <w:t xml:space="preserve"> واعتبار؛ فهي في الحقيقة أمر</w:t>
      </w:r>
      <w:r w:rsidR="00B36D77" w:rsidRPr="00282AC9">
        <w:rPr>
          <w:rFonts w:hint="cs"/>
          <w:sz w:val="27"/>
          <w:rtl/>
        </w:rPr>
        <w:t>ٌ</w:t>
      </w:r>
      <w:r w:rsidRPr="00282AC9">
        <w:rPr>
          <w:rFonts w:hint="cs"/>
          <w:sz w:val="27"/>
          <w:rtl/>
        </w:rPr>
        <w:t xml:space="preserve"> واقعي، وتقع على مستوى واقعي</w:t>
      </w:r>
      <w:r w:rsidR="00B36D77" w:rsidRPr="00282AC9">
        <w:rPr>
          <w:rFonts w:hint="cs"/>
          <w:sz w:val="27"/>
          <w:rtl/>
        </w:rPr>
        <w:t>ّ</w:t>
      </w:r>
      <w:r w:rsidRPr="00282AC9">
        <w:rPr>
          <w:rFonts w:hint="cs"/>
          <w:sz w:val="27"/>
          <w:rtl/>
        </w:rPr>
        <w:t>ات اللوح. وهذا النوع من المولوية ـ بحكم مالكي</w:t>
      </w:r>
      <w:r w:rsidR="00B36D77" w:rsidRPr="00282AC9">
        <w:rPr>
          <w:rFonts w:hint="cs"/>
          <w:sz w:val="27"/>
          <w:rtl/>
        </w:rPr>
        <w:t>ّ</w:t>
      </w:r>
      <w:r w:rsidRPr="00282AC9">
        <w:rPr>
          <w:rFonts w:hint="cs"/>
          <w:sz w:val="27"/>
          <w:rtl/>
        </w:rPr>
        <w:t xml:space="preserve">ة الله </w:t>
      </w:r>
      <w:r w:rsidR="00B36D77" w:rsidRPr="00282AC9">
        <w:rPr>
          <w:rFonts w:hint="cs"/>
          <w:sz w:val="27"/>
          <w:rtl/>
        </w:rPr>
        <w:t>ل</w:t>
      </w:r>
      <w:r w:rsidRPr="00282AC9">
        <w:rPr>
          <w:rFonts w:hint="cs"/>
          <w:sz w:val="27"/>
          <w:rtl/>
        </w:rPr>
        <w:t>جميع العالم</w:t>
      </w:r>
      <w:r w:rsidR="00B36D77" w:rsidRPr="00282AC9">
        <w:rPr>
          <w:rFonts w:hint="cs"/>
          <w:sz w:val="27"/>
          <w:rtl/>
        </w:rPr>
        <w:t>،</w:t>
      </w:r>
      <w:r w:rsidRPr="00282AC9">
        <w:rPr>
          <w:rFonts w:hint="cs"/>
          <w:sz w:val="27"/>
          <w:rtl/>
        </w:rPr>
        <w:t xml:space="preserve"> والثابتة له بملاك خالقي</w:t>
      </w:r>
      <w:r w:rsidR="00B36D77" w:rsidRPr="00282AC9">
        <w:rPr>
          <w:rFonts w:hint="cs"/>
          <w:sz w:val="27"/>
          <w:rtl/>
        </w:rPr>
        <w:t>ّ</w:t>
      </w:r>
      <w:r w:rsidRPr="00282AC9">
        <w:rPr>
          <w:rFonts w:hint="cs"/>
          <w:sz w:val="27"/>
          <w:rtl/>
        </w:rPr>
        <w:t xml:space="preserve">ته ـ تختصّ بالله سبحانه </w:t>
      </w:r>
      <w:r w:rsidRPr="00282AC9">
        <w:rPr>
          <w:rFonts w:hint="cs"/>
          <w:sz w:val="27"/>
          <w:rtl/>
        </w:rPr>
        <w:lastRenderedPageBreak/>
        <w:t>وتعالى. وبعبارة</w:t>
      </w:r>
      <w:r w:rsidR="00B36D77" w:rsidRPr="00282AC9">
        <w:rPr>
          <w:rFonts w:hint="cs"/>
          <w:sz w:val="27"/>
          <w:rtl/>
        </w:rPr>
        <w:t>ٍ</w:t>
      </w:r>
      <w:r w:rsidRPr="00282AC9">
        <w:rPr>
          <w:rFonts w:hint="cs"/>
          <w:sz w:val="27"/>
          <w:rtl/>
        </w:rPr>
        <w:t xml:space="preserve"> أخرى: حيث </w:t>
      </w:r>
      <w:r w:rsidR="00B36D77" w:rsidRPr="00282AC9">
        <w:rPr>
          <w:rFonts w:hint="cs"/>
          <w:sz w:val="27"/>
          <w:rtl/>
        </w:rPr>
        <w:t>إ</w:t>
      </w:r>
      <w:r w:rsidRPr="00282AC9">
        <w:rPr>
          <w:rFonts w:hint="cs"/>
          <w:sz w:val="27"/>
          <w:rtl/>
        </w:rPr>
        <w:t>ن الله تعالى</w:t>
      </w:r>
      <w:r w:rsidR="00B36D77" w:rsidRPr="00282AC9">
        <w:rPr>
          <w:rFonts w:hint="cs"/>
          <w:sz w:val="27"/>
          <w:rtl/>
        </w:rPr>
        <w:t>؛</w:t>
      </w:r>
      <w:r w:rsidRPr="00282AC9">
        <w:rPr>
          <w:rFonts w:hint="cs"/>
          <w:sz w:val="27"/>
          <w:rtl/>
        </w:rPr>
        <w:t xml:space="preserve"> بحكم خالقي</w:t>
      </w:r>
      <w:r w:rsidR="00B36D77" w:rsidRPr="00282AC9">
        <w:rPr>
          <w:rFonts w:hint="cs"/>
          <w:sz w:val="27"/>
          <w:rtl/>
        </w:rPr>
        <w:t>ّ</w:t>
      </w:r>
      <w:r w:rsidRPr="00282AC9">
        <w:rPr>
          <w:rFonts w:hint="cs"/>
          <w:sz w:val="27"/>
          <w:rtl/>
        </w:rPr>
        <w:t>ته</w:t>
      </w:r>
      <w:r w:rsidR="00B36D77" w:rsidRPr="00282AC9">
        <w:rPr>
          <w:rFonts w:hint="cs"/>
          <w:sz w:val="27"/>
          <w:rtl/>
        </w:rPr>
        <w:t>،</w:t>
      </w:r>
      <w:r w:rsidRPr="00282AC9">
        <w:rPr>
          <w:rFonts w:hint="cs"/>
          <w:sz w:val="27"/>
          <w:rtl/>
        </w:rPr>
        <w:t xml:space="preserve"> مالك لجميع العالم تكون مولوي</w:t>
      </w:r>
      <w:r w:rsidR="00B36D77" w:rsidRPr="00282AC9">
        <w:rPr>
          <w:rFonts w:hint="cs"/>
          <w:sz w:val="27"/>
          <w:rtl/>
        </w:rPr>
        <w:t>ّ</w:t>
      </w:r>
      <w:r w:rsidRPr="00282AC9">
        <w:rPr>
          <w:rFonts w:hint="cs"/>
          <w:sz w:val="27"/>
          <w:rtl/>
        </w:rPr>
        <w:t>ته على العالم مولوي</w:t>
      </w:r>
      <w:r w:rsidR="00B36D77" w:rsidRPr="00282AC9">
        <w:rPr>
          <w:rFonts w:hint="cs"/>
          <w:sz w:val="27"/>
          <w:rtl/>
        </w:rPr>
        <w:t>ّ</w:t>
      </w:r>
      <w:r w:rsidRPr="00282AC9">
        <w:rPr>
          <w:rFonts w:hint="cs"/>
          <w:sz w:val="27"/>
          <w:rtl/>
        </w:rPr>
        <w:t>ة ذاتية.</w:t>
      </w:r>
    </w:p>
    <w:p w:rsidR="00DA2F6D" w:rsidRPr="00282AC9" w:rsidRDefault="00DA2F6D" w:rsidP="00F066C8">
      <w:pPr>
        <w:rPr>
          <w:sz w:val="27"/>
          <w:rtl/>
        </w:rPr>
      </w:pPr>
      <w:r w:rsidRPr="00282AC9">
        <w:rPr>
          <w:rFonts w:hint="cs"/>
          <w:sz w:val="27"/>
          <w:rtl/>
        </w:rPr>
        <w:t>وهذا الأمر يثبت</w:t>
      </w:r>
      <w:r w:rsidR="00B36D77" w:rsidRPr="00282AC9">
        <w:rPr>
          <w:rFonts w:hint="cs"/>
          <w:sz w:val="27"/>
          <w:rtl/>
        </w:rPr>
        <w:t>،</w:t>
      </w:r>
      <w:r w:rsidRPr="00282AC9">
        <w:rPr>
          <w:rFonts w:hint="cs"/>
          <w:sz w:val="27"/>
          <w:rtl/>
        </w:rPr>
        <w:t xml:space="preserve"> ويمكن إدراكه</w:t>
      </w:r>
      <w:r w:rsidR="00B36D77" w:rsidRPr="00282AC9">
        <w:rPr>
          <w:rFonts w:hint="cs"/>
          <w:sz w:val="27"/>
          <w:rtl/>
        </w:rPr>
        <w:t>،</w:t>
      </w:r>
      <w:r w:rsidRPr="00282AC9">
        <w:rPr>
          <w:rFonts w:hint="cs"/>
          <w:sz w:val="27"/>
          <w:rtl/>
        </w:rPr>
        <w:t xml:space="preserve"> دون أخذ ملاك شكر المنعم ـ الذي هو أحد الملاكات</w:t>
      </w:r>
      <w:r w:rsidR="00B36D77" w:rsidRPr="00282AC9">
        <w:rPr>
          <w:rFonts w:hint="cs"/>
          <w:sz w:val="27"/>
          <w:rtl/>
        </w:rPr>
        <w:t>،</w:t>
      </w:r>
      <w:r w:rsidRPr="00282AC9">
        <w:rPr>
          <w:rFonts w:hint="cs"/>
          <w:sz w:val="27"/>
          <w:rtl/>
        </w:rPr>
        <w:t xml:space="preserve"> التي أثبت الحكماء بواسطتها ثبوت المولوي</w:t>
      </w:r>
      <w:r w:rsidR="00B36D77" w:rsidRPr="00282AC9">
        <w:rPr>
          <w:rFonts w:hint="cs"/>
          <w:sz w:val="27"/>
          <w:rtl/>
        </w:rPr>
        <w:t>ّ</w:t>
      </w:r>
      <w:r w:rsidRPr="00282AC9">
        <w:rPr>
          <w:rFonts w:hint="cs"/>
          <w:sz w:val="27"/>
          <w:rtl/>
        </w:rPr>
        <w:t>ة وحق</w:t>
      </w:r>
      <w:r w:rsidR="00B36D77" w:rsidRPr="00282AC9">
        <w:rPr>
          <w:rFonts w:hint="cs"/>
          <w:sz w:val="27"/>
          <w:rtl/>
        </w:rPr>
        <w:t>ّ</w:t>
      </w:r>
      <w:r w:rsidRPr="00282AC9">
        <w:rPr>
          <w:rFonts w:hint="cs"/>
          <w:sz w:val="27"/>
          <w:rtl/>
        </w:rPr>
        <w:t xml:space="preserve"> الطاعة لله سبحانه وتعالى ـ بنظر الاعتبار</w:t>
      </w:r>
      <w:r w:rsidR="00B36D77" w:rsidRPr="00282AC9">
        <w:rPr>
          <w:rFonts w:hint="cs"/>
          <w:sz w:val="27"/>
          <w:rtl/>
        </w:rPr>
        <w:t>؛</w:t>
      </w:r>
      <w:r w:rsidRPr="00282AC9">
        <w:rPr>
          <w:rFonts w:hint="cs"/>
          <w:sz w:val="27"/>
          <w:rtl/>
        </w:rPr>
        <w:t xml:space="preserve"> وذلك لأن ملاك الخالقية والمالكي</w:t>
      </w:r>
      <w:r w:rsidR="00B36D77" w:rsidRPr="00282AC9">
        <w:rPr>
          <w:rFonts w:hint="cs"/>
          <w:sz w:val="27"/>
          <w:rtl/>
        </w:rPr>
        <w:t>ّ</w:t>
      </w:r>
      <w:r w:rsidRPr="00282AC9">
        <w:rPr>
          <w:rFonts w:hint="cs"/>
          <w:sz w:val="27"/>
          <w:rtl/>
        </w:rPr>
        <w:t>ة مبنى، وثبوت حق</w:t>
      </w:r>
      <w:r w:rsidR="00B36D77" w:rsidRPr="00282AC9">
        <w:rPr>
          <w:rFonts w:hint="cs"/>
          <w:sz w:val="27"/>
          <w:rtl/>
        </w:rPr>
        <w:t>ّ</w:t>
      </w:r>
      <w:r w:rsidRPr="00282AC9">
        <w:rPr>
          <w:rFonts w:hint="cs"/>
          <w:sz w:val="27"/>
          <w:rtl/>
        </w:rPr>
        <w:t xml:space="preserve"> الطاعة لله بملاك شكر المنعم مبنى</w:t>
      </w:r>
      <w:r w:rsidR="00B36D77" w:rsidRPr="00282AC9">
        <w:rPr>
          <w:rFonts w:hint="cs"/>
          <w:sz w:val="27"/>
          <w:rtl/>
        </w:rPr>
        <w:t>ً</w:t>
      </w:r>
      <w:r w:rsidRPr="00282AC9">
        <w:rPr>
          <w:rFonts w:hint="cs"/>
          <w:sz w:val="27"/>
          <w:rtl/>
        </w:rPr>
        <w:t xml:space="preserve"> آخر، فهما أمران مختلفان</w:t>
      </w:r>
      <w:r w:rsidRPr="00282AC9">
        <w:rPr>
          <w:sz w:val="27"/>
          <w:vertAlign w:val="superscript"/>
          <w:rtl/>
        </w:rPr>
        <w:t>(</w:t>
      </w:r>
      <w:r w:rsidRPr="00282AC9">
        <w:rPr>
          <w:rStyle w:val="af9"/>
          <w:sz w:val="27"/>
          <w:rtl/>
        </w:rPr>
        <w:endnoteReference w:id="630"/>
      </w:r>
      <w:r w:rsidRPr="00282AC9">
        <w:rPr>
          <w:sz w:val="27"/>
          <w:vertAlign w:val="superscript"/>
          <w:rtl/>
        </w:rPr>
        <w:t>)</w:t>
      </w:r>
      <w:r w:rsidRPr="00282AC9">
        <w:rPr>
          <w:rFonts w:hint="cs"/>
          <w:sz w:val="27"/>
          <w:rtl/>
        </w:rPr>
        <w:t>.</w:t>
      </w:r>
    </w:p>
    <w:p w:rsidR="00DA2F6D" w:rsidRPr="00282AC9" w:rsidRDefault="00DA2F6D" w:rsidP="00F066C8">
      <w:pPr>
        <w:rPr>
          <w:sz w:val="27"/>
          <w:rtl/>
        </w:rPr>
      </w:pPr>
      <w:r w:rsidRPr="00282AC9">
        <w:rPr>
          <w:rFonts w:hint="cs"/>
          <w:sz w:val="27"/>
          <w:rtl/>
        </w:rPr>
        <w:t>وبعبارة</w:t>
      </w:r>
      <w:r w:rsidR="00B36D77" w:rsidRPr="00282AC9">
        <w:rPr>
          <w:rFonts w:hint="cs"/>
          <w:sz w:val="27"/>
          <w:rtl/>
        </w:rPr>
        <w:t>ٍ</w:t>
      </w:r>
      <w:r w:rsidRPr="00282AC9">
        <w:rPr>
          <w:rFonts w:hint="cs"/>
          <w:sz w:val="27"/>
          <w:rtl/>
        </w:rPr>
        <w:t xml:space="preserve"> أخرى: هناك ملاكان ومبنيان في ثبوت المالكي</w:t>
      </w:r>
      <w:r w:rsidR="00B36D77" w:rsidRPr="00282AC9">
        <w:rPr>
          <w:rFonts w:hint="cs"/>
          <w:sz w:val="27"/>
          <w:rtl/>
        </w:rPr>
        <w:t>ّ</w:t>
      </w:r>
      <w:r w:rsidRPr="00282AC9">
        <w:rPr>
          <w:rFonts w:hint="cs"/>
          <w:sz w:val="27"/>
          <w:rtl/>
        </w:rPr>
        <w:t>ة وحق</w:t>
      </w:r>
      <w:r w:rsidR="00B36D77" w:rsidRPr="00282AC9">
        <w:rPr>
          <w:rFonts w:hint="cs"/>
          <w:sz w:val="27"/>
          <w:rtl/>
        </w:rPr>
        <w:t>ّ</w:t>
      </w:r>
      <w:r w:rsidRPr="00282AC9">
        <w:rPr>
          <w:rFonts w:hint="cs"/>
          <w:sz w:val="27"/>
          <w:rtl/>
        </w:rPr>
        <w:t xml:space="preserve"> الطاعة لله سبحانه وتعالى:</w:t>
      </w:r>
    </w:p>
    <w:p w:rsidR="00DA2F6D" w:rsidRPr="00282AC9" w:rsidRDefault="00DA2F6D" w:rsidP="00F066C8">
      <w:pPr>
        <w:rPr>
          <w:sz w:val="27"/>
          <w:rtl/>
        </w:rPr>
      </w:pPr>
      <w:r w:rsidRPr="00282AC9">
        <w:rPr>
          <w:rFonts w:hint="cs"/>
          <w:sz w:val="27"/>
          <w:rtl/>
        </w:rPr>
        <w:t>أـ إن مولوية الله ثابتة</w:t>
      </w:r>
      <w:r w:rsidR="00B36D77" w:rsidRPr="00282AC9">
        <w:rPr>
          <w:rFonts w:hint="cs"/>
          <w:sz w:val="27"/>
          <w:rtl/>
        </w:rPr>
        <w:t>ٌ</w:t>
      </w:r>
      <w:r w:rsidRPr="00282AC9">
        <w:rPr>
          <w:rFonts w:hint="cs"/>
          <w:sz w:val="27"/>
          <w:rtl/>
        </w:rPr>
        <w:t xml:space="preserve"> على أساس منعميّته. وحيث تكون منعميّة الله تعالى مطلقة</w:t>
      </w:r>
      <w:r w:rsidR="00B36D77" w:rsidRPr="00282AC9">
        <w:rPr>
          <w:rFonts w:hint="cs"/>
          <w:sz w:val="27"/>
          <w:rtl/>
        </w:rPr>
        <w:t>ً،</w:t>
      </w:r>
      <w:r w:rsidRPr="00282AC9">
        <w:rPr>
          <w:rFonts w:hint="cs"/>
          <w:sz w:val="27"/>
          <w:rtl/>
        </w:rPr>
        <w:t xml:space="preserve"> ولا يحدّها حدّ</w:t>
      </w:r>
      <w:r w:rsidR="00B36D77" w:rsidRPr="00282AC9">
        <w:rPr>
          <w:rFonts w:hint="cs"/>
          <w:sz w:val="27"/>
          <w:rtl/>
        </w:rPr>
        <w:t>ٌ</w:t>
      </w:r>
      <w:r w:rsidRPr="00282AC9">
        <w:rPr>
          <w:rFonts w:hint="cs"/>
          <w:sz w:val="27"/>
          <w:rtl/>
        </w:rPr>
        <w:t>؛ تكون مولوي</w:t>
      </w:r>
      <w:r w:rsidR="00B36D77" w:rsidRPr="00282AC9">
        <w:rPr>
          <w:rFonts w:hint="cs"/>
          <w:sz w:val="27"/>
          <w:rtl/>
        </w:rPr>
        <w:t>ّ</w:t>
      </w:r>
      <w:r w:rsidRPr="00282AC9">
        <w:rPr>
          <w:rFonts w:hint="cs"/>
          <w:sz w:val="27"/>
          <w:rtl/>
        </w:rPr>
        <w:t>ته الناشئة من هذه المنعميّة ب</w:t>
      </w:r>
      <w:r w:rsidR="00EE6DBA" w:rsidRPr="00282AC9">
        <w:rPr>
          <w:rFonts w:hint="cs"/>
          <w:sz w:val="27"/>
          <w:rtl/>
        </w:rPr>
        <w:t>دَوْر</w:t>
      </w:r>
      <w:r w:rsidRPr="00282AC9">
        <w:rPr>
          <w:rFonts w:hint="cs"/>
          <w:sz w:val="27"/>
          <w:rtl/>
        </w:rPr>
        <w:t>ها مطلقة</w:t>
      </w:r>
      <w:r w:rsidR="00B36D77" w:rsidRPr="00282AC9">
        <w:rPr>
          <w:rFonts w:hint="cs"/>
          <w:sz w:val="27"/>
          <w:rtl/>
        </w:rPr>
        <w:t>ً،</w:t>
      </w:r>
      <w:r w:rsidRPr="00282AC9">
        <w:rPr>
          <w:rFonts w:hint="cs"/>
          <w:sz w:val="27"/>
          <w:rtl/>
        </w:rPr>
        <w:t xml:space="preserve"> وليس لها حدّ</w:t>
      </w:r>
      <w:r w:rsidR="00B36D77" w:rsidRPr="00282AC9">
        <w:rPr>
          <w:rFonts w:hint="cs"/>
          <w:sz w:val="27"/>
          <w:rtl/>
        </w:rPr>
        <w:t>ٌ</w:t>
      </w:r>
      <w:r w:rsidRPr="00282AC9">
        <w:rPr>
          <w:rFonts w:hint="cs"/>
          <w:sz w:val="27"/>
          <w:rtl/>
        </w:rPr>
        <w:t>.</w:t>
      </w:r>
    </w:p>
    <w:p w:rsidR="00DA2F6D" w:rsidRPr="00282AC9" w:rsidRDefault="00DA2F6D" w:rsidP="00F066C8">
      <w:pPr>
        <w:rPr>
          <w:sz w:val="27"/>
          <w:rtl/>
        </w:rPr>
      </w:pPr>
      <w:r w:rsidRPr="00282AC9">
        <w:rPr>
          <w:rFonts w:hint="cs"/>
          <w:sz w:val="27"/>
          <w:rtl/>
        </w:rPr>
        <w:t>ب ـ إن مولوية الله ثابتة</w:t>
      </w:r>
      <w:r w:rsidR="00B36D77" w:rsidRPr="00282AC9">
        <w:rPr>
          <w:rFonts w:hint="cs"/>
          <w:sz w:val="27"/>
          <w:rtl/>
        </w:rPr>
        <w:t>ٌ</w:t>
      </w:r>
      <w:r w:rsidRPr="00282AC9">
        <w:rPr>
          <w:rFonts w:hint="cs"/>
          <w:sz w:val="27"/>
          <w:rtl/>
        </w:rPr>
        <w:t xml:space="preserve"> على أساس مالكي</w:t>
      </w:r>
      <w:r w:rsidR="00B36D77" w:rsidRPr="00282AC9">
        <w:rPr>
          <w:rFonts w:hint="cs"/>
          <w:sz w:val="27"/>
          <w:rtl/>
        </w:rPr>
        <w:t>ّ</w:t>
      </w:r>
      <w:r w:rsidRPr="00282AC9">
        <w:rPr>
          <w:rFonts w:hint="cs"/>
          <w:sz w:val="27"/>
          <w:rtl/>
        </w:rPr>
        <w:t>ته. وبعبارة</w:t>
      </w:r>
      <w:r w:rsidR="00B36D77" w:rsidRPr="00282AC9">
        <w:rPr>
          <w:rFonts w:hint="cs"/>
          <w:sz w:val="27"/>
          <w:rtl/>
        </w:rPr>
        <w:t>ٍ</w:t>
      </w:r>
      <w:r w:rsidRPr="00282AC9">
        <w:rPr>
          <w:rFonts w:hint="cs"/>
          <w:sz w:val="27"/>
          <w:rtl/>
        </w:rPr>
        <w:t xml:space="preserve"> أخرى: إنها تنشأ من مالكية الله. وحيث يكون الله مالكاً للإنسان وجوارحه يكون تصرّ</w:t>
      </w:r>
      <w:r w:rsidR="00B36D77" w:rsidRPr="00282AC9">
        <w:rPr>
          <w:rFonts w:hint="cs"/>
          <w:sz w:val="27"/>
          <w:rtl/>
        </w:rPr>
        <w:t>ُ</w:t>
      </w:r>
      <w:r w:rsidRPr="00282AC9">
        <w:rPr>
          <w:rFonts w:hint="cs"/>
          <w:sz w:val="27"/>
          <w:rtl/>
        </w:rPr>
        <w:t>ف الإنسان في نفسه وجوارحه تصرّ</w:t>
      </w:r>
      <w:r w:rsidR="00B36D77" w:rsidRPr="00282AC9">
        <w:rPr>
          <w:rFonts w:hint="cs"/>
          <w:sz w:val="27"/>
          <w:rtl/>
        </w:rPr>
        <w:t>ُ</w:t>
      </w:r>
      <w:r w:rsidRPr="00282AC9">
        <w:rPr>
          <w:rFonts w:hint="cs"/>
          <w:sz w:val="27"/>
          <w:rtl/>
        </w:rPr>
        <w:t>فاً في مال غيره. وعليه يجب على الإنسان في ظرف الشك</w:t>
      </w:r>
      <w:r w:rsidR="00B36D77" w:rsidRPr="00282AC9">
        <w:rPr>
          <w:rFonts w:hint="cs"/>
          <w:sz w:val="27"/>
          <w:rtl/>
        </w:rPr>
        <w:t>ّ</w:t>
      </w:r>
      <w:r w:rsidRPr="00282AC9">
        <w:rPr>
          <w:rFonts w:hint="cs"/>
          <w:sz w:val="27"/>
          <w:rtl/>
        </w:rPr>
        <w:t xml:space="preserve"> أن يحرز قبول مالكه الحقيقي</w:t>
      </w:r>
      <w:r w:rsidR="00B36D77" w:rsidRPr="00282AC9">
        <w:rPr>
          <w:rFonts w:hint="cs"/>
          <w:sz w:val="27"/>
          <w:rtl/>
        </w:rPr>
        <w:t>ّ،</w:t>
      </w:r>
      <w:r w:rsidRPr="00282AC9">
        <w:rPr>
          <w:rFonts w:hint="cs"/>
          <w:sz w:val="27"/>
          <w:rtl/>
        </w:rPr>
        <w:t xml:space="preserve"> الذي هو الله سبحانه وتعالى</w:t>
      </w:r>
      <w:r w:rsidRPr="00282AC9">
        <w:rPr>
          <w:sz w:val="27"/>
          <w:vertAlign w:val="superscript"/>
          <w:rtl/>
        </w:rPr>
        <w:t>(</w:t>
      </w:r>
      <w:r w:rsidRPr="00282AC9">
        <w:rPr>
          <w:rStyle w:val="af9"/>
          <w:sz w:val="27"/>
          <w:rtl/>
        </w:rPr>
        <w:endnoteReference w:id="631"/>
      </w:r>
      <w:r w:rsidRPr="00282AC9">
        <w:rPr>
          <w:sz w:val="27"/>
          <w:vertAlign w:val="superscript"/>
          <w:rtl/>
        </w:rPr>
        <w:t>)</w:t>
      </w:r>
      <w:r w:rsidRPr="00282AC9">
        <w:rPr>
          <w:rFonts w:hint="cs"/>
          <w:sz w:val="27"/>
          <w:rtl/>
        </w:rPr>
        <w:t>.</w:t>
      </w:r>
    </w:p>
    <w:p w:rsidR="00DA2F6D" w:rsidRPr="00282AC9" w:rsidRDefault="00DA2F6D" w:rsidP="00F066C8">
      <w:pPr>
        <w:rPr>
          <w:sz w:val="27"/>
          <w:rtl/>
        </w:rPr>
      </w:pPr>
      <w:r w:rsidRPr="00282AC9">
        <w:rPr>
          <w:rFonts w:hint="cs"/>
          <w:sz w:val="27"/>
          <w:rtl/>
        </w:rPr>
        <w:t>وعليه</w:t>
      </w:r>
      <w:r w:rsidR="00B36D77" w:rsidRPr="00282AC9">
        <w:rPr>
          <w:rFonts w:hint="cs"/>
          <w:sz w:val="27"/>
          <w:rtl/>
        </w:rPr>
        <w:t>،</w:t>
      </w:r>
      <w:r w:rsidRPr="00282AC9">
        <w:rPr>
          <w:rFonts w:hint="cs"/>
          <w:sz w:val="27"/>
          <w:rtl/>
        </w:rPr>
        <w:t xml:space="preserve"> يقول السيد الشهيد الصدر: إن المولوي</w:t>
      </w:r>
      <w:r w:rsidR="00B36D77" w:rsidRPr="00282AC9">
        <w:rPr>
          <w:rFonts w:hint="cs"/>
          <w:sz w:val="27"/>
          <w:rtl/>
        </w:rPr>
        <w:t>ّ</w:t>
      </w:r>
      <w:r w:rsidRPr="00282AC9">
        <w:rPr>
          <w:rFonts w:hint="cs"/>
          <w:sz w:val="27"/>
          <w:rtl/>
        </w:rPr>
        <w:t>ة وحق</w:t>
      </w:r>
      <w:r w:rsidR="00B36D77" w:rsidRPr="00282AC9">
        <w:rPr>
          <w:rFonts w:hint="cs"/>
          <w:sz w:val="27"/>
          <w:rtl/>
        </w:rPr>
        <w:t>ّ</w:t>
      </w:r>
      <w:r w:rsidRPr="00282AC9">
        <w:rPr>
          <w:rFonts w:hint="cs"/>
          <w:sz w:val="27"/>
          <w:rtl/>
        </w:rPr>
        <w:t xml:space="preserve"> الطاعة لله سبحانه وتعالى ثابتة بالملاك الثاني، أي بملاك مالكي</w:t>
      </w:r>
      <w:r w:rsidR="00B36D77" w:rsidRPr="00282AC9">
        <w:rPr>
          <w:rFonts w:hint="cs"/>
          <w:sz w:val="27"/>
          <w:rtl/>
        </w:rPr>
        <w:t>ّ</w:t>
      </w:r>
      <w:r w:rsidRPr="00282AC9">
        <w:rPr>
          <w:rFonts w:hint="cs"/>
          <w:sz w:val="27"/>
          <w:rtl/>
        </w:rPr>
        <w:t>ة وخالقي</w:t>
      </w:r>
      <w:r w:rsidR="00B36D77" w:rsidRPr="00282AC9">
        <w:rPr>
          <w:rFonts w:hint="cs"/>
          <w:sz w:val="27"/>
          <w:rtl/>
        </w:rPr>
        <w:t>ّ</w:t>
      </w:r>
      <w:r w:rsidRPr="00282AC9">
        <w:rPr>
          <w:rFonts w:hint="cs"/>
          <w:sz w:val="27"/>
          <w:rtl/>
        </w:rPr>
        <w:t>ة الله تعالى</w:t>
      </w:r>
      <w:r w:rsidR="00B36D77" w:rsidRPr="00282AC9">
        <w:rPr>
          <w:rFonts w:hint="cs"/>
          <w:sz w:val="27"/>
          <w:rtl/>
        </w:rPr>
        <w:t>.</w:t>
      </w:r>
      <w:r w:rsidRPr="00282AC9">
        <w:rPr>
          <w:rFonts w:hint="cs"/>
          <w:sz w:val="27"/>
          <w:rtl/>
        </w:rPr>
        <w:t xml:space="preserve"> ولا حاجة إلى الملاك الأو</w:t>
      </w:r>
      <w:r w:rsidR="00B36D77" w:rsidRPr="00282AC9">
        <w:rPr>
          <w:rFonts w:hint="cs"/>
          <w:sz w:val="27"/>
          <w:rtl/>
        </w:rPr>
        <w:t>ّ</w:t>
      </w:r>
      <w:r w:rsidRPr="00282AC9">
        <w:rPr>
          <w:rFonts w:hint="cs"/>
          <w:sz w:val="27"/>
          <w:rtl/>
        </w:rPr>
        <w:t>ل في إثبات ذلك.</w:t>
      </w:r>
    </w:p>
    <w:p w:rsidR="00DA2F6D" w:rsidRPr="00282AC9" w:rsidRDefault="00DA2F6D" w:rsidP="00F066C8">
      <w:pPr>
        <w:rPr>
          <w:sz w:val="27"/>
          <w:rtl/>
        </w:rPr>
      </w:pPr>
      <w:r w:rsidRPr="00282AC9">
        <w:rPr>
          <w:rFonts w:hint="cs"/>
          <w:b/>
          <w:bCs/>
          <w:sz w:val="27"/>
          <w:rtl/>
        </w:rPr>
        <w:t>2ـ المولوية الج</w:t>
      </w:r>
      <w:r w:rsidR="00B36D77" w:rsidRPr="00282AC9">
        <w:rPr>
          <w:rFonts w:hint="cs"/>
          <w:b/>
          <w:bCs/>
          <w:sz w:val="27"/>
          <w:rtl/>
        </w:rPr>
        <w:t>َ</w:t>
      </w:r>
      <w:r w:rsidRPr="00282AC9">
        <w:rPr>
          <w:rFonts w:hint="cs"/>
          <w:b/>
          <w:bCs/>
          <w:sz w:val="27"/>
          <w:rtl/>
        </w:rPr>
        <w:t>ع</w:t>
      </w:r>
      <w:r w:rsidR="00B36D77" w:rsidRPr="00282AC9">
        <w:rPr>
          <w:rFonts w:hint="cs"/>
          <w:b/>
          <w:bCs/>
          <w:sz w:val="27"/>
          <w:rtl/>
        </w:rPr>
        <w:t>ْ</w:t>
      </w:r>
      <w:r w:rsidRPr="00282AC9">
        <w:rPr>
          <w:rFonts w:hint="cs"/>
          <w:b/>
          <w:bCs/>
          <w:sz w:val="27"/>
          <w:rtl/>
        </w:rPr>
        <w:t>لي</w:t>
      </w:r>
      <w:r w:rsidR="00B36D77" w:rsidRPr="00282AC9">
        <w:rPr>
          <w:rFonts w:hint="cs"/>
          <w:b/>
          <w:bCs/>
          <w:sz w:val="27"/>
          <w:rtl/>
        </w:rPr>
        <w:t>ّ</w:t>
      </w:r>
      <w:r w:rsidRPr="00282AC9">
        <w:rPr>
          <w:rFonts w:hint="cs"/>
          <w:b/>
          <w:bCs/>
          <w:sz w:val="27"/>
          <w:rtl/>
        </w:rPr>
        <w:t>ة:</w:t>
      </w:r>
      <w:r w:rsidRPr="00282AC9">
        <w:rPr>
          <w:rFonts w:hint="cs"/>
          <w:sz w:val="27"/>
          <w:rtl/>
        </w:rPr>
        <w:t xml:space="preserve"> وهذا النوع من المولوي</w:t>
      </w:r>
      <w:r w:rsidR="00B36D77" w:rsidRPr="00282AC9">
        <w:rPr>
          <w:rFonts w:hint="cs"/>
          <w:sz w:val="27"/>
          <w:rtl/>
        </w:rPr>
        <w:t>ّ</w:t>
      </w:r>
      <w:r w:rsidRPr="00282AC9">
        <w:rPr>
          <w:rFonts w:hint="cs"/>
          <w:sz w:val="27"/>
          <w:rtl/>
        </w:rPr>
        <w:t xml:space="preserve">ة ينقسم </w:t>
      </w:r>
      <w:r w:rsidR="00B36D77" w:rsidRPr="00282AC9">
        <w:rPr>
          <w:rFonts w:hint="cs"/>
          <w:sz w:val="27"/>
          <w:rtl/>
        </w:rPr>
        <w:t xml:space="preserve">بدَوْره </w:t>
      </w:r>
      <w:r w:rsidRPr="00282AC9">
        <w:rPr>
          <w:rFonts w:hint="cs"/>
          <w:sz w:val="27"/>
          <w:rtl/>
        </w:rPr>
        <w:t>إلى قسمين:</w:t>
      </w:r>
    </w:p>
    <w:p w:rsidR="00DA2F6D" w:rsidRPr="00282AC9" w:rsidRDefault="00DA2F6D" w:rsidP="00F066C8">
      <w:pPr>
        <w:rPr>
          <w:sz w:val="27"/>
          <w:rtl/>
        </w:rPr>
      </w:pPr>
      <w:r w:rsidRPr="00282AC9">
        <w:rPr>
          <w:rFonts w:hint="cs"/>
          <w:b/>
          <w:bCs/>
          <w:sz w:val="27"/>
          <w:rtl/>
        </w:rPr>
        <w:t>أـ المولوية الج</w:t>
      </w:r>
      <w:r w:rsidR="00B36D77" w:rsidRPr="00282AC9">
        <w:rPr>
          <w:rFonts w:hint="cs"/>
          <w:b/>
          <w:bCs/>
          <w:sz w:val="27"/>
          <w:rtl/>
        </w:rPr>
        <w:t>َ</w:t>
      </w:r>
      <w:r w:rsidRPr="00282AC9">
        <w:rPr>
          <w:rFonts w:hint="cs"/>
          <w:b/>
          <w:bCs/>
          <w:sz w:val="27"/>
          <w:rtl/>
        </w:rPr>
        <w:t>ع</w:t>
      </w:r>
      <w:r w:rsidR="00B36D77" w:rsidRPr="00282AC9">
        <w:rPr>
          <w:rFonts w:hint="cs"/>
          <w:b/>
          <w:bCs/>
          <w:sz w:val="27"/>
          <w:rtl/>
        </w:rPr>
        <w:t>ْ</w:t>
      </w:r>
      <w:r w:rsidRPr="00282AC9">
        <w:rPr>
          <w:rFonts w:hint="cs"/>
          <w:b/>
          <w:bCs/>
          <w:sz w:val="27"/>
          <w:rtl/>
        </w:rPr>
        <w:t>لي</w:t>
      </w:r>
      <w:r w:rsidR="00B36D77" w:rsidRPr="00282AC9">
        <w:rPr>
          <w:rFonts w:hint="cs"/>
          <w:b/>
          <w:bCs/>
          <w:sz w:val="27"/>
          <w:rtl/>
        </w:rPr>
        <w:t>ّ</w:t>
      </w:r>
      <w:r w:rsidRPr="00282AC9">
        <w:rPr>
          <w:rFonts w:hint="cs"/>
          <w:b/>
          <w:bCs/>
          <w:sz w:val="27"/>
          <w:rtl/>
        </w:rPr>
        <w:t>ة المجعولة من ق</w:t>
      </w:r>
      <w:r w:rsidR="00B36D77" w:rsidRPr="00282AC9">
        <w:rPr>
          <w:rFonts w:hint="cs"/>
          <w:b/>
          <w:bCs/>
          <w:sz w:val="27"/>
          <w:rtl/>
        </w:rPr>
        <w:t>ِ</w:t>
      </w:r>
      <w:r w:rsidRPr="00282AC9">
        <w:rPr>
          <w:rFonts w:hint="cs"/>
          <w:b/>
          <w:bCs/>
          <w:sz w:val="27"/>
          <w:rtl/>
        </w:rPr>
        <w:t>ب</w:t>
      </w:r>
      <w:r w:rsidR="00B36D77" w:rsidRPr="00282AC9">
        <w:rPr>
          <w:rFonts w:hint="cs"/>
          <w:b/>
          <w:bCs/>
          <w:sz w:val="27"/>
          <w:rtl/>
        </w:rPr>
        <w:t>َ</w:t>
      </w:r>
      <w:r w:rsidRPr="00282AC9">
        <w:rPr>
          <w:rFonts w:hint="cs"/>
          <w:b/>
          <w:bCs/>
          <w:sz w:val="27"/>
          <w:rtl/>
        </w:rPr>
        <w:t>ل المولى الحقيقي</w:t>
      </w:r>
      <w:r w:rsidRPr="00282AC9">
        <w:rPr>
          <w:rFonts w:hint="cs"/>
          <w:sz w:val="27"/>
          <w:rtl/>
        </w:rPr>
        <w:t>، من قبيل: المولوية المجعولة للنبي الأكرم</w:t>
      </w:r>
      <w:r w:rsidR="009A2A04" w:rsidRPr="00282AC9">
        <w:rPr>
          <w:rFonts w:cs="Mosawi" w:hint="cs"/>
          <w:sz w:val="22"/>
          <w:szCs w:val="22"/>
          <w:rtl/>
        </w:rPr>
        <w:t>|</w:t>
      </w:r>
      <w:r w:rsidRPr="00282AC9">
        <w:rPr>
          <w:rFonts w:hint="cs"/>
          <w:sz w:val="27"/>
          <w:rtl/>
        </w:rPr>
        <w:t xml:space="preserve"> والأئم</w:t>
      </w:r>
      <w:r w:rsidR="002F2279" w:rsidRPr="00282AC9">
        <w:rPr>
          <w:rFonts w:hint="cs"/>
          <w:sz w:val="27"/>
          <w:rtl/>
        </w:rPr>
        <w:t>ّ</w:t>
      </w:r>
      <w:r w:rsidRPr="00282AC9">
        <w:rPr>
          <w:rFonts w:hint="cs"/>
          <w:sz w:val="27"/>
          <w:rtl/>
        </w:rPr>
        <w:t>ة الأطهار</w:t>
      </w:r>
      <w:r w:rsidR="00876ECA" w:rsidRPr="00282AC9">
        <w:rPr>
          <w:rFonts w:cs="Mosawi" w:hint="cs"/>
          <w:sz w:val="22"/>
          <w:szCs w:val="22"/>
          <w:rtl/>
        </w:rPr>
        <w:t>^</w:t>
      </w:r>
      <w:r w:rsidRPr="00282AC9">
        <w:rPr>
          <w:rFonts w:hint="cs"/>
          <w:sz w:val="27"/>
          <w:rtl/>
        </w:rPr>
        <w:t>. وهذا النوع من المولوية تابع</w:t>
      </w:r>
      <w:r w:rsidR="002F2279" w:rsidRPr="00282AC9">
        <w:rPr>
          <w:rFonts w:hint="cs"/>
          <w:sz w:val="27"/>
          <w:rtl/>
        </w:rPr>
        <w:t>ٌ</w:t>
      </w:r>
      <w:r w:rsidRPr="00282AC9">
        <w:rPr>
          <w:rFonts w:hint="cs"/>
          <w:sz w:val="27"/>
          <w:rtl/>
        </w:rPr>
        <w:t xml:space="preserve"> ـ في سعة وضيق دائرة المولوي</w:t>
      </w:r>
      <w:r w:rsidR="002F2279" w:rsidRPr="00282AC9">
        <w:rPr>
          <w:rFonts w:hint="cs"/>
          <w:sz w:val="27"/>
          <w:rtl/>
        </w:rPr>
        <w:t>ّ</w:t>
      </w:r>
      <w:r w:rsidRPr="00282AC9">
        <w:rPr>
          <w:rFonts w:hint="cs"/>
          <w:sz w:val="27"/>
          <w:rtl/>
        </w:rPr>
        <w:t>ة وحق</w:t>
      </w:r>
      <w:r w:rsidR="002F2279" w:rsidRPr="00282AC9">
        <w:rPr>
          <w:rFonts w:hint="cs"/>
          <w:sz w:val="27"/>
          <w:rtl/>
        </w:rPr>
        <w:t>ّ</w:t>
      </w:r>
      <w:r w:rsidRPr="00282AC9">
        <w:rPr>
          <w:rFonts w:hint="cs"/>
          <w:sz w:val="27"/>
          <w:rtl/>
        </w:rPr>
        <w:t xml:space="preserve"> الطاعة ـ للج</w:t>
      </w:r>
      <w:r w:rsidR="002F2279" w:rsidRPr="00282AC9">
        <w:rPr>
          <w:rFonts w:hint="cs"/>
          <w:sz w:val="27"/>
          <w:rtl/>
        </w:rPr>
        <w:t>َ</w:t>
      </w:r>
      <w:r w:rsidRPr="00282AC9">
        <w:rPr>
          <w:rFonts w:hint="cs"/>
          <w:sz w:val="27"/>
          <w:rtl/>
        </w:rPr>
        <w:t>ع</w:t>
      </w:r>
      <w:r w:rsidR="002F2279" w:rsidRPr="00282AC9">
        <w:rPr>
          <w:rFonts w:hint="cs"/>
          <w:sz w:val="27"/>
          <w:rtl/>
        </w:rPr>
        <w:t>ْ</w:t>
      </w:r>
      <w:r w:rsidRPr="00282AC9">
        <w:rPr>
          <w:rFonts w:hint="cs"/>
          <w:sz w:val="27"/>
          <w:rtl/>
        </w:rPr>
        <w:t>ل المجعول من ق</w:t>
      </w:r>
      <w:r w:rsidR="002F2279" w:rsidRPr="00282AC9">
        <w:rPr>
          <w:rFonts w:hint="cs"/>
          <w:sz w:val="27"/>
          <w:rtl/>
        </w:rPr>
        <w:t>ِ</w:t>
      </w:r>
      <w:r w:rsidRPr="00282AC9">
        <w:rPr>
          <w:rFonts w:hint="cs"/>
          <w:sz w:val="27"/>
          <w:rtl/>
        </w:rPr>
        <w:t>ب</w:t>
      </w:r>
      <w:r w:rsidR="002F2279" w:rsidRPr="00282AC9">
        <w:rPr>
          <w:rFonts w:hint="cs"/>
          <w:sz w:val="27"/>
          <w:rtl/>
        </w:rPr>
        <w:t>َ</w:t>
      </w:r>
      <w:r w:rsidRPr="00282AC9">
        <w:rPr>
          <w:rFonts w:hint="cs"/>
          <w:sz w:val="27"/>
          <w:rtl/>
        </w:rPr>
        <w:t>ل المولى الحقيقي.</w:t>
      </w:r>
    </w:p>
    <w:p w:rsidR="00DA2F6D" w:rsidRPr="00282AC9" w:rsidRDefault="00DA2F6D" w:rsidP="00F066C8">
      <w:pPr>
        <w:rPr>
          <w:sz w:val="27"/>
          <w:rtl/>
        </w:rPr>
      </w:pPr>
      <w:r w:rsidRPr="00282AC9">
        <w:rPr>
          <w:rFonts w:hint="cs"/>
          <w:b/>
          <w:bCs/>
          <w:sz w:val="27"/>
          <w:rtl/>
        </w:rPr>
        <w:t>ب ـ المولوية التي يجعلها العقلاء لبعضهم</w:t>
      </w:r>
      <w:r w:rsidRPr="00282AC9">
        <w:rPr>
          <w:rFonts w:hint="cs"/>
          <w:sz w:val="27"/>
          <w:rtl/>
        </w:rPr>
        <w:t xml:space="preserve"> في إطار التوافق فيما بينهم</w:t>
      </w:r>
      <w:r w:rsidR="002F2279" w:rsidRPr="00282AC9">
        <w:rPr>
          <w:rFonts w:hint="cs"/>
          <w:sz w:val="27"/>
          <w:rtl/>
        </w:rPr>
        <w:t>،</w:t>
      </w:r>
      <w:r w:rsidRPr="00282AC9">
        <w:rPr>
          <w:rFonts w:hint="cs"/>
          <w:sz w:val="27"/>
          <w:rtl/>
        </w:rPr>
        <w:t xml:space="preserve"> من قبيل: المولوية للحك</w:t>
      </w:r>
      <w:r w:rsidR="002F2279" w:rsidRPr="00282AC9">
        <w:rPr>
          <w:rFonts w:hint="cs"/>
          <w:sz w:val="27"/>
          <w:rtl/>
        </w:rPr>
        <w:t>ّ</w:t>
      </w:r>
      <w:r w:rsidRPr="00282AC9">
        <w:rPr>
          <w:rFonts w:hint="cs"/>
          <w:sz w:val="27"/>
          <w:rtl/>
        </w:rPr>
        <w:t>ام والموالي الاجتماعي</w:t>
      </w:r>
      <w:r w:rsidR="002F2279" w:rsidRPr="00282AC9">
        <w:rPr>
          <w:rFonts w:hint="cs"/>
          <w:sz w:val="27"/>
          <w:rtl/>
        </w:rPr>
        <w:t>ّ</w:t>
      </w:r>
      <w:r w:rsidRPr="00282AC9">
        <w:rPr>
          <w:rFonts w:hint="cs"/>
          <w:sz w:val="27"/>
          <w:rtl/>
        </w:rPr>
        <w:t>ين.</w:t>
      </w:r>
    </w:p>
    <w:p w:rsidR="00DA2F6D" w:rsidRPr="00282AC9" w:rsidRDefault="00DA2F6D" w:rsidP="00F066C8">
      <w:pPr>
        <w:rPr>
          <w:sz w:val="27"/>
          <w:rtl/>
        </w:rPr>
      </w:pPr>
      <w:r w:rsidRPr="00282AC9">
        <w:rPr>
          <w:rFonts w:hint="cs"/>
          <w:sz w:val="27"/>
          <w:rtl/>
        </w:rPr>
        <w:t>وهذا النوع من المولوية تابع</w:t>
      </w:r>
      <w:r w:rsidR="002F2279" w:rsidRPr="00282AC9">
        <w:rPr>
          <w:rFonts w:hint="cs"/>
          <w:sz w:val="27"/>
          <w:rtl/>
        </w:rPr>
        <w:t>ٌ</w:t>
      </w:r>
      <w:r w:rsidRPr="00282AC9">
        <w:rPr>
          <w:rFonts w:hint="cs"/>
          <w:sz w:val="27"/>
          <w:rtl/>
        </w:rPr>
        <w:t xml:space="preserve"> في سعة وضيق المولوية ولزوم الطاعة لذلك الج</w:t>
      </w:r>
      <w:r w:rsidR="002F2279" w:rsidRPr="00282AC9">
        <w:rPr>
          <w:rFonts w:hint="cs"/>
          <w:sz w:val="27"/>
          <w:rtl/>
        </w:rPr>
        <w:t>َ</w:t>
      </w:r>
      <w:r w:rsidRPr="00282AC9">
        <w:rPr>
          <w:rFonts w:hint="cs"/>
          <w:sz w:val="27"/>
          <w:rtl/>
        </w:rPr>
        <w:t>ع</w:t>
      </w:r>
      <w:r w:rsidR="002F2279" w:rsidRPr="00282AC9">
        <w:rPr>
          <w:rFonts w:hint="cs"/>
          <w:sz w:val="27"/>
          <w:rtl/>
        </w:rPr>
        <w:t>ْ</w:t>
      </w:r>
      <w:r w:rsidRPr="00282AC9">
        <w:rPr>
          <w:rFonts w:hint="cs"/>
          <w:sz w:val="27"/>
          <w:rtl/>
        </w:rPr>
        <w:t>ل والتوافق العقلائي</w:t>
      </w:r>
      <w:r w:rsidRPr="00282AC9">
        <w:rPr>
          <w:sz w:val="27"/>
          <w:vertAlign w:val="superscript"/>
          <w:rtl/>
        </w:rPr>
        <w:t>(</w:t>
      </w:r>
      <w:r w:rsidRPr="00282AC9">
        <w:rPr>
          <w:rStyle w:val="af9"/>
          <w:sz w:val="27"/>
          <w:rtl/>
        </w:rPr>
        <w:endnoteReference w:id="632"/>
      </w:r>
      <w:r w:rsidRPr="00282AC9">
        <w:rPr>
          <w:sz w:val="27"/>
          <w:vertAlign w:val="superscript"/>
          <w:rtl/>
        </w:rPr>
        <w:t>)</w:t>
      </w:r>
      <w:r w:rsidRPr="00282AC9">
        <w:rPr>
          <w:rFonts w:hint="cs"/>
          <w:sz w:val="27"/>
          <w:rtl/>
        </w:rPr>
        <w:t>.</w:t>
      </w:r>
    </w:p>
    <w:p w:rsidR="00DA2F6D" w:rsidRPr="00282AC9" w:rsidRDefault="00DA2F6D" w:rsidP="00F066C8">
      <w:pPr>
        <w:rPr>
          <w:sz w:val="27"/>
          <w:rtl/>
        </w:rPr>
      </w:pPr>
      <w:r w:rsidRPr="00282AC9">
        <w:rPr>
          <w:rFonts w:hint="cs"/>
          <w:sz w:val="27"/>
          <w:rtl/>
        </w:rPr>
        <w:lastRenderedPageBreak/>
        <w:t>وعليه</w:t>
      </w:r>
      <w:r w:rsidR="002F2279" w:rsidRPr="00282AC9">
        <w:rPr>
          <w:rFonts w:hint="cs"/>
          <w:sz w:val="27"/>
          <w:rtl/>
        </w:rPr>
        <w:t>،</w:t>
      </w:r>
      <w:r w:rsidRPr="00282AC9">
        <w:rPr>
          <w:rFonts w:hint="cs"/>
          <w:sz w:val="27"/>
          <w:rtl/>
        </w:rPr>
        <w:t xml:space="preserve"> لا يمكن البحث في الحج</w:t>
      </w:r>
      <w:r w:rsidR="002F2279" w:rsidRPr="00282AC9">
        <w:rPr>
          <w:rFonts w:hint="cs"/>
          <w:sz w:val="27"/>
          <w:rtl/>
        </w:rPr>
        <w:t>ِّ</w:t>
      </w:r>
      <w:r w:rsidRPr="00282AC9">
        <w:rPr>
          <w:rFonts w:hint="cs"/>
          <w:sz w:val="27"/>
          <w:rtl/>
        </w:rPr>
        <w:t>ية ـ من وجهة نظر السيد الشهيد الصدر ـ دون النظر إلى آفاق وأبعاد المولوي</w:t>
      </w:r>
      <w:r w:rsidR="002F2279" w:rsidRPr="00282AC9">
        <w:rPr>
          <w:rFonts w:hint="cs"/>
          <w:sz w:val="27"/>
          <w:rtl/>
        </w:rPr>
        <w:t>ّ</w:t>
      </w:r>
      <w:r w:rsidRPr="00282AC9">
        <w:rPr>
          <w:rFonts w:hint="cs"/>
          <w:sz w:val="27"/>
          <w:rtl/>
        </w:rPr>
        <w:t>ة</w:t>
      </w:r>
      <w:r w:rsidR="002F2279" w:rsidRPr="00282AC9">
        <w:rPr>
          <w:rFonts w:hint="cs"/>
          <w:sz w:val="27"/>
          <w:rtl/>
        </w:rPr>
        <w:t>.</w:t>
      </w:r>
      <w:r w:rsidRPr="00282AC9">
        <w:rPr>
          <w:rFonts w:hint="cs"/>
          <w:sz w:val="27"/>
          <w:rtl/>
        </w:rPr>
        <w:t xml:space="preserve"> وكذلك لو بدأنا تحليلنا في مورد ما يقتضيه حكم العقل في الشبهات الب</w:t>
      </w:r>
      <w:r w:rsidR="002F2279" w:rsidRPr="00282AC9">
        <w:rPr>
          <w:rFonts w:hint="cs"/>
          <w:sz w:val="27"/>
          <w:rtl/>
        </w:rPr>
        <w:t>َ</w:t>
      </w:r>
      <w:r w:rsidRPr="00282AC9">
        <w:rPr>
          <w:rFonts w:hint="cs"/>
          <w:sz w:val="27"/>
          <w:rtl/>
        </w:rPr>
        <w:t>د</w:t>
      </w:r>
      <w:r w:rsidR="002F2279" w:rsidRPr="00282AC9">
        <w:rPr>
          <w:rFonts w:hint="cs"/>
          <w:sz w:val="27"/>
          <w:rtl/>
        </w:rPr>
        <w:t>ْ</w:t>
      </w:r>
      <w:r w:rsidRPr="00282AC9">
        <w:rPr>
          <w:rFonts w:hint="cs"/>
          <w:sz w:val="27"/>
          <w:rtl/>
        </w:rPr>
        <w:t>وية</w:t>
      </w:r>
      <w:r w:rsidR="002F2279" w:rsidRPr="00282AC9">
        <w:rPr>
          <w:rFonts w:hint="cs"/>
          <w:sz w:val="27"/>
          <w:rtl/>
        </w:rPr>
        <w:t>،</w:t>
      </w:r>
      <w:r w:rsidRPr="00282AC9">
        <w:rPr>
          <w:rFonts w:hint="cs"/>
          <w:sz w:val="27"/>
          <w:rtl/>
        </w:rPr>
        <w:t xml:space="preserve"> دون النظر إلى هذا البُع</w:t>
      </w:r>
      <w:r w:rsidR="002F2279" w:rsidRPr="00282AC9">
        <w:rPr>
          <w:rFonts w:hint="cs"/>
          <w:sz w:val="27"/>
          <w:rtl/>
        </w:rPr>
        <w:t>ْ</w:t>
      </w:r>
      <w:r w:rsidRPr="00282AC9">
        <w:rPr>
          <w:rFonts w:hint="cs"/>
          <w:sz w:val="27"/>
          <w:rtl/>
        </w:rPr>
        <w:t>د، فسوف نصل إلى نتائج خاطئة</w:t>
      </w:r>
      <w:r w:rsidR="002F2279" w:rsidRPr="00282AC9">
        <w:rPr>
          <w:rFonts w:hint="cs"/>
          <w:sz w:val="27"/>
          <w:rtl/>
        </w:rPr>
        <w:t>ٍ؛</w:t>
      </w:r>
      <w:r w:rsidRPr="00282AC9">
        <w:rPr>
          <w:rFonts w:hint="cs"/>
          <w:sz w:val="27"/>
          <w:rtl/>
        </w:rPr>
        <w:t xml:space="preserve"> وذلك لأننا لو دق</w:t>
      </w:r>
      <w:r w:rsidR="002F2279" w:rsidRPr="00282AC9">
        <w:rPr>
          <w:rFonts w:hint="cs"/>
          <w:sz w:val="27"/>
          <w:rtl/>
        </w:rPr>
        <w:t>َّ</w:t>
      </w:r>
      <w:r w:rsidRPr="00282AC9">
        <w:rPr>
          <w:rFonts w:hint="cs"/>
          <w:sz w:val="27"/>
          <w:rtl/>
        </w:rPr>
        <w:t>قنا النظر فسوف ندرك أن البحث عن الحج</w:t>
      </w:r>
      <w:r w:rsidR="002F2279" w:rsidRPr="00282AC9">
        <w:rPr>
          <w:rFonts w:hint="cs"/>
          <w:sz w:val="27"/>
          <w:rtl/>
        </w:rPr>
        <w:t>ِّ</w:t>
      </w:r>
      <w:r w:rsidRPr="00282AC9">
        <w:rPr>
          <w:rFonts w:hint="cs"/>
          <w:sz w:val="27"/>
          <w:rtl/>
        </w:rPr>
        <w:t>ية والمنج</w:t>
      </w:r>
      <w:r w:rsidR="002F2279" w:rsidRPr="00282AC9">
        <w:rPr>
          <w:rFonts w:hint="cs"/>
          <w:sz w:val="27"/>
          <w:rtl/>
        </w:rPr>
        <w:t>ِّ</w:t>
      </w:r>
      <w:r w:rsidRPr="00282AC9">
        <w:rPr>
          <w:rFonts w:hint="cs"/>
          <w:sz w:val="27"/>
          <w:rtl/>
        </w:rPr>
        <w:t>زية يعود إلى دائرة حق</w:t>
      </w:r>
      <w:r w:rsidR="002F2279" w:rsidRPr="00282AC9">
        <w:rPr>
          <w:rFonts w:hint="cs"/>
          <w:sz w:val="27"/>
          <w:rtl/>
        </w:rPr>
        <w:t>ّ</w:t>
      </w:r>
      <w:r w:rsidRPr="00282AC9">
        <w:rPr>
          <w:rFonts w:hint="cs"/>
          <w:sz w:val="27"/>
          <w:rtl/>
        </w:rPr>
        <w:t xml:space="preserve"> الطاعة، وحيث </w:t>
      </w:r>
      <w:r w:rsidR="002F2279" w:rsidRPr="00282AC9">
        <w:rPr>
          <w:rFonts w:hint="cs"/>
          <w:sz w:val="27"/>
          <w:rtl/>
        </w:rPr>
        <w:t>إ</w:t>
      </w:r>
      <w:r w:rsidRPr="00282AC9">
        <w:rPr>
          <w:rFonts w:hint="cs"/>
          <w:sz w:val="27"/>
          <w:rtl/>
        </w:rPr>
        <w:t>ن حق</w:t>
      </w:r>
      <w:r w:rsidR="002F2279" w:rsidRPr="00282AC9">
        <w:rPr>
          <w:rFonts w:hint="cs"/>
          <w:sz w:val="27"/>
          <w:rtl/>
        </w:rPr>
        <w:t>ّ</w:t>
      </w:r>
      <w:r w:rsidRPr="00282AC9">
        <w:rPr>
          <w:rFonts w:hint="cs"/>
          <w:sz w:val="27"/>
          <w:rtl/>
        </w:rPr>
        <w:t xml:space="preserve"> الطاعة تعبير</w:t>
      </w:r>
      <w:r w:rsidR="002F2279" w:rsidRPr="00282AC9">
        <w:rPr>
          <w:rFonts w:hint="cs"/>
          <w:sz w:val="27"/>
          <w:rtl/>
        </w:rPr>
        <w:t>ٌ</w:t>
      </w:r>
      <w:r w:rsidRPr="00282AC9">
        <w:rPr>
          <w:rFonts w:hint="cs"/>
          <w:sz w:val="27"/>
          <w:rtl/>
        </w:rPr>
        <w:t xml:space="preserve"> آخر عن المولوية</w:t>
      </w:r>
      <w:r w:rsidRPr="00282AC9">
        <w:rPr>
          <w:sz w:val="27"/>
          <w:vertAlign w:val="superscript"/>
          <w:rtl/>
        </w:rPr>
        <w:t>(</w:t>
      </w:r>
      <w:r w:rsidRPr="00282AC9">
        <w:rPr>
          <w:rStyle w:val="af9"/>
          <w:sz w:val="27"/>
          <w:rtl/>
        </w:rPr>
        <w:endnoteReference w:id="633"/>
      </w:r>
      <w:r w:rsidRPr="00282AC9">
        <w:rPr>
          <w:sz w:val="27"/>
          <w:vertAlign w:val="superscript"/>
          <w:rtl/>
        </w:rPr>
        <w:t>)</w:t>
      </w:r>
      <w:r w:rsidR="002F2279" w:rsidRPr="00282AC9">
        <w:rPr>
          <w:rFonts w:hint="cs"/>
          <w:sz w:val="27"/>
          <w:rtl/>
        </w:rPr>
        <w:t xml:space="preserve"> </w:t>
      </w:r>
      <w:r w:rsidRPr="00282AC9">
        <w:rPr>
          <w:rFonts w:hint="cs"/>
          <w:sz w:val="27"/>
          <w:rtl/>
        </w:rPr>
        <w:t xml:space="preserve">فإن البحث </w:t>
      </w:r>
      <w:r w:rsidRPr="00282AC9">
        <w:rPr>
          <w:sz w:val="27"/>
          <w:rtl/>
        </w:rPr>
        <w:t>عن الحج</w:t>
      </w:r>
      <w:r w:rsidR="002F2279" w:rsidRPr="00282AC9">
        <w:rPr>
          <w:rFonts w:hint="cs"/>
          <w:sz w:val="27"/>
          <w:rtl/>
        </w:rPr>
        <w:t>ِّ</w:t>
      </w:r>
      <w:r w:rsidRPr="00282AC9">
        <w:rPr>
          <w:sz w:val="27"/>
          <w:rtl/>
        </w:rPr>
        <w:t>ية والمنج</w:t>
      </w:r>
      <w:r w:rsidR="002F2279" w:rsidRPr="00282AC9">
        <w:rPr>
          <w:rFonts w:hint="cs"/>
          <w:sz w:val="27"/>
          <w:rtl/>
        </w:rPr>
        <w:t>ِّ</w:t>
      </w:r>
      <w:r w:rsidRPr="00282AC9">
        <w:rPr>
          <w:sz w:val="27"/>
          <w:rtl/>
        </w:rPr>
        <w:t>زية يعود</w:t>
      </w:r>
      <w:r w:rsidRPr="00282AC9">
        <w:rPr>
          <w:rFonts w:hint="cs"/>
          <w:sz w:val="27"/>
          <w:rtl/>
        </w:rPr>
        <w:t xml:space="preserve"> في الحقيقة إلى مولوية المولى. وإن ما هو الحج</w:t>
      </w:r>
      <w:r w:rsidR="002F2279" w:rsidRPr="00282AC9">
        <w:rPr>
          <w:rFonts w:hint="cs"/>
          <w:sz w:val="27"/>
          <w:rtl/>
        </w:rPr>
        <w:t>ّ</w:t>
      </w:r>
      <w:r w:rsidRPr="00282AC9">
        <w:rPr>
          <w:rFonts w:hint="cs"/>
          <w:sz w:val="27"/>
          <w:rtl/>
        </w:rPr>
        <w:t>ة والمنج</w:t>
      </w:r>
      <w:r w:rsidR="002F2279" w:rsidRPr="00282AC9">
        <w:rPr>
          <w:rFonts w:hint="cs"/>
          <w:sz w:val="27"/>
          <w:rtl/>
        </w:rPr>
        <w:t>ِّ</w:t>
      </w:r>
      <w:r w:rsidRPr="00282AC9">
        <w:rPr>
          <w:rFonts w:hint="cs"/>
          <w:sz w:val="27"/>
          <w:rtl/>
        </w:rPr>
        <w:t>ز يرتبط ارتباطاً مباشراً بدائرة المولوية وحق</w:t>
      </w:r>
      <w:r w:rsidR="002F2279" w:rsidRPr="00282AC9">
        <w:rPr>
          <w:rFonts w:hint="cs"/>
          <w:sz w:val="27"/>
          <w:rtl/>
        </w:rPr>
        <w:t>ّ</w:t>
      </w:r>
      <w:r w:rsidRPr="00282AC9">
        <w:rPr>
          <w:rFonts w:hint="cs"/>
          <w:sz w:val="27"/>
          <w:rtl/>
        </w:rPr>
        <w:t xml:space="preserve"> الطاعة للمولى. فلو افتر</w:t>
      </w:r>
      <w:r w:rsidR="002F2279" w:rsidRPr="00282AC9">
        <w:rPr>
          <w:rFonts w:hint="cs"/>
          <w:sz w:val="27"/>
          <w:rtl/>
        </w:rPr>
        <w:t>َ</w:t>
      </w:r>
      <w:r w:rsidRPr="00282AC9">
        <w:rPr>
          <w:rFonts w:hint="cs"/>
          <w:sz w:val="27"/>
          <w:rtl/>
        </w:rPr>
        <w:t>ض</w:t>
      </w:r>
      <w:r w:rsidR="002F2279" w:rsidRPr="00282AC9">
        <w:rPr>
          <w:rFonts w:hint="cs"/>
          <w:sz w:val="27"/>
          <w:rtl/>
        </w:rPr>
        <w:t>ْ</w:t>
      </w:r>
      <w:r w:rsidRPr="00282AC9">
        <w:rPr>
          <w:rFonts w:hint="cs"/>
          <w:sz w:val="27"/>
          <w:rtl/>
        </w:rPr>
        <w:t>نا المورد داخلاً ضمن دائرة مولوية المولى فإن العقل سيحكم قطعاً بتنجيزه</w:t>
      </w:r>
      <w:r w:rsidR="002F2279" w:rsidRPr="00282AC9">
        <w:rPr>
          <w:rFonts w:hint="cs"/>
          <w:sz w:val="27"/>
          <w:rtl/>
        </w:rPr>
        <w:t>،</w:t>
      </w:r>
      <w:r w:rsidRPr="00282AC9">
        <w:rPr>
          <w:rFonts w:hint="cs"/>
          <w:sz w:val="27"/>
          <w:rtl/>
        </w:rPr>
        <w:t xml:space="preserve"> وق</w:t>
      </w:r>
      <w:r w:rsidR="002F2279" w:rsidRPr="00282AC9">
        <w:rPr>
          <w:rFonts w:hint="cs"/>
          <w:sz w:val="27"/>
          <w:rtl/>
        </w:rPr>
        <w:t>ُ</w:t>
      </w:r>
      <w:r w:rsidRPr="00282AC9">
        <w:rPr>
          <w:rFonts w:hint="cs"/>
          <w:sz w:val="27"/>
          <w:rtl/>
        </w:rPr>
        <w:t>ب</w:t>
      </w:r>
      <w:r w:rsidR="002F2279" w:rsidRPr="00282AC9">
        <w:rPr>
          <w:rFonts w:hint="cs"/>
          <w:sz w:val="27"/>
          <w:rtl/>
        </w:rPr>
        <w:t>ْ</w:t>
      </w:r>
      <w:r w:rsidRPr="00282AC9">
        <w:rPr>
          <w:rFonts w:hint="cs"/>
          <w:sz w:val="27"/>
          <w:rtl/>
        </w:rPr>
        <w:t>ح مخالفته</w:t>
      </w:r>
      <w:r w:rsidR="002F2279" w:rsidRPr="00282AC9">
        <w:rPr>
          <w:rFonts w:hint="cs"/>
          <w:sz w:val="27"/>
          <w:rtl/>
        </w:rPr>
        <w:t>،</w:t>
      </w:r>
      <w:r w:rsidRPr="00282AC9">
        <w:rPr>
          <w:rFonts w:hint="cs"/>
          <w:sz w:val="27"/>
          <w:rtl/>
        </w:rPr>
        <w:t xml:space="preserve"> واستحقاق فاعله للعقاب. وأما إذا افترضنا المورد خارجاً عن دائرة المولوي</w:t>
      </w:r>
      <w:r w:rsidR="002F2279" w:rsidRPr="00282AC9">
        <w:rPr>
          <w:rFonts w:hint="cs"/>
          <w:sz w:val="27"/>
          <w:rtl/>
        </w:rPr>
        <w:t>ّ</w:t>
      </w:r>
      <w:r w:rsidRPr="00282AC9">
        <w:rPr>
          <w:rFonts w:hint="cs"/>
          <w:sz w:val="27"/>
          <w:rtl/>
        </w:rPr>
        <w:t>ة وحق</w:t>
      </w:r>
      <w:r w:rsidR="002F2279" w:rsidRPr="00282AC9">
        <w:rPr>
          <w:rFonts w:hint="cs"/>
          <w:sz w:val="27"/>
          <w:rtl/>
        </w:rPr>
        <w:t>ّ</w:t>
      </w:r>
      <w:r w:rsidRPr="00282AC9">
        <w:rPr>
          <w:rFonts w:hint="cs"/>
          <w:sz w:val="27"/>
          <w:rtl/>
        </w:rPr>
        <w:t xml:space="preserve"> الطاعة فإن العقل لا يحكم هنا بالتنجّ</w:t>
      </w:r>
      <w:r w:rsidR="002F2279" w:rsidRPr="00282AC9">
        <w:rPr>
          <w:rFonts w:hint="cs"/>
          <w:sz w:val="27"/>
          <w:rtl/>
        </w:rPr>
        <w:t>ُ</w:t>
      </w:r>
      <w:r w:rsidRPr="00282AC9">
        <w:rPr>
          <w:rFonts w:hint="cs"/>
          <w:sz w:val="27"/>
          <w:rtl/>
        </w:rPr>
        <w:t>ز. وبعبارة</w:t>
      </w:r>
      <w:r w:rsidR="002F2279" w:rsidRPr="00282AC9">
        <w:rPr>
          <w:rFonts w:hint="cs"/>
          <w:sz w:val="27"/>
          <w:rtl/>
        </w:rPr>
        <w:t>ٍ</w:t>
      </w:r>
      <w:r w:rsidRPr="00282AC9">
        <w:rPr>
          <w:rFonts w:hint="cs"/>
          <w:sz w:val="27"/>
          <w:rtl/>
        </w:rPr>
        <w:t xml:space="preserve"> أخرى: يمكن القول في الأساس بأن موضوع الحكم بالتنجيز يكمن في تحق</w:t>
      </w:r>
      <w:r w:rsidR="002F2279" w:rsidRPr="00282AC9">
        <w:rPr>
          <w:rFonts w:hint="cs"/>
          <w:sz w:val="27"/>
          <w:rtl/>
        </w:rPr>
        <w:t>ُّ</w:t>
      </w:r>
      <w:r w:rsidRPr="00282AC9">
        <w:rPr>
          <w:rFonts w:hint="cs"/>
          <w:sz w:val="27"/>
          <w:rtl/>
        </w:rPr>
        <w:t>ق مولوي</w:t>
      </w:r>
      <w:r w:rsidR="002F2279" w:rsidRPr="00282AC9">
        <w:rPr>
          <w:rFonts w:hint="cs"/>
          <w:sz w:val="27"/>
          <w:rtl/>
        </w:rPr>
        <w:t>ّ</w:t>
      </w:r>
      <w:r w:rsidRPr="00282AC9">
        <w:rPr>
          <w:rFonts w:hint="cs"/>
          <w:sz w:val="27"/>
          <w:rtl/>
        </w:rPr>
        <w:t>ة المولى. وعليه لو لم يكن هناك وجود</w:t>
      </w:r>
      <w:r w:rsidR="002F2279" w:rsidRPr="00282AC9">
        <w:rPr>
          <w:rFonts w:hint="cs"/>
          <w:sz w:val="27"/>
          <w:rtl/>
        </w:rPr>
        <w:t>ٌ</w:t>
      </w:r>
      <w:r w:rsidRPr="00282AC9">
        <w:rPr>
          <w:rFonts w:hint="cs"/>
          <w:sz w:val="27"/>
          <w:rtl/>
        </w:rPr>
        <w:t xml:space="preserve"> لهذه المولوية يكون موضوع حكم العقل بالتنجّ</w:t>
      </w:r>
      <w:r w:rsidR="002F2279" w:rsidRPr="00282AC9">
        <w:rPr>
          <w:rFonts w:hint="cs"/>
          <w:sz w:val="27"/>
          <w:rtl/>
        </w:rPr>
        <w:t>ُ</w:t>
      </w:r>
      <w:r w:rsidRPr="00282AC9">
        <w:rPr>
          <w:rFonts w:hint="cs"/>
          <w:sz w:val="27"/>
          <w:rtl/>
        </w:rPr>
        <w:t>ز منتفياً، وبالتالي يكون الحكم بالتنجيز منتفياً أيضاً.</w:t>
      </w:r>
    </w:p>
    <w:p w:rsidR="00DA2F6D" w:rsidRPr="00282AC9" w:rsidRDefault="00DA2F6D" w:rsidP="00F066C8">
      <w:pPr>
        <w:rPr>
          <w:sz w:val="27"/>
          <w:rtl/>
        </w:rPr>
      </w:pPr>
      <w:r w:rsidRPr="00282AC9">
        <w:rPr>
          <w:rFonts w:hint="cs"/>
          <w:sz w:val="27"/>
          <w:rtl/>
        </w:rPr>
        <w:t>وعليه</w:t>
      </w:r>
      <w:r w:rsidR="002F2279" w:rsidRPr="00282AC9">
        <w:rPr>
          <w:rFonts w:hint="cs"/>
          <w:sz w:val="27"/>
          <w:rtl/>
        </w:rPr>
        <w:t>،</w:t>
      </w:r>
      <w:r w:rsidRPr="00282AC9">
        <w:rPr>
          <w:rFonts w:hint="cs"/>
          <w:sz w:val="27"/>
          <w:rtl/>
        </w:rPr>
        <w:t xml:space="preserve"> يت</w:t>
      </w:r>
      <w:r w:rsidR="002F2279" w:rsidRPr="00282AC9">
        <w:rPr>
          <w:rFonts w:hint="cs"/>
          <w:sz w:val="27"/>
          <w:rtl/>
        </w:rPr>
        <w:t>ّ</w:t>
      </w:r>
      <w:r w:rsidRPr="00282AC9">
        <w:rPr>
          <w:rFonts w:hint="cs"/>
          <w:sz w:val="27"/>
          <w:rtl/>
        </w:rPr>
        <w:t>ضح طبقاً لهذا التفصيل المتقدّ</w:t>
      </w:r>
      <w:r w:rsidR="002F2279" w:rsidRPr="00282AC9">
        <w:rPr>
          <w:rFonts w:hint="cs"/>
          <w:sz w:val="27"/>
          <w:rtl/>
        </w:rPr>
        <w:t>ِ</w:t>
      </w:r>
      <w:r w:rsidRPr="00282AC9">
        <w:rPr>
          <w:rFonts w:hint="cs"/>
          <w:sz w:val="27"/>
          <w:rtl/>
        </w:rPr>
        <w:t>م أن البحث في المنج</w:t>
      </w:r>
      <w:r w:rsidR="002F2279" w:rsidRPr="00282AC9">
        <w:rPr>
          <w:rFonts w:hint="cs"/>
          <w:sz w:val="27"/>
          <w:rtl/>
        </w:rPr>
        <w:t>ِّ</w:t>
      </w:r>
      <w:r w:rsidRPr="00282AC9">
        <w:rPr>
          <w:rFonts w:hint="cs"/>
          <w:sz w:val="27"/>
          <w:rtl/>
        </w:rPr>
        <w:t>زية يعود إلى المولوية؛ بحيث يُع</w:t>
      </w:r>
      <w:r w:rsidR="002F2279" w:rsidRPr="00282AC9">
        <w:rPr>
          <w:rFonts w:hint="cs"/>
          <w:sz w:val="27"/>
          <w:rtl/>
        </w:rPr>
        <w:t>َ</w:t>
      </w:r>
      <w:r w:rsidRPr="00282AC9">
        <w:rPr>
          <w:rFonts w:hint="cs"/>
          <w:sz w:val="27"/>
          <w:rtl/>
        </w:rPr>
        <w:t>دّ كل</w:t>
      </w:r>
      <w:r w:rsidR="002F2279" w:rsidRPr="00282AC9">
        <w:rPr>
          <w:rFonts w:hint="cs"/>
          <w:sz w:val="27"/>
          <w:rtl/>
        </w:rPr>
        <w:t>ّ</w:t>
      </w:r>
      <w:r w:rsidRPr="00282AC9">
        <w:rPr>
          <w:rFonts w:hint="cs"/>
          <w:sz w:val="27"/>
          <w:rtl/>
        </w:rPr>
        <w:t xml:space="preserve"> نوع</w:t>
      </w:r>
      <w:r w:rsidR="002F2279" w:rsidRPr="00282AC9">
        <w:rPr>
          <w:rFonts w:hint="cs"/>
          <w:sz w:val="27"/>
          <w:rtl/>
        </w:rPr>
        <w:t>ٍ</w:t>
      </w:r>
      <w:r w:rsidRPr="00282AC9">
        <w:rPr>
          <w:rFonts w:hint="cs"/>
          <w:sz w:val="27"/>
          <w:rtl/>
        </w:rPr>
        <w:t xml:space="preserve"> من أنواع التفصيل العقلي</w:t>
      </w:r>
      <w:r w:rsidR="002F2279" w:rsidRPr="00282AC9">
        <w:rPr>
          <w:rFonts w:hint="cs"/>
          <w:sz w:val="27"/>
          <w:rtl/>
        </w:rPr>
        <w:t>ّ</w:t>
      </w:r>
      <w:r w:rsidRPr="00282AC9">
        <w:rPr>
          <w:rFonts w:hint="cs"/>
          <w:sz w:val="27"/>
          <w:rtl/>
        </w:rPr>
        <w:t xml:space="preserve"> في الحج</w:t>
      </w:r>
      <w:r w:rsidR="002F2279" w:rsidRPr="00282AC9">
        <w:rPr>
          <w:rFonts w:hint="cs"/>
          <w:sz w:val="27"/>
          <w:rtl/>
        </w:rPr>
        <w:t>ِّ</w:t>
      </w:r>
      <w:r w:rsidRPr="00282AC9">
        <w:rPr>
          <w:rFonts w:hint="cs"/>
          <w:sz w:val="27"/>
          <w:rtl/>
        </w:rPr>
        <w:t>ية في الحقيقة تفصيلاً في المولوية</w:t>
      </w:r>
      <w:r w:rsidRPr="00282AC9">
        <w:rPr>
          <w:sz w:val="27"/>
          <w:vertAlign w:val="superscript"/>
          <w:rtl/>
        </w:rPr>
        <w:t>(</w:t>
      </w:r>
      <w:r w:rsidRPr="00282AC9">
        <w:rPr>
          <w:rStyle w:val="af9"/>
          <w:sz w:val="27"/>
          <w:rtl/>
        </w:rPr>
        <w:endnoteReference w:id="634"/>
      </w:r>
      <w:r w:rsidRPr="00282AC9">
        <w:rPr>
          <w:sz w:val="27"/>
          <w:vertAlign w:val="superscript"/>
          <w:rtl/>
        </w:rPr>
        <w:t>)</w:t>
      </w:r>
      <w:r w:rsidRPr="00282AC9">
        <w:rPr>
          <w:rFonts w:hint="cs"/>
          <w:sz w:val="27"/>
          <w:rtl/>
        </w:rPr>
        <w:t xml:space="preserve">. ولا يصحّ الفصل بين دائرة </w:t>
      </w:r>
      <w:r w:rsidRPr="00282AC9">
        <w:rPr>
          <w:rFonts w:hint="eastAsia"/>
          <w:sz w:val="24"/>
          <w:szCs w:val="24"/>
          <w:rtl/>
        </w:rPr>
        <w:t>«</w:t>
      </w:r>
      <w:r w:rsidRPr="00282AC9">
        <w:rPr>
          <w:rFonts w:hint="cs"/>
          <w:sz w:val="27"/>
          <w:rtl/>
        </w:rPr>
        <w:t>المولوي</w:t>
      </w:r>
      <w:r w:rsidR="002F2279" w:rsidRPr="00282AC9">
        <w:rPr>
          <w:rFonts w:hint="cs"/>
          <w:sz w:val="27"/>
          <w:rtl/>
        </w:rPr>
        <w:t>ّ</w:t>
      </w:r>
      <w:r w:rsidRPr="00282AC9">
        <w:rPr>
          <w:rFonts w:hint="cs"/>
          <w:sz w:val="27"/>
          <w:rtl/>
        </w:rPr>
        <w:t>ة وحق</w:t>
      </w:r>
      <w:r w:rsidR="002F2279" w:rsidRPr="00282AC9">
        <w:rPr>
          <w:rFonts w:hint="cs"/>
          <w:sz w:val="27"/>
          <w:rtl/>
        </w:rPr>
        <w:t>ّ</w:t>
      </w:r>
      <w:r w:rsidRPr="00282AC9">
        <w:rPr>
          <w:rFonts w:hint="cs"/>
          <w:sz w:val="27"/>
          <w:rtl/>
        </w:rPr>
        <w:t xml:space="preserve"> الطاعة</w:t>
      </w:r>
      <w:r w:rsidRPr="00282AC9">
        <w:rPr>
          <w:rFonts w:hint="eastAsia"/>
          <w:sz w:val="24"/>
          <w:szCs w:val="24"/>
          <w:rtl/>
        </w:rPr>
        <w:t>»</w:t>
      </w:r>
      <w:r w:rsidRPr="00282AC9">
        <w:rPr>
          <w:rFonts w:hint="cs"/>
          <w:sz w:val="27"/>
          <w:rtl/>
        </w:rPr>
        <w:t xml:space="preserve"> ودائرة </w:t>
      </w:r>
      <w:r w:rsidRPr="00282AC9">
        <w:rPr>
          <w:rFonts w:hint="eastAsia"/>
          <w:sz w:val="24"/>
          <w:szCs w:val="24"/>
          <w:rtl/>
        </w:rPr>
        <w:t>«</w:t>
      </w:r>
      <w:r w:rsidRPr="00282AC9">
        <w:rPr>
          <w:rFonts w:hint="cs"/>
          <w:sz w:val="27"/>
          <w:rtl/>
        </w:rPr>
        <w:t>الحج</w:t>
      </w:r>
      <w:r w:rsidR="002F2279" w:rsidRPr="00282AC9">
        <w:rPr>
          <w:rFonts w:hint="cs"/>
          <w:sz w:val="27"/>
          <w:rtl/>
        </w:rPr>
        <w:t>ِّ</w:t>
      </w:r>
      <w:r w:rsidRPr="00282AC9">
        <w:rPr>
          <w:rFonts w:hint="cs"/>
          <w:sz w:val="27"/>
          <w:rtl/>
        </w:rPr>
        <w:t>ية والتنجيز العقلي</w:t>
      </w:r>
      <w:r w:rsidRPr="00282AC9">
        <w:rPr>
          <w:rFonts w:hint="eastAsia"/>
          <w:sz w:val="24"/>
          <w:szCs w:val="24"/>
          <w:rtl/>
        </w:rPr>
        <w:t>»</w:t>
      </w:r>
      <w:r w:rsidR="002F2279" w:rsidRPr="00282AC9">
        <w:rPr>
          <w:rFonts w:hint="cs"/>
          <w:sz w:val="27"/>
          <w:rtl/>
        </w:rPr>
        <w:t>،</w:t>
      </w:r>
      <w:r w:rsidRPr="00282AC9">
        <w:rPr>
          <w:rFonts w:hint="cs"/>
          <w:sz w:val="27"/>
          <w:rtl/>
        </w:rPr>
        <w:t xml:space="preserve"> بل هناك ارتباط</w:t>
      </w:r>
      <w:r w:rsidR="002F2279" w:rsidRPr="00282AC9">
        <w:rPr>
          <w:rFonts w:hint="cs"/>
          <w:sz w:val="27"/>
          <w:rtl/>
        </w:rPr>
        <w:t>ٌ</w:t>
      </w:r>
      <w:r w:rsidRPr="00282AC9">
        <w:rPr>
          <w:rFonts w:hint="cs"/>
          <w:sz w:val="27"/>
          <w:rtl/>
        </w:rPr>
        <w:t xml:space="preserve"> وثيق بين هاتين الدائرتين. ولذلك يجب من الناحية المنهجية أن نبحث أو</w:t>
      </w:r>
      <w:r w:rsidR="002F2279" w:rsidRPr="00282AC9">
        <w:rPr>
          <w:rFonts w:hint="cs"/>
          <w:sz w:val="27"/>
          <w:rtl/>
        </w:rPr>
        <w:t>ّ</w:t>
      </w:r>
      <w:r w:rsidRPr="00282AC9">
        <w:rPr>
          <w:rFonts w:hint="cs"/>
          <w:sz w:val="27"/>
          <w:rtl/>
        </w:rPr>
        <w:t>لاً في دائرة مولوية وحق</w:t>
      </w:r>
      <w:r w:rsidR="002F2279" w:rsidRPr="00282AC9">
        <w:rPr>
          <w:rFonts w:hint="cs"/>
          <w:sz w:val="27"/>
          <w:rtl/>
        </w:rPr>
        <w:t>ّ</w:t>
      </w:r>
      <w:r w:rsidRPr="00282AC9">
        <w:rPr>
          <w:rFonts w:hint="cs"/>
          <w:sz w:val="27"/>
          <w:rtl/>
        </w:rPr>
        <w:t xml:space="preserve"> الطاعة للمولى.</w:t>
      </w:r>
    </w:p>
    <w:p w:rsidR="00DA2F6D" w:rsidRPr="00282AC9" w:rsidRDefault="00DA2F6D" w:rsidP="00F066C8">
      <w:pPr>
        <w:rPr>
          <w:sz w:val="27"/>
          <w:rtl/>
        </w:rPr>
      </w:pPr>
      <w:r w:rsidRPr="00282AC9">
        <w:rPr>
          <w:rFonts w:hint="cs"/>
          <w:sz w:val="27"/>
          <w:rtl/>
        </w:rPr>
        <w:t>وعليه تكون خلاصة المدّ</w:t>
      </w:r>
      <w:r w:rsidR="002F2279" w:rsidRPr="00282AC9">
        <w:rPr>
          <w:rFonts w:hint="cs"/>
          <w:sz w:val="27"/>
          <w:rtl/>
        </w:rPr>
        <w:t>َ</w:t>
      </w:r>
      <w:r w:rsidRPr="00282AC9">
        <w:rPr>
          <w:rFonts w:hint="cs"/>
          <w:sz w:val="27"/>
          <w:rtl/>
        </w:rPr>
        <w:t>عى إلى هنا هي أن مولوية المولى تشمل حت</w:t>
      </w:r>
      <w:r w:rsidR="002F2279" w:rsidRPr="00282AC9">
        <w:rPr>
          <w:rFonts w:hint="cs"/>
          <w:sz w:val="27"/>
          <w:rtl/>
        </w:rPr>
        <w:t>ّ</w:t>
      </w:r>
      <w:r w:rsidRPr="00282AC9">
        <w:rPr>
          <w:rFonts w:hint="cs"/>
          <w:sz w:val="27"/>
          <w:rtl/>
        </w:rPr>
        <w:t>ى موارد عدم حصول القطع بالتكليف. وعليه</w:t>
      </w:r>
      <w:r w:rsidR="002F2279" w:rsidRPr="00282AC9">
        <w:rPr>
          <w:rFonts w:hint="cs"/>
          <w:sz w:val="27"/>
          <w:rtl/>
        </w:rPr>
        <w:t>،</w:t>
      </w:r>
      <w:r w:rsidRPr="00282AC9">
        <w:rPr>
          <w:rFonts w:hint="cs"/>
          <w:sz w:val="27"/>
          <w:rtl/>
        </w:rPr>
        <w:t xml:space="preserve"> حت</w:t>
      </w:r>
      <w:r w:rsidR="002F2279" w:rsidRPr="00282AC9">
        <w:rPr>
          <w:rFonts w:hint="cs"/>
          <w:sz w:val="27"/>
          <w:rtl/>
        </w:rPr>
        <w:t>ّ</w:t>
      </w:r>
      <w:r w:rsidRPr="00282AC9">
        <w:rPr>
          <w:rFonts w:hint="cs"/>
          <w:sz w:val="27"/>
          <w:rtl/>
        </w:rPr>
        <w:t>ى لو توه</w:t>
      </w:r>
      <w:r w:rsidR="002F2279" w:rsidRPr="00282AC9">
        <w:rPr>
          <w:rFonts w:hint="cs"/>
          <w:sz w:val="27"/>
          <w:rtl/>
        </w:rPr>
        <w:t>َّ</w:t>
      </w:r>
      <w:r w:rsidRPr="00282AC9">
        <w:rPr>
          <w:rFonts w:hint="cs"/>
          <w:sz w:val="27"/>
          <w:rtl/>
        </w:rPr>
        <w:t>م المكل</w:t>
      </w:r>
      <w:r w:rsidR="002F2279" w:rsidRPr="00282AC9">
        <w:rPr>
          <w:rFonts w:hint="cs"/>
          <w:sz w:val="27"/>
          <w:rtl/>
        </w:rPr>
        <w:t>َّ</w:t>
      </w:r>
      <w:r w:rsidRPr="00282AC9">
        <w:rPr>
          <w:rFonts w:hint="cs"/>
          <w:sz w:val="27"/>
          <w:rtl/>
        </w:rPr>
        <w:t>ف التكليف ثبت</w:t>
      </w:r>
      <w:r w:rsidR="002F2279" w:rsidRPr="00282AC9">
        <w:rPr>
          <w:rFonts w:hint="cs"/>
          <w:sz w:val="27"/>
          <w:rtl/>
        </w:rPr>
        <w:t>َ</w:t>
      </w:r>
      <w:r w:rsidRPr="00282AC9">
        <w:rPr>
          <w:rFonts w:hint="cs"/>
          <w:sz w:val="27"/>
          <w:rtl/>
        </w:rPr>
        <w:t>ت</w:t>
      </w:r>
      <w:r w:rsidR="002F2279" w:rsidRPr="00282AC9">
        <w:rPr>
          <w:rFonts w:hint="cs"/>
          <w:sz w:val="27"/>
          <w:rtl/>
        </w:rPr>
        <w:t>ْ</w:t>
      </w:r>
      <w:r w:rsidRPr="00282AC9">
        <w:rPr>
          <w:rFonts w:hint="cs"/>
          <w:sz w:val="27"/>
          <w:rtl/>
        </w:rPr>
        <w:t xml:space="preserve"> في حق</w:t>
      </w:r>
      <w:r w:rsidR="002F2279" w:rsidRPr="00282AC9">
        <w:rPr>
          <w:rFonts w:hint="cs"/>
          <w:sz w:val="27"/>
          <w:rtl/>
        </w:rPr>
        <w:t>ِّ</w:t>
      </w:r>
      <w:r w:rsidRPr="00282AC9">
        <w:rPr>
          <w:rFonts w:hint="cs"/>
          <w:sz w:val="27"/>
          <w:rtl/>
        </w:rPr>
        <w:t>ه مولوية المولى وحق</w:t>
      </w:r>
      <w:r w:rsidR="002F2279" w:rsidRPr="00282AC9">
        <w:rPr>
          <w:rFonts w:hint="cs"/>
          <w:sz w:val="27"/>
          <w:rtl/>
        </w:rPr>
        <w:t>ّ</w:t>
      </w:r>
      <w:r w:rsidRPr="00282AC9">
        <w:rPr>
          <w:rFonts w:hint="cs"/>
          <w:sz w:val="27"/>
          <w:rtl/>
        </w:rPr>
        <w:t xml:space="preserve"> الطاعة</w:t>
      </w:r>
      <w:r w:rsidR="002F2279" w:rsidRPr="00282AC9">
        <w:rPr>
          <w:rFonts w:hint="cs"/>
          <w:sz w:val="27"/>
          <w:rtl/>
        </w:rPr>
        <w:t>.</w:t>
      </w:r>
      <w:r w:rsidRPr="00282AC9">
        <w:rPr>
          <w:rFonts w:hint="cs"/>
          <w:sz w:val="27"/>
          <w:rtl/>
        </w:rPr>
        <w:t xml:space="preserve"> ومن هنا فإن جميع هذه الحالات تكون مشمولة</w:t>
      </w:r>
      <w:r w:rsidR="002F2279" w:rsidRPr="00282AC9">
        <w:rPr>
          <w:rFonts w:hint="cs"/>
          <w:sz w:val="27"/>
          <w:rtl/>
        </w:rPr>
        <w:t>ً</w:t>
      </w:r>
      <w:r w:rsidRPr="00282AC9">
        <w:rPr>
          <w:rFonts w:hint="cs"/>
          <w:sz w:val="27"/>
          <w:rtl/>
        </w:rPr>
        <w:t xml:space="preserve"> للتنجّ</w:t>
      </w:r>
      <w:r w:rsidR="002F2279" w:rsidRPr="00282AC9">
        <w:rPr>
          <w:rFonts w:hint="cs"/>
          <w:sz w:val="27"/>
          <w:rtl/>
        </w:rPr>
        <w:t>ُ</w:t>
      </w:r>
      <w:r w:rsidRPr="00282AC9">
        <w:rPr>
          <w:rFonts w:hint="cs"/>
          <w:sz w:val="27"/>
          <w:rtl/>
        </w:rPr>
        <w:t>ز العقلي</w:t>
      </w:r>
      <w:r w:rsidR="002F2279" w:rsidRPr="00282AC9">
        <w:rPr>
          <w:rFonts w:hint="cs"/>
          <w:sz w:val="27"/>
          <w:rtl/>
        </w:rPr>
        <w:t>،</w:t>
      </w:r>
      <w:r w:rsidRPr="00282AC9">
        <w:rPr>
          <w:rFonts w:hint="cs"/>
          <w:sz w:val="27"/>
          <w:rtl/>
        </w:rPr>
        <w:t xml:space="preserve"> باستثناء حالة القطع بعدم التكليف</w:t>
      </w:r>
      <w:r w:rsidR="002F2279" w:rsidRPr="00282AC9">
        <w:rPr>
          <w:rFonts w:hint="cs"/>
          <w:sz w:val="27"/>
          <w:rtl/>
        </w:rPr>
        <w:t>.</w:t>
      </w:r>
      <w:r w:rsidRPr="00282AC9">
        <w:rPr>
          <w:rFonts w:hint="cs"/>
          <w:sz w:val="27"/>
          <w:rtl/>
        </w:rPr>
        <w:t xml:space="preserve"> ولذلك يتم</w:t>
      </w:r>
      <w:r w:rsidR="002F2279" w:rsidRPr="00282AC9">
        <w:rPr>
          <w:rFonts w:hint="cs"/>
          <w:sz w:val="27"/>
          <w:rtl/>
        </w:rPr>
        <w:t>ّ</w:t>
      </w:r>
      <w:r w:rsidRPr="00282AC9">
        <w:rPr>
          <w:rFonts w:hint="cs"/>
          <w:sz w:val="27"/>
          <w:rtl/>
        </w:rPr>
        <w:t xml:space="preserve"> على هذا الأساس إنكار قاعدة ق</w:t>
      </w:r>
      <w:r w:rsidR="002F2279" w:rsidRPr="00282AC9">
        <w:rPr>
          <w:rFonts w:hint="cs"/>
          <w:sz w:val="27"/>
          <w:rtl/>
        </w:rPr>
        <w:t>ُ</w:t>
      </w:r>
      <w:r w:rsidRPr="00282AC9">
        <w:rPr>
          <w:rFonts w:hint="cs"/>
          <w:sz w:val="27"/>
          <w:rtl/>
        </w:rPr>
        <w:t>ب</w:t>
      </w:r>
      <w:r w:rsidR="002F2279" w:rsidRPr="00282AC9">
        <w:rPr>
          <w:rFonts w:hint="cs"/>
          <w:sz w:val="27"/>
          <w:rtl/>
        </w:rPr>
        <w:t>ْ</w:t>
      </w:r>
      <w:r w:rsidRPr="00282AC9">
        <w:rPr>
          <w:rFonts w:hint="cs"/>
          <w:sz w:val="27"/>
          <w:rtl/>
        </w:rPr>
        <w:t>ح العقاب بلا بيان.</w:t>
      </w:r>
    </w:p>
    <w:p w:rsidR="00DA2F6D" w:rsidRPr="00282AC9" w:rsidRDefault="00DA2F6D" w:rsidP="00F066C8">
      <w:pPr>
        <w:rPr>
          <w:sz w:val="27"/>
          <w:rtl/>
        </w:rPr>
      </w:pPr>
      <w:r w:rsidRPr="00282AC9">
        <w:rPr>
          <w:rFonts w:hint="cs"/>
          <w:sz w:val="27"/>
          <w:rtl/>
        </w:rPr>
        <w:t>وعليه</w:t>
      </w:r>
      <w:r w:rsidR="002F2279" w:rsidRPr="00282AC9">
        <w:rPr>
          <w:rFonts w:hint="cs"/>
          <w:sz w:val="27"/>
          <w:rtl/>
        </w:rPr>
        <w:t>،</w:t>
      </w:r>
      <w:r w:rsidRPr="00282AC9">
        <w:rPr>
          <w:rFonts w:hint="cs"/>
          <w:sz w:val="27"/>
          <w:rtl/>
        </w:rPr>
        <w:t xml:space="preserve"> فإنه طبقاً لما تقدّ</w:t>
      </w:r>
      <w:r w:rsidR="002F2279" w:rsidRPr="00282AC9">
        <w:rPr>
          <w:rFonts w:hint="cs"/>
          <w:sz w:val="27"/>
          <w:rtl/>
        </w:rPr>
        <w:t>َ</w:t>
      </w:r>
      <w:r w:rsidRPr="00282AC9">
        <w:rPr>
          <w:rFonts w:hint="cs"/>
          <w:sz w:val="27"/>
          <w:rtl/>
        </w:rPr>
        <w:t>م من بيان آراء السيد الشهيد الصدر ضمن هذه المقد</w:t>
      </w:r>
      <w:r w:rsidR="002F2279" w:rsidRPr="00282AC9">
        <w:rPr>
          <w:rFonts w:hint="cs"/>
          <w:sz w:val="27"/>
          <w:rtl/>
        </w:rPr>
        <w:t>ّ</w:t>
      </w:r>
      <w:r w:rsidRPr="00282AC9">
        <w:rPr>
          <w:rFonts w:hint="cs"/>
          <w:sz w:val="27"/>
          <w:rtl/>
        </w:rPr>
        <w:t>مات الثلاثة، وهي:</w:t>
      </w:r>
    </w:p>
    <w:p w:rsidR="00DA2F6D" w:rsidRPr="00282AC9" w:rsidRDefault="00DA2F6D" w:rsidP="00F066C8">
      <w:pPr>
        <w:rPr>
          <w:sz w:val="27"/>
          <w:rtl/>
        </w:rPr>
      </w:pPr>
      <w:r w:rsidRPr="00282AC9">
        <w:rPr>
          <w:rFonts w:hint="cs"/>
          <w:b/>
          <w:bCs/>
          <w:sz w:val="27"/>
          <w:rtl/>
        </w:rPr>
        <w:t>أو</w:t>
      </w:r>
      <w:r w:rsidR="002F2279" w:rsidRPr="00282AC9">
        <w:rPr>
          <w:rFonts w:hint="cs"/>
          <w:b/>
          <w:bCs/>
          <w:sz w:val="27"/>
          <w:rtl/>
        </w:rPr>
        <w:t>ّ</w:t>
      </w:r>
      <w:r w:rsidRPr="00282AC9">
        <w:rPr>
          <w:rFonts w:hint="cs"/>
          <w:b/>
          <w:bCs/>
          <w:sz w:val="27"/>
          <w:rtl/>
        </w:rPr>
        <w:t>لاً</w:t>
      </w:r>
      <w:r w:rsidRPr="00282AC9">
        <w:rPr>
          <w:rFonts w:hint="cs"/>
          <w:sz w:val="27"/>
          <w:rtl/>
        </w:rPr>
        <w:t>: إن الحج</w:t>
      </w:r>
      <w:r w:rsidR="002F2279" w:rsidRPr="00282AC9">
        <w:rPr>
          <w:rFonts w:hint="cs"/>
          <w:sz w:val="27"/>
          <w:rtl/>
        </w:rPr>
        <w:t>ِّ</w:t>
      </w:r>
      <w:r w:rsidRPr="00282AC9">
        <w:rPr>
          <w:rFonts w:hint="cs"/>
          <w:sz w:val="27"/>
          <w:rtl/>
        </w:rPr>
        <w:t>ية والمنج</w:t>
      </w:r>
      <w:r w:rsidR="002F2279" w:rsidRPr="00282AC9">
        <w:rPr>
          <w:rFonts w:hint="cs"/>
          <w:sz w:val="27"/>
          <w:rtl/>
        </w:rPr>
        <w:t>ِّ</w:t>
      </w:r>
      <w:r w:rsidRPr="00282AC9">
        <w:rPr>
          <w:rFonts w:hint="cs"/>
          <w:sz w:val="27"/>
          <w:rtl/>
        </w:rPr>
        <w:t>زية من شؤون المولوية ـ دون القطع ـ</w:t>
      </w:r>
      <w:r w:rsidR="002F2279" w:rsidRPr="00282AC9">
        <w:rPr>
          <w:rFonts w:hint="cs"/>
          <w:sz w:val="27"/>
          <w:rtl/>
        </w:rPr>
        <w:t>،</w:t>
      </w:r>
      <w:r w:rsidRPr="00282AC9">
        <w:rPr>
          <w:rFonts w:hint="cs"/>
          <w:sz w:val="27"/>
          <w:rtl/>
        </w:rPr>
        <w:t xml:space="preserve"> وإن الفصل بين </w:t>
      </w:r>
      <w:r w:rsidRPr="00282AC9">
        <w:rPr>
          <w:rFonts w:hint="cs"/>
          <w:sz w:val="27"/>
          <w:rtl/>
        </w:rPr>
        <w:lastRenderedPageBreak/>
        <w:t>هاتين الدائرتين خاطئ</w:t>
      </w:r>
      <w:r w:rsidR="002F2279" w:rsidRPr="00282AC9">
        <w:rPr>
          <w:rFonts w:hint="cs"/>
          <w:sz w:val="27"/>
          <w:rtl/>
        </w:rPr>
        <w:t>ٌ</w:t>
      </w:r>
      <w:r w:rsidRPr="00282AC9">
        <w:rPr>
          <w:rFonts w:hint="cs"/>
          <w:sz w:val="27"/>
          <w:rtl/>
        </w:rPr>
        <w:t>، على ما تقد</w:t>
      </w:r>
      <w:r w:rsidR="002F2279" w:rsidRPr="00282AC9">
        <w:rPr>
          <w:rFonts w:hint="cs"/>
          <w:sz w:val="27"/>
          <w:rtl/>
        </w:rPr>
        <w:t>َّ</w:t>
      </w:r>
      <w:r w:rsidRPr="00282AC9">
        <w:rPr>
          <w:rFonts w:hint="cs"/>
          <w:sz w:val="27"/>
          <w:rtl/>
        </w:rPr>
        <w:t>م إثباته.</w:t>
      </w:r>
    </w:p>
    <w:p w:rsidR="00DA2F6D" w:rsidRPr="00282AC9" w:rsidRDefault="00DA2F6D" w:rsidP="00F066C8">
      <w:pPr>
        <w:rPr>
          <w:sz w:val="27"/>
          <w:rtl/>
        </w:rPr>
      </w:pPr>
      <w:r w:rsidRPr="00282AC9">
        <w:rPr>
          <w:rFonts w:hint="cs"/>
          <w:b/>
          <w:bCs/>
          <w:sz w:val="27"/>
          <w:rtl/>
        </w:rPr>
        <w:t>ثانياً</w:t>
      </w:r>
      <w:r w:rsidRPr="00282AC9">
        <w:rPr>
          <w:rFonts w:hint="cs"/>
          <w:sz w:val="27"/>
          <w:rtl/>
        </w:rPr>
        <w:t>: لا موضوعية للقطع بما هو قطع</w:t>
      </w:r>
      <w:r w:rsidR="002F2279" w:rsidRPr="00282AC9">
        <w:rPr>
          <w:rFonts w:hint="cs"/>
          <w:sz w:val="27"/>
          <w:rtl/>
        </w:rPr>
        <w:t>ٌ</w:t>
      </w:r>
      <w:r w:rsidRPr="00282AC9">
        <w:rPr>
          <w:rFonts w:hint="cs"/>
          <w:sz w:val="27"/>
          <w:rtl/>
        </w:rPr>
        <w:t>، بل الذي له الموضوعية هو ذات الانكشاف</w:t>
      </w:r>
      <w:r w:rsidR="002F2279" w:rsidRPr="00282AC9">
        <w:rPr>
          <w:rFonts w:hint="cs"/>
          <w:sz w:val="27"/>
          <w:rtl/>
        </w:rPr>
        <w:t>،</w:t>
      </w:r>
      <w:r w:rsidRPr="00282AC9">
        <w:rPr>
          <w:rFonts w:hint="cs"/>
          <w:sz w:val="27"/>
          <w:rtl/>
        </w:rPr>
        <w:t xml:space="preserve"> سواء</w:t>
      </w:r>
      <w:r w:rsidR="002F2279" w:rsidRPr="00282AC9">
        <w:rPr>
          <w:rFonts w:hint="cs"/>
          <w:sz w:val="27"/>
          <w:rtl/>
        </w:rPr>
        <w:t>ٌ</w:t>
      </w:r>
      <w:r w:rsidRPr="00282AC9">
        <w:rPr>
          <w:rFonts w:hint="cs"/>
          <w:sz w:val="27"/>
          <w:rtl/>
        </w:rPr>
        <w:t xml:space="preserve"> أكان على نحو القطع أو الاحتمال (الشامل للظن</w:t>
      </w:r>
      <w:r w:rsidR="002F2279" w:rsidRPr="00282AC9">
        <w:rPr>
          <w:rFonts w:hint="cs"/>
          <w:sz w:val="27"/>
          <w:rtl/>
        </w:rPr>
        <w:t>ّ</w:t>
      </w:r>
      <w:r w:rsidRPr="00282AC9">
        <w:rPr>
          <w:rFonts w:hint="cs"/>
          <w:sz w:val="27"/>
          <w:rtl/>
        </w:rPr>
        <w:t xml:space="preserve"> والشك</w:t>
      </w:r>
      <w:r w:rsidR="002F2279" w:rsidRPr="00282AC9">
        <w:rPr>
          <w:rFonts w:hint="cs"/>
          <w:sz w:val="27"/>
          <w:rtl/>
        </w:rPr>
        <w:t>ّ</w:t>
      </w:r>
      <w:r w:rsidRPr="00282AC9">
        <w:rPr>
          <w:rFonts w:hint="cs"/>
          <w:sz w:val="27"/>
          <w:rtl/>
        </w:rPr>
        <w:t xml:space="preserve"> والو</w:t>
      </w:r>
      <w:r w:rsidR="002F2279" w:rsidRPr="00282AC9">
        <w:rPr>
          <w:rFonts w:hint="cs"/>
          <w:sz w:val="27"/>
          <w:rtl/>
        </w:rPr>
        <w:t>َ</w:t>
      </w:r>
      <w:r w:rsidRPr="00282AC9">
        <w:rPr>
          <w:rFonts w:hint="cs"/>
          <w:sz w:val="27"/>
          <w:rtl/>
        </w:rPr>
        <w:t>ه</w:t>
      </w:r>
      <w:r w:rsidR="002F2279" w:rsidRPr="00282AC9">
        <w:rPr>
          <w:rFonts w:hint="cs"/>
          <w:sz w:val="27"/>
          <w:rtl/>
        </w:rPr>
        <w:t>ْ</w:t>
      </w:r>
      <w:r w:rsidRPr="00282AC9">
        <w:rPr>
          <w:rFonts w:hint="cs"/>
          <w:sz w:val="27"/>
          <w:rtl/>
        </w:rPr>
        <w:t>م).</w:t>
      </w:r>
    </w:p>
    <w:p w:rsidR="00DA2F6D" w:rsidRPr="00282AC9" w:rsidRDefault="00DA2F6D" w:rsidP="00F066C8">
      <w:pPr>
        <w:rPr>
          <w:sz w:val="27"/>
          <w:rtl/>
        </w:rPr>
      </w:pPr>
      <w:r w:rsidRPr="00282AC9">
        <w:rPr>
          <w:rFonts w:hint="cs"/>
          <w:b/>
          <w:bCs/>
          <w:sz w:val="27"/>
          <w:rtl/>
        </w:rPr>
        <w:t>ثالثاً</w:t>
      </w:r>
      <w:r w:rsidRPr="00282AC9">
        <w:rPr>
          <w:rFonts w:hint="cs"/>
          <w:sz w:val="27"/>
          <w:rtl/>
        </w:rPr>
        <w:t>: التفكيك بين دائرة الطاعة للموالي الع</w:t>
      </w:r>
      <w:r w:rsidR="00087603" w:rsidRPr="00282AC9">
        <w:rPr>
          <w:rFonts w:hint="cs"/>
          <w:sz w:val="27"/>
          <w:rtl/>
        </w:rPr>
        <w:t>ُ</w:t>
      </w:r>
      <w:r w:rsidRPr="00282AC9">
        <w:rPr>
          <w:rFonts w:hint="cs"/>
          <w:sz w:val="27"/>
          <w:rtl/>
        </w:rPr>
        <w:t>ر</w:t>
      </w:r>
      <w:r w:rsidR="00087603" w:rsidRPr="00282AC9">
        <w:rPr>
          <w:rFonts w:hint="cs"/>
          <w:sz w:val="27"/>
          <w:rtl/>
        </w:rPr>
        <w:t>ْ</w:t>
      </w:r>
      <w:r w:rsidRPr="00282AC9">
        <w:rPr>
          <w:rFonts w:hint="cs"/>
          <w:sz w:val="27"/>
          <w:rtl/>
        </w:rPr>
        <w:t>فيين ودائرة الطاعة للمولى الحقيقي؛ حيث لكلتا الدائرتين مقتضيات</w:t>
      </w:r>
      <w:r w:rsidR="00087603" w:rsidRPr="00282AC9">
        <w:rPr>
          <w:rFonts w:hint="cs"/>
          <w:sz w:val="27"/>
          <w:rtl/>
        </w:rPr>
        <w:t>ٌ</w:t>
      </w:r>
      <w:r w:rsidRPr="00282AC9">
        <w:rPr>
          <w:rFonts w:hint="cs"/>
          <w:sz w:val="27"/>
          <w:rtl/>
        </w:rPr>
        <w:t xml:space="preserve"> مختلفة، وإن مولوية الله سبحانه وتعالى مولوية ذاتية.</w:t>
      </w:r>
    </w:p>
    <w:p w:rsidR="00DA2F6D" w:rsidRPr="00282AC9" w:rsidRDefault="00DA2F6D" w:rsidP="00F066C8">
      <w:pPr>
        <w:rPr>
          <w:sz w:val="27"/>
          <w:rtl/>
        </w:rPr>
      </w:pPr>
      <w:r w:rsidRPr="00282AC9">
        <w:rPr>
          <w:rFonts w:hint="cs"/>
          <w:sz w:val="27"/>
          <w:rtl/>
        </w:rPr>
        <w:t>يثبت طبقاً لهذه المقد</w:t>
      </w:r>
      <w:r w:rsidR="00087603" w:rsidRPr="00282AC9">
        <w:rPr>
          <w:rFonts w:hint="cs"/>
          <w:sz w:val="27"/>
          <w:rtl/>
        </w:rPr>
        <w:t>ّ</w:t>
      </w:r>
      <w:r w:rsidRPr="00282AC9">
        <w:rPr>
          <w:rFonts w:hint="cs"/>
          <w:sz w:val="27"/>
          <w:rtl/>
        </w:rPr>
        <w:t>مات الثلاثة أن هذه المالكي</w:t>
      </w:r>
      <w:r w:rsidR="00087603" w:rsidRPr="00282AC9">
        <w:rPr>
          <w:rFonts w:hint="cs"/>
          <w:sz w:val="27"/>
          <w:rtl/>
        </w:rPr>
        <w:t>ّ</w:t>
      </w:r>
      <w:r w:rsidRPr="00282AC9">
        <w:rPr>
          <w:rFonts w:hint="cs"/>
          <w:sz w:val="27"/>
          <w:rtl/>
        </w:rPr>
        <w:t>ة والمنعميّة لله تعالى تقتضي من</w:t>
      </w:r>
      <w:r w:rsidR="00087603" w:rsidRPr="00282AC9">
        <w:rPr>
          <w:rFonts w:hint="cs"/>
          <w:sz w:val="27"/>
          <w:rtl/>
        </w:rPr>
        <w:t>ّ</w:t>
      </w:r>
      <w:r w:rsidRPr="00282AC9">
        <w:rPr>
          <w:rFonts w:hint="cs"/>
          <w:sz w:val="27"/>
          <w:rtl/>
        </w:rPr>
        <w:t>ا وجوب امتثال الحكم</w:t>
      </w:r>
      <w:r w:rsidR="00087603" w:rsidRPr="00282AC9">
        <w:rPr>
          <w:rFonts w:hint="cs"/>
          <w:sz w:val="27"/>
          <w:rtl/>
        </w:rPr>
        <w:t>،</w:t>
      </w:r>
      <w:r w:rsidRPr="00282AC9">
        <w:rPr>
          <w:rFonts w:hint="cs"/>
          <w:sz w:val="27"/>
          <w:rtl/>
        </w:rPr>
        <w:t xml:space="preserve"> وثبوت حق</w:t>
      </w:r>
      <w:r w:rsidR="00087603" w:rsidRPr="00282AC9">
        <w:rPr>
          <w:rFonts w:hint="cs"/>
          <w:sz w:val="27"/>
          <w:rtl/>
        </w:rPr>
        <w:t>ّ</w:t>
      </w:r>
      <w:r w:rsidRPr="00282AC9">
        <w:rPr>
          <w:rFonts w:hint="cs"/>
          <w:sz w:val="27"/>
          <w:rtl/>
        </w:rPr>
        <w:t xml:space="preserve"> الطاعة</w:t>
      </w:r>
      <w:r w:rsidR="00087603" w:rsidRPr="00282AC9">
        <w:rPr>
          <w:rFonts w:hint="cs"/>
          <w:sz w:val="27"/>
          <w:rtl/>
        </w:rPr>
        <w:t>،</w:t>
      </w:r>
      <w:r w:rsidRPr="00282AC9">
        <w:rPr>
          <w:rFonts w:hint="cs"/>
          <w:sz w:val="27"/>
          <w:rtl/>
        </w:rPr>
        <w:t xml:space="preserve"> حت</w:t>
      </w:r>
      <w:r w:rsidR="00087603" w:rsidRPr="00282AC9">
        <w:rPr>
          <w:rFonts w:hint="cs"/>
          <w:sz w:val="27"/>
          <w:rtl/>
        </w:rPr>
        <w:t>ّ</w:t>
      </w:r>
      <w:r w:rsidRPr="00282AC9">
        <w:rPr>
          <w:rFonts w:hint="cs"/>
          <w:sz w:val="27"/>
          <w:rtl/>
        </w:rPr>
        <w:t>ى في ظرف الشك</w:t>
      </w:r>
      <w:r w:rsidR="00087603" w:rsidRPr="00282AC9">
        <w:rPr>
          <w:rFonts w:hint="cs"/>
          <w:sz w:val="27"/>
          <w:rtl/>
        </w:rPr>
        <w:t>ّ</w:t>
      </w:r>
      <w:r w:rsidRPr="00282AC9">
        <w:rPr>
          <w:rFonts w:hint="cs"/>
          <w:sz w:val="27"/>
          <w:rtl/>
        </w:rPr>
        <w:t xml:space="preserve"> بالحكم الشرعي. وعليه</w:t>
      </w:r>
      <w:r w:rsidR="00087603" w:rsidRPr="00282AC9">
        <w:rPr>
          <w:rFonts w:hint="cs"/>
          <w:sz w:val="27"/>
          <w:rtl/>
        </w:rPr>
        <w:t>،</w:t>
      </w:r>
      <w:r w:rsidRPr="00282AC9">
        <w:rPr>
          <w:rFonts w:hint="cs"/>
          <w:sz w:val="27"/>
          <w:rtl/>
        </w:rPr>
        <w:t xml:space="preserve"> لا يبقى هناك موضع</w:t>
      </w:r>
      <w:r w:rsidR="00087603" w:rsidRPr="00282AC9">
        <w:rPr>
          <w:rFonts w:hint="cs"/>
          <w:sz w:val="27"/>
          <w:rtl/>
        </w:rPr>
        <w:t xml:space="preserve">ٌ </w:t>
      </w:r>
      <w:r w:rsidRPr="00282AC9">
        <w:rPr>
          <w:rFonts w:hint="cs"/>
          <w:sz w:val="27"/>
          <w:rtl/>
        </w:rPr>
        <w:t>لجريان البراءة</w:t>
      </w:r>
      <w:r w:rsidR="00087603" w:rsidRPr="00282AC9">
        <w:rPr>
          <w:rFonts w:hint="cs"/>
          <w:sz w:val="27"/>
          <w:rtl/>
        </w:rPr>
        <w:t>،</w:t>
      </w:r>
      <w:r w:rsidRPr="00282AC9">
        <w:rPr>
          <w:rFonts w:hint="cs"/>
          <w:sz w:val="27"/>
          <w:rtl/>
        </w:rPr>
        <w:t xml:space="preserve"> التي تستند إلى قاعدة ق</w:t>
      </w:r>
      <w:r w:rsidR="00087603" w:rsidRPr="00282AC9">
        <w:rPr>
          <w:rFonts w:hint="cs"/>
          <w:sz w:val="27"/>
          <w:rtl/>
        </w:rPr>
        <w:t>ُ</w:t>
      </w:r>
      <w:r w:rsidRPr="00282AC9">
        <w:rPr>
          <w:rFonts w:hint="cs"/>
          <w:sz w:val="27"/>
          <w:rtl/>
        </w:rPr>
        <w:t>ب</w:t>
      </w:r>
      <w:r w:rsidR="00087603" w:rsidRPr="00282AC9">
        <w:rPr>
          <w:rFonts w:hint="cs"/>
          <w:sz w:val="27"/>
          <w:rtl/>
        </w:rPr>
        <w:t>ْ</w:t>
      </w:r>
      <w:r w:rsidRPr="00282AC9">
        <w:rPr>
          <w:rFonts w:hint="cs"/>
          <w:sz w:val="27"/>
          <w:rtl/>
        </w:rPr>
        <w:t>ح العقاب بلا بيان</w:t>
      </w:r>
      <w:r w:rsidR="00087603" w:rsidRPr="00282AC9">
        <w:rPr>
          <w:rFonts w:hint="cs"/>
          <w:sz w:val="27"/>
          <w:rtl/>
        </w:rPr>
        <w:t>ٍ</w:t>
      </w:r>
      <w:r w:rsidRPr="00282AC9">
        <w:rPr>
          <w:rFonts w:hint="cs"/>
          <w:sz w:val="27"/>
          <w:rtl/>
        </w:rPr>
        <w:t>.</w:t>
      </w:r>
    </w:p>
    <w:p w:rsidR="00DA2F6D" w:rsidRPr="00282AC9" w:rsidRDefault="00DA2F6D" w:rsidP="00F066C8">
      <w:pPr>
        <w:rPr>
          <w:sz w:val="27"/>
          <w:rtl/>
        </w:rPr>
      </w:pPr>
      <w:r w:rsidRPr="00282AC9">
        <w:rPr>
          <w:rFonts w:hint="cs"/>
          <w:sz w:val="27"/>
          <w:rtl/>
        </w:rPr>
        <w:t>وأرى أنه</w:t>
      </w:r>
      <w:r w:rsidR="00087603" w:rsidRPr="00282AC9">
        <w:rPr>
          <w:rFonts w:hint="cs"/>
          <w:sz w:val="27"/>
          <w:rtl/>
        </w:rPr>
        <w:t>،</w:t>
      </w:r>
      <w:r w:rsidRPr="00282AC9">
        <w:rPr>
          <w:rFonts w:hint="cs"/>
          <w:sz w:val="27"/>
          <w:rtl/>
        </w:rPr>
        <w:t xml:space="preserve"> بعد الالتفات إلى ما تقدّ</w:t>
      </w:r>
      <w:r w:rsidR="00087603" w:rsidRPr="00282AC9">
        <w:rPr>
          <w:rFonts w:hint="cs"/>
          <w:sz w:val="27"/>
          <w:rtl/>
        </w:rPr>
        <w:t>َ</w:t>
      </w:r>
      <w:r w:rsidRPr="00282AC9">
        <w:rPr>
          <w:rFonts w:hint="cs"/>
          <w:sz w:val="27"/>
          <w:rtl/>
        </w:rPr>
        <w:t>م من الأبحاث، لا يبقى هناك شخص</w:t>
      </w:r>
      <w:r w:rsidR="00087603" w:rsidRPr="00282AC9">
        <w:rPr>
          <w:rFonts w:hint="cs"/>
          <w:sz w:val="27"/>
          <w:rtl/>
        </w:rPr>
        <w:t>ٌ</w:t>
      </w:r>
      <w:r w:rsidRPr="00282AC9">
        <w:rPr>
          <w:rFonts w:hint="cs"/>
          <w:sz w:val="27"/>
          <w:rtl/>
        </w:rPr>
        <w:t xml:space="preserve"> لا يقول بسعة دائرة المولوي</w:t>
      </w:r>
      <w:r w:rsidR="00087603" w:rsidRPr="00282AC9">
        <w:rPr>
          <w:rFonts w:hint="cs"/>
          <w:sz w:val="27"/>
          <w:rtl/>
        </w:rPr>
        <w:t>ّ</w:t>
      </w:r>
      <w:r w:rsidRPr="00282AC9">
        <w:rPr>
          <w:rFonts w:hint="cs"/>
          <w:sz w:val="27"/>
          <w:rtl/>
        </w:rPr>
        <w:t>ة بالنسبة إلى المولى الحقيقي، وذلك بالنحو الشامل حت</w:t>
      </w:r>
      <w:r w:rsidR="00087603" w:rsidRPr="00282AC9">
        <w:rPr>
          <w:rFonts w:hint="cs"/>
          <w:sz w:val="27"/>
          <w:rtl/>
        </w:rPr>
        <w:t>ّ</w:t>
      </w:r>
      <w:r w:rsidRPr="00282AC9">
        <w:rPr>
          <w:rFonts w:hint="cs"/>
          <w:sz w:val="27"/>
          <w:rtl/>
        </w:rPr>
        <w:t>ى للتكاليف الموهومة أيضاً</w:t>
      </w:r>
      <w:r w:rsidRPr="00282AC9">
        <w:rPr>
          <w:sz w:val="27"/>
          <w:vertAlign w:val="superscript"/>
          <w:rtl/>
        </w:rPr>
        <w:t>(</w:t>
      </w:r>
      <w:r w:rsidRPr="00282AC9">
        <w:rPr>
          <w:rStyle w:val="af9"/>
          <w:sz w:val="27"/>
          <w:rtl/>
        </w:rPr>
        <w:endnoteReference w:id="635"/>
      </w:r>
      <w:r w:rsidRPr="00282AC9">
        <w:rPr>
          <w:sz w:val="27"/>
          <w:vertAlign w:val="superscript"/>
          <w:rtl/>
        </w:rPr>
        <w:t>)</w:t>
      </w:r>
      <w:r w:rsidRPr="00282AC9">
        <w:rPr>
          <w:rFonts w:hint="cs"/>
          <w:sz w:val="27"/>
          <w:rtl/>
        </w:rPr>
        <w:t>.</w:t>
      </w:r>
    </w:p>
    <w:p w:rsidR="00F066C8" w:rsidRPr="00282AC9" w:rsidRDefault="00F066C8" w:rsidP="00F066C8">
      <w:pPr>
        <w:spacing w:line="420" w:lineRule="exact"/>
        <w:rPr>
          <w:rtl/>
        </w:rPr>
      </w:pPr>
    </w:p>
    <w:p w:rsidR="00DA2F6D" w:rsidRPr="00282AC9" w:rsidRDefault="00DA2F6D" w:rsidP="00BD3176">
      <w:pPr>
        <w:pStyle w:val="31"/>
        <w:rPr>
          <w:color w:val="auto"/>
          <w:rtl/>
        </w:rPr>
      </w:pPr>
      <w:r w:rsidRPr="00282AC9">
        <w:rPr>
          <w:rFonts w:hint="cs"/>
          <w:color w:val="auto"/>
          <w:rtl/>
        </w:rPr>
        <w:t>النتيجة</w:t>
      </w:r>
    </w:p>
    <w:p w:rsidR="00DA2F6D" w:rsidRPr="00282AC9" w:rsidRDefault="00DA2F6D" w:rsidP="00F066C8">
      <w:pPr>
        <w:rPr>
          <w:sz w:val="27"/>
          <w:rtl/>
        </w:rPr>
      </w:pPr>
      <w:r w:rsidRPr="00282AC9">
        <w:rPr>
          <w:rFonts w:hint="cs"/>
          <w:sz w:val="27"/>
          <w:rtl/>
        </w:rPr>
        <w:t>نصل من خلال التدقيق في نظري</w:t>
      </w:r>
      <w:r w:rsidR="00087603" w:rsidRPr="00282AC9">
        <w:rPr>
          <w:rFonts w:hint="cs"/>
          <w:sz w:val="27"/>
          <w:rtl/>
        </w:rPr>
        <w:t>ّتَيْ</w:t>
      </w:r>
      <w:r w:rsidRPr="00282AC9">
        <w:rPr>
          <w:rFonts w:hint="cs"/>
          <w:sz w:val="27"/>
          <w:rtl/>
        </w:rPr>
        <w:t xml:space="preserve"> السيد الروحاني </w:t>
      </w:r>
      <w:r w:rsidR="00087603" w:rsidRPr="00282AC9">
        <w:rPr>
          <w:rFonts w:hint="cs"/>
          <w:sz w:val="27"/>
          <w:rtl/>
        </w:rPr>
        <w:t>و</w:t>
      </w:r>
      <w:r w:rsidRPr="00282AC9">
        <w:rPr>
          <w:rFonts w:hint="cs"/>
          <w:sz w:val="27"/>
          <w:rtl/>
        </w:rPr>
        <w:t>السيد الشهيد الصدر إلى هذه النتيجة، وهي أنه على الرغم من أن كلا هذين الع</w:t>
      </w:r>
      <w:r w:rsidR="00087603" w:rsidRPr="00282AC9">
        <w:rPr>
          <w:rFonts w:hint="cs"/>
          <w:sz w:val="27"/>
          <w:rtl/>
        </w:rPr>
        <w:t>َ</w:t>
      </w:r>
      <w:r w:rsidRPr="00282AC9">
        <w:rPr>
          <w:rFonts w:hint="cs"/>
          <w:sz w:val="27"/>
          <w:rtl/>
        </w:rPr>
        <w:t>ل</w:t>
      </w:r>
      <w:r w:rsidR="00087603" w:rsidRPr="00282AC9">
        <w:rPr>
          <w:rFonts w:hint="cs"/>
          <w:sz w:val="27"/>
          <w:rtl/>
        </w:rPr>
        <w:t>َ</w:t>
      </w:r>
      <w:r w:rsidRPr="00282AC9">
        <w:rPr>
          <w:rFonts w:hint="cs"/>
          <w:sz w:val="27"/>
          <w:rtl/>
        </w:rPr>
        <w:t>مين قد أنكر القاعدة العقلية القائلة بق</w:t>
      </w:r>
      <w:r w:rsidR="00087603" w:rsidRPr="00282AC9">
        <w:rPr>
          <w:rFonts w:hint="cs"/>
          <w:sz w:val="27"/>
          <w:rtl/>
        </w:rPr>
        <w:t>ُ</w:t>
      </w:r>
      <w:r w:rsidRPr="00282AC9">
        <w:rPr>
          <w:rFonts w:hint="cs"/>
          <w:sz w:val="27"/>
          <w:rtl/>
        </w:rPr>
        <w:t>ب</w:t>
      </w:r>
      <w:r w:rsidR="00087603" w:rsidRPr="00282AC9">
        <w:rPr>
          <w:rFonts w:hint="cs"/>
          <w:sz w:val="27"/>
          <w:rtl/>
        </w:rPr>
        <w:t>ْ</w:t>
      </w:r>
      <w:r w:rsidRPr="00282AC9">
        <w:rPr>
          <w:rFonts w:hint="cs"/>
          <w:sz w:val="27"/>
          <w:rtl/>
        </w:rPr>
        <w:t>ح العقاب بلا بيان</w:t>
      </w:r>
      <w:r w:rsidR="00087603" w:rsidRPr="00282AC9">
        <w:rPr>
          <w:rFonts w:hint="cs"/>
          <w:sz w:val="27"/>
          <w:rtl/>
        </w:rPr>
        <w:t>ٍ</w:t>
      </w:r>
      <w:r w:rsidRPr="00282AC9">
        <w:rPr>
          <w:rFonts w:hint="cs"/>
          <w:sz w:val="27"/>
          <w:rtl/>
        </w:rPr>
        <w:t>، إلا</w:t>
      </w:r>
      <w:r w:rsidR="00087603" w:rsidRPr="00282AC9">
        <w:rPr>
          <w:rFonts w:hint="cs"/>
          <w:sz w:val="27"/>
          <w:rtl/>
        </w:rPr>
        <w:t>ّ</w:t>
      </w:r>
      <w:r w:rsidRPr="00282AC9">
        <w:rPr>
          <w:rFonts w:hint="cs"/>
          <w:sz w:val="27"/>
          <w:rtl/>
        </w:rPr>
        <w:t xml:space="preserve"> أن الطريق الذي سلكاه في إنكار هذه القاعدة كان مختلفاً تمام الاختلاف، وبالتالي فإن النتائج التي توص</w:t>
      </w:r>
      <w:r w:rsidR="00087603" w:rsidRPr="00282AC9">
        <w:rPr>
          <w:rFonts w:hint="cs"/>
          <w:sz w:val="27"/>
          <w:rtl/>
        </w:rPr>
        <w:t>َّ</w:t>
      </w:r>
      <w:r w:rsidRPr="00282AC9">
        <w:rPr>
          <w:rFonts w:hint="cs"/>
          <w:sz w:val="27"/>
          <w:rtl/>
        </w:rPr>
        <w:t>لا إليها من خلال ذلك كانت مختلفة</w:t>
      </w:r>
      <w:r w:rsidR="00087603" w:rsidRPr="00282AC9">
        <w:rPr>
          <w:rFonts w:hint="cs"/>
          <w:sz w:val="27"/>
          <w:rtl/>
        </w:rPr>
        <w:t>ً</w:t>
      </w:r>
      <w:r w:rsidRPr="00282AC9">
        <w:rPr>
          <w:rFonts w:hint="cs"/>
          <w:sz w:val="27"/>
          <w:rtl/>
        </w:rPr>
        <w:t xml:space="preserve"> أيضاً. </w:t>
      </w:r>
    </w:p>
    <w:p w:rsidR="00DA2F6D" w:rsidRPr="00282AC9" w:rsidRDefault="00DA2F6D" w:rsidP="00F066C8">
      <w:pPr>
        <w:rPr>
          <w:sz w:val="27"/>
          <w:rtl/>
        </w:rPr>
      </w:pPr>
      <w:r w:rsidRPr="00282AC9">
        <w:rPr>
          <w:rFonts w:hint="cs"/>
          <w:sz w:val="27"/>
          <w:rtl/>
        </w:rPr>
        <w:t>وباختصار</w:t>
      </w:r>
      <w:r w:rsidR="00087603" w:rsidRPr="00282AC9">
        <w:rPr>
          <w:rFonts w:hint="cs"/>
          <w:sz w:val="27"/>
          <w:rtl/>
        </w:rPr>
        <w:t>ٍ،</w:t>
      </w:r>
      <w:r w:rsidRPr="00282AC9">
        <w:rPr>
          <w:rFonts w:hint="cs"/>
          <w:sz w:val="27"/>
          <w:rtl/>
        </w:rPr>
        <w:t xml:space="preserve"> فإن السيد الروحاني سعى إلى إبطال قاعدة ق</w:t>
      </w:r>
      <w:r w:rsidR="00087603" w:rsidRPr="00282AC9">
        <w:rPr>
          <w:rFonts w:hint="cs"/>
          <w:sz w:val="27"/>
          <w:rtl/>
        </w:rPr>
        <w:t>ُ</w:t>
      </w:r>
      <w:r w:rsidRPr="00282AC9">
        <w:rPr>
          <w:rFonts w:hint="cs"/>
          <w:sz w:val="27"/>
          <w:rtl/>
        </w:rPr>
        <w:t>ب</w:t>
      </w:r>
      <w:r w:rsidR="00087603" w:rsidRPr="00282AC9">
        <w:rPr>
          <w:rFonts w:hint="cs"/>
          <w:sz w:val="27"/>
          <w:rtl/>
        </w:rPr>
        <w:t>ْ</w:t>
      </w:r>
      <w:r w:rsidRPr="00282AC9">
        <w:rPr>
          <w:rFonts w:hint="cs"/>
          <w:sz w:val="27"/>
          <w:rtl/>
        </w:rPr>
        <w:t>ح العقاب بلا بيان</w:t>
      </w:r>
      <w:r w:rsidR="00087603" w:rsidRPr="00282AC9">
        <w:rPr>
          <w:rFonts w:hint="cs"/>
          <w:sz w:val="27"/>
          <w:rtl/>
        </w:rPr>
        <w:t>ٍ</w:t>
      </w:r>
      <w:r w:rsidRPr="00282AC9">
        <w:rPr>
          <w:rFonts w:hint="cs"/>
          <w:sz w:val="27"/>
          <w:rtl/>
        </w:rPr>
        <w:t>، من خلال مناقشة الأقوال الثلاثة في بيان ماهي</w:t>
      </w:r>
      <w:r w:rsidR="00087603" w:rsidRPr="00282AC9">
        <w:rPr>
          <w:rFonts w:hint="cs"/>
          <w:sz w:val="27"/>
          <w:rtl/>
        </w:rPr>
        <w:t>ّ</w:t>
      </w:r>
      <w:r w:rsidRPr="00282AC9">
        <w:rPr>
          <w:rFonts w:hint="cs"/>
          <w:sz w:val="27"/>
          <w:rtl/>
        </w:rPr>
        <w:t>ة العقاب والثواب</w:t>
      </w:r>
      <w:r w:rsidR="00087603" w:rsidRPr="00282AC9">
        <w:rPr>
          <w:rFonts w:hint="cs"/>
          <w:sz w:val="27"/>
          <w:rtl/>
        </w:rPr>
        <w:t>.</w:t>
      </w:r>
      <w:r w:rsidRPr="00282AC9">
        <w:rPr>
          <w:rFonts w:hint="cs"/>
          <w:sz w:val="27"/>
          <w:rtl/>
        </w:rPr>
        <w:t xml:space="preserve"> والنتيجة التي توص</w:t>
      </w:r>
      <w:r w:rsidR="00087603" w:rsidRPr="00282AC9">
        <w:rPr>
          <w:rFonts w:hint="cs"/>
          <w:sz w:val="27"/>
          <w:rtl/>
        </w:rPr>
        <w:t>َّ</w:t>
      </w:r>
      <w:r w:rsidRPr="00282AC9">
        <w:rPr>
          <w:rFonts w:hint="cs"/>
          <w:sz w:val="27"/>
          <w:rtl/>
        </w:rPr>
        <w:t>ل إليها هي مجرّد الخ</w:t>
      </w:r>
      <w:r w:rsidR="00087603" w:rsidRPr="00282AC9">
        <w:rPr>
          <w:rFonts w:hint="cs"/>
          <w:sz w:val="27"/>
          <w:rtl/>
        </w:rPr>
        <w:t>َ</w:t>
      </w:r>
      <w:r w:rsidRPr="00282AC9">
        <w:rPr>
          <w:rFonts w:hint="cs"/>
          <w:sz w:val="27"/>
          <w:rtl/>
        </w:rPr>
        <w:t>د</w:t>
      </w:r>
      <w:r w:rsidR="00E40C58" w:rsidRPr="00282AC9">
        <w:rPr>
          <w:rFonts w:hint="cs"/>
          <w:sz w:val="27"/>
          <w:rtl/>
        </w:rPr>
        <w:t>ْ</w:t>
      </w:r>
      <w:r w:rsidRPr="00282AC9">
        <w:rPr>
          <w:rFonts w:hint="cs"/>
          <w:sz w:val="27"/>
          <w:rtl/>
        </w:rPr>
        <w:t>ش في قاعدة ق</w:t>
      </w:r>
      <w:r w:rsidR="00087603" w:rsidRPr="00282AC9">
        <w:rPr>
          <w:rFonts w:hint="cs"/>
          <w:sz w:val="27"/>
          <w:rtl/>
        </w:rPr>
        <w:t>ُ</w:t>
      </w:r>
      <w:r w:rsidRPr="00282AC9">
        <w:rPr>
          <w:rFonts w:hint="cs"/>
          <w:sz w:val="27"/>
          <w:rtl/>
        </w:rPr>
        <w:t>ب</w:t>
      </w:r>
      <w:r w:rsidR="00087603" w:rsidRPr="00282AC9">
        <w:rPr>
          <w:rFonts w:hint="cs"/>
          <w:sz w:val="27"/>
          <w:rtl/>
        </w:rPr>
        <w:t>ْ</w:t>
      </w:r>
      <w:r w:rsidRPr="00282AC9">
        <w:rPr>
          <w:rFonts w:hint="cs"/>
          <w:sz w:val="27"/>
          <w:rtl/>
        </w:rPr>
        <w:t>ح العقاب وإبطالها، دون أن يكون له رأي</w:t>
      </w:r>
      <w:r w:rsidR="00087603" w:rsidRPr="00282AC9">
        <w:rPr>
          <w:rFonts w:hint="cs"/>
          <w:sz w:val="27"/>
          <w:rtl/>
        </w:rPr>
        <w:t>ٌ</w:t>
      </w:r>
      <w:r w:rsidRPr="00282AC9">
        <w:rPr>
          <w:rFonts w:hint="cs"/>
          <w:sz w:val="27"/>
          <w:rtl/>
        </w:rPr>
        <w:t xml:space="preserve"> من الناحية الإثباتية. وبعبارة</w:t>
      </w:r>
      <w:r w:rsidR="00087603" w:rsidRPr="00282AC9">
        <w:rPr>
          <w:rFonts w:hint="cs"/>
          <w:sz w:val="27"/>
          <w:rtl/>
        </w:rPr>
        <w:t>ٍ</w:t>
      </w:r>
      <w:r w:rsidRPr="00282AC9">
        <w:rPr>
          <w:rFonts w:hint="cs"/>
          <w:sz w:val="27"/>
          <w:rtl/>
        </w:rPr>
        <w:t xml:space="preserve"> أخرى: إنه لم يق</w:t>
      </w:r>
      <w:r w:rsidR="00087603" w:rsidRPr="00282AC9">
        <w:rPr>
          <w:rFonts w:hint="cs"/>
          <w:sz w:val="27"/>
          <w:rtl/>
        </w:rPr>
        <w:t>ُ</w:t>
      </w:r>
      <w:r w:rsidRPr="00282AC9">
        <w:rPr>
          <w:rFonts w:hint="cs"/>
          <w:sz w:val="27"/>
          <w:rtl/>
        </w:rPr>
        <w:t>ل</w:t>
      </w:r>
      <w:r w:rsidR="00087603" w:rsidRPr="00282AC9">
        <w:rPr>
          <w:rFonts w:hint="cs"/>
          <w:sz w:val="27"/>
          <w:rtl/>
        </w:rPr>
        <w:t>ْ</w:t>
      </w:r>
      <w:r w:rsidRPr="00282AC9">
        <w:rPr>
          <w:rFonts w:hint="cs"/>
          <w:sz w:val="27"/>
          <w:rtl/>
        </w:rPr>
        <w:t xml:space="preserve"> بتنجّ</w:t>
      </w:r>
      <w:r w:rsidR="00087603" w:rsidRPr="00282AC9">
        <w:rPr>
          <w:rFonts w:hint="cs"/>
          <w:sz w:val="27"/>
          <w:rtl/>
        </w:rPr>
        <w:t>ُ</w:t>
      </w:r>
      <w:r w:rsidRPr="00282AC9">
        <w:rPr>
          <w:rFonts w:hint="cs"/>
          <w:sz w:val="27"/>
          <w:rtl/>
        </w:rPr>
        <w:t>ز التكليف واستحقاق العبد للعقاب حت</w:t>
      </w:r>
      <w:r w:rsidR="004749BD" w:rsidRPr="00282AC9">
        <w:rPr>
          <w:rFonts w:hint="cs"/>
          <w:sz w:val="27"/>
          <w:rtl/>
        </w:rPr>
        <w:t>ّ</w:t>
      </w:r>
      <w:r w:rsidRPr="00282AC9">
        <w:rPr>
          <w:rFonts w:hint="cs"/>
          <w:sz w:val="27"/>
          <w:rtl/>
        </w:rPr>
        <w:t>ى في ظرف الشك أيضاً؛ لاعتقاده بعدم العلم بملاك ترت</w:t>
      </w:r>
      <w:r w:rsidR="004749BD" w:rsidRPr="00282AC9">
        <w:rPr>
          <w:rFonts w:hint="cs"/>
          <w:sz w:val="27"/>
          <w:rtl/>
        </w:rPr>
        <w:t>ُّ</w:t>
      </w:r>
      <w:r w:rsidRPr="00282AC9">
        <w:rPr>
          <w:rFonts w:hint="cs"/>
          <w:sz w:val="27"/>
          <w:rtl/>
        </w:rPr>
        <w:t>ب العقاب الأخروي. وعليه</w:t>
      </w:r>
      <w:r w:rsidR="004749BD" w:rsidRPr="00282AC9">
        <w:rPr>
          <w:rFonts w:hint="cs"/>
          <w:sz w:val="27"/>
          <w:rtl/>
        </w:rPr>
        <w:t>؛</w:t>
      </w:r>
      <w:r w:rsidRPr="00282AC9">
        <w:rPr>
          <w:rFonts w:hint="cs"/>
          <w:sz w:val="27"/>
          <w:rtl/>
        </w:rPr>
        <w:t xml:space="preserve"> حيث لا نعلم ما هو الملاك في </w:t>
      </w:r>
      <w:r w:rsidRPr="00282AC9">
        <w:rPr>
          <w:sz w:val="27"/>
          <w:rtl/>
        </w:rPr>
        <w:t>ترت</w:t>
      </w:r>
      <w:r w:rsidR="004749BD" w:rsidRPr="00282AC9">
        <w:rPr>
          <w:rFonts w:hint="cs"/>
          <w:sz w:val="27"/>
          <w:rtl/>
        </w:rPr>
        <w:t>ُّ</w:t>
      </w:r>
      <w:r w:rsidRPr="00282AC9">
        <w:rPr>
          <w:sz w:val="27"/>
          <w:rtl/>
        </w:rPr>
        <w:t>ب العقاب الأخروي</w:t>
      </w:r>
      <w:r w:rsidRPr="00282AC9">
        <w:rPr>
          <w:rFonts w:hint="cs"/>
          <w:sz w:val="27"/>
          <w:rtl/>
        </w:rPr>
        <w:t>، لا نستطيع القول بق</w:t>
      </w:r>
      <w:r w:rsidR="004749BD" w:rsidRPr="00282AC9">
        <w:rPr>
          <w:rFonts w:hint="cs"/>
          <w:sz w:val="27"/>
          <w:rtl/>
        </w:rPr>
        <w:t>ُ</w:t>
      </w:r>
      <w:r w:rsidRPr="00282AC9">
        <w:rPr>
          <w:rFonts w:hint="cs"/>
          <w:sz w:val="27"/>
          <w:rtl/>
        </w:rPr>
        <w:t>ب</w:t>
      </w:r>
      <w:r w:rsidR="004749BD" w:rsidRPr="00282AC9">
        <w:rPr>
          <w:rFonts w:hint="cs"/>
          <w:sz w:val="27"/>
          <w:rtl/>
        </w:rPr>
        <w:t>ْ</w:t>
      </w:r>
      <w:r w:rsidRPr="00282AC9">
        <w:rPr>
          <w:rFonts w:hint="cs"/>
          <w:sz w:val="27"/>
          <w:rtl/>
        </w:rPr>
        <w:t xml:space="preserve">ح أو عدم </w:t>
      </w:r>
      <w:r w:rsidRPr="00282AC9">
        <w:rPr>
          <w:rFonts w:hint="cs"/>
          <w:sz w:val="27"/>
          <w:rtl/>
        </w:rPr>
        <w:lastRenderedPageBreak/>
        <w:t>ق</w:t>
      </w:r>
      <w:r w:rsidR="004749BD" w:rsidRPr="00282AC9">
        <w:rPr>
          <w:rFonts w:hint="cs"/>
          <w:sz w:val="27"/>
          <w:rtl/>
        </w:rPr>
        <w:t>ُ</w:t>
      </w:r>
      <w:r w:rsidRPr="00282AC9">
        <w:rPr>
          <w:rFonts w:hint="cs"/>
          <w:sz w:val="27"/>
          <w:rtl/>
        </w:rPr>
        <w:t>ب</w:t>
      </w:r>
      <w:r w:rsidR="004749BD" w:rsidRPr="00282AC9">
        <w:rPr>
          <w:rFonts w:hint="cs"/>
          <w:sz w:val="27"/>
          <w:rtl/>
        </w:rPr>
        <w:t>ْ</w:t>
      </w:r>
      <w:r w:rsidRPr="00282AC9">
        <w:rPr>
          <w:rFonts w:hint="cs"/>
          <w:sz w:val="27"/>
          <w:rtl/>
        </w:rPr>
        <w:t>ح العقاب في ظرف الشك</w:t>
      </w:r>
      <w:r w:rsidR="004749BD" w:rsidRPr="00282AC9">
        <w:rPr>
          <w:rFonts w:hint="cs"/>
          <w:sz w:val="27"/>
          <w:rtl/>
        </w:rPr>
        <w:t>ّ</w:t>
      </w:r>
      <w:r w:rsidRPr="00282AC9">
        <w:rPr>
          <w:rFonts w:hint="cs"/>
          <w:sz w:val="27"/>
          <w:rtl/>
        </w:rPr>
        <w:t>. ولذلك فقد س</w:t>
      </w:r>
      <w:r w:rsidR="004749BD" w:rsidRPr="00282AC9">
        <w:rPr>
          <w:rFonts w:hint="cs"/>
          <w:sz w:val="27"/>
          <w:rtl/>
        </w:rPr>
        <w:t>َ</w:t>
      </w:r>
      <w:r w:rsidRPr="00282AC9">
        <w:rPr>
          <w:rFonts w:hint="cs"/>
          <w:sz w:val="27"/>
          <w:rtl/>
        </w:rPr>
        <w:t>ك</w:t>
      </w:r>
      <w:r w:rsidR="004749BD" w:rsidRPr="00282AC9">
        <w:rPr>
          <w:rFonts w:hint="cs"/>
          <w:sz w:val="27"/>
          <w:rtl/>
        </w:rPr>
        <w:t>َ</w:t>
      </w:r>
      <w:r w:rsidRPr="00282AC9">
        <w:rPr>
          <w:rFonts w:hint="cs"/>
          <w:sz w:val="27"/>
          <w:rtl/>
        </w:rPr>
        <w:t>ت</w:t>
      </w:r>
      <w:r w:rsidR="004749BD" w:rsidRPr="00282AC9">
        <w:rPr>
          <w:rFonts w:hint="cs"/>
          <w:sz w:val="27"/>
          <w:rtl/>
        </w:rPr>
        <w:t>َ</w:t>
      </w:r>
      <w:r w:rsidRPr="00282AC9">
        <w:rPr>
          <w:rFonts w:hint="cs"/>
          <w:sz w:val="27"/>
          <w:rtl/>
        </w:rPr>
        <w:t xml:space="preserve"> عن بيان هذه المسالة.</w:t>
      </w:r>
    </w:p>
    <w:p w:rsidR="00DA2F6D" w:rsidRPr="00282AC9" w:rsidRDefault="00DA2F6D" w:rsidP="00F066C8">
      <w:pPr>
        <w:rPr>
          <w:sz w:val="27"/>
          <w:rtl/>
        </w:rPr>
      </w:pPr>
      <w:r w:rsidRPr="00282AC9">
        <w:rPr>
          <w:rFonts w:hint="cs"/>
          <w:sz w:val="27"/>
          <w:rtl/>
        </w:rPr>
        <w:t>وأما السيد الشهيد الصدر فإنه</w:t>
      </w:r>
      <w:r w:rsidR="004749BD" w:rsidRPr="00282AC9">
        <w:rPr>
          <w:rFonts w:hint="cs"/>
          <w:sz w:val="27"/>
          <w:rtl/>
        </w:rPr>
        <w:t>،</w:t>
      </w:r>
      <w:r w:rsidRPr="00282AC9">
        <w:rPr>
          <w:rFonts w:hint="cs"/>
          <w:sz w:val="27"/>
          <w:rtl/>
        </w:rPr>
        <w:t xml:space="preserve"> من خلال بحث وتنقيح الاختلاف بين المولى الحقيقي والموالي الع</w:t>
      </w:r>
      <w:r w:rsidR="004749BD" w:rsidRPr="00282AC9">
        <w:rPr>
          <w:rFonts w:hint="cs"/>
          <w:sz w:val="27"/>
          <w:rtl/>
        </w:rPr>
        <w:t>ُ</w:t>
      </w:r>
      <w:r w:rsidRPr="00282AC9">
        <w:rPr>
          <w:rFonts w:hint="cs"/>
          <w:sz w:val="27"/>
          <w:rtl/>
        </w:rPr>
        <w:t>ر</w:t>
      </w:r>
      <w:r w:rsidR="004749BD" w:rsidRPr="00282AC9">
        <w:rPr>
          <w:rFonts w:hint="cs"/>
          <w:sz w:val="27"/>
          <w:rtl/>
        </w:rPr>
        <w:t>ْ</w:t>
      </w:r>
      <w:r w:rsidRPr="00282AC9">
        <w:rPr>
          <w:rFonts w:hint="cs"/>
          <w:sz w:val="27"/>
          <w:rtl/>
        </w:rPr>
        <w:t>فيين، قال ببطلان القياس بين هذين النوعين من المولوية</w:t>
      </w:r>
      <w:r w:rsidR="004749BD" w:rsidRPr="00282AC9">
        <w:rPr>
          <w:rFonts w:hint="cs"/>
          <w:sz w:val="27"/>
          <w:rtl/>
        </w:rPr>
        <w:t>.</w:t>
      </w:r>
      <w:r w:rsidRPr="00282AC9">
        <w:rPr>
          <w:rFonts w:hint="cs"/>
          <w:sz w:val="27"/>
          <w:rtl/>
        </w:rPr>
        <w:t xml:space="preserve"> وبعد ذلك سعى ـ من خلال بحث سعة دائرة مولوية المولى الحقيقي من جهة</w:t>
      </w:r>
      <w:r w:rsidR="004749BD" w:rsidRPr="00282AC9">
        <w:rPr>
          <w:rFonts w:hint="cs"/>
          <w:sz w:val="27"/>
          <w:rtl/>
        </w:rPr>
        <w:t>ٍ</w:t>
      </w:r>
      <w:r w:rsidRPr="00282AC9">
        <w:rPr>
          <w:rFonts w:hint="cs"/>
          <w:sz w:val="27"/>
          <w:rtl/>
        </w:rPr>
        <w:t>، وعدم صح</w:t>
      </w:r>
      <w:r w:rsidR="004749BD" w:rsidRPr="00282AC9">
        <w:rPr>
          <w:rFonts w:hint="cs"/>
          <w:sz w:val="27"/>
          <w:rtl/>
        </w:rPr>
        <w:t>ّ</w:t>
      </w:r>
      <w:r w:rsidRPr="00282AC9">
        <w:rPr>
          <w:rFonts w:hint="cs"/>
          <w:sz w:val="27"/>
          <w:rtl/>
        </w:rPr>
        <w:t>ة الفصل بين المولوية والحج</w:t>
      </w:r>
      <w:r w:rsidR="004749BD" w:rsidRPr="00282AC9">
        <w:rPr>
          <w:rFonts w:hint="cs"/>
          <w:sz w:val="27"/>
          <w:rtl/>
        </w:rPr>
        <w:t>ِّ</w:t>
      </w:r>
      <w:r w:rsidRPr="00282AC9">
        <w:rPr>
          <w:rFonts w:hint="cs"/>
          <w:sz w:val="27"/>
          <w:rtl/>
        </w:rPr>
        <w:t>ية من جهة</w:t>
      </w:r>
      <w:r w:rsidR="004749BD" w:rsidRPr="00282AC9">
        <w:rPr>
          <w:rFonts w:hint="cs"/>
          <w:sz w:val="27"/>
          <w:rtl/>
        </w:rPr>
        <w:t>ٍ</w:t>
      </w:r>
      <w:r w:rsidRPr="00282AC9">
        <w:rPr>
          <w:rFonts w:hint="cs"/>
          <w:sz w:val="27"/>
          <w:rtl/>
        </w:rPr>
        <w:t xml:space="preserve"> أخرى ـ إلى إبطال نظري</w:t>
      </w:r>
      <w:r w:rsidR="004749BD" w:rsidRPr="00282AC9">
        <w:rPr>
          <w:rFonts w:hint="cs"/>
          <w:sz w:val="27"/>
          <w:rtl/>
        </w:rPr>
        <w:t>ّ</w:t>
      </w:r>
      <w:r w:rsidRPr="00282AC9">
        <w:rPr>
          <w:rFonts w:hint="cs"/>
          <w:sz w:val="27"/>
          <w:rtl/>
        </w:rPr>
        <w:t>ة المشهور. وبناء</w:t>
      </w:r>
      <w:r w:rsidR="004749BD" w:rsidRPr="00282AC9">
        <w:rPr>
          <w:rFonts w:hint="cs"/>
          <w:sz w:val="27"/>
          <w:rtl/>
        </w:rPr>
        <w:t>ً</w:t>
      </w:r>
      <w:r w:rsidRPr="00282AC9">
        <w:rPr>
          <w:rFonts w:hint="cs"/>
          <w:sz w:val="27"/>
          <w:rtl/>
        </w:rPr>
        <w:t xml:space="preserve"> على ما قد</w:t>
      </w:r>
      <w:r w:rsidR="004749BD" w:rsidRPr="00282AC9">
        <w:rPr>
          <w:rFonts w:hint="cs"/>
          <w:sz w:val="27"/>
          <w:rtl/>
        </w:rPr>
        <w:t>َّ</w:t>
      </w:r>
      <w:r w:rsidRPr="00282AC9">
        <w:rPr>
          <w:rFonts w:hint="cs"/>
          <w:sz w:val="27"/>
          <w:rtl/>
        </w:rPr>
        <w:t>مه سماحته من البيان في هذا الشأن قال</w:t>
      </w:r>
      <w:r w:rsidR="004749BD" w:rsidRPr="00282AC9">
        <w:rPr>
          <w:rFonts w:hint="cs"/>
          <w:sz w:val="27"/>
          <w:rtl/>
        </w:rPr>
        <w:t>:</w:t>
      </w:r>
      <w:r w:rsidRPr="00282AC9">
        <w:rPr>
          <w:rFonts w:hint="cs"/>
          <w:sz w:val="27"/>
          <w:rtl/>
        </w:rPr>
        <w:t xml:space="preserve"> </w:t>
      </w:r>
      <w:r w:rsidRPr="00282AC9">
        <w:rPr>
          <w:rFonts w:hint="cs"/>
          <w:b/>
          <w:bCs/>
          <w:sz w:val="27"/>
          <w:rtl/>
        </w:rPr>
        <w:t>أو</w:t>
      </w:r>
      <w:r w:rsidR="004749BD" w:rsidRPr="00282AC9">
        <w:rPr>
          <w:rFonts w:hint="cs"/>
          <w:b/>
          <w:bCs/>
          <w:sz w:val="27"/>
          <w:rtl/>
        </w:rPr>
        <w:t>ّ</w:t>
      </w:r>
      <w:r w:rsidRPr="00282AC9">
        <w:rPr>
          <w:rFonts w:hint="cs"/>
          <w:b/>
          <w:bCs/>
          <w:sz w:val="27"/>
          <w:rtl/>
        </w:rPr>
        <w:t>لاً</w:t>
      </w:r>
      <w:r w:rsidR="004749BD" w:rsidRPr="00282AC9">
        <w:rPr>
          <w:rFonts w:hint="cs"/>
          <w:sz w:val="27"/>
          <w:rtl/>
        </w:rPr>
        <w:t>:</w:t>
      </w:r>
      <w:r w:rsidRPr="00282AC9">
        <w:rPr>
          <w:rFonts w:hint="cs"/>
          <w:sz w:val="27"/>
          <w:rtl/>
        </w:rPr>
        <w:t xml:space="preserve"> ببطلان قاعدة ق</w:t>
      </w:r>
      <w:r w:rsidR="004749BD" w:rsidRPr="00282AC9">
        <w:rPr>
          <w:rFonts w:hint="cs"/>
          <w:sz w:val="27"/>
          <w:rtl/>
        </w:rPr>
        <w:t>ُ</w:t>
      </w:r>
      <w:r w:rsidRPr="00282AC9">
        <w:rPr>
          <w:rFonts w:hint="cs"/>
          <w:sz w:val="27"/>
          <w:rtl/>
        </w:rPr>
        <w:t>ب</w:t>
      </w:r>
      <w:r w:rsidR="004749BD" w:rsidRPr="00282AC9">
        <w:rPr>
          <w:rFonts w:hint="cs"/>
          <w:sz w:val="27"/>
          <w:rtl/>
        </w:rPr>
        <w:t>ْ</w:t>
      </w:r>
      <w:r w:rsidRPr="00282AC9">
        <w:rPr>
          <w:rFonts w:hint="cs"/>
          <w:sz w:val="27"/>
          <w:rtl/>
        </w:rPr>
        <w:t>ح العقاب بلا بيان</w:t>
      </w:r>
      <w:r w:rsidR="004749BD" w:rsidRPr="00282AC9">
        <w:rPr>
          <w:rFonts w:hint="cs"/>
          <w:sz w:val="27"/>
          <w:rtl/>
        </w:rPr>
        <w:t>ٍ؛</w:t>
      </w:r>
      <w:r w:rsidRPr="00282AC9">
        <w:rPr>
          <w:rFonts w:hint="cs"/>
          <w:sz w:val="27"/>
          <w:rtl/>
        </w:rPr>
        <w:t xml:space="preserve"> </w:t>
      </w:r>
      <w:r w:rsidR="004749BD" w:rsidRPr="00282AC9">
        <w:rPr>
          <w:rFonts w:hint="cs"/>
          <w:b/>
          <w:bCs/>
          <w:sz w:val="27"/>
          <w:rtl/>
        </w:rPr>
        <w:t>و</w:t>
      </w:r>
      <w:r w:rsidRPr="00282AC9">
        <w:rPr>
          <w:rFonts w:hint="cs"/>
          <w:b/>
          <w:bCs/>
          <w:sz w:val="27"/>
          <w:rtl/>
        </w:rPr>
        <w:t>ثانياً</w:t>
      </w:r>
      <w:r w:rsidR="004749BD" w:rsidRPr="00282AC9">
        <w:rPr>
          <w:rFonts w:hint="cs"/>
          <w:sz w:val="27"/>
          <w:rtl/>
        </w:rPr>
        <w:t>:</w:t>
      </w:r>
      <w:r w:rsidRPr="00282AC9">
        <w:rPr>
          <w:rFonts w:hint="cs"/>
          <w:sz w:val="27"/>
          <w:rtl/>
        </w:rPr>
        <w:t xml:space="preserve"> بتنجّ</w:t>
      </w:r>
      <w:r w:rsidR="004749BD" w:rsidRPr="00282AC9">
        <w:rPr>
          <w:rFonts w:hint="cs"/>
          <w:sz w:val="27"/>
          <w:rtl/>
        </w:rPr>
        <w:t>ُ</w:t>
      </w:r>
      <w:r w:rsidRPr="00282AC9">
        <w:rPr>
          <w:rFonts w:hint="cs"/>
          <w:sz w:val="27"/>
          <w:rtl/>
        </w:rPr>
        <w:t>ز التكليف في ظرف الشك</w:t>
      </w:r>
      <w:r w:rsidR="004749BD" w:rsidRPr="00282AC9">
        <w:rPr>
          <w:rFonts w:hint="cs"/>
          <w:sz w:val="27"/>
          <w:rtl/>
        </w:rPr>
        <w:t>ّ</w:t>
      </w:r>
      <w:r w:rsidRPr="00282AC9">
        <w:rPr>
          <w:rFonts w:hint="cs"/>
          <w:sz w:val="27"/>
          <w:rtl/>
        </w:rPr>
        <w:t xml:space="preserve"> بالحكم الشرعي</w:t>
      </w:r>
      <w:r w:rsidR="004749BD" w:rsidRPr="00282AC9">
        <w:rPr>
          <w:rFonts w:hint="cs"/>
          <w:sz w:val="27"/>
          <w:rtl/>
        </w:rPr>
        <w:t>،</w:t>
      </w:r>
      <w:r w:rsidRPr="00282AC9">
        <w:rPr>
          <w:rFonts w:hint="cs"/>
          <w:sz w:val="27"/>
          <w:rtl/>
        </w:rPr>
        <w:t xml:space="preserve"> واستحقاق العبد للعقاب في ظرف الشك</w:t>
      </w:r>
      <w:r w:rsidR="004749BD" w:rsidRPr="00282AC9">
        <w:rPr>
          <w:rFonts w:hint="cs"/>
          <w:sz w:val="27"/>
          <w:rtl/>
        </w:rPr>
        <w:t>ّ</w:t>
      </w:r>
      <w:r w:rsidRPr="00282AC9">
        <w:rPr>
          <w:rFonts w:hint="cs"/>
          <w:sz w:val="27"/>
          <w:rtl/>
        </w:rPr>
        <w:t xml:space="preserve"> في حالة المخالفة. وبعبارة</w:t>
      </w:r>
      <w:r w:rsidR="004749BD" w:rsidRPr="00282AC9">
        <w:rPr>
          <w:rFonts w:hint="cs"/>
          <w:sz w:val="27"/>
          <w:rtl/>
        </w:rPr>
        <w:t>ٍ</w:t>
      </w:r>
      <w:r w:rsidRPr="00282AC9">
        <w:rPr>
          <w:rFonts w:hint="cs"/>
          <w:sz w:val="27"/>
          <w:rtl/>
        </w:rPr>
        <w:t xml:space="preserve"> أخرى: إنه يرى أن القاعدة الأو</w:t>
      </w:r>
      <w:r w:rsidR="004749BD" w:rsidRPr="00282AC9">
        <w:rPr>
          <w:rFonts w:hint="cs"/>
          <w:sz w:val="27"/>
          <w:rtl/>
        </w:rPr>
        <w:t>ّ</w:t>
      </w:r>
      <w:r w:rsidRPr="00282AC9">
        <w:rPr>
          <w:rFonts w:hint="cs"/>
          <w:sz w:val="27"/>
          <w:rtl/>
        </w:rPr>
        <w:t>لية والعقلي</w:t>
      </w:r>
      <w:r w:rsidR="004749BD" w:rsidRPr="00282AC9">
        <w:rPr>
          <w:rFonts w:hint="cs"/>
          <w:sz w:val="27"/>
          <w:rtl/>
        </w:rPr>
        <w:t>ّ</w:t>
      </w:r>
      <w:r w:rsidRPr="00282AC9">
        <w:rPr>
          <w:rFonts w:hint="cs"/>
          <w:sz w:val="27"/>
          <w:rtl/>
        </w:rPr>
        <w:t>ة في ظرف الشك</w:t>
      </w:r>
      <w:r w:rsidR="004749BD" w:rsidRPr="00282AC9">
        <w:rPr>
          <w:rFonts w:hint="cs"/>
          <w:sz w:val="27"/>
          <w:rtl/>
        </w:rPr>
        <w:t>ّ</w:t>
      </w:r>
      <w:r w:rsidRPr="00282AC9">
        <w:rPr>
          <w:rFonts w:hint="cs"/>
          <w:sz w:val="27"/>
          <w:rtl/>
        </w:rPr>
        <w:t xml:space="preserve"> في التكليف واحتماله هي الاحتياط</w:t>
      </w:r>
      <w:r w:rsidR="004749BD" w:rsidRPr="00282AC9">
        <w:rPr>
          <w:rFonts w:hint="cs"/>
          <w:sz w:val="27"/>
          <w:rtl/>
        </w:rPr>
        <w:t>،</w:t>
      </w:r>
      <w:r w:rsidRPr="00282AC9">
        <w:rPr>
          <w:rFonts w:hint="cs"/>
          <w:sz w:val="27"/>
          <w:rtl/>
        </w:rPr>
        <w:t xml:space="preserve"> وليس الترخيص أو الإباحة. </w:t>
      </w:r>
    </w:p>
    <w:p w:rsidR="00E83C22" w:rsidRPr="00282AC9" w:rsidRDefault="00DA2F6D" w:rsidP="00F066C8">
      <w:pPr>
        <w:rPr>
          <w:rtl/>
        </w:rPr>
      </w:pPr>
      <w:r w:rsidRPr="00282AC9">
        <w:rPr>
          <w:rFonts w:hint="cs"/>
          <w:sz w:val="27"/>
          <w:rtl/>
        </w:rPr>
        <w:t xml:space="preserve">وبطبيعة الحال </w:t>
      </w:r>
      <w:r w:rsidR="00674EF5" w:rsidRPr="00282AC9">
        <w:rPr>
          <w:rFonts w:hint="cs"/>
          <w:sz w:val="27"/>
          <w:rtl/>
        </w:rPr>
        <w:t>لا بُدَّ</w:t>
      </w:r>
      <w:r w:rsidRPr="00282AC9">
        <w:rPr>
          <w:rFonts w:hint="cs"/>
          <w:sz w:val="27"/>
          <w:rtl/>
        </w:rPr>
        <w:t xml:space="preserve"> من التذكير في نهاية المطاف بأن السيد الشهيد يرى أن لهذا الحكم العقلي</w:t>
      </w:r>
      <w:r w:rsidR="004749BD" w:rsidRPr="00282AC9">
        <w:rPr>
          <w:rFonts w:hint="cs"/>
          <w:sz w:val="27"/>
          <w:rtl/>
        </w:rPr>
        <w:t>ّ</w:t>
      </w:r>
      <w:r w:rsidRPr="00282AC9">
        <w:rPr>
          <w:rFonts w:hint="cs"/>
          <w:sz w:val="27"/>
          <w:rtl/>
        </w:rPr>
        <w:t xml:space="preserve"> ماهي</w:t>
      </w:r>
      <w:r w:rsidR="004749BD" w:rsidRPr="00282AC9">
        <w:rPr>
          <w:rFonts w:hint="cs"/>
          <w:sz w:val="27"/>
          <w:rtl/>
        </w:rPr>
        <w:t>ّ</w:t>
      </w:r>
      <w:r w:rsidRPr="00282AC9">
        <w:rPr>
          <w:rFonts w:hint="cs"/>
          <w:sz w:val="27"/>
          <w:rtl/>
        </w:rPr>
        <w:t>ة</w:t>
      </w:r>
      <w:r w:rsidR="004749BD" w:rsidRPr="00282AC9">
        <w:rPr>
          <w:rFonts w:hint="cs"/>
          <w:sz w:val="27"/>
          <w:rtl/>
        </w:rPr>
        <w:t>ً</w:t>
      </w:r>
      <w:r w:rsidRPr="00282AC9">
        <w:rPr>
          <w:rFonts w:hint="cs"/>
          <w:sz w:val="27"/>
          <w:rtl/>
        </w:rPr>
        <w:t xml:space="preserve"> تعليقي</w:t>
      </w:r>
      <w:r w:rsidR="004749BD" w:rsidRPr="00282AC9">
        <w:rPr>
          <w:rFonts w:hint="cs"/>
          <w:sz w:val="27"/>
          <w:rtl/>
        </w:rPr>
        <w:t>ّ</w:t>
      </w:r>
      <w:r w:rsidRPr="00282AC9">
        <w:rPr>
          <w:rFonts w:hint="cs"/>
          <w:sz w:val="27"/>
          <w:rtl/>
        </w:rPr>
        <w:t>ة؛ بمعنى أن الحكم العقلي</w:t>
      </w:r>
      <w:r w:rsidR="004749BD" w:rsidRPr="00282AC9">
        <w:rPr>
          <w:rFonts w:hint="cs"/>
          <w:sz w:val="27"/>
          <w:rtl/>
        </w:rPr>
        <w:t>ّ</w:t>
      </w:r>
      <w:r w:rsidRPr="00282AC9">
        <w:rPr>
          <w:rFonts w:hint="cs"/>
          <w:sz w:val="27"/>
          <w:rtl/>
        </w:rPr>
        <w:t xml:space="preserve"> بوجوب الامتثال معل</w:t>
      </w:r>
      <w:r w:rsidR="004749BD" w:rsidRPr="00282AC9">
        <w:rPr>
          <w:rFonts w:hint="cs"/>
          <w:sz w:val="27"/>
          <w:rtl/>
        </w:rPr>
        <w:t>َّ</w:t>
      </w:r>
      <w:r w:rsidRPr="00282AC9">
        <w:rPr>
          <w:rFonts w:hint="cs"/>
          <w:sz w:val="27"/>
          <w:rtl/>
        </w:rPr>
        <w:t>ق</w:t>
      </w:r>
      <w:r w:rsidR="004749BD" w:rsidRPr="00282AC9">
        <w:rPr>
          <w:rFonts w:hint="cs"/>
          <w:sz w:val="27"/>
          <w:rtl/>
        </w:rPr>
        <w:t>ٌ</w:t>
      </w:r>
      <w:r w:rsidRPr="00282AC9">
        <w:rPr>
          <w:rFonts w:hint="cs"/>
          <w:sz w:val="27"/>
          <w:rtl/>
        </w:rPr>
        <w:t xml:space="preserve"> على عدم ورود الترخيص بالترك من ق</w:t>
      </w:r>
      <w:r w:rsidR="004749BD" w:rsidRPr="00282AC9">
        <w:rPr>
          <w:rFonts w:hint="cs"/>
          <w:sz w:val="27"/>
          <w:rtl/>
        </w:rPr>
        <w:t>ِ</w:t>
      </w:r>
      <w:r w:rsidRPr="00282AC9">
        <w:rPr>
          <w:rFonts w:hint="cs"/>
          <w:sz w:val="27"/>
          <w:rtl/>
        </w:rPr>
        <w:t>ب</w:t>
      </w:r>
      <w:r w:rsidR="004749BD" w:rsidRPr="00282AC9">
        <w:rPr>
          <w:rFonts w:hint="cs"/>
          <w:sz w:val="27"/>
          <w:rtl/>
        </w:rPr>
        <w:t>َ</w:t>
      </w:r>
      <w:r w:rsidRPr="00282AC9">
        <w:rPr>
          <w:rFonts w:hint="cs"/>
          <w:sz w:val="27"/>
          <w:rtl/>
        </w:rPr>
        <w:t>ل المولى الحقيقي.</w:t>
      </w:r>
    </w:p>
    <w:p w:rsidR="00E83C22" w:rsidRPr="00282AC9" w:rsidRDefault="00E83C22" w:rsidP="00F066C8">
      <w:pPr>
        <w:spacing w:line="500" w:lineRule="exact"/>
        <w:rPr>
          <w:rtl/>
        </w:rPr>
      </w:pPr>
    </w:p>
    <w:p w:rsidR="00E83C22" w:rsidRPr="00282AC9" w:rsidRDefault="00E83C22" w:rsidP="00F066C8">
      <w:pPr>
        <w:spacing w:line="500" w:lineRule="exact"/>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100"/>
          <w:headerReference w:type="default" r:id="rId101"/>
          <w:footerReference w:type="even" r:id="rId102"/>
          <w:footerReference w:type="defaul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104"/>
          <w:headerReference w:type="default" r:id="rId105"/>
          <w:footerReference w:type="even" r:id="rId106"/>
          <w:footerReference w:type="default" r:id="rId107"/>
          <w:headerReference w:type="first" r:id="rId1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8C5DEC">
      <w:pPr>
        <w:spacing w:line="440" w:lineRule="exact"/>
        <w:rPr>
          <w:rtl/>
        </w:rPr>
      </w:pPr>
    </w:p>
    <w:p w:rsidR="00E83C22" w:rsidRPr="00282AC9" w:rsidRDefault="00E83C22" w:rsidP="008C5DEC">
      <w:pPr>
        <w:spacing w:line="480" w:lineRule="exact"/>
        <w:rPr>
          <w:rtl/>
        </w:rPr>
      </w:pPr>
    </w:p>
    <w:p w:rsidR="00E83C22" w:rsidRPr="00282AC9" w:rsidRDefault="00436076" w:rsidP="00B91185">
      <w:pPr>
        <w:pStyle w:val="11"/>
        <w:spacing w:line="216" w:lineRule="auto"/>
        <w:rPr>
          <w:rtl/>
        </w:rPr>
      </w:pPr>
      <w:bookmarkStart w:id="69" w:name="_Toc87011513"/>
      <w:r w:rsidRPr="00282AC9">
        <w:rPr>
          <w:rFonts w:hint="cs"/>
          <w:rtl/>
        </w:rPr>
        <w:t>نظرة الإسلام إلى</w:t>
      </w:r>
      <w:r w:rsidR="009D1874" w:rsidRPr="00282AC9">
        <w:rPr>
          <w:rtl/>
        </w:rPr>
        <w:t xml:space="preserve"> المرأة العقيم</w:t>
      </w:r>
      <w:bookmarkEnd w:id="69"/>
    </w:p>
    <w:p w:rsidR="00E83C22" w:rsidRPr="00282AC9" w:rsidRDefault="009D1874" w:rsidP="00EF3E9C">
      <w:pPr>
        <w:pStyle w:val="11"/>
        <w:spacing w:line="216" w:lineRule="auto"/>
        <w:rPr>
          <w:sz w:val="26"/>
          <w:szCs w:val="42"/>
          <w:rtl/>
        </w:rPr>
      </w:pPr>
      <w:bookmarkStart w:id="70" w:name="_Toc87011514"/>
      <w:r w:rsidRPr="00282AC9">
        <w:rPr>
          <w:rFonts w:hint="cs"/>
          <w:sz w:val="26"/>
          <w:szCs w:val="42"/>
          <w:rtl/>
        </w:rPr>
        <w:t>قراءة</w:t>
      </w:r>
      <w:r w:rsidR="006C68B5" w:rsidRPr="00282AC9">
        <w:rPr>
          <w:rFonts w:hint="cs"/>
          <w:sz w:val="26"/>
          <w:szCs w:val="42"/>
          <w:rtl/>
        </w:rPr>
        <w:t>ٌ</w:t>
      </w:r>
      <w:r w:rsidRPr="00282AC9">
        <w:rPr>
          <w:rFonts w:hint="cs"/>
          <w:sz w:val="26"/>
          <w:szCs w:val="42"/>
          <w:rtl/>
        </w:rPr>
        <w:t xml:space="preserve"> نقديّة</w:t>
      </w:r>
      <w:r w:rsidR="00436076" w:rsidRPr="00282AC9">
        <w:rPr>
          <w:rFonts w:hint="cs"/>
          <w:sz w:val="26"/>
          <w:szCs w:val="42"/>
          <w:rtl/>
        </w:rPr>
        <w:t xml:space="preserve"> في النصوص الدينيّة</w:t>
      </w:r>
      <w:bookmarkEnd w:id="70"/>
      <w:r w:rsidR="00436076" w:rsidRPr="00282AC9">
        <w:rPr>
          <w:sz w:val="26"/>
          <w:szCs w:val="42"/>
          <w:vertAlign w:val="superscript"/>
          <w:rtl/>
        </w:rPr>
        <w:t xml:space="preserve"> </w:t>
      </w:r>
    </w:p>
    <w:p w:rsidR="00B91185" w:rsidRPr="00897FAF" w:rsidRDefault="006B275A" w:rsidP="006B275A">
      <w:pPr>
        <w:pStyle w:val="11"/>
        <w:spacing w:line="216" w:lineRule="auto"/>
        <w:rPr>
          <w:sz w:val="36"/>
          <w:szCs w:val="36"/>
          <w:rtl/>
        </w:rPr>
      </w:pPr>
      <w:r w:rsidRPr="00897FAF">
        <w:rPr>
          <w:rFonts w:hint="cs"/>
          <w:sz w:val="36"/>
          <w:szCs w:val="36"/>
          <w:rtl/>
        </w:rPr>
        <w:t>(الزواج والتشنيع نموذجاً</w:t>
      </w:r>
      <w:r w:rsidR="00B91185" w:rsidRPr="00897FAF">
        <w:rPr>
          <w:rFonts w:hint="cs"/>
          <w:sz w:val="36"/>
          <w:szCs w:val="36"/>
          <w:rtl/>
        </w:rPr>
        <w:t>)</w:t>
      </w:r>
      <w:r w:rsidR="00EF3E9C" w:rsidRPr="00897FAF">
        <w:rPr>
          <w:sz w:val="36"/>
          <w:szCs w:val="36"/>
          <w:vertAlign w:val="superscript"/>
          <w:rtl/>
        </w:rPr>
        <w:t>(</w:t>
      </w:r>
      <w:r w:rsidR="00EF3E9C" w:rsidRPr="00897FAF">
        <w:rPr>
          <w:sz w:val="36"/>
          <w:szCs w:val="36"/>
          <w:vertAlign w:val="superscript"/>
          <w:rtl/>
        </w:rPr>
        <w:endnoteReference w:id="636"/>
      </w:r>
      <w:r w:rsidR="00EF3E9C" w:rsidRPr="00897FAF">
        <w:rPr>
          <w:sz w:val="36"/>
          <w:szCs w:val="36"/>
          <w:vertAlign w:val="superscript"/>
          <w:rtl/>
        </w:rPr>
        <w:t>)</w:t>
      </w:r>
    </w:p>
    <w:p w:rsidR="00E83C22" w:rsidRPr="00282AC9" w:rsidRDefault="00E83C22" w:rsidP="007051D6">
      <w:pPr>
        <w:spacing w:line="440" w:lineRule="exact"/>
        <w:rPr>
          <w:rtl/>
        </w:rPr>
      </w:pPr>
    </w:p>
    <w:p w:rsidR="00E83C22" w:rsidRPr="00282AC9" w:rsidRDefault="00E32753" w:rsidP="00E32753">
      <w:pPr>
        <w:pStyle w:val="Author"/>
        <w:rPr>
          <w:rtl/>
        </w:rPr>
      </w:pPr>
      <w:bookmarkStart w:id="71" w:name="_Toc87011515"/>
      <w:r w:rsidRPr="00282AC9">
        <w:rPr>
          <w:rFonts w:hint="cs"/>
          <w:rtl/>
        </w:rPr>
        <w:t>الشيخ سعيد نورا</w:t>
      </w:r>
      <w:r w:rsidR="00527634" w:rsidRPr="00282AC9">
        <w:rPr>
          <w:rFonts w:cs="Taher" w:hint="cs"/>
          <w:vertAlign w:val="superscript"/>
          <w:rtl/>
        </w:rPr>
        <w:t>(</w:t>
      </w:r>
      <w:r w:rsidR="00527634" w:rsidRPr="00282AC9">
        <w:rPr>
          <w:rFonts w:cs="Taher"/>
          <w:vertAlign w:val="superscript"/>
          <w:rtl/>
        </w:rPr>
        <w:footnoteReference w:customMarkFollows="1" w:id="12"/>
        <w:t>*)</w:t>
      </w:r>
      <w:bookmarkEnd w:id="71"/>
    </w:p>
    <w:p w:rsidR="00E40C58" w:rsidRPr="00282AC9" w:rsidRDefault="00E40C58" w:rsidP="00E40C58">
      <w:pPr>
        <w:pStyle w:val="Author"/>
        <w:rPr>
          <w:rtl/>
        </w:rPr>
      </w:pPr>
      <w:r w:rsidRPr="00282AC9">
        <w:rPr>
          <w:rFonts w:hint="cs"/>
          <w:rtl/>
        </w:rPr>
        <w:t>الشيخ مهدي قاسمي</w:t>
      </w:r>
      <w:r w:rsidRPr="00282AC9">
        <w:rPr>
          <w:rFonts w:cs="Taher" w:hint="cs"/>
          <w:vertAlign w:val="superscript"/>
          <w:rtl/>
        </w:rPr>
        <w:t>(*</w:t>
      </w:r>
      <w:r w:rsidRPr="00282AC9">
        <w:rPr>
          <w:rFonts w:cs="Taher"/>
          <w:vertAlign w:val="superscript"/>
          <w:rtl/>
        </w:rPr>
        <w:footnoteReference w:customMarkFollows="1" w:id="13"/>
        <w:t>*)</w:t>
      </w:r>
    </w:p>
    <w:p w:rsidR="00E83C22" w:rsidRPr="00282AC9" w:rsidRDefault="00E83C22" w:rsidP="007051D6">
      <w:pPr>
        <w:spacing w:line="440" w:lineRule="exact"/>
        <w:rPr>
          <w:rtl/>
        </w:rPr>
      </w:pPr>
    </w:p>
    <w:p w:rsidR="001153F1" w:rsidRPr="00282AC9" w:rsidRDefault="001153F1" w:rsidP="004E55FC">
      <w:pPr>
        <w:pStyle w:val="31"/>
        <w:rPr>
          <w:color w:val="auto"/>
          <w:rtl/>
        </w:rPr>
      </w:pPr>
      <w:r w:rsidRPr="00282AC9">
        <w:rPr>
          <w:color w:val="auto"/>
          <w:rtl/>
        </w:rPr>
        <w:t>المدخل</w:t>
      </w:r>
    </w:p>
    <w:p w:rsidR="001153F1" w:rsidRPr="00282AC9" w:rsidRDefault="001153F1" w:rsidP="003E218F">
      <w:pPr>
        <w:rPr>
          <w:rtl/>
        </w:rPr>
      </w:pPr>
      <w:r w:rsidRPr="00282AC9">
        <w:rPr>
          <w:rtl/>
        </w:rPr>
        <w:t>نحن اليوم نواجه منعط</w:t>
      </w:r>
      <w:r w:rsidR="00436076" w:rsidRPr="00282AC9">
        <w:rPr>
          <w:rtl/>
        </w:rPr>
        <w:t>فاً تاريخياً في المباحث الفقهية</w:t>
      </w:r>
      <w:r w:rsidR="00436076" w:rsidRPr="00282AC9">
        <w:rPr>
          <w:rFonts w:hint="cs"/>
          <w:rtl/>
        </w:rPr>
        <w:t xml:space="preserve">، </w:t>
      </w:r>
      <w:r w:rsidRPr="00282AC9">
        <w:rPr>
          <w:rtl/>
        </w:rPr>
        <w:t xml:space="preserve">حيث </w:t>
      </w:r>
      <w:r w:rsidR="006C68B5" w:rsidRPr="00282AC9">
        <w:rPr>
          <w:rFonts w:ascii="Cambria" w:hAnsi="Cambria" w:hint="cs"/>
          <w:rtl/>
        </w:rPr>
        <w:t>إ</w:t>
      </w:r>
      <w:r w:rsidRPr="00282AC9">
        <w:rPr>
          <w:rtl/>
        </w:rPr>
        <w:t>ن</w:t>
      </w:r>
      <w:r w:rsidRPr="00282AC9">
        <w:rPr>
          <w:rFonts w:hint="cs"/>
          <w:rtl/>
        </w:rPr>
        <w:t>ّ</w:t>
      </w:r>
      <w:r w:rsidRPr="00282AC9">
        <w:rPr>
          <w:rtl/>
        </w:rPr>
        <w:t xml:space="preserve"> الفقه في هذه العقود الأخيرة واجه الكثير من التساؤلات، ولا تكاد </w:t>
      </w:r>
      <w:r w:rsidR="006C68B5" w:rsidRPr="00282AC9">
        <w:rPr>
          <w:rFonts w:hint="cs"/>
          <w:rtl/>
        </w:rPr>
        <w:t xml:space="preserve">توجد </w:t>
      </w:r>
      <w:r w:rsidRPr="00282AC9">
        <w:rPr>
          <w:rtl/>
        </w:rPr>
        <w:t>مسألة</w:t>
      </w:r>
      <w:r w:rsidR="006C68B5" w:rsidRPr="00282AC9">
        <w:rPr>
          <w:rFonts w:hint="cs"/>
          <w:rtl/>
        </w:rPr>
        <w:t>ٌ</w:t>
      </w:r>
      <w:r w:rsidRPr="00282AC9">
        <w:rPr>
          <w:rtl/>
        </w:rPr>
        <w:t xml:space="preserve"> فقهية إلا</w:t>
      </w:r>
      <w:r w:rsidR="006C68B5" w:rsidRPr="00282AC9">
        <w:rPr>
          <w:rFonts w:hint="cs"/>
          <w:rtl/>
        </w:rPr>
        <w:t>ّ</w:t>
      </w:r>
      <w:r w:rsidRPr="00282AC9">
        <w:rPr>
          <w:rtl/>
        </w:rPr>
        <w:t xml:space="preserve"> وعليها الكثير من </w:t>
      </w:r>
      <w:r w:rsidRPr="00282AC9">
        <w:rPr>
          <w:rFonts w:ascii="Cambria" w:hAnsi="Cambria" w:hint="cs"/>
          <w:rtl/>
        </w:rPr>
        <w:t>الإشكاليات والتساؤلات الجادّة</w:t>
      </w:r>
      <w:r w:rsidR="006C68B5" w:rsidRPr="00282AC9">
        <w:rPr>
          <w:rFonts w:hint="cs"/>
          <w:rtl/>
        </w:rPr>
        <w:t>،</w:t>
      </w:r>
      <w:r w:rsidRPr="00282AC9">
        <w:rPr>
          <w:rtl/>
        </w:rPr>
        <w:t xml:space="preserve"> حت</w:t>
      </w:r>
      <w:r w:rsidR="006C68B5" w:rsidRPr="00282AC9">
        <w:rPr>
          <w:rFonts w:hint="cs"/>
          <w:rtl/>
        </w:rPr>
        <w:t>ّ</w:t>
      </w:r>
      <w:r w:rsidRPr="00282AC9">
        <w:rPr>
          <w:rtl/>
        </w:rPr>
        <w:t>ى ب</w:t>
      </w:r>
      <w:r w:rsidR="006C68B5" w:rsidRPr="00282AC9">
        <w:rPr>
          <w:rFonts w:hint="cs"/>
          <w:rtl/>
        </w:rPr>
        <w:t>ِ</w:t>
      </w:r>
      <w:r w:rsidRPr="00282AC9">
        <w:rPr>
          <w:rtl/>
        </w:rPr>
        <w:t>ت</w:t>
      </w:r>
      <w:r w:rsidR="006C68B5" w:rsidRPr="00282AC9">
        <w:rPr>
          <w:rFonts w:hint="cs"/>
          <w:rtl/>
        </w:rPr>
        <w:t>ْ</w:t>
      </w:r>
      <w:r w:rsidRPr="00282AC9">
        <w:rPr>
          <w:rtl/>
        </w:rPr>
        <w:t>نا مع الأسف في موقف الدفاع أكثر من</w:t>
      </w:r>
      <w:r w:rsidRPr="00282AC9">
        <w:rPr>
          <w:rFonts w:hint="cs"/>
          <w:rtl/>
        </w:rPr>
        <w:t>ّ</w:t>
      </w:r>
      <w:r w:rsidRPr="00282AC9">
        <w:rPr>
          <w:rtl/>
        </w:rPr>
        <w:t>ا في موقف الهجوم.</w:t>
      </w:r>
    </w:p>
    <w:p w:rsidR="001153F1" w:rsidRPr="00282AC9" w:rsidRDefault="001153F1" w:rsidP="003E218F">
      <w:pPr>
        <w:rPr>
          <w:sz w:val="27"/>
          <w:rtl/>
        </w:rPr>
      </w:pPr>
      <w:r w:rsidRPr="00282AC9">
        <w:rPr>
          <w:sz w:val="27"/>
          <w:rtl/>
        </w:rPr>
        <w:t>وهذا يتطل</w:t>
      </w:r>
      <w:r w:rsidRPr="00282AC9">
        <w:rPr>
          <w:rFonts w:hint="cs"/>
          <w:sz w:val="27"/>
          <w:rtl/>
        </w:rPr>
        <w:t>ّ</w:t>
      </w:r>
      <w:r w:rsidRPr="00282AC9">
        <w:rPr>
          <w:sz w:val="27"/>
          <w:rtl/>
        </w:rPr>
        <w:t>ب من</w:t>
      </w:r>
      <w:r w:rsidRPr="00282AC9">
        <w:rPr>
          <w:rFonts w:hint="cs"/>
          <w:sz w:val="27"/>
          <w:rtl/>
        </w:rPr>
        <w:t>ّ</w:t>
      </w:r>
      <w:r w:rsidRPr="00282AC9">
        <w:rPr>
          <w:sz w:val="27"/>
          <w:rtl/>
        </w:rPr>
        <w:t>ا أن نهتم</w:t>
      </w:r>
      <w:r w:rsidRPr="00282AC9">
        <w:rPr>
          <w:rFonts w:hint="cs"/>
          <w:sz w:val="27"/>
          <w:rtl/>
        </w:rPr>
        <w:t>ّ</w:t>
      </w:r>
      <w:r w:rsidRPr="00282AC9">
        <w:rPr>
          <w:sz w:val="27"/>
          <w:rtl/>
        </w:rPr>
        <w:t xml:space="preserve"> بالمباحث الفقهية الإشكالية أكثر من اهتمامتنا بالمباحث الفقهية المكر</w:t>
      </w:r>
      <w:r w:rsidR="006C68B5" w:rsidRPr="00282AC9">
        <w:rPr>
          <w:rFonts w:hint="cs"/>
          <w:sz w:val="27"/>
          <w:rtl/>
        </w:rPr>
        <w:t>َّ</w:t>
      </w:r>
      <w:r w:rsidRPr="00282AC9">
        <w:rPr>
          <w:sz w:val="27"/>
          <w:rtl/>
        </w:rPr>
        <w:t>رة والواضحة</w:t>
      </w:r>
      <w:r w:rsidR="006C68B5" w:rsidRPr="00282AC9">
        <w:rPr>
          <w:rFonts w:hint="cs"/>
          <w:sz w:val="27"/>
          <w:rtl/>
        </w:rPr>
        <w:t>،</w:t>
      </w:r>
      <w:r w:rsidRPr="00282AC9">
        <w:rPr>
          <w:sz w:val="27"/>
          <w:rtl/>
        </w:rPr>
        <w:t xml:space="preserve"> بل علينا أن نأخذ </w:t>
      </w:r>
      <w:r w:rsidRPr="00282AC9">
        <w:rPr>
          <w:rFonts w:hint="cs"/>
          <w:sz w:val="27"/>
          <w:rtl/>
        </w:rPr>
        <w:t>ب</w:t>
      </w:r>
      <w:r w:rsidRPr="00282AC9">
        <w:rPr>
          <w:sz w:val="27"/>
          <w:rtl/>
        </w:rPr>
        <w:t>زمام الأمور</w:t>
      </w:r>
      <w:r w:rsidR="006C68B5" w:rsidRPr="00282AC9">
        <w:rPr>
          <w:rFonts w:hint="cs"/>
          <w:sz w:val="27"/>
          <w:rtl/>
        </w:rPr>
        <w:t>،</w:t>
      </w:r>
      <w:r w:rsidRPr="00282AC9">
        <w:rPr>
          <w:sz w:val="27"/>
          <w:rtl/>
        </w:rPr>
        <w:t xml:space="preserve"> ونحاول اكتشاف رؤية الشريعة تجاه الموضوعات المختلفة</w:t>
      </w:r>
      <w:r w:rsidR="006C68B5" w:rsidRPr="00282AC9">
        <w:rPr>
          <w:rFonts w:hint="cs"/>
          <w:sz w:val="27"/>
          <w:rtl/>
        </w:rPr>
        <w:t>،</w:t>
      </w:r>
      <w:r w:rsidRPr="00282AC9">
        <w:rPr>
          <w:sz w:val="27"/>
          <w:rtl/>
        </w:rPr>
        <w:t xml:space="preserve"> مقد</w:t>
      </w:r>
      <w:r w:rsidRPr="00282AC9">
        <w:rPr>
          <w:rFonts w:hint="cs"/>
          <w:sz w:val="27"/>
          <w:rtl/>
        </w:rPr>
        <w:t>ّ</w:t>
      </w:r>
      <w:r w:rsidR="006C68B5" w:rsidRPr="00282AC9">
        <w:rPr>
          <w:rFonts w:hint="cs"/>
          <w:sz w:val="27"/>
          <w:rtl/>
        </w:rPr>
        <w:t>َ</w:t>
      </w:r>
      <w:r w:rsidRPr="00282AC9">
        <w:rPr>
          <w:sz w:val="27"/>
          <w:rtl/>
        </w:rPr>
        <w:t>ماً على التحد</w:t>
      </w:r>
      <w:r w:rsidRPr="00282AC9">
        <w:rPr>
          <w:rFonts w:hint="cs"/>
          <w:sz w:val="27"/>
          <w:rtl/>
        </w:rPr>
        <w:t>ّ</w:t>
      </w:r>
      <w:r w:rsidRPr="00282AC9">
        <w:rPr>
          <w:sz w:val="27"/>
          <w:rtl/>
        </w:rPr>
        <w:t>يات التي من المتوق</w:t>
      </w:r>
      <w:r w:rsidRPr="00282AC9">
        <w:rPr>
          <w:rFonts w:hint="cs"/>
          <w:sz w:val="27"/>
          <w:rtl/>
        </w:rPr>
        <w:t>ّ</w:t>
      </w:r>
      <w:r w:rsidR="006C68B5" w:rsidRPr="00282AC9">
        <w:rPr>
          <w:rFonts w:hint="cs"/>
          <w:sz w:val="27"/>
          <w:rtl/>
        </w:rPr>
        <w:t>َ</w:t>
      </w:r>
      <w:r w:rsidRPr="00282AC9">
        <w:rPr>
          <w:sz w:val="27"/>
          <w:rtl/>
        </w:rPr>
        <w:t>ع أن تطرح في الساحة الثقافي</w:t>
      </w:r>
      <w:r w:rsidR="006C68B5" w:rsidRPr="00282AC9">
        <w:rPr>
          <w:rFonts w:hint="cs"/>
          <w:sz w:val="27"/>
          <w:rtl/>
        </w:rPr>
        <w:t>ّ</w:t>
      </w:r>
      <w:r w:rsidRPr="00282AC9">
        <w:rPr>
          <w:sz w:val="27"/>
          <w:rtl/>
        </w:rPr>
        <w:t>ة والعلمي</w:t>
      </w:r>
      <w:r w:rsidR="006C68B5" w:rsidRPr="00282AC9">
        <w:rPr>
          <w:rFonts w:hint="cs"/>
          <w:sz w:val="27"/>
          <w:rtl/>
        </w:rPr>
        <w:t>ّ</w:t>
      </w:r>
      <w:r w:rsidRPr="00282AC9">
        <w:rPr>
          <w:sz w:val="27"/>
          <w:rtl/>
        </w:rPr>
        <w:t>ة، لا أن نقف مكتوفي الأيدي حت</w:t>
      </w:r>
      <w:r w:rsidR="006C68B5" w:rsidRPr="00282AC9">
        <w:rPr>
          <w:rFonts w:hint="cs"/>
          <w:sz w:val="27"/>
          <w:rtl/>
        </w:rPr>
        <w:t>ّ</w:t>
      </w:r>
      <w:r w:rsidRPr="00282AC9">
        <w:rPr>
          <w:sz w:val="27"/>
          <w:rtl/>
        </w:rPr>
        <w:t>ى تطرح المسائل والإشكاليات</w:t>
      </w:r>
      <w:r w:rsidR="006C68B5" w:rsidRPr="00282AC9">
        <w:rPr>
          <w:rFonts w:hint="cs"/>
          <w:sz w:val="27"/>
          <w:rtl/>
        </w:rPr>
        <w:t>،</w:t>
      </w:r>
      <w:r w:rsidRPr="00282AC9">
        <w:rPr>
          <w:sz w:val="27"/>
          <w:rtl/>
        </w:rPr>
        <w:t xml:space="preserve"> ثم</w:t>
      </w:r>
      <w:r w:rsidR="006C68B5" w:rsidRPr="00282AC9">
        <w:rPr>
          <w:rFonts w:hint="cs"/>
          <w:sz w:val="27"/>
          <w:rtl/>
        </w:rPr>
        <w:t>ّ</w:t>
      </w:r>
      <w:r w:rsidRPr="00282AC9">
        <w:rPr>
          <w:sz w:val="27"/>
          <w:rtl/>
        </w:rPr>
        <w:t xml:space="preserve"> نحاول وضع الحلول</w:t>
      </w:r>
      <w:r w:rsidR="006C68B5" w:rsidRPr="00282AC9">
        <w:rPr>
          <w:rFonts w:hint="cs"/>
          <w:sz w:val="27"/>
          <w:rtl/>
        </w:rPr>
        <w:t>،</w:t>
      </w:r>
      <w:r w:rsidRPr="00282AC9">
        <w:rPr>
          <w:sz w:val="27"/>
          <w:rtl/>
        </w:rPr>
        <w:t xml:space="preserve"> بعد أن </w:t>
      </w:r>
      <w:r w:rsidR="006C68B5" w:rsidRPr="00282AC9">
        <w:rPr>
          <w:rFonts w:hint="cs"/>
          <w:sz w:val="27"/>
          <w:rtl/>
        </w:rPr>
        <w:t xml:space="preserve">تكون </w:t>
      </w:r>
      <w:r w:rsidR="006C68B5" w:rsidRPr="00282AC9">
        <w:rPr>
          <w:sz w:val="27"/>
          <w:rtl/>
        </w:rPr>
        <w:t>هذه الإشكالي</w:t>
      </w:r>
      <w:r w:rsidR="006C68B5" w:rsidRPr="00282AC9">
        <w:rPr>
          <w:rFonts w:hint="cs"/>
          <w:sz w:val="27"/>
          <w:rtl/>
        </w:rPr>
        <w:t>ّ</w:t>
      </w:r>
      <w:r w:rsidR="006C68B5" w:rsidRPr="00282AC9">
        <w:rPr>
          <w:sz w:val="27"/>
          <w:rtl/>
        </w:rPr>
        <w:t xml:space="preserve">ات </w:t>
      </w:r>
      <w:r w:rsidR="006C68B5" w:rsidRPr="00282AC9">
        <w:rPr>
          <w:rFonts w:hint="cs"/>
          <w:sz w:val="27"/>
          <w:rtl/>
        </w:rPr>
        <w:t xml:space="preserve">قد </w:t>
      </w:r>
      <w:r w:rsidRPr="00282AC9">
        <w:rPr>
          <w:sz w:val="27"/>
          <w:rtl/>
        </w:rPr>
        <w:t>أخذت ضحايا كثيرة</w:t>
      </w:r>
      <w:r w:rsidR="006C68B5" w:rsidRPr="00282AC9">
        <w:rPr>
          <w:rFonts w:hint="cs"/>
          <w:sz w:val="27"/>
          <w:rtl/>
        </w:rPr>
        <w:t>ً</w:t>
      </w:r>
      <w:r w:rsidRPr="00282AC9">
        <w:rPr>
          <w:sz w:val="27"/>
          <w:rtl/>
        </w:rPr>
        <w:t xml:space="preserve"> من شبابنا وفتياتنا.</w:t>
      </w:r>
    </w:p>
    <w:p w:rsidR="001153F1" w:rsidRPr="00282AC9" w:rsidRDefault="001153F1" w:rsidP="003E218F">
      <w:pPr>
        <w:rPr>
          <w:sz w:val="27"/>
          <w:rtl/>
        </w:rPr>
      </w:pPr>
      <w:r w:rsidRPr="00282AC9">
        <w:rPr>
          <w:sz w:val="27"/>
          <w:rtl/>
        </w:rPr>
        <w:lastRenderedPageBreak/>
        <w:t xml:space="preserve">ومن المواضيع التي </w:t>
      </w:r>
      <w:r w:rsidR="006C68B5" w:rsidRPr="00282AC9">
        <w:rPr>
          <w:rFonts w:hint="cs"/>
          <w:sz w:val="27"/>
          <w:rtl/>
        </w:rPr>
        <w:t>أثارت</w:t>
      </w:r>
      <w:r w:rsidRPr="00282AC9">
        <w:rPr>
          <w:sz w:val="27"/>
          <w:rtl/>
        </w:rPr>
        <w:t xml:space="preserve"> ج</w:t>
      </w:r>
      <w:r w:rsidR="006C68B5" w:rsidRPr="00282AC9">
        <w:rPr>
          <w:rFonts w:hint="cs"/>
          <w:sz w:val="27"/>
          <w:rtl/>
        </w:rPr>
        <w:t>َ</w:t>
      </w:r>
      <w:r w:rsidRPr="00282AC9">
        <w:rPr>
          <w:sz w:val="27"/>
          <w:rtl/>
        </w:rPr>
        <w:t>د</w:t>
      </w:r>
      <w:r w:rsidR="006C68B5" w:rsidRPr="00282AC9">
        <w:rPr>
          <w:rFonts w:hint="cs"/>
          <w:sz w:val="27"/>
          <w:rtl/>
        </w:rPr>
        <w:t>َ</w:t>
      </w:r>
      <w:r w:rsidRPr="00282AC9">
        <w:rPr>
          <w:sz w:val="27"/>
          <w:rtl/>
        </w:rPr>
        <w:t>لاً واسعاً في العقود الأخيرة مسألة حقوق المرأة</w:t>
      </w:r>
      <w:r w:rsidR="006C68B5" w:rsidRPr="00282AC9">
        <w:rPr>
          <w:rFonts w:hint="cs"/>
          <w:sz w:val="27"/>
          <w:rtl/>
        </w:rPr>
        <w:t>،</w:t>
      </w:r>
      <w:r w:rsidRPr="00282AC9">
        <w:rPr>
          <w:sz w:val="27"/>
          <w:rtl/>
        </w:rPr>
        <w:t xml:space="preserve"> التي </w:t>
      </w:r>
      <w:r w:rsidR="00F93DDD" w:rsidRPr="00282AC9">
        <w:rPr>
          <w:rFonts w:hint="cs"/>
          <w:sz w:val="27"/>
          <w:rtl/>
        </w:rPr>
        <w:t>بلغت</w:t>
      </w:r>
      <w:r w:rsidRPr="00282AC9">
        <w:rPr>
          <w:sz w:val="27"/>
          <w:rtl/>
        </w:rPr>
        <w:t xml:space="preserve"> ذ</w:t>
      </w:r>
      <w:r w:rsidR="00F93DDD" w:rsidRPr="00282AC9">
        <w:rPr>
          <w:rFonts w:hint="cs"/>
          <w:sz w:val="27"/>
          <w:rtl/>
        </w:rPr>
        <w:t>َ</w:t>
      </w:r>
      <w:r w:rsidRPr="00282AC9">
        <w:rPr>
          <w:sz w:val="27"/>
          <w:rtl/>
        </w:rPr>
        <w:t>ر</w:t>
      </w:r>
      <w:r w:rsidR="00F93DDD" w:rsidRPr="00282AC9">
        <w:rPr>
          <w:rFonts w:hint="cs"/>
          <w:sz w:val="27"/>
          <w:rtl/>
        </w:rPr>
        <w:t>ْ</w:t>
      </w:r>
      <w:r w:rsidRPr="00282AC9">
        <w:rPr>
          <w:sz w:val="27"/>
          <w:rtl/>
        </w:rPr>
        <w:t>وتها بعد أن طرحت مدارس فكري</w:t>
      </w:r>
      <w:r w:rsidR="00F93DDD" w:rsidRPr="00282AC9">
        <w:rPr>
          <w:rFonts w:hint="cs"/>
          <w:sz w:val="27"/>
          <w:rtl/>
        </w:rPr>
        <w:t>ّ</w:t>
      </w:r>
      <w:r w:rsidRPr="00282AC9">
        <w:rPr>
          <w:sz w:val="27"/>
          <w:rtl/>
        </w:rPr>
        <w:t>ة</w:t>
      </w:r>
      <w:r w:rsidR="00F93DDD" w:rsidRPr="00282AC9">
        <w:rPr>
          <w:rFonts w:hint="cs"/>
          <w:sz w:val="27"/>
          <w:rtl/>
        </w:rPr>
        <w:t>،</w:t>
      </w:r>
      <w:r w:rsidRPr="00282AC9">
        <w:rPr>
          <w:sz w:val="27"/>
          <w:rtl/>
        </w:rPr>
        <w:t xml:space="preserve"> من قبيل</w:t>
      </w:r>
      <w:r w:rsidR="00F93DDD" w:rsidRPr="00282AC9">
        <w:rPr>
          <w:rFonts w:hint="cs"/>
          <w:sz w:val="27"/>
          <w:rtl/>
        </w:rPr>
        <w:t>:</w:t>
      </w:r>
      <w:r w:rsidRPr="00282AC9">
        <w:rPr>
          <w:sz w:val="27"/>
          <w:rtl/>
        </w:rPr>
        <w:t xml:space="preserve"> الفمينيسم</w:t>
      </w:r>
      <w:r w:rsidRPr="00282AC9">
        <w:rPr>
          <w:rFonts w:hint="cs"/>
          <w:sz w:val="27"/>
          <w:rtl/>
        </w:rPr>
        <w:t xml:space="preserve"> (</w:t>
      </w:r>
      <w:r w:rsidRPr="00282AC9">
        <w:rPr>
          <w:sz w:val="27"/>
          <w:rtl/>
        </w:rPr>
        <w:t>(</w:t>
      </w:r>
      <w:r w:rsidRPr="00282AC9">
        <w:rPr>
          <w:rFonts w:asciiTheme="majorBidi" w:hAnsiTheme="majorBidi" w:cstheme="majorBidi"/>
          <w:sz w:val="22"/>
          <w:szCs w:val="22"/>
          <w:lang w:bidi="fa-IR"/>
        </w:rPr>
        <w:t>Feminism</w:t>
      </w:r>
      <w:r w:rsidRPr="00282AC9">
        <w:rPr>
          <w:sz w:val="27"/>
          <w:rtl/>
        </w:rPr>
        <w:t xml:space="preserve"> </w:t>
      </w:r>
      <w:r w:rsidRPr="00282AC9">
        <w:rPr>
          <w:rFonts w:hint="cs"/>
          <w:sz w:val="27"/>
          <w:rtl/>
        </w:rPr>
        <w:t>و</w:t>
      </w:r>
      <w:r w:rsidRPr="00282AC9">
        <w:rPr>
          <w:sz w:val="27"/>
          <w:rtl/>
        </w:rPr>
        <w:t>الأومانيسم</w:t>
      </w:r>
      <w:r w:rsidRPr="00282AC9">
        <w:rPr>
          <w:rFonts w:hint="cs"/>
          <w:sz w:val="27"/>
          <w:rtl/>
        </w:rPr>
        <w:t xml:space="preserve"> (</w:t>
      </w:r>
      <w:r w:rsidRPr="00282AC9">
        <w:rPr>
          <w:rFonts w:asciiTheme="majorBidi" w:hAnsiTheme="majorBidi" w:cstheme="majorBidi"/>
          <w:sz w:val="22"/>
          <w:szCs w:val="22"/>
        </w:rPr>
        <w:t>Humanism</w:t>
      </w:r>
      <w:r w:rsidRPr="00282AC9">
        <w:rPr>
          <w:rFonts w:hint="cs"/>
          <w:sz w:val="27"/>
          <w:rtl/>
        </w:rPr>
        <w:t>)</w:t>
      </w:r>
      <w:r w:rsidR="00F93DDD" w:rsidRPr="00282AC9">
        <w:rPr>
          <w:rFonts w:hint="cs"/>
          <w:sz w:val="27"/>
          <w:rtl/>
        </w:rPr>
        <w:t>،</w:t>
      </w:r>
      <w:r w:rsidRPr="00282AC9">
        <w:rPr>
          <w:sz w:val="27"/>
          <w:rtl/>
        </w:rPr>
        <w:t xml:space="preserve"> في العالم، حيث اعتبر بعض</w:t>
      </w:r>
      <w:r w:rsidR="00F93DDD" w:rsidRPr="00282AC9">
        <w:rPr>
          <w:rFonts w:hint="cs"/>
          <w:sz w:val="27"/>
          <w:rtl/>
        </w:rPr>
        <w:t>ٌ</w:t>
      </w:r>
      <w:r w:rsidRPr="00282AC9">
        <w:rPr>
          <w:sz w:val="27"/>
          <w:rtl/>
        </w:rPr>
        <w:t xml:space="preserve"> الأحكام الدينية معارض</w:t>
      </w:r>
      <w:r w:rsidR="00F93DDD" w:rsidRPr="00282AC9">
        <w:rPr>
          <w:rFonts w:hint="cs"/>
          <w:sz w:val="27"/>
          <w:rtl/>
        </w:rPr>
        <w:t>ةً</w:t>
      </w:r>
      <w:r w:rsidRPr="00282AC9">
        <w:rPr>
          <w:sz w:val="27"/>
          <w:rtl/>
        </w:rPr>
        <w:t xml:space="preserve"> لحقوق الإنسان وما شابه ذلك</w:t>
      </w:r>
      <w:r w:rsidRPr="00282AC9">
        <w:rPr>
          <w:rFonts w:hint="cs"/>
          <w:sz w:val="27"/>
          <w:rtl/>
        </w:rPr>
        <w:t xml:space="preserve">. </w:t>
      </w:r>
    </w:p>
    <w:p w:rsidR="001153F1" w:rsidRPr="00282AC9" w:rsidRDefault="001153F1" w:rsidP="003E218F">
      <w:pPr>
        <w:rPr>
          <w:sz w:val="27"/>
          <w:rtl/>
        </w:rPr>
      </w:pPr>
      <w:r w:rsidRPr="00282AC9">
        <w:rPr>
          <w:sz w:val="27"/>
          <w:rtl/>
        </w:rPr>
        <w:t>ومن هذه الموضوعات التي ترتبط بحقوق المرأة كراهة</w:t>
      </w:r>
      <w:r w:rsidR="00F93DDD" w:rsidRPr="00282AC9">
        <w:rPr>
          <w:rFonts w:hint="cs"/>
          <w:sz w:val="27"/>
          <w:rtl/>
        </w:rPr>
        <w:t>ُ</w:t>
      </w:r>
      <w:r w:rsidRPr="00282AC9">
        <w:rPr>
          <w:sz w:val="27"/>
          <w:rtl/>
        </w:rPr>
        <w:t xml:space="preserve"> الزواج من المرأة العقيم</w:t>
      </w:r>
      <w:r w:rsidR="00F93DDD" w:rsidRPr="00282AC9">
        <w:rPr>
          <w:rFonts w:hint="cs"/>
          <w:sz w:val="27"/>
          <w:rtl/>
        </w:rPr>
        <w:t>،</w:t>
      </w:r>
      <w:r w:rsidRPr="00282AC9">
        <w:rPr>
          <w:sz w:val="27"/>
          <w:rtl/>
        </w:rPr>
        <w:t xml:space="preserve"> التي ط</w:t>
      </w:r>
      <w:r w:rsidR="00F93DDD" w:rsidRPr="00282AC9">
        <w:rPr>
          <w:rFonts w:hint="cs"/>
          <w:sz w:val="27"/>
          <w:rtl/>
        </w:rPr>
        <w:t>ُ</w:t>
      </w:r>
      <w:r w:rsidRPr="00282AC9">
        <w:rPr>
          <w:sz w:val="27"/>
          <w:rtl/>
        </w:rPr>
        <w:t>رحت في الكثير من الكتب الفقهية، الأمر الذي اعتبر دليلاً على عدم عدالة الشريعة الإسلامي</w:t>
      </w:r>
      <w:r w:rsidR="00F93DDD" w:rsidRPr="00282AC9">
        <w:rPr>
          <w:rFonts w:hint="cs"/>
          <w:sz w:val="27"/>
          <w:rtl/>
        </w:rPr>
        <w:t>ّ</w:t>
      </w:r>
      <w:r w:rsidRPr="00282AC9">
        <w:rPr>
          <w:sz w:val="27"/>
          <w:rtl/>
        </w:rPr>
        <w:t>ة</w:t>
      </w:r>
      <w:r w:rsidR="00F93DDD" w:rsidRPr="00282AC9">
        <w:rPr>
          <w:rFonts w:hint="cs"/>
          <w:sz w:val="27"/>
          <w:rtl/>
        </w:rPr>
        <w:t>؛</w:t>
      </w:r>
      <w:r w:rsidRPr="00282AC9">
        <w:rPr>
          <w:sz w:val="27"/>
          <w:rtl/>
        </w:rPr>
        <w:t xml:space="preserve"> لأن</w:t>
      </w:r>
      <w:r w:rsidRPr="00282AC9">
        <w:rPr>
          <w:rFonts w:hint="cs"/>
          <w:sz w:val="27"/>
          <w:rtl/>
        </w:rPr>
        <w:t>ّ</w:t>
      </w:r>
      <w:r w:rsidRPr="00282AC9">
        <w:rPr>
          <w:sz w:val="27"/>
          <w:rtl/>
        </w:rPr>
        <w:t xml:space="preserve">ها </w:t>
      </w:r>
      <w:r w:rsidR="00F93DDD" w:rsidRPr="00282AC9">
        <w:rPr>
          <w:rFonts w:hint="cs"/>
          <w:sz w:val="27"/>
          <w:rtl/>
        </w:rPr>
        <w:t>اتّخذت</w:t>
      </w:r>
      <w:r w:rsidRPr="00282AC9">
        <w:rPr>
          <w:sz w:val="27"/>
          <w:rtl/>
        </w:rPr>
        <w:t xml:space="preserve"> المعايير الخَل</w:t>
      </w:r>
      <w:r w:rsidR="00F93DDD" w:rsidRPr="00282AC9">
        <w:rPr>
          <w:rFonts w:hint="cs"/>
          <w:sz w:val="27"/>
          <w:rtl/>
        </w:rPr>
        <w:t>ْ</w:t>
      </w:r>
      <w:r w:rsidRPr="00282AC9">
        <w:rPr>
          <w:sz w:val="27"/>
          <w:rtl/>
        </w:rPr>
        <w:t>قية للحكم على النساء</w:t>
      </w:r>
      <w:r w:rsidR="00F93DDD" w:rsidRPr="00282AC9">
        <w:rPr>
          <w:rFonts w:hint="cs"/>
          <w:sz w:val="27"/>
          <w:rtl/>
        </w:rPr>
        <w:t xml:space="preserve">، </w:t>
      </w:r>
      <w:r w:rsidRPr="00282AC9">
        <w:rPr>
          <w:sz w:val="27"/>
          <w:rtl/>
        </w:rPr>
        <w:t>بينما المعايير الخُل</w:t>
      </w:r>
      <w:r w:rsidR="00F93DDD" w:rsidRPr="00282AC9">
        <w:rPr>
          <w:rFonts w:hint="cs"/>
          <w:sz w:val="27"/>
          <w:rtl/>
        </w:rPr>
        <w:t>ُ</w:t>
      </w:r>
      <w:r w:rsidRPr="00282AC9">
        <w:rPr>
          <w:sz w:val="27"/>
          <w:rtl/>
        </w:rPr>
        <w:t>قية هي التي يمكن أن تكون معياراً للتفضيل بين النساء</w:t>
      </w:r>
      <w:r w:rsidR="00F93DDD" w:rsidRPr="00282AC9">
        <w:rPr>
          <w:rFonts w:hint="cs"/>
          <w:sz w:val="27"/>
          <w:rtl/>
        </w:rPr>
        <w:t>.</w:t>
      </w:r>
      <w:r w:rsidRPr="00282AC9">
        <w:rPr>
          <w:sz w:val="27"/>
          <w:rtl/>
        </w:rPr>
        <w:t xml:space="preserve"> </w:t>
      </w:r>
      <w:r w:rsidR="00F93DDD" w:rsidRPr="00282AC9">
        <w:rPr>
          <w:rFonts w:hint="cs"/>
          <w:sz w:val="27"/>
          <w:rtl/>
        </w:rPr>
        <w:t>ف</w:t>
      </w:r>
      <w:r w:rsidRPr="00282AC9">
        <w:rPr>
          <w:sz w:val="27"/>
          <w:rtl/>
        </w:rPr>
        <w:t xml:space="preserve">ما هو ذنب هذه المرأة التي </w:t>
      </w:r>
      <w:r w:rsidR="00F93DDD" w:rsidRPr="00282AC9">
        <w:rPr>
          <w:rFonts w:hint="cs"/>
          <w:sz w:val="27"/>
          <w:rtl/>
        </w:rPr>
        <w:t>وُلدَتْ</w:t>
      </w:r>
      <w:r w:rsidRPr="00282AC9">
        <w:rPr>
          <w:sz w:val="27"/>
          <w:rtl/>
        </w:rPr>
        <w:t xml:space="preserve"> عقيماً</w:t>
      </w:r>
      <w:r w:rsidR="00F93DDD" w:rsidRPr="00282AC9">
        <w:rPr>
          <w:rFonts w:hint="cs"/>
          <w:sz w:val="27"/>
          <w:rtl/>
        </w:rPr>
        <w:t>؛</w:t>
      </w:r>
      <w:r w:rsidRPr="00282AC9">
        <w:rPr>
          <w:sz w:val="27"/>
          <w:rtl/>
        </w:rPr>
        <w:t xml:space="preserve"> لتأتي الشريعة الإسلامي</w:t>
      </w:r>
      <w:r w:rsidR="00F93DDD" w:rsidRPr="00282AC9">
        <w:rPr>
          <w:rFonts w:hint="cs"/>
          <w:sz w:val="27"/>
          <w:rtl/>
        </w:rPr>
        <w:t>ّ</w:t>
      </w:r>
      <w:r w:rsidRPr="00282AC9">
        <w:rPr>
          <w:sz w:val="27"/>
          <w:rtl/>
        </w:rPr>
        <w:t>ة وت</w:t>
      </w:r>
      <w:r w:rsidR="00F93DDD" w:rsidRPr="00282AC9">
        <w:rPr>
          <w:rFonts w:hint="cs"/>
          <w:sz w:val="27"/>
          <w:rtl/>
        </w:rPr>
        <w:t>ت</w:t>
      </w:r>
      <w:r w:rsidRPr="00282AC9">
        <w:rPr>
          <w:sz w:val="27"/>
          <w:rtl/>
        </w:rPr>
        <w:t>عامل معها كأن</w:t>
      </w:r>
      <w:r w:rsidRPr="00282AC9">
        <w:rPr>
          <w:rFonts w:hint="cs"/>
          <w:sz w:val="27"/>
          <w:rtl/>
        </w:rPr>
        <w:t>ّ</w:t>
      </w:r>
      <w:r w:rsidRPr="00282AC9">
        <w:rPr>
          <w:sz w:val="27"/>
          <w:rtl/>
        </w:rPr>
        <w:t>ها مصداق</w:t>
      </w:r>
      <w:r w:rsidRPr="00282AC9">
        <w:rPr>
          <w:rFonts w:hint="cs"/>
          <w:sz w:val="27"/>
          <w:rtl/>
        </w:rPr>
        <w:t>ٌ</w:t>
      </w:r>
      <w:r w:rsidRPr="00282AC9">
        <w:rPr>
          <w:sz w:val="27"/>
          <w:rtl/>
        </w:rPr>
        <w:t xml:space="preserve"> من مصاديق الشر</w:t>
      </w:r>
      <w:r w:rsidR="00F93DDD" w:rsidRPr="00282AC9">
        <w:rPr>
          <w:rFonts w:hint="cs"/>
          <w:sz w:val="27"/>
          <w:rtl/>
        </w:rPr>
        <w:t>ّ،</w:t>
      </w:r>
      <w:r w:rsidRPr="00282AC9">
        <w:rPr>
          <w:sz w:val="27"/>
          <w:rtl/>
        </w:rPr>
        <w:t xml:space="preserve"> أو تصفها بأ</w:t>
      </w:r>
      <w:r w:rsidR="00D55D80" w:rsidRPr="00282AC9">
        <w:rPr>
          <w:sz w:val="27"/>
          <w:rtl/>
        </w:rPr>
        <w:t>ن حصيراً في ناحية البيت أفضل من</w:t>
      </w:r>
      <w:r w:rsidR="00D55D80" w:rsidRPr="00282AC9">
        <w:rPr>
          <w:rFonts w:hint="cs"/>
          <w:sz w:val="27"/>
          <w:rtl/>
        </w:rPr>
        <w:t>ها</w:t>
      </w:r>
      <w:r w:rsidRPr="00282AC9">
        <w:rPr>
          <w:rFonts w:hint="cs"/>
          <w:sz w:val="27"/>
          <w:rtl/>
        </w:rPr>
        <w:t>؟!</w:t>
      </w:r>
      <w:r w:rsidRPr="00282AC9">
        <w:rPr>
          <w:sz w:val="27"/>
          <w:rtl/>
        </w:rPr>
        <w:t xml:space="preserve"> </w:t>
      </w:r>
    </w:p>
    <w:p w:rsidR="001153F1" w:rsidRPr="00282AC9" w:rsidRDefault="001153F1" w:rsidP="003E218F">
      <w:pPr>
        <w:rPr>
          <w:sz w:val="27"/>
          <w:rtl/>
        </w:rPr>
      </w:pPr>
      <w:r w:rsidRPr="00282AC9">
        <w:rPr>
          <w:sz w:val="27"/>
          <w:rtl/>
        </w:rPr>
        <w:t xml:space="preserve">لا نريد أن نبحث </w:t>
      </w:r>
      <w:r w:rsidRPr="00282AC9">
        <w:rPr>
          <w:rFonts w:hint="cs"/>
          <w:sz w:val="27"/>
          <w:rtl/>
        </w:rPr>
        <w:t xml:space="preserve">هنا </w:t>
      </w:r>
      <w:r w:rsidRPr="00282AC9">
        <w:rPr>
          <w:sz w:val="27"/>
          <w:rtl/>
        </w:rPr>
        <w:t>في إطار فلسفة الأحكام</w:t>
      </w:r>
      <w:r w:rsidR="00D55D80" w:rsidRPr="00282AC9">
        <w:rPr>
          <w:rFonts w:hint="cs"/>
          <w:sz w:val="27"/>
          <w:rtl/>
        </w:rPr>
        <w:t>،</w:t>
      </w:r>
      <w:r w:rsidRPr="00282AC9">
        <w:rPr>
          <w:sz w:val="27"/>
          <w:rtl/>
        </w:rPr>
        <w:t xml:space="preserve"> وتوجيه هذا الحكم، وإن</w:t>
      </w:r>
      <w:r w:rsidRPr="00282AC9">
        <w:rPr>
          <w:rFonts w:hint="cs"/>
          <w:sz w:val="27"/>
          <w:rtl/>
        </w:rPr>
        <w:t>ّ</w:t>
      </w:r>
      <w:r w:rsidRPr="00282AC9">
        <w:rPr>
          <w:sz w:val="27"/>
          <w:rtl/>
        </w:rPr>
        <w:t>ما نريد أن نرك</w:t>
      </w:r>
      <w:r w:rsidRPr="00282AC9">
        <w:rPr>
          <w:rFonts w:hint="cs"/>
          <w:sz w:val="27"/>
          <w:rtl/>
        </w:rPr>
        <w:t>ّ</w:t>
      </w:r>
      <w:r w:rsidR="00D55D80" w:rsidRPr="00282AC9">
        <w:rPr>
          <w:rFonts w:hint="cs"/>
          <w:sz w:val="27"/>
          <w:rtl/>
        </w:rPr>
        <w:t>ِ</w:t>
      </w:r>
      <w:r w:rsidRPr="00282AC9">
        <w:rPr>
          <w:sz w:val="27"/>
          <w:rtl/>
        </w:rPr>
        <w:t>ز على أصل ثبوت هذا الحكم في الشريعة الإسلامية</w:t>
      </w:r>
      <w:r w:rsidR="00D55D80" w:rsidRPr="00282AC9">
        <w:rPr>
          <w:rFonts w:hint="cs"/>
          <w:sz w:val="27"/>
          <w:rtl/>
        </w:rPr>
        <w:t>؛</w:t>
      </w:r>
      <w:r w:rsidRPr="00282AC9">
        <w:rPr>
          <w:sz w:val="27"/>
          <w:rtl/>
        </w:rPr>
        <w:t xml:space="preserve"> لنرى مدى صح</w:t>
      </w:r>
      <w:r w:rsidR="00D55D80" w:rsidRPr="00282AC9">
        <w:rPr>
          <w:rFonts w:hint="cs"/>
          <w:sz w:val="27"/>
          <w:rtl/>
        </w:rPr>
        <w:t>ّ</w:t>
      </w:r>
      <w:r w:rsidRPr="00282AC9">
        <w:rPr>
          <w:sz w:val="27"/>
          <w:rtl/>
        </w:rPr>
        <w:t>ة انتساب هذا الحكم إلى الشريعة الإسلامية</w:t>
      </w:r>
      <w:r w:rsidR="00D55D80" w:rsidRPr="00282AC9">
        <w:rPr>
          <w:rFonts w:hint="cs"/>
          <w:sz w:val="27"/>
          <w:rtl/>
        </w:rPr>
        <w:t>؛</w:t>
      </w:r>
      <w:r w:rsidRPr="00282AC9">
        <w:rPr>
          <w:sz w:val="27"/>
          <w:rtl/>
        </w:rPr>
        <w:t xml:space="preserve"> إذ لا يصل ال</w:t>
      </w:r>
      <w:r w:rsidR="00D55D80" w:rsidRPr="00282AC9">
        <w:rPr>
          <w:sz w:val="27"/>
          <w:rtl/>
        </w:rPr>
        <w:t>د</w:t>
      </w:r>
      <w:r w:rsidR="00D55D80" w:rsidRPr="00282AC9">
        <w:rPr>
          <w:rFonts w:hint="cs"/>
          <w:sz w:val="27"/>
          <w:rtl/>
        </w:rPr>
        <w:t>َّ</w:t>
      </w:r>
      <w:r w:rsidR="00EE6DBA" w:rsidRPr="00282AC9">
        <w:rPr>
          <w:sz w:val="27"/>
          <w:rtl/>
        </w:rPr>
        <w:t>وْر</w:t>
      </w:r>
      <w:r w:rsidRPr="00282AC9">
        <w:rPr>
          <w:sz w:val="27"/>
          <w:rtl/>
        </w:rPr>
        <w:t xml:space="preserve"> إلى </w:t>
      </w:r>
      <w:r w:rsidRPr="00282AC9">
        <w:rPr>
          <w:rFonts w:hint="cs"/>
          <w:sz w:val="27"/>
          <w:rtl/>
        </w:rPr>
        <w:t>تبرير</w:t>
      </w:r>
      <w:r w:rsidRPr="00282AC9">
        <w:rPr>
          <w:sz w:val="27"/>
          <w:rtl/>
        </w:rPr>
        <w:t xml:space="preserve"> هذا الحكم</w:t>
      </w:r>
      <w:r w:rsidRPr="00282AC9">
        <w:rPr>
          <w:rFonts w:hint="cs"/>
          <w:sz w:val="27"/>
          <w:rtl/>
        </w:rPr>
        <w:t xml:space="preserve"> وفلسفته</w:t>
      </w:r>
      <w:r w:rsidRPr="00282AC9">
        <w:rPr>
          <w:sz w:val="27"/>
          <w:rtl/>
        </w:rPr>
        <w:t xml:space="preserve"> إن</w:t>
      </w:r>
      <w:r w:rsidR="00D55D80" w:rsidRPr="00282AC9">
        <w:rPr>
          <w:rFonts w:hint="cs"/>
          <w:sz w:val="27"/>
          <w:rtl/>
        </w:rPr>
        <w:t>ْ</w:t>
      </w:r>
      <w:r w:rsidRPr="00282AC9">
        <w:rPr>
          <w:sz w:val="27"/>
          <w:rtl/>
        </w:rPr>
        <w:t xml:space="preserve"> لم يثبت كونه من الشريعة. </w:t>
      </w:r>
    </w:p>
    <w:p w:rsidR="001153F1" w:rsidRPr="00282AC9" w:rsidRDefault="001153F1" w:rsidP="003E218F">
      <w:pPr>
        <w:rPr>
          <w:sz w:val="27"/>
          <w:rtl/>
        </w:rPr>
      </w:pPr>
      <w:r w:rsidRPr="00282AC9">
        <w:rPr>
          <w:sz w:val="27"/>
          <w:rtl/>
        </w:rPr>
        <w:t>سوف نقد</w:t>
      </w:r>
      <w:r w:rsidRPr="00282AC9">
        <w:rPr>
          <w:rFonts w:hint="cs"/>
          <w:sz w:val="27"/>
          <w:rtl/>
        </w:rPr>
        <w:t>ّ</w:t>
      </w:r>
      <w:r w:rsidR="00D55D80" w:rsidRPr="00282AC9">
        <w:rPr>
          <w:rFonts w:hint="cs"/>
          <w:sz w:val="27"/>
          <w:rtl/>
        </w:rPr>
        <w:t>ِ</w:t>
      </w:r>
      <w:r w:rsidRPr="00282AC9">
        <w:rPr>
          <w:sz w:val="27"/>
          <w:rtl/>
        </w:rPr>
        <w:t>م البحث القرآني على البحث الروا</w:t>
      </w:r>
      <w:r w:rsidR="00F43F07" w:rsidRPr="00282AC9">
        <w:rPr>
          <w:rFonts w:hint="cs"/>
          <w:sz w:val="27"/>
          <w:rtl/>
        </w:rPr>
        <w:t>ئ</w:t>
      </w:r>
      <w:r w:rsidRPr="00282AC9">
        <w:rPr>
          <w:sz w:val="27"/>
          <w:rtl/>
        </w:rPr>
        <w:t>ي</w:t>
      </w:r>
      <w:r w:rsidR="00F43F07" w:rsidRPr="00282AC9">
        <w:rPr>
          <w:rFonts w:hint="cs"/>
          <w:sz w:val="27"/>
          <w:rtl/>
        </w:rPr>
        <w:t>؛</w:t>
      </w:r>
      <w:r w:rsidRPr="00282AC9">
        <w:rPr>
          <w:sz w:val="27"/>
          <w:rtl/>
        </w:rPr>
        <w:t xml:space="preserve"> إيماناً من</w:t>
      </w:r>
      <w:r w:rsidRPr="00282AC9">
        <w:rPr>
          <w:rFonts w:hint="cs"/>
          <w:sz w:val="27"/>
          <w:rtl/>
        </w:rPr>
        <w:t>ّ</w:t>
      </w:r>
      <w:r w:rsidRPr="00282AC9">
        <w:rPr>
          <w:sz w:val="27"/>
          <w:rtl/>
        </w:rPr>
        <w:t>ا بتقديم الكتاب على الحديث</w:t>
      </w:r>
      <w:r w:rsidRPr="00282AC9">
        <w:rPr>
          <w:rFonts w:hint="cs"/>
          <w:sz w:val="27"/>
          <w:rtl/>
        </w:rPr>
        <w:t xml:space="preserve"> في فهم الد</w:t>
      </w:r>
      <w:r w:rsidR="00F43F07" w:rsidRPr="00282AC9">
        <w:rPr>
          <w:rFonts w:hint="cs"/>
          <w:sz w:val="27"/>
          <w:rtl/>
        </w:rPr>
        <w:t>ِّ</w:t>
      </w:r>
      <w:r w:rsidRPr="00282AC9">
        <w:rPr>
          <w:rFonts w:hint="cs"/>
          <w:sz w:val="27"/>
          <w:rtl/>
        </w:rPr>
        <w:t>ين</w:t>
      </w:r>
      <w:r w:rsidRPr="00282AC9">
        <w:rPr>
          <w:sz w:val="27"/>
          <w:rtl/>
        </w:rPr>
        <w:t>، كما ورد في النصوص الحديثية نفسها، النصوص التي ع</w:t>
      </w:r>
      <w:r w:rsidRPr="00282AC9">
        <w:rPr>
          <w:rFonts w:hint="cs"/>
          <w:sz w:val="27"/>
          <w:rtl/>
        </w:rPr>
        <w:t>ُ</w:t>
      </w:r>
      <w:r w:rsidRPr="00282AC9">
        <w:rPr>
          <w:sz w:val="27"/>
          <w:rtl/>
        </w:rPr>
        <w:t>رف</w:t>
      </w:r>
      <w:r w:rsidR="00F43F07" w:rsidRPr="00282AC9">
        <w:rPr>
          <w:rFonts w:hint="cs"/>
          <w:sz w:val="27"/>
          <w:rtl/>
        </w:rPr>
        <w:t>َ</w:t>
      </w:r>
      <w:r w:rsidRPr="00282AC9">
        <w:rPr>
          <w:sz w:val="27"/>
          <w:rtl/>
        </w:rPr>
        <w:t>ت</w:t>
      </w:r>
      <w:r w:rsidR="00F43F07" w:rsidRPr="00282AC9">
        <w:rPr>
          <w:rFonts w:hint="cs"/>
          <w:sz w:val="27"/>
          <w:rtl/>
        </w:rPr>
        <w:t>ْ</w:t>
      </w:r>
      <w:r w:rsidRPr="00282AC9">
        <w:rPr>
          <w:sz w:val="27"/>
          <w:rtl/>
        </w:rPr>
        <w:t xml:space="preserve"> بنصوص الع</w:t>
      </w:r>
      <w:r w:rsidR="00F43F07" w:rsidRPr="00282AC9">
        <w:rPr>
          <w:rFonts w:hint="cs"/>
          <w:sz w:val="27"/>
          <w:rtl/>
        </w:rPr>
        <w:t>َ</w:t>
      </w:r>
      <w:r w:rsidRPr="00282AC9">
        <w:rPr>
          <w:sz w:val="27"/>
          <w:rtl/>
        </w:rPr>
        <w:t>ر</w:t>
      </w:r>
      <w:r w:rsidR="00F43F07" w:rsidRPr="00282AC9">
        <w:rPr>
          <w:rFonts w:hint="cs"/>
          <w:sz w:val="27"/>
          <w:rtl/>
        </w:rPr>
        <w:t>ْ</w:t>
      </w:r>
      <w:r w:rsidRPr="00282AC9">
        <w:rPr>
          <w:sz w:val="27"/>
          <w:rtl/>
        </w:rPr>
        <w:t>ض على الكتاب</w:t>
      </w:r>
      <w:r w:rsidR="00F43F07" w:rsidRPr="00282AC9">
        <w:rPr>
          <w:rFonts w:hint="cs"/>
          <w:sz w:val="27"/>
          <w:rtl/>
        </w:rPr>
        <w:t>؛</w:t>
      </w:r>
      <w:r w:rsidRPr="00282AC9">
        <w:rPr>
          <w:sz w:val="27"/>
          <w:rtl/>
        </w:rPr>
        <w:t xml:space="preserve"> حيث لا </w:t>
      </w:r>
      <w:r w:rsidRPr="00282AC9">
        <w:rPr>
          <w:rFonts w:hint="cs"/>
          <w:sz w:val="27"/>
          <w:rtl/>
        </w:rPr>
        <w:t>نرى اختصاصها</w:t>
      </w:r>
      <w:r w:rsidRPr="00282AC9">
        <w:rPr>
          <w:sz w:val="27"/>
          <w:rtl/>
        </w:rPr>
        <w:t xml:space="preserve"> بمجال معارضة الأحاديث </w:t>
      </w:r>
      <w:r w:rsidRPr="00282AC9">
        <w:rPr>
          <w:rFonts w:hint="cs"/>
          <w:sz w:val="27"/>
          <w:rtl/>
        </w:rPr>
        <w:t>فقط</w:t>
      </w:r>
      <w:r w:rsidR="00F43F07" w:rsidRPr="00282AC9">
        <w:rPr>
          <w:rFonts w:hint="cs"/>
          <w:sz w:val="27"/>
          <w:rtl/>
        </w:rPr>
        <w:t>،</w:t>
      </w:r>
      <w:r w:rsidRPr="00282AC9">
        <w:rPr>
          <w:rFonts w:hint="cs"/>
          <w:sz w:val="27"/>
          <w:rtl/>
        </w:rPr>
        <w:t xml:space="preserve"> </w:t>
      </w:r>
      <w:r w:rsidRPr="00282AC9">
        <w:rPr>
          <w:sz w:val="27"/>
          <w:rtl/>
        </w:rPr>
        <w:t>بل هي معيار</w:t>
      </w:r>
      <w:r w:rsidR="00F43F07" w:rsidRPr="00282AC9">
        <w:rPr>
          <w:rFonts w:hint="cs"/>
          <w:sz w:val="27"/>
          <w:rtl/>
        </w:rPr>
        <w:t>ٌ</w:t>
      </w:r>
      <w:r w:rsidRPr="00282AC9">
        <w:rPr>
          <w:sz w:val="27"/>
          <w:rtl/>
        </w:rPr>
        <w:t xml:space="preserve"> لحج</w:t>
      </w:r>
      <w:r w:rsidR="00F43F07" w:rsidRPr="00282AC9">
        <w:rPr>
          <w:rFonts w:hint="cs"/>
          <w:sz w:val="27"/>
          <w:rtl/>
        </w:rPr>
        <w:t>ِّ</w:t>
      </w:r>
      <w:r w:rsidRPr="00282AC9">
        <w:rPr>
          <w:sz w:val="27"/>
          <w:rtl/>
        </w:rPr>
        <w:t xml:space="preserve">ية النصوص الحديثية </w:t>
      </w:r>
      <w:r w:rsidRPr="00282AC9">
        <w:rPr>
          <w:rFonts w:hint="cs"/>
          <w:sz w:val="27"/>
          <w:rtl/>
        </w:rPr>
        <w:t>نفسها</w:t>
      </w:r>
      <w:r w:rsidR="00F43F07" w:rsidRPr="00282AC9">
        <w:rPr>
          <w:rFonts w:hint="cs"/>
          <w:sz w:val="27"/>
          <w:rtl/>
        </w:rPr>
        <w:t>.</w:t>
      </w:r>
      <w:r w:rsidRPr="00282AC9">
        <w:rPr>
          <w:rFonts w:hint="cs"/>
          <w:sz w:val="27"/>
          <w:rtl/>
        </w:rPr>
        <w:t xml:space="preserve"> </w:t>
      </w:r>
      <w:r w:rsidRPr="00282AC9">
        <w:rPr>
          <w:sz w:val="27"/>
          <w:rtl/>
        </w:rPr>
        <w:t>فالخبر المخالف للقرآن الكريم ليس بحج</w:t>
      </w:r>
      <w:r w:rsidRPr="00282AC9">
        <w:rPr>
          <w:rFonts w:hint="cs"/>
          <w:sz w:val="27"/>
          <w:rtl/>
        </w:rPr>
        <w:t>ّ</w:t>
      </w:r>
      <w:r w:rsidRPr="00282AC9">
        <w:rPr>
          <w:sz w:val="27"/>
          <w:rtl/>
        </w:rPr>
        <w:t>ة</w:t>
      </w:r>
      <w:r w:rsidR="00F43F07" w:rsidRPr="00282AC9">
        <w:rPr>
          <w:rFonts w:hint="cs"/>
          <w:sz w:val="27"/>
          <w:rtl/>
        </w:rPr>
        <w:t>ٍ،</w:t>
      </w:r>
      <w:r w:rsidRPr="00282AC9">
        <w:rPr>
          <w:sz w:val="27"/>
          <w:rtl/>
        </w:rPr>
        <w:t xml:space="preserve"> لا أن</w:t>
      </w:r>
      <w:r w:rsidRPr="00282AC9">
        <w:rPr>
          <w:rFonts w:hint="cs"/>
          <w:sz w:val="27"/>
          <w:rtl/>
        </w:rPr>
        <w:t>ّ</w:t>
      </w:r>
      <w:r w:rsidRPr="00282AC9">
        <w:rPr>
          <w:sz w:val="27"/>
          <w:rtl/>
        </w:rPr>
        <w:t>ها حج</w:t>
      </w:r>
      <w:r w:rsidR="00F43F07" w:rsidRPr="00282AC9">
        <w:rPr>
          <w:rFonts w:hint="cs"/>
          <w:sz w:val="27"/>
          <w:rtl/>
        </w:rPr>
        <w:t>ّ</w:t>
      </w:r>
      <w:r w:rsidRPr="00282AC9">
        <w:rPr>
          <w:sz w:val="27"/>
          <w:rtl/>
        </w:rPr>
        <w:t>ة</w:t>
      </w:r>
      <w:r w:rsidR="00F43F07" w:rsidRPr="00282AC9">
        <w:rPr>
          <w:rFonts w:hint="cs"/>
          <w:sz w:val="27"/>
          <w:rtl/>
        </w:rPr>
        <w:t>ٌ</w:t>
      </w:r>
      <w:r w:rsidRPr="00282AC9">
        <w:rPr>
          <w:sz w:val="27"/>
          <w:rtl/>
        </w:rPr>
        <w:t xml:space="preserve"> في نفسها</w:t>
      </w:r>
      <w:r w:rsidR="00F43F07" w:rsidRPr="00282AC9">
        <w:rPr>
          <w:rFonts w:hint="cs"/>
          <w:sz w:val="27"/>
          <w:rtl/>
        </w:rPr>
        <w:t>،</w:t>
      </w:r>
      <w:r w:rsidRPr="00282AC9">
        <w:rPr>
          <w:sz w:val="27"/>
          <w:rtl/>
        </w:rPr>
        <w:t xml:space="preserve"> لكن</w:t>
      </w:r>
      <w:r w:rsidRPr="00282AC9">
        <w:rPr>
          <w:rFonts w:hint="cs"/>
          <w:sz w:val="27"/>
          <w:rtl/>
        </w:rPr>
        <w:t>ّ</w:t>
      </w:r>
      <w:r w:rsidRPr="00282AC9">
        <w:rPr>
          <w:sz w:val="27"/>
          <w:rtl/>
        </w:rPr>
        <w:t>ها في مجال التعارض تسقط عن الحج</w:t>
      </w:r>
      <w:r w:rsidR="00F43F07" w:rsidRPr="00282AC9">
        <w:rPr>
          <w:rFonts w:hint="cs"/>
          <w:sz w:val="27"/>
          <w:rtl/>
        </w:rPr>
        <w:t>ِّ</w:t>
      </w:r>
      <w:r w:rsidRPr="00282AC9">
        <w:rPr>
          <w:sz w:val="27"/>
          <w:rtl/>
        </w:rPr>
        <w:t>ية</w:t>
      </w:r>
      <w:r w:rsidR="00F43F07" w:rsidRPr="00282AC9">
        <w:rPr>
          <w:rFonts w:hint="cs"/>
          <w:sz w:val="27"/>
          <w:rtl/>
        </w:rPr>
        <w:t>.</w:t>
      </w:r>
      <w:r w:rsidRPr="00282AC9">
        <w:rPr>
          <w:sz w:val="27"/>
          <w:rtl/>
        </w:rPr>
        <w:t xml:space="preserve"> فالبحث القرآني يمث</w:t>
      </w:r>
      <w:r w:rsidRPr="00282AC9">
        <w:rPr>
          <w:rFonts w:hint="cs"/>
          <w:sz w:val="27"/>
          <w:rtl/>
        </w:rPr>
        <w:t>ّ</w:t>
      </w:r>
      <w:r w:rsidR="00F43F07" w:rsidRPr="00282AC9">
        <w:rPr>
          <w:rFonts w:hint="cs"/>
          <w:sz w:val="27"/>
          <w:rtl/>
        </w:rPr>
        <w:t>ِ</w:t>
      </w:r>
      <w:r w:rsidRPr="00282AC9">
        <w:rPr>
          <w:sz w:val="27"/>
          <w:rtl/>
        </w:rPr>
        <w:t>ل الب</w:t>
      </w:r>
      <w:r w:rsidR="00F43F07" w:rsidRPr="00282AC9">
        <w:rPr>
          <w:rFonts w:hint="cs"/>
          <w:sz w:val="27"/>
          <w:rtl/>
        </w:rPr>
        <w:t>ِ</w:t>
      </w:r>
      <w:r w:rsidRPr="00282AC9">
        <w:rPr>
          <w:sz w:val="27"/>
          <w:rtl/>
        </w:rPr>
        <w:t>ن</w:t>
      </w:r>
      <w:r w:rsidR="00F43F07" w:rsidRPr="00282AC9">
        <w:rPr>
          <w:rFonts w:hint="cs"/>
          <w:sz w:val="27"/>
          <w:rtl/>
        </w:rPr>
        <w:t>ْ</w:t>
      </w:r>
      <w:r w:rsidRPr="00282AC9">
        <w:rPr>
          <w:sz w:val="27"/>
          <w:rtl/>
        </w:rPr>
        <w:t>ية التحتي</w:t>
      </w:r>
      <w:r w:rsidR="00F43F07" w:rsidRPr="00282AC9">
        <w:rPr>
          <w:rFonts w:hint="cs"/>
          <w:sz w:val="27"/>
          <w:rtl/>
        </w:rPr>
        <w:t>ّ</w:t>
      </w:r>
      <w:r w:rsidRPr="00282AC9">
        <w:rPr>
          <w:sz w:val="27"/>
          <w:rtl/>
        </w:rPr>
        <w:t>ة للاجتهاد الفقهي</w:t>
      </w:r>
      <w:r w:rsidR="00F43F07" w:rsidRPr="00282AC9">
        <w:rPr>
          <w:rFonts w:hint="cs"/>
          <w:sz w:val="27"/>
          <w:rtl/>
        </w:rPr>
        <w:t>ّ</w:t>
      </w:r>
      <w:r w:rsidRPr="00282AC9">
        <w:rPr>
          <w:rFonts w:hint="cs"/>
          <w:sz w:val="27"/>
          <w:rtl/>
        </w:rPr>
        <w:t xml:space="preserve"> عموماً</w:t>
      </w:r>
      <w:r w:rsidRPr="00282AC9">
        <w:rPr>
          <w:sz w:val="27"/>
          <w:rtl/>
        </w:rPr>
        <w:t>.</w:t>
      </w:r>
    </w:p>
    <w:p w:rsidR="00663300" w:rsidRPr="00282AC9" w:rsidRDefault="001153F1" w:rsidP="003E218F">
      <w:pPr>
        <w:rPr>
          <w:sz w:val="27"/>
          <w:rtl/>
        </w:rPr>
      </w:pPr>
      <w:r w:rsidRPr="00282AC9">
        <w:rPr>
          <w:sz w:val="27"/>
          <w:rtl/>
        </w:rPr>
        <w:t>وبما أن</w:t>
      </w:r>
      <w:r w:rsidRPr="00282AC9">
        <w:rPr>
          <w:rFonts w:hint="cs"/>
          <w:sz w:val="27"/>
          <w:rtl/>
        </w:rPr>
        <w:t>ّ</w:t>
      </w:r>
      <w:r w:rsidRPr="00282AC9">
        <w:rPr>
          <w:sz w:val="27"/>
          <w:rtl/>
        </w:rPr>
        <w:t xml:space="preserve"> مثل الإ</w:t>
      </w:r>
      <w:r w:rsidR="00F43F07" w:rsidRPr="00282AC9">
        <w:rPr>
          <w:sz w:val="27"/>
          <w:rtl/>
        </w:rPr>
        <w:t>جماع والشهرة ليست دليلاً مستقلا</w:t>
      </w:r>
      <w:r w:rsidR="00F43F07" w:rsidRPr="00282AC9">
        <w:rPr>
          <w:rFonts w:hint="cs"/>
          <w:sz w:val="27"/>
          <w:rtl/>
        </w:rPr>
        <w:t>ًّ</w:t>
      </w:r>
      <w:r w:rsidRPr="00282AC9">
        <w:rPr>
          <w:sz w:val="27"/>
          <w:rtl/>
        </w:rPr>
        <w:t xml:space="preserve"> في الاجتهاد الإمامي</w:t>
      </w:r>
      <w:r w:rsidRPr="00282AC9">
        <w:rPr>
          <w:rFonts w:hint="cs"/>
          <w:sz w:val="27"/>
          <w:rtl/>
        </w:rPr>
        <w:t>،</w:t>
      </w:r>
      <w:r w:rsidRPr="00282AC9">
        <w:rPr>
          <w:sz w:val="27"/>
          <w:rtl/>
        </w:rPr>
        <w:t xml:space="preserve"> وإن</w:t>
      </w:r>
      <w:r w:rsidRPr="00282AC9">
        <w:rPr>
          <w:rFonts w:hint="cs"/>
          <w:sz w:val="27"/>
          <w:rtl/>
        </w:rPr>
        <w:t>ّ</w:t>
      </w:r>
      <w:r w:rsidRPr="00282AC9">
        <w:rPr>
          <w:sz w:val="27"/>
          <w:rtl/>
        </w:rPr>
        <w:t>ما هي كاشف</w:t>
      </w:r>
      <w:r w:rsidRPr="00282AC9">
        <w:rPr>
          <w:rFonts w:hint="cs"/>
          <w:sz w:val="27"/>
          <w:rtl/>
        </w:rPr>
        <w:t>ة</w:t>
      </w:r>
      <w:r w:rsidR="00F43F07" w:rsidRPr="00282AC9">
        <w:rPr>
          <w:rFonts w:hint="cs"/>
          <w:sz w:val="27"/>
          <w:rtl/>
        </w:rPr>
        <w:t>ٌ</w:t>
      </w:r>
      <w:r w:rsidRPr="00282AC9">
        <w:rPr>
          <w:sz w:val="27"/>
          <w:rtl/>
        </w:rPr>
        <w:t xml:space="preserve"> عن الس</w:t>
      </w:r>
      <w:r w:rsidR="00F43F07" w:rsidRPr="00282AC9">
        <w:rPr>
          <w:rFonts w:hint="cs"/>
          <w:sz w:val="27"/>
          <w:rtl/>
        </w:rPr>
        <w:t>ُّ</w:t>
      </w:r>
      <w:r w:rsidRPr="00282AC9">
        <w:rPr>
          <w:sz w:val="27"/>
          <w:rtl/>
        </w:rPr>
        <w:t>ن</w:t>
      </w:r>
      <w:r w:rsidR="00F43F07" w:rsidRPr="00282AC9">
        <w:rPr>
          <w:rFonts w:hint="cs"/>
          <w:sz w:val="27"/>
          <w:rtl/>
        </w:rPr>
        <w:t>َّ</w:t>
      </w:r>
      <w:r w:rsidRPr="00282AC9">
        <w:rPr>
          <w:sz w:val="27"/>
          <w:rtl/>
        </w:rPr>
        <w:t>ة</w:t>
      </w:r>
      <w:r w:rsidR="00F43F07" w:rsidRPr="00282AC9">
        <w:rPr>
          <w:rFonts w:hint="cs"/>
          <w:sz w:val="27"/>
          <w:rtl/>
        </w:rPr>
        <w:t>،</w:t>
      </w:r>
      <w:r w:rsidRPr="00282AC9">
        <w:rPr>
          <w:sz w:val="27"/>
          <w:rtl/>
        </w:rPr>
        <w:t xml:space="preserve"> </w:t>
      </w:r>
      <w:r w:rsidRPr="00282AC9">
        <w:rPr>
          <w:rFonts w:hint="cs"/>
          <w:sz w:val="27"/>
          <w:rtl/>
        </w:rPr>
        <w:t>ولا نرى كاشفي</w:t>
      </w:r>
      <w:r w:rsidR="00663300" w:rsidRPr="00282AC9">
        <w:rPr>
          <w:rFonts w:hint="cs"/>
          <w:sz w:val="27"/>
          <w:rtl/>
        </w:rPr>
        <w:t>ّ</w:t>
      </w:r>
      <w:r w:rsidRPr="00282AC9">
        <w:rPr>
          <w:rFonts w:hint="cs"/>
          <w:sz w:val="27"/>
          <w:rtl/>
        </w:rPr>
        <w:t>ة الإجماع والشهرة في مثل هذه المس</w:t>
      </w:r>
      <w:r w:rsidR="00663300" w:rsidRPr="00282AC9">
        <w:rPr>
          <w:rFonts w:hint="cs"/>
          <w:sz w:val="27"/>
          <w:rtl/>
        </w:rPr>
        <w:t>أ</w:t>
      </w:r>
      <w:r w:rsidRPr="00282AC9">
        <w:rPr>
          <w:rFonts w:hint="cs"/>
          <w:sz w:val="27"/>
          <w:rtl/>
        </w:rPr>
        <w:t>لة</w:t>
      </w:r>
      <w:r w:rsidR="00663300" w:rsidRPr="00282AC9">
        <w:rPr>
          <w:rFonts w:hint="cs"/>
          <w:sz w:val="27"/>
          <w:rtl/>
        </w:rPr>
        <w:t>،</w:t>
      </w:r>
      <w:r w:rsidRPr="00282AC9">
        <w:rPr>
          <w:rFonts w:hint="cs"/>
          <w:sz w:val="27"/>
          <w:rtl/>
        </w:rPr>
        <w:t xml:space="preserve"> فلا نخوض في البحث فيهما</w:t>
      </w:r>
      <w:r w:rsidR="00663300" w:rsidRPr="00282AC9">
        <w:rPr>
          <w:rFonts w:hint="cs"/>
          <w:sz w:val="27"/>
          <w:rtl/>
        </w:rPr>
        <w:t>.</w:t>
      </w:r>
    </w:p>
    <w:p w:rsidR="001153F1" w:rsidRPr="00282AC9" w:rsidRDefault="001153F1" w:rsidP="003E218F">
      <w:pPr>
        <w:rPr>
          <w:sz w:val="27"/>
          <w:rtl/>
        </w:rPr>
      </w:pPr>
      <w:r w:rsidRPr="00282AC9">
        <w:rPr>
          <w:rFonts w:hint="cs"/>
          <w:sz w:val="27"/>
          <w:rtl/>
        </w:rPr>
        <w:t xml:space="preserve">فتكون محاور البحث </w:t>
      </w:r>
      <w:r w:rsidR="00663300" w:rsidRPr="00282AC9">
        <w:rPr>
          <w:rFonts w:hint="cs"/>
          <w:sz w:val="27"/>
          <w:rtl/>
        </w:rPr>
        <w:t xml:space="preserve">ـ </w:t>
      </w:r>
      <w:r w:rsidRPr="00282AC9">
        <w:rPr>
          <w:rFonts w:hint="cs"/>
          <w:sz w:val="27"/>
          <w:rtl/>
        </w:rPr>
        <w:t>بعد المقدّ</w:t>
      </w:r>
      <w:r w:rsidR="00663300" w:rsidRPr="00282AC9">
        <w:rPr>
          <w:rFonts w:hint="cs"/>
          <w:sz w:val="27"/>
          <w:rtl/>
        </w:rPr>
        <w:t>ِ</w:t>
      </w:r>
      <w:r w:rsidRPr="00282AC9">
        <w:rPr>
          <w:rFonts w:hint="cs"/>
          <w:sz w:val="27"/>
          <w:rtl/>
        </w:rPr>
        <w:t xml:space="preserve">مة </w:t>
      </w:r>
      <w:r w:rsidR="00663300" w:rsidRPr="00282AC9">
        <w:rPr>
          <w:rFonts w:hint="cs"/>
          <w:sz w:val="27"/>
          <w:rtl/>
        </w:rPr>
        <w:t xml:space="preserve">ـ </w:t>
      </w:r>
      <w:r w:rsidRPr="00282AC9">
        <w:rPr>
          <w:rFonts w:hint="cs"/>
          <w:sz w:val="27"/>
          <w:rtl/>
        </w:rPr>
        <w:t>محوران</w:t>
      </w:r>
      <w:r w:rsidR="00663300" w:rsidRPr="00282AC9">
        <w:rPr>
          <w:rFonts w:hint="cs"/>
          <w:sz w:val="27"/>
          <w:rtl/>
        </w:rPr>
        <w:t>،</w:t>
      </w:r>
      <w:r w:rsidRPr="00282AC9">
        <w:rPr>
          <w:sz w:val="27"/>
          <w:rtl/>
        </w:rPr>
        <w:t xml:space="preserve"> وه</w:t>
      </w:r>
      <w:r w:rsidRPr="00282AC9">
        <w:rPr>
          <w:rFonts w:hint="cs"/>
          <w:sz w:val="27"/>
          <w:rtl/>
        </w:rPr>
        <w:t>ما</w:t>
      </w:r>
      <w:r w:rsidRPr="00282AC9">
        <w:rPr>
          <w:sz w:val="27"/>
          <w:rtl/>
        </w:rPr>
        <w:t>:</w:t>
      </w:r>
    </w:p>
    <w:p w:rsidR="001153F1" w:rsidRPr="00282AC9" w:rsidRDefault="001153F1" w:rsidP="003E218F">
      <w:pPr>
        <w:rPr>
          <w:sz w:val="27"/>
          <w:rtl/>
        </w:rPr>
      </w:pPr>
      <w:r w:rsidRPr="00282AC9">
        <w:rPr>
          <w:b/>
          <w:bCs/>
          <w:sz w:val="27"/>
          <w:rtl/>
        </w:rPr>
        <w:t>المحور الأو</w:t>
      </w:r>
      <w:r w:rsidR="00663300" w:rsidRPr="00282AC9">
        <w:rPr>
          <w:rFonts w:hint="cs"/>
          <w:b/>
          <w:bCs/>
          <w:sz w:val="27"/>
          <w:rtl/>
        </w:rPr>
        <w:t>ّ</w:t>
      </w:r>
      <w:r w:rsidRPr="00282AC9">
        <w:rPr>
          <w:b/>
          <w:bCs/>
          <w:sz w:val="27"/>
          <w:rtl/>
        </w:rPr>
        <w:t>ل</w:t>
      </w:r>
      <w:r w:rsidRPr="00282AC9">
        <w:rPr>
          <w:sz w:val="27"/>
          <w:rtl/>
        </w:rPr>
        <w:t xml:space="preserve">: </w:t>
      </w:r>
      <w:r w:rsidR="00663300" w:rsidRPr="00282AC9">
        <w:rPr>
          <w:rFonts w:hint="cs"/>
          <w:sz w:val="27"/>
          <w:rtl/>
        </w:rPr>
        <w:t xml:space="preserve">موقف </w:t>
      </w:r>
      <w:r w:rsidRPr="00282AC9">
        <w:rPr>
          <w:sz w:val="27"/>
          <w:rtl/>
        </w:rPr>
        <w:t xml:space="preserve">القرآن الكريم </w:t>
      </w:r>
      <w:r w:rsidRPr="00282AC9">
        <w:rPr>
          <w:rFonts w:hint="cs"/>
          <w:sz w:val="27"/>
          <w:rtl/>
        </w:rPr>
        <w:t>من المرأة العقيم</w:t>
      </w:r>
      <w:r w:rsidR="00663300" w:rsidRPr="00282AC9">
        <w:rPr>
          <w:rFonts w:hint="cs"/>
          <w:sz w:val="27"/>
          <w:rtl/>
        </w:rPr>
        <w:t>.</w:t>
      </w:r>
    </w:p>
    <w:p w:rsidR="001153F1" w:rsidRPr="00282AC9" w:rsidRDefault="001153F1" w:rsidP="003E218F">
      <w:pPr>
        <w:rPr>
          <w:sz w:val="27"/>
          <w:rtl/>
        </w:rPr>
      </w:pPr>
      <w:r w:rsidRPr="00282AC9">
        <w:rPr>
          <w:b/>
          <w:bCs/>
          <w:sz w:val="27"/>
          <w:rtl/>
        </w:rPr>
        <w:t>المحور الثاني</w:t>
      </w:r>
      <w:r w:rsidRPr="00282AC9">
        <w:rPr>
          <w:sz w:val="27"/>
          <w:rtl/>
        </w:rPr>
        <w:t xml:space="preserve">: </w:t>
      </w:r>
      <w:r w:rsidR="00663300" w:rsidRPr="00282AC9">
        <w:rPr>
          <w:rFonts w:hint="cs"/>
          <w:sz w:val="27"/>
          <w:rtl/>
        </w:rPr>
        <w:t xml:space="preserve">موقف </w:t>
      </w:r>
      <w:r w:rsidRPr="00282AC9">
        <w:rPr>
          <w:sz w:val="27"/>
          <w:rtl/>
        </w:rPr>
        <w:t>النصوص الحديثي</w:t>
      </w:r>
      <w:r w:rsidR="00663300" w:rsidRPr="00282AC9">
        <w:rPr>
          <w:rFonts w:hint="cs"/>
          <w:sz w:val="27"/>
          <w:rtl/>
        </w:rPr>
        <w:t>ّ</w:t>
      </w:r>
      <w:r w:rsidRPr="00282AC9">
        <w:rPr>
          <w:sz w:val="27"/>
          <w:rtl/>
        </w:rPr>
        <w:t>ة</w:t>
      </w:r>
      <w:r w:rsidRPr="00282AC9">
        <w:rPr>
          <w:rFonts w:hint="cs"/>
          <w:sz w:val="27"/>
          <w:rtl/>
        </w:rPr>
        <w:t xml:space="preserve"> من المرأة العقيم</w:t>
      </w:r>
      <w:r w:rsidR="00663300" w:rsidRPr="00282AC9">
        <w:rPr>
          <w:rFonts w:hint="cs"/>
          <w:sz w:val="27"/>
          <w:rtl/>
        </w:rPr>
        <w:t>.</w:t>
      </w:r>
    </w:p>
    <w:p w:rsidR="001153F1" w:rsidRPr="00282AC9" w:rsidRDefault="001153F1" w:rsidP="004E55FC">
      <w:pPr>
        <w:pStyle w:val="31"/>
        <w:rPr>
          <w:rFonts w:ascii="Mosawi" w:hAnsi="Mosawi"/>
          <w:color w:val="auto"/>
          <w:rtl/>
        </w:rPr>
      </w:pPr>
      <w:r w:rsidRPr="00282AC9">
        <w:rPr>
          <w:color w:val="auto"/>
          <w:rtl/>
        </w:rPr>
        <w:lastRenderedPageBreak/>
        <w:t>المقد</w:t>
      </w:r>
      <w:r w:rsidR="00663300" w:rsidRPr="00282AC9">
        <w:rPr>
          <w:rFonts w:hint="cs"/>
          <w:color w:val="auto"/>
          <w:rtl/>
        </w:rPr>
        <w:t>ّ</w:t>
      </w:r>
      <w:r w:rsidRPr="00282AC9">
        <w:rPr>
          <w:color w:val="auto"/>
          <w:rtl/>
        </w:rPr>
        <w:t>مة: تحرير محل</w:t>
      </w:r>
      <w:r w:rsidRPr="00282AC9">
        <w:rPr>
          <w:rFonts w:hint="cs"/>
          <w:color w:val="auto"/>
          <w:rtl/>
        </w:rPr>
        <w:t>ّ</w:t>
      </w:r>
      <w:r w:rsidRPr="00282AC9">
        <w:rPr>
          <w:color w:val="auto"/>
          <w:rtl/>
        </w:rPr>
        <w:t xml:space="preserve"> النزاع</w:t>
      </w:r>
    </w:p>
    <w:p w:rsidR="001153F1" w:rsidRPr="00282AC9" w:rsidRDefault="001153F1" w:rsidP="003E218F">
      <w:pPr>
        <w:rPr>
          <w:sz w:val="27"/>
          <w:rtl/>
        </w:rPr>
      </w:pPr>
      <w:r w:rsidRPr="00282AC9">
        <w:rPr>
          <w:sz w:val="27"/>
          <w:rtl/>
        </w:rPr>
        <w:t xml:space="preserve">يظهر من كلمات الكثير من </w:t>
      </w:r>
      <w:r w:rsidRPr="00282AC9">
        <w:rPr>
          <w:rFonts w:hint="cs"/>
          <w:sz w:val="27"/>
          <w:rtl/>
        </w:rPr>
        <w:t>الفقهاء</w:t>
      </w:r>
      <w:r w:rsidRPr="00282AC9">
        <w:rPr>
          <w:sz w:val="27"/>
          <w:rtl/>
        </w:rPr>
        <w:t xml:space="preserve"> القول بكراهة الزواج من المرأة العقيم</w:t>
      </w:r>
      <w:r w:rsidRPr="00282AC9">
        <w:rPr>
          <w:sz w:val="27"/>
          <w:vertAlign w:val="superscript"/>
          <w:rtl/>
        </w:rPr>
        <w:t>(</w:t>
      </w:r>
      <w:r w:rsidRPr="00282AC9">
        <w:rPr>
          <w:rStyle w:val="af9"/>
          <w:sz w:val="27"/>
          <w:rtl/>
        </w:rPr>
        <w:endnoteReference w:id="637"/>
      </w:r>
      <w:r w:rsidRPr="00282AC9">
        <w:rPr>
          <w:sz w:val="27"/>
          <w:vertAlign w:val="superscript"/>
          <w:rtl/>
        </w:rPr>
        <w:t>)</w:t>
      </w:r>
      <w:r w:rsidR="00663300" w:rsidRPr="00282AC9">
        <w:rPr>
          <w:rFonts w:hint="cs"/>
          <w:sz w:val="27"/>
          <w:rtl/>
        </w:rPr>
        <w:t>؛</w:t>
      </w:r>
      <w:r w:rsidRPr="00282AC9">
        <w:rPr>
          <w:rFonts w:hint="cs"/>
          <w:sz w:val="27"/>
          <w:vertAlign w:val="superscript"/>
          <w:rtl/>
        </w:rPr>
        <w:t xml:space="preserve"> </w:t>
      </w:r>
      <w:r w:rsidRPr="00282AC9">
        <w:rPr>
          <w:sz w:val="27"/>
          <w:rtl/>
        </w:rPr>
        <w:t>وبعضهم عب</w:t>
      </w:r>
      <w:r w:rsidRPr="00282AC9">
        <w:rPr>
          <w:rFonts w:hint="cs"/>
          <w:sz w:val="27"/>
          <w:rtl/>
        </w:rPr>
        <w:t>ّ</w:t>
      </w:r>
      <w:r w:rsidR="00663300" w:rsidRPr="00282AC9">
        <w:rPr>
          <w:rFonts w:hint="cs"/>
          <w:sz w:val="27"/>
          <w:rtl/>
        </w:rPr>
        <w:t>َ</w:t>
      </w:r>
      <w:r w:rsidRPr="00282AC9">
        <w:rPr>
          <w:sz w:val="27"/>
          <w:rtl/>
        </w:rPr>
        <w:t>ر باستحباب الزواج من المرأة الولود</w:t>
      </w:r>
      <w:r w:rsidRPr="00282AC9">
        <w:rPr>
          <w:sz w:val="27"/>
          <w:vertAlign w:val="superscript"/>
          <w:rtl/>
        </w:rPr>
        <w:t>(</w:t>
      </w:r>
      <w:r w:rsidRPr="00282AC9">
        <w:rPr>
          <w:rStyle w:val="af9"/>
          <w:sz w:val="27"/>
          <w:rtl/>
        </w:rPr>
        <w:endnoteReference w:id="638"/>
      </w:r>
      <w:r w:rsidRPr="00282AC9">
        <w:rPr>
          <w:sz w:val="27"/>
          <w:vertAlign w:val="superscript"/>
          <w:rtl/>
        </w:rPr>
        <w:t>)</w:t>
      </w:r>
      <w:r w:rsidR="00663300" w:rsidRPr="00282AC9">
        <w:rPr>
          <w:rFonts w:hint="cs"/>
          <w:sz w:val="27"/>
          <w:rtl/>
        </w:rPr>
        <w:t>؛</w:t>
      </w:r>
      <w:r w:rsidRPr="00282AC9">
        <w:rPr>
          <w:sz w:val="27"/>
          <w:rtl/>
        </w:rPr>
        <w:t xml:space="preserve"> والمحق</w:t>
      </w:r>
      <w:r w:rsidRPr="00282AC9">
        <w:rPr>
          <w:rFonts w:ascii="Cambria" w:hAnsi="Cambria" w:hint="cs"/>
          <w:sz w:val="27"/>
          <w:rtl/>
        </w:rPr>
        <w:t>ّ</w:t>
      </w:r>
      <w:r w:rsidR="00663300" w:rsidRPr="00282AC9">
        <w:rPr>
          <w:rFonts w:hint="cs"/>
          <w:sz w:val="27"/>
          <w:rtl/>
        </w:rPr>
        <w:t>ِ</w:t>
      </w:r>
      <w:r w:rsidRPr="00282AC9">
        <w:rPr>
          <w:sz w:val="27"/>
          <w:rtl/>
        </w:rPr>
        <w:t>ق الكركي يفس</w:t>
      </w:r>
      <w:r w:rsidRPr="00282AC9">
        <w:rPr>
          <w:rFonts w:hint="cs"/>
          <w:sz w:val="27"/>
          <w:rtl/>
        </w:rPr>
        <w:t>ّ</w:t>
      </w:r>
      <w:r w:rsidR="00663300" w:rsidRPr="00282AC9">
        <w:rPr>
          <w:rFonts w:hint="cs"/>
          <w:sz w:val="27"/>
          <w:rtl/>
        </w:rPr>
        <w:t>ِ</w:t>
      </w:r>
      <w:r w:rsidRPr="00282AC9">
        <w:rPr>
          <w:sz w:val="27"/>
          <w:rtl/>
        </w:rPr>
        <w:t>رها</w:t>
      </w:r>
      <w:r w:rsidRPr="00282AC9">
        <w:rPr>
          <w:rFonts w:hint="cs"/>
          <w:sz w:val="27"/>
          <w:rtl/>
        </w:rPr>
        <w:t xml:space="preserve"> بـ </w:t>
      </w:r>
      <w:r w:rsidRPr="00282AC9">
        <w:rPr>
          <w:rFonts w:hint="cs"/>
          <w:sz w:val="24"/>
          <w:szCs w:val="24"/>
          <w:rtl/>
        </w:rPr>
        <w:t>«</w:t>
      </w:r>
      <w:r w:rsidRPr="00282AC9">
        <w:rPr>
          <w:rFonts w:ascii="Noor_Lotus" w:hAnsi="Noor_Lotus" w:hint="cs"/>
          <w:sz w:val="27"/>
          <w:rtl/>
          <w:lang w:bidi="fa-IR"/>
        </w:rPr>
        <w:t>ما من شأنها ذلك، بأن تكون في سنّ الولادة، والغالب على قراباتها ذلك، ولم تدلّ العلامات الظن</w:t>
      </w:r>
      <w:r w:rsidR="00663300" w:rsidRPr="00282AC9">
        <w:rPr>
          <w:rFonts w:ascii="Noor_Lotus" w:hAnsi="Noor_Lotus" w:hint="cs"/>
          <w:sz w:val="27"/>
          <w:rtl/>
          <w:lang w:bidi="fa-IR"/>
        </w:rPr>
        <w:t>ِّ</w:t>
      </w:r>
      <w:r w:rsidRPr="00282AC9">
        <w:rPr>
          <w:rFonts w:ascii="Noor_Lotus" w:hAnsi="Noor_Lotus" w:hint="cs"/>
          <w:sz w:val="27"/>
          <w:rtl/>
          <w:lang w:bidi="fa-IR"/>
        </w:rPr>
        <w:t>ية على عقمها</w:t>
      </w:r>
      <w:r w:rsidRPr="00282AC9">
        <w:rPr>
          <w:rFonts w:ascii="Noor_Lotus" w:hAnsi="Noor_Lotus" w:hint="cs"/>
          <w:sz w:val="24"/>
          <w:szCs w:val="24"/>
          <w:rtl/>
          <w:lang w:bidi="fa-IR"/>
        </w:rPr>
        <w:t>»</w:t>
      </w:r>
      <w:r w:rsidRPr="00282AC9">
        <w:rPr>
          <w:sz w:val="27"/>
          <w:vertAlign w:val="superscript"/>
          <w:rtl/>
        </w:rPr>
        <w:t>(</w:t>
      </w:r>
      <w:r w:rsidRPr="00282AC9">
        <w:rPr>
          <w:rStyle w:val="af9"/>
          <w:sz w:val="27"/>
          <w:rtl/>
        </w:rPr>
        <w:endnoteReference w:id="639"/>
      </w:r>
      <w:r w:rsidRPr="00282AC9">
        <w:rPr>
          <w:sz w:val="27"/>
          <w:vertAlign w:val="superscript"/>
          <w:rtl/>
        </w:rPr>
        <w:t>)</w:t>
      </w:r>
      <w:r w:rsidRPr="00282AC9">
        <w:rPr>
          <w:rFonts w:ascii="Noor_Lotus" w:hAnsi="Noor_Lotus" w:hint="cs"/>
          <w:sz w:val="27"/>
          <w:rtl/>
        </w:rPr>
        <w:t>؛</w:t>
      </w:r>
      <w:r w:rsidRPr="00282AC9">
        <w:rPr>
          <w:rFonts w:hint="cs"/>
          <w:sz w:val="27"/>
          <w:vertAlign w:val="superscript"/>
          <w:rtl/>
        </w:rPr>
        <w:t xml:space="preserve"> </w:t>
      </w:r>
      <w:r w:rsidRPr="00282AC9">
        <w:rPr>
          <w:sz w:val="27"/>
          <w:rtl/>
        </w:rPr>
        <w:t>لأن</w:t>
      </w:r>
      <w:r w:rsidRPr="00282AC9">
        <w:rPr>
          <w:rFonts w:hint="cs"/>
          <w:sz w:val="27"/>
          <w:rtl/>
        </w:rPr>
        <w:t>ّ</w:t>
      </w:r>
      <w:r w:rsidRPr="00282AC9">
        <w:rPr>
          <w:sz w:val="27"/>
          <w:rtl/>
        </w:rPr>
        <w:t xml:space="preserve"> العلم </w:t>
      </w:r>
      <w:r w:rsidRPr="00282AC9">
        <w:rPr>
          <w:rFonts w:hint="cs"/>
          <w:sz w:val="27"/>
          <w:rtl/>
        </w:rPr>
        <w:t>لم يكن</w:t>
      </w:r>
      <w:r w:rsidRPr="00282AC9">
        <w:rPr>
          <w:sz w:val="27"/>
          <w:rtl/>
        </w:rPr>
        <w:t xml:space="preserve"> متطو</w:t>
      </w:r>
      <w:r w:rsidRPr="00282AC9">
        <w:rPr>
          <w:rFonts w:hint="cs"/>
          <w:sz w:val="27"/>
          <w:rtl/>
        </w:rPr>
        <w:t>ّ</w:t>
      </w:r>
      <w:r w:rsidR="00663300" w:rsidRPr="00282AC9">
        <w:rPr>
          <w:rFonts w:hint="cs"/>
          <w:sz w:val="27"/>
          <w:rtl/>
        </w:rPr>
        <w:t>ِ</w:t>
      </w:r>
      <w:r w:rsidRPr="00282AC9">
        <w:rPr>
          <w:sz w:val="27"/>
          <w:rtl/>
        </w:rPr>
        <w:t>راً في ذلك الزمان</w:t>
      </w:r>
      <w:r w:rsidR="00663300" w:rsidRPr="00282AC9">
        <w:rPr>
          <w:rFonts w:hint="cs"/>
          <w:sz w:val="27"/>
          <w:rtl/>
        </w:rPr>
        <w:t>؛</w:t>
      </w:r>
      <w:r w:rsidRPr="00282AC9">
        <w:rPr>
          <w:sz w:val="27"/>
          <w:rtl/>
        </w:rPr>
        <w:t xml:space="preserve"> ليعرفوا سبب العقم</w:t>
      </w:r>
      <w:r w:rsidRPr="00282AC9">
        <w:rPr>
          <w:rFonts w:hint="cs"/>
          <w:sz w:val="27"/>
          <w:rtl/>
        </w:rPr>
        <w:t>.</w:t>
      </w:r>
    </w:p>
    <w:p w:rsidR="00663300" w:rsidRPr="00282AC9" w:rsidRDefault="001153F1" w:rsidP="003E218F">
      <w:pPr>
        <w:rPr>
          <w:sz w:val="27"/>
          <w:rtl/>
        </w:rPr>
      </w:pPr>
      <w:r w:rsidRPr="00282AC9">
        <w:rPr>
          <w:rFonts w:hint="cs"/>
          <w:sz w:val="27"/>
          <w:rtl/>
        </w:rPr>
        <w:t>والظاهر من هذه الفتاوى أنّ الكراهة هنا مولوي</w:t>
      </w:r>
      <w:r w:rsidR="00663300" w:rsidRPr="00282AC9">
        <w:rPr>
          <w:rFonts w:hint="cs"/>
          <w:sz w:val="27"/>
          <w:rtl/>
        </w:rPr>
        <w:t>ّ</w:t>
      </w:r>
      <w:r w:rsidRPr="00282AC9">
        <w:rPr>
          <w:rFonts w:hint="cs"/>
          <w:sz w:val="27"/>
          <w:rtl/>
        </w:rPr>
        <w:t>ة</w:t>
      </w:r>
      <w:r w:rsidR="00663300" w:rsidRPr="00282AC9">
        <w:rPr>
          <w:rFonts w:hint="cs"/>
          <w:sz w:val="27"/>
          <w:rtl/>
        </w:rPr>
        <w:t>،</w:t>
      </w:r>
      <w:r w:rsidRPr="00282AC9">
        <w:rPr>
          <w:rFonts w:hint="cs"/>
          <w:sz w:val="27"/>
          <w:rtl/>
        </w:rPr>
        <w:t xml:space="preserve"> أو ساكتة عن هذا الموضوع</w:t>
      </w:r>
      <w:r w:rsidR="00663300" w:rsidRPr="00282AC9">
        <w:rPr>
          <w:rFonts w:ascii="Cambria" w:hAnsi="Cambria" w:hint="cs"/>
          <w:sz w:val="27"/>
          <w:rtl/>
        </w:rPr>
        <w:t>.</w:t>
      </w:r>
    </w:p>
    <w:p w:rsidR="001153F1" w:rsidRPr="00282AC9" w:rsidRDefault="001153F1" w:rsidP="003E218F">
      <w:pPr>
        <w:rPr>
          <w:sz w:val="27"/>
          <w:vertAlign w:val="superscript"/>
          <w:rtl/>
        </w:rPr>
      </w:pPr>
      <w:r w:rsidRPr="00282AC9">
        <w:rPr>
          <w:rFonts w:hint="cs"/>
          <w:sz w:val="27"/>
          <w:rtl/>
        </w:rPr>
        <w:t>ولكنّ</w:t>
      </w:r>
      <w:r w:rsidRPr="00282AC9">
        <w:rPr>
          <w:sz w:val="27"/>
          <w:rtl/>
        </w:rPr>
        <w:t xml:space="preserve"> السيد الخو</w:t>
      </w:r>
      <w:r w:rsidR="00663300" w:rsidRPr="00282AC9">
        <w:rPr>
          <w:rFonts w:hint="cs"/>
          <w:sz w:val="27"/>
          <w:rtl/>
        </w:rPr>
        <w:t>ا</w:t>
      </w:r>
      <w:r w:rsidRPr="00282AC9">
        <w:rPr>
          <w:sz w:val="27"/>
          <w:rtl/>
        </w:rPr>
        <w:t xml:space="preserve">نساري </w:t>
      </w:r>
      <w:r w:rsidRPr="00282AC9">
        <w:rPr>
          <w:rFonts w:hint="cs"/>
          <w:sz w:val="27"/>
          <w:rtl/>
        </w:rPr>
        <w:t>يصرّ</w:t>
      </w:r>
      <w:r w:rsidR="00663300" w:rsidRPr="00282AC9">
        <w:rPr>
          <w:rFonts w:hint="cs"/>
          <w:sz w:val="27"/>
          <w:rtl/>
        </w:rPr>
        <w:t>ِ</w:t>
      </w:r>
      <w:r w:rsidRPr="00282AC9">
        <w:rPr>
          <w:rFonts w:hint="cs"/>
          <w:sz w:val="27"/>
          <w:rtl/>
        </w:rPr>
        <w:t>ح ف</w:t>
      </w:r>
      <w:r w:rsidR="006273C2" w:rsidRPr="00282AC9">
        <w:rPr>
          <w:rFonts w:hint="cs"/>
          <w:sz w:val="27"/>
          <w:rtl/>
        </w:rPr>
        <w:t>ي كلامه بأنّ الكراهة هنا إرشاديةٌ</w:t>
      </w:r>
      <w:r w:rsidR="00663300" w:rsidRPr="00282AC9">
        <w:rPr>
          <w:rFonts w:hint="cs"/>
          <w:sz w:val="27"/>
          <w:rtl/>
        </w:rPr>
        <w:t>،</w:t>
      </w:r>
      <w:r w:rsidRPr="00282AC9">
        <w:rPr>
          <w:rFonts w:hint="cs"/>
          <w:sz w:val="27"/>
          <w:rtl/>
        </w:rPr>
        <w:t xml:space="preserve"> كإرشادات الط</w:t>
      </w:r>
      <w:r w:rsidR="00663300" w:rsidRPr="00282AC9">
        <w:rPr>
          <w:rFonts w:hint="cs"/>
          <w:sz w:val="27"/>
          <w:rtl/>
        </w:rPr>
        <w:t>ب</w:t>
      </w:r>
      <w:r w:rsidRPr="00282AC9">
        <w:rPr>
          <w:rFonts w:hint="cs"/>
          <w:sz w:val="27"/>
          <w:rtl/>
        </w:rPr>
        <w:t xml:space="preserve">يب، حيث </w:t>
      </w:r>
      <w:r w:rsidRPr="00282AC9">
        <w:rPr>
          <w:sz w:val="27"/>
          <w:rtl/>
        </w:rPr>
        <w:t xml:space="preserve">قال: </w:t>
      </w:r>
      <w:r w:rsidRPr="00282AC9">
        <w:rPr>
          <w:sz w:val="24"/>
          <w:szCs w:val="24"/>
          <w:rtl/>
        </w:rPr>
        <w:t>«</w:t>
      </w:r>
      <w:r w:rsidRPr="00282AC9">
        <w:rPr>
          <w:sz w:val="27"/>
          <w:rtl/>
        </w:rPr>
        <w:t>النصوص الواردة في صفات الزوجة ليست مولوية</w:t>
      </w:r>
      <w:r w:rsidR="00663300" w:rsidRPr="00282AC9">
        <w:rPr>
          <w:rFonts w:hint="cs"/>
          <w:sz w:val="27"/>
          <w:rtl/>
        </w:rPr>
        <w:t>ً</w:t>
      </w:r>
      <w:r w:rsidRPr="00282AC9">
        <w:rPr>
          <w:sz w:val="27"/>
          <w:rtl/>
        </w:rPr>
        <w:t xml:space="preserve"> تكليفية</w:t>
      </w:r>
      <w:r w:rsidR="00663300" w:rsidRPr="00282AC9">
        <w:rPr>
          <w:rFonts w:hint="cs"/>
          <w:sz w:val="27"/>
          <w:rtl/>
        </w:rPr>
        <w:t>ً،</w:t>
      </w:r>
      <w:r w:rsidRPr="00282AC9">
        <w:rPr>
          <w:sz w:val="27"/>
          <w:rtl/>
        </w:rPr>
        <w:t xml:space="preserve"> إنما هي إرشادية</w:t>
      </w:r>
      <w:r w:rsidR="00663300" w:rsidRPr="00282AC9">
        <w:rPr>
          <w:rFonts w:hint="cs"/>
          <w:sz w:val="27"/>
          <w:rtl/>
        </w:rPr>
        <w:t>،</w:t>
      </w:r>
      <w:r w:rsidRPr="00282AC9">
        <w:rPr>
          <w:sz w:val="27"/>
          <w:rtl/>
        </w:rPr>
        <w:t xml:space="preserve"> كإرشادات الطبيب</w:t>
      </w:r>
      <w:r w:rsidR="00663300" w:rsidRPr="00282AC9">
        <w:rPr>
          <w:rFonts w:hint="cs"/>
          <w:sz w:val="27"/>
          <w:rtl/>
        </w:rPr>
        <w:t>،</w:t>
      </w:r>
      <w:r w:rsidRPr="00282AC9">
        <w:rPr>
          <w:sz w:val="27"/>
          <w:rtl/>
        </w:rPr>
        <w:t xml:space="preserve"> يعني تريد أن تقول</w:t>
      </w:r>
      <w:r w:rsidR="00663300" w:rsidRPr="00282AC9">
        <w:rPr>
          <w:rFonts w:hint="cs"/>
          <w:sz w:val="27"/>
          <w:rtl/>
        </w:rPr>
        <w:t>:</w:t>
      </w:r>
      <w:r w:rsidRPr="00282AC9">
        <w:rPr>
          <w:sz w:val="27"/>
          <w:rtl/>
        </w:rPr>
        <w:t xml:space="preserve"> في مثل المرأة العقيم أو الثي</w:t>
      </w:r>
      <w:r w:rsidRPr="00282AC9">
        <w:rPr>
          <w:rFonts w:hint="cs"/>
          <w:sz w:val="27"/>
          <w:rtl/>
        </w:rPr>
        <w:t>ّ</w:t>
      </w:r>
      <w:r w:rsidR="00663300" w:rsidRPr="00282AC9">
        <w:rPr>
          <w:rFonts w:hint="cs"/>
          <w:sz w:val="27"/>
          <w:rtl/>
        </w:rPr>
        <w:t>ِ</w:t>
      </w:r>
      <w:r w:rsidRPr="00282AC9">
        <w:rPr>
          <w:sz w:val="27"/>
          <w:rtl/>
        </w:rPr>
        <w:t>ب قد تكثر المشاكل</w:t>
      </w:r>
      <w:r w:rsidR="00663300" w:rsidRPr="00282AC9">
        <w:rPr>
          <w:rFonts w:hint="cs"/>
          <w:sz w:val="27"/>
          <w:rtl/>
        </w:rPr>
        <w:t>.</w:t>
      </w:r>
      <w:r w:rsidRPr="00282AC9">
        <w:rPr>
          <w:sz w:val="27"/>
          <w:rtl/>
        </w:rPr>
        <w:t xml:space="preserve"> فليس فيها شأن المولوية</w:t>
      </w:r>
      <w:r w:rsidR="00663300" w:rsidRPr="00282AC9">
        <w:rPr>
          <w:rFonts w:hint="cs"/>
          <w:sz w:val="27"/>
          <w:rtl/>
        </w:rPr>
        <w:t>،</w:t>
      </w:r>
      <w:r w:rsidRPr="00282AC9">
        <w:rPr>
          <w:sz w:val="27"/>
          <w:rtl/>
        </w:rPr>
        <w:t xml:space="preserve"> فيلغى خصوصية المولوية</w:t>
      </w:r>
      <w:r w:rsidRPr="00282AC9">
        <w:rPr>
          <w:rFonts w:hint="cs"/>
          <w:sz w:val="24"/>
          <w:szCs w:val="24"/>
          <w:rtl/>
          <w:lang w:bidi="fa-IR"/>
        </w:rPr>
        <w:t>»</w:t>
      </w:r>
      <w:r w:rsidRPr="00282AC9">
        <w:rPr>
          <w:sz w:val="27"/>
          <w:vertAlign w:val="superscript"/>
          <w:rtl/>
        </w:rPr>
        <w:t>(</w:t>
      </w:r>
      <w:r w:rsidRPr="00282AC9">
        <w:rPr>
          <w:rStyle w:val="af9"/>
          <w:sz w:val="27"/>
          <w:rtl/>
        </w:rPr>
        <w:endnoteReference w:id="640"/>
      </w:r>
      <w:r w:rsidRPr="00282AC9">
        <w:rPr>
          <w:sz w:val="27"/>
          <w:vertAlign w:val="superscript"/>
          <w:rtl/>
        </w:rPr>
        <w:t>)</w:t>
      </w:r>
      <w:r w:rsidR="00663300" w:rsidRPr="00282AC9">
        <w:rPr>
          <w:rFonts w:hint="cs"/>
          <w:sz w:val="27"/>
          <w:rtl/>
        </w:rPr>
        <w:t>. و</w:t>
      </w:r>
      <w:r w:rsidRPr="00282AC9">
        <w:rPr>
          <w:rFonts w:hint="cs"/>
          <w:sz w:val="27"/>
          <w:rtl/>
        </w:rPr>
        <w:t>عليه</w:t>
      </w:r>
      <w:r w:rsidR="00663300" w:rsidRPr="00282AC9">
        <w:rPr>
          <w:rFonts w:hint="cs"/>
          <w:sz w:val="27"/>
          <w:rtl/>
        </w:rPr>
        <w:t>،</w:t>
      </w:r>
      <w:r w:rsidRPr="00282AC9">
        <w:rPr>
          <w:rFonts w:hint="cs"/>
          <w:sz w:val="27"/>
          <w:rtl/>
        </w:rPr>
        <w:t xml:space="preserve"> لن تكون هذه القضية ديني</w:t>
      </w:r>
      <w:r w:rsidR="00663300" w:rsidRPr="00282AC9">
        <w:rPr>
          <w:rFonts w:hint="cs"/>
          <w:sz w:val="27"/>
          <w:rtl/>
        </w:rPr>
        <w:t>ّ</w:t>
      </w:r>
      <w:r w:rsidRPr="00282AC9">
        <w:rPr>
          <w:rFonts w:hint="cs"/>
          <w:sz w:val="27"/>
          <w:rtl/>
        </w:rPr>
        <w:t>ة</w:t>
      </w:r>
      <w:r w:rsidR="00663300" w:rsidRPr="00282AC9">
        <w:rPr>
          <w:rFonts w:hint="cs"/>
          <w:sz w:val="27"/>
          <w:rtl/>
        </w:rPr>
        <w:t>ً</w:t>
      </w:r>
      <w:r w:rsidRPr="00282AC9">
        <w:rPr>
          <w:rFonts w:hint="cs"/>
          <w:sz w:val="27"/>
          <w:rtl/>
        </w:rPr>
        <w:t xml:space="preserve"> وإنّما قضي</w:t>
      </w:r>
      <w:r w:rsidR="00663300" w:rsidRPr="00282AC9">
        <w:rPr>
          <w:rFonts w:hint="cs"/>
          <w:sz w:val="27"/>
          <w:rtl/>
        </w:rPr>
        <w:t>ّ</w:t>
      </w:r>
      <w:r w:rsidRPr="00282AC9">
        <w:rPr>
          <w:rFonts w:hint="cs"/>
          <w:sz w:val="27"/>
          <w:rtl/>
        </w:rPr>
        <w:t>ة عقلائي</w:t>
      </w:r>
      <w:r w:rsidR="00663300" w:rsidRPr="00282AC9">
        <w:rPr>
          <w:rFonts w:hint="cs"/>
          <w:sz w:val="27"/>
          <w:rtl/>
        </w:rPr>
        <w:t>ّ</w:t>
      </w:r>
      <w:r w:rsidRPr="00282AC9">
        <w:rPr>
          <w:rFonts w:hint="cs"/>
          <w:sz w:val="27"/>
          <w:rtl/>
        </w:rPr>
        <w:t>ة</w:t>
      </w:r>
      <w:r w:rsidR="00663300" w:rsidRPr="00282AC9">
        <w:rPr>
          <w:rFonts w:hint="cs"/>
          <w:sz w:val="27"/>
          <w:rtl/>
        </w:rPr>
        <w:t>،</w:t>
      </w:r>
      <w:r w:rsidRPr="00282AC9">
        <w:rPr>
          <w:rFonts w:hint="cs"/>
          <w:sz w:val="27"/>
          <w:rtl/>
        </w:rPr>
        <w:t xml:space="preserve"> يفهمها الإنسان</w:t>
      </w:r>
      <w:r w:rsidR="00663300" w:rsidRPr="00282AC9">
        <w:rPr>
          <w:rFonts w:hint="cs"/>
          <w:sz w:val="27"/>
          <w:rtl/>
        </w:rPr>
        <w:t>،</w:t>
      </w:r>
      <w:r w:rsidRPr="00282AC9">
        <w:rPr>
          <w:rFonts w:hint="cs"/>
          <w:sz w:val="27"/>
          <w:rtl/>
        </w:rPr>
        <w:t xml:space="preserve"> ويصدّ</w:t>
      </w:r>
      <w:r w:rsidR="00663300" w:rsidRPr="00282AC9">
        <w:rPr>
          <w:rFonts w:hint="cs"/>
          <w:sz w:val="27"/>
          <w:rtl/>
        </w:rPr>
        <w:t>ِ</w:t>
      </w:r>
      <w:r w:rsidRPr="00282AC9">
        <w:rPr>
          <w:rFonts w:hint="cs"/>
          <w:sz w:val="27"/>
          <w:rtl/>
        </w:rPr>
        <w:t xml:space="preserve">قها في تجربة حياته. </w:t>
      </w:r>
    </w:p>
    <w:p w:rsidR="001153F1" w:rsidRPr="00282AC9" w:rsidRDefault="001153F1" w:rsidP="003E218F">
      <w:pPr>
        <w:rPr>
          <w:sz w:val="27"/>
          <w:rtl/>
        </w:rPr>
      </w:pPr>
      <w:r w:rsidRPr="00282AC9">
        <w:rPr>
          <w:sz w:val="27"/>
          <w:rtl/>
        </w:rPr>
        <w:t>بعد ملاحظة النصوص في المقام</w:t>
      </w:r>
      <w:r w:rsidR="00663300" w:rsidRPr="00282AC9">
        <w:rPr>
          <w:rFonts w:hint="cs"/>
          <w:sz w:val="27"/>
          <w:rtl/>
        </w:rPr>
        <w:t>،</w:t>
      </w:r>
      <w:r w:rsidRPr="00282AC9">
        <w:rPr>
          <w:sz w:val="27"/>
          <w:rtl/>
        </w:rPr>
        <w:t xml:space="preserve"> وهي عمدة الدليل على القول بكراهة الزواج من المرأة العقيم</w:t>
      </w:r>
      <w:r w:rsidR="00462B40" w:rsidRPr="00282AC9">
        <w:rPr>
          <w:rFonts w:hint="cs"/>
          <w:sz w:val="27"/>
          <w:rtl/>
        </w:rPr>
        <w:t>،</w:t>
      </w:r>
      <w:r w:rsidRPr="00282AC9">
        <w:rPr>
          <w:sz w:val="27"/>
          <w:rtl/>
        </w:rPr>
        <w:t xml:space="preserve"> سنجد أن</w:t>
      </w:r>
      <w:r w:rsidRPr="00282AC9">
        <w:rPr>
          <w:rFonts w:hint="cs"/>
          <w:sz w:val="27"/>
          <w:rtl/>
        </w:rPr>
        <w:t>ّ</w:t>
      </w:r>
      <w:r w:rsidRPr="00282AC9">
        <w:rPr>
          <w:sz w:val="27"/>
          <w:rtl/>
        </w:rPr>
        <w:t xml:space="preserve"> هناك أمر</w:t>
      </w:r>
      <w:r w:rsidR="00462B40" w:rsidRPr="00282AC9">
        <w:rPr>
          <w:rFonts w:hint="cs"/>
          <w:sz w:val="27"/>
          <w:rtl/>
        </w:rPr>
        <w:t>َ</w:t>
      </w:r>
      <w:r w:rsidRPr="00282AC9">
        <w:rPr>
          <w:rFonts w:hint="cs"/>
          <w:sz w:val="27"/>
          <w:rtl/>
        </w:rPr>
        <w:t>ي</w:t>
      </w:r>
      <w:r w:rsidR="00462B40" w:rsidRPr="00282AC9">
        <w:rPr>
          <w:rFonts w:hint="cs"/>
          <w:sz w:val="27"/>
          <w:rtl/>
        </w:rPr>
        <w:t>ْ</w:t>
      </w:r>
      <w:r w:rsidRPr="00282AC9">
        <w:rPr>
          <w:sz w:val="27"/>
          <w:rtl/>
        </w:rPr>
        <w:t>ن تجب ملاحظتهما</w:t>
      </w:r>
      <w:r w:rsidR="00462B40" w:rsidRPr="00282AC9">
        <w:rPr>
          <w:rFonts w:hint="cs"/>
          <w:sz w:val="27"/>
          <w:rtl/>
        </w:rPr>
        <w:t>،</w:t>
      </w:r>
      <w:r w:rsidRPr="00282AC9">
        <w:rPr>
          <w:sz w:val="27"/>
          <w:rtl/>
        </w:rPr>
        <w:t xml:space="preserve"> </w:t>
      </w:r>
      <w:r w:rsidR="00462B40" w:rsidRPr="00282AC9">
        <w:rPr>
          <w:rFonts w:hint="cs"/>
          <w:sz w:val="27"/>
          <w:rtl/>
        </w:rPr>
        <w:t>ومحاولة</w:t>
      </w:r>
      <w:r w:rsidRPr="00282AC9">
        <w:rPr>
          <w:sz w:val="27"/>
          <w:rtl/>
        </w:rPr>
        <w:t xml:space="preserve"> اكتشاف رؤية الشريعة الإسلامية فيهما:</w:t>
      </w:r>
    </w:p>
    <w:p w:rsidR="001153F1" w:rsidRPr="00282AC9" w:rsidRDefault="001153F1" w:rsidP="003E218F">
      <w:pPr>
        <w:pStyle w:val="afe"/>
        <w:spacing w:after="0" w:line="400" w:lineRule="exact"/>
        <w:ind w:left="0" w:firstLine="567"/>
        <w:jc w:val="both"/>
        <w:rPr>
          <w:rFonts w:cs="AL-Mohanad"/>
          <w:sz w:val="27"/>
          <w:szCs w:val="27"/>
          <w:rtl/>
        </w:rPr>
      </w:pPr>
      <w:r w:rsidRPr="00282AC9">
        <w:rPr>
          <w:rFonts w:cs="AL-Mohanad"/>
          <w:b/>
          <w:bCs/>
          <w:sz w:val="27"/>
          <w:szCs w:val="27"/>
          <w:rtl/>
        </w:rPr>
        <w:t>الأمر الأو</w:t>
      </w:r>
      <w:r w:rsidR="00462B40" w:rsidRPr="00282AC9">
        <w:rPr>
          <w:rFonts w:cs="AL-Mohanad" w:hint="cs"/>
          <w:b/>
          <w:bCs/>
          <w:sz w:val="27"/>
          <w:szCs w:val="27"/>
          <w:rtl/>
        </w:rPr>
        <w:t>ّ</w:t>
      </w:r>
      <w:r w:rsidRPr="00282AC9">
        <w:rPr>
          <w:rFonts w:cs="AL-Mohanad"/>
          <w:b/>
          <w:bCs/>
          <w:sz w:val="27"/>
          <w:szCs w:val="27"/>
          <w:rtl/>
        </w:rPr>
        <w:t>ل</w:t>
      </w:r>
      <w:r w:rsidRPr="00282AC9">
        <w:rPr>
          <w:rFonts w:cs="AL-Mohanad"/>
          <w:sz w:val="27"/>
          <w:szCs w:val="27"/>
          <w:rtl/>
        </w:rPr>
        <w:t>: كراهة الزواج من المرأة العقيم كراهة</w:t>
      </w:r>
      <w:r w:rsidRPr="00282AC9">
        <w:rPr>
          <w:rFonts w:cs="AL-Mohanad" w:hint="cs"/>
          <w:sz w:val="27"/>
          <w:szCs w:val="27"/>
          <w:rtl/>
        </w:rPr>
        <w:t>ً</w:t>
      </w:r>
      <w:r w:rsidRPr="00282AC9">
        <w:rPr>
          <w:rFonts w:cs="AL-Mohanad"/>
          <w:sz w:val="27"/>
          <w:szCs w:val="27"/>
          <w:rtl/>
        </w:rPr>
        <w:t xml:space="preserve"> قانوني</w:t>
      </w:r>
      <w:r w:rsidR="00462B40" w:rsidRPr="00282AC9">
        <w:rPr>
          <w:rFonts w:cs="AL-Mohanad" w:hint="cs"/>
          <w:sz w:val="27"/>
          <w:szCs w:val="27"/>
          <w:rtl/>
        </w:rPr>
        <w:t>ّ</w:t>
      </w:r>
      <w:r w:rsidRPr="00282AC9">
        <w:rPr>
          <w:rFonts w:cs="AL-Mohanad"/>
          <w:sz w:val="27"/>
          <w:szCs w:val="27"/>
          <w:rtl/>
        </w:rPr>
        <w:t>ة.</w:t>
      </w:r>
    </w:p>
    <w:p w:rsidR="001153F1" w:rsidRPr="00282AC9" w:rsidRDefault="001153F1" w:rsidP="003E218F">
      <w:pPr>
        <w:pStyle w:val="afe"/>
        <w:spacing w:after="0" w:line="400" w:lineRule="exact"/>
        <w:ind w:left="0" w:firstLine="567"/>
        <w:jc w:val="both"/>
        <w:rPr>
          <w:rFonts w:cs="AL-Mohanad"/>
          <w:sz w:val="27"/>
          <w:szCs w:val="27"/>
        </w:rPr>
      </w:pPr>
      <w:r w:rsidRPr="00282AC9">
        <w:rPr>
          <w:rFonts w:cs="AL-Mohanad"/>
          <w:b/>
          <w:bCs/>
          <w:sz w:val="27"/>
          <w:szCs w:val="27"/>
          <w:rtl/>
        </w:rPr>
        <w:t>الأمر الثاني</w:t>
      </w:r>
      <w:r w:rsidRPr="00282AC9">
        <w:rPr>
          <w:rFonts w:cs="AL-Mohanad"/>
          <w:sz w:val="27"/>
          <w:szCs w:val="27"/>
          <w:rtl/>
        </w:rPr>
        <w:t xml:space="preserve">: تشنيع كرامة المرأة العقيم. </w:t>
      </w:r>
    </w:p>
    <w:p w:rsidR="001153F1" w:rsidRPr="00282AC9" w:rsidRDefault="001153F1" w:rsidP="00F943B4">
      <w:pPr>
        <w:spacing w:line="410" w:lineRule="exact"/>
        <w:rPr>
          <w:sz w:val="27"/>
          <w:rtl/>
        </w:rPr>
      </w:pPr>
      <w:r w:rsidRPr="00282AC9">
        <w:rPr>
          <w:sz w:val="27"/>
          <w:rtl/>
        </w:rPr>
        <w:t>ر</w:t>
      </w:r>
      <w:r w:rsidR="00462B40" w:rsidRPr="00282AC9">
        <w:rPr>
          <w:rFonts w:hint="cs"/>
          <w:sz w:val="27"/>
          <w:rtl/>
        </w:rPr>
        <w:t>ُ</w:t>
      </w:r>
      <w:r w:rsidRPr="00282AC9">
        <w:rPr>
          <w:sz w:val="27"/>
          <w:rtl/>
        </w:rPr>
        <w:t>ب</w:t>
      </w:r>
      <w:r w:rsidR="00462B40" w:rsidRPr="00282AC9">
        <w:rPr>
          <w:rFonts w:hint="cs"/>
          <w:sz w:val="27"/>
          <w:rtl/>
        </w:rPr>
        <w:t>َ</w:t>
      </w:r>
      <w:r w:rsidRPr="00282AC9">
        <w:rPr>
          <w:sz w:val="27"/>
          <w:rtl/>
        </w:rPr>
        <w:t>ما لا يستفاد من بعض النصوص الآتية الكراهة القانونية</w:t>
      </w:r>
      <w:r w:rsidR="00462B40" w:rsidRPr="00282AC9">
        <w:rPr>
          <w:rFonts w:hint="cs"/>
          <w:sz w:val="27"/>
          <w:rtl/>
        </w:rPr>
        <w:t>،</w:t>
      </w:r>
      <w:r w:rsidRPr="00282AC9">
        <w:rPr>
          <w:sz w:val="27"/>
          <w:rtl/>
        </w:rPr>
        <w:t xml:space="preserve"> ولكن</w:t>
      </w:r>
      <w:r w:rsidRPr="00282AC9">
        <w:rPr>
          <w:rFonts w:hint="cs"/>
          <w:sz w:val="27"/>
          <w:rtl/>
        </w:rPr>
        <w:t>ّ</w:t>
      </w:r>
      <w:r w:rsidRPr="00282AC9">
        <w:rPr>
          <w:sz w:val="27"/>
          <w:rtl/>
        </w:rPr>
        <w:t>ها</w:t>
      </w:r>
      <w:r w:rsidRPr="00282AC9">
        <w:rPr>
          <w:rFonts w:hint="cs"/>
          <w:sz w:val="27"/>
          <w:rtl/>
        </w:rPr>
        <w:t xml:space="preserve"> قد</w:t>
      </w:r>
      <w:r w:rsidRPr="00282AC9">
        <w:rPr>
          <w:sz w:val="27"/>
          <w:rtl/>
        </w:rPr>
        <w:t xml:space="preserve"> تتضم</w:t>
      </w:r>
      <w:r w:rsidRPr="00282AC9">
        <w:rPr>
          <w:rFonts w:hint="cs"/>
          <w:sz w:val="27"/>
          <w:rtl/>
        </w:rPr>
        <w:t>ّ</w:t>
      </w:r>
      <w:r w:rsidRPr="00282AC9">
        <w:rPr>
          <w:sz w:val="27"/>
          <w:rtl/>
        </w:rPr>
        <w:t>ن تشنيعاً في حق</w:t>
      </w:r>
      <w:r w:rsidRPr="00282AC9">
        <w:rPr>
          <w:rFonts w:hint="cs"/>
          <w:sz w:val="27"/>
          <w:rtl/>
        </w:rPr>
        <w:t>ّ</w:t>
      </w:r>
      <w:r w:rsidRPr="00282AC9">
        <w:rPr>
          <w:sz w:val="27"/>
          <w:rtl/>
        </w:rPr>
        <w:t xml:space="preserve"> المرأة العقيم، مشتملة</w:t>
      </w:r>
      <w:r w:rsidR="00462B40" w:rsidRPr="00282AC9">
        <w:rPr>
          <w:rFonts w:hint="cs"/>
          <w:sz w:val="27"/>
          <w:rtl/>
        </w:rPr>
        <w:t>ً</w:t>
      </w:r>
      <w:r w:rsidRPr="00282AC9">
        <w:rPr>
          <w:sz w:val="27"/>
          <w:rtl/>
        </w:rPr>
        <w:t xml:space="preserve"> على تعابير ر</w:t>
      </w:r>
      <w:r w:rsidR="00462B40" w:rsidRPr="00282AC9">
        <w:rPr>
          <w:rFonts w:hint="cs"/>
          <w:sz w:val="27"/>
          <w:rtl/>
        </w:rPr>
        <w:t>ُ</w:t>
      </w:r>
      <w:r w:rsidRPr="00282AC9">
        <w:rPr>
          <w:sz w:val="27"/>
          <w:rtl/>
        </w:rPr>
        <w:t>ب</w:t>
      </w:r>
      <w:r w:rsidR="00462B40" w:rsidRPr="00282AC9">
        <w:rPr>
          <w:rFonts w:hint="cs"/>
          <w:sz w:val="27"/>
          <w:rtl/>
        </w:rPr>
        <w:t>َ</w:t>
      </w:r>
      <w:r w:rsidRPr="00282AC9">
        <w:rPr>
          <w:sz w:val="27"/>
          <w:rtl/>
        </w:rPr>
        <w:t>ما تبدو غير منسج</w:t>
      </w:r>
      <w:r w:rsidRPr="00282AC9">
        <w:rPr>
          <w:rFonts w:hint="cs"/>
          <w:sz w:val="27"/>
          <w:rtl/>
        </w:rPr>
        <w:t>م</w:t>
      </w:r>
      <w:r w:rsidRPr="00282AC9">
        <w:rPr>
          <w:sz w:val="27"/>
          <w:rtl/>
        </w:rPr>
        <w:t>ة</w:t>
      </w:r>
      <w:r w:rsidR="00462B40" w:rsidRPr="00282AC9">
        <w:rPr>
          <w:rFonts w:hint="cs"/>
          <w:sz w:val="27"/>
          <w:rtl/>
        </w:rPr>
        <w:t>ٍ</w:t>
      </w:r>
      <w:r w:rsidRPr="00282AC9">
        <w:rPr>
          <w:sz w:val="27"/>
          <w:rtl/>
        </w:rPr>
        <w:t xml:space="preserve"> مع عدالة الشريعة الإسلامية</w:t>
      </w:r>
      <w:r w:rsidR="00462B40" w:rsidRPr="00282AC9">
        <w:rPr>
          <w:rFonts w:hint="cs"/>
          <w:sz w:val="27"/>
          <w:rtl/>
        </w:rPr>
        <w:t>.</w:t>
      </w:r>
      <w:r w:rsidRPr="00282AC9">
        <w:rPr>
          <w:sz w:val="27"/>
          <w:rtl/>
        </w:rPr>
        <w:t xml:space="preserve"> فيجب أن نأخذ بعين الاعتبار هذين الأمر</w:t>
      </w:r>
      <w:r w:rsidR="00462B40" w:rsidRPr="00282AC9">
        <w:rPr>
          <w:rFonts w:hint="cs"/>
          <w:sz w:val="27"/>
          <w:rtl/>
        </w:rPr>
        <w:t>َ</w:t>
      </w:r>
      <w:r w:rsidRPr="00282AC9">
        <w:rPr>
          <w:sz w:val="27"/>
          <w:rtl/>
        </w:rPr>
        <w:t>ي</w:t>
      </w:r>
      <w:r w:rsidR="00462B40" w:rsidRPr="00282AC9">
        <w:rPr>
          <w:rFonts w:hint="cs"/>
          <w:sz w:val="27"/>
          <w:rtl/>
        </w:rPr>
        <w:t>ْ</w:t>
      </w:r>
      <w:r w:rsidRPr="00282AC9">
        <w:rPr>
          <w:sz w:val="27"/>
          <w:rtl/>
        </w:rPr>
        <w:t>ن معاً</w:t>
      </w:r>
      <w:r w:rsidR="00462B40" w:rsidRPr="00282AC9">
        <w:rPr>
          <w:rFonts w:hint="cs"/>
          <w:sz w:val="27"/>
          <w:rtl/>
        </w:rPr>
        <w:t>؛</w:t>
      </w:r>
      <w:r w:rsidRPr="00282AC9">
        <w:rPr>
          <w:sz w:val="27"/>
          <w:rtl/>
        </w:rPr>
        <w:t xml:space="preserve"> لنرى مدى صح</w:t>
      </w:r>
      <w:r w:rsidR="00462B40" w:rsidRPr="00282AC9">
        <w:rPr>
          <w:rFonts w:hint="cs"/>
          <w:sz w:val="27"/>
          <w:rtl/>
        </w:rPr>
        <w:t>ّ</w:t>
      </w:r>
      <w:r w:rsidRPr="00282AC9">
        <w:rPr>
          <w:sz w:val="27"/>
          <w:rtl/>
        </w:rPr>
        <w:t>ة انتساب كل</w:t>
      </w:r>
      <w:r w:rsidRPr="00282AC9">
        <w:rPr>
          <w:rFonts w:hint="cs"/>
          <w:sz w:val="27"/>
          <w:rtl/>
        </w:rPr>
        <w:t>ّ</w:t>
      </w:r>
      <w:r w:rsidR="00462B40" w:rsidRPr="00282AC9">
        <w:rPr>
          <w:rFonts w:hint="cs"/>
          <w:sz w:val="27"/>
          <w:rtl/>
        </w:rPr>
        <w:t xml:space="preserve">ٍ </w:t>
      </w:r>
      <w:r w:rsidRPr="00282AC9">
        <w:rPr>
          <w:sz w:val="27"/>
          <w:rtl/>
        </w:rPr>
        <w:t xml:space="preserve">منهما إلى الشريعة الإسلامية. </w:t>
      </w:r>
    </w:p>
    <w:p w:rsidR="001153F1" w:rsidRPr="00282AC9" w:rsidRDefault="001153F1" w:rsidP="00F943B4">
      <w:pPr>
        <w:spacing w:line="410" w:lineRule="exact"/>
        <w:rPr>
          <w:sz w:val="27"/>
          <w:rtl/>
        </w:rPr>
      </w:pPr>
    </w:p>
    <w:p w:rsidR="001153F1" w:rsidRPr="00282AC9" w:rsidRDefault="001153F1" w:rsidP="00760F5B">
      <w:pPr>
        <w:pStyle w:val="31"/>
        <w:rPr>
          <w:rFonts w:ascii="Mosawi" w:hAnsi="Mosawi"/>
          <w:color w:val="auto"/>
          <w:rtl/>
        </w:rPr>
      </w:pPr>
      <w:r w:rsidRPr="00282AC9">
        <w:rPr>
          <w:color w:val="auto"/>
          <w:rtl/>
        </w:rPr>
        <w:t>المحور الأو</w:t>
      </w:r>
      <w:r w:rsidRPr="00282AC9">
        <w:rPr>
          <w:rFonts w:hint="cs"/>
          <w:color w:val="auto"/>
          <w:rtl/>
        </w:rPr>
        <w:t>ّ</w:t>
      </w:r>
      <w:r w:rsidRPr="00282AC9">
        <w:rPr>
          <w:color w:val="auto"/>
          <w:rtl/>
        </w:rPr>
        <w:t xml:space="preserve">ل: </w:t>
      </w:r>
      <w:r w:rsidR="00760F5B" w:rsidRPr="00282AC9">
        <w:rPr>
          <w:rFonts w:hint="cs"/>
          <w:color w:val="auto"/>
          <w:rtl/>
        </w:rPr>
        <w:t xml:space="preserve">المرأة العقيم في النصّ </w:t>
      </w:r>
      <w:r w:rsidRPr="00282AC9">
        <w:rPr>
          <w:color w:val="auto"/>
          <w:rtl/>
        </w:rPr>
        <w:t>القرآن</w:t>
      </w:r>
      <w:r w:rsidR="00760F5B" w:rsidRPr="00282AC9">
        <w:rPr>
          <w:rFonts w:hint="cs"/>
          <w:color w:val="auto"/>
          <w:rtl/>
        </w:rPr>
        <w:t>ي</w:t>
      </w:r>
    </w:p>
    <w:p w:rsidR="001153F1" w:rsidRPr="00282AC9" w:rsidRDefault="001153F1" w:rsidP="003E218F">
      <w:pPr>
        <w:rPr>
          <w:sz w:val="27"/>
          <w:rtl/>
        </w:rPr>
      </w:pPr>
      <w:r w:rsidRPr="00282AC9">
        <w:rPr>
          <w:sz w:val="27"/>
          <w:rtl/>
        </w:rPr>
        <w:t>ي</w:t>
      </w:r>
      <w:r w:rsidRPr="00282AC9">
        <w:rPr>
          <w:rFonts w:hint="cs"/>
          <w:sz w:val="27"/>
          <w:rtl/>
        </w:rPr>
        <w:t>ُ</w:t>
      </w:r>
      <w:r w:rsidRPr="00282AC9">
        <w:rPr>
          <w:sz w:val="27"/>
          <w:rtl/>
        </w:rPr>
        <w:t>عتبر القرآن الكريم المصدر الأساس في استنباط القضايا الفقهية</w:t>
      </w:r>
      <w:r w:rsidR="00462B40" w:rsidRPr="00282AC9">
        <w:rPr>
          <w:rFonts w:hint="cs"/>
          <w:sz w:val="27"/>
          <w:rtl/>
        </w:rPr>
        <w:t>؛</w:t>
      </w:r>
      <w:r w:rsidRPr="00282AC9">
        <w:rPr>
          <w:sz w:val="27"/>
          <w:rtl/>
        </w:rPr>
        <w:t xml:space="preserve"> فنبدأ </w:t>
      </w:r>
      <w:r w:rsidRPr="00282AC9">
        <w:rPr>
          <w:sz w:val="27"/>
          <w:rtl/>
        </w:rPr>
        <w:lastRenderedPageBreak/>
        <w:t>الحديث عن رؤية القرآن الكريم تجاه الزواج من المرأة العقيم من ناحية</w:t>
      </w:r>
      <w:r w:rsidR="00462B40" w:rsidRPr="00282AC9">
        <w:rPr>
          <w:rFonts w:hint="cs"/>
          <w:sz w:val="27"/>
          <w:rtl/>
        </w:rPr>
        <w:t>ٍ،</w:t>
      </w:r>
      <w:r w:rsidRPr="00282AC9">
        <w:rPr>
          <w:sz w:val="27"/>
          <w:rtl/>
        </w:rPr>
        <w:t xml:space="preserve"> وتجاه </w:t>
      </w:r>
      <w:r w:rsidR="00462B40" w:rsidRPr="00282AC9">
        <w:rPr>
          <w:rFonts w:hint="cs"/>
          <w:sz w:val="27"/>
          <w:rtl/>
        </w:rPr>
        <w:t>ال</w:t>
      </w:r>
      <w:r w:rsidRPr="00282AC9">
        <w:rPr>
          <w:sz w:val="27"/>
          <w:rtl/>
        </w:rPr>
        <w:t>تشنيع</w:t>
      </w:r>
      <w:r w:rsidR="00462B40" w:rsidRPr="00282AC9">
        <w:rPr>
          <w:rFonts w:hint="cs"/>
          <w:sz w:val="27"/>
          <w:rtl/>
        </w:rPr>
        <w:t xml:space="preserve"> في حقّ</w:t>
      </w:r>
      <w:r w:rsidRPr="00282AC9">
        <w:rPr>
          <w:sz w:val="27"/>
          <w:rtl/>
        </w:rPr>
        <w:t>ها من ناحية</w:t>
      </w:r>
      <w:r w:rsidR="00462B40" w:rsidRPr="00282AC9">
        <w:rPr>
          <w:rFonts w:hint="cs"/>
          <w:sz w:val="27"/>
          <w:rtl/>
        </w:rPr>
        <w:t>ٍ</w:t>
      </w:r>
      <w:r w:rsidRPr="00282AC9">
        <w:rPr>
          <w:sz w:val="27"/>
          <w:rtl/>
        </w:rPr>
        <w:t xml:space="preserve"> أخرى</w:t>
      </w:r>
      <w:r w:rsidR="00462B40" w:rsidRPr="00282AC9">
        <w:rPr>
          <w:rFonts w:hint="cs"/>
          <w:sz w:val="27"/>
          <w:rtl/>
        </w:rPr>
        <w:t>؛</w:t>
      </w:r>
      <w:r w:rsidRPr="00282AC9">
        <w:rPr>
          <w:sz w:val="27"/>
          <w:rtl/>
        </w:rPr>
        <w:t xml:space="preserve"> فنقسم البحث إلى مرحلتين:</w:t>
      </w:r>
    </w:p>
    <w:p w:rsidR="001153F1" w:rsidRPr="00282AC9" w:rsidRDefault="001153F1" w:rsidP="003E218F">
      <w:pPr>
        <w:pStyle w:val="afe"/>
        <w:spacing w:after="0" w:line="400" w:lineRule="exact"/>
        <w:ind w:left="0" w:firstLine="567"/>
        <w:jc w:val="both"/>
        <w:rPr>
          <w:rFonts w:cs="AL-Mohanad"/>
          <w:sz w:val="27"/>
          <w:szCs w:val="27"/>
          <w:rtl/>
        </w:rPr>
      </w:pPr>
      <w:r w:rsidRPr="00282AC9">
        <w:rPr>
          <w:rFonts w:cs="AL-Mohanad"/>
          <w:b/>
          <w:bCs/>
          <w:sz w:val="27"/>
          <w:szCs w:val="27"/>
          <w:rtl/>
        </w:rPr>
        <w:t>المرحلة الأولى</w:t>
      </w:r>
      <w:r w:rsidRPr="00282AC9">
        <w:rPr>
          <w:rFonts w:cs="AL-Mohanad"/>
          <w:sz w:val="27"/>
          <w:szCs w:val="27"/>
          <w:rtl/>
        </w:rPr>
        <w:t xml:space="preserve">: </w:t>
      </w:r>
      <w:r w:rsidR="00B33337" w:rsidRPr="00282AC9">
        <w:rPr>
          <w:rFonts w:cs="AL-Mohanad" w:hint="cs"/>
          <w:sz w:val="27"/>
          <w:szCs w:val="27"/>
          <w:rtl/>
        </w:rPr>
        <w:t xml:space="preserve">موقف </w:t>
      </w:r>
      <w:r w:rsidRPr="00282AC9">
        <w:rPr>
          <w:rFonts w:cs="AL-Mohanad"/>
          <w:sz w:val="27"/>
          <w:szCs w:val="27"/>
          <w:rtl/>
        </w:rPr>
        <w:t xml:space="preserve">القرآن الكريم </w:t>
      </w:r>
      <w:r w:rsidRPr="00282AC9">
        <w:rPr>
          <w:rFonts w:cs="AL-Mohanad" w:hint="cs"/>
          <w:sz w:val="27"/>
          <w:szCs w:val="27"/>
          <w:rtl/>
        </w:rPr>
        <w:t>من</w:t>
      </w:r>
      <w:r w:rsidRPr="00282AC9">
        <w:rPr>
          <w:rFonts w:cs="AL-Mohanad"/>
          <w:sz w:val="27"/>
          <w:szCs w:val="27"/>
          <w:rtl/>
        </w:rPr>
        <w:t xml:space="preserve"> الزواج من المرأة العقيم. </w:t>
      </w:r>
    </w:p>
    <w:p w:rsidR="001153F1" w:rsidRPr="00282AC9" w:rsidRDefault="001153F1" w:rsidP="003E218F">
      <w:pPr>
        <w:pStyle w:val="afe"/>
        <w:spacing w:after="0" w:line="400" w:lineRule="exact"/>
        <w:ind w:left="0" w:firstLine="567"/>
        <w:jc w:val="both"/>
        <w:rPr>
          <w:rFonts w:cs="AL-Mohanad"/>
          <w:sz w:val="27"/>
          <w:szCs w:val="27"/>
          <w:rtl/>
        </w:rPr>
      </w:pPr>
      <w:r w:rsidRPr="00282AC9">
        <w:rPr>
          <w:rFonts w:cs="AL-Mohanad"/>
          <w:b/>
          <w:bCs/>
          <w:sz w:val="27"/>
          <w:szCs w:val="27"/>
          <w:rtl/>
        </w:rPr>
        <w:t>المرحلة الثانية</w:t>
      </w:r>
      <w:r w:rsidRPr="00282AC9">
        <w:rPr>
          <w:rFonts w:cs="AL-Mohanad"/>
          <w:sz w:val="27"/>
          <w:szCs w:val="27"/>
          <w:rtl/>
        </w:rPr>
        <w:t xml:space="preserve">: </w:t>
      </w:r>
      <w:r w:rsidR="00B33337" w:rsidRPr="00282AC9">
        <w:rPr>
          <w:rFonts w:cs="AL-Mohanad" w:hint="cs"/>
          <w:sz w:val="27"/>
          <w:szCs w:val="27"/>
          <w:rtl/>
        </w:rPr>
        <w:t xml:space="preserve">توصيف </w:t>
      </w:r>
      <w:r w:rsidRPr="00282AC9">
        <w:rPr>
          <w:rFonts w:cs="AL-Mohanad"/>
          <w:sz w:val="27"/>
          <w:szCs w:val="27"/>
          <w:rtl/>
        </w:rPr>
        <w:t xml:space="preserve">القرآن الكريم </w:t>
      </w:r>
      <w:r w:rsidR="00B33337" w:rsidRPr="00282AC9">
        <w:rPr>
          <w:rFonts w:cs="AL-Mohanad" w:hint="cs"/>
          <w:sz w:val="27"/>
          <w:szCs w:val="27"/>
          <w:rtl/>
        </w:rPr>
        <w:t>ل</w:t>
      </w:r>
      <w:r w:rsidRPr="00282AC9">
        <w:rPr>
          <w:rFonts w:cs="AL-Mohanad"/>
          <w:sz w:val="27"/>
          <w:szCs w:val="27"/>
          <w:rtl/>
        </w:rPr>
        <w:t>لمرأة العقيم.</w:t>
      </w:r>
    </w:p>
    <w:p w:rsidR="00F943B4" w:rsidRPr="00282AC9" w:rsidRDefault="00F943B4" w:rsidP="00F943B4">
      <w:pPr>
        <w:spacing w:line="420" w:lineRule="exact"/>
        <w:rPr>
          <w:sz w:val="27"/>
          <w:rtl/>
        </w:rPr>
      </w:pPr>
    </w:p>
    <w:p w:rsidR="001153F1" w:rsidRPr="00282AC9" w:rsidRDefault="001153F1" w:rsidP="007A690E">
      <w:pPr>
        <w:pStyle w:val="31"/>
        <w:rPr>
          <w:b/>
          <w:color w:val="auto"/>
          <w:rtl/>
        </w:rPr>
      </w:pPr>
      <w:r w:rsidRPr="00282AC9">
        <w:rPr>
          <w:color w:val="auto"/>
          <w:rtl/>
        </w:rPr>
        <w:t xml:space="preserve">المرحلة الأولى: </w:t>
      </w:r>
      <w:r w:rsidR="00B33337" w:rsidRPr="00282AC9">
        <w:rPr>
          <w:rFonts w:hint="cs"/>
          <w:color w:val="auto"/>
          <w:rtl/>
        </w:rPr>
        <w:t xml:space="preserve">موقف </w:t>
      </w:r>
      <w:r w:rsidRPr="00282AC9">
        <w:rPr>
          <w:color w:val="auto"/>
          <w:rtl/>
        </w:rPr>
        <w:t xml:space="preserve">القرآن </w:t>
      </w:r>
      <w:r w:rsidRPr="00282AC9">
        <w:rPr>
          <w:rFonts w:hint="cs"/>
          <w:color w:val="auto"/>
          <w:rtl/>
        </w:rPr>
        <w:t xml:space="preserve">من </w:t>
      </w:r>
      <w:r w:rsidRPr="00282AC9">
        <w:rPr>
          <w:color w:val="auto"/>
          <w:rtl/>
        </w:rPr>
        <w:t xml:space="preserve">الزواج </w:t>
      </w:r>
      <w:r w:rsidR="00760F5B" w:rsidRPr="00282AC9">
        <w:rPr>
          <w:rFonts w:hint="cs"/>
          <w:color w:val="auto"/>
          <w:rtl/>
        </w:rPr>
        <w:t>ب</w:t>
      </w:r>
      <w:r w:rsidRPr="00282AC9">
        <w:rPr>
          <w:color w:val="auto"/>
          <w:rtl/>
        </w:rPr>
        <w:t>المرأة العقيم</w:t>
      </w:r>
    </w:p>
    <w:p w:rsidR="001153F1" w:rsidRPr="00282AC9" w:rsidRDefault="001153F1" w:rsidP="003E218F">
      <w:pPr>
        <w:rPr>
          <w:sz w:val="27"/>
          <w:rtl/>
        </w:rPr>
      </w:pPr>
      <w:r w:rsidRPr="00282AC9">
        <w:rPr>
          <w:rFonts w:hint="cs"/>
          <w:sz w:val="27"/>
          <w:rtl/>
        </w:rPr>
        <w:t>لا نجد في القرآن الكريم آية</w:t>
      </w:r>
      <w:r w:rsidR="00B33337" w:rsidRPr="00282AC9">
        <w:rPr>
          <w:rFonts w:hint="cs"/>
          <w:sz w:val="27"/>
          <w:rtl/>
        </w:rPr>
        <w:t>ً</w:t>
      </w:r>
      <w:r w:rsidRPr="00282AC9">
        <w:rPr>
          <w:rFonts w:hint="cs"/>
          <w:sz w:val="27"/>
          <w:rtl/>
        </w:rPr>
        <w:t xml:space="preserve"> صريحة تتحدّ</w:t>
      </w:r>
      <w:r w:rsidR="00B33337" w:rsidRPr="00282AC9">
        <w:rPr>
          <w:rFonts w:hint="cs"/>
          <w:sz w:val="27"/>
          <w:rtl/>
        </w:rPr>
        <w:t>َ</w:t>
      </w:r>
      <w:r w:rsidRPr="00282AC9">
        <w:rPr>
          <w:rFonts w:hint="cs"/>
          <w:sz w:val="27"/>
          <w:rtl/>
        </w:rPr>
        <w:t>ث عن حكم الزواج من المرأة العقيم</w:t>
      </w:r>
      <w:r w:rsidR="00B33337" w:rsidRPr="00282AC9">
        <w:rPr>
          <w:rFonts w:hint="cs"/>
          <w:sz w:val="27"/>
          <w:rtl/>
        </w:rPr>
        <w:t>،</w:t>
      </w:r>
      <w:r w:rsidRPr="00282AC9">
        <w:rPr>
          <w:rFonts w:hint="cs"/>
          <w:sz w:val="27"/>
          <w:rtl/>
        </w:rPr>
        <w:t xml:space="preserve"> مع أنّنا نجد القرآن الكريم تناول موضوع صفات الزوجة في بعض آياته الشريفة</w:t>
      </w:r>
      <w:r w:rsidR="00B33337" w:rsidRPr="00282AC9">
        <w:rPr>
          <w:rFonts w:hint="cs"/>
          <w:sz w:val="27"/>
          <w:rtl/>
        </w:rPr>
        <w:t>.</w:t>
      </w:r>
      <w:r w:rsidRPr="00282AC9">
        <w:rPr>
          <w:rFonts w:hint="cs"/>
          <w:sz w:val="27"/>
          <w:rtl/>
        </w:rPr>
        <w:t xml:space="preserve"> فنستعرض هنا الآيات التي تتحدّ</w:t>
      </w:r>
      <w:r w:rsidR="00B33337" w:rsidRPr="00282AC9">
        <w:rPr>
          <w:rFonts w:hint="cs"/>
          <w:sz w:val="27"/>
          <w:rtl/>
        </w:rPr>
        <w:t>َ</w:t>
      </w:r>
      <w:r w:rsidRPr="00282AC9">
        <w:rPr>
          <w:rFonts w:hint="cs"/>
          <w:sz w:val="27"/>
          <w:rtl/>
        </w:rPr>
        <w:t>ث عن صفات الزوجة</w:t>
      </w:r>
      <w:r w:rsidR="00B33337" w:rsidRPr="00282AC9">
        <w:rPr>
          <w:rFonts w:hint="cs"/>
          <w:sz w:val="27"/>
          <w:rtl/>
        </w:rPr>
        <w:t>؛</w:t>
      </w:r>
      <w:r w:rsidRPr="00282AC9">
        <w:rPr>
          <w:rFonts w:hint="cs"/>
          <w:sz w:val="27"/>
          <w:rtl/>
        </w:rPr>
        <w:t xml:space="preserve"> لنرى هل نستطيع الوصول إلى شيء</w:t>
      </w:r>
      <w:r w:rsidR="00B33337" w:rsidRPr="00282AC9">
        <w:rPr>
          <w:rFonts w:hint="cs"/>
          <w:sz w:val="27"/>
          <w:rtl/>
        </w:rPr>
        <w:t>ٍ</w:t>
      </w:r>
      <w:r w:rsidRPr="00282AC9">
        <w:rPr>
          <w:rFonts w:hint="cs"/>
          <w:sz w:val="27"/>
          <w:rtl/>
        </w:rPr>
        <w:t xml:space="preserve"> من ذلك</w:t>
      </w:r>
      <w:r w:rsidR="00B33337" w:rsidRPr="00282AC9">
        <w:rPr>
          <w:rFonts w:hint="cs"/>
          <w:sz w:val="27"/>
          <w:rtl/>
        </w:rPr>
        <w:t>؟</w:t>
      </w:r>
      <w:r w:rsidRPr="00282AC9">
        <w:rPr>
          <w:rFonts w:hint="cs"/>
          <w:sz w:val="27"/>
          <w:rtl/>
        </w:rPr>
        <w:t xml:space="preserve"> أو هل نستطيع أن نستدلّ بالإطلاق المقامي في هذه الآيات لنفي الحكم بكراهة الزواج من المرأة العقيم</w:t>
      </w:r>
      <w:r w:rsidR="00E445CC" w:rsidRPr="00282AC9">
        <w:rPr>
          <w:rFonts w:hint="cs"/>
          <w:sz w:val="27"/>
          <w:rtl/>
        </w:rPr>
        <w:t>،</w:t>
      </w:r>
      <w:r w:rsidRPr="00282AC9">
        <w:rPr>
          <w:rFonts w:hint="cs"/>
          <w:sz w:val="27"/>
          <w:rtl/>
        </w:rPr>
        <w:t xml:space="preserve"> قرآني</w:t>
      </w:r>
      <w:r w:rsidR="00E445CC" w:rsidRPr="00282AC9">
        <w:rPr>
          <w:rFonts w:hint="cs"/>
          <w:sz w:val="27"/>
          <w:rtl/>
        </w:rPr>
        <w:t>ّ</w:t>
      </w:r>
      <w:r w:rsidRPr="00282AC9">
        <w:rPr>
          <w:rFonts w:hint="cs"/>
          <w:sz w:val="27"/>
          <w:rtl/>
        </w:rPr>
        <w:t>اً</w:t>
      </w:r>
      <w:r w:rsidR="00E445CC" w:rsidRPr="00282AC9">
        <w:rPr>
          <w:rFonts w:hint="cs"/>
          <w:sz w:val="27"/>
          <w:rtl/>
        </w:rPr>
        <w:t>،</w:t>
      </w:r>
      <w:r w:rsidRPr="00282AC9">
        <w:rPr>
          <w:rFonts w:hint="cs"/>
          <w:sz w:val="27"/>
          <w:rtl/>
        </w:rPr>
        <w:t xml:space="preserve"> أو لا؟ </w:t>
      </w:r>
    </w:p>
    <w:p w:rsidR="001153F1" w:rsidRPr="00282AC9" w:rsidRDefault="001153F1" w:rsidP="003E218F">
      <w:pPr>
        <w:rPr>
          <w:sz w:val="27"/>
          <w:rtl/>
        </w:rPr>
      </w:pPr>
      <w:r w:rsidRPr="00282AC9">
        <w:rPr>
          <w:rFonts w:hint="cs"/>
          <w:sz w:val="27"/>
          <w:rtl/>
        </w:rPr>
        <w:t>إذا راج</w:t>
      </w:r>
      <w:r w:rsidR="00E445CC" w:rsidRPr="00282AC9">
        <w:rPr>
          <w:rFonts w:hint="cs"/>
          <w:sz w:val="27"/>
          <w:rtl/>
        </w:rPr>
        <w:t>َ</w:t>
      </w:r>
      <w:r w:rsidRPr="00282AC9">
        <w:rPr>
          <w:rFonts w:hint="cs"/>
          <w:sz w:val="27"/>
          <w:rtl/>
        </w:rPr>
        <w:t>ع</w:t>
      </w:r>
      <w:r w:rsidR="00E445CC" w:rsidRPr="00282AC9">
        <w:rPr>
          <w:rFonts w:hint="cs"/>
          <w:sz w:val="27"/>
          <w:rtl/>
        </w:rPr>
        <w:t>ْ</w:t>
      </w:r>
      <w:r w:rsidRPr="00282AC9">
        <w:rPr>
          <w:rFonts w:hint="cs"/>
          <w:sz w:val="27"/>
          <w:rtl/>
        </w:rPr>
        <w:t>نا القرآن الكريم</w:t>
      </w:r>
      <w:r w:rsidR="00E445CC" w:rsidRPr="00282AC9">
        <w:rPr>
          <w:rFonts w:hint="cs"/>
          <w:sz w:val="27"/>
          <w:rtl/>
        </w:rPr>
        <w:t>؛</w:t>
      </w:r>
      <w:r w:rsidRPr="00282AC9">
        <w:rPr>
          <w:rFonts w:hint="cs"/>
          <w:sz w:val="27"/>
          <w:rtl/>
        </w:rPr>
        <w:t xml:space="preserve"> لنستخرج الآيات التي تتحدّ</w:t>
      </w:r>
      <w:r w:rsidR="00E445CC" w:rsidRPr="00282AC9">
        <w:rPr>
          <w:rFonts w:hint="cs"/>
          <w:sz w:val="27"/>
          <w:rtl/>
        </w:rPr>
        <w:t>َ</w:t>
      </w:r>
      <w:r w:rsidRPr="00282AC9">
        <w:rPr>
          <w:rFonts w:hint="cs"/>
          <w:sz w:val="27"/>
          <w:rtl/>
        </w:rPr>
        <w:t>ث عن صفات الزوجة</w:t>
      </w:r>
      <w:r w:rsidR="00E445CC" w:rsidRPr="00282AC9">
        <w:rPr>
          <w:rFonts w:hint="cs"/>
          <w:sz w:val="27"/>
          <w:rtl/>
        </w:rPr>
        <w:t>،</w:t>
      </w:r>
      <w:r w:rsidRPr="00282AC9">
        <w:rPr>
          <w:rFonts w:hint="cs"/>
          <w:sz w:val="27"/>
          <w:rtl/>
        </w:rPr>
        <w:t xml:space="preserve"> سنجد ما يلي:</w:t>
      </w:r>
    </w:p>
    <w:p w:rsidR="001153F1" w:rsidRPr="00282AC9" w:rsidRDefault="001153F1" w:rsidP="003E218F">
      <w:pPr>
        <w:pStyle w:val="afe"/>
        <w:spacing w:after="0" w:line="400" w:lineRule="exact"/>
        <w:ind w:left="0" w:firstLine="567"/>
        <w:jc w:val="both"/>
        <w:rPr>
          <w:rFonts w:cs="AL-Mohanad"/>
          <w:sz w:val="27"/>
          <w:szCs w:val="27"/>
        </w:rPr>
      </w:pPr>
      <w:r w:rsidRPr="00282AC9">
        <w:rPr>
          <w:rFonts w:cs="AL-Mohanad" w:hint="cs"/>
          <w:b/>
          <w:bCs/>
          <w:sz w:val="27"/>
          <w:szCs w:val="27"/>
          <w:rtl/>
        </w:rPr>
        <w:t>1ـ الصلاح</w:t>
      </w:r>
      <w:r w:rsidRPr="00282AC9">
        <w:rPr>
          <w:rFonts w:cs="AL-Mohanad" w:hint="cs"/>
          <w:sz w:val="27"/>
          <w:szCs w:val="27"/>
          <w:rtl/>
        </w:rPr>
        <w:t xml:space="preserve">: </w:t>
      </w:r>
      <w:r w:rsidR="00C5291F" w:rsidRPr="00282AC9">
        <w:rPr>
          <w:rFonts w:ascii="Mosawi" w:hAnsi="Mosawi" w:cs="Mosawi"/>
          <w:sz w:val="24"/>
          <w:szCs w:val="24"/>
          <w:rtl/>
        </w:rPr>
        <w:t>﴿</w:t>
      </w:r>
      <w:r w:rsidRPr="00282AC9">
        <w:rPr>
          <w:rFonts w:cs="AL-Mohanad" w:hint="cs"/>
          <w:b/>
          <w:bCs/>
          <w:sz w:val="27"/>
          <w:szCs w:val="27"/>
          <w:rtl/>
        </w:rPr>
        <w:t>وَأَنكحُوا</w:t>
      </w:r>
      <w:r w:rsidRPr="00282AC9">
        <w:rPr>
          <w:rFonts w:cs="AL-Mohanad"/>
          <w:b/>
          <w:bCs/>
          <w:sz w:val="27"/>
          <w:szCs w:val="27"/>
          <w:rtl/>
        </w:rPr>
        <w:t xml:space="preserve"> </w:t>
      </w:r>
      <w:r w:rsidR="00E445CC" w:rsidRPr="00282AC9">
        <w:rPr>
          <w:rFonts w:cs="AL-Mohanad" w:hint="cs"/>
          <w:b/>
          <w:bCs/>
          <w:sz w:val="27"/>
          <w:szCs w:val="27"/>
          <w:rtl/>
        </w:rPr>
        <w:t>ال</w:t>
      </w:r>
      <w:r w:rsidRPr="00282AC9">
        <w:rPr>
          <w:rFonts w:cs="AL-Mohanad" w:hint="cs"/>
          <w:b/>
          <w:bCs/>
          <w:sz w:val="27"/>
          <w:szCs w:val="27"/>
          <w:rtl/>
        </w:rPr>
        <w:t>أَيَامَى</w:t>
      </w:r>
      <w:r w:rsidRPr="00282AC9">
        <w:rPr>
          <w:rFonts w:cs="AL-Mohanad"/>
          <w:b/>
          <w:bCs/>
          <w:sz w:val="27"/>
          <w:szCs w:val="27"/>
          <w:rtl/>
        </w:rPr>
        <w:t xml:space="preserve"> </w:t>
      </w:r>
      <w:r w:rsidRPr="00282AC9">
        <w:rPr>
          <w:rFonts w:cs="AL-Mohanad" w:hint="cs"/>
          <w:b/>
          <w:bCs/>
          <w:sz w:val="27"/>
          <w:szCs w:val="27"/>
          <w:rtl/>
        </w:rPr>
        <w:t>مِنْكُمْ</w:t>
      </w:r>
      <w:r w:rsidRPr="00282AC9">
        <w:rPr>
          <w:rFonts w:cs="AL-Mohanad"/>
          <w:b/>
          <w:bCs/>
          <w:sz w:val="27"/>
          <w:szCs w:val="27"/>
          <w:rtl/>
        </w:rPr>
        <w:t xml:space="preserve"> والصَّالِحِينَ مِنْ عِبَادِكُمْ وإِمَائِكُمْ إِنْ يَكُونُوا فُقَرَاءَ يُغْنِهِمُ </w:t>
      </w:r>
      <w:r w:rsidR="00C06BE6" w:rsidRPr="00282AC9">
        <w:rPr>
          <w:rFonts w:cs="AL-Mohanad"/>
          <w:b/>
          <w:bCs/>
          <w:sz w:val="27"/>
          <w:szCs w:val="27"/>
          <w:rtl/>
        </w:rPr>
        <w:t>الل</w:t>
      </w:r>
      <w:r w:rsidRPr="00282AC9">
        <w:rPr>
          <w:rFonts w:cs="AL-Mohanad"/>
          <w:b/>
          <w:bCs/>
          <w:sz w:val="27"/>
          <w:szCs w:val="27"/>
          <w:rtl/>
        </w:rPr>
        <w:t>هُ مِنْ فَضْلِهِ و</w:t>
      </w:r>
      <w:r w:rsidR="00C06BE6" w:rsidRPr="00282AC9">
        <w:rPr>
          <w:rFonts w:cs="AL-Mohanad"/>
          <w:b/>
          <w:bCs/>
          <w:sz w:val="27"/>
          <w:szCs w:val="27"/>
          <w:rtl/>
        </w:rPr>
        <w:t>الل</w:t>
      </w:r>
      <w:r w:rsidRPr="00282AC9">
        <w:rPr>
          <w:rFonts w:cs="AL-Mohanad"/>
          <w:b/>
          <w:bCs/>
          <w:sz w:val="27"/>
          <w:szCs w:val="27"/>
          <w:rtl/>
        </w:rPr>
        <w:t>هُ وَاسِعٌ عَلِيمٌ</w:t>
      </w:r>
      <w:r w:rsidR="00C5291F" w:rsidRPr="00282AC9">
        <w:rPr>
          <w:rFonts w:ascii="Mosawi" w:hAnsi="Mosawi" w:cs="Mosawi"/>
          <w:sz w:val="24"/>
          <w:szCs w:val="24"/>
          <w:rtl/>
        </w:rPr>
        <w:t>﴾</w:t>
      </w:r>
      <w:r w:rsidRPr="00282AC9">
        <w:rPr>
          <w:rFonts w:cs="AL-Mohanad"/>
          <w:sz w:val="27"/>
          <w:szCs w:val="27"/>
          <w:rtl/>
        </w:rPr>
        <w:t xml:space="preserve"> (</w:t>
      </w:r>
      <w:r w:rsidRPr="00282AC9">
        <w:rPr>
          <w:rFonts w:cs="AL-Mohanad" w:hint="cs"/>
          <w:sz w:val="27"/>
          <w:szCs w:val="27"/>
          <w:rtl/>
        </w:rPr>
        <w:t>النور</w:t>
      </w:r>
      <w:r w:rsidRPr="00282AC9">
        <w:rPr>
          <w:rFonts w:cs="AL-Mohanad"/>
          <w:sz w:val="27"/>
          <w:szCs w:val="27"/>
          <w:rtl/>
        </w:rPr>
        <w:t>: 32)</w:t>
      </w:r>
      <w:r w:rsidR="00E445CC" w:rsidRPr="00282AC9">
        <w:rPr>
          <w:rFonts w:cs="AL-Mohanad" w:hint="cs"/>
          <w:sz w:val="27"/>
          <w:szCs w:val="27"/>
          <w:rtl/>
        </w:rPr>
        <w:t>.</w:t>
      </w:r>
      <w:r w:rsidRPr="00282AC9">
        <w:rPr>
          <w:rFonts w:cs="AL-Mohanad"/>
          <w:sz w:val="27"/>
          <w:szCs w:val="27"/>
          <w:rtl/>
        </w:rPr>
        <w:t xml:space="preserve"> </w:t>
      </w:r>
      <w:r w:rsidR="00E445CC" w:rsidRPr="00282AC9">
        <w:rPr>
          <w:rFonts w:cs="AL-Mohanad" w:hint="cs"/>
          <w:sz w:val="27"/>
          <w:szCs w:val="27"/>
          <w:rtl/>
        </w:rPr>
        <w:t>و</w:t>
      </w:r>
      <w:r w:rsidRPr="00282AC9">
        <w:rPr>
          <w:rFonts w:cs="AL-Mohanad" w:hint="cs"/>
          <w:sz w:val="27"/>
          <w:szCs w:val="27"/>
          <w:rtl/>
        </w:rPr>
        <w:t>قد</w:t>
      </w:r>
      <w:r w:rsidRPr="00282AC9">
        <w:rPr>
          <w:rFonts w:cs="AL-Mohanad"/>
          <w:sz w:val="27"/>
          <w:szCs w:val="27"/>
          <w:rtl/>
        </w:rPr>
        <w:t xml:space="preserve"> </w:t>
      </w:r>
      <w:r w:rsidRPr="00282AC9">
        <w:rPr>
          <w:rFonts w:cs="AL-Mohanad" w:hint="cs"/>
          <w:sz w:val="27"/>
          <w:szCs w:val="27"/>
          <w:rtl/>
        </w:rPr>
        <w:t>دعا</w:t>
      </w:r>
      <w:r w:rsidRPr="00282AC9">
        <w:rPr>
          <w:rFonts w:cs="AL-Mohanad"/>
          <w:sz w:val="27"/>
          <w:szCs w:val="27"/>
          <w:rtl/>
        </w:rPr>
        <w:t xml:space="preserve"> </w:t>
      </w:r>
      <w:r w:rsidRPr="00282AC9">
        <w:rPr>
          <w:rFonts w:cs="AL-Mohanad" w:hint="cs"/>
          <w:sz w:val="27"/>
          <w:szCs w:val="27"/>
          <w:rtl/>
        </w:rPr>
        <w:t>القرآن</w:t>
      </w:r>
      <w:r w:rsidRPr="00282AC9">
        <w:rPr>
          <w:rFonts w:cs="AL-Mohanad"/>
          <w:sz w:val="27"/>
          <w:szCs w:val="27"/>
          <w:rtl/>
        </w:rPr>
        <w:t xml:space="preserve"> </w:t>
      </w:r>
      <w:r w:rsidRPr="00282AC9">
        <w:rPr>
          <w:rFonts w:cs="AL-Mohanad" w:hint="cs"/>
          <w:sz w:val="27"/>
          <w:szCs w:val="27"/>
          <w:rtl/>
        </w:rPr>
        <w:t>إلى</w:t>
      </w:r>
      <w:r w:rsidRPr="00282AC9">
        <w:rPr>
          <w:rFonts w:cs="AL-Mohanad"/>
          <w:sz w:val="27"/>
          <w:szCs w:val="27"/>
          <w:rtl/>
        </w:rPr>
        <w:t xml:space="preserve"> </w:t>
      </w:r>
      <w:r w:rsidRPr="00282AC9">
        <w:rPr>
          <w:rFonts w:cs="AL-Mohanad" w:hint="cs"/>
          <w:sz w:val="27"/>
          <w:szCs w:val="27"/>
          <w:rtl/>
        </w:rPr>
        <w:t>تزويج</w:t>
      </w:r>
      <w:r w:rsidRPr="00282AC9">
        <w:rPr>
          <w:rFonts w:cs="AL-Mohanad"/>
          <w:sz w:val="27"/>
          <w:szCs w:val="27"/>
          <w:rtl/>
        </w:rPr>
        <w:t xml:space="preserve"> </w:t>
      </w:r>
      <w:r w:rsidRPr="00282AC9">
        <w:rPr>
          <w:rFonts w:cs="AL-Mohanad" w:hint="cs"/>
          <w:sz w:val="27"/>
          <w:szCs w:val="27"/>
          <w:rtl/>
        </w:rPr>
        <w:t>الأيامى</w:t>
      </w:r>
      <w:r w:rsidRPr="00282AC9">
        <w:rPr>
          <w:rFonts w:cs="AL-Mohanad"/>
          <w:sz w:val="27"/>
          <w:szCs w:val="27"/>
          <w:rtl/>
        </w:rPr>
        <w:t xml:space="preserve"> </w:t>
      </w:r>
      <w:r w:rsidRPr="00282AC9">
        <w:rPr>
          <w:rFonts w:cs="AL-Mohanad" w:hint="cs"/>
          <w:sz w:val="27"/>
          <w:szCs w:val="27"/>
          <w:rtl/>
        </w:rPr>
        <w:t>مطلقاً</w:t>
      </w:r>
      <w:r w:rsidR="00E445CC"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وقيّد تزويج العباد والإماء بالصلاح.</w:t>
      </w:r>
    </w:p>
    <w:p w:rsidR="001153F1" w:rsidRPr="00282AC9" w:rsidRDefault="001153F1" w:rsidP="003E218F">
      <w:pPr>
        <w:pStyle w:val="afe"/>
        <w:spacing w:after="0" w:line="400" w:lineRule="exact"/>
        <w:ind w:left="0" w:firstLine="567"/>
        <w:jc w:val="both"/>
        <w:rPr>
          <w:rFonts w:cs="AL-Mohanad"/>
          <w:sz w:val="27"/>
          <w:szCs w:val="27"/>
        </w:rPr>
      </w:pPr>
      <w:r w:rsidRPr="00282AC9">
        <w:rPr>
          <w:rFonts w:cs="AL-Mohanad" w:hint="cs"/>
          <w:b/>
          <w:bCs/>
          <w:sz w:val="27"/>
          <w:szCs w:val="27"/>
          <w:rtl/>
        </w:rPr>
        <w:t>2ـ الإحصان والإيمان</w:t>
      </w:r>
      <w:r w:rsidRPr="00282AC9">
        <w:rPr>
          <w:rFonts w:cs="AL-Mohanad" w:hint="cs"/>
          <w:sz w:val="27"/>
          <w:szCs w:val="27"/>
          <w:rtl/>
        </w:rPr>
        <w:t xml:space="preserve">: </w:t>
      </w:r>
      <w:r w:rsidR="00C5291F" w:rsidRPr="00282AC9">
        <w:rPr>
          <w:rFonts w:ascii="Mosawi" w:hAnsi="Mosawi" w:cs="Mosawi"/>
          <w:sz w:val="24"/>
          <w:szCs w:val="24"/>
          <w:rtl/>
        </w:rPr>
        <w:t>﴿</w:t>
      </w:r>
      <w:r w:rsidRPr="00282AC9">
        <w:rPr>
          <w:rFonts w:cs="AL-Mohanad" w:hint="cs"/>
          <w:b/>
          <w:bCs/>
          <w:sz w:val="27"/>
          <w:szCs w:val="27"/>
          <w:rtl/>
        </w:rPr>
        <w:t>وَمَنْ</w:t>
      </w:r>
      <w:r w:rsidRPr="00282AC9">
        <w:rPr>
          <w:rFonts w:cs="AL-Mohanad"/>
          <w:b/>
          <w:bCs/>
          <w:sz w:val="27"/>
          <w:szCs w:val="27"/>
          <w:rtl/>
        </w:rPr>
        <w:t xml:space="preserve"> </w:t>
      </w:r>
      <w:r w:rsidRPr="00282AC9">
        <w:rPr>
          <w:rFonts w:cs="AL-Mohanad" w:hint="cs"/>
          <w:b/>
          <w:bCs/>
          <w:sz w:val="27"/>
          <w:szCs w:val="27"/>
          <w:rtl/>
        </w:rPr>
        <w:t>لَمْ</w:t>
      </w:r>
      <w:r w:rsidRPr="00282AC9">
        <w:rPr>
          <w:rFonts w:cs="AL-Mohanad"/>
          <w:b/>
          <w:bCs/>
          <w:sz w:val="27"/>
          <w:szCs w:val="27"/>
          <w:rtl/>
        </w:rPr>
        <w:t xml:space="preserve"> </w:t>
      </w:r>
      <w:r w:rsidRPr="00282AC9">
        <w:rPr>
          <w:rFonts w:cs="AL-Mohanad" w:hint="cs"/>
          <w:b/>
          <w:bCs/>
          <w:sz w:val="27"/>
          <w:szCs w:val="27"/>
          <w:rtl/>
        </w:rPr>
        <w:t>يَسْتَطِعْ</w:t>
      </w:r>
      <w:r w:rsidRPr="00282AC9">
        <w:rPr>
          <w:rFonts w:cs="AL-Mohanad"/>
          <w:b/>
          <w:bCs/>
          <w:sz w:val="27"/>
          <w:szCs w:val="27"/>
          <w:rtl/>
        </w:rPr>
        <w:t xml:space="preserve"> </w:t>
      </w:r>
      <w:r w:rsidRPr="00282AC9">
        <w:rPr>
          <w:rFonts w:cs="AL-Mohanad" w:hint="cs"/>
          <w:b/>
          <w:bCs/>
          <w:sz w:val="27"/>
          <w:szCs w:val="27"/>
          <w:rtl/>
        </w:rPr>
        <w:t>مِنْكُمْ</w:t>
      </w:r>
      <w:r w:rsidRPr="00282AC9">
        <w:rPr>
          <w:rFonts w:cs="AL-Mohanad"/>
          <w:b/>
          <w:bCs/>
          <w:sz w:val="27"/>
          <w:szCs w:val="27"/>
          <w:rtl/>
        </w:rPr>
        <w:t xml:space="preserve"> </w:t>
      </w:r>
      <w:r w:rsidRPr="00282AC9">
        <w:rPr>
          <w:rFonts w:cs="AL-Mohanad" w:hint="cs"/>
          <w:b/>
          <w:bCs/>
          <w:sz w:val="27"/>
          <w:szCs w:val="27"/>
          <w:rtl/>
        </w:rPr>
        <w:t>طَوْلاً</w:t>
      </w:r>
      <w:r w:rsidRPr="00282AC9">
        <w:rPr>
          <w:rFonts w:cs="AL-Mohanad"/>
          <w:b/>
          <w:bCs/>
          <w:sz w:val="27"/>
          <w:szCs w:val="27"/>
          <w:rtl/>
        </w:rPr>
        <w:t xml:space="preserve"> </w:t>
      </w:r>
      <w:r w:rsidRPr="00282AC9">
        <w:rPr>
          <w:rFonts w:cs="AL-Mohanad" w:hint="cs"/>
          <w:b/>
          <w:bCs/>
          <w:sz w:val="27"/>
          <w:szCs w:val="27"/>
          <w:rtl/>
        </w:rPr>
        <w:t>أَنْ</w:t>
      </w:r>
      <w:r w:rsidRPr="00282AC9">
        <w:rPr>
          <w:rFonts w:cs="AL-Mohanad"/>
          <w:b/>
          <w:bCs/>
          <w:sz w:val="27"/>
          <w:szCs w:val="27"/>
          <w:rtl/>
        </w:rPr>
        <w:t xml:space="preserve"> </w:t>
      </w:r>
      <w:r w:rsidRPr="00282AC9">
        <w:rPr>
          <w:rFonts w:cs="AL-Mohanad" w:hint="cs"/>
          <w:b/>
          <w:bCs/>
          <w:sz w:val="27"/>
          <w:szCs w:val="27"/>
          <w:rtl/>
        </w:rPr>
        <w:t>يَنْكِحَ</w:t>
      </w:r>
      <w:r w:rsidRPr="00282AC9">
        <w:rPr>
          <w:rFonts w:cs="AL-Mohanad"/>
          <w:b/>
          <w:bCs/>
          <w:sz w:val="27"/>
          <w:szCs w:val="27"/>
          <w:rtl/>
        </w:rPr>
        <w:t xml:space="preserve"> </w:t>
      </w:r>
      <w:r w:rsidRPr="00282AC9">
        <w:rPr>
          <w:rFonts w:cs="AL-Mohanad" w:hint="cs"/>
          <w:b/>
          <w:bCs/>
          <w:sz w:val="27"/>
          <w:szCs w:val="27"/>
          <w:rtl/>
        </w:rPr>
        <w:t>الْمُحْصَنَاتِ</w:t>
      </w:r>
      <w:r w:rsidRPr="00282AC9">
        <w:rPr>
          <w:rFonts w:cs="AL-Mohanad"/>
          <w:b/>
          <w:bCs/>
          <w:sz w:val="27"/>
          <w:szCs w:val="27"/>
          <w:rtl/>
        </w:rPr>
        <w:t xml:space="preserve"> </w:t>
      </w:r>
      <w:r w:rsidRPr="00282AC9">
        <w:rPr>
          <w:rFonts w:cs="AL-Mohanad" w:hint="cs"/>
          <w:b/>
          <w:bCs/>
          <w:sz w:val="27"/>
          <w:szCs w:val="27"/>
          <w:rtl/>
        </w:rPr>
        <w:t>الْمُؤْمِنَاتِ</w:t>
      </w:r>
      <w:r w:rsidRPr="00282AC9">
        <w:rPr>
          <w:rFonts w:cs="AL-Mohanad"/>
          <w:b/>
          <w:bCs/>
          <w:sz w:val="27"/>
          <w:szCs w:val="27"/>
          <w:rtl/>
        </w:rPr>
        <w:t xml:space="preserve"> </w:t>
      </w:r>
      <w:r w:rsidRPr="00282AC9">
        <w:rPr>
          <w:rFonts w:cs="AL-Mohanad" w:hint="cs"/>
          <w:b/>
          <w:bCs/>
          <w:sz w:val="27"/>
          <w:szCs w:val="27"/>
          <w:rtl/>
        </w:rPr>
        <w:t>فَمِنْ</w:t>
      </w:r>
      <w:r w:rsidRPr="00282AC9">
        <w:rPr>
          <w:rFonts w:cs="AL-Mohanad"/>
          <w:b/>
          <w:bCs/>
          <w:sz w:val="27"/>
          <w:szCs w:val="27"/>
          <w:rtl/>
        </w:rPr>
        <w:t xml:space="preserve"> </w:t>
      </w:r>
      <w:r w:rsidRPr="00282AC9">
        <w:rPr>
          <w:rFonts w:cs="AL-Mohanad" w:hint="cs"/>
          <w:b/>
          <w:bCs/>
          <w:sz w:val="27"/>
          <w:szCs w:val="27"/>
          <w:rtl/>
        </w:rPr>
        <w:t>مَا</w:t>
      </w:r>
      <w:r w:rsidRPr="00282AC9">
        <w:rPr>
          <w:rFonts w:cs="AL-Mohanad"/>
          <w:b/>
          <w:bCs/>
          <w:sz w:val="27"/>
          <w:szCs w:val="27"/>
          <w:rtl/>
        </w:rPr>
        <w:t xml:space="preserve"> </w:t>
      </w:r>
      <w:r w:rsidRPr="00282AC9">
        <w:rPr>
          <w:rFonts w:cs="AL-Mohanad" w:hint="cs"/>
          <w:b/>
          <w:bCs/>
          <w:sz w:val="27"/>
          <w:szCs w:val="27"/>
          <w:rtl/>
        </w:rPr>
        <w:t>مَلَكَتْ</w:t>
      </w:r>
      <w:r w:rsidRPr="00282AC9">
        <w:rPr>
          <w:rFonts w:cs="AL-Mohanad"/>
          <w:b/>
          <w:bCs/>
          <w:sz w:val="27"/>
          <w:szCs w:val="27"/>
          <w:rtl/>
        </w:rPr>
        <w:t xml:space="preserve"> </w:t>
      </w:r>
      <w:r w:rsidRPr="00282AC9">
        <w:rPr>
          <w:rFonts w:cs="AL-Mohanad" w:hint="cs"/>
          <w:b/>
          <w:bCs/>
          <w:sz w:val="27"/>
          <w:szCs w:val="27"/>
          <w:rtl/>
        </w:rPr>
        <w:t>أَيْمَانُكُمْ</w:t>
      </w:r>
      <w:r w:rsidRPr="00282AC9">
        <w:rPr>
          <w:rFonts w:cs="AL-Mohanad"/>
          <w:b/>
          <w:bCs/>
          <w:sz w:val="27"/>
          <w:szCs w:val="27"/>
          <w:rtl/>
        </w:rPr>
        <w:t xml:space="preserve"> </w:t>
      </w:r>
      <w:r w:rsidRPr="00282AC9">
        <w:rPr>
          <w:rFonts w:cs="AL-Mohanad" w:hint="cs"/>
          <w:b/>
          <w:bCs/>
          <w:sz w:val="27"/>
          <w:szCs w:val="27"/>
          <w:rtl/>
        </w:rPr>
        <w:t>مِنْ</w:t>
      </w:r>
      <w:r w:rsidRPr="00282AC9">
        <w:rPr>
          <w:rFonts w:cs="AL-Mohanad"/>
          <w:b/>
          <w:bCs/>
          <w:sz w:val="27"/>
          <w:szCs w:val="27"/>
          <w:rtl/>
        </w:rPr>
        <w:t xml:space="preserve"> </w:t>
      </w:r>
      <w:r w:rsidRPr="00282AC9">
        <w:rPr>
          <w:rFonts w:cs="AL-Mohanad" w:hint="cs"/>
          <w:b/>
          <w:bCs/>
          <w:sz w:val="27"/>
          <w:szCs w:val="27"/>
          <w:rtl/>
        </w:rPr>
        <w:t>فَتَيَاتِكُمُ</w:t>
      </w:r>
      <w:r w:rsidRPr="00282AC9">
        <w:rPr>
          <w:rFonts w:cs="AL-Mohanad"/>
          <w:b/>
          <w:bCs/>
          <w:sz w:val="27"/>
          <w:szCs w:val="27"/>
          <w:rtl/>
        </w:rPr>
        <w:t xml:space="preserve"> </w:t>
      </w:r>
      <w:r w:rsidRPr="00282AC9">
        <w:rPr>
          <w:rFonts w:cs="AL-Mohanad" w:hint="cs"/>
          <w:b/>
          <w:bCs/>
          <w:sz w:val="27"/>
          <w:szCs w:val="27"/>
          <w:rtl/>
        </w:rPr>
        <w:t>الْمُؤْمِنَاتِ</w:t>
      </w:r>
      <w:r w:rsidRPr="00282AC9">
        <w:rPr>
          <w:rFonts w:cs="AL-Mohanad"/>
          <w:b/>
          <w:bCs/>
          <w:sz w:val="27"/>
          <w:szCs w:val="27"/>
          <w:rtl/>
        </w:rPr>
        <w:t xml:space="preserve"> </w:t>
      </w:r>
      <w:r w:rsidRPr="00282AC9">
        <w:rPr>
          <w:rFonts w:cs="AL-Mohanad" w:hint="cs"/>
          <w:b/>
          <w:bCs/>
          <w:sz w:val="27"/>
          <w:szCs w:val="27"/>
          <w:rtl/>
        </w:rPr>
        <w:t>و</w:t>
      </w:r>
      <w:r w:rsidR="00C06BE6" w:rsidRPr="00282AC9">
        <w:rPr>
          <w:rFonts w:cs="AL-Mohanad" w:hint="cs"/>
          <w:b/>
          <w:bCs/>
          <w:sz w:val="27"/>
          <w:szCs w:val="27"/>
          <w:rtl/>
        </w:rPr>
        <w:t>الل</w:t>
      </w:r>
      <w:r w:rsidRPr="00282AC9">
        <w:rPr>
          <w:rFonts w:cs="AL-Mohanad" w:hint="cs"/>
          <w:b/>
          <w:bCs/>
          <w:sz w:val="27"/>
          <w:szCs w:val="27"/>
          <w:rtl/>
        </w:rPr>
        <w:t>هُ</w:t>
      </w:r>
      <w:r w:rsidRPr="00282AC9">
        <w:rPr>
          <w:rFonts w:cs="AL-Mohanad"/>
          <w:b/>
          <w:bCs/>
          <w:sz w:val="27"/>
          <w:szCs w:val="27"/>
          <w:rtl/>
        </w:rPr>
        <w:t xml:space="preserve"> </w:t>
      </w:r>
      <w:r w:rsidRPr="00282AC9">
        <w:rPr>
          <w:rFonts w:cs="AL-Mohanad" w:hint="cs"/>
          <w:b/>
          <w:bCs/>
          <w:sz w:val="27"/>
          <w:szCs w:val="27"/>
          <w:rtl/>
        </w:rPr>
        <w:t>أَعْلَمُ</w:t>
      </w:r>
      <w:r w:rsidRPr="00282AC9">
        <w:rPr>
          <w:rFonts w:cs="AL-Mohanad"/>
          <w:b/>
          <w:bCs/>
          <w:sz w:val="27"/>
          <w:szCs w:val="27"/>
          <w:rtl/>
        </w:rPr>
        <w:t xml:space="preserve"> </w:t>
      </w:r>
      <w:r w:rsidRPr="00282AC9">
        <w:rPr>
          <w:rFonts w:cs="AL-Mohanad" w:hint="cs"/>
          <w:b/>
          <w:bCs/>
          <w:sz w:val="27"/>
          <w:szCs w:val="27"/>
          <w:rtl/>
        </w:rPr>
        <w:t>بِإِيمَانِكُمْ</w:t>
      </w:r>
      <w:r w:rsidRPr="00282AC9">
        <w:rPr>
          <w:rFonts w:cs="AL-Mohanad"/>
          <w:b/>
          <w:bCs/>
          <w:sz w:val="27"/>
          <w:szCs w:val="27"/>
          <w:rtl/>
        </w:rPr>
        <w:t xml:space="preserve"> </w:t>
      </w:r>
      <w:r w:rsidRPr="00282AC9">
        <w:rPr>
          <w:rFonts w:cs="AL-Mohanad" w:hint="cs"/>
          <w:b/>
          <w:bCs/>
          <w:sz w:val="27"/>
          <w:szCs w:val="27"/>
          <w:rtl/>
        </w:rPr>
        <w:t>بَعْضُكُمْ</w:t>
      </w:r>
      <w:r w:rsidRPr="00282AC9">
        <w:rPr>
          <w:rFonts w:cs="AL-Mohanad"/>
          <w:b/>
          <w:bCs/>
          <w:sz w:val="27"/>
          <w:szCs w:val="27"/>
          <w:rtl/>
        </w:rPr>
        <w:t xml:space="preserve"> </w:t>
      </w:r>
      <w:r w:rsidRPr="00282AC9">
        <w:rPr>
          <w:rFonts w:cs="AL-Mohanad" w:hint="cs"/>
          <w:b/>
          <w:bCs/>
          <w:sz w:val="27"/>
          <w:szCs w:val="27"/>
          <w:rtl/>
        </w:rPr>
        <w:t>مِنْ</w:t>
      </w:r>
      <w:r w:rsidRPr="00282AC9">
        <w:rPr>
          <w:rFonts w:cs="AL-Mohanad"/>
          <w:b/>
          <w:bCs/>
          <w:sz w:val="27"/>
          <w:szCs w:val="27"/>
          <w:rtl/>
        </w:rPr>
        <w:t xml:space="preserve"> </w:t>
      </w:r>
      <w:r w:rsidRPr="00282AC9">
        <w:rPr>
          <w:rFonts w:cs="AL-Mohanad" w:hint="cs"/>
          <w:b/>
          <w:bCs/>
          <w:sz w:val="27"/>
          <w:szCs w:val="27"/>
          <w:rtl/>
        </w:rPr>
        <w:t>بَعْضٍ</w:t>
      </w:r>
      <w:r w:rsidRPr="00282AC9">
        <w:rPr>
          <w:rFonts w:cs="AL-Mohanad"/>
          <w:b/>
          <w:bCs/>
          <w:sz w:val="27"/>
          <w:szCs w:val="27"/>
          <w:rtl/>
        </w:rPr>
        <w:t xml:space="preserve"> </w:t>
      </w:r>
      <w:r w:rsidRPr="00282AC9">
        <w:rPr>
          <w:rFonts w:cs="AL-Mohanad" w:hint="cs"/>
          <w:b/>
          <w:bCs/>
          <w:sz w:val="27"/>
          <w:szCs w:val="27"/>
          <w:rtl/>
        </w:rPr>
        <w:t>فَانْكِحُوهُنَّ</w:t>
      </w:r>
      <w:r w:rsidRPr="00282AC9">
        <w:rPr>
          <w:rFonts w:cs="AL-Mohanad"/>
          <w:b/>
          <w:bCs/>
          <w:sz w:val="27"/>
          <w:szCs w:val="27"/>
          <w:rtl/>
        </w:rPr>
        <w:t xml:space="preserve"> </w:t>
      </w:r>
      <w:r w:rsidRPr="00282AC9">
        <w:rPr>
          <w:rFonts w:cs="AL-Mohanad" w:hint="cs"/>
          <w:b/>
          <w:bCs/>
          <w:sz w:val="27"/>
          <w:szCs w:val="27"/>
          <w:rtl/>
        </w:rPr>
        <w:t>بِإِذْنِ</w:t>
      </w:r>
      <w:r w:rsidRPr="00282AC9">
        <w:rPr>
          <w:rFonts w:cs="AL-Mohanad"/>
          <w:b/>
          <w:bCs/>
          <w:sz w:val="27"/>
          <w:szCs w:val="27"/>
          <w:rtl/>
        </w:rPr>
        <w:t xml:space="preserve"> </w:t>
      </w:r>
      <w:r w:rsidRPr="00282AC9">
        <w:rPr>
          <w:rFonts w:cs="AL-Mohanad" w:hint="cs"/>
          <w:b/>
          <w:bCs/>
          <w:sz w:val="27"/>
          <w:szCs w:val="27"/>
          <w:rtl/>
        </w:rPr>
        <w:t>أَهْلِهِنَّ</w:t>
      </w:r>
      <w:r w:rsidRPr="00282AC9">
        <w:rPr>
          <w:rFonts w:cs="AL-Mohanad"/>
          <w:b/>
          <w:bCs/>
          <w:sz w:val="27"/>
          <w:szCs w:val="27"/>
          <w:rtl/>
        </w:rPr>
        <w:t xml:space="preserve"> </w:t>
      </w:r>
      <w:r w:rsidRPr="00282AC9">
        <w:rPr>
          <w:rFonts w:cs="AL-Mohanad" w:hint="cs"/>
          <w:b/>
          <w:bCs/>
          <w:sz w:val="27"/>
          <w:szCs w:val="27"/>
          <w:rtl/>
        </w:rPr>
        <w:t>وآتُوهُنّ</w:t>
      </w:r>
      <w:r w:rsidRPr="00282AC9">
        <w:rPr>
          <w:rFonts w:cs="AL-Mohanad"/>
          <w:b/>
          <w:bCs/>
          <w:sz w:val="27"/>
          <w:szCs w:val="27"/>
          <w:rtl/>
        </w:rPr>
        <w:t>َ أُجُورَهُنَّ بِالْمَعْرُوفِ مُحْصَنَاتٍ غَيْرَ مُسَافِحَاتٍ ولاَ مُتَّخِذَاتِ أَخْدَانٍ فَإِذَا أُحْصِنَّ فَإِنْ أَتَيْنَ بِفَاحِشَةٍ فَعَلَيْهِنَّ نِصْفُ مَا عَلَى الْمُحْصَنَاتِ مِنَ الْعَذَابِ ذ</w:t>
      </w:r>
      <w:r w:rsidRPr="00282AC9">
        <w:rPr>
          <w:rFonts w:cs="AL-Mohanad" w:hint="cs"/>
          <w:b/>
          <w:bCs/>
          <w:sz w:val="27"/>
          <w:szCs w:val="27"/>
          <w:rtl/>
        </w:rPr>
        <w:t>لِكَ</w:t>
      </w:r>
      <w:r w:rsidRPr="00282AC9">
        <w:rPr>
          <w:rFonts w:cs="AL-Mohanad"/>
          <w:b/>
          <w:bCs/>
          <w:sz w:val="27"/>
          <w:szCs w:val="27"/>
          <w:rtl/>
        </w:rPr>
        <w:t xml:space="preserve"> </w:t>
      </w:r>
      <w:r w:rsidRPr="00282AC9">
        <w:rPr>
          <w:rFonts w:cs="AL-Mohanad" w:hint="cs"/>
          <w:b/>
          <w:bCs/>
          <w:sz w:val="27"/>
          <w:szCs w:val="27"/>
          <w:rtl/>
        </w:rPr>
        <w:t>لِمَنْ</w:t>
      </w:r>
      <w:r w:rsidRPr="00282AC9">
        <w:rPr>
          <w:rFonts w:cs="AL-Mohanad"/>
          <w:b/>
          <w:bCs/>
          <w:sz w:val="27"/>
          <w:szCs w:val="27"/>
          <w:rtl/>
        </w:rPr>
        <w:t xml:space="preserve"> </w:t>
      </w:r>
      <w:r w:rsidRPr="00282AC9">
        <w:rPr>
          <w:rFonts w:cs="AL-Mohanad" w:hint="cs"/>
          <w:b/>
          <w:bCs/>
          <w:sz w:val="27"/>
          <w:szCs w:val="27"/>
          <w:rtl/>
        </w:rPr>
        <w:t>خَشِيَ</w:t>
      </w:r>
      <w:r w:rsidRPr="00282AC9">
        <w:rPr>
          <w:rFonts w:cs="AL-Mohanad"/>
          <w:b/>
          <w:bCs/>
          <w:sz w:val="27"/>
          <w:szCs w:val="27"/>
          <w:rtl/>
        </w:rPr>
        <w:t xml:space="preserve"> </w:t>
      </w:r>
      <w:r w:rsidRPr="00282AC9">
        <w:rPr>
          <w:rFonts w:cs="AL-Mohanad" w:hint="cs"/>
          <w:b/>
          <w:bCs/>
          <w:sz w:val="27"/>
          <w:szCs w:val="27"/>
          <w:rtl/>
        </w:rPr>
        <w:t>الْعَنَتَ</w:t>
      </w:r>
      <w:r w:rsidRPr="00282AC9">
        <w:rPr>
          <w:rFonts w:cs="AL-Mohanad"/>
          <w:b/>
          <w:bCs/>
          <w:sz w:val="27"/>
          <w:szCs w:val="27"/>
          <w:rtl/>
        </w:rPr>
        <w:t xml:space="preserve"> </w:t>
      </w:r>
      <w:r w:rsidRPr="00282AC9">
        <w:rPr>
          <w:rFonts w:cs="AL-Mohanad" w:hint="cs"/>
          <w:b/>
          <w:bCs/>
          <w:sz w:val="27"/>
          <w:szCs w:val="27"/>
          <w:rtl/>
        </w:rPr>
        <w:t>مِنْكُمْ</w:t>
      </w:r>
      <w:r w:rsidRPr="00282AC9">
        <w:rPr>
          <w:rFonts w:cs="AL-Mohanad"/>
          <w:b/>
          <w:bCs/>
          <w:sz w:val="27"/>
          <w:szCs w:val="27"/>
          <w:rtl/>
        </w:rPr>
        <w:t xml:space="preserve"> </w:t>
      </w:r>
      <w:r w:rsidRPr="00282AC9">
        <w:rPr>
          <w:rFonts w:cs="AL-Mohanad" w:hint="cs"/>
          <w:b/>
          <w:bCs/>
          <w:sz w:val="27"/>
          <w:szCs w:val="27"/>
          <w:rtl/>
        </w:rPr>
        <w:t>وأَنْ</w:t>
      </w:r>
      <w:r w:rsidRPr="00282AC9">
        <w:rPr>
          <w:rFonts w:cs="AL-Mohanad"/>
          <w:b/>
          <w:bCs/>
          <w:sz w:val="27"/>
          <w:szCs w:val="27"/>
          <w:rtl/>
        </w:rPr>
        <w:t xml:space="preserve"> </w:t>
      </w:r>
      <w:r w:rsidRPr="00282AC9">
        <w:rPr>
          <w:rFonts w:cs="AL-Mohanad" w:hint="cs"/>
          <w:b/>
          <w:bCs/>
          <w:sz w:val="27"/>
          <w:szCs w:val="27"/>
          <w:rtl/>
        </w:rPr>
        <w:t>تَصْبِرُوا</w:t>
      </w:r>
      <w:r w:rsidRPr="00282AC9">
        <w:rPr>
          <w:rFonts w:cs="AL-Mohanad"/>
          <w:b/>
          <w:bCs/>
          <w:sz w:val="27"/>
          <w:szCs w:val="27"/>
          <w:rtl/>
        </w:rPr>
        <w:t xml:space="preserve"> </w:t>
      </w:r>
      <w:r w:rsidRPr="00282AC9">
        <w:rPr>
          <w:rFonts w:cs="AL-Mohanad" w:hint="cs"/>
          <w:b/>
          <w:bCs/>
          <w:sz w:val="27"/>
          <w:szCs w:val="27"/>
          <w:rtl/>
        </w:rPr>
        <w:t>خ</w:t>
      </w:r>
      <w:r w:rsidRPr="00282AC9">
        <w:rPr>
          <w:rFonts w:cs="AL-Mohanad"/>
          <w:b/>
          <w:bCs/>
          <w:sz w:val="27"/>
          <w:szCs w:val="27"/>
          <w:rtl/>
        </w:rPr>
        <w:t>َيْرٌ لَكُمْ و</w:t>
      </w:r>
      <w:r w:rsidR="00C06BE6" w:rsidRPr="00282AC9">
        <w:rPr>
          <w:rFonts w:cs="AL-Mohanad"/>
          <w:b/>
          <w:bCs/>
          <w:sz w:val="27"/>
          <w:szCs w:val="27"/>
          <w:rtl/>
        </w:rPr>
        <w:t>الل</w:t>
      </w:r>
      <w:r w:rsidRPr="00282AC9">
        <w:rPr>
          <w:rFonts w:cs="AL-Mohanad"/>
          <w:b/>
          <w:bCs/>
          <w:sz w:val="27"/>
          <w:szCs w:val="27"/>
          <w:rtl/>
        </w:rPr>
        <w:t>هُ غَفُورٌ رَحِيمٌ</w:t>
      </w:r>
      <w:r w:rsidR="00C5291F" w:rsidRPr="00282AC9">
        <w:rPr>
          <w:rFonts w:ascii="Mosawi" w:hAnsi="Mosawi" w:cs="Mosawi"/>
          <w:sz w:val="24"/>
          <w:szCs w:val="24"/>
          <w:rtl/>
        </w:rPr>
        <w:t>﴾</w:t>
      </w:r>
      <w:r w:rsidRPr="00282AC9">
        <w:rPr>
          <w:rFonts w:cs="AL-Mohanad"/>
          <w:sz w:val="27"/>
          <w:szCs w:val="27"/>
          <w:rtl/>
        </w:rPr>
        <w:t xml:space="preserve"> (</w:t>
      </w:r>
      <w:r w:rsidRPr="00282AC9">
        <w:rPr>
          <w:rFonts w:cs="AL-Mohanad" w:hint="cs"/>
          <w:sz w:val="27"/>
          <w:szCs w:val="27"/>
          <w:rtl/>
        </w:rPr>
        <w:t>النساء</w:t>
      </w:r>
      <w:r w:rsidRPr="00282AC9">
        <w:rPr>
          <w:rFonts w:cs="AL-Mohanad"/>
          <w:sz w:val="27"/>
          <w:szCs w:val="27"/>
          <w:rtl/>
        </w:rPr>
        <w:t>: 25)</w:t>
      </w:r>
      <w:r w:rsidR="00E445CC" w:rsidRPr="00282AC9">
        <w:rPr>
          <w:rFonts w:cs="AL-Mohanad" w:hint="cs"/>
          <w:sz w:val="27"/>
          <w:szCs w:val="27"/>
          <w:rtl/>
        </w:rPr>
        <w:t>.</w:t>
      </w:r>
    </w:p>
    <w:p w:rsidR="001153F1" w:rsidRPr="00282AC9" w:rsidRDefault="001153F1" w:rsidP="003E218F">
      <w:pPr>
        <w:pStyle w:val="afe"/>
        <w:spacing w:after="0" w:line="400" w:lineRule="exact"/>
        <w:ind w:left="0" w:firstLine="567"/>
        <w:jc w:val="both"/>
        <w:rPr>
          <w:rFonts w:cs="AL-Mohanad"/>
          <w:sz w:val="27"/>
          <w:szCs w:val="27"/>
        </w:rPr>
      </w:pPr>
      <w:r w:rsidRPr="00282AC9">
        <w:rPr>
          <w:rFonts w:cs="AL-Mohanad" w:hint="cs"/>
          <w:b/>
          <w:bCs/>
          <w:sz w:val="27"/>
          <w:szCs w:val="27"/>
          <w:rtl/>
        </w:rPr>
        <w:t>3ـ العفاف والإيمان</w:t>
      </w:r>
      <w:r w:rsidRPr="00282AC9">
        <w:rPr>
          <w:rFonts w:cs="AL-Mohanad" w:hint="cs"/>
          <w:sz w:val="27"/>
          <w:szCs w:val="27"/>
          <w:rtl/>
        </w:rPr>
        <w:t xml:space="preserve">: </w:t>
      </w:r>
      <w:r w:rsidR="00C5291F" w:rsidRPr="00282AC9">
        <w:rPr>
          <w:rFonts w:ascii="Mosawi" w:hAnsi="Mosawi" w:cs="Mosawi"/>
          <w:sz w:val="24"/>
          <w:szCs w:val="24"/>
          <w:rtl/>
        </w:rPr>
        <w:t>﴿</w:t>
      </w:r>
      <w:r w:rsidRPr="00282AC9">
        <w:rPr>
          <w:rFonts w:cs="AL-Mohanad" w:hint="cs"/>
          <w:b/>
          <w:bCs/>
          <w:sz w:val="27"/>
          <w:szCs w:val="27"/>
          <w:rtl/>
        </w:rPr>
        <w:t>الزَّانِي</w:t>
      </w:r>
      <w:r w:rsidRPr="00282AC9">
        <w:rPr>
          <w:rFonts w:cs="AL-Mohanad"/>
          <w:b/>
          <w:bCs/>
          <w:sz w:val="27"/>
          <w:szCs w:val="27"/>
          <w:rtl/>
        </w:rPr>
        <w:t xml:space="preserve"> </w:t>
      </w:r>
      <w:r w:rsidRPr="00282AC9">
        <w:rPr>
          <w:rFonts w:cs="AL-Mohanad" w:hint="cs"/>
          <w:b/>
          <w:bCs/>
          <w:sz w:val="27"/>
          <w:szCs w:val="27"/>
          <w:rtl/>
        </w:rPr>
        <w:t>لاَ</w:t>
      </w:r>
      <w:r w:rsidRPr="00282AC9">
        <w:rPr>
          <w:rFonts w:cs="AL-Mohanad"/>
          <w:b/>
          <w:bCs/>
          <w:sz w:val="27"/>
          <w:szCs w:val="27"/>
          <w:rtl/>
        </w:rPr>
        <w:t xml:space="preserve"> </w:t>
      </w:r>
      <w:r w:rsidRPr="00282AC9">
        <w:rPr>
          <w:rFonts w:cs="AL-Mohanad" w:hint="cs"/>
          <w:b/>
          <w:bCs/>
          <w:sz w:val="27"/>
          <w:szCs w:val="27"/>
          <w:rtl/>
        </w:rPr>
        <w:t>يَنْكِحُ</w:t>
      </w:r>
      <w:r w:rsidRPr="00282AC9">
        <w:rPr>
          <w:rFonts w:cs="AL-Mohanad"/>
          <w:b/>
          <w:bCs/>
          <w:sz w:val="27"/>
          <w:szCs w:val="27"/>
          <w:rtl/>
        </w:rPr>
        <w:t xml:space="preserve"> </w:t>
      </w:r>
      <w:r w:rsidRPr="00282AC9">
        <w:rPr>
          <w:rFonts w:cs="AL-Mohanad" w:hint="cs"/>
          <w:b/>
          <w:bCs/>
          <w:sz w:val="27"/>
          <w:szCs w:val="27"/>
          <w:rtl/>
        </w:rPr>
        <w:t>إِلاَّ</w:t>
      </w:r>
      <w:r w:rsidRPr="00282AC9">
        <w:rPr>
          <w:rFonts w:cs="AL-Mohanad"/>
          <w:b/>
          <w:bCs/>
          <w:sz w:val="27"/>
          <w:szCs w:val="27"/>
          <w:rtl/>
        </w:rPr>
        <w:t xml:space="preserve"> </w:t>
      </w:r>
      <w:r w:rsidRPr="00282AC9">
        <w:rPr>
          <w:rFonts w:cs="AL-Mohanad" w:hint="cs"/>
          <w:b/>
          <w:bCs/>
          <w:sz w:val="27"/>
          <w:szCs w:val="27"/>
          <w:rtl/>
        </w:rPr>
        <w:t>زَانِيَةً</w:t>
      </w:r>
      <w:r w:rsidRPr="00282AC9">
        <w:rPr>
          <w:rFonts w:cs="AL-Mohanad"/>
          <w:b/>
          <w:bCs/>
          <w:sz w:val="27"/>
          <w:szCs w:val="27"/>
          <w:rtl/>
        </w:rPr>
        <w:t xml:space="preserve"> </w:t>
      </w:r>
      <w:r w:rsidRPr="00282AC9">
        <w:rPr>
          <w:rFonts w:cs="AL-Mohanad" w:hint="cs"/>
          <w:b/>
          <w:bCs/>
          <w:sz w:val="27"/>
          <w:szCs w:val="27"/>
          <w:rtl/>
        </w:rPr>
        <w:t>أَوْ</w:t>
      </w:r>
      <w:r w:rsidRPr="00282AC9">
        <w:rPr>
          <w:rFonts w:cs="AL-Mohanad"/>
          <w:b/>
          <w:bCs/>
          <w:sz w:val="27"/>
          <w:szCs w:val="27"/>
          <w:rtl/>
        </w:rPr>
        <w:t xml:space="preserve"> </w:t>
      </w:r>
      <w:r w:rsidRPr="00282AC9">
        <w:rPr>
          <w:rFonts w:cs="AL-Mohanad" w:hint="cs"/>
          <w:b/>
          <w:bCs/>
          <w:sz w:val="27"/>
          <w:szCs w:val="27"/>
          <w:rtl/>
        </w:rPr>
        <w:t>مُشْرِكَةً</w:t>
      </w:r>
      <w:r w:rsidRPr="00282AC9">
        <w:rPr>
          <w:rFonts w:cs="AL-Mohanad"/>
          <w:b/>
          <w:bCs/>
          <w:sz w:val="27"/>
          <w:szCs w:val="27"/>
          <w:rtl/>
        </w:rPr>
        <w:t xml:space="preserve"> </w:t>
      </w:r>
      <w:r w:rsidRPr="00282AC9">
        <w:rPr>
          <w:rFonts w:cs="AL-Mohanad" w:hint="cs"/>
          <w:b/>
          <w:bCs/>
          <w:sz w:val="27"/>
          <w:szCs w:val="27"/>
          <w:rtl/>
        </w:rPr>
        <w:t>والزَّانِيَةُ</w:t>
      </w:r>
      <w:r w:rsidRPr="00282AC9">
        <w:rPr>
          <w:rFonts w:cs="AL-Mohanad"/>
          <w:b/>
          <w:bCs/>
          <w:sz w:val="27"/>
          <w:szCs w:val="27"/>
          <w:rtl/>
        </w:rPr>
        <w:t xml:space="preserve"> </w:t>
      </w:r>
      <w:r w:rsidRPr="00282AC9">
        <w:rPr>
          <w:rFonts w:cs="AL-Mohanad" w:hint="cs"/>
          <w:b/>
          <w:bCs/>
          <w:sz w:val="27"/>
          <w:szCs w:val="27"/>
          <w:rtl/>
        </w:rPr>
        <w:t>لاَ</w:t>
      </w:r>
      <w:r w:rsidRPr="00282AC9">
        <w:rPr>
          <w:rFonts w:cs="AL-Mohanad"/>
          <w:b/>
          <w:bCs/>
          <w:sz w:val="27"/>
          <w:szCs w:val="27"/>
          <w:rtl/>
        </w:rPr>
        <w:t xml:space="preserve"> </w:t>
      </w:r>
      <w:r w:rsidRPr="00282AC9">
        <w:rPr>
          <w:rFonts w:cs="AL-Mohanad" w:hint="cs"/>
          <w:b/>
          <w:bCs/>
          <w:sz w:val="27"/>
          <w:szCs w:val="27"/>
          <w:rtl/>
        </w:rPr>
        <w:t>يَنْكِحُهَا</w:t>
      </w:r>
      <w:r w:rsidRPr="00282AC9">
        <w:rPr>
          <w:rFonts w:cs="AL-Mohanad"/>
          <w:b/>
          <w:bCs/>
          <w:sz w:val="27"/>
          <w:szCs w:val="27"/>
          <w:rtl/>
        </w:rPr>
        <w:t xml:space="preserve"> </w:t>
      </w:r>
      <w:r w:rsidRPr="00282AC9">
        <w:rPr>
          <w:rFonts w:cs="AL-Mohanad" w:hint="cs"/>
          <w:b/>
          <w:bCs/>
          <w:sz w:val="27"/>
          <w:szCs w:val="27"/>
          <w:rtl/>
        </w:rPr>
        <w:t>إِلاَّ</w:t>
      </w:r>
      <w:r w:rsidRPr="00282AC9">
        <w:rPr>
          <w:rFonts w:cs="AL-Mohanad"/>
          <w:b/>
          <w:bCs/>
          <w:sz w:val="27"/>
          <w:szCs w:val="27"/>
          <w:rtl/>
        </w:rPr>
        <w:t xml:space="preserve"> </w:t>
      </w:r>
      <w:r w:rsidRPr="00282AC9">
        <w:rPr>
          <w:rFonts w:cs="AL-Mohanad" w:hint="cs"/>
          <w:b/>
          <w:bCs/>
          <w:sz w:val="27"/>
          <w:szCs w:val="27"/>
          <w:rtl/>
        </w:rPr>
        <w:t>زَانٍ</w:t>
      </w:r>
      <w:r w:rsidRPr="00282AC9">
        <w:rPr>
          <w:rFonts w:cs="AL-Mohanad"/>
          <w:b/>
          <w:bCs/>
          <w:sz w:val="27"/>
          <w:szCs w:val="27"/>
          <w:rtl/>
        </w:rPr>
        <w:t xml:space="preserve"> </w:t>
      </w:r>
      <w:r w:rsidRPr="00282AC9">
        <w:rPr>
          <w:rFonts w:cs="AL-Mohanad" w:hint="cs"/>
          <w:b/>
          <w:bCs/>
          <w:sz w:val="27"/>
          <w:szCs w:val="27"/>
          <w:rtl/>
        </w:rPr>
        <w:t>أَوْ</w:t>
      </w:r>
      <w:r w:rsidRPr="00282AC9">
        <w:rPr>
          <w:rFonts w:cs="AL-Mohanad"/>
          <w:b/>
          <w:bCs/>
          <w:sz w:val="27"/>
          <w:szCs w:val="27"/>
          <w:rtl/>
        </w:rPr>
        <w:t xml:space="preserve"> </w:t>
      </w:r>
      <w:r w:rsidRPr="00282AC9">
        <w:rPr>
          <w:rFonts w:cs="AL-Mohanad" w:hint="cs"/>
          <w:b/>
          <w:bCs/>
          <w:sz w:val="27"/>
          <w:szCs w:val="27"/>
          <w:rtl/>
        </w:rPr>
        <w:t>مُشْرِكٌ</w:t>
      </w:r>
      <w:r w:rsidRPr="00282AC9">
        <w:rPr>
          <w:rFonts w:cs="AL-Mohanad"/>
          <w:b/>
          <w:bCs/>
          <w:sz w:val="27"/>
          <w:szCs w:val="27"/>
          <w:rtl/>
        </w:rPr>
        <w:t xml:space="preserve"> </w:t>
      </w:r>
      <w:r w:rsidRPr="00282AC9">
        <w:rPr>
          <w:rFonts w:cs="AL-Mohanad" w:hint="cs"/>
          <w:b/>
          <w:bCs/>
          <w:sz w:val="27"/>
          <w:szCs w:val="27"/>
          <w:rtl/>
        </w:rPr>
        <w:t>وحُرِّمَ</w:t>
      </w:r>
      <w:r w:rsidRPr="00282AC9">
        <w:rPr>
          <w:rFonts w:cs="AL-Mohanad"/>
          <w:b/>
          <w:bCs/>
          <w:sz w:val="27"/>
          <w:szCs w:val="27"/>
          <w:rtl/>
        </w:rPr>
        <w:t xml:space="preserve"> </w:t>
      </w:r>
      <w:r w:rsidRPr="00282AC9">
        <w:rPr>
          <w:rFonts w:cs="AL-Mohanad" w:hint="cs"/>
          <w:b/>
          <w:bCs/>
          <w:sz w:val="27"/>
          <w:szCs w:val="27"/>
          <w:rtl/>
        </w:rPr>
        <w:t>ذلِكَ</w:t>
      </w:r>
      <w:r w:rsidRPr="00282AC9">
        <w:rPr>
          <w:rFonts w:cs="AL-Mohanad"/>
          <w:b/>
          <w:bCs/>
          <w:sz w:val="27"/>
          <w:szCs w:val="27"/>
          <w:rtl/>
        </w:rPr>
        <w:t xml:space="preserve"> </w:t>
      </w:r>
      <w:r w:rsidRPr="00282AC9">
        <w:rPr>
          <w:rFonts w:cs="AL-Mohanad" w:hint="cs"/>
          <w:b/>
          <w:bCs/>
          <w:sz w:val="27"/>
          <w:szCs w:val="27"/>
          <w:rtl/>
        </w:rPr>
        <w:t>عَلَى</w:t>
      </w:r>
      <w:r w:rsidRPr="00282AC9">
        <w:rPr>
          <w:rFonts w:cs="AL-Mohanad"/>
          <w:b/>
          <w:bCs/>
          <w:sz w:val="27"/>
          <w:szCs w:val="27"/>
          <w:rtl/>
        </w:rPr>
        <w:t xml:space="preserve"> </w:t>
      </w:r>
      <w:r w:rsidRPr="00282AC9">
        <w:rPr>
          <w:rFonts w:cs="AL-Mohanad" w:hint="cs"/>
          <w:b/>
          <w:bCs/>
          <w:sz w:val="27"/>
          <w:szCs w:val="27"/>
          <w:rtl/>
        </w:rPr>
        <w:t>الْمُؤْمِنِينَ</w:t>
      </w:r>
      <w:r w:rsidR="00C5291F" w:rsidRPr="00282AC9">
        <w:rPr>
          <w:rFonts w:ascii="Mosawi" w:hAnsi="Mosawi" w:cs="Mosawi"/>
          <w:sz w:val="24"/>
          <w:szCs w:val="24"/>
          <w:rtl/>
        </w:rPr>
        <w:t>﴾</w:t>
      </w:r>
      <w:r w:rsidRPr="00282AC9">
        <w:rPr>
          <w:rFonts w:cs="AL-Mohanad"/>
          <w:sz w:val="27"/>
          <w:szCs w:val="27"/>
          <w:rtl/>
        </w:rPr>
        <w:t xml:space="preserve"> (</w:t>
      </w:r>
      <w:r w:rsidRPr="00282AC9">
        <w:rPr>
          <w:rFonts w:cs="AL-Mohanad" w:hint="cs"/>
          <w:sz w:val="27"/>
          <w:szCs w:val="27"/>
          <w:rtl/>
        </w:rPr>
        <w:t>النور</w:t>
      </w:r>
      <w:r w:rsidRPr="00282AC9">
        <w:rPr>
          <w:rFonts w:cs="AL-Mohanad"/>
          <w:sz w:val="27"/>
          <w:szCs w:val="27"/>
          <w:rtl/>
        </w:rPr>
        <w:t>: 3)</w:t>
      </w:r>
      <w:r w:rsidR="00E445CC" w:rsidRPr="00282AC9">
        <w:rPr>
          <w:rFonts w:cs="AL-Mohanad" w:hint="cs"/>
          <w:sz w:val="27"/>
          <w:szCs w:val="27"/>
          <w:rtl/>
        </w:rPr>
        <w:t>.</w:t>
      </w:r>
    </w:p>
    <w:p w:rsidR="001153F1" w:rsidRPr="00282AC9" w:rsidRDefault="001153F1" w:rsidP="003E218F">
      <w:pPr>
        <w:pStyle w:val="afe"/>
        <w:spacing w:after="0" w:line="400" w:lineRule="exact"/>
        <w:ind w:left="0" w:firstLine="567"/>
        <w:jc w:val="both"/>
        <w:rPr>
          <w:rFonts w:cs="AL-Mohanad"/>
          <w:sz w:val="27"/>
          <w:szCs w:val="27"/>
        </w:rPr>
      </w:pPr>
      <w:r w:rsidRPr="00282AC9">
        <w:rPr>
          <w:rFonts w:cs="AL-Mohanad" w:hint="cs"/>
          <w:b/>
          <w:bCs/>
          <w:sz w:val="27"/>
          <w:szCs w:val="27"/>
          <w:rtl/>
        </w:rPr>
        <w:t>4ـ الإيمان</w:t>
      </w:r>
      <w:r w:rsidRPr="00282AC9">
        <w:rPr>
          <w:rFonts w:cs="AL-Mohanad" w:hint="cs"/>
          <w:sz w:val="27"/>
          <w:szCs w:val="27"/>
          <w:rtl/>
        </w:rPr>
        <w:t xml:space="preserve">: </w:t>
      </w:r>
      <w:r w:rsidR="00C5291F" w:rsidRPr="00282AC9">
        <w:rPr>
          <w:rFonts w:ascii="Mosawi" w:hAnsi="Mosawi" w:cs="Mosawi"/>
          <w:sz w:val="24"/>
          <w:szCs w:val="24"/>
          <w:rtl/>
        </w:rPr>
        <w:t>﴿</w:t>
      </w:r>
      <w:r w:rsidRPr="00282AC9">
        <w:rPr>
          <w:rFonts w:cs="AL-Mohanad" w:hint="cs"/>
          <w:b/>
          <w:bCs/>
          <w:sz w:val="27"/>
          <w:szCs w:val="27"/>
          <w:rtl/>
        </w:rPr>
        <w:t>وَلاَ</w:t>
      </w:r>
      <w:r w:rsidRPr="00282AC9">
        <w:rPr>
          <w:rFonts w:cs="AL-Mohanad"/>
          <w:b/>
          <w:bCs/>
          <w:sz w:val="27"/>
          <w:szCs w:val="27"/>
          <w:rtl/>
        </w:rPr>
        <w:t xml:space="preserve"> </w:t>
      </w:r>
      <w:r w:rsidRPr="00282AC9">
        <w:rPr>
          <w:rFonts w:cs="AL-Mohanad" w:hint="cs"/>
          <w:b/>
          <w:bCs/>
          <w:sz w:val="27"/>
          <w:szCs w:val="27"/>
          <w:rtl/>
        </w:rPr>
        <w:t>تَنْكِح</w:t>
      </w:r>
      <w:r w:rsidRPr="00282AC9">
        <w:rPr>
          <w:rFonts w:cs="AL-Mohanad"/>
          <w:b/>
          <w:bCs/>
          <w:sz w:val="27"/>
          <w:szCs w:val="27"/>
          <w:rtl/>
        </w:rPr>
        <w:t xml:space="preserve">ُوا الْمُشْرِكَاتِ حَتَّى يُؤْمِنَّ ولَأَمَةٌ مُؤْمِنَةٌ خَيْرٌ مِنْ مُشْرِكَةٍ ولَوْ أَعْجَبَتْكُمْ ولاَ تُنْكِحُوا الْمُشْرِكِينَ حَتَّى يُؤْمِنُوا ولَعَبْدٌ مُؤْمِنٌ خَيْرٌ مِنْ </w:t>
      </w:r>
      <w:r w:rsidRPr="00282AC9">
        <w:rPr>
          <w:rFonts w:cs="AL-Mohanad"/>
          <w:b/>
          <w:bCs/>
          <w:sz w:val="27"/>
          <w:szCs w:val="27"/>
          <w:rtl/>
        </w:rPr>
        <w:lastRenderedPageBreak/>
        <w:t>مُشْرِكٍ ولَوْ أَعْجَبَكُمْ أُول</w:t>
      </w:r>
      <w:r w:rsidRPr="00282AC9">
        <w:rPr>
          <w:rFonts w:cs="AL-Mohanad" w:hint="cs"/>
          <w:b/>
          <w:bCs/>
          <w:sz w:val="27"/>
          <w:szCs w:val="27"/>
          <w:rtl/>
        </w:rPr>
        <w:t>ئِكَ</w:t>
      </w:r>
      <w:r w:rsidRPr="00282AC9">
        <w:rPr>
          <w:rFonts w:cs="AL-Mohanad"/>
          <w:b/>
          <w:bCs/>
          <w:sz w:val="27"/>
          <w:szCs w:val="27"/>
          <w:rtl/>
        </w:rPr>
        <w:t xml:space="preserve"> </w:t>
      </w:r>
      <w:r w:rsidRPr="00282AC9">
        <w:rPr>
          <w:rFonts w:cs="AL-Mohanad" w:hint="cs"/>
          <w:b/>
          <w:bCs/>
          <w:sz w:val="27"/>
          <w:szCs w:val="27"/>
          <w:rtl/>
        </w:rPr>
        <w:t>يَدْعُونَ</w:t>
      </w:r>
      <w:r w:rsidRPr="00282AC9">
        <w:rPr>
          <w:rFonts w:cs="AL-Mohanad"/>
          <w:b/>
          <w:bCs/>
          <w:sz w:val="27"/>
          <w:szCs w:val="27"/>
          <w:rtl/>
        </w:rPr>
        <w:t xml:space="preserve"> </w:t>
      </w:r>
      <w:r w:rsidRPr="00282AC9">
        <w:rPr>
          <w:rFonts w:cs="AL-Mohanad" w:hint="cs"/>
          <w:b/>
          <w:bCs/>
          <w:sz w:val="27"/>
          <w:szCs w:val="27"/>
          <w:rtl/>
        </w:rPr>
        <w:t>إِلَى</w:t>
      </w:r>
      <w:r w:rsidRPr="00282AC9">
        <w:rPr>
          <w:rFonts w:cs="AL-Mohanad"/>
          <w:b/>
          <w:bCs/>
          <w:sz w:val="27"/>
          <w:szCs w:val="27"/>
          <w:rtl/>
        </w:rPr>
        <w:t xml:space="preserve"> </w:t>
      </w:r>
      <w:r w:rsidRPr="00282AC9">
        <w:rPr>
          <w:rFonts w:cs="AL-Mohanad" w:hint="cs"/>
          <w:b/>
          <w:bCs/>
          <w:sz w:val="27"/>
          <w:szCs w:val="27"/>
          <w:rtl/>
        </w:rPr>
        <w:t>النَّارِ</w:t>
      </w:r>
      <w:r w:rsidRPr="00282AC9">
        <w:rPr>
          <w:rFonts w:cs="AL-Mohanad"/>
          <w:b/>
          <w:bCs/>
          <w:sz w:val="27"/>
          <w:szCs w:val="27"/>
          <w:rtl/>
        </w:rPr>
        <w:t xml:space="preserve"> </w:t>
      </w:r>
      <w:r w:rsidRPr="00282AC9">
        <w:rPr>
          <w:rFonts w:cs="AL-Mohanad" w:hint="cs"/>
          <w:b/>
          <w:bCs/>
          <w:sz w:val="27"/>
          <w:szCs w:val="27"/>
          <w:rtl/>
        </w:rPr>
        <w:t>و</w:t>
      </w:r>
      <w:r w:rsidR="00C06BE6" w:rsidRPr="00282AC9">
        <w:rPr>
          <w:rFonts w:cs="AL-Mohanad" w:hint="cs"/>
          <w:b/>
          <w:bCs/>
          <w:sz w:val="27"/>
          <w:szCs w:val="27"/>
          <w:rtl/>
        </w:rPr>
        <w:t>الل</w:t>
      </w:r>
      <w:r w:rsidRPr="00282AC9">
        <w:rPr>
          <w:rFonts w:cs="AL-Mohanad" w:hint="cs"/>
          <w:b/>
          <w:bCs/>
          <w:sz w:val="27"/>
          <w:szCs w:val="27"/>
          <w:rtl/>
        </w:rPr>
        <w:t>هُ</w:t>
      </w:r>
      <w:r w:rsidRPr="00282AC9">
        <w:rPr>
          <w:rFonts w:cs="AL-Mohanad"/>
          <w:b/>
          <w:bCs/>
          <w:sz w:val="27"/>
          <w:szCs w:val="27"/>
          <w:rtl/>
        </w:rPr>
        <w:t xml:space="preserve"> </w:t>
      </w:r>
      <w:r w:rsidRPr="00282AC9">
        <w:rPr>
          <w:rFonts w:cs="AL-Mohanad" w:hint="cs"/>
          <w:b/>
          <w:bCs/>
          <w:sz w:val="27"/>
          <w:szCs w:val="27"/>
          <w:rtl/>
        </w:rPr>
        <w:t>يَد</w:t>
      </w:r>
      <w:r w:rsidRPr="00282AC9">
        <w:rPr>
          <w:rFonts w:cs="AL-Mohanad"/>
          <w:b/>
          <w:bCs/>
          <w:sz w:val="27"/>
          <w:szCs w:val="27"/>
          <w:rtl/>
        </w:rPr>
        <w:t>ْعُو إِلَى الْجَنَّةِ والْمَغْفِرَةِ بِإِذْنِهِ ويُبَيِّنُ آيَاتِهِ لِلنَّاسِ لَعَلَّهُمْ يَتَذَكَّرُونَ</w:t>
      </w:r>
      <w:r w:rsidR="00C5291F" w:rsidRPr="00282AC9">
        <w:rPr>
          <w:rFonts w:ascii="Mosawi" w:hAnsi="Mosawi" w:cs="Mosawi"/>
          <w:sz w:val="24"/>
          <w:szCs w:val="24"/>
          <w:rtl/>
        </w:rPr>
        <w:t>﴾</w:t>
      </w:r>
      <w:r w:rsidRPr="00282AC9">
        <w:rPr>
          <w:rFonts w:cs="AL-Mohanad"/>
          <w:sz w:val="27"/>
          <w:szCs w:val="27"/>
          <w:rtl/>
        </w:rPr>
        <w:t xml:space="preserve"> (</w:t>
      </w:r>
      <w:r w:rsidRPr="00282AC9">
        <w:rPr>
          <w:rFonts w:cs="AL-Mohanad" w:hint="cs"/>
          <w:sz w:val="27"/>
          <w:szCs w:val="27"/>
          <w:rtl/>
        </w:rPr>
        <w:t>البقرة</w:t>
      </w:r>
      <w:r w:rsidRPr="00282AC9">
        <w:rPr>
          <w:rFonts w:cs="AL-Mohanad"/>
          <w:sz w:val="27"/>
          <w:szCs w:val="27"/>
          <w:rtl/>
        </w:rPr>
        <w:t>: 221)</w:t>
      </w:r>
      <w:r w:rsidR="00E445CC" w:rsidRPr="00282AC9">
        <w:rPr>
          <w:rFonts w:cs="AL-Mohanad" w:hint="cs"/>
          <w:sz w:val="27"/>
          <w:szCs w:val="27"/>
          <w:rtl/>
        </w:rPr>
        <w:t>؛</w:t>
      </w:r>
      <w:r w:rsidRPr="00282AC9">
        <w:rPr>
          <w:rFonts w:cs="AL-Mohanad" w:hint="cs"/>
          <w:sz w:val="27"/>
          <w:szCs w:val="27"/>
          <w:rtl/>
        </w:rPr>
        <w:t xml:space="preserve"> وكذلك</w:t>
      </w:r>
      <w:r w:rsidR="00E445CC" w:rsidRPr="00282AC9">
        <w:rPr>
          <w:rFonts w:ascii="Mosawi" w:hAnsi="Mosawi" w:cs="Mosawi" w:hint="cs"/>
          <w:sz w:val="24"/>
          <w:szCs w:val="24"/>
          <w:rtl/>
        </w:rPr>
        <w:t xml:space="preserve"> </w:t>
      </w:r>
      <w:r w:rsidR="00C5291F" w:rsidRPr="00282AC9">
        <w:rPr>
          <w:rFonts w:ascii="Mosawi" w:hAnsi="Mosawi" w:cs="Mosawi"/>
          <w:sz w:val="24"/>
          <w:szCs w:val="24"/>
          <w:rtl/>
        </w:rPr>
        <w:t>﴿</w:t>
      </w:r>
      <w:r w:rsidRPr="00282AC9">
        <w:rPr>
          <w:rFonts w:cs="AL-Mohanad" w:hint="cs"/>
          <w:b/>
          <w:bCs/>
          <w:sz w:val="27"/>
          <w:szCs w:val="27"/>
          <w:rtl/>
        </w:rPr>
        <w:t>يَا</w:t>
      </w:r>
      <w:r w:rsidRPr="00282AC9">
        <w:rPr>
          <w:rFonts w:cs="AL-Mohanad"/>
          <w:b/>
          <w:bCs/>
          <w:sz w:val="27"/>
          <w:szCs w:val="27"/>
          <w:rtl/>
        </w:rPr>
        <w:t xml:space="preserve"> </w:t>
      </w:r>
      <w:r w:rsidRPr="00282AC9">
        <w:rPr>
          <w:rFonts w:cs="AL-Mohanad" w:hint="cs"/>
          <w:b/>
          <w:bCs/>
          <w:sz w:val="27"/>
          <w:szCs w:val="27"/>
          <w:rtl/>
        </w:rPr>
        <w:t>أَيُّهَا</w:t>
      </w:r>
      <w:r w:rsidRPr="00282AC9">
        <w:rPr>
          <w:rFonts w:cs="AL-Mohanad"/>
          <w:b/>
          <w:bCs/>
          <w:sz w:val="27"/>
          <w:szCs w:val="27"/>
          <w:rtl/>
        </w:rPr>
        <w:t xml:space="preserve"> </w:t>
      </w:r>
      <w:r w:rsidRPr="00282AC9">
        <w:rPr>
          <w:rFonts w:cs="AL-Mohanad" w:hint="cs"/>
          <w:b/>
          <w:bCs/>
          <w:sz w:val="27"/>
          <w:szCs w:val="27"/>
          <w:rtl/>
        </w:rPr>
        <w:t>الَّذِينَ</w:t>
      </w:r>
      <w:r w:rsidRPr="00282AC9">
        <w:rPr>
          <w:rFonts w:cs="AL-Mohanad"/>
          <w:b/>
          <w:bCs/>
          <w:sz w:val="27"/>
          <w:szCs w:val="27"/>
          <w:rtl/>
        </w:rPr>
        <w:t xml:space="preserve"> </w:t>
      </w:r>
      <w:r w:rsidRPr="00282AC9">
        <w:rPr>
          <w:rFonts w:cs="AL-Mohanad" w:hint="cs"/>
          <w:b/>
          <w:bCs/>
          <w:sz w:val="27"/>
          <w:szCs w:val="27"/>
          <w:rtl/>
        </w:rPr>
        <w:t>آمَنُوا</w:t>
      </w:r>
      <w:r w:rsidRPr="00282AC9">
        <w:rPr>
          <w:rFonts w:cs="AL-Mohanad"/>
          <w:b/>
          <w:bCs/>
          <w:sz w:val="27"/>
          <w:szCs w:val="27"/>
          <w:rtl/>
        </w:rPr>
        <w:t xml:space="preserve"> </w:t>
      </w:r>
      <w:r w:rsidRPr="00282AC9">
        <w:rPr>
          <w:rFonts w:cs="AL-Mohanad" w:hint="cs"/>
          <w:b/>
          <w:bCs/>
          <w:sz w:val="27"/>
          <w:szCs w:val="27"/>
          <w:rtl/>
        </w:rPr>
        <w:t>إِذَا</w:t>
      </w:r>
      <w:r w:rsidRPr="00282AC9">
        <w:rPr>
          <w:rFonts w:cs="AL-Mohanad"/>
          <w:b/>
          <w:bCs/>
          <w:sz w:val="27"/>
          <w:szCs w:val="27"/>
          <w:rtl/>
        </w:rPr>
        <w:t xml:space="preserve"> </w:t>
      </w:r>
      <w:r w:rsidRPr="00282AC9">
        <w:rPr>
          <w:rFonts w:cs="AL-Mohanad" w:hint="cs"/>
          <w:b/>
          <w:bCs/>
          <w:sz w:val="27"/>
          <w:szCs w:val="27"/>
          <w:rtl/>
        </w:rPr>
        <w:t>جَاءَكُمُ</w:t>
      </w:r>
      <w:r w:rsidRPr="00282AC9">
        <w:rPr>
          <w:rFonts w:cs="AL-Mohanad"/>
          <w:b/>
          <w:bCs/>
          <w:sz w:val="27"/>
          <w:szCs w:val="27"/>
          <w:rtl/>
        </w:rPr>
        <w:t xml:space="preserve"> </w:t>
      </w:r>
      <w:r w:rsidRPr="00282AC9">
        <w:rPr>
          <w:rFonts w:cs="AL-Mohanad" w:hint="cs"/>
          <w:b/>
          <w:bCs/>
          <w:sz w:val="27"/>
          <w:szCs w:val="27"/>
          <w:rtl/>
        </w:rPr>
        <w:t>الْمُؤْمِنَاتُ</w:t>
      </w:r>
      <w:r w:rsidRPr="00282AC9">
        <w:rPr>
          <w:rFonts w:cs="AL-Mohanad"/>
          <w:b/>
          <w:bCs/>
          <w:sz w:val="27"/>
          <w:szCs w:val="27"/>
          <w:rtl/>
        </w:rPr>
        <w:t xml:space="preserve"> </w:t>
      </w:r>
      <w:r w:rsidRPr="00282AC9">
        <w:rPr>
          <w:rFonts w:cs="AL-Mohanad" w:hint="cs"/>
          <w:b/>
          <w:bCs/>
          <w:sz w:val="27"/>
          <w:szCs w:val="27"/>
          <w:rtl/>
        </w:rPr>
        <w:t>مُهَاجِرَاتٍ</w:t>
      </w:r>
      <w:r w:rsidRPr="00282AC9">
        <w:rPr>
          <w:rFonts w:cs="AL-Mohanad"/>
          <w:b/>
          <w:bCs/>
          <w:sz w:val="27"/>
          <w:szCs w:val="27"/>
          <w:rtl/>
        </w:rPr>
        <w:t xml:space="preserve"> </w:t>
      </w:r>
      <w:r w:rsidRPr="00282AC9">
        <w:rPr>
          <w:rFonts w:cs="AL-Mohanad" w:hint="cs"/>
          <w:b/>
          <w:bCs/>
          <w:sz w:val="27"/>
          <w:szCs w:val="27"/>
          <w:rtl/>
        </w:rPr>
        <w:t>فَامْتَحِنُوهُنَّ</w:t>
      </w:r>
      <w:r w:rsidRPr="00282AC9">
        <w:rPr>
          <w:rFonts w:cs="AL-Mohanad"/>
          <w:b/>
          <w:bCs/>
          <w:sz w:val="27"/>
          <w:szCs w:val="27"/>
          <w:rtl/>
        </w:rPr>
        <w:t xml:space="preserve"> </w:t>
      </w:r>
      <w:r w:rsidR="00C06BE6" w:rsidRPr="00282AC9">
        <w:rPr>
          <w:rFonts w:cs="AL-Mohanad" w:hint="cs"/>
          <w:b/>
          <w:bCs/>
          <w:sz w:val="27"/>
          <w:szCs w:val="27"/>
          <w:rtl/>
        </w:rPr>
        <w:t>الل</w:t>
      </w:r>
      <w:r w:rsidRPr="00282AC9">
        <w:rPr>
          <w:rFonts w:cs="AL-Mohanad" w:hint="cs"/>
          <w:b/>
          <w:bCs/>
          <w:sz w:val="27"/>
          <w:szCs w:val="27"/>
          <w:rtl/>
        </w:rPr>
        <w:t>هُ</w:t>
      </w:r>
      <w:r w:rsidRPr="00282AC9">
        <w:rPr>
          <w:rFonts w:cs="AL-Mohanad"/>
          <w:b/>
          <w:bCs/>
          <w:sz w:val="27"/>
          <w:szCs w:val="27"/>
          <w:rtl/>
        </w:rPr>
        <w:t xml:space="preserve"> </w:t>
      </w:r>
      <w:r w:rsidRPr="00282AC9">
        <w:rPr>
          <w:rFonts w:cs="AL-Mohanad" w:hint="cs"/>
          <w:b/>
          <w:bCs/>
          <w:sz w:val="27"/>
          <w:szCs w:val="27"/>
          <w:rtl/>
        </w:rPr>
        <w:t>أَعْلَمُ</w:t>
      </w:r>
      <w:r w:rsidRPr="00282AC9">
        <w:rPr>
          <w:rFonts w:cs="AL-Mohanad"/>
          <w:b/>
          <w:bCs/>
          <w:sz w:val="27"/>
          <w:szCs w:val="27"/>
          <w:rtl/>
        </w:rPr>
        <w:t xml:space="preserve"> </w:t>
      </w:r>
      <w:r w:rsidRPr="00282AC9">
        <w:rPr>
          <w:rFonts w:cs="AL-Mohanad" w:hint="cs"/>
          <w:b/>
          <w:bCs/>
          <w:sz w:val="27"/>
          <w:szCs w:val="27"/>
          <w:rtl/>
        </w:rPr>
        <w:t>بِإِيمَانِهِنَّ</w:t>
      </w:r>
      <w:r w:rsidRPr="00282AC9">
        <w:rPr>
          <w:rFonts w:cs="AL-Mohanad"/>
          <w:b/>
          <w:bCs/>
          <w:sz w:val="27"/>
          <w:szCs w:val="27"/>
          <w:rtl/>
        </w:rPr>
        <w:t xml:space="preserve"> </w:t>
      </w:r>
      <w:r w:rsidRPr="00282AC9">
        <w:rPr>
          <w:rFonts w:cs="AL-Mohanad" w:hint="cs"/>
          <w:b/>
          <w:bCs/>
          <w:sz w:val="27"/>
          <w:szCs w:val="27"/>
          <w:rtl/>
        </w:rPr>
        <w:t>فَإِ</w:t>
      </w:r>
      <w:r w:rsidRPr="00282AC9">
        <w:rPr>
          <w:rFonts w:cs="AL-Mohanad"/>
          <w:b/>
          <w:bCs/>
          <w:sz w:val="27"/>
          <w:szCs w:val="27"/>
          <w:rtl/>
        </w:rPr>
        <w:t>نْ عَلِمْتُمُوهُنَّ مُؤْمِنَاتٍ فَلاَ تَرْجِعُوهُنَّ إِلَى الْكُفَّارِ لاَ هُنَّ حِلٌّ لَهُمْ ولاَ هُمْ يَحِلُّونَ لَهُنَّ وآتُوهُمْ مَا أَنْفَقُوا ولاَ جُنَاحَ عَلَيْكُمْ أَنْ تَنْكِحُوهُنَّ إِذَا آتَيْتُمُوهُنَّ أُجُورَهُنَّ ولاَ تُمْسِكُوا بِعِصَمِ الْكَوَافِرِ واسْأَلُوا مَا أَنْفَقْتُمْ ولْيَسْأَلُوا مَا أَنْفَقُوا ذ</w:t>
      </w:r>
      <w:r w:rsidRPr="00282AC9">
        <w:rPr>
          <w:rFonts w:cs="AL-Mohanad" w:hint="cs"/>
          <w:b/>
          <w:bCs/>
          <w:sz w:val="27"/>
          <w:szCs w:val="27"/>
          <w:rtl/>
        </w:rPr>
        <w:t>لِكُمْ</w:t>
      </w:r>
      <w:r w:rsidRPr="00282AC9">
        <w:rPr>
          <w:rFonts w:cs="AL-Mohanad"/>
          <w:b/>
          <w:bCs/>
          <w:sz w:val="27"/>
          <w:szCs w:val="27"/>
          <w:rtl/>
        </w:rPr>
        <w:t xml:space="preserve"> </w:t>
      </w:r>
      <w:r w:rsidRPr="00282AC9">
        <w:rPr>
          <w:rFonts w:cs="AL-Mohanad" w:hint="cs"/>
          <w:b/>
          <w:bCs/>
          <w:sz w:val="27"/>
          <w:szCs w:val="27"/>
          <w:rtl/>
        </w:rPr>
        <w:t>حُكْمُ</w:t>
      </w:r>
      <w:r w:rsidRPr="00282AC9">
        <w:rPr>
          <w:rFonts w:cs="AL-Mohanad"/>
          <w:b/>
          <w:bCs/>
          <w:sz w:val="27"/>
          <w:szCs w:val="27"/>
          <w:rtl/>
        </w:rPr>
        <w:t xml:space="preserve"> </w:t>
      </w:r>
      <w:r w:rsidR="00C06BE6" w:rsidRPr="00282AC9">
        <w:rPr>
          <w:rFonts w:cs="AL-Mohanad" w:hint="cs"/>
          <w:b/>
          <w:bCs/>
          <w:sz w:val="27"/>
          <w:szCs w:val="27"/>
          <w:rtl/>
        </w:rPr>
        <w:t>الل</w:t>
      </w:r>
      <w:r w:rsidRPr="00282AC9">
        <w:rPr>
          <w:rFonts w:cs="AL-Mohanad" w:hint="cs"/>
          <w:b/>
          <w:bCs/>
          <w:sz w:val="27"/>
          <w:szCs w:val="27"/>
          <w:rtl/>
        </w:rPr>
        <w:t>هِ</w:t>
      </w:r>
      <w:r w:rsidRPr="00282AC9">
        <w:rPr>
          <w:rFonts w:cs="AL-Mohanad"/>
          <w:b/>
          <w:bCs/>
          <w:sz w:val="27"/>
          <w:szCs w:val="27"/>
          <w:rtl/>
        </w:rPr>
        <w:t xml:space="preserve"> </w:t>
      </w:r>
      <w:r w:rsidRPr="00282AC9">
        <w:rPr>
          <w:rFonts w:cs="AL-Mohanad" w:hint="cs"/>
          <w:b/>
          <w:bCs/>
          <w:sz w:val="27"/>
          <w:szCs w:val="27"/>
          <w:rtl/>
        </w:rPr>
        <w:t>يَحْكُمُ</w:t>
      </w:r>
      <w:r w:rsidRPr="00282AC9">
        <w:rPr>
          <w:rFonts w:cs="AL-Mohanad"/>
          <w:b/>
          <w:bCs/>
          <w:sz w:val="27"/>
          <w:szCs w:val="27"/>
          <w:rtl/>
        </w:rPr>
        <w:t xml:space="preserve"> </w:t>
      </w:r>
      <w:r w:rsidRPr="00282AC9">
        <w:rPr>
          <w:rFonts w:cs="AL-Mohanad" w:hint="cs"/>
          <w:b/>
          <w:bCs/>
          <w:sz w:val="27"/>
          <w:szCs w:val="27"/>
          <w:rtl/>
        </w:rPr>
        <w:t>بَيْنَكُمْ</w:t>
      </w:r>
      <w:r w:rsidRPr="00282AC9">
        <w:rPr>
          <w:rFonts w:cs="AL-Mohanad"/>
          <w:b/>
          <w:bCs/>
          <w:sz w:val="27"/>
          <w:szCs w:val="27"/>
          <w:rtl/>
        </w:rPr>
        <w:t xml:space="preserve"> </w:t>
      </w:r>
      <w:r w:rsidRPr="00282AC9">
        <w:rPr>
          <w:rFonts w:cs="AL-Mohanad" w:hint="cs"/>
          <w:b/>
          <w:bCs/>
          <w:sz w:val="27"/>
          <w:szCs w:val="27"/>
          <w:rtl/>
        </w:rPr>
        <w:t>و</w:t>
      </w:r>
      <w:r w:rsidR="00C06BE6" w:rsidRPr="00282AC9">
        <w:rPr>
          <w:rFonts w:cs="AL-Mohanad" w:hint="cs"/>
          <w:b/>
          <w:bCs/>
          <w:sz w:val="27"/>
          <w:szCs w:val="27"/>
          <w:rtl/>
        </w:rPr>
        <w:t>الل</w:t>
      </w:r>
      <w:r w:rsidRPr="00282AC9">
        <w:rPr>
          <w:rFonts w:cs="AL-Mohanad" w:hint="cs"/>
          <w:b/>
          <w:bCs/>
          <w:sz w:val="27"/>
          <w:szCs w:val="27"/>
          <w:rtl/>
        </w:rPr>
        <w:t>هُ</w:t>
      </w:r>
      <w:r w:rsidRPr="00282AC9">
        <w:rPr>
          <w:rFonts w:cs="AL-Mohanad"/>
          <w:b/>
          <w:bCs/>
          <w:sz w:val="27"/>
          <w:szCs w:val="27"/>
          <w:rtl/>
        </w:rPr>
        <w:t xml:space="preserve"> </w:t>
      </w:r>
      <w:r w:rsidRPr="00282AC9">
        <w:rPr>
          <w:rFonts w:cs="AL-Mohanad" w:hint="cs"/>
          <w:b/>
          <w:bCs/>
          <w:sz w:val="27"/>
          <w:szCs w:val="27"/>
          <w:rtl/>
        </w:rPr>
        <w:t>عَلِيمٌ</w:t>
      </w:r>
      <w:r w:rsidRPr="00282AC9">
        <w:rPr>
          <w:rFonts w:cs="AL-Mohanad"/>
          <w:b/>
          <w:bCs/>
          <w:sz w:val="27"/>
          <w:szCs w:val="27"/>
          <w:rtl/>
        </w:rPr>
        <w:t xml:space="preserve"> </w:t>
      </w:r>
      <w:r w:rsidRPr="00282AC9">
        <w:rPr>
          <w:rFonts w:cs="AL-Mohanad" w:hint="cs"/>
          <w:b/>
          <w:bCs/>
          <w:sz w:val="27"/>
          <w:szCs w:val="27"/>
          <w:rtl/>
        </w:rPr>
        <w:t>حَكِيمٌ</w:t>
      </w:r>
      <w:r w:rsidR="00C5291F" w:rsidRPr="00282AC9">
        <w:rPr>
          <w:rFonts w:ascii="Mosawi" w:hAnsi="Mosawi" w:cs="Mosawi"/>
          <w:sz w:val="24"/>
          <w:szCs w:val="24"/>
          <w:rtl/>
        </w:rPr>
        <w:t>﴾</w:t>
      </w:r>
      <w:r w:rsidRPr="00282AC9">
        <w:rPr>
          <w:rFonts w:cs="AL-Mohanad"/>
          <w:sz w:val="27"/>
          <w:szCs w:val="27"/>
          <w:rtl/>
        </w:rPr>
        <w:t xml:space="preserve"> (</w:t>
      </w:r>
      <w:r w:rsidRPr="00282AC9">
        <w:rPr>
          <w:rFonts w:cs="AL-Mohanad" w:hint="cs"/>
          <w:sz w:val="27"/>
          <w:szCs w:val="27"/>
          <w:rtl/>
        </w:rPr>
        <w:t>الممتحنة</w:t>
      </w:r>
      <w:r w:rsidRPr="00282AC9">
        <w:rPr>
          <w:rFonts w:cs="AL-Mohanad"/>
          <w:sz w:val="27"/>
          <w:szCs w:val="27"/>
          <w:rtl/>
        </w:rPr>
        <w:t>: 10)</w:t>
      </w:r>
      <w:r w:rsidRPr="00282AC9">
        <w:rPr>
          <w:rFonts w:cs="AL-Mohanad" w:hint="cs"/>
          <w:sz w:val="27"/>
          <w:szCs w:val="27"/>
          <w:rtl/>
        </w:rPr>
        <w:t>.</w:t>
      </w:r>
    </w:p>
    <w:p w:rsidR="001153F1" w:rsidRPr="00282AC9" w:rsidRDefault="001153F1" w:rsidP="003E218F">
      <w:pPr>
        <w:pStyle w:val="afc"/>
        <w:widowControl/>
        <w:rPr>
          <w:rFonts w:cs="AL-Mohanad"/>
          <w:sz w:val="27"/>
          <w:szCs w:val="27"/>
          <w:rtl/>
        </w:rPr>
      </w:pPr>
      <w:r w:rsidRPr="00282AC9">
        <w:rPr>
          <w:rFonts w:ascii="Mosawi" w:hAnsi="Mosawi" w:cs="AL-Mohanad"/>
          <w:b/>
          <w:bCs/>
          <w:sz w:val="27"/>
          <w:szCs w:val="27"/>
          <w:rtl/>
        </w:rPr>
        <w:t>5</w:t>
      </w:r>
      <w:r w:rsidRPr="00282AC9">
        <w:rPr>
          <w:rFonts w:ascii="Cambria" w:hAnsi="Cambria" w:cs="AL-Mohanad" w:hint="cs"/>
          <w:b/>
          <w:bCs/>
          <w:sz w:val="27"/>
          <w:szCs w:val="27"/>
          <w:rtl/>
        </w:rPr>
        <w:t xml:space="preserve">ـ </w:t>
      </w:r>
      <w:r w:rsidR="00194AB7" w:rsidRPr="00282AC9">
        <w:rPr>
          <w:rFonts w:ascii="Cambria" w:hAnsi="Cambria" w:cs="AL-Mohanad" w:hint="cs"/>
          <w:b/>
          <w:bCs/>
          <w:sz w:val="27"/>
          <w:szCs w:val="27"/>
          <w:rtl/>
        </w:rPr>
        <w:t>ال</w:t>
      </w:r>
      <w:r w:rsidRPr="00282AC9">
        <w:rPr>
          <w:rFonts w:ascii="Cambria" w:hAnsi="Cambria" w:cs="AL-Mohanad" w:hint="cs"/>
          <w:b/>
          <w:bCs/>
          <w:sz w:val="27"/>
          <w:szCs w:val="27"/>
          <w:rtl/>
        </w:rPr>
        <w:t>قنوت و.</w:t>
      </w:r>
      <w:r w:rsidR="00194AB7" w:rsidRPr="00282AC9">
        <w:rPr>
          <w:rFonts w:ascii="Cambria" w:hAnsi="Cambria" w:cs="AL-Mohanad" w:hint="cs"/>
          <w:b/>
          <w:bCs/>
          <w:sz w:val="27"/>
          <w:szCs w:val="27"/>
          <w:rtl/>
        </w:rPr>
        <w:t>.</w:t>
      </w:r>
      <w:r w:rsidRPr="00282AC9">
        <w:rPr>
          <w:rFonts w:ascii="Cambria" w:hAnsi="Cambria" w:cs="AL-Mohanad" w:hint="cs"/>
          <w:b/>
          <w:bCs/>
          <w:sz w:val="27"/>
          <w:szCs w:val="27"/>
          <w:rtl/>
        </w:rPr>
        <w:t>.</w:t>
      </w:r>
      <w:r w:rsidRPr="00282AC9">
        <w:rPr>
          <w:rFonts w:ascii="Cambria" w:hAnsi="Cambria" w:cs="AL-Mohanad" w:hint="cs"/>
          <w:sz w:val="27"/>
          <w:szCs w:val="27"/>
          <w:rtl/>
        </w:rPr>
        <w:t>:</w:t>
      </w:r>
      <w:r w:rsidRPr="00282AC9">
        <w:rPr>
          <w:rFonts w:ascii="Mosawi" w:hAnsi="Mosawi" w:cs="AL-Mohanad" w:hint="cs"/>
          <w:sz w:val="27"/>
          <w:szCs w:val="27"/>
          <w:rtl/>
        </w:rPr>
        <w:t xml:space="preserve"> </w:t>
      </w:r>
      <w:r w:rsidR="00C5291F" w:rsidRPr="00282AC9">
        <w:rPr>
          <w:rFonts w:ascii="Mosawi" w:hAnsi="Mosawi" w:cs="Mosawi"/>
          <w:rtl/>
        </w:rPr>
        <w:t>﴿</w:t>
      </w:r>
      <w:r w:rsidRPr="00282AC9">
        <w:rPr>
          <w:rFonts w:ascii="Mosawi" w:hAnsi="Mosawi" w:cs="AL-Mohanad"/>
          <w:b/>
          <w:bCs/>
          <w:sz w:val="27"/>
          <w:szCs w:val="27"/>
          <w:rtl/>
          <w:lang w:bidi="fa-IR"/>
        </w:rPr>
        <w:t>عَسَى رَبُّهُ إِنْ طَلَّقَكُنَّ أَنْ يُبْدِلَهُ أَزْوَاجاً خَيْراً مِنْكُنَّ مُسْلِمَاتٍ مُؤْمِنَاتٍ قَانِتَاتٍ تَائِبَاتٍ عَابِدَاتٍ سَائِحَاتٍ ثَيِّبَاتٍ وَأَبْكَاراً</w:t>
      </w:r>
      <w:r w:rsidR="00C5291F" w:rsidRPr="00282AC9">
        <w:rPr>
          <w:rFonts w:ascii="Mosawi" w:hAnsi="Mosawi" w:cs="Mosawi"/>
          <w:rtl/>
        </w:rPr>
        <w:t>﴾</w:t>
      </w:r>
      <w:r w:rsidRPr="00282AC9">
        <w:rPr>
          <w:rFonts w:ascii="Mosawi" w:hAnsi="Mosawi" w:cs="AL-Mohanad"/>
          <w:sz w:val="27"/>
          <w:szCs w:val="27"/>
          <w:rtl/>
        </w:rPr>
        <w:t xml:space="preserve"> (</w:t>
      </w:r>
      <w:r w:rsidRPr="00282AC9">
        <w:rPr>
          <w:rFonts w:ascii="Mosawi" w:hAnsi="Mosawi" w:cs="AL-Mohanad" w:hint="cs"/>
          <w:sz w:val="27"/>
          <w:szCs w:val="27"/>
          <w:rtl/>
        </w:rPr>
        <w:t>التحريم</w:t>
      </w:r>
      <w:r w:rsidRPr="00282AC9">
        <w:rPr>
          <w:rFonts w:ascii="Mosawi" w:hAnsi="Mosawi" w:cs="AL-Mohanad"/>
          <w:sz w:val="27"/>
          <w:szCs w:val="27"/>
          <w:rtl/>
        </w:rPr>
        <w:t>: 5)</w:t>
      </w:r>
      <w:r w:rsidR="00194AB7" w:rsidRPr="00282AC9">
        <w:rPr>
          <w:rFonts w:ascii="Mosawi" w:hAnsi="Mosawi" w:cs="AL-Mohanad" w:hint="cs"/>
          <w:sz w:val="27"/>
          <w:szCs w:val="27"/>
          <w:rtl/>
        </w:rPr>
        <w:t>.</w:t>
      </w:r>
      <w:r w:rsidRPr="00282AC9">
        <w:rPr>
          <w:rFonts w:ascii="Mosawi" w:hAnsi="Mosawi" w:cs="AL-Mohanad" w:hint="cs"/>
          <w:sz w:val="27"/>
          <w:szCs w:val="27"/>
          <w:rtl/>
        </w:rPr>
        <w:t xml:space="preserve"> </w:t>
      </w:r>
      <w:r w:rsidR="00194AB7" w:rsidRPr="00282AC9">
        <w:rPr>
          <w:rFonts w:ascii="Mosawi" w:hAnsi="Mosawi" w:cs="AL-Mohanad" w:hint="cs"/>
          <w:sz w:val="27"/>
          <w:szCs w:val="27"/>
          <w:rtl/>
        </w:rPr>
        <w:t>و</w:t>
      </w:r>
      <w:r w:rsidRPr="00282AC9">
        <w:rPr>
          <w:rFonts w:ascii="Mosawi" w:hAnsi="Mosawi" w:cs="AL-Mohanad" w:hint="cs"/>
          <w:sz w:val="27"/>
          <w:szCs w:val="27"/>
          <w:rtl/>
        </w:rPr>
        <w:t>قد يستفاد من هذه الآية أن هذه الصفات التي ذ</w:t>
      </w:r>
      <w:r w:rsidR="00194AB7" w:rsidRPr="00282AC9">
        <w:rPr>
          <w:rFonts w:ascii="Mosawi" w:hAnsi="Mosawi" w:cs="AL-Mohanad" w:hint="cs"/>
          <w:sz w:val="27"/>
          <w:szCs w:val="27"/>
          <w:rtl/>
        </w:rPr>
        <w:t>ُ</w:t>
      </w:r>
      <w:r w:rsidRPr="00282AC9">
        <w:rPr>
          <w:rFonts w:ascii="Mosawi" w:hAnsi="Mosawi" w:cs="AL-Mohanad" w:hint="cs"/>
          <w:sz w:val="27"/>
          <w:szCs w:val="27"/>
          <w:rtl/>
        </w:rPr>
        <w:t>كرت</w:t>
      </w:r>
      <w:r w:rsidR="00194AB7" w:rsidRPr="00282AC9">
        <w:rPr>
          <w:rFonts w:ascii="Mosawi" w:hAnsi="Mosawi" w:cs="AL-Mohanad" w:hint="cs"/>
          <w:sz w:val="27"/>
          <w:szCs w:val="27"/>
          <w:rtl/>
        </w:rPr>
        <w:t>؛</w:t>
      </w:r>
      <w:r w:rsidRPr="00282AC9">
        <w:rPr>
          <w:rFonts w:ascii="Mosawi" w:hAnsi="Mosawi" w:cs="AL-Mohanad" w:hint="cs"/>
          <w:sz w:val="27"/>
          <w:szCs w:val="27"/>
          <w:rtl/>
        </w:rPr>
        <w:t xml:space="preserve"> بقرينة </w:t>
      </w:r>
      <w:r w:rsidRPr="00282AC9">
        <w:rPr>
          <w:rFonts w:ascii="Mosawi" w:hAnsi="Mosawi" w:cs="AL-Mohanad"/>
          <w:rtl/>
        </w:rPr>
        <w:t>«</w:t>
      </w:r>
      <w:r w:rsidRPr="00282AC9">
        <w:rPr>
          <w:rFonts w:ascii="Mosawi" w:hAnsi="Mosawi" w:cs="AL-Mohanad"/>
          <w:sz w:val="27"/>
          <w:szCs w:val="27"/>
          <w:rtl/>
          <w:lang w:bidi="fa-IR"/>
        </w:rPr>
        <w:t>خَيْراً مِنْكُنَّ</w:t>
      </w:r>
      <w:r w:rsidRPr="00282AC9">
        <w:rPr>
          <w:rFonts w:ascii="Mosawi" w:hAnsi="Mosawi" w:cs="AL-Mohanad"/>
          <w:rtl/>
        </w:rPr>
        <w:t>»</w:t>
      </w:r>
      <w:r w:rsidR="00194AB7" w:rsidRPr="00282AC9">
        <w:rPr>
          <w:rFonts w:ascii="Mosawi" w:hAnsi="Mosawi" w:cs="AL-Mohanad" w:hint="cs"/>
          <w:sz w:val="27"/>
          <w:szCs w:val="27"/>
          <w:rtl/>
        </w:rPr>
        <w:t>،</w:t>
      </w:r>
      <w:r w:rsidRPr="00282AC9">
        <w:rPr>
          <w:rFonts w:ascii="Mosawi" w:hAnsi="Mosawi" w:cs="AL-Mohanad" w:hint="cs"/>
          <w:sz w:val="27"/>
          <w:szCs w:val="27"/>
          <w:rtl/>
        </w:rPr>
        <w:t xml:space="preserve"> هي صفات</w:t>
      </w:r>
      <w:r w:rsidR="00194AB7" w:rsidRPr="00282AC9">
        <w:rPr>
          <w:rFonts w:ascii="Mosawi" w:hAnsi="Mosawi" w:cs="AL-Mohanad" w:hint="cs"/>
          <w:sz w:val="27"/>
          <w:szCs w:val="27"/>
          <w:rtl/>
        </w:rPr>
        <w:t>ٌ</w:t>
      </w:r>
      <w:r w:rsidRPr="00282AC9">
        <w:rPr>
          <w:rFonts w:ascii="Mosawi" w:hAnsi="Mosawi" w:cs="AL-Mohanad" w:hint="cs"/>
          <w:sz w:val="27"/>
          <w:szCs w:val="27"/>
          <w:rtl/>
        </w:rPr>
        <w:t xml:space="preserve"> راجحة ومطلوبة في الزوجات. </w:t>
      </w:r>
    </w:p>
    <w:p w:rsidR="001153F1" w:rsidRPr="00282AC9" w:rsidRDefault="00194AB7" w:rsidP="003E218F">
      <w:pPr>
        <w:rPr>
          <w:sz w:val="27"/>
          <w:rtl/>
        </w:rPr>
      </w:pPr>
      <w:r w:rsidRPr="00282AC9">
        <w:rPr>
          <w:rFonts w:hint="cs"/>
          <w:sz w:val="27"/>
          <w:rtl/>
        </w:rPr>
        <w:t>و</w:t>
      </w:r>
      <w:r w:rsidR="001153F1" w:rsidRPr="00282AC9">
        <w:rPr>
          <w:rFonts w:hint="cs"/>
          <w:sz w:val="27"/>
          <w:rtl/>
        </w:rPr>
        <w:t xml:space="preserve">لا نجد في الآيات القرآنية ما </w:t>
      </w:r>
      <w:r w:rsidRPr="00282AC9">
        <w:rPr>
          <w:rFonts w:hint="cs"/>
          <w:sz w:val="27"/>
          <w:rtl/>
        </w:rPr>
        <w:t>ي</w:t>
      </w:r>
      <w:r w:rsidR="001153F1" w:rsidRPr="00282AC9">
        <w:rPr>
          <w:rFonts w:hint="cs"/>
          <w:sz w:val="27"/>
          <w:rtl/>
        </w:rPr>
        <w:t>شير إلى مسألة الولادة أو العقم كمعيار</w:t>
      </w:r>
      <w:r w:rsidRPr="00282AC9">
        <w:rPr>
          <w:rFonts w:hint="cs"/>
          <w:sz w:val="27"/>
          <w:rtl/>
        </w:rPr>
        <w:t>ٍ</w:t>
      </w:r>
      <w:r w:rsidR="001153F1" w:rsidRPr="00282AC9">
        <w:rPr>
          <w:rFonts w:hint="cs"/>
          <w:sz w:val="27"/>
          <w:rtl/>
        </w:rPr>
        <w:t xml:space="preserve"> للزواج</w:t>
      </w:r>
      <w:r w:rsidRPr="00282AC9">
        <w:rPr>
          <w:rFonts w:hint="cs"/>
          <w:sz w:val="27"/>
          <w:rtl/>
        </w:rPr>
        <w:t>،</w:t>
      </w:r>
      <w:r w:rsidR="001153F1" w:rsidRPr="00282AC9">
        <w:rPr>
          <w:rFonts w:hint="cs"/>
          <w:sz w:val="27"/>
          <w:rtl/>
        </w:rPr>
        <w:t xml:space="preserve"> لا للرجل</w:t>
      </w:r>
      <w:r w:rsidRPr="00282AC9">
        <w:rPr>
          <w:rFonts w:hint="cs"/>
          <w:sz w:val="27"/>
          <w:rtl/>
        </w:rPr>
        <w:t>،</w:t>
      </w:r>
      <w:r w:rsidR="001153F1" w:rsidRPr="00282AC9">
        <w:rPr>
          <w:rFonts w:hint="cs"/>
          <w:sz w:val="27"/>
          <w:rtl/>
        </w:rPr>
        <w:t xml:space="preserve"> ولا للمرأة</w:t>
      </w:r>
      <w:r w:rsidRPr="00282AC9">
        <w:rPr>
          <w:rFonts w:hint="cs"/>
          <w:sz w:val="27"/>
          <w:rtl/>
        </w:rPr>
        <w:t xml:space="preserve">. </w:t>
      </w:r>
      <w:r w:rsidR="001153F1" w:rsidRPr="00282AC9">
        <w:rPr>
          <w:rFonts w:hint="cs"/>
          <w:sz w:val="27"/>
          <w:rtl/>
        </w:rPr>
        <w:t>كما لا نجد إشارةً إلى الصفات الخَل</w:t>
      </w:r>
      <w:r w:rsidRPr="00282AC9">
        <w:rPr>
          <w:rFonts w:hint="cs"/>
          <w:sz w:val="27"/>
          <w:rtl/>
        </w:rPr>
        <w:t>ْ</w:t>
      </w:r>
      <w:r w:rsidR="001153F1" w:rsidRPr="00282AC9">
        <w:rPr>
          <w:rFonts w:hint="cs"/>
          <w:sz w:val="27"/>
          <w:rtl/>
        </w:rPr>
        <w:t>قية في ذلك</w:t>
      </w:r>
      <w:r w:rsidRPr="00282AC9">
        <w:rPr>
          <w:rFonts w:hint="cs"/>
          <w:sz w:val="27"/>
          <w:rtl/>
        </w:rPr>
        <w:t>،</w:t>
      </w:r>
      <w:r w:rsidR="001153F1" w:rsidRPr="00282AC9">
        <w:rPr>
          <w:rFonts w:hint="cs"/>
          <w:sz w:val="27"/>
          <w:rtl/>
        </w:rPr>
        <w:t xml:space="preserve"> وإنمّا ركّ</w:t>
      </w:r>
      <w:r w:rsidRPr="00282AC9">
        <w:rPr>
          <w:rFonts w:hint="cs"/>
          <w:sz w:val="27"/>
          <w:rtl/>
        </w:rPr>
        <w:t>َ</w:t>
      </w:r>
      <w:r w:rsidR="001153F1" w:rsidRPr="00282AC9">
        <w:rPr>
          <w:rFonts w:hint="cs"/>
          <w:sz w:val="27"/>
          <w:rtl/>
        </w:rPr>
        <w:t>ز القرآن الكريم على الصفات الخُل</w:t>
      </w:r>
      <w:r w:rsidRPr="00282AC9">
        <w:rPr>
          <w:rFonts w:hint="cs"/>
          <w:sz w:val="27"/>
          <w:rtl/>
        </w:rPr>
        <w:t>ُ</w:t>
      </w:r>
      <w:r w:rsidR="001153F1" w:rsidRPr="00282AC9">
        <w:rPr>
          <w:rFonts w:hint="cs"/>
          <w:sz w:val="27"/>
          <w:rtl/>
        </w:rPr>
        <w:t>قيّة</w:t>
      </w:r>
      <w:r w:rsidRPr="00282AC9">
        <w:rPr>
          <w:rFonts w:hint="cs"/>
          <w:sz w:val="27"/>
          <w:rtl/>
        </w:rPr>
        <w:t>،</w:t>
      </w:r>
      <w:r w:rsidR="001153F1" w:rsidRPr="00282AC9">
        <w:rPr>
          <w:rFonts w:hint="cs"/>
          <w:sz w:val="27"/>
          <w:rtl/>
        </w:rPr>
        <w:t xml:space="preserve"> كالإيمان</w:t>
      </w:r>
      <w:r w:rsidRPr="00282AC9">
        <w:rPr>
          <w:rFonts w:hint="cs"/>
          <w:sz w:val="27"/>
          <w:rtl/>
        </w:rPr>
        <w:t>،</w:t>
      </w:r>
      <w:r w:rsidR="001153F1" w:rsidRPr="00282AC9">
        <w:rPr>
          <w:rFonts w:hint="cs"/>
          <w:sz w:val="27"/>
          <w:rtl/>
        </w:rPr>
        <w:t xml:space="preserve"> والصلاح</w:t>
      </w:r>
      <w:r w:rsidRPr="00282AC9">
        <w:rPr>
          <w:rFonts w:hint="cs"/>
          <w:sz w:val="27"/>
          <w:rtl/>
        </w:rPr>
        <w:t>.</w:t>
      </w:r>
      <w:r w:rsidR="001153F1" w:rsidRPr="00282AC9">
        <w:rPr>
          <w:rFonts w:hint="cs"/>
          <w:sz w:val="27"/>
          <w:rtl/>
        </w:rPr>
        <w:t xml:space="preserve"> فلا نستطيع أن نستدلّ بالقرآن الكريم على كراهة الزواج من المرأة العقيم، بل قد ي</w:t>
      </w:r>
      <w:r w:rsidRPr="00282AC9">
        <w:rPr>
          <w:rFonts w:hint="cs"/>
          <w:sz w:val="27"/>
          <w:rtl/>
        </w:rPr>
        <w:t>ُ</w:t>
      </w:r>
      <w:r w:rsidR="001153F1" w:rsidRPr="00282AC9">
        <w:rPr>
          <w:rFonts w:hint="cs"/>
          <w:sz w:val="27"/>
          <w:rtl/>
        </w:rPr>
        <w:t>ستدلّ بالإطلاق المقامي على عدم كراهة الزواج منها</w:t>
      </w:r>
      <w:r w:rsidRPr="00282AC9">
        <w:rPr>
          <w:rFonts w:hint="cs"/>
          <w:sz w:val="27"/>
          <w:rtl/>
        </w:rPr>
        <w:t>،</w:t>
      </w:r>
      <w:r w:rsidR="001153F1" w:rsidRPr="00282AC9">
        <w:rPr>
          <w:rFonts w:hint="cs"/>
          <w:sz w:val="27"/>
          <w:rtl/>
        </w:rPr>
        <w:t xml:space="preserve"> حيث لم نج</w:t>
      </w:r>
      <w:r w:rsidRPr="00282AC9">
        <w:rPr>
          <w:rFonts w:hint="cs"/>
          <w:sz w:val="27"/>
          <w:rtl/>
        </w:rPr>
        <w:t>ِ</w:t>
      </w:r>
      <w:r w:rsidR="001153F1" w:rsidRPr="00282AC9">
        <w:rPr>
          <w:rFonts w:hint="cs"/>
          <w:sz w:val="27"/>
          <w:rtl/>
        </w:rPr>
        <w:t>د</w:t>
      </w:r>
      <w:r w:rsidRPr="00282AC9">
        <w:rPr>
          <w:rFonts w:hint="cs"/>
          <w:sz w:val="27"/>
          <w:rtl/>
        </w:rPr>
        <w:t>ْ</w:t>
      </w:r>
      <w:r w:rsidR="001153F1" w:rsidRPr="00282AC9">
        <w:rPr>
          <w:rFonts w:hint="cs"/>
          <w:sz w:val="27"/>
          <w:rtl/>
        </w:rPr>
        <w:t xml:space="preserve"> في القرآن الكريم</w:t>
      </w:r>
      <w:r w:rsidRPr="00282AC9">
        <w:rPr>
          <w:rFonts w:hint="cs"/>
          <w:sz w:val="27"/>
          <w:rtl/>
        </w:rPr>
        <w:t>،</w:t>
      </w:r>
      <w:r w:rsidR="001153F1" w:rsidRPr="00282AC9">
        <w:rPr>
          <w:rFonts w:hint="cs"/>
          <w:sz w:val="27"/>
          <w:rtl/>
        </w:rPr>
        <w:t xml:space="preserve"> مع أنّه تناول صفات الزوجة</w:t>
      </w:r>
      <w:r w:rsidRPr="00282AC9">
        <w:rPr>
          <w:rFonts w:hint="cs"/>
          <w:sz w:val="27"/>
          <w:rtl/>
        </w:rPr>
        <w:t>،</w:t>
      </w:r>
      <w:r w:rsidR="001153F1" w:rsidRPr="00282AC9">
        <w:rPr>
          <w:rFonts w:hint="cs"/>
          <w:sz w:val="27"/>
          <w:rtl/>
        </w:rPr>
        <w:t xml:space="preserve"> </w:t>
      </w:r>
      <w:r w:rsidRPr="00282AC9">
        <w:rPr>
          <w:rFonts w:hint="cs"/>
          <w:sz w:val="27"/>
          <w:rtl/>
        </w:rPr>
        <w:t xml:space="preserve">إشارةً </w:t>
      </w:r>
      <w:r w:rsidR="001153F1" w:rsidRPr="00282AC9">
        <w:rPr>
          <w:rFonts w:hint="cs"/>
          <w:sz w:val="27"/>
          <w:rtl/>
        </w:rPr>
        <w:t>إلى شيء</w:t>
      </w:r>
      <w:r w:rsidRPr="00282AC9">
        <w:rPr>
          <w:rFonts w:hint="cs"/>
          <w:sz w:val="27"/>
          <w:rtl/>
        </w:rPr>
        <w:t>ٍ</w:t>
      </w:r>
      <w:r w:rsidR="001153F1" w:rsidRPr="00282AC9">
        <w:rPr>
          <w:rFonts w:hint="cs"/>
          <w:sz w:val="27"/>
          <w:rtl/>
        </w:rPr>
        <w:t xml:space="preserve"> من ذلك، فيثبت بذلك أن الزواج من المرأة العقيم ليس مكروهاً</w:t>
      </w:r>
      <w:r w:rsidRPr="00282AC9">
        <w:rPr>
          <w:rFonts w:hint="cs"/>
          <w:sz w:val="27"/>
          <w:rtl/>
        </w:rPr>
        <w:t>.</w:t>
      </w:r>
      <w:r w:rsidR="001153F1" w:rsidRPr="00282AC9">
        <w:rPr>
          <w:rFonts w:hint="cs"/>
          <w:sz w:val="27"/>
          <w:rtl/>
        </w:rPr>
        <w:t xml:space="preserve"> وهذا مبنيّ</w:t>
      </w:r>
      <w:r w:rsidRPr="00282AC9">
        <w:rPr>
          <w:rFonts w:hint="cs"/>
          <w:sz w:val="27"/>
          <w:rtl/>
        </w:rPr>
        <w:t>ٌ</w:t>
      </w:r>
      <w:r w:rsidR="001153F1" w:rsidRPr="00282AC9">
        <w:rPr>
          <w:rFonts w:hint="cs"/>
          <w:sz w:val="27"/>
          <w:rtl/>
        </w:rPr>
        <w:t xml:space="preserve"> على أنّ القرآن في </w:t>
      </w:r>
      <w:r w:rsidRPr="00282AC9">
        <w:rPr>
          <w:rFonts w:hint="cs"/>
          <w:sz w:val="27"/>
          <w:rtl/>
        </w:rPr>
        <w:t xml:space="preserve">مقام </w:t>
      </w:r>
      <w:r w:rsidR="001153F1" w:rsidRPr="00282AC9">
        <w:rPr>
          <w:rFonts w:hint="cs"/>
          <w:sz w:val="27"/>
          <w:rtl/>
        </w:rPr>
        <w:t>بيان تمام الصفات المعت</w:t>
      </w:r>
      <w:r w:rsidRPr="00282AC9">
        <w:rPr>
          <w:rFonts w:hint="cs"/>
          <w:sz w:val="27"/>
          <w:rtl/>
        </w:rPr>
        <w:t>َ</w:t>
      </w:r>
      <w:r w:rsidR="001153F1" w:rsidRPr="00282AC9">
        <w:rPr>
          <w:rFonts w:hint="cs"/>
          <w:sz w:val="27"/>
          <w:rtl/>
        </w:rPr>
        <w:t>ب</w:t>
      </w:r>
      <w:r w:rsidRPr="00282AC9">
        <w:rPr>
          <w:rFonts w:hint="cs"/>
          <w:sz w:val="27"/>
          <w:rtl/>
        </w:rPr>
        <w:t>َ</w:t>
      </w:r>
      <w:r w:rsidR="001153F1" w:rsidRPr="00282AC9">
        <w:rPr>
          <w:rFonts w:hint="cs"/>
          <w:sz w:val="27"/>
          <w:rtl/>
        </w:rPr>
        <w:t>رة ش</w:t>
      </w:r>
      <w:r w:rsidRPr="00282AC9">
        <w:rPr>
          <w:rFonts w:hint="cs"/>
          <w:sz w:val="27"/>
          <w:rtl/>
        </w:rPr>
        <w:t>َ</w:t>
      </w:r>
      <w:r w:rsidR="001153F1" w:rsidRPr="00282AC9">
        <w:rPr>
          <w:rFonts w:hint="cs"/>
          <w:sz w:val="27"/>
          <w:rtl/>
        </w:rPr>
        <w:t>ر</w:t>
      </w:r>
      <w:r w:rsidRPr="00282AC9">
        <w:rPr>
          <w:rFonts w:hint="cs"/>
          <w:sz w:val="27"/>
          <w:rtl/>
        </w:rPr>
        <w:t>ْ</w:t>
      </w:r>
      <w:r w:rsidR="001153F1" w:rsidRPr="00282AC9">
        <w:rPr>
          <w:rFonts w:hint="cs"/>
          <w:sz w:val="27"/>
          <w:rtl/>
        </w:rPr>
        <w:t>عاً للزوجة.</w:t>
      </w:r>
    </w:p>
    <w:p w:rsidR="001153F1" w:rsidRPr="00282AC9" w:rsidRDefault="001153F1" w:rsidP="003E218F">
      <w:pPr>
        <w:rPr>
          <w:sz w:val="27"/>
          <w:rtl/>
        </w:rPr>
      </w:pPr>
      <w:r w:rsidRPr="00282AC9">
        <w:rPr>
          <w:rFonts w:hint="cs"/>
          <w:sz w:val="27"/>
          <w:rtl/>
        </w:rPr>
        <w:t>وكذلك يمكن الاستشهاد بالآيات القرآنية التي تتناول معايير التفضيل بين العباد، حيث يركّ</w:t>
      </w:r>
      <w:r w:rsidR="006140F4" w:rsidRPr="00282AC9">
        <w:rPr>
          <w:rFonts w:hint="cs"/>
          <w:sz w:val="27"/>
          <w:rtl/>
        </w:rPr>
        <w:t>ِ</w:t>
      </w:r>
      <w:r w:rsidRPr="00282AC9">
        <w:rPr>
          <w:rFonts w:hint="cs"/>
          <w:sz w:val="27"/>
          <w:rtl/>
        </w:rPr>
        <w:t>ز كثيراً على الصفات الخُل</w:t>
      </w:r>
      <w:r w:rsidR="006140F4" w:rsidRPr="00282AC9">
        <w:rPr>
          <w:rFonts w:hint="cs"/>
          <w:sz w:val="27"/>
          <w:rtl/>
        </w:rPr>
        <w:t>ُ</w:t>
      </w:r>
      <w:r w:rsidRPr="00282AC9">
        <w:rPr>
          <w:rFonts w:hint="cs"/>
          <w:sz w:val="27"/>
          <w:rtl/>
        </w:rPr>
        <w:t>قية</w:t>
      </w:r>
      <w:r w:rsidR="006140F4" w:rsidRPr="00282AC9">
        <w:rPr>
          <w:rFonts w:hint="cs"/>
          <w:sz w:val="27"/>
          <w:rtl/>
        </w:rPr>
        <w:t>،</w:t>
      </w:r>
      <w:r w:rsidRPr="00282AC9">
        <w:rPr>
          <w:rFonts w:hint="cs"/>
          <w:sz w:val="27"/>
          <w:rtl/>
        </w:rPr>
        <w:t xml:space="preserve"> مثل</w:t>
      </w:r>
      <w:r w:rsidR="006140F4" w:rsidRPr="00282AC9">
        <w:rPr>
          <w:rFonts w:hint="cs"/>
          <w:sz w:val="27"/>
          <w:rtl/>
        </w:rPr>
        <w:t>:</w:t>
      </w:r>
      <w:r w:rsidRPr="00282AC9">
        <w:rPr>
          <w:rFonts w:hint="cs"/>
          <w:sz w:val="27"/>
          <w:rtl/>
        </w:rPr>
        <w:t xml:space="preserve"> التقو</w:t>
      </w:r>
      <w:r w:rsidR="006140F4" w:rsidRPr="00282AC9">
        <w:rPr>
          <w:rFonts w:hint="cs"/>
          <w:sz w:val="27"/>
          <w:rtl/>
        </w:rPr>
        <w:t>ى</w:t>
      </w:r>
      <w:r w:rsidRPr="00282AC9">
        <w:rPr>
          <w:rFonts w:hint="cs"/>
          <w:sz w:val="27"/>
          <w:rtl/>
        </w:rPr>
        <w:t>، الجهاد، الأمر بالعدل والعلم والإنفاق و..</w:t>
      </w:r>
      <w:r w:rsidRPr="00282AC9">
        <w:rPr>
          <w:sz w:val="27"/>
          <w:vertAlign w:val="superscript"/>
          <w:rtl/>
        </w:rPr>
        <w:t>(</w:t>
      </w:r>
      <w:r w:rsidRPr="00282AC9">
        <w:rPr>
          <w:rStyle w:val="af9"/>
          <w:sz w:val="27"/>
          <w:rtl/>
        </w:rPr>
        <w:endnoteReference w:id="641"/>
      </w:r>
      <w:r w:rsidRPr="00282AC9">
        <w:rPr>
          <w:sz w:val="27"/>
          <w:vertAlign w:val="superscript"/>
          <w:rtl/>
        </w:rPr>
        <w:t>)</w:t>
      </w:r>
      <w:r w:rsidR="006140F4" w:rsidRPr="00282AC9">
        <w:rPr>
          <w:rFonts w:hint="cs"/>
          <w:sz w:val="27"/>
          <w:rtl/>
        </w:rPr>
        <w:t>.</w:t>
      </w:r>
    </w:p>
    <w:p w:rsidR="006140F4" w:rsidRPr="00282AC9" w:rsidRDefault="001153F1" w:rsidP="003E218F">
      <w:pPr>
        <w:rPr>
          <w:sz w:val="27"/>
          <w:rtl/>
        </w:rPr>
      </w:pPr>
      <w:r w:rsidRPr="00282AC9">
        <w:rPr>
          <w:rFonts w:hint="cs"/>
          <w:sz w:val="27"/>
          <w:rtl/>
        </w:rPr>
        <w:t xml:space="preserve">وقد يستدلّ كذلك بالإطلاق في قوله تعالى </w:t>
      </w:r>
      <w:r w:rsidR="00C5291F" w:rsidRPr="00282AC9">
        <w:rPr>
          <w:rFonts w:ascii="Mosawi" w:hAnsi="Mosawi" w:cs="Mosawi"/>
          <w:sz w:val="24"/>
          <w:szCs w:val="24"/>
          <w:rtl/>
        </w:rPr>
        <w:t>﴿</w:t>
      </w:r>
      <w:r w:rsidRPr="00282AC9">
        <w:rPr>
          <w:rFonts w:hint="cs"/>
          <w:b/>
          <w:bCs/>
          <w:sz w:val="27"/>
          <w:rtl/>
        </w:rPr>
        <w:t>وَإِنْ</w:t>
      </w:r>
      <w:r w:rsidRPr="00282AC9">
        <w:rPr>
          <w:b/>
          <w:bCs/>
          <w:sz w:val="27"/>
          <w:rtl/>
        </w:rPr>
        <w:t xml:space="preserve"> </w:t>
      </w:r>
      <w:r w:rsidRPr="00282AC9">
        <w:rPr>
          <w:rFonts w:hint="cs"/>
          <w:b/>
          <w:bCs/>
          <w:sz w:val="27"/>
          <w:rtl/>
        </w:rPr>
        <w:t>خِفْتُمْ</w:t>
      </w:r>
      <w:r w:rsidRPr="00282AC9">
        <w:rPr>
          <w:b/>
          <w:bCs/>
          <w:sz w:val="27"/>
          <w:rtl/>
        </w:rPr>
        <w:t xml:space="preserve"> </w:t>
      </w:r>
      <w:r w:rsidR="006140F4" w:rsidRPr="00282AC9">
        <w:rPr>
          <w:rFonts w:hint="cs"/>
          <w:b/>
          <w:bCs/>
          <w:sz w:val="27"/>
          <w:rtl/>
        </w:rPr>
        <w:t>أَنْ لاَ</w:t>
      </w:r>
      <w:r w:rsidRPr="00282AC9">
        <w:rPr>
          <w:b/>
          <w:bCs/>
          <w:sz w:val="27"/>
          <w:rtl/>
        </w:rPr>
        <w:t xml:space="preserve"> </w:t>
      </w:r>
      <w:r w:rsidRPr="00282AC9">
        <w:rPr>
          <w:rFonts w:hint="cs"/>
          <w:b/>
          <w:bCs/>
          <w:sz w:val="27"/>
          <w:rtl/>
        </w:rPr>
        <w:t>تُقْسِطُوا</w:t>
      </w:r>
      <w:r w:rsidRPr="00282AC9">
        <w:rPr>
          <w:b/>
          <w:bCs/>
          <w:sz w:val="27"/>
          <w:rtl/>
        </w:rPr>
        <w:t xml:space="preserve"> </w:t>
      </w:r>
      <w:r w:rsidRPr="00282AC9">
        <w:rPr>
          <w:rFonts w:hint="cs"/>
          <w:b/>
          <w:bCs/>
          <w:sz w:val="27"/>
          <w:rtl/>
        </w:rPr>
        <w:t>فِ</w:t>
      </w:r>
      <w:r w:rsidRPr="00282AC9">
        <w:rPr>
          <w:b/>
          <w:bCs/>
          <w:sz w:val="27"/>
          <w:rtl/>
        </w:rPr>
        <w:t xml:space="preserve">ي الْيَتَامَى فَانْكِحُوا مَا طَابَ لَكُمْ مِنَ النِّسَاءِ مَثْنَى وثُلاَثَ ورُبَاعَ فَإِنْ خِفْتُمْ </w:t>
      </w:r>
      <w:r w:rsidR="006140F4" w:rsidRPr="00282AC9">
        <w:rPr>
          <w:rFonts w:hint="cs"/>
          <w:b/>
          <w:bCs/>
          <w:sz w:val="27"/>
          <w:rtl/>
        </w:rPr>
        <w:t>أَنْ لاَ</w:t>
      </w:r>
      <w:r w:rsidRPr="00282AC9">
        <w:rPr>
          <w:b/>
          <w:bCs/>
          <w:sz w:val="27"/>
          <w:rtl/>
        </w:rPr>
        <w:t xml:space="preserve"> تَعْدِلُوا فَوَاحِدَةً أَوْ مَا مَلَكَتْ أَيْمَانُكُمْ ذ</w:t>
      </w:r>
      <w:r w:rsidRPr="00282AC9">
        <w:rPr>
          <w:rFonts w:hint="cs"/>
          <w:b/>
          <w:bCs/>
          <w:sz w:val="27"/>
          <w:rtl/>
        </w:rPr>
        <w:t>لِكَ</w:t>
      </w:r>
      <w:r w:rsidRPr="00282AC9">
        <w:rPr>
          <w:b/>
          <w:bCs/>
          <w:sz w:val="27"/>
          <w:rtl/>
        </w:rPr>
        <w:t xml:space="preserve"> </w:t>
      </w:r>
      <w:r w:rsidRPr="00282AC9">
        <w:rPr>
          <w:rFonts w:hint="cs"/>
          <w:b/>
          <w:bCs/>
          <w:sz w:val="27"/>
          <w:rtl/>
        </w:rPr>
        <w:t>أَدْنَى</w:t>
      </w:r>
      <w:r w:rsidRPr="00282AC9">
        <w:rPr>
          <w:b/>
          <w:bCs/>
          <w:sz w:val="27"/>
          <w:rtl/>
        </w:rPr>
        <w:t xml:space="preserve"> </w:t>
      </w:r>
      <w:r w:rsidRPr="00282AC9">
        <w:rPr>
          <w:rFonts w:hint="cs"/>
          <w:b/>
          <w:bCs/>
          <w:sz w:val="27"/>
          <w:rtl/>
        </w:rPr>
        <w:t>أَ</w:t>
      </w:r>
      <w:r w:rsidR="006140F4" w:rsidRPr="00282AC9">
        <w:rPr>
          <w:rFonts w:hint="cs"/>
          <w:b/>
          <w:bCs/>
          <w:sz w:val="27"/>
          <w:rtl/>
        </w:rPr>
        <w:t>نْ لاَ</w:t>
      </w:r>
      <w:r w:rsidRPr="00282AC9">
        <w:rPr>
          <w:b/>
          <w:bCs/>
          <w:sz w:val="27"/>
          <w:rtl/>
        </w:rPr>
        <w:t xml:space="preserve"> </w:t>
      </w:r>
      <w:r w:rsidRPr="00282AC9">
        <w:rPr>
          <w:rFonts w:hint="cs"/>
          <w:b/>
          <w:bCs/>
          <w:sz w:val="27"/>
          <w:rtl/>
        </w:rPr>
        <w:t>تَعُولُوا</w:t>
      </w:r>
      <w:r w:rsidR="00C5291F" w:rsidRPr="00282AC9">
        <w:rPr>
          <w:rFonts w:ascii="Mosawi" w:hAnsi="Mosawi" w:cs="Mosawi"/>
          <w:sz w:val="24"/>
          <w:szCs w:val="24"/>
          <w:rtl/>
        </w:rPr>
        <w:t>﴾</w:t>
      </w:r>
      <w:r w:rsidRPr="00282AC9">
        <w:rPr>
          <w:sz w:val="27"/>
          <w:rtl/>
        </w:rPr>
        <w:t xml:space="preserve"> (</w:t>
      </w:r>
      <w:r w:rsidRPr="00282AC9">
        <w:rPr>
          <w:rFonts w:hint="cs"/>
          <w:sz w:val="27"/>
          <w:rtl/>
        </w:rPr>
        <w:t>النساء</w:t>
      </w:r>
      <w:r w:rsidRPr="00282AC9">
        <w:rPr>
          <w:sz w:val="27"/>
          <w:rtl/>
        </w:rPr>
        <w:t>: 3)</w:t>
      </w:r>
      <w:r w:rsidR="006140F4" w:rsidRPr="00282AC9">
        <w:rPr>
          <w:rFonts w:hint="cs"/>
          <w:sz w:val="27"/>
          <w:rtl/>
        </w:rPr>
        <w:t>؛</w:t>
      </w:r>
      <w:r w:rsidRPr="00282AC9">
        <w:rPr>
          <w:rFonts w:hint="cs"/>
          <w:sz w:val="27"/>
          <w:rtl/>
        </w:rPr>
        <w:t xml:space="preserve"> حيث لم يقيّد النكاح بأن تكون المرأة ولوداً أو ما شابه ذلك</w:t>
      </w:r>
      <w:r w:rsidR="006140F4" w:rsidRPr="00282AC9">
        <w:rPr>
          <w:rFonts w:hint="cs"/>
          <w:sz w:val="27"/>
          <w:rtl/>
        </w:rPr>
        <w:t>.</w:t>
      </w:r>
    </w:p>
    <w:p w:rsidR="001153F1" w:rsidRPr="00282AC9" w:rsidRDefault="001153F1" w:rsidP="003E218F">
      <w:pPr>
        <w:rPr>
          <w:sz w:val="27"/>
          <w:rtl/>
        </w:rPr>
      </w:pPr>
      <w:r w:rsidRPr="00282AC9">
        <w:rPr>
          <w:rFonts w:hint="cs"/>
          <w:sz w:val="27"/>
          <w:rtl/>
        </w:rPr>
        <w:t>ولكنّها لا تبدو في مقام بيان تمام الصفات المعتبرة للزوجة</w:t>
      </w:r>
      <w:r w:rsidR="006140F4" w:rsidRPr="00282AC9">
        <w:rPr>
          <w:rFonts w:hint="cs"/>
          <w:sz w:val="27"/>
          <w:rtl/>
        </w:rPr>
        <w:t>؛</w:t>
      </w:r>
      <w:r w:rsidRPr="00282AC9">
        <w:rPr>
          <w:rFonts w:hint="cs"/>
          <w:sz w:val="27"/>
          <w:rtl/>
        </w:rPr>
        <w:t xml:space="preserve"> كي نتمسّك </w:t>
      </w:r>
      <w:r w:rsidRPr="00282AC9">
        <w:rPr>
          <w:rFonts w:hint="cs"/>
          <w:sz w:val="27"/>
          <w:rtl/>
        </w:rPr>
        <w:lastRenderedPageBreak/>
        <w:t xml:space="preserve">بإطلاقها. </w:t>
      </w:r>
    </w:p>
    <w:p w:rsidR="00F943B4" w:rsidRPr="00282AC9" w:rsidRDefault="00F943B4" w:rsidP="00F943B4">
      <w:pPr>
        <w:spacing w:line="420" w:lineRule="exact"/>
        <w:rPr>
          <w:sz w:val="27"/>
          <w:rtl/>
        </w:rPr>
      </w:pPr>
    </w:p>
    <w:p w:rsidR="001153F1" w:rsidRPr="00282AC9" w:rsidRDefault="001153F1" w:rsidP="007A690E">
      <w:pPr>
        <w:pStyle w:val="31"/>
        <w:rPr>
          <w:b/>
          <w:color w:val="auto"/>
          <w:rtl/>
        </w:rPr>
      </w:pPr>
      <w:r w:rsidRPr="00282AC9">
        <w:rPr>
          <w:color w:val="auto"/>
          <w:rtl/>
        </w:rPr>
        <w:t xml:space="preserve">المرحلة الثانية: </w:t>
      </w:r>
      <w:r w:rsidR="006140F4" w:rsidRPr="00282AC9">
        <w:rPr>
          <w:rFonts w:hint="cs"/>
          <w:color w:val="auto"/>
          <w:rtl/>
        </w:rPr>
        <w:t xml:space="preserve">توصيف </w:t>
      </w:r>
      <w:r w:rsidRPr="00282AC9">
        <w:rPr>
          <w:color w:val="auto"/>
          <w:rtl/>
        </w:rPr>
        <w:t xml:space="preserve">القرآن </w:t>
      </w:r>
      <w:r w:rsidR="006140F4" w:rsidRPr="00282AC9">
        <w:rPr>
          <w:rFonts w:hint="cs"/>
          <w:color w:val="auto"/>
          <w:rtl/>
        </w:rPr>
        <w:t>ل</w:t>
      </w:r>
      <w:r w:rsidRPr="00282AC9">
        <w:rPr>
          <w:color w:val="auto"/>
          <w:rtl/>
        </w:rPr>
        <w:t>لمرأة العقيم</w:t>
      </w:r>
    </w:p>
    <w:p w:rsidR="001153F1" w:rsidRPr="00282AC9" w:rsidRDefault="001153F1" w:rsidP="003E218F">
      <w:pPr>
        <w:rPr>
          <w:sz w:val="27"/>
          <w:rtl/>
        </w:rPr>
      </w:pPr>
      <w:r w:rsidRPr="00282AC9">
        <w:rPr>
          <w:sz w:val="27"/>
          <w:rtl/>
        </w:rPr>
        <w:t>قد طرح العقم مر</w:t>
      </w:r>
      <w:r w:rsidR="006140F4" w:rsidRPr="00282AC9">
        <w:rPr>
          <w:rFonts w:hint="cs"/>
          <w:sz w:val="27"/>
          <w:rtl/>
        </w:rPr>
        <w:t>ّ</w:t>
      </w:r>
      <w:r w:rsidRPr="00282AC9">
        <w:rPr>
          <w:sz w:val="27"/>
          <w:rtl/>
        </w:rPr>
        <w:t>ة</w:t>
      </w:r>
      <w:r w:rsidR="006140F4" w:rsidRPr="00282AC9">
        <w:rPr>
          <w:rFonts w:hint="cs"/>
          <w:sz w:val="27"/>
          <w:rtl/>
        </w:rPr>
        <w:t>ً</w:t>
      </w:r>
      <w:r w:rsidRPr="00282AC9">
        <w:rPr>
          <w:sz w:val="27"/>
          <w:rtl/>
        </w:rPr>
        <w:t xml:space="preserve"> واحدة في القرآن الكريم</w:t>
      </w:r>
      <w:r w:rsidR="006140F4" w:rsidRPr="00282AC9">
        <w:rPr>
          <w:rFonts w:hint="cs"/>
          <w:sz w:val="27"/>
          <w:rtl/>
        </w:rPr>
        <w:t>،</w:t>
      </w:r>
      <w:r w:rsidRPr="00282AC9">
        <w:rPr>
          <w:sz w:val="27"/>
          <w:rtl/>
        </w:rPr>
        <w:t xml:space="preserve"> ونسبه الله تبارك وتعالى إلى نفسه</w:t>
      </w:r>
      <w:r w:rsidR="006140F4" w:rsidRPr="00282AC9">
        <w:rPr>
          <w:rFonts w:hint="cs"/>
          <w:sz w:val="27"/>
          <w:rtl/>
        </w:rPr>
        <w:t>،</w:t>
      </w:r>
      <w:r w:rsidRPr="00282AC9">
        <w:rPr>
          <w:sz w:val="27"/>
          <w:rtl/>
        </w:rPr>
        <w:t xml:space="preserve"> حيث قال: </w:t>
      </w:r>
      <w:r w:rsidR="00C5291F" w:rsidRPr="00282AC9">
        <w:rPr>
          <w:rFonts w:ascii="Mosawi" w:hAnsi="Mosawi" w:cs="Mosawi"/>
          <w:sz w:val="24"/>
          <w:szCs w:val="24"/>
          <w:rtl/>
        </w:rPr>
        <w:t>﴿</w:t>
      </w:r>
      <w:r w:rsidR="006140F4" w:rsidRPr="00282AC9">
        <w:rPr>
          <w:rFonts w:hint="cs"/>
          <w:b/>
          <w:bCs/>
          <w:sz w:val="27"/>
          <w:rtl/>
        </w:rPr>
        <w:t>لل</w:t>
      </w:r>
      <w:r w:rsidRPr="00282AC9">
        <w:rPr>
          <w:rFonts w:hint="cs"/>
          <w:b/>
          <w:bCs/>
          <w:sz w:val="27"/>
          <w:rtl/>
        </w:rPr>
        <w:t>هِ</w:t>
      </w:r>
      <w:r w:rsidRPr="00282AC9">
        <w:rPr>
          <w:b/>
          <w:bCs/>
          <w:sz w:val="27"/>
          <w:rtl/>
        </w:rPr>
        <w:t xml:space="preserve"> </w:t>
      </w:r>
      <w:r w:rsidRPr="00282AC9">
        <w:rPr>
          <w:rFonts w:hint="cs"/>
          <w:b/>
          <w:bCs/>
          <w:sz w:val="27"/>
          <w:rtl/>
        </w:rPr>
        <w:t>مُلْكُ</w:t>
      </w:r>
      <w:r w:rsidRPr="00282AC9">
        <w:rPr>
          <w:b/>
          <w:bCs/>
          <w:sz w:val="27"/>
          <w:rtl/>
        </w:rPr>
        <w:t xml:space="preserve"> </w:t>
      </w:r>
      <w:r w:rsidRPr="00282AC9">
        <w:rPr>
          <w:rFonts w:hint="cs"/>
          <w:b/>
          <w:bCs/>
          <w:sz w:val="27"/>
          <w:rtl/>
        </w:rPr>
        <w:t>السَّمَاوَاتِ</w:t>
      </w:r>
      <w:r w:rsidR="006140F4" w:rsidRPr="00282AC9">
        <w:rPr>
          <w:b/>
          <w:bCs/>
          <w:sz w:val="27"/>
          <w:rtl/>
        </w:rPr>
        <w:t xml:space="preserve"> و</w:t>
      </w:r>
      <w:r w:rsidR="006140F4" w:rsidRPr="00282AC9">
        <w:rPr>
          <w:rFonts w:hint="cs"/>
          <w:b/>
          <w:bCs/>
          <w:sz w:val="27"/>
          <w:rtl/>
        </w:rPr>
        <w:t>َ</w:t>
      </w:r>
      <w:r w:rsidR="006140F4" w:rsidRPr="00282AC9">
        <w:rPr>
          <w:b/>
          <w:bCs/>
          <w:sz w:val="27"/>
          <w:rtl/>
        </w:rPr>
        <w:t>ال</w:t>
      </w:r>
      <w:r w:rsidRPr="00282AC9">
        <w:rPr>
          <w:b/>
          <w:bCs/>
          <w:sz w:val="27"/>
          <w:rtl/>
        </w:rPr>
        <w:t>أَرْضِ يَخْلُقُ مَا يَشَاءُ يَهَبُ لِمَنْ يَشَاءُ إِنَاثاً ويَهَبُ لِمَنْ يَشَاءُ الذُّكُورَ أَوْ يُزَوِّجُهُمْ ذُكْرَاناً وإِنَاثاً ويَجْعَلُ مَنْ يَشَاءُ ع</w:t>
      </w:r>
      <w:r w:rsidR="006140F4" w:rsidRPr="00282AC9">
        <w:rPr>
          <w:b/>
          <w:bCs/>
          <w:sz w:val="27"/>
          <w:rtl/>
        </w:rPr>
        <w:t>َقِيماً إِنَّهُ عَلِيمٌ قَدِيرٌ</w:t>
      </w:r>
      <w:r w:rsidR="00C5291F" w:rsidRPr="00282AC9">
        <w:rPr>
          <w:rFonts w:ascii="Mosawi" w:hAnsi="Mosawi" w:cs="Mosawi"/>
          <w:sz w:val="24"/>
          <w:szCs w:val="24"/>
          <w:rtl/>
        </w:rPr>
        <w:t>﴾</w:t>
      </w:r>
      <w:r w:rsidRPr="00282AC9">
        <w:rPr>
          <w:sz w:val="27"/>
          <w:rtl/>
        </w:rPr>
        <w:t xml:space="preserve"> (</w:t>
      </w:r>
      <w:r w:rsidRPr="00282AC9">
        <w:rPr>
          <w:rFonts w:hint="cs"/>
          <w:sz w:val="27"/>
          <w:rtl/>
        </w:rPr>
        <w:t>الشورى</w:t>
      </w:r>
      <w:r w:rsidRPr="00282AC9">
        <w:rPr>
          <w:sz w:val="27"/>
          <w:rtl/>
        </w:rPr>
        <w:t xml:space="preserve">: 50 </w:t>
      </w:r>
      <w:r w:rsidRPr="00282AC9">
        <w:rPr>
          <w:rFonts w:hint="cs"/>
          <w:sz w:val="27"/>
          <w:rtl/>
        </w:rPr>
        <w:t>ـ</w:t>
      </w:r>
      <w:r w:rsidRPr="00282AC9">
        <w:rPr>
          <w:sz w:val="27"/>
          <w:rtl/>
        </w:rPr>
        <w:t xml:space="preserve"> 49)</w:t>
      </w:r>
      <w:r w:rsidR="006140F4" w:rsidRPr="00282AC9">
        <w:rPr>
          <w:rFonts w:hint="cs"/>
          <w:sz w:val="27"/>
          <w:rtl/>
        </w:rPr>
        <w:t>،</w:t>
      </w:r>
      <w:r w:rsidRPr="00282AC9">
        <w:rPr>
          <w:sz w:val="27"/>
          <w:rtl/>
        </w:rPr>
        <w:t xml:space="preserve"> فنستفيد من هذه الآية الشريفة أن العقم من الصفات الخَل</w:t>
      </w:r>
      <w:r w:rsidR="006140F4" w:rsidRPr="00282AC9">
        <w:rPr>
          <w:rFonts w:hint="cs"/>
          <w:sz w:val="27"/>
          <w:rtl/>
        </w:rPr>
        <w:t>ْ</w:t>
      </w:r>
      <w:r w:rsidRPr="00282AC9">
        <w:rPr>
          <w:sz w:val="27"/>
          <w:rtl/>
        </w:rPr>
        <w:t>قية</w:t>
      </w:r>
      <w:r w:rsidR="006140F4" w:rsidRPr="00282AC9">
        <w:rPr>
          <w:rFonts w:hint="cs"/>
          <w:sz w:val="27"/>
          <w:rtl/>
        </w:rPr>
        <w:t>،</w:t>
      </w:r>
      <w:r w:rsidRPr="00282AC9">
        <w:rPr>
          <w:sz w:val="27"/>
          <w:rtl/>
        </w:rPr>
        <w:t xml:space="preserve"> التي جعلها الله تبارك وتعالى في الإنسان</w:t>
      </w:r>
      <w:r w:rsidR="006140F4" w:rsidRPr="00282AC9">
        <w:rPr>
          <w:rFonts w:hint="cs"/>
          <w:sz w:val="27"/>
          <w:rtl/>
        </w:rPr>
        <w:t>.</w:t>
      </w:r>
      <w:r w:rsidRPr="00282AC9">
        <w:rPr>
          <w:sz w:val="27"/>
          <w:rtl/>
        </w:rPr>
        <w:t xml:space="preserve"> وكذلك لم يفص</w:t>
      </w:r>
      <w:r w:rsidR="006140F4" w:rsidRPr="00282AC9">
        <w:rPr>
          <w:rFonts w:hint="cs"/>
          <w:sz w:val="27"/>
          <w:rtl/>
        </w:rPr>
        <w:t>ِّ</w:t>
      </w:r>
      <w:r w:rsidRPr="00282AC9">
        <w:rPr>
          <w:sz w:val="27"/>
          <w:rtl/>
        </w:rPr>
        <w:t xml:space="preserve">ل بين الرجال والنساء في هذه القضية. </w:t>
      </w:r>
      <w:r w:rsidRPr="00282AC9">
        <w:rPr>
          <w:rFonts w:hint="cs"/>
          <w:sz w:val="27"/>
          <w:rtl/>
        </w:rPr>
        <w:t>فلا نج</w:t>
      </w:r>
      <w:r w:rsidR="006140F4" w:rsidRPr="00282AC9">
        <w:rPr>
          <w:rFonts w:hint="cs"/>
          <w:sz w:val="27"/>
          <w:rtl/>
        </w:rPr>
        <w:t>ِ</w:t>
      </w:r>
      <w:r w:rsidRPr="00282AC9">
        <w:rPr>
          <w:rFonts w:hint="cs"/>
          <w:sz w:val="27"/>
          <w:rtl/>
        </w:rPr>
        <w:t>د</w:t>
      </w:r>
      <w:r w:rsidR="006140F4" w:rsidRPr="00282AC9">
        <w:rPr>
          <w:rFonts w:hint="cs"/>
          <w:sz w:val="27"/>
          <w:rtl/>
        </w:rPr>
        <w:t>ُ</w:t>
      </w:r>
      <w:r w:rsidRPr="00282AC9">
        <w:rPr>
          <w:rFonts w:hint="cs"/>
          <w:sz w:val="27"/>
          <w:rtl/>
        </w:rPr>
        <w:t xml:space="preserve"> في القرآن الكريم شيئاً من التشنيع في حقّ المرأة العقيم</w:t>
      </w:r>
      <w:r w:rsidR="001A7462" w:rsidRPr="00282AC9">
        <w:rPr>
          <w:rFonts w:hint="cs"/>
          <w:sz w:val="27"/>
          <w:rtl/>
        </w:rPr>
        <w:t>،</w:t>
      </w:r>
      <w:r w:rsidRPr="00282AC9">
        <w:rPr>
          <w:rFonts w:hint="cs"/>
          <w:sz w:val="27"/>
          <w:rtl/>
        </w:rPr>
        <w:t xml:space="preserve"> بل أسند ذلك إلى الله سبحانه</w:t>
      </w:r>
      <w:r w:rsidR="001A7462" w:rsidRPr="00282AC9">
        <w:rPr>
          <w:rFonts w:hint="cs"/>
          <w:sz w:val="27"/>
          <w:rtl/>
        </w:rPr>
        <w:t>،</w:t>
      </w:r>
      <w:r w:rsidRPr="00282AC9">
        <w:rPr>
          <w:rFonts w:hint="cs"/>
          <w:sz w:val="27"/>
          <w:rtl/>
        </w:rPr>
        <w:t xml:space="preserve"> بلا فرق بين الرجل والمرأة في ذلك. </w:t>
      </w:r>
    </w:p>
    <w:p w:rsidR="00F943B4" w:rsidRPr="00282AC9" w:rsidRDefault="00F943B4" w:rsidP="00F943B4">
      <w:pPr>
        <w:spacing w:line="410" w:lineRule="exact"/>
        <w:rPr>
          <w:sz w:val="27"/>
          <w:rtl/>
        </w:rPr>
      </w:pPr>
    </w:p>
    <w:p w:rsidR="001153F1" w:rsidRPr="00282AC9" w:rsidRDefault="001153F1" w:rsidP="007A690E">
      <w:pPr>
        <w:pStyle w:val="31"/>
        <w:rPr>
          <w:color w:val="auto"/>
          <w:rtl/>
        </w:rPr>
      </w:pPr>
      <w:r w:rsidRPr="00282AC9">
        <w:rPr>
          <w:color w:val="auto"/>
          <w:rtl/>
        </w:rPr>
        <w:t xml:space="preserve">المحور الثاني: </w:t>
      </w:r>
      <w:r w:rsidR="007A690E" w:rsidRPr="00282AC9">
        <w:rPr>
          <w:rFonts w:hint="cs"/>
          <w:color w:val="auto"/>
          <w:rtl/>
        </w:rPr>
        <w:t xml:space="preserve">المرأة العقيم في </w:t>
      </w:r>
      <w:r w:rsidRPr="00282AC9">
        <w:rPr>
          <w:color w:val="auto"/>
          <w:rtl/>
        </w:rPr>
        <w:t>النصوص الحديثية</w:t>
      </w:r>
    </w:p>
    <w:p w:rsidR="001153F1" w:rsidRPr="00282AC9" w:rsidRDefault="001153F1" w:rsidP="003E218F">
      <w:pPr>
        <w:rPr>
          <w:sz w:val="27"/>
          <w:rtl/>
        </w:rPr>
      </w:pPr>
      <w:r w:rsidRPr="00282AC9">
        <w:rPr>
          <w:sz w:val="27"/>
          <w:rtl/>
        </w:rPr>
        <w:t>كما قلنا سابقاً نحن أمام إشكالين أساس</w:t>
      </w:r>
      <w:r w:rsidRPr="00282AC9">
        <w:rPr>
          <w:rFonts w:hint="cs"/>
          <w:sz w:val="27"/>
          <w:rtl/>
        </w:rPr>
        <w:t>ي</w:t>
      </w:r>
      <w:r w:rsidRPr="00282AC9">
        <w:rPr>
          <w:sz w:val="27"/>
          <w:rtl/>
        </w:rPr>
        <w:t>ن</w:t>
      </w:r>
      <w:r w:rsidR="001A7462" w:rsidRPr="00282AC9">
        <w:rPr>
          <w:rFonts w:hint="cs"/>
          <w:sz w:val="27"/>
          <w:rtl/>
        </w:rPr>
        <w:t>،</w:t>
      </w:r>
      <w:r w:rsidRPr="00282AC9">
        <w:rPr>
          <w:sz w:val="27"/>
          <w:rtl/>
        </w:rPr>
        <w:t xml:space="preserve"> وهما: </w:t>
      </w:r>
    </w:p>
    <w:p w:rsidR="001153F1" w:rsidRPr="00282AC9" w:rsidRDefault="001153F1" w:rsidP="003E218F">
      <w:pPr>
        <w:pStyle w:val="afe"/>
        <w:spacing w:after="0" w:line="400" w:lineRule="exact"/>
        <w:ind w:left="0" w:firstLine="567"/>
        <w:jc w:val="both"/>
        <w:rPr>
          <w:rFonts w:cs="AL-Mohanad"/>
          <w:sz w:val="27"/>
          <w:szCs w:val="27"/>
        </w:rPr>
      </w:pPr>
      <w:r w:rsidRPr="00282AC9">
        <w:rPr>
          <w:rFonts w:cs="AL-Mohanad" w:hint="cs"/>
          <w:sz w:val="27"/>
          <w:szCs w:val="27"/>
          <w:rtl/>
        </w:rPr>
        <w:t xml:space="preserve">1ـ </w:t>
      </w:r>
      <w:r w:rsidRPr="00282AC9">
        <w:rPr>
          <w:rFonts w:cs="AL-Mohanad"/>
          <w:sz w:val="27"/>
          <w:szCs w:val="27"/>
          <w:rtl/>
        </w:rPr>
        <w:t>الكراهة القانونية للزواج من المرأة العقيم (أو استحباب الزواج من المرأة الولود).</w:t>
      </w:r>
    </w:p>
    <w:p w:rsidR="001153F1" w:rsidRPr="00282AC9" w:rsidRDefault="001153F1" w:rsidP="003E218F">
      <w:pPr>
        <w:pStyle w:val="afe"/>
        <w:spacing w:after="0" w:line="400" w:lineRule="exact"/>
        <w:ind w:left="0" w:firstLine="567"/>
        <w:jc w:val="both"/>
        <w:rPr>
          <w:rFonts w:cs="AL-Mohanad"/>
          <w:sz w:val="27"/>
          <w:szCs w:val="27"/>
        </w:rPr>
      </w:pPr>
      <w:r w:rsidRPr="00282AC9">
        <w:rPr>
          <w:rFonts w:cs="AL-Mohanad" w:hint="cs"/>
          <w:sz w:val="27"/>
          <w:szCs w:val="27"/>
          <w:rtl/>
        </w:rPr>
        <w:t xml:space="preserve">2ـ </w:t>
      </w:r>
      <w:r w:rsidR="001A7462" w:rsidRPr="00282AC9">
        <w:rPr>
          <w:rFonts w:cs="AL-Mohanad" w:hint="cs"/>
          <w:sz w:val="27"/>
          <w:szCs w:val="27"/>
          <w:rtl/>
        </w:rPr>
        <w:t>ال</w:t>
      </w:r>
      <w:r w:rsidRPr="00282AC9">
        <w:rPr>
          <w:rFonts w:cs="AL-Mohanad"/>
          <w:sz w:val="27"/>
          <w:szCs w:val="27"/>
          <w:rtl/>
        </w:rPr>
        <w:t xml:space="preserve">تشنيع </w:t>
      </w:r>
      <w:r w:rsidR="001A7462" w:rsidRPr="00282AC9">
        <w:rPr>
          <w:rFonts w:cs="AL-Mohanad" w:hint="cs"/>
          <w:sz w:val="27"/>
          <w:szCs w:val="27"/>
          <w:rtl/>
        </w:rPr>
        <w:t xml:space="preserve">على </w:t>
      </w:r>
      <w:r w:rsidRPr="00282AC9">
        <w:rPr>
          <w:rFonts w:cs="AL-Mohanad"/>
          <w:sz w:val="27"/>
          <w:szCs w:val="27"/>
          <w:rtl/>
        </w:rPr>
        <w:t>المرأة العقيم</w:t>
      </w:r>
      <w:r w:rsidR="001A7462" w:rsidRPr="00282AC9">
        <w:rPr>
          <w:rFonts w:cs="AL-Mohanad" w:hint="cs"/>
          <w:sz w:val="27"/>
          <w:szCs w:val="27"/>
          <w:rtl/>
        </w:rPr>
        <w:t>؛</w:t>
      </w:r>
      <w:r w:rsidRPr="00282AC9">
        <w:rPr>
          <w:rFonts w:cs="AL-Mohanad"/>
          <w:sz w:val="27"/>
          <w:szCs w:val="27"/>
          <w:rtl/>
        </w:rPr>
        <w:t xml:space="preserve"> بسبب عقمها. </w:t>
      </w:r>
    </w:p>
    <w:p w:rsidR="001153F1" w:rsidRPr="00282AC9" w:rsidRDefault="001A7462" w:rsidP="00F943B4">
      <w:pPr>
        <w:spacing w:line="410" w:lineRule="exact"/>
        <w:rPr>
          <w:sz w:val="27"/>
          <w:rtl/>
        </w:rPr>
      </w:pPr>
      <w:r w:rsidRPr="00282AC9">
        <w:rPr>
          <w:rFonts w:hint="cs"/>
          <w:sz w:val="27"/>
          <w:rtl/>
        </w:rPr>
        <w:t>و</w:t>
      </w:r>
      <w:r w:rsidR="001153F1" w:rsidRPr="00282AC9">
        <w:rPr>
          <w:sz w:val="27"/>
          <w:rtl/>
        </w:rPr>
        <w:t>سوف نحاول أن نرصد النصوص الحديثية من هاتين الزاويتين</w:t>
      </w:r>
      <w:r w:rsidRPr="00282AC9">
        <w:rPr>
          <w:rFonts w:hint="cs"/>
          <w:sz w:val="27"/>
          <w:rtl/>
        </w:rPr>
        <w:t>؛</w:t>
      </w:r>
      <w:r w:rsidR="001153F1" w:rsidRPr="00282AC9">
        <w:rPr>
          <w:sz w:val="27"/>
          <w:rtl/>
        </w:rPr>
        <w:t xml:space="preserve"> لنستكشف رؤية الشريعة الإسلامية تجاه هذ</w:t>
      </w:r>
      <w:r w:rsidRPr="00282AC9">
        <w:rPr>
          <w:rFonts w:hint="cs"/>
          <w:sz w:val="27"/>
          <w:rtl/>
        </w:rPr>
        <w:t>َ</w:t>
      </w:r>
      <w:r w:rsidR="001153F1" w:rsidRPr="00282AC9">
        <w:rPr>
          <w:sz w:val="27"/>
          <w:rtl/>
        </w:rPr>
        <w:t>ي</w:t>
      </w:r>
      <w:r w:rsidRPr="00282AC9">
        <w:rPr>
          <w:rFonts w:hint="cs"/>
          <w:sz w:val="27"/>
          <w:rtl/>
        </w:rPr>
        <w:t>ْ</w:t>
      </w:r>
      <w:r w:rsidR="001153F1" w:rsidRPr="00282AC9">
        <w:rPr>
          <w:sz w:val="27"/>
          <w:rtl/>
        </w:rPr>
        <w:t>ن الأمر</w:t>
      </w:r>
      <w:r w:rsidRPr="00282AC9">
        <w:rPr>
          <w:rFonts w:hint="cs"/>
          <w:sz w:val="27"/>
          <w:rtl/>
        </w:rPr>
        <w:t>َ</w:t>
      </w:r>
      <w:r w:rsidR="001153F1" w:rsidRPr="00282AC9">
        <w:rPr>
          <w:sz w:val="27"/>
          <w:rtl/>
        </w:rPr>
        <w:t>ي</w:t>
      </w:r>
      <w:r w:rsidRPr="00282AC9">
        <w:rPr>
          <w:rFonts w:hint="cs"/>
          <w:sz w:val="27"/>
          <w:rtl/>
        </w:rPr>
        <w:t>ْ</w:t>
      </w:r>
      <w:r w:rsidR="001153F1" w:rsidRPr="00282AC9">
        <w:rPr>
          <w:sz w:val="27"/>
          <w:rtl/>
        </w:rPr>
        <w:t>ن</w:t>
      </w:r>
      <w:r w:rsidRPr="00282AC9">
        <w:rPr>
          <w:rFonts w:hint="cs"/>
          <w:sz w:val="27"/>
          <w:rtl/>
        </w:rPr>
        <w:t>؛</w:t>
      </w:r>
      <w:r w:rsidR="001153F1" w:rsidRPr="00282AC9">
        <w:rPr>
          <w:sz w:val="27"/>
          <w:rtl/>
        </w:rPr>
        <w:t xml:space="preserve"> فنقسم هذه النصوص إلى قسمين:</w:t>
      </w:r>
    </w:p>
    <w:p w:rsidR="001153F1" w:rsidRPr="00282AC9" w:rsidRDefault="001153F1" w:rsidP="003E218F">
      <w:pPr>
        <w:pStyle w:val="afe"/>
        <w:spacing w:after="0" w:line="400" w:lineRule="exact"/>
        <w:ind w:left="0" w:firstLine="567"/>
        <w:jc w:val="both"/>
        <w:rPr>
          <w:rFonts w:cs="AL-Mohanad"/>
          <w:sz w:val="27"/>
          <w:szCs w:val="27"/>
          <w:rtl/>
        </w:rPr>
      </w:pPr>
      <w:r w:rsidRPr="00282AC9">
        <w:rPr>
          <w:rFonts w:cs="AL-Mohanad"/>
          <w:b/>
          <w:bCs/>
          <w:sz w:val="27"/>
          <w:szCs w:val="27"/>
          <w:rtl/>
        </w:rPr>
        <w:t>القسم الأو</w:t>
      </w:r>
      <w:r w:rsidR="001A7462" w:rsidRPr="00282AC9">
        <w:rPr>
          <w:rFonts w:cs="AL-Mohanad" w:hint="cs"/>
          <w:b/>
          <w:bCs/>
          <w:sz w:val="27"/>
          <w:szCs w:val="27"/>
          <w:rtl/>
        </w:rPr>
        <w:t>ّ</w:t>
      </w:r>
      <w:r w:rsidRPr="00282AC9">
        <w:rPr>
          <w:rFonts w:cs="AL-Mohanad"/>
          <w:b/>
          <w:bCs/>
          <w:sz w:val="27"/>
          <w:szCs w:val="27"/>
          <w:rtl/>
        </w:rPr>
        <w:t>ل</w:t>
      </w:r>
      <w:r w:rsidRPr="00282AC9">
        <w:rPr>
          <w:rFonts w:cs="AL-Mohanad"/>
          <w:sz w:val="27"/>
          <w:szCs w:val="27"/>
          <w:rtl/>
        </w:rPr>
        <w:t>: النصوص القانونية الدال</w:t>
      </w:r>
      <w:r w:rsidRPr="00282AC9">
        <w:rPr>
          <w:rFonts w:cs="AL-Mohanad" w:hint="cs"/>
          <w:sz w:val="27"/>
          <w:szCs w:val="27"/>
          <w:rtl/>
        </w:rPr>
        <w:t>ّ</w:t>
      </w:r>
      <w:r w:rsidRPr="00282AC9">
        <w:rPr>
          <w:rFonts w:cs="AL-Mohanad"/>
          <w:sz w:val="27"/>
          <w:szCs w:val="27"/>
          <w:rtl/>
        </w:rPr>
        <w:t>ة على كراهة الزواج من المرأة العقيم</w:t>
      </w:r>
      <w:r w:rsidR="001A7462" w:rsidRPr="00282AC9">
        <w:rPr>
          <w:rFonts w:cs="AL-Mohanad" w:hint="cs"/>
          <w:sz w:val="27"/>
          <w:szCs w:val="27"/>
          <w:rtl/>
        </w:rPr>
        <w:t>،</w:t>
      </w:r>
      <w:r w:rsidRPr="00282AC9">
        <w:rPr>
          <w:rFonts w:cs="AL-Mohanad"/>
          <w:sz w:val="27"/>
          <w:szCs w:val="27"/>
          <w:rtl/>
        </w:rPr>
        <w:t xml:space="preserve"> أو استحباب الزواج من </w:t>
      </w:r>
      <w:r w:rsidRPr="00282AC9">
        <w:rPr>
          <w:rFonts w:eastAsia="Times New Roman" w:cs="AL-Mohanad"/>
          <w:sz w:val="27"/>
          <w:szCs w:val="27"/>
          <w:rtl/>
        </w:rPr>
        <w:t>المرأة الولود</w:t>
      </w:r>
      <w:r w:rsidRPr="00282AC9">
        <w:rPr>
          <w:rFonts w:eastAsia="Times New Roman" w:cs="AL-Mohanad" w:hint="cs"/>
          <w:sz w:val="27"/>
          <w:szCs w:val="27"/>
          <w:rtl/>
        </w:rPr>
        <w:t>. و</w:t>
      </w:r>
      <w:r w:rsidRPr="00282AC9">
        <w:rPr>
          <w:rFonts w:eastAsia="Times New Roman" w:cs="AL-Mohanad"/>
          <w:sz w:val="27"/>
          <w:szCs w:val="27"/>
          <w:rtl/>
        </w:rPr>
        <w:t>هذه الروايات تشتمل على تعابير قانونية</w:t>
      </w:r>
      <w:r w:rsidR="001A7462" w:rsidRPr="00282AC9">
        <w:rPr>
          <w:rFonts w:eastAsia="Times New Roman" w:cs="AL-Mohanad" w:hint="cs"/>
          <w:sz w:val="27"/>
          <w:szCs w:val="27"/>
          <w:rtl/>
        </w:rPr>
        <w:t>،</w:t>
      </w:r>
      <w:r w:rsidRPr="00282AC9">
        <w:rPr>
          <w:rFonts w:eastAsia="Times New Roman" w:cs="AL-Mohanad"/>
          <w:sz w:val="27"/>
          <w:szCs w:val="27"/>
          <w:rtl/>
        </w:rPr>
        <w:t xml:space="preserve"> مثل</w:t>
      </w:r>
      <w:r w:rsidR="001A7462" w:rsidRPr="00282AC9">
        <w:rPr>
          <w:rFonts w:eastAsia="Times New Roman" w:cs="AL-Mohanad" w:hint="cs"/>
          <w:sz w:val="27"/>
          <w:szCs w:val="27"/>
          <w:rtl/>
        </w:rPr>
        <w:t>:</w:t>
      </w:r>
      <w:r w:rsidRPr="00282AC9">
        <w:rPr>
          <w:rFonts w:eastAsia="Times New Roman" w:cs="AL-Mohanad"/>
          <w:sz w:val="27"/>
          <w:szCs w:val="27"/>
          <w:rtl/>
        </w:rPr>
        <w:t xml:space="preserve"> صيغة الأمر أو النهي</w:t>
      </w:r>
      <w:r w:rsidR="001A7462" w:rsidRPr="00282AC9">
        <w:rPr>
          <w:rFonts w:eastAsia="Times New Roman" w:cs="AL-Mohanad" w:hint="cs"/>
          <w:sz w:val="27"/>
          <w:szCs w:val="27"/>
          <w:rtl/>
        </w:rPr>
        <w:t>،</w:t>
      </w:r>
      <w:r w:rsidRPr="00282AC9">
        <w:rPr>
          <w:rFonts w:eastAsia="Times New Roman" w:cs="AL-Mohanad"/>
          <w:sz w:val="27"/>
          <w:szCs w:val="27"/>
          <w:rtl/>
        </w:rPr>
        <w:t xml:space="preserve"> ولهذا </w:t>
      </w:r>
      <w:r w:rsidR="001A7462" w:rsidRPr="00282AC9">
        <w:rPr>
          <w:rFonts w:eastAsia="Times New Roman" w:cs="AL-Mohanad" w:hint="cs"/>
          <w:sz w:val="27"/>
          <w:szCs w:val="27"/>
          <w:rtl/>
        </w:rPr>
        <w:t>ت</w:t>
      </w:r>
      <w:r w:rsidRPr="00282AC9">
        <w:rPr>
          <w:rFonts w:eastAsia="Times New Roman" w:cs="AL-Mohanad"/>
          <w:sz w:val="27"/>
          <w:szCs w:val="27"/>
          <w:rtl/>
        </w:rPr>
        <w:t>كون أكثر دلالة</w:t>
      </w:r>
      <w:r w:rsidR="001A7462" w:rsidRPr="00282AC9">
        <w:rPr>
          <w:rFonts w:eastAsia="Times New Roman" w:cs="AL-Mohanad" w:hint="cs"/>
          <w:sz w:val="27"/>
          <w:szCs w:val="27"/>
          <w:rtl/>
        </w:rPr>
        <w:t>ً</w:t>
      </w:r>
      <w:r w:rsidRPr="00282AC9">
        <w:rPr>
          <w:rFonts w:eastAsia="Times New Roman" w:cs="AL-Mohanad"/>
          <w:sz w:val="27"/>
          <w:szCs w:val="27"/>
          <w:rtl/>
        </w:rPr>
        <w:t xml:space="preserve"> على مسألة الكراهة القانوني</w:t>
      </w:r>
      <w:r w:rsidR="001A7462" w:rsidRPr="00282AC9">
        <w:rPr>
          <w:rFonts w:eastAsia="Times New Roman" w:cs="AL-Mohanad" w:hint="cs"/>
          <w:sz w:val="27"/>
          <w:szCs w:val="27"/>
          <w:rtl/>
        </w:rPr>
        <w:t>ّ</w:t>
      </w:r>
      <w:r w:rsidRPr="00282AC9">
        <w:rPr>
          <w:rFonts w:eastAsia="Times New Roman" w:cs="AL-Mohanad"/>
          <w:sz w:val="27"/>
          <w:szCs w:val="27"/>
          <w:rtl/>
        </w:rPr>
        <w:t>ة للزواج من المرأة العقيم.</w:t>
      </w:r>
    </w:p>
    <w:p w:rsidR="001153F1" w:rsidRPr="00282AC9" w:rsidRDefault="001153F1" w:rsidP="003E218F">
      <w:pPr>
        <w:pStyle w:val="afe"/>
        <w:spacing w:after="0" w:line="400" w:lineRule="exact"/>
        <w:ind w:left="0" w:firstLine="567"/>
        <w:jc w:val="both"/>
        <w:rPr>
          <w:rFonts w:eastAsia="Times New Roman" w:cs="AL-Mohanad"/>
          <w:sz w:val="27"/>
          <w:szCs w:val="27"/>
        </w:rPr>
      </w:pPr>
      <w:r w:rsidRPr="00282AC9">
        <w:rPr>
          <w:rFonts w:cs="AL-Mohanad"/>
          <w:b/>
          <w:bCs/>
          <w:sz w:val="27"/>
          <w:szCs w:val="27"/>
          <w:rtl/>
        </w:rPr>
        <w:t>القسم الثاني</w:t>
      </w:r>
      <w:r w:rsidRPr="00282AC9">
        <w:rPr>
          <w:rFonts w:cs="AL-Mohanad"/>
          <w:sz w:val="27"/>
          <w:szCs w:val="27"/>
          <w:rtl/>
        </w:rPr>
        <w:t xml:space="preserve">: </w:t>
      </w:r>
      <w:r w:rsidRPr="00282AC9">
        <w:rPr>
          <w:rFonts w:eastAsia="Times New Roman" w:cs="AL-Mohanad"/>
          <w:sz w:val="27"/>
          <w:szCs w:val="27"/>
          <w:rtl/>
        </w:rPr>
        <w:t>النصوص التوصيفي</w:t>
      </w:r>
      <w:r w:rsidR="001A7462" w:rsidRPr="00282AC9">
        <w:rPr>
          <w:rFonts w:eastAsia="Times New Roman" w:cs="AL-Mohanad" w:hint="cs"/>
          <w:sz w:val="27"/>
          <w:szCs w:val="27"/>
          <w:rtl/>
        </w:rPr>
        <w:t>ّ</w:t>
      </w:r>
      <w:r w:rsidRPr="00282AC9">
        <w:rPr>
          <w:rFonts w:eastAsia="Times New Roman" w:cs="AL-Mohanad"/>
          <w:sz w:val="27"/>
          <w:szCs w:val="27"/>
          <w:rtl/>
        </w:rPr>
        <w:t>ة الدال</w:t>
      </w:r>
      <w:r w:rsidRPr="00282AC9">
        <w:rPr>
          <w:rFonts w:eastAsia="Times New Roman" w:cs="AL-Mohanad" w:hint="cs"/>
          <w:sz w:val="27"/>
          <w:szCs w:val="27"/>
          <w:rtl/>
        </w:rPr>
        <w:t>ّ</w:t>
      </w:r>
      <w:r w:rsidRPr="00282AC9">
        <w:rPr>
          <w:rFonts w:eastAsia="Times New Roman" w:cs="AL-Mohanad"/>
          <w:sz w:val="27"/>
          <w:szCs w:val="27"/>
          <w:rtl/>
        </w:rPr>
        <w:t xml:space="preserve">ة على </w:t>
      </w:r>
      <w:r w:rsidR="001A7462" w:rsidRPr="00282AC9">
        <w:rPr>
          <w:rFonts w:eastAsia="Times New Roman" w:cs="AL-Mohanad" w:hint="cs"/>
          <w:sz w:val="27"/>
          <w:szCs w:val="27"/>
          <w:rtl/>
        </w:rPr>
        <w:t>ال</w:t>
      </w:r>
      <w:r w:rsidRPr="00282AC9">
        <w:rPr>
          <w:rFonts w:eastAsia="Times New Roman" w:cs="AL-Mohanad"/>
          <w:sz w:val="27"/>
          <w:szCs w:val="27"/>
          <w:rtl/>
        </w:rPr>
        <w:t xml:space="preserve">تشنيع </w:t>
      </w:r>
      <w:r w:rsidR="001A7462" w:rsidRPr="00282AC9">
        <w:rPr>
          <w:rFonts w:eastAsia="Times New Roman" w:cs="AL-Mohanad" w:hint="cs"/>
          <w:sz w:val="27"/>
          <w:szCs w:val="27"/>
          <w:rtl/>
        </w:rPr>
        <w:t xml:space="preserve">على </w:t>
      </w:r>
      <w:r w:rsidRPr="00282AC9">
        <w:rPr>
          <w:rFonts w:eastAsia="Times New Roman" w:cs="AL-Mohanad"/>
          <w:sz w:val="27"/>
          <w:szCs w:val="27"/>
          <w:rtl/>
        </w:rPr>
        <w:t>المرأة العقيم</w:t>
      </w:r>
      <w:r w:rsidRPr="00282AC9">
        <w:rPr>
          <w:rFonts w:eastAsia="Times New Roman" w:cs="AL-Mohanad" w:hint="cs"/>
          <w:sz w:val="27"/>
          <w:szCs w:val="27"/>
          <w:rtl/>
        </w:rPr>
        <w:t>.</w:t>
      </w:r>
      <w:r w:rsidRPr="00282AC9">
        <w:rPr>
          <w:rFonts w:eastAsia="Times New Roman" w:cs="AL-Mohanad"/>
          <w:sz w:val="27"/>
          <w:szCs w:val="27"/>
          <w:rtl/>
        </w:rPr>
        <w:t xml:space="preserve"> </w:t>
      </w:r>
      <w:r w:rsidR="001A7462" w:rsidRPr="00282AC9">
        <w:rPr>
          <w:rFonts w:eastAsia="Times New Roman" w:cs="AL-Mohanad" w:hint="cs"/>
          <w:sz w:val="27"/>
          <w:szCs w:val="27"/>
          <w:rtl/>
        </w:rPr>
        <w:t>ف</w:t>
      </w:r>
      <w:r w:rsidRPr="00282AC9">
        <w:rPr>
          <w:rFonts w:eastAsia="Times New Roman" w:cs="AL-Mohanad"/>
          <w:sz w:val="27"/>
          <w:szCs w:val="27"/>
          <w:rtl/>
        </w:rPr>
        <w:t>هناك روايات لا تشتمل على تعابير قانونية</w:t>
      </w:r>
      <w:r w:rsidR="001A7462" w:rsidRPr="00282AC9">
        <w:rPr>
          <w:rFonts w:eastAsia="Times New Roman" w:cs="AL-Mohanad" w:hint="cs"/>
          <w:sz w:val="27"/>
          <w:szCs w:val="27"/>
          <w:rtl/>
        </w:rPr>
        <w:t>،</w:t>
      </w:r>
      <w:r w:rsidRPr="00282AC9">
        <w:rPr>
          <w:rFonts w:eastAsia="Times New Roman" w:cs="AL-Mohanad"/>
          <w:sz w:val="27"/>
          <w:szCs w:val="27"/>
          <w:rtl/>
        </w:rPr>
        <w:t xml:space="preserve"> وإنما تستخدم توصيفات</w:t>
      </w:r>
      <w:r w:rsidR="001A7462" w:rsidRPr="00282AC9">
        <w:rPr>
          <w:rFonts w:eastAsia="Times New Roman" w:cs="AL-Mohanad" w:hint="cs"/>
          <w:sz w:val="27"/>
          <w:szCs w:val="27"/>
          <w:rtl/>
        </w:rPr>
        <w:t>ٍ</w:t>
      </w:r>
      <w:r w:rsidRPr="00282AC9">
        <w:rPr>
          <w:rFonts w:eastAsia="Times New Roman" w:cs="AL-Mohanad"/>
          <w:sz w:val="27"/>
          <w:szCs w:val="27"/>
          <w:rtl/>
        </w:rPr>
        <w:t xml:space="preserve"> معي</w:t>
      </w:r>
      <w:r w:rsidR="001A7462" w:rsidRPr="00282AC9">
        <w:rPr>
          <w:rFonts w:eastAsia="Times New Roman" w:cs="AL-Mohanad" w:hint="cs"/>
          <w:sz w:val="27"/>
          <w:szCs w:val="27"/>
          <w:rtl/>
        </w:rPr>
        <w:t>َّ</w:t>
      </w:r>
      <w:r w:rsidRPr="00282AC9">
        <w:rPr>
          <w:rFonts w:eastAsia="Times New Roman" w:cs="AL-Mohanad"/>
          <w:sz w:val="27"/>
          <w:szCs w:val="27"/>
          <w:rtl/>
        </w:rPr>
        <w:t>نة بالنسبة إلى المرأة العقيم</w:t>
      </w:r>
      <w:r w:rsidR="001A7462" w:rsidRPr="00282AC9">
        <w:rPr>
          <w:rFonts w:eastAsia="Times New Roman" w:cs="AL-Mohanad" w:hint="cs"/>
          <w:sz w:val="27"/>
          <w:szCs w:val="27"/>
          <w:rtl/>
        </w:rPr>
        <w:t>،</w:t>
      </w:r>
      <w:r w:rsidRPr="00282AC9">
        <w:rPr>
          <w:rFonts w:eastAsia="Times New Roman" w:cs="AL-Mohanad"/>
          <w:sz w:val="27"/>
          <w:szCs w:val="27"/>
          <w:rtl/>
        </w:rPr>
        <w:t xml:space="preserve"> والزواج منها</w:t>
      </w:r>
      <w:r w:rsidR="001A7462" w:rsidRPr="00282AC9">
        <w:rPr>
          <w:rFonts w:eastAsia="Times New Roman" w:cs="AL-Mohanad" w:hint="cs"/>
          <w:sz w:val="27"/>
          <w:szCs w:val="27"/>
          <w:rtl/>
        </w:rPr>
        <w:t>،</w:t>
      </w:r>
      <w:r w:rsidRPr="00282AC9">
        <w:rPr>
          <w:rFonts w:eastAsia="Times New Roman" w:cs="AL-Mohanad"/>
          <w:sz w:val="27"/>
          <w:szCs w:val="27"/>
          <w:rtl/>
        </w:rPr>
        <w:t xml:space="preserve"> التي قد</w:t>
      </w:r>
      <w:r w:rsidRPr="00282AC9">
        <w:rPr>
          <w:rFonts w:eastAsia="Times New Roman" w:cs="AL-Mohanad" w:hint="cs"/>
          <w:sz w:val="27"/>
          <w:szCs w:val="27"/>
          <w:rtl/>
        </w:rPr>
        <w:t xml:space="preserve"> لا</w:t>
      </w:r>
      <w:r w:rsidRPr="00282AC9">
        <w:rPr>
          <w:rFonts w:eastAsia="Times New Roman" w:cs="AL-Mohanad"/>
          <w:sz w:val="27"/>
          <w:szCs w:val="27"/>
          <w:rtl/>
        </w:rPr>
        <w:t xml:space="preserve"> ي</w:t>
      </w:r>
      <w:r w:rsidR="001A7462" w:rsidRPr="00282AC9">
        <w:rPr>
          <w:rFonts w:eastAsia="Times New Roman" w:cs="AL-Mohanad" w:hint="cs"/>
          <w:sz w:val="27"/>
          <w:szCs w:val="27"/>
          <w:rtl/>
        </w:rPr>
        <w:t>ُ</w:t>
      </w:r>
      <w:r w:rsidRPr="00282AC9">
        <w:rPr>
          <w:rFonts w:eastAsia="Times New Roman" w:cs="AL-Mohanad"/>
          <w:sz w:val="27"/>
          <w:szCs w:val="27"/>
          <w:rtl/>
        </w:rPr>
        <w:t>ستفاد منها الكراهة القانونية، ولكن</w:t>
      </w:r>
      <w:r w:rsidRPr="00282AC9">
        <w:rPr>
          <w:rFonts w:eastAsia="Times New Roman" w:cs="AL-Mohanad" w:hint="cs"/>
          <w:sz w:val="27"/>
          <w:szCs w:val="27"/>
          <w:rtl/>
        </w:rPr>
        <w:t>ّ</w:t>
      </w:r>
      <w:r w:rsidRPr="00282AC9">
        <w:rPr>
          <w:rFonts w:eastAsia="Times New Roman" w:cs="AL-Mohanad"/>
          <w:sz w:val="27"/>
          <w:szCs w:val="27"/>
          <w:rtl/>
        </w:rPr>
        <w:t>ها من حيث استخدامها تعابير معي</w:t>
      </w:r>
      <w:r w:rsidR="001A7462" w:rsidRPr="00282AC9">
        <w:rPr>
          <w:rFonts w:eastAsia="Times New Roman" w:cs="AL-Mohanad" w:hint="cs"/>
          <w:sz w:val="27"/>
          <w:szCs w:val="27"/>
          <w:rtl/>
        </w:rPr>
        <w:t>َّ</w:t>
      </w:r>
      <w:r w:rsidRPr="00282AC9">
        <w:rPr>
          <w:rFonts w:eastAsia="Times New Roman" w:cs="AL-Mohanad"/>
          <w:sz w:val="27"/>
          <w:szCs w:val="27"/>
          <w:rtl/>
        </w:rPr>
        <w:t>نة بالنسبة إلى المرأة العقيم جديرة</w:t>
      </w:r>
      <w:r w:rsidR="001A7462" w:rsidRPr="00282AC9">
        <w:rPr>
          <w:rFonts w:eastAsia="Times New Roman" w:cs="AL-Mohanad" w:hint="cs"/>
          <w:sz w:val="27"/>
          <w:szCs w:val="27"/>
          <w:rtl/>
        </w:rPr>
        <w:t>ٌ</w:t>
      </w:r>
      <w:r w:rsidRPr="00282AC9">
        <w:rPr>
          <w:rFonts w:eastAsia="Times New Roman" w:cs="AL-Mohanad"/>
          <w:sz w:val="27"/>
          <w:szCs w:val="27"/>
          <w:rtl/>
        </w:rPr>
        <w:t xml:space="preserve"> بالاهتمام.</w:t>
      </w:r>
    </w:p>
    <w:p w:rsidR="001153F1" w:rsidRPr="00282AC9" w:rsidRDefault="001153F1" w:rsidP="003E218F">
      <w:pPr>
        <w:rPr>
          <w:sz w:val="27"/>
          <w:rtl/>
        </w:rPr>
      </w:pPr>
      <w:r w:rsidRPr="00282AC9">
        <w:rPr>
          <w:sz w:val="27"/>
          <w:rtl/>
        </w:rPr>
        <w:lastRenderedPageBreak/>
        <w:t>ثم</w:t>
      </w:r>
      <w:r w:rsidR="001A7462" w:rsidRPr="00282AC9">
        <w:rPr>
          <w:rFonts w:hint="cs"/>
          <w:sz w:val="27"/>
          <w:rtl/>
        </w:rPr>
        <w:t>ّ</w:t>
      </w:r>
      <w:r w:rsidRPr="00282AC9">
        <w:rPr>
          <w:sz w:val="27"/>
          <w:rtl/>
        </w:rPr>
        <w:t xml:space="preserve"> </w:t>
      </w:r>
      <w:r w:rsidR="007F0993" w:rsidRPr="00282AC9">
        <w:rPr>
          <w:rFonts w:hint="cs"/>
          <w:sz w:val="27"/>
          <w:rtl/>
        </w:rPr>
        <w:t>ي</w:t>
      </w:r>
      <w:r w:rsidRPr="00282AC9">
        <w:rPr>
          <w:sz w:val="27"/>
          <w:rtl/>
        </w:rPr>
        <w:t>ستمر</w:t>
      </w:r>
      <w:r w:rsidRPr="00282AC9">
        <w:rPr>
          <w:rFonts w:hint="cs"/>
          <w:sz w:val="27"/>
          <w:rtl/>
        </w:rPr>
        <w:t>ّ</w:t>
      </w:r>
      <w:r w:rsidRPr="00282AC9">
        <w:rPr>
          <w:sz w:val="27"/>
          <w:rtl/>
        </w:rPr>
        <w:t xml:space="preserve"> البحث في كل</w:t>
      </w:r>
      <w:r w:rsidRPr="00282AC9">
        <w:rPr>
          <w:rFonts w:hint="cs"/>
          <w:sz w:val="27"/>
          <w:rtl/>
        </w:rPr>
        <w:t>ّ</w:t>
      </w:r>
      <w:r w:rsidRPr="00282AC9">
        <w:rPr>
          <w:sz w:val="27"/>
          <w:rtl/>
        </w:rPr>
        <w:t xml:space="preserve"> قسم</w:t>
      </w:r>
      <w:r w:rsidRPr="00282AC9">
        <w:rPr>
          <w:rFonts w:hint="cs"/>
          <w:sz w:val="27"/>
          <w:rtl/>
        </w:rPr>
        <w:t>ٍ</w:t>
      </w:r>
      <w:r w:rsidRPr="00282AC9">
        <w:rPr>
          <w:sz w:val="27"/>
          <w:rtl/>
        </w:rPr>
        <w:t xml:space="preserve"> من خلال مرحلتين:</w:t>
      </w:r>
    </w:p>
    <w:p w:rsidR="001153F1" w:rsidRPr="00282AC9" w:rsidRDefault="001153F1" w:rsidP="003E218F">
      <w:pPr>
        <w:pStyle w:val="afe"/>
        <w:spacing w:after="0" w:line="400" w:lineRule="exact"/>
        <w:ind w:left="0" w:firstLine="567"/>
        <w:jc w:val="both"/>
        <w:rPr>
          <w:rFonts w:cs="AL-Mohanad"/>
          <w:sz w:val="27"/>
          <w:szCs w:val="27"/>
          <w:rtl/>
        </w:rPr>
      </w:pPr>
      <w:r w:rsidRPr="00282AC9">
        <w:rPr>
          <w:rFonts w:cs="AL-Mohanad"/>
          <w:b/>
          <w:bCs/>
          <w:sz w:val="27"/>
          <w:szCs w:val="27"/>
          <w:rtl/>
        </w:rPr>
        <w:t>المرحلة الأولى</w:t>
      </w:r>
      <w:r w:rsidRPr="00282AC9">
        <w:rPr>
          <w:rFonts w:cs="AL-Mohanad"/>
          <w:sz w:val="27"/>
          <w:szCs w:val="27"/>
          <w:rtl/>
        </w:rPr>
        <w:t>: الدراسة التفصيلية للروايات</w:t>
      </w:r>
      <w:r w:rsidR="007F0993" w:rsidRPr="00282AC9">
        <w:rPr>
          <w:rFonts w:cs="AL-Mohanad" w:hint="cs"/>
          <w:sz w:val="27"/>
          <w:szCs w:val="27"/>
          <w:rtl/>
        </w:rPr>
        <w:t>.</w:t>
      </w:r>
      <w:r w:rsidRPr="00282AC9">
        <w:rPr>
          <w:rFonts w:cs="AL-Mohanad"/>
          <w:sz w:val="27"/>
          <w:szCs w:val="27"/>
          <w:rtl/>
        </w:rPr>
        <w:t xml:space="preserve"> </w:t>
      </w:r>
      <w:r w:rsidR="007F0993" w:rsidRPr="00282AC9">
        <w:rPr>
          <w:rFonts w:cs="AL-Mohanad" w:hint="cs"/>
          <w:sz w:val="27"/>
          <w:szCs w:val="27"/>
          <w:rtl/>
        </w:rPr>
        <w:t>و</w:t>
      </w:r>
      <w:r w:rsidRPr="00282AC9">
        <w:rPr>
          <w:rFonts w:cs="AL-Mohanad"/>
          <w:sz w:val="27"/>
          <w:szCs w:val="27"/>
          <w:rtl/>
        </w:rPr>
        <w:t>في هذه المرحلة نحاول أن نجمع جميع الروايات المت</w:t>
      </w:r>
      <w:r w:rsidR="007F0993" w:rsidRPr="00282AC9">
        <w:rPr>
          <w:rFonts w:cs="AL-Mohanad" w:hint="cs"/>
          <w:sz w:val="27"/>
          <w:szCs w:val="27"/>
          <w:rtl/>
        </w:rPr>
        <w:t>َّ</w:t>
      </w:r>
      <w:r w:rsidRPr="00282AC9">
        <w:rPr>
          <w:rFonts w:cs="AL-Mohanad"/>
          <w:sz w:val="27"/>
          <w:szCs w:val="27"/>
          <w:rtl/>
        </w:rPr>
        <w:t>صلة بهذا الموضوع من المصادر الحديثية</w:t>
      </w:r>
      <w:r w:rsidR="007F0993" w:rsidRPr="00282AC9">
        <w:rPr>
          <w:rFonts w:cs="AL-Mohanad" w:hint="cs"/>
          <w:sz w:val="27"/>
          <w:szCs w:val="27"/>
          <w:rtl/>
        </w:rPr>
        <w:t>،</w:t>
      </w:r>
      <w:r w:rsidRPr="00282AC9">
        <w:rPr>
          <w:rFonts w:cs="AL-Mohanad"/>
          <w:sz w:val="27"/>
          <w:szCs w:val="27"/>
          <w:rtl/>
        </w:rPr>
        <w:t xml:space="preserve"> الإمامية والسن</w:t>
      </w:r>
      <w:r w:rsidR="007F0993" w:rsidRPr="00282AC9">
        <w:rPr>
          <w:rFonts w:cs="AL-Mohanad" w:hint="cs"/>
          <w:sz w:val="27"/>
          <w:szCs w:val="27"/>
          <w:rtl/>
        </w:rPr>
        <w:t>ّ</w:t>
      </w:r>
      <w:r w:rsidRPr="00282AC9">
        <w:rPr>
          <w:rFonts w:cs="AL-Mohanad"/>
          <w:sz w:val="27"/>
          <w:szCs w:val="27"/>
          <w:rtl/>
        </w:rPr>
        <w:t>ية، وندرسها دراسة</w:t>
      </w:r>
      <w:r w:rsidR="007F0993" w:rsidRPr="00282AC9">
        <w:rPr>
          <w:rFonts w:cs="AL-Mohanad" w:hint="cs"/>
          <w:sz w:val="27"/>
          <w:szCs w:val="27"/>
          <w:rtl/>
        </w:rPr>
        <w:t>ً</w:t>
      </w:r>
      <w:r w:rsidRPr="00282AC9">
        <w:rPr>
          <w:rFonts w:cs="AL-Mohanad"/>
          <w:sz w:val="27"/>
          <w:szCs w:val="27"/>
          <w:rtl/>
        </w:rPr>
        <w:t xml:space="preserve"> سندية ودلالية. </w:t>
      </w:r>
    </w:p>
    <w:p w:rsidR="001153F1" w:rsidRPr="00282AC9" w:rsidRDefault="001153F1" w:rsidP="003E218F">
      <w:pPr>
        <w:pStyle w:val="afe"/>
        <w:widowControl w:val="0"/>
        <w:spacing w:after="0" w:line="400" w:lineRule="exact"/>
        <w:ind w:left="0" w:firstLine="567"/>
        <w:jc w:val="both"/>
        <w:rPr>
          <w:rFonts w:cs="AL-Mohanad"/>
          <w:sz w:val="27"/>
          <w:szCs w:val="27"/>
          <w:rtl/>
        </w:rPr>
      </w:pPr>
      <w:r w:rsidRPr="00282AC9">
        <w:rPr>
          <w:rFonts w:cs="AL-Mohanad"/>
          <w:b/>
          <w:bCs/>
          <w:sz w:val="27"/>
          <w:szCs w:val="27"/>
          <w:rtl/>
        </w:rPr>
        <w:t>المرحلة الثانية</w:t>
      </w:r>
      <w:r w:rsidRPr="00282AC9">
        <w:rPr>
          <w:rFonts w:cs="AL-Mohanad"/>
          <w:sz w:val="27"/>
          <w:szCs w:val="27"/>
          <w:rtl/>
        </w:rPr>
        <w:t>: الدراسة الاجمالي</w:t>
      </w:r>
      <w:r w:rsidR="007F0993" w:rsidRPr="00282AC9">
        <w:rPr>
          <w:rFonts w:cs="AL-Mohanad" w:hint="cs"/>
          <w:sz w:val="27"/>
          <w:szCs w:val="27"/>
          <w:rtl/>
        </w:rPr>
        <w:t>ّ</w:t>
      </w:r>
      <w:r w:rsidRPr="00282AC9">
        <w:rPr>
          <w:rFonts w:cs="AL-Mohanad"/>
          <w:sz w:val="27"/>
          <w:szCs w:val="27"/>
          <w:rtl/>
        </w:rPr>
        <w:t>ة للروايات</w:t>
      </w:r>
      <w:r w:rsidR="007F0993" w:rsidRPr="00282AC9">
        <w:rPr>
          <w:rFonts w:cs="AL-Mohanad" w:hint="cs"/>
          <w:sz w:val="27"/>
          <w:szCs w:val="27"/>
          <w:rtl/>
        </w:rPr>
        <w:t>.</w:t>
      </w:r>
      <w:r w:rsidRPr="00282AC9">
        <w:rPr>
          <w:rFonts w:cs="AL-Mohanad"/>
          <w:sz w:val="27"/>
          <w:szCs w:val="27"/>
          <w:rtl/>
        </w:rPr>
        <w:t xml:space="preserve"> </w:t>
      </w:r>
      <w:r w:rsidR="007F0993" w:rsidRPr="00282AC9">
        <w:rPr>
          <w:rFonts w:cs="AL-Mohanad" w:hint="cs"/>
          <w:sz w:val="27"/>
          <w:szCs w:val="27"/>
          <w:rtl/>
        </w:rPr>
        <w:t>ف</w:t>
      </w:r>
      <w:r w:rsidRPr="00282AC9">
        <w:rPr>
          <w:rFonts w:cs="AL-Mohanad"/>
          <w:sz w:val="27"/>
          <w:szCs w:val="27"/>
          <w:rtl/>
        </w:rPr>
        <w:t>بعد أن د</w:t>
      </w:r>
      <w:r w:rsidR="007F0993" w:rsidRPr="00282AC9">
        <w:rPr>
          <w:rFonts w:cs="AL-Mohanad" w:hint="cs"/>
          <w:sz w:val="27"/>
          <w:szCs w:val="27"/>
          <w:rtl/>
        </w:rPr>
        <w:t>َ</w:t>
      </w:r>
      <w:r w:rsidRPr="00282AC9">
        <w:rPr>
          <w:rFonts w:cs="AL-Mohanad"/>
          <w:sz w:val="27"/>
          <w:szCs w:val="27"/>
          <w:rtl/>
        </w:rPr>
        <w:t>ر</w:t>
      </w:r>
      <w:r w:rsidR="007F0993" w:rsidRPr="00282AC9">
        <w:rPr>
          <w:rFonts w:cs="AL-Mohanad" w:hint="cs"/>
          <w:sz w:val="27"/>
          <w:szCs w:val="27"/>
          <w:rtl/>
        </w:rPr>
        <w:t>َ</w:t>
      </w:r>
      <w:r w:rsidRPr="00282AC9">
        <w:rPr>
          <w:rFonts w:cs="AL-Mohanad"/>
          <w:sz w:val="27"/>
          <w:szCs w:val="27"/>
          <w:rtl/>
        </w:rPr>
        <w:t>س</w:t>
      </w:r>
      <w:r w:rsidR="007F0993" w:rsidRPr="00282AC9">
        <w:rPr>
          <w:rFonts w:cs="AL-Mohanad" w:hint="cs"/>
          <w:sz w:val="27"/>
          <w:szCs w:val="27"/>
          <w:rtl/>
        </w:rPr>
        <w:t>ْ</w:t>
      </w:r>
      <w:r w:rsidRPr="00282AC9">
        <w:rPr>
          <w:rFonts w:cs="AL-Mohanad"/>
          <w:sz w:val="27"/>
          <w:szCs w:val="27"/>
          <w:rtl/>
        </w:rPr>
        <w:t>نا جميع الروايات مستقل</w:t>
      </w:r>
      <w:r w:rsidR="007F0993" w:rsidRPr="00282AC9">
        <w:rPr>
          <w:rFonts w:cs="AL-Mohanad" w:hint="cs"/>
          <w:sz w:val="27"/>
          <w:szCs w:val="27"/>
          <w:rtl/>
        </w:rPr>
        <w:t>ّ</w:t>
      </w:r>
      <w:r w:rsidRPr="00282AC9">
        <w:rPr>
          <w:rFonts w:cs="AL-Mohanad"/>
          <w:sz w:val="27"/>
          <w:szCs w:val="27"/>
          <w:rtl/>
        </w:rPr>
        <w:t>ة</w:t>
      </w:r>
      <w:r w:rsidR="007F0993" w:rsidRPr="00282AC9">
        <w:rPr>
          <w:rFonts w:cs="AL-Mohanad" w:hint="cs"/>
          <w:sz w:val="27"/>
          <w:szCs w:val="27"/>
          <w:rtl/>
        </w:rPr>
        <w:t>ً</w:t>
      </w:r>
      <w:r w:rsidRPr="00282AC9">
        <w:rPr>
          <w:rFonts w:cs="AL-Mohanad"/>
          <w:sz w:val="27"/>
          <w:szCs w:val="27"/>
          <w:rtl/>
        </w:rPr>
        <w:t xml:space="preserve"> سوف نحاول أن ندرسها جميعاً إلى جانب بعضها البعض</w:t>
      </w:r>
      <w:r w:rsidR="007F0993" w:rsidRPr="00282AC9">
        <w:rPr>
          <w:rFonts w:cs="AL-Mohanad" w:hint="cs"/>
          <w:sz w:val="27"/>
          <w:szCs w:val="27"/>
          <w:rtl/>
        </w:rPr>
        <w:t>؛</w:t>
      </w:r>
      <w:r w:rsidRPr="00282AC9">
        <w:rPr>
          <w:rFonts w:cs="AL-Mohanad"/>
          <w:sz w:val="27"/>
          <w:szCs w:val="27"/>
          <w:rtl/>
        </w:rPr>
        <w:t xml:space="preserve"> لنخرج بنتيجة</w:t>
      </w:r>
      <w:r w:rsidR="007F0993" w:rsidRPr="00282AC9">
        <w:rPr>
          <w:rFonts w:cs="AL-Mohanad" w:hint="cs"/>
          <w:sz w:val="27"/>
          <w:szCs w:val="27"/>
          <w:rtl/>
        </w:rPr>
        <w:t>ٍ</w:t>
      </w:r>
      <w:r w:rsidRPr="00282AC9">
        <w:rPr>
          <w:rFonts w:cs="AL-Mohanad"/>
          <w:sz w:val="27"/>
          <w:szCs w:val="27"/>
          <w:rtl/>
        </w:rPr>
        <w:t xml:space="preserve"> </w:t>
      </w:r>
      <w:r w:rsidR="007F0993" w:rsidRPr="00282AC9">
        <w:rPr>
          <w:rFonts w:cs="AL-Mohanad" w:hint="cs"/>
          <w:sz w:val="27"/>
          <w:szCs w:val="27"/>
          <w:rtl/>
        </w:rPr>
        <w:t>شاملة</w:t>
      </w:r>
      <w:r w:rsidRPr="00282AC9">
        <w:rPr>
          <w:rFonts w:cs="AL-Mohanad"/>
          <w:sz w:val="27"/>
          <w:szCs w:val="27"/>
          <w:rtl/>
        </w:rPr>
        <w:t xml:space="preserve"> عن رؤية الس</w:t>
      </w:r>
      <w:r w:rsidR="007F0993" w:rsidRPr="00282AC9">
        <w:rPr>
          <w:rFonts w:cs="AL-Mohanad" w:hint="cs"/>
          <w:sz w:val="27"/>
          <w:szCs w:val="27"/>
          <w:rtl/>
        </w:rPr>
        <w:t>ُّ</w:t>
      </w:r>
      <w:r w:rsidRPr="00282AC9">
        <w:rPr>
          <w:rFonts w:cs="AL-Mohanad"/>
          <w:sz w:val="27"/>
          <w:szCs w:val="27"/>
          <w:rtl/>
        </w:rPr>
        <w:t>ن</w:t>
      </w:r>
      <w:r w:rsidR="007F0993" w:rsidRPr="00282AC9">
        <w:rPr>
          <w:rFonts w:cs="AL-Mohanad" w:hint="cs"/>
          <w:sz w:val="27"/>
          <w:szCs w:val="27"/>
          <w:rtl/>
        </w:rPr>
        <w:t>َّ</w:t>
      </w:r>
      <w:r w:rsidRPr="00282AC9">
        <w:rPr>
          <w:rFonts w:cs="AL-Mohanad"/>
          <w:sz w:val="27"/>
          <w:szCs w:val="27"/>
          <w:rtl/>
        </w:rPr>
        <w:t>ة الشريفة تجاه</w:t>
      </w:r>
      <w:r w:rsidRPr="00282AC9">
        <w:rPr>
          <w:rFonts w:cs="AL-Mohanad" w:hint="cs"/>
          <w:sz w:val="27"/>
          <w:szCs w:val="27"/>
          <w:rtl/>
        </w:rPr>
        <w:t>َ</w:t>
      </w:r>
      <w:r w:rsidRPr="00282AC9">
        <w:rPr>
          <w:rFonts w:cs="AL-Mohanad"/>
          <w:sz w:val="27"/>
          <w:szCs w:val="27"/>
          <w:rtl/>
        </w:rPr>
        <w:t xml:space="preserve"> المرأة العقيم</w:t>
      </w:r>
      <w:r w:rsidR="007F0993" w:rsidRPr="00282AC9">
        <w:rPr>
          <w:rFonts w:cs="AL-Mohanad" w:hint="cs"/>
          <w:sz w:val="27"/>
          <w:szCs w:val="27"/>
          <w:rtl/>
        </w:rPr>
        <w:t>،</w:t>
      </w:r>
      <w:r w:rsidRPr="00282AC9">
        <w:rPr>
          <w:rFonts w:cs="AL-Mohanad"/>
          <w:sz w:val="27"/>
          <w:szCs w:val="27"/>
          <w:rtl/>
        </w:rPr>
        <w:t xml:space="preserve"> والزواج منها. </w:t>
      </w:r>
    </w:p>
    <w:p w:rsidR="00F943B4" w:rsidRPr="00282AC9" w:rsidRDefault="00F943B4" w:rsidP="00F943B4">
      <w:pPr>
        <w:spacing w:line="420" w:lineRule="exact"/>
        <w:rPr>
          <w:sz w:val="27"/>
          <w:rtl/>
        </w:rPr>
      </w:pPr>
    </w:p>
    <w:p w:rsidR="001153F1" w:rsidRPr="00282AC9" w:rsidRDefault="001153F1" w:rsidP="00416806">
      <w:pPr>
        <w:pStyle w:val="31"/>
        <w:rPr>
          <w:b/>
          <w:color w:val="auto"/>
          <w:rtl/>
        </w:rPr>
      </w:pPr>
      <w:r w:rsidRPr="00282AC9">
        <w:rPr>
          <w:rFonts w:hint="cs"/>
          <w:color w:val="auto"/>
          <w:rtl/>
        </w:rPr>
        <w:t>أوّلاً</w:t>
      </w:r>
      <w:r w:rsidRPr="00282AC9">
        <w:rPr>
          <w:color w:val="auto"/>
          <w:rtl/>
        </w:rPr>
        <w:t xml:space="preserve">: </w:t>
      </w:r>
      <w:r w:rsidRPr="00282AC9">
        <w:rPr>
          <w:rFonts w:hint="cs"/>
          <w:color w:val="auto"/>
          <w:rtl/>
        </w:rPr>
        <w:t>النصوص</w:t>
      </w:r>
      <w:r w:rsidRPr="00282AC9">
        <w:rPr>
          <w:color w:val="auto"/>
          <w:rtl/>
        </w:rPr>
        <w:t xml:space="preserve"> القانونية </w:t>
      </w:r>
      <w:r w:rsidR="00416806" w:rsidRPr="00282AC9">
        <w:rPr>
          <w:rFonts w:hint="cs"/>
          <w:color w:val="auto"/>
          <w:rtl/>
        </w:rPr>
        <w:t>في</w:t>
      </w:r>
      <w:r w:rsidRPr="00282AC9">
        <w:rPr>
          <w:color w:val="auto"/>
          <w:rtl/>
        </w:rPr>
        <w:t xml:space="preserve"> كراهة الزواج </w:t>
      </w:r>
      <w:r w:rsidR="00416806" w:rsidRPr="00282AC9">
        <w:rPr>
          <w:rFonts w:hint="cs"/>
          <w:color w:val="auto"/>
          <w:rtl/>
        </w:rPr>
        <w:t>ب</w:t>
      </w:r>
      <w:r w:rsidRPr="00282AC9">
        <w:rPr>
          <w:color w:val="auto"/>
          <w:rtl/>
        </w:rPr>
        <w:t xml:space="preserve">المرأة العقيم أو استحباب الزواج </w:t>
      </w:r>
      <w:r w:rsidR="00416806" w:rsidRPr="00282AC9">
        <w:rPr>
          <w:rFonts w:hint="cs"/>
          <w:color w:val="auto"/>
          <w:rtl/>
        </w:rPr>
        <w:t>ب</w:t>
      </w:r>
      <w:r w:rsidRPr="00282AC9">
        <w:rPr>
          <w:color w:val="auto"/>
          <w:rtl/>
        </w:rPr>
        <w:t>المرأة ال</w:t>
      </w:r>
      <w:r w:rsidRPr="00282AC9">
        <w:rPr>
          <w:rFonts w:hint="cs"/>
          <w:color w:val="auto"/>
          <w:rtl/>
        </w:rPr>
        <w:t>ولود</w:t>
      </w:r>
      <w:r w:rsidRPr="00282AC9">
        <w:rPr>
          <w:color w:val="auto"/>
          <w:rtl/>
        </w:rPr>
        <w:t>،</w:t>
      </w:r>
      <w:r w:rsidRPr="00282AC9">
        <w:rPr>
          <w:rFonts w:hint="cs"/>
          <w:color w:val="auto"/>
          <w:rtl/>
        </w:rPr>
        <w:t xml:space="preserve"> رصد</w:t>
      </w:r>
      <w:r w:rsidR="00416806" w:rsidRPr="00282AC9">
        <w:rPr>
          <w:rFonts w:hint="cs"/>
          <w:color w:val="auto"/>
          <w:rtl/>
        </w:rPr>
        <w:t>ٌ</w:t>
      </w:r>
      <w:r w:rsidRPr="00282AC9">
        <w:rPr>
          <w:rFonts w:hint="cs"/>
          <w:color w:val="auto"/>
          <w:rtl/>
        </w:rPr>
        <w:t xml:space="preserve"> </w:t>
      </w:r>
      <w:r w:rsidR="00416806" w:rsidRPr="00282AC9">
        <w:rPr>
          <w:rFonts w:hint="cs"/>
          <w:color w:val="auto"/>
          <w:rtl/>
        </w:rPr>
        <w:t>تفصيليّ</w:t>
      </w:r>
    </w:p>
    <w:p w:rsidR="001153F1" w:rsidRPr="00282AC9" w:rsidRDefault="001153F1" w:rsidP="003E218F">
      <w:pPr>
        <w:rPr>
          <w:sz w:val="27"/>
          <w:rtl/>
        </w:rPr>
      </w:pPr>
      <w:r w:rsidRPr="00282AC9">
        <w:rPr>
          <w:rFonts w:hint="cs"/>
          <w:sz w:val="27"/>
          <w:rtl/>
        </w:rPr>
        <w:t>سوف ندرس هنا الروايات</w:t>
      </w:r>
      <w:r w:rsidR="007F0993" w:rsidRPr="00282AC9">
        <w:rPr>
          <w:rFonts w:hint="cs"/>
          <w:sz w:val="27"/>
          <w:rtl/>
        </w:rPr>
        <w:t>،</w:t>
      </w:r>
      <w:r w:rsidRPr="00282AC9">
        <w:rPr>
          <w:rFonts w:hint="cs"/>
          <w:sz w:val="27"/>
          <w:rtl/>
        </w:rPr>
        <w:t xml:space="preserve"> التي وج</w:t>
      </w:r>
      <w:r w:rsidR="007F0993" w:rsidRPr="00282AC9">
        <w:rPr>
          <w:rFonts w:hint="cs"/>
          <w:sz w:val="27"/>
          <w:rtl/>
        </w:rPr>
        <w:t>َ</w:t>
      </w:r>
      <w:r w:rsidRPr="00282AC9">
        <w:rPr>
          <w:rFonts w:hint="cs"/>
          <w:sz w:val="27"/>
          <w:rtl/>
        </w:rPr>
        <w:t>د</w:t>
      </w:r>
      <w:r w:rsidR="007F0993" w:rsidRPr="00282AC9">
        <w:rPr>
          <w:rFonts w:hint="cs"/>
          <w:sz w:val="27"/>
          <w:rtl/>
        </w:rPr>
        <w:t>ْ</w:t>
      </w:r>
      <w:r w:rsidRPr="00282AC9">
        <w:rPr>
          <w:rFonts w:hint="cs"/>
          <w:sz w:val="27"/>
          <w:rtl/>
        </w:rPr>
        <w:t>ناها في التراث الإمامي</w:t>
      </w:r>
      <w:r w:rsidR="007F0993" w:rsidRPr="00282AC9">
        <w:rPr>
          <w:rFonts w:hint="cs"/>
          <w:sz w:val="27"/>
          <w:rtl/>
        </w:rPr>
        <w:t>ّ،</w:t>
      </w:r>
      <w:r w:rsidRPr="00282AC9">
        <w:rPr>
          <w:sz w:val="27"/>
          <w:rtl/>
        </w:rPr>
        <w:t xml:space="preserve"> </w:t>
      </w:r>
      <w:r w:rsidRPr="00282AC9">
        <w:rPr>
          <w:rFonts w:hint="cs"/>
          <w:sz w:val="27"/>
          <w:rtl/>
        </w:rPr>
        <w:t>التي تشتمل على تعابير قانونية (الأوامر والنواهي) تت</w:t>
      </w:r>
      <w:r w:rsidR="007F0993" w:rsidRPr="00282AC9">
        <w:rPr>
          <w:rFonts w:hint="cs"/>
          <w:sz w:val="27"/>
          <w:rtl/>
        </w:rPr>
        <w:t>ّ</w:t>
      </w:r>
      <w:r w:rsidRPr="00282AC9">
        <w:rPr>
          <w:rFonts w:hint="cs"/>
          <w:sz w:val="27"/>
          <w:rtl/>
        </w:rPr>
        <w:t>صل بكراهة الزواج من المرأة العقيم</w:t>
      </w:r>
      <w:r w:rsidR="007F0993" w:rsidRPr="00282AC9">
        <w:rPr>
          <w:rFonts w:hint="cs"/>
          <w:sz w:val="27"/>
          <w:rtl/>
        </w:rPr>
        <w:t>،</w:t>
      </w:r>
      <w:r w:rsidRPr="00282AC9">
        <w:rPr>
          <w:rFonts w:hint="cs"/>
          <w:sz w:val="27"/>
          <w:rtl/>
        </w:rPr>
        <w:t xml:space="preserve"> أو استحباب الزواج من المرأة الولود</w:t>
      </w:r>
      <w:r w:rsidR="007F0993" w:rsidRPr="00282AC9">
        <w:rPr>
          <w:rFonts w:hint="cs"/>
          <w:sz w:val="27"/>
          <w:rtl/>
        </w:rPr>
        <w:t>.</w:t>
      </w:r>
      <w:r w:rsidRPr="00282AC9">
        <w:rPr>
          <w:rFonts w:hint="cs"/>
          <w:sz w:val="27"/>
          <w:rtl/>
        </w:rPr>
        <w:t xml:space="preserve"> </w:t>
      </w:r>
      <w:r w:rsidR="007F0993" w:rsidRPr="00282AC9">
        <w:rPr>
          <w:rFonts w:hint="cs"/>
          <w:sz w:val="27"/>
          <w:rtl/>
        </w:rPr>
        <w:t>و</w:t>
      </w:r>
      <w:r w:rsidRPr="00282AC9">
        <w:rPr>
          <w:rFonts w:hint="cs"/>
          <w:sz w:val="27"/>
          <w:rtl/>
        </w:rPr>
        <w:t>سنبدأ بالروايات التي تتحدّ</w:t>
      </w:r>
      <w:r w:rsidR="007F0993" w:rsidRPr="00282AC9">
        <w:rPr>
          <w:rFonts w:hint="cs"/>
          <w:sz w:val="27"/>
          <w:rtl/>
        </w:rPr>
        <w:t>َ</w:t>
      </w:r>
      <w:r w:rsidRPr="00282AC9">
        <w:rPr>
          <w:rFonts w:hint="cs"/>
          <w:sz w:val="27"/>
          <w:rtl/>
        </w:rPr>
        <w:t>ث مباشرة</w:t>
      </w:r>
      <w:r w:rsidR="007F0993" w:rsidRPr="00282AC9">
        <w:rPr>
          <w:rFonts w:hint="cs"/>
          <w:sz w:val="27"/>
          <w:rtl/>
        </w:rPr>
        <w:t>ً</w:t>
      </w:r>
      <w:r w:rsidRPr="00282AC9">
        <w:rPr>
          <w:rFonts w:hint="cs"/>
          <w:sz w:val="27"/>
          <w:rtl/>
        </w:rPr>
        <w:t xml:space="preserve"> عن العقيم</w:t>
      </w:r>
      <w:r w:rsidR="007F0993" w:rsidRPr="00282AC9">
        <w:rPr>
          <w:rFonts w:hint="cs"/>
          <w:sz w:val="27"/>
          <w:rtl/>
        </w:rPr>
        <w:t>،</w:t>
      </w:r>
      <w:r w:rsidRPr="00282AC9">
        <w:rPr>
          <w:rFonts w:hint="cs"/>
          <w:sz w:val="27"/>
          <w:rtl/>
        </w:rPr>
        <w:t xml:space="preserve"> وسنختم بالروايات التي تحثّ على الزو</w:t>
      </w:r>
      <w:r w:rsidR="007F0993" w:rsidRPr="00282AC9">
        <w:rPr>
          <w:rFonts w:hint="cs"/>
          <w:sz w:val="27"/>
          <w:rtl/>
        </w:rPr>
        <w:t>ا</w:t>
      </w:r>
      <w:r w:rsidRPr="00282AC9">
        <w:rPr>
          <w:rFonts w:hint="cs"/>
          <w:sz w:val="27"/>
          <w:rtl/>
        </w:rPr>
        <w:t>ج بالو</w:t>
      </w:r>
      <w:r w:rsidR="007F0993" w:rsidRPr="00282AC9">
        <w:rPr>
          <w:rFonts w:hint="cs"/>
          <w:sz w:val="27"/>
          <w:rtl/>
        </w:rPr>
        <w:t>َ</w:t>
      </w:r>
      <w:r w:rsidRPr="00282AC9">
        <w:rPr>
          <w:rFonts w:hint="cs"/>
          <w:sz w:val="27"/>
          <w:rtl/>
        </w:rPr>
        <w:t>ل</w:t>
      </w:r>
      <w:r w:rsidR="007F0993" w:rsidRPr="00282AC9">
        <w:rPr>
          <w:rFonts w:hint="cs"/>
          <w:sz w:val="27"/>
          <w:rtl/>
        </w:rPr>
        <w:t>ُ</w:t>
      </w:r>
      <w:r w:rsidRPr="00282AC9">
        <w:rPr>
          <w:rFonts w:hint="cs"/>
          <w:sz w:val="27"/>
          <w:rtl/>
        </w:rPr>
        <w:t>ود.</w:t>
      </w:r>
    </w:p>
    <w:p w:rsidR="001153F1" w:rsidRPr="00282AC9" w:rsidRDefault="007F0993" w:rsidP="003E218F">
      <w:pPr>
        <w:rPr>
          <w:sz w:val="27"/>
          <w:rtl/>
        </w:rPr>
      </w:pPr>
      <w:r w:rsidRPr="00282AC9">
        <w:rPr>
          <w:rFonts w:hint="cs"/>
          <w:sz w:val="27"/>
          <w:rtl/>
          <w:lang w:bidi="fa-IR"/>
        </w:rPr>
        <w:t>و</w:t>
      </w:r>
      <w:r w:rsidR="001153F1" w:rsidRPr="00282AC9">
        <w:rPr>
          <w:sz w:val="27"/>
          <w:rtl/>
          <w:lang w:bidi="fa-IR"/>
        </w:rPr>
        <w:t>بما أن هذه الروايات تشتمل على الصيغ القانونية</w:t>
      </w:r>
      <w:r w:rsidRPr="00282AC9">
        <w:rPr>
          <w:rFonts w:hint="cs"/>
          <w:sz w:val="27"/>
          <w:rtl/>
          <w:lang w:bidi="fa-IR"/>
        </w:rPr>
        <w:t>،</w:t>
      </w:r>
      <w:r w:rsidR="001153F1" w:rsidRPr="00282AC9">
        <w:rPr>
          <w:sz w:val="27"/>
          <w:rtl/>
          <w:lang w:bidi="fa-IR"/>
        </w:rPr>
        <w:t xml:space="preserve"> كالأمر والنهي</w:t>
      </w:r>
      <w:r w:rsidRPr="00282AC9">
        <w:rPr>
          <w:rFonts w:hint="cs"/>
          <w:sz w:val="27"/>
          <w:rtl/>
          <w:lang w:bidi="fa-IR"/>
        </w:rPr>
        <w:t>،</w:t>
      </w:r>
      <w:r w:rsidR="001153F1" w:rsidRPr="00282AC9">
        <w:rPr>
          <w:sz w:val="27"/>
          <w:rtl/>
          <w:lang w:bidi="fa-IR"/>
        </w:rPr>
        <w:t xml:space="preserve"> تكون دلالتها على الكراهة القانونية أو الاستحباب القانوني أقوى من غيرها، وكذلك </w:t>
      </w:r>
      <w:r w:rsidR="004573FA" w:rsidRPr="00282AC9">
        <w:rPr>
          <w:rFonts w:hint="cs"/>
          <w:sz w:val="27"/>
          <w:rtl/>
          <w:lang w:bidi="fa-IR"/>
        </w:rPr>
        <w:t xml:space="preserve">يكون </w:t>
      </w:r>
      <w:r w:rsidR="001153F1" w:rsidRPr="00282AC9">
        <w:rPr>
          <w:sz w:val="27"/>
          <w:rtl/>
          <w:lang w:bidi="fa-IR"/>
        </w:rPr>
        <w:t>حملها على الإرشادي</w:t>
      </w:r>
      <w:r w:rsidR="004573FA" w:rsidRPr="00282AC9">
        <w:rPr>
          <w:rFonts w:hint="cs"/>
          <w:sz w:val="27"/>
          <w:rtl/>
          <w:lang w:bidi="fa-IR"/>
        </w:rPr>
        <w:t>ّ</w:t>
      </w:r>
      <w:r w:rsidR="001153F1" w:rsidRPr="00282AC9">
        <w:rPr>
          <w:sz w:val="27"/>
          <w:rtl/>
          <w:lang w:bidi="fa-IR"/>
        </w:rPr>
        <w:t>ة أصعب.</w:t>
      </w:r>
    </w:p>
    <w:p w:rsidR="004573FA" w:rsidRPr="00282AC9" w:rsidRDefault="004573FA" w:rsidP="003E218F">
      <w:pPr>
        <w:rPr>
          <w:sz w:val="27"/>
          <w:rtl/>
        </w:rPr>
      </w:pPr>
      <w:r w:rsidRPr="00282AC9">
        <w:rPr>
          <w:rFonts w:hint="cs"/>
          <w:sz w:val="27"/>
          <w:rtl/>
        </w:rPr>
        <w:t>و</w:t>
      </w:r>
      <w:r w:rsidR="001153F1" w:rsidRPr="00282AC9">
        <w:rPr>
          <w:sz w:val="27"/>
          <w:rtl/>
        </w:rPr>
        <w:t>سوف نرك</w:t>
      </w:r>
      <w:r w:rsidR="001153F1" w:rsidRPr="00282AC9">
        <w:rPr>
          <w:rFonts w:hint="cs"/>
          <w:sz w:val="27"/>
          <w:rtl/>
        </w:rPr>
        <w:t>ّ</w:t>
      </w:r>
      <w:r w:rsidRPr="00282AC9">
        <w:rPr>
          <w:rFonts w:hint="cs"/>
          <w:sz w:val="27"/>
          <w:rtl/>
        </w:rPr>
        <w:t>ِ</w:t>
      </w:r>
      <w:r w:rsidR="001153F1" w:rsidRPr="00282AC9">
        <w:rPr>
          <w:sz w:val="27"/>
          <w:rtl/>
        </w:rPr>
        <w:t>ز في هذا الفصل على هذه الروايات</w:t>
      </w:r>
      <w:r w:rsidRPr="00282AC9">
        <w:rPr>
          <w:rFonts w:hint="cs"/>
          <w:sz w:val="27"/>
          <w:rtl/>
        </w:rPr>
        <w:t>،</w:t>
      </w:r>
      <w:r w:rsidR="001153F1" w:rsidRPr="00282AC9">
        <w:rPr>
          <w:sz w:val="27"/>
          <w:rtl/>
        </w:rPr>
        <w:t xml:space="preserve"> ونؤج</w:t>
      </w:r>
      <w:r w:rsidR="001153F1" w:rsidRPr="00282AC9">
        <w:rPr>
          <w:rFonts w:hint="cs"/>
          <w:sz w:val="27"/>
          <w:rtl/>
        </w:rPr>
        <w:t>ّ</w:t>
      </w:r>
      <w:r w:rsidRPr="00282AC9">
        <w:rPr>
          <w:rFonts w:hint="cs"/>
          <w:sz w:val="27"/>
          <w:rtl/>
        </w:rPr>
        <w:t>ِ</w:t>
      </w:r>
      <w:r w:rsidR="001153F1" w:rsidRPr="00282AC9">
        <w:rPr>
          <w:sz w:val="27"/>
          <w:rtl/>
        </w:rPr>
        <w:t>ل الحديث عن الروايات التوصيفية</w:t>
      </w:r>
      <w:r w:rsidRPr="00282AC9">
        <w:rPr>
          <w:rFonts w:hint="cs"/>
          <w:sz w:val="27"/>
          <w:rtl/>
        </w:rPr>
        <w:t xml:space="preserve">، </w:t>
      </w:r>
      <w:r w:rsidR="001153F1" w:rsidRPr="00282AC9">
        <w:rPr>
          <w:sz w:val="27"/>
          <w:rtl/>
        </w:rPr>
        <w:t>التي تتضم</w:t>
      </w:r>
      <w:r w:rsidR="001153F1" w:rsidRPr="00282AC9">
        <w:rPr>
          <w:rFonts w:hint="cs"/>
          <w:sz w:val="27"/>
          <w:rtl/>
        </w:rPr>
        <w:t>ّ</w:t>
      </w:r>
      <w:r w:rsidRPr="00282AC9">
        <w:rPr>
          <w:rFonts w:hint="cs"/>
          <w:sz w:val="27"/>
          <w:rtl/>
        </w:rPr>
        <w:t>َ</w:t>
      </w:r>
      <w:r w:rsidR="001153F1" w:rsidRPr="00282AC9">
        <w:rPr>
          <w:sz w:val="27"/>
          <w:rtl/>
        </w:rPr>
        <w:t xml:space="preserve">ن تعابير قد </w:t>
      </w:r>
      <w:r w:rsidRPr="00282AC9">
        <w:rPr>
          <w:rFonts w:hint="cs"/>
          <w:sz w:val="27"/>
          <w:rtl/>
        </w:rPr>
        <w:t>ي</w:t>
      </w:r>
      <w:r w:rsidR="001153F1" w:rsidRPr="00282AC9">
        <w:rPr>
          <w:sz w:val="27"/>
          <w:rtl/>
        </w:rPr>
        <w:t xml:space="preserve">بدو </w:t>
      </w:r>
      <w:r w:rsidRPr="00282AC9">
        <w:rPr>
          <w:rFonts w:hint="cs"/>
          <w:sz w:val="27"/>
          <w:rtl/>
        </w:rPr>
        <w:t>فيها تشنيعٌ</w:t>
      </w:r>
      <w:r w:rsidR="001153F1" w:rsidRPr="00282AC9">
        <w:rPr>
          <w:sz w:val="27"/>
          <w:rtl/>
        </w:rPr>
        <w:t xml:space="preserve"> في حق</w:t>
      </w:r>
      <w:r w:rsidRPr="00282AC9">
        <w:rPr>
          <w:rFonts w:hint="cs"/>
          <w:sz w:val="27"/>
          <w:rtl/>
        </w:rPr>
        <w:t>ّ</w:t>
      </w:r>
      <w:r w:rsidR="001153F1" w:rsidRPr="00282AC9">
        <w:rPr>
          <w:sz w:val="27"/>
          <w:rtl/>
        </w:rPr>
        <w:t xml:space="preserve"> المرأة العقيمة إلى القسم الثاني من البحث</w:t>
      </w:r>
      <w:r w:rsidRPr="00282AC9">
        <w:rPr>
          <w:rFonts w:hint="cs"/>
          <w:sz w:val="27"/>
          <w:rtl/>
        </w:rPr>
        <w:t xml:space="preserve">؛ </w:t>
      </w:r>
      <w:r w:rsidR="001153F1" w:rsidRPr="00282AC9">
        <w:rPr>
          <w:sz w:val="27"/>
          <w:rtl/>
        </w:rPr>
        <w:t>حيث خص</w:t>
      </w:r>
      <w:r w:rsidRPr="00282AC9">
        <w:rPr>
          <w:rFonts w:hint="cs"/>
          <w:sz w:val="27"/>
          <w:rtl/>
        </w:rPr>
        <w:t>َّ</w:t>
      </w:r>
      <w:r w:rsidRPr="00282AC9">
        <w:rPr>
          <w:sz w:val="27"/>
          <w:rtl/>
        </w:rPr>
        <w:t>صنا بحثاً مستقلا</w:t>
      </w:r>
      <w:r w:rsidRPr="00282AC9">
        <w:rPr>
          <w:rFonts w:hint="cs"/>
          <w:sz w:val="27"/>
          <w:rtl/>
        </w:rPr>
        <w:t>ًّ</w:t>
      </w:r>
      <w:r w:rsidRPr="00282AC9">
        <w:rPr>
          <w:sz w:val="27"/>
          <w:rtl/>
        </w:rPr>
        <w:t xml:space="preserve"> في هذا الموضوع.</w:t>
      </w:r>
    </w:p>
    <w:p w:rsidR="001153F1" w:rsidRPr="00282AC9" w:rsidRDefault="001153F1" w:rsidP="00F943B4">
      <w:pPr>
        <w:spacing w:line="410" w:lineRule="exact"/>
        <w:rPr>
          <w:sz w:val="27"/>
          <w:rtl/>
        </w:rPr>
      </w:pPr>
      <w:r w:rsidRPr="00282AC9">
        <w:rPr>
          <w:sz w:val="27"/>
          <w:rtl/>
        </w:rPr>
        <w:t>نعم</w:t>
      </w:r>
      <w:r w:rsidR="004573FA" w:rsidRPr="00282AC9">
        <w:rPr>
          <w:rFonts w:hint="cs"/>
          <w:sz w:val="27"/>
          <w:rtl/>
        </w:rPr>
        <w:t>،</w:t>
      </w:r>
      <w:r w:rsidRPr="00282AC9">
        <w:rPr>
          <w:sz w:val="27"/>
          <w:rtl/>
        </w:rPr>
        <w:t xml:space="preserve"> قد ي</w:t>
      </w:r>
      <w:r w:rsidR="004573FA" w:rsidRPr="00282AC9">
        <w:rPr>
          <w:rFonts w:hint="cs"/>
          <w:sz w:val="27"/>
          <w:rtl/>
        </w:rPr>
        <w:t>ُ</w:t>
      </w:r>
      <w:r w:rsidRPr="00282AC9">
        <w:rPr>
          <w:sz w:val="27"/>
          <w:rtl/>
        </w:rPr>
        <w:t>ستفاد من تلك الأحاديث كراهة الزواج من المرأة العقيمة بالدلالة الالتزامية</w:t>
      </w:r>
      <w:r w:rsidR="004573FA" w:rsidRPr="00282AC9">
        <w:rPr>
          <w:rFonts w:hint="cs"/>
          <w:sz w:val="27"/>
          <w:rtl/>
        </w:rPr>
        <w:t>،</w:t>
      </w:r>
      <w:r w:rsidRPr="00282AC9">
        <w:rPr>
          <w:sz w:val="27"/>
          <w:rtl/>
        </w:rPr>
        <w:t xml:space="preserve"> فلذلك نعقد بحثاً صغيراً عن م</w:t>
      </w:r>
      <w:r w:rsidR="004573FA" w:rsidRPr="00282AC9">
        <w:rPr>
          <w:rFonts w:hint="cs"/>
          <w:sz w:val="27"/>
          <w:rtl/>
        </w:rPr>
        <w:t>َ</w:t>
      </w:r>
      <w:r w:rsidRPr="00282AC9">
        <w:rPr>
          <w:sz w:val="27"/>
          <w:rtl/>
        </w:rPr>
        <w:t>د</w:t>
      </w:r>
      <w:r w:rsidR="004573FA" w:rsidRPr="00282AC9">
        <w:rPr>
          <w:rFonts w:hint="cs"/>
          <w:sz w:val="27"/>
          <w:rtl/>
        </w:rPr>
        <w:t>َ</w:t>
      </w:r>
      <w:r w:rsidRPr="00282AC9">
        <w:rPr>
          <w:sz w:val="27"/>
          <w:rtl/>
        </w:rPr>
        <w:t>ى صح</w:t>
      </w:r>
      <w:r w:rsidR="004573FA" w:rsidRPr="00282AC9">
        <w:rPr>
          <w:rFonts w:hint="cs"/>
          <w:sz w:val="27"/>
          <w:rtl/>
        </w:rPr>
        <w:t>ّ</w:t>
      </w:r>
      <w:r w:rsidRPr="00282AC9">
        <w:rPr>
          <w:sz w:val="27"/>
          <w:rtl/>
        </w:rPr>
        <w:t>ة هذه الملازمة</w:t>
      </w:r>
      <w:r w:rsidR="004573FA" w:rsidRPr="00282AC9">
        <w:rPr>
          <w:rFonts w:hint="cs"/>
          <w:sz w:val="27"/>
          <w:rtl/>
        </w:rPr>
        <w:t>،</w:t>
      </w:r>
      <w:r w:rsidRPr="00282AC9">
        <w:rPr>
          <w:sz w:val="27"/>
          <w:rtl/>
        </w:rPr>
        <w:t xml:space="preserve"> بعد الانتهاء من دراسة الروايات القانونية</w:t>
      </w:r>
      <w:r w:rsidRPr="00282AC9">
        <w:rPr>
          <w:rFonts w:hint="cs"/>
          <w:sz w:val="27"/>
          <w:rtl/>
        </w:rPr>
        <w:t xml:space="preserve"> في التحليل الإجمالي</w:t>
      </w:r>
      <w:r w:rsidR="004573FA" w:rsidRPr="00282AC9">
        <w:rPr>
          <w:rFonts w:hint="cs"/>
          <w:sz w:val="27"/>
          <w:rtl/>
        </w:rPr>
        <w:t>ّ</w:t>
      </w:r>
      <w:r w:rsidRPr="00282AC9">
        <w:rPr>
          <w:rFonts w:hint="cs"/>
          <w:sz w:val="27"/>
          <w:rtl/>
        </w:rPr>
        <w:t xml:space="preserve"> لها.</w:t>
      </w:r>
    </w:p>
    <w:p w:rsidR="00F943B4" w:rsidRPr="00282AC9" w:rsidRDefault="00F943B4" w:rsidP="00F943B4">
      <w:pPr>
        <w:spacing w:line="420" w:lineRule="exact"/>
        <w:rPr>
          <w:sz w:val="27"/>
          <w:rtl/>
        </w:rPr>
      </w:pPr>
    </w:p>
    <w:p w:rsidR="004D29A3" w:rsidRPr="00282AC9" w:rsidRDefault="00416806" w:rsidP="00A15DDE">
      <w:pPr>
        <w:pStyle w:val="31"/>
        <w:rPr>
          <w:color w:val="auto"/>
          <w:rtl/>
          <w:lang w:bidi="fa-IR"/>
        </w:rPr>
      </w:pPr>
      <w:r w:rsidRPr="00282AC9">
        <w:rPr>
          <w:rFonts w:hint="cs"/>
          <w:color w:val="auto"/>
          <w:rtl/>
        </w:rPr>
        <w:t xml:space="preserve">1ـ </w:t>
      </w:r>
      <w:r w:rsidRPr="00282AC9">
        <w:rPr>
          <w:color w:val="auto"/>
          <w:rtl/>
        </w:rPr>
        <w:t>«تزو</w:t>
      </w:r>
      <w:r w:rsidRPr="00282AC9">
        <w:rPr>
          <w:rFonts w:hint="cs"/>
          <w:color w:val="auto"/>
          <w:rtl/>
        </w:rPr>
        <w:t>َّ</w:t>
      </w:r>
      <w:r w:rsidRPr="00282AC9">
        <w:rPr>
          <w:color w:val="auto"/>
          <w:rtl/>
        </w:rPr>
        <w:t>ج</w:t>
      </w:r>
      <w:r w:rsidRPr="00282AC9">
        <w:rPr>
          <w:rFonts w:hint="cs"/>
          <w:color w:val="auto"/>
          <w:rtl/>
        </w:rPr>
        <w:t>ْ</w:t>
      </w:r>
      <w:r w:rsidRPr="00282AC9">
        <w:rPr>
          <w:color w:val="auto"/>
          <w:rtl/>
        </w:rPr>
        <w:t xml:space="preserve"> سوءاء ولودا</w:t>
      </w:r>
      <w:r w:rsidRPr="00282AC9">
        <w:rPr>
          <w:rFonts w:hint="cs"/>
          <w:color w:val="auto"/>
          <w:rtl/>
        </w:rPr>
        <w:t>ً</w:t>
      </w:r>
      <w:r w:rsidRPr="00282AC9">
        <w:rPr>
          <w:color w:val="auto"/>
          <w:rtl/>
        </w:rPr>
        <w:t>»</w:t>
      </w:r>
    </w:p>
    <w:p w:rsidR="001153F1" w:rsidRPr="00282AC9" w:rsidRDefault="004D29A3" w:rsidP="003E218F">
      <w:pPr>
        <w:rPr>
          <w:sz w:val="27"/>
          <w:rtl/>
          <w:lang w:bidi="fa-IR"/>
        </w:rPr>
      </w:pPr>
      <w:r w:rsidRPr="00282AC9">
        <w:rPr>
          <w:rFonts w:hint="cs"/>
          <w:sz w:val="27"/>
          <w:rtl/>
        </w:rPr>
        <w:t xml:space="preserve">وهي </w:t>
      </w:r>
      <w:r w:rsidR="001153F1" w:rsidRPr="00282AC9">
        <w:rPr>
          <w:sz w:val="27"/>
          <w:rtl/>
        </w:rPr>
        <w:t>صحيحة عبد الله بن سنان</w:t>
      </w:r>
      <w:r w:rsidR="004573FA" w:rsidRPr="00282AC9">
        <w:rPr>
          <w:rFonts w:hint="cs"/>
          <w:sz w:val="27"/>
          <w:rtl/>
        </w:rPr>
        <w:t>،</w:t>
      </w:r>
      <w:r w:rsidR="001153F1" w:rsidRPr="00282AC9">
        <w:rPr>
          <w:sz w:val="27"/>
          <w:rtl/>
        </w:rPr>
        <w:t xml:space="preserve"> عن أبي عبد الله</w:t>
      </w:r>
      <w:r w:rsidR="009A2A04" w:rsidRPr="00282AC9">
        <w:rPr>
          <w:rFonts w:cs="Mosawi"/>
          <w:sz w:val="22"/>
          <w:szCs w:val="22"/>
          <w:rtl/>
        </w:rPr>
        <w:t>×</w:t>
      </w:r>
      <w:r w:rsidR="001153F1" w:rsidRPr="00282AC9">
        <w:rPr>
          <w:sz w:val="27"/>
          <w:rtl/>
        </w:rPr>
        <w:t xml:space="preserve"> قال: </w:t>
      </w:r>
      <w:r w:rsidR="001153F1" w:rsidRPr="00282AC9">
        <w:rPr>
          <w:sz w:val="24"/>
          <w:szCs w:val="24"/>
          <w:rtl/>
          <w:lang w:bidi="fa-IR"/>
        </w:rPr>
        <w:t>«</w:t>
      </w:r>
      <w:r w:rsidR="001153F1" w:rsidRPr="00282AC9">
        <w:rPr>
          <w:sz w:val="27"/>
          <w:rtl/>
          <w:lang w:bidi="fa-IR"/>
        </w:rPr>
        <w:t>جاء رجل</w:t>
      </w:r>
      <w:r w:rsidR="001153F1" w:rsidRPr="00282AC9">
        <w:rPr>
          <w:rFonts w:hint="cs"/>
          <w:sz w:val="27"/>
          <w:rtl/>
          <w:lang w:bidi="fa-IR"/>
        </w:rPr>
        <w:t>ٌ</w:t>
      </w:r>
      <w:r w:rsidR="001153F1" w:rsidRPr="00282AC9">
        <w:rPr>
          <w:sz w:val="27"/>
          <w:rtl/>
          <w:lang w:bidi="fa-IR"/>
        </w:rPr>
        <w:t xml:space="preserve"> إلى </w:t>
      </w:r>
      <w:r w:rsidR="001153F1" w:rsidRPr="00282AC9">
        <w:rPr>
          <w:sz w:val="27"/>
          <w:rtl/>
          <w:lang w:bidi="fa-IR"/>
        </w:rPr>
        <w:lastRenderedPageBreak/>
        <w:t>رسول الله</w:t>
      </w:r>
      <w:r w:rsidR="009A2A04" w:rsidRPr="00282AC9">
        <w:rPr>
          <w:rFonts w:cs="Mosawi"/>
          <w:sz w:val="22"/>
          <w:szCs w:val="22"/>
          <w:rtl/>
          <w:lang w:bidi="fa-IR"/>
        </w:rPr>
        <w:t>|</w:t>
      </w:r>
      <w:r w:rsidR="004573FA" w:rsidRPr="00282AC9">
        <w:rPr>
          <w:rFonts w:hint="cs"/>
          <w:sz w:val="27"/>
          <w:rtl/>
          <w:lang w:bidi="fa-IR"/>
        </w:rPr>
        <w:t>،</w:t>
      </w:r>
      <w:r w:rsidR="001153F1" w:rsidRPr="00282AC9">
        <w:rPr>
          <w:sz w:val="27"/>
          <w:rtl/>
          <w:lang w:bidi="fa-IR"/>
        </w:rPr>
        <w:t xml:space="preserve"> فقال</w:t>
      </w:r>
      <w:r w:rsidR="001153F1" w:rsidRPr="00282AC9">
        <w:rPr>
          <w:rFonts w:hint="cs"/>
          <w:sz w:val="27"/>
          <w:rtl/>
          <w:lang w:bidi="fa-IR"/>
        </w:rPr>
        <w:t>:</w:t>
      </w:r>
      <w:r w:rsidR="001153F1" w:rsidRPr="00282AC9">
        <w:rPr>
          <w:sz w:val="27"/>
          <w:rtl/>
          <w:lang w:bidi="fa-IR"/>
        </w:rPr>
        <w:t xml:space="preserve"> يا نبي</w:t>
      </w:r>
      <w:r w:rsidR="001153F1" w:rsidRPr="00282AC9">
        <w:rPr>
          <w:rFonts w:hint="cs"/>
          <w:sz w:val="27"/>
          <w:rtl/>
          <w:lang w:bidi="fa-IR"/>
        </w:rPr>
        <w:t>ّ</w:t>
      </w:r>
      <w:r w:rsidR="001153F1" w:rsidRPr="00282AC9">
        <w:rPr>
          <w:sz w:val="27"/>
          <w:rtl/>
          <w:lang w:bidi="fa-IR"/>
        </w:rPr>
        <w:t xml:space="preserve"> الله</w:t>
      </w:r>
      <w:r w:rsidR="004573FA" w:rsidRPr="00282AC9">
        <w:rPr>
          <w:rFonts w:hint="cs"/>
          <w:sz w:val="27"/>
          <w:rtl/>
          <w:lang w:bidi="fa-IR"/>
        </w:rPr>
        <w:t>،</w:t>
      </w:r>
      <w:r w:rsidR="001153F1" w:rsidRPr="00282AC9">
        <w:rPr>
          <w:sz w:val="27"/>
          <w:rtl/>
          <w:lang w:bidi="fa-IR"/>
        </w:rPr>
        <w:t xml:space="preserve"> إن</w:t>
      </w:r>
      <w:r w:rsidR="001153F1" w:rsidRPr="00282AC9">
        <w:rPr>
          <w:rFonts w:hint="cs"/>
          <w:sz w:val="27"/>
          <w:rtl/>
          <w:lang w:bidi="fa-IR"/>
        </w:rPr>
        <w:t>ّ</w:t>
      </w:r>
      <w:r w:rsidR="001153F1" w:rsidRPr="00282AC9">
        <w:rPr>
          <w:sz w:val="27"/>
          <w:rtl/>
          <w:lang w:bidi="fa-IR"/>
        </w:rPr>
        <w:t xml:space="preserve"> لي ابنة عم</w:t>
      </w:r>
      <w:r w:rsidR="001153F1" w:rsidRPr="00282AC9">
        <w:rPr>
          <w:rFonts w:hint="cs"/>
          <w:sz w:val="27"/>
          <w:rtl/>
          <w:lang w:bidi="fa-IR"/>
        </w:rPr>
        <w:t>ّ</w:t>
      </w:r>
      <w:r w:rsidR="001153F1" w:rsidRPr="00282AC9">
        <w:rPr>
          <w:sz w:val="27"/>
          <w:rtl/>
          <w:lang w:bidi="fa-IR"/>
        </w:rPr>
        <w:t xml:space="preserve"> قد رضيت</w:t>
      </w:r>
      <w:r w:rsidR="004573FA" w:rsidRPr="00282AC9">
        <w:rPr>
          <w:rFonts w:hint="cs"/>
          <w:sz w:val="27"/>
          <w:rtl/>
          <w:lang w:bidi="fa-IR"/>
        </w:rPr>
        <w:t>ُ</w:t>
      </w:r>
      <w:r w:rsidR="001153F1" w:rsidRPr="00282AC9">
        <w:rPr>
          <w:sz w:val="27"/>
          <w:rtl/>
          <w:lang w:bidi="fa-IR"/>
        </w:rPr>
        <w:t xml:space="preserve"> جمالها وح</w:t>
      </w:r>
      <w:r w:rsidR="004573FA" w:rsidRPr="00282AC9">
        <w:rPr>
          <w:rFonts w:hint="cs"/>
          <w:sz w:val="27"/>
          <w:rtl/>
          <w:lang w:bidi="fa-IR"/>
        </w:rPr>
        <w:t>ُ</w:t>
      </w:r>
      <w:r w:rsidR="001153F1" w:rsidRPr="00282AC9">
        <w:rPr>
          <w:sz w:val="27"/>
          <w:rtl/>
          <w:lang w:bidi="fa-IR"/>
        </w:rPr>
        <w:t>س</w:t>
      </w:r>
      <w:r w:rsidR="004573FA" w:rsidRPr="00282AC9">
        <w:rPr>
          <w:rFonts w:hint="cs"/>
          <w:sz w:val="27"/>
          <w:rtl/>
          <w:lang w:bidi="fa-IR"/>
        </w:rPr>
        <w:t>ْ</w:t>
      </w:r>
      <w:r w:rsidR="001153F1" w:rsidRPr="00282AC9">
        <w:rPr>
          <w:sz w:val="27"/>
          <w:rtl/>
          <w:lang w:bidi="fa-IR"/>
        </w:rPr>
        <w:t>نها ودينها</w:t>
      </w:r>
      <w:r w:rsidR="004573FA" w:rsidRPr="00282AC9">
        <w:rPr>
          <w:rFonts w:hint="cs"/>
          <w:sz w:val="27"/>
          <w:rtl/>
          <w:lang w:bidi="fa-IR"/>
        </w:rPr>
        <w:t>،</w:t>
      </w:r>
      <w:r w:rsidR="001153F1" w:rsidRPr="00282AC9">
        <w:rPr>
          <w:sz w:val="27"/>
          <w:rtl/>
          <w:lang w:bidi="fa-IR"/>
        </w:rPr>
        <w:t xml:space="preserve"> ولكن</w:t>
      </w:r>
      <w:r w:rsidR="001153F1" w:rsidRPr="00282AC9">
        <w:rPr>
          <w:rFonts w:hint="cs"/>
          <w:sz w:val="27"/>
          <w:rtl/>
          <w:lang w:bidi="fa-IR"/>
        </w:rPr>
        <w:t>ّ</w:t>
      </w:r>
      <w:r w:rsidR="001153F1" w:rsidRPr="00282AC9">
        <w:rPr>
          <w:sz w:val="27"/>
          <w:rtl/>
          <w:lang w:bidi="fa-IR"/>
        </w:rPr>
        <w:t>ها عاقر</w:t>
      </w:r>
      <w:r w:rsidR="004573FA" w:rsidRPr="00282AC9">
        <w:rPr>
          <w:rFonts w:hint="cs"/>
          <w:sz w:val="27"/>
          <w:rtl/>
          <w:lang w:bidi="fa-IR"/>
        </w:rPr>
        <w:t>ٌ،</w:t>
      </w:r>
      <w:r w:rsidR="001153F1" w:rsidRPr="00282AC9">
        <w:rPr>
          <w:sz w:val="27"/>
          <w:rtl/>
          <w:lang w:bidi="fa-IR"/>
        </w:rPr>
        <w:t xml:space="preserve"> فقال</w:t>
      </w:r>
      <w:r w:rsidR="001153F1" w:rsidRPr="00282AC9">
        <w:rPr>
          <w:rFonts w:hint="cs"/>
          <w:sz w:val="27"/>
          <w:rtl/>
          <w:lang w:bidi="fa-IR"/>
        </w:rPr>
        <w:t>:</w:t>
      </w:r>
      <w:r w:rsidR="001153F1" w:rsidRPr="00282AC9">
        <w:rPr>
          <w:sz w:val="27"/>
          <w:rtl/>
          <w:lang w:bidi="fa-IR"/>
        </w:rPr>
        <w:t xml:space="preserve"> لا تزو</w:t>
      </w:r>
      <w:r w:rsidR="001153F1" w:rsidRPr="00282AC9">
        <w:rPr>
          <w:rFonts w:hint="cs"/>
          <w:sz w:val="27"/>
          <w:rtl/>
          <w:lang w:bidi="fa-IR"/>
        </w:rPr>
        <w:t>ّ</w:t>
      </w:r>
      <w:r w:rsidR="001153F1" w:rsidRPr="00282AC9">
        <w:rPr>
          <w:sz w:val="27"/>
          <w:rtl/>
          <w:lang w:bidi="fa-IR"/>
        </w:rPr>
        <w:t>جها</w:t>
      </w:r>
      <w:r w:rsidR="004573FA" w:rsidRPr="00282AC9">
        <w:rPr>
          <w:rFonts w:hint="cs"/>
          <w:sz w:val="27"/>
          <w:rtl/>
          <w:lang w:bidi="fa-IR"/>
        </w:rPr>
        <w:t>؛</w:t>
      </w:r>
      <w:r w:rsidR="001153F1" w:rsidRPr="00282AC9">
        <w:rPr>
          <w:sz w:val="27"/>
          <w:rtl/>
          <w:lang w:bidi="fa-IR"/>
        </w:rPr>
        <w:t xml:space="preserve"> إن</w:t>
      </w:r>
      <w:r w:rsidR="001153F1" w:rsidRPr="00282AC9">
        <w:rPr>
          <w:rFonts w:hint="cs"/>
          <w:sz w:val="27"/>
          <w:rtl/>
          <w:lang w:bidi="fa-IR"/>
        </w:rPr>
        <w:t>ّ</w:t>
      </w:r>
      <w:r w:rsidR="001153F1" w:rsidRPr="00282AC9">
        <w:rPr>
          <w:sz w:val="27"/>
          <w:rtl/>
          <w:lang w:bidi="fa-IR"/>
        </w:rPr>
        <w:t xml:space="preserve"> يوسف بن يعقوب لقي أخاه</w:t>
      </w:r>
      <w:r w:rsidR="004573FA" w:rsidRPr="00282AC9">
        <w:rPr>
          <w:rFonts w:hint="cs"/>
          <w:sz w:val="27"/>
          <w:rtl/>
          <w:lang w:bidi="fa-IR"/>
        </w:rPr>
        <w:t>،</w:t>
      </w:r>
      <w:r w:rsidR="001153F1" w:rsidRPr="00282AC9">
        <w:rPr>
          <w:sz w:val="27"/>
          <w:rtl/>
          <w:lang w:bidi="fa-IR"/>
        </w:rPr>
        <w:t xml:space="preserve"> فقال</w:t>
      </w:r>
      <w:r w:rsidR="001153F1" w:rsidRPr="00282AC9">
        <w:rPr>
          <w:rFonts w:hint="cs"/>
          <w:sz w:val="27"/>
          <w:rtl/>
          <w:lang w:bidi="fa-IR"/>
        </w:rPr>
        <w:t>:</w:t>
      </w:r>
      <w:r w:rsidR="001153F1" w:rsidRPr="00282AC9">
        <w:rPr>
          <w:sz w:val="27"/>
          <w:rtl/>
          <w:lang w:bidi="fa-IR"/>
        </w:rPr>
        <w:t xml:space="preserve"> يا أخي</w:t>
      </w:r>
      <w:r w:rsidR="004573FA" w:rsidRPr="00282AC9">
        <w:rPr>
          <w:rFonts w:hint="cs"/>
          <w:sz w:val="27"/>
          <w:rtl/>
          <w:lang w:bidi="fa-IR"/>
        </w:rPr>
        <w:t>،</w:t>
      </w:r>
      <w:r w:rsidR="001153F1" w:rsidRPr="00282AC9">
        <w:rPr>
          <w:sz w:val="27"/>
          <w:rtl/>
          <w:lang w:bidi="fa-IR"/>
        </w:rPr>
        <w:t xml:space="preserve"> كيف استطع</w:t>
      </w:r>
      <w:r w:rsidR="004573FA" w:rsidRPr="00282AC9">
        <w:rPr>
          <w:rFonts w:hint="cs"/>
          <w:sz w:val="27"/>
          <w:rtl/>
          <w:lang w:bidi="fa-IR"/>
        </w:rPr>
        <w:t>ْ</w:t>
      </w:r>
      <w:r w:rsidR="001153F1" w:rsidRPr="00282AC9">
        <w:rPr>
          <w:sz w:val="27"/>
          <w:rtl/>
          <w:lang w:bidi="fa-IR"/>
        </w:rPr>
        <w:t>ت</w:t>
      </w:r>
      <w:r w:rsidR="004573FA" w:rsidRPr="00282AC9">
        <w:rPr>
          <w:rFonts w:hint="cs"/>
          <w:sz w:val="27"/>
          <w:rtl/>
          <w:lang w:bidi="fa-IR"/>
        </w:rPr>
        <w:t>َ</w:t>
      </w:r>
      <w:r w:rsidR="001153F1" w:rsidRPr="00282AC9">
        <w:rPr>
          <w:sz w:val="27"/>
          <w:rtl/>
          <w:lang w:bidi="fa-IR"/>
        </w:rPr>
        <w:t xml:space="preserve"> أن تتزو</w:t>
      </w:r>
      <w:r w:rsidR="001153F1" w:rsidRPr="00282AC9">
        <w:rPr>
          <w:rFonts w:hint="cs"/>
          <w:sz w:val="27"/>
          <w:rtl/>
          <w:lang w:bidi="fa-IR"/>
        </w:rPr>
        <w:t>ّ</w:t>
      </w:r>
      <w:r w:rsidR="004573FA" w:rsidRPr="00282AC9">
        <w:rPr>
          <w:rFonts w:hint="cs"/>
          <w:sz w:val="27"/>
          <w:rtl/>
          <w:lang w:bidi="fa-IR"/>
        </w:rPr>
        <w:t>َ</w:t>
      </w:r>
      <w:r w:rsidR="001153F1" w:rsidRPr="00282AC9">
        <w:rPr>
          <w:sz w:val="27"/>
          <w:rtl/>
          <w:lang w:bidi="fa-IR"/>
        </w:rPr>
        <w:t>ج النساء بعدي</w:t>
      </w:r>
      <w:r w:rsidR="004573FA" w:rsidRPr="00282AC9">
        <w:rPr>
          <w:rFonts w:hint="cs"/>
          <w:sz w:val="27"/>
          <w:rtl/>
          <w:lang w:bidi="fa-IR"/>
        </w:rPr>
        <w:t>؟!</w:t>
      </w:r>
      <w:r w:rsidR="001153F1" w:rsidRPr="00282AC9">
        <w:rPr>
          <w:sz w:val="27"/>
          <w:rtl/>
          <w:lang w:bidi="fa-IR"/>
        </w:rPr>
        <w:t xml:space="preserve"> فقال</w:t>
      </w:r>
      <w:r w:rsidR="001153F1" w:rsidRPr="00282AC9">
        <w:rPr>
          <w:rFonts w:hint="cs"/>
          <w:sz w:val="27"/>
          <w:rtl/>
          <w:lang w:bidi="fa-IR"/>
        </w:rPr>
        <w:t>:</w:t>
      </w:r>
      <w:r w:rsidR="001153F1" w:rsidRPr="00282AC9">
        <w:rPr>
          <w:sz w:val="27"/>
          <w:rtl/>
          <w:lang w:bidi="fa-IR"/>
        </w:rPr>
        <w:t xml:space="preserve"> إن</w:t>
      </w:r>
      <w:r w:rsidR="001153F1" w:rsidRPr="00282AC9">
        <w:rPr>
          <w:rFonts w:hint="cs"/>
          <w:sz w:val="27"/>
          <w:rtl/>
          <w:lang w:bidi="fa-IR"/>
        </w:rPr>
        <w:t>ّ</w:t>
      </w:r>
      <w:r w:rsidR="001153F1" w:rsidRPr="00282AC9">
        <w:rPr>
          <w:sz w:val="27"/>
          <w:rtl/>
          <w:lang w:bidi="fa-IR"/>
        </w:rPr>
        <w:t xml:space="preserve"> أبي أم</w:t>
      </w:r>
      <w:r w:rsidR="004573FA" w:rsidRPr="00282AC9">
        <w:rPr>
          <w:rFonts w:hint="cs"/>
          <w:sz w:val="27"/>
          <w:rtl/>
          <w:lang w:bidi="fa-IR"/>
        </w:rPr>
        <w:t>َ</w:t>
      </w:r>
      <w:r w:rsidR="001153F1" w:rsidRPr="00282AC9">
        <w:rPr>
          <w:sz w:val="27"/>
          <w:rtl/>
          <w:lang w:bidi="fa-IR"/>
        </w:rPr>
        <w:t>ر</w:t>
      </w:r>
      <w:r w:rsidR="004573FA" w:rsidRPr="00282AC9">
        <w:rPr>
          <w:rFonts w:hint="cs"/>
          <w:sz w:val="27"/>
          <w:rtl/>
          <w:lang w:bidi="fa-IR"/>
        </w:rPr>
        <w:t>َ</w:t>
      </w:r>
      <w:r w:rsidR="001153F1" w:rsidRPr="00282AC9">
        <w:rPr>
          <w:sz w:val="27"/>
          <w:rtl/>
          <w:lang w:bidi="fa-IR"/>
        </w:rPr>
        <w:t>ني</w:t>
      </w:r>
      <w:r w:rsidR="004573FA" w:rsidRPr="00282AC9">
        <w:rPr>
          <w:rFonts w:hint="cs"/>
          <w:sz w:val="27"/>
          <w:rtl/>
          <w:lang w:bidi="fa-IR"/>
        </w:rPr>
        <w:t>،</w:t>
      </w:r>
      <w:r w:rsidR="001153F1" w:rsidRPr="00282AC9">
        <w:rPr>
          <w:sz w:val="27"/>
          <w:rtl/>
          <w:lang w:bidi="fa-IR"/>
        </w:rPr>
        <w:t xml:space="preserve"> وقال</w:t>
      </w:r>
      <w:r w:rsidR="001153F1" w:rsidRPr="00282AC9">
        <w:rPr>
          <w:rFonts w:hint="cs"/>
          <w:sz w:val="27"/>
          <w:rtl/>
          <w:lang w:bidi="fa-IR"/>
        </w:rPr>
        <w:t>:</w:t>
      </w:r>
      <w:r w:rsidR="001153F1" w:rsidRPr="00282AC9">
        <w:rPr>
          <w:sz w:val="27"/>
          <w:rtl/>
          <w:lang w:bidi="fa-IR"/>
        </w:rPr>
        <w:t xml:space="preserve"> إن استطع</w:t>
      </w:r>
      <w:r w:rsidR="004573FA" w:rsidRPr="00282AC9">
        <w:rPr>
          <w:rFonts w:hint="cs"/>
          <w:sz w:val="27"/>
          <w:rtl/>
          <w:lang w:bidi="fa-IR"/>
        </w:rPr>
        <w:t>ْ</w:t>
      </w:r>
      <w:r w:rsidR="001153F1" w:rsidRPr="00282AC9">
        <w:rPr>
          <w:sz w:val="27"/>
          <w:rtl/>
          <w:lang w:bidi="fa-IR"/>
        </w:rPr>
        <w:t>ت</w:t>
      </w:r>
      <w:r w:rsidR="004573FA" w:rsidRPr="00282AC9">
        <w:rPr>
          <w:rFonts w:hint="cs"/>
          <w:sz w:val="27"/>
          <w:rtl/>
          <w:lang w:bidi="fa-IR"/>
        </w:rPr>
        <w:t>َ</w:t>
      </w:r>
      <w:r w:rsidR="001153F1" w:rsidRPr="00282AC9">
        <w:rPr>
          <w:sz w:val="27"/>
          <w:rtl/>
          <w:lang w:bidi="fa-IR"/>
        </w:rPr>
        <w:t xml:space="preserve"> أن تكون لك ذر</w:t>
      </w:r>
      <w:r w:rsidR="001153F1" w:rsidRPr="00282AC9">
        <w:rPr>
          <w:rFonts w:hint="cs"/>
          <w:sz w:val="27"/>
          <w:rtl/>
          <w:lang w:bidi="fa-IR"/>
        </w:rPr>
        <w:t>ّ</w:t>
      </w:r>
      <w:r w:rsidR="001153F1" w:rsidRPr="00282AC9">
        <w:rPr>
          <w:sz w:val="27"/>
          <w:rtl/>
          <w:lang w:bidi="fa-IR"/>
        </w:rPr>
        <w:t>ية</w:t>
      </w:r>
      <w:r w:rsidR="004573FA" w:rsidRPr="00282AC9">
        <w:rPr>
          <w:rFonts w:hint="cs"/>
          <w:sz w:val="27"/>
          <w:rtl/>
          <w:lang w:bidi="fa-IR"/>
        </w:rPr>
        <w:t>ٌ</w:t>
      </w:r>
      <w:r w:rsidR="001153F1" w:rsidRPr="00282AC9">
        <w:rPr>
          <w:sz w:val="27"/>
          <w:rtl/>
          <w:lang w:bidi="fa-IR"/>
        </w:rPr>
        <w:t xml:space="preserve"> ت</w:t>
      </w:r>
      <w:r w:rsidR="001153F1" w:rsidRPr="00282AC9">
        <w:rPr>
          <w:rFonts w:hint="cs"/>
          <w:sz w:val="27"/>
          <w:rtl/>
          <w:lang w:bidi="fa-IR"/>
        </w:rPr>
        <w:t>ُ</w:t>
      </w:r>
      <w:r w:rsidR="001153F1" w:rsidRPr="00282AC9">
        <w:rPr>
          <w:sz w:val="27"/>
          <w:rtl/>
          <w:lang w:bidi="fa-IR"/>
        </w:rPr>
        <w:t>ثقل الأرض بالتسبيح فاف</w:t>
      </w:r>
      <w:r w:rsidR="004573FA" w:rsidRPr="00282AC9">
        <w:rPr>
          <w:rFonts w:hint="cs"/>
          <w:sz w:val="27"/>
          <w:rtl/>
          <w:lang w:bidi="fa-IR"/>
        </w:rPr>
        <w:t>ْ</w:t>
      </w:r>
      <w:r w:rsidR="001153F1" w:rsidRPr="00282AC9">
        <w:rPr>
          <w:sz w:val="27"/>
          <w:rtl/>
          <w:lang w:bidi="fa-IR"/>
        </w:rPr>
        <w:t>ع</w:t>
      </w:r>
      <w:r w:rsidR="004573FA" w:rsidRPr="00282AC9">
        <w:rPr>
          <w:rFonts w:hint="cs"/>
          <w:sz w:val="27"/>
          <w:rtl/>
          <w:lang w:bidi="fa-IR"/>
        </w:rPr>
        <w:t>َ</w:t>
      </w:r>
      <w:r w:rsidR="001153F1" w:rsidRPr="00282AC9">
        <w:rPr>
          <w:sz w:val="27"/>
          <w:rtl/>
          <w:lang w:bidi="fa-IR"/>
        </w:rPr>
        <w:t>ل</w:t>
      </w:r>
      <w:r w:rsidR="004573FA" w:rsidRPr="00282AC9">
        <w:rPr>
          <w:rFonts w:hint="cs"/>
          <w:sz w:val="27"/>
          <w:rtl/>
          <w:lang w:bidi="fa-IR"/>
        </w:rPr>
        <w:t>ْ.</w:t>
      </w:r>
      <w:r w:rsidR="001153F1" w:rsidRPr="00282AC9">
        <w:rPr>
          <w:sz w:val="27"/>
          <w:rtl/>
          <w:lang w:bidi="fa-IR"/>
        </w:rPr>
        <w:t xml:space="preserve"> قال</w:t>
      </w:r>
      <w:r w:rsidR="001153F1" w:rsidRPr="00282AC9">
        <w:rPr>
          <w:rFonts w:hint="cs"/>
          <w:sz w:val="27"/>
          <w:rtl/>
          <w:lang w:bidi="fa-IR"/>
        </w:rPr>
        <w:t>:</w:t>
      </w:r>
      <w:r w:rsidR="001153F1" w:rsidRPr="00282AC9">
        <w:rPr>
          <w:sz w:val="27"/>
          <w:rtl/>
          <w:lang w:bidi="fa-IR"/>
        </w:rPr>
        <w:t xml:space="preserve"> فجاء رجل</w:t>
      </w:r>
      <w:r w:rsidR="001153F1" w:rsidRPr="00282AC9">
        <w:rPr>
          <w:rFonts w:hint="cs"/>
          <w:sz w:val="27"/>
          <w:rtl/>
          <w:lang w:bidi="fa-IR"/>
        </w:rPr>
        <w:t>ٌ</w:t>
      </w:r>
      <w:r w:rsidR="001153F1" w:rsidRPr="00282AC9">
        <w:rPr>
          <w:sz w:val="27"/>
          <w:rtl/>
          <w:lang w:bidi="fa-IR"/>
        </w:rPr>
        <w:t xml:space="preserve"> من الغد إلى النبي</w:t>
      </w:r>
      <w:r w:rsidR="004573FA" w:rsidRPr="00282AC9">
        <w:rPr>
          <w:rFonts w:hint="cs"/>
          <w:sz w:val="27"/>
          <w:rtl/>
          <w:lang w:bidi="fa-IR"/>
        </w:rPr>
        <w:t>ّ</w:t>
      </w:r>
      <w:r w:rsidR="009A2A04" w:rsidRPr="00282AC9">
        <w:rPr>
          <w:rFonts w:cs="Mosawi"/>
          <w:sz w:val="22"/>
          <w:szCs w:val="22"/>
          <w:rtl/>
          <w:lang w:bidi="fa-IR"/>
        </w:rPr>
        <w:t>|</w:t>
      </w:r>
      <w:r w:rsidR="004573FA" w:rsidRPr="00282AC9">
        <w:rPr>
          <w:rFonts w:hint="cs"/>
          <w:sz w:val="27"/>
          <w:rtl/>
          <w:lang w:bidi="fa-IR"/>
        </w:rPr>
        <w:t>،</w:t>
      </w:r>
      <w:r w:rsidR="001153F1" w:rsidRPr="00282AC9">
        <w:rPr>
          <w:sz w:val="27"/>
          <w:rtl/>
          <w:lang w:bidi="fa-IR"/>
        </w:rPr>
        <w:t xml:space="preserve"> فقال له مثل ذلك</w:t>
      </w:r>
      <w:r w:rsidR="004573FA" w:rsidRPr="00282AC9">
        <w:rPr>
          <w:rFonts w:hint="cs"/>
          <w:sz w:val="27"/>
          <w:rtl/>
          <w:lang w:bidi="fa-IR"/>
        </w:rPr>
        <w:t>،</w:t>
      </w:r>
      <w:r w:rsidR="001153F1" w:rsidRPr="00282AC9">
        <w:rPr>
          <w:sz w:val="27"/>
          <w:rtl/>
          <w:lang w:bidi="fa-IR"/>
        </w:rPr>
        <w:t xml:space="preserve"> فقال له</w:t>
      </w:r>
      <w:r w:rsidR="001153F1" w:rsidRPr="00282AC9">
        <w:rPr>
          <w:rFonts w:hint="cs"/>
          <w:sz w:val="27"/>
          <w:rtl/>
          <w:lang w:bidi="fa-IR"/>
        </w:rPr>
        <w:t>:</w:t>
      </w:r>
      <w:r w:rsidR="001153F1" w:rsidRPr="00282AC9">
        <w:rPr>
          <w:sz w:val="27"/>
          <w:rtl/>
          <w:lang w:bidi="fa-IR"/>
        </w:rPr>
        <w:t xml:space="preserve"> تزو</w:t>
      </w:r>
      <w:r w:rsidR="001153F1" w:rsidRPr="00282AC9">
        <w:rPr>
          <w:rFonts w:hint="cs"/>
          <w:sz w:val="27"/>
          <w:rtl/>
          <w:lang w:bidi="fa-IR"/>
        </w:rPr>
        <w:t>ّ</w:t>
      </w:r>
      <w:r w:rsidR="004573FA" w:rsidRPr="00282AC9">
        <w:rPr>
          <w:rFonts w:hint="cs"/>
          <w:sz w:val="27"/>
          <w:rtl/>
          <w:lang w:bidi="fa-IR"/>
        </w:rPr>
        <w:t>َ</w:t>
      </w:r>
      <w:r w:rsidR="001153F1" w:rsidRPr="00282AC9">
        <w:rPr>
          <w:sz w:val="27"/>
          <w:rtl/>
          <w:lang w:bidi="fa-IR"/>
        </w:rPr>
        <w:t>ج سوءاء ولودا</w:t>
      </w:r>
      <w:r w:rsidR="001153F1" w:rsidRPr="00282AC9">
        <w:rPr>
          <w:rFonts w:hint="cs"/>
          <w:sz w:val="27"/>
          <w:rtl/>
          <w:lang w:bidi="fa-IR"/>
        </w:rPr>
        <w:t>ً</w:t>
      </w:r>
      <w:r w:rsidR="004573FA" w:rsidRPr="00282AC9">
        <w:rPr>
          <w:rFonts w:hint="cs"/>
          <w:sz w:val="27"/>
          <w:rtl/>
          <w:lang w:bidi="fa-IR"/>
        </w:rPr>
        <w:t>؛</w:t>
      </w:r>
      <w:r w:rsidR="001153F1" w:rsidRPr="00282AC9">
        <w:rPr>
          <w:sz w:val="27"/>
          <w:rtl/>
          <w:lang w:bidi="fa-IR"/>
        </w:rPr>
        <w:t xml:space="preserve"> فإن</w:t>
      </w:r>
      <w:r w:rsidR="001153F1" w:rsidRPr="00282AC9">
        <w:rPr>
          <w:rFonts w:hint="cs"/>
          <w:sz w:val="27"/>
          <w:rtl/>
          <w:lang w:bidi="fa-IR"/>
        </w:rPr>
        <w:t>ّ</w:t>
      </w:r>
      <w:r w:rsidR="001153F1" w:rsidRPr="00282AC9">
        <w:rPr>
          <w:sz w:val="27"/>
          <w:rtl/>
          <w:lang w:bidi="fa-IR"/>
        </w:rPr>
        <w:t>ي مكاثر</w:t>
      </w:r>
      <w:r w:rsidR="001153F1" w:rsidRPr="00282AC9">
        <w:rPr>
          <w:rFonts w:hint="cs"/>
          <w:sz w:val="27"/>
          <w:rtl/>
          <w:lang w:bidi="fa-IR"/>
        </w:rPr>
        <w:t>ٌ</w:t>
      </w:r>
      <w:r w:rsidR="001153F1" w:rsidRPr="00282AC9">
        <w:rPr>
          <w:sz w:val="27"/>
          <w:rtl/>
          <w:lang w:bidi="fa-IR"/>
        </w:rPr>
        <w:t xml:space="preserve"> بكم الأمم يوم القيامة</w:t>
      </w:r>
      <w:r w:rsidR="004573FA" w:rsidRPr="00282AC9">
        <w:rPr>
          <w:rFonts w:hint="cs"/>
          <w:sz w:val="27"/>
          <w:rtl/>
          <w:lang w:bidi="fa-IR"/>
        </w:rPr>
        <w:t>.</w:t>
      </w:r>
      <w:r w:rsidR="001153F1" w:rsidRPr="00282AC9">
        <w:rPr>
          <w:sz w:val="27"/>
          <w:rtl/>
          <w:lang w:bidi="fa-IR"/>
        </w:rPr>
        <w:t xml:space="preserve"> قال</w:t>
      </w:r>
      <w:r w:rsidR="001153F1" w:rsidRPr="00282AC9">
        <w:rPr>
          <w:rFonts w:hint="cs"/>
          <w:sz w:val="27"/>
          <w:rtl/>
          <w:lang w:bidi="fa-IR"/>
        </w:rPr>
        <w:t>:</w:t>
      </w:r>
      <w:r w:rsidR="001153F1" w:rsidRPr="00282AC9">
        <w:rPr>
          <w:sz w:val="27"/>
          <w:rtl/>
          <w:lang w:bidi="fa-IR"/>
        </w:rPr>
        <w:t xml:space="preserve"> فقلت</w:t>
      </w:r>
      <w:r w:rsidR="004573FA" w:rsidRPr="00282AC9">
        <w:rPr>
          <w:rFonts w:hint="cs"/>
          <w:sz w:val="27"/>
          <w:rtl/>
          <w:lang w:bidi="fa-IR"/>
        </w:rPr>
        <w:t>ُ</w:t>
      </w:r>
      <w:r w:rsidR="001153F1" w:rsidRPr="00282AC9">
        <w:rPr>
          <w:sz w:val="27"/>
          <w:rtl/>
          <w:lang w:bidi="fa-IR"/>
        </w:rPr>
        <w:t xml:space="preserve"> لأبي عبد الله</w:t>
      </w:r>
      <w:r w:rsidR="009A2A04" w:rsidRPr="00282AC9">
        <w:rPr>
          <w:rFonts w:cs="Mosawi"/>
          <w:sz w:val="22"/>
          <w:szCs w:val="22"/>
          <w:rtl/>
          <w:lang w:bidi="fa-IR"/>
        </w:rPr>
        <w:t>×</w:t>
      </w:r>
      <w:r w:rsidR="001153F1" w:rsidRPr="00282AC9">
        <w:rPr>
          <w:rFonts w:hint="cs"/>
          <w:sz w:val="27"/>
          <w:rtl/>
          <w:lang w:bidi="fa-IR"/>
        </w:rPr>
        <w:t>:</w:t>
      </w:r>
      <w:r w:rsidR="001153F1" w:rsidRPr="00282AC9">
        <w:rPr>
          <w:sz w:val="27"/>
          <w:rtl/>
          <w:lang w:bidi="fa-IR"/>
        </w:rPr>
        <w:t xml:space="preserve"> ما السوءاء</w:t>
      </w:r>
      <w:r w:rsidR="004573FA" w:rsidRPr="00282AC9">
        <w:rPr>
          <w:rFonts w:hint="cs"/>
          <w:sz w:val="27"/>
          <w:rtl/>
          <w:lang w:bidi="fa-IR"/>
        </w:rPr>
        <w:t>؟</w:t>
      </w:r>
      <w:r w:rsidR="001153F1" w:rsidRPr="00282AC9">
        <w:rPr>
          <w:sz w:val="27"/>
          <w:rtl/>
          <w:lang w:bidi="fa-IR"/>
        </w:rPr>
        <w:t xml:space="preserve"> قال</w:t>
      </w:r>
      <w:r w:rsidR="001153F1" w:rsidRPr="00282AC9">
        <w:rPr>
          <w:rFonts w:hint="cs"/>
          <w:sz w:val="27"/>
          <w:rtl/>
          <w:lang w:bidi="fa-IR"/>
        </w:rPr>
        <w:t>:</w:t>
      </w:r>
      <w:r w:rsidR="001153F1" w:rsidRPr="00282AC9">
        <w:rPr>
          <w:sz w:val="27"/>
          <w:rtl/>
          <w:lang w:bidi="fa-IR"/>
        </w:rPr>
        <w:t xml:space="preserve"> القبيحة</w:t>
      </w:r>
      <w:r w:rsidR="001153F1" w:rsidRPr="00282AC9">
        <w:rPr>
          <w:sz w:val="24"/>
          <w:szCs w:val="24"/>
          <w:rtl/>
          <w:lang w:bidi="fa-IR"/>
        </w:rPr>
        <w:t>»</w:t>
      </w:r>
      <w:r w:rsidR="001153F1" w:rsidRPr="00282AC9">
        <w:rPr>
          <w:sz w:val="27"/>
          <w:vertAlign w:val="superscript"/>
          <w:rtl/>
          <w:lang w:bidi="fa-IR"/>
        </w:rPr>
        <w:t>(</w:t>
      </w:r>
      <w:r w:rsidR="001153F1" w:rsidRPr="00282AC9">
        <w:rPr>
          <w:rStyle w:val="af9"/>
          <w:rFonts w:eastAsiaTheme="majorEastAsia"/>
          <w:sz w:val="27"/>
          <w:rtl/>
          <w:lang w:bidi="fa-IR"/>
        </w:rPr>
        <w:endnoteReference w:id="642"/>
      </w:r>
      <w:r w:rsidR="001153F1" w:rsidRPr="00282AC9">
        <w:rPr>
          <w:sz w:val="27"/>
          <w:vertAlign w:val="superscript"/>
          <w:rtl/>
          <w:lang w:bidi="fa-IR"/>
        </w:rPr>
        <w:t>)</w:t>
      </w:r>
      <w:r w:rsidR="001153F1" w:rsidRPr="00282AC9">
        <w:rPr>
          <w:sz w:val="27"/>
          <w:rtl/>
          <w:lang w:bidi="fa-IR"/>
        </w:rPr>
        <w:t>.</w:t>
      </w:r>
    </w:p>
    <w:p w:rsidR="001153F1" w:rsidRPr="00282AC9" w:rsidRDefault="001153F1" w:rsidP="003E218F">
      <w:pPr>
        <w:rPr>
          <w:sz w:val="27"/>
          <w:rtl/>
          <w:lang w:bidi="fa-IR"/>
        </w:rPr>
      </w:pPr>
      <w:r w:rsidRPr="00282AC9">
        <w:rPr>
          <w:rFonts w:hint="cs"/>
          <w:sz w:val="27"/>
          <w:rtl/>
          <w:lang w:bidi="fa-IR"/>
        </w:rPr>
        <w:t>وقد ورد ما يشبه ذلك في المصادر السن</w:t>
      </w:r>
      <w:r w:rsidR="004D29A3" w:rsidRPr="00282AC9">
        <w:rPr>
          <w:rFonts w:hint="cs"/>
          <w:sz w:val="27"/>
          <w:rtl/>
          <w:lang w:bidi="fa-IR"/>
        </w:rPr>
        <w:t>ّ</w:t>
      </w:r>
      <w:r w:rsidRPr="00282AC9">
        <w:rPr>
          <w:rFonts w:hint="cs"/>
          <w:sz w:val="27"/>
          <w:rtl/>
          <w:lang w:bidi="fa-IR"/>
        </w:rPr>
        <w:t>ية</w:t>
      </w:r>
      <w:r w:rsidR="004D29A3" w:rsidRPr="00282AC9">
        <w:rPr>
          <w:rFonts w:hint="cs"/>
          <w:sz w:val="27"/>
          <w:rtl/>
          <w:lang w:bidi="fa-IR"/>
        </w:rPr>
        <w:t>،</w:t>
      </w:r>
      <w:r w:rsidRPr="00282AC9">
        <w:rPr>
          <w:rFonts w:hint="cs"/>
          <w:sz w:val="27"/>
          <w:rtl/>
          <w:lang w:bidi="fa-IR"/>
        </w:rPr>
        <w:t xml:space="preserve"> </w:t>
      </w:r>
      <w:r w:rsidR="004D29A3" w:rsidRPr="00282AC9">
        <w:rPr>
          <w:rFonts w:hint="cs"/>
          <w:sz w:val="27"/>
          <w:rtl/>
          <w:lang w:bidi="fa-IR"/>
        </w:rPr>
        <w:t>ب</w:t>
      </w:r>
      <w:r w:rsidRPr="00282AC9">
        <w:rPr>
          <w:rFonts w:hint="cs"/>
          <w:sz w:val="27"/>
          <w:rtl/>
          <w:lang w:bidi="fa-IR"/>
        </w:rPr>
        <w:t xml:space="preserve">ما لفظه: </w:t>
      </w:r>
      <w:r w:rsidRPr="00282AC9">
        <w:rPr>
          <w:sz w:val="27"/>
          <w:rtl/>
          <w:lang w:bidi="fa-IR"/>
        </w:rPr>
        <w:t>عَنْ عَبْدِ الْمَلِكِ بْنِ عُمَيْرٍ وَعَاصِمِ ابْنِ بَهْدَلَةَ</w:t>
      </w:r>
      <w:r w:rsidR="004D29A3" w:rsidRPr="00282AC9">
        <w:rPr>
          <w:rFonts w:hint="cs"/>
          <w:sz w:val="27"/>
          <w:rtl/>
          <w:lang w:bidi="fa-IR"/>
        </w:rPr>
        <w:t>،</w:t>
      </w:r>
      <w:r w:rsidRPr="00282AC9">
        <w:rPr>
          <w:sz w:val="27"/>
          <w:rtl/>
          <w:lang w:bidi="fa-IR"/>
        </w:rPr>
        <w:t xml:space="preserve"> أَن</w:t>
      </w:r>
      <w:r w:rsidR="00313735" w:rsidRPr="00282AC9">
        <w:rPr>
          <w:sz w:val="27"/>
          <w:rtl/>
          <w:lang w:bidi="fa-IR"/>
        </w:rPr>
        <w:t>َّ</w:t>
      </w:r>
      <w:r w:rsidRPr="00282AC9">
        <w:rPr>
          <w:sz w:val="27"/>
          <w:rtl/>
          <w:lang w:bidi="fa-IR"/>
        </w:rPr>
        <w:t xml:space="preserve"> رَجُل</w:t>
      </w:r>
      <w:r w:rsidR="006D28AF" w:rsidRPr="00282AC9">
        <w:rPr>
          <w:sz w:val="27"/>
          <w:rtl/>
          <w:lang w:bidi="fa-IR"/>
        </w:rPr>
        <w:t>اً</w:t>
      </w:r>
      <w:r w:rsidRPr="00282AC9">
        <w:rPr>
          <w:sz w:val="27"/>
          <w:rtl/>
          <w:lang w:bidi="fa-IR"/>
        </w:rPr>
        <w:t xml:space="preserve"> أَتَى الن</w:t>
      </w:r>
      <w:r w:rsidR="00313735" w:rsidRPr="00282AC9">
        <w:rPr>
          <w:sz w:val="27"/>
          <w:rtl/>
          <w:lang w:bidi="fa-IR"/>
        </w:rPr>
        <w:t>َّ</w:t>
      </w:r>
      <w:r w:rsidRPr="00282AC9">
        <w:rPr>
          <w:sz w:val="27"/>
          <w:rtl/>
          <w:lang w:bidi="fa-IR"/>
        </w:rPr>
        <w:t>بِي</w:t>
      </w:r>
      <w:r w:rsidR="00313735" w:rsidRPr="00282AC9">
        <w:rPr>
          <w:sz w:val="27"/>
          <w:rtl/>
          <w:lang w:bidi="fa-IR"/>
        </w:rPr>
        <w:t>َّ</w:t>
      </w:r>
      <w:r w:rsidR="00A9773B" w:rsidRPr="00282AC9">
        <w:rPr>
          <w:rFonts w:ascii="Mosawi" w:hAnsi="Mosawi" w:cs="Mosawi"/>
          <w:sz w:val="22"/>
          <w:szCs w:val="22"/>
          <w:rtl/>
        </w:rPr>
        <w:t>ﷺ</w:t>
      </w:r>
      <w:r w:rsidRPr="00282AC9">
        <w:rPr>
          <w:sz w:val="27"/>
          <w:rtl/>
          <w:lang w:bidi="fa-IR"/>
        </w:rPr>
        <w:t>، فَقَالَ: ابْنَةُ عَم</w:t>
      </w:r>
      <w:r w:rsidR="00AD3C31" w:rsidRPr="00282AC9">
        <w:rPr>
          <w:sz w:val="27"/>
          <w:rtl/>
          <w:lang w:bidi="fa-IR"/>
        </w:rPr>
        <w:t>ٍّ</w:t>
      </w:r>
      <w:r w:rsidRPr="00282AC9">
        <w:rPr>
          <w:sz w:val="27"/>
          <w:rtl/>
          <w:lang w:bidi="fa-IR"/>
        </w:rPr>
        <w:t xml:space="preserve"> لِي ذَاتَ مِيسِمٍ وَمَالٍ، وَهِيَ عَاقِرٌ، أَفَأَتَزَو</w:t>
      </w:r>
      <w:r w:rsidR="00313735" w:rsidRPr="00282AC9">
        <w:rPr>
          <w:sz w:val="27"/>
          <w:rtl/>
          <w:lang w:bidi="fa-IR"/>
        </w:rPr>
        <w:t>َّ</w:t>
      </w:r>
      <w:r w:rsidRPr="00282AC9">
        <w:rPr>
          <w:sz w:val="27"/>
          <w:rtl/>
          <w:lang w:bidi="fa-IR"/>
        </w:rPr>
        <w:t>جُهَا؟ فَنَهَاهُ عَنْهَا مَر</w:t>
      </w:r>
      <w:r w:rsidR="00313735" w:rsidRPr="00282AC9">
        <w:rPr>
          <w:sz w:val="27"/>
          <w:rtl/>
          <w:lang w:bidi="fa-IR"/>
        </w:rPr>
        <w:t>َّ</w:t>
      </w:r>
      <w:r w:rsidRPr="00282AC9">
        <w:rPr>
          <w:sz w:val="27"/>
          <w:rtl/>
          <w:lang w:bidi="fa-IR"/>
        </w:rPr>
        <w:t>تَيْن</w:t>
      </w:r>
      <w:r w:rsidR="004D29A3" w:rsidRPr="00282AC9">
        <w:rPr>
          <w:sz w:val="27"/>
          <w:rtl/>
          <w:lang w:bidi="fa-IR"/>
        </w:rPr>
        <w:t>ِ أَوْ ثَل</w:t>
      </w:r>
      <w:r w:rsidRPr="00282AC9">
        <w:rPr>
          <w:sz w:val="27"/>
          <w:rtl/>
          <w:lang w:bidi="fa-IR"/>
        </w:rPr>
        <w:t>اث</w:t>
      </w:r>
      <w:r w:rsidR="006D28AF" w:rsidRPr="00282AC9">
        <w:rPr>
          <w:sz w:val="27"/>
          <w:rtl/>
          <w:lang w:bidi="fa-IR"/>
        </w:rPr>
        <w:t>اً</w:t>
      </w:r>
      <w:r w:rsidRPr="00282AC9">
        <w:rPr>
          <w:sz w:val="27"/>
          <w:rtl/>
          <w:lang w:bidi="fa-IR"/>
        </w:rPr>
        <w:t>، ثُم</w:t>
      </w:r>
      <w:r w:rsidR="00313735" w:rsidRPr="00282AC9">
        <w:rPr>
          <w:sz w:val="27"/>
          <w:rtl/>
          <w:lang w:bidi="fa-IR"/>
        </w:rPr>
        <w:t>َّ</w:t>
      </w:r>
      <w:r w:rsidRPr="00282AC9">
        <w:rPr>
          <w:sz w:val="27"/>
          <w:rtl/>
          <w:lang w:bidi="fa-IR"/>
        </w:rPr>
        <w:t xml:space="preserve"> قَالَ: </w:t>
      </w:r>
      <w:r w:rsidRPr="00282AC9">
        <w:rPr>
          <w:sz w:val="24"/>
          <w:szCs w:val="24"/>
          <w:rtl/>
          <w:lang w:bidi="fa-IR"/>
        </w:rPr>
        <w:t>«</w:t>
      </w:r>
      <w:r w:rsidR="004D29A3" w:rsidRPr="00282AC9">
        <w:rPr>
          <w:sz w:val="27"/>
          <w:rtl/>
          <w:lang w:bidi="fa-IR"/>
        </w:rPr>
        <w:t>ل</w:t>
      </w:r>
      <w:r w:rsidRPr="00282AC9">
        <w:rPr>
          <w:sz w:val="27"/>
          <w:rtl/>
          <w:lang w:bidi="fa-IR"/>
        </w:rPr>
        <w:t>امْرَأَةٌ سَوْدَاءُ وَلُودٌ أَحَب</w:t>
      </w:r>
      <w:r w:rsidR="00313735" w:rsidRPr="00282AC9">
        <w:rPr>
          <w:sz w:val="27"/>
          <w:rtl/>
          <w:lang w:bidi="fa-IR"/>
        </w:rPr>
        <w:t>ُّ</w:t>
      </w:r>
      <w:r w:rsidRPr="00282AC9">
        <w:rPr>
          <w:sz w:val="27"/>
          <w:rtl/>
          <w:lang w:bidi="fa-IR"/>
        </w:rPr>
        <w:t xml:space="preserve"> إِلَي</w:t>
      </w:r>
      <w:r w:rsidR="00313735" w:rsidRPr="00282AC9">
        <w:rPr>
          <w:sz w:val="27"/>
          <w:rtl/>
          <w:lang w:bidi="fa-IR"/>
        </w:rPr>
        <w:t>َّ</w:t>
      </w:r>
      <w:r w:rsidRPr="00282AC9">
        <w:rPr>
          <w:sz w:val="27"/>
          <w:rtl/>
          <w:lang w:bidi="fa-IR"/>
        </w:rPr>
        <w:t xml:space="preserve"> مِنْهَا</w:t>
      </w:r>
      <w:r w:rsidR="004D29A3" w:rsidRPr="00282AC9">
        <w:rPr>
          <w:rFonts w:hint="cs"/>
          <w:sz w:val="27"/>
          <w:rtl/>
          <w:lang w:bidi="fa-IR"/>
        </w:rPr>
        <w:t>؛</w:t>
      </w:r>
      <w:r w:rsidRPr="00282AC9">
        <w:rPr>
          <w:sz w:val="27"/>
          <w:rtl/>
          <w:lang w:bidi="fa-IR"/>
        </w:rPr>
        <w:t xml:space="preserve"> أَم</w:t>
      </w:r>
      <w:r w:rsidR="00313735" w:rsidRPr="00282AC9">
        <w:rPr>
          <w:sz w:val="27"/>
          <w:rtl/>
          <w:lang w:bidi="fa-IR"/>
        </w:rPr>
        <w:t>َّ</w:t>
      </w:r>
      <w:r w:rsidRPr="00282AC9">
        <w:rPr>
          <w:sz w:val="27"/>
          <w:rtl/>
          <w:lang w:bidi="fa-IR"/>
        </w:rPr>
        <w:t>ا عَلِمْتَ أَن</w:t>
      </w:r>
      <w:r w:rsidR="00313735" w:rsidRPr="00282AC9">
        <w:rPr>
          <w:sz w:val="27"/>
          <w:rtl/>
          <w:lang w:bidi="fa-IR"/>
        </w:rPr>
        <w:t>ِّ</w:t>
      </w:r>
      <w:r w:rsidR="004D29A3" w:rsidRPr="00282AC9">
        <w:rPr>
          <w:sz w:val="27"/>
          <w:rtl/>
          <w:lang w:bidi="fa-IR"/>
        </w:rPr>
        <w:t>ي مُكَاثِرٌ بِكُمُ ال</w:t>
      </w:r>
      <w:r w:rsidRPr="00282AC9">
        <w:rPr>
          <w:sz w:val="27"/>
          <w:rtl/>
          <w:lang w:bidi="fa-IR"/>
        </w:rPr>
        <w:t>أُمَمَ، وَأَن</w:t>
      </w:r>
      <w:r w:rsidR="00313735" w:rsidRPr="00282AC9">
        <w:rPr>
          <w:sz w:val="27"/>
          <w:rtl/>
          <w:lang w:bidi="fa-IR"/>
        </w:rPr>
        <w:t>َّ</w:t>
      </w:r>
      <w:r w:rsidR="004D29A3" w:rsidRPr="00282AC9">
        <w:rPr>
          <w:sz w:val="27"/>
          <w:rtl/>
          <w:lang w:bidi="fa-IR"/>
        </w:rPr>
        <w:t xml:space="preserve"> أَطْفَالَ ال</w:t>
      </w:r>
      <w:r w:rsidRPr="00282AC9">
        <w:rPr>
          <w:sz w:val="27"/>
          <w:rtl/>
          <w:lang w:bidi="fa-IR"/>
        </w:rPr>
        <w:t>أُمَمِ الْمُسْلِمِينَ يُقَالُ لَهُمْ يَوْمَ الْقِيَامَةِ: ادْخُلُوا الْجَن</w:t>
      </w:r>
      <w:r w:rsidR="00313735" w:rsidRPr="00282AC9">
        <w:rPr>
          <w:sz w:val="27"/>
          <w:rtl/>
          <w:lang w:bidi="fa-IR"/>
        </w:rPr>
        <w:t>َّ</w:t>
      </w:r>
      <w:r w:rsidRPr="00282AC9">
        <w:rPr>
          <w:sz w:val="27"/>
          <w:rtl/>
          <w:lang w:bidi="fa-IR"/>
        </w:rPr>
        <w:t>ةَ، فَيَتَعَل</w:t>
      </w:r>
      <w:r w:rsidR="00313735" w:rsidRPr="00282AC9">
        <w:rPr>
          <w:sz w:val="27"/>
          <w:rtl/>
          <w:lang w:bidi="fa-IR"/>
        </w:rPr>
        <w:t>َّ</w:t>
      </w:r>
      <w:r w:rsidRPr="00282AC9">
        <w:rPr>
          <w:sz w:val="27"/>
          <w:rtl/>
          <w:lang w:bidi="fa-IR"/>
        </w:rPr>
        <w:t>قُونَ بِأَحْقَاءِ آبَائِهِمْ وَأُم</w:t>
      </w:r>
      <w:r w:rsidR="00313735" w:rsidRPr="00282AC9">
        <w:rPr>
          <w:sz w:val="27"/>
          <w:rtl/>
          <w:lang w:bidi="fa-IR"/>
        </w:rPr>
        <w:t>َّ</w:t>
      </w:r>
      <w:r w:rsidRPr="00282AC9">
        <w:rPr>
          <w:sz w:val="27"/>
          <w:rtl/>
          <w:lang w:bidi="fa-IR"/>
        </w:rPr>
        <w:t>هَاتِهِمْ، فَيَقُولُونَ: رَب</w:t>
      </w:r>
      <w:r w:rsidR="00313735" w:rsidRPr="00282AC9">
        <w:rPr>
          <w:sz w:val="27"/>
          <w:rtl/>
          <w:lang w:bidi="fa-IR"/>
        </w:rPr>
        <w:t>َّ</w:t>
      </w:r>
      <w:r w:rsidRPr="00282AC9">
        <w:rPr>
          <w:sz w:val="27"/>
          <w:rtl/>
          <w:lang w:bidi="fa-IR"/>
        </w:rPr>
        <w:t>نَا آبَاؤُنَا وَأَم</w:t>
      </w:r>
      <w:r w:rsidR="00313735" w:rsidRPr="00282AC9">
        <w:rPr>
          <w:sz w:val="27"/>
          <w:rtl/>
          <w:lang w:bidi="fa-IR"/>
        </w:rPr>
        <w:t>َّ</w:t>
      </w:r>
      <w:r w:rsidRPr="00282AC9">
        <w:rPr>
          <w:sz w:val="27"/>
          <w:rtl/>
          <w:lang w:bidi="fa-IR"/>
        </w:rPr>
        <w:t>هَاتُنَا</w:t>
      </w:r>
      <w:r w:rsidR="004D29A3" w:rsidRPr="00282AC9">
        <w:rPr>
          <w:rFonts w:hint="cs"/>
          <w:sz w:val="27"/>
          <w:rtl/>
          <w:lang w:bidi="fa-IR"/>
        </w:rPr>
        <w:t>،</w:t>
      </w:r>
      <w:r w:rsidRPr="00282AC9">
        <w:rPr>
          <w:sz w:val="27"/>
          <w:rtl/>
          <w:lang w:bidi="fa-IR"/>
        </w:rPr>
        <w:t xml:space="preserve"> قَالَ: فَيُقَالُ لَهُمُ: ادْخُلُوا الْجَن</w:t>
      </w:r>
      <w:r w:rsidR="00313735" w:rsidRPr="00282AC9">
        <w:rPr>
          <w:sz w:val="27"/>
          <w:rtl/>
          <w:lang w:bidi="fa-IR"/>
        </w:rPr>
        <w:t>َّ</w:t>
      </w:r>
      <w:r w:rsidRPr="00282AC9">
        <w:rPr>
          <w:sz w:val="27"/>
          <w:rtl/>
          <w:lang w:bidi="fa-IR"/>
        </w:rPr>
        <w:t>ةَ، أَنْتُمْ وَآبَاؤُكُمْ وَأُم</w:t>
      </w:r>
      <w:r w:rsidR="00313735" w:rsidRPr="00282AC9">
        <w:rPr>
          <w:sz w:val="27"/>
          <w:rtl/>
          <w:lang w:bidi="fa-IR"/>
        </w:rPr>
        <w:t>َّ</w:t>
      </w:r>
      <w:r w:rsidRPr="00282AC9">
        <w:rPr>
          <w:sz w:val="27"/>
          <w:rtl/>
          <w:lang w:bidi="fa-IR"/>
        </w:rPr>
        <w:t>هَاتُكُمْ</w:t>
      </w:r>
      <w:r w:rsidR="004D29A3" w:rsidRPr="00282AC9">
        <w:rPr>
          <w:rFonts w:hint="cs"/>
          <w:sz w:val="27"/>
          <w:rtl/>
          <w:lang w:bidi="fa-IR"/>
        </w:rPr>
        <w:t>،</w:t>
      </w:r>
      <w:r w:rsidRPr="00282AC9">
        <w:rPr>
          <w:sz w:val="27"/>
          <w:rtl/>
          <w:lang w:bidi="fa-IR"/>
        </w:rPr>
        <w:t xml:space="preserve"> قَالَ: ثُم</w:t>
      </w:r>
      <w:r w:rsidR="00313735" w:rsidRPr="00282AC9">
        <w:rPr>
          <w:sz w:val="27"/>
          <w:rtl/>
          <w:lang w:bidi="fa-IR"/>
        </w:rPr>
        <w:t>َّ</w:t>
      </w:r>
      <w:r w:rsidRPr="00282AC9">
        <w:rPr>
          <w:sz w:val="27"/>
          <w:rtl/>
          <w:lang w:bidi="fa-IR"/>
        </w:rPr>
        <w:t xml:space="preserve"> يَجِيءُ الس</w:t>
      </w:r>
      <w:r w:rsidR="00313735" w:rsidRPr="00282AC9">
        <w:rPr>
          <w:sz w:val="27"/>
          <w:rtl/>
          <w:lang w:bidi="fa-IR"/>
        </w:rPr>
        <w:t>ِّ</w:t>
      </w:r>
      <w:r w:rsidRPr="00282AC9">
        <w:rPr>
          <w:sz w:val="27"/>
          <w:rtl/>
          <w:lang w:bidi="fa-IR"/>
        </w:rPr>
        <w:t>قْطُ، فَيُقَالُ لَهُ: ادْخُلِ الْجَن</w:t>
      </w:r>
      <w:r w:rsidR="00313735" w:rsidRPr="00282AC9">
        <w:rPr>
          <w:sz w:val="27"/>
          <w:rtl/>
          <w:lang w:bidi="fa-IR"/>
        </w:rPr>
        <w:t>َّ</w:t>
      </w:r>
      <w:r w:rsidRPr="00282AC9">
        <w:rPr>
          <w:sz w:val="27"/>
          <w:rtl/>
          <w:lang w:bidi="fa-IR"/>
        </w:rPr>
        <w:t>ةَ</w:t>
      </w:r>
      <w:r w:rsidR="004D29A3" w:rsidRPr="00282AC9">
        <w:rPr>
          <w:rFonts w:hint="cs"/>
          <w:sz w:val="27"/>
          <w:rtl/>
          <w:lang w:bidi="fa-IR"/>
        </w:rPr>
        <w:t>،</w:t>
      </w:r>
      <w:r w:rsidRPr="00282AC9">
        <w:rPr>
          <w:sz w:val="27"/>
          <w:rtl/>
          <w:lang w:bidi="fa-IR"/>
        </w:rPr>
        <w:t xml:space="preserve"> قَالَ: فَيَظَل</w:t>
      </w:r>
      <w:r w:rsidR="00313735" w:rsidRPr="00282AC9">
        <w:rPr>
          <w:sz w:val="27"/>
          <w:rtl/>
          <w:lang w:bidi="fa-IR"/>
        </w:rPr>
        <w:t>ُّ</w:t>
      </w:r>
      <w:r w:rsidRPr="00282AC9">
        <w:rPr>
          <w:sz w:val="27"/>
          <w:rtl/>
          <w:lang w:bidi="fa-IR"/>
        </w:rPr>
        <w:t xml:space="preserve"> مُحْبَنْطِئ</w:t>
      </w:r>
      <w:r w:rsidR="006D28AF" w:rsidRPr="00282AC9">
        <w:rPr>
          <w:sz w:val="27"/>
          <w:rtl/>
          <w:lang w:bidi="fa-IR"/>
        </w:rPr>
        <w:t>اً</w:t>
      </w:r>
      <w:r w:rsidRPr="00282AC9">
        <w:rPr>
          <w:sz w:val="27"/>
          <w:rtl/>
          <w:lang w:bidi="fa-IR"/>
        </w:rPr>
        <w:t>، أَيْ مُتَقَع</w:t>
      </w:r>
      <w:r w:rsidR="00313735" w:rsidRPr="00282AC9">
        <w:rPr>
          <w:sz w:val="27"/>
          <w:rtl/>
          <w:lang w:bidi="fa-IR"/>
        </w:rPr>
        <w:t>ِّ</w:t>
      </w:r>
      <w:r w:rsidRPr="00282AC9">
        <w:rPr>
          <w:sz w:val="27"/>
          <w:rtl/>
          <w:lang w:bidi="fa-IR"/>
        </w:rPr>
        <w:t>س</w:t>
      </w:r>
      <w:r w:rsidR="006D28AF" w:rsidRPr="00282AC9">
        <w:rPr>
          <w:sz w:val="27"/>
          <w:rtl/>
          <w:lang w:bidi="fa-IR"/>
        </w:rPr>
        <w:t>اً</w:t>
      </w:r>
      <w:r w:rsidR="004D29A3" w:rsidRPr="00282AC9">
        <w:rPr>
          <w:rFonts w:hint="cs"/>
          <w:sz w:val="27"/>
          <w:rtl/>
          <w:lang w:bidi="fa-IR"/>
        </w:rPr>
        <w:t>،</w:t>
      </w:r>
      <w:r w:rsidRPr="00282AC9">
        <w:rPr>
          <w:sz w:val="27"/>
          <w:rtl/>
          <w:lang w:bidi="fa-IR"/>
        </w:rPr>
        <w:t xml:space="preserve"> فَيَقُولُ: أَيْ رَب</w:t>
      </w:r>
      <w:r w:rsidR="00313735" w:rsidRPr="00282AC9">
        <w:rPr>
          <w:sz w:val="27"/>
          <w:rtl/>
          <w:lang w:bidi="fa-IR"/>
        </w:rPr>
        <w:t>ِّ</w:t>
      </w:r>
      <w:r w:rsidRPr="00282AC9">
        <w:rPr>
          <w:sz w:val="27"/>
          <w:rtl/>
          <w:lang w:bidi="fa-IR"/>
        </w:rPr>
        <w:t>، أَبِي وَأُم</w:t>
      </w:r>
      <w:r w:rsidR="00313735" w:rsidRPr="00282AC9">
        <w:rPr>
          <w:sz w:val="27"/>
          <w:rtl/>
          <w:lang w:bidi="fa-IR"/>
        </w:rPr>
        <w:t>ِّ</w:t>
      </w:r>
      <w:r w:rsidRPr="00282AC9">
        <w:rPr>
          <w:sz w:val="27"/>
          <w:rtl/>
          <w:lang w:bidi="fa-IR"/>
        </w:rPr>
        <w:t>ي</w:t>
      </w:r>
      <w:r w:rsidR="004D29A3" w:rsidRPr="00282AC9">
        <w:rPr>
          <w:rFonts w:hint="cs"/>
          <w:sz w:val="27"/>
          <w:rtl/>
          <w:lang w:bidi="fa-IR"/>
        </w:rPr>
        <w:t>،</w:t>
      </w:r>
      <w:r w:rsidRPr="00282AC9">
        <w:rPr>
          <w:sz w:val="27"/>
          <w:rtl/>
          <w:lang w:bidi="fa-IR"/>
        </w:rPr>
        <w:t xml:space="preserve"> حَت</w:t>
      </w:r>
      <w:r w:rsidR="00313735" w:rsidRPr="00282AC9">
        <w:rPr>
          <w:sz w:val="27"/>
          <w:rtl/>
          <w:lang w:bidi="fa-IR"/>
        </w:rPr>
        <w:t>َّ</w:t>
      </w:r>
      <w:r w:rsidRPr="00282AC9">
        <w:rPr>
          <w:sz w:val="27"/>
          <w:rtl/>
          <w:lang w:bidi="fa-IR"/>
        </w:rPr>
        <w:t>ى يَلْحَقَ بِهِ أَبُوهُ</w:t>
      </w:r>
      <w:r w:rsidRPr="00282AC9">
        <w:rPr>
          <w:sz w:val="24"/>
          <w:szCs w:val="24"/>
          <w:rtl/>
          <w:lang w:bidi="fa-IR"/>
        </w:rPr>
        <w:t>»</w:t>
      </w:r>
      <w:r w:rsidRPr="00282AC9">
        <w:rPr>
          <w:sz w:val="27"/>
          <w:vertAlign w:val="superscript"/>
          <w:rtl/>
          <w:lang w:bidi="fa-IR"/>
        </w:rPr>
        <w:t>(</w:t>
      </w:r>
      <w:r w:rsidRPr="00282AC9">
        <w:rPr>
          <w:rStyle w:val="af9"/>
          <w:sz w:val="27"/>
          <w:rtl/>
          <w:lang w:bidi="fa-IR"/>
        </w:rPr>
        <w:endnoteReference w:id="643"/>
      </w:r>
      <w:r w:rsidRPr="00282AC9">
        <w:rPr>
          <w:sz w:val="27"/>
          <w:vertAlign w:val="superscript"/>
          <w:rtl/>
          <w:lang w:bidi="fa-IR"/>
        </w:rPr>
        <w:t>)</w:t>
      </w:r>
      <w:r w:rsidRPr="00282AC9">
        <w:rPr>
          <w:rFonts w:hint="cs"/>
          <w:sz w:val="27"/>
          <w:rtl/>
          <w:lang w:bidi="fa-IR"/>
        </w:rPr>
        <w:t>.</w:t>
      </w:r>
    </w:p>
    <w:p w:rsidR="001153F1" w:rsidRPr="00282AC9" w:rsidRDefault="001153F1" w:rsidP="003E218F">
      <w:pPr>
        <w:rPr>
          <w:rtl/>
        </w:rPr>
      </w:pPr>
      <w:r w:rsidRPr="00282AC9">
        <w:rPr>
          <w:rFonts w:hint="cs"/>
          <w:b/>
          <w:bCs/>
          <w:rtl/>
        </w:rPr>
        <w:t xml:space="preserve">أـ </w:t>
      </w:r>
      <w:r w:rsidRPr="00282AC9">
        <w:rPr>
          <w:b/>
          <w:bCs/>
          <w:rtl/>
        </w:rPr>
        <w:t>الدراسة السندي</w:t>
      </w:r>
      <w:r w:rsidR="004D29A3" w:rsidRPr="00282AC9">
        <w:rPr>
          <w:rFonts w:hint="cs"/>
          <w:b/>
          <w:bCs/>
          <w:rtl/>
        </w:rPr>
        <w:t>ّ</w:t>
      </w:r>
      <w:r w:rsidRPr="00282AC9">
        <w:rPr>
          <w:b/>
          <w:bCs/>
          <w:rtl/>
        </w:rPr>
        <w:t>ة</w:t>
      </w:r>
      <w:r w:rsidR="00F4357B" w:rsidRPr="00282AC9">
        <w:rPr>
          <w:rFonts w:hint="cs"/>
          <w:rtl/>
        </w:rPr>
        <w:t xml:space="preserve">: </w:t>
      </w:r>
      <w:r w:rsidRPr="00282AC9">
        <w:rPr>
          <w:rFonts w:hint="cs"/>
          <w:sz w:val="27"/>
          <w:rtl/>
        </w:rPr>
        <w:t>ي</w:t>
      </w:r>
      <w:r w:rsidRPr="00282AC9">
        <w:rPr>
          <w:sz w:val="27"/>
          <w:rtl/>
        </w:rPr>
        <w:t xml:space="preserve">شتمل </w:t>
      </w:r>
      <w:r w:rsidRPr="00282AC9">
        <w:rPr>
          <w:rFonts w:hint="cs"/>
          <w:sz w:val="27"/>
          <w:rtl/>
        </w:rPr>
        <w:t xml:space="preserve">سند </w:t>
      </w:r>
      <w:r w:rsidRPr="00282AC9">
        <w:rPr>
          <w:sz w:val="27"/>
          <w:rtl/>
        </w:rPr>
        <w:t xml:space="preserve">هذه الرواية في الحقيقة على </w:t>
      </w:r>
      <w:r w:rsidRPr="00282AC9">
        <w:rPr>
          <w:rFonts w:hint="cs"/>
          <w:sz w:val="27"/>
          <w:rtl/>
        </w:rPr>
        <w:t>طريقين</w:t>
      </w:r>
      <w:r w:rsidRPr="00282AC9">
        <w:rPr>
          <w:sz w:val="27"/>
          <w:rtl/>
        </w:rPr>
        <w:t>:</w:t>
      </w:r>
    </w:p>
    <w:p w:rsidR="001153F1" w:rsidRPr="00282AC9" w:rsidRDefault="001153F1" w:rsidP="003E218F">
      <w:pPr>
        <w:pStyle w:val="afe"/>
        <w:spacing w:after="0" w:line="400" w:lineRule="exact"/>
        <w:ind w:left="0" w:firstLine="567"/>
        <w:jc w:val="both"/>
        <w:rPr>
          <w:rFonts w:cs="AL-Mohanad"/>
          <w:sz w:val="27"/>
          <w:szCs w:val="27"/>
          <w:rtl/>
        </w:rPr>
      </w:pPr>
      <w:r w:rsidRPr="00282AC9">
        <w:rPr>
          <w:rFonts w:cs="AL-Mohanad" w:hint="cs"/>
          <w:b/>
          <w:bCs/>
          <w:sz w:val="27"/>
          <w:szCs w:val="27"/>
          <w:rtl/>
        </w:rPr>
        <w:t>الطريق</w:t>
      </w:r>
      <w:r w:rsidRPr="00282AC9">
        <w:rPr>
          <w:rFonts w:cs="AL-Mohanad"/>
          <w:b/>
          <w:bCs/>
          <w:sz w:val="27"/>
          <w:szCs w:val="27"/>
          <w:rtl/>
        </w:rPr>
        <w:t xml:space="preserve"> الأو</w:t>
      </w:r>
      <w:r w:rsidR="004D29A3" w:rsidRPr="00282AC9">
        <w:rPr>
          <w:rFonts w:cs="AL-Mohanad" w:hint="cs"/>
          <w:b/>
          <w:bCs/>
          <w:sz w:val="27"/>
          <w:szCs w:val="27"/>
          <w:rtl/>
        </w:rPr>
        <w:t>ّ</w:t>
      </w:r>
      <w:r w:rsidRPr="00282AC9">
        <w:rPr>
          <w:rFonts w:cs="AL-Mohanad"/>
          <w:b/>
          <w:bCs/>
          <w:sz w:val="27"/>
          <w:szCs w:val="27"/>
          <w:rtl/>
        </w:rPr>
        <w:t>ل</w:t>
      </w:r>
      <w:r w:rsidRPr="00282AC9">
        <w:rPr>
          <w:rFonts w:cs="AL-Mohanad"/>
          <w:sz w:val="27"/>
          <w:szCs w:val="27"/>
          <w:rtl/>
        </w:rPr>
        <w:t>: عد</w:t>
      </w:r>
      <w:r w:rsidR="004D29A3" w:rsidRPr="00282AC9">
        <w:rPr>
          <w:rFonts w:cs="AL-Mohanad" w:hint="cs"/>
          <w:sz w:val="27"/>
          <w:szCs w:val="27"/>
          <w:rtl/>
        </w:rPr>
        <w:t>ّ</w:t>
      </w:r>
      <w:r w:rsidRPr="00282AC9">
        <w:rPr>
          <w:rFonts w:cs="AL-Mohanad"/>
          <w:sz w:val="27"/>
          <w:szCs w:val="27"/>
          <w:rtl/>
        </w:rPr>
        <w:t>ة من أصحابنا</w:t>
      </w:r>
      <w:r w:rsidR="004D29A3" w:rsidRPr="00282AC9">
        <w:rPr>
          <w:rFonts w:cs="AL-Mohanad" w:hint="cs"/>
          <w:sz w:val="27"/>
          <w:szCs w:val="27"/>
          <w:rtl/>
        </w:rPr>
        <w:t>،</w:t>
      </w:r>
      <w:r w:rsidRPr="00282AC9">
        <w:rPr>
          <w:rFonts w:cs="AL-Mohanad"/>
          <w:sz w:val="27"/>
          <w:szCs w:val="27"/>
          <w:rtl/>
        </w:rPr>
        <w:t xml:space="preserve"> عن أحمد بن محمد</w:t>
      </w:r>
      <w:r w:rsidR="00F9594E" w:rsidRPr="00282AC9">
        <w:rPr>
          <w:rFonts w:cs="AL-Mohanad" w:hint="cs"/>
          <w:sz w:val="27"/>
          <w:szCs w:val="27"/>
          <w:rtl/>
        </w:rPr>
        <w:t>،</w:t>
      </w:r>
      <w:r w:rsidRPr="00282AC9">
        <w:rPr>
          <w:rFonts w:cs="AL-Mohanad"/>
          <w:sz w:val="27"/>
          <w:szCs w:val="27"/>
          <w:rtl/>
        </w:rPr>
        <w:t xml:space="preserve"> عن ابن محبوب</w:t>
      </w:r>
      <w:r w:rsidR="00F9594E" w:rsidRPr="00282AC9">
        <w:rPr>
          <w:rFonts w:cs="AL-Mohanad" w:hint="cs"/>
          <w:sz w:val="27"/>
          <w:szCs w:val="27"/>
          <w:rtl/>
        </w:rPr>
        <w:t>،</w:t>
      </w:r>
      <w:r w:rsidRPr="00282AC9">
        <w:rPr>
          <w:rFonts w:cs="AL-Mohanad"/>
          <w:sz w:val="27"/>
          <w:szCs w:val="27"/>
          <w:rtl/>
        </w:rPr>
        <w:t xml:space="preserve"> عن عبد الله بن سنان</w:t>
      </w:r>
      <w:r w:rsidR="00F9594E" w:rsidRPr="00282AC9">
        <w:rPr>
          <w:rFonts w:cs="AL-Mohanad" w:hint="cs"/>
          <w:sz w:val="27"/>
          <w:szCs w:val="27"/>
          <w:rtl/>
        </w:rPr>
        <w:t>،</w:t>
      </w:r>
      <w:r w:rsidRPr="00282AC9">
        <w:rPr>
          <w:rFonts w:cs="AL-Mohanad"/>
          <w:sz w:val="27"/>
          <w:szCs w:val="27"/>
          <w:rtl/>
        </w:rPr>
        <w:t xml:space="preserve"> عن أبي عبد الله</w:t>
      </w:r>
      <w:r w:rsidR="009A2A04" w:rsidRPr="00282AC9">
        <w:rPr>
          <w:rFonts w:cs="Mosawi"/>
          <w:rtl/>
        </w:rPr>
        <w:t>×</w:t>
      </w:r>
      <w:r w:rsidRPr="00282AC9">
        <w:rPr>
          <w:rFonts w:cs="AL-Mohanad"/>
          <w:sz w:val="27"/>
          <w:szCs w:val="27"/>
          <w:rtl/>
        </w:rPr>
        <w:t>.</w:t>
      </w:r>
    </w:p>
    <w:p w:rsidR="001153F1" w:rsidRPr="00282AC9" w:rsidRDefault="001153F1" w:rsidP="003E218F">
      <w:pPr>
        <w:pStyle w:val="afe"/>
        <w:spacing w:after="0" w:line="400" w:lineRule="exact"/>
        <w:ind w:left="0" w:firstLine="567"/>
        <w:jc w:val="both"/>
        <w:rPr>
          <w:rFonts w:cs="AL-Mohanad"/>
          <w:sz w:val="27"/>
          <w:szCs w:val="27"/>
        </w:rPr>
      </w:pPr>
      <w:r w:rsidRPr="00282AC9">
        <w:rPr>
          <w:rFonts w:cs="AL-Mohanad" w:hint="cs"/>
          <w:b/>
          <w:bCs/>
          <w:sz w:val="27"/>
          <w:szCs w:val="27"/>
          <w:rtl/>
        </w:rPr>
        <w:t xml:space="preserve">الطريق </w:t>
      </w:r>
      <w:r w:rsidRPr="00282AC9">
        <w:rPr>
          <w:rFonts w:cs="AL-Mohanad"/>
          <w:b/>
          <w:bCs/>
          <w:sz w:val="27"/>
          <w:szCs w:val="27"/>
          <w:rtl/>
        </w:rPr>
        <w:t>الثاني</w:t>
      </w:r>
      <w:r w:rsidRPr="00282AC9">
        <w:rPr>
          <w:rFonts w:cs="AL-Mohanad"/>
          <w:sz w:val="27"/>
          <w:szCs w:val="27"/>
          <w:rtl/>
        </w:rPr>
        <w:t>: عد</w:t>
      </w:r>
      <w:r w:rsidR="00F9594E" w:rsidRPr="00282AC9">
        <w:rPr>
          <w:rFonts w:cs="AL-Mohanad" w:hint="cs"/>
          <w:sz w:val="27"/>
          <w:szCs w:val="27"/>
          <w:rtl/>
        </w:rPr>
        <w:t>ّ</w:t>
      </w:r>
      <w:r w:rsidRPr="00282AC9">
        <w:rPr>
          <w:rFonts w:cs="AL-Mohanad"/>
          <w:sz w:val="27"/>
          <w:szCs w:val="27"/>
          <w:rtl/>
        </w:rPr>
        <w:t>ة من أصحابنا</w:t>
      </w:r>
      <w:r w:rsidR="00F9594E" w:rsidRPr="00282AC9">
        <w:rPr>
          <w:rFonts w:cs="AL-Mohanad" w:hint="cs"/>
          <w:sz w:val="27"/>
          <w:szCs w:val="27"/>
          <w:rtl/>
        </w:rPr>
        <w:t>،</w:t>
      </w:r>
      <w:r w:rsidRPr="00282AC9">
        <w:rPr>
          <w:rFonts w:cs="AL-Mohanad"/>
          <w:sz w:val="27"/>
          <w:szCs w:val="27"/>
          <w:rtl/>
        </w:rPr>
        <w:t xml:space="preserve"> عن سهل بن </w:t>
      </w:r>
      <w:r w:rsidR="00F9594E" w:rsidRPr="00282AC9">
        <w:rPr>
          <w:rFonts w:cs="AL-Mohanad" w:hint="cs"/>
          <w:sz w:val="27"/>
          <w:szCs w:val="27"/>
          <w:rtl/>
        </w:rPr>
        <w:t>زيا</w:t>
      </w:r>
      <w:r w:rsidRPr="00282AC9">
        <w:rPr>
          <w:rFonts w:cs="AL-Mohanad" w:hint="cs"/>
          <w:sz w:val="27"/>
          <w:szCs w:val="27"/>
          <w:rtl/>
        </w:rPr>
        <w:t>د</w:t>
      </w:r>
      <w:r w:rsidR="00F9594E"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عن</w:t>
      </w:r>
      <w:r w:rsidRPr="00282AC9">
        <w:rPr>
          <w:rFonts w:cs="AL-Mohanad"/>
          <w:sz w:val="27"/>
          <w:szCs w:val="27"/>
          <w:rtl/>
        </w:rPr>
        <w:t xml:space="preserve"> </w:t>
      </w:r>
      <w:r w:rsidRPr="00282AC9">
        <w:rPr>
          <w:rFonts w:cs="AL-Mohanad" w:hint="cs"/>
          <w:sz w:val="27"/>
          <w:szCs w:val="27"/>
          <w:rtl/>
        </w:rPr>
        <w:t>ابن</w:t>
      </w:r>
      <w:r w:rsidRPr="00282AC9">
        <w:rPr>
          <w:rFonts w:cs="AL-Mohanad"/>
          <w:sz w:val="27"/>
          <w:szCs w:val="27"/>
          <w:rtl/>
        </w:rPr>
        <w:t xml:space="preserve"> </w:t>
      </w:r>
      <w:r w:rsidRPr="00282AC9">
        <w:rPr>
          <w:rFonts w:cs="AL-Mohanad" w:hint="cs"/>
          <w:sz w:val="27"/>
          <w:szCs w:val="27"/>
          <w:rtl/>
        </w:rPr>
        <w:t>محبوب</w:t>
      </w:r>
      <w:r w:rsidR="00F9594E"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عن</w:t>
      </w:r>
      <w:r w:rsidRPr="00282AC9">
        <w:rPr>
          <w:rFonts w:cs="AL-Mohanad"/>
          <w:sz w:val="27"/>
          <w:szCs w:val="27"/>
          <w:rtl/>
        </w:rPr>
        <w:t xml:space="preserve"> </w:t>
      </w:r>
      <w:r w:rsidRPr="00282AC9">
        <w:rPr>
          <w:rFonts w:cs="AL-Mohanad" w:hint="cs"/>
          <w:sz w:val="27"/>
          <w:szCs w:val="27"/>
          <w:rtl/>
        </w:rPr>
        <w:t>عبد</w:t>
      </w:r>
      <w:r w:rsidRPr="00282AC9">
        <w:rPr>
          <w:rFonts w:cs="AL-Mohanad"/>
          <w:sz w:val="27"/>
          <w:szCs w:val="27"/>
          <w:rtl/>
        </w:rPr>
        <w:t xml:space="preserve"> </w:t>
      </w:r>
      <w:r w:rsidRPr="00282AC9">
        <w:rPr>
          <w:rFonts w:cs="AL-Mohanad" w:hint="cs"/>
          <w:sz w:val="27"/>
          <w:szCs w:val="27"/>
          <w:rtl/>
        </w:rPr>
        <w:t>الله</w:t>
      </w:r>
      <w:r w:rsidRPr="00282AC9">
        <w:rPr>
          <w:rFonts w:cs="AL-Mohanad"/>
          <w:sz w:val="27"/>
          <w:szCs w:val="27"/>
          <w:rtl/>
        </w:rPr>
        <w:t xml:space="preserve"> </w:t>
      </w:r>
      <w:r w:rsidRPr="00282AC9">
        <w:rPr>
          <w:rFonts w:cs="AL-Mohanad" w:hint="cs"/>
          <w:sz w:val="27"/>
          <w:szCs w:val="27"/>
          <w:rtl/>
        </w:rPr>
        <w:t>بن</w:t>
      </w:r>
      <w:r w:rsidRPr="00282AC9">
        <w:rPr>
          <w:rFonts w:cs="AL-Mohanad"/>
          <w:sz w:val="27"/>
          <w:szCs w:val="27"/>
          <w:rtl/>
        </w:rPr>
        <w:t xml:space="preserve"> </w:t>
      </w:r>
      <w:r w:rsidRPr="00282AC9">
        <w:rPr>
          <w:rFonts w:cs="AL-Mohanad" w:hint="cs"/>
          <w:sz w:val="27"/>
          <w:szCs w:val="27"/>
          <w:rtl/>
        </w:rPr>
        <w:t>سنان</w:t>
      </w:r>
      <w:r w:rsidR="00F9594E"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عن</w:t>
      </w:r>
      <w:r w:rsidRPr="00282AC9">
        <w:rPr>
          <w:rFonts w:cs="AL-Mohanad"/>
          <w:sz w:val="27"/>
          <w:szCs w:val="27"/>
          <w:rtl/>
        </w:rPr>
        <w:t xml:space="preserve"> </w:t>
      </w:r>
      <w:r w:rsidRPr="00282AC9">
        <w:rPr>
          <w:rFonts w:cs="AL-Mohanad" w:hint="cs"/>
          <w:sz w:val="27"/>
          <w:szCs w:val="27"/>
          <w:rtl/>
        </w:rPr>
        <w:t>أبي</w:t>
      </w:r>
      <w:r w:rsidRPr="00282AC9">
        <w:rPr>
          <w:rFonts w:cs="AL-Mohanad"/>
          <w:sz w:val="27"/>
          <w:szCs w:val="27"/>
          <w:rtl/>
        </w:rPr>
        <w:t xml:space="preserve"> </w:t>
      </w:r>
      <w:r w:rsidRPr="00282AC9">
        <w:rPr>
          <w:rFonts w:cs="AL-Mohanad" w:hint="cs"/>
          <w:sz w:val="27"/>
          <w:szCs w:val="27"/>
          <w:rtl/>
        </w:rPr>
        <w:t>عبد</w:t>
      </w:r>
      <w:r w:rsidRPr="00282AC9">
        <w:rPr>
          <w:rFonts w:cs="AL-Mohanad"/>
          <w:sz w:val="27"/>
          <w:szCs w:val="27"/>
          <w:rtl/>
        </w:rPr>
        <w:t xml:space="preserve"> </w:t>
      </w:r>
      <w:r w:rsidRPr="00282AC9">
        <w:rPr>
          <w:rFonts w:cs="AL-Mohanad" w:hint="cs"/>
          <w:sz w:val="27"/>
          <w:szCs w:val="27"/>
          <w:rtl/>
        </w:rPr>
        <w:t>الله</w:t>
      </w:r>
      <w:r w:rsidR="009A2A04" w:rsidRPr="00282AC9">
        <w:rPr>
          <w:rFonts w:cs="Mosawi" w:hint="cs"/>
          <w:rtl/>
        </w:rPr>
        <w:t>×</w:t>
      </w:r>
      <w:r w:rsidRPr="00282AC9">
        <w:rPr>
          <w:rFonts w:cs="AL-Mohanad"/>
          <w:sz w:val="27"/>
          <w:szCs w:val="27"/>
          <w:rtl/>
        </w:rPr>
        <w:t>.</w:t>
      </w:r>
    </w:p>
    <w:p w:rsidR="00F9594E" w:rsidRPr="00282AC9" w:rsidRDefault="00F9594E" w:rsidP="003E218F">
      <w:pPr>
        <w:rPr>
          <w:sz w:val="27"/>
          <w:rtl/>
        </w:rPr>
      </w:pPr>
      <w:r w:rsidRPr="00282AC9">
        <w:rPr>
          <w:rFonts w:hint="cs"/>
          <w:sz w:val="27"/>
          <w:rtl/>
        </w:rPr>
        <w:t>و</w:t>
      </w:r>
      <w:r w:rsidR="001153F1" w:rsidRPr="00282AC9">
        <w:rPr>
          <w:sz w:val="27"/>
          <w:rtl/>
        </w:rPr>
        <w:t>السند الثاني ضعيف</w:t>
      </w:r>
      <w:r w:rsidR="001153F1" w:rsidRPr="00282AC9">
        <w:rPr>
          <w:rFonts w:hint="cs"/>
          <w:sz w:val="27"/>
          <w:rtl/>
        </w:rPr>
        <w:t>ٌ</w:t>
      </w:r>
      <w:r w:rsidRPr="00282AC9">
        <w:rPr>
          <w:rFonts w:hint="cs"/>
          <w:sz w:val="27"/>
          <w:rtl/>
        </w:rPr>
        <w:t>؛</w:t>
      </w:r>
      <w:r w:rsidR="001153F1" w:rsidRPr="00282AC9">
        <w:rPr>
          <w:sz w:val="27"/>
          <w:rtl/>
        </w:rPr>
        <w:t xml:space="preserve"> بسبب اشتماله على سهل بن زياد</w:t>
      </w:r>
      <w:r w:rsidRPr="00282AC9">
        <w:rPr>
          <w:rFonts w:hint="cs"/>
          <w:sz w:val="27"/>
          <w:rtl/>
        </w:rPr>
        <w:t>.</w:t>
      </w:r>
    </w:p>
    <w:p w:rsidR="00F9594E" w:rsidRPr="00282AC9" w:rsidRDefault="001153F1" w:rsidP="003E218F">
      <w:pPr>
        <w:rPr>
          <w:sz w:val="27"/>
          <w:rtl/>
        </w:rPr>
      </w:pPr>
      <w:r w:rsidRPr="00282AC9">
        <w:rPr>
          <w:sz w:val="27"/>
          <w:rtl/>
        </w:rPr>
        <w:t>لكن</w:t>
      </w:r>
      <w:r w:rsidR="00F9594E" w:rsidRPr="00282AC9">
        <w:rPr>
          <w:rFonts w:hint="cs"/>
          <w:sz w:val="27"/>
          <w:rtl/>
        </w:rPr>
        <w:t>ّ</w:t>
      </w:r>
      <w:r w:rsidRPr="00282AC9">
        <w:rPr>
          <w:sz w:val="27"/>
          <w:rtl/>
        </w:rPr>
        <w:t xml:space="preserve"> السند الأول صحيح</w:t>
      </w:r>
      <w:r w:rsidRPr="00282AC9">
        <w:rPr>
          <w:rFonts w:hint="cs"/>
          <w:sz w:val="27"/>
          <w:rtl/>
        </w:rPr>
        <w:t>ٌ</w:t>
      </w:r>
      <w:r w:rsidRPr="00282AC9">
        <w:rPr>
          <w:sz w:val="27"/>
          <w:rtl/>
        </w:rPr>
        <w:t xml:space="preserve"> لا غبار عليه</w:t>
      </w:r>
      <w:r w:rsidR="00F9594E" w:rsidRPr="00282AC9">
        <w:rPr>
          <w:rFonts w:hint="cs"/>
          <w:sz w:val="27"/>
          <w:rtl/>
        </w:rPr>
        <w:t>.</w:t>
      </w:r>
    </w:p>
    <w:p w:rsidR="001153F1" w:rsidRPr="00282AC9" w:rsidRDefault="001153F1" w:rsidP="003E218F">
      <w:pPr>
        <w:rPr>
          <w:sz w:val="27"/>
          <w:rtl/>
        </w:rPr>
      </w:pPr>
      <w:r w:rsidRPr="00282AC9">
        <w:rPr>
          <w:sz w:val="27"/>
          <w:rtl/>
        </w:rPr>
        <w:t>فهذه الرواية من الناحية السندية تام</w:t>
      </w:r>
      <w:r w:rsidRPr="00282AC9">
        <w:rPr>
          <w:rFonts w:hint="cs"/>
          <w:sz w:val="27"/>
          <w:rtl/>
        </w:rPr>
        <w:t>ّ</w:t>
      </w:r>
      <w:r w:rsidRPr="00282AC9">
        <w:rPr>
          <w:sz w:val="27"/>
          <w:rtl/>
        </w:rPr>
        <w:t>ة</w:t>
      </w:r>
      <w:r w:rsidR="00F9594E" w:rsidRPr="00282AC9">
        <w:rPr>
          <w:rFonts w:hint="cs"/>
          <w:sz w:val="27"/>
          <w:rtl/>
        </w:rPr>
        <w:t>ٌ.</w:t>
      </w:r>
      <w:r w:rsidRPr="00282AC9">
        <w:rPr>
          <w:rFonts w:hint="cs"/>
          <w:sz w:val="27"/>
          <w:rtl/>
        </w:rPr>
        <w:t xml:space="preserve"> </w:t>
      </w:r>
      <w:r w:rsidR="00F9594E" w:rsidRPr="00282AC9">
        <w:rPr>
          <w:rFonts w:hint="cs"/>
          <w:sz w:val="27"/>
          <w:rtl/>
        </w:rPr>
        <w:t>و</w:t>
      </w:r>
      <w:r w:rsidRPr="00282AC9">
        <w:rPr>
          <w:rFonts w:hint="cs"/>
          <w:sz w:val="27"/>
          <w:rtl/>
        </w:rPr>
        <w:t>بناءً على حج</w:t>
      </w:r>
      <w:r w:rsidR="00F9594E" w:rsidRPr="00282AC9">
        <w:rPr>
          <w:rFonts w:hint="cs"/>
          <w:sz w:val="27"/>
          <w:rtl/>
        </w:rPr>
        <w:t>ِّ</w:t>
      </w:r>
      <w:r w:rsidRPr="00282AC9">
        <w:rPr>
          <w:rFonts w:hint="cs"/>
          <w:sz w:val="27"/>
          <w:rtl/>
        </w:rPr>
        <w:t xml:space="preserve">ية الخبر الواحد الثقة يمكن الاعتماد عليها. </w:t>
      </w:r>
    </w:p>
    <w:p w:rsidR="001153F1" w:rsidRPr="00282AC9" w:rsidRDefault="001153F1" w:rsidP="003E218F">
      <w:pPr>
        <w:rPr>
          <w:rtl/>
        </w:rPr>
      </w:pPr>
      <w:r w:rsidRPr="00282AC9">
        <w:rPr>
          <w:rFonts w:hint="cs"/>
          <w:b/>
          <w:bCs/>
          <w:rtl/>
        </w:rPr>
        <w:t xml:space="preserve">ب ـ </w:t>
      </w:r>
      <w:r w:rsidRPr="00282AC9">
        <w:rPr>
          <w:b/>
          <w:bCs/>
          <w:rtl/>
        </w:rPr>
        <w:t>الدراسة الدلالي</w:t>
      </w:r>
      <w:r w:rsidR="00F9594E" w:rsidRPr="00282AC9">
        <w:rPr>
          <w:rFonts w:hint="cs"/>
          <w:b/>
          <w:bCs/>
          <w:rtl/>
        </w:rPr>
        <w:t>ّ</w:t>
      </w:r>
      <w:r w:rsidRPr="00282AC9">
        <w:rPr>
          <w:b/>
          <w:bCs/>
          <w:rtl/>
        </w:rPr>
        <w:t>ة</w:t>
      </w:r>
      <w:r w:rsidR="00F4357B" w:rsidRPr="00282AC9">
        <w:rPr>
          <w:rFonts w:hint="cs"/>
          <w:rtl/>
        </w:rPr>
        <w:t xml:space="preserve">: </w:t>
      </w:r>
      <w:r w:rsidRPr="00282AC9">
        <w:rPr>
          <w:sz w:val="27"/>
          <w:rtl/>
        </w:rPr>
        <w:t>هذه الرواية وإن</w:t>
      </w:r>
      <w:r w:rsidR="00F9594E" w:rsidRPr="00282AC9">
        <w:rPr>
          <w:rFonts w:hint="cs"/>
          <w:sz w:val="27"/>
          <w:rtl/>
        </w:rPr>
        <w:t>ْ</w:t>
      </w:r>
      <w:r w:rsidRPr="00282AC9">
        <w:rPr>
          <w:sz w:val="27"/>
          <w:rtl/>
        </w:rPr>
        <w:t xml:space="preserve"> كانت صادرة</w:t>
      </w:r>
      <w:r w:rsidR="00F9594E" w:rsidRPr="00282AC9">
        <w:rPr>
          <w:rFonts w:hint="cs"/>
          <w:sz w:val="27"/>
          <w:rtl/>
        </w:rPr>
        <w:t>ً</w:t>
      </w:r>
      <w:r w:rsidRPr="00282AC9">
        <w:rPr>
          <w:sz w:val="27"/>
          <w:rtl/>
        </w:rPr>
        <w:t xml:space="preserve"> في الجواب عن سؤال شخص</w:t>
      </w:r>
      <w:r w:rsidR="00F9594E" w:rsidRPr="00282AC9">
        <w:rPr>
          <w:rFonts w:hint="cs"/>
          <w:sz w:val="27"/>
          <w:rtl/>
        </w:rPr>
        <w:t>ٍ</w:t>
      </w:r>
      <w:r w:rsidRPr="00282AC9">
        <w:rPr>
          <w:sz w:val="27"/>
          <w:rtl/>
        </w:rPr>
        <w:t xml:space="preserve"> معين</w:t>
      </w:r>
      <w:r w:rsidR="00F9594E" w:rsidRPr="00282AC9">
        <w:rPr>
          <w:rFonts w:hint="cs"/>
          <w:sz w:val="27"/>
          <w:rtl/>
        </w:rPr>
        <w:t>،</w:t>
      </w:r>
      <w:r w:rsidRPr="00282AC9">
        <w:rPr>
          <w:sz w:val="27"/>
          <w:rtl/>
        </w:rPr>
        <w:t xml:space="preserve"> وهذا يقوى فيه احتمال الخصوصية</w:t>
      </w:r>
      <w:r w:rsidR="00F9594E" w:rsidRPr="00282AC9">
        <w:rPr>
          <w:rFonts w:hint="cs"/>
          <w:sz w:val="27"/>
          <w:rtl/>
        </w:rPr>
        <w:t>،</w:t>
      </w:r>
      <w:r w:rsidRPr="00282AC9">
        <w:rPr>
          <w:sz w:val="27"/>
          <w:rtl/>
        </w:rPr>
        <w:t xml:space="preserve"> ولكن</w:t>
      </w:r>
      <w:r w:rsidR="00F9594E" w:rsidRPr="00282AC9">
        <w:rPr>
          <w:rFonts w:hint="cs"/>
          <w:sz w:val="27"/>
          <w:rtl/>
        </w:rPr>
        <w:t>ّ</w:t>
      </w:r>
      <w:r w:rsidRPr="00282AC9">
        <w:rPr>
          <w:sz w:val="27"/>
          <w:rtl/>
        </w:rPr>
        <w:t xml:space="preserve"> التعليل بأمر</w:t>
      </w:r>
      <w:r w:rsidR="00F9594E" w:rsidRPr="00282AC9">
        <w:rPr>
          <w:rFonts w:hint="cs"/>
          <w:sz w:val="27"/>
          <w:rtl/>
        </w:rPr>
        <w:t>ٍ</w:t>
      </w:r>
      <w:r w:rsidRPr="00282AC9">
        <w:rPr>
          <w:sz w:val="27"/>
          <w:rtl/>
        </w:rPr>
        <w:t xml:space="preserve"> عام</w:t>
      </w:r>
      <w:r w:rsidR="00F9594E" w:rsidRPr="00282AC9">
        <w:rPr>
          <w:rFonts w:hint="cs"/>
          <w:sz w:val="27"/>
          <w:rtl/>
        </w:rPr>
        <w:t>ّ،</w:t>
      </w:r>
      <w:r w:rsidRPr="00282AC9">
        <w:rPr>
          <w:sz w:val="27"/>
          <w:rtl/>
        </w:rPr>
        <w:t xml:space="preserve"> وهو الإكثار من ذر</w:t>
      </w:r>
      <w:r w:rsidR="00F9594E" w:rsidRPr="00282AC9">
        <w:rPr>
          <w:rFonts w:hint="cs"/>
          <w:sz w:val="27"/>
          <w:rtl/>
        </w:rPr>
        <w:t>ّ</w:t>
      </w:r>
      <w:r w:rsidRPr="00282AC9">
        <w:rPr>
          <w:sz w:val="27"/>
          <w:rtl/>
        </w:rPr>
        <w:t>ية</w:t>
      </w:r>
      <w:r w:rsidR="00F9594E" w:rsidRPr="00282AC9">
        <w:rPr>
          <w:rFonts w:hint="cs"/>
          <w:sz w:val="27"/>
          <w:rtl/>
        </w:rPr>
        <w:t>ٍ</w:t>
      </w:r>
      <w:r w:rsidRPr="00282AC9">
        <w:rPr>
          <w:sz w:val="27"/>
          <w:rtl/>
        </w:rPr>
        <w:t xml:space="preserve"> ت</w:t>
      </w:r>
      <w:r w:rsidRPr="00282AC9">
        <w:rPr>
          <w:rFonts w:hint="cs"/>
          <w:sz w:val="27"/>
          <w:rtl/>
        </w:rPr>
        <w:t>ُ</w:t>
      </w:r>
      <w:r w:rsidRPr="00282AC9">
        <w:rPr>
          <w:sz w:val="27"/>
          <w:rtl/>
        </w:rPr>
        <w:t>ثقل الأرض بالتسبيح</w:t>
      </w:r>
      <w:r w:rsidR="00F9594E" w:rsidRPr="00282AC9">
        <w:rPr>
          <w:rFonts w:hint="cs"/>
          <w:sz w:val="27"/>
          <w:rtl/>
        </w:rPr>
        <w:t>،</w:t>
      </w:r>
      <w:r w:rsidRPr="00282AC9">
        <w:rPr>
          <w:sz w:val="27"/>
          <w:rtl/>
        </w:rPr>
        <w:t xml:space="preserve"> ي</w:t>
      </w:r>
      <w:r w:rsidRPr="00282AC9">
        <w:rPr>
          <w:rFonts w:hint="cs"/>
          <w:sz w:val="27"/>
          <w:rtl/>
        </w:rPr>
        <w:t>ُ</w:t>
      </w:r>
      <w:r w:rsidRPr="00282AC9">
        <w:rPr>
          <w:sz w:val="27"/>
          <w:rtl/>
        </w:rPr>
        <w:t>بعد احتمال الخصوصية</w:t>
      </w:r>
      <w:r w:rsidR="00C84F23" w:rsidRPr="00282AC9">
        <w:rPr>
          <w:rFonts w:hint="cs"/>
          <w:sz w:val="27"/>
          <w:rtl/>
        </w:rPr>
        <w:t>.</w:t>
      </w:r>
      <w:r w:rsidRPr="00282AC9">
        <w:rPr>
          <w:sz w:val="27"/>
          <w:rtl/>
        </w:rPr>
        <w:t xml:space="preserve"> فتكون الرواية </w:t>
      </w:r>
      <w:r w:rsidRPr="00282AC9">
        <w:rPr>
          <w:sz w:val="27"/>
          <w:rtl/>
        </w:rPr>
        <w:lastRenderedPageBreak/>
        <w:t>عام</w:t>
      </w:r>
      <w:r w:rsidR="00C84F23" w:rsidRPr="00282AC9">
        <w:rPr>
          <w:rFonts w:hint="cs"/>
          <w:sz w:val="27"/>
          <w:rtl/>
        </w:rPr>
        <w:t>ّ</w:t>
      </w:r>
      <w:r w:rsidRPr="00282AC9">
        <w:rPr>
          <w:sz w:val="27"/>
          <w:rtl/>
        </w:rPr>
        <w:t>ة</w:t>
      </w:r>
      <w:r w:rsidR="00C84F23" w:rsidRPr="00282AC9">
        <w:rPr>
          <w:rFonts w:hint="cs"/>
          <w:sz w:val="27"/>
          <w:rtl/>
        </w:rPr>
        <w:t>ً</w:t>
      </w:r>
      <w:r w:rsidRPr="00282AC9">
        <w:rPr>
          <w:sz w:val="27"/>
          <w:rtl/>
        </w:rPr>
        <w:t xml:space="preserve"> حينئذ</w:t>
      </w:r>
      <w:r w:rsidR="00C84F23" w:rsidRPr="00282AC9">
        <w:rPr>
          <w:rFonts w:hint="cs"/>
          <w:sz w:val="27"/>
          <w:rtl/>
        </w:rPr>
        <w:t>ٍ،</w:t>
      </w:r>
      <w:r w:rsidRPr="00282AC9">
        <w:rPr>
          <w:sz w:val="27"/>
          <w:rtl/>
        </w:rPr>
        <w:t xml:space="preserve"> مع الأخذ بعين الاعتبار التعليل الوارد فيه</w:t>
      </w:r>
      <w:r w:rsidR="00C84F23" w:rsidRPr="00282AC9">
        <w:rPr>
          <w:rFonts w:hint="cs"/>
          <w:sz w:val="27"/>
          <w:rtl/>
        </w:rPr>
        <w:t>.</w:t>
      </w:r>
      <w:r w:rsidRPr="00282AC9">
        <w:rPr>
          <w:sz w:val="27"/>
          <w:rtl/>
        </w:rPr>
        <w:t xml:space="preserve"> </w:t>
      </w:r>
      <w:r w:rsidR="00C84F23" w:rsidRPr="00282AC9">
        <w:rPr>
          <w:rFonts w:hint="cs"/>
          <w:sz w:val="27"/>
          <w:rtl/>
        </w:rPr>
        <w:t>و</w:t>
      </w:r>
      <w:r w:rsidRPr="00282AC9">
        <w:rPr>
          <w:sz w:val="27"/>
          <w:rtl/>
        </w:rPr>
        <w:t>تربط هذه الرواية بين كراهة التزويج من المرأة العقيم ومسألة النسل</w:t>
      </w:r>
      <w:r w:rsidR="00C84F23" w:rsidRPr="00282AC9">
        <w:rPr>
          <w:rFonts w:hint="cs"/>
          <w:sz w:val="27"/>
          <w:rtl/>
        </w:rPr>
        <w:t>،</w:t>
      </w:r>
      <w:r w:rsidRPr="00282AC9">
        <w:rPr>
          <w:sz w:val="27"/>
          <w:rtl/>
        </w:rPr>
        <w:t xml:space="preserve"> وسيأتي الحديث عن هذه النقطة في التحليل الإجمالي</w:t>
      </w:r>
      <w:r w:rsidR="00C84F23" w:rsidRPr="00282AC9">
        <w:rPr>
          <w:rFonts w:hint="cs"/>
          <w:sz w:val="27"/>
          <w:rtl/>
        </w:rPr>
        <w:t>ّ</w:t>
      </w:r>
      <w:r w:rsidRPr="00282AC9">
        <w:rPr>
          <w:sz w:val="27"/>
          <w:rtl/>
        </w:rPr>
        <w:t xml:space="preserve"> للنصوص. </w:t>
      </w:r>
    </w:p>
    <w:p w:rsidR="001153F1" w:rsidRPr="00282AC9" w:rsidRDefault="00C84F23" w:rsidP="003E218F">
      <w:pPr>
        <w:rPr>
          <w:sz w:val="27"/>
          <w:rtl/>
        </w:rPr>
      </w:pPr>
      <w:r w:rsidRPr="00282AC9">
        <w:rPr>
          <w:rFonts w:hint="cs"/>
          <w:sz w:val="27"/>
          <w:rtl/>
        </w:rPr>
        <w:t>و</w:t>
      </w:r>
      <w:r w:rsidR="001153F1" w:rsidRPr="00282AC9">
        <w:rPr>
          <w:sz w:val="27"/>
          <w:rtl/>
        </w:rPr>
        <w:t>تشتمل هذه الرواية على صيغة النهي</w:t>
      </w:r>
      <w:r w:rsidRPr="00282AC9">
        <w:rPr>
          <w:rFonts w:hint="cs"/>
          <w:sz w:val="27"/>
          <w:rtl/>
        </w:rPr>
        <w:t>.</w:t>
      </w:r>
      <w:r w:rsidR="001153F1" w:rsidRPr="00282AC9">
        <w:rPr>
          <w:sz w:val="27"/>
          <w:rtl/>
        </w:rPr>
        <w:t xml:space="preserve"> وهناك خلاف</w:t>
      </w:r>
      <w:r w:rsidRPr="00282AC9">
        <w:rPr>
          <w:rFonts w:hint="cs"/>
          <w:sz w:val="27"/>
          <w:rtl/>
        </w:rPr>
        <w:t>ٌ</w:t>
      </w:r>
      <w:r w:rsidR="001153F1" w:rsidRPr="00282AC9">
        <w:rPr>
          <w:sz w:val="27"/>
          <w:rtl/>
        </w:rPr>
        <w:t xml:space="preserve"> في دلالة هذه الصيغة على الحرمة</w:t>
      </w:r>
      <w:r w:rsidRPr="00282AC9">
        <w:rPr>
          <w:rFonts w:hint="cs"/>
          <w:sz w:val="27"/>
          <w:rtl/>
        </w:rPr>
        <w:t>؛</w:t>
      </w:r>
      <w:r w:rsidR="001153F1" w:rsidRPr="00282AC9">
        <w:rPr>
          <w:sz w:val="27"/>
          <w:rtl/>
        </w:rPr>
        <w:t xml:space="preserve"> حيث ذهب الكثير من علماء الأصول إلى كونها موضوعة</w:t>
      </w:r>
      <w:r w:rsidRPr="00282AC9">
        <w:rPr>
          <w:rFonts w:hint="cs"/>
          <w:sz w:val="27"/>
          <w:rtl/>
        </w:rPr>
        <w:t>ً</w:t>
      </w:r>
      <w:r w:rsidR="001153F1" w:rsidRPr="00282AC9">
        <w:rPr>
          <w:sz w:val="27"/>
          <w:rtl/>
        </w:rPr>
        <w:t xml:space="preserve"> </w:t>
      </w:r>
      <w:r w:rsidRPr="00282AC9">
        <w:rPr>
          <w:rFonts w:hint="cs"/>
          <w:sz w:val="27"/>
          <w:rtl/>
        </w:rPr>
        <w:t xml:space="preserve">للدلالة </w:t>
      </w:r>
      <w:r w:rsidR="001153F1" w:rsidRPr="00282AC9">
        <w:rPr>
          <w:sz w:val="27"/>
          <w:rtl/>
        </w:rPr>
        <w:t>على الحرمة</w:t>
      </w:r>
      <w:r w:rsidRPr="00282AC9">
        <w:rPr>
          <w:rFonts w:hint="cs"/>
          <w:sz w:val="27"/>
          <w:rtl/>
        </w:rPr>
        <w:t>.</w:t>
      </w:r>
      <w:r w:rsidR="001153F1" w:rsidRPr="00282AC9">
        <w:rPr>
          <w:sz w:val="27"/>
          <w:rtl/>
        </w:rPr>
        <w:t xml:space="preserve"> </w:t>
      </w:r>
      <w:r w:rsidRPr="00282AC9">
        <w:rPr>
          <w:rFonts w:hint="cs"/>
          <w:sz w:val="27"/>
          <w:rtl/>
        </w:rPr>
        <w:t>و</w:t>
      </w:r>
      <w:r w:rsidR="001153F1" w:rsidRPr="00282AC9">
        <w:rPr>
          <w:rFonts w:hint="cs"/>
          <w:sz w:val="27"/>
          <w:rtl/>
        </w:rPr>
        <w:t>سوف ندرس في التحليل الإجمالي</w:t>
      </w:r>
      <w:r w:rsidRPr="00282AC9">
        <w:rPr>
          <w:rFonts w:hint="cs"/>
          <w:sz w:val="27"/>
          <w:rtl/>
        </w:rPr>
        <w:t>ّ</w:t>
      </w:r>
      <w:r w:rsidR="001153F1" w:rsidRPr="00282AC9">
        <w:rPr>
          <w:rFonts w:hint="cs"/>
          <w:sz w:val="27"/>
          <w:rtl/>
        </w:rPr>
        <w:t xml:space="preserve"> هل يمكن القول بالحرمة استناداً إلى مثل هذه الرواية أو لا؟</w:t>
      </w:r>
    </w:p>
    <w:p w:rsidR="00F943B4" w:rsidRPr="00282AC9" w:rsidRDefault="00F943B4" w:rsidP="00F943B4">
      <w:pPr>
        <w:spacing w:line="420" w:lineRule="exact"/>
        <w:rPr>
          <w:sz w:val="27"/>
          <w:rtl/>
        </w:rPr>
      </w:pPr>
    </w:p>
    <w:p w:rsidR="00C84F23" w:rsidRPr="00282AC9" w:rsidRDefault="00F4357B" w:rsidP="00A15DDE">
      <w:pPr>
        <w:pStyle w:val="31"/>
        <w:rPr>
          <w:color w:val="auto"/>
          <w:rtl/>
          <w:lang w:bidi="fa-IR"/>
        </w:rPr>
      </w:pPr>
      <w:r w:rsidRPr="00282AC9">
        <w:rPr>
          <w:rFonts w:hint="cs"/>
          <w:color w:val="auto"/>
          <w:rtl/>
        </w:rPr>
        <w:t xml:space="preserve">2ـ </w:t>
      </w:r>
      <w:r w:rsidRPr="00282AC9">
        <w:rPr>
          <w:color w:val="auto"/>
          <w:rtl/>
        </w:rPr>
        <w:t>«تزو</w:t>
      </w:r>
      <w:r w:rsidRPr="00282AC9">
        <w:rPr>
          <w:rFonts w:hint="cs"/>
          <w:color w:val="auto"/>
          <w:rtl/>
        </w:rPr>
        <w:t>َّ</w:t>
      </w:r>
      <w:r w:rsidR="00A15DDE" w:rsidRPr="00282AC9">
        <w:rPr>
          <w:color w:val="auto"/>
          <w:rtl/>
        </w:rPr>
        <w:t>جوا</w:t>
      </w:r>
      <w:r w:rsidR="00A15DDE" w:rsidRPr="00282AC9">
        <w:rPr>
          <w:rFonts w:hint="cs"/>
          <w:color w:val="auto"/>
          <w:rtl/>
        </w:rPr>
        <w:t>...</w:t>
      </w:r>
      <w:r w:rsidRPr="00282AC9">
        <w:rPr>
          <w:color w:val="auto"/>
          <w:rtl/>
        </w:rPr>
        <w:t>ولودا</w:t>
      </w:r>
      <w:r w:rsidRPr="00282AC9">
        <w:rPr>
          <w:rFonts w:hint="cs"/>
          <w:color w:val="auto"/>
          <w:rtl/>
        </w:rPr>
        <w:t>ً،</w:t>
      </w:r>
      <w:r w:rsidRPr="00282AC9">
        <w:rPr>
          <w:color w:val="auto"/>
          <w:rtl/>
        </w:rPr>
        <w:t xml:space="preserve"> </w:t>
      </w:r>
      <w:r w:rsidRPr="00282AC9">
        <w:rPr>
          <w:rFonts w:hint="cs"/>
          <w:color w:val="auto"/>
          <w:rtl/>
        </w:rPr>
        <w:t>و</w:t>
      </w:r>
      <w:r w:rsidRPr="00282AC9">
        <w:rPr>
          <w:color w:val="auto"/>
          <w:rtl/>
        </w:rPr>
        <w:t>لا تزو</w:t>
      </w:r>
      <w:r w:rsidRPr="00282AC9">
        <w:rPr>
          <w:rFonts w:hint="cs"/>
          <w:color w:val="auto"/>
          <w:rtl/>
        </w:rPr>
        <w:t>َّ</w:t>
      </w:r>
      <w:r w:rsidRPr="00282AC9">
        <w:rPr>
          <w:color w:val="auto"/>
          <w:rtl/>
        </w:rPr>
        <w:t>جوا</w:t>
      </w:r>
      <w:r w:rsidRPr="00282AC9">
        <w:rPr>
          <w:rFonts w:hint="cs"/>
          <w:color w:val="auto"/>
          <w:rtl/>
        </w:rPr>
        <w:t>...</w:t>
      </w:r>
      <w:r w:rsidRPr="00282AC9">
        <w:rPr>
          <w:color w:val="auto"/>
          <w:rtl/>
        </w:rPr>
        <w:t>عاقرا</w:t>
      </w:r>
      <w:r w:rsidRPr="00282AC9">
        <w:rPr>
          <w:rFonts w:hint="cs"/>
          <w:color w:val="auto"/>
          <w:rtl/>
        </w:rPr>
        <w:t>ً</w:t>
      </w:r>
      <w:r w:rsidRPr="00282AC9">
        <w:rPr>
          <w:color w:val="auto"/>
          <w:rtl/>
        </w:rPr>
        <w:t>»</w:t>
      </w:r>
    </w:p>
    <w:p w:rsidR="001153F1" w:rsidRPr="00282AC9" w:rsidRDefault="00C84F23" w:rsidP="003E218F">
      <w:pPr>
        <w:rPr>
          <w:sz w:val="27"/>
          <w:rtl/>
          <w:lang w:bidi="fa-IR"/>
        </w:rPr>
      </w:pPr>
      <w:r w:rsidRPr="00282AC9">
        <w:rPr>
          <w:rFonts w:hint="cs"/>
          <w:sz w:val="27"/>
          <w:rtl/>
        </w:rPr>
        <w:t xml:space="preserve">وهي </w:t>
      </w:r>
      <w:r w:rsidR="001153F1" w:rsidRPr="00282AC9">
        <w:rPr>
          <w:sz w:val="27"/>
          <w:rtl/>
        </w:rPr>
        <w:t>صحيحة محمد بن مسلم</w:t>
      </w:r>
      <w:r w:rsidRPr="00282AC9">
        <w:rPr>
          <w:rFonts w:hint="cs"/>
          <w:sz w:val="27"/>
          <w:rtl/>
        </w:rPr>
        <w:t>،</w:t>
      </w:r>
      <w:r w:rsidR="001153F1" w:rsidRPr="00282AC9">
        <w:rPr>
          <w:sz w:val="27"/>
          <w:rtl/>
        </w:rPr>
        <w:t xml:space="preserve"> عن أبي جعفر</w:t>
      </w:r>
      <w:r w:rsidR="009A2A04" w:rsidRPr="00282AC9">
        <w:rPr>
          <w:rFonts w:cs="Mosawi"/>
          <w:sz w:val="22"/>
          <w:szCs w:val="22"/>
          <w:rtl/>
        </w:rPr>
        <w:t>×</w:t>
      </w:r>
      <w:r w:rsidR="001153F1" w:rsidRPr="00282AC9">
        <w:rPr>
          <w:sz w:val="27"/>
          <w:rtl/>
        </w:rPr>
        <w:t xml:space="preserve"> قال</w:t>
      </w:r>
      <w:r w:rsidR="001153F1" w:rsidRPr="00282AC9">
        <w:rPr>
          <w:rFonts w:hint="cs"/>
          <w:sz w:val="27"/>
          <w:rtl/>
        </w:rPr>
        <w:t>:</w:t>
      </w:r>
      <w:r w:rsidR="001153F1" w:rsidRPr="00282AC9">
        <w:rPr>
          <w:sz w:val="27"/>
          <w:rtl/>
        </w:rPr>
        <w:t xml:space="preserve"> </w:t>
      </w:r>
      <w:r w:rsidR="001153F1" w:rsidRPr="00282AC9">
        <w:rPr>
          <w:sz w:val="24"/>
          <w:szCs w:val="24"/>
          <w:rtl/>
          <w:lang w:bidi="fa-IR"/>
        </w:rPr>
        <w:t>«</w:t>
      </w:r>
      <w:r w:rsidR="001153F1" w:rsidRPr="00282AC9">
        <w:rPr>
          <w:sz w:val="27"/>
          <w:rtl/>
          <w:lang w:bidi="fa-IR"/>
        </w:rPr>
        <w:t>قال رسول الله</w:t>
      </w:r>
      <w:r w:rsidR="009A2A04" w:rsidRPr="00282AC9">
        <w:rPr>
          <w:rFonts w:cs="Mosawi"/>
          <w:sz w:val="22"/>
          <w:szCs w:val="22"/>
          <w:rtl/>
          <w:lang w:bidi="fa-IR"/>
        </w:rPr>
        <w:t>|</w:t>
      </w:r>
      <w:r w:rsidRPr="00282AC9">
        <w:rPr>
          <w:rFonts w:hint="cs"/>
          <w:sz w:val="27"/>
          <w:rtl/>
          <w:lang w:bidi="fa-IR"/>
        </w:rPr>
        <w:t xml:space="preserve">: </w:t>
      </w:r>
      <w:r w:rsidR="001153F1" w:rsidRPr="00282AC9">
        <w:rPr>
          <w:sz w:val="27"/>
          <w:rtl/>
          <w:lang w:bidi="fa-IR"/>
        </w:rPr>
        <w:t>تزو</w:t>
      </w:r>
      <w:r w:rsidR="001153F1" w:rsidRPr="00282AC9">
        <w:rPr>
          <w:rFonts w:hint="cs"/>
          <w:sz w:val="27"/>
          <w:rtl/>
          <w:lang w:bidi="fa-IR"/>
        </w:rPr>
        <w:t>ّ</w:t>
      </w:r>
      <w:r w:rsidRPr="00282AC9">
        <w:rPr>
          <w:rFonts w:hint="cs"/>
          <w:sz w:val="27"/>
          <w:rtl/>
          <w:lang w:bidi="fa-IR"/>
        </w:rPr>
        <w:t>َ</w:t>
      </w:r>
      <w:r w:rsidR="001153F1" w:rsidRPr="00282AC9">
        <w:rPr>
          <w:sz w:val="27"/>
          <w:rtl/>
          <w:lang w:bidi="fa-IR"/>
        </w:rPr>
        <w:t>جوا ب</w:t>
      </w:r>
      <w:r w:rsidRPr="00282AC9">
        <w:rPr>
          <w:rFonts w:hint="cs"/>
          <w:sz w:val="27"/>
          <w:rtl/>
          <w:lang w:bidi="fa-IR"/>
        </w:rPr>
        <w:t>ِ</w:t>
      </w:r>
      <w:r w:rsidR="001153F1" w:rsidRPr="00282AC9">
        <w:rPr>
          <w:sz w:val="27"/>
          <w:rtl/>
          <w:lang w:bidi="fa-IR"/>
        </w:rPr>
        <w:t>ك</w:t>
      </w:r>
      <w:r w:rsidRPr="00282AC9">
        <w:rPr>
          <w:rFonts w:hint="cs"/>
          <w:sz w:val="27"/>
          <w:rtl/>
          <w:lang w:bidi="fa-IR"/>
        </w:rPr>
        <w:t>ْ</w:t>
      </w:r>
      <w:r w:rsidR="001153F1" w:rsidRPr="00282AC9">
        <w:rPr>
          <w:sz w:val="27"/>
          <w:rtl/>
          <w:lang w:bidi="fa-IR"/>
        </w:rPr>
        <w:t>را</w:t>
      </w:r>
      <w:r w:rsidR="001153F1" w:rsidRPr="00282AC9">
        <w:rPr>
          <w:rFonts w:hint="cs"/>
          <w:sz w:val="27"/>
          <w:rtl/>
          <w:lang w:bidi="fa-IR"/>
        </w:rPr>
        <w:t>ً</w:t>
      </w:r>
      <w:r w:rsidR="001153F1" w:rsidRPr="00282AC9">
        <w:rPr>
          <w:sz w:val="27"/>
          <w:rtl/>
          <w:lang w:bidi="fa-IR"/>
        </w:rPr>
        <w:t xml:space="preserve"> ولودا</w:t>
      </w:r>
      <w:r w:rsidR="001153F1" w:rsidRPr="00282AC9">
        <w:rPr>
          <w:rFonts w:hint="cs"/>
          <w:sz w:val="27"/>
          <w:rtl/>
          <w:lang w:bidi="fa-IR"/>
        </w:rPr>
        <w:t>ً</w:t>
      </w:r>
      <w:r w:rsidRPr="00282AC9">
        <w:rPr>
          <w:rFonts w:hint="cs"/>
          <w:sz w:val="27"/>
          <w:rtl/>
          <w:lang w:bidi="fa-IR"/>
        </w:rPr>
        <w:t>،</w:t>
      </w:r>
      <w:r w:rsidR="001153F1" w:rsidRPr="00282AC9">
        <w:rPr>
          <w:sz w:val="27"/>
          <w:rtl/>
          <w:lang w:bidi="fa-IR"/>
        </w:rPr>
        <w:t xml:space="preserve"> ولا تزو</w:t>
      </w:r>
      <w:r w:rsidR="001153F1" w:rsidRPr="00282AC9">
        <w:rPr>
          <w:rFonts w:hint="cs"/>
          <w:sz w:val="27"/>
          <w:rtl/>
          <w:lang w:bidi="fa-IR"/>
        </w:rPr>
        <w:t>ّ</w:t>
      </w:r>
      <w:r w:rsidRPr="00282AC9">
        <w:rPr>
          <w:rFonts w:hint="cs"/>
          <w:sz w:val="27"/>
          <w:rtl/>
          <w:lang w:bidi="fa-IR"/>
        </w:rPr>
        <w:t>َ</w:t>
      </w:r>
      <w:r w:rsidR="001153F1" w:rsidRPr="00282AC9">
        <w:rPr>
          <w:sz w:val="27"/>
          <w:rtl/>
          <w:lang w:bidi="fa-IR"/>
        </w:rPr>
        <w:t>جوا حسناء</w:t>
      </w:r>
      <w:r w:rsidR="001153F1" w:rsidRPr="00282AC9">
        <w:rPr>
          <w:rFonts w:hint="cs"/>
          <w:sz w:val="27"/>
          <w:rtl/>
          <w:lang w:bidi="fa-IR"/>
        </w:rPr>
        <w:t>َ</w:t>
      </w:r>
      <w:r w:rsidR="001153F1" w:rsidRPr="00282AC9">
        <w:rPr>
          <w:sz w:val="27"/>
          <w:rtl/>
          <w:lang w:bidi="fa-IR"/>
        </w:rPr>
        <w:t xml:space="preserve"> جميلة عاقرا</w:t>
      </w:r>
      <w:r w:rsidR="001153F1" w:rsidRPr="00282AC9">
        <w:rPr>
          <w:rFonts w:hint="cs"/>
          <w:sz w:val="27"/>
          <w:rtl/>
          <w:lang w:bidi="fa-IR"/>
        </w:rPr>
        <w:t>ً</w:t>
      </w:r>
      <w:r w:rsidRPr="00282AC9">
        <w:rPr>
          <w:rFonts w:hint="cs"/>
          <w:sz w:val="27"/>
          <w:rtl/>
          <w:lang w:bidi="fa-IR"/>
        </w:rPr>
        <w:t>؛</w:t>
      </w:r>
      <w:r w:rsidR="001153F1" w:rsidRPr="00282AC9">
        <w:rPr>
          <w:sz w:val="27"/>
          <w:rtl/>
          <w:lang w:bidi="fa-IR"/>
        </w:rPr>
        <w:t xml:space="preserve"> فإن</w:t>
      </w:r>
      <w:r w:rsidR="001153F1" w:rsidRPr="00282AC9">
        <w:rPr>
          <w:rFonts w:hint="cs"/>
          <w:sz w:val="27"/>
          <w:rtl/>
          <w:lang w:bidi="fa-IR"/>
        </w:rPr>
        <w:t>ّ</w:t>
      </w:r>
      <w:r w:rsidR="001153F1" w:rsidRPr="00282AC9">
        <w:rPr>
          <w:sz w:val="27"/>
          <w:rtl/>
          <w:lang w:bidi="fa-IR"/>
        </w:rPr>
        <w:t>ي أباهي بكم الأمم يوم القيامة</w:t>
      </w:r>
      <w:r w:rsidR="001153F1" w:rsidRPr="00282AC9">
        <w:rPr>
          <w:sz w:val="24"/>
          <w:szCs w:val="24"/>
          <w:rtl/>
          <w:lang w:bidi="fa-IR"/>
        </w:rPr>
        <w:t>»</w:t>
      </w:r>
      <w:r w:rsidRPr="00282AC9">
        <w:rPr>
          <w:sz w:val="27"/>
          <w:vertAlign w:val="superscript"/>
          <w:rtl/>
          <w:lang w:bidi="fa-IR"/>
        </w:rPr>
        <w:t>(</w:t>
      </w:r>
      <w:r w:rsidRPr="00282AC9">
        <w:rPr>
          <w:rStyle w:val="af9"/>
          <w:rFonts w:eastAsiaTheme="majorEastAsia"/>
          <w:sz w:val="27"/>
          <w:rtl/>
          <w:lang w:bidi="fa-IR"/>
        </w:rPr>
        <w:endnoteReference w:id="644"/>
      </w:r>
      <w:r w:rsidRPr="00282AC9">
        <w:rPr>
          <w:sz w:val="27"/>
          <w:vertAlign w:val="superscript"/>
          <w:rtl/>
          <w:lang w:bidi="fa-IR"/>
        </w:rPr>
        <w:t>)</w:t>
      </w:r>
      <w:r w:rsidR="001153F1" w:rsidRPr="00282AC9">
        <w:rPr>
          <w:sz w:val="27"/>
          <w:rtl/>
          <w:lang w:bidi="fa-IR"/>
        </w:rPr>
        <w:t>.</w:t>
      </w:r>
    </w:p>
    <w:p w:rsidR="001153F1" w:rsidRPr="00282AC9" w:rsidRDefault="001153F1" w:rsidP="003E218F">
      <w:pPr>
        <w:rPr>
          <w:sz w:val="27"/>
          <w:rtl/>
          <w:lang w:bidi="fa-IR"/>
        </w:rPr>
      </w:pPr>
      <w:r w:rsidRPr="00282AC9">
        <w:rPr>
          <w:rFonts w:hint="cs"/>
          <w:sz w:val="27"/>
          <w:rtl/>
          <w:lang w:bidi="fa-IR"/>
        </w:rPr>
        <w:t>وكذلك ورد في المصادر السن</w:t>
      </w:r>
      <w:r w:rsidR="00C84F23" w:rsidRPr="00282AC9">
        <w:rPr>
          <w:rFonts w:hint="cs"/>
          <w:sz w:val="27"/>
          <w:rtl/>
          <w:lang w:bidi="fa-IR"/>
        </w:rPr>
        <w:t>ِّ</w:t>
      </w:r>
      <w:r w:rsidRPr="00282AC9">
        <w:rPr>
          <w:rFonts w:hint="cs"/>
          <w:sz w:val="27"/>
          <w:rtl/>
          <w:lang w:bidi="fa-IR"/>
        </w:rPr>
        <w:t>ية ما يشبه هذا الحديث</w:t>
      </w:r>
      <w:r w:rsidR="00C84F23" w:rsidRPr="00282AC9">
        <w:rPr>
          <w:rFonts w:hint="cs"/>
          <w:sz w:val="27"/>
          <w:rtl/>
          <w:lang w:bidi="fa-IR"/>
        </w:rPr>
        <w:t>،</w:t>
      </w:r>
      <w:r w:rsidRPr="00282AC9">
        <w:rPr>
          <w:rFonts w:hint="cs"/>
          <w:sz w:val="27"/>
          <w:rtl/>
          <w:lang w:bidi="fa-IR"/>
        </w:rPr>
        <w:t xml:space="preserve"> </w:t>
      </w:r>
      <w:r w:rsidR="00C84F23" w:rsidRPr="00282AC9">
        <w:rPr>
          <w:rFonts w:hint="cs"/>
          <w:sz w:val="27"/>
          <w:rtl/>
          <w:lang w:bidi="fa-IR"/>
        </w:rPr>
        <w:t>ب</w:t>
      </w:r>
      <w:r w:rsidRPr="00282AC9">
        <w:rPr>
          <w:rFonts w:hint="cs"/>
          <w:sz w:val="27"/>
          <w:rtl/>
          <w:lang w:bidi="fa-IR"/>
        </w:rPr>
        <w:t xml:space="preserve">ما لفظه: </w:t>
      </w:r>
      <w:r w:rsidRPr="00282AC9">
        <w:rPr>
          <w:sz w:val="27"/>
          <w:rtl/>
          <w:lang w:bidi="fa-IR"/>
        </w:rPr>
        <w:t>عَنْ مُحَم</w:t>
      </w:r>
      <w:r w:rsidR="00313735" w:rsidRPr="00282AC9">
        <w:rPr>
          <w:sz w:val="27"/>
          <w:rtl/>
          <w:lang w:bidi="fa-IR"/>
        </w:rPr>
        <w:t>َّ</w:t>
      </w:r>
      <w:r w:rsidRPr="00282AC9">
        <w:rPr>
          <w:sz w:val="27"/>
          <w:rtl/>
          <w:lang w:bidi="fa-IR"/>
        </w:rPr>
        <w:t xml:space="preserve">دِ بْنِ سِيرِينَ قَالَ: قَالَ رَسُولُ </w:t>
      </w:r>
      <w:r w:rsidR="00C06BE6" w:rsidRPr="00282AC9">
        <w:rPr>
          <w:sz w:val="27"/>
          <w:rtl/>
          <w:lang w:bidi="fa-IR"/>
        </w:rPr>
        <w:t>الل</w:t>
      </w:r>
      <w:r w:rsidRPr="00282AC9">
        <w:rPr>
          <w:sz w:val="27"/>
          <w:rtl/>
          <w:lang w:bidi="fa-IR"/>
        </w:rPr>
        <w:t>هِ</w:t>
      </w:r>
      <w:r w:rsidR="009A2A04" w:rsidRPr="00282AC9">
        <w:rPr>
          <w:rFonts w:ascii="Mosawi" w:hAnsi="Mosawi" w:cs="Mosawi"/>
          <w:sz w:val="22"/>
          <w:szCs w:val="22"/>
          <w:rtl/>
          <w:lang w:bidi="fa-IR"/>
        </w:rPr>
        <w:t>|</w:t>
      </w:r>
      <w:r w:rsidRPr="00282AC9">
        <w:rPr>
          <w:rFonts w:ascii="Mosawi" w:hAnsi="Mosawi" w:hint="cs"/>
          <w:sz w:val="27"/>
          <w:rtl/>
          <w:lang w:bidi="fa-IR"/>
        </w:rPr>
        <w:t xml:space="preserve">: </w:t>
      </w:r>
      <w:r w:rsidRPr="00282AC9">
        <w:rPr>
          <w:rFonts w:ascii="Mosawi" w:hAnsi="Mosawi"/>
          <w:sz w:val="24"/>
          <w:szCs w:val="24"/>
          <w:rtl/>
          <w:lang w:bidi="fa-IR"/>
        </w:rPr>
        <w:t>«</w:t>
      </w:r>
      <w:r w:rsidRPr="00282AC9">
        <w:rPr>
          <w:sz w:val="27"/>
          <w:rtl/>
          <w:lang w:bidi="fa-IR"/>
        </w:rPr>
        <w:t>دَعُوا الْحَسْنَاءَ الْعَاقِرَ، وَتَزَو</w:t>
      </w:r>
      <w:r w:rsidR="00313735" w:rsidRPr="00282AC9">
        <w:rPr>
          <w:sz w:val="27"/>
          <w:rtl/>
          <w:lang w:bidi="fa-IR"/>
        </w:rPr>
        <w:t>َّ</w:t>
      </w:r>
      <w:r w:rsidRPr="00282AC9">
        <w:rPr>
          <w:sz w:val="27"/>
          <w:rtl/>
          <w:lang w:bidi="fa-IR"/>
        </w:rPr>
        <w:t>جُوا الس</w:t>
      </w:r>
      <w:r w:rsidR="00313735" w:rsidRPr="00282AC9">
        <w:rPr>
          <w:sz w:val="27"/>
          <w:rtl/>
          <w:lang w:bidi="fa-IR"/>
        </w:rPr>
        <w:t>َّ</w:t>
      </w:r>
      <w:r w:rsidRPr="00282AC9">
        <w:rPr>
          <w:sz w:val="27"/>
          <w:rtl/>
          <w:lang w:bidi="fa-IR"/>
        </w:rPr>
        <w:t>وْدَاءَ الْوَلُودَ</w:t>
      </w:r>
      <w:r w:rsidR="00C84F23" w:rsidRPr="00282AC9">
        <w:rPr>
          <w:rFonts w:hint="cs"/>
          <w:sz w:val="27"/>
          <w:rtl/>
          <w:lang w:bidi="fa-IR"/>
        </w:rPr>
        <w:t>؛</w:t>
      </w:r>
      <w:r w:rsidRPr="00282AC9">
        <w:rPr>
          <w:sz w:val="27"/>
          <w:rtl/>
          <w:lang w:bidi="fa-IR"/>
        </w:rPr>
        <w:t xml:space="preserve"> فَإِن</w:t>
      </w:r>
      <w:r w:rsidR="00313735" w:rsidRPr="00282AC9">
        <w:rPr>
          <w:sz w:val="27"/>
          <w:rtl/>
          <w:lang w:bidi="fa-IR"/>
        </w:rPr>
        <w:t>ِّ</w:t>
      </w:r>
      <w:r w:rsidR="00C84F23" w:rsidRPr="00282AC9">
        <w:rPr>
          <w:sz w:val="27"/>
          <w:rtl/>
          <w:lang w:bidi="fa-IR"/>
        </w:rPr>
        <w:t>ي أُكَاثِرُ بِكُمُ ال</w:t>
      </w:r>
      <w:r w:rsidRPr="00282AC9">
        <w:rPr>
          <w:sz w:val="27"/>
          <w:rtl/>
          <w:lang w:bidi="fa-IR"/>
        </w:rPr>
        <w:t>أُمَمَ يَوْمَ الْقِيَامَةِ، حَت</w:t>
      </w:r>
      <w:r w:rsidR="00313735" w:rsidRPr="00282AC9">
        <w:rPr>
          <w:sz w:val="27"/>
          <w:rtl/>
          <w:lang w:bidi="fa-IR"/>
        </w:rPr>
        <w:t>َّ</w:t>
      </w:r>
      <w:r w:rsidRPr="00282AC9">
        <w:rPr>
          <w:sz w:val="27"/>
          <w:rtl/>
          <w:lang w:bidi="fa-IR"/>
        </w:rPr>
        <w:t>ى الس</w:t>
      </w:r>
      <w:r w:rsidR="00313735" w:rsidRPr="00282AC9">
        <w:rPr>
          <w:sz w:val="27"/>
          <w:rtl/>
          <w:lang w:bidi="fa-IR"/>
        </w:rPr>
        <w:t>ِّ</w:t>
      </w:r>
      <w:r w:rsidRPr="00282AC9">
        <w:rPr>
          <w:sz w:val="27"/>
          <w:rtl/>
          <w:lang w:bidi="fa-IR"/>
        </w:rPr>
        <w:t>قْطِ يَظَل</w:t>
      </w:r>
      <w:r w:rsidR="00313735" w:rsidRPr="00282AC9">
        <w:rPr>
          <w:sz w:val="27"/>
          <w:rtl/>
          <w:lang w:bidi="fa-IR"/>
        </w:rPr>
        <w:t>ُّ</w:t>
      </w:r>
      <w:r w:rsidRPr="00282AC9">
        <w:rPr>
          <w:sz w:val="27"/>
          <w:rtl/>
          <w:lang w:bidi="fa-IR"/>
        </w:rPr>
        <w:t xml:space="preserve"> مُحْبَنْطِي</w:t>
      </w:r>
      <w:r w:rsidR="006D28AF" w:rsidRPr="00282AC9">
        <w:rPr>
          <w:sz w:val="27"/>
          <w:rtl/>
          <w:lang w:bidi="fa-IR"/>
        </w:rPr>
        <w:t>اً</w:t>
      </w:r>
      <w:r w:rsidRPr="00282AC9">
        <w:rPr>
          <w:sz w:val="27"/>
          <w:rtl/>
          <w:lang w:bidi="fa-IR"/>
        </w:rPr>
        <w:t>، أَيْ مُتَغَض</w:t>
      </w:r>
      <w:r w:rsidR="00313735" w:rsidRPr="00282AC9">
        <w:rPr>
          <w:sz w:val="27"/>
          <w:rtl/>
          <w:lang w:bidi="fa-IR"/>
        </w:rPr>
        <w:t>ِّ</w:t>
      </w:r>
      <w:r w:rsidRPr="00282AC9">
        <w:rPr>
          <w:sz w:val="27"/>
          <w:rtl/>
          <w:lang w:bidi="fa-IR"/>
        </w:rPr>
        <w:t>ب</w:t>
      </w:r>
      <w:r w:rsidR="006D28AF" w:rsidRPr="00282AC9">
        <w:rPr>
          <w:sz w:val="27"/>
          <w:rtl/>
          <w:lang w:bidi="fa-IR"/>
        </w:rPr>
        <w:t>اً</w:t>
      </w:r>
      <w:r w:rsidRPr="00282AC9">
        <w:rPr>
          <w:sz w:val="27"/>
          <w:rtl/>
          <w:lang w:bidi="fa-IR"/>
        </w:rPr>
        <w:t>، فَيُقَالُ لَهُ: ادْخُلِ الْجَن</w:t>
      </w:r>
      <w:r w:rsidR="00313735" w:rsidRPr="00282AC9">
        <w:rPr>
          <w:sz w:val="27"/>
          <w:rtl/>
          <w:lang w:bidi="fa-IR"/>
        </w:rPr>
        <w:t>َّ</w:t>
      </w:r>
      <w:r w:rsidRPr="00282AC9">
        <w:rPr>
          <w:sz w:val="27"/>
          <w:rtl/>
          <w:lang w:bidi="fa-IR"/>
        </w:rPr>
        <w:t>ةَ، فَيَقُولُ: حَت</w:t>
      </w:r>
      <w:r w:rsidR="00313735" w:rsidRPr="00282AC9">
        <w:rPr>
          <w:sz w:val="27"/>
          <w:rtl/>
          <w:lang w:bidi="fa-IR"/>
        </w:rPr>
        <w:t>َّ</w:t>
      </w:r>
      <w:r w:rsidRPr="00282AC9">
        <w:rPr>
          <w:sz w:val="27"/>
          <w:rtl/>
          <w:lang w:bidi="fa-IR"/>
        </w:rPr>
        <w:t>ى يَدْخُلَ أَبَوَايَ، فَيُقَالُ: ادْخُلْ أَنْتَ وَأَبَوَاكَ</w:t>
      </w:r>
      <w:r w:rsidRPr="00282AC9">
        <w:rPr>
          <w:rFonts w:ascii="Mosawi" w:hAnsi="Mosawi"/>
          <w:sz w:val="24"/>
          <w:szCs w:val="24"/>
          <w:rtl/>
          <w:lang w:bidi="fa-IR"/>
        </w:rPr>
        <w:t>»</w:t>
      </w:r>
      <w:r w:rsidRPr="00282AC9">
        <w:rPr>
          <w:rFonts w:ascii="Mosawi" w:hAnsi="Mosawi"/>
          <w:sz w:val="27"/>
          <w:vertAlign w:val="superscript"/>
          <w:rtl/>
          <w:lang w:bidi="fa-IR"/>
        </w:rPr>
        <w:t>(</w:t>
      </w:r>
      <w:r w:rsidRPr="00282AC9">
        <w:rPr>
          <w:rStyle w:val="af9"/>
          <w:rFonts w:ascii="Mosawi" w:hAnsi="Mosawi"/>
          <w:sz w:val="27"/>
          <w:rtl/>
          <w:lang w:bidi="fa-IR"/>
        </w:rPr>
        <w:endnoteReference w:id="645"/>
      </w:r>
      <w:r w:rsidRPr="00282AC9">
        <w:rPr>
          <w:rFonts w:ascii="Mosawi" w:hAnsi="Mosawi"/>
          <w:sz w:val="27"/>
          <w:vertAlign w:val="superscript"/>
          <w:rtl/>
          <w:lang w:bidi="fa-IR"/>
        </w:rPr>
        <w:t>)</w:t>
      </w:r>
      <w:r w:rsidR="00C84F23" w:rsidRPr="00282AC9">
        <w:rPr>
          <w:rFonts w:hint="cs"/>
          <w:sz w:val="27"/>
          <w:rtl/>
          <w:lang w:bidi="fa-IR"/>
        </w:rPr>
        <w:t>.</w:t>
      </w:r>
    </w:p>
    <w:p w:rsidR="00C84F23" w:rsidRPr="00282AC9" w:rsidRDefault="001153F1" w:rsidP="003E218F">
      <w:pPr>
        <w:rPr>
          <w:rtl/>
        </w:rPr>
      </w:pPr>
      <w:r w:rsidRPr="00282AC9">
        <w:rPr>
          <w:rFonts w:hint="cs"/>
          <w:b/>
          <w:bCs/>
          <w:rtl/>
          <w:lang w:bidi="fa-IR"/>
        </w:rPr>
        <w:t xml:space="preserve">أـ </w:t>
      </w:r>
      <w:r w:rsidRPr="00282AC9">
        <w:rPr>
          <w:b/>
          <w:bCs/>
          <w:rtl/>
          <w:lang w:bidi="fa-IR"/>
        </w:rPr>
        <w:t>الدراسة السندي</w:t>
      </w:r>
      <w:r w:rsidR="00C84F23" w:rsidRPr="00282AC9">
        <w:rPr>
          <w:rFonts w:hint="cs"/>
          <w:b/>
          <w:bCs/>
          <w:rtl/>
          <w:lang w:bidi="fa-IR"/>
        </w:rPr>
        <w:t>ّ</w:t>
      </w:r>
      <w:r w:rsidRPr="00282AC9">
        <w:rPr>
          <w:b/>
          <w:bCs/>
          <w:rtl/>
          <w:lang w:bidi="fa-IR"/>
        </w:rPr>
        <w:t>ة</w:t>
      </w:r>
      <w:r w:rsidR="00A15DDE" w:rsidRPr="00282AC9">
        <w:rPr>
          <w:rFonts w:hint="cs"/>
          <w:rtl/>
          <w:lang w:bidi="fa-IR"/>
        </w:rPr>
        <w:t xml:space="preserve">: </w:t>
      </w:r>
      <w:r w:rsidRPr="00282AC9">
        <w:rPr>
          <w:rFonts w:ascii="Mosawi" w:hAnsi="Mosawi"/>
          <w:sz w:val="27"/>
          <w:rtl/>
          <w:lang w:bidi="fa-IR"/>
        </w:rPr>
        <w:t>تعتبر هذه الرواية من الروايات المعلَّقة</w:t>
      </w:r>
      <w:r w:rsidR="00C84F23" w:rsidRPr="00282AC9">
        <w:rPr>
          <w:rFonts w:ascii="Mosawi" w:hAnsi="Mosawi" w:hint="cs"/>
          <w:sz w:val="27"/>
          <w:rtl/>
          <w:lang w:bidi="fa-IR"/>
        </w:rPr>
        <w:t>؛</w:t>
      </w:r>
      <w:r w:rsidRPr="00282AC9">
        <w:rPr>
          <w:rFonts w:ascii="Mosawi" w:hAnsi="Mosawi"/>
          <w:sz w:val="27"/>
          <w:rtl/>
          <w:lang w:bidi="fa-IR"/>
        </w:rPr>
        <w:t xml:space="preserve"> حيث علَّق الكليني سندها على الرواية التي قبلها</w:t>
      </w:r>
      <w:r w:rsidR="00C84F23" w:rsidRPr="00282AC9">
        <w:rPr>
          <w:rFonts w:ascii="Mosawi" w:hAnsi="Mosawi" w:hint="cs"/>
          <w:sz w:val="27"/>
          <w:rtl/>
          <w:lang w:bidi="fa-IR"/>
        </w:rPr>
        <w:t>،</w:t>
      </w:r>
      <w:r w:rsidRPr="00282AC9">
        <w:rPr>
          <w:rFonts w:ascii="Mosawi" w:hAnsi="Mosawi"/>
          <w:sz w:val="27"/>
          <w:rtl/>
          <w:lang w:bidi="fa-IR"/>
        </w:rPr>
        <w:t xml:space="preserve"> وهي صحيحة عبد الله بن سنان</w:t>
      </w:r>
      <w:r w:rsidR="00C84F23" w:rsidRPr="00282AC9">
        <w:rPr>
          <w:rFonts w:ascii="Mosawi" w:hAnsi="Mosawi" w:hint="cs"/>
          <w:sz w:val="27"/>
          <w:rtl/>
          <w:lang w:bidi="fa-IR"/>
        </w:rPr>
        <w:t>،</w:t>
      </w:r>
      <w:r w:rsidRPr="00282AC9">
        <w:rPr>
          <w:rFonts w:ascii="Mosawi" w:hAnsi="Mosawi"/>
          <w:sz w:val="27"/>
          <w:rtl/>
          <w:lang w:bidi="fa-IR"/>
        </w:rPr>
        <w:t xml:space="preserve"> التي نقلن</w:t>
      </w:r>
      <w:r w:rsidR="00C84F23" w:rsidRPr="00282AC9">
        <w:rPr>
          <w:rFonts w:ascii="Mosawi" w:hAnsi="Mosawi" w:hint="cs"/>
          <w:sz w:val="27"/>
          <w:rtl/>
          <w:lang w:bidi="fa-IR"/>
        </w:rPr>
        <w:t>ا</w:t>
      </w:r>
      <w:r w:rsidRPr="00282AC9">
        <w:rPr>
          <w:rFonts w:ascii="Mosawi" w:hAnsi="Mosawi"/>
          <w:sz w:val="27"/>
          <w:rtl/>
          <w:lang w:bidi="fa-IR"/>
        </w:rPr>
        <w:t>ها قبل قليل</w:t>
      </w:r>
      <w:r w:rsidR="00C84F23" w:rsidRPr="00282AC9">
        <w:rPr>
          <w:rFonts w:ascii="Mosawi" w:hAnsi="Mosawi" w:hint="cs"/>
          <w:sz w:val="27"/>
          <w:rtl/>
          <w:lang w:bidi="fa-IR"/>
        </w:rPr>
        <w:t>ٍ.</w:t>
      </w:r>
    </w:p>
    <w:p w:rsidR="001153F1" w:rsidRPr="00282AC9" w:rsidRDefault="00C84F23" w:rsidP="003E218F">
      <w:pPr>
        <w:pStyle w:val="afc"/>
        <w:rPr>
          <w:rFonts w:ascii="Mosawi" w:hAnsi="Mosawi" w:cs="AL-Mohanad"/>
          <w:sz w:val="27"/>
          <w:szCs w:val="27"/>
          <w:rtl/>
        </w:rPr>
      </w:pPr>
      <w:r w:rsidRPr="00282AC9">
        <w:rPr>
          <w:rFonts w:ascii="Mosawi" w:hAnsi="Mosawi" w:cs="AL-Mohanad" w:hint="cs"/>
          <w:sz w:val="27"/>
          <w:szCs w:val="27"/>
          <w:rtl/>
        </w:rPr>
        <w:t>و</w:t>
      </w:r>
      <w:r w:rsidR="001153F1" w:rsidRPr="00282AC9">
        <w:rPr>
          <w:rFonts w:ascii="Mosawi" w:hAnsi="Mosawi" w:cs="AL-Mohanad"/>
          <w:sz w:val="27"/>
          <w:szCs w:val="27"/>
          <w:rtl/>
        </w:rPr>
        <w:t xml:space="preserve">هذه الرواية أيضاً تشتمل على </w:t>
      </w:r>
      <w:r w:rsidR="001153F1" w:rsidRPr="00282AC9">
        <w:rPr>
          <w:rFonts w:ascii="Mosawi" w:hAnsi="Mosawi" w:cs="AL-Mohanad" w:hint="cs"/>
          <w:sz w:val="27"/>
          <w:szCs w:val="27"/>
          <w:rtl/>
        </w:rPr>
        <w:t>طريقين</w:t>
      </w:r>
      <w:r w:rsidR="001153F1" w:rsidRPr="00282AC9">
        <w:rPr>
          <w:rFonts w:ascii="Mosawi" w:hAnsi="Mosawi" w:cs="AL-Mohanad"/>
          <w:sz w:val="27"/>
          <w:szCs w:val="27"/>
          <w:rtl/>
        </w:rPr>
        <w:t>:</w:t>
      </w:r>
    </w:p>
    <w:p w:rsidR="001153F1" w:rsidRPr="00282AC9" w:rsidRDefault="001153F1" w:rsidP="003E218F">
      <w:pPr>
        <w:pStyle w:val="afc"/>
        <w:widowControl/>
        <w:rPr>
          <w:rFonts w:ascii="Mosawi" w:hAnsi="Mosawi" w:cs="AL-Mohanad"/>
          <w:sz w:val="27"/>
          <w:szCs w:val="27"/>
          <w:rtl/>
        </w:rPr>
      </w:pPr>
      <w:r w:rsidRPr="00282AC9">
        <w:rPr>
          <w:rFonts w:ascii="Mosawi" w:hAnsi="Mosawi" w:cs="AL-Mohanad" w:hint="cs"/>
          <w:b/>
          <w:bCs/>
          <w:sz w:val="27"/>
          <w:szCs w:val="27"/>
          <w:rtl/>
        </w:rPr>
        <w:t>الطريق</w:t>
      </w:r>
      <w:r w:rsidRPr="00282AC9">
        <w:rPr>
          <w:rFonts w:ascii="Mosawi" w:hAnsi="Mosawi" w:cs="AL-Mohanad"/>
          <w:b/>
          <w:bCs/>
          <w:sz w:val="27"/>
          <w:szCs w:val="27"/>
          <w:rtl/>
        </w:rPr>
        <w:t xml:space="preserve"> الأو</w:t>
      </w:r>
      <w:r w:rsidR="00C84F23" w:rsidRPr="00282AC9">
        <w:rPr>
          <w:rFonts w:ascii="Mosawi" w:hAnsi="Mosawi" w:cs="AL-Mohanad" w:hint="cs"/>
          <w:b/>
          <w:bCs/>
          <w:sz w:val="27"/>
          <w:szCs w:val="27"/>
          <w:rtl/>
        </w:rPr>
        <w:t>ّ</w:t>
      </w:r>
      <w:r w:rsidRPr="00282AC9">
        <w:rPr>
          <w:rFonts w:ascii="Mosawi" w:hAnsi="Mosawi" w:cs="AL-Mohanad"/>
          <w:b/>
          <w:bCs/>
          <w:sz w:val="27"/>
          <w:szCs w:val="27"/>
          <w:rtl/>
        </w:rPr>
        <w:t>ل</w:t>
      </w:r>
      <w:r w:rsidRPr="00282AC9">
        <w:rPr>
          <w:rFonts w:ascii="Mosawi" w:hAnsi="Mosawi" w:cs="AL-Mohanad"/>
          <w:sz w:val="27"/>
          <w:szCs w:val="27"/>
          <w:rtl/>
        </w:rPr>
        <w:t>: عد</w:t>
      </w:r>
      <w:r w:rsidR="00C84F23" w:rsidRPr="00282AC9">
        <w:rPr>
          <w:rFonts w:ascii="Mosawi" w:hAnsi="Mosawi" w:cs="AL-Mohanad" w:hint="cs"/>
          <w:sz w:val="27"/>
          <w:szCs w:val="27"/>
          <w:rtl/>
        </w:rPr>
        <w:t>ّ</w:t>
      </w:r>
      <w:r w:rsidRPr="00282AC9">
        <w:rPr>
          <w:rFonts w:ascii="Mosawi" w:hAnsi="Mosawi" w:cs="AL-Mohanad"/>
          <w:sz w:val="27"/>
          <w:szCs w:val="27"/>
          <w:rtl/>
        </w:rPr>
        <w:t>ة من أصحابنا</w:t>
      </w:r>
      <w:r w:rsidR="00C84F23" w:rsidRPr="00282AC9">
        <w:rPr>
          <w:rFonts w:ascii="Mosawi" w:hAnsi="Mosawi" w:cs="AL-Mohanad" w:hint="cs"/>
          <w:sz w:val="27"/>
          <w:szCs w:val="27"/>
          <w:rtl/>
        </w:rPr>
        <w:t>،</w:t>
      </w:r>
      <w:r w:rsidRPr="00282AC9">
        <w:rPr>
          <w:rFonts w:ascii="Mosawi" w:hAnsi="Mosawi" w:cs="AL-Mohanad"/>
          <w:sz w:val="27"/>
          <w:szCs w:val="27"/>
          <w:rtl/>
        </w:rPr>
        <w:t xml:space="preserve"> عن أحمد بن محمد</w:t>
      </w:r>
      <w:r w:rsidR="00C84F23" w:rsidRPr="00282AC9">
        <w:rPr>
          <w:rFonts w:ascii="Mosawi" w:hAnsi="Mosawi" w:cs="AL-Mohanad" w:hint="cs"/>
          <w:sz w:val="27"/>
          <w:szCs w:val="27"/>
          <w:rtl/>
        </w:rPr>
        <w:t>،</w:t>
      </w:r>
      <w:r w:rsidRPr="00282AC9">
        <w:rPr>
          <w:rFonts w:ascii="Mosawi" w:hAnsi="Mosawi" w:cs="AL-Mohanad"/>
          <w:sz w:val="27"/>
          <w:szCs w:val="27"/>
          <w:rtl/>
        </w:rPr>
        <w:t xml:space="preserve"> عن الحسن بن محبوب</w:t>
      </w:r>
      <w:r w:rsidR="00C84F23" w:rsidRPr="00282AC9">
        <w:rPr>
          <w:rFonts w:ascii="Mosawi" w:hAnsi="Mosawi" w:cs="AL-Mohanad" w:hint="cs"/>
          <w:sz w:val="27"/>
          <w:szCs w:val="27"/>
          <w:rtl/>
        </w:rPr>
        <w:t>،</w:t>
      </w:r>
      <w:r w:rsidRPr="00282AC9">
        <w:rPr>
          <w:rFonts w:ascii="Mosawi" w:hAnsi="Mosawi" w:cs="AL-Mohanad"/>
          <w:sz w:val="27"/>
          <w:szCs w:val="27"/>
          <w:rtl/>
        </w:rPr>
        <w:t xml:space="preserve"> عن العلاء بن رزين</w:t>
      </w:r>
      <w:r w:rsidR="00C84F23" w:rsidRPr="00282AC9">
        <w:rPr>
          <w:rFonts w:ascii="Mosawi" w:hAnsi="Mosawi" w:cs="AL-Mohanad" w:hint="cs"/>
          <w:sz w:val="27"/>
          <w:szCs w:val="27"/>
          <w:rtl/>
        </w:rPr>
        <w:t>،</w:t>
      </w:r>
      <w:r w:rsidRPr="00282AC9">
        <w:rPr>
          <w:rFonts w:ascii="Mosawi" w:hAnsi="Mosawi" w:cs="AL-Mohanad"/>
          <w:sz w:val="27"/>
          <w:szCs w:val="27"/>
          <w:rtl/>
        </w:rPr>
        <w:t xml:space="preserve"> عن محمد بن مسلم</w:t>
      </w:r>
      <w:r w:rsidR="00C84F23" w:rsidRPr="00282AC9">
        <w:rPr>
          <w:rFonts w:ascii="Mosawi" w:hAnsi="Mosawi" w:cs="AL-Mohanad" w:hint="cs"/>
          <w:sz w:val="27"/>
          <w:szCs w:val="27"/>
          <w:rtl/>
        </w:rPr>
        <w:t xml:space="preserve">، </w:t>
      </w:r>
      <w:r w:rsidRPr="00282AC9">
        <w:rPr>
          <w:rFonts w:ascii="Mosawi" w:hAnsi="Mosawi" w:cs="AL-Mohanad"/>
          <w:sz w:val="27"/>
          <w:szCs w:val="27"/>
          <w:rtl/>
        </w:rPr>
        <w:t>عن أبي جعفر</w:t>
      </w:r>
      <w:r w:rsidR="009A2A04" w:rsidRPr="00282AC9">
        <w:rPr>
          <w:rFonts w:ascii="Mosawi" w:hAnsi="Mosawi" w:cs="Mosawi"/>
          <w:sz w:val="22"/>
          <w:szCs w:val="22"/>
          <w:rtl/>
        </w:rPr>
        <w:t>×</w:t>
      </w:r>
      <w:r w:rsidRPr="00282AC9">
        <w:rPr>
          <w:rFonts w:ascii="Mosawi" w:hAnsi="Mosawi" w:cs="AL-Mohanad"/>
          <w:sz w:val="27"/>
          <w:szCs w:val="27"/>
          <w:rtl/>
        </w:rPr>
        <w:t>.</w:t>
      </w:r>
    </w:p>
    <w:p w:rsidR="001153F1" w:rsidRPr="00282AC9" w:rsidRDefault="001153F1" w:rsidP="003E218F">
      <w:pPr>
        <w:pStyle w:val="afc"/>
        <w:widowControl/>
        <w:rPr>
          <w:rFonts w:ascii="Mosawi" w:hAnsi="Mosawi" w:cs="AL-Mohanad"/>
          <w:sz w:val="27"/>
          <w:szCs w:val="27"/>
          <w:rtl/>
        </w:rPr>
      </w:pPr>
      <w:r w:rsidRPr="00282AC9">
        <w:rPr>
          <w:rFonts w:ascii="Mosawi" w:hAnsi="Mosawi" w:cs="AL-Mohanad" w:hint="cs"/>
          <w:b/>
          <w:bCs/>
          <w:sz w:val="27"/>
          <w:szCs w:val="27"/>
          <w:rtl/>
        </w:rPr>
        <w:t>الطريق</w:t>
      </w:r>
      <w:r w:rsidRPr="00282AC9">
        <w:rPr>
          <w:rFonts w:ascii="Mosawi" w:hAnsi="Mosawi" w:cs="AL-Mohanad"/>
          <w:b/>
          <w:bCs/>
          <w:sz w:val="27"/>
          <w:szCs w:val="27"/>
          <w:rtl/>
        </w:rPr>
        <w:t xml:space="preserve"> الثاني</w:t>
      </w:r>
      <w:r w:rsidRPr="00282AC9">
        <w:rPr>
          <w:rFonts w:ascii="Mosawi" w:hAnsi="Mosawi" w:cs="AL-Mohanad"/>
          <w:sz w:val="27"/>
          <w:szCs w:val="27"/>
          <w:rtl/>
        </w:rPr>
        <w:t>: عد</w:t>
      </w:r>
      <w:r w:rsidR="00C84F23" w:rsidRPr="00282AC9">
        <w:rPr>
          <w:rFonts w:ascii="Mosawi" w:hAnsi="Mosawi" w:cs="AL-Mohanad" w:hint="cs"/>
          <w:sz w:val="27"/>
          <w:szCs w:val="27"/>
          <w:rtl/>
        </w:rPr>
        <w:t>ّ</w:t>
      </w:r>
      <w:r w:rsidRPr="00282AC9">
        <w:rPr>
          <w:rFonts w:ascii="Mosawi" w:hAnsi="Mosawi" w:cs="AL-Mohanad"/>
          <w:sz w:val="27"/>
          <w:szCs w:val="27"/>
          <w:rtl/>
        </w:rPr>
        <w:t>ة من أصحابنا</w:t>
      </w:r>
      <w:r w:rsidR="00C84F23" w:rsidRPr="00282AC9">
        <w:rPr>
          <w:rFonts w:ascii="Mosawi" w:hAnsi="Mosawi" w:cs="AL-Mohanad" w:hint="cs"/>
          <w:sz w:val="27"/>
          <w:szCs w:val="27"/>
          <w:rtl/>
        </w:rPr>
        <w:t>،</w:t>
      </w:r>
      <w:r w:rsidRPr="00282AC9">
        <w:rPr>
          <w:rFonts w:ascii="Mosawi" w:hAnsi="Mosawi" w:cs="AL-Mohanad"/>
          <w:sz w:val="27"/>
          <w:szCs w:val="27"/>
          <w:rtl/>
        </w:rPr>
        <w:t xml:space="preserve"> عن سهل بن </w:t>
      </w:r>
      <w:r w:rsidR="00C84F23" w:rsidRPr="00282AC9">
        <w:rPr>
          <w:rFonts w:ascii="Mosawi" w:hAnsi="Mosawi" w:cs="AL-Mohanad" w:hint="cs"/>
          <w:sz w:val="27"/>
          <w:szCs w:val="27"/>
          <w:rtl/>
        </w:rPr>
        <w:t>زيا</w:t>
      </w:r>
      <w:r w:rsidRPr="00282AC9">
        <w:rPr>
          <w:rFonts w:ascii="Mosawi" w:hAnsi="Mosawi" w:cs="AL-Mohanad" w:hint="cs"/>
          <w:sz w:val="27"/>
          <w:szCs w:val="27"/>
          <w:rtl/>
        </w:rPr>
        <w:t>د</w:t>
      </w:r>
      <w:r w:rsidR="00C84F23" w:rsidRPr="00282AC9">
        <w:rPr>
          <w:rFonts w:ascii="Mosawi" w:hAnsi="Mosawi" w:cs="AL-Mohanad" w:hint="cs"/>
          <w:sz w:val="27"/>
          <w:szCs w:val="27"/>
          <w:rtl/>
        </w:rPr>
        <w:t>،</w:t>
      </w:r>
      <w:r w:rsidRPr="00282AC9">
        <w:rPr>
          <w:rFonts w:ascii="Mosawi" w:hAnsi="Mosawi" w:cs="AL-Mohanad"/>
          <w:sz w:val="27"/>
          <w:szCs w:val="27"/>
          <w:rtl/>
        </w:rPr>
        <w:t xml:space="preserve"> </w:t>
      </w:r>
      <w:r w:rsidRPr="00282AC9">
        <w:rPr>
          <w:rFonts w:ascii="Mosawi" w:hAnsi="Mosawi" w:cs="AL-Mohanad" w:hint="cs"/>
          <w:sz w:val="27"/>
          <w:szCs w:val="27"/>
          <w:rtl/>
        </w:rPr>
        <w:t>عن</w:t>
      </w:r>
      <w:r w:rsidRPr="00282AC9">
        <w:rPr>
          <w:rFonts w:ascii="Mosawi" w:hAnsi="Mosawi" w:cs="AL-Mohanad"/>
          <w:sz w:val="27"/>
          <w:szCs w:val="27"/>
          <w:rtl/>
        </w:rPr>
        <w:t xml:space="preserve"> </w:t>
      </w:r>
      <w:r w:rsidRPr="00282AC9">
        <w:rPr>
          <w:rFonts w:ascii="Mosawi" w:hAnsi="Mosawi" w:cs="AL-Mohanad" w:hint="cs"/>
          <w:sz w:val="27"/>
          <w:szCs w:val="27"/>
          <w:rtl/>
        </w:rPr>
        <w:t>الحسن</w:t>
      </w:r>
      <w:r w:rsidRPr="00282AC9">
        <w:rPr>
          <w:rFonts w:ascii="Mosawi" w:hAnsi="Mosawi" w:cs="AL-Mohanad"/>
          <w:sz w:val="27"/>
          <w:szCs w:val="27"/>
          <w:rtl/>
        </w:rPr>
        <w:t xml:space="preserve"> </w:t>
      </w:r>
      <w:r w:rsidRPr="00282AC9">
        <w:rPr>
          <w:rFonts w:ascii="Mosawi" w:hAnsi="Mosawi" w:cs="AL-Mohanad" w:hint="cs"/>
          <w:sz w:val="27"/>
          <w:szCs w:val="27"/>
          <w:rtl/>
        </w:rPr>
        <w:t>بن</w:t>
      </w:r>
      <w:r w:rsidRPr="00282AC9">
        <w:rPr>
          <w:rFonts w:ascii="Mosawi" w:hAnsi="Mosawi" w:cs="AL-Mohanad"/>
          <w:sz w:val="27"/>
          <w:szCs w:val="27"/>
          <w:rtl/>
        </w:rPr>
        <w:t xml:space="preserve"> </w:t>
      </w:r>
      <w:r w:rsidRPr="00282AC9">
        <w:rPr>
          <w:rFonts w:ascii="Mosawi" w:hAnsi="Mosawi" w:cs="AL-Mohanad" w:hint="cs"/>
          <w:sz w:val="27"/>
          <w:szCs w:val="27"/>
          <w:rtl/>
        </w:rPr>
        <w:t>محبوب</w:t>
      </w:r>
      <w:r w:rsidR="00C84F23" w:rsidRPr="00282AC9">
        <w:rPr>
          <w:rFonts w:ascii="Mosawi" w:hAnsi="Mosawi" w:cs="AL-Mohanad" w:hint="cs"/>
          <w:sz w:val="27"/>
          <w:szCs w:val="27"/>
          <w:rtl/>
        </w:rPr>
        <w:t>،</w:t>
      </w:r>
      <w:r w:rsidRPr="00282AC9">
        <w:rPr>
          <w:rFonts w:ascii="Mosawi" w:hAnsi="Mosawi" w:cs="AL-Mohanad"/>
          <w:sz w:val="27"/>
          <w:szCs w:val="27"/>
          <w:rtl/>
        </w:rPr>
        <w:t xml:space="preserve"> </w:t>
      </w:r>
      <w:r w:rsidRPr="00282AC9">
        <w:rPr>
          <w:rFonts w:ascii="Mosawi" w:hAnsi="Mosawi" w:cs="AL-Mohanad" w:hint="cs"/>
          <w:sz w:val="27"/>
          <w:szCs w:val="27"/>
          <w:rtl/>
        </w:rPr>
        <w:t>عن</w:t>
      </w:r>
      <w:r w:rsidRPr="00282AC9">
        <w:rPr>
          <w:rFonts w:ascii="Mosawi" w:hAnsi="Mosawi" w:cs="AL-Mohanad"/>
          <w:sz w:val="27"/>
          <w:szCs w:val="27"/>
          <w:rtl/>
        </w:rPr>
        <w:t xml:space="preserve"> </w:t>
      </w:r>
      <w:r w:rsidRPr="00282AC9">
        <w:rPr>
          <w:rFonts w:ascii="Mosawi" w:hAnsi="Mosawi" w:cs="AL-Mohanad" w:hint="cs"/>
          <w:sz w:val="27"/>
          <w:szCs w:val="27"/>
          <w:rtl/>
        </w:rPr>
        <w:t>العلاء</w:t>
      </w:r>
      <w:r w:rsidRPr="00282AC9">
        <w:rPr>
          <w:rFonts w:ascii="Mosawi" w:hAnsi="Mosawi" w:cs="AL-Mohanad"/>
          <w:sz w:val="27"/>
          <w:szCs w:val="27"/>
          <w:rtl/>
        </w:rPr>
        <w:t xml:space="preserve"> </w:t>
      </w:r>
      <w:r w:rsidRPr="00282AC9">
        <w:rPr>
          <w:rFonts w:ascii="Mosawi" w:hAnsi="Mosawi" w:cs="AL-Mohanad" w:hint="cs"/>
          <w:sz w:val="27"/>
          <w:szCs w:val="27"/>
          <w:rtl/>
        </w:rPr>
        <w:t>بن</w:t>
      </w:r>
      <w:r w:rsidRPr="00282AC9">
        <w:rPr>
          <w:rFonts w:ascii="Mosawi" w:hAnsi="Mosawi" w:cs="AL-Mohanad"/>
          <w:sz w:val="27"/>
          <w:szCs w:val="27"/>
          <w:rtl/>
        </w:rPr>
        <w:t xml:space="preserve"> </w:t>
      </w:r>
      <w:r w:rsidRPr="00282AC9">
        <w:rPr>
          <w:rFonts w:ascii="Mosawi" w:hAnsi="Mosawi" w:cs="AL-Mohanad" w:hint="cs"/>
          <w:sz w:val="27"/>
          <w:szCs w:val="27"/>
          <w:rtl/>
        </w:rPr>
        <w:t>رزين</w:t>
      </w:r>
      <w:r w:rsidR="00C84F23" w:rsidRPr="00282AC9">
        <w:rPr>
          <w:rFonts w:ascii="Mosawi" w:hAnsi="Mosawi" w:cs="AL-Mohanad" w:hint="cs"/>
          <w:sz w:val="27"/>
          <w:szCs w:val="27"/>
          <w:rtl/>
        </w:rPr>
        <w:t>،</w:t>
      </w:r>
      <w:r w:rsidRPr="00282AC9">
        <w:rPr>
          <w:rFonts w:ascii="Mosawi" w:hAnsi="Mosawi" w:cs="AL-Mohanad"/>
          <w:sz w:val="27"/>
          <w:szCs w:val="27"/>
          <w:rtl/>
        </w:rPr>
        <w:t xml:space="preserve"> </w:t>
      </w:r>
      <w:r w:rsidRPr="00282AC9">
        <w:rPr>
          <w:rFonts w:ascii="Mosawi" w:hAnsi="Mosawi" w:cs="AL-Mohanad" w:hint="cs"/>
          <w:sz w:val="27"/>
          <w:szCs w:val="27"/>
          <w:rtl/>
        </w:rPr>
        <w:t>عن</w:t>
      </w:r>
      <w:r w:rsidRPr="00282AC9">
        <w:rPr>
          <w:rFonts w:ascii="Mosawi" w:hAnsi="Mosawi" w:cs="AL-Mohanad"/>
          <w:sz w:val="27"/>
          <w:szCs w:val="27"/>
          <w:rtl/>
        </w:rPr>
        <w:t xml:space="preserve"> </w:t>
      </w:r>
      <w:r w:rsidRPr="00282AC9">
        <w:rPr>
          <w:rFonts w:ascii="Mosawi" w:hAnsi="Mosawi" w:cs="AL-Mohanad" w:hint="cs"/>
          <w:sz w:val="27"/>
          <w:szCs w:val="27"/>
          <w:rtl/>
        </w:rPr>
        <w:t>محمد</w:t>
      </w:r>
      <w:r w:rsidRPr="00282AC9">
        <w:rPr>
          <w:rFonts w:ascii="Mosawi" w:hAnsi="Mosawi" w:cs="AL-Mohanad"/>
          <w:sz w:val="27"/>
          <w:szCs w:val="27"/>
          <w:rtl/>
        </w:rPr>
        <w:t xml:space="preserve"> </w:t>
      </w:r>
      <w:r w:rsidRPr="00282AC9">
        <w:rPr>
          <w:rFonts w:ascii="Mosawi" w:hAnsi="Mosawi" w:cs="AL-Mohanad" w:hint="cs"/>
          <w:sz w:val="27"/>
          <w:szCs w:val="27"/>
          <w:rtl/>
        </w:rPr>
        <w:t>بن</w:t>
      </w:r>
      <w:r w:rsidRPr="00282AC9">
        <w:rPr>
          <w:rFonts w:ascii="Mosawi" w:hAnsi="Mosawi" w:cs="AL-Mohanad"/>
          <w:sz w:val="27"/>
          <w:szCs w:val="27"/>
          <w:rtl/>
        </w:rPr>
        <w:t xml:space="preserve"> </w:t>
      </w:r>
      <w:r w:rsidRPr="00282AC9">
        <w:rPr>
          <w:rFonts w:ascii="Mosawi" w:hAnsi="Mosawi" w:cs="AL-Mohanad" w:hint="cs"/>
          <w:sz w:val="27"/>
          <w:szCs w:val="27"/>
          <w:rtl/>
        </w:rPr>
        <w:t>مسلم</w:t>
      </w:r>
      <w:r w:rsidR="00C84F23" w:rsidRPr="00282AC9">
        <w:rPr>
          <w:rFonts w:ascii="Mosawi" w:hAnsi="Mosawi" w:cs="AL-Mohanad" w:hint="cs"/>
          <w:sz w:val="27"/>
          <w:szCs w:val="27"/>
          <w:rtl/>
        </w:rPr>
        <w:t>،</w:t>
      </w:r>
      <w:r w:rsidRPr="00282AC9">
        <w:rPr>
          <w:rFonts w:ascii="Mosawi" w:hAnsi="Mosawi" w:cs="AL-Mohanad"/>
          <w:sz w:val="27"/>
          <w:szCs w:val="27"/>
          <w:rtl/>
        </w:rPr>
        <w:t xml:space="preserve"> </w:t>
      </w:r>
      <w:r w:rsidRPr="00282AC9">
        <w:rPr>
          <w:rFonts w:ascii="Mosawi" w:hAnsi="Mosawi" w:cs="AL-Mohanad" w:hint="cs"/>
          <w:sz w:val="27"/>
          <w:szCs w:val="27"/>
          <w:rtl/>
        </w:rPr>
        <w:t>عن</w:t>
      </w:r>
      <w:r w:rsidRPr="00282AC9">
        <w:rPr>
          <w:rFonts w:ascii="Mosawi" w:hAnsi="Mosawi" w:cs="AL-Mohanad"/>
          <w:sz w:val="27"/>
          <w:szCs w:val="27"/>
          <w:rtl/>
        </w:rPr>
        <w:t xml:space="preserve"> </w:t>
      </w:r>
      <w:r w:rsidRPr="00282AC9">
        <w:rPr>
          <w:rFonts w:ascii="Mosawi" w:hAnsi="Mosawi" w:cs="AL-Mohanad" w:hint="cs"/>
          <w:sz w:val="27"/>
          <w:szCs w:val="27"/>
          <w:rtl/>
        </w:rPr>
        <w:t>أبي</w:t>
      </w:r>
      <w:r w:rsidRPr="00282AC9">
        <w:rPr>
          <w:rFonts w:ascii="Mosawi" w:hAnsi="Mosawi" w:cs="AL-Mohanad"/>
          <w:sz w:val="27"/>
          <w:szCs w:val="27"/>
          <w:rtl/>
        </w:rPr>
        <w:t xml:space="preserve"> </w:t>
      </w:r>
      <w:r w:rsidRPr="00282AC9">
        <w:rPr>
          <w:rFonts w:ascii="Mosawi" w:hAnsi="Mosawi" w:cs="AL-Mohanad" w:hint="cs"/>
          <w:sz w:val="27"/>
          <w:szCs w:val="27"/>
          <w:rtl/>
        </w:rPr>
        <w:t>جعفر</w:t>
      </w:r>
      <w:r w:rsidR="009A2A04" w:rsidRPr="00282AC9">
        <w:rPr>
          <w:rFonts w:ascii="Mosawi" w:hAnsi="Mosawi" w:cs="Mosawi" w:hint="cs"/>
          <w:sz w:val="22"/>
          <w:szCs w:val="22"/>
          <w:rtl/>
        </w:rPr>
        <w:t>×</w:t>
      </w:r>
      <w:r w:rsidRPr="00282AC9">
        <w:rPr>
          <w:rFonts w:ascii="Mosawi" w:hAnsi="Mosawi" w:cs="AL-Mohanad"/>
          <w:sz w:val="27"/>
          <w:szCs w:val="27"/>
          <w:rtl/>
        </w:rPr>
        <w:t>.</w:t>
      </w:r>
    </w:p>
    <w:p w:rsidR="00C84F23" w:rsidRPr="00282AC9" w:rsidRDefault="00C84F23" w:rsidP="003E218F">
      <w:pPr>
        <w:pStyle w:val="afc"/>
        <w:rPr>
          <w:rFonts w:ascii="Mosawi" w:hAnsi="Mosawi" w:cs="AL-Mohanad"/>
          <w:sz w:val="27"/>
          <w:szCs w:val="27"/>
          <w:rtl/>
        </w:rPr>
      </w:pPr>
      <w:r w:rsidRPr="00282AC9">
        <w:rPr>
          <w:rFonts w:ascii="Mosawi" w:hAnsi="Mosawi" w:cs="AL-Mohanad" w:hint="cs"/>
          <w:sz w:val="27"/>
          <w:szCs w:val="27"/>
          <w:rtl/>
        </w:rPr>
        <w:t>و</w:t>
      </w:r>
      <w:r w:rsidR="001153F1" w:rsidRPr="00282AC9">
        <w:rPr>
          <w:rFonts w:ascii="Mosawi" w:hAnsi="Mosawi" w:cs="AL-Mohanad"/>
          <w:sz w:val="27"/>
          <w:szCs w:val="27"/>
          <w:rtl/>
        </w:rPr>
        <w:t>السند الثاني ضعيف</w:t>
      </w:r>
      <w:r w:rsidRPr="00282AC9">
        <w:rPr>
          <w:rFonts w:ascii="Mosawi" w:hAnsi="Mosawi" w:cs="AL-Mohanad" w:hint="cs"/>
          <w:sz w:val="27"/>
          <w:szCs w:val="27"/>
          <w:rtl/>
        </w:rPr>
        <w:t>ٌ؛</w:t>
      </w:r>
      <w:r w:rsidR="001153F1" w:rsidRPr="00282AC9">
        <w:rPr>
          <w:rFonts w:ascii="Mosawi" w:hAnsi="Mosawi" w:cs="AL-Mohanad"/>
          <w:sz w:val="27"/>
          <w:szCs w:val="27"/>
          <w:rtl/>
        </w:rPr>
        <w:t xml:space="preserve"> بسبب اشتماله على سهل بن زياد، حيث اعتبره النجاشي ضعيفاً في الحديث</w:t>
      </w:r>
      <w:r w:rsidRPr="00282AC9">
        <w:rPr>
          <w:rFonts w:ascii="Mosawi" w:hAnsi="Mosawi" w:cs="AL-Mohanad" w:hint="cs"/>
          <w:sz w:val="27"/>
          <w:szCs w:val="27"/>
          <w:rtl/>
        </w:rPr>
        <w:t>،</w:t>
      </w:r>
      <w:r w:rsidR="001153F1" w:rsidRPr="00282AC9">
        <w:rPr>
          <w:rFonts w:ascii="Mosawi" w:hAnsi="Mosawi" w:cs="AL-Mohanad"/>
          <w:sz w:val="27"/>
          <w:szCs w:val="27"/>
          <w:rtl/>
        </w:rPr>
        <w:t xml:space="preserve"> غير معتمد فيه</w:t>
      </w:r>
      <w:r w:rsidR="001153F1" w:rsidRPr="00282AC9">
        <w:rPr>
          <w:rFonts w:ascii="Mosawi" w:hAnsi="Mosawi" w:cs="AL-Mohanad"/>
          <w:sz w:val="27"/>
          <w:szCs w:val="27"/>
          <w:vertAlign w:val="superscript"/>
          <w:rtl/>
        </w:rPr>
        <w:t>(</w:t>
      </w:r>
      <w:r w:rsidR="001153F1" w:rsidRPr="00282AC9">
        <w:rPr>
          <w:rStyle w:val="af9"/>
          <w:rFonts w:ascii="Mosawi" w:hAnsi="Mosawi" w:cs="AL-Mohanad"/>
          <w:sz w:val="27"/>
          <w:szCs w:val="27"/>
          <w:rtl/>
        </w:rPr>
        <w:endnoteReference w:id="646"/>
      </w:r>
      <w:r w:rsidR="001153F1" w:rsidRPr="00282AC9">
        <w:rPr>
          <w:rFonts w:ascii="Mosawi" w:hAnsi="Mosawi" w:cs="AL-Mohanad"/>
          <w:sz w:val="27"/>
          <w:szCs w:val="27"/>
          <w:vertAlign w:val="superscript"/>
          <w:rtl/>
        </w:rPr>
        <w:t>)</w:t>
      </w:r>
      <w:r w:rsidRPr="00282AC9">
        <w:rPr>
          <w:rFonts w:ascii="Mosawi" w:hAnsi="Mosawi" w:cs="AL-Mohanad" w:hint="cs"/>
          <w:sz w:val="27"/>
          <w:szCs w:val="27"/>
          <w:rtl/>
        </w:rPr>
        <w:t>.</w:t>
      </w:r>
    </w:p>
    <w:p w:rsidR="0071661B" w:rsidRPr="00282AC9" w:rsidRDefault="001153F1" w:rsidP="003E218F">
      <w:pPr>
        <w:pStyle w:val="afc"/>
        <w:rPr>
          <w:rFonts w:ascii="Mosawi" w:hAnsi="Mosawi" w:cs="AL-Mohanad"/>
          <w:sz w:val="27"/>
          <w:szCs w:val="27"/>
          <w:rtl/>
        </w:rPr>
      </w:pPr>
      <w:r w:rsidRPr="00282AC9">
        <w:rPr>
          <w:rFonts w:ascii="Mosawi" w:hAnsi="Mosawi" w:cs="AL-Mohanad"/>
          <w:sz w:val="27"/>
          <w:szCs w:val="27"/>
          <w:rtl/>
        </w:rPr>
        <w:lastRenderedPageBreak/>
        <w:t>ولكن</w:t>
      </w:r>
      <w:r w:rsidR="00C84F23" w:rsidRPr="00282AC9">
        <w:rPr>
          <w:rFonts w:ascii="Mosawi" w:hAnsi="Mosawi" w:cs="AL-Mohanad" w:hint="cs"/>
          <w:sz w:val="27"/>
          <w:szCs w:val="27"/>
          <w:rtl/>
        </w:rPr>
        <w:t>ّ</w:t>
      </w:r>
      <w:r w:rsidRPr="00282AC9">
        <w:rPr>
          <w:rFonts w:ascii="Mosawi" w:hAnsi="Mosawi" w:cs="AL-Mohanad"/>
          <w:sz w:val="27"/>
          <w:szCs w:val="27"/>
          <w:rtl/>
        </w:rPr>
        <w:t xml:space="preserve"> السند الأو</w:t>
      </w:r>
      <w:r w:rsidR="00C84F23" w:rsidRPr="00282AC9">
        <w:rPr>
          <w:rFonts w:ascii="Mosawi" w:hAnsi="Mosawi" w:cs="AL-Mohanad" w:hint="cs"/>
          <w:sz w:val="27"/>
          <w:szCs w:val="27"/>
          <w:rtl/>
        </w:rPr>
        <w:t>ّ</w:t>
      </w:r>
      <w:r w:rsidRPr="00282AC9">
        <w:rPr>
          <w:rFonts w:ascii="Mosawi" w:hAnsi="Mosawi" w:cs="AL-Mohanad"/>
          <w:sz w:val="27"/>
          <w:szCs w:val="27"/>
          <w:rtl/>
        </w:rPr>
        <w:t>ل لا إشكال فيه</w:t>
      </w:r>
      <w:r w:rsidR="0071661B" w:rsidRPr="00282AC9">
        <w:rPr>
          <w:rFonts w:ascii="Mosawi" w:hAnsi="Mosawi" w:cs="AL-Mohanad" w:hint="cs"/>
          <w:sz w:val="27"/>
          <w:szCs w:val="27"/>
          <w:rtl/>
        </w:rPr>
        <w:t>.</w:t>
      </w:r>
    </w:p>
    <w:p w:rsidR="001153F1" w:rsidRPr="00282AC9" w:rsidRDefault="001153F1" w:rsidP="003E218F">
      <w:pPr>
        <w:pStyle w:val="afc"/>
        <w:rPr>
          <w:rFonts w:ascii="Mosawi" w:hAnsi="Mosawi" w:cs="AL-Mohanad"/>
          <w:sz w:val="27"/>
          <w:szCs w:val="27"/>
          <w:rtl/>
        </w:rPr>
      </w:pPr>
      <w:r w:rsidRPr="00282AC9">
        <w:rPr>
          <w:rFonts w:ascii="Mosawi" w:hAnsi="Mosawi" w:cs="AL-Mohanad"/>
          <w:sz w:val="27"/>
          <w:szCs w:val="27"/>
          <w:rtl/>
        </w:rPr>
        <w:t>فهذه الرواية</w:t>
      </w:r>
      <w:r w:rsidRPr="00282AC9">
        <w:rPr>
          <w:rFonts w:ascii="Mosawi" w:hAnsi="Mosawi" w:cs="AL-Mohanad" w:hint="cs"/>
          <w:sz w:val="27"/>
          <w:szCs w:val="27"/>
          <w:rtl/>
        </w:rPr>
        <w:t xml:space="preserve"> أيضاً</w:t>
      </w:r>
      <w:r w:rsidRPr="00282AC9">
        <w:rPr>
          <w:rFonts w:ascii="Mosawi" w:hAnsi="Mosawi" w:cs="AL-Mohanad"/>
          <w:sz w:val="27"/>
          <w:szCs w:val="27"/>
          <w:rtl/>
        </w:rPr>
        <w:t xml:space="preserve"> من الناحية السندية صحيحة</w:t>
      </w:r>
      <w:r w:rsidR="00C84F23" w:rsidRPr="00282AC9">
        <w:rPr>
          <w:rFonts w:ascii="Mosawi" w:hAnsi="Mosawi" w:cs="AL-Mohanad" w:hint="cs"/>
          <w:sz w:val="27"/>
          <w:szCs w:val="27"/>
          <w:rtl/>
        </w:rPr>
        <w:t>ٌ</w:t>
      </w:r>
      <w:r w:rsidRPr="00282AC9">
        <w:rPr>
          <w:rFonts w:ascii="Mosawi" w:hAnsi="Mosawi" w:cs="AL-Mohanad"/>
          <w:sz w:val="27"/>
          <w:szCs w:val="27"/>
          <w:rtl/>
        </w:rPr>
        <w:t>.</w:t>
      </w:r>
    </w:p>
    <w:p w:rsidR="001153F1" w:rsidRPr="00282AC9" w:rsidRDefault="001153F1" w:rsidP="003E218F">
      <w:pPr>
        <w:rPr>
          <w:rtl/>
        </w:rPr>
      </w:pPr>
      <w:r w:rsidRPr="00282AC9">
        <w:rPr>
          <w:rFonts w:hint="cs"/>
          <w:b/>
          <w:bCs/>
          <w:rtl/>
        </w:rPr>
        <w:t xml:space="preserve">ب ـ </w:t>
      </w:r>
      <w:r w:rsidRPr="00282AC9">
        <w:rPr>
          <w:b/>
          <w:bCs/>
          <w:rtl/>
        </w:rPr>
        <w:t>الدراسة الدلالي</w:t>
      </w:r>
      <w:r w:rsidR="0071661B" w:rsidRPr="00282AC9">
        <w:rPr>
          <w:rFonts w:hint="cs"/>
          <w:b/>
          <w:bCs/>
          <w:rtl/>
        </w:rPr>
        <w:t>ّ</w:t>
      </w:r>
      <w:r w:rsidRPr="00282AC9">
        <w:rPr>
          <w:b/>
          <w:bCs/>
          <w:rtl/>
        </w:rPr>
        <w:t>ة</w:t>
      </w:r>
      <w:r w:rsidR="00A15DDE" w:rsidRPr="00282AC9">
        <w:rPr>
          <w:rFonts w:hint="cs"/>
          <w:rtl/>
        </w:rPr>
        <w:t xml:space="preserve">: </w:t>
      </w:r>
      <w:r w:rsidRPr="00282AC9">
        <w:rPr>
          <w:rFonts w:ascii="Mosawi" w:hAnsi="Mosawi"/>
          <w:sz w:val="27"/>
          <w:rtl/>
        </w:rPr>
        <w:t>إن هذه الرواية</w:t>
      </w:r>
      <w:r w:rsidR="0071661B" w:rsidRPr="00282AC9">
        <w:rPr>
          <w:rFonts w:ascii="Mosawi" w:hAnsi="Mosawi" w:hint="cs"/>
          <w:sz w:val="27"/>
          <w:rtl/>
        </w:rPr>
        <w:t>،</w:t>
      </w:r>
      <w:r w:rsidRPr="00282AC9">
        <w:rPr>
          <w:rFonts w:ascii="Mosawi" w:hAnsi="Mosawi"/>
          <w:sz w:val="27"/>
          <w:rtl/>
        </w:rPr>
        <w:t xml:space="preserve"> </w:t>
      </w:r>
      <w:r w:rsidRPr="00282AC9">
        <w:rPr>
          <w:rFonts w:ascii="Mosawi" w:hAnsi="Mosawi" w:hint="cs"/>
          <w:sz w:val="27"/>
          <w:rtl/>
        </w:rPr>
        <w:t>خلافاً ل</w:t>
      </w:r>
      <w:r w:rsidRPr="00282AC9">
        <w:rPr>
          <w:rFonts w:ascii="Mosawi" w:hAnsi="Mosawi"/>
          <w:sz w:val="27"/>
          <w:rtl/>
        </w:rPr>
        <w:t>لرواية السابقة</w:t>
      </w:r>
      <w:r w:rsidR="0071661B" w:rsidRPr="00282AC9">
        <w:rPr>
          <w:rFonts w:ascii="Mosawi" w:hAnsi="Mosawi" w:hint="cs"/>
          <w:sz w:val="27"/>
          <w:rtl/>
        </w:rPr>
        <w:t>،</w:t>
      </w:r>
      <w:r w:rsidRPr="00282AC9">
        <w:rPr>
          <w:rFonts w:ascii="Mosawi" w:hAnsi="Mosawi"/>
          <w:sz w:val="27"/>
          <w:rtl/>
        </w:rPr>
        <w:t xml:space="preserve"> تتضم</w:t>
      </w:r>
      <w:r w:rsidRPr="00282AC9">
        <w:rPr>
          <w:rFonts w:ascii="Mosawi" w:hAnsi="Mosawi" w:hint="cs"/>
          <w:sz w:val="27"/>
          <w:rtl/>
        </w:rPr>
        <w:t>ّ</w:t>
      </w:r>
      <w:r w:rsidRPr="00282AC9">
        <w:rPr>
          <w:rFonts w:ascii="Mosawi" w:hAnsi="Mosawi"/>
          <w:sz w:val="27"/>
          <w:rtl/>
        </w:rPr>
        <w:t>ن لساناً عام</w:t>
      </w:r>
      <w:r w:rsidR="0071661B" w:rsidRPr="00282AC9">
        <w:rPr>
          <w:rFonts w:ascii="Mosawi" w:hAnsi="Mosawi" w:hint="cs"/>
          <w:sz w:val="27"/>
          <w:rtl/>
        </w:rPr>
        <w:t>ّ</w:t>
      </w:r>
      <w:r w:rsidRPr="00282AC9">
        <w:rPr>
          <w:rFonts w:ascii="Mosawi" w:hAnsi="Mosawi"/>
          <w:sz w:val="27"/>
          <w:rtl/>
        </w:rPr>
        <w:t>اً، حيث لم ي</w:t>
      </w:r>
      <w:r w:rsidR="0071661B" w:rsidRPr="00282AC9">
        <w:rPr>
          <w:rFonts w:ascii="Mosawi" w:hAnsi="Mosawi" w:hint="cs"/>
          <w:sz w:val="27"/>
          <w:rtl/>
        </w:rPr>
        <w:t>َ</w:t>
      </w:r>
      <w:r w:rsidRPr="00282AC9">
        <w:rPr>
          <w:rFonts w:ascii="Mosawi" w:hAnsi="Mosawi"/>
          <w:sz w:val="27"/>
          <w:rtl/>
        </w:rPr>
        <w:t>ر</w:t>
      </w:r>
      <w:r w:rsidR="0071661B" w:rsidRPr="00282AC9">
        <w:rPr>
          <w:rFonts w:ascii="Mosawi" w:hAnsi="Mosawi" w:hint="cs"/>
          <w:sz w:val="27"/>
          <w:rtl/>
        </w:rPr>
        <w:t>ِ</w:t>
      </w:r>
      <w:r w:rsidRPr="00282AC9">
        <w:rPr>
          <w:rFonts w:ascii="Mosawi" w:hAnsi="Mosawi"/>
          <w:sz w:val="27"/>
          <w:rtl/>
        </w:rPr>
        <w:t>د</w:t>
      </w:r>
      <w:r w:rsidR="0071661B" w:rsidRPr="00282AC9">
        <w:rPr>
          <w:rFonts w:ascii="Mosawi" w:hAnsi="Mosawi" w:hint="cs"/>
          <w:sz w:val="27"/>
          <w:rtl/>
        </w:rPr>
        <w:t>ْ</w:t>
      </w:r>
      <w:r w:rsidRPr="00282AC9">
        <w:rPr>
          <w:rFonts w:ascii="Mosawi" w:hAnsi="Mosawi"/>
          <w:sz w:val="27"/>
          <w:rtl/>
        </w:rPr>
        <w:t xml:space="preserve"> في جواب سؤال شخص</w:t>
      </w:r>
      <w:r w:rsidR="0071661B" w:rsidRPr="00282AC9">
        <w:rPr>
          <w:rFonts w:ascii="Mosawi" w:hAnsi="Mosawi" w:hint="cs"/>
          <w:sz w:val="27"/>
          <w:rtl/>
        </w:rPr>
        <w:t>ٍ</w:t>
      </w:r>
      <w:r w:rsidRPr="00282AC9">
        <w:rPr>
          <w:rFonts w:ascii="Mosawi" w:hAnsi="Mosawi"/>
          <w:sz w:val="27"/>
          <w:rtl/>
        </w:rPr>
        <w:t xml:space="preserve"> معي</w:t>
      </w:r>
      <w:r w:rsidRPr="00282AC9">
        <w:rPr>
          <w:rFonts w:ascii="Mosawi" w:hAnsi="Mosawi" w:hint="cs"/>
          <w:sz w:val="27"/>
          <w:rtl/>
        </w:rPr>
        <w:t>ّ</w:t>
      </w:r>
      <w:r w:rsidR="0071661B" w:rsidRPr="00282AC9">
        <w:rPr>
          <w:rFonts w:ascii="Mosawi" w:hAnsi="Mosawi" w:hint="cs"/>
          <w:sz w:val="27"/>
          <w:rtl/>
        </w:rPr>
        <w:t>َ</w:t>
      </w:r>
      <w:r w:rsidRPr="00282AC9">
        <w:rPr>
          <w:rFonts w:ascii="Mosawi" w:hAnsi="Mosawi"/>
          <w:sz w:val="27"/>
          <w:rtl/>
        </w:rPr>
        <w:t>ن</w:t>
      </w:r>
      <w:r w:rsidR="0071661B" w:rsidRPr="00282AC9">
        <w:rPr>
          <w:rFonts w:ascii="Mosawi" w:hAnsi="Mosawi" w:hint="cs"/>
          <w:sz w:val="27"/>
          <w:rtl/>
        </w:rPr>
        <w:t>،</w:t>
      </w:r>
      <w:r w:rsidRPr="00282AC9">
        <w:rPr>
          <w:rFonts w:ascii="Mosawi" w:hAnsi="Mosawi"/>
          <w:sz w:val="27"/>
          <w:rtl/>
        </w:rPr>
        <w:t xml:space="preserve"> وفي قضي</w:t>
      </w:r>
      <w:r w:rsidR="0071661B" w:rsidRPr="00282AC9">
        <w:rPr>
          <w:rFonts w:ascii="Mosawi" w:hAnsi="Mosawi" w:hint="cs"/>
          <w:sz w:val="27"/>
          <w:rtl/>
        </w:rPr>
        <w:t>ّ</w:t>
      </w:r>
      <w:r w:rsidRPr="00282AC9">
        <w:rPr>
          <w:rFonts w:ascii="Mosawi" w:hAnsi="Mosawi"/>
          <w:sz w:val="27"/>
          <w:rtl/>
        </w:rPr>
        <w:t>ة</w:t>
      </w:r>
      <w:r w:rsidR="0071661B" w:rsidRPr="00282AC9">
        <w:rPr>
          <w:rFonts w:ascii="Mosawi" w:hAnsi="Mosawi" w:hint="cs"/>
          <w:sz w:val="27"/>
          <w:rtl/>
        </w:rPr>
        <w:t>ٍ</w:t>
      </w:r>
      <w:r w:rsidRPr="00282AC9">
        <w:rPr>
          <w:rFonts w:ascii="Mosawi" w:hAnsi="Mosawi"/>
          <w:sz w:val="27"/>
          <w:rtl/>
        </w:rPr>
        <w:t xml:space="preserve"> معي</w:t>
      </w:r>
      <w:r w:rsidR="0071661B" w:rsidRPr="00282AC9">
        <w:rPr>
          <w:rFonts w:ascii="Mosawi" w:hAnsi="Mosawi" w:hint="cs"/>
          <w:sz w:val="27"/>
          <w:rtl/>
        </w:rPr>
        <w:t>َّ</w:t>
      </w:r>
      <w:r w:rsidRPr="00282AC9">
        <w:rPr>
          <w:rFonts w:ascii="Mosawi" w:hAnsi="Mosawi"/>
          <w:sz w:val="27"/>
          <w:rtl/>
        </w:rPr>
        <w:t>نة</w:t>
      </w:r>
      <w:r w:rsidR="0071661B" w:rsidRPr="00282AC9">
        <w:rPr>
          <w:rFonts w:ascii="Mosawi" w:hAnsi="Mosawi" w:hint="cs"/>
          <w:sz w:val="27"/>
          <w:rtl/>
        </w:rPr>
        <w:t>،</w:t>
      </w:r>
      <w:r w:rsidRPr="00282AC9">
        <w:rPr>
          <w:rFonts w:ascii="Mosawi" w:hAnsi="Mosawi"/>
          <w:sz w:val="27"/>
          <w:rtl/>
        </w:rPr>
        <w:t xml:space="preserve"> فيمكن استفادة حكم</w:t>
      </w:r>
      <w:r w:rsidR="0071661B" w:rsidRPr="00282AC9">
        <w:rPr>
          <w:rFonts w:ascii="Mosawi" w:hAnsi="Mosawi" w:hint="cs"/>
          <w:sz w:val="27"/>
          <w:rtl/>
        </w:rPr>
        <w:t>ٍ</w:t>
      </w:r>
      <w:r w:rsidRPr="00282AC9">
        <w:rPr>
          <w:rFonts w:ascii="Mosawi" w:hAnsi="Mosawi"/>
          <w:sz w:val="27"/>
          <w:rtl/>
        </w:rPr>
        <w:t xml:space="preserve"> عام</w:t>
      </w:r>
      <w:r w:rsidR="0071661B" w:rsidRPr="00282AC9">
        <w:rPr>
          <w:rFonts w:ascii="Mosawi" w:hAnsi="Mosawi" w:hint="cs"/>
          <w:sz w:val="27"/>
          <w:rtl/>
        </w:rPr>
        <w:t>ّ</w:t>
      </w:r>
      <w:r w:rsidRPr="00282AC9">
        <w:rPr>
          <w:rFonts w:ascii="Mosawi" w:hAnsi="Mosawi"/>
          <w:sz w:val="27"/>
          <w:rtl/>
        </w:rPr>
        <w:t xml:space="preserve"> منها</w:t>
      </w:r>
      <w:r w:rsidR="0071661B" w:rsidRPr="00282AC9">
        <w:rPr>
          <w:rFonts w:ascii="Mosawi" w:hAnsi="Mosawi" w:hint="cs"/>
          <w:sz w:val="27"/>
          <w:rtl/>
        </w:rPr>
        <w:t>.</w:t>
      </w:r>
      <w:r w:rsidRPr="00282AC9">
        <w:rPr>
          <w:rFonts w:ascii="Mosawi" w:hAnsi="Mosawi"/>
          <w:sz w:val="27"/>
          <w:rtl/>
        </w:rPr>
        <w:t xml:space="preserve"> ولكن</w:t>
      </w:r>
      <w:r w:rsidRPr="00282AC9">
        <w:rPr>
          <w:rFonts w:ascii="Mosawi" w:hAnsi="Mosawi" w:hint="cs"/>
          <w:sz w:val="27"/>
          <w:rtl/>
        </w:rPr>
        <w:t>ّها</w:t>
      </w:r>
      <w:r w:rsidRPr="00282AC9">
        <w:rPr>
          <w:rFonts w:ascii="Mosawi" w:hAnsi="Mosawi"/>
          <w:sz w:val="27"/>
          <w:rtl/>
        </w:rPr>
        <w:t xml:space="preserve"> أيضاً</w:t>
      </w:r>
      <w:r w:rsidR="0071661B" w:rsidRPr="00282AC9">
        <w:rPr>
          <w:rFonts w:ascii="Mosawi" w:hAnsi="Mosawi" w:hint="cs"/>
          <w:sz w:val="27"/>
          <w:rtl/>
        </w:rPr>
        <w:t>،</w:t>
      </w:r>
      <w:r w:rsidRPr="00282AC9">
        <w:rPr>
          <w:rFonts w:ascii="Mosawi" w:hAnsi="Mosawi"/>
          <w:sz w:val="27"/>
          <w:rtl/>
        </w:rPr>
        <w:t xml:space="preserve"> كسابقتها</w:t>
      </w:r>
      <w:r w:rsidR="0071661B" w:rsidRPr="00282AC9">
        <w:rPr>
          <w:rFonts w:ascii="Mosawi" w:hAnsi="Mosawi" w:hint="cs"/>
          <w:sz w:val="27"/>
          <w:rtl/>
        </w:rPr>
        <w:t>،</w:t>
      </w:r>
      <w:r w:rsidRPr="00282AC9">
        <w:rPr>
          <w:rFonts w:ascii="Mosawi" w:hAnsi="Mosawi"/>
          <w:sz w:val="27"/>
          <w:rtl/>
        </w:rPr>
        <w:t xml:space="preserve"> ورد</w:t>
      </w:r>
      <w:r w:rsidR="0071661B" w:rsidRPr="00282AC9">
        <w:rPr>
          <w:rFonts w:ascii="Mosawi" w:hAnsi="Mosawi" w:hint="cs"/>
          <w:sz w:val="27"/>
          <w:rtl/>
        </w:rPr>
        <w:t>َ</w:t>
      </w:r>
      <w:r w:rsidRPr="00282AC9">
        <w:rPr>
          <w:rFonts w:ascii="Mosawi" w:hAnsi="Mosawi"/>
          <w:sz w:val="27"/>
          <w:rtl/>
        </w:rPr>
        <w:t>ت</w:t>
      </w:r>
      <w:r w:rsidR="0071661B" w:rsidRPr="00282AC9">
        <w:rPr>
          <w:rFonts w:ascii="Mosawi" w:hAnsi="Mosawi" w:hint="cs"/>
          <w:sz w:val="27"/>
          <w:rtl/>
        </w:rPr>
        <w:t>ْ</w:t>
      </w:r>
      <w:r w:rsidRPr="00282AC9">
        <w:rPr>
          <w:rFonts w:ascii="Mosawi" w:hAnsi="Mosawi"/>
          <w:sz w:val="27"/>
          <w:rtl/>
        </w:rPr>
        <w:t xml:space="preserve"> في سياق تحديد النسل</w:t>
      </w:r>
      <w:r w:rsidR="0071661B" w:rsidRPr="00282AC9">
        <w:rPr>
          <w:rFonts w:ascii="Mosawi" w:hAnsi="Mosawi" w:hint="cs"/>
          <w:sz w:val="27"/>
          <w:rtl/>
        </w:rPr>
        <w:t>،</w:t>
      </w:r>
      <w:r w:rsidRPr="00282AC9">
        <w:rPr>
          <w:rFonts w:ascii="Mosawi" w:hAnsi="Mosawi"/>
          <w:sz w:val="27"/>
          <w:rtl/>
        </w:rPr>
        <w:t xml:space="preserve"> وكثرة المسلمين في العالم</w:t>
      </w:r>
      <w:r w:rsidR="0071661B" w:rsidRPr="00282AC9">
        <w:rPr>
          <w:rFonts w:ascii="Mosawi" w:hAnsi="Mosawi" w:hint="cs"/>
          <w:sz w:val="27"/>
          <w:rtl/>
        </w:rPr>
        <w:t>،</w:t>
      </w:r>
      <w:r w:rsidRPr="00282AC9">
        <w:rPr>
          <w:rFonts w:ascii="Mosawi" w:hAnsi="Mosawi"/>
          <w:sz w:val="27"/>
          <w:rtl/>
        </w:rPr>
        <w:t xml:space="preserve"> وسيأتي الكلام عنه. </w:t>
      </w:r>
    </w:p>
    <w:p w:rsidR="001153F1" w:rsidRPr="00282AC9" w:rsidRDefault="001153F1" w:rsidP="003E218F">
      <w:pPr>
        <w:pStyle w:val="afc"/>
        <w:rPr>
          <w:rFonts w:ascii="Mosawi" w:hAnsi="Mosawi" w:cs="AL-Mohanad"/>
          <w:sz w:val="27"/>
          <w:szCs w:val="27"/>
          <w:rtl/>
        </w:rPr>
      </w:pPr>
      <w:r w:rsidRPr="00282AC9">
        <w:rPr>
          <w:rFonts w:ascii="Mosawi" w:hAnsi="Mosawi" w:cs="AL-Mohanad"/>
          <w:sz w:val="27"/>
          <w:szCs w:val="27"/>
          <w:rtl/>
        </w:rPr>
        <w:t>والظاهر من السياق أن زيادة صفة جم</w:t>
      </w:r>
      <w:r w:rsidR="0071661B" w:rsidRPr="00282AC9">
        <w:rPr>
          <w:rFonts w:ascii="Mosawi" w:hAnsi="Mosawi" w:cs="AL-Mohanad"/>
          <w:sz w:val="27"/>
          <w:szCs w:val="27"/>
          <w:rtl/>
        </w:rPr>
        <w:t>ي</w:t>
      </w:r>
      <w:r w:rsidRPr="00282AC9">
        <w:rPr>
          <w:rFonts w:ascii="Mosawi" w:hAnsi="Mosawi" w:cs="AL-Mohanad"/>
          <w:sz w:val="27"/>
          <w:szCs w:val="27"/>
          <w:rtl/>
        </w:rPr>
        <w:t>لة ليست لتقييد الحكم بها</w:t>
      </w:r>
      <w:r w:rsidR="0071661B" w:rsidRPr="00282AC9">
        <w:rPr>
          <w:rFonts w:ascii="Mosawi" w:hAnsi="Mosawi" w:cs="AL-Mohanad" w:hint="cs"/>
          <w:sz w:val="27"/>
          <w:szCs w:val="27"/>
          <w:rtl/>
        </w:rPr>
        <w:t>،</w:t>
      </w:r>
      <w:r w:rsidRPr="00282AC9">
        <w:rPr>
          <w:rFonts w:ascii="Mosawi" w:hAnsi="Mosawi" w:cs="AL-Mohanad"/>
          <w:sz w:val="27"/>
          <w:szCs w:val="27"/>
          <w:rtl/>
        </w:rPr>
        <w:t xml:space="preserve"> بأن يكون المنهي</w:t>
      </w:r>
      <w:r w:rsidR="0071661B" w:rsidRPr="00282AC9">
        <w:rPr>
          <w:rFonts w:ascii="Mosawi" w:hAnsi="Mosawi" w:cs="AL-Mohanad" w:hint="cs"/>
          <w:sz w:val="27"/>
          <w:szCs w:val="27"/>
          <w:rtl/>
        </w:rPr>
        <w:t>ّ</w:t>
      </w:r>
      <w:r w:rsidRPr="00282AC9">
        <w:rPr>
          <w:rFonts w:ascii="Mosawi" w:hAnsi="Mosawi" w:cs="AL-Mohanad"/>
          <w:sz w:val="27"/>
          <w:szCs w:val="27"/>
          <w:rtl/>
        </w:rPr>
        <w:t xml:space="preserve"> عنه الزواج من المرأة الجم</w:t>
      </w:r>
      <w:r w:rsidR="0071661B" w:rsidRPr="00282AC9">
        <w:rPr>
          <w:rFonts w:ascii="Mosawi" w:hAnsi="Mosawi" w:cs="AL-Mohanad"/>
          <w:sz w:val="27"/>
          <w:szCs w:val="27"/>
          <w:rtl/>
        </w:rPr>
        <w:t>ي</w:t>
      </w:r>
      <w:r w:rsidRPr="00282AC9">
        <w:rPr>
          <w:rFonts w:ascii="Mosawi" w:hAnsi="Mosawi" w:cs="AL-Mohanad"/>
          <w:sz w:val="27"/>
          <w:szCs w:val="27"/>
          <w:rtl/>
        </w:rPr>
        <w:t>لة العقيمة، بل المقصود منه المبالغة في النهي من الزواج من العقيمة</w:t>
      </w:r>
      <w:r w:rsidR="0071661B" w:rsidRPr="00282AC9">
        <w:rPr>
          <w:rFonts w:ascii="Mosawi" w:hAnsi="Mosawi" w:cs="AL-Mohanad" w:hint="cs"/>
          <w:sz w:val="27"/>
          <w:szCs w:val="27"/>
          <w:rtl/>
        </w:rPr>
        <w:t>،</w:t>
      </w:r>
      <w:r w:rsidRPr="00282AC9">
        <w:rPr>
          <w:rFonts w:ascii="Mosawi" w:hAnsi="Mosawi" w:cs="AL-Mohanad"/>
          <w:sz w:val="27"/>
          <w:szCs w:val="27"/>
          <w:rtl/>
        </w:rPr>
        <w:t xml:space="preserve"> وإن</w:t>
      </w:r>
      <w:r w:rsidR="0071661B" w:rsidRPr="00282AC9">
        <w:rPr>
          <w:rFonts w:ascii="Mosawi" w:hAnsi="Mosawi" w:cs="AL-Mohanad" w:hint="cs"/>
          <w:sz w:val="27"/>
          <w:szCs w:val="27"/>
          <w:rtl/>
        </w:rPr>
        <w:t>ْ</w:t>
      </w:r>
      <w:r w:rsidRPr="00282AC9">
        <w:rPr>
          <w:rFonts w:ascii="Mosawi" w:hAnsi="Mosawi" w:cs="AL-Mohanad"/>
          <w:sz w:val="27"/>
          <w:szCs w:val="27"/>
          <w:rtl/>
        </w:rPr>
        <w:t xml:space="preserve"> كانت حسناء جميلة. </w:t>
      </w:r>
    </w:p>
    <w:p w:rsidR="00F943B4" w:rsidRPr="00282AC9" w:rsidRDefault="00F943B4" w:rsidP="00F943B4">
      <w:pPr>
        <w:spacing w:line="420" w:lineRule="exact"/>
        <w:rPr>
          <w:sz w:val="27"/>
          <w:rtl/>
        </w:rPr>
      </w:pPr>
    </w:p>
    <w:p w:rsidR="0071661B" w:rsidRPr="00282AC9" w:rsidRDefault="00A15DDE" w:rsidP="00A15DDE">
      <w:pPr>
        <w:pStyle w:val="31"/>
        <w:rPr>
          <w:color w:val="auto"/>
          <w:rtl/>
        </w:rPr>
      </w:pPr>
      <w:r w:rsidRPr="00282AC9">
        <w:rPr>
          <w:rFonts w:hint="cs"/>
          <w:color w:val="auto"/>
          <w:rtl/>
        </w:rPr>
        <w:t xml:space="preserve">3ـ </w:t>
      </w:r>
      <w:r w:rsidRPr="00282AC9">
        <w:rPr>
          <w:color w:val="auto"/>
          <w:rtl/>
        </w:rPr>
        <w:t>«تزو</w:t>
      </w:r>
      <w:r w:rsidRPr="00282AC9">
        <w:rPr>
          <w:rFonts w:hint="cs"/>
          <w:color w:val="auto"/>
          <w:rtl/>
        </w:rPr>
        <w:t>َّ</w:t>
      </w:r>
      <w:r w:rsidRPr="00282AC9">
        <w:rPr>
          <w:color w:val="auto"/>
          <w:rtl/>
        </w:rPr>
        <w:t>ج</w:t>
      </w:r>
      <w:r w:rsidRPr="00282AC9">
        <w:rPr>
          <w:rFonts w:hint="cs"/>
          <w:color w:val="auto"/>
          <w:rtl/>
        </w:rPr>
        <w:t>ْ</w:t>
      </w:r>
      <w:r w:rsidRPr="00282AC9">
        <w:rPr>
          <w:color w:val="auto"/>
          <w:rtl/>
        </w:rPr>
        <w:t>ها</w:t>
      </w:r>
      <w:r w:rsidRPr="00282AC9">
        <w:rPr>
          <w:rFonts w:hint="cs"/>
          <w:color w:val="auto"/>
          <w:rtl/>
        </w:rPr>
        <w:t>...</w:t>
      </w:r>
      <w:r w:rsidRPr="00282AC9">
        <w:rPr>
          <w:color w:val="auto"/>
          <w:rtl/>
        </w:rPr>
        <w:t>ولودا</w:t>
      </w:r>
      <w:r w:rsidRPr="00282AC9">
        <w:rPr>
          <w:rFonts w:hint="cs"/>
          <w:color w:val="auto"/>
          <w:rtl/>
        </w:rPr>
        <w:t>ً،</w:t>
      </w:r>
      <w:r w:rsidRPr="00282AC9">
        <w:rPr>
          <w:color w:val="auto"/>
          <w:rtl/>
        </w:rPr>
        <w:t xml:space="preserve"> ولا تزو</w:t>
      </w:r>
      <w:r w:rsidRPr="00282AC9">
        <w:rPr>
          <w:rFonts w:hint="cs"/>
          <w:color w:val="auto"/>
          <w:rtl/>
        </w:rPr>
        <w:t>َّ</w:t>
      </w:r>
      <w:r w:rsidRPr="00282AC9">
        <w:rPr>
          <w:color w:val="auto"/>
          <w:rtl/>
        </w:rPr>
        <w:t>ج</w:t>
      </w:r>
      <w:r w:rsidRPr="00282AC9">
        <w:rPr>
          <w:rFonts w:hint="cs"/>
          <w:color w:val="auto"/>
          <w:rtl/>
        </w:rPr>
        <w:t>ْ</w:t>
      </w:r>
      <w:r w:rsidRPr="00282AC9">
        <w:rPr>
          <w:color w:val="auto"/>
          <w:rtl/>
        </w:rPr>
        <w:t>ها</w:t>
      </w:r>
      <w:r w:rsidRPr="00282AC9">
        <w:rPr>
          <w:rFonts w:hint="cs"/>
          <w:color w:val="auto"/>
          <w:rtl/>
        </w:rPr>
        <w:t>...</w:t>
      </w:r>
      <w:r w:rsidRPr="00282AC9">
        <w:rPr>
          <w:color w:val="auto"/>
          <w:rtl/>
        </w:rPr>
        <w:t>عاقرا</w:t>
      </w:r>
      <w:r w:rsidRPr="00282AC9">
        <w:rPr>
          <w:rFonts w:hint="cs"/>
          <w:color w:val="auto"/>
          <w:rtl/>
        </w:rPr>
        <w:t>ً</w:t>
      </w:r>
      <w:r w:rsidRPr="00282AC9">
        <w:rPr>
          <w:color w:val="auto"/>
          <w:rtl/>
        </w:rPr>
        <w:t>»</w:t>
      </w:r>
    </w:p>
    <w:p w:rsidR="001153F1" w:rsidRPr="00282AC9" w:rsidRDefault="0071661B" w:rsidP="003E218F">
      <w:pPr>
        <w:rPr>
          <w:sz w:val="27"/>
          <w:rtl/>
          <w:lang w:bidi="fa-IR"/>
        </w:rPr>
      </w:pPr>
      <w:r w:rsidRPr="00282AC9">
        <w:rPr>
          <w:rFonts w:hint="cs"/>
          <w:sz w:val="27"/>
          <w:rtl/>
          <w:lang w:bidi="fa-IR"/>
        </w:rPr>
        <w:t xml:space="preserve">وهي </w:t>
      </w:r>
      <w:r w:rsidR="001153F1" w:rsidRPr="00282AC9">
        <w:rPr>
          <w:sz w:val="27"/>
          <w:rtl/>
          <w:lang w:bidi="fa-IR"/>
        </w:rPr>
        <w:t>خبر سليمان بن جعفر الجعفري</w:t>
      </w:r>
      <w:r w:rsidRPr="00282AC9">
        <w:rPr>
          <w:rFonts w:hint="cs"/>
          <w:sz w:val="27"/>
          <w:rtl/>
          <w:lang w:bidi="fa-IR"/>
        </w:rPr>
        <w:t>ّ،</w:t>
      </w:r>
      <w:r w:rsidR="001153F1" w:rsidRPr="00282AC9">
        <w:rPr>
          <w:sz w:val="27"/>
          <w:rtl/>
          <w:lang w:bidi="fa-IR"/>
        </w:rPr>
        <w:t xml:space="preserve"> عن أبي الحسن الرضا</w:t>
      </w:r>
      <w:r w:rsidR="009A2A04" w:rsidRPr="00282AC9">
        <w:rPr>
          <w:rFonts w:cs="Mosawi"/>
          <w:sz w:val="22"/>
          <w:szCs w:val="22"/>
          <w:rtl/>
          <w:lang w:bidi="fa-IR"/>
        </w:rPr>
        <w:t>×</w:t>
      </w:r>
      <w:r w:rsidR="001153F1" w:rsidRPr="00282AC9">
        <w:rPr>
          <w:sz w:val="27"/>
          <w:rtl/>
          <w:lang w:bidi="fa-IR"/>
        </w:rPr>
        <w:t xml:space="preserve"> قال: </w:t>
      </w:r>
      <w:r w:rsidR="00A15DDE" w:rsidRPr="00282AC9">
        <w:rPr>
          <w:sz w:val="24"/>
          <w:szCs w:val="24"/>
          <w:rtl/>
          <w:lang w:bidi="fa-IR"/>
        </w:rPr>
        <w:t>«</w:t>
      </w:r>
      <w:r w:rsidR="001153F1" w:rsidRPr="00282AC9">
        <w:rPr>
          <w:sz w:val="27"/>
          <w:rtl/>
          <w:lang w:bidi="fa-IR"/>
        </w:rPr>
        <w:t>قال رسول الله</w:t>
      </w:r>
      <w:r w:rsidR="009A2A04" w:rsidRPr="00282AC9">
        <w:rPr>
          <w:rFonts w:cs="Mosawi" w:hint="cs"/>
          <w:sz w:val="22"/>
          <w:szCs w:val="22"/>
          <w:rtl/>
          <w:lang w:bidi="fa-IR"/>
        </w:rPr>
        <w:t>|</w:t>
      </w:r>
      <w:r w:rsidR="001153F1" w:rsidRPr="00282AC9">
        <w:rPr>
          <w:rFonts w:hint="cs"/>
          <w:sz w:val="27"/>
          <w:rtl/>
          <w:lang w:bidi="fa-IR"/>
        </w:rPr>
        <w:t xml:space="preserve"> </w:t>
      </w:r>
      <w:r w:rsidR="001153F1" w:rsidRPr="00282AC9">
        <w:rPr>
          <w:sz w:val="27"/>
          <w:rtl/>
          <w:lang w:bidi="fa-IR"/>
        </w:rPr>
        <w:t>لرجل</w:t>
      </w:r>
      <w:r w:rsidR="001153F1" w:rsidRPr="00282AC9">
        <w:rPr>
          <w:rFonts w:hint="cs"/>
          <w:sz w:val="27"/>
          <w:rtl/>
          <w:lang w:bidi="fa-IR"/>
        </w:rPr>
        <w:t>ٍ:</w:t>
      </w:r>
      <w:r w:rsidR="001153F1" w:rsidRPr="00282AC9">
        <w:rPr>
          <w:sz w:val="27"/>
          <w:rtl/>
          <w:lang w:bidi="fa-IR"/>
        </w:rPr>
        <w:t xml:space="preserve"> تزو</w:t>
      </w:r>
      <w:r w:rsidR="001153F1" w:rsidRPr="00282AC9">
        <w:rPr>
          <w:rFonts w:hint="cs"/>
          <w:sz w:val="27"/>
          <w:rtl/>
          <w:lang w:bidi="fa-IR"/>
        </w:rPr>
        <w:t>ّ</w:t>
      </w:r>
      <w:r w:rsidRPr="00282AC9">
        <w:rPr>
          <w:rFonts w:hint="cs"/>
          <w:sz w:val="27"/>
          <w:rtl/>
          <w:lang w:bidi="fa-IR"/>
        </w:rPr>
        <w:t>َ</w:t>
      </w:r>
      <w:r w:rsidR="001153F1" w:rsidRPr="00282AC9">
        <w:rPr>
          <w:sz w:val="27"/>
          <w:rtl/>
          <w:lang w:bidi="fa-IR"/>
        </w:rPr>
        <w:t>ج</w:t>
      </w:r>
      <w:r w:rsidRPr="00282AC9">
        <w:rPr>
          <w:rFonts w:hint="cs"/>
          <w:sz w:val="27"/>
          <w:rtl/>
          <w:lang w:bidi="fa-IR"/>
        </w:rPr>
        <w:t>ْ</w:t>
      </w:r>
      <w:r w:rsidR="001153F1" w:rsidRPr="00282AC9">
        <w:rPr>
          <w:sz w:val="27"/>
          <w:rtl/>
          <w:lang w:bidi="fa-IR"/>
        </w:rPr>
        <w:t>ها سوءاء ولودا</w:t>
      </w:r>
      <w:r w:rsidR="001153F1" w:rsidRPr="00282AC9">
        <w:rPr>
          <w:rFonts w:hint="cs"/>
          <w:sz w:val="27"/>
          <w:rtl/>
          <w:lang w:bidi="fa-IR"/>
        </w:rPr>
        <w:t>ً</w:t>
      </w:r>
      <w:r w:rsidRPr="00282AC9">
        <w:rPr>
          <w:rFonts w:hint="cs"/>
          <w:sz w:val="27"/>
          <w:rtl/>
          <w:lang w:bidi="fa-IR"/>
        </w:rPr>
        <w:t>،</w:t>
      </w:r>
      <w:r w:rsidR="001153F1" w:rsidRPr="00282AC9">
        <w:rPr>
          <w:sz w:val="27"/>
          <w:rtl/>
          <w:lang w:bidi="fa-IR"/>
        </w:rPr>
        <w:t xml:space="preserve"> ولا تزو</w:t>
      </w:r>
      <w:r w:rsidR="001153F1" w:rsidRPr="00282AC9">
        <w:rPr>
          <w:rFonts w:hint="cs"/>
          <w:sz w:val="27"/>
          <w:rtl/>
          <w:lang w:bidi="fa-IR"/>
        </w:rPr>
        <w:t>ّ</w:t>
      </w:r>
      <w:r w:rsidRPr="00282AC9">
        <w:rPr>
          <w:rFonts w:hint="cs"/>
          <w:sz w:val="27"/>
          <w:rtl/>
          <w:lang w:bidi="fa-IR"/>
        </w:rPr>
        <w:t>َ</w:t>
      </w:r>
      <w:r w:rsidR="001153F1" w:rsidRPr="00282AC9">
        <w:rPr>
          <w:sz w:val="27"/>
          <w:rtl/>
          <w:lang w:bidi="fa-IR"/>
        </w:rPr>
        <w:t>ج</w:t>
      </w:r>
      <w:r w:rsidRPr="00282AC9">
        <w:rPr>
          <w:rFonts w:hint="cs"/>
          <w:sz w:val="27"/>
          <w:rtl/>
          <w:lang w:bidi="fa-IR"/>
        </w:rPr>
        <w:t>ْ</w:t>
      </w:r>
      <w:r w:rsidR="001153F1" w:rsidRPr="00282AC9">
        <w:rPr>
          <w:sz w:val="27"/>
          <w:rtl/>
          <w:lang w:bidi="fa-IR"/>
        </w:rPr>
        <w:t>ها حسناء عاقرا</w:t>
      </w:r>
      <w:r w:rsidR="001153F1" w:rsidRPr="00282AC9">
        <w:rPr>
          <w:rFonts w:hint="cs"/>
          <w:sz w:val="27"/>
          <w:rtl/>
          <w:lang w:bidi="fa-IR"/>
        </w:rPr>
        <w:t>ً</w:t>
      </w:r>
      <w:r w:rsidRPr="00282AC9">
        <w:rPr>
          <w:rFonts w:hint="cs"/>
          <w:sz w:val="27"/>
          <w:rtl/>
          <w:lang w:bidi="fa-IR"/>
        </w:rPr>
        <w:t>؛</w:t>
      </w:r>
      <w:r w:rsidR="001153F1" w:rsidRPr="00282AC9">
        <w:rPr>
          <w:sz w:val="27"/>
          <w:rtl/>
          <w:lang w:bidi="fa-IR"/>
        </w:rPr>
        <w:t xml:space="preserve"> فإن</w:t>
      </w:r>
      <w:r w:rsidR="001153F1" w:rsidRPr="00282AC9">
        <w:rPr>
          <w:rFonts w:hint="cs"/>
          <w:sz w:val="27"/>
          <w:rtl/>
          <w:lang w:bidi="fa-IR"/>
        </w:rPr>
        <w:t>ّ</w:t>
      </w:r>
      <w:r w:rsidR="001153F1" w:rsidRPr="00282AC9">
        <w:rPr>
          <w:sz w:val="27"/>
          <w:rtl/>
          <w:lang w:bidi="fa-IR"/>
        </w:rPr>
        <w:t>ي مباه</w:t>
      </w:r>
      <w:r w:rsidRPr="00282AC9">
        <w:rPr>
          <w:rFonts w:hint="cs"/>
          <w:sz w:val="27"/>
          <w:rtl/>
          <w:lang w:bidi="fa-IR"/>
        </w:rPr>
        <w:t>ٍ</w:t>
      </w:r>
      <w:r w:rsidR="001153F1" w:rsidRPr="00282AC9">
        <w:rPr>
          <w:sz w:val="27"/>
          <w:rtl/>
          <w:lang w:bidi="fa-IR"/>
        </w:rPr>
        <w:t xml:space="preserve"> بكم الأمم يوم القيامة</w:t>
      </w:r>
      <w:r w:rsidRPr="00282AC9">
        <w:rPr>
          <w:rFonts w:hint="cs"/>
          <w:sz w:val="27"/>
          <w:rtl/>
          <w:lang w:bidi="fa-IR"/>
        </w:rPr>
        <w:t>،</w:t>
      </w:r>
      <w:r w:rsidRPr="00282AC9">
        <w:rPr>
          <w:sz w:val="27"/>
          <w:rtl/>
          <w:lang w:bidi="fa-IR"/>
        </w:rPr>
        <w:t xml:space="preserve"> أ</w:t>
      </w:r>
      <w:r w:rsidRPr="00282AC9">
        <w:rPr>
          <w:rFonts w:hint="cs"/>
          <w:sz w:val="27"/>
          <w:rtl/>
          <w:lang w:bidi="fa-IR"/>
        </w:rPr>
        <w:t>َ</w:t>
      </w:r>
      <w:r w:rsidRPr="00282AC9">
        <w:rPr>
          <w:sz w:val="27"/>
          <w:rtl/>
          <w:lang w:bidi="fa-IR"/>
        </w:rPr>
        <w:t>و</w:t>
      </w:r>
      <w:r w:rsidRPr="00282AC9">
        <w:rPr>
          <w:rFonts w:hint="cs"/>
          <w:sz w:val="27"/>
          <w:rtl/>
          <w:lang w:bidi="fa-IR"/>
        </w:rPr>
        <w:t>َ</w:t>
      </w:r>
      <w:r w:rsidR="001153F1" w:rsidRPr="00282AC9">
        <w:rPr>
          <w:sz w:val="27"/>
          <w:rtl/>
          <w:lang w:bidi="fa-IR"/>
        </w:rPr>
        <w:t>ما علم</w:t>
      </w:r>
      <w:r w:rsidRPr="00282AC9">
        <w:rPr>
          <w:rFonts w:hint="cs"/>
          <w:sz w:val="27"/>
          <w:rtl/>
          <w:lang w:bidi="fa-IR"/>
        </w:rPr>
        <w:t>ْ</w:t>
      </w:r>
      <w:r w:rsidR="001153F1" w:rsidRPr="00282AC9">
        <w:rPr>
          <w:sz w:val="27"/>
          <w:rtl/>
          <w:lang w:bidi="fa-IR"/>
        </w:rPr>
        <w:t>ت</w:t>
      </w:r>
      <w:r w:rsidRPr="00282AC9">
        <w:rPr>
          <w:rFonts w:hint="cs"/>
          <w:sz w:val="27"/>
          <w:rtl/>
          <w:lang w:bidi="fa-IR"/>
        </w:rPr>
        <w:t>َ</w:t>
      </w:r>
      <w:r w:rsidR="001153F1" w:rsidRPr="00282AC9">
        <w:rPr>
          <w:sz w:val="27"/>
          <w:rtl/>
          <w:lang w:bidi="fa-IR"/>
        </w:rPr>
        <w:t xml:space="preserve"> أن</w:t>
      </w:r>
      <w:r w:rsidR="001153F1" w:rsidRPr="00282AC9">
        <w:rPr>
          <w:rFonts w:hint="cs"/>
          <w:sz w:val="27"/>
          <w:rtl/>
          <w:lang w:bidi="fa-IR"/>
        </w:rPr>
        <w:t>ّ</w:t>
      </w:r>
      <w:r w:rsidR="001153F1" w:rsidRPr="00282AC9">
        <w:rPr>
          <w:sz w:val="27"/>
          <w:rtl/>
          <w:lang w:bidi="fa-IR"/>
        </w:rPr>
        <w:t xml:space="preserve"> الولدان تحت العرش يستغفرون لآبائهم</w:t>
      </w:r>
      <w:r w:rsidRPr="00282AC9">
        <w:rPr>
          <w:rFonts w:hint="cs"/>
          <w:sz w:val="27"/>
          <w:rtl/>
          <w:lang w:bidi="fa-IR"/>
        </w:rPr>
        <w:t>،</w:t>
      </w:r>
      <w:r w:rsidR="001153F1" w:rsidRPr="00282AC9">
        <w:rPr>
          <w:sz w:val="27"/>
          <w:rtl/>
          <w:lang w:bidi="fa-IR"/>
        </w:rPr>
        <w:t xml:space="preserve"> يحضنهم إبراهيم</w:t>
      </w:r>
      <w:r w:rsidRPr="00282AC9">
        <w:rPr>
          <w:rFonts w:hint="cs"/>
          <w:sz w:val="27"/>
          <w:rtl/>
          <w:lang w:bidi="fa-IR"/>
        </w:rPr>
        <w:t>،</w:t>
      </w:r>
      <w:r w:rsidR="001153F1" w:rsidRPr="00282AC9">
        <w:rPr>
          <w:sz w:val="27"/>
          <w:rtl/>
          <w:lang w:bidi="fa-IR"/>
        </w:rPr>
        <w:t xml:space="preserve"> وترب</w:t>
      </w:r>
      <w:r w:rsidR="001153F1" w:rsidRPr="00282AC9">
        <w:rPr>
          <w:rFonts w:hint="cs"/>
          <w:sz w:val="27"/>
          <w:rtl/>
          <w:lang w:bidi="fa-IR"/>
        </w:rPr>
        <w:t>ّ</w:t>
      </w:r>
      <w:r w:rsidRPr="00282AC9">
        <w:rPr>
          <w:rFonts w:hint="cs"/>
          <w:sz w:val="27"/>
          <w:rtl/>
          <w:lang w:bidi="fa-IR"/>
        </w:rPr>
        <w:t>ِ</w:t>
      </w:r>
      <w:r w:rsidR="001153F1" w:rsidRPr="00282AC9">
        <w:rPr>
          <w:sz w:val="27"/>
          <w:rtl/>
          <w:lang w:bidi="fa-IR"/>
        </w:rPr>
        <w:t>يهم سارة</w:t>
      </w:r>
      <w:r w:rsidRPr="00282AC9">
        <w:rPr>
          <w:rFonts w:hint="cs"/>
          <w:sz w:val="27"/>
          <w:rtl/>
          <w:lang w:bidi="fa-IR"/>
        </w:rPr>
        <w:t>،</w:t>
      </w:r>
      <w:r w:rsidR="001153F1" w:rsidRPr="00282AC9">
        <w:rPr>
          <w:sz w:val="27"/>
          <w:rtl/>
          <w:lang w:bidi="fa-IR"/>
        </w:rPr>
        <w:t xml:space="preserve"> في جبل</w:t>
      </w:r>
      <w:r w:rsidRPr="00282AC9">
        <w:rPr>
          <w:rFonts w:hint="cs"/>
          <w:sz w:val="27"/>
          <w:rtl/>
          <w:lang w:bidi="fa-IR"/>
        </w:rPr>
        <w:t>ٍ</w:t>
      </w:r>
      <w:r w:rsidR="001153F1" w:rsidRPr="00282AC9">
        <w:rPr>
          <w:sz w:val="27"/>
          <w:rtl/>
          <w:lang w:bidi="fa-IR"/>
        </w:rPr>
        <w:t xml:space="preserve"> من مسك</w:t>
      </w:r>
      <w:r w:rsidRPr="00282AC9">
        <w:rPr>
          <w:rFonts w:hint="cs"/>
          <w:sz w:val="27"/>
          <w:rtl/>
          <w:lang w:bidi="fa-IR"/>
        </w:rPr>
        <w:t>ٍ</w:t>
      </w:r>
      <w:r w:rsidR="001153F1" w:rsidRPr="00282AC9">
        <w:rPr>
          <w:sz w:val="27"/>
          <w:rtl/>
          <w:lang w:bidi="fa-IR"/>
        </w:rPr>
        <w:t xml:space="preserve"> وعنبر وزعفران</w:t>
      </w:r>
      <w:r w:rsidR="001153F1" w:rsidRPr="00282AC9">
        <w:rPr>
          <w:sz w:val="24"/>
          <w:szCs w:val="24"/>
          <w:rtl/>
          <w:lang w:bidi="fa-IR"/>
        </w:rPr>
        <w:t>»</w:t>
      </w:r>
      <w:r w:rsidR="001153F1" w:rsidRPr="00282AC9">
        <w:rPr>
          <w:sz w:val="27"/>
          <w:vertAlign w:val="superscript"/>
          <w:rtl/>
          <w:lang w:bidi="fa-IR"/>
        </w:rPr>
        <w:t>(</w:t>
      </w:r>
      <w:r w:rsidR="001153F1" w:rsidRPr="00282AC9">
        <w:rPr>
          <w:rStyle w:val="af9"/>
          <w:sz w:val="27"/>
          <w:rtl/>
          <w:lang w:bidi="fa-IR"/>
        </w:rPr>
        <w:endnoteReference w:id="647"/>
      </w:r>
      <w:r w:rsidR="001153F1" w:rsidRPr="00282AC9">
        <w:rPr>
          <w:sz w:val="27"/>
          <w:vertAlign w:val="superscript"/>
          <w:rtl/>
          <w:lang w:bidi="fa-IR"/>
        </w:rPr>
        <w:t>)</w:t>
      </w:r>
      <w:r w:rsidRPr="00282AC9">
        <w:rPr>
          <w:sz w:val="27"/>
          <w:rtl/>
          <w:lang w:bidi="fa-IR"/>
        </w:rPr>
        <w:t>.</w:t>
      </w:r>
    </w:p>
    <w:p w:rsidR="00144C71" w:rsidRPr="00282AC9" w:rsidRDefault="001153F1" w:rsidP="003E218F">
      <w:pPr>
        <w:rPr>
          <w:rtl/>
        </w:rPr>
      </w:pPr>
      <w:r w:rsidRPr="00282AC9">
        <w:rPr>
          <w:rFonts w:hint="cs"/>
          <w:b/>
          <w:bCs/>
          <w:rtl/>
        </w:rPr>
        <w:t xml:space="preserve">أـ </w:t>
      </w:r>
      <w:r w:rsidRPr="00282AC9">
        <w:rPr>
          <w:b/>
          <w:bCs/>
          <w:rtl/>
        </w:rPr>
        <w:t>الدراسة السندي</w:t>
      </w:r>
      <w:r w:rsidR="0071661B" w:rsidRPr="00282AC9">
        <w:rPr>
          <w:rFonts w:hint="cs"/>
          <w:b/>
          <w:bCs/>
          <w:rtl/>
        </w:rPr>
        <w:t>ّ</w:t>
      </w:r>
      <w:r w:rsidRPr="00282AC9">
        <w:rPr>
          <w:b/>
          <w:bCs/>
          <w:rtl/>
        </w:rPr>
        <w:t>ة</w:t>
      </w:r>
      <w:r w:rsidR="00A15DDE" w:rsidRPr="00282AC9">
        <w:rPr>
          <w:rFonts w:hint="cs"/>
          <w:rtl/>
        </w:rPr>
        <w:t xml:space="preserve">: </w:t>
      </w:r>
      <w:r w:rsidRPr="00282AC9">
        <w:rPr>
          <w:sz w:val="27"/>
          <w:rtl/>
        </w:rPr>
        <w:t>إن</w:t>
      </w:r>
      <w:r w:rsidRPr="00282AC9">
        <w:rPr>
          <w:rFonts w:hint="cs"/>
          <w:sz w:val="27"/>
          <w:rtl/>
        </w:rPr>
        <w:t>ّ</w:t>
      </w:r>
      <w:r w:rsidRPr="00282AC9">
        <w:rPr>
          <w:sz w:val="27"/>
          <w:rtl/>
        </w:rPr>
        <w:t xml:space="preserve"> هذه الرواية ـ من الناحية السندي</w:t>
      </w:r>
      <w:r w:rsidR="0071661B" w:rsidRPr="00282AC9">
        <w:rPr>
          <w:rFonts w:hint="cs"/>
          <w:sz w:val="27"/>
          <w:rtl/>
        </w:rPr>
        <w:t>ّ</w:t>
      </w:r>
      <w:r w:rsidRPr="00282AC9">
        <w:rPr>
          <w:sz w:val="27"/>
          <w:rtl/>
        </w:rPr>
        <w:t>ة ـ ضعيفة</w:t>
      </w:r>
      <w:r w:rsidR="0071661B" w:rsidRPr="00282AC9">
        <w:rPr>
          <w:rFonts w:hint="cs"/>
          <w:sz w:val="27"/>
          <w:rtl/>
        </w:rPr>
        <w:t>ٌ</w:t>
      </w:r>
      <w:r w:rsidRPr="00282AC9">
        <w:rPr>
          <w:sz w:val="27"/>
          <w:rtl/>
        </w:rPr>
        <w:t>؛ لأن</w:t>
      </w:r>
      <w:r w:rsidRPr="00282AC9">
        <w:rPr>
          <w:rFonts w:hint="cs"/>
          <w:sz w:val="27"/>
          <w:rtl/>
        </w:rPr>
        <w:t>ّ</w:t>
      </w:r>
      <w:r w:rsidRPr="00282AC9">
        <w:rPr>
          <w:sz w:val="27"/>
          <w:rtl/>
        </w:rPr>
        <w:t xml:space="preserve"> سندها يشتمل على سهل بن زياد</w:t>
      </w:r>
      <w:r w:rsidR="0071661B" w:rsidRPr="00282AC9">
        <w:rPr>
          <w:rFonts w:hint="cs"/>
          <w:sz w:val="27"/>
          <w:rtl/>
        </w:rPr>
        <w:t>،</w:t>
      </w:r>
      <w:r w:rsidRPr="00282AC9">
        <w:rPr>
          <w:sz w:val="27"/>
          <w:rtl/>
        </w:rPr>
        <w:t xml:space="preserve"> الذي اعت</w:t>
      </w:r>
      <w:r w:rsidR="0071661B" w:rsidRPr="00282AC9">
        <w:rPr>
          <w:rFonts w:hint="cs"/>
          <w:sz w:val="27"/>
          <w:rtl/>
        </w:rPr>
        <w:t>ُ</w:t>
      </w:r>
      <w:r w:rsidRPr="00282AC9">
        <w:rPr>
          <w:sz w:val="27"/>
          <w:rtl/>
        </w:rPr>
        <w:t>بر ضعيفاً في الحديث</w:t>
      </w:r>
      <w:r w:rsidR="0071661B" w:rsidRPr="00282AC9">
        <w:rPr>
          <w:rFonts w:hint="cs"/>
          <w:sz w:val="27"/>
          <w:rtl/>
        </w:rPr>
        <w:t>،</w:t>
      </w:r>
      <w:r w:rsidRPr="00282AC9">
        <w:rPr>
          <w:sz w:val="27"/>
          <w:rtl/>
        </w:rPr>
        <w:t xml:space="preserve"> غير معتمد فيه</w:t>
      </w:r>
      <w:r w:rsidR="0071661B" w:rsidRPr="00282AC9">
        <w:rPr>
          <w:rFonts w:hint="cs"/>
          <w:sz w:val="27"/>
          <w:rtl/>
        </w:rPr>
        <w:t>.</w:t>
      </w:r>
      <w:r w:rsidRPr="00282AC9">
        <w:rPr>
          <w:sz w:val="27"/>
          <w:rtl/>
        </w:rPr>
        <w:t xml:space="preserve"> وكذلك </w:t>
      </w:r>
      <w:r w:rsidRPr="00282AC9">
        <w:rPr>
          <w:rFonts w:hint="cs"/>
          <w:sz w:val="27"/>
          <w:rtl/>
        </w:rPr>
        <w:t>يشتمل</w:t>
      </w:r>
      <w:r w:rsidRPr="00282AC9">
        <w:rPr>
          <w:sz w:val="27"/>
          <w:rtl/>
        </w:rPr>
        <w:t xml:space="preserve"> على </w:t>
      </w:r>
      <w:r w:rsidRPr="00282AC9">
        <w:rPr>
          <w:rFonts w:ascii="Cambria" w:hAnsi="Cambria" w:hint="cs"/>
          <w:sz w:val="27"/>
          <w:rtl/>
        </w:rPr>
        <w:t>علي</w:t>
      </w:r>
      <w:r w:rsidR="0071661B" w:rsidRPr="00282AC9">
        <w:rPr>
          <w:rFonts w:ascii="Cambria" w:hAnsi="Cambria" w:hint="cs"/>
          <w:sz w:val="27"/>
          <w:rtl/>
        </w:rPr>
        <w:t>ّ</w:t>
      </w:r>
      <w:r w:rsidRPr="00282AC9">
        <w:rPr>
          <w:rFonts w:ascii="Cambria" w:hAnsi="Cambria" w:hint="cs"/>
          <w:sz w:val="27"/>
          <w:rtl/>
        </w:rPr>
        <w:t xml:space="preserve"> بن سعيد الرق</w:t>
      </w:r>
      <w:r w:rsidR="0071661B" w:rsidRPr="00282AC9">
        <w:rPr>
          <w:rFonts w:ascii="Cambria" w:hAnsi="Cambria" w:hint="cs"/>
          <w:sz w:val="27"/>
          <w:rtl/>
        </w:rPr>
        <w:t>ّ</w:t>
      </w:r>
      <w:r w:rsidRPr="00282AC9">
        <w:rPr>
          <w:rFonts w:ascii="Cambria" w:hAnsi="Cambria" w:hint="cs"/>
          <w:sz w:val="27"/>
          <w:rtl/>
        </w:rPr>
        <w:t>ي</w:t>
      </w:r>
      <w:r w:rsidR="0071661B" w:rsidRPr="00282AC9">
        <w:rPr>
          <w:rFonts w:ascii="Cambria" w:hAnsi="Cambria" w:hint="cs"/>
          <w:sz w:val="27"/>
          <w:rtl/>
        </w:rPr>
        <w:t>،</w:t>
      </w:r>
      <w:r w:rsidRPr="00282AC9">
        <w:rPr>
          <w:rFonts w:ascii="Cambria" w:hAnsi="Cambria" w:hint="cs"/>
          <w:sz w:val="27"/>
          <w:rtl/>
        </w:rPr>
        <w:t xml:space="preserve"> وهو مهملٌ تماماً في المصادر الرجالي</w:t>
      </w:r>
      <w:r w:rsidR="0071661B" w:rsidRPr="00282AC9">
        <w:rPr>
          <w:rFonts w:ascii="Cambria" w:hAnsi="Cambria" w:hint="cs"/>
          <w:sz w:val="27"/>
          <w:rtl/>
        </w:rPr>
        <w:t>ّ</w:t>
      </w:r>
      <w:r w:rsidRPr="00282AC9">
        <w:rPr>
          <w:rFonts w:ascii="Cambria" w:hAnsi="Cambria" w:hint="cs"/>
          <w:sz w:val="27"/>
          <w:rtl/>
        </w:rPr>
        <w:t>ة الإمامي</w:t>
      </w:r>
      <w:r w:rsidR="0071661B" w:rsidRPr="00282AC9">
        <w:rPr>
          <w:rFonts w:ascii="Cambria" w:hAnsi="Cambria" w:hint="cs"/>
          <w:sz w:val="27"/>
          <w:rtl/>
        </w:rPr>
        <w:t>ّ</w:t>
      </w:r>
      <w:r w:rsidRPr="00282AC9">
        <w:rPr>
          <w:rFonts w:ascii="Cambria" w:hAnsi="Cambria" w:hint="cs"/>
          <w:sz w:val="27"/>
          <w:rtl/>
        </w:rPr>
        <w:t>ة</w:t>
      </w:r>
      <w:r w:rsidR="00144C71" w:rsidRPr="00282AC9">
        <w:rPr>
          <w:rFonts w:ascii="Cambria" w:hAnsi="Cambria" w:hint="cs"/>
          <w:sz w:val="27"/>
          <w:rtl/>
        </w:rPr>
        <w:t>.</w:t>
      </w:r>
    </w:p>
    <w:p w:rsidR="001153F1" w:rsidRPr="00282AC9" w:rsidRDefault="001153F1" w:rsidP="003E218F">
      <w:pPr>
        <w:rPr>
          <w:sz w:val="27"/>
          <w:rtl/>
        </w:rPr>
      </w:pPr>
      <w:r w:rsidRPr="00282AC9">
        <w:rPr>
          <w:sz w:val="27"/>
          <w:rtl/>
        </w:rPr>
        <w:t>وقد نقل</w:t>
      </w:r>
      <w:r w:rsidRPr="00282AC9">
        <w:rPr>
          <w:rFonts w:hint="cs"/>
          <w:sz w:val="27"/>
          <w:rtl/>
        </w:rPr>
        <w:t xml:space="preserve"> ما يشبه هذه الرواية </w:t>
      </w:r>
      <w:r w:rsidRPr="00282AC9">
        <w:rPr>
          <w:sz w:val="27"/>
          <w:rtl/>
        </w:rPr>
        <w:t>مرسلة</w:t>
      </w:r>
      <w:r w:rsidR="00144C71" w:rsidRPr="00282AC9">
        <w:rPr>
          <w:rFonts w:hint="cs"/>
          <w:sz w:val="27"/>
          <w:rtl/>
        </w:rPr>
        <w:t>ً،</w:t>
      </w:r>
      <w:r w:rsidRPr="00282AC9">
        <w:rPr>
          <w:sz w:val="27"/>
          <w:rtl/>
        </w:rPr>
        <w:t xml:space="preserve"> في كتاب النوادر</w:t>
      </w:r>
      <w:r w:rsidR="00144C71" w:rsidRPr="00282AC9">
        <w:rPr>
          <w:rFonts w:hint="cs"/>
          <w:sz w:val="27"/>
          <w:rtl/>
        </w:rPr>
        <w:t>،</w:t>
      </w:r>
      <w:r w:rsidRPr="00282AC9">
        <w:rPr>
          <w:sz w:val="27"/>
          <w:rtl/>
        </w:rPr>
        <w:t xml:space="preserve"> للراوندي</w:t>
      </w:r>
      <w:r w:rsidR="00144C71" w:rsidRPr="00282AC9">
        <w:rPr>
          <w:rFonts w:hint="cs"/>
          <w:sz w:val="27"/>
          <w:rtl/>
        </w:rPr>
        <w:t>،</w:t>
      </w:r>
      <w:r w:rsidRPr="00282AC9">
        <w:rPr>
          <w:rFonts w:hint="cs"/>
          <w:sz w:val="27"/>
          <w:rtl/>
        </w:rPr>
        <w:t xml:space="preserve"> مع اختلاف</w:t>
      </w:r>
      <w:r w:rsidR="00144C71" w:rsidRPr="00282AC9">
        <w:rPr>
          <w:rFonts w:hint="cs"/>
          <w:sz w:val="27"/>
          <w:rtl/>
        </w:rPr>
        <w:t>ٍ</w:t>
      </w:r>
      <w:r w:rsidRPr="00282AC9">
        <w:rPr>
          <w:rFonts w:hint="cs"/>
          <w:sz w:val="27"/>
          <w:rtl/>
        </w:rPr>
        <w:t xml:space="preserve"> سيأتي ذكره.</w:t>
      </w:r>
    </w:p>
    <w:p w:rsidR="001153F1" w:rsidRPr="00282AC9" w:rsidRDefault="001153F1" w:rsidP="003E218F">
      <w:pPr>
        <w:rPr>
          <w:rtl/>
        </w:rPr>
      </w:pPr>
      <w:r w:rsidRPr="00282AC9">
        <w:rPr>
          <w:rFonts w:hint="cs"/>
          <w:b/>
          <w:bCs/>
          <w:rtl/>
        </w:rPr>
        <w:t xml:space="preserve">ب ـ </w:t>
      </w:r>
      <w:r w:rsidRPr="00282AC9">
        <w:rPr>
          <w:b/>
          <w:bCs/>
          <w:rtl/>
        </w:rPr>
        <w:t>الدراسة الدلالي</w:t>
      </w:r>
      <w:r w:rsidR="00144C71" w:rsidRPr="00282AC9">
        <w:rPr>
          <w:rFonts w:hint="cs"/>
          <w:b/>
          <w:bCs/>
          <w:rtl/>
        </w:rPr>
        <w:t>ّ</w:t>
      </w:r>
      <w:r w:rsidRPr="00282AC9">
        <w:rPr>
          <w:b/>
          <w:bCs/>
          <w:rtl/>
        </w:rPr>
        <w:t>ة</w:t>
      </w:r>
      <w:r w:rsidR="00A15DDE" w:rsidRPr="00282AC9">
        <w:rPr>
          <w:rFonts w:hint="cs"/>
          <w:rtl/>
        </w:rPr>
        <w:t xml:space="preserve">: </w:t>
      </w:r>
      <w:r w:rsidRPr="00282AC9">
        <w:rPr>
          <w:rFonts w:hint="cs"/>
          <w:sz w:val="27"/>
          <w:rtl/>
        </w:rPr>
        <w:t>قد ي</w:t>
      </w:r>
      <w:r w:rsidR="00144C71" w:rsidRPr="00282AC9">
        <w:rPr>
          <w:rFonts w:hint="cs"/>
          <w:sz w:val="27"/>
          <w:rtl/>
        </w:rPr>
        <w:t>ُ</w:t>
      </w:r>
      <w:r w:rsidRPr="00282AC9">
        <w:rPr>
          <w:rFonts w:hint="cs"/>
          <w:sz w:val="27"/>
          <w:rtl/>
        </w:rPr>
        <w:t>قال بأ</w:t>
      </w:r>
      <w:r w:rsidRPr="00282AC9">
        <w:rPr>
          <w:sz w:val="27"/>
          <w:rtl/>
        </w:rPr>
        <w:t>ن</w:t>
      </w:r>
      <w:r w:rsidRPr="00282AC9">
        <w:rPr>
          <w:rFonts w:hint="cs"/>
          <w:sz w:val="27"/>
          <w:rtl/>
        </w:rPr>
        <w:t>ّ</w:t>
      </w:r>
      <w:r w:rsidRPr="00282AC9">
        <w:rPr>
          <w:sz w:val="27"/>
          <w:rtl/>
        </w:rPr>
        <w:t xml:space="preserve"> هذه الرواية ورد</w:t>
      </w:r>
      <w:r w:rsidR="00144C71" w:rsidRPr="00282AC9">
        <w:rPr>
          <w:rFonts w:hint="cs"/>
          <w:sz w:val="27"/>
          <w:rtl/>
        </w:rPr>
        <w:t>َ</w:t>
      </w:r>
      <w:r w:rsidRPr="00282AC9">
        <w:rPr>
          <w:sz w:val="27"/>
          <w:rtl/>
        </w:rPr>
        <w:t>ت</w:t>
      </w:r>
      <w:r w:rsidR="00144C71" w:rsidRPr="00282AC9">
        <w:rPr>
          <w:rFonts w:hint="cs"/>
          <w:sz w:val="27"/>
          <w:rtl/>
        </w:rPr>
        <w:t>ْ</w:t>
      </w:r>
      <w:r w:rsidRPr="00282AC9">
        <w:rPr>
          <w:sz w:val="27"/>
          <w:rtl/>
        </w:rPr>
        <w:t xml:space="preserve"> في قضي</w:t>
      </w:r>
      <w:r w:rsidR="00144C71" w:rsidRPr="00282AC9">
        <w:rPr>
          <w:rFonts w:hint="cs"/>
          <w:sz w:val="27"/>
          <w:rtl/>
        </w:rPr>
        <w:t>ّ</w:t>
      </w:r>
      <w:r w:rsidRPr="00282AC9">
        <w:rPr>
          <w:sz w:val="27"/>
          <w:rtl/>
        </w:rPr>
        <w:t>ة</w:t>
      </w:r>
      <w:r w:rsidR="00144C71" w:rsidRPr="00282AC9">
        <w:rPr>
          <w:rFonts w:hint="cs"/>
          <w:sz w:val="27"/>
          <w:rtl/>
        </w:rPr>
        <w:t>ٍ</w:t>
      </w:r>
      <w:r w:rsidRPr="00282AC9">
        <w:rPr>
          <w:sz w:val="27"/>
          <w:rtl/>
        </w:rPr>
        <w:t xml:space="preserve"> معي</w:t>
      </w:r>
      <w:r w:rsidR="00144C71" w:rsidRPr="00282AC9">
        <w:rPr>
          <w:rFonts w:hint="cs"/>
          <w:sz w:val="27"/>
          <w:rtl/>
        </w:rPr>
        <w:t>َّ</w:t>
      </w:r>
      <w:r w:rsidRPr="00282AC9">
        <w:rPr>
          <w:sz w:val="27"/>
          <w:rtl/>
        </w:rPr>
        <w:t>نة، حيث جاء فيها</w:t>
      </w:r>
      <w:r w:rsidR="00144C71" w:rsidRPr="00282AC9">
        <w:rPr>
          <w:rFonts w:hint="cs"/>
          <w:sz w:val="27"/>
          <w:rtl/>
        </w:rPr>
        <w:t>:</w:t>
      </w:r>
      <w:r w:rsidRPr="00282AC9">
        <w:rPr>
          <w:sz w:val="27"/>
          <w:rtl/>
        </w:rPr>
        <w:t xml:space="preserve"> (قال رسول الله</w:t>
      </w:r>
      <w:r w:rsidR="009A2A04" w:rsidRPr="00282AC9">
        <w:rPr>
          <w:rFonts w:cs="Mosawi" w:hint="cs"/>
          <w:sz w:val="22"/>
          <w:szCs w:val="22"/>
          <w:rtl/>
        </w:rPr>
        <w:t>|</w:t>
      </w:r>
      <w:r w:rsidRPr="00282AC9">
        <w:rPr>
          <w:rFonts w:hint="cs"/>
          <w:sz w:val="27"/>
          <w:rtl/>
        </w:rPr>
        <w:t xml:space="preserve"> </w:t>
      </w:r>
      <w:r w:rsidRPr="00282AC9">
        <w:rPr>
          <w:sz w:val="27"/>
          <w:rtl/>
        </w:rPr>
        <w:t>لرجلٍ...)</w:t>
      </w:r>
      <w:r w:rsidR="00144C71" w:rsidRPr="00282AC9">
        <w:rPr>
          <w:rFonts w:hint="cs"/>
          <w:sz w:val="27"/>
          <w:rtl/>
        </w:rPr>
        <w:t>،</w:t>
      </w:r>
      <w:r w:rsidRPr="00282AC9">
        <w:rPr>
          <w:sz w:val="27"/>
          <w:rtl/>
        </w:rPr>
        <w:t xml:space="preserve"> فاستفادة التعميم منها يحتاج إلى تأم</w:t>
      </w:r>
      <w:r w:rsidRPr="00282AC9">
        <w:rPr>
          <w:rFonts w:hint="cs"/>
          <w:sz w:val="27"/>
          <w:rtl/>
        </w:rPr>
        <w:t>ّ</w:t>
      </w:r>
      <w:r w:rsidR="00144C71" w:rsidRPr="00282AC9">
        <w:rPr>
          <w:rFonts w:hint="cs"/>
          <w:sz w:val="27"/>
          <w:rtl/>
        </w:rPr>
        <w:t>ُ</w:t>
      </w:r>
      <w:r w:rsidRPr="00282AC9">
        <w:rPr>
          <w:sz w:val="27"/>
          <w:rtl/>
        </w:rPr>
        <w:t>ل</w:t>
      </w:r>
      <w:r w:rsidR="00144C71" w:rsidRPr="00282AC9">
        <w:rPr>
          <w:rFonts w:hint="cs"/>
          <w:sz w:val="27"/>
          <w:rtl/>
        </w:rPr>
        <w:t>ٍ.</w:t>
      </w:r>
      <w:r w:rsidRPr="00282AC9">
        <w:rPr>
          <w:sz w:val="27"/>
          <w:rtl/>
        </w:rPr>
        <w:t xml:space="preserve"> وقد يسهل الأمر؛ لأن</w:t>
      </w:r>
      <w:r w:rsidRPr="00282AC9">
        <w:rPr>
          <w:rFonts w:hint="cs"/>
          <w:sz w:val="27"/>
          <w:rtl/>
        </w:rPr>
        <w:t>ّ</w:t>
      </w:r>
      <w:r w:rsidRPr="00282AC9">
        <w:rPr>
          <w:sz w:val="27"/>
          <w:rtl/>
        </w:rPr>
        <w:t xml:space="preserve"> الحديث يش</w:t>
      </w:r>
      <w:r w:rsidR="00144C71" w:rsidRPr="00282AC9">
        <w:rPr>
          <w:rFonts w:hint="cs"/>
          <w:sz w:val="27"/>
          <w:rtl/>
        </w:rPr>
        <w:t>ت</w:t>
      </w:r>
      <w:r w:rsidRPr="00282AC9">
        <w:rPr>
          <w:sz w:val="27"/>
          <w:rtl/>
        </w:rPr>
        <w:t>مل على تعليل</w:t>
      </w:r>
      <w:r w:rsidR="00144C71" w:rsidRPr="00282AC9">
        <w:rPr>
          <w:rFonts w:hint="cs"/>
          <w:sz w:val="27"/>
          <w:rtl/>
        </w:rPr>
        <w:t>ٍ</w:t>
      </w:r>
      <w:r w:rsidRPr="00282AC9">
        <w:rPr>
          <w:sz w:val="27"/>
          <w:rtl/>
        </w:rPr>
        <w:t xml:space="preserve"> عام</w:t>
      </w:r>
      <w:r w:rsidR="00144C71" w:rsidRPr="00282AC9">
        <w:rPr>
          <w:rFonts w:hint="cs"/>
          <w:sz w:val="27"/>
          <w:rtl/>
        </w:rPr>
        <w:t>ّ</w:t>
      </w:r>
      <w:r w:rsidRPr="00282AC9">
        <w:rPr>
          <w:sz w:val="27"/>
          <w:rtl/>
        </w:rPr>
        <w:t xml:space="preserve"> بالنسبة إلى جميع المكل</w:t>
      </w:r>
      <w:r w:rsidR="00144C71" w:rsidRPr="00282AC9">
        <w:rPr>
          <w:rFonts w:hint="cs"/>
          <w:sz w:val="27"/>
          <w:rtl/>
        </w:rPr>
        <w:t>َّ</w:t>
      </w:r>
      <w:r w:rsidRPr="00282AC9">
        <w:rPr>
          <w:sz w:val="27"/>
          <w:rtl/>
        </w:rPr>
        <w:t>فين</w:t>
      </w:r>
      <w:r w:rsidR="00144C71" w:rsidRPr="00282AC9">
        <w:rPr>
          <w:rFonts w:hint="cs"/>
          <w:sz w:val="27"/>
          <w:rtl/>
        </w:rPr>
        <w:t>،</w:t>
      </w:r>
      <w:r w:rsidRPr="00282AC9">
        <w:rPr>
          <w:sz w:val="27"/>
          <w:rtl/>
        </w:rPr>
        <w:t xml:space="preserve"> وهي مباهاة النبي</w:t>
      </w:r>
      <w:r w:rsidR="00144C71" w:rsidRPr="00282AC9">
        <w:rPr>
          <w:rFonts w:hint="cs"/>
          <w:sz w:val="27"/>
          <w:rtl/>
        </w:rPr>
        <w:t>ّ</w:t>
      </w:r>
      <w:r w:rsidR="009A2A04" w:rsidRPr="00282AC9">
        <w:rPr>
          <w:rFonts w:cs="Mosawi"/>
          <w:sz w:val="22"/>
          <w:szCs w:val="22"/>
          <w:rtl/>
        </w:rPr>
        <w:t>|</w:t>
      </w:r>
      <w:r w:rsidRPr="00282AC9">
        <w:rPr>
          <w:sz w:val="27"/>
          <w:rtl/>
        </w:rPr>
        <w:t xml:space="preserve"> بأم</w:t>
      </w:r>
      <w:r w:rsidR="00144C71" w:rsidRPr="00282AC9">
        <w:rPr>
          <w:rFonts w:hint="cs"/>
          <w:sz w:val="27"/>
          <w:rtl/>
        </w:rPr>
        <w:t>ّ</w:t>
      </w:r>
      <w:r w:rsidRPr="00282AC9">
        <w:rPr>
          <w:sz w:val="27"/>
          <w:rtl/>
        </w:rPr>
        <w:t>ته الأمم الأخرى</w:t>
      </w:r>
      <w:r w:rsidR="00144C71" w:rsidRPr="00282AC9">
        <w:rPr>
          <w:rFonts w:hint="cs"/>
          <w:sz w:val="27"/>
          <w:rtl/>
        </w:rPr>
        <w:t>،</w:t>
      </w:r>
      <w:r w:rsidRPr="00282AC9">
        <w:rPr>
          <w:rFonts w:hint="cs"/>
          <w:sz w:val="27"/>
          <w:rtl/>
        </w:rPr>
        <w:t xml:space="preserve"> التي تشير إلى مسألة النسل. </w:t>
      </w:r>
    </w:p>
    <w:p w:rsidR="001153F1" w:rsidRPr="00282AC9" w:rsidRDefault="001153F1" w:rsidP="003E218F">
      <w:pPr>
        <w:rPr>
          <w:sz w:val="27"/>
          <w:rtl/>
        </w:rPr>
      </w:pPr>
      <w:r w:rsidRPr="00282AC9">
        <w:rPr>
          <w:sz w:val="27"/>
          <w:rtl/>
        </w:rPr>
        <w:t>ولكن</w:t>
      </w:r>
      <w:r w:rsidR="00144C71" w:rsidRPr="00282AC9">
        <w:rPr>
          <w:rFonts w:hint="cs"/>
          <w:sz w:val="27"/>
          <w:rtl/>
        </w:rPr>
        <w:t>ْ</w:t>
      </w:r>
      <w:r w:rsidRPr="00282AC9">
        <w:rPr>
          <w:sz w:val="27"/>
          <w:rtl/>
        </w:rPr>
        <w:t xml:space="preserve"> تبدو هذه المباهاة غير</w:t>
      </w:r>
      <w:r w:rsidR="00144C71" w:rsidRPr="00282AC9">
        <w:rPr>
          <w:rFonts w:hint="cs"/>
          <w:sz w:val="27"/>
          <w:rtl/>
        </w:rPr>
        <w:t>ُ</w:t>
      </w:r>
      <w:r w:rsidRPr="00282AC9">
        <w:rPr>
          <w:sz w:val="27"/>
          <w:rtl/>
        </w:rPr>
        <w:t xml:space="preserve"> واضحة</w:t>
      </w:r>
      <w:r w:rsidR="00144C71" w:rsidRPr="00282AC9">
        <w:rPr>
          <w:rFonts w:hint="cs"/>
          <w:sz w:val="27"/>
          <w:rtl/>
        </w:rPr>
        <w:t>ٍ</w:t>
      </w:r>
      <w:r w:rsidRPr="00282AC9">
        <w:rPr>
          <w:sz w:val="27"/>
          <w:rtl/>
        </w:rPr>
        <w:t xml:space="preserve">؛ </w:t>
      </w:r>
      <w:r w:rsidR="00144C71" w:rsidRPr="00282AC9">
        <w:rPr>
          <w:rFonts w:hint="cs"/>
          <w:sz w:val="27"/>
          <w:rtl/>
        </w:rPr>
        <w:t>إذ</w:t>
      </w:r>
      <w:r w:rsidRPr="00282AC9">
        <w:rPr>
          <w:sz w:val="27"/>
          <w:rtl/>
        </w:rPr>
        <w:t xml:space="preserve"> ما هو تأثير كثرة أو قل</w:t>
      </w:r>
      <w:r w:rsidR="00144C71" w:rsidRPr="00282AC9">
        <w:rPr>
          <w:rFonts w:hint="cs"/>
          <w:sz w:val="27"/>
          <w:rtl/>
        </w:rPr>
        <w:t>ّ</w:t>
      </w:r>
      <w:r w:rsidRPr="00282AC9">
        <w:rPr>
          <w:sz w:val="27"/>
          <w:rtl/>
        </w:rPr>
        <w:t>ة الأم</w:t>
      </w:r>
      <w:r w:rsidR="00144C71" w:rsidRPr="00282AC9">
        <w:rPr>
          <w:rFonts w:hint="cs"/>
          <w:sz w:val="27"/>
          <w:rtl/>
        </w:rPr>
        <w:t>ّ</w:t>
      </w:r>
      <w:r w:rsidRPr="00282AC9">
        <w:rPr>
          <w:sz w:val="27"/>
          <w:rtl/>
        </w:rPr>
        <w:t>ة المسلمة عند النبي</w:t>
      </w:r>
      <w:r w:rsidR="00144C71" w:rsidRPr="00282AC9">
        <w:rPr>
          <w:rFonts w:hint="cs"/>
          <w:sz w:val="27"/>
          <w:rtl/>
        </w:rPr>
        <w:t>ّ</w:t>
      </w:r>
      <w:r w:rsidR="009A2A04" w:rsidRPr="00282AC9">
        <w:rPr>
          <w:rFonts w:cs="Mosawi"/>
          <w:sz w:val="22"/>
          <w:szCs w:val="22"/>
          <w:rtl/>
        </w:rPr>
        <w:t>|</w:t>
      </w:r>
      <w:r w:rsidRPr="00282AC9">
        <w:rPr>
          <w:sz w:val="27"/>
          <w:rtl/>
        </w:rPr>
        <w:t>؟</w:t>
      </w:r>
      <w:r w:rsidR="00144C71" w:rsidRPr="00282AC9">
        <w:rPr>
          <w:rFonts w:hint="cs"/>
          <w:sz w:val="27"/>
          <w:rtl/>
        </w:rPr>
        <w:t>!</w:t>
      </w:r>
      <w:r w:rsidRPr="00282AC9">
        <w:rPr>
          <w:sz w:val="27"/>
          <w:rtl/>
        </w:rPr>
        <w:t xml:space="preserve"> وما هو </w:t>
      </w:r>
      <w:r w:rsidR="00EE6DBA" w:rsidRPr="00282AC9">
        <w:rPr>
          <w:sz w:val="27"/>
          <w:rtl/>
        </w:rPr>
        <w:t>دَوْر</w:t>
      </w:r>
      <w:r w:rsidRPr="00282AC9">
        <w:rPr>
          <w:sz w:val="27"/>
          <w:rtl/>
        </w:rPr>
        <w:t xml:space="preserve"> هذه الكثرة في أداء رسالته أو في رضوانه إلى الله تبارك </w:t>
      </w:r>
      <w:r w:rsidRPr="00282AC9">
        <w:rPr>
          <w:sz w:val="27"/>
          <w:rtl/>
        </w:rPr>
        <w:lastRenderedPageBreak/>
        <w:t xml:space="preserve">وتعالى؟ </w:t>
      </w:r>
      <w:r w:rsidR="00144C71" w:rsidRPr="00282AC9">
        <w:rPr>
          <w:rFonts w:hint="cs"/>
          <w:sz w:val="27"/>
          <w:rtl/>
        </w:rPr>
        <w:t>و</w:t>
      </w:r>
      <w:r w:rsidRPr="00282AC9">
        <w:rPr>
          <w:sz w:val="27"/>
          <w:rtl/>
        </w:rPr>
        <w:t>خاص</w:t>
      </w:r>
      <w:r w:rsidR="00144C71" w:rsidRPr="00282AC9">
        <w:rPr>
          <w:rFonts w:hint="cs"/>
          <w:sz w:val="27"/>
          <w:rtl/>
        </w:rPr>
        <w:t>ّ</w:t>
      </w:r>
      <w:r w:rsidRPr="00282AC9">
        <w:rPr>
          <w:sz w:val="27"/>
          <w:rtl/>
        </w:rPr>
        <w:t>ة الكثرة التي نشأ</w:t>
      </w:r>
      <w:r w:rsidR="00144C71" w:rsidRPr="00282AC9">
        <w:rPr>
          <w:rFonts w:hint="cs"/>
          <w:sz w:val="27"/>
          <w:rtl/>
        </w:rPr>
        <w:t>َ</w:t>
      </w:r>
      <w:r w:rsidRPr="00282AC9">
        <w:rPr>
          <w:sz w:val="27"/>
          <w:rtl/>
        </w:rPr>
        <w:t>ت</w:t>
      </w:r>
      <w:r w:rsidR="00144C71" w:rsidRPr="00282AC9">
        <w:rPr>
          <w:rFonts w:hint="cs"/>
          <w:sz w:val="27"/>
          <w:rtl/>
        </w:rPr>
        <w:t>ْ</w:t>
      </w:r>
      <w:r w:rsidRPr="00282AC9">
        <w:rPr>
          <w:sz w:val="27"/>
          <w:rtl/>
        </w:rPr>
        <w:t xml:space="preserve"> من الولادة</w:t>
      </w:r>
      <w:r w:rsidR="00144C71" w:rsidRPr="00282AC9">
        <w:rPr>
          <w:rFonts w:hint="cs"/>
          <w:sz w:val="27"/>
          <w:rtl/>
        </w:rPr>
        <w:t>،</w:t>
      </w:r>
      <w:r w:rsidRPr="00282AC9">
        <w:rPr>
          <w:sz w:val="27"/>
          <w:rtl/>
        </w:rPr>
        <w:t xml:space="preserve"> لا الهداية</w:t>
      </w:r>
      <w:r w:rsidR="00144C71" w:rsidRPr="00282AC9">
        <w:rPr>
          <w:rFonts w:hint="cs"/>
          <w:sz w:val="27"/>
          <w:rtl/>
        </w:rPr>
        <w:t>.</w:t>
      </w:r>
      <w:r w:rsidRPr="00282AC9">
        <w:rPr>
          <w:sz w:val="27"/>
          <w:rtl/>
        </w:rPr>
        <w:t xml:space="preserve"> </w:t>
      </w:r>
      <w:r w:rsidR="00144C71" w:rsidRPr="00282AC9">
        <w:rPr>
          <w:rFonts w:hint="cs"/>
          <w:sz w:val="27"/>
          <w:rtl/>
        </w:rPr>
        <w:t>و</w:t>
      </w:r>
      <w:r w:rsidRPr="00282AC9">
        <w:rPr>
          <w:rFonts w:hint="cs"/>
          <w:sz w:val="27"/>
          <w:rtl/>
        </w:rPr>
        <w:t xml:space="preserve">إذا كان المقصود الهداية وتثقيل الأرض بذكر لا إله </w:t>
      </w:r>
      <w:r w:rsidR="00144C71" w:rsidRPr="00282AC9">
        <w:rPr>
          <w:rFonts w:hint="cs"/>
          <w:sz w:val="27"/>
          <w:rtl/>
        </w:rPr>
        <w:t>إلاّ</w:t>
      </w:r>
      <w:r w:rsidRPr="00282AC9">
        <w:rPr>
          <w:rFonts w:hint="cs"/>
          <w:sz w:val="27"/>
          <w:rtl/>
        </w:rPr>
        <w:t xml:space="preserve"> الله فر</w:t>
      </w:r>
      <w:r w:rsidR="00144C71" w:rsidRPr="00282AC9">
        <w:rPr>
          <w:rFonts w:hint="cs"/>
          <w:sz w:val="27"/>
          <w:rtl/>
        </w:rPr>
        <w:t>ُ</w:t>
      </w:r>
      <w:r w:rsidRPr="00282AC9">
        <w:rPr>
          <w:rFonts w:hint="cs"/>
          <w:sz w:val="27"/>
          <w:rtl/>
        </w:rPr>
        <w:t>ب</w:t>
      </w:r>
      <w:r w:rsidR="00144C71" w:rsidRPr="00282AC9">
        <w:rPr>
          <w:rFonts w:hint="cs"/>
          <w:sz w:val="27"/>
          <w:rtl/>
        </w:rPr>
        <w:t>َما كان السعي</w:t>
      </w:r>
      <w:r w:rsidRPr="00282AC9">
        <w:rPr>
          <w:rFonts w:hint="cs"/>
          <w:sz w:val="27"/>
          <w:rtl/>
        </w:rPr>
        <w:t xml:space="preserve"> وراء هداية الكفّار والمشركين أسهل وأسرع بكثير</w:t>
      </w:r>
      <w:r w:rsidR="00144C71" w:rsidRPr="00282AC9">
        <w:rPr>
          <w:rFonts w:hint="cs"/>
          <w:sz w:val="27"/>
          <w:rtl/>
        </w:rPr>
        <w:t>ٍ</w:t>
      </w:r>
      <w:r w:rsidRPr="00282AC9">
        <w:rPr>
          <w:rFonts w:hint="cs"/>
          <w:sz w:val="27"/>
          <w:rtl/>
        </w:rPr>
        <w:t xml:space="preserve"> من إنجاب الأطفال</w:t>
      </w:r>
      <w:r w:rsidR="00144C71" w:rsidRPr="00282AC9">
        <w:rPr>
          <w:rFonts w:hint="cs"/>
          <w:sz w:val="27"/>
          <w:rtl/>
        </w:rPr>
        <w:t>،</w:t>
      </w:r>
      <w:r w:rsidRPr="00282AC9">
        <w:rPr>
          <w:rFonts w:hint="cs"/>
          <w:sz w:val="27"/>
          <w:rtl/>
        </w:rPr>
        <w:t xml:space="preserve"> </w:t>
      </w:r>
      <w:r w:rsidRPr="00282AC9">
        <w:rPr>
          <w:sz w:val="27"/>
          <w:rtl/>
        </w:rPr>
        <w:t>فتأم</w:t>
      </w:r>
      <w:r w:rsidR="00144C71" w:rsidRPr="00282AC9">
        <w:rPr>
          <w:rFonts w:hint="cs"/>
          <w:sz w:val="27"/>
          <w:rtl/>
        </w:rPr>
        <w:t>َّ</w:t>
      </w:r>
      <w:r w:rsidRPr="00282AC9">
        <w:rPr>
          <w:sz w:val="27"/>
          <w:rtl/>
        </w:rPr>
        <w:t>ل</w:t>
      </w:r>
      <w:r w:rsidR="00144C71" w:rsidRPr="00282AC9">
        <w:rPr>
          <w:rFonts w:hint="cs"/>
          <w:sz w:val="27"/>
          <w:rtl/>
        </w:rPr>
        <w:t>ْ</w:t>
      </w:r>
      <w:r w:rsidRPr="00282AC9">
        <w:rPr>
          <w:sz w:val="27"/>
          <w:rtl/>
        </w:rPr>
        <w:t xml:space="preserve">. </w:t>
      </w:r>
    </w:p>
    <w:p w:rsidR="001153F1" w:rsidRPr="00282AC9" w:rsidRDefault="001153F1" w:rsidP="003E218F">
      <w:pPr>
        <w:rPr>
          <w:sz w:val="27"/>
          <w:rtl/>
        </w:rPr>
      </w:pPr>
      <w:r w:rsidRPr="00282AC9">
        <w:rPr>
          <w:rFonts w:hint="cs"/>
          <w:sz w:val="27"/>
          <w:rtl/>
        </w:rPr>
        <w:t>إلا</w:t>
      </w:r>
      <w:r w:rsidR="00144C71" w:rsidRPr="00282AC9">
        <w:rPr>
          <w:rFonts w:hint="cs"/>
          <w:sz w:val="27"/>
          <w:rtl/>
        </w:rPr>
        <w:t>ّ</w:t>
      </w:r>
      <w:r w:rsidRPr="00282AC9">
        <w:rPr>
          <w:rFonts w:hint="cs"/>
          <w:sz w:val="27"/>
          <w:rtl/>
        </w:rPr>
        <w:t xml:space="preserve"> أن ي</w:t>
      </w:r>
      <w:r w:rsidR="00144C71" w:rsidRPr="00282AC9">
        <w:rPr>
          <w:rFonts w:hint="cs"/>
          <w:sz w:val="27"/>
          <w:rtl/>
        </w:rPr>
        <w:t>ُ</w:t>
      </w:r>
      <w:r w:rsidRPr="00282AC9">
        <w:rPr>
          <w:rFonts w:hint="cs"/>
          <w:sz w:val="27"/>
          <w:rtl/>
        </w:rPr>
        <w:t>قال</w:t>
      </w:r>
      <w:r w:rsidR="00144C71" w:rsidRPr="00282AC9">
        <w:rPr>
          <w:rFonts w:hint="cs"/>
          <w:sz w:val="27"/>
          <w:rtl/>
        </w:rPr>
        <w:t>:</w:t>
      </w:r>
      <w:r w:rsidRPr="00282AC9">
        <w:rPr>
          <w:rFonts w:hint="cs"/>
          <w:sz w:val="27"/>
          <w:rtl/>
        </w:rPr>
        <w:t xml:space="preserve"> </w:t>
      </w:r>
      <w:r w:rsidR="00144C71" w:rsidRPr="00282AC9">
        <w:rPr>
          <w:rFonts w:hint="cs"/>
          <w:sz w:val="27"/>
          <w:rtl/>
        </w:rPr>
        <w:t>إ</w:t>
      </w:r>
      <w:r w:rsidRPr="00282AC9">
        <w:rPr>
          <w:rFonts w:hint="cs"/>
          <w:sz w:val="27"/>
          <w:rtl/>
        </w:rPr>
        <w:t>نّ الأم</w:t>
      </w:r>
      <w:r w:rsidR="00335AF3" w:rsidRPr="00282AC9">
        <w:rPr>
          <w:rFonts w:hint="cs"/>
          <w:sz w:val="27"/>
          <w:rtl/>
        </w:rPr>
        <w:t>ّ</w:t>
      </w:r>
      <w:r w:rsidRPr="00282AC9">
        <w:rPr>
          <w:rFonts w:hint="cs"/>
          <w:sz w:val="27"/>
          <w:rtl/>
        </w:rPr>
        <w:t>ة الإسلامية كانت تحتاج آنذاك إلى البسط والتمد</w:t>
      </w:r>
      <w:r w:rsidR="00144C71" w:rsidRPr="00282AC9">
        <w:rPr>
          <w:rFonts w:hint="cs"/>
          <w:sz w:val="27"/>
          <w:rtl/>
        </w:rPr>
        <w:t>ُّ</w:t>
      </w:r>
      <w:r w:rsidRPr="00282AC9">
        <w:rPr>
          <w:rFonts w:hint="cs"/>
          <w:sz w:val="27"/>
          <w:rtl/>
        </w:rPr>
        <w:t>د، وكانت بحاجة</w:t>
      </w:r>
      <w:r w:rsidR="00335AF3" w:rsidRPr="00282AC9">
        <w:rPr>
          <w:rFonts w:hint="cs"/>
          <w:sz w:val="27"/>
          <w:rtl/>
        </w:rPr>
        <w:t>ٍ</w:t>
      </w:r>
      <w:r w:rsidRPr="00282AC9">
        <w:rPr>
          <w:rFonts w:hint="cs"/>
          <w:sz w:val="27"/>
          <w:rtl/>
        </w:rPr>
        <w:t xml:space="preserve"> إلى المجاهدين يدافع</w:t>
      </w:r>
      <w:r w:rsidR="00335AF3" w:rsidRPr="00282AC9">
        <w:rPr>
          <w:rFonts w:hint="cs"/>
          <w:sz w:val="27"/>
          <w:rtl/>
        </w:rPr>
        <w:t>ون</w:t>
      </w:r>
      <w:r w:rsidRPr="00282AC9">
        <w:rPr>
          <w:rFonts w:hint="cs"/>
          <w:sz w:val="27"/>
          <w:rtl/>
        </w:rPr>
        <w:t xml:space="preserve"> عن الأم</w:t>
      </w:r>
      <w:r w:rsidR="00335AF3" w:rsidRPr="00282AC9">
        <w:rPr>
          <w:rFonts w:hint="cs"/>
          <w:sz w:val="27"/>
          <w:rtl/>
        </w:rPr>
        <w:t>ّ</w:t>
      </w:r>
      <w:r w:rsidRPr="00282AC9">
        <w:rPr>
          <w:rFonts w:hint="cs"/>
          <w:sz w:val="27"/>
          <w:rtl/>
        </w:rPr>
        <w:t>ة التي أخذت بالظهور للتوّ، وكانت تواجه الأعداء من الجهات المختلفة</w:t>
      </w:r>
      <w:r w:rsidR="00335AF3" w:rsidRPr="00282AC9">
        <w:rPr>
          <w:rFonts w:hint="cs"/>
          <w:sz w:val="27"/>
          <w:rtl/>
        </w:rPr>
        <w:t>،</w:t>
      </w:r>
      <w:r w:rsidRPr="00282AC9">
        <w:rPr>
          <w:rFonts w:hint="cs"/>
          <w:sz w:val="27"/>
          <w:rtl/>
        </w:rPr>
        <w:t xml:space="preserve"> كالمشركين وأهل الكتاب. </w:t>
      </w:r>
    </w:p>
    <w:p w:rsidR="001153F1" w:rsidRPr="00282AC9" w:rsidRDefault="00335AF3" w:rsidP="003E218F">
      <w:pPr>
        <w:rPr>
          <w:sz w:val="27"/>
          <w:rtl/>
          <w:lang w:bidi="fa-IR"/>
        </w:rPr>
      </w:pPr>
      <w:r w:rsidRPr="00282AC9">
        <w:rPr>
          <w:rFonts w:hint="cs"/>
          <w:sz w:val="27"/>
          <w:rtl/>
        </w:rPr>
        <w:t xml:space="preserve">وهو </w:t>
      </w:r>
      <w:r w:rsidR="001153F1" w:rsidRPr="00282AC9">
        <w:rPr>
          <w:rFonts w:hint="cs"/>
          <w:sz w:val="27"/>
          <w:rtl/>
        </w:rPr>
        <w:t xml:space="preserve">الأمر الذي يقوّي </w:t>
      </w:r>
      <w:r w:rsidRPr="00282AC9">
        <w:rPr>
          <w:rFonts w:hint="cs"/>
          <w:sz w:val="27"/>
          <w:rtl/>
        </w:rPr>
        <w:t>ا</w:t>
      </w:r>
      <w:r w:rsidR="001153F1" w:rsidRPr="00282AC9">
        <w:rPr>
          <w:rFonts w:hint="cs"/>
          <w:sz w:val="27"/>
          <w:rtl/>
        </w:rPr>
        <w:t>حتمال الفهم التاريخي لهذه النصوص</w:t>
      </w:r>
      <w:r w:rsidRPr="00282AC9">
        <w:rPr>
          <w:rFonts w:hint="cs"/>
          <w:sz w:val="27"/>
          <w:rtl/>
        </w:rPr>
        <w:t>؛</w:t>
      </w:r>
      <w:r w:rsidR="001153F1" w:rsidRPr="00282AC9">
        <w:rPr>
          <w:rFonts w:hint="cs"/>
          <w:sz w:val="27"/>
          <w:rtl/>
        </w:rPr>
        <w:t xml:space="preserve"> حيث نعرف جميعاً أنّ موضوع النسل وتحديده في العالم يتبع الظروف الزمكانية</w:t>
      </w:r>
      <w:r w:rsidRPr="00282AC9">
        <w:rPr>
          <w:rFonts w:hint="cs"/>
          <w:sz w:val="27"/>
          <w:rtl/>
        </w:rPr>
        <w:t>؛</w:t>
      </w:r>
      <w:r w:rsidR="001153F1" w:rsidRPr="00282AC9">
        <w:rPr>
          <w:rFonts w:hint="cs"/>
          <w:sz w:val="27"/>
          <w:rtl/>
        </w:rPr>
        <w:t xml:space="preserve"> فالنموّ السكاني يكون مطلوباً في بعض الأزمنة والأمكنة</w:t>
      </w:r>
      <w:r w:rsidRPr="00282AC9">
        <w:rPr>
          <w:rFonts w:hint="cs"/>
          <w:sz w:val="27"/>
          <w:rtl/>
        </w:rPr>
        <w:t>؛</w:t>
      </w:r>
      <w:r w:rsidR="001153F1" w:rsidRPr="00282AC9">
        <w:rPr>
          <w:rFonts w:hint="cs"/>
          <w:sz w:val="27"/>
          <w:rtl/>
        </w:rPr>
        <w:t xml:space="preserve"> بينما يكون مضرّاً في الأزمنة والأمكنة الأخرى</w:t>
      </w:r>
      <w:r w:rsidRPr="00282AC9">
        <w:rPr>
          <w:rFonts w:hint="cs"/>
          <w:sz w:val="27"/>
          <w:rtl/>
        </w:rPr>
        <w:t>.</w:t>
      </w:r>
      <w:r w:rsidR="001153F1" w:rsidRPr="00282AC9">
        <w:rPr>
          <w:rFonts w:hint="cs"/>
          <w:sz w:val="27"/>
          <w:rtl/>
        </w:rPr>
        <w:t xml:space="preserve"> وهذا ما نجده اليوم في العالم</w:t>
      </w:r>
      <w:r w:rsidRPr="00282AC9">
        <w:rPr>
          <w:rFonts w:hint="cs"/>
          <w:sz w:val="27"/>
          <w:rtl/>
        </w:rPr>
        <w:t>؛</w:t>
      </w:r>
      <w:r w:rsidR="001153F1" w:rsidRPr="00282AC9">
        <w:rPr>
          <w:rFonts w:hint="cs"/>
          <w:sz w:val="27"/>
          <w:rtl/>
        </w:rPr>
        <w:t xml:space="preserve"> فبعض البلدان التي تعاني من كثرة السكّان</w:t>
      </w:r>
      <w:r w:rsidRPr="00282AC9">
        <w:rPr>
          <w:rFonts w:hint="cs"/>
          <w:sz w:val="27"/>
          <w:rtl/>
        </w:rPr>
        <w:t>،</w:t>
      </w:r>
      <w:r w:rsidR="001153F1" w:rsidRPr="00282AC9">
        <w:rPr>
          <w:rFonts w:hint="cs"/>
          <w:sz w:val="27"/>
          <w:rtl/>
        </w:rPr>
        <w:t xml:space="preserve"> كالصين، يحاولون التحكّ</w:t>
      </w:r>
      <w:r w:rsidRPr="00282AC9">
        <w:rPr>
          <w:rFonts w:hint="cs"/>
          <w:sz w:val="27"/>
          <w:rtl/>
        </w:rPr>
        <w:t>ُ</w:t>
      </w:r>
      <w:r w:rsidR="001153F1" w:rsidRPr="00282AC9">
        <w:rPr>
          <w:rFonts w:hint="cs"/>
          <w:sz w:val="27"/>
          <w:rtl/>
        </w:rPr>
        <w:t>م بالسك</w:t>
      </w:r>
      <w:r w:rsidRPr="00282AC9">
        <w:rPr>
          <w:rFonts w:hint="cs"/>
          <w:sz w:val="27"/>
          <w:rtl/>
        </w:rPr>
        <w:t>ّ</w:t>
      </w:r>
      <w:r w:rsidR="001153F1" w:rsidRPr="00282AC9">
        <w:rPr>
          <w:rFonts w:hint="cs"/>
          <w:sz w:val="27"/>
          <w:rtl/>
        </w:rPr>
        <w:t>ان</w:t>
      </w:r>
      <w:r w:rsidRPr="00282AC9">
        <w:rPr>
          <w:rFonts w:hint="cs"/>
          <w:sz w:val="27"/>
          <w:rtl/>
        </w:rPr>
        <w:t>؛</w:t>
      </w:r>
      <w:r w:rsidR="001153F1" w:rsidRPr="00282AC9">
        <w:rPr>
          <w:rFonts w:hint="cs"/>
          <w:sz w:val="27"/>
          <w:rtl/>
        </w:rPr>
        <w:t xml:space="preserve"> بغية تقليلهم</w:t>
      </w:r>
      <w:r w:rsidRPr="00282AC9">
        <w:rPr>
          <w:rFonts w:hint="cs"/>
          <w:sz w:val="27"/>
          <w:rtl/>
        </w:rPr>
        <w:t>؛</w:t>
      </w:r>
      <w:r w:rsidR="001153F1" w:rsidRPr="00282AC9">
        <w:rPr>
          <w:rFonts w:hint="cs"/>
          <w:sz w:val="27"/>
          <w:rtl/>
        </w:rPr>
        <w:t xml:space="preserve"> بينما البلدان التي تعا</w:t>
      </w:r>
      <w:r w:rsidRPr="00282AC9">
        <w:rPr>
          <w:rFonts w:hint="cs"/>
          <w:sz w:val="27"/>
          <w:rtl/>
        </w:rPr>
        <w:t>ني من شي</w:t>
      </w:r>
      <w:r w:rsidR="001153F1" w:rsidRPr="00282AC9">
        <w:rPr>
          <w:rFonts w:hint="cs"/>
          <w:sz w:val="27"/>
          <w:rtl/>
        </w:rPr>
        <w:t xml:space="preserve">خوخة السكّان </w:t>
      </w:r>
      <w:r w:rsidRPr="00282AC9">
        <w:rPr>
          <w:rFonts w:hint="cs"/>
          <w:sz w:val="27"/>
          <w:rtl/>
        </w:rPr>
        <w:t>ت</w:t>
      </w:r>
      <w:r w:rsidR="001153F1" w:rsidRPr="00282AC9">
        <w:rPr>
          <w:rFonts w:hint="cs"/>
          <w:sz w:val="27"/>
          <w:rtl/>
        </w:rPr>
        <w:t xml:space="preserve">حاول زيادة عدد السكّان عبر أساليب مختلفة. </w:t>
      </w:r>
    </w:p>
    <w:p w:rsidR="001153F1" w:rsidRPr="00282AC9" w:rsidRDefault="001153F1" w:rsidP="003E218F">
      <w:pPr>
        <w:rPr>
          <w:sz w:val="27"/>
          <w:rtl/>
        </w:rPr>
      </w:pPr>
      <w:r w:rsidRPr="00282AC9">
        <w:rPr>
          <w:sz w:val="27"/>
          <w:rtl/>
        </w:rPr>
        <w:t>أما ذيل هذه الرواية</w:t>
      </w:r>
      <w:r w:rsidR="00335AF3" w:rsidRPr="00282AC9">
        <w:rPr>
          <w:rFonts w:hint="cs"/>
          <w:sz w:val="27"/>
          <w:rtl/>
        </w:rPr>
        <w:t>:</w:t>
      </w:r>
      <w:r w:rsidRPr="00282AC9">
        <w:rPr>
          <w:sz w:val="27"/>
          <w:rtl/>
        </w:rPr>
        <w:t xml:space="preserve"> (</w:t>
      </w:r>
      <w:r w:rsidR="00335AF3" w:rsidRPr="00282AC9">
        <w:rPr>
          <w:sz w:val="27"/>
          <w:rtl/>
        </w:rPr>
        <w:t>أ</w:t>
      </w:r>
      <w:r w:rsidR="00335AF3" w:rsidRPr="00282AC9">
        <w:rPr>
          <w:rFonts w:hint="cs"/>
          <w:sz w:val="27"/>
          <w:rtl/>
        </w:rPr>
        <w:t>َ</w:t>
      </w:r>
      <w:r w:rsidR="00335AF3" w:rsidRPr="00282AC9">
        <w:rPr>
          <w:sz w:val="27"/>
          <w:rtl/>
        </w:rPr>
        <w:t>و</w:t>
      </w:r>
      <w:r w:rsidR="00335AF3" w:rsidRPr="00282AC9">
        <w:rPr>
          <w:rFonts w:hint="cs"/>
          <w:sz w:val="27"/>
          <w:rtl/>
        </w:rPr>
        <w:t>َ</w:t>
      </w:r>
      <w:r w:rsidRPr="00282AC9">
        <w:rPr>
          <w:sz w:val="27"/>
          <w:rtl/>
        </w:rPr>
        <w:t>ما علم</w:t>
      </w:r>
      <w:r w:rsidR="00335AF3" w:rsidRPr="00282AC9">
        <w:rPr>
          <w:rFonts w:hint="cs"/>
          <w:sz w:val="27"/>
          <w:rtl/>
        </w:rPr>
        <w:t>ْ</w:t>
      </w:r>
      <w:r w:rsidRPr="00282AC9">
        <w:rPr>
          <w:sz w:val="27"/>
          <w:rtl/>
        </w:rPr>
        <w:t>ت</w:t>
      </w:r>
      <w:r w:rsidR="00335AF3" w:rsidRPr="00282AC9">
        <w:rPr>
          <w:rFonts w:hint="cs"/>
          <w:sz w:val="27"/>
          <w:rtl/>
        </w:rPr>
        <w:t>َ</w:t>
      </w:r>
      <w:r w:rsidRPr="00282AC9">
        <w:rPr>
          <w:sz w:val="27"/>
          <w:rtl/>
        </w:rPr>
        <w:t xml:space="preserve"> أن الولدان تحت العرش...) </w:t>
      </w:r>
      <w:r w:rsidR="00335AF3" w:rsidRPr="00282AC9">
        <w:rPr>
          <w:rFonts w:hint="cs"/>
          <w:sz w:val="27"/>
          <w:rtl/>
        </w:rPr>
        <w:t>ف</w:t>
      </w:r>
      <w:r w:rsidRPr="00282AC9">
        <w:rPr>
          <w:sz w:val="27"/>
          <w:rtl/>
        </w:rPr>
        <w:t>غير واضح</w:t>
      </w:r>
      <w:r w:rsidR="00335AF3" w:rsidRPr="00282AC9">
        <w:rPr>
          <w:rFonts w:hint="cs"/>
          <w:sz w:val="27"/>
          <w:rtl/>
        </w:rPr>
        <w:t>ٍ؛</w:t>
      </w:r>
      <w:r w:rsidRPr="00282AC9">
        <w:rPr>
          <w:sz w:val="27"/>
          <w:rtl/>
        </w:rPr>
        <w:t xml:space="preserve"> </w:t>
      </w:r>
      <w:r w:rsidR="00335AF3" w:rsidRPr="00282AC9">
        <w:rPr>
          <w:rFonts w:hint="cs"/>
          <w:sz w:val="27"/>
          <w:rtl/>
        </w:rPr>
        <w:t xml:space="preserve">إذ </w:t>
      </w:r>
      <w:r w:rsidRPr="00282AC9">
        <w:rPr>
          <w:sz w:val="27"/>
          <w:rtl/>
        </w:rPr>
        <w:t xml:space="preserve">ما </w:t>
      </w:r>
      <w:r w:rsidR="00335AF3" w:rsidRPr="00282AC9">
        <w:rPr>
          <w:rFonts w:hint="cs"/>
          <w:sz w:val="27"/>
          <w:rtl/>
        </w:rPr>
        <w:t xml:space="preserve">هو </w:t>
      </w:r>
      <w:r w:rsidRPr="00282AC9">
        <w:rPr>
          <w:sz w:val="27"/>
          <w:rtl/>
        </w:rPr>
        <w:t>المقصود من أن الولدان تحت العرش؟</w:t>
      </w:r>
      <w:r w:rsidR="00335AF3" w:rsidRPr="00282AC9">
        <w:rPr>
          <w:rFonts w:hint="cs"/>
          <w:sz w:val="27"/>
          <w:rtl/>
        </w:rPr>
        <w:t>!</w:t>
      </w:r>
      <w:r w:rsidRPr="00282AC9">
        <w:rPr>
          <w:sz w:val="27"/>
          <w:rtl/>
        </w:rPr>
        <w:t xml:space="preserve"> وما هي علاقة هذا بالمباهاة يوم القيامة؟</w:t>
      </w:r>
      <w:r w:rsidR="00335AF3" w:rsidRPr="00282AC9">
        <w:rPr>
          <w:rFonts w:hint="cs"/>
          <w:sz w:val="27"/>
          <w:rtl/>
        </w:rPr>
        <w:t>!</w:t>
      </w:r>
      <w:r w:rsidRPr="00282AC9">
        <w:rPr>
          <w:sz w:val="27"/>
          <w:rtl/>
        </w:rPr>
        <w:t xml:space="preserve"> وهل هذا معقول؟</w:t>
      </w:r>
      <w:r w:rsidR="00335AF3" w:rsidRPr="00282AC9">
        <w:rPr>
          <w:rFonts w:hint="cs"/>
          <w:sz w:val="27"/>
          <w:rtl/>
        </w:rPr>
        <w:t>!</w:t>
      </w:r>
    </w:p>
    <w:p w:rsidR="00F943B4" w:rsidRPr="00282AC9" w:rsidRDefault="00F943B4" w:rsidP="00F943B4">
      <w:pPr>
        <w:spacing w:line="420" w:lineRule="exact"/>
        <w:rPr>
          <w:sz w:val="27"/>
          <w:rtl/>
        </w:rPr>
      </w:pPr>
    </w:p>
    <w:p w:rsidR="00335AF3" w:rsidRPr="00282AC9" w:rsidRDefault="00AB7984" w:rsidP="00AB7984">
      <w:pPr>
        <w:pStyle w:val="31"/>
        <w:rPr>
          <w:color w:val="auto"/>
          <w:rtl/>
        </w:rPr>
      </w:pPr>
      <w:r w:rsidRPr="00282AC9">
        <w:rPr>
          <w:rFonts w:hint="cs"/>
          <w:color w:val="auto"/>
          <w:rtl/>
        </w:rPr>
        <w:t xml:space="preserve">4ـ </w:t>
      </w:r>
      <w:r w:rsidRPr="00282AC9">
        <w:rPr>
          <w:color w:val="auto"/>
          <w:rtl/>
        </w:rPr>
        <w:t>«</w:t>
      </w:r>
      <w:r w:rsidRPr="00282AC9">
        <w:rPr>
          <w:rFonts w:hint="cs"/>
          <w:color w:val="auto"/>
          <w:rtl/>
        </w:rPr>
        <w:t>تزوَّجوا...الولود، ولا تتزوَّجوا...العاقر</w:t>
      </w:r>
      <w:r w:rsidRPr="00282AC9">
        <w:rPr>
          <w:color w:val="auto"/>
          <w:rtl/>
        </w:rPr>
        <w:t>»</w:t>
      </w:r>
    </w:p>
    <w:p w:rsidR="001153F1" w:rsidRPr="00282AC9" w:rsidRDefault="00335AF3" w:rsidP="003E218F">
      <w:pPr>
        <w:rPr>
          <w:sz w:val="27"/>
          <w:rtl/>
          <w:lang w:bidi="fa-IR"/>
        </w:rPr>
      </w:pPr>
      <w:r w:rsidRPr="00282AC9">
        <w:rPr>
          <w:rFonts w:hint="cs"/>
          <w:sz w:val="27"/>
          <w:rtl/>
        </w:rPr>
        <w:t xml:space="preserve">وهي </w:t>
      </w:r>
      <w:r w:rsidR="001153F1" w:rsidRPr="00282AC9">
        <w:rPr>
          <w:rFonts w:hint="cs"/>
          <w:sz w:val="27"/>
          <w:rtl/>
        </w:rPr>
        <w:t>م</w:t>
      </w:r>
      <w:r w:rsidR="00780429" w:rsidRPr="00282AC9">
        <w:rPr>
          <w:rFonts w:hint="cs"/>
          <w:sz w:val="27"/>
          <w:rtl/>
        </w:rPr>
        <w:t>ُ</w:t>
      </w:r>
      <w:r w:rsidR="001153F1" w:rsidRPr="00282AC9">
        <w:rPr>
          <w:rFonts w:hint="cs"/>
          <w:sz w:val="27"/>
          <w:rtl/>
        </w:rPr>
        <w:t>ر</w:t>
      </w:r>
      <w:r w:rsidR="00780429" w:rsidRPr="00282AC9">
        <w:rPr>
          <w:rFonts w:hint="cs"/>
          <w:sz w:val="27"/>
          <w:rtl/>
        </w:rPr>
        <w:t>ْ</w:t>
      </w:r>
      <w:r w:rsidR="001153F1" w:rsidRPr="00282AC9">
        <w:rPr>
          <w:rFonts w:hint="cs"/>
          <w:sz w:val="27"/>
          <w:rtl/>
        </w:rPr>
        <w:t>س</w:t>
      </w:r>
      <w:r w:rsidR="00780429" w:rsidRPr="00282AC9">
        <w:rPr>
          <w:rFonts w:hint="cs"/>
          <w:sz w:val="27"/>
          <w:rtl/>
        </w:rPr>
        <w:t>َ</w:t>
      </w:r>
      <w:r w:rsidR="001153F1" w:rsidRPr="00282AC9">
        <w:rPr>
          <w:rFonts w:hint="cs"/>
          <w:sz w:val="27"/>
          <w:rtl/>
        </w:rPr>
        <w:t>لة نوادر الراوندي</w:t>
      </w:r>
      <w:r w:rsidRPr="00282AC9">
        <w:rPr>
          <w:rFonts w:hint="cs"/>
          <w:sz w:val="27"/>
          <w:rtl/>
        </w:rPr>
        <w:t>،</w:t>
      </w:r>
      <w:r w:rsidR="001153F1" w:rsidRPr="00282AC9">
        <w:rPr>
          <w:rFonts w:hint="cs"/>
          <w:sz w:val="27"/>
          <w:rtl/>
        </w:rPr>
        <w:t xml:space="preserve"> قال: قال رسول الله</w:t>
      </w:r>
      <w:r w:rsidR="009A2A04" w:rsidRPr="00282AC9">
        <w:rPr>
          <w:rFonts w:cs="Mosawi"/>
          <w:sz w:val="22"/>
          <w:szCs w:val="22"/>
          <w:rtl/>
        </w:rPr>
        <w:t>|</w:t>
      </w:r>
      <w:r w:rsidR="001153F1" w:rsidRPr="00282AC9">
        <w:rPr>
          <w:rFonts w:hint="cs"/>
          <w:sz w:val="27"/>
          <w:rtl/>
        </w:rPr>
        <w:t xml:space="preserve">:‏ </w:t>
      </w:r>
      <w:r w:rsidR="001153F1" w:rsidRPr="00282AC9">
        <w:rPr>
          <w:sz w:val="24"/>
          <w:szCs w:val="24"/>
          <w:rtl/>
          <w:lang w:bidi="fa-IR"/>
        </w:rPr>
        <w:t>«</w:t>
      </w:r>
      <w:r w:rsidR="001153F1" w:rsidRPr="00282AC9">
        <w:rPr>
          <w:rFonts w:hint="cs"/>
          <w:sz w:val="27"/>
          <w:rtl/>
          <w:lang w:bidi="fa-IR"/>
        </w:rPr>
        <w:t>تزوّ</w:t>
      </w:r>
      <w:r w:rsidRPr="00282AC9">
        <w:rPr>
          <w:rFonts w:hint="cs"/>
          <w:sz w:val="27"/>
          <w:rtl/>
          <w:lang w:bidi="fa-IR"/>
        </w:rPr>
        <w:t>َ</w:t>
      </w:r>
      <w:r w:rsidR="001153F1" w:rsidRPr="00282AC9">
        <w:rPr>
          <w:rFonts w:hint="cs"/>
          <w:sz w:val="27"/>
          <w:rtl/>
          <w:lang w:bidi="fa-IR"/>
        </w:rPr>
        <w:t>جوا السوداء الولود الودود</w:t>
      </w:r>
      <w:r w:rsidRPr="00282AC9">
        <w:rPr>
          <w:rFonts w:hint="cs"/>
          <w:sz w:val="27"/>
          <w:rtl/>
          <w:lang w:bidi="fa-IR"/>
        </w:rPr>
        <w:t>،</w:t>
      </w:r>
      <w:r w:rsidR="001153F1" w:rsidRPr="00282AC9">
        <w:rPr>
          <w:rFonts w:hint="cs"/>
          <w:sz w:val="27"/>
          <w:rtl/>
          <w:lang w:bidi="fa-IR"/>
        </w:rPr>
        <w:t xml:space="preserve"> ولا تتزوّجوا الحسناء الجميلة العاقر</w:t>
      </w:r>
      <w:r w:rsidRPr="00282AC9">
        <w:rPr>
          <w:rFonts w:hint="cs"/>
          <w:sz w:val="27"/>
          <w:rtl/>
          <w:lang w:bidi="fa-IR"/>
        </w:rPr>
        <w:t>؛</w:t>
      </w:r>
      <w:r w:rsidR="001153F1" w:rsidRPr="00282AC9">
        <w:rPr>
          <w:rFonts w:hint="cs"/>
          <w:sz w:val="27"/>
          <w:rtl/>
          <w:lang w:bidi="fa-IR"/>
        </w:rPr>
        <w:t xml:space="preserve"> فإنّي أباهي بكم الأمم يوم القيامة</w:t>
      </w:r>
      <w:r w:rsidRPr="00282AC9">
        <w:rPr>
          <w:rFonts w:hint="cs"/>
          <w:sz w:val="27"/>
          <w:rtl/>
          <w:lang w:bidi="fa-IR"/>
        </w:rPr>
        <w:t>،</w:t>
      </w:r>
      <w:r w:rsidR="001153F1" w:rsidRPr="00282AC9">
        <w:rPr>
          <w:rFonts w:hint="cs"/>
          <w:sz w:val="27"/>
          <w:rtl/>
          <w:lang w:bidi="fa-IR"/>
        </w:rPr>
        <w:t xml:space="preserve"> أ</w:t>
      </w:r>
      <w:r w:rsidRPr="00282AC9">
        <w:rPr>
          <w:rFonts w:hint="cs"/>
          <w:sz w:val="27"/>
          <w:rtl/>
          <w:lang w:bidi="fa-IR"/>
        </w:rPr>
        <w:t>َ</w:t>
      </w:r>
      <w:r w:rsidR="001153F1" w:rsidRPr="00282AC9">
        <w:rPr>
          <w:rFonts w:hint="cs"/>
          <w:sz w:val="27"/>
          <w:rtl/>
          <w:lang w:bidi="fa-IR"/>
        </w:rPr>
        <w:t>و</w:t>
      </w:r>
      <w:r w:rsidRPr="00282AC9">
        <w:rPr>
          <w:rFonts w:hint="cs"/>
          <w:sz w:val="27"/>
          <w:rtl/>
          <w:lang w:bidi="fa-IR"/>
        </w:rPr>
        <w:t>َ</w:t>
      </w:r>
      <w:r w:rsidR="001153F1" w:rsidRPr="00282AC9">
        <w:rPr>
          <w:rFonts w:hint="cs"/>
          <w:sz w:val="27"/>
          <w:rtl/>
          <w:lang w:bidi="fa-IR"/>
        </w:rPr>
        <w:t>ما علم</w:t>
      </w:r>
      <w:r w:rsidRPr="00282AC9">
        <w:rPr>
          <w:rFonts w:hint="cs"/>
          <w:sz w:val="27"/>
          <w:rtl/>
          <w:lang w:bidi="fa-IR"/>
        </w:rPr>
        <w:t>ْ</w:t>
      </w:r>
      <w:r w:rsidR="001153F1" w:rsidRPr="00282AC9">
        <w:rPr>
          <w:rFonts w:hint="cs"/>
          <w:sz w:val="27"/>
          <w:rtl/>
          <w:lang w:bidi="fa-IR"/>
        </w:rPr>
        <w:t>ت</w:t>
      </w:r>
      <w:r w:rsidRPr="00282AC9">
        <w:rPr>
          <w:rFonts w:hint="cs"/>
          <w:sz w:val="27"/>
          <w:rtl/>
          <w:lang w:bidi="fa-IR"/>
        </w:rPr>
        <w:t>َ</w:t>
      </w:r>
      <w:r w:rsidR="001153F1" w:rsidRPr="00282AC9">
        <w:rPr>
          <w:rFonts w:hint="cs"/>
          <w:sz w:val="27"/>
          <w:rtl/>
          <w:lang w:bidi="fa-IR"/>
        </w:rPr>
        <w:t xml:space="preserve"> أن الولدان تحت عرش الرحمن يستغفرون لآبائهم</w:t>
      </w:r>
      <w:r w:rsidRPr="00282AC9">
        <w:rPr>
          <w:rFonts w:hint="cs"/>
          <w:sz w:val="27"/>
          <w:rtl/>
          <w:lang w:bidi="fa-IR"/>
        </w:rPr>
        <w:t>،</w:t>
      </w:r>
      <w:r w:rsidR="001153F1" w:rsidRPr="00282AC9">
        <w:rPr>
          <w:rFonts w:hint="cs"/>
          <w:sz w:val="27"/>
          <w:rtl/>
          <w:lang w:bidi="fa-IR"/>
        </w:rPr>
        <w:t xml:space="preserve"> ويحضنهم إبراهيم</w:t>
      </w:r>
      <w:r w:rsidR="009A2A04" w:rsidRPr="00282AC9">
        <w:rPr>
          <w:rFonts w:cs="Mosawi"/>
          <w:sz w:val="22"/>
          <w:szCs w:val="22"/>
          <w:rtl/>
          <w:lang w:bidi="fa-IR"/>
        </w:rPr>
        <w:t>×</w:t>
      </w:r>
      <w:r w:rsidRPr="00282AC9">
        <w:rPr>
          <w:rFonts w:hint="cs"/>
          <w:sz w:val="27"/>
          <w:rtl/>
          <w:lang w:bidi="fa-IR"/>
        </w:rPr>
        <w:t>،</w:t>
      </w:r>
      <w:r w:rsidR="001153F1" w:rsidRPr="00282AC9">
        <w:rPr>
          <w:rFonts w:hint="cs"/>
          <w:sz w:val="27"/>
          <w:rtl/>
          <w:lang w:bidi="fa-IR"/>
        </w:rPr>
        <w:t xml:space="preserve"> وتربّ</w:t>
      </w:r>
      <w:r w:rsidRPr="00282AC9">
        <w:rPr>
          <w:rFonts w:hint="cs"/>
          <w:sz w:val="27"/>
          <w:rtl/>
          <w:lang w:bidi="fa-IR"/>
        </w:rPr>
        <w:t>ِ</w:t>
      </w:r>
      <w:r w:rsidR="001153F1" w:rsidRPr="00282AC9">
        <w:rPr>
          <w:rFonts w:hint="cs"/>
          <w:sz w:val="27"/>
          <w:rtl/>
          <w:lang w:bidi="fa-IR"/>
        </w:rPr>
        <w:t>يهم سارة</w:t>
      </w:r>
      <w:r w:rsidR="009A2A04" w:rsidRPr="00282AC9">
        <w:rPr>
          <w:rFonts w:cs="Mosawi"/>
          <w:sz w:val="22"/>
          <w:szCs w:val="22"/>
          <w:rtl/>
          <w:lang w:bidi="fa-IR"/>
        </w:rPr>
        <w:t>÷</w:t>
      </w:r>
      <w:r w:rsidRPr="00282AC9">
        <w:rPr>
          <w:rFonts w:hint="cs"/>
          <w:sz w:val="27"/>
          <w:rtl/>
          <w:lang w:bidi="fa-IR"/>
        </w:rPr>
        <w:t>،</w:t>
      </w:r>
      <w:r w:rsidR="001153F1" w:rsidRPr="00282AC9">
        <w:rPr>
          <w:rFonts w:hint="cs"/>
          <w:sz w:val="27"/>
          <w:rtl/>
          <w:lang w:bidi="fa-IR"/>
        </w:rPr>
        <w:t xml:space="preserve"> في جبل</w:t>
      </w:r>
      <w:r w:rsidRPr="00282AC9">
        <w:rPr>
          <w:rFonts w:hint="cs"/>
          <w:sz w:val="27"/>
          <w:rtl/>
          <w:lang w:bidi="fa-IR"/>
        </w:rPr>
        <w:t>ٍ</w:t>
      </w:r>
      <w:r w:rsidR="001153F1" w:rsidRPr="00282AC9">
        <w:rPr>
          <w:rFonts w:hint="cs"/>
          <w:sz w:val="27"/>
          <w:rtl/>
          <w:lang w:bidi="fa-IR"/>
        </w:rPr>
        <w:t xml:space="preserve"> من مسك</w:t>
      </w:r>
      <w:r w:rsidRPr="00282AC9">
        <w:rPr>
          <w:rFonts w:hint="cs"/>
          <w:sz w:val="27"/>
          <w:rtl/>
          <w:lang w:bidi="fa-IR"/>
        </w:rPr>
        <w:t>ٍ</w:t>
      </w:r>
      <w:r w:rsidR="001153F1" w:rsidRPr="00282AC9">
        <w:rPr>
          <w:rFonts w:hint="cs"/>
          <w:sz w:val="27"/>
          <w:rtl/>
          <w:lang w:bidi="fa-IR"/>
        </w:rPr>
        <w:t xml:space="preserve"> وعنبر وزعفران‏</w:t>
      </w:r>
      <w:r w:rsidR="001153F1" w:rsidRPr="00282AC9">
        <w:rPr>
          <w:sz w:val="24"/>
          <w:szCs w:val="24"/>
          <w:rtl/>
          <w:lang w:bidi="fa-IR"/>
        </w:rPr>
        <w:t>»</w:t>
      </w:r>
      <w:r w:rsidR="001153F1" w:rsidRPr="00282AC9">
        <w:rPr>
          <w:sz w:val="27"/>
          <w:vertAlign w:val="superscript"/>
          <w:rtl/>
          <w:lang w:bidi="fa-IR"/>
        </w:rPr>
        <w:t>(</w:t>
      </w:r>
      <w:r w:rsidR="001153F1" w:rsidRPr="00282AC9">
        <w:rPr>
          <w:rStyle w:val="af9"/>
          <w:sz w:val="27"/>
          <w:rtl/>
          <w:lang w:bidi="fa-IR"/>
        </w:rPr>
        <w:endnoteReference w:id="648"/>
      </w:r>
      <w:r w:rsidR="001153F1" w:rsidRPr="00282AC9">
        <w:rPr>
          <w:sz w:val="27"/>
          <w:vertAlign w:val="superscript"/>
          <w:rtl/>
          <w:lang w:bidi="fa-IR"/>
        </w:rPr>
        <w:t>)</w:t>
      </w:r>
      <w:r w:rsidR="001153F1" w:rsidRPr="00282AC9">
        <w:rPr>
          <w:rFonts w:hint="cs"/>
          <w:sz w:val="27"/>
          <w:rtl/>
          <w:lang w:bidi="fa-IR"/>
        </w:rPr>
        <w:t>.</w:t>
      </w:r>
    </w:p>
    <w:p w:rsidR="001153F1" w:rsidRPr="00282AC9" w:rsidRDefault="00335AF3" w:rsidP="003E218F">
      <w:pPr>
        <w:rPr>
          <w:sz w:val="27"/>
          <w:rtl/>
          <w:lang w:bidi="fa-IR"/>
        </w:rPr>
      </w:pPr>
      <w:r w:rsidRPr="00282AC9">
        <w:rPr>
          <w:rFonts w:hint="cs"/>
          <w:sz w:val="27"/>
          <w:rtl/>
        </w:rPr>
        <w:t>و</w:t>
      </w:r>
      <w:r w:rsidR="001153F1" w:rsidRPr="00282AC9">
        <w:rPr>
          <w:rFonts w:hint="cs"/>
          <w:sz w:val="27"/>
          <w:rtl/>
        </w:rPr>
        <w:t xml:space="preserve">نجد في هذه الرواية تعبير </w:t>
      </w:r>
      <w:r w:rsidR="001153F1" w:rsidRPr="00282AC9">
        <w:rPr>
          <w:rFonts w:ascii="Mosawi" w:hAnsi="Mosawi"/>
          <w:sz w:val="24"/>
          <w:szCs w:val="24"/>
          <w:rtl/>
        </w:rPr>
        <w:t>«</w:t>
      </w:r>
      <w:r w:rsidR="001153F1" w:rsidRPr="00282AC9">
        <w:rPr>
          <w:rFonts w:hint="cs"/>
          <w:sz w:val="27"/>
          <w:rtl/>
        </w:rPr>
        <w:t>سوداء</w:t>
      </w:r>
      <w:r w:rsidR="001153F1" w:rsidRPr="00282AC9">
        <w:rPr>
          <w:rFonts w:ascii="Mosawi" w:hAnsi="Mosawi"/>
          <w:sz w:val="24"/>
          <w:szCs w:val="24"/>
          <w:rtl/>
        </w:rPr>
        <w:t>»</w:t>
      </w:r>
      <w:r w:rsidRPr="00282AC9">
        <w:rPr>
          <w:rFonts w:hint="cs"/>
          <w:sz w:val="27"/>
          <w:rtl/>
        </w:rPr>
        <w:t>.</w:t>
      </w:r>
      <w:r w:rsidR="001153F1" w:rsidRPr="00282AC9">
        <w:rPr>
          <w:rFonts w:hint="cs"/>
          <w:sz w:val="27"/>
          <w:rtl/>
        </w:rPr>
        <w:t xml:space="preserve"> ور</w:t>
      </w:r>
      <w:r w:rsidRPr="00282AC9">
        <w:rPr>
          <w:rFonts w:hint="cs"/>
          <w:sz w:val="27"/>
          <w:rtl/>
        </w:rPr>
        <w:t>ُ</w:t>
      </w:r>
      <w:r w:rsidR="001153F1" w:rsidRPr="00282AC9">
        <w:rPr>
          <w:rFonts w:hint="cs"/>
          <w:sz w:val="27"/>
          <w:rtl/>
        </w:rPr>
        <w:t>ب</w:t>
      </w:r>
      <w:r w:rsidRPr="00282AC9">
        <w:rPr>
          <w:rFonts w:hint="cs"/>
          <w:sz w:val="27"/>
          <w:rtl/>
        </w:rPr>
        <w:t>َ</w:t>
      </w:r>
      <w:r w:rsidR="001153F1" w:rsidRPr="00282AC9">
        <w:rPr>
          <w:rFonts w:hint="cs"/>
          <w:sz w:val="27"/>
          <w:rtl/>
        </w:rPr>
        <w:t>ما كان الأصل</w:t>
      </w:r>
      <w:r w:rsidRPr="00282AC9">
        <w:rPr>
          <w:rFonts w:hint="cs"/>
          <w:sz w:val="27"/>
          <w:rtl/>
        </w:rPr>
        <w:t>؛</w:t>
      </w:r>
      <w:r w:rsidR="001153F1" w:rsidRPr="00282AC9">
        <w:rPr>
          <w:rFonts w:hint="cs"/>
          <w:sz w:val="27"/>
          <w:rtl/>
        </w:rPr>
        <w:t xml:space="preserve"> بقرينة سائر الروايات</w:t>
      </w:r>
      <w:r w:rsidR="001D5788" w:rsidRPr="00282AC9">
        <w:rPr>
          <w:rFonts w:hint="cs"/>
          <w:sz w:val="27"/>
          <w:rtl/>
        </w:rPr>
        <w:t>،</w:t>
      </w:r>
      <w:r w:rsidR="001153F1" w:rsidRPr="00282AC9">
        <w:rPr>
          <w:rFonts w:hint="cs"/>
          <w:sz w:val="27"/>
          <w:rtl/>
        </w:rPr>
        <w:t xml:space="preserve"> وانسجامها مع المضمون</w:t>
      </w:r>
      <w:r w:rsidR="001D5788" w:rsidRPr="00282AC9">
        <w:rPr>
          <w:rFonts w:hint="cs"/>
          <w:sz w:val="27"/>
          <w:rtl/>
        </w:rPr>
        <w:t>،</w:t>
      </w:r>
      <w:r w:rsidR="001153F1" w:rsidRPr="00282AC9">
        <w:rPr>
          <w:rFonts w:hint="cs"/>
          <w:sz w:val="27"/>
          <w:rtl/>
        </w:rPr>
        <w:t xml:space="preserve"> </w:t>
      </w:r>
      <w:r w:rsidR="001153F1" w:rsidRPr="00282AC9">
        <w:rPr>
          <w:rFonts w:ascii="Mosawi" w:hAnsi="Mosawi"/>
          <w:sz w:val="24"/>
          <w:szCs w:val="24"/>
          <w:rtl/>
        </w:rPr>
        <w:t>«</w:t>
      </w:r>
      <w:r w:rsidR="001153F1" w:rsidRPr="00282AC9">
        <w:rPr>
          <w:rFonts w:ascii="Mosawi" w:hAnsi="Mosawi" w:hint="cs"/>
          <w:sz w:val="27"/>
          <w:rtl/>
        </w:rPr>
        <w:t>السوءاء</w:t>
      </w:r>
      <w:r w:rsidR="001153F1" w:rsidRPr="00282AC9">
        <w:rPr>
          <w:rFonts w:ascii="Mosawi" w:hAnsi="Mosawi"/>
          <w:sz w:val="24"/>
          <w:szCs w:val="24"/>
          <w:rtl/>
        </w:rPr>
        <w:t>»</w:t>
      </w:r>
      <w:r w:rsidR="001D5788" w:rsidRPr="00282AC9">
        <w:rPr>
          <w:rFonts w:ascii="Mosawi" w:hAnsi="Mosawi" w:hint="cs"/>
          <w:sz w:val="27"/>
          <w:rtl/>
        </w:rPr>
        <w:t>،</w:t>
      </w:r>
      <w:r w:rsidR="001153F1" w:rsidRPr="00282AC9">
        <w:rPr>
          <w:rFonts w:ascii="Mosawi" w:hAnsi="Mosawi" w:hint="cs"/>
          <w:sz w:val="27"/>
          <w:rtl/>
        </w:rPr>
        <w:t xml:space="preserve"> بمعنى قبيحة المنظر</w:t>
      </w:r>
      <w:r w:rsidR="001D5788" w:rsidRPr="00282AC9">
        <w:rPr>
          <w:rFonts w:ascii="Mosawi" w:hAnsi="Mosawi" w:hint="cs"/>
          <w:sz w:val="27"/>
          <w:rtl/>
        </w:rPr>
        <w:t>.</w:t>
      </w:r>
      <w:r w:rsidR="001153F1" w:rsidRPr="00282AC9">
        <w:rPr>
          <w:rFonts w:ascii="Mosawi" w:hAnsi="Mosawi" w:hint="cs"/>
          <w:sz w:val="27"/>
          <w:rtl/>
        </w:rPr>
        <w:t xml:space="preserve"> </w:t>
      </w:r>
      <w:r w:rsidR="001153F1" w:rsidRPr="00282AC9">
        <w:rPr>
          <w:rFonts w:hint="cs"/>
          <w:sz w:val="27"/>
          <w:rtl/>
        </w:rPr>
        <w:t xml:space="preserve">وهذا التصحيف </w:t>
      </w:r>
      <w:r w:rsidR="001D5788" w:rsidRPr="00282AC9">
        <w:rPr>
          <w:rFonts w:hint="cs"/>
          <w:sz w:val="27"/>
          <w:rtl/>
        </w:rPr>
        <w:t>متوقَّعٌ</w:t>
      </w:r>
      <w:r w:rsidR="001153F1" w:rsidRPr="00282AC9">
        <w:rPr>
          <w:rFonts w:hint="cs"/>
          <w:sz w:val="27"/>
          <w:rtl/>
        </w:rPr>
        <w:t xml:space="preserve"> جد</w:t>
      </w:r>
      <w:r w:rsidR="001D5788" w:rsidRPr="00282AC9">
        <w:rPr>
          <w:rFonts w:hint="cs"/>
          <w:sz w:val="27"/>
          <w:rtl/>
        </w:rPr>
        <w:t>ّ</w:t>
      </w:r>
      <w:r w:rsidR="001153F1" w:rsidRPr="00282AC9">
        <w:rPr>
          <w:rFonts w:hint="cs"/>
          <w:sz w:val="27"/>
          <w:rtl/>
        </w:rPr>
        <w:t>اً</w:t>
      </w:r>
      <w:r w:rsidR="001D5788" w:rsidRPr="00282AC9">
        <w:rPr>
          <w:rFonts w:hint="cs"/>
          <w:sz w:val="27"/>
          <w:rtl/>
        </w:rPr>
        <w:t>؛</w:t>
      </w:r>
      <w:r w:rsidR="001153F1" w:rsidRPr="00282AC9">
        <w:rPr>
          <w:rFonts w:hint="cs"/>
          <w:sz w:val="27"/>
          <w:rtl/>
        </w:rPr>
        <w:t xml:space="preserve"> إذ تشبه هاتان الكلمتان بعضهما بعضاً. </w:t>
      </w:r>
    </w:p>
    <w:p w:rsidR="001153F1" w:rsidRPr="00282AC9" w:rsidRDefault="001153F1" w:rsidP="003E218F">
      <w:pPr>
        <w:rPr>
          <w:rtl/>
          <w:lang w:bidi="fa-IR"/>
        </w:rPr>
      </w:pPr>
      <w:r w:rsidRPr="00282AC9">
        <w:rPr>
          <w:rFonts w:hint="cs"/>
          <w:b/>
          <w:bCs/>
          <w:rtl/>
          <w:lang w:bidi="fa-IR"/>
        </w:rPr>
        <w:t>أـ الدراسة السندي</w:t>
      </w:r>
      <w:r w:rsidR="001D5788" w:rsidRPr="00282AC9">
        <w:rPr>
          <w:rFonts w:hint="cs"/>
          <w:b/>
          <w:bCs/>
          <w:rtl/>
          <w:lang w:bidi="fa-IR"/>
        </w:rPr>
        <w:t>ّ</w:t>
      </w:r>
      <w:r w:rsidRPr="00282AC9">
        <w:rPr>
          <w:rFonts w:hint="cs"/>
          <w:b/>
          <w:bCs/>
          <w:rtl/>
          <w:lang w:bidi="fa-IR"/>
        </w:rPr>
        <w:t>ة</w:t>
      </w:r>
      <w:r w:rsidR="00AB7984" w:rsidRPr="00282AC9">
        <w:rPr>
          <w:rFonts w:hint="cs"/>
          <w:rtl/>
          <w:lang w:bidi="fa-IR"/>
        </w:rPr>
        <w:t xml:space="preserve">: </w:t>
      </w:r>
      <w:r w:rsidRPr="00282AC9">
        <w:rPr>
          <w:rFonts w:hint="cs"/>
          <w:sz w:val="27"/>
          <w:rtl/>
          <w:lang w:bidi="fa-IR"/>
        </w:rPr>
        <w:t>هذه الرواية مرس</w:t>
      </w:r>
      <w:r w:rsidR="001D5788" w:rsidRPr="00282AC9">
        <w:rPr>
          <w:rFonts w:hint="cs"/>
          <w:sz w:val="27"/>
          <w:rtl/>
          <w:lang w:bidi="fa-IR"/>
        </w:rPr>
        <w:t>َ</w:t>
      </w:r>
      <w:r w:rsidRPr="00282AC9">
        <w:rPr>
          <w:rFonts w:hint="cs"/>
          <w:sz w:val="27"/>
          <w:rtl/>
          <w:lang w:bidi="fa-IR"/>
        </w:rPr>
        <w:t>لة</w:t>
      </w:r>
      <w:r w:rsidR="001D5788" w:rsidRPr="00282AC9">
        <w:rPr>
          <w:rFonts w:hint="cs"/>
          <w:sz w:val="27"/>
          <w:rtl/>
          <w:lang w:bidi="fa-IR"/>
        </w:rPr>
        <w:t>ٌ،</w:t>
      </w:r>
      <w:r w:rsidRPr="00282AC9">
        <w:rPr>
          <w:rFonts w:hint="cs"/>
          <w:sz w:val="27"/>
          <w:rtl/>
          <w:lang w:bidi="fa-IR"/>
        </w:rPr>
        <w:t xml:space="preserve"> لا سند لها في مصادرنا الإمامي</w:t>
      </w:r>
      <w:r w:rsidR="001D5788" w:rsidRPr="00282AC9">
        <w:rPr>
          <w:rFonts w:hint="cs"/>
          <w:sz w:val="27"/>
          <w:rtl/>
          <w:lang w:bidi="fa-IR"/>
        </w:rPr>
        <w:t>ّ</w:t>
      </w:r>
      <w:r w:rsidRPr="00282AC9">
        <w:rPr>
          <w:rFonts w:hint="cs"/>
          <w:sz w:val="27"/>
          <w:rtl/>
          <w:lang w:bidi="fa-IR"/>
        </w:rPr>
        <w:t>ة، فهي رواية</w:t>
      </w:r>
      <w:r w:rsidR="001D5788" w:rsidRPr="00282AC9">
        <w:rPr>
          <w:rFonts w:hint="cs"/>
          <w:sz w:val="27"/>
          <w:rtl/>
          <w:lang w:bidi="fa-IR"/>
        </w:rPr>
        <w:t>ٌ</w:t>
      </w:r>
      <w:r w:rsidRPr="00282AC9">
        <w:rPr>
          <w:rFonts w:hint="cs"/>
          <w:sz w:val="27"/>
          <w:rtl/>
          <w:lang w:bidi="fa-IR"/>
        </w:rPr>
        <w:t xml:space="preserve"> ضعيفة من الناحية السندي</w:t>
      </w:r>
      <w:r w:rsidR="001D5788" w:rsidRPr="00282AC9">
        <w:rPr>
          <w:rFonts w:hint="cs"/>
          <w:sz w:val="27"/>
          <w:rtl/>
          <w:lang w:bidi="fa-IR"/>
        </w:rPr>
        <w:t>ّ</w:t>
      </w:r>
      <w:r w:rsidRPr="00282AC9">
        <w:rPr>
          <w:rFonts w:hint="cs"/>
          <w:sz w:val="27"/>
          <w:rtl/>
          <w:lang w:bidi="fa-IR"/>
        </w:rPr>
        <w:t xml:space="preserve">ة. </w:t>
      </w:r>
    </w:p>
    <w:p w:rsidR="001153F1" w:rsidRPr="00282AC9" w:rsidRDefault="001153F1" w:rsidP="003E218F">
      <w:pPr>
        <w:rPr>
          <w:rtl/>
          <w:lang w:bidi="fa-IR"/>
        </w:rPr>
      </w:pPr>
      <w:r w:rsidRPr="00282AC9">
        <w:rPr>
          <w:rFonts w:hint="cs"/>
          <w:b/>
          <w:bCs/>
          <w:rtl/>
          <w:lang w:bidi="fa-IR"/>
        </w:rPr>
        <w:lastRenderedPageBreak/>
        <w:t>ب ـ الدراسة الدلالي</w:t>
      </w:r>
      <w:r w:rsidR="001D5788" w:rsidRPr="00282AC9">
        <w:rPr>
          <w:rFonts w:hint="cs"/>
          <w:b/>
          <w:bCs/>
          <w:rtl/>
          <w:lang w:bidi="fa-IR"/>
        </w:rPr>
        <w:t>ّ</w:t>
      </w:r>
      <w:r w:rsidRPr="00282AC9">
        <w:rPr>
          <w:rFonts w:hint="cs"/>
          <w:b/>
          <w:bCs/>
          <w:rtl/>
          <w:lang w:bidi="fa-IR"/>
        </w:rPr>
        <w:t>ة</w:t>
      </w:r>
      <w:r w:rsidR="00AB7984" w:rsidRPr="00282AC9">
        <w:rPr>
          <w:rFonts w:hint="cs"/>
          <w:rtl/>
          <w:lang w:bidi="fa-IR"/>
        </w:rPr>
        <w:t xml:space="preserve">: </w:t>
      </w:r>
      <w:r w:rsidRPr="00282AC9">
        <w:rPr>
          <w:rFonts w:hint="cs"/>
          <w:sz w:val="27"/>
          <w:rtl/>
          <w:lang w:bidi="fa-IR"/>
        </w:rPr>
        <w:t>إنّ هذه الرواية تشبه الرواية السابقة تماماً</w:t>
      </w:r>
      <w:r w:rsidR="001D5788" w:rsidRPr="00282AC9">
        <w:rPr>
          <w:rFonts w:hint="cs"/>
          <w:sz w:val="27"/>
          <w:rtl/>
          <w:lang w:bidi="fa-IR"/>
        </w:rPr>
        <w:t>،</w:t>
      </w:r>
      <w:r w:rsidRPr="00282AC9">
        <w:rPr>
          <w:rFonts w:hint="cs"/>
          <w:sz w:val="27"/>
          <w:rtl/>
          <w:lang w:bidi="fa-IR"/>
        </w:rPr>
        <w:t xml:space="preserve"> مع اختلاف</w:t>
      </w:r>
      <w:r w:rsidR="001D5788" w:rsidRPr="00282AC9">
        <w:rPr>
          <w:rFonts w:hint="cs"/>
          <w:sz w:val="27"/>
          <w:rtl/>
          <w:lang w:bidi="fa-IR"/>
        </w:rPr>
        <w:t>ٍ</w:t>
      </w:r>
      <w:r w:rsidRPr="00282AC9">
        <w:rPr>
          <w:rFonts w:hint="cs"/>
          <w:sz w:val="27"/>
          <w:rtl/>
          <w:lang w:bidi="fa-IR"/>
        </w:rPr>
        <w:t xml:space="preserve"> مهم</w:t>
      </w:r>
      <w:r w:rsidR="001D5788" w:rsidRPr="00282AC9">
        <w:rPr>
          <w:rFonts w:hint="cs"/>
          <w:sz w:val="27"/>
          <w:rtl/>
          <w:lang w:bidi="fa-IR"/>
        </w:rPr>
        <w:t>ّ؛</w:t>
      </w:r>
      <w:r w:rsidRPr="00282AC9">
        <w:rPr>
          <w:rFonts w:hint="cs"/>
          <w:sz w:val="27"/>
          <w:rtl/>
          <w:lang w:bidi="fa-IR"/>
        </w:rPr>
        <w:t xml:space="preserve"> ففي الرواية السابقة كان النبي</w:t>
      </w:r>
      <w:r w:rsidR="001D5788" w:rsidRPr="00282AC9">
        <w:rPr>
          <w:rFonts w:ascii="Mosawi" w:hAnsi="Mosawi" w:hint="cs"/>
          <w:sz w:val="27"/>
          <w:rtl/>
          <w:lang w:bidi="fa-IR"/>
        </w:rPr>
        <w:t>ّ</w:t>
      </w:r>
      <w:r w:rsidR="009A2A04" w:rsidRPr="00282AC9">
        <w:rPr>
          <w:rFonts w:ascii="Mosawi" w:hAnsi="Mosawi" w:cs="Mosawi"/>
          <w:sz w:val="22"/>
          <w:szCs w:val="22"/>
          <w:rtl/>
          <w:lang w:bidi="fa-IR"/>
        </w:rPr>
        <w:t>|</w:t>
      </w:r>
      <w:r w:rsidRPr="00282AC9">
        <w:rPr>
          <w:rFonts w:hint="cs"/>
          <w:sz w:val="27"/>
          <w:rtl/>
          <w:lang w:bidi="fa-IR"/>
        </w:rPr>
        <w:t xml:space="preserve"> يخاطب رجلاً</w:t>
      </w:r>
      <w:r w:rsidR="001D5788" w:rsidRPr="00282AC9">
        <w:rPr>
          <w:rFonts w:hint="cs"/>
          <w:sz w:val="27"/>
          <w:rtl/>
          <w:lang w:bidi="fa-IR"/>
        </w:rPr>
        <w:t>،</w:t>
      </w:r>
      <w:r w:rsidRPr="00282AC9">
        <w:rPr>
          <w:rFonts w:hint="cs"/>
          <w:sz w:val="27"/>
          <w:rtl/>
          <w:lang w:bidi="fa-IR"/>
        </w:rPr>
        <w:t xml:space="preserve"> وهذا يقوّي من احتمال الخصوصية</w:t>
      </w:r>
      <w:r w:rsidR="001D5788" w:rsidRPr="00282AC9">
        <w:rPr>
          <w:rFonts w:hint="cs"/>
          <w:sz w:val="27"/>
          <w:rtl/>
          <w:lang w:bidi="fa-IR"/>
        </w:rPr>
        <w:t>،</w:t>
      </w:r>
      <w:r w:rsidRPr="00282AC9">
        <w:rPr>
          <w:rFonts w:hint="cs"/>
          <w:sz w:val="27"/>
          <w:rtl/>
          <w:lang w:bidi="fa-IR"/>
        </w:rPr>
        <w:t xml:space="preserve"> وإن</w:t>
      </w:r>
      <w:r w:rsidR="001D5788" w:rsidRPr="00282AC9">
        <w:rPr>
          <w:rFonts w:hint="cs"/>
          <w:sz w:val="27"/>
          <w:rtl/>
          <w:lang w:bidi="fa-IR"/>
        </w:rPr>
        <w:t>ْ</w:t>
      </w:r>
      <w:r w:rsidRPr="00282AC9">
        <w:rPr>
          <w:rFonts w:hint="cs"/>
          <w:sz w:val="27"/>
          <w:rtl/>
          <w:lang w:bidi="fa-IR"/>
        </w:rPr>
        <w:t xml:space="preserve"> أبعدنا هذا الاحتمال</w:t>
      </w:r>
      <w:r w:rsidR="001D5788" w:rsidRPr="00282AC9">
        <w:rPr>
          <w:rFonts w:hint="cs"/>
          <w:sz w:val="27"/>
          <w:rtl/>
          <w:lang w:bidi="fa-IR"/>
        </w:rPr>
        <w:t>؛</w:t>
      </w:r>
      <w:r w:rsidRPr="00282AC9">
        <w:rPr>
          <w:rFonts w:hint="cs"/>
          <w:sz w:val="27"/>
          <w:rtl/>
          <w:lang w:bidi="fa-IR"/>
        </w:rPr>
        <w:t xml:space="preserve"> بسبب التعليل الموجود في الرواية</w:t>
      </w:r>
      <w:r w:rsidR="001D5788" w:rsidRPr="00282AC9">
        <w:rPr>
          <w:rFonts w:hint="cs"/>
          <w:sz w:val="27"/>
          <w:rtl/>
          <w:lang w:bidi="fa-IR"/>
        </w:rPr>
        <w:t>،</w:t>
      </w:r>
      <w:r w:rsidRPr="00282AC9">
        <w:rPr>
          <w:rFonts w:hint="cs"/>
          <w:sz w:val="27"/>
          <w:rtl/>
          <w:lang w:bidi="fa-IR"/>
        </w:rPr>
        <w:t xml:space="preserve"> ولكن</w:t>
      </w:r>
      <w:r w:rsidR="001D5788" w:rsidRPr="00282AC9">
        <w:rPr>
          <w:rFonts w:hint="cs"/>
          <w:sz w:val="27"/>
          <w:rtl/>
          <w:lang w:bidi="fa-IR"/>
        </w:rPr>
        <w:t>ّ</w:t>
      </w:r>
      <w:r w:rsidRPr="00282AC9">
        <w:rPr>
          <w:rFonts w:hint="cs"/>
          <w:sz w:val="27"/>
          <w:rtl/>
          <w:lang w:bidi="fa-IR"/>
        </w:rPr>
        <w:t xml:space="preserve"> هذه الرواية من الأصل رواية</w:t>
      </w:r>
      <w:r w:rsidR="001D5788" w:rsidRPr="00282AC9">
        <w:rPr>
          <w:rFonts w:hint="cs"/>
          <w:sz w:val="27"/>
          <w:rtl/>
          <w:lang w:bidi="fa-IR"/>
        </w:rPr>
        <w:t>ٌ</w:t>
      </w:r>
      <w:r w:rsidRPr="00282AC9">
        <w:rPr>
          <w:rFonts w:hint="cs"/>
          <w:sz w:val="27"/>
          <w:rtl/>
          <w:lang w:bidi="fa-IR"/>
        </w:rPr>
        <w:t xml:space="preserve"> عامّة. </w:t>
      </w:r>
    </w:p>
    <w:p w:rsidR="00F943B4" w:rsidRPr="00282AC9" w:rsidRDefault="00F943B4" w:rsidP="008E0D6A">
      <w:pPr>
        <w:spacing w:line="410" w:lineRule="exact"/>
        <w:rPr>
          <w:sz w:val="27"/>
          <w:rtl/>
        </w:rPr>
      </w:pPr>
    </w:p>
    <w:p w:rsidR="001D5788" w:rsidRPr="00282AC9" w:rsidRDefault="00AB7984" w:rsidP="00BE4103">
      <w:pPr>
        <w:pStyle w:val="31"/>
        <w:rPr>
          <w:color w:val="auto"/>
          <w:rtl/>
        </w:rPr>
      </w:pPr>
      <w:r w:rsidRPr="00282AC9">
        <w:rPr>
          <w:rFonts w:hint="cs"/>
          <w:color w:val="auto"/>
          <w:rtl/>
        </w:rPr>
        <w:t xml:space="preserve">5ـ </w:t>
      </w:r>
      <w:r w:rsidRPr="00282AC9">
        <w:rPr>
          <w:color w:val="auto"/>
          <w:rtl/>
        </w:rPr>
        <w:t>«ذ</w:t>
      </w:r>
      <w:r w:rsidRPr="00282AC9">
        <w:rPr>
          <w:rFonts w:hint="cs"/>
          <w:color w:val="auto"/>
          <w:rtl/>
        </w:rPr>
        <w:t>َ</w:t>
      </w:r>
      <w:r w:rsidRPr="00282AC9">
        <w:rPr>
          <w:color w:val="auto"/>
          <w:rtl/>
        </w:rPr>
        <w:t>ر</w:t>
      </w:r>
      <w:r w:rsidRPr="00282AC9">
        <w:rPr>
          <w:rFonts w:hint="cs"/>
          <w:color w:val="auto"/>
          <w:rtl/>
        </w:rPr>
        <w:t>ُ</w:t>
      </w:r>
      <w:r w:rsidRPr="00282AC9">
        <w:rPr>
          <w:color w:val="auto"/>
          <w:rtl/>
        </w:rPr>
        <w:t>وا</w:t>
      </w:r>
      <w:r w:rsidRPr="00282AC9">
        <w:rPr>
          <w:rFonts w:hint="cs"/>
          <w:color w:val="auto"/>
          <w:rtl/>
        </w:rPr>
        <w:t>...</w:t>
      </w:r>
      <w:r w:rsidRPr="00282AC9">
        <w:rPr>
          <w:color w:val="auto"/>
          <w:rtl/>
        </w:rPr>
        <w:t>العقيم</w:t>
      </w:r>
      <w:r w:rsidRPr="00282AC9">
        <w:rPr>
          <w:rFonts w:hint="cs"/>
          <w:color w:val="auto"/>
          <w:rtl/>
        </w:rPr>
        <w:t>،</w:t>
      </w:r>
      <w:r w:rsidRPr="00282AC9">
        <w:rPr>
          <w:color w:val="auto"/>
          <w:rtl/>
        </w:rPr>
        <w:t xml:space="preserve"> وعليكم </w:t>
      </w:r>
      <w:r w:rsidRPr="00282AC9">
        <w:rPr>
          <w:rFonts w:hint="cs"/>
          <w:color w:val="auto"/>
          <w:rtl/>
        </w:rPr>
        <w:t>بـ...</w:t>
      </w:r>
      <w:r w:rsidRPr="00282AC9">
        <w:rPr>
          <w:color w:val="auto"/>
          <w:rtl/>
        </w:rPr>
        <w:t>الولود»</w:t>
      </w:r>
    </w:p>
    <w:p w:rsidR="001153F1" w:rsidRPr="00282AC9" w:rsidRDefault="001D5788" w:rsidP="003E218F">
      <w:pPr>
        <w:rPr>
          <w:sz w:val="27"/>
          <w:rtl/>
          <w:lang w:bidi="fa-IR"/>
        </w:rPr>
      </w:pPr>
      <w:r w:rsidRPr="00282AC9">
        <w:rPr>
          <w:rFonts w:hint="cs"/>
          <w:sz w:val="27"/>
          <w:rtl/>
        </w:rPr>
        <w:t xml:space="preserve">وهي </w:t>
      </w:r>
      <w:r w:rsidR="001153F1" w:rsidRPr="00282AC9">
        <w:rPr>
          <w:sz w:val="27"/>
          <w:rtl/>
        </w:rPr>
        <w:t>م</w:t>
      </w:r>
      <w:r w:rsidR="00780429" w:rsidRPr="00282AC9">
        <w:rPr>
          <w:rFonts w:hint="cs"/>
          <w:sz w:val="27"/>
          <w:rtl/>
        </w:rPr>
        <w:t>ُ</w:t>
      </w:r>
      <w:r w:rsidR="001153F1" w:rsidRPr="00282AC9">
        <w:rPr>
          <w:sz w:val="27"/>
          <w:rtl/>
        </w:rPr>
        <w:t>ر</w:t>
      </w:r>
      <w:r w:rsidR="00780429" w:rsidRPr="00282AC9">
        <w:rPr>
          <w:rFonts w:hint="cs"/>
          <w:sz w:val="27"/>
          <w:rtl/>
        </w:rPr>
        <w:t>ْ</w:t>
      </w:r>
      <w:r w:rsidR="001153F1" w:rsidRPr="00282AC9">
        <w:rPr>
          <w:sz w:val="27"/>
          <w:rtl/>
        </w:rPr>
        <w:t>س</w:t>
      </w:r>
      <w:r w:rsidRPr="00282AC9">
        <w:rPr>
          <w:rFonts w:hint="cs"/>
          <w:sz w:val="27"/>
          <w:rtl/>
        </w:rPr>
        <w:t>َ</w:t>
      </w:r>
      <w:r w:rsidR="001153F1" w:rsidRPr="00282AC9">
        <w:rPr>
          <w:sz w:val="27"/>
          <w:rtl/>
        </w:rPr>
        <w:t>لة صاحب الرياض</w:t>
      </w:r>
      <w:r w:rsidRPr="00282AC9">
        <w:rPr>
          <w:rFonts w:hint="cs"/>
          <w:sz w:val="27"/>
          <w:rtl/>
        </w:rPr>
        <w:t>:</w:t>
      </w:r>
      <w:r w:rsidR="001153F1" w:rsidRPr="00282AC9">
        <w:rPr>
          <w:sz w:val="27"/>
          <w:rtl/>
        </w:rPr>
        <w:t xml:space="preserve"> قال رسول الله</w:t>
      </w:r>
      <w:r w:rsidR="009A2A04" w:rsidRPr="00282AC9">
        <w:rPr>
          <w:rFonts w:cs="Mosawi"/>
          <w:sz w:val="22"/>
          <w:szCs w:val="22"/>
          <w:rtl/>
        </w:rPr>
        <w:t>|</w:t>
      </w:r>
      <w:r w:rsidR="001153F1" w:rsidRPr="00282AC9">
        <w:rPr>
          <w:rFonts w:hint="cs"/>
          <w:sz w:val="27"/>
          <w:rtl/>
        </w:rPr>
        <w:t>:</w:t>
      </w:r>
      <w:r w:rsidR="001153F1" w:rsidRPr="00282AC9">
        <w:rPr>
          <w:sz w:val="27"/>
          <w:rtl/>
        </w:rPr>
        <w:t xml:space="preserve"> </w:t>
      </w:r>
      <w:r w:rsidR="001153F1" w:rsidRPr="00282AC9">
        <w:rPr>
          <w:sz w:val="24"/>
          <w:szCs w:val="24"/>
          <w:rtl/>
          <w:lang w:bidi="fa-IR"/>
        </w:rPr>
        <w:t>«</w:t>
      </w:r>
      <w:r w:rsidR="001153F1" w:rsidRPr="00282AC9">
        <w:rPr>
          <w:sz w:val="27"/>
          <w:rtl/>
          <w:lang w:bidi="fa-IR"/>
        </w:rPr>
        <w:t>ذ</w:t>
      </w:r>
      <w:r w:rsidRPr="00282AC9">
        <w:rPr>
          <w:rFonts w:hint="cs"/>
          <w:sz w:val="27"/>
          <w:rtl/>
          <w:lang w:bidi="fa-IR"/>
        </w:rPr>
        <w:t>َ</w:t>
      </w:r>
      <w:r w:rsidR="001153F1" w:rsidRPr="00282AC9">
        <w:rPr>
          <w:sz w:val="27"/>
          <w:rtl/>
          <w:lang w:bidi="fa-IR"/>
        </w:rPr>
        <w:t>ر</w:t>
      </w:r>
      <w:r w:rsidRPr="00282AC9">
        <w:rPr>
          <w:rFonts w:hint="cs"/>
          <w:sz w:val="27"/>
          <w:rtl/>
          <w:lang w:bidi="fa-IR"/>
        </w:rPr>
        <w:t>ُ</w:t>
      </w:r>
      <w:r w:rsidR="001153F1" w:rsidRPr="00282AC9">
        <w:rPr>
          <w:sz w:val="27"/>
          <w:rtl/>
          <w:lang w:bidi="fa-IR"/>
        </w:rPr>
        <w:t>وا الحسناء العقيم</w:t>
      </w:r>
      <w:r w:rsidRPr="00282AC9">
        <w:rPr>
          <w:rFonts w:hint="cs"/>
          <w:sz w:val="27"/>
          <w:rtl/>
          <w:lang w:bidi="fa-IR"/>
        </w:rPr>
        <w:t>،</w:t>
      </w:r>
      <w:r w:rsidR="001153F1" w:rsidRPr="00282AC9">
        <w:rPr>
          <w:sz w:val="27"/>
          <w:rtl/>
          <w:lang w:bidi="fa-IR"/>
        </w:rPr>
        <w:t xml:space="preserve"> وعليكم بالسوداء الولود</w:t>
      </w:r>
      <w:r w:rsidRPr="00282AC9">
        <w:rPr>
          <w:rFonts w:hint="cs"/>
          <w:sz w:val="27"/>
          <w:rtl/>
          <w:lang w:bidi="fa-IR"/>
        </w:rPr>
        <w:t>؛</w:t>
      </w:r>
      <w:r w:rsidR="001153F1" w:rsidRPr="00282AC9">
        <w:rPr>
          <w:sz w:val="27"/>
          <w:rtl/>
          <w:lang w:bidi="fa-IR"/>
        </w:rPr>
        <w:t xml:space="preserve"> فإن</w:t>
      </w:r>
      <w:r w:rsidR="001153F1" w:rsidRPr="00282AC9">
        <w:rPr>
          <w:rFonts w:hint="cs"/>
          <w:sz w:val="27"/>
          <w:rtl/>
          <w:lang w:bidi="fa-IR"/>
        </w:rPr>
        <w:t>ّ</w:t>
      </w:r>
      <w:r w:rsidR="001153F1" w:rsidRPr="00282AC9">
        <w:rPr>
          <w:sz w:val="27"/>
          <w:rtl/>
          <w:lang w:bidi="fa-IR"/>
        </w:rPr>
        <w:t>ي م</w:t>
      </w:r>
      <w:r w:rsidRPr="00282AC9">
        <w:rPr>
          <w:rFonts w:hint="cs"/>
          <w:sz w:val="27"/>
          <w:rtl/>
          <w:lang w:bidi="fa-IR"/>
        </w:rPr>
        <w:t>ُ</w:t>
      </w:r>
      <w:r w:rsidR="001153F1" w:rsidRPr="00282AC9">
        <w:rPr>
          <w:sz w:val="27"/>
          <w:rtl/>
          <w:lang w:bidi="fa-IR"/>
        </w:rPr>
        <w:t>كاث</w:t>
      </w:r>
      <w:r w:rsidRPr="00282AC9">
        <w:rPr>
          <w:rFonts w:hint="cs"/>
          <w:sz w:val="27"/>
          <w:rtl/>
          <w:lang w:bidi="fa-IR"/>
        </w:rPr>
        <w:t>ِ</w:t>
      </w:r>
      <w:r w:rsidR="001153F1" w:rsidRPr="00282AC9">
        <w:rPr>
          <w:sz w:val="27"/>
          <w:rtl/>
          <w:lang w:bidi="fa-IR"/>
        </w:rPr>
        <w:t>ر</w:t>
      </w:r>
      <w:r w:rsidR="001153F1" w:rsidRPr="00282AC9">
        <w:rPr>
          <w:rFonts w:hint="cs"/>
          <w:sz w:val="27"/>
          <w:rtl/>
          <w:lang w:bidi="fa-IR"/>
        </w:rPr>
        <w:t>ٌ</w:t>
      </w:r>
      <w:r w:rsidR="001153F1" w:rsidRPr="00282AC9">
        <w:rPr>
          <w:sz w:val="27"/>
          <w:rtl/>
          <w:lang w:bidi="fa-IR"/>
        </w:rPr>
        <w:t xml:space="preserve"> بكم الأمم</w:t>
      </w:r>
      <w:r w:rsidRPr="00282AC9">
        <w:rPr>
          <w:rFonts w:hint="cs"/>
          <w:sz w:val="27"/>
          <w:rtl/>
          <w:lang w:bidi="fa-IR"/>
        </w:rPr>
        <w:t>،</w:t>
      </w:r>
      <w:r w:rsidR="001153F1" w:rsidRPr="00282AC9">
        <w:rPr>
          <w:sz w:val="27"/>
          <w:rtl/>
          <w:lang w:bidi="fa-IR"/>
        </w:rPr>
        <w:t xml:space="preserve"> حت</w:t>
      </w:r>
      <w:r w:rsidRPr="00282AC9">
        <w:rPr>
          <w:rFonts w:hint="cs"/>
          <w:sz w:val="27"/>
          <w:rtl/>
          <w:lang w:bidi="fa-IR"/>
        </w:rPr>
        <w:t>ّ</w:t>
      </w:r>
      <w:r w:rsidR="001153F1" w:rsidRPr="00282AC9">
        <w:rPr>
          <w:sz w:val="27"/>
          <w:rtl/>
          <w:lang w:bidi="fa-IR"/>
        </w:rPr>
        <w:t>ى‏ بالسقط</w:t>
      </w:r>
      <w:r w:rsidR="001153F1" w:rsidRPr="00282AC9">
        <w:rPr>
          <w:sz w:val="24"/>
          <w:szCs w:val="24"/>
          <w:rtl/>
          <w:lang w:bidi="fa-IR"/>
        </w:rPr>
        <w:t>»</w:t>
      </w:r>
      <w:r w:rsidR="001153F1" w:rsidRPr="00282AC9">
        <w:rPr>
          <w:sz w:val="27"/>
          <w:vertAlign w:val="superscript"/>
          <w:rtl/>
          <w:lang w:bidi="fa-IR"/>
        </w:rPr>
        <w:t>(</w:t>
      </w:r>
      <w:r w:rsidR="001153F1" w:rsidRPr="00282AC9">
        <w:rPr>
          <w:rStyle w:val="af9"/>
          <w:sz w:val="27"/>
          <w:rtl/>
          <w:lang w:bidi="fa-IR"/>
        </w:rPr>
        <w:endnoteReference w:id="649"/>
      </w:r>
      <w:r w:rsidR="001153F1" w:rsidRPr="00282AC9">
        <w:rPr>
          <w:sz w:val="27"/>
          <w:vertAlign w:val="superscript"/>
          <w:rtl/>
          <w:lang w:bidi="fa-IR"/>
        </w:rPr>
        <w:t>)</w:t>
      </w:r>
      <w:r w:rsidRPr="00282AC9">
        <w:rPr>
          <w:rFonts w:hint="cs"/>
          <w:sz w:val="27"/>
          <w:rtl/>
          <w:lang w:bidi="fa-IR"/>
        </w:rPr>
        <w:t>.</w:t>
      </w:r>
    </w:p>
    <w:p w:rsidR="001153F1" w:rsidRPr="00282AC9" w:rsidRDefault="001153F1" w:rsidP="003E218F">
      <w:pPr>
        <w:rPr>
          <w:rtl/>
          <w:lang w:bidi="fa-IR"/>
        </w:rPr>
      </w:pPr>
      <w:r w:rsidRPr="00282AC9">
        <w:rPr>
          <w:rFonts w:hint="cs"/>
          <w:b/>
          <w:bCs/>
          <w:rtl/>
          <w:lang w:bidi="fa-IR"/>
        </w:rPr>
        <w:t>أـ الدراسة السندي</w:t>
      </w:r>
      <w:r w:rsidR="001D5788" w:rsidRPr="00282AC9">
        <w:rPr>
          <w:rFonts w:hint="cs"/>
          <w:b/>
          <w:bCs/>
          <w:rtl/>
          <w:lang w:bidi="fa-IR"/>
        </w:rPr>
        <w:t>ّ</w:t>
      </w:r>
      <w:r w:rsidRPr="00282AC9">
        <w:rPr>
          <w:rFonts w:hint="cs"/>
          <w:b/>
          <w:bCs/>
          <w:rtl/>
          <w:lang w:bidi="fa-IR"/>
        </w:rPr>
        <w:t>ة</w:t>
      </w:r>
      <w:r w:rsidR="00BE4103" w:rsidRPr="00282AC9">
        <w:rPr>
          <w:rFonts w:hint="cs"/>
          <w:rtl/>
          <w:lang w:bidi="fa-IR"/>
        </w:rPr>
        <w:t xml:space="preserve">: </w:t>
      </w:r>
      <w:r w:rsidRPr="00282AC9">
        <w:rPr>
          <w:rFonts w:hint="cs"/>
          <w:sz w:val="27"/>
          <w:rtl/>
          <w:lang w:bidi="fa-IR"/>
        </w:rPr>
        <w:t>إنّ هذه الرواية مرس</w:t>
      </w:r>
      <w:r w:rsidR="001D5788" w:rsidRPr="00282AC9">
        <w:rPr>
          <w:rFonts w:hint="cs"/>
          <w:sz w:val="27"/>
          <w:rtl/>
          <w:lang w:bidi="fa-IR"/>
        </w:rPr>
        <w:t>َ</w:t>
      </w:r>
      <w:r w:rsidRPr="00282AC9">
        <w:rPr>
          <w:rFonts w:hint="cs"/>
          <w:sz w:val="27"/>
          <w:rtl/>
          <w:lang w:bidi="fa-IR"/>
        </w:rPr>
        <w:t>لة</w:t>
      </w:r>
      <w:r w:rsidR="001D5788" w:rsidRPr="00282AC9">
        <w:rPr>
          <w:rFonts w:hint="cs"/>
          <w:sz w:val="27"/>
          <w:rtl/>
          <w:lang w:bidi="fa-IR"/>
        </w:rPr>
        <w:t>ٌ،</w:t>
      </w:r>
      <w:r w:rsidRPr="00282AC9">
        <w:rPr>
          <w:rFonts w:hint="cs"/>
          <w:sz w:val="27"/>
          <w:rtl/>
          <w:lang w:bidi="fa-IR"/>
        </w:rPr>
        <w:t xml:space="preserve"> لا سند لها</w:t>
      </w:r>
      <w:r w:rsidR="001D5788" w:rsidRPr="00282AC9">
        <w:rPr>
          <w:rFonts w:hint="cs"/>
          <w:sz w:val="27"/>
          <w:rtl/>
          <w:lang w:bidi="fa-IR"/>
        </w:rPr>
        <w:t>،</w:t>
      </w:r>
      <w:r w:rsidRPr="00282AC9">
        <w:rPr>
          <w:sz w:val="27"/>
          <w:rtl/>
          <w:lang w:bidi="fa-IR"/>
        </w:rPr>
        <w:t xml:space="preserve"> </w:t>
      </w:r>
      <w:r w:rsidRPr="00282AC9">
        <w:rPr>
          <w:rFonts w:hint="cs"/>
          <w:sz w:val="27"/>
          <w:rtl/>
          <w:lang w:bidi="fa-IR"/>
        </w:rPr>
        <w:t xml:space="preserve">نقلها لنا </w:t>
      </w:r>
      <w:r w:rsidR="001D5788" w:rsidRPr="00282AC9">
        <w:rPr>
          <w:rFonts w:hint="cs"/>
          <w:sz w:val="27"/>
          <w:rtl/>
          <w:lang w:bidi="fa-IR"/>
        </w:rPr>
        <w:t>ال</w:t>
      </w:r>
      <w:r w:rsidRPr="00282AC9">
        <w:rPr>
          <w:rFonts w:hint="cs"/>
          <w:sz w:val="27"/>
          <w:rtl/>
          <w:lang w:bidi="fa-IR"/>
        </w:rPr>
        <w:t xml:space="preserve">طبرسي في كتابه </w:t>
      </w:r>
      <w:r w:rsidRPr="00282AC9">
        <w:rPr>
          <w:sz w:val="24"/>
          <w:szCs w:val="24"/>
          <w:rtl/>
        </w:rPr>
        <w:t>«</w:t>
      </w:r>
      <w:r w:rsidRPr="00282AC9">
        <w:rPr>
          <w:rFonts w:hint="cs"/>
          <w:sz w:val="27"/>
          <w:rtl/>
        </w:rPr>
        <w:t>مكارم الأخلاق</w:t>
      </w:r>
      <w:r w:rsidRPr="00282AC9">
        <w:rPr>
          <w:sz w:val="24"/>
          <w:szCs w:val="24"/>
          <w:rtl/>
        </w:rPr>
        <w:t>»</w:t>
      </w:r>
      <w:r w:rsidR="001D5788" w:rsidRPr="00282AC9">
        <w:rPr>
          <w:rFonts w:hint="cs"/>
          <w:sz w:val="27"/>
          <w:rtl/>
        </w:rPr>
        <w:t>،</w:t>
      </w:r>
      <w:r w:rsidRPr="00282AC9">
        <w:rPr>
          <w:rFonts w:hint="cs"/>
          <w:sz w:val="27"/>
          <w:rtl/>
        </w:rPr>
        <w:t xml:space="preserve"> عن كتاب الرياض</w:t>
      </w:r>
      <w:r w:rsidR="001D5788" w:rsidRPr="00282AC9">
        <w:rPr>
          <w:rFonts w:hint="cs"/>
          <w:sz w:val="27"/>
          <w:rtl/>
        </w:rPr>
        <w:t>،</w:t>
      </w:r>
      <w:r w:rsidRPr="00282AC9">
        <w:rPr>
          <w:rFonts w:hint="cs"/>
          <w:sz w:val="27"/>
          <w:rtl/>
        </w:rPr>
        <w:t xml:space="preserve"> ور</w:t>
      </w:r>
      <w:r w:rsidR="001D5788" w:rsidRPr="00282AC9">
        <w:rPr>
          <w:rFonts w:hint="cs"/>
          <w:sz w:val="27"/>
          <w:rtl/>
        </w:rPr>
        <w:t>ُ</w:t>
      </w:r>
      <w:r w:rsidRPr="00282AC9">
        <w:rPr>
          <w:rFonts w:hint="cs"/>
          <w:sz w:val="27"/>
          <w:rtl/>
        </w:rPr>
        <w:t>ب</w:t>
      </w:r>
      <w:r w:rsidR="001D5788" w:rsidRPr="00282AC9">
        <w:rPr>
          <w:rFonts w:hint="cs"/>
          <w:sz w:val="27"/>
          <w:rtl/>
        </w:rPr>
        <w:t>َ</w:t>
      </w:r>
      <w:r w:rsidRPr="00282AC9">
        <w:rPr>
          <w:rFonts w:hint="cs"/>
          <w:sz w:val="27"/>
          <w:rtl/>
        </w:rPr>
        <w:t>ما نقل</w:t>
      </w:r>
      <w:r w:rsidR="00BA30B8" w:rsidRPr="00282AC9">
        <w:rPr>
          <w:rFonts w:hint="cs"/>
          <w:sz w:val="27"/>
          <w:rtl/>
        </w:rPr>
        <w:t xml:space="preserve"> صاحب الرياض مضمون الرواي</w:t>
      </w:r>
      <w:r w:rsidRPr="00282AC9">
        <w:rPr>
          <w:rFonts w:hint="cs"/>
          <w:sz w:val="27"/>
          <w:rtl/>
        </w:rPr>
        <w:t>ات السابقة، فلا يمكن إحراز استقلال هذه الرواية.</w:t>
      </w:r>
    </w:p>
    <w:p w:rsidR="001153F1" w:rsidRPr="00282AC9" w:rsidRDefault="001153F1" w:rsidP="003E218F">
      <w:pPr>
        <w:rPr>
          <w:rtl/>
          <w:lang w:bidi="fa-IR"/>
        </w:rPr>
      </w:pPr>
      <w:r w:rsidRPr="00282AC9">
        <w:rPr>
          <w:rFonts w:hint="cs"/>
          <w:b/>
          <w:bCs/>
          <w:rtl/>
          <w:lang w:bidi="fa-IR"/>
        </w:rPr>
        <w:t>ب ـ الدراسة الدلالي</w:t>
      </w:r>
      <w:r w:rsidR="00BA30B8" w:rsidRPr="00282AC9">
        <w:rPr>
          <w:rFonts w:hint="cs"/>
          <w:b/>
          <w:bCs/>
          <w:rtl/>
          <w:lang w:bidi="fa-IR"/>
        </w:rPr>
        <w:t>ّ</w:t>
      </w:r>
      <w:r w:rsidRPr="00282AC9">
        <w:rPr>
          <w:rFonts w:hint="cs"/>
          <w:b/>
          <w:bCs/>
          <w:rtl/>
          <w:lang w:bidi="fa-IR"/>
        </w:rPr>
        <w:t>ة</w:t>
      </w:r>
      <w:r w:rsidR="00BE4103" w:rsidRPr="00282AC9">
        <w:rPr>
          <w:rFonts w:hint="cs"/>
          <w:rtl/>
          <w:lang w:bidi="fa-IR"/>
        </w:rPr>
        <w:t xml:space="preserve">: </w:t>
      </w:r>
      <w:r w:rsidRPr="00282AC9">
        <w:rPr>
          <w:rFonts w:hint="cs"/>
          <w:sz w:val="27"/>
          <w:rtl/>
          <w:lang w:bidi="fa-IR"/>
        </w:rPr>
        <w:t xml:space="preserve">تحتوي هذه الرواية </w:t>
      </w:r>
      <w:r w:rsidRPr="00282AC9">
        <w:rPr>
          <w:rFonts w:ascii="Cambria" w:hAnsi="Cambria" w:hint="cs"/>
          <w:sz w:val="27"/>
          <w:rtl/>
          <w:lang w:bidi="fa-IR"/>
        </w:rPr>
        <w:t xml:space="preserve">على </w:t>
      </w:r>
      <w:r w:rsidRPr="00282AC9">
        <w:rPr>
          <w:rFonts w:hint="cs"/>
          <w:sz w:val="27"/>
          <w:rtl/>
          <w:lang w:bidi="fa-IR"/>
        </w:rPr>
        <w:t>المضمون المشترك في الروايات السابقة</w:t>
      </w:r>
      <w:r w:rsidR="00BA30B8" w:rsidRPr="00282AC9">
        <w:rPr>
          <w:rFonts w:hint="cs"/>
          <w:sz w:val="27"/>
          <w:rtl/>
          <w:lang w:bidi="fa-IR"/>
        </w:rPr>
        <w:t>،</w:t>
      </w:r>
      <w:r w:rsidRPr="00282AC9">
        <w:rPr>
          <w:rFonts w:hint="cs"/>
          <w:sz w:val="27"/>
          <w:rtl/>
          <w:lang w:bidi="fa-IR"/>
        </w:rPr>
        <w:t xml:space="preserve"> </w:t>
      </w:r>
      <w:r w:rsidR="00BA30B8" w:rsidRPr="00282AC9">
        <w:rPr>
          <w:rFonts w:hint="cs"/>
          <w:sz w:val="27"/>
          <w:rtl/>
          <w:lang w:bidi="fa-IR"/>
        </w:rPr>
        <w:t>و</w:t>
      </w:r>
      <w:r w:rsidRPr="00282AC9">
        <w:rPr>
          <w:rFonts w:hint="cs"/>
          <w:sz w:val="27"/>
          <w:rtl/>
          <w:lang w:bidi="fa-IR"/>
        </w:rPr>
        <w:t>التي سبق أن تحدّ</w:t>
      </w:r>
      <w:r w:rsidR="00BA30B8" w:rsidRPr="00282AC9">
        <w:rPr>
          <w:rFonts w:hint="cs"/>
          <w:sz w:val="27"/>
          <w:rtl/>
          <w:lang w:bidi="fa-IR"/>
        </w:rPr>
        <w:t>َ</w:t>
      </w:r>
      <w:r w:rsidRPr="00282AC9">
        <w:rPr>
          <w:rFonts w:hint="cs"/>
          <w:sz w:val="27"/>
          <w:rtl/>
          <w:lang w:bidi="fa-IR"/>
        </w:rPr>
        <w:t>ثنا عنه.</w:t>
      </w:r>
    </w:p>
    <w:p w:rsidR="00F943B4" w:rsidRPr="00282AC9" w:rsidRDefault="00F943B4" w:rsidP="00F943B4">
      <w:pPr>
        <w:spacing w:line="420" w:lineRule="exact"/>
        <w:rPr>
          <w:sz w:val="27"/>
          <w:rtl/>
        </w:rPr>
      </w:pPr>
    </w:p>
    <w:p w:rsidR="00BE4103" w:rsidRPr="00282AC9" w:rsidRDefault="00BE4103" w:rsidP="00BE4103">
      <w:pPr>
        <w:pStyle w:val="31"/>
        <w:rPr>
          <w:color w:val="auto"/>
        </w:rPr>
      </w:pPr>
      <w:r w:rsidRPr="00282AC9">
        <w:rPr>
          <w:rFonts w:hint="cs"/>
          <w:color w:val="auto"/>
          <w:rtl/>
        </w:rPr>
        <w:t xml:space="preserve">6ـ </w:t>
      </w:r>
      <w:r w:rsidRPr="00282AC9">
        <w:rPr>
          <w:color w:val="auto"/>
          <w:rtl/>
        </w:rPr>
        <w:t>«</w:t>
      </w:r>
      <w:r w:rsidRPr="00282AC9">
        <w:rPr>
          <w:color w:val="auto"/>
          <w:rtl/>
          <w:lang w:bidi="fa-IR"/>
        </w:rPr>
        <w:t>تزو</w:t>
      </w:r>
      <w:r w:rsidRPr="00282AC9">
        <w:rPr>
          <w:rFonts w:hint="cs"/>
          <w:color w:val="auto"/>
          <w:rtl/>
          <w:lang w:bidi="fa-IR"/>
        </w:rPr>
        <w:t>َّ</w:t>
      </w:r>
      <w:r w:rsidRPr="00282AC9">
        <w:rPr>
          <w:color w:val="auto"/>
          <w:rtl/>
          <w:lang w:bidi="fa-IR"/>
        </w:rPr>
        <w:t>ج</w:t>
      </w:r>
      <w:r w:rsidRPr="00282AC9">
        <w:rPr>
          <w:rFonts w:hint="cs"/>
          <w:color w:val="auto"/>
          <w:rtl/>
          <w:lang w:bidi="fa-IR"/>
        </w:rPr>
        <w:t>ْ</w:t>
      </w:r>
      <w:r w:rsidRPr="00282AC9">
        <w:rPr>
          <w:rFonts w:hint="cs"/>
          <w:color w:val="auto"/>
          <w:rtl/>
        </w:rPr>
        <w:t>...</w:t>
      </w:r>
      <w:r w:rsidRPr="00282AC9">
        <w:rPr>
          <w:color w:val="auto"/>
          <w:rtl/>
          <w:lang w:bidi="fa-IR"/>
        </w:rPr>
        <w:t>سوءاء</w:t>
      </w:r>
      <w:r w:rsidRPr="00282AC9">
        <w:rPr>
          <w:rFonts w:hint="cs"/>
          <w:color w:val="auto"/>
          <w:rtl/>
        </w:rPr>
        <w:t>...</w:t>
      </w:r>
      <w:r w:rsidR="00CA4935" w:rsidRPr="00282AC9">
        <w:rPr>
          <w:rFonts w:hint="cs"/>
          <w:color w:val="auto"/>
          <w:rtl/>
        </w:rPr>
        <w:t xml:space="preserve">؛ </w:t>
      </w:r>
      <w:r w:rsidRPr="00282AC9">
        <w:rPr>
          <w:color w:val="auto"/>
          <w:rtl/>
          <w:lang w:bidi="fa-IR"/>
        </w:rPr>
        <w:t>فإنه</w:t>
      </w:r>
      <w:r w:rsidRPr="00282AC9">
        <w:rPr>
          <w:rFonts w:hint="cs"/>
          <w:color w:val="auto"/>
          <w:rtl/>
          <w:lang w:bidi="fa-IR"/>
        </w:rPr>
        <w:t>ُ</w:t>
      </w:r>
      <w:r w:rsidRPr="00282AC9">
        <w:rPr>
          <w:color w:val="auto"/>
          <w:rtl/>
          <w:lang w:bidi="fa-IR"/>
        </w:rPr>
        <w:t>ن</w:t>
      </w:r>
      <w:r w:rsidRPr="00282AC9">
        <w:rPr>
          <w:rFonts w:hint="cs"/>
          <w:color w:val="auto"/>
          <w:rtl/>
          <w:lang w:bidi="fa-IR"/>
        </w:rPr>
        <w:t>َّ</w:t>
      </w:r>
      <w:r w:rsidRPr="00282AC9">
        <w:rPr>
          <w:color w:val="auto"/>
          <w:rtl/>
          <w:lang w:bidi="fa-IR"/>
        </w:rPr>
        <w:t xml:space="preserve"> أكثر أولادا</w:t>
      </w:r>
      <w:r w:rsidRPr="00282AC9">
        <w:rPr>
          <w:rFonts w:hint="cs"/>
          <w:color w:val="auto"/>
          <w:rtl/>
          <w:lang w:bidi="fa-IR"/>
        </w:rPr>
        <w:t>ً</w:t>
      </w:r>
      <w:r w:rsidRPr="00282AC9">
        <w:rPr>
          <w:color w:val="auto"/>
          <w:rtl/>
          <w:lang w:bidi="fa-IR"/>
        </w:rPr>
        <w:t>»</w:t>
      </w:r>
    </w:p>
    <w:p w:rsidR="001153F1" w:rsidRPr="00282AC9" w:rsidRDefault="00BA30B8" w:rsidP="003E218F">
      <w:pPr>
        <w:rPr>
          <w:rFonts w:ascii="Mosawi" w:hAnsi="Mosawi"/>
          <w:sz w:val="27"/>
          <w:rtl/>
          <w:lang w:bidi="fa-IR"/>
        </w:rPr>
      </w:pPr>
      <w:r w:rsidRPr="00282AC9">
        <w:rPr>
          <w:rFonts w:hint="cs"/>
          <w:sz w:val="27"/>
          <w:rtl/>
        </w:rPr>
        <w:t xml:space="preserve">وهي </w:t>
      </w:r>
      <w:r w:rsidR="001153F1" w:rsidRPr="00282AC9">
        <w:rPr>
          <w:sz w:val="27"/>
          <w:rtl/>
        </w:rPr>
        <w:t>م</w:t>
      </w:r>
      <w:r w:rsidR="00780429" w:rsidRPr="00282AC9">
        <w:rPr>
          <w:rFonts w:hint="cs"/>
          <w:sz w:val="27"/>
          <w:rtl/>
        </w:rPr>
        <w:t>ُ</w:t>
      </w:r>
      <w:r w:rsidR="001153F1" w:rsidRPr="00282AC9">
        <w:rPr>
          <w:sz w:val="27"/>
          <w:rtl/>
        </w:rPr>
        <w:t>ر</w:t>
      </w:r>
      <w:r w:rsidR="00780429" w:rsidRPr="00282AC9">
        <w:rPr>
          <w:rFonts w:hint="cs"/>
          <w:sz w:val="27"/>
          <w:rtl/>
        </w:rPr>
        <w:t>ْ</w:t>
      </w:r>
      <w:r w:rsidR="001153F1" w:rsidRPr="00282AC9">
        <w:rPr>
          <w:sz w:val="27"/>
          <w:rtl/>
        </w:rPr>
        <w:t>س</w:t>
      </w:r>
      <w:r w:rsidRPr="00282AC9">
        <w:rPr>
          <w:rFonts w:hint="cs"/>
          <w:sz w:val="27"/>
          <w:rtl/>
        </w:rPr>
        <w:t>َ</w:t>
      </w:r>
      <w:r w:rsidR="001153F1" w:rsidRPr="00282AC9">
        <w:rPr>
          <w:sz w:val="27"/>
          <w:rtl/>
        </w:rPr>
        <w:t>لة إسماعيل بن عبد الخالق</w:t>
      </w:r>
      <w:r w:rsidRPr="00282AC9">
        <w:rPr>
          <w:rFonts w:ascii="Mosawi" w:hAnsi="Mosawi" w:hint="cs"/>
          <w:sz w:val="27"/>
          <w:rtl/>
        </w:rPr>
        <w:t>،</w:t>
      </w:r>
      <w:r w:rsidR="001153F1" w:rsidRPr="00282AC9">
        <w:rPr>
          <w:rFonts w:ascii="Mosawi" w:hAnsi="Mosawi"/>
          <w:sz w:val="27"/>
          <w:rtl/>
        </w:rPr>
        <w:t xml:space="preserve"> عم</w:t>
      </w:r>
      <w:r w:rsidRPr="00282AC9">
        <w:rPr>
          <w:rFonts w:ascii="Mosawi" w:hAnsi="Mosawi" w:hint="cs"/>
          <w:sz w:val="27"/>
          <w:rtl/>
        </w:rPr>
        <w:t>َّ</w:t>
      </w:r>
      <w:r w:rsidR="001153F1" w:rsidRPr="00282AC9">
        <w:rPr>
          <w:rFonts w:ascii="Mosawi" w:hAnsi="Mosawi"/>
          <w:sz w:val="27"/>
          <w:rtl/>
        </w:rPr>
        <w:t>ن</w:t>
      </w:r>
      <w:r w:rsidRPr="00282AC9">
        <w:rPr>
          <w:rFonts w:ascii="Mosawi" w:hAnsi="Mosawi" w:hint="cs"/>
          <w:sz w:val="27"/>
          <w:rtl/>
        </w:rPr>
        <w:t>ْ</w:t>
      </w:r>
      <w:r w:rsidR="001153F1" w:rsidRPr="00282AC9">
        <w:rPr>
          <w:rFonts w:ascii="Mosawi" w:hAnsi="Mosawi"/>
          <w:sz w:val="27"/>
          <w:rtl/>
        </w:rPr>
        <w:t xml:space="preserve"> حد</w:t>
      </w:r>
      <w:r w:rsidR="001153F1" w:rsidRPr="00282AC9">
        <w:rPr>
          <w:rFonts w:ascii="Mosawi" w:hAnsi="Mosawi" w:hint="cs"/>
          <w:sz w:val="27"/>
          <w:rtl/>
        </w:rPr>
        <w:t>ّ</w:t>
      </w:r>
      <w:r w:rsidRPr="00282AC9">
        <w:rPr>
          <w:rFonts w:ascii="Mosawi" w:hAnsi="Mosawi" w:hint="cs"/>
          <w:sz w:val="27"/>
          <w:rtl/>
        </w:rPr>
        <w:t>َ</w:t>
      </w:r>
      <w:r w:rsidR="001153F1" w:rsidRPr="00282AC9">
        <w:rPr>
          <w:rFonts w:ascii="Mosawi" w:hAnsi="Mosawi"/>
          <w:sz w:val="27"/>
          <w:rtl/>
        </w:rPr>
        <w:t>ثه</w:t>
      </w:r>
      <w:r w:rsidRPr="00282AC9">
        <w:rPr>
          <w:rFonts w:ascii="Mosawi" w:hAnsi="Mosawi" w:hint="cs"/>
          <w:sz w:val="27"/>
          <w:rtl/>
        </w:rPr>
        <w:t>،</w:t>
      </w:r>
      <w:r w:rsidR="001153F1" w:rsidRPr="00282AC9">
        <w:rPr>
          <w:rFonts w:ascii="Mosawi" w:hAnsi="Mosawi"/>
          <w:sz w:val="27"/>
          <w:rtl/>
        </w:rPr>
        <w:t xml:space="preserve"> قال: شك</w:t>
      </w:r>
      <w:r w:rsidR="00780429" w:rsidRPr="00282AC9">
        <w:rPr>
          <w:rFonts w:ascii="Mosawi" w:hAnsi="Mosawi" w:hint="cs"/>
          <w:sz w:val="27"/>
          <w:rtl/>
        </w:rPr>
        <w:t>َ</w:t>
      </w:r>
      <w:r w:rsidR="001153F1" w:rsidRPr="00282AC9">
        <w:rPr>
          <w:rFonts w:ascii="Mosawi" w:hAnsi="Mosawi"/>
          <w:sz w:val="27"/>
          <w:rtl/>
        </w:rPr>
        <w:t>و</w:t>
      </w:r>
      <w:r w:rsidR="00780429" w:rsidRPr="00282AC9">
        <w:rPr>
          <w:rFonts w:ascii="Mosawi" w:hAnsi="Mosawi" w:hint="cs"/>
          <w:sz w:val="27"/>
          <w:rtl/>
        </w:rPr>
        <w:t>ْ</w:t>
      </w:r>
      <w:r w:rsidR="001153F1" w:rsidRPr="00282AC9">
        <w:rPr>
          <w:rFonts w:ascii="Mosawi" w:hAnsi="Mosawi"/>
          <w:sz w:val="27"/>
          <w:rtl/>
        </w:rPr>
        <w:t>ت</w:t>
      </w:r>
      <w:r w:rsidRPr="00282AC9">
        <w:rPr>
          <w:rFonts w:ascii="Mosawi" w:hAnsi="Mosawi" w:hint="cs"/>
          <w:sz w:val="27"/>
          <w:rtl/>
        </w:rPr>
        <w:t>ُ</w:t>
      </w:r>
      <w:r w:rsidR="001153F1" w:rsidRPr="00282AC9">
        <w:rPr>
          <w:rFonts w:ascii="Mosawi" w:hAnsi="Mosawi"/>
          <w:sz w:val="27"/>
          <w:rtl/>
        </w:rPr>
        <w:t xml:space="preserve"> إلى أبي عبد الله</w:t>
      </w:r>
      <w:r w:rsidR="009A2A04" w:rsidRPr="00282AC9">
        <w:rPr>
          <w:rFonts w:ascii="Mosawi" w:hAnsi="Mosawi" w:cs="Mosawi"/>
          <w:sz w:val="22"/>
          <w:szCs w:val="22"/>
          <w:rtl/>
        </w:rPr>
        <w:t>×</w:t>
      </w:r>
      <w:r w:rsidR="001153F1" w:rsidRPr="00282AC9">
        <w:rPr>
          <w:rFonts w:ascii="Mosawi" w:hAnsi="Mosawi"/>
          <w:sz w:val="27"/>
          <w:rtl/>
        </w:rPr>
        <w:t xml:space="preserve"> قل</w:t>
      </w:r>
      <w:r w:rsidRPr="00282AC9">
        <w:rPr>
          <w:rFonts w:ascii="Mosawi" w:hAnsi="Mosawi" w:hint="cs"/>
          <w:sz w:val="27"/>
          <w:rtl/>
        </w:rPr>
        <w:t>ّ</w:t>
      </w:r>
      <w:r w:rsidR="001153F1" w:rsidRPr="00282AC9">
        <w:rPr>
          <w:rFonts w:ascii="Mosawi" w:hAnsi="Mosawi"/>
          <w:sz w:val="27"/>
          <w:rtl/>
        </w:rPr>
        <w:t>ة ولدي</w:t>
      </w:r>
      <w:r w:rsidRPr="00282AC9">
        <w:rPr>
          <w:rFonts w:ascii="Mosawi" w:hAnsi="Mosawi" w:hint="cs"/>
          <w:sz w:val="27"/>
          <w:rtl/>
        </w:rPr>
        <w:t>،</w:t>
      </w:r>
      <w:r w:rsidR="001153F1" w:rsidRPr="00282AC9">
        <w:rPr>
          <w:rFonts w:ascii="Mosawi" w:hAnsi="Mosawi"/>
          <w:sz w:val="27"/>
          <w:rtl/>
        </w:rPr>
        <w:t xml:space="preserve"> وأن</w:t>
      </w:r>
      <w:r w:rsidR="001153F1" w:rsidRPr="00282AC9">
        <w:rPr>
          <w:rFonts w:ascii="Mosawi" w:hAnsi="Mosawi" w:hint="cs"/>
          <w:sz w:val="27"/>
          <w:rtl/>
        </w:rPr>
        <w:t>ّ</w:t>
      </w:r>
      <w:r w:rsidR="001153F1" w:rsidRPr="00282AC9">
        <w:rPr>
          <w:rFonts w:ascii="Mosawi" w:hAnsi="Mosawi"/>
          <w:sz w:val="27"/>
          <w:rtl/>
        </w:rPr>
        <w:t>ه لا ولد لي</w:t>
      </w:r>
      <w:r w:rsidRPr="00282AC9">
        <w:rPr>
          <w:rFonts w:ascii="Mosawi" w:hAnsi="Mosawi" w:hint="cs"/>
          <w:sz w:val="27"/>
          <w:rtl/>
        </w:rPr>
        <w:t>،</w:t>
      </w:r>
      <w:r w:rsidR="001153F1" w:rsidRPr="00282AC9">
        <w:rPr>
          <w:rFonts w:ascii="Mosawi" w:hAnsi="Mosawi"/>
          <w:sz w:val="27"/>
          <w:rtl/>
        </w:rPr>
        <w:t xml:space="preserve"> فقال لي</w:t>
      </w:r>
      <w:r w:rsidRPr="00282AC9">
        <w:rPr>
          <w:rFonts w:ascii="Mosawi" w:hAnsi="Mosawi" w:hint="cs"/>
          <w:sz w:val="27"/>
          <w:rtl/>
        </w:rPr>
        <w:t>:</w:t>
      </w:r>
      <w:r w:rsidR="001153F1" w:rsidRPr="00282AC9">
        <w:rPr>
          <w:rFonts w:ascii="Mosawi" w:hAnsi="Mosawi"/>
          <w:sz w:val="27"/>
          <w:rtl/>
        </w:rPr>
        <w:t xml:space="preserve"> </w:t>
      </w:r>
      <w:r w:rsidRPr="00282AC9">
        <w:rPr>
          <w:sz w:val="24"/>
          <w:szCs w:val="24"/>
          <w:rtl/>
          <w:lang w:bidi="fa-IR"/>
        </w:rPr>
        <w:t>«</w:t>
      </w:r>
      <w:r w:rsidR="001153F1" w:rsidRPr="00282AC9">
        <w:rPr>
          <w:rFonts w:ascii="Mosawi" w:hAnsi="Mosawi"/>
          <w:sz w:val="27"/>
          <w:rtl/>
          <w:lang w:bidi="fa-IR"/>
        </w:rPr>
        <w:t>إذا أتي</w:t>
      </w:r>
      <w:r w:rsidRPr="00282AC9">
        <w:rPr>
          <w:rFonts w:ascii="Mosawi" w:hAnsi="Mosawi" w:hint="cs"/>
          <w:sz w:val="27"/>
          <w:rtl/>
          <w:lang w:bidi="fa-IR"/>
        </w:rPr>
        <w:t>ْ</w:t>
      </w:r>
      <w:r w:rsidR="001153F1" w:rsidRPr="00282AC9">
        <w:rPr>
          <w:rFonts w:ascii="Mosawi" w:hAnsi="Mosawi"/>
          <w:sz w:val="27"/>
          <w:rtl/>
          <w:lang w:bidi="fa-IR"/>
        </w:rPr>
        <w:t>ت</w:t>
      </w:r>
      <w:r w:rsidRPr="00282AC9">
        <w:rPr>
          <w:rFonts w:ascii="Mosawi" w:hAnsi="Mosawi" w:hint="cs"/>
          <w:sz w:val="27"/>
          <w:rtl/>
          <w:lang w:bidi="fa-IR"/>
        </w:rPr>
        <w:t>َ</w:t>
      </w:r>
      <w:r w:rsidR="001153F1" w:rsidRPr="00282AC9">
        <w:rPr>
          <w:rFonts w:ascii="Mosawi" w:hAnsi="Mosawi"/>
          <w:sz w:val="27"/>
          <w:rtl/>
          <w:lang w:bidi="fa-IR"/>
        </w:rPr>
        <w:t xml:space="preserve"> العراق فتزو</w:t>
      </w:r>
      <w:r w:rsidR="001153F1" w:rsidRPr="00282AC9">
        <w:rPr>
          <w:rFonts w:ascii="Mosawi" w:hAnsi="Mosawi" w:hint="cs"/>
          <w:sz w:val="27"/>
          <w:rtl/>
          <w:lang w:bidi="fa-IR"/>
        </w:rPr>
        <w:t>ّ</w:t>
      </w:r>
      <w:r w:rsidRPr="00282AC9">
        <w:rPr>
          <w:rFonts w:ascii="Mosawi" w:hAnsi="Mosawi" w:hint="cs"/>
          <w:sz w:val="27"/>
          <w:rtl/>
          <w:lang w:bidi="fa-IR"/>
        </w:rPr>
        <w:t>َ</w:t>
      </w:r>
      <w:r w:rsidR="001153F1" w:rsidRPr="00282AC9">
        <w:rPr>
          <w:rFonts w:ascii="Mosawi" w:hAnsi="Mosawi"/>
          <w:sz w:val="27"/>
          <w:rtl/>
          <w:lang w:bidi="fa-IR"/>
        </w:rPr>
        <w:t>ج</w:t>
      </w:r>
      <w:r w:rsidRPr="00282AC9">
        <w:rPr>
          <w:rFonts w:ascii="Mosawi" w:hAnsi="Mosawi" w:hint="cs"/>
          <w:sz w:val="27"/>
          <w:rtl/>
          <w:lang w:bidi="fa-IR"/>
        </w:rPr>
        <w:t>ْ</w:t>
      </w:r>
      <w:r w:rsidR="001153F1" w:rsidRPr="00282AC9">
        <w:rPr>
          <w:rFonts w:ascii="Mosawi" w:hAnsi="Mosawi"/>
          <w:sz w:val="27"/>
          <w:rtl/>
          <w:lang w:bidi="fa-IR"/>
        </w:rPr>
        <w:t xml:space="preserve"> امرأة</w:t>
      </w:r>
      <w:r w:rsidRPr="00282AC9">
        <w:rPr>
          <w:rFonts w:ascii="Mosawi" w:hAnsi="Mosawi" w:hint="cs"/>
          <w:sz w:val="27"/>
          <w:rtl/>
          <w:lang w:bidi="fa-IR"/>
        </w:rPr>
        <w:t>ً،</w:t>
      </w:r>
      <w:r w:rsidR="001153F1" w:rsidRPr="00282AC9">
        <w:rPr>
          <w:rFonts w:ascii="Mosawi" w:hAnsi="Mosawi"/>
          <w:sz w:val="27"/>
          <w:rtl/>
          <w:lang w:bidi="fa-IR"/>
        </w:rPr>
        <w:t xml:space="preserve"> ولا عليك أن تكون سوءاء</w:t>
      </w:r>
      <w:r w:rsidRPr="00282AC9">
        <w:rPr>
          <w:sz w:val="24"/>
          <w:szCs w:val="24"/>
          <w:rtl/>
          <w:lang w:bidi="fa-IR"/>
        </w:rPr>
        <w:t>»</w:t>
      </w:r>
      <w:r w:rsidRPr="00282AC9">
        <w:rPr>
          <w:rFonts w:ascii="Mosawi" w:hAnsi="Mosawi" w:hint="cs"/>
          <w:sz w:val="27"/>
          <w:rtl/>
          <w:lang w:bidi="fa-IR"/>
        </w:rPr>
        <w:t>،</w:t>
      </w:r>
      <w:r w:rsidR="001153F1" w:rsidRPr="00282AC9">
        <w:rPr>
          <w:rFonts w:ascii="Mosawi" w:hAnsi="Mosawi"/>
          <w:sz w:val="27"/>
          <w:rtl/>
          <w:lang w:bidi="fa-IR"/>
        </w:rPr>
        <w:t xml:space="preserve"> قلت</w:t>
      </w:r>
      <w:r w:rsidRPr="00282AC9">
        <w:rPr>
          <w:rFonts w:ascii="Mosawi" w:hAnsi="Mosawi" w:hint="cs"/>
          <w:sz w:val="27"/>
          <w:rtl/>
          <w:lang w:bidi="fa-IR"/>
        </w:rPr>
        <w:t>ُ</w:t>
      </w:r>
      <w:r w:rsidR="001153F1" w:rsidRPr="00282AC9">
        <w:rPr>
          <w:rFonts w:ascii="Mosawi" w:hAnsi="Mosawi" w:hint="cs"/>
          <w:sz w:val="27"/>
          <w:rtl/>
          <w:lang w:bidi="fa-IR"/>
        </w:rPr>
        <w:t>:</w:t>
      </w:r>
      <w:r w:rsidR="001153F1" w:rsidRPr="00282AC9">
        <w:rPr>
          <w:rFonts w:ascii="Mosawi" w:hAnsi="Mosawi"/>
          <w:sz w:val="27"/>
          <w:rtl/>
          <w:lang w:bidi="fa-IR"/>
        </w:rPr>
        <w:t xml:space="preserve"> ج</w:t>
      </w:r>
      <w:r w:rsidRPr="00282AC9">
        <w:rPr>
          <w:rFonts w:ascii="Mosawi" w:hAnsi="Mosawi" w:hint="cs"/>
          <w:sz w:val="27"/>
          <w:rtl/>
          <w:lang w:bidi="fa-IR"/>
        </w:rPr>
        <w:t>ُ</w:t>
      </w:r>
      <w:r w:rsidR="001153F1" w:rsidRPr="00282AC9">
        <w:rPr>
          <w:rFonts w:ascii="Mosawi" w:hAnsi="Mosawi"/>
          <w:sz w:val="27"/>
          <w:rtl/>
          <w:lang w:bidi="fa-IR"/>
        </w:rPr>
        <w:t>علت</w:t>
      </w:r>
      <w:r w:rsidRPr="00282AC9">
        <w:rPr>
          <w:rFonts w:ascii="Mosawi" w:hAnsi="Mosawi" w:hint="cs"/>
          <w:sz w:val="27"/>
          <w:rtl/>
          <w:lang w:bidi="fa-IR"/>
        </w:rPr>
        <w:t>ُ</w:t>
      </w:r>
      <w:r w:rsidR="001153F1" w:rsidRPr="00282AC9">
        <w:rPr>
          <w:rFonts w:ascii="Mosawi" w:hAnsi="Mosawi"/>
          <w:sz w:val="27"/>
          <w:rtl/>
          <w:lang w:bidi="fa-IR"/>
        </w:rPr>
        <w:t xml:space="preserve"> فداك</w:t>
      </w:r>
      <w:r w:rsidRPr="00282AC9">
        <w:rPr>
          <w:rFonts w:ascii="Mosawi" w:hAnsi="Mosawi" w:hint="cs"/>
          <w:sz w:val="27"/>
          <w:rtl/>
          <w:lang w:bidi="fa-IR"/>
        </w:rPr>
        <w:t>،</w:t>
      </w:r>
      <w:r w:rsidR="001153F1" w:rsidRPr="00282AC9">
        <w:rPr>
          <w:rFonts w:ascii="Mosawi" w:hAnsi="Mosawi"/>
          <w:sz w:val="27"/>
          <w:rtl/>
          <w:lang w:bidi="fa-IR"/>
        </w:rPr>
        <w:t xml:space="preserve"> وما السوءاء</w:t>
      </w:r>
      <w:r w:rsidRPr="00282AC9">
        <w:rPr>
          <w:rFonts w:ascii="Mosawi" w:hAnsi="Mosawi" w:hint="cs"/>
          <w:sz w:val="27"/>
          <w:rtl/>
          <w:lang w:bidi="fa-IR"/>
        </w:rPr>
        <w:t>؟</w:t>
      </w:r>
      <w:r w:rsidR="001153F1" w:rsidRPr="00282AC9">
        <w:rPr>
          <w:rFonts w:ascii="Mosawi" w:hAnsi="Mosawi"/>
          <w:sz w:val="27"/>
          <w:rtl/>
          <w:lang w:bidi="fa-IR"/>
        </w:rPr>
        <w:t xml:space="preserve"> قال</w:t>
      </w:r>
      <w:r w:rsidR="001153F1" w:rsidRPr="00282AC9">
        <w:rPr>
          <w:rFonts w:ascii="Mosawi" w:hAnsi="Mosawi" w:hint="cs"/>
          <w:sz w:val="27"/>
          <w:rtl/>
          <w:lang w:bidi="fa-IR"/>
        </w:rPr>
        <w:t>:</w:t>
      </w:r>
      <w:r w:rsidR="001153F1" w:rsidRPr="00282AC9">
        <w:rPr>
          <w:rFonts w:ascii="Mosawi" w:hAnsi="Mosawi"/>
          <w:sz w:val="27"/>
          <w:rtl/>
          <w:lang w:bidi="fa-IR"/>
        </w:rPr>
        <w:t xml:space="preserve"> </w:t>
      </w:r>
      <w:r w:rsidRPr="00282AC9">
        <w:rPr>
          <w:sz w:val="24"/>
          <w:szCs w:val="24"/>
          <w:rtl/>
          <w:lang w:bidi="fa-IR"/>
        </w:rPr>
        <w:t>«</w:t>
      </w:r>
      <w:r w:rsidR="001153F1" w:rsidRPr="00282AC9">
        <w:rPr>
          <w:rFonts w:ascii="Mosawi" w:hAnsi="Mosawi"/>
          <w:sz w:val="27"/>
          <w:rtl/>
          <w:lang w:bidi="fa-IR"/>
        </w:rPr>
        <w:t>امرأة</w:t>
      </w:r>
      <w:r w:rsidRPr="00282AC9">
        <w:rPr>
          <w:rFonts w:ascii="Mosawi" w:hAnsi="Mosawi" w:hint="cs"/>
          <w:sz w:val="27"/>
          <w:rtl/>
          <w:lang w:bidi="fa-IR"/>
        </w:rPr>
        <w:t>ٌ</w:t>
      </w:r>
      <w:r w:rsidR="001153F1" w:rsidRPr="00282AC9">
        <w:rPr>
          <w:rFonts w:ascii="Mosawi" w:hAnsi="Mosawi"/>
          <w:sz w:val="27"/>
          <w:rtl/>
          <w:lang w:bidi="fa-IR"/>
        </w:rPr>
        <w:t xml:space="preserve"> فيها ق</w:t>
      </w:r>
      <w:r w:rsidRPr="00282AC9">
        <w:rPr>
          <w:rFonts w:ascii="Mosawi" w:hAnsi="Mosawi" w:hint="cs"/>
          <w:sz w:val="27"/>
          <w:rtl/>
          <w:lang w:bidi="fa-IR"/>
        </w:rPr>
        <w:t>ُ</w:t>
      </w:r>
      <w:r w:rsidR="001153F1" w:rsidRPr="00282AC9">
        <w:rPr>
          <w:rFonts w:ascii="Mosawi" w:hAnsi="Mosawi"/>
          <w:sz w:val="27"/>
          <w:rtl/>
          <w:lang w:bidi="fa-IR"/>
        </w:rPr>
        <w:t>ب</w:t>
      </w:r>
      <w:r w:rsidRPr="00282AC9">
        <w:rPr>
          <w:rFonts w:ascii="Mosawi" w:hAnsi="Mosawi" w:hint="cs"/>
          <w:sz w:val="27"/>
          <w:rtl/>
          <w:lang w:bidi="fa-IR"/>
        </w:rPr>
        <w:t>ْ</w:t>
      </w:r>
      <w:r w:rsidR="001153F1" w:rsidRPr="00282AC9">
        <w:rPr>
          <w:rFonts w:ascii="Mosawi" w:hAnsi="Mosawi"/>
          <w:sz w:val="27"/>
          <w:rtl/>
          <w:lang w:bidi="fa-IR"/>
        </w:rPr>
        <w:t>ح</w:t>
      </w:r>
      <w:r w:rsidRPr="00282AC9">
        <w:rPr>
          <w:rFonts w:ascii="Mosawi" w:hAnsi="Mosawi" w:hint="cs"/>
          <w:sz w:val="27"/>
          <w:rtl/>
          <w:lang w:bidi="fa-IR"/>
        </w:rPr>
        <w:t>ٌ؛</w:t>
      </w:r>
      <w:r w:rsidR="001153F1" w:rsidRPr="00282AC9">
        <w:rPr>
          <w:rFonts w:ascii="Mosawi" w:hAnsi="Mosawi"/>
          <w:sz w:val="27"/>
          <w:rtl/>
          <w:lang w:bidi="fa-IR"/>
        </w:rPr>
        <w:t xml:space="preserve"> فإنه</w:t>
      </w:r>
      <w:r w:rsidRPr="00282AC9">
        <w:rPr>
          <w:rFonts w:ascii="Mosawi" w:hAnsi="Mosawi" w:hint="cs"/>
          <w:sz w:val="27"/>
          <w:rtl/>
          <w:lang w:bidi="fa-IR"/>
        </w:rPr>
        <w:t>ُ</w:t>
      </w:r>
      <w:r w:rsidR="001153F1" w:rsidRPr="00282AC9">
        <w:rPr>
          <w:rFonts w:ascii="Mosawi" w:hAnsi="Mosawi"/>
          <w:sz w:val="27"/>
          <w:rtl/>
          <w:lang w:bidi="fa-IR"/>
        </w:rPr>
        <w:t>ن</w:t>
      </w:r>
      <w:r w:rsidRPr="00282AC9">
        <w:rPr>
          <w:rFonts w:ascii="Mosawi" w:hAnsi="Mosawi" w:hint="cs"/>
          <w:sz w:val="27"/>
          <w:rtl/>
          <w:lang w:bidi="fa-IR"/>
        </w:rPr>
        <w:t>َّ</w:t>
      </w:r>
      <w:r w:rsidR="001153F1" w:rsidRPr="00282AC9">
        <w:rPr>
          <w:rFonts w:ascii="Mosawi" w:hAnsi="Mosawi"/>
          <w:sz w:val="27"/>
          <w:rtl/>
          <w:lang w:bidi="fa-IR"/>
        </w:rPr>
        <w:t xml:space="preserve"> أكثر أولادا</w:t>
      </w:r>
      <w:r w:rsidR="001153F1" w:rsidRPr="00282AC9">
        <w:rPr>
          <w:rFonts w:ascii="Mosawi" w:hAnsi="Mosawi" w:hint="cs"/>
          <w:sz w:val="27"/>
          <w:rtl/>
          <w:lang w:bidi="fa-IR"/>
        </w:rPr>
        <w:t>ً</w:t>
      </w:r>
      <w:r w:rsidRPr="00282AC9">
        <w:rPr>
          <w:sz w:val="24"/>
          <w:szCs w:val="24"/>
          <w:rtl/>
          <w:lang w:bidi="fa-IR"/>
        </w:rPr>
        <w:t>»</w:t>
      </w:r>
      <w:r w:rsidR="001153F1" w:rsidRPr="00282AC9">
        <w:rPr>
          <w:rFonts w:ascii="Mosawi" w:hAnsi="Mosawi"/>
          <w:sz w:val="27"/>
          <w:vertAlign w:val="superscript"/>
          <w:rtl/>
          <w:lang w:bidi="fa-IR"/>
        </w:rPr>
        <w:t>(</w:t>
      </w:r>
      <w:r w:rsidR="001153F1" w:rsidRPr="00282AC9">
        <w:rPr>
          <w:rStyle w:val="af9"/>
          <w:rFonts w:ascii="Mosawi" w:hAnsi="Mosawi"/>
          <w:sz w:val="27"/>
          <w:rtl/>
          <w:lang w:bidi="fa-IR"/>
        </w:rPr>
        <w:endnoteReference w:id="650"/>
      </w:r>
      <w:r w:rsidR="001153F1" w:rsidRPr="00282AC9">
        <w:rPr>
          <w:rFonts w:ascii="Mosawi" w:hAnsi="Mosawi"/>
          <w:sz w:val="27"/>
          <w:vertAlign w:val="superscript"/>
          <w:rtl/>
          <w:lang w:bidi="fa-IR"/>
        </w:rPr>
        <w:t>)</w:t>
      </w:r>
      <w:r w:rsidR="001153F1" w:rsidRPr="00282AC9">
        <w:rPr>
          <w:rFonts w:ascii="Mosawi" w:hAnsi="Mosawi"/>
          <w:sz w:val="27"/>
          <w:rtl/>
          <w:lang w:bidi="fa-IR"/>
        </w:rPr>
        <w:t>.</w:t>
      </w:r>
    </w:p>
    <w:p w:rsidR="00B72AF5" w:rsidRPr="00282AC9" w:rsidRDefault="001153F1" w:rsidP="003E218F">
      <w:pPr>
        <w:rPr>
          <w:b/>
          <w:bCs/>
          <w:rtl/>
          <w:lang w:bidi="fa-IR"/>
        </w:rPr>
      </w:pPr>
      <w:r w:rsidRPr="00282AC9">
        <w:rPr>
          <w:rFonts w:hint="cs"/>
          <w:b/>
          <w:bCs/>
          <w:rtl/>
          <w:lang w:bidi="fa-IR"/>
        </w:rPr>
        <w:t>أـ الدراسة السندي</w:t>
      </w:r>
      <w:r w:rsidR="00BA30B8" w:rsidRPr="00282AC9">
        <w:rPr>
          <w:rFonts w:hint="cs"/>
          <w:b/>
          <w:bCs/>
          <w:rtl/>
          <w:lang w:bidi="fa-IR"/>
        </w:rPr>
        <w:t>ّ</w:t>
      </w:r>
      <w:r w:rsidRPr="00282AC9">
        <w:rPr>
          <w:rFonts w:hint="cs"/>
          <w:b/>
          <w:bCs/>
          <w:rtl/>
          <w:lang w:bidi="fa-IR"/>
        </w:rPr>
        <w:t>ة</w:t>
      </w:r>
      <w:r w:rsidR="00780429" w:rsidRPr="00282AC9">
        <w:rPr>
          <w:rFonts w:hint="cs"/>
          <w:rtl/>
          <w:lang w:bidi="fa-IR"/>
        </w:rPr>
        <w:t xml:space="preserve">: </w:t>
      </w:r>
      <w:r w:rsidRPr="00282AC9">
        <w:rPr>
          <w:rFonts w:ascii="Cambria" w:hAnsi="Cambria" w:hint="cs"/>
          <w:sz w:val="27"/>
          <w:rtl/>
          <w:lang w:bidi="fa-IR"/>
        </w:rPr>
        <w:t>إنّ هذه الرواية من الناحية السندي</w:t>
      </w:r>
      <w:r w:rsidR="00BA30B8" w:rsidRPr="00282AC9">
        <w:rPr>
          <w:rFonts w:ascii="Cambria" w:hAnsi="Cambria" w:hint="cs"/>
          <w:sz w:val="27"/>
          <w:rtl/>
          <w:lang w:bidi="fa-IR"/>
        </w:rPr>
        <w:t>ّ</w:t>
      </w:r>
      <w:r w:rsidRPr="00282AC9">
        <w:rPr>
          <w:rFonts w:ascii="Cambria" w:hAnsi="Cambria" w:hint="cs"/>
          <w:sz w:val="27"/>
          <w:rtl/>
          <w:lang w:bidi="fa-IR"/>
        </w:rPr>
        <w:t>ة ضعيفة</w:t>
      </w:r>
      <w:r w:rsidR="00BA30B8" w:rsidRPr="00282AC9">
        <w:rPr>
          <w:rFonts w:ascii="Cambria" w:hAnsi="Cambria" w:hint="cs"/>
          <w:sz w:val="27"/>
          <w:rtl/>
          <w:lang w:bidi="fa-IR"/>
        </w:rPr>
        <w:t>ٌ؛</w:t>
      </w:r>
      <w:r w:rsidRPr="00282AC9">
        <w:rPr>
          <w:rFonts w:ascii="Cambria" w:hAnsi="Cambria" w:hint="cs"/>
          <w:sz w:val="27"/>
          <w:rtl/>
          <w:lang w:bidi="fa-IR"/>
        </w:rPr>
        <w:t xml:space="preserve"> بسبب اشتمال السند </w:t>
      </w:r>
      <w:r w:rsidR="00F312D6" w:rsidRPr="00282AC9">
        <w:rPr>
          <w:rFonts w:ascii="Cambria" w:hAnsi="Cambria" w:hint="cs"/>
          <w:sz w:val="27"/>
          <w:rtl/>
          <w:lang w:bidi="fa-IR"/>
        </w:rPr>
        <w:t>على أحمد بن عبد الرحمن، فهو رجلٌ</w:t>
      </w:r>
      <w:r w:rsidRPr="00282AC9">
        <w:rPr>
          <w:rFonts w:ascii="Cambria" w:hAnsi="Cambria" w:hint="cs"/>
          <w:sz w:val="27"/>
          <w:rtl/>
          <w:lang w:bidi="fa-IR"/>
        </w:rPr>
        <w:t xml:space="preserve"> مهم</w:t>
      </w:r>
      <w:r w:rsidR="00F312D6" w:rsidRPr="00282AC9">
        <w:rPr>
          <w:rFonts w:ascii="Cambria" w:hAnsi="Cambria" w:hint="cs"/>
          <w:sz w:val="27"/>
          <w:rtl/>
          <w:lang w:bidi="fa-IR"/>
        </w:rPr>
        <w:t>َ</w:t>
      </w:r>
      <w:r w:rsidRPr="00282AC9">
        <w:rPr>
          <w:rFonts w:ascii="Cambria" w:hAnsi="Cambria" w:hint="cs"/>
          <w:sz w:val="27"/>
          <w:rtl/>
          <w:lang w:bidi="fa-IR"/>
        </w:rPr>
        <w:t>ل</w:t>
      </w:r>
      <w:r w:rsidR="00F312D6" w:rsidRPr="00282AC9">
        <w:rPr>
          <w:rFonts w:ascii="Cambria" w:hAnsi="Cambria" w:hint="cs"/>
          <w:sz w:val="27"/>
          <w:rtl/>
          <w:lang w:bidi="fa-IR"/>
        </w:rPr>
        <w:t>ٌ</w:t>
      </w:r>
      <w:r w:rsidRPr="00282AC9">
        <w:rPr>
          <w:rFonts w:ascii="Cambria" w:hAnsi="Cambria" w:hint="cs"/>
          <w:sz w:val="27"/>
          <w:rtl/>
          <w:lang w:bidi="fa-IR"/>
        </w:rPr>
        <w:t xml:space="preserve"> في المصادر الرجالي</w:t>
      </w:r>
      <w:r w:rsidR="00F312D6" w:rsidRPr="00282AC9">
        <w:rPr>
          <w:rFonts w:ascii="Cambria" w:hAnsi="Cambria" w:hint="cs"/>
          <w:sz w:val="27"/>
          <w:rtl/>
          <w:lang w:bidi="fa-IR"/>
        </w:rPr>
        <w:t>ّ</w:t>
      </w:r>
      <w:r w:rsidRPr="00282AC9">
        <w:rPr>
          <w:rFonts w:ascii="Cambria" w:hAnsi="Cambria" w:hint="cs"/>
          <w:sz w:val="27"/>
          <w:rtl/>
          <w:lang w:bidi="fa-IR"/>
        </w:rPr>
        <w:t>ة الإمامي</w:t>
      </w:r>
      <w:r w:rsidR="00F312D6" w:rsidRPr="00282AC9">
        <w:rPr>
          <w:rFonts w:ascii="Cambria" w:hAnsi="Cambria" w:hint="cs"/>
          <w:sz w:val="27"/>
          <w:rtl/>
          <w:lang w:bidi="fa-IR"/>
        </w:rPr>
        <w:t>ّ</w:t>
      </w:r>
      <w:r w:rsidRPr="00282AC9">
        <w:rPr>
          <w:rFonts w:ascii="Cambria" w:hAnsi="Cambria" w:hint="cs"/>
          <w:sz w:val="27"/>
          <w:rtl/>
          <w:lang w:bidi="fa-IR"/>
        </w:rPr>
        <w:t>ة</w:t>
      </w:r>
      <w:r w:rsidR="00F312D6" w:rsidRPr="00282AC9">
        <w:rPr>
          <w:rFonts w:ascii="Cambria" w:hAnsi="Cambria" w:hint="cs"/>
          <w:sz w:val="27"/>
          <w:rtl/>
          <w:lang w:bidi="fa-IR"/>
        </w:rPr>
        <w:t>،</w:t>
      </w:r>
      <w:r w:rsidRPr="00282AC9">
        <w:rPr>
          <w:rFonts w:ascii="Cambria" w:hAnsi="Cambria" w:hint="cs"/>
          <w:sz w:val="27"/>
          <w:rtl/>
          <w:lang w:bidi="fa-IR"/>
        </w:rPr>
        <w:t xml:space="preserve"> ورواياته قليلة</w:t>
      </w:r>
      <w:r w:rsidR="00F312D6" w:rsidRPr="00282AC9">
        <w:rPr>
          <w:rFonts w:ascii="Cambria" w:hAnsi="Cambria" w:hint="cs"/>
          <w:sz w:val="27"/>
          <w:rtl/>
          <w:lang w:bidi="fa-IR"/>
        </w:rPr>
        <w:t>.</w:t>
      </w:r>
    </w:p>
    <w:p w:rsidR="00B72AF5" w:rsidRPr="00282AC9" w:rsidRDefault="001153F1" w:rsidP="00F943B4">
      <w:pPr>
        <w:pStyle w:val="afc"/>
        <w:spacing w:line="410" w:lineRule="exact"/>
        <w:rPr>
          <w:rFonts w:ascii="Cambria" w:hAnsi="Cambria" w:cs="AL-Mohanad"/>
          <w:sz w:val="27"/>
          <w:szCs w:val="27"/>
          <w:rtl/>
        </w:rPr>
      </w:pPr>
      <w:r w:rsidRPr="00282AC9">
        <w:rPr>
          <w:rFonts w:ascii="Cambria" w:hAnsi="Cambria" w:cs="AL-Mohanad" w:hint="cs"/>
          <w:sz w:val="27"/>
          <w:szCs w:val="27"/>
          <w:rtl/>
        </w:rPr>
        <w:t>وكذلك هذه الرواية مرس</w:t>
      </w:r>
      <w:r w:rsidR="00F312D6" w:rsidRPr="00282AC9">
        <w:rPr>
          <w:rFonts w:ascii="Cambria" w:hAnsi="Cambria" w:cs="AL-Mohanad" w:hint="cs"/>
          <w:sz w:val="27"/>
          <w:szCs w:val="27"/>
          <w:rtl/>
        </w:rPr>
        <w:t>َ</w:t>
      </w:r>
      <w:r w:rsidRPr="00282AC9">
        <w:rPr>
          <w:rFonts w:ascii="Cambria" w:hAnsi="Cambria" w:cs="AL-Mohanad" w:hint="cs"/>
          <w:sz w:val="27"/>
          <w:szCs w:val="27"/>
          <w:rtl/>
        </w:rPr>
        <w:t>لة</w:t>
      </w:r>
      <w:r w:rsidR="00F312D6" w:rsidRPr="00282AC9">
        <w:rPr>
          <w:rFonts w:ascii="Cambria" w:hAnsi="Cambria" w:cs="AL-Mohanad" w:hint="cs"/>
          <w:sz w:val="27"/>
          <w:szCs w:val="27"/>
          <w:rtl/>
        </w:rPr>
        <w:t>ٌ؛</w:t>
      </w:r>
      <w:r w:rsidRPr="00282AC9">
        <w:rPr>
          <w:rFonts w:ascii="Cambria" w:hAnsi="Cambria" w:cs="AL-Mohanad" w:hint="cs"/>
          <w:sz w:val="27"/>
          <w:szCs w:val="27"/>
          <w:rtl/>
        </w:rPr>
        <w:t xml:space="preserve"> حيث نقلها إسماعيل بن عبد</w:t>
      </w:r>
      <w:r w:rsidR="00B72AF5" w:rsidRPr="00282AC9">
        <w:rPr>
          <w:rFonts w:ascii="Cambria" w:hAnsi="Cambria" w:cs="AL-Mohanad" w:hint="cs"/>
          <w:sz w:val="27"/>
          <w:szCs w:val="27"/>
          <w:rtl/>
        </w:rPr>
        <w:t xml:space="preserve"> </w:t>
      </w:r>
      <w:r w:rsidRPr="00282AC9">
        <w:rPr>
          <w:rFonts w:ascii="Cambria" w:hAnsi="Cambria" w:cs="AL-Mohanad" w:hint="cs"/>
          <w:sz w:val="27"/>
          <w:szCs w:val="27"/>
          <w:rtl/>
        </w:rPr>
        <w:t>الخالق عمّ</w:t>
      </w:r>
      <w:r w:rsidR="00F312D6" w:rsidRPr="00282AC9">
        <w:rPr>
          <w:rFonts w:ascii="Cambria" w:hAnsi="Cambria" w:cs="AL-Mohanad" w:hint="cs"/>
          <w:sz w:val="27"/>
          <w:szCs w:val="27"/>
          <w:rtl/>
        </w:rPr>
        <w:t>َ</w:t>
      </w:r>
      <w:r w:rsidRPr="00282AC9">
        <w:rPr>
          <w:rFonts w:ascii="Cambria" w:hAnsi="Cambria" w:cs="AL-Mohanad" w:hint="cs"/>
          <w:sz w:val="27"/>
          <w:szCs w:val="27"/>
          <w:rtl/>
        </w:rPr>
        <w:t>ن</w:t>
      </w:r>
      <w:r w:rsidR="00F312D6" w:rsidRPr="00282AC9">
        <w:rPr>
          <w:rFonts w:ascii="Cambria" w:hAnsi="Cambria" w:cs="AL-Mohanad" w:hint="cs"/>
          <w:sz w:val="27"/>
          <w:szCs w:val="27"/>
          <w:rtl/>
        </w:rPr>
        <w:t>ْ</w:t>
      </w:r>
      <w:r w:rsidRPr="00282AC9">
        <w:rPr>
          <w:rFonts w:ascii="Cambria" w:hAnsi="Cambria" w:cs="AL-Mohanad" w:hint="cs"/>
          <w:sz w:val="27"/>
          <w:szCs w:val="27"/>
          <w:rtl/>
        </w:rPr>
        <w:t xml:space="preserve"> حدّ</w:t>
      </w:r>
      <w:r w:rsidR="00F312D6" w:rsidRPr="00282AC9">
        <w:rPr>
          <w:rFonts w:ascii="Cambria" w:hAnsi="Cambria" w:cs="AL-Mohanad" w:hint="cs"/>
          <w:sz w:val="27"/>
          <w:szCs w:val="27"/>
          <w:rtl/>
        </w:rPr>
        <w:t>َ</w:t>
      </w:r>
      <w:r w:rsidRPr="00282AC9">
        <w:rPr>
          <w:rFonts w:ascii="Cambria" w:hAnsi="Cambria" w:cs="AL-Mohanad" w:hint="cs"/>
          <w:sz w:val="27"/>
          <w:szCs w:val="27"/>
          <w:rtl/>
        </w:rPr>
        <w:t>ثه</w:t>
      </w:r>
      <w:r w:rsidR="00F312D6" w:rsidRPr="00282AC9">
        <w:rPr>
          <w:rFonts w:ascii="Cambria" w:hAnsi="Cambria" w:cs="AL-Mohanad" w:hint="cs"/>
          <w:sz w:val="27"/>
          <w:szCs w:val="27"/>
          <w:rtl/>
        </w:rPr>
        <w:t>،</w:t>
      </w:r>
      <w:r w:rsidRPr="00282AC9">
        <w:rPr>
          <w:rFonts w:ascii="Cambria" w:hAnsi="Cambria" w:cs="AL-Mohanad" w:hint="cs"/>
          <w:sz w:val="27"/>
          <w:szCs w:val="27"/>
          <w:rtl/>
        </w:rPr>
        <w:t xml:space="preserve"> ولم يسمّ</w:t>
      </w:r>
      <w:r w:rsidR="00F312D6" w:rsidRPr="00282AC9">
        <w:rPr>
          <w:rFonts w:ascii="Cambria" w:hAnsi="Cambria" w:cs="AL-Mohanad" w:hint="cs"/>
          <w:sz w:val="27"/>
          <w:szCs w:val="27"/>
          <w:rtl/>
        </w:rPr>
        <w:t>ِ</w:t>
      </w:r>
      <w:r w:rsidRPr="00282AC9">
        <w:rPr>
          <w:rFonts w:ascii="Cambria" w:hAnsi="Cambria" w:cs="AL-Mohanad" w:hint="cs"/>
          <w:sz w:val="27"/>
          <w:szCs w:val="27"/>
          <w:rtl/>
        </w:rPr>
        <w:t>ه</w:t>
      </w:r>
      <w:r w:rsidR="00B72AF5" w:rsidRPr="00282AC9">
        <w:rPr>
          <w:rFonts w:ascii="Cambria" w:hAnsi="Cambria" w:cs="AL-Mohanad" w:hint="cs"/>
          <w:sz w:val="27"/>
          <w:szCs w:val="27"/>
          <w:rtl/>
        </w:rPr>
        <w:t>.</w:t>
      </w:r>
    </w:p>
    <w:p w:rsidR="001153F1" w:rsidRPr="00282AC9" w:rsidRDefault="001153F1" w:rsidP="003E218F">
      <w:pPr>
        <w:pStyle w:val="afc"/>
        <w:rPr>
          <w:rFonts w:ascii="Cambria" w:hAnsi="Cambria" w:cs="AL-Mohanad"/>
          <w:sz w:val="27"/>
          <w:szCs w:val="27"/>
          <w:rtl/>
        </w:rPr>
      </w:pPr>
      <w:r w:rsidRPr="00282AC9">
        <w:rPr>
          <w:rFonts w:ascii="Cambria" w:hAnsi="Cambria" w:cs="AL-Mohanad" w:hint="cs"/>
          <w:sz w:val="27"/>
          <w:szCs w:val="27"/>
          <w:rtl/>
        </w:rPr>
        <w:t>هذا بغض</w:t>
      </w:r>
      <w:r w:rsidR="00B72AF5" w:rsidRPr="00282AC9">
        <w:rPr>
          <w:rFonts w:ascii="Cambria" w:hAnsi="Cambria" w:cs="AL-Mohanad" w:hint="cs"/>
          <w:sz w:val="27"/>
          <w:szCs w:val="27"/>
          <w:rtl/>
        </w:rPr>
        <w:t>ّ</w:t>
      </w:r>
      <w:r w:rsidRPr="00282AC9">
        <w:rPr>
          <w:rFonts w:ascii="Cambria" w:hAnsi="Cambria" w:cs="AL-Mohanad" w:hint="cs"/>
          <w:sz w:val="27"/>
          <w:szCs w:val="27"/>
          <w:rtl/>
        </w:rPr>
        <w:t xml:space="preserve"> النظر عن الخلاف في إبراهيم بن هاشم</w:t>
      </w:r>
      <w:r w:rsidR="00B72AF5" w:rsidRPr="00282AC9">
        <w:rPr>
          <w:rFonts w:ascii="Cambria" w:hAnsi="Cambria" w:cs="AL-Mohanad" w:hint="cs"/>
          <w:sz w:val="27"/>
          <w:szCs w:val="27"/>
          <w:rtl/>
        </w:rPr>
        <w:t>،</w:t>
      </w:r>
      <w:r w:rsidRPr="00282AC9">
        <w:rPr>
          <w:rFonts w:ascii="Cambria" w:hAnsi="Cambria" w:cs="AL-Mohanad" w:hint="cs"/>
          <w:sz w:val="27"/>
          <w:szCs w:val="27"/>
          <w:rtl/>
        </w:rPr>
        <w:t xml:space="preserve"> الذي وقع في هذا السند. </w:t>
      </w:r>
    </w:p>
    <w:p w:rsidR="001153F1" w:rsidRPr="00282AC9" w:rsidRDefault="001153F1" w:rsidP="003E218F">
      <w:pPr>
        <w:rPr>
          <w:b/>
          <w:bCs/>
          <w:rtl/>
          <w:lang w:bidi="fa-IR"/>
        </w:rPr>
      </w:pPr>
      <w:r w:rsidRPr="00282AC9">
        <w:rPr>
          <w:rFonts w:hint="cs"/>
          <w:b/>
          <w:bCs/>
          <w:rtl/>
          <w:lang w:bidi="fa-IR"/>
        </w:rPr>
        <w:t>ب ـ الدراسة الدلالي</w:t>
      </w:r>
      <w:r w:rsidR="00B72AF5" w:rsidRPr="00282AC9">
        <w:rPr>
          <w:rFonts w:hint="cs"/>
          <w:b/>
          <w:bCs/>
          <w:rtl/>
          <w:lang w:bidi="fa-IR"/>
        </w:rPr>
        <w:t>ّ</w:t>
      </w:r>
      <w:r w:rsidRPr="00282AC9">
        <w:rPr>
          <w:rFonts w:hint="cs"/>
          <w:b/>
          <w:bCs/>
          <w:rtl/>
          <w:lang w:bidi="fa-IR"/>
        </w:rPr>
        <w:t>ة</w:t>
      </w:r>
      <w:r w:rsidR="00780429" w:rsidRPr="00282AC9">
        <w:rPr>
          <w:rFonts w:hint="cs"/>
          <w:rtl/>
          <w:lang w:bidi="fa-IR"/>
        </w:rPr>
        <w:t xml:space="preserve">: </w:t>
      </w:r>
      <w:r w:rsidRPr="00282AC9">
        <w:rPr>
          <w:rFonts w:ascii="Mosawi" w:hAnsi="Mosawi" w:hint="cs"/>
          <w:sz w:val="27"/>
          <w:rtl/>
          <w:lang w:bidi="fa-IR"/>
        </w:rPr>
        <w:t>قد وردت هذه الرواية في قضي</w:t>
      </w:r>
      <w:r w:rsidR="00B72AF5" w:rsidRPr="00282AC9">
        <w:rPr>
          <w:rFonts w:ascii="Mosawi" w:hAnsi="Mosawi" w:hint="cs"/>
          <w:sz w:val="27"/>
          <w:rtl/>
          <w:lang w:bidi="fa-IR"/>
        </w:rPr>
        <w:t>ّ</w:t>
      </w:r>
      <w:r w:rsidRPr="00282AC9">
        <w:rPr>
          <w:rFonts w:ascii="Mosawi" w:hAnsi="Mosawi" w:hint="cs"/>
          <w:sz w:val="27"/>
          <w:rtl/>
          <w:lang w:bidi="fa-IR"/>
        </w:rPr>
        <w:t>ة</w:t>
      </w:r>
      <w:r w:rsidR="00B72AF5" w:rsidRPr="00282AC9">
        <w:rPr>
          <w:rFonts w:ascii="Mosawi" w:hAnsi="Mosawi" w:hint="cs"/>
          <w:sz w:val="27"/>
          <w:rtl/>
          <w:lang w:bidi="fa-IR"/>
        </w:rPr>
        <w:t>ٍ</w:t>
      </w:r>
      <w:r w:rsidRPr="00282AC9">
        <w:rPr>
          <w:rFonts w:ascii="Mosawi" w:hAnsi="Mosawi" w:hint="cs"/>
          <w:sz w:val="27"/>
          <w:rtl/>
          <w:lang w:bidi="fa-IR"/>
        </w:rPr>
        <w:t xml:space="preserve"> شخصية</w:t>
      </w:r>
      <w:r w:rsidR="00B72AF5" w:rsidRPr="00282AC9">
        <w:rPr>
          <w:rFonts w:ascii="Mosawi" w:hAnsi="Mosawi" w:hint="cs"/>
          <w:sz w:val="27"/>
          <w:rtl/>
          <w:lang w:bidi="fa-IR"/>
        </w:rPr>
        <w:t xml:space="preserve">؛ </w:t>
      </w:r>
      <w:r w:rsidRPr="00282AC9">
        <w:rPr>
          <w:rFonts w:ascii="Mosawi" w:hAnsi="Mosawi" w:hint="cs"/>
          <w:sz w:val="27"/>
          <w:rtl/>
          <w:lang w:bidi="fa-IR"/>
        </w:rPr>
        <w:t xml:space="preserve">حيث يشتكي </w:t>
      </w:r>
      <w:r w:rsidRPr="00282AC9">
        <w:rPr>
          <w:rFonts w:ascii="Mosawi" w:hAnsi="Mosawi" w:hint="cs"/>
          <w:sz w:val="27"/>
          <w:rtl/>
          <w:lang w:bidi="fa-IR"/>
        </w:rPr>
        <w:lastRenderedPageBreak/>
        <w:t>السائل إلى الإمام</w:t>
      </w:r>
      <w:r w:rsidR="009A2A04" w:rsidRPr="00282AC9">
        <w:rPr>
          <w:rFonts w:ascii="Mosawi" w:hAnsi="Mosawi" w:cs="Mosawi"/>
          <w:sz w:val="22"/>
          <w:szCs w:val="22"/>
          <w:rtl/>
          <w:lang w:bidi="fa-IR"/>
        </w:rPr>
        <w:t>×</w:t>
      </w:r>
      <w:r w:rsidRPr="00282AC9">
        <w:rPr>
          <w:rFonts w:ascii="Mosawi" w:hAnsi="Mosawi" w:hint="cs"/>
          <w:sz w:val="27"/>
          <w:rtl/>
          <w:lang w:bidi="fa-IR"/>
        </w:rPr>
        <w:t xml:space="preserve"> قل</w:t>
      </w:r>
      <w:r w:rsidR="00B72AF5" w:rsidRPr="00282AC9">
        <w:rPr>
          <w:rFonts w:ascii="Mosawi" w:hAnsi="Mosawi" w:hint="cs"/>
          <w:sz w:val="27"/>
          <w:rtl/>
          <w:lang w:bidi="fa-IR"/>
        </w:rPr>
        <w:t>ّ</w:t>
      </w:r>
      <w:r w:rsidRPr="00282AC9">
        <w:rPr>
          <w:rFonts w:ascii="Mosawi" w:hAnsi="Mosawi" w:hint="cs"/>
          <w:sz w:val="27"/>
          <w:rtl/>
          <w:lang w:bidi="fa-IR"/>
        </w:rPr>
        <w:t>ة ولده</w:t>
      </w:r>
      <w:r w:rsidR="00B72AF5" w:rsidRPr="00282AC9">
        <w:rPr>
          <w:rFonts w:ascii="Mosawi" w:hAnsi="Mosawi" w:hint="cs"/>
          <w:sz w:val="27"/>
          <w:rtl/>
          <w:lang w:bidi="fa-IR"/>
        </w:rPr>
        <w:t>،</w:t>
      </w:r>
      <w:r w:rsidRPr="00282AC9">
        <w:rPr>
          <w:rFonts w:ascii="Mosawi" w:hAnsi="Mosawi" w:hint="cs"/>
          <w:sz w:val="27"/>
          <w:rtl/>
          <w:lang w:bidi="fa-IR"/>
        </w:rPr>
        <w:t xml:space="preserve"> والإمام</w:t>
      </w:r>
      <w:r w:rsidR="009A2A04" w:rsidRPr="00282AC9">
        <w:rPr>
          <w:rFonts w:ascii="Mosawi" w:hAnsi="Mosawi" w:cs="Mosawi"/>
          <w:sz w:val="22"/>
          <w:szCs w:val="22"/>
          <w:rtl/>
          <w:lang w:bidi="fa-IR"/>
        </w:rPr>
        <w:t>×</w:t>
      </w:r>
      <w:r w:rsidRPr="00282AC9">
        <w:rPr>
          <w:rFonts w:ascii="Mosawi" w:hAnsi="Mosawi" w:hint="cs"/>
          <w:sz w:val="27"/>
          <w:rtl/>
          <w:lang w:bidi="fa-IR"/>
        </w:rPr>
        <w:t xml:space="preserve"> يرشده إلى الزواج من المرأة السوءاء</w:t>
      </w:r>
      <w:r w:rsidR="00B72AF5" w:rsidRPr="00282AC9">
        <w:rPr>
          <w:rFonts w:ascii="Mosawi" w:hAnsi="Mosawi" w:hint="cs"/>
          <w:sz w:val="27"/>
          <w:rtl/>
          <w:lang w:bidi="fa-IR"/>
        </w:rPr>
        <w:t>،</w:t>
      </w:r>
      <w:r w:rsidRPr="00282AC9">
        <w:rPr>
          <w:rFonts w:ascii="Mosawi" w:hAnsi="Mosawi" w:hint="cs"/>
          <w:sz w:val="27"/>
          <w:rtl/>
          <w:lang w:bidi="fa-IR"/>
        </w:rPr>
        <w:t xml:space="preserve"> مستد</w:t>
      </w:r>
      <w:r w:rsidR="00EE6DBA" w:rsidRPr="00282AC9">
        <w:rPr>
          <w:rFonts w:ascii="Mosawi" w:hAnsi="Mosawi" w:hint="cs"/>
          <w:sz w:val="27"/>
          <w:rtl/>
          <w:lang w:bidi="fa-IR"/>
        </w:rPr>
        <w:t>لاّ</w:t>
      </w:r>
      <w:r w:rsidR="00B72AF5" w:rsidRPr="00282AC9">
        <w:rPr>
          <w:rFonts w:ascii="Mosawi" w:hAnsi="Mosawi" w:hint="cs"/>
          <w:sz w:val="27"/>
          <w:rtl/>
          <w:lang w:bidi="fa-IR"/>
        </w:rPr>
        <w:t>ً</w:t>
      </w:r>
      <w:r w:rsidRPr="00282AC9">
        <w:rPr>
          <w:rFonts w:ascii="Mosawi" w:hAnsi="Mosawi" w:hint="cs"/>
          <w:sz w:val="27"/>
          <w:rtl/>
          <w:lang w:bidi="fa-IR"/>
        </w:rPr>
        <w:t xml:space="preserve"> بأنّ المرأة التي فيها ق</w:t>
      </w:r>
      <w:r w:rsidR="00B72AF5" w:rsidRPr="00282AC9">
        <w:rPr>
          <w:rFonts w:ascii="Mosawi" w:hAnsi="Mosawi" w:hint="cs"/>
          <w:sz w:val="27"/>
          <w:rtl/>
          <w:lang w:bidi="fa-IR"/>
        </w:rPr>
        <w:t>ُ</w:t>
      </w:r>
      <w:r w:rsidRPr="00282AC9">
        <w:rPr>
          <w:rFonts w:ascii="Mosawi" w:hAnsi="Mosawi" w:hint="cs"/>
          <w:sz w:val="27"/>
          <w:rtl/>
          <w:lang w:bidi="fa-IR"/>
        </w:rPr>
        <w:t>ب</w:t>
      </w:r>
      <w:r w:rsidR="00B72AF5" w:rsidRPr="00282AC9">
        <w:rPr>
          <w:rFonts w:ascii="Mosawi" w:hAnsi="Mosawi" w:hint="cs"/>
          <w:sz w:val="27"/>
          <w:rtl/>
          <w:lang w:bidi="fa-IR"/>
        </w:rPr>
        <w:t>ْ</w:t>
      </w:r>
      <w:r w:rsidRPr="00282AC9">
        <w:rPr>
          <w:rFonts w:ascii="Mosawi" w:hAnsi="Mosawi" w:hint="cs"/>
          <w:sz w:val="27"/>
          <w:rtl/>
          <w:lang w:bidi="fa-IR"/>
        </w:rPr>
        <w:t>ح</w:t>
      </w:r>
      <w:r w:rsidR="00B72AF5" w:rsidRPr="00282AC9">
        <w:rPr>
          <w:rFonts w:ascii="Mosawi" w:hAnsi="Mosawi" w:hint="cs"/>
          <w:sz w:val="27"/>
          <w:rtl/>
          <w:lang w:bidi="fa-IR"/>
        </w:rPr>
        <w:t>ٌ</w:t>
      </w:r>
      <w:r w:rsidRPr="00282AC9">
        <w:rPr>
          <w:rFonts w:ascii="Mosawi" w:hAnsi="Mosawi" w:hint="cs"/>
          <w:sz w:val="27"/>
          <w:rtl/>
          <w:lang w:bidi="fa-IR"/>
        </w:rPr>
        <w:t xml:space="preserve"> أكثر أولاداً</w:t>
      </w:r>
      <w:r w:rsidR="00B72AF5" w:rsidRPr="00282AC9">
        <w:rPr>
          <w:rFonts w:ascii="Mosawi" w:hAnsi="Mosawi" w:hint="cs"/>
          <w:sz w:val="27"/>
          <w:rtl/>
          <w:lang w:bidi="fa-IR"/>
        </w:rPr>
        <w:t>.</w:t>
      </w:r>
      <w:r w:rsidRPr="00282AC9">
        <w:rPr>
          <w:rFonts w:ascii="Mosawi" w:hAnsi="Mosawi" w:hint="cs"/>
          <w:sz w:val="27"/>
          <w:rtl/>
          <w:lang w:bidi="fa-IR"/>
        </w:rPr>
        <w:t xml:space="preserve"> فلا نستطيع أن نستفيد من هذه الرواية حكما</w:t>
      </w:r>
      <w:r w:rsidR="00B72AF5" w:rsidRPr="00282AC9">
        <w:rPr>
          <w:rFonts w:ascii="Mosawi" w:hAnsi="Mosawi" w:hint="cs"/>
          <w:sz w:val="27"/>
          <w:rtl/>
          <w:lang w:bidi="fa-IR"/>
        </w:rPr>
        <w:t>ً</w:t>
      </w:r>
      <w:r w:rsidRPr="00282AC9">
        <w:rPr>
          <w:rFonts w:ascii="Mosawi" w:hAnsi="Mosawi" w:hint="cs"/>
          <w:sz w:val="27"/>
          <w:rtl/>
          <w:lang w:bidi="fa-IR"/>
        </w:rPr>
        <w:t xml:space="preserve"> عام</w:t>
      </w:r>
      <w:r w:rsidR="00B72AF5" w:rsidRPr="00282AC9">
        <w:rPr>
          <w:rFonts w:ascii="Mosawi" w:hAnsi="Mosawi" w:hint="cs"/>
          <w:sz w:val="27"/>
          <w:rtl/>
          <w:lang w:bidi="fa-IR"/>
        </w:rPr>
        <w:t>ّ</w:t>
      </w:r>
      <w:r w:rsidRPr="00282AC9">
        <w:rPr>
          <w:rFonts w:ascii="Mosawi" w:hAnsi="Mosawi" w:hint="cs"/>
          <w:sz w:val="27"/>
          <w:rtl/>
          <w:lang w:bidi="fa-IR"/>
        </w:rPr>
        <w:t>ا</w:t>
      </w:r>
      <w:r w:rsidR="00B72AF5" w:rsidRPr="00282AC9">
        <w:rPr>
          <w:rFonts w:ascii="Mosawi" w:hAnsi="Mosawi" w:hint="cs"/>
          <w:sz w:val="27"/>
          <w:rtl/>
          <w:lang w:bidi="fa-IR"/>
        </w:rPr>
        <w:t>ً،</w:t>
      </w:r>
      <w:r w:rsidRPr="00282AC9">
        <w:rPr>
          <w:rFonts w:ascii="Mosawi" w:hAnsi="Mosawi" w:hint="cs"/>
          <w:sz w:val="27"/>
          <w:rtl/>
          <w:lang w:bidi="fa-IR"/>
        </w:rPr>
        <w:t xml:space="preserve"> يتعلّ</w:t>
      </w:r>
      <w:r w:rsidR="00B72AF5" w:rsidRPr="00282AC9">
        <w:rPr>
          <w:rFonts w:ascii="Mosawi" w:hAnsi="Mosawi" w:hint="cs"/>
          <w:sz w:val="27"/>
          <w:rtl/>
          <w:lang w:bidi="fa-IR"/>
        </w:rPr>
        <w:t>َ</w:t>
      </w:r>
      <w:r w:rsidRPr="00282AC9">
        <w:rPr>
          <w:rFonts w:ascii="Mosawi" w:hAnsi="Mosawi" w:hint="cs"/>
          <w:sz w:val="27"/>
          <w:rtl/>
          <w:lang w:bidi="fa-IR"/>
        </w:rPr>
        <w:t>ق بالجميع</w:t>
      </w:r>
      <w:r w:rsidR="00B72AF5" w:rsidRPr="00282AC9">
        <w:rPr>
          <w:rFonts w:ascii="Mosawi" w:hAnsi="Mosawi" w:hint="cs"/>
          <w:sz w:val="27"/>
          <w:rtl/>
          <w:lang w:bidi="fa-IR"/>
        </w:rPr>
        <w:t>.</w:t>
      </w:r>
      <w:r w:rsidRPr="00282AC9">
        <w:rPr>
          <w:rFonts w:ascii="Mosawi" w:hAnsi="Mosawi" w:hint="cs"/>
          <w:sz w:val="27"/>
          <w:rtl/>
          <w:lang w:bidi="fa-IR"/>
        </w:rPr>
        <w:t xml:space="preserve"> والتعليل الوارد في هذا النص</w:t>
      </w:r>
      <w:r w:rsidR="00B72AF5" w:rsidRPr="00282AC9">
        <w:rPr>
          <w:rFonts w:ascii="Mosawi" w:hAnsi="Mosawi" w:hint="cs"/>
          <w:sz w:val="27"/>
          <w:rtl/>
          <w:lang w:bidi="fa-IR"/>
        </w:rPr>
        <w:t>ّ</w:t>
      </w:r>
      <w:r w:rsidRPr="00282AC9">
        <w:rPr>
          <w:rFonts w:ascii="Mosawi" w:hAnsi="Mosawi" w:hint="cs"/>
          <w:sz w:val="27"/>
          <w:rtl/>
          <w:lang w:bidi="fa-IR"/>
        </w:rPr>
        <w:t xml:space="preserve"> لا ي</w:t>
      </w:r>
      <w:r w:rsidR="00B72AF5" w:rsidRPr="00282AC9">
        <w:rPr>
          <w:rFonts w:ascii="Mosawi" w:hAnsi="Mosawi" w:hint="cs"/>
          <w:sz w:val="27"/>
          <w:rtl/>
          <w:lang w:bidi="fa-IR"/>
        </w:rPr>
        <w:t>ُ</w:t>
      </w:r>
      <w:r w:rsidRPr="00282AC9">
        <w:rPr>
          <w:rFonts w:ascii="Mosawi" w:hAnsi="Mosawi" w:hint="cs"/>
          <w:sz w:val="27"/>
          <w:rtl/>
          <w:lang w:bidi="fa-IR"/>
        </w:rPr>
        <w:t>ستفاد منه أكثر من قضي</w:t>
      </w:r>
      <w:r w:rsidR="00B72AF5" w:rsidRPr="00282AC9">
        <w:rPr>
          <w:rFonts w:ascii="Mosawi" w:hAnsi="Mosawi" w:hint="cs"/>
          <w:sz w:val="27"/>
          <w:rtl/>
          <w:lang w:bidi="fa-IR"/>
        </w:rPr>
        <w:t>ّ</w:t>
      </w:r>
      <w:r w:rsidRPr="00282AC9">
        <w:rPr>
          <w:rFonts w:ascii="Mosawi" w:hAnsi="Mosawi" w:hint="cs"/>
          <w:sz w:val="27"/>
          <w:rtl/>
          <w:lang w:bidi="fa-IR"/>
        </w:rPr>
        <w:t>ة</w:t>
      </w:r>
      <w:r w:rsidR="00B72AF5" w:rsidRPr="00282AC9">
        <w:rPr>
          <w:rFonts w:ascii="Mosawi" w:hAnsi="Mosawi" w:hint="cs"/>
          <w:sz w:val="27"/>
          <w:rtl/>
          <w:lang w:bidi="fa-IR"/>
        </w:rPr>
        <w:t>ٍ</w:t>
      </w:r>
      <w:r w:rsidRPr="00282AC9">
        <w:rPr>
          <w:rFonts w:ascii="Mosawi" w:hAnsi="Mosawi" w:hint="cs"/>
          <w:sz w:val="27"/>
          <w:rtl/>
          <w:lang w:bidi="fa-IR"/>
        </w:rPr>
        <w:t xml:space="preserve"> واقعي</w:t>
      </w:r>
      <w:r w:rsidR="00B72AF5" w:rsidRPr="00282AC9">
        <w:rPr>
          <w:rFonts w:ascii="Mosawi" w:hAnsi="Mosawi" w:hint="cs"/>
          <w:sz w:val="27"/>
          <w:rtl/>
          <w:lang w:bidi="fa-IR"/>
        </w:rPr>
        <w:t>ّ</w:t>
      </w:r>
      <w:r w:rsidRPr="00282AC9">
        <w:rPr>
          <w:rFonts w:ascii="Mosawi" w:hAnsi="Mosawi" w:hint="cs"/>
          <w:sz w:val="27"/>
          <w:rtl/>
          <w:lang w:bidi="fa-IR"/>
        </w:rPr>
        <w:t>ة</w:t>
      </w:r>
      <w:r w:rsidR="00B72AF5" w:rsidRPr="00282AC9">
        <w:rPr>
          <w:rFonts w:ascii="Mosawi" w:hAnsi="Mosawi" w:hint="cs"/>
          <w:sz w:val="27"/>
          <w:rtl/>
          <w:lang w:bidi="fa-IR"/>
        </w:rPr>
        <w:t>،</w:t>
      </w:r>
      <w:r w:rsidRPr="00282AC9">
        <w:rPr>
          <w:rFonts w:ascii="Mosawi" w:hAnsi="Mosawi" w:hint="cs"/>
          <w:sz w:val="27"/>
          <w:rtl/>
          <w:lang w:bidi="fa-IR"/>
        </w:rPr>
        <w:t xml:space="preserve"> يخبر الإمام</w:t>
      </w:r>
      <w:r w:rsidR="009A2A04" w:rsidRPr="00282AC9">
        <w:rPr>
          <w:rFonts w:ascii="Mosawi" w:hAnsi="Mosawi" w:cs="Mosawi"/>
          <w:sz w:val="22"/>
          <w:szCs w:val="22"/>
          <w:rtl/>
          <w:lang w:bidi="fa-IR"/>
        </w:rPr>
        <w:t>×</w:t>
      </w:r>
      <w:r w:rsidRPr="00282AC9">
        <w:rPr>
          <w:rFonts w:ascii="Mosawi" w:hAnsi="Mosawi" w:hint="cs"/>
          <w:sz w:val="27"/>
          <w:rtl/>
          <w:lang w:bidi="fa-IR"/>
        </w:rPr>
        <w:t xml:space="preserve"> فيها عن الواقع الخارجي</w:t>
      </w:r>
      <w:r w:rsidR="00B72AF5" w:rsidRPr="00282AC9">
        <w:rPr>
          <w:rFonts w:ascii="Mosawi" w:hAnsi="Mosawi" w:hint="cs"/>
          <w:sz w:val="27"/>
          <w:rtl/>
          <w:lang w:bidi="fa-IR"/>
        </w:rPr>
        <w:t>ّ.</w:t>
      </w:r>
      <w:r w:rsidRPr="00282AC9">
        <w:rPr>
          <w:rFonts w:ascii="Mosawi" w:hAnsi="Mosawi" w:hint="cs"/>
          <w:sz w:val="27"/>
          <w:rtl/>
          <w:lang w:bidi="fa-IR"/>
        </w:rPr>
        <w:t xml:space="preserve"> فليست هذه الرواية ناظرة</w:t>
      </w:r>
      <w:r w:rsidR="00B72AF5" w:rsidRPr="00282AC9">
        <w:rPr>
          <w:rFonts w:ascii="Mosawi" w:hAnsi="Mosawi" w:hint="cs"/>
          <w:sz w:val="27"/>
          <w:rtl/>
          <w:lang w:bidi="fa-IR"/>
        </w:rPr>
        <w:t>ً</w:t>
      </w:r>
      <w:r w:rsidRPr="00282AC9">
        <w:rPr>
          <w:rFonts w:ascii="Mosawi" w:hAnsi="Mosawi" w:hint="cs"/>
          <w:sz w:val="27"/>
          <w:rtl/>
          <w:lang w:bidi="fa-IR"/>
        </w:rPr>
        <w:t xml:space="preserve"> إلى قضي</w:t>
      </w:r>
      <w:r w:rsidR="00B72AF5" w:rsidRPr="00282AC9">
        <w:rPr>
          <w:rFonts w:ascii="Mosawi" w:hAnsi="Mosawi" w:hint="cs"/>
          <w:sz w:val="27"/>
          <w:rtl/>
          <w:lang w:bidi="fa-IR"/>
        </w:rPr>
        <w:t>ّ</w:t>
      </w:r>
      <w:r w:rsidRPr="00282AC9">
        <w:rPr>
          <w:rFonts w:ascii="Mosawi" w:hAnsi="Mosawi" w:hint="cs"/>
          <w:sz w:val="27"/>
          <w:rtl/>
          <w:lang w:bidi="fa-IR"/>
        </w:rPr>
        <w:t>ة</w:t>
      </w:r>
      <w:r w:rsidR="00B72AF5" w:rsidRPr="00282AC9">
        <w:rPr>
          <w:rFonts w:ascii="Mosawi" w:hAnsi="Mosawi" w:hint="cs"/>
          <w:sz w:val="27"/>
          <w:rtl/>
          <w:lang w:bidi="fa-IR"/>
        </w:rPr>
        <w:t>ٍ</w:t>
      </w:r>
      <w:r w:rsidRPr="00282AC9">
        <w:rPr>
          <w:rFonts w:ascii="Mosawi" w:hAnsi="Mosawi" w:hint="cs"/>
          <w:sz w:val="27"/>
          <w:rtl/>
          <w:lang w:bidi="fa-IR"/>
        </w:rPr>
        <w:t xml:space="preserve"> تشريعي</w:t>
      </w:r>
      <w:r w:rsidR="00B72AF5" w:rsidRPr="00282AC9">
        <w:rPr>
          <w:rFonts w:ascii="Mosawi" w:hAnsi="Mosawi" w:hint="cs"/>
          <w:sz w:val="27"/>
          <w:rtl/>
          <w:lang w:bidi="fa-IR"/>
        </w:rPr>
        <w:t>ّ</w:t>
      </w:r>
      <w:r w:rsidRPr="00282AC9">
        <w:rPr>
          <w:rFonts w:ascii="Mosawi" w:hAnsi="Mosawi" w:hint="cs"/>
          <w:sz w:val="27"/>
          <w:rtl/>
          <w:lang w:bidi="fa-IR"/>
        </w:rPr>
        <w:t xml:space="preserve">ة لزوماً. </w:t>
      </w:r>
    </w:p>
    <w:p w:rsidR="008E0D6A" w:rsidRPr="00282AC9" w:rsidRDefault="008E0D6A" w:rsidP="008E0D6A">
      <w:pPr>
        <w:spacing w:line="410" w:lineRule="exact"/>
        <w:rPr>
          <w:sz w:val="27"/>
          <w:rtl/>
        </w:rPr>
      </w:pPr>
    </w:p>
    <w:p w:rsidR="001153F1" w:rsidRPr="00282AC9" w:rsidRDefault="001153F1" w:rsidP="004B326B">
      <w:pPr>
        <w:pStyle w:val="31"/>
        <w:rPr>
          <w:b/>
          <w:color w:val="auto"/>
          <w:rtl/>
        </w:rPr>
      </w:pPr>
      <w:r w:rsidRPr="00282AC9">
        <w:rPr>
          <w:rFonts w:hint="cs"/>
          <w:color w:val="auto"/>
          <w:rtl/>
          <w:lang w:bidi="fa-IR"/>
        </w:rPr>
        <w:t>ثانياً</w:t>
      </w:r>
      <w:r w:rsidRPr="00282AC9">
        <w:rPr>
          <w:color w:val="auto"/>
          <w:rtl/>
        </w:rPr>
        <w:t>: النصوص التوصيفي</w:t>
      </w:r>
      <w:r w:rsidR="00B72AF5" w:rsidRPr="00282AC9">
        <w:rPr>
          <w:rFonts w:hint="cs"/>
          <w:color w:val="auto"/>
          <w:rtl/>
        </w:rPr>
        <w:t>ّ</w:t>
      </w:r>
      <w:r w:rsidRPr="00282AC9">
        <w:rPr>
          <w:color w:val="auto"/>
          <w:rtl/>
        </w:rPr>
        <w:t xml:space="preserve">ة </w:t>
      </w:r>
      <w:r w:rsidR="004B326B" w:rsidRPr="00282AC9">
        <w:rPr>
          <w:rFonts w:hint="cs"/>
          <w:color w:val="auto"/>
          <w:rtl/>
        </w:rPr>
        <w:t>في التشنيع على ا</w:t>
      </w:r>
      <w:r w:rsidRPr="00282AC9">
        <w:rPr>
          <w:color w:val="auto"/>
          <w:rtl/>
        </w:rPr>
        <w:t>لمرأة العقيم</w:t>
      </w:r>
      <w:r w:rsidRPr="00282AC9">
        <w:rPr>
          <w:rFonts w:hint="cs"/>
          <w:color w:val="auto"/>
          <w:rtl/>
        </w:rPr>
        <w:t xml:space="preserve">، </w:t>
      </w:r>
      <w:r w:rsidR="004B326B" w:rsidRPr="00282AC9">
        <w:rPr>
          <w:rFonts w:hint="cs"/>
          <w:color w:val="auto"/>
          <w:rtl/>
        </w:rPr>
        <w:t>عرضٌ</w:t>
      </w:r>
      <w:r w:rsidR="00E13463" w:rsidRPr="00282AC9">
        <w:rPr>
          <w:rFonts w:hint="cs"/>
          <w:color w:val="auto"/>
          <w:rtl/>
        </w:rPr>
        <w:t xml:space="preserve"> ونقد</w:t>
      </w:r>
      <w:r w:rsidR="004B326B" w:rsidRPr="00282AC9">
        <w:rPr>
          <w:rFonts w:hint="cs"/>
          <w:color w:val="auto"/>
          <w:rtl/>
        </w:rPr>
        <w:t xml:space="preserve"> </w:t>
      </w:r>
    </w:p>
    <w:p w:rsidR="001153F1" w:rsidRPr="00282AC9" w:rsidRDefault="001153F1" w:rsidP="008E0D6A">
      <w:pPr>
        <w:spacing w:line="410" w:lineRule="exact"/>
        <w:rPr>
          <w:sz w:val="27"/>
          <w:rtl/>
        </w:rPr>
      </w:pPr>
      <w:r w:rsidRPr="00282AC9">
        <w:rPr>
          <w:rFonts w:hint="cs"/>
          <w:sz w:val="27"/>
          <w:rtl/>
        </w:rPr>
        <w:t>سوف نقوم هنا بدراسة القسم الثاني من الروايات التي تتحدّ</w:t>
      </w:r>
      <w:r w:rsidR="009C013C" w:rsidRPr="00282AC9">
        <w:rPr>
          <w:rFonts w:hint="cs"/>
          <w:sz w:val="27"/>
          <w:rtl/>
        </w:rPr>
        <w:t>َ</w:t>
      </w:r>
      <w:r w:rsidRPr="00282AC9">
        <w:rPr>
          <w:rFonts w:hint="cs"/>
          <w:sz w:val="27"/>
          <w:rtl/>
        </w:rPr>
        <w:t xml:space="preserve">ث عن المرأة العقيم، </w:t>
      </w:r>
      <w:r w:rsidR="009C013C" w:rsidRPr="00282AC9">
        <w:rPr>
          <w:rFonts w:hint="cs"/>
          <w:sz w:val="27"/>
          <w:rtl/>
        </w:rPr>
        <w:t>والتي</w:t>
      </w:r>
      <w:r w:rsidRPr="00282AC9">
        <w:rPr>
          <w:rFonts w:hint="cs"/>
          <w:sz w:val="27"/>
          <w:rtl/>
        </w:rPr>
        <w:t xml:space="preserve"> قد </w:t>
      </w:r>
      <w:r w:rsidR="009C013C" w:rsidRPr="00282AC9">
        <w:rPr>
          <w:rFonts w:hint="cs"/>
          <w:sz w:val="27"/>
          <w:rtl/>
        </w:rPr>
        <w:t xml:space="preserve">لا </w:t>
      </w:r>
      <w:r w:rsidRPr="00282AC9">
        <w:rPr>
          <w:rFonts w:hint="cs"/>
          <w:sz w:val="27"/>
          <w:rtl/>
        </w:rPr>
        <w:t>تشتمل على صيغ وتعابير قانونية</w:t>
      </w:r>
      <w:r w:rsidR="009C013C" w:rsidRPr="00282AC9">
        <w:rPr>
          <w:rFonts w:hint="cs"/>
          <w:sz w:val="27"/>
          <w:rtl/>
        </w:rPr>
        <w:t>،</w:t>
      </w:r>
      <w:r w:rsidRPr="00282AC9">
        <w:rPr>
          <w:rFonts w:hint="cs"/>
          <w:sz w:val="27"/>
          <w:rtl/>
        </w:rPr>
        <w:t xml:space="preserve"> ولكنّها من حيث استخدامها تعابير معيّ</w:t>
      </w:r>
      <w:r w:rsidR="009C013C" w:rsidRPr="00282AC9">
        <w:rPr>
          <w:rFonts w:hint="cs"/>
          <w:sz w:val="27"/>
          <w:rtl/>
        </w:rPr>
        <w:t>َ</w:t>
      </w:r>
      <w:r w:rsidRPr="00282AC9">
        <w:rPr>
          <w:rFonts w:hint="cs"/>
          <w:sz w:val="27"/>
          <w:rtl/>
        </w:rPr>
        <w:t>نة في حقّ المرأة العقيم جديرة</w:t>
      </w:r>
      <w:r w:rsidR="009C013C" w:rsidRPr="00282AC9">
        <w:rPr>
          <w:rFonts w:hint="cs"/>
          <w:sz w:val="27"/>
          <w:rtl/>
        </w:rPr>
        <w:t>ٌ</w:t>
      </w:r>
      <w:r w:rsidRPr="00282AC9">
        <w:rPr>
          <w:rFonts w:hint="cs"/>
          <w:sz w:val="27"/>
          <w:rtl/>
        </w:rPr>
        <w:t xml:space="preserve"> بالاهتمام، وهي: </w:t>
      </w:r>
    </w:p>
    <w:p w:rsidR="008E0D6A" w:rsidRPr="00282AC9" w:rsidRDefault="008E0D6A" w:rsidP="008E0D6A">
      <w:pPr>
        <w:spacing w:line="410" w:lineRule="exact"/>
        <w:rPr>
          <w:sz w:val="27"/>
          <w:rtl/>
        </w:rPr>
      </w:pPr>
    </w:p>
    <w:p w:rsidR="009C013C" w:rsidRPr="00282AC9" w:rsidRDefault="00E13463" w:rsidP="00C23301">
      <w:pPr>
        <w:pStyle w:val="31"/>
        <w:rPr>
          <w:color w:val="auto"/>
          <w:rtl/>
        </w:rPr>
      </w:pPr>
      <w:r w:rsidRPr="00282AC9">
        <w:rPr>
          <w:rFonts w:hint="cs"/>
          <w:color w:val="auto"/>
          <w:rtl/>
        </w:rPr>
        <w:t xml:space="preserve">1ـ </w:t>
      </w:r>
      <w:r w:rsidR="00C23301" w:rsidRPr="00282AC9">
        <w:rPr>
          <w:color w:val="auto"/>
          <w:rtl/>
        </w:rPr>
        <w:t>«شرار نسائكم</w:t>
      </w:r>
      <w:r w:rsidR="00C23301" w:rsidRPr="00282AC9">
        <w:rPr>
          <w:rFonts w:hint="cs"/>
          <w:color w:val="auto"/>
          <w:rtl/>
        </w:rPr>
        <w:t>...</w:t>
      </w:r>
      <w:r w:rsidR="00C23301" w:rsidRPr="00282AC9">
        <w:rPr>
          <w:color w:val="auto"/>
          <w:rtl/>
        </w:rPr>
        <w:t>العقيم»</w:t>
      </w:r>
    </w:p>
    <w:p w:rsidR="001153F1" w:rsidRPr="00282AC9" w:rsidRDefault="009C013C" w:rsidP="003E218F">
      <w:pPr>
        <w:pStyle w:val="afc"/>
        <w:rPr>
          <w:rFonts w:ascii="Mosawi" w:hAnsi="Mosawi" w:cs="AL-Mohanad"/>
          <w:sz w:val="27"/>
          <w:szCs w:val="27"/>
          <w:rtl/>
          <w:lang w:bidi="fa-IR"/>
        </w:rPr>
      </w:pPr>
      <w:r w:rsidRPr="00282AC9">
        <w:rPr>
          <w:rFonts w:ascii="Cambria" w:hAnsi="Cambria" w:cs="AL-Mohanad" w:hint="cs"/>
          <w:sz w:val="27"/>
          <w:szCs w:val="27"/>
          <w:rtl/>
        </w:rPr>
        <w:t xml:space="preserve">وهي </w:t>
      </w:r>
      <w:r w:rsidR="001153F1" w:rsidRPr="00282AC9">
        <w:rPr>
          <w:rFonts w:ascii="Cambria" w:hAnsi="Cambria" w:cs="AL-Mohanad"/>
          <w:sz w:val="27"/>
          <w:szCs w:val="27"/>
          <w:rtl/>
        </w:rPr>
        <w:t>صحيحة جابر بن عبد الله</w:t>
      </w:r>
      <w:r w:rsidRPr="00282AC9">
        <w:rPr>
          <w:rFonts w:ascii="Cambria" w:hAnsi="Cambria" w:cs="AL-Mohanad" w:hint="cs"/>
          <w:sz w:val="27"/>
          <w:szCs w:val="27"/>
          <w:rtl/>
        </w:rPr>
        <w:t>:</w:t>
      </w:r>
      <w:r w:rsidR="001153F1" w:rsidRPr="00282AC9">
        <w:rPr>
          <w:rFonts w:ascii="Cambria" w:hAnsi="Cambria" w:cs="AL-Mohanad"/>
          <w:sz w:val="27"/>
          <w:szCs w:val="27"/>
          <w:rtl/>
        </w:rPr>
        <w:t xml:space="preserve"> </w:t>
      </w:r>
      <w:r w:rsidR="001153F1" w:rsidRPr="00282AC9">
        <w:rPr>
          <w:rFonts w:cs="AL-Mohanad"/>
          <w:sz w:val="27"/>
          <w:szCs w:val="27"/>
          <w:rtl/>
        </w:rPr>
        <w:t>عن أبي حمزة</w:t>
      </w:r>
      <w:r w:rsidRPr="00282AC9">
        <w:rPr>
          <w:rFonts w:cs="AL-Mohanad" w:hint="cs"/>
          <w:sz w:val="27"/>
          <w:szCs w:val="27"/>
          <w:rtl/>
        </w:rPr>
        <w:t>،</w:t>
      </w:r>
      <w:r w:rsidR="001153F1" w:rsidRPr="00282AC9">
        <w:rPr>
          <w:rFonts w:cs="AL-Mohanad"/>
          <w:sz w:val="27"/>
          <w:szCs w:val="27"/>
          <w:rtl/>
        </w:rPr>
        <w:t xml:space="preserve"> عن جابر بن عبد الله</w:t>
      </w:r>
      <w:r w:rsidR="00CA4935" w:rsidRPr="00282AC9">
        <w:rPr>
          <w:rFonts w:cs="AL-Mohanad" w:hint="cs"/>
          <w:sz w:val="27"/>
          <w:szCs w:val="27"/>
          <w:rtl/>
        </w:rPr>
        <w:t>،</w:t>
      </w:r>
      <w:r w:rsidR="001153F1" w:rsidRPr="00282AC9">
        <w:rPr>
          <w:rFonts w:cs="AL-Mohanad"/>
          <w:sz w:val="27"/>
          <w:szCs w:val="27"/>
          <w:rtl/>
        </w:rPr>
        <w:t xml:space="preserve"> قال</w:t>
      </w:r>
      <w:r w:rsidR="001153F1" w:rsidRPr="00282AC9">
        <w:rPr>
          <w:rFonts w:cs="AL-Mohanad" w:hint="cs"/>
          <w:sz w:val="27"/>
          <w:szCs w:val="27"/>
          <w:rtl/>
        </w:rPr>
        <w:t>:</w:t>
      </w:r>
      <w:r w:rsidR="001153F1" w:rsidRPr="00282AC9">
        <w:rPr>
          <w:rFonts w:cs="AL-Mohanad"/>
          <w:sz w:val="27"/>
          <w:szCs w:val="27"/>
          <w:rtl/>
        </w:rPr>
        <w:t xml:space="preserve"> سمعت</w:t>
      </w:r>
      <w:r w:rsidRPr="00282AC9">
        <w:rPr>
          <w:rFonts w:cs="AL-Mohanad" w:hint="cs"/>
          <w:sz w:val="27"/>
          <w:szCs w:val="27"/>
          <w:rtl/>
        </w:rPr>
        <w:t>ُ</w:t>
      </w:r>
      <w:r w:rsidR="001153F1" w:rsidRPr="00282AC9">
        <w:rPr>
          <w:rFonts w:cs="AL-Mohanad"/>
          <w:sz w:val="27"/>
          <w:szCs w:val="27"/>
          <w:rtl/>
        </w:rPr>
        <w:t>ه يقول</w:t>
      </w:r>
      <w:r w:rsidR="001153F1" w:rsidRPr="00282AC9">
        <w:rPr>
          <w:rFonts w:cs="AL-Mohanad" w:hint="cs"/>
          <w:sz w:val="27"/>
          <w:szCs w:val="27"/>
          <w:rtl/>
        </w:rPr>
        <w:t>:</w:t>
      </w:r>
      <w:r w:rsidR="001153F1" w:rsidRPr="00282AC9">
        <w:rPr>
          <w:rFonts w:cs="AL-Mohanad"/>
          <w:sz w:val="27"/>
          <w:szCs w:val="27"/>
          <w:rtl/>
        </w:rPr>
        <w:t xml:space="preserve"> قال رسول الله</w:t>
      </w:r>
      <w:r w:rsidR="009A2A04" w:rsidRPr="00282AC9">
        <w:rPr>
          <w:rFonts w:ascii="Mosawi" w:hAnsi="Mosawi" w:cs="Mosawi"/>
          <w:sz w:val="22"/>
          <w:szCs w:val="22"/>
          <w:rtl/>
        </w:rPr>
        <w:t>|</w:t>
      </w:r>
      <w:r w:rsidR="001153F1" w:rsidRPr="00282AC9">
        <w:rPr>
          <w:rFonts w:cs="AL-Mohanad" w:hint="cs"/>
          <w:sz w:val="27"/>
          <w:szCs w:val="27"/>
          <w:rtl/>
        </w:rPr>
        <w:t>:</w:t>
      </w:r>
      <w:r w:rsidR="001153F1" w:rsidRPr="00282AC9">
        <w:rPr>
          <w:rFonts w:cs="AL-Mohanad"/>
          <w:sz w:val="27"/>
          <w:szCs w:val="27"/>
          <w:rtl/>
        </w:rPr>
        <w:t xml:space="preserve">‏ </w:t>
      </w:r>
      <w:r w:rsidR="001153F1" w:rsidRPr="00282AC9">
        <w:rPr>
          <w:rFonts w:ascii="Mosawi" w:hAnsi="Mosawi" w:cs="AL-Mohanad"/>
          <w:rtl/>
        </w:rPr>
        <w:t>«</w:t>
      </w:r>
      <w:r w:rsidRPr="00282AC9">
        <w:rPr>
          <w:rFonts w:cs="AL-Mohanad"/>
          <w:sz w:val="27"/>
          <w:szCs w:val="27"/>
          <w:rtl/>
        </w:rPr>
        <w:t>أ</w:t>
      </w:r>
      <w:r w:rsidRPr="00282AC9">
        <w:rPr>
          <w:rFonts w:cs="AL-Mohanad" w:hint="cs"/>
          <w:sz w:val="27"/>
          <w:szCs w:val="27"/>
          <w:rtl/>
        </w:rPr>
        <w:t>َ</w:t>
      </w:r>
      <w:r w:rsidR="001153F1" w:rsidRPr="00282AC9">
        <w:rPr>
          <w:rFonts w:cs="AL-Mohanad"/>
          <w:sz w:val="27"/>
          <w:szCs w:val="27"/>
          <w:rtl/>
        </w:rPr>
        <w:t>لا</w:t>
      </w:r>
      <w:r w:rsidRPr="00282AC9">
        <w:rPr>
          <w:rFonts w:cs="AL-Mohanad" w:hint="cs"/>
          <w:sz w:val="27"/>
          <w:szCs w:val="27"/>
          <w:rtl/>
        </w:rPr>
        <w:t>َ</w:t>
      </w:r>
      <w:r w:rsidR="001153F1" w:rsidRPr="00282AC9">
        <w:rPr>
          <w:rFonts w:cs="AL-Mohanad"/>
          <w:sz w:val="27"/>
          <w:szCs w:val="27"/>
          <w:rtl/>
        </w:rPr>
        <w:t xml:space="preserve"> أخبركم بشرار نسائكم</w:t>
      </w:r>
      <w:r w:rsidRPr="00282AC9">
        <w:rPr>
          <w:rFonts w:cs="AL-Mohanad" w:hint="cs"/>
          <w:sz w:val="27"/>
          <w:szCs w:val="27"/>
          <w:rtl/>
        </w:rPr>
        <w:t>؟</w:t>
      </w:r>
      <w:r w:rsidR="001153F1" w:rsidRPr="00282AC9">
        <w:rPr>
          <w:rFonts w:cs="AL-Mohanad"/>
          <w:sz w:val="27"/>
          <w:szCs w:val="27"/>
          <w:rtl/>
        </w:rPr>
        <w:t xml:space="preserve"> الذليلة في أهلها</w:t>
      </w:r>
      <w:r w:rsidR="001153F1" w:rsidRPr="00282AC9">
        <w:rPr>
          <w:rFonts w:cs="AL-Mohanad" w:hint="cs"/>
          <w:sz w:val="27"/>
          <w:szCs w:val="27"/>
          <w:rtl/>
        </w:rPr>
        <w:t>،</w:t>
      </w:r>
      <w:r w:rsidR="001153F1" w:rsidRPr="00282AC9">
        <w:rPr>
          <w:rFonts w:cs="AL-Mohanad"/>
          <w:sz w:val="27"/>
          <w:szCs w:val="27"/>
          <w:rtl/>
        </w:rPr>
        <w:t xml:space="preserve"> العزيزة مع بعلها</w:t>
      </w:r>
      <w:r w:rsidRPr="00282AC9">
        <w:rPr>
          <w:rFonts w:cs="AL-Mohanad" w:hint="cs"/>
          <w:sz w:val="27"/>
          <w:szCs w:val="27"/>
          <w:rtl/>
        </w:rPr>
        <w:t xml:space="preserve">، </w:t>
      </w:r>
      <w:r w:rsidR="001153F1" w:rsidRPr="00282AC9">
        <w:rPr>
          <w:rFonts w:cs="AL-Mohanad"/>
          <w:sz w:val="27"/>
          <w:szCs w:val="27"/>
          <w:rtl/>
        </w:rPr>
        <w:t>العقيم‏</w:t>
      </w:r>
      <w:r w:rsidRPr="00282AC9">
        <w:rPr>
          <w:rFonts w:cs="AL-Mohanad" w:hint="cs"/>
          <w:sz w:val="27"/>
          <w:szCs w:val="27"/>
          <w:rtl/>
        </w:rPr>
        <w:t xml:space="preserve">، </w:t>
      </w:r>
      <w:r w:rsidR="001153F1" w:rsidRPr="00282AC9">
        <w:rPr>
          <w:rFonts w:cs="AL-Mohanad"/>
          <w:sz w:val="27"/>
          <w:szCs w:val="27"/>
          <w:rtl/>
        </w:rPr>
        <w:t>الحقود</w:t>
      </w:r>
      <w:r w:rsidRPr="00282AC9">
        <w:rPr>
          <w:rFonts w:cs="AL-Mohanad" w:hint="cs"/>
          <w:sz w:val="27"/>
          <w:szCs w:val="27"/>
          <w:rtl/>
        </w:rPr>
        <w:t>،</w:t>
      </w:r>
      <w:r w:rsidR="001153F1" w:rsidRPr="00282AC9">
        <w:rPr>
          <w:rFonts w:cs="AL-Mohanad"/>
          <w:sz w:val="27"/>
          <w:szCs w:val="27"/>
          <w:rtl/>
        </w:rPr>
        <w:t xml:space="preserve"> التي لا تور</w:t>
      </w:r>
      <w:r w:rsidRPr="00282AC9">
        <w:rPr>
          <w:rFonts w:cs="AL-Mohanad" w:hint="cs"/>
          <w:sz w:val="27"/>
          <w:szCs w:val="27"/>
          <w:rtl/>
        </w:rPr>
        <w:t>َّ</w:t>
      </w:r>
      <w:r w:rsidR="001153F1" w:rsidRPr="00282AC9">
        <w:rPr>
          <w:rFonts w:cs="AL-Mohanad"/>
          <w:sz w:val="27"/>
          <w:szCs w:val="27"/>
          <w:rtl/>
        </w:rPr>
        <w:t>ع من قبيح</w:t>
      </w:r>
      <w:r w:rsidRPr="00282AC9">
        <w:rPr>
          <w:rFonts w:cs="AL-Mohanad" w:hint="cs"/>
          <w:sz w:val="27"/>
          <w:szCs w:val="27"/>
          <w:rtl/>
        </w:rPr>
        <w:t>ٍ،</w:t>
      </w:r>
      <w:r w:rsidR="001153F1" w:rsidRPr="00282AC9">
        <w:rPr>
          <w:rFonts w:cs="AL-Mohanad"/>
          <w:sz w:val="27"/>
          <w:szCs w:val="27"/>
          <w:rtl/>
        </w:rPr>
        <w:t xml:space="preserve"> المتبر</w:t>
      </w:r>
      <w:r w:rsidRPr="00282AC9">
        <w:rPr>
          <w:rFonts w:cs="AL-Mohanad" w:hint="cs"/>
          <w:sz w:val="27"/>
          <w:szCs w:val="27"/>
          <w:rtl/>
        </w:rPr>
        <w:t>ِّ</w:t>
      </w:r>
      <w:r w:rsidR="001153F1" w:rsidRPr="00282AC9">
        <w:rPr>
          <w:rFonts w:cs="AL-Mohanad"/>
          <w:sz w:val="27"/>
          <w:szCs w:val="27"/>
          <w:rtl/>
        </w:rPr>
        <w:t>جة إذا غاب عنها بعلها</w:t>
      </w:r>
      <w:r w:rsidR="001153F1" w:rsidRPr="00282AC9">
        <w:rPr>
          <w:rFonts w:cs="AL-Mohanad" w:hint="cs"/>
          <w:sz w:val="27"/>
          <w:szCs w:val="27"/>
          <w:rtl/>
        </w:rPr>
        <w:t>،</w:t>
      </w:r>
      <w:r w:rsidR="001153F1" w:rsidRPr="00282AC9">
        <w:rPr>
          <w:rFonts w:cs="AL-Mohanad"/>
          <w:sz w:val="27"/>
          <w:szCs w:val="27"/>
          <w:rtl/>
        </w:rPr>
        <w:t xml:space="preserve"> الحصان معه إذا حضر</w:t>
      </w:r>
      <w:r w:rsidR="001153F1" w:rsidRPr="00282AC9">
        <w:rPr>
          <w:rFonts w:cs="AL-Mohanad" w:hint="cs"/>
          <w:sz w:val="27"/>
          <w:szCs w:val="27"/>
          <w:rtl/>
        </w:rPr>
        <w:t>،</w:t>
      </w:r>
      <w:r w:rsidR="001153F1" w:rsidRPr="00282AC9">
        <w:rPr>
          <w:rFonts w:cs="AL-Mohanad"/>
          <w:sz w:val="27"/>
          <w:szCs w:val="27"/>
          <w:rtl/>
        </w:rPr>
        <w:t xml:space="preserve"> لا تسمع قوله</w:t>
      </w:r>
      <w:r w:rsidRPr="00282AC9">
        <w:rPr>
          <w:rFonts w:cs="AL-Mohanad" w:hint="cs"/>
          <w:sz w:val="27"/>
          <w:szCs w:val="27"/>
          <w:rtl/>
        </w:rPr>
        <w:t>،</w:t>
      </w:r>
      <w:r w:rsidR="001153F1" w:rsidRPr="00282AC9">
        <w:rPr>
          <w:rFonts w:cs="AL-Mohanad"/>
          <w:sz w:val="27"/>
          <w:szCs w:val="27"/>
          <w:rtl/>
        </w:rPr>
        <w:t xml:space="preserve"> ولا تطيع أمره</w:t>
      </w:r>
      <w:r w:rsidR="001153F1" w:rsidRPr="00282AC9">
        <w:rPr>
          <w:rFonts w:cs="AL-Mohanad" w:hint="cs"/>
          <w:sz w:val="27"/>
          <w:szCs w:val="27"/>
          <w:rtl/>
        </w:rPr>
        <w:t>،</w:t>
      </w:r>
      <w:r w:rsidR="001153F1" w:rsidRPr="00282AC9">
        <w:rPr>
          <w:rFonts w:cs="AL-Mohanad"/>
          <w:sz w:val="27"/>
          <w:szCs w:val="27"/>
          <w:rtl/>
        </w:rPr>
        <w:t xml:space="preserve"> وإذا خلا بها بعلها تمن</w:t>
      </w:r>
      <w:r w:rsidR="001153F1" w:rsidRPr="00282AC9">
        <w:rPr>
          <w:rFonts w:cs="AL-Mohanad" w:hint="cs"/>
          <w:sz w:val="27"/>
          <w:szCs w:val="27"/>
          <w:rtl/>
        </w:rPr>
        <w:t>ّ</w:t>
      </w:r>
      <w:r w:rsidRPr="00282AC9">
        <w:rPr>
          <w:rFonts w:cs="AL-Mohanad" w:hint="cs"/>
          <w:sz w:val="27"/>
          <w:szCs w:val="27"/>
          <w:rtl/>
        </w:rPr>
        <w:t>َ</w:t>
      </w:r>
      <w:r w:rsidR="001153F1" w:rsidRPr="00282AC9">
        <w:rPr>
          <w:rFonts w:cs="AL-Mohanad"/>
          <w:sz w:val="27"/>
          <w:szCs w:val="27"/>
          <w:rtl/>
        </w:rPr>
        <w:t>ع</w:t>
      </w:r>
      <w:r w:rsidRPr="00282AC9">
        <w:rPr>
          <w:rFonts w:cs="AL-Mohanad" w:hint="cs"/>
          <w:sz w:val="27"/>
          <w:szCs w:val="27"/>
          <w:rtl/>
        </w:rPr>
        <w:t>َ</w:t>
      </w:r>
      <w:r w:rsidR="001153F1" w:rsidRPr="00282AC9">
        <w:rPr>
          <w:rFonts w:cs="AL-Mohanad"/>
          <w:sz w:val="27"/>
          <w:szCs w:val="27"/>
          <w:rtl/>
        </w:rPr>
        <w:t>ت</w:t>
      </w:r>
      <w:r w:rsidRPr="00282AC9">
        <w:rPr>
          <w:rFonts w:cs="AL-Mohanad" w:hint="cs"/>
          <w:sz w:val="27"/>
          <w:szCs w:val="27"/>
          <w:rtl/>
        </w:rPr>
        <w:t>ْ</w:t>
      </w:r>
      <w:r w:rsidR="001153F1" w:rsidRPr="00282AC9">
        <w:rPr>
          <w:rFonts w:cs="AL-Mohanad"/>
          <w:sz w:val="27"/>
          <w:szCs w:val="27"/>
          <w:rtl/>
        </w:rPr>
        <w:t xml:space="preserve"> منه كما تمن</w:t>
      </w:r>
      <w:r w:rsidR="001153F1" w:rsidRPr="00282AC9">
        <w:rPr>
          <w:rFonts w:cs="AL-Mohanad" w:hint="cs"/>
          <w:sz w:val="27"/>
          <w:szCs w:val="27"/>
          <w:rtl/>
        </w:rPr>
        <w:t>ّ</w:t>
      </w:r>
      <w:r w:rsidRPr="00282AC9">
        <w:rPr>
          <w:rFonts w:cs="AL-Mohanad" w:hint="cs"/>
          <w:sz w:val="27"/>
          <w:szCs w:val="27"/>
          <w:rtl/>
        </w:rPr>
        <w:t>َ</w:t>
      </w:r>
      <w:r w:rsidR="001153F1" w:rsidRPr="00282AC9">
        <w:rPr>
          <w:rFonts w:cs="AL-Mohanad"/>
          <w:sz w:val="27"/>
          <w:szCs w:val="27"/>
          <w:rtl/>
        </w:rPr>
        <w:t>ع الصعبة عن ركوبها</w:t>
      </w:r>
      <w:r w:rsidRPr="00282AC9">
        <w:rPr>
          <w:rFonts w:cs="AL-Mohanad" w:hint="cs"/>
          <w:sz w:val="27"/>
          <w:szCs w:val="27"/>
          <w:rtl/>
        </w:rPr>
        <w:t>،</w:t>
      </w:r>
      <w:r w:rsidR="001153F1" w:rsidRPr="00282AC9">
        <w:rPr>
          <w:rFonts w:cs="AL-Mohanad"/>
          <w:sz w:val="27"/>
          <w:szCs w:val="27"/>
          <w:rtl/>
        </w:rPr>
        <w:t xml:space="preserve"> لا تقبل منه ع</w:t>
      </w:r>
      <w:r w:rsidRPr="00282AC9">
        <w:rPr>
          <w:rFonts w:cs="AL-Mohanad" w:hint="cs"/>
          <w:sz w:val="27"/>
          <w:szCs w:val="27"/>
          <w:rtl/>
        </w:rPr>
        <w:t>ُ</w:t>
      </w:r>
      <w:r w:rsidR="001153F1" w:rsidRPr="00282AC9">
        <w:rPr>
          <w:rFonts w:cs="AL-Mohanad"/>
          <w:sz w:val="27"/>
          <w:szCs w:val="27"/>
          <w:rtl/>
        </w:rPr>
        <w:t>ذ</w:t>
      </w:r>
      <w:r w:rsidRPr="00282AC9">
        <w:rPr>
          <w:rFonts w:cs="AL-Mohanad" w:hint="cs"/>
          <w:sz w:val="27"/>
          <w:szCs w:val="27"/>
          <w:rtl/>
        </w:rPr>
        <w:t>ْ</w:t>
      </w:r>
      <w:r w:rsidR="001153F1" w:rsidRPr="00282AC9">
        <w:rPr>
          <w:rFonts w:cs="AL-Mohanad"/>
          <w:sz w:val="27"/>
          <w:szCs w:val="27"/>
          <w:rtl/>
        </w:rPr>
        <w:t>را</w:t>
      </w:r>
      <w:r w:rsidR="001153F1" w:rsidRPr="00282AC9">
        <w:rPr>
          <w:rFonts w:cs="AL-Mohanad" w:hint="cs"/>
          <w:sz w:val="27"/>
          <w:szCs w:val="27"/>
          <w:rtl/>
        </w:rPr>
        <w:t>ً</w:t>
      </w:r>
      <w:r w:rsidRPr="00282AC9">
        <w:rPr>
          <w:rFonts w:cs="AL-Mohanad" w:hint="cs"/>
          <w:sz w:val="27"/>
          <w:szCs w:val="27"/>
          <w:rtl/>
        </w:rPr>
        <w:t>،</w:t>
      </w:r>
      <w:r w:rsidR="001153F1" w:rsidRPr="00282AC9">
        <w:rPr>
          <w:rFonts w:cs="AL-Mohanad"/>
          <w:sz w:val="27"/>
          <w:szCs w:val="27"/>
          <w:rtl/>
        </w:rPr>
        <w:t xml:space="preserve"> ولا تغفر له ذ</w:t>
      </w:r>
      <w:r w:rsidRPr="00282AC9">
        <w:rPr>
          <w:rFonts w:cs="AL-Mohanad" w:hint="cs"/>
          <w:sz w:val="27"/>
          <w:szCs w:val="27"/>
          <w:rtl/>
        </w:rPr>
        <w:t>َ</w:t>
      </w:r>
      <w:r w:rsidR="001153F1" w:rsidRPr="00282AC9">
        <w:rPr>
          <w:rFonts w:cs="AL-Mohanad"/>
          <w:sz w:val="27"/>
          <w:szCs w:val="27"/>
          <w:rtl/>
        </w:rPr>
        <w:t>ن</w:t>
      </w:r>
      <w:r w:rsidRPr="00282AC9">
        <w:rPr>
          <w:rFonts w:cs="AL-Mohanad" w:hint="cs"/>
          <w:sz w:val="27"/>
          <w:szCs w:val="27"/>
          <w:rtl/>
        </w:rPr>
        <w:t>ْ</w:t>
      </w:r>
      <w:r w:rsidR="001153F1" w:rsidRPr="00282AC9">
        <w:rPr>
          <w:rFonts w:cs="AL-Mohanad"/>
          <w:sz w:val="27"/>
          <w:szCs w:val="27"/>
          <w:rtl/>
        </w:rPr>
        <w:t>با</w:t>
      </w:r>
      <w:r w:rsidR="001153F1" w:rsidRPr="00282AC9">
        <w:rPr>
          <w:rFonts w:cs="AL-Mohanad" w:hint="cs"/>
          <w:sz w:val="27"/>
          <w:szCs w:val="27"/>
          <w:rtl/>
        </w:rPr>
        <w:t>ً</w:t>
      </w:r>
      <w:r w:rsidR="001153F1" w:rsidRPr="00282AC9">
        <w:rPr>
          <w:rFonts w:ascii="Mosawi" w:hAnsi="Mosawi" w:cs="AL-Mohanad"/>
          <w:rtl/>
        </w:rPr>
        <w:t>»</w:t>
      </w:r>
      <w:r w:rsidR="001153F1" w:rsidRPr="00282AC9">
        <w:rPr>
          <w:rFonts w:ascii="Mosawi" w:hAnsi="Mosawi" w:cs="AL-Mohanad"/>
          <w:sz w:val="27"/>
          <w:szCs w:val="27"/>
          <w:vertAlign w:val="superscript"/>
          <w:rtl/>
          <w:lang w:bidi="fa-IR"/>
        </w:rPr>
        <w:t>(</w:t>
      </w:r>
      <w:r w:rsidR="001153F1" w:rsidRPr="00282AC9">
        <w:rPr>
          <w:rStyle w:val="af9"/>
          <w:rFonts w:ascii="Mosawi" w:eastAsiaTheme="majorEastAsia" w:hAnsi="Mosawi" w:cs="AL-Mohanad"/>
          <w:sz w:val="27"/>
          <w:szCs w:val="27"/>
          <w:rtl/>
          <w:lang w:bidi="fa-IR"/>
        </w:rPr>
        <w:endnoteReference w:id="651"/>
      </w:r>
      <w:r w:rsidR="001153F1" w:rsidRPr="00282AC9">
        <w:rPr>
          <w:rFonts w:ascii="Mosawi" w:hAnsi="Mosawi" w:cs="AL-Mohanad"/>
          <w:sz w:val="27"/>
          <w:szCs w:val="27"/>
          <w:vertAlign w:val="superscript"/>
          <w:rtl/>
          <w:lang w:bidi="fa-IR"/>
        </w:rPr>
        <w:t>)</w:t>
      </w:r>
      <w:r w:rsidR="001153F1" w:rsidRPr="00282AC9">
        <w:rPr>
          <w:rFonts w:ascii="Mosawi" w:hAnsi="Mosawi" w:cs="AL-Mohanad"/>
          <w:sz w:val="27"/>
          <w:szCs w:val="27"/>
          <w:rtl/>
          <w:lang w:bidi="fa-IR"/>
        </w:rPr>
        <w:t>.</w:t>
      </w:r>
    </w:p>
    <w:p w:rsidR="00DA6FB6" w:rsidRPr="00282AC9" w:rsidRDefault="009C013C" w:rsidP="003E218F">
      <w:pPr>
        <w:rPr>
          <w:rFonts w:ascii="Mosawi" w:hAnsi="Mosawi"/>
          <w:sz w:val="27"/>
          <w:rtl/>
        </w:rPr>
      </w:pPr>
      <w:r w:rsidRPr="00282AC9">
        <w:rPr>
          <w:sz w:val="27"/>
          <w:rtl/>
        </w:rPr>
        <w:t>هذه من الرو</w:t>
      </w:r>
      <w:r w:rsidRPr="00282AC9">
        <w:rPr>
          <w:rFonts w:hint="cs"/>
          <w:sz w:val="27"/>
          <w:rtl/>
        </w:rPr>
        <w:t>اي</w:t>
      </w:r>
      <w:r w:rsidR="001153F1" w:rsidRPr="00282AC9">
        <w:rPr>
          <w:rFonts w:hint="cs"/>
          <w:sz w:val="27"/>
          <w:rtl/>
        </w:rPr>
        <w:t>ات</w:t>
      </w:r>
      <w:r w:rsidR="001153F1" w:rsidRPr="00282AC9">
        <w:rPr>
          <w:sz w:val="27"/>
          <w:rtl/>
        </w:rPr>
        <w:t xml:space="preserve"> </w:t>
      </w:r>
      <w:r w:rsidR="004265C0" w:rsidRPr="00282AC9">
        <w:rPr>
          <w:sz w:val="27"/>
          <w:rtl/>
        </w:rPr>
        <w:t>النبوي</w:t>
      </w:r>
      <w:r w:rsidR="004265C0" w:rsidRPr="00282AC9">
        <w:rPr>
          <w:rFonts w:hint="cs"/>
          <w:sz w:val="27"/>
          <w:rtl/>
        </w:rPr>
        <w:t>ّ</w:t>
      </w:r>
      <w:r w:rsidR="004265C0" w:rsidRPr="00282AC9">
        <w:rPr>
          <w:sz w:val="27"/>
          <w:rtl/>
        </w:rPr>
        <w:t>ة الشيعي</w:t>
      </w:r>
      <w:r w:rsidR="004265C0" w:rsidRPr="00282AC9">
        <w:rPr>
          <w:rFonts w:hint="cs"/>
          <w:sz w:val="27"/>
          <w:rtl/>
        </w:rPr>
        <w:t>ّ</w:t>
      </w:r>
      <w:r w:rsidR="004265C0" w:rsidRPr="00282AC9">
        <w:rPr>
          <w:sz w:val="27"/>
          <w:rtl/>
        </w:rPr>
        <w:t xml:space="preserve">ة </w:t>
      </w:r>
      <w:r w:rsidR="001153F1" w:rsidRPr="00282AC9">
        <w:rPr>
          <w:sz w:val="27"/>
          <w:rtl/>
        </w:rPr>
        <w:t>الصحيحة</w:t>
      </w:r>
      <w:r w:rsidR="004265C0" w:rsidRPr="00282AC9">
        <w:rPr>
          <w:rFonts w:hint="cs"/>
          <w:sz w:val="27"/>
          <w:rtl/>
        </w:rPr>
        <w:t>،</w:t>
      </w:r>
      <w:r w:rsidR="001153F1" w:rsidRPr="00282AC9">
        <w:rPr>
          <w:sz w:val="27"/>
          <w:rtl/>
        </w:rPr>
        <w:t xml:space="preserve"> التي لا ي</w:t>
      </w:r>
      <w:r w:rsidR="004265C0" w:rsidRPr="00282AC9">
        <w:rPr>
          <w:rFonts w:hint="cs"/>
          <w:sz w:val="27"/>
          <w:rtl/>
        </w:rPr>
        <w:t>ُ</w:t>
      </w:r>
      <w:r w:rsidR="001153F1" w:rsidRPr="00282AC9">
        <w:rPr>
          <w:sz w:val="27"/>
          <w:rtl/>
        </w:rPr>
        <w:t>م</w:t>
      </w:r>
      <w:r w:rsidR="004265C0" w:rsidRPr="00282AC9">
        <w:rPr>
          <w:rFonts w:hint="cs"/>
          <w:sz w:val="27"/>
          <w:rtl/>
        </w:rPr>
        <w:t>َ</w:t>
      </w:r>
      <w:r w:rsidR="001153F1" w:rsidRPr="00282AC9">
        <w:rPr>
          <w:sz w:val="27"/>
          <w:rtl/>
        </w:rPr>
        <w:t>ر</w:t>
      </w:r>
      <w:r w:rsidR="001153F1" w:rsidRPr="00282AC9">
        <w:rPr>
          <w:rFonts w:hint="cs"/>
          <w:sz w:val="27"/>
          <w:rtl/>
        </w:rPr>
        <w:t>ّ</w:t>
      </w:r>
      <w:r w:rsidR="004265C0" w:rsidRPr="00282AC9">
        <w:rPr>
          <w:rFonts w:hint="cs"/>
          <w:sz w:val="27"/>
          <w:rtl/>
        </w:rPr>
        <w:t>ُ</w:t>
      </w:r>
      <w:r w:rsidR="001153F1" w:rsidRPr="00282AC9">
        <w:rPr>
          <w:sz w:val="27"/>
          <w:rtl/>
        </w:rPr>
        <w:t xml:space="preserve"> فيها بالإمام</w:t>
      </w:r>
      <w:r w:rsidR="009A2A04" w:rsidRPr="00282AC9">
        <w:rPr>
          <w:rFonts w:ascii="Mosawi" w:hAnsi="Mosawi" w:cs="Mosawi"/>
          <w:sz w:val="22"/>
          <w:szCs w:val="22"/>
          <w:rtl/>
        </w:rPr>
        <w:t>×</w:t>
      </w:r>
      <w:r w:rsidR="004265C0" w:rsidRPr="00282AC9">
        <w:rPr>
          <w:rFonts w:hint="cs"/>
          <w:sz w:val="27"/>
          <w:rtl/>
        </w:rPr>
        <w:t>،</w:t>
      </w:r>
      <w:r w:rsidR="001153F1" w:rsidRPr="00282AC9">
        <w:rPr>
          <w:sz w:val="27"/>
          <w:rtl/>
        </w:rPr>
        <w:t xml:space="preserve"> </w:t>
      </w:r>
      <w:r w:rsidR="004265C0" w:rsidRPr="00282AC9">
        <w:rPr>
          <w:rFonts w:hint="cs"/>
          <w:sz w:val="27"/>
          <w:rtl/>
        </w:rPr>
        <w:t>و</w:t>
      </w:r>
      <w:r w:rsidR="001153F1" w:rsidRPr="00282AC9">
        <w:rPr>
          <w:sz w:val="27"/>
          <w:rtl/>
        </w:rPr>
        <w:t>تعتبر من النوادر في الأحاديث الإمامية</w:t>
      </w:r>
      <w:r w:rsidR="004265C0" w:rsidRPr="00282AC9">
        <w:rPr>
          <w:rFonts w:hint="cs"/>
          <w:sz w:val="27"/>
          <w:rtl/>
        </w:rPr>
        <w:t>.</w:t>
      </w:r>
      <w:r w:rsidR="001153F1" w:rsidRPr="00282AC9">
        <w:rPr>
          <w:sz w:val="27"/>
          <w:rtl/>
        </w:rPr>
        <w:t xml:space="preserve"> هذا الحديث قد ورد في التهذيب أيضاً</w:t>
      </w:r>
      <w:r w:rsidR="004265C0" w:rsidRPr="00282AC9">
        <w:rPr>
          <w:rFonts w:hint="cs"/>
          <w:sz w:val="27"/>
          <w:rtl/>
        </w:rPr>
        <w:t>،</w:t>
      </w:r>
      <w:r w:rsidR="001153F1" w:rsidRPr="00282AC9">
        <w:rPr>
          <w:sz w:val="27"/>
          <w:rtl/>
        </w:rPr>
        <w:t xml:space="preserve"> وهناك تك</w:t>
      </w:r>
      <w:r w:rsidR="004265C0" w:rsidRPr="00282AC9">
        <w:rPr>
          <w:sz w:val="27"/>
          <w:rtl/>
        </w:rPr>
        <w:t>م</w:t>
      </w:r>
      <w:r w:rsidR="001153F1" w:rsidRPr="00282AC9">
        <w:rPr>
          <w:sz w:val="27"/>
          <w:rtl/>
        </w:rPr>
        <w:t>لة</w:t>
      </w:r>
      <w:r w:rsidR="004265C0" w:rsidRPr="00282AC9">
        <w:rPr>
          <w:rFonts w:hint="cs"/>
          <w:sz w:val="27"/>
          <w:rtl/>
        </w:rPr>
        <w:t>ٌ</w:t>
      </w:r>
      <w:r w:rsidR="001153F1" w:rsidRPr="00282AC9">
        <w:rPr>
          <w:sz w:val="27"/>
          <w:vertAlign w:val="superscript"/>
          <w:rtl/>
        </w:rPr>
        <w:t>(</w:t>
      </w:r>
      <w:r w:rsidR="001153F1" w:rsidRPr="00282AC9">
        <w:rPr>
          <w:rStyle w:val="af9"/>
          <w:sz w:val="27"/>
          <w:rtl/>
        </w:rPr>
        <w:endnoteReference w:id="652"/>
      </w:r>
      <w:r w:rsidR="001153F1" w:rsidRPr="00282AC9">
        <w:rPr>
          <w:sz w:val="27"/>
          <w:vertAlign w:val="superscript"/>
          <w:rtl/>
        </w:rPr>
        <w:t>)</w:t>
      </w:r>
      <w:r w:rsidR="004265C0" w:rsidRPr="00282AC9">
        <w:rPr>
          <w:rFonts w:hint="cs"/>
          <w:sz w:val="27"/>
          <w:rtl/>
        </w:rPr>
        <w:t>،</w:t>
      </w:r>
      <w:r w:rsidR="001153F1" w:rsidRPr="00282AC9">
        <w:rPr>
          <w:sz w:val="27"/>
          <w:rtl/>
        </w:rPr>
        <w:t xml:space="preserve"> </w:t>
      </w:r>
      <w:r w:rsidR="001153F1" w:rsidRPr="00282AC9">
        <w:rPr>
          <w:rFonts w:ascii="Mosawi" w:hAnsi="Mosawi"/>
          <w:sz w:val="27"/>
          <w:rtl/>
        </w:rPr>
        <w:t>عن أبي حَمزَةَ قَالَ</w:t>
      </w:r>
      <w:r w:rsidR="004265C0" w:rsidRPr="00282AC9">
        <w:rPr>
          <w:rFonts w:ascii="Mosawi" w:hAnsi="Mosawi" w:hint="cs"/>
          <w:sz w:val="27"/>
          <w:rtl/>
        </w:rPr>
        <w:t xml:space="preserve">: </w:t>
      </w:r>
      <w:r w:rsidR="001153F1" w:rsidRPr="00282AC9">
        <w:rPr>
          <w:rFonts w:ascii="Mosawi" w:hAnsi="Mosawi"/>
          <w:sz w:val="27"/>
          <w:rtl/>
        </w:rPr>
        <w:t>سَمعتُ جَابراً الأَنصَاريَّ يُحَدّ</w:t>
      </w:r>
      <w:r w:rsidR="004265C0" w:rsidRPr="00282AC9">
        <w:rPr>
          <w:rFonts w:ascii="Mosawi" w:hAnsi="Mosawi" w:hint="cs"/>
          <w:sz w:val="27"/>
          <w:rtl/>
        </w:rPr>
        <w:t>ِ</w:t>
      </w:r>
      <w:r w:rsidR="001153F1" w:rsidRPr="00282AC9">
        <w:rPr>
          <w:rFonts w:ascii="Mosawi" w:hAnsi="Mosawi"/>
          <w:sz w:val="27"/>
          <w:rtl/>
        </w:rPr>
        <w:t xml:space="preserve">ثُ قَالَ: </w:t>
      </w:r>
      <w:r w:rsidR="001153F1" w:rsidRPr="00282AC9">
        <w:rPr>
          <w:rFonts w:ascii="Mosawi" w:hAnsi="Mosawi"/>
          <w:sz w:val="24"/>
          <w:szCs w:val="24"/>
          <w:rtl/>
        </w:rPr>
        <w:t>«</w:t>
      </w:r>
      <w:r w:rsidR="001153F1" w:rsidRPr="00282AC9">
        <w:rPr>
          <w:rFonts w:ascii="Mosawi" w:hAnsi="Mosawi"/>
          <w:sz w:val="27"/>
          <w:rtl/>
        </w:rPr>
        <w:t xml:space="preserve">كنَّا جُلوساً مع رسول </w:t>
      </w:r>
      <w:r w:rsidR="00C06BE6" w:rsidRPr="00282AC9">
        <w:rPr>
          <w:rFonts w:ascii="Mosawi" w:hAnsi="Mosawi"/>
          <w:sz w:val="27"/>
          <w:rtl/>
        </w:rPr>
        <w:t>الل</w:t>
      </w:r>
      <w:r w:rsidR="001153F1" w:rsidRPr="00282AC9">
        <w:rPr>
          <w:rFonts w:ascii="Mosawi" w:hAnsi="Mosawi"/>
          <w:sz w:val="27"/>
          <w:rtl/>
        </w:rPr>
        <w:t>ه</w:t>
      </w:r>
      <w:r w:rsidR="009A2A04" w:rsidRPr="00282AC9">
        <w:rPr>
          <w:rFonts w:ascii="Mosawi" w:hAnsi="Mosawi" w:cs="Mosawi"/>
          <w:sz w:val="22"/>
          <w:szCs w:val="22"/>
          <w:rtl/>
        </w:rPr>
        <w:t>|</w:t>
      </w:r>
      <w:r w:rsidR="004265C0" w:rsidRPr="00282AC9">
        <w:rPr>
          <w:rFonts w:ascii="Mosawi" w:hAnsi="Mosawi" w:hint="cs"/>
          <w:sz w:val="27"/>
          <w:rtl/>
        </w:rPr>
        <w:t>،</w:t>
      </w:r>
      <w:r w:rsidR="001153F1" w:rsidRPr="00282AC9">
        <w:rPr>
          <w:rFonts w:ascii="Mosawi" w:hAnsi="Mosawi"/>
          <w:sz w:val="27"/>
          <w:rtl/>
        </w:rPr>
        <w:t xml:space="preserve"> فذكرنا النّ</w:t>
      </w:r>
      <w:r w:rsidR="004265C0" w:rsidRPr="00282AC9">
        <w:rPr>
          <w:rFonts w:ascii="Mosawi" w:hAnsi="Mosawi" w:hint="cs"/>
          <w:sz w:val="27"/>
          <w:rtl/>
        </w:rPr>
        <w:t>ِ</w:t>
      </w:r>
      <w:r w:rsidR="001153F1" w:rsidRPr="00282AC9">
        <w:rPr>
          <w:rFonts w:ascii="Mosawi" w:hAnsi="Mosawi"/>
          <w:sz w:val="27"/>
          <w:rtl/>
        </w:rPr>
        <w:t>ساء</w:t>
      </w:r>
      <w:r w:rsidR="004265C0" w:rsidRPr="00282AC9">
        <w:rPr>
          <w:rFonts w:ascii="Mosawi" w:hAnsi="Mosawi" w:hint="cs"/>
          <w:sz w:val="27"/>
          <w:rtl/>
        </w:rPr>
        <w:t>َ</w:t>
      </w:r>
      <w:r w:rsidR="001153F1" w:rsidRPr="00282AC9">
        <w:rPr>
          <w:rFonts w:ascii="Mosawi" w:hAnsi="Mosawi"/>
          <w:sz w:val="27"/>
          <w:rtl/>
        </w:rPr>
        <w:t xml:space="preserve"> وفضل</w:t>
      </w:r>
      <w:r w:rsidR="004265C0" w:rsidRPr="00282AC9">
        <w:rPr>
          <w:rFonts w:ascii="Mosawi" w:hAnsi="Mosawi" w:hint="cs"/>
          <w:sz w:val="27"/>
          <w:rtl/>
        </w:rPr>
        <w:t>َ</w:t>
      </w:r>
      <w:r w:rsidR="001153F1" w:rsidRPr="00282AC9">
        <w:rPr>
          <w:rFonts w:ascii="Mosawi" w:hAnsi="Mosawi"/>
          <w:sz w:val="27"/>
          <w:rtl/>
        </w:rPr>
        <w:t xml:space="preserve"> بعضهنّ</w:t>
      </w:r>
      <w:r w:rsidR="004265C0" w:rsidRPr="00282AC9">
        <w:rPr>
          <w:rFonts w:ascii="Mosawi" w:hAnsi="Mosawi" w:hint="cs"/>
          <w:sz w:val="27"/>
          <w:rtl/>
        </w:rPr>
        <w:t>َ</w:t>
      </w:r>
      <w:r w:rsidR="001153F1" w:rsidRPr="00282AC9">
        <w:rPr>
          <w:rFonts w:ascii="Mosawi" w:hAnsi="Mosawi"/>
          <w:sz w:val="27"/>
          <w:rtl/>
        </w:rPr>
        <w:t xml:space="preserve"> على بعضٍ</w:t>
      </w:r>
      <w:r w:rsidR="004265C0" w:rsidRPr="00282AC9">
        <w:rPr>
          <w:rFonts w:ascii="Mosawi" w:hAnsi="Mosawi" w:hint="cs"/>
          <w:sz w:val="27"/>
          <w:rtl/>
        </w:rPr>
        <w:t>،</w:t>
      </w:r>
      <w:r w:rsidR="001153F1" w:rsidRPr="00282AC9">
        <w:rPr>
          <w:rFonts w:ascii="Mosawi" w:hAnsi="Mosawi"/>
          <w:sz w:val="27"/>
          <w:rtl/>
        </w:rPr>
        <w:t xml:space="preserve"> فقال رسُولُ </w:t>
      </w:r>
      <w:r w:rsidR="00C06BE6" w:rsidRPr="00282AC9">
        <w:rPr>
          <w:rFonts w:ascii="Mosawi" w:hAnsi="Mosawi"/>
          <w:sz w:val="27"/>
          <w:rtl/>
        </w:rPr>
        <w:t>الل</w:t>
      </w:r>
      <w:r w:rsidR="001153F1" w:rsidRPr="00282AC9">
        <w:rPr>
          <w:rFonts w:ascii="Mosawi" w:hAnsi="Mosawi"/>
          <w:sz w:val="27"/>
          <w:rtl/>
        </w:rPr>
        <w:t>ه</w:t>
      </w:r>
      <w:r w:rsidR="009A2A04" w:rsidRPr="00282AC9">
        <w:rPr>
          <w:rFonts w:ascii="Mosawi" w:hAnsi="Mosawi" w:cs="Mosawi"/>
          <w:sz w:val="22"/>
          <w:szCs w:val="22"/>
          <w:rtl/>
        </w:rPr>
        <w:t>|</w:t>
      </w:r>
      <w:r w:rsidR="004265C0" w:rsidRPr="00282AC9">
        <w:rPr>
          <w:rFonts w:ascii="Mosawi" w:hAnsi="Mosawi" w:hint="cs"/>
          <w:sz w:val="27"/>
          <w:rtl/>
        </w:rPr>
        <w:t>:</w:t>
      </w:r>
      <w:r w:rsidR="001153F1" w:rsidRPr="00282AC9">
        <w:rPr>
          <w:rFonts w:ascii="Mosawi" w:hAnsi="Mosawi" w:hint="cs"/>
          <w:sz w:val="27"/>
          <w:rtl/>
        </w:rPr>
        <w:t xml:space="preserve"> </w:t>
      </w:r>
      <w:r w:rsidR="001153F1" w:rsidRPr="00282AC9">
        <w:rPr>
          <w:rFonts w:ascii="Mosawi" w:hAnsi="Mosawi"/>
          <w:sz w:val="27"/>
          <w:rtl/>
        </w:rPr>
        <w:t>أ</w:t>
      </w:r>
      <w:r w:rsidR="004265C0" w:rsidRPr="00282AC9">
        <w:rPr>
          <w:rFonts w:ascii="Mosawi" w:hAnsi="Mosawi" w:hint="cs"/>
          <w:sz w:val="27"/>
          <w:rtl/>
        </w:rPr>
        <w:t>َ</w:t>
      </w:r>
      <w:r w:rsidR="001153F1" w:rsidRPr="00282AC9">
        <w:rPr>
          <w:rFonts w:ascii="Mosawi" w:hAnsi="Mosawi"/>
          <w:sz w:val="27"/>
          <w:rtl/>
        </w:rPr>
        <w:t>لا</w:t>
      </w:r>
      <w:r w:rsidR="004265C0" w:rsidRPr="00282AC9">
        <w:rPr>
          <w:rFonts w:ascii="Mosawi" w:hAnsi="Mosawi" w:hint="cs"/>
          <w:sz w:val="27"/>
          <w:rtl/>
        </w:rPr>
        <w:t>َ</w:t>
      </w:r>
      <w:r w:rsidR="001153F1" w:rsidRPr="00282AC9">
        <w:rPr>
          <w:rFonts w:ascii="Mosawi" w:hAnsi="Mosawi"/>
          <w:sz w:val="27"/>
          <w:rtl/>
        </w:rPr>
        <w:t xml:space="preserve"> أُخبرُكُم</w:t>
      </w:r>
      <w:r w:rsidR="004265C0" w:rsidRPr="00282AC9">
        <w:rPr>
          <w:rFonts w:ascii="Mosawi" w:hAnsi="Mosawi" w:hint="cs"/>
          <w:sz w:val="27"/>
          <w:rtl/>
        </w:rPr>
        <w:t>؟</w:t>
      </w:r>
      <w:r w:rsidR="001153F1" w:rsidRPr="00282AC9">
        <w:rPr>
          <w:rFonts w:ascii="Mosawi" w:hAnsi="Mosawi"/>
          <w:sz w:val="27"/>
          <w:rtl/>
        </w:rPr>
        <w:t xml:space="preserve"> فقُلنا</w:t>
      </w:r>
      <w:r w:rsidR="004265C0" w:rsidRPr="00282AC9">
        <w:rPr>
          <w:rFonts w:ascii="Mosawi" w:hAnsi="Mosawi" w:hint="cs"/>
          <w:sz w:val="27"/>
          <w:rtl/>
        </w:rPr>
        <w:t>:</w:t>
      </w:r>
      <w:r w:rsidR="001153F1" w:rsidRPr="00282AC9">
        <w:rPr>
          <w:rFonts w:ascii="Mosawi" w:hAnsi="Mosawi"/>
          <w:sz w:val="27"/>
          <w:rtl/>
        </w:rPr>
        <w:t xml:space="preserve"> بلى يا رسُول </w:t>
      </w:r>
      <w:r w:rsidR="00C06BE6" w:rsidRPr="00282AC9">
        <w:rPr>
          <w:rFonts w:ascii="Mosawi" w:hAnsi="Mosawi"/>
          <w:sz w:val="27"/>
          <w:rtl/>
        </w:rPr>
        <w:t>الل</w:t>
      </w:r>
      <w:r w:rsidR="001153F1" w:rsidRPr="00282AC9">
        <w:rPr>
          <w:rFonts w:ascii="Mosawi" w:hAnsi="Mosawi"/>
          <w:sz w:val="27"/>
          <w:rtl/>
        </w:rPr>
        <w:t>ه</w:t>
      </w:r>
      <w:r w:rsidR="004265C0" w:rsidRPr="00282AC9">
        <w:rPr>
          <w:rFonts w:ascii="Mosawi" w:hAnsi="Mosawi" w:hint="cs"/>
          <w:sz w:val="27"/>
          <w:rtl/>
        </w:rPr>
        <w:t>،</w:t>
      </w:r>
      <w:r w:rsidR="001153F1" w:rsidRPr="00282AC9">
        <w:rPr>
          <w:rFonts w:ascii="Mosawi" w:hAnsi="Mosawi"/>
          <w:sz w:val="27"/>
          <w:rtl/>
        </w:rPr>
        <w:t xml:space="preserve"> فأخبرنا</w:t>
      </w:r>
      <w:r w:rsidR="004265C0" w:rsidRPr="00282AC9">
        <w:rPr>
          <w:rFonts w:ascii="Mosawi" w:hAnsi="Mosawi" w:hint="cs"/>
          <w:sz w:val="27"/>
          <w:rtl/>
        </w:rPr>
        <w:t>،</w:t>
      </w:r>
      <w:r w:rsidR="001153F1" w:rsidRPr="00282AC9">
        <w:rPr>
          <w:rFonts w:ascii="Mosawi" w:hAnsi="Mosawi"/>
          <w:sz w:val="27"/>
          <w:rtl/>
        </w:rPr>
        <w:t xml:space="preserve"> فقال</w:t>
      </w:r>
      <w:r w:rsidR="004265C0" w:rsidRPr="00282AC9">
        <w:rPr>
          <w:rFonts w:ascii="Mosawi" w:hAnsi="Mosawi" w:hint="cs"/>
          <w:sz w:val="27"/>
          <w:rtl/>
        </w:rPr>
        <w:t>:</w:t>
      </w:r>
      <w:r w:rsidR="001153F1" w:rsidRPr="00282AC9">
        <w:rPr>
          <w:rFonts w:ascii="Mosawi" w:hAnsi="Mosawi"/>
          <w:sz w:val="27"/>
          <w:rtl/>
        </w:rPr>
        <w:t xml:space="preserve"> إنّ من خير نسائكُمُ الو</w:t>
      </w:r>
      <w:r w:rsidR="004265C0" w:rsidRPr="00282AC9">
        <w:rPr>
          <w:rFonts w:ascii="Mosawi" w:hAnsi="Mosawi" w:hint="cs"/>
          <w:sz w:val="27"/>
          <w:rtl/>
        </w:rPr>
        <w:t>َ</w:t>
      </w:r>
      <w:r w:rsidR="001153F1" w:rsidRPr="00282AC9">
        <w:rPr>
          <w:rFonts w:ascii="Mosawi" w:hAnsi="Mosawi"/>
          <w:sz w:val="27"/>
          <w:rtl/>
        </w:rPr>
        <w:t>لُود الو</w:t>
      </w:r>
      <w:r w:rsidR="004265C0" w:rsidRPr="00282AC9">
        <w:rPr>
          <w:rFonts w:ascii="Mosawi" w:hAnsi="Mosawi" w:hint="cs"/>
          <w:sz w:val="27"/>
          <w:rtl/>
        </w:rPr>
        <w:t>َ</w:t>
      </w:r>
      <w:r w:rsidR="004265C0" w:rsidRPr="00282AC9">
        <w:rPr>
          <w:rFonts w:ascii="Mosawi" w:hAnsi="Mosawi"/>
          <w:sz w:val="27"/>
          <w:rtl/>
        </w:rPr>
        <w:t>دُود الس</w:t>
      </w:r>
      <w:r w:rsidR="001153F1" w:rsidRPr="00282AC9">
        <w:rPr>
          <w:rFonts w:ascii="Mosawi" w:hAnsi="Mosawi"/>
          <w:sz w:val="27"/>
          <w:rtl/>
        </w:rPr>
        <w:t>ت</w:t>
      </w:r>
      <w:r w:rsidR="004265C0" w:rsidRPr="00282AC9">
        <w:rPr>
          <w:rFonts w:ascii="Mosawi" w:hAnsi="Mosawi" w:hint="cs"/>
          <w:sz w:val="27"/>
          <w:rtl/>
        </w:rPr>
        <w:t>ّ</w:t>
      </w:r>
      <w:r w:rsidR="001153F1" w:rsidRPr="00282AC9">
        <w:rPr>
          <w:rFonts w:ascii="Mosawi" w:hAnsi="Mosawi"/>
          <w:sz w:val="27"/>
          <w:rtl/>
        </w:rPr>
        <w:t>يرة</w:t>
      </w:r>
      <w:r w:rsidR="004265C0" w:rsidRPr="00282AC9">
        <w:rPr>
          <w:rFonts w:ascii="Mosawi" w:hAnsi="Mosawi" w:hint="cs"/>
          <w:sz w:val="27"/>
          <w:rtl/>
        </w:rPr>
        <w:t>،</w:t>
      </w:r>
      <w:r w:rsidR="001153F1" w:rsidRPr="00282AC9">
        <w:rPr>
          <w:rFonts w:ascii="Mosawi" w:hAnsi="Mosawi"/>
          <w:sz w:val="27"/>
          <w:rtl/>
        </w:rPr>
        <w:t xml:space="preserve"> العزيزة في أهلها</w:t>
      </w:r>
      <w:r w:rsidR="004265C0" w:rsidRPr="00282AC9">
        <w:rPr>
          <w:rFonts w:ascii="Mosawi" w:hAnsi="Mosawi" w:hint="cs"/>
          <w:sz w:val="27"/>
          <w:rtl/>
        </w:rPr>
        <w:t>،</w:t>
      </w:r>
      <w:r w:rsidR="004265C0" w:rsidRPr="00282AC9">
        <w:rPr>
          <w:rFonts w:ascii="Mosawi" w:hAnsi="Mosawi"/>
          <w:sz w:val="27"/>
          <w:rtl/>
        </w:rPr>
        <w:t xml:space="preserve"> الذ</w:t>
      </w:r>
      <w:r w:rsidR="001153F1" w:rsidRPr="00282AC9">
        <w:rPr>
          <w:rFonts w:ascii="Mosawi" w:hAnsi="Mosawi"/>
          <w:sz w:val="27"/>
          <w:rtl/>
        </w:rPr>
        <w:t>ليلة مع بعلها</w:t>
      </w:r>
      <w:r w:rsidR="004265C0" w:rsidRPr="00282AC9">
        <w:rPr>
          <w:rFonts w:ascii="Mosawi" w:hAnsi="Mosawi" w:hint="cs"/>
          <w:sz w:val="27"/>
          <w:rtl/>
        </w:rPr>
        <w:t>،</w:t>
      </w:r>
      <w:r w:rsidR="001153F1" w:rsidRPr="00282AC9">
        <w:rPr>
          <w:rFonts w:ascii="Mosawi" w:hAnsi="Mosawi"/>
          <w:sz w:val="27"/>
          <w:rtl/>
        </w:rPr>
        <w:t xml:space="preserve"> المُتبرّ</w:t>
      </w:r>
      <w:r w:rsidR="004265C0" w:rsidRPr="00282AC9">
        <w:rPr>
          <w:rFonts w:ascii="Mosawi" w:hAnsi="Mosawi" w:hint="cs"/>
          <w:sz w:val="27"/>
          <w:rtl/>
        </w:rPr>
        <w:t>ِ</w:t>
      </w:r>
      <w:r w:rsidR="001153F1" w:rsidRPr="00282AC9">
        <w:rPr>
          <w:rFonts w:ascii="Mosawi" w:hAnsi="Mosawi"/>
          <w:sz w:val="27"/>
          <w:rtl/>
        </w:rPr>
        <w:t>جة مع زوجها</w:t>
      </w:r>
      <w:r w:rsidR="004265C0" w:rsidRPr="00282AC9">
        <w:rPr>
          <w:rFonts w:ascii="Mosawi" w:hAnsi="Mosawi" w:hint="cs"/>
          <w:sz w:val="27"/>
          <w:rtl/>
        </w:rPr>
        <w:t>،</w:t>
      </w:r>
      <w:r w:rsidR="001153F1" w:rsidRPr="00282AC9">
        <w:rPr>
          <w:rFonts w:ascii="Mosawi" w:hAnsi="Mosawi"/>
          <w:sz w:val="27"/>
          <w:rtl/>
        </w:rPr>
        <w:t xml:space="preserve"> الحصان عن غيره</w:t>
      </w:r>
      <w:r w:rsidR="004265C0" w:rsidRPr="00282AC9">
        <w:rPr>
          <w:rFonts w:ascii="Mosawi" w:hAnsi="Mosawi" w:hint="cs"/>
          <w:sz w:val="27"/>
          <w:rtl/>
        </w:rPr>
        <w:t>،</w:t>
      </w:r>
      <w:r w:rsidR="004265C0" w:rsidRPr="00282AC9">
        <w:rPr>
          <w:rFonts w:ascii="Mosawi" w:hAnsi="Mosawi"/>
          <w:sz w:val="27"/>
          <w:rtl/>
        </w:rPr>
        <w:t xml:space="preserve"> ال</w:t>
      </w:r>
      <w:r w:rsidR="001153F1" w:rsidRPr="00282AC9">
        <w:rPr>
          <w:rFonts w:ascii="Mosawi" w:hAnsi="Mosawi"/>
          <w:sz w:val="27"/>
          <w:rtl/>
        </w:rPr>
        <w:t>تي تسمعُ قولهُ</w:t>
      </w:r>
      <w:r w:rsidR="004265C0" w:rsidRPr="00282AC9">
        <w:rPr>
          <w:rFonts w:ascii="Mosawi" w:hAnsi="Mosawi" w:hint="cs"/>
          <w:sz w:val="27"/>
          <w:rtl/>
        </w:rPr>
        <w:t>،</w:t>
      </w:r>
      <w:r w:rsidR="001153F1" w:rsidRPr="00282AC9">
        <w:rPr>
          <w:rFonts w:ascii="Mosawi" w:hAnsi="Mosawi"/>
          <w:sz w:val="27"/>
          <w:rtl/>
        </w:rPr>
        <w:t xml:space="preserve"> وتُطيعُ أمرهُ</w:t>
      </w:r>
      <w:r w:rsidR="004265C0" w:rsidRPr="00282AC9">
        <w:rPr>
          <w:rFonts w:ascii="Mosawi" w:hAnsi="Mosawi" w:hint="cs"/>
          <w:sz w:val="27"/>
          <w:rtl/>
        </w:rPr>
        <w:t>،</w:t>
      </w:r>
      <w:r w:rsidR="001153F1" w:rsidRPr="00282AC9">
        <w:rPr>
          <w:rFonts w:ascii="Mosawi" w:hAnsi="Mosawi"/>
          <w:sz w:val="27"/>
          <w:rtl/>
        </w:rPr>
        <w:t xml:space="preserve"> وإذا خلا بها بذلت لهُ ما أراد منها</w:t>
      </w:r>
      <w:r w:rsidR="004265C0" w:rsidRPr="00282AC9">
        <w:rPr>
          <w:rFonts w:ascii="Mosawi" w:hAnsi="Mosawi" w:hint="cs"/>
          <w:sz w:val="27"/>
          <w:rtl/>
        </w:rPr>
        <w:t>،</w:t>
      </w:r>
      <w:r w:rsidR="001153F1" w:rsidRPr="00282AC9">
        <w:rPr>
          <w:rFonts w:ascii="Mosawi" w:hAnsi="Mosawi"/>
          <w:sz w:val="27"/>
          <w:rtl/>
        </w:rPr>
        <w:t xml:space="preserve"> ولم تبذّ</w:t>
      </w:r>
      <w:r w:rsidR="004265C0" w:rsidRPr="00282AC9">
        <w:rPr>
          <w:rFonts w:ascii="Mosawi" w:hAnsi="Mosawi" w:hint="cs"/>
          <w:sz w:val="27"/>
          <w:rtl/>
        </w:rPr>
        <w:t>َ</w:t>
      </w:r>
      <w:r w:rsidR="001153F1" w:rsidRPr="00282AC9">
        <w:rPr>
          <w:rFonts w:ascii="Mosawi" w:hAnsi="Mosawi"/>
          <w:sz w:val="27"/>
          <w:rtl/>
        </w:rPr>
        <w:t>ل لهُ تبذُّل الرّ</w:t>
      </w:r>
      <w:r w:rsidR="004265C0" w:rsidRPr="00282AC9">
        <w:rPr>
          <w:rFonts w:ascii="Mosawi" w:hAnsi="Mosawi" w:hint="cs"/>
          <w:sz w:val="27"/>
          <w:rtl/>
        </w:rPr>
        <w:t>َ</w:t>
      </w:r>
      <w:r w:rsidR="001153F1" w:rsidRPr="00282AC9">
        <w:rPr>
          <w:rFonts w:ascii="Mosawi" w:hAnsi="Mosawi"/>
          <w:sz w:val="27"/>
          <w:rtl/>
        </w:rPr>
        <w:t>جُل</w:t>
      </w:r>
      <w:r w:rsidR="004265C0" w:rsidRPr="00282AC9">
        <w:rPr>
          <w:rFonts w:ascii="Mosawi" w:hAnsi="Mosawi" w:hint="cs"/>
          <w:sz w:val="27"/>
          <w:rtl/>
        </w:rPr>
        <w:t>،</w:t>
      </w:r>
      <w:r w:rsidR="004265C0" w:rsidRPr="00282AC9">
        <w:rPr>
          <w:rFonts w:ascii="Mosawi" w:hAnsi="Mosawi"/>
          <w:sz w:val="27"/>
          <w:rtl/>
        </w:rPr>
        <w:t xml:space="preserve"> ث</w:t>
      </w:r>
      <w:r w:rsidR="001153F1" w:rsidRPr="00282AC9">
        <w:rPr>
          <w:rFonts w:ascii="Mosawi" w:hAnsi="Mosawi"/>
          <w:sz w:val="27"/>
          <w:rtl/>
        </w:rPr>
        <w:t>مّ قال</w:t>
      </w:r>
      <w:r w:rsidR="004265C0" w:rsidRPr="00282AC9">
        <w:rPr>
          <w:rFonts w:ascii="Mosawi" w:hAnsi="Mosawi" w:hint="cs"/>
          <w:sz w:val="27"/>
          <w:rtl/>
        </w:rPr>
        <w:t>:</w:t>
      </w:r>
      <w:r w:rsidR="001153F1" w:rsidRPr="00282AC9">
        <w:rPr>
          <w:rFonts w:ascii="Mosawi" w:hAnsi="Mosawi"/>
          <w:sz w:val="27"/>
          <w:rtl/>
        </w:rPr>
        <w:t xml:space="preserve"> أ</w:t>
      </w:r>
      <w:r w:rsidR="004265C0" w:rsidRPr="00282AC9">
        <w:rPr>
          <w:rFonts w:ascii="Mosawi" w:hAnsi="Mosawi" w:hint="cs"/>
          <w:sz w:val="27"/>
          <w:rtl/>
        </w:rPr>
        <w:t>َ</w:t>
      </w:r>
      <w:r w:rsidR="001153F1" w:rsidRPr="00282AC9">
        <w:rPr>
          <w:rFonts w:ascii="Mosawi" w:hAnsi="Mosawi"/>
          <w:sz w:val="27"/>
          <w:rtl/>
        </w:rPr>
        <w:t>لا</w:t>
      </w:r>
      <w:r w:rsidR="004265C0" w:rsidRPr="00282AC9">
        <w:rPr>
          <w:rFonts w:ascii="Mosawi" w:hAnsi="Mosawi" w:hint="cs"/>
          <w:sz w:val="27"/>
          <w:rtl/>
        </w:rPr>
        <w:t>َ</w:t>
      </w:r>
      <w:r w:rsidR="001153F1" w:rsidRPr="00282AC9">
        <w:rPr>
          <w:rFonts w:ascii="Mosawi" w:hAnsi="Mosawi"/>
          <w:sz w:val="27"/>
          <w:rtl/>
        </w:rPr>
        <w:t xml:space="preserve"> أُخبرُكُم بشرّ نسائكُم</w:t>
      </w:r>
      <w:r w:rsidR="004265C0" w:rsidRPr="00282AC9">
        <w:rPr>
          <w:rFonts w:ascii="Mosawi" w:hAnsi="Mosawi" w:hint="cs"/>
          <w:sz w:val="27"/>
          <w:rtl/>
        </w:rPr>
        <w:t>؟</w:t>
      </w:r>
      <w:r w:rsidR="001153F1" w:rsidRPr="00282AC9">
        <w:rPr>
          <w:rFonts w:ascii="Mosawi" w:hAnsi="Mosawi"/>
          <w:sz w:val="27"/>
          <w:rtl/>
        </w:rPr>
        <w:t xml:space="preserve"> قالُوا</w:t>
      </w:r>
      <w:r w:rsidR="004E3BF3" w:rsidRPr="00282AC9">
        <w:rPr>
          <w:rFonts w:ascii="Mosawi" w:hAnsi="Mosawi" w:hint="cs"/>
          <w:sz w:val="27"/>
          <w:rtl/>
        </w:rPr>
        <w:t>:</w:t>
      </w:r>
      <w:r w:rsidR="001153F1" w:rsidRPr="00282AC9">
        <w:rPr>
          <w:rFonts w:ascii="Mosawi" w:hAnsi="Mosawi"/>
          <w:sz w:val="27"/>
          <w:rtl/>
        </w:rPr>
        <w:t xml:space="preserve"> بلى</w:t>
      </w:r>
      <w:r w:rsidR="004E3BF3" w:rsidRPr="00282AC9">
        <w:rPr>
          <w:rFonts w:ascii="Mosawi" w:hAnsi="Mosawi" w:hint="cs"/>
          <w:sz w:val="27"/>
          <w:rtl/>
        </w:rPr>
        <w:t>،</w:t>
      </w:r>
      <w:r w:rsidR="001153F1" w:rsidRPr="00282AC9">
        <w:rPr>
          <w:rFonts w:ascii="Mosawi" w:hAnsi="Mosawi"/>
          <w:sz w:val="27"/>
          <w:rtl/>
        </w:rPr>
        <w:t xml:space="preserve"> قال</w:t>
      </w:r>
      <w:r w:rsidR="004E3BF3" w:rsidRPr="00282AC9">
        <w:rPr>
          <w:rFonts w:ascii="Mosawi" w:hAnsi="Mosawi" w:hint="cs"/>
          <w:sz w:val="27"/>
          <w:rtl/>
        </w:rPr>
        <w:t>:</w:t>
      </w:r>
      <w:r w:rsidR="001153F1" w:rsidRPr="00282AC9">
        <w:rPr>
          <w:rFonts w:ascii="Mosawi" w:hAnsi="Mosawi"/>
          <w:sz w:val="27"/>
          <w:rtl/>
        </w:rPr>
        <w:t xml:space="preserve"> إنّ من شرّ نسائكُمُ الذّليلة في أهلها</w:t>
      </w:r>
      <w:r w:rsidR="004E3BF3" w:rsidRPr="00282AC9">
        <w:rPr>
          <w:rFonts w:ascii="Mosawi" w:hAnsi="Mosawi" w:hint="cs"/>
          <w:sz w:val="27"/>
          <w:rtl/>
        </w:rPr>
        <w:t>،</w:t>
      </w:r>
      <w:r w:rsidR="001153F1" w:rsidRPr="00282AC9">
        <w:rPr>
          <w:rFonts w:ascii="Mosawi" w:hAnsi="Mosawi"/>
          <w:sz w:val="27"/>
          <w:rtl/>
        </w:rPr>
        <w:t xml:space="preserve"> العزيزة مع بعلها</w:t>
      </w:r>
      <w:r w:rsidR="004E3BF3" w:rsidRPr="00282AC9">
        <w:rPr>
          <w:rFonts w:ascii="Mosawi" w:hAnsi="Mosawi" w:hint="cs"/>
          <w:sz w:val="27"/>
          <w:rtl/>
        </w:rPr>
        <w:t>،</w:t>
      </w:r>
      <w:r w:rsidR="001153F1" w:rsidRPr="00282AC9">
        <w:rPr>
          <w:rFonts w:ascii="Mosawi" w:hAnsi="Mosawi"/>
          <w:sz w:val="27"/>
          <w:rtl/>
        </w:rPr>
        <w:t xml:space="preserve"> العقيم</w:t>
      </w:r>
      <w:r w:rsidR="004E3BF3" w:rsidRPr="00282AC9">
        <w:rPr>
          <w:rFonts w:ascii="Mosawi" w:hAnsi="Mosawi" w:hint="cs"/>
          <w:sz w:val="27"/>
          <w:rtl/>
        </w:rPr>
        <w:t>،</w:t>
      </w:r>
      <w:r w:rsidR="001153F1" w:rsidRPr="00282AC9">
        <w:rPr>
          <w:rFonts w:ascii="Mosawi" w:hAnsi="Mosawi"/>
          <w:sz w:val="27"/>
          <w:rtl/>
        </w:rPr>
        <w:t xml:space="preserve"> الحقُود</w:t>
      </w:r>
      <w:r w:rsidR="004E3BF3" w:rsidRPr="00282AC9">
        <w:rPr>
          <w:rFonts w:ascii="Mosawi" w:hAnsi="Mosawi" w:hint="cs"/>
          <w:sz w:val="27"/>
          <w:rtl/>
        </w:rPr>
        <w:t xml:space="preserve">، </w:t>
      </w:r>
      <w:r w:rsidR="004E3BF3" w:rsidRPr="00282AC9">
        <w:rPr>
          <w:rFonts w:ascii="Mosawi" w:hAnsi="Mosawi"/>
          <w:sz w:val="27"/>
          <w:rtl/>
        </w:rPr>
        <w:t>ال</w:t>
      </w:r>
      <w:r w:rsidR="001153F1" w:rsidRPr="00282AC9">
        <w:rPr>
          <w:rFonts w:ascii="Mosawi" w:hAnsi="Mosawi"/>
          <w:sz w:val="27"/>
          <w:rtl/>
        </w:rPr>
        <w:t>تي لا تتورّ</w:t>
      </w:r>
      <w:r w:rsidR="004E3BF3" w:rsidRPr="00282AC9">
        <w:rPr>
          <w:rFonts w:ascii="Mosawi" w:hAnsi="Mosawi" w:hint="cs"/>
          <w:sz w:val="27"/>
          <w:rtl/>
        </w:rPr>
        <w:t>َ</w:t>
      </w:r>
      <w:r w:rsidR="001153F1" w:rsidRPr="00282AC9">
        <w:rPr>
          <w:rFonts w:ascii="Mosawi" w:hAnsi="Mosawi"/>
          <w:sz w:val="27"/>
          <w:rtl/>
        </w:rPr>
        <w:t xml:space="preserve">عُ من </w:t>
      </w:r>
      <w:r w:rsidR="001153F1" w:rsidRPr="00282AC9">
        <w:rPr>
          <w:rFonts w:ascii="Mosawi" w:hAnsi="Mosawi"/>
          <w:sz w:val="27"/>
          <w:rtl/>
        </w:rPr>
        <w:lastRenderedPageBreak/>
        <w:t>قبيحٍ</w:t>
      </w:r>
      <w:r w:rsidR="004E3BF3" w:rsidRPr="00282AC9">
        <w:rPr>
          <w:rFonts w:ascii="Mosawi" w:hAnsi="Mosawi" w:hint="cs"/>
          <w:sz w:val="27"/>
          <w:rtl/>
        </w:rPr>
        <w:t>،</w:t>
      </w:r>
      <w:r w:rsidR="001153F1" w:rsidRPr="00282AC9">
        <w:rPr>
          <w:rFonts w:ascii="Mosawi" w:hAnsi="Mosawi"/>
          <w:sz w:val="27"/>
          <w:rtl/>
        </w:rPr>
        <w:t xml:space="preserve"> المُتبرّ</w:t>
      </w:r>
      <w:r w:rsidR="004E3BF3" w:rsidRPr="00282AC9">
        <w:rPr>
          <w:rFonts w:ascii="Mosawi" w:hAnsi="Mosawi" w:hint="cs"/>
          <w:sz w:val="27"/>
          <w:rtl/>
        </w:rPr>
        <w:t>ِ</w:t>
      </w:r>
      <w:r w:rsidR="001153F1" w:rsidRPr="00282AC9">
        <w:rPr>
          <w:rFonts w:ascii="Mosawi" w:hAnsi="Mosawi"/>
          <w:sz w:val="27"/>
          <w:rtl/>
        </w:rPr>
        <w:t>جة إذا غاب عنها بعلُها</w:t>
      </w:r>
      <w:r w:rsidR="004E3BF3" w:rsidRPr="00282AC9">
        <w:rPr>
          <w:rFonts w:ascii="Mosawi" w:hAnsi="Mosawi" w:hint="cs"/>
          <w:sz w:val="27"/>
          <w:rtl/>
        </w:rPr>
        <w:t>،</w:t>
      </w:r>
      <w:r w:rsidR="001153F1" w:rsidRPr="00282AC9">
        <w:rPr>
          <w:rFonts w:ascii="Mosawi" w:hAnsi="Mosawi"/>
          <w:sz w:val="27"/>
          <w:rtl/>
        </w:rPr>
        <w:t xml:space="preserve"> الحصان معهُ إذا حضر</w:t>
      </w:r>
      <w:r w:rsidR="004E3BF3" w:rsidRPr="00282AC9">
        <w:rPr>
          <w:rFonts w:ascii="Mosawi" w:hAnsi="Mosawi" w:hint="cs"/>
          <w:sz w:val="27"/>
          <w:rtl/>
        </w:rPr>
        <w:t>،</w:t>
      </w:r>
      <w:r w:rsidR="004E3BF3" w:rsidRPr="00282AC9">
        <w:rPr>
          <w:rFonts w:ascii="Mosawi" w:hAnsi="Mosawi"/>
          <w:sz w:val="27"/>
          <w:rtl/>
        </w:rPr>
        <w:t xml:space="preserve"> ال</w:t>
      </w:r>
      <w:r w:rsidR="001153F1" w:rsidRPr="00282AC9">
        <w:rPr>
          <w:rFonts w:ascii="Mosawi" w:hAnsi="Mosawi"/>
          <w:sz w:val="27"/>
          <w:rtl/>
        </w:rPr>
        <w:t>تي لا تسمعُ قولهُ</w:t>
      </w:r>
      <w:r w:rsidR="004E3BF3" w:rsidRPr="00282AC9">
        <w:rPr>
          <w:rFonts w:ascii="Mosawi" w:hAnsi="Mosawi" w:hint="cs"/>
          <w:sz w:val="27"/>
          <w:rtl/>
        </w:rPr>
        <w:t>،</w:t>
      </w:r>
      <w:r w:rsidR="001153F1" w:rsidRPr="00282AC9">
        <w:rPr>
          <w:rFonts w:ascii="Mosawi" w:hAnsi="Mosawi"/>
          <w:sz w:val="27"/>
          <w:rtl/>
        </w:rPr>
        <w:t xml:space="preserve"> ولا تُطيعُ أمرهُ</w:t>
      </w:r>
      <w:r w:rsidR="004E3BF3" w:rsidRPr="00282AC9">
        <w:rPr>
          <w:rFonts w:ascii="Mosawi" w:hAnsi="Mosawi" w:hint="cs"/>
          <w:sz w:val="27"/>
          <w:rtl/>
        </w:rPr>
        <w:t>،</w:t>
      </w:r>
      <w:r w:rsidR="001153F1" w:rsidRPr="00282AC9">
        <w:rPr>
          <w:rFonts w:ascii="Mosawi" w:hAnsi="Mosawi"/>
          <w:sz w:val="27"/>
          <w:rtl/>
        </w:rPr>
        <w:t xml:space="preserve"> وإذا خلا بها بعلُها تمنّ</w:t>
      </w:r>
      <w:r w:rsidR="004E3BF3" w:rsidRPr="00282AC9">
        <w:rPr>
          <w:rFonts w:ascii="Mosawi" w:hAnsi="Mosawi" w:hint="cs"/>
          <w:sz w:val="27"/>
          <w:rtl/>
        </w:rPr>
        <w:t>َ</w:t>
      </w:r>
      <w:r w:rsidR="001153F1" w:rsidRPr="00282AC9">
        <w:rPr>
          <w:rFonts w:ascii="Mosawi" w:hAnsi="Mosawi"/>
          <w:sz w:val="27"/>
          <w:rtl/>
        </w:rPr>
        <w:t>عت منهُ تمنُّ</w:t>
      </w:r>
      <w:r w:rsidR="004E3BF3" w:rsidRPr="00282AC9">
        <w:rPr>
          <w:rFonts w:ascii="Mosawi" w:hAnsi="Mosawi"/>
          <w:sz w:val="27"/>
          <w:rtl/>
        </w:rPr>
        <w:t>ع الص</w:t>
      </w:r>
      <w:r w:rsidR="001153F1" w:rsidRPr="00282AC9">
        <w:rPr>
          <w:rFonts w:ascii="Mosawi" w:hAnsi="Mosawi"/>
          <w:sz w:val="27"/>
          <w:rtl/>
        </w:rPr>
        <w:t>عبة عند رُكُوبها</w:t>
      </w:r>
      <w:r w:rsidR="004E3BF3" w:rsidRPr="00282AC9">
        <w:rPr>
          <w:rFonts w:ascii="Mosawi" w:hAnsi="Mosawi" w:hint="cs"/>
          <w:sz w:val="27"/>
          <w:rtl/>
        </w:rPr>
        <w:t>،</w:t>
      </w:r>
      <w:r w:rsidR="001153F1" w:rsidRPr="00282AC9">
        <w:rPr>
          <w:rFonts w:ascii="Mosawi" w:hAnsi="Mosawi"/>
          <w:sz w:val="27"/>
          <w:rtl/>
        </w:rPr>
        <w:t xml:space="preserve"> ولا تقبلُ لهُ عُذراً</w:t>
      </w:r>
      <w:r w:rsidR="004E3BF3" w:rsidRPr="00282AC9">
        <w:rPr>
          <w:rFonts w:ascii="Mosawi" w:hAnsi="Mosawi" w:hint="cs"/>
          <w:sz w:val="27"/>
          <w:rtl/>
        </w:rPr>
        <w:t>،</w:t>
      </w:r>
      <w:r w:rsidR="001153F1" w:rsidRPr="00282AC9">
        <w:rPr>
          <w:rFonts w:ascii="Mosawi" w:hAnsi="Mosawi"/>
          <w:sz w:val="27"/>
          <w:rtl/>
        </w:rPr>
        <w:t xml:space="preserve"> ولا تغفرُ لهُ ذ</w:t>
      </w:r>
      <w:r w:rsidR="004E3BF3" w:rsidRPr="00282AC9">
        <w:rPr>
          <w:rFonts w:ascii="Mosawi" w:hAnsi="Mosawi" w:hint="cs"/>
          <w:sz w:val="27"/>
          <w:rtl/>
        </w:rPr>
        <w:t>َ</w:t>
      </w:r>
      <w:r w:rsidR="001153F1" w:rsidRPr="00282AC9">
        <w:rPr>
          <w:rFonts w:ascii="Mosawi" w:hAnsi="Mosawi"/>
          <w:sz w:val="27"/>
          <w:rtl/>
        </w:rPr>
        <w:t>ن</w:t>
      </w:r>
      <w:r w:rsidR="004E3BF3" w:rsidRPr="00282AC9">
        <w:rPr>
          <w:rFonts w:ascii="Mosawi" w:hAnsi="Mosawi" w:hint="cs"/>
          <w:sz w:val="27"/>
          <w:rtl/>
        </w:rPr>
        <w:t>ْ</w:t>
      </w:r>
      <w:r w:rsidR="001153F1" w:rsidRPr="00282AC9">
        <w:rPr>
          <w:rFonts w:ascii="Mosawi" w:hAnsi="Mosawi"/>
          <w:sz w:val="27"/>
          <w:rtl/>
        </w:rPr>
        <w:t>باً</w:t>
      </w:r>
      <w:r w:rsidR="004E3BF3" w:rsidRPr="00282AC9">
        <w:rPr>
          <w:rFonts w:ascii="Mosawi" w:hAnsi="Mosawi" w:hint="cs"/>
          <w:sz w:val="27"/>
          <w:rtl/>
        </w:rPr>
        <w:t>،</w:t>
      </w:r>
      <w:r w:rsidR="004E3BF3" w:rsidRPr="00282AC9">
        <w:rPr>
          <w:rFonts w:ascii="Mosawi" w:hAnsi="Mosawi"/>
          <w:sz w:val="27"/>
          <w:rtl/>
        </w:rPr>
        <w:t xml:space="preserve"> ث</w:t>
      </w:r>
      <w:r w:rsidR="001153F1" w:rsidRPr="00282AC9">
        <w:rPr>
          <w:rFonts w:ascii="Mosawi" w:hAnsi="Mosawi"/>
          <w:sz w:val="27"/>
          <w:rtl/>
        </w:rPr>
        <w:t>مّ قال</w:t>
      </w:r>
      <w:r w:rsidR="004E3BF3" w:rsidRPr="00282AC9">
        <w:rPr>
          <w:rFonts w:ascii="Mosawi" w:hAnsi="Mosawi" w:hint="cs"/>
          <w:sz w:val="27"/>
          <w:rtl/>
        </w:rPr>
        <w:t>:</w:t>
      </w:r>
      <w:r w:rsidR="001153F1" w:rsidRPr="00282AC9">
        <w:rPr>
          <w:rFonts w:ascii="Mosawi" w:hAnsi="Mosawi"/>
          <w:sz w:val="27"/>
          <w:rtl/>
        </w:rPr>
        <w:t xml:space="preserve"> أفلا أُخبرُكُم بخير رجالكُم</w:t>
      </w:r>
      <w:r w:rsidR="004E3BF3" w:rsidRPr="00282AC9">
        <w:rPr>
          <w:rFonts w:ascii="Mosawi" w:hAnsi="Mosawi" w:hint="cs"/>
          <w:sz w:val="27"/>
          <w:rtl/>
        </w:rPr>
        <w:t>؟</w:t>
      </w:r>
      <w:r w:rsidR="001153F1" w:rsidRPr="00282AC9">
        <w:rPr>
          <w:rFonts w:ascii="Mosawi" w:hAnsi="Mosawi"/>
          <w:sz w:val="27"/>
          <w:rtl/>
        </w:rPr>
        <w:t xml:space="preserve"> فقُلنا</w:t>
      </w:r>
      <w:r w:rsidR="004E3BF3" w:rsidRPr="00282AC9">
        <w:rPr>
          <w:rFonts w:ascii="Mosawi" w:hAnsi="Mosawi" w:hint="cs"/>
          <w:sz w:val="27"/>
          <w:rtl/>
        </w:rPr>
        <w:t>:</w:t>
      </w:r>
      <w:r w:rsidR="001153F1" w:rsidRPr="00282AC9">
        <w:rPr>
          <w:rFonts w:ascii="Mosawi" w:hAnsi="Mosawi"/>
          <w:sz w:val="27"/>
          <w:rtl/>
        </w:rPr>
        <w:t xml:space="preserve"> بلى</w:t>
      </w:r>
      <w:r w:rsidR="004E3BF3" w:rsidRPr="00282AC9">
        <w:rPr>
          <w:rFonts w:ascii="Mosawi" w:hAnsi="Mosawi" w:hint="cs"/>
          <w:sz w:val="27"/>
          <w:rtl/>
        </w:rPr>
        <w:t>،</w:t>
      </w:r>
      <w:r w:rsidR="001153F1" w:rsidRPr="00282AC9">
        <w:rPr>
          <w:rFonts w:ascii="Mosawi" w:hAnsi="Mosawi"/>
          <w:sz w:val="27"/>
          <w:rtl/>
        </w:rPr>
        <w:t xml:space="preserve"> قال</w:t>
      </w:r>
      <w:r w:rsidR="004E3BF3" w:rsidRPr="00282AC9">
        <w:rPr>
          <w:rFonts w:ascii="Mosawi" w:hAnsi="Mosawi" w:hint="cs"/>
          <w:sz w:val="27"/>
          <w:rtl/>
        </w:rPr>
        <w:t>:</w:t>
      </w:r>
      <w:r w:rsidR="001153F1" w:rsidRPr="00282AC9">
        <w:rPr>
          <w:rFonts w:ascii="Mosawi" w:hAnsi="Mosawi"/>
          <w:sz w:val="27"/>
          <w:rtl/>
        </w:rPr>
        <w:t xml:space="preserve"> </w:t>
      </w:r>
      <w:r w:rsidR="004E3BF3" w:rsidRPr="00282AC9">
        <w:rPr>
          <w:rFonts w:ascii="Mosawi" w:hAnsi="Mosawi"/>
          <w:sz w:val="27"/>
          <w:rtl/>
        </w:rPr>
        <w:t>إنّ من خير رجالكُمُ التقيّ</w:t>
      </w:r>
      <w:r w:rsidR="004E3BF3" w:rsidRPr="00282AC9">
        <w:rPr>
          <w:rFonts w:ascii="Mosawi" w:hAnsi="Mosawi" w:hint="cs"/>
          <w:sz w:val="27"/>
          <w:rtl/>
        </w:rPr>
        <w:t>،</w:t>
      </w:r>
      <w:r w:rsidR="004E3BF3" w:rsidRPr="00282AC9">
        <w:rPr>
          <w:rFonts w:ascii="Mosawi" w:hAnsi="Mosawi"/>
          <w:sz w:val="27"/>
          <w:rtl/>
        </w:rPr>
        <w:t xml:space="preserve"> النقيّ</w:t>
      </w:r>
      <w:r w:rsidR="004E3BF3" w:rsidRPr="00282AC9">
        <w:rPr>
          <w:rFonts w:ascii="Mosawi" w:hAnsi="Mosawi" w:hint="cs"/>
          <w:sz w:val="27"/>
          <w:rtl/>
        </w:rPr>
        <w:t>،</w:t>
      </w:r>
      <w:r w:rsidR="004E3BF3" w:rsidRPr="00282AC9">
        <w:rPr>
          <w:rFonts w:ascii="Mosawi" w:hAnsi="Mosawi"/>
          <w:sz w:val="27"/>
          <w:rtl/>
        </w:rPr>
        <w:t xml:space="preserve"> الس</w:t>
      </w:r>
      <w:r w:rsidR="004E3BF3" w:rsidRPr="00282AC9">
        <w:rPr>
          <w:rFonts w:ascii="Mosawi" w:hAnsi="Mosawi" w:hint="cs"/>
          <w:sz w:val="27"/>
          <w:rtl/>
        </w:rPr>
        <w:t>َّ</w:t>
      </w:r>
      <w:r w:rsidR="001153F1" w:rsidRPr="00282AC9">
        <w:rPr>
          <w:rFonts w:ascii="Mosawi" w:hAnsi="Mosawi"/>
          <w:sz w:val="27"/>
          <w:rtl/>
        </w:rPr>
        <w:t>م</w:t>
      </w:r>
      <w:r w:rsidR="004E3BF3" w:rsidRPr="00282AC9">
        <w:rPr>
          <w:rFonts w:ascii="Mosawi" w:hAnsi="Mosawi" w:hint="cs"/>
          <w:sz w:val="27"/>
          <w:rtl/>
        </w:rPr>
        <w:t>ِ</w:t>
      </w:r>
      <w:r w:rsidR="001153F1" w:rsidRPr="00282AC9">
        <w:rPr>
          <w:rFonts w:ascii="Mosawi" w:hAnsi="Mosawi"/>
          <w:sz w:val="27"/>
          <w:rtl/>
        </w:rPr>
        <w:t>ح الكفّ</w:t>
      </w:r>
      <w:r w:rsidR="004E3BF3" w:rsidRPr="00282AC9">
        <w:rPr>
          <w:rFonts w:ascii="Mosawi" w:hAnsi="Mosawi" w:hint="cs"/>
          <w:sz w:val="27"/>
          <w:rtl/>
        </w:rPr>
        <w:t>َ</w:t>
      </w:r>
      <w:r w:rsidR="004E3BF3" w:rsidRPr="00282AC9">
        <w:rPr>
          <w:rFonts w:ascii="Mosawi" w:hAnsi="Mosawi"/>
          <w:sz w:val="27"/>
          <w:rtl/>
        </w:rPr>
        <w:t>ين</w:t>
      </w:r>
      <w:r w:rsidR="004E3BF3" w:rsidRPr="00282AC9">
        <w:rPr>
          <w:rFonts w:ascii="Mosawi" w:hAnsi="Mosawi" w:hint="cs"/>
          <w:sz w:val="27"/>
          <w:rtl/>
        </w:rPr>
        <w:t>،</w:t>
      </w:r>
      <w:r w:rsidR="004E3BF3" w:rsidRPr="00282AC9">
        <w:rPr>
          <w:rFonts w:ascii="Mosawi" w:hAnsi="Mosawi"/>
          <w:sz w:val="27"/>
          <w:rtl/>
        </w:rPr>
        <w:t xml:space="preserve"> الس</w:t>
      </w:r>
      <w:r w:rsidR="001153F1" w:rsidRPr="00282AC9">
        <w:rPr>
          <w:rFonts w:ascii="Mosawi" w:hAnsi="Mosawi"/>
          <w:sz w:val="27"/>
          <w:rtl/>
        </w:rPr>
        <w:t>ليم الطّ</w:t>
      </w:r>
      <w:r w:rsidR="004E3BF3" w:rsidRPr="00282AC9">
        <w:rPr>
          <w:rFonts w:ascii="Mosawi" w:hAnsi="Mosawi" w:hint="cs"/>
          <w:sz w:val="27"/>
          <w:rtl/>
        </w:rPr>
        <w:t>َ</w:t>
      </w:r>
      <w:r w:rsidR="001153F1" w:rsidRPr="00282AC9">
        <w:rPr>
          <w:rFonts w:ascii="Mosawi" w:hAnsi="Mosawi"/>
          <w:sz w:val="27"/>
          <w:rtl/>
        </w:rPr>
        <w:t>ر</w:t>
      </w:r>
      <w:r w:rsidR="004E3BF3" w:rsidRPr="00282AC9">
        <w:rPr>
          <w:rFonts w:ascii="Mosawi" w:hAnsi="Mosawi" w:hint="cs"/>
          <w:sz w:val="27"/>
          <w:rtl/>
        </w:rPr>
        <w:t>َ</w:t>
      </w:r>
      <w:r w:rsidR="001153F1" w:rsidRPr="00282AC9">
        <w:rPr>
          <w:rFonts w:ascii="Mosawi" w:hAnsi="Mosawi"/>
          <w:sz w:val="27"/>
          <w:rtl/>
        </w:rPr>
        <w:t>فين</w:t>
      </w:r>
      <w:r w:rsidR="004E3BF3" w:rsidRPr="00282AC9">
        <w:rPr>
          <w:rFonts w:ascii="Mosawi" w:hAnsi="Mosawi" w:hint="cs"/>
          <w:sz w:val="27"/>
          <w:rtl/>
        </w:rPr>
        <w:t>،</w:t>
      </w:r>
      <w:r w:rsidR="001153F1" w:rsidRPr="00282AC9">
        <w:rPr>
          <w:rFonts w:ascii="Mosawi" w:hAnsi="Mosawi"/>
          <w:sz w:val="27"/>
          <w:rtl/>
        </w:rPr>
        <w:t xml:space="preserve"> البرّ بوالد</w:t>
      </w:r>
      <w:r w:rsidR="004E3BF3" w:rsidRPr="00282AC9">
        <w:rPr>
          <w:rFonts w:ascii="Mosawi" w:hAnsi="Mosawi" w:hint="cs"/>
          <w:sz w:val="27"/>
          <w:rtl/>
        </w:rPr>
        <w:t>َ</w:t>
      </w:r>
      <w:r w:rsidR="001153F1" w:rsidRPr="00282AC9">
        <w:rPr>
          <w:rFonts w:ascii="Mosawi" w:hAnsi="Mosawi"/>
          <w:sz w:val="27"/>
          <w:rtl/>
        </w:rPr>
        <w:t>ي</w:t>
      </w:r>
      <w:r w:rsidR="004E3BF3" w:rsidRPr="00282AC9">
        <w:rPr>
          <w:rFonts w:ascii="Mosawi" w:hAnsi="Mosawi" w:hint="cs"/>
          <w:sz w:val="27"/>
          <w:rtl/>
        </w:rPr>
        <w:t>ْ</w:t>
      </w:r>
      <w:r w:rsidR="001153F1" w:rsidRPr="00282AC9">
        <w:rPr>
          <w:rFonts w:ascii="Mosawi" w:hAnsi="Mosawi"/>
          <w:sz w:val="27"/>
          <w:rtl/>
        </w:rPr>
        <w:t>ه</w:t>
      </w:r>
      <w:r w:rsidR="004E3BF3" w:rsidRPr="00282AC9">
        <w:rPr>
          <w:rFonts w:ascii="Mosawi" w:hAnsi="Mosawi" w:hint="cs"/>
          <w:sz w:val="27"/>
          <w:rtl/>
        </w:rPr>
        <w:t>،</w:t>
      </w:r>
      <w:r w:rsidR="001153F1" w:rsidRPr="00282AC9">
        <w:rPr>
          <w:rFonts w:ascii="Mosawi" w:hAnsi="Mosawi"/>
          <w:sz w:val="27"/>
          <w:rtl/>
        </w:rPr>
        <w:t xml:space="preserve"> ولا يُلجئُ عيالهُ إلى غيره</w:t>
      </w:r>
      <w:r w:rsidR="004E3BF3" w:rsidRPr="00282AC9">
        <w:rPr>
          <w:rFonts w:ascii="Mosawi" w:hAnsi="Mosawi" w:hint="cs"/>
          <w:sz w:val="27"/>
          <w:rtl/>
        </w:rPr>
        <w:t>،</w:t>
      </w:r>
      <w:r w:rsidR="004E3BF3" w:rsidRPr="00282AC9">
        <w:rPr>
          <w:rFonts w:ascii="Mosawi" w:hAnsi="Mosawi"/>
          <w:sz w:val="27"/>
          <w:rtl/>
        </w:rPr>
        <w:t xml:space="preserve"> ث</w:t>
      </w:r>
      <w:r w:rsidR="001153F1" w:rsidRPr="00282AC9">
        <w:rPr>
          <w:rFonts w:ascii="Mosawi" w:hAnsi="Mosawi"/>
          <w:sz w:val="27"/>
          <w:rtl/>
        </w:rPr>
        <w:t>مّ قال</w:t>
      </w:r>
      <w:r w:rsidR="004E3BF3" w:rsidRPr="00282AC9">
        <w:rPr>
          <w:rFonts w:ascii="Mosawi" w:hAnsi="Mosawi" w:hint="cs"/>
          <w:sz w:val="27"/>
          <w:rtl/>
        </w:rPr>
        <w:t>:</w:t>
      </w:r>
      <w:r w:rsidR="004E3BF3" w:rsidRPr="00282AC9">
        <w:rPr>
          <w:rFonts w:ascii="Mosawi" w:hAnsi="Mosawi"/>
          <w:sz w:val="27"/>
          <w:rtl/>
        </w:rPr>
        <w:t xml:space="preserve"> أ</w:t>
      </w:r>
      <w:r w:rsidR="004E3BF3" w:rsidRPr="00282AC9">
        <w:rPr>
          <w:rFonts w:ascii="Mosawi" w:hAnsi="Mosawi" w:hint="cs"/>
          <w:sz w:val="27"/>
          <w:rtl/>
        </w:rPr>
        <w:t>َ</w:t>
      </w:r>
      <w:r w:rsidR="001153F1" w:rsidRPr="00282AC9">
        <w:rPr>
          <w:rFonts w:ascii="Mosawi" w:hAnsi="Mosawi"/>
          <w:sz w:val="27"/>
          <w:rtl/>
        </w:rPr>
        <w:t>ف</w:t>
      </w:r>
      <w:r w:rsidR="004E3BF3" w:rsidRPr="00282AC9">
        <w:rPr>
          <w:rFonts w:ascii="Mosawi" w:hAnsi="Mosawi" w:hint="cs"/>
          <w:sz w:val="27"/>
          <w:rtl/>
        </w:rPr>
        <w:t>َ</w:t>
      </w:r>
      <w:r w:rsidR="001153F1" w:rsidRPr="00282AC9">
        <w:rPr>
          <w:rFonts w:ascii="Mosawi" w:hAnsi="Mosawi"/>
          <w:sz w:val="27"/>
          <w:rtl/>
        </w:rPr>
        <w:t>لا أُخبرُكُم بشرّ رجالكُم</w:t>
      </w:r>
      <w:r w:rsidR="004E3BF3" w:rsidRPr="00282AC9">
        <w:rPr>
          <w:rFonts w:ascii="Mosawi" w:hAnsi="Mosawi" w:hint="cs"/>
          <w:sz w:val="27"/>
          <w:rtl/>
        </w:rPr>
        <w:t>؟</w:t>
      </w:r>
      <w:r w:rsidR="001153F1" w:rsidRPr="00282AC9">
        <w:rPr>
          <w:rFonts w:ascii="Mosawi" w:hAnsi="Mosawi"/>
          <w:sz w:val="27"/>
          <w:rtl/>
        </w:rPr>
        <w:t xml:space="preserve"> فقُلنا</w:t>
      </w:r>
      <w:r w:rsidR="004E3BF3" w:rsidRPr="00282AC9">
        <w:rPr>
          <w:rFonts w:ascii="Mosawi" w:hAnsi="Mosawi" w:hint="cs"/>
          <w:sz w:val="27"/>
          <w:rtl/>
        </w:rPr>
        <w:t>:</w:t>
      </w:r>
      <w:r w:rsidR="001153F1" w:rsidRPr="00282AC9">
        <w:rPr>
          <w:rFonts w:ascii="Mosawi" w:hAnsi="Mosawi"/>
          <w:sz w:val="27"/>
          <w:rtl/>
        </w:rPr>
        <w:t xml:space="preserve"> بلى</w:t>
      </w:r>
      <w:r w:rsidR="004E3BF3" w:rsidRPr="00282AC9">
        <w:rPr>
          <w:rFonts w:ascii="Mosawi" w:hAnsi="Mosawi" w:hint="cs"/>
          <w:sz w:val="27"/>
          <w:rtl/>
        </w:rPr>
        <w:t>،</w:t>
      </w:r>
      <w:r w:rsidR="001153F1" w:rsidRPr="00282AC9">
        <w:rPr>
          <w:rFonts w:ascii="Mosawi" w:hAnsi="Mosawi"/>
          <w:sz w:val="27"/>
          <w:rtl/>
        </w:rPr>
        <w:t xml:space="preserve"> قال</w:t>
      </w:r>
      <w:r w:rsidR="004E3BF3" w:rsidRPr="00282AC9">
        <w:rPr>
          <w:rFonts w:ascii="Mosawi" w:hAnsi="Mosawi" w:hint="cs"/>
          <w:sz w:val="27"/>
          <w:rtl/>
        </w:rPr>
        <w:t>:</w:t>
      </w:r>
      <w:r w:rsidR="001153F1" w:rsidRPr="00282AC9">
        <w:rPr>
          <w:rFonts w:ascii="Mosawi" w:hAnsi="Mosawi"/>
          <w:sz w:val="27"/>
          <w:rtl/>
        </w:rPr>
        <w:t xml:space="preserve"> إنّ من شرّ رجالكُمُ البهّات</w:t>
      </w:r>
      <w:r w:rsidR="004E3BF3" w:rsidRPr="00282AC9">
        <w:rPr>
          <w:rFonts w:ascii="Mosawi" w:hAnsi="Mosawi" w:hint="cs"/>
          <w:sz w:val="27"/>
          <w:rtl/>
        </w:rPr>
        <w:t>،</w:t>
      </w:r>
      <w:r w:rsidR="001153F1" w:rsidRPr="00282AC9">
        <w:rPr>
          <w:rFonts w:ascii="Mosawi" w:hAnsi="Mosawi"/>
          <w:sz w:val="27"/>
          <w:rtl/>
        </w:rPr>
        <w:t xml:space="preserve"> الفاحش</w:t>
      </w:r>
      <w:r w:rsidR="004E3BF3" w:rsidRPr="00282AC9">
        <w:rPr>
          <w:rFonts w:ascii="Mosawi" w:hAnsi="Mosawi" w:hint="cs"/>
          <w:sz w:val="27"/>
          <w:rtl/>
        </w:rPr>
        <w:t>،</w:t>
      </w:r>
      <w:r w:rsidR="001153F1" w:rsidRPr="00282AC9">
        <w:rPr>
          <w:rFonts w:ascii="Mosawi" w:hAnsi="Mosawi"/>
          <w:sz w:val="27"/>
          <w:rtl/>
        </w:rPr>
        <w:t xml:space="preserve"> الآكل وحدهُ</w:t>
      </w:r>
      <w:r w:rsidR="004E3BF3" w:rsidRPr="00282AC9">
        <w:rPr>
          <w:rFonts w:ascii="Mosawi" w:hAnsi="Mosawi" w:hint="cs"/>
          <w:sz w:val="27"/>
          <w:rtl/>
        </w:rPr>
        <w:t>،</w:t>
      </w:r>
      <w:r w:rsidR="001153F1" w:rsidRPr="00282AC9">
        <w:rPr>
          <w:rFonts w:ascii="Mosawi" w:hAnsi="Mosawi"/>
          <w:sz w:val="27"/>
          <w:rtl/>
        </w:rPr>
        <w:t xml:space="preserve"> المانع رفدهُ</w:t>
      </w:r>
      <w:r w:rsidR="004E3BF3" w:rsidRPr="00282AC9">
        <w:rPr>
          <w:rFonts w:ascii="Mosawi" w:hAnsi="Mosawi" w:hint="cs"/>
          <w:sz w:val="27"/>
          <w:rtl/>
        </w:rPr>
        <w:t>،</w:t>
      </w:r>
      <w:r w:rsidR="004E3BF3" w:rsidRPr="00282AC9">
        <w:rPr>
          <w:rFonts w:ascii="Mosawi" w:hAnsi="Mosawi"/>
          <w:sz w:val="27"/>
          <w:rtl/>
        </w:rPr>
        <w:t xml:space="preserve"> الض</w:t>
      </w:r>
      <w:r w:rsidR="001153F1" w:rsidRPr="00282AC9">
        <w:rPr>
          <w:rFonts w:ascii="Mosawi" w:hAnsi="Mosawi"/>
          <w:sz w:val="27"/>
          <w:rtl/>
        </w:rPr>
        <w:t>ارب أهلهُ وعبدهُ</w:t>
      </w:r>
      <w:r w:rsidR="004E3BF3" w:rsidRPr="00282AC9">
        <w:rPr>
          <w:rFonts w:ascii="Mosawi" w:hAnsi="Mosawi" w:hint="cs"/>
          <w:sz w:val="27"/>
          <w:rtl/>
        </w:rPr>
        <w:t>،</w:t>
      </w:r>
      <w:r w:rsidR="001153F1" w:rsidRPr="00282AC9">
        <w:rPr>
          <w:rFonts w:ascii="Mosawi" w:hAnsi="Mosawi"/>
          <w:sz w:val="27"/>
          <w:rtl/>
        </w:rPr>
        <w:t xml:space="preserve"> البخيل</w:t>
      </w:r>
      <w:r w:rsidR="004E3BF3" w:rsidRPr="00282AC9">
        <w:rPr>
          <w:rFonts w:ascii="Mosawi" w:hAnsi="Mosawi" w:hint="cs"/>
          <w:sz w:val="27"/>
          <w:rtl/>
        </w:rPr>
        <w:t>،</w:t>
      </w:r>
      <w:r w:rsidR="001153F1" w:rsidRPr="00282AC9">
        <w:rPr>
          <w:rFonts w:ascii="Mosawi" w:hAnsi="Mosawi"/>
          <w:sz w:val="27"/>
          <w:rtl/>
        </w:rPr>
        <w:t xml:space="preserve"> المُل</w:t>
      </w:r>
      <w:r w:rsidR="004E3BF3" w:rsidRPr="00282AC9">
        <w:rPr>
          <w:rFonts w:ascii="Mosawi" w:hAnsi="Mosawi" w:hint="cs"/>
          <w:sz w:val="27"/>
          <w:rtl/>
        </w:rPr>
        <w:t>ْ</w:t>
      </w:r>
      <w:r w:rsidR="001153F1" w:rsidRPr="00282AC9">
        <w:rPr>
          <w:rFonts w:ascii="Mosawi" w:hAnsi="Mosawi"/>
          <w:sz w:val="27"/>
          <w:rtl/>
        </w:rPr>
        <w:t>ج</w:t>
      </w:r>
      <w:r w:rsidR="004E3BF3" w:rsidRPr="00282AC9">
        <w:rPr>
          <w:rFonts w:ascii="Mosawi" w:hAnsi="Mosawi" w:hint="cs"/>
          <w:sz w:val="27"/>
          <w:rtl/>
        </w:rPr>
        <w:t>ِ</w:t>
      </w:r>
      <w:r w:rsidR="001153F1" w:rsidRPr="00282AC9">
        <w:rPr>
          <w:rFonts w:ascii="Mosawi" w:hAnsi="Mosawi"/>
          <w:sz w:val="27"/>
          <w:rtl/>
        </w:rPr>
        <w:t>ئ عيالهُ إلى غيره</w:t>
      </w:r>
      <w:r w:rsidR="004E3BF3" w:rsidRPr="00282AC9">
        <w:rPr>
          <w:rFonts w:ascii="Mosawi" w:hAnsi="Mosawi" w:hint="cs"/>
          <w:sz w:val="27"/>
          <w:rtl/>
        </w:rPr>
        <w:t>،</w:t>
      </w:r>
      <w:r w:rsidR="001153F1" w:rsidRPr="00282AC9">
        <w:rPr>
          <w:rFonts w:ascii="Mosawi" w:hAnsi="Mosawi"/>
          <w:sz w:val="27"/>
          <w:rtl/>
        </w:rPr>
        <w:t xml:space="preserve"> العاقّ بوالد</w:t>
      </w:r>
      <w:r w:rsidR="004E3BF3" w:rsidRPr="00282AC9">
        <w:rPr>
          <w:rFonts w:ascii="Mosawi" w:hAnsi="Mosawi" w:hint="cs"/>
          <w:sz w:val="27"/>
          <w:rtl/>
        </w:rPr>
        <w:t>َ</w:t>
      </w:r>
      <w:r w:rsidR="001153F1" w:rsidRPr="00282AC9">
        <w:rPr>
          <w:rFonts w:ascii="Mosawi" w:hAnsi="Mosawi"/>
          <w:sz w:val="27"/>
          <w:rtl/>
        </w:rPr>
        <w:t>ي</w:t>
      </w:r>
      <w:r w:rsidR="004E3BF3" w:rsidRPr="00282AC9">
        <w:rPr>
          <w:rFonts w:ascii="Mosawi" w:hAnsi="Mosawi" w:hint="cs"/>
          <w:sz w:val="27"/>
          <w:rtl/>
        </w:rPr>
        <w:t>ْ</w:t>
      </w:r>
      <w:r w:rsidR="001153F1" w:rsidRPr="00282AC9">
        <w:rPr>
          <w:rFonts w:ascii="Mosawi" w:hAnsi="Mosawi"/>
          <w:sz w:val="27"/>
          <w:rtl/>
        </w:rPr>
        <w:t>ه</w:t>
      </w:r>
      <w:r w:rsidR="001153F1" w:rsidRPr="00282AC9">
        <w:rPr>
          <w:rFonts w:ascii="Mosawi" w:hAnsi="Mosawi"/>
          <w:sz w:val="24"/>
          <w:szCs w:val="24"/>
          <w:rtl/>
        </w:rPr>
        <w:t>»</w:t>
      </w:r>
      <w:r w:rsidR="001153F1" w:rsidRPr="00282AC9">
        <w:rPr>
          <w:rFonts w:ascii="Mosawi" w:hAnsi="Mosawi"/>
          <w:sz w:val="27"/>
          <w:vertAlign w:val="superscript"/>
          <w:rtl/>
        </w:rPr>
        <w:t>(</w:t>
      </w:r>
      <w:r w:rsidR="001153F1" w:rsidRPr="00282AC9">
        <w:rPr>
          <w:rStyle w:val="af9"/>
          <w:rFonts w:ascii="Mosawi" w:hAnsi="Mosawi"/>
          <w:sz w:val="27"/>
          <w:rtl/>
        </w:rPr>
        <w:endnoteReference w:id="653"/>
      </w:r>
      <w:r w:rsidR="001153F1" w:rsidRPr="00282AC9">
        <w:rPr>
          <w:rFonts w:ascii="Mosawi" w:hAnsi="Mosawi"/>
          <w:sz w:val="27"/>
          <w:vertAlign w:val="superscript"/>
          <w:rtl/>
        </w:rPr>
        <w:t>)</w:t>
      </w:r>
      <w:r w:rsidR="00DA6FB6" w:rsidRPr="00282AC9">
        <w:rPr>
          <w:rFonts w:ascii="Mosawi" w:hAnsi="Mosawi"/>
          <w:sz w:val="27"/>
          <w:rtl/>
        </w:rPr>
        <w:t>.</w:t>
      </w:r>
    </w:p>
    <w:p w:rsidR="000F7492" w:rsidRPr="00282AC9" w:rsidRDefault="001153F1" w:rsidP="003E218F">
      <w:pPr>
        <w:rPr>
          <w:b/>
          <w:bCs/>
          <w:rtl/>
        </w:rPr>
      </w:pPr>
      <w:r w:rsidRPr="00282AC9">
        <w:rPr>
          <w:rFonts w:ascii="Cambria" w:hAnsi="Cambria" w:hint="cs"/>
          <w:b/>
          <w:bCs/>
          <w:rtl/>
        </w:rPr>
        <w:t>أـ</w:t>
      </w:r>
      <w:r w:rsidRPr="00282AC9">
        <w:rPr>
          <w:b/>
          <w:bCs/>
          <w:rtl/>
        </w:rPr>
        <w:t xml:space="preserve"> الدراسة السندي</w:t>
      </w:r>
      <w:r w:rsidR="004E3BF3" w:rsidRPr="00282AC9">
        <w:rPr>
          <w:rFonts w:hint="cs"/>
          <w:b/>
          <w:bCs/>
          <w:rtl/>
        </w:rPr>
        <w:t>ّ</w:t>
      </w:r>
      <w:r w:rsidRPr="00282AC9">
        <w:rPr>
          <w:b/>
          <w:bCs/>
          <w:rtl/>
        </w:rPr>
        <w:t>ة</w:t>
      </w:r>
      <w:r w:rsidR="00E13463" w:rsidRPr="00282AC9">
        <w:rPr>
          <w:rFonts w:hint="cs"/>
          <w:rtl/>
        </w:rPr>
        <w:t xml:space="preserve">: </w:t>
      </w:r>
      <w:r w:rsidRPr="00282AC9">
        <w:rPr>
          <w:rFonts w:ascii="Mosawi" w:hAnsi="Mosawi" w:hint="cs"/>
          <w:sz w:val="27"/>
          <w:rtl/>
        </w:rPr>
        <w:t>قد ي</w:t>
      </w:r>
      <w:r w:rsidR="004E3BF3" w:rsidRPr="00282AC9">
        <w:rPr>
          <w:rFonts w:ascii="Mosawi" w:hAnsi="Mosawi" w:hint="cs"/>
          <w:sz w:val="27"/>
          <w:rtl/>
        </w:rPr>
        <w:t>ُ</w:t>
      </w:r>
      <w:r w:rsidRPr="00282AC9">
        <w:rPr>
          <w:rFonts w:ascii="Mosawi" w:hAnsi="Mosawi" w:hint="cs"/>
          <w:sz w:val="27"/>
          <w:rtl/>
        </w:rPr>
        <w:t>قال بأن ات</w:t>
      </w:r>
      <w:r w:rsidR="004E3BF3" w:rsidRPr="00282AC9">
        <w:rPr>
          <w:rFonts w:ascii="Mosawi" w:hAnsi="Mosawi" w:hint="cs"/>
          <w:sz w:val="27"/>
          <w:rtl/>
        </w:rPr>
        <w:t>ّ</w:t>
      </w:r>
      <w:r w:rsidRPr="00282AC9">
        <w:rPr>
          <w:rFonts w:ascii="Mosawi" w:hAnsi="Mosawi" w:hint="cs"/>
          <w:sz w:val="27"/>
          <w:rtl/>
        </w:rPr>
        <w:t>صال هذا السند غير معلوم</w:t>
      </w:r>
      <w:r w:rsidR="004E3BF3" w:rsidRPr="00282AC9">
        <w:rPr>
          <w:rFonts w:ascii="Mosawi" w:hAnsi="Mosawi" w:hint="cs"/>
          <w:sz w:val="27"/>
          <w:rtl/>
        </w:rPr>
        <w:t>ٍ؛</w:t>
      </w:r>
      <w:r w:rsidRPr="00282AC9">
        <w:rPr>
          <w:rFonts w:ascii="Mosawi" w:hAnsi="Mosawi" w:hint="cs"/>
          <w:sz w:val="27"/>
          <w:rtl/>
        </w:rPr>
        <w:t xml:space="preserve"> حيث لا ندري هل </w:t>
      </w:r>
      <w:r w:rsidR="004E3BF3" w:rsidRPr="00282AC9">
        <w:rPr>
          <w:rFonts w:ascii="Mosawi" w:hAnsi="Mosawi" w:hint="cs"/>
          <w:sz w:val="27"/>
          <w:rtl/>
        </w:rPr>
        <w:t>(</w:t>
      </w:r>
      <w:r w:rsidRPr="00282AC9">
        <w:rPr>
          <w:rFonts w:ascii="Mosawi" w:hAnsi="Mosawi" w:hint="cs"/>
          <w:sz w:val="27"/>
          <w:rtl/>
        </w:rPr>
        <w:t>سمع</w:t>
      </w:r>
      <w:r w:rsidR="004E3BF3" w:rsidRPr="00282AC9">
        <w:rPr>
          <w:rFonts w:ascii="Mosawi" w:hAnsi="Mosawi" w:hint="cs"/>
          <w:sz w:val="27"/>
          <w:rtl/>
        </w:rPr>
        <w:t>ْ</w:t>
      </w:r>
      <w:r w:rsidRPr="00282AC9">
        <w:rPr>
          <w:rFonts w:ascii="Mosawi" w:hAnsi="Mosawi" w:hint="cs"/>
          <w:sz w:val="27"/>
          <w:rtl/>
        </w:rPr>
        <w:t>ت</w:t>
      </w:r>
      <w:r w:rsidR="004E3BF3" w:rsidRPr="00282AC9">
        <w:rPr>
          <w:rFonts w:ascii="Mosawi" w:hAnsi="Mosawi" w:hint="cs"/>
          <w:sz w:val="27"/>
          <w:rtl/>
        </w:rPr>
        <w:t>ُ</w:t>
      </w:r>
      <w:r w:rsidRPr="00282AC9">
        <w:rPr>
          <w:rFonts w:ascii="Mosawi" w:hAnsi="Mosawi" w:hint="cs"/>
          <w:sz w:val="27"/>
          <w:rtl/>
        </w:rPr>
        <w:t>ه يقول</w:t>
      </w:r>
      <w:r w:rsidR="004E3BF3" w:rsidRPr="00282AC9">
        <w:rPr>
          <w:rFonts w:ascii="Mosawi" w:hAnsi="Mosawi" w:hint="cs"/>
          <w:sz w:val="27"/>
          <w:rtl/>
        </w:rPr>
        <w:t>)</w:t>
      </w:r>
      <w:r w:rsidRPr="00282AC9">
        <w:rPr>
          <w:rFonts w:ascii="Mosawi" w:hAnsi="Mosawi" w:hint="cs"/>
          <w:sz w:val="27"/>
          <w:rtl/>
        </w:rPr>
        <w:t xml:space="preserve"> هو مقول أبي حمزة</w:t>
      </w:r>
      <w:r w:rsidR="000F7492" w:rsidRPr="00282AC9">
        <w:rPr>
          <w:rFonts w:ascii="Mosawi" w:hAnsi="Mosawi" w:hint="cs"/>
          <w:sz w:val="27"/>
          <w:rtl/>
        </w:rPr>
        <w:t>،</w:t>
      </w:r>
      <w:r w:rsidRPr="00282AC9">
        <w:rPr>
          <w:rFonts w:ascii="Mosawi" w:hAnsi="Mosawi" w:hint="cs"/>
          <w:sz w:val="27"/>
          <w:rtl/>
        </w:rPr>
        <w:t xml:space="preserve"> ف</w:t>
      </w:r>
      <w:r w:rsidR="000F7492" w:rsidRPr="00282AC9">
        <w:rPr>
          <w:rFonts w:ascii="Mosawi" w:hAnsi="Mosawi" w:hint="cs"/>
          <w:sz w:val="27"/>
          <w:rtl/>
        </w:rPr>
        <w:t>ي</w:t>
      </w:r>
      <w:r w:rsidRPr="00282AC9">
        <w:rPr>
          <w:rFonts w:ascii="Mosawi" w:hAnsi="Mosawi" w:hint="cs"/>
          <w:sz w:val="27"/>
          <w:rtl/>
        </w:rPr>
        <w:t>كون السند مت</w:t>
      </w:r>
      <w:r w:rsidR="000F7492" w:rsidRPr="00282AC9">
        <w:rPr>
          <w:rFonts w:ascii="Mosawi" w:hAnsi="Mosawi" w:hint="cs"/>
          <w:sz w:val="27"/>
          <w:rtl/>
        </w:rPr>
        <w:t>ّ</w:t>
      </w:r>
      <w:r w:rsidRPr="00282AC9">
        <w:rPr>
          <w:rFonts w:ascii="Mosawi" w:hAnsi="Mosawi" w:hint="cs"/>
          <w:sz w:val="27"/>
          <w:rtl/>
        </w:rPr>
        <w:t>صلاً</w:t>
      </w:r>
      <w:r w:rsidR="000F7492" w:rsidRPr="00282AC9">
        <w:rPr>
          <w:rFonts w:ascii="Mosawi" w:hAnsi="Mosawi" w:hint="cs"/>
          <w:sz w:val="27"/>
          <w:rtl/>
        </w:rPr>
        <w:t>؛</w:t>
      </w:r>
      <w:r w:rsidRPr="00282AC9">
        <w:rPr>
          <w:rFonts w:ascii="Mosawi" w:hAnsi="Mosawi" w:hint="cs"/>
          <w:sz w:val="27"/>
          <w:rtl/>
        </w:rPr>
        <w:t xml:space="preserve"> أو مقول جابر بن عبد</w:t>
      </w:r>
      <w:r w:rsidR="000F7492" w:rsidRPr="00282AC9">
        <w:rPr>
          <w:rFonts w:ascii="Mosawi" w:hAnsi="Mosawi" w:hint="cs"/>
          <w:sz w:val="27"/>
          <w:rtl/>
        </w:rPr>
        <w:t xml:space="preserve"> </w:t>
      </w:r>
      <w:r w:rsidRPr="00282AC9">
        <w:rPr>
          <w:rFonts w:ascii="Mosawi" w:hAnsi="Mosawi" w:hint="cs"/>
          <w:sz w:val="27"/>
          <w:rtl/>
        </w:rPr>
        <w:t>الله</w:t>
      </w:r>
      <w:r w:rsidR="000F7492" w:rsidRPr="00282AC9">
        <w:rPr>
          <w:rFonts w:ascii="Mosawi" w:hAnsi="Mosawi" w:hint="cs"/>
          <w:sz w:val="27"/>
          <w:rtl/>
        </w:rPr>
        <w:t>،</w:t>
      </w:r>
      <w:r w:rsidRPr="00282AC9">
        <w:rPr>
          <w:rFonts w:ascii="Mosawi" w:hAnsi="Mosawi" w:hint="cs"/>
          <w:sz w:val="27"/>
          <w:rtl/>
        </w:rPr>
        <w:t xml:space="preserve"> فيكون السند غير مت</w:t>
      </w:r>
      <w:r w:rsidR="000F7492" w:rsidRPr="00282AC9">
        <w:rPr>
          <w:rFonts w:ascii="Mosawi" w:hAnsi="Mosawi" w:hint="cs"/>
          <w:sz w:val="27"/>
          <w:rtl/>
        </w:rPr>
        <w:t>ّ</w:t>
      </w:r>
      <w:r w:rsidRPr="00282AC9">
        <w:rPr>
          <w:rFonts w:ascii="Mosawi" w:hAnsi="Mosawi" w:hint="cs"/>
          <w:sz w:val="27"/>
          <w:rtl/>
        </w:rPr>
        <w:t>صل</w:t>
      </w:r>
      <w:r w:rsidR="000F7492" w:rsidRPr="00282AC9">
        <w:rPr>
          <w:rFonts w:ascii="Mosawi" w:hAnsi="Mosawi" w:hint="cs"/>
          <w:sz w:val="27"/>
          <w:rtl/>
        </w:rPr>
        <w:t>ٍ؟</w:t>
      </w:r>
      <w:r w:rsidRPr="00282AC9">
        <w:rPr>
          <w:rFonts w:ascii="Mosawi" w:hAnsi="Mosawi" w:hint="cs"/>
          <w:sz w:val="27"/>
          <w:rtl/>
        </w:rPr>
        <w:t xml:space="preserve"> إذ لا ندري مرجع الضمير في </w:t>
      </w:r>
      <w:r w:rsidRPr="00282AC9">
        <w:rPr>
          <w:rFonts w:ascii="Mosawi" w:hAnsi="Mosawi"/>
          <w:sz w:val="24"/>
          <w:szCs w:val="24"/>
          <w:rtl/>
        </w:rPr>
        <w:t>«</w:t>
      </w:r>
      <w:r w:rsidRPr="00282AC9">
        <w:rPr>
          <w:rFonts w:ascii="Mosawi" w:hAnsi="Mosawi" w:hint="cs"/>
          <w:sz w:val="27"/>
          <w:rtl/>
        </w:rPr>
        <w:t>سمعت</w:t>
      </w:r>
      <w:r w:rsidR="000F7492" w:rsidRPr="00282AC9">
        <w:rPr>
          <w:rFonts w:ascii="Mosawi" w:hAnsi="Mosawi" w:hint="cs"/>
          <w:sz w:val="27"/>
          <w:rtl/>
        </w:rPr>
        <w:t>ُ</w:t>
      </w:r>
      <w:r w:rsidRPr="00282AC9">
        <w:rPr>
          <w:rFonts w:ascii="Mosawi" w:hAnsi="Mosawi" w:hint="cs"/>
          <w:sz w:val="27"/>
          <w:rtl/>
        </w:rPr>
        <w:t>ه</w:t>
      </w:r>
      <w:r w:rsidRPr="00282AC9">
        <w:rPr>
          <w:rFonts w:ascii="Mosawi" w:hAnsi="Mosawi"/>
          <w:sz w:val="24"/>
          <w:szCs w:val="24"/>
          <w:rtl/>
        </w:rPr>
        <w:t>»</w:t>
      </w:r>
      <w:r w:rsidR="000F7492" w:rsidRPr="00282AC9">
        <w:rPr>
          <w:rFonts w:ascii="Mosawi" w:hAnsi="Mosawi" w:hint="cs"/>
          <w:sz w:val="27"/>
          <w:rtl/>
        </w:rPr>
        <w:t>،</w:t>
      </w:r>
      <w:r w:rsidRPr="00282AC9">
        <w:rPr>
          <w:rFonts w:ascii="Mosawi" w:hAnsi="Mosawi" w:hint="cs"/>
          <w:sz w:val="27"/>
          <w:rtl/>
        </w:rPr>
        <w:t xml:space="preserve"> فتكون الرواية مضمرة</w:t>
      </w:r>
      <w:r w:rsidR="000F7492" w:rsidRPr="00282AC9">
        <w:rPr>
          <w:rFonts w:ascii="Mosawi" w:hAnsi="Mosawi" w:hint="cs"/>
          <w:sz w:val="27"/>
          <w:rtl/>
        </w:rPr>
        <w:t>ً.</w:t>
      </w:r>
    </w:p>
    <w:p w:rsidR="001153F1" w:rsidRPr="00282AC9" w:rsidRDefault="001153F1" w:rsidP="003E218F">
      <w:pPr>
        <w:rPr>
          <w:rFonts w:ascii="Mosawi" w:hAnsi="Mosawi"/>
          <w:sz w:val="27"/>
          <w:rtl/>
        </w:rPr>
      </w:pPr>
      <w:r w:rsidRPr="00282AC9">
        <w:rPr>
          <w:rFonts w:ascii="Mosawi" w:hAnsi="Mosawi" w:hint="cs"/>
          <w:sz w:val="27"/>
          <w:rtl/>
        </w:rPr>
        <w:t>ولكن</w:t>
      </w:r>
      <w:r w:rsidR="000F7492" w:rsidRPr="00282AC9">
        <w:rPr>
          <w:rFonts w:ascii="Mosawi" w:hAnsi="Mosawi" w:hint="cs"/>
          <w:sz w:val="27"/>
          <w:rtl/>
        </w:rPr>
        <w:t>ْ</w:t>
      </w:r>
      <w:r w:rsidRPr="00282AC9">
        <w:rPr>
          <w:rFonts w:ascii="Mosawi" w:hAnsi="Mosawi" w:hint="cs"/>
          <w:sz w:val="27"/>
          <w:rtl/>
        </w:rPr>
        <w:t xml:space="preserve"> بعد </w:t>
      </w:r>
      <w:r w:rsidR="000F7492" w:rsidRPr="00282AC9">
        <w:rPr>
          <w:rFonts w:ascii="Mosawi" w:hAnsi="Mosawi" w:hint="cs"/>
          <w:sz w:val="27"/>
          <w:rtl/>
        </w:rPr>
        <w:t xml:space="preserve">الرجوع </w:t>
      </w:r>
      <w:r w:rsidRPr="00282AC9">
        <w:rPr>
          <w:rFonts w:ascii="Mosawi" w:hAnsi="Mosawi" w:hint="cs"/>
          <w:sz w:val="27"/>
          <w:rtl/>
        </w:rPr>
        <w:t xml:space="preserve"> إلى الرواية في التهذيب ير</w:t>
      </w:r>
      <w:r w:rsidR="000F7492" w:rsidRPr="00282AC9">
        <w:rPr>
          <w:rFonts w:ascii="Mosawi" w:hAnsi="Mosawi" w:hint="cs"/>
          <w:sz w:val="27"/>
          <w:rtl/>
        </w:rPr>
        <w:t>ت</w:t>
      </w:r>
      <w:r w:rsidRPr="00282AC9">
        <w:rPr>
          <w:rFonts w:ascii="Mosawi" w:hAnsi="Mosawi" w:hint="cs"/>
          <w:sz w:val="27"/>
          <w:rtl/>
        </w:rPr>
        <w:t>فع هذا الإشكال.</w:t>
      </w:r>
    </w:p>
    <w:p w:rsidR="000F7492" w:rsidRPr="00282AC9" w:rsidRDefault="000F7492" w:rsidP="003E218F">
      <w:pPr>
        <w:rPr>
          <w:rFonts w:ascii="Mosawi" w:hAnsi="Mosawi"/>
          <w:sz w:val="27"/>
          <w:rtl/>
        </w:rPr>
      </w:pPr>
      <w:r w:rsidRPr="00282AC9">
        <w:rPr>
          <w:rFonts w:hint="cs"/>
          <w:sz w:val="27"/>
          <w:rtl/>
        </w:rPr>
        <w:t>ف</w:t>
      </w:r>
      <w:r w:rsidR="001153F1" w:rsidRPr="00282AC9">
        <w:rPr>
          <w:rFonts w:hint="cs"/>
          <w:sz w:val="27"/>
          <w:rtl/>
        </w:rPr>
        <w:t>قد ورد هذا الحديث في الكتاب الكافي للكليني</w:t>
      </w:r>
      <w:r w:rsidRPr="00282AC9">
        <w:rPr>
          <w:rFonts w:hint="cs"/>
          <w:sz w:val="27"/>
          <w:rtl/>
        </w:rPr>
        <w:t>،</w:t>
      </w:r>
      <w:r w:rsidR="001153F1" w:rsidRPr="00282AC9">
        <w:rPr>
          <w:rFonts w:hint="cs"/>
          <w:sz w:val="27"/>
          <w:rtl/>
        </w:rPr>
        <w:t xml:space="preserve"> وكذلك نقلها الشيخ الطوسي بطريق</w:t>
      </w:r>
      <w:r w:rsidRPr="00282AC9">
        <w:rPr>
          <w:rFonts w:hint="cs"/>
          <w:sz w:val="27"/>
          <w:rtl/>
        </w:rPr>
        <w:t>ٍ</w:t>
      </w:r>
      <w:r w:rsidR="001153F1" w:rsidRPr="00282AC9">
        <w:rPr>
          <w:rFonts w:hint="cs"/>
          <w:sz w:val="27"/>
          <w:rtl/>
        </w:rPr>
        <w:t xml:space="preserve"> صحيح في التهذيب</w:t>
      </w:r>
      <w:r w:rsidRPr="00282AC9">
        <w:rPr>
          <w:rFonts w:hint="cs"/>
          <w:sz w:val="27"/>
          <w:rtl/>
        </w:rPr>
        <w:t>،</w:t>
      </w:r>
      <w:r w:rsidR="001153F1" w:rsidRPr="00282AC9">
        <w:rPr>
          <w:rFonts w:hint="cs"/>
          <w:sz w:val="27"/>
          <w:rtl/>
        </w:rPr>
        <w:t xml:space="preserve"> والشيخ الصدوق أيضاً نقلها في كتابه مرس</w:t>
      </w:r>
      <w:r w:rsidRPr="00282AC9">
        <w:rPr>
          <w:rFonts w:hint="cs"/>
          <w:sz w:val="27"/>
          <w:rtl/>
        </w:rPr>
        <w:t>َ</w:t>
      </w:r>
      <w:r w:rsidR="001153F1" w:rsidRPr="00282AC9">
        <w:rPr>
          <w:rFonts w:hint="cs"/>
          <w:sz w:val="27"/>
          <w:rtl/>
        </w:rPr>
        <w:t>لاً</w:t>
      </w:r>
      <w:r w:rsidRPr="00282AC9">
        <w:rPr>
          <w:rFonts w:hint="cs"/>
          <w:sz w:val="27"/>
          <w:rtl/>
        </w:rPr>
        <w:t>.</w:t>
      </w:r>
      <w:r w:rsidR="001153F1" w:rsidRPr="00282AC9">
        <w:rPr>
          <w:rFonts w:hint="cs"/>
          <w:sz w:val="27"/>
          <w:rtl/>
        </w:rPr>
        <w:t xml:space="preserve"> ف</w:t>
      </w:r>
      <w:r w:rsidR="001153F1" w:rsidRPr="00282AC9">
        <w:rPr>
          <w:sz w:val="27"/>
          <w:rtl/>
        </w:rPr>
        <w:t>هذا الحديث ورد في الكتب الأربعة</w:t>
      </w:r>
      <w:r w:rsidRPr="00282AC9">
        <w:rPr>
          <w:rFonts w:hint="cs"/>
          <w:sz w:val="27"/>
          <w:rtl/>
        </w:rPr>
        <w:t>،</w:t>
      </w:r>
      <w:r w:rsidR="001153F1" w:rsidRPr="00282AC9">
        <w:rPr>
          <w:rFonts w:hint="cs"/>
          <w:sz w:val="27"/>
          <w:rtl/>
        </w:rPr>
        <w:t xml:space="preserve"> عدا الاستبصار.</w:t>
      </w:r>
    </w:p>
    <w:p w:rsidR="001153F1" w:rsidRPr="00282AC9" w:rsidRDefault="000F7492" w:rsidP="003E218F">
      <w:pPr>
        <w:rPr>
          <w:rFonts w:ascii="Mosawi" w:hAnsi="Mosawi"/>
          <w:sz w:val="27"/>
          <w:rtl/>
        </w:rPr>
      </w:pPr>
      <w:r w:rsidRPr="00282AC9">
        <w:rPr>
          <w:rFonts w:ascii="Mosawi" w:hAnsi="Mosawi" w:hint="cs"/>
          <w:sz w:val="27"/>
          <w:rtl/>
        </w:rPr>
        <w:t>و</w:t>
      </w:r>
      <w:r w:rsidR="001153F1" w:rsidRPr="00282AC9">
        <w:rPr>
          <w:rFonts w:ascii="Mosawi" w:hAnsi="Mosawi" w:hint="cs"/>
          <w:sz w:val="27"/>
          <w:rtl/>
        </w:rPr>
        <w:t xml:space="preserve">يشتمل سند هذه الرواية </w:t>
      </w:r>
      <w:r w:rsidR="001153F1" w:rsidRPr="00282AC9">
        <w:rPr>
          <w:rFonts w:ascii="Cambria" w:hAnsi="Cambria" w:hint="cs"/>
          <w:sz w:val="27"/>
          <w:rtl/>
        </w:rPr>
        <w:t>في الكافي</w:t>
      </w:r>
      <w:r w:rsidR="001153F1" w:rsidRPr="00282AC9">
        <w:rPr>
          <w:rFonts w:ascii="Mosawi" w:hAnsi="Mosawi" w:hint="cs"/>
          <w:sz w:val="27"/>
          <w:rtl/>
        </w:rPr>
        <w:t xml:space="preserve"> على ثلاثة طرق، وهي:</w:t>
      </w:r>
    </w:p>
    <w:p w:rsidR="000F7492" w:rsidRPr="00282AC9" w:rsidRDefault="001153F1" w:rsidP="003E218F">
      <w:pPr>
        <w:rPr>
          <w:rFonts w:ascii="Mosawi" w:hAnsi="Mosawi"/>
          <w:sz w:val="27"/>
          <w:rtl/>
        </w:rPr>
      </w:pPr>
      <w:r w:rsidRPr="00282AC9">
        <w:rPr>
          <w:rFonts w:hint="cs"/>
          <w:b/>
          <w:bCs/>
          <w:sz w:val="27"/>
          <w:rtl/>
        </w:rPr>
        <w:t>الطريق الأو</w:t>
      </w:r>
      <w:r w:rsidR="000F7492" w:rsidRPr="00282AC9">
        <w:rPr>
          <w:rFonts w:hint="cs"/>
          <w:b/>
          <w:bCs/>
          <w:sz w:val="27"/>
          <w:rtl/>
        </w:rPr>
        <w:t>ّ</w:t>
      </w:r>
      <w:r w:rsidRPr="00282AC9">
        <w:rPr>
          <w:rFonts w:hint="cs"/>
          <w:b/>
          <w:bCs/>
          <w:sz w:val="27"/>
          <w:rtl/>
        </w:rPr>
        <w:t>ل</w:t>
      </w:r>
      <w:r w:rsidRPr="00282AC9">
        <w:rPr>
          <w:rFonts w:hint="cs"/>
          <w:sz w:val="27"/>
          <w:rtl/>
        </w:rPr>
        <w:t xml:space="preserve">: </w:t>
      </w:r>
      <w:r w:rsidRPr="00282AC9">
        <w:rPr>
          <w:sz w:val="27"/>
          <w:rtl/>
        </w:rPr>
        <w:t>عد</w:t>
      </w:r>
      <w:r w:rsidR="000F7492" w:rsidRPr="00282AC9">
        <w:rPr>
          <w:rFonts w:hint="cs"/>
          <w:sz w:val="27"/>
          <w:rtl/>
        </w:rPr>
        <w:t>ّ</w:t>
      </w:r>
      <w:r w:rsidRPr="00282AC9">
        <w:rPr>
          <w:sz w:val="27"/>
          <w:rtl/>
        </w:rPr>
        <w:t>ة من أصحابنا</w:t>
      </w:r>
      <w:r w:rsidR="000F7492" w:rsidRPr="00282AC9">
        <w:rPr>
          <w:rFonts w:hint="cs"/>
          <w:sz w:val="27"/>
          <w:rtl/>
        </w:rPr>
        <w:t>،</w:t>
      </w:r>
      <w:r w:rsidRPr="00282AC9">
        <w:rPr>
          <w:sz w:val="27"/>
          <w:rtl/>
        </w:rPr>
        <w:t xml:space="preserve"> عن سهل بن زياد</w:t>
      </w:r>
      <w:r w:rsidR="000F7492" w:rsidRPr="00282AC9">
        <w:rPr>
          <w:rFonts w:hint="cs"/>
          <w:sz w:val="27"/>
          <w:rtl/>
        </w:rPr>
        <w:t xml:space="preserve">، </w:t>
      </w:r>
      <w:r w:rsidRPr="00282AC9">
        <w:rPr>
          <w:sz w:val="27"/>
          <w:rtl/>
        </w:rPr>
        <w:t>عن ابن محبوب</w:t>
      </w:r>
      <w:r w:rsidR="000F7492" w:rsidRPr="00282AC9">
        <w:rPr>
          <w:rFonts w:hint="cs"/>
          <w:sz w:val="27"/>
          <w:rtl/>
        </w:rPr>
        <w:t>،</w:t>
      </w:r>
      <w:r w:rsidRPr="00282AC9">
        <w:rPr>
          <w:sz w:val="27"/>
          <w:rtl/>
        </w:rPr>
        <w:t xml:space="preserve"> عن علي</w:t>
      </w:r>
      <w:r w:rsidR="000F7492" w:rsidRPr="00282AC9">
        <w:rPr>
          <w:rFonts w:hint="cs"/>
          <w:sz w:val="27"/>
          <w:rtl/>
        </w:rPr>
        <w:t>ّ</w:t>
      </w:r>
      <w:r w:rsidRPr="00282AC9">
        <w:rPr>
          <w:sz w:val="27"/>
          <w:rtl/>
        </w:rPr>
        <w:t xml:space="preserve"> بن رئاب</w:t>
      </w:r>
      <w:r w:rsidR="000F7492" w:rsidRPr="00282AC9">
        <w:rPr>
          <w:rFonts w:hint="cs"/>
          <w:sz w:val="27"/>
          <w:rtl/>
        </w:rPr>
        <w:t>،</w:t>
      </w:r>
      <w:r w:rsidRPr="00282AC9">
        <w:rPr>
          <w:sz w:val="27"/>
          <w:rtl/>
        </w:rPr>
        <w:t xml:space="preserve"> عن أبي حمزة</w:t>
      </w:r>
      <w:r w:rsidR="000F7492" w:rsidRPr="00282AC9">
        <w:rPr>
          <w:rFonts w:hint="cs"/>
          <w:sz w:val="27"/>
          <w:rtl/>
        </w:rPr>
        <w:t>،</w:t>
      </w:r>
      <w:r w:rsidRPr="00282AC9">
        <w:rPr>
          <w:sz w:val="27"/>
          <w:rtl/>
        </w:rPr>
        <w:t xml:space="preserve"> عن جابر بن عبد الله</w:t>
      </w:r>
      <w:r w:rsidR="000F7492" w:rsidRPr="00282AC9">
        <w:rPr>
          <w:rFonts w:hint="cs"/>
          <w:sz w:val="27"/>
          <w:rtl/>
        </w:rPr>
        <w:t>،</w:t>
      </w:r>
      <w:r w:rsidRPr="00282AC9">
        <w:rPr>
          <w:rFonts w:hint="cs"/>
          <w:sz w:val="27"/>
          <w:rtl/>
        </w:rPr>
        <w:t xml:space="preserve"> عن رسول الله</w:t>
      </w:r>
      <w:r w:rsidR="009A2A04" w:rsidRPr="00282AC9">
        <w:rPr>
          <w:rFonts w:ascii="Mosawi" w:hAnsi="Mosawi" w:cs="Mosawi"/>
          <w:sz w:val="22"/>
          <w:szCs w:val="22"/>
          <w:rtl/>
        </w:rPr>
        <w:t>|</w:t>
      </w:r>
      <w:r w:rsidR="000F7492" w:rsidRPr="00282AC9">
        <w:rPr>
          <w:rFonts w:ascii="Mosawi" w:hAnsi="Mosawi" w:hint="cs"/>
          <w:sz w:val="27"/>
          <w:rtl/>
        </w:rPr>
        <w:t>.</w:t>
      </w:r>
    </w:p>
    <w:p w:rsidR="001153F1" w:rsidRPr="00282AC9" w:rsidRDefault="001153F1" w:rsidP="003E218F">
      <w:pPr>
        <w:rPr>
          <w:rFonts w:ascii="Mosawi" w:hAnsi="Mosawi"/>
          <w:sz w:val="27"/>
        </w:rPr>
      </w:pPr>
      <w:r w:rsidRPr="00282AC9">
        <w:rPr>
          <w:rFonts w:ascii="Mosawi" w:hAnsi="Mosawi" w:hint="cs"/>
          <w:sz w:val="27"/>
          <w:rtl/>
        </w:rPr>
        <w:t>وهذا الطريق ضعيف</w:t>
      </w:r>
      <w:r w:rsidR="000F7492" w:rsidRPr="00282AC9">
        <w:rPr>
          <w:rFonts w:ascii="Mosawi" w:hAnsi="Mosawi" w:hint="cs"/>
          <w:sz w:val="27"/>
          <w:rtl/>
        </w:rPr>
        <w:t>ٌ؛</w:t>
      </w:r>
      <w:r w:rsidRPr="00282AC9">
        <w:rPr>
          <w:rFonts w:ascii="Mosawi" w:hAnsi="Mosawi" w:hint="cs"/>
          <w:sz w:val="27"/>
          <w:rtl/>
        </w:rPr>
        <w:t xml:space="preserve"> بسبب وجود سهل بن زياد في السند.</w:t>
      </w:r>
    </w:p>
    <w:p w:rsidR="000F7492" w:rsidRPr="00282AC9" w:rsidRDefault="001153F1" w:rsidP="003E218F">
      <w:pPr>
        <w:rPr>
          <w:rFonts w:ascii="Mosawi" w:hAnsi="Mosawi"/>
          <w:sz w:val="27"/>
          <w:rtl/>
        </w:rPr>
      </w:pPr>
      <w:r w:rsidRPr="00282AC9">
        <w:rPr>
          <w:rFonts w:ascii="Cambria" w:hAnsi="Cambria" w:hint="cs"/>
          <w:b/>
          <w:bCs/>
          <w:sz w:val="27"/>
          <w:rtl/>
        </w:rPr>
        <w:t>الطريق الثاني</w:t>
      </w:r>
      <w:r w:rsidRPr="00282AC9">
        <w:rPr>
          <w:rFonts w:ascii="Cambria" w:hAnsi="Cambria" w:hint="cs"/>
          <w:sz w:val="27"/>
          <w:rtl/>
        </w:rPr>
        <w:t xml:space="preserve">: </w:t>
      </w:r>
      <w:r w:rsidRPr="00282AC9">
        <w:rPr>
          <w:sz w:val="27"/>
          <w:rtl/>
        </w:rPr>
        <w:t>محمد بن يحيى</w:t>
      </w:r>
      <w:r w:rsidR="000F7492" w:rsidRPr="00282AC9">
        <w:rPr>
          <w:rFonts w:hint="cs"/>
          <w:sz w:val="27"/>
          <w:rtl/>
        </w:rPr>
        <w:t>،</w:t>
      </w:r>
      <w:r w:rsidRPr="00282AC9">
        <w:rPr>
          <w:sz w:val="27"/>
          <w:rtl/>
        </w:rPr>
        <w:t xml:space="preserve"> عن أحمد بن محمد</w:t>
      </w:r>
      <w:r w:rsidR="000F7492" w:rsidRPr="00282AC9">
        <w:rPr>
          <w:rFonts w:hint="cs"/>
          <w:sz w:val="27"/>
          <w:rtl/>
        </w:rPr>
        <w:t>،</w:t>
      </w:r>
      <w:r w:rsidRPr="00282AC9">
        <w:rPr>
          <w:sz w:val="27"/>
          <w:rtl/>
        </w:rPr>
        <w:t xml:space="preserve"> عن ابن محبوب</w:t>
      </w:r>
      <w:r w:rsidR="000F7492" w:rsidRPr="00282AC9">
        <w:rPr>
          <w:rFonts w:hint="cs"/>
          <w:sz w:val="27"/>
          <w:rtl/>
        </w:rPr>
        <w:t>،</w:t>
      </w:r>
      <w:r w:rsidRPr="00282AC9">
        <w:rPr>
          <w:sz w:val="27"/>
          <w:rtl/>
        </w:rPr>
        <w:t xml:space="preserve"> عن علي</w:t>
      </w:r>
      <w:r w:rsidR="000F7492" w:rsidRPr="00282AC9">
        <w:rPr>
          <w:rFonts w:hint="cs"/>
          <w:sz w:val="27"/>
          <w:rtl/>
        </w:rPr>
        <w:t>ّ</w:t>
      </w:r>
      <w:r w:rsidRPr="00282AC9">
        <w:rPr>
          <w:sz w:val="27"/>
          <w:rtl/>
        </w:rPr>
        <w:t xml:space="preserve"> بن رئاب</w:t>
      </w:r>
      <w:r w:rsidR="000F7492" w:rsidRPr="00282AC9">
        <w:rPr>
          <w:rFonts w:hint="cs"/>
          <w:sz w:val="27"/>
          <w:rtl/>
        </w:rPr>
        <w:t>،</w:t>
      </w:r>
      <w:r w:rsidRPr="00282AC9">
        <w:rPr>
          <w:sz w:val="27"/>
          <w:rtl/>
        </w:rPr>
        <w:t xml:space="preserve"> عن أبي حمزة</w:t>
      </w:r>
      <w:r w:rsidR="000F7492" w:rsidRPr="00282AC9">
        <w:rPr>
          <w:rFonts w:hint="cs"/>
          <w:sz w:val="27"/>
          <w:rtl/>
        </w:rPr>
        <w:t>،</w:t>
      </w:r>
      <w:r w:rsidRPr="00282AC9">
        <w:rPr>
          <w:sz w:val="27"/>
          <w:rtl/>
        </w:rPr>
        <w:t xml:space="preserve"> عن جابر بن عبد الله</w:t>
      </w:r>
      <w:r w:rsidR="000F7492" w:rsidRPr="00282AC9">
        <w:rPr>
          <w:rFonts w:hint="cs"/>
          <w:sz w:val="27"/>
          <w:rtl/>
        </w:rPr>
        <w:t>،</w:t>
      </w:r>
      <w:r w:rsidRPr="00282AC9">
        <w:rPr>
          <w:rFonts w:hint="cs"/>
          <w:sz w:val="27"/>
          <w:rtl/>
        </w:rPr>
        <w:t xml:space="preserve"> عن رسول الله</w:t>
      </w:r>
      <w:r w:rsidR="009A2A04" w:rsidRPr="00282AC9">
        <w:rPr>
          <w:rFonts w:ascii="Mosawi" w:hAnsi="Mosawi" w:cs="Mosawi"/>
          <w:sz w:val="22"/>
          <w:szCs w:val="22"/>
          <w:rtl/>
        </w:rPr>
        <w:t>|</w:t>
      </w:r>
      <w:r w:rsidR="000F7492" w:rsidRPr="00282AC9">
        <w:rPr>
          <w:rFonts w:ascii="Mosawi" w:hAnsi="Mosawi" w:hint="cs"/>
          <w:sz w:val="27"/>
          <w:rtl/>
        </w:rPr>
        <w:t>.</w:t>
      </w:r>
    </w:p>
    <w:p w:rsidR="001153F1" w:rsidRPr="00282AC9" w:rsidRDefault="001153F1" w:rsidP="003E218F">
      <w:pPr>
        <w:rPr>
          <w:rFonts w:ascii="Mosawi" w:hAnsi="Mosawi"/>
          <w:sz w:val="27"/>
        </w:rPr>
      </w:pPr>
      <w:r w:rsidRPr="00282AC9">
        <w:rPr>
          <w:rFonts w:ascii="Mosawi" w:hAnsi="Mosawi" w:hint="cs"/>
          <w:sz w:val="27"/>
          <w:rtl/>
        </w:rPr>
        <w:t>وهذا الطريق صحيح</w:t>
      </w:r>
      <w:r w:rsidR="000F7492" w:rsidRPr="00282AC9">
        <w:rPr>
          <w:rFonts w:ascii="Mosawi" w:hAnsi="Mosawi" w:hint="cs"/>
          <w:sz w:val="27"/>
          <w:rtl/>
        </w:rPr>
        <w:t>ٌ</w:t>
      </w:r>
      <w:r w:rsidRPr="00282AC9">
        <w:rPr>
          <w:rFonts w:ascii="Mosawi" w:hAnsi="Mosawi" w:hint="cs"/>
          <w:sz w:val="27"/>
          <w:rtl/>
        </w:rPr>
        <w:t xml:space="preserve"> لا غبار عليه.</w:t>
      </w:r>
    </w:p>
    <w:p w:rsidR="000F7492" w:rsidRPr="00282AC9" w:rsidRDefault="001153F1" w:rsidP="003E218F">
      <w:pPr>
        <w:rPr>
          <w:rFonts w:ascii="Mosawi" w:hAnsi="Mosawi"/>
          <w:sz w:val="27"/>
          <w:rtl/>
        </w:rPr>
      </w:pPr>
      <w:r w:rsidRPr="00282AC9">
        <w:rPr>
          <w:rFonts w:hint="cs"/>
          <w:b/>
          <w:bCs/>
          <w:sz w:val="27"/>
          <w:rtl/>
        </w:rPr>
        <w:t>الطريق الثالث</w:t>
      </w:r>
      <w:r w:rsidRPr="00282AC9">
        <w:rPr>
          <w:rFonts w:hint="cs"/>
          <w:sz w:val="27"/>
          <w:rtl/>
        </w:rPr>
        <w:t xml:space="preserve">: </w:t>
      </w:r>
      <w:r w:rsidRPr="00282AC9">
        <w:rPr>
          <w:sz w:val="27"/>
          <w:rtl/>
        </w:rPr>
        <w:t>علي</w:t>
      </w:r>
      <w:r w:rsidR="000F7492" w:rsidRPr="00282AC9">
        <w:rPr>
          <w:rFonts w:hint="cs"/>
          <w:sz w:val="27"/>
          <w:rtl/>
        </w:rPr>
        <w:t>ّ</w:t>
      </w:r>
      <w:r w:rsidRPr="00282AC9">
        <w:rPr>
          <w:sz w:val="27"/>
          <w:rtl/>
        </w:rPr>
        <w:t xml:space="preserve"> بن إبراهيم</w:t>
      </w:r>
      <w:r w:rsidR="000F7492" w:rsidRPr="00282AC9">
        <w:rPr>
          <w:rFonts w:hint="cs"/>
          <w:sz w:val="27"/>
          <w:rtl/>
        </w:rPr>
        <w:t>،</w:t>
      </w:r>
      <w:r w:rsidRPr="00282AC9">
        <w:rPr>
          <w:sz w:val="27"/>
          <w:rtl/>
        </w:rPr>
        <w:t xml:space="preserve"> عن أبيه</w:t>
      </w:r>
      <w:r w:rsidR="000F7492" w:rsidRPr="00282AC9">
        <w:rPr>
          <w:rFonts w:hint="cs"/>
          <w:sz w:val="27"/>
          <w:rtl/>
        </w:rPr>
        <w:t>،</w:t>
      </w:r>
      <w:r w:rsidRPr="00282AC9">
        <w:rPr>
          <w:sz w:val="27"/>
          <w:rtl/>
        </w:rPr>
        <w:t xml:space="preserve"> عن ابن محبوب</w:t>
      </w:r>
      <w:r w:rsidR="000F7492" w:rsidRPr="00282AC9">
        <w:rPr>
          <w:rFonts w:hint="cs"/>
          <w:sz w:val="27"/>
          <w:rtl/>
        </w:rPr>
        <w:t>،</w:t>
      </w:r>
      <w:r w:rsidRPr="00282AC9">
        <w:rPr>
          <w:sz w:val="27"/>
          <w:rtl/>
        </w:rPr>
        <w:t xml:space="preserve"> عن علي</w:t>
      </w:r>
      <w:r w:rsidR="000F7492" w:rsidRPr="00282AC9">
        <w:rPr>
          <w:rFonts w:hint="cs"/>
          <w:sz w:val="27"/>
          <w:rtl/>
        </w:rPr>
        <w:t>ّ</w:t>
      </w:r>
      <w:r w:rsidRPr="00282AC9">
        <w:rPr>
          <w:sz w:val="27"/>
          <w:rtl/>
        </w:rPr>
        <w:t xml:space="preserve"> بن رئاب</w:t>
      </w:r>
      <w:r w:rsidR="000F7492" w:rsidRPr="00282AC9">
        <w:rPr>
          <w:rFonts w:hint="cs"/>
          <w:sz w:val="27"/>
          <w:rtl/>
        </w:rPr>
        <w:t>،</w:t>
      </w:r>
      <w:r w:rsidRPr="00282AC9">
        <w:rPr>
          <w:sz w:val="27"/>
          <w:rtl/>
        </w:rPr>
        <w:t xml:space="preserve"> عن أبي حمزة</w:t>
      </w:r>
      <w:r w:rsidR="000F7492" w:rsidRPr="00282AC9">
        <w:rPr>
          <w:rFonts w:hint="cs"/>
          <w:sz w:val="27"/>
          <w:rtl/>
        </w:rPr>
        <w:t>،</w:t>
      </w:r>
      <w:r w:rsidRPr="00282AC9">
        <w:rPr>
          <w:sz w:val="27"/>
          <w:rtl/>
        </w:rPr>
        <w:t xml:space="preserve"> عن جابر بن عبد الله</w:t>
      </w:r>
      <w:r w:rsidR="000F7492" w:rsidRPr="00282AC9">
        <w:rPr>
          <w:rFonts w:hint="cs"/>
          <w:sz w:val="27"/>
          <w:rtl/>
        </w:rPr>
        <w:t>،</w:t>
      </w:r>
      <w:r w:rsidRPr="00282AC9">
        <w:rPr>
          <w:rFonts w:hint="cs"/>
          <w:sz w:val="27"/>
          <w:rtl/>
        </w:rPr>
        <w:t xml:space="preserve"> عن رسول الله</w:t>
      </w:r>
      <w:r w:rsidR="009A2A04" w:rsidRPr="00282AC9">
        <w:rPr>
          <w:rFonts w:ascii="Mosawi" w:hAnsi="Mosawi" w:cs="Mosawi"/>
          <w:sz w:val="22"/>
          <w:szCs w:val="22"/>
          <w:rtl/>
        </w:rPr>
        <w:t>|</w:t>
      </w:r>
      <w:r w:rsidRPr="00282AC9">
        <w:rPr>
          <w:rFonts w:ascii="Mosawi" w:hAnsi="Mosawi" w:hint="cs"/>
          <w:sz w:val="27"/>
          <w:rtl/>
        </w:rPr>
        <w:t>.</w:t>
      </w:r>
    </w:p>
    <w:p w:rsidR="001153F1" w:rsidRPr="00282AC9" w:rsidRDefault="001153F1" w:rsidP="003E218F">
      <w:pPr>
        <w:rPr>
          <w:rFonts w:ascii="Mosawi" w:hAnsi="Mosawi"/>
          <w:sz w:val="27"/>
          <w:lang w:bidi="fa-IR"/>
        </w:rPr>
      </w:pPr>
      <w:r w:rsidRPr="00282AC9">
        <w:rPr>
          <w:rFonts w:ascii="Mosawi" w:hAnsi="Mosawi" w:hint="cs"/>
          <w:sz w:val="27"/>
          <w:rtl/>
        </w:rPr>
        <w:t>وهذا الطريق مختلفٌ فيه</w:t>
      </w:r>
      <w:r w:rsidR="000F7492" w:rsidRPr="00282AC9">
        <w:rPr>
          <w:rFonts w:ascii="Mosawi" w:hAnsi="Mosawi" w:hint="cs"/>
          <w:sz w:val="27"/>
          <w:rtl/>
        </w:rPr>
        <w:t>؛</w:t>
      </w:r>
      <w:r w:rsidRPr="00282AC9">
        <w:rPr>
          <w:rFonts w:ascii="Mosawi" w:hAnsi="Mosawi" w:hint="cs"/>
          <w:sz w:val="27"/>
          <w:rtl/>
        </w:rPr>
        <w:t xml:space="preserve"> بسبب اشتماله على إبراهيم بن هاشم.</w:t>
      </w:r>
    </w:p>
    <w:p w:rsidR="00DA6FB6" w:rsidRPr="00282AC9" w:rsidRDefault="000F7492" w:rsidP="003E218F">
      <w:pPr>
        <w:rPr>
          <w:sz w:val="27"/>
          <w:rtl/>
        </w:rPr>
      </w:pPr>
      <w:r w:rsidRPr="00282AC9">
        <w:rPr>
          <w:rFonts w:hint="cs"/>
          <w:sz w:val="27"/>
          <w:rtl/>
        </w:rPr>
        <w:t>و</w:t>
      </w:r>
      <w:r w:rsidR="001153F1" w:rsidRPr="00282AC9">
        <w:rPr>
          <w:rFonts w:hint="cs"/>
          <w:sz w:val="27"/>
          <w:rtl/>
        </w:rPr>
        <w:t xml:space="preserve">ثمّة </w:t>
      </w:r>
      <w:r w:rsidR="001153F1" w:rsidRPr="00282AC9">
        <w:rPr>
          <w:sz w:val="27"/>
          <w:rtl/>
        </w:rPr>
        <w:t>خلاف</w:t>
      </w:r>
      <w:r w:rsidR="001153F1" w:rsidRPr="00282AC9">
        <w:rPr>
          <w:rFonts w:hint="cs"/>
          <w:sz w:val="27"/>
          <w:rtl/>
        </w:rPr>
        <w:t>ٌ</w:t>
      </w:r>
      <w:r w:rsidR="001153F1" w:rsidRPr="00282AC9">
        <w:rPr>
          <w:sz w:val="27"/>
          <w:rtl/>
        </w:rPr>
        <w:t xml:space="preserve"> في توثيق أبي حمزة الثمالي</w:t>
      </w:r>
      <w:r w:rsidRPr="00282AC9">
        <w:rPr>
          <w:rFonts w:hint="cs"/>
          <w:sz w:val="27"/>
          <w:rtl/>
        </w:rPr>
        <w:t>؛</w:t>
      </w:r>
      <w:r w:rsidR="001153F1" w:rsidRPr="00282AC9">
        <w:rPr>
          <w:sz w:val="27"/>
          <w:rtl/>
        </w:rPr>
        <w:t xml:space="preserve"> وبعضهم </w:t>
      </w:r>
      <w:r w:rsidRPr="00282AC9">
        <w:rPr>
          <w:rFonts w:hint="cs"/>
          <w:sz w:val="27"/>
          <w:rtl/>
        </w:rPr>
        <w:t xml:space="preserve">ـ </w:t>
      </w:r>
      <w:r w:rsidR="001153F1" w:rsidRPr="00282AC9">
        <w:rPr>
          <w:sz w:val="27"/>
          <w:rtl/>
        </w:rPr>
        <w:t xml:space="preserve">كالبهبودي والكثير من </w:t>
      </w:r>
      <w:r w:rsidR="001153F1" w:rsidRPr="00282AC9">
        <w:rPr>
          <w:sz w:val="27"/>
          <w:rtl/>
        </w:rPr>
        <w:lastRenderedPageBreak/>
        <w:t>أهل السن</w:t>
      </w:r>
      <w:r w:rsidRPr="00282AC9">
        <w:rPr>
          <w:rFonts w:hint="cs"/>
          <w:sz w:val="27"/>
          <w:rtl/>
        </w:rPr>
        <w:t>ّ</w:t>
      </w:r>
      <w:r w:rsidR="001153F1" w:rsidRPr="00282AC9">
        <w:rPr>
          <w:sz w:val="27"/>
          <w:rtl/>
        </w:rPr>
        <w:t xml:space="preserve">ة </w:t>
      </w:r>
      <w:r w:rsidRPr="00282AC9">
        <w:rPr>
          <w:rFonts w:hint="cs"/>
          <w:sz w:val="27"/>
          <w:rtl/>
        </w:rPr>
        <w:t xml:space="preserve">ـ </w:t>
      </w:r>
      <w:r w:rsidR="001153F1" w:rsidRPr="00282AC9">
        <w:rPr>
          <w:sz w:val="27"/>
          <w:rtl/>
        </w:rPr>
        <w:t>أنكر وثاقته</w:t>
      </w:r>
      <w:r w:rsidRPr="00282AC9">
        <w:rPr>
          <w:rFonts w:hint="cs"/>
          <w:sz w:val="27"/>
          <w:rtl/>
        </w:rPr>
        <w:t>؛</w:t>
      </w:r>
      <w:r w:rsidR="001153F1" w:rsidRPr="00282AC9">
        <w:rPr>
          <w:sz w:val="27"/>
          <w:rtl/>
        </w:rPr>
        <w:t xml:space="preserve"> لما ورد من شربه النبيذ</w:t>
      </w:r>
      <w:r w:rsidR="001153F1" w:rsidRPr="00282AC9">
        <w:rPr>
          <w:sz w:val="27"/>
          <w:vertAlign w:val="superscript"/>
          <w:rtl/>
        </w:rPr>
        <w:t>(</w:t>
      </w:r>
      <w:r w:rsidR="001153F1" w:rsidRPr="00282AC9">
        <w:rPr>
          <w:rStyle w:val="af9"/>
          <w:sz w:val="27"/>
          <w:rtl/>
        </w:rPr>
        <w:endnoteReference w:id="654"/>
      </w:r>
      <w:r w:rsidR="001153F1" w:rsidRPr="00282AC9">
        <w:rPr>
          <w:sz w:val="27"/>
          <w:vertAlign w:val="superscript"/>
          <w:rtl/>
        </w:rPr>
        <w:t>)</w:t>
      </w:r>
      <w:r w:rsidRPr="00282AC9">
        <w:rPr>
          <w:rFonts w:hint="cs"/>
          <w:sz w:val="27"/>
          <w:rtl/>
        </w:rPr>
        <w:t>.</w:t>
      </w:r>
      <w:r w:rsidR="001153F1" w:rsidRPr="00282AC9">
        <w:rPr>
          <w:rFonts w:hint="cs"/>
          <w:sz w:val="27"/>
          <w:rtl/>
        </w:rPr>
        <w:t xml:space="preserve"> وهذا</w:t>
      </w:r>
      <w:r w:rsidRPr="00282AC9">
        <w:rPr>
          <w:rFonts w:hint="cs"/>
          <w:sz w:val="27"/>
          <w:rtl/>
        </w:rPr>
        <w:t>،</w:t>
      </w:r>
      <w:r w:rsidR="001153F1" w:rsidRPr="00282AC9">
        <w:rPr>
          <w:rFonts w:hint="cs"/>
          <w:sz w:val="27"/>
          <w:rtl/>
        </w:rPr>
        <w:t xml:space="preserve"> إضافةً إلى عدم الوثوق بثبوته في حقّ الثمالي</w:t>
      </w:r>
      <w:r w:rsidRPr="00282AC9">
        <w:rPr>
          <w:rFonts w:hint="cs"/>
          <w:sz w:val="27"/>
          <w:rtl/>
        </w:rPr>
        <w:t>ّ</w:t>
      </w:r>
      <w:r w:rsidR="009B4A16" w:rsidRPr="00282AC9">
        <w:rPr>
          <w:rFonts w:hint="cs"/>
          <w:sz w:val="27"/>
          <w:rtl/>
        </w:rPr>
        <w:t>،</w:t>
      </w:r>
      <w:r w:rsidR="001153F1" w:rsidRPr="00282AC9">
        <w:rPr>
          <w:rFonts w:hint="cs"/>
          <w:sz w:val="27"/>
          <w:rtl/>
        </w:rPr>
        <w:t xml:space="preserve"> لن يضرّ بوثاقته في الحديث</w:t>
      </w:r>
      <w:r w:rsidR="009B4A16" w:rsidRPr="00282AC9">
        <w:rPr>
          <w:rFonts w:hint="cs"/>
          <w:sz w:val="27"/>
          <w:rtl/>
        </w:rPr>
        <w:t>،</w:t>
      </w:r>
      <w:r w:rsidR="001153F1" w:rsidRPr="00282AC9">
        <w:rPr>
          <w:rFonts w:hint="cs"/>
          <w:sz w:val="27"/>
          <w:rtl/>
        </w:rPr>
        <w:t xml:space="preserve"> إلا</w:t>
      </w:r>
      <w:r w:rsidR="009B4A16" w:rsidRPr="00282AC9">
        <w:rPr>
          <w:rFonts w:hint="cs"/>
          <w:sz w:val="27"/>
          <w:rtl/>
        </w:rPr>
        <w:t>ّ</w:t>
      </w:r>
      <w:r w:rsidR="001153F1" w:rsidRPr="00282AC9">
        <w:rPr>
          <w:rFonts w:hint="cs"/>
          <w:sz w:val="27"/>
          <w:rtl/>
        </w:rPr>
        <w:t xml:space="preserve"> في</w:t>
      </w:r>
      <w:r w:rsidR="009B4A16" w:rsidRPr="00282AC9">
        <w:rPr>
          <w:rFonts w:hint="cs"/>
          <w:sz w:val="27"/>
          <w:rtl/>
        </w:rPr>
        <w:t xml:space="preserve"> </w:t>
      </w:r>
      <w:r w:rsidR="001153F1" w:rsidRPr="00282AC9">
        <w:rPr>
          <w:rFonts w:hint="cs"/>
          <w:sz w:val="27"/>
          <w:rtl/>
        </w:rPr>
        <w:t>ما يتعلّ</w:t>
      </w:r>
      <w:r w:rsidR="009B4A16" w:rsidRPr="00282AC9">
        <w:rPr>
          <w:rFonts w:hint="cs"/>
          <w:sz w:val="27"/>
          <w:rtl/>
        </w:rPr>
        <w:t>َ</w:t>
      </w:r>
      <w:r w:rsidR="001153F1" w:rsidRPr="00282AC9">
        <w:rPr>
          <w:rFonts w:hint="cs"/>
          <w:sz w:val="27"/>
          <w:rtl/>
        </w:rPr>
        <w:t>ق بالنبيذ</w:t>
      </w:r>
      <w:r w:rsidR="009B4A16" w:rsidRPr="00282AC9">
        <w:rPr>
          <w:rFonts w:hint="cs"/>
          <w:sz w:val="27"/>
          <w:rtl/>
        </w:rPr>
        <w:t>.</w:t>
      </w:r>
      <w:r w:rsidR="001153F1" w:rsidRPr="00282AC9">
        <w:rPr>
          <w:rFonts w:hint="cs"/>
          <w:sz w:val="27"/>
          <w:rtl/>
        </w:rPr>
        <w:t xml:space="preserve"> وقد يرجع هذا إلى خلاف</w:t>
      </w:r>
      <w:r w:rsidR="009B4A16" w:rsidRPr="00282AC9">
        <w:rPr>
          <w:rFonts w:hint="cs"/>
          <w:sz w:val="27"/>
          <w:rtl/>
        </w:rPr>
        <w:t>ٍ</w:t>
      </w:r>
      <w:r w:rsidR="001153F1" w:rsidRPr="00282AC9">
        <w:rPr>
          <w:rFonts w:hint="cs"/>
          <w:sz w:val="27"/>
          <w:rtl/>
        </w:rPr>
        <w:t xml:space="preserve"> فقهي</w:t>
      </w:r>
      <w:r w:rsidR="009B4A16" w:rsidRPr="00282AC9">
        <w:rPr>
          <w:rFonts w:hint="cs"/>
          <w:sz w:val="27"/>
          <w:rtl/>
        </w:rPr>
        <w:t>ّ؛</w:t>
      </w:r>
      <w:r w:rsidR="001153F1" w:rsidRPr="00282AC9">
        <w:rPr>
          <w:rFonts w:hint="cs"/>
          <w:sz w:val="27"/>
          <w:rtl/>
        </w:rPr>
        <w:t xml:space="preserve"> حيث نجد بعض الفقهاء في التاريخ كانوا يجيزون شرب النبيذ</w:t>
      </w:r>
      <w:r w:rsidR="009B4A16" w:rsidRPr="00282AC9">
        <w:rPr>
          <w:rFonts w:hint="cs"/>
          <w:sz w:val="27"/>
          <w:rtl/>
        </w:rPr>
        <w:t>،</w:t>
      </w:r>
      <w:r w:rsidR="001153F1" w:rsidRPr="00282AC9">
        <w:rPr>
          <w:rFonts w:hint="cs"/>
          <w:sz w:val="27"/>
          <w:rtl/>
        </w:rPr>
        <w:t xml:space="preserve"> فلعل</w:t>
      </w:r>
      <w:r w:rsidR="009B4A16" w:rsidRPr="00282AC9">
        <w:rPr>
          <w:rFonts w:hint="cs"/>
          <w:sz w:val="27"/>
          <w:rtl/>
        </w:rPr>
        <w:t>ّ</w:t>
      </w:r>
      <w:r w:rsidR="001153F1" w:rsidRPr="00282AC9">
        <w:rPr>
          <w:rFonts w:hint="cs"/>
          <w:sz w:val="27"/>
          <w:rtl/>
        </w:rPr>
        <w:t>ه كان مم</w:t>
      </w:r>
      <w:r w:rsidR="009B4A16" w:rsidRPr="00282AC9">
        <w:rPr>
          <w:rFonts w:hint="cs"/>
          <w:sz w:val="27"/>
          <w:rtl/>
        </w:rPr>
        <w:t>َّ</w:t>
      </w:r>
      <w:r w:rsidR="001153F1" w:rsidRPr="00282AC9">
        <w:rPr>
          <w:rFonts w:hint="cs"/>
          <w:sz w:val="27"/>
          <w:rtl/>
        </w:rPr>
        <w:t>ن</w:t>
      </w:r>
      <w:r w:rsidR="009B4A16" w:rsidRPr="00282AC9">
        <w:rPr>
          <w:rFonts w:hint="cs"/>
          <w:sz w:val="27"/>
          <w:rtl/>
        </w:rPr>
        <w:t>ْ</w:t>
      </w:r>
      <w:r w:rsidR="001153F1" w:rsidRPr="00282AC9">
        <w:rPr>
          <w:rFonts w:hint="cs"/>
          <w:sz w:val="27"/>
          <w:rtl/>
        </w:rPr>
        <w:t xml:space="preserve"> يجيز شربه</w:t>
      </w:r>
      <w:r w:rsidR="009B4A16" w:rsidRPr="00282AC9">
        <w:rPr>
          <w:rFonts w:hint="cs"/>
          <w:sz w:val="27"/>
          <w:rtl/>
        </w:rPr>
        <w:t>؛</w:t>
      </w:r>
      <w:r w:rsidR="001153F1" w:rsidRPr="00282AC9">
        <w:rPr>
          <w:rFonts w:hint="cs"/>
          <w:sz w:val="27"/>
          <w:rtl/>
        </w:rPr>
        <w:t xml:space="preserve"> انطلاقاً من مقاربة</w:t>
      </w:r>
      <w:r w:rsidR="009B4A16" w:rsidRPr="00282AC9">
        <w:rPr>
          <w:rFonts w:hint="cs"/>
          <w:sz w:val="27"/>
          <w:rtl/>
        </w:rPr>
        <w:t>ٍ</w:t>
      </w:r>
      <w:r w:rsidR="001153F1" w:rsidRPr="00282AC9">
        <w:rPr>
          <w:rFonts w:hint="cs"/>
          <w:sz w:val="27"/>
          <w:rtl/>
        </w:rPr>
        <w:t xml:space="preserve"> فقهية</w:t>
      </w:r>
      <w:r w:rsidR="009B4A16" w:rsidRPr="00282AC9">
        <w:rPr>
          <w:rFonts w:hint="cs"/>
          <w:sz w:val="27"/>
          <w:rtl/>
        </w:rPr>
        <w:t>.</w:t>
      </w:r>
      <w:r w:rsidR="001153F1" w:rsidRPr="00282AC9">
        <w:rPr>
          <w:rFonts w:hint="cs"/>
          <w:sz w:val="27"/>
          <w:rtl/>
        </w:rPr>
        <w:t xml:space="preserve"> فلا يمكن تضعيف الثمالي بعد ثبوت وثاقته بتصريح النصوص الرجالية</w:t>
      </w:r>
      <w:r w:rsidR="009B4A16" w:rsidRPr="00282AC9">
        <w:rPr>
          <w:rFonts w:hint="cs"/>
          <w:sz w:val="27"/>
          <w:rtl/>
        </w:rPr>
        <w:t>؛</w:t>
      </w:r>
      <w:r w:rsidR="001153F1" w:rsidRPr="00282AC9">
        <w:rPr>
          <w:rFonts w:hint="cs"/>
          <w:sz w:val="27"/>
          <w:rtl/>
        </w:rPr>
        <w:t xml:space="preserve"> استناداً لما ورد من شربه النبيذ</w:t>
      </w:r>
      <w:r w:rsidR="009B4A16" w:rsidRPr="00282AC9">
        <w:rPr>
          <w:rFonts w:hint="cs"/>
          <w:sz w:val="27"/>
          <w:rtl/>
        </w:rPr>
        <w:t>.</w:t>
      </w:r>
      <w:r w:rsidR="001153F1" w:rsidRPr="00282AC9">
        <w:rPr>
          <w:rFonts w:hint="cs"/>
          <w:sz w:val="27"/>
          <w:rtl/>
        </w:rPr>
        <w:t xml:space="preserve"> فتكون الرواية من النا</w:t>
      </w:r>
      <w:r w:rsidR="00DA6FB6" w:rsidRPr="00282AC9">
        <w:rPr>
          <w:rFonts w:hint="cs"/>
          <w:sz w:val="27"/>
          <w:rtl/>
        </w:rPr>
        <w:t>حية السندي</w:t>
      </w:r>
      <w:r w:rsidR="009B4A16" w:rsidRPr="00282AC9">
        <w:rPr>
          <w:rFonts w:hint="cs"/>
          <w:sz w:val="27"/>
          <w:rtl/>
        </w:rPr>
        <w:t>ّ</w:t>
      </w:r>
      <w:r w:rsidR="00DA6FB6" w:rsidRPr="00282AC9">
        <w:rPr>
          <w:rFonts w:hint="cs"/>
          <w:sz w:val="27"/>
          <w:rtl/>
        </w:rPr>
        <w:t>ة تامّة</w:t>
      </w:r>
      <w:r w:rsidR="009B4A16" w:rsidRPr="00282AC9">
        <w:rPr>
          <w:rFonts w:hint="cs"/>
          <w:sz w:val="27"/>
          <w:rtl/>
        </w:rPr>
        <w:t>ً،</w:t>
      </w:r>
      <w:r w:rsidR="00DA6FB6" w:rsidRPr="00282AC9">
        <w:rPr>
          <w:rFonts w:hint="cs"/>
          <w:sz w:val="27"/>
          <w:rtl/>
        </w:rPr>
        <w:t xml:space="preserve"> لا غبار عليه</w:t>
      </w:r>
      <w:r w:rsidR="009B4A16" w:rsidRPr="00282AC9">
        <w:rPr>
          <w:rFonts w:hint="cs"/>
          <w:sz w:val="27"/>
          <w:rtl/>
        </w:rPr>
        <w:t>ا</w:t>
      </w:r>
      <w:r w:rsidR="00DA6FB6" w:rsidRPr="00282AC9">
        <w:rPr>
          <w:rFonts w:hint="cs"/>
          <w:sz w:val="27"/>
          <w:rtl/>
        </w:rPr>
        <w:t>.</w:t>
      </w:r>
    </w:p>
    <w:p w:rsidR="001153F1" w:rsidRPr="00282AC9" w:rsidRDefault="001153F1" w:rsidP="003E218F">
      <w:pPr>
        <w:rPr>
          <w:b/>
          <w:bCs/>
          <w:rtl/>
        </w:rPr>
      </w:pPr>
      <w:r w:rsidRPr="00282AC9">
        <w:rPr>
          <w:rFonts w:hint="cs"/>
          <w:b/>
          <w:bCs/>
          <w:rtl/>
        </w:rPr>
        <w:t xml:space="preserve">ب ـ </w:t>
      </w:r>
      <w:r w:rsidRPr="00282AC9">
        <w:rPr>
          <w:b/>
          <w:bCs/>
          <w:rtl/>
        </w:rPr>
        <w:t>الدراسة الدلالي</w:t>
      </w:r>
      <w:r w:rsidR="009B4A16" w:rsidRPr="00282AC9">
        <w:rPr>
          <w:rFonts w:hint="cs"/>
          <w:b/>
          <w:bCs/>
          <w:rtl/>
        </w:rPr>
        <w:t>ّ</w:t>
      </w:r>
      <w:r w:rsidRPr="00282AC9">
        <w:rPr>
          <w:b/>
          <w:bCs/>
          <w:rtl/>
        </w:rPr>
        <w:t>ة</w:t>
      </w:r>
      <w:r w:rsidR="00E13463" w:rsidRPr="00282AC9">
        <w:rPr>
          <w:rFonts w:ascii="Mosawi" w:eastAsiaTheme="minorHAnsi" w:hAnsi="Mosawi" w:hint="cs"/>
          <w:sz w:val="27"/>
          <w:rtl/>
        </w:rPr>
        <w:t xml:space="preserve">: </w:t>
      </w:r>
      <w:r w:rsidRPr="00282AC9">
        <w:rPr>
          <w:rFonts w:ascii="Mosawi" w:eastAsiaTheme="minorHAnsi" w:hAnsi="Mosawi"/>
          <w:sz w:val="27"/>
          <w:rtl/>
        </w:rPr>
        <w:t>السؤال الذي يفرض نفسه هنا</w:t>
      </w:r>
      <w:r w:rsidR="009B4A16" w:rsidRPr="00282AC9">
        <w:rPr>
          <w:rFonts w:ascii="Mosawi" w:eastAsiaTheme="minorHAnsi" w:hAnsi="Mosawi" w:hint="cs"/>
          <w:sz w:val="27"/>
          <w:rtl/>
        </w:rPr>
        <w:t>:</w:t>
      </w:r>
      <w:r w:rsidRPr="00282AC9">
        <w:rPr>
          <w:rFonts w:ascii="Mosawi" w:eastAsiaTheme="minorHAnsi" w:hAnsi="Mosawi"/>
          <w:sz w:val="27"/>
          <w:rtl/>
        </w:rPr>
        <w:t xml:space="preserve"> </w:t>
      </w:r>
      <w:r w:rsidR="009B4A16" w:rsidRPr="00282AC9">
        <w:rPr>
          <w:rFonts w:ascii="Mosawi" w:eastAsiaTheme="minorHAnsi" w:hAnsi="Mosawi" w:hint="cs"/>
          <w:sz w:val="27"/>
          <w:rtl/>
        </w:rPr>
        <w:t>هل أ</w:t>
      </w:r>
      <w:r w:rsidRPr="00282AC9">
        <w:rPr>
          <w:rFonts w:ascii="Mosawi" w:eastAsiaTheme="minorHAnsi" w:hAnsi="Mosawi"/>
          <w:sz w:val="27"/>
          <w:rtl/>
        </w:rPr>
        <w:t>ن هذه الصفات أ</w:t>
      </w:r>
      <w:r w:rsidR="009B4A16" w:rsidRPr="00282AC9">
        <w:rPr>
          <w:rFonts w:ascii="Mosawi" w:eastAsiaTheme="minorHAnsi" w:hAnsi="Mosawi" w:hint="cs"/>
          <w:sz w:val="27"/>
          <w:rtl/>
        </w:rPr>
        <w:t>ُ</w:t>
      </w:r>
      <w:r w:rsidRPr="00282AC9">
        <w:rPr>
          <w:rFonts w:ascii="Mosawi" w:eastAsiaTheme="minorHAnsi" w:hAnsi="Mosawi"/>
          <w:sz w:val="27"/>
          <w:rtl/>
        </w:rPr>
        <w:t>خذ</w:t>
      </w:r>
      <w:r w:rsidR="009B4A16" w:rsidRPr="00282AC9">
        <w:rPr>
          <w:rFonts w:ascii="Mosawi" w:eastAsiaTheme="minorHAnsi" w:hAnsi="Mosawi" w:hint="cs"/>
          <w:sz w:val="27"/>
          <w:rtl/>
        </w:rPr>
        <w:t>َ</w:t>
      </w:r>
      <w:r w:rsidRPr="00282AC9">
        <w:rPr>
          <w:rFonts w:ascii="Mosawi" w:eastAsiaTheme="minorHAnsi" w:hAnsi="Mosawi"/>
          <w:sz w:val="27"/>
          <w:rtl/>
        </w:rPr>
        <w:t>ت</w:t>
      </w:r>
      <w:r w:rsidR="009B4A16" w:rsidRPr="00282AC9">
        <w:rPr>
          <w:rFonts w:ascii="Mosawi" w:eastAsiaTheme="minorHAnsi" w:hAnsi="Mosawi" w:hint="cs"/>
          <w:sz w:val="27"/>
          <w:rtl/>
        </w:rPr>
        <w:t>ْ</w:t>
      </w:r>
      <w:r w:rsidRPr="00282AC9">
        <w:rPr>
          <w:rFonts w:ascii="Mosawi" w:eastAsiaTheme="minorHAnsi" w:hAnsi="Mosawi"/>
          <w:sz w:val="27"/>
          <w:rtl/>
        </w:rPr>
        <w:t xml:space="preserve"> على </w:t>
      </w:r>
      <w:r w:rsidR="009B4A16" w:rsidRPr="00282AC9">
        <w:rPr>
          <w:rFonts w:ascii="Mosawi" w:eastAsiaTheme="minorHAnsi" w:hAnsi="Mosawi" w:hint="cs"/>
          <w:sz w:val="27"/>
          <w:rtl/>
        </w:rPr>
        <w:t>ال</w:t>
      </w:r>
      <w:r w:rsidRPr="00282AC9">
        <w:rPr>
          <w:rFonts w:ascii="Mosawi" w:eastAsiaTheme="minorHAnsi" w:hAnsi="Mosawi"/>
          <w:sz w:val="27"/>
          <w:rtl/>
        </w:rPr>
        <w:t>نحو المجموعي أو الجميعي</w:t>
      </w:r>
      <w:r w:rsidR="009B4A16" w:rsidRPr="00282AC9">
        <w:rPr>
          <w:rFonts w:ascii="Mosawi" w:eastAsiaTheme="minorHAnsi" w:hAnsi="Mosawi" w:hint="cs"/>
          <w:sz w:val="27"/>
          <w:rtl/>
        </w:rPr>
        <w:t>؟</w:t>
      </w:r>
      <w:r w:rsidRPr="00282AC9">
        <w:rPr>
          <w:rFonts w:ascii="Mosawi" w:eastAsiaTheme="minorHAnsi" w:hAnsi="Mosawi"/>
          <w:sz w:val="27"/>
          <w:rtl/>
        </w:rPr>
        <w:t xml:space="preserve"> هل يفهم الع</w:t>
      </w:r>
      <w:r w:rsidR="009B4A16" w:rsidRPr="00282AC9">
        <w:rPr>
          <w:rFonts w:ascii="Mosawi" w:eastAsiaTheme="minorHAnsi" w:hAnsi="Mosawi" w:hint="cs"/>
          <w:sz w:val="27"/>
          <w:rtl/>
        </w:rPr>
        <w:t>ُ</w:t>
      </w:r>
      <w:r w:rsidRPr="00282AC9">
        <w:rPr>
          <w:rFonts w:ascii="Mosawi" w:eastAsiaTheme="minorHAnsi" w:hAnsi="Mosawi"/>
          <w:sz w:val="27"/>
          <w:rtl/>
        </w:rPr>
        <w:t>ر</w:t>
      </w:r>
      <w:r w:rsidR="009B4A16" w:rsidRPr="00282AC9">
        <w:rPr>
          <w:rFonts w:ascii="Mosawi" w:eastAsiaTheme="minorHAnsi" w:hAnsi="Mosawi" w:hint="cs"/>
          <w:sz w:val="27"/>
          <w:rtl/>
        </w:rPr>
        <w:t>ْ</w:t>
      </w:r>
      <w:r w:rsidRPr="00282AC9">
        <w:rPr>
          <w:rFonts w:ascii="Mosawi" w:eastAsiaTheme="minorHAnsi" w:hAnsi="Mosawi"/>
          <w:sz w:val="27"/>
          <w:rtl/>
        </w:rPr>
        <w:t>ف أن عنوان شرار النساء يصدق على التي تت</w:t>
      </w:r>
      <w:r w:rsidR="009B4A16" w:rsidRPr="00282AC9">
        <w:rPr>
          <w:rFonts w:ascii="Mosawi" w:eastAsiaTheme="minorHAnsi" w:hAnsi="Mosawi" w:hint="cs"/>
          <w:sz w:val="27"/>
          <w:rtl/>
        </w:rPr>
        <w:t>ّ</w:t>
      </w:r>
      <w:r w:rsidRPr="00282AC9">
        <w:rPr>
          <w:rFonts w:ascii="Mosawi" w:eastAsiaTheme="minorHAnsi" w:hAnsi="Mosawi"/>
          <w:sz w:val="27"/>
          <w:rtl/>
        </w:rPr>
        <w:t xml:space="preserve">صف بجميع هذه الصفات أو يصدق على التي </w:t>
      </w:r>
      <w:r w:rsidR="009B4A16" w:rsidRPr="00282AC9">
        <w:rPr>
          <w:rFonts w:ascii="Mosawi" w:eastAsiaTheme="minorHAnsi" w:hAnsi="Mosawi" w:hint="cs"/>
          <w:sz w:val="27"/>
          <w:rtl/>
        </w:rPr>
        <w:t>ت</w:t>
      </w:r>
      <w:r w:rsidRPr="00282AC9">
        <w:rPr>
          <w:rFonts w:ascii="Mosawi" w:eastAsiaTheme="minorHAnsi" w:hAnsi="Mosawi"/>
          <w:sz w:val="27"/>
          <w:rtl/>
        </w:rPr>
        <w:t>ت</w:t>
      </w:r>
      <w:r w:rsidR="009B4A16" w:rsidRPr="00282AC9">
        <w:rPr>
          <w:rFonts w:ascii="Mosawi" w:eastAsiaTheme="minorHAnsi" w:hAnsi="Mosawi" w:hint="cs"/>
          <w:sz w:val="27"/>
          <w:rtl/>
        </w:rPr>
        <w:t>ّ</w:t>
      </w:r>
      <w:r w:rsidRPr="00282AC9">
        <w:rPr>
          <w:rFonts w:ascii="Mosawi" w:eastAsiaTheme="minorHAnsi" w:hAnsi="Mosawi"/>
          <w:sz w:val="27"/>
          <w:rtl/>
        </w:rPr>
        <w:t xml:space="preserve">صف ولو </w:t>
      </w:r>
      <w:r w:rsidR="009B4A16" w:rsidRPr="00282AC9">
        <w:rPr>
          <w:rFonts w:ascii="Mosawi" w:eastAsiaTheme="minorHAnsi" w:hAnsi="Mosawi" w:hint="cs"/>
          <w:sz w:val="27"/>
          <w:rtl/>
        </w:rPr>
        <w:t>ب</w:t>
      </w:r>
      <w:r w:rsidRPr="00282AC9">
        <w:rPr>
          <w:rFonts w:ascii="Mosawi" w:eastAsiaTheme="minorHAnsi" w:hAnsi="Mosawi"/>
          <w:sz w:val="27"/>
          <w:rtl/>
        </w:rPr>
        <w:t>واحد</w:t>
      </w:r>
      <w:r w:rsidR="009B4A16" w:rsidRPr="00282AC9">
        <w:rPr>
          <w:rFonts w:ascii="Mosawi" w:eastAsiaTheme="minorHAnsi" w:hAnsi="Mosawi" w:hint="cs"/>
          <w:sz w:val="27"/>
          <w:rtl/>
        </w:rPr>
        <w:t>ةٍ</w:t>
      </w:r>
      <w:r w:rsidRPr="00282AC9">
        <w:rPr>
          <w:rFonts w:ascii="Mosawi" w:eastAsiaTheme="minorHAnsi" w:hAnsi="Mosawi"/>
          <w:sz w:val="27"/>
          <w:rtl/>
        </w:rPr>
        <w:t xml:space="preserve"> من هذه الصفات</w:t>
      </w:r>
      <w:r w:rsidRPr="00282AC9">
        <w:rPr>
          <w:rFonts w:ascii="Mosawi" w:eastAsiaTheme="minorHAnsi" w:hAnsi="Mosawi" w:hint="cs"/>
          <w:sz w:val="27"/>
          <w:rtl/>
        </w:rPr>
        <w:t>؟</w:t>
      </w:r>
    </w:p>
    <w:p w:rsidR="001153F1" w:rsidRPr="00282AC9" w:rsidRDefault="001153F1" w:rsidP="003E218F">
      <w:pPr>
        <w:pStyle w:val="afc"/>
        <w:rPr>
          <w:rFonts w:ascii="Mosawi" w:eastAsiaTheme="minorHAnsi" w:hAnsi="Mosawi" w:cs="AL-Mohanad"/>
          <w:sz w:val="27"/>
          <w:szCs w:val="27"/>
          <w:rtl/>
        </w:rPr>
      </w:pPr>
      <w:r w:rsidRPr="00282AC9">
        <w:rPr>
          <w:rFonts w:ascii="Mosawi" w:eastAsiaTheme="minorHAnsi" w:hAnsi="Mosawi" w:cs="AL-Mohanad"/>
          <w:sz w:val="27"/>
          <w:szCs w:val="27"/>
          <w:rtl/>
        </w:rPr>
        <w:t>ال</w:t>
      </w:r>
      <w:r w:rsidRPr="00282AC9">
        <w:rPr>
          <w:rFonts w:ascii="Mosawi" w:eastAsiaTheme="minorHAnsi" w:hAnsi="Mosawi" w:cs="AL-Mohanad" w:hint="cs"/>
          <w:sz w:val="27"/>
          <w:szCs w:val="27"/>
          <w:rtl/>
        </w:rPr>
        <w:t>إ</w:t>
      </w:r>
      <w:r w:rsidRPr="00282AC9">
        <w:rPr>
          <w:rFonts w:ascii="Mosawi" w:eastAsiaTheme="minorHAnsi" w:hAnsi="Mosawi" w:cs="AL-Mohanad"/>
          <w:sz w:val="27"/>
          <w:szCs w:val="27"/>
          <w:rtl/>
        </w:rPr>
        <w:t>نصاف أن</w:t>
      </w:r>
      <w:r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الفهم الع</w:t>
      </w:r>
      <w:r w:rsidR="009B4A16" w:rsidRPr="00282AC9">
        <w:rPr>
          <w:rFonts w:ascii="Mosawi" w:eastAsiaTheme="minorHAnsi" w:hAnsi="Mosawi" w:cs="AL-Mohanad" w:hint="cs"/>
          <w:sz w:val="27"/>
          <w:szCs w:val="27"/>
          <w:rtl/>
        </w:rPr>
        <w:t>ُ</w:t>
      </w:r>
      <w:r w:rsidRPr="00282AC9">
        <w:rPr>
          <w:rFonts w:ascii="Mosawi" w:eastAsiaTheme="minorHAnsi" w:hAnsi="Mosawi" w:cs="AL-Mohanad"/>
          <w:sz w:val="27"/>
          <w:szCs w:val="27"/>
          <w:rtl/>
        </w:rPr>
        <w:t>ر</w:t>
      </w:r>
      <w:r w:rsidR="009B4A16" w:rsidRPr="00282AC9">
        <w:rPr>
          <w:rFonts w:ascii="Mosawi" w:eastAsiaTheme="minorHAnsi" w:hAnsi="Mosawi" w:cs="AL-Mohanad" w:hint="cs"/>
          <w:sz w:val="27"/>
          <w:szCs w:val="27"/>
          <w:rtl/>
        </w:rPr>
        <w:t>ْ</w:t>
      </w:r>
      <w:r w:rsidRPr="00282AC9">
        <w:rPr>
          <w:rFonts w:ascii="Mosawi" w:eastAsiaTheme="minorHAnsi" w:hAnsi="Mosawi" w:cs="AL-Mohanad"/>
          <w:sz w:val="27"/>
          <w:szCs w:val="27"/>
          <w:rtl/>
        </w:rPr>
        <w:t>في لمثل هذا النص</w:t>
      </w:r>
      <w:r w:rsidR="009B4A16"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يرى لكل</w:t>
      </w:r>
      <w:r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خصوصي</w:t>
      </w:r>
      <w:r w:rsidR="009B4A16" w:rsidRPr="00282AC9">
        <w:rPr>
          <w:rFonts w:ascii="Mosawi" w:eastAsiaTheme="minorHAnsi" w:hAnsi="Mosawi" w:cs="AL-Mohanad" w:hint="cs"/>
          <w:sz w:val="27"/>
          <w:szCs w:val="27"/>
          <w:rtl/>
        </w:rPr>
        <w:t>ّ</w:t>
      </w:r>
      <w:r w:rsidRPr="00282AC9">
        <w:rPr>
          <w:rFonts w:ascii="Mosawi" w:eastAsiaTheme="minorHAnsi" w:hAnsi="Mosawi" w:cs="AL-Mohanad"/>
          <w:sz w:val="27"/>
          <w:szCs w:val="27"/>
          <w:rtl/>
        </w:rPr>
        <w:t>ة</w:t>
      </w:r>
      <w:r w:rsidR="009B4A16"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من الخصوصيات جانباً من الشر</w:t>
      </w:r>
      <w:r w:rsidR="009B4A16"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والتقا</w:t>
      </w:r>
      <w:r w:rsidR="009B4A16" w:rsidRPr="00282AC9">
        <w:rPr>
          <w:rFonts w:ascii="Mosawi" w:eastAsiaTheme="minorHAnsi" w:hAnsi="Mosawi" w:cs="AL-Mohanad" w:hint="cs"/>
          <w:sz w:val="27"/>
          <w:szCs w:val="27"/>
          <w:rtl/>
        </w:rPr>
        <w:t>ؤ</w:t>
      </w:r>
      <w:r w:rsidRPr="00282AC9">
        <w:rPr>
          <w:rFonts w:ascii="Mosawi" w:eastAsiaTheme="minorHAnsi" w:hAnsi="Mosawi" w:cs="AL-Mohanad"/>
          <w:sz w:val="27"/>
          <w:szCs w:val="27"/>
          <w:rtl/>
        </w:rPr>
        <w:t>ها هو الذي جعله</w:t>
      </w:r>
      <w:r w:rsidR="009B4A16" w:rsidRPr="00282AC9">
        <w:rPr>
          <w:rFonts w:ascii="Mosawi" w:eastAsiaTheme="minorHAnsi" w:hAnsi="Mosawi" w:cs="AL-Mohanad" w:hint="cs"/>
          <w:sz w:val="27"/>
          <w:szCs w:val="27"/>
          <w:rtl/>
        </w:rPr>
        <w:t>ُ</w:t>
      </w:r>
      <w:r w:rsidRPr="00282AC9">
        <w:rPr>
          <w:rFonts w:ascii="Mosawi" w:eastAsiaTheme="minorHAnsi" w:hAnsi="Mosawi" w:cs="AL-Mohanad"/>
          <w:sz w:val="27"/>
          <w:szCs w:val="27"/>
          <w:rtl/>
        </w:rPr>
        <w:t>ن</w:t>
      </w:r>
      <w:r w:rsidRPr="00282AC9">
        <w:rPr>
          <w:rFonts w:ascii="Mosawi" w:eastAsiaTheme="minorHAnsi" w:hAnsi="Mosawi" w:cs="AL-Mohanad" w:hint="cs"/>
          <w:sz w:val="27"/>
          <w:szCs w:val="27"/>
          <w:rtl/>
        </w:rPr>
        <w:t>ّ</w:t>
      </w:r>
      <w:r w:rsidR="009B4A16"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w:t>
      </w:r>
      <w:r w:rsidRPr="00282AC9">
        <w:rPr>
          <w:rFonts w:ascii="Mosawi" w:eastAsiaTheme="minorHAnsi" w:hAnsi="Mosawi" w:cs="AL-Mohanad" w:hint="cs"/>
          <w:sz w:val="27"/>
          <w:szCs w:val="27"/>
          <w:rtl/>
        </w:rPr>
        <w:t>شرار النساء</w:t>
      </w:r>
      <w:r w:rsidR="009B4A16"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ولكن</w:t>
      </w:r>
      <w:r w:rsidR="009B4A16"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الكلام في مفهوم الشرّ هذا، هل فيه جانب</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قانوني</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أو تشنيع</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في حقّ المرأة العقيم أو لا؟</w:t>
      </w:r>
    </w:p>
    <w:p w:rsidR="001153F1" w:rsidRPr="00282AC9" w:rsidRDefault="001153F1" w:rsidP="003E218F">
      <w:pPr>
        <w:pStyle w:val="afc"/>
        <w:rPr>
          <w:rFonts w:ascii="Mosawi" w:eastAsiaTheme="minorHAnsi" w:hAnsi="Mosawi" w:cs="AL-Mohanad"/>
          <w:sz w:val="27"/>
          <w:szCs w:val="27"/>
          <w:rtl/>
          <w:lang w:bidi="fa-IR"/>
        </w:rPr>
      </w:pPr>
      <w:r w:rsidRPr="00282AC9">
        <w:rPr>
          <w:rFonts w:ascii="Mosawi" w:eastAsiaTheme="minorHAnsi" w:hAnsi="Mosawi" w:cs="AL-Mohanad"/>
          <w:sz w:val="27"/>
          <w:szCs w:val="27"/>
          <w:rtl/>
        </w:rPr>
        <w:t>لو تأم</w:t>
      </w:r>
      <w:r w:rsidRPr="00282AC9">
        <w:rPr>
          <w:rFonts w:ascii="Mosawi" w:eastAsiaTheme="minorHAnsi" w:hAnsi="Mosawi" w:cs="AL-Mohanad" w:hint="cs"/>
          <w:sz w:val="27"/>
          <w:szCs w:val="27"/>
          <w:rtl/>
        </w:rPr>
        <w:t>ّ</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ل</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نا قليلا</w:t>
      </w:r>
      <w:r w:rsidRPr="00282AC9">
        <w:rPr>
          <w:rFonts w:ascii="Mosawi" w:eastAsiaTheme="minorHAnsi" w:hAnsi="Mosawi" w:cs="AL-Mohanad" w:hint="cs"/>
          <w:sz w:val="27"/>
          <w:szCs w:val="27"/>
          <w:rtl/>
        </w:rPr>
        <w:t>ً سنرى أنّ</w:t>
      </w:r>
      <w:r w:rsidRPr="00282AC9">
        <w:rPr>
          <w:rFonts w:ascii="Mosawi" w:eastAsiaTheme="minorHAnsi" w:hAnsi="Mosawi" w:cs="AL-Mohanad"/>
          <w:sz w:val="27"/>
          <w:szCs w:val="27"/>
          <w:rtl/>
        </w:rPr>
        <w:t xml:space="preserve"> هذا الحديث ليس في مقام بيان الأحكام القانوني</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ة</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وإن</w:t>
      </w:r>
      <w:r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ما </w:t>
      </w:r>
      <w:r w:rsidR="00903138" w:rsidRPr="00282AC9">
        <w:rPr>
          <w:rFonts w:ascii="Mosawi" w:eastAsiaTheme="minorHAnsi" w:hAnsi="Mosawi" w:cs="AL-Mohanad" w:hint="cs"/>
          <w:sz w:val="27"/>
          <w:szCs w:val="27"/>
          <w:rtl/>
        </w:rPr>
        <w:t xml:space="preserve">هو </w:t>
      </w:r>
      <w:r w:rsidRPr="00282AC9">
        <w:rPr>
          <w:rFonts w:ascii="Mosawi" w:eastAsiaTheme="minorHAnsi" w:hAnsi="Mosawi" w:cs="AL-Mohanad"/>
          <w:sz w:val="27"/>
          <w:szCs w:val="27"/>
          <w:rtl/>
        </w:rPr>
        <w:t>قضي</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ة</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إرشادي</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ة</w:t>
      </w:r>
      <w:r w:rsidR="00903138" w:rsidRPr="00282AC9">
        <w:rPr>
          <w:rFonts w:ascii="Mosawi" w:eastAsiaTheme="minorHAnsi" w:hAnsi="Mosawi" w:cs="AL-Mohanad" w:hint="cs"/>
          <w:sz w:val="27"/>
          <w:szCs w:val="27"/>
          <w:rtl/>
        </w:rPr>
        <w:t>. و</w:t>
      </w:r>
      <w:r w:rsidRPr="00282AC9">
        <w:rPr>
          <w:rFonts w:ascii="Mosawi" w:eastAsiaTheme="minorHAnsi" w:hAnsi="Mosawi" w:cs="AL-Mohanad" w:hint="cs"/>
          <w:sz w:val="27"/>
          <w:szCs w:val="27"/>
          <w:rtl/>
        </w:rPr>
        <w:t>على الأقلّ لا يمكن إحراز كونها في مقام بيان الأحكام القانوني</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ة</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ولسنا ممّ</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ن</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يقبل بأصالة القانونية أو المولوية في النصوص الديني</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ة،</w:t>
      </w:r>
      <w:r w:rsidRPr="00282AC9">
        <w:rPr>
          <w:rFonts w:ascii="Mosawi" w:eastAsiaTheme="minorHAnsi" w:hAnsi="Mosawi" w:cs="AL-Mohanad"/>
          <w:sz w:val="27"/>
          <w:szCs w:val="27"/>
          <w:rtl/>
        </w:rPr>
        <w:t xml:space="preserve"> فلا تدل</w:t>
      </w:r>
      <w:r w:rsidRPr="00282AC9">
        <w:rPr>
          <w:rFonts w:ascii="Mosawi" w:eastAsiaTheme="minorHAnsi" w:hAnsi="Mosawi" w:cs="AL-Mohanad" w:hint="cs"/>
          <w:sz w:val="27"/>
          <w:szCs w:val="27"/>
          <w:rtl/>
        </w:rPr>
        <w:t>ّ هذه الرواية</w:t>
      </w:r>
      <w:r w:rsidRPr="00282AC9">
        <w:rPr>
          <w:rFonts w:ascii="Mosawi" w:eastAsiaTheme="minorHAnsi" w:hAnsi="Mosawi" w:cs="AL-Mohanad"/>
          <w:sz w:val="27"/>
          <w:szCs w:val="27"/>
          <w:rtl/>
        </w:rPr>
        <w:t xml:space="preserve"> على الاستحباب أو الكراهة</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فهذه الرواية تبدو إرشادي</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ة</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أو على الأقل</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لا يمكن إحراز المولوي</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ة فيها. </w:t>
      </w:r>
    </w:p>
    <w:p w:rsidR="001153F1" w:rsidRPr="00282AC9" w:rsidRDefault="00903138" w:rsidP="003E218F">
      <w:pPr>
        <w:pStyle w:val="afc"/>
        <w:rPr>
          <w:rFonts w:ascii="Mosawi" w:eastAsiaTheme="minorHAnsi" w:hAnsi="Mosawi" w:cs="AL-Mohanad"/>
          <w:sz w:val="27"/>
          <w:szCs w:val="27"/>
          <w:rtl/>
        </w:rPr>
      </w:pPr>
      <w:r w:rsidRPr="00282AC9">
        <w:rPr>
          <w:rFonts w:ascii="Mosawi" w:eastAsiaTheme="minorHAnsi" w:hAnsi="Mosawi" w:cs="AL-Mohanad" w:hint="cs"/>
          <w:sz w:val="27"/>
          <w:szCs w:val="27"/>
          <w:rtl/>
        </w:rPr>
        <w:t>وأما</w:t>
      </w:r>
      <w:r w:rsidR="001153F1" w:rsidRPr="00282AC9">
        <w:rPr>
          <w:rFonts w:ascii="Mosawi" w:eastAsiaTheme="minorHAnsi" w:hAnsi="Mosawi" w:cs="AL-Mohanad" w:hint="cs"/>
          <w:sz w:val="27"/>
          <w:szCs w:val="27"/>
          <w:rtl/>
        </w:rPr>
        <w:t xml:space="preserve"> من جهة التشنيع في حقّ المرأة بجهة توصيفها بالشر</w:t>
      </w:r>
      <w:r w:rsidRPr="00282AC9">
        <w:rPr>
          <w:rFonts w:ascii="Mosawi" w:eastAsiaTheme="minorHAnsi" w:hAnsi="Mosawi" w:cs="AL-Mohanad" w:hint="cs"/>
          <w:sz w:val="27"/>
          <w:szCs w:val="27"/>
          <w:rtl/>
        </w:rPr>
        <w:t>ّ</w:t>
      </w:r>
      <w:r w:rsidR="001153F1" w:rsidRPr="00282AC9">
        <w:rPr>
          <w:rFonts w:ascii="Mosawi" w:eastAsiaTheme="minorHAnsi" w:hAnsi="Mosawi" w:cs="AL-Mohanad" w:hint="cs"/>
          <w:sz w:val="27"/>
          <w:szCs w:val="27"/>
          <w:rtl/>
        </w:rPr>
        <w:t>، وهذا تعبير</w:t>
      </w:r>
      <w:r w:rsidRPr="00282AC9">
        <w:rPr>
          <w:rFonts w:ascii="Mosawi" w:eastAsiaTheme="minorHAnsi" w:hAnsi="Mosawi" w:cs="AL-Mohanad" w:hint="cs"/>
          <w:sz w:val="27"/>
          <w:szCs w:val="27"/>
          <w:rtl/>
        </w:rPr>
        <w:t>ٌ</w:t>
      </w:r>
      <w:r w:rsidR="001153F1" w:rsidRPr="00282AC9">
        <w:rPr>
          <w:rFonts w:ascii="Mosawi" w:eastAsiaTheme="minorHAnsi" w:hAnsi="Mosawi" w:cs="AL-Mohanad" w:hint="cs"/>
          <w:sz w:val="27"/>
          <w:szCs w:val="27"/>
          <w:rtl/>
        </w:rPr>
        <w:t xml:space="preserve"> نجده في كثير</w:t>
      </w:r>
      <w:r w:rsidRPr="00282AC9">
        <w:rPr>
          <w:rFonts w:ascii="Mosawi" w:eastAsiaTheme="minorHAnsi" w:hAnsi="Mosawi" w:cs="AL-Mohanad" w:hint="cs"/>
          <w:sz w:val="27"/>
          <w:szCs w:val="27"/>
          <w:rtl/>
        </w:rPr>
        <w:t>ٍ</w:t>
      </w:r>
      <w:r w:rsidR="001153F1" w:rsidRPr="00282AC9">
        <w:rPr>
          <w:rFonts w:ascii="Mosawi" w:eastAsiaTheme="minorHAnsi" w:hAnsi="Mosawi" w:cs="AL-Mohanad" w:hint="cs"/>
          <w:sz w:val="27"/>
          <w:szCs w:val="27"/>
          <w:rtl/>
        </w:rPr>
        <w:t xml:space="preserve"> من روايات هذا الباب، فسوف ندرس</w:t>
      </w:r>
      <w:r w:rsidRPr="00282AC9">
        <w:rPr>
          <w:rFonts w:ascii="Mosawi" w:eastAsiaTheme="minorHAnsi" w:hAnsi="Mosawi" w:cs="AL-Mohanad" w:hint="cs"/>
          <w:sz w:val="27"/>
          <w:szCs w:val="27"/>
          <w:rtl/>
        </w:rPr>
        <w:t xml:space="preserve"> ذلك</w:t>
      </w:r>
      <w:r w:rsidR="001153F1" w:rsidRPr="00282AC9">
        <w:rPr>
          <w:rFonts w:ascii="Mosawi" w:eastAsiaTheme="minorHAnsi" w:hAnsi="Mosawi" w:cs="AL-Mohanad" w:hint="cs"/>
          <w:sz w:val="27"/>
          <w:szCs w:val="27"/>
          <w:rtl/>
        </w:rPr>
        <w:t xml:space="preserve"> في التحليل الإجمالي</w:t>
      </w:r>
      <w:r w:rsidRPr="00282AC9">
        <w:rPr>
          <w:rFonts w:ascii="Mosawi" w:eastAsiaTheme="minorHAnsi" w:hAnsi="Mosawi" w:cs="AL-Mohanad" w:hint="cs"/>
          <w:sz w:val="27"/>
          <w:szCs w:val="27"/>
          <w:rtl/>
        </w:rPr>
        <w:t>ّ</w:t>
      </w:r>
      <w:r w:rsidR="001153F1" w:rsidRPr="00282AC9">
        <w:rPr>
          <w:rFonts w:ascii="Mosawi" w:eastAsiaTheme="minorHAnsi" w:hAnsi="Mosawi" w:cs="AL-Mohanad" w:hint="cs"/>
          <w:sz w:val="27"/>
          <w:szCs w:val="27"/>
          <w:rtl/>
        </w:rPr>
        <w:t xml:space="preserve"> حول كلمة الشر</w:t>
      </w:r>
      <w:r w:rsidRPr="00282AC9">
        <w:rPr>
          <w:rFonts w:ascii="Mosawi" w:eastAsiaTheme="minorHAnsi" w:hAnsi="Mosawi" w:cs="AL-Mohanad" w:hint="cs"/>
          <w:sz w:val="27"/>
          <w:szCs w:val="27"/>
          <w:rtl/>
        </w:rPr>
        <w:t>ّ،</w:t>
      </w:r>
      <w:r w:rsidR="001153F1" w:rsidRPr="00282AC9">
        <w:rPr>
          <w:rFonts w:ascii="Mosawi" w:eastAsiaTheme="minorHAnsi" w:hAnsi="Mosawi" w:cs="AL-Mohanad" w:hint="cs"/>
          <w:sz w:val="27"/>
          <w:szCs w:val="27"/>
          <w:rtl/>
        </w:rPr>
        <w:t xml:space="preserve"> ومدى دلالتها على التشنيع.</w:t>
      </w:r>
    </w:p>
    <w:p w:rsidR="00903138" w:rsidRPr="00282AC9" w:rsidRDefault="001153F1" w:rsidP="003E218F">
      <w:pPr>
        <w:pStyle w:val="afc"/>
        <w:rPr>
          <w:rFonts w:ascii="Mosawi" w:eastAsiaTheme="minorHAnsi" w:hAnsi="Mosawi" w:cs="AL-Mohanad"/>
          <w:sz w:val="27"/>
          <w:szCs w:val="27"/>
          <w:rtl/>
        </w:rPr>
      </w:pPr>
      <w:r w:rsidRPr="00282AC9">
        <w:rPr>
          <w:rFonts w:ascii="Mosawi" w:eastAsiaTheme="minorHAnsi" w:hAnsi="Mosawi" w:cs="AL-Mohanad"/>
          <w:sz w:val="27"/>
          <w:szCs w:val="27"/>
          <w:rtl/>
        </w:rPr>
        <w:t>إذن، هذه الرواية من حيث السند تام</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ة</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ومن حيث الدلالة غير دال</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ة</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على الكراهة</w:t>
      </w:r>
      <w:r w:rsidR="00903138" w:rsidRPr="00282AC9">
        <w:rPr>
          <w:rFonts w:ascii="Mosawi" w:eastAsiaTheme="minorHAnsi" w:hAnsi="Mosawi" w:cs="AL-Mohanad" w:hint="cs"/>
          <w:sz w:val="27"/>
          <w:szCs w:val="27"/>
          <w:rtl/>
        </w:rPr>
        <w:t>،</w:t>
      </w:r>
      <w:r w:rsidRPr="00282AC9">
        <w:rPr>
          <w:rFonts w:ascii="Mosawi" w:eastAsiaTheme="minorHAnsi" w:hAnsi="Mosawi" w:cs="AL-Mohanad"/>
          <w:sz w:val="27"/>
          <w:szCs w:val="27"/>
          <w:rtl/>
        </w:rPr>
        <w:t xml:space="preserve"> ولكن</w:t>
      </w:r>
      <w:r w:rsidRPr="00282AC9">
        <w:rPr>
          <w:rFonts w:ascii="Mosawi" w:eastAsiaTheme="minorHAnsi" w:hAnsi="Mosawi" w:cs="AL-Mohanad" w:hint="cs"/>
          <w:sz w:val="27"/>
          <w:szCs w:val="27"/>
          <w:rtl/>
        </w:rPr>
        <w:t>ّ</w:t>
      </w:r>
      <w:r w:rsidRPr="00282AC9">
        <w:rPr>
          <w:rFonts w:ascii="Mosawi" w:eastAsiaTheme="minorHAnsi" w:hAnsi="Mosawi" w:cs="AL-Mohanad"/>
          <w:sz w:val="27"/>
          <w:szCs w:val="27"/>
          <w:rtl/>
        </w:rPr>
        <w:t>ها</w:t>
      </w:r>
      <w:r w:rsidRPr="00282AC9">
        <w:rPr>
          <w:rFonts w:ascii="Mosawi" w:eastAsiaTheme="minorHAnsi" w:hAnsi="Mosawi" w:cs="AL-Mohanad" w:hint="cs"/>
          <w:sz w:val="27"/>
          <w:szCs w:val="27"/>
          <w:rtl/>
        </w:rPr>
        <w:t xml:space="preserve"> قد تدلّ على نوع</w:t>
      </w:r>
      <w:r w:rsidR="00903138" w:rsidRPr="00282AC9">
        <w:rPr>
          <w:rFonts w:ascii="Mosawi" w:eastAsiaTheme="minorHAnsi" w:hAnsi="Mosawi" w:cs="AL-Mohanad" w:hint="cs"/>
          <w:sz w:val="27"/>
          <w:szCs w:val="27"/>
          <w:rtl/>
        </w:rPr>
        <w:t>ٍ</w:t>
      </w:r>
      <w:r w:rsidRPr="00282AC9">
        <w:rPr>
          <w:rFonts w:ascii="Mosawi" w:eastAsiaTheme="minorHAnsi" w:hAnsi="Mosawi" w:cs="AL-Mohanad" w:hint="cs"/>
          <w:sz w:val="27"/>
          <w:szCs w:val="27"/>
          <w:rtl/>
        </w:rPr>
        <w:t xml:space="preserve"> من التشنيع والتوهين في حقّ المرأة العقيم.</w:t>
      </w:r>
    </w:p>
    <w:p w:rsidR="008E0D6A" w:rsidRPr="00282AC9" w:rsidRDefault="008E0D6A" w:rsidP="008E0D6A">
      <w:pPr>
        <w:spacing w:line="420" w:lineRule="exact"/>
        <w:rPr>
          <w:sz w:val="27"/>
          <w:rtl/>
        </w:rPr>
      </w:pPr>
    </w:p>
    <w:p w:rsidR="00903138" w:rsidRPr="00282AC9" w:rsidRDefault="00DB2B76" w:rsidP="00DB2B76">
      <w:pPr>
        <w:pStyle w:val="31"/>
        <w:rPr>
          <w:rFonts w:eastAsia="Calibri"/>
          <w:color w:val="auto"/>
          <w:rtl/>
          <w:lang w:bidi="fa-IR"/>
        </w:rPr>
      </w:pPr>
      <w:r w:rsidRPr="00282AC9">
        <w:rPr>
          <w:rFonts w:eastAsia="Calibri" w:hint="cs"/>
          <w:color w:val="auto"/>
          <w:rtl/>
        </w:rPr>
        <w:t xml:space="preserve">2ـ </w:t>
      </w:r>
      <w:r w:rsidRPr="00282AC9">
        <w:rPr>
          <w:color w:val="auto"/>
          <w:rtl/>
        </w:rPr>
        <w:t>«</w:t>
      </w:r>
      <w:r w:rsidRPr="00282AC9">
        <w:rPr>
          <w:color w:val="auto"/>
          <w:rtl/>
          <w:lang w:bidi="fa-IR"/>
        </w:rPr>
        <w:t>امرأة</w:t>
      </w:r>
      <w:r w:rsidRPr="00282AC9">
        <w:rPr>
          <w:rFonts w:hint="cs"/>
          <w:color w:val="auto"/>
          <w:rtl/>
          <w:lang w:bidi="fa-IR"/>
        </w:rPr>
        <w:t>ٌ</w:t>
      </w:r>
      <w:r w:rsidRPr="00282AC9">
        <w:rPr>
          <w:color w:val="auto"/>
          <w:rtl/>
          <w:lang w:bidi="fa-IR"/>
        </w:rPr>
        <w:t xml:space="preserve"> عقيمة</w:t>
      </w:r>
      <w:r w:rsidRPr="00282AC9">
        <w:rPr>
          <w:rFonts w:eastAsia="Calibri" w:hint="cs"/>
          <w:color w:val="auto"/>
          <w:rtl/>
        </w:rPr>
        <w:t>...</w:t>
      </w:r>
      <w:r w:rsidRPr="00282AC9">
        <w:rPr>
          <w:color w:val="auto"/>
          <w:rtl/>
          <w:lang w:bidi="fa-IR"/>
        </w:rPr>
        <w:t>لا تعين زوجها على خير</w:t>
      </w:r>
      <w:r w:rsidRPr="00282AC9">
        <w:rPr>
          <w:rFonts w:eastAsia="Calibri" w:hint="cs"/>
          <w:color w:val="auto"/>
          <w:rtl/>
        </w:rPr>
        <w:t>ٍ</w:t>
      </w:r>
      <w:r w:rsidRPr="00282AC9">
        <w:rPr>
          <w:color w:val="auto"/>
          <w:rtl/>
        </w:rPr>
        <w:t>»</w:t>
      </w:r>
    </w:p>
    <w:p w:rsidR="001153F1" w:rsidRPr="00282AC9" w:rsidRDefault="00903138" w:rsidP="003E218F">
      <w:pPr>
        <w:rPr>
          <w:rFonts w:ascii="Mosawi" w:hAnsi="Mosawi"/>
          <w:sz w:val="27"/>
          <w:rtl/>
          <w:lang w:bidi="fa-IR"/>
        </w:rPr>
      </w:pPr>
      <w:r w:rsidRPr="00282AC9">
        <w:rPr>
          <w:rFonts w:ascii="Cambria" w:eastAsia="Calibri" w:hAnsi="Cambria" w:hint="cs"/>
          <w:sz w:val="27"/>
          <w:rtl/>
        </w:rPr>
        <w:t xml:space="preserve">وهي </w:t>
      </w:r>
      <w:r w:rsidR="001153F1" w:rsidRPr="00282AC9">
        <w:rPr>
          <w:rFonts w:ascii="Cambria" w:eastAsia="Calibri" w:hAnsi="Cambria"/>
          <w:sz w:val="27"/>
          <w:rtl/>
        </w:rPr>
        <w:t>خبر إبراهيم الك</w:t>
      </w:r>
      <w:r w:rsidR="000058D5" w:rsidRPr="00282AC9">
        <w:rPr>
          <w:rFonts w:ascii="Cambria" w:eastAsia="Calibri" w:hAnsi="Cambria" w:hint="cs"/>
          <w:sz w:val="27"/>
          <w:rtl/>
        </w:rPr>
        <w:t>َ</w:t>
      </w:r>
      <w:r w:rsidR="001153F1" w:rsidRPr="00282AC9">
        <w:rPr>
          <w:rFonts w:ascii="Cambria" w:eastAsia="Calibri" w:hAnsi="Cambria"/>
          <w:sz w:val="27"/>
          <w:rtl/>
        </w:rPr>
        <w:t>ر</w:t>
      </w:r>
      <w:r w:rsidR="000058D5" w:rsidRPr="00282AC9">
        <w:rPr>
          <w:rFonts w:ascii="Cambria" w:eastAsia="Calibri" w:hAnsi="Cambria" w:hint="cs"/>
          <w:sz w:val="27"/>
          <w:rtl/>
        </w:rPr>
        <w:t>ْ</w:t>
      </w:r>
      <w:r w:rsidR="001153F1" w:rsidRPr="00282AC9">
        <w:rPr>
          <w:rFonts w:ascii="Cambria" w:eastAsia="Calibri" w:hAnsi="Cambria"/>
          <w:sz w:val="27"/>
          <w:rtl/>
        </w:rPr>
        <w:t>خي</w:t>
      </w:r>
      <w:r w:rsidR="001153F1" w:rsidRPr="00282AC9">
        <w:rPr>
          <w:rFonts w:ascii="Cambria" w:eastAsia="Calibri" w:hAnsi="Cambria" w:hint="cs"/>
          <w:sz w:val="27"/>
          <w:rtl/>
        </w:rPr>
        <w:t xml:space="preserve"> </w:t>
      </w:r>
      <w:r w:rsidR="001153F1" w:rsidRPr="00282AC9">
        <w:rPr>
          <w:rFonts w:ascii="Mosawi" w:hAnsi="Mosawi"/>
          <w:sz w:val="27"/>
          <w:rtl/>
        </w:rPr>
        <w:t>قال: قلت</w:t>
      </w:r>
      <w:r w:rsidRPr="00282AC9">
        <w:rPr>
          <w:rFonts w:ascii="Mosawi" w:hAnsi="Mosawi" w:hint="cs"/>
          <w:sz w:val="27"/>
          <w:rtl/>
        </w:rPr>
        <w:t>ُ</w:t>
      </w:r>
      <w:r w:rsidR="001153F1" w:rsidRPr="00282AC9">
        <w:rPr>
          <w:rFonts w:ascii="Mosawi" w:hAnsi="Mosawi"/>
          <w:sz w:val="27"/>
          <w:rtl/>
        </w:rPr>
        <w:t xml:space="preserve"> لأبي عبد الله</w:t>
      </w:r>
      <w:r w:rsidR="009A2A04" w:rsidRPr="00282AC9">
        <w:rPr>
          <w:rFonts w:ascii="Mosawi" w:hAnsi="Mosawi" w:cs="Mosawi"/>
          <w:sz w:val="22"/>
          <w:szCs w:val="22"/>
          <w:rtl/>
        </w:rPr>
        <w:t>×</w:t>
      </w:r>
      <w:r w:rsidR="001153F1" w:rsidRPr="00282AC9">
        <w:rPr>
          <w:rFonts w:ascii="Mosawi" w:hAnsi="Mosawi" w:hint="cs"/>
          <w:sz w:val="27"/>
          <w:rtl/>
        </w:rPr>
        <w:t>:</w:t>
      </w:r>
      <w:r w:rsidR="001153F1" w:rsidRPr="00282AC9">
        <w:rPr>
          <w:rFonts w:ascii="Mosawi" w:hAnsi="Mosawi"/>
          <w:sz w:val="27"/>
          <w:rtl/>
        </w:rPr>
        <w:t xml:space="preserve"> إن</w:t>
      </w:r>
      <w:r w:rsidR="001153F1" w:rsidRPr="00282AC9">
        <w:rPr>
          <w:rFonts w:ascii="Mosawi" w:hAnsi="Mosawi" w:hint="cs"/>
          <w:sz w:val="27"/>
          <w:rtl/>
        </w:rPr>
        <w:t>ّ</w:t>
      </w:r>
      <w:r w:rsidR="001153F1" w:rsidRPr="00282AC9">
        <w:rPr>
          <w:rFonts w:ascii="Mosawi" w:hAnsi="Mosawi"/>
          <w:sz w:val="27"/>
          <w:rtl/>
        </w:rPr>
        <w:t xml:space="preserve"> صاحبتي هلك</w:t>
      </w:r>
      <w:r w:rsidR="000058D5" w:rsidRPr="00282AC9">
        <w:rPr>
          <w:rFonts w:ascii="Mosawi" w:hAnsi="Mosawi" w:hint="cs"/>
          <w:sz w:val="27"/>
          <w:rtl/>
        </w:rPr>
        <w:t>َ</w:t>
      </w:r>
      <w:r w:rsidR="001153F1" w:rsidRPr="00282AC9">
        <w:rPr>
          <w:rFonts w:ascii="Mosawi" w:hAnsi="Mosawi"/>
          <w:sz w:val="27"/>
          <w:rtl/>
        </w:rPr>
        <w:t>ت</w:t>
      </w:r>
      <w:r w:rsidR="000058D5" w:rsidRPr="00282AC9">
        <w:rPr>
          <w:rFonts w:ascii="Mosawi" w:hAnsi="Mosawi" w:hint="cs"/>
          <w:sz w:val="27"/>
          <w:rtl/>
        </w:rPr>
        <w:t>ْ،</w:t>
      </w:r>
      <w:r w:rsidR="001153F1" w:rsidRPr="00282AC9">
        <w:rPr>
          <w:rFonts w:ascii="Mosawi" w:hAnsi="Mosawi"/>
          <w:sz w:val="27"/>
          <w:rtl/>
        </w:rPr>
        <w:t xml:space="preserve"> </w:t>
      </w:r>
      <w:r w:rsidR="001153F1" w:rsidRPr="00282AC9">
        <w:rPr>
          <w:rFonts w:ascii="Mosawi" w:hAnsi="Mosawi"/>
          <w:sz w:val="27"/>
          <w:rtl/>
        </w:rPr>
        <w:lastRenderedPageBreak/>
        <w:t>وكانت لي موافقة</w:t>
      </w:r>
      <w:r w:rsidR="000058D5" w:rsidRPr="00282AC9">
        <w:rPr>
          <w:rFonts w:ascii="Mosawi" w:hAnsi="Mosawi" w:hint="cs"/>
          <w:sz w:val="27"/>
          <w:rtl/>
        </w:rPr>
        <w:t>،</w:t>
      </w:r>
      <w:r w:rsidR="001153F1" w:rsidRPr="00282AC9">
        <w:rPr>
          <w:rFonts w:ascii="Mosawi" w:hAnsi="Mosawi"/>
          <w:sz w:val="27"/>
          <w:rtl/>
        </w:rPr>
        <w:t xml:space="preserve"> وقد هم</w:t>
      </w:r>
      <w:r w:rsidR="000058D5" w:rsidRPr="00282AC9">
        <w:rPr>
          <w:rFonts w:ascii="Mosawi" w:hAnsi="Mosawi" w:hint="cs"/>
          <w:sz w:val="27"/>
          <w:rtl/>
        </w:rPr>
        <w:t>َ</w:t>
      </w:r>
      <w:r w:rsidR="001153F1" w:rsidRPr="00282AC9">
        <w:rPr>
          <w:rFonts w:ascii="Mosawi" w:hAnsi="Mosawi"/>
          <w:sz w:val="27"/>
          <w:rtl/>
        </w:rPr>
        <w:t>م</w:t>
      </w:r>
      <w:r w:rsidR="000058D5" w:rsidRPr="00282AC9">
        <w:rPr>
          <w:rFonts w:ascii="Mosawi" w:hAnsi="Mosawi" w:hint="cs"/>
          <w:sz w:val="27"/>
          <w:rtl/>
        </w:rPr>
        <w:t>ْ</w:t>
      </w:r>
      <w:r w:rsidR="001153F1" w:rsidRPr="00282AC9">
        <w:rPr>
          <w:rFonts w:ascii="Mosawi" w:hAnsi="Mosawi"/>
          <w:sz w:val="27"/>
          <w:rtl/>
        </w:rPr>
        <w:t>ت</w:t>
      </w:r>
      <w:r w:rsidR="000058D5" w:rsidRPr="00282AC9">
        <w:rPr>
          <w:rFonts w:ascii="Mosawi" w:hAnsi="Mosawi" w:hint="cs"/>
          <w:sz w:val="27"/>
          <w:rtl/>
        </w:rPr>
        <w:t>ُ</w:t>
      </w:r>
      <w:r w:rsidR="001153F1" w:rsidRPr="00282AC9">
        <w:rPr>
          <w:rFonts w:ascii="Mosawi" w:hAnsi="Mosawi"/>
          <w:sz w:val="27"/>
          <w:rtl/>
        </w:rPr>
        <w:t xml:space="preserve"> أن أتزو</w:t>
      </w:r>
      <w:r w:rsidR="001153F1" w:rsidRPr="00282AC9">
        <w:rPr>
          <w:rFonts w:ascii="Mosawi" w:hAnsi="Mosawi" w:hint="cs"/>
          <w:sz w:val="27"/>
          <w:rtl/>
        </w:rPr>
        <w:t>ّ</w:t>
      </w:r>
      <w:r w:rsidR="000058D5" w:rsidRPr="00282AC9">
        <w:rPr>
          <w:rFonts w:ascii="Mosawi" w:hAnsi="Mosawi" w:hint="cs"/>
          <w:sz w:val="27"/>
          <w:rtl/>
        </w:rPr>
        <w:t>َ</w:t>
      </w:r>
      <w:r w:rsidR="001153F1" w:rsidRPr="00282AC9">
        <w:rPr>
          <w:rFonts w:ascii="Mosawi" w:hAnsi="Mosawi"/>
          <w:sz w:val="27"/>
          <w:rtl/>
        </w:rPr>
        <w:t>ج</w:t>
      </w:r>
      <w:r w:rsidR="000058D5" w:rsidRPr="00282AC9">
        <w:rPr>
          <w:rFonts w:ascii="Mosawi" w:hAnsi="Mosawi" w:hint="cs"/>
          <w:sz w:val="27"/>
          <w:rtl/>
        </w:rPr>
        <w:t>،</w:t>
      </w:r>
      <w:r w:rsidR="001153F1" w:rsidRPr="00282AC9">
        <w:rPr>
          <w:rFonts w:ascii="Mosawi" w:hAnsi="Mosawi"/>
          <w:sz w:val="27"/>
          <w:rtl/>
        </w:rPr>
        <w:t xml:space="preserve"> فقال لي</w:t>
      </w:r>
      <w:r w:rsidR="001153F1" w:rsidRPr="00282AC9">
        <w:rPr>
          <w:rFonts w:ascii="Mosawi" w:hAnsi="Mosawi" w:hint="cs"/>
          <w:sz w:val="27"/>
          <w:rtl/>
        </w:rPr>
        <w:t>:</w:t>
      </w:r>
      <w:r w:rsidR="001153F1" w:rsidRPr="00282AC9">
        <w:rPr>
          <w:rFonts w:ascii="Mosawi" w:hAnsi="Mosawi"/>
          <w:sz w:val="27"/>
          <w:rtl/>
          <w:lang w:bidi="fa-IR"/>
        </w:rPr>
        <w:t xml:space="preserve"> </w:t>
      </w:r>
      <w:r w:rsidR="001153F1" w:rsidRPr="00282AC9">
        <w:rPr>
          <w:rFonts w:ascii="Mosawi" w:hAnsi="Mosawi"/>
          <w:sz w:val="24"/>
          <w:szCs w:val="24"/>
          <w:rtl/>
          <w:lang w:bidi="fa-IR"/>
        </w:rPr>
        <w:t>«</w:t>
      </w:r>
      <w:r w:rsidR="000058D5" w:rsidRPr="00282AC9">
        <w:rPr>
          <w:rFonts w:ascii="Mosawi" w:hAnsi="Mosawi" w:hint="cs"/>
          <w:sz w:val="27"/>
          <w:rtl/>
          <w:lang w:bidi="fa-IR"/>
        </w:rPr>
        <w:t>ا</w:t>
      </w:r>
      <w:r w:rsidR="001153F1" w:rsidRPr="00282AC9">
        <w:rPr>
          <w:rFonts w:ascii="Mosawi" w:hAnsi="Mosawi"/>
          <w:sz w:val="27"/>
          <w:rtl/>
          <w:lang w:bidi="fa-IR"/>
        </w:rPr>
        <w:t>نظر أين تضع نفسك</w:t>
      </w:r>
      <w:r w:rsidR="000058D5" w:rsidRPr="00282AC9">
        <w:rPr>
          <w:rFonts w:ascii="Mosawi" w:hAnsi="Mosawi" w:hint="cs"/>
          <w:sz w:val="27"/>
          <w:rtl/>
          <w:lang w:bidi="fa-IR"/>
        </w:rPr>
        <w:t>،</w:t>
      </w:r>
      <w:r w:rsidR="001153F1" w:rsidRPr="00282AC9">
        <w:rPr>
          <w:rFonts w:ascii="Mosawi" w:hAnsi="Mosawi"/>
          <w:sz w:val="27"/>
          <w:rtl/>
          <w:lang w:bidi="fa-IR"/>
        </w:rPr>
        <w:t xml:space="preserve"> وم</w:t>
      </w:r>
      <w:r w:rsidR="000058D5" w:rsidRPr="00282AC9">
        <w:rPr>
          <w:rFonts w:ascii="Mosawi" w:hAnsi="Mosawi" w:hint="cs"/>
          <w:sz w:val="27"/>
          <w:rtl/>
          <w:lang w:bidi="fa-IR"/>
        </w:rPr>
        <w:t>َ</w:t>
      </w:r>
      <w:r w:rsidR="001153F1" w:rsidRPr="00282AC9">
        <w:rPr>
          <w:rFonts w:ascii="Mosawi" w:hAnsi="Mosawi"/>
          <w:sz w:val="27"/>
          <w:rtl/>
          <w:lang w:bidi="fa-IR"/>
        </w:rPr>
        <w:t>ن</w:t>
      </w:r>
      <w:r w:rsidR="000058D5" w:rsidRPr="00282AC9">
        <w:rPr>
          <w:rFonts w:ascii="Mosawi" w:hAnsi="Mosawi" w:hint="cs"/>
          <w:sz w:val="27"/>
          <w:rtl/>
          <w:lang w:bidi="fa-IR"/>
        </w:rPr>
        <w:t>ْ</w:t>
      </w:r>
      <w:r w:rsidR="001153F1" w:rsidRPr="00282AC9">
        <w:rPr>
          <w:rFonts w:ascii="Mosawi" w:hAnsi="Mosawi"/>
          <w:sz w:val="27"/>
          <w:rtl/>
          <w:lang w:bidi="fa-IR"/>
        </w:rPr>
        <w:t xml:space="preserve"> ت</w:t>
      </w:r>
      <w:r w:rsidR="001153F1" w:rsidRPr="00282AC9">
        <w:rPr>
          <w:rFonts w:ascii="Mosawi" w:hAnsi="Mosawi" w:hint="cs"/>
          <w:sz w:val="27"/>
          <w:rtl/>
          <w:lang w:bidi="fa-IR"/>
        </w:rPr>
        <w:t>ُ</w:t>
      </w:r>
      <w:r w:rsidR="001153F1" w:rsidRPr="00282AC9">
        <w:rPr>
          <w:rFonts w:ascii="Mosawi" w:hAnsi="Mosawi"/>
          <w:sz w:val="27"/>
          <w:rtl/>
          <w:lang w:bidi="fa-IR"/>
        </w:rPr>
        <w:t>شركه في مالك</w:t>
      </w:r>
      <w:r w:rsidR="000058D5" w:rsidRPr="00282AC9">
        <w:rPr>
          <w:rFonts w:ascii="Mosawi" w:hAnsi="Mosawi" w:hint="cs"/>
          <w:sz w:val="27"/>
          <w:rtl/>
          <w:lang w:bidi="fa-IR"/>
        </w:rPr>
        <w:t>،</w:t>
      </w:r>
      <w:r w:rsidR="001153F1" w:rsidRPr="00282AC9">
        <w:rPr>
          <w:rFonts w:ascii="Mosawi" w:hAnsi="Mosawi"/>
          <w:sz w:val="27"/>
          <w:rtl/>
          <w:lang w:bidi="fa-IR"/>
        </w:rPr>
        <w:t xml:space="preserve"> وتطلعه على دينك وسر</w:t>
      </w:r>
      <w:r w:rsidR="001153F1" w:rsidRPr="00282AC9">
        <w:rPr>
          <w:rFonts w:ascii="Mosawi" w:hAnsi="Mosawi" w:hint="cs"/>
          <w:sz w:val="27"/>
          <w:rtl/>
          <w:lang w:bidi="fa-IR"/>
        </w:rPr>
        <w:t>ّ</w:t>
      </w:r>
      <w:r w:rsidR="001153F1" w:rsidRPr="00282AC9">
        <w:rPr>
          <w:rFonts w:ascii="Mosawi" w:hAnsi="Mosawi"/>
          <w:sz w:val="27"/>
          <w:rtl/>
          <w:lang w:bidi="fa-IR"/>
        </w:rPr>
        <w:t>ك</w:t>
      </w:r>
      <w:r w:rsidR="000058D5" w:rsidRPr="00282AC9">
        <w:rPr>
          <w:rFonts w:ascii="Mosawi" w:hAnsi="Mosawi" w:hint="cs"/>
          <w:sz w:val="27"/>
          <w:rtl/>
          <w:lang w:bidi="fa-IR"/>
        </w:rPr>
        <w:t>؛</w:t>
      </w:r>
      <w:r w:rsidR="001153F1" w:rsidRPr="00282AC9">
        <w:rPr>
          <w:rFonts w:ascii="Mosawi" w:hAnsi="Mosawi"/>
          <w:sz w:val="27"/>
          <w:rtl/>
          <w:lang w:bidi="fa-IR"/>
        </w:rPr>
        <w:t xml:space="preserve"> فإن</w:t>
      </w:r>
      <w:r w:rsidR="000058D5" w:rsidRPr="00282AC9">
        <w:rPr>
          <w:rFonts w:ascii="Mosawi" w:hAnsi="Mosawi" w:hint="cs"/>
          <w:sz w:val="27"/>
          <w:rtl/>
          <w:lang w:bidi="fa-IR"/>
        </w:rPr>
        <w:t>ْ</w:t>
      </w:r>
      <w:r w:rsidR="001153F1" w:rsidRPr="00282AC9">
        <w:rPr>
          <w:rFonts w:ascii="Mosawi" w:hAnsi="Mosawi"/>
          <w:sz w:val="27"/>
          <w:rtl/>
          <w:lang w:bidi="fa-IR"/>
        </w:rPr>
        <w:t xml:space="preserve"> كنت</w:t>
      </w:r>
      <w:r w:rsidR="000058D5" w:rsidRPr="00282AC9">
        <w:rPr>
          <w:rFonts w:ascii="Mosawi" w:hAnsi="Mosawi" w:hint="cs"/>
          <w:sz w:val="27"/>
          <w:rtl/>
          <w:lang w:bidi="fa-IR"/>
        </w:rPr>
        <w:t>َ</w:t>
      </w:r>
      <w:r w:rsidR="001153F1" w:rsidRPr="00282AC9">
        <w:rPr>
          <w:rFonts w:ascii="Mosawi" w:hAnsi="Mosawi"/>
          <w:sz w:val="27"/>
          <w:rtl/>
          <w:lang w:bidi="fa-IR"/>
        </w:rPr>
        <w:t xml:space="preserve"> </w:t>
      </w:r>
      <w:r w:rsidR="00674EF5" w:rsidRPr="00282AC9">
        <w:rPr>
          <w:rFonts w:ascii="Mosawi" w:hAnsi="Mosawi"/>
          <w:sz w:val="27"/>
          <w:rtl/>
          <w:lang w:bidi="fa-IR"/>
        </w:rPr>
        <w:t>لا بُدَّ</w:t>
      </w:r>
      <w:r w:rsidR="001153F1" w:rsidRPr="00282AC9">
        <w:rPr>
          <w:rFonts w:ascii="Mosawi" w:hAnsi="Mosawi"/>
          <w:sz w:val="27"/>
          <w:rtl/>
          <w:lang w:bidi="fa-IR"/>
        </w:rPr>
        <w:t xml:space="preserve"> فاعلا</w:t>
      </w:r>
      <w:r w:rsidR="001153F1" w:rsidRPr="00282AC9">
        <w:rPr>
          <w:rFonts w:ascii="Mosawi" w:hAnsi="Mosawi" w:hint="cs"/>
          <w:sz w:val="27"/>
          <w:rtl/>
          <w:lang w:bidi="fa-IR"/>
        </w:rPr>
        <w:t>ً</w:t>
      </w:r>
      <w:r w:rsidR="001153F1" w:rsidRPr="00282AC9">
        <w:rPr>
          <w:rFonts w:ascii="Mosawi" w:hAnsi="Mosawi"/>
          <w:sz w:val="27"/>
          <w:rtl/>
          <w:lang w:bidi="fa-IR"/>
        </w:rPr>
        <w:t xml:space="preserve"> فب</w:t>
      </w:r>
      <w:r w:rsidR="000058D5" w:rsidRPr="00282AC9">
        <w:rPr>
          <w:rFonts w:ascii="Mosawi" w:hAnsi="Mosawi" w:hint="cs"/>
          <w:sz w:val="27"/>
          <w:rtl/>
          <w:lang w:bidi="fa-IR"/>
        </w:rPr>
        <w:t>ِ</w:t>
      </w:r>
      <w:r w:rsidR="001153F1" w:rsidRPr="00282AC9">
        <w:rPr>
          <w:rFonts w:ascii="Mosawi" w:hAnsi="Mosawi"/>
          <w:sz w:val="27"/>
          <w:rtl/>
          <w:lang w:bidi="fa-IR"/>
        </w:rPr>
        <w:t>ك</w:t>
      </w:r>
      <w:r w:rsidR="000058D5" w:rsidRPr="00282AC9">
        <w:rPr>
          <w:rFonts w:ascii="Mosawi" w:hAnsi="Mosawi" w:hint="cs"/>
          <w:sz w:val="27"/>
          <w:rtl/>
          <w:lang w:bidi="fa-IR"/>
        </w:rPr>
        <w:t>ْ</w:t>
      </w:r>
      <w:r w:rsidR="001153F1" w:rsidRPr="00282AC9">
        <w:rPr>
          <w:rFonts w:ascii="Mosawi" w:hAnsi="Mosawi"/>
          <w:sz w:val="27"/>
          <w:rtl/>
          <w:lang w:bidi="fa-IR"/>
        </w:rPr>
        <w:t>را</w:t>
      </w:r>
      <w:r w:rsidR="000058D5" w:rsidRPr="00282AC9">
        <w:rPr>
          <w:rFonts w:ascii="Mosawi" w:hAnsi="Mosawi" w:hint="cs"/>
          <w:sz w:val="27"/>
          <w:rtl/>
          <w:lang w:bidi="fa-IR"/>
        </w:rPr>
        <w:t>ً،</w:t>
      </w:r>
      <w:r w:rsidR="001153F1" w:rsidRPr="00282AC9">
        <w:rPr>
          <w:rFonts w:ascii="Mosawi" w:hAnsi="Mosawi"/>
          <w:sz w:val="27"/>
          <w:rtl/>
          <w:lang w:bidi="fa-IR"/>
        </w:rPr>
        <w:t xml:space="preserve"> تنسب إلى الخير</w:t>
      </w:r>
      <w:r w:rsidR="000058D5" w:rsidRPr="00282AC9">
        <w:rPr>
          <w:rFonts w:ascii="Mosawi" w:hAnsi="Mosawi" w:hint="cs"/>
          <w:sz w:val="27"/>
          <w:rtl/>
          <w:lang w:bidi="fa-IR"/>
        </w:rPr>
        <w:t>،</w:t>
      </w:r>
      <w:r w:rsidR="001153F1" w:rsidRPr="00282AC9">
        <w:rPr>
          <w:rFonts w:ascii="Mosawi" w:hAnsi="Mosawi"/>
          <w:sz w:val="27"/>
          <w:rtl/>
          <w:lang w:bidi="fa-IR"/>
        </w:rPr>
        <w:t xml:space="preserve"> وإلى ح</w:t>
      </w:r>
      <w:r w:rsidR="000058D5" w:rsidRPr="00282AC9">
        <w:rPr>
          <w:rFonts w:ascii="Mosawi" w:hAnsi="Mosawi" w:hint="cs"/>
          <w:sz w:val="27"/>
          <w:rtl/>
          <w:lang w:bidi="fa-IR"/>
        </w:rPr>
        <w:t>ُ</w:t>
      </w:r>
      <w:r w:rsidR="001153F1" w:rsidRPr="00282AC9">
        <w:rPr>
          <w:rFonts w:ascii="Mosawi" w:hAnsi="Mosawi"/>
          <w:sz w:val="27"/>
          <w:rtl/>
          <w:lang w:bidi="fa-IR"/>
        </w:rPr>
        <w:t>س</w:t>
      </w:r>
      <w:r w:rsidR="000058D5" w:rsidRPr="00282AC9">
        <w:rPr>
          <w:rFonts w:ascii="Mosawi" w:hAnsi="Mosawi" w:hint="cs"/>
          <w:sz w:val="27"/>
          <w:rtl/>
          <w:lang w:bidi="fa-IR"/>
        </w:rPr>
        <w:t>ْ</w:t>
      </w:r>
      <w:r w:rsidR="001153F1" w:rsidRPr="00282AC9">
        <w:rPr>
          <w:rFonts w:ascii="Mosawi" w:hAnsi="Mosawi"/>
          <w:sz w:val="27"/>
          <w:rtl/>
          <w:lang w:bidi="fa-IR"/>
        </w:rPr>
        <w:t>ن الخلق</w:t>
      </w:r>
      <w:r w:rsidR="000058D5" w:rsidRPr="00282AC9">
        <w:rPr>
          <w:rFonts w:ascii="Mosawi" w:hAnsi="Mosawi" w:hint="cs"/>
          <w:sz w:val="27"/>
          <w:rtl/>
          <w:lang w:bidi="fa-IR"/>
        </w:rPr>
        <w:t>،</w:t>
      </w:r>
      <w:r w:rsidR="001153F1" w:rsidRPr="00282AC9">
        <w:rPr>
          <w:rFonts w:ascii="Mosawi" w:hAnsi="Mosawi"/>
          <w:sz w:val="27"/>
          <w:rtl/>
          <w:lang w:bidi="fa-IR"/>
        </w:rPr>
        <w:t xml:space="preserve"> واعل</w:t>
      </w:r>
      <w:r w:rsidR="000058D5" w:rsidRPr="00282AC9">
        <w:rPr>
          <w:rFonts w:ascii="Mosawi" w:hAnsi="Mosawi" w:hint="cs"/>
          <w:sz w:val="27"/>
          <w:rtl/>
          <w:lang w:bidi="fa-IR"/>
        </w:rPr>
        <w:t>َ</w:t>
      </w:r>
      <w:r w:rsidR="001153F1" w:rsidRPr="00282AC9">
        <w:rPr>
          <w:rFonts w:ascii="Mosawi" w:hAnsi="Mosawi"/>
          <w:sz w:val="27"/>
          <w:rtl/>
          <w:lang w:bidi="fa-IR"/>
        </w:rPr>
        <w:t>م</w:t>
      </w:r>
      <w:r w:rsidR="000058D5" w:rsidRPr="00282AC9">
        <w:rPr>
          <w:rFonts w:ascii="Mosawi" w:hAnsi="Mosawi" w:hint="cs"/>
          <w:sz w:val="27"/>
          <w:rtl/>
          <w:lang w:bidi="fa-IR"/>
        </w:rPr>
        <w:t>ْ</w:t>
      </w:r>
      <w:r w:rsidR="001153F1" w:rsidRPr="00282AC9">
        <w:rPr>
          <w:rFonts w:ascii="Mosawi" w:hAnsi="Mosawi"/>
          <w:sz w:val="27"/>
          <w:rtl/>
          <w:lang w:bidi="fa-IR"/>
        </w:rPr>
        <w:t xml:space="preserve"> أنه</w:t>
      </w:r>
      <w:r w:rsidR="000058D5" w:rsidRPr="00282AC9">
        <w:rPr>
          <w:rFonts w:ascii="Mosawi" w:hAnsi="Mosawi" w:hint="cs"/>
          <w:sz w:val="27"/>
          <w:rtl/>
          <w:lang w:bidi="fa-IR"/>
        </w:rPr>
        <w:t>ُ</w:t>
      </w:r>
      <w:r w:rsidR="001153F1" w:rsidRPr="00282AC9">
        <w:rPr>
          <w:rFonts w:ascii="Mosawi" w:hAnsi="Mosawi"/>
          <w:sz w:val="27"/>
          <w:rtl/>
          <w:lang w:bidi="fa-IR"/>
        </w:rPr>
        <w:t>ن</w:t>
      </w:r>
      <w:r w:rsidR="000058D5" w:rsidRPr="00282AC9">
        <w:rPr>
          <w:rFonts w:ascii="Mosawi" w:hAnsi="Mosawi" w:hint="cs"/>
          <w:sz w:val="27"/>
          <w:rtl/>
          <w:lang w:bidi="fa-IR"/>
        </w:rPr>
        <w:t>َّ</w:t>
      </w:r>
      <w:r w:rsidR="001153F1" w:rsidRPr="00282AC9">
        <w:rPr>
          <w:rFonts w:ascii="Mosawi" w:hAnsi="Mosawi"/>
          <w:sz w:val="27"/>
          <w:rtl/>
          <w:lang w:bidi="fa-IR"/>
        </w:rPr>
        <w:t xml:space="preserve"> كما قال‏</w:t>
      </w:r>
      <w:r w:rsidR="001153F1" w:rsidRPr="00282AC9">
        <w:rPr>
          <w:rFonts w:ascii="Mosawi" w:hAnsi="Mosawi" w:hint="cs"/>
          <w:sz w:val="27"/>
          <w:rtl/>
          <w:lang w:bidi="fa-IR"/>
        </w:rPr>
        <w:t>:</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35"/>
        <w:gridCol w:w="850"/>
        <w:gridCol w:w="2835"/>
      </w:tblGrid>
      <w:tr w:rsidR="000058D5" w:rsidRPr="00282AC9" w:rsidTr="00D97AF1">
        <w:trPr>
          <w:jc w:val="center"/>
        </w:trPr>
        <w:tc>
          <w:tcPr>
            <w:tcW w:w="2835" w:type="dxa"/>
          </w:tcPr>
          <w:p w:rsidR="000058D5" w:rsidRPr="00282AC9" w:rsidRDefault="00FA2023" w:rsidP="00A6196F">
            <w:pPr>
              <w:spacing w:line="240" w:lineRule="auto"/>
              <w:ind w:firstLine="0"/>
              <w:jc w:val="lowKashida"/>
              <w:rPr>
                <w:sz w:val="2"/>
                <w:szCs w:val="2"/>
                <w:rtl/>
              </w:rPr>
            </w:pPr>
            <w:r w:rsidRPr="00282AC9">
              <w:rPr>
                <w:sz w:val="27"/>
                <w:rtl/>
              </w:rPr>
              <w:t>ألا إن الن</w:t>
            </w:r>
            <w:r w:rsidRPr="00282AC9">
              <w:rPr>
                <w:rFonts w:hint="cs"/>
                <w:sz w:val="27"/>
                <w:rtl/>
              </w:rPr>
              <w:t>ِّ</w:t>
            </w:r>
            <w:r w:rsidRPr="00282AC9">
              <w:rPr>
                <w:sz w:val="27"/>
                <w:rtl/>
              </w:rPr>
              <w:t>ساء خ</w:t>
            </w:r>
            <w:r w:rsidRPr="00282AC9">
              <w:rPr>
                <w:rFonts w:hint="cs"/>
                <w:sz w:val="27"/>
                <w:rtl/>
              </w:rPr>
              <w:t>ُ</w:t>
            </w:r>
            <w:r w:rsidRPr="00282AC9">
              <w:rPr>
                <w:sz w:val="27"/>
                <w:rtl/>
              </w:rPr>
              <w:t>لق</w:t>
            </w:r>
            <w:r w:rsidRPr="00282AC9">
              <w:rPr>
                <w:rFonts w:hint="cs"/>
                <w:sz w:val="27"/>
                <w:rtl/>
              </w:rPr>
              <w:t>ْ</w:t>
            </w:r>
            <w:r w:rsidRPr="00282AC9">
              <w:rPr>
                <w:sz w:val="27"/>
                <w:rtl/>
              </w:rPr>
              <w:t>ن</w:t>
            </w:r>
            <w:r w:rsidRPr="00282AC9">
              <w:rPr>
                <w:rFonts w:hint="cs"/>
                <w:sz w:val="27"/>
                <w:rtl/>
              </w:rPr>
              <w:t>َ</w:t>
            </w:r>
            <w:r w:rsidRPr="00282AC9">
              <w:rPr>
                <w:sz w:val="27"/>
                <w:rtl/>
              </w:rPr>
              <w:t xml:space="preserve"> شت</w:t>
            </w:r>
            <w:r w:rsidRPr="00282AC9">
              <w:rPr>
                <w:rFonts w:hint="cs"/>
                <w:sz w:val="27"/>
                <w:rtl/>
              </w:rPr>
              <w:t>ّ</w:t>
            </w:r>
            <w:r w:rsidRPr="00282AC9">
              <w:rPr>
                <w:sz w:val="27"/>
                <w:rtl/>
              </w:rPr>
              <w:t>ى</w:t>
            </w:r>
            <w:r w:rsidR="000058D5" w:rsidRPr="00282AC9">
              <w:rPr>
                <w:rFonts w:hint="cs"/>
                <w:sz w:val="27"/>
                <w:rtl/>
              </w:rPr>
              <w:br/>
            </w:r>
          </w:p>
        </w:tc>
        <w:tc>
          <w:tcPr>
            <w:tcW w:w="850" w:type="dxa"/>
          </w:tcPr>
          <w:p w:rsidR="000058D5" w:rsidRPr="00282AC9" w:rsidRDefault="000058D5" w:rsidP="00A6196F">
            <w:pPr>
              <w:spacing w:line="240" w:lineRule="auto"/>
              <w:ind w:firstLine="0"/>
              <w:jc w:val="lowKashida"/>
              <w:rPr>
                <w:sz w:val="27"/>
                <w:rtl/>
              </w:rPr>
            </w:pPr>
          </w:p>
        </w:tc>
        <w:tc>
          <w:tcPr>
            <w:tcW w:w="2835" w:type="dxa"/>
          </w:tcPr>
          <w:p w:rsidR="000058D5" w:rsidRPr="00282AC9" w:rsidRDefault="00FA2023" w:rsidP="00A6196F">
            <w:pPr>
              <w:spacing w:line="240" w:lineRule="auto"/>
              <w:ind w:firstLine="0"/>
              <w:jc w:val="lowKashida"/>
              <w:rPr>
                <w:sz w:val="2"/>
                <w:szCs w:val="2"/>
                <w:rtl/>
              </w:rPr>
            </w:pPr>
            <w:r w:rsidRPr="00282AC9">
              <w:rPr>
                <w:sz w:val="27"/>
                <w:rtl/>
              </w:rPr>
              <w:t>فمنه</w:t>
            </w:r>
            <w:r w:rsidRPr="00282AC9">
              <w:rPr>
                <w:rFonts w:hint="cs"/>
                <w:sz w:val="27"/>
                <w:rtl/>
              </w:rPr>
              <w:t>ُ</w:t>
            </w:r>
            <w:r w:rsidRPr="00282AC9">
              <w:rPr>
                <w:sz w:val="27"/>
                <w:rtl/>
              </w:rPr>
              <w:t>ن</w:t>
            </w:r>
            <w:r w:rsidRPr="00282AC9">
              <w:rPr>
                <w:rFonts w:hint="cs"/>
                <w:sz w:val="27"/>
                <w:rtl/>
              </w:rPr>
              <w:t>َّ</w:t>
            </w:r>
            <w:r w:rsidRPr="00282AC9">
              <w:rPr>
                <w:sz w:val="27"/>
                <w:rtl/>
              </w:rPr>
              <w:t xml:space="preserve"> الغنيمة والغرام</w:t>
            </w:r>
            <w:r w:rsidRPr="00282AC9">
              <w:rPr>
                <w:rFonts w:hint="cs"/>
                <w:sz w:val="27"/>
                <w:rtl/>
              </w:rPr>
              <w:t>ُ</w:t>
            </w:r>
            <w:r w:rsidR="000058D5" w:rsidRPr="00282AC9">
              <w:rPr>
                <w:rFonts w:hint="cs"/>
                <w:sz w:val="27"/>
                <w:rtl/>
              </w:rPr>
              <w:br/>
            </w:r>
          </w:p>
        </w:tc>
      </w:tr>
      <w:tr w:rsidR="000058D5" w:rsidRPr="00282AC9" w:rsidTr="00D97AF1">
        <w:trPr>
          <w:jc w:val="center"/>
        </w:trPr>
        <w:tc>
          <w:tcPr>
            <w:tcW w:w="2835" w:type="dxa"/>
          </w:tcPr>
          <w:p w:rsidR="000058D5" w:rsidRPr="00282AC9" w:rsidRDefault="00FA2023" w:rsidP="00A6196F">
            <w:pPr>
              <w:spacing w:line="240" w:lineRule="auto"/>
              <w:ind w:firstLine="0"/>
              <w:jc w:val="lowKashida"/>
              <w:rPr>
                <w:sz w:val="2"/>
                <w:szCs w:val="2"/>
                <w:rtl/>
              </w:rPr>
            </w:pPr>
            <w:r w:rsidRPr="00282AC9">
              <w:rPr>
                <w:sz w:val="27"/>
                <w:rtl/>
              </w:rPr>
              <w:t>ومنه</w:t>
            </w:r>
            <w:r w:rsidRPr="00282AC9">
              <w:rPr>
                <w:rFonts w:hint="cs"/>
                <w:sz w:val="27"/>
                <w:rtl/>
              </w:rPr>
              <w:t>ُ</w:t>
            </w:r>
            <w:r w:rsidRPr="00282AC9">
              <w:rPr>
                <w:sz w:val="27"/>
                <w:rtl/>
              </w:rPr>
              <w:t>ن</w:t>
            </w:r>
            <w:r w:rsidRPr="00282AC9">
              <w:rPr>
                <w:rFonts w:hint="cs"/>
                <w:sz w:val="27"/>
                <w:rtl/>
              </w:rPr>
              <w:t>َّ</w:t>
            </w:r>
            <w:r w:rsidRPr="00282AC9">
              <w:rPr>
                <w:sz w:val="27"/>
                <w:rtl/>
              </w:rPr>
              <w:t xml:space="preserve"> الهلال إذا تجل</w:t>
            </w:r>
            <w:r w:rsidRPr="00282AC9">
              <w:rPr>
                <w:rFonts w:hint="cs"/>
                <w:sz w:val="27"/>
                <w:rtl/>
              </w:rPr>
              <w:t>ّ</w:t>
            </w:r>
            <w:r w:rsidRPr="00282AC9">
              <w:rPr>
                <w:sz w:val="27"/>
                <w:rtl/>
              </w:rPr>
              <w:t>ى</w:t>
            </w:r>
            <w:r w:rsidR="000058D5" w:rsidRPr="00282AC9">
              <w:rPr>
                <w:rFonts w:hint="cs"/>
                <w:sz w:val="27"/>
                <w:rtl/>
              </w:rPr>
              <w:br/>
            </w:r>
          </w:p>
        </w:tc>
        <w:tc>
          <w:tcPr>
            <w:tcW w:w="850" w:type="dxa"/>
          </w:tcPr>
          <w:p w:rsidR="000058D5" w:rsidRPr="00282AC9" w:rsidRDefault="000058D5" w:rsidP="00A6196F">
            <w:pPr>
              <w:spacing w:line="240" w:lineRule="auto"/>
              <w:ind w:firstLine="0"/>
              <w:jc w:val="lowKashida"/>
              <w:rPr>
                <w:sz w:val="27"/>
                <w:rtl/>
              </w:rPr>
            </w:pPr>
          </w:p>
        </w:tc>
        <w:tc>
          <w:tcPr>
            <w:tcW w:w="2835" w:type="dxa"/>
          </w:tcPr>
          <w:p w:rsidR="000058D5" w:rsidRPr="00282AC9" w:rsidRDefault="00FA2023" w:rsidP="00A6196F">
            <w:pPr>
              <w:spacing w:line="240" w:lineRule="auto"/>
              <w:ind w:firstLine="0"/>
              <w:jc w:val="lowKashida"/>
              <w:rPr>
                <w:sz w:val="2"/>
                <w:szCs w:val="2"/>
                <w:rtl/>
              </w:rPr>
            </w:pPr>
            <w:r w:rsidRPr="00282AC9">
              <w:rPr>
                <w:sz w:val="27"/>
                <w:rtl/>
              </w:rPr>
              <w:t>لصاحبه ومنه</w:t>
            </w:r>
            <w:r w:rsidRPr="00282AC9">
              <w:rPr>
                <w:rFonts w:hint="cs"/>
                <w:sz w:val="27"/>
                <w:rtl/>
              </w:rPr>
              <w:t>ُ</w:t>
            </w:r>
            <w:r w:rsidRPr="00282AC9">
              <w:rPr>
                <w:sz w:val="27"/>
                <w:rtl/>
              </w:rPr>
              <w:t>ن</w:t>
            </w:r>
            <w:r w:rsidRPr="00282AC9">
              <w:rPr>
                <w:rFonts w:hint="cs"/>
                <w:sz w:val="27"/>
                <w:rtl/>
              </w:rPr>
              <w:t>َّ</w:t>
            </w:r>
            <w:r w:rsidRPr="00282AC9">
              <w:rPr>
                <w:sz w:val="27"/>
                <w:rtl/>
              </w:rPr>
              <w:t xml:space="preserve"> الظلام</w:t>
            </w:r>
            <w:r w:rsidRPr="00282AC9">
              <w:rPr>
                <w:rFonts w:hint="cs"/>
                <w:sz w:val="27"/>
                <w:rtl/>
              </w:rPr>
              <w:t>ُ</w:t>
            </w:r>
            <w:r w:rsidR="000058D5" w:rsidRPr="00282AC9">
              <w:rPr>
                <w:rFonts w:hint="cs"/>
                <w:sz w:val="27"/>
                <w:rtl/>
              </w:rPr>
              <w:br/>
            </w:r>
          </w:p>
        </w:tc>
      </w:tr>
      <w:tr w:rsidR="000058D5" w:rsidRPr="00282AC9" w:rsidTr="00D97AF1">
        <w:trPr>
          <w:jc w:val="center"/>
        </w:trPr>
        <w:tc>
          <w:tcPr>
            <w:tcW w:w="2835" w:type="dxa"/>
          </w:tcPr>
          <w:p w:rsidR="000058D5" w:rsidRPr="00282AC9" w:rsidRDefault="00FA2023" w:rsidP="00A6196F">
            <w:pPr>
              <w:spacing w:line="240" w:lineRule="auto"/>
              <w:ind w:firstLine="0"/>
              <w:jc w:val="lowKashida"/>
              <w:rPr>
                <w:sz w:val="2"/>
                <w:szCs w:val="2"/>
                <w:rtl/>
              </w:rPr>
            </w:pPr>
            <w:r w:rsidRPr="00282AC9">
              <w:rPr>
                <w:sz w:val="27"/>
                <w:rtl/>
              </w:rPr>
              <w:t>فم</w:t>
            </w:r>
            <w:r w:rsidRPr="00282AC9">
              <w:rPr>
                <w:rFonts w:hint="cs"/>
                <w:sz w:val="27"/>
                <w:rtl/>
              </w:rPr>
              <w:t>َ</w:t>
            </w:r>
            <w:r w:rsidRPr="00282AC9">
              <w:rPr>
                <w:sz w:val="27"/>
                <w:rtl/>
              </w:rPr>
              <w:t>ن</w:t>
            </w:r>
            <w:r w:rsidRPr="00282AC9">
              <w:rPr>
                <w:rFonts w:hint="cs"/>
                <w:sz w:val="27"/>
                <w:rtl/>
              </w:rPr>
              <w:t>ْ</w:t>
            </w:r>
            <w:r w:rsidRPr="00282AC9">
              <w:rPr>
                <w:sz w:val="27"/>
                <w:rtl/>
              </w:rPr>
              <w:t xml:space="preserve"> يظفر بصالحه</w:t>
            </w:r>
            <w:r w:rsidRPr="00282AC9">
              <w:rPr>
                <w:rFonts w:hint="cs"/>
                <w:sz w:val="27"/>
                <w:rtl/>
              </w:rPr>
              <w:t>ِ</w:t>
            </w:r>
            <w:r w:rsidRPr="00282AC9">
              <w:rPr>
                <w:sz w:val="27"/>
                <w:rtl/>
              </w:rPr>
              <w:t>ن</w:t>
            </w:r>
            <w:r w:rsidRPr="00282AC9">
              <w:rPr>
                <w:rFonts w:hint="cs"/>
                <w:sz w:val="27"/>
                <w:rtl/>
              </w:rPr>
              <w:t>َّ</w:t>
            </w:r>
            <w:r w:rsidRPr="00282AC9">
              <w:rPr>
                <w:sz w:val="27"/>
                <w:rtl/>
              </w:rPr>
              <w:t xml:space="preserve"> يسعد</w:t>
            </w:r>
            <w:r w:rsidR="000058D5" w:rsidRPr="00282AC9">
              <w:rPr>
                <w:rFonts w:hint="cs"/>
                <w:sz w:val="27"/>
                <w:rtl/>
              </w:rPr>
              <w:br/>
            </w:r>
          </w:p>
        </w:tc>
        <w:tc>
          <w:tcPr>
            <w:tcW w:w="850" w:type="dxa"/>
          </w:tcPr>
          <w:p w:rsidR="000058D5" w:rsidRPr="00282AC9" w:rsidRDefault="000058D5" w:rsidP="00A6196F">
            <w:pPr>
              <w:spacing w:line="240" w:lineRule="auto"/>
              <w:ind w:firstLine="0"/>
              <w:jc w:val="lowKashida"/>
              <w:rPr>
                <w:sz w:val="27"/>
                <w:rtl/>
              </w:rPr>
            </w:pPr>
          </w:p>
        </w:tc>
        <w:tc>
          <w:tcPr>
            <w:tcW w:w="2835" w:type="dxa"/>
          </w:tcPr>
          <w:p w:rsidR="000058D5" w:rsidRPr="00282AC9" w:rsidRDefault="00FA2023" w:rsidP="00A6196F">
            <w:pPr>
              <w:spacing w:line="240" w:lineRule="auto"/>
              <w:ind w:firstLine="0"/>
              <w:jc w:val="lowKashida"/>
              <w:rPr>
                <w:sz w:val="2"/>
                <w:szCs w:val="2"/>
                <w:rtl/>
              </w:rPr>
            </w:pPr>
            <w:r w:rsidRPr="00282AC9">
              <w:rPr>
                <w:sz w:val="27"/>
                <w:rtl/>
              </w:rPr>
              <w:t>وم</w:t>
            </w:r>
            <w:r w:rsidRPr="00282AC9">
              <w:rPr>
                <w:rFonts w:hint="cs"/>
                <w:sz w:val="27"/>
                <w:rtl/>
              </w:rPr>
              <w:t>َ</w:t>
            </w:r>
            <w:r w:rsidRPr="00282AC9">
              <w:rPr>
                <w:sz w:val="27"/>
                <w:rtl/>
              </w:rPr>
              <w:t>ن</w:t>
            </w:r>
            <w:r w:rsidRPr="00282AC9">
              <w:rPr>
                <w:rFonts w:hint="cs"/>
                <w:sz w:val="27"/>
                <w:rtl/>
              </w:rPr>
              <w:t>ْ</w:t>
            </w:r>
            <w:r w:rsidRPr="00282AC9">
              <w:rPr>
                <w:sz w:val="27"/>
                <w:rtl/>
              </w:rPr>
              <w:t xml:space="preserve"> يغبن فليس له انتقام</w:t>
            </w:r>
            <w:r w:rsidRPr="00282AC9">
              <w:rPr>
                <w:rFonts w:hint="cs"/>
                <w:sz w:val="27"/>
                <w:rtl/>
              </w:rPr>
              <w:t>ُ</w:t>
            </w:r>
            <w:r w:rsidR="000058D5" w:rsidRPr="00282AC9">
              <w:rPr>
                <w:rFonts w:hint="cs"/>
                <w:sz w:val="27"/>
                <w:rtl/>
              </w:rPr>
              <w:br/>
            </w:r>
          </w:p>
        </w:tc>
      </w:tr>
    </w:tbl>
    <w:p w:rsidR="001153F1" w:rsidRPr="00282AC9" w:rsidRDefault="001153F1" w:rsidP="008E0D6A">
      <w:pPr>
        <w:spacing w:line="392" w:lineRule="exact"/>
        <w:rPr>
          <w:rtl/>
        </w:rPr>
      </w:pPr>
      <w:r w:rsidRPr="00282AC9">
        <w:rPr>
          <w:rtl/>
          <w:lang w:bidi="fa-IR"/>
        </w:rPr>
        <w:t>وه</w:t>
      </w:r>
      <w:r w:rsidR="00FA2023" w:rsidRPr="00282AC9">
        <w:rPr>
          <w:rFonts w:hint="cs"/>
          <w:rtl/>
          <w:lang w:bidi="fa-IR"/>
        </w:rPr>
        <w:t>ُ</w:t>
      </w:r>
      <w:r w:rsidRPr="00282AC9">
        <w:rPr>
          <w:rtl/>
          <w:lang w:bidi="fa-IR"/>
        </w:rPr>
        <w:t>ن</w:t>
      </w:r>
      <w:r w:rsidR="00FA2023" w:rsidRPr="00282AC9">
        <w:rPr>
          <w:rFonts w:hint="cs"/>
          <w:rtl/>
          <w:lang w:bidi="fa-IR"/>
        </w:rPr>
        <w:t>َّ</w:t>
      </w:r>
      <w:r w:rsidRPr="00282AC9">
        <w:rPr>
          <w:rtl/>
          <w:lang w:bidi="fa-IR"/>
        </w:rPr>
        <w:t xml:space="preserve"> ثلاث</w:t>
      </w:r>
      <w:r w:rsidR="00FA2023" w:rsidRPr="00282AC9">
        <w:rPr>
          <w:rFonts w:hint="cs"/>
          <w:rtl/>
          <w:lang w:bidi="fa-IR"/>
        </w:rPr>
        <w:t>:</w:t>
      </w:r>
      <w:r w:rsidRPr="00282AC9">
        <w:rPr>
          <w:rtl/>
          <w:lang w:bidi="fa-IR"/>
        </w:rPr>
        <w:t xml:space="preserve"> فامرأة</w:t>
      </w:r>
      <w:r w:rsidR="00FA2023" w:rsidRPr="00282AC9">
        <w:rPr>
          <w:rFonts w:hint="cs"/>
          <w:rtl/>
          <w:lang w:bidi="fa-IR"/>
        </w:rPr>
        <w:t>ٌ</w:t>
      </w:r>
      <w:r w:rsidRPr="00282AC9">
        <w:rPr>
          <w:rtl/>
          <w:lang w:bidi="fa-IR"/>
        </w:rPr>
        <w:t xml:space="preserve"> ولود</w:t>
      </w:r>
      <w:r w:rsidR="00FA2023" w:rsidRPr="00282AC9">
        <w:rPr>
          <w:rFonts w:hint="cs"/>
          <w:rtl/>
          <w:lang w:bidi="fa-IR"/>
        </w:rPr>
        <w:t>،</w:t>
      </w:r>
      <w:r w:rsidRPr="00282AC9">
        <w:rPr>
          <w:rtl/>
          <w:lang w:bidi="fa-IR"/>
        </w:rPr>
        <w:t xml:space="preserve"> ودود</w:t>
      </w:r>
      <w:r w:rsidR="00FA2023" w:rsidRPr="00282AC9">
        <w:rPr>
          <w:rFonts w:hint="cs"/>
          <w:rtl/>
          <w:lang w:bidi="fa-IR"/>
        </w:rPr>
        <w:t>،</w:t>
      </w:r>
      <w:r w:rsidRPr="00282AC9">
        <w:rPr>
          <w:rtl/>
          <w:lang w:bidi="fa-IR"/>
        </w:rPr>
        <w:t xml:space="preserve"> تعين زوجها على دهره</w:t>
      </w:r>
      <w:r w:rsidR="00FA2023" w:rsidRPr="00282AC9">
        <w:rPr>
          <w:rFonts w:hint="cs"/>
          <w:rtl/>
          <w:lang w:bidi="fa-IR"/>
        </w:rPr>
        <w:t>،</w:t>
      </w:r>
      <w:r w:rsidRPr="00282AC9">
        <w:rPr>
          <w:rtl/>
          <w:lang w:bidi="fa-IR"/>
        </w:rPr>
        <w:t xml:space="preserve"> لدنياه وآخرته</w:t>
      </w:r>
      <w:r w:rsidR="00FA2023" w:rsidRPr="00282AC9">
        <w:rPr>
          <w:rFonts w:hint="cs"/>
          <w:rtl/>
          <w:lang w:bidi="fa-IR"/>
        </w:rPr>
        <w:t>،</w:t>
      </w:r>
      <w:r w:rsidRPr="00282AC9">
        <w:rPr>
          <w:rtl/>
          <w:lang w:bidi="fa-IR"/>
        </w:rPr>
        <w:t xml:space="preserve"> ولا تعين الدهر عليه</w:t>
      </w:r>
      <w:r w:rsidR="00FA2023" w:rsidRPr="00282AC9">
        <w:rPr>
          <w:rFonts w:hint="cs"/>
          <w:rtl/>
          <w:lang w:bidi="fa-IR"/>
        </w:rPr>
        <w:t>؛</w:t>
      </w:r>
      <w:r w:rsidRPr="00282AC9">
        <w:rPr>
          <w:rtl/>
          <w:lang w:bidi="fa-IR"/>
        </w:rPr>
        <w:t xml:space="preserve"> وامرأة</w:t>
      </w:r>
      <w:r w:rsidR="00FA2023" w:rsidRPr="00282AC9">
        <w:rPr>
          <w:rFonts w:hint="cs"/>
          <w:rtl/>
          <w:lang w:bidi="fa-IR"/>
        </w:rPr>
        <w:t>ٌ</w:t>
      </w:r>
      <w:r w:rsidRPr="00282AC9">
        <w:rPr>
          <w:rtl/>
          <w:lang w:bidi="fa-IR"/>
        </w:rPr>
        <w:t xml:space="preserve"> عقيمة</w:t>
      </w:r>
      <w:r w:rsidR="00FA2023" w:rsidRPr="00282AC9">
        <w:rPr>
          <w:rFonts w:hint="cs"/>
          <w:rtl/>
          <w:lang w:bidi="fa-IR"/>
        </w:rPr>
        <w:t>،</w:t>
      </w:r>
      <w:r w:rsidRPr="00282AC9">
        <w:rPr>
          <w:rtl/>
          <w:lang w:bidi="fa-IR"/>
        </w:rPr>
        <w:t xml:space="preserve"> لا ذات‏ جمال‏</w:t>
      </w:r>
      <w:r w:rsidR="00FA2023" w:rsidRPr="00282AC9">
        <w:rPr>
          <w:rFonts w:hint="cs"/>
          <w:rtl/>
          <w:lang w:bidi="fa-IR"/>
        </w:rPr>
        <w:t>ٍ</w:t>
      </w:r>
      <w:r w:rsidRPr="00282AC9">
        <w:rPr>
          <w:rtl/>
          <w:lang w:bidi="fa-IR"/>
        </w:rPr>
        <w:t xml:space="preserve"> ولا خ</w:t>
      </w:r>
      <w:r w:rsidR="00FA2023" w:rsidRPr="00282AC9">
        <w:rPr>
          <w:rFonts w:hint="cs"/>
          <w:rtl/>
          <w:lang w:bidi="fa-IR"/>
        </w:rPr>
        <w:t>ُ</w:t>
      </w:r>
      <w:r w:rsidRPr="00282AC9">
        <w:rPr>
          <w:rtl/>
          <w:lang w:bidi="fa-IR"/>
        </w:rPr>
        <w:t>ل</w:t>
      </w:r>
      <w:r w:rsidR="00FA2023" w:rsidRPr="00282AC9">
        <w:rPr>
          <w:rFonts w:hint="cs"/>
          <w:rtl/>
          <w:lang w:bidi="fa-IR"/>
        </w:rPr>
        <w:t>ُ</w:t>
      </w:r>
      <w:r w:rsidRPr="00282AC9">
        <w:rPr>
          <w:rtl/>
          <w:lang w:bidi="fa-IR"/>
        </w:rPr>
        <w:t>ق</w:t>
      </w:r>
      <w:r w:rsidR="00FA2023" w:rsidRPr="00282AC9">
        <w:rPr>
          <w:rFonts w:hint="cs"/>
          <w:rtl/>
          <w:lang w:bidi="fa-IR"/>
        </w:rPr>
        <w:t>ٍ،</w:t>
      </w:r>
      <w:r w:rsidRPr="00282AC9">
        <w:rPr>
          <w:rtl/>
          <w:lang w:bidi="fa-IR"/>
        </w:rPr>
        <w:t xml:space="preserve"> ولا تعين زوجها على خير</w:t>
      </w:r>
      <w:r w:rsidR="00FA2023" w:rsidRPr="00282AC9">
        <w:rPr>
          <w:rFonts w:hint="cs"/>
          <w:rtl/>
          <w:lang w:bidi="fa-IR"/>
        </w:rPr>
        <w:t>ٍ؛</w:t>
      </w:r>
      <w:r w:rsidRPr="00282AC9">
        <w:rPr>
          <w:rtl/>
          <w:lang w:bidi="fa-IR"/>
        </w:rPr>
        <w:t xml:space="preserve"> وامرأة</w:t>
      </w:r>
      <w:r w:rsidR="00FA2023" w:rsidRPr="00282AC9">
        <w:rPr>
          <w:rFonts w:hint="cs"/>
          <w:rtl/>
          <w:lang w:bidi="fa-IR"/>
        </w:rPr>
        <w:t>ٌ</w:t>
      </w:r>
      <w:r w:rsidRPr="00282AC9">
        <w:rPr>
          <w:rtl/>
          <w:lang w:bidi="fa-IR"/>
        </w:rPr>
        <w:t xml:space="preserve"> صخ</w:t>
      </w:r>
      <w:r w:rsidR="00FA2023" w:rsidRPr="00282AC9">
        <w:rPr>
          <w:rFonts w:hint="cs"/>
          <w:rtl/>
          <w:lang w:bidi="fa-IR"/>
        </w:rPr>
        <w:t>ّ</w:t>
      </w:r>
      <w:r w:rsidRPr="00282AC9">
        <w:rPr>
          <w:rtl/>
          <w:lang w:bidi="fa-IR"/>
        </w:rPr>
        <w:t>ابة</w:t>
      </w:r>
      <w:r w:rsidR="00FA2023" w:rsidRPr="00282AC9">
        <w:rPr>
          <w:rFonts w:hint="cs"/>
          <w:rtl/>
          <w:lang w:bidi="fa-IR"/>
        </w:rPr>
        <w:t>،</w:t>
      </w:r>
      <w:r w:rsidRPr="00282AC9">
        <w:rPr>
          <w:rtl/>
          <w:lang w:bidi="fa-IR"/>
        </w:rPr>
        <w:t xml:space="preserve"> ولا</w:t>
      </w:r>
      <w:r w:rsidR="00FA2023" w:rsidRPr="00282AC9">
        <w:rPr>
          <w:rFonts w:hint="cs"/>
          <w:rtl/>
          <w:lang w:bidi="fa-IR"/>
        </w:rPr>
        <w:t>ّ</w:t>
      </w:r>
      <w:r w:rsidRPr="00282AC9">
        <w:rPr>
          <w:rtl/>
          <w:lang w:bidi="fa-IR"/>
        </w:rPr>
        <w:t>جة</w:t>
      </w:r>
      <w:r w:rsidR="00FA2023" w:rsidRPr="00282AC9">
        <w:rPr>
          <w:rFonts w:hint="cs"/>
          <w:rtl/>
          <w:lang w:bidi="fa-IR"/>
        </w:rPr>
        <w:t>،</w:t>
      </w:r>
      <w:r w:rsidRPr="00282AC9">
        <w:rPr>
          <w:rtl/>
          <w:lang w:bidi="fa-IR"/>
        </w:rPr>
        <w:t xml:space="preserve"> هم</w:t>
      </w:r>
      <w:r w:rsidR="00FA2023" w:rsidRPr="00282AC9">
        <w:rPr>
          <w:rFonts w:hint="cs"/>
          <w:rtl/>
          <w:lang w:bidi="fa-IR"/>
        </w:rPr>
        <w:t>ّ</w:t>
      </w:r>
      <w:r w:rsidRPr="00282AC9">
        <w:rPr>
          <w:rtl/>
          <w:lang w:bidi="fa-IR"/>
        </w:rPr>
        <w:t>ازة</w:t>
      </w:r>
      <w:r w:rsidR="00FA2023" w:rsidRPr="00282AC9">
        <w:rPr>
          <w:rFonts w:hint="cs"/>
          <w:rtl/>
          <w:lang w:bidi="fa-IR"/>
        </w:rPr>
        <w:t>،</w:t>
      </w:r>
      <w:r w:rsidRPr="00282AC9">
        <w:rPr>
          <w:rtl/>
          <w:lang w:bidi="fa-IR"/>
        </w:rPr>
        <w:t xml:space="preserve"> تستقل</w:t>
      </w:r>
      <w:r w:rsidR="00FA2023" w:rsidRPr="00282AC9">
        <w:rPr>
          <w:rFonts w:hint="cs"/>
          <w:rtl/>
          <w:lang w:bidi="fa-IR"/>
        </w:rPr>
        <w:t>ّ</w:t>
      </w:r>
      <w:r w:rsidRPr="00282AC9">
        <w:rPr>
          <w:rtl/>
          <w:lang w:bidi="fa-IR"/>
        </w:rPr>
        <w:t xml:space="preserve"> الكثير</w:t>
      </w:r>
      <w:r w:rsidR="00FA2023" w:rsidRPr="00282AC9">
        <w:rPr>
          <w:rFonts w:hint="cs"/>
          <w:rtl/>
          <w:lang w:bidi="fa-IR"/>
        </w:rPr>
        <w:t>،</w:t>
      </w:r>
      <w:r w:rsidRPr="00282AC9">
        <w:rPr>
          <w:rtl/>
          <w:lang w:bidi="fa-IR"/>
        </w:rPr>
        <w:t xml:space="preserve"> ولا تقبل اليسير</w:t>
      </w:r>
      <w:r w:rsidRPr="00282AC9">
        <w:rPr>
          <w:sz w:val="24"/>
          <w:szCs w:val="24"/>
          <w:rtl/>
          <w:lang w:bidi="fa-IR"/>
        </w:rPr>
        <w:t>»</w:t>
      </w:r>
      <w:r w:rsidR="00C96623" w:rsidRPr="00282AC9">
        <w:rPr>
          <w:rFonts w:ascii="Mosawi" w:hAnsi="Mosawi"/>
          <w:sz w:val="27"/>
          <w:vertAlign w:val="superscript"/>
          <w:rtl/>
          <w:lang w:bidi="fa-IR"/>
        </w:rPr>
        <w:t>(</w:t>
      </w:r>
      <w:r w:rsidR="00C96623" w:rsidRPr="00282AC9">
        <w:rPr>
          <w:rStyle w:val="af9"/>
          <w:rFonts w:ascii="Mosawi" w:hAnsi="Mosawi"/>
          <w:sz w:val="27"/>
          <w:rtl/>
          <w:lang w:bidi="fa-IR"/>
        </w:rPr>
        <w:endnoteReference w:id="655"/>
      </w:r>
      <w:r w:rsidR="00C96623" w:rsidRPr="00282AC9">
        <w:rPr>
          <w:rFonts w:ascii="Mosawi" w:hAnsi="Mosawi"/>
          <w:sz w:val="27"/>
          <w:vertAlign w:val="superscript"/>
          <w:rtl/>
          <w:lang w:bidi="fa-IR"/>
        </w:rPr>
        <w:t>)</w:t>
      </w:r>
      <w:r w:rsidRPr="00282AC9">
        <w:rPr>
          <w:rFonts w:hint="cs"/>
          <w:rtl/>
          <w:lang w:bidi="fa-IR"/>
        </w:rPr>
        <w:t>.</w:t>
      </w:r>
    </w:p>
    <w:p w:rsidR="001153F1" w:rsidRPr="00282AC9" w:rsidRDefault="001153F1" w:rsidP="008E0D6A">
      <w:pPr>
        <w:spacing w:line="392" w:lineRule="exact"/>
        <w:rPr>
          <w:b/>
          <w:bCs/>
          <w:rtl/>
          <w:lang w:bidi="fa-IR"/>
        </w:rPr>
      </w:pPr>
      <w:r w:rsidRPr="00282AC9">
        <w:rPr>
          <w:rFonts w:hint="cs"/>
          <w:b/>
          <w:bCs/>
          <w:rtl/>
          <w:lang w:bidi="fa-IR"/>
        </w:rPr>
        <w:t>أـ الدراسة السندي</w:t>
      </w:r>
      <w:r w:rsidR="00C96623" w:rsidRPr="00282AC9">
        <w:rPr>
          <w:rFonts w:hint="cs"/>
          <w:b/>
          <w:bCs/>
          <w:rtl/>
          <w:lang w:bidi="fa-IR"/>
        </w:rPr>
        <w:t>ّ</w:t>
      </w:r>
      <w:r w:rsidRPr="00282AC9">
        <w:rPr>
          <w:rFonts w:hint="cs"/>
          <w:b/>
          <w:bCs/>
          <w:rtl/>
          <w:lang w:bidi="fa-IR"/>
        </w:rPr>
        <w:t>ة</w:t>
      </w:r>
      <w:r w:rsidR="00C23301" w:rsidRPr="00282AC9">
        <w:rPr>
          <w:rFonts w:ascii="Cambria" w:hAnsi="Cambria" w:hint="cs"/>
          <w:sz w:val="27"/>
          <w:rtl/>
          <w:lang w:bidi="fa-IR"/>
        </w:rPr>
        <w:t xml:space="preserve">: </w:t>
      </w:r>
      <w:r w:rsidRPr="00282AC9">
        <w:rPr>
          <w:rFonts w:ascii="Cambria" w:hAnsi="Cambria" w:hint="cs"/>
          <w:sz w:val="27"/>
          <w:rtl/>
          <w:lang w:bidi="fa-IR"/>
        </w:rPr>
        <w:t>يشتمل سند هذه الرواية على طريقين:</w:t>
      </w:r>
    </w:p>
    <w:p w:rsidR="00C96623" w:rsidRPr="00282AC9" w:rsidRDefault="001153F1" w:rsidP="008E0D6A">
      <w:pPr>
        <w:pStyle w:val="afc"/>
        <w:spacing w:line="392" w:lineRule="exact"/>
        <w:rPr>
          <w:rFonts w:ascii="Mosawi" w:hAnsi="Mosawi" w:cs="AL-Mohanad"/>
          <w:sz w:val="27"/>
          <w:szCs w:val="27"/>
          <w:rtl/>
          <w:lang w:bidi="fa-IR"/>
        </w:rPr>
      </w:pPr>
      <w:r w:rsidRPr="00282AC9">
        <w:rPr>
          <w:rFonts w:ascii="Cambria" w:hAnsi="Cambria" w:cs="AL-Mohanad" w:hint="cs"/>
          <w:b/>
          <w:bCs/>
          <w:sz w:val="27"/>
          <w:szCs w:val="27"/>
          <w:rtl/>
        </w:rPr>
        <w:t>الطريق الأو</w:t>
      </w:r>
      <w:r w:rsidR="00C96623" w:rsidRPr="00282AC9">
        <w:rPr>
          <w:rFonts w:ascii="Cambria" w:hAnsi="Cambria" w:cs="AL-Mohanad" w:hint="cs"/>
          <w:b/>
          <w:bCs/>
          <w:sz w:val="27"/>
          <w:szCs w:val="27"/>
          <w:rtl/>
        </w:rPr>
        <w:t>ّ</w:t>
      </w:r>
      <w:r w:rsidRPr="00282AC9">
        <w:rPr>
          <w:rFonts w:ascii="Cambria" w:hAnsi="Cambria" w:cs="AL-Mohanad" w:hint="cs"/>
          <w:b/>
          <w:bCs/>
          <w:sz w:val="27"/>
          <w:szCs w:val="27"/>
          <w:rtl/>
        </w:rPr>
        <w:t>ل</w:t>
      </w:r>
      <w:r w:rsidRPr="00282AC9">
        <w:rPr>
          <w:rFonts w:ascii="Cambria" w:hAnsi="Cambria" w:cs="AL-Mohanad" w:hint="cs"/>
          <w:sz w:val="27"/>
          <w:szCs w:val="27"/>
          <w:rtl/>
        </w:rPr>
        <w:t>:</w:t>
      </w:r>
      <w:r w:rsidRPr="00282AC9">
        <w:rPr>
          <w:rFonts w:ascii="Mosawi" w:hAnsi="Mosawi" w:cs="AL-Mohanad"/>
          <w:sz w:val="27"/>
          <w:szCs w:val="27"/>
          <w:rtl/>
        </w:rPr>
        <w:t xml:space="preserve"> عد</w:t>
      </w:r>
      <w:r w:rsidR="00C96623" w:rsidRPr="00282AC9">
        <w:rPr>
          <w:rFonts w:ascii="Mosawi" w:hAnsi="Mosawi" w:cs="AL-Mohanad" w:hint="cs"/>
          <w:sz w:val="27"/>
          <w:szCs w:val="27"/>
          <w:rtl/>
        </w:rPr>
        <w:t>ّ</w:t>
      </w:r>
      <w:r w:rsidRPr="00282AC9">
        <w:rPr>
          <w:rFonts w:ascii="Mosawi" w:hAnsi="Mosawi" w:cs="AL-Mohanad"/>
          <w:sz w:val="27"/>
          <w:szCs w:val="27"/>
          <w:rtl/>
        </w:rPr>
        <w:t>ة من أصحابنا</w:t>
      </w:r>
      <w:r w:rsidR="00C96623" w:rsidRPr="00282AC9">
        <w:rPr>
          <w:rFonts w:ascii="Mosawi" w:hAnsi="Mosawi" w:cs="AL-Mohanad" w:hint="cs"/>
          <w:sz w:val="27"/>
          <w:szCs w:val="27"/>
          <w:rtl/>
        </w:rPr>
        <w:t>،</w:t>
      </w:r>
      <w:r w:rsidRPr="00282AC9">
        <w:rPr>
          <w:rFonts w:ascii="Mosawi" w:hAnsi="Mosawi" w:cs="AL-Mohanad"/>
          <w:sz w:val="27"/>
          <w:szCs w:val="27"/>
          <w:rtl/>
        </w:rPr>
        <w:t xml:space="preserve"> عن سهل بن زياد</w:t>
      </w:r>
      <w:r w:rsidR="00C96623" w:rsidRPr="00282AC9">
        <w:rPr>
          <w:rFonts w:ascii="Mosawi" w:hAnsi="Mosawi" w:cs="AL-Mohanad" w:hint="cs"/>
          <w:sz w:val="27"/>
          <w:szCs w:val="27"/>
          <w:rtl/>
        </w:rPr>
        <w:t>،</w:t>
      </w:r>
      <w:r w:rsidRPr="00282AC9">
        <w:rPr>
          <w:rFonts w:ascii="Mosawi" w:hAnsi="Mosawi" w:cs="AL-Mohanad"/>
          <w:sz w:val="27"/>
          <w:szCs w:val="27"/>
          <w:rtl/>
        </w:rPr>
        <w:t xml:space="preserve"> عن ابن محبوب</w:t>
      </w:r>
      <w:r w:rsidR="00C96623" w:rsidRPr="00282AC9">
        <w:rPr>
          <w:rFonts w:ascii="Mosawi" w:hAnsi="Mosawi" w:cs="AL-Mohanad" w:hint="cs"/>
          <w:sz w:val="27"/>
          <w:szCs w:val="27"/>
          <w:rtl/>
        </w:rPr>
        <w:t>،</w:t>
      </w:r>
      <w:r w:rsidRPr="00282AC9">
        <w:rPr>
          <w:rFonts w:ascii="Mosawi" w:hAnsi="Mosawi" w:cs="AL-Mohanad"/>
          <w:sz w:val="27"/>
          <w:szCs w:val="27"/>
          <w:rtl/>
        </w:rPr>
        <w:t xml:space="preserve"> عن إبراهيم الكرخي</w:t>
      </w:r>
      <w:r w:rsidR="00C96623" w:rsidRPr="00282AC9">
        <w:rPr>
          <w:rFonts w:ascii="Mosawi" w:hAnsi="Mosawi" w:cs="AL-Mohanad" w:hint="cs"/>
          <w:sz w:val="27"/>
          <w:szCs w:val="27"/>
          <w:rtl/>
        </w:rPr>
        <w:t>.</w:t>
      </w:r>
    </w:p>
    <w:p w:rsidR="001153F1" w:rsidRPr="00282AC9" w:rsidRDefault="001153F1" w:rsidP="008E0D6A">
      <w:pPr>
        <w:pStyle w:val="afc"/>
        <w:rPr>
          <w:rFonts w:ascii="Cambria" w:hAnsi="Cambria" w:cs="AL-Mohanad"/>
          <w:sz w:val="27"/>
          <w:szCs w:val="27"/>
          <w:rtl/>
        </w:rPr>
      </w:pPr>
      <w:r w:rsidRPr="00282AC9">
        <w:rPr>
          <w:rFonts w:ascii="Mosawi" w:hAnsi="Mosawi" w:cs="AL-Mohanad" w:hint="cs"/>
          <w:sz w:val="27"/>
          <w:szCs w:val="27"/>
          <w:rtl/>
          <w:lang w:bidi="fa-IR"/>
        </w:rPr>
        <w:t>وهذا الطريق ضعيفٌ</w:t>
      </w:r>
      <w:r w:rsidR="00C96623" w:rsidRPr="00282AC9">
        <w:rPr>
          <w:rFonts w:ascii="Mosawi" w:hAnsi="Mosawi" w:cs="AL-Mohanad" w:hint="cs"/>
          <w:sz w:val="27"/>
          <w:szCs w:val="27"/>
          <w:rtl/>
          <w:lang w:bidi="fa-IR"/>
        </w:rPr>
        <w:t>؛</w:t>
      </w:r>
      <w:r w:rsidRPr="00282AC9">
        <w:rPr>
          <w:rFonts w:ascii="Mosawi" w:hAnsi="Mosawi" w:cs="AL-Mohanad" w:hint="cs"/>
          <w:sz w:val="27"/>
          <w:szCs w:val="27"/>
          <w:rtl/>
          <w:lang w:bidi="fa-IR"/>
        </w:rPr>
        <w:t xml:space="preserve"> بسبب اشتماله على سهل بن زياد.</w:t>
      </w:r>
    </w:p>
    <w:p w:rsidR="00C96623" w:rsidRPr="00282AC9" w:rsidRDefault="001153F1" w:rsidP="008E0D6A">
      <w:pPr>
        <w:pStyle w:val="afc"/>
        <w:spacing w:line="392" w:lineRule="exact"/>
        <w:rPr>
          <w:rFonts w:ascii="Mosawi" w:hAnsi="Mosawi" w:cs="AL-Mohanad"/>
          <w:sz w:val="27"/>
          <w:szCs w:val="27"/>
          <w:rtl/>
          <w:lang w:bidi="fa-IR"/>
        </w:rPr>
      </w:pPr>
      <w:r w:rsidRPr="00282AC9">
        <w:rPr>
          <w:rFonts w:ascii="Cambria" w:hAnsi="Cambria" w:cs="AL-Mohanad" w:hint="cs"/>
          <w:b/>
          <w:bCs/>
          <w:sz w:val="27"/>
          <w:szCs w:val="27"/>
          <w:rtl/>
        </w:rPr>
        <w:t>الطريق الثاني</w:t>
      </w:r>
      <w:r w:rsidRPr="00282AC9">
        <w:rPr>
          <w:rFonts w:ascii="Cambria" w:hAnsi="Cambria" w:cs="AL-Mohanad" w:hint="cs"/>
          <w:sz w:val="27"/>
          <w:szCs w:val="27"/>
          <w:rtl/>
        </w:rPr>
        <w:t xml:space="preserve">: </w:t>
      </w:r>
      <w:r w:rsidRPr="00282AC9">
        <w:rPr>
          <w:rFonts w:ascii="Mosawi" w:hAnsi="Mosawi" w:cs="AL-Mohanad"/>
          <w:sz w:val="27"/>
          <w:szCs w:val="27"/>
          <w:rtl/>
        </w:rPr>
        <w:t>عد</w:t>
      </w:r>
      <w:r w:rsidR="00C96623" w:rsidRPr="00282AC9">
        <w:rPr>
          <w:rFonts w:ascii="Mosawi" w:hAnsi="Mosawi" w:cs="AL-Mohanad" w:hint="cs"/>
          <w:sz w:val="27"/>
          <w:szCs w:val="27"/>
          <w:rtl/>
        </w:rPr>
        <w:t>ّ</w:t>
      </w:r>
      <w:r w:rsidRPr="00282AC9">
        <w:rPr>
          <w:rFonts w:ascii="Mosawi" w:hAnsi="Mosawi" w:cs="AL-Mohanad"/>
          <w:sz w:val="27"/>
          <w:szCs w:val="27"/>
          <w:rtl/>
        </w:rPr>
        <w:t>ة من أصحابنا</w:t>
      </w:r>
      <w:r w:rsidR="00C96623" w:rsidRPr="00282AC9">
        <w:rPr>
          <w:rFonts w:ascii="Mosawi" w:hAnsi="Mosawi" w:cs="AL-Mohanad" w:hint="cs"/>
          <w:sz w:val="27"/>
          <w:szCs w:val="27"/>
          <w:rtl/>
        </w:rPr>
        <w:t>،</w:t>
      </w:r>
      <w:r w:rsidRPr="00282AC9">
        <w:rPr>
          <w:rFonts w:ascii="Mosawi" w:hAnsi="Mosawi" w:cs="AL-Mohanad"/>
          <w:sz w:val="27"/>
          <w:szCs w:val="27"/>
          <w:rtl/>
        </w:rPr>
        <w:t xml:space="preserve"> عن أحمد بن محمد</w:t>
      </w:r>
      <w:r w:rsidR="00C96623" w:rsidRPr="00282AC9">
        <w:rPr>
          <w:rFonts w:ascii="Mosawi" w:hAnsi="Mosawi" w:cs="AL-Mohanad" w:hint="cs"/>
          <w:sz w:val="27"/>
          <w:szCs w:val="27"/>
          <w:rtl/>
        </w:rPr>
        <w:t>،</w:t>
      </w:r>
      <w:r w:rsidRPr="00282AC9">
        <w:rPr>
          <w:rFonts w:ascii="Mosawi" w:hAnsi="Mosawi" w:cs="AL-Mohanad" w:hint="cs"/>
          <w:sz w:val="27"/>
          <w:szCs w:val="27"/>
          <w:rtl/>
        </w:rPr>
        <w:t xml:space="preserve"> عن</w:t>
      </w:r>
      <w:r w:rsidRPr="00282AC9">
        <w:rPr>
          <w:rFonts w:ascii="Mosawi" w:hAnsi="Mosawi" w:cs="AL-Mohanad"/>
          <w:sz w:val="27"/>
          <w:szCs w:val="27"/>
          <w:rtl/>
        </w:rPr>
        <w:t xml:space="preserve"> ابن محبوب</w:t>
      </w:r>
      <w:r w:rsidR="00C96623" w:rsidRPr="00282AC9">
        <w:rPr>
          <w:rFonts w:ascii="Mosawi" w:hAnsi="Mosawi" w:cs="AL-Mohanad" w:hint="cs"/>
          <w:sz w:val="27"/>
          <w:szCs w:val="27"/>
          <w:rtl/>
        </w:rPr>
        <w:t>،</w:t>
      </w:r>
      <w:r w:rsidRPr="00282AC9">
        <w:rPr>
          <w:rFonts w:ascii="Mosawi" w:hAnsi="Mosawi" w:cs="AL-Mohanad"/>
          <w:sz w:val="27"/>
          <w:szCs w:val="27"/>
          <w:rtl/>
        </w:rPr>
        <w:t xml:space="preserve"> عن إبراهيم الكرخي</w:t>
      </w:r>
      <w:r w:rsidR="00C96623" w:rsidRPr="00282AC9">
        <w:rPr>
          <w:rFonts w:ascii="Mosawi" w:hAnsi="Mosawi" w:cs="AL-Mohanad" w:hint="cs"/>
          <w:sz w:val="27"/>
          <w:szCs w:val="27"/>
          <w:rtl/>
        </w:rPr>
        <w:t>.</w:t>
      </w:r>
    </w:p>
    <w:p w:rsidR="00C96623" w:rsidRPr="00282AC9" w:rsidRDefault="00C96623" w:rsidP="008E0D6A">
      <w:pPr>
        <w:pStyle w:val="afc"/>
        <w:spacing w:line="392" w:lineRule="exact"/>
        <w:rPr>
          <w:rFonts w:ascii="Cambria" w:hAnsi="Cambria" w:cs="AL-Mohanad"/>
          <w:sz w:val="27"/>
          <w:szCs w:val="27"/>
          <w:rtl/>
        </w:rPr>
      </w:pPr>
      <w:r w:rsidRPr="00282AC9">
        <w:rPr>
          <w:rFonts w:ascii="Mosawi" w:hAnsi="Mosawi" w:cs="AL-Mohanad" w:hint="cs"/>
          <w:sz w:val="27"/>
          <w:szCs w:val="27"/>
          <w:rtl/>
          <w:lang w:bidi="fa-IR"/>
        </w:rPr>
        <w:t>و</w:t>
      </w:r>
      <w:r w:rsidR="001153F1" w:rsidRPr="00282AC9">
        <w:rPr>
          <w:rFonts w:ascii="Mosawi" w:hAnsi="Mosawi" w:cs="AL-Mohanad" w:hint="cs"/>
          <w:sz w:val="27"/>
          <w:szCs w:val="27"/>
          <w:rtl/>
          <w:lang w:bidi="fa-IR"/>
        </w:rPr>
        <w:t>أحمد بن محمد عنوان</w:t>
      </w:r>
      <w:r w:rsidRPr="00282AC9">
        <w:rPr>
          <w:rFonts w:ascii="Mosawi" w:hAnsi="Mosawi" w:cs="AL-Mohanad" w:hint="cs"/>
          <w:sz w:val="27"/>
          <w:szCs w:val="27"/>
          <w:rtl/>
          <w:lang w:bidi="fa-IR"/>
        </w:rPr>
        <w:t>ٌ</w:t>
      </w:r>
      <w:r w:rsidR="001153F1" w:rsidRPr="00282AC9">
        <w:rPr>
          <w:rFonts w:ascii="Mosawi" w:hAnsi="Mosawi" w:cs="AL-Mohanad" w:hint="cs"/>
          <w:sz w:val="27"/>
          <w:szCs w:val="27"/>
          <w:rtl/>
          <w:lang w:bidi="fa-IR"/>
        </w:rPr>
        <w:t xml:space="preserve"> مشترك بين أحمد بن محمد بن عيسى الأشعري وأحمد بن محمد بن خالد البرقي</w:t>
      </w:r>
      <w:r w:rsidRPr="00282AC9">
        <w:rPr>
          <w:rFonts w:ascii="Mosawi" w:hAnsi="Mosawi" w:cs="AL-Mohanad" w:hint="cs"/>
          <w:sz w:val="27"/>
          <w:szCs w:val="27"/>
          <w:rtl/>
          <w:lang w:bidi="fa-IR"/>
        </w:rPr>
        <w:t>،</w:t>
      </w:r>
      <w:r w:rsidR="001153F1" w:rsidRPr="00282AC9">
        <w:rPr>
          <w:rFonts w:ascii="Mosawi" w:hAnsi="Mosawi" w:cs="AL-Mohanad" w:hint="cs"/>
          <w:sz w:val="27"/>
          <w:szCs w:val="27"/>
          <w:rtl/>
          <w:lang w:bidi="fa-IR"/>
        </w:rPr>
        <w:t xml:space="preserve"> وكلاهما ثقة</w:t>
      </w:r>
      <w:r w:rsidRPr="00282AC9">
        <w:rPr>
          <w:rFonts w:ascii="Mosawi" w:hAnsi="Mosawi" w:cs="AL-Mohanad" w:hint="cs"/>
          <w:sz w:val="27"/>
          <w:szCs w:val="27"/>
          <w:rtl/>
          <w:lang w:bidi="fa-IR"/>
        </w:rPr>
        <w:t>ٌ.</w:t>
      </w:r>
      <w:r w:rsidR="001153F1" w:rsidRPr="00282AC9">
        <w:rPr>
          <w:rFonts w:ascii="Mosawi" w:hAnsi="Mosawi" w:cs="AL-Mohanad" w:hint="cs"/>
          <w:sz w:val="27"/>
          <w:szCs w:val="27"/>
          <w:rtl/>
          <w:lang w:bidi="fa-IR"/>
        </w:rPr>
        <w:t xml:space="preserve"> </w:t>
      </w:r>
      <w:r w:rsidR="001153F1" w:rsidRPr="00282AC9">
        <w:rPr>
          <w:rFonts w:ascii="Cambria" w:hAnsi="Cambria" w:cs="AL-Mohanad" w:hint="cs"/>
          <w:sz w:val="27"/>
          <w:szCs w:val="27"/>
          <w:rtl/>
          <w:lang w:bidi="fa-IR"/>
        </w:rPr>
        <w:t>لكن لا نجد توثيقاً صريحاً بالنسبة إلى إبراهيم الكرخي</w:t>
      </w:r>
      <w:r w:rsidRPr="00282AC9">
        <w:rPr>
          <w:rFonts w:ascii="Cambria" w:hAnsi="Cambria" w:cs="AL-Mohanad" w:hint="cs"/>
          <w:sz w:val="27"/>
          <w:szCs w:val="27"/>
          <w:rtl/>
          <w:lang w:bidi="fa-IR"/>
        </w:rPr>
        <w:t>،</w:t>
      </w:r>
      <w:r w:rsidR="001153F1" w:rsidRPr="00282AC9">
        <w:rPr>
          <w:rFonts w:ascii="Cambria" w:hAnsi="Cambria" w:cs="AL-Mohanad" w:hint="cs"/>
          <w:sz w:val="27"/>
          <w:szCs w:val="27"/>
          <w:rtl/>
          <w:lang w:bidi="fa-IR"/>
        </w:rPr>
        <w:t xml:space="preserve"> وبعضهم وثّ</w:t>
      </w:r>
      <w:r w:rsidRPr="00282AC9">
        <w:rPr>
          <w:rFonts w:ascii="Cambria" w:hAnsi="Cambria" w:cs="AL-Mohanad" w:hint="cs"/>
          <w:sz w:val="27"/>
          <w:szCs w:val="27"/>
          <w:rtl/>
          <w:lang w:bidi="fa-IR"/>
        </w:rPr>
        <w:t>َقه عبر التوثيقات العامّة.</w:t>
      </w:r>
    </w:p>
    <w:p w:rsidR="001153F1" w:rsidRPr="00282AC9" w:rsidRDefault="006D28AF" w:rsidP="008E0D6A">
      <w:pPr>
        <w:pStyle w:val="afc"/>
        <w:spacing w:line="392" w:lineRule="exact"/>
        <w:rPr>
          <w:rFonts w:ascii="Cambria" w:hAnsi="Cambria" w:cs="AL-Mohanad"/>
          <w:sz w:val="27"/>
          <w:szCs w:val="27"/>
          <w:rtl/>
        </w:rPr>
      </w:pPr>
      <w:r w:rsidRPr="00282AC9">
        <w:rPr>
          <w:rFonts w:ascii="Cambria" w:hAnsi="Cambria" w:cs="AL-Mohanad" w:hint="cs"/>
          <w:sz w:val="27"/>
          <w:szCs w:val="27"/>
          <w:rtl/>
        </w:rPr>
        <w:t>إذن</w:t>
      </w:r>
      <w:r w:rsidR="001153F1" w:rsidRPr="00282AC9">
        <w:rPr>
          <w:rFonts w:ascii="Cambria" w:hAnsi="Cambria" w:cs="AL-Mohanad" w:hint="cs"/>
          <w:sz w:val="27"/>
          <w:szCs w:val="27"/>
          <w:rtl/>
        </w:rPr>
        <w:t>، اعتبار السند مبنيّ</w:t>
      </w:r>
      <w:r w:rsidR="00C96623" w:rsidRPr="00282AC9">
        <w:rPr>
          <w:rFonts w:ascii="Cambria" w:hAnsi="Cambria" w:cs="AL-Mohanad" w:hint="cs"/>
          <w:sz w:val="27"/>
          <w:szCs w:val="27"/>
          <w:rtl/>
        </w:rPr>
        <w:t>ٌ</w:t>
      </w:r>
      <w:r w:rsidR="001153F1" w:rsidRPr="00282AC9">
        <w:rPr>
          <w:rFonts w:ascii="Cambria" w:hAnsi="Cambria" w:cs="AL-Mohanad" w:hint="cs"/>
          <w:sz w:val="27"/>
          <w:szCs w:val="27"/>
          <w:rtl/>
        </w:rPr>
        <w:t xml:space="preserve"> على وثاقة إبراهيم الكرخي</w:t>
      </w:r>
      <w:r w:rsidR="00C96623" w:rsidRPr="00282AC9">
        <w:rPr>
          <w:rFonts w:ascii="Cambria" w:hAnsi="Cambria" w:cs="AL-Mohanad" w:hint="cs"/>
          <w:sz w:val="27"/>
          <w:szCs w:val="27"/>
          <w:rtl/>
        </w:rPr>
        <w:t>،</w:t>
      </w:r>
      <w:r w:rsidR="001153F1" w:rsidRPr="00282AC9">
        <w:rPr>
          <w:rFonts w:ascii="Cambria" w:hAnsi="Cambria" w:cs="AL-Mohanad" w:hint="cs"/>
          <w:sz w:val="27"/>
          <w:szCs w:val="27"/>
          <w:rtl/>
        </w:rPr>
        <w:t xml:space="preserve"> الذي اخت</w:t>
      </w:r>
      <w:r w:rsidR="00C96623" w:rsidRPr="00282AC9">
        <w:rPr>
          <w:rFonts w:ascii="Cambria" w:hAnsi="Cambria" w:cs="AL-Mohanad" w:hint="cs"/>
          <w:sz w:val="27"/>
          <w:szCs w:val="27"/>
          <w:rtl/>
        </w:rPr>
        <w:t>ُ</w:t>
      </w:r>
      <w:r w:rsidR="001153F1" w:rsidRPr="00282AC9">
        <w:rPr>
          <w:rFonts w:ascii="Cambria" w:hAnsi="Cambria" w:cs="AL-Mohanad" w:hint="cs"/>
          <w:sz w:val="27"/>
          <w:szCs w:val="27"/>
          <w:rtl/>
        </w:rPr>
        <w:t>لف فيه.</w:t>
      </w:r>
    </w:p>
    <w:p w:rsidR="001153F1" w:rsidRPr="00282AC9" w:rsidRDefault="001153F1" w:rsidP="008E0D6A">
      <w:pPr>
        <w:spacing w:line="392" w:lineRule="exact"/>
        <w:rPr>
          <w:b/>
          <w:bCs/>
          <w:rtl/>
          <w:lang w:bidi="fa-IR"/>
        </w:rPr>
      </w:pPr>
      <w:r w:rsidRPr="00282AC9">
        <w:rPr>
          <w:rFonts w:hint="cs"/>
          <w:b/>
          <w:bCs/>
          <w:rtl/>
          <w:lang w:bidi="fa-IR"/>
        </w:rPr>
        <w:t>ب ـ الدراسة الدلالي</w:t>
      </w:r>
      <w:r w:rsidR="00C96623" w:rsidRPr="00282AC9">
        <w:rPr>
          <w:rFonts w:hint="cs"/>
          <w:b/>
          <w:bCs/>
          <w:rtl/>
          <w:lang w:bidi="fa-IR"/>
        </w:rPr>
        <w:t>ّ</w:t>
      </w:r>
      <w:r w:rsidRPr="00282AC9">
        <w:rPr>
          <w:rFonts w:hint="cs"/>
          <w:b/>
          <w:bCs/>
          <w:rtl/>
          <w:lang w:bidi="fa-IR"/>
        </w:rPr>
        <w:t>ة</w:t>
      </w:r>
      <w:r w:rsidR="00C23301" w:rsidRPr="00282AC9">
        <w:rPr>
          <w:rFonts w:ascii="Mosawi" w:hAnsi="Mosawi" w:hint="cs"/>
          <w:sz w:val="27"/>
          <w:rtl/>
          <w:lang w:bidi="fa-IR"/>
        </w:rPr>
        <w:t xml:space="preserve">: </w:t>
      </w:r>
      <w:r w:rsidR="00C96623" w:rsidRPr="00282AC9">
        <w:rPr>
          <w:rFonts w:ascii="Mosawi" w:hAnsi="Mosawi" w:hint="cs"/>
          <w:sz w:val="27"/>
          <w:rtl/>
          <w:lang w:bidi="fa-IR"/>
        </w:rPr>
        <w:t>لا نجد في هذه الرواية نَهْي</w:t>
      </w:r>
      <w:r w:rsidRPr="00282AC9">
        <w:rPr>
          <w:rFonts w:ascii="Mosawi" w:hAnsi="Mosawi" w:hint="cs"/>
          <w:sz w:val="27"/>
          <w:rtl/>
          <w:lang w:bidi="fa-IR"/>
        </w:rPr>
        <w:t>اً مباشراً للزواج من المرأة العقيم</w:t>
      </w:r>
      <w:r w:rsidR="00C96623" w:rsidRPr="00282AC9">
        <w:rPr>
          <w:rFonts w:ascii="Mosawi" w:hAnsi="Mosawi" w:hint="cs"/>
          <w:sz w:val="27"/>
          <w:rtl/>
          <w:lang w:bidi="fa-IR"/>
        </w:rPr>
        <w:t>،</w:t>
      </w:r>
      <w:r w:rsidRPr="00282AC9">
        <w:rPr>
          <w:rFonts w:ascii="Mosawi" w:hAnsi="Mosawi" w:hint="cs"/>
          <w:sz w:val="27"/>
          <w:rtl/>
          <w:lang w:bidi="fa-IR"/>
        </w:rPr>
        <w:t xml:space="preserve"> وإنّما السائل جاء ليستشير الإمام</w:t>
      </w:r>
      <w:r w:rsidR="009A2A04" w:rsidRPr="00282AC9">
        <w:rPr>
          <w:rFonts w:ascii="Mosawi" w:hAnsi="Mosawi" w:cs="Mosawi" w:hint="cs"/>
          <w:sz w:val="22"/>
          <w:szCs w:val="22"/>
          <w:rtl/>
          <w:lang w:bidi="fa-IR"/>
        </w:rPr>
        <w:t>×</w:t>
      </w:r>
      <w:r w:rsidRPr="00282AC9">
        <w:rPr>
          <w:rFonts w:ascii="Mosawi" w:hAnsi="Mosawi" w:hint="cs"/>
          <w:sz w:val="27"/>
          <w:rtl/>
          <w:lang w:bidi="fa-IR"/>
        </w:rPr>
        <w:t xml:space="preserve"> في الزواج</w:t>
      </w:r>
      <w:r w:rsidR="00C96623" w:rsidRPr="00282AC9">
        <w:rPr>
          <w:rFonts w:ascii="Mosawi" w:hAnsi="Mosawi" w:hint="cs"/>
          <w:sz w:val="27"/>
          <w:rtl/>
          <w:lang w:bidi="fa-IR"/>
        </w:rPr>
        <w:t>،</w:t>
      </w:r>
      <w:r w:rsidRPr="00282AC9">
        <w:rPr>
          <w:rFonts w:ascii="Mosawi" w:hAnsi="Mosawi" w:hint="cs"/>
          <w:sz w:val="27"/>
          <w:rtl/>
          <w:lang w:bidi="fa-IR"/>
        </w:rPr>
        <w:t xml:space="preserve"> والإمام</w:t>
      </w:r>
      <w:r w:rsidR="00C96623" w:rsidRPr="00282AC9">
        <w:rPr>
          <w:rFonts w:ascii="Mosawi" w:hAnsi="Mosawi" w:hint="cs"/>
          <w:sz w:val="27"/>
          <w:rtl/>
          <w:lang w:bidi="fa-IR"/>
        </w:rPr>
        <w:t xml:space="preserve">ُ </w:t>
      </w:r>
      <w:r w:rsidRPr="00282AC9">
        <w:rPr>
          <w:rFonts w:ascii="Mosawi" w:hAnsi="Mosawi" w:hint="cs"/>
          <w:sz w:val="27"/>
          <w:rtl/>
          <w:lang w:bidi="fa-IR"/>
        </w:rPr>
        <w:t>يصنّ</w:t>
      </w:r>
      <w:r w:rsidR="00C96623" w:rsidRPr="00282AC9">
        <w:rPr>
          <w:rFonts w:ascii="Mosawi" w:hAnsi="Mosawi" w:hint="cs"/>
          <w:sz w:val="27"/>
          <w:rtl/>
          <w:lang w:bidi="fa-IR"/>
        </w:rPr>
        <w:t>ِ</w:t>
      </w:r>
      <w:r w:rsidRPr="00282AC9">
        <w:rPr>
          <w:rFonts w:ascii="Mosawi" w:hAnsi="Mosawi" w:hint="cs"/>
          <w:sz w:val="27"/>
          <w:rtl/>
          <w:lang w:bidi="fa-IR"/>
        </w:rPr>
        <w:t>ف النساء إلى ثلاثة أقسام، ويجعل المرأة العقيم</w:t>
      </w:r>
      <w:r w:rsidR="00C96623" w:rsidRPr="00282AC9">
        <w:rPr>
          <w:rFonts w:ascii="Mosawi" w:hAnsi="Mosawi" w:hint="cs"/>
          <w:sz w:val="27"/>
          <w:rtl/>
          <w:lang w:bidi="fa-IR"/>
        </w:rPr>
        <w:t>،</w:t>
      </w:r>
      <w:r w:rsidRPr="00282AC9">
        <w:rPr>
          <w:rFonts w:ascii="Mosawi" w:hAnsi="Mosawi" w:hint="cs"/>
          <w:sz w:val="27"/>
          <w:rtl/>
          <w:lang w:bidi="fa-IR"/>
        </w:rPr>
        <w:t xml:space="preserve"> التي لا ذات جمال ولا خ</w:t>
      </w:r>
      <w:r w:rsidR="00C96623" w:rsidRPr="00282AC9">
        <w:rPr>
          <w:rFonts w:ascii="Mosawi" w:hAnsi="Mosawi" w:hint="cs"/>
          <w:sz w:val="27"/>
          <w:rtl/>
          <w:lang w:bidi="fa-IR"/>
        </w:rPr>
        <w:t>ُ</w:t>
      </w:r>
      <w:r w:rsidRPr="00282AC9">
        <w:rPr>
          <w:rFonts w:ascii="Mosawi" w:hAnsi="Mosawi" w:hint="cs"/>
          <w:sz w:val="27"/>
          <w:rtl/>
          <w:lang w:bidi="fa-IR"/>
        </w:rPr>
        <w:t>ل</w:t>
      </w:r>
      <w:r w:rsidR="00C96623" w:rsidRPr="00282AC9">
        <w:rPr>
          <w:rFonts w:ascii="Mosawi" w:hAnsi="Mosawi" w:hint="cs"/>
          <w:sz w:val="27"/>
          <w:rtl/>
          <w:lang w:bidi="fa-IR"/>
        </w:rPr>
        <w:t>ُ</w:t>
      </w:r>
      <w:r w:rsidRPr="00282AC9">
        <w:rPr>
          <w:rFonts w:ascii="Mosawi" w:hAnsi="Mosawi" w:hint="cs"/>
          <w:sz w:val="27"/>
          <w:rtl/>
          <w:lang w:bidi="fa-IR"/>
        </w:rPr>
        <w:t>ق</w:t>
      </w:r>
      <w:r w:rsidR="00C96623" w:rsidRPr="00282AC9">
        <w:rPr>
          <w:rFonts w:ascii="Mosawi" w:hAnsi="Mosawi" w:hint="cs"/>
          <w:sz w:val="27"/>
          <w:rtl/>
          <w:lang w:bidi="fa-IR"/>
        </w:rPr>
        <w:t>،</w:t>
      </w:r>
      <w:r w:rsidRPr="00282AC9">
        <w:rPr>
          <w:rFonts w:ascii="Mosawi" w:hAnsi="Mosawi" w:hint="cs"/>
          <w:sz w:val="27"/>
          <w:rtl/>
          <w:lang w:bidi="fa-IR"/>
        </w:rPr>
        <w:t xml:space="preserve"> ولا تعين زوجها</w:t>
      </w:r>
      <w:r w:rsidR="00F12C39" w:rsidRPr="00282AC9">
        <w:rPr>
          <w:rFonts w:ascii="Mosawi" w:hAnsi="Mosawi" w:hint="cs"/>
          <w:sz w:val="27"/>
          <w:rtl/>
          <w:lang w:bidi="fa-IR"/>
        </w:rPr>
        <w:t>،</w:t>
      </w:r>
      <w:r w:rsidRPr="00282AC9">
        <w:rPr>
          <w:rFonts w:ascii="Mosawi" w:hAnsi="Mosawi" w:hint="cs"/>
          <w:sz w:val="27"/>
          <w:rtl/>
          <w:lang w:bidi="fa-IR"/>
        </w:rPr>
        <w:t xml:space="preserve"> في المرتبة الثانية</w:t>
      </w:r>
      <w:r w:rsidR="00F12C39" w:rsidRPr="00282AC9">
        <w:rPr>
          <w:rFonts w:ascii="Mosawi" w:hAnsi="Mosawi" w:hint="cs"/>
          <w:sz w:val="27"/>
          <w:rtl/>
          <w:lang w:bidi="fa-IR"/>
        </w:rPr>
        <w:t>.</w:t>
      </w:r>
      <w:r w:rsidRPr="00282AC9">
        <w:rPr>
          <w:rFonts w:ascii="Mosawi" w:hAnsi="Mosawi" w:hint="cs"/>
          <w:sz w:val="27"/>
          <w:rtl/>
          <w:lang w:bidi="fa-IR"/>
        </w:rPr>
        <w:t xml:space="preserve"> فلا يمكن أن نستفيد من هذه الرواية أيّ</w:t>
      </w:r>
      <w:r w:rsidR="00F12C39" w:rsidRPr="00282AC9">
        <w:rPr>
          <w:rFonts w:ascii="Mosawi" w:hAnsi="Mosawi" w:hint="cs"/>
          <w:sz w:val="27"/>
          <w:rtl/>
          <w:lang w:bidi="fa-IR"/>
        </w:rPr>
        <w:t>َ</w:t>
      </w:r>
      <w:r w:rsidRPr="00282AC9">
        <w:rPr>
          <w:rFonts w:ascii="Mosawi" w:hAnsi="Mosawi" w:hint="cs"/>
          <w:sz w:val="27"/>
          <w:rtl/>
          <w:lang w:bidi="fa-IR"/>
        </w:rPr>
        <w:t xml:space="preserve"> نهي</w:t>
      </w:r>
      <w:r w:rsidR="00F12C39" w:rsidRPr="00282AC9">
        <w:rPr>
          <w:rFonts w:ascii="Mosawi" w:hAnsi="Mosawi" w:hint="cs"/>
          <w:sz w:val="27"/>
          <w:rtl/>
          <w:lang w:bidi="fa-IR"/>
        </w:rPr>
        <w:t>ٍ</w:t>
      </w:r>
      <w:r w:rsidRPr="00282AC9">
        <w:rPr>
          <w:rFonts w:ascii="Mosawi" w:hAnsi="Mosawi" w:hint="cs"/>
          <w:sz w:val="27"/>
          <w:rtl/>
          <w:lang w:bidi="fa-IR"/>
        </w:rPr>
        <w:t xml:space="preserve"> تشريعي</w:t>
      </w:r>
      <w:r w:rsidR="00F12C39" w:rsidRPr="00282AC9">
        <w:rPr>
          <w:rFonts w:ascii="Mosawi" w:hAnsi="Mosawi" w:hint="cs"/>
          <w:sz w:val="27"/>
          <w:rtl/>
          <w:lang w:bidi="fa-IR"/>
        </w:rPr>
        <w:t>ّ</w:t>
      </w:r>
      <w:r w:rsidRPr="00282AC9">
        <w:rPr>
          <w:rFonts w:ascii="Mosawi" w:hAnsi="Mosawi" w:hint="cs"/>
          <w:sz w:val="27"/>
          <w:rtl/>
          <w:lang w:bidi="fa-IR"/>
        </w:rPr>
        <w:t xml:space="preserve"> بخصوص الزواج من المرأة العقيم أو الو</w:t>
      </w:r>
      <w:r w:rsidR="00F12C39" w:rsidRPr="00282AC9">
        <w:rPr>
          <w:rFonts w:ascii="Mosawi" w:hAnsi="Mosawi" w:hint="cs"/>
          <w:sz w:val="27"/>
          <w:rtl/>
          <w:lang w:bidi="fa-IR"/>
        </w:rPr>
        <w:t>َ</w:t>
      </w:r>
      <w:r w:rsidRPr="00282AC9">
        <w:rPr>
          <w:rFonts w:ascii="Mosawi" w:hAnsi="Mosawi" w:hint="cs"/>
          <w:sz w:val="27"/>
          <w:rtl/>
          <w:lang w:bidi="fa-IR"/>
        </w:rPr>
        <w:t>لود</w:t>
      </w:r>
      <w:r w:rsidR="00F12C39" w:rsidRPr="00282AC9">
        <w:rPr>
          <w:rFonts w:ascii="Mosawi" w:hAnsi="Mosawi" w:hint="cs"/>
          <w:sz w:val="27"/>
          <w:rtl/>
          <w:lang w:bidi="fa-IR"/>
        </w:rPr>
        <w:t>.</w:t>
      </w:r>
      <w:r w:rsidRPr="00282AC9">
        <w:rPr>
          <w:rFonts w:ascii="Mosawi" w:hAnsi="Mosawi" w:hint="cs"/>
          <w:sz w:val="27"/>
          <w:rtl/>
          <w:lang w:bidi="fa-IR"/>
        </w:rPr>
        <w:t xml:space="preserve"> وكذلك لا نجد استخدام</w:t>
      </w:r>
      <w:r w:rsidR="00F12C39" w:rsidRPr="00282AC9">
        <w:rPr>
          <w:rFonts w:ascii="Mosawi" w:hAnsi="Mosawi" w:hint="cs"/>
          <w:sz w:val="27"/>
          <w:rtl/>
          <w:lang w:bidi="fa-IR"/>
        </w:rPr>
        <w:t>َ</w:t>
      </w:r>
      <w:r w:rsidRPr="00282AC9">
        <w:rPr>
          <w:rFonts w:ascii="Mosawi" w:hAnsi="Mosawi" w:hint="cs"/>
          <w:sz w:val="27"/>
          <w:rtl/>
          <w:lang w:bidi="fa-IR"/>
        </w:rPr>
        <w:t xml:space="preserve"> تعبير</w:t>
      </w:r>
      <w:r w:rsidR="00F12C39" w:rsidRPr="00282AC9">
        <w:rPr>
          <w:rFonts w:ascii="Mosawi" w:hAnsi="Mosawi" w:hint="cs"/>
          <w:sz w:val="27"/>
          <w:rtl/>
          <w:lang w:bidi="fa-IR"/>
        </w:rPr>
        <w:t>ٍ</w:t>
      </w:r>
      <w:r w:rsidRPr="00282AC9">
        <w:rPr>
          <w:rFonts w:ascii="Mosawi" w:hAnsi="Mosawi" w:hint="cs"/>
          <w:sz w:val="27"/>
          <w:rtl/>
          <w:lang w:bidi="fa-IR"/>
        </w:rPr>
        <w:t xml:space="preserve"> شنيع</w:t>
      </w:r>
      <w:r w:rsidR="00F12C39" w:rsidRPr="00282AC9">
        <w:rPr>
          <w:rFonts w:ascii="Mosawi" w:hAnsi="Mosawi" w:hint="cs"/>
          <w:sz w:val="27"/>
          <w:rtl/>
          <w:lang w:bidi="fa-IR"/>
        </w:rPr>
        <w:t>ٍ</w:t>
      </w:r>
      <w:r w:rsidRPr="00282AC9">
        <w:rPr>
          <w:rFonts w:ascii="Mosawi" w:hAnsi="Mosawi" w:hint="cs"/>
          <w:sz w:val="27"/>
          <w:rtl/>
          <w:lang w:bidi="fa-IR"/>
        </w:rPr>
        <w:t xml:space="preserve"> في حقّ المرأة</w:t>
      </w:r>
      <w:r w:rsidR="00F12C39" w:rsidRPr="00282AC9">
        <w:rPr>
          <w:rFonts w:ascii="Mosawi" w:hAnsi="Mosawi" w:hint="cs"/>
          <w:sz w:val="27"/>
          <w:rtl/>
          <w:lang w:bidi="fa-IR"/>
        </w:rPr>
        <w:t>.</w:t>
      </w:r>
      <w:r w:rsidRPr="00282AC9">
        <w:rPr>
          <w:rFonts w:ascii="Mosawi" w:hAnsi="Mosawi" w:hint="cs"/>
          <w:sz w:val="27"/>
          <w:rtl/>
          <w:lang w:bidi="fa-IR"/>
        </w:rPr>
        <w:t xml:space="preserve"> وكلّ ما في الأمر أصل التمييز بين العقيم والولود</w:t>
      </w:r>
      <w:r w:rsidR="00F12C39" w:rsidRPr="00282AC9">
        <w:rPr>
          <w:rFonts w:ascii="Mosawi" w:hAnsi="Mosawi" w:hint="cs"/>
          <w:sz w:val="27"/>
          <w:rtl/>
          <w:lang w:bidi="fa-IR"/>
        </w:rPr>
        <w:t>،</w:t>
      </w:r>
      <w:r w:rsidRPr="00282AC9">
        <w:rPr>
          <w:rFonts w:ascii="Mosawi" w:hAnsi="Mosawi" w:hint="cs"/>
          <w:sz w:val="27"/>
          <w:rtl/>
          <w:lang w:bidi="fa-IR"/>
        </w:rPr>
        <w:t xml:space="preserve"> الذي سوف نتحدّ</w:t>
      </w:r>
      <w:r w:rsidR="00F12C39" w:rsidRPr="00282AC9">
        <w:rPr>
          <w:rFonts w:ascii="Mosawi" w:hAnsi="Mosawi" w:hint="cs"/>
          <w:sz w:val="27"/>
          <w:rtl/>
          <w:lang w:bidi="fa-IR"/>
        </w:rPr>
        <w:t>َ</w:t>
      </w:r>
      <w:r w:rsidRPr="00282AC9">
        <w:rPr>
          <w:rFonts w:ascii="Mosawi" w:hAnsi="Mosawi" w:hint="cs"/>
          <w:sz w:val="27"/>
          <w:rtl/>
          <w:lang w:bidi="fa-IR"/>
        </w:rPr>
        <w:t>ث عنه لاحقاً</w:t>
      </w:r>
      <w:r w:rsidR="00F12C39" w:rsidRPr="00282AC9">
        <w:rPr>
          <w:rFonts w:ascii="Mosawi" w:hAnsi="Mosawi" w:hint="cs"/>
          <w:sz w:val="27"/>
          <w:rtl/>
          <w:lang w:bidi="fa-IR"/>
        </w:rPr>
        <w:t>،</w:t>
      </w:r>
      <w:r w:rsidRPr="00282AC9">
        <w:rPr>
          <w:rFonts w:ascii="Mosawi" w:hAnsi="Mosawi" w:hint="cs"/>
          <w:sz w:val="27"/>
          <w:rtl/>
          <w:lang w:bidi="fa-IR"/>
        </w:rPr>
        <w:t xml:space="preserve"> إن</w:t>
      </w:r>
      <w:r w:rsidR="00F12C39" w:rsidRPr="00282AC9">
        <w:rPr>
          <w:rFonts w:ascii="Mosawi" w:hAnsi="Mosawi" w:hint="cs"/>
          <w:sz w:val="27"/>
          <w:rtl/>
          <w:lang w:bidi="fa-IR"/>
        </w:rPr>
        <w:t>ْ</w:t>
      </w:r>
      <w:r w:rsidRPr="00282AC9">
        <w:rPr>
          <w:rFonts w:ascii="Mosawi" w:hAnsi="Mosawi" w:hint="cs"/>
          <w:sz w:val="27"/>
          <w:rtl/>
          <w:lang w:bidi="fa-IR"/>
        </w:rPr>
        <w:t xml:space="preserve"> شاء الله تعالى.</w:t>
      </w:r>
    </w:p>
    <w:p w:rsidR="00F12C39" w:rsidRPr="00282AC9" w:rsidRDefault="00C23301" w:rsidP="00C23301">
      <w:pPr>
        <w:pStyle w:val="31"/>
        <w:rPr>
          <w:color w:val="auto"/>
          <w:rtl/>
        </w:rPr>
      </w:pPr>
      <w:r w:rsidRPr="00282AC9">
        <w:rPr>
          <w:rFonts w:hint="cs"/>
          <w:color w:val="auto"/>
          <w:rtl/>
        </w:rPr>
        <w:lastRenderedPageBreak/>
        <w:t xml:space="preserve">3ـ </w:t>
      </w:r>
      <w:r w:rsidRPr="00282AC9">
        <w:rPr>
          <w:color w:val="auto"/>
          <w:rtl/>
        </w:rPr>
        <w:t>«شرار نسائكم المعق</w:t>
      </w:r>
      <w:r w:rsidRPr="00282AC9">
        <w:rPr>
          <w:rFonts w:hint="cs"/>
          <w:color w:val="auto"/>
          <w:rtl/>
        </w:rPr>
        <w:t>َ</w:t>
      </w:r>
      <w:r w:rsidRPr="00282AC9">
        <w:rPr>
          <w:color w:val="auto"/>
          <w:rtl/>
        </w:rPr>
        <w:t>رة»</w:t>
      </w:r>
    </w:p>
    <w:p w:rsidR="001153F1" w:rsidRPr="00282AC9" w:rsidRDefault="00F12C39" w:rsidP="003E218F">
      <w:pPr>
        <w:pStyle w:val="afc"/>
        <w:rPr>
          <w:rFonts w:ascii="Mosawi" w:hAnsi="Mosawi" w:cs="AL-Mohanad"/>
          <w:sz w:val="27"/>
          <w:szCs w:val="27"/>
          <w:rtl/>
          <w:lang w:bidi="fa-IR"/>
        </w:rPr>
      </w:pPr>
      <w:r w:rsidRPr="00282AC9">
        <w:rPr>
          <w:rFonts w:ascii="Cambria" w:hAnsi="Cambria" w:cs="AL-Mohanad" w:hint="cs"/>
          <w:sz w:val="27"/>
          <w:szCs w:val="27"/>
          <w:rtl/>
        </w:rPr>
        <w:t xml:space="preserve">وهي </w:t>
      </w:r>
      <w:r w:rsidR="001153F1" w:rsidRPr="00282AC9">
        <w:rPr>
          <w:rFonts w:ascii="Cambria" w:hAnsi="Cambria" w:cs="AL-Mohanad" w:hint="cs"/>
          <w:sz w:val="27"/>
          <w:szCs w:val="27"/>
          <w:rtl/>
        </w:rPr>
        <w:t xml:space="preserve">رواية </w:t>
      </w:r>
      <w:r w:rsidR="00A45C42" w:rsidRPr="00282AC9">
        <w:rPr>
          <w:rFonts w:ascii="Mosawi" w:hAnsi="Mosawi" w:cs="AL-Mohanad" w:hint="cs"/>
          <w:sz w:val="27"/>
          <w:szCs w:val="27"/>
          <w:rtl/>
        </w:rPr>
        <w:t>ابن سنان: عن ملحان</w:t>
      </w:r>
      <w:r w:rsidRPr="00282AC9">
        <w:rPr>
          <w:rFonts w:ascii="Mosawi" w:hAnsi="Mosawi" w:cs="AL-Mohanad" w:hint="cs"/>
          <w:sz w:val="27"/>
          <w:szCs w:val="27"/>
          <w:rtl/>
        </w:rPr>
        <w:t>،</w:t>
      </w:r>
      <w:r w:rsidR="001153F1" w:rsidRPr="00282AC9">
        <w:rPr>
          <w:rFonts w:ascii="Mosawi" w:hAnsi="Mosawi" w:cs="AL-Mohanad"/>
          <w:sz w:val="27"/>
          <w:szCs w:val="27"/>
          <w:rtl/>
        </w:rPr>
        <w:t xml:space="preserve"> عن عبد الله بن سنان قال</w:t>
      </w:r>
      <w:r w:rsidR="001153F1" w:rsidRPr="00282AC9">
        <w:rPr>
          <w:rFonts w:ascii="Mosawi" w:hAnsi="Mosawi" w:cs="AL-Mohanad" w:hint="cs"/>
          <w:sz w:val="27"/>
          <w:szCs w:val="27"/>
          <w:rtl/>
        </w:rPr>
        <w:t>:</w:t>
      </w:r>
      <w:r w:rsidR="001153F1" w:rsidRPr="00282AC9">
        <w:rPr>
          <w:rFonts w:ascii="Mosawi" w:hAnsi="Mosawi" w:cs="AL-Mohanad"/>
          <w:sz w:val="27"/>
          <w:szCs w:val="27"/>
          <w:rtl/>
        </w:rPr>
        <w:t xml:space="preserve"> قال رسول الله</w:t>
      </w:r>
      <w:r w:rsidR="009A2A04" w:rsidRPr="00282AC9">
        <w:rPr>
          <w:rFonts w:ascii="Mosawi" w:hAnsi="Mosawi" w:cs="Mosawi"/>
          <w:sz w:val="22"/>
          <w:szCs w:val="22"/>
          <w:rtl/>
        </w:rPr>
        <w:t>|</w:t>
      </w:r>
      <w:r w:rsidR="001153F1" w:rsidRPr="00282AC9">
        <w:rPr>
          <w:rFonts w:ascii="Mosawi" w:hAnsi="Mosawi" w:cs="AL-Mohanad" w:hint="cs"/>
          <w:sz w:val="27"/>
          <w:szCs w:val="27"/>
          <w:rtl/>
        </w:rPr>
        <w:t>:</w:t>
      </w:r>
      <w:r w:rsidR="001153F1" w:rsidRPr="00282AC9">
        <w:rPr>
          <w:rFonts w:ascii="Mosawi" w:hAnsi="Mosawi" w:cs="AL-Mohanad"/>
          <w:sz w:val="27"/>
          <w:szCs w:val="27"/>
          <w:rtl/>
        </w:rPr>
        <w:t xml:space="preserve"> </w:t>
      </w:r>
      <w:r w:rsidR="001153F1" w:rsidRPr="00282AC9">
        <w:rPr>
          <w:rFonts w:ascii="Mosawi" w:hAnsi="Mosawi" w:cs="AL-Mohanad"/>
          <w:rtl/>
          <w:lang w:bidi="fa-IR"/>
        </w:rPr>
        <w:t>«</w:t>
      </w:r>
      <w:r w:rsidR="001153F1" w:rsidRPr="00282AC9">
        <w:rPr>
          <w:rFonts w:ascii="Mosawi" w:hAnsi="Mosawi" w:cs="AL-Mohanad"/>
          <w:sz w:val="27"/>
          <w:szCs w:val="27"/>
          <w:rtl/>
          <w:lang w:bidi="fa-IR"/>
        </w:rPr>
        <w:t>شرار نسائكم المعق</w:t>
      </w:r>
      <w:r w:rsidR="007D7367" w:rsidRPr="00282AC9">
        <w:rPr>
          <w:rFonts w:ascii="Mosawi" w:hAnsi="Mosawi" w:cs="AL-Mohanad" w:hint="cs"/>
          <w:sz w:val="27"/>
          <w:szCs w:val="27"/>
          <w:rtl/>
          <w:lang w:bidi="fa-IR"/>
        </w:rPr>
        <w:t>َ</w:t>
      </w:r>
      <w:r w:rsidR="001153F1" w:rsidRPr="00282AC9">
        <w:rPr>
          <w:rFonts w:ascii="Mosawi" w:hAnsi="Mosawi" w:cs="AL-Mohanad"/>
          <w:sz w:val="27"/>
          <w:szCs w:val="27"/>
          <w:rtl/>
          <w:lang w:bidi="fa-IR"/>
        </w:rPr>
        <w:t>رة</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الدنسة</w:t>
      </w:r>
      <w:r w:rsidRPr="00282AC9">
        <w:rPr>
          <w:rFonts w:ascii="Mosawi" w:hAnsi="Mosawi" w:cs="AL-Mohanad" w:hint="cs"/>
          <w:sz w:val="27"/>
          <w:szCs w:val="27"/>
          <w:rtl/>
          <w:lang w:bidi="fa-IR"/>
        </w:rPr>
        <w:t xml:space="preserve">، </w:t>
      </w:r>
      <w:r w:rsidR="001153F1" w:rsidRPr="00282AC9">
        <w:rPr>
          <w:rFonts w:ascii="Mosawi" w:hAnsi="Mosawi" w:cs="AL-Mohanad"/>
          <w:sz w:val="27"/>
          <w:szCs w:val="27"/>
          <w:rtl/>
          <w:lang w:bidi="fa-IR"/>
        </w:rPr>
        <w:t>اللجوجة</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العاصية</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الذليلة في قومها</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العزيزة في نفسها</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الحصان على زوجها</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الهلوك على غيره</w:t>
      </w:r>
      <w:r w:rsidR="001153F1" w:rsidRPr="00282AC9">
        <w:rPr>
          <w:rFonts w:ascii="Mosawi" w:hAnsi="Mosawi" w:cs="AL-Mohanad"/>
          <w:rtl/>
          <w:lang w:bidi="fa-IR"/>
        </w:rPr>
        <w:t>»</w:t>
      </w:r>
      <w:r w:rsidR="001153F1" w:rsidRPr="00282AC9">
        <w:rPr>
          <w:rFonts w:ascii="Mosawi" w:hAnsi="Mosawi" w:cs="AL-Mohanad"/>
          <w:sz w:val="27"/>
          <w:szCs w:val="27"/>
          <w:vertAlign w:val="superscript"/>
          <w:rtl/>
          <w:lang w:bidi="fa-IR"/>
        </w:rPr>
        <w:t>(</w:t>
      </w:r>
      <w:r w:rsidR="001153F1" w:rsidRPr="00282AC9">
        <w:rPr>
          <w:rStyle w:val="af9"/>
          <w:rFonts w:ascii="Mosawi" w:hAnsi="Mosawi" w:cs="AL-Mohanad"/>
          <w:sz w:val="27"/>
          <w:szCs w:val="27"/>
          <w:rtl/>
          <w:lang w:bidi="fa-IR"/>
        </w:rPr>
        <w:endnoteReference w:id="656"/>
      </w:r>
      <w:r w:rsidR="001153F1" w:rsidRPr="00282AC9">
        <w:rPr>
          <w:rFonts w:ascii="Mosawi" w:hAnsi="Mosawi" w:cs="AL-Mohanad"/>
          <w:sz w:val="27"/>
          <w:szCs w:val="27"/>
          <w:vertAlign w:val="superscript"/>
          <w:rtl/>
          <w:lang w:bidi="fa-IR"/>
        </w:rPr>
        <w:t>)</w:t>
      </w:r>
      <w:r w:rsidR="001153F1" w:rsidRPr="00282AC9">
        <w:rPr>
          <w:rFonts w:ascii="Mosawi" w:hAnsi="Mosawi" w:cs="AL-Mohanad" w:hint="cs"/>
          <w:sz w:val="27"/>
          <w:szCs w:val="27"/>
          <w:rtl/>
          <w:lang w:bidi="fa-IR"/>
        </w:rPr>
        <w:t>.</w:t>
      </w:r>
    </w:p>
    <w:p w:rsidR="001153F1" w:rsidRPr="00282AC9" w:rsidRDefault="001153F1" w:rsidP="003E218F">
      <w:pPr>
        <w:rPr>
          <w:sz w:val="27"/>
          <w:rtl/>
          <w:lang w:bidi="fa-IR"/>
        </w:rPr>
      </w:pPr>
      <w:r w:rsidRPr="00282AC9">
        <w:rPr>
          <w:rFonts w:ascii="Mosawi" w:hAnsi="Mosawi"/>
          <w:sz w:val="27"/>
          <w:rtl/>
          <w:lang w:bidi="fa-IR"/>
        </w:rPr>
        <w:t>ثمّة اختلاف</w:t>
      </w:r>
      <w:r w:rsidR="00F12C39" w:rsidRPr="00282AC9">
        <w:rPr>
          <w:rFonts w:ascii="Mosawi" w:hAnsi="Mosawi" w:hint="cs"/>
          <w:sz w:val="27"/>
          <w:rtl/>
          <w:lang w:bidi="fa-IR"/>
        </w:rPr>
        <w:t>ٌ</w:t>
      </w:r>
      <w:r w:rsidRPr="00282AC9">
        <w:rPr>
          <w:rFonts w:ascii="Mosawi" w:hAnsi="Mosawi"/>
          <w:sz w:val="27"/>
          <w:rtl/>
          <w:lang w:bidi="fa-IR"/>
        </w:rPr>
        <w:t xml:space="preserve"> في النسخ في نقل </w:t>
      </w:r>
      <w:r w:rsidRPr="00282AC9">
        <w:rPr>
          <w:rFonts w:ascii="Mosawi" w:hAnsi="Mosawi"/>
          <w:sz w:val="24"/>
          <w:szCs w:val="24"/>
          <w:rtl/>
          <w:lang w:bidi="fa-IR"/>
        </w:rPr>
        <w:t>«</w:t>
      </w:r>
      <w:r w:rsidRPr="00282AC9">
        <w:rPr>
          <w:rFonts w:ascii="Mosawi" w:hAnsi="Mosawi"/>
          <w:sz w:val="27"/>
          <w:rtl/>
          <w:lang w:bidi="fa-IR"/>
        </w:rPr>
        <w:t>المعقرة</w:t>
      </w:r>
      <w:r w:rsidRPr="00282AC9">
        <w:rPr>
          <w:rFonts w:ascii="Mosawi" w:hAnsi="Mosawi"/>
          <w:sz w:val="24"/>
          <w:szCs w:val="24"/>
          <w:rtl/>
          <w:lang w:bidi="fa-IR"/>
        </w:rPr>
        <w:t>»</w:t>
      </w:r>
      <w:r w:rsidR="00F12C39" w:rsidRPr="00282AC9">
        <w:rPr>
          <w:rFonts w:ascii="Mosawi" w:hAnsi="Mosawi" w:hint="cs"/>
          <w:sz w:val="27"/>
          <w:rtl/>
          <w:lang w:bidi="fa-IR"/>
        </w:rPr>
        <w:t>.</w:t>
      </w:r>
      <w:r w:rsidRPr="00282AC9">
        <w:rPr>
          <w:rFonts w:ascii="Mosawi" w:hAnsi="Mosawi"/>
          <w:sz w:val="27"/>
          <w:rtl/>
          <w:lang w:bidi="fa-IR"/>
        </w:rPr>
        <w:t xml:space="preserve"> ويعلّق الفيض الكاشاني</w:t>
      </w:r>
      <w:r w:rsidR="00F12C39" w:rsidRPr="00282AC9">
        <w:rPr>
          <w:rFonts w:ascii="Mosawi" w:hAnsi="Mosawi" w:hint="cs"/>
          <w:sz w:val="27"/>
          <w:rtl/>
          <w:lang w:bidi="fa-IR"/>
        </w:rPr>
        <w:t>،</w:t>
      </w:r>
      <w:r w:rsidRPr="00282AC9">
        <w:rPr>
          <w:rFonts w:ascii="Mosawi" w:hAnsi="Mosawi"/>
          <w:sz w:val="27"/>
          <w:rtl/>
          <w:lang w:bidi="fa-IR"/>
        </w:rPr>
        <w:t xml:space="preserve"> في الوافي</w:t>
      </w:r>
      <w:r w:rsidR="00F12C39" w:rsidRPr="00282AC9">
        <w:rPr>
          <w:rFonts w:hint="cs"/>
          <w:sz w:val="27"/>
          <w:rtl/>
          <w:lang w:bidi="fa-IR"/>
        </w:rPr>
        <w:t xml:space="preserve">، </w:t>
      </w:r>
      <w:r w:rsidRPr="00282AC9">
        <w:rPr>
          <w:rFonts w:hint="cs"/>
          <w:sz w:val="27"/>
          <w:rtl/>
          <w:lang w:bidi="fa-IR"/>
        </w:rPr>
        <w:t xml:space="preserve">على هذا الحديث قائلاً: </w:t>
      </w:r>
      <w:r w:rsidRPr="00282AC9">
        <w:rPr>
          <w:sz w:val="24"/>
          <w:szCs w:val="24"/>
          <w:rtl/>
          <w:lang w:bidi="fa-IR"/>
        </w:rPr>
        <w:t>«</w:t>
      </w:r>
      <w:r w:rsidRPr="00282AC9">
        <w:rPr>
          <w:rFonts w:ascii="Mosawi" w:hAnsi="Mosawi"/>
          <w:sz w:val="24"/>
          <w:szCs w:val="24"/>
          <w:rtl/>
          <w:lang w:bidi="fa-IR"/>
        </w:rPr>
        <w:t>«</w:t>
      </w:r>
      <w:r w:rsidRPr="00282AC9">
        <w:rPr>
          <w:rFonts w:hint="cs"/>
          <w:sz w:val="27"/>
          <w:rtl/>
          <w:lang w:bidi="fa-IR"/>
        </w:rPr>
        <w:t>العقرة</w:t>
      </w:r>
      <w:r w:rsidRPr="00282AC9">
        <w:rPr>
          <w:rFonts w:ascii="Mosawi" w:hAnsi="Mosawi"/>
          <w:sz w:val="24"/>
          <w:szCs w:val="24"/>
          <w:rtl/>
          <w:lang w:bidi="fa-IR"/>
        </w:rPr>
        <w:t>»</w:t>
      </w:r>
      <w:r w:rsidRPr="00282AC9">
        <w:rPr>
          <w:rFonts w:hint="cs"/>
          <w:sz w:val="27"/>
          <w:rtl/>
          <w:lang w:bidi="fa-IR"/>
        </w:rPr>
        <w:t xml:space="preserve"> التي لا تلد</w:t>
      </w:r>
      <w:r w:rsidR="00F12C39" w:rsidRPr="00282AC9">
        <w:rPr>
          <w:rFonts w:hint="cs"/>
          <w:sz w:val="27"/>
          <w:rtl/>
          <w:lang w:bidi="fa-IR"/>
        </w:rPr>
        <w:t>.</w:t>
      </w:r>
      <w:r w:rsidRPr="00282AC9">
        <w:rPr>
          <w:rFonts w:hint="cs"/>
          <w:sz w:val="27"/>
          <w:rtl/>
          <w:lang w:bidi="fa-IR"/>
        </w:rPr>
        <w:t xml:space="preserve"> وفي بعض النسخ</w:t>
      </w:r>
      <w:r w:rsidR="00F12C39" w:rsidRPr="00282AC9">
        <w:rPr>
          <w:rFonts w:hint="cs"/>
          <w:sz w:val="27"/>
          <w:rtl/>
          <w:lang w:bidi="fa-IR"/>
        </w:rPr>
        <w:t xml:space="preserve"> </w:t>
      </w:r>
      <w:r w:rsidR="00F12C39" w:rsidRPr="00282AC9">
        <w:rPr>
          <w:rFonts w:ascii="Mosawi" w:hAnsi="Mosawi"/>
          <w:sz w:val="24"/>
          <w:szCs w:val="24"/>
          <w:rtl/>
          <w:lang w:bidi="fa-IR"/>
        </w:rPr>
        <w:t>«</w:t>
      </w:r>
      <w:r w:rsidRPr="00282AC9">
        <w:rPr>
          <w:rFonts w:hint="cs"/>
          <w:sz w:val="27"/>
          <w:rtl/>
          <w:lang w:bidi="fa-IR"/>
        </w:rPr>
        <w:t>القفرة</w:t>
      </w:r>
      <w:r w:rsidR="00F12C39" w:rsidRPr="00282AC9">
        <w:rPr>
          <w:rFonts w:ascii="Mosawi" w:hAnsi="Mosawi"/>
          <w:sz w:val="24"/>
          <w:szCs w:val="24"/>
          <w:rtl/>
          <w:lang w:bidi="fa-IR"/>
        </w:rPr>
        <w:t>»</w:t>
      </w:r>
      <w:r w:rsidR="00F12C39" w:rsidRPr="00282AC9">
        <w:rPr>
          <w:rFonts w:hint="cs"/>
          <w:sz w:val="27"/>
          <w:rtl/>
          <w:lang w:bidi="fa-IR"/>
        </w:rPr>
        <w:t>،</w:t>
      </w:r>
      <w:r w:rsidRPr="00282AC9">
        <w:rPr>
          <w:rFonts w:hint="cs"/>
          <w:sz w:val="27"/>
          <w:rtl/>
          <w:lang w:bidi="fa-IR"/>
        </w:rPr>
        <w:t xml:space="preserve"> بالقاف ثم الفاء</w:t>
      </w:r>
      <w:r w:rsidR="00F12C39" w:rsidRPr="00282AC9">
        <w:rPr>
          <w:rFonts w:hint="cs"/>
          <w:sz w:val="27"/>
          <w:rtl/>
          <w:lang w:bidi="fa-IR"/>
        </w:rPr>
        <w:t>،</w:t>
      </w:r>
      <w:r w:rsidRPr="00282AC9">
        <w:rPr>
          <w:rFonts w:hint="cs"/>
          <w:sz w:val="27"/>
          <w:rtl/>
          <w:lang w:bidi="fa-IR"/>
        </w:rPr>
        <w:t xml:space="preserve"> أي قليلة اللحم</w:t>
      </w:r>
      <w:r w:rsidR="00F12C39" w:rsidRPr="00282AC9">
        <w:rPr>
          <w:rFonts w:hint="cs"/>
          <w:sz w:val="27"/>
          <w:rtl/>
          <w:lang w:bidi="fa-IR"/>
        </w:rPr>
        <w:t>؛</w:t>
      </w:r>
      <w:r w:rsidRPr="00282AC9">
        <w:rPr>
          <w:rFonts w:hint="cs"/>
          <w:sz w:val="27"/>
          <w:rtl/>
          <w:lang w:bidi="fa-IR"/>
        </w:rPr>
        <w:t xml:space="preserve"> وفي بعضها </w:t>
      </w:r>
      <w:r w:rsidRPr="00282AC9">
        <w:rPr>
          <w:rFonts w:ascii="Mosawi" w:hAnsi="Mosawi"/>
          <w:sz w:val="24"/>
          <w:szCs w:val="24"/>
          <w:rtl/>
          <w:lang w:bidi="fa-IR"/>
        </w:rPr>
        <w:t>«</w:t>
      </w:r>
      <w:r w:rsidRPr="00282AC9">
        <w:rPr>
          <w:rFonts w:hint="cs"/>
          <w:sz w:val="27"/>
          <w:rtl/>
          <w:lang w:bidi="fa-IR"/>
        </w:rPr>
        <w:t>المقفرة</w:t>
      </w:r>
      <w:r w:rsidRPr="00282AC9">
        <w:rPr>
          <w:rFonts w:ascii="Mosawi" w:hAnsi="Mosawi"/>
          <w:sz w:val="24"/>
          <w:szCs w:val="24"/>
          <w:rtl/>
          <w:lang w:bidi="fa-IR"/>
        </w:rPr>
        <w:t>»</w:t>
      </w:r>
      <w:r w:rsidR="00F12C39" w:rsidRPr="00282AC9">
        <w:rPr>
          <w:rFonts w:hint="cs"/>
          <w:sz w:val="27"/>
          <w:rtl/>
          <w:lang w:bidi="fa-IR"/>
        </w:rPr>
        <w:t>،</w:t>
      </w:r>
      <w:r w:rsidRPr="00282AC9">
        <w:rPr>
          <w:rFonts w:hint="cs"/>
          <w:sz w:val="27"/>
          <w:rtl/>
          <w:lang w:bidi="fa-IR"/>
        </w:rPr>
        <w:t xml:space="preserve"> أي الخال</w:t>
      </w:r>
      <w:r w:rsidR="00F12C39" w:rsidRPr="00282AC9">
        <w:rPr>
          <w:rFonts w:hint="cs"/>
          <w:sz w:val="27"/>
          <w:rtl/>
          <w:lang w:bidi="fa-IR"/>
        </w:rPr>
        <w:t>ي</w:t>
      </w:r>
      <w:r w:rsidRPr="00282AC9">
        <w:rPr>
          <w:rFonts w:hint="cs"/>
          <w:sz w:val="27"/>
          <w:rtl/>
          <w:lang w:bidi="fa-IR"/>
        </w:rPr>
        <w:t>ة من الطعام</w:t>
      </w:r>
      <w:r w:rsidR="00F12C39" w:rsidRPr="00282AC9">
        <w:rPr>
          <w:rFonts w:hint="cs"/>
          <w:sz w:val="27"/>
          <w:rtl/>
          <w:lang w:bidi="fa-IR"/>
        </w:rPr>
        <w:t>.</w:t>
      </w:r>
      <w:r w:rsidRPr="00282AC9">
        <w:rPr>
          <w:rFonts w:hint="cs"/>
          <w:sz w:val="27"/>
          <w:rtl/>
          <w:lang w:bidi="fa-IR"/>
        </w:rPr>
        <w:t xml:space="preserve"> وكأنّهما من المصح</w:t>
      </w:r>
      <w:r w:rsidR="00F12C39" w:rsidRPr="00282AC9">
        <w:rPr>
          <w:rFonts w:hint="cs"/>
          <w:sz w:val="27"/>
          <w:rtl/>
          <w:lang w:bidi="fa-IR"/>
        </w:rPr>
        <w:t>َّ</w:t>
      </w:r>
      <w:r w:rsidRPr="00282AC9">
        <w:rPr>
          <w:rFonts w:hint="cs"/>
          <w:sz w:val="27"/>
          <w:rtl/>
          <w:lang w:bidi="fa-IR"/>
        </w:rPr>
        <w:t>فات‏</w:t>
      </w:r>
      <w:r w:rsidRPr="00282AC9">
        <w:rPr>
          <w:sz w:val="24"/>
          <w:szCs w:val="24"/>
          <w:rtl/>
          <w:lang w:bidi="fa-IR"/>
        </w:rPr>
        <w:t>»</w:t>
      </w:r>
      <w:r w:rsidRPr="00282AC9">
        <w:rPr>
          <w:sz w:val="27"/>
          <w:vertAlign w:val="superscript"/>
          <w:rtl/>
          <w:lang w:bidi="fa-IR"/>
        </w:rPr>
        <w:t>(</w:t>
      </w:r>
      <w:r w:rsidRPr="00282AC9">
        <w:rPr>
          <w:rStyle w:val="af9"/>
          <w:sz w:val="27"/>
          <w:rtl/>
          <w:lang w:bidi="fa-IR"/>
        </w:rPr>
        <w:endnoteReference w:id="657"/>
      </w:r>
      <w:r w:rsidRPr="00282AC9">
        <w:rPr>
          <w:sz w:val="27"/>
          <w:vertAlign w:val="superscript"/>
          <w:rtl/>
          <w:lang w:bidi="fa-IR"/>
        </w:rPr>
        <w:t>)</w:t>
      </w:r>
      <w:r w:rsidR="00F12C39" w:rsidRPr="00282AC9">
        <w:rPr>
          <w:rFonts w:hint="cs"/>
          <w:sz w:val="27"/>
          <w:rtl/>
          <w:lang w:bidi="fa-IR"/>
        </w:rPr>
        <w:t>.</w:t>
      </w:r>
      <w:r w:rsidRPr="00282AC9">
        <w:rPr>
          <w:rFonts w:hint="cs"/>
          <w:sz w:val="27"/>
          <w:rtl/>
          <w:lang w:bidi="fa-IR"/>
        </w:rPr>
        <w:t xml:space="preserve"> ولكنّه لم يوضّ</w:t>
      </w:r>
      <w:r w:rsidR="00F12C39" w:rsidRPr="00282AC9">
        <w:rPr>
          <w:rFonts w:hint="cs"/>
          <w:sz w:val="27"/>
          <w:rtl/>
          <w:lang w:bidi="fa-IR"/>
        </w:rPr>
        <w:t>ِ</w:t>
      </w:r>
      <w:r w:rsidRPr="00282AC9">
        <w:rPr>
          <w:rFonts w:hint="cs"/>
          <w:sz w:val="27"/>
          <w:rtl/>
          <w:lang w:bidi="fa-IR"/>
        </w:rPr>
        <w:t>ح وجه اختياره للعقرة على سائر الاحتمالات</w:t>
      </w:r>
      <w:r w:rsidR="00F12C39" w:rsidRPr="00282AC9">
        <w:rPr>
          <w:rFonts w:hint="cs"/>
          <w:sz w:val="27"/>
          <w:rtl/>
          <w:lang w:bidi="fa-IR"/>
        </w:rPr>
        <w:t>.</w:t>
      </w:r>
      <w:r w:rsidRPr="00282AC9">
        <w:rPr>
          <w:rFonts w:hint="cs"/>
          <w:sz w:val="27"/>
          <w:rtl/>
          <w:lang w:bidi="fa-IR"/>
        </w:rPr>
        <w:t xml:space="preserve"> </w:t>
      </w:r>
      <w:r w:rsidR="00F12C39" w:rsidRPr="00282AC9">
        <w:rPr>
          <w:rFonts w:hint="cs"/>
          <w:sz w:val="27"/>
          <w:rtl/>
          <w:lang w:bidi="fa-IR"/>
        </w:rPr>
        <w:t>و</w:t>
      </w:r>
      <w:r w:rsidRPr="00282AC9">
        <w:rPr>
          <w:rFonts w:hint="cs"/>
          <w:sz w:val="27"/>
          <w:rtl/>
          <w:lang w:bidi="fa-IR"/>
        </w:rPr>
        <w:t>على أي</w:t>
      </w:r>
      <w:r w:rsidR="00F12C39" w:rsidRPr="00282AC9">
        <w:rPr>
          <w:rFonts w:hint="cs"/>
          <w:sz w:val="27"/>
          <w:rtl/>
          <w:lang w:bidi="fa-IR"/>
        </w:rPr>
        <w:t>ّ</w:t>
      </w:r>
      <w:r w:rsidRPr="00282AC9">
        <w:rPr>
          <w:rFonts w:hint="cs"/>
          <w:sz w:val="27"/>
          <w:rtl/>
          <w:lang w:bidi="fa-IR"/>
        </w:rPr>
        <w:t xml:space="preserve"> حال هناك أربعة احتمالات في هذه الكلمة</w:t>
      </w:r>
      <w:r w:rsidR="00F12C39" w:rsidRPr="00282AC9">
        <w:rPr>
          <w:rFonts w:hint="cs"/>
          <w:sz w:val="27"/>
          <w:rtl/>
          <w:lang w:bidi="fa-IR"/>
        </w:rPr>
        <w:t>،</w:t>
      </w:r>
      <w:r w:rsidRPr="00282AC9">
        <w:rPr>
          <w:rFonts w:hint="cs"/>
          <w:sz w:val="27"/>
          <w:rtl/>
          <w:lang w:bidi="fa-IR"/>
        </w:rPr>
        <w:t xml:space="preserve"> ح</w:t>
      </w:r>
      <w:r w:rsidR="00F12C39" w:rsidRPr="00282AC9">
        <w:rPr>
          <w:rFonts w:hint="cs"/>
          <w:sz w:val="27"/>
          <w:rtl/>
          <w:lang w:bidi="fa-IR"/>
        </w:rPr>
        <w:t>َ</w:t>
      </w:r>
      <w:r w:rsidRPr="00282AC9">
        <w:rPr>
          <w:rFonts w:hint="cs"/>
          <w:sz w:val="27"/>
          <w:rtl/>
          <w:lang w:bidi="fa-IR"/>
        </w:rPr>
        <w:t>س</w:t>
      </w:r>
      <w:r w:rsidR="00F12C39" w:rsidRPr="00282AC9">
        <w:rPr>
          <w:rFonts w:hint="cs"/>
          <w:sz w:val="27"/>
          <w:rtl/>
          <w:lang w:bidi="fa-IR"/>
        </w:rPr>
        <w:t>ْ</w:t>
      </w:r>
      <w:r w:rsidRPr="00282AC9">
        <w:rPr>
          <w:rFonts w:hint="cs"/>
          <w:sz w:val="27"/>
          <w:rtl/>
          <w:lang w:bidi="fa-IR"/>
        </w:rPr>
        <w:t>ب النسخ المختلفة:</w:t>
      </w:r>
    </w:p>
    <w:p w:rsidR="001153F1" w:rsidRPr="00282AC9" w:rsidRDefault="001153F1" w:rsidP="003E218F">
      <w:pPr>
        <w:pStyle w:val="afe"/>
        <w:spacing w:after="0" w:line="400" w:lineRule="exact"/>
        <w:ind w:left="0" w:firstLine="567"/>
        <w:jc w:val="both"/>
        <w:rPr>
          <w:rFonts w:cs="AL-Mohanad"/>
          <w:sz w:val="27"/>
          <w:szCs w:val="27"/>
          <w:rtl/>
          <w:lang w:bidi="fa-IR"/>
        </w:rPr>
      </w:pPr>
      <w:r w:rsidRPr="00282AC9">
        <w:rPr>
          <w:rFonts w:cs="AL-Mohanad" w:hint="cs"/>
          <w:sz w:val="27"/>
          <w:szCs w:val="27"/>
          <w:rtl/>
        </w:rPr>
        <w:t>1ـ المُعقَرة</w:t>
      </w:r>
      <w:r w:rsidRPr="00282AC9">
        <w:rPr>
          <w:rFonts w:cs="AL-Mohanad"/>
          <w:sz w:val="27"/>
          <w:szCs w:val="27"/>
          <w:rtl/>
        </w:rPr>
        <w:t>:</w:t>
      </w:r>
      <w:r w:rsidRPr="00282AC9">
        <w:rPr>
          <w:rFonts w:cs="AL-Mohanad" w:hint="cs"/>
          <w:sz w:val="27"/>
          <w:szCs w:val="27"/>
          <w:rtl/>
        </w:rPr>
        <w:t xml:space="preserve"> وهذا هو الم</w:t>
      </w:r>
      <w:r w:rsidR="007D7367" w:rsidRPr="00282AC9">
        <w:rPr>
          <w:rFonts w:cs="AL-Mohanad" w:hint="cs"/>
          <w:sz w:val="27"/>
          <w:szCs w:val="27"/>
          <w:rtl/>
        </w:rPr>
        <w:t>ت</w:t>
      </w:r>
      <w:r w:rsidRPr="00282AC9">
        <w:rPr>
          <w:rFonts w:cs="AL-Mohanad" w:hint="cs"/>
          <w:sz w:val="27"/>
          <w:szCs w:val="27"/>
          <w:rtl/>
        </w:rPr>
        <w:t>وافق مع الن</w:t>
      </w:r>
      <w:r w:rsidR="007D7367" w:rsidRPr="00282AC9">
        <w:rPr>
          <w:rFonts w:cs="AL-Mohanad" w:hint="cs"/>
          <w:sz w:val="27"/>
          <w:szCs w:val="27"/>
          <w:rtl/>
        </w:rPr>
        <w:t>ُّ</w:t>
      </w:r>
      <w:r w:rsidRPr="00282AC9">
        <w:rPr>
          <w:rFonts w:cs="AL-Mohanad" w:hint="cs"/>
          <w:sz w:val="27"/>
          <w:szCs w:val="27"/>
          <w:rtl/>
        </w:rPr>
        <w:t>س</w:t>
      </w:r>
      <w:r w:rsidR="007D7367" w:rsidRPr="00282AC9">
        <w:rPr>
          <w:rFonts w:cs="AL-Mohanad" w:hint="cs"/>
          <w:sz w:val="27"/>
          <w:szCs w:val="27"/>
          <w:rtl/>
        </w:rPr>
        <w:t>َ</w:t>
      </w:r>
      <w:r w:rsidRPr="00282AC9">
        <w:rPr>
          <w:rFonts w:cs="AL-Mohanad" w:hint="cs"/>
          <w:sz w:val="27"/>
          <w:szCs w:val="27"/>
          <w:rtl/>
        </w:rPr>
        <w:t>خ المطبوعة للكافي.</w:t>
      </w:r>
    </w:p>
    <w:p w:rsidR="001153F1" w:rsidRPr="00282AC9" w:rsidRDefault="001153F1" w:rsidP="003E218F">
      <w:pPr>
        <w:pStyle w:val="afe"/>
        <w:spacing w:after="0" w:line="400" w:lineRule="exact"/>
        <w:ind w:left="0" w:firstLine="567"/>
        <w:jc w:val="both"/>
        <w:rPr>
          <w:rFonts w:cs="AL-Mohanad"/>
          <w:sz w:val="27"/>
          <w:szCs w:val="27"/>
          <w:lang w:bidi="fa-IR"/>
        </w:rPr>
      </w:pPr>
      <w:r w:rsidRPr="00282AC9">
        <w:rPr>
          <w:rFonts w:cs="AL-Mohanad" w:hint="cs"/>
          <w:sz w:val="27"/>
          <w:szCs w:val="27"/>
          <w:rtl/>
        </w:rPr>
        <w:t>2ـ العَقِرة</w:t>
      </w:r>
      <w:r w:rsidRPr="00282AC9">
        <w:rPr>
          <w:rFonts w:cs="AL-Mohanad"/>
          <w:sz w:val="27"/>
          <w:szCs w:val="27"/>
          <w:rtl/>
        </w:rPr>
        <w:t>:</w:t>
      </w:r>
      <w:r w:rsidRPr="00282AC9">
        <w:rPr>
          <w:rFonts w:cs="AL-Mohanad" w:hint="cs"/>
          <w:sz w:val="27"/>
          <w:szCs w:val="27"/>
          <w:rtl/>
        </w:rPr>
        <w:t xml:space="preserve"> نقلها الفيض في كتابه </w:t>
      </w:r>
      <w:r w:rsidRPr="00282AC9">
        <w:rPr>
          <w:rFonts w:ascii="Mosawi" w:hAnsi="Mosawi" w:cs="AL-Mohanad"/>
          <w:sz w:val="24"/>
          <w:szCs w:val="24"/>
          <w:rtl/>
          <w:lang w:bidi="fa-IR"/>
        </w:rPr>
        <w:t>«</w:t>
      </w:r>
      <w:r w:rsidRPr="00282AC9">
        <w:rPr>
          <w:rFonts w:cs="AL-Mohanad" w:hint="cs"/>
          <w:sz w:val="27"/>
          <w:szCs w:val="27"/>
          <w:rtl/>
          <w:lang w:bidi="fa-IR"/>
        </w:rPr>
        <w:t>الوافي</w:t>
      </w:r>
      <w:r w:rsidRPr="00282AC9">
        <w:rPr>
          <w:rFonts w:ascii="Mosawi" w:hAnsi="Mosawi" w:cs="AL-Mohanad"/>
          <w:sz w:val="24"/>
          <w:szCs w:val="24"/>
          <w:rtl/>
          <w:lang w:bidi="fa-IR"/>
        </w:rPr>
        <w:t>»</w:t>
      </w:r>
      <w:r w:rsidRPr="00282AC9">
        <w:rPr>
          <w:rFonts w:cs="AL-Mohanad" w:hint="cs"/>
          <w:sz w:val="27"/>
          <w:szCs w:val="27"/>
          <w:rtl/>
          <w:lang w:bidi="fa-IR"/>
        </w:rPr>
        <w:t>.</w:t>
      </w:r>
    </w:p>
    <w:p w:rsidR="001153F1" w:rsidRPr="00282AC9" w:rsidRDefault="001153F1" w:rsidP="003E218F">
      <w:pPr>
        <w:pStyle w:val="afe"/>
        <w:spacing w:after="0" w:line="400" w:lineRule="exact"/>
        <w:ind w:left="0" w:firstLine="567"/>
        <w:jc w:val="both"/>
        <w:rPr>
          <w:rFonts w:cs="AL-Mohanad"/>
          <w:sz w:val="27"/>
          <w:szCs w:val="27"/>
          <w:lang w:bidi="fa-IR"/>
        </w:rPr>
      </w:pPr>
      <w:r w:rsidRPr="00282AC9">
        <w:rPr>
          <w:rFonts w:cs="AL-Mohanad" w:hint="cs"/>
          <w:sz w:val="27"/>
          <w:szCs w:val="27"/>
          <w:rtl/>
        </w:rPr>
        <w:t>3ـ القَفِرة: نقلها العلا</w:t>
      </w:r>
      <w:r w:rsidR="007D7367" w:rsidRPr="00282AC9">
        <w:rPr>
          <w:rFonts w:cs="AL-Mohanad" w:hint="cs"/>
          <w:sz w:val="27"/>
          <w:szCs w:val="27"/>
          <w:rtl/>
        </w:rPr>
        <w:t>ّ</w:t>
      </w:r>
      <w:r w:rsidRPr="00282AC9">
        <w:rPr>
          <w:rFonts w:cs="AL-Mohanad" w:hint="cs"/>
          <w:sz w:val="27"/>
          <w:szCs w:val="27"/>
          <w:rtl/>
        </w:rPr>
        <w:t xml:space="preserve">مة المجلسي في كتابه </w:t>
      </w:r>
      <w:r w:rsidRPr="00282AC9">
        <w:rPr>
          <w:rFonts w:ascii="Mosawi" w:hAnsi="Mosawi" w:cs="AL-Mohanad"/>
          <w:sz w:val="24"/>
          <w:szCs w:val="24"/>
          <w:rtl/>
          <w:lang w:bidi="fa-IR"/>
        </w:rPr>
        <w:t>«</w:t>
      </w:r>
      <w:r w:rsidRPr="00282AC9">
        <w:rPr>
          <w:rFonts w:cs="AL-Mohanad" w:hint="cs"/>
          <w:sz w:val="27"/>
          <w:szCs w:val="27"/>
          <w:rtl/>
          <w:lang w:bidi="fa-IR"/>
        </w:rPr>
        <w:t>مرآة العقول</w:t>
      </w:r>
      <w:r w:rsidRPr="00282AC9">
        <w:rPr>
          <w:rFonts w:ascii="Mosawi" w:hAnsi="Mosawi" w:cs="AL-Mohanad"/>
          <w:sz w:val="24"/>
          <w:szCs w:val="24"/>
          <w:rtl/>
          <w:lang w:bidi="fa-IR"/>
        </w:rPr>
        <w:t>»</w:t>
      </w:r>
      <w:r w:rsidRPr="00282AC9">
        <w:rPr>
          <w:rFonts w:ascii="Mosawi" w:hAnsi="Mosawi" w:cs="AL-Mohanad"/>
          <w:sz w:val="27"/>
          <w:szCs w:val="27"/>
          <w:vertAlign w:val="superscript"/>
          <w:rtl/>
          <w:lang w:bidi="fa-IR"/>
        </w:rPr>
        <w:t>(</w:t>
      </w:r>
      <w:r w:rsidRPr="00282AC9">
        <w:rPr>
          <w:rStyle w:val="af9"/>
          <w:rFonts w:ascii="Mosawi" w:hAnsi="Mosawi" w:cs="AL-Mohanad"/>
          <w:sz w:val="27"/>
          <w:szCs w:val="27"/>
          <w:rtl/>
          <w:lang w:bidi="fa-IR"/>
        </w:rPr>
        <w:endnoteReference w:id="658"/>
      </w:r>
      <w:r w:rsidRPr="00282AC9">
        <w:rPr>
          <w:rFonts w:ascii="Mosawi" w:hAnsi="Mosawi" w:cs="AL-Mohanad"/>
          <w:sz w:val="27"/>
          <w:szCs w:val="27"/>
          <w:vertAlign w:val="superscript"/>
          <w:rtl/>
          <w:lang w:bidi="fa-IR"/>
        </w:rPr>
        <w:t>)</w:t>
      </w:r>
      <w:r w:rsidR="007D7367" w:rsidRPr="00282AC9">
        <w:rPr>
          <w:rFonts w:cs="AL-Mohanad" w:hint="cs"/>
          <w:sz w:val="27"/>
          <w:szCs w:val="27"/>
          <w:rtl/>
          <w:lang w:bidi="fa-IR"/>
        </w:rPr>
        <w:t>،</w:t>
      </w:r>
      <w:r w:rsidRPr="00282AC9">
        <w:rPr>
          <w:rFonts w:cs="AL-Mohanad" w:hint="cs"/>
          <w:sz w:val="27"/>
          <w:szCs w:val="27"/>
          <w:rtl/>
          <w:lang w:bidi="fa-IR"/>
        </w:rPr>
        <w:t xml:space="preserve"> بمعنى قليلة اللحم.</w:t>
      </w:r>
    </w:p>
    <w:p w:rsidR="001153F1" w:rsidRPr="00282AC9" w:rsidRDefault="001153F1" w:rsidP="003E218F">
      <w:pPr>
        <w:pStyle w:val="afe"/>
        <w:spacing w:after="0" w:line="400" w:lineRule="exact"/>
        <w:ind w:left="0" w:firstLine="567"/>
        <w:jc w:val="both"/>
        <w:rPr>
          <w:rFonts w:cs="AL-Mohanad"/>
          <w:sz w:val="27"/>
          <w:szCs w:val="27"/>
          <w:lang w:bidi="fa-IR"/>
        </w:rPr>
      </w:pPr>
      <w:r w:rsidRPr="00282AC9">
        <w:rPr>
          <w:rFonts w:cs="AL-Mohanad" w:hint="cs"/>
          <w:sz w:val="27"/>
          <w:szCs w:val="27"/>
          <w:rtl/>
        </w:rPr>
        <w:t>4ـ المقفرة:</w:t>
      </w:r>
      <w:r w:rsidRPr="00282AC9">
        <w:rPr>
          <w:rFonts w:cs="AL-Mohanad"/>
          <w:sz w:val="27"/>
          <w:szCs w:val="27"/>
          <w:rtl/>
        </w:rPr>
        <w:t xml:space="preserve"> </w:t>
      </w:r>
      <w:r w:rsidRPr="00282AC9">
        <w:rPr>
          <w:rFonts w:cs="AL-Mohanad" w:hint="cs"/>
          <w:sz w:val="27"/>
          <w:szCs w:val="27"/>
          <w:rtl/>
        </w:rPr>
        <w:t xml:space="preserve">ورد في </w:t>
      </w:r>
      <w:r w:rsidR="007D7367" w:rsidRPr="00282AC9">
        <w:rPr>
          <w:rFonts w:cs="AL-Mohanad" w:hint="cs"/>
          <w:sz w:val="27"/>
          <w:szCs w:val="27"/>
          <w:rtl/>
        </w:rPr>
        <w:t xml:space="preserve">هامش </w:t>
      </w:r>
      <w:r w:rsidRPr="00282AC9">
        <w:rPr>
          <w:rFonts w:cs="AL-Mohanad" w:hint="cs"/>
          <w:sz w:val="27"/>
          <w:szCs w:val="27"/>
          <w:rtl/>
        </w:rPr>
        <w:t>بعض ن</w:t>
      </w:r>
      <w:r w:rsidR="007D7367" w:rsidRPr="00282AC9">
        <w:rPr>
          <w:rFonts w:cs="AL-Mohanad" w:hint="cs"/>
          <w:sz w:val="27"/>
          <w:szCs w:val="27"/>
          <w:rtl/>
        </w:rPr>
        <w:t>ُ</w:t>
      </w:r>
      <w:r w:rsidRPr="00282AC9">
        <w:rPr>
          <w:rFonts w:cs="AL-Mohanad" w:hint="cs"/>
          <w:sz w:val="27"/>
          <w:szCs w:val="27"/>
          <w:rtl/>
        </w:rPr>
        <w:t>س</w:t>
      </w:r>
      <w:r w:rsidR="007D7367" w:rsidRPr="00282AC9">
        <w:rPr>
          <w:rFonts w:cs="AL-Mohanad" w:hint="cs"/>
          <w:sz w:val="27"/>
          <w:szCs w:val="27"/>
          <w:rtl/>
        </w:rPr>
        <w:t>َ</w:t>
      </w:r>
      <w:r w:rsidRPr="00282AC9">
        <w:rPr>
          <w:rFonts w:cs="AL-Mohanad" w:hint="cs"/>
          <w:sz w:val="27"/>
          <w:szCs w:val="27"/>
          <w:rtl/>
        </w:rPr>
        <w:t>خ الكافي</w:t>
      </w:r>
      <w:r w:rsidR="007D7367" w:rsidRPr="00282AC9">
        <w:rPr>
          <w:rFonts w:cs="AL-Mohanad" w:hint="cs"/>
          <w:sz w:val="27"/>
          <w:szCs w:val="27"/>
          <w:rtl/>
        </w:rPr>
        <w:t>،</w:t>
      </w:r>
      <w:r w:rsidRPr="00282AC9">
        <w:rPr>
          <w:rFonts w:cs="AL-Mohanad" w:hint="cs"/>
          <w:sz w:val="27"/>
          <w:szCs w:val="27"/>
          <w:rtl/>
        </w:rPr>
        <w:t xml:space="preserve"> طبع دار</w:t>
      </w:r>
      <w:r w:rsidR="007D7367" w:rsidRPr="00282AC9">
        <w:rPr>
          <w:rFonts w:cs="AL-Mohanad" w:hint="cs"/>
          <w:sz w:val="27"/>
          <w:szCs w:val="27"/>
          <w:rtl/>
        </w:rPr>
        <w:t xml:space="preserve"> </w:t>
      </w:r>
      <w:r w:rsidRPr="00282AC9">
        <w:rPr>
          <w:rFonts w:cs="AL-Mohanad" w:hint="cs"/>
          <w:sz w:val="27"/>
          <w:szCs w:val="27"/>
          <w:rtl/>
        </w:rPr>
        <w:t>الحديث</w:t>
      </w:r>
      <w:r w:rsidR="007D7367" w:rsidRPr="00282AC9">
        <w:rPr>
          <w:rFonts w:cs="AL-Mohanad"/>
          <w:sz w:val="27"/>
          <w:szCs w:val="27"/>
          <w:vertAlign w:val="superscript"/>
          <w:rtl/>
        </w:rPr>
        <w:t>(</w:t>
      </w:r>
      <w:r w:rsidR="007D7367" w:rsidRPr="00282AC9">
        <w:rPr>
          <w:rStyle w:val="af9"/>
          <w:rFonts w:cs="AL-Mohanad"/>
          <w:sz w:val="27"/>
          <w:szCs w:val="27"/>
          <w:rtl/>
        </w:rPr>
        <w:endnoteReference w:id="659"/>
      </w:r>
      <w:r w:rsidR="007D7367" w:rsidRPr="00282AC9">
        <w:rPr>
          <w:rFonts w:cs="AL-Mohanad"/>
          <w:sz w:val="27"/>
          <w:szCs w:val="27"/>
          <w:vertAlign w:val="superscript"/>
          <w:rtl/>
        </w:rPr>
        <w:t>)</w:t>
      </w:r>
      <w:r w:rsidRPr="00282AC9">
        <w:rPr>
          <w:rFonts w:cs="AL-Mohanad" w:hint="cs"/>
          <w:sz w:val="27"/>
          <w:szCs w:val="27"/>
          <w:rtl/>
        </w:rPr>
        <w:t xml:space="preserve">. </w:t>
      </w:r>
    </w:p>
    <w:p w:rsidR="007D7367" w:rsidRPr="00282AC9" w:rsidRDefault="007D7367" w:rsidP="008E0D6A">
      <w:pPr>
        <w:spacing w:line="410" w:lineRule="exact"/>
        <w:rPr>
          <w:sz w:val="27"/>
          <w:rtl/>
          <w:lang w:bidi="fa-IR"/>
        </w:rPr>
      </w:pPr>
      <w:r w:rsidRPr="00282AC9">
        <w:rPr>
          <w:rFonts w:hint="cs"/>
          <w:sz w:val="27"/>
          <w:rtl/>
          <w:lang w:bidi="fa-IR"/>
        </w:rPr>
        <w:t>و</w:t>
      </w:r>
      <w:r w:rsidR="001153F1" w:rsidRPr="00282AC9">
        <w:rPr>
          <w:rFonts w:hint="cs"/>
          <w:sz w:val="27"/>
          <w:rtl/>
          <w:lang w:bidi="fa-IR"/>
        </w:rPr>
        <w:t>يبدو أنّ هذه الاحتمالات كلّها محتملة</w:t>
      </w:r>
      <w:r w:rsidRPr="00282AC9">
        <w:rPr>
          <w:rFonts w:hint="cs"/>
          <w:sz w:val="27"/>
          <w:rtl/>
          <w:lang w:bidi="fa-IR"/>
        </w:rPr>
        <w:t>ٌ.</w:t>
      </w:r>
      <w:r w:rsidR="001153F1" w:rsidRPr="00282AC9">
        <w:rPr>
          <w:rFonts w:hint="cs"/>
          <w:sz w:val="27"/>
          <w:rtl/>
          <w:lang w:bidi="fa-IR"/>
        </w:rPr>
        <w:t xml:space="preserve"> والبتّ</w:t>
      </w:r>
      <w:r w:rsidRPr="00282AC9">
        <w:rPr>
          <w:rFonts w:hint="cs"/>
          <w:sz w:val="27"/>
          <w:rtl/>
          <w:lang w:bidi="fa-IR"/>
        </w:rPr>
        <w:t>ُ</w:t>
      </w:r>
      <w:r w:rsidR="001153F1" w:rsidRPr="00282AC9">
        <w:rPr>
          <w:rFonts w:hint="cs"/>
          <w:sz w:val="27"/>
          <w:rtl/>
          <w:lang w:bidi="fa-IR"/>
        </w:rPr>
        <w:t xml:space="preserve"> في هذا الموضوع يحتاج إلى دراسة</w:t>
      </w:r>
      <w:r w:rsidRPr="00282AC9">
        <w:rPr>
          <w:rFonts w:hint="cs"/>
          <w:sz w:val="27"/>
          <w:rtl/>
          <w:lang w:bidi="fa-IR"/>
        </w:rPr>
        <w:t>ٍ</w:t>
      </w:r>
      <w:r w:rsidR="001153F1" w:rsidRPr="00282AC9">
        <w:rPr>
          <w:rFonts w:hint="cs"/>
          <w:sz w:val="27"/>
          <w:rtl/>
          <w:lang w:bidi="fa-IR"/>
        </w:rPr>
        <w:t xml:space="preserve"> مستقلّة في الن</w:t>
      </w:r>
      <w:r w:rsidRPr="00282AC9">
        <w:rPr>
          <w:rFonts w:hint="cs"/>
          <w:sz w:val="27"/>
          <w:rtl/>
          <w:lang w:bidi="fa-IR"/>
        </w:rPr>
        <w:t>ُّ</w:t>
      </w:r>
      <w:r w:rsidR="001153F1" w:rsidRPr="00282AC9">
        <w:rPr>
          <w:rFonts w:hint="cs"/>
          <w:sz w:val="27"/>
          <w:rtl/>
          <w:lang w:bidi="fa-IR"/>
        </w:rPr>
        <w:t>س</w:t>
      </w:r>
      <w:r w:rsidRPr="00282AC9">
        <w:rPr>
          <w:rFonts w:hint="cs"/>
          <w:sz w:val="27"/>
          <w:rtl/>
          <w:lang w:bidi="fa-IR"/>
        </w:rPr>
        <w:t>َ</w:t>
      </w:r>
      <w:r w:rsidR="001153F1" w:rsidRPr="00282AC9">
        <w:rPr>
          <w:rFonts w:hint="cs"/>
          <w:sz w:val="27"/>
          <w:rtl/>
          <w:lang w:bidi="fa-IR"/>
        </w:rPr>
        <w:t>خ المخطوطة</w:t>
      </w:r>
      <w:r w:rsidRPr="00282AC9">
        <w:rPr>
          <w:rFonts w:hint="cs"/>
          <w:sz w:val="27"/>
          <w:rtl/>
          <w:lang w:bidi="fa-IR"/>
        </w:rPr>
        <w:t>.</w:t>
      </w:r>
    </w:p>
    <w:p w:rsidR="001153F1" w:rsidRPr="00282AC9" w:rsidRDefault="001153F1" w:rsidP="008E0D6A">
      <w:pPr>
        <w:spacing w:line="410" w:lineRule="exact"/>
        <w:rPr>
          <w:sz w:val="27"/>
          <w:rtl/>
        </w:rPr>
      </w:pPr>
      <w:r w:rsidRPr="00282AC9">
        <w:rPr>
          <w:rFonts w:hint="cs"/>
          <w:sz w:val="27"/>
          <w:rtl/>
          <w:lang w:bidi="fa-IR"/>
        </w:rPr>
        <w:t>فلنفرض أنّها المعقرة أو العقرة</w:t>
      </w:r>
      <w:r w:rsidR="007D7367" w:rsidRPr="00282AC9">
        <w:rPr>
          <w:rFonts w:hint="cs"/>
          <w:sz w:val="27"/>
          <w:rtl/>
          <w:lang w:bidi="fa-IR"/>
        </w:rPr>
        <w:t>،</w:t>
      </w:r>
      <w:r w:rsidRPr="00282AC9">
        <w:rPr>
          <w:rFonts w:hint="cs"/>
          <w:sz w:val="27"/>
          <w:rtl/>
          <w:lang w:bidi="fa-IR"/>
        </w:rPr>
        <w:t xml:space="preserve"> فتدخل الرواية في محلّ البحث.</w:t>
      </w:r>
    </w:p>
    <w:p w:rsidR="001153F1" w:rsidRPr="00282AC9" w:rsidRDefault="001153F1" w:rsidP="003E218F">
      <w:pPr>
        <w:rPr>
          <w:b/>
          <w:bCs/>
          <w:rtl/>
          <w:lang w:bidi="fa-IR"/>
        </w:rPr>
      </w:pPr>
      <w:r w:rsidRPr="00282AC9">
        <w:rPr>
          <w:rFonts w:hint="cs"/>
          <w:b/>
          <w:bCs/>
          <w:rtl/>
          <w:lang w:bidi="fa-IR"/>
        </w:rPr>
        <w:t>أـ الدراسة السندي</w:t>
      </w:r>
      <w:r w:rsidR="007D7367" w:rsidRPr="00282AC9">
        <w:rPr>
          <w:rFonts w:hint="cs"/>
          <w:b/>
          <w:bCs/>
          <w:rtl/>
          <w:lang w:bidi="fa-IR"/>
        </w:rPr>
        <w:t>ّ</w:t>
      </w:r>
      <w:r w:rsidRPr="00282AC9">
        <w:rPr>
          <w:rFonts w:hint="cs"/>
          <w:b/>
          <w:bCs/>
          <w:rtl/>
          <w:lang w:bidi="fa-IR"/>
        </w:rPr>
        <w:t>ة</w:t>
      </w:r>
      <w:r w:rsidR="00C23301" w:rsidRPr="00282AC9">
        <w:rPr>
          <w:rFonts w:ascii="Mosawi" w:hAnsi="Mosawi" w:hint="cs"/>
          <w:sz w:val="27"/>
          <w:rtl/>
          <w:lang w:bidi="fa-IR"/>
        </w:rPr>
        <w:t xml:space="preserve">: </w:t>
      </w:r>
      <w:r w:rsidRPr="00282AC9">
        <w:rPr>
          <w:rFonts w:ascii="Mosawi" w:hAnsi="Mosawi" w:hint="cs"/>
          <w:sz w:val="27"/>
          <w:rtl/>
          <w:lang w:bidi="fa-IR"/>
        </w:rPr>
        <w:t>يعاني سند هذه الرواية من الإرسال</w:t>
      </w:r>
      <w:r w:rsidR="007D7367" w:rsidRPr="00282AC9">
        <w:rPr>
          <w:rFonts w:ascii="Mosawi" w:hAnsi="Mosawi" w:hint="cs"/>
          <w:sz w:val="27"/>
          <w:rtl/>
          <w:lang w:bidi="fa-IR"/>
        </w:rPr>
        <w:t>؛</w:t>
      </w:r>
      <w:r w:rsidRPr="00282AC9">
        <w:rPr>
          <w:rFonts w:ascii="Mosawi" w:hAnsi="Mosawi" w:hint="cs"/>
          <w:sz w:val="27"/>
          <w:rtl/>
          <w:lang w:bidi="fa-IR"/>
        </w:rPr>
        <w:t xml:space="preserve"> إذ نقله أحمد بن محمد بن خالد عن بعض أصحابه</w:t>
      </w:r>
      <w:r w:rsidR="007D7367" w:rsidRPr="00282AC9">
        <w:rPr>
          <w:rFonts w:ascii="Mosawi" w:hAnsi="Mosawi" w:hint="cs"/>
          <w:sz w:val="27"/>
          <w:rtl/>
          <w:lang w:bidi="fa-IR"/>
        </w:rPr>
        <w:t>؛</w:t>
      </w:r>
      <w:r w:rsidRPr="00282AC9">
        <w:rPr>
          <w:rFonts w:ascii="Mosawi" w:hAnsi="Mosawi" w:hint="cs"/>
          <w:sz w:val="27"/>
          <w:rtl/>
          <w:lang w:bidi="fa-IR"/>
        </w:rPr>
        <w:t xml:space="preserve"> إضافة</w:t>
      </w:r>
      <w:r w:rsidR="007D7367" w:rsidRPr="00282AC9">
        <w:rPr>
          <w:rFonts w:ascii="Mosawi" w:hAnsi="Mosawi" w:hint="cs"/>
          <w:sz w:val="27"/>
          <w:rtl/>
          <w:lang w:bidi="fa-IR"/>
        </w:rPr>
        <w:t>ً</w:t>
      </w:r>
      <w:r w:rsidRPr="00282AC9">
        <w:rPr>
          <w:rFonts w:ascii="Mosawi" w:hAnsi="Mosawi" w:hint="cs"/>
          <w:sz w:val="27"/>
          <w:rtl/>
          <w:lang w:bidi="fa-IR"/>
        </w:rPr>
        <w:t xml:space="preserve"> إلى أنّ السند يشتمل على ملحان</w:t>
      </w:r>
      <w:r w:rsidR="007D7367" w:rsidRPr="00282AC9">
        <w:rPr>
          <w:rFonts w:ascii="Mosawi" w:hAnsi="Mosawi" w:hint="cs"/>
          <w:sz w:val="27"/>
          <w:rtl/>
          <w:lang w:bidi="fa-IR"/>
        </w:rPr>
        <w:t>،</w:t>
      </w:r>
      <w:r w:rsidRPr="00282AC9">
        <w:rPr>
          <w:rFonts w:ascii="Mosawi" w:hAnsi="Mosawi" w:hint="cs"/>
          <w:sz w:val="27"/>
          <w:rtl/>
          <w:lang w:bidi="fa-IR"/>
        </w:rPr>
        <w:t xml:space="preserve"> وهو رجلٌ مهم</w:t>
      </w:r>
      <w:r w:rsidR="007D7367" w:rsidRPr="00282AC9">
        <w:rPr>
          <w:rFonts w:ascii="Mosawi" w:hAnsi="Mosawi" w:hint="cs"/>
          <w:sz w:val="27"/>
          <w:rtl/>
          <w:lang w:bidi="fa-IR"/>
        </w:rPr>
        <w:t>َ</w:t>
      </w:r>
      <w:r w:rsidRPr="00282AC9">
        <w:rPr>
          <w:rFonts w:ascii="Mosawi" w:hAnsi="Mosawi" w:hint="cs"/>
          <w:sz w:val="27"/>
          <w:rtl/>
          <w:lang w:bidi="fa-IR"/>
        </w:rPr>
        <w:t>لٌ جدّاً في المصادر الرجالي</w:t>
      </w:r>
      <w:r w:rsidR="007D7367" w:rsidRPr="00282AC9">
        <w:rPr>
          <w:rFonts w:ascii="Mosawi" w:hAnsi="Mosawi" w:hint="cs"/>
          <w:sz w:val="27"/>
          <w:rtl/>
          <w:lang w:bidi="fa-IR"/>
        </w:rPr>
        <w:t>ّ</w:t>
      </w:r>
      <w:r w:rsidRPr="00282AC9">
        <w:rPr>
          <w:rFonts w:ascii="Mosawi" w:hAnsi="Mosawi" w:hint="cs"/>
          <w:sz w:val="27"/>
          <w:rtl/>
          <w:lang w:bidi="fa-IR"/>
        </w:rPr>
        <w:t>ة الإمامي</w:t>
      </w:r>
      <w:r w:rsidR="007D7367" w:rsidRPr="00282AC9">
        <w:rPr>
          <w:rFonts w:ascii="Mosawi" w:hAnsi="Mosawi" w:hint="cs"/>
          <w:sz w:val="27"/>
          <w:rtl/>
          <w:lang w:bidi="fa-IR"/>
        </w:rPr>
        <w:t>ّ</w:t>
      </w:r>
      <w:r w:rsidRPr="00282AC9">
        <w:rPr>
          <w:rFonts w:ascii="Mosawi" w:hAnsi="Mosawi" w:hint="cs"/>
          <w:sz w:val="27"/>
          <w:rtl/>
          <w:lang w:bidi="fa-IR"/>
        </w:rPr>
        <w:t>ة</w:t>
      </w:r>
      <w:r w:rsidR="007D7367" w:rsidRPr="00282AC9">
        <w:rPr>
          <w:rFonts w:ascii="Mosawi" w:hAnsi="Mosawi" w:hint="cs"/>
          <w:sz w:val="27"/>
          <w:rtl/>
          <w:lang w:bidi="fa-IR"/>
        </w:rPr>
        <w:t>.</w:t>
      </w:r>
      <w:r w:rsidRPr="00282AC9">
        <w:rPr>
          <w:rFonts w:ascii="Mosawi" w:hAnsi="Mosawi" w:hint="cs"/>
          <w:sz w:val="27"/>
          <w:rtl/>
          <w:lang w:bidi="fa-IR"/>
        </w:rPr>
        <w:t xml:space="preserve"> فهذا السند ضعيف</w:t>
      </w:r>
      <w:r w:rsidRPr="00282AC9">
        <w:rPr>
          <w:rFonts w:ascii="Cambria" w:hAnsi="Cambria" w:hint="cs"/>
          <w:sz w:val="27"/>
          <w:rtl/>
          <w:lang w:bidi="fa-IR"/>
        </w:rPr>
        <w:t>ٌ</w:t>
      </w:r>
      <w:r w:rsidRPr="00282AC9">
        <w:rPr>
          <w:rFonts w:ascii="Mosawi" w:hAnsi="Mosawi" w:hint="cs"/>
          <w:sz w:val="27"/>
          <w:rtl/>
          <w:lang w:bidi="fa-IR"/>
        </w:rPr>
        <w:t xml:space="preserve"> من الناحية السندي</w:t>
      </w:r>
      <w:r w:rsidR="007D7367" w:rsidRPr="00282AC9">
        <w:rPr>
          <w:rFonts w:ascii="Mosawi" w:hAnsi="Mosawi" w:hint="cs"/>
          <w:sz w:val="27"/>
          <w:rtl/>
          <w:lang w:bidi="fa-IR"/>
        </w:rPr>
        <w:t>ّ</w:t>
      </w:r>
      <w:r w:rsidRPr="00282AC9">
        <w:rPr>
          <w:rFonts w:ascii="Mosawi" w:hAnsi="Mosawi" w:hint="cs"/>
          <w:sz w:val="27"/>
          <w:rtl/>
          <w:lang w:bidi="fa-IR"/>
        </w:rPr>
        <w:t>ة.</w:t>
      </w:r>
    </w:p>
    <w:p w:rsidR="001153F1" w:rsidRPr="00282AC9" w:rsidRDefault="001153F1" w:rsidP="003E218F">
      <w:pPr>
        <w:rPr>
          <w:b/>
          <w:bCs/>
          <w:rtl/>
          <w:lang w:bidi="fa-IR"/>
        </w:rPr>
      </w:pPr>
      <w:r w:rsidRPr="00282AC9">
        <w:rPr>
          <w:rFonts w:hint="cs"/>
          <w:b/>
          <w:bCs/>
          <w:rtl/>
          <w:lang w:bidi="fa-IR"/>
        </w:rPr>
        <w:t>ب ـ الدراسة الدلالي</w:t>
      </w:r>
      <w:r w:rsidR="007D7367" w:rsidRPr="00282AC9">
        <w:rPr>
          <w:rFonts w:hint="cs"/>
          <w:b/>
          <w:bCs/>
          <w:rtl/>
          <w:lang w:bidi="fa-IR"/>
        </w:rPr>
        <w:t>ّ</w:t>
      </w:r>
      <w:r w:rsidRPr="00282AC9">
        <w:rPr>
          <w:rFonts w:hint="cs"/>
          <w:b/>
          <w:bCs/>
          <w:rtl/>
          <w:lang w:bidi="fa-IR"/>
        </w:rPr>
        <w:t>ة</w:t>
      </w:r>
      <w:r w:rsidR="00C23301" w:rsidRPr="00282AC9">
        <w:rPr>
          <w:rFonts w:ascii="Mosawi" w:hAnsi="Mosawi" w:hint="cs"/>
          <w:sz w:val="27"/>
          <w:rtl/>
          <w:lang w:bidi="fa-IR"/>
        </w:rPr>
        <w:t xml:space="preserve">: </w:t>
      </w:r>
      <w:r w:rsidRPr="00282AC9">
        <w:rPr>
          <w:rFonts w:ascii="Mosawi" w:hAnsi="Mosawi" w:hint="cs"/>
          <w:sz w:val="27"/>
          <w:rtl/>
          <w:lang w:bidi="fa-IR"/>
        </w:rPr>
        <w:t>لا نجد في هذه الرواية ن</w:t>
      </w:r>
      <w:r w:rsidR="007D7367" w:rsidRPr="00282AC9">
        <w:rPr>
          <w:rFonts w:ascii="Mosawi" w:hAnsi="Mosawi" w:hint="cs"/>
          <w:sz w:val="27"/>
          <w:rtl/>
          <w:lang w:bidi="fa-IR"/>
        </w:rPr>
        <w:t>َ</w:t>
      </w:r>
      <w:r w:rsidRPr="00282AC9">
        <w:rPr>
          <w:rFonts w:ascii="Mosawi" w:hAnsi="Mosawi" w:hint="cs"/>
          <w:sz w:val="27"/>
          <w:rtl/>
          <w:lang w:bidi="fa-IR"/>
        </w:rPr>
        <w:t>ه</w:t>
      </w:r>
      <w:r w:rsidR="007D7367" w:rsidRPr="00282AC9">
        <w:rPr>
          <w:rFonts w:ascii="Mosawi" w:hAnsi="Mosawi" w:hint="cs"/>
          <w:sz w:val="27"/>
          <w:rtl/>
          <w:lang w:bidi="fa-IR"/>
        </w:rPr>
        <w:t>ْ</w:t>
      </w:r>
      <w:r w:rsidRPr="00282AC9">
        <w:rPr>
          <w:rFonts w:ascii="Mosawi" w:hAnsi="Mosawi" w:hint="cs"/>
          <w:sz w:val="27"/>
          <w:rtl/>
          <w:lang w:bidi="fa-IR"/>
        </w:rPr>
        <w:t>ياً مباشراً عن الزواج من المرأة العقيم</w:t>
      </w:r>
      <w:r w:rsidR="007D7367" w:rsidRPr="00282AC9">
        <w:rPr>
          <w:rFonts w:ascii="Mosawi" w:hAnsi="Mosawi" w:hint="cs"/>
          <w:sz w:val="27"/>
          <w:rtl/>
          <w:lang w:bidi="fa-IR"/>
        </w:rPr>
        <w:t>.</w:t>
      </w:r>
      <w:r w:rsidRPr="00282AC9">
        <w:rPr>
          <w:rFonts w:ascii="Mosawi" w:hAnsi="Mosawi" w:hint="cs"/>
          <w:sz w:val="27"/>
          <w:rtl/>
          <w:lang w:bidi="fa-IR"/>
        </w:rPr>
        <w:t xml:space="preserve"> وكلّ</w:t>
      </w:r>
      <w:r w:rsidR="007D7367" w:rsidRPr="00282AC9">
        <w:rPr>
          <w:rFonts w:ascii="Mosawi" w:hAnsi="Mosawi" w:hint="cs"/>
          <w:sz w:val="27"/>
          <w:rtl/>
          <w:lang w:bidi="fa-IR"/>
        </w:rPr>
        <w:t>ُ</w:t>
      </w:r>
      <w:r w:rsidRPr="00282AC9">
        <w:rPr>
          <w:rFonts w:ascii="Mosawi" w:hAnsi="Mosawi" w:hint="cs"/>
          <w:sz w:val="27"/>
          <w:rtl/>
          <w:lang w:bidi="fa-IR"/>
        </w:rPr>
        <w:t xml:space="preserve"> ما في الأمر توصيف المرأة العقيم </w:t>
      </w:r>
      <w:r w:rsidR="007D7367" w:rsidRPr="00282AC9">
        <w:rPr>
          <w:rFonts w:ascii="Mosawi" w:hAnsi="Mosawi" w:hint="cs"/>
          <w:sz w:val="27"/>
          <w:rtl/>
          <w:lang w:bidi="fa-IR"/>
        </w:rPr>
        <w:t xml:space="preserve">بأنها </w:t>
      </w:r>
      <w:r w:rsidRPr="00282AC9">
        <w:rPr>
          <w:rFonts w:ascii="Mosawi" w:hAnsi="Mosawi" w:hint="cs"/>
          <w:sz w:val="27"/>
          <w:rtl/>
          <w:lang w:bidi="fa-IR"/>
        </w:rPr>
        <w:t>من شرار النساء، ويحتمل أن يكون ه</w:t>
      </w:r>
      <w:r w:rsidR="007D7367" w:rsidRPr="00282AC9">
        <w:rPr>
          <w:rFonts w:ascii="Mosawi" w:hAnsi="Mosawi" w:hint="cs"/>
          <w:sz w:val="27"/>
          <w:rtl/>
          <w:lang w:bidi="fa-IR"/>
        </w:rPr>
        <w:t>ذ</w:t>
      </w:r>
      <w:r w:rsidRPr="00282AC9">
        <w:rPr>
          <w:rFonts w:ascii="Mosawi" w:hAnsi="Mosawi" w:hint="cs"/>
          <w:sz w:val="27"/>
          <w:rtl/>
          <w:lang w:bidi="fa-IR"/>
        </w:rPr>
        <w:t>ا تعبيراً لبيان التمييز بين المرأة العقيم والو</w:t>
      </w:r>
      <w:r w:rsidR="007D7367" w:rsidRPr="00282AC9">
        <w:rPr>
          <w:rFonts w:ascii="Mosawi" w:hAnsi="Mosawi" w:hint="cs"/>
          <w:sz w:val="27"/>
          <w:rtl/>
          <w:lang w:bidi="fa-IR"/>
        </w:rPr>
        <w:t>َ</w:t>
      </w:r>
      <w:r w:rsidRPr="00282AC9">
        <w:rPr>
          <w:rFonts w:ascii="Mosawi" w:hAnsi="Mosawi" w:hint="cs"/>
          <w:sz w:val="27"/>
          <w:rtl/>
          <w:lang w:bidi="fa-IR"/>
        </w:rPr>
        <w:t>لود، لا تشنيعاً في حقّ</w:t>
      </w:r>
      <w:r w:rsidR="007D7367" w:rsidRPr="00282AC9">
        <w:rPr>
          <w:rFonts w:ascii="Mosawi" w:hAnsi="Mosawi" w:hint="cs"/>
          <w:sz w:val="27"/>
          <w:rtl/>
          <w:lang w:bidi="fa-IR"/>
        </w:rPr>
        <w:t>ِ</w:t>
      </w:r>
      <w:r w:rsidRPr="00282AC9">
        <w:rPr>
          <w:rFonts w:ascii="Mosawi" w:hAnsi="Mosawi" w:hint="cs"/>
          <w:sz w:val="27"/>
          <w:rtl/>
          <w:lang w:bidi="fa-IR"/>
        </w:rPr>
        <w:t xml:space="preserve">ها. </w:t>
      </w:r>
    </w:p>
    <w:p w:rsidR="008E0D6A" w:rsidRPr="00282AC9" w:rsidRDefault="008E0D6A" w:rsidP="008E0D6A">
      <w:pPr>
        <w:spacing w:line="420" w:lineRule="exact"/>
        <w:rPr>
          <w:sz w:val="27"/>
          <w:rtl/>
        </w:rPr>
      </w:pPr>
    </w:p>
    <w:p w:rsidR="007D7367" w:rsidRPr="00282AC9" w:rsidRDefault="00D86020" w:rsidP="00D86020">
      <w:pPr>
        <w:pStyle w:val="31"/>
        <w:rPr>
          <w:color w:val="auto"/>
          <w:rtl/>
        </w:rPr>
      </w:pPr>
      <w:r w:rsidRPr="00282AC9">
        <w:rPr>
          <w:rFonts w:hint="cs"/>
          <w:color w:val="auto"/>
          <w:rtl/>
        </w:rPr>
        <w:t xml:space="preserve">4ـ </w:t>
      </w:r>
      <w:r w:rsidRPr="00282AC9">
        <w:rPr>
          <w:color w:val="auto"/>
          <w:rtl/>
        </w:rPr>
        <w:t>«</w:t>
      </w:r>
      <w:r w:rsidRPr="00282AC9">
        <w:rPr>
          <w:color w:val="auto"/>
          <w:rtl/>
          <w:lang w:bidi="fa-IR"/>
        </w:rPr>
        <w:t>شؤم</w:t>
      </w:r>
      <w:r w:rsidRPr="00282AC9">
        <w:rPr>
          <w:rFonts w:hint="cs"/>
          <w:color w:val="auto"/>
          <w:rtl/>
        </w:rPr>
        <w:t>/سوء</w:t>
      </w:r>
      <w:r w:rsidRPr="00282AC9">
        <w:rPr>
          <w:color w:val="auto"/>
          <w:rtl/>
        </w:rPr>
        <w:t xml:space="preserve"> المرأة</w:t>
      </w:r>
      <w:r w:rsidRPr="00282AC9">
        <w:rPr>
          <w:rFonts w:hint="cs"/>
          <w:color w:val="auto"/>
          <w:rtl/>
        </w:rPr>
        <w:t>...</w:t>
      </w:r>
      <w:r w:rsidRPr="00282AC9">
        <w:rPr>
          <w:color w:val="auto"/>
          <w:rtl/>
          <w:lang w:bidi="fa-IR"/>
        </w:rPr>
        <w:t>ع</w:t>
      </w:r>
      <w:r w:rsidRPr="00282AC9">
        <w:rPr>
          <w:rFonts w:hint="cs"/>
          <w:color w:val="auto"/>
          <w:rtl/>
          <w:lang w:bidi="fa-IR"/>
        </w:rPr>
        <w:t>ُ</w:t>
      </w:r>
      <w:r w:rsidRPr="00282AC9">
        <w:rPr>
          <w:color w:val="auto"/>
          <w:rtl/>
          <w:lang w:bidi="fa-IR"/>
        </w:rPr>
        <w:t>ق</w:t>
      </w:r>
      <w:r w:rsidRPr="00282AC9">
        <w:rPr>
          <w:rFonts w:hint="cs"/>
          <w:color w:val="auto"/>
          <w:rtl/>
          <w:lang w:bidi="fa-IR"/>
        </w:rPr>
        <w:t>ْ</w:t>
      </w:r>
      <w:r w:rsidRPr="00282AC9">
        <w:rPr>
          <w:color w:val="auto"/>
          <w:rtl/>
          <w:lang w:bidi="fa-IR"/>
        </w:rPr>
        <w:t>م‏ ر</w:t>
      </w:r>
      <w:r w:rsidRPr="00282AC9">
        <w:rPr>
          <w:rFonts w:hint="cs"/>
          <w:color w:val="auto"/>
          <w:rtl/>
          <w:lang w:bidi="fa-IR"/>
        </w:rPr>
        <w:t>َ</w:t>
      </w:r>
      <w:r w:rsidRPr="00282AC9">
        <w:rPr>
          <w:color w:val="auto"/>
          <w:rtl/>
          <w:lang w:bidi="fa-IR"/>
        </w:rPr>
        <w:t>ح</w:t>
      </w:r>
      <w:r w:rsidRPr="00282AC9">
        <w:rPr>
          <w:rFonts w:hint="cs"/>
          <w:color w:val="auto"/>
          <w:rtl/>
          <w:lang w:bidi="fa-IR"/>
        </w:rPr>
        <w:t>ِ</w:t>
      </w:r>
      <w:r w:rsidRPr="00282AC9">
        <w:rPr>
          <w:color w:val="auto"/>
          <w:rtl/>
          <w:lang w:bidi="fa-IR"/>
        </w:rPr>
        <w:t>م</w:t>
      </w:r>
      <w:r w:rsidRPr="00282AC9">
        <w:rPr>
          <w:rFonts w:hint="cs"/>
          <w:color w:val="auto"/>
          <w:rtl/>
          <w:lang w:bidi="fa-IR"/>
        </w:rPr>
        <w:t>ِ</w:t>
      </w:r>
      <w:r w:rsidRPr="00282AC9">
        <w:rPr>
          <w:color w:val="auto"/>
          <w:rtl/>
          <w:lang w:bidi="fa-IR"/>
        </w:rPr>
        <w:t>ها</w:t>
      </w:r>
      <w:r w:rsidRPr="00282AC9">
        <w:rPr>
          <w:color w:val="auto"/>
          <w:rtl/>
        </w:rPr>
        <w:t>»</w:t>
      </w:r>
    </w:p>
    <w:p w:rsidR="001153F1" w:rsidRPr="00282AC9" w:rsidRDefault="007D7367" w:rsidP="003E218F">
      <w:pPr>
        <w:pStyle w:val="afc"/>
        <w:rPr>
          <w:rFonts w:ascii="Mosawi" w:hAnsi="Mosawi" w:cs="AL-Mohanad"/>
          <w:sz w:val="27"/>
          <w:szCs w:val="27"/>
          <w:rtl/>
          <w:lang w:bidi="fa-IR"/>
        </w:rPr>
      </w:pPr>
      <w:r w:rsidRPr="00282AC9">
        <w:rPr>
          <w:rFonts w:ascii="Cambria" w:hAnsi="Cambria" w:cs="AL-Mohanad" w:hint="cs"/>
          <w:sz w:val="27"/>
          <w:szCs w:val="27"/>
          <w:rtl/>
        </w:rPr>
        <w:t xml:space="preserve">وهي </w:t>
      </w:r>
      <w:r w:rsidR="001153F1" w:rsidRPr="00282AC9">
        <w:rPr>
          <w:rFonts w:ascii="Cambria" w:hAnsi="Cambria" w:cs="AL-Mohanad"/>
          <w:sz w:val="27"/>
          <w:szCs w:val="27"/>
          <w:rtl/>
        </w:rPr>
        <w:t xml:space="preserve">خبر </w:t>
      </w:r>
      <w:r w:rsidR="001153F1" w:rsidRPr="00282AC9">
        <w:rPr>
          <w:rFonts w:ascii="Mosawi" w:hAnsi="Mosawi" w:cs="AL-Mohanad"/>
          <w:sz w:val="27"/>
          <w:szCs w:val="27"/>
          <w:rtl/>
        </w:rPr>
        <w:t>خالد بن نجيح</w:t>
      </w:r>
      <w:r w:rsidRPr="00282AC9">
        <w:rPr>
          <w:rFonts w:ascii="Mosawi" w:hAnsi="Mosawi" w:cs="AL-Mohanad" w:hint="cs"/>
          <w:sz w:val="27"/>
          <w:szCs w:val="27"/>
          <w:rtl/>
        </w:rPr>
        <w:t>،</w:t>
      </w:r>
      <w:r w:rsidR="001153F1" w:rsidRPr="00282AC9">
        <w:rPr>
          <w:rFonts w:ascii="Mosawi" w:hAnsi="Mosawi" w:cs="AL-Mohanad"/>
          <w:sz w:val="27"/>
          <w:szCs w:val="27"/>
          <w:rtl/>
        </w:rPr>
        <w:t xml:space="preserve"> عن أبي عبد الله</w:t>
      </w:r>
      <w:r w:rsidR="009A2A04" w:rsidRPr="00282AC9">
        <w:rPr>
          <w:rFonts w:ascii="Mosawi" w:hAnsi="Mosawi" w:cs="Mosawi"/>
          <w:sz w:val="22"/>
          <w:szCs w:val="22"/>
          <w:rtl/>
        </w:rPr>
        <w:t>×</w:t>
      </w:r>
      <w:r w:rsidR="001153F1" w:rsidRPr="00282AC9">
        <w:rPr>
          <w:rFonts w:ascii="Mosawi" w:hAnsi="Mosawi" w:cs="AL-Mohanad"/>
          <w:sz w:val="27"/>
          <w:szCs w:val="27"/>
          <w:rtl/>
        </w:rPr>
        <w:t xml:space="preserve"> قال: تذاكروا الشؤم عند أبي </w:t>
      </w:r>
      <w:r w:rsidR="001153F1" w:rsidRPr="00282AC9">
        <w:rPr>
          <w:rFonts w:ascii="Mosawi" w:hAnsi="Mosawi" w:cs="AL-Mohanad"/>
          <w:sz w:val="27"/>
          <w:szCs w:val="27"/>
          <w:rtl/>
        </w:rPr>
        <w:lastRenderedPageBreak/>
        <w:t>عبد الله</w:t>
      </w:r>
      <w:r w:rsidR="009A2A04" w:rsidRPr="00282AC9">
        <w:rPr>
          <w:rFonts w:ascii="Mosawi" w:hAnsi="Mosawi" w:cs="Mosawi"/>
          <w:sz w:val="22"/>
          <w:szCs w:val="22"/>
          <w:rtl/>
        </w:rPr>
        <w:t>×</w:t>
      </w:r>
      <w:r w:rsidR="0036675D" w:rsidRPr="00282AC9">
        <w:rPr>
          <w:rFonts w:ascii="Mosawi" w:hAnsi="Mosawi" w:cs="AL-Mohanad" w:hint="cs"/>
          <w:sz w:val="27"/>
          <w:szCs w:val="27"/>
          <w:rtl/>
        </w:rPr>
        <w:t>،</w:t>
      </w:r>
      <w:r w:rsidR="001153F1" w:rsidRPr="00282AC9">
        <w:rPr>
          <w:rFonts w:ascii="Mosawi" w:hAnsi="Mosawi" w:cs="AL-Mohanad"/>
          <w:sz w:val="27"/>
          <w:szCs w:val="27"/>
          <w:rtl/>
        </w:rPr>
        <w:t xml:space="preserve">‏ فقال: </w:t>
      </w:r>
      <w:r w:rsidR="001153F1" w:rsidRPr="00282AC9">
        <w:rPr>
          <w:rFonts w:ascii="Mosawi" w:hAnsi="Mosawi" w:cs="AL-Mohanad"/>
          <w:rtl/>
          <w:lang w:bidi="fa-IR"/>
        </w:rPr>
        <w:t>«</w:t>
      </w:r>
      <w:r w:rsidR="001153F1" w:rsidRPr="00282AC9">
        <w:rPr>
          <w:rFonts w:ascii="Mosawi" w:hAnsi="Mosawi" w:cs="AL-Mohanad"/>
          <w:sz w:val="27"/>
          <w:szCs w:val="27"/>
          <w:rtl/>
          <w:lang w:bidi="fa-IR"/>
        </w:rPr>
        <w:t>الشؤم في ثلاث</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في المرأة</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والداب</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ة</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والدار</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فأمّا شؤم المرأة فكثرة م</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ه</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رها وع</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ق</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م‏ ر</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ح</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م</w:t>
      </w:r>
      <w:r w:rsidR="0036675D" w:rsidRPr="00282AC9">
        <w:rPr>
          <w:rFonts w:ascii="Mosawi" w:hAnsi="Mosawi" w:cs="AL-Mohanad" w:hint="cs"/>
          <w:sz w:val="27"/>
          <w:szCs w:val="27"/>
          <w:rtl/>
          <w:lang w:bidi="fa-IR"/>
        </w:rPr>
        <w:t>ِ</w:t>
      </w:r>
      <w:r w:rsidR="001153F1" w:rsidRPr="00282AC9">
        <w:rPr>
          <w:rFonts w:ascii="Mosawi" w:hAnsi="Mosawi" w:cs="AL-Mohanad"/>
          <w:sz w:val="27"/>
          <w:szCs w:val="27"/>
          <w:rtl/>
          <w:lang w:bidi="fa-IR"/>
        </w:rPr>
        <w:t>ها</w:t>
      </w:r>
      <w:r w:rsidR="001153F1" w:rsidRPr="00282AC9">
        <w:rPr>
          <w:rFonts w:ascii="Mosawi" w:hAnsi="Mosawi" w:cs="AL-Mohanad"/>
          <w:rtl/>
          <w:lang w:bidi="fa-IR"/>
        </w:rPr>
        <w:t>»</w:t>
      </w:r>
      <w:r w:rsidR="001153F1" w:rsidRPr="00282AC9">
        <w:rPr>
          <w:rFonts w:ascii="Mosawi" w:hAnsi="Mosawi" w:cs="AL-Mohanad"/>
          <w:sz w:val="27"/>
          <w:szCs w:val="27"/>
          <w:vertAlign w:val="superscript"/>
          <w:rtl/>
          <w:lang w:bidi="fa-IR"/>
        </w:rPr>
        <w:t>(</w:t>
      </w:r>
      <w:r w:rsidR="001153F1" w:rsidRPr="00282AC9">
        <w:rPr>
          <w:rStyle w:val="af9"/>
          <w:rFonts w:ascii="Mosawi" w:hAnsi="Mosawi" w:cs="AL-Mohanad"/>
          <w:sz w:val="27"/>
          <w:szCs w:val="27"/>
          <w:rtl/>
          <w:lang w:bidi="fa-IR"/>
        </w:rPr>
        <w:endnoteReference w:id="660"/>
      </w:r>
      <w:r w:rsidR="001153F1" w:rsidRPr="00282AC9">
        <w:rPr>
          <w:rFonts w:ascii="Mosawi" w:hAnsi="Mosawi" w:cs="AL-Mohanad"/>
          <w:sz w:val="27"/>
          <w:szCs w:val="27"/>
          <w:vertAlign w:val="superscript"/>
          <w:rtl/>
          <w:lang w:bidi="fa-IR"/>
        </w:rPr>
        <w:t>)</w:t>
      </w:r>
      <w:r w:rsidR="001153F1" w:rsidRPr="00282AC9">
        <w:rPr>
          <w:rFonts w:ascii="Mosawi" w:hAnsi="Mosawi" w:cs="AL-Mohanad"/>
          <w:sz w:val="27"/>
          <w:szCs w:val="27"/>
          <w:rtl/>
          <w:lang w:bidi="fa-IR"/>
        </w:rPr>
        <w:t>.</w:t>
      </w:r>
    </w:p>
    <w:p w:rsidR="001153F1" w:rsidRPr="00282AC9" w:rsidRDefault="001153F1" w:rsidP="003E218F">
      <w:pPr>
        <w:pStyle w:val="afc"/>
        <w:rPr>
          <w:rFonts w:cs="AL-Mohanad"/>
          <w:sz w:val="27"/>
          <w:szCs w:val="27"/>
          <w:rtl/>
          <w:lang w:bidi="fa-IR"/>
        </w:rPr>
      </w:pPr>
      <w:r w:rsidRPr="00282AC9">
        <w:rPr>
          <w:rFonts w:ascii="Mosawi" w:hAnsi="Mosawi" w:cs="AL-Mohanad" w:hint="cs"/>
          <w:sz w:val="27"/>
          <w:szCs w:val="27"/>
          <w:rtl/>
          <w:lang w:bidi="fa-IR"/>
        </w:rPr>
        <w:t>ونجد ما يشبه ذلك في المعجم الكبير</w:t>
      </w:r>
      <w:r w:rsidR="0036675D" w:rsidRPr="00282AC9">
        <w:rPr>
          <w:rFonts w:ascii="Mosawi" w:hAnsi="Mosawi" w:cs="AL-Mohanad" w:hint="cs"/>
          <w:sz w:val="27"/>
          <w:szCs w:val="27"/>
          <w:rtl/>
          <w:lang w:bidi="fa-IR"/>
        </w:rPr>
        <w:t>،</w:t>
      </w:r>
      <w:r w:rsidRPr="00282AC9">
        <w:rPr>
          <w:rFonts w:ascii="Mosawi" w:hAnsi="Mosawi" w:cs="AL-Mohanad" w:hint="cs"/>
          <w:sz w:val="27"/>
          <w:szCs w:val="27"/>
          <w:rtl/>
          <w:lang w:bidi="fa-IR"/>
        </w:rPr>
        <w:t xml:space="preserve"> للطبراني</w:t>
      </w:r>
      <w:r w:rsidR="0036675D" w:rsidRPr="00282AC9">
        <w:rPr>
          <w:rFonts w:ascii="Mosawi" w:hAnsi="Mosawi" w:cs="AL-Mohanad" w:hint="cs"/>
          <w:sz w:val="27"/>
          <w:szCs w:val="27"/>
          <w:rtl/>
          <w:lang w:bidi="fa-IR"/>
        </w:rPr>
        <w:t>،</w:t>
      </w:r>
      <w:r w:rsidRPr="00282AC9">
        <w:rPr>
          <w:rFonts w:ascii="Mosawi" w:hAnsi="Mosawi" w:cs="AL-Mohanad" w:hint="cs"/>
          <w:sz w:val="27"/>
          <w:szCs w:val="27"/>
          <w:rtl/>
          <w:lang w:bidi="fa-IR"/>
        </w:rPr>
        <w:t xml:space="preserve"> </w:t>
      </w:r>
      <w:r w:rsidR="0036675D" w:rsidRPr="00282AC9">
        <w:rPr>
          <w:rFonts w:ascii="Mosawi" w:hAnsi="Mosawi" w:cs="AL-Mohanad" w:hint="cs"/>
          <w:sz w:val="27"/>
          <w:szCs w:val="27"/>
          <w:rtl/>
          <w:lang w:bidi="fa-IR"/>
        </w:rPr>
        <w:t>م</w:t>
      </w:r>
      <w:r w:rsidRPr="00282AC9">
        <w:rPr>
          <w:rFonts w:ascii="Mosawi" w:hAnsi="Mosawi" w:cs="AL-Mohanad" w:hint="cs"/>
          <w:sz w:val="27"/>
          <w:szCs w:val="27"/>
          <w:rtl/>
          <w:lang w:bidi="fa-IR"/>
        </w:rPr>
        <w:t>م</w:t>
      </w:r>
      <w:r w:rsidR="0036675D" w:rsidRPr="00282AC9">
        <w:rPr>
          <w:rFonts w:ascii="Mosawi" w:hAnsi="Mosawi" w:cs="AL-Mohanad" w:hint="cs"/>
          <w:sz w:val="27"/>
          <w:szCs w:val="27"/>
          <w:rtl/>
          <w:lang w:bidi="fa-IR"/>
        </w:rPr>
        <w:t>ّ</w:t>
      </w:r>
      <w:r w:rsidRPr="00282AC9">
        <w:rPr>
          <w:rFonts w:ascii="Mosawi" w:hAnsi="Mosawi" w:cs="AL-Mohanad" w:hint="cs"/>
          <w:sz w:val="27"/>
          <w:szCs w:val="27"/>
          <w:rtl/>
          <w:lang w:bidi="fa-IR"/>
        </w:rPr>
        <w:t>ا ر</w:t>
      </w:r>
      <w:r w:rsidR="0036675D" w:rsidRPr="00282AC9">
        <w:rPr>
          <w:rFonts w:ascii="Mosawi" w:hAnsi="Mosawi" w:cs="AL-Mohanad" w:hint="cs"/>
          <w:sz w:val="27"/>
          <w:szCs w:val="27"/>
          <w:rtl/>
          <w:lang w:bidi="fa-IR"/>
        </w:rPr>
        <w:t>ُ</w:t>
      </w:r>
      <w:r w:rsidRPr="00282AC9">
        <w:rPr>
          <w:rFonts w:ascii="Mosawi" w:hAnsi="Mosawi" w:cs="AL-Mohanad" w:hint="cs"/>
          <w:sz w:val="27"/>
          <w:szCs w:val="27"/>
          <w:rtl/>
          <w:lang w:bidi="fa-IR"/>
        </w:rPr>
        <w:t>وي عن رسول الله</w:t>
      </w:r>
      <w:r w:rsidR="009A2A04" w:rsidRPr="00282AC9">
        <w:rPr>
          <w:rFonts w:ascii="Mosawi" w:hAnsi="Mosawi" w:cs="Mosawi"/>
          <w:sz w:val="22"/>
          <w:szCs w:val="22"/>
          <w:rtl/>
          <w:lang w:bidi="fa-IR"/>
        </w:rPr>
        <w:t>|</w:t>
      </w:r>
      <w:r w:rsidR="0036675D" w:rsidRPr="00282AC9">
        <w:rPr>
          <w:rFonts w:ascii="Mosawi" w:hAnsi="Mosawi" w:cs="AL-Mohanad" w:hint="cs"/>
          <w:sz w:val="27"/>
          <w:szCs w:val="27"/>
          <w:rtl/>
          <w:lang w:bidi="fa-IR"/>
        </w:rPr>
        <w:t>،</w:t>
      </w:r>
      <w:r w:rsidRPr="00282AC9">
        <w:rPr>
          <w:rFonts w:ascii="Mosawi" w:hAnsi="Mosawi" w:cs="AL-Mohanad" w:hint="cs"/>
          <w:sz w:val="27"/>
          <w:szCs w:val="27"/>
          <w:rtl/>
          <w:lang w:bidi="fa-IR"/>
        </w:rPr>
        <w:t xml:space="preserve"> حيث جاء فيه: </w:t>
      </w:r>
      <w:r w:rsidRPr="00282AC9">
        <w:rPr>
          <w:rFonts w:ascii="Mosawi" w:hAnsi="Mosawi" w:cs="AL-Mohanad"/>
          <w:sz w:val="27"/>
          <w:szCs w:val="27"/>
          <w:rtl/>
          <w:lang w:bidi="fa-IR"/>
        </w:rPr>
        <w:t>عَنْ حَبِيبِ بْنِ سَالِمٍ، عَنْ أَسْمَاءَ قَالَتْ: قَالَ رَسُولُ اللهِ</w:t>
      </w:r>
      <w:r w:rsidR="00A9773B" w:rsidRPr="00282AC9">
        <w:rPr>
          <w:rFonts w:ascii="Mosawi" w:hAnsi="Mosawi" w:cs="Mosawi"/>
          <w:sz w:val="22"/>
          <w:szCs w:val="22"/>
          <w:rtl/>
        </w:rPr>
        <w:t>ﷺ</w:t>
      </w:r>
      <w:r w:rsidRPr="00282AC9">
        <w:rPr>
          <w:rFonts w:ascii="Mosawi" w:hAnsi="Mosawi" w:cs="AL-Mohanad"/>
          <w:sz w:val="27"/>
          <w:szCs w:val="27"/>
          <w:rtl/>
          <w:lang w:bidi="fa-IR"/>
        </w:rPr>
        <w:t xml:space="preserve">: </w:t>
      </w:r>
      <w:r w:rsidRPr="00282AC9">
        <w:rPr>
          <w:rFonts w:ascii="Mosawi" w:hAnsi="Mosawi" w:cs="AL-Mohanad"/>
          <w:rtl/>
          <w:lang w:bidi="fa-IR"/>
        </w:rPr>
        <w:t>«</w:t>
      </w:r>
      <w:r w:rsidRPr="00282AC9">
        <w:rPr>
          <w:rFonts w:ascii="Mosawi" w:hAnsi="Mosawi" w:cs="AL-Mohanad"/>
          <w:sz w:val="27"/>
          <w:szCs w:val="27"/>
          <w:rtl/>
          <w:lang w:bidi="fa-IR"/>
        </w:rPr>
        <w:t>إِن</w:t>
      </w:r>
      <w:r w:rsidR="00313735" w:rsidRPr="00282AC9">
        <w:rPr>
          <w:rFonts w:ascii="Mosawi" w:hAnsi="Mosawi" w:cs="AL-Mohanad"/>
          <w:sz w:val="27"/>
          <w:szCs w:val="27"/>
          <w:rtl/>
          <w:lang w:bidi="fa-IR"/>
        </w:rPr>
        <w:t>َّ</w:t>
      </w:r>
      <w:r w:rsidRPr="00282AC9">
        <w:rPr>
          <w:rFonts w:ascii="Mosawi" w:hAnsi="Mosawi" w:cs="AL-Mohanad"/>
          <w:sz w:val="27"/>
          <w:szCs w:val="27"/>
          <w:rtl/>
          <w:lang w:bidi="fa-IR"/>
        </w:rPr>
        <w:t xml:space="preserve"> مِنْ شَقَاءِ الْمَرْءِ فِي الد</w:t>
      </w:r>
      <w:r w:rsidR="00313735" w:rsidRPr="00282AC9">
        <w:rPr>
          <w:rFonts w:ascii="Mosawi" w:hAnsi="Mosawi" w:cs="AL-Mohanad"/>
          <w:sz w:val="27"/>
          <w:szCs w:val="27"/>
          <w:rtl/>
          <w:lang w:bidi="fa-IR"/>
        </w:rPr>
        <w:t>ُّ</w:t>
      </w:r>
      <w:r w:rsidR="0036675D" w:rsidRPr="00282AC9">
        <w:rPr>
          <w:rFonts w:ascii="Mosawi" w:hAnsi="Mosawi" w:cs="AL-Mohanad"/>
          <w:sz w:val="27"/>
          <w:szCs w:val="27"/>
          <w:rtl/>
          <w:lang w:bidi="fa-IR"/>
        </w:rPr>
        <w:t>نْيَا ثَل</w:t>
      </w:r>
      <w:r w:rsidRPr="00282AC9">
        <w:rPr>
          <w:rFonts w:ascii="Mosawi" w:hAnsi="Mosawi" w:cs="AL-Mohanad"/>
          <w:sz w:val="27"/>
          <w:szCs w:val="27"/>
          <w:rtl/>
          <w:lang w:bidi="fa-IR"/>
        </w:rPr>
        <w:t>اثَةً: سُوءَ الد</w:t>
      </w:r>
      <w:r w:rsidR="00313735" w:rsidRPr="00282AC9">
        <w:rPr>
          <w:rFonts w:ascii="Mosawi" w:hAnsi="Mosawi" w:cs="AL-Mohanad"/>
          <w:sz w:val="27"/>
          <w:szCs w:val="27"/>
          <w:rtl/>
          <w:lang w:bidi="fa-IR"/>
        </w:rPr>
        <w:t>َّ</w:t>
      </w:r>
      <w:r w:rsidRPr="00282AC9">
        <w:rPr>
          <w:rFonts w:ascii="Mosawi" w:hAnsi="Mosawi" w:cs="AL-Mohanad"/>
          <w:sz w:val="27"/>
          <w:szCs w:val="27"/>
          <w:rtl/>
          <w:lang w:bidi="fa-IR"/>
        </w:rPr>
        <w:t>ارِ، وَسُوءَ الْمَرْأَةِ، وَسُوءَ الد</w:t>
      </w:r>
      <w:r w:rsidR="00313735" w:rsidRPr="00282AC9">
        <w:rPr>
          <w:rFonts w:ascii="Mosawi" w:hAnsi="Mosawi" w:cs="AL-Mohanad"/>
          <w:sz w:val="27"/>
          <w:szCs w:val="27"/>
          <w:rtl/>
          <w:lang w:bidi="fa-IR"/>
        </w:rPr>
        <w:t>َّ</w:t>
      </w:r>
      <w:r w:rsidRPr="00282AC9">
        <w:rPr>
          <w:rFonts w:ascii="Mosawi" w:hAnsi="Mosawi" w:cs="AL-Mohanad"/>
          <w:sz w:val="27"/>
          <w:szCs w:val="27"/>
          <w:rtl/>
          <w:lang w:bidi="fa-IR"/>
        </w:rPr>
        <w:t>اب</w:t>
      </w:r>
      <w:r w:rsidR="00313735" w:rsidRPr="00282AC9">
        <w:rPr>
          <w:rFonts w:ascii="Mosawi" w:hAnsi="Mosawi" w:cs="AL-Mohanad"/>
          <w:sz w:val="27"/>
          <w:szCs w:val="27"/>
          <w:rtl/>
          <w:lang w:bidi="fa-IR"/>
        </w:rPr>
        <w:t>َّ</w:t>
      </w:r>
      <w:r w:rsidRPr="00282AC9">
        <w:rPr>
          <w:rFonts w:ascii="Mosawi" w:hAnsi="Mosawi" w:cs="AL-Mohanad"/>
          <w:sz w:val="27"/>
          <w:szCs w:val="27"/>
          <w:rtl/>
          <w:lang w:bidi="fa-IR"/>
        </w:rPr>
        <w:t>ةِ</w:t>
      </w:r>
      <w:r w:rsidRPr="00282AC9">
        <w:rPr>
          <w:rFonts w:ascii="Mosawi" w:hAnsi="Mosawi" w:cs="AL-Mohanad"/>
          <w:rtl/>
          <w:lang w:bidi="fa-IR"/>
        </w:rPr>
        <w:t>»</w:t>
      </w:r>
      <w:r w:rsidR="0036675D" w:rsidRPr="00282AC9">
        <w:rPr>
          <w:rFonts w:ascii="Mosawi" w:hAnsi="Mosawi" w:cs="AL-Mohanad" w:hint="cs"/>
          <w:sz w:val="27"/>
          <w:szCs w:val="27"/>
          <w:rtl/>
          <w:lang w:bidi="fa-IR"/>
        </w:rPr>
        <w:t>،</w:t>
      </w:r>
      <w:r w:rsidRPr="00282AC9">
        <w:rPr>
          <w:rFonts w:ascii="Mosawi" w:hAnsi="Mosawi" w:cs="AL-Mohanad" w:hint="cs"/>
          <w:sz w:val="27"/>
          <w:szCs w:val="27"/>
          <w:rtl/>
          <w:lang w:bidi="fa-IR"/>
        </w:rPr>
        <w:t xml:space="preserve"> </w:t>
      </w:r>
      <w:r w:rsidRPr="00282AC9">
        <w:rPr>
          <w:rFonts w:ascii="Mosawi" w:hAnsi="Mosawi" w:cs="AL-Mohanad"/>
          <w:sz w:val="27"/>
          <w:szCs w:val="27"/>
          <w:rtl/>
          <w:lang w:bidi="fa-IR"/>
        </w:rPr>
        <w:t>قَالَتْ: يَا رَسُولَ اللهِ، مَا سُوءُ الد</w:t>
      </w:r>
      <w:r w:rsidR="00313735" w:rsidRPr="00282AC9">
        <w:rPr>
          <w:rFonts w:ascii="Mosawi" w:hAnsi="Mosawi" w:cs="AL-Mohanad"/>
          <w:sz w:val="27"/>
          <w:szCs w:val="27"/>
          <w:rtl/>
          <w:lang w:bidi="fa-IR"/>
        </w:rPr>
        <w:t>َّ</w:t>
      </w:r>
      <w:r w:rsidRPr="00282AC9">
        <w:rPr>
          <w:rFonts w:ascii="Mosawi" w:hAnsi="Mosawi" w:cs="AL-Mohanad"/>
          <w:sz w:val="27"/>
          <w:szCs w:val="27"/>
          <w:rtl/>
          <w:lang w:bidi="fa-IR"/>
        </w:rPr>
        <w:t xml:space="preserve">ارِ؟ قَالَ: </w:t>
      </w:r>
      <w:r w:rsidRPr="00282AC9">
        <w:rPr>
          <w:rFonts w:ascii="Mosawi" w:hAnsi="Mosawi" w:cs="AL-Mohanad"/>
          <w:rtl/>
          <w:lang w:bidi="fa-IR"/>
        </w:rPr>
        <w:t>«</w:t>
      </w:r>
      <w:r w:rsidRPr="00282AC9">
        <w:rPr>
          <w:rFonts w:ascii="Mosawi" w:hAnsi="Mosawi" w:cs="AL-Mohanad"/>
          <w:sz w:val="27"/>
          <w:szCs w:val="27"/>
          <w:rtl/>
          <w:lang w:bidi="fa-IR"/>
        </w:rPr>
        <w:t>ضِيقُ سَاحَتِهَا، وَخُبْثُ جِيرَانِهَا</w:t>
      </w:r>
      <w:r w:rsidRPr="00282AC9">
        <w:rPr>
          <w:rFonts w:ascii="Mosawi" w:hAnsi="Mosawi" w:cs="AL-Mohanad"/>
          <w:rtl/>
          <w:lang w:bidi="fa-IR"/>
        </w:rPr>
        <w:t>»</w:t>
      </w:r>
      <w:r w:rsidR="0036675D" w:rsidRPr="00282AC9">
        <w:rPr>
          <w:rFonts w:ascii="Mosawi" w:hAnsi="Mosawi" w:cs="AL-Mohanad" w:hint="cs"/>
          <w:sz w:val="27"/>
          <w:szCs w:val="27"/>
          <w:rtl/>
          <w:lang w:bidi="fa-IR"/>
        </w:rPr>
        <w:t>،</w:t>
      </w:r>
      <w:r w:rsidRPr="00282AC9">
        <w:rPr>
          <w:rFonts w:ascii="Mosawi" w:hAnsi="Mosawi" w:cs="AL-Mohanad"/>
          <w:sz w:val="27"/>
          <w:szCs w:val="27"/>
          <w:rtl/>
          <w:lang w:bidi="fa-IR"/>
        </w:rPr>
        <w:t xml:space="preserve"> قِيلَ: فَمَا سُوءُ الد</w:t>
      </w:r>
      <w:r w:rsidR="00313735" w:rsidRPr="00282AC9">
        <w:rPr>
          <w:rFonts w:ascii="Mosawi" w:hAnsi="Mosawi" w:cs="AL-Mohanad"/>
          <w:sz w:val="27"/>
          <w:szCs w:val="27"/>
          <w:rtl/>
          <w:lang w:bidi="fa-IR"/>
        </w:rPr>
        <w:t>َّ</w:t>
      </w:r>
      <w:r w:rsidRPr="00282AC9">
        <w:rPr>
          <w:rFonts w:ascii="Mosawi" w:hAnsi="Mosawi" w:cs="AL-Mohanad"/>
          <w:sz w:val="27"/>
          <w:szCs w:val="27"/>
          <w:rtl/>
          <w:lang w:bidi="fa-IR"/>
        </w:rPr>
        <w:t>اب</w:t>
      </w:r>
      <w:r w:rsidR="00313735" w:rsidRPr="00282AC9">
        <w:rPr>
          <w:rFonts w:ascii="Mosawi" w:hAnsi="Mosawi" w:cs="AL-Mohanad"/>
          <w:sz w:val="27"/>
          <w:szCs w:val="27"/>
          <w:rtl/>
          <w:lang w:bidi="fa-IR"/>
        </w:rPr>
        <w:t>َّ</w:t>
      </w:r>
      <w:r w:rsidRPr="00282AC9">
        <w:rPr>
          <w:rFonts w:ascii="Mosawi" w:hAnsi="Mosawi" w:cs="AL-Mohanad"/>
          <w:sz w:val="27"/>
          <w:szCs w:val="27"/>
          <w:rtl/>
          <w:lang w:bidi="fa-IR"/>
        </w:rPr>
        <w:t xml:space="preserve">ةِ؟ قَالَ: </w:t>
      </w:r>
      <w:r w:rsidRPr="00282AC9">
        <w:rPr>
          <w:rFonts w:ascii="Mosawi" w:hAnsi="Mosawi" w:cs="AL-Mohanad"/>
          <w:rtl/>
          <w:lang w:bidi="fa-IR"/>
        </w:rPr>
        <w:t>«</w:t>
      </w:r>
      <w:r w:rsidRPr="00282AC9">
        <w:rPr>
          <w:rFonts w:ascii="Mosawi" w:hAnsi="Mosawi" w:cs="AL-Mohanad"/>
          <w:sz w:val="27"/>
          <w:szCs w:val="27"/>
          <w:rtl/>
          <w:lang w:bidi="fa-IR"/>
        </w:rPr>
        <w:t>مَنْعُهَا ظَهْرَهَا، وَسُوءُ ضَلْعِهَا</w:t>
      </w:r>
      <w:r w:rsidRPr="00282AC9">
        <w:rPr>
          <w:rFonts w:ascii="Mosawi" w:hAnsi="Mosawi" w:cs="AL-Mohanad"/>
          <w:rtl/>
          <w:lang w:bidi="fa-IR"/>
        </w:rPr>
        <w:t>»</w:t>
      </w:r>
      <w:r w:rsidRPr="00282AC9">
        <w:rPr>
          <w:rFonts w:ascii="Mosawi" w:hAnsi="Mosawi" w:cs="AL-Mohanad"/>
          <w:sz w:val="27"/>
          <w:szCs w:val="27"/>
          <w:rtl/>
          <w:lang w:bidi="fa-IR"/>
        </w:rPr>
        <w:t xml:space="preserve">، قِيلَ: فَمَا سُوءُ الْمَرْأَةِ؟ قَالَ: </w:t>
      </w:r>
      <w:r w:rsidRPr="00282AC9">
        <w:rPr>
          <w:rFonts w:ascii="Mosawi" w:hAnsi="Mosawi" w:cs="AL-Mohanad"/>
          <w:rtl/>
          <w:lang w:bidi="fa-IR"/>
        </w:rPr>
        <w:t>«</w:t>
      </w:r>
      <w:r w:rsidRPr="00282AC9">
        <w:rPr>
          <w:rFonts w:ascii="Mosawi" w:hAnsi="Mosawi" w:cs="AL-Mohanad"/>
          <w:sz w:val="27"/>
          <w:szCs w:val="27"/>
          <w:rtl/>
          <w:lang w:bidi="fa-IR"/>
        </w:rPr>
        <w:t>عُقْمُ رَحِمِهَا، وَسُوءُ خُلُقِهَا</w:t>
      </w:r>
      <w:r w:rsidRPr="00282AC9">
        <w:rPr>
          <w:rFonts w:ascii="Mosawi" w:hAnsi="Mosawi" w:cs="AL-Mohanad"/>
          <w:rtl/>
          <w:lang w:bidi="fa-IR"/>
        </w:rPr>
        <w:t>»</w:t>
      </w:r>
      <w:r w:rsidRPr="00282AC9">
        <w:rPr>
          <w:rFonts w:ascii="Mosawi" w:hAnsi="Mosawi" w:cs="AL-Mohanad"/>
          <w:sz w:val="27"/>
          <w:szCs w:val="27"/>
          <w:vertAlign w:val="superscript"/>
          <w:rtl/>
          <w:lang w:bidi="fa-IR"/>
        </w:rPr>
        <w:t>(</w:t>
      </w:r>
      <w:r w:rsidRPr="00282AC9">
        <w:rPr>
          <w:rStyle w:val="af9"/>
          <w:rFonts w:ascii="Mosawi" w:hAnsi="Mosawi" w:cs="AL-Mohanad"/>
          <w:sz w:val="27"/>
          <w:szCs w:val="27"/>
          <w:rtl/>
          <w:lang w:bidi="fa-IR"/>
        </w:rPr>
        <w:endnoteReference w:id="661"/>
      </w:r>
      <w:r w:rsidRPr="00282AC9">
        <w:rPr>
          <w:rFonts w:ascii="Mosawi" w:hAnsi="Mosawi" w:cs="AL-Mohanad"/>
          <w:sz w:val="27"/>
          <w:szCs w:val="27"/>
          <w:vertAlign w:val="superscript"/>
          <w:rtl/>
          <w:lang w:bidi="fa-IR"/>
        </w:rPr>
        <w:t>)</w:t>
      </w:r>
      <w:r w:rsidRPr="00282AC9">
        <w:rPr>
          <w:rFonts w:cs="AL-Mohanad" w:hint="cs"/>
          <w:sz w:val="27"/>
          <w:szCs w:val="27"/>
          <w:rtl/>
          <w:lang w:bidi="fa-IR"/>
        </w:rPr>
        <w:t>.</w:t>
      </w:r>
    </w:p>
    <w:p w:rsidR="0036675D" w:rsidRPr="00282AC9" w:rsidRDefault="001153F1" w:rsidP="003E218F">
      <w:pPr>
        <w:rPr>
          <w:b/>
          <w:bCs/>
          <w:rtl/>
          <w:lang w:bidi="fa-IR"/>
        </w:rPr>
      </w:pPr>
      <w:r w:rsidRPr="00282AC9">
        <w:rPr>
          <w:rFonts w:hint="cs"/>
          <w:b/>
          <w:bCs/>
          <w:rtl/>
          <w:lang w:bidi="fa-IR"/>
        </w:rPr>
        <w:t>أـ الدراسة السندي</w:t>
      </w:r>
      <w:r w:rsidR="0036675D" w:rsidRPr="00282AC9">
        <w:rPr>
          <w:rFonts w:hint="cs"/>
          <w:b/>
          <w:bCs/>
          <w:rtl/>
          <w:lang w:bidi="fa-IR"/>
        </w:rPr>
        <w:t>ّ</w:t>
      </w:r>
      <w:r w:rsidRPr="00282AC9">
        <w:rPr>
          <w:rFonts w:hint="cs"/>
          <w:b/>
          <w:bCs/>
          <w:rtl/>
          <w:lang w:bidi="fa-IR"/>
        </w:rPr>
        <w:t>ة</w:t>
      </w:r>
      <w:r w:rsidR="00D86020" w:rsidRPr="00282AC9">
        <w:rPr>
          <w:rFonts w:hint="cs"/>
          <w:sz w:val="27"/>
          <w:rtl/>
          <w:lang w:bidi="fa-IR"/>
        </w:rPr>
        <w:t xml:space="preserve">: </w:t>
      </w:r>
      <w:r w:rsidRPr="00282AC9">
        <w:rPr>
          <w:sz w:val="27"/>
          <w:rtl/>
          <w:lang w:bidi="fa-IR"/>
        </w:rPr>
        <w:t>سند هذه الرواية يشتمل على خالد بن نجيح</w:t>
      </w:r>
      <w:r w:rsidR="0036675D" w:rsidRPr="00282AC9">
        <w:rPr>
          <w:rFonts w:hint="cs"/>
          <w:sz w:val="27"/>
          <w:rtl/>
          <w:lang w:bidi="fa-IR"/>
        </w:rPr>
        <w:t>،</w:t>
      </w:r>
      <w:r w:rsidRPr="00282AC9">
        <w:rPr>
          <w:sz w:val="27"/>
          <w:rtl/>
          <w:lang w:bidi="fa-IR"/>
        </w:rPr>
        <w:t xml:space="preserve"> ولا دليل</w:t>
      </w:r>
      <w:r w:rsidR="0036675D" w:rsidRPr="00282AC9">
        <w:rPr>
          <w:rFonts w:hint="cs"/>
          <w:sz w:val="27"/>
          <w:rtl/>
          <w:lang w:bidi="fa-IR"/>
        </w:rPr>
        <w:t>َ</w:t>
      </w:r>
      <w:r w:rsidRPr="00282AC9">
        <w:rPr>
          <w:sz w:val="27"/>
          <w:rtl/>
          <w:lang w:bidi="fa-IR"/>
        </w:rPr>
        <w:t xml:space="preserve"> على توثيقه</w:t>
      </w:r>
      <w:r w:rsidR="0036675D" w:rsidRPr="00282AC9">
        <w:rPr>
          <w:rFonts w:hint="cs"/>
          <w:sz w:val="27"/>
          <w:rtl/>
          <w:lang w:bidi="fa-IR"/>
        </w:rPr>
        <w:t>.</w:t>
      </w:r>
      <w:r w:rsidRPr="00282AC9">
        <w:rPr>
          <w:sz w:val="27"/>
          <w:rtl/>
          <w:lang w:bidi="fa-IR"/>
        </w:rPr>
        <w:t xml:space="preserve"> وما ورد في رجال الكش</w:t>
      </w:r>
      <w:r w:rsidR="0036675D" w:rsidRPr="00282AC9">
        <w:rPr>
          <w:rFonts w:hint="cs"/>
          <w:sz w:val="27"/>
          <w:rtl/>
          <w:lang w:bidi="fa-IR"/>
        </w:rPr>
        <w:t>ّ</w:t>
      </w:r>
      <w:r w:rsidRPr="00282AC9">
        <w:rPr>
          <w:sz w:val="27"/>
          <w:rtl/>
          <w:lang w:bidi="fa-IR"/>
        </w:rPr>
        <w:t>ي لا يدل</w:t>
      </w:r>
      <w:r w:rsidR="0036675D" w:rsidRPr="00282AC9">
        <w:rPr>
          <w:rFonts w:hint="cs"/>
          <w:sz w:val="27"/>
          <w:rtl/>
          <w:lang w:bidi="fa-IR"/>
        </w:rPr>
        <w:t>ّ</w:t>
      </w:r>
      <w:r w:rsidRPr="00282AC9">
        <w:rPr>
          <w:sz w:val="27"/>
          <w:rtl/>
          <w:lang w:bidi="fa-IR"/>
        </w:rPr>
        <w:t xml:space="preserve"> إلا</w:t>
      </w:r>
      <w:r w:rsidR="0036675D" w:rsidRPr="00282AC9">
        <w:rPr>
          <w:rFonts w:hint="cs"/>
          <w:sz w:val="27"/>
          <w:rtl/>
          <w:lang w:bidi="fa-IR"/>
        </w:rPr>
        <w:t>ّ</w:t>
      </w:r>
      <w:r w:rsidRPr="00282AC9">
        <w:rPr>
          <w:sz w:val="27"/>
          <w:rtl/>
          <w:lang w:bidi="fa-IR"/>
        </w:rPr>
        <w:t xml:space="preserve"> على كونه صحيح المذهب</w:t>
      </w:r>
      <w:r w:rsidR="0036675D" w:rsidRPr="00282AC9">
        <w:rPr>
          <w:rFonts w:hint="cs"/>
          <w:sz w:val="27"/>
          <w:rtl/>
          <w:lang w:bidi="fa-IR"/>
        </w:rPr>
        <w:t>،</w:t>
      </w:r>
      <w:r w:rsidRPr="00282AC9">
        <w:rPr>
          <w:sz w:val="27"/>
          <w:rtl/>
          <w:lang w:bidi="fa-IR"/>
        </w:rPr>
        <w:t xml:space="preserve"> على أبعد التقادير</w:t>
      </w:r>
      <w:r w:rsidR="0036675D" w:rsidRPr="00282AC9">
        <w:rPr>
          <w:rFonts w:hint="cs"/>
          <w:sz w:val="27"/>
          <w:rtl/>
          <w:lang w:bidi="fa-IR"/>
        </w:rPr>
        <w:t>،</w:t>
      </w:r>
      <w:r w:rsidRPr="00282AC9">
        <w:rPr>
          <w:sz w:val="27"/>
          <w:rtl/>
          <w:lang w:bidi="fa-IR"/>
        </w:rPr>
        <w:t xml:space="preserve"> وهذا لا يدل</w:t>
      </w:r>
      <w:r w:rsidR="0036675D" w:rsidRPr="00282AC9">
        <w:rPr>
          <w:rFonts w:hint="cs"/>
          <w:sz w:val="27"/>
          <w:rtl/>
          <w:lang w:bidi="fa-IR"/>
        </w:rPr>
        <w:t>ّ</w:t>
      </w:r>
      <w:r w:rsidRPr="00282AC9">
        <w:rPr>
          <w:sz w:val="27"/>
          <w:rtl/>
          <w:lang w:bidi="fa-IR"/>
        </w:rPr>
        <w:t xml:space="preserve"> على وثاقته</w:t>
      </w:r>
      <w:r w:rsidR="0036675D" w:rsidRPr="00282AC9">
        <w:rPr>
          <w:rFonts w:hint="cs"/>
          <w:sz w:val="27"/>
          <w:rtl/>
          <w:lang w:bidi="fa-IR"/>
        </w:rPr>
        <w:t>.</w:t>
      </w:r>
      <w:r w:rsidRPr="00282AC9">
        <w:rPr>
          <w:sz w:val="27"/>
          <w:rtl/>
          <w:lang w:bidi="fa-IR"/>
        </w:rPr>
        <w:t xml:space="preserve"> ولكن</w:t>
      </w:r>
      <w:r w:rsidR="0036675D" w:rsidRPr="00282AC9">
        <w:rPr>
          <w:rFonts w:hint="cs"/>
          <w:sz w:val="27"/>
          <w:rtl/>
          <w:lang w:bidi="fa-IR"/>
        </w:rPr>
        <w:t>ْ</w:t>
      </w:r>
      <w:r w:rsidRPr="00282AC9">
        <w:rPr>
          <w:sz w:val="27"/>
          <w:rtl/>
          <w:lang w:bidi="fa-IR"/>
        </w:rPr>
        <w:t xml:space="preserve"> وث</w:t>
      </w:r>
      <w:r w:rsidR="0036675D" w:rsidRPr="00282AC9">
        <w:rPr>
          <w:rFonts w:hint="cs"/>
          <w:sz w:val="27"/>
          <w:rtl/>
          <w:lang w:bidi="fa-IR"/>
        </w:rPr>
        <w:t>َّ</w:t>
      </w:r>
      <w:r w:rsidRPr="00282AC9">
        <w:rPr>
          <w:sz w:val="27"/>
          <w:rtl/>
          <w:lang w:bidi="fa-IR"/>
        </w:rPr>
        <w:t>ق</w:t>
      </w:r>
      <w:r w:rsidRPr="00282AC9">
        <w:rPr>
          <w:rFonts w:hint="cs"/>
          <w:sz w:val="27"/>
          <w:rtl/>
          <w:lang w:bidi="fa-IR"/>
        </w:rPr>
        <w:t>ه بعضهم</w:t>
      </w:r>
      <w:r w:rsidR="0036675D" w:rsidRPr="00282AC9">
        <w:rPr>
          <w:rFonts w:hint="cs"/>
          <w:sz w:val="27"/>
          <w:rtl/>
          <w:lang w:bidi="fa-IR"/>
        </w:rPr>
        <w:t>.</w:t>
      </w:r>
    </w:p>
    <w:p w:rsidR="001153F1" w:rsidRPr="00282AC9" w:rsidRDefault="001153F1" w:rsidP="003E218F">
      <w:pPr>
        <w:pStyle w:val="afc"/>
        <w:rPr>
          <w:rFonts w:cs="AL-Mohanad"/>
          <w:sz w:val="27"/>
          <w:szCs w:val="27"/>
          <w:rtl/>
        </w:rPr>
      </w:pPr>
      <w:r w:rsidRPr="00282AC9">
        <w:rPr>
          <w:rFonts w:cs="AL-Mohanad"/>
          <w:sz w:val="27"/>
          <w:szCs w:val="27"/>
          <w:rtl/>
        </w:rPr>
        <w:t>وكذلك يشتمل على عثمان بن عيسى</w:t>
      </w:r>
      <w:r w:rsidR="0036675D" w:rsidRPr="00282AC9">
        <w:rPr>
          <w:rFonts w:cs="AL-Mohanad" w:hint="cs"/>
          <w:sz w:val="27"/>
          <w:szCs w:val="27"/>
          <w:rtl/>
        </w:rPr>
        <w:t>،</w:t>
      </w:r>
      <w:r w:rsidRPr="00282AC9">
        <w:rPr>
          <w:rFonts w:cs="AL-Mohanad"/>
          <w:sz w:val="27"/>
          <w:szCs w:val="27"/>
          <w:rtl/>
        </w:rPr>
        <w:t xml:space="preserve"> الذي لم ي</w:t>
      </w:r>
      <w:r w:rsidR="0036675D" w:rsidRPr="00282AC9">
        <w:rPr>
          <w:rFonts w:cs="AL-Mohanad" w:hint="cs"/>
          <w:sz w:val="27"/>
          <w:szCs w:val="27"/>
          <w:rtl/>
        </w:rPr>
        <w:t>َ</w:t>
      </w:r>
      <w:r w:rsidRPr="00282AC9">
        <w:rPr>
          <w:rFonts w:cs="AL-Mohanad"/>
          <w:sz w:val="27"/>
          <w:szCs w:val="27"/>
          <w:rtl/>
        </w:rPr>
        <w:t>ر</w:t>
      </w:r>
      <w:r w:rsidR="0036675D" w:rsidRPr="00282AC9">
        <w:rPr>
          <w:rFonts w:cs="AL-Mohanad" w:hint="cs"/>
          <w:sz w:val="27"/>
          <w:szCs w:val="27"/>
          <w:rtl/>
        </w:rPr>
        <w:t>ِ</w:t>
      </w:r>
      <w:r w:rsidRPr="00282AC9">
        <w:rPr>
          <w:rFonts w:cs="AL-Mohanad"/>
          <w:sz w:val="27"/>
          <w:szCs w:val="27"/>
          <w:rtl/>
        </w:rPr>
        <w:t>د</w:t>
      </w:r>
      <w:r w:rsidR="0036675D" w:rsidRPr="00282AC9">
        <w:rPr>
          <w:rFonts w:cs="AL-Mohanad" w:hint="cs"/>
          <w:sz w:val="27"/>
          <w:szCs w:val="27"/>
          <w:rtl/>
        </w:rPr>
        <w:t>ْ</w:t>
      </w:r>
      <w:r w:rsidRPr="00282AC9">
        <w:rPr>
          <w:rFonts w:cs="AL-Mohanad"/>
          <w:sz w:val="27"/>
          <w:szCs w:val="27"/>
          <w:rtl/>
        </w:rPr>
        <w:t xml:space="preserve"> له توثيق</w:t>
      </w:r>
      <w:r w:rsidRPr="00282AC9">
        <w:rPr>
          <w:rFonts w:cs="AL-Mohanad" w:hint="cs"/>
          <w:sz w:val="27"/>
          <w:szCs w:val="27"/>
          <w:rtl/>
        </w:rPr>
        <w:t>ٌ</w:t>
      </w:r>
      <w:r w:rsidRPr="00282AC9">
        <w:rPr>
          <w:rFonts w:cs="AL-Mohanad"/>
          <w:sz w:val="27"/>
          <w:szCs w:val="27"/>
          <w:rtl/>
        </w:rPr>
        <w:t xml:space="preserve"> صريح في الكتب الرجالية</w:t>
      </w:r>
      <w:r w:rsidR="0036675D" w:rsidRPr="00282AC9">
        <w:rPr>
          <w:rFonts w:cs="AL-Mohanad" w:hint="cs"/>
          <w:sz w:val="27"/>
          <w:szCs w:val="27"/>
          <w:rtl/>
        </w:rPr>
        <w:t>،</w:t>
      </w:r>
      <w:r w:rsidRPr="00282AC9">
        <w:rPr>
          <w:rFonts w:cs="AL-Mohanad"/>
          <w:sz w:val="27"/>
          <w:szCs w:val="27"/>
          <w:rtl/>
        </w:rPr>
        <w:t xml:space="preserve"> وإن</w:t>
      </w:r>
      <w:r w:rsidR="0036675D" w:rsidRPr="00282AC9">
        <w:rPr>
          <w:rFonts w:cs="AL-Mohanad" w:hint="cs"/>
          <w:sz w:val="27"/>
          <w:szCs w:val="27"/>
          <w:rtl/>
        </w:rPr>
        <w:t>ْ</w:t>
      </w:r>
      <w:r w:rsidRPr="00282AC9">
        <w:rPr>
          <w:rFonts w:cs="AL-Mohanad"/>
          <w:sz w:val="27"/>
          <w:szCs w:val="27"/>
          <w:rtl/>
        </w:rPr>
        <w:t xml:space="preserve"> وثّ</w:t>
      </w:r>
      <w:r w:rsidR="0036675D" w:rsidRPr="00282AC9">
        <w:rPr>
          <w:rFonts w:cs="AL-Mohanad" w:hint="cs"/>
          <w:sz w:val="27"/>
          <w:szCs w:val="27"/>
          <w:rtl/>
        </w:rPr>
        <w:t>َ</w:t>
      </w:r>
      <w:r w:rsidRPr="00282AC9">
        <w:rPr>
          <w:rFonts w:cs="AL-Mohanad"/>
          <w:sz w:val="27"/>
          <w:szCs w:val="27"/>
          <w:rtl/>
        </w:rPr>
        <w:t>قه بعض</w:t>
      </w:r>
      <w:r w:rsidR="0036675D"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 xml:space="preserve">وقد يكون </w:t>
      </w:r>
      <w:r w:rsidRPr="00282AC9">
        <w:rPr>
          <w:rFonts w:cs="AL-Mohanad"/>
          <w:sz w:val="27"/>
          <w:szCs w:val="27"/>
          <w:rtl/>
        </w:rPr>
        <w:t>أحد وجوه توثيقه كونه من أصحاب الإجماع على قول</w:t>
      </w:r>
      <w:r w:rsidR="0036675D" w:rsidRPr="00282AC9">
        <w:rPr>
          <w:rFonts w:cs="AL-Mohanad" w:hint="cs"/>
          <w:sz w:val="27"/>
          <w:szCs w:val="27"/>
          <w:rtl/>
        </w:rPr>
        <w:t>ٍ،</w:t>
      </w:r>
      <w:r w:rsidRPr="00282AC9">
        <w:rPr>
          <w:rFonts w:cs="AL-Mohanad"/>
          <w:sz w:val="27"/>
          <w:szCs w:val="27"/>
          <w:rtl/>
        </w:rPr>
        <w:t xml:space="preserve"> كما نقل الكش</w:t>
      </w:r>
      <w:r w:rsidR="0036675D" w:rsidRPr="00282AC9">
        <w:rPr>
          <w:rFonts w:cs="AL-Mohanad" w:hint="cs"/>
          <w:sz w:val="27"/>
          <w:szCs w:val="27"/>
          <w:rtl/>
        </w:rPr>
        <w:t>ّ</w:t>
      </w:r>
      <w:r w:rsidRPr="00282AC9">
        <w:rPr>
          <w:rFonts w:cs="AL-Mohanad"/>
          <w:sz w:val="27"/>
          <w:szCs w:val="27"/>
          <w:rtl/>
        </w:rPr>
        <w:t xml:space="preserve">ي في رجاله. </w:t>
      </w:r>
    </w:p>
    <w:p w:rsidR="001153F1" w:rsidRPr="00282AC9" w:rsidRDefault="001153F1" w:rsidP="003E218F">
      <w:pPr>
        <w:rPr>
          <w:b/>
          <w:bCs/>
          <w:rtl/>
          <w:lang w:bidi="fa-IR"/>
        </w:rPr>
      </w:pPr>
      <w:r w:rsidRPr="00282AC9">
        <w:rPr>
          <w:rFonts w:hint="cs"/>
          <w:b/>
          <w:bCs/>
          <w:rtl/>
          <w:lang w:bidi="fa-IR"/>
        </w:rPr>
        <w:t>ب ـ الدراسة الدلالي</w:t>
      </w:r>
      <w:r w:rsidR="0036675D" w:rsidRPr="00282AC9">
        <w:rPr>
          <w:rFonts w:hint="cs"/>
          <w:b/>
          <w:bCs/>
          <w:rtl/>
          <w:lang w:bidi="fa-IR"/>
        </w:rPr>
        <w:t>ّ</w:t>
      </w:r>
      <w:r w:rsidRPr="00282AC9">
        <w:rPr>
          <w:rFonts w:hint="cs"/>
          <w:b/>
          <w:bCs/>
          <w:rtl/>
          <w:lang w:bidi="fa-IR"/>
        </w:rPr>
        <w:t>ة</w:t>
      </w:r>
      <w:r w:rsidR="00D86020" w:rsidRPr="00282AC9">
        <w:rPr>
          <w:rFonts w:ascii="Mosawi" w:hAnsi="Mosawi" w:hint="cs"/>
          <w:sz w:val="27"/>
          <w:rtl/>
          <w:lang w:bidi="fa-IR"/>
        </w:rPr>
        <w:t xml:space="preserve">: </w:t>
      </w:r>
      <w:r w:rsidRPr="00282AC9">
        <w:rPr>
          <w:rFonts w:ascii="Mosawi" w:hAnsi="Mosawi" w:hint="cs"/>
          <w:sz w:val="27"/>
          <w:rtl/>
          <w:lang w:bidi="fa-IR"/>
        </w:rPr>
        <w:t>في النقل الشيعي لهذه الرواية نجد تعبير</w:t>
      </w:r>
      <w:r w:rsidR="0036675D" w:rsidRPr="00282AC9">
        <w:rPr>
          <w:rFonts w:ascii="Mosawi" w:hAnsi="Mosawi" w:hint="cs"/>
          <w:sz w:val="27"/>
          <w:rtl/>
          <w:lang w:bidi="fa-IR"/>
        </w:rPr>
        <w:t>:</w:t>
      </w:r>
      <w:r w:rsidRPr="00282AC9">
        <w:rPr>
          <w:rFonts w:ascii="Mosawi" w:hAnsi="Mosawi" w:hint="cs"/>
          <w:sz w:val="27"/>
          <w:rtl/>
          <w:lang w:bidi="fa-IR"/>
        </w:rPr>
        <w:t xml:space="preserve"> </w:t>
      </w:r>
      <w:r w:rsidRPr="00282AC9">
        <w:rPr>
          <w:rFonts w:ascii="Mosawi" w:hAnsi="Mosawi"/>
          <w:rtl/>
          <w:lang w:bidi="fa-IR"/>
        </w:rPr>
        <w:t>«</w:t>
      </w:r>
      <w:r w:rsidRPr="00282AC9">
        <w:rPr>
          <w:rFonts w:ascii="Mosawi" w:hAnsi="Mosawi" w:hint="cs"/>
          <w:sz w:val="27"/>
          <w:rtl/>
          <w:lang w:bidi="fa-IR"/>
        </w:rPr>
        <w:t>الشؤم</w:t>
      </w:r>
      <w:r w:rsidRPr="00282AC9">
        <w:rPr>
          <w:rFonts w:ascii="Mosawi" w:hAnsi="Mosawi"/>
          <w:rtl/>
          <w:lang w:bidi="fa-IR"/>
        </w:rPr>
        <w:t>»</w:t>
      </w:r>
      <w:r w:rsidR="0036675D" w:rsidRPr="00282AC9">
        <w:rPr>
          <w:rFonts w:ascii="Mosawi" w:hAnsi="Mosawi" w:hint="cs"/>
          <w:sz w:val="27"/>
          <w:rtl/>
          <w:lang w:bidi="fa-IR"/>
        </w:rPr>
        <w:t>؛</w:t>
      </w:r>
      <w:r w:rsidRPr="00282AC9">
        <w:rPr>
          <w:rFonts w:ascii="Mosawi" w:hAnsi="Mosawi" w:hint="cs"/>
          <w:sz w:val="27"/>
          <w:rtl/>
          <w:lang w:bidi="fa-IR"/>
        </w:rPr>
        <w:t xml:space="preserve"> وفي النقل السن</w:t>
      </w:r>
      <w:r w:rsidR="0036675D" w:rsidRPr="00282AC9">
        <w:rPr>
          <w:rFonts w:ascii="Mosawi" w:hAnsi="Mosawi" w:hint="cs"/>
          <w:sz w:val="27"/>
          <w:rtl/>
          <w:lang w:bidi="fa-IR"/>
        </w:rPr>
        <w:t>ّ</w:t>
      </w:r>
      <w:r w:rsidRPr="00282AC9">
        <w:rPr>
          <w:rFonts w:ascii="Mosawi" w:hAnsi="Mosawi" w:hint="cs"/>
          <w:sz w:val="27"/>
          <w:rtl/>
          <w:lang w:bidi="fa-IR"/>
        </w:rPr>
        <w:t>ي لها نجد تعبير</w:t>
      </w:r>
      <w:r w:rsidR="0036675D" w:rsidRPr="00282AC9">
        <w:rPr>
          <w:rFonts w:ascii="Mosawi" w:hAnsi="Mosawi" w:hint="cs"/>
          <w:sz w:val="27"/>
          <w:rtl/>
          <w:lang w:bidi="fa-IR"/>
        </w:rPr>
        <w:t>:</w:t>
      </w:r>
      <w:r w:rsidRPr="00282AC9">
        <w:rPr>
          <w:rFonts w:ascii="Mosawi" w:hAnsi="Mosawi" w:hint="cs"/>
          <w:sz w:val="27"/>
          <w:rtl/>
          <w:lang w:bidi="fa-IR"/>
        </w:rPr>
        <w:t xml:space="preserve"> </w:t>
      </w:r>
      <w:r w:rsidRPr="00282AC9">
        <w:rPr>
          <w:rFonts w:ascii="Mosawi" w:hAnsi="Mosawi"/>
          <w:rtl/>
          <w:lang w:bidi="fa-IR"/>
        </w:rPr>
        <w:t>«</w:t>
      </w:r>
      <w:r w:rsidRPr="00282AC9">
        <w:rPr>
          <w:rFonts w:ascii="Mosawi" w:hAnsi="Mosawi" w:hint="cs"/>
          <w:sz w:val="27"/>
          <w:rtl/>
          <w:lang w:bidi="fa-IR"/>
        </w:rPr>
        <w:t>السوء</w:t>
      </w:r>
      <w:r w:rsidRPr="00282AC9">
        <w:rPr>
          <w:rFonts w:ascii="Mosawi" w:hAnsi="Mosawi"/>
          <w:rtl/>
          <w:lang w:bidi="fa-IR"/>
        </w:rPr>
        <w:t>»</w:t>
      </w:r>
      <w:r w:rsidR="0036675D" w:rsidRPr="00282AC9">
        <w:rPr>
          <w:rFonts w:ascii="Mosawi" w:hAnsi="Mosawi" w:hint="cs"/>
          <w:sz w:val="27"/>
          <w:rtl/>
          <w:lang w:bidi="fa-IR"/>
        </w:rPr>
        <w:t>.</w:t>
      </w:r>
      <w:r w:rsidRPr="00282AC9">
        <w:rPr>
          <w:rFonts w:ascii="Mosawi" w:hAnsi="Mosawi" w:hint="cs"/>
          <w:sz w:val="27"/>
          <w:rtl/>
          <w:lang w:bidi="fa-IR"/>
        </w:rPr>
        <w:t xml:space="preserve"> والفي</w:t>
      </w:r>
      <w:r w:rsidR="0036675D" w:rsidRPr="00282AC9">
        <w:rPr>
          <w:rFonts w:ascii="Mosawi" w:hAnsi="Mosawi" w:hint="cs"/>
          <w:sz w:val="27"/>
          <w:rtl/>
          <w:lang w:bidi="fa-IR"/>
        </w:rPr>
        <w:t>ّ</w:t>
      </w:r>
      <w:r w:rsidRPr="00282AC9">
        <w:rPr>
          <w:rFonts w:ascii="Mosawi" w:hAnsi="Mosawi" w:hint="cs"/>
          <w:sz w:val="27"/>
          <w:rtl/>
          <w:lang w:bidi="fa-IR"/>
        </w:rPr>
        <w:t>ومي اعتبر الشؤم بمعنى الشر</w:t>
      </w:r>
      <w:r w:rsidR="0036675D" w:rsidRPr="00282AC9">
        <w:rPr>
          <w:rFonts w:ascii="Mosawi" w:hAnsi="Mosawi" w:hint="cs"/>
          <w:sz w:val="27"/>
          <w:rtl/>
          <w:lang w:bidi="fa-IR"/>
        </w:rPr>
        <w:t>ّ</w:t>
      </w:r>
      <w:r w:rsidRPr="00282AC9">
        <w:rPr>
          <w:rFonts w:ascii="Mosawi" w:hAnsi="Mosawi"/>
          <w:sz w:val="27"/>
          <w:vertAlign w:val="superscript"/>
          <w:rtl/>
          <w:lang w:bidi="fa-IR"/>
        </w:rPr>
        <w:t>(</w:t>
      </w:r>
      <w:r w:rsidRPr="00282AC9">
        <w:rPr>
          <w:rStyle w:val="af9"/>
          <w:rFonts w:ascii="Mosawi" w:hAnsi="Mosawi"/>
          <w:sz w:val="27"/>
          <w:rtl/>
          <w:lang w:bidi="fa-IR"/>
        </w:rPr>
        <w:endnoteReference w:id="662"/>
      </w:r>
      <w:r w:rsidRPr="00282AC9">
        <w:rPr>
          <w:rFonts w:ascii="Mosawi" w:hAnsi="Mosawi"/>
          <w:sz w:val="27"/>
          <w:vertAlign w:val="superscript"/>
          <w:rtl/>
          <w:lang w:bidi="fa-IR"/>
        </w:rPr>
        <w:t>)</w:t>
      </w:r>
      <w:r w:rsidR="0036675D" w:rsidRPr="00282AC9">
        <w:rPr>
          <w:rFonts w:ascii="Mosawi" w:hAnsi="Mosawi" w:hint="cs"/>
          <w:sz w:val="27"/>
          <w:rtl/>
          <w:lang w:bidi="fa-IR"/>
        </w:rPr>
        <w:t>.</w:t>
      </w:r>
      <w:r w:rsidRPr="00282AC9">
        <w:rPr>
          <w:rFonts w:ascii="Mosawi" w:hAnsi="Mosawi" w:hint="cs"/>
          <w:sz w:val="27"/>
          <w:rtl/>
          <w:lang w:bidi="fa-IR"/>
        </w:rPr>
        <w:t xml:space="preserve"> واعتبره ابن </w:t>
      </w:r>
      <w:r w:rsidR="00F4069A" w:rsidRPr="00282AC9">
        <w:rPr>
          <w:rFonts w:ascii="Mosawi" w:hAnsi="Mosawi" w:hint="cs"/>
          <w:sz w:val="27"/>
          <w:rtl/>
          <w:lang w:bidi="fa-IR"/>
        </w:rPr>
        <w:t>م</w:t>
      </w:r>
      <w:r w:rsidRPr="00282AC9">
        <w:rPr>
          <w:rFonts w:ascii="Mosawi" w:hAnsi="Mosawi" w:hint="cs"/>
          <w:sz w:val="27"/>
          <w:rtl/>
          <w:lang w:bidi="fa-IR"/>
        </w:rPr>
        <w:t>نظور خلاف اليمن</w:t>
      </w:r>
      <w:r w:rsidRPr="00282AC9">
        <w:rPr>
          <w:rFonts w:ascii="Mosawi" w:hAnsi="Mosawi"/>
          <w:sz w:val="27"/>
          <w:vertAlign w:val="superscript"/>
          <w:rtl/>
          <w:lang w:bidi="fa-IR"/>
        </w:rPr>
        <w:t>(</w:t>
      </w:r>
      <w:r w:rsidRPr="00282AC9">
        <w:rPr>
          <w:rStyle w:val="af9"/>
          <w:rFonts w:ascii="Mosawi" w:hAnsi="Mosawi"/>
          <w:sz w:val="27"/>
          <w:rtl/>
          <w:lang w:bidi="fa-IR"/>
        </w:rPr>
        <w:endnoteReference w:id="663"/>
      </w:r>
      <w:r w:rsidRPr="00282AC9">
        <w:rPr>
          <w:rFonts w:ascii="Mosawi" w:hAnsi="Mosawi"/>
          <w:sz w:val="27"/>
          <w:vertAlign w:val="superscript"/>
          <w:rtl/>
          <w:lang w:bidi="fa-IR"/>
        </w:rPr>
        <w:t>)</w:t>
      </w:r>
      <w:r w:rsidR="00F4069A" w:rsidRPr="00282AC9">
        <w:rPr>
          <w:rFonts w:ascii="Mosawi" w:hAnsi="Mosawi" w:hint="cs"/>
          <w:sz w:val="27"/>
          <w:rtl/>
          <w:lang w:bidi="fa-IR"/>
        </w:rPr>
        <w:t>.</w:t>
      </w:r>
      <w:r w:rsidRPr="00282AC9">
        <w:rPr>
          <w:rFonts w:ascii="Mosawi" w:hAnsi="Mosawi" w:hint="cs"/>
          <w:sz w:val="27"/>
          <w:rtl/>
          <w:lang w:bidi="fa-IR"/>
        </w:rPr>
        <w:t xml:space="preserve"> ويبدو أنّ التخصيص هنا بسبب إبطال التطيّ</w:t>
      </w:r>
      <w:r w:rsidR="00F4069A" w:rsidRPr="00282AC9">
        <w:rPr>
          <w:rFonts w:ascii="Mosawi" w:hAnsi="Mosawi" w:hint="cs"/>
          <w:sz w:val="27"/>
          <w:rtl/>
          <w:lang w:bidi="fa-IR"/>
        </w:rPr>
        <w:t>ُ</w:t>
      </w:r>
      <w:r w:rsidRPr="00282AC9">
        <w:rPr>
          <w:rFonts w:ascii="Mosawi" w:hAnsi="Mosawi" w:hint="cs"/>
          <w:sz w:val="27"/>
          <w:rtl/>
          <w:lang w:bidi="fa-IR"/>
        </w:rPr>
        <w:t>ر بالسوانح والبوارح من الطير والظباء و..</w:t>
      </w:r>
      <w:r w:rsidR="00F4069A" w:rsidRPr="00282AC9">
        <w:rPr>
          <w:rFonts w:ascii="Mosawi" w:hAnsi="Mosawi" w:hint="cs"/>
          <w:sz w:val="27"/>
          <w:rtl/>
          <w:lang w:bidi="fa-IR"/>
        </w:rPr>
        <w:t>.</w:t>
      </w:r>
      <w:r w:rsidRPr="00282AC9">
        <w:rPr>
          <w:rFonts w:ascii="Mosawi" w:hAnsi="Mosawi" w:hint="cs"/>
          <w:sz w:val="27"/>
          <w:rtl/>
          <w:lang w:bidi="fa-IR"/>
        </w:rPr>
        <w:t xml:space="preserve"> في الإسلام</w:t>
      </w:r>
      <w:r w:rsidR="00F4069A" w:rsidRPr="00282AC9">
        <w:rPr>
          <w:rFonts w:ascii="Mosawi" w:hAnsi="Mosawi" w:hint="cs"/>
          <w:sz w:val="27"/>
          <w:rtl/>
          <w:lang w:bidi="fa-IR"/>
        </w:rPr>
        <w:t>.</w:t>
      </w:r>
      <w:r w:rsidRPr="00282AC9">
        <w:rPr>
          <w:rFonts w:ascii="Mosawi" w:hAnsi="Mosawi" w:hint="cs"/>
          <w:sz w:val="27"/>
          <w:rtl/>
          <w:lang w:bidi="fa-IR"/>
        </w:rPr>
        <w:t xml:space="preserve"> ويبدو أن المقصود من الشؤم هنا ما ت</w:t>
      </w:r>
      <w:r w:rsidR="00F4069A" w:rsidRPr="00282AC9">
        <w:rPr>
          <w:rFonts w:ascii="Mosawi" w:hAnsi="Mosawi" w:hint="cs"/>
          <w:sz w:val="27"/>
          <w:rtl/>
          <w:lang w:bidi="fa-IR"/>
        </w:rPr>
        <w:t>ُ</w:t>
      </w:r>
      <w:r w:rsidRPr="00282AC9">
        <w:rPr>
          <w:rFonts w:ascii="Mosawi" w:hAnsi="Mosawi" w:hint="cs"/>
          <w:sz w:val="27"/>
          <w:rtl/>
          <w:lang w:bidi="fa-IR"/>
        </w:rPr>
        <w:t>ك</w:t>
      </w:r>
      <w:r w:rsidR="00F4069A" w:rsidRPr="00282AC9">
        <w:rPr>
          <w:rFonts w:ascii="Mosawi" w:hAnsi="Mosawi" w:hint="cs"/>
          <w:sz w:val="27"/>
          <w:rtl/>
          <w:lang w:bidi="fa-IR"/>
        </w:rPr>
        <w:t>ْ</w:t>
      </w:r>
      <w:r w:rsidRPr="00282AC9">
        <w:rPr>
          <w:rFonts w:ascii="Mosawi" w:hAnsi="Mosawi" w:hint="cs"/>
          <w:sz w:val="27"/>
          <w:rtl/>
          <w:lang w:bidi="fa-IR"/>
        </w:rPr>
        <w:t>ر</w:t>
      </w:r>
      <w:r w:rsidR="00F4069A" w:rsidRPr="00282AC9">
        <w:rPr>
          <w:rFonts w:ascii="Mosawi" w:hAnsi="Mosawi" w:hint="cs"/>
          <w:sz w:val="27"/>
          <w:rtl/>
          <w:lang w:bidi="fa-IR"/>
        </w:rPr>
        <w:t>َ</w:t>
      </w:r>
      <w:r w:rsidRPr="00282AC9">
        <w:rPr>
          <w:rFonts w:ascii="Mosawi" w:hAnsi="Mosawi" w:hint="cs"/>
          <w:sz w:val="27"/>
          <w:rtl/>
          <w:lang w:bidi="fa-IR"/>
        </w:rPr>
        <w:t>ه عاقبته</w:t>
      </w:r>
      <w:r w:rsidR="00F4069A" w:rsidRPr="00282AC9">
        <w:rPr>
          <w:rFonts w:ascii="Mosawi" w:hAnsi="Mosawi" w:hint="cs"/>
          <w:sz w:val="27"/>
          <w:rtl/>
          <w:lang w:bidi="fa-IR"/>
        </w:rPr>
        <w:t>،</w:t>
      </w:r>
      <w:r w:rsidRPr="00282AC9">
        <w:rPr>
          <w:rFonts w:ascii="Mosawi" w:hAnsi="Mosawi" w:hint="cs"/>
          <w:sz w:val="27"/>
          <w:rtl/>
          <w:lang w:bidi="fa-IR"/>
        </w:rPr>
        <w:t xml:space="preserve"> وي</w:t>
      </w:r>
      <w:r w:rsidR="00F4069A" w:rsidRPr="00282AC9">
        <w:rPr>
          <w:rFonts w:ascii="Mosawi" w:hAnsi="Mosawi" w:hint="cs"/>
          <w:sz w:val="27"/>
          <w:rtl/>
          <w:lang w:bidi="fa-IR"/>
        </w:rPr>
        <w:t xml:space="preserve">ُخاف منها، </w:t>
      </w:r>
      <w:r w:rsidRPr="00282AC9">
        <w:rPr>
          <w:rFonts w:ascii="Mosawi" w:hAnsi="Mosawi" w:hint="cs"/>
          <w:sz w:val="27"/>
          <w:rtl/>
          <w:lang w:bidi="fa-IR"/>
        </w:rPr>
        <w:t>كما ذكر ابن منظور</w:t>
      </w:r>
      <w:r w:rsidRPr="00282AC9">
        <w:rPr>
          <w:rFonts w:ascii="Mosawi" w:hAnsi="Mosawi"/>
          <w:sz w:val="27"/>
          <w:vertAlign w:val="superscript"/>
          <w:rtl/>
          <w:lang w:bidi="fa-IR"/>
        </w:rPr>
        <w:t>(</w:t>
      </w:r>
      <w:r w:rsidRPr="00282AC9">
        <w:rPr>
          <w:rStyle w:val="af9"/>
          <w:rFonts w:ascii="Mosawi" w:hAnsi="Mosawi"/>
          <w:sz w:val="27"/>
          <w:rtl/>
          <w:lang w:bidi="fa-IR"/>
        </w:rPr>
        <w:endnoteReference w:id="664"/>
      </w:r>
      <w:r w:rsidRPr="00282AC9">
        <w:rPr>
          <w:rFonts w:ascii="Mosawi" w:hAnsi="Mosawi"/>
          <w:sz w:val="27"/>
          <w:vertAlign w:val="superscript"/>
          <w:rtl/>
          <w:lang w:bidi="fa-IR"/>
        </w:rPr>
        <w:t>)</w:t>
      </w:r>
      <w:r w:rsidR="00F4069A" w:rsidRPr="00282AC9">
        <w:rPr>
          <w:rFonts w:ascii="Mosawi" w:hAnsi="Mosawi" w:hint="cs"/>
          <w:sz w:val="27"/>
          <w:rtl/>
          <w:lang w:bidi="fa-IR"/>
        </w:rPr>
        <w:t xml:space="preserve">. </w:t>
      </w:r>
      <w:r w:rsidRPr="00282AC9">
        <w:rPr>
          <w:rFonts w:ascii="Mosawi" w:hAnsi="Mosawi" w:hint="cs"/>
          <w:sz w:val="27"/>
          <w:rtl/>
          <w:lang w:bidi="fa-IR"/>
        </w:rPr>
        <w:t>فعلى أي</w:t>
      </w:r>
      <w:r w:rsidR="00F4069A" w:rsidRPr="00282AC9">
        <w:rPr>
          <w:rFonts w:ascii="Mosawi" w:hAnsi="Mosawi" w:hint="cs"/>
          <w:sz w:val="27"/>
          <w:rtl/>
          <w:lang w:bidi="fa-IR"/>
        </w:rPr>
        <w:t>ّ</w:t>
      </w:r>
      <w:r w:rsidRPr="00282AC9">
        <w:rPr>
          <w:rFonts w:ascii="Mosawi" w:hAnsi="Mosawi" w:hint="cs"/>
          <w:sz w:val="27"/>
          <w:rtl/>
          <w:lang w:bidi="fa-IR"/>
        </w:rPr>
        <w:t xml:space="preserve"> حال</w:t>
      </w:r>
      <w:r w:rsidR="00F4069A" w:rsidRPr="00282AC9">
        <w:rPr>
          <w:rFonts w:ascii="Mosawi" w:hAnsi="Mosawi" w:hint="cs"/>
          <w:sz w:val="27"/>
          <w:rtl/>
          <w:lang w:bidi="fa-IR"/>
        </w:rPr>
        <w:t>ٍ</w:t>
      </w:r>
      <w:r w:rsidRPr="00282AC9">
        <w:rPr>
          <w:rFonts w:ascii="Mosawi" w:hAnsi="Mosawi" w:hint="cs"/>
          <w:sz w:val="27"/>
          <w:rtl/>
          <w:lang w:bidi="fa-IR"/>
        </w:rPr>
        <w:t xml:space="preserve"> لا نجد في هذه الرواية أيضاً تعبيراً قانوني</w:t>
      </w:r>
      <w:r w:rsidR="00F4069A" w:rsidRPr="00282AC9">
        <w:rPr>
          <w:rFonts w:ascii="Mosawi" w:hAnsi="Mosawi" w:hint="cs"/>
          <w:sz w:val="27"/>
          <w:rtl/>
          <w:lang w:bidi="fa-IR"/>
        </w:rPr>
        <w:t>ّ</w:t>
      </w:r>
      <w:r w:rsidRPr="00282AC9">
        <w:rPr>
          <w:rFonts w:ascii="Mosawi" w:hAnsi="Mosawi" w:hint="cs"/>
          <w:sz w:val="27"/>
          <w:rtl/>
          <w:lang w:bidi="fa-IR"/>
        </w:rPr>
        <w:t>اً</w:t>
      </w:r>
      <w:r w:rsidR="00F4069A" w:rsidRPr="00282AC9">
        <w:rPr>
          <w:rFonts w:ascii="Mosawi" w:hAnsi="Mosawi" w:hint="cs"/>
          <w:sz w:val="27"/>
          <w:rtl/>
          <w:lang w:bidi="fa-IR"/>
        </w:rPr>
        <w:t>.</w:t>
      </w:r>
      <w:r w:rsidRPr="00282AC9">
        <w:rPr>
          <w:rFonts w:ascii="Mosawi" w:hAnsi="Mosawi" w:hint="cs"/>
          <w:sz w:val="27"/>
          <w:rtl/>
          <w:lang w:bidi="fa-IR"/>
        </w:rPr>
        <w:t xml:space="preserve"> وإذا كانت الرواية الراجحة </w:t>
      </w:r>
      <w:r w:rsidRPr="00282AC9">
        <w:rPr>
          <w:rFonts w:ascii="Mosawi" w:hAnsi="Mosawi"/>
          <w:rtl/>
          <w:lang w:bidi="fa-IR"/>
        </w:rPr>
        <w:t>«</w:t>
      </w:r>
      <w:r w:rsidRPr="00282AC9">
        <w:rPr>
          <w:rFonts w:ascii="Mosawi" w:hAnsi="Mosawi" w:hint="cs"/>
          <w:sz w:val="27"/>
          <w:rtl/>
          <w:lang w:bidi="fa-IR"/>
        </w:rPr>
        <w:t>الشؤم</w:t>
      </w:r>
      <w:r w:rsidRPr="00282AC9">
        <w:rPr>
          <w:rFonts w:ascii="Mosawi" w:hAnsi="Mosawi"/>
          <w:rtl/>
          <w:lang w:bidi="fa-IR"/>
        </w:rPr>
        <w:t>»</w:t>
      </w:r>
      <w:r w:rsidR="00F4069A" w:rsidRPr="00282AC9">
        <w:rPr>
          <w:rFonts w:ascii="Mosawi" w:hAnsi="Mosawi" w:hint="cs"/>
          <w:sz w:val="27"/>
          <w:rtl/>
          <w:lang w:bidi="fa-IR"/>
        </w:rPr>
        <w:t>،</w:t>
      </w:r>
      <w:r w:rsidRPr="00282AC9">
        <w:rPr>
          <w:rFonts w:ascii="Mosawi" w:hAnsi="Mosawi" w:hint="cs"/>
          <w:sz w:val="27"/>
          <w:rtl/>
          <w:lang w:bidi="fa-IR"/>
        </w:rPr>
        <w:t xml:space="preserve"> وكان المقصود من الشؤم الخوف من العاقبة</w:t>
      </w:r>
      <w:r w:rsidR="00F4069A" w:rsidRPr="00282AC9">
        <w:rPr>
          <w:rFonts w:ascii="Mosawi" w:hAnsi="Mosawi" w:hint="cs"/>
          <w:sz w:val="27"/>
          <w:rtl/>
          <w:lang w:bidi="fa-IR"/>
        </w:rPr>
        <w:t>،</w:t>
      </w:r>
      <w:r w:rsidRPr="00282AC9">
        <w:rPr>
          <w:rFonts w:ascii="Mosawi" w:hAnsi="Mosawi" w:hint="cs"/>
          <w:sz w:val="27"/>
          <w:rtl/>
          <w:lang w:bidi="fa-IR"/>
        </w:rPr>
        <w:t xml:space="preserve"> فلا نجد تعبيراً شنيعاً أيضاً في حقّ المرأة.</w:t>
      </w:r>
    </w:p>
    <w:p w:rsidR="008E0D6A" w:rsidRPr="00282AC9" w:rsidRDefault="008E0D6A" w:rsidP="008E0D6A">
      <w:pPr>
        <w:spacing w:line="420" w:lineRule="exact"/>
        <w:rPr>
          <w:sz w:val="27"/>
          <w:rtl/>
        </w:rPr>
      </w:pPr>
    </w:p>
    <w:p w:rsidR="00D86020" w:rsidRPr="00282AC9" w:rsidRDefault="00D86020" w:rsidP="00D86020">
      <w:pPr>
        <w:pStyle w:val="31"/>
        <w:rPr>
          <w:color w:val="auto"/>
        </w:rPr>
      </w:pPr>
      <w:r w:rsidRPr="00282AC9">
        <w:rPr>
          <w:rFonts w:hint="cs"/>
          <w:color w:val="auto"/>
          <w:rtl/>
        </w:rPr>
        <w:t xml:space="preserve">5ـ </w:t>
      </w:r>
      <w:r w:rsidRPr="00282AC9">
        <w:rPr>
          <w:color w:val="auto"/>
          <w:rtl/>
        </w:rPr>
        <w:t>«</w:t>
      </w:r>
      <w:r w:rsidRPr="00282AC9">
        <w:rPr>
          <w:rFonts w:hint="cs"/>
          <w:color w:val="auto"/>
          <w:rtl/>
        </w:rPr>
        <w:t xml:space="preserve">شؤم </w:t>
      </w:r>
      <w:r w:rsidRPr="00282AC9">
        <w:rPr>
          <w:color w:val="auto"/>
          <w:rtl/>
        </w:rPr>
        <w:t>المرأة</w:t>
      </w:r>
      <w:r w:rsidRPr="00282AC9">
        <w:rPr>
          <w:rFonts w:hint="cs"/>
          <w:color w:val="auto"/>
          <w:rtl/>
        </w:rPr>
        <w:t>...</w:t>
      </w:r>
      <w:r w:rsidRPr="00282AC9">
        <w:rPr>
          <w:color w:val="auto"/>
          <w:rtl/>
        </w:rPr>
        <w:t>ع</w:t>
      </w:r>
      <w:r w:rsidRPr="00282AC9">
        <w:rPr>
          <w:rFonts w:hint="cs"/>
          <w:color w:val="auto"/>
          <w:rtl/>
        </w:rPr>
        <w:t>ُ</w:t>
      </w:r>
      <w:r w:rsidRPr="00282AC9">
        <w:rPr>
          <w:color w:val="auto"/>
          <w:rtl/>
        </w:rPr>
        <w:t>س</w:t>
      </w:r>
      <w:r w:rsidRPr="00282AC9">
        <w:rPr>
          <w:rFonts w:hint="cs"/>
          <w:color w:val="auto"/>
          <w:rtl/>
        </w:rPr>
        <w:t>ْ</w:t>
      </w:r>
      <w:r w:rsidRPr="00282AC9">
        <w:rPr>
          <w:color w:val="auto"/>
          <w:rtl/>
        </w:rPr>
        <w:t>ر</w:t>
      </w:r>
      <w:r w:rsidRPr="00282AC9">
        <w:rPr>
          <w:rFonts w:hint="cs"/>
          <w:color w:val="auto"/>
          <w:rtl/>
        </w:rPr>
        <w:t>ُ</w:t>
      </w:r>
      <w:r w:rsidRPr="00282AC9">
        <w:rPr>
          <w:color w:val="auto"/>
          <w:rtl/>
        </w:rPr>
        <w:t xml:space="preserve"> ولادتها</w:t>
      </w:r>
      <w:r w:rsidRPr="00282AC9">
        <w:rPr>
          <w:rFonts w:hint="cs"/>
          <w:color w:val="auto"/>
          <w:rtl/>
        </w:rPr>
        <w:t>، و</w:t>
      </w:r>
      <w:r w:rsidRPr="00282AC9">
        <w:rPr>
          <w:color w:val="auto"/>
          <w:rtl/>
        </w:rPr>
        <w:t>بركة المرأة</w:t>
      </w:r>
      <w:r w:rsidRPr="00282AC9">
        <w:rPr>
          <w:rFonts w:hint="cs"/>
          <w:color w:val="auto"/>
          <w:rtl/>
        </w:rPr>
        <w:t>...</w:t>
      </w:r>
      <w:r w:rsidRPr="00282AC9">
        <w:rPr>
          <w:color w:val="auto"/>
          <w:rtl/>
        </w:rPr>
        <w:t>ي</w:t>
      </w:r>
      <w:r w:rsidRPr="00282AC9">
        <w:rPr>
          <w:rFonts w:hint="cs"/>
          <w:color w:val="auto"/>
          <w:rtl/>
        </w:rPr>
        <w:t>ُ</w:t>
      </w:r>
      <w:r w:rsidRPr="00282AC9">
        <w:rPr>
          <w:color w:val="auto"/>
          <w:rtl/>
        </w:rPr>
        <w:t>س</w:t>
      </w:r>
      <w:r w:rsidRPr="00282AC9">
        <w:rPr>
          <w:rFonts w:hint="cs"/>
          <w:color w:val="auto"/>
          <w:rtl/>
        </w:rPr>
        <w:t>ْ</w:t>
      </w:r>
      <w:r w:rsidRPr="00282AC9">
        <w:rPr>
          <w:color w:val="auto"/>
          <w:rtl/>
        </w:rPr>
        <w:t>ر ولادتها»</w:t>
      </w:r>
    </w:p>
    <w:p w:rsidR="001153F1" w:rsidRPr="00282AC9" w:rsidRDefault="00F4069A" w:rsidP="003E218F">
      <w:pPr>
        <w:pStyle w:val="afc"/>
        <w:rPr>
          <w:rFonts w:ascii="Cambria" w:hAnsi="Cambria" w:cs="AL-Mohanad"/>
          <w:i/>
          <w:sz w:val="27"/>
          <w:szCs w:val="27"/>
          <w:rtl/>
        </w:rPr>
      </w:pPr>
      <w:r w:rsidRPr="00282AC9">
        <w:rPr>
          <w:rFonts w:ascii="Cambria" w:hAnsi="Cambria" w:cs="AL-Mohanad" w:hint="cs"/>
          <w:sz w:val="27"/>
          <w:szCs w:val="27"/>
          <w:rtl/>
        </w:rPr>
        <w:t xml:space="preserve">وهي </w:t>
      </w:r>
      <w:r w:rsidR="001153F1" w:rsidRPr="00282AC9">
        <w:rPr>
          <w:rFonts w:ascii="Cambria" w:hAnsi="Cambria" w:cs="AL-Mohanad"/>
          <w:sz w:val="27"/>
          <w:szCs w:val="27"/>
          <w:rtl/>
        </w:rPr>
        <w:t>خبر عبد الله بن ميمون</w:t>
      </w:r>
      <w:r w:rsidRPr="00282AC9">
        <w:rPr>
          <w:rFonts w:ascii="Cambria" w:hAnsi="Cambria" w:cs="AL-Mohanad" w:hint="cs"/>
          <w:i/>
          <w:sz w:val="27"/>
          <w:szCs w:val="27"/>
          <w:rtl/>
        </w:rPr>
        <w:t>.</w:t>
      </w:r>
      <w:r w:rsidR="001153F1" w:rsidRPr="00282AC9">
        <w:rPr>
          <w:rFonts w:ascii="Cambria" w:hAnsi="Cambria" w:cs="AL-Mohanad" w:hint="cs"/>
          <w:i/>
          <w:sz w:val="27"/>
          <w:szCs w:val="27"/>
          <w:rtl/>
        </w:rPr>
        <w:t xml:space="preserve"> </w:t>
      </w:r>
      <w:r w:rsidRPr="00282AC9">
        <w:rPr>
          <w:rFonts w:ascii="Cambria" w:hAnsi="Cambria" w:cs="AL-Mohanad" w:hint="cs"/>
          <w:i/>
          <w:sz w:val="27"/>
          <w:szCs w:val="27"/>
          <w:rtl/>
        </w:rPr>
        <w:t xml:space="preserve">روى الصدوق، عن </w:t>
      </w:r>
      <w:r w:rsidR="001153F1" w:rsidRPr="00282AC9">
        <w:rPr>
          <w:rFonts w:cs="AL-Mohanad"/>
          <w:sz w:val="27"/>
          <w:szCs w:val="27"/>
          <w:rtl/>
        </w:rPr>
        <w:t>أبي</w:t>
      </w:r>
      <w:r w:rsidRPr="00282AC9">
        <w:rPr>
          <w:rFonts w:cs="AL-Mohanad" w:hint="cs"/>
          <w:sz w:val="27"/>
          <w:szCs w:val="27"/>
          <w:rtl/>
        </w:rPr>
        <w:t>ه</w:t>
      </w:r>
      <w:r w:rsidR="009A2A04" w:rsidRPr="00282AC9">
        <w:rPr>
          <w:rFonts w:cs="Mosawi"/>
          <w:sz w:val="22"/>
          <w:szCs w:val="22"/>
          <w:rtl/>
        </w:rPr>
        <w:t>&amp;</w:t>
      </w:r>
      <w:r w:rsidR="001153F1" w:rsidRPr="00282AC9">
        <w:rPr>
          <w:rFonts w:cs="AL-Mohanad"/>
          <w:sz w:val="27"/>
          <w:szCs w:val="27"/>
          <w:rtl/>
        </w:rPr>
        <w:t xml:space="preserve"> قال</w:t>
      </w:r>
      <w:r w:rsidRPr="00282AC9">
        <w:rPr>
          <w:rFonts w:cs="AL-Mohanad" w:hint="cs"/>
          <w:sz w:val="27"/>
          <w:szCs w:val="27"/>
          <w:rtl/>
        </w:rPr>
        <w:t>:</w:t>
      </w:r>
      <w:r w:rsidR="001153F1" w:rsidRPr="00282AC9">
        <w:rPr>
          <w:rFonts w:cs="AL-Mohanad"/>
          <w:sz w:val="27"/>
          <w:szCs w:val="27"/>
          <w:rtl/>
        </w:rPr>
        <w:t xml:space="preserve"> حد</w:t>
      </w:r>
      <w:r w:rsidRPr="00282AC9">
        <w:rPr>
          <w:rFonts w:cs="AL-Mohanad" w:hint="cs"/>
          <w:sz w:val="27"/>
          <w:szCs w:val="27"/>
          <w:rtl/>
        </w:rPr>
        <w:t>َّ</w:t>
      </w:r>
      <w:r w:rsidR="001153F1" w:rsidRPr="00282AC9">
        <w:rPr>
          <w:rFonts w:cs="AL-Mohanad"/>
          <w:sz w:val="27"/>
          <w:szCs w:val="27"/>
          <w:rtl/>
        </w:rPr>
        <w:t>ثنا علي</w:t>
      </w:r>
      <w:r w:rsidRPr="00282AC9">
        <w:rPr>
          <w:rFonts w:cs="AL-Mohanad" w:hint="cs"/>
          <w:sz w:val="27"/>
          <w:szCs w:val="27"/>
          <w:rtl/>
        </w:rPr>
        <w:t>ّ</w:t>
      </w:r>
      <w:r w:rsidR="001153F1" w:rsidRPr="00282AC9">
        <w:rPr>
          <w:rFonts w:cs="AL-Mohanad"/>
          <w:sz w:val="27"/>
          <w:szCs w:val="27"/>
          <w:rtl/>
        </w:rPr>
        <w:t xml:space="preserve"> بن إبراهيم بن هاشم</w:t>
      </w:r>
      <w:r w:rsidRPr="00282AC9">
        <w:rPr>
          <w:rFonts w:cs="AL-Mohanad" w:hint="cs"/>
          <w:sz w:val="27"/>
          <w:szCs w:val="27"/>
          <w:rtl/>
        </w:rPr>
        <w:t>،</w:t>
      </w:r>
      <w:r w:rsidR="001153F1" w:rsidRPr="00282AC9">
        <w:rPr>
          <w:rFonts w:cs="AL-Mohanad"/>
          <w:sz w:val="27"/>
          <w:szCs w:val="27"/>
          <w:rtl/>
        </w:rPr>
        <w:t xml:space="preserve"> عن أبيه</w:t>
      </w:r>
      <w:r w:rsidRPr="00282AC9">
        <w:rPr>
          <w:rFonts w:cs="AL-Mohanad" w:hint="cs"/>
          <w:sz w:val="27"/>
          <w:szCs w:val="27"/>
          <w:rtl/>
        </w:rPr>
        <w:t>،</w:t>
      </w:r>
      <w:r w:rsidR="001153F1" w:rsidRPr="00282AC9">
        <w:rPr>
          <w:rFonts w:cs="AL-Mohanad"/>
          <w:sz w:val="27"/>
          <w:szCs w:val="27"/>
          <w:rtl/>
        </w:rPr>
        <w:t xml:space="preserve"> عن عبد الله بن ميمون</w:t>
      </w:r>
      <w:r w:rsidRPr="00282AC9">
        <w:rPr>
          <w:rFonts w:cs="AL-Mohanad" w:hint="cs"/>
          <w:sz w:val="27"/>
          <w:szCs w:val="27"/>
          <w:rtl/>
        </w:rPr>
        <w:t>،</w:t>
      </w:r>
      <w:r w:rsidR="001153F1" w:rsidRPr="00282AC9">
        <w:rPr>
          <w:rFonts w:cs="AL-Mohanad"/>
          <w:sz w:val="27"/>
          <w:szCs w:val="27"/>
          <w:rtl/>
        </w:rPr>
        <w:t xml:space="preserve"> عن أبي عبد الله</w:t>
      </w:r>
      <w:r w:rsidR="009A2A04" w:rsidRPr="00282AC9">
        <w:rPr>
          <w:rFonts w:cs="Mosawi" w:hint="cs"/>
          <w:sz w:val="22"/>
          <w:szCs w:val="22"/>
          <w:rtl/>
        </w:rPr>
        <w:t>×</w:t>
      </w:r>
      <w:r w:rsidR="001153F1" w:rsidRPr="00282AC9">
        <w:rPr>
          <w:rFonts w:cs="AL-Mohanad"/>
          <w:sz w:val="27"/>
          <w:szCs w:val="27"/>
          <w:rtl/>
        </w:rPr>
        <w:t xml:space="preserve"> قال</w:t>
      </w:r>
      <w:r w:rsidRPr="00282AC9">
        <w:rPr>
          <w:rFonts w:cs="AL-Mohanad" w:hint="cs"/>
          <w:sz w:val="27"/>
          <w:szCs w:val="27"/>
          <w:rtl/>
        </w:rPr>
        <w:t>:</w:t>
      </w:r>
      <w:r w:rsidR="001153F1" w:rsidRPr="00282AC9">
        <w:rPr>
          <w:rFonts w:cs="AL-Mohanad"/>
          <w:sz w:val="27"/>
          <w:szCs w:val="27"/>
          <w:rtl/>
        </w:rPr>
        <w:t xml:space="preserve"> </w:t>
      </w:r>
      <w:r w:rsidR="00D86020" w:rsidRPr="00282AC9">
        <w:rPr>
          <w:rFonts w:ascii="Mosawi" w:hAnsi="Mosawi" w:cs="AL-Mohanad"/>
          <w:rtl/>
        </w:rPr>
        <w:t>«</w:t>
      </w:r>
      <w:r w:rsidR="001153F1" w:rsidRPr="00282AC9">
        <w:rPr>
          <w:rFonts w:cs="AL-Mohanad"/>
          <w:sz w:val="27"/>
          <w:szCs w:val="27"/>
          <w:rtl/>
        </w:rPr>
        <w:t>قال رسول الله</w:t>
      </w:r>
      <w:r w:rsidR="009A2A04" w:rsidRPr="00282AC9">
        <w:rPr>
          <w:rFonts w:cs="Mosawi"/>
          <w:sz w:val="22"/>
          <w:szCs w:val="22"/>
          <w:rtl/>
        </w:rPr>
        <w:t>|</w:t>
      </w:r>
      <w:r w:rsidRPr="00282AC9">
        <w:rPr>
          <w:rFonts w:cs="AL-Mohanad" w:hint="cs"/>
          <w:sz w:val="27"/>
          <w:szCs w:val="27"/>
          <w:rtl/>
        </w:rPr>
        <w:t xml:space="preserve">: </w:t>
      </w:r>
      <w:r w:rsidR="001153F1" w:rsidRPr="00282AC9">
        <w:rPr>
          <w:rFonts w:cs="AL-Mohanad"/>
          <w:sz w:val="27"/>
          <w:szCs w:val="27"/>
          <w:rtl/>
        </w:rPr>
        <w:t>الشؤم في ثلاثة أشياء</w:t>
      </w:r>
      <w:r w:rsidR="008D0736" w:rsidRPr="00282AC9">
        <w:rPr>
          <w:rFonts w:cs="AL-Mohanad" w:hint="cs"/>
          <w:sz w:val="27"/>
          <w:szCs w:val="27"/>
          <w:rtl/>
        </w:rPr>
        <w:t>:</w:t>
      </w:r>
      <w:r w:rsidR="001153F1" w:rsidRPr="00282AC9">
        <w:rPr>
          <w:rFonts w:cs="AL-Mohanad"/>
          <w:sz w:val="27"/>
          <w:szCs w:val="27"/>
          <w:rtl/>
        </w:rPr>
        <w:t xml:space="preserve"> في الداب</w:t>
      </w:r>
      <w:r w:rsidR="008D0736" w:rsidRPr="00282AC9">
        <w:rPr>
          <w:rFonts w:cs="AL-Mohanad" w:hint="cs"/>
          <w:sz w:val="27"/>
          <w:szCs w:val="27"/>
          <w:rtl/>
        </w:rPr>
        <w:t>ّ</w:t>
      </w:r>
      <w:r w:rsidR="001153F1" w:rsidRPr="00282AC9">
        <w:rPr>
          <w:rFonts w:cs="AL-Mohanad"/>
          <w:sz w:val="27"/>
          <w:szCs w:val="27"/>
          <w:rtl/>
        </w:rPr>
        <w:t>ة</w:t>
      </w:r>
      <w:r w:rsidR="008D0736" w:rsidRPr="00282AC9">
        <w:rPr>
          <w:rFonts w:cs="AL-Mohanad" w:hint="cs"/>
          <w:sz w:val="27"/>
          <w:szCs w:val="27"/>
          <w:rtl/>
        </w:rPr>
        <w:t>؛</w:t>
      </w:r>
      <w:r w:rsidR="001153F1" w:rsidRPr="00282AC9">
        <w:rPr>
          <w:rFonts w:cs="AL-Mohanad"/>
          <w:sz w:val="27"/>
          <w:szCs w:val="27"/>
          <w:rtl/>
        </w:rPr>
        <w:t xml:space="preserve"> والمرأة</w:t>
      </w:r>
      <w:r w:rsidR="008D0736" w:rsidRPr="00282AC9">
        <w:rPr>
          <w:rFonts w:cs="AL-Mohanad" w:hint="cs"/>
          <w:sz w:val="27"/>
          <w:szCs w:val="27"/>
          <w:rtl/>
        </w:rPr>
        <w:t>؛</w:t>
      </w:r>
      <w:r w:rsidR="001153F1" w:rsidRPr="00282AC9">
        <w:rPr>
          <w:rFonts w:cs="AL-Mohanad"/>
          <w:sz w:val="27"/>
          <w:szCs w:val="27"/>
          <w:rtl/>
        </w:rPr>
        <w:t xml:space="preserve"> والدار</w:t>
      </w:r>
      <w:r w:rsidR="008D0736" w:rsidRPr="00282AC9">
        <w:rPr>
          <w:rFonts w:cs="AL-Mohanad" w:hint="cs"/>
          <w:sz w:val="27"/>
          <w:szCs w:val="27"/>
          <w:rtl/>
        </w:rPr>
        <w:t>.</w:t>
      </w:r>
      <w:r w:rsidR="001153F1" w:rsidRPr="00282AC9">
        <w:rPr>
          <w:rFonts w:cs="AL-Mohanad"/>
          <w:sz w:val="27"/>
          <w:szCs w:val="27"/>
          <w:rtl/>
        </w:rPr>
        <w:t xml:space="preserve"> فأما المرأة فشؤم</w:t>
      </w:r>
      <w:r w:rsidR="008D0736" w:rsidRPr="00282AC9">
        <w:rPr>
          <w:rFonts w:cs="AL-Mohanad" w:hint="cs"/>
          <w:sz w:val="27"/>
          <w:szCs w:val="27"/>
          <w:rtl/>
        </w:rPr>
        <w:t>ُ</w:t>
      </w:r>
      <w:r w:rsidR="001153F1" w:rsidRPr="00282AC9">
        <w:rPr>
          <w:rFonts w:cs="AL-Mohanad"/>
          <w:sz w:val="27"/>
          <w:szCs w:val="27"/>
          <w:rtl/>
        </w:rPr>
        <w:t xml:space="preserve">ها </w:t>
      </w:r>
      <w:r w:rsidR="001153F1" w:rsidRPr="00282AC9">
        <w:rPr>
          <w:rFonts w:cs="AL-Mohanad"/>
          <w:sz w:val="27"/>
          <w:szCs w:val="27"/>
          <w:rtl/>
        </w:rPr>
        <w:lastRenderedPageBreak/>
        <w:t>غلاء</w:t>
      </w:r>
      <w:r w:rsidR="008D0736" w:rsidRPr="00282AC9">
        <w:rPr>
          <w:rFonts w:cs="AL-Mohanad" w:hint="cs"/>
          <w:sz w:val="27"/>
          <w:szCs w:val="27"/>
          <w:rtl/>
        </w:rPr>
        <w:t>ُ</w:t>
      </w:r>
      <w:r w:rsidR="001153F1" w:rsidRPr="00282AC9">
        <w:rPr>
          <w:rFonts w:cs="AL-Mohanad"/>
          <w:sz w:val="27"/>
          <w:szCs w:val="27"/>
          <w:rtl/>
        </w:rPr>
        <w:t xml:space="preserve"> م</w:t>
      </w:r>
      <w:r w:rsidR="008D0736" w:rsidRPr="00282AC9">
        <w:rPr>
          <w:rFonts w:cs="AL-Mohanad" w:hint="cs"/>
          <w:sz w:val="27"/>
          <w:szCs w:val="27"/>
          <w:rtl/>
        </w:rPr>
        <w:t>َ</w:t>
      </w:r>
      <w:r w:rsidR="001153F1" w:rsidRPr="00282AC9">
        <w:rPr>
          <w:rFonts w:cs="AL-Mohanad"/>
          <w:sz w:val="27"/>
          <w:szCs w:val="27"/>
          <w:rtl/>
        </w:rPr>
        <w:t>ه</w:t>
      </w:r>
      <w:r w:rsidR="008D0736" w:rsidRPr="00282AC9">
        <w:rPr>
          <w:rFonts w:cs="AL-Mohanad" w:hint="cs"/>
          <w:sz w:val="27"/>
          <w:szCs w:val="27"/>
          <w:rtl/>
        </w:rPr>
        <w:t>ْ</w:t>
      </w:r>
      <w:r w:rsidR="001153F1" w:rsidRPr="00282AC9">
        <w:rPr>
          <w:rFonts w:cs="AL-Mohanad"/>
          <w:sz w:val="27"/>
          <w:szCs w:val="27"/>
          <w:rtl/>
        </w:rPr>
        <w:t>رها وع</w:t>
      </w:r>
      <w:r w:rsidR="008D0736" w:rsidRPr="00282AC9">
        <w:rPr>
          <w:rFonts w:cs="AL-Mohanad" w:hint="cs"/>
          <w:sz w:val="27"/>
          <w:szCs w:val="27"/>
          <w:rtl/>
        </w:rPr>
        <w:t>ُ</w:t>
      </w:r>
      <w:r w:rsidR="001153F1" w:rsidRPr="00282AC9">
        <w:rPr>
          <w:rFonts w:cs="AL-Mohanad"/>
          <w:sz w:val="27"/>
          <w:szCs w:val="27"/>
          <w:rtl/>
        </w:rPr>
        <w:t>س</w:t>
      </w:r>
      <w:r w:rsidR="008D0736" w:rsidRPr="00282AC9">
        <w:rPr>
          <w:rFonts w:cs="AL-Mohanad" w:hint="cs"/>
          <w:sz w:val="27"/>
          <w:szCs w:val="27"/>
          <w:rtl/>
        </w:rPr>
        <w:t>ْ</w:t>
      </w:r>
      <w:r w:rsidR="001153F1" w:rsidRPr="00282AC9">
        <w:rPr>
          <w:rFonts w:cs="AL-Mohanad"/>
          <w:sz w:val="27"/>
          <w:szCs w:val="27"/>
          <w:rtl/>
        </w:rPr>
        <w:t>ر</w:t>
      </w:r>
      <w:r w:rsidR="008D0736" w:rsidRPr="00282AC9">
        <w:rPr>
          <w:rFonts w:cs="AL-Mohanad" w:hint="cs"/>
          <w:sz w:val="27"/>
          <w:szCs w:val="27"/>
          <w:rtl/>
        </w:rPr>
        <w:t>ُ</w:t>
      </w:r>
      <w:r w:rsidR="001153F1" w:rsidRPr="00282AC9">
        <w:rPr>
          <w:rFonts w:cs="AL-Mohanad"/>
          <w:sz w:val="27"/>
          <w:szCs w:val="27"/>
          <w:rtl/>
        </w:rPr>
        <w:t xml:space="preserve"> ولادتها</w:t>
      </w:r>
      <w:r w:rsidR="008D0736" w:rsidRPr="00282AC9">
        <w:rPr>
          <w:rFonts w:cs="AL-Mohanad" w:hint="cs"/>
          <w:sz w:val="27"/>
          <w:szCs w:val="27"/>
          <w:rtl/>
        </w:rPr>
        <w:t>؛</w:t>
      </w:r>
      <w:r w:rsidR="001153F1" w:rsidRPr="00282AC9">
        <w:rPr>
          <w:rFonts w:cs="AL-Mohanad"/>
          <w:sz w:val="27"/>
          <w:szCs w:val="27"/>
          <w:rtl/>
        </w:rPr>
        <w:t xml:space="preserve"> وأما الداب</w:t>
      </w:r>
      <w:r w:rsidR="008D0736" w:rsidRPr="00282AC9">
        <w:rPr>
          <w:rFonts w:cs="AL-Mohanad" w:hint="cs"/>
          <w:sz w:val="27"/>
          <w:szCs w:val="27"/>
          <w:rtl/>
        </w:rPr>
        <w:t>ّ</w:t>
      </w:r>
      <w:r w:rsidR="001153F1" w:rsidRPr="00282AC9">
        <w:rPr>
          <w:rFonts w:cs="AL-Mohanad"/>
          <w:sz w:val="27"/>
          <w:szCs w:val="27"/>
          <w:rtl/>
        </w:rPr>
        <w:t>ة فشؤم</w:t>
      </w:r>
      <w:r w:rsidR="008D0736" w:rsidRPr="00282AC9">
        <w:rPr>
          <w:rFonts w:cs="AL-Mohanad" w:hint="cs"/>
          <w:sz w:val="27"/>
          <w:szCs w:val="27"/>
          <w:rtl/>
        </w:rPr>
        <w:t>ُ</w:t>
      </w:r>
      <w:r w:rsidR="001153F1" w:rsidRPr="00282AC9">
        <w:rPr>
          <w:rFonts w:cs="AL-Mohanad"/>
          <w:sz w:val="27"/>
          <w:szCs w:val="27"/>
          <w:rtl/>
        </w:rPr>
        <w:t>ها كثرة</w:t>
      </w:r>
      <w:r w:rsidR="008D0736" w:rsidRPr="00282AC9">
        <w:rPr>
          <w:rFonts w:cs="AL-Mohanad" w:hint="cs"/>
          <w:sz w:val="27"/>
          <w:szCs w:val="27"/>
          <w:rtl/>
        </w:rPr>
        <w:t>ُ</w:t>
      </w:r>
      <w:r w:rsidR="001153F1" w:rsidRPr="00282AC9">
        <w:rPr>
          <w:rFonts w:cs="AL-Mohanad"/>
          <w:sz w:val="27"/>
          <w:szCs w:val="27"/>
          <w:rtl/>
        </w:rPr>
        <w:t xml:space="preserve"> ع</w:t>
      </w:r>
      <w:r w:rsidR="008D0736" w:rsidRPr="00282AC9">
        <w:rPr>
          <w:rFonts w:cs="AL-Mohanad" w:hint="cs"/>
          <w:sz w:val="27"/>
          <w:szCs w:val="27"/>
          <w:rtl/>
        </w:rPr>
        <w:t>ِ</w:t>
      </w:r>
      <w:r w:rsidR="001153F1" w:rsidRPr="00282AC9">
        <w:rPr>
          <w:rFonts w:cs="AL-Mohanad"/>
          <w:sz w:val="27"/>
          <w:szCs w:val="27"/>
          <w:rtl/>
        </w:rPr>
        <w:t>ل</w:t>
      </w:r>
      <w:r w:rsidR="008D0736" w:rsidRPr="00282AC9">
        <w:rPr>
          <w:rFonts w:cs="AL-Mohanad" w:hint="cs"/>
          <w:sz w:val="27"/>
          <w:szCs w:val="27"/>
          <w:rtl/>
        </w:rPr>
        <w:t>َ</w:t>
      </w:r>
      <w:r w:rsidR="001153F1" w:rsidRPr="00282AC9">
        <w:rPr>
          <w:rFonts w:cs="AL-Mohanad"/>
          <w:sz w:val="27"/>
          <w:szCs w:val="27"/>
          <w:rtl/>
        </w:rPr>
        <w:t>لها وسوء</w:t>
      </w:r>
      <w:r w:rsidR="008D0736" w:rsidRPr="00282AC9">
        <w:rPr>
          <w:rFonts w:cs="AL-Mohanad" w:hint="cs"/>
          <w:sz w:val="27"/>
          <w:szCs w:val="27"/>
          <w:rtl/>
        </w:rPr>
        <w:t>ُ</w:t>
      </w:r>
      <w:r w:rsidR="001153F1" w:rsidRPr="00282AC9">
        <w:rPr>
          <w:rFonts w:cs="AL-Mohanad"/>
          <w:sz w:val="27"/>
          <w:szCs w:val="27"/>
          <w:rtl/>
        </w:rPr>
        <w:t xml:space="preserve"> خ</w:t>
      </w:r>
      <w:r w:rsidR="008D0736" w:rsidRPr="00282AC9">
        <w:rPr>
          <w:rFonts w:cs="AL-Mohanad" w:hint="cs"/>
          <w:sz w:val="27"/>
          <w:szCs w:val="27"/>
          <w:rtl/>
        </w:rPr>
        <w:t>ُ</w:t>
      </w:r>
      <w:r w:rsidR="001153F1" w:rsidRPr="00282AC9">
        <w:rPr>
          <w:rFonts w:cs="AL-Mohanad"/>
          <w:sz w:val="27"/>
          <w:szCs w:val="27"/>
          <w:rtl/>
        </w:rPr>
        <w:t>ل</w:t>
      </w:r>
      <w:r w:rsidR="008D0736" w:rsidRPr="00282AC9">
        <w:rPr>
          <w:rFonts w:cs="AL-Mohanad" w:hint="cs"/>
          <w:sz w:val="27"/>
          <w:szCs w:val="27"/>
          <w:rtl/>
        </w:rPr>
        <w:t>ُ</w:t>
      </w:r>
      <w:r w:rsidR="001153F1" w:rsidRPr="00282AC9">
        <w:rPr>
          <w:rFonts w:cs="AL-Mohanad"/>
          <w:sz w:val="27"/>
          <w:szCs w:val="27"/>
          <w:rtl/>
        </w:rPr>
        <w:t>قها</w:t>
      </w:r>
      <w:r w:rsidR="008D0736" w:rsidRPr="00282AC9">
        <w:rPr>
          <w:rFonts w:cs="AL-Mohanad" w:hint="cs"/>
          <w:sz w:val="27"/>
          <w:szCs w:val="27"/>
          <w:rtl/>
        </w:rPr>
        <w:t>؛</w:t>
      </w:r>
      <w:r w:rsidR="001153F1" w:rsidRPr="00282AC9">
        <w:rPr>
          <w:rFonts w:cs="AL-Mohanad"/>
          <w:sz w:val="27"/>
          <w:szCs w:val="27"/>
          <w:rtl/>
        </w:rPr>
        <w:t xml:space="preserve"> وأما الدار فشؤم</w:t>
      </w:r>
      <w:r w:rsidR="008D0736" w:rsidRPr="00282AC9">
        <w:rPr>
          <w:rFonts w:cs="AL-Mohanad" w:hint="cs"/>
          <w:sz w:val="27"/>
          <w:szCs w:val="27"/>
          <w:rtl/>
        </w:rPr>
        <w:t>ُ</w:t>
      </w:r>
      <w:r w:rsidR="001153F1" w:rsidRPr="00282AC9">
        <w:rPr>
          <w:rFonts w:cs="AL-Mohanad"/>
          <w:sz w:val="27"/>
          <w:szCs w:val="27"/>
          <w:rtl/>
        </w:rPr>
        <w:t>ها ضيق</w:t>
      </w:r>
      <w:r w:rsidR="008D0736" w:rsidRPr="00282AC9">
        <w:rPr>
          <w:rFonts w:cs="AL-Mohanad" w:hint="cs"/>
          <w:sz w:val="27"/>
          <w:szCs w:val="27"/>
          <w:rtl/>
        </w:rPr>
        <w:t>ُ</w:t>
      </w:r>
      <w:r w:rsidR="001153F1" w:rsidRPr="00282AC9">
        <w:rPr>
          <w:rFonts w:cs="AL-Mohanad"/>
          <w:sz w:val="27"/>
          <w:szCs w:val="27"/>
          <w:rtl/>
        </w:rPr>
        <w:t>ها وخبث</w:t>
      </w:r>
      <w:r w:rsidR="008D0736" w:rsidRPr="00282AC9">
        <w:rPr>
          <w:rFonts w:cs="AL-Mohanad" w:hint="cs"/>
          <w:sz w:val="27"/>
          <w:szCs w:val="27"/>
          <w:rtl/>
        </w:rPr>
        <w:t>ُ</w:t>
      </w:r>
      <w:r w:rsidR="001153F1" w:rsidRPr="00282AC9">
        <w:rPr>
          <w:rFonts w:cs="AL-Mohanad"/>
          <w:sz w:val="27"/>
          <w:szCs w:val="27"/>
          <w:rtl/>
        </w:rPr>
        <w:t xml:space="preserve"> جيرانها</w:t>
      </w:r>
      <w:r w:rsidR="008D0736" w:rsidRPr="00282AC9">
        <w:rPr>
          <w:rFonts w:ascii="Mosawi" w:hAnsi="Mosawi" w:cs="AL-Mohanad"/>
          <w:rtl/>
        </w:rPr>
        <w:t>»</w:t>
      </w:r>
      <w:r w:rsidR="008D0736" w:rsidRPr="00282AC9">
        <w:rPr>
          <w:rFonts w:cs="AL-Mohanad" w:hint="cs"/>
          <w:sz w:val="27"/>
          <w:szCs w:val="27"/>
          <w:rtl/>
        </w:rPr>
        <w:t>.</w:t>
      </w:r>
      <w:r w:rsidR="001153F1" w:rsidRPr="00282AC9">
        <w:rPr>
          <w:rFonts w:cs="AL-Mohanad"/>
          <w:sz w:val="27"/>
          <w:szCs w:val="27"/>
          <w:rtl/>
        </w:rPr>
        <w:t xml:space="preserve"> وقال</w:t>
      </w:r>
      <w:r w:rsidR="008D0736" w:rsidRPr="00282AC9">
        <w:rPr>
          <w:rFonts w:cs="AL-Mohanad" w:hint="cs"/>
          <w:sz w:val="27"/>
          <w:szCs w:val="27"/>
          <w:rtl/>
        </w:rPr>
        <w:t>:</w:t>
      </w:r>
      <w:r w:rsidR="001153F1" w:rsidRPr="00282AC9">
        <w:rPr>
          <w:rFonts w:cs="AL-Mohanad"/>
          <w:sz w:val="27"/>
          <w:szCs w:val="27"/>
          <w:rtl/>
        </w:rPr>
        <w:t xml:space="preserve"> </w:t>
      </w:r>
      <w:r w:rsidR="008D0736" w:rsidRPr="00282AC9">
        <w:rPr>
          <w:rFonts w:ascii="Mosawi" w:hAnsi="Mosawi" w:cs="AL-Mohanad"/>
          <w:rtl/>
        </w:rPr>
        <w:t>«</w:t>
      </w:r>
      <w:r w:rsidR="001153F1" w:rsidRPr="00282AC9">
        <w:rPr>
          <w:rFonts w:cs="AL-Mohanad"/>
          <w:sz w:val="27"/>
          <w:szCs w:val="27"/>
          <w:rtl/>
        </w:rPr>
        <w:t>من بركة المرأة خف</w:t>
      </w:r>
      <w:r w:rsidR="008D0736" w:rsidRPr="00282AC9">
        <w:rPr>
          <w:rFonts w:cs="AL-Mohanad" w:hint="cs"/>
          <w:sz w:val="27"/>
          <w:szCs w:val="27"/>
          <w:rtl/>
        </w:rPr>
        <w:t>ّ</w:t>
      </w:r>
      <w:r w:rsidR="001153F1" w:rsidRPr="00282AC9">
        <w:rPr>
          <w:rFonts w:cs="AL-Mohanad"/>
          <w:sz w:val="27"/>
          <w:szCs w:val="27"/>
          <w:rtl/>
        </w:rPr>
        <w:t>ة م</w:t>
      </w:r>
      <w:r w:rsidR="008D0736" w:rsidRPr="00282AC9">
        <w:rPr>
          <w:rFonts w:cs="AL-Mohanad" w:hint="cs"/>
          <w:sz w:val="27"/>
          <w:szCs w:val="27"/>
          <w:rtl/>
        </w:rPr>
        <w:t>ؤ</w:t>
      </w:r>
      <w:r w:rsidR="001153F1" w:rsidRPr="00282AC9">
        <w:rPr>
          <w:rFonts w:cs="AL-Mohanad"/>
          <w:sz w:val="27"/>
          <w:szCs w:val="27"/>
          <w:rtl/>
        </w:rPr>
        <w:t>ونتها</w:t>
      </w:r>
      <w:r w:rsidR="008D0736" w:rsidRPr="00282AC9">
        <w:rPr>
          <w:rFonts w:cs="AL-Mohanad" w:hint="cs"/>
          <w:sz w:val="27"/>
          <w:szCs w:val="27"/>
          <w:rtl/>
        </w:rPr>
        <w:t>،</w:t>
      </w:r>
      <w:r w:rsidR="001153F1" w:rsidRPr="00282AC9">
        <w:rPr>
          <w:rFonts w:cs="AL-Mohanad"/>
          <w:sz w:val="27"/>
          <w:szCs w:val="27"/>
          <w:rtl/>
        </w:rPr>
        <w:t xml:space="preserve"> وي</w:t>
      </w:r>
      <w:r w:rsidR="008D0736" w:rsidRPr="00282AC9">
        <w:rPr>
          <w:rFonts w:cs="AL-Mohanad" w:hint="cs"/>
          <w:sz w:val="27"/>
          <w:szCs w:val="27"/>
          <w:rtl/>
        </w:rPr>
        <w:t>ُ</w:t>
      </w:r>
      <w:r w:rsidR="001153F1" w:rsidRPr="00282AC9">
        <w:rPr>
          <w:rFonts w:cs="AL-Mohanad"/>
          <w:sz w:val="27"/>
          <w:szCs w:val="27"/>
          <w:rtl/>
        </w:rPr>
        <w:t>س</w:t>
      </w:r>
      <w:r w:rsidR="008D0736" w:rsidRPr="00282AC9">
        <w:rPr>
          <w:rFonts w:cs="AL-Mohanad" w:hint="cs"/>
          <w:sz w:val="27"/>
          <w:szCs w:val="27"/>
          <w:rtl/>
        </w:rPr>
        <w:t>ْ</w:t>
      </w:r>
      <w:r w:rsidR="001153F1" w:rsidRPr="00282AC9">
        <w:rPr>
          <w:rFonts w:cs="AL-Mohanad"/>
          <w:sz w:val="27"/>
          <w:szCs w:val="27"/>
          <w:rtl/>
        </w:rPr>
        <w:t>ر ولادتها</w:t>
      </w:r>
      <w:r w:rsidR="008D0736" w:rsidRPr="00282AC9">
        <w:rPr>
          <w:rFonts w:cs="AL-Mohanad" w:hint="cs"/>
          <w:sz w:val="27"/>
          <w:szCs w:val="27"/>
          <w:rtl/>
        </w:rPr>
        <w:t>؛</w:t>
      </w:r>
      <w:r w:rsidR="001153F1" w:rsidRPr="00282AC9">
        <w:rPr>
          <w:rFonts w:cs="AL-Mohanad"/>
          <w:sz w:val="27"/>
          <w:szCs w:val="27"/>
          <w:rtl/>
        </w:rPr>
        <w:t xml:space="preserve"> و[من‏] شؤمها شد</w:t>
      </w:r>
      <w:r w:rsidR="008D0736" w:rsidRPr="00282AC9">
        <w:rPr>
          <w:rFonts w:cs="AL-Mohanad" w:hint="cs"/>
          <w:sz w:val="27"/>
          <w:szCs w:val="27"/>
          <w:rtl/>
        </w:rPr>
        <w:t>ّ</w:t>
      </w:r>
      <w:r w:rsidR="001153F1" w:rsidRPr="00282AC9">
        <w:rPr>
          <w:rFonts w:cs="AL-Mohanad"/>
          <w:sz w:val="27"/>
          <w:szCs w:val="27"/>
          <w:rtl/>
        </w:rPr>
        <w:t>ة م</w:t>
      </w:r>
      <w:r w:rsidR="008D0736" w:rsidRPr="00282AC9">
        <w:rPr>
          <w:rFonts w:cs="AL-Mohanad" w:hint="cs"/>
          <w:sz w:val="27"/>
          <w:szCs w:val="27"/>
          <w:rtl/>
        </w:rPr>
        <w:t>ؤ</w:t>
      </w:r>
      <w:r w:rsidR="001153F1" w:rsidRPr="00282AC9">
        <w:rPr>
          <w:rFonts w:cs="AL-Mohanad"/>
          <w:sz w:val="27"/>
          <w:szCs w:val="27"/>
          <w:rtl/>
        </w:rPr>
        <w:t>ونتها</w:t>
      </w:r>
      <w:r w:rsidR="008D0736" w:rsidRPr="00282AC9">
        <w:rPr>
          <w:rFonts w:cs="AL-Mohanad" w:hint="cs"/>
          <w:sz w:val="27"/>
          <w:szCs w:val="27"/>
          <w:rtl/>
        </w:rPr>
        <w:t>،</w:t>
      </w:r>
      <w:r w:rsidR="001153F1" w:rsidRPr="00282AC9">
        <w:rPr>
          <w:rFonts w:cs="AL-Mohanad"/>
          <w:sz w:val="27"/>
          <w:szCs w:val="27"/>
          <w:rtl/>
        </w:rPr>
        <w:t xml:space="preserve"> وتعس</w:t>
      </w:r>
      <w:r w:rsidR="008D0736" w:rsidRPr="00282AC9">
        <w:rPr>
          <w:rFonts w:cs="AL-Mohanad" w:hint="cs"/>
          <w:sz w:val="27"/>
          <w:szCs w:val="27"/>
          <w:rtl/>
        </w:rPr>
        <w:t>ُّ</w:t>
      </w:r>
      <w:r w:rsidR="001153F1" w:rsidRPr="00282AC9">
        <w:rPr>
          <w:rFonts w:cs="AL-Mohanad"/>
          <w:sz w:val="27"/>
          <w:szCs w:val="27"/>
          <w:rtl/>
        </w:rPr>
        <w:t>ر ولادتها</w:t>
      </w:r>
      <w:r w:rsidR="008D0736" w:rsidRPr="00282AC9">
        <w:rPr>
          <w:rFonts w:ascii="Mosawi" w:hAnsi="Mosawi" w:cs="AL-Mohanad"/>
          <w:rtl/>
        </w:rPr>
        <w:t>»</w:t>
      </w:r>
      <w:r w:rsidR="001153F1" w:rsidRPr="00282AC9">
        <w:rPr>
          <w:rFonts w:ascii="Mosawi" w:hAnsi="Mosawi" w:cs="AL-Mohanad"/>
          <w:sz w:val="27"/>
          <w:szCs w:val="27"/>
          <w:vertAlign w:val="superscript"/>
          <w:rtl/>
          <w:lang w:bidi="fa-IR"/>
        </w:rPr>
        <w:t>(</w:t>
      </w:r>
      <w:r w:rsidR="001153F1" w:rsidRPr="00282AC9">
        <w:rPr>
          <w:rStyle w:val="af9"/>
          <w:rFonts w:ascii="Mosawi" w:eastAsiaTheme="majorEastAsia" w:hAnsi="Mosawi" w:cs="AL-Mohanad"/>
          <w:sz w:val="27"/>
          <w:szCs w:val="27"/>
          <w:rtl/>
          <w:lang w:bidi="fa-IR"/>
        </w:rPr>
        <w:endnoteReference w:id="665"/>
      </w:r>
      <w:r w:rsidR="001153F1" w:rsidRPr="00282AC9">
        <w:rPr>
          <w:rFonts w:ascii="Mosawi" w:hAnsi="Mosawi" w:cs="AL-Mohanad"/>
          <w:sz w:val="27"/>
          <w:szCs w:val="27"/>
          <w:vertAlign w:val="superscript"/>
          <w:rtl/>
          <w:lang w:bidi="fa-IR"/>
        </w:rPr>
        <w:t>)</w:t>
      </w:r>
      <w:r w:rsidR="001153F1" w:rsidRPr="00282AC9">
        <w:rPr>
          <w:rFonts w:ascii="Mosawi" w:hAnsi="Mosawi" w:cs="AL-Mohanad"/>
          <w:sz w:val="27"/>
          <w:szCs w:val="27"/>
          <w:rtl/>
          <w:lang w:bidi="fa-IR"/>
        </w:rPr>
        <w:t>.</w:t>
      </w:r>
    </w:p>
    <w:p w:rsidR="001153F1" w:rsidRPr="00282AC9" w:rsidRDefault="001153F1" w:rsidP="008E0D6A">
      <w:pPr>
        <w:spacing w:line="390" w:lineRule="exact"/>
        <w:rPr>
          <w:b/>
          <w:bCs/>
          <w:rtl/>
          <w:lang w:bidi="fa-IR"/>
        </w:rPr>
      </w:pPr>
      <w:r w:rsidRPr="00282AC9">
        <w:rPr>
          <w:rFonts w:hint="cs"/>
          <w:b/>
          <w:bCs/>
          <w:rtl/>
          <w:lang w:bidi="fa-IR"/>
        </w:rPr>
        <w:t>أـ الدراسة السندي</w:t>
      </w:r>
      <w:r w:rsidR="008D0736" w:rsidRPr="00282AC9">
        <w:rPr>
          <w:rFonts w:hint="cs"/>
          <w:b/>
          <w:bCs/>
          <w:rtl/>
          <w:lang w:bidi="fa-IR"/>
        </w:rPr>
        <w:t>ّ</w:t>
      </w:r>
      <w:r w:rsidRPr="00282AC9">
        <w:rPr>
          <w:rFonts w:hint="cs"/>
          <w:b/>
          <w:bCs/>
          <w:rtl/>
          <w:lang w:bidi="fa-IR"/>
        </w:rPr>
        <w:t>ة</w:t>
      </w:r>
      <w:r w:rsidR="00D86020" w:rsidRPr="00282AC9">
        <w:rPr>
          <w:rFonts w:ascii="Cambria" w:hAnsi="Cambria" w:hint="cs"/>
          <w:sz w:val="27"/>
          <w:rtl/>
          <w:lang w:bidi="fa-IR"/>
        </w:rPr>
        <w:t xml:space="preserve">: </w:t>
      </w:r>
      <w:r w:rsidRPr="00282AC9">
        <w:rPr>
          <w:rFonts w:ascii="Cambria" w:hAnsi="Cambria" w:hint="cs"/>
          <w:sz w:val="27"/>
          <w:rtl/>
          <w:lang w:bidi="fa-IR"/>
        </w:rPr>
        <w:t>سند هذه الرواية</w:t>
      </w:r>
      <w:r w:rsidR="008D0736" w:rsidRPr="00282AC9">
        <w:rPr>
          <w:rFonts w:ascii="Cambria" w:hAnsi="Cambria" w:hint="cs"/>
          <w:sz w:val="27"/>
          <w:rtl/>
          <w:lang w:bidi="fa-IR"/>
        </w:rPr>
        <w:t>،</w:t>
      </w:r>
      <w:r w:rsidRPr="00282AC9">
        <w:rPr>
          <w:rFonts w:ascii="Cambria" w:hAnsi="Cambria" w:hint="cs"/>
          <w:sz w:val="27"/>
          <w:rtl/>
          <w:lang w:bidi="fa-IR"/>
        </w:rPr>
        <w:t xml:space="preserve"> بغض</w:t>
      </w:r>
      <w:r w:rsidR="008D0736" w:rsidRPr="00282AC9">
        <w:rPr>
          <w:rFonts w:ascii="Cambria" w:hAnsi="Cambria" w:hint="cs"/>
          <w:sz w:val="27"/>
          <w:rtl/>
          <w:lang w:bidi="fa-IR"/>
        </w:rPr>
        <w:t>ّ</w:t>
      </w:r>
      <w:r w:rsidRPr="00282AC9">
        <w:rPr>
          <w:rFonts w:ascii="Cambria" w:hAnsi="Cambria" w:hint="cs"/>
          <w:sz w:val="27"/>
          <w:rtl/>
          <w:lang w:bidi="fa-IR"/>
        </w:rPr>
        <w:t xml:space="preserve"> النظر عن إبراهيم بن هاشم، سند</w:t>
      </w:r>
      <w:r w:rsidR="008D0736" w:rsidRPr="00282AC9">
        <w:rPr>
          <w:rFonts w:ascii="Cambria" w:hAnsi="Cambria" w:hint="cs"/>
          <w:sz w:val="27"/>
          <w:rtl/>
          <w:lang w:bidi="fa-IR"/>
        </w:rPr>
        <w:t>ٌ</w:t>
      </w:r>
      <w:r w:rsidRPr="00282AC9">
        <w:rPr>
          <w:rFonts w:ascii="Cambria" w:hAnsi="Cambria" w:hint="cs"/>
          <w:sz w:val="27"/>
          <w:rtl/>
          <w:lang w:bidi="fa-IR"/>
        </w:rPr>
        <w:t xml:space="preserve"> معتبر</w:t>
      </w:r>
      <w:r w:rsidR="008D0736" w:rsidRPr="00282AC9">
        <w:rPr>
          <w:rFonts w:ascii="Cambria" w:hAnsi="Cambria" w:hint="cs"/>
          <w:sz w:val="27"/>
          <w:rtl/>
          <w:lang w:bidi="fa-IR"/>
        </w:rPr>
        <w:t>.</w:t>
      </w:r>
      <w:r w:rsidRPr="00282AC9">
        <w:rPr>
          <w:rFonts w:ascii="Cambria" w:hAnsi="Cambria" w:hint="cs"/>
          <w:sz w:val="27"/>
          <w:rtl/>
          <w:lang w:bidi="fa-IR"/>
        </w:rPr>
        <w:t xml:space="preserve"> وإن</w:t>
      </w:r>
      <w:r w:rsidR="008D0736" w:rsidRPr="00282AC9">
        <w:rPr>
          <w:rFonts w:ascii="Cambria" w:hAnsi="Cambria" w:hint="cs"/>
          <w:sz w:val="27"/>
          <w:rtl/>
          <w:lang w:bidi="fa-IR"/>
        </w:rPr>
        <w:t>ْ</w:t>
      </w:r>
      <w:r w:rsidRPr="00282AC9">
        <w:rPr>
          <w:rFonts w:ascii="Cambria" w:hAnsi="Cambria" w:hint="cs"/>
          <w:sz w:val="27"/>
          <w:rtl/>
          <w:lang w:bidi="fa-IR"/>
        </w:rPr>
        <w:t xml:space="preserve"> اعتبرنا عبد الله بن ميمون إمامي</w:t>
      </w:r>
      <w:r w:rsidR="008D0736" w:rsidRPr="00282AC9">
        <w:rPr>
          <w:rFonts w:ascii="Cambria" w:hAnsi="Cambria" w:hint="cs"/>
          <w:sz w:val="27"/>
          <w:rtl/>
          <w:lang w:bidi="fa-IR"/>
        </w:rPr>
        <w:t>ّ</w:t>
      </w:r>
      <w:r w:rsidRPr="00282AC9">
        <w:rPr>
          <w:rFonts w:ascii="Cambria" w:hAnsi="Cambria" w:hint="cs"/>
          <w:sz w:val="27"/>
          <w:rtl/>
          <w:lang w:bidi="fa-IR"/>
        </w:rPr>
        <w:t>اً</w:t>
      </w:r>
      <w:r w:rsidRPr="00282AC9">
        <w:rPr>
          <w:rFonts w:ascii="Cambria" w:hAnsi="Cambria"/>
          <w:sz w:val="27"/>
          <w:vertAlign w:val="superscript"/>
          <w:rtl/>
          <w:lang w:bidi="fa-IR"/>
        </w:rPr>
        <w:t>(</w:t>
      </w:r>
      <w:r w:rsidRPr="00282AC9">
        <w:rPr>
          <w:rStyle w:val="af9"/>
          <w:rFonts w:ascii="Cambria" w:hAnsi="Cambria"/>
          <w:sz w:val="27"/>
          <w:rtl/>
          <w:lang w:bidi="fa-IR"/>
        </w:rPr>
        <w:endnoteReference w:id="666"/>
      </w:r>
      <w:r w:rsidRPr="00282AC9">
        <w:rPr>
          <w:rFonts w:ascii="Cambria" w:hAnsi="Cambria"/>
          <w:sz w:val="27"/>
          <w:vertAlign w:val="superscript"/>
          <w:rtl/>
          <w:lang w:bidi="fa-IR"/>
        </w:rPr>
        <w:t>)</w:t>
      </w:r>
      <w:r w:rsidRPr="00282AC9">
        <w:rPr>
          <w:rFonts w:ascii="Cambria" w:hAnsi="Cambria" w:hint="cs"/>
          <w:sz w:val="27"/>
          <w:rtl/>
          <w:lang w:bidi="fa-IR"/>
        </w:rPr>
        <w:t xml:space="preserve"> فيكون السند حينئذ</w:t>
      </w:r>
      <w:r w:rsidR="008D0736" w:rsidRPr="00282AC9">
        <w:rPr>
          <w:rFonts w:ascii="Cambria" w:hAnsi="Cambria" w:hint="cs"/>
          <w:sz w:val="27"/>
          <w:rtl/>
          <w:lang w:bidi="fa-IR"/>
        </w:rPr>
        <w:t>ٍ</w:t>
      </w:r>
      <w:r w:rsidRPr="00282AC9">
        <w:rPr>
          <w:rFonts w:ascii="Cambria" w:hAnsi="Cambria" w:hint="cs"/>
          <w:sz w:val="27"/>
          <w:rtl/>
          <w:lang w:bidi="fa-IR"/>
        </w:rPr>
        <w:t xml:space="preserve"> صحيحاً.</w:t>
      </w:r>
    </w:p>
    <w:p w:rsidR="001153F1" w:rsidRPr="00282AC9" w:rsidRDefault="001153F1" w:rsidP="008E0D6A">
      <w:pPr>
        <w:spacing w:line="390" w:lineRule="exact"/>
        <w:rPr>
          <w:rFonts w:ascii="Mosawi" w:hAnsi="Mosawi"/>
          <w:sz w:val="27"/>
          <w:rtl/>
          <w:lang w:bidi="fa-IR"/>
        </w:rPr>
      </w:pPr>
      <w:r w:rsidRPr="00282AC9">
        <w:rPr>
          <w:rFonts w:hint="cs"/>
          <w:b/>
          <w:bCs/>
          <w:rtl/>
          <w:lang w:bidi="fa-IR"/>
        </w:rPr>
        <w:t>ب ـ الدراسة الدلالي</w:t>
      </w:r>
      <w:r w:rsidR="008D0736" w:rsidRPr="00282AC9">
        <w:rPr>
          <w:rFonts w:hint="cs"/>
          <w:b/>
          <w:bCs/>
          <w:rtl/>
          <w:lang w:bidi="fa-IR"/>
        </w:rPr>
        <w:t>ّ</w:t>
      </w:r>
      <w:r w:rsidRPr="00282AC9">
        <w:rPr>
          <w:rFonts w:hint="cs"/>
          <w:b/>
          <w:bCs/>
          <w:rtl/>
          <w:lang w:bidi="fa-IR"/>
        </w:rPr>
        <w:t>ة</w:t>
      </w:r>
      <w:r w:rsidR="00D86020" w:rsidRPr="00282AC9">
        <w:rPr>
          <w:rFonts w:ascii="Mosawi" w:hAnsi="Mosawi" w:hint="cs"/>
          <w:sz w:val="27"/>
          <w:rtl/>
          <w:lang w:bidi="fa-IR"/>
        </w:rPr>
        <w:t xml:space="preserve">: </w:t>
      </w:r>
      <w:r w:rsidRPr="00282AC9">
        <w:rPr>
          <w:rFonts w:ascii="Mosawi" w:hAnsi="Mosawi" w:hint="cs"/>
          <w:sz w:val="27"/>
          <w:rtl/>
          <w:lang w:bidi="fa-IR"/>
        </w:rPr>
        <w:t>تشبه هذه الرواية الرواية السابقة</w:t>
      </w:r>
      <w:r w:rsidR="008D0736" w:rsidRPr="00282AC9">
        <w:rPr>
          <w:rFonts w:ascii="Mosawi" w:hAnsi="Mosawi" w:hint="cs"/>
          <w:sz w:val="27"/>
          <w:rtl/>
          <w:lang w:bidi="fa-IR"/>
        </w:rPr>
        <w:t>،</w:t>
      </w:r>
      <w:r w:rsidRPr="00282AC9">
        <w:rPr>
          <w:rFonts w:ascii="Mosawi" w:hAnsi="Mosawi" w:hint="cs"/>
          <w:sz w:val="27"/>
          <w:rtl/>
          <w:lang w:bidi="fa-IR"/>
        </w:rPr>
        <w:t xml:space="preserve"> مع اختلافات</w:t>
      </w:r>
      <w:r w:rsidR="008D0736" w:rsidRPr="00282AC9">
        <w:rPr>
          <w:rFonts w:ascii="Mosawi" w:hAnsi="Mosawi" w:hint="cs"/>
          <w:sz w:val="27"/>
          <w:rtl/>
          <w:lang w:bidi="fa-IR"/>
        </w:rPr>
        <w:t>ٍ</w:t>
      </w:r>
      <w:r w:rsidRPr="00282AC9">
        <w:rPr>
          <w:rFonts w:ascii="Mosawi" w:hAnsi="Mosawi" w:hint="cs"/>
          <w:sz w:val="27"/>
          <w:rtl/>
          <w:lang w:bidi="fa-IR"/>
        </w:rPr>
        <w:t xml:space="preserve"> فيهما</w:t>
      </w:r>
      <w:r w:rsidR="008D0736" w:rsidRPr="00282AC9">
        <w:rPr>
          <w:rFonts w:ascii="Mosawi" w:hAnsi="Mosawi" w:hint="cs"/>
          <w:sz w:val="27"/>
          <w:rtl/>
          <w:lang w:bidi="fa-IR"/>
        </w:rPr>
        <w:t>.</w:t>
      </w:r>
      <w:r w:rsidRPr="00282AC9">
        <w:rPr>
          <w:rFonts w:ascii="Mosawi" w:hAnsi="Mosawi" w:hint="cs"/>
          <w:sz w:val="27"/>
          <w:rtl/>
          <w:lang w:bidi="fa-IR"/>
        </w:rPr>
        <w:t xml:space="preserve"> لكنّ هذا الحديث تحدّ</w:t>
      </w:r>
      <w:r w:rsidR="008D0736" w:rsidRPr="00282AC9">
        <w:rPr>
          <w:rFonts w:ascii="Mosawi" w:hAnsi="Mosawi" w:hint="cs"/>
          <w:sz w:val="27"/>
          <w:rtl/>
          <w:lang w:bidi="fa-IR"/>
        </w:rPr>
        <w:t>َ</w:t>
      </w:r>
      <w:r w:rsidRPr="00282AC9">
        <w:rPr>
          <w:rFonts w:ascii="Mosawi" w:hAnsi="Mosawi" w:hint="cs"/>
          <w:sz w:val="27"/>
          <w:rtl/>
          <w:lang w:bidi="fa-IR"/>
        </w:rPr>
        <w:t>ث عن تعس</w:t>
      </w:r>
      <w:r w:rsidR="008D0736" w:rsidRPr="00282AC9">
        <w:rPr>
          <w:rFonts w:ascii="Mosawi" w:hAnsi="Mosawi" w:hint="cs"/>
          <w:sz w:val="27"/>
          <w:rtl/>
          <w:lang w:bidi="fa-IR"/>
        </w:rPr>
        <w:t>ُّ</w:t>
      </w:r>
      <w:r w:rsidRPr="00282AC9">
        <w:rPr>
          <w:rFonts w:ascii="Mosawi" w:hAnsi="Mosawi" w:hint="cs"/>
          <w:sz w:val="27"/>
          <w:rtl/>
          <w:lang w:bidi="fa-IR"/>
        </w:rPr>
        <w:t>ر الولادة، واعتبرها شؤماً للمرأة</w:t>
      </w:r>
      <w:r w:rsidR="008D0736" w:rsidRPr="00282AC9">
        <w:rPr>
          <w:rFonts w:ascii="Mosawi" w:hAnsi="Mosawi" w:hint="cs"/>
          <w:sz w:val="27"/>
          <w:rtl/>
          <w:lang w:bidi="fa-IR"/>
        </w:rPr>
        <w:t>.</w:t>
      </w:r>
      <w:r w:rsidRPr="00282AC9">
        <w:rPr>
          <w:rFonts w:ascii="Mosawi" w:hAnsi="Mosawi" w:hint="cs"/>
          <w:sz w:val="27"/>
          <w:rtl/>
          <w:lang w:bidi="fa-IR"/>
        </w:rPr>
        <w:t xml:space="preserve"> وقد ي</w:t>
      </w:r>
      <w:r w:rsidR="008D0736" w:rsidRPr="00282AC9">
        <w:rPr>
          <w:rFonts w:ascii="Mosawi" w:hAnsi="Mosawi" w:hint="cs"/>
          <w:sz w:val="27"/>
          <w:rtl/>
          <w:lang w:bidi="fa-IR"/>
        </w:rPr>
        <w:t>ُ</w:t>
      </w:r>
      <w:r w:rsidRPr="00282AC9">
        <w:rPr>
          <w:rFonts w:ascii="Mosawi" w:hAnsi="Mosawi" w:hint="cs"/>
          <w:sz w:val="27"/>
          <w:rtl/>
          <w:lang w:bidi="fa-IR"/>
        </w:rPr>
        <w:t>قال بشمول الحديث للعقيم أيضاً</w:t>
      </w:r>
      <w:r w:rsidR="008D0736" w:rsidRPr="00282AC9">
        <w:rPr>
          <w:rFonts w:ascii="Mosawi" w:hAnsi="Mosawi" w:hint="cs"/>
          <w:sz w:val="27"/>
          <w:rtl/>
          <w:lang w:bidi="fa-IR"/>
        </w:rPr>
        <w:t>؛</w:t>
      </w:r>
      <w:r w:rsidRPr="00282AC9">
        <w:rPr>
          <w:rFonts w:ascii="Mosawi" w:hAnsi="Mosawi" w:hint="cs"/>
          <w:sz w:val="27"/>
          <w:rtl/>
          <w:lang w:bidi="fa-IR"/>
        </w:rPr>
        <w:t xml:space="preserve"> إما بالدلالة المطابقية</w:t>
      </w:r>
      <w:r w:rsidR="008D0736" w:rsidRPr="00282AC9">
        <w:rPr>
          <w:rFonts w:ascii="Mosawi" w:hAnsi="Mosawi" w:hint="cs"/>
          <w:sz w:val="27"/>
          <w:rtl/>
          <w:lang w:bidi="fa-IR"/>
        </w:rPr>
        <w:t>،</w:t>
      </w:r>
      <w:r w:rsidRPr="00282AC9">
        <w:rPr>
          <w:rFonts w:ascii="Mosawi" w:hAnsi="Mosawi" w:hint="cs"/>
          <w:sz w:val="27"/>
          <w:rtl/>
          <w:lang w:bidi="fa-IR"/>
        </w:rPr>
        <w:t xml:space="preserve"> بأن نقول</w:t>
      </w:r>
      <w:r w:rsidR="008D0736" w:rsidRPr="00282AC9">
        <w:rPr>
          <w:rFonts w:ascii="Mosawi" w:hAnsi="Mosawi" w:hint="cs"/>
          <w:sz w:val="27"/>
          <w:rtl/>
          <w:lang w:bidi="fa-IR"/>
        </w:rPr>
        <w:t>:</w:t>
      </w:r>
      <w:r w:rsidRPr="00282AC9">
        <w:rPr>
          <w:rFonts w:ascii="Mosawi" w:hAnsi="Mosawi" w:hint="cs"/>
          <w:sz w:val="27"/>
          <w:rtl/>
          <w:lang w:bidi="fa-IR"/>
        </w:rPr>
        <w:t xml:space="preserve"> التعس</w:t>
      </w:r>
      <w:r w:rsidR="008D0736" w:rsidRPr="00282AC9">
        <w:rPr>
          <w:rFonts w:ascii="Mosawi" w:hAnsi="Mosawi" w:hint="cs"/>
          <w:sz w:val="27"/>
          <w:rtl/>
          <w:lang w:bidi="fa-IR"/>
        </w:rPr>
        <w:t>ُّ</w:t>
      </w:r>
      <w:r w:rsidRPr="00282AC9">
        <w:rPr>
          <w:rFonts w:ascii="Mosawi" w:hAnsi="Mosawi" w:hint="cs"/>
          <w:sz w:val="27"/>
          <w:rtl/>
          <w:lang w:bidi="fa-IR"/>
        </w:rPr>
        <w:t>ر يشمل عدم الإمكان أيضاً</w:t>
      </w:r>
      <w:r w:rsidR="008D0736" w:rsidRPr="00282AC9">
        <w:rPr>
          <w:rFonts w:ascii="Mosawi" w:hAnsi="Mosawi" w:hint="cs"/>
          <w:sz w:val="27"/>
          <w:rtl/>
          <w:lang w:bidi="fa-IR"/>
        </w:rPr>
        <w:t>؛</w:t>
      </w:r>
      <w:r w:rsidRPr="00282AC9">
        <w:rPr>
          <w:rFonts w:ascii="Mosawi" w:hAnsi="Mosawi" w:hint="cs"/>
          <w:sz w:val="27"/>
          <w:rtl/>
          <w:lang w:bidi="fa-IR"/>
        </w:rPr>
        <w:t xml:space="preserve"> أو بقياس الأولوي</w:t>
      </w:r>
      <w:r w:rsidR="008D0736" w:rsidRPr="00282AC9">
        <w:rPr>
          <w:rFonts w:ascii="Mosawi" w:hAnsi="Mosawi" w:hint="cs"/>
          <w:sz w:val="27"/>
          <w:rtl/>
          <w:lang w:bidi="fa-IR"/>
        </w:rPr>
        <w:t>ّ</w:t>
      </w:r>
      <w:r w:rsidRPr="00282AC9">
        <w:rPr>
          <w:rFonts w:ascii="Mosawi" w:hAnsi="Mosawi" w:hint="cs"/>
          <w:sz w:val="27"/>
          <w:rtl/>
          <w:lang w:bidi="fa-IR"/>
        </w:rPr>
        <w:t xml:space="preserve">ة. </w:t>
      </w:r>
      <w:r w:rsidR="008D0736" w:rsidRPr="00282AC9">
        <w:rPr>
          <w:rFonts w:ascii="Mosawi" w:hAnsi="Mosawi" w:hint="cs"/>
          <w:sz w:val="27"/>
          <w:rtl/>
          <w:lang w:bidi="fa-IR"/>
        </w:rPr>
        <w:t>و</w:t>
      </w:r>
      <w:r w:rsidRPr="00282AC9">
        <w:rPr>
          <w:rFonts w:ascii="Mosawi" w:hAnsi="Mosawi" w:hint="cs"/>
          <w:sz w:val="27"/>
          <w:rtl/>
          <w:lang w:bidi="fa-IR"/>
        </w:rPr>
        <w:t>على أي</w:t>
      </w:r>
      <w:r w:rsidR="008D0736" w:rsidRPr="00282AC9">
        <w:rPr>
          <w:rFonts w:ascii="Mosawi" w:hAnsi="Mosawi" w:hint="cs"/>
          <w:sz w:val="27"/>
          <w:rtl/>
          <w:lang w:bidi="fa-IR"/>
        </w:rPr>
        <w:t>ّ</w:t>
      </w:r>
      <w:r w:rsidRPr="00282AC9">
        <w:rPr>
          <w:rFonts w:ascii="Mosawi" w:hAnsi="Mosawi" w:hint="cs"/>
          <w:sz w:val="27"/>
          <w:rtl/>
          <w:lang w:bidi="fa-IR"/>
        </w:rPr>
        <w:t xml:space="preserve"> حال</w:t>
      </w:r>
      <w:r w:rsidR="008D0736" w:rsidRPr="00282AC9">
        <w:rPr>
          <w:rFonts w:ascii="Mosawi" w:hAnsi="Mosawi" w:hint="cs"/>
          <w:sz w:val="27"/>
          <w:rtl/>
          <w:lang w:bidi="fa-IR"/>
        </w:rPr>
        <w:t>ٍ</w:t>
      </w:r>
      <w:r w:rsidRPr="00282AC9">
        <w:rPr>
          <w:rFonts w:ascii="Mosawi" w:hAnsi="Mosawi" w:hint="cs"/>
          <w:sz w:val="27"/>
          <w:rtl/>
          <w:lang w:bidi="fa-IR"/>
        </w:rPr>
        <w:t xml:space="preserve"> لا نجد في هذا الحديث أيضاً سوى مفهوم </w:t>
      </w:r>
      <w:r w:rsidRPr="00282AC9">
        <w:rPr>
          <w:rFonts w:ascii="Mosawi" w:hAnsi="Mosawi"/>
          <w:rtl/>
          <w:lang w:bidi="fa-IR"/>
        </w:rPr>
        <w:t>«</w:t>
      </w:r>
      <w:r w:rsidRPr="00282AC9">
        <w:rPr>
          <w:rFonts w:ascii="Mosawi" w:hAnsi="Mosawi" w:hint="cs"/>
          <w:sz w:val="27"/>
          <w:rtl/>
          <w:lang w:bidi="fa-IR"/>
        </w:rPr>
        <w:t>الشؤم</w:t>
      </w:r>
      <w:r w:rsidRPr="00282AC9">
        <w:rPr>
          <w:rFonts w:ascii="Mosawi" w:hAnsi="Mosawi"/>
          <w:rtl/>
          <w:lang w:bidi="fa-IR"/>
        </w:rPr>
        <w:t>»</w:t>
      </w:r>
      <w:r w:rsidR="008D0736" w:rsidRPr="00282AC9">
        <w:rPr>
          <w:rFonts w:ascii="Mosawi" w:hAnsi="Mosawi" w:hint="cs"/>
          <w:sz w:val="27"/>
          <w:rtl/>
          <w:lang w:bidi="fa-IR"/>
        </w:rPr>
        <w:t>،</w:t>
      </w:r>
      <w:r w:rsidRPr="00282AC9">
        <w:rPr>
          <w:rFonts w:ascii="Mosawi" w:hAnsi="Mosawi" w:hint="cs"/>
          <w:sz w:val="27"/>
          <w:rtl/>
          <w:lang w:bidi="fa-IR"/>
        </w:rPr>
        <w:t xml:space="preserve"> الذي تحد</w:t>
      </w:r>
      <w:r w:rsidR="008D0736" w:rsidRPr="00282AC9">
        <w:rPr>
          <w:rFonts w:ascii="Mosawi" w:hAnsi="Mosawi" w:hint="cs"/>
          <w:sz w:val="27"/>
          <w:rtl/>
          <w:lang w:bidi="fa-IR"/>
        </w:rPr>
        <w:t>َّ</w:t>
      </w:r>
      <w:r w:rsidRPr="00282AC9">
        <w:rPr>
          <w:rFonts w:ascii="Mosawi" w:hAnsi="Mosawi" w:hint="cs"/>
          <w:sz w:val="27"/>
          <w:rtl/>
          <w:lang w:bidi="fa-IR"/>
        </w:rPr>
        <w:t>ثنا عنه</w:t>
      </w:r>
      <w:r w:rsidR="008D0736" w:rsidRPr="00282AC9">
        <w:rPr>
          <w:rFonts w:ascii="Mosawi" w:hAnsi="Mosawi" w:hint="cs"/>
          <w:sz w:val="27"/>
          <w:rtl/>
          <w:lang w:bidi="fa-IR"/>
        </w:rPr>
        <w:t>،</w:t>
      </w:r>
      <w:r w:rsidRPr="00282AC9">
        <w:rPr>
          <w:rFonts w:ascii="Mosawi" w:hAnsi="Mosawi" w:hint="cs"/>
          <w:sz w:val="27"/>
          <w:rtl/>
          <w:lang w:bidi="fa-IR"/>
        </w:rPr>
        <w:t xml:space="preserve"> وكذلك معضلة التمييز بالأمور التكويني</w:t>
      </w:r>
      <w:r w:rsidR="008D0736" w:rsidRPr="00282AC9">
        <w:rPr>
          <w:rFonts w:ascii="Mosawi" w:hAnsi="Mosawi" w:hint="cs"/>
          <w:sz w:val="27"/>
          <w:rtl/>
          <w:lang w:bidi="fa-IR"/>
        </w:rPr>
        <w:t>ّة،</w:t>
      </w:r>
      <w:r w:rsidR="003E218F" w:rsidRPr="00282AC9">
        <w:rPr>
          <w:rFonts w:ascii="Mosawi" w:hAnsi="Mosawi" w:hint="cs"/>
          <w:sz w:val="27"/>
          <w:rtl/>
          <w:lang w:bidi="fa-IR"/>
        </w:rPr>
        <w:t xml:space="preserve"> الذي سوف يأتي الحديث عنه.</w:t>
      </w:r>
    </w:p>
    <w:p w:rsidR="008E0D6A" w:rsidRPr="00282AC9" w:rsidRDefault="008E0D6A" w:rsidP="00AE54C9">
      <w:pPr>
        <w:spacing w:line="320" w:lineRule="exact"/>
        <w:rPr>
          <w:sz w:val="27"/>
          <w:rtl/>
        </w:rPr>
      </w:pPr>
    </w:p>
    <w:p w:rsidR="008D0736" w:rsidRPr="00282AC9" w:rsidRDefault="00CE7DC4" w:rsidP="00CE7DC4">
      <w:pPr>
        <w:pStyle w:val="31"/>
        <w:rPr>
          <w:color w:val="auto"/>
          <w:rtl/>
        </w:rPr>
      </w:pPr>
      <w:r w:rsidRPr="00282AC9">
        <w:rPr>
          <w:rFonts w:hint="cs"/>
          <w:color w:val="auto"/>
          <w:rtl/>
        </w:rPr>
        <w:t xml:space="preserve">6ـ </w:t>
      </w:r>
      <w:r w:rsidRPr="00282AC9">
        <w:rPr>
          <w:color w:val="auto"/>
          <w:rtl/>
        </w:rPr>
        <w:t>«المرأة</w:t>
      </w:r>
      <w:r w:rsidRPr="00282AC9">
        <w:rPr>
          <w:rFonts w:hint="cs"/>
          <w:color w:val="auto"/>
          <w:rtl/>
        </w:rPr>
        <w:t>...</w:t>
      </w:r>
      <w:r w:rsidRPr="00282AC9">
        <w:rPr>
          <w:color w:val="auto"/>
          <w:rtl/>
        </w:rPr>
        <w:t>إذا كانت ولودا</w:t>
      </w:r>
      <w:r w:rsidRPr="00282AC9">
        <w:rPr>
          <w:rFonts w:hint="cs"/>
          <w:color w:val="auto"/>
          <w:rtl/>
        </w:rPr>
        <w:t>ً</w:t>
      </w:r>
      <w:r w:rsidRPr="00282AC9">
        <w:rPr>
          <w:color w:val="auto"/>
          <w:rtl/>
        </w:rPr>
        <w:t xml:space="preserve"> أحب</w:t>
      </w:r>
      <w:r w:rsidRPr="00282AC9">
        <w:rPr>
          <w:rFonts w:hint="cs"/>
          <w:color w:val="auto"/>
          <w:rtl/>
        </w:rPr>
        <w:t>ّ</w:t>
      </w:r>
      <w:r w:rsidRPr="00282AC9">
        <w:rPr>
          <w:color w:val="auto"/>
          <w:rtl/>
        </w:rPr>
        <w:t xml:space="preserve"> إلي</w:t>
      </w:r>
      <w:r w:rsidRPr="00282AC9">
        <w:rPr>
          <w:rFonts w:hint="cs"/>
          <w:color w:val="auto"/>
          <w:rtl/>
        </w:rPr>
        <w:t>َّ</w:t>
      </w:r>
      <w:r w:rsidRPr="00282AC9">
        <w:rPr>
          <w:color w:val="auto"/>
          <w:rtl/>
        </w:rPr>
        <w:t xml:space="preserve"> من</w:t>
      </w:r>
      <w:r w:rsidRPr="00282AC9">
        <w:rPr>
          <w:rFonts w:hint="cs"/>
          <w:color w:val="auto"/>
          <w:rtl/>
        </w:rPr>
        <w:t>...</w:t>
      </w:r>
      <w:r w:rsidRPr="00282AC9">
        <w:rPr>
          <w:color w:val="auto"/>
          <w:rtl/>
        </w:rPr>
        <w:t>العاقر»</w:t>
      </w:r>
    </w:p>
    <w:p w:rsidR="001153F1" w:rsidRPr="00282AC9" w:rsidRDefault="008D0736" w:rsidP="00AE54C9">
      <w:pPr>
        <w:pStyle w:val="afc"/>
        <w:spacing w:line="380" w:lineRule="exact"/>
        <w:rPr>
          <w:rFonts w:ascii="Mosawi" w:hAnsi="Mosawi" w:cs="AL-Mohanad"/>
          <w:sz w:val="27"/>
          <w:szCs w:val="27"/>
          <w:rtl/>
          <w:lang w:bidi="fa-IR"/>
        </w:rPr>
      </w:pPr>
      <w:r w:rsidRPr="00282AC9">
        <w:rPr>
          <w:rFonts w:ascii="Cambria" w:hAnsi="Cambria" w:cs="AL-Mohanad" w:hint="cs"/>
          <w:sz w:val="27"/>
          <w:szCs w:val="27"/>
          <w:rtl/>
        </w:rPr>
        <w:t xml:space="preserve">وهي </w:t>
      </w:r>
      <w:r w:rsidR="001153F1" w:rsidRPr="00282AC9">
        <w:rPr>
          <w:rFonts w:ascii="Cambria" w:hAnsi="Cambria" w:cs="AL-Mohanad"/>
          <w:sz w:val="27"/>
          <w:szCs w:val="27"/>
          <w:rtl/>
        </w:rPr>
        <w:t>مرسلة الصدوق</w:t>
      </w:r>
      <w:r w:rsidRPr="00282AC9">
        <w:rPr>
          <w:rFonts w:ascii="Cambria" w:hAnsi="Cambria" w:cs="AL-Mohanad" w:hint="cs"/>
          <w:sz w:val="27"/>
          <w:szCs w:val="27"/>
          <w:rtl/>
        </w:rPr>
        <w:t>:</w:t>
      </w:r>
      <w:r w:rsidR="001153F1" w:rsidRPr="00282AC9">
        <w:rPr>
          <w:rFonts w:cs="AL-Mohanad"/>
          <w:sz w:val="27"/>
          <w:szCs w:val="27"/>
          <w:rtl/>
        </w:rPr>
        <w:t xml:space="preserve"> قال</w:t>
      </w:r>
      <w:r w:rsidR="009A2A04" w:rsidRPr="00282AC9">
        <w:rPr>
          <w:rFonts w:ascii="Mosawi" w:hAnsi="Mosawi" w:cs="Mosawi"/>
          <w:sz w:val="22"/>
          <w:szCs w:val="22"/>
          <w:rtl/>
        </w:rPr>
        <w:t>×</w:t>
      </w:r>
      <w:r w:rsidR="001153F1" w:rsidRPr="00282AC9">
        <w:rPr>
          <w:rFonts w:ascii="Mosawi" w:hAnsi="Mosawi" w:cs="AL-Mohanad" w:hint="cs"/>
          <w:sz w:val="27"/>
          <w:szCs w:val="27"/>
          <w:rtl/>
        </w:rPr>
        <w:t xml:space="preserve">: </w:t>
      </w:r>
      <w:r w:rsidR="001153F1" w:rsidRPr="00282AC9">
        <w:rPr>
          <w:rFonts w:ascii="Mosawi" w:hAnsi="Mosawi" w:cs="AL-Mohanad"/>
          <w:rtl/>
        </w:rPr>
        <w:t>«</w:t>
      </w:r>
      <w:r w:rsidR="001153F1" w:rsidRPr="00282AC9">
        <w:rPr>
          <w:rFonts w:cs="AL-Mohanad"/>
          <w:sz w:val="27"/>
          <w:szCs w:val="27"/>
          <w:rtl/>
        </w:rPr>
        <w:t>اعلموا أن المرأة السوداء إذا كانت ولودا</w:t>
      </w:r>
      <w:r w:rsidR="001153F1" w:rsidRPr="00282AC9">
        <w:rPr>
          <w:rFonts w:cs="AL-Mohanad" w:hint="cs"/>
          <w:sz w:val="27"/>
          <w:szCs w:val="27"/>
          <w:rtl/>
        </w:rPr>
        <w:t>ً</w:t>
      </w:r>
      <w:r w:rsidR="001153F1" w:rsidRPr="00282AC9">
        <w:rPr>
          <w:rFonts w:cs="AL-Mohanad"/>
          <w:sz w:val="27"/>
          <w:szCs w:val="27"/>
          <w:rtl/>
        </w:rPr>
        <w:t xml:space="preserve"> أحب</w:t>
      </w:r>
      <w:r w:rsidR="001153F1" w:rsidRPr="00282AC9">
        <w:rPr>
          <w:rFonts w:cs="AL-Mohanad" w:hint="cs"/>
          <w:sz w:val="27"/>
          <w:szCs w:val="27"/>
          <w:rtl/>
        </w:rPr>
        <w:t>ّ</w:t>
      </w:r>
      <w:r w:rsidR="001153F1" w:rsidRPr="00282AC9">
        <w:rPr>
          <w:rFonts w:cs="AL-Mohanad"/>
          <w:sz w:val="27"/>
          <w:szCs w:val="27"/>
          <w:rtl/>
        </w:rPr>
        <w:t xml:space="preserve"> إلي</w:t>
      </w:r>
      <w:r w:rsidR="001153F1" w:rsidRPr="00282AC9">
        <w:rPr>
          <w:rFonts w:cs="AL-Mohanad" w:hint="cs"/>
          <w:sz w:val="27"/>
          <w:szCs w:val="27"/>
          <w:rtl/>
        </w:rPr>
        <w:t>ّ</w:t>
      </w:r>
      <w:r w:rsidRPr="00282AC9">
        <w:rPr>
          <w:rFonts w:cs="AL-Mohanad" w:hint="cs"/>
          <w:sz w:val="27"/>
          <w:szCs w:val="27"/>
          <w:rtl/>
        </w:rPr>
        <w:t>َ</w:t>
      </w:r>
      <w:r w:rsidR="001153F1" w:rsidRPr="00282AC9">
        <w:rPr>
          <w:rFonts w:cs="AL-Mohanad"/>
          <w:sz w:val="27"/>
          <w:szCs w:val="27"/>
          <w:rtl/>
        </w:rPr>
        <w:t xml:space="preserve"> من الحسناء العاقر</w:t>
      </w:r>
      <w:r w:rsidR="001153F1" w:rsidRPr="00282AC9">
        <w:rPr>
          <w:rFonts w:ascii="Mosawi" w:hAnsi="Mosawi" w:cs="AL-Mohanad"/>
          <w:rtl/>
        </w:rPr>
        <w:t>»</w:t>
      </w:r>
      <w:r w:rsidR="001153F1" w:rsidRPr="00282AC9">
        <w:rPr>
          <w:rFonts w:ascii="Mosawi" w:hAnsi="Mosawi" w:cs="AL-Mohanad"/>
          <w:sz w:val="27"/>
          <w:szCs w:val="27"/>
          <w:vertAlign w:val="superscript"/>
          <w:rtl/>
        </w:rPr>
        <w:t>(</w:t>
      </w:r>
      <w:r w:rsidR="001153F1" w:rsidRPr="00282AC9">
        <w:rPr>
          <w:rStyle w:val="af9"/>
          <w:rFonts w:ascii="Mosawi" w:eastAsiaTheme="majorEastAsia" w:hAnsi="Mosawi" w:cs="AL-Mohanad"/>
          <w:sz w:val="27"/>
          <w:szCs w:val="27"/>
          <w:rtl/>
        </w:rPr>
        <w:endnoteReference w:id="667"/>
      </w:r>
      <w:r w:rsidR="001153F1" w:rsidRPr="00282AC9">
        <w:rPr>
          <w:rFonts w:ascii="Mosawi" w:hAnsi="Mosawi" w:cs="AL-Mohanad"/>
          <w:sz w:val="27"/>
          <w:szCs w:val="27"/>
          <w:vertAlign w:val="superscript"/>
          <w:rtl/>
        </w:rPr>
        <w:t>)</w:t>
      </w:r>
      <w:r w:rsidR="001153F1" w:rsidRPr="00282AC9">
        <w:rPr>
          <w:rFonts w:cs="AL-Mohanad"/>
          <w:sz w:val="27"/>
          <w:szCs w:val="27"/>
          <w:rtl/>
        </w:rPr>
        <w:t>.</w:t>
      </w:r>
    </w:p>
    <w:p w:rsidR="001153F1" w:rsidRPr="00282AC9" w:rsidRDefault="001153F1" w:rsidP="008E0D6A">
      <w:pPr>
        <w:spacing w:line="390" w:lineRule="exact"/>
        <w:rPr>
          <w:b/>
          <w:bCs/>
          <w:rtl/>
          <w:lang w:bidi="fa-IR"/>
        </w:rPr>
      </w:pPr>
      <w:r w:rsidRPr="00282AC9">
        <w:rPr>
          <w:rFonts w:hint="cs"/>
          <w:b/>
          <w:bCs/>
          <w:rtl/>
          <w:lang w:bidi="fa-IR"/>
        </w:rPr>
        <w:t>أـ الدراسة السندي</w:t>
      </w:r>
      <w:r w:rsidR="008D0736" w:rsidRPr="00282AC9">
        <w:rPr>
          <w:rFonts w:hint="cs"/>
          <w:b/>
          <w:bCs/>
          <w:rtl/>
          <w:lang w:bidi="fa-IR"/>
        </w:rPr>
        <w:t>ّ</w:t>
      </w:r>
      <w:r w:rsidRPr="00282AC9">
        <w:rPr>
          <w:rFonts w:hint="cs"/>
          <w:b/>
          <w:bCs/>
          <w:rtl/>
          <w:lang w:bidi="fa-IR"/>
        </w:rPr>
        <w:t>ة</w:t>
      </w:r>
      <w:r w:rsidR="00CE7DC4" w:rsidRPr="00282AC9">
        <w:rPr>
          <w:rFonts w:ascii="Mosawi" w:hAnsi="Mosawi" w:hint="cs"/>
          <w:sz w:val="27"/>
          <w:rtl/>
          <w:lang w:bidi="fa-IR"/>
        </w:rPr>
        <w:t xml:space="preserve">: </w:t>
      </w:r>
      <w:r w:rsidR="006A7DD6" w:rsidRPr="00282AC9">
        <w:rPr>
          <w:rFonts w:ascii="Mosawi" w:hAnsi="Mosawi" w:hint="cs"/>
          <w:sz w:val="27"/>
          <w:rtl/>
          <w:lang w:bidi="fa-IR"/>
        </w:rPr>
        <w:t>من</w:t>
      </w:r>
      <w:r w:rsidRPr="00282AC9">
        <w:rPr>
          <w:rFonts w:ascii="Mosawi" w:hAnsi="Mosawi" w:hint="cs"/>
          <w:sz w:val="27"/>
          <w:rtl/>
          <w:lang w:bidi="fa-IR"/>
        </w:rPr>
        <w:t xml:space="preserve"> </w:t>
      </w:r>
      <w:r w:rsidR="006A7DD6" w:rsidRPr="00282AC9">
        <w:rPr>
          <w:rFonts w:ascii="Mosawi" w:hAnsi="Mosawi" w:hint="cs"/>
          <w:sz w:val="27"/>
          <w:rtl/>
          <w:lang w:bidi="fa-IR"/>
        </w:rPr>
        <w:t>ال</w:t>
      </w:r>
      <w:r w:rsidRPr="00282AC9">
        <w:rPr>
          <w:rFonts w:ascii="Mosawi" w:hAnsi="Mosawi" w:hint="cs"/>
          <w:sz w:val="27"/>
          <w:rtl/>
          <w:lang w:bidi="fa-IR"/>
        </w:rPr>
        <w:t>واضح</w:t>
      </w:r>
      <w:r w:rsidR="006A7DD6" w:rsidRPr="00282AC9">
        <w:rPr>
          <w:rFonts w:ascii="Mosawi" w:hAnsi="Mosawi" w:hint="cs"/>
          <w:sz w:val="27"/>
          <w:rtl/>
          <w:lang w:bidi="fa-IR"/>
        </w:rPr>
        <w:t xml:space="preserve"> أن</w:t>
      </w:r>
      <w:r w:rsidRPr="00282AC9">
        <w:rPr>
          <w:rFonts w:ascii="Mosawi" w:hAnsi="Mosawi" w:hint="cs"/>
          <w:sz w:val="27"/>
          <w:rtl/>
          <w:lang w:bidi="fa-IR"/>
        </w:rPr>
        <w:t xml:space="preserve"> هذه الرواية من مرس</w:t>
      </w:r>
      <w:r w:rsidR="006A7DD6" w:rsidRPr="00282AC9">
        <w:rPr>
          <w:rFonts w:ascii="Mosawi" w:hAnsi="Mosawi" w:hint="cs"/>
          <w:sz w:val="27"/>
          <w:rtl/>
          <w:lang w:bidi="fa-IR"/>
        </w:rPr>
        <w:t>َ</w:t>
      </w:r>
      <w:r w:rsidRPr="00282AC9">
        <w:rPr>
          <w:rFonts w:ascii="Mosawi" w:hAnsi="Mosawi" w:hint="cs"/>
          <w:sz w:val="27"/>
          <w:rtl/>
          <w:lang w:bidi="fa-IR"/>
        </w:rPr>
        <w:t>لات الشيخ الصدوق</w:t>
      </w:r>
      <w:r w:rsidR="006A7DD6" w:rsidRPr="00282AC9">
        <w:rPr>
          <w:rFonts w:ascii="Mosawi" w:hAnsi="Mosawi" w:hint="cs"/>
          <w:sz w:val="27"/>
          <w:rtl/>
          <w:lang w:bidi="fa-IR"/>
        </w:rPr>
        <w:t>،</w:t>
      </w:r>
      <w:r w:rsidRPr="00282AC9">
        <w:rPr>
          <w:rFonts w:ascii="Mosawi" w:hAnsi="Mosawi" w:hint="cs"/>
          <w:sz w:val="27"/>
          <w:rtl/>
          <w:lang w:bidi="fa-IR"/>
        </w:rPr>
        <w:t xml:space="preserve"> ولا سند لها</w:t>
      </w:r>
      <w:r w:rsidR="006A7DD6" w:rsidRPr="00282AC9">
        <w:rPr>
          <w:rFonts w:ascii="Mosawi" w:hAnsi="Mosawi" w:hint="cs"/>
          <w:sz w:val="27"/>
          <w:rtl/>
          <w:lang w:bidi="fa-IR"/>
        </w:rPr>
        <w:t>.</w:t>
      </w:r>
      <w:r w:rsidRPr="00282AC9">
        <w:rPr>
          <w:rFonts w:ascii="Mosawi" w:hAnsi="Mosawi" w:hint="cs"/>
          <w:sz w:val="27"/>
          <w:rtl/>
          <w:lang w:bidi="fa-IR"/>
        </w:rPr>
        <w:t xml:space="preserve"> فم</w:t>
      </w:r>
      <w:r w:rsidR="006A7DD6" w:rsidRPr="00282AC9">
        <w:rPr>
          <w:rFonts w:ascii="Mosawi" w:hAnsi="Mosawi" w:hint="cs"/>
          <w:sz w:val="27"/>
          <w:rtl/>
          <w:lang w:bidi="fa-IR"/>
        </w:rPr>
        <w:t>َ</w:t>
      </w:r>
      <w:r w:rsidRPr="00282AC9">
        <w:rPr>
          <w:rFonts w:ascii="Mosawi" w:hAnsi="Mosawi" w:hint="cs"/>
          <w:sz w:val="27"/>
          <w:rtl/>
          <w:lang w:bidi="fa-IR"/>
        </w:rPr>
        <w:t>ن</w:t>
      </w:r>
      <w:r w:rsidR="006A7DD6" w:rsidRPr="00282AC9">
        <w:rPr>
          <w:rFonts w:ascii="Mosawi" w:hAnsi="Mosawi" w:hint="cs"/>
          <w:sz w:val="27"/>
          <w:rtl/>
          <w:lang w:bidi="fa-IR"/>
        </w:rPr>
        <w:t>ْ</w:t>
      </w:r>
      <w:r w:rsidRPr="00282AC9">
        <w:rPr>
          <w:rFonts w:ascii="Mosawi" w:hAnsi="Mosawi" w:hint="cs"/>
          <w:sz w:val="27"/>
          <w:rtl/>
          <w:lang w:bidi="fa-IR"/>
        </w:rPr>
        <w:t xml:space="preserve"> يبني على صح</w:t>
      </w:r>
      <w:r w:rsidR="006A7DD6" w:rsidRPr="00282AC9">
        <w:rPr>
          <w:rFonts w:ascii="Mosawi" w:hAnsi="Mosawi" w:hint="cs"/>
          <w:sz w:val="27"/>
          <w:rtl/>
          <w:lang w:bidi="fa-IR"/>
        </w:rPr>
        <w:t>ّ</w:t>
      </w:r>
      <w:r w:rsidRPr="00282AC9">
        <w:rPr>
          <w:rFonts w:ascii="Mosawi" w:hAnsi="Mosawi" w:hint="cs"/>
          <w:sz w:val="27"/>
          <w:rtl/>
          <w:lang w:bidi="fa-IR"/>
        </w:rPr>
        <w:t>ة مرس</w:t>
      </w:r>
      <w:r w:rsidR="006A7DD6" w:rsidRPr="00282AC9">
        <w:rPr>
          <w:rFonts w:ascii="Mosawi" w:hAnsi="Mosawi" w:hint="cs"/>
          <w:sz w:val="27"/>
          <w:rtl/>
          <w:lang w:bidi="fa-IR"/>
        </w:rPr>
        <w:t>َ</w:t>
      </w:r>
      <w:r w:rsidRPr="00282AC9">
        <w:rPr>
          <w:rFonts w:ascii="Mosawi" w:hAnsi="Mosawi" w:hint="cs"/>
          <w:sz w:val="27"/>
          <w:rtl/>
          <w:lang w:bidi="fa-IR"/>
        </w:rPr>
        <w:t>لات الشيخ الصدوق</w:t>
      </w:r>
      <w:r w:rsidR="006A7DD6" w:rsidRPr="00282AC9">
        <w:rPr>
          <w:rFonts w:ascii="Mosawi" w:hAnsi="Mosawi" w:hint="cs"/>
          <w:sz w:val="27"/>
          <w:rtl/>
          <w:lang w:bidi="fa-IR"/>
        </w:rPr>
        <w:t>،</w:t>
      </w:r>
      <w:r w:rsidRPr="00282AC9">
        <w:rPr>
          <w:rFonts w:ascii="Mosawi" w:hAnsi="Mosawi" w:hint="cs"/>
          <w:sz w:val="27"/>
          <w:rtl/>
          <w:lang w:bidi="fa-IR"/>
        </w:rPr>
        <w:t xml:space="preserve"> أو يفصّ</w:t>
      </w:r>
      <w:r w:rsidR="006A7DD6" w:rsidRPr="00282AC9">
        <w:rPr>
          <w:rFonts w:ascii="Mosawi" w:hAnsi="Mosawi" w:hint="cs"/>
          <w:sz w:val="27"/>
          <w:rtl/>
          <w:lang w:bidi="fa-IR"/>
        </w:rPr>
        <w:t>ِ</w:t>
      </w:r>
      <w:r w:rsidRPr="00282AC9">
        <w:rPr>
          <w:rFonts w:ascii="Mosawi" w:hAnsi="Mosawi" w:hint="cs"/>
          <w:sz w:val="27"/>
          <w:rtl/>
          <w:lang w:bidi="fa-IR"/>
        </w:rPr>
        <w:t>ل فيها بأن يعتبر ما نقله الشيخ الصدوق مباشرة</w:t>
      </w:r>
      <w:r w:rsidR="006A7DD6" w:rsidRPr="00282AC9">
        <w:rPr>
          <w:rFonts w:ascii="Mosawi" w:hAnsi="Mosawi" w:hint="cs"/>
          <w:sz w:val="27"/>
          <w:rtl/>
          <w:lang w:bidi="fa-IR"/>
        </w:rPr>
        <w:t>ً</w:t>
      </w:r>
      <w:r w:rsidRPr="00282AC9">
        <w:rPr>
          <w:rFonts w:ascii="Mosawi" w:hAnsi="Mosawi" w:hint="cs"/>
          <w:sz w:val="27"/>
          <w:rtl/>
          <w:lang w:bidi="fa-IR"/>
        </w:rPr>
        <w:t xml:space="preserve"> عن الإمام</w:t>
      </w:r>
      <w:r w:rsidR="009A2A04" w:rsidRPr="00282AC9">
        <w:rPr>
          <w:rFonts w:ascii="Mosawi" w:hAnsi="Mosawi" w:cs="Mosawi"/>
          <w:sz w:val="22"/>
          <w:szCs w:val="22"/>
          <w:rtl/>
          <w:lang w:bidi="fa-IR"/>
        </w:rPr>
        <w:t>×</w:t>
      </w:r>
      <w:r w:rsidR="006A7DD6" w:rsidRPr="00282AC9">
        <w:rPr>
          <w:rFonts w:ascii="Mosawi" w:hAnsi="Mosawi" w:hint="cs"/>
          <w:sz w:val="27"/>
          <w:rtl/>
          <w:lang w:bidi="fa-IR"/>
        </w:rPr>
        <w:t>،</w:t>
      </w:r>
      <w:r w:rsidRPr="00282AC9">
        <w:rPr>
          <w:rFonts w:ascii="Mosawi" w:hAnsi="Mosawi" w:hint="cs"/>
          <w:sz w:val="27"/>
          <w:rtl/>
          <w:lang w:bidi="fa-IR"/>
        </w:rPr>
        <w:t xml:space="preserve"> فهذه الرواية تكون معتبرة</w:t>
      </w:r>
      <w:r w:rsidR="006A7DD6" w:rsidRPr="00282AC9">
        <w:rPr>
          <w:rFonts w:ascii="Mosawi" w:hAnsi="Mosawi" w:hint="cs"/>
          <w:sz w:val="27"/>
          <w:rtl/>
          <w:lang w:bidi="fa-IR"/>
        </w:rPr>
        <w:t>ً،</w:t>
      </w:r>
      <w:r w:rsidRPr="00282AC9">
        <w:rPr>
          <w:rFonts w:ascii="Mosawi" w:hAnsi="Mosawi" w:hint="cs"/>
          <w:sz w:val="27"/>
          <w:rtl/>
          <w:lang w:bidi="fa-IR"/>
        </w:rPr>
        <w:t xml:space="preserve"> وإلا</w:t>
      </w:r>
      <w:r w:rsidR="006A7DD6" w:rsidRPr="00282AC9">
        <w:rPr>
          <w:rFonts w:ascii="Mosawi" w:hAnsi="Mosawi" w:hint="cs"/>
          <w:sz w:val="27"/>
          <w:rtl/>
          <w:lang w:bidi="fa-IR"/>
        </w:rPr>
        <w:t>ّ</w:t>
      </w:r>
      <w:r w:rsidRPr="00282AC9">
        <w:rPr>
          <w:rFonts w:ascii="Mosawi" w:hAnsi="Mosawi" w:hint="cs"/>
          <w:sz w:val="27"/>
          <w:rtl/>
          <w:lang w:bidi="fa-IR"/>
        </w:rPr>
        <w:t xml:space="preserve"> فلا. </w:t>
      </w:r>
    </w:p>
    <w:p w:rsidR="006A7DD6" w:rsidRPr="00282AC9" w:rsidRDefault="001153F1" w:rsidP="008E0D6A">
      <w:pPr>
        <w:spacing w:line="390" w:lineRule="exact"/>
        <w:rPr>
          <w:b/>
          <w:bCs/>
          <w:rtl/>
          <w:lang w:bidi="fa-IR"/>
        </w:rPr>
      </w:pPr>
      <w:r w:rsidRPr="00282AC9">
        <w:rPr>
          <w:rFonts w:hint="cs"/>
          <w:b/>
          <w:bCs/>
          <w:rtl/>
          <w:lang w:bidi="fa-IR"/>
        </w:rPr>
        <w:t>ب ـ الدراسة الدلالي</w:t>
      </w:r>
      <w:r w:rsidR="008D0736" w:rsidRPr="00282AC9">
        <w:rPr>
          <w:rFonts w:hint="cs"/>
          <w:b/>
          <w:bCs/>
          <w:rtl/>
          <w:lang w:bidi="fa-IR"/>
        </w:rPr>
        <w:t>ّ</w:t>
      </w:r>
      <w:r w:rsidRPr="00282AC9">
        <w:rPr>
          <w:rFonts w:hint="cs"/>
          <w:b/>
          <w:bCs/>
          <w:rtl/>
          <w:lang w:bidi="fa-IR"/>
        </w:rPr>
        <w:t>ة</w:t>
      </w:r>
      <w:r w:rsidR="00CE7DC4" w:rsidRPr="00282AC9">
        <w:rPr>
          <w:rFonts w:ascii="Cambria" w:hAnsi="Cambria" w:hint="cs"/>
          <w:sz w:val="27"/>
          <w:rtl/>
          <w:lang w:bidi="fa-IR"/>
        </w:rPr>
        <w:t xml:space="preserve">: </w:t>
      </w:r>
      <w:r w:rsidRPr="00282AC9">
        <w:rPr>
          <w:rFonts w:ascii="Cambria" w:hAnsi="Cambria" w:hint="cs"/>
          <w:sz w:val="27"/>
          <w:rtl/>
          <w:lang w:bidi="fa-IR"/>
        </w:rPr>
        <w:t>لا يمكن استفادة الكراهة من هذه الرواية</w:t>
      </w:r>
      <w:r w:rsidR="006A7DD6" w:rsidRPr="00282AC9">
        <w:rPr>
          <w:rFonts w:ascii="Cambria" w:hAnsi="Cambria" w:hint="cs"/>
          <w:sz w:val="27"/>
          <w:rtl/>
          <w:lang w:bidi="fa-IR"/>
        </w:rPr>
        <w:t>،</w:t>
      </w:r>
      <w:r w:rsidRPr="00282AC9">
        <w:rPr>
          <w:rFonts w:ascii="Cambria" w:hAnsi="Cambria" w:hint="cs"/>
          <w:sz w:val="27"/>
          <w:rtl/>
          <w:lang w:bidi="fa-IR"/>
        </w:rPr>
        <w:t xml:space="preserve"> إلا</w:t>
      </w:r>
      <w:r w:rsidR="006A7DD6" w:rsidRPr="00282AC9">
        <w:rPr>
          <w:rFonts w:ascii="Cambria" w:hAnsi="Cambria" w:hint="cs"/>
          <w:sz w:val="27"/>
          <w:rtl/>
          <w:lang w:bidi="fa-IR"/>
        </w:rPr>
        <w:t>ّ</w:t>
      </w:r>
      <w:r w:rsidRPr="00282AC9">
        <w:rPr>
          <w:rFonts w:ascii="Cambria" w:hAnsi="Cambria" w:hint="cs"/>
          <w:sz w:val="27"/>
          <w:rtl/>
          <w:lang w:bidi="fa-IR"/>
        </w:rPr>
        <w:t xml:space="preserve"> إذا قلنا</w:t>
      </w:r>
      <w:r w:rsidR="006A7DD6" w:rsidRPr="00282AC9">
        <w:rPr>
          <w:rFonts w:ascii="Cambria" w:hAnsi="Cambria" w:hint="cs"/>
          <w:sz w:val="27"/>
          <w:rtl/>
          <w:lang w:bidi="fa-IR"/>
        </w:rPr>
        <w:t>:</w:t>
      </w:r>
      <w:r w:rsidRPr="00282AC9">
        <w:rPr>
          <w:rFonts w:ascii="Cambria" w:hAnsi="Cambria" w:hint="cs"/>
          <w:sz w:val="27"/>
          <w:rtl/>
          <w:lang w:bidi="fa-IR"/>
        </w:rPr>
        <w:t xml:space="preserve"> ي</w:t>
      </w:r>
      <w:r w:rsidR="006A7DD6" w:rsidRPr="00282AC9">
        <w:rPr>
          <w:rFonts w:ascii="Cambria" w:hAnsi="Cambria" w:hint="cs"/>
          <w:sz w:val="27"/>
          <w:rtl/>
          <w:lang w:bidi="fa-IR"/>
        </w:rPr>
        <w:t>ُ</w:t>
      </w:r>
      <w:r w:rsidRPr="00282AC9">
        <w:rPr>
          <w:rFonts w:ascii="Cambria" w:hAnsi="Cambria" w:hint="cs"/>
          <w:sz w:val="27"/>
          <w:rtl/>
          <w:lang w:bidi="fa-IR"/>
        </w:rPr>
        <w:t>ستفاد من هذه الرواية استحباب الزواج من الو</w:t>
      </w:r>
      <w:r w:rsidR="006A7DD6" w:rsidRPr="00282AC9">
        <w:rPr>
          <w:rFonts w:ascii="Cambria" w:hAnsi="Cambria" w:hint="cs"/>
          <w:sz w:val="27"/>
          <w:rtl/>
          <w:lang w:bidi="fa-IR"/>
        </w:rPr>
        <w:t>َ</w:t>
      </w:r>
      <w:r w:rsidRPr="00282AC9">
        <w:rPr>
          <w:rFonts w:ascii="Cambria" w:hAnsi="Cambria" w:hint="cs"/>
          <w:sz w:val="27"/>
          <w:rtl/>
          <w:lang w:bidi="fa-IR"/>
        </w:rPr>
        <w:t>لود</w:t>
      </w:r>
      <w:r w:rsidR="006A7DD6" w:rsidRPr="00282AC9">
        <w:rPr>
          <w:rFonts w:ascii="Cambria" w:hAnsi="Cambria" w:hint="cs"/>
          <w:sz w:val="27"/>
          <w:rtl/>
          <w:lang w:bidi="fa-IR"/>
        </w:rPr>
        <w:t>،</w:t>
      </w:r>
      <w:r w:rsidRPr="00282AC9">
        <w:rPr>
          <w:rFonts w:ascii="Cambria" w:hAnsi="Cambria" w:hint="cs"/>
          <w:sz w:val="27"/>
          <w:rtl/>
          <w:lang w:bidi="fa-IR"/>
        </w:rPr>
        <w:t xml:space="preserve"> وكذلك قلنا</w:t>
      </w:r>
      <w:r w:rsidR="006A7DD6" w:rsidRPr="00282AC9">
        <w:rPr>
          <w:rFonts w:ascii="Cambria" w:hAnsi="Cambria" w:hint="cs"/>
          <w:sz w:val="27"/>
          <w:rtl/>
          <w:lang w:bidi="fa-IR"/>
        </w:rPr>
        <w:t>:</w:t>
      </w:r>
      <w:r w:rsidRPr="00282AC9">
        <w:rPr>
          <w:rFonts w:ascii="Cambria" w:hAnsi="Cambria" w:hint="cs"/>
          <w:sz w:val="27"/>
          <w:rtl/>
          <w:lang w:bidi="fa-IR"/>
        </w:rPr>
        <w:t xml:space="preserve"> </w:t>
      </w:r>
      <w:r w:rsidR="006A7DD6" w:rsidRPr="00282AC9">
        <w:rPr>
          <w:rFonts w:ascii="Cambria" w:hAnsi="Cambria" w:hint="cs"/>
          <w:sz w:val="27"/>
          <w:rtl/>
          <w:lang w:bidi="fa-IR"/>
        </w:rPr>
        <w:t>إ</w:t>
      </w:r>
      <w:r w:rsidRPr="00282AC9">
        <w:rPr>
          <w:rFonts w:ascii="Cambria" w:hAnsi="Cambria" w:hint="cs"/>
          <w:sz w:val="27"/>
          <w:rtl/>
          <w:lang w:bidi="fa-IR"/>
        </w:rPr>
        <w:t>ن ترك المستحبّ مكروه</w:t>
      </w:r>
      <w:r w:rsidR="006A7DD6" w:rsidRPr="00282AC9">
        <w:rPr>
          <w:rFonts w:ascii="Cambria" w:hAnsi="Cambria" w:hint="cs"/>
          <w:sz w:val="27"/>
          <w:rtl/>
          <w:lang w:bidi="fa-IR"/>
        </w:rPr>
        <w:t>ٌ.</w:t>
      </w:r>
    </w:p>
    <w:p w:rsidR="006A7DD6" w:rsidRPr="00282AC9" w:rsidRDefault="001153F1" w:rsidP="008E0D6A">
      <w:pPr>
        <w:pStyle w:val="afc"/>
        <w:spacing w:line="390" w:lineRule="exact"/>
        <w:rPr>
          <w:rFonts w:ascii="Cambria" w:hAnsi="Cambria" w:cs="AL-Mohanad"/>
          <w:sz w:val="27"/>
          <w:szCs w:val="27"/>
          <w:rtl/>
        </w:rPr>
      </w:pPr>
      <w:r w:rsidRPr="00282AC9">
        <w:rPr>
          <w:rFonts w:ascii="Cambria" w:hAnsi="Cambria" w:cs="AL-Mohanad" w:hint="cs"/>
          <w:sz w:val="27"/>
          <w:szCs w:val="27"/>
          <w:rtl/>
        </w:rPr>
        <w:t>وإن</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قبلنا بالأول فلا نستطيع القبول بالثاني</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فلا تدل</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الرواية هذه إلى الكراهة</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بل لا تدل</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على تشنيع</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في حقّها أيضاً</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وإنّما كلّ</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ما في الأمر تمييز</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بين المرأة الولود والعقيم</w:t>
      </w:r>
      <w:r w:rsidR="006A7DD6" w:rsidRPr="00282AC9">
        <w:rPr>
          <w:rFonts w:ascii="Cambria" w:hAnsi="Cambria" w:cs="AL-Mohanad" w:hint="cs"/>
          <w:sz w:val="27"/>
          <w:szCs w:val="27"/>
          <w:rtl/>
        </w:rPr>
        <w:t>،</w:t>
      </w:r>
      <w:r w:rsidRPr="00282AC9">
        <w:rPr>
          <w:rFonts w:ascii="Cambria" w:hAnsi="Cambria" w:cs="AL-Mohanad" w:hint="cs"/>
          <w:sz w:val="27"/>
          <w:szCs w:val="27"/>
          <w:rtl/>
        </w:rPr>
        <w:t xml:space="preserve"> وسوف نتحدّ</w:t>
      </w:r>
      <w:r w:rsidR="006A7DD6" w:rsidRPr="00282AC9">
        <w:rPr>
          <w:rFonts w:ascii="Cambria" w:hAnsi="Cambria" w:cs="AL-Mohanad" w:hint="cs"/>
          <w:sz w:val="27"/>
          <w:szCs w:val="27"/>
          <w:rtl/>
        </w:rPr>
        <w:t>َ</w:t>
      </w:r>
      <w:r w:rsidRPr="00282AC9">
        <w:rPr>
          <w:rFonts w:ascii="Cambria" w:hAnsi="Cambria" w:cs="AL-Mohanad" w:hint="cs"/>
          <w:sz w:val="27"/>
          <w:szCs w:val="27"/>
          <w:rtl/>
        </w:rPr>
        <w:t>ث عن هذه النقطة في التحليل الاجمالي</w:t>
      </w:r>
      <w:r w:rsidR="006A7DD6" w:rsidRPr="00282AC9">
        <w:rPr>
          <w:rFonts w:ascii="Cambria" w:hAnsi="Cambria" w:cs="AL-Mohanad" w:hint="cs"/>
          <w:sz w:val="27"/>
          <w:szCs w:val="27"/>
          <w:rtl/>
        </w:rPr>
        <w:t>ّ</w:t>
      </w:r>
      <w:r w:rsidRPr="00282AC9">
        <w:rPr>
          <w:rFonts w:ascii="Cambria" w:hAnsi="Cambria" w:cs="AL-Mohanad" w:hint="cs"/>
          <w:sz w:val="27"/>
          <w:szCs w:val="27"/>
          <w:rtl/>
        </w:rPr>
        <w:t>.</w:t>
      </w:r>
    </w:p>
    <w:p w:rsidR="001153F1" w:rsidRPr="00282AC9" w:rsidRDefault="001153F1" w:rsidP="00AE54C9">
      <w:pPr>
        <w:pStyle w:val="afc"/>
        <w:spacing w:line="340" w:lineRule="exact"/>
        <w:rPr>
          <w:rFonts w:ascii="Cambria" w:hAnsi="Cambria" w:cs="AL-Mohanad"/>
          <w:sz w:val="27"/>
          <w:szCs w:val="27"/>
          <w:rtl/>
        </w:rPr>
      </w:pPr>
      <w:r w:rsidRPr="00282AC9">
        <w:rPr>
          <w:rFonts w:ascii="Cambria" w:hAnsi="Cambria" w:cs="AL-Mohanad" w:hint="cs"/>
          <w:sz w:val="27"/>
          <w:szCs w:val="27"/>
          <w:rtl/>
        </w:rPr>
        <w:t xml:space="preserve"> </w:t>
      </w:r>
    </w:p>
    <w:p w:rsidR="006A7DD6" w:rsidRPr="00282AC9" w:rsidRDefault="00D33832" w:rsidP="00D33832">
      <w:pPr>
        <w:pStyle w:val="31"/>
        <w:rPr>
          <w:color w:val="auto"/>
          <w:rtl/>
        </w:rPr>
      </w:pPr>
      <w:r w:rsidRPr="00282AC9">
        <w:rPr>
          <w:rFonts w:hint="cs"/>
          <w:color w:val="auto"/>
          <w:rtl/>
        </w:rPr>
        <w:t xml:space="preserve">7ـ </w:t>
      </w:r>
      <w:r w:rsidRPr="00282AC9">
        <w:rPr>
          <w:color w:val="auto"/>
          <w:rtl/>
        </w:rPr>
        <w:t>«حصير</w:t>
      </w:r>
      <w:r w:rsidRPr="00282AC9">
        <w:rPr>
          <w:rFonts w:hint="cs"/>
          <w:color w:val="auto"/>
          <w:rtl/>
        </w:rPr>
        <w:t>ٌ</w:t>
      </w:r>
      <w:r w:rsidRPr="00282AC9">
        <w:rPr>
          <w:color w:val="auto"/>
          <w:rtl/>
        </w:rPr>
        <w:t xml:space="preserve"> في‏ ناحية البيت خير</w:t>
      </w:r>
      <w:r w:rsidRPr="00282AC9">
        <w:rPr>
          <w:rFonts w:hint="cs"/>
          <w:color w:val="auto"/>
          <w:rtl/>
        </w:rPr>
        <w:t>ٌ</w:t>
      </w:r>
      <w:r w:rsidRPr="00282AC9">
        <w:rPr>
          <w:color w:val="auto"/>
          <w:rtl/>
        </w:rPr>
        <w:t xml:space="preserve"> من امرأة</w:t>
      </w:r>
      <w:r w:rsidRPr="00282AC9">
        <w:rPr>
          <w:rFonts w:hint="cs"/>
          <w:color w:val="auto"/>
          <w:rtl/>
        </w:rPr>
        <w:t>ٍ</w:t>
      </w:r>
      <w:r w:rsidRPr="00282AC9">
        <w:rPr>
          <w:color w:val="auto"/>
          <w:rtl/>
        </w:rPr>
        <w:t xml:space="preserve"> لا تلد»</w:t>
      </w:r>
    </w:p>
    <w:p w:rsidR="001153F1" w:rsidRPr="00282AC9" w:rsidRDefault="006A7DD6" w:rsidP="00D1080C">
      <w:pPr>
        <w:pStyle w:val="afc"/>
        <w:rPr>
          <w:rFonts w:ascii="Cambria" w:hAnsi="Cambria" w:cs="AL-Mohanad"/>
          <w:sz w:val="27"/>
          <w:szCs w:val="27"/>
          <w:rtl/>
        </w:rPr>
      </w:pPr>
      <w:r w:rsidRPr="00282AC9">
        <w:rPr>
          <w:rFonts w:ascii="Cambria" w:hAnsi="Cambria" w:cs="AL-Mohanad" w:hint="cs"/>
          <w:sz w:val="27"/>
          <w:szCs w:val="27"/>
          <w:rtl/>
        </w:rPr>
        <w:t xml:space="preserve">وهي </w:t>
      </w:r>
      <w:r w:rsidR="001153F1" w:rsidRPr="00282AC9">
        <w:rPr>
          <w:rFonts w:ascii="Cambria" w:hAnsi="Cambria" w:cs="AL-Mohanad"/>
          <w:sz w:val="27"/>
          <w:szCs w:val="27"/>
          <w:rtl/>
        </w:rPr>
        <w:t>خبر أبي سعيد الخدري</w:t>
      </w:r>
      <w:r w:rsidR="001153F1" w:rsidRPr="00282AC9">
        <w:rPr>
          <w:rFonts w:ascii="Cambria" w:hAnsi="Cambria" w:cs="AL-Mohanad" w:hint="cs"/>
          <w:sz w:val="27"/>
          <w:szCs w:val="27"/>
          <w:rtl/>
        </w:rPr>
        <w:t xml:space="preserve">: </w:t>
      </w:r>
      <w:r w:rsidR="001153F1" w:rsidRPr="00282AC9">
        <w:rPr>
          <w:rFonts w:cs="AL-Mohanad"/>
          <w:sz w:val="27"/>
          <w:szCs w:val="27"/>
          <w:rtl/>
        </w:rPr>
        <w:t>حد</w:t>
      </w:r>
      <w:r w:rsidRPr="00282AC9">
        <w:rPr>
          <w:rFonts w:cs="AL-Mohanad" w:hint="cs"/>
          <w:sz w:val="27"/>
          <w:szCs w:val="27"/>
          <w:rtl/>
        </w:rPr>
        <w:t>َّ</w:t>
      </w:r>
      <w:r w:rsidR="001153F1" w:rsidRPr="00282AC9">
        <w:rPr>
          <w:rFonts w:cs="AL-Mohanad"/>
          <w:sz w:val="27"/>
          <w:szCs w:val="27"/>
          <w:rtl/>
        </w:rPr>
        <w:t>ثنا الشيخ الجليل أبو جعفر محمد بن علي</w:t>
      </w:r>
      <w:r w:rsidRPr="00282AC9">
        <w:rPr>
          <w:rFonts w:cs="AL-Mohanad" w:hint="cs"/>
          <w:sz w:val="27"/>
          <w:szCs w:val="27"/>
          <w:rtl/>
        </w:rPr>
        <w:t>ّ</w:t>
      </w:r>
      <w:r w:rsidR="001153F1" w:rsidRPr="00282AC9">
        <w:rPr>
          <w:rFonts w:cs="AL-Mohanad"/>
          <w:sz w:val="27"/>
          <w:szCs w:val="27"/>
          <w:rtl/>
        </w:rPr>
        <w:t xml:space="preserve"> بن </w:t>
      </w:r>
      <w:r w:rsidR="001153F1" w:rsidRPr="00282AC9">
        <w:rPr>
          <w:rFonts w:cs="AL-Mohanad"/>
          <w:sz w:val="27"/>
          <w:szCs w:val="27"/>
          <w:rtl/>
        </w:rPr>
        <w:lastRenderedPageBreak/>
        <w:t>الحسين بن موسى بن بابويه القم</w:t>
      </w:r>
      <w:r w:rsidRPr="00282AC9">
        <w:rPr>
          <w:rFonts w:cs="AL-Mohanad" w:hint="cs"/>
          <w:sz w:val="27"/>
          <w:szCs w:val="27"/>
          <w:rtl/>
        </w:rPr>
        <w:t>ّ</w:t>
      </w:r>
      <w:r w:rsidR="001153F1" w:rsidRPr="00282AC9">
        <w:rPr>
          <w:rFonts w:cs="AL-Mohanad"/>
          <w:sz w:val="27"/>
          <w:szCs w:val="27"/>
          <w:rtl/>
        </w:rPr>
        <w:t>ي</w:t>
      </w:r>
      <w:r w:rsidR="009A2A04" w:rsidRPr="00282AC9">
        <w:rPr>
          <w:rFonts w:cs="Mosawi"/>
          <w:sz w:val="22"/>
          <w:szCs w:val="22"/>
          <w:rtl/>
        </w:rPr>
        <w:t>&amp;</w:t>
      </w:r>
      <w:r w:rsidR="001153F1" w:rsidRPr="00282AC9">
        <w:rPr>
          <w:rFonts w:cs="AL-Mohanad"/>
          <w:sz w:val="27"/>
          <w:szCs w:val="27"/>
          <w:rtl/>
        </w:rPr>
        <w:t xml:space="preserve"> قال</w:t>
      </w:r>
      <w:r w:rsidRPr="00282AC9">
        <w:rPr>
          <w:rFonts w:cs="AL-Mohanad" w:hint="cs"/>
          <w:sz w:val="27"/>
          <w:szCs w:val="27"/>
          <w:rtl/>
        </w:rPr>
        <w:t>:</w:t>
      </w:r>
      <w:r w:rsidR="001153F1" w:rsidRPr="00282AC9">
        <w:rPr>
          <w:rFonts w:cs="AL-Mohanad"/>
          <w:sz w:val="27"/>
          <w:szCs w:val="27"/>
          <w:rtl/>
        </w:rPr>
        <w:t xml:space="preserve"> حد</w:t>
      </w:r>
      <w:r w:rsidRPr="00282AC9">
        <w:rPr>
          <w:rFonts w:cs="AL-Mohanad" w:hint="cs"/>
          <w:sz w:val="27"/>
          <w:szCs w:val="27"/>
          <w:rtl/>
        </w:rPr>
        <w:t>َّ</w:t>
      </w:r>
      <w:r w:rsidR="001153F1" w:rsidRPr="00282AC9">
        <w:rPr>
          <w:rFonts w:cs="AL-Mohanad"/>
          <w:sz w:val="27"/>
          <w:szCs w:val="27"/>
          <w:rtl/>
        </w:rPr>
        <w:t>ثنا محمد بن إبراهيم بن إسحاق رضوان الله عليه قال</w:t>
      </w:r>
      <w:r w:rsidRPr="00282AC9">
        <w:rPr>
          <w:rFonts w:cs="AL-Mohanad" w:hint="cs"/>
          <w:sz w:val="27"/>
          <w:szCs w:val="27"/>
          <w:rtl/>
        </w:rPr>
        <w:t>:</w:t>
      </w:r>
      <w:r w:rsidR="001153F1" w:rsidRPr="00282AC9">
        <w:rPr>
          <w:rFonts w:cs="AL-Mohanad"/>
          <w:sz w:val="27"/>
          <w:szCs w:val="27"/>
          <w:rtl/>
        </w:rPr>
        <w:t xml:space="preserve"> حد</w:t>
      </w:r>
      <w:r w:rsidR="001153F1" w:rsidRPr="00282AC9">
        <w:rPr>
          <w:rFonts w:cs="AL-Mohanad" w:hint="cs"/>
          <w:sz w:val="27"/>
          <w:szCs w:val="27"/>
          <w:rtl/>
        </w:rPr>
        <w:t>ّ</w:t>
      </w:r>
      <w:r w:rsidRPr="00282AC9">
        <w:rPr>
          <w:rFonts w:cs="AL-Mohanad" w:hint="cs"/>
          <w:sz w:val="27"/>
          <w:szCs w:val="27"/>
          <w:rtl/>
        </w:rPr>
        <w:t>َ</w:t>
      </w:r>
      <w:r w:rsidR="001153F1" w:rsidRPr="00282AC9">
        <w:rPr>
          <w:rFonts w:cs="AL-Mohanad"/>
          <w:sz w:val="27"/>
          <w:szCs w:val="27"/>
          <w:rtl/>
        </w:rPr>
        <w:t>ثنا أبو سعيد الحسن بن علي</w:t>
      </w:r>
      <w:r w:rsidRPr="00282AC9">
        <w:rPr>
          <w:rFonts w:cs="AL-Mohanad" w:hint="cs"/>
          <w:sz w:val="27"/>
          <w:szCs w:val="27"/>
          <w:rtl/>
        </w:rPr>
        <w:t>ّ</w:t>
      </w:r>
      <w:r w:rsidR="001153F1" w:rsidRPr="00282AC9">
        <w:rPr>
          <w:rFonts w:cs="AL-Mohanad"/>
          <w:sz w:val="27"/>
          <w:szCs w:val="27"/>
          <w:rtl/>
        </w:rPr>
        <w:t xml:space="preserve"> العدوي‏ قال</w:t>
      </w:r>
      <w:r w:rsidRPr="00282AC9">
        <w:rPr>
          <w:rFonts w:cs="AL-Mohanad" w:hint="cs"/>
          <w:sz w:val="27"/>
          <w:szCs w:val="27"/>
          <w:rtl/>
        </w:rPr>
        <w:t>:</w:t>
      </w:r>
      <w:r w:rsidR="001153F1" w:rsidRPr="00282AC9">
        <w:rPr>
          <w:rFonts w:cs="AL-Mohanad"/>
          <w:sz w:val="27"/>
          <w:szCs w:val="27"/>
          <w:rtl/>
        </w:rPr>
        <w:t xml:space="preserve"> حد</w:t>
      </w:r>
      <w:r w:rsidRPr="00282AC9">
        <w:rPr>
          <w:rFonts w:cs="AL-Mohanad" w:hint="cs"/>
          <w:sz w:val="27"/>
          <w:szCs w:val="27"/>
          <w:rtl/>
        </w:rPr>
        <w:t>َّ</w:t>
      </w:r>
      <w:r w:rsidR="001153F1" w:rsidRPr="00282AC9">
        <w:rPr>
          <w:rFonts w:cs="AL-Mohanad"/>
          <w:sz w:val="27"/>
          <w:szCs w:val="27"/>
          <w:rtl/>
        </w:rPr>
        <w:t>ثنا يوسف بن يحيى الأصبهاني أبو يعقوب قال</w:t>
      </w:r>
      <w:r w:rsidRPr="00282AC9">
        <w:rPr>
          <w:rFonts w:cs="AL-Mohanad" w:hint="cs"/>
          <w:sz w:val="27"/>
          <w:szCs w:val="27"/>
          <w:rtl/>
        </w:rPr>
        <w:t>:</w:t>
      </w:r>
      <w:r w:rsidR="001153F1" w:rsidRPr="00282AC9">
        <w:rPr>
          <w:rFonts w:cs="AL-Mohanad"/>
          <w:sz w:val="27"/>
          <w:szCs w:val="27"/>
          <w:rtl/>
        </w:rPr>
        <w:t xml:space="preserve"> حد</w:t>
      </w:r>
      <w:r w:rsidRPr="00282AC9">
        <w:rPr>
          <w:rFonts w:cs="AL-Mohanad" w:hint="cs"/>
          <w:sz w:val="27"/>
          <w:szCs w:val="27"/>
          <w:rtl/>
        </w:rPr>
        <w:t>َّ</w:t>
      </w:r>
      <w:r w:rsidR="001153F1" w:rsidRPr="00282AC9">
        <w:rPr>
          <w:rFonts w:cs="AL-Mohanad"/>
          <w:sz w:val="27"/>
          <w:szCs w:val="27"/>
          <w:rtl/>
        </w:rPr>
        <w:t>ثني أبو علي</w:t>
      </w:r>
      <w:r w:rsidRPr="00282AC9">
        <w:rPr>
          <w:rFonts w:cs="AL-Mohanad" w:hint="cs"/>
          <w:sz w:val="27"/>
          <w:szCs w:val="27"/>
          <w:rtl/>
        </w:rPr>
        <w:t>ّ</w:t>
      </w:r>
      <w:r w:rsidR="001153F1" w:rsidRPr="00282AC9">
        <w:rPr>
          <w:rFonts w:cs="AL-Mohanad"/>
          <w:sz w:val="27"/>
          <w:szCs w:val="27"/>
          <w:rtl/>
        </w:rPr>
        <w:t xml:space="preserve"> إسماعيل بن حاتم قال</w:t>
      </w:r>
      <w:r w:rsidRPr="00282AC9">
        <w:rPr>
          <w:rFonts w:cs="AL-Mohanad" w:hint="cs"/>
          <w:sz w:val="27"/>
          <w:szCs w:val="27"/>
          <w:rtl/>
        </w:rPr>
        <w:t>:</w:t>
      </w:r>
      <w:r w:rsidR="001153F1" w:rsidRPr="00282AC9">
        <w:rPr>
          <w:rFonts w:cs="AL-Mohanad"/>
          <w:sz w:val="27"/>
          <w:szCs w:val="27"/>
          <w:rtl/>
        </w:rPr>
        <w:t xml:space="preserve"> حد</w:t>
      </w:r>
      <w:r w:rsidRPr="00282AC9">
        <w:rPr>
          <w:rFonts w:cs="AL-Mohanad" w:hint="cs"/>
          <w:sz w:val="27"/>
          <w:szCs w:val="27"/>
          <w:rtl/>
        </w:rPr>
        <w:t>َّ</w:t>
      </w:r>
      <w:r w:rsidR="001153F1" w:rsidRPr="00282AC9">
        <w:rPr>
          <w:rFonts w:cs="AL-Mohanad"/>
          <w:sz w:val="27"/>
          <w:szCs w:val="27"/>
          <w:rtl/>
        </w:rPr>
        <w:t>ثنا أبو جعفر أحمد بن صالح بن سعيد المك</w:t>
      </w:r>
      <w:r w:rsidRPr="00282AC9">
        <w:rPr>
          <w:rFonts w:cs="AL-Mohanad" w:hint="cs"/>
          <w:sz w:val="27"/>
          <w:szCs w:val="27"/>
          <w:rtl/>
        </w:rPr>
        <w:t>ّ</w:t>
      </w:r>
      <w:r w:rsidR="001153F1" w:rsidRPr="00282AC9">
        <w:rPr>
          <w:rFonts w:cs="AL-Mohanad"/>
          <w:sz w:val="27"/>
          <w:szCs w:val="27"/>
          <w:rtl/>
        </w:rPr>
        <w:t>ي قال</w:t>
      </w:r>
      <w:r w:rsidRPr="00282AC9">
        <w:rPr>
          <w:rFonts w:cs="AL-Mohanad" w:hint="cs"/>
          <w:sz w:val="27"/>
          <w:szCs w:val="27"/>
          <w:rtl/>
        </w:rPr>
        <w:t>:</w:t>
      </w:r>
      <w:r w:rsidR="001153F1" w:rsidRPr="00282AC9">
        <w:rPr>
          <w:rFonts w:cs="AL-Mohanad"/>
          <w:sz w:val="27"/>
          <w:szCs w:val="27"/>
          <w:rtl/>
        </w:rPr>
        <w:t xml:space="preserve"> حد</w:t>
      </w:r>
      <w:r w:rsidRPr="00282AC9">
        <w:rPr>
          <w:rFonts w:cs="AL-Mohanad" w:hint="cs"/>
          <w:sz w:val="27"/>
          <w:szCs w:val="27"/>
          <w:rtl/>
        </w:rPr>
        <w:t>َّ</w:t>
      </w:r>
      <w:r w:rsidR="001153F1" w:rsidRPr="00282AC9">
        <w:rPr>
          <w:rFonts w:cs="AL-Mohanad"/>
          <w:sz w:val="27"/>
          <w:szCs w:val="27"/>
          <w:rtl/>
        </w:rPr>
        <w:t>ثنا عمرو بن حفص</w:t>
      </w:r>
      <w:r w:rsidRPr="00282AC9">
        <w:rPr>
          <w:rFonts w:cs="AL-Mohanad" w:hint="cs"/>
          <w:sz w:val="27"/>
          <w:szCs w:val="27"/>
          <w:rtl/>
        </w:rPr>
        <w:t>،</w:t>
      </w:r>
      <w:r w:rsidR="001153F1" w:rsidRPr="00282AC9">
        <w:rPr>
          <w:rFonts w:cs="AL-Mohanad"/>
          <w:sz w:val="27"/>
          <w:szCs w:val="27"/>
          <w:rtl/>
        </w:rPr>
        <w:t xml:space="preserve"> عن إسحاق بن نجيح</w:t>
      </w:r>
      <w:r w:rsidRPr="00282AC9">
        <w:rPr>
          <w:rFonts w:cs="AL-Mohanad" w:hint="cs"/>
          <w:sz w:val="27"/>
          <w:szCs w:val="27"/>
          <w:rtl/>
        </w:rPr>
        <w:t>،</w:t>
      </w:r>
      <w:r w:rsidR="001153F1" w:rsidRPr="00282AC9">
        <w:rPr>
          <w:rFonts w:cs="AL-Mohanad"/>
          <w:sz w:val="27"/>
          <w:szCs w:val="27"/>
          <w:rtl/>
        </w:rPr>
        <w:t xml:space="preserve"> عن حصيب</w:t>
      </w:r>
      <w:r w:rsidRPr="00282AC9">
        <w:rPr>
          <w:rFonts w:cs="AL-Mohanad" w:hint="cs"/>
          <w:sz w:val="27"/>
          <w:szCs w:val="27"/>
          <w:rtl/>
        </w:rPr>
        <w:t>،</w:t>
      </w:r>
      <w:r w:rsidR="001153F1" w:rsidRPr="00282AC9">
        <w:rPr>
          <w:rFonts w:cs="AL-Mohanad"/>
          <w:sz w:val="27"/>
          <w:szCs w:val="27"/>
          <w:rtl/>
        </w:rPr>
        <w:t xml:space="preserve"> عن مجاهد</w:t>
      </w:r>
      <w:r w:rsidRPr="00282AC9">
        <w:rPr>
          <w:rFonts w:cs="AL-Mohanad" w:hint="cs"/>
          <w:sz w:val="27"/>
          <w:szCs w:val="27"/>
          <w:rtl/>
        </w:rPr>
        <w:t>،</w:t>
      </w:r>
      <w:r w:rsidR="001153F1" w:rsidRPr="00282AC9">
        <w:rPr>
          <w:rFonts w:cs="AL-Mohanad"/>
          <w:sz w:val="27"/>
          <w:szCs w:val="27"/>
          <w:rtl/>
        </w:rPr>
        <w:t xml:space="preserve"> عن أبي سعيد الخدري قال: أوصى رسول الله</w:t>
      </w:r>
      <w:r w:rsidR="009A2A04" w:rsidRPr="00282AC9">
        <w:rPr>
          <w:rFonts w:ascii="Mosawi" w:hAnsi="Mosawi" w:cs="Mosawi"/>
          <w:sz w:val="22"/>
          <w:szCs w:val="22"/>
          <w:rtl/>
        </w:rPr>
        <w:t>|</w:t>
      </w:r>
      <w:r w:rsidR="001153F1" w:rsidRPr="00282AC9">
        <w:rPr>
          <w:rFonts w:cs="AL-Mohanad"/>
          <w:sz w:val="27"/>
          <w:szCs w:val="27"/>
          <w:rtl/>
        </w:rPr>
        <w:t xml:space="preserve"> علي</w:t>
      </w:r>
      <w:r w:rsidRPr="00282AC9">
        <w:rPr>
          <w:rFonts w:cs="AL-Mohanad" w:hint="cs"/>
          <w:sz w:val="27"/>
          <w:szCs w:val="27"/>
          <w:rtl/>
        </w:rPr>
        <w:t>ّ</w:t>
      </w:r>
      <w:r w:rsidR="001153F1" w:rsidRPr="00282AC9">
        <w:rPr>
          <w:rFonts w:cs="AL-Mohanad"/>
          <w:sz w:val="27"/>
          <w:szCs w:val="27"/>
          <w:rtl/>
        </w:rPr>
        <w:t xml:space="preserve"> بن أبي طالب</w:t>
      </w:r>
      <w:r w:rsidR="009A2A04" w:rsidRPr="00282AC9">
        <w:rPr>
          <w:rFonts w:ascii="Mosawi" w:hAnsi="Mosawi" w:cs="Mosawi"/>
          <w:sz w:val="22"/>
          <w:szCs w:val="22"/>
          <w:rtl/>
        </w:rPr>
        <w:t>×</w:t>
      </w:r>
      <w:r w:rsidRPr="00282AC9">
        <w:rPr>
          <w:rFonts w:cs="AL-Mohanad" w:hint="cs"/>
          <w:sz w:val="27"/>
          <w:szCs w:val="27"/>
          <w:rtl/>
        </w:rPr>
        <w:t>،</w:t>
      </w:r>
      <w:r w:rsidR="001153F1" w:rsidRPr="00282AC9">
        <w:rPr>
          <w:rFonts w:cs="AL-Mohanad"/>
          <w:sz w:val="27"/>
          <w:szCs w:val="27"/>
          <w:rtl/>
        </w:rPr>
        <w:t xml:space="preserve"> فقال</w:t>
      </w:r>
      <w:r w:rsidR="001153F1" w:rsidRPr="00282AC9">
        <w:rPr>
          <w:rFonts w:cs="AL-Mohanad" w:hint="cs"/>
          <w:sz w:val="27"/>
          <w:szCs w:val="27"/>
          <w:rtl/>
        </w:rPr>
        <w:t>:</w:t>
      </w:r>
      <w:r w:rsidR="001153F1" w:rsidRPr="00282AC9">
        <w:rPr>
          <w:rFonts w:cs="AL-Mohanad"/>
          <w:sz w:val="27"/>
          <w:szCs w:val="27"/>
          <w:rtl/>
        </w:rPr>
        <w:t xml:space="preserve"> </w:t>
      </w:r>
      <w:r w:rsidR="001153F1" w:rsidRPr="00282AC9">
        <w:rPr>
          <w:rFonts w:ascii="Mosawi" w:hAnsi="Mosawi" w:cs="AL-Mohanad"/>
          <w:rtl/>
        </w:rPr>
        <w:t>«</w:t>
      </w:r>
      <w:r w:rsidR="001153F1" w:rsidRPr="00282AC9">
        <w:rPr>
          <w:rFonts w:cs="AL-Mohanad"/>
          <w:sz w:val="27"/>
          <w:szCs w:val="27"/>
          <w:rtl/>
        </w:rPr>
        <w:t>يا علي</w:t>
      </w:r>
      <w:r w:rsidRPr="00282AC9">
        <w:rPr>
          <w:rFonts w:cs="AL-Mohanad" w:hint="cs"/>
          <w:sz w:val="27"/>
          <w:szCs w:val="27"/>
          <w:rtl/>
        </w:rPr>
        <w:t>ّ،</w:t>
      </w:r>
      <w:r w:rsidR="001153F1" w:rsidRPr="00282AC9">
        <w:rPr>
          <w:rFonts w:cs="AL-Mohanad"/>
          <w:sz w:val="27"/>
          <w:szCs w:val="27"/>
          <w:rtl/>
        </w:rPr>
        <w:t xml:space="preserve"> إذا دخل</w:t>
      </w:r>
      <w:r w:rsidRPr="00282AC9">
        <w:rPr>
          <w:rFonts w:cs="AL-Mohanad" w:hint="cs"/>
          <w:sz w:val="27"/>
          <w:szCs w:val="27"/>
          <w:rtl/>
        </w:rPr>
        <w:t>َ</w:t>
      </w:r>
      <w:r w:rsidR="001153F1" w:rsidRPr="00282AC9">
        <w:rPr>
          <w:rFonts w:cs="AL-Mohanad"/>
          <w:sz w:val="27"/>
          <w:szCs w:val="27"/>
          <w:rtl/>
        </w:rPr>
        <w:t>ت</w:t>
      </w:r>
      <w:r w:rsidRPr="00282AC9">
        <w:rPr>
          <w:rFonts w:cs="AL-Mohanad" w:hint="cs"/>
          <w:sz w:val="27"/>
          <w:szCs w:val="27"/>
          <w:rtl/>
        </w:rPr>
        <w:t>ْ</w:t>
      </w:r>
      <w:r w:rsidR="001153F1" w:rsidRPr="00282AC9">
        <w:rPr>
          <w:rFonts w:cs="AL-Mohanad"/>
          <w:sz w:val="27"/>
          <w:szCs w:val="27"/>
          <w:rtl/>
        </w:rPr>
        <w:t xml:space="preserve"> العروس بيتك.</w:t>
      </w:r>
      <w:r w:rsidRPr="00282AC9">
        <w:rPr>
          <w:rFonts w:cs="AL-Mohanad" w:hint="cs"/>
          <w:sz w:val="27"/>
          <w:szCs w:val="27"/>
          <w:rtl/>
        </w:rPr>
        <w:t>.</w:t>
      </w:r>
      <w:r w:rsidR="001153F1" w:rsidRPr="00282AC9">
        <w:rPr>
          <w:rFonts w:cs="AL-Mohanad"/>
          <w:sz w:val="27"/>
          <w:szCs w:val="27"/>
          <w:rtl/>
        </w:rPr>
        <w:t>. وامنع العروس في أسبوعها من الألبان والخ</w:t>
      </w:r>
      <w:r w:rsidR="0072341B" w:rsidRPr="00282AC9">
        <w:rPr>
          <w:rFonts w:cs="AL-Mohanad" w:hint="cs"/>
          <w:sz w:val="27"/>
          <w:szCs w:val="27"/>
          <w:rtl/>
        </w:rPr>
        <w:t>َ</w:t>
      </w:r>
      <w:r w:rsidR="001153F1" w:rsidRPr="00282AC9">
        <w:rPr>
          <w:rFonts w:cs="AL-Mohanad"/>
          <w:sz w:val="27"/>
          <w:szCs w:val="27"/>
          <w:rtl/>
        </w:rPr>
        <w:t>ل</w:t>
      </w:r>
      <w:r w:rsidR="001153F1" w:rsidRPr="00282AC9">
        <w:rPr>
          <w:rFonts w:cs="AL-Mohanad" w:hint="cs"/>
          <w:sz w:val="27"/>
          <w:szCs w:val="27"/>
          <w:rtl/>
        </w:rPr>
        <w:t>ّ</w:t>
      </w:r>
      <w:r w:rsidR="001153F1" w:rsidRPr="00282AC9">
        <w:rPr>
          <w:rFonts w:cs="AL-Mohanad"/>
          <w:sz w:val="27"/>
          <w:szCs w:val="27"/>
          <w:rtl/>
        </w:rPr>
        <w:t xml:space="preserve"> والكزبرة والتفاح الحامض</w:t>
      </w:r>
      <w:r w:rsidR="0072341B" w:rsidRPr="00282AC9">
        <w:rPr>
          <w:rFonts w:cs="AL-Mohanad" w:hint="cs"/>
          <w:sz w:val="27"/>
          <w:szCs w:val="27"/>
          <w:rtl/>
        </w:rPr>
        <w:t>،</w:t>
      </w:r>
      <w:r w:rsidR="001153F1" w:rsidRPr="00282AC9">
        <w:rPr>
          <w:rFonts w:cs="AL-Mohanad"/>
          <w:sz w:val="27"/>
          <w:szCs w:val="27"/>
          <w:rtl/>
        </w:rPr>
        <w:t xml:space="preserve"> من هذه الأربعة أشياء</w:t>
      </w:r>
      <w:r w:rsidR="001153F1" w:rsidRPr="00282AC9">
        <w:rPr>
          <w:rFonts w:ascii="Mosawi" w:hAnsi="Mosawi" w:cs="AL-Mohanad"/>
          <w:rtl/>
        </w:rPr>
        <w:t>»</w:t>
      </w:r>
      <w:r w:rsidR="0072341B" w:rsidRPr="00282AC9">
        <w:rPr>
          <w:rFonts w:cs="AL-Mohanad" w:hint="cs"/>
          <w:sz w:val="27"/>
          <w:szCs w:val="27"/>
          <w:rtl/>
        </w:rPr>
        <w:t>،</w:t>
      </w:r>
      <w:r w:rsidR="001153F1" w:rsidRPr="00282AC9">
        <w:rPr>
          <w:rFonts w:cs="AL-Mohanad"/>
          <w:sz w:val="27"/>
          <w:szCs w:val="27"/>
          <w:rtl/>
        </w:rPr>
        <w:t xml:space="preserve"> فقال علي</w:t>
      </w:r>
      <w:r w:rsidR="0072341B" w:rsidRPr="00282AC9">
        <w:rPr>
          <w:rFonts w:cs="AL-Mohanad" w:hint="cs"/>
          <w:sz w:val="27"/>
          <w:szCs w:val="27"/>
          <w:rtl/>
        </w:rPr>
        <w:t>ٌّ</w:t>
      </w:r>
      <w:r w:rsidR="009A2A04" w:rsidRPr="00282AC9">
        <w:rPr>
          <w:rFonts w:ascii="Mosawi" w:hAnsi="Mosawi" w:cs="Mosawi"/>
          <w:sz w:val="22"/>
          <w:szCs w:val="22"/>
          <w:rtl/>
        </w:rPr>
        <w:t>×</w:t>
      </w:r>
      <w:r w:rsidR="001153F1" w:rsidRPr="00282AC9">
        <w:rPr>
          <w:rFonts w:cs="AL-Mohanad" w:hint="cs"/>
          <w:sz w:val="27"/>
          <w:szCs w:val="27"/>
          <w:rtl/>
        </w:rPr>
        <w:t>:</w:t>
      </w:r>
      <w:r w:rsidR="001153F1" w:rsidRPr="00282AC9">
        <w:rPr>
          <w:rFonts w:cs="AL-Mohanad"/>
          <w:sz w:val="27"/>
          <w:szCs w:val="27"/>
          <w:rtl/>
        </w:rPr>
        <w:t xml:space="preserve"> يا رسول الله</w:t>
      </w:r>
      <w:r w:rsidR="009A2A04" w:rsidRPr="00282AC9">
        <w:rPr>
          <w:rFonts w:ascii="Mosawi" w:hAnsi="Mosawi" w:cs="Mosawi"/>
          <w:sz w:val="22"/>
          <w:szCs w:val="22"/>
          <w:rtl/>
        </w:rPr>
        <w:t>|</w:t>
      </w:r>
      <w:r w:rsidR="0072341B" w:rsidRPr="00282AC9">
        <w:rPr>
          <w:rFonts w:cs="AL-Mohanad" w:hint="cs"/>
          <w:sz w:val="27"/>
          <w:szCs w:val="27"/>
          <w:rtl/>
        </w:rPr>
        <w:t>،</w:t>
      </w:r>
      <w:r w:rsidR="001153F1" w:rsidRPr="00282AC9">
        <w:rPr>
          <w:rFonts w:cs="AL-Mohanad"/>
          <w:sz w:val="27"/>
          <w:szCs w:val="27"/>
          <w:rtl/>
        </w:rPr>
        <w:t xml:space="preserve"> ولأي</w:t>
      </w:r>
      <w:r w:rsidR="001153F1" w:rsidRPr="00282AC9">
        <w:rPr>
          <w:rFonts w:cs="AL-Mohanad" w:hint="cs"/>
          <w:sz w:val="27"/>
          <w:szCs w:val="27"/>
          <w:rtl/>
        </w:rPr>
        <w:t>ّ</w:t>
      </w:r>
      <w:r w:rsidR="001153F1" w:rsidRPr="00282AC9">
        <w:rPr>
          <w:rFonts w:cs="AL-Mohanad"/>
          <w:sz w:val="27"/>
          <w:szCs w:val="27"/>
          <w:rtl/>
        </w:rPr>
        <w:t xml:space="preserve"> شي‏ء</w:t>
      </w:r>
      <w:r w:rsidR="0072341B" w:rsidRPr="00282AC9">
        <w:rPr>
          <w:rFonts w:cs="AL-Mohanad" w:hint="cs"/>
          <w:sz w:val="27"/>
          <w:szCs w:val="27"/>
          <w:rtl/>
        </w:rPr>
        <w:t>ٍ</w:t>
      </w:r>
      <w:r w:rsidR="001153F1" w:rsidRPr="00282AC9">
        <w:rPr>
          <w:rFonts w:cs="AL-Mohanad"/>
          <w:sz w:val="27"/>
          <w:szCs w:val="27"/>
          <w:rtl/>
        </w:rPr>
        <w:t xml:space="preserve"> أمنعها من هذه الأشياء الأربعة</w:t>
      </w:r>
      <w:r w:rsidR="001153F1" w:rsidRPr="00282AC9">
        <w:rPr>
          <w:rFonts w:cs="AL-Mohanad" w:hint="cs"/>
          <w:sz w:val="27"/>
          <w:szCs w:val="27"/>
          <w:rtl/>
        </w:rPr>
        <w:t>؟</w:t>
      </w:r>
      <w:r w:rsidR="001153F1" w:rsidRPr="00282AC9">
        <w:rPr>
          <w:rFonts w:cs="AL-Mohanad"/>
          <w:sz w:val="27"/>
          <w:szCs w:val="27"/>
          <w:rtl/>
        </w:rPr>
        <w:t xml:space="preserve"> قال</w:t>
      </w:r>
      <w:r w:rsidR="001153F1" w:rsidRPr="00282AC9">
        <w:rPr>
          <w:rFonts w:cs="AL-Mohanad" w:hint="cs"/>
          <w:sz w:val="27"/>
          <w:szCs w:val="27"/>
          <w:rtl/>
        </w:rPr>
        <w:t>:</w:t>
      </w:r>
      <w:r w:rsidR="001153F1" w:rsidRPr="00282AC9">
        <w:rPr>
          <w:rFonts w:cs="AL-Mohanad"/>
          <w:sz w:val="27"/>
          <w:szCs w:val="27"/>
          <w:rtl/>
        </w:rPr>
        <w:t xml:space="preserve"> </w:t>
      </w:r>
      <w:r w:rsidR="001153F1" w:rsidRPr="00282AC9">
        <w:rPr>
          <w:rFonts w:ascii="Mosawi" w:hAnsi="Mosawi" w:cs="AL-Mohanad"/>
          <w:rtl/>
        </w:rPr>
        <w:t>«</w:t>
      </w:r>
      <w:r w:rsidR="001153F1" w:rsidRPr="00282AC9">
        <w:rPr>
          <w:rFonts w:cs="AL-Mohanad"/>
          <w:sz w:val="27"/>
          <w:szCs w:val="27"/>
          <w:rtl/>
        </w:rPr>
        <w:t>لأن</w:t>
      </w:r>
      <w:r w:rsidR="001153F1" w:rsidRPr="00282AC9">
        <w:rPr>
          <w:rFonts w:cs="AL-Mohanad" w:hint="cs"/>
          <w:sz w:val="27"/>
          <w:szCs w:val="27"/>
          <w:rtl/>
        </w:rPr>
        <w:t>ّ</w:t>
      </w:r>
      <w:r w:rsidR="001153F1" w:rsidRPr="00282AC9">
        <w:rPr>
          <w:rFonts w:cs="AL-Mohanad"/>
          <w:sz w:val="27"/>
          <w:szCs w:val="27"/>
          <w:rtl/>
        </w:rPr>
        <w:t xml:space="preserve"> الر</w:t>
      </w:r>
      <w:r w:rsidR="0072341B" w:rsidRPr="00282AC9">
        <w:rPr>
          <w:rFonts w:cs="AL-Mohanad" w:hint="cs"/>
          <w:sz w:val="27"/>
          <w:szCs w:val="27"/>
          <w:rtl/>
        </w:rPr>
        <w:t>َّ</w:t>
      </w:r>
      <w:r w:rsidR="001153F1" w:rsidRPr="00282AC9">
        <w:rPr>
          <w:rFonts w:cs="AL-Mohanad"/>
          <w:sz w:val="27"/>
          <w:szCs w:val="27"/>
          <w:rtl/>
        </w:rPr>
        <w:t>ح</w:t>
      </w:r>
      <w:r w:rsidR="0072341B" w:rsidRPr="00282AC9">
        <w:rPr>
          <w:rFonts w:cs="AL-Mohanad" w:hint="cs"/>
          <w:sz w:val="27"/>
          <w:szCs w:val="27"/>
          <w:rtl/>
        </w:rPr>
        <w:t>ِ</w:t>
      </w:r>
      <w:r w:rsidR="001153F1" w:rsidRPr="00282AC9">
        <w:rPr>
          <w:rFonts w:cs="AL-Mohanad"/>
          <w:sz w:val="27"/>
          <w:szCs w:val="27"/>
          <w:rtl/>
        </w:rPr>
        <w:t>م تعقم وتبرد من هذه الأربعة أشياء عن الولد</w:t>
      </w:r>
      <w:r w:rsidR="0072341B" w:rsidRPr="00282AC9">
        <w:rPr>
          <w:rFonts w:cs="AL-Mohanad" w:hint="cs"/>
          <w:sz w:val="27"/>
          <w:szCs w:val="27"/>
          <w:rtl/>
        </w:rPr>
        <w:t>.</w:t>
      </w:r>
      <w:r w:rsidR="001153F1" w:rsidRPr="00282AC9">
        <w:rPr>
          <w:rFonts w:cs="AL-Mohanad"/>
          <w:sz w:val="27"/>
          <w:szCs w:val="27"/>
          <w:rtl/>
        </w:rPr>
        <w:t xml:space="preserve"> ولحصير</w:t>
      </w:r>
      <w:r w:rsidR="0072341B" w:rsidRPr="00282AC9">
        <w:rPr>
          <w:rFonts w:cs="AL-Mohanad" w:hint="cs"/>
          <w:sz w:val="27"/>
          <w:szCs w:val="27"/>
          <w:rtl/>
        </w:rPr>
        <w:t>ٌ</w:t>
      </w:r>
      <w:r w:rsidR="001153F1" w:rsidRPr="00282AC9">
        <w:rPr>
          <w:rFonts w:cs="AL-Mohanad"/>
          <w:sz w:val="27"/>
          <w:szCs w:val="27"/>
          <w:rtl/>
        </w:rPr>
        <w:t xml:space="preserve"> في‏ ناحية البيت خير</w:t>
      </w:r>
      <w:r w:rsidR="001153F1" w:rsidRPr="00282AC9">
        <w:rPr>
          <w:rFonts w:cs="AL-Mohanad" w:hint="cs"/>
          <w:sz w:val="27"/>
          <w:szCs w:val="27"/>
          <w:rtl/>
        </w:rPr>
        <w:t>ٌ</w:t>
      </w:r>
      <w:r w:rsidR="001153F1" w:rsidRPr="00282AC9">
        <w:rPr>
          <w:rFonts w:cs="AL-Mohanad"/>
          <w:sz w:val="27"/>
          <w:szCs w:val="27"/>
          <w:rtl/>
        </w:rPr>
        <w:t xml:space="preserve"> من امرأة</w:t>
      </w:r>
      <w:r w:rsidR="0072341B" w:rsidRPr="00282AC9">
        <w:rPr>
          <w:rFonts w:cs="AL-Mohanad" w:hint="cs"/>
          <w:sz w:val="27"/>
          <w:szCs w:val="27"/>
          <w:rtl/>
        </w:rPr>
        <w:t>ٍ</w:t>
      </w:r>
      <w:r w:rsidR="001153F1" w:rsidRPr="00282AC9">
        <w:rPr>
          <w:rFonts w:cs="AL-Mohanad"/>
          <w:sz w:val="27"/>
          <w:szCs w:val="27"/>
          <w:rtl/>
        </w:rPr>
        <w:t xml:space="preserve"> لا تلد</w:t>
      </w:r>
      <w:r w:rsidR="0072341B" w:rsidRPr="00282AC9">
        <w:rPr>
          <w:rFonts w:cs="AL-Mohanad" w:hint="cs"/>
          <w:sz w:val="27"/>
          <w:szCs w:val="27"/>
          <w:rtl/>
        </w:rPr>
        <w:t>.</w:t>
      </w:r>
      <w:r w:rsidR="001153F1" w:rsidRPr="00282AC9">
        <w:rPr>
          <w:rFonts w:cs="AL-Mohanad"/>
          <w:sz w:val="27"/>
          <w:szCs w:val="27"/>
          <w:rtl/>
        </w:rPr>
        <w:t>..</w:t>
      </w:r>
      <w:r w:rsidR="001153F1" w:rsidRPr="00282AC9">
        <w:rPr>
          <w:rFonts w:ascii="Mosawi" w:hAnsi="Mosawi" w:cs="AL-Mohanad"/>
          <w:rtl/>
        </w:rPr>
        <w:t>»</w:t>
      </w:r>
      <w:r w:rsidR="001153F1" w:rsidRPr="00282AC9">
        <w:rPr>
          <w:rFonts w:ascii="Mosawi" w:hAnsi="Mosawi" w:cs="AL-Mohanad"/>
          <w:sz w:val="27"/>
          <w:szCs w:val="27"/>
          <w:vertAlign w:val="superscript"/>
          <w:rtl/>
          <w:lang w:bidi="fa-IR"/>
        </w:rPr>
        <w:t>(</w:t>
      </w:r>
      <w:r w:rsidR="001153F1" w:rsidRPr="00282AC9">
        <w:rPr>
          <w:rStyle w:val="af9"/>
          <w:rFonts w:ascii="Mosawi" w:eastAsiaTheme="majorEastAsia" w:hAnsi="Mosawi" w:cs="AL-Mohanad"/>
          <w:sz w:val="27"/>
          <w:szCs w:val="27"/>
          <w:rtl/>
          <w:lang w:bidi="fa-IR"/>
        </w:rPr>
        <w:endnoteReference w:id="668"/>
      </w:r>
      <w:r w:rsidR="001153F1" w:rsidRPr="00282AC9">
        <w:rPr>
          <w:rFonts w:ascii="Mosawi" w:hAnsi="Mosawi" w:cs="AL-Mohanad"/>
          <w:sz w:val="27"/>
          <w:szCs w:val="27"/>
          <w:vertAlign w:val="superscript"/>
          <w:rtl/>
          <w:lang w:bidi="fa-IR"/>
        </w:rPr>
        <w:t>)</w:t>
      </w:r>
      <w:r w:rsidR="001153F1" w:rsidRPr="00282AC9">
        <w:rPr>
          <w:rFonts w:cs="AL-Mohanad"/>
          <w:sz w:val="27"/>
          <w:szCs w:val="27"/>
          <w:rtl/>
          <w:lang w:bidi="fa-IR"/>
        </w:rPr>
        <w:t>.</w:t>
      </w:r>
    </w:p>
    <w:p w:rsidR="001153F1" w:rsidRPr="00282AC9" w:rsidRDefault="001153F1" w:rsidP="00D1080C">
      <w:pPr>
        <w:rPr>
          <w:b/>
          <w:bCs/>
          <w:rtl/>
          <w:lang w:bidi="fa-IR"/>
        </w:rPr>
      </w:pPr>
      <w:r w:rsidRPr="00282AC9">
        <w:rPr>
          <w:rFonts w:hint="cs"/>
          <w:b/>
          <w:bCs/>
          <w:rtl/>
          <w:lang w:bidi="fa-IR"/>
        </w:rPr>
        <w:t>أـ الدراسة السندي</w:t>
      </w:r>
      <w:r w:rsidR="00F175DA" w:rsidRPr="00282AC9">
        <w:rPr>
          <w:rFonts w:hint="cs"/>
          <w:b/>
          <w:bCs/>
          <w:rtl/>
          <w:lang w:bidi="fa-IR"/>
        </w:rPr>
        <w:t>ّ</w:t>
      </w:r>
      <w:r w:rsidRPr="00282AC9">
        <w:rPr>
          <w:rFonts w:hint="cs"/>
          <w:b/>
          <w:bCs/>
          <w:rtl/>
          <w:lang w:bidi="fa-IR"/>
        </w:rPr>
        <w:t>ة</w:t>
      </w:r>
      <w:r w:rsidR="00D33832" w:rsidRPr="00282AC9">
        <w:rPr>
          <w:rFonts w:ascii="Mosawi" w:hAnsi="Mosawi" w:hint="cs"/>
          <w:sz w:val="27"/>
          <w:rtl/>
          <w:lang w:bidi="fa-IR"/>
        </w:rPr>
        <w:t xml:space="preserve">: </w:t>
      </w:r>
      <w:r w:rsidRPr="00282AC9">
        <w:rPr>
          <w:rFonts w:ascii="Mosawi" w:hAnsi="Mosawi" w:hint="cs"/>
          <w:sz w:val="27"/>
          <w:rtl/>
          <w:lang w:bidi="fa-IR"/>
        </w:rPr>
        <w:t>قد ورد هذا الحديث في أمالي الشيخ الصدوق</w:t>
      </w:r>
      <w:r w:rsidR="00F175DA" w:rsidRPr="00282AC9">
        <w:rPr>
          <w:rFonts w:ascii="Mosawi" w:hAnsi="Mosawi" w:hint="cs"/>
          <w:sz w:val="27"/>
          <w:rtl/>
          <w:lang w:bidi="fa-IR"/>
        </w:rPr>
        <w:t>.</w:t>
      </w:r>
      <w:r w:rsidRPr="00282AC9">
        <w:rPr>
          <w:rFonts w:ascii="Mosawi" w:hAnsi="Mosawi" w:hint="cs"/>
          <w:sz w:val="27"/>
          <w:rtl/>
          <w:lang w:bidi="fa-IR"/>
        </w:rPr>
        <w:t xml:space="preserve"> ويبدو أنّه أخذه من المصادر السن</w:t>
      </w:r>
      <w:r w:rsidR="00F175DA" w:rsidRPr="00282AC9">
        <w:rPr>
          <w:rFonts w:ascii="Mosawi" w:hAnsi="Mosawi" w:hint="cs"/>
          <w:sz w:val="27"/>
          <w:rtl/>
          <w:lang w:bidi="fa-IR"/>
        </w:rPr>
        <w:t>ّ</w:t>
      </w:r>
      <w:r w:rsidRPr="00282AC9">
        <w:rPr>
          <w:rFonts w:ascii="Mosawi" w:hAnsi="Mosawi" w:hint="cs"/>
          <w:sz w:val="27"/>
          <w:rtl/>
          <w:lang w:bidi="fa-IR"/>
        </w:rPr>
        <w:t>ية</w:t>
      </w:r>
      <w:r w:rsidR="00F175DA" w:rsidRPr="00282AC9">
        <w:rPr>
          <w:rFonts w:ascii="Mosawi" w:hAnsi="Mosawi" w:hint="cs"/>
          <w:sz w:val="27"/>
          <w:rtl/>
          <w:lang w:bidi="fa-IR"/>
        </w:rPr>
        <w:t>؛</w:t>
      </w:r>
      <w:r w:rsidRPr="00282AC9">
        <w:rPr>
          <w:rFonts w:ascii="Mosawi" w:hAnsi="Mosawi" w:hint="cs"/>
          <w:sz w:val="27"/>
          <w:rtl/>
          <w:lang w:bidi="fa-IR"/>
        </w:rPr>
        <w:t xml:space="preserve"> إذ يشتمل سند هذا الحديث على أسماء لا نعرفها في المصادر الإمامي</w:t>
      </w:r>
      <w:r w:rsidR="00F175DA" w:rsidRPr="00282AC9">
        <w:rPr>
          <w:rFonts w:ascii="Mosawi" w:hAnsi="Mosawi" w:hint="cs"/>
          <w:sz w:val="27"/>
          <w:rtl/>
          <w:lang w:bidi="fa-IR"/>
        </w:rPr>
        <w:t>ّ</w:t>
      </w:r>
      <w:r w:rsidRPr="00282AC9">
        <w:rPr>
          <w:rFonts w:ascii="Mosawi" w:hAnsi="Mosawi" w:hint="cs"/>
          <w:sz w:val="27"/>
          <w:rtl/>
          <w:lang w:bidi="fa-IR"/>
        </w:rPr>
        <w:t>ة كثيراً</w:t>
      </w:r>
      <w:r w:rsidR="00F175DA" w:rsidRPr="00282AC9">
        <w:rPr>
          <w:rFonts w:ascii="Mosawi" w:hAnsi="Mosawi" w:hint="cs"/>
          <w:sz w:val="27"/>
          <w:rtl/>
          <w:lang w:bidi="fa-IR"/>
        </w:rPr>
        <w:t>،</w:t>
      </w:r>
      <w:r w:rsidRPr="00282AC9">
        <w:rPr>
          <w:rFonts w:ascii="Mosawi" w:hAnsi="Mosawi" w:hint="cs"/>
          <w:sz w:val="27"/>
          <w:rtl/>
          <w:lang w:bidi="fa-IR"/>
        </w:rPr>
        <w:t xml:space="preserve"> وإنّما نجدها في الغالب في المصادر السن</w:t>
      </w:r>
      <w:r w:rsidR="00F175DA" w:rsidRPr="00282AC9">
        <w:rPr>
          <w:rFonts w:ascii="Mosawi" w:hAnsi="Mosawi" w:hint="cs"/>
          <w:sz w:val="27"/>
          <w:rtl/>
          <w:lang w:bidi="fa-IR"/>
        </w:rPr>
        <w:t>ّ</w:t>
      </w:r>
      <w:r w:rsidRPr="00282AC9">
        <w:rPr>
          <w:rFonts w:ascii="Mosawi" w:hAnsi="Mosawi" w:hint="cs"/>
          <w:sz w:val="27"/>
          <w:rtl/>
          <w:lang w:bidi="fa-IR"/>
        </w:rPr>
        <w:t>ية</w:t>
      </w:r>
      <w:r w:rsidR="00F175DA" w:rsidRPr="00282AC9">
        <w:rPr>
          <w:rFonts w:ascii="Mosawi" w:hAnsi="Mosawi" w:hint="cs"/>
          <w:sz w:val="27"/>
          <w:rtl/>
          <w:lang w:bidi="fa-IR"/>
        </w:rPr>
        <w:t>.</w:t>
      </w:r>
      <w:r w:rsidRPr="00282AC9">
        <w:rPr>
          <w:rFonts w:ascii="Mosawi" w:hAnsi="Mosawi" w:hint="cs"/>
          <w:sz w:val="27"/>
          <w:rtl/>
          <w:lang w:bidi="fa-IR"/>
        </w:rPr>
        <w:t xml:space="preserve"> وكما نعرف </w:t>
      </w:r>
      <w:r w:rsidR="00F175DA" w:rsidRPr="00282AC9">
        <w:rPr>
          <w:rFonts w:ascii="Mosawi" w:hAnsi="Mosawi" w:hint="cs"/>
          <w:sz w:val="27"/>
          <w:rtl/>
          <w:lang w:bidi="fa-IR"/>
        </w:rPr>
        <w:t>فإ</w:t>
      </w:r>
      <w:r w:rsidRPr="00282AC9">
        <w:rPr>
          <w:rFonts w:ascii="Mosawi" w:hAnsi="Mosawi" w:hint="cs"/>
          <w:sz w:val="27"/>
          <w:rtl/>
          <w:lang w:bidi="fa-IR"/>
        </w:rPr>
        <w:t>نّ الشيخ الصدوق والطوسي والمفيد كانوا يلق</w:t>
      </w:r>
      <w:r w:rsidR="00F175DA" w:rsidRPr="00282AC9">
        <w:rPr>
          <w:rFonts w:ascii="Mosawi" w:hAnsi="Mosawi" w:hint="cs"/>
          <w:sz w:val="27"/>
          <w:rtl/>
          <w:lang w:bidi="fa-IR"/>
        </w:rPr>
        <w:t>ُ</w:t>
      </w:r>
      <w:r w:rsidRPr="00282AC9">
        <w:rPr>
          <w:rFonts w:ascii="Mosawi" w:hAnsi="Mosawi" w:hint="cs"/>
          <w:sz w:val="27"/>
          <w:rtl/>
          <w:lang w:bidi="fa-IR"/>
        </w:rPr>
        <w:t>ون أماليهم في الملأ العام</w:t>
      </w:r>
      <w:r w:rsidR="00F175DA" w:rsidRPr="00282AC9">
        <w:rPr>
          <w:rFonts w:ascii="Mosawi" w:hAnsi="Mosawi" w:hint="cs"/>
          <w:sz w:val="27"/>
          <w:rtl/>
          <w:lang w:bidi="fa-IR"/>
        </w:rPr>
        <w:t>ّ،</w:t>
      </w:r>
      <w:r w:rsidRPr="00282AC9">
        <w:rPr>
          <w:rFonts w:ascii="Mosawi" w:hAnsi="Mosawi" w:hint="cs"/>
          <w:sz w:val="27"/>
          <w:rtl/>
          <w:lang w:bidi="fa-IR"/>
        </w:rPr>
        <w:t xml:space="preserve"> ور</w:t>
      </w:r>
      <w:r w:rsidR="00F175DA" w:rsidRPr="00282AC9">
        <w:rPr>
          <w:rFonts w:ascii="Mosawi" w:hAnsi="Mosawi" w:hint="cs"/>
          <w:sz w:val="27"/>
          <w:rtl/>
          <w:lang w:bidi="fa-IR"/>
        </w:rPr>
        <w:t>ُ</w:t>
      </w:r>
      <w:r w:rsidRPr="00282AC9">
        <w:rPr>
          <w:rFonts w:ascii="Mosawi" w:hAnsi="Mosawi" w:hint="cs"/>
          <w:sz w:val="27"/>
          <w:rtl/>
          <w:lang w:bidi="fa-IR"/>
        </w:rPr>
        <w:t>ب</w:t>
      </w:r>
      <w:r w:rsidR="00F175DA" w:rsidRPr="00282AC9">
        <w:rPr>
          <w:rFonts w:ascii="Mosawi" w:hAnsi="Mosawi" w:hint="cs"/>
          <w:sz w:val="27"/>
          <w:rtl/>
          <w:lang w:bidi="fa-IR"/>
        </w:rPr>
        <w:t>َ</w:t>
      </w:r>
      <w:r w:rsidRPr="00282AC9">
        <w:rPr>
          <w:rFonts w:ascii="Mosawi" w:hAnsi="Mosawi" w:hint="cs"/>
          <w:sz w:val="27"/>
          <w:rtl/>
          <w:lang w:bidi="fa-IR"/>
        </w:rPr>
        <w:t>ما لأجل ذلك كانوا يأتون بأحاديث سن</w:t>
      </w:r>
      <w:r w:rsidR="00F175DA" w:rsidRPr="00282AC9">
        <w:rPr>
          <w:rFonts w:ascii="Mosawi" w:hAnsi="Mosawi" w:hint="cs"/>
          <w:sz w:val="27"/>
          <w:rtl/>
          <w:lang w:bidi="fa-IR"/>
        </w:rPr>
        <w:t>ّ</w:t>
      </w:r>
      <w:r w:rsidRPr="00282AC9">
        <w:rPr>
          <w:rFonts w:ascii="Mosawi" w:hAnsi="Mosawi" w:hint="cs"/>
          <w:sz w:val="27"/>
          <w:rtl/>
          <w:lang w:bidi="fa-IR"/>
        </w:rPr>
        <w:t>ية</w:t>
      </w:r>
      <w:r w:rsidR="00F175DA" w:rsidRPr="00282AC9">
        <w:rPr>
          <w:rFonts w:ascii="Mosawi" w:hAnsi="Mosawi" w:hint="cs"/>
          <w:sz w:val="27"/>
          <w:rtl/>
          <w:lang w:bidi="fa-IR"/>
        </w:rPr>
        <w:t>؛</w:t>
      </w:r>
      <w:r w:rsidRPr="00282AC9">
        <w:rPr>
          <w:rFonts w:ascii="Mosawi" w:hAnsi="Mosawi" w:hint="cs"/>
          <w:sz w:val="27"/>
          <w:rtl/>
          <w:lang w:bidi="fa-IR"/>
        </w:rPr>
        <w:t xml:space="preserve"> كي يكون لها وقع</w:t>
      </w:r>
      <w:r w:rsidR="00F175DA" w:rsidRPr="00282AC9">
        <w:rPr>
          <w:rFonts w:ascii="Mosawi" w:hAnsi="Mosawi" w:hint="cs"/>
          <w:sz w:val="27"/>
          <w:rtl/>
          <w:lang w:bidi="fa-IR"/>
        </w:rPr>
        <w:t>ٌ</w:t>
      </w:r>
      <w:r w:rsidRPr="00282AC9">
        <w:rPr>
          <w:rFonts w:ascii="Mosawi" w:hAnsi="Mosawi" w:hint="cs"/>
          <w:sz w:val="27"/>
          <w:rtl/>
          <w:lang w:bidi="fa-IR"/>
        </w:rPr>
        <w:t xml:space="preserve"> عند عامّة الناس من غير الشيعة، أكثر من استخدام الأسانيد المختصّة بالشيعة</w:t>
      </w:r>
      <w:r w:rsidR="00F175DA" w:rsidRPr="00282AC9">
        <w:rPr>
          <w:rFonts w:ascii="Mosawi" w:hAnsi="Mosawi" w:hint="cs"/>
          <w:sz w:val="27"/>
          <w:rtl/>
          <w:lang w:bidi="fa-IR"/>
        </w:rPr>
        <w:t>.</w:t>
      </w:r>
      <w:r w:rsidRPr="00282AC9">
        <w:rPr>
          <w:rFonts w:ascii="Mosawi" w:hAnsi="Mosawi" w:hint="cs"/>
          <w:sz w:val="27"/>
          <w:rtl/>
          <w:lang w:bidi="fa-IR"/>
        </w:rPr>
        <w:t xml:space="preserve"> ور</w:t>
      </w:r>
      <w:r w:rsidR="00F175DA" w:rsidRPr="00282AC9">
        <w:rPr>
          <w:rFonts w:ascii="Mosawi" w:hAnsi="Mosawi" w:hint="cs"/>
          <w:sz w:val="27"/>
          <w:rtl/>
          <w:lang w:bidi="fa-IR"/>
        </w:rPr>
        <w:t>ُ</w:t>
      </w:r>
      <w:r w:rsidRPr="00282AC9">
        <w:rPr>
          <w:rFonts w:ascii="Mosawi" w:hAnsi="Mosawi" w:hint="cs"/>
          <w:sz w:val="27"/>
          <w:rtl/>
          <w:lang w:bidi="fa-IR"/>
        </w:rPr>
        <w:t>ب</w:t>
      </w:r>
      <w:r w:rsidR="00F175DA" w:rsidRPr="00282AC9">
        <w:rPr>
          <w:rFonts w:ascii="Mosawi" w:hAnsi="Mosawi" w:hint="cs"/>
          <w:sz w:val="27"/>
          <w:rtl/>
          <w:lang w:bidi="fa-IR"/>
        </w:rPr>
        <w:t>َ</w:t>
      </w:r>
      <w:r w:rsidRPr="00282AC9">
        <w:rPr>
          <w:rFonts w:ascii="Mosawi" w:hAnsi="Mosawi" w:hint="cs"/>
          <w:sz w:val="27"/>
          <w:rtl/>
          <w:lang w:bidi="fa-IR"/>
        </w:rPr>
        <w:t xml:space="preserve">ما </w:t>
      </w:r>
      <w:r w:rsidR="00F175DA" w:rsidRPr="00282AC9">
        <w:rPr>
          <w:rFonts w:ascii="Mosawi" w:hAnsi="Mosawi" w:hint="cs"/>
          <w:sz w:val="27"/>
          <w:rtl/>
          <w:lang w:bidi="fa-IR"/>
        </w:rPr>
        <w:t xml:space="preserve">يكون </w:t>
      </w:r>
      <w:r w:rsidRPr="00282AC9">
        <w:rPr>
          <w:rFonts w:ascii="Mosawi" w:hAnsi="Mosawi" w:hint="cs"/>
          <w:sz w:val="27"/>
          <w:rtl/>
          <w:lang w:bidi="fa-IR"/>
        </w:rPr>
        <w:t>هذا أقرب</w:t>
      </w:r>
      <w:r w:rsidR="00F175DA" w:rsidRPr="00282AC9">
        <w:rPr>
          <w:rFonts w:ascii="Mosawi" w:hAnsi="Mosawi" w:hint="cs"/>
          <w:sz w:val="27"/>
          <w:rtl/>
          <w:lang w:bidi="fa-IR"/>
        </w:rPr>
        <w:t>َ</w:t>
      </w:r>
      <w:r w:rsidRPr="00282AC9">
        <w:rPr>
          <w:rFonts w:ascii="Mosawi" w:hAnsi="Mosawi" w:hint="cs"/>
          <w:sz w:val="27"/>
          <w:rtl/>
          <w:lang w:bidi="fa-IR"/>
        </w:rPr>
        <w:t xml:space="preserve"> تفسير</w:t>
      </w:r>
      <w:r w:rsidR="00F175DA" w:rsidRPr="00282AC9">
        <w:rPr>
          <w:rFonts w:ascii="Mosawi" w:hAnsi="Mosawi" w:hint="cs"/>
          <w:sz w:val="27"/>
          <w:rtl/>
          <w:lang w:bidi="fa-IR"/>
        </w:rPr>
        <w:t>ٍ</w:t>
      </w:r>
      <w:r w:rsidRPr="00282AC9">
        <w:rPr>
          <w:rFonts w:ascii="Mosawi" w:hAnsi="Mosawi" w:hint="cs"/>
          <w:sz w:val="27"/>
          <w:rtl/>
          <w:lang w:bidi="fa-IR"/>
        </w:rPr>
        <w:t xml:space="preserve"> لوجود أسماء غير مألوفة إمامي</w:t>
      </w:r>
      <w:r w:rsidR="00F175DA" w:rsidRPr="00282AC9">
        <w:rPr>
          <w:rFonts w:ascii="Mosawi" w:hAnsi="Mosawi" w:hint="cs"/>
          <w:sz w:val="27"/>
          <w:rtl/>
          <w:lang w:bidi="fa-IR"/>
        </w:rPr>
        <w:t>ّ</w:t>
      </w:r>
      <w:r w:rsidRPr="00282AC9">
        <w:rPr>
          <w:rFonts w:ascii="Mosawi" w:hAnsi="Mosawi" w:hint="cs"/>
          <w:sz w:val="27"/>
          <w:rtl/>
          <w:lang w:bidi="fa-IR"/>
        </w:rPr>
        <w:t>اً في كتب الأمالي هذه. وإن</w:t>
      </w:r>
      <w:r w:rsidR="00F175DA" w:rsidRPr="00282AC9">
        <w:rPr>
          <w:rFonts w:ascii="Mosawi" w:hAnsi="Mosawi" w:hint="cs"/>
          <w:sz w:val="27"/>
          <w:rtl/>
          <w:lang w:bidi="fa-IR"/>
        </w:rPr>
        <w:t>ْ</w:t>
      </w:r>
      <w:r w:rsidRPr="00282AC9">
        <w:rPr>
          <w:rFonts w:ascii="Mosawi" w:hAnsi="Mosawi" w:hint="cs"/>
          <w:sz w:val="27"/>
          <w:rtl/>
          <w:lang w:bidi="fa-IR"/>
        </w:rPr>
        <w:t xml:space="preserve"> كان بعض المعاصرين</w:t>
      </w:r>
      <w:r w:rsidRPr="00282AC9">
        <w:rPr>
          <w:rFonts w:ascii="Mosawi" w:hAnsi="Mosawi"/>
          <w:sz w:val="27"/>
          <w:vertAlign w:val="superscript"/>
          <w:rtl/>
          <w:lang w:bidi="fa-IR"/>
        </w:rPr>
        <w:t>(</w:t>
      </w:r>
      <w:r w:rsidRPr="00282AC9">
        <w:rPr>
          <w:rStyle w:val="af9"/>
          <w:rFonts w:ascii="Mosawi" w:hAnsi="Mosawi"/>
          <w:sz w:val="27"/>
          <w:rtl/>
          <w:lang w:bidi="fa-IR"/>
        </w:rPr>
        <w:endnoteReference w:id="669"/>
      </w:r>
      <w:r w:rsidRPr="00282AC9">
        <w:rPr>
          <w:rFonts w:ascii="Mosawi" w:hAnsi="Mosawi"/>
          <w:sz w:val="27"/>
          <w:vertAlign w:val="superscript"/>
          <w:rtl/>
          <w:lang w:bidi="fa-IR"/>
        </w:rPr>
        <w:t>)</w:t>
      </w:r>
      <w:r w:rsidRPr="00282AC9">
        <w:rPr>
          <w:rFonts w:ascii="Mosawi" w:hAnsi="Mosawi" w:hint="cs"/>
          <w:sz w:val="27"/>
          <w:rtl/>
          <w:lang w:bidi="fa-IR"/>
        </w:rPr>
        <w:t xml:space="preserve"> يشكّ</w:t>
      </w:r>
      <w:r w:rsidR="00F175DA" w:rsidRPr="00282AC9">
        <w:rPr>
          <w:rFonts w:ascii="Mosawi" w:hAnsi="Mosawi" w:hint="cs"/>
          <w:sz w:val="27"/>
          <w:rtl/>
          <w:lang w:bidi="fa-IR"/>
        </w:rPr>
        <w:t>ِ</w:t>
      </w:r>
      <w:r w:rsidRPr="00282AC9">
        <w:rPr>
          <w:rFonts w:ascii="Mosawi" w:hAnsi="Mosawi" w:hint="cs"/>
          <w:sz w:val="27"/>
          <w:rtl/>
          <w:lang w:bidi="fa-IR"/>
        </w:rPr>
        <w:t>ك في نسبة بعض كتب الأمالي إلى أصحابها</w:t>
      </w:r>
      <w:r w:rsidR="00F175DA" w:rsidRPr="00282AC9">
        <w:rPr>
          <w:rFonts w:ascii="Mosawi" w:hAnsi="Mosawi" w:hint="cs"/>
          <w:sz w:val="27"/>
          <w:rtl/>
          <w:lang w:bidi="fa-IR"/>
        </w:rPr>
        <w:t>.</w:t>
      </w:r>
      <w:r w:rsidRPr="00282AC9">
        <w:rPr>
          <w:rFonts w:ascii="Mosawi" w:hAnsi="Mosawi" w:hint="cs"/>
          <w:sz w:val="27"/>
          <w:rtl/>
          <w:lang w:bidi="fa-IR"/>
        </w:rPr>
        <w:t xml:space="preserve"> وتفصيل</w:t>
      </w:r>
      <w:r w:rsidR="00F175DA" w:rsidRPr="00282AC9">
        <w:rPr>
          <w:rFonts w:ascii="Mosawi" w:hAnsi="Mosawi" w:hint="cs"/>
          <w:sz w:val="27"/>
          <w:rtl/>
          <w:lang w:bidi="fa-IR"/>
        </w:rPr>
        <w:t>ُ ذلك</w:t>
      </w:r>
      <w:r w:rsidRPr="00282AC9">
        <w:rPr>
          <w:rFonts w:ascii="Mosawi" w:hAnsi="Mosawi" w:hint="cs"/>
          <w:sz w:val="27"/>
          <w:rtl/>
          <w:lang w:bidi="fa-IR"/>
        </w:rPr>
        <w:t xml:space="preserve"> يراجع في محلّه. </w:t>
      </w:r>
    </w:p>
    <w:p w:rsidR="001153F1" w:rsidRPr="00282AC9" w:rsidRDefault="001153F1" w:rsidP="00D1080C">
      <w:pPr>
        <w:pStyle w:val="afc"/>
        <w:rPr>
          <w:rFonts w:ascii="Mosawi" w:hAnsi="Mosawi" w:cs="AL-Mohanad"/>
          <w:sz w:val="27"/>
          <w:szCs w:val="27"/>
          <w:rtl/>
        </w:rPr>
      </w:pPr>
      <w:r w:rsidRPr="00282AC9">
        <w:rPr>
          <w:rFonts w:ascii="Mosawi" w:hAnsi="Mosawi" w:cs="AL-Mohanad" w:hint="cs"/>
          <w:sz w:val="27"/>
          <w:szCs w:val="27"/>
          <w:rtl/>
        </w:rPr>
        <w:t>إنّ رسول الله</w:t>
      </w:r>
      <w:r w:rsidR="009A2A04" w:rsidRPr="00282AC9">
        <w:rPr>
          <w:rFonts w:ascii="Mosawi" w:hAnsi="Mosawi" w:cs="Mosawi"/>
          <w:sz w:val="22"/>
          <w:szCs w:val="22"/>
          <w:rtl/>
        </w:rPr>
        <w:t>|</w:t>
      </w:r>
      <w:r w:rsidRPr="00282AC9">
        <w:rPr>
          <w:rFonts w:ascii="Mosawi" w:hAnsi="Mosawi" w:cs="AL-Mohanad" w:hint="cs"/>
          <w:sz w:val="27"/>
          <w:szCs w:val="27"/>
          <w:rtl/>
        </w:rPr>
        <w:t xml:space="preserve"> يوصي في هذه الرواية علي</w:t>
      </w:r>
      <w:r w:rsidR="00583493" w:rsidRPr="00282AC9">
        <w:rPr>
          <w:rFonts w:ascii="Mosawi" w:hAnsi="Mosawi" w:cs="AL-Mohanad" w:hint="cs"/>
          <w:sz w:val="27"/>
          <w:szCs w:val="27"/>
          <w:rtl/>
        </w:rPr>
        <w:t>ّ</w:t>
      </w:r>
      <w:r w:rsidRPr="00282AC9">
        <w:rPr>
          <w:rFonts w:ascii="Mosawi" w:hAnsi="Mosawi" w:cs="AL-Mohanad" w:hint="cs"/>
          <w:sz w:val="27"/>
          <w:szCs w:val="27"/>
          <w:rtl/>
        </w:rPr>
        <w:t>اً</w:t>
      </w:r>
      <w:r w:rsidR="009A2A04" w:rsidRPr="00282AC9">
        <w:rPr>
          <w:rFonts w:ascii="Mosawi" w:hAnsi="Mosawi" w:cs="Mosawi"/>
          <w:sz w:val="22"/>
          <w:szCs w:val="22"/>
          <w:rtl/>
        </w:rPr>
        <w:t>×</w:t>
      </w:r>
      <w:r w:rsidRPr="00282AC9">
        <w:rPr>
          <w:rFonts w:ascii="Mosawi" w:hAnsi="Mosawi" w:cs="AL-Mohanad" w:hint="cs"/>
          <w:sz w:val="27"/>
          <w:szCs w:val="27"/>
          <w:rtl/>
        </w:rPr>
        <w:t xml:space="preserve"> بمنعه عروسه من أربعة أشياء في أسبوعها</w:t>
      </w:r>
      <w:r w:rsidR="00583493" w:rsidRPr="00282AC9">
        <w:rPr>
          <w:rFonts w:ascii="Mosawi" w:hAnsi="Mosawi" w:cs="AL-Mohanad" w:hint="cs"/>
          <w:sz w:val="27"/>
          <w:szCs w:val="27"/>
          <w:rtl/>
        </w:rPr>
        <w:t>،</w:t>
      </w:r>
      <w:r w:rsidRPr="00282AC9">
        <w:rPr>
          <w:rFonts w:ascii="Mosawi" w:hAnsi="Mosawi" w:cs="AL-Mohanad" w:hint="cs"/>
          <w:sz w:val="27"/>
          <w:szCs w:val="27"/>
          <w:rtl/>
        </w:rPr>
        <w:t xml:space="preserve"> ويعلّ</w:t>
      </w:r>
      <w:r w:rsidR="00583493" w:rsidRPr="00282AC9">
        <w:rPr>
          <w:rFonts w:ascii="Mosawi" w:hAnsi="Mosawi" w:cs="AL-Mohanad" w:hint="cs"/>
          <w:sz w:val="27"/>
          <w:szCs w:val="27"/>
          <w:rtl/>
        </w:rPr>
        <w:t>ِ</w:t>
      </w:r>
      <w:r w:rsidRPr="00282AC9">
        <w:rPr>
          <w:rFonts w:ascii="Mosawi" w:hAnsi="Mosawi" w:cs="AL-Mohanad" w:hint="cs"/>
          <w:sz w:val="27"/>
          <w:szCs w:val="27"/>
          <w:rtl/>
        </w:rPr>
        <w:t>لها بأنّها تبر</w:t>
      </w:r>
      <w:r w:rsidR="00583493" w:rsidRPr="00282AC9">
        <w:rPr>
          <w:rFonts w:ascii="Mosawi" w:hAnsi="Mosawi" w:cs="AL-Mohanad" w:hint="cs"/>
          <w:sz w:val="27"/>
          <w:szCs w:val="27"/>
          <w:rtl/>
        </w:rPr>
        <w:t>ِّ</w:t>
      </w:r>
      <w:r w:rsidRPr="00282AC9">
        <w:rPr>
          <w:rFonts w:ascii="Mosawi" w:hAnsi="Mosawi" w:cs="AL-Mohanad" w:hint="cs"/>
          <w:sz w:val="27"/>
          <w:szCs w:val="27"/>
          <w:rtl/>
        </w:rPr>
        <w:t>د الر</w:t>
      </w:r>
      <w:r w:rsidR="00583493" w:rsidRPr="00282AC9">
        <w:rPr>
          <w:rFonts w:ascii="Mosawi" w:hAnsi="Mosawi" w:cs="AL-Mohanad" w:hint="cs"/>
          <w:sz w:val="27"/>
          <w:szCs w:val="27"/>
          <w:rtl/>
        </w:rPr>
        <w:t>َّ</w:t>
      </w:r>
      <w:r w:rsidRPr="00282AC9">
        <w:rPr>
          <w:rFonts w:ascii="Mosawi" w:hAnsi="Mosawi" w:cs="AL-Mohanad" w:hint="cs"/>
          <w:sz w:val="27"/>
          <w:szCs w:val="27"/>
          <w:rtl/>
        </w:rPr>
        <w:t>ح</w:t>
      </w:r>
      <w:r w:rsidR="00583493" w:rsidRPr="00282AC9">
        <w:rPr>
          <w:rFonts w:ascii="Mosawi" w:hAnsi="Mosawi" w:cs="AL-Mohanad" w:hint="cs"/>
          <w:sz w:val="27"/>
          <w:szCs w:val="27"/>
          <w:rtl/>
        </w:rPr>
        <w:t>ِ</w:t>
      </w:r>
      <w:r w:rsidRPr="00282AC9">
        <w:rPr>
          <w:rFonts w:ascii="Mosawi" w:hAnsi="Mosawi" w:cs="AL-Mohanad" w:hint="cs"/>
          <w:sz w:val="27"/>
          <w:szCs w:val="27"/>
          <w:rtl/>
        </w:rPr>
        <w:t>م وتعق</w:t>
      </w:r>
      <w:r w:rsidR="00583493" w:rsidRPr="00282AC9">
        <w:rPr>
          <w:rFonts w:ascii="Mosawi" w:hAnsi="Mosawi" w:cs="AL-Mohanad" w:hint="cs"/>
          <w:sz w:val="27"/>
          <w:szCs w:val="27"/>
          <w:rtl/>
        </w:rPr>
        <w:t>ِّ</w:t>
      </w:r>
      <w:r w:rsidRPr="00282AC9">
        <w:rPr>
          <w:rFonts w:ascii="Mosawi" w:hAnsi="Mosawi" w:cs="AL-Mohanad" w:hint="cs"/>
          <w:sz w:val="27"/>
          <w:szCs w:val="27"/>
          <w:rtl/>
        </w:rPr>
        <w:t>مها، ثم</w:t>
      </w:r>
      <w:r w:rsidR="00583493" w:rsidRPr="00282AC9">
        <w:rPr>
          <w:rFonts w:ascii="Mosawi" w:hAnsi="Mosawi" w:cs="AL-Mohanad" w:hint="cs"/>
          <w:sz w:val="27"/>
          <w:szCs w:val="27"/>
          <w:rtl/>
        </w:rPr>
        <w:t>ّ</w:t>
      </w:r>
      <w:r w:rsidRPr="00282AC9">
        <w:rPr>
          <w:rFonts w:ascii="Mosawi" w:hAnsi="Mosawi" w:cs="AL-Mohanad" w:hint="cs"/>
          <w:sz w:val="27"/>
          <w:szCs w:val="27"/>
          <w:rtl/>
        </w:rPr>
        <w:t xml:space="preserve"> يأتي بجملة</w:t>
      </w:r>
      <w:r w:rsidR="00583493" w:rsidRPr="00282AC9">
        <w:rPr>
          <w:rFonts w:ascii="Mosawi" w:hAnsi="Mosawi" w:cs="AL-Mohanad" w:hint="cs"/>
          <w:sz w:val="27"/>
          <w:szCs w:val="27"/>
          <w:rtl/>
        </w:rPr>
        <w:t>ٍ</w:t>
      </w:r>
      <w:r w:rsidRPr="00282AC9">
        <w:rPr>
          <w:rFonts w:ascii="Mosawi" w:hAnsi="Mosawi" w:cs="AL-Mohanad" w:hint="cs"/>
          <w:sz w:val="27"/>
          <w:szCs w:val="27"/>
          <w:rtl/>
        </w:rPr>
        <w:t xml:space="preserve"> هي محلّ الشاهد</w:t>
      </w:r>
      <w:r w:rsidR="00583493" w:rsidRPr="00282AC9">
        <w:rPr>
          <w:rFonts w:ascii="Mosawi" w:hAnsi="Mosawi" w:cs="AL-Mohanad" w:hint="cs"/>
          <w:sz w:val="27"/>
          <w:szCs w:val="27"/>
          <w:rtl/>
        </w:rPr>
        <w:t>؛</w:t>
      </w:r>
      <w:r w:rsidRPr="00282AC9">
        <w:rPr>
          <w:rFonts w:ascii="Mosawi" w:hAnsi="Mosawi" w:cs="AL-Mohanad" w:hint="cs"/>
          <w:sz w:val="27"/>
          <w:szCs w:val="27"/>
          <w:rtl/>
        </w:rPr>
        <w:t xml:space="preserve"> إذ قد ي</w:t>
      </w:r>
      <w:r w:rsidR="00583493" w:rsidRPr="00282AC9">
        <w:rPr>
          <w:rFonts w:ascii="Mosawi" w:hAnsi="Mosawi" w:cs="AL-Mohanad" w:hint="cs"/>
          <w:sz w:val="27"/>
          <w:szCs w:val="27"/>
          <w:rtl/>
        </w:rPr>
        <w:t>ُ</w:t>
      </w:r>
      <w:r w:rsidRPr="00282AC9">
        <w:rPr>
          <w:rFonts w:ascii="Mosawi" w:hAnsi="Mosawi" w:cs="AL-Mohanad" w:hint="cs"/>
          <w:sz w:val="27"/>
          <w:szCs w:val="27"/>
          <w:rtl/>
        </w:rPr>
        <w:t>ستفاد منه تشنيعٌ في حقّ المرأة العقيم</w:t>
      </w:r>
      <w:r w:rsidR="00583493" w:rsidRPr="00282AC9">
        <w:rPr>
          <w:rFonts w:ascii="Mosawi" w:hAnsi="Mosawi" w:cs="AL-Mohanad" w:hint="cs"/>
          <w:sz w:val="27"/>
          <w:szCs w:val="27"/>
          <w:rtl/>
        </w:rPr>
        <w:t>؛</w:t>
      </w:r>
      <w:r w:rsidRPr="00282AC9">
        <w:rPr>
          <w:rFonts w:ascii="Mosawi" w:hAnsi="Mosawi" w:cs="AL-Mohanad" w:hint="cs"/>
          <w:sz w:val="27"/>
          <w:szCs w:val="27"/>
          <w:rtl/>
        </w:rPr>
        <w:t xml:space="preserve"> إذ جاء في الحديث: </w:t>
      </w:r>
      <w:r w:rsidRPr="00282AC9">
        <w:rPr>
          <w:rFonts w:ascii="Mosawi" w:hAnsi="Mosawi" w:cs="AL-Mohanad"/>
          <w:rtl/>
        </w:rPr>
        <w:t>«</w:t>
      </w:r>
      <w:r w:rsidRPr="00282AC9">
        <w:rPr>
          <w:rFonts w:cs="AL-Mohanad"/>
          <w:sz w:val="27"/>
          <w:szCs w:val="27"/>
          <w:rtl/>
        </w:rPr>
        <w:t>ولحصير</w:t>
      </w:r>
      <w:r w:rsidR="00583493" w:rsidRPr="00282AC9">
        <w:rPr>
          <w:rFonts w:cs="AL-Mohanad" w:hint="cs"/>
          <w:sz w:val="27"/>
          <w:szCs w:val="27"/>
          <w:rtl/>
        </w:rPr>
        <w:t>ٌ</w:t>
      </w:r>
      <w:r w:rsidRPr="00282AC9">
        <w:rPr>
          <w:rFonts w:cs="AL-Mohanad"/>
          <w:sz w:val="27"/>
          <w:szCs w:val="27"/>
          <w:rtl/>
        </w:rPr>
        <w:t xml:space="preserve"> في‏ ناحية البيت خير</w:t>
      </w:r>
      <w:r w:rsidRPr="00282AC9">
        <w:rPr>
          <w:rFonts w:cs="AL-Mohanad" w:hint="cs"/>
          <w:sz w:val="27"/>
          <w:szCs w:val="27"/>
          <w:rtl/>
        </w:rPr>
        <w:t>ٌ</w:t>
      </w:r>
      <w:r w:rsidRPr="00282AC9">
        <w:rPr>
          <w:rFonts w:cs="AL-Mohanad"/>
          <w:sz w:val="27"/>
          <w:szCs w:val="27"/>
          <w:rtl/>
        </w:rPr>
        <w:t xml:space="preserve"> من امرأة</w:t>
      </w:r>
      <w:r w:rsidR="00583493" w:rsidRPr="00282AC9">
        <w:rPr>
          <w:rFonts w:cs="AL-Mohanad" w:hint="cs"/>
          <w:sz w:val="27"/>
          <w:szCs w:val="27"/>
          <w:rtl/>
        </w:rPr>
        <w:t>ٍ</w:t>
      </w:r>
      <w:r w:rsidRPr="00282AC9">
        <w:rPr>
          <w:rFonts w:cs="AL-Mohanad"/>
          <w:sz w:val="27"/>
          <w:szCs w:val="27"/>
          <w:rtl/>
        </w:rPr>
        <w:t xml:space="preserve"> لا تلد.</w:t>
      </w:r>
      <w:r w:rsidR="00583493" w:rsidRPr="00282AC9">
        <w:rPr>
          <w:rFonts w:cs="AL-Mohanad" w:hint="cs"/>
          <w:sz w:val="27"/>
          <w:szCs w:val="27"/>
          <w:rtl/>
        </w:rPr>
        <w:t>.</w:t>
      </w:r>
      <w:r w:rsidRPr="00282AC9">
        <w:rPr>
          <w:rFonts w:cs="AL-Mohanad"/>
          <w:sz w:val="27"/>
          <w:szCs w:val="27"/>
          <w:rtl/>
        </w:rPr>
        <w:t>.</w:t>
      </w:r>
      <w:r w:rsidRPr="00282AC9">
        <w:rPr>
          <w:rFonts w:ascii="Mosawi" w:hAnsi="Mosawi" w:cs="AL-Mohanad"/>
          <w:rtl/>
        </w:rPr>
        <w:t>»</w:t>
      </w:r>
      <w:r w:rsidRPr="00282AC9">
        <w:rPr>
          <w:rFonts w:ascii="Mosawi" w:hAnsi="Mosawi" w:cs="AL-Mohanad" w:hint="cs"/>
          <w:sz w:val="27"/>
          <w:szCs w:val="27"/>
          <w:rtl/>
        </w:rPr>
        <w:t xml:space="preserve">. </w:t>
      </w:r>
    </w:p>
    <w:p w:rsidR="001153F1" w:rsidRPr="00282AC9" w:rsidRDefault="001153F1" w:rsidP="00D1080C">
      <w:pPr>
        <w:pStyle w:val="afc"/>
        <w:rPr>
          <w:rFonts w:ascii="Mosawi" w:hAnsi="Mosawi" w:cs="AL-Mohanad"/>
          <w:sz w:val="27"/>
          <w:szCs w:val="27"/>
          <w:rtl/>
        </w:rPr>
      </w:pPr>
      <w:r w:rsidRPr="00282AC9">
        <w:rPr>
          <w:rFonts w:ascii="Mosawi" w:hAnsi="Mosawi" w:cs="AL-Mohanad" w:hint="cs"/>
          <w:sz w:val="27"/>
          <w:szCs w:val="27"/>
          <w:rtl/>
        </w:rPr>
        <w:t>لكن</w:t>
      </w:r>
      <w:r w:rsidR="00583493" w:rsidRPr="00282AC9">
        <w:rPr>
          <w:rFonts w:ascii="Mosawi" w:hAnsi="Mosawi" w:cs="AL-Mohanad" w:hint="cs"/>
          <w:sz w:val="27"/>
          <w:szCs w:val="27"/>
          <w:rtl/>
        </w:rPr>
        <w:t>ّ</w:t>
      </w:r>
      <w:r w:rsidRPr="00282AC9">
        <w:rPr>
          <w:rFonts w:ascii="Mosawi" w:hAnsi="Mosawi" w:cs="AL-Mohanad" w:hint="cs"/>
          <w:sz w:val="27"/>
          <w:szCs w:val="27"/>
          <w:rtl/>
        </w:rPr>
        <w:t xml:space="preserve"> هذا المقطع ورد في المصادر السن</w:t>
      </w:r>
      <w:r w:rsidR="00583493" w:rsidRPr="00282AC9">
        <w:rPr>
          <w:rFonts w:ascii="Mosawi" w:hAnsi="Mosawi" w:cs="AL-Mohanad" w:hint="cs"/>
          <w:sz w:val="27"/>
          <w:szCs w:val="27"/>
          <w:rtl/>
        </w:rPr>
        <w:t>ّ</w:t>
      </w:r>
      <w:r w:rsidRPr="00282AC9">
        <w:rPr>
          <w:rFonts w:ascii="Mosawi" w:hAnsi="Mosawi" w:cs="AL-Mohanad" w:hint="cs"/>
          <w:sz w:val="27"/>
          <w:szCs w:val="27"/>
          <w:rtl/>
        </w:rPr>
        <w:t>ية على أنّه قول عمر بن الخط</w:t>
      </w:r>
      <w:r w:rsidR="00583493" w:rsidRPr="00282AC9">
        <w:rPr>
          <w:rFonts w:ascii="Mosawi" w:hAnsi="Mosawi" w:cs="AL-Mohanad" w:hint="cs"/>
          <w:sz w:val="27"/>
          <w:szCs w:val="27"/>
          <w:rtl/>
        </w:rPr>
        <w:t>ّ</w:t>
      </w:r>
      <w:r w:rsidRPr="00282AC9">
        <w:rPr>
          <w:rFonts w:ascii="Mosawi" w:hAnsi="Mosawi" w:cs="AL-Mohanad" w:hint="cs"/>
          <w:sz w:val="27"/>
          <w:szCs w:val="27"/>
          <w:rtl/>
        </w:rPr>
        <w:t>اب</w:t>
      </w:r>
      <w:r w:rsidR="00583493" w:rsidRPr="00282AC9">
        <w:rPr>
          <w:rFonts w:ascii="Mosawi" w:hAnsi="Mosawi" w:cs="AL-Mohanad" w:hint="cs"/>
          <w:sz w:val="27"/>
          <w:szCs w:val="27"/>
          <w:rtl/>
        </w:rPr>
        <w:t>،</w:t>
      </w:r>
      <w:r w:rsidRPr="00282AC9">
        <w:rPr>
          <w:rFonts w:ascii="Mosawi" w:hAnsi="Mosawi" w:cs="AL-Mohanad" w:hint="cs"/>
          <w:sz w:val="27"/>
          <w:szCs w:val="27"/>
          <w:rtl/>
        </w:rPr>
        <w:t xml:space="preserve"> فاعتبروه من الموقوفات</w:t>
      </w:r>
      <w:r w:rsidR="00583493" w:rsidRPr="00282AC9">
        <w:rPr>
          <w:rFonts w:ascii="Mosawi" w:hAnsi="Mosawi" w:cs="AL-Mohanad"/>
          <w:sz w:val="27"/>
          <w:szCs w:val="27"/>
          <w:vertAlign w:val="superscript"/>
          <w:rtl/>
        </w:rPr>
        <w:t>(</w:t>
      </w:r>
      <w:r w:rsidR="00583493" w:rsidRPr="00282AC9">
        <w:rPr>
          <w:rStyle w:val="af9"/>
          <w:rFonts w:ascii="Mosawi" w:hAnsi="Mosawi" w:cs="AL-Mohanad"/>
          <w:sz w:val="27"/>
          <w:szCs w:val="27"/>
          <w:rtl/>
        </w:rPr>
        <w:endnoteReference w:id="670"/>
      </w:r>
      <w:r w:rsidR="00583493" w:rsidRPr="00282AC9">
        <w:rPr>
          <w:rFonts w:ascii="Mosawi" w:hAnsi="Mosawi" w:cs="AL-Mohanad"/>
          <w:sz w:val="27"/>
          <w:szCs w:val="27"/>
          <w:vertAlign w:val="superscript"/>
          <w:rtl/>
        </w:rPr>
        <w:t>)</w:t>
      </w:r>
      <w:r w:rsidR="00583493" w:rsidRPr="00282AC9">
        <w:rPr>
          <w:rFonts w:ascii="Mosawi" w:hAnsi="Mosawi" w:cs="AL-Mohanad" w:hint="cs"/>
          <w:sz w:val="27"/>
          <w:szCs w:val="27"/>
          <w:rtl/>
        </w:rPr>
        <w:t>.</w:t>
      </w:r>
      <w:r w:rsidRPr="00282AC9">
        <w:rPr>
          <w:rFonts w:ascii="Mosawi" w:hAnsi="Mosawi" w:cs="AL-Mohanad" w:hint="cs"/>
          <w:sz w:val="27"/>
          <w:szCs w:val="27"/>
          <w:rtl/>
        </w:rPr>
        <w:t xml:space="preserve"> وفي بعض المصادر منسوب</w:t>
      </w:r>
      <w:r w:rsidR="00583493" w:rsidRPr="00282AC9">
        <w:rPr>
          <w:rFonts w:ascii="Mosawi" w:hAnsi="Mosawi" w:cs="AL-Mohanad" w:hint="cs"/>
          <w:sz w:val="27"/>
          <w:szCs w:val="27"/>
          <w:rtl/>
        </w:rPr>
        <w:t>ٌ</w:t>
      </w:r>
      <w:r w:rsidRPr="00282AC9">
        <w:rPr>
          <w:rFonts w:ascii="Mosawi" w:hAnsi="Mosawi" w:cs="AL-Mohanad" w:hint="cs"/>
          <w:sz w:val="27"/>
          <w:szCs w:val="27"/>
          <w:rtl/>
        </w:rPr>
        <w:t xml:space="preserve"> إلى ابن عمر</w:t>
      </w:r>
      <w:r w:rsidRPr="00282AC9">
        <w:rPr>
          <w:rFonts w:ascii="Mosawi" w:hAnsi="Mosawi" w:cs="AL-Mohanad"/>
          <w:sz w:val="27"/>
          <w:szCs w:val="27"/>
          <w:vertAlign w:val="superscript"/>
          <w:rtl/>
        </w:rPr>
        <w:t>(</w:t>
      </w:r>
      <w:r w:rsidRPr="00282AC9">
        <w:rPr>
          <w:rStyle w:val="af9"/>
          <w:rFonts w:ascii="Mosawi" w:hAnsi="Mosawi" w:cs="AL-Mohanad"/>
          <w:sz w:val="27"/>
          <w:szCs w:val="27"/>
          <w:rtl/>
        </w:rPr>
        <w:endnoteReference w:id="671"/>
      </w:r>
      <w:r w:rsidRPr="00282AC9">
        <w:rPr>
          <w:rFonts w:ascii="Mosawi" w:hAnsi="Mosawi" w:cs="AL-Mohanad"/>
          <w:sz w:val="27"/>
          <w:szCs w:val="27"/>
          <w:vertAlign w:val="superscript"/>
          <w:rtl/>
        </w:rPr>
        <w:t>)</w:t>
      </w:r>
      <w:r w:rsidR="00583493" w:rsidRPr="00282AC9">
        <w:rPr>
          <w:rFonts w:ascii="Mosawi" w:hAnsi="Mosawi" w:cs="AL-Mohanad" w:hint="cs"/>
          <w:sz w:val="27"/>
          <w:szCs w:val="27"/>
          <w:rtl/>
        </w:rPr>
        <w:t>.</w:t>
      </w:r>
      <w:r w:rsidRPr="00282AC9">
        <w:rPr>
          <w:rFonts w:ascii="Mosawi" w:hAnsi="Mosawi" w:cs="AL-Mohanad" w:hint="cs"/>
          <w:sz w:val="27"/>
          <w:szCs w:val="27"/>
          <w:rtl/>
        </w:rPr>
        <w:t xml:space="preserve"> ولكن</w:t>
      </w:r>
      <w:r w:rsidR="00583493" w:rsidRPr="00282AC9">
        <w:rPr>
          <w:rFonts w:ascii="Mosawi" w:hAnsi="Mosawi" w:cs="AL-Mohanad" w:hint="cs"/>
          <w:sz w:val="27"/>
          <w:szCs w:val="27"/>
          <w:rtl/>
        </w:rPr>
        <w:t>ْ</w:t>
      </w:r>
      <w:r w:rsidRPr="00282AC9">
        <w:rPr>
          <w:rFonts w:ascii="Mosawi" w:hAnsi="Mosawi" w:cs="AL-Mohanad" w:hint="cs"/>
          <w:sz w:val="27"/>
          <w:szCs w:val="27"/>
          <w:rtl/>
        </w:rPr>
        <w:t xml:space="preserve"> في المصدر الشيعي نُس</w:t>
      </w:r>
      <w:r w:rsidR="00583493" w:rsidRPr="00282AC9">
        <w:rPr>
          <w:rFonts w:ascii="Mosawi" w:hAnsi="Mosawi" w:cs="AL-Mohanad" w:hint="cs"/>
          <w:sz w:val="27"/>
          <w:szCs w:val="27"/>
          <w:rtl/>
        </w:rPr>
        <w:t>ِ</w:t>
      </w:r>
      <w:r w:rsidRPr="00282AC9">
        <w:rPr>
          <w:rFonts w:ascii="Mosawi" w:hAnsi="Mosawi" w:cs="AL-Mohanad" w:hint="cs"/>
          <w:sz w:val="27"/>
          <w:szCs w:val="27"/>
          <w:rtl/>
        </w:rPr>
        <w:t>ب هذا المقطع إلى رسول الله</w:t>
      </w:r>
      <w:r w:rsidR="009A2A04" w:rsidRPr="00282AC9">
        <w:rPr>
          <w:rFonts w:ascii="Mosawi" w:hAnsi="Mosawi" w:cs="Mosawi"/>
          <w:sz w:val="22"/>
          <w:szCs w:val="22"/>
          <w:rtl/>
        </w:rPr>
        <w:t>|</w:t>
      </w:r>
      <w:r w:rsidR="00583493" w:rsidRPr="00282AC9">
        <w:rPr>
          <w:rFonts w:ascii="Mosawi" w:hAnsi="Mosawi" w:cs="AL-Mohanad" w:hint="cs"/>
          <w:sz w:val="27"/>
          <w:szCs w:val="27"/>
          <w:rtl/>
        </w:rPr>
        <w:t>.</w:t>
      </w:r>
      <w:r w:rsidRPr="00282AC9">
        <w:rPr>
          <w:rFonts w:ascii="Mosawi" w:hAnsi="Mosawi" w:cs="AL-Mohanad" w:hint="cs"/>
          <w:sz w:val="27"/>
          <w:szCs w:val="27"/>
          <w:rtl/>
        </w:rPr>
        <w:t xml:space="preserve"> نعم، ذكر ابن الجوزي هذه الرواية</w:t>
      </w:r>
      <w:r w:rsidR="00583493" w:rsidRPr="00282AC9">
        <w:rPr>
          <w:rFonts w:ascii="Mosawi" w:hAnsi="Mosawi" w:cs="AL-Mohanad" w:hint="cs"/>
          <w:sz w:val="27"/>
          <w:szCs w:val="27"/>
          <w:rtl/>
        </w:rPr>
        <w:t>،</w:t>
      </w:r>
      <w:r w:rsidRPr="00282AC9">
        <w:rPr>
          <w:rFonts w:ascii="Mosawi" w:hAnsi="Mosawi" w:cs="AL-Mohanad" w:hint="cs"/>
          <w:sz w:val="27"/>
          <w:szCs w:val="27"/>
          <w:rtl/>
        </w:rPr>
        <w:t xml:space="preserve"> مسند</w:t>
      </w:r>
      <w:r w:rsidR="00583493" w:rsidRPr="00282AC9">
        <w:rPr>
          <w:rFonts w:ascii="Mosawi" w:hAnsi="Mosawi" w:cs="AL-Mohanad" w:hint="cs"/>
          <w:sz w:val="27"/>
          <w:szCs w:val="27"/>
          <w:rtl/>
        </w:rPr>
        <w:t>ةً</w:t>
      </w:r>
      <w:r w:rsidRPr="00282AC9">
        <w:rPr>
          <w:rFonts w:ascii="Mosawi" w:hAnsi="Mosawi" w:cs="AL-Mohanad" w:hint="cs"/>
          <w:sz w:val="27"/>
          <w:szCs w:val="27"/>
          <w:rtl/>
        </w:rPr>
        <w:t xml:space="preserve"> إلى رسول الله</w:t>
      </w:r>
      <w:r w:rsidR="009A2A04" w:rsidRPr="00282AC9">
        <w:rPr>
          <w:rFonts w:ascii="Mosawi" w:hAnsi="Mosawi" w:cs="Mosawi"/>
          <w:sz w:val="22"/>
          <w:szCs w:val="22"/>
          <w:rtl/>
        </w:rPr>
        <w:t>|</w:t>
      </w:r>
      <w:r w:rsidR="00583493" w:rsidRPr="00282AC9">
        <w:rPr>
          <w:rFonts w:ascii="Mosawi" w:hAnsi="Mosawi" w:cs="AL-Mohanad" w:hint="cs"/>
          <w:sz w:val="27"/>
          <w:szCs w:val="27"/>
          <w:rtl/>
        </w:rPr>
        <w:t>،</w:t>
      </w:r>
      <w:r w:rsidRPr="00282AC9">
        <w:rPr>
          <w:rFonts w:ascii="Mosawi" w:hAnsi="Mosawi" w:cs="AL-Mohanad" w:hint="cs"/>
          <w:sz w:val="27"/>
          <w:szCs w:val="27"/>
          <w:rtl/>
        </w:rPr>
        <w:t xml:space="preserve"> في كتابه </w:t>
      </w:r>
      <w:r w:rsidRPr="00282AC9">
        <w:rPr>
          <w:rFonts w:ascii="Mosawi" w:hAnsi="Mosawi" w:cs="AL-Mohanad"/>
          <w:rtl/>
        </w:rPr>
        <w:t>«</w:t>
      </w:r>
      <w:r w:rsidRPr="00282AC9">
        <w:rPr>
          <w:rFonts w:ascii="Mosawi" w:hAnsi="Mosawi" w:cs="AL-Mohanad" w:hint="cs"/>
          <w:sz w:val="27"/>
          <w:szCs w:val="27"/>
          <w:rtl/>
        </w:rPr>
        <w:t>الموضوعات</w:t>
      </w:r>
      <w:r w:rsidRPr="00282AC9">
        <w:rPr>
          <w:rFonts w:ascii="Mosawi" w:hAnsi="Mosawi" w:cs="AL-Mohanad"/>
          <w:rtl/>
        </w:rPr>
        <w:t>»</w:t>
      </w:r>
      <w:r w:rsidR="00583493" w:rsidRPr="00282AC9">
        <w:rPr>
          <w:rFonts w:ascii="Mosawi" w:hAnsi="Mosawi" w:cs="AL-Mohanad" w:hint="cs"/>
          <w:sz w:val="27"/>
          <w:szCs w:val="27"/>
          <w:rtl/>
        </w:rPr>
        <w:t>؛</w:t>
      </w:r>
      <w:r w:rsidRPr="00282AC9">
        <w:rPr>
          <w:rFonts w:ascii="Mosawi" w:hAnsi="Mosawi" w:cs="AL-Mohanad" w:hint="cs"/>
          <w:sz w:val="27"/>
          <w:szCs w:val="27"/>
          <w:rtl/>
        </w:rPr>
        <w:t xml:space="preserve"> حيث يذكر الرواية هذه </w:t>
      </w:r>
      <w:r w:rsidRPr="00282AC9">
        <w:rPr>
          <w:rFonts w:ascii="Mosawi" w:hAnsi="Mosawi" w:cs="AL-Mohanad" w:hint="cs"/>
          <w:sz w:val="27"/>
          <w:szCs w:val="27"/>
          <w:rtl/>
        </w:rPr>
        <w:lastRenderedPageBreak/>
        <w:t>بسند</w:t>
      </w:r>
      <w:r w:rsidR="00583493" w:rsidRPr="00282AC9">
        <w:rPr>
          <w:rFonts w:ascii="Mosawi" w:hAnsi="Mosawi" w:cs="AL-Mohanad" w:hint="cs"/>
          <w:sz w:val="27"/>
          <w:szCs w:val="27"/>
          <w:rtl/>
        </w:rPr>
        <w:t>ٍ</w:t>
      </w:r>
      <w:r w:rsidRPr="00282AC9">
        <w:rPr>
          <w:rFonts w:ascii="Mosawi" w:hAnsi="Mosawi" w:cs="AL-Mohanad" w:hint="cs"/>
          <w:sz w:val="27"/>
          <w:szCs w:val="27"/>
          <w:rtl/>
        </w:rPr>
        <w:t xml:space="preserve"> شبيه</w:t>
      </w:r>
      <w:r w:rsidR="00583493" w:rsidRPr="00282AC9">
        <w:rPr>
          <w:rFonts w:ascii="Mosawi" w:hAnsi="Mosawi" w:cs="AL-Mohanad" w:hint="cs"/>
          <w:sz w:val="27"/>
          <w:szCs w:val="27"/>
          <w:rtl/>
        </w:rPr>
        <w:t>ٍ</w:t>
      </w:r>
      <w:r w:rsidRPr="00282AC9">
        <w:rPr>
          <w:rFonts w:ascii="Mosawi" w:hAnsi="Mosawi" w:cs="AL-Mohanad" w:hint="cs"/>
          <w:sz w:val="27"/>
          <w:szCs w:val="27"/>
          <w:rtl/>
        </w:rPr>
        <w:t>، معتبراً إيّاه</w:t>
      </w:r>
      <w:r w:rsidR="00583493" w:rsidRPr="00282AC9">
        <w:rPr>
          <w:rFonts w:ascii="Mosawi" w:hAnsi="Mosawi" w:cs="AL-Mohanad" w:hint="cs"/>
          <w:sz w:val="27"/>
          <w:szCs w:val="27"/>
          <w:rtl/>
        </w:rPr>
        <w:t>ا</w:t>
      </w:r>
      <w:r w:rsidRPr="00282AC9">
        <w:rPr>
          <w:rFonts w:ascii="Mosawi" w:hAnsi="Mosawi" w:cs="AL-Mohanad" w:hint="cs"/>
          <w:sz w:val="27"/>
          <w:szCs w:val="27"/>
          <w:rtl/>
        </w:rPr>
        <w:t xml:space="preserve"> من الموضوعات</w:t>
      </w:r>
      <w:r w:rsidR="00583493" w:rsidRPr="00282AC9">
        <w:rPr>
          <w:rFonts w:ascii="Mosawi" w:hAnsi="Mosawi" w:cs="AL-Mohanad" w:hint="cs"/>
          <w:sz w:val="27"/>
          <w:szCs w:val="27"/>
          <w:rtl/>
        </w:rPr>
        <w:t>.</w:t>
      </w:r>
      <w:r w:rsidRPr="00282AC9">
        <w:rPr>
          <w:rFonts w:ascii="Mosawi" w:hAnsi="Mosawi" w:cs="AL-Mohanad" w:hint="cs"/>
          <w:sz w:val="27"/>
          <w:szCs w:val="27"/>
          <w:rtl/>
        </w:rPr>
        <w:t xml:space="preserve"> وكما نعرف من منهج ابن الجوزي</w:t>
      </w:r>
      <w:r w:rsidR="00583493" w:rsidRPr="00282AC9">
        <w:rPr>
          <w:rFonts w:ascii="Mosawi" w:hAnsi="Mosawi" w:cs="AL-Mohanad" w:hint="cs"/>
          <w:sz w:val="27"/>
          <w:szCs w:val="27"/>
          <w:rtl/>
        </w:rPr>
        <w:t>،</w:t>
      </w:r>
      <w:r w:rsidRPr="00282AC9">
        <w:rPr>
          <w:rFonts w:ascii="Mosawi" w:hAnsi="Mosawi" w:cs="AL-Mohanad" w:hint="cs"/>
          <w:sz w:val="27"/>
          <w:szCs w:val="27"/>
          <w:rtl/>
        </w:rPr>
        <w:t xml:space="preserve"> كلّما كان في سند الحديث رجل</w:t>
      </w:r>
      <w:r w:rsidR="00583493" w:rsidRPr="00282AC9">
        <w:rPr>
          <w:rFonts w:ascii="Mosawi" w:hAnsi="Mosawi" w:cs="AL-Mohanad" w:hint="cs"/>
          <w:sz w:val="27"/>
          <w:szCs w:val="27"/>
          <w:rtl/>
        </w:rPr>
        <w:t>ٌ</w:t>
      </w:r>
      <w:r w:rsidRPr="00282AC9">
        <w:rPr>
          <w:rFonts w:ascii="Mosawi" w:hAnsi="Mosawi" w:cs="AL-Mohanad" w:hint="cs"/>
          <w:sz w:val="27"/>
          <w:szCs w:val="27"/>
          <w:rtl/>
        </w:rPr>
        <w:t xml:space="preserve"> وضّاع</w:t>
      </w:r>
      <w:r w:rsidRPr="00282AC9">
        <w:rPr>
          <w:rFonts w:ascii="Mosawi" w:hAnsi="Mosawi" w:cs="AL-Mohanad"/>
          <w:sz w:val="27"/>
          <w:szCs w:val="27"/>
          <w:vertAlign w:val="superscript"/>
          <w:rtl/>
        </w:rPr>
        <w:t>(</w:t>
      </w:r>
      <w:r w:rsidRPr="00282AC9">
        <w:rPr>
          <w:rStyle w:val="af9"/>
          <w:rFonts w:ascii="Mosawi" w:hAnsi="Mosawi" w:cs="AL-Mohanad"/>
          <w:sz w:val="27"/>
          <w:szCs w:val="27"/>
          <w:rtl/>
        </w:rPr>
        <w:endnoteReference w:id="672"/>
      </w:r>
      <w:r w:rsidRPr="00282AC9">
        <w:rPr>
          <w:rFonts w:ascii="Mosawi" w:hAnsi="Mosawi" w:cs="AL-Mohanad"/>
          <w:sz w:val="27"/>
          <w:szCs w:val="27"/>
          <w:vertAlign w:val="superscript"/>
          <w:rtl/>
        </w:rPr>
        <w:t>)</w:t>
      </w:r>
      <w:r w:rsidRPr="00282AC9">
        <w:rPr>
          <w:rFonts w:ascii="Mosawi" w:hAnsi="Mosawi" w:cs="AL-Mohanad" w:hint="cs"/>
          <w:sz w:val="27"/>
          <w:szCs w:val="27"/>
          <w:rtl/>
        </w:rPr>
        <w:t xml:space="preserve"> يصف الحديث بالموضوع، مع أنّ هذا المنهج ليس بصحيح</w:t>
      </w:r>
      <w:r w:rsidR="00583493" w:rsidRPr="00282AC9">
        <w:rPr>
          <w:rFonts w:ascii="Mosawi" w:hAnsi="Mosawi" w:cs="AL-Mohanad" w:hint="cs"/>
          <w:sz w:val="27"/>
          <w:szCs w:val="27"/>
          <w:rtl/>
        </w:rPr>
        <w:t>ٍ،</w:t>
      </w:r>
      <w:r w:rsidRPr="00282AC9">
        <w:rPr>
          <w:rFonts w:ascii="Mosawi" w:hAnsi="Mosawi" w:cs="AL-Mohanad" w:hint="cs"/>
          <w:sz w:val="27"/>
          <w:szCs w:val="27"/>
          <w:rtl/>
        </w:rPr>
        <w:t xml:space="preserve"> ومن الخطأ في الاصطلاح</w:t>
      </w:r>
      <w:r w:rsidR="00583493" w:rsidRPr="00282AC9">
        <w:rPr>
          <w:rFonts w:ascii="Mosawi" w:hAnsi="Mosawi" w:cs="AL-Mohanad" w:hint="cs"/>
          <w:sz w:val="27"/>
          <w:szCs w:val="27"/>
          <w:rtl/>
        </w:rPr>
        <w:t>؛</w:t>
      </w:r>
      <w:r w:rsidRPr="00282AC9">
        <w:rPr>
          <w:rFonts w:ascii="Mosawi" w:hAnsi="Mosawi" w:cs="AL-Mohanad" w:hint="cs"/>
          <w:sz w:val="27"/>
          <w:szCs w:val="27"/>
          <w:rtl/>
        </w:rPr>
        <w:t xml:space="preserve"> إذ لا تلازم بين وجود رجل</w:t>
      </w:r>
      <w:r w:rsidR="00583493" w:rsidRPr="00282AC9">
        <w:rPr>
          <w:rFonts w:ascii="Mosawi" w:hAnsi="Mosawi" w:cs="AL-Mohanad" w:hint="cs"/>
          <w:sz w:val="27"/>
          <w:szCs w:val="27"/>
          <w:rtl/>
        </w:rPr>
        <w:t>ٍ</w:t>
      </w:r>
      <w:r w:rsidRPr="00282AC9">
        <w:rPr>
          <w:rFonts w:ascii="Mosawi" w:hAnsi="Mosawi" w:cs="AL-Mohanad" w:hint="cs"/>
          <w:sz w:val="27"/>
          <w:szCs w:val="27"/>
          <w:rtl/>
        </w:rPr>
        <w:t xml:space="preserve"> وضّاع</w:t>
      </w:r>
      <w:r w:rsidR="00583493" w:rsidRPr="00282AC9">
        <w:rPr>
          <w:rFonts w:ascii="Mosawi" w:hAnsi="Mosawi" w:cs="AL-Mohanad" w:hint="cs"/>
          <w:sz w:val="27"/>
          <w:szCs w:val="27"/>
          <w:rtl/>
        </w:rPr>
        <w:t>ٍ</w:t>
      </w:r>
      <w:r w:rsidRPr="00282AC9">
        <w:rPr>
          <w:rFonts w:ascii="Mosawi" w:hAnsi="Mosawi" w:cs="AL-Mohanad" w:hint="cs"/>
          <w:sz w:val="27"/>
          <w:szCs w:val="27"/>
          <w:rtl/>
        </w:rPr>
        <w:t xml:space="preserve"> في السند والقطع بكون الحديث موضوعاً</w:t>
      </w:r>
      <w:r w:rsidR="00583493" w:rsidRPr="00282AC9">
        <w:rPr>
          <w:rFonts w:ascii="Mosawi" w:hAnsi="Mosawi" w:cs="AL-Mohanad" w:hint="cs"/>
          <w:sz w:val="27"/>
          <w:szCs w:val="27"/>
          <w:rtl/>
        </w:rPr>
        <w:t>،</w:t>
      </w:r>
      <w:r w:rsidRPr="00282AC9">
        <w:rPr>
          <w:rFonts w:ascii="Mosawi" w:hAnsi="Mosawi" w:cs="AL-Mohanad" w:hint="cs"/>
          <w:sz w:val="27"/>
          <w:szCs w:val="27"/>
          <w:rtl/>
        </w:rPr>
        <w:t xml:space="preserve"> غاية الأمر التشكيك بالصدور</w:t>
      </w:r>
      <w:r w:rsidR="00583493" w:rsidRPr="00282AC9">
        <w:rPr>
          <w:rFonts w:ascii="Mosawi" w:hAnsi="Mosawi" w:cs="AL-Mohanad" w:hint="cs"/>
          <w:sz w:val="27"/>
          <w:szCs w:val="27"/>
          <w:rtl/>
        </w:rPr>
        <w:t>.</w:t>
      </w:r>
      <w:r w:rsidRPr="00282AC9">
        <w:rPr>
          <w:rFonts w:ascii="Mosawi" w:hAnsi="Mosawi" w:cs="AL-Mohanad" w:hint="cs"/>
          <w:sz w:val="27"/>
          <w:szCs w:val="27"/>
          <w:rtl/>
        </w:rPr>
        <w:t xml:space="preserve"> وكذلك نجد هذا المقطع منسوباً إلى رسول الله</w:t>
      </w:r>
      <w:r w:rsidR="009A2A04" w:rsidRPr="00282AC9">
        <w:rPr>
          <w:rFonts w:ascii="Mosawi" w:hAnsi="Mosawi" w:cs="Mosawi"/>
          <w:sz w:val="22"/>
          <w:szCs w:val="22"/>
          <w:rtl/>
        </w:rPr>
        <w:t>|</w:t>
      </w:r>
      <w:r w:rsidRPr="00282AC9">
        <w:rPr>
          <w:rFonts w:ascii="Mosawi" w:hAnsi="Mosawi" w:cs="AL-Mohanad" w:hint="cs"/>
          <w:sz w:val="27"/>
          <w:szCs w:val="27"/>
          <w:rtl/>
        </w:rPr>
        <w:t xml:space="preserve"> في بعض الكتب غير الحديثي</w:t>
      </w:r>
      <w:r w:rsidR="00583493" w:rsidRPr="00282AC9">
        <w:rPr>
          <w:rFonts w:ascii="Mosawi" w:hAnsi="Mosawi" w:cs="AL-Mohanad" w:hint="cs"/>
          <w:sz w:val="27"/>
          <w:szCs w:val="27"/>
          <w:rtl/>
        </w:rPr>
        <w:t>ّ</w:t>
      </w:r>
      <w:r w:rsidRPr="00282AC9">
        <w:rPr>
          <w:rFonts w:ascii="Mosawi" w:hAnsi="Mosawi" w:cs="AL-Mohanad" w:hint="cs"/>
          <w:sz w:val="27"/>
          <w:szCs w:val="27"/>
          <w:rtl/>
        </w:rPr>
        <w:t>ة لأهل السن</w:t>
      </w:r>
      <w:r w:rsidR="00583493" w:rsidRPr="00282AC9">
        <w:rPr>
          <w:rFonts w:ascii="Mosawi" w:hAnsi="Mosawi" w:cs="AL-Mohanad" w:hint="cs"/>
          <w:sz w:val="27"/>
          <w:szCs w:val="27"/>
          <w:rtl/>
        </w:rPr>
        <w:t>ّ</w:t>
      </w:r>
      <w:r w:rsidRPr="00282AC9">
        <w:rPr>
          <w:rFonts w:ascii="Mosawi" w:hAnsi="Mosawi" w:cs="AL-Mohanad" w:hint="cs"/>
          <w:sz w:val="27"/>
          <w:szCs w:val="27"/>
          <w:rtl/>
        </w:rPr>
        <w:t>ة</w:t>
      </w:r>
      <w:r w:rsidR="00583493" w:rsidRPr="00282AC9">
        <w:rPr>
          <w:rFonts w:ascii="Mosawi" w:hAnsi="Mosawi" w:cs="AL-Mohanad" w:hint="cs"/>
          <w:sz w:val="27"/>
          <w:szCs w:val="27"/>
          <w:rtl/>
        </w:rPr>
        <w:t>،</w:t>
      </w:r>
      <w:r w:rsidRPr="00282AC9">
        <w:rPr>
          <w:rFonts w:ascii="Mosawi" w:hAnsi="Mosawi" w:cs="AL-Mohanad" w:hint="cs"/>
          <w:sz w:val="27"/>
          <w:szCs w:val="27"/>
          <w:rtl/>
        </w:rPr>
        <w:t xml:space="preserve"> مثل</w:t>
      </w:r>
      <w:r w:rsidR="00583493" w:rsidRPr="00282AC9">
        <w:rPr>
          <w:rFonts w:ascii="Mosawi" w:hAnsi="Mosawi" w:cs="AL-Mohanad" w:hint="cs"/>
          <w:sz w:val="27"/>
          <w:szCs w:val="27"/>
          <w:rtl/>
        </w:rPr>
        <w:t>:</w:t>
      </w:r>
      <w:r w:rsidRPr="00282AC9">
        <w:rPr>
          <w:rFonts w:ascii="Mosawi" w:hAnsi="Mosawi" w:cs="AL-Mohanad" w:hint="cs"/>
          <w:sz w:val="27"/>
          <w:szCs w:val="27"/>
          <w:rtl/>
        </w:rPr>
        <w:t xml:space="preserve"> أبي طالب المك</w:t>
      </w:r>
      <w:r w:rsidR="00583493" w:rsidRPr="00282AC9">
        <w:rPr>
          <w:rFonts w:ascii="Mosawi" w:hAnsi="Mosawi" w:cs="AL-Mohanad" w:hint="cs"/>
          <w:sz w:val="27"/>
          <w:szCs w:val="27"/>
          <w:rtl/>
        </w:rPr>
        <w:t>ّ</w:t>
      </w:r>
      <w:r w:rsidRPr="00282AC9">
        <w:rPr>
          <w:rFonts w:ascii="Mosawi" w:hAnsi="Mosawi" w:cs="AL-Mohanad" w:hint="cs"/>
          <w:sz w:val="27"/>
          <w:szCs w:val="27"/>
          <w:rtl/>
        </w:rPr>
        <w:t>ي والغزالي</w:t>
      </w:r>
      <w:r w:rsidR="00583493" w:rsidRPr="00282AC9">
        <w:rPr>
          <w:rFonts w:ascii="Mosawi" w:hAnsi="Mosawi" w:cs="AL-Mohanad" w:hint="cs"/>
          <w:sz w:val="27"/>
          <w:szCs w:val="27"/>
          <w:rtl/>
        </w:rPr>
        <w:t>،</w:t>
      </w:r>
      <w:r w:rsidRPr="00282AC9">
        <w:rPr>
          <w:rFonts w:ascii="Mosawi" w:hAnsi="Mosawi" w:cs="AL-Mohanad" w:hint="cs"/>
          <w:sz w:val="27"/>
          <w:szCs w:val="27"/>
          <w:rtl/>
        </w:rPr>
        <w:t xml:space="preserve"> حيث نقلا هذا المقطع مرس</w:t>
      </w:r>
      <w:r w:rsidR="00583493" w:rsidRPr="00282AC9">
        <w:rPr>
          <w:rFonts w:ascii="Mosawi" w:hAnsi="Mosawi" w:cs="AL-Mohanad" w:hint="cs"/>
          <w:sz w:val="27"/>
          <w:szCs w:val="27"/>
          <w:rtl/>
        </w:rPr>
        <w:t>َ</w:t>
      </w:r>
      <w:r w:rsidRPr="00282AC9">
        <w:rPr>
          <w:rFonts w:ascii="Mosawi" w:hAnsi="Mosawi" w:cs="AL-Mohanad" w:hint="cs"/>
          <w:sz w:val="27"/>
          <w:szCs w:val="27"/>
          <w:rtl/>
        </w:rPr>
        <w:t>لاً</w:t>
      </w:r>
      <w:r w:rsidR="00583493" w:rsidRPr="00282AC9">
        <w:rPr>
          <w:rFonts w:ascii="Mosawi" w:hAnsi="Mosawi" w:cs="AL-Mohanad" w:hint="cs"/>
          <w:sz w:val="27"/>
          <w:szCs w:val="27"/>
          <w:rtl/>
        </w:rPr>
        <w:t>،</w:t>
      </w:r>
      <w:r w:rsidRPr="00282AC9">
        <w:rPr>
          <w:rFonts w:ascii="Mosawi" w:hAnsi="Mosawi" w:cs="AL-Mohanad" w:hint="cs"/>
          <w:sz w:val="27"/>
          <w:szCs w:val="27"/>
          <w:rtl/>
        </w:rPr>
        <w:t xml:space="preserve"> بلا سند</w:t>
      </w:r>
      <w:r w:rsidR="00583493" w:rsidRPr="00282AC9">
        <w:rPr>
          <w:rFonts w:ascii="Mosawi" w:hAnsi="Mosawi" w:cs="AL-Mohanad" w:hint="cs"/>
          <w:sz w:val="27"/>
          <w:szCs w:val="27"/>
          <w:rtl/>
        </w:rPr>
        <w:t>ٍ،</w:t>
      </w:r>
      <w:r w:rsidRPr="00282AC9">
        <w:rPr>
          <w:rFonts w:ascii="Mosawi" w:hAnsi="Mosawi" w:cs="AL-Mohanad" w:hint="cs"/>
          <w:sz w:val="27"/>
          <w:szCs w:val="27"/>
          <w:rtl/>
        </w:rPr>
        <w:t xml:space="preserve"> عن رسول الله</w:t>
      </w:r>
      <w:r w:rsidR="009A2A04" w:rsidRPr="00282AC9">
        <w:rPr>
          <w:rFonts w:ascii="Mosawi" w:hAnsi="Mosawi" w:cs="Mosawi"/>
          <w:sz w:val="22"/>
          <w:szCs w:val="22"/>
          <w:rtl/>
        </w:rPr>
        <w:t>|</w:t>
      </w:r>
      <w:r w:rsidRPr="00282AC9">
        <w:rPr>
          <w:rFonts w:ascii="Mosawi" w:hAnsi="Mosawi" w:cs="AL-Mohanad"/>
          <w:sz w:val="27"/>
          <w:szCs w:val="27"/>
          <w:vertAlign w:val="superscript"/>
          <w:rtl/>
        </w:rPr>
        <w:t>(</w:t>
      </w:r>
      <w:r w:rsidRPr="00282AC9">
        <w:rPr>
          <w:rStyle w:val="af9"/>
          <w:rFonts w:ascii="Mosawi" w:hAnsi="Mosawi" w:cs="AL-Mohanad"/>
          <w:sz w:val="27"/>
          <w:szCs w:val="27"/>
          <w:rtl/>
        </w:rPr>
        <w:endnoteReference w:id="673"/>
      </w:r>
      <w:r w:rsidRPr="00282AC9">
        <w:rPr>
          <w:rFonts w:ascii="Mosawi" w:hAnsi="Mosawi" w:cs="AL-Mohanad"/>
          <w:sz w:val="27"/>
          <w:szCs w:val="27"/>
          <w:vertAlign w:val="superscript"/>
          <w:rtl/>
        </w:rPr>
        <w:t>)</w:t>
      </w:r>
      <w:r w:rsidRPr="00282AC9">
        <w:rPr>
          <w:rFonts w:ascii="Mosawi" w:hAnsi="Mosawi" w:cs="AL-Mohanad" w:hint="cs"/>
          <w:sz w:val="27"/>
          <w:szCs w:val="27"/>
          <w:rtl/>
        </w:rPr>
        <w:t>.</w:t>
      </w:r>
    </w:p>
    <w:p w:rsidR="001153F1" w:rsidRPr="00282AC9" w:rsidRDefault="00583493" w:rsidP="00D1080C">
      <w:pPr>
        <w:pStyle w:val="afc"/>
        <w:rPr>
          <w:rFonts w:ascii="Mosawi" w:hAnsi="Mosawi" w:cs="AL-Mohanad"/>
          <w:sz w:val="27"/>
          <w:szCs w:val="27"/>
          <w:rtl/>
        </w:rPr>
      </w:pPr>
      <w:r w:rsidRPr="00282AC9">
        <w:rPr>
          <w:rFonts w:ascii="Mosawi" w:hAnsi="Mosawi" w:cs="AL-Mohanad" w:hint="cs"/>
          <w:sz w:val="27"/>
          <w:szCs w:val="27"/>
          <w:rtl/>
        </w:rPr>
        <w:t>و</w:t>
      </w:r>
      <w:r w:rsidR="001153F1" w:rsidRPr="00282AC9">
        <w:rPr>
          <w:rFonts w:ascii="Mosawi" w:hAnsi="Mosawi" w:cs="AL-Mohanad" w:hint="cs"/>
          <w:sz w:val="27"/>
          <w:szCs w:val="27"/>
          <w:rtl/>
        </w:rPr>
        <w:t>على أي</w:t>
      </w:r>
      <w:r w:rsidRPr="00282AC9">
        <w:rPr>
          <w:rFonts w:ascii="Mosawi" w:hAnsi="Mosawi" w:cs="AL-Mohanad" w:hint="cs"/>
          <w:sz w:val="27"/>
          <w:szCs w:val="27"/>
          <w:rtl/>
        </w:rPr>
        <w:t>ّ</w:t>
      </w:r>
      <w:r w:rsidR="001153F1" w:rsidRPr="00282AC9">
        <w:rPr>
          <w:rFonts w:ascii="Mosawi" w:hAnsi="Mosawi" w:cs="AL-Mohanad" w:hint="cs"/>
          <w:sz w:val="27"/>
          <w:szCs w:val="27"/>
          <w:rtl/>
        </w:rPr>
        <w:t xml:space="preserve"> حال</w:t>
      </w:r>
      <w:r w:rsidRPr="00282AC9">
        <w:rPr>
          <w:rFonts w:ascii="Mosawi" w:hAnsi="Mosawi" w:cs="AL-Mohanad" w:hint="cs"/>
          <w:sz w:val="27"/>
          <w:szCs w:val="27"/>
          <w:rtl/>
        </w:rPr>
        <w:t>ٍ</w:t>
      </w:r>
      <w:r w:rsidR="001153F1" w:rsidRPr="00282AC9">
        <w:rPr>
          <w:rFonts w:ascii="Mosawi" w:hAnsi="Mosawi" w:cs="AL-Mohanad" w:hint="cs"/>
          <w:sz w:val="27"/>
          <w:szCs w:val="27"/>
          <w:rtl/>
        </w:rPr>
        <w:t xml:space="preserve"> هذا الحديث في جميع المصادر التي ورد فيها حديث</w:t>
      </w:r>
      <w:r w:rsidRPr="00282AC9">
        <w:rPr>
          <w:rFonts w:ascii="Mosawi" w:hAnsi="Mosawi" w:cs="AL-Mohanad" w:hint="cs"/>
          <w:sz w:val="27"/>
          <w:szCs w:val="27"/>
          <w:rtl/>
        </w:rPr>
        <w:t>ٌ</w:t>
      </w:r>
      <w:r w:rsidR="001153F1" w:rsidRPr="00282AC9">
        <w:rPr>
          <w:rFonts w:ascii="Mosawi" w:hAnsi="Mosawi" w:cs="AL-Mohanad" w:hint="cs"/>
          <w:sz w:val="27"/>
          <w:szCs w:val="27"/>
          <w:rtl/>
        </w:rPr>
        <w:t xml:space="preserve"> ضعيفٌ</w:t>
      </w:r>
      <w:r w:rsidRPr="00282AC9">
        <w:rPr>
          <w:rFonts w:ascii="Mosawi" w:hAnsi="Mosawi" w:cs="AL-Mohanad" w:hint="cs"/>
          <w:sz w:val="27"/>
          <w:szCs w:val="27"/>
          <w:rtl/>
        </w:rPr>
        <w:t>،</w:t>
      </w:r>
      <w:r w:rsidR="001153F1" w:rsidRPr="00282AC9">
        <w:rPr>
          <w:rFonts w:ascii="Mosawi" w:hAnsi="Mosawi" w:cs="AL-Mohanad" w:hint="cs"/>
          <w:sz w:val="27"/>
          <w:szCs w:val="27"/>
          <w:rtl/>
        </w:rPr>
        <w:t xml:space="preserve"> بل في بعض المصادر لا سند له. </w:t>
      </w:r>
    </w:p>
    <w:p w:rsidR="001153F1" w:rsidRPr="00282AC9" w:rsidRDefault="001153F1" w:rsidP="00D1080C">
      <w:pPr>
        <w:rPr>
          <w:sz w:val="27"/>
          <w:rtl/>
          <w:lang w:bidi="fa-IR"/>
        </w:rPr>
      </w:pPr>
      <w:r w:rsidRPr="00282AC9">
        <w:rPr>
          <w:rFonts w:hint="cs"/>
          <w:b/>
          <w:bCs/>
          <w:rtl/>
          <w:lang w:bidi="fa-IR"/>
        </w:rPr>
        <w:t>ب ـ الدراسة الدلالي</w:t>
      </w:r>
      <w:r w:rsidR="00583493" w:rsidRPr="00282AC9">
        <w:rPr>
          <w:rFonts w:hint="cs"/>
          <w:b/>
          <w:bCs/>
          <w:rtl/>
          <w:lang w:bidi="fa-IR"/>
        </w:rPr>
        <w:t>ّ</w:t>
      </w:r>
      <w:r w:rsidRPr="00282AC9">
        <w:rPr>
          <w:rFonts w:hint="cs"/>
          <w:b/>
          <w:bCs/>
          <w:rtl/>
          <w:lang w:bidi="fa-IR"/>
        </w:rPr>
        <w:t>ة</w:t>
      </w:r>
      <w:r w:rsidR="00D33832" w:rsidRPr="00282AC9">
        <w:rPr>
          <w:rFonts w:ascii="Mosawi" w:hAnsi="Mosawi" w:hint="cs"/>
          <w:sz w:val="27"/>
          <w:rtl/>
          <w:lang w:bidi="fa-IR"/>
        </w:rPr>
        <w:t xml:space="preserve">: </w:t>
      </w:r>
      <w:r w:rsidRPr="00282AC9">
        <w:rPr>
          <w:rFonts w:ascii="Mosawi" w:hAnsi="Mosawi" w:hint="cs"/>
          <w:sz w:val="27"/>
          <w:rtl/>
          <w:lang w:bidi="fa-IR"/>
        </w:rPr>
        <w:t>هذا التعبير الوارد هنا</w:t>
      </w:r>
      <w:r w:rsidR="00583493" w:rsidRPr="00282AC9">
        <w:rPr>
          <w:rFonts w:ascii="Mosawi" w:hAnsi="Mosawi" w:hint="cs"/>
          <w:sz w:val="27"/>
          <w:rtl/>
          <w:lang w:bidi="fa-IR"/>
        </w:rPr>
        <w:t>:</w:t>
      </w:r>
      <w:r w:rsidRPr="00282AC9">
        <w:rPr>
          <w:rFonts w:ascii="Mosawi" w:hAnsi="Mosawi" w:hint="cs"/>
          <w:sz w:val="27"/>
          <w:rtl/>
          <w:lang w:bidi="fa-IR"/>
        </w:rPr>
        <w:t xml:space="preserve"> </w:t>
      </w:r>
      <w:r w:rsidRPr="00282AC9">
        <w:rPr>
          <w:rFonts w:ascii="Mosawi" w:hAnsi="Mosawi"/>
          <w:rtl/>
          <w:lang w:bidi="fa-IR"/>
        </w:rPr>
        <w:t>«</w:t>
      </w:r>
      <w:r w:rsidRPr="00282AC9">
        <w:rPr>
          <w:sz w:val="27"/>
          <w:rtl/>
          <w:lang w:bidi="fa-IR"/>
        </w:rPr>
        <w:t>ولحصير</w:t>
      </w:r>
      <w:r w:rsidR="00583493" w:rsidRPr="00282AC9">
        <w:rPr>
          <w:rFonts w:hint="cs"/>
          <w:sz w:val="27"/>
          <w:rtl/>
          <w:lang w:bidi="fa-IR"/>
        </w:rPr>
        <w:t>ٌ</w:t>
      </w:r>
      <w:r w:rsidRPr="00282AC9">
        <w:rPr>
          <w:sz w:val="27"/>
          <w:rtl/>
          <w:lang w:bidi="fa-IR"/>
        </w:rPr>
        <w:t xml:space="preserve"> في‏ ناحية البيت خير</w:t>
      </w:r>
      <w:r w:rsidRPr="00282AC9">
        <w:rPr>
          <w:rFonts w:hint="cs"/>
          <w:sz w:val="27"/>
          <w:rtl/>
          <w:lang w:bidi="fa-IR"/>
        </w:rPr>
        <w:t>ٌ</w:t>
      </w:r>
      <w:r w:rsidRPr="00282AC9">
        <w:rPr>
          <w:sz w:val="27"/>
          <w:rtl/>
          <w:lang w:bidi="fa-IR"/>
        </w:rPr>
        <w:t xml:space="preserve"> من امرأة</w:t>
      </w:r>
      <w:r w:rsidR="00583493" w:rsidRPr="00282AC9">
        <w:rPr>
          <w:rFonts w:hint="cs"/>
          <w:sz w:val="27"/>
          <w:rtl/>
          <w:lang w:bidi="fa-IR"/>
        </w:rPr>
        <w:t>ٍ</w:t>
      </w:r>
      <w:r w:rsidRPr="00282AC9">
        <w:rPr>
          <w:sz w:val="27"/>
          <w:rtl/>
          <w:lang w:bidi="fa-IR"/>
        </w:rPr>
        <w:t xml:space="preserve"> لا تلد</w:t>
      </w:r>
      <w:r w:rsidRPr="00282AC9">
        <w:rPr>
          <w:rFonts w:ascii="Mosawi" w:hAnsi="Mosawi"/>
          <w:rtl/>
          <w:lang w:bidi="fa-IR"/>
        </w:rPr>
        <w:t>»</w:t>
      </w:r>
      <w:r w:rsidRPr="00282AC9">
        <w:rPr>
          <w:rFonts w:hint="cs"/>
          <w:sz w:val="27"/>
          <w:rtl/>
          <w:lang w:bidi="fa-IR"/>
        </w:rPr>
        <w:t xml:space="preserve"> هو التعبير </w:t>
      </w:r>
      <w:r w:rsidR="00A61763" w:rsidRPr="00282AC9">
        <w:rPr>
          <w:rFonts w:hint="cs"/>
          <w:sz w:val="27"/>
          <w:rtl/>
          <w:lang w:bidi="fa-IR"/>
        </w:rPr>
        <w:t>ال</w:t>
      </w:r>
      <w:r w:rsidRPr="00282AC9">
        <w:rPr>
          <w:rFonts w:hint="cs"/>
          <w:sz w:val="27"/>
          <w:rtl/>
          <w:lang w:bidi="fa-IR"/>
        </w:rPr>
        <w:t>أكثر إثارة</w:t>
      </w:r>
      <w:r w:rsidR="00A61763" w:rsidRPr="00282AC9">
        <w:rPr>
          <w:rFonts w:hint="cs"/>
          <w:sz w:val="27"/>
          <w:rtl/>
          <w:lang w:bidi="fa-IR"/>
        </w:rPr>
        <w:t>ً؛</w:t>
      </w:r>
      <w:r w:rsidRPr="00282AC9">
        <w:rPr>
          <w:rFonts w:hint="cs"/>
          <w:sz w:val="27"/>
          <w:rtl/>
          <w:lang w:bidi="fa-IR"/>
        </w:rPr>
        <w:t xml:space="preserve"> إذ قد ي</w:t>
      </w:r>
      <w:r w:rsidR="00A61763" w:rsidRPr="00282AC9">
        <w:rPr>
          <w:rFonts w:hint="cs"/>
          <w:sz w:val="27"/>
          <w:rtl/>
          <w:lang w:bidi="fa-IR"/>
        </w:rPr>
        <w:t>ُ</w:t>
      </w:r>
      <w:r w:rsidRPr="00282AC9">
        <w:rPr>
          <w:rFonts w:hint="cs"/>
          <w:sz w:val="27"/>
          <w:rtl/>
          <w:lang w:bidi="fa-IR"/>
        </w:rPr>
        <w:t>قال بأنه صريح</w:t>
      </w:r>
      <w:r w:rsidR="00A61763" w:rsidRPr="00282AC9">
        <w:rPr>
          <w:rFonts w:hint="cs"/>
          <w:sz w:val="27"/>
          <w:rtl/>
          <w:lang w:bidi="fa-IR"/>
        </w:rPr>
        <w:t>ٌ</w:t>
      </w:r>
      <w:r w:rsidRPr="00282AC9">
        <w:rPr>
          <w:rFonts w:hint="cs"/>
          <w:sz w:val="27"/>
          <w:rtl/>
          <w:lang w:bidi="fa-IR"/>
        </w:rPr>
        <w:t xml:space="preserve"> في التشنيع في حقّ المرأة العقيم</w:t>
      </w:r>
      <w:r w:rsidR="00A61763" w:rsidRPr="00282AC9">
        <w:rPr>
          <w:rFonts w:hint="cs"/>
          <w:sz w:val="27"/>
          <w:rtl/>
          <w:lang w:bidi="fa-IR"/>
        </w:rPr>
        <w:t>.</w:t>
      </w:r>
      <w:r w:rsidRPr="00282AC9">
        <w:rPr>
          <w:rFonts w:hint="cs"/>
          <w:sz w:val="27"/>
          <w:rtl/>
          <w:lang w:bidi="fa-IR"/>
        </w:rPr>
        <w:t xml:space="preserve"> فما ذنب المرأة العقيم التي جعلها الله عقيماً أن ت</w:t>
      </w:r>
      <w:r w:rsidR="00A61763" w:rsidRPr="00282AC9">
        <w:rPr>
          <w:rFonts w:hint="cs"/>
          <w:sz w:val="27"/>
          <w:rtl/>
          <w:lang w:bidi="fa-IR"/>
        </w:rPr>
        <w:t>ُ</w:t>
      </w:r>
      <w:r w:rsidRPr="00282AC9">
        <w:rPr>
          <w:rFonts w:hint="cs"/>
          <w:sz w:val="27"/>
          <w:rtl/>
          <w:lang w:bidi="fa-IR"/>
        </w:rPr>
        <w:t>عام</w:t>
      </w:r>
      <w:r w:rsidR="00A61763" w:rsidRPr="00282AC9">
        <w:rPr>
          <w:rFonts w:hint="cs"/>
          <w:sz w:val="27"/>
          <w:rtl/>
          <w:lang w:bidi="fa-IR"/>
        </w:rPr>
        <w:t>َ</w:t>
      </w:r>
      <w:r w:rsidRPr="00282AC9">
        <w:rPr>
          <w:rFonts w:hint="cs"/>
          <w:sz w:val="27"/>
          <w:rtl/>
          <w:lang w:bidi="fa-IR"/>
        </w:rPr>
        <w:t>ل هكذا</w:t>
      </w:r>
      <w:r w:rsidR="00A61763" w:rsidRPr="00282AC9">
        <w:rPr>
          <w:rFonts w:hint="cs"/>
          <w:sz w:val="27"/>
          <w:rtl/>
          <w:lang w:bidi="fa-IR"/>
        </w:rPr>
        <w:t>؟</w:t>
      </w:r>
      <w:r w:rsidRPr="00282AC9">
        <w:rPr>
          <w:rFonts w:hint="cs"/>
          <w:sz w:val="27"/>
          <w:rtl/>
          <w:lang w:bidi="fa-IR"/>
        </w:rPr>
        <w:t xml:space="preserve"> ولكن</w:t>
      </w:r>
      <w:r w:rsidR="00A61763" w:rsidRPr="00282AC9">
        <w:rPr>
          <w:rFonts w:hint="cs"/>
          <w:sz w:val="27"/>
          <w:rtl/>
          <w:lang w:bidi="fa-IR"/>
        </w:rPr>
        <w:t>ْ</w:t>
      </w:r>
      <w:r w:rsidRPr="00282AC9">
        <w:rPr>
          <w:rFonts w:hint="cs"/>
          <w:sz w:val="27"/>
          <w:rtl/>
          <w:lang w:bidi="fa-IR"/>
        </w:rPr>
        <w:t xml:space="preserve"> قلنا</w:t>
      </w:r>
      <w:r w:rsidR="00A61763" w:rsidRPr="00282AC9">
        <w:rPr>
          <w:rFonts w:hint="cs"/>
          <w:sz w:val="27"/>
          <w:rtl/>
          <w:lang w:bidi="fa-IR"/>
        </w:rPr>
        <w:t>:</w:t>
      </w:r>
      <w:r w:rsidRPr="00282AC9">
        <w:rPr>
          <w:rFonts w:hint="cs"/>
          <w:sz w:val="27"/>
          <w:rtl/>
          <w:lang w:bidi="fa-IR"/>
        </w:rPr>
        <w:t xml:space="preserve"> </w:t>
      </w:r>
      <w:r w:rsidR="00A61763" w:rsidRPr="00282AC9">
        <w:rPr>
          <w:rFonts w:hint="cs"/>
          <w:sz w:val="27"/>
          <w:rtl/>
          <w:lang w:bidi="fa-IR"/>
        </w:rPr>
        <w:t xml:space="preserve">إن </w:t>
      </w:r>
      <w:r w:rsidRPr="00282AC9">
        <w:rPr>
          <w:rFonts w:hint="cs"/>
          <w:sz w:val="27"/>
          <w:rtl/>
          <w:lang w:bidi="fa-IR"/>
        </w:rPr>
        <w:t>صدور هذا التعبير عن رسول الله</w:t>
      </w:r>
      <w:r w:rsidR="009A2A04" w:rsidRPr="00282AC9">
        <w:rPr>
          <w:rFonts w:ascii="Mosawi" w:hAnsi="Mosawi" w:cs="Mosawi"/>
          <w:sz w:val="22"/>
          <w:szCs w:val="22"/>
          <w:rtl/>
          <w:lang w:bidi="fa-IR"/>
        </w:rPr>
        <w:t>|</w:t>
      </w:r>
      <w:r w:rsidRPr="00282AC9">
        <w:rPr>
          <w:rFonts w:hint="cs"/>
          <w:sz w:val="27"/>
          <w:rtl/>
          <w:lang w:bidi="fa-IR"/>
        </w:rPr>
        <w:t xml:space="preserve"> غير م</w:t>
      </w:r>
      <w:r w:rsidR="00A61763" w:rsidRPr="00282AC9">
        <w:rPr>
          <w:rFonts w:hint="cs"/>
          <w:sz w:val="27"/>
          <w:rtl/>
          <w:lang w:bidi="fa-IR"/>
        </w:rPr>
        <w:t>ُ</w:t>
      </w:r>
      <w:r w:rsidRPr="00282AC9">
        <w:rPr>
          <w:rFonts w:hint="cs"/>
          <w:sz w:val="27"/>
          <w:rtl/>
          <w:lang w:bidi="fa-IR"/>
        </w:rPr>
        <w:t>ح</w:t>
      </w:r>
      <w:r w:rsidR="00A61763" w:rsidRPr="00282AC9">
        <w:rPr>
          <w:rFonts w:hint="cs"/>
          <w:sz w:val="27"/>
          <w:rtl/>
          <w:lang w:bidi="fa-IR"/>
        </w:rPr>
        <w:t>ْ</w:t>
      </w:r>
      <w:r w:rsidRPr="00282AC9">
        <w:rPr>
          <w:rFonts w:hint="cs"/>
          <w:sz w:val="27"/>
          <w:rtl/>
          <w:lang w:bidi="fa-IR"/>
        </w:rPr>
        <w:t>ر</w:t>
      </w:r>
      <w:r w:rsidR="00A61763" w:rsidRPr="00282AC9">
        <w:rPr>
          <w:rFonts w:hint="cs"/>
          <w:sz w:val="27"/>
          <w:rtl/>
          <w:lang w:bidi="fa-IR"/>
        </w:rPr>
        <w:t>َ</w:t>
      </w:r>
      <w:r w:rsidRPr="00282AC9">
        <w:rPr>
          <w:rFonts w:hint="cs"/>
          <w:sz w:val="27"/>
          <w:rtl/>
          <w:lang w:bidi="fa-IR"/>
        </w:rPr>
        <w:t>ز</w:t>
      </w:r>
      <w:r w:rsidR="00A61763" w:rsidRPr="00282AC9">
        <w:rPr>
          <w:rFonts w:hint="cs"/>
          <w:sz w:val="27"/>
          <w:rtl/>
          <w:lang w:bidi="fa-IR"/>
        </w:rPr>
        <w:t>ٍ،</w:t>
      </w:r>
      <w:r w:rsidR="007051D6" w:rsidRPr="00282AC9">
        <w:rPr>
          <w:rFonts w:hint="cs"/>
          <w:sz w:val="27"/>
          <w:rtl/>
          <w:lang w:bidi="fa-IR"/>
        </w:rPr>
        <w:t xml:space="preserve"> فلا يمكن الاعتماد عليه.</w:t>
      </w:r>
    </w:p>
    <w:p w:rsidR="00AE54C9" w:rsidRPr="00282AC9" w:rsidRDefault="00AE54C9" w:rsidP="00AE54C9">
      <w:pPr>
        <w:spacing w:line="420" w:lineRule="exact"/>
        <w:rPr>
          <w:sz w:val="27"/>
          <w:rtl/>
        </w:rPr>
      </w:pPr>
    </w:p>
    <w:p w:rsidR="00A61763" w:rsidRPr="00282AC9" w:rsidRDefault="00D33832" w:rsidP="00497697">
      <w:pPr>
        <w:pStyle w:val="31"/>
        <w:rPr>
          <w:color w:val="auto"/>
          <w:rtl/>
        </w:rPr>
      </w:pPr>
      <w:r w:rsidRPr="00282AC9">
        <w:rPr>
          <w:rFonts w:hint="cs"/>
          <w:color w:val="auto"/>
          <w:rtl/>
        </w:rPr>
        <w:t xml:space="preserve">8ـ </w:t>
      </w:r>
      <w:r w:rsidR="00497697" w:rsidRPr="00282AC9">
        <w:rPr>
          <w:color w:val="auto"/>
          <w:rtl/>
          <w:lang w:bidi="fa-IR"/>
        </w:rPr>
        <w:t>«</w:t>
      </w:r>
      <w:r w:rsidRPr="00282AC9">
        <w:rPr>
          <w:color w:val="auto"/>
          <w:rtl/>
          <w:lang w:bidi="fa-IR"/>
        </w:rPr>
        <w:t>إن</w:t>
      </w:r>
      <w:r w:rsidRPr="00282AC9">
        <w:rPr>
          <w:rFonts w:hint="cs"/>
          <w:color w:val="auto"/>
          <w:rtl/>
          <w:lang w:bidi="fa-IR"/>
        </w:rPr>
        <w:t>ّ</w:t>
      </w:r>
      <w:r w:rsidR="00497697" w:rsidRPr="00282AC9">
        <w:rPr>
          <w:color w:val="auto"/>
          <w:rtl/>
          <w:lang w:bidi="fa-IR"/>
        </w:rPr>
        <w:t xml:space="preserve"> الله</w:t>
      </w:r>
      <w:r w:rsidR="00497697" w:rsidRPr="00282AC9">
        <w:rPr>
          <w:rFonts w:hint="cs"/>
          <w:color w:val="auto"/>
          <w:rtl/>
          <w:lang w:bidi="fa-IR"/>
        </w:rPr>
        <w:t xml:space="preserve"> </w:t>
      </w:r>
      <w:r w:rsidRPr="00282AC9">
        <w:rPr>
          <w:color w:val="auto"/>
          <w:rtl/>
          <w:lang w:bidi="fa-IR"/>
        </w:rPr>
        <w:t>بارك في الو</w:t>
      </w:r>
      <w:r w:rsidRPr="00282AC9">
        <w:rPr>
          <w:rFonts w:hint="cs"/>
          <w:color w:val="auto"/>
          <w:rtl/>
          <w:lang w:bidi="fa-IR"/>
        </w:rPr>
        <w:t>َ</w:t>
      </w:r>
      <w:r w:rsidRPr="00282AC9">
        <w:rPr>
          <w:color w:val="auto"/>
          <w:rtl/>
          <w:lang w:bidi="fa-IR"/>
        </w:rPr>
        <w:t>لود</w:t>
      </w:r>
      <w:r w:rsidR="00497697" w:rsidRPr="00282AC9">
        <w:rPr>
          <w:color w:val="auto"/>
          <w:rtl/>
        </w:rPr>
        <w:t>»</w:t>
      </w:r>
    </w:p>
    <w:p w:rsidR="001153F1" w:rsidRPr="00282AC9" w:rsidRDefault="00A61763" w:rsidP="007051D6">
      <w:pPr>
        <w:pStyle w:val="afc"/>
        <w:rPr>
          <w:rFonts w:ascii="Mosawi" w:hAnsi="Mosawi" w:cs="AL-Mohanad"/>
          <w:sz w:val="27"/>
          <w:szCs w:val="27"/>
          <w:u w:val="single"/>
          <w:rtl/>
          <w:lang w:bidi="fa-IR"/>
        </w:rPr>
      </w:pPr>
      <w:r w:rsidRPr="00282AC9">
        <w:rPr>
          <w:rFonts w:ascii="Cambria" w:hAnsi="Cambria" w:cs="AL-Mohanad" w:hint="cs"/>
          <w:sz w:val="27"/>
          <w:szCs w:val="27"/>
          <w:rtl/>
        </w:rPr>
        <w:t xml:space="preserve">وهي </w:t>
      </w:r>
      <w:r w:rsidR="001153F1" w:rsidRPr="00282AC9">
        <w:rPr>
          <w:rFonts w:ascii="Cambria" w:hAnsi="Cambria" w:cs="AL-Mohanad"/>
          <w:sz w:val="27"/>
          <w:szCs w:val="27"/>
          <w:rtl/>
        </w:rPr>
        <w:t>خبر أبي المقدام</w:t>
      </w:r>
      <w:r w:rsidRPr="00282AC9">
        <w:rPr>
          <w:rFonts w:ascii="Mosawi" w:hAnsi="Mosawi" w:cs="AL-Mohanad" w:hint="cs"/>
          <w:sz w:val="27"/>
          <w:szCs w:val="27"/>
          <w:rtl/>
        </w:rPr>
        <w:t xml:space="preserve">، </w:t>
      </w:r>
      <w:r w:rsidR="001153F1" w:rsidRPr="00282AC9">
        <w:rPr>
          <w:rFonts w:ascii="Mosawi" w:hAnsi="Mosawi" w:cs="AL-Mohanad"/>
          <w:sz w:val="27"/>
          <w:szCs w:val="27"/>
          <w:rtl/>
        </w:rPr>
        <w:t>عن أبي عبد الله</w:t>
      </w:r>
      <w:r w:rsidR="009A2A04" w:rsidRPr="00282AC9">
        <w:rPr>
          <w:rFonts w:ascii="Mosawi" w:hAnsi="Mosawi" w:cs="Mosawi"/>
          <w:sz w:val="22"/>
          <w:szCs w:val="22"/>
          <w:rtl/>
        </w:rPr>
        <w:t>×</w:t>
      </w:r>
      <w:r w:rsidR="001153F1" w:rsidRPr="00282AC9">
        <w:rPr>
          <w:rFonts w:ascii="Mosawi" w:hAnsi="Mosawi" w:cs="AL-Mohanad"/>
          <w:sz w:val="27"/>
          <w:szCs w:val="27"/>
          <w:rtl/>
        </w:rPr>
        <w:t xml:space="preserve"> قال: دخل رسول الله</w:t>
      </w:r>
      <w:r w:rsidR="009A2A04" w:rsidRPr="00282AC9">
        <w:rPr>
          <w:rFonts w:ascii="Mosawi" w:hAnsi="Mosawi" w:cs="Mosawi"/>
          <w:sz w:val="22"/>
          <w:szCs w:val="22"/>
          <w:rtl/>
        </w:rPr>
        <w:t>|</w:t>
      </w:r>
      <w:r w:rsidR="001153F1" w:rsidRPr="00282AC9">
        <w:rPr>
          <w:rFonts w:ascii="Mosawi" w:hAnsi="Mosawi" w:cs="AL-Mohanad"/>
          <w:sz w:val="27"/>
          <w:szCs w:val="27"/>
          <w:rtl/>
        </w:rPr>
        <w:t xml:space="preserve"> منزله</w:t>
      </w:r>
      <w:r w:rsidRPr="00282AC9">
        <w:rPr>
          <w:rFonts w:ascii="Mosawi" w:hAnsi="Mosawi" w:cs="AL-Mohanad" w:hint="cs"/>
          <w:sz w:val="27"/>
          <w:szCs w:val="27"/>
          <w:rtl/>
        </w:rPr>
        <w:t>،</w:t>
      </w:r>
      <w:r w:rsidR="001153F1" w:rsidRPr="00282AC9">
        <w:rPr>
          <w:rFonts w:ascii="Mosawi" w:hAnsi="Mosawi" w:cs="AL-Mohanad"/>
          <w:sz w:val="27"/>
          <w:szCs w:val="27"/>
          <w:rtl/>
        </w:rPr>
        <w:t xml:space="preserve"> فإذا عائشة مقبلة</w:t>
      </w:r>
      <w:r w:rsidRPr="00282AC9">
        <w:rPr>
          <w:rFonts w:ascii="Mosawi" w:hAnsi="Mosawi" w:cs="AL-Mohanad" w:hint="cs"/>
          <w:sz w:val="27"/>
          <w:szCs w:val="27"/>
          <w:rtl/>
        </w:rPr>
        <w:t>ٌ</w:t>
      </w:r>
      <w:r w:rsidR="001153F1" w:rsidRPr="00282AC9">
        <w:rPr>
          <w:rFonts w:ascii="Mosawi" w:hAnsi="Mosawi" w:cs="AL-Mohanad"/>
          <w:sz w:val="27"/>
          <w:szCs w:val="27"/>
          <w:rtl/>
        </w:rPr>
        <w:t xml:space="preserve"> على فاطمة تصايحها</w:t>
      </w:r>
      <w:r w:rsidRPr="00282AC9">
        <w:rPr>
          <w:rFonts w:ascii="Mosawi" w:hAnsi="Mosawi" w:cs="AL-Mohanad" w:hint="cs"/>
          <w:sz w:val="27"/>
          <w:szCs w:val="27"/>
          <w:rtl/>
        </w:rPr>
        <w:t>،</w:t>
      </w:r>
      <w:r w:rsidR="001153F1" w:rsidRPr="00282AC9">
        <w:rPr>
          <w:rFonts w:ascii="Mosawi" w:hAnsi="Mosawi" w:cs="AL-Mohanad"/>
          <w:sz w:val="27"/>
          <w:szCs w:val="27"/>
          <w:rtl/>
        </w:rPr>
        <w:t xml:space="preserve"> وهي تقول</w:t>
      </w:r>
      <w:r w:rsidRPr="00282AC9">
        <w:rPr>
          <w:rFonts w:ascii="Mosawi" w:hAnsi="Mosawi" w:cs="AL-Mohanad" w:hint="cs"/>
          <w:sz w:val="27"/>
          <w:szCs w:val="27"/>
          <w:rtl/>
        </w:rPr>
        <w:t>:</w:t>
      </w:r>
      <w:r w:rsidR="001153F1" w:rsidRPr="00282AC9">
        <w:rPr>
          <w:rFonts w:ascii="Mosawi" w:hAnsi="Mosawi" w:cs="AL-Mohanad"/>
          <w:sz w:val="27"/>
          <w:szCs w:val="27"/>
          <w:rtl/>
        </w:rPr>
        <w:t xml:space="preserve"> والله</w:t>
      </w:r>
      <w:r w:rsidRPr="00282AC9">
        <w:rPr>
          <w:rFonts w:ascii="Mosawi" w:hAnsi="Mosawi" w:cs="AL-Mohanad" w:hint="cs"/>
          <w:sz w:val="27"/>
          <w:szCs w:val="27"/>
          <w:rtl/>
        </w:rPr>
        <w:t>ِ،</w:t>
      </w:r>
      <w:r w:rsidR="001153F1" w:rsidRPr="00282AC9">
        <w:rPr>
          <w:rFonts w:ascii="Mosawi" w:hAnsi="Mosawi" w:cs="AL-Mohanad"/>
          <w:sz w:val="27"/>
          <w:szCs w:val="27"/>
          <w:rtl/>
        </w:rPr>
        <w:t xml:space="preserve"> يا بنت خديجة</w:t>
      </w:r>
      <w:r w:rsidRPr="00282AC9">
        <w:rPr>
          <w:rFonts w:ascii="Mosawi" w:hAnsi="Mosawi" w:cs="AL-Mohanad" w:hint="cs"/>
          <w:sz w:val="27"/>
          <w:szCs w:val="27"/>
          <w:rtl/>
        </w:rPr>
        <w:t>،</w:t>
      </w:r>
      <w:r w:rsidR="001153F1" w:rsidRPr="00282AC9">
        <w:rPr>
          <w:rFonts w:ascii="Mosawi" w:hAnsi="Mosawi" w:cs="AL-Mohanad"/>
          <w:sz w:val="27"/>
          <w:szCs w:val="27"/>
          <w:rtl/>
        </w:rPr>
        <w:t xml:space="preserve"> ما ترين إلا</w:t>
      </w:r>
      <w:r w:rsidRPr="00282AC9">
        <w:rPr>
          <w:rFonts w:ascii="Mosawi" w:hAnsi="Mosawi" w:cs="AL-Mohanad" w:hint="cs"/>
          <w:sz w:val="27"/>
          <w:szCs w:val="27"/>
          <w:rtl/>
        </w:rPr>
        <w:t>ّ</w:t>
      </w:r>
      <w:r w:rsidR="001153F1" w:rsidRPr="00282AC9">
        <w:rPr>
          <w:rFonts w:ascii="Mosawi" w:hAnsi="Mosawi" w:cs="AL-Mohanad"/>
          <w:sz w:val="27"/>
          <w:szCs w:val="27"/>
          <w:rtl/>
        </w:rPr>
        <w:t xml:space="preserve"> أن لأم</w:t>
      </w:r>
      <w:r w:rsidRPr="00282AC9">
        <w:rPr>
          <w:rFonts w:ascii="Mosawi" w:hAnsi="Mosawi" w:cs="AL-Mohanad" w:hint="cs"/>
          <w:sz w:val="27"/>
          <w:szCs w:val="27"/>
          <w:rtl/>
        </w:rPr>
        <w:t>ِّ</w:t>
      </w:r>
      <w:r w:rsidR="001153F1" w:rsidRPr="00282AC9">
        <w:rPr>
          <w:rFonts w:ascii="Mosawi" w:hAnsi="Mosawi" w:cs="AL-Mohanad"/>
          <w:sz w:val="27"/>
          <w:szCs w:val="27"/>
          <w:rtl/>
        </w:rPr>
        <w:t>ك علينا فضلا</w:t>
      </w:r>
      <w:r w:rsidRPr="00282AC9">
        <w:rPr>
          <w:rFonts w:ascii="Mosawi" w:hAnsi="Mosawi" w:cs="AL-Mohanad" w:hint="cs"/>
          <w:sz w:val="27"/>
          <w:szCs w:val="27"/>
          <w:rtl/>
        </w:rPr>
        <w:t>ً،</w:t>
      </w:r>
      <w:r w:rsidR="001153F1" w:rsidRPr="00282AC9">
        <w:rPr>
          <w:rFonts w:ascii="Mosawi" w:hAnsi="Mosawi" w:cs="AL-Mohanad"/>
          <w:sz w:val="27"/>
          <w:szCs w:val="27"/>
          <w:rtl/>
        </w:rPr>
        <w:t xml:space="preserve"> وأي</w:t>
      </w:r>
      <w:r w:rsidRPr="00282AC9">
        <w:rPr>
          <w:rFonts w:ascii="Mosawi" w:hAnsi="Mosawi" w:cs="AL-Mohanad" w:hint="cs"/>
          <w:sz w:val="27"/>
          <w:szCs w:val="27"/>
          <w:rtl/>
        </w:rPr>
        <w:t>ُّ</w:t>
      </w:r>
      <w:r w:rsidR="001153F1" w:rsidRPr="00282AC9">
        <w:rPr>
          <w:rFonts w:ascii="Mosawi" w:hAnsi="Mosawi" w:cs="AL-Mohanad"/>
          <w:sz w:val="27"/>
          <w:szCs w:val="27"/>
          <w:rtl/>
        </w:rPr>
        <w:t xml:space="preserve"> فضل</w:t>
      </w:r>
      <w:r w:rsidRPr="00282AC9">
        <w:rPr>
          <w:rFonts w:ascii="Mosawi" w:hAnsi="Mosawi" w:cs="AL-Mohanad" w:hint="cs"/>
          <w:sz w:val="27"/>
          <w:szCs w:val="27"/>
          <w:rtl/>
        </w:rPr>
        <w:t>ٍ</w:t>
      </w:r>
      <w:r w:rsidR="001153F1" w:rsidRPr="00282AC9">
        <w:rPr>
          <w:rFonts w:ascii="Mosawi" w:hAnsi="Mosawi" w:cs="AL-Mohanad"/>
          <w:sz w:val="27"/>
          <w:szCs w:val="27"/>
          <w:rtl/>
        </w:rPr>
        <w:t xml:space="preserve"> كان لها علينا</w:t>
      </w:r>
      <w:r w:rsidRPr="00282AC9">
        <w:rPr>
          <w:rFonts w:ascii="Mosawi" w:hAnsi="Mosawi" w:cs="AL-Mohanad" w:hint="cs"/>
          <w:sz w:val="27"/>
          <w:szCs w:val="27"/>
          <w:rtl/>
        </w:rPr>
        <w:t>؟!</w:t>
      </w:r>
      <w:r w:rsidR="001153F1" w:rsidRPr="00282AC9">
        <w:rPr>
          <w:rFonts w:ascii="Mosawi" w:hAnsi="Mosawi" w:cs="AL-Mohanad"/>
          <w:sz w:val="27"/>
          <w:szCs w:val="27"/>
          <w:rtl/>
        </w:rPr>
        <w:t xml:space="preserve"> ما هي إلا</w:t>
      </w:r>
      <w:r w:rsidRPr="00282AC9">
        <w:rPr>
          <w:rFonts w:ascii="Mosawi" w:hAnsi="Mosawi" w:cs="AL-Mohanad" w:hint="cs"/>
          <w:sz w:val="27"/>
          <w:szCs w:val="27"/>
          <w:rtl/>
        </w:rPr>
        <w:t>ّ</w:t>
      </w:r>
      <w:r w:rsidR="001153F1" w:rsidRPr="00282AC9">
        <w:rPr>
          <w:rFonts w:ascii="Mosawi" w:hAnsi="Mosawi" w:cs="AL-Mohanad"/>
          <w:sz w:val="27"/>
          <w:szCs w:val="27"/>
          <w:rtl/>
        </w:rPr>
        <w:t xml:space="preserve"> كبعضنا</w:t>
      </w:r>
      <w:r w:rsidRPr="00282AC9">
        <w:rPr>
          <w:rFonts w:ascii="Mosawi" w:hAnsi="Mosawi" w:cs="AL-Mohanad" w:hint="cs"/>
          <w:sz w:val="27"/>
          <w:szCs w:val="27"/>
          <w:rtl/>
        </w:rPr>
        <w:t>.</w:t>
      </w:r>
      <w:r w:rsidR="001153F1" w:rsidRPr="00282AC9">
        <w:rPr>
          <w:rFonts w:ascii="Mosawi" w:hAnsi="Mosawi" w:cs="AL-Mohanad"/>
          <w:sz w:val="27"/>
          <w:szCs w:val="27"/>
          <w:rtl/>
        </w:rPr>
        <w:t xml:space="preserve"> فسمع مقالتها </w:t>
      </w:r>
      <w:r w:rsidRPr="00282AC9">
        <w:rPr>
          <w:rFonts w:ascii="Mosawi" w:hAnsi="Mosawi" w:cs="AL-Mohanad" w:hint="cs"/>
          <w:sz w:val="27"/>
          <w:szCs w:val="27"/>
          <w:rtl/>
        </w:rPr>
        <w:t>ل</w:t>
      </w:r>
      <w:r w:rsidR="001153F1" w:rsidRPr="00282AC9">
        <w:rPr>
          <w:rFonts w:ascii="Mosawi" w:hAnsi="Mosawi" w:cs="AL-Mohanad"/>
          <w:sz w:val="27"/>
          <w:szCs w:val="27"/>
          <w:rtl/>
        </w:rPr>
        <w:t>فاطمة</w:t>
      </w:r>
      <w:r w:rsidRPr="00282AC9">
        <w:rPr>
          <w:rFonts w:ascii="Mosawi" w:hAnsi="Mosawi" w:cs="AL-Mohanad" w:hint="cs"/>
          <w:sz w:val="27"/>
          <w:szCs w:val="27"/>
          <w:rtl/>
        </w:rPr>
        <w:t>،</w:t>
      </w:r>
      <w:r w:rsidR="001153F1" w:rsidRPr="00282AC9">
        <w:rPr>
          <w:rFonts w:ascii="Mosawi" w:hAnsi="Mosawi" w:cs="AL-Mohanad"/>
          <w:sz w:val="27"/>
          <w:szCs w:val="27"/>
          <w:rtl/>
        </w:rPr>
        <w:t xml:space="preserve"> فلما رأ</w:t>
      </w:r>
      <w:r w:rsidRPr="00282AC9">
        <w:rPr>
          <w:rFonts w:ascii="Mosawi" w:hAnsi="Mosawi" w:cs="AL-Mohanad" w:hint="cs"/>
          <w:sz w:val="27"/>
          <w:szCs w:val="27"/>
          <w:rtl/>
        </w:rPr>
        <w:t>َ</w:t>
      </w:r>
      <w:r w:rsidR="001153F1" w:rsidRPr="00282AC9">
        <w:rPr>
          <w:rFonts w:ascii="Mosawi" w:hAnsi="Mosawi" w:cs="AL-Mohanad"/>
          <w:sz w:val="27"/>
          <w:szCs w:val="27"/>
          <w:rtl/>
        </w:rPr>
        <w:t>ت</w:t>
      </w:r>
      <w:r w:rsidRPr="00282AC9">
        <w:rPr>
          <w:rFonts w:ascii="Mosawi" w:hAnsi="Mosawi" w:cs="AL-Mohanad" w:hint="cs"/>
          <w:sz w:val="27"/>
          <w:szCs w:val="27"/>
          <w:rtl/>
        </w:rPr>
        <w:t>ْ</w:t>
      </w:r>
      <w:r w:rsidR="001153F1" w:rsidRPr="00282AC9">
        <w:rPr>
          <w:rFonts w:ascii="Mosawi" w:hAnsi="Mosawi" w:cs="AL-Mohanad"/>
          <w:sz w:val="27"/>
          <w:szCs w:val="27"/>
          <w:rtl/>
        </w:rPr>
        <w:t xml:space="preserve"> فاطمة رسول الله</w:t>
      </w:r>
      <w:r w:rsidR="009A2A04" w:rsidRPr="00282AC9">
        <w:rPr>
          <w:rFonts w:ascii="Mosawi" w:hAnsi="Mosawi" w:cs="Mosawi"/>
          <w:sz w:val="22"/>
          <w:szCs w:val="22"/>
          <w:rtl/>
        </w:rPr>
        <w:t>|</w:t>
      </w:r>
      <w:r w:rsidR="001153F1" w:rsidRPr="00282AC9">
        <w:rPr>
          <w:rFonts w:ascii="Mosawi" w:hAnsi="Mosawi" w:cs="AL-Mohanad"/>
          <w:sz w:val="27"/>
          <w:szCs w:val="27"/>
          <w:rtl/>
        </w:rPr>
        <w:t xml:space="preserve"> بك</w:t>
      </w:r>
      <w:r w:rsidRPr="00282AC9">
        <w:rPr>
          <w:rFonts w:ascii="Mosawi" w:hAnsi="Mosawi" w:cs="AL-Mohanad" w:hint="cs"/>
          <w:sz w:val="27"/>
          <w:szCs w:val="27"/>
          <w:rtl/>
        </w:rPr>
        <w:t>َ</w:t>
      </w:r>
      <w:r w:rsidR="001153F1" w:rsidRPr="00282AC9">
        <w:rPr>
          <w:rFonts w:ascii="Mosawi" w:hAnsi="Mosawi" w:cs="AL-Mohanad"/>
          <w:sz w:val="27"/>
          <w:szCs w:val="27"/>
          <w:rtl/>
        </w:rPr>
        <w:t>ت</w:t>
      </w:r>
      <w:r w:rsidRPr="00282AC9">
        <w:rPr>
          <w:rFonts w:ascii="Mosawi" w:hAnsi="Mosawi" w:cs="AL-Mohanad" w:hint="cs"/>
          <w:sz w:val="27"/>
          <w:szCs w:val="27"/>
          <w:rtl/>
        </w:rPr>
        <w:t>ْ،</w:t>
      </w:r>
      <w:r w:rsidR="001153F1" w:rsidRPr="00282AC9">
        <w:rPr>
          <w:rFonts w:ascii="Mosawi" w:hAnsi="Mosawi" w:cs="AL-Mohanad"/>
          <w:sz w:val="27"/>
          <w:szCs w:val="27"/>
          <w:rtl/>
        </w:rPr>
        <w:t xml:space="preserve"> فقال لها</w:t>
      </w:r>
      <w:r w:rsidR="001153F1" w:rsidRPr="00282AC9">
        <w:rPr>
          <w:rFonts w:ascii="Mosawi" w:hAnsi="Mosawi" w:cs="AL-Mohanad" w:hint="cs"/>
          <w:sz w:val="27"/>
          <w:szCs w:val="27"/>
          <w:rtl/>
        </w:rPr>
        <w:t>:</w:t>
      </w:r>
      <w:r w:rsidR="001153F1" w:rsidRPr="00282AC9">
        <w:rPr>
          <w:rFonts w:ascii="Mosawi" w:hAnsi="Mosawi" w:cs="AL-Mohanad"/>
          <w:sz w:val="27"/>
          <w:szCs w:val="27"/>
          <w:rtl/>
        </w:rPr>
        <w:t xml:space="preserve"> </w:t>
      </w:r>
      <w:r w:rsidR="008F77F4" w:rsidRPr="00282AC9">
        <w:rPr>
          <w:rFonts w:ascii="Mosawi" w:hAnsi="Mosawi" w:cs="AL-Mohanad"/>
          <w:rtl/>
          <w:lang w:bidi="fa-IR"/>
        </w:rPr>
        <w:t>«</w:t>
      </w:r>
      <w:r w:rsidR="001153F1" w:rsidRPr="00282AC9">
        <w:rPr>
          <w:rFonts w:ascii="Mosawi" w:hAnsi="Mosawi" w:cs="AL-Mohanad"/>
          <w:sz w:val="27"/>
          <w:szCs w:val="27"/>
          <w:rtl/>
          <w:lang w:bidi="fa-IR"/>
        </w:rPr>
        <w:t>ما يبكيك</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يا بنت محمد</w:t>
      </w:r>
      <w:r w:rsidR="001153F1" w:rsidRPr="00282AC9">
        <w:rPr>
          <w:rFonts w:ascii="Mosawi" w:hAnsi="Mosawi" w:cs="AL-Mohanad" w:hint="cs"/>
          <w:sz w:val="27"/>
          <w:szCs w:val="27"/>
          <w:rtl/>
          <w:lang w:bidi="fa-IR"/>
        </w:rPr>
        <w:t>؟</w:t>
      </w:r>
      <w:r w:rsidR="008F77F4" w:rsidRPr="00282AC9">
        <w:rPr>
          <w:rFonts w:ascii="Mosawi" w:hAnsi="Mosawi" w:cs="AL-Mohanad"/>
          <w:rtl/>
        </w:rPr>
        <w:t>»</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قالت</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ذكر</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ت</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أم</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ي</w:t>
      </w:r>
      <w:r w:rsidRPr="00282AC9">
        <w:rPr>
          <w:rFonts w:ascii="Mosawi" w:hAnsi="Mosawi" w:cs="AL-Mohanad" w:hint="cs"/>
          <w:sz w:val="27"/>
          <w:szCs w:val="27"/>
          <w:rtl/>
          <w:lang w:bidi="fa-IR"/>
        </w:rPr>
        <w:t xml:space="preserve">، </w:t>
      </w:r>
      <w:r w:rsidR="001153F1" w:rsidRPr="00282AC9">
        <w:rPr>
          <w:rFonts w:ascii="Mosawi" w:hAnsi="Mosawi" w:cs="AL-Mohanad"/>
          <w:sz w:val="27"/>
          <w:szCs w:val="27"/>
          <w:rtl/>
          <w:lang w:bidi="fa-IR"/>
        </w:rPr>
        <w:t>فتنق</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صتها</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فبكيت</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فغضب رسول الله</w:t>
      </w:r>
      <w:r w:rsidR="009A2A04" w:rsidRPr="00282AC9">
        <w:rPr>
          <w:rFonts w:ascii="Mosawi" w:hAnsi="Mosawi" w:cs="Mosawi"/>
          <w:sz w:val="22"/>
          <w:szCs w:val="22"/>
          <w:rtl/>
          <w:lang w:bidi="fa-IR"/>
        </w:rPr>
        <w:t>|</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ثم</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قال</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w:t>
      </w:r>
      <w:r w:rsidR="008F77F4" w:rsidRPr="00282AC9">
        <w:rPr>
          <w:rFonts w:ascii="Mosawi" w:hAnsi="Mosawi" w:cs="AL-Mohanad"/>
          <w:rtl/>
          <w:lang w:bidi="fa-IR"/>
        </w:rPr>
        <w:t>«</w:t>
      </w:r>
      <w:r w:rsidR="001153F1" w:rsidRPr="00282AC9">
        <w:rPr>
          <w:rFonts w:ascii="Mosawi" w:hAnsi="Mosawi" w:cs="AL-Mohanad"/>
          <w:sz w:val="27"/>
          <w:szCs w:val="27"/>
          <w:rtl/>
          <w:lang w:bidi="fa-IR"/>
        </w:rPr>
        <w:t>م</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ه</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يا حميراء</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فإن</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الله تبارك وتعالى بارك في الو</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لود الو</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دود</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وإن</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خديجة رحمها الله ولد</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ت</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من</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ي طاهرا</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وهو عبد الله</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وهو المط</w:t>
      </w:r>
      <w:r w:rsidR="008F77F4" w:rsidRPr="00282AC9">
        <w:rPr>
          <w:rFonts w:ascii="Mosawi" w:hAnsi="Mosawi" w:cs="AL-Mohanad" w:hint="cs"/>
          <w:sz w:val="27"/>
          <w:szCs w:val="27"/>
          <w:rtl/>
          <w:lang w:bidi="fa-IR"/>
        </w:rPr>
        <w:t>هَّ</w:t>
      </w:r>
      <w:r w:rsidR="001153F1" w:rsidRPr="00282AC9">
        <w:rPr>
          <w:rFonts w:ascii="Mosawi" w:hAnsi="Mosawi" w:cs="AL-Mohanad"/>
          <w:sz w:val="27"/>
          <w:szCs w:val="27"/>
          <w:rtl/>
          <w:lang w:bidi="fa-IR"/>
        </w:rPr>
        <w:t>ر</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وولد</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ت</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من</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ي القاسم وفاطمة ورقي</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ة وأم</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كلثوم وزينب</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وأنت</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مم</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ن</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أعقم الله ر</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ح</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م</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ه</w:t>
      </w:r>
      <w:r w:rsidR="008F77F4"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فلم تلدي شيئا</w:t>
      </w:r>
      <w:r w:rsidR="008F77F4" w:rsidRPr="00282AC9">
        <w:rPr>
          <w:rFonts w:ascii="Mosawi" w:hAnsi="Mosawi" w:cs="AL-Mohanad" w:hint="cs"/>
          <w:sz w:val="27"/>
          <w:szCs w:val="27"/>
          <w:rtl/>
          <w:lang w:bidi="fa-IR"/>
        </w:rPr>
        <w:t>ً</w:t>
      </w:r>
      <w:r w:rsidR="008F77F4" w:rsidRPr="00282AC9">
        <w:rPr>
          <w:rFonts w:ascii="Mosawi" w:hAnsi="Mosawi" w:cs="AL-Mohanad"/>
          <w:rtl/>
        </w:rPr>
        <w:t>»</w:t>
      </w:r>
      <w:r w:rsidR="001153F1" w:rsidRPr="00282AC9">
        <w:rPr>
          <w:rFonts w:ascii="Mosawi" w:hAnsi="Mosawi" w:cs="AL-Mohanad"/>
          <w:sz w:val="27"/>
          <w:szCs w:val="27"/>
          <w:vertAlign w:val="superscript"/>
          <w:rtl/>
          <w:lang w:bidi="fa-IR"/>
        </w:rPr>
        <w:t>(</w:t>
      </w:r>
      <w:r w:rsidR="001153F1" w:rsidRPr="00282AC9">
        <w:rPr>
          <w:rStyle w:val="af9"/>
          <w:rFonts w:ascii="Mosawi" w:eastAsia="B Titr" w:hAnsi="Mosawi" w:cs="AL-Mohanad"/>
          <w:sz w:val="27"/>
          <w:szCs w:val="27"/>
          <w:rtl/>
          <w:lang w:bidi="fa-IR"/>
        </w:rPr>
        <w:endnoteReference w:id="674"/>
      </w:r>
      <w:r w:rsidR="001153F1" w:rsidRPr="00282AC9">
        <w:rPr>
          <w:rFonts w:ascii="Mosawi" w:hAnsi="Mosawi" w:cs="AL-Mohanad"/>
          <w:sz w:val="27"/>
          <w:szCs w:val="27"/>
          <w:vertAlign w:val="superscript"/>
          <w:rtl/>
          <w:lang w:bidi="fa-IR"/>
        </w:rPr>
        <w:t>)</w:t>
      </w:r>
      <w:r w:rsidR="001153F1" w:rsidRPr="00282AC9">
        <w:rPr>
          <w:rFonts w:ascii="Mosawi" w:hAnsi="Mosawi" w:cs="AL-Mohanad"/>
          <w:sz w:val="27"/>
          <w:szCs w:val="27"/>
          <w:rtl/>
          <w:lang w:bidi="fa-IR"/>
        </w:rPr>
        <w:t>.</w:t>
      </w:r>
    </w:p>
    <w:p w:rsidR="001153F1" w:rsidRPr="00282AC9" w:rsidRDefault="001153F1" w:rsidP="007051D6">
      <w:pPr>
        <w:rPr>
          <w:b/>
          <w:bCs/>
          <w:rtl/>
          <w:lang w:bidi="fa-IR"/>
        </w:rPr>
      </w:pPr>
      <w:r w:rsidRPr="00282AC9">
        <w:rPr>
          <w:rFonts w:hint="cs"/>
          <w:b/>
          <w:bCs/>
          <w:rtl/>
          <w:lang w:bidi="fa-IR"/>
        </w:rPr>
        <w:t>أـ الدراسة السندي</w:t>
      </w:r>
      <w:r w:rsidR="008F77F4" w:rsidRPr="00282AC9">
        <w:rPr>
          <w:rFonts w:hint="cs"/>
          <w:b/>
          <w:bCs/>
          <w:rtl/>
          <w:lang w:bidi="fa-IR"/>
        </w:rPr>
        <w:t>ّ</w:t>
      </w:r>
      <w:r w:rsidRPr="00282AC9">
        <w:rPr>
          <w:rFonts w:hint="cs"/>
          <w:b/>
          <w:bCs/>
          <w:rtl/>
          <w:lang w:bidi="fa-IR"/>
        </w:rPr>
        <w:t>ة</w:t>
      </w:r>
      <w:r w:rsidR="00497697" w:rsidRPr="00282AC9">
        <w:rPr>
          <w:rFonts w:ascii="Mosawi" w:hAnsi="Mosawi" w:hint="cs"/>
          <w:sz w:val="27"/>
          <w:rtl/>
          <w:lang w:bidi="fa-IR"/>
        </w:rPr>
        <w:t xml:space="preserve">: </w:t>
      </w:r>
      <w:r w:rsidRPr="00282AC9">
        <w:rPr>
          <w:rFonts w:ascii="Mosawi" w:hAnsi="Mosawi" w:hint="cs"/>
          <w:sz w:val="27"/>
          <w:rtl/>
          <w:lang w:bidi="fa-IR"/>
        </w:rPr>
        <w:t>إنّ هذه الرواية من متفر</w:t>
      </w:r>
      <w:r w:rsidRPr="00282AC9">
        <w:rPr>
          <w:rFonts w:ascii="Cambria" w:hAnsi="Cambria" w:hint="cs"/>
          <w:sz w:val="27"/>
          <w:rtl/>
          <w:lang w:bidi="fa-IR"/>
        </w:rPr>
        <w:t>ّ</w:t>
      </w:r>
      <w:r w:rsidR="008F77F4" w:rsidRPr="00282AC9">
        <w:rPr>
          <w:rFonts w:ascii="Mosawi" w:hAnsi="Mosawi" w:hint="cs"/>
          <w:sz w:val="27"/>
          <w:rtl/>
          <w:lang w:bidi="fa-IR"/>
        </w:rPr>
        <w:t>ِ</w:t>
      </w:r>
      <w:r w:rsidRPr="00282AC9">
        <w:rPr>
          <w:rFonts w:ascii="Mosawi" w:hAnsi="Mosawi" w:hint="cs"/>
          <w:sz w:val="27"/>
          <w:rtl/>
          <w:lang w:bidi="fa-IR"/>
        </w:rPr>
        <w:t>دات الشيخ الصدوق</w:t>
      </w:r>
      <w:r w:rsidR="008F77F4" w:rsidRPr="00282AC9">
        <w:rPr>
          <w:rFonts w:ascii="Mosawi" w:hAnsi="Mosawi" w:hint="cs"/>
          <w:sz w:val="27"/>
          <w:rtl/>
          <w:lang w:bidi="fa-IR"/>
        </w:rPr>
        <w:t>،</w:t>
      </w:r>
      <w:r w:rsidRPr="00282AC9">
        <w:rPr>
          <w:rFonts w:ascii="Mosawi" w:hAnsi="Mosawi" w:hint="cs"/>
          <w:sz w:val="27"/>
          <w:rtl/>
          <w:lang w:bidi="fa-IR"/>
        </w:rPr>
        <w:t xml:space="preserve"> نقلها في كتاب الخصال</w:t>
      </w:r>
      <w:r w:rsidR="008F77F4" w:rsidRPr="00282AC9">
        <w:rPr>
          <w:rFonts w:ascii="Mosawi" w:hAnsi="Mosawi" w:hint="cs"/>
          <w:sz w:val="27"/>
          <w:rtl/>
          <w:lang w:bidi="fa-IR"/>
        </w:rPr>
        <w:t>.</w:t>
      </w:r>
      <w:r w:rsidRPr="00282AC9">
        <w:rPr>
          <w:rFonts w:ascii="Mosawi" w:hAnsi="Mosawi" w:hint="cs"/>
          <w:sz w:val="27"/>
          <w:rtl/>
          <w:lang w:bidi="fa-IR"/>
        </w:rPr>
        <w:t xml:space="preserve"> ومن الناحية الرجالية سند</w:t>
      </w:r>
      <w:r w:rsidR="008F77F4" w:rsidRPr="00282AC9">
        <w:rPr>
          <w:rFonts w:ascii="Mosawi" w:hAnsi="Mosawi" w:hint="cs"/>
          <w:sz w:val="27"/>
          <w:rtl/>
          <w:lang w:bidi="fa-IR"/>
        </w:rPr>
        <w:t>ُ</w:t>
      </w:r>
      <w:r w:rsidRPr="00282AC9">
        <w:rPr>
          <w:rFonts w:ascii="Mosawi" w:hAnsi="Mosawi" w:hint="cs"/>
          <w:sz w:val="27"/>
          <w:rtl/>
          <w:lang w:bidi="fa-IR"/>
        </w:rPr>
        <w:t>ها ضعيفٌ</w:t>
      </w:r>
      <w:r w:rsidR="008F77F4" w:rsidRPr="00282AC9">
        <w:rPr>
          <w:rFonts w:ascii="Mosawi" w:hAnsi="Mosawi" w:hint="cs"/>
          <w:sz w:val="27"/>
          <w:rtl/>
          <w:lang w:bidi="fa-IR"/>
        </w:rPr>
        <w:t>؛</w:t>
      </w:r>
      <w:r w:rsidRPr="00282AC9">
        <w:rPr>
          <w:rFonts w:ascii="Mosawi" w:hAnsi="Mosawi" w:hint="cs"/>
          <w:sz w:val="27"/>
          <w:rtl/>
          <w:lang w:bidi="fa-IR"/>
        </w:rPr>
        <w:t xml:space="preserve"> إذ يشتمل على أب</w:t>
      </w:r>
      <w:r w:rsidR="008F77F4" w:rsidRPr="00282AC9">
        <w:rPr>
          <w:rFonts w:ascii="Mosawi" w:hAnsi="Mosawi" w:hint="cs"/>
          <w:sz w:val="27"/>
          <w:rtl/>
          <w:lang w:bidi="fa-IR"/>
        </w:rPr>
        <w:t>ي</w:t>
      </w:r>
      <w:r w:rsidRPr="00282AC9">
        <w:rPr>
          <w:rFonts w:ascii="Mosawi" w:hAnsi="Mosawi" w:hint="cs"/>
          <w:sz w:val="27"/>
          <w:rtl/>
          <w:lang w:bidi="fa-IR"/>
        </w:rPr>
        <w:t xml:space="preserve"> علي</w:t>
      </w:r>
      <w:r w:rsidR="008F77F4" w:rsidRPr="00282AC9">
        <w:rPr>
          <w:rFonts w:ascii="Mosawi" w:hAnsi="Mosawi" w:hint="cs"/>
          <w:sz w:val="27"/>
          <w:rtl/>
          <w:lang w:bidi="fa-IR"/>
        </w:rPr>
        <w:t>ّ</w:t>
      </w:r>
      <w:r w:rsidRPr="00282AC9">
        <w:rPr>
          <w:rFonts w:ascii="Mosawi" w:hAnsi="Mosawi" w:hint="cs"/>
          <w:sz w:val="27"/>
          <w:rtl/>
          <w:lang w:bidi="fa-IR"/>
        </w:rPr>
        <w:t xml:space="preserve"> الواسطي</w:t>
      </w:r>
      <w:r w:rsidR="008F77F4" w:rsidRPr="00282AC9">
        <w:rPr>
          <w:rFonts w:ascii="Mosawi" w:hAnsi="Mosawi" w:hint="cs"/>
          <w:sz w:val="27"/>
          <w:rtl/>
          <w:lang w:bidi="fa-IR"/>
        </w:rPr>
        <w:t>،</w:t>
      </w:r>
      <w:r w:rsidRPr="00282AC9">
        <w:rPr>
          <w:rFonts w:ascii="Mosawi" w:hAnsi="Mosawi" w:hint="cs"/>
          <w:sz w:val="27"/>
          <w:rtl/>
          <w:lang w:bidi="fa-IR"/>
        </w:rPr>
        <w:t xml:space="preserve"> وهو رجلٌ مجهول</w:t>
      </w:r>
      <w:r w:rsidR="008F77F4" w:rsidRPr="00282AC9">
        <w:rPr>
          <w:rFonts w:ascii="Mosawi" w:hAnsi="Mosawi" w:hint="cs"/>
          <w:sz w:val="27"/>
          <w:rtl/>
          <w:lang w:bidi="fa-IR"/>
        </w:rPr>
        <w:t>،</w:t>
      </w:r>
      <w:r w:rsidRPr="00282AC9">
        <w:rPr>
          <w:rFonts w:ascii="Mosawi" w:hAnsi="Mosawi" w:hint="cs"/>
          <w:sz w:val="27"/>
          <w:rtl/>
          <w:lang w:bidi="fa-IR"/>
        </w:rPr>
        <w:t xml:space="preserve"> لا نجد له توثيقاً أو تضعيفاً في المصادر الرجالي</w:t>
      </w:r>
      <w:r w:rsidR="008F77F4" w:rsidRPr="00282AC9">
        <w:rPr>
          <w:rFonts w:ascii="Mosawi" w:hAnsi="Mosawi" w:hint="cs"/>
          <w:sz w:val="27"/>
          <w:rtl/>
          <w:lang w:bidi="fa-IR"/>
        </w:rPr>
        <w:t>ّ</w:t>
      </w:r>
      <w:r w:rsidRPr="00282AC9">
        <w:rPr>
          <w:rFonts w:ascii="Mosawi" w:hAnsi="Mosawi" w:hint="cs"/>
          <w:sz w:val="27"/>
          <w:rtl/>
          <w:lang w:bidi="fa-IR"/>
        </w:rPr>
        <w:t>ة الإمامي</w:t>
      </w:r>
      <w:r w:rsidR="008F77F4" w:rsidRPr="00282AC9">
        <w:rPr>
          <w:rFonts w:ascii="Mosawi" w:hAnsi="Mosawi" w:hint="cs"/>
          <w:sz w:val="27"/>
          <w:rtl/>
          <w:lang w:bidi="fa-IR"/>
        </w:rPr>
        <w:t>ّ</w:t>
      </w:r>
      <w:r w:rsidRPr="00282AC9">
        <w:rPr>
          <w:rFonts w:ascii="Mosawi" w:hAnsi="Mosawi" w:hint="cs"/>
          <w:sz w:val="27"/>
          <w:rtl/>
          <w:lang w:bidi="fa-IR"/>
        </w:rPr>
        <w:t>ة</w:t>
      </w:r>
      <w:r w:rsidR="008F77F4" w:rsidRPr="00282AC9">
        <w:rPr>
          <w:rFonts w:ascii="Mosawi" w:hAnsi="Mosawi" w:hint="cs"/>
          <w:sz w:val="27"/>
          <w:rtl/>
          <w:lang w:bidi="fa-IR"/>
        </w:rPr>
        <w:t>،</w:t>
      </w:r>
      <w:r w:rsidRPr="00282AC9">
        <w:rPr>
          <w:rFonts w:ascii="Mosawi" w:hAnsi="Mosawi" w:hint="cs"/>
          <w:sz w:val="27"/>
          <w:rtl/>
          <w:lang w:bidi="fa-IR"/>
        </w:rPr>
        <w:t xml:space="preserve"> ورواياته قليلة</w:t>
      </w:r>
      <w:r w:rsidR="008F77F4" w:rsidRPr="00282AC9">
        <w:rPr>
          <w:rFonts w:ascii="Mosawi" w:hAnsi="Mosawi" w:hint="cs"/>
          <w:sz w:val="27"/>
          <w:rtl/>
          <w:lang w:bidi="fa-IR"/>
        </w:rPr>
        <w:t>ٌ</w:t>
      </w:r>
      <w:r w:rsidRPr="00282AC9">
        <w:rPr>
          <w:rFonts w:ascii="Mosawi" w:hAnsi="Mosawi" w:hint="cs"/>
          <w:sz w:val="27"/>
          <w:rtl/>
          <w:lang w:bidi="fa-IR"/>
        </w:rPr>
        <w:t xml:space="preserve"> جد</w:t>
      </w:r>
      <w:r w:rsidR="008F77F4" w:rsidRPr="00282AC9">
        <w:rPr>
          <w:rFonts w:ascii="Mosawi" w:hAnsi="Mosawi" w:hint="cs"/>
          <w:sz w:val="27"/>
          <w:rtl/>
          <w:lang w:bidi="fa-IR"/>
        </w:rPr>
        <w:t>ّ</w:t>
      </w:r>
      <w:r w:rsidRPr="00282AC9">
        <w:rPr>
          <w:rFonts w:ascii="Mosawi" w:hAnsi="Mosawi" w:hint="cs"/>
          <w:sz w:val="27"/>
          <w:rtl/>
          <w:lang w:bidi="fa-IR"/>
        </w:rPr>
        <w:t>اً</w:t>
      </w:r>
      <w:r w:rsidR="008F77F4" w:rsidRPr="00282AC9">
        <w:rPr>
          <w:rFonts w:ascii="Mosawi" w:hAnsi="Mosawi" w:hint="cs"/>
          <w:sz w:val="27"/>
          <w:rtl/>
          <w:lang w:bidi="fa-IR"/>
        </w:rPr>
        <w:t>.</w:t>
      </w:r>
      <w:r w:rsidRPr="00282AC9">
        <w:rPr>
          <w:rFonts w:ascii="Mosawi" w:hAnsi="Mosawi" w:hint="cs"/>
          <w:sz w:val="27"/>
          <w:rtl/>
          <w:lang w:bidi="fa-IR"/>
        </w:rPr>
        <w:t xml:space="preserve"> وكذلك يشتمل على </w:t>
      </w:r>
      <w:r w:rsidRPr="00282AC9">
        <w:rPr>
          <w:rFonts w:ascii="Cambria" w:hAnsi="Cambria" w:hint="cs"/>
          <w:sz w:val="27"/>
          <w:rtl/>
          <w:lang w:bidi="fa-IR"/>
        </w:rPr>
        <w:t>عبد الله بن عصمة</w:t>
      </w:r>
      <w:r w:rsidR="008F77F4" w:rsidRPr="00282AC9">
        <w:rPr>
          <w:rFonts w:ascii="Cambria" w:hAnsi="Cambria" w:hint="cs"/>
          <w:sz w:val="27"/>
          <w:rtl/>
          <w:lang w:bidi="fa-IR"/>
        </w:rPr>
        <w:t>،</w:t>
      </w:r>
      <w:r w:rsidRPr="00282AC9">
        <w:rPr>
          <w:rFonts w:ascii="Cambria" w:hAnsi="Cambria"/>
          <w:sz w:val="27"/>
          <w:rtl/>
          <w:lang w:bidi="fa-IR"/>
        </w:rPr>
        <w:t xml:space="preserve"> </w:t>
      </w:r>
      <w:r w:rsidRPr="00282AC9">
        <w:rPr>
          <w:rFonts w:ascii="Cambria" w:hAnsi="Cambria" w:hint="cs"/>
          <w:sz w:val="27"/>
          <w:rtl/>
          <w:lang w:bidi="fa-IR"/>
        </w:rPr>
        <w:t xml:space="preserve">وهو أيضاً </w:t>
      </w:r>
      <w:r w:rsidRPr="00282AC9">
        <w:rPr>
          <w:rFonts w:ascii="Cambria" w:hAnsi="Cambria" w:hint="cs"/>
          <w:sz w:val="27"/>
          <w:rtl/>
          <w:lang w:bidi="fa-IR"/>
        </w:rPr>
        <w:lastRenderedPageBreak/>
        <w:t>رجلٌ مجهولٌ في المصادر الإمامي</w:t>
      </w:r>
      <w:r w:rsidR="008F77F4" w:rsidRPr="00282AC9">
        <w:rPr>
          <w:rFonts w:ascii="Cambria" w:hAnsi="Cambria" w:hint="cs"/>
          <w:sz w:val="27"/>
          <w:rtl/>
          <w:lang w:bidi="fa-IR"/>
        </w:rPr>
        <w:t>ّ</w:t>
      </w:r>
      <w:r w:rsidRPr="00282AC9">
        <w:rPr>
          <w:rFonts w:ascii="Cambria" w:hAnsi="Cambria" w:hint="cs"/>
          <w:sz w:val="27"/>
          <w:rtl/>
          <w:lang w:bidi="fa-IR"/>
        </w:rPr>
        <w:t>ة</w:t>
      </w:r>
      <w:r w:rsidR="008F77F4" w:rsidRPr="00282AC9">
        <w:rPr>
          <w:rFonts w:ascii="Cambria" w:hAnsi="Cambria" w:hint="cs"/>
          <w:sz w:val="27"/>
          <w:rtl/>
          <w:lang w:bidi="fa-IR"/>
        </w:rPr>
        <w:t>،</w:t>
      </w:r>
      <w:r w:rsidRPr="00282AC9">
        <w:rPr>
          <w:rFonts w:ascii="Cambria" w:hAnsi="Cambria" w:hint="cs"/>
          <w:sz w:val="27"/>
          <w:rtl/>
          <w:lang w:bidi="fa-IR"/>
        </w:rPr>
        <w:t xml:space="preserve"> ورواياته في الإمامية قليلة</w:t>
      </w:r>
      <w:r w:rsidR="008F77F4" w:rsidRPr="00282AC9">
        <w:rPr>
          <w:rFonts w:ascii="Cambria" w:hAnsi="Cambria" w:hint="cs"/>
          <w:sz w:val="27"/>
          <w:rtl/>
          <w:lang w:bidi="fa-IR"/>
        </w:rPr>
        <w:t>ٌ،</w:t>
      </w:r>
      <w:r w:rsidRPr="00282AC9">
        <w:rPr>
          <w:rFonts w:ascii="Cambria" w:hAnsi="Cambria" w:hint="cs"/>
          <w:sz w:val="27"/>
          <w:rtl/>
          <w:lang w:bidi="fa-IR"/>
        </w:rPr>
        <w:t xml:space="preserve"> لا تتجاوز أصابع اليدين</w:t>
      </w:r>
      <w:r w:rsidR="008F77F4" w:rsidRPr="00282AC9">
        <w:rPr>
          <w:rFonts w:ascii="Cambria" w:hAnsi="Cambria" w:hint="cs"/>
          <w:sz w:val="27"/>
          <w:rtl/>
          <w:lang w:bidi="fa-IR"/>
        </w:rPr>
        <w:t>؛</w:t>
      </w:r>
      <w:r w:rsidRPr="00282AC9">
        <w:rPr>
          <w:rFonts w:ascii="Cambria" w:hAnsi="Cambria" w:hint="cs"/>
          <w:sz w:val="27"/>
          <w:rtl/>
          <w:lang w:bidi="fa-IR"/>
        </w:rPr>
        <w:t xml:space="preserve"> ولكن</w:t>
      </w:r>
      <w:r w:rsidR="008F77F4" w:rsidRPr="00282AC9">
        <w:rPr>
          <w:rFonts w:ascii="Cambria" w:hAnsi="Cambria" w:hint="cs"/>
          <w:sz w:val="27"/>
          <w:rtl/>
          <w:lang w:bidi="fa-IR"/>
        </w:rPr>
        <w:t>ْ</w:t>
      </w:r>
      <w:r w:rsidRPr="00282AC9">
        <w:rPr>
          <w:rFonts w:ascii="Cambria" w:hAnsi="Cambria" w:hint="cs"/>
          <w:sz w:val="27"/>
          <w:rtl/>
          <w:lang w:bidi="fa-IR"/>
        </w:rPr>
        <w:t xml:space="preserve"> نجد له روايات في المصادر السن</w:t>
      </w:r>
      <w:r w:rsidR="008F77F4" w:rsidRPr="00282AC9">
        <w:rPr>
          <w:rFonts w:ascii="Cambria" w:hAnsi="Cambria" w:hint="cs"/>
          <w:sz w:val="27"/>
          <w:rtl/>
          <w:lang w:bidi="fa-IR"/>
        </w:rPr>
        <w:t>ّ</w:t>
      </w:r>
      <w:r w:rsidRPr="00282AC9">
        <w:rPr>
          <w:rFonts w:ascii="Cambria" w:hAnsi="Cambria" w:hint="cs"/>
          <w:sz w:val="27"/>
          <w:rtl/>
          <w:lang w:bidi="fa-IR"/>
        </w:rPr>
        <w:t>ية</w:t>
      </w:r>
      <w:r w:rsidR="008F77F4" w:rsidRPr="00282AC9">
        <w:rPr>
          <w:rFonts w:ascii="Cambria" w:hAnsi="Cambria" w:hint="cs"/>
          <w:sz w:val="27"/>
          <w:rtl/>
          <w:lang w:bidi="fa-IR"/>
        </w:rPr>
        <w:t>،</w:t>
      </w:r>
      <w:r w:rsidRPr="00282AC9">
        <w:rPr>
          <w:rFonts w:ascii="Cambria" w:hAnsi="Cambria" w:hint="cs"/>
          <w:sz w:val="27"/>
          <w:rtl/>
          <w:lang w:bidi="fa-IR"/>
        </w:rPr>
        <w:t xml:space="preserve"> وتناوله علماء الرجال من أهل السنّة، وضعّ</w:t>
      </w:r>
      <w:r w:rsidR="008F77F4" w:rsidRPr="00282AC9">
        <w:rPr>
          <w:rFonts w:ascii="Cambria" w:hAnsi="Cambria" w:hint="cs"/>
          <w:sz w:val="27"/>
          <w:rtl/>
          <w:lang w:bidi="fa-IR"/>
        </w:rPr>
        <w:t>َ</w:t>
      </w:r>
      <w:r w:rsidRPr="00282AC9">
        <w:rPr>
          <w:rFonts w:ascii="Cambria" w:hAnsi="Cambria" w:hint="cs"/>
          <w:sz w:val="27"/>
          <w:rtl/>
          <w:lang w:bidi="fa-IR"/>
        </w:rPr>
        <w:t>فه غير</w:t>
      </w:r>
      <w:r w:rsidR="008F77F4" w:rsidRPr="00282AC9">
        <w:rPr>
          <w:rFonts w:ascii="Cambria" w:hAnsi="Cambria" w:hint="cs"/>
          <w:sz w:val="27"/>
          <w:rtl/>
          <w:lang w:bidi="fa-IR"/>
        </w:rPr>
        <w:t>ُ</w:t>
      </w:r>
      <w:r w:rsidRPr="00282AC9">
        <w:rPr>
          <w:rFonts w:ascii="Cambria" w:hAnsi="Cambria" w:hint="cs"/>
          <w:sz w:val="27"/>
          <w:rtl/>
          <w:lang w:bidi="fa-IR"/>
        </w:rPr>
        <w:t xml:space="preserve"> واحد</w:t>
      </w:r>
      <w:r w:rsidR="008F77F4" w:rsidRPr="00282AC9">
        <w:rPr>
          <w:rFonts w:ascii="Cambria" w:hAnsi="Cambria" w:hint="cs"/>
          <w:sz w:val="27"/>
          <w:rtl/>
          <w:lang w:bidi="fa-IR"/>
        </w:rPr>
        <w:t>ٍ</w:t>
      </w:r>
      <w:r w:rsidRPr="00282AC9">
        <w:rPr>
          <w:rFonts w:ascii="Cambria" w:hAnsi="Cambria" w:hint="cs"/>
          <w:sz w:val="27"/>
          <w:rtl/>
          <w:lang w:bidi="fa-IR"/>
        </w:rPr>
        <w:t xml:space="preserve"> من علماء أهل السن</w:t>
      </w:r>
      <w:r w:rsidR="008F77F4" w:rsidRPr="00282AC9">
        <w:rPr>
          <w:rFonts w:ascii="Cambria" w:hAnsi="Cambria" w:hint="cs"/>
          <w:sz w:val="27"/>
          <w:rtl/>
          <w:lang w:bidi="fa-IR"/>
        </w:rPr>
        <w:t>ّ</w:t>
      </w:r>
      <w:r w:rsidRPr="00282AC9">
        <w:rPr>
          <w:rFonts w:ascii="Cambria" w:hAnsi="Cambria" w:hint="cs"/>
          <w:sz w:val="27"/>
          <w:rtl/>
          <w:lang w:bidi="fa-IR"/>
        </w:rPr>
        <w:t>ة</w:t>
      </w:r>
      <w:r w:rsidRPr="00282AC9">
        <w:rPr>
          <w:rFonts w:ascii="Cambria" w:hAnsi="Cambria"/>
          <w:sz w:val="27"/>
          <w:vertAlign w:val="superscript"/>
          <w:rtl/>
          <w:lang w:bidi="fa-IR"/>
        </w:rPr>
        <w:t>(</w:t>
      </w:r>
      <w:r w:rsidRPr="00282AC9">
        <w:rPr>
          <w:rStyle w:val="af9"/>
          <w:rFonts w:ascii="Cambria" w:hAnsi="Cambria"/>
          <w:sz w:val="27"/>
          <w:rtl/>
          <w:lang w:bidi="fa-IR"/>
        </w:rPr>
        <w:endnoteReference w:id="675"/>
      </w:r>
      <w:r w:rsidRPr="00282AC9">
        <w:rPr>
          <w:rFonts w:ascii="Cambria" w:hAnsi="Cambria"/>
          <w:sz w:val="27"/>
          <w:vertAlign w:val="superscript"/>
          <w:rtl/>
          <w:lang w:bidi="fa-IR"/>
        </w:rPr>
        <w:t>)</w:t>
      </w:r>
      <w:r w:rsidR="008F77F4" w:rsidRPr="00282AC9">
        <w:rPr>
          <w:rFonts w:ascii="Cambria" w:hAnsi="Cambria" w:hint="cs"/>
          <w:sz w:val="27"/>
          <w:rtl/>
          <w:lang w:bidi="fa-IR"/>
        </w:rPr>
        <w:t>.</w:t>
      </w:r>
      <w:r w:rsidRPr="00282AC9">
        <w:rPr>
          <w:rFonts w:ascii="Cambria" w:hAnsi="Cambria" w:hint="cs"/>
          <w:sz w:val="27"/>
          <w:rtl/>
          <w:lang w:bidi="fa-IR"/>
        </w:rPr>
        <w:t xml:space="preserve"> وكذلك يشتمل على عمرو بن أبي المقدام</w:t>
      </w:r>
      <w:r w:rsidR="008F77F4" w:rsidRPr="00282AC9">
        <w:rPr>
          <w:rFonts w:ascii="Cambria" w:hAnsi="Cambria" w:hint="cs"/>
          <w:sz w:val="27"/>
          <w:rtl/>
          <w:lang w:bidi="fa-IR"/>
        </w:rPr>
        <w:t>،</w:t>
      </w:r>
      <w:r w:rsidRPr="00282AC9">
        <w:rPr>
          <w:rFonts w:ascii="Cambria" w:hAnsi="Cambria" w:hint="cs"/>
          <w:sz w:val="27"/>
          <w:rtl/>
          <w:lang w:bidi="fa-IR"/>
        </w:rPr>
        <w:t xml:space="preserve"> الذي لم تثبت وثاقته. </w:t>
      </w:r>
    </w:p>
    <w:p w:rsidR="001153F1" w:rsidRPr="00282AC9" w:rsidRDefault="001153F1" w:rsidP="007051D6">
      <w:pPr>
        <w:rPr>
          <w:b/>
          <w:bCs/>
          <w:rtl/>
        </w:rPr>
      </w:pPr>
      <w:r w:rsidRPr="00282AC9">
        <w:rPr>
          <w:rFonts w:hint="cs"/>
          <w:b/>
          <w:bCs/>
          <w:rtl/>
          <w:lang w:bidi="fa-IR"/>
        </w:rPr>
        <w:t>ب ـ الدراسة الدلالي</w:t>
      </w:r>
      <w:r w:rsidR="008F77F4" w:rsidRPr="00282AC9">
        <w:rPr>
          <w:rFonts w:hint="cs"/>
          <w:b/>
          <w:bCs/>
          <w:rtl/>
          <w:lang w:bidi="fa-IR"/>
        </w:rPr>
        <w:t>ّ</w:t>
      </w:r>
      <w:r w:rsidRPr="00282AC9">
        <w:rPr>
          <w:rFonts w:hint="cs"/>
          <w:b/>
          <w:bCs/>
          <w:rtl/>
          <w:lang w:bidi="fa-IR"/>
        </w:rPr>
        <w:t>ة</w:t>
      </w:r>
      <w:r w:rsidR="00497697" w:rsidRPr="00282AC9">
        <w:rPr>
          <w:rFonts w:ascii="Mosawi" w:hAnsi="Mosawi" w:hint="cs"/>
          <w:sz w:val="27"/>
          <w:rtl/>
          <w:lang w:bidi="fa-IR"/>
        </w:rPr>
        <w:t xml:space="preserve">: </w:t>
      </w:r>
      <w:r w:rsidRPr="00282AC9">
        <w:rPr>
          <w:rFonts w:ascii="Mosawi" w:hAnsi="Mosawi" w:hint="cs"/>
          <w:sz w:val="27"/>
          <w:rtl/>
          <w:lang w:bidi="fa-IR"/>
        </w:rPr>
        <w:t>يؤكّ</w:t>
      </w:r>
      <w:r w:rsidR="008F77F4" w:rsidRPr="00282AC9">
        <w:rPr>
          <w:rFonts w:ascii="Mosawi" w:hAnsi="Mosawi" w:hint="cs"/>
          <w:sz w:val="27"/>
          <w:rtl/>
          <w:lang w:bidi="fa-IR"/>
        </w:rPr>
        <w:t>ِ</w:t>
      </w:r>
      <w:r w:rsidRPr="00282AC9">
        <w:rPr>
          <w:rFonts w:ascii="Mosawi" w:hAnsi="Mosawi" w:hint="cs"/>
          <w:sz w:val="27"/>
          <w:rtl/>
          <w:lang w:bidi="fa-IR"/>
        </w:rPr>
        <w:t>د رسول الله</w:t>
      </w:r>
      <w:r w:rsidR="009A2A04" w:rsidRPr="00282AC9">
        <w:rPr>
          <w:rFonts w:ascii="Mosawi" w:hAnsi="Mosawi" w:cs="Mosawi"/>
          <w:sz w:val="22"/>
          <w:szCs w:val="22"/>
          <w:rtl/>
          <w:lang w:bidi="fa-IR"/>
        </w:rPr>
        <w:t>|</w:t>
      </w:r>
      <w:r w:rsidRPr="00282AC9">
        <w:rPr>
          <w:rFonts w:ascii="Mosawi" w:hAnsi="Mosawi" w:hint="cs"/>
          <w:sz w:val="27"/>
          <w:rtl/>
          <w:lang w:bidi="fa-IR"/>
        </w:rPr>
        <w:t xml:space="preserve"> في هذه الرواية على أنّ الله تبارك وتعالى بارك في الولود الودود</w:t>
      </w:r>
      <w:r w:rsidR="00A80666" w:rsidRPr="00282AC9">
        <w:rPr>
          <w:rFonts w:ascii="Mosawi" w:hAnsi="Mosawi" w:hint="cs"/>
          <w:sz w:val="27"/>
          <w:rtl/>
          <w:lang w:bidi="fa-IR"/>
        </w:rPr>
        <w:t>.</w:t>
      </w:r>
      <w:r w:rsidRPr="00282AC9">
        <w:rPr>
          <w:rFonts w:ascii="Mosawi" w:hAnsi="Mosawi" w:hint="cs"/>
          <w:sz w:val="27"/>
          <w:rtl/>
          <w:lang w:bidi="fa-IR"/>
        </w:rPr>
        <w:t xml:space="preserve"> وهذا يبدو منه </w:t>
      </w:r>
      <w:r w:rsidR="00A80666" w:rsidRPr="00282AC9">
        <w:rPr>
          <w:rFonts w:ascii="Mosawi" w:hAnsi="Mosawi" w:hint="cs"/>
          <w:sz w:val="27"/>
          <w:rtl/>
          <w:lang w:bidi="fa-IR"/>
        </w:rPr>
        <w:t>التمييز</w:t>
      </w:r>
      <w:r w:rsidRPr="00282AC9">
        <w:rPr>
          <w:rFonts w:ascii="Mosawi" w:hAnsi="Mosawi" w:hint="cs"/>
          <w:sz w:val="27"/>
          <w:rtl/>
          <w:lang w:bidi="fa-IR"/>
        </w:rPr>
        <w:t xml:space="preserve"> </w:t>
      </w:r>
      <w:r w:rsidR="00A80666" w:rsidRPr="00282AC9">
        <w:rPr>
          <w:rFonts w:ascii="Mosawi" w:hAnsi="Mosawi" w:hint="cs"/>
          <w:sz w:val="27"/>
          <w:rtl/>
          <w:lang w:bidi="fa-IR"/>
        </w:rPr>
        <w:t>التكويني</w:t>
      </w:r>
      <w:r w:rsidRPr="00282AC9">
        <w:rPr>
          <w:rFonts w:ascii="Mosawi" w:hAnsi="Mosawi" w:hint="cs"/>
          <w:sz w:val="27"/>
          <w:rtl/>
          <w:lang w:bidi="fa-IR"/>
        </w:rPr>
        <w:t xml:space="preserve"> </w:t>
      </w:r>
      <w:r w:rsidR="00A80666" w:rsidRPr="00282AC9">
        <w:rPr>
          <w:rFonts w:ascii="Mosawi" w:hAnsi="Mosawi" w:hint="cs"/>
          <w:sz w:val="27"/>
          <w:rtl/>
          <w:lang w:bidi="fa-IR"/>
        </w:rPr>
        <w:t>ل</w:t>
      </w:r>
      <w:r w:rsidRPr="00282AC9">
        <w:rPr>
          <w:rFonts w:ascii="Mosawi" w:hAnsi="Mosawi" w:hint="cs"/>
          <w:sz w:val="27"/>
          <w:rtl/>
          <w:lang w:bidi="fa-IR"/>
        </w:rPr>
        <w:t>لمرأة العقيم</w:t>
      </w:r>
      <w:r w:rsidR="00A80666" w:rsidRPr="00282AC9">
        <w:rPr>
          <w:rFonts w:ascii="Mosawi" w:hAnsi="Mosawi" w:hint="cs"/>
          <w:sz w:val="27"/>
          <w:rtl/>
          <w:lang w:bidi="fa-IR"/>
        </w:rPr>
        <w:t>.</w:t>
      </w:r>
      <w:r w:rsidRPr="00282AC9">
        <w:rPr>
          <w:rFonts w:ascii="Mosawi" w:hAnsi="Mosawi" w:hint="cs"/>
          <w:sz w:val="27"/>
          <w:rtl/>
          <w:lang w:bidi="fa-IR"/>
        </w:rPr>
        <w:t xml:space="preserve"> والقياس بين خديجة وعائشة في هذه النقطة يدلّ على امتياز الو</w:t>
      </w:r>
      <w:r w:rsidR="00A80666" w:rsidRPr="00282AC9">
        <w:rPr>
          <w:rFonts w:ascii="Mosawi" w:hAnsi="Mosawi" w:hint="cs"/>
          <w:sz w:val="27"/>
          <w:rtl/>
          <w:lang w:bidi="fa-IR"/>
        </w:rPr>
        <w:t>َ</w:t>
      </w:r>
      <w:r w:rsidRPr="00282AC9">
        <w:rPr>
          <w:rFonts w:ascii="Mosawi" w:hAnsi="Mosawi" w:hint="cs"/>
          <w:sz w:val="27"/>
          <w:rtl/>
          <w:lang w:bidi="fa-IR"/>
        </w:rPr>
        <w:t>لود على العقيم</w:t>
      </w:r>
      <w:r w:rsidR="00A80666" w:rsidRPr="00282AC9">
        <w:rPr>
          <w:rFonts w:ascii="Mosawi" w:hAnsi="Mosawi" w:hint="cs"/>
          <w:sz w:val="27"/>
          <w:rtl/>
          <w:lang w:bidi="fa-IR"/>
        </w:rPr>
        <w:t>.</w:t>
      </w:r>
      <w:r w:rsidRPr="00282AC9">
        <w:rPr>
          <w:rFonts w:ascii="Mosawi" w:hAnsi="Mosawi" w:hint="cs"/>
          <w:sz w:val="27"/>
          <w:rtl/>
          <w:lang w:bidi="fa-IR"/>
        </w:rPr>
        <w:t xml:space="preserve"> ولكن</w:t>
      </w:r>
      <w:r w:rsidR="00A80666" w:rsidRPr="00282AC9">
        <w:rPr>
          <w:rFonts w:ascii="Mosawi" w:hAnsi="Mosawi" w:hint="cs"/>
          <w:sz w:val="27"/>
          <w:rtl/>
          <w:lang w:bidi="fa-IR"/>
        </w:rPr>
        <w:t>ْ</w:t>
      </w:r>
      <w:r w:rsidRPr="00282AC9">
        <w:rPr>
          <w:rFonts w:ascii="Mosawi" w:hAnsi="Mosawi" w:hint="cs"/>
          <w:sz w:val="27"/>
          <w:rtl/>
          <w:lang w:bidi="fa-IR"/>
        </w:rPr>
        <w:t xml:space="preserve"> لا نجد في هذه الرواية أي</w:t>
      </w:r>
      <w:r w:rsidR="00A80666" w:rsidRPr="00282AC9">
        <w:rPr>
          <w:rFonts w:ascii="Mosawi" w:hAnsi="Mosawi" w:hint="cs"/>
          <w:sz w:val="27"/>
          <w:rtl/>
          <w:lang w:bidi="fa-IR"/>
        </w:rPr>
        <w:t>َّ</w:t>
      </w:r>
      <w:r w:rsidRPr="00282AC9">
        <w:rPr>
          <w:rFonts w:ascii="Mosawi" w:hAnsi="Mosawi" w:hint="cs"/>
          <w:sz w:val="27"/>
          <w:rtl/>
          <w:lang w:bidi="fa-IR"/>
        </w:rPr>
        <w:t xml:space="preserve"> تعبير</w:t>
      </w:r>
      <w:r w:rsidR="00A80666" w:rsidRPr="00282AC9">
        <w:rPr>
          <w:rFonts w:ascii="Mosawi" w:hAnsi="Mosawi" w:hint="cs"/>
          <w:sz w:val="27"/>
          <w:rtl/>
          <w:lang w:bidi="fa-IR"/>
        </w:rPr>
        <w:t>ٍ</w:t>
      </w:r>
      <w:r w:rsidRPr="00282AC9">
        <w:rPr>
          <w:rFonts w:ascii="Mosawi" w:hAnsi="Mosawi" w:hint="cs"/>
          <w:sz w:val="27"/>
          <w:rtl/>
          <w:lang w:bidi="fa-IR"/>
        </w:rPr>
        <w:t xml:space="preserve"> قانوني</w:t>
      </w:r>
      <w:r w:rsidR="00A80666" w:rsidRPr="00282AC9">
        <w:rPr>
          <w:rFonts w:ascii="Mosawi" w:hAnsi="Mosawi" w:hint="cs"/>
          <w:sz w:val="27"/>
          <w:rtl/>
          <w:lang w:bidi="fa-IR"/>
        </w:rPr>
        <w:t>ّ</w:t>
      </w:r>
      <w:r w:rsidRPr="00282AC9">
        <w:rPr>
          <w:rFonts w:ascii="Mosawi" w:hAnsi="Mosawi" w:hint="cs"/>
          <w:sz w:val="27"/>
          <w:rtl/>
          <w:lang w:bidi="fa-IR"/>
        </w:rPr>
        <w:t xml:space="preserve"> للنهي عن الزواج من العقيم</w:t>
      </w:r>
      <w:r w:rsidR="00A80666" w:rsidRPr="00282AC9">
        <w:rPr>
          <w:rFonts w:ascii="Mosawi" w:hAnsi="Mosawi" w:hint="cs"/>
          <w:sz w:val="27"/>
          <w:rtl/>
          <w:lang w:bidi="fa-IR"/>
        </w:rPr>
        <w:t>،</w:t>
      </w:r>
      <w:r w:rsidRPr="00282AC9">
        <w:rPr>
          <w:rFonts w:ascii="Mosawi" w:hAnsi="Mosawi" w:hint="cs"/>
          <w:sz w:val="27"/>
          <w:rtl/>
          <w:lang w:bidi="fa-IR"/>
        </w:rPr>
        <w:t xml:space="preserve"> بل يدلّ على فعل رسول الله</w:t>
      </w:r>
      <w:r w:rsidR="009A2A04" w:rsidRPr="00282AC9">
        <w:rPr>
          <w:rFonts w:ascii="Mosawi" w:hAnsi="Mosawi" w:cs="Mosawi"/>
          <w:sz w:val="22"/>
          <w:szCs w:val="22"/>
          <w:rtl/>
          <w:lang w:bidi="fa-IR"/>
        </w:rPr>
        <w:t>|</w:t>
      </w:r>
      <w:r w:rsidRPr="00282AC9">
        <w:rPr>
          <w:rFonts w:ascii="Mosawi" w:hAnsi="Mosawi" w:hint="cs"/>
          <w:sz w:val="27"/>
          <w:rtl/>
          <w:lang w:bidi="fa-IR"/>
        </w:rPr>
        <w:t xml:space="preserve"> </w:t>
      </w:r>
      <w:r w:rsidR="00A80666" w:rsidRPr="00282AC9">
        <w:rPr>
          <w:rFonts w:ascii="Mosawi" w:hAnsi="Mosawi" w:hint="cs"/>
          <w:sz w:val="27"/>
          <w:rtl/>
          <w:lang w:bidi="fa-IR"/>
        </w:rPr>
        <w:t>ل</w:t>
      </w:r>
      <w:r w:rsidRPr="00282AC9">
        <w:rPr>
          <w:rFonts w:ascii="Mosawi" w:hAnsi="Mosawi" w:hint="cs"/>
          <w:sz w:val="27"/>
          <w:rtl/>
          <w:lang w:bidi="fa-IR"/>
        </w:rPr>
        <w:t>لزواج من العقيم</w:t>
      </w:r>
      <w:r w:rsidR="00A80666" w:rsidRPr="00282AC9">
        <w:rPr>
          <w:rFonts w:ascii="Mosawi" w:hAnsi="Mosawi" w:hint="cs"/>
          <w:sz w:val="27"/>
          <w:rtl/>
          <w:lang w:bidi="fa-IR"/>
        </w:rPr>
        <w:t>،</w:t>
      </w:r>
      <w:r w:rsidRPr="00282AC9">
        <w:rPr>
          <w:rFonts w:ascii="Mosawi" w:hAnsi="Mosawi" w:hint="cs"/>
          <w:sz w:val="27"/>
          <w:rtl/>
          <w:lang w:bidi="fa-IR"/>
        </w:rPr>
        <w:t xml:space="preserve"> أو البقاء في زواجها</w:t>
      </w:r>
      <w:r w:rsidR="00A80666" w:rsidRPr="00282AC9">
        <w:rPr>
          <w:rFonts w:ascii="Mosawi" w:hAnsi="Mosawi" w:hint="cs"/>
          <w:sz w:val="27"/>
          <w:rtl/>
          <w:lang w:bidi="fa-IR"/>
        </w:rPr>
        <w:t>؛</w:t>
      </w:r>
      <w:r w:rsidRPr="00282AC9">
        <w:rPr>
          <w:rFonts w:ascii="Mosawi" w:hAnsi="Mosawi" w:hint="cs"/>
          <w:sz w:val="27"/>
          <w:rtl/>
          <w:lang w:bidi="fa-IR"/>
        </w:rPr>
        <w:t xml:space="preserve"> إذ قد يُقال بأنّ عائشة كانت طفلة</w:t>
      </w:r>
      <w:r w:rsidR="00A80666" w:rsidRPr="00282AC9">
        <w:rPr>
          <w:rFonts w:ascii="Mosawi" w:hAnsi="Mosawi" w:hint="cs"/>
          <w:sz w:val="27"/>
          <w:rtl/>
          <w:lang w:bidi="fa-IR"/>
        </w:rPr>
        <w:t>ً</w:t>
      </w:r>
      <w:r w:rsidRPr="00282AC9">
        <w:rPr>
          <w:rFonts w:ascii="Mosawi" w:hAnsi="Mosawi" w:hint="cs"/>
          <w:sz w:val="27"/>
          <w:rtl/>
          <w:lang w:bidi="fa-IR"/>
        </w:rPr>
        <w:t xml:space="preserve"> عندما تزو</w:t>
      </w:r>
      <w:r w:rsidR="00A80666" w:rsidRPr="00282AC9">
        <w:rPr>
          <w:rFonts w:ascii="Mosawi" w:hAnsi="Mosawi" w:hint="cs"/>
          <w:sz w:val="27"/>
          <w:rtl/>
          <w:lang w:bidi="fa-IR"/>
        </w:rPr>
        <w:t>َّ</w:t>
      </w:r>
      <w:r w:rsidRPr="00282AC9">
        <w:rPr>
          <w:rFonts w:ascii="Mosawi" w:hAnsi="Mosawi" w:hint="cs"/>
          <w:sz w:val="27"/>
          <w:rtl/>
          <w:lang w:bidi="fa-IR"/>
        </w:rPr>
        <w:t>ج</w:t>
      </w:r>
      <w:r w:rsidR="00A80666" w:rsidRPr="00282AC9">
        <w:rPr>
          <w:rFonts w:ascii="Mosawi" w:hAnsi="Mosawi" w:hint="cs"/>
          <w:sz w:val="27"/>
          <w:rtl/>
          <w:lang w:bidi="fa-IR"/>
        </w:rPr>
        <w:t>َ</w:t>
      </w:r>
      <w:r w:rsidRPr="00282AC9">
        <w:rPr>
          <w:rFonts w:ascii="Mosawi" w:hAnsi="Mosawi" w:hint="cs"/>
          <w:sz w:val="27"/>
          <w:rtl/>
          <w:lang w:bidi="fa-IR"/>
        </w:rPr>
        <w:t>ت</w:t>
      </w:r>
      <w:r w:rsidR="00A80666" w:rsidRPr="00282AC9">
        <w:rPr>
          <w:rFonts w:ascii="Mosawi" w:hAnsi="Mosawi" w:hint="cs"/>
          <w:sz w:val="27"/>
          <w:rtl/>
          <w:lang w:bidi="fa-IR"/>
        </w:rPr>
        <w:t>ْ</w:t>
      </w:r>
      <w:r w:rsidRPr="00282AC9">
        <w:rPr>
          <w:rFonts w:ascii="Mosawi" w:hAnsi="Mosawi" w:hint="cs"/>
          <w:sz w:val="27"/>
          <w:rtl/>
          <w:lang w:bidi="fa-IR"/>
        </w:rPr>
        <w:t xml:space="preserve"> من رسول الله</w:t>
      </w:r>
      <w:r w:rsidR="009A2A04" w:rsidRPr="00282AC9">
        <w:rPr>
          <w:rFonts w:ascii="Mosawi" w:hAnsi="Mosawi" w:cs="Mosawi"/>
          <w:sz w:val="22"/>
          <w:szCs w:val="22"/>
          <w:rtl/>
          <w:lang w:bidi="fa-IR"/>
        </w:rPr>
        <w:t>|</w:t>
      </w:r>
      <w:r w:rsidR="00A80666" w:rsidRPr="00282AC9">
        <w:rPr>
          <w:rFonts w:ascii="Mosawi" w:hAnsi="Mosawi" w:hint="cs"/>
          <w:sz w:val="27"/>
          <w:rtl/>
          <w:lang w:bidi="fa-IR"/>
        </w:rPr>
        <w:t>،</w:t>
      </w:r>
      <w:r w:rsidRPr="00282AC9">
        <w:rPr>
          <w:rFonts w:ascii="Mosawi" w:hAnsi="Mosawi" w:hint="cs"/>
          <w:sz w:val="27"/>
          <w:rtl/>
          <w:lang w:bidi="fa-IR"/>
        </w:rPr>
        <w:t xml:space="preserve"> فلم تكن حال</w:t>
      </w:r>
      <w:r w:rsidR="00A80666" w:rsidRPr="00282AC9">
        <w:rPr>
          <w:rFonts w:ascii="Mosawi" w:hAnsi="Mosawi" w:hint="cs"/>
          <w:sz w:val="27"/>
          <w:rtl/>
          <w:lang w:bidi="fa-IR"/>
        </w:rPr>
        <w:t>ُ</w:t>
      </w:r>
      <w:r w:rsidRPr="00282AC9">
        <w:rPr>
          <w:rFonts w:ascii="Mosawi" w:hAnsi="Mosawi" w:hint="cs"/>
          <w:sz w:val="27"/>
          <w:rtl/>
          <w:lang w:bidi="fa-IR"/>
        </w:rPr>
        <w:t>ها معلومة</w:t>
      </w:r>
      <w:r w:rsidR="00A80666" w:rsidRPr="00282AC9">
        <w:rPr>
          <w:rFonts w:ascii="Mosawi" w:hAnsi="Mosawi" w:hint="cs"/>
          <w:sz w:val="27"/>
          <w:rtl/>
          <w:lang w:bidi="fa-IR"/>
        </w:rPr>
        <w:t>ً</w:t>
      </w:r>
      <w:r w:rsidRPr="00282AC9">
        <w:rPr>
          <w:rFonts w:ascii="Mosawi" w:hAnsi="Mosawi" w:hint="cs"/>
          <w:sz w:val="27"/>
          <w:rtl/>
          <w:lang w:bidi="fa-IR"/>
        </w:rPr>
        <w:t xml:space="preserve"> حينئذ</w:t>
      </w:r>
      <w:r w:rsidR="00A80666" w:rsidRPr="00282AC9">
        <w:rPr>
          <w:rFonts w:ascii="Mosawi" w:hAnsi="Mosawi" w:hint="cs"/>
          <w:sz w:val="27"/>
          <w:rtl/>
          <w:lang w:bidi="fa-IR"/>
        </w:rPr>
        <w:t>ٍ</w:t>
      </w:r>
      <w:r w:rsidRPr="00282AC9">
        <w:rPr>
          <w:rFonts w:ascii="Mosawi" w:hAnsi="Mosawi" w:hint="cs"/>
          <w:sz w:val="27"/>
          <w:rtl/>
          <w:lang w:bidi="fa-IR"/>
        </w:rPr>
        <w:t xml:space="preserve"> ولكن</w:t>
      </w:r>
      <w:r w:rsidR="00A80666" w:rsidRPr="00282AC9">
        <w:rPr>
          <w:rFonts w:ascii="Mosawi" w:hAnsi="Mosawi" w:hint="cs"/>
          <w:sz w:val="27"/>
          <w:rtl/>
          <w:lang w:bidi="fa-IR"/>
        </w:rPr>
        <w:t>ْ</w:t>
      </w:r>
      <w:r w:rsidRPr="00282AC9">
        <w:rPr>
          <w:rFonts w:ascii="Mosawi" w:hAnsi="Mosawi" w:hint="cs"/>
          <w:sz w:val="27"/>
          <w:rtl/>
          <w:lang w:bidi="fa-IR"/>
        </w:rPr>
        <w:t xml:space="preserve"> على أي</w:t>
      </w:r>
      <w:r w:rsidR="00A80666" w:rsidRPr="00282AC9">
        <w:rPr>
          <w:rFonts w:ascii="Mosawi" w:hAnsi="Mosawi" w:hint="cs"/>
          <w:sz w:val="27"/>
          <w:rtl/>
          <w:lang w:bidi="fa-IR"/>
        </w:rPr>
        <w:t>ّ</w:t>
      </w:r>
      <w:r w:rsidRPr="00282AC9">
        <w:rPr>
          <w:rFonts w:ascii="Mosawi" w:hAnsi="Mosawi" w:hint="cs"/>
          <w:sz w:val="27"/>
          <w:rtl/>
          <w:lang w:bidi="fa-IR"/>
        </w:rPr>
        <w:t xml:space="preserve"> حال</w:t>
      </w:r>
      <w:r w:rsidR="00A80666" w:rsidRPr="00282AC9">
        <w:rPr>
          <w:rFonts w:ascii="Mosawi" w:hAnsi="Mosawi" w:hint="cs"/>
          <w:sz w:val="27"/>
          <w:rtl/>
          <w:lang w:bidi="fa-IR"/>
        </w:rPr>
        <w:t>ٍ</w:t>
      </w:r>
      <w:r w:rsidRPr="00282AC9">
        <w:rPr>
          <w:rFonts w:ascii="Mosawi" w:hAnsi="Mosawi" w:hint="cs"/>
          <w:sz w:val="27"/>
          <w:rtl/>
          <w:lang w:bidi="fa-IR"/>
        </w:rPr>
        <w:t xml:space="preserve"> لم يطل</w:t>
      </w:r>
      <w:r w:rsidR="00A80666" w:rsidRPr="00282AC9">
        <w:rPr>
          <w:rFonts w:ascii="Mosawi" w:hAnsi="Mosawi" w:hint="cs"/>
          <w:sz w:val="27"/>
          <w:rtl/>
          <w:lang w:bidi="fa-IR"/>
        </w:rPr>
        <w:t>ِّ</w:t>
      </w:r>
      <w:r w:rsidRPr="00282AC9">
        <w:rPr>
          <w:rFonts w:ascii="Mosawi" w:hAnsi="Mosawi" w:hint="cs"/>
          <w:sz w:val="27"/>
          <w:rtl/>
          <w:lang w:bidi="fa-IR"/>
        </w:rPr>
        <w:t>ق</w:t>
      </w:r>
      <w:r w:rsidR="00A80666" w:rsidRPr="00282AC9">
        <w:rPr>
          <w:rFonts w:ascii="Mosawi" w:hAnsi="Mosawi" w:hint="cs"/>
          <w:sz w:val="27"/>
          <w:rtl/>
          <w:lang w:bidi="fa-IR"/>
        </w:rPr>
        <w:t>ْ</w:t>
      </w:r>
      <w:r w:rsidRPr="00282AC9">
        <w:rPr>
          <w:rFonts w:ascii="Mosawi" w:hAnsi="Mosawi" w:hint="cs"/>
          <w:sz w:val="27"/>
          <w:rtl/>
          <w:lang w:bidi="fa-IR"/>
        </w:rPr>
        <w:t>ها رسول الله</w:t>
      </w:r>
      <w:r w:rsidR="009A2A04" w:rsidRPr="00282AC9">
        <w:rPr>
          <w:rFonts w:ascii="Mosawi" w:hAnsi="Mosawi" w:cs="Mosawi"/>
          <w:sz w:val="22"/>
          <w:szCs w:val="22"/>
          <w:rtl/>
          <w:lang w:bidi="fa-IR"/>
        </w:rPr>
        <w:t>|</w:t>
      </w:r>
      <w:r w:rsidRPr="00282AC9">
        <w:rPr>
          <w:rFonts w:ascii="Mosawi" w:hAnsi="Mosawi" w:hint="cs"/>
          <w:sz w:val="27"/>
          <w:rtl/>
          <w:lang w:bidi="fa-IR"/>
        </w:rPr>
        <w:t xml:space="preserve"> بسبب عقم رحمها</w:t>
      </w:r>
      <w:r w:rsidR="00A80666" w:rsidRPr="00282AC9">
        <w:rPr>
          <w:rFonts w:ascii="Mosawi" w:hAnsi="Mosawi" w:hint="cs"/>
          <w:sz w:val="27"/>
          <w:rtl/>
          <w:lang w:bidi="fa-IR"/>
        </w:rPr>
        <w:t>،</w:t>
      </w:r>
      <w:r w:rsidRPr="00282AC9">
        <w:rPr>
          <w:rFonts w:ascii="Mosawi" w:hAnsi="Mosawi" w:hint="cs"/>
          <w:sz w:val="27"/>
          <w:rtl/>
          <w:lang w:bidi="fa-IR"/>
        </w:rPr>
        <w:t xml:space="preserve"> وهذا يدلّ على الأقل</w:t>
      </w:r>
      <w:r w:rsidR="00A80666" w:rsidRPr="00282AC9">
        <w:rPr>
          <w:rFonts w:ascii="Mosawi" w:hAnsi="Mosawi" w:hint="cs"/>
          <w:sz w:val="27"/>
          <w:rtl/>
          <w:lang w:bidi="fa-IR"/>
        </w:rPr>
        <w:t>ّ</w:t>
      </w:r>
      <w:r w:rsidRPr="00282AC9">
        <w:rPr>
          <w:rFonts w:ascii="Mosawi" w:hAnsi="Mosawi" w:hint="cs"/>
          <w:sz w:val="27"/>
          <w:rtl/>
          <w:lang w:bidi="fa-IR"/>
        </w:rPr>
        <w:t xml:space="preserve"> على جواز الزواج من المرأة العقيم</w:t>
      </w:r>
      <w:r w:rsidR="00A80666" w:rsidRPr="00282AC9">
        <w:rPr>
          <w:rFonts w:ascii="Mosawi" w:hAnsi="Mosawi" w:hint="cs"/>
          <w:sz w:val="27"/>
          <w:rtl/>
          <w:lang w:bidi="fa-IR"/>
        </w:rPr>
        <w:t>.</w:t>
      </w:r>
      <w:r w:rsidRPr="00282AC9">
        <w:rPr>
          <w:rFonts w:ascii="Mosawi" w:hAnsi="Mosawi" w:hint="cs"/>
          <w:sz w:val="27"/>
          <w:rtl/>
          <w:lang w:bidi="fa-IR"/>
        </w:rPr>
        <w:t xml:space="preserve"> وكذلك لا تشتمل هذه الرواية على تعبير</w:t>
      </w:r>
      <w:r w:rsidR="00A80666" w:rsidRPr="00282AC9">
        <w:rPr>
          <w:rFonts w:ascii="Mosawi" w:hAnsi="Mosawi" w:hint="cs"/>
          <w:sz w:val="27"/>
          <w:rtl/>
          <w:lang w:bidi="fa-IR"/>
        </w:rPr>
        <w:t>ٍ</w:t>
      </w:r>
      <w:r w:rsidRPr="00282AC9">
        <w:rPr>
          <w:rFonts w:ascii="Mosawi" w:hAnsi="Mosawi" w:hint="cs"/>
          <w:sz w:val="27"/>
          <w:rtl/>
          <w:lang w:bidi="fa-IR"/>
        </w:rPr>
        <w:t xml:space="preserve"> شنيع في حقّ المرأة العقيم</w:t>
      </w:r>
      <w:r w:rsidR="00A80666" w:rsidRPr="00282AC9">
        <w:rPr>
          <w:rFonts w:ascii="Mosawi" w:hAnsi="Mosawi" w:hint="cs"/>
          <w:sz w:val="27"/>
          <w:rtl/>
          <w:lang w:bidi="fa-IR"/>
        </w:rPr>
        <w:t>،</w:t>
      </w:r>
      <w:r w:rsidRPr="00282AC9">
        <w:rPr>
          <w:rFonts w:ascii="Mosawi" w:hAnsi="Mosawi" w:hint="cs"/>
          <w:sz w:val="27"/>
          <w:rtl/>
          <w:lang w:bidi="fa-IR"/>
        </w:rPr>
        <w:t xml:space="preserve"> وإنّما كلّ</w:t>
      </w:r>
      <w:r w:rsidR="00A80666" w:rsidRPr="00282AC9">
        <w:rPr>
          <w:rFonts w:ascii="Mosawi" w:hAnsi="Mosawi" w:hint="cs"/>
          <w:sz w:val="27"/>
          <w:rtl/>
          <w:lang w:bidi="fa-IR"/>
        </w:rPr>
        <w:t>ُ</w:t>
      </w:r>
      <w:r w:rsidRPr="00282AC9">
        <w:rPr>
          <w:rFonts w:ascii="Mosawi" w:hAnsi="Mosawi" w:hint="cs"/>
          <w:sz w:val="27"/>
          <w:rtl/>
          <w:lang w:bidi="fa-IR"/>
        </w:rPr>
        <w:t xml:space="preserve"> ما في الأمر التمييز بين العقيم والولود</w:t>
      </w:r>
      <w:r w:rsidR="00A80666" w:rsidRPr="00282AC9">
        <w:rPr>
          <w:rFonts w:ascii="Mosawi" w:hAnsi="Mosawi" w:hint="cs"/>
          <w:sz w:val="27"/>
          <w:rtl/>
          <w:lang w:bidi="fa-IR"/>
        </w:rPr>
        <w:t>،</w:t>
      </w:r>
      <w:r w:rsidRPr="00282AC9">
        <w:rPr>
          <w:rFonts w:ascii="Mosawi" w:hAnsi="Mosawi" w:hint="cs"/>
          <w:sz w:val="27"/>
          <w:rtl/>
          <w:lang w:bidi="fa-IR"/>
        </w:rPr>
        <w:t xml:space="preserve"> الذي سيأتي الكلام عنه.</w:t>
      </w:r>
    </w:p>
    <w:p w:rsidR="00BE1E18" w:rsidRPr="00282AC9" w:rsidRDefault="001153F1" w:rsidP="007051D6">
      <w:pPr>
        <w:pStyle w:val="afc"/>
        <w:rPr>
          <w:rFonts w:ascii="Mosawi" w:hAnsi="Mosawi" w:cs="AL-Mohanad"/>
          <w:sz w:val="27"/>
          <w:szCs w:val="27"/>
          <w:rtl/>
        </w:rPr>
      </w:pPr>
      <w:r w:rsidRPr="00282AC9">
        <w:rPr>
          <w:rFonts w:ascii="Mosawi" w:hAnsi="Mosawi" w:cs="AL-Mohanad" w:hint="cs"/>
          <w:sz w:val="27"/>
          <w:szCs w:val="27"/>
          <w:rtl/>
        </w:rPr>
        <w:t>واللطيف أنّ القر</w:t>
      </w:r>
      <w:r w:rsidR="00A80666" w:rsidRPr="00282AC9">
        <w:rPr>
          <w:rFonts w:ascii="Mosawi" w:hAnsi="Mosawi" w:cs="AL-Mohanad" w:hint="cs"/>
          <w:sz w:val="27"/>
          <w:szCs w:val="27"/>
          <w:rtl/>
        </w:rPr>
        <w:t>آن الكريم أيضاً تناول اختلافاً بين</w:t>
      </w:r>
      <w:r w:rsidRPr="00282AC9">
        <w:rPr>
          <w:rFonts w:ascii="Mosawi" w:hAnsi="Mosawi" w:cs="AL-Mohanad" w:hint="cs"/>
          <w:sz w:val="27"/>
          <w:szCs w:val="27"/>
          <w:rtl/>
        </w:rPr>
        <w:t xml:space="preserve"> رسول الله</w:t>
      </w:r>
      <w:r w:rsidR="009A2A04" w:rsidRPr="00282AC9">
        <w:rPr>
          <w:rFonts w:ascii="Mosawi" w:hAnsi="Mosawi" w:cs="Mosawi"/>
          <w:sz w:val="22"/>
          <w:szCs w:val="22"/>
          <w:rtl/>
        </w:rPr>
        <w:t>|</w:t>
      </w:r>
      <w:r w:rsidRPr="00282AC9">
        <w:rPr>
          <w:rFonts w:ascii="Mosawi" w:hAnsi="Mosawi" w:cs="AL-Mohanad" w:hint="cs"/>
          <w:sz w:val="27"/>
          <w:szCs w:val="27"/>
          <w:rtl/>
        </w:rPr>
        <w:t xml:space="preserve"> وزوجت</w:t>
      </w:r>
      <w:r w:rsidR="005D7B6D" w:rsidRPr="00282AC9">
        <w:rPr>
          <w:rFonts w:ascii="Mosawi" w:hAnsi="Mosawi" w:cs="AL-Mohanad" w:hint="cs"/>
          <w:sz w:val="27"/>
          <w:szCs w:val="27"/>
          <w:rtl/>
        </w:rPr>
        <w:t>ي</w:t>
      </w:r>
      <w:r w:rsidRPr="00282AC9">
        <w:rPr>
          <w:rFonts w:ascii="Mosawi" w:hAnsi="Mosawi" w:cs="AL-Mohanad" w:hint="cs"/>
          <w:sz w:val="27"/>
          <w:szCs w:val="27"/>
          <w:rtl/>
        </w:rPr>
        <w:t xml:space="preserve">ن له </w:t>
      </w:r>
      <w:r w:rsidR="005D7B6D" w:rsidRPr="00282AC9">
        <w:rPr>
          <w:rFonts w:ascii="Mosawi" w:hAnsi="Mosawi" w:cs="AL-Mohanad" w:hint="cs"/>
          <w:sz w:val="27"/>
          <w:szCs w:val="27"/>
          <w:rtl/>
        </w:rPr>
        <w:t xml:space="preserve">في </w:t>
      </w:r>
      <w:r w:rsidRPr="00282AC9">
        <w:rPr>
          <w:rFonts w:ascii="Mosawi" w:hAnsi="Mosawi" w:cs="AL-Mohanad" w:hint="cs"/>
          <w:sz w:val="27"/>
          <w:szCs w:val="27"/>
          <w:rtl/>
        </w:rPr>
        <w:t>سورة التحريم</w:t>
      </w:r>
      <w:r w:rsidR="005D7B6D" w:rsidRPr="00282AC9">
        <w:rPr>
          <w:rFonts w:ascii="Mosawi" w:hAnsi="Mosawi" w:cs="AL-Mohanad" w:hint="cs"/>
          <w:sz w:val="27"/>
          <w:szCs w:val="27"/>
          <w:rtl/>
        </w:rPr>
        <w:t>،</w:t>
      </w:r>
      <w:r w:rsidRPr="00282AC9">
        <w:rPr>
          <w:rFonts w:ascii="Mosawi" w:hAnsi="Mosawi" w:cs="AL-Mohanad" w:hint="cs"/>
          <w:sz w:val="27"/>
          <w:szCs w:val="27"/>
          <w:rtl/>
        </w:rPr>
        <w:t xml:space="preserve"> </w:t>
      </w:r>
      <w:r w:rsidR="005D7B6D" w:rsidRPr="00282AC9">
        <w:rPr>
          <w:rFonts w:ascii="Mosawi" w:hAnsi="Mosawi" w:cs="AL-Mohanad" w:hint="cs"/>
          <w:sz w:val="27"/>
          <w:szCs w:val="27"/>
          <w:rtl/>
        </w:rPr>
        <w:t>حيث قال</w:t>
      </w:r>
      <w:r w:rsidRPr="00282AC9">
        <w:rPr>
          <w:rFonts w:ascii="Mosawi" w:hAnsi="Mosawi" w:cs="AL-Mohanad" w:hint="cs"/>
          <w:sz w:val="27"/>
          <w:szCs w:val="27"/>
          <w:rtl/>
        </w:rPr>
        <w:t xml:space="preserve">: </w:t>
      </w:r>
      <w:r w:rsidR="00C5291F" w:rsidRPr="00282AC9">
        <w:rPr>
          <w:rFonts w:ascii="Mosawi" w:hAnsi="Mosawi" w:cs="Mosawi"/>
          <w:rtl/>
        </w:rPr>
        <w:t>﴿</w:t>
      </w:r>
      <w:r w:rsidR="005D7B6D" w:rsidRPr="00282AC9">
        <w:rPr>
          <w:rFonts w:ascii="Mosawi" w:hAnsi="Mosawi" w:cs="AL-Mohanad" w:hint="cs"/>
          <w:b/>
          <w:bCs/>
          <w:sz w:val="27"/>
          <w:szCs w:val="27"/>
          <w:rtl/>
        </w:rPr>
        <w:t>وَ</w:t>
      </w:r>
      <w:r w:rsidRPr="00282AC9">
        <w:rPr>
          <w:rFonts w:ascii="Mosawi" w:hAnsi="Mosawi" w:cs="AL-Mohanad" w:hint="cs"/>
          <w:b/>
          <w:bCs/>
          <w:sz w:val="27"/>
          <w:szCs w:val="27"/>
          <w:rtl/>
        </w:rPr>
        <w:t xml:space="preserve">إِذْ أَسَرَّ النَّبِيُّ إِلَى بَعْضِ أَزْوَاجِهِ حَدِيثاً فَلَمَّا نَبَّأَتْ بِهِ وأَظْهَرَهُ </w:t>
      </w:r>
      <w:r w:rsidR="00C06BE6" w:rsidRPr="00282AC9">
        <w:rPr>
          <w:rFonts w:ascii="Mosawi" w:hAnsi="Mosawi" w:cs="AL-Mohanad" w:hint="cs"/>
          <w:b/>
          <w:bCs/>
          <w:sz w:val="27"/>
          <w:szCs w:val="27"/>
          <w:rtl/>
        </w:rPr>
        <w:t>الل</w:t>
      </w:r>
      <w:r w:rsidRPr="00282AC9">
        <w:rPr>
          <w:rFonts w:ascii="Mosawi" w:hAnsi="Mosawi" w:cs="AL-Mohanad" w:hint="cs"/>
          <w:b/>
          <w:bCs/>
          <w:sz w:val="27"/>
          <w:szCs w:val="27"/>
          <w:rtl/>
        </w:rPr>
        <w:t xml:space="preserve">هُ عَلَيْهِ عَرَّفَ بَعْضَهُ وأَعْرَضَ عَنْ بَعْضٍ فَلَمَّا نَبَّأَهَا بِهِ قَالَتْ مَنْ أَنْبَأَكَ هذَا قَالَ نَبَّأَنِيَ الْعَلِيمُ الْخَبِيرُ </w:t>
      </w:r>
      <w:r w:rsidR="005D7B6D" w:rsidRPr="00282AC9">
        <w:rPr>
          <w:rFonts w:ascii="Mosawi" w:hAnsi="Mosawi" w:cs="AL-Mohanad" w:hint="cs"/>
          <w:b/>
          <w:bCs/>
          <w:sz w:val="27"/>
          <w:szCs w:val="27"/>
          <w:rtl/>
        </w:rPr>
        <w:t xml:space="preserve">* </w:t>
      </w:r>
      <w:r w:rsidRPr="00282AC9">
        <w:rPr>
          <w:rFonts w:ascii="Mosawi" w:hAnsi="Mosawi" w:cs="AL-Mohanad" w:hint="cs"/>
          <w:b/>
          <w:bCs/>
          <w:sz w:val="27"/>
          <w:szCs w:val="27"/>
          <w:rtl/>
        </w:rPr>
        <w:t xml:space="preserve">إِنْ تَتُوبَا إِلَى </w:t>
      </w:r>
      <w:r w:rsidR="00C06BE6" w:rsidRPr="00282AC9">
        <w:rPr>
          <w:rFonts w:ascii="Mosawi" w:hAnsi="Mosawi" w:cs="AL-Mohanad" w:hint="cs"/>
          <w:b/>
          <w:bCs/>
          <w:sz w:val="27"/>
          <w:szCs w:val="27"/>
          <w:rtl/>
        </w:rPr>
        <w:t>الل</w:t>
      </w:r>
      <w:r w:rsidRPr="00282AC9">
        <w:rPr>
          <w:rFonts w:ascii="Mosawi" w:hAnsi="Mosawi" w:cs="AL-Mohanad" w:hint="cs"/>
          <w:b/>
          <w:bCs/>
          <w:sz w:val="27"/>
          <w:szCs w:val="27"/>
          <w:rtl/>
        </w:rPr>
        <w:t xml:space="preserve">هِ فَقَدْ صَغَتْ قُلُوبُكُمَا وإِنْ تَظَاهَرَا عَلَيْهِ فَإِنَّ </w:t>
      </w:r>
      <w:r w:rsidR="00C06BE6" w:rsidRPr="00282AC9">
        <w:rPr>
          <w:rFonts w:ascii="Mosawi" w:hAnsi="Mosawi" w:cs="AL-Mohanad" w:hint="cs"/>
          <w:b/>
          <w:bCs/>
          <w:sz w:val="27"/>
          <w:szCs w:val="27"/>
          <w:rtl/>
        </w:rPr>
        <w:t>الل</w:t>
      </w:r>
      <w:r w:rsidRPr="00282AC9">
        <w:rPr>
          <w:rFonts w:ascii="Mosawi" w:hAnsi="Mosawi" w:cs="AL-Mohanad" w:hint="cs"/>
          <w:b/>
          <w:bCs/>
          <w:sz w:val="27"/>
          <w:szCs w:val="27"/>
          <w:rtl/>
        </w:rPr>
        <w:t xml:space="preserve">هَ هُوَ مَوْلاَهُ وجِبْرِيلُ وصَالِحُ الْمُؤْمِنِينَ والْمَلاَئِكَةُ بَعْدَ ذلِكَ ظَهِيرٌ </w:t>
      </w:r>
      <w:r w:rsidR="005D7B6D" w:rsidRPr="00282AC9">
        <w:rPr>
          <w:rFonts w:ascii="Mosawi" w:hAnsi="Mosawi" w:cs="AL-Mohanad" w:hint="cs"/>
          <w:b/>
          <w:bCs/>
          <w:sz w:val="27"/>
          <w:szCs w:val="27"/>
          <w:rtl/>
        </w:rPr>
        <w:t xml:space="preserve">* </w:t>
      </w:r>
      <w:r w:rsidRPr="00282AC9">
        <w:rPr>
          <w:rFonts w:ascii="Mosawi" w:hAnsi="Mosawi" w:cs="AL-Mohanad" w:hint="cs"/>
          <w:b/>
          <w:bCs/>
          <w:sz w:val="27"/>
          <w:szCs w:val="27"/>
          <w:rtl/>
        </w:rPr>
        <w:t>عَسَى رَبُّهُ إِنْ طَلَّقَكُنَّ أَنْ يُبْدِلَهُ أَزْوَاجاً خَيْراً مِنْكُنَّ مُسْلِمَاتٍ مُؤْمِنَاتٍ قَانِتَاتٍ تَائِبَاتٍ عَابِدَاتٍ سَائِحَاتٍ ثَيِّبَاتٍ وأَبْكَاراً</w:t>
      </w:r>
      <w:r w:rsidR="00C5291F" w:rsidRPr="00282AC9">
        <w:rPr>
          <w:rFonts w:ascii="Mosawi" w:hAnsi="Mosawi" w:cs="Mosawi"/>
          <w:rtl/>
        </w:rPr>
        <w:t>﴾</w:t>
      </w:r>
      <w:r w:rsidRPr="00282AC9">
        <w:rPr>
          <w:rFonts w:ascii="Mosawi" w:hAnsi="Mosawi" w:cs="AL-Mohanad" w:hint="cs"/>
          <w:sz w:val="27"/>
          <w:szCs w:val="27"/>
          <w:rtl/>
        </w:rPr>
        <w:t xml:space="preserve"> (التحريم: 3 ـ 5)</w:t>
      </w:r>
      <w:r w:rsidR="005D7B6D" w:rsidRPr="00282AC9">
        <w:rPr>
          <w:rFonts w:ascii="Mosawi" w:hAnsi="Mosawi" w:cs="AL-Mohanad" w:hint="cs"/>
          <w:sz w:val="27"/>
          <w:szCs w:val="27"/>
          <w:rtl/>
        </w:rPr>
        <w:t>.</w:t>
      </w:r>
      <w:r w:rsidRPr="00282AC9">
        <w:rPr>
          <w:rFonts w:ascii="Mosawi" w:hAnsi="Mosawi" w:cs="AL-Mohanad" w:hint="cs"/>
          <w:sz w:val="27"/>
          <w:szCs w:val="27"/>
          <w:rtl/>
        </w:rPr>
        <w:t xml:space="preserve"> ففي ختام هذه الآيات عندما يريد الله سبحانه أن يصف الأزواج ال</w:t>
      </w:r>
      <w:r w:rsidR="005D7B6D" w:rsidRPr="00282AC9">
        <w:rPr>
          <w:rFonts w:ascii="Mosawi" w:hAnsi="Mosawi" w:cs="AL-Mohanad" w:hint="cs"/>
          <w:sz w:val="27"/>
          <w:szCs w:val="27"/>
          <w:rtl/>
        </w:rPr>
        <w:t>لوا</w:t>
      </w:r>
      <w:r w:rsidRPr="00282AC9">
        <w:rPr>
          <w:rFonts w:ascii="Mosawi" w:hAnsi="Mosawi" w:cs="AL-Mohanad" w:hint="cs"/>
          <w:sz w:val="27"/>
          <w:szCs w:val="27"/>
          <w:rtl/>
        </w:rPr>
        <w:t xml:space="preserve">تي </w:t>
      </w:r>
      <w:r w:rsidR="005D7B6D" w:rsidRPr="00282AC9">
        <w:rPr>
          <w:rFonts w:ascii="Mosawi" w:hAnsi="Mosawi" w:cs="AL-Mohanad" w:hint="cs"/>
          <w:sz w:val="27"/>
          <w:szCs w:val="27"/>
          <w:rtl/>
        </w:rPr>
        <w:t xml:space="preserve">هُنَّ </w:t>
      </w:r>
      <w:r w:rsidRPr="00282AC9">
        <w:rPr>
          <w:rFonts w:ascii="Mosawi" w:hAnsi="Mosawi" w:cs="AL-Mohanad" w:hint="cs"/>
          <w:sz w:val="27"/>
          <w:szCs w:val="27"/>
          <w:rtl/>
        </w:rPr>
        <w:t>خير</w:t>
      </w:r>
      <w:r w:rsidR="005D7B6D" w:rsidRPr="00282AC9">
        <w:rPr>
          <w:rFonts w:ascii="Mosawi" w:hAnsi="Mosawi" w:cs="AL-Mohanad" w:hint="cs"/>
          <w:sz w:val="27"/>
          <w:szCs w:val="27"/>
          <w:rtl/>
        </w:rPr>
        <w:t>ٌ</w:t>
      </w:r>
      <w:r w:rsidRPr="00282AC9">
        <w:rPr>
          <w:rFonts w:ascii="Mosawi" w:hAnsi="Mosawi" w:cs="AL-Mohanad" w:hint="cs"/>
          <w:sz w:val="27"/>
          <w:szCs w:val="27"/>
          <w:rtl/>
        </w:rPr>
        <w:t xml:space="preserve"> لرسول الله</w:t>
      </w:r>
      <w:r w:rsidR="009A2A04" w:rsidRPr="00282AC9">
        <w:rPr>
          <w:rFonts w:ascii="Mosawi" w:hAnsi="Mosawi" w:cs="Mosawi"/>
          <w:sz w:val="22"/>
          <w:szCs w:val="22"/>
          <w:rtl/>
        </w:rPr>
        <w:t>|</w:t>
      </w:r>
      <w:r w:rsidRPr="00282AC9">
        <w:rPr>
          <w:rFonts w:ascii="Mosawi" w:hAnsi="Mosawi" w:cs="AL-Mohanad" w:hint="cs"/>
          <w:sz w:val="27"/>
          <w:szCs w:val="27"/>
          <w:rtl/>
        </w:rPr>
        <w:t xml:space="preserve"> يصفهن</w:t>
      </w:r>
      <w:r w:rsidR="005D7B6D" w:rsidRPr="00282AC9">
        <w:rPr>
          <w:rFonts w:ascii="Mosawi" w:hAnsi="Mosawi" w:cs="AL-Mohanad" w:hint="cs"/>
          <w:sz w:val="27"/>
          <w:szCs w:val="27"/>
          <w:rtl/>
        </w:rPr>
        <w:t>َّ</w:t>
      </w:r>
      <w:r w:rsidRPr="00282AC9">
        <w:rPr>
          <w:rFonts w:ascii="Mosawi" w:hAnsi="Mosawi" w:cs="AL-Mohanad" w:hint="cs"/>
          <w:sz w:val="27"/>
          <w:szCs w:val="27"/>
          <w:rtl/>
        </w:rPr>
        <w:t xml:space="preserve"> بمسلمات</w:t>
      </w:r>
      <w:r w:rsidR="005D7B6D" w:rsidRPr="00282AC9">
        <w:rPr>
          <w:rFonts w:ascii="Mosawi" w:hAnsi="Mosawi" w:cs="AL-Mohanad" w:hint="cs"/>
          <w:sz w:val="27"/>
          <w:szCs w:val="27"/>
          <w:rtl/>
        </w:rPr>
        <w:t>ٍ</w:t>
      </w:r>
      <w:r w:rsidRPr="00282AC9">
        <w:rPr>
          <w:rFonts w:ascii="Mosawi" w:hAnsi="Mosawi" w:cs="AL-Mohanad" w:hint="cs"/>
          <w:sz w:val="27"/>
          <w:szCs w:val="27"/>
          <w:rtl/>
        </w:rPr>
        <w:t xml:space="preserve"> م</w:t>
      </w:r>
      <w:r w:rsidR="005D7B6D" w:rsidRPr="00282AC9">
        <w:rPr>
          <w:rFonts w:ascii="Mosawi" w:hAnsi="Mosawi" w:cs="AL-Mohanad" w:hint="cs"/>
          <w:sz w:val="27"/>
          <w:szCs w:val="27"/>
          <w:rtl/>
        </w:rPr>
        <w:t>ؤ</w:t>
      </w:r>
      <w:r w:rsidRPr="00282AC9">
        <w:rPr>
          <w:rFonts w:ascii="Mosawi" w:hAnsi="Mosawi" w:cs="AL-Mohanad" w:hint="cs"/>
          <w:sz w:val="27"/>
          <w:szCs w:val="27"/>
          <w:rtl/>
        </w:rPr>
        <w:t>منات</w:t>
      </w:r>
      <w:r w:rsidR="005D7B6D" w:rsidRPr="00282AC9">
        <w:rPr>
          <w:rFonts w:ascii="Mosawi" w:hAnsi="Mosawi" w:cs="AL-Mohanad" w:hint="cs"/>
          <w:sz w:val="27"/>
          <w:szCs w:val="27"/>
          <w:rtl/>
        </w:rPr>
        <w:t>ٍ</w:t>
      </w:r>
      <w:r w:rsidRPr="00282AC9">
        <w:rPr>
          <w:rFonts w:ascii="Mosawi" w:hAnsi="Mosawi" w:cs="AL-Mohanad" w:hint="cs"/>
          <w:sz w:val="27"/>
          <w:szCs w:val="27"/>
          <w:rtl/>
        </w:rPr>
        <w:t>..</w:t>
      </w:r>
      <w:r w:rsidR="005D7B6D" w:rsidRPr="00282AC9">
        <w:rPr>
          <w:rFonts w:ascii="Mosawi" w:hAnsi="Mosawi" w:cs="AL-Mohanad" w:hint="cs"/>
          <w:sz w:val="27"/>
          <w:szCs w:val="27"/>
          <w:rtl/>
        </w:rPr>
        <w:t>.،</w:t>
      </w:r>
      <w:r w:rsidRPr="00282AC9">
        <w:rPr>
          <w:rFonts w:ascii="Mosawi" w:hAnsi="Mosawi" w:cs="AL-Mohanad" w:hint="cs"/>
          <w:sz w:val="27"/>
          <w:szCs w:val="27"/>
          <w:rtl/>
        </w:rPr>
        <w:t xml:space="preserve"> وهي صفات</w:t>
      </w:r>
      <w:r w:rsidR="005D7B6D" w:rsidRPr="00282AC9">
        <w:rPr>
          <w:rFonts w:ascii="Mosawi" w:hAnsi="Mosawi" w:cs="AL-Mohanad" w:hint="cs"/>
          <w:sz w:val="27"/>
          <w:szCs w:val="27"/>
          <w:rtl/>
        </w:rPr>
        <w:t>ٌ</w:t>
      </w:r>
      <w:r w:rsidRPr="00282AC9">
        <w:rPr>
          <w:rFonts w:ascii="Mosawi" w:hAnsi="Mosawi" w:cs="AL-Mohanad" w:hint="cs"/>
          <w:sz w:val="27"/>
          <w:szCs w:val="27"/>
          <w:rtl/>
        </w:rPr>
        <w:t xml:space="preserve"> ترجع إلى الأخلاق والفضيلة</w:t>
      </w:r>
      <w:r w:rsidR="005D7B6D" w:rsidRPr="00282AC9">
        <w:rPr>
          <w:rFonts w:ascii="Mosawi" w:hAnsi="Mosawi" w:cs="AL-Mohanad" w:hint="cs"/>
          <w:sz w:val="27"/>
          <w:szCs w:val="27"/>
          <w:rtl/>
        </w:rPr>
        <w:t>،</w:t>
      </w:r>
      <w:r w:rsidRPr="00282AC9">
        <w:rPr>
          <w:rFonts w:ascii="Mosawi" w:hAnsi="Mosawi" w:cs="AL-Mohanad" w:hint="cs"/>
          <w:sz w:val="27"/>
          <w:szCs w:val="27"/>
          <w:rtl/>
        </w:rPr>
        <w:t xml:space="preserve"> وعندما يأتي إلى مسألة الثيبوبة والبكارة يذكرهما معاً</w:t>
      </w:r>
      <w:r w:rsidR="005D7B6D" w:rsidRPr="00282AC9">
        <w:rPr>
          <w:rFonts w:ascii="Mosawi" w:hAnsi="Mosawi" w:cs="AL-Mohanad" w:hint="cs"/>
          <w:sz w:val="27"/>
          <w:szCs w:val="27"/>
          <w:rtl/>
        </w:rPr>
        <w:t>،</w:t>
      </w:r>
      <w:r w:rsidRPr="00282AC9">
        <w:rPr>
          <w:rFonts w:ascii="Mosawi" w:hAnsi="Mosawi" w:cs="AL-Mohanad" w:hint="cs"/>
          <w:sz w:val="27"/>
          <w:szCs w:val="27"/>
          <w:rtl/>
        </w:rPr>
        <w:t xml:space="preserve"> وكأن الصفات الخ</w:t>
      </w:r>
      <w:r w:rsidR="005D7B6D" w:rsidRPr="00282AC9">
        <w:rPr>
          <w:rFonts w:ascii="Mosawi" w:hAnsi="Mosawi" w:cs="AL-Mohanad" w:hint="cs"/>
          <w:sz w:val="27"/>
          <w:szCs w:val="27"/>
          <w:rtl/>
        </w:rPr>
        <w:t>َ</w:t>
      </w:r>
      <w:r w:rsidRPr="00282AC9">
        <w:rPr>
          <w:rFonts w:ascii="Mosawi" w:hAnsi="Mosawi" w:cs="AL-Mohanad" w:hint="cs"/>
          <w:sz w:val="27"/>
          <w:szCs w:val="27"/>
          <w:rtl/>
        </w:rPr>
        <w:t>ل</w:t>
      </w:r>
      <w:r w:rsidR="005D7B6D" w:rsidRPr="00282AC9">
        <w:rPr>
          <w:rFonts w:ascii="Mosawi" w:hAnsi="Mosawi" w:cs="AL-Mohanad" w:hint="cs"/>
          <w:sz w:val="27"/>
          <w:szCs w:val="27"/>
          <w:rtl/>
        </w:rPr>
        <w:t>ْ</w:t>
      </w:r>
      <w:r w:rsidRPr="00282AC9">
        <w:rPr>
          <w:rFonts w:ascii="Mosawi" w:hAnsi="Mosawi" w:cs="AL-Mohanad" w:hint="cs"/>
          <w:sz w:val="27"/>
          <w:szCs w:val="27"/>
          <w:rtl/>
        </w:rPr>
        <w:t>قية لا تهمّ</w:t>
      </w:r>
      <w:r w:rsidR="005D7B6D" w:rsidRPr="00282AC9">
        <w:rPr>
          <w:rFonts w:ascii="Mosawi" w:hAnsi="Mosawi" w:cs="AL-Mohanad" w:hint="cs"/>
          <w:sz w:val="27"/>
          <w:szCs w:val="27"/>
          <w:rtl/>
        </w:rPr>
        <w:t>.</w:t>
      </w:r>
      <w:r w:rsidRPr="00282AC9">
        <w:rPr>
          <w:rFonts w:ascii="Mosawi" w:hAnsi="Mosawi" w:cs="AL-Mohanad" w:hint="cs"/>
          <w:sz w:val="27"/>
          <w:szCs w:val="27"/>
          <w:rtl/>
        </w:rPr>
        <w:t xml:space="preserve"> بل قد ي</w:t>
      </w:r>
      <w:r w:rsidR="005D7B6D" w:rsidRPr="00282AC9">
        <w:rPr>
          <w:rFonts w:ascii="Mosawi" w:hAnsi="Mosawi" w:cs="AL-Mohanad" w:hint="cs"/>
          <w:sz w:val="27"/>
          <w:szCs w:val="27"/>
          <w:rtl/>
        </w:rPr>
        <w:t>ُ</w:t>
      </w:r>
      <w:r w:rsidRPr="00282AC9">
        <w:rPr>
          <w:rFonts w:ascii="Mosawi" w:hAnsi="Mosawi" w:cs="AL-Mohanad" w:hint="cs"/>
          <w:sz w:val="27"/>
          <w:szCs w:val="27"/>
          <w:rtl/>
        </w:rPr>
        <w:t>قال بأنّ الآية هذه شاهد</w:t>
      </w:r>
      <w:r w:rsidR="005D7B6D" w:rsidRPr="00282AC9">
        <w:rPr>
          <w:rFonts w:ascii="Mosawi" w:hAnsi="Mosawi" w:cs="AL-Mohanad" w:hint="cs"/>
          <w:sz w:val="27"/>
          <w:szCs w:val="27"/>
          <w:rtl/>
        </w:rPr>
        <w:t>ٌ</w:t>
      </w:r>
      <w:r w:rsidRPr="00282AC9">
        <w:rPr>
          <w:rFonts w:ascii="Mosawi" w:hAnsi="Mosawi" w:cs="AL-Mohanad" w:hint="cs"/>
          <w:sz w:val="27"/>
          <w:szCs w:val="27"/>
          <w:rtl/>
        </w:rPr>
        <w:t xml:space="preserve"> على عدم مانعي</w:t>
      </w:r>
      <w:r w:rsidR="005D7B6D" w:rsidRPr="00282AC9">
        <w:rPr>
          <w:rFonts w:ascii="Mosawi" w:hAnsi="Mosawi" w:cs="AL-Mohanad" w:hint="cs"/>
          <w:sz w:val="27"/>
          <w:szCs w:val="27"/>
          <w:rtl/>
        </w:rPr>
        <w:t>ّ</w:t>
      </w:r>
      <w:r w:rsidRPr="00282AC9">
        <w:rPr>
          <w:rFonts w:ascii="Mosawi" w:hAnsi="Mosawi" w:cs="AL-Mohanad" w:hint="cs"/>
          <w:sz w:val="27"/>
          <w:szCs w:val="27"/>
          <w:rtl/>
        </w:rPr>
        <w:t>ة الزواج من العقيم</w:t>
      </w:r>
      <w:r w:rsidR="005D7B6D" w:rsidRPr="00282AC9">
        <w:rPr>
          <w:rFonts w:ascii="Mosawi" w:hAnsi="Mosawi" w:cs="AL-Mohanad" w:hint="cs"/>
          <w:sz w:val="27"/>
          <w:szCs w:val="27"/>
          <w:rtl/>
        </w:rPr>
        <w:t>؛</w:t>
      </w:r>
      <w:r w:rsidRPr="00282AC9">
        <w:rPr>
          <w:rFonts w:ascii="Mosawi" w:hAnsi="Mosawi" w:cs="AL-Mohanad" w:hint="cs"/>
          <w:sz w:val="27"/>
          <w:szCs w:val="27"/>
          <w:rtl/>
        </w:rPr>
        <w:t xml:space="preserve"> إذ المرأة الثي</w:t>
      </w:r>
      <w:r w:rsidR="005D7B6D" w:rsidRPr="00282AC9">
        <w:rPr>
          <w:rFonts w:ascii="Mosawi" w:hAnsi="Mosawi" w:cs="AL-Mohanad" w:hint="cs"/>
          <w:sz w:val="27"/>
          <w:szCs w:val="27"/>
          <w:rtl/>
        </w:rPr>
        <w:t>ِّ</w:t>
      </w:r>
      <w:r w:rsidRPr="00282AC9">
        <w:rPr>
          <w:rFonts w:ascii="Mosawi" w:hAnsi="Mosawi" w:cs="AL-Mohanad" w:hint="cs"/>
          <w:sz w:val="27"/>
          <w:szCs w:val="27"/>
          <w:rtl/>
        </w:rPr>
        <w:t>ب عقيم</w:t>
      </w:r>
      <w:r w:rsidR="005D7B6D" w:rsidRPr="00282AC9">
        <w:rPr>
          <w:rFonts w:ascii="Mosawi" w:hAnsi="Mosawi" w:cs="AL-Mohanad" w:hint="cs"/>
          <w:sz w:val="27"/>
          <w:szCs w:val="27"/>
          <w:rtl/>
        </w:rPr>
        <w:t>ٌ</w:t>
      </w:r>
      <w:r w:rsidRPr="00282AC9">
        <w:rPr>
          <w:rFonts w:ascii="Mosawi" w:hAnsi="Mosawi" w:cs="AL-Mohanad" w:hint="cs"/>
          <w:sz w:val="27"/>
          <w:szCs w:val="27"/>
          <w:rtl/>
        </w:rPr>
        <w:t xml:space="preserve"> لا محالة</w:t>
      </w:r>
      <w:r w:rsidR="005D7B6D" w:rsidRPr="00282AC9">
        <w:rPr>
          <w:rFonts w:ascii="Mosawi" w:hAnsi="Mosawi" w:cs="AL-Mohanad" w:hint="cs"/>
          <w:sz w:val="27"/>
          <w:szCs w:val="27"/>
          <w:rtl/>
        </w:rPr>
        <w:t>.</w:t>
      </w:r>
    </w:p>
    <w:p w:rsidR="001153F1" w:rsidRPr="00282AC9" w:rsidRDefault="001153F1" w:rsidP="007051D6">
      <w:pPr>
        <w:pStyle w:val="afc"/>
        <w:rPr>
          <w:rFonts w:ascii="Mosawi" w:hAnsi="Mosawi" w:cs="AL-Mohanad"/>
          <w:sz w:val="27"/>
          <w:szCs w:val="27"/>
          <w:rtl/>
        </w:rPr>
      </w:pPr>
      <w:r w:rsidRPr="00282AC9">
        <w:rPr>
          <w:rFonts w:ascii="Mosawi" w:hAnsi="Mosawi" w:cs="AL-Mohanad" w:hint="cs"/>
          <w:sz w:val="27"/>
          <w:szCs w:val="27"/>
          <w:rtl/>
        </w:rPr>
        <w:t>ويتوقّ</w:t>
      </w:r>
      <w:r w:rsidR="005D7B6D" w:rsidRPr="00282AC9">
        <w:rPr>
          <w:rFonts w:ascii="Mosawi" w:hAnsi="Mosawi" w:cs="AL-Mohanad" w:hint="cs"/>
          <w:sz w:val="27"/>
          <w:szCs w:val="27"/>
          <w:rtl/>
        </w:rPr>
        <w:t>َ</w:t>
      </w:r>
      <w:r w:rsidRPr="00282AC9">
        <w:rPr>
          <w:rFonts w:ascii="Mosawi" w:hAnsi="Mosawi" w:cs="AL-Mohanad" w:hint="cs"/>
          <w:sz w:val="27"/>
          <w:szCs w:val="27"/>
          <w:rtl/>
        </w:rPr>
        <w:t>ف شيخنا الأستاذ</w:t>
      </w:r>
      <w:r w:rsidRPr="00282AC9">
        <w:rPr>
          <w:rFonts w:ascii="Mosawi" w:hAnsi="Mosawi" w:cs="AL-Mohanad"/>
          <w:sz w:val="27"/>
          <w:szCs w:val="27"/>
          <w:vertAlign w:val="superscript"/>
          <w:rtl/>
        </w:rPr>
        <w:t>(</w:t>
      </w:r>
      <w:r w:rsidRPr="00282AC9">
        <w:rPr>
          <w:rStyle w:val="af9"/>
          <w:rFonts w:ascii="Mosawi" w:hAnsi="Mosawi" w:cs="AL-Mohanad"/>
          <w:sz w:val="27"/>
          <w:szCs w:val="27"/>
          <w:rtl/>
        </w:rPr>
        <w:endnoteReference w:id="676"/>
      </w:r>
      <w:r w:rsidRPr="00282AC9">
        <w:rPr>
          <w:rFonts w:ascii="Mosawi" w:hAnsi="Mosawi" w:cs="AL-Mohanad"/>
          <w:sz w:val="27"/>
          <w:szCs w:val="27"/>
          <w:vertAlign w:val="superscript"/>
          <w:rtl/>
        </w:rPr>
        <w:t>)</w:t>
      </w:r>
      <w:r w:rsidRPr="00282AC9">
        <w:rPr>
          <w:rFonts w:ascii="Mosawi" w:hAnsi="Mosawi" w:cs="AL-Mohanad" w:hint="cs"/>
          <w:sz w:val="27"/>
          <w:szCs w:val="27"/>
          <w:rtl/>
        </w:rPr>
        <w:t xml:space="preserve"> بالنسبة إلى تعيير النبي</w:t>
      </w:r>
      <w:r w:rsidR="009A2A04" w:rsidRPr="00282AC9">
        <w:rPr>
          <w:rFonts w:ascii="Mosawi" w:hAnsi="Mosawi" w:cs="Mosawi"/>
          <w:sz w:val="22"/>
          <w:szCs w:val="22"/>
          <w:rtl/>
        </w:rPr>
        <w:t>|</w:t>
      </w:r>
      <w:r w:rsidRPr="00282AC9">
        <w:rPr>
          <w:rFonts w:ascii="Mosawi" w:hAnsi="Mosawi" w:cs="AL-Mohanad" w:hint="cs"/>
          <w:sz w:val="27"/>
          <w:szCs w:val="27"/>
          <w:rtl/>
        </w:rPr>
        <w:t xml:space="preserve"> لزوجته عائشة في هذه الرواية بأمر</w:t>
      </w:r>
      <w:r w:rsidR="005D7B6D" w:rsidRPr="00282AC9">
        <w:rPr>
          <w:rFonts w:ascii="Mosawi" w:hAnsi="Mosawi" w:cs="AL-Mohanad" w:hint="cs"/>
          <w:sz w:val="27"/>
          <w:szCs w:val="27"/>
          <w:rtl/>
        </w:rPr>
        <w:t>ٍ</w:t>
      </w:r>
      <w:r w:rsidRPr="00282AC9">
        <w:rPr>
          <w:rFonts w:ascii="Mosawi" w:hAnsi="Mosawi" w:cs="AL-Mohanad" w:hint="cs"/>
          <w:sz w:val="27"/>
          <w:szCs w:val="27"/>
          <w:rtl/>
        </w:rPr>
        <w:t xml:space="preserve"> خلقها الله عليه، معتبراً إي</w:t>
      </w:r>
      <w:r w:rsidR="00BE1E18" w:rsidRPr="00282AC9">
        <w:rPr>
          <w:rFonts w:ascii="Mosawi" w:hAnsi="Mosawi" w:cs="AL-Mohanad" w:hint="cs"/>
          <w:sz w:val="27"/>
          <w:szCs w:val="27"/>
          <w:rtl/>
        </w:rPr>
        <w:t>ّ</w:t>
      </w:r>
      <w:r w:rsidRPr="00282AC9">
        <w:rPr>
          <w:rFonts w:ascii="Mosawi" w:hAnsi="Mosawi" w:cs="AL-Mohanad" w:hint="cs"/>
          <w:sz w:val="27"/>
          <w:szCs w:val="27"/>
          <w:rtl/>
        </w:rPr>
        <w:t>اه غير منسجم</w:t>
      </w:r>
      <w:r w:rsidR="00BE1E18" w:rsidRPr="00282AC9">
        <w:rPr>
          <w:rFonts w:ascii="Mosawi" w:hAnsi="Mosawi" w:cs="AL-Mohanad" w:hint="cs"/>
          <w:sz w:val="27"/>
          <w:szCs w:val="27"/>
          <w:rtl/>
        </w:rPr>
        <w:t>ٍ</w:t>
      </w:r>
      <w:r w:rsidRPr="00282AC9">
        <w:rPr>
          <w:rFonts w:ascii="Mosawi" w:hAnsi="Mosawi" w:cs="AL-Mohanad" w:hint="cs"/>
          <w:sz w:val="27"/>
          <w:szCs w:val="27"/>
          <w:rtl/>
        </w:rPr>
        <w:t xml:space="preserve"> مع أخلاق النبي</w:t>
      </w:r>
      <w:r w:rsidR="00BE1E18" w:rsidRPr="00282AC9">
        <w:rPr>
          <w:rFonts w:ascii="Mosawi" w:hAnsi="Mosawi" w:cs="AL-Mohanad" w:hint="cs"/>
          <w:sz w:val="27"/>
          <w:szCs w:val="27"/>
          <w:rtl/>
        </w:rPr>
        <w:t>ّ</w:t>
      </w:r>
      <w:r w:rsidR="009A2A04" w:rsidRPr="00282AC9">
        <w:rPr>
          <w:rFonts w:ascii="Mosawi" w:hAnsi="Mosawi" w:cs="Mosawi"/>
          <w:sz w:val="22"/>
          <w:szCs w:val="22"/>
          <w:rtl/>
        </w:rPr>
        <w:t>|</w:t>
      </w:r>
      <w:r w:rsidR="00BE1E18" w:rsidRPr="00282AC9">
        <w:rPr>
          <w:rFonts w:ascii="Mosawi" w:hAnsi="Mosawi" w:cs="AL-Mohanad" w:hint="cs"/>
          <w:sz w:val="27"/>
          <w:szCs w:val="27"/>
          <w:rtl/>
        </w:rPr>
        <w:t>،</w:t>
      </w:r>
      <w:r w:rsidRPr="00282AC9">
        <w:rPr>
          <w:rFonts w:ascii="Mosawi" w:hAnsi="Mosawi" w:cs="AL-Mohanad" w:hint="cs"/>
          <w:sz w:val="27"/>
          <w:szCs w:val="27"/>
          <w:rtl/>
        </w:rPr>
        <w:t xml:space="preserve"> وغير </w:t>
      </w:r>
      <w:r w:rsidRPr="00282AC9">
        <w:rPr>
          <w:rFonts w:ascii="Mosawi" w:hAnsi="Mosawi" w:cs="AL-Mohanad" w:hint="cs"/>
          <w:sz w:val="27"/>
          <w:szCs w:val="27"/>
          <w:rtl/>
        </w:rPr>
        <w:lastRenderedPageBreak/>
        <w:t>منسجم مع الآيات القرآنية</w:t>
      </w:r>
      <w:r w:rsidR="00BE1E18" w:rsidRPr="00282AC9">
        <w:rPr>
          <w:rFonts w:ascii="Mosawi" w:hAnsi="Mosawi" w:cs="AL-Mohanad" w:hint="cs"/>
          <w:sz w:val="27"/>
          <w:szCs w:val="27"/>
          <w:rtl/>
        </w:rPr>
        <w:t>،</w:t>
      </w:r>
      <w:r w:rsidRPr="00282AC9">
        <w:rPr>
          <w:rFonts w:ascii="Mosawi" w:hAnsi="Mosawi" w:cs="AL-Mohanad" w:hint="cs"/>
          <w:sz w:val="27"/>
          <w:szCs w:val="27"/>
          <w:rtl/>
        </w:rPr>
        <w:t xml:space="preserve"> </w:t>
      </w:r>
      <w:r w:rsidR="00BE1E18" w:rsidRPr="00282AC9">
        <w:rPr>
          <w:rFonts w:ascii="Mosawi" w:hAnsi="Mosawi" w:cs="AL-Mohanad" w:hint="cs"/>
          <w:sz w:val="27"/>
          <w:szCs w:val="27"/>
          <w:rtl/>
        </w:rPr>
        <w:t>و</w:t>
      </w:r>
      <w:r w:rsidRPr="00282AC9">
        <w:rPr>
          <w:rFonts w:ascii="Mosawi" w:hAnsi="Mosawi" w:cs="AL-Mohanad" w:hint="cs"/>
          <w:sz w:val="27"/>
          <w:szCs w:val="27"/>
          <w:rtl/>
        </w:rPr>
        <w:t>منها هذه الآيات التي ذكرناها</w:t>
      </w:r>
      <w:r w:rsidR="00BE1E18" w:rsidRPr="00282AC9">
        <w:rPr>
          <w:rFonts w:ascii="Mosawi" w:hAnsi="Mosawi" w:cs="AL-Mohanad" w:hint="cs"/>
          <w:sz w:val="27"/>
          <w:szCs w:val="27"/>
          <w:rtl/>
        </w:rPr>
        <w:t>،</w:t>
      </w:r>
      <w:r w:rsidRPr="00282AC9">
        <w:rPr>
          <w:rFonts w:ascii="Mosawi" w:hAnsi="Mosawi" w:cs="AL-Mohanad" w:hint="cs"/>
          <w:sz w:val="27"/>
          <w:szCs w:val="27"/>
          <w:rtl/>
        </w:rPr>
        <w:t xml:space="preserve"> والآيات التي تركّ</w:t>
      </w:r>
      <w:r w:rsidR="00BE1E18" w:rsidRPr="00282AC9">
        <w:rPr>
          <w:rFonts w:ascii="Mosawi" w:hAnsi="Mosawi" w:cs="AL-Mohanad" w:hint="cs"/>
          <w:sz w:val="27"/>
          <w:szCs w:val="27"/>
          <w:rtl/>
        </w:rPr>
        <w:t>ِ</w:t>
      </w:r>
      <w:r w:rsidRPr="00282AC9">
        <w:rPr>
          <w:rFonts w:ascii="Mosawi" w:hAnsi="Mosawi" w:cs="AL-Mohanad" w:hint="cs"/>
          <w:sz w:val="27"/>
          <w:szCs w:val="27"/>
          <w:rtl/>
        </w:rPr>
        <w:t>ز على الصفات التي ترجع إلى الأخلاق والفضيلة والدين و..</w:t>
      </w:r>
      <w:r w:rsidR="00BE1E18" w:rsidRPr="00282AC9">
        <w:rPr>
          <w:rFonts w:ascii="Mosawi" w:hAnsi="Mosawi" w:cs="AL-Mohanad" w:hint="cs"/>
          <w:sz w:val="27"/>
          <w:szCs w:val="27"/>
          <w:rtl/>
        </w:rPr>
        <w:t>.</w:t>
      </w:r>
      <w:r w:rsidRPr="00282AC9">
        <w:rPr>
          <w:rFonts w:ascii="Mosawi" w:hAnsi="Mosawi" w:cs="AL-Mohanad" w:hint="cs"/>
          <w:sz w:val="27"/>
          <w:szCs w:val="27"/>
          <w:rtl/>
        </w:rPr>
        <w:t xml:space="preserve"> في التفضيل بين العباد. </w:t>
      </w:r>
    </w:p>
    <w:p w:rsidR="00BE1E18" w:rsidRPr="00282AC9" w:rsidRDefault="00BE1E18" w:rsidP="00AE54C9">
      <w:pPr>
        <w:spacing w:line="440" w:lineRule="exact"/>
        <w:ind w:left="567" w:firstLine="0"/>
        <w:rPr>
          <w:rtl/>
        </w:rPr>
      </w:pPr>
    </w:p>
    <w:p w:rsidR="00BE1E18" w:rsidRPr="00282AC9" w:rsidRDefault="00497697" w:rsidP="00497697">
      <w:pPr>
        <w:pStyle w:val="31"/>
        <w:rPr>
          <w:color w:val="auto"/>
          <w:rtl/>
        </w:rPr>
      </w:pPr>
      <w:r w:rsidRPr="00282AC9">
        <w:rPr>
          <w:rFonts w:hint="cs"/>
          <w:color w:val="auto"/>
          <w:rtl/>
        </w:rPr>
        <w:t xml:space="preserve">9ـ </w:t>
      </w:r>
      <w:r w:rsidRPr="00282AC9">
        <w:rPr>
          <w:color w:val="auto"/>
          <w:rtl/>
          <w:lang w:bidi="fa-IR"/>
        </w:rPr>
        <w:t>«خير النساء</w:t>
      </w:r>
      <w:r w:rsidRPr="00282AC9">
        <w:rPr>
          <w:rFonts w:hint="cs"/>
          <w:color w:val="auto"/>
          <w:rtl/>
          <w:lang w:bidi="fa-IR"/>
        </w:rPr>
        <w:t>...</w:t>
      </w:r>
      <w:r w:rsidRPr="00282AC9">
        <w:rPr>
          <w:color w:val="auto"/>
          <w:rtl/>
          <w:lang w:bidi="fa-IR"/>
        </w:rPr>
        <w:t>الولود»</w:t>
      </w:r>
    </w:p>
    <w:p w:rsidR="001153F1" w:rsidRPr="00282AC9" w:rsidRDefault="00BE1E18" w:rsidP="007051D6">
      <w:pPr>
        <w:pStyle w:val="afc"/>
        <w:rPr>
          <w:rFonts w:ascii="Mosawi" w:hAnsi="Mosawi" w:cs="AL-Mohanad"/>
          <w:sz w:val="27"/>
          <w:szCs w:val="27"/>
          <w:rtl/>
          <w:lang w:bidi="fa-IR"/>
        </w:rPr>
      </w:pPr>
      <w:r w:rsidRPr="00282AC9">
        <w:rPr>
          <w:rFonts w:ascii="Cambria" w:hAnsi="Cambria" w:cs="AL-Mohanad" w:hint="cs"/>
          <w:sz w:val="27"/>
          <w:szCs w:val="27"/>
          <w:rtl/>
        </w:rPr>
        <w:t xml:space="preserve">وهي </w:t>
      </w:r>
      <w:r w:rsidR="001153F1" w:rsidRPr="00282AC9">
        <w:rPr>
          <w:rFonts w:ascii="Cambria" w:hAnsi="Cambria" w:cs="AL-Mohanad"/>
          <w:sz w:val="27"/>
          <w:szCs w:val="27"/>
          <w:rtl/>
        </w:rPr>
        <w:t>مرس</w:t>
      </w:r>
      <w:r w:rsidRPr="00282AC9">
        <w:rPr>
          <w:rFonts w:ascii="Cambria" w:hAnsi="Cambria" w:cs="AL-Mohanad" w:hint="cs"/>
          <w:sz w:val="27"/>
          <w:szCs w:val="27"/>
          <w:rtl/>
        </w:rPr>
        <w:t>َ</w:t>
      </w:r>
      <w:r w:rsidR="001153F1" w:rsidRPr="00282AC9">
        <w:rPr>
          <w:rFonts w:ascii="Cambria" w:hAnsi="Cambria" w:cs="AL-Mohanad"/>
          <w:sz w:val="27"/>
          <w:szCs w:val="27"/>
          <w:rtl/>
        </w:rPr>
        <w:t>لة دعائم الإسلا</w:t>
      </w:r>
      <w:r w:rsidRPr="00282AC9">
        <w:rPr>
          <w:rFonts w:ascii="Cambria" w:hAnsi="Cambria" w:cs="AL-Mohanad" w:hint="cs"/>
          <w:sz w:val="27"/>
          <w:szCs w:val="27"/>
          <w:rtl/>
        </w:rPr>
        <w:t xml:space="preserve">م: </w:t>
      </w:r>
      <w:r w:rsidR="001153F1" w:rsidRPr="00282AC9">
        <w:rPr>
          <w:rFonts w:ascii="Mosawi" w:hAnsi="Mosawi" w:cs="AL-Mohanad"/>
          <w:sz w:val="27"/>
          <w:szCs w:val="27"/>
          <w:rtl/>
        </w:rPr>
        <w:t>عن رسول الله</w:t>
      </w:r>
      <w:r w:rsidR="009A2A04" w:rsidRPr="00282AC9">
        <w:rPr>
          <w:rFonts w:ascii="Mosawi" w:hAnsi="Mosawi" w:cs="Mosawi"/>
          <w:sz w:val="22"/>
          <w:szCs w:val="22"/>
          <w:rtl/>
        </w:rPr>
        <w:t>|</w:t>
      </w:r>
      <w:r w:rsidR="001153F1" w:rsidRPr="00282AC9">
        <w:rPr>
          <w:rFonts w:ascii="Mosawi" w:hAnsi="Mosawi" w:cs="AL-Mohanad"/>
          <w:sz w:val="27"/>
          <w:szCs w:val="27"/>
          <w:rtl/>
        </w:rPr>
        <w:t xml:space="preserve"> أن</w:t>
      </w:r>
      <w:r w:rsidR="001153F1" w:rsidRPr="00282AC9">
        <w:rPr>
          <w:rFonts w:ascii="Mosawi" w:hAnsi="Mosawi" w:cs="AL-Mohanad" w:hint="cs"/>
          <w:sz w:val="27"/>
          <w:szCs w:val="27"/>
          <w:rtl/>
        </w:rPr>
        <w:t>ّ</w:t>
      </w:r>
      <w:r w:rsidR="001153F1" w:rsidRPr="00282AC9">
        <w:rPr>
          <w:rFonts w:ascii="Mosawi" w:hAnsi="Mosawi" w:cs="AL-Mohanad"/>
          <w:sz w:val="27"/>
          <w:szCs w:val="27"/>
          <w:rtl/>
        </w:rPr>
        <w:t xml:space="preserve">ه قال: </w:t>
      </w:r>
      <w:r w:rsidR="001153F1" w:rsidRPr="00282AC9">
        <w:rPr>
          <w:rFonts w:ascii="Mosawi" w:hAnsi="Mosawi" w:cs="AL-Mohanad"/>
          <w:rtl/>
          <w:lang w:bidi="fa-IR"/>
        </w:rPr>
        <w:t>«</w:t>
      </w:r>
      <w:r w:rsidR="001153F1" w:rsidRPr="00282AC9">
        <w:rPr>
          <w:rFonts w:ascii="Mosawi" w:hAnsi="Mosawi" w:cs="AL-Mohanad"/>
          <w:sz w:val="27"/>
          <w:szCs w:val="27"/>
          <w:rtl/>
          <w:lang w:bidi="fa-IR"/>
        </w:rPr>
        <w:t>أي</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ها الناس</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تزو</w:t>
      </w:r>
      <w:r w:rsidR="001153F1" w:rsidRPr="00282AC9">
        <w:rPr>
          <w:rFonts w:ascii="Mosawi" w:hAnsi="Mosawi" w:cs="AL-Mohanad" w:hint="cs"/>
          <w:sz w:val="27"/>
          <w:szCs w:val="27"/>
          <w:rtl/>
          <w:lang w:bidi="fa-IR"/>
        </w:rPr>
        <w:t>ّ</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جوا</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فإن</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ي مكاثر</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بكم الأمم يوم القيامة</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وخير النساء الودود الولود</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ولا تنكحوا الحمقاء</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فإن</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صحبتها بلاء</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وولدها ضياع</w:t>
      </w:r>
      <w:r w:rsidR="001153F1" w:rsidRPr="00282AC9">
        <w:rPr>
          <w:rFonts w:ascii="Mosawi" w:hAnsi="Mosawi" w:cs="AL-Mohanad"/>
          <w:rtl/>
          <w:lang w:bidi="fa-IR"/>
        </w:rPr>
        <w:t>»</w:t>
      </w:r>
      <w:r w:rsidR="001153F1" w:rsidRPr="00282AC9">
        <w:rPr>
          <w:rFonts w:ascii="Mosawi" w:hAnsi="Mosawi" w:cs="AL-Mohanad"/>
          <w:sz w:val="27"/>
          <w:szCs w:val="27"/>
          <w:vertAlign w:val="superscript"/>
          <w:rtl/>
          <w:lang w:bidi="fa-IR"/>
        </w:rPr>
        <w:t>(</w:t>
      </w:r>
      <w:r w:rsidR="001153F1" w:rsidRPr="00282AC9">
        <w:rPr>
          <w:rStyle w:val="af9"/>
          <w:rFonts w:ascii="Mosawi" w:hAnsi="Mosawi" w:cs="AL-Mohanad"/>
          <w:sz w:val="27"/>
          <w:szCs w:val="27"/>
          <w:rtl/>
          <w:lang w:bidi="fa-IR"/>
        </w:rPr>
        <w:endnoteReference w:id="677"/>
      </w:r>
      <w:r w:rsidR="001153F1" w:rsidRPr="00282AC9">
        <w:rPr>
          <w:rFonts w:ascii="Mosawi" w:hAnsi="Mosawi" w:cs="AL-Mohanad"/>
          <w:sz w:val="27"/>
          <w:szCs w:val="27"/>
          <w:vertAlign w:val="superscript"/>
          <w:rtl/>
          <w:lang w:bidi="fa-IR"/>
        </w:rPr>
        <w:t>)</w:t>
      </w:r>
      <w:r w:rsidR="001153F1" w:rsidRPr="00282AC9">
        <w:rPr>
          <w:rFonts w:ascii="Mosawi" w:hAnsi="Mosawi" w:cs="AL-Mohanad"/>
          <w:sz w:val="27"/>
          <w:szCs w:val="27"/>
          <w:rtl/>
          <w:lang w:bidi="fa-IR"/>
        </w:rPr>
        <w:t>.</w:t>
      </w:r>
    </w:p>
    <w:p w:rsidR="001153F1" w:rsidRPr="00282AC9" w:rsidRDefault="001153F1" w:rsidP="007051D6">
      <w:pPr>
        <w:rPr>
          <w:b/>
          <w:bCs/>
          <w:rtl/>
          <w:lang w:bidi="fa-IR"/>
        </w:rPr>
      </w:pPr>
      <w:r w:rsidRPr="00282AC9">
        <w:rPr>
          <w:rFonts w:hint="cs"/>
          <w:b/>
          <w:bCs/>
          <w:rtl/>
          <w:lang w:bidi="fa-IR"/>
        </w:rPr>
        <w:t>أـ الدراسة السندي</w:t>
      </w:r>
      <w:r w:rsidR="00BE1E18" w:rsidRPr="00282AC9">
        <w:rPr>
          <w:rFonts w:hint="cs"/>
          <w:b/>
          <w:bCs/>
          <w:rtl/>
          <w:lang w:bidi="fa-IR"/>
        </w:rPr>
        <w:t>ّ</w:t>
      </w:r>
      <w:r w:rsidRPr="00282AC9">
        <w:rPr>
          <w:rFonts w:hint="cs"/>
          <w:b/>
          <w:bCs/>
          <w:rtl/>
          <w:lang w:bidi="fa-IR"/>
        </w:rPr>
        <w:t>ة</w:t>
      </w:r>
      <w:r w:rsidR="00497697" w:rsidRPr="00282AC9">
        <w:rPr>
          <w:rFonts w:ascii="Mosawi" w:hAnsi="Mosawi" w:hint="cs"/>
          <w:sz w:val="27"/>
          <w:rtl/>
          <w:lang w:bidi="fa-IR"/>
        </w:rPr>
        <w:t xml:space="preserve">: </w:t>
      </w:r>
      <w:r w:rsidRPr="00282AC9">
        <w:rPr>
          <w:rFonts w:ascii="Mosawi" w:hAnsi="Mosawi" w:hint="cs"/>
          <w:sz w:val="27"/>
          <w:rtl/>
          <w:lang w:bidi="fa-IR"/>
        </w:rPr>
        <w:t>إنّ هذه الرواية من الناحية السندية مرس</w:t>
      </w:r>
      <w:r w:rsidR="00BE1E18" w:rsidRPr="00282AC9">
        <w:rPr>
          <w:rFonts w:ascii="Mosawi" w:hAnsi="Mosawi" w:hint="cs"/>
          <w:sz w:val="27"/>
          <w:rtl/>
          <w:lang w:bidi="fa-IR"/>
        </w:rPr>
        <w:t>َ</w:t>
      </w:r>
      <w:r w:rsidRPr="00282AC9">
        <w:rPr>
          <w:rFonts w:ascii="Mosawi" w:hAnsi="Mosawi" w:hint="cs"/>
          <w:sz w:val="27"/>
          <w:rtl/>
          <w:lang w:bidi="fa-IR"/>
        </w:rPr>
        <w:t>لة</w:t>
      </w:r>
      <w:r w:rsidR="00BE1E18" w:rsidRPr="00282AC9">
        <w:rPr>
          <w:rFonts w:ascii="Mosawi" w:hAnsi="Mosawi" w:hint="cs"/>
          <w:sz w:val="27"/>
          <w:rtl/>
          <w:lang w:bidi="fa-IR"/>
        </w:rPr>
        <w:t>ٌ،</w:t>
      </w:r>
      <w:r w:rsidRPr="00282AC9">
        <w:rPr>
          <w:rFonts w:ascii="Mosawi" w:hAnsi="Mosawi" w:hint="cs"/>
          <w:sz w:val="27"/>
          <w:rtl/>
          <w:lang w:bidi="fa-IR"/>
        </w:rPr>
        <w:t xml:space="preserve"> لا سند لها</w:t>
      </w:r>
      <w:r w:rsidR="00BE1E18" w:rsidRPr="00282AC9">
        <w:rPr>
          <w:rFonts w:ascii="Mosawi" w:hAnsi="Mosawi" w:hint="cs"/>
          <w:sz w:val="27"/>
          <w:rtl/>
          <w:lang w:bidi="fa-IR"/>
        </w:rPr>
        <w:t>.</w:t>
      </w:r>
      <w:r w:rsidRPr="00282AC9">
        <w:rPr>
          <w:rFonts w:ascii="Mosawi" w:hAnsi="Mosawi" w:hint="cs"/>
          <w:sz w:val="27"/>
          <w:rtl/>
          <w:lang w:bidi="fa-IR"/>
        </w:rPr>
        <w:t xml:space="preserve"> وهي من كتاب دعائم الإسلام</w:t>
      </w:r>
      <w:r w:rsidR="00BE1E18" w:rsidRPr="00282AC9">
        <w:rPr>
          <w:rFonts w:ascii="Mosawi" w:hAnsi="Mosawi" w:hint="cs"/>
          <w:sz w:val="27"/>
          <w:rtl/>
          <w:lang w:bidi="fa-IR"/>
        </w:rPr>
        <w:t>،</w:t>
      </w:r>
      <w:r w:rsidRPr="00282AC9">
        <w:rPr>
          <w:rFonts w:ascii="Mosawi" w:hAnsi="Mosawi" w:hint="cs"/>
          <w:sz w:val="27"/>
          <w:rtl/>
          <w:lang w:bidi="fa-IR"/>
        </w:rPr>
        <w:t xml:space="preserve"> الذي ألّفه </w:t>
      </w:r>
      <w:r w:rsidR="00BE1E18" w:rsidRPr="00282AC9">
        <w:rPr>
          <w:rFonts w:ascii="Mosawi" w:hAnsi="Mosawi" w:hint="cs"/>
          <w:sz w:val="27"/>
          <w:rtl/>
          <w:lang w:bidi="fa-IR"/>
        </w:rPr>
        <w:t>ال</w:t>
      </w:r>
      <w:r w:rsidRPr="00282AC9">
        <w:rPr>
          <w:rFonts w:ascii="Mosawi" w:hAnsi="Mosawi" w:hint="cs"/>
          <w:sz w:val="27"/>
          <w:rtl/>
          <w:lang w:bidi="fa-IR"/>
        </w:rPr>
        <w:t xml:space="preserve">قاضي </w:t>
      </w:r>
      <w:r w:rsidR="00BE1E18" w:rsidRPr="00282AC9">
        <w:rPr>
          <w:rFonts w:ascii="Mosawi" w:hAnsi="Mosawi" w:hint="cs"/>
          <w:sz w:val="27"/>
          <w:rtl/>
          <w:lang w:bidi="fa-IR"/>
        </w:rPr>
        <w:t>ال</w:t>
      </w:r>
      <w:r w:rsidRPr="00282AC9">
        <w:rPr>
          <w:rFonts w:ascii="Mosawi" w:hAnsi="Mosawi" w:hint="cs"/>
          <w:sz w:val="27"/>
          <w:rtl/>
          <w:lang w:bidi="fa-IR"/>
        </w:rPr>
        <w:t>نعمان</w:t>
      </w:r>
      <w:r w:rsidR="00BE1E18" w:rsidRPr="00282AC9">
        <w:rPr>
          <w:rFonts w:ascii="Mosawi" w:hAnsi="Mosawi" w:hint="cs"/>
          <w:sz w:val="27"/>
          <w:rtl/>
          <w:lang w:bidi="fa-IR"/>
        </w:rPr>
        <w:t>،</w:t>
      </w:r>
      <w:r w:rsidRPr="00282AC9">
        <w:rPr>
          <w:rFonts w:ascii="Mosawi" w:hAnsi="Mosawi" w:hint="cs"/>
          <w:sz w:val="27"/>
          <w:rtl/>
          <w:lang w:bidi="fa-IR"/>
        </w:rPr>
        <w:t xml:space="preserve"> ويُقال بأنّه ألّ</w:t>
      </w:r>
      <w:r w:rsidR="00BE1E18" w:rsidRPr="00282AC9">
        <w:rPr>
          <w:rFonts w:ascii="Mosawi" w:hAnsi="Mosawi" w:hint="cs"/>
          <w:sz w:val="27"/>
          <w:rtl/>
          <w:lang w:bidi="fa-IR"/>
        </w:rPr>
        <w:t>َ</w:t>
      </w:r>
      <w:r w:rsidRPr="00282AC9">
        <w:rPr>
          <w:rFonts w:ascii="Mosawi" w:hAnsi="Mosawi" w:hint="cs"/>
          <w:sz w:val="27"/>
          <w:rtl/>
          <w:lang w:bidi="fa-IR"/>
        </w:rPr>
        <w:t>فه كقانون</w:t>
      </w:r>
      <w:r w:rsidR="00BE1E18" w:rsidRPr="00282AC9">
        <w:rPr>
          <w:rFonts w:ascii="Mosawi" w:hAnsi="Mosawi" w:hint="cs"/>
          <w:sz w:val="27"/>
          <w:rtl/>
          <w:lang w:bidi="fa-IR"/>
        </w:rPr>
        <w:t>ٍ</w:t>
      </w:r>
      <w:r w:rsidRPr="00282AC9">
        <w:rPr>
          <w:rFonts w:ascii="Mosawi" w:hAnsi="Mosawi" w:hint="cs"/>
          <w:sz w:val="27"/>
          <w:rtl/>
          <w:lang w:bidi="fa-IR"/>
        </w:rPr>
        <w:t xml:space="preserve"> للدولة الفاطمي</w:t>
      </w:r>
      <w:r w:rsidR="00BE1E18" w:rsidRPr="00282AC9">
        <w:rPr>
          <w:rFonts w:ascii="Mosawi" w:hAnsi="Mosawi" w:hint="cs"/>
          <w:sz w:val="27"/>
          <w:rtl/>
          <w:lang w:bidi="fa-IR"/>
        </w:rPr>
        <w:t>ّ</w:t>
      </w:r>
      <w:r w:rsidRPr="00282AC9">
        <w:rPr>
          <w:rFonts w:ascii="Mosawi" w:hAnsi="Mosawi" w:hint="cs"/>
          <w:sz w:val="27"/>
          <w:rtl/>
          <w:lang w:bidi="fa-IR"/>
        </w:rPr>
        <w:t>ة</w:t>
      </w:r>
      <w:r w:rsidR="00BE1E18" w:rsidRPr="00282AC9">
        <w:rPr>
          <w:rFonts w:ascii="Mosawi" w:hAnsi="Mosawi" w:hint="cs"/>
          <w:sz w:val="27"/>
          <w:rtl/>
          <w:lang w:bidi="fa-IR"/>
        </w:rPr>
        <w:t>،</w:t>
      </w:r>
      <w:r w:rsidRPr="00282AC9">
        <w:rPr>
          <w:rFonts w:ascii="Mosawi" w:hAnsi="Mosawi" w:hint="cs"/>
          <w:sz w:val="27"/>
          <w:rtl/>
          <w:lang w:bidi="fa-IR"/>
        </w:rPr>
        <w:t xml:space="preserve"> ور</w:t>
      </w:r>
      <w:r w:rsidR="00BE1E18" w:rsidRPr="00282AC9">
        <w:rPr>
          <w:rFonts w:ascii="Mosawi" w:hAnsi="Mosawi" w:hint="cs"/>
          <w:sz w:val="27"/>
          <w:rtl/>
          <w:lang w:bidi="fa-IR"/>
        </w:rPr>
        <w:t>ُ</w:t>
      </w:r>
      <w:r w:rsidRPr="00282AC9">
        <w:rPr>
          <w:rFonts w:ascii="Mosawi" w:hAnsi="Mosawi" w:hint="cs"/>
          <w:sz w:val="27"/>
          <w:rtl/>
          <w:lang w:bidi="fa-IR"/>
        </w:rPr>
        <w:t>ب</w:t>
      </w:r>
      <w:r w:rsidR="00BE1E18" w:rsidRPr="00282AC9">
        <w:rPr>
          <w:rFonts w:ascii="Mosawi" w:hAnsi="Mosawi" w:hint="cs"/>
          <w:sz w:val="27"/>
          <w:rtl/>
          <w:lang w:bidi="fa-IR"/>
        </w:rPr>
        <w:t>َ</w:t>
      </w:r>
      <w:r w:rsidRPr="00282AC9">
        <w:rPr>
          <w:rFonts w:ascii="Mosawi" w:hAnsi="Mosawi" w:hint="cs"/>
          <w:sz w:val="27"/>
          <w:rtl/>
          <w:lang w:bidi="fa-IR"/>
        </w:rPr>
        <w:t>ما لذلك لم يأت</w:t>
      </w:r>
      <w:r w:rsidR="00BE1E18" w:rsidRPr="00282AC9">
        <w:rPr>
          <w:rFonts w:ascii="Mosawi" w:hAnsi="Mosawi" w:hint="cs"/>
          <w:sz w:val="27"/>
          <w:rtl/>
          <w:lang w:bidi="fa-IR"/>
        </w:rPr>
        <w:t>ِ</w:t>
      </w:r>
      <w:r w:rsidRPr="00282AC9">
        <w:rPr>
          <w:rFonts w:ascii="Mosawi" w:hAnsi="Mosawi" w:hint="cs"/>
          <w:sz w:val="27"/>
          <w:rtl/>
          <w:lang w:bidi="fa-IR"/>
        </w:rPr>
        <w:t xml:space="preserve"> بذكر الأسانيد. </w:t>
      </w:r>
    </w:p>
    <w:p w:rsidR="001153F1" w:rsidRPr="00282AC9" w:rsidRDefault="001153F1" w:rsidP="007051D6">
      <w:pPr>
        <w:rPr>
          <w:b/>
          <w:bCs/>
          <w:rtl/>
          <w:lang w:bidi="fa-IR"/>
        </w:rPr>
      </w:pPr>
      <w:r w:rsidRPr="00282AC9">
        <w:rPr>
          <w:rFonts w:hint="cs"/>
          <w:b/>
          <w:bCs/>
          <w:rtl/>
          <w:lang w:bidi="fa-IR"/>
        </w:rPr>
        <w:t>ب ـ الدراسة الدلالي</w:t>
      </w:r>
      <w:r w:rsidR="00BE1E18" w:rsidRPr="00282AC9">
        <w:rPr>
          <w:rFonts w:hint="cs"/>
          <w:b/>
          <w:bCs/>
          <w:rtl/>
          <w:lang w:bidi="fa-IR"/>
        </w:rPr>
        <w:t>ّ</w:t>
      </w:r>
      <w:r w:rsidRPr="00282AC9">
        <w:rPr>
          <w:rFonts w:hint="cs"/>
          <w:b/>
          <w:bCs/>
          <w:rtl/>
          <w:lang w:bidi="fa-IR"/>
        </w:rPr>
        <w:t>ة</w:t>
      </w:r>
      <w:r w:rsidR="00497697" w:rsidRPr="00282AC9">
        <w:rPr>
          <w:rFonts w:ascii="Mosawi" w:hAnsi="Mosawi" w:hint="cs"/>
          <w:sz w:val="27"/>
          <w:rtl/>
          <w:lang w:bidi="fa-IR"/>
        </w:rPr>
        <w:t xml:space="preserve">: </w:t>
      </w:r>
      <w:r w:rsidRPr="00282AC9">
        <w:rPr>
          <w:rFonts w:ascii="Mosawi" w:hAnsi="Mosawi" w:hint="cs"/>
          <w:sz w:val="27"/>
          <w:rtl/>
          <w:lang w:bidi="fa-IR"/>
        </w:rPr>
        <w:t>لا تشتمل هذه الرواية على أيّ نهي</w:t>
      </w:r>
      <w:r w:rsidR="00BE1E18" w:rsidRPr="00282AC9">
        <w:rPr>
          <w:rFonts w:ascii="Mosawi" w:hAnsi="Mosawi" w:hint="cs"/>
          <w:sz w:val="27"/>
          <w:rtl/>
          <w:lang w:bidi="fa-IR"/>
        </w:rPr>
        <w:t>ٍ</w:t>
      </w:r>
      <w:r w:rsidRPr="00282AC9">
        <w:rPr>
          <w:rFonts w:ascii="Mosawi" w:hAnsi="Mosawi" w:hint="cs"/>
          <w:sz w:val="27"/>
          <w:rtl/>
          <w:lang w:bidi="fa-IR"/>
        </w:rPr>
        <w:t xml:space="preserve"> أو تشنيع</w:t>
      </w:r>
      <w:r w:rsidR="00BE1E18" w:rsidRPr="00282AC9">
        <w:rPr>
          <w:rFonts w:ascii="Mosawi" w:hAnsi="Mosawi" w:hint="cs"/>
          <w:sz w:val="27"/>
          <w:rtl/>
          <w:lang w:bidi="fa-IR"/>
        </w:rPr>
        <w:t>ٍ</w:t>
      </w:r>
      <w:r w:rsidRPr="00282AC9">
        <w:rPr>
          <w:rFonts w:ascii="Mosawi" w:hAnsi="Mosawi" w:hint="cs"/>
          <w:sz w:val="27"/>
          <w:rtl/>
          <w:lang w:bidi="fa-IR"/>
        </w:rPr>
        <w:t xml:space="preserve"> في حقّ المرأة العقيم</w:t>
      </w:r>
      <w:r w:rsidR="00BE1E18" w:rsidRPr="00282AC9">
        <w:rPr>
          <w:rFonts w:ascii="Mosawi" w:hAnsi="Mosawi" w:hint="cs"/>
          <w:sz w:val="27"/>
          <w:rtl/>
          <w:lang w:bidi="fa-IR"/>
        </w:rPr>
        <w:t>،</w:t>
      </w:r>
      <w:r w:rsidRPr="00282AC9">
        <w:rPr>
          <w:rFonts w:ascii="Mosawi" w:hAnsi="Mosawi" w:hint="cs"/>
          <w:sz w:val="27"/>
          <w:rtl/>
          <w:lang w:bidi="fa-IR"/>
        </w:rPr>
        <w:t xml:space="preserve"> وإنّما يعتبر الولود الودود خير النساء</w:t>
      </w:r>
      <w:r w:rsidR="00BE1E18" w:rsidRPr="00282AC9">
        <w:rPr>
          <w:rFonts w:ascii="Mosawi" w:hAnsi="Mosawi" w:hint="cs"/>
          <w:sz w:val="27"/>
          <w:rtl/>
          <w:lang w:bidi="fa-IR"/>
        </w:rPr>
        <w:t>.</w:t>
      </w:r>
      <w:r w:rsidRPr="00282AC9">
        <w:rPr>
          <w:rFonts w:ascii="Mosawi" w:hAnsi="Mosawi" w:hint="cs"/>
          <w:sz w:val="27"/>
          <w:rtl/>
          <w:lang w:bidi="fa-IR"/>
        </w:rPr>
        <w:t xml:space="preserve"> وغاية ما فيها أصل التمييز بين المرأة العقيم والولود</w:t>
      </w:r>
      <w:r w:rsidR="00BE1E18" w:rsidRPr="00282AC9">
        <w:rPr>
          <w:rFonts w:ascii="Mosawi" w:hAnsi="Mosawi" w:hint="cs"/>
          <w:sz w:val="27"/>
          <w:rtl/>
          <w:lang w:bidi="fa-IR"/>
        </w:rPr>
        <w:t>،</w:t>
      </w:r>
      <w:r w:rsidRPr="00282AC9">
        <w:rPr>
          <w:rFonts w:ascii="Mosawi" w:hAnsi="Mosawi" w:hint="cs"/>
          <w:sz w:val="27"/>
          <w:rtl/>
          <w:lang w:bidi="fa-IR"/>
        </w:rPr>
        <w:t xml:space="preserve"> وسوف يأتي الحديث عنه. </w:t>
      </w:r>
    </w:p>
    <w:p w:rsidR="00BE1E18" w:rsidRPr="00282AC9" w:rsidRDefault="00BE1E18" w:rsidP="00AE54C9">
      <w:pPr>
        <w:spacing w:line="420" w:lineRule="exact"/>
        <w:ind w:left="567" w:firstLine="0"/>
        <w:rPr>
          <w:rtl/>
        </w:rPr>
      </w:pPr>
    </w:p>
    <w:p w:rsidR="00BE1E18" w:rsidRPr="00282AC9" w:rsidRDefault="00764051" w:rsidP="00764051">
      <w:pPr>
        <w:pStyle w:val="31"/>
        <w:rPr>
          <w:color w:val="auto"/>
          <w:rtl/>
          <w:lang w:bidi="fa-IR"/>
        </w:rPr>
      </w:pPr>
      <w:r w:rsidRPr="00282AC9">
        <w:rPr>
          <w:rFonts w:hint="cs"/>
          <w:color w:val="auto"/>
          <w:rtl/>
          <w:lang w:bidi="fa-IR"/>
        </w:rPr>
        <w:t xml:space="preserve">10ـ </w:t>
      </w:r>
      <w:r w:rsidRPr="00282AC9">
        <w:rPr>
          <w:color w:val="auto"/>
          <w:rtl/>
          <w:lang w:bidi="fa-IR"/>
        </w:rPr>
        <w:t>«خير نسائكم</w:t>
      </w:r>
      <w:r w:rsidRPr="00282AC9">
        <w:rPr>
          <w:rFonts w:hint="cs"/>
          <w:color w:val="auto"/>
          <w:rtl/>
          <w:lang w:bidi="fa-IR"/>
        </w:rPr>
        <w:t>...</w:t>
      </w:r>
      <w:r w:rsidRPr="00282AC9">
        <w:rPr>
          <w:color w:val="auto"/>
          <w:rtl/>
          <w:lang w:bidi="fa-IR"/>
        </w:rPr>
        <w:t>الولود»</w:t>
      </w:r>
    </w:p>
    <w:p w:rsidR="001153F1" w:rsidRPr="00282AC9" w:rsidRDefault="00BE1E18" w:rsidP="007051D6">
      <w:pPr>
        <w:pStyle w:val="afc"/>
        <w:rPr>
          <w:rFonts w:ascii="Mosawi" w:hAnsi="Mosawi" w:cs="AL-Mohanad"/>
          <w:sz w:val="27"/>
          <w:szCs w:val="27"/>
          <w:rtl/>
          <w:lang w:bidi="fa-IR"/>
        </w:rPr>
      </w:pPr>
      <w:r w:rsidRPr="00282AC9">
        <w:rPr>
          <w:rFonts w:ascii="Mosawi" w:hAnsi="Mosawi" w:cs="AL-Mohanad" w:hint="cs"/>
          <w:sz w:val="27"/>
          <w:szCs w:val="27"/>
          <w:rtl/>
          <w:lang w:bidi="fa-IR"/>
        </w:rPr>
        <w:t xml:space="preserve">وهي </w:t>
      </w:r>
      <w:r w:rsidR="001153F1" w:rsidRPr="00282AC9">
        <w:rPr>
          <w:rFonts w:ascii="Mosawi" w:hAnsi="Mosawi" w:cs="AL-Mohanad" w:hint="cs"/>
          <w:sz w:val="27"/>
          <w:szCs w:val="27"/>
          <w:rtl/>
          <w:lang w:bidi="fa-IR"/>
        </w:rPr>
        <w:t xml:space="preserve">مرسلة </w:t>
      </w:r>
      <w:r w:rsidR="001153F1" w:rsidRPr="00282AC9">
        <w:rPr>
          <w:rFonts w:ascii="Mosawi" w:hAnsi="Mosawi" w:cs="AL-Mohanad"/>
          <w:sz w:val="27"/>
          <w:szCs w:val="27"/>
          <w:rtl/>
          <w:lang w:bidi="fa-IR"/>
        </w:rPr>
        <w:t>القطب الراوندي</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في لب</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اللباب</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عن النبي</w:t>
      </w:r>
      <w:r w:rsidRPr="00282AC9">
        <w:rPr>
          <w:rFonts w:ascii="Mosawi" w:hAnsi="Mosawi" w:cs="AL-Mohanad" w:hint="cs"/>
          <w:sz w:val="27"/>
          <w:szCs w:val="27"/>
          <w:rtl/>
          <w:lang w:bidi="fa-IR"/>
        </w:rPr>
        <w:t>ّ</w:t>
      </w:r>
      <w:r w:rsidR="009A2A04" w:rsidRPr="00282AC9">
        <w:rPr>
          <w:rFonts w:ascii="Mosawi" w:hAnsi="Mosawi" w:cs="Mosawi"/>
          <w:sz w:val="22"/>
          <w:szCs w:val="22"/>
          <w:rtl/>
          <w:lang w:bidi="fa-IR"/>
        </w:rPr>
        <w:t>|</w:t>
      </w:r>
      <w:r w:rsidR="001153F1" w:rsidRPr="00282AC9">
        <w:rPr>
          <w:rFonts w:ascii="Mosawi" w:hAnsi="Mosawi" w:cs="AL-Mohanad"/>
          <w:sz w:val="27"/>
          <w:szCs w:val="27"/>
          <w:rtl/>
          <w:lang w:bidi="fa-IR"/>
        </w:rPr>
        <w:t xml:space="preserve"> أن</w:t>
      </w:r>
      <w:r w:rsidR="001153F1"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ه قال: </w:t>
      </w:r>
      <w:r w:rsidR="001153F1" w:rsidRPr="00282AC9">
        <w:rPr>
          <w:rFonts w:ascii="Mosawi" w:hAnsi="Mosawi" w:cs="AL-Mohanad"/>
          <w:rtl/>
          <w:lang w:bidi="fa-IR"/>
        </w:rPr>
        <w:t>«</w:t>
      </w:r>
      <w:r w:rsidR="001153F1" w:rsidRPr="00282AC9">
        <w:rPr>
          <w:rFonts w:ascii="Mosawi" w:hAnsi="Mosawi" w:cs="AL-Mohanad"/>
          <w:sz w:val="27"/>
          <w:szCs w:val="27"/>
          <w:rtl/>
          <w:lang w:bidi="fa-IR"/>
        </w:rPr>
        <w:t>خير نسائكم الودود</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الولود</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المؤاتية</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 xml:space="preserve"> وشر</w:t>
      </w:r>
      <w:r w:rsidR="001153F1" w:rsidRPr="00282AC9">
        <w:rPr>
          <w:rFonts w:ascii="Mosawi" w:hAnsi="Mosawi" w:cs="AL-Mohanad" w:hint="cs"/>
          <w:sz w:val="27"/>
          <w:szCs w:val="27"/>
          <w:rtl/>
          <w:lang w:bidi="fa-IR"/>
        </w:rPr>
        <w:t>ّ</w:t>
      </w:r>
      <w:r w:rsidRPr="00282AC9">
        <w:rPr>
          <w:rFonts w:ascii="Mosawi" w:hAnsi="Mosawi" w:cs="AL-Mohanad" w:hint="cs"/>
          <w:sz w:val="27"/>
          <w:szCs w:val="27"/>
          <w:rtl/>
          <w:lang w:bidi="fa-IR"/>
        </w:rPr>
        <w:t>ُ</w:t>
      </w:r>
      <w:r w:rsidR="001153F1" w:rsidRPr="00282AC9">
        <w:rPr>
          <w:rFonts w:ascii="Mosawi" w:hAnsi="Mosawi" w:cs="AL-Mohanad"/>
          <w:sz w:val="27"/>
          <w:szCs w:val="27"/>
          <w:rtl/>
          <w:lang w:bidi="fa-IR"/>
        </w:rPr>
        <w:t>ها اللجوج</w:t>
      </w:r>
      <w:r w:rsidR="001153F1" w:rsidRPr="00282AC9">
        <w:rPr>
          <w:rFonts w:ascii="Mosawi" w:hAnsi="Mosawi" w:cs="AL-Mohanad"/>
          <w:rtl/>
          <w:lang w:bidi="fa-IR"/>
        </w:rPr>
        <w:t>»</w:t>
      </w:r>
      <w:r w:rsidR="001153F1" w:rsidRPr="00282AC9">
        <w:rPr>
          <w:rFonts w:ascii="Mosawi" w:hAnsi="Mosawi" w:cs="AL-Mohanad"/>
          <w:sz w:val="27"/>
          <w:szCs w:val="27"/>
          <w:vertAlign w:val="superscript"/>
          <w:rtl/>
          <w:lang w:bidi="fa-IR"/>
        </w:rPr>
        <w:t>(</w:t>
      </w:r>
      <w:r w:rsidR="001153F1" w:rsidRPr="00282AC9">
        <w:rPr>
          <w:rStyle w:val="af9"/>
          <w:rFonts w:ascii="Mosawi" w:eastAsia="B Titr" w:hAnsi="Mosawi" w:cs="AL-Mohanad"/>
          <w:sz w:val="27"/>
          <w:szCs w:val="27"/>
          <w:rtl/>
          <w:lang w:bidi="fa-IR"/>
        </w:rPr>
        <w:endnoteReference w:id="678"/>
      </w:r>
      <w:r w:rsidR="001153F1" w:rsidRPr="00282AC9">
        <w:rPr>
          <w:rFonts w:ascii="Mosawi" w:hAnsi="Mosawi" w:cs="AL-Mohanad"/>
          <w:sz w:val="27"/>
          <w:szCs w:val="27"/>
          <w:vertAlign w:val="superscript"/>
          <w:rtl/>
          <w:lang w:bidi="fa-IR"/>
        </w:rPr>
        <w:t>)</w:t>
      </w:r>
      <w:r w:rsidR="001153F1" w:rsidRPr="00282AC9">
        <w:rPr>
          <w:rFonts w:ascii="Mosawi" w:hAnsi="Mosawi" w:cs="AL-Mohanad" w:hint="cs"/>
          <w:sz w:val="27"/>
          <w:szCs w:val="27"/>
          <w:rtl/>
          <w:lang w:bidi="fa-IR"/>
        </w:rPr>
        <w:t>.</w:t>
      </w:r>
    </w:p>
    <w:p w:rsidR="001153F1" w:rsidRPr="00282AC9" w:rsidRDefault="001153F1" w:rsidP="007051D6">
      <w:pPr>
        <w:rPr>
          <w:b/>
          <w:bCs/>
          <w:rtl/>
          <w:lang w:bidi="fa-IR"/>
        </w:rPr>
      </w:pPr>
      <w:r w:rsidRPr="00282AC9">
        <w:rPr>
          <w:rFonts w:hint="cs"/>
          <w:b/>
          <w:bCs/>
          <w:rtl/>
          <w:lang w:bidi="fa-IR"/>
        </w:rPr>
        <w:t>أـ الدراسة السندي</w:t>
      </w:r>
      <w:r w:rsidR="00BE1E18" w:rsidRPr="00282AC9">
        <w:rPr>
          <w:rFonts w:hint="cs"/>
          <w:b/>
          <w:bCs/>
          <w:rtl/>
          <w:lang w:bidi="fa-IR"/>
        </w:rPr>
        <w:t>ّ</w:t>
      </w:r>
      <w:r w:rsidRPr="00282AC9">
        <w:rPr>
          <w:rFonts w:hint="cs"/>
          <w:b/>
          <w:bCs/>
          <w:rtl/>
          <w:lang w:bidi="fa-IR"/>
        </w:rPr>
        <w:t>ة</w:t>
      </w:r>
      <w:r w:rsidR="00764051" w:rsidRPr="00282AC9">
        <w:rPr>
          <w:rFonts w:ascii="Mosawi" w:hAnsi="Mosawi" w:hint="cs"/>
          <w:sz w:val="27"/>
          <w:rtl/>
          <w:lang w:bidi="fa-IR"/>
        </w:rPr>
        <w:t xml:space="preserve">: </w:t>
      </w:r>
      <w:r w:rsidRPr="00282AC9">
        <w:rPr>
          <w:rFonts w:ascii="Mosawi" w:hAnsi="Mosawi" w:hint="cs"/>
          <w:sz w:val="27"/>
          <w:rtl/>
          <w:lang w:bidi="fa-IR"/>
        </w:rPr>
        <w:t>هذه الرواية</w:t>
      </w:r>
      <w:r w:rsidR="00BE1E18" w:rsidRPr="00282AC9">
        <w:rPr>
          <w:rFonts w:ascii="Mosawi" w:hAnsi="Mosawi" w:hint="cs"/>
          <w:sz w:val="27"/>
          <w:rtl/>
          <w:lang w:bidi="fa-IR"/>
        </w:rPr>
        <w:t>،</w:t>
      </w:r>
      <w:r w:rsidRPr="00282AC9">
        <w:rPr>
          <w:rFonts w:ascii="Mosawi" w:hAnsi="Mosawi" w:hint="cs"/>
          <w:sz w:val="27"/>
          <w:rtl/>
          <w:lang w:bidi="fa-IR"/>
        </w:rPr>
        <w:t xml:space="preserve"> التي ذكرها المحد</w:t>
      </w:r>
      <w:r w:rsidR="00BE1E18" w:rsidRPr="00282AC9">
        <w:rPr>
          <w:rFonts w:ascii="Mosawi" w:hAnsi="Mosawi" w:hint="cs"/>
          <w:sz w:val="27"/>
          <w:rtl/>
          <w:lang w:bidi="fa-IR"/>
        </w:rPr>
        <w:t>ِّ</w:t>
      </w:r>
      <w:r w:rsidRPr="00282AC9">
        <w:rPr>
          <w:rFonts w:ascii="Mosawi" w:hAnsi="Mosawi" w:hint="cs"/>
          <w:sz w:val="27"/>
          <w:rtl/>
          <w:lang w:bidi="fa-IR"/>
        </w:rPr>
        <w:t>ث النوري في مستدرك الوسائل</w:t>
      </w:r>
      <w:r w:rsidR="00BE1E18" w:rsidRPr="00282AC9">
        <w:rPr>
          <w:rFonts w:ascii="Mosawi" w:hAnsi="Mosawi" w:hint="cs"/>
          <w:sz w:val="27"/>
          <w:rtl/>
          <w:lang w:bidi="fa-IR"/>
        </w:rPr>
        <w:t>،</w:t>
      </w:r>
      <w:r w:rsidRPr="00282AC9">
        <w:rPr>
          <w:rFonts w:ascii="Mosawi" w:hAnsi="Mosawi" w:hint="cs"/>
          <w:sz w:val="27"/>
          <w:rtl/>
          <w:lang w:bidi="fa-IR"/>
        </w:rPr>
        <w:t xml:space="preserve"> لا نجد لها سنداً</w:t>
      </w:r>
      <w:r w:rsidR="00BE1E18" w:rsidRPr="00282AC9">
        <w:rPr>
          <w:rFonts w:ascii="Mosawi" w:hAnsi="Mosawi" w:hint="cs"/>
          <w:sz w:val="27"/>
          <w:rtl/>
          <w:lang w:bidi="fa-IR"/>
        </w:rPr>
        <w:t>.</w:t>
      </w:r>
      <w:r w:rsidRPr="00282AC9">
        <w:rPr>
          <w:rFonts w:ascii="Mosawi" w:hAnsi="Mosawi" w:hint="cs"/>
          <w:sz w:val="27"/>
          <w:rtl/>
          <w:lang w:bidi="fa-IR"/>
        </w:rPr>
        <w:t xml:space="preserve"> فه</w:t>
      </w:r>
      <w:r w:rsidR="00BE1E18" w:rsidRPr="00282AC9">
        <w:rPr>
          <w:rFonts w:ascii="Mosawi" w:hAnsi="Mosawi" w:hint="cs"/>
          <w:sz w:val="27"/>
          <w:rtl/>
          <w:lang w:bidi="fa-IR"/>
        </w:rPr>
        <w:t>ي</w:t>
      </w:r>
      <w:r w:rsidRPr="00282AC9">
        <w:rPr>
          <w:rFonts w:ascii="Mosawi" w:hAnsi="Mosawi" w:hint="cs"/>
          <w:sz w:val="27"/>
          <w:rtl/>
          <w:lang w:bidi="fa-IR"/>
        </w:rPr>
        <w:t xml:space="preserve"> حديث</w:t>
      </w:r>
      <w:r w:rsidR="00BE1E18" w:rsidRPr="00282AC9">
        <w:rPr>
          <w:rFonts w:ascii="Mosawi" w:hAnsi="Mosawi" w:hint="cs"/>
          <w:sz w:val="27"/>
          <w:rtl/>
          <w:lang w:bidi="fa-IR"/>
        </w:rPr>
        <w:t>ٌ</w:t>
      </w:r>
      <w:r w:rsidRPr="00282AC9">
        <w:rPr>
          <w:rFonts w:ascii="Mosawi" w:hAnsi="Mosawi" w:hint="cs"/>
          <w:sz w:val="27"/>
          <w:rtl/>
          <w:lang w:bidi="fa-IR"/>
        </w:rPr>
        <w:t xml:space="preserve"> ضعيف. </w:t>
      </w:r>
    </w:p>
    <w:p w:rsidR="001153F1" w:rsidRPr="00282AC9" w:rsidRDefault="001153F1" w:rsidP="007051D6">
      <w:pPr>
        <w:rPr>
          <w:b/>
          <w:bCs/>
          <w:rtl/>
          <w:lang w:bidi="fa-IR"/>
        </w:rPr>
      </w:pPr>
      <w:r w:rsidRPr="00282AC9">
        <w:rPr>
          <w:rFonts w:hint="cs"/>
          <w:b/>
          <w:bCs/>
          <w:rtl/>
          <w:lang w:bidi="fa-IR"/>
        </w:rPr>
        <w:t>ب ـ الدراسة الدلالي</w:t>
      </w:r>
      <w:r w:rsidR="00BE1E18" w:rsidRPr="00282AC9">
        <w:rPr>
          <w:rFonts w:hint="cs"/>
          <w:b/>
          <w:bCs/>
          <w:rtl/>
          <w:lang w:bidi="fa-IR"/>
        </w:rPr>
        <w:t>ّ</w:t>
      </w:r>
      <w:r w:rsidRPr="00282AC9">
        <w:rPr>
          <w:rFonts w:hint="cs"/>
          <w:b/>
          <w:bCs/>
          <w:rtl/>
          <w:lang w:bidi="fa-IR"/>
        </w:rPr>
        <w:t>ة</w:t>
      </w:r>
      <w:r w:rsidR="00764051" w:rsidRPr="00282AC9">
        <w:rPr>
          <w:rFonts w:ascii="Mosawi" w:hAnsi="Mosawi" w:hint="cs"/>
          <w:sz w:val="27"/>
          <w:rtl/>
          <w:lang w:bidi="fa-IR"/>
        </w:rPr>
        <w:t xml:space="preserve">: </w:t>
      </w:r>
      <w:r w:rsidRPr="00282AC9">
        <w:rPr>
          <w:rFonts w:ascii="Mosawi" w:hAnsi="Mosawi" w:hint="cs"/>
          <w:sz w:val="27"/>
          <w:rtl/>
          <w:lang w:bidi="fa-IR"/>
        </w:rPr>
        <w:t>هذه الرواية أيضاً تشبه الروايات السابقة</w:t>
      </w:r>
      <w:r w:rsidR="00BE1E18" w:rsidRPr="00282AC9">
        <w:rPr>
          <w:rFonts w:ascii="Mosawi" w:hAnsi="Mosawi" w:hint="cs"/>
          <w:sz w:val="27"/>
          <w:rtl/>
          <w:lang w:bidi="fa-IR"/>
        </w:rPr>
        <w:t>،</w:t>
      </w:r>
      <w:r w:rsidRPr="00282AC9">
        <w:rPr>
          <w:rFonts w:ascii="Mosawi" w:hAnsi="Mosawi" w:hint="cs"/>
          <w:sz w:val="27"/>
          <w:rtl/>
          <w:lang w:bidi="fa-IR"/>
        </w:rPr>
        <w:t xml:space="preserve"> </w:t>
      </w:r>
      <w:r w:rsidRPr="00282AC9">
        <w:rPr>
          <w:rFonts w:ascii="Cambria" w:hAnsi="Cambria" w:hint="cs"/>
          <w:sz w:val="27"/>
          <w:rtl/>
          <w:lang w:bidi="fa-IR"/>
        </w:rPr>
        <w:t>ولا تشتمل على حثّ</w:t>
      </w:r>
      <w:r w:rsidR="00BE1E18" w:rsidRPr="00282AC9">
        <w:rPr>
          <w:rFonts w:ascii="Cambria" w:hAnsi="Cambria" w:hint="cs"/>
          <w:sz w:val="27"/>
          <w:rtl/>
          <w:lang w:bidi="fa-IR"/>
        </w:rPr>
        <w:t>ٍ</w:t>
      </w:r>
      <w:r w:rsidRPr="00282AC9">
        <w:rPr>
          <w:rFonts w:ascii="Cambria" w:hAnsi="Cambria" w:hint="cs"/>
          <w:sz w:val="27"/>
          <w:rtl/>
          <w:lang w:bidi="fa-IR"/>
        </w:rPr>
        <w:t xml:space="preserve"> مباشر </w:t>
      </w:r>
      <w:r w:rsidR="00BE1E18" w:rsidRPr="00282AC9">
        <w:rPr>
          <w:rFonts w:ascii="Cambria" w:hAnsi="Cambria" w:hint="cs"/>
          <w:sz w:val="27"/>
          <w:rtl/>
          <w:lang w:bidi="fa-IR"/>
        </w:rPr>
        <w:t>على ا</w:t>
      </w:r>
      <w:r w:rsidRPr="00282AC9">
        <w:rPr>
          <w:rFonts w:ascii="Cambria" w:hAnsi="Cambria" w:hint="cs"/>
          <w:sz w:val="27"/>
          <w:rtl/>
          <w:lang w:bidi="fa-IR"/>
        </w:rPr>
        <w:t>لزواج من المرأة الولود</w:t>
      </w:r>
      <w:r w:rsidR="00BE1E18" w:rsidRPr="00282AC9">
        <w:rPr>
          <w:rFonts w:ascii="Cambria" w:hAnsi="Cambria" w:hint="cs"/>
          <w:sz w:val="27"/>
          <w:rtl/>
          <w:lang w:bidi="fa-IR"/>
        </w:rPr>
        <w:t>.</w:t>
      </w:r>
      <w:r w:rsidRPr="00282AC9">
        <w:rPr>
          <w:rFonts w:ascii="Cambria" w:hAnsi="Cambria" w:hint="cs"/>
          <w:sz w:val="27"/>
          <w:rtl/>
          <w:lang w:bidi="fa-IR"/>
        </w:rPr>
        <w:t xml:space="preserve"> فلا يمكن أن نستفيد منها حكما</w:t>
      </w:r>
      <w:r w:rsidR="00BE1E18" w:rsidRPr="00282AC9">
        <w:rPr>
          <w:rFonts w:ascii="Cambria" w:hAnsi="Cambria" w:hint="cs"/>
          <w:sz w:val="27"/>
          <w:rtl/>
          <w:lang w:bidi="fa-IR"/>
        </w:rPr>
        <w:t>ً</w:t>
      </w:r>
      <w:r w:rsidRPr="00282AC9">
        <w:rPr>
          <w:rFonts w:ascii="Cambria" w:hAnsi="Cambria" w:hint="cs"/>
          <w:sz w:val="27"/>
          <w:rtl/>
          <w:lang w:bidi="fa-IR"/>
        </w:rPr>
        <w:t xml:space="preserve"> قانوني</w:t>
      </w:r>
      <w:r w:rsidR="00BE1E18" w:rsidRPr="00282AC9">
        <w:rPr>
          <w:rFonts w:ascii="Cambria" w:hAnsi="Cambria" w:hint="cs"/>
          <w:sz w:val="27"/>
          <w:rtl/>
          <w:lang w:bidi="fa-IR"/>
        </w:rPr>
        <w:t>ّ</w:t>
      </w:r>
      <w:r w:rsidRPr="00282AC9">
        <w:rPr>
          <w:rFonts w:ascii="Cambria" w:hAnsi="Cambria" w:hint="cs"/>
          <w:sz w:val="27"/>
          <w:rtl/>
          <w:lang w:bidi="fa-IR"/>
        </w:rPr>
        <w:t>اً يتعلّ</w:t>
      </w:r>
      <w:r w:rsidR="00BE1E18" w:rsidRPr="00282AC9">
        <w:rPr>
          <w:rFonts w:ascii="Cambria" w:hAnsi="Cambria" w:hint="cs"/>
          <w:sz w:val="27"/>
          <w:rtl/>
          <w:lang w:bidi="fa-IR"/>
        </w:rPr>
        <w:t>َ</w:t>
      </w:r>
      <w:r w:rsidRPr="00282AC9">
        <w:rPr>
          <w:rFonts w:ascii="Cambria" w:hAnsi="Cambria" w:hint="cs"/>
          <w:sz w:val="27"/>
          <w:rtl/>
          <w:lang w:bidi="fa-IR"/>
        </w:rPr>
        <w:t>ق بكراهة الزواج من العقيم</w:t>
      </w:r>
      <w:r w:rsidR="00BE1E18" w:rsidRPr="00282AC9">
        <w:rPr>
          <w:rFonts w:ascii="Cambria" w:hAnsi="Cambria" w:hint="cs"/>
          <w:sz w:val="27"/>
          <w:rtl/>
          <w:lang w:bidi="fa-IR"/>
        </w:rPr>
        <w:t>،</w:t>
      </w:r>
      <w:r w:rsidRPr="00282AC9">
        <w:rPr>
          <w:rFonts w:ascii="Cambria" w:hAnsi="Cambria" w:hint="cs"/>
          <w:sz w:val="27"/>
          <w:rtl/>
          <w:lang w:bidi="fa-IR"/>
        </w:rPr>
        <w:t xml:space="preserve"> أو باستحباب الزواج من الولود</w:t>
      </w:r>
      <w:r w:rsidR="00BE1E18" w:rsidRPr="00282AC9">
        <w:rPr>
          <w:rFonts w:ascii="Cambria" w:hAnsi="Cambria" w:hint="cs"/>
          <w:sz w:val="27"/>
          <w:rtl/>
          <w:lang w:bidi="fa-IR"/>
        </w:rPr>
        <w:t>.</w:t>
      </w:r>
      <w:r w:rsidRPr="00282AC9">
        <w:rPr>
          <w:rFonts w:ascii="Cambria" w:hAnsi="Cambria" w:hint="cs"/>
          <w:sz w:val="27"/>
          <w:rtl/>
          <w:lang w:bidi="fa-IR"/>
        </w:rPr>
        <w:t xml:space="preserve"> </w:t>
      </w:r>
      <w:r w:rsidRPr="00282AC9">
        <w:rPr>
          <w:rFonts w:ascii="Mosawi" w:hAnsi="Mosawi" w:hint="cs"/>
          <w:sz w:val="27"/>
          <w:rtl/>
          <w:lang w:bidi="fa-IR"/>
        </w:rPr>
        <w:t xml:space="preserve">ولا نجد فيها سوى أصل التمييز بين المرأة الولود والعاقر. </w:t>
      </w:r>
    </w:p>
    <w:p w:rsidR="001153F1" w:rsidRPr="00282AC9" w:rsidRDefault="001153F1" w:rsidP="00AE54C9">
      <w:pPr>
        <w:spacing w:line="420" w:lineRule="exact"/>
        <w:rPr>
          <w:sz w:val="27"/>
          <w:rtl/>
          <w:lang w:bidi="fa-IR"/>
        </w:rPr>
      </w:pPr>
    </w:p>
    <w:p w:rsidR="001153F1" w:rsidRPr="00282AC9" w:rsidRDefault="001153F1" w:rsidP="004E55FC">
      <w:pPr>
        <w:pStyle w:val="31"/>
        <w:rPr>
          <w:b/>
          <w:color w:val="auto"/>
        </w:rPr>
      </w:pPr>
      <w:r w:rsidRPr="00282AC9">
        <w:rPr>
          <w:rFonts w:hint="cs"/>
          <w:color w:val="auto"/>
          <w:rtl/>
        </w:rPr>
        <w:t>ثالثاً</w:t>
      </w:r>
      <w:r w:rsidRPr="00282AC9">
        <w:rPr>
          <w:color w:val="auto"/>
          <w:rtl/>
        </w:rPr>
        <w:t xml:space="preserve">: </w:t>
      </w:r>
      <w:r w:rsidRPr="00282AC9">
        <w:rPr>
          <w:rFonts w:hint="cs"/>
          <w:color w:val="auto"/>
          <w:rtl/>
        </w:rPr>
        <w:t>التحليل</w:t>
      </w:r>
      <w:r w:rsidRPr="00282AC9">
        <w:rPr>
          <w:color w:val="auto"/>
          <w:rtl/>
        </w:rPr>
        <w:t xml:space="preserve"> </w:t>
      </w:r>
      <w:r w:rsidRPr="00282AC9">
        <w:rPr>
          <w:rFonts w:hint="cs"/>
          <w:color w:val="auto"/>
          <w:rtl/>
        </w:rPr>
        <w:t>الاجمالي</w:t>
      </w:r>
      <w:r w:rsidR="00BE1E18" w:rsidRPr="00282AC9">
        <w:rPr>
          <w:rFonts w:hint="cs"/>
          <w:color w:val="auto"/>
          <w:rtl/>
        </w:rPr>
        <w:t>ّ</w:t>
      </w:r>
      <w:r w:rsidRPr="00282AC9">
        <w:rPr>
          <w:color w:val="auto"/>
          <w:rtl/>
        </w:rPr>
        <w:t xml:space="preserve"> </w:t>
      </w:r>
      <w:r w:rsidRPr="00282AC9">
        <w:rPr>
          <w:rFonts w:hint="cs"/>
          <w:color w:val="auto"/>
          <w:rtl/>
        </w:rPr>
        <w:t>للنصوص</w:t>
      </w:r>
    </w:p>
    <w:p w:rsidR="001153F1" w:rsidRPr="00282AC9" w:rsidRDefault="001153F1" w:rsidP="007051D6">
      <w:pPr>
        <w:rPr>
          <w:sz w:val="27"/>
          <w:rtl/>
        </w:rPr>
      </w:pPr>
      <w:r w:rsidRPr="00282AC9">
        <w:rPr>
          <w:rFonts w:hint="cs"/>
          <w:sz w:val="27"/>
          <w:rtl/>
        </w:rPr>
        <w:t>بعد أن انته</w:t>
      </w:r>
      <w:r w:rsidR="00BE1E18" w:rsidRPr="00282AC9">
        <w:rPr>
          <w:rFonts w:hint="cs"/>
          <w:sz w:val="27"/>
          <w:rtl/>
        </w:rPr>
        <w:t>َ</w:t>
      </w:r>
      <w:r w:rsidRPr="00282AC9">
        <w:rPr>
          <w:rFonts w:hint="cs"/>
          <w:sz w:val="27"/>
          <w:rtl/>
        </w:rPr>
        <w:t>ي</w:t>
      </w:r>
      <w:r w:rsidR="00BE1E18" w:rsidRPr="00282AC9">
        <w:rPr>
          <w:rFonts w:hint="cs"/>
          <w:sz w:val="27"/>
          <w:rtl/>
        </w:rPr>
        <w:t>ْ</w:t>
      </w:r>
      <w:r w:rsidRPr="00282AC9">
        <w:rPr>
          <w:rFonts w:hint="cs"/>
          <w:sz w:val="27"/>
          <w:rtl/>
        </w:rPr>
        <w:t>نا من دراسة الروايات من الناحية السندية والدلالية، كلّ</w:t>
      </w:r>
      <w:r w:rsidR="00A91038" w:rsidRPr="00282AC9">
        <w:rPr>
          <w:rFonts w:hint="cs"/>
          <w:sz w:val="27"/>
          <w:rtl/>
        </w:rPr>
        <w:t>ٌ</w:t>
      </w:r>
      <w:r w:rsidRPr="00282AC9">
        <w:rPr>
          <w:rFonts w:hint="cs"/>
          <w:sz w:val="27"/>
          <w:rtl/>
        </w:rPr>
        <w:t xml:space="preserve"> منها على </w:t>
      </w:r>
      <w:r w:rsidRPr="00282AC9">
        <w:rPr>
          <w:rFonts w:hint="cs"/>
          <w:sz w:val="27"/>
          <w:rtl/>
        </w:rPr>
        <w:lastRenderedPageBreak/>
        <w:t>ح</w:t>
      </w:r>
      <w:r w:rsidR="00A91038" w:rsidRPr="00282AC9">
        <w:rPr>
          <w:rFonts w:hint="cs"/>
          <w:sz w:val="27"/>
          <w:rtl/>
        </w:rPr>
        <w:t>ِ</w:t>
      </w:r>
      <w:r w:rsidRPr="00282AC9">
        <w:rPr>
          <w:rFonts w:hint="cs"/>
          <w:sz w:val="27"/>
          <w:rtl/>
        </w:rPr>
        <w:t>د</w:t>
      </w:r>
      <w:r w:rsidR="00A91038" w:rsidRPr="00282AC9">
        <w:rPr>
          <w:rFonts w:hint="cs"/>
          <w:sz w:val="27"/>
          <w:rtl/>
        </w:rPr>
        <w:t>َ</w:t>
      </w:r>
      <w:r w:rsidRPr="00282AC9">
        <w:rPr>
          <w:rFonts w:hint="cs"/>
          <w:sz w:val="27"/>
          <w:rtl/>
        </w:rPr>
        <w:t xml:space="preserve">ة، </w:t>
      </w:r>
      <w:r w:rsidRPr="00282AC9">
        <w:rPr>
          <w:sz w:val="27"/>
          <w:rtl/>
        </w:rPr>
        <w:t>ينبغي أن نتوق</w:t>
      </w:r>
      <w:r w:rsidR="00A91038" w:rsidRPr="00282AC9">
        <w:rPr>
          <w:rFonts w:hint="cs"/>
          <w:sz w:val="27"/>
          <w:rtl/>
        </w:rPr>
        <w:t>َّ</w:t>
      </w:r>
      <w:r w:rsidRPr="00282AC9">
        <w:rPr>
          <w:sz w:val="27"/>
          <w:rtl/>
        </w:rPr>
        <w:t>ف في عد</w:t>
      </w:r>
      <w:r w:rsidR="00A91038" w:rsidRPr="00282AC9">
        <w:rPr>
          <w:rFonts w:hint="cs"/>
          <w:sz w:val="27"/>
          <w:rtl/>
        </w:rPr>
        <w:t>ّ</w:t>
      </w:r>
      <w:r w:rsidRPr="00282AC9">
        <w:rPr>
          <w:sz w:val="27"/>
          <w:rtl/>
        </w:rPr>
        <w:t>ة نقاط</w:t>
      </w:r>
      <w:r w:rsidR="00A91038" w:rsidRPr="00282AC9">
        <w:rPr>
          <w:rFonts w:hint="cs"/>
          <w:sz w:val="27"/>
          <w:rtl/>
        </w:rPr>
        <w:t>ٍ</w:t>
      </w:r>
      <w:r w:rsidRPr="00282AC9">
        <w:rPr>
          <w:rFonts w:hint="cs"/>
          <w:sz w:val="27"/>
          <w:rtl/>
        </w:rPr>
        <w:t xml:space="preserve"> تتعلّ</w:t>
      </w:r>
      <w:r w:rsidR="00A91038" w:rsidRPr="00282AC9">
        <w:rPr>
          <w:rFonts w:hint="cs"/>
          <w:sz w:val="27"/>
          <w:rtl/>
        </w:rPr>
        <w:t>َ</w:t>
      </w:r>
      <w:r w:rsidRPr="00282AC9">
        <w:rPr>
          <w:rFonts w:hint="cs"/>
          <w:sz w:val="27"/>
          <w:rtl/>
        </w:rPr>
        <w:t>ق بالتحليل الإجمالي</w:t>
      </w:r>
      <w:r w:rsidR="00A91038" w:rsidRPr="00282AC9">
        <w:rPr>
          <w:rFonts w:hint="cs"/>
          <w:sz w:val="27"/>
          <w:rtl/>
        </w:rPr>
        <w:t>ّ</w:t>
      </w:r>
      <w:r w:rsidRPr="00282AC9">
        <w:rPr>
          <w:rFonts w:hint="cs"/>
          <w:sz w:val="27"/>
          <w:rtl/>
        </w:rPr>
        <w:t xml:space="preserve"> لها</w:t>
      </w:r>
      <w:r w:rsidR="00A91038" w:rsidRPr="00282AC9">
        <w:rPr>
          <w:rFonts w:hint="cs"/>
          <w:sz w:val="27"/>
          <w:rtl/>
        </w:rPr>
        <w:t>.</w:t>
      </w:r>
      <w:r w:rsidRPr="00282AC9">
        <w:rPr>
          <w:rFonts w:hint="cs"/>
          <w:sz w:val="27"/>
          <w:rtl/>
        </w:rPr>
        <w:t xml:space="preserve"> وبعض هذه النقاط يتعلّ</w:t>
      </w:r>
      <w:r w:rsidR="00A91038" w:rsidRPr="00282AC9">
        <w:rPr>
          <w:rFonts w:hint="cs"/>
          <w:sz w:val="27"/>
          <w:rtl/>
        </w:rPr>
        <w:t>َ</w:t>
      </w:r>
      <w:r w:rsidRPr="00282AC9">
        <w:rPr>
          <w:rFonts w:hint="cs"/>
          <w:sz w:val="27"/>
          <w:rtl/>
        </w:rPr>
        <w:t>ق بالجانب الصدوري لهذه الروايات</w:t>
      </w:r>
      <w:r w:rsidR="00A91038" w:rsidRPr="00282AC9">
        <w:rPr>
          <w:rFonts w:hint="cs"/>
          <w:sz w:val="27"/>
          <w:rtl/>
        </w:rPr>
        <w:t>؛</w:t>
      </w:r>
      <w:r w:rsidRPr="00282AC9">
        <w:rPr>
          <w:rFonts w:hint="cs"/>
          <w:sz w:val="27"/>
          <w:rtl/>
        </w:rPr>
        <w:t xml:space="preserve"> وبعض</w:t>
      </w:r>
      <w:r w:rsidR="00A91038" w:rsidRPr="00282AC9">
        <w:rPr>
          <w:rFonts w:hint="cs"/>
          <w:sz w:val="27"/>
          <w:rtl/>
        </w:rPr>
        <w:t>ها</w:t>
      </w:r>
      <w:r w:rsidRPr="00282AC9">
        <w:rPr>
          <w:rFonts w:hint="cs"/>
          <w:sz w:val="27"/>
          <w:rtl/>
        </w:rPr>
        <w:t xml:space="preserve"> الآخر يتعلّ</w:t>
      </w:r>
      <w:r w:rsidR="00A91038" w:rsidRPr="00282AC9">
        <w:rPr>
          <w:rFonts w:hint="cs"/>
          <w:sz w:val="27"/>
          <w:rtl/>
        </w:rPr>
        <w:t>َ</w:t>
      </w:r>
      <w:r w:rsidRPr="00282AC9">
        <w:rPr>
          <w:rFonts w:hint="cs"/>
          <w:sz w:val="27"/>
          <w:rtl/>
        </w:rPr>
        <w:t>ق بمضمونها</w:t>
      </w:r>
      <w:r w:rsidR="00A91038" w:rsidRPr="00282AC9">
        <w:rPr>
          <w:rFonts w:hint="cs"/>
          <w:sz w:val="27"/>
          <w:rtl/>
        </w:rPr>
        <w:t>،</w:t>
      </w:r>
      <w:r w:rsidRPr="00282AC9">
        <w:rPr>
          <w:rFonts w:hint="cs"/>
          <w:sz w:val="27"/>
          <w:rtl/>
        </w:rPr>
        <w:t xml:space="preserve"> والإشكالي</w:t>
      </w:r>
      <w:r w:rsidR="00A91038" w:rsidRPr="00282AC9">
        <w:rPr>
          <w:rFonts w:hint="cs"/>
          <w:sz w:val="27"/>
          <w:rtl/>
        </w:rPr>
        <w:t>ّ</w:t>
      </w:r>
      <w:r w:rsidRPr="00282AC9">
        <w:rPr>
          <w:rFonts w:hint="cs"/>
          <w:sz w:val="27"/>
          <w:rtl/>
        </w:rPr>
        <w:t>ات التي تواجهها</w:t>
      </w:r>
      <w:r w:rsidR="00A91038" w:rsidRPr="00282AC9">
        <w:rPr>
          <w:rFonts w:hint="cs"/>
          <w:sz w:val="27"/>
          <w:rtl/>
        </w:rPr>
        <w:t>.</w:t>
      </w:r>
      <w:r w:rsidRPr="00282AC9">
        <w:rPr>
          <w:rFonts w:hint="cs"/>
          <w:sz w:val="27"/>
          <w:rtl/>
        </w:rPr>
        <w:t xml:space="preserve"> وهي:</w:t>
      </w:r>
    </w:p>
    <w:p w:rsidR="00AE54C9" w:rsidRPr="00282AC9" w:rsidRDefault="00AE54C9" w:rsidP="00AE54C9">
      <w:pPr>
        <w:spacing w:line="410" w:lineRule="exact"/>
        <w:rPr>
          <w:sz w:val="27"/>
          <w:rtl/>
        </w:rPr>
      </w:pPr>
    </w:p>
    <w:p w:rsidR="001153F1" w:rsidRPr="00282AC9" w:rsidRDefault="00764051" w:rsidP="004E55FC">
      <w:pPr>
        <w:pStyle w:val="31"/>
        <w:rPr>
          <w:color w:val="auto"/>
          <w:rtl/>
        </w:rPr>
      </w:pPr>
      <w:r w:rsidRPr="00282AC9">
        <w:rPr>
          <w:rFonts w:hint="cs"/>
          <w:color w:val="auto"/>
          <w:rtl/>
        </w:rPr>
        <w:t>1ـ</w:t>
      </w:r>
      <w:r w:rsidR="001153F1" w:rsidRPr="00282AC9">
        <w:rPr>
          <w:color w:val="auto"/>
          <w:rtl/>
        </w:rPr>
        <w:t xml:space="preserve"> </w:t>
      </w:r>
      <w:r w:rsidR="001153F1" w:rsidRPr="00282AC9">
        <w:rPr>
          <w:rFonts w:hint="cs"/>
          <w:color w:val="auto"/>
          <w:rtl/>
        </w:rPr>
        <w:t>الأغلبي</w:t>
      </w:r>
      <w:r w:rsidR="00A91038" w:rsidRPr="00282AC9">
        <w:rPr>
          <w:rFonts w:hint="cs"/>
          <w:color w:val="auto"/>
          <w:rtl/>
        </w:rPr>
        <w:t>ّ</w:t>
      </w:r>
      <w:r w:rsidR="001153F1" w:rsidRPr="00282AC9">
        <w:rPr>
          <w:rFonts w:hint="cs"/>
          <w:color w:val="auto"/>
          <w:rtl/>
        </w:rPr>
        <w:t>ة الساحقة من هذه الروايات نبوي</w:t>
      </w:r>
      <w:r w:rsidR="00A91038" w:rsidRPr="00282AC9">
        <w:rPr>
          <w:rFonts w:hint="cs"/>
          <w:color w:val="auto"/>
          <w:rtl/>
        </w:rPr>
        <w:t>ّ</w:t>
      </w:r>
      <w:r w:rsidR="001153F1" w:rsidRPr="00282AC9">
        <w:rPr>
          <w:rFonts w:hint="cs"/>
          <w:color w:val="auto"/>
          <w:rtl/>
        </w:rPr>
        <w:t>ة</w:t>
      </w:r>
      <w:r w:rsidR="00A91038" w:rsidRPr="00282AC9">
        <w:rPr>
          <w:rFonts w:hint="cs"/>
          <w:color w:val="auto"/>
          <w:rtl/>
        </w:rPr>
        <w:t>ٌ</w:t>
      </w:r>
    </w:p>
    <w:p w:rsidR="001153F1" w:rsidRPr="00282AC9" w:rsidRDefault="001153F1" w:rsidP="007051D6">
      <w:pPr>
        <w:rPr>
          <w:sz w:val="27"/>
          <w:rtl/>
        </w:rPr>
      </w:pPr>
      <w:r w:rsidRPr="00282AC9">
        <w:rPr>
          <w:sz w:val="27"/>
          <w:rtl/>
        </w:rPr>
        <w:t>لو راج</w:t>
      </w:r>
      <w:r w:rsidR="00A91038" w:rsidRPr="00282AC9">
        <w:rPr>
          <w:rFonts w:hint="cs"/>
          <w:sz w:val="27"/>
          <w:rtl/>
        </w:rPr>
        <w:t>َ</w:t>
      </w:r>
      <w:r w:rsidRPr="00282AC9">
        <w:rPr>
          <w:sz w:val="27"/>
          <w:rtl/>
        </w:rPr>
        <w:t>ع</w:t>
      </w:r>
      <w:r w:rsidR="00A91038" w:rsidRPr="00282AC9">
        <w:rPr>
          <w:rFonts w:hint="cs"/>
          <w:sz w:val="27"/>
          <w:rtl/>
        </w:rPr>
        <w:t>ْ</w:t>
      </w:r>
      <w:r w:rsidRPr="00282AC9">
        <w:rPr>
          <w:sz w:val="27"/>
          <w:rtl/>
        </w:rPr>
        <w:t>نا هذه الروايات لوج</w:t>
      </w:r>
      <w:r w:rsidR="00A91038" w:rsidRPr="00282AC9">
        <w:rPr>
          <w:rFonts w:hint="cs"/>
          <w:sz w:val="27"/>
          <w:rtl/>
        </w:rPr>
        <w:t>َ</w:t>
      </w:r>
      <w:r w:rsidRPr="00282AC9">
        <w:rPr>
          <w:sz w:val="27"/>
          <w:rtl/>
        </w:rPr>
        <w:t>د</w:t>
      </w:r>
      <w:r w:rsidR="00A91038" w:rsidRPr="00282AC9">
        <w:rPr>
          <w:rFonts w:hint="cs"/>
          <w:sz w:val="27"/>
          <w:rtl/>
        </w:rPr>
        <w:t>ْ</w:t>
      </w:r>
      <w:r w:rsidRPr="00282AC9">
        <w:rPr>
          <w:sz w:val="27"/>
          <w:rtl/>
        </w:rPr>
        <w:t>نا أن</w:t>
      </w:r>
      <w:r w:rsidRPr="00282AC9">
        <w:rPr>
          <w:rFonts w:hint="cs"/>
          <w:sz w:val="27"/>
          <w:rtl/>
        </w:rPr>
        <w:t>ّ</w:t>
      </w:r>
      <w:r w:rsidRPr="00282AC9">
        <w:rPr>
          <w:sz w:val="27"/>
          <w:rtl/>
        </w:rPr>
        <w:t xml:space="preserve"> أغلبي</w:t>
      </w:r>
      <w:r w:rsidR="00A91038" w:rsidRPr="00282AC9">
        <w:rPr>
          <w:rFonts w:hint="cs"/>
          <w:sz w:val="27"/>
          <w:rtl/>
        </w:rPr>
        <w:t>ّ</w:t>
      </w:r>
      <w:r w:rsidRPr="00282AC9">
        <w:rPr>
          <w:sz w:val="27"/>
          <w:rtl/>
        </w:rPr>
        <w:t xml:space="preserve">تها الساحقة </w:t>
      </w:r>
      <w:r w:rsidRPr="00282AC9">
        <w:rPr>
          <w:rFonts w:hint="cs"/>
          <w:sz w:val="27"/>
          <w:rtl/>
        </w:rPr>
        <w:t>مروي</w:t>
      </w:r>
      <w:r w:rsidR="00A91038" w:rsidRPr="00282AC9">
        <w:rPr>
          <w:rFonts w:hint="cs"/>
          <w:sz w:val="27"/>
          <w:rtl/>
        </w:rPr>
        <w:t>ّ</w:t>
      </w:r>
      <w:r w:rsidRPr="00282AC9">
        <w:rPr>
          <w:rFonts w:hint="cs"/>
          <w:sz w:val="27"/>
          <w:rtl/>
        </w:rPr>
        <w:t>ة</w:t>
      </w:r>
      <w:r w:rsidR="00A91038" w:rsidRPr="00282AC9">
        <w:rPr>
          <w:rFonts w:hint="cs"/>
          <w:sz w:val="27"/>
          <w:rtl/>
        </w:rPr>
        <w:t>ٌ</w:t>
      </w:r>
      <w:r w:rsidRPr="00282AC9">
        <w:rPr>
          <w:rFonts w:hint="cs"/>
          <w:sz w:val="27"/>
          <w:rtl/>
        </w:rPr>
        <w:t xml:space="preserve"> عن</w:t>
      </w:r>
      <w:r w:rsidRPr="00282AC9">
        <w:rPr>
          <w:sz w:val="27"/>
          <w:rtl/>
        </w:rPr>
        <w:t xml:space="preserve"> رسول الله</w:t>
      </w:r>
      <w:r w:rsidR="009A2A04" w:rsidRPr="00282AC9">
        <w:rPr>
          <w:rFonts w:cs="Mosawi"/>
          <w:sz w:val="22"/>
          <w:szCs w:val="22"/>
          <w:rtl/>
        </w:rPr>
        <w:t>|</w:t>
      </w:r>
      <w:r w:rsidR="00A91038" w:rsidRPr="00282AC9">
        <w:rPr>
          <w:rFonts w:hint="cs"/>
          <w:sz w:val="27"/>
          <w:rtl/>
        </w:rPr>
        <w:t>.</w:t>
      </w:r>
      <w:r w:rsidRPr="00282AC9">
        <w:rPr>
          <w:sz w:val="27"/>
          <w:rtl/>
        </w:rPr>
        <w:t xml:space="preserve"> </w:t>
      </w:r>
      <w:r w:rsidRPr="00282AC9">
        <w:rPr>
          <w:rFonts w:hint="cs"/>
          <w:sz w:val="27"/>
          <w:rtl/>
        </w:rPr>
        <w:t>وهذا</w:t>
      </w:r>
      <w:r w:rsidRPr="00282AC9">
        <w:rPr>
          <w:sz w:val="27"/>
          <w:rtl/>
        </w:rPr>
        <w:t xml:space="preserve"> من الأمور اللافتة</w:t>
      </w:r>
      <w:r w:rsidR="00A91038" w:rsidRPr="00282AC9">
        <w:rPr>
          <w:rFonts w:hint="cs"/>
          <w:sz w:val="27"/>
          <w:rtl/>
        </w:rPr>
        <w:t>، و</w:t>
      </w:r>
      <w:r w:rsidRPr="00282AC9">
        <w:rPr>
          <w:rFonts w:hint="cs"/>
          <w:sz w:val="27"/>
          <w:rtl/>
        </w:rPr>
        <w:t>خاصةً عند الشيعة الإمامي</w:t>
      </w:r>
      <w:r w:rsidR="00A91038" w:rsidRPr="00282AC9">
        <w:rPr>
          <w:rFonts w:hint="cs"/>
          <w:sz w:val="27"/>
          <w:rtl/>
        </w:rPr>
        <w:t>ّ</w:t>
      </w:r>
      <w:r w:rsidRPr="00282AC9">
        <w:rPr>
          <w:rFonts w:hint="cs"/>
          <w:sz w:val="27"/>
          <w:rtl/>
        </w:rPr>
        <w:t>ة</w:t>
      </w:r>
      <w:r w:rsidR="00A91038" w:rsidRPr="00282AC9">
        <w:rPr>
          <w:rFonts w:hint="cs"/>
          <w:sz w:val="27"/>
          <w:rtl/>
        </w:rPr>
        <w:t>؛ إذ</w:t>
      </w:r>
      <w:r w:rsidRPr="00282AC9">
        <w:rPr>
          <w:sz w:val="27"/>
          <w:rtl/>
        </w:rPr>
        <w:t xml:space="preserve"> </w:t>
      </w:r>
      <w:r w:rsidRPr="00282AC9">
        <w:rPr>
          <w:rFonts w:hint="cs"/>
          <w:sz w:val="27"/>
          <w:rtl/>
        </w:rPr>
        <w:t>قلّ</w:t>
      </w:r>
      <w:r w:rsidR="00A91038" w:rsidRPr="00282AC9">
        <w:rPr>
          <w:rFonts w:hint="cs"/>
          <w:sz w:val="27"/>
          <w:rtl/>
        </w:rPr>
        <w:t>َ</w:t>
      </w:r>
      <w:r w:rsidRPr="00282AC9">
        <w:rPr>
          <w:rFonts w:hint="cs"/>
          <w:sz w:val="27"/>
          <w:rtl/>
        </w:rPr>
        <w:t>ما نجد موضوعاً في التراث الإمامي يكون أغلب الروايات فيه نبوي</w:t>
      </w:r>
      <w:r w:rsidR="00A91038" w:rsidRPr="00282AC9">
        <w:rPr>
          <w:rFonts w:hint="cs"/>
          <w:sz w:val="27"/>
          <w:rtl/>
        </w:rPr>
        <w:t>ّاً.</w:t>
      </w:r>
      <w:r w:rsidRPr="00282AC9">
        <w:rPr>
          <w:rFonts w:hint="cs"/>
          <w:sz w:val="27"/>
          <w:rtl/>
        </w:rPr>
        <w:t xml:space="preserve"> هذا قليل</w:t>
      </w:r>
      <w:r w:rsidR="00A91038" w:rsidRPr="00282AC9">
        <w:rPr>
          <w:rFonts w:hint="cs"/>
          <w:sz w:val="27"/>
          <w:rtl/>
        </w:rPr>
        <w:t>ٌ</w:t>
      </w:r>
      <w:r w:rsidRPr="00282AC9">
        <w:rPr>
          <w:rFonts w:hint="cs"/>
          <w:sz w:val="27"/>
          <w:rtl/>
        </w:rPr>
        <w:t xml:space="preserve"> أو نادر</w:t>
      </w:r>
      <w:r w:rsidR="00A91038" w:rsidRPr="00282AC9">
        <w:rPr>
          <w:rFonts w:hint="cs"/>
          <w:sz w:val="27"/>
          <w:rtl/>
        </w:rPr>
        <w:t>ٌ</w:t>
      </w:r>
      <w:r w:rsidRPr="00282AC9">
        <w:rPr>
          <w:rFonts w:hint="cs"/>
          <w:sz w:val="27"/>
          <w:rtl/>
        </w:rPr>
        <w:t xml:space="preserve"> في التراث الإمامي</w:t>
      </w:r>
      <w:r w:rsidR="00A91038" w:rsidRPr="00282AC9">
        <w:rPr>
          <w:rFonts w:hint="cs"/>
          <w:sz w:val="27"/>
          <w:rtl/>
        </w:rPr>
        <w:t>؛</w:t>
      </w:r>
      <w:r w:rsidRPr="00282AC9">
        <w:rPr>
          <w:rFonts w:hint="cs"/>
          <w:sz w:val="27"/>
          <w:rtl/>
        </w:rPr>
        <w:t xml:space="preserve"> إذ نجد عادةً</w:t>
      </w:r>
      <w:r w:rsidR="00A91038" w:rsidRPr="00282AC9">
        <w:rPr>
          <w:rFonts w:hint="cs"/>
          <w:sz w:val="27"/>
          <w:rtl/>
        </w:rPr>
        <w:t>،</w:t>
      </w:r>
      <w:r w:rsidRPr="00282AC9">
        <w:rPr>
          <w:rFonts w:hint="cs"/>
          <w:sz w:val="27"/>
          <w:rtl/>
        </w:rPr>
        <w:t xml:space="preserve"> في كثير</w:t>
      </w:r>
      <w:r w:rsidR="00A91038" w:rsidRPr="00282AC9">
        <w:rPr>
          <w:rFonts w:hint="cs"/>
          <w:sz w:val="27"/>
          <w:rtl/>
        </w:rPr>
        <w:t>ٍ</w:t>
      </w:r>
      <w:r w:rsidRPr="00282AC9">
        <w:rPr>
          <w:rFonts w:hint="cs"/>
          <w:sz w:val="27"/>
          <w:rtl/>
        </w:rPr>
        <w:t xml:space="preserve"> من الموضوعات</w:t>
      </w:r>
      <w:r w:rsidR="00A91038" w:rsidRPr="00282AC9">
        <w:rPr>
          <w:rFonts w:hint="cs"/>
          <w:sz w:val="27"/>
          <w:rtl/>
        </w:rPr>
        <w:t>،</w:t>
      </w:r>
      <w:r w:rsidRPr="00282AC9">
        <w:rPr>
          <w:rFonts w:hint="cs"/>
          <w:sz w:val="27"/>
          <w:rtl/>
        </w:rPr>
        <w:t xml:space="preserve"> </w:t>
      </w:r>
      <w:r w:rsidR="00A91038" w:rsidRPr="00282AC9">
        <w:rPr>
          <w:rFonts w:hint="cs"/>
          <w:sz w:val="27"/>
          <w:rtl/>
        </w:rPr>
        <w:t>أ</w:t>
      </w:r>
      <w:r w:rsidRPr="00282AC9">
        <w:rPr>
          <w:rFonts w:hint="cs"/>
          <w:sz w:val="27"/>
          <w:rtl/>
        </w:rPr>
        <w:t>نّ الأحاديث مروي</w:t>
      </w:r>
      <w:r w:rsidR="00A91038" w:rsidRPr="00282AC9">
        <w:rPr>
          <w:rFonts w:hint="cs"/>
          <w:sz w:val="27"/>
          <w:rtl/>
        </w:rPr>
        <w:t>ّ</w:t>
      </w:r>
      <w:r w:rsidRPr="00282AC9">
        <w:rPr>
          <w:rFonts w:hint="cs"/>
          <w:sz w:val="27"/>
          <w:rtl/>
        </w:rPr>
        <w:t>ة</w:t>
      </w:r>
      <w:r w:rsidR="00A91038" w:rsidRPr="00282AC9">
        <w:rPr>
          <w:rFonts w:hint="cs"/>
          <w:sz w:val="27"/>
          <w:rtl/>
        </w:rPr>
        <w:t>ٌ</w:t>
      </w:r>
      <w:r w:rsidRPr="00282AC9">
        <w:rPr>
          <w:rFonts w:hint="cs"/>
          <w:sz w:val="27"/>
          <w:rtl/>
        </w:rPr>
        <w:t xml:space="preserve"> عن أهل البيت</w:t>
      </w:r>
      <w:r w:rsidR="00876ECA" w:rsidRPr="00282AC9">
        <w:rPr>
          <w:rFonts w:cs="Mosawi" w:hint="cs"/>
          <w:sz w:val="22"/>
          <w:szCs w:val="22"/>
          <w:rtl/>
        </w:rPr>
        <w:t>^</w:t>
      </w:r>
      <w:r w:rsidRPr="00282AC9">
        <w:rPr>
          <w:rFonts w:ascii="Mosawi" w:hAnsi="Mosawi" w:hint="cs"/>
          <w:sz w:val="27"/>
          <w:rtl/>
        </w:rPr>
        <w:t xml:space="preserve"> خاص</w:t>
      </w:r>
      <w:r w:rsidR="00A91038" w:rsidRPr="00282AC9">
        <w:rPr>
          <w:rFonts w:ascii="Mosawi" w:hAnsi="Mosawi" w:hint="cs"/>
          <w:sz w:val="27"/>
          <w:rtl/>
        </w:rPr>
        <w:t>ّ</w:t>
      </w:r>
      <w:r w:rsidRPr="00282AC9">
        <w:rPr>
          <w:rFonts w:ascii="Mosawi" w:hAnsi="Mosawi" w:hint="cs"/>
          <w:sz w:val="27"/>
          <w:rtl/>
        </w:rPr>
        <w:t>ة</w:t>
      </w:r>
      <w:r w:rsidR="00A91038" w:rsidRPr="00282AC9">
        <w:rPr>
          <w:rFonts w:ascii="Mosawi" w:hAnsi="Mosawi" w:hint="cs"/>
          <w:sz w:val="27"/>
          <w:rtl/>
        </w:rPr>
        <w:t>،</w:t>
      </w:r>
      <w:r w:rsidRPr="00282AC9">
        <w:rPr>
          <w:rFonts w:ascii="Mosawi" w:hAnsi="Mosawi" w:hint="cs"/>
          <w:sz w:val="27"/>
          <w:rtl/>
        </w:rPr>
        <w:t xml:space="preserve"> أو إلى جانب الأحاديث النبوي</w:t>
      </w:r>
      <w:r w:rsidR="00A91038" w:rsidRPr="00282AC9">
        <w:rPr>
          <w:rFonts w:ascii="Mosawi" w:hAnsi="Mosawi" w:hint="cs"/>
          <w:sz w:val="27"/>
          <w:rtl/>
        </w:rPr>
        <w:t>ّ</w:t>
      </w:r>
      <w:r w:rsidRPr="00282AC9">
        <w:rPr>
          <w:rFonts w:ascii="Mosawi" w:hAnsi="Mosawi" w:hint="cs"/>
          <w:sz w:val="27"/>
          <w:rtl/>
        </w:rPr>
        <w:t>ة</w:t>
      </w:r>
      <w:r w:rsidR="00A91038" w:rsidRPr="00282AC9">
        <w:rPr>
          <w:rFonts w:ascii="Mosawi" w:hAnsi="Mosawi" w:hint="cs"/>
          <w:sz w:val="27"/>
          <w:rtl/>
        </w:rPr>
        <w:t>.</w:t>
      </w:r>
      <w:r w:rsidRPr="00282AC9">
        <w:rPr>
          <w:rFonts w:ascii="Mosawi" w:hAnsi="Mosawi" w:hint="cs"/>
          <w:sz w:val="27"/>
          <w:rtl/>
        </w:rPr>
        <w:t xml:space="preserve"> وهذا أمر</w:t>
      </w:r>
      <w:r w:rsidR="00A91038" w:rsidRPr="00282AC9">
        <w:rPr>
          <w:rFonts w:ascii="Mosawi" w:hAnsi="Mosawi" w:hint="cs"/>
          <w:sz w:val="27"/>
          <w:rtl/>
        </w:rPr>
        <w:t>ٌ</w:t>
      </w:r>
      <w:r w:rsidRPr="00282AC9">
        <w:rPr>
          <w:rFonts w:ascii="Mosawi" w:hAnsi="Mosawi" w:hint="cs"/>
          <w:sz w:val="27"/>
          <w:rtl/>
        </w:rPr>
        <w:t xml:space="preserve"> جدير</w:t>
      </w:r>
      <w:r w:rsidR="00A91038" w:rsidRPr="00282AC9">
        <w:rPr>
          <w:rFonts w:ascii="Mosawi" w:hAnsi="Mosawi" w:hint="cs"/>
          <w:sz w:val="27"/>
          <w:rtl/>
        </w:rPr>
        <w:t>ٌ</w:t>
      </w:r>
      <w:r w:rsidRPr="00282AC9">
        <w:rPr>
          <w:rFonts w:ascii="Mosawi" w:hAnsi="Mosawi" w:hint="cs"/>
          <w:sz w:val="27"/>
          <w:rtl/>
        </w:rPr>
        <w:t xml:space="preserve"> بالاهتمام. </w:t>
      </w:r>
    </w:p>
    <w:p w:rsidR="00AE54C9" w:rsidRPr="00282AC9" w:rsidRDefault="00AE54C9" w:rsidP="00AE54C9">
      <w:pPr>
        <w:spacing w:line="410" w:lineRule="exact"/>
        <w:rPr>
          <w:sz w:val="27"/>
          <w:rtl/>
        </w:rPr>
      </w:pPr>
    </w:p>
    <w:p w:rsidR="001153F1" w:rsidRPr="00282AC9" w:rsidRDefault="00764051" w:rsidP="00A91038">
      <w:pPr>
        <w:pStyle w:val="31"/>
        <w:rPr>
          <w:color w:val="auto"/>
          <w:rtl/>
        </w:rPr>
      </w:pPr>
      <w:r w:rsidRPr="00282AC9">
        <w:rPr>
          <w:rFonts w:hint="cs"/>
          <w:color w:val="auto"/>
          <w:rtl/>
        </w:rPr>
        <w:t>2ـ</w:t>
      </w:r>
      <w:r w:rsidR="001153F1" w:rsidRPr="00282AC9">
        <w:rPr>
          <w:rFonts w:hint="cs"/>
          <w:color w:val="auto"/>
          <w:rtl/>
        </w:rPr>
        <w:t xml:space="preserve"> الن</w:t>
      </w:r>
      <w:r w:rsidR="00A91038" w:rsidRPr="00282AC9">
        <w:rPr>
          <w:rFonts w:hint="cs"/>
          <w:color w:val="auto"/>
          <w:rtl/>
        </w:rPr>
        <w:t>َّ</w:t>
      </w:r>
      <w:r w:rsidR="001153F1" w:rsidRPr="00282AC9">
        <w:rPr>
          <w:rFonts w:hint="cs"/>
          <w:color w:val="auto"/>
          <w:rtl/>
        </w:rPr>
        <w:t>ه</w:t>
      </w:r>
      <w:r w:rsidR="00A91038" w:rsidRPr="00282AC9">
        <w:rPr>
          <w:rFonts w:hint="cs"/>
          <w:color w:val="auto"/>
          <w:rtl/>
        </w:rPr>
        <w:t>ْ</w:t>
      </w:r>
      <w:r w:rsidR="001153F1" w:rsidRPr="00282AC9">
        <w:rPr>
          <w:rFonts w:hint="cs"/>
          <w:color w:val="auto"/>
          <w:rtl/>
        </w:rPr>
        <w:t>ي</w:t>
      </w:r>
      <w:r w:rsidR="00A91038" w:rsidRPr="00282AC9">
        <w:rPr>
          <w:rFonts w:hint="cs"/>
          <w:color w:val="auto"/>
          <w:rtl/>
        </w:rPr>
        <w:t xml:space="preserve">، </w:t>
      </w:r>
      <w:r w:rsidR="001153F1" w:rsidRPr="00282AC9">
        <w:rPr>
          <w:rFonts w:hint="cs"/>
          <w:color w:val="auto"/>
          <w:rtl/>
        </w:rPr>
        <w:t>ومدى دلالته على الحرمة أو الكراهة</w:t>
      </w:r>
    </w:p>
    <w:p w:rsidR="001153F1" w:rsidRPr="00282AC9" w:rsidRDefault="001153F1" w:rsidP="007051D6">
      <w:pPr>
        <w:rPr>
          <w:sz w:val="27"/>
          <w:rtl/>
        </w:rPr>
      </w:pPr>
      <w:r w:rsidRPr="00282AC9">
        <w:rPr>
          <w:rFonts w:hint="cs"/>
          <w:sz w:val="27"/>
          <w:rtl/>
        </w:rPr>
        <w:t>كما قلنا في بداية الكلام</w:t>
      </w:r>
      <w:r w:rsidR="00EF524A" w:rsidRPr="00282AC9">
        <w:rPr>
          <w:rFonts w:hint="cs"/>
          <w:sz w:val="27"/>
          <w:rtl/>
        </w:rPr>
        <w:t>:</w:t>
      </w:r>
      <w:r w:rsidRPr="00282AC9">
        <w:rPr>
          <w:rFonts w:hint="cs"/>
          <w:sz w:val="27"/>
          <w:rtl/>
        </w:rPr>
        <w:t xml:space="preserve"> بعض هذه النصوص يشتمل على الأوامر والنواهي</w:t>
      </w:r>
      <w:r w:rsidR="00EF524A" w:rsidRPr="00282AC9">
        <w:rPr>
          <w:rFonts w:hint="cs"/>
          <w:sz w:val="27"/>
          <w:rtl/>
        </w:rPr>
        <w:t>،</w:t>
      </w:r>
      <w:r w:rsidRPr="00282AC9">
        <w:rPr>
          <w:rFonts w:hint="cs"/>
          <w:sz w:val="27"/>
          <w:rtl/>
        </w:rPr>
        <w:t xml:space="preserve"> ممّا يساعد على استنتاج الأحكام الشرعي</w:t>
      </w:r>
      <w:r w:rsidR="00EF524A" w:rsidRPr="00282AC9">
        <w:rPr>
          <w:rFonts w:hint="cs"/>
          <w:sz w:val="27"/>
          <w:rtl/>
        </w:rPr>
        <w:t>ّ</w:t>
      </w:r>
      <w:r w:rsidRPr="00282AC9">
        <w:rPr>
          <w:rFonts w:hint="cs"/>
          <w:sz w:val="27"/>
          <w:rtl/>
        </w:rPr>
        <w:t>ة والقانونية منها</w:t>
      </w:r>
      <w:r w:rsidR="00EF524A" w:rsidRPr="00282AC9">
        <w:rPr>
          <w:rFonts w:hint="cs"/>
          <w:sz w:val="27"/>
          <w:rtl/>
        </w:rPr>
        <w:t>.</w:t>
      </w:r>
      <w:r w:rsidRPr="00282AC9">
        <w:rPr>
          <w:rFonts w:hint="cs"/>
          <w:sz w:val="27"/>
          <w:rtl/>
        </w:rPr>
        <w:t xml:space="preserve"> وذكرنا هناك سبع روايات في هذا القسم</w:t>
      </w:r>
      <w:r w:rsidR="00EF524A" w:rsidRPr="00282AC9">
        <w:rPr>
          <w:rFonts w:hint="cs"/>
          <w:sz w:val="27"/>
          <w:rtl/>
        </w:rPr>
        <w:t>؛</w:t>
      </w:r>
      <w:r w:rsidRPr="00282AC9">
        <w:rPr>
          <w:rFonts w:hint="cs"/>
          <w:sz w:val="27"/>
          <w:rtl/>
        </w:rPr>
        <w:t xml:space="preserve"> </w:t>
      </w:r>
      <w:r w:rsidR="00EF524A" w:rsidRPr="00282AC9">
        <w:rPr>
          <w:rFonts w:hint="cs"/>
          <w:sz w:val="27"/>
          <w:rtl/>
        </w:rPr>
        <w:t>ا</w:t>
      </w:r>
      <w:r w:rsidRPr="00282AC9">
        <w:rPr>
          <w:rFonts w:hint="cs"/>
          <w:sz w:val="27"/>
          <w:rtl/>
        </w:rPr>
        <w:t>ثن</w:t>
      </w:r>
      <w:r w:rsidR="00EF524A" w:rsidRPr="00282AC9">
        <w:rPr>
          <w:rFonts w:hint="cs"/>
          <w:sz w:val="27"/>
          <w:rtl/>
        </w:rPr>
        <w:t>ت</w:t>
      </w:r>
      <w:r w:rsidRPr="00282AC9">
        <w:rPr>
          <w:rFonts w:hint="cs"/>
          <w:sz w:val="27"/>
          <w:rtl/>
        </w:rPr>
        <w:t>ان منها صحيح</w:t>
      </w:r>
      <w:r w:rsidR="00EF524A" w:rsidRPr="00282AC9">
        <w:rPr>
          <w:rFonts w:hint="cs"/>
          <w:sz w:val="27"/>
          <w:rtl/>
        </w:rPr>
        <w:t>ة</w:t>
      </w:r>
      <w:r w:rsidRPr="00282AC9">
        <w:rPr>
          <w:rFonts w:hint="cs"/>
          <w:sz w:val="27"/>
          <w:rtl/>
        </w:rPr>
        <w:t xml:space="preserve"> السند، تستخدم </w:t>
      </w:r>
      <w:r w:rsidRPr="00282AC9">
        <w:rPr>
          <w:sz w:val="27"/>
          <w:rtl/>
        </w:rPr>
        <w:t>تعبير النهي</w:t>
      </w:r>
      <w:r w:rsidR="00EF524A" w:rsidRPr="00282AC9">
        <w:rPr>
          <w:rFonts w:hint="cs"/>
          <w:sz w:val="27"/>
          <w:rtl/>
        </w:rPr>
        <w:t>.</w:t>
      </w:r>
      <w:r w:rsidRPr="00282AC9">
        <w:rPr>
          <w:rFonts w:hint="cs"/>
          <w:sz w:val="27"/>
          <w:rtl/>
        </w:rPr>
        <w:t xml:space="preserve"> والسؤال هنا: </w:t>
      </w:r>
      <w:r w:rsidRPr="00282AC9">
        <w:rPr>
          <w:sz w:val="27"/>
          <w:rtl/>
        </w:rPr>
        <w:t>ما هو الموجب لحمل هذا الن</w:t>
      </w:r>
      <w:r w:rsidR="00EF524A" w:rsidRPr="00282AC9">
        <w:rPr>
          <w:rFonts w:hint="cs"/>
          <w:sz w:val="27"/>
          <w:rtl/>
        </w:rPr>
        <w:t>َّ</w:t>
      </w:r>
      <w:r w:rsidRPr="00282AC9">
        <w:rPr>
          <w:sz w:val="27"/>
          <w:rtl/>
        </w:rPr>
        <w:t>ه</w:t>
      </w:r>
      <w:r w:rsidR="00EF524A" w:rsidRPr="00282AC9">
        <w:rPr>
          <w:rFonts w:hint="cs"/>
          <w:sz w:val="27"/>
          <w:rtl/>
        </w:rPr>
        <w:t>ْ</w:t>
      </w:r>
      <w:r w:rsidRPr="00282AC9">
        <w:rPr>
          <w:sz w:val="27"/>
          <w:rtl/>
        </w:rPr>
        <w:t>ي على الكراهة</w:t>
      </w:r>
      <w:r w:rsidR="00EF524A" w:rsidRPr="00282AC9">
        <w:rPr>
          <w:rFonts w:hint="cs"/>
          <w:sz w:val="27"/>
          <w:rtl/>
        </w:rPr>
        <w:t>،</w:t>
      </w:r>
      <w:r w:rsidRPr="00282AC9">
        <w:rPr>
          <w:sz w:val="27"/>
          <w:rtl/>
        </w:rPr>
        <w:t xml:space="preserve"> مع أنه لا معارض له</w:t>
      </w:r>
      <w:r w:rsidRPr="00282AC9">
        <w:rPr>
          <w:rFonts w:hint="cs"/>
          <w:sz w:val="27"/>
          <w:rtl/>
        </w:rPr>
        <w:t>؟</w:t>
      </w:r>
      <w:r w:rsidRPr="00282AC9">
        <w:rPr>
          <w:sz w:val="27"/>
          <w:rtl/>
        </w:rPr>
        <w:t xml:space="preserve"> ليس هناك روايات</w:t>
      </w:r>
      <w:r w:rsidR="00EF524A" w:rsidRPr="00282AC9">
        <w:rPr>
          <w:rFonts w:hint="cs"/>
          <w:sz w:val="27"/>
          <w:rtl/>
        </w:rPr>
        <w:t>ٌ</w:t>
      </w:r>
      <w:r w:rsidRPr="00282AC9">
        <w:rPr>
          <w:sz w:val="27"/>
          <w:rtl/>
        </w:rPr>
        <w:t xml:space="preserve"> </w:t>
      </w:r>
      <w:r w:rsidRPr="00282AC9">
        <w:rPr>
          <w:rFonts w:hint="cs"/>
          <w:sz w:val="27"/>
          <w:rtl/>
        </w:rPr>
        <w:t>تأمر بالزواج من المرأة العقيم</w:t>
      </w:r>
      <w:r w:rsidR="00EF524A" w:rsidRPr="00282AC9">
        <w:rPr>
          <w:rFonts w:hint="cs"/>
          <w:sz w:val="27"/>
          <w:rtl/>
        </w:rPr>
        <w:t>؛</w:t>
      </w:r>
      <w:r w:rsidRPr="00282AC9">
        <w:rPr>
          <w:rFonts w:hint="cs"/>
          <w:sz w:val="27"/>
          <w:rtl/>
        </w:rPr>
        <w:t xml:space="preserve"> لكي ن</w:t>
      </w:r>
      <w:r w:rsidRPr="00282AC9">
        <w:rPr>
          <w:sz w:val="27"/>
          <w:rtl/>
        </w:rPr>
        <w:t>حمل الن</w:t>
      </w:r>
      <w:r w:rsidR="00EF524A" w:rsidRPr="00282AC9">
        <w:rPr>
          <w:rFonts w:hint="cs"/>
          <w:sz w:val="27"/>
          <w:rtl/>
        </w:rPr>
        <w:t>َّ</w:t>
      </w:r>
      <w:r w:rsidRPr="00282AC9">
        <w:rPr>
          <w:sz w:val="27"/>
          <w:rtl/>
        </w:rPr>
        <w:t>ه</w:t>
      </w:r>
      <w:r w:rsidR="00EF524A" w:rsidRPr="00282AC9">
        <w:rPr>
          <w:rFonts w:hint="cs"/>
          <w:sz w:val="27"/>
          <w:rtl/>
        </w:rPr>
        <w:t>ْ</w:t>
      </w:r>
      <w:r w:rsidRPr="00282AC9">
        <w:rPr>
          <w:sz w:val="27"/>
          <w:rtl/>
        </w:rPr>
        <w:t>ي على الكراهة</w:t>
      </w:r>
      <w:r w:rsidRPr="00282AC9">
        <w:rPr>
          <w:rFonts w:hint="cs"/>
          <w:sz w:val="27"/>
          <w:rtl/>
        </w:rPr>
        <w:t>،</w:t>
      </w:r>
      <w:r w:rsidRPr="00282AC9">
        <w:rPr>
          <w:sz w:val="27"/>
          <w:rtl/>
        </w:rPr>
        <w:t xml:space="preserve"> </w:t>
      </w:r>
      <w:r w:rsidRPr="00282AC9">
        <w:rPr>
          <w:rFonts w:hint="cs"/>
          <w:sz w:val="27"/>
          <w:rtl/>
        </w:rPr>
        <w:t>و</w:t>
      </w:r>
      <w:r w:rsidRPr="00282AC9">
        <w:rPr>
          <w:sz w:val="27"/>
          <w:rtl/>
        </w:rPr>
        <w:t>إن</w:t>
      </w:r>
      <w:r w:rsidRPr="00282AC9">
        <w:rPr>
          <w:rFonts w:hint="cs"/>
          <w:sz w:val="27"/>
          <w:rtl/>
        </w:rPr>
        <w:t>ّ</w:t>
      </w:r>
      <w:r w:rsidRPr="00282AC9">
        <w:rPr>
          <w:sz w:val="27"/>
          <w:rtl/>
        </w:rPr>
        <w:t>ما المعارض ه</w:t>
      </w:r>
      <w:r w:rsidR="00EF524A" w:rsidRPr="00282AC9">
        <w:rPr>
          <w:rFonts w:hint="cs"/>
          <w:sz w:val="27"/>
          <w:rtl/>
        </w:rPr>
        <w:t>و</w:t>
      </w:r>
      <w:r w:rsidRPr="00282AC9">
        <w:rPr>
          <w:sz w:val="27"/>
          <w:rtl/>
        </w:rPr>
        <w:t xml:space="preserve"> العمومات</w:t>
      </w:r>
      <w:r w:rsidR="00EF524A" w:rsidRPr="00282AC9">
        <w:rPr>
          <w:rFonts w:hint="cs"/>
          <w:sz w:val="27"/>
          <w:rtl/>
        </w:rPr>
        <w:t>،</w:t>
      </w:r>
      <w:r w:rsidRPr="00282AC9">
        <w:rPr>
          <w:sz w:val="27"/>
          <w:rtl/>
        </w:rPr>
        <w:t xml:space="preserve"> فينبغي تخصيصها</w:t>
      </w:r>
      <w:r w:rsidRPr="00282AC9">
        <w:rPr>
          <w:rFonts w:hint="cs"/>
          <w:sz w:val="27"/>
          <w:rtl/>
        </w:rPr>
        <w:t>.</w:t>
      </w:r>
    </w:p>
    <w:p w:rsidR="001153F1" w:rsidRPr="00282AC9" w:rsidRDefault="001153F1" w:rsidP="007051D6">
      <w:pPr>
        <w:rPr>
          <w:sz w:val="27"/>
          <w:rtl/>
        </w:rPr>
      </w:pPr>
      <w:r w:rsidRPr="00282AC9">
        <w:rPr>
          <w:rFonts w:hint="cs"/>
          <w:sz w:val="27"/>
          <w:rtl/>
        </w:rPr>
        <w:t>قد يكون المستند في ذلك التعليل الوارد فيها</w:t>
      </w:r>
      <w:r w:rsidR="00EF524A" w:rsidRPr="00282AC9">
        <w:rPr>
          <w:rFonts w:hint="cs"/>
          <w:sz w:val="27"/>
          <w:rtl/>
        </w:rPr>
        <w:t>،</w:t>
      </w:r>
      <w:r w:rsidRPr="00282AC9">
        <w:rPr>
          <w:rFonts w:hint="cs"/>
          <w:sz w:val="27"/>
          <w:rtl/>
        </w:rPr>
        <w:t xml:space="preserve"> حيث لا يتناسب مع الإلزام</w:t>
      </w:r>
      <w:r w:rsidR="00EF524A" w:rsidRPr="00282AC9">
        <w:rPr>
          <w:rFonts w:hint="cs"/>
          <w:sz w:val="27"/>
          <w:rtl/>
        </w:rPr>
        <w:t>.</w:t>
      </w:r>
      <w:r w:rsidRPr="00282AC9">
        <w:rPr>
          <w:rFonts w:hint="cs"/>
          <w:sz w:val="27"/>
          <w:rtl/>
        </w:rPr>
        <w:t xml:space="preserve"> إنّ هذه الروايات تعلّ</w:t>
      </w:r>
      <w:r w:rsidR="00EF524A" w:rsidRPr="00282AC9">
        <w:rPr>
          <w:rFonts w:hint="cs"/>
          <w:sz w:val="27"/>
          <w:rtl/>
        </w:rPr>
        <w:t>ِ</w:t>
      </w:r>
      <w:r w:rsidRPr="00282AC9">
        <w:rPr>
          <w:rFonts w:hint="cs"/>
          <w:sz w:val="27"/>
          <w:rtl/>
        </w:rPr>
        <w:t>ل هذا الحكم في الغالب بمسألة الن</w:t>
      </w:r>
      <w:r w:rsidR="00EF524A" w:rsidRPr="00282AC9">
        <w:rPr>
          <w:rFonts w:hint="cs"/>
          <w:sz w:val="27"/>
          <w:rtl/>
        </w:rPr>
        <w:t>َّ</w:t>
      </w:r>
      <w:r w:rsidRPr="00282AC9">
        <w:rPr>
          <w:rFonts w:hint="cs"/>
          <w:sz w:val="27"/>
          <w:rtl/>
        </w:rPr>
        <w:t>س</w:t>
      </w:r>
      <w:r w:rsidR="00EF524A" w:rsidRPr="00282AC9">
        <w:rPr>
          <w:rFonts w:hint="cs"/>
          <w:sz w:val="27"/>
          <w:rtl/>
        </w:rPr>
        <w:t>ْ</w:t>
      </w:r>
      <w:r w:rsidRPr="00282AC9">
        <w:rPr>
          <w:rFonts w:hint="cs"/>
          <w:sz w:val="27"/>
          <w:rtl/>
        </w:rPr>
        <w:t xml:space="preserve">ل، ونحن نعلم من الخارج أنّ تكثير النسل ليس واجباً </w:t>
      </w:r>
      <w:r w:rsidR="00EF524A" w:rsidRPr="00282AC9">
        <w:rPr>
          <w:rFonts w:hint="cs"/>
          <w:sz w:val="27"/>
          <w:rtl/>
        </w:rPr>
        <w:t xml:space="preserve">في نفسه </w:t>
      </w:r>
      <w:r w:rsidRPr="00282AC9">
        <w:rPr>
          <w:rFonts w:hint="cs"/>
          <w:sz w:val="27"/>
          <w:rtl/>
        </w:rPr>
        <w:t>على الجميع، وإلا</w:t>
      </w:r>
      <w:r w:rsidR="00EF524A" w:rsidRPr="00282AC9">
        <w:rPr>
          <w:rFonts w:hint="cs"/>
          <w:sz w:val="27"/>
          <w:rtl/>
        </w:rPr>
        <w:t>ّ</w:t>
      </w:r>
      <w:r w:rsidRPr="00282AC9">
        <w:rPr>
          <w:rFonts w:hint="cs"/>
          <w:sz w:val="27"/>
          <w:rtl/>
        </w:rPr>
        <w:t xml:space="preserve"> كان أصل الزواج واجباً عيني</w:t>
      </w:r>
      <w:r w:rsidR="00EF524A" w:rsidRPr="00282AC9">
        <w:rPr>
          <w:rFonts w:hint="cs"/>
          <w:sz w:val="27"/>
          <w:rtl/>
        </w:rPr>
        <w:t>ّ</w:t>
      </w:r>
      <w:r w:rsidRPr="00282AC9">
        <w:rPr>
          <w:rFonts w:hint="cs"/>
          <w:sz w:val="27"/>
          <w:rtl/>
        </w:rPr>
        <w:t>اً. فهذه قرينة</w:t>
      </w:r>
      <w:r w:rsidR="00EF524A" w:rsidRPr="00282AC9">
        <w:rPr>
          <w:rFonts w:hint="cs"/>
          <w:sz w:val="27"/>
          <w:rtl/>
        </w:rPr>
        <w:t>ٌ</w:t>
      </w:r>
      <w:r w:rsidRPr="00282AC9">
        <w:rPr>
          <w:rFonts w:hint="cs"/>
          <w:sz w:val="27"/>
          <w:rtl/>
        </w:rPr>
        <w:t xml:space="preserve"> على عدم إرادة الحرمة من الن</w:t>
      </w:r>
      <w:r w:rsidR="00EF524A" w:rsidRPr="00282AC9">
        <w:rPr>
          <w:rFonts w:hint="cs"/>
          <w:sz w:val="27"/>
          <w:rtl/>
        </w:rPr>
        <w:t>َّ</w:t>
      </w:r>
      <w:r w:rsidRPr="00282AC9">
        <w:rPr>
          <w:rFonts w:hint="cs"/>
          <w:sz w:val="27"/>
          <w:rtl/>
        </w:rPr>
        <w:t>ه</w:t>
      </w:r>
      <w:r w:rsidR="00EF524A" w:rsidRPr="00282AC9">
        <w:rPr>
          <w:rFonts w:hint="cs"/>
          <w:sz w:val="27"/>
          <w:rtl/>
        </w:rPr>
        <w:t>ْ</w:t>
      </w:r>
      <w:r w:rsidRPr="00282AC9">
        <w:rPr>
          <w:rFonts w:hint="cs"/>
          <w:sz w:val="27"/>
          <w:rtl/>
        </w:rPr>
        <w:t>ي هنا</w:t>
      </w:r>
      <w:r w:rsidR="00EF524A" w:rsidRPr="00282AC9">
        <w:rPr>
          <w:rFonts w:hint="cs"/>
          <w:sz w:val="27"/>
          <w:rtl/>
        </w:rPr>
        <w:t>،</w:t>
      </w:r>
      <w:r w:rsidRPr="00282AC9">
        <w:rPr>
          <w:rFonts w:hint="cs"/>
          <w:sz w:val="27"/>
          <w:rtl/>
        </w:rPr>
        <w:t xml:space="preserve"> وكذلك عدم إرادة الوجوب من الأمر بالزواج من المرأة الولود. </w:t>
      </w:r>
    </w:p>
    <w:p w:rsidR="001153F1" w:rsidRPr="00282AC9" w:rsidRDefault="001153F1" w:rsidP="00AE54C9">
      <w:pPr>
        <w:spacing w:line="410" w:lineRule="exact"/>
        <w:rPr>
          <w:rFonts w:ascii="Mosawi" w:hAnsi="Mosawi"/>
          <w:sz w:val="27"/>
          <w:rtl/>
        </w:rPr>
      </w:pPr>
      <w:r w:rsidRPr="00282AC9">
        <w:rPr>
          <w:rFonts w:ascii="Mosawi" w:hAnsi="Mosawi"/>
          <w:sz w:val="27"/>
          <w:rtl/>
        </w:rPr>
        <w:t>ولعل</w:t>
      </w:r>
      <w:r w:rsidRPr="00282AC9">
        <w:rPr>
          <w:rFonts w:ascii="Mosawi" w:hAnsi="Mosawi" w:hint="cs"/>
          <w:sz w:val="27"/>
          <w:rtl/>
        </w:rPr>
        <w:t>ّ الفقهاء استندوا في ذلك لقيام</w:t>
      </w:r>
      <w:r w:rsidRPr="00282AC9">
        <w:rPr>
          <w:rFonts w:ascii="Mosawi" w:hAnsi="Mosawi"/>
          <w:sz w:val="27"/>
          <w:rtl/>
        </w:rPr>
        <w:t xml:space="preserve"> سيرة المتشر</w:t>
      </w:r>
      <w:r w:rsidR="00EF524A" w:rsidRPr="00282AC9">
        <w:rPr>
          <w:rFonts w:ascii="Mosawi" w:hAnsi="Mosawi" w:hint="cs"/>
          <w:sz w:val="27"/>
          <w:rtl/>
        </w:rPr>
        <w:t>ِّ</w:t>
      </w:r>
      <w:r w:rsidRPr="00282AC9">
        <w:rPr>
          <w:rFonts w:ascii="Mosawi" w:hAnsi="Mosawi"/>
          <w:sz w:val="27"/>
          <w:rtl/>
        </w:rPr>
        <w:t xml:space="preserve">عة على </w:t>
      </w:r>
      <w:r w:rsidR="00EF524A" w:rsidRPr="00282AC9">
        <w:rPr>
          <w:rFonts w:ascii="Mosawi" w:hAnsi="Mosawi" w:hint="cs"/>
          <w:sz w:val="27"/>
          <w:rtl/>
        </w:rPr>
        <w:t xml:space="preserve">عدم </w:t>
      </w:r>
      <w:r w:rsidRPr="00282AC9">
        <w:rPr>
          <w:rFonts w:ascii="Mosawi" w:hAnsi="Mosawi"/>
          <w:sz w:val="27"/>
          <w:rtl/>
        </w:rPr>
        <w:t>الزواج من المرأة العاقر، فاعتبروا أن تلك قرينة</w:t>
      </w:r>
      <w:r w:rsidR="00EF524A" w:rsidRPr="00282AC9">
        <w:rPr>
          <w:rFonts w:ascii="Mosawi" w:hAnsi="Mosawi" w:hint="cs"/>
          <w:sz w:val="27"/>
          <w:rtl/>
        </w:rPr>
        <w:t>ٌ</w:t>
      </w:r>
      <w:r w:rsidRPr="00282AC9">
        <w:rPr>
          <w:rFonts w:ascii="Mosawi" w:hAnsi="Mosawi"/>
          <w:sz w:val="27"/>
          <w:rtl/>
        </w:rPr>
        <w:t xml:space="preserve"> على </w:t>
      </w:r>
      <w:r w:rsidR="003E30AC" w:rsidRPr="00282AC9">
        <w:rPr>
          <w:rFonts w:ascii="Mosawi" w:hAnsi="Mosawi" w:hint="cs"/>
          <w:sz w:val="27"/>
          <w:rtl/>
        </w:rPr>
        <w:t>استفادة</w:t>
      </w:r>
      <w:r w:rsidRPr="00282AC9">
        <w:rPr>
          <w:rFonts w:ascii="Mosawi" w:hAnsi="Mosawi"/>
          <w:sz w:val="27"/>
          <w:rtl/>
        </w:rPr>
        <w:t xml:space="preserve"> </w:t>
      </w:r>
      <w:r w:rsidR="003E30AC" w:rsidRPr="00282AC9">
        <w:rPr>
          <w:rFonts w:ascii="Mosawi" w:hAnsi="Mosawi" w:hint="cs"/>
          <w:sz w:val="27"/>
          <w:rtl/>
        </w:rPr>
        <w:t>الكراهة والاستحباب</w:t>
      </w:r>
      <w:r w:rsidR="003E30AC" w:rsidRPr="00282AC9">
        <w:rPr>
          <w:rFonts w:ascii="Mosawi" w:hAnsi="Mosawi"/>
          <w:sz w:val="27"/>
          <w:rtl/>
        </w:rPr>
        <w:t xml:space="preserve"> </w:t>
      </w:r>
      <w:r w:rsidR="003E30AC" w:rsidRPr="00282AC9">
        <w:rPr>
          <w:rFonts w:ascii="Mosawi" w:hAnsi="Mosawi" w:hint="cs"/>
          <w:sz w:val="27"/>
          <w:rtl/>
        </w:rPr>
        <w:t xml:space="preserve">من </w:t>
      </w:r>
      <w:r w:rsidRPr="00282AC9">
        <w:rPr>
          <w:rFonts w:ascii="Mosawi" w:hAnsi="Mosawi"/>
          <w:sz w:val="27"/>
          <w:rtl/>
        </w:rPr>
        <w:t>هذا النوع من الروايات</w:t>
      </w:r>
      <w:r w:rsidRPr="00282AC9">
        <w:rPr>
          <w:rFonts w:ascii="Mosawi" w:hAnsi="Mosawi" w:hint="cs"/>
          <w:sz w:val="27"/>
          <w:rtl/>
        </w:rPr>
        <w:t xml:space="preserve">. </w:t>
      </w:r>
    </w:p>
    <w:p w:rsidR="001153F1" w:rsidRPr="00282AC9" w:rsidRDefault="001153F1" w:rsidP="007051D6">
      <w:pPr>
        <w:pStyle w:val="afc"/>
        <w:rPr>
          <w:rFonts w:ascii="Mosawi" w:hAnsi="Mosawi" w:cs="AL-Mohanad"/>
          <w:sz w:val="27"/>
          <w:szCs w:val="27"/>
          <w:rtl/>
          <w:lang w:bidi="fa-IR"/>
        </w:rPr>
      </w:pPr>
      <w:r w:rsidRPr="00282AC9">
        <w:rPr>
          <w:rFonts w:ascii="Mosawi" w:hAnsi="Mosawi" w:cs="AL-Mohanad"/>
          <w:sz w:val="27"/>
          <w:szCs w:val="27"/>
          <w:rtl/>
        </w:rPr>
        <w:lastRenderedPageBreak/>
        <w:t>ولعل</w:t>
      </w:r>
      <w:r w:rsidR="003E30AC" w:rsidRPr="00282AC9">
        <w:rPr>
          <w:rFonts w:ascii="Mosawi" w:hAnsi="Mosawi" w:cs="AL-Mohanad" w:hint="cs"/>
          <w:sz w:val="27"/>
          <w:szCs w:val="27"/>
          <w:rtl/>
        </w:rPr>
        <w:t>ّ</w:t>
      </w:r>
      <w:r w:rsidRPr="00282AC9">
        <w:rPr>
          <w:rFonts w:ascii="Mosawi" w:hAnsi="Mosawi" w:cs="AL-Mohanad"/>
          <w:sz w:val="27"/>
          <w:szCs w:val="27"/>
          <w:rtl/>
        </w:rPr>
        <w:t xml:space="preserve"> المستند في ذلك بعض القرائن الموجودة في نفس </w:t>
      </w:r>
      <w:r w:rsidR="003E30AC" w:rsidRPr="00282AC9">
        <w:rPr>
          <w:rFonts w:ascii="Mosawi" w:hAnsi="Mosawi" w:cs="AL-Mohanad"/>
          <w:sz w:val="27"/>
          <w:szCs w:val="27"/>
          <w:rtl/>
        </w:rPr>
        <w:t>هذه الروايات</w:t>
      </w:r>
      <w:r w:rsidRPr="00282AC9">
        <w:rPr>
          <w:rFonts w:ascii="Mosawi" w:hAnsi="Mosawi" w:cs="AL-Mohanad"/>
          <w:sz w:val="27"/>
          <w:szCs w:val="27"/>
          <w:rtl/>
        </w:rPr>
        <w:t>، مثل</w:t>
      </w:r>
      <w:r w:rsidR="003E30AC" w:rsidRPr="00282AC9">
        <w:rPr>
          <w:rFonts w:ascii="Mosawi" w:hAnsi="Mosawi" w:cs="AL-Mohanad" w:hint="cs"/>
          <w:sz w:val="27"/>
          <w:szCs w:val="27"/>
          <w:rtl/>
        </w:rPr>
        <w:t>:</w:t>
      </w:r>
      <w:r w:rsidRPr="00282AC9">
        <w:rPr>
          <w:rFonts w:ascii="Mosawi" w:hAnsi="Mosawi" w:cs="AL-Mohanad"/>
          <w:sz w:val="27"/>
          <w:szCs w:val="27"/>
          <w:rtl/>
        </w:rPr>
        <w:t xml:space="preserve"> صحيحة محمد بن مسلم</w:t>
      </w:r>
      <w:r w:rsidR="003E30AC" w:rsidRPr="00282AC9">
        <w:rPr>
          <w:rFonts w:ascii="Mosawi" w:hAnsi="Mosawi" w:cs="AL-Mohanad" w:hint="cs"/>
          <w:sz w:val="27"/>
          <w:szCs w:val="27"/>
          <w:rtl/>
        </w:rPr>
        <w:t>،</w:t>
      </w:r>
      <w:r w:rsidRPr="00282AC9">
        <w:rPr>
          <w:rFonts w:ascii="Mosawi" w:hAnsi="Mosawi" w:cs="AL-Mohanad"/>
          <w:sz w:val="27"/>
          <w:szCs w:val="27"/>
          <w:rtl/>
        </w:rPr>
        <w:t xml:space="preserve"> حيث جاء فيها: </w:t>
      </w:r>
      <w:r w:rsidRPr="00282AC9">
        <w:rPr>
          <w:rFonts w:ascii="Mosawi" w:hAnsi="Mosawi" w:cs="AL-Mohanad"/>
          <w:rtl/>
        </w:rPr>
        <w:t>«</w:t>
      </w:r>
      <w:r w:rsidRPr="00282AC9">
        <w:rPr>
          <w:rFonts w:ascii="Mosawi" w:hAnsi="Mosawi" w:cs="AL-Mohanad"/>
          <w:sz w:val="27"/>
          <w:szCs w:val="27"/>
          <w:rtl/>
        </w:rPr>
        <w:t>تزو</w:t>
      </w:r>
      <w:r w:rsidRPr="00282AC9">
        <w:rPr>
          <w:rFonts w:ascii="Mosawi" w:hAnsi="Mosawi" w:cs="AL-Mohanad" w:hint="cs"/>
          <w:sz w:val="27"/>
          <w:szCs w:val="27"/>
          <w:rtl/>
        </w:rPr>
        <w:t>ّ</w:t>
      </w:r>
      <w:r w:rsidR="003E30AC" w:rsidRPr="00282AC9">
        <w:rPr>
          <w:rFonts w:ascii="Mosawi" w:hAnsi="Mosawi" w:cs="AL-Mohanad" w:hint="cs"/>
          <w:sz w:val="27"/>
          <w:szCs w:val="27"/>
          <w:rtl/>
        </w:rPr>
        <w:t>َ</w:t>
      </w:r>
      <w:r w:rsidRPr="00282AC9">
        <w:rPr>
          <w:rFonts w:ascii="Mosawi" w:hAnsi="Mosawi" w:cs="AL-Mohanad"/>
          <w:sz w:val="27"/>
          <w:szCs w:val="27"/>
          <w:rtl/>
        </w:rPr>
        <w:t>جوا ب</w:t>
      </w:r>
      <w:r w:rsidR="003E30AC" w:rsidRPr="00282AC9">
        <w:rPr>
          <w:rFonts w:ascii="Mosawi" w:hAnsi="Mosawi" w:cs="AL-Mohanad" w:hint="cs"/>
          <w:sz w:val="27"/>
          <w:szCs w:val="27"/>
          <w:rtl/>
        </w:rPr>
        <w:t>ِ</w:t>
      </w:r>
      <w:r w:rsidRPr="00282AC9">
        <w:rPr>
          <w:rFonts w:ascii="Mosawi" w:hAnsi="Mosawi" w:cs="AL-Mohanad"/>
          <w:sz w:val="27"/>
          <w:szCs w:val="27"/>
          <w:rtl/>
        </w:rPr>
        <w:t>ك</w:t>
      </w:r>
      <w:r w:rsidR="003E30AC" w:rsidRPr="00282AC9">
        <w:rPr>
          <w:rFonts w:ascii="Mosawi" w:hAnsi="Mosawi" w:cs="AL-Mohanad" w:hint="cs"/>
          <w:sz w:val="27"/>
          <w:szCs w:val="27"/>
          <w:rtl/>
        </w:rPr>
        <w:t>ْ</w:t>
      </w:r>
      <w:r w:rsidRPr="00282AC9">
        <w:rPr>
          <w:rFonts w:ascii="Mosawi" w:hAnsi="Mosawi" w:cs="AL-Mohanad"/>
          <w:sz w:val="27"/>
          <w:szCs w:val="27"/>
          <w:rtl/>
        </w:rPr>
        <w:t>را</w:t>
      </w:r>
      <w:r w:rsidRPr="00282AC9">
        <w:rPr>
          <w:rFonts w:ascii="Mosawi" w:hAnsi="Mosawi" w:cs="AL-Mohanad" w:hint="cs"/>
          <w:sz w:val="27"/>
          <w:szCs w:val="27"/>
          <w:rtl/>
        </w:rPr>
        <w:t>ً</w:t>
      </w:r>
      <w:r w:rsidRPr="00282AC9">
        <w:rPr>
          <w:rFonts w:ascii="Mosawi" w:hAnsi="Mosawi" w:cs="AL-Mohanad"/>
          <w:sz w:val="27"/>
          <w:szCs w:val="27"/>
          <w:rtl/>
        </w:rPr>
        <w:t xml:space="preserve"> و</w:t>
      </w:r>
      <w:r w:rsidR="003E30AC" w:rsidRPr="00282AC9">
        <w:rPr>
          <w:rFonts w:ascii="Mosawi" w:hAnsi="Mosawi" w:cs="AL-Mohanad" w:hint="cs"/>
          <w:sz w:val="27"/>
          <w:szCs w:val="27"/>
          <w:rtl/>
        </w:rPr>
        <w:t>َ</w:t>
      </w:r>
      <w:r w:rsidRPr="00282AC9">
        <w:rPr>
          <w:rFonts w:ascii="Mosawi" w:hAnsi="Mosawi" w:cs="AL-Mohanad"/>
          <w:sz w:val="27"/>
          <w:szCs w:val="27"/>
          <w:rtl/>
        </w:rPr>
        <w:t>ل</w:t>
      </w:r>
      <w:r w:rsidR="003E30AC" w:rsidRPr="00282AC9">
        <w:rPr>
          <w:rFonts w:ascii="Mosawi" w:hAnsi="Mosawi" w:cs="AL-Mohanad" w:hint="cs"/>
          <w:sz w:val="27"/>
          <w:szCs w:val="27"/>
          <w:rtl/>
        </w:rPr>
        <w:t>ُ</w:t>
      </w:r>
      <w:r w:rsidRPr="00282AC9">
        <w:rPr>
          <w:rFonts w:ascii="Mosawi" w:hAnsi="Mosawi" w:cs="AL-Mohanad"/>
          <w:sz w:val="27"/>
          <w:szCs w:val="27"/>
          <w:rtl/>
        </w:rPr>
        <w:t>ودا</w:t>
      </w:r>
      <w:r w:rsidRPr="00282AC9">
        <w:rPr>
          <w:rFonts w:ascii="Mosawi" w:hAnsi="Mosawi" w:cs="AL-Mohanad" w:hint="cs"/>
          <w:sz w:val="27"/>
          <w:szCs w:val="27"/>
          <w:rtl/>
        </w:rPr>
        <w:t>ً</w:t>
      </w:r>
      <w:r w:rsidRPr="00282AC9">
        <w:rPr>
          <w:rFonts w:ascii="Mosawi" w:hAnsi="Mosawi" w:cs="AL-Mohanad"/>
          <w:rtl/>
        </w:rPr>
        <w:t>»</w:t>
      </w:r>
      <w:r w:rsidR="003E30AC" w:rsidRPr="00282AC9">
        <w:rPr>
          <w:rFonts w:ascii="Mosawi" w:hAnsi="Mosawi" w:cs="AL-Mohanad" w:hint="cs"/>
          <w:sz w:val="27"/>
          <w:szCs w:val="27"/>
          <w:rtl/>
        </w:rPr>
        <w:t>،</w:t>
      </w:r>
      <w:r w:rsidRPr="00282AC9">
        <w:rPr>
          <w:rFonts w:ascii="Mosawi" w:hAnsi="Mosawi" w:cs="AL-Mohanad"/>
          <w:sz w:val="27"/>
          <w:szCs w:val="27"/>
          <w:rtl/>
        </w:rPr>
        <w:t xml:space="preserve"> مع أنه لا يجب الزواج من الب</w:t>
      </w:r>
      <w:r w:rsidR="003E30AC" w:rsidRPr="00282AC9">
        <w:rPr>
          <w:rFonts w:ascii="Mosawi" w:hAnsi="Mosawi" w:cs="AL-Mohanad" w:hint="cs"/>
          <w:sz w:val="27"/>
          <w:szCs w:val="27"/>
          <w:rtl/>
        </w:rPr>
        <w:t>ِ</w:t>
      </w:r>
      <w:r w:rsidRPr="00282AC9">
        <w:rPr>
          <w:rFonts w:ascii="Mosawi" w:hAnsi="Mosawi" w:cs="AL-Mohanad"/>
          <w:sz w:val="27"/>
          <w:szCs w:val="27"/>
          <w:rtl/>
        </w:rPr>
        <w:t>ك</w:t>
      </w:r>
      <w:r w:rsidR="003E30AC" w:rsidRPr="00282AC9">
        <w:rPr>
          <w:rFonts w:ascii="Mosawi" w:hAnsi="Mosawi" w:cs="AL-Mohanad" w:hint="cs"/>
          <w:sz w:val="27"/>
          <w:szCs w:val="27"/>
          <w:rtl/>
        </w:rPr>
        <w:t>ْ</w:t>
      </w:r>
      <w:r w:rsidRPr="00282AC9">
        <w:rPr>
          <w:rFonts w:ascii="Mosawi" w:hAnsi="Mosawi" w:cs="AL-Mohanad"/>
          <w:sz w:val="27"/>
          <w:szCs w:val="27"/>
          <w:rtl/>
        </w:rPr>
        <w:t>ر الو</w:t>
      </w:r>
      <w:r w:rsidR="003E30AC" w:rsidRPr="00282AC9">
        <w:rPr>
          <w:rFonts w:ascii="Mosawi" w:hAnsi="Mosawi" w:cs="AL-Mohanad" w:hint="cs"/>
          <w:sz w:val="27"/>
          <w:szCs w:val="27"/>
          <w:rtl/>
        </w:rPr>
        <w:t>َ</w:t>
      </w:r>
      <w:r w:rsidRPr="00282AC9">
        <w:rPr>
          <w:rFonts w:ascii="Mosawi" w:hAnsi="Mosawi" w:cs="AL-Mohanad"/>
          <w:sz w:val="27"/>
          <w:szCs w:val="27"/>
          <w:rtl/>
        </w:rPr>
        <w:t>لود</w:t>
      </w:r>
      <w:r w:rsidR="003E30AC" w:rsidRPr="00282AC9">
        <w:rPr>
          <w:rFonts w:ascii="Mosawi" w:hAnsi="Mosawi" w:cs="AL-Mohanad" w:hint="cs"/>
          <w:sz w:val="27"/>
          <w:szCs w:val="27"/>
          <w:rtl/>
        </w:rPr>
        <w:t>.</w:t>
      </w:r>
      <w:r w:rsidRPr="00282AC9">
        <w:rPr>
          <w:rFonts w:ascii="Mosawi" w:hAnsi="Mosawi" w:cs="AL-Mohanad"/>
          <w:sz w:val="27"/>
          <w:szCs w:val="27"/>
          <w:rtl/>
        </w:rPr>
        <w:t xml:space="preserve"> وهذا رسول الله</w:t>
      </w:r>
      <w:r w:rsidR="009A2A04" w:rsidRPr="00282AC9">
        <w:rPr>
          <w:rFonts w:ascii="Mosawi" w:hAnsi="Mosawi" w:cs="Mosawi"/>
          <w:sz w:val="22"/>
          <w:szCs w:val="22"/>
          <w:rtl/>
        </w:rPr>
        <w:t>|</w:t>
      </w:r>
      <w:r w:rsidRPr="00282AC9">
        <w:rPr>
          <w:rFonts w:ascii="Mosawi" w:hAnsi="Mosawi" w:cs="AL-Mohanad"/>
          <w:sz w:val="27"/>
          <w:szCs w:val="27"/>
          <w:rtl/>
        </w:rPr>
        <w:t xml:space="preserve"> قد تزوّ</w:t>
      </w:r>
      <w:r w:rsidR="003E30AC" w:rsidRPr="00282AC9">
        <w:rPr>
          <w:rFonts w:ascii="Mosawi" w:hAnsi="Mosawi" w:cs="AL-Mohanad" w:hint="cs"/>
          <w:sz w:val="27"/>
          <w:szCs w:val="27"/>
          <w:rtl/>
        </w:rPr>
        <w:t>َ</w:t>
      </w:r>
      <w:r w:rsidRPr="00282AC9">
        <w:rPr>
          <w:rFonts w:ascii="Mosawi" w:hAnsi="Mosawi" w:cs="AL-Mohanad"/>
          <w:sz w:val="27"/>
          <w:szCs w:val="27"/>
          <w:rtl/>
        </w:rPr>
        <w:t>ج من الثي</w:t>
      </w:r>
      <w:r w:rsidR="003E30AC" w:rsidRPr="00282AC9">
        <w:rPr>
          <w:rFonts w:ascii="Mosawi" w:hAnsi="Mosawi" w:cs="AL-Mohanad" w:hint="cs"/>
          <w:sz w:val="27"/>
          <w:szCs w:val="27"/>
          <w:rtl/>
        </w:rPr>
        <w:t>ِّ</w:t>
      </w:r>
      <w:r w:rsidRPr="00282AC9">
        <w:rPr>
          <w:rFonts w:ascii="Mosawi" w:hAnsi="Mosawi" w:cs="AL-Mohanad"/>
          <w:sz w:val="27"/>
          <w:szCs w:val="27"/>
          <w:rtl/>
        </w:rPr>
        <w:t>بات أيضاً</w:t>
      </w:r>
      <w:r w:rsidR="003E30AC" w:rsidRPr="00282AC9">
        <w:rPr>
          <w:rFonts w:ascii="Mosawi" w:hAnsi="Mosawi" w:cs="AL-Mohanad" w:hint="cs"/>
          <w:sz w:val="27"/>
          <w:szCs w:val="27"/>
          <w:rtl/>
        </w:rPr>
        <w:t>،</w:t>
      </w:r>
      <w:r w:rsidRPr="00282AC9">
        <w:rPr>
          <w:rFonts w:ascii="Mosawi" w:hAnsi="Mosawi" w:cs="AL-Mohanad" w:hint="cs"/>
          <w:sz w:val="27"/>
          <w:szCs w:val="27"/>
          <w:rtl/>
        </w:rPr>
        <w:t xml:space="preserve"> ولا يجد القرآن الكريم أيّ ض</w:t>
      </w:r>
      <w:r w:rsidR="003E30AC" w:rsidRPr="00282AC9">
        <w:rPr>
          <w:rFonts w:ascii="Mosawi" w:hAnsi="Mosawi" w:cs="AL-Mohanad" w:hint="cs"/>
          <w:sz w:val="27"/>
          <w:szCs w:val="27"/>
          <w:rtl/>
        </w:rPr>
        <w:t>َ</w:t>
      </w:r>
      <w:r w:rsidRPr="00282AC9">
        <w:rPr>
          <w:rFonts w:ascii="Mosawi" w:hAnsi="Mosawi" w:cs="AL-Mohanad" w:hint="cs"/>
          <w:sz w:val="27"/>
          <w:szCs w:val="27"/>
          <w:rtl/>
        </w:rPr>
        <w:t>ي</w:t>
      </w:r>
      <w:r w:rsidR="003E30AC" w:rsidRPr="00282AC9">
        <w:rPr>
          <w:rFonts w:ascii="Mosawi" w:hAnsi="Mosawi" w:cs="AL-Mohanad" w:hint="cs"/>
          <w:sz w:val="27"/>
          <w:szCs w:val="27"/>
          <w:rtl/>
        </w:rPr>
        <w:t>ْ</w:t>
      </w:r>
      <w:r w:rsidRPr="00282AC9">
        <w:rPr>
          <w:rFonts w:ascii="Mosawi" w:hAnsi="Mosawi" w:cs="AL-Mohanad" w:hint="cs"/>
          <w:sz w:val="27"/>
          <w:szCs w:val="27"/>
          <w:rtl/>
        </w:rPr>
        <w:t>ر</w:t>
      </w:r>
      <w:r w:rsidR="003E30AC" w:rsidRPr="00282AC9">
        <w:rPr>
          <w:rFonts w:ascii="Mosawi" w:hAnsi="Mosawi" w:cs="AL-Mohanad" w:hint="cs"/>
          <w:sz w:val="27"/>
          <w:szCs w:val="27"/>
          <w:rtl/>
        </w:rPr>
        <w:t>ٍ</w:t>
      </w:r>
      <w:r w:rsidRPr="00282AC9">
        <w:rPr>
          <w:rFonts w:ascii="Mosawi" w:hAnsi="Mosawi" w:cs="AL-Mohanad" w:hint="cs"/>
          <w:sz w:val="27"/>
          <w:szCs w:val="27"/>
          <w:rtl/>
        </w:rPr>
        <w:t xml:space="preserve"> في الزواج من الثيّ</w:t>
      </w:r>
      <w:r w:rsidR="003E30AC" w:rsidRPr="00282AC9">
        <w:rPr>
          <w:rFonts w:ascii="Mosawi" w:hAnsi="Mosawi" w:cs="AL-Mohanad" w:hint="cs"/>
          <w:sz w:val="27"/>
          <w:szCs w:val="27"/>
          <w:rtl/>
        </w:rPr>
        <w:t>ِ</w:t>
      </w:r>
      <w:r w:rsidRPr="00282AC9">
        <w:rPr>
          <w:rFonts w:ascii="Mosawi" w:hAnsi="Mosawi" w:cs="AL-Mohanad" w:hint="cs"/>
          <w:sz w:val="27"/>
          <w:szCs w:val="27"/>
          <w:rtl/>
        </w:rPr>
        <w:t>بات</w:t>
      </w:r>
      <w:r w:rsidR="003E30AC" w:rsidRPr="00282AC9">
        <w:rPr>
          <w:rFonts w:ascii="Mosawi" w:hAnsi="Mosawi" w:cs="AL-Mohanad" w:hint="cs"/>
          <w:sz w:val="27"/>
          <w:szCs w:val="27"/>
          <w:rtl/>
        </w:rPr>
        <w:t>،</w:t>
      </w:r>
      <w:r w:rsidRPr="00282AC9">
        <w:rPr>
          <w:rFonts w:ascii="Mosawi" w:hAnsi="Mosawi" w:cs="AL-Mohanad"/>
          <w:sz w:val="27"/>
          <w:szCs w:val="27"/>
          <w:rtl/>
        </w:rPr>
        <w:t xml:space="preserve"> </w:t>
      </w:r>
      <w:r w:rsidRPr="00282AC9">
        <w:rPr>
          <w:rFonts w:ascii="Mosawi" w:hAnsi="Mosawi" w:cs="AL-Mohanad" w:hint="cs"/>
          <w:sz w:val="27"/>
          <w:szCs w:val="27"/>
          <w:rtl/>
        </w:rPr>
        <w:t>مع أنه</w:t>
      </w:r>
      <w:r w:rsidR="003E30AC" w:rsidRPr="00282AC9">
        <w:rPr>
          <w:rFonts w:ascii="Mosawi" w:hAnsi="Mosawi" w:cs="AL-Mohanad" w:hint="cs"/>
          <w:sz w:val="27"/>
          <w:szCs w:val="27"/>
          <w:rtl/>
        </w:rPr>
        <w:t>ُ</w:t>
      </w:r>
      <w:r w:rsidRPr="00282AC9">
        <w:rPr>
          <w:rFonts w:ascii="Mosawi" w:hAnsi="Mosawi" w:cs="AL-Mohanad" w:hint="cs"/>
          <w:sz w:val="27"/>
          <w:szCs w:val="27"/>
          <w:rtl/>
        </w:rPr>
        <w:t>ن</w:t>
      </w:r>
      <w:r w:rsidR="003E30AC" w:rsidRPr="00282AC9">
        <w:rPr>
          <w:rFonts w:ascii="Mosawi" w:hAnsi="Mosawi" w:cs="AL-Mohanad" w:hint="cs"/>
          <w:sz w:val="27"/>
          <w:szCs w:val="27"/>
          <w:rtl/>
        </w:rPr>
        <w:t>َّ</w:t>
      </w:r>
      <w:r w:rsidRPr="00282AC9">
        <w:rPr>
          <w:rFonts w:ascii="Mosawi" w:hAnsi="Mosawi" w:cs="AL-Mohanad" w:hint="cs"/>
          <w:sz w:val="27"/>
          <w:szCs w:val="27"/>
          <w:rtl/>
        </w:rPr>
        <w:t xml:space="preserve"> من العاقرات</w:t>
      </w:r>
      <w:r w:rsidR="003E30AC" w:rsidRPr="00282AC9">
        <w:rPr>
          <w:rFonts w:ascii="Mosawi" w:hAnsi="Mosawi" w:cs="AL-Mohanad" w:hint="cs"/>
          <w:sz w:val="27"/>
          <w:szCs w:val="27"/>
          <w:rtl/>
        </w:rPr>
        <w:t>:</w:t>
      </w:r>
      <w:r w:rsidRPr="00282AC9">
        <w:rPr>
          <w:rFonts w:ascii="Mosawi" w:hAnsi="Mosawi" w:cs="AL-Mohanad" w:hint="cs"/>
          <w:sz w:val="27"/>
          <w:szCs w:val="27"/>
          <w:rtl/>
        </w:rPr>
        <w:t xml:space="preserve"> </w:t>
      </w:r>
      <w:r w:rsidR="00C5291F" w:rsidRPr="00282AC9">
        <w:rPr>
          <w:rFonts w:ascii="Mosawi" w:hAnsi="Mosawi" w:cs="Mosawi"/>
          <w:rtl/>
        </w:rPr>
        <w:t>﴿</w:t>
      </w:r>
      <w:r w:rsidRPr="00282AC9">
        <w:rPr>
          <w:rFonts w:ascii="Mosawi" w:hAnsi="Mosawi" w:cs="AL-Mohanad"/>
          <w:b/>
          <w:bCs/>
          <w:sz w:val="27"/>
          <w:szCs w:val="27"/>
          <w:rtl/>
          <w:lang w:bidi="fa-IR"/>
        </w:rPr>
        <w:t>عَسَى رَبُّهُ إِنْ طَلَّقَكُنَّ أَنْ يُبْدِلَهُ أَزْوَاجاً خَيْراً مِنْكُنَّ مُسْلِمَاتٍ مُؤْمِنَاتٍ قَانِتَاتٍ تَائِبَاتٍ عَابِدَاتٍ سَائِحَاتٍ ثَيِّبَاتٍ وَأَبْكَاراً</w:t>
      </w:r>
      <w:r w:rsidR="00C5291F" w:rsidRPr="00282AC9">
        <w:rPr>
          <w:rFonts w:ascii="Mosawi" w:hAnsi="Mosawi" w:cs="Mosawi"/>
          <w:rtl/>
        </w:rPr>
        <w:t>﴾</w:t>
      </w:r>
      <w:r w:rsidRPr="00282AC9">
        <w:rPr>
          <w:rFonts w:ascii="Mosawi" w:hAnsi="Mosawi" w:cs="AL-Mohanad"/>
          <w:sz w:val="27"/>
          <w:szCs w:val="27"/>
          <w:rtl/>
        </w:rPr>
        <w:t xml:space="preserve"> (</w:t>
      </w:r>
      <w:r w:rsidRPr="00282AC9">
        <w:rPr>
          <w:rFonts w:ascii="Mosawi" w:hAnsi="Mosawi" w:cs="AL-Mohanad" w:hint="cs"/>
          <w:sz w:val="27"/>
          <w:szCs w:val="27"/>
          <w:rtl/>
        </w:rPr>
        <w:t>التحريم</w:t>
      </w:r>
      <w:r w:rsidRPr="00282AC9">
        <w:rPr>
          <w:rFonts w:ascii="Mosawi" w:hAnsi="Mosawi" w:cs="AL-Mohanad"/>
          <w:sz w:val="27"/>
          <w:szCs w:val="27"/>
          <w:rtl/>
        </w:rPr>
        <w:t>: 5)</w:t>
      </w:r>
      <w:r w:rsidRPr="00282AC9">
        <w:rPr>
          <w:rFonts w:ascii="Mosawi" w:hAnsi="Mosawi" w:cs="AL-Mohanad" w:hint="cs"/>
          <w:sz w:val="27"/>
          <w:szCs w:val="27"/>
          <w:rtl/>
        </w:rPr>
        <w:t>.</w:t>
      </w:r>
    </w:p>
    <w:p w:rsidR="00AE54C9" w:rsidRPr="00282AC9" w:rsidRDefault="00AE54C9" w:rsidP="00AE54C9">
      <w:pPr>
        <w:spacing w:line="420" w:lineRule="exact"/>
        <w:rPr>
          <w:sz w:val="27"/>
          <w:rtl/>
        </w:rPr>
      </w:pPr>
    </w:p>
    <w:p w:rsidR="001153F1" w:rsidRPr="00282AC9" w:rsidRDefault="0043536C" w:rsidP="00AF3EF3">
      <w:pPr>
        <w:pStyle w:val="31"/>
        <w:rPr>
          <w:color w:val="auto"/>
          <w:rtl/>
        </w:rPr>
      </w:pPr>
      <w:r w:rsidRPr="00282AC9">
        <w:rPr>
          <w:rFonts w:ascii="Arial" w:hAnsi="Arial" w:hint="cs"/>
          <w:color w:val="auto"/>
          <w:rtl/>
        </w:rPr>
        <w:t>3ـ</w:t>
      </w:r>
      <w:r w:rsidR="001153F1" w:rsidRPr="00282AC9">
        <w:rPr>
          <w:rFonts w:hint="cs"/>
          <w:color w:val="auto"/>
          <w:rtl/>
        </w:rPr>
        <w:t xml:space="preserve"> العلاقة بين الن</w:t>
      </w:r>
      <w:r w:rsidR="003E30AC" w:rsidRPr="00282AC9">
        <w:rPr>
          <w:rFonts w:hint="cs"/>
          <w:color w:val="auto"/>
          <w:rtl/>
        </w:rPr>
        <w:t>َّ</w:t>
      </w:r>
      <w:r w:rsidR="001153F1" w:rsidRPr="00282AC9">
        <w:rPr>
          <w:rFonts w:hint="cs"/>
          <w:color w:val="auto"/>
          <w:rtl/>
        </w:rPr>
        <w:t>ه</w:t>
      </w:r>
      <w:r w:rsidR="003E30AC" w:rsidRPr="00282AC9">
        <w:rPr>
          <w:rFonts w:hint="cs"/>
          <w:color w:val="auto"/>
          <w:rtl/>
        </w:rPr>
        <w:t>ْ</w:t>
      </w:r>
      <w:r w:rsidR="001153F1" w:rsidRPr="00282AC9">
        <w:rPr>
          <w:rFonts w:hint="cs"/>
          <w:color w:val="auto"/>
          <w:rtl/>
        </w:rPr>
        <w:t>ي عن الزواج من العقيم ومسألة الن</w:t>
      </w:r>
      <w:r w:rsidR="003E30AC" w:rsidRPr="00282AC9">
        <w:rPr>
          <w:rFonts w:hint="cs"/>
          <w:color w:val="auto"/>
          <w:rtl/>
        </w:rPr>
        <w:t>َّ</w:t>
      </w:r>
      <w:r w:rsidR="001153F1" w:rsidRPr="00282AC9">
        <w:rPr>
          <w:rFonts w:hint="cs"/>
          <w:color w:val="auto"/>
          <w:rtl/>
        </w:rPr>
        <w:t>س</w:t>
      </w:r>
      <w:r w:rsidR="003E30AC" w:rsidRPr="00282AC9">
        <w:rPr>
          <w:rFonts w:hint="cs"/>
          <w:color w:val="auto"/>
          <w:rtl/>
        </w:rPr>
        <w:t>ْ</w:t>
      </w:r>
      <w:r w:rsidR="001153F1" w:rsidRPr="00282AC9">
        <w:rPr>
          <w:rFonts w:hint="cs"/>
          <w:color w:val="auto"/>
          <w:rtl/>
        </w:rPr>
        <w:t xml:space="preserve">ل </w:t>
      </w:r>
    </w:p>
    <w:p w:rsidR="001153F1" w:rsidRPr="00282AC9" w:rsidRDefault="001153F1" w:rsidP="007051D6">
      <w:pPr>
        <w:rPr>
          <w:sz w:val="27"/>
          <w:rtl/>
        </w:rPr>
      </w:pPr>
      <w:r w:rsidRPr="00282AC9">
        <w:rPr>
          <w:sz w:val="27"/>
          <w:rtl/>
        </w:rPr>
        <w:t>بعض هذه الروايات</w:t>
      </w:r>
      <w:r w:rsidR="003E30AC" w:rsidRPr="00282AC9">
        <w:rPr>
          <w:rFonts w:hint="cs"/>
          <w:sz w:val="27"/>
          <w:rtl/>
        </w:rPr>
        <w:t>،</w:t>
      </w:r>
      <w:r w:rsidRPr="00282AC9">
        <w:rPr>
          <w:sz w:val="27"/>
          <w:rtl/>
        </w:rPr>
        <w:t xml:space="preserve"> ومنها ما هو صحيح السند</w:t>
      </w:r>
      <w:r w:rsidR="003E30AC" w:rsidRPr="00282AC9">
        <w:rPr>
          <w:rFonts w:hint="cs"/>
          <w:sz w:val="27"/>
          <w:rtl/>
        </w:rPr>
        <w:t>،</w:t>
      </w:r>
      <w:r w:rsidRPr="00282AC9">
        <w:rPr>
          <w:sz w:val="27"/>
          <w:rtl/>
        </w:rPr>
        <w:t xml:space="preserve"> يربط المسألة بقضي</w:t>
      </w:r>
      <w:r w:rsidR="003E30AC" w:rsidRPr="00282AC9">
        <w:rPr>
          <w:rFonts w:hint="cs"/>
          <w:sz w:val="27"/>
          <w:rtl/>
        </w:rPr>
        <w:t>ّ</w:t>
      </w:r>
      <w:r w:rsidRPr="00282AC9">
        <w:rPr>
          <w:sz w:val="27"/>
          <w:rtl/>
        </w:rPr>
        <w:t>ة تكثير النسل</w:t>
      </w:r>
      <w:r w:rsidR="003E30AC" w:rsidRPr="00282AC9">
        <w:rPr>
          <w:rFonts w:hint="cs"/>
          <w:sz w:val="27"/>
          <w:rtl/>
        </w:rPr>
        <w:t>.</w:t>
      </w:r>
      <w:r w:rsidRPr="00282AC9">
        <w:rPr>
          <w:sz w:val="27"/>
          <w:rtl/>
        </w:rPr>
        <w:t xml:space="preserve"> وهذه المسألة وقع</w:t>
      </w:r>
      <w:r w:rsidR="003E30AC" w:rsidRPr="00282AC9">
        <w:rPr>
          <w:rFonts w:hint="cs"/>
          <w:sz w:val="27"/>
          <w:rtl/>
        </w:rPr>
        <w:t>َ</w:t>
      </w:r>
      <w:r w:rsidRPr="00282AC9">
        <w:rPr>
          <w:sz w:val="27"/>
          <w:rtl/>
        </w:rPr>
        <w:t xml:space="preserve">ت </w:t>
      </w:r>
      <w:r w:rsidR="003E30AC" w:rsidRPr="00282AC9">
        <w:rPr>
          <w:rFonts w:hint="cs"/>
          <w:sz w:val="27"/>
          <w:rtl/>
        </w:rPr>
        <w:t>محلاًّ</w:t>
      </w:r>
      <w:r w:rsidRPr="00282AC9">
        <w:rPr>
          <w:sz w:val="27"/>
          <w:rtl/>
        </w:rPr>
        <w:t xml:space="preserve"> </w:t>
      </w:r>
      <w:r w:rsidR="003E30AC" w:rsidRPr="00282AC9">
        <w:rPr>
          <w:rFonts w:hint="cs"/>
          <w:sz w:val="27"/>
          <w:rtl/>
        </w:rPr>
        <w:t>ل</w:t>
      </w:r>
      <w:r w:rsidRPr="00282AC9">
        <w:rPr>
          <w:sz w:val="27"/>
          <w:rtl/>
        </w:rPr>
        <w:t>لج</w:t>
      </w:r>
      <w:r w:rsidR="003E30AC" w:rsidRPr="00282AC9">
        <w:rPr>
          <w:rFonts w:hint="cs"/>
          <w:sz w:val="27"/>
          <w:rtl/>
        </w:rPr>
        <w:t>َ</w:t>
      </w:r>
      <w:r w:rsidRPr="00282AC9">
        <w:rPr>
          <w:sz w:val="27"/>
          <w:rtl/>
        </w:rPr>
        <w:t>د</w:t>
      </w:r>
      <w:r w:rsidR="003E30AC" w:rsidRPr="00282AC9">
        <w:rPr>
          <w:rFonts w:hint="cs"/>
          <w:sz w:val="27"/>
          <w:rtl/>
        </w:rPr>
        <w:t>َ</w:t>
      </w:r>
      <w:r w:rsidRPr="00282AC9">
        <w:rPr>
          <w:sz w:val="27"/>
          <w:rtl/>
        </w:rPr>
        <w:t>ل في كونها قضي</w:t>
      </w:r>
      <w:r w:rsidR="00235615" w:rsidRPr="00282AC9">
        <w:rPr>
          <w:rFonts w:hint="cs"/>
          <w:sz w:val="27"/>
          <w:rtl/>
        </w:rPr>
        <w:t>ّ</w:t>
      </w:r>
      <w:r w:rsidRPr="00282AC9">
        <w:rPr>
          <w:sz w:val="27"/>
          <w:rtl/>
        </w:rPr>
        <w:t>ة</w:t>
      </w:r>
      <w:r w:rsidR="00235615" w:rsidRPr="00282AC9">
        <w:rPr>
          <w:rFonts w:hint="cs"/>
          <w:sz w:val="27"/>
          <w:rtl/>
        </w:rPr>
        <w:t>ً</w:t>
      </w:r>
      <w:r w:rsidRPr="00282AC9">
        <w:rPr>
          <w:sz w:val="27"/>
          <w:rtl/>
        </w:rPr>
        <w:t xml:space="preserve"> تاريخية ترتبط ببدايات الدعوة</w:t>
      </w:r>
      <w:r w:rsidR="00235615" w:rsidRPr="00282AC9">
        <w:rPr>
          <w:rFonts w:hint="cs"/>
          <w:sz w:val="27"/>
          <w:rtl/>
        </w:rPr>
        <w:t>،</w:t>
      </w:r>
      <w:r w:rsidRPr="00282AC9">
        <w:rPr>
          <w:sz w:val="27"/>
          <w:rtl/>
        </w:rPr>
        <w:t xml:space="preserve"> والحاجة إلى كثرة المسلمين</w:t>
      </w:r>
      <w:r w:rsidR="00235615" w:rsidRPr="00282AC9">
        <w:rPr>
          <w:rFonts w:hint="cs"/>
          <w:sz w:val="27"/>
          <w:rtl/>
        </w:rPr>
        <w:t>؛</w:t>
      </w:r>
      <w:r w:rsidRPr="00282AC9">
        <w:rPr>
          <w:sz w:val="27"/>
          <w:rtl/>
        </w:rPr>
        <w:t xml:space="preserve"> أو </w:t>
      </w:r>
      <w:r w:rsidR="00235615" w:rsidRPr="00282AC9">
        <w:rPr>
          <w:rFonts w:hint="cs"/>
          <w:sz w:val="27"/>
          <w:rtl/>
        </w:rPr>
        <w:t>أ</w:t>
      </w:r>
      <w:r w:rsidRPr="00282AC9">
        <w:rPr>
          <w:sz w:val="27"/>
          <w:rtl/>
        </w:rPr>
        <w:t>نها قضي</w:t>
      </w:r>
      <w:r w:rsidR="00235615" w:rsidRPr="00282AC9">
        <w:rPr>
          <w:rFonts w:hint="cs"/>
          <w:sz w:val="27"/>
          <w:rtl/>
        </w:rPr>
        <w:t>ّ</w:t>
      </w:r>
      <w:r w:rsidRPr="00282AC9">
        <w:rPr>
          <w:sz w:val="27"/>
          <w:rtl/>
        </w:rPr>
        <w:t>ة</w:t>
      </w:r>
      <w:r w:rsidR="00235615" w:rsidRPr="00282AC9">
        <w:rPr>
          <w:rFonts w:hint="cs"/>
          <w:sz w:val="27"/>
          <w:rtl/>
        </w:rPr>
        <w:t>ٌ</w:t>
      </w:r>
      <w:r w:rsidRPr="00282AC9">
        <w:rPr>
          <w:sz w:val="27"/>
          <w:rtl/>
        </w:rPr>
        <w:t xml:space="preserve"> أبدي</w:t>
      </w:r>
      <w:r w:rsidR="00235615" w:rsidRPr="00282AC9">
        <w:rPr>
          <w:rFonts w:hint="cs"/>
          <w:sz w:val="27"/>
          <w:rtl/>
        </w:rPr>
        <w:t>ّ</w:t>
      </w:r>
      <w:r w:rsidRPr="00282AC9">
        <w:rPr>
          <w:sz w:val="27"/>
          <w:rtl/>
        </w:rPr>
        <w:t>ة إلهي</w:t>
      </w:r>
      <w:r w:rsidR="00235615" w:rsidRPr="00282AC9">
        <w:rPr>
          <w:rFonts w:hint="cs"/>
          <w:sz w:val="27"/>
          <w:rtl/>
        </w:rPr>
        <w:t>ّ</w:t>
      </w:r>
      <w:r w:rsidRPr="00282AC9">
        <w:rPr>
          <w:sz w:val="27"/>
          <w:rtl/>
        </w:rPr>
        <w:t>ة</w:t>
      </w:r>
      <w:r w:rsidR="00235615" w:rsidRPr="00282AC9">
        <w:rPr>
          <w:rFonts w:hint="cs"/>
          <w:sz w:val="27"/>
          <w:rtl/>
        </w:rPr>
        <w:t>.</w:t>
      </w:r>
      <w:r w:rsidRPr="00282AC9">
        <w:rPr>
          <w:rFonts w:hint="cs"/>
          <w:sz w:val="27"/>
          <w:rtl/>
        </w:rPr>
        <w:t xml:space="preserve"> والبتّ في هذا الموضوع يحتاج إلى دراسة</w:t>
      </w:r>
      <w:r w:rsidR="00235615" w:rsidRPr="00282AC9">
        <w:rPr>
          <w:rFonts w:hint="cs"/>
          <w:sz w:val="27"/>
          <w:rtl/>
        </w:rPr>
        <w:t>ٍ</w:t>
      </w:r>
      <w:r w:rsidRPr="00282AC9">
        <w:rPr>
          <w:rFonts w:hint="cs"/>
          <w:sz w:val="27"/>
          <w:rtl/>
        </w:rPr>
        <w:t xml:space="preserve"> مستقلّة</w:t>
      </w:r>
      <w:r w:rsidR="00235615" w:rsidRPr="00282AC9">
        <w:rPr>
          <w:rFonts w:hint="cs"/>
          <w:sz w:val="27"/>
          <w:rtl/>
        </w:rPr>
        <w:t>.</w:t>
      </w:r>
      <w:r w:rsidRPr="00282AC9">
        <w:rPr>
          <w:rFonts w:hint="cs"/>
          <w:sz w:val="27"/>
          <w:rtl/>
        </w:rPr>
        <w:t xml:space="preserve"> لكن</w:t>
      </w:r>
      <w:r w:rsidR="00235615" w:rsidRPr="00282AC9">
        <w:rPr>
          <w:rFonts w:hint="cs"/>
          <w:sz w:val="27"/>
          <w:rtl/>
        </w:rPr>
        <w:t>ْ</w:t>
      </w:r>
      <w:r w:rsidRPr="00282AC9">
        <w:rPr>
          <w:rFonts w:hint="cs"/>
          <w:sz w:val="27"/>
          <w:rtl/>
        </w:rPr>
        <w:t xml:space="preserve"> التركيز على هذا الموضوع في العصر النبوي</w:t>
      </w:r>
      <w:r w:rsidR="00235615" w:rsidRPr="00282AC9">
        <w:rPr>
          <w:rFonts w:hint="cs"/>
          <w:sz w:val="27"/>
          <w:rtl/>
        </w:rPr>
        <w:t>ّ،</w:t>
      </w:r>
      <w:r w:rsidRPr="00282AC9">
        <w:rPr>
          <w:rFonts w:hint="cs"/>
          <w:sz w:val="27"/>
          <w:rtl/>
        </w:rPr>
        <w:t xml:space="preserve"> حيث رأ</w:t>
      </w:r>
      <w:r w:rsidR="00235615" w:rsidRPr="00282AC9">
        <w:rPr>
          <w:rFonts w:hint="cs"/>
          <w:sz w:val="27"/>
          <w:rtl/>
        </w:rPr>
        <w:t>َ</w:t>
      </w:r>
      <w:r w:rsidRPr="00282AC9">
        <w:rPr>
          <w:rFonts w:hint="cs"/>
          <w:sz w:val="27"/>
          <w:rtl/>
        </w:rPr>
        <w:t>ي</w:t>
      </w:r>
      <w:r w:rsidR="00235615" w:rsidRPr="00282AC9">
        <w:rPr>
          <w:rFonts w:hint="cs"/>
          <w:sz w:val="27"/>
          <w:rtl/>
        </w:rPr>
        <w:t>ْ</w:t>
      </w:r>
      <w:r w:rsidRPr="00282AC9">
        <w:rPr>
          <w:rFonts w:hint="cs"/>
          <w:sz w:val="27"/>
          <w:rtl/>
        </w:rPr>
        <w:t>نا أنّ الأغلبية الساحقة لهذه الروايات نبوي</w:t>
      </w:r>
      <w:r w:rsidR="00235615" w:rsidRPr="00282AC9">
        <w:rPr>
          <w:rFonts w:hint="cs"/>
          <w:sz w:val="27"/>
          <w:rtl/>
        </w:rPr>
        <w:t>ّ</w:t>
      </w:r>
      <w:r w:rsidRPr="00282AC9">
        <w:rPr>
          <w:rFonts w:hint="cs"/>
          <w:sz w:val="27"/>
          <w:rtl/>
        </w:rPr>
        <w:t>ة</w:t>
      </w:r>
      <w:r w:rsidR="00235615" w:rsidRPr="00282AC9">
        <w:rPr>
          <w:rFonts w:hint="cs"/>
          <w:sz w:val="27"/>
          <w:rtl/>
        </w:rPr>
        <w:t>ٌ</w:t>
      </w:r>
      <w:r w:rsidRPr="00282AC9">
        <w:rPr>
          <w:rFonts w:hint="cs"/>
          <w:sz w:val="27"/>
          <w:rtl/>
        </w:rPr>
        <w:t>، ومناسبة انطلاقة الدعوة الإسلامي</w:t>
      </w:r>
      <w:r w:rsidR="00235615" w:rsidRPr="00282AC9">
        <w:rPr>
          <w:rFonts w:hint="cs"/>
          <w:sz w:val="27"/>
          <w:rtl/>
        </w:rPr>
        <w:t>ّ</w:t>
      </w:r>
      <w:r w:rsidRPr="00282AC9">
        <w:rPr>
          <w:rFonts w:hint="cs"/>
          <w:sz w:val="27"/>
          <w:rtl/>
        </w:rPr>
        <w:t>ة مع لزوم أو رجحان ازدياد الن</w:t>
      </w:r>
      <w:r w:rsidR="00235615" w:rsidRPr="00282AC9">
        <w:rPr>
          <w:rFonts w:hint="cs"/>
          <w:sz w:val="27"/>
          <w:rtl/>
        </w:rPr>
        <w:t>َّ</w:t>
      </w:r>
      <w:r w:rsidRPr="00282AC9">
        <w:rPr>
          <w:rFonts w:hint="cs"/>
          <w:sz w:val="27"/>
          <w:rtl/>
        </w:rPr>
        <w:t>س</w:t>
      </w:r>
      <w:r w:rsidR="00235615" w:rsidRPr="00282AC9">
        <w:rPr>
          <w:rFonts w:hint="cs"/>
          <w:sz w:val="27"/>
          <w:rtl/>
        </w:rPr>
        <w:t>ْ</w:t>
      </w:r>
      <w:r w:rsidRPr="00282AC9">
        <w:rPr>
          <w:rFonts w:hint="cs"/>
          <w:sz w:val="27"/>
          <w:rtl/>
        </w:rPr>
        <w:t>ل</w:t>
      </w:r>
      <w:r w:rsidR="00235615" w:rsidRPr="00282AC9">
        <w:rPr>
          <w:rFonts w:hint="cs"/>
          <w:sz w:val="27"/>
          <w:rtl/>
        </w:rPr>
        <w:t>،</w:t>
      </w:r>
      <w:r w:rsidRPr="00282AC9">
        <w:rPr>
          <w:rFonts w:hint="cs"/>
          <w:sz w:val="27"/>
          <w:rtl/>
        </w:rPr>
        <w:t xml:space="preserve"> يقوّي احتمالية التاريخية في مثل هذه الروايات</w:t>
      </w:r>
      <w:r w:rsidR="00235615" w:rsidRPr="00282AC9">
        <w:rPr>
          <w:rFonts w:hint="cs"/>
          <w:sz w:val="27"/>
          <w:rtl/>
        </w:rPr>
        <w:t>؛</w:t>
      </w:r>
      <w:r w:rsidRPr="00282AC9">
        <w:rPr>
          <w:rFonts w:hint="cs"/>
          <w:sz w:val="27"/>
          <w:rtl/>
        </w:rPr>
        <w:t xml:space="preserve"> حيث كان المسلمون يعيشون وسط إمبراطوري</w:t>
      </w:r>
      <w:r w:rsidR="00235615" w:rsidRPr="00282AC9">
        <w:rPr>
          <w:rFonts w:hint="cs"/>
          <w:sz w:val="27"/>
          <w:rtl/>
        </w:rPr>
        <w:t>ت</w:t>
      </w:r>
      <w:r w:rsidRPr="00282AC9">
        <w:rPr>
          <w:rFonts w:hint="cs"/>
          <w:sz w:val="27"/>
          <w:rtl/>
        </w:rPr>
        <w:t>ين مليئتين بالسك</w:t>
      </w:r>
      <w:r w:rsidR="00235615" w:rsidRPr="00282AC9">
        <w:rPr>
          <w:rFonts w:hint="cs"/>
          <w:sz w:val="27"/>
          <w:rtl/>
        </w:rPr>
        <w:t>ّ</w:t>
      </w:r>
      <w:r w:rsidRPr="00282AC9">
        <w:rPr>
          <w:rFonts w:hint="cs"/>
          <w:sz w:val="27"/>
          <w:rtl/>
        </w:rPr>
        <w:t>ان</w:t>
      </w:r>
      <w:r w:rsidR="00235615" w:rsidRPr="00282AC9">
        <w:rPr>
          <w:rFonts w:hint="cs"/>
          <w:sz w:val="27"/>
          <w:rtl/>
        </w:rPr>
        <w:t>:</w:t>
      </w:r>
      <w:r w:rsidRPr="00282AC9">
        <w:rPr>
          <w:rFonts w:hint="cs"/>
          <w:sz w:val="27"/>
          <w:rtl/>
        </w:rPr>
        <w:t xml:space="preserve"> إمبراطورية فارسي</w:t>
      </w:r>
      <w:r w:rsidR="00235615" w:rsidRPr="00282AC9">
        <w:rPr>
          <w:rFonts w:hint="cs"/>
          <w:sz w:val="27"/>
          <w:rtl/>
        </w:rPr>
        <w:t>ّ</w:t>
      </w:r>
      <w:r w:rsidRPr="00282AC9">
        <w:rPr>
          <w:rFonts w:hint="cs"/>
          <w:sz w:val="27"/>
          <w:rtl/>
        </w:rPr>
        <w:t>ة</w:t>
      </w:r>
      <w:r w:rsidR="00235615" w:rsidRPr="00282AC9">
        <w:rPr>
          <w:rFonts w:hint="cs"/>
          <w:sz w:val="27"/>
          <w:rtl/>
        </w:rPr>
        <w:t>؛ وإمبراطورية</w:t>
      </w:r>
      <w:r w:rsidRPr="00282AC9">
        <w:rPr>
          <w:rFonts w:hint="cs"/>
          <w:sz w:val="27"/>
          <w:rtl/>
        </w:rPr>
        <w:t xml:space="preserve"> روماني</w:t>
      </w:r>
      <w:r w:rsidR="00235615" w:rsidRPr="00282AC9">
        <w:rPr>
          <w:rFonts w:hint="cs"/>
          <w:sz w:val="27"/>
          <w:rtl/>
        </w:rPr>
        <w:t>ّ</w:t>
      </w:r>
      <w:r w:rsidRPr="00282AC9">
        <w:rPr>
          <w:rFonts w:hint="cs"/>
          <w:sz w:val="27"/>
          <w:rtl/>
        </w:rPr>
        <w:t>ة، وعدد المسلمين في بداية الدعوة لم يكن يتجاوز بضع عشرات من الآلاف</w:t>
      </w:r>
      <w:r w:rsidR="00235615" w:rsidRPr="00282AC9">
        <w:rPr>
          <w:rFonts w:hint="cs"/>
          <w:sz w:val="27"/>
          <w:rtl/>
        </w:rPr>
        <w:t>.</w:t>
      </w:r>
      <w:r w:rsidRPr="00282AC9">
        <w:rPr>
          <w:rFonts w:hint="cs"/>
          <w:sz w:val="27"/>
          <w:rtl/>
        </w:rPr>
        <w:t xml:space="preserve"> هذا كلّ</w:t>
      </w:r>
      <w:r w:rsidR="00235615" w:rsidRPr="00282AC9">
        <w:rPr>
          <w:rFonts w:hint="cs"/>
          <w:sz w:val="27"/>
          <w:rtl/>
        </w:rPr>
        <w:t>ُ</w:t>
      </w:r>
      <w:r w:rsidRPr="00282AC9">
        <w:rPr>
          <w:rFonts w:hint="cs"/>
          <w:sz w:val="27"/>
          <w:rtl/>
        </w:rPr>
        <w:t xml:space="preserve">ه كان يدعو المسلمين </w:t>
      </w:r>
      <w:r w:rsidR="00235615" w:rsidRPr="00282AC9">
        <w:rPr>
          <w:rFonts w:hint="cs"/>
          <w:sz w:val="27"/>
          <w:rtl/>
        </w:rPr>
        <w:t>لزيادة</w:t>
      </w:r>
      <w:r w:rsidRPr="00282AC9">
        <w:rPr>
          <w:rFonts w:hint="cs"/>
          <w:sz w:val="27"/>
          <w:rtl/>
        </w:rPr>
        <w:t xml:space="preserve"> عددهم السك</w:t>
      </w:r>
      <w:r w:rsidR="00235615" w:rsidRPr="00282AC9">
        <w:rPr>
          <w:rFonts w:hint="cs"/>
          <w:sz w:val="27"/>
          <w:rtl/>
        </w:rPr>
        <w:t>ّ</w:t>
      </w:r>
      <w:r w:rsidRPr="00282AC9">
        <w:rPr>
          <w:rFonts w:hint="cs"/>
          <w:sz w:val="27"/>
          <w:rtl/>
        </w:rPr>
        <w:t xml:space="preserve">اني. </w:t>
      </w:r>
    </w:p>
    <w:p w:rsidR="00AE54C9" w:rsidRPr="00282AC9" w:rsidRDefault="00AE54C9" w:rsidP="00AE54C9">
      <w:pPr>
        <w:spacing w:line="410" w:lineRule="exact"/>
        <w:rPr>
          <w:sz w:val="27"/>
          <w:rtl/>
        </w:rPr>
      </w:pPr>
    </w:p>
    <w:p w:rsidR="001153F1" w:rsidRPr="00282AC9" w:rsidRDefault="0043536C" w:rsidP="00AF3EF3">
      <w:pPr>
        <w:pStyle w:val="31"/>
        <w:rPr>
          <w:color w:val="auto"/>
          <w:rtl/>
        </w:rPr>
      </w:pPr>
      <w:r w:rsidRPr="00282AC9">
        <w:rPr>
          <w:rFonts w:hint="cs"/>
          <w:color w:val="auto"/>
          <w:rtl/>
        </w:rPr>
        <w:t>4ـ</w:t>
      </w:r>
      <w:r w:rsidR="001153F1" w:rsidRPr="00282AC9">
        <w:rPr>
          <w:color w:val="auto"/>
          <w:rtl/>
        </w:rPr>
        <w:t xml:space="preserve"> </w:t>
      </w:r>
      <w:r w:rsidR="001153F1" w:rsidRPr="00282AC9">
        <w:rPr>
          <w:rFonts w:hint="cs"/>
          <w:color w:val="auto"/>
          <w:rtl/>
        </w:rPr>
        <w:t>عدم تناول العقم في الرجل</w:t>
      </w:r>
    </w:p>
    <w:p w:rsidR="001153F1" w:rsidRPr="00282AC9" w:rsidRDefault="001153F1" w:rsidP="00AE54C9">
      <w:pPr>
        <w:spacing w:line="404" w:lineRule="exact"/>
        <w:rPr>
          <w:sz w:val="27"/>
          <w:rtl/>
        </w:rPr>
      </w:pPr>
      <w:r w:rsidRPr="00282AC9">
        <w:rPr>
          <w:sz w:val="27"/>
          <w:rtl/>
        </w:rPr>
        <w:t>إن</w:t>
      </w:r>
      <w:r w:rsidRPr="00282AC9">
        <w:rPr>
          <w:rFonts w:hint="cs"/>
          <w:sz w:val="27"/>
          <w:rtl/>
        </w:rPr>
        <w:t>ّ</w:t>
      </w:r>
      <w:r w:rsidRPr="00282AC9">
        <w:rPr>
          <w:sz w:val="27"/>
          <w:rtl/>
        </w:rPr>
        <w:t xml:space="preserve"> هذه الروايات ترك</w:t>
      </w:r>
      <w:r w:rsidRPr="00282AC9">
        <w:rPr>
          <w:rFonts w:hint="cs"/>
          <w:sz w:val="27"/>
          <w:rtl/>
        </w:rPr>
        <w:t>ّ</w:t>
      </w:r>
      <w:r w:rsidR="00235615" w:rsidRPr="00282AC9">
        <w:rPr>
          <w:rFonts w:hint="cs"/>
          <w:sz w:val="27"/>
          <w:rtl/>
        </w:rPr>
        <w:t>ِ</w:t>
      </w:r>
      <w:r w:rsidRPr="00282AC9">
        <w:rPr>
          <w:sz w:val="27"/>
          <w:rtl/>
        </w:rPr>
        <w:t>ز على المرأة العاقر</w:t>
      </w:r>
      <w:r w:rsidR="00235615" w:rsidRPr="00282AC9">
        <w:rPr>
          <w:rFonts w:hint="cs"/>
          <w:sz w:val="27"/>
          <w:rtl/>
        </w:rPr>
        <w:t>،</w:t>
      </w:r>
      <w:r w:rsidRPr="00282AC9">
        <w:rPr>
          <w:sz w:val="27"/>
          <w:rtl/>
        </w:rPr>
        <w:t xml:space="preserve"> ولا إشارة فيها</w:t>
      </w:r>
      <w:r w:rsidRPr="00282AC9">
        <w:rPr>
          <w:rFonts w:hint="cs"/>
          <w:sz w:val="27"/>
          <w:rtl/>
        </w:rPr>
        <w:t xml:space="preserve"> إلى</w:t>
      </w:r>
      <w:r w:rsidRPr="00282AC9">
        <w:rPr>
          <w:sz w:val="27"/>
          <w:rtl/>
        </w:rPr>
        <w:t xml:space="preserve"> الرجل العاقر</w:t>
      </w:r>
      <w:r w:rsidR="00235615" w:rsidRPr="00282AC9">
        <w:rPr>
          <w:rFonts w:hint="cs"/>
          <w:sz w:val="27"/>
          <w:rtl/>
        </w:rPr>
        <w:t>،</w:t>
      </w:r>
      <w:r w:rsidRPr="00282AC9">
        <w:rPr>
          <w:sz w:val="27"/>
          <w:rtl/>
        </w:rPr>
        <w:t xml:space="preserve"> مع أن</w:t>
      </w:r>
      <w:r w:rsidRPr="00282AC9">
        <w:rPr>
          <w:rFonts w:hint="cs"/>
          <w:sz w:val="27"/>
          <w:rtl/>
        </w:rPr>
        <w:t>ّ</w:t>
      </w:r>
      <w:r w:rsidRPr="00282AC9">
        <w:rPr>
          <w:sz w:val="27"/>
          <w:rtl/>
        </w:rPr>
        <w:t xml:space="preserve"> خصوصية الإنجاب وإكثار الن</w:t>
      </w:r>
      <w:r w:rsidR="00235615" w:rsidRPr="00282AC9">
        <w:rPr>
          <w:rFonts w:hint="cs"/>
          <w:sz w:val="27"/>
          <w:rtl/>
        </w:rPr>
        <w:t>َّ</w:t>
      </w:r>
      <w:r w:rsidRPr="00282AC9">
        <w:rPr>
          <w:sz w:val="27"/>
          <w:rtl/>
        </w:rPr>
        <w:t>س</w:t>
      </w:r>
      <w:r w:rsidR="00235615" w:rsidRPr="00282AC9">
        <w:rPr>
          <w:rFonts w:hint="cs"/>
          <w:sz w:val="27"/>
          <w:rtl/>
        </w:rPr>
        <w:t>ْ</w:t>
      </w:r>
      <w:r w:rsidRPr="00282AC9">
        <w:rPr>
          <w:sz w:val="27"/>
          <w:rtl/>
        </w:rPr>
        <w:t>ل مشتركة</w:t>
      </w:r>
      <w:r w:rsidR="00235615" w:rsidRPr="00282AC9">
        <w:rPr>
          <w:rFonts w:hint="cs"/>
          <w:sz w:val="27"/>
          <w:rtl/>
        </w:rPr>
        <w:t>ٌ</w:t>
      </w:r>
      <w:r w:rsidRPr="00282AC9">
        <w:rPr>
          <w:sz w:val="27"/>
          <w:rtl/>
        </w:rPr>
        <w:t xml:space="preserve"> بين الرجل والمرأة</w:t>
      </w:r>
      <w:r w:rsidR="00235615" w:rsidRPr="00282AC9">
        <w:rPr>
          <w:rFonts w:hint="cs"/>
          <w:sz w:val="27"/>
          <w:rtl/>
        </w:rPr>
        <w:t>،</w:t>
      </w:r>
      <w:r w:rsidRPr="00282AC9">
        <w:rPr>
          <w:sz w:val="27"/>
          <w:rtl/>
        </w:rPr>
        <w:t xml:space="preserve"> بل عقم الرجل مانع</w:t>
      </w:r>
      <w:r w:rsidR="00235615" w:rsidRPr="00282AC9">
        <w:rPr>
          <w:rFonts w:hint="cs"/>
          <w:sz w:val="27"/>
          <w:rtl/>
        </w:rPr>
        <w:t>ٌ</w:t>
      </w:r>
      <w:r w:rsidRPr="00282AC9">
        <w:rPr>
          <w:sz w:val="27"/>
          <w:rtl/>
        </w:rPr>
        <w:t xml:space="preserve"> </w:t>
      </w:r>
      <w:r w:rsidR="00235615" w:rsidRPr="00282AC9">
        <w:rPr>
          <w:rFonts w:hint="cs"/>
          <w:sz w:val="27"/>
          <w:rtl/>
        </w:rPr>
        <w:t>م</w:t>
      </w:r>
      <w:r w:rsidR="00235615" w:rsidRPr="00282AC9">
        <w:rPr>
          <w:sz w:val="27"/>
          <w:rtl/>
        </w:rPr>
        <w:t>ن إنجاب الزوجة، في</w:t>
      </w:r>
      <w:r w:rsidRPr="00282AC9">
        <w:rPr>
          <w:sz w:val="27"/>
          <w:rtl/>
        </w:rPr>
        <w:t>ما عقم الزوجة ليس مانعاً من إنجابه</w:t>
      </w:r>
      <w:r w:rsidR="00235615" w:rsidRPr="00282AC9">
        <w:rPr>
          <w:rFonts w:hint="cs"/>
          <w:sz w:val="27"/>
          <w:rtl/>
        </w:rPr>
        <w:t>؛</w:t>
      </w:r>
      <w:r w:rsidRPr="00282AC9">
        <w:rPr>
          <w:sz w:val="27"/>
          <w:rtl/>
        </w:rPr>
        <w:t xml:space="preserve"> إذ يمكنه الزواج ثانياً</w:t>
      </w:r>
      <w:r w:rsidR="00235615" w:rsidRPr="00282AC9">
        <w:rPr>
          <w:rFonts w:hint="cs"/>
          <w:sz w:val="27"/>
          <w:rtl/>
        </w:rPr>
        <w:t>،</w:t>
      </w:r>
      <w:r w:rsidRPr="00282AC9">
        <w:rPr>
          <w:sz w:val="27"/>
          <w:rtl/>
        </w:rPr>
        <w:t xml:space="preserve"> </w:t>
      </w:r>
      <w:r w:rsidR="00235615" w:rsidRPr="00282AC9">
        <w:rPr>
          <w:rFonts w:hint="cs"/>
          <w:sz w:val="27"/>
          <w:rtl/>
        </w:rPr>
        <w:t>و</w:t>
      </w:r>
      <w:r w:rsidRPr="00282AC9">
        <w:rPr>
          <w:rFonts w:hint="cs"/>
          <w:sz w:val="27"/>
          <w:rtl/>
        </w:rPr>
        <w:t>خاص</w:t>
      </w:r>
      <w:r w:rsidR="00235615" w:rsidRPr="00282AC9">
        <w:rPr>
          <w:rFonts w:hint="cs"/>
          <w:sz w:val="27"/>
          <w:rtl/>
        </w:rPr>
        <w:t>ّ</w:t>
      </w:r>
      <w:r w:rsidRPr="00282AC9">
        <w:rPr>
          <w:rFonts w:hint="cs"/>
          <w:sz w:val="27"/>
          <w:rtl/>
        </w:rPr>
        <w:t>ة</w:t>
      </w:r>
      <w:r w:rsidR="00235615" w:rsidRPr="00282AC9">
        <w:rPr>
          <w:rFonts w:hint="cs"/>
          <w:sz w:val="27"/>
          <w:rtl/>
        </w:rPr>
        <w:t>ً</w:t>
      </w:r>
      <w:r w:rsidRPr="00282AC9">
        <w:rPr>
          <w:rFonts w:hint="cs"/>
          <w:sz w:val="27"/>
          <w:rtl/>
        </w:rPr>
        <w:t xml:space="preserve"> في العصر النبوي</w:t>
      </w:r>
      <w:r w:rsidR="00235615" w:rsidRPr="00282AC9">
        <w:rPr>
          <w:rFonts w:hint="cs"/>
          <w:sz w:val="27"/>
          <w:rtl/>
        </w:rPr>
        <w:t>ّ؛</w:t>
      </w:r>
      <w:r w:rsidRPr="00282AC9">
        <w:rPr>
          <w:rFonts w:hint="cs"/>
          <w:sz w:val="27"/>
          <w:rtl/>
        </w:rPr>
        <w:t xml:space="preserve"> حيث </w:t>
      </w:r>
      <w:r w:rsidRPr="00282AC9">
        <w:rPr>
          <w:sz w:val="27"/>
          <w:rtl/>
        </w:rPr>
        <w:t>كان</w:t>
      </w:r>
      <w:r w:rsidRPr="00282AC9">
        <w:rPr>
          <w:rFonts w:hint="cs"/>
          <w:sz w:val="27"/>
          <w:rtl/>
        </w:rPr>
        <w:t xml:space="preserve"> هذا</w:t>
      </w:r>
      <w:r w:rsidRPr="00282AC9">
        <w:rPr>
          <w:sz w:val="27"/>
          <w:rtl/>
        </w:rPr>
        <w:t xml:space="preserve"> ع</w:t>
      </w:r>
      <w:r w:rsidR="00235615" w:rsidRPr="00282AC9">
        <w:rPr>
          <w:rFonts w:hint="cs"/>
          <w:sz w:val="27"/>
          <w:rtl/>
        </w:rPr>
        <w:t>ُ</w:t>
      </w:r>
      <w:r w:rsidRPr="00282AC9">
        <w:rPr>
          <w:sz w:val="27"/>
          <w:rtl/>
        </w:rPr>
        <w:t>ر</w:t>
      </w:r>
      <w:r w:rsidR="00235615" w:rsidRPr="00282AC9">
        <w:rPr>
          <w:rFonts w:hint="cs"/>
          <w:sz w:val="27"/>
          <w:rtl/>
        </w:rPr>
        <w:t>ْ</w:t>
      </w:r>
      <w:r w:rsidRPr="00282AC9">
        <w:rPr>
          <w:sz w:val="27"/>
          <w:rtl/>
        </w:rPr>
        <w:t>فاً سائد</w:t>
      </w:r>
      <w:r w:rsidRPr="00282AC9">
        <w:rPr>
          <w:rFonts w:hint="cs"/>
          <w:sz w:val="27"/>
          <w:rtl/>
        </w:rPr>
        <w:t>اً</w:t>
      </w:r>
      <w:r w:rsidRPr="00282AC9">
        <w:rPr>
          <w:sz w:val="27"/>
          <w:rtl/>
        </w:rPr>
        <w:t xml:space="preserve">، </w:t>
      </w:r>
      <w:r w:rsidRPr="00282AC9">
        <w:rPr>
          <w:rFonts w:hint="cs"/>
          <w:sz w:val="27"/>
          <w:rtl/>
        </w:rPr>
        <w:t xml:space="preserve">بل </w:t>
      </w:r>
      <w:r w:rsidRPr="00282AC9">
        <w:rPr>
          <w:sz w:val="27"/>
          <w:rtl/>
        </w:rPr>
        <w:t>كان بإمكان</w:t>
      </w:r>
      <w:r w:rsidRPr="00282AC9">
        <w:rPr>
          <w:rFonts w:hint="cs"/>
          <w:sz w:val="27"/>
          <w:rtl/>
        </w:rPr>
        <w:t>هم</w:t>
      </w:r>
      <w:r w:rsidRPr="00282AC9">
        <w:rPr>
          <w:sz w:val="27"/>
          <w:rtl/>
        </w:rPr>
        <w:t xml:space="preserve"> استيلاد الإماء أيضاً </w:t>
      </w:r>
      <w:r w:rsidRPr="00282AC9">
        <w:rPr>
          <w:rFonts w:hint="cs"/>
          <w:sz w:val="27"/>
          <w:rtl/>
        </w:rPr>
        <w:t>في ذلك الزمان.</w:t>
      </w:r>
    </w:p>
    <w:p w:rsidR="001153F1" w:rsidRPr="00282AC9" w:rsidRDefault="00C77CF1" w:rsidP="007051D6">
      <w:pPr>
        <w:rPr>
          <w:sz w:val="27"/>
          <w:rtl/>
        </w:rPr>
      </w:pPr>
      <w:r w:rsidRPr="00282AC9">
        <w:rPr>
          <w:rFonts w:hint="cs"/>
          <w:sz w:val="27"/>
          <w:rtl/>
        </w:rPr>
        <w:t>ف</w:t>
      </w:r>
      <w:r w:rsidR="001153F1" w:rsidRPr="00282AC9">
        <w:rPr>
          <w:sz w:val="27"/>
          <w:rtl/>
        </w:rPr>
        <w:t>إذا كانت القضية مرتبطة</w:t>
      </w:r>
      <w:r w:rsidRPr="00282AC9">
        <w:rPr>
          <w:rFonts w:hint="cs"/>
          <w:sz w:val="27"/>
          <w:rtl/>
        </w:rPr>
        <w:t>ً</w:t>
      </w:r>
      <w:r w:rsidR="001153F1" w:rsidRPr="00282AC9">
        <w:rPr>
          <w:sz w:val="27"/>
          <w:rtl/>
        </w:rPr>
        <w:t xml:space="preserve"> بالاستيلاد لماذا لم نج</w:t>
      </w:r>
      <w:r w:rsidRPr="00282AC9">
        <w:rPr>
          <w:rFonts w:hint="cs"/>
          <w:sz w:val="27"/>
          <w:rtl/>
        </w:rPr>
        <w:t>ِ</w:t>
      </w:r>
      <w:r w:rsidR="001153F1" w:rsidRPr="00282AC9">
        <w:rPr>
          <w:sz w:val="27"/>
          <w:rtl/>
        </w:rPr>
        <w:t>د</w:t>
      </w:r>
      <w:r w:rsidRPr="00282AC9">
        <w:rPr>
          <w:rFonts w:hint="cs"/>
          <w:sz w:val="27"/>
          <w:rtl/>
        </w:rPr>
        <w:t>ْ</w:t>
      </w:r>
      <w:r w:rsidR="001153F1" w:rsidRPr="00282AC9">
        <w:rPr>
          <w:sz w:val="27"/>
          <w:rtl/>
        </w:rPr>
        <w:t xml:space="preserve"> أي</w:t>
      </w:r>
      <w:r w:rsidR="001153F1" w:rsidRPr="00282AC9">
        <w:rPr>
          <w:rFonts w:hint="cs"/>
          <w:sz w:val="27"/>
          <w:rtl/>
        </w:rPr>
        <w:t>ّ</w:t>
      </w:r>
      <w:r w:rsidRPr="00282AC9">
        <w:rPr>
          <w:rFonts w:hint="cs"/>
          <w:sz w:val="27"/>
          <w:rtl/>
        </w:rPr>
        <w:t>َ</w:t>
      </w:r>
      <w:r w:rsidR="001153F1" w:rsidRPr="00282AC9">
        <w:rPr>
          <w:sz w:val="27"/>
          <w:rtl/>
        </w:rPr>
        <w:t xml:space="preserve"> إشارة</w:t>
      </w:r>
      <w:r w:rsidRPr="00282AC9">
        <w:rPr>
          <w:rFonts w:hint="cs"/>
          <w:sz w:val="27"/>
          <w:rtl/>
        </w:rPr>
        <w:t>ٍ</w:t>
      </w:r>
      <w:r w:rsidR="001153F1" w:rsidRPr="00282AC9">
        <w:rPr>
          <w:sz w:val="27"/>
          <w:rtl/>
        </w:rPr>
        <w:t xml:space="preserve"> إلى عقم الرجل؟</w:t>
      </w:r>
      <w:r w:rsidRPr="00282AC9">
        <w:rPr>
          <w:rFonts w:hint="cs"/>
          <w:sz w:val="27"/>
          <w:rtl/>
        </w:rPr>
        <w:t>!</w:t>
      </w:r>
      <w:r w:rsidR="001153F1" w:rsidRPr="00282AC9">
        <w:rPr>
          <w:sz w:val="27"/>
          <w:rtl/>
        </w:rPr>
        <w:t xml:space="preserve"> </w:t>
      </w:r>
      <w:r w:rsidRPr="00282AC9">
        <w:rPr>
          <w:rFonts w:hint="cs"/>
          <w:sz w:val="27"/>
          <w:rtl/>
        </w:rPr>
        <w:t>و</w:t>
      </w:r>
      <w:r w:rsidR="001153F1" w:rsidRPr="00282AC9">
        <w:rPr>
          <w:sz w:val="27"/>
          <w:rtl/>
        </w:rPr>
        <w:t>كيف يمكن فهم هذه الخصوصية</w:t>
      </w:r>
      <w:r w:rsidRPr="00282AC9">
        <w:rPr>
          <w:rFonts w:hint="cs"/>
          <w:sz w:val="27"/>
          <w:rtl/>
        </w:rPr>
        <w:t>،</w:t>
      </w:r>
      <w:r w:rsidR="001153F1" w:rsidRPr="00282AC9">
        <w:rPr>
          <w:sz w:val="27"/>
          <w:rtl/>
        </w:rPr>
        <w:t xml:space="preserve"> مع أننا لم نجد ع</w:t>
      </w:r>
      <w:r w:rsidRPr="00282AC9">
        <w:rPr>
          <w:rFonts w:hint="cs"/>
          <w:sz w:val="27"/>
          <w:rtl/>
        </w:rPr>
        <w:t>َ</w:t>
      </w:r>
      <w:r w:rsidR="001153F1" w:rsidRPr="00282AC9">
        <w:rPr>
          <w:sz w:val="27"/>
          <w:rtl/>
        </w:rPr>
        <w:t>ي</w:t>
      </w:r>
      <w:r w:rsidRPr="00282AC9">
        <w:rPr>
          <w:rFonts w:hint="cs"/>
          <w:sz w:val="27"/>
          <w:rtl/>
        </w:rPr>
        <w:t>ْ</w:t>
      </w:r>
      <w:r w:rsidR="001153F1" w:rsidRPr="00282AC9">
        <w:rPr>
          <w:sz w:val="27"/>
          <w:rtl/>
        </w:rPr>
        <w:t>نا</w:t>
      </w:r>
      <w:r w:rsidR="001153F1" w:rsidRPr="00282AC9">
        <w:rPr>
          <w:rFonts w:hint="cs"/>
          <w:sz w:val="27"/>
          <w:rtl/>
        </w:rPr>
        <w:t>ً</w:t>
      </w:r>
      <w:r w:rsidR="001153F1" w:rsidRPr="00282AC9">
        <w:rPr>
          <w:sz w:val="27"/>
          <w:rtl/>
        </w:rPr>
        <w:t xml:space="preserve"> وأ</w:t>
      </w:r>
      <w:r w:rsidRPr="00282AC9">
        <w:rPr>
          <w:rFonts w:hint="cs"/>
          <w:sz w:val="27"/>
          <w:rtl/>
        </w:rPr>
        <w:t>َ</w:t>
      </w:r>
      <w:r w:rsidR="001153F1" w:rsidRPr="00282AC9">
        <w:rPr>
          <w:sz w:val="27"/>
          <w:rtl/>
        </w:rPr>
        <w:t>ث</w:t>
      </w:r>
      <w:r w:rsidRPr="00282AC9">
        <w:rPr>
          <w:rFonts w:hint="cs"/>
          <w:sz w:val="27"/>
          <w:rtl/>
        </w:rPr>
        <w:t>َ</w:t>
      </w:r>
      <w:r w:rsidR="001153F1" w:rsidRPr="00282AC9">
        <w:rPr>
          <w:sz w:val="27"/>
          <w:rtl/>
        </w:rPr>
        <w:t>را</w:t>
      </w:r>
      <w:r w:rsidR="001153F1" w:rsidRPr="00282AC9">
        <w:rPr>
          <w:rFonts w:hint="cs"/>
          <w:sz w:val="27"/>
          <w:rtl/>
        </w:rPr>
        <w:t>ً</w:t>
      </w:r>
      <w:r w:rsidR="001153F1" w:rsidRPr="00282AC9">
        <w:rPr>
          <w:sz w:val="27"/>
          <w:rtl/>
        </w:rPr>
        <w:t xml:space="preserve"> لذلك في النصوص</w:t>
      </w:r>
      <w:r w:rsidRPr="00282AC9">
        <w:rPr>
          <w:rFonts w:hint="cs"/>
          <w:sz w:val="27"/>
          <w:rtl/>
        </w:rPr>
        <w:t>؟!</w:t>
      </w:r>
      <w:r w:rsidR="001153F1" w:rsidRPr="00282AC9">
        <w:rPr>
          <w:rFonts w:hint="cs"/>
          <w:sz w:val="27"/>
          <w:rtl/>
        </w:rPr>
        <w:t xml:space="preserve"> </w:t>
      </w:r>
      <w:r w:rsidR="001153F1" w:rsidRPr="00282AC9">
        <w:rPr>
          <w:rFonts w:hint="cs"/>
          <w:sz w:val="27"/>
          <w:rtl/>
        </w:rPr>
        <w:lastRenderedPageBreak/>
        <w:t>وكلّ</w:t>
      </w:r>
      <w:r w:rsidRPr="00282AC9">
        <w:rPr>
          <w:rFonts w:hint="cs"/>
          <w:sz w:val="27"/>
          <w:rtl/>
        </w:rPr>
        <w:t>ُ</w:t>
      </w:r>
      <w:r w:rsidR="001153F1" w:rsidRPr="00282AC9">
        <w:rPr>
          <w:rFonts w:hint="cs"/>
          <w:sz w:val="27"/>
          <w:rtl/>
        </w:rPr>
        <w:t xml:space="preserve"> ما وجد</w:t>
      </w:r>
      <w:r w:rsidRPr="00282AC9">
        <w:rPr>
          <w:rFonts w:hint="cs"/>
          <w:sz w:val="27"/>
          <w:rtl/>
        </w:rPr>
        <w:t>ناه</w:t>
      </w:r>
      <w:r w:rsidR="001153F1" w:rsidRPr="00282AC9">
        <w:rPr>
          <w:rFonts w:hint="cs"/>
          <w:sz w:val="27"/>
          <w:rtl/>
        </w:rPr>
        <w:t xml:space="preserve"> عن الرجل العقيم ه</w:t>
      </w:r>
      <w:r w:rsidRPr="00282AC9">
        <w:rPr>
          <w:rFonts w:hint="cs"/>
          <w:sz w:val="27"/>
          <w:rtl/>
        </w:rPr>
        <w:t>و</w:t>
      </w:r>
      <w:r w:rsidR="001153F1" w:rsidRPr="00282AC9">
        <w:rPr>
          <w:rFonts w:hint="cs"/>
          <w:sz w:val="27"/>
          <w:rtl/>
        </w:rPr>
        <w:t xml:space="preserve"> ما ورد بعض المصادر السن</w:t>
      </w:r>
      <w:r w:rsidRPr="00282AC9">
        <w:rPr>
          <w:rFonts w:hint="cs"/>
          <w:sz w:val="27"/>
          <w:rtl/>
        </w:rPr>
        <w:t>ّ</w:t>
      </w:r>
      <w:r w:rsidR="001153F1" w:rsidRPr="00282AC9">
        <w:rPr>
          <w:rFonts w:hint="cs"/>
          <w:sz w:val="27"/>
          <w:rtl/>
        </w:rPr>
        <w:t>ية</w:t>
      </w:r>
      <w:r w:rsidRPr="00282AC9">
        <w:rPr>
          <w:rFonts w:hint="cs"/>
          <w:sz w:val="27"/>
          <w:rtl/>
        </w:rPr>
        <w:t>،</w:t>
      </w:r>
      <w:r w:rsidR="001153F1" w:rsidRPr="00282AC9">
        <w:rPr>
          <w:rFonts w:hint="cs"/>
          <w:sz w:val="27"/>
          <w:rtl/>
        </w:rPr>
        <w:t xml:space="preserve"> حيث جاء فيها: </w:t>
      </w:r>
      <w:r w:rsidR="001153F1" w:rsidRPr="00282AC9">
        <w:rPr>
          <w:sz w:val="27"/>
          <w:rtl/>
        </w:rPr>
        <w:t>عَنِ ابْنِ سِيرِينَ قَالَ: بَعَثَ عُمَرُ بْنُ الْخَط</w:t>
      </w:r>
      <w:r w:rsidR="00313735" w:rsidRPr="00282AC9">
        <w:rPr>
          <w:sz w:val="27"/>
          <w:rtl/>
        </w:rPr>
        <w:t>َّ</w:t>
      </w:r>
      <w:r w:rsidR="001153F1" w:rsidRPr="00282AC9">
        <w:rPr>
          <w:sz w:val="27"/>
          <w:rtl/>
        </w:rPr>
        <w:t>ابِ رَجُل</w:t>
      </w:r>
      <w:r w:rsidR="006D28AF" w:rsidRPr="00282AC9">
        <w:rPr>
          <w:sz w:val="27"/>
          <w:rtl/>
        </w:rPr>
        <w:t>اً</w:t>
      </w:r>
      <w:r w:rsidR="001153F1" w:rsidRPr="00282AC9">
        <w:rPr>
          <w:sz w:val="27"/>
          <w:rtl/>
        </w:rPr>
        <w:t xml:space="preserve"> عَلَى الس</w:t>
      </w:r>
      <w:r w:rsidR="00313735" w:rsidRPr="00282AC9">
        <w:rPr>
          <w:sz w:val="27"/>
          <w:rtl/>
        </w:rPr>
        <w:t>ِّ</w:t>
      </w:r>
      <w:r w:rsidR="001153F1" w:rsidRPr="00282AC9">
        <w:rPr>
          <w:sz w:val="27"/>
          <w:rtl/>
        </w:rPr>
        <w:t>عَايَةِ</w:t>
      </w:r>
      <w:r w:rsidRPr="00282AC9">
        <w:rPr>
          <w:rFonts w:hint="cs"/>
          <w:sz w:val="27"/>
          <w:rtl/>
        </w:rPr>
        <w:t>،</w:t>
      </w:r>
      <w:r w:rsidR="001153F1" w:rsidRPr="00282AC9">
        <w:rPr>
          <w:sz w:val="27"/>
          <w:rtl/>
        </w:rPr>
        <w:t xml:space="preserve"> فَأَتَاهُ، فَقَالَ: تَزَو</w:t>
      </w:r>
      <w:r w:rsidR="00313735" w:rsidRPr="00282AC9">
        <w:rPr>
          <w:sz w:val="27"/>
          <w:rtl/>
        </w:rPr>
        <w:t>َّ</w:t>
      </w:r>
      <w:r w:rsidR="001153F1" w:rsidRPr="00282AC9">
        <w:rPr>
          <w:sz w:val="27"/>
          <w:rtl/>
        </w:rPr>
        <w:t xml:space="preserve">جْتُ امْرَأَةً، فَقَالَ: </w:t>
      </w:r>
      <w:r w:rsidR="001153F1" w:rsidRPr="00282AC9">
        <w:rPr>
          <w:sz w:val="24"/>
          <w:szCs w:val="24"/>
          <w:rtl/>
        </w:rPr>
        <w:t>«</w:t>
      </w:r>
      <w:r w:rsidR="001153F1" w:rsidRPr="00282AC9">
        <w:rPr>
          <w:sz w:val="27"/>
          <w:rtl/>
        </w:rPr>
        <w:t>أَخْبَرْتَهَا أَن</w:t>
      </w:r>
      <w:r w:rsidR="00313735" w:rsidRPr="00282AC9">
        <w:rPr>
          <w:sz w:val="27"/>
          <w:rtl/>
        </w:rPr>
        <w:t>َّ</w:t>
      </w:r>
      <w:r w:rsidRPr="00282AC9">
        <w:rPr>
          <w:sz w:val="27"/>
          <w:rtl/>
        </w:rPr>
        <w:t>كَ عَقِيمٌ ل</w:t>
      </w:r>
      <w:r w:rsidR="001153F1" w:rsidRPr="00282AC9">
        <w:rPr>
          <w:sz w:val="27"/>
          <w:rtl/>
        </w:rPr>
        <w:t>ا يُولَدُ لَكَ</w:t>
      </w:r>
      <w:r w:rsidR="001153F1" w:rsidRPr="00282AC9">
        <w:rPr>
          <w:sz w:val="24"/>
          <w:szCs w:val="24"/>
          <w:rtl/>
        </w:rPr>
        <w:t>»</w:t>
      </w:r>
      <w:r w:rsidRPr="00282AC9">
        <w:rPr>
          <w:rFonts w:hint="cs"/>
          <w:sz w:val="27"/>
          <w:rtl/>
        </w:rPr>
        <w:t>،</w:t>
      </w:r>
      <w:r w:rsidRPr="00282AC9">
        <w:rPr>
          <w:sz w:val="27"/>
          <w:rtl/>
        </w:rPr>
        <w:t xml:space="preserve"> قَالَ: ل</w:t>
      </w:r>
      <w:r w:rsidR="001153F1" w:rsidRPr="00282AC9">
        <w:rPr>
          <w:sz w:val="27"/>
          <w:rtl/>
        </w:rPr>
        <w:t>ا</w:t>
      </w:r>
      <w:r w:rsidRPr="00282AC9">
        <w:rPr>
          <w:rFonts w:hint="cs"/>
          <w:sz w:val="27"/>
          <w:rtl/>
        </w:rPr>
        <w:t>،</w:t>
      </w:r>
      <w:r w:rsidR="001153F1" w:rsidRPr="00282AC9">
        <w:rPr>
          <w:sz w:val="27"/>
          <w:rtl/>
        </w:rPr>
        <w:t xml:space="preserve"> قَالَ: </w:t>
      </w:r>
      <w:r w:rsidR="001153F1" w:rsidRPr="00282AC9">
        <w:rPr>
          <w:sz w:val="24"/>
          <w:szCs w:val="24"/>
          <w:rtl/>
        </w:rPr>
        <w:t>«</w:t>
      </w:r>
      <w:r w:rsidR="001153F1" w:rsidRPr="00282AC9">
        <w:rPr>
          <w:sz w:val="27"/>
          <w:rtl/>
        </w:rPr>
        <w:t>فَأَخْبِرْهَا، وَخَي</w:t>
      </w:r>
      <w:r w:rsidR="00313735" w:rsidRPr="00282AC9">
        <w:rPr>
          <w:sz w:val="27"/>
          <w:rtl/>
        </w:rPr>
        <w:t>ِّ</w:t>
      </w:r>
      <w:r w:rsidR="001153F1" w:rsidRPr="00282AC9">
        <w:rPr>
          <w:sz w:val="27"/>
          <w:rtl/>
        </w:rPr>
        <w:t>رْهَا</w:t>
      </w:r>
      <w:r w:rsidR="001153F1" w:rsidRPr="00282AC9">
        <w:rPr>
          <w:sz w:val="24"/>
          <w:szCs w:val="24"/>
          <w:rtl/>
        </w:rPr>
        <w:t>»</w:t>
      </w:r>
      <w:r w:rsidRPr="00282AC9">
        <w:rPr>
          <w:sz w:val="27"/>
          <w:vertAlign w:val="superscript"/>
          <w:rtl/>
        </w:rPr>
        <w:t>(</w:t>
      </w:r>
      <w:r w:rsidRPr="00282AC9">
        <w:rPr>
          <w:rStyle w:val="af9"/>
          <w:sz w:val="27"/>
          <w:rtl/>
        </w:rPr>
        <w:endnoteReference w:id="679"/>
      </w:r>
      <w:r w:rsidRPr="00282AC9">
        <w:rPr>
          <w:sz w:val="27"/>
          <w:vertAlign w:val="superscript"/>
          <w:rtl/>
        </w:rPr>
        <w:t>)</w:t>
      </w:r>
      <w:r w:rsidR="001153F1" w:rsidRPr="00282AC9">
        <w:rPr>
          <w:sz w:val="27"/>
          <w:rtl/>
        </w:rPr>
        <w:t xml:space="preserve">. </w:t>
      </w:r>
      <w:r w:rsidR="001153F1" w:rsidRPr="00282AC9">
        <w:rPr>
          <w:rFonts w:hint="cs"/>
          <w:sz w:val="27"/>
          <w:rtl/>
        </w:rPr>
        <w:t>فلا نجد أيّ ن</w:t>
      </w:r>
      <w:r w:rsidRPr="00282AC9">
        <w:rPr>
          <w:rFonts w:hint="cs"/>
          <w:sz w:val="27"/>
          <w:rtl/>
        </w:rPr>
        <w:t>َ</w:t>
      </w:r>
      <w:r w:rsidR="001153F1" w:rsidRPr="00282AC9">
        <w:rPr>
          <w:rFonts w:hint="cs"/>
          <w:sz w:val="27"/>
          <w:rtl/>
        </w:rPr>
        <w:t>ه</w:t>
      </w:r>
      <w:r w:rsidRPr="00282AC9">
        <w:rPr>
          <w:rFonts w:hint="cs"/>
          <w:sz w:val="27"/>
          <w:rtl/>
        </w:rPr>
        <w:t>ْ</w:t>
      </w:r>
      <w:r w:rsidR="001153F1" w:rsidRPr="00282AC9">
        <w:rPr>
          <w:rFonts w:hint="cs"/>
          <w:sz w:val="27"/>
          <w:rtl/>
        </w:rPr>
        <w:t>ي</w:t>
      </w:r>
      <w:r w:rsidRPr="00282AC9">
        <w:rPr>
          <w:rFonts w:hint="cs"/>
          <w:sz w:val="27"/>
          <w:rtl/>
        </w:rPr>
        <w:t>ٍ</w:t>
      </w:r>
      <w:r w:rsidR="001153F1" w:rsidRPr="00282AC9">
        <w:rPr>
          <w:rFonts w:hint="cs"/>
          <w:sz w:val="27"/>
          <w:rtl/>
        </w:rPr>
        <w:t xml:space="preserve"> </w:t>
      </w:r>
      <w:r w:rsidRPr="00282AC9">
        <w:rPr>
          <w:rFonts w:hint="cs"/>
          <w:sz w:val="27"/>
          <w:rtl/>
        </w:rPr>
        <w:t>عن ا</w:t>
      </w:r>
      <w:r w:rsidR="001153F1" w:rsidRPr="00282AC9">
        <w:rPr>
          <w:rFonts w:hint="cs"/>
          <w:sz w:val="27"/>
          <w:rtl/>
        </w:rPr>
        <w:t>لزواج من المرأة العقيم</w:t>
      </w:r>
      <w:r w:rsidRPr="00282AC9">
        <w:rPr>
          <w:rFonts w:hint="cs"/>
          <w:sz w:val="27"/>
          <w:rtl/>
        </w:rPr>
        <w:t>،</w:t>
      </w:r>
      <w:r w:rsidR="001153F1" w:rsidRPr="00282AC9">
        <w:rPr>
          <w:rFonts w:hint="cs"/>
          <w:sz w:val="27"/>
          <w:rtl/>
        </w:rPr>
        <w:t xml:space="preserve"> أو أيّ تعبير</w:t>
      </w:r>
      <w:r w:rsidRPr="00282AC9">
        <w:rPr>
          <w:rFonts w:hint="cs"/>
          <w:sz w:val="27"/>
          <w:rtl/>
        </w:rPr>
        <w:t>ٍ</w:t>
      </w:r>
      <w:r w:rsidR="001153F1" w:rsidRPr="00282AC9">
        <w:rPr>
          <w:rFonts w:hint="cs"/>
          <w:sz w:val="27"/>
          <w:rtl/>
        </w:rPr>
        <w:t xml:space="preserve"> تشمّ منه رائحة التعيير في حق</w:t>
      </w:r>
      <w:r w:rsidRPr="00282AC9">
        <w:rPr>
          <w:rFonts w:hint="cs"/>
          <w:sz w:val="27"/>
          <w:rtl/>
        </w:rPr>
        <w:t>ّ</w:t>
      </w:r>
      <w:r w:rsidR="001153F1" w:rsidRPr="00282AC9">
        <w:rPr>
          <w:rFonts w:hint="cs"/>
          <w:sz w:val="27"/>
          <w:rtl/>
        </w:rPr>
        <w:t xml:space="preserve"> الرجل العقيم</w:t>
      </w:r>
      <w:r w:rsidRPr="00282AC9">
        <w:rPr>
          <w:rFonts w:hint="cs"/>
          <w:sz w:val="27"/>
          <w:rtl/>
        </w:rPr>
        <w:t>.</w:t>
      </w:r>
      <w:r w:rsidR="001153F1" w:rsidRPr="00282AC9">
        <w:rPr>
          <w:rFonts w:hint="cs"/>
          <w:sz w:val="27"/>
          <w:rtl/>
        </w:rPr>
        <w:t xml:space="preserve"> و</w:t>
      </w:r>
      <w:r w:rsidR="001153F1" w:rsidRPr="00282AC9">
        <w:rPr>
          <w:sz w:val="27"/>
          <w:rtl/>
        </w:rPr>
        <w:t>هذا أمر</w:t>
      </w:r>
      <w:r w:rsidRPr="00282AC9">
        <w:rPr>
          <w:rFonts w:hint="cs"/>
          <w:sz w:val="27"/>
          <w:rtl/>
        </w:rPr>
        <w:t>ٌ</w:t>
      </w:r>
      <w:r w:rsidR="001153F1" w:rsidRPr="00282AC9">
        <w:rPr>
          <w:sz w:val="27"/>
          <w:rtl/>
        </w:rPr>
        <w:t xml:space="preserve"> يستحق</w:t>
      </w:r>
      <w:r w:rsidR="001153F1" w:rsidRPr="00282AC9">
        <w:rPr>
          <w:rFonts w:hint="cs"/>
          <w:sz w:val="27"/>
          <w:rtl/>
        </w:rPr>
        <w:t>ّ</w:t>
      </w:r>
      <w:r w:rsidR="001153F1" w:rsidRPr="00282AC9">
        <w:rPr>
          <w:sz w:val="27"/>
          <w:rtl/>
        </w:rPr>
        <w:t xml:space="preserve"> التأم</w:t>
      </w:r>
      <w:r w:rsidRPr="00282AC9">
        <w:rPr>
          <w:rFonts w:hint="cs"/>
          <w:sz w:val="27"/>
          <w:rtl/>
        </w:rPr>
        <w:t>ُّ</w:t>
      </w:r>
      <w:r w:rsidR="001153F1" w:rsidRPr="00282AC9">
        <w:rPr>
          <w:sz w:val="27"/>
          <w:rtl/>
        </w:rPr>
        <w:t>ل</w:t>
      </w:r>
      <w:r w:rsidR="001153F1" w:rsidRPr="00282AC9">
        <w:rPr>
          <w:rFonts w:hint="cs"/>
          <w:sz w:val="27"/>
          <w:rtl/>
        </w:rPr>
        <w:t xml:space="preserve">، </w:t>
      </w:r>
      <w:r w:rsidRPr="00282AC9">
        <w:rPr>
          <w:rFonts w:hint="cs"/>
          <w:sz w:val="27"/>
          <w:rtl/>
        </w:rPr>
        <w:t>و</w:t>
      </w:r>
      <w:r w:rsidR="001153F1" w:rsidRPr="00282AC9">
        <w:rPr>
          <w:rFonts w:hint="cs"/>
          <w:sz w:val="27"/>
          <w:rtl/>
        </w:rPr>
        <w:t>خاص</w:t>
      </w:r>
      <w:r w:rsidRPr="00282AC9">
        <w:rPr>
          <w:rFonts w:hint="cs"/>
          <w:sz w:val="27"/>
          <w:rtl/>
        </w:rPr>
        <w:t>ّ</w:t>
      </w:r>
      <w:r w:rsidR="001153F1" w:rsidRPr="00282AC9">
        <w:rPr>
          <w:rFonts w:hint="cs"/>
          <w:sz w:val="27"/>
          <w:rtl/>
        </w:rPr>
        <w:t>ة</w:t>
      </w:r>
      <w:r w:rsidRPr="00282AC9">
        <w:rPr>
          <w:rFonts w:hint="cs"/>
          <w:sz w:val="27"/>
          <w:rtl/>
        </w:rPr>
        <w:t>ً</w:t>
      </w:r>
      <w:r w:rsidR="001153F1" w:rsidRPr="00282AC9">
        <w:rPr>
          <w:rFonts w:hint="cs"/>
          <w:sz w:val="27"/>
          <w:rtl/>
        </w:rPr>
        <w:t xml:space="preserve"> إذا كانت المسألة مرتبطة</w:t>
      </w:r>
      <w:r w:rsidRPr="00282AC9">
        <w:rPr>
          <w:rFonts w:hint="cs"/>
          <w:sz w:val="27"/>
          <w:rtl/>
        </w:rPr>
        <w:t>ً</w:t>
      </w:r>
      <w:r w:rsidR="001153F1" w:rsidRPr="00282AC9">
        <w:rPr>
          <w:rFonts w:hint="cs"/>
          <w:sz w:val="27"/>
          <w:rtl/>
        </w:rPr>
        <w:t xml:space="preserve"> بازدياد الن</w:t>
      </w:r>
      <w:r w:rsidRPr="00282AC9">
        <w:rPr>
          <w:rFonts w:hint="cs"/>
          <w:sz w:val="27"/>
          <w:rtl/>
        </w:rPr>
        <w:t>َّ</w:t>
      </w:r>
      <w:r w:rsidR="001153F1" w:rsidRPr="00282AC9">
        <w:rPr>
          <w:rFonts w:hint="cs"/>
          <w:sz w:val="27"/>
          <w:rtl/>
        </w:rPr>
        <w:t>س</w:t>
      </w:r>
      <w:r w:rsidRPr="00282AC9">
        <w:rPr>
          <w:rFonts w:hint="cs"/>
          <w:sz w:val="27"/>
          <w:rtl/>
        </w:rPr>
        <w:t>ْ</w:t>
      </w:r>
      <w:r w:rsidR="001153F1" w:rsidRPr="00282AC9">
        <w:rPr>
          <w:rFonts w:hint="cs"/>
          <w:sz w:val="27"/>
          <w:rtl/>
        </w:rPr>
        <w:t xml:space="preserve">ل. </w:t>
      </w:r>
    </w:p>
    <w:p w:rsidR="00AE54C9" w:rsidRPr="00282AC9" w:rsidRDefault="00AE54C9" w:rsidP="00AE54C9">
      <w:pPr>
        <w:rPr>
          <w:sz w:val="27"/>
          <w:rtl/>
        </w:rPr>
      </w:pPr>
    </w:p>
    <w:p w:rsidR="001153F1" w:rsidRPr="00282AC9" w:rsidRDefault="0043536C" w:rsidP="00AF3EF3">
      <w:pPr>
        <w:pStyle w:val="31"/>
        <w:rPr>
          <w:color w:val="auto"/>
          <w:rtl/>
        </w:rPr>
      </w:pPr>
      <w:r w:rsidRPr="00282AC9">
        <w:rPr>
          <w:rFonts w:hint="cs"/>
          <w:color w:val="auto"/>
          <w:rtl/>
        </w:rPr>
        <w:t>5ـ</w:t>
      </w:r>
      <w:r w:rsidR="001153F1" w:rsidRPr="00282AC9">
        <w:rPr>
          <w:rFonts w:hint="cs"/>
          <w:color w:val="auto"/>
          <w:rtl/>
        </w:rPr>
        <w:t xml:space="preserve"> الروايات و</w:t>
      </w:r>
      <w:r w:rsidR="0069189D" w:rsidRPr="00282AC9">
        <w:rPr>
          <w:rFonts w:hint="cs"/>
          <w:color w:val="auto"/>
          <w:rtl/>
        </w:rPr>
        <w:t>ال</w:t>
      </w:r>
      <w:r w:rsidR="001153F1" w:rsidRPr="00282AC9">
        <w:rPr>
          <w:rFonts w:hint="cs"/>
          <w:color w:val="auto"/>
          <w:rtl/>
        </w:rPr>
        <w:t xml:space="preserve">تشنيع </w:t>
      </w:r>
      <w:r w:rsidR="0069189D" w:rsidRPr="00282AC9">
        <w:rPr>
          <w:rFonts w:hint="cs"/>
          <w:color w:val="auto"/>
          <w:rtl/>
        </w:rPr>
        <w:t xml:space="preserve">على </w:t>
      </w:r>
      <w:r w:rsidR="001153F1" w:rsidRPr="00282AC9">
        <w:rPr>
          <w:rFonts w:hint="cs"/>
          <w:color w:val="auto"/>
          <w:rtl/>
        </w:rPr>
        <w:t>المرأة العقيم</w:t>
      </w:r>
    </w:p>
    <w:p w:rsidR="001153F1" w:rsidRPr="00282AC9" w:rsidRDefault="001153F1" w:rsidP="007051D6">
      <w:pPr>
        <w:rPr>
          <w:sz w:val="27"/>
          <w:rtl/>
        </w:rPr>
      </w:pPr>
      <w:r w:rsidRPr="00282AC9">
        <w:rPr>
          <w:sz w:val="27"/>
          <w:rtl/>
        </w:rPr>
        <w:t>ألم</w:t>
      </w:r>
      <w:r w:rsidR="0069189D" w:rsidRPr="00282AC9">
        <w:rPr>
          <w:rFonts w:hint="cs"/>
          <w:sz w:val="27"/>
          <w:rtl/>
        </w:rPr>
        <w:t>َ</w:t>
      </w:r>
      <w:r w:rsidRPr="00282AC9">
        <w:rPr>
          <w:sz w:val="27"/>
          <w:rtl/>
        </w:rPr>
        <w:t>ح</w:t>
      </w:r>
      <w:r w:rsidR="0069189D" w:rsidRPr="00282AC9">
        <w:rPr>
          <w:rFonts w:hint="cs"/>
          <w:sz w:val="27"/>
          <w:rtl/>
        </w:rPr>
        <w:t>ْ</w:t>
      </w:r>
      <w:r w:rsidRPr="00282AC9">
        <w:rPr>
          <w:sz w:val="27"/>
          <w:rtl/>
        </w:rPr>
        <w:t>نا قبل قليل</w:t>
      </w:r>
      <w:r w:rsidR="0069189D" w:rsidRPr="00282AC9">
        <w:rPr>
          <w:rFonts w:hint="cs"/>
          <w:sz w:val="27"/>
          <w:rtl/>
        </w:rPr>
        <w:t>ٍ</w:t>
      </w:r>
      <w:r w:rsidRPr="00282AC9">
        <w:rPr>
          <w:sz w:val="27"/>
          <w:rtl/>
        </w:rPr>
        <w:t xml:space="preserve"> </w:t>
      </w:r>
      <w:r w:rsidR="0069189D" w:rsidRPr="00282AC9">
        <w:rPr>
          <w:rFonts w:hint="cs"/>
          <w:sz w:val="27"/>
          <w:rtl/>
        </w:rPr>
        <w:t>إلى أ</w:t>
      </w:r>
      <w:r w:rsidRPr="00282AC9">
        <w:rPr>
          <w:sz w:val="27"/>
          <w:rtl/>
        </w:rPr>
        <w:t>ن</w:t>
      </w:r>
      <w:r w:rsidRPr="00282AC9">
        <w:rPr>
          <w:rFonts w:hint="cs"/>
          <w:sz w:val="27"/>
          <w:rtl/>
        </w:rPr>
        <w:t>ّ</w:t>
      </w:r>
      <w:r w:rsidRPr="00282AC9">
        <w:rPr>
          <w:sz w:val="27"/>
          <w:rtl/>
        </w:rPr>
        <w:t xml:space="preserve"> لسان بعض هذه الروايات بالغ</w:t>
      </w:r>
      <w:r w:rsidR="0069189D" w:rsidRPr="00282AC9">
        <w:rPr>
          <w:rFonts w:hint="cs"/>
          <w:sz w:val="27"/>
          <w:rtl/>
        </w:rPr>
        <w:t>ُ</w:t>
      </w:r>
      <w:r w:rsidRPr="00282AC9">
        <w:rPr>
          <w:sz w:val="27"/>
          <w:rtl/>
        </w:rPr>
        <w:t xml:space="preserve"> الح</w:t>
      </w:r>
      <w:r w:rsidR="0069189D" w:rsidRPr="00282AC9">
        <w:rPr>
          <w:rFonts w:hint="cs"/>
          <w:sz w:val="27"/>
          <w:rtl/>
        </w:rPr>
        <w:t>ِ</w:t>
      </w:r>
      <w:r w:rsidRPr="00282AC9">
        <w:rPr>
          <w:sz w:val="27"/>
          <w:rtl/>
        </w:rPr>
        <w:t>د</w:t>
      </w:r>
      <w:r w:rsidR="0069189D" w:rsidRPr="00282AC9">
        <w:rPr>
          <w:rFonts w:hint="cs"/>
          <w:sz w:val="27"/>
          <w:rtl/>
        </w:rPr>
        <w:t>ّ</w:t>
      </w:r>
      <w:r w:rsidRPr="00282AC9">
        <w:rPr>
          <w:sz w:val="27"/>
          <w:rtl/>
        </w:rPr>
        <w:t>ة على المرأة</w:t>
      </w:r>
      <w:r w:rsidR="0069189D" w:rsidRPr="00282AC9">
        <w:rPr>
          <w:rFonts w:hint="cs"/>
          <w:sz w:val="27"/>
          <w:rtl/>
        </w:rPr>
        <w:t>،</w:t>
      </w:r>
      <w:r w:rsidRPr="00282AC9">
        <w:rPr>
          <w:sz w:val="27"/>
          <w:rtl/>
        </w:rPr>
        <w:t xml:space="preserve"> مع أن</w:t>
      </w:r>
      <w:r w:rsidRPr="00282AC9">
        <w:rPr>
          <w:rFonts w:hint="cs"/>
          <w:sz w:val="27"/>
          <w:rtl/>
        </w:rPr>
        <w:t>ّ</w:t>
      </w:r>
      <w:r w:rsidRPr="00282AC9">
        <w:rPr>
          <w:sz w:val="27"/>
          <w:rtl/>
        </w:rPr>
        <w:t>ه لا ذنب لها في ع</w:t>
      </w:r>
      <w:r w:rsidR="0069189D" w:rsidRPr="00282AC9">
        <w:rPr>
          <w:rFonts w:hint="cs"/>
          <w:sz w:val="27"/>
          <w:rtl/>
        </w:rPr>
        <w:t>ُ</w:t>
      </w:r>
      <w:r w:rsidRPr="00282AC9">
        <w:rPr>
          <w:sz w:val="27"/>
          <w:rtl/>
        </w:rPr>
        <w:t>ق</w:t>
      </w:r>
      <w:r w:rsidR="0069189D" w:rsidRPr="00282AC9">
        <w:rPr>
          <w:rFonts w:hint="cs"/>
          <w:sz w:val="27"/>
          <w:rtl/>
        </w:rPr>
        <w:t>ْ</w:t>
      </w:r>
      <w:r w:rsidRPr="00282AC9">
        <w:rPr>
          <w:sz w:val="27"/>
          <w:rtl/>
        </w:rPr>
        <w:t>مها</w:t>
      </w:r>
      <w:r w:rsidR="0069189D" w:rsidRPr="00282AC9">
        <w:rPr>
          <w:rFonts w:hint="cs"/>
          <w:sz w:val="27"/>
          <w:rtl/>
        </w:rPr>
        <w:t>،</w:t>
      </w:r>
      <w:r w:rsidRPr="00282AC9">
        <w:rPr>
          <w:sz w:val="27"/>
          <w:rtl/>
        </w:rPr>
        <w:t xml:space="preserve"> </w:t>
      </w:r>
      <w:r w:rsidRPr="00282AC9">
        <w:rPr>
          <w:rFonts w:hint="cs"/>
          <w:sz w:val="27"/>
          <w:rtl/>
        </w:rPr>
        <w:t>والله عزّ</w:t>
      </w:r>
      <w:r w:rsidR="0069189D" w:rsidRPr="00282AC9">
        <w:rPr>
          <w:rFonts w:hint="cs"/>
          <w:sz w:val="27"/>
          <w:rtl/>
        </w:rPr>
        <w:t>َ</w:t>
      </w:r>
      <w:r w:rsidRPr="00282AC9">
        <w:rPr>
          <w:rFonts w:hint="cs"/>
          <w:sz w:val="27"/>
          <w:rtl/>
        </w:rPr>
        <w:t xml:space="preserve"> وجلّ</w:t>
      </w:r>
      <w:r w:rsidR="0069189D" w:rsidRPr="00282AC9">
        <w:rPr>
          <w:rFonts w:hint="cs"/>
          <w:sz w:val="27"/>
          <w:rtl/>
        </w:rPr>
        <w:t>َ</w:t>
      </w:r>
      <w:r w:rsidRPr="00282AC9">
        <w:rPr>
          <w:rFonts w:hint="cs"/>
          <w:sz w:val="27"/>
          <w:rtl/>
        </w:rPr>
        <w:t xml:space="preserve"> يقول: </w:t>
      </w:r>
      <w:r w:rsidR="00C5291F" w:rsidRPr="00282AC9">
        <w:rPr>
          <w:rFonts w:ascii="Mosawi" w:hAnsi="Mosawi" w:cs="Mosawi"/>
          <w:sz w:val="24"/>
          <w:szCs w:val="24"/>
          <w:rtl/>
        </w:rPr>
        <w:t>﴿</w:t>
      </w:r>
      <w:r w:rsidR="0069189D" w:rsidRPr="00282AC9">
        <w:rPr>
          <w:rFonts w:hint="cs"/>
          <w:b/>
          <w:bCs/>
          <w:sz w:val="27"/>
          <w:rtl/>
        </w:rPr>
        <w:t>لل</w:t>
      </w:r>
      <w:r w:rsidRPr="00282AC9">
        <w:rPr>
          <w:rFonts w:hint="cs"/>
          <w:b/>
          <w:bCs/>
          <w:sz w:val="27"/>
          <w:rtl/>
        </w:rPr>
        <w:t>هِ</w:t>
      </w:r>
      <w:r w:rsidRPr="00282AC9">
        <w:rPr>
          <w:b/>
          <w:bCs/>
          <w:sz w:val="27"/>
          <w:rtl/>
        </w:rPr>
        <w:t xml:space="preserve"> </w:t>
      </w:r>
      <w:r w:rsidRPr="00282AC9">
        <w:rPr>
          <w:rFonts w:hint="cs"/>
          <w:b/>
          <w:bCs/>
          <w:sz w:val="27"/>
          <w:rtl/>
        </w:rPr>
        <w:t>مُلْكُ</w:t>
      </w:r>
      <w:r w:rsidRPr="00282AC9">
        <w:rPr>
          <w:b/>
          <w:bCs/>
          <w:sz w:val="27"/>
          <w:rtl/>
        </w:rPr>
        <w:t xml:space="preserve"> </w:t>
      </w:r>
      <w:r w:rsidRPr="00282AC9">
        <w:rPr>
          <w:rFonts w:hint="cs"/>
          <w:b/>
          <w:bCs/>
          <w:sz w:val="27"/>
          <w:rtl/>
        </w:rPr>
        <w:t>السَّمَاوَاتِ</w:t>
      </w:r>
      <w:r w:rsidR="0069189D" w:rsidRPr="00282AC9">
        <w:rPr>
          <w:b/>
          <w:bCs/>
          <w:sz w:val="27"/>
          <w:rtl/>
        </w:rPr>
        <w:t xml:space="preserve"> و</w:t>
      </w:r>
      <w:r w:rsidR="0069189D" w:rsidRPr="00282AC9">
        <w:rPr>
          <w:rFonts w:hint="cs"/>
          <w:b/>
          <w:bCs/>
          <w:sz w:val="27"/>
          <w:rtl/>
        </w:rPr>
        <w:t>َ</w:t>
      </w:r>
      <w:r w:rsidR="0069189D" w:rsidRPr="00282AC9">
        <w:rPr>
          <w:b/>
          <w:bCs/>
          <w:sz w:val="27"/>
          <w:rtl/>
        </w:rPr>
        <w:t>ال</w:t>
      </w:r>
      <w:r w:rsidRPr="00282AC9">
        <w:rPr>
          <w:b/>
          <w:bCs/>
          <w:sz w:val="27"/>
          <w:rtl/>
        </w:rPr>
        <w:t>أَرْضِ يَخْلُقُ مَا يَشَاءُ يَهَبُ لِمَنْ يَشَاءُ إِنَاثاً و</w:t>
      </w:r>
      <w:r w:rsidR="0069189D" w:rsidRPr="00282AC9">
        <w:rPr>
          <w:rFonts w:hint="cs"/>
          <w:b/>
          <w:bCs/>
          <w:sz w:val="27"/>
          <w:rtl/>
        </w:rPr>
        <w:t>َ</w:t>
      </w:r>
      <w:r w:rsidRPr="00282AC9">
        <w:rPr>
          <w:b/>
          <w:bCs/>
          <w:sz w:val="27"/>
          <w:rtl/>
        </w:rPr>
        <w:t>يَهَبُ لِمَنْ يَشَاءُ الذُّكُورَ أَوْ يُزَوِّجُهُمْ ذُكْرَاناً و</w:t>
      </w:r>
      <w:r w:rsidR="0069189D" w:rsidRPr="00282AC9">
        <w:rPr>
          <w:rFonts w:hint="cs"/>
          <w:b/>
          <w:bCs/>
          <w:sz w:val="27"/>
          <w:rtl/>
        </w:rPr>
        <w:t>َ</w:t>
      </w:r>
      <w:r w:rsidRPr="00282AC9">
        <w:rPr>
          <w:b/>
          <w:bCs/>
          <w:sz w:val="27"/>
          <w:rtl/>
        </w:rPr>
        <w:t>إِنَاثاً و</w:t>
      </w:r>
      <w:r w:rsidR="0069189D" w:rsidRPr="00282AC9">
        <w:rPr>
          <w:rFonts w:hint="cs"/>
          <w:b/>
          <w:bCs/>
          <w:sz w:val="27"/>
          <w:rtl/>
        </w:rPr>
        <w:t>َ</w:t>
      </w:r>
      <w:r w:rsidRPr="00282AC9">
        <w:rPr>
          <w:b/>
          <w:bCs/>
          <w:sz w:val="27"/>
          <w:rtl/>
        </w:rPr>
        <w:t>يَجْعَلُ مَنْ يَشَاءُ عَقِيماً إِنَّهُ عَلِيمٌ قَدِيرٌ</w:t>
      </w:r>
      <w:r w:rsidR="00C5291F" w:rsidRPr="00282AC9">
        <w:rPr>
          <w:rFonts w:ascii="Mosawi" w:hAnsi="Mosawi" w:cs="Mosawi"/>
          <w:sz w:val="24"/>
          <w:szCs w:val="24"/>
          <w:rtl/>
        </w:rPr>
        <w:t>﴾</w:t>
      </w:r>
      <w:r w:rsidRPr="00282AC9">
        <w:rPr>
          <w:sz w:val="27"/>
          <w:rtl/>
        </w:rPr>
        <w:t xml:space="preserve"> (</w:t>
      </w:r>
      <w:r w:rsidRPr="00282AC9">
        <w:rPr>
          <w:rFonts w:hint="cs"/>
          <w:sz w:val="27"/>
          <w:rtl/>
        </w:rPr>
        <w:t>الشورى</w:t>
      </w:r>
      <w:r w:rsidRPr="00282AC9">
        <w:rPr>
          <w:sz w:val="27"/>
          <w:rtl/>
        </w:rPr>
        <w:t xml:space="preserve">: 49 </w:t>
      </w:r>
      <w:r w:rsidRPr="00282AC9">
        <w:rPr>
          <w:rFonts w:hint="cs"/>
          <w:sz w:val="27"/>
          <w:rtl/>
        </w:rPr>
        <w:t>ـ</w:t>
      </w:r>
      <w:r w:rsidRPr="00282AC9">
        <w:rPr>
          <w:sz w:val="27"/>
          <w:rtl/>
        </w:rPr>
        <w:t xml:space="preserve"> 50)</w:t>
      </w:r>
      <w:r w:rsidRPr="00282AC9">
        <w:rPr>
          <w:rFonts w:hint="cs"/>
          <w:sz w:val="27"/>
          <w:rtl/>
        </w:rPr>
        <w:t>.</w:t>
      </w:r>
    </w:p>
    <w:p w:rsidR="001153F1" w:rsidRPr="00282AC9" w:rsidRDefault="001153F1" w:rsidP="007051D6">
      <w:pPr>
        <w:rPr>
          <w:sz w:val="27"/>
          <w:rtl/>
        </w:rPr>
      </w:pPr>
      <w:r w:rsidRPr="00282AC9">
        <w:rPr>
          <w:rFonts w:hint="cs"/>
          <w:sz w:val="27"/>
          <w:rtl/>
        </w:rPr>
        <w:t>فما معنى هذه التوصيفات الحادّة في مثل هذا المورد</w:t>
      </w:r>
      <w:r w:rsidR="0069189D" w:rsidRPr="00282AC9">
        <w:rPr>
          <w:rFonts w:hint="cs"/>
          <w:sz w:val="27"/>
          <w:rtl/>
        </w:rPr>
        <w:t>،</w:t>
      </w:r>
      <w:r w:rsidRPr="00282AC9">
        <w:rPr>
          <w:rFonts w:hint="cs"/>
          <w:sz w:val="27"/>
          <w:rtl/>
        </w:rPr>
        <w:t xml:space="preserve"> وهو أمرٌ تكويني</w:t>
      </w:r>
      <w:r w:rsidR="0069189D" w:rsidRPr="00282AC9">
        <w:rPr>
          <w:rFonts w:hint="cs"/>
          <w:sz w:val="27"/>
          <w:rtl/>
        </w:rPr>
        <w:t>ّ،</w:t>
      </w:r>
      <w:r w:rsidRPr="00282AC9">
        <w:rPr>
          <w:rFonts w:hint="cs"/>
          <w:sz w:val="27"/>
          <w:rtl/>
        </w:rPr>
        <w:t xml:space="preserve"> خلقها الله عليه</w:t>
      </w:r>
      <w:r w:rsidR="0069189D" w:rsidRPr="00282AC9">
        <w:rPr>
          <w:rFonts w:hint="cs"/>
          <w:sz w:val="27"/>
          <w:rtl/>
        </w:rPr>
        <w:t>،</w:t>
      </w:r>
      <w:r w:rsidRPr="00282AC9">
        <w:rPr>
          <w:rFonts w:hint="cs"/>
          <w:sz w:val="27"/>
          <w:rtl/>
        </w:rPr>
        <w:t xml:space="preserve"> في الكثير من </w:t>
      </w:r>
      <w:r w:rsidR="0069189D" w:rsidRPr="00282AC9">
        <w:rPr>
          <w:rFonts w:hint="cs"/>
          <w:sz w:val="27"/>
          <w:rtl/>
        </w:rPr>
        <w:t>م</w:t>
      </w:r>
      <w:r w:rsidRPr="00282AC9">
        <w:rPr>
          <w:rFonts w:hint="cs"/>
          <w:sz w:val="27"/>
          <w:rtl/>
        </w:rPr>
        <w:t>و</w:t>
      </w:r>
      <w:r w:rsidR="0069189D" w:rsidRPr="00282AC9">
        <w:rPr>
          <w:rFonts w:hint="cs"/>
          <w:sz w:val="27"/>
          <w:rtl/>
        </w:rPr>
        <w:t>ا</w:t>
      </w:r>
      <w:r w:rsidRPr="00282AC9">
        <w:rPr>
          <w:rFonts w:hint="cs"/>
          <w:sz w:val="27"/>
          <w:rtl/>
        </w:rPr>
        <w:t>رد</w:t>
      </w:r>
      <w:r w:rsidR="0069189D" w:rsidRPr="00282AC9">
        <w:rPr>
          <w:rFonts w:hint="cs"/>
          <w:sz w:val="27"/>
          <w:rtl/>
        </w:rPr>
        <w:t>ه</w:t>
      </w:r>
      <w:r w:rsidRPr="00282AC9">
        <w:rPr>
          <w:rFonts w:hint="cs"/>
          <w:sz w:val="27"/>
          <w:rtl/>
        </w:rPr>
        <w:t>؟</w:t>
      </w:r>
    </w:p>
    <w:p w:rsidR="001153F1" w:rsidRPr="00282AC9" w:rsidRDefault="001153F1" w:rsidP="007051D6">
      <w:pPr>
        <w:rPr>
          <w:rFonts w:ascii="Mosawi" w:hAnsi="Mosawi"/>
          <w:sz w:val="27"/>
          <w:rtl/>
        </w:rPr>
      </w:pPr>
      <w:r w:rsidRPr="00282AC9">
        <w:rPr>
          <w:rFonts w:hint="cs"/>
          <w:sz w:val="27"/>
          <w:rtl/>
        </w:rPr>
        <w:t>بعد هذه الجولة المفصّ</w:t>
      </w:r>
      <w:r w:rsidR="0069189D" w:rsidRPr="00282AC9">
        <w:rPr>
          <w:rFonts w:hint="cs"/>
          <w:sz w:val="27"/>
          <w:rtl/>
        </w:rPr>
        <w:t>َ</w:t>
      </w:r>
      <w:r w:rsidRPr="00282AC9">
        <w:rPr>
          <w:rFonts w:hint="cs"/>
          <w:sz w:val="27"/>
          <w:rtl/>
        </w:rPr>
        <w:t>لة مع الروايات في هذا الباب رأ</w:t>
      </w:r>
      <w:r w:rsidR="0069189D" w:rsidRPr="00282AC9">
        <w:rPr>
          <w:rFonts w:hint="cs"/>
          <w:sz w:val="27"/>
          <w:rtl/>
        </w:rPr>
        <w:t>َ</w:t>
      </w:r>
      <w:r w:rsidRPr="00282AC9">
        <w:rPr>
          <w:rFonts w:hint="cs"/>
          <w:sz w:val="27"/>
          <w:rtl/>
        </w:rPr>
        <w:t>ي</w:t>
      </w:r>
      <w:r w:rsidR="0069189D" w:rsidRPr="00282AC9">
        <w:rPr>
          <w:rFonts w:hint="cs"/>
          <w:sz w:val="27"/>
          <w:rtl/>
        </w:rPr>
        <w:t>ْ</w:t>
      </w:r>
      <w:r w:rsidRPr="00282AC9">
        <w:rPr>
          <w:rFonts w:hint="cs"/>
          <w:sz w:val="27"/>
          <w:rtl/>
        </w:rPr>
        <w:t xml:space="preserve">نا أنّ التعبير </w:t>
      </w:r>
      <w:r w:rsidR="0069189D" w:rsidRPr="00282AC9">
        <w:rPr>
          <w:rFonts w:hint="cs"/>
          <w:sz w:val="27"/>
          <w:rtl/>
        </w:rPr>
        <w:t>ال</w:t>
      </w:r>
      <w:r w:rsidRPr="00282AC9">
        <w:rPr>
          <w:rFonts w:hint="cs"/>
          <w:sz w:val="27"/>
          <w:rtl/>
        </w:rPr>
        <w:t>أكثر إثارة هو:</w:t>
      </w:r>
      <w:r w:rsidRPr="00282AC9">
        <w:rPr>
          <w:rFonts w:ascii="Mosawi" w:hAnsi="Mosawi"/>
          <w:sz w:val="27"/>
          <w:rtl/>
        </w:rPr>
        <w:t xml:space="preserve"> </w:t>
      </w:r>
      <w:r w:rsidRPr="00282AC9">
        <w:rPr>
          <w:rFonts w:ascii="Mosawi" w:hAnsi="Mosawi"/>
          <w:sz w:val="24"/>
          <w:szCs w:val="24"/>
          <w:rtl/>
        </w:rPr>
        <w:t>«</w:t>
      </w:r>
      <w:r w:rsidRPr="00282AC9">
        <w:rPr>
          <w:sz w:val="27"/>
          <w:rtl/>
        </w:rPr>
        <w:t>ولحصير</w:t>
      </w:r>
      <w:r w:rsidR="0069189D" w:rsidRPr="00282AC9">
        <w:rPr>
          <w:rFonts w:hint="cs"/>
          <w:sz w:val="27"/>
          <w:rtl/>
        </w:rPr>
        <w:t>ٌ</w:t>
      </w:r>
      <w:r w:rsidRPr="00282AC9">
        <w:rPr>
          <w:sz w:val="27"/>
          <w:rtl/>
        </w:rPr>
        <w:t xml:space="preserve"> في‏ ناحية البيت خير</w:t>
      </w:r>
      <w:r w:rsidRPr="00282AC9">
        <w:rPr>
          <w:rFonts w:hint="cs"/>
          <w:sz w:val="27"/>
          <w:rtl/>
        </w:rPr>
        <w:t>ٌ</w:t>
      </w:r>
      <w:r w:rsidRPr="00282AC9">
        <w:rPr>
          <w:sz w:val="27"/>
          <w:rtl/>
        </w:rPr>
        <w:t xml:space="preserve"> من امرأة</w:t>
      </w:r>
      <w:r w:rsidR="0069189D" w:rsidRPr="00282AC9">
        <w:rPr>
          <w:rFonts w:hint="cs"/>
          <w:sz w:val="27"/>
          <w:rtl/>
        </w:rPr>
        <w:t>ٍ</w:t>
      </w:r>
      <w:r w:rsidRPr="00282AC9">
        <w:rPr>
          <w:sz w:val="27"/>
          <w:rtl/>
        </w:rPr>
        <w:t xml:space="preserve"> لا تلد</w:t>
      </w:r>
      <w:r w:rsidR="0069189D" w:rsidRPr="00282AC9">
        <w:rPr>
          <w:rFonts w:hint="cs"/>
          <w:sz w:val="27"/>
          <w:rtl/>
        </w:rPr>
        <w:t>.</w:t>
      </w:r>
      <w:r w:rsidRPr="00282AC9">
        <w:rPr>
          <w:sz w:val="27"/>
          <w:rtl/>
        </w:rPr>
        <w:t>..</w:t>
      </w:r>
      <w:r w:rsidRPr="00282AC9">
        <w:rPr>
          <w:rFonts w:ascii="Mosawi" w:hAnsi="Mosawi"/>
          <w:sz w:val="24"/>
          <w:szCs w:val="24"/>
          <w:rtl/>
        </w:rPr>
        <w:t>»</w:t>
      </w:r>
      <w:r w:rsidR="0069189D" w:rsidRPr="00282AC9">
        <w:rPr>
          <w:rFonts w:ascii="Mosawi" w:hAnsi="Mosawi" w:hint="cs"/>
          <w:sz w:val="27"/>
          <w:rtl/>
        </w:rPr>
        <w:t>.</w:t>
      </w:r>
      <w:r w:rsidRPr="00282AC9">
        <w:rPr>
          <w:rFonts w:ascii="Mosawi" w:hAnsi="Mosawi" w:hint="cs"/>
          <w:sz w:val="27"/>
          <w:rtl/>
        </w:rPr>
        <w:t xml:space="preserve"> وهذا التعبير منقولٌ في المصادر الإمامي</w:t>
      </w:r>
      <w:r w:rsidR="0069189D" w:rsidRPr="00282AC9">
        <w:rPr>
          <w:rFonts w:ascii="Mosawi" w:hAnsi="Mosawi" w:hint="cs"/>
          <w:sz w:val="27"/>
          <w:rtl/>
        </w:rPr>
        <w:t>ّ</w:t>
      </w:r>
      <w:r w:rsidRPr="00282AC9">
        <w:rPr>
          <w:rFonts w:ascii="Mosawi" w:hAnsi="Mosawi" w:hint="cs"/>
          <w:sz w:val="27"/>
          <w:rtl/>
        </w:rPr>
        <w:t>ة عن رسول الله</w:t>
      </w:r>
      <w:r w:rsidR="009A2A04" w:rsidRPr="00282AC9">
        <w:rPr>
          <w:rFonts w:ascii="Mosawi" w:hAnsi="Mosawi" w:cs="Mosawi"/>
          <w:sz w:val="22"/>
          <w:szCs w:val="22"/>
          <w:rtl/>
        </w:rPr>
        <w:t>|</w:t>
      </w:r>
      <w:r w:rsidR="0069189D" w:rsidRPr="00282AC9">
        <w:rPr>
          <w:rFonts w:ascii="Mosawi" w:hAnsi="Mosawi" w:hint="cs"/>
          <w:sz w:val="27"/>
          <w:rtl/>
        </w:rPr>
        <w:t>،</w:t>
      </w:r>
      <w:r w:rsidRPr="00282AC9">
        <w:rPr>
          <w:rFonts w:ascii="Mosawi" w:hAnsi="Mosawi" w:hint="cs"/>
          <w:sz w:val="27"/>
          <w:rtl/>
        </w:rPr>
        <w:t xml:space="preserve"> ولكن في حديث</w:t>
      </w:r>
      <w:r w:rsidR="0069189D" w:rsidRPr="00282AC9">
        <w:rPr>
          <w:rFonts w:ascii="Mosawi" w:hAnsi="Mosawi" w:hint="cs"/>
          <w:sz w:val="27"/>
          <w:rtl/>
        </w:rPr>
        <w:t>ٍ</w:t>
      </w:r>
      <w:r w:rsidRPr="00282AC9">
        <w:rPr>
          <w:rFonts w:ascii="Mosawi" w:hAnsi="Mosawi" w:hint="cs"/>
          <w:sz w:val="27"/>
          <w:rtl/>
        </w:rPr>
        <w:t xml:space="preserve"> متفرّ</w:t>
      </w:r>
      <w:r w:rsidR="0069189D" w:rsidRPr="00282AC9">
        <w:rPr>
          <w:rFonts w:ascii="Mosawi" w:hAnsi="Mosawi" w:hint="cs"/>
          <w:sz w:val="27"/>
          <w:rtl/>
        </w:rPr>
        <w:t>ِ</w:t>
      </w:r>
      <w:r w:rsidRPr="00282AC9">
        <w:rPr>
          <w:rFonts w:ascii="Mosawi" w:hAnsi="Mosawi" w:hint="cs"/>
          <w:sz w:val="27"/>
          <w:rtl/>
        </w:rPr>
        <w:t>د</w:t>
      </w:r>
      <w:r w:rsidR="0069189D" w:rsidRPr="00282AC9">
        <w:rPr>
          <w:rFonts w:ascii="Mosawi" w:hAnsi="Mosawi" w:hint="cs"/>
          <w:sz w:val="27"/>
          <w:rtl/>
        </w:rPr>
        <w:t>ٍ</w:t>
      </w:r>
      <w:r w:rsidRPr="00282AC9">
        <w:rPr>
          <w:rFonts w:ascii="Mosawi" w:hAnsi="Mosawi" w:hint="cs"/>
          <w:sz w:val="27"/>
          <w:rtl/>
        </w:rPr>
        <w:t xml:space="preserve"> ضعيف</w:t>
      </w:r>
      <w:r w:rsidR="0069189D" w:rsidRPr="00282AC9">
        <w:rPr>
          <w:rFonts w:ascii="Mosawi" w:hAnsi="Mosawi" w:hint="cs"/>
          <w:sz w:val="27"/>
          <w:rtl/>
        </w:rPr>
        <w:t>ٍ،</w:t>
      </w:r>
      <w:r w:rsidRPr="00282AC9">
        <w:rPr>
          <w:rFonts w:ascii="Mosawi" w:hAnsi="Mosawi" w:hint="cs"/>
          <w:sz w:val="27"/>
          <w:rtl/>
        </w:rPr>
        <w:t xml:space="preserve"> فلا يمكن الاعتماد عليه</w:t>
      </w:r>
      <w:r w:rsidR="0069189D" w:rsidRPr="00282AC9">
        <w:rPr>
          <w:rFonts w:ascii="Mosawi" w:hAnsi="Mosawi" w:hint="cs"/>
          <w:sz w:val="27"/>
          <w:rtl/>
        </w:rPr>
        <w:t>.</w:t>
      </w:r>
      <w:r w:rsidRPr="00282AC9">
        <w:rPr>
          <w:rFonts w:ascii="Mosawi" w:hAnsi="Mosawi" w:hint="cs"/>
          <w:sz w:val="27"/>
          <w:rtl/>
        </w:rPr>
        <w:t xml:space="preserve"> وفي المصادر السن</w:t>
      </w:r>
      <w:r w:rsidR="0069189D" w:rsidRPr="00282AC9">
        <w:rPr>
          <w:rFonts w:ascii="Mosawi" w:hAnsi="Mosawi" w:hint="cs"/>
          <w:sz w:val="27"/>
          <w:rtl/>
        </w:rPr>
        <w:t>ّ</w:t>
      </w:r>
      <w:r w:rsidRPr="00282AC9">
        <w:rPr>
          <w:rFonts w:ascii="Mosawi" w:hAnsi="Mosawi" w:hint="cs"/>
          <w:sz w:val="27"/>
          <w:rtl/>
        </w:rPr>
        <w:t>ية هذا التعبير منسوب</w:t>
      </w:r>
      <w:r w:rsidR="0069189D" w:rsidRPr="00282AC9">
        <w:rPr>
          <w:rFonts w:ascii="Mosawi" w:hAnsi="Mosawi" w:hint="cs"/>
          <w:sz w:val="27"/>
          <w:rtl/>
        </w:rPr>
        <w:t>ٌ</w:t>
      </w:r>
      <w:r w:rsidRPr="00282AC9">
        <w:rPr>
          <w:rFonts w:ascii="Mosawi" w:hAnsi="Mosawi" w:hint="cs"/>
          <w:sz w:val="27"/>
          <w:rtl/>
        </w:rPr>
        <w:t xml:space="preserve"> في الغالب إلى عمر بن الخط</w:t>
      </w:r>
      <w:r w:rsidR="0069189D" w:rsidRPr="00282AC9">
        <w:rPr>
          <w:rFonts w:ascii="Mosawi" w:hAnsi="Mosawi" w:hint="cs"/>
          <w:sz w:val="27"/>
          <w:rtl/>
        </w:rPr>
        <w:t>ّ</w:t>
      </w:r>
      <w:r w:rsidRPr="00282AC9">
        <w:rPr>
          <w:rFonts w:ascii="Mosawi" w:hAnsi="Mosawi" w:hint="cs"/>
          <w:sz w:val="27"/>
          <w:rtl/>
        </w:rPr>
        <w:t xml:space="preserve">اب، فلا نستطيع أن ننسب هذا التعبير إلى الإسلام أساساً. </w:t>
      </w:r>
    </w:p>
    <w:p w:rsidR="001153F1" w:rsidRPr="00282AC9" w:rsidRDefault="001153F1" w:rsidP="007051D6">
      <w:pPr>
        <w:rPr>
          <w:rFonts w:ascii="Mosawi" w:hAnsi="Mosawi"/>
          <w:sz w:val="27"/>
          <w:rtl/>
        </w:rPr>
      </w:pPr>
      <w:r w:rsidRPr="00282AC9">
        <w:rPr>
          <w:rFonts w:ascii="Mosawi" w:hAnsi="Mosawi" w:hint="cs"/>
          <w:sz w:val="27"/>
          <w:rtl/>
        </w:rPr>
        <w:t>والتعابير الأخرى</w:t>
      </w:r>
      <w:r w:rsidR="0069189D" w:rsidRPr="00282AC9">
        <w:rPr>
          <w:rFonts w:ascii="Mosawi" w:hAnsi="Mosawi" w:hint="cs"/>
          <w:sz w:val="27"/>
          <w:rtl/>
        </w:rPr>
        <w:t>،</w:t>
      </w:r>
      <w:r w:rsidRPr="00282AC9">
        <w:rPr>
          <w:rFonts w:ascii="Mosawi" w:hAnsi="Mosawi" w:hint="cs"/>
          <w:sz w:val="27"/>
          <w:rtl/>
        </w:rPr>
        <w:t xml:space="preserve"> كالشؤم، قلنا</w:t>
      </w:r>
      <w:r w:rsidR="003732C0" w:rsidRPr="00282AC9">
        <w:rPr>
          <w:rFonts w:ascii="Mosawi" w:hAnsi="Mosawi" w:hint="cs"/>
          <w:sz w:val="27"/>
          <w:rtl/>
        </w:rPr>
        <w:t>:</w:t>
      </w:r>
      <w:r w:rsidRPr="00282AC9">
        <w:rPr>
          <w:rFonts w:ascii="Mosawi" w:hAnsi="Mosawi" w:hint="cs"/>
          <w:sz w:val="27"/>
          <w:rtl/>
        </w:rPr>
        <w:t xml:space="preserve"> يمكن أن يكون بمعنى ما ت</w:t>
      </w:r>
      <w:r w:rsidR="003732C0" w:rsidRPr="00282AC9">
        <w:rPr>
          <w:rFonts w:ascii="Mosawi" w:hAnsi="Mosawi" w:hint="cs"/>
          <w:sz w:val="27"/>
          <w:rtl/>
        </w:rPr>
        <w:t>ُ</w:t>
      </w:r>
      <w:r w:rsidRPr="00282AC9">
        <w:rPr>
          <w:rFonts w:ascii="Mosawi" w:hAnsi="Mosawi" w:hint="cs"/>
          <w:sz w:val="27"/>
          <w:rtl/>
        </w:rPr>
        <w:t>ك</w:t>
      </w:r>
      <w:r w:rsidR="003732C0" w:rsidRPr="00282AC9">
        <w:rPr>
          <w:rFonts w:ascii="Mosawi" w:hAnsi="Mosawi" w:hint="cs"/>
          <w:sz w:val="27"/>
          <w:rtl/>
        </w:rPr>
        <w:t>ْ</w:t>
      </w:r>
      <w:r w:rsidRPr="00282AC9">
        <w:rPr>
          <w:rFonts w:ascii="Mosawi" w:hAnsi="Mosawi" w:hint="cs"/>
          <w:sz w:val="27"/>
          <w:rtl/>
        </w:rPr>
        <w:t>ر</w:t>
      </w:r>
      <w:r w:rsidR="003732C0" w:rsidRPr="00282AC9">
        <w:rPr>
          <w:rFonts w:ascii="Mosawi" w:hAnsi="Mosawi" w:hint="cs"/>
          <w:sz w:val="27"/>
          <w:rtl/>
        </w:rPr>
        <w:t>َ</w:t>
      </w:r>
      <w:r w:rsidRPr="00282AC9">
        <w:rPr>
          <w:rFonts w:ascii="Mosawi" w:hAnsi="Mosawi" w:hint="cs"/>
          <w:sz w:val="27"/>
          <w:rtl/>
        </w:rPr>
        <w:t>ه عاقبته</w:t>
      </w:r>
      <w:r w:rsidR="003732C0" w:rsidRPr="00282AC9">
        <w:rPr>
          <w:rFonts w:ascii="Mosawi" w:hAnsi="Mosawi" w:hint="cs"/>
          <w:sz w:val="27"/>
          <w:rtl/>
        </w:rPr>
        <w:t>،</w:t>
      </w:r>
      <w:r w:rsidRPr="00282AC9">
        <w:rPr>
          <w:rFonts w:ascii="Mosawi" w:hAnsi="Mosawi" w:hint="cs"/>
          <w:sz w:val="27"/>
          <w:rtl/>
        </w:rPr>
        <w:t xml:space="preserve"> وي</w:t>
      </w:r>
      <w:r w:rsidR="003732C0" w:rsidRPr="00282AC9">
        <w:rPr>
          <w:rFonts w:ascii="Mosawi" w:hAnsi="Mosawi" w:hint="cs"/>
          <w:sz w:val="27"/>
          <w:rtl/>
        </w:rPr>
        <w:t>ُ</w:t>
      </w:r>
      <w:r w:rsidRPr="00282AC9">
        <w:rPr>
          <w:rFonts w:ascii="Mosawi" w:hAnsi="Mosawi" w:hint="cs"/>
          <w:sz w:val="27"/>
          <w:rtl/>
        </w:rPr>
        <w:t>خاف منها</w:t>
      </w:r>
      <w:r w:rsidR="003732C0" w:rsidRPr="00282AC9">
        <w:rPr>
          <w:rFonts w:ascii="Mosawi" w:hAnsi="Mosawi" w:hint="cs"/>
          <w:sz w:val="27"/>
          <w:rtl/>
        </w:rPr>
        <w:t>.</w:t>
      </w:r>
      <w:r w:rsidRPr="00282AC9">
        <w:rPr>
          <w:rFonts w:ascii="Mosawi" w:hAnsi="Mosawi" w:hint="cs"/>
          <w:sz w:val="27"/>
          <w:rtl/>
        </w:rPr>
        <w:t xml:space="preserve"> وهذا لا يحمل أيّ معنى</w:t>
      </w:r>
      <w:r w:rsidR="003732C0" w:rsidRPr="00282AC9">
        <w:rPr>
          <w:rFonts w:ascii="Mosawi" w:hAnsi="Mosawi" w:hint="cs"/>
          <w:sz w:val="27"/>
          <w:rtl/>
        </w:rPr>
        <w:t>ً</w:t>
      </w:r>
      <w:r w:rsidRPr="00282AC9">
        <w:rPr>
          <w:rFonts w:ascii="Mosawi" w:hAnsi="Mosawi" w:hint="cs"/>
          <w:sz w:val="27"/>
          <w:rtl/>
        </w:rPr>
        <w:t xml:space="preserve"> سلبي</w:t>
      </w:r>
      <w:r w:rsidR="003732C0" w:rsidRPr="00282AC9">
        <w:rPr>
          <w:rFonts w:ascii="Mosawi" w:hAnsi="Mosawi" w:hint="cs"/>
          <w:sz w:val="27"/>
          <w:rtl/>
        </w:rPr>
        <w:t>ّ</w:t>
      </w:r>
      <w:r w:rsidRPr="00282AC9">
        <w:rPr>
          <w:rFonts w:ascii="Mosawi" w:hAnsi="Mosawi" w:hint="cs"/>
          <w:sz w:val="27"/>
          <w:rtl/>
        </w:rPr>
        <w:t xml:space="preserve"> تجاه المرأة العاقر نفسها</w:t>
      </w:r>
      <w:r w:rsidR="003732C0" w:rsidRPr="00282AC9">
        <w:rPr>
          <w:rFonts w:ascii="Mosawi" w:hAnsi="Mosawi" w:hint="cs"/>
          <w:sz w:val="27"/>
          <w:rtl/>
        </w:rPr>
        <w:t>،</w:t>
      </w:r>
      <w:r w:rsidRPr="00282AC9">
        <w:rPr>
          <w:rFonts w:ascii="Mosawi" w:hAnsi="Mosawi" w:hint="cs"/>
          <w:sz w:val="27"/>
          <w:rtl/>
        </w:rPr>
        <w:t xml:space="preserve"> أكثر من كونه تنبيهاً لعاقبة مثل هذا الزواج</w:t>
      </w:r>
      <w:r w:rsidR="003732C0" w:rsidRPr="00282AC9">
        <w:rPr>
          <w:rFonts w:ascii="Mosawi" w:hAnsi="Mosawi" w:hint="cs"/>
          <w:sz w:val="27"/>
          <w:rtl/>
        </w:rPr>
        <w:t>.</w:t>
      </w:r>
      <w:r w:rsidRPr="00282AC9">
        <w:rPr>
          <w:rFonts w:ascii="Mosawi" w:hAnsi="Mosawi" w:hint="cs"/>
          <w:sz w:val="27"/>
          <w:rtl/>
        </w:rPr>
        <w:t xml:space="preserve"> وكذلك تعبير</w:t>
      </w:r>
      <w:r w:rsidR="003732C0" w:rsidRPr="00282AC9">
        <w:rPr>
          <w:rFonts w:ascii="Mosawi" w:hAnsi="Mosawi" w:hint="cs"/>
          <w:sz w:val="27"/>
          <w:rtl/>
        </w:rPr>
        <w:t>:</w:t>
      </w:r>
      <w:r w:rsidRPr="00282AC9">
        <w:rPr>
          <w:rFonts w:ascii="Mosawi" w:hAnsi="Mosawi" w:hint="cs"/>
          <w:sz w:val="27"/>
          <w:rtl/>
        </w:rPr>
        <w:t xml:space="preserve"> </w:t>
      </w:r>
      <w:r w:rsidR="003732C0" w:rsidRPr="00282AC9">
        <w:rPr>
          <w:rFonts w:ascii="Mosawi" w:hAnsi="Mosawi" w:hint="cs"/>
          <w:sz w:val="27"/>
          <w:rtl/>
        </w:rPr>
        <w:t>(</w:t>
      </w:r>
      <w:r w:rsidRPr="00282AC9">
        <w:rPr>
          <w:rFonts w:ascii="Mosawi" w:hAnsi="Mosawi" w:hint="cs"/>
          <w:sz w:val="27"/>
          <w:rtl/>
        </w:rPr>
        <w:t>شر</w:t>
      </w:r>
      <w:r w:rsidR="003732C0" w:rsidRPr="00282AC9">
        <w:rPr>
          <w:rFonts w:ascii="Mosawi" w:hAnsi="Mosawi" w:hint="cs"/>
          <w:sz w:val="27"/>
          <w:rtl/>
        </w:rPr>
        <w:t>ّ)</w:t>
      </w:r>
      <w:r w:rsidRPr="00282AC9">
        <w:rPr>
          <w:rFonts w:ascii="Mosawi" w:hAnsi="Mosawi" w:hint="cs"/>
          <w:sz w:val="27"/>
          <w:rtl/>
        </w:rPr>
        <w:t xml:space="preserve"> و</w:t>
      </w:r>
      <w:r w:rsidR="003732C0" w:rsidRPr="00282AC9">
        <w:rPr>
          <w:rFonts w:ascii="Mosawi" w:hAnsi="Mosawi" w:hint="cs"/>
          <w:sz w:val="27"/>
          <w:rtl/>
        </w:rPr>
        <w:t>(</w:t>
      </w:r>
      <w:r w:rsidRPr="00282AC9">
        <w:rPr>
          <w:rFonts w:ascii="Mosawi" w:hAnsi="Mosawi" w:hint="cs"/>
          <w:sz w:val="27"/>
          <w:rtl/>
        </w:rPr>
        <w:t>شرار</w:t>
      </w:r>
      <w:r w:rsidR="003732C0" w:rsidRPr="00282AC9">
        <w:rPr>
          <w:rFonts w:ascii="Mosawi" w:hAnsi="Mosawi" w:hint="cs"/>
          <w:sz w:val="27"/>
          <w:rtl/>
        </w:rPr>
        <w:t>)،</w:t>
      </w:r>
      <w:r w:rsidRPr="00282AC9">
        <w:rPr>
          <w:rFonts w:ascii="Mosawi" w:hAnsi="Mosawi" w:hint="cs"/>
          <w:sz w:val="27"/>
          <w:rtl/>
        </w:rPr>
        <w:t xml:space="preserve"> قد يكون لبيان التمييز والمفاضلة بين المرأة الولود والعاقر. </w:t>
      </w:r>
    </w:p>
    <w:p w:rsidR="00AE54C9" w:rsidRPr="00282AC9" w:rsidRDefault="00AE54C9" w:rsidP="00AE54C9">
      <w:pPr>
        <w:spacing w:line="420" w:lineRule="exact"/>
        <w:rPr>
          <w:sz w:val="27"/>
          <w:rtl/>
        </w:rPr>
      </w:pPr>
    </w:p>
    <w:p w:rsidR="001153F1" w:rsidRPr="00282AC9" w:rsidRDefault="0043536C" w:rsidP="00C5291F">
      <w:pPr>
        <w:pStyle w:val="31"/>
        <w:rPr>
          <w:color w:val="auto"/>
          <w:rtl/>
        </w:rPr>
      </w:pPr>
      <w:r w:rsidRPr="00282AC9">
        <w:rPr>
          <w:rStyle w:val="3Char"/>
          <w:rFonts w:hint="cs"/>
          <w:bCs/>
          <w:color w:val="auto"/>
          <w:szCs w:val="28"/>
          <w:rtl/>
        </w:rPr>
        <w:t>6ـ</w:t>
      </w:r>
      <w:r w:rsidR="001153F1" w:rsidRPr="00282AC9">
        <w:rPr>
          <w:rStyle w:val="3Char"/>
          <w:rFonts w:hint="cs"/>
          <w:bCs/>
          <w:color w:val="auto"/>
          <w:szCs w:val="28"/>
          <w:rtl/>
        </w:rPr>
        <w:t xml:space="preserve"> مقتضى التعليل تخصيص الن</w:t>
      </w:r>
      <w:r w:rsidR="003732C0" w:rsidRPr="00282AC9">
        <w:rPr>
          <w:rStyle w:val="3Char"/>
          <w:rFonts w:hint="cs"/>
          <w:bCs/>
          <w:color w:val="auto"/>
          <w:szCs w:val="28"/>
          <w:rtl/>
        </w:rPr>
        <w:t>َّ</w:t>
      </w:r>
      <w:r w:rsidR="001153F1" w:rsidRPr="00282AC9">
        <w:rPr>
          <w:rStyle w:val="3Char"/>
          <w:rFonts w:hint="cs"/>
          <w:bCs/>
          <w:color w:val="auto"/>
          <w:szCs w:val="28"/>
          <w:rtl/>
        </w:rPr>
        <w:t>ه</w:t>
      </w:r>
      <w:r w:rsidR="003732C0" w:rsidRPr="00282AC9">
        <w:rPr>
          <w:rStyle w:val="3Char"/>
          <w:rFonts w:hint="cs"/>
          <w:bCs/>
          <w:color w:val="auto"/>
          <w:szCs w:val="28"/>
          <w:rtl/>
        </w:rPr>
        <w:t>ْ</w:t>
      </w:r>
      <w:r w:rsidR="001153F1" w:rsidRPr="00282AC9">
        <w:rPr>
          <w:rStyle w:val="3Char"/>
          <w:rFonts w:hint="cs"/>
          <w:bCs/>
          <w:color w:val="auto"/>
          <w:szCs w:val="28"/>
          <w:rtl/>
        </w:rPr>
        <w:t>ي بالزواج الذي ي</w:t>
      </w:r>
      <w:r w:rsidR="003732C0" w:rsidRPr="00282AC9">
        <w:rPr>
          <w:rStyle w:val="3Char"/>
          <w:rFonts w:hint="cs"/>
          <w:bCs/>
          <w:color w:val="auto"/>
          <w:szCs w:val="28"/>
          <w:rtl/>
        </w:rPr>
        <w:t>ُ</w:t>
      </w:r>
      <w:r w:rsidR="001153F1" w:rsidRPr="00282AC9">
        <w:rPr>
          <w:rStyle w:val="3Char"/>
          <w:rFonts w:hint="cs"/>
          <w:bCs/>
          <w:color w:val="auto"/>
          <w:szCs w:val="28"/>
          <w:rtl/>
        </w:rPr>
        <w:t>راد منه</w:t>
      </w:r>
      <w:r w:rsidR="001153F1" w:rsidRPr="00282AC9">
        <w:rPr>
          <w:rFonts w:hint="cs"/>
          <w:color w:val="auto"/>
          <w:rtl/>
        </w:rPr>
        <w:t xml:space="preserve"> الإنجاب</w:t>
      </w:r>
    </w:p>
    <w:p w:rsidR="001153F1" w:rsidRPr="00282AC9" w:rsidRDefault="001153F1" w:rsidP="007051D6">
      <w:pPr>
        <w:rPr>
          <w:sz w:val="27"/>
          <w:rtl/>
        </w:rPr>
      </w:pPr>
      <w:r w:rsidRPr="00282AC9">
        <w:rPr>
          <w:rFonts w:hint="cs"/>
          <w:sz w:val="27"/>
          <w:rtl/>
        </w:rPr>
        <w:t xml:space="preserve">كما رأينا في بعض </w:t>
      </w:r>
      <w:r w:rsidR="003732C0" w:rsidRPr="00282AC9">
        <w:rPr>
          <w:rFonts w:hint="cs"/>
          <w:sz w:val="27"/>
          <w:rtl/>
        </w:rPr>
        <w:t xml:space="preserve">هذه </w:t>
      </w:r>
      <w:r w:rsidRPr="00282AC9">
        <w:rPr>
          <w:rFonts w:hint="cs"/>
          <w:sz w:val="27"/>
          <w:rtl/>
        </w:rPr>
        <w:t>الروايات ـ ومنها صحيح السند ـ نجد علاقة</w:t>
      </w:r>
      <w:r w:rsidR="003732C0" w:rsidRPr="00282AC9">
        <w:rPr>
          <w:rFonts w:hint="cs"/>
          <w:sz w:val="27"/>
          <w:rtl/>
        </w:rPr>
        <w:t>ً</w:t>
      </w:r>
      <w:r w:rsidRPr="00282AC9">
        <w:rPr>
          <w:rFonts w:hint="cs"/>
          <w:sz w:val="27"/>
          <w:rtl/>
        </w:rPr>
        <w:t xml:space="preserve"> وطيدة بين </w:t>
      </w:r>
      <w:r w:rsidRPr="00282AC9">
        <w:rPr>
          <w:rFonts w:hint="cs"/>
          <w:sz w:val="27"/>
          <w:rtl/>
        </w:rPr>
        <w:lastRenderedPageBreak/>
        <w:t>النهي عن الزواج من المرأة العقيم ومسألة ازدياد الن</w:t>
      </w:r>
      <w:r w:rsidR="003732C0" w:rsidRPr="00282AC9">
        <w:rPr>
          <w:rFonts w:hint="cs"/>
          <w:sz w:val="27"/>
          <w:rtl/>
        </w:rPr>
        <w:t>َّ</w:t>
      </w:r>
      <w:r w:rsidRPr="00282AC9">
        <w:rPr>
          <w:rFonts w:hint="cs"/>
          <w:sz w:val="27"/>
          <w:rtl/>
        </w:rPr>
        <w:t>س</w:t>
      </w:r>
      <w:r w:rsidR="003732C0" w:rsidRPr="00282AC9">
        <w:rPr>
          <w:rFonts w:hint="cs"/>
          <w:sz w:val="27"/>
          <w:rtl/>
        </w:rPr>
        <w:t>ْ</w:t>
      </w:r>
      <w:r w:rsidRPr="00282AC9">
        <w:rPr>
          <w:rFonts w:hint="cs"/>
          <w:sz w:val="27"/>
          <w:rtl/>
        </w:rPr>
        <w:t>ل</w:t>
      </w:r>
      <w:r w:rsidR="003732C0" w:rsidRPr="00282AC9">
        <w:rPr>
          <w:rFonts w:hint="cs"/>
          <w:sz w:val="27"/>
          <w:rtl/>
        </w:rPr>
        <w:t>.</w:t>
      </w:r>
      <w:r w:rsidRPr="00282AC9">
        <w:rPr>
          <w:rFonts w:hint="cs"/>
          <w:sz w:val="27"/>
          <w:rtl/>
        </w:rPr>
        <w:t xml:space="preserve"> وهذا يدعو لتقييد الكراهة ـ لو ثبت</w:t>
      </w:r>
      <w:r w:rsidR="003732C0" w:rsidRPr="00282AC9">
        <w:rPr>
          <w:rFonts w:hint="cs"/>
          <w:sz w:val="27"/>
          <w:rtl/>
        </w:rPr>
        <w:t>َ</w:t>
      </w:r>
      <w:r w:rsidRPr="00282AC9">
        <w:rPr>
          <w:rFonts w:hint="cs"/>
          <w:sz w:val="27"/>
          <w:rtl/>
        </w:rPr>
        <w:t>ت</w:t>
      </w:r>
      <w:r w:rsidR="003732C0" w:rsidRPr="00282AC9">
        <w:rPr>
          <w:rFonts w:hint="cs"/>
          <w:sz w:val="27"/>
          <w:rtl/>
        </w:rPr>
        <w:t>ْ</w:t>
      </w:r>
      <w:r w:rsidRPr="00282AC9">
        <w:rPr>
          <w:rFonts w:hint="cs"/>
          <w:sz w:val="27"/>
          <w:rtl/>
        </w:rPr>
        <w:t xml:space="preserve"> ـ بالمورد الذي ي</w:t>
      </w:r>
      <w:r w:rsidR="003732C0" w:rsidRPr="00282AC9">
        <w:rPr>
          <w:rFonts w:hint="cs"/>
          <w:sz w:val="27"/>
          <w:rtl/>
        </w:rPr>
        <w:t>ُ</w:t>
      </w:r>
      <w:r w:rsidRPr="00282AC9">
        <w:rPr>
          <w:rFonts w:hint="cs"/>
          <w:sz w:val="27"/>
          <w:rtl/>
        </w:rPr>
        <w:t>راد أو يمكن الإنجاب</w:t>
      </w:r>
      <w:r w:rsidR="003732C0" w:rsidRPr="00282AC9">
        <w:rPr>
          <w:rFonts w:hint="cs"/>
          <w:sz w:val="27"/>
          <w:rtl/>
        </w:rPr>
        <w:t>،</w:t>
      </w:r>
      <w:r w:rsidRPr="00282AC9">
        <w:rPr>
          <w:rFonts w:hint="cs"/>
          <w:sz w:val="27"/>
          <w:rtl/>
        </w:rPr>
        <w:t xml:space="preserve"> وإلا</w:t>
      </w:r>
      <w:r w:rsidR="003732C0" w:rsidRPr="00282AC9">
        <w:rPr>
          <w:rFonts w:hint="cs"/>
          <w:sz w:val="27"/>
          <w:rtl/>
        </w:rPr>
        <w:t>ّ</w:t>
      </w:r>
      <w:r w:rsidRPr="00282AC9">
        <w:rPr>
          <w:rFonts w:hint="cs"/>
          <w:sz w:val="27"/>
          <w:rtl/>
        </w:rPr>
        <w:t xml:space="preserve"> إذا لم يمكن الإنجاب </w:t>
      </w:r>
      <w:r w:rsidR="003732C0" w:rsidRPr="00282AC9">
        <w:rPr>
          <w:rFonts w:hint="cs"/>
          <w:sz w:val="27"/>
          <w:rtl/>
        </w:rPr>
        <w:t xml:space="preserve">ـ </w:t>
      </w:r>
      <w:r w:rsidRPr="00282AC9">
        <w:rPr>
          <w:rFonts w:hint="cs"/>
          <w:sz w:val="27"/>
          <w:rtl/>
        </w:rPr>
        <w:t xml:space="preserve">من جهة عقم الرجل </w:t>
      </w:r>
      <w:r w:rsidR="003732C0" w:rsidRPr="00282AC9">
        <w:rPr>
          <w:rFonts w:hint="cs"/>
          <w:sz w:val="27"/>
          <w:rtl/>
        </w:rPr>
        <w:t xml:space="preserve">مثلاً ـ </w:t>
      </w:r>
      <w:r w:rsidRPr="00282AC9">
        <w:rPr>
          <w:rFonts w:hint="cs"/>
          <w:sz w:val="27"/>
          <w:rtl/>
        </w:rPr>
        <w:t>فلا موجب لهذا الن</w:t>
      </w:r>
      <w:r w:rsidR="003732C0" w:rsidRPr="00282AC9">
        <w:rPr>
          <w:rFonts w:hint="cs"/>
          <w:sz w:val="27"/>
          <w:rtl/>
        </w:rPr>
        <w:t>َّ</w:t>
      </w:r>
      <w:r w:rsidRPr="00282AC9">
        <w:rPr>
          <w:rFonts w:hint="cs"/>
          <w:sz w:val="27"/>
          <w:rtl/>
        </w:rPr>
        <w:t>ه</w:t>
      </w:r>
      <w:r w:rsidR="006331DD" w:rsidRPr="00282AC9">
        <w:rPr>
          <w:rFonts w:hint="cs"/>
          <w:sz w:val="27"/>
          <w:rtl/>
        </w:rPr>
        <w:t>ْ</w:t>
      </w:r>
      <w:r w:rsidRPr="00282AC9">
        <w:rPr>
          <w:rFonts w:hint="cs"/>
          <w:sz w:val="27"/>
          <w:rtl/>
        </w:rPr>
        <w:t xml:space="preserve">ي. </w:t>
      </w:r>
    </w:p>
    <w:p w:rsidR="001153F1" w:rsidRPr="00282AC9" w:rsidRDefault="006331DD" w:rsidP="007051D6">
      <w:pPr>
        <w:rPr>
          <w:sz w:val="27"/>
          <w:rtl/>
        </w:rPr>
      </w:pPr>
      <w:r w:rsidRPr="00282AC9">
        <w:rPr>
          <w:rFonts w:hint="cs"/>
          <w:sz w:val="27"/>
          <w:rtl/>
        </w:rPr>
        <w:t>و</w:t>
      </w:r>
      <w:r w:rsidR="001153F1" w:rsidRPr="00282AC9">
        <w:rPr>
          <w:rFonts w:hint="cs"/>
          <w:sz w:val="27"/>
          <w:rtl/>
        </w:rPr>
        <w:t>لا نستطيع أن نحصر غايات الزواج في الإنجاب</w:t>
      </w:r>
      <w:r w:rsidRPr="00282AC9">
        <w:rPr>
          <w:rFonts w:hint="cs"/>
          <w:sz w:val="27"/>
          <w:rtl/>
        </w:rPr>
        <w:t>؛</w:t>
      </w:r>
      <w:r w:rsidR="001153F1" w:rsidRPr="00282AC9">
        <w:rPr>
          <w:rFonts w:hint="cs"/>
          <w:sz w:val="27"/>
          <w:rtl/>
        </w:rPr>
        <w:t xml:space="preserve"> فإنّ المرأة العاقر</w:t>
      </w:r>
      <w:r w:rsidRPr="00282AC9">
        <w:rPr>
          <w:rFonts w:hint="cs"/>
          <w:sz w:val="27"/>
          <w:rtl/>
        </w:rPr>
        <w:t>،</w:t>
      </w:r>
      <w:r w:rsidR="001153F1" w:rsidRPr="00282AC9">
        <w:rPr>
          <w:rFonts w:hint="cs"/>
          <w:sz w:val="27"/>
          <w:rtl/>
        </w:rPr>
        <w:t xml:space="preserve"> </w:t>
      </w:r>
      <w:r w:rsidRPr="00282AC9">
        <w:rPr>
          <w:rFonts w:hint="cs"/>
          <w:sz w:val="27"/>
          <w:rtl/>
        </w:rPr>
        <w:t>و</w:t>
      </w:r>
      <w:r w:rsidR="001153F1" w:rsidRPr="00282AC9">
        <w:rPr>
          <w:rFonts w:hint="cs"/>
          <w:sz w:val="27"/>
          <w:rtl/>
        </w:rPr>
        <w:t>خاص</w:t>
      </w:r>
      <w:r w:rsidRPr="00282AC9">
        <w:rPr>
          <w:rFonts w:hint="cs"/>
          <w:sz w:val="27"/>
          <w:rtl/>
        </w:rPr>
        <w:t>ّ</w:t>
      </w:r>
      <w:r w:rsidR="001153F1" w:rsidRPr="00282AC9">
        <w:rPr>
          <w:rFonts w:hint="cs"/>
          <w:sz w:val="27"/>
          <w:rtl/>
        </w:rPr>
        <w:t>ةً في ظّل ثقافة تعدّ</w:t>
      </w:r>
      <w:r w:rsidRPr="00282AC9">
        <w:rPr>
          <w:rFonts w:hint="cs"/>
          <w:sz w:val="27"/>
          <w:rtl/>
        </w:rPr>
        <w:t>ُ</w:t>
      </w:r>
      <w:r w:rsidR="001153F1" w:rsidRPr="00282AC9">
        <w:rPr>
          <w:rFonts w:hint="cs"/>
          <w:sz w:val="27"/>
          <w:rtl/>
        </w:rPr>
        <w:t>د الزوجات</w:t>
      </w:r>
      <w:r w:rsidRPr="00282AC9">
        <w:rPr>
          <w:rFonts w:hint="cs"/>
          <w:sz w:val="27"/>
          <w:rtl/>
        </w:rPr>
        <w:t>،</w:t>
      </w:r>
      <w:r w:rsidR="001153F1" w:rsidRPr="00282AC9">
        <w:rPr>
          <w:rFonts w:hint="cs"/>
          <w:sz w:val="27"/>
          <w:rtl/>
        </w:rPr>
        <w:t xml:space="preserve"> وفي ظل</w:t>
      </w:r>
      <w:r w:rsidRPr="00282AC9">
        <w:rPr>
          <w:rFonts w:hint="cs"/>
          <w:sz w:val="27"/>
          <w:rtl/>
        </w:rPr>
        <w:t>ّ</w:t>
      </w:r>
      <w:r w:rsidR="001153F1" w:rsidRPr="00282AC9">
        <w:rPr>
          <w:rFonts w:hint="cs"/>
          <w:sz w:val="27"/>
          <w:rtl/>
        </w:rPr>
        <w:t xml:space="preserve"> ثقافة الإماء وملك اليمين أيضاً</w:t>
      </w:r>
      <w:r w:rsidRPr="00282AC9">
        <w:rPr>
          <w:rFonts w:hint="cs"/>
          <w:sz w:val="27"/>
          <w:rtl/>
        </w:rPr>
        <w:t>،</w:t>
      </w:r>
      <w:r w:rsidR="001153F1" w:rsidRPr="00282AC9">
        <w:rPr>
          <w:rFonts w:hint="cs"/>
          <w:sz w:val="27"/>
          <w:rtl/>
        </w:rPr>
        <w:t xml:space="preserve"> حت</w:t>
      </w:r>
      <w:r w:rsidRPr="00282AC9">
        <w:rPr>
          <w:rFonts w:hint="cs"/>
          <w:sz w:val="27"/>
          <w:rtl/>
        </w:rPr>
        <w:t>ّ</w:t>
      </w:r>
      <w:r w:rsidR="001153F1" w:rsidRPr="00282AC9">
        <w:rPr>
          <w:rFonts w:hint="cs"/>
          <w:sz w:val="27"/>
          <w:rtl/>
        </w:rPr>
        <w:t>ى لو لم تنجب، كانت تنفع في تربية أولاده</w:t>
      </w:r>
      <w:r w:rsidRPr="00282AC9">
        <w:rPr>
          <w:rFonts w:hint="cs"/>
          <w:sz w:val="27"/>
          <w:rtl/>
        </w:rPr>
        <w:t>،</w:t>
      </w:r>
      <w:r w:rsidR="001153F1" w:rsidRPr="00282AC9">
        <w:rPr>
          <w:rFonts w:hint="cs"/>
          <w:sz w:val="27"/>
          <w:rtl/>
        </w:rPr>
        <w:t xml:space="preserve"> وفي العطف والإحسان </w:t>
      </w:r>
      <w:r w:rsidRPr="00282AC9">
        <w:rPr>
          <w:rFonts w:hint="cs"/>
          <w:sz w:val="27"/>
          <w:rtl/>
        </w:rPr>
        <w:t>على</w:t>
      </w:r>
      <w:r w:rsidR="001153F1" w:rsidRPr="00282AC9">
        <w:rPr>
          <w:rFonts w:hint="cs"/>
          <w:sz w:val="27"/>
          <w:rtl/>
        </w:rPr>
        <w:t xml:space="preserve"> الزوج</w:t>
      </w:r>
      <w:r w:rsidRPr="00282AC9">
        <w:rPr>
          <w:rFonts w:hint="cs"/>
          <w:sz w:val="27"/>
          <w:rtl/>
        </w:rPr>
        <w:t>،</w:t>
      </w:r>
      <w:r w:rsidR="001153F1" w:rsidRPr="00282AC9">
        <w:rPr>
          <w:rFonts w:hint="cs"/>
          <w:sz w:val="27"/>
          <w:rtl/>
        </w:rPr>
        <w:t xml:space="preserve"> وما شابه ذلك.</w:t>
      </w:r>
    </w:p>
    <w:p w:rsidR="001153F1" w:rsidRPr="00282AC9" w:rsidRDefault="001153F1" w:rsidP="007051D6">
      <w:pPr>
        <w:rPr>
          <w:sz w:val="27"/>
          <w:rtl/>
        </w:rPr>
      </w:pPr>
      <w:r w:rsidRPr="00282AC9">
        <w:rPr>
          <w:rFonts w:hint="cs"/>
          <w:sz w:val="27"/>
          <w:rtl/>
        </w:rPr>
        <w:t>على أن الرجل الكبير</w:t>
      </w:r>
      <w:r w:rsidR="006331DD" w:rsidRPr="00282AC9">
        <w:rPr>
          <w:rFonts w:hint="cs"/>
          <w:sz w:val="27"/>
          <w:rtl/>
        </w:rPr>
        <w:t>،</w:t>
      </w:r>
      <w:r w:rsidRPr="00282AC9">
        <w:rPr>
          <w:rFonts w:hint="cs"/>
          <w:sz w:val="27"/>
          <w:rtl/>
        </w:rPr>
        <w:t xml:space="preserve"> الذي توفّ</w:t>
      </w:r>
      <w:r w:rsidR="006331DD" w:rsidRPr="00282AC9">
        <w:rPr>
          <w:rFonts w:hint="cs"/>
          <w:sz w:val="27"/>
          <w:rtl/>
        </w:rPr>
        <w:t>ِ</w:t>
      </w:r>
      <w:r w:rsidRPr="00282AC9">
        <w:rPr>
          <w:rFonts w:hint="cs"/>
          <w:sz w:val="27"/>
          <w:rtl/>
        </w:rPr>
        <w:t>يت زوجته</w:t>
      </w:r>
      <w:r w:rsidR="006331DD" w:rsidRPr="00282AC9">
        <w:rPr>
          <w:rFonts w:hint="cs"/>
          <w:sz w:val="27"/>
          <w:rtl/>
        </w:rPr>
        <w:t>،</w:t>
      </w:r>
      <w:r w:rsidRPr="00282AC9">
        <w:rPr>
          <w:rFonts w:hint="cs"/>
          <w:sz w:val="27"/>
          <w:rtl/>
        </w:rPr>
        <w:t xml:space="preserve"> قد يحتاج ل</w:t>
      </w:r>
      <w:r w:rsidR="006331DD" w:rsidRPr="00282AC9">
        <w:rPr>
          <w:rFonts w:hint="cs"/>
          <w:sz w:val="27"/>
          <w:rtl/>
        </w:rPr>
        <w:t>ا</w:t>
      </w:r>
      <w:r w:rsidRPr="00282AC9">
        <w:rPr>
          <w:rFonts w:hint="cs"/>
          <w:sz w:val="27"/>
          <w:rtl/>
        </w:rPr>
        <w:t>مر</w:t>
      </w:r>
      <w:r w:rsidR="006331DD" w:rsidRPr="00282AC9">
        <w:rPr>
          <w:rFonts w:hint="cs"/>
          <w:sz w:val="27"/>
          <w:rtl/>
        </w:rPr>
        <w:t>أ</w:t>
      </w:r>
      <w:r w:rsidRPr="00282AC9">
        <w:rPr>
          <w:rFonts w:hint="cs"/>
          <w:sz w:val="27"/>
          <w:rtl/>
        </w:rPr>
        <w:t>ة</w:t>
      </w:r>
      <w:r w:rsidR="006331DD" w:rsidRPr="00282AC9">
        <w:rPr>
          <w:rFonts w:hint="cs"/>
          <w:sz w:val="27"/>
          <w:rtl/>
        </w:rPr>
        <w:t>ٍ</w:t>
      </w:r>
      <w:r w:rsidRPr="00282AC9">
        <w:rPr>
          <w:rFonts w:hint="cs"/>
          <w:sz w:val="27"/>
          <w:rtl/>
        </w:rPr>
        <w:t xml:space="preserve"> لا تنجب</w:t>
      </w:r>
      <w:r w:rsidR="006331DD" w:rsidRPr="00282AC9">
        <w:rPr>
          <w:rFonts w:hint="cs"/>
          <w:sz w:val="27"/>
          <w:rtl/>
        </w:rPr>
        <w:t>.</w:t>
      </w:r>
      <w:r w:rsidRPr="00282AC9">
        <w:rPr>
          <w:rFonts w:hint="cs"/>
          <w:sz w:val="27"/>
          <w:rtl/>
        </w:rPr>
        <w:t xml:space="preserve"> وهذا شائعٌ كثيراً، حيث يبحث الرجال الكبار</w:t>
      </w:r>
      <w:r w:rsidR="006331DD" w:rsidRPr="00282AC9">
        <w:rPr>
          <w:rFonts w:hint="cs"/>
          <w:sz w:val="27"/>
          <w:rtl/>
        </w:rPr>
        <w:t>،</w:t>
      </w:r>
      <w:r w:rsidRPr="00282AC9">
        <w:rPr>
          <w:rFonts w:hint="cs"/>
          <w:sz w:val="27"/>
          <w:rtl/>
        </w:rPr>
        <w:t xml:space="preserve"> الذين لهم أولاد</w:t>
      </w:r>
      <w:r w:rsidR="006331DD" w:rsidRPr="00282AC9">
        <w:rPr>
          <w:rFonts w:hint="cs"/>
          <w:sz w:val="27"/>
          <w:rtl/>
        </w:rPr>
        <w:t>ٌ،</w:t>
      </w:r>
      <w:r w:rsidRPr="00282AC9">
        <w:rPr>
          <w:rFonts w:hint="cs"/>
          <w:sz w:val="27"/>
          <w:rtl/>
        </w:rPr>
        <w:t xml:space="preserve"> وتوفّ</w:t>
      </w:r>
      <w:r w:rsidR="006331DD" w:rsidRPr="00282AC9">
        <w:rPr>
          <w:rFonts w:hint="cs"/>
          <w:sz w:val="27"/>
          <w:rtl/>
        </w:rPr>
        <w:t>ِ</w:t>
      </w:r>
      <w:r w:rsidRPr="00282AC9">
        <w:rPr>
          <w:rFonts w:hint="cs"/>
          <w:sz w:val="27"/>
          <w:rtl/>
        </w:rPr>
        <w:t>يت زوجاتهم</w:t>
      </w:r>
      <w:r w:rsidR="006331DD" w:rsidRPr="00282AC9">
        <w:rPr>
          <w:rFonts w:hint="cs"/>
          <w:sz w:val="27"/>
          <w:rtl/>
        </w:rPr>
        <w:t>،</w:t>
      </w:r>
      <w:r w:rsidRPr="00282AC9">
        <w:rPr>
          <w:rFonts w:hint="cs"/>
          <w:sz w:val="27"/>
          <w:rtl/>
        </w:rPr>
        <w:t xml:space="preserve"> عن امرأة</w:t>
      </w:r>
      <w:r w:rsidR="006331DD" w:rsidRPr="00282AC9">
        <w:rPr>
          <w:rFonts w:hint="cs"/>
          <w:sz w:val="27"/>
          <w:rtl/>
        </w:rPr>
        <w:t>ٍ</w:t>
      </w:r>
      <w:r w:rsidRPr="00282AC9">
        <w:rPr>
          <w:rFonts w:hint="cs"/>
          <w:sz w:val="27"/>
          <w:rtl/>
        </w:rPr>
        <w:t xml:space="preserve"> أخرى عاقر</w:t>
      </w:r>
      <w:r w:rsidR="006331DD" w:rsidRPr="00282AC9">
        <w:rPr>
          <w:rFonts w:hint="cs"/>
          <w:sz w:val="27"/>
          <w:rtl/>
        </w:rPr>
        <w:t>ٍ</w:t>
      </w:r>
      <w:r w:rsidRPr="00282AC9">
        <w:rPr>
          <w:rFonts w:hint="cs"/>
          <w:sz w:val="27"/>
          <w:rtl/>
        </w:rPr>
        <w:t xml:space="preserve">، فلماذا النهي عن التزويج بالمرأة العاقر بالمطلق، مع أن </w:t>
      </w:r>
      <w:r w:rsidR="006331DD" w:rsidRPr="00282AC9">
        <w:rPr>
          <w:rFonts w:hint="cs"/>
          <w:sz w:val="27"/>
          <w:rtl/>
        </w:rPr>
        <w:t>ل</w:t>
      </w:r>
      <w:r w:rsidRPr="00282AC9">
        <w:rPr>
          <w:rFonts w:hint="cs"/>
          <w:sz w:val="27"/>
          <w:rtl/>
        </w:rPr>
        <w:t>هذه المرأة حق</w:t>
      </w:r>
      <w:r w:rsidR="006331DD" w:rsidRPr="00282AC9">
        <w:rPr>
          <w:rFonts w:hint="cs"/>
          <w:sz w:val="27"/>
          <w:rtl/>
        </w:rPr>
        <w:t>ّ</w:t>
      </w:r>
      <w:r w:rsidRPr="00282AC9">
        <w:rPr>
          <w:rFonts w:hint="cs"/>
          <w:sz w:val="27"/>
          <w:rtl/>
        </w:rPr>
        <w:t xml:space="preserve"> الزواج</w:t>
      </w:r>
      <w:r w:rsidR="006331DD" w:rsidRPr="00282AC9">
        <w:rPr>
          <w:rFonts w:hint="cs"/>
          <w:sz w:val="27"/>
          <w:rtl/>
        </w:rPr>
        <w:t>،</w:t>
      </w:r>
      <w:r w:rsidRPr="00282AC9">
        <w:rPr>
          <w:rFonts w:hint="cs"/>
          <w:sz w:val="27"/>
          <w:rtl/>
        </w:rPr>
        <w:t xml:space="preserve"> </w:t>
      </w:r>
      <w:r w:rsidR="006331DD" w:rsidRPr="00282AC9">
        <w:rPr>
          <w:rFonts w:hint="cs"/>
          <w:sz w:val="27"/>
          <w:rtl/>
        </w:rPr>
        <w:t>وهو</w:t>
      </w:r>
      <w:r w:rsidRPr="00282AC9">
        <w:rPr>
          <w:rFonts w:hint="cs"/>
          <w:sz w:val="27"/>
          <w:rtl/>
        </w:rPr>
        <w:t xml:space="preserve"> شيء</w:t>
      </w:r>
      <w:r w:rsidR="006331DD" w:rsidRPr="00282AC9">
        <w:rPr>
          <w:rFonts w:hint="cs"/>
          <w:sz w:val="27"/>
          <w:rtl/>
        </w:rPr>
        <w:t>ٌ</w:t>
      </w:r>
      <w:r w:rsidRPr="00282AC9">
        <w:rPr>
          <w:rFonts w:hint="cs"/>
          <w:sz w:val="27"/>
          <w:rtl/>
        </w:rPr>
        <w:t xml:space="preserve"> ف</w:t>
      </w:r>
      <w:r w:rsidR="006331DD" w:rsidRPr="00282AC9">
        <w:rPr>
          <w:rFonts w:hint="cs"/>
          <w:sz w:val="27"/>
          <w:rtl/>
        </w:rPr>
        <w:t>ُ</w:t>
      </w:r>
      <w:r w:rsidRPr="00282AC9">
        <w:rPr>
          <w:rFonts w:hint="cs"/>
          <w:sz w:val="27"/>
          <w:rtl/>
        </w:rPr>
        <w:t>طر</w:t>
      </w:r>
      <w:r w:rsidR="006331DD" w:rsidRPr="00282AC9">
        <w:rPr>
          <w:rFonts w:hint="cs"/>
          <w:sz w:val="27"/>
          <w:rtl/>
        </w:rPr>
        <w:t>َ</w:t>
      </w:r>
      <w:r w:rsidRPr="00282AC9">
        <w:rPr>
          <w:rFonts w:hint="cs"/>
          <w:sz w:val="27"/>
          <w:rtl/>
        </w:rPr>
        <w:t>ت</w:t>
      </w:r>
      <w:r w:rsidR="006331DD" w:rsidRPr="00282AC9">
        <w:rPr>
          <w:rFonts w:hint="cs"/>
          <w:sz w:val="27"/>
          <w:rtl/>
        </w:rPr>
        <w:t>ْ</w:t>
      </w:r>
      <w:r w:rsidRPr="00282AC9">
        <w:rPr>
          <w:rFonts w:hint="cs"/>
          <w:sz w:val="27"/>
          <w:rtl/>
        </w:rPr>
        <w:t xml:space="preserve"> عليه</w:t>
      </w:r>
      <w:r w:rsidR="006331DD" w:rsidRPr="00282AC9">
        <w:rPr>
          <w:rFonts w:hint="cs"/>
          <w:sz w:val="27"/>
          <w:rtl/>
        </w:rPr>
        <w:t>،</w:t>
      </w:r>
      <w:r w:rsidRPr="00282AC9">
        <w:rPr>
          <w:rFonts w:hint="cs"/>
          <w:sz w:val="27"/>
          <w:rtl/>
        </w:rPr>
        <w:t xml:space="preserve"> </w:t>
      </w:r>
      <w:r w:rsidR="00C14D8D" w:rsidRPr="00282AC9">
        <w:rPr>
          <w:rFonts w:hint="cs"/>
          <w:sz w:val="27"/>
          <w:rtl/>
        </w:rPr>
        <w:t>وتحتاجه</w:t>
      </w:r>
      <w:r w:rsidRPr="00282AC9">
        <w:rPr>
          <w:rFonts w:hint="cs"/>
          <w:sz w:val="27"/>
          <w:rtl/>
        </w:rPr>
        <w:t>؟</w:t>
      </w:r>
      <w:r w:rsidR="00C14D8D" w:rsidRPr="00282AC9">
        <w:rPr>
          <w:rFonts w:hint="cs"/>
          <w:sz w:val="27"/>
          <w:rtl/>
        </w:rPr>
        <w:t>!</w:t>
      </w:r>
      <w:r w:rsidRPr="00282AC9">
        <w:rPr>
          <w:rFonts w:hint="cs"/>
          <w:sz w:val="27"/>
          <w:rtl/>
        </w:rPr>
        <w:t xml:space="preserve"> وإذا فسدت هذه المرأة فهي أشد</w:t>
      </w:r>
      <w:r w:rsidR="006331DD" w:rsidRPr="00282AC9">
        <w:rPr>
          <w:rFonts w:hint="cs"/>
          <w:sz w:val="27"/>
          <w:rtl/>
        </w:rPr>
        <w:t>ُّ</w:t>
      </w:r>
      <w:r w:rsidRPr="00282AC9">
        <w:rPr>
          <w:rFonts w:hint="cs"/>
          <w:sz w:val="27"/>
          <w:rtl/>
        </w:rPr>
        <w:t xml:space="preserve"> إفساداً للمجتمع من المرأة التي تنجب</w:t>
      </w:r>
      <w:r w:rsidR="00C14D8D" w:rsidRPr="00282AC9">
        <w:rPr>
          <w:rFonts w:hint="cs"/>
          <w:sz w:val="27"/>
          <w:rtl/>
        </w:rPr>
        <w:t>؛</w:t>
      </w:r>
      <w:r w:rsidRPr="00282AC9">
        <w:rPr>
          <w:rFonts w:hint="cs"/>
          <w:sz w:val="27"/>
          <w:rtl/>
        </w:rPr>
        <w:t xml:space="preserve"> إذ ليس هناك قلق</w:t>
      </w:r>
      <w:r w:rsidR="00C14D8D" w:rsidRPr="00282AC9">
        <w:rPr>
          <w:rFonts w:hint="cs"/>
          <w:sz w:val="27"/>
          <w:rtl/>
        </w:rPr>
        <w:t>ٌ</w:t>
      </w:r>
      <w:r w:rsidRPr="00282AC9">
        <w:rPr>
          <w:rFonts w:hint="cs"/>
          <w:sz w:val="27"/>
          <w:rtl/>
        </w:rPr>
        <w:t xml:space="preserve"> من ح</w:t>
      </w:r>
      <w:r w:rsidR="00C14D8D" w:rsidRPr="00282AC9">
        <w:rPr>
          <w:rFonts w:hint="cs"/>
          <w:sz w:val="27"/>
          <w:rtl/>
        </w:rPr>
        <w:t>َ</w:t>
      </w:r>
      <w:r w:rsidRPr="00282AC9">
        <w:rPr>
          <w:rFonts w:hint="cs"/>
          <w:sz w:val="27"/>
          <w:rtl/>
        </w:rPr>
        <w:t>م</w:t>
      </w:r>
      <w:r w:rsidR="00C14D8D" w:rsidRPr="00282AC9">
        <w:rPr>
          <w:rFonts w:hint="cs"/>
          <w:sz w:val="27"/>
          <w:rtl/>
        </w:rPr>
        <w:t>ْ</w:t>
      </w:r>
      <w:r w:rsidRPr="00282AC9">
        <w:rPr>
          <w:rFonts w:hint="cs"/>
          <w:sz w:val="27"/>
          <w:rtl/>
        </w:rPr>
        <w:t>لها.</w:t>
      </w:r>
    </w:p>
    <w:p w:rsidR="00AE54C9" w:rsidRPr="00282AC9" w:rsidRDefault="00AE54C9" w:rsidP="00AE54C9">
      <w:pPr>
        <w:spacing w:line="420" w:lineRule="exact"/>
        <w:rPr>
          <w:sz w:val="27"/>
          <w:rtl/>
        </w:rPr>
      </w:pPr>
    </w:p>
    <w:p w:rsidR="001153F1" w:rsidRPr="00282AC9" w:rsidRDefault="0043536C" w:rsidP="00AF3EF3">
      <w:pPr>
        <w:pStyle w:val="31"/>
        <w:rPr>
          <w:color w:val="auto"/>
          <w:rtl/>
        </w:rPr>
      </w:pPr>
      <w:r w:rsidRPr="00282AC9">
        <w:rPr>
          <w:rFonts w:ascii="Arial" w:hAnsi="Arial" w:hint="cs"/>
          <w:color w:val="auto"/>
          <w:rtl/>
        </w:rPr>
        <w:t>7ـ</w:t>
      </w:r>
      <w:r w:rsidR="001153F1" w:rsidRPr="00282AC9">
        <w:rPr>
          <w:rFonts w:hint="cs"/>
          <w:color w:val="auto"/>
          <w:rtl/>
        </w:rPr>
        <w:t xml:space="preserve"> مآلات تطبيق هذا الحكم في المجتمع، قراءة</w:t>
      </w:r>
      <w:r w:rsidR="00C14D8D" w:rsidRPr="00282AC9">
        <w:rPr>
          <w:rFonts w:hint="cs"/>
          <w:color w:val="auto"/>
          <w:rtl/>
        </w:rPr>
        <w:t>ٌ</w:t>
      </w:r>
      <w:r w:rsidR="001153F1" w:rsidRPr="00282AC9">
        <w:rPr>
          <w:rFonts w:hint="cs"/>
          <w:color w:val="auto"/>
          <w:rtl/>
        </w:rPr>
        <w:t xml:space="preserve"> ميدانية</w:t>
      </w:r>
    </w:p>
    <w:p w:rsidR="001153F1" w:rsidRPr="00282AC9" w:rsidRDefault="00C14D8D" w:rsidP="007051D6">
      <w:pPr>
        <w:rPr>
          <w:sz w:val="27"/>
          <w:rtl/>
        </w:rPr>
      </w:pPr>
      <w:r w:rsidRPr="00282AC9">
        <w:rPr>
          <w:rFonts w:hint="cs"/>
          <w:sz w:val="27"/>
          <w:rtl/>
        </w:rPr>
        <w:t xml:space="preserve">يوجِّه </w:t>
      </w:r>
      <w:r w:rsidR="001153F1" w:rsidRPr="00282AC9">
        <w:rPr>
          <w:rFonts w:hint="cs"/>
          <w:sz w:val="27"/>
          <w:rtl/>
        </w:rPr>
        <w:t>النبي</w:t>
      </w:r>
      <w:r w:rsidRPr="00282AC9">
        <w:rPr>
          <w:rFonts w:hint="cs"/>
          <w:sz w:val="27"/>
          <w:rtl/>
        </w:rPr>
        <w:t>ُّ</w:t>
      </w:r>
      <w:r w:rsidR="001153F1" w:rsidRPr="00282AC9">
        <w:rPr>
          <w:rFonts w:hint="cs"/>
          <w:sz w:val="27"/>
          <w:rtl/>
        </w:rPr>
        <w:t xml:space="preserve"> المسلمين </w:t>
      </w:r>
      <w:r w:rsidRPr="00282AC9">
        <w:rPr>
          <w:rFonts w:hint="cs"/>
          <w:sz w:val="27"/>
          <w:rtl/>
        </w:rPr>
        <w:t>إلى ا</w:t>
      </w:r>
      <w:r w:rsidR="001153F1" w:rsidRPr="00282AC9">
        <w:rPr>
          <w:rFonts w:hint="cs"/>
          <w:sz w:val="27"/>
          <w:rtl/>
        </w:rPr>
        <w:t>لزواج من الولود</w:t>
      </w:r>
      <w:r w:rsidRPr="00282AC9">
        <w:rPr>
          <w:rFonts w:hint="cs"/>
          <w:sz w:val="27"/>
          <w:rtl/>
        </w:rPr>
        <w:t>،</w:t>
      </w:r>
      <w:r w:rsidR="001153F1" w:rsidRPr="00282AC9">
        <w:rPr>
          <w:rFonts w:hint="cs"/>
          <w:sz w:val="27"/>
          <w:rtl/>
        </w:rPr>
        <w:t xml:space="preserve"> وينه</w:t>
      </w:r>
      <w:r w:rsidRPr="00282AC9">
        <w:rPr>
          <w:rFonts w:hint="cs"/>
          <w:sz w:val="27"/>
          <w:rtl/>
        </w:rPr>
        <w:t>ى</w:t>
      </w:r>
      <w:r w:rsidR="001153F1" w:rsidRPr="00282AC9">
        <w:rPr>
          <w:rFonts w:hint="cs"/>
          <w:sz w:val="27"/>
          <w:rtl/>
        </w:rPr>
        <w:t xml:space="preserve"> </w:t>
      </w:r>
      <w:r w:rsidRPr="00282AC9">
        <w:rPr>
          <w:rFonts w:hint="cs"/>
          <w:sz w:val="27"/>
          <w:rtl/>
        </w:rPr>
        <w:t>ع</w:t>
      </w:r>
      <w:r w:rsidR="001153F1" w:rsidRPr="00282AC9">
        <w:rPr>
          <w:rFonts w:hint="cs"/>
          <w:sz w:val="27"/>
          <w:rtl/>
        </w:rPr>
        <w:t>ن الزواج من المرأة العقيم</w:t>
      </w:r>
      <w:r w:rsidRPr="00282AC9">
        <w:rPr>
          <w:rFonts w:hint="cs"/>
          <w:sz w:val="27"/>
          <w:rtl/>
        </w:rPr>
        <w:t>.</w:t>
      </w:r>
      <w:r w:rsidR="001153F1" w:rsidRPr="00282AC9">
        <w:rPr>
          <w:rFonts w:hint="cs"/>
          <w:sz w:val="27"/>
          <w:rtl/>
        </w:rPr>
        <w:t xml:space="preserve"> وهذا يثير تساؤلاً حول مصير المرأة العاقر في المجتمع</w:t>
      </w:r>
      <w:r w:rsidRPr="00282AC9">
        <w:rPr>
          <w:rFonts w:hint="cs"/>
          <w:sz w:val="27"/>
          <w:rtl/>
        </w:rPr>
        <w:t>؟</w:t>
      </w:r>
      <w:r w:rsidR="001153F1" w:rsidRPr="00282AC9">
        <w:rPr>
          <w:rFonts w:hint="cs"/>
          <w:sz w:val="27"/>
          <w:rtl/>
        </w:rPr>
        <w:t xml:space="preserve"> ما هي قراءة المقنّ</w:t>
      </w:r>
      <w:r w:rsidRPr="00282AC9">
        <w:rPr>
          <w:rFonts w:hint="cs"/>
          <w:sz w:val="27"/>
          <w:rtl/>
        </w:rPr>
        <w:t>ِ</w:t>
      </w:r>
      <w:r w:rsidR="001153F1" w:rsidRPr="00282AC9">
        <w:rPr>
          <w:rFonts w:hint="cs"/>
          <w:sz w:val="27"/>
          <w:rtl/>
        </w:rPr>
        <w:t>ن الإسلامي</w:t>
      </w:r>
      <w:r w:rsidRPr="00282AC9">
        <w:rPr>
          <w:rFonts w:hint="cs"/>
          <w:sz w:val="27"/>
          <w:rtl/>
        </w:rPr>
        <w:t>،</w:t>
      </w:r>
      <w:r w:rsidR="001153F1" w:rsidRPr="00282AC9">
        <w:rPr>
          <w:rFonts w:hint="cs"/>
          <w:sz w:val="27"/>
          <w:rtl/>
        </w:rPr>
        <w:t xml:space="preserve"> </w:t>
      </w:r>
      <w:r w:rsidRPr="00282AC9">
        <w:rPr>
          <w:rFonts w:hint="cs"/>
          <w:sz w:val="27"/>
          <w:rtl/>
        </w:rPr>
        <w:t>عندما</w:t>
      </w:r>
      <w:r w:rsidR="001153F1" w:rsidRPr="00282AC9">
        <w:rPr>
          <w:rFonts w:hint="cs"/>
          <w:sz w:val="27"/>
          <w:rtl/>
        </w:rPr>
        <w:t xml:space="preserve"> يحثّ على الزواج من المرأة الولود</w:t>
      </w:r>
      <w:r w:rsidRPr="00282AC9">
        <w:rPr>
          <w:rFonts w:hint="cs"/>
          <w:sz w:val="27"/>
          <w:rtl/>
        </w:rPr>
        <w:t>،</w:t>
      </w:r>
      <w:r w:rsidR="001153F1" w:rsidRPr="00282AC9">
        <w:rPr>
          <w:rFonts w:hint="cs"/>
          <w:sz w:val="27"/>
          <w:rtl/>
        </w:rPr>
        <w:t xml:space="preserve"> وفي المقابل ينهى </w:t>
      </w:r>
      <w:r w:rsidRPr="00282AC9">
        <w:rPr>
          <w:rFonts w:hint="cs"/>
          <w:sz w:val="27"/>
          <w:rtl/>
        </w:rPr>
        <w:t>ع</w:t>
      </w:r>
      <w:r w:rsidR="001153F1" w:rsidRPr="00282AC9">
        <w:rPr>
          <w:rFonts w:hint="cs"/>
          <w:sz w:val="27"/>
          <w:rtl/>
        </w:rPr>
        <w:t>ن الزواج من المرأة العاقر</w:t>
      </w:r>
      <w:r w:rsidRPr="00282AC9">
        <w:rPr>
          <w:rFonts w:hint="cs"/>
          <w:sz w:val="27"/>
          <w:rtl/>
        </w:rPr>
        <w:t>،</w:t>
      </w:r>
      <w:r w:rsidR="001153F1" w:rsidRPr="00282AC9">
        <w:rPr>
          <w:rFonts w:hint="cs"/>
          <w:sz w:val="27"/>
          <w:rtl/>
        </w:rPr>
        <w:t xml:space="preserve"> لمصير المرأة العاقر في المجتمع؟ </w:t>
      </w:r>
    </w:p>
    <w:p w:rsidR="001153F1" w:rsidRPr="00282AC9" w:rsidRDefault="001153F1" w:rsidP="007051D6">
      <w:pPr>
        <w:rPr>
          <w:sz w:val="27"/>
          <w:rtl/>
        </w:rPr>
      </w:pPr>
      <w:r w:rsidRPr="00282AC9">
        <w:rPr>
          <w:rFonts w:hint="cs"/>
          <w:sz w:val="27"/>
          <w:rtl/>
        </w:rPr>
        <w:t>لنفرض أنّ الناس التزم</w:t>
      </w:r>
      <w:r w:rsidR="00C14D8D" w:rsidRPr="00282AC9">
        <w:rPr>
          <w:rFonts w:hint="cs"/>
          <w:sz w:val="27"/>
          <w:rtl/>
        </w:rPr>
        <w:t>َ</w:t>
      </w:r>
      <w:r w:rsidRPr="00282AC9">
        <w:rPr>
          <w:rFonts w:hint="cs"/>
          <w:sz w:val="27"/>
          <w:rtl/>
        </w:rPr>
        <w:t>ت</w:t>
      </w:r>
      <w:r w:rsidR="00C14D8D" w:rsidRPr="00282AC9">
        <w:rPr>
          <w:rFonts w:hint="cs"/>
          <w:sz w:val="27"/>
          <w:rtl/>
        </w:rPr>
        <w:t>ْ</w:t>
      </w:r>
      <w:r w:rsidRPr="00282AC9">
        <w:rPr>
          <w:rFonts w:hint="cs"/>
          <w:sz w:val="27"/>
          <w:rtl/>
        </w:rPr>
        <w:t xml:space="preserve"> بهذه التوجيهات فما هو مصير المرأة العاقر في المجتمع</w:t>
      </w:r>
      <w:r w:rsidR="00C14D8D" w:rsidRPr="00282AC9">
        <w:rPr>
          <w:rFonts w:hint="cs"/>
          <w:sz w:val="27"/>
          <w:rtl/>
        </w:rPr>
        <w:t>؟</w:t>
      </w:r>
      <w:r w:rsidRPr="00282AC9">
        <w:rPr>
          <w:rFonts w:hint="cs"/>
          <w:sz w:val="27"/>
          <w:rtl/>
        </w:rPr>
        <w:t xml:space="preserve"> هل تريدها الشريعة محرومة</w:t>
      </w:r>
      <w:r w:rsidR="00C14D8D" w:rsidRPr="00282AC9">
        <w:rPr>
          <w:rFonts w:hint="cs"/>
          <w:sz w:val="27"/>
          <w:rtl/>
        </w:rPr>
        <w:t>ً</w:t>
      </w:r>
      <w:r w:rsidRPr="00282AC9">
        <w:rPr>
          <w:rFonts w:hint="cs"/>
          <w:sz w:val="27"/>
          <w:rtl/>
        </w:rPr>
        <w:t xml:space="preserve"> من الزوج والحياة الأ</w:t>
      </w:r>
      <w:r w:rsidR="00C14D8D" w:rsidRPr="00282AC9">
        <w:rPr>
          <w:rFonts w:hint="cs"/>
          <w:sz w:val="27"/>
          <w:rtl/>
        </w:rPr>
        <w:t>ُ</w:t>
      </w:r>
      <w:r w:rsidRPr="00282AC9">
        <w:rPr>
          <w:rFonts w:hint="cs"/>
          <w:sz w:val="27"/>
          <w:rtl/>
        </w:rPr>
        <w:t>س</w:t>
      </w:r>
      <w:r w:rsidR="00C14D8D" w:rsidRPr="00282AC9">
        <w:rPr>
          <w:rFonts w:hint="cs"/>
          <w:sz w:val="27"/>
          <w:rtl/>
        </w:rPr>
        <w:t>َ</w:t>
      </w:r>
      <w:r w:rsidRPr="00282AC9">
        <w:rPr>
          <w:rFonts w:hint="cs"/>
          <w:sz w:val="27"/>
          <w:rtl/>
        </w:rPr>
        <w:t>رية</w:t>
      </w:r>
      <w:r w:rsidR="00C14D8D" w:rsidRPr="00282AC9">
        <w:rPr>
          <w:rFonts w:hint="cs"/>
          <w:sz w:val="27"/>
          <w:rtl/>
        </w:rPr>
        <w:t>،</w:t>
      </w:r>
      <w:r w:rsidRPr="00282AC9">
        <w:rPr>
          <w:rFonts w:hint="cs"/>
          <w:sz w:val="27"/>
          <w:rtl/>
        </w:rPr>
        <w:t xml:space="preserve"> مع أنّ الله تبارك وتعالى فطرها على الرغبة في النكاح؟ </w:t>
      </w:r>
      <w:r w:rsidR="00C14D8D" w:rsidRPr="00282AC9">
        <w:rPr>
          <w:rFonts w:hint="cs"/>
          <w:sz w:val="27"/>
          <w:rtl/>
        </w:rPr>
        <w:t>ألا يمكن</w:t>
      </w:r>
      <w:r w:rsidRPr="00282AC9">
        <w:rPr>
          <w:rFonts w:hint="cs"/>
          <w:sz w:val="27"/>
          <w:rtl/>
        </w:rPr>
        <w:t xml:space="preserve"> للشريعة توجيه المسلمين لكي يكون زواجهم المتعد</w:t>
      </w:r>
      <w:r w:rsidR="00C14D8D" w:rsidRPr="00282AC9">
        <w:rPr>
          <w:rFonts w:hint="cs"/>
          <w:sz w:val="27"/>
          <w:rtl/>
        </w:rPr>
        <w:t>ِّ</w:t>
      </w:r>
      <w:r w:rsidRPr="00282AC9">
        <w:rPr>
          <w:rFonts w:hint="cs"/>
          <w:sz w:val="27"/>
          <w:rtl/>
        </w:rPr>
        <w:t xml:space="preserve">د يشمل </w:t>
      </w:r>
      <w:r w:rsidR="00C14D8D" w:rsidRPr="00282AC9">
        <w:rPr>
          <w:rFonts w:hint="cs"/>
          <w:sz w:val="27"/>
          <w:rtl/>
        </w:rPr>
        <w:t>ا</w:t>
      </w:r>
      <w:r w:rsidRPr="00282AC9">
        <w:rPr>
          <w:rFonts w:hint="cs"/>
          <w:sz w:val="27"/>
          <w:rtl/>
        </w:rPr>
        <w:t>مر</w:t>
      </w:r>
      <w:r w:rsidR="00C14D8D" w:rsidRPr="00282AC9">
        <w:rPr>
          <w:rFonts w:hint="cs"/>
          <w:sz w:val="27"/>
          <w:rtl/>
        </w:rPr>
        <w:t>أ</w:t>
      </w:r>
      <w:r w:rsidRPr="00282AC9">
        <w:rPr>
          <w:rFonts w:hint="cs"/>
          <w:sz w:val="27"/>
          <w:rtl/>
        </w:rPr>
        <w:t>ة</w:t>
      </w:r>
      <w:r w:rsidR="00C14D8D" w:rsidRPr="00282AC9">
        <w:rPr>
          <w:rFonts w:hint="cs"/>
          <w:sz w:val="27"/>
          <w:rtl/>
        </w:rPr>
        <w:t>ً</w:t>
      </w:r>
      <w:r w:rsidRPr="00282AC9">
        <w:rPr>
          <w:rFonts w:hint="cs"/>
          <w:sz w:val="27"/>
          <w:rtl/>
        </w:rPr>
        <w:t xml:space="preserve"> غير ولود</w:t>
      </w:r>
      <w:r w:rsidR="00C14D8D" w:rsidRPr="00282AC9">
        <w:rPr>
          <w:rFonts w:hint="cs"/>
          <w:sz w:val="27"/>
          <w:rtl/>
        </w:rPr>
        <w:t>ٍ،</w:t>
      </w:r>
      <w:r w:rsidRPr="00282AC9">
        <w:rPr>
          <w:rFonts w:hint="cs"/>
          <w:sz w:val="27"/>
          <w:rtl/>
        </w:rPr>
        <w:t xml:space="preserve"> في حين كان الزواج المتعدّ</w:t>
      </w:r>
      <w:r w:rsidR="00C14D8D" w:rsidRPr="00282AC9">
        <w:rPr>
          <w:rFonts w:hint="cs"/>
          <w:sz w:val="27"/>
          <w:rtl/>
        </w:rPr>
        <w:t>ِ</w:t>
      </w:r>
      <w:r w:rsidRPr="00282AC9">
        <w:rPr>
          <w:rFonts w:hint="cs"/>
          <w:sz w:val="27"/>
          <w:rtl/>
        </w:rPr>
        <w:t>د سائداً في تلك الفترة؟ وماذا عن التأثيرات السلبي</w:t>
      </w:r>
      <w:r w:rsidR="00CF0EB4" w:rsidRPr="00282AC9">
        <w:rPr>
          <w:rFonts w:hint="cs"/>
          <w:sz w:val="27"/>
          <w:rtl/>
        </w:rPr>
        <w:t>ّ</w:t>
      </w:r>
      <w:r w:rsidRPr="00282AC9">
        <w:rPr>
          <w:rFonts w:hint="cs"/>
          <w:sz w:val="27"/>
          <w:rtl/>
        </w:rPr>
        <w:t>ة التي سوف يتركها في المجتمع الن</w:t>
      </w:r>
      <w:r w:rsidR="00CF0EB4" w:rsidRPr="00282AC9">
        <w:rPr>
          <w:rFonts w:hint="cs"/>
          <w:sz w:val="27"/>
          <w:rtl/>
        </w:rPr>
        <w:t>َّ</w:t>
      </w:r>
      <w:r w:rsidRPr="00282AC9">
        <w:rPr>
          <w:rFonts w:hint="cs"/>
          <w:sz w:val="27"/>
          <w:rtl/>
        </w:rPr>
        <w:t>ه</w:t>
      </w:r>
      <w:r w:rsidR="00CF0EB4" w:rsidRPr="00282AC9">
        <w:rPr>
          <w:rFonts w:hint="cs"/>
          <w:sz w:val="27"/>
          <w:rtl/>
        </w:rPr>
        <w:t>ْ</w:t>
      </w:r>
      <w:r w:rsidRPr="00282AC9">
        <w:rPr>
          <w:rFonts w:hint="cs"/>
          <w:sz w:val="27"/>
          <w:rtl/>
        </w:rPr>
        <w:t>يُ عن الزواج من المرأة العقيم؟</w:t>
      </w:r>
    </w:p>
    <w:p w:rsidR="001153F1" w:rsidRPr="00282AC9" w:rsidRDefault="001153F1" w:rsidP="007051D6">
      <w:pPr>
        <w:rPr>
          <w:sz w:val="27"/>
          <w:rtl/>
        </w:rPr>
      </w:pPr>
      <w:r w:rsidRPr="00282AC9">
        <w:rPr>
          <w:rFonts w:hint="cs"/>
          <w:sz w:val="27"/>
          <w:rtl/>
        </w:rPr>
        <w:t>هذه الأسئلة كلّها تقوّ</w:t>
      </w:r>
      <w:r w:rsidR="00CF0EB4" w:rsidRPr="00282AC9">
        <w:rPr>
          <w:rFonts w:hint="cs"/>
          <w:sz w:val="27"/>
          <w:rtl/>
        </w:rPr>
        <w:t>ِ</w:t>
      </w:r>
      <w:r w:rsidRPr="00282AC9">
        <w:rPr>
          <w:rFonts w:hint="cs"/>
          <w:sz w:val="27"/>
          <w:rtl/>
        </w:rPr>
        <w:t>ي احتمال التاريخاني</w:t>
      </w:r>
      <w:r w:rsidR="00CF0EB4" w:rsidRPr="00282AC9">
        <w:rPr>
          <w:rFonts w:hint="cs"/>
          <w:sz w:val="27"/>
          <w:rtl/>
        </w:rPr>
        <w:t>ّ</w:t>
      </w:r>
      <w:r w:rsidRPr="00282AC9">
        <w:rPr>
          <w:rFonts w:hint="cs"/>
          <w:sz w:val="27"/>
          <w:rtl/>
        </w:rPr>
        <w:t xml:space="preserve">ة في هذه النصوص، </w:t>
      </w:r>
      <w:r w:rsidR="00CF0EB4" w:rsidRPr="00282AC9">
        <w:rPr>
          <w:rFonts w:hint="cs"/>
          <w:sz w:val="27"/>
          <w:rtl/>
        </w:rPr>
        <w:t>و</w:t>
      </w:r>
      <w:r w:rsidRPr="00282AC9">
        <w:rPr>
          <w:rFonts w:hint="cs"/>
          <w:sz w:val="27"/>
          <w:rtl/>
        </w:rPr>
        <w:t>خاصّة أنها منقولة</w:t>
      </w:r>
      <w:r w:rsidR="00CF0EB4" w:rsidRPr="00282AC9">
        <w:rPr>
          <w:rFonts w:hint="cs"/>
          <w:sz w:val="27"/>
          <w:rtl/>
        </w:rPr>
        <w:t>ٌ</w:t>
      </w:r>
      <w:r w:rsidRPr="00282AC9">
        <w:rPr>
          <w:rFonts w:hint="cs"/>
          <w:sz w:val="27"/>
          <w:rtl/>
        </w:rPr>
        <w:t xml:space="preserve"> في الأعم</w:t>
      </w:r>
      <w:r w:rsidR="00CF0EB4" w:rsidRPr="00282AC9">
        <w:rPr>
          <w:rFonts w:hint="cs"/>
          <w:sz w:val="27"/>
          <w:rtl/>
        </w:rPr>
        <w:t>ّ</w:t>
      </w:r>
      <w:r w:rsidRPr="00282AC9">
        <w:rPr>
          <w:rFonts w:hint="cs"/>
          <w:sz w:val="27"/>
          <w:rtl/>
        </w:rPr>
        <w:t xml:space="preserve"> الأغلب عن رسول الله</w:t>
      </w:r>
      <w:r w:rsidR="009A2A04" w:rsidRPr="00282AC9">
        <w:rPr>
          <w:rFonts w:ascii="Mosawi" w:hAnsi="Mosawi" w:cs="Mosawi"/>
          <w:sz w:val="22"/>
          <w:szCs w:val="22"/>
          <w:rtl/>
        </w:rPr>
        <w:t>|</w:t>
      </w:r>
      <w:r w:rsidRPr="00282AC9">
        <w:rPr>
          <w:rFonts w:hint="cs"/>
          <w:sz w:val="27"/>
          <w:rtl/>
        </w:rPr>
        <w:t>، ومتناسبة</w:t>
      </w:r>
      <w:r w:rsidR="00CF0EB4" w:rsidRPr="00282AC9">
        <w:rPr>
          <w:rFonts w:hint="cs"/>
          <w:sz w:val="27"/>
          <w:rtl/>
        </w:rPr>
        <w:t>ٌ</w:t>
      </w:r>
      <w:r w:rsidRPr="00282AC9">
        <w:rPr>
          <w:rFonts w:hint="cs"/>
          <w:sz w:val="27"/>
          <w:rtl/>
        </w:rPr>
        <w:t xml:space="preserve"> مع ظروف المسلمين في بداية الدعوة</w:t>
      </w:r>
      <w:r w:rsidR="00CF0EB4" w:rsidRPr="00282AC9">
        <w:rPr>
          <w:rFonts w:hint="cs"/>
          <w:sz w:val="27"/>
          <w:rtl/>
        </w:rPr>
        <w:t>،</w:t>
      </w:r>
      <w:r w:rsidRPr="00282AC9">
        <w:rPr>
          <w:rFonts w:hint="cs"/>
          <w:sz w:val="27"/>
          <w:rtl/>
        </w:rPr>
        <w:t xml:space="preserve"> حيث كان عدد المسلمين قليلاً لا يتجاوز بضعة آلاف</w:t>
      </w:r>
      <w:r w:rsidR="00CF0EB4" w:rsidRPr="00282AC9">
        <w:rPr>
          <w:rFonts w:hint="cs"/>
          <w:sz w:val="27"/>
          <w:rtl/>
        </w:rPr>
        <w:t>.</w:t>
      </w:r>
      <w:r w:rsidRPr="00282AC9">
        <w:rPr>
          <w:rFonts w:hint="cs"/>
          <w:sz w:val="27"/>
          <w:rtl/>
        </w:rPr>
        <w:t xml:space="preserve"> هذ</w:t>
      </w:r>
      <w:r w:rsidR="00CF0EB4" w:rsidRPr="00282AC9">
        <w:rPr>
          <w:rFonts w:hint="cs"/>
          <w:sz w:val="27"/>
          <w:rtl/>
        </w:rPr>
        <w:t>ه</w:t>
      </w:r>
      <w:r w:rsidRPr="00282AC9">
        <w:rPr>
          <w:rFonts w:hint="cs"/>
          <w:sz w:val="27"/>
          <w:rtl/>
        </w:rPr>
        <w:t xml:space="preserve"> فر</w:t>
      </w:r>
      <w:r w:rsidR="00CF0EB4" w:rsidRPr="00282AC9">
        <w:rPr>
          <w:rFonts w:hint="cs"/>
          <w:sz w:val="27"/>
          <w:rtl/>
        </w:rPr>
        <w:t>ضيّةٌ</w:t>
      </w:r>
      <w:r w:rsidRPr="00282AC9">
        <w:rPr>
          <w:rFonts w:hint="cs"/>
          <w:sz w:val="27"/>
          <w:rtl/>
        </w:rPr>
        <w:t xml:space="preserve"> محتملة.</w:t>
      </w:r>
    </w:p>
    <w:p w:rsidR="001153F1" w:rsidRPr="00282AC9" w:rsidRDefault="001153F1" w:rsidP="007051D6">
      <w:pPr>
        <w:rPr>
          <w:sz w:val="27"/>
          <w:rtl/>
        </w:rPr>
      </w:pPr>
      <w:r w:rsidRPr="00282AC9">
        <w:rPr>
          <w:rFonts w:hint="cs"/>
          <w:sz w:val="27"/>
          <w:rtl/>
        </w:rPr>
        <w:lastRenderedPageBreak/>
        <w:t xml:space="preserve"> وإن</w:t>
      </w:r>
      <w:r w:rsidR="00CF0EB4" w:rsidRPr="00282AC9">
        <w:rPr>
          <w:rFonts w:hint="cs"/>
          <w:sz w:val="27"/>
          <w:rtl/>
        </w:rPr>
        <w:t>ْ</w:t>
      </w:r>
      <w:r w:rsidRPr="00282AC9">
        <w:rPr>
          <w:rFonts w:hint="cs"/>
          <w:sz w:val="27"/>
          <w:rtl/>
        </w:rPr>
        <w:t xml:space="preserve"> قلنا بأنّه حكم</w:t>
      </w:r>
      <w:r w:rsidR="00CF0EB4" w:rsidRPr="00282AC9">
        <w:rPr>
          <w:rFonts w:hint="cs"/>
          <w:sz w:val="27"/>
          <w:rtl/>
        </w:rPr>
        <w:t>ٌ</w:t>
      </w:r>
      <w:r w:rsidRPr="00282AC9">
        <w:rPr>
          <w:rFonts w:hint="cs"/>
          <w:sz w:val="27"/>
          <w:rtl/>
        </w:rPr>
        <w:t xml:space="preserve"> </w:t>
      </w:r>
      <w:r w:rsidR="00CF0EB4" w:rsidRPr="00282AC9">
        <w:rPr>
          <w:rFonts w:hint="cs"/>
          <w:sz w:val="27"/>
          <w:rtl/>
        </w:rPr>
        <w:t xml:space="preserve">إلهيّ </w:t>
      </w:r>
      <w:r w:rsidRPr="00282AC9">
        <w:rPr>
          <w:rFonts w:hint="cs"/>
          <w:sz w:val="27"/>
          <w:rtl/>
        </w:rPr>
        <w:t xml:space="preserve">ثابت </w:t>
      </w:r>
      <w:r w:rsidR="00CF0EB4" w:rsidRPr="00282AC9">
        <w:rPr>
          <w:rFonts w:hint="cs"/>
          <w:sz w:val="27"/>
          <w:rtl/>
        </w:rPr>
        <w:t>ف</w:t>
      </w:r>
      <w:r w:rsidR="00674EF5" w:rsidRPr="00282AC9">
        <w:rPr>
          <w:rFonts w:hint="cs"/>
          <w:sz w:val="27"/>
          <w:rtl/>
        </w:rPr>
        <w:t>لا بُدَّ</w:t>
      </w:r>
      <w:r w:rsidRPr="00282AC9">
        <w:rPr>
          <w:rFonts w:hint="cs"/>
          <w:sz w:val="27"/>
          <w:rtl/>
        </w:rPr>
        <w:t xml:space="preserve"> أن نأخذ بعين الاعتبار سائر الأحكام الأو</w:t>
      </w:r>
      <w:r w:rsidR="00CF0EB4" w:rsidRPr="00282AC9">
        <w:rPr>
          <w:rFonts w:hint="cs"/>
          <w:sz w:val="27"/>
          <w:rtl/>
        </w:rPr>
        <w:t>ّ</w:t>
      </w:r>
      <w:r w:rsidRPr="00282AC9">
        <w:rPr>
          <w:rFonts w:hint="cs"/>
          <w:sz w:val="27"/>
          <w:rtl/>
        </w:rPr>
        <w:t>لية والعناوين الثانوي</w:t>
      </w:r>
      <w:r w:rsidR="00CF0EB4" w:rsidRPr="00282AC9">
        <w:rPr>
          <w:rFonts w:hint="cs"/>
          <w:sz w:val="27"/>
          <w:rtl/>
        </w:rPr>
        <w:t>ّ</w:t>
      </w:r>
      <w:r w:rsidRPr="00282AC9">
        <w:rPr>
          <w:rFonts w:hint="cs"/>
          <w:sz w:val="27"/>
          <w:rtl/>
        </w:rPr>
        <w:t>ة في المقام</w:t>
      </w:r>
      <w:r w:rsidR="00CF0EB4" w:rsidRPr="00282AC9">
        <w:rPr>
          <w:rFonts w:hint="cs"/>
          <w:sz w:val="27"/>
          <w:rtl/>
        </w:rPr>
        <w:t>؛</w:t>
      </w:r>
      <w:r w:rsidRPr="00282AC9">
        <w:rPr>
          <w:rFonts w:hint="cs"/>
          <w:sz w:val="27"/>
          <w:rtl/>
        </w:rPr>
        <w:t xml:space="preserve"> حيث يمكن أن </w:t>
      </w:r>
      <w:r w:rsidR="00CF0EB4" w:rsidRPr="00282AC9">
        <w:rPr>
          <w:rFonts w:hint="cs"/>
          <w:sz w:val="27"/>
          <w:rtl/>
        </w:rPr>
        <w:t>ي</w:t>
      </w:r>
      <w:r w:rsidRPr="00282AC9">
        <w:rPr>
          <w:rFonts w:hint="cs"/>
          <w:sz w:val="27"/>
          <w:rtl/>
        </w:rPr>
        <w:t>صبح الزواج منها واجباً أو مستحب</w:t>
      </w:r>
      <w:r w:rsidR="00CF0EB4" w:rsidRPr="00282AC9">
        <w:rPr>
          <w:rFonts w:hint="cs"/>
          <w:sz w:val="27"/>
          <w:rtl/>
        </w:rPr>
        <w:t>ّ</w:t>
      </w:r>
      <w:r w:rsidRPr="00282AC9">
        <w:rPr>
          <w:rFonts w:hint="cs"/>
          <w:sz w:val="27"/>
          <w:rtl/>
        </w:rPr>
        <w:t xml:space="preserve">اً في بعض الفروض. </w:t>
      </w:r>
    </w:p>
    <w:p w:rsidR="001153F1" w:rsidRPr="00282AC9" w:rsidRDefault="001153F1" w:rsidP="00AE54C9">
      <w:pPr>
        <w:spacing w:line="420" w:lineRule="exact"/>
        <w:rPr>
          <w:sz w:val="27"/>
          <w:rtl/>
        </w:rPr>
      </w:pPr>
    </w:p>
    <w:p w:rsidR="001153F1" w:rsidRPr="00282AC9" w:rsidRDefault="0043536C" w:rsidP="00AF3EF3">
      <w:pPr>
        <w:pStyle w:val="31"/>
        <w:rPr>
          <w:color w:val="auto"/>
          <w:rtl/>
        </w:rPr>
      </w:pPr>
      <w:r w:rsidRPr="00282AC9">
        <w:rPr>
          <w:rFonts w:ascii="Arial" w:hAnsi="Arial" w:hint="cs"/>
          <w:color w:val="auto"/>
          <w:rtl/>
        </w:rPr>
        <w:t>8ـ</w:t>
      </w:r>
      <w:r w:rsidR="001153F1" w:rsidRPr="00282AC9">
        <w:rPr>
          <w:rFonts w:hint="cs"/>
          <w:color w:val="auto"/>
          <w:rtl/>
        </w:rPr>
        <w:t xml:space="preserve"> احتمالي</w:t>
      </w:r>
      <w:r w:rsidR="00CF0EB4" w:rsidRPr="00282AC9">
        <w:rPr>
          <w:rFonts w:hint="cs"/>
          <w:color w:val="auto"/>
          <w:rtl/>
        </w:rPr>
        <w:t>ّ</w:t>
      </w:r>
      <w:r w:rsidR="001153F1" w:rsidRPr="00282AC9">
        <w:rPr>
          <w:rFonts w:hint="cs"/>
          <w:color w:val="auto"/>
          <w:rtl/>
        </w:rPr>
        <w:t xml:space="preserve">ة الوحدة في الروايات </w:t>
      </w:r>
    </w:p>
    <w:p w:rsidR="001153F1" w:rsidRPr="00282AC9" w:rsidRDefault="001153F1" w:rsidP="007051D6">
      <w:pPr>
        <w:rPr>
          <w:sz w:val="27"/>
          <w:rtl/>
        </w:rPr>
      </w:pPr>
      <w:r w:rsidRPr="00282AC9">
        <w:rPr>
          <w:rFonts w:hint="cs"/>
          <w:sz w:val="27"/>
          <w:rtl/>
        </w:rPr>
        <w:t>تتشابه الكثير من الروايات السابقة في المضمون</w:t>
      </w:r>
      <w:r w:rsidR="005E6624" w:rsidRPr="00282AC9">
        <w:rPr>
          <w:rFonts w:hint="cs"/>
          <w:sz w:val="27"/>
          <w:rtl/>
        </w:rPr>
        <w:t>،</w:t>
      </w:r>
      <w:r w:rsidRPr="00282AC9">
        <w:rPr>
          <w:rFonts w:hint="cs"/>
          <w:sz w:val="27"/>
          <w:rtl/>
        </w:rPr>
        <w:t xml:space="preserve"> وأكثرها ر</w:t>
      </w:r>
      <w:r w:rsidR="00CF0EB4" w:rsidRPr="00282AC9">
        <w:rPr>
          <w:rFonts w:hint="cs"/>
          <w:sz w:val="27"/>
          <w:rtl/>
        </w:rPr>
        <w:t>ُ</w:t>
      </w:r>
      <w:r w:rsidRPr="00282AC9">
        <w:rPr>
          <w:rFonts w:hint="cs"/>
          <w:sz w:val="27"/>
          <w:rtl/>
        </w:rPr>
        <w:t>وي</w:t>
      </w:r>
      <w:r w:rsidR="00CF0EB4" w:rsidRPr="00282AC9">
        <w:rPr>
          <w:rFonts w:hint="cs"/>
          <w:sz w:val="27"/>
          <w:rtl/>
        </w:rPr>
        <w:t>َ</w:t>
      </w:r>
      <w:r w:rsidRPr="00282AC9">
        <w:rPr>
          <w:rFonts w:hint="cs"/>
          <w:sz w:val="27"/>
          <w:rtl/>
        </w:rPr>
        <w:t>ت</w:t>
      </w:r>
      <w:r w:rsidR="00CF0EB4" w:rsidRPr="00282AC9">
        <w:rPr>
          <w:rFonts w:hint="cs"/>
          <w:sz w:val="27"/>
          <w:rtl/>
        </w:rPr>
        <w:t>ْ</w:t>
      </w:r>
      <w:r w:rsidRPr="00282AC9">
        <w:rPr>
          <w:rFonts w:hint="cs"/>
          <w:sz w:val="27"/>
          <w:rtl/>
        </w:rPr>
        <w:t xml:space="preserve"> عن رسول الله</w:t>
      </w:r>
      <w:r w:rsidR="009A2A04" w:rsidRPr="00282AC9">
        <w:rPr>
          <w:rFonts w:ascii="Mosawi" w:hAnsi="Mosawi" w:cs="Mosawi"/>
          <w:sz w:val="22"/>
          <w:szCs w:val="22"/>
          <w:rtl/>
        </w:rPr>
        <w:t>|</w:t>
      </w:r>
      <w:r w:rsidRPr="00282AC9">
        <w:rPr>
          <w:rFonts w:hint="cs"/>
          <w:sz w:val="27"/>
          <w:rtl/>
        </w:rPr>
        <w:t>، الأمر الذي يقوّي احتمالي</w:t>
      </w:r>
      <w:r w:rsidR="005E6624" w:rsidRPr="00282AC9">
        <w:rPr>
          <w:rFonts w:hint="cs"/>
          <w:sz w:val="27"/>
          <w:rtl/>
        </w:rPr>
        <w:t>ّ</w:t>
      </w:r>
      <w:r w:rsidRPr="00282AC9">
        <w:rPr>
          <w:rFonts w:hint="cs"/>
          <w:sz w:val="27"/>
          <w:rtl/>
        </w:rPr>
        <w:t xml:space="preserve">ة الوحدة في بعض هذه الروايات، </w:t>
      </w:r>
      <w:r w:rsidR="005E6624" w:rsidRPr="00282AC9">
        <w:rPr>
          <w:rFonts w:hint="cs"/>
          <w:sz w:val="27"/>
          <w:rtl/>
        </w:rPr>
        <w:t>و</w:t>
      </w:r>
      <w:r w:rsidRPr="00282AC9">
        <w:rPr>
          <w:rFonts w:hint="cs"/>
          <w:sz w:val="27"/>
          <w:rtl/>
        </w:rPr>
        <w:t>خاصّة الروايات المرس</w:t>
      </w:r>
      <w:r w:rsidR="005E6624" w:rsidRPr="00282AC9">
        <w:rPr>
          <w:rFonts w:hint="cs"/>
          <w:sz w:val="27"/>
          <w:rtl/>
        </w:rPr>
        <w:t>َ</w:t>
      </w:r>
      <w:r w:rsidRPr="00282AC9">
        <w:rPr>
          <w:rFonts w:hint="cs"/>
          <w:sz w:val="27"/>
          <w:rtl/>
        </w:rPr>
        <w:t>لة التي تشبه الروايات المسندة</w:t>
      </w:r>
      <w:r w:rsidR="005E6624" w:rsidRPr="00282AC9">
        <w:rPr>
          <w:rFonts w:hint="cs"/>
          <w:sz w:val="27"/>
          <w:rtl/>
        </w:rPr>
        <w:t>؛</w:t>
      </w:r>
      <w:r w:rsidRPr="00282AC9">
        <w:rPr>
          <w:rFonts w:hint="cs"/>
          <w:sz w:val="27"/>
          <w:rtl/>
        </w:rPr>
        <w:t xml:space="preserve"> حيث يمكن أن مصنّ</w:t>
      </w:r>
      <w:r w:rsidR="005E6624" w:rsidRPr="00282AC9">
        <w:rPr>
          <w:rFonts w:hint="cs"/>
          <w:sz w:val="27"/>
          <w:rtl/>
        </w:rPr>
        <w:t>ِ</w:t>
      </w:r>
      <w:r w:rsidRPr="00282AC9">
        <w:rPr>
          <w:rFonts w:hint="cs"/>
          <w:sz w:val="27"/>
          <w:rtl/>
        </w:rPr>
        <w:t>ف الكتاب نقل مضمون الروايات المسندة</w:t>
      </w:r>
      <w:r w:rsidR="005E6624" w:rsidRPr="00282AC9">
        <w:rPr>
          <w:rFonts w:hint="cs"/>
          <w:sz w:val="27"/>
          <w:rtl/>
        </w:rPr>
        <w:t>؛</w:t>
      </w:r>
      <w:r w:rsidRPr="00282AC9">
        <w:rPr>
          <w:rFonts w:hint="cs"/>
          <w:sz w:val="27"/>
          <w:rtl/>
        </w:rPr>
        <w:t xml:space="preserve"> لتحق</w:t>
      </w:r>
      <w:r w:rsidR="005E6624" w:rsidRPr="00282AC9">
        <w:rPr>
          <w:rFonts w:hint="cs"/>
          <w:sz w:val="27"/>
          <w:rtl/>
        </w:rPr>
        <w:t>ُّ</w:t>
      </w:r>
      <w:r w:rsidRPr="00282AC9">
        <w:rPr>
          <w:rFonts w:hint="cs"/>
          <w:sz w:val="27"/>
          <w:rtl/>
        </w:rPr>
        <w:t>ق غرضه</w:t>
      </w:r>
      <w:r w:rsidR="005E6624" w:rsidRPr="00282AC9">
        <w:rPr>
          <w:rFonts w:hint="cs"/>
          <w:sz w:val="27"/>
          <w:rtl/>
        </w:rPr>
        <w:t>،</w:t>
      </w:r>
      <w:r w:rsidRPr="00282AC9">
        <w:rPr>
          <w:rFonts w:hint="cs"/>
          <w:sz w:val="27"/>
          <w:rtl/>
        </w:rPr>
        <w:t xml:space="preserve"> من دون أن يذكر س</w:t>
      </w:r>
      <w:r w:rsidR="005E6624" w:rsidRPr="00282AC9">
        <w:rPr>
          <w:rFonts w:hint="cs"/>
          <w:sz w:val="27"/>
          <w:rtl/>
        </w:rPr>
        <w:t>َ</w:t>
      </w:r>
      <w:r w:rsidRPr="00282AC9">
        <w:rPr>
          <w:rFonts w:hint="cs"/>
          <w:sz w:val="27"/>
          <w:rtl/>
        </w:rPr>
        <w:t>ن</w:t>
      </w:r>
      <w:r w:rsidR="005E6624" w:rsidRPr="00282AC9">
        <w:rPr>
          <w:rFonts w:hint="cs"/>
          <w:sz w:val="27"/>
          <w:rtl/>
        </w:rPr>
        <w:t>َ</w:t>
      </w:r>
      <w:r w:rsidRPr="00282AC9">
        <w:rPr>
          <w:rFonts w:hint="cs"/>
          <w:sz w:val="27"/>
          <w:rtl/>
        </w:rPr>
        <w:t>داً له</w:t>
      </w:r>
      <w:r w:rsidR="005E6624" w:rsidRPr="00282AC9">
        <w:rPr>
          <w:rFonts w:hint="cs"/>
          <w:sz w:val="27"/>
          <w:rtl/>
        </w:rPr>
        <w:t>,</w:t>
      </w:r>
      <w:r w:rsidRPr="00282AC9">
        <w:rPr>
          <w:rFonts w:hint="cs"/>
          <w:sz w:val="27"/>
          <w:rtl/>
        </w:rPr>
        <w:t xml:space="preserve"> فلا نستطيع القول بأنّنا أمام سبع عشر</w:t>
      </w:r>
      <w:r w:rsidR="005E6624" w:rsidRPr="00282AC9">
        <w:rPr>
          <w:rFonts w:hint="cs"/>
          <w:sz w:val="27"/>
          <w:rtl/>
        </w:rPr>
        <w:t>ة</w:t>
      </w:r>
      <w:r w:rsidRPr="00282AC9">
        <w:rPr>
          <w:rFonts w:hint="cs"/>
          <w:sz w:val="27"/>
          <w:rtl/>
        </w:rPr>
        <w:t xml:space="preserve"> رواية</w:t>
      </w:r>
      <w:r w:rsidR="005E6624" w:rsidRPr="00282AC9">
        <w:rPr>
          <w:rFonts w:hint="cs"/>
          <w:sz w:val="27"/>
          <w:rtl/>
        </w:rPr>
        <w:t>ً</w:t>
      </w:r>
      <w:r w:rsidRPr="00282AC9">
        <w:rPr>
          <w:rFonts w:hint="cs"/>
          <w:sz w:val="27"/>
          <w:rtl/>
        </w:rPr>
        <w:t xml:space="preserve"> مستقلّة في هذا الباب. </w:t>
      </w:r>
    </w:p>
    <w:p w:rsidR="001153F1" w:rsidRPr="00282AC9" w:rsidRDefault="001153F1" w:rsidP="00AE54C9">
      <w:pPr>
        <w:spacing w:line="420" w:lineRule="exact"/>
        <w:rPr>
          <w:sz w:val="27"/>
          <w:rtl/>
        </w:rPr>
      </w:pPr>
    </w:p>
    <w:p w:rsidR="001153F1" w:rsidRPr="00282AC9" w:rsidRDefault="0043536C" w:rsidP="00AF3EF3">
      <w:pPr>
        <w:pStyle w:val="31"/>
        <w:rPr>
          <w:color w:val="auto"/>
          <w:rtl/>
        </w:rPr>
      </w:pPr>
      <w:r w:rsidRPr="00282AC9">
        <w:rPr>
          <w:rFonts w:hint="cs"/>
          <w:color w:val="auto"/>
          <w:rtl/>
        </w:rPr>
        <w:t>9ـ</w:t>
      </w:r>
      <w:r w:rsidR="001153F1" w:rsidRPr="00282AC9">
        <w:rPr>
          <w:color w:val="auto"/>
          <w:rtl/>
        </w:rPr>
        <w:t xml:space="preserve"> </w:t>
      </w:r>
      <w:r w:rsidR="001153F1" w:rsidRPr="00282AC9">
        <w:rPr>
          <w:rFonts w:hint="cs"/>
          <w:color w:val="auto"/>
          <w:rtl/>
        </w:rPr>
        <w:t>الاعتبار الصدوري</w:t>
      </w:r>
      <w:r w:rsidR="005E6624" w:rsidRPr="00282AC9">
        <w:rPr>
          <w:rFonts w:hint="cs"/>
          <w:color w:val="auto"/>
          <w:rtl/>
        </w:rPr>
        <w:t>ّ</w:t>
      </w:r>
      <w:r w:rsidR="001153F1" w:rsidRPr="00282AC9">
        <w:rPr>
          <w:rFonts w:hint="cs"/>
          <w:color w:val="auto"/>
          <w:rtl/>
        </w:rPr>
        <w:t xml:space="preserve"> لهذه الروايات</w:t>
      </w:r>
    </w:p>
    <w:p w:rsidR="001153F1" w:rsidRPr="00282AC9" w:rsidRDefault="001153F1" w:rsidP="007051D6">
      <w:pPr>
        <w:rPr>
          <w:sz w:val="27"/>
          <w:rtl/>
        </w:rPr>
      </w:pPr>
      <w:r w:rsidRPr="00282AC9">
        <w:rPr>
          <w:rFonts w:hint="cs"/>
          <w:sz w:val="27"/>
          <w:rtl/>
        </w:rPr>
        <w:t>تحتوي المجموعة الأولى من الروايات ست</w:t>
      </w:r>
      <w:r w:rsidR="005E6624" w:rsidRPr="00282AC9">
        <w:rPr>
          <w:rFonts w:hint="cs"/>
          <w:sz w:val="27"/>
          <w:rtl/>
        </w:rPr>
        <w:t>ّ</w:t>
      </w:r>
      <w:r w:rsidRPr="00282AC9">
        <w:rPr>
          <w:rFonts w:hint="cs"/>
          <w:sz w:val="27"/>
          <w:rtl/>
        </w:rPr>
        <w:t xml:space="preserve"> روايات</w:t>
      </w:r>
      <w:r w:rsidR="00F32E54" w:rsidRPr="00282AC9">
        <w:rPr>
          <w:rFonts w:hint="cs"/>
          <w:sz w:val="27"/>
          <w:rtl/>
        </w:rPr>
        <w:t>،</w:t>
      </w:r>
      <w:r w:rsidRPr="00282AC9">
        <w:rPr>
          <w:rFonts w:hint="cs"/>
          <w:sz w:val="27"/>
          <w:rtl/>
        </w:rPr>
        <w:t xml:space="preserve"> </w:t>
      </w:r>
      <w:r w:rsidR="00F32E54" w:rsidRPr="00282AC9">
        <w:rPr>
          <w:rFonts w:hint="cs"/>
          <w:sz w:val="27"/>
          <w:rtl/>
        </w:rPr>
        <w:t>ا</w:t>
      </w:r>
      <w:r w:rsidRPr="00282AC9">
        <w:rPr>
          <w:rFonts w:hint="cs"/>
          <w:sz w:val="27"/>
          <w:rtl/>
        </w:rPr>
        <w:t>ثنتان منها صحيحتان</w:t>
      </w:r>
      <w:r w:rsidR="00F32E54" w:rsidRPr="00282AC9">
        <w:rPr>
          <w:rFonts w:hint="cs"/>
          <w:sz w:val="27"/>
          <w:rtl/>
        </w:rPr>
        <w:t>؛</w:t>
      </w:r>
      <w:r w:rsidRPr="00282AC9">
        <w:rPr>
          <w:rFonts w:hint="cs"/>
          <w:sz w:val="27"/>
          <w:rtl/>
        </w:rPr>
        <w:t xml:space="preserve"> و</w:t>
      </w:r>
      <w:r w:rsidR="00F32E54" w:rsidRPr="00282AC9">
        <w:rPr>
          <w:rFonts w:hint="cs"/>
          <w:sz w:val="27"/>
          <w:rtl/>
        </w:rPr>
        <w:t xml:space="preserve">تحتوي </w:t>
      </w:r>
      <w:r w:rsidRPr="00282AC9">
        <w:rPr>
          <w:rFonts w:hint="cs"/>
          <w:sz w:val="27"/>
          <w:rtl/>
        </w:rPr>
        <w:t>المجموعة الثانية عشر روايات</w:t>
      </w:r>
      <w:r w:rsidR="00F32E54" w:rsidRPr="00282AC9">
        <w:rPr>
          <w:rFonts w:hint="cs"/>
          <w:sz w:val="27"/>
          <w:rtl/>
        </w:rPr>
        <w:t>؛</w:t>
      </w:r>
      <w:r w:rsidRPr="00282AC9">
        <w:rPr>
          <w:rFonts w:hint="cs"/>
          <w:sz w:val="27"/>
          <w:rtl/>
        </w:rPr>
        <w:t xml:space="preserve"> رواية واحدة منها صحيحة</w:t>
      </w:r>
      <w:r w:rsidR="00F32E54" w:rsidRPr="00282AC9">
        <w:rPr>
          <w:rFonts w:hint="cs"/>
          <w:sz w:val="27"/>
          <w:rtl/>
        </w:rPr>
        <w:t>.</w:t>
      </w:r>
      <w:r w:rsidRPr="00282AC9">
        <w:rPr>
          <w:rFonts w:hint="cs"/>
          <w:sz w:val="27"/>
          <w:rtl/>
        </w:rPr>
        <w:t xml:space="preserve"> ففي مجموع هذه الروايات إنّما نجد ثلاث روايات صحيحة</w:t>
      </w:r>
      <w:r w:rsidR="00F32E54" w:rsidRPr="00282AC9">
        <w:rPr>
          <w:rFonts w:hint="cs"/>
          <w:sz w:val="27"/>
          <w:rtl/>
        </w:rPr>
        <w:t>؛</w:t>
      </w:r>
      <w:r w:rsidRPr="00282AC9">
        <w:rPr>
          <w:rFonts w:hint="cs"/>
          <w:sz w:val="27"/>
          <w:rtl/>
        </w:rPr>
        <w:t xml:space="preserve"> وكثير</w:t>
      </w:r>
      <w:r w:rsidR="00F32E54" w:rsidRPr="00282AC9">
        <w:rPr>
          <w:rFonts w:hint="cs"/>
          <w:sz w:val="27"/>
          <w:rtl/>
        </w:rPr>
        <w:t>ٌ</w:t>
      </w:r>
      <w:r w:rsidRPr="00282AC9">
        <w:rPr>
          <w:rFonts w:hint="cs"/>
          <w:sz w:val="27"/>
          <w:rtl/>
        </w:rPr>
        <w:t xml:space="preserve"> منها مرس</w:t>
      </w:r>
      <w:r w:rsidR="00F32E54" w:rsidRPr="00282AC9">
        <w:rPr>
          <w:rFonts w:hint="cs"/>
          <w:sz w:val="27"/>
          <w:rtl/>
        </w:rPr>
        <w:t>َ</w:t>
      </w:r>
      <w:r w:rsidRPr="00282AC9">
        <w:rPr>
          <w:rFonts w:hint="cs"/>
          <w:sz w:val="27"/>
          <w:rtl/>
        </w:rPr>
        <w:t>لة</w:t>
      </w:r>
      <w:r w:rsidR="00F32E54" w:rsidRPr="00282AC9">
        <w:rPr>
          <w:rFonts w:hint="cs"/>
          <w:sz w:val="27"/>
          <w:rtl/>
        </w:rPr>
        <w:t>،</w:t>
      </w:r>
      <w:r w:rsidRPr="00282AC9">
        <w:rPr>
          <w:rFonts w:hint="cs"/>
          <w:sz w:val="27"/>
          <w:rtl/>
        </w:rPr>
        <w:t xml:space="preserve"> بل لا س</w:t>
      </w:r>
      <w:r w:rsidR="00F32E54" w:rsidRPr="00282AC9">
        <w:rPr>
          <w:rFonts w:hint="cs"/>
          <w:sz w:val="27"/>
          <w:rtl/>
        </w:rPr>
        <w:t>َ</w:t>
      </w:r>
      <w:r w:rsidRPr="00282AC9">
        <w:rPr>
          <w:rFonts w:hint="cs"/>
          <w:sz w:val="27"/>
          <w:rtl/>
        </w:rPr>
        <w:t>ن</w:t>
      </w:r>
      <w:r w:rsidR="00F32E54" w:rsidRPr="00282AC9">
        <w:rPr>
          <w:rFonts w:hint="cs"/>
          <w:sz w:val="27"/>
          <w:rtl/>
        </w:rPr>
        <w:t>َ</w:t>
      </w:r>
      <w:r w:rsidRPr="00282AC9">
        <w:rPr>
          <w:rFonts w:hint="cs"/>
          <w:sz w:val="27"/>
          <w:rtl/>
        </w:rPr>
        <w:t>د لها أساساً</w:t>
      </w:r>
      <w:r w:rsidR="00F32E54" w:rsidRPr="00282AC9">
        <w:rPr>
          <w:rFonts w:hint="cs"/>
          <w:sz w:val="27"/>
          <w:rtl/>
        </w:rPr>
        <w:t>.</w:t>
      </w:r>
      <w:r w:rsidRPr="00282AC9">
        <w:rPr>
          <w:rFonts w:hint="cs"/>
          <w:sz w:val="27"/>
          <w:rtl/>
        </w:rPr>
        <w:t xml:space="preserve"> فعلى مبنى حج</w:t>
      </w:r>
      <w:r w:rsidR="00F32E54" w:rsidRPr="00282AC9">
        <w:rPr>
          <w:rFonts w:hint="cs"/>
          <w:sz w:val="27"/>
          <w:rtl/>
        </w:rPr>
        <w:t>ِّ</w:t>
      </w:r>
      <w:r w:rsidRPr="00282AC9">
        <w:rPr>
          <w:rFonts w:hint="cs"/>
          <w:sz w:val="27"/>
          <w:rtl/>
        </w:rPr>
        <w:t>ية خبر الثقة الن</w:t>
      </w:r>
      <w:r w:rsidR="00F32E54" w:rsidRPr="00282AC9">
        <w:rPr>
          <w:rFonts w:hint="cs"/>
          <w:sz w:val="27"/>
          <w:rtl/>
        </w:rPr>
        <w:t>َّ</w:t>
      </w:r>
      <w:r w:rsidRPr="00282AC9">
        <w:rPr>
          <w:rFonts w:hint="cs"/>
          <w:sz w:val="27"/>
          <w:rtl/>
        </w:rPr>
        <w:t>ه</w:t>
      </w:r>
      <w:r w:rsidR="00F32E54" w:rsidRPr="00282AC9">
        <w:rPr>
          <w:rFonts w:hint="cs"/>
          <w:sz w:val="27"/>
          <w:rtl/>
        </w:rPr>
        <w:t>ْ</w:t>
      </w:r>
      <w:r w:rsidRPr="00282AC9">
        <w:rPr>
          <w:rFonts w:hint="cs"/>
          <w:sz w:val="27"/>
          <w:rtl/>
        </w:rPr>
        <w:t>ي عن الزواج من المرأة العقيم أمر</w:t>
      </w:r>
      <w:r w:rsidR="00F32E54" w:rsidRPr="00282AC9">
        <w:rPr>
          <w:rFonts w:hint="cs"/>
          <w:sz w:val="27"/>
          <w:rtl/>
        </w:rPr>
        <w:t>ٌ</w:t>
      </w:r>
      <w:r w:rsidRPr="00282AC9">
        <w:rPr>
          <w:rFonts w:hint="cs"/>
          <w:sz w:val="27"/>
          <w:rtl/>
        </w:rPr>
        <w:t xml:space="preserve"> ثابت</w:t>
      </w:r>
      <w:r w:rsidR="00F32E54" w:rsidRPr="00282AC9">
        <w:rPr>
          <w:rFonts w:hint="cs"/>
          <w:sz w:val="27"/>
          <w:rtl/>
        </w:rPr>
        <w:t>.</w:t>
      </w:r>
      <w:r w:rsidRPr="00282AC9">
        <w:rPr>
          <w:rFonts w:hint="cs"/>
          <w:sz w:val="27"/>
          <w:rtl/>
        </w:rPr>
        <w:t xml:space="preserve"> وإن</w:t>
      </w:r>
      <w:r w:rsidR="00F32E54" w:rsidRPr="00282AC9">
        <w:rPr>
          <w:rFonts w:hint="cs"/>
          <w:sz w:val="27"/>
          <w:rtl/>
        </w:rPr>
        <w:t>ْ</w:t>
      </w:r>
      <w:r w:rsidRPr="00282AC9">
        <w:rPr>
          <w:rFonts w:hint="cs"/>
          <w:sz w:val="27"/>
          <w:rtl/>
        </w:rPr>
        <w:t xml:space="preserve"> لم يفهم فهماً تاريخياً فيمكن استنباط كراهة الزواج من المرأة العقيم</w:t>
      </w:r>
      <w:r w:rsidR="00F32E54" w:rsidRPr="00282AC9">
        <w:rPr>
          <w:rFonts w:hint="cs"/>
          <w:sz w:val="27"/>
          <w:rtl/>
        </w:rPr>
        <w:t>،</w:t>
      </w:r>
      <w:r w:rsidRPr="00282AC9">
        <w:rPr>
          <w:rFonts w:hint="cs"/>
          <w:sz w:val="27"/>
          <w:rtl/>
        </w:rPr>
        <w:t xml:space="preserve"> بعد طرد احتمال الارشادي</w:t>
      </w:r>
      <w:r w:rsidR="00F32E54" w:rsidRPr="00282AC9">
        <w:rPr>
          <w:rFonts w:hint="cs"/>
          <w:sz w:val="27"/>
          <w:rtl/>
        </w:rPr>
        <w:t>ّ</w:t>
      </w:r>
      <w:r w:rsidRPr="00282AC9">
        <w:rPr>
          <w:rFonts w:hint="cs"/>
          <w:sz w:val="27"/>
          <w:rtl/>
        </w:rPr>
        <w:t xml:space="preserve">ة في هذه الروايات. </w:t>
      </w:r>
    </w:p>
    <w:p w:rsidR="001153F1" w:rsidRPr="00282AC9" w:rsidRDefault="001153F1" w:rsidP="00E0712B">
      <w:pPr>
        <w:spacing w:line="410" w:lineRule="exact"/>
        <w:rPr>
          <w:sz w:val="26"/>
          <w:szCs w:val="26"/>
          <w:rtl/>
        </w:rPr>
      </w:pPr>
      <w:r w:rsidRPr="00282AC9">
        <w:rPr>
          <w:rFonts w:hint="cs"/>
          <w:sz w:val="26"/>
          <w:szCs w:val="26"/>
          <w:rtl/>
        </w:rPr>
        <w:t>ولكن</w:t>
      </w:r>
      <w:r w:rsidR="00F32E54" w:rsidRPr="00282AC9">
        <w:rPr>
          <w:rFonts w:hint="cs"/>
          <w:sz w:val="26"/>
          <w:szCs w:val="26"/>
          <w:rtl/>
        </w:rPr>
        <w:t>ْ</w:t>
      </w:r>
      <w:r w:rsidRPr="00282AC9">
        <w:rPr>
          <w:rFonts w:hint="cs"/>
          <w:sz w:val="26"/>
          <w:szCs w:val="26"/>
          <w:rtl/>
        </w:rPr>
        <w:t xml:space="preserve"> على مبنى حج</w:t>
      </w:r>
      <w:r w:rsidR="00F32E54" w:rsidRPr="00282AC9">
        <w:rPr>
          <w:rFonts w:hint="cs"/>
          <w:sz w:val="26"/>
          <w:szCs w:val="26"/>
          <w:rtl/>
        </w:rPr>
        <w:t>ِّ</w:t>
      </w:r>
      <w:r w:rsidRPr="00282AC9">
        <w:rPr>
          <w:rFonts w:hint="cs"/>
          <w:sz w:val="26"/>
          <w:szCs w:val="26"/>
          <w:rtl/>
        </w:rPr>
        <w:t xml:space="preserve">ية </w:t>
      </w:r>
      <w:r w:rsidR="00F32E54" w:rsidRPr="00282AC9">
        <w:rPr>
          <w:rFonts w:hint="cs"/>
          <w:sz w:val="26"/>
          <w:szCs w:val="26"/>
          <w:rtl/>
        </w:rPr>
        <w:t>ال</w:t>
      </w:r>
      <w:r w:rsidRPr="00282AC9">
        <w:rPr>
          <w:rFonts w:hint="cs"/>
          <w:sz w:val="26"/>
          <w:szCs w:val="26"/>
          <w:rtl/>
        </w:rPr>
        <w:t>خبر الموثوق يبعد حصول الاطمئنان بصدور هذه الروايات كحكم</w:t>
      </w:r>
      <w:r w:rsidR="00F32E54" w:rsidRPr="00282AC9">
        <w:rPr>
          <w:rFonts w:hint="cs"/>
          <w:sz w:val="26"/>
          <w:szCs w:val="26"/>
          <w:rtl/>
        </w:rPr>
        <w:t>ٍ</w:t>
      </w:r>
      <w:r w:rsidRPr="00282AC9">
        <w:rPr>
          <w:rFonts w:hint="cs"/>
          <w:sz w:val="26"/>
          <w:szCs w:val="26"/>
          <w:rtl/>
        </w:rPr>
        <w:t xml:space="preserve"> تكليفي</w:t>
      </w:r>
      <w:r w:rsidR="00F32E54" w:rsidRPr="00282AC9">
        <w:rPr>
          <w:rFonts w:hint="cs"/>
          <w:sz w:val="26"/>
          <w:szCs w:val="26"/>
          <w:rtl/>
        </w:rPr>
        <w:t>ّ</w:t>
      </w:r>
      <w:r w:rsidRPr="00282AC9">
        <w:rPr>
          <w:rFonts w:hint="cs"/>
          <w:sz w:val="26"/>
          <w:szCs w:val="26"/>
          <w:rtl/>
        </w:rPr>
        <w:t xml:space="preserve"> أ</w:t>
      </w:r>
      <w:r w:rsidR="00F32E54" w:rsidRPr="00282AC9">
        <w:rPr>
          <w:rFonts w:hint="cs"/>
          <w:sz w:val="26"/>
          <w:szCs w:val="26"/>
          <w:rtl/>
        </w:rPr>
        <w:t>َ</w:t>
      </w:r>
      <w:r w:rsidRPr="00282AC9">
        <w:rPr>
          <w:rFonts w:hint="cs"/>
          <w:sz w:val="26"/>
          <w:szCs w:val="26"/>
          <w:rtl/>
        </w:rPr>
        <w:t>ب</w:t>
      </w:r>
      <w:r w:rsidR="00F32E54" w:rsidRPr="00282AC9">
        <w:rPr>
          <w:rFonts w:hint="cs"/>
          <w:sz w:val="26"/>
          <w:szCs w:val="26"/>
          <w:rtl/>
        </w:rPr>
        <w:t>َ</w:t>
      </w:r>
      <w:r w:rsidRPr="00282AC9">
        <w:rPr>
          <w:rFonts w:hint="cs"/>
          <w:sz w:val="26"/>
          <w:szCs w:val="26"/>
          <w:rtl/>
        </w:rPr>
        <w:t>دي</w:t>
      </w:r>
      <w:r w:rsidR="00F32E54" w:rsidRPr="00282AC9">
        <w:rPr>
          <w:rFonts w:hint="cs"/>
          <w:sz w:val="26"/>
          <w:szCs w:val="26"/>
          <w:rtl/>
        </w:rPr>
        <w:t xml:space="preserve">ّ؛ </w:t>
      </w:r>
      <w:r w:rsidRPr="00282AC9">
        <w:rPr>
          <w:rFonts w:hint="cs"/>
          <w:sz w:val="26"/>
          <w:szCs w:val="26"/>
          <w:rtl/>
        </w:rPr>
        <w:t>إذ يحتمل فيها الإرشادي</w:t>
      </w:r>
      <w:r w:rsidR="00F32E54" w:rsidRPr="00282AC9">
        <w:rPr>
          <w:rFonts w:hint="cs"/>
          <w:sz w:val="26"/>
          <w:szCs w:val="26"/>
          <w:rtl/>
        </w:rPr>
        <w:t>ّ</w:t>
      </w:r>
      <w:r w:rsidRPr="00282AC9">
        <w:rPr>
          <w:rFonts w:hint="cs"/>
          <w:sz w:val="26"/>
          <w:szCs w:val="26"/>
          <w:rtl/>
        </w:rPr>
        <w:t>ة والتاريخي</w:t>
      </w:r>
      <w:r w:rsidR="00F32E54" w:rsidRPr="00282AC9">
        <w:rPr>
          <w:rFonts w:hint="cs"/>
          <w:sz w:val="26"/>
          <w:szCs w:val="26"/>
          <w:rtl/>
        </w:rPr>
        <w:t>ّ</w:t>
      </w:r>
      <w:r w:rsidRPr="00282AC9">
        <w:rPr>
          <w:rFonts w:hint="cs"/>
          <w:sz w:val="26"/>
          <w:szCs w:val="26"/>
          <w:rtl/>
        </w:rPr>
        <w:t xml:space="preserve">ة احتمالاً معتدّاً به. </w:t>
      </w:r>
    </w:p>
    <w:p w:rsidR="001153F1" w:rsidRPr="00282AC9" w:rsidRDefault="001153F1" w:rsidP="00AE54C9">
      <w:pPr>
        <w:spacing w:line="420" w:lineRule="exact"/>
        <w:rPr>
          <w:sz w:val="27"/>
          <w:rtl/>
        </w:rPr>
      </w:pPr>
    </w:p>
    <w:p w:rsidR="001153F1" w:rsidRPr="00282AC9" w:rsidRDefault="0043536C" w:rsidP="00AF3EF3">
      <w:pPr>
        <w:pStyle w:val="31"/>
        <w:rPr>
          <w:color w:val="auto"/>
          <w:rtl/>
        </w:rPr>
      </w:pPr>
      <w:r w:rsidRPr="00282AC9">
        <w:rPr>
          <w:rFonts w:hint="cs"/>
          <w:color w:val="auto"/>
          <w:rtl/>
        </w:rPr>
        <w:t>10ـ</w:t>
      </w:r>
      <w:r w:rsidR="001153F1" w:rsidRPr="00282AC9">
        <w:rPr>
          <w:rFonts w:hint="cs"/>
          <w:color w:val="auto"/>
          <w:rtl/>
        </w:rPr>
        <w:t xml:space="preserve"> </w:t>
      </w:r>
      <w:r w:rsidR="001153F1" w:rsidRPr="00282AC9">
        <w:rPr>
          <w:color w:val="auto"/>
          <w:rtl/>
        </w:rPr>
        <w:t>العلاقة بين الكراهة والاستحباب</w:t>
      </w:r>
    </w:p>
    <w:p w:rsidR="001153F1" w:rsidRPr="00282AC9" w:rsidRDefault="00F32E54" w:rsidP="007051D6">
      <w:pPr>
        <w:rPr>
          <w:sz w:val="27"/>
          <w:rtl/>
        </w:rPr>
      </w:pPr>
      <w:r w:rsidRPr="00282AC9">
        <w:rPr>
          <w:rFonts w:hint="cs"/>
          <w:sz w:val="27"/>
          <w:rtl/>
        </w:rPr>
        <w:t>و</w:t>
      </w:r>
      <w:r w:rsidR="001153F1" w:rsidRPr="00282AC9">
        <w:rPr>
          <w:rFonts w:hint="cs"/>
          <w:sz w:val="27"/>
          <w:rtl/>
        </w:rPr>
        <w:t xml:space="preserve">كما رأينا </w:t>
      </w:r>
      <w:r w:rsidRPr="00282AC9">
        <w:rPr>
          <w:rFonts w:hint="cs"/>
          <w:sz w:val="27"/>
          <w:rtl/>
        </w:rPr>
        <w:t xml:space="preserve">فإن </w:t>
      </w:r>
      <w:r w:rsidR="001153F1" w:rsidRPr="00282AC9">
        <w:rPr>
          <w:rFonts w:hint="cs"/>
          <w:sz w:val="27"/>
          <w:rtl/>
        </w:rPr>
        <w:t>بعض هذه الروايات إنّما تتحدّ</w:t>
      </w:r>
      <w:r w:rsidRPr="00282AC9">
        <w:rPr>
          <w:rFonts w:hint="cs"/>
          <w:sz w:val="27"/>
          <w:rtl/>
        </w:rPr>
        <w:t>َ</w:t>
      </w:r>
      <w:r w:rsidR="001153F1" w:rsidRPr="00282AC9">
        <w:rPr>
          <w:rFonts w:hint="cs"/>
          <w:sz w:val="27"/>
          <w:rtl/>
        </w:rPr>
        <w:t>ث عن المرأة العقيم</w:t>
      </w:r>
      <w:r w:rsidRPr="00282AC9">
        <w:rPr>
          <w:rFonts w:hint="cs"/>
          <w:sz w:val="27"/>
          <w:rtl/>
        </w:rPr>
        <w:t>؛</w:t>
      </w:r>
      <w:r w:rsidR="001153F1" w:rsidRPr="00282AC9">
        <w:rPr>
          <w:rFonts w:hint="cs"/>
          <w:sz w:val="27"/>
          <w:rtl/>
        </w:rPr>
        <w:t xml:space="preserve"> وبعض الآخر إنّما يتحدّ</w:t>
      </w:r>
      <w:r w:rsidRPr="00282AC9">
        <w:rPr>
          <w:rFonts w:hint="cs"/>
          <w:sz w:val="27"/>
          <w:rtl/>
        </w:rPr>
        <w:t>َ</w:t>
      </w:r>
      <w:r w:rsidR="001153F1" w:rsidRPr="00282AC9">
        <w:rPr>
          <w:rFonts w:hint="cs"/>
          <w:sz w:val="27"/>
          <w:rtl/>
        </w:rPr>
        <w:t>ث عن المرأة الولود</w:t>
      </w:r>
      <w:r w:rsidRPr="00282AC9">
        <w:rPr>
          <w:rFonts w:hint="cs"/>
          <w:sz w:val="27"/>
          <w:rtl/>
        </w:rPr>
        <w:t>؛</w:t>
      </w:r>
      <w:r w:rsidR="001153F1" w:rsidRPr="00282AC9">
        <w:rPr>
          <w:rFonts w:hint="cs"/>
          <w:sz w:val="27"/>
          <w:rtl/>
        </w:rPr>
        <w:t xml:space="preserve"> والقسم الثالث منها يجمع بينهما</w:t>
      </w:r>
      <w:r w:rsidRPr="00282AC9">
        <w:rPr>
          <w:rFonts w:hint="cs"/>
          <w:sz w:val="27"/>
          <w:rtl/>
        </w:rPr>
        <w:t>.</w:t>
      </w:r>
      <w:r w:rsidR="001153F1" w:rsidRPr="00282AC9">
        <w:rPr>
          <w:rFonts w:hint="cs"/>
          <w:sz w:val="27"/>
          <w:rtl/>
        </w:rPr>
        <w:t xml:space="preserve"> وبما أنّ هناك علاقة وطيدة بين الأمر</w:t>
      </w:r>
      <w:r w:rsidRPr="00282AC9">
        <w:rPr>
          <w:rFonts w:hint="cs"/>
          <w:sz w:val="27"/>
          <w:rtl/>
        </w:rPr>
        <w:t>َ</w:t>
      </w:r>
      <w:r w:rsidR="001153F1" w:rsidRPr="00282AC9">
        <w:rPr>
          <w:rFonts w:hint="cs"/>
          <w:sz w:val="27"/>
          <w:rtl/>
        </w:rPr>
        <w:t>ي</w:t>
      </w:r>
      <w:r w:rsidRPr="00282AC9">
        <w:rPr>
          <w:rFonts w:hint="cs"/>
          <w:sz w:val="27"/>
          <w:rtl/>
        </w:rPr>
        <w:t>ْ</w:t>
      </w:r>
      <w:r w:rsidR="001153F1" w:rsidRPr="00282AC9">
        <w:rPr>
          <w:rFonts w:hint="cs"/>
          <w:sz w:val="27"/>
          <w:rtl/>
        </w:rPr>
        <w:t>ن حاولنا أن نجمع بينهما في هذه الدراسة</w:t>
      </w:r>
      <w:r w:rsidRPr="00282AC9">
        <w:rPr>
          <w:rFonts w:hint="cs"/>
          <w:sz w:val="27"/>
          <w:rtl/>
        </w:rPr>
        <w:t>.</w:t>
      </w:r>
      <w:r w:rsidR="001153F1" w:rsidRPr="00282AC9">
        <w:rPr>
          <w:rFonts w:hint="cs"/>
          <w:sz w:val="27"/>
          <w:rtl/>
        </w:rPr>
        <w:t xml:space="preserve"> والسؤال الذي يطرح نفسه هنا</w:t>
      </w:r>
      <w:r w:rsidRPr="00282AC9">
        <w:rPr>
          <w:rFonts w:hint="cs"/>
          <w:sz w:val="27"/>
          <w:rtl/>
        </w:rPr>
        <w:t>:</w:t>
      </w:r>
      <w:r w:rsidR="001153F1" w:rsidRPr="00282AC9">
        <w:rPr>
          <w:rFonts w:hint="cs"/>
          <w:sz w:val="27"/>
          <w:rtl/>
        </w:rPr>
        <w:t xml:space="preserve"> </w:t>
      </w:r>
      <w:r w:rsidRPr="00282AC9">
        <w:rPr>
          <w:rFonts w:hint="cs"/>
          <w:sz w:val="27"/>
          <w:rtl/>
        </w:rPr>
        <w:t xml:space="preserve">ما </w:t>
      </w:r>
      <w:r w:rsidR="001153F1" w:rsidRPr="00282AC9">
        <w:rPr>
          <w:rFonts w:hint="cs"/>
          <w:sz w:val="27"/>
          <w:rtl/>
        </w:rPr>
        <w:t>هي العلاقة القانونية بين الاستحباب والكراهة في هذا الموضوع</w:t>
      </w:r>
      <w:r w:rsidRPr="00282AC9">
        <w:rPr>
          <w:rFonts w:hint="cs"/>
          <w:sz w:val="27"/>
          <w:rtl/>
        </w:rPr>
        <w:t>؟</w:t>
      </w:r>
      <w:r w:rsidR="001153F1" w:rsidRPr="00282AC9">
        <w:rPr>
          <w:rFonts w:hint="cs"/>
          <w:sz w:val="27"/>
          <w:rtl/>
        </w:rPr>
        <w:t xml:space="preserve"> هل يمكن </w:t>
      </w:r>
      <w:r w:rsidR="001153F1" w:rsidRPr="00282AC9">
        <w:rPr>
          <w:rFonts w:hint="cs"/>
          <w:sz w:val="27"/>
          <w:rtl/>
        </w:rPr>
        <w:lastRenderedPageBreak/>
        <w:t>أن ننتقل من كراهة الزواج من المرأة العقيم ـ لو</w:t>
      </w:r>
      <w:r w:rsidRPr="00282AC9">
        <w:rPr>
          <w:rFonts w:hint="cs"/>
          <w:sz w:val="27"/>
          <w:rtl/>
        </w:rPr>
        <w:t xml:space="preserve"> </w:t>
      </w:r>
      <w:r w:rsidR="001153F1" w:rsidRPr="00282AC9">
        <w:rPr>
          <w:rFonts w:hint="cs"/>
          <w:sz w:val="27"/>
          <w:rtl/>
        </w:rPr>
        <w:t>ثبت ـ إلى استحباب الزواج من الولود، والعكس كذلك</w:t>
      </w:r>
      <w:r w:rsidRPr="00282AC9">
        <w:rPr>
          <w:rFonts w:hint="cs"/>
          <w:sz w:val="27"/>
          <w:rtl/>
        </w:rPr>
        <w:t>،</w:t>
      </w:r>
      <w:r w:rsidR="001153F1" w:rsidRPr="00282AC9">
        <w:rPr>
          <w:rFonts w:hint="cs"/>
          <w:sz w:val="27"/>
          <w:rtl/>
        </w:rPr>
        <w:t xml:space="preserve"> أو لا؟</w:t>
      </w:r>
    </w:p>
    <w:p w:rsidR="001153F1" w:rsidRPr="00282AC9" w:rsidRDefault="001153F1" w:rsidP="007051D6">
      <w:pPr>
        <w:rPr>
          <w:sz w:val="27"/>
          <w:rtl/>
          <w:lang w:bidi="fa-IR"/>
        </w:rPr>
      </w:pPr>
      <w:r w:rsidRPr="00282AC9">
        <w:rPr>
          <w:rFonts w:hint="cs"/>
          <w:sz w:val="27"/>
          <w:rtl/>
        </w:rPr>
        <w:t>إذا لم نقبل بكل</w:t>
      </w:r>
      <w:r w:rsidR="00F32E54" w:rsidRPr="00282AC9">
        <w:rPr>
          <w:rFonts w:hint="cs"/>
          <w:sz w:val="27"/>
          <w:rtl/>
        </w:rPr>
        <w:t>ِّ</w:t>
      </w:r>
      <w:r w:rsidRPr="00282AC9">
        <w:rPr>
          <w:rFonts w:hint="cs"/>
          <w:sz w:val="27"/>
          <w:rtl/>
        </w:rPr>
        <w:t>ية استحباب ترك المكروه</w:t>
      </w:r>
      <w:r w:rsidR="00C20C4F" w:rsidRPr="00282AC9">
        <w:rPr>
          <w:rFonts w:hint="cs"/>
          <w:sz w:val="27"/>
          <w:rtl/>
        </w:rPr>
        <w:t>،</w:t>
      </w:r>
      <w:r w:rsidRPr="00282AC9">
        <w:rPr>
          <w:rFonts w:hint="cs"/>
          <w:sz w:val="27"/>
          <w:rtl/>
        </w:rPr>
        <w:t xml:space="preserve"> أو كراهة ترك المستحب</w:t>
      </w:r>
      <w:r w:rsidR="00C20C4F" w:rsidRPr="00282AC9">
        <w:rPr>
          <w:rFonts w:hint="cs"/>
          <w:sz w:val="27"/>
          <w:rtl/>
        </w:rPr>
        <w:t>ّ،</w:t>
      </w:r>
      <w:r w:rsidRPr="00282AC9">
        <w:rPr>
          <w:rFonts w:hint="cs"/>
          <w:sz w:val="27"/>
          <w:rtl/>
        </w:rPr>
        <w:t xml:space="preserve"> لا نستطيع أن نقبل بهذه الملازمة هنا أيضاً</w:t>
      </w:r>
      <w:r w:rsidR="00C20C4F" w:rsidRPr="00282AC9">
        <w:rPr>
          <w:rFonts w:hint="cs"/>
          <w:sz w:val="27"/>
          <w:rtl/>
        </w:rPr>
        <w:t>.</w:t>
      </w:r>
      <w:r w:rsidRPr="00282AC9">
        <w:rPr>
          <w:rFonts w:hint="cs"/>
          <w:sz w:val="27"/>
          <w:rtl/>
        </w:rPr>
        <w:t xml:space="preserve"> وبما أنّنا لا نقبل بهاتين القضي</w:t>
      </w:r>
      <w:r w:rsidR="00C20C4F" w:rsidRPr="00282AC9">
        <w:rPr>
          <w:rFonts w:hint="cs"/>
          <w:sz w:val="27"/>
          <w:rtl/>
        </w:rPr>
        <w:t>ّ</w:t>
      </w:r>
      <w:r w:rsidRPr="00282AC9">
        <w:rPr>
          <w:rFonts w:hint="cs"/>
          <w:sz w:val="27"/>
          <w:rtl/>
        </w:rPr>
        <w:t>تين ككبرى كل</w:t>
      </w:r>
      <w:r w:rsidR="00C20C4F" w:rsidRPr="00282AC9">
        <w:rPr>
          <w:rFonts w:hint="cs"/>
          <w:sz w:val="27"/>
          <w:rtl/>
        </w:rPr>
        <w:t>ِّي</w:t>
      </w:r>
      <w:r w:rsidRPr="00282AC9">
        <w:rPr>
          <w:rFonts w:hint="cs"/>
          <w:sz w:val="27"/>
          <w:rtl/>
        </w:rPr>
        <w:t>ة فلا نستطيع أن ند</w:t>
      </w:r>
      <w:r w:rsidR="00C20C4F" w:rsidRPr="00282AC9">
        <w:rPr>
          <w:rFonts w:hint="cs"/>
          <w:sz w:val="27"/>
          <w:rtl/>
        </w:rPr>
        <w:t>َّ</w:t>
      </w:r>
      <w:r w:rsidRPr="00282AC9">
        <w:rPr>
          <w:rFonts w:hint="cs"/>
          <w:sz w:val="27"/>
          <w:rtl/>
        </w:rPr>
        <w:t>عي ذلك هنا أيضاً</w:t>
      </w:r>
      <w:r w:rsidR="00C20C4F" w:rsidRPr="00282AC9">
        <w:rPr>
          <w:rFonts w:hint="cs"/>
          <w:sz w:val="27"/>
          <w:rtl/>
        </w:rPr>
        <w:t xml:space="preserve">؛ </w:t>
      </w:r>
      <w:r w:rsidRPr="00282AC9">
        <w:rPr>
          <w:rFonts w:hint="cs"/>
          <w:sz w:val="27"/>
          <w:rtl/>
        </w:rPr>
        <w:t xml:space="preserve"> إذ لا نجد خصوصي</w:t>
      </w:r>
      <w:r w:rsidR="00C20C4F" w:rsidRPr="00282AC9">
        <w:rPr>
          <w:rFonts w:hint="cs"/>
          <w:sz w:val="27"/>
          <w:rtl/>
        </w:rPr>
        <w:t>ّ</w:t>
      </w:r>
      <w:r w:rsidRPr="00282AC9">
        <w:rPr>
          <w:rFonts w:hint="cs"/>
          <w:sz w:val="27"/>
          <w:rtl/>
        </w:rPr>
        <w:t>ة</w:t>
      </w:r>
      <w:r w:rsidR="00C20C4F" w:rsidRPr="00282AC9">
        <w:rPr>
          <w:rFonts w:hint="cs"/>
          <w:sz w:val="27"/>
          <w:rtl/>
        </w:rPr>
        <w:t>ً</w:t>
      </w:r>
      <w:r w:rsidRPr="00282AC9">
        <w:rPr>
          <w:rFonts w:hint="cs"/>
          <w:sz w:val="27"/>
          <w:rtl/>
        </w:rPr>
        <w:t xml:space="preserve"> زائدة في هذا الموضوع. </w:t>
      </w:r>
    </w:p>
    <w:p w:rsidR="00E0712B" w:rsidRPr="00282AC9" w:rsidRDefault="00E0712B" w:rsidP="00E0712B">
      <w:pPr>
        <w:rPr>
          <w:sz w:val="27"/>
          <w:rtl/>
        </w:rPr>
      </w:pPr>
    </w:p>
    <w:p w:rsidR="001153F1" w:rsidRPr="00282AC9" w:rsidRDefault="0043536C" w:rsidP="00AF3EF3">
      <w:pPr>
        <w:pStyle w:val="31"/>
        <w:rPr>
          <w:color w:val="auto"/>
          <w:rtl/>
        </w:rPr>
      </w:pPr>
      <w:r w:rsidRPr="00282AC9">
        <w:rPr>
          <w:rFonts w:hint="cs"/>
          <w:color w:val="auto"/>
          <w:rtl/>
        </w:rPr>
        <w:t>11ـ</w:t>
      </w:r>
      <w:r w:rsidR="001153F1" w:rsidRPr="00282AC9">
        <w:rPr>
          <w:color w:val="auto"/>
          <w:rtl/>
        </w:rPr>
        <w:t xml:space="preserve"> النصوص الذام</w:t>
      </w:r>
      <w:r w:rsidR="00C20C4F" w:rsidRPr="00282AC9">
        <w:rPr>
          <w:rFonts w:hint="cs"/>
          <w:color w:val="auto"/>
          <w:rtl/>
        </w:rPr>
        <w:t>ّ</w:t>
      </w:r>
      <w:r w:rsidR="001153F1" w:rsidRPr="00282AC9">
        <w:rPr>
          <w:color w:val="auto"/>
          <w:rtl/>
        </w:rPr>
        <w:t>ة للمرأة العاقر</w:t>
      </w:r>
      <w:r w:rsidR="00C20C4F" w:rsidRPr="00282AC9">
        <w:rPr>
          <w:rFonts w:hint="cs"/>
          <w:color w:val="auto"/>
          <w:rtl/>
        </w:rPr>
        <w:t>،</w:t>
      </w:r>
      <w:r w:rsidR="001153F1" w:rsidRPr="00282AC9">
        <w:rPr>
          <w:color w:val="auto"/>
          <w:rtl/>
        </w:rPr>
        <w:t xml:space="preserve"> ودلالتها على الكراهة القانوني</w:t>
      </w:r>
      <w:r w:rsidR="00C20C4F" w:rsidRPr="00282AC9">
        <w:rPr>
          <w:rFonts w:hint="cs"/>
          <w:color w:val="auto"/>
          <w:rtl/>
        </w:rPr>
        <w:t>ّ</w:t>
      </w:r>
      <w:r w:rsidR="001153F1" w:rsidRPr="00282AC9">
        <w:rPr>
          <w:color w:val="auto"/>
          <w:rtl/>
        </w:rPr>
        <w:t>ة</w:t>
      </w:r>
    </w:p>
    <w:p w:rsidR="001153F1" w:rsidRPr="00282AC9" w:rsidRDefault="00C20C4F" w:rsidP="007051D6">
      <w:pPr>
        <w:rPr>
          <w:sz w:val="27"/>
          <w:rtl/>
        </w:rPr>
      </w:pPr>
      <w:r w:rsidRPr="00282AC9">
        <w:rPr>
          <w:rFonts w:hint="cs"/>
          <w:sz w:val="27"/>
          <w:rtl/>
        </w:rPr>
        <w:t>و</w:t>
      </w:r>
      <w:r w:rsidR="001153F1" w:rsidRPr="00282AC9">
        <w:rPr>
          <w:rFonts w:hint="cs"/>
          <w:sz w:val="27"/>
          <w:rtl/>
        </w:rPr>
        <w:t>كما رأ</w:t>
      </w:r>
      <w:r w:rsidRPr="00282AC9">
        <w:rPr>
          <w:rFonts w:hint="cs"/>
          <w:sz w:val="27"/>
          <w:rtl/>
        </w:rPr>
        <w:t>َ</w:t>
      </w:r>
      <w:r w:rsidR="001153F1" w:rsidRPr="00282AC9">
        <w:rPr>
          <w:rFonts w:hint="cs"/>
          <w:sz w:val="27"/>
          <w:rtl/>
        </w:rPr>
        <w:t>ي</w:t>
      </w:r>
      <w:r w:rsidRPr="00282AC9">
        <w:rPr>
          <w:rFonts w:hint="cs"/>
          <w:sz w:val="27"/>
          <w:rtl/>
        </w:rPr>
        <w:t>ْ</w:t>
      </w:r>
      <w:r w:rsidR="001153F1" w:rsidRPr="00282AC9">
        <w:rPr>
          <w:rFonts w:hint="cs"/>
          <w:sz w:val="27"/>
          <w:rtl/>
        </w:rPr>
        <w:t xml:space="preserve">نا </w:t>
      </w:r>
      <w:r w:rsidRPr="00282AC9">
        <w:rPr>
          <w:rFonts w:hint="cs"/>
          <w:sz w:val="27"/>
          <w:rtl/>
        </w:rPr>
        <w:t xml:space="preserve">فإن </w:t>
      </w:r>
      <w:r w:rsidR="001153F1" w:rsidRPr="00282AC9">
        <w:rPr>
          <w:rFonts w:hint="cs"/>
          <w:sz w:val="27"/>
          <w:rtl/>
        </w:rPr>
        <w:t>الكثير من الروايات المتعلّ</w:t>
      </w:r>
      <w:r w:rsidRPr="00282AC9">
        <w:rPr>
          <w:rFonts w:hint="cs"/>
          <w:sz w:val="27"/>
          <w:rtl/>
        </w:rPr>
        <w:t>ِ</w:t>
      </w:r>
      <w:r w:rsidR="001153F1" w:rsidRPr="00282AC9">
        <w:rPr>
          <w:rFonts w:hint="cs"/>
          <w:sz w:val="27"/>
          <w:rtl/>
        </w:rPr>
        <w:t>قة بالمرأة العقيم لا يشتمل على الأمر والن</w:t>
      </w:r>
      <w:r w:rsidRPr="00282AC9">
        <w:rPr>
          <w:rFonts w:hint="cs"/>
          <w:sz w:val="27"/>
          <w:rtl/>
        </w:rPr>
        <w:t>َّ</w:t>
      </w:r>
      <w:r w:rsidR="001153F1" w:rsidRPr="00282AC9">
        <w:rPr>
          <w:rFonts w:hint="cs"/>
          <w:sz w:val="27"/>
          <w:rtl/>
        </w:rPr>
        <w:t>ه</w:t>
      </w:r>
      <w:r w:rsidRPr="00282AC9">
        <w:rPr>
          <w:rFonts w:hint="cs"/>
          <w:sz w:val="27"/>
          <w:rtl/>
        </w:rPr>
        <w:t>ْ</w:t>
      </w:r>
      <w:r w:rsidR="001153F1" w:rsidRPr="00282AC9">
        <w:rPr>
          <w:rFonts w:hint="cs"/>
          <w:sz w:val="27"/>
          <w:rtl/>
        </w:rPr>
        <w:t>ي</w:t>
      </w:r>
      <w:r w:rsidRPr="00282AC9">
        <w:rPr>
          <w:rFonts w:hint="cs"/>
          <w:sz w:val="27"/>
          <w:rtl/>
        </w:rPr>
        <w:t>،</w:t>
      </w:r>
      <w:r w:rsidR="001153F1" w:rsidRPr="00282AC9">
        <w:rPr>
          <w:rFonts w:hint="cs"/>
          <w:sz w:val="27"/>
          <w:rtl/>
        </w:rPr>
        <w:t xml:space="preserve"> وإنّما تصف المرأة العقيم بتعابير مرجوحة</w:t>
      </w:r>
      <w:r w:rsidRPr="00282AC9">
        <w:rPr>
          <w:rFonts w:hint="cs"/>
          <w:sz w:val="27"/>
          <w:rtl/>
        </w:rPr>
        <w:t xml:space="preserve">ٍ. </w:t>
      </w:r>
      <w:r w:rsidR="001153F1" w:rsidRPr="00282AC9">
        <w:rPr>
          <w:rFonts w:hint="cs"/>
          <w:sz w:val="27"/>
          <w:rtl/>
        </w:rPr>
        <w:t>والسؤال هنا: هل نستطيع أن نستفيد من مثل هذه النصوص الكراهة القانوني</w:t>
      </w:r>
      <w:r w:rsidRPr="00282AC9">
        <w:rPr>
          <w:rFonts w:hint="cs"/>
          <w:sz w:val="27"/>
          <w:rtl/>
        </w:rPr>
        <w:t>ّ</w:t>
      </w:r>
      <w:r w:rsidR="001153F1" w:rsidRPr="00282AC9">
        <w:rPr>
          <w:rFonts w:hint="cs"/>
          <w:sz w:val="27"/>
          <w:rtl/>
        </w:rPr>
        <w:t xml:space="preserve">ة للزواج من المرأة العقيم أو لا؟ </w:t>
      </w:r>
    </w:p>
    <w:p w:rsidR="001153F1" w:rsidRPr="00282AC9" w:rsidRDefault="001153F1" w:rsidP="007051D6">
      <w:pPr>
        <w:rPr>
          <w:sz w:val="27"/>
          <w:rtl/>
        </w:rPr>
      </w:pPr>
      <w:r w:rsidRPr="00282AC9">
        <w:rPr>
          <w:rFonts w:hint="cs"/>
          <w:sz w:val="27"/>
          <w:rtl/>
        </w:rPr>
        <w:t>قد ي</w:t>
      </w:r>
      <w:r w:rsidR="00C20C4F" w:rsidRPr="00282AC9">
        <w:rPr>
          <w:rFonts w:hint="cs"/>
          <w:sz w:val="27"/>
          <w:rtl/>
        </w:rPr>
        <w:t>ُ</w:t>
      </w:r>
      <w:r w:rsidRPr="00282AC9">
        <w:rPr>
          <w:rFonts w:hint="cs"/>
          <w:sz w:val="27"/>
          <w:rtl/>
        </w:rPr>
        <w:t>قال بأنّ توصيف المرأة العقيم ب</w:t>
      </w:r>
      <w:r w:rsidR="00C20C4F" w:rsidRPr="00282AC9">
        <w:rPr>
          <w:rFonts w:hint="cs"/>
          <w:sz w:val="27"/>
          <w:rtl/>
        </w:rPr>
        <w:t xml:space="preserve">ـ </w:t>
      </w:r>
      <w:r w:rsidR="00C20C4F" w:rsidRPr="00282AC9">
        <w:rPr>
          <w:rFonts w:hint="eastAsia"/>
          <w:sz w:val="24"/>
          <w:szCs w:val="24"/>
          <w:rtl/>
        </w:rPr>
        <w:t>«</w:t>
      </w:r>
      <w:r w:rsidRPr="00282AC9">
        <w:rPr>
          <w:rFonts w:hint="cs"/>
          <w:sz w:val="27"/>
          <w:rtl/>
        </w:rPr>
        <w:t>شرار النساء</w:t>
      </w:r>
      <w:r w:rsidR="00C20C4F" w:rsidRPr="00282AC9">
        <w:rPr>
          <w:rFonts w:hint="eastAsia"/>
          <w:sz w:val="24"/>
          <w:szCs w:val="24"/>
          <w:rtl/>
        </w:rPr>
        <w:t>»</w:t>
      </w:r>
      <w:r w:rsidR="00C20C4F" w:rsidRPr="00282AC9">
        <w:rPr>
          <w:rFonts w:hint="cs"/>
          <w:sz w:val="27"/>
          <w:rtl/>
        </w:rPr>
        <w:t>،</w:t>
      </w:r>
      <w:r w:rsidRPr="00282AC9">
        <w:rPr>
          <w:rFonts w:hint="cs"/>
          <w:sz w:val="27"/>
          <w:rtl/>
        </w:rPr>
        <w:t xml:space="preserve"> أو اعتبار عقم المرأة شؤماً لها</w:t>
      </w:r>
      <w:r w:rsidR="00C20C4F" w:rsidRPr="00282AC9">
        <w:rPr>
          <w:rFonts w:hint="cs"/>
          <w:sz w:val="27"/>
          <w:rtl/>
        </w:rPr>
        <w:t>،</w:t>
      </w:r>
      <w:r w:rsidRPr="00282AC9">
        <w:rPr>
          <w:rFonts w:hint="cs"/>
          <w:sz w:val="27"/>
          <w:rtl/>
        </w:rPr>
        <w:t xml:space="preserve"> وإن</w:t>
      </w:r>
      <w:r w:rsidR="00C20C4F" w:rsidRPr="00282AC9">
        <w:rPr>
          <w:rFonts w:hint="cs"/>
          <w:sz w:val="27"/>
          <w:rtl/>
        </w:rPr>
        <w:t>ْ</w:t>
      </w:r>
      <w:r w:rsidRPr="00282AC9">
        <w:rPr>
          <w:rFonts w:hint="cs"/>
          <w:sz w:val="27"/>
          <w:rtl/>
        </w:rPr>
        <w:t xml:space="preserve"> لم يدلّ بالمطابقة على الن</w:t>
      </w:r>
      <w:r w:rsidR="00C20C4F" w:rsidRPr="00282AC9">
        <w:rPr>
          <w:rFonts w:hint="cs"/>
          <w:sz w:val="27"/>
          <w:rtl/>
        </w:rPr>
        <w:t>َّ</w:t>
      </w:r>
      <w:r w:rsidRPr="00282AC9">
        <w:rPr>
          <w:rFonts w:hint="cs"/>
          <w:sz w:val="27"/>
          <w:rtl/>
        </w:rPr>
        <w:t>ه</w:t>
      </w:r>
      <w:r w:rsidR="00C20C4F" w:rsidRPr="00282AC9">
        <w:rPr>
          <w:rFonts w:hint="cs"/>
          <w:sz w:val="27"/>
          <w:rtl/>
        </w:rPr>
        <w:t>ْ</w:t>
      </w:r>
      <w:r w:rsidRPr="00282AC9">
        <w:rPr>
          <w:rFonts w:hint="cs"/>
          <w:sz w:val="27"/>
          <w:rtl/>
        </w:rPr>
        <w:t>ي</w:t>
      </w:r>
      <w:r w:rsidR="00C20C4F" w:rsidRPr="00282AC9">
        <w:rPr>
          <w:rFonts w:hint="cs"/>
          <w:sz w:val="27"/>
          <w:rtl/>
        </w:rPr>
        <w:t>،</w:t>
      </w:r>
      <w:r w:rsidRPr="00282AC9">
        <w:rPr>
          <w:rFonts w:hint="cs"/>
          <w:sz w:val="27"/>
          <w:rtl/>
        </w:rPr>
        <w:t xml:space="preserve"> ولكنّه بالدلالة الالتزامية يدلّ على الن</w:t>
      </w:r>
      <w:r w:rsidR="00C20C4F" w:rsidRPr="00282AC9">
        <w:rPr>
          <w:rFonts w:hint="cs"/>
          <w:sz w:val="27"/>
          <w:rtl/>
        </w:rPr>
        <w:t>َّ</w:t>
      </w:r>
      <w:r w:rsidRPr="00282AC9">
        <w:rPr>
          <w:rFonts w:hint="cs"/>
          <w:sz w:val="27"/>
          <w:rtl/>
        </w:rPr>
        <w:t>ه</w:t>
      </w:r>
      <w:r w:rsidR="00C20C4F" w:rsidRPr="00282AC9">
        <w:rPr>
          <w:rFonts w:hint="cs"/>
          <w:sz w:val="27"/>
          <w:rtl/>
        </w:rPr>
        <w:t>ْ</w:t>
      </w:r>
      <w:r w:rsidRPr="00282AC9">
        <w:rPr>
          <w:rFonts w:hint="cs"/>
          <w:sz w:val="27"/>
          <w:rtl/>
        </w:rPr>
        <w:t>ي التنزيهي</w:t>
      </w:r>
      <w:r w:rsidR="00C20C4F" w:rsidRPr="00282AC9">
        <w:rPr>
          <w:rFonts w:hint="cs"/>
          <w:sz w:val="27"/>
          <w:rtl/>
        </w:rPr>
        <w:t>ّ</w:t>
      </w:r>
      <w:r w:rsidRPr="00282AC9">
        <w:rPr>
          <w:rFonts w:hint="cs"/>
          <w:sz w:val="27"/>
          <w:rtl/>
        </w:rPr>
        <w:t xml:space="preserve"> على الأقلّ، فتدخل هذه الروايات في مجموع الشواهد التي تؤكّ</w:t>
      </w:r>
      <w:r w:rsidR="00C20C4F" w:rsidRPr="00282AC9">
        <w:rPr>
          <w:rFonts w:hint="cs"/>
          <w:sz w:val="27"/>
          <w:rtl/>
        </w:rPr>
        <w:t>ِ</w:t>
      </w:r>
      <w:r w:rsidRPr="00282AC9">
        <w:rPr>
          <w:rFonts w:hint="cs"/>
          <w:sz w:val="27"/>
          <w:rtl/>
        </w:rPr>
        <w:t>د على الن</w:t>
      </w:r>
      <w:r w:rsidR="00C20C4F" w:rsidRPr="00282AC9">
        <w:rPr>
          <w:rFonts w:hint="cs"/>
          <w:sz w:val="27"/>
          <w:rtl/>
        </w:rPr>
        <w:t>َّ</w:t>
      </w:r>
      <w:r w:rsidRPr="00282AC9">
        <w:rPr>
          <w:rFonts w:hint="cs"/>
          <w:sz w:val="27"/>
          <w:rtl/>
        </w:rPr>
        <w:t>ه</w:t>
      </w:r>
      <w:r w:rsidR="00C20C4F" w:rsidRPr="00282AC9">
        <w:rPr>
          <w:rFonts w:hint="cs"/>
          <w:sz w:val="27"/>
          <w:rtl/>
        </w:rPr>
        <w:t>ْ</w:t>
      </w:r>
      <w:r w:rsidRPr="00282AC9">
        <w:rPr>
          <w:rFonts w:hint="cs"/>
          <w:sz w:val="27"/>
          <w:rtl/>
        </w:rPr>
        <w:t xml:space="preserve">ي </w:t>
      </w:r>
      <w:r w:rsidR="00C20C4F" w:rsidRPr="00282AC9">
        <w:rPr>
          <w:rFonts w:hint="cs"/>
          <w:sz w:val="27"/>
          <w:rtl/>
        </w:rPr>
        <w:t>ع</w:t>
      </w:r>
      <w:r w:rsidRPr="00282AC9">
        <w:rPr>
          <w:rFonts w:hint="cs"/>
          <w:sz w:val="27"/>
          <w:rtl/>
        </w:rPr>
        <w:t>ن الزواج من المرأة العقيم.</w:t>
      </w:r>
    </w:p>
    <w:p w:rsidR="001153F1" w:rsidRPr="00282AC9" w:rsidRDefault="001153F1" w:rsidP="00E0712B">
      <w:pPr>
        <w:spacing w:line="410" w:lineRule="exact"/>
        <w:rPr>
          <w:sz w:val="27"/>
          <w:rtl/>
        </w:rPr>
      </w:pPr>
      <w:r w:rsidRPr="00282AC9">
        <w:rPr>
          <w:rFonts w:hint="cs"/>
          <w:sz w:val="27"/>
          <w:rtl/>
        </w:rPr>
        <w:t>ولكن</w:t>
      </w:r>
      <w:r w:rsidR="00C20C4F" w:rsidRPr="00282AC9">
        <w:rPr>
          <w:rFonts w:hint="cs"/>
          <w:sz w:val="27"/>
          <w:rtl/>
        </w:rPr>
        <w:t>ّ</w:t>
      </w:r>
      <w:r w:rsidRPr="00282AC9">
        <w:rPr>
          <w:rFonts w:hint="cs"/>
          <w:sz w:val="27"/>
          <w:rtl/>
        </w:rPr>
        <w:t xml:space="preserve"> هذه الملازمة غير مفهومة</w:t>
      </w:r>
      <w:r w:rsidR="00C20C4F" w:rsidRPr="00282AC9">
        <w:rPr>
          <w:rFonts w:hint="cs"/>
          <w:sz w:val="27"/>
          <w:rtl/>
        </w:rPr>
        <w:t>ٍ</w:t>
      </w:r>
      <w:r w:rsidRPr="00282AC9">
        <w:rPr>
          <w:rFonts w:hint="cs"/>
          <w:sz w:val="27"/>
          <w:rtl/>
        </w:rPr>
        <w:t xml:space="preserve"> </w:t>
      </w:r>
      <w:r w:rsidR="00C20C4F" w:rsidRPr="00282AC9">
        <w:rPr>
          <w:rFonts w:hint="cs"/>
          <w:sz w:val="27"/>
          <w:rtl/>
        </w:rPr>
        <w:t xml:space="preserve">من قِبَلنا؛ </w:t>
      </w:r>
      <w:r w:rsidRPr="00282AC9">
        <w:rPr>
          <w:rFonts w:hint="cs"/>
          <w:sz w:val="27"/>
          <w:rtl/>
        </w:rPr>
        <w:t>إذ لا نجد ملازمة</w:t>
      </w:r>
      <w:r w:rsidR="00C20C4F" w:rsidRPr="00282AC9">
        <w:rPr>
          <w:rFonts w:hint="cs"/>
          <w:sz w:val="27"/>
          <w:rtl/>
        </w:rPr>
        <w:t>ً</w:t>
      </w:r>
      <w:r w:rsidRPr="00282AC9">
        <w:rPr>
          <w:rFonts w:hint="cs"/>
          <w:sz w:val="27"/>
          <w:rtl/>
        </w:rPr>
        <w:t xml:space="preserve"> </w:t>
      </w:r>
      <w:r w:rsidR="00B11BEB" w:rsidRPr="00282AC9">
        <w:rPr>
          <w:rFonts w:hint="cs"/>
          <w:sz w:val="27"/>
          <w:rtl/>
        </w:rPr>
        <w:t xml:space="preserve">دائميّة </w:t>
      </w:r>
      <w:r w:rsidRPr="00282AC9">
        <w:rPr>
          <w:rFonts w:hint="cs"/>
          <w:sz w:val="27"/>
          <w:rtl/>
        </w:rPr>
        <w:t>بين المرجوحية في الخارج والكراهة القانونية</w:t>
      </w:r>
      <w:r w:rsidR="00B11BEB" w:rsidRPr="00282AC9">
        <w:rPr>
          <w:rFonts w:hint="cs"/>
          <w:sz w:val="27"/>
          <w:rtl/>
        </w:rPr>
        <w:t xml:space="preserve">؛ </w:t>
      </w:r>
      <w:r w:rsidRPr="00282AC9">
        <w:rPr>
          <w:rFonts w:hint="cs"/>
          <w:sz w:val="27"/>
          <w:rtl/>
        </w:rPr>
        <w:t>كي ننتقل من بيان المرجوحي</w:t>
      </w:r>
      <w:r w:rsidR="00B11BEB" w:rsidRPr="00282AC9">
        <w:rPr>
          <w:rFonts w:hint="cs"/>
          <w:sz w:val="27"/>
          <w:rtl/>
        </w:rPr>
        <w:t>ّ</w:t>
      </w:r>
      <w:r w:rsidRPr="00282AC9">
        <w:rPr>
          <w:rFonts w:hint="cs"/>
          <w:sz w:val="27"/>
          <w:rtl/>
        </w:rPr>
        <w:t>ة هذه إلى الكراهة الشرعي</w:t>
      </w:r>
      <w:r w:rsidR="00B11BEB" w:rsidRPr="00282AC9">
        <w:rPr>
          <w:rFonts w:hint="cs"/>
          <w:sz w:val="27"/>
          <w:rtl/>
        </w:rPr>
        <w:t>ّ</w:t>
      </w:r>
      <w:r w:rsidRPr="00282AC9">
        <w:rPr>
          <w:rFonts w:hint="cs"/>
          <w:sz w:val="27"/>
          <w:rtl/>
        </w:rPr>
        <w:t>ة</w:t>
      </w:r>
      <w:r w:rsidR="00B11BEB" w:rsidRPr="00282AC9">
        <w:rPr>
          <w:rFonts w:hint="cs"/>
          <w:sz w:val="27"/>
          <w:rtl/>
        </w:rPr>
        <w:t>.</w:t>
      </w:r>
      <w:r w:rsidRPr="00282AC9">
        <w:rPr>
          <w:rFonts w:hint="cs"/>
          <w:sz w:val="27"/>
          <w:rtl/>
        </w:rPr>
        <w:t xml:space="preserve"> وكذلك في الاستحباب. </w:t>
      </w:r>
    </w:p>
    <w:p w:rsidR="00E0712B" w:rsidRPr="00282AC9" w:rsidRDefault="00E0712B" w:rsidP="00E0712B">
      <w:pPr>
        <w:spacing w:line="420" w:lineRule="exact"/>
        <w:rPr>
          <w:sz w:val="27"/>
          <w:rtl/>
        </w:rPr>
      </w:pPr>
    </w:p>
    <w:p w:rsidR="001153F1" w:rsidRPr="00282AC9" w:rsidRDefault="0043536C" w:rsidP="00AF3EF3">
      <w:pPr>
        <w:pStyle w:val="31"/>
        <w:rPr>
          <w:color w:val="auto"/>
          <w:rtl/>
        </w:rPr>
      </w:pPr>
      <w:r w:rsidRPr="00282AC9">
        <w:rPr>
          <w:rFonts w:hint="cs"/>
          <w:color w:val="auto"/>
          <w:rtl/>
        </w:rPr>
        <w:t>12ـ</w:t>
      </w:r>
      <w:r w:rsidR="001153F1" w:rsidRPr="00282AC9">
        <w:rPr>
          <w:color w:val="auto"/>
          <w:rtl/>
        </w:rPr>
        <w:t xml:space="preserve"> النصوص القانوني</w:t>
      </w:r>
      <w:r w:rsidR="00B11BEB" w:rsidRPr="00282AC9">
        <w:rPr>
          <w:rFonts w:hint="cs"/>
          <w:color w:val="auto"/>
          <w:rtl/>
        </w:rPr>
        <w:t>ّ</w:t>
      </w:r>
      <w:r w:rsidR="001153F1" w:rsidRPr="00282AC9">
        <w:rPr>
          <w:color w:val="auto"/>
          <w:rtl/>
        </w:rPr>
        <w:t>ة الاستحبابي</w:t>
      </w:r>
      <w:r w:rsidR="00B11BEB" w:rsidRPr="00282AC9">
        <w:rPr>
          <w:rFonts w:hint="cs"/>
          <w:color w:val="auto"/>
          <w:rtl/>
        </w:rPr>
        <w:t>ّ</w:t>
      </w:r>
      <w:r w:rsidR="001153F1" w:rsidRPr="00282AC9">
        <w:rPr>
          <w:color w:val="auto"/>
          <w:rtl/>
        </w:rPr>
        <w:t>ة</w:t>
      </w:r>
      <w:r w:rsidR="00B11BEB" w:rsidRPr="00282AC9">
        <w:rPr>
          <w:rFonts w:hint="cs"/>
          <w:color w:val="auto"/>
          <w:rtl/>
        </w:rPr>
        <w:t>،</w:t>
      </w:r>
      <w:r w:rsidR="001153F1" w:rsidRPr="00282AC9">
        <w:rPr>
          <w:color w:val="auto"/>
          <w:rtl/>
        </w:rPr>
        <w:t xml:space="preserve"> ودلالتها على </w:t>
      </w:r>
      <w:r w:rsidR="00B11BEB" w:rsidRPr="00282AC9">
        <w:rPr>
          <w:rFonts w:hint="cs"/>
          <w:color w:val="auto"/>
          <w:rtl/>
        </w:rPr>
        <w:t>ال</w:t>
      </w:r>
      <w:r w:rsidR="001153F1" w:rsidRPr="00282AC9">
        <w:rPr>
          <w:color w:val="auto"/>
          <w:rtl/>
        </w:rPr>
        <w:t xml:space="preserve">تشنيع </w:t>
      </w:r>
      <w:r w:rsidR="00B11BEB" w:rsidRPr="00282AC9">
        <w:rPr>
          <w:rFonts w:hint="cs"/>
          <w:color w:val="auto"/>
          <w:rtl/>
        </w:rPr>
        <w:t xml:space="preserve">بحقّ </w:t>
      </w:r>
      <w:r w:rsidR="001153F1" w:rsidRPr="00282AC9">
        <w:rPr>
          <w:color w:val="auto"/>
          <w:rtl/>
        </w:rPr>
        <w:t>المرأة العقيم</w:t>
      </w:r>
    </w:p>
    <w:p w:rsidR="001153F1" w:rsidRPr="00282AC9" w:rsidRDefault="001153F1" w:rsidP="007051D6">
      <w:pPr>
        <w:rPr>
          <w:sz w:val="27"/>
          <w:rtl/>
        </w:rPr>
      </w:pPr>
      <w:r w:rsidRPr="00282AC9">
        <w:rPr>
          <w:rFonts w:hint="cs"/>
          <w:sz w:val="27"/>
          <w:rtl/>
        </w:rPr>
        <w:t>لقد استحض</w:t>
      </w:r>
      <w:r w:rsidR="00B11BEB" w:rsidRPr="00282AC9">
        <w:rPr>
          <w:rFonts w:hint="cs"/>
          <w:sz w:val="27"/>
          <w:rtl/>
        </w:rPr>
        <w:t>َ</w:t>
      </w:r>
      <w:r w:rsidRPr="00282AC9">
        <w:rPr>
          <w:rFonts w:hint="cs"/>
          <w:sz w:val="27"/>
          <w:rtl/>
        </w:rPr>
        <w:t>ر</w:t>
      </w:r>
      <w:r w:rsidR="00B11BEB" w:rsidRPr="00282AC9">
        <w:rPr>
          <w:rFonts w:hint="cs"/>
          <w:sz w:val="27"/>
          <w:rtl/>
        </w:rPr>
        <w:t>ْ</w:t>
      </w:r>
      <w:r w:rsidRPr="00282AC9">
        <w:rPr>
          <w:rFonts w:hint="cs"/>
          <w:sz w:val="27"/>
          <w:rtl/>
        </w:rPr>
        <w:t>نا في هذه الدراسة النصوص التي تحثّ على الزواج من المرأة الولود</w:t>
      </w:r>
      <w:r w:rsidR="00B11BEB" w:rsidRPr="00282AC9">
        <w:rPr>
          <w:rFonts w:hint="cs"/>
          <w:sz w:val="27"/>
          <w:rtl/>
        </w:rPr>
        <w:t>،</w:t>
      </w:r>
      <w:r w:rsidRPr="00282AC9">
        <w:rPr>
          <w:rFonts w:hint="cs"/>
          <w:sz w:val="27"/>
          <w:rtl/>
        </w:rPr>
        <w:t xml:space="preserve"> وتمدحها</w:t>
      </w:r>
      <w:r w:rsidR="00B11BEB" w:rsidRPr="00282AC9">
        <w:rPr>
          <w:rFonts w:hint="cs"/>
          <w:sz w:val="27"/>
          <w:rtl/>
        </w:rPr>
        <w:t>؛</w:t>
      </w:r>
      <w:r w:rsidRPr="00282AC9">
        <w:rPr>
          <w:rFonts w:hint="cs"/>
          <w:sz w:val="27"/>
          <w:rtl/>
        </w:rPr>
        <w:t xml:space="preserve"> إذ قد يقال بأنّ هذا الاستحباب يلازم كراهة الزواج من المرأة العقيم</w:t>
      </w:r>
      <w:r w:rsidR="00B11BEB" w:rsidRPr="00282AC9">
        <w:rPr>
          <w:rFonts w:hint="cs"/>
          <w:sz w:val="27"/>
          <w:rtl/>
        </w:rPr>
        <w:t>.</w:t>
      </w:r>
      <w:r w:rsidRPr="00282AC9">
        <w:rPr>
          <w:rFonts w:hint="cs"/>
          <w:sz w:val="27"/>
          <w:rtl/>
        </w:rPr>
        <w:t xml:space="preserve"> وكذلك هذا بنفسه مؤشّ</w:t>
      </w:r>
      <w:r w:rsidR="00B11BEB" w:rsidRPr="00282AC9">
        <w:rPr>
          <w:rFonts w:hint="cs"/>
          <w:sz w:val="27"/>
          <w:rtl/>
        </w:rPr>
        <w:t>ِ</w:t>
      </w:r>
      <w:r w:rsidRPr="00282AC9">
        <w:rPr>
          <w:rFonts w:hint="cs"/>
          <w:sz w:val="27"/>
          <w:rtl/>
        </w:rPr>
        <w:t>ر</w:t>
      </w:r>
      <w:r w:rsidR="00B11BEB" w:rsidRPr="00282AC9">
        <w:rPr>
          <w:rFonts w:hint="cs"/>
          <w:sz w:val="27"/>
          <w:rtl/>
        </w:rPr>
        <w:t>ٌ</w:t>
      </w:r>
      <w:r w:rsidRPr="00282AC9">
        <w:rPr>
          <w:rFonts w:hint="cs"/>
          <w:sz w:val="27"/>
          <w:rtl/>
        </w:rPr>
        <w:t xml:space="preserve"> للتمييز بين المرأة العقيم والو</w:t>
      </w:r>
      <w:r w:rsidR="00B11BEB" w:rsidRPr="00282AC9">
        <w:rPr>
          <w:rFonts w:hint="cs"/>
          <w:sz w:val="27"/>
          <w:rtl/>
        </w:rPr>
        <w:t>َ</w:t>
      </w:r>
      <w:r w:rsidRPr="00282AC9">
        <w:rPr>
          <w:rFonts w:hint="cs"/>
          <w:sz w:val="27"/>
          <w:rtl/>
        </w:rPr>
        <w:t>لود في النصوص الدينية</w:t>
      </w:r>
      <w:r w:rsidR="00B11BEB" w:rsidRPr="00282AC9">
        <w:rPr>
          <w:rFonts w:hint="cs"/>
          <w:sz w:val="27"/>
          <w:rtl/>
        </w:rPr>
        <w:t xml:space="preserve">، وهو </w:t>
      </w:r>
      <w:r w:rsidRPr="00282AC9">
        <w:rPr>
          <w:rFonts w:hint="cs"/>
          <w:sz w:val="27"/>
          <w:rtl/>
        </w:rPr>
        <w:t>الأمر الذي سنتناول</w:t>
      </w:r>
      <w:r w:rsidR="00B11BEB" w:rsidRPr="00282AC9">
        <w:rPr>
          <w:rFonts w:hint="cs"/>
          <w:sz w:val="27"/>
          <w:rtl/>
        </w:rPr>
        <w:t>ه</w:t>
      </w:r>
      <w:r w:rsidRPr="00282AC9">
        <w:rPr>
          <w:rFonts w:hint="cs"/>
          <w:sz w:val="27"/>
          <w:rtl/>
        </w:rPr>
        <w:t xml:space="preserve"> في النقطة الأخيرة</w:t>
      </w:r>
      <w:r w:rsidR="00B11BEB" w:rsidRPr="00282AC9">
        <w:rPr>
          <w:rFonts w:hint="cs"/>
          <w:sz w:val="27"/>
          <w:rtl/>
        </w:rPr>
        <w:t>.</w:t>
      </w:r>
      <w:r w:rsidRPr="00282AC9">
        <w:rPr>
          <w:rFonts w:hint="cs"/>
          <w:sz w:val="27"/>
          <w:rtl/>
        </w:rPr>
        <w:t xml:space="preserve"> ولكنّنا لا نفهم من هذه النصوص أيّ تعيير</w:t>
      </w:r>
      <w:r w:rsidR="00B11BEB" w:rsidRPr="00282AC9">
        <w:rPr>
          <w:rFonts w:hint="cs"/>
          <w:sz w:val="27"/>
          <w:rtl/>
        </w:rPr>
        <w:t>ٍ</w:t>
      </w:r>
      <w:r w:rsidRPr="00282AC9">
        <w:rPr>
          <w:rFonts w:hint="cs"/>
          <w:sz w:val="27"/>
          <w:rtl/>
        </w:rPr>
        <w:t xml:space="preserve"> في حقّ المرأة العقيم</w:t>
      </w:r>
      <w:r w:rsidR="00B11BEB" w:rsidRPr="00282AC9">
        <w:rPr>
          <w:rFonts w:hint="cs"/>
          <w:sz w:val="27"/>
          <w:rtl/>
        </w:rPr>
        <w:t>،</w:t>
      </w:r>
      <w:r w:rsidRPr="00282AC9">
        <w:rPr>
          <w:rFonts w:hint="cs"/>
          <w:sz w:val="27"/>
          <w:rtl/>
        </w:rPr>
        <w:t xml:space="preserve"> وإنّما كلّ</w:t>
      </w:r>
      <w:r w:rsidR="00B11BEB" w:rsidRPr="00282AC9">
        <w:rPr>
          <w:rFonts w:hint="cs"/>
          <w:sz w:val="27"/>
          <w:rtl/>
        </w:rPr>
        <w:t>ُ</w:t>
      </w:r>
      <w:r w:rsidRPr="00282AC9">
        <w:rPr>
          <w:rFonts w:hint="cs"/>
          <w:sz w:val="27"/>
          <w:rtl/>
        </w:rPr>
        <w:t xml:space="preserve"> ما في الأمر مس</w:t>
      </w:r>
      <w:r w:rsidR="00B11BEB" w:rsidRPr="00282AC9">
        <w:rPr>
          <w:rFonts w:hint="cs"/>
          <w:sz w:val="27"/>
          <w:rtl/>
        </w:rPr>
        <w:t>أ</w:t>
      </w:r>
      <w:r w:rsidRPr="00282AC9">
        <w:rPr>
          <w:rFonts w:hint="cs"/>
          <w:sz w:val="27"/>
          <w:rtl/>
        </w:rPr>
        <w:t xml:space="preserve">لة التمييز والتفضيل. </w:t>
      </w:r>
    </w:p>
    <w:p w:rsidR="001153F1" w:rsidRPr="00282AC9" w:rsidRDefault="0043536C" w:rsidP="00AF3EF3">
      <w:pPr>
        <w:pStyle w:val="31"/>
        <w:rPr>
          <w:color w:val="auto"/>
        </w:rPr>
      </w:pPr>
      <w:r w:rsidRPr="00282AC9">
        <w:rPr>
          <w:rFonts w:hint="cs"/>
          <w:color w:val="auto"/>
          <w:rtl/>
        </w:rPr>
        <w:lastRenderedPageBreak/>
        <w:t>13ـ</w:t>
      </w:r>
      <w:r w:rsidR="001153F1" w:rsidRPr="00282AC9">
        <w:rPr>
          <w:rFonts w:hint="cs"/>
          <w:color w:val="auto"/>
          <w:rtl/>
        </w:rPr>
        <w:t xml:space="preserve"> إشكالي</w:t>
      </w:r>
      <w:r w:rsidR="00B11BEB" w:rsidRPr="00282AC9">
        <w:rPr>
          <w:rFonts w:hint="cs"/>
          <w:color w:val="auto"/>
          <w:rtl/>
        </w:rPr>
        <w:t>ّ</w:t>
      </w:r>
      <w:r w:rsidR="001153F1" w:rsidRPr="00282AC9">
        <w:rPr>
          <w:rFonts w:hint="cs"/>
          <w:color w:val="auto"/>
          <w:rtl/>
        </w:rPr>
        <w:t>ة التمييز بين المرأة العقيم والولود تشريعاً</w:t>
      </w:r>
      <w:r w:rsidR="00B11BEB" w:rsidRPr="00282AC9">
        <w:rPr>
          <w:rFonts w:hint="cs"/>
          <w:color w:val="auto"/>
          <w:rtl/>
        </w:rPr>
        <w:t>،</w:t>
      </w:r>
      <w:r w:rsidR="001153F1" w:rsidRPr="00282AC9">
        <w:rPr>
          <w:rFonts w:hint="cs"/>
          <w:color w:val="auto"/>
          <w:rtl/>
        </w:rPr>
        <w:t xml:space="preserve"> بل تكويناً</w:t>
      </w:r>
    </w:p>
    <w:p w:rsidR="001153F1" w:rsidRPr="00282AC9" w:rsidRDefault="001153F1" w:rsidP="007051D6">
      <w:pPr>
        <w:rPr>
          <w:sz w:val="27"/>
          <w:rtl/>
        </w:rPr>
      </w:pPr>
      <w:r w:rsidRPr="00282AC9">
        <w:rPr>
          <w:rFonts w:hint="cs"/>
          <w:sz w:val="27"/>
          <w:rtl/>
        </w:rPr>
        <w:t>إنّ الكثير من الإشكالي</w:t>
      </w:r>
      <w:r w:rsidR="00B11BEB" w:rsidRPr="00282AC9">
        <w:rPr>
          <w:rFonts w:hint="cs"/>
          <w:sz w:val="27"/>
          <w:rtl/>
        </w:rPr>
        <w:t>ّ</w:t>
      </w:r>
      <w:r w:rsidRPr="00282AC9">
        <w:rPr>
          <w:rFonts w:hint="cs"/>
          <w:sz w:val="27"/>
          <w:rtl/>
        </w:rPr>
        <w:t>ات التي يسجّ</w:t>
      </w:r>
      <w:r w:rsidR="00B11BEB" w:rsidRPr="00282AC9">
        <w:rPr>
          <w:rFonts w:hint="cs"/>
          <w:sz w:val="27"/>
          <w:rtl/>
        </w:rPr>
        <w:t>ِ</w:t>
      </w:r>
      <w:r w:rsidRPr="00282AC9">
        <w:rPr>
          <w:rFonts w:hint="cs"/>
          <w:sz w:val="27"/>
          <w:rtl/>
        </w:rPr>
        <w:t>لونها اليوم على الأحكام الشرعيّة</w:t>
      </w:r>
      <w:r w:rsidR="00B11BEB" w:rsidRPr="00282AC9">
        <w:rPr>
          <w:rFonts w:hint="cs"/>
          <w:sz w:val="27"/>
          <w:rtl/>
        </w:rPr>
        <w:t>،</w:t>
      </w:r>
      <w:r w:rsidRPr="00282AC9">
        <w:rPr>
          <w:rFonts w:hint="cs"/>
          <w:sz w:val="27"/>
          <w:rtl/>
        </w:rPr>
        <w:t xml:space="preserve"> بل الأفعال الإلهي</w:t>
      </w:r>
      <w:r w:rsidR="00B11BEB" w:rsidRPr="00282AC9">
        <w:rPr>
          <w:rFonts w:hint="cs"/>
          <w:sz w:val="27"/>
          <w:rtl/>
        </w:rPr>
        <w:t>ّ</w:t>
      </w:r>
      <w:r w:rsidRPr="00282AC9">
        <w:rPr>
          <w:rFonts w:hint="cs"/>
          <w:sz w:val="27"/>
          <w:rtl/>
        </w:rPr>
        <w:t>ة التكويني</w:t>
      </w:r>
      <w:r w:rsidR="00B11BEB" w:rsidRPr="00282AC9">
        <w:rPr>
          <w:rFonts w:hint="cs"/>
          <w:sz w:val="27"/>
          <w:rtl/>
        </w:rPr>
        <w:t>ّ</w:t>
      </w:r>
      <w:r w:rsidRPr="00282AC9">
        <w:rPr>
          <w:rFonts w:hint="cs"/>
          <w:sz w:val="27"/>
          <w:rtl/>
        </w:rPr>
        <w:t>ة، يرجع إلى مسألة التمييز بين العباد، الأمر الذي اعتبر مصداقاً للظلم</w:t>
      </w:r>
      <w:r w:rsidR="00B11BEB" w:rsidRPr="00282AC9">
        <w:rPr>
          <w:rFonts w:hint="cs"/>
          <w:sz w:val="27"/>
          <w:rtl/>
        </w:rPr>
        <w:t>.</w:t>
      </w:r>
      <w:r w:rsidRPr="00282AC9">
        <w:rPr>
          <w:rFonts w:hint="cs"/>
          <w:sz w:val="27"/>
          <w:rtl/>
        </w:rPr>
        <w:t xml:space="preserve"> وكذلك في المقام</w:t>
      </w:r>
      <w:r w:rsidR="00B11BEB" w:rsidRPr="00282AC9">
        <w:rPr>
          <w:rFonts w:hint="cs"/>
          <w:sz w:val="27"/>
          <w:rtl/>
        </w:rPr>
        <w:t>،</w:t>
      </w:r>
      <w:r w:rsidRPr="00282AC9">
        <w:rPr>
          <w:rFonts w:hint="cs"/>
          <w:sz w:val="27"/>
          <w:rtl/>
        </w:rPr>
        <w:t xml:space="preserve"> قد اعتبر الحكم بكراهة الزواج من المرأة العقيم من مصاديق التمييز والظلم</w:t>
      </w:r>
      <w:r w:rsidR="00B11BEB" w:rsidRPr="00282AC9">
        <w:rPr>
          <w:rFonts w:hint="cs"/>
          <w:sz w:val="27"/>
          <w:rtl/>
        </w:rPr>
        <w:t>،</w:t>
      </w:r>
      <w:r w:rsidRPr="00282AC9">
        <w:rPr>
          <w:rFonts w:hint="cs"/>
          <w:sz w:val="27"/>
          <w:rtl/>
        </w:rPr>
        <w:t xml:space="preserve"> </w:t>
      </w:r>
      <w:r w:rsidR="00B11BEB" w:rsidRPr="00282AC9">
        <w:rPr>
          <w:rFonts w:hint="cs"/>
          <w:sz w:val="27"/>
          <w:rtl/>
        </w:rPr>
        <w:t>و</w:t>
      </w:r>
      <w:r w:rsidRPr="00282AC9">
        <w:rPr>
          <w:rFonts w:hint="cs"/>
          <w:sz w:val="27"/>
          <w:rtl/>
        </w:rPr>
        <w:t>خاصّة</w:t>
      </w:r>
      <w:r w:rsidR="00B11BEB" w:rsidRPr="00282AC9">
        <w:rPr>
          <w:rFonts w:hint="cs"/>
          <w:sz w:val="27"/>
          <w:rtl/>
        </w:rPr>
        <w:t>ً</w:t>
      </w:r>
      <w:r w:rsidRPr="00282AC9">
        <w:rPr>
          <w:rFonts w:hint="cs"/>
          <w:sz w:val="27"/>
          <w:rtl/>
        </w:rPr>
        <w:t xml:space="preserve"> أنّ القرآن يصرّ</w:t>
      </w:r>
      <w:r w:rsidR="00B11BEB" w:rsidRPr="00282AC9">
        <w:rPr>
          <w:rFonts w:hint="cs"/>
          <w:sz w:val="27"/>
          <w:rtl/>
        </w:rPr>
        <w:t>ِ</w:t>
      </w:r>
      <w:r w:rsidRPr="00282AC9">
        <w:rPr>
          <w:rFonts w:hint="cs"/>
          <w:sz w:val="27"/>
          <w:rtl/>
        </w:rPr>
        <w:t>ح بأن العقم أمر</w:t>
      </w:r>
      <w:r w:rsidR="00B11BEB" w:rsidRPr="00282AC9">
        <w:rPr>
          <w:rFonts w:hint="cs"/>
          <w:sz w:val="27"/>
          <w:rtl/>
        </w:rPr>
        <w:t>ٌ</w:t>
      </w:r>
      <w:r w:rsidRPr="00282AC9">
        <w:rPr>
          <w:rFonts w:hint="cs"/>
          <w:sz w:val="27"/>
          <w:rtl/>
        </w:rPr>
        <w:t xml:space="preserve"> تكويني</w:t>
      </w:r>
      <w:r w:rsidR="00B11BEB" w:rsidRPr="00282AC9">
        <w:rPr>
          <w:rFonts w:hint="cs"/>
          <w:sz w:val="27"/>
          <w:rtl/>
        </w:rPr>
        <w:t>ّ</w:t>
      </w:r>
      <w:r w:rsidRPr="00282AC9">
        <w:rPr>
          <w:rFonts w:hint="cs"/>
          <w:sz w:val="27"/>
          <w:rtl/>
        </w:rPr>
        <w:t xml:space="preserve"> يرجع إلى الله نفسه، فلماذا ميّ</w:t>
      </w:r>
      <w:r w:rsidR="00B11BEB" w:rsidRPr="00282AC9">
        <w:rPr>
          <w:rFonts w:hint="cs"/>
          <w:sz w:val="27"/>
          <w:rtl/>
        </w:rPr>
        <w:t>َ</w:t>
      </w:r>
      <w:r w:rsidRPr="00282AC9">
        <w:rPr>
          <w:rFonts w:hint="cs"/>
          <w:sz w:val="27"/>
          <w:rtl/>
        </w:rPr>
        <w:t>ز الله سبحانه بين عباده</w:t>
      </w:r>
      <w:r w:rsidR="00B11BEB" w:rsidRPr="00282AC9">
        <w:rPr>
          <w:rFonts w:hint="cs"/>
          <w:sz w:val="27"/>
          <w:rtl/>
        </w:rPr>
        <w:t>،</w:t>
      </w:r>
      <w:r w:rsidRPr="00282AC9">
        <w:rPr>
          <w:rFonts w:hint="cs"/>
          <w:sz w:val="27"/>
          <w:rtl/>
        </w:rPr>
        <w:t xml:space="preserve"> وجعل الزواج من المرأة العقيم مكروهاً</w:t>
      </w:r>
      <w:r w:rsidR="00B11BEB" w:rsidRPr="00282AC9">
        <w:rPr>
          <w:rFonts w:hint="cs"/>
          <w:sz w:val="27"/>
          <w:rtl/>
        </w:rPr>
        <w:t>،</w:t>
      </w:r>
      <w:r w:rsidRPr="00282AC9">
        <w:rPr>
          <w:rFonts w:hint="cs"/>
          <w:sz w:val="27"/>
          <w:rtl/>
        </w:rPr>
        <w:t xml:space="preserve"> والزواج بالو</w:t>
      </w:r>
      <w:r w:rsidR="00B11BEB" w:rsidRPr="00282AC9">
        <w:rPr>
          <w:rFonts w:hint="cs"/>
          <w:sz w:val="27"/>
          <w:rtl/>
        </w:rPr>
        <w:t>َ</w:t>
      </w:r>
      <w:r w:rsidRPr="00282AC9">
        <w:rPr>
          <w:rFonts w:hint="cs"/>
          <w:sz w:val="27"/>
          <w:rtl/>
        </w:rPr>
        <w:t>لود مستحب</w:t>
      </w:r>
      <w:r w:rsidR="00B11BEB" w:rsidRPr="00282AC9">
        <w:rPr>
          <w:rFonts w:hint="cs"/>
          <w:sz w:val="27"/>
          <w:rtl/>
        </w:rPr>
        <w:t>ّ</w:t>
      </w:r>
      <w:r w:rsidRPr="00282AC9">
        <w:rPr>
          <w:rFonts w:hint="cs"/>
          <w:sz w:val="27"/>
          <w:rtl/>
        </w:rPr>
        <w:t>اً</w:t>
      </w:r>
      <w:r w:rsidR="00B11BEB" w:rsidRPr="00282AC9">
        <w:rPr>
          <w:rFonts w:hint="cs"/>
          <w:sz w:val="27"/>
          <w:rtl/>
        </w:rPr>
        <w:t>؟</w:t>
      </w:r>
      <w:r w:rsidRPr="00282AC9">
        <w:rPr>
          <w:rFonts w:hint="cs"/>
          <w:sz w:val="27"/>
          <w:rtl/>
        </w:rPr>
        <w:t xml:space="preserve"> بل لماذا جعل بعضهم عقيماً</w:t>
      </w:r>
      <w:r w:rsidR="00B11BEB" w:rsidRPr="00282AC9">
        <w:rPr>
          <w:rFonts w:hint="cs"/>
          <w:sz w:val="27"/>
          <w:rtl/>
        </w:rPr>
        <w:t>،</w:t>
      </w:r>
      <w:r w:rsidRPr="00282AC9">
        <w:rPr>
          <w:rFonts w:hint="cs"/>
          <w:sz w:val="27"/>
          <w:rtl/>
        </w:rPr>
        <w:t xml:space="preserve"> والآخر و</w:t>
      </w:r>
      <w:r w:rsidR="00B11BEB" w:rsidRPr="00282AC9">
        <w:rPr>
          <w:rFonts w:hint="cs"/>
          <w:sz w:val="27"/>
          <w:rtl/>
        </w:rPr>
        <w:t>َ</w:t>
      </w:r>
      <w:r w:rsidRPr="00282AC9">
        <w:rPr>
          <w:rFonts w:hint="cs"/>
          <w:sz w:val="27"/>
          <w:rtl/>
        </w:rPr>
        <w:t>لوداً</w:t>
      </w:r>
      <w:r w:rsidR="00B11BEB" w:rsidRPr="00282AC9">
        <w:rPr>
          <w:rFonts w:hint="cs"/>
          <w:sz w:val="27"/>
          <w:rtl/>
        </w:rPr>
        <w:t>،</w:t>
      </w:r>
      <w:r w:rsidRPr="00282AC9">
        <w:rPr>
          <w:rFonts w:hint="cs"/>
          <w:sz w:val="27"/>
          <w:rtl/>
        </w:rPr>
        <w:t xml:space="preserve"> تكويناً</w:t>
      </w:r>
      <w:r w:rsidR="00810107" w:rsidRPr="00282AC9">
        <w:rPr>
          <w:rFonts w:hint="cs"/>
          <w:sz w:val="27"/>
          <w:rtl/>
        </w:rPr>
        <w:t>؟</w:t>
      </w:r>
      <w:r w:rsidRPr="00282AC9">
        <w:rPr>
          <w:rFonts w:hint="cs"/>
          <w:sz w:val="27"/>
          <w:rtl/>
        </w:rPr>
        <w:t xml:space="preserve"> أليس هذا مخالفاً للعدل الإلهي</w:t>
      </w:r>
      <w:r w:rsidR="00810107" w:rsidRPr="00282AC9">
        <w:rPr>
          <w:rFonts w:hint="cs"/>
          <w:sz w:val="27"/>
          <w:rtl/>
        </w:rPr>
        <w:t>ّ</w:t>
      </w:r>
      <w:r w:rsidRPr="00282AC9">
        <w:rPr>
          <w:rFonts w:hint="cs"/>
          <w:sz w:val="27"/>
          <w:rtl/>
        </w:rPr>
        <w:t>؟!</w:t>
      </w:r>
    </w:p>
    <w:p w:rsidR="001153F1" w:rsidRPr="00282AC9" w:rsidRDefault="00810107" w:rsidP="007051D6">
      <w:pPr>
        <w:rPr>
          <w:sz w:val="27"/>
          <w:rtl/>
        </w:rPr>
      </w:pPr>
      <w:r w:rsidRPr="00282AC9">
        <w:rPr>
          <w:rFonts w:hint="cs"/>
          <w:sz w:val="27"/>
          <w:rtl/>
        </w:rPr>
        <w:t>و</w:t>
      </w:r>
      <w:r w:rsidR="001153F1" w:rsidRPr="00282AC9">
        <w:rPr>
          <w:rFonts w:hint="cs"/>
          <w:sz w:val="27"/>
          <w:rtl/>
        </w:rPr>
        <w:t xml:space="preserve">بصرف النظر عن ثبوت الكراهة أو عدم ثبوتها </w:t>
      </w:r>
      <w:r w:rsidR="00674EF5" w:rsidRPr="00282AC9">
        <w:rPr>
          <w:rFonts w:hint="cs"/>
          <w:sz w:val="27"/>
          <w:rtl/>
        </w:rPr>
        <w:t>لا بُدَّ</w:t>
      </w:r>
      <w:r w:rsidR="001153F1" w:rsidRPr="00282AC9">
        <w:rPr>
          <w:rFonts w:hint="cs"/>
          <w:sz w:val="27"/>
          <w:rtl/>
        </w:rPr>
        <w:t xml:space="preserve"> </w:t>
      </w:r>
      <w:r w:rsidRPr="00282AC9">
        <w:rPr>
          <w:rFonts w:hint="cs"/>
          <w:sz w:val="27"/>
          <w:rtl/>
        </w:rPr>
        <w:t>من ا</w:t>
      </w:r>
      <w:r w:rsidR="001153F1" w:rsidRPr="00282AC9">
        <w:rPr>
          <w:rFonts w:hint="cs"/>
          <w:sz w:val="27"/>
          <w:rtl/>
        </w:rPr>
        <w:t>لجواب ع</w:t>
      </w:r>
      <w:r w:rsidRPr="00282AC9">
        <w:rPr>
          <w:rFonts w:hint="cs"/>
          <w:sz w:val="27"/>
          <w:rtl/>
        </w:rPr>
        <w:t>ن</w:t>
      </w:r>
      <w:r w:rsidR="001153F1" w:rsidRPr="00282AC9">
        <w:rPr>
          <w:rFonts w:hint="cs"/>
          <w:sz w:val="27"/>
          <w:rtl/>
        </w:rPr>
        <w:t xml:space="preserve"> هذه الإشكالي</w:t>
      </w:r>
      <w:r w:rsidRPr="00282AC9">
        <w:rPr>
          <w:rFonts w:hint="cs"/>
          <w:sz w:val="27"/>
          <w:rtl/>
        </w:rPr>
        <w:t>ّ</w:t>
      </w:r>
      <w:r w:rsidR="001153F1" w:rsidRPr="00282AC9">
        <w:rPr>
          <w:rFonts w:hint="cs"/>
          <w:sz w:val="27"/>
          <w:rtl/>
        </w:rPr>
        <w:t>ة؛ لأن التمييز التشريعي وإن</w:t>
      </w:r>
      <w:r w:rsidRPr="00282AC9">
        <w:rPr>
          <w:rFonts w:hint="cs"/>
          <w:sz w:val="27"/>
          <w:rtl/>
        </w:rPr>
        <w:t>ْ</w:t>
      </w:r>
      <w:r w:rsidR="001153F1" w:rsidRPr="00282AC9">
        <w:rPr>
          <w:rFonts w:hint="cs"/>
          <w:sz w:val="27"/>
          <w:rtl/>
        </w:rPr>
        <w:t xml:space="preserve"> لم يكن ثابتاً، فإنّ التمييز التكويني أمرٌ ثابت</w:t>
      </w:r>
      <w:r w:rsidRPr="00282AC9">
        <w:rPr>
          <w:rFonts w:hint="cs"/>
          <w:sz w:val="27"/>
          <w:rtl/>
        </w:rPr>
        <w:t>،</w:t>
      </w:r>
      <w:r w:rsidR="001153F1" w:rsidRPr="00282AC9">
        <w:rPr>
          <w:rFonts w:hint="cs"/>
          <w:sz w:val="27"/>
          <w:rtl/>
        </w:rPr>
        <w:t xml:space="preserve"> وصرّ</w:t>
      </w:r>
      <w:r w:rsidRPr="00282AC9">
        <w:rPr>
          <w:rFonts w:hint="cs"/>
          <w:sz w:val="27"/>
          <w:rtl/>
        </w:rPr>
        <w:t>َ</w:t>
      </w:r>
      <w:r w:rsidR="001153F1" w:rsidRPr="00282AC9">
        <w:rPr>
          <w:rFonts w:hint="cs"/>
          <w:sz w:val="27"/>
          <w:rtl/>
        </w:rPr>
        <w:t>ح القرآن الكريم بأنّ الله هو الذي جعل بعضاً عقيماً.</w:t>
      </w:r>
    </w:p>
    <w:p w:rsidR="001153F1" w:rsidRPr="00282AC9" w:rsidRDefault="001153F1" w:rsidP="007051D6">
      <w:pPr>
        <w:rPr>
          <w:sz w:val="27"/>
          <w:rtl/>
        </w:rPr>
      </w:pPr>
      <w:r w:rsidRPr="00282AC9">
        <w:rPr>
          <w:rFonts w:hint="cs"/>
          <w:sz w:val="27"/>
          <w:rtl/>
        </w:rPr>
        <w:t>يمكن الجواب ع</w:t>
      </w:r>
      <w:r w:rsidR="00810107" w:rsidRPr="00282AC9">
        <w:rPr>
          <w:rFonts w:hint="cs"/>
          <w:sz w:val="27"/>
          <w:rtl/>
        </w:rPr>
        <w:t>ن</w:t>
      </w:r>
      <w:r w:rsidRPr="00282AC9">
        <w:rPr>
          <w:rFonts w:hint="cs"/>
          <w:sz w:val="27"/>
          <w:rtl/>
        </w:rPr>
        <w:t xml:space="preserve"> ذلك بأنّ العدل لا يعني التساوي في كلّ شيء</w:t>
      </w:r>
      <w:r w:rsidR="00810107" w:rsidRPr="00282AC9">
        <w:rPr>
          <w:rFonts w:hint="cs"/>
          <w:sz w:val="27"/>
          <w:rtl/>
        </w:rPr>
        <w:t>ٍ؛</w:t>
      </w:r>
      <w:r w:rsidRPr="00282AC9">
        <w:rPr>
          <w:rFonts w:hint="cs"/>
          <w:sz w:val="27"/>
          <w:rtl/>
        </w:rPr>
        <w:t xml:space="preserve"> فإنّ العدل حت</w:t>
      </w:r>
      <w:r w:rsidR="00810107" w:rsidRPr="00282AC9">
        <w:rPr>
          <w:rFonts w:hint="cs"/>
          <w:sz w:val="27"/>
          <w:rtl/>
        </w:rPr>
        <w:t>ّ</w:t>
      </w:r>
      <w:r w:rsidRPr="00282AC9">
        <w:rPr>
          <w:rFonts w:hint="cs"/>
          <w:sz w:val="27"/>
          <w:rtl/>
        </w:rPr>
        <w:t>ى في مفهومه الع</w:t>
      </w:r>
      <w:r w:rsidR="00810107" w:rsidRPr="00282AC9">
        <w:rPr>
          <w:rFonts w:hint="cs"/>
          <w:sz w:val="27"/>
          <w:rtl/>
        </w:rPr>
        <w:t>ُ</w:t>
      </w:r>
      <w:r w:rsidRPr="00282AC9">
        <w:rPr>
          <w:rFonts w:hint="cs"/>
          <w:sz w:val="27"/>
          <w:rtl/>
        </w:rPr>
        <w:t>ر</w:t>
      </w:r>
      <w:r w:rsidR="00810107" w:rsidRPr="00282AC9">
        <w:rPr>
          <w:rFonts w:hint="cs"/>
          <w:sz w:val="27"/>
          <w:rtl/>
        </w:rPr>
        <w:t>ْ</w:t>
      </w:r>
      <w:r w:rsidRPr="00282AC9">
        <w:rPr>
          <w:rFonts w:hint="cs"/>
          <w:sz w:val="27"/>
          <w:rtl/>
        </w:rPr>
        <w:t>في لا يعني إلا</w:t>
      </w:r>
      <w:r w:rsidR="00810107" w:rsidRPr="00282AC9">
        <w:rPr>
          <w:rFonts w:hint="cs"/>
          <w:sz w:val="27"/>
          <w:rtl/>
        </w:rPr>
        <w:t>ّ</w:t>
      </w:r>
      <w:r w:rsidRPr="00282AC9">
        <w:rPr>
          <w:rFonts w:hint="cs"/>
          <w:sz w:val="27"/>
          <w:rtl/>
        </w:rPr>
        <w:t xml:space="preserve"> إعطاء كلّ ذي حقّ</w:t>
      </w:r>
      <w:r w:rsidR="00810107" w:rsidRPr="00282AC9">
        <w:rPr>
          <w:rFonts w:hint="cs"/>
          <w:sz w:val="27"/>
          <w:rtl/>
        </w:rPr>
        <w:t>ٍ</w:t>
      </w:r>
      <w:r w:rsidRPr="00282AC9">
        <w:rPr>
          <w:rFonts w:hint="cs"/>
          <w:sz w:val="27"/>
          <w:rtl/>
        </w:rPr>
        <w:t xml:space="preserve"> حقّ</w:t>
      </w:r>
      <w:r w:rsidR="00810107" w:rsidRPr="00282AC9">
        <w:rPr>
          <w:rFonts w:hint="cs"/>
          <w:sz w:val="27"/>
          <w:rtl/>
        </w:rPr>
        <w:t>َ</w:t>
      </w:r>
      <w:r w:rsidRPr="00282AC9">
        <w:rPr>
          <w:rFonts w:hint="cs"/>
          <w:sz w:val="27"/>
          <w:rtl/>
        </w:rPr>
        <w:t>ه</w:t>
      </w:r>
      <w:r w:rsidR="00810107" w:rsidRPr="00282AC9">
        <w:rPr>
          <w:rFonts w:hint="cs"/>
          <w:sz w:val="27"/>
          <w:rtl/>
        </w:rPr>
        <w:t>.</w:t>
      </w:r>
      <w:r w:rsidRPr="00282AC9">
        <w:rPr>
          <w:rFonts w:hint="cs"/>
          <w:sz w:val="27"/>
          <w:rtl/>
        </w:rPr>
        <w:t xml:space="preserve"> ف</w:t>
      </w:r>
      <w:r w:rsidR="00674EF5" w:rsidRPr="00282AC9">
        <w:rPr>
          <w:rFonts w:hint="cs"/>
          <w:sz w:val="27"/>
          <w:rtl/>
        </w:rPr>
        <w:t>لا بُدَّ</w:t>
      </w:r>
      <w:r w:rsidRPr="00282AC9">
        <w:rPr>
          <w:rFonts w:hint="cs"/>
          <w:sz w:val="27"/>
          <w:rtl/>
        </w:rPr>
        <w:t xml:space="preserve"> من إثبات الحقّ في مرحلة</w:t>
      </w:r>
      <w:r w:rsidR="00810107" w:rsidRPr="00282AC9">
        <w:rPr>
          <w:rFonts w:hint="cs"/>
          <w:sz w:val="27"/>
          <w:rtl/>
        </w:rPr>
        <w:t>ٍ</w:t>
      </w:r>
      <w:r w:rsidRPr="00282AC9">
        <w:rPr>
          <w:rFonts w:hint="cs"/>
          <w:sz w:val="27"/>
          <w:rtl/>
        </w:rPr>
        <w:t xml:space="preserve"> </w:t>
      </w:r>
      <w:r w:rsidR="00810107" w:rsidRPr="00282AC9">
        <w:rPr>
          <w:rFonts w:hint="cs"/>
          <w:sz w:val="27"/>
          <w:rtl/>
        </w:rPr>
        <w:t>سابقة.</w:t>
      </w:r>
      <w:r w:rsidRPr="00282AC9">
        <w:rPr>
          <w:rFonts w:hint="cs"/>
          <w:sz w:val="27"/>
          <w:rtl/>
        </w:rPr>
        <w:t xml:space="preserve"> </w:t>
      </w:r>
      <w:r w:rsidR="00810107" w:rsidRPr="00282AC9">
        <w:rPr>
          <w:rFonts w:hint="cs"/>
          <w:sz w:val="27"/>
          <w:rtl/>
        </w:rPr>
        <w:t>وإ</w:t>
      </w:r>
      <w:r w:rsidRPr="00282AC9">
        <w:rPr>
          <w:rFonts w:hint="cs"/>
          <w:sz w:val="27"/>
          <w:rtl/>
        </w:rPr>
        <w:t>نّ الإنسان</w:t>
      </w:r>
      <w:r w:rsidR="00810107" w:rsidRPr="00282AC9">
        <w:rPr>
          <w:rFonts w:hint="cs"/>
          <w:sz w:val="27"/>
          <w:rtl/>
        </w:rPr>
        <w:t>،</w:t>
      </w:r>
      <w:r w:rsidRPr="00282AC9">
        <w:rPr>
          <w:rFonts w:hint="cs"/>
          <w:sz w:val="27"/>
          <w:rtl/>
        </w:rPr>
        <w:t xml:space="preserve"> بل جميع المخلوقات</w:t>
      </w:r>
      <w:r w:rsidR="00810107" w:rsidRPr="00282AC9">
        <w:rPr>
          <w:rFonts w:hint="cs"/>
          <w:sz w:val="27"/>
          <w:rtl/>
        </w:rPr>
        <w:t>،</w:t>
      </w:r>
      <w:r w:rsidRPr="00282AC9">
        <w:rPr>
          <w:rFonts w:hint="cs"/>
          <w:sz w:val="27"/>
          <w:rtl/>
        </w:rPr>
        <w:t xml:space="preserve"> لا يملكون حقّاً في مقابل م</w:t>
      </w:r>
      <w:r w:rsidR="00810107" w:rsidRPr="00282AC9">
        <w:rPr>
          <w:rFonts w:hint="cs"/>
          <w:sz w:val="27"/>
          <w:rtl/>
        </w:rPr>
        <w:t>َ</w:t>
      </w:r>
      <w:r w:rsidRPr="00282AC9">
        <w:rPr>
          <w:rFonts w:hint="cs"/>
          <w:sz w:val="27"/>
          <w:rtl/>
        </w:rPr>
        <w:t>ن</w:t>
      </w:r>
      <w:r w:rsidR="00810107" w:rsidRPr="00282AC9">
        <w:rPr>
          <w:rFonts w:hint="cs"/>
          <w:sz w:val="27"/>
          <w:rtl/>
        </w:rPr>
        <w:t>ْ</w:t>
      </w:r>
      <w:r w:rsidRPr="00282AC9">
        <w:rPr>
          <w:rFonts w:hint="cs"/>
          <w:sz w:val="27"/>
          <w:rtl/>
        </w:rPr>
        <w:t xml:space="preserve"> أعطى لهم الوجود</w:t>
      </w:r>
      <w:r w:rsidR="00810107" w:rsidRPr="00282AC9">
        <w:rPr>
          <w:rFonts w:hint="cs"/>
          <w:sz w:val="27"/>
          <w:rtl/>
        </w:rPr>
        <w:t xml:space="preserve">، </w:t>
      </w:r>
      <w:r w:rsidRPr="00282AC9">
        <w:rPr>
          <w:rFonts w:hint="cs"/>
          <w:sz w:val="27"/>
          <w:rtl/>
        </w:rPr>
        <w:t>وهو الله سبحانه وتعالى</w:t>
      </w:r>
      <w:r w:rsidR="00810107" w:rsidRPr="00282AC9">
        <w:rPr>
          <w:rFonts w:hint="cs"/>
          <w:sz w:val="27"/>
          <w:rtl/>
        </w:rPr>
        <w:t>،</w:t>
      </w:r>
      <w:r w:rsidRPr="00282AC9">
        <w:rPr>
          <w:rFonts w:hint="cs"/>
          <w:sz w:val="27"/>
          <w:rtl/>
        </w:rPr>
        <w:t xml:space="preserve"> ور</w:t>
      </w:r>
      <w:r w:rsidR="00810107" w:rsidRPr="00282AC9">
        <w:rPr>
          <w:rFonts w:hint="cs"/>
          <w:sz w:val="27"/>
          <w:rtl/>
        </w:rPr>
        <w:t>ُ</w:t>
      </w:r>
      <w:r w:rsidRPr="00282AC9">
        <w:rPr>
          <w:rFonts w:hint="cs"/>
          <w:sz w:val="27"/>
          <w:rtl/>
        </w:rPr>
        <w:t>ب</w:t>
      </w:r>
      <w:r w:rsidR="00810107" w:rsidRPr="00282AC9">
        <w:rPr>
          <w:rFonts w:hint="cs"/>
          <w:sz w:val="27"/>
          <w:rtl/>
        </w:rPr>
        <w:t>َ</w:t>
      </w:r>
      <w:r w:rsidRPr="00282AC9">
        <w:rPr>
          <w:rFonts w:hint="cs"/>
          <w:sz w:val="27"/>
          <w:rtl/>
        </w:rPr>
        <w:t xml:space="preserve">ما من هنا نجد التركيز على مقولة </w:t>
      </w:r>
      <w:r w:rsidRPr="00282AC9">
        <w:rPr>
          <w:sz w:val="24"/>
          <w:szCs w:val="24"/>
          <w:rtl/>
        </w:rPr>
        <w:t>«</w:t>
      </w:r>
      <w:r w:rsidRPr="00282AC9">
        <w:rPr>
          <w:rFonts w:hint="cs"/>
          <w:sz w:val="27"/>
          <w:rtl/>
        </w:rPr>
        <w:t>الفضل</w:t>
      </w:r>
      <w:r w:rsidRPr="00282AC9">
        <w:rPr>
          <w:sz w:val="24"/>
          <w:szCs w:val="24"/>
          <w:rtl/>
        </w:rPr>
        <w:t>»</w:t>
      </w:r>
      <w:r w:rsidRPr="00282AC9">
        <w:rPr>
          <w:rFonts w:hint="cs"/>
          <w:sz w:val="27"/>
          <w:rtl/>
        </w:rPr>
        <w:t xml:space="preserve"> في النصوص الديني</w:t>
      </w:r>
      <w:r w:rsidR="00810107" w:rsidRPr="00282AC9">
        <w:rPr>
          <w:rFonts w:hint="cs"/>
          <w:sz w:val="27"/>
          <w:rtl/>
        </w:rPr>
        <w:t>ّ</w:t>
      </w:r>
      <w:r w:rsidRPr="00282AC9">
        <w:rPr>
          <w:rFonts w:hint="cs"/>
          <w:sz w:val="27"/>
          <w:rtl/>
        </w:rPr>
        <w:t>ة</w:t>
      </w:r>
      <w:r w:rsidR="00810107" w:rsidRPr="00282AC9">
        <w:rPr>
          <w:rFonts w:hint="cs"/>
          <w:sz w:val="27"/>
          <w:rtl/>
        </w:rPr>
        <w:t>،</w:t>
      </w:r>
      <w:r w:rsidRPr="00282AC9">
        <w:rPr>
          <w:rFonts w:hint="cs"/>
          <w:sz w:val="27"/>
          <w:rtl/>
        </w:rPr>
        <w:t xml:space="preserve"> كقوله عزّ</w:t>
      </w:r>
      <w:r w:rsidR="00810107" w:rsidRPr="00282AC9">
        <w:rPr>
          <w:rFonts w:hint="cs"/>
          <w:sz w:val="27"/>
          <w:rtl/>
        </w:rPr>
        <w:t>َ</w:t>
      </w:r>
      <w:r w:rsidRPr="00282AC9">
        <w:rPr>
          <w:rFonts w:hint="cs"/>
          <w:sz w:val="27"/>
          <w:rtl/>
        </w:rPr>
        <w:t xml:space="preserve"> وجلّ</w:t>
      </w:r>
      <w:r w:rsidR="00810107" w:rsidRPr="00282AC9">
        <w:rPr>
          <w:rFonts w:hint="cs"/>
          <w:sz w:val="27"/>
          <w:rtl/>
        </w:rPr>
        <w:t>َ</w:t>
      </w:r>
      <w:r w:rsidRPr="00282AC9">
        <w:rPr>
          <w:rFonts w:hint="cs"/>
          <w:sz w:val="27"/>
          <w:rtl/>
        </w:rPr>
        <w:t xml:space="preserve">: </w:t>
      </w:r>
      <w:r w:rsidR="00C5291F" w:rsidRPr="00282AC9">
        <w:rPr>
          <w:rFonts w:ascii="Mosawi" w:hAnsi="Mosawi" w:cs="Mosawi"/>
          <w:sz w:val="24"/>
          <w:szCs w:val="24"/>
          <w:rtl/>
        </w:rPr>
        <w:t>﴿</w:t>
      </w:r>
      <w:r w:rsidRPr="00282AC9">
        <w:rPr>
          <w:rFonts w:hint="cs"/>
          <w:b/>
          <w:bCs/>
          <w:sz w:val="27"/>
          <w:rtl/>
        </w:rPr>
        <w:t xml:space="preserve">وَلاَ تَتَمَنَّوْا مَا فَضَّلَ </w:t>
      </w:r>
      <w:r w:rsidR="00C06BE6" w:rsidRPr="00282AC9">
        <w:rPr>
          <w:rFonts w:hint="cs"/>
          <w:b/>
          <w:bCs/>
          <w:sz w:val="27"/>
          <w:rtl/>
        </w:rPr>
        <w:t>الل</w:t>
      </w:r>
      <w:r w:rsidRPr="00282AC9">
        <w:rPr>
          <w:rFonts w:hint="cs"/>
          <w:b/>
          <w:bCs/>
          <w:sz w:val="27"/>
          <w:rtl/>
        </w:rPr>
        <w:t xml:space="preserve">هُ بِهِ بَعْضَكُمْ عَلَى بَعْضٍ لِلرِّجَالِ نَصِيبٌ مِمَّا اكْتَسَبُوا ولِلنِّسَاءِ نَصِيبٌ مِمَّا اكْتَسَبْنَ واسْأَلُوا </w:t>
      </w:r>
      <w:r w:rsidR="00C06BE6" w:rsidRPr="00282AC9">
        <w:rPr>
          <w:rFonts w:hint="cs"/>
          <w:b/>
          <w:bCs/>
          <w:sz w:val="27"/>
          <w:rtl/>
        </w:rPr>
        <w:t>الل</w:t>
      </w:r>
      <w:r w:rsidRPr="00282AC9">
        <w:rPr>
          <w:rFonts w:hint="cs"/>
          <w:b/>
          <w:bCs/>
          <w:sz w:val="27"/>
          <w:rtl/>
        </w:rPr>
        <w:t xml:space="preserve">هَ مِنْ فَضْلِهِ إِنَّ </w:t>
      </w:r>
      <w:r w:rsidR="00C06BE6" w:rsidRPr="00282AC9">
        <w:rPr>
          <w:rFonts w:hint="cs"/>
          <w:b/>
          <w:bCs/>
          <w:sz w:val="27"/>
          <w:rtl/>
        </w:rPr>
        <w:t>الل</w:t>
      </w:r>
      <w:r w:rsidRPr="00282AC9">
        <w:rPr>
          <w:rFonts w:hint="cs"/>
          <w:b/>
          <w:bCs/>
          <w:sz w:val="27"/>
          <w:rtl/>
        </w:rPr>
        <w:t>هَ كَانَ بِكُلِّ شَيْ</w:t>
      </w:r>
      <w:r w:rsidRPr="00282AC9">
        <w:rPr>
          <w:rFonts w:ascii="Sakkal Majalla" w:hAnsi="Sakkal Majalla" w:hint="cs"/>
          <w:b/>
          <w:bCs/>
          <w:sz w:val="27"/>
          <w:rtl/>
        </w:rPr>
        <w:t>‌</w:t>
      </w:r>
      <w:r w:rsidRPr="00282AC9">
        <w:rPr>
          <w:rFonts w:hint="cs"/>
          <w:b/>
          <w:bCs/>
          <w:sz w:val="27"/>
          <w:rtl/>
        </w:rPr>
        <w:t>ءٍ عَلِيماً</w:t>
      </w:r>
      <w:r w:rsidR="00C5291F" w:rsidRPr="00282AC9">
        <w:rPr>
          <w:rFonts w:ascii="Mosawi" w:hAnsi="Mosawi" w:cs="Mosawi"/>
          <w:sz w:val="24"/>
          <w:szCs w:val="24"/>
          <w:rtl/>
        </w:rPr>
        <w:t>﴾</w:t>
      </w:r>
      <w:r w:rsidRPr="00282AC9">
        <w:rPr>
          <w:rFonts w:hint="cs"/>
          <w:sz w:val="27"/>
          <w:rtl/>
        </w:rPr>
        <w:t xml:space="preserve"> (النساء: 32). وكذلك قوله سبحانه</w:t>
      </w:r>
      <w:r w:rsidR="00103874" w:rsidRPr="00282AC9">
        <w:rPr>
          <w:rFonts w:hint="cs"/>
          <w:sz w:val="27"/>
          <w:rtl/>
        </w:rPr>
        <w:t xml:space="preserve"> وتعالى</w:t>
      </w:r>
      <w:r w:rsidRPr="00282AC9">
        <w:rPr>
          <w:rFonts w:hint="cs"/>
          <w:sz w:val="27"/>
          <w:rtl/>
        </w:rPr>
        <w:t xml:space="preserve">: </w:t>
      </w:r>
      <w:r w:rsidR="00C5291F" w:rsidRPr="00282AC9">
        <w:rPr>
          <w:rFonts w:ascii="Mosawi" w:hAnsi="Mosawi" w:cs="Mosawi"/>
          <w:sz w:val="24"/>
          <w:szCs w:val="24"/>
          <w:rtl/>
        </w:rPr>
        <w:t>﴿</w:t>
      </w:r>
      <w:r w:rsidRPr="00282AC9">
        <w:rPr>
          <w:rFonts w:hint="cs"/>
          <w:b/>
          <w:bCs/>
          <w:sz w:val="27"/>
          <w:rtl/>
        </w:rPr>
        <w:t xml:space="preserve">أَمْ يَحْسُدُونَ النَّاسَ عَلَى مَا آتَاهُمُ </w:t>
      </w:r>
      <w:r w:rsidR="00C06BE6" w:rsidRPr="00282AC9">
        <w:rPr>
          <w:rFonts w:hint="cs"/>
          <w:b/>
          <w:bCs/>
          <w:sz w:val="27"/>
          <w:rtl/>
        </w:rPr>
        <w:t>الل</w:t>
      </w:r>
      <w:r w:rsidRPr="00282AC9">
        <w:rPr>
          <w:rFonts w:hint="cs"/>
          <w:b/>
          <w:bCs/>
          <w:sz w:val="27"/>
          <w:rtl/>
        </w:rPr>
        <w:t>هُ مِنْ فَضْلِهِ فَقَدْ آتَيْنَا آلَ إِبْرَاهِيمَ الْكِتَابَ و</w:t>
      </w:r>
      <w:r w:rsidR="00103874" w:rsidRPr="00282AC9">
        <w:rPr>
          <w:rFonts w:hint="cs"/>
          <w:b/>
          <w:bCs/>
          <w:sz w:val="27"/>
          <w:rtl/>
        </w:rPr>
        <w:t>َ</w:t>
      </w:r>
      <w:r w:rsidRPr="00282AC9">
        <w:rPr>
          <w:rFonts w:hint="cs"/>
          <w:b/>
          <w:bCs/>
          <w:sz w:val="27"/>
          <w:rtl/>
        </w:rPr>
        <w:t>الْحِكْمَةَ و</w:t>
      </w:r>
      <w:r w:rsidR="00103874" w:rsidRPr="00282AC9">
        <w:rPr>
          <w:rFonts w:hint="cs"/>
          <w:b/>
          <w:bCs/>
          <w:sz w:val="27"/>
          <w:rtl/>
        </w:rPr>
        <w:t>َ</w:t>
      </w:r>
      <w:r w:rsidRPr="00282AC9">
        <w:rPr>
          <w:rFonts w:hint="cs"/>
          <w:b/>
          <w:bCs/>
          <w:sz w:val="27"/>
          <w:rtl/>
        </w:rPr>
        <w:t>آتَيْنَاهُمْ مُلْكاً عَظِيماً</w:t>
      </w:r>
      <w:r w:rsidR="00C5291F" w:rsidRPr="00282AC9">
        <w:rPr>
          <w:rFonts w:ascii="Mosawi" w:hAnsi="Mosawi" w:cs="Mosawi"/>
          <w:sz w:val="24"/>
          <w:szCs w:val="24"/>
          <w:rtl/>
        </w:rPr>
        <w:t>﴾</w:t>
      </w:r>
      <w:r w:rsidRPr="00282AC9">
        <w:rPr>
          <w:rFonts w:hint="cs"/>
          <w:sz w:val="27"/>
          <w:rtl/>
        </w:rPr>
        <w:t xml:space="preserve"> (النساء: 54).</w:t>
      </w:r>
    </w:p>
    <w:p w:rsidR="001153F1" w:rsidRPr="00282AC9" w:rsidRDefault="001153F1" w:rsidP="007051D6">
      <w:pPr>
        <w:rPr>
          <w:sz w:val="27"/>
          <w:rtl/>
        </w:rPr>
      </w:pPr>
      <w:r w:rsidRPr="00282AC9">
        <w:rPr>
          <w:rFonts w:hint="cs"/>
          <w:sz w:val="27"/>
          <w:rtl/>
        </w:rPr>
        <w:t>فما نراه من التمييز والافتراق بين البشر</w:t>
      </w:r>
      <w:r w:rsidR="00103874" w:rsidRPr="00282AC9">
        <w:rPr>
          <w:rFonts w:hint="cs"/>
          <w:sz w:val="27"/>
          <w:rtl/>
        </w:rPr>
        <w:t>،</w:t>
      </w:r>
      <w:r w:rsidRPr="00282AC9">
        <w:rPr>
          <w:rFonts w:hint="cs"/>
          <w:sz w:val="27"/>
          <w:rtl/>
        </w:rPr>
        <w:t xml:space="preserve"> بل في جميع المخلوقات، ليس إلا</w:t>
      </w:r>
      <w:r w:rsidR="00103874" w:rsidRPr="00282AC9">
        <w:rPr>
          <w:rFonts w:hint="cs"/>
          <w:sz w:val="27"/>
          <w:rtl/>
        </w:rPr>
        <w:t>ّ</w:t>
      </w:r>
      <w:r w:rsidRPr="00282AC9">
        <w:rPr>
          <w:rFonts w:hint="cs"/>
          <w:sz w:val="27"/>
          <w:rtl/>
        </w:rPr>
        <w:t xml:space="preserve"> من فضل الله سبحانه وتعالى، فلا يُس</w:t>
      </w:r>
      <w:r w:rsidR="00103874" w:rsidRPr="00282AC9">
        <w:rPr>
          <w:rFonts w:hint="cs"/>
          <w:sz w:val="27"/>
          <w:rtl/>
        </w:rPr>
        <w:t>ْ</w:t>
      </w:r>
      <w:r w:rsidRPr="00282AC9">
        <w:rPr>
          <w:rFonts w:hint="cs"/>
          <w:sz w:val="27"/>
          <w:rtl/>
        </w:rPr>
        <w:t>أ</w:t>
      </w:r>
      <w:r w:rsidR="00103874" w:rsidRPr="00282AC9">
        <w:rPr>
          <w:rFonts w:hint="cs"/>
          <w:sz w:val="27"/>
          <w:rtl/>
        </w:rPr>
        <w:t>َ</w:t>
      </w:r>
      <w:r w:rsidRPr="00282AC9">
        <w:rPr>
          <w:rFonts w:hint="cs"/>
          <w:sz w:val="27"/>
          <w:rtl/>
        </w:rPr>
        <w:t>ل سبحانه عن شيء</w:t>
      </w:r>
      <w:r w:rsidR="00103874" w:rsidRPr="00282AC9">
        <w:rPr>
          <w:rFonts w:hint="cs"/>
          <w:sz w:val="27"/>
          <w:rtl/>
        </w:rPr>
        <w:t>ٍ</w:t>
      </w:r>
      <w:r w:rsidRPr="00282AC9">
        <w:rPr>
          <w:rFonts w:hint="cs"/>
          <w:sz w:val="27"/>
          <w:rtl/>
        </w:rPr>
        <w:t xml:space="preserve"> من ذلك</w:t>
      </w:r>
      <w:r w:rsidR="00103874" w:rsidRPr="00282AC9">
        <w:rPr>
          <w:rFonts w:hint="cs"/>
          <w:sz w:val="27"/>
          <w:rtl/>
        </w:rPr>
        <w:t>؛</w:t>
      </w:r>
      <w:r w:rsidRPr="00282AC9">
        <w:rPr>
          <w:rFonts w:hint="cs"/>
          <w:sz w:val="27"/>
          <w:rtl/>
        </w:rPr>
        <w:t xml:space="preserve"> إذ لا حقّ</w:t>
      </w:r>
      <w:r w:rsidR="00103874" w:rsidRPr="00282AC9">
        <w:rPr>
          <w:rFonts w:hint="cs"/>
          <w:sz w:val="27"/>
          <w:rtl/>
        </w:rPr>
        <w:t>َ</w:t>
      </w:r>
      <w:r w:rsidRPr="00282AC9">
        <w:rPr>
          <w:rFonts w:hint="cs"/>
          <w:sz w:val="27"/>
          <w:rtl/>
        </w:rPr>
        <w:t xml:space="preserve"> للآخرين في مقابله تعالى</w:t>
      </w:r>
      <w:r w:rsidR="00103874" w:rsidRPr="00282AC9">
        <w:rPr>
          <w:rFonts w:hint="cs"/>
          <w:sz w:val="27"/>
          <w:rtl/>
        </w:rPr>
        <w:t>.</w:t>
      </w:r>
      <w:r w:rsidRPr="00282AC9">
        <w:rPr>
          <w:rFonts w:hint="cs"/>
          <w:sz w:val="27"/>
          <w:rtl/>
        </w:rPr>
        <w:t xml:space="preserve"> فالتمييز ليس ظلماً.</w:t>
      </w:r>
    </w:p>
    <w:p w:rsidR="001153F1" w:rsidRPr="00282AC9" w:rsidRDefault="001153F1" w:rsidP="00E0712B">
      <w:pPr>
        <w:spacing w:line="410" w:lineRule="exact"/>
        <w:rPr>
          <w:sz w:val="27"/>
          <w:rtl/>
        </w:rPr>
      </w:pPr>
      <w:r w:rsidRPr="00282AC9">
        <w:rPr>
          <w:rFonts w:hint="cs"/>
          <w:sz w:val="27"/>
          <w:rtl/>
        </w:rPr>
        <w:t>هذا</w:t>
      </w:r>
      <w:r w:rsidR="00103874" w:rsidRPr="00282AC9">
        <w:rPr>
          <w:rFonts w:hint="cs"/>
          <w:sz w:val="27"/>
          <w:rtl/>
        </w:rPr>
        <w:t>،</w:t>
      </w:r>
      <w:r w:rsidRPr="00282AC9">
        <w:rPr>
          <w:rFonts w:hint="cs"/>
          <w:sz w:val="27"/>
          <w:rtl/>
        </w:rPr>
        <w:t xml:space="preserve"> إضافةً إلى أنّنا لا نستطيع أن نثبت أنّ الإنجاب أمرٌ مطلوب</w:t>
      </w:r>
      <w:r w:rsidR="00103874" w:rsidRPr="00282AC9">
        <w:rPr>
          <w:rFonts w:hint="cs"/>
          <w:sz w:val="27"/>
          <w:rtl/>
        </w:rPr>
        <w:t>ٌ</w:t>
      </w:r>
      <w:r w:rsidRPr="00282AC9">
        <w:rPr>
          <w:rFonts w:hint="cs"/>
          <w:sz w:val="27"/>
          <w:rtl/>
        </w:rPr>
        <w:t xml:space="preserve"> للجميع</w:t>
      </w:r>
      <w:r w:rsidR="00103874" w:rsidRPr="00282AC9">
        <w:rPr>
          <w:rFonts w:hint="cs"/>
          <w:sz w:val="27"/>
          <w:rtl/>
        </w:rPr>
        <w:t>؛</w:t>
      </w:r>
      <w:r w:rsidRPr="00282AC9">
        <w:rPr>
          <w:rFonts w:hint="cs"/>
          <w:sz w:val="27"/>
          <w:rtl/>
        </w:rPr>
        <w:t xml:space="preserve"> </w:t>
      </w:r>
      <w:r w:rsidR="00103874" w:rsidRPr="00282AC9">
        <w:rPr>
          <w:rFonts w:hint="cs"/>
          <w:sz w:val="27"/>
          <w:rtl/>
        </w:rPr>
        <w:t>ف</w:t>
      </w:r>
      <w:r w:rsidRPr="00282AC9">
        <w:rPr>
          <w:rFonts w:hint="cs"/>
          <w:sz w:val="27"/>
          <w:rtl/>
        </w:rPr>
        <w:t>ر</w:t>
      </w:r>
      <w:r w:rsidR="00103874" w:rsidRPr="00282AC9">
        <w:rPr>
          <w:rFonts w:hint="cs"/>
          <w:sz w:val="27"/>
          <w:rtl/>
        </w:rPr>
        <w:t>ُ</w:t>
      </w:r>
      <w:r w:rsidRPr="00282AC9">
        <w:rPr>
          <w:rFonts w:hint="cs"/>
          <w:sz w:val="27"/>
          <w:rtl/>
        </w:rPr>
        <w:t>ب</w:t>
      </w:r>
      <w:r w:rsidR="00103874" w:rsidRPr="00282AC9">
        <w:rPr>
          <w:rFonts w:hint="cs"/>
          <w:sz w:val="27"/>
          <w:rtl/>
        </w:rPr>
        <w:t>َما إنجاب الولد ي</w:t>
      </w:r>
      <w:r w:rsidRPr="00282AC9">
        <w:rPr>
          <w:rFonts w:hint="cs"/>
          <w:sz w:val="27"/>
          <w:rtl/>
        </w:rPr>
        <w:t>جلب الشر</w:t>
      </w:r>
      <w:r w:rsidR="00103874" w:rsidRPr="00282AC9">
        <w:rPr>
          <w:rFonts w:hint="cs"/>
          <w:sz w:val="27"/>
          <w:rtl/>
        </w:rPr>
        <w:t>ّ</w:t>
      </w:r>
      <w:r w:rsidRPr="00282AC9">
        <w:rPr>
          <w:rFonts w:hint="cs"/>
          <w:sz w:val="27"/>
          <w:rtl/>
        </w:rPr>
        <w:t xml:space="preserve"> والمفاسد لبعض</w:t>
      </w:r>
      <w:r w:rsidR="00103874" w:rsidRPr="00282AC9">
        <w:rPr>
          <w:rFonts w:hint="cs"/>
          <w:sz w:val="27"/>
          <w:rtl/>
        </w:rPr>
        <w:t>ٍ</w:t>
      </w:r>
      <w:r w:rsidRPr="00282AC9">
        <w:rPr>
          <w:rFonts w:hint="cs"/>
          <w:sz w:val="27"/>
          <w:rtl/>
        </w:rPr>
        <w:t>، فلا نستطيع اعتبار العقم شرّاً مطلقاً.</w:t>
      </w:r>
    </w:p>
    <w:p w:rsidR="001153F1" w:rsidRPr="00282AC9" w:rsidRDefault="001153F1" w:rsidP="007051D6">
      <w:pPr>
        <w:rPr>
          <w:sz w:val="27"/>
          <w:rtl/>
        </w:rPr>
      </w:pPr>
      <w:r w:rsidRPr="00282AC9">
        <w:rPr>
          <w:rFonts w:hint="cs"/>
          <w:sz w:val="27"/>
          <w:rtl/>
        </w:rPr>
        <w:t>وثمّة جواب</w:t>
      </w:r>
      <w:r w:rsidR="00103874" w:rsidRPr="00282AC9">
        <w:rPr>
          <w:rFonts w:hint="cs"/>
          <w:sz w:val="27"/>
          <w:rtl/>
        </w:rPr>
        <w:t>ٌ</w:t>
      </w:r>
      <w:r w:rsidRPr="00282AC9">
        <w:rPr>
          <w:rFonts w:hint="cs"/>
          <w:sz w:val="27"/>
          <w:rtl/>
        </w:rPr>
        <w:t xml:space="preserve"> ن</w:t>
      </w:r>
      <w:r w:rsidR="00103874" w:rsidRPr="00282AC9">
        <w:rPr>
          <w:rFonts w:hint="cs"/>
          <w:sz w:val="27"/>
          <w:rtl/>
        </w:rPr>
        <w:t>َ</w:t>
      </w:r>
      <w:r w:rsidRPr="00282AC9">
        <w:rPr>
          <w:rFonts w:hint="cs"/>
          <w:sz w:val="27"/>
          <w:rtl/>
        </w:rPr>
        <w:t>م</w:t>
      </w:r>
      <w:r w:rsidR="00103874" w:rsidRPr="00282AC9">
        <w:rPr>
          <w:rFonts w:hint="cs"/>
          <w:sz w:val="27"/>
          <w:rtl/>
        </w:rPr>
        <w:t>َ</w:t>
      </w:r>
      <w:r w:rsidRPr="00282AC9">
        <w:rPr>
          <w:rFonts w:hint="cs"/>
          <w:sz w:val="27"/>
          <w:rtl/>
        </w:rPr>
        <w:t>ط</w:t>
      </w:r>
      <w:r w:rsidR="00103874" w:rsidRPr="00282AC9">
        <w:rPr>
          <w:rFonts w:hint="cs"/>
          <w:sz w:val="27"/>
          <w:rtl/>
        </w:rPr>
        <w:t>ِ</w:t>
      </w:r>
      <w:r w:rsidRPr="00282AC9">
        <w:rPr>
          <w:rFonts w:hint="cs"/>
          <w:sz w:val="27"/>
          <w:rtl/>
        </w:rPr>
        <w:t>ي</w:t>
      </w:r>
      <w:r w:rsidR="00103874" w:rsidRPr="00282AC9">
        <w:rPr>
          <w:rFonts w:hint="cs"/>
          <w:sz w:val="27"/>
          <w:rtl/>
        </w:rPr>
        <w:t>ّ</w:t>
      </w:r>
      <w:r w:rsidRPr="00282AC9">
        <w:rPr>
          <w:rFonts w:hint="cs"/>
          <w:sz w:val="27"/>
          <w:rtl/>
        </w:rPr>
        <w:t xml:space="preserve"> يبرّ</w:t>
      </w:r>
      <w:r w:rsidR="00103874" w:rsidRPr="00282AC9">
        <w:rPr>
          <w:rFonts w:hint="cs"/>
          <w:sz w:val="27"/>
          <w:rtl/>
        </w:rPr>
        <w:t>ِ</w:t>
      </w:r>
      <w:r w:rsidRPr="00282AC9">
        <w:rPr>
          <w:rFonts w:hint="cs"/>
          <w:sz w:val="27"/>
          <w:rtl/>
        </w:rPr>
        <w:t>ر الشرور في العالم عبر فكرة النظام الأحسن</w:t>
      </w:r>
      <w:r w:rsidR="00103874" w:rsidRPr="00282AC9">
        <w:rPr>
          <w:rFonts w:hint="cs"/>
          <w:sz w:val="27"/>
          <w:rtl/>
        </w:rPr>
        <w:t>.</w:t>
      </w:r>
      <w:r w:rsidRPr="00282AC9">
        <w:rPr>
          <w:rFonts w:hint="cs"/>
          <w:sz w:val="27"/>
          <w:rtl/>
        </w:rPr>
        <w:t xml:space="preserve"> ويمكن </w:t>
      </w:r>
      <w:r w:rsidRPr="00282AC9">
        <w:rPr>
          <w:rFonts w:hint="cs"/>
          <w:sz w:val="27"/>
          <w:rtl/>
        </w:rPr>
        <w:lastRenderedPageBreak/>
        <w:t>توظيف هذا الجواب هنا أيضاً</w:t>
      </w:r>
      <w:r w:rsidR="00103874" w:rsidRPr="00282AC9">
        <w:rPr>
          <w:rFonts w:hint="cs"/>
          <w:sz w:val="27"/>
          <w:rtl/>
        </w:rPr>
        <w:t>،</w:t>
      </w:r>
      <w:r w:rsidRPr="00282AC9">
        <w:rPr>
          <w:rFonts w:hint="cs"/>
          <w:sz w:val="27"/>
          <w:rtl/>
        </w:rPr>
        <w:t xml:space="preserve"> بأن نقول: إنّ النظام الأحسن</w:t>
      </w:r>
      <w:r w:rsidR="00103874" w:rsidRPr="00282AC9">
        <w:rPr>
          <w:rFonts w:hint="cs"/>
          <w:sz w:val="27"/>
          <w:rtl/>
        </w:rPr>
        <w:t>،</w:t>
      </w:r>
      <w:r w:rsidRPr="00282AC9">
        <w:rPr>
          <w:rFonts w:hint="cs"/>
          <w:sz w:val="27"/>
          <w:rtl/>
        </w:rPr>
        <w:t xml:space="preserve"> الذي يريده الله سبحانه</w:t>
      </w:r>
      <w:r w:rsidR="00103874" w:rsidRPr="00282AC9">
        <w:rPr>
          <w:rFonts w:hint="cs"/>
          <w:sz w:val="27"/>
          <w:rtl/>
        </w:rPr>
        <w:t>،</w:t>
      </w:r>
      <w:r w:rsidRPr="00282AC9">
        <w:rPr>
          <w:rFonts w:hint="cs"/>
          <w:sz w:val="27"/>
          <w:rtl/>
        </w:rPr>
        <w:t xml:space="preserve"> يقتضي بأن يكون بعض الناس عقيماً</w:t>
      </w:r>
      <w:r w:rsidR="00103874" w:rsidRPr="00282AC9">
        <w:rPr>
          <w:rFonts w:hint="cs"/>
          <w:sz w:val="27"/>
          <w:rtl/>
        </w:rPr>
        <w:t>؛</w:t>
      </w:r>
      <w:r w:rsidRPr="00282AC9">
        <w:rPr>
          <w:rFonts w:hint="cs"/>
          <w:sz w:val="27"/>
          <w:rtl/>
        </w:rPr>
        <w:t xml:space="preserve"> فإن</w:t>
      </w:r>
      <w:r w:rsidR="00103874" w:rsidRPr="00282AC9">
        <w:rPr>
          <w:rFonts w:hint="cs"/>
          <w:sz w:val="27"/>
          <w:rtl/>
        </w:rPr>
        <w:t>ْ</w:t>
      </w:r>
      <w:r w:rsidRPr="00282AC9">
        <w:rPr>
          <w:rFonts w:hint="cs"/>
          <w:sz w:val="27"/>
          <w:rtl/>
        </w:rPr>
        <w:t xml:space="preserve"> كان العقم في ذاته شرّاً ـ لو ثبت</w:t>
      </w:r>
      <w:r w:rsidR="00103874" w:rsidRPr="00282AC9">
        <w:rPr>
          <w:rFonts w:hint="cs"/>
          <w:sz w:val="27"/>
          <w:rtl/>
        </w:rPr>
        <w:t xml:space="preserve"> ذلك</w:t>
      </w:r>
      <w:r w:rsidRPr="00282AC9">
        <w:rPr>
          <w:rFonts w:hint="cs"/>
          <w:sz w:val="27"/>
          <w:rtl/>
        </w:rPr>
        <w:t xml:space="preserve"> ـ فهو ح</w:t>
      </w:r>
      <w:r w:rsidR="00103874" w:rsidRPr="00282AC9">
        <w:rPr>
          <w:rFonts w:hint="cs"/>
          <w:sz w:val="27"/>
          <w:rtl/>
        </w:rPr>
        <w:t>َ</w:t>
      </w:r>
      <w:r w:rsidRPr="00282AC9">
        <w:rPr>
          <w:rFonts w:hint="cs"/>
          <w:sz w:val="27"/>
          <w:rtl/>
        </w:rPr>
        <w:t>س</w:t>
      </w:r>
      <w:r w:rsidR="00103874" w:rsidRPr="00282AC9">
        <w:rPr>
          <w:rFonts w:hint="cs"/>
          <w:sz w:val="27"/>
          <w:rtl/>
        </w:rPr>
        <w:t>َ</w:t>
      </w:r>
      <w:r w:rsidRPr="00282AC9">
        <w:rPr>
          <w:rFonts w:hint="cs"/>
          <w:sz w:val="27"/>
          <w:rtl/>
        </w:rPr>
        <w:t>ن</w:t>
      </w:r>
      <w:r w:rsidR="00103874" w:rsidRPr="00282AC9">
        <w:rPr>
          <w:rFonts w:hint="cs"/>
          <w:sz w:val="27"/>
          <w:rtl/>
        </w:rPr>
        <w:t>ٌ</w:t>
      </w:r>
      <w:r w:rsidRPr="00282AC9">
        <w:rPr>
          <w:rFonts w:hint="cs"/>
          <w:sz w:val="27"/>
          <w:rtl/>
        </w:rPr>
        <w:t xml:space="preserve"> بالنظر إلى النظام الأحسن</w:t>
      </w:r>
      <w:r w:rsidR="00103874" w:rsidRPr="00282AC9">
        <w:rPr>
          <w:rFonts w:hint="cs"/>
          <w:sz w:val="27"/>
          <w:rtl/>
        </w:rPr>
        <w:t>.</w:t>
      </w:r>
      <w:r w:rsidRPr="00282AC9">
        <w:rPr>
          <w:rFonts w:hint="cs"/>
          <w:sz w:val="27"/>
          <w:rtl/>
        </w:rPr>
        <w:t xml:space="preserve"> إذا</w:t>
      </w:r>
      <w:r w:rsidR="00103874" w:rsidRPr="00282AC9">
        <w:rPr>
          <w:rFonts w:hint="cs"/>
          <w:sz w:val="27"/>
          <w:rtl/>
        </w:rPr>
        <w:t>ً</w:t>
      </w:r>
      <w:r w:rsidRPr="00282AC9">
        <w:rPr>
          <w:rFonts w:hint="cs"/>
          <w:sz w:val="27"/>
          <w:rtl/>
        </w:rPr>
        <w:t xml:space="preserve"> </w:t>
      </w:r>
      <w:r w:rsidR="00674EF5" w:rsidRPr="00282AC9">
        <w:rPr>
          <w:rFonts w:hint="cs"/>
          <w:sz w:val="27"/>
          <w:rtl/>
        </w:rPr>
        <w:t>لا بُدَّ</w:t>
      </w:r>
      <w:r w:rsidRPr="00282AC9">
        <w:rPr>
          <w:rFonts w:hint="cs"/>
          <w:sz w:val="27"/>
          <w:rtl/>
        </w:rPr>
        <w:t xml:space="preserve"> من وجوده لتحقّ</w:t>
      </w:r>
      <w:r w:rsidR="00103874" w:rsidRPr="00282AC9">
        <w:rPr>
          <w:rFonts w:hint="cs"/>
          <w:sz w:val="27"/>
          <w:rtl/>
        </w:rPr>
        <w:t>ُ</w:t>
      </w:r>
      <w:r w:rsidRPr="00282AC9">
        <w:rPr>
          <w:rFonts w:hint="cs"/>
          <w:sz w:val="27"/>
          <w:rtl/>
        </w:rPr>
        <w:t xml:space="preserve">ق النظام الأحسن. </w:t>
      </w:r>
    </w:p>
    <w:p w:rsidR="001153F1" w:rsidRPr="00282AC9" w:rsidRDefault="001153F1" w:rsidP="007051D6">
      <w:pPr>
        <w:rPr>
          <w:sz w:val="27"/>
          <w:rtl/>
        </w:rPr>
      </w:pPr>
    </w:p>
    <w:p w:rsidR="001B033F" w:rsidRPr="00282AC9" w:rsidRDefault="001B033F" w:rsidP="001B033F">
      <w:pPr>
        <w:pStyle w:val="31"/>
        <w:rPr>
          <w:color w:val="auto"/>
          <w:rtl/>
        </w:rPr>
      </w:pPr>
      <w:r w:rsidRPr="00282AC9">
        <w:rPr>
          <w:rFonts w:hint="cs"/>
          <w:color w:val="auto"/>
          <w:rtl/>
        </w:rPr>
        <w:t xml:space="preserve">الخاتمة </w:t>
      </w:r>
    </w:p>
    <w:p w:rsidR="001B033F" w:rsidRPr="00282AC9" w:rsidRDefault="001B033F" w:rsidP="007051D6">
      <w:pPr>
        <w:rPr>
          <w:rtl/>
        </w:rPr>
      </w:pPr>
      <w:r w:rsidRPr="00282AC9">
        <w:rPr>
          <w:rFonts w:eastAsia="Batang" w:hint="cs"/>
          <w:sz w:val="27"/>
          <w:rtl/>
          <w:lang w:bidi="fa-IR"/>
        </w:rPr>
        <w:t xml:space="preserve">لقد حاوَلْنا في هذا المقال أن نتناول موضوعاً نجد أنه يحتاج إلى إعادة نظرٍ فقهيّ، وهو </w:t>
      </w:r>
      <w:r w:rsidRPr="00282AC9">
        <w:rPr>
          <w:rFonts w:ascii="Mosawi" w:eastAsia="Batang" w:hAnsi="Mosawi"/>
          <w:sz w:val="24"/>
          <w:szCs w:val="24"/>
          <w:rtl/>
          <w:lang w:bidi="fa-IR"/>
        </w:rPr>
        <w:t>«</w:t>
      </w:r>
      <w:r w:rsidRPr="00282AC9">
        <w:rPr>
          <w:rFonts w:eastAsia="Batang" w:hint="cs"/>
          <w:sz w:val="27"/>
          <w:rtl/>
          <w:lang w:bidi="fa-IR"/>
        </w:rPr>
        <w:t>كراهة الزواج من المرأة العقيم، والتشنيع بها في النصوص الدينيّة</w:t>
      </w:r>
      <w:r w:rsidRPr="00282AC9">
        <w:rPr>
          <w:rFonts w:ascii="Mosawi" w:eastAsia="Batang" w:hAnsi="Mosawi"/>
          <w:sz w:val="24"/>
          <w:szCs w:val="24"/>
          <w:rtl/>
          <w:lang w:bidi="fa-IR"/>
        </w:rPr>
        <w:t>»</w:t>
      </w:r>
      <w:r w:rsidRPr="00282AC9">
        <w:rPr>
          <w:rFonts w:eastAsia="Batang" w:hint="cs"/>
          <w:sz w:val="27"/>
          <w:rtl/>
          <w:lang w:bidi="fa-IR"/>
        </w:rPr>
        <w:t>. وبدأنا بعَرْض قراءة القرآن عن هذا الموضوع، ثمّ انتقلنا إلى الحديث الشريف، الذي يعتبر الأساس في هذا الحكم. ووجدنا قرابة ستّ عشرة رواية في هذا الموضوع في المصادر الحديثية. وحاوَلْنا دراسة أسانيدها، ومداليلها، كلٌّ على حِدَة، لننتقل بعد ذلك في التحليل الإجماليّ إلى مقارنة النتائج، وبعض الملاحظات التي أشَرْنا إليها. ووصلنا إلى عدم ثبوت كراهة الزواج من المرأة العقيم كحكمٍ قانونيّ كلِّي يعمّ جميع الأزمنة والأمكنة في العالم، إلاّ بناءً على أصولٍ اجتهاديّة لا نقبل بها، كأصالة المولويّة في النصوص، وحجِّية خبر الثقة، وأصالة الخلود أو الإطلاق الأزمانيّ في جميع النصوص الدينيّة. نرجو من الله سبحانه أن يوفِّقنا للعمل الصالح في هذه الدنيا، ويرزقنا مقام الأبرار في عالم الآخرة.</w:t>
      </w:r>
    </w:p>
    <w:p w:rsidR="001B033F" w:rsidRPr="00282AC9" w:rsidRDefault="001B033F" w:rsidP="00E0712B">
      <w:pPr>
        <w:spacing w:line="450" w:lineRule="exact"/>
        <w:rPr>
          <w:rtl/>
        </w:rPr>
      </w:pPr>
    </w:p>
    <w:p w:rsidR="001B033F" w:rsidRPr="00282AC9" w:rsidRDefault="001B033F" w:rsidP="00E0712B">
      <w:pPr>
        <w:spacing w:line="460" w:lineRule="exact"/>
        <w:rPr>
          <w:rtl/>
        </w:rPr>
      </w:pPr>
    </w:p>
    <w:p w:rsidR="001B033F" w:rsidRPr="00282AC9" w:rsidRDefault="001B033F" w:rsidP="001B033F">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1B033F" w:rsidRPr="00282AC9" w:rsidRDefault="001B033F" w:rsidP="001B033F">
      <w:pPr>
        <w:pStyle w:val="34"/>
        <w:autoSpaceDE w:val="0"/>
        <w:autoSpaceDN w:val="0"/>
        <w:adjustRightInd w:val="0"/>
        <w:spacing w:line="418" w:lineRule="exact"/>
        <w:ind w:firstLine="0"/>
        <w:rPr>
          <w:rFonts w:cs="K Sina"/>
          <w:sz w:val="26"/>
          <w:rtl/>
          <w:lang w:eastAsia="ar-SA"/>
        </w:rPr>
        <w:sectPr w:rsidR="001B033F" w:rsidRPr="00282AC9"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1B033F" w:rsidRPr="00282AC9" w:rsidRDefault="001B033F" w:rsidP="00D1080C">
      <w:r w:rsidRPr="00282AC9">
        <w:rPr>
          <w:rtl/>
        </w:rPr>
        <w:lastRenderedPageBreak/>
        <w:br w:type="page"/>
      </w:r>
    </w:p>
    <w:p w:rsidR="001B033F" w:rsidRPr="00282AC9" w:rsidRDefault="001B033F" w:rsidP="00D1080C">
      <w:pPr>
        <w:rPr>
          <w:rtl/>
        </w:rPr>
        <w:sectPr w:rsidR="001B033F" w:rsidRPr="00282AC9"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1B033F" w:rsidRPr="00282AC9" w:rsidRDefault="001B033F" w:rsidP="00E43555">
      <w:pPr>
        <w:spacing w:line="420" w:lineRule="exact"/>
        <w:rPr>
          <w:rtl/>
        </w:rPr>
      </w:pPr>
    </w:p>
    <w:p w:rsidR="001B033F" w:rsidRPr="00282AC9" w:rsidRDefault="001B033F" w:rsidP="00D1080C">
      <w:pPr>
        <w:rPr>
          <w:rtl/>
        </w:rPr>
      </w:pPr>
    </w:p>
    <w:p w:rsidR="00E83C22" w:rsidRPr="00282AC9" w:rsidRDefault="00D722E4" w:rsidP="000A06F3">
      <w:pPr>
        <w:pStyle w:val="11"/>
        <w:spacing w:line="216" w:lineRule="auto"/>
        <w:rPr>
          <w:rtl/>
          <w:lang w:bidi="ar-EG"/>
        </w:rPr>
      </w:pPr>
      <w:bookmarkStart w:id="72" w:name="_Toc87011516"/>
      <w:r w:rsidRPr="00282AC9">
        <w:rPr>
          <w:rFonts w:hint="cs"/>
          <w:rtl/>
          <w:lang w:bidi="ar-EG"/>
        </w:rPr>
        <w:t>الولاية التكوينية للنبيّ و</w:t>
      </w:r>
      <w:r w:rsidR="000A06F3" w:rsidRPr="00282AC9">
        <w:rPr>
          <w:rFonts w:hint="cs"/>
          <w:rtl/>
          <w:lang w:bidi="ar-EG"/>
        </w:rPr>
        <w:t>أهل</w:t>
      </w:r>
      <w:r w:rsidRPr="00282AC9">
        <w:rPr>
          <w:rFonts w:hint="cs"/>
          <w:rtl/>
          <w:lang w:bidi="ar-EG"/>
        </w:rPr>
        <w:t xml:space="preserve"> البيت</w:t>
      </w:r>
      <w:r w:rsidR="00876ECA" w:rsidRPr="00282AC9">
        <w:rPr>
          <w:rFonts w:cs="Mosawi" w:hint="cs"/>
          <w:sz w:val="34"/>
          <w:szCs w:val="34"/>
          <w:rtl/>
        </w:rPr>
        <w:t>^</w:t>
      </w:r>
      <w:bookmarkEnd w:id="72"/>
    </w:p>
    <w:p w:rsidR="00E83C22" w:rsidRPr="00282AC9" w:rsidRDefault="00DE3C80" w:rsidP="00F52458">
      <w:pPr>
        <w:pStyle w:val="11"/>
        <w:spacing w:line="216" w:lineRule="auto"/>
        <w:rPr>
          <w:sz w:val="26"/>
          <w:szCs w:val="42"/>
          <w:rtl/>
        </w:rPr>
      </w:pPr>
      <w:bookmarkStart w:id="73" w:name="_Toc87011517"/>
      <w:r w:rsidRPr="00282AC9">
        <w:rPr>
          <w:rFonts w:hint="cs"/>
          <w:sz w:val="26"/>
          <w:szCs w:val="42"/>
          <w:rtl/>
        </w:rPr>
        <w:t>محاولةٌ لل</w:t>
      </w:r>
      <w:r w:rsidR="001F50B8" w:rsidRPr="00282AC9">
        <w:rPr>
          <w:rFonts w:hint="cs"/>
          <w:sz w:val="26"/>
          <w:szCs w:val="42"/>
          <w:rtl/>
        </w:rPr>
        <w:t>توفيق بين النفي والإثبات</w:t>
      </w:r>
      <w:bookmarkEnd w:id="73"/>
    </w:p>
    <w:p w:rsidR="00E83C22" w:rsidRPr="00282AC9" w:rsidRDefault="00E83C22" w:rsidP="00D1080C">
      <w:pPr>
        <w:rPr>
          <w:rtl/>
        </w:rPr>
      </w:pPr>
    </w:p>
    <w:p w:rsidR="00E83C22" w:rsidRPr="00282AC9" w:rsidRDefault="00D722E4" w:rsidP="00D722E4">
      <w:pPr>
        <w:pStyle w:val="Author"/>
        <w:rPr>
          <w:rtl/>
        </w:rPr>
      </w:pPr>
      <w:bookmarkStart w:id="74" w:name="_Toc87011518"/>
      <w:r w:rsidRPr="00282AC9">
        <w:rPr>
          <w:rFonts w:hint="cs"/>
          <w:rtl/>
        </w:rPr>
        <w:t>الشيخ محمد رضا الأحمدي البهسودي</w:t>
      </w:r>
      <w:r w:rsidR="00527634" w:rsidRPr="00282AC9">
        <w:rPr>
          <w:rFonts w:cs="Taher" w:hint="cs"/>
          <w:vertAlign w:val="superscript"/>
          <w:rtl/>
        </w:rPr>
        <w:t>(</w:t>
      </w:r>
      <w:r w:rsidR="00527634" w:rsidRPr="00282AC9">
        <w:rPr>
          <w:rFonts w:cs="Taher"/>
          <w:vertAlign w:val="superscript"/>
          <w:rtl/>
        </w:rPr>
        <w:footnoteReference w:customMarkFollows="1" w:id="14"/>
        <w:t>*)</w:t>
      </w:r>
      <w:bookmarkEnd w:id="74"/>
    </w:p>
    <w:p w:rsidR="00E83C22" w:rsidRPr="00282AC9" w:rsidRDefault="00E83C22" w:rsidP="00D1080C">
      <w:pPr>
        <w:rPr>
          <w:rtl/>
        </w:rPr>
      </w:pPr>
    </w:p>
    <w:p w:rsidR="00DA6FB6" w:rsidRPr="00282AC9" w:rsidRDefault="00936C45" w:rsidP="00C57B75">
      <w:pPr>
        <w:rPr>
          <w:sz w:val="27"/>
          <w:rtl/>
          <w:lang w:bidi="ar-EG"/>
        </w:rPr>
      </w:pPr>
      <w:r w:rsidRPr="00282AC9">
        <w:rPr>
          <w:rFonts w:hint="cs"/>
          <w:sz w:val="27"/>
          <w:rtl/>
          <w:lang w:bidi="ar-EG"/>
        </w:rPr>
        <w:t xml:space="preserve">يتمّ تصوير </w:t>
      </w:r>
      <w:r w:rsidR="00DA6FB6" w:rsidRPr="00282AC9">
        <w:rPr>
          <w:rFonts w:hint="cs"/>
          <w:sz w:val="27"/>
          <w:rtl/>
          <w:lang w:bidi="ar-EG"/>
        </w:rPr>
        <w:t xml:space="preserve">الولاية التكوينية </w:t>
      </w:r>
      <w:r w:rsidR="00DA6FB6" w:rsidRPr="00282AC9">
        <w:rPr>
          <w:sz w:val="27"/>
          <w:rtl/>
          <w:lang w:bidi="ar-EG"/>
        </w:rPr>
        <w:t>ـ</w:t>
      </w:r>
      <w:r w:rsidR="00DA6FB6" w:rsidRPr="00282AC9">
        <w:rPr>
          <w:rFonts w:hint="cs"/>
          <w:sz w:val="27"/>
          <w:rtl/>
          <w:lang w:bidi="ar-EG"/>
        </w:rPr>
        <w:t xml:space="preserve"> بمعنى </w:t>
      </w:r>
      <w:r w:rsidR="00C07FC0" w:rsidRPr="00282AC9">
        <w:rPr>
          <w:rFonts w:hint="cs"/>
          <w:sz w:val="27"/>
          <w:rtl/>
          <w:lang w:bidi="ar-EG"/>
        </w:rPr>
        <w:t>الوساطة في الفَيْض الإلهيّ</w:t>
      </w:r>
      <w:r w:rsidR="00DA6FB6" w:rsidRPr="00282AC9">
        <w:rPr>
          <w:rFonts w:hint="cs"/>
          <w:sz w:val="27"/>
          <w:rtl/>
          <w:lang w:bidi="ar-EG"/>
        </w:rPr>
        <w:t xml:space="preserve"> </w:t>
      </w:r>
      <w:r w:rsidR="00DA6FB6" w:rsidRPr="00282AC9">
        <w:rPr>
          <w:sz w:val="27"/>
          <w:rtl/>
          <w:lang w:bidi="ar-EG"/>
        </w:rPr>
        <w:t>ـ</w:t>
      </w:r>
      <w:r w:rsidR="00DA6FB6" w:rsidRPr="00282AC9">
        <w:rPr>
          <w:rFonts w:hint="cs"/>
          <w:sz w:val="27"/>
          <w:rtl/>
          <w:lang w:bidi="ar-EG"/>
        </w:rPr>
        <w:t xml:space="preserve"> على نحوين:</w:t>
      </w:r>
    </w:p>
    <w:p w:rsidR="00DE3C80" w:rsidRPr="00282AC9" w:rsidRDefault="00DE3C80" w:rsidP="00C57B75">
      <w:pPr>
        <w:rPr>
          <w:sz w:val="27"/>
          <w:rtl/>
          <w:lang w:bidi="ar-EG"/>
        </w:rPr>
      </w:pPr>
    </w:p>
    <w:p w:rsidR="00DE3C80" w:rsidRPr="00282AC9" w:rsidRDefault="00936C45" w:rsidP="000D1249">
      <w:pPr>
        <w:pStyle w:val="31"/>
        <w:rPr>
          <w:color w:val="auto"/>
          <w:rtl/>
          <w:lang w:bidi="ar-EG"/>
        </w:rPr>
      </w:pPr>
      <w:r w:rsidRPr="00282AC9">
        <w:rPr>
          <w:rFonts w:hint="cs"/>
          <w:color w:val="auto"/>
          <w:rtl/>
          <w:lang w:bidi="ar-EG"/>
        </w:rPr>
        <w:t xml:space="preserve">النحو </w:t>
      </w:r>
      <w:r w:rsidR="00DA6FB6" w:rsidRPr="00282AC9">
        <w:rPr>
          <w:rFonts w:hint="cs"/>
          <w:color w:val="auto"/>
          <w:rtl/>
          <w:lang w:bidi="ar-EG"/>
        </w:rPr>
        <w:t xml:space="preserve">الأوّل: </w:t>
      </w:r>
      <w:r w:rsidR="00C07FC0" w:rsidRPr="00282AC9">
        <w:rPr>
          <w:rFonts w:hint="cs"/>
          <w:color w:val="auto"/>
          <w:rtl/>
          <w:lang w:bidi="ar-EG"/>
        </w:rPr>
        <w:t>الوساطة ب</w:t>
      </w:r>
      <w:r w:rsidR="00DA6FB6" w:rsidRPr="00282AC9">
        <w:rPr>
          <w:rFonts w:hint="cs"/>
          <w:color w:val="auto"/>
          <w:rtl/>
          <w:lang w:bidi="ar-EG"/>
        </w:rPr>
        <w:t>التفويض</w:t>
      </w:r>
    </w:p>
    <w:p w:rsidR="00DA6FB6" w:rsidRPr="00282AC9" w:rsidRDefault="00DA6FB6" w:rsidP="00C57B75">
      <w:pPr>
        <w:rPr>
          <w:sz w:val="27"/>
          <w:rtl/>
          <w:lang w:bidi="ar-EG"/>
        </w:rPr>
      </w:pPr>
      <w:r w:rsidRPr="00282AC9">
        <w:rPr>
          <w:rFonts w:hint="cs"/>
          <w:sz w:val="27"/>
          <w:rtl/>
          <w:lang w:bidi="ar-EG"/>
        </w:rPr>
        <w:t>وبيانه يتوق</w:t>
      </w:r>
      <w:r w:rsidR="00936C45" w:rsidRPr="00282AC9">
        <w:rPr>
          <w:rFonts w:hint="cs"/>
          <w:sz w:val="27"/>
          <w:rtl/>
          <w:lang w:bidi="ar-EG"/>
        </w:rPr>
        <w:t>َّ</w:t>
      </w:r>
      <w:r w:rsidRPr="00282AC9">
        <w:rPr>
          <w:rFonts w:hint="cs"/>
          <w:sz w:val="27"/>
          <w:rtl/>
          <w:lang w:bidi="ar-EG"/>
        </w:rPr>
        <w:t>ف على عدّة نقاط:</w:t>
      </w:r>
    </w:p>
    <w:p w:rsidR="00DA6FB6" w:rsidRPr="00282AC9" w:rsidRDefault="006521D5" w:rsidP="00C57B75">
      <w:pPr>
        <w:rPr>
          <w:sz w:val="27"/>
          <w:rtl/>
          <w:lang w:bidi="ar-EG"/>
        </w:rPr>
      </w:pPr>
      <w:r w:rsidRPr="00282AC9">
        <w:rPr>
          <w:rFonts w:hint="cs"/>
          <w:b/>
          <w:bCs/>
          <w:sz w:val="27"/>
          <w:rtl/>
          <w:lang w:bidi="ar-EG"/>
        </w:rPr>
        <w:t xml:space="preserve">النقطة </w:t>
      </w:r>
      <w:r w:rsidR="00DA6FB6" w:rsidRPr="00282AC9">
        <w:rPr>
          <w:rFonts w:hint="cs"/>
          <w:b/>
          <w:bCs/>
          <w:sz w:val="27"/>
          <w:rtl/>
          <w:lang w:bidi="ar-EG"/>
        </w:rPr>
        <w:t>الأولى</w:t>
      </w:r>
      <w:r w:rsidR="00DA6FB6" w:rsidRPr="00282AC9">
        <w:rPr>
          <w:rFonts w:hint="cs"/>
          <w:sz w:val="27"/>
          <w:rtl/>
          <w:lang w:bidi="ar-EG"/>
        </w:rPr>
        <w:t xml:space="preserve">: </w:t>
      </w:r>
      <w:r w:rsidR="000470CE" w:rsidRPr="00282AC9">
        <w:rPr>
          <w:rFonts w:hint="cs"/>
          <w:sz w:val="27"/>
          <w:rtl/>
          <w:lang w:bidi="ar-EG"/>
        </w:rPr>
        <w:t>إ</w:t>
      </w:r>
      <w:r w:rsidR="00DA6FB6" w:rsidRPr="00282AC9">
        <w:rPr>
          <w:rFonts w:hint="cs"/>
          <w:sz w:val="27"/>
          <w:rtl/>
          <w:lang w:bidi="ar-EG"/>
        </w:rPr>
        <w:t>نّ المتكل</w:t>
      </w:r>
      <w:r w:rsidR="000470CE" w:rsidRPr="00282AC9">
        <w:rPr>
          <w:rFonts w:hint="cs"/>
          <w:sz w:val="27"/>
          <w:rtl/>
          <w:lang w:bidi="ar-EG"/>
        </w:rPr>
        <w:t>ِّ</w:t>
      </w:r>
      <w:r w:rsidR="00DA6FB6" w:rsidRPr="00282AC9">
        <w:rPr>
          <w:rFonts w:hint="cs"/>
          <w:sz w:val="27"/>
          <w:rtl/>
          <w:lang w:bidi="ar-EG"/>
        </w:rPr>
        <w:t>مين لا يؤمنون بوجود العقل بمعنى الموجود المفارق عن الماد</w:t>
      </w:r>
      <w:r w:rsidR="000470CE" w:rsidRPr="00282AC9">
        <w:rPr>
          <w:rFonts w:hint="cs"/>
          <w:sz w:val="27"/>
          <w:rtl/>
          <w:lang w:bidi="ar-EG"/>
        </w:rPr>
        <w:t>ّ</w:t>
      </w:r>
      <w:r w:rsidR="00DA6FB6" w:rsidRPr="00282AC9">
        <w:rPr>
          <w:rFonts w:hint="cs"/>
          <w:sz w:val="27"/>
          <w:rtl/>
          <w:lang w:bidi="ar-EG"/>
        </w:rPr>
        <w:t>ة ذاتاً وفعلاً؛ لعدم قيام دليل</w:t>
      </w:r>
      <w:r w:rsidR="000470CE" w:rsidRPr="00282AC9">
        <w:rPr>
          <w:rFonts w:hint="cs"/>
          <w:sz w:val="27"/>
          <w:rtl/>
          <w:lang w:bidi="ar-EG"/>
        </w:rPr>
        <w:t>ٍ</w:t>
      </w:r>
      <w:r w:rsidR="00DA6FB6" w:rsidRPr="00282AC9">
        <w:rPr>
          <w:rFonts w:hint="cs"/>
          <w:sz w:val="27"/>
          <w:rtl/>
          <w:lang w:bidi="ar-EG"/>
        </w:rPr>
        <w:t xml:space="preserve"> عليه.</w:t>
      </w:r>
    </w:p>
    <w:p w:rsidR="00DA6FB6" w:rsidRPr="00282AC9" w:rsidRDefault="006521D5" w:rsidP="00C57B75">
      <w:pPr>
        <w:rPr>
          <w:sz w:val="27"/>
          <w:rtl/>
          <w:lang w:bidi="ar-EG"/>
        </w:rPr>
      </w:pPr>
      <w:r w:rsidRPr="00282AC9">
        <w:rPr>
          <w:rFonts w:hint="cs"/>
          <w:b/>
          <w:bCs/>
          <w:sz w:val="27"/>
          <w:rtl/>
          <w:lang w:bidi="ar-EG"/>
        </w:rPr>
        <w:t xml:space="preserve">النقطة </w:t>
      </w:r>
      <w:r w:rsidR="00DA6FB6" w:rsidRPr="00282AC9">
        <w:rPr>
          <w:rFonts w:hint="cs"/>
          <w:b/>
          <w:bCs/>
          <w:sz w:val="27"/>
          <w:rtl/>
          <w:lang w:bidi="ar-EG"/>
        </w:rPr>
        <w:t>الثانية</w:t>
      </w:r>
      <w:r w:rsidR="00DA6FB6" w:rsidRPr="00282AC9">
        <w:rPr>
          <w:rFonts w:hint="cs"/>
          <w:sz w:val="27"/>
          <w:rtl/>
          <w:lang w:bidi="ar-EG"/>
        </w:rPr>
        <w:t xml:space="preserve">: </w:t>
      </w:r>
      <w:r w:rsidR="000470CE" w:rsidRPr="00282AC9">
        <w:rPr>
          <w:rFonts w:hint="cs"/>
          <w:sz w:val="27"/>
          <w:rtl/>
          <w:lang w:bidi="ar-EG"/>
        </w:rPr>
        <w:t>إ</w:t>
      </w:r>
      <w:r w:rsidR="00DA6FB6" w:rsidRPr="00282AC9">
        <w:rPr>
          <w:rFonts w:hint="cs"/>
          <w:sz w:val="27"/>
          <w:rtl/>
          <w:lang w:bidi="ar-EG"/>
        </w:rPr>
        <w:t>نّ المعتزلة من المتكل</w:t>
      </w:r>
      <w:r w:rsidR="000470CE" w:rsidRPr="00282AC9">
        <w:rPr>
          <w:rFonts w:hint="cs"/>
          <w:sz w:val="27"/>
          <w:rtl/>
          <w:lang w:bidi="ar-EG"/>
        </w:rPr>
        <w:t>ِّ</w:t>
      </w:r>
      <w:r w:rsidR="00DA6FB6" w:rsidRPr="00282AC9">
        <w:rPr>
          <w:rFonts w:hint="cs"/>
          <w:sz w:val="27"/>
          <w:rtl/>
          <w:lang w:bidi="ar-EG"/>
        </w:rPr>
        <w:t>مين قد ذهبوا إلى أنّ الله قد فوّ</w:t>
      </w:r>
      <w:r w:rsidR="000470CE" w:rsidRPr="00282AC9">
        <w:rPr>
          <w:rFonts w:hint="cs"/>
          <w:sz w:val="27"/>
          <w:rtl/>
          <w:lang w:bidi="ar-EG"/>
        </w:rPr>
        <w:t>َ</w:t>
      </w:r>
      <w:r w:rsidR="00DA6FB6" w:rsidRPr="00282AC9">
        <w:rPr>
          <w:rFonts w:hint="cs"/>
          <w:sz w:val="27"/>
          <w:rtl/>
          <w:lang w:bidi="ar-EG"/>
        </w:rPr>
        <w:t>ض العباد في أفعالهم إلى إرادتهم على نحو الاستقلال، بلا د</w:t>
      </w:r>
      <w:r w:rsidR="000470CE" w:rsidRPr="00282AC9">
        <w:rPr>
          <w:rFonts w:hint="cs"/>
          <w:sz w:val="27"/>
          <w:rtl/>
          <w:lang w:bidi="ar-EG"/>
        </w:rPr>
        <w:t>َ</w:t>
      </w:r>
      <w:r w:rsidR="00DA6FB6" w:rsidRPr="00282AC9">
        <w:rPr>
          <w:rFonts w:hint="cs"/>
          <w:sz w:val="27"/>
          <w:rtl/>
          <w:lang w:bidi="ar-EG"/>
        </w:rPr>
        <w:t>خ</w:t>
      </w:r>
      <w:r w:rsidR="000470CE" w:rsidRPr="00282AC9">
        <w:rPr>
          <w:rFonts w:hint="cs"/>
          <w:sz w:val="27"/>
          <w:rtl/>
          <w:lang w:bidi="ar-EG"/>
        </w:rPr>
        <w:t>ْ</w:t>
      </w:r>
      <w:r w:rsidR="00DA6FB6" w:rsidRPr="00282AC9">
        <w:rPr>
          <w:rFonts w:hint="cs"/>
          <w:sz w:val="27"/>
          <w:rtl/>
          <w:lang w:bidi="ar-EG"/>
        </w:rPr>
        <w:t>ل</w:t>
      </w:r>
      <w:r w:rsidR="000470CE" w:rsidRPr="00282AC9">
        <w:rPr>
          <w:rFonts w:hint="cs"/>
          <w:sz w:val="27"/>
          <w:rtl/>
          <w:lang w:bidi="ar-EG"/>
        </w:rPr>
        <w:t>ٍ</w:t>
      </w:r>
      <w:r w:rsidR="00DA6FB6" w:rsidRPr="00282AC9">
        <w:rPr>
          <w:rFonts w:hint="cs"/>
          <w:sz w:val="27"/>
          <w:rtl/>
          <w:lang w:bidi="ar-EG"/>
        </w:rPr>
        <w:t xml:space="preserve"> لإرادة الغير فيها</w:t>
      </w:r>
      <w:r w:rsidR="000470CE" w:rsidRPr="00282AC9">
        <w:rPr>
          <w:rFonts w:hint="cs"/>
          <w:sz w:val="27"/>
          <w:rtl/>
          <w:lang w:bidi="ar-EG"/>
        </w:rPr>
        <w:t>.</w:t>
      </w:r>
      <w:r w:rsidR="00DA6FB6" w:rsidRPr="00282AC9">
        <w:rPr>
          <w:rFonts w:hint="cs"/>
          <w:sz w:val="27"/>
          <w:rtl/>
          <w:lang w:bidi="ar-EG"/>
        </w:rPr>
        <w:t xml:space="preserve"> وقد استدل</w:t>
      </w:r>
      <w:r w:rsidR="000470CE" w:rsidRPr="00282AC9">
        <w:rPr>
          <w:rFonts w:hint="cs"/>
          <w:sz w:val="27"/>
          <w:rtl/>
          <w:lang w:bidi="ar-EG"/>
        </w:rPr>
        <w:t>ّ</w:t>
      </w:r>
      <w:r w:rsidR="00DA6FB6" w:rsidRPr="00282AC9">
        <w:rPr>
          <w:rFonts w:hint="cs"/>
          <w:sz w:val="27"/>
          <w:rtl/>
          <w:lang w:bidi="ar-EG"/>
        </w:rPr>
        <w:t>وا على هذه النظرية بأنّ الممكن يحتاج في حدوثه إلى العلّة؛ لأنّ ملاك الحاجة هو الحدوث، فيستغني في بقائه عن المؤث</w:t>
      </w:r>
      <w:r w:rsidR="000470CE" w:rsidRPr="00282AC9">
        <w:rPr>
          <w:rFonts w:hint="cs"/>
          <w:sz w:val="27"/>
          <w:rtl/>
          <w:lang w:bidi="ar-EG"/>
        </w:rPr>
        <w:t>ِّ</w:t>
      </w:r>
      <w:r w:rsidR="00DA6FB6" w:rsidRPr="00282AC9">
        <w:rPr>
          <w:rFonts w:hint="cs"/>
          <w:sz w:val="27"/>
          <w:rtl/>
          <w:lang w:bidi="ar-EG"/>
        </w:rPr>
        <w:t>ر. وعليه، فالإنسان بعد خلقه من ق</w:t>
      </w:r>
      <w:r w:rsidR="000470CE" w:rsidRPr="00282AC9">
        <w:rPr>
          <w:rFonts w:hint="cs"/>
          <w:sz w:val="27"/>
          <w:rtl/>
          <w:lang w:bidi="ar-EG"/>
        </w:rPr>
        <w:t>ِ</w:t>
      </w:r>
      <w:r w:rsidR="00DA6FB6" w:rsidRPr="00282AC9">
        <w:rPr>
          <w:rFonts w:hint="cs"/>
          <w:sz w:val="27"/>
          <w:rtl/>
          <w:lang w:bidi="ar-EG"/>
        </w:rPr>
        <w:t>ب</w:t>
      </w:r>
      <w:r w:rsidR="000470CE" w:rsidRPr="00282AC9">
        <w:rPr>
          <w:rFonts w:hint="cs"/>
          <w:sz w:val="27"/>
          <w:rtl/>
          <w:lang w:bidi="ar-EG"/>
        </w:rPr>
        <w:t>َ</w:t>
      </w:r>
      <w:r w:rsidR="00DA6FB6" w:rsidRPr="00282AC9">
        <w:rPr>
          <w:rFonts w:hint="cs"/>
          <w:sz w:val="27"/>
          <w:rtl/>
          <w:lang w:bidi="ar-EG"/>
        </w:rPr>
        <w:t>ل الله لا يحتاج في بقائه إلى إفاضة الوجود منه</w:t>
      </w:r>
      <w:r w:rsidR="000470CE" w:rsidRPr="00282AC9">
        <w:rPr>
          <w:rFonts w:hint="cs"/>
          <w:sz w:val="27"/>
          <w:rtl/>
          <w:lang w:bidi="ar-EG"/>
        </w:rPr>
        <w:t>،</w:t>
      </w:r>
      <w:r w:rsidR="00DA6FB6" w:rsidRPr="00282AC9">
        <w:rPr>
          <w:rFonts w:hint="cs"/>
          <w:sz w:val="27"/>
          <w:rtl/>
          <w:lang w:bidi="ar-EG"/>
        </w:rPr>
        <w:t xml:space="preserve"> فإذن يستند صد</w:t>
      </w:r>
      <w:r w:rsidR="000470CE" w:rsidRPr="00282AC9">
        <w:rPr>
          <w:rFonts w:hint="cs"/>
          <w:sz w:val="27"/>
          <w:rtl/>
          <w:lang w:bidi="ar-EG"/>
        </w:rPr>
        <w:t>ور الأفعال إليه استناداً مستقلاًّ</w:t>
      </w:r>
      <w:r w:rsidR="00DA6FB6" w:rsidRPr="00282AC9">
        <w:rPr>
          <w:rFonts w:hint="cs"/>
          <w:sz w:val="27"/>
          <w:rtl/>
          <w:lang w:bidi="ar-EG"/>
        </w:rPr>
        <w:t>، لا إلى العلّة الم</w:t>
      </w:r>
      <w:r w:rsidR="000470CE" w:rsidRPr="00282AC9">
        <w:rPr>
          <w:rFonts w:hint="cs"/>
          <w:sz w:val="27"/>
          <w:rtl/>
          <w:lang w:bidi="ar-EG"/>
        </w:rPr>
        <w:t>ُ</w:t>
      </w:r>
      <w:r w:rsidR="00DA6FB6" w:rsidRPr="00282AC9">
        <w:rPr>
          <w:rFonts w:hint="cs"/>
          <w:sz w:val="27"/>
          <w:rtl/>
          <w:lang w:bidi="ar-EG"/>
        </w:rPr>
        <w:t>ح</w:t>
      </w:r>
      <w:r w:rsidR="000470CE" w:rsidRPr="00282AC9">
        <w:rPr>
          <w:rFonts w:hint="cs"/>
          <w:sz w:val="27"/>
          <w:rtl/>
          <w:lang w:bidi="ar-EG"/>
        </w:rPr>
        <w:t>ْ</w:t>
      </w:r>
      <w:r w:rsidR="00DA6FB6" w:rsidRPr="00282AC9">
        <w:rPr>
          <w:rFonts w:hint="cs"/>
          <w:sz w:val="27"/>
          <w:rtl/>
          <w:lang w:bidi="ar-EG"/>
        </w:rPr>
        <w:t>د</w:t>
      </w:r>
      <w:r w:rsidR="000470CE" w:rsidRPr="00282AC9">
        <w:rPr>
          <w:rFonts w:hint="cs"/>
          <w:sz w:val="27"/>
          <w:rtl/>
          <w:lang w:bidi="ar-EG"/>
        </w:rPr>
        <w:t>ِ</w:t>
      </w:r>
      <w:r w:rsidR="00DA6FB6" w:rsidRPr="00282AC9">
        <w:rPr>
          <w:rFonts w:hint="cs"/>
          <w:sz w:val="27"/>
          <w:rtl/>
          <w:lang w:bidi="ar-EG"/>
        </w:rPr>
        <w:t>ثة.</w:t>
      </w:r>
    </w:p>
    <w:p w:rsidR="00DA6FB6" w:rsidRPr="00282AC9" w:rsidRDefault="006521D5" w:rsidP="00C57B75">
      <w:pPr>
        <w:rPr>
          <w:sz w:val="27"/>
          <w:rtl/>
          <w:lang w:bidi="ar-EG"/>
        </w:rPr>
      </w:pPr>
      <w:r w:rsidRPr="00282AC9">
        <w:rPr>
          <w:rFonts w:hint="cs"/>
          <w:b/>
          <w:bCs/>
          <w:sz w:val="27"/>
          <w:rtl/>
          <w:lang w:bidi="ar-EG"/>
        </w:rPr>
        <w:t xml:space="preserve">النقطة </w:t>
      </w:r>
      <w:r w:rsidR="00DA6FB6" w:rsidRPr="00282AC9">
        <w:rPr>
          <w:rFonts w:hint="cs"/>
          <w:b/>
          <w:bCs/>
          <w:sz w:val="27"/>
          <w:rtl/>
          <w:lang w:bidi="ar-EG"/>
        </w:rPr>
        <w:t>الثالثة</w:t>
      </w:r>
      <w:r w:rsidR="00DA6FB6" w:rsidRPr="00282AC9">
        <w:rPr>
          <w:rFonts w:hint="cs"/>
          <w:sz w:val="27"/>
          <w:rtl/>
          <w:lang w:bidi="ar-EG"/>
        </w:rPr>
        <w:t>: التفويض هو إرجاع الأمر إلى الغير.</w:t>
      </w:r>
    </w:p>
    <w:p w:rsidR="000470CE" w:rsidRPr="00282AC9" w:rsidRDefault="00DA6FB6" w:rsidP="00C57B75">
      <w:pPr>
        <w:rPr>
          <w:sz w:val="27"/>
          <w:rtl/>
          <w:lang w:bidi="ar-EG"/>
        </w:rPr>
      </w:pPr>
      <w:r w:rsidRPr="00282AC9">
        <w:rPr>
          <w:rFonts w:hint="cs"/>
          <w:sz w:val="27"/>
          <w:rtl/>
          <w:lang w:bidi="ar-EG"/>
        </w:rPr>
        <w:t xml:space="preserve"> </w:t>
      </w:r>
      <w:r w:rsidR="000470CE" w:rsidRPr="00282AC9">
        <w:rPr>
          <w:rFonts w:hint="cs"/>
          <w:sz w:val="27"/>
          <w:rtl/>
          <w:lang w:bidi="ar-EG"/>
        </w:rPr>
        <w:t>و</w:t>
      </w:r>
      <w:r w:rsidRPr="00282AC9">
        <w:rPr>
          <w:rFonts w:hint="cs"/>
          <w:sz w:val="27"/>
          <w:rtl/>
          <w:lang w:bidi="ar-EG"/>
        </w:rPr>
        <w:t>بناءً على ما تقدّ</w:t>
      </w:r>
      <w:r w:rsidR="000470CE" w:rsidRPr="00282AC9">
        <w:rPr>
          <w:rFonts w:hint="cs"/>
          <w:sz w:val="27"/>
          <w:rtl/>
          <w:lang w:bidi="ar-EG"/>
        </w:rPr>
        <w:t>َ</w:t>
      </w:r>
      <w:r w:rsidRPr="00282AC9">
        <w:rPr>
          <w:rFonts w:hint="cs"/>
          <w:sz w:val="27"/>
          <w:rtl/>
          <w:lang w:bidi="ar-EG"/>
        </w:rPr>
        <w:t>م من نقاط</w:t>
      </w:r>
      <w:r w:rsidR="000470CE" w:rsidRPr="00282AC9">
        <w:rPr>
          <w:rFonts w:hint="cs"/>
          <w:sz w:val="27"/>
          <w:rtl/>
          <w:lang w:bidi="ar-EG"/>
        </w:rPr>
        <w:t>ٍ</w:t>
      </w:r>
      <w:r w:rsidRPr="00282AC9">
        <w:rPr>
          <w:rFonts w:hint="cs"/>
          <w:sz w:val="27"/>
          <w:rtl/>
          <w:lang w:bidi="ar-EG"/>
        </w:rPr>
        <w:t xml:space="preserve"> لو فرضنا أنّ الله خلق نفس النبي</w:t>
      </w:r>
      <w:r w:rsidR="000470CE" w:rsidRPr="00282AC9">
        <w:rPr>
          <w:rFonts w:hint="cs"/>
          <w:sz w:val="27"/>
          <w:rtl/>
          <w:lang w:bidi="ar-EG"/>
        </w:rPr>
        <w:t>ّ</w:t>
      </w:r>
      <w:r w:rsidRPr="00282AC9">
        <w:rPr>
          <w:rFonts w:hint="cs"/>
          <w:sz w:val="27"/>
          <w:rtl/>
          <w:lang w:bidi="ar-EG"/>
        </w:rPr>
        <w:t xml:space="preserve"> والوليّ قادرة</w:t>
      </w:r>
      <w:r w:rsidR="000470CE" w:rsidRPr="00282AC9">
        <w:rPr>
          <w:rFonts w:hint="cs"/>
          <w:sz w:val="27"/>
          <w:rtl/>
          <w:lang w:bidi="ar-EG"/>
        </w:rPr>
        <w:t>ً</w:t>
      </w:r>
      <w:r w:rsidRPr="00282AC9">
        <w:rPr>
          <w:rFonts w:hint="cs"/>
          <w:sz w:val="27"/>
          <w:rtl/>
          <w:lang w:bidi="ar-EG"/>
        </w:rPr>
        <w:t xml:space="preserve"> على إفاضة الوجود على المخلوقات فعلى أساس النقطة الأولى لا توجد السلسلة المجر</w:t>
      </w:r>
      <w:r w:rsidR="000470CE" w:rsidRPr="00282AC9">
        <w:rPr>
          <w:rFonts w:hint="cs"/>
          <w:sz w:val="27"/>
          <w:rtl/>
          <w:lang w:bidi="ar-EG"/>
        </w:rPr>
        <w:t>َّ</w:t>
      </w:r>
      <w:r w:rsidRPr="00282AC9">
        <w:rPr>
          <w:rFonts w:hint="cs"/>
          <w:sz w:val="27"/>
          <w:rtl/>
          <w:lang w:bidi="ar-EG"/>
        </w:rPr>
        <w:t>دة بين عالم الطبيعة والخالق، فتكون هذه النفوس الق</w:t>
      </w:r>
      <w:r w:rsidR="000470CE" w:rsidRPr="00282AC9">
        <w:rPr>
          <w:rFonts w:hint="cs"/>
          <w:sz w:val="27"/>
          <w:rtl/>
          <w:lang w:bidi="ar-EG"/>
        </w:rPr>
        <w:t>ُ</w:t>
      </w:r>
      <w:r w:rsidRPr="00282AC9">
        <w:rPr>
          <w:rFonts w:hint="cs"/>
          <w:sz w:val="27"/>
          <w:rtl/>
          <w:lang w:bidi="ar-EG"/>
        </w:rPr>
        <w:t>د</w:t>
      </w:r>
      <w:r w:rsidR="000470CE" w:rsidRPr="00282AC9">
        <w:rPr>
          <w:rFonts w:hint="cs"/>
          <w:sz w:val="27"/>
          <w:rtl/>
          <w:lang w:bidi="ar-EG"/>
        </w:rPr>
        <w:t>ْ</w:t>
      </w:r>
      <w:r w:rsidRPr="00282AC9">
        <w:rPr>
          <w:rFonts w:hint="cs"/>
          <w:sz w:val="27"/>
          <w:rtl/>
          <w:lang w:bidi="ar-EG"/>
        </w:rPr>
        <w:t>سية موجودة</w:t>
      </w:r>
      <w:r w:rsidR="000470CE" w:rsidRPr="00282AC9">
        <w:rPr>
          <w:rFonts w:hint="cs"/>
          <w:sz w:val="27"/>
          <w:rtl/>
          <w:lang w:bidi="ar-EG"/>
        </w:rPr>
        <w:t>ً</w:t>
      </w:r>
      <w:r w:rsidRPr="00282AC9">
        <w:rPr>
          <w:rFonts w:hint="cs"/>
          <w:sz w:val="27"/>
          <w:rtl/>
          <w:lang w:bidi="ar-EG"/>
        </w:rPr>
        <w:t xml:space="preserve"> بإيجاد الله لحدوثه</w:t>
      </w:r>
      <w:r w:rsidR="000470CE" w:rsidRPr="00282AC9">
        <w:rPr>
          <w:rFonts w:hint="cs"/>
          <w:sz w:val="27"/>
          <w:rtl/>
          <w:lang w:bidi="ar-EG"/>
        </w:rPr>
        <w:t>؛</w:t>
      </w:r>
      <w:r w:rsidRPr="00282AC9">
        <w:rPr>
          <w:rFonts w:hint="cs"/>
          <w:sz w:val="27"/>
          <w:rtl/>
          <w:lang w:bidi="ar-EG"/>
        </w:rPr>
        <w:t xml:space="preserve"> </w:t>
      </w:r>
      <w:r w:rsidRPr="00282AC9">
        <w:rPr>
          <w:rFonts w:hint="cs"/>
          <w:sz w:val="27"/>
          <w:rtl/>
          <w:lang w:bidi="ar-EG"/>
        </w:rPr>
        <w:lastRenderedPageBreak/>
        <w:t>وعلى أساس النقطة الثانية الممكن في حدوثه يحتاج إلى الخالق، وفي بقائه لا يحتاج إليه، فتكون هذه النفوس الق</w:t>
      </w:r>
      <w:r w:rsidR="000470CE" w:rsidRPr="00282AC9">
        <w:rPr>
          <w:rFonts w:hint="cs"/>
          <w:sz w:val="27"/>
          <w:rtl/>
          <w:lang w:bidi="ar-EG"/>
        </w:rPr>
        <w:t>ُ</w:t>
      </w:r>
      <w:r w:rsidRPr="00282AC9">
        <w:rPr>
          <w:rFonts w:hint="cs"/>
          <w:sz w:val="27"/>
          <w:rtl/>
          <w:lang w:bidi="ar-EG"/>
        </w:rPr>
        <w:t>د</w:t>
      </w:r>
      <w:r w:rsidR="000470CE" w:rsidRPr="00282AC9">
        <w:rPr>
          <w:rFonts w:hint="cs"/>
          <w:sz w:val="27"/>
          <w:rtl/>
          <w:lang w:bidi="ar-EG"/>
        </w:rPr>
        <w:t>ْ</w:t>
      </w:r>
      <w:r w:rsidRPr="00282AC9">
        <w:rPr>
          <w:rFonts w:hint="cs"/>
          <w:sz w:val="27"/>
          <w:rtl/>
          <w:lang w:bidi="ar-EG"/>
        </w:rPr>
        <w:t>سية موجودة</w:t>
      </w:r>
      <w:r w:rsidR="000470CE" w:rsidRPr="00282AC9">
        <w:rPr>
          <w:rFonts w:hint="cs"/>
          <w:sz w:val="27"/>
          <w:rtl/>
          <w:lang w:bidi="ar-EG"/>
        </w:rPr>
        <w:t>ً</w:t>
      </w:r>
      <w:r w:rsidRPr="00282AC9">
        <w:rPr>
          <w:rFonts w:hint="cs"/>
          <w:sz w:val="27"/>
          <w:rtl/>
          <w:lang w:bidi="ar-EG"/>
        </w:rPr>
        <w:t xml:space="preserve"> بإيجاد الله</w:t>
      </w:r>
      <w:r w:rsidR="000470CE" w:rsidRPr="00282AC9">
        <w:rPr>
          <w:rFonts w:hint="cs"/>
          <w:sz w:val="27"/>
          <w:rtl/>
          <w:lang w:bidi="ar-EG"/>
        </w:rPr>
        <w:t>،</w:t>
      </w:r>
      <w:r w:rsidRPr="00282AC9">
        <w:rPr>
          <w:rFonts w:hint="cs"/>
          <w:sz w:val="27"/>
          <w:rtl/>
          <w:lang w:bidi="ar-EG"/>
        </w:rPr>
        <w:t xml:space="preserve"> بحيث تكون قادرة</w:t>
      </w:r>
      <w:r w:rsidR="000470CE" w:rsidRPr="00282AC9">
        <w:rPr>
          <w:rFonts w:hint="cs"/>
          <w:sz w:val="27"/>
          <w:rtl/>
          <w:lang w:bidi="ar-EG"/>
        </w:rPr>
        <w:t>ً</w:t>
      </w:r>
      <w:r w:rsidRPr="00282AC9">
        <w:rPr>
          <w:rFonts w:hint="cs"/>
          <w:sz w:val="27"/>
          <w:rtl/>
          <w:lang w:bidi="ar-EG"/>
        </w:rPr>
        <w:t xml:space="preserve"> على إفاضة الوجود على المخلوقات وإدارتها، فهم يعملون ما يشاؤون، ويفعلون ما يريدون، والله لا د</w:t>
      </w:r>
      <w:r w:rsidR="000470CE" w:rsidRPr="00282AC9">
        <w:rPr>
          <w:rFonts w:hint="cs"/>
          <w:sz w:val="27"/>
          <w:rtl/>
          <w:lang w:bidi="ar-EG"/>
        </w:rPr>
        <w:t>َ</w:t>
      </w:r>
      <w:r w:rsidRPr="00282AC9">
        <w:rPr>
          <w:rFonts w:hint="cs"/>
          <w:sz w:val="27"/>
          <w:rtl/>
          <w:lang w:bidi="ar-EG"/>
        </w:rPr>
        <w:t>خ</w:t>
      </w:r>
      <w:r w:rsidR="000470CE" w:rsidRPr="00282AC9">
        <w:rPr>
          <w:rFonts w:hint="cs"/>
          <w:sz w:val="27"/>
          <w:rtl/>
          <w:lang w:bidi="ar-EG"/>
        </w:rPr>
        <w:t>ْ</w:t>
      </w:r>
      <w:r w:rsidRPr="00282AC9">
        <w:rPr>
          <w:rFonts w:hint="cs"/>
          <w:sz w:val="27"/>
          <w:rtl/>
          <w:lang w:bidi="ar-EG"/>
        </w:rPr>
        <w:t>ل</w:t>
      </w:r>
      <w:r w:rsidR="000470CE" w:rsidRPr="00282AC9">
        <w:rPr>
          <w:rFonts w:hint="cs"/>
          <w:sz w:val="27"/>
          <w:rtl/>
          <w:lang w:bidi="ar-EG"/>
        </w:rPr>
        <w:t>َ</w:t>
      </w:r>
      <w:r w:rsidRPr="00282AC9">
        <w:rPr>
          <w:rFonts w:hint="cs"/>
          <w:sz w:val="27"/>
          <w:rtl/>
          <w:lang w:bidi="ar-EG"/>
        </w:rPr>
        <w:t xml:space="preserve"> له في إفاضة الوجود للمخلوقات، فينطبق عليهم التفويض</w:t>
      </w:r>
      <w:r w:rsidR="000470CE" w:rsidRPr="00282AC9">
        <w:rPr>
          <w:rFonts w:hint="cs"/>
          <w:sz w:val="27"/>
          <w:rtl/>
          <w:lang w:bidi="ar-EG"/>
        </w:rPr>
        <w:t>،</w:t>
      </w:r>
      <w:r w:rsidRPr="00282AC9">
        <w:rPr>
          <w:rFonts w:hint="cs"/>
          <w:sz w:val="27"/>
          <w:rtl/>
          <w:lang w:bidi="ar-EG"/>
        </w:rPr>
        <w:t xml:space="preserve"> وهو إرجاع أمر التدبير إليهم</w:t>
      </w:r>
      <w:r w:rsidR="000470CE" w:rsidRPr="00282AC9">
        <w:rPr>
          <w:rFonts w:hint="cs"/>
          <w:sz w:val="27"/>
          <w:rtl/>
          <w:lang w:bidi="ar-EG"/>
        </w:rPr>
        <w:t>.</w:t>
      </w:r>
    </w:p>
    <w:p w:rsidR="0064200B" w:rsidRPr="00282AC9" w:rsidRDefault="0064200B" w:rsidP="0064200B">
      <w:pPr>
        <w:spacing w:line="420" w:lineRule="exact"/>
        <w:rPr>
          <w:sz w:val="27"/>
          <w:rtl/>
        </w:rPr>
      </w:pPr>
    </w:p>
    <w:p w:rsidR="000D1249" w:rsidRPr="00282AC9" w:rsidRDefault="00131FAE" w:rsidP="00131FAE">
      <w:pPr>
        <w:pStyle w:val="31"/>
        <w:rPr>
          <w:color w:val="auto"/>
          <w:rtl/>
          <w:lang w:bidi="ar-EG"/>
        </w:rPr>
      </w:pPr>
      <w:r w:rsidRPr="00282AC9">
        <w:rPr>
          <w:rFonts w:hint="cs"/>
          <w:color w:val="auto"/>
          <w:rtl/>
          <w:lang w:bidi="ar-EG"/>
        </w:rPr>
        <w:t>نقدٌ وردّ</w:t>
      </w:r>
    </w:p>
    <w:p w:rsidR="000470CE" w:rsidRPr="00282AC9" w:rsidRDefault="00DA6FB6" w:rsidP="00C57B75">
      <w:pPr>
        <w:rPr>
          <w:sz w:val="27"/>
          <w:rtl/>
          <w:lang w:bidi="ar-EG"/>
        </w:rPr>
      </w:pPr>
      <w:r w:rsidRPr="00282AC9">
        <w:rPr>
          <w:rFonts w:hint="cs"/>
          <w:sz w:val="27"/>
          <w:rtl/>
          <w:lang w:bidi="ar-EG"/>
        </w:rPr>
        <w:t>وهذا التصوير للتوسيط في الإفاضة الإلهي</w:t>
      </w:r>
      <w:r w:rsidR="000470CE" w:rsidRPr="00282AC9">
        <w:rPr>
          <w:rFonts w:hint="cs"/>
          <w:sz w:val="27"/>
          <w:rtl/>
          <w:lang w:bidi="ar-EG"/>
        </w:rPr>
        <w:t>ّ</w:t>
      </w:r>
      <w:r w:rsidRPr="00282AC9">
        <w:rPr>
          <w:rFonts w:hint="cs"/>
          <w:sz w:val="27"/>
          <w:rtl/>
          <w:lang w:bidi="ar-EG"/>
        </w:rPr>
        <w:t>ة ثبوتاً ممنوع</w:t>
      </w:r>
      <w:r w:rsidR="000470CE" w:rsidRPr="00282AC9">
        <w:rPr>
          <w:rFonts w:hint="cs"/>
          <w:sz w:val="27"/>
          <w:rtl/>
          <w:lang w:bidi="ar-EG"/>
        </w:rPr>
        <w:t>ٌ</w:t>
      </w:r>
      <w:r w:rsidRPr="00282AC9">
        <w:rPr>
          <w:rFonts w:hint="cs"/>
          <w:sz w:val="27"/>
          <w:rtl/>
          <w:lang w:bidi="ar-EG"/>
        </w:rPr>
        <w:t>؛ وذلك لأسباب</w:t>
      </w:r>
      <w:r w:rsidR="000470CE" w:rsidRPr="00282AC9">
        <w:rPr>
          <w:rFonts w:hint="cs"/>
          <w:sz w:val="27"/>
          <w:rtl/>
          <w:lang w:bidi="ar-EG"/>
        </w:rPr>
        <w:t>:</w:t>
      </w:r>
    </w:p>
    <w:p w:rsidR="000470CE" w:rsidRPr="00282AC9" w:rsidRDefault="00DA6FB6" w:rsidP="00C57B75">
      <w:pPr>
        <w:rPr>
          <w:sz w:val="27"/>
          <w:rtl/>
          <w:lang w:bidi="ar-EG"/>
        </w:rPr>
      </w:pPr>
      <w:r w:rsidRPr="00282AC9">
        <w:rPr>
          <w:rFonts w:hint="cs"/>
          <w:b/>
          <w:bCs/>
          <w:sz w:val="27"/>
          <w:rtl/>
          <w:lang w:bidi="ar-EG"/>
        </w:rPr>
        <w:t>أو</w:t>
      </w:r>
      <w:r w:rsidR="000470CE" w:rsidRPr="00282AC9">
        <w:rPr>
          <w:rFonts w:hint="cs"/>
          <w:b/>
          <w:bCs/>
          <w:sz w:val="27"/>
          <w:rtl/>
          <w:lang w:bidi="ar-EG"/>
        </w:rPr>
        <w:t>ّ</w:t>
      </w:r>
      <w:r w:rsidRPr="00282AC9">
        <w:rPr>
          <w:rFonts w:hint="cs"/>
          <w:b/>
          <w:bCs/>
          <w:sz w:val="27"/>
          <w:rtl/>
          <w:lang w:bidi="ar-EG"/>
        </w:rPr>
        <w:t>لاً</w:t>
      </w:r>
      <w:r w:rsidRPr="00282AC9">
        <w:rPr>
          <w:rFonts w:hint="cs"/>
          <w:sz w:val="27"/>
          <w:rtl/>
          <w:lang w:bidi="ar-EG"/>
        </w:rPr>
        <w:t xml:space="preserve">: </w:t>
      </w:r>
      <w:r w:rsidR="000470CE" w:rsidRPr="00282AC9">
        <w:rPr>
          <w:rFonts w:hint="cs"/>
          <w:sz w:val="27"/>
          <w:rtl/>
          <w:lang w:bidi="ar-EG"/>
        </w:rPr>
        <w:t>إ</w:t>
      </w:r>
      <w:r w:rsidRPr="00282AC9">
        <w:rPr>
          <w:rFonts w:hint="cs"/>
          <w:sz w:val="27"/>
          <w:rtl/>
          <w:lang w:bidi="ar-EG"/>
        </w:rPr>
        <w:t>نّ النقطة الأولى ممنوعة</w:t>
      </w:r>
      <w:r w:rsidR="000470CE" w:rsidRPr="00282AC9">
        <w:rPr>
          <w:rFonts w:hint="cs"/>
          <w:sz w:val="27"/>
          <w:rtl/>
          <w:lang w:bidi="ar-EG"/>
        </w:rPr>
        <w:t>ٌ؛</w:t>
      </w:r>
      <w:r w:rsidRPr="00282AC9">
        <w:rPr>
          <w:rFonts w:hint="cs"/>
          <w:sz w:val="27"/>
          <w:rtl/>
          <w:lang w:bidi="ar-EG"/>
        </w:rPr>
        <w:t xml:space="preserve"> فهناك وجودات</w:t>
      </w:r>
      <w:r w:rsidR="000470CE" w:rsidRPr="00282AC9">
        <w:rPr>
          <w:rFonts w:hint="cs"/>
          <w:sz w:val="27"/>
          <w:rtl/>
          <w:lang w:bidi="ar-EG"/>
        </w:rPr>
        <w:t>ٌ</w:t>
      </w:r>
      <w:r w:rsidRPr="00282AC9">
        <w:rPr>
          <w:rFonts w:hint="cs"/>
          <w:sz w:val="27"/>
          <w:rtl/>
          <w:lang w:bidi="ar-EG"/>
        </w:rPr>
        <w:t xml:space="preserve"> مجر</w:t>
      </w:r>
      <w:r w:rsidR="000470CE" w:rsidRPr="00282AC9">
        <w:rPr>
          <w:rFonts w:hint="cs"/>
          <w:sz w:val="27"/>
          <w:rtl/>
          <w:lang w:bidi="ar-EG"/>
        </w:rPr>
        <w:t>ّ</w:t>
      </w:r>
      <w:r w:rsidRPr="00282AC9">
        <w:rPr>
          <w:rFonts w:hint="cs"/>
          <w:sz w:val="27"/>
          <w:rtl/>
          <w:lang w:bidi="ar-EG"/>
        </w:rPr>
        <w:t>دة تام</w:t>
      </w:r>
      <w:r w:rsidR="000470CE" w:rsidRPr="00282AC9">
        <w:rPr>
          <w:rFonts w:hint="cs"/>
          <w:sz w:val="27"/>
          <w:rtl/>
          <w:lang w:bidi="ar-EG"/>
        </w:rPr>
        <w:t>ّ</w:t>
      </w:r>
      <w:r w:rsidRPr="00282AC9">
        <w:rPr>
          <w:rFonts w:hint="cs"/>
          <w:sz w:val="27"/>
          <w:rtl/>
          <w:lang w:bidi="ar-EG"/>
        </w:rPr>
        <w:t>ة وناقصة بين الخالق وعالم الطبيعة على أساس قاعدة إمكان</w:t>
      </w:r>
      <w:r w:rsidR="000470CE" w:rsidRPr="00282AC9">
        <w:rPr>
          <w:rFonts w:hint="cs"/>
          <w:sz w:val="27"/>
          <w:rtl/>
          <w:lang w:bidi="ar-EG"/>
        </w:rPr>
        <w:t xml:space="preserve"> الأشرف، كما يؤمن بها الفلاسفة.</w:t>
      </w:r>
    </w:p>
    <w:p w:rsidR="00B43D80" w:rsidRPr="00282AC9" w:rsidRDefault="00DA6FB6" w:rsidP="00C57B75">
      <w:pPr>
        <w:rPr>
          <w:sz w:val="27"/>
          <w:rtl/>
          <w:lang w:bidi="ar-EG"/>
        </w:rPr>
      </w:pPr>
      <w:r w:rsidRPr="00282AC9">
        <w:rPr>
          <w:rFonts w:hint="cs"/>
          <w:b/>
          <w:bCs/>
          <w:sz w:val="27"/>
          <w:rtl/>
          <w:lang w:bidi="ar-EG"/>
        </w:rPr>
        <w:t>ثانياً</w:t>
      </w:r>
      <w:r w:rsidRPr="00282AC9">
        <w:rPr>
          <w:rFonts w:hint="cs"/>
          <w:sz w:val="27"/>
          <w:rtl/>
          <w:lang w:bidi="ar-EG"/>
        </w:rPr>
        <w:t>: النقطة الثانية ـ أيضاً ـ ممنوعة</w:t>
      </w:r>
      <w:r w:rsidR="00B43D80" w:rsidRPr="00282AC9">
        <w:rPr>
          <w:rFonts w:hint="cs"/>
          <w:sz w:val="27"/>
          <w:rtl/>
          <w:lang w:bidi="ar-EG"/>
        </w:rPr>
        <w:t>ٌ</w:t>
      </w:r>
      <w:r w:rsidRPr="00282AC9">
        <w:rPr>
          <w:rFonts w:hint="cs"/>
          <w:sz w:val="27"/>
          <w:rtl/>
          <w:lang w:bidi="ar-EG"/>
        </w:rPr>
        <w:t>؛ لأنّ الإيجاد فرع الوجود؛ إذ الفاعل وأثره هو الوجود</w:t>
      </w:r>
      <w:r w:rsidR="00B43D80" w:rsidRPr="00282AC9">
        <w:rPr>
          <w:rFonts w:hint="cs"/>
          <w:sz w:val="27"/>
          <w:rtl/>
          <w:lang w:bidi="ar-EG"/>
        </w:rPr>
        <w:t>.</w:t>
      </w:r>
      <w:r w:rsidRPr="00282AC9">
        <w:rPr>
          <w:rFonts w:hint="cs"/>
          <w:sz w:val="27"/>
          <w:rtl/>
          <w:lang w:bidi="ar-EG"/>
        </w:rPr>
        <w:t xml:space="preserve"> فبالنظر إلى أنّ أصل وجود الفاعل وجه</w:t>
      </w:r>
      <w:r w:rsidR="00B43D80" w:rsidRPr="00282AC9">
        <w:rPr>
          <w:rFonts w:hint="cs"/>
          <w:sz w:val="27"/>
          <w:rtl/>
          <w:lang w:bidi="ar-EG"/>
        </w:rPr>
        <w:t>ٌ</w:t>
      </w:r>
      <w:r w:rsidRPr="00282AC9">
        <w:rPr>
          <w:rFonts w:hint="cs"/>
          <w:sz w:val="27"/>
          <w:rtl/>
          <w:lang w:bidi="ar-EG"/>
        </w:rPr>
        <w:t xml:space="preserve"> للخالق تعالى، كما أنّ أصل وجود الأثر وجه</w:t>
      </w:r>
      <w:r w:rsidR="00B43D80" w:rsidRPr="00282AC9">
        <w:rPr>
          <w:rFonts w:hint="cs"/>
          <w:sz w:val="27"/>
          <w:rtl/>
          <w:lang w:bidi="ar-EG"/>
        </w:rPr>
        <w:t>ٌ</w:t>
      </w:r>
      <w:r w:rsidRPr="00282AC9">
        <w:rPr>
          <w:rFonts w:hint="cs"/>
          <w:sz w:val="27"/>
          <w:rtl/>
          <w:lang w:bidi="ar-EG"/>
        </w:rPr>
        <w:t xml:space="preserve"> له، فإيجاده إيجاد</w:t>
      </w:r>
      <w:r w:rsidR="00B43D80" w:rsidRPr="00282AC9">
        <w:rPr>
          <w:rFonts w:hint="cs"/>
          <w:sz w:val="27"/>
          <w:rtl/>
          <w:lang w:bidi="ar-EG"/>
        </w:rPr>
        <w:t>ُ</w:t>
      </w:r>
      <w:r w:rsidRPr="00282AC9">
        <w:rPr>
          <w:rFonts w:hint="cs"/>
          <w:sz w:val="27"/>
          <w:rtl/>
          <w:lang w:bidi="ar-EG"/>
        </w:rPr>
        <w:t xml:space="preserve"> الله، فيكون الله فاعلاً بمعنى ما منه الوجود</w:t>
      </w:r>
      <w:r w:rsidR="00B43D80" w:rsidRPr="00282AC9">
        <w:rPr>
          <w:rFonts w:hint="cs"/>
          <w:sz w:val="27"/>
          <w:rtl/>
          <w:lang w:bidi="ar-EG"/>
        </w:rPr>
        <w:t>.</w:t>
      </w:r>
      <w:r w:rsidRPr="00282AC9">
        <w:rPr>
          <w:rFonts w:hint="cs"/>
          <w:sz w:val="27"/>
          <w:rtl/>
          <w:lang w:bidi="ar-EG"/>
        </w:rPr>
        <w:t xml:space="preserve"> وبالنظر إلى أنّ وجود الفاعل محدود</w:t>
      </w:r>
      <w:r w:rsidR="00B43D80" w:rsidRPr="00282AC9">
        <w:rPr>
          <w:rFonts w:hint="cs"/>
          <w:sz w:val="27"/>
          <w:rtl/>
          <w:lang w:bidi="ar-EG"/>
        </w:rPr>
        <w:t>ٌ</w:t>
      </w:r>
      <w:r w:rsidRPr="00282AC9">
        <w:rPr>
          <w:rFonts w:hint="cs"/>
          <w:sz w:val="27"/>
          <w:rtl/>
          <w:lang w:bidi="ar-EG"/>
        </w:rPr>
        <w:t xml:space="preserve"> مرتبة</w:t>
      </w:r>
      <w:r w:rsidR="00B43D80" w:rsidRPr="00282AC9">
        <w:rPr>
          <w:rFonts w:hint="cs"/>
          <w:sz w:val="27"/>
          <w:rtl/>
          <w:lang w:bidi="ar-EG"/>
        </w:rPr>
        <w:t>ً</w:t>
      </w:r>
      <w:r w:rsidRPr="00282AC9">
        <w:rPr>
          <w:rFonts w:hint="cs"/>
          <w:sz w:val="27"/>
          <w:rtl/>
          <w:lang w:bidi="ar-EG"/>
        </w:rPr>
        <w:t>، وحدّ</w:t>
      </w:r>
      <w:r w:rsidR="00B43D80" w:rsidRPr="00282AC9">
        <w:rPr>
          <w:rFonts w:hint="cs"/>
          <w:sz w:val="27"/>
          <w:rtl/>
          <w:lang w:bidi="ar-EG"/>
        </w:rPr>
        <w:t>ُ</w:t>
      </w:r>
      <w:r w:rsidRPr="00282AC9">
        <w:rPr>
          <w:rFonts w:hint="cs"/>
          <w:sz w:val="27"/>
          <w:rtl/>
          <w:lang w:bidi="ar-EG"/>
        </w:rPr>
        <w:t>ه هو فقداني</w:t>
      </w:r>
      <w:r w:rsidR="00B43D80" w:rsidRPr="00282AC9">
        <w:rPr>
          <w:rFonts w:hint="cs"/>
          <w:sz w:val="27"/>
          <w:rtl/>
          <w:lang w:bidi="ar-EG"/>
        </w:rPr>
        <w:t>ّ</w:t>
      </w:r>
      <w:r w:rsidRPr="00282AC9">
        <w:rPr>
          <w:rFonts w:hint="cs"/>
          <w:sz w:val="27"/>
          <w:rtl/>
          <w:lang w:bidi="ar-EG"/>
        </w:rPr>
        <w:t>ته للمراتب الأخرى من الوجود، كما أنّ وجود الأثر محدود</w:t>
      </w:r>
      <w:r w:rsidR="00B43D80" w:rsidRPr="00282AC9">
        <w:rPr>
          <w:rFonts w:hint="cs"/>
          <w:sz w:val="27"/>
          <w:rtl/>
          <w:lang w:bidi="ar-EG"/>
        </w:rPr>
        <w:t>ٌ</w:t>
      </w:r>
      <w:r w:rsidRPr="00282AC9">
        <w:rPr>
          <w:rFonts w:hint="cs"/>
          <w:sz w:val="27"/>
          <w:rtl/>
          <w:lang w:bidi="ar-EG"/>
        </w:rPr>
        <w:t xml:space="preserve"> بحدّ</w:t>
      </w:r>
      <w:r w:rsidR="00B43D80" w:rsidRPr="00282AC9">
        <w:rPr>
          <w:rFonts w:hint="cs"/>
          <w:sz w:val="27"/>
          <w:rtl/>
          <w:lang w:bidi="ar-EG"/>
        </w:rPr>
        <w:t>ٍ،</w:t>
      </w:r>
      <w:r w:rsidRPr="00282AC9">
        <w:rPr>
          <w:rFonts w:hint="cs"/>
          <w:sz w:val="27"/>
          <w:rtl/>
          <w:lang w:bidi="ar-EG"/>
        </w:rPr>
        <w:t xml:space="preserve"> فالإيجاد من الفاعل المحدود يُضاف إليه، فيكون الفاعل فاعلاً بمعنى ما به الوجود</w:t>
      </w:r>
      <w:r w:rsidR="00B43D80" w:rsidRPr="00282AC9">
        <w:rPr>
          <w:rFonts w:hint="cs"/>
          <w:sz w:val="27"/>
          <w:rtl/>
          <w:lang w:bidi="ar-EG"/>
        </w:rPr>
        <w:t>.</w:t>
      </w:r>
      <w:r w:rsidRPr="00282AC9">
        <w:rPr>
          <w:rFonts w:hint="cs"/>
          <w:sz w:val="27"/>
          <w:rtl/>
          <w:lang w:bidi="ar-EG"/>
        </w:rPr>
        <w:t xml:space="preserve"> فالإيجاد من العبد باعتبار أصل وجود الأ</w:t>
      </w:r>
      <w:r w:rsidR="00B43D80" w:rsidRPr="00282AC9">
        <w:rPr>
          <w:rFonts w:hint="cs"/>
          <w:sz w:val="27"/>
          <w:rtl/>
          <w:lang w:bidi="ar-EG"/>
        </w:rPr>
        <w:t>َ</w:t>
      </w:r>
      <w:r w:rsidRPr="00282AC9">
        <w:rPr>
          <w:rFonts w:hint="cs"/>
          <w:sz w:val="27"/>
          <w:rtl/>
          <w:lang w:bidi="ar-EG"/>
        </w:rPr>
        <w:t>ث</w:t>
      </w:r>
      <w:r w:rsidR="00B43D80" w:rsidRPr="00282AC9">
        <w:rPr>
          <w:rFonts w:hint="cs"/>
          <w:sz w:val="27"/>
          <w:rtl/>
          <w:lang w:bidi="ar-EG"/>
        </w:rPr>
        <w:t>َ</w:t>
      </w:r>
      <w:r w:rsidRPr="00282AC9">
        <w:rPr>
          <w:rFonts w:hint="cs"/>
          <w:sz w:val="27"/>
          <w:rtl/>
          <w:lang w:bidi="ar-EG"/>
        </w:rPr>
        <w:t>ر إيجاد الله، وباعتبار محدودي</w:t>
      </w:r>
      <w:r w:rsidR="00B43D80" w:rsidRPr="00282AC9">
        <w:rPr>
          <w:rFonts w:hint="cs"/>
          <w:sz w:val="27"/>
          <w:rtl/>
          <w:lang w:bidi="ar-EG"/>
        </w:rPr>
        <w:t>ّ</w:t>
      </w:r>
      <w:r w:rsidRPr="00282AC9">
        <w:rPr>
          <w:rFonts w:hint="cs"/>
          <w:sz w:val="27"/>
          <w:rtl/>
          <w:lang w:bidi="ar-EG"/>
        </w:rPr>
        <w:t>ة وجود الأ</w:t>
      </w:r>
      <w:r w:rsidR="00B43D80" w:rsidRPr="00282AC9">
        <w:rPr>
          <w:rFonts w:hint="cs"/>
          <w:sz w:val="27"/>
          <w:rtl/>
          <w:lang w:bidi="ar-EG"/>
        </w:rPr>
        <w:t>َ</w:t>
      </w:r>
      <w:r w:rsidRPr="00282AC9">
        <w:rPr>
          <w:rFonts w:hint="cs"/>
          <w:sz w:val="27"/>
          <w:rtl/>
          <w:lang w:bidi="ar-EG"/>
        </w:rPr>
        <w:t>ث</w:t>
      </w:r>
      <w:r w:rsidR="00B43D80" w:rsidRPr="00282AC9">
        <w:rPr>
          <w:rFonts w:hint="cs"/>
          <w:sz w:val="27"/>
          <w:rtl/>
          <w:lang w:bidi="ar-EG"/>
        </w:rPr>
        <w:t>َ</w:t>
      </w:r>
      <w:r w:rsidRPr="00282AC9">
        <w:rPr>
          <w:rFonts w:hint="cs"/>
          <w:sz w:val="27"/>
          <w:rtl/>
          <w:lang w:bidi="ar-EG"/>
        </w:rPr>
        <w:t>ر إيجاد العبد</w:t>
      </w:r>
      <w:r w:rsidR="00B43D80" w:rsidRPr="00282AC9">
        <w:rPr>
          <w:rFonts w:hint="cs"/>
          <w:sz w:val="27"/>
          <w:rtl/>
          <w:lang w:bidi="ar-EG"/>
        </w:rPr>
        <w:t>.</w:t>
      </w:r>
      <w:r w:rsidRPr="00282AC9">
        <w:rPr>
          <w:rFonts w:hint="cs"/>
          <w:sz w:val="27"/>
          <w:rtl/>
          <w:lang w:bidi="ar-EG"/>
        </w:rPr>
        <w:t xml:space="preserve"> ولا يُعقل عزل الخالق م</w:t>
      </w:r>
      <w:r w:rsidR="00B43D80" w:rsidRPr="00282AC9">
        <w:rPr>
          <w:rFonts w:hint="cs"/>
          <w:sz w:val="27"/>
          <w:rtl/>
          <w:lang w:bidi="ar-EG"/>
        </w:rPr>
        <w:t>ن التأثير.</w:t>
      </w:r>
    </w:p>
    <w:p w:rsidR="00B43D80" w:rsidRPr="00282AC9" w:rsidRDefault="00DA6FB6" w:rsidP="00C57B75">
      <w:pPr>
        <w:rPr>
          <w:sz w:val="27"/>
          <w:rtl/>
          <w:lang w:bidi="ar-EG"/>
        </w:rPr>
      </w:pPr>
      <w:r w:rsidRPr="00282AC9">
        <w:rPr>
          <w:rFonts w:hint="cs"/>
          <w:b/>
          <w:bCs/>
          <w:sz w:val="27"/>
          <w:rtl/>
          <w:lang w:bidi="ar-EG"/>
        </w:rPr>
        <w:t>ثالثاً</w:t>
      </w:r>
      <w:r w:rsidR="00B43D80" w:rsidRPr="00282AC9">
        <w:rPr>
          <w:rFonts w:hint="cs"/>
          <w:sz w:val="27"/>
          <w:rtl/>
          <w:lang w:bidi="ar-EG"/>
        </w:rPr>
        <w:t>:</w:t>
      </w:r>
      <w:r w:rsidRPr="00282AC9">
        <w:rPr>
          <w:rFonts w:hint="cs"/>
          <w:sz w:val="27"/>
          <w:rtl/>
          <w:lang w:bidi="ar-EG"/>
        </w:rPr>
        <w:t xml:space="preserve"> </w:t>
      </w:r>
      <w:r w:rsidR="00B43D80" w:rsidRPr="00282AC9">
        <w:rPr>
          <w:rFonts w:hint="cs"/>
          <w:sz w:val="27"/>
          <w:rtl/>
          <w:lang w:bidi="ar-EG"/>
        </w:rPr>
        <w:t xml:space="preserve">إنه </w:t>
      </w:r>
      <w:r w:rsidRPr="00282AC9">
        <w:rPr>
          <w:rFonts w:hint="cs"/>
          <w:sz w:val="27"/>
          <w:rtl/>
          <w:lang w:bidi="ar-EG"/>
        </w:rPr>
        <w:t>يستلزم الشرك في الربوبية</w:t>
      </w:r>
      <w:r w:rsidR="00B43D80" w:rsidRPr="00282AC9">
        <w:rPr>
          <w:rFonts w:hint="cs"/>
          <w:sz w:val="27"/>
          <w:rtl/>
          <w:lang w:bidi="ar-EG"/>
        </w:rPr>
        <w:t>،</w:t>
      </w:r>
      <w:r w:rsidRPr="00282AC9">
        <w:rPr>
          <w:rFonts w:hint="cs"/>
          <w:sz w:val="27"/>
          <w:rtl/>
          <w:lang w:bidi="ar-EG"/>
        </w:rPr>
        <w:t xml:space="preserve"> والربوبية من شؤون الألوهي</w:t>
      </w:r>
      <w:r w:rsidR="00B43D80" w:rsidRPr="00282AC9">
        <w:rPr>
          <w:rFonts w:hint="cs"/>
          <w:sz w:val="27"/>
          <w:rtl/>
          <w:lang w:bidi="ar-EG"/>
        </w:rPr>
        <w:t>ّ</w:t>
      </w:r>
      <w:r w:rsidRPr="00282AC9">
        <w:rPr>
          <w:rFonts w:hint="cs"/>
          <w:sz w:val="27"/>
          <w:rtl/>
          <w:lang w:bidi="ar-EG"/>
        </w:rPr>
        <w:t xml:space="preserve">ة، فكيف يمكن الفصل بين كونه تعالى إلهاً </w:t>
      </w:r>
      <w:r w:rsidR="00C07FC0" w:rsidRPr="00282AC9">
        <w:rPr>
          <w:rFonts w:hint="cs"/>
          <w:sz w:val="27"/>
          <w:rtl/>
          <w:lang w:bidi="ar-EG"/>
        </w:rPr>
        <w:t xml:space="preserve">ـ بمعنى الخالق للكَوْن ـ </w:t>
      </w:r>
      <w:r w:rsidRPr="00282AC9">
        <w:rPr>
          <w:rFonts w:hint="cs"/>
          <w:sz w:val="27"/>
          <w:rtl/>
          <w:lang w:bidi="ar-EG"/>
        </w:rPr>
        <w:t>وليس برب</w:t>
      </w:r>
      <w:r w:rsidR="00B43D80" w:rsidRPr="00282AC9">
        <w:rPr>
          <w:rFonts w:hint="cs"/>
          <w:sz w:val="27"/>
          <w:rtl/>
          <w:lang w:bidi="ar-EG"/>
        </w:rPr>
        <w:t>ٍّ</w:t>
      </w:r>
      <w:r w:rsidR="00C07FC0" w:rsidRPr="00282AC9">
        <w:rPr>
          <w:rFonts w:hint="cs"/>
          <w:sz w:val="27"/>
          <w:rtl/>
          <w:lang w:bidi="ar-EG"/>
        </w:rPr>
        <w:t xml:space="preserve"> ـ بمعنى المدبِّر لنظام الكَوْن ـ</w:t>
      </w:r>
      <w:r w:rsidRPr="00282AC9">
        <w:rPr>
          <w:rFonts w:hint="cs"/>
          <w:sz w:val="27"/>
          <w:rtl/>
          <w:lang w:bidi="ar-EG"/>
        </w:rPr>
        <w:t>؟</w:t>
      </w:r>
      <w:r w:rsidR="00B43D80" w:rsidRPr="00282AC9">
        <w:rPr>
          <w:rFonts w:hint="cs"/>
          <w:sz w:val="27"/>
          <w:rtl/>
          <w:lang w:bidi="ar-EG"/>
        </w:rPr>
        <w:t>!</w:t>
      </w:r>
    </w:p>
    <w:p w:rsidR="00DA6FB6" w:rsidRPr="00282AC9" w:rsidRDefault="00DA6FB6" w:rsidP="00C57B75">
      <w:pPr>
        <w:rPr>
          <w:sz w:val="27"/>
          <w:rtl/>
          <w:lang w:bidi="ar-EG"/>
        </w:rPr>
      </w:pPr>
      <w:r w:rsidRPr="00282AC9">
        <w:rPr>
          <w:rFonts w:hint="cs"/>
          <w:sz w:val="27"/>
          <w:rtl/>
          <w:lang w:bidi="ar-EG"/>
        </w:rPr>
        <w:t>وإضافة</w:t>
      </w:r>
      <w:r w:rsidR="00B43D80" w:rsidRPr="00282AC9">
        <w:rPr>
          <w:rFonts w:hint="cs"/>
          <w:sz w:val="27"/>
          <w:rtl/>
          <w:lang w:bidi="ar-EG"/>
        </w:rPr>
        <w:t>ً</w:t>
      </w:r>
      <w:r w:rsidRPr="00282AC9">
        <w:rPr>
          <w:rFonts w:hint="cs"/>
          <w:sz w:val="27"/>
          <w:rtl/>
          <w:lang w:bidi="ar-EG"/>
        </w:rPr>
        <w:t xml:space="preserve"> إلى هذه الردود الثبوتية هناك ردّ</w:t>
      </w:r>
      <w:r w:rsidR="00B43D80" w:rsidRPr="00282AC9">
        <w:rPr>
          <w:rFonts w:hint="cs"/>
          <w:sz w:val="27"/>
          <w:rtl/>
          <w:lang w:bidi="ar-EG"/>
        </w:rPr>
        <w:t>ٌ</w:t>
      </w:r>
      <w:r w:rsidRPr="00282AC9">
        <w:rPr>
          <w:rFonts w:hint="cs"/>
          <w:sz w:val="27"/>
          <w:rtl/>
          <w:lang w:bidi="ar-EG"/>
        </w:rPr>
        <w:t xml:space="preserve"> إثباتي</w:t>
      </w:r>
      <w:r w:rsidR="00B43D80" w:rsidRPr="00282AC9">
        <w:rPr>
          <w:rFonts w:hint="cs"/>
          <w:sz w:val="27"/>
          <w:rtl/>
          <w:lang w:bidi="ar-EG"/>
        </w:rPr>
        <w:t>،</w:t>
      </w:r>
      <w:r w:rsidRPr="00282AC9">
        <w:rPr>
          <w:rFonts w:hint="cs"/>
          <w:sz w:val="27"/>
          <w:rtl/>
          <w:lang w:bidi="ar-EG"/>
        </w:rPr>
        <w:t xml:space="preserve"> بأنّه لا دليل على أنّ الله خلق هذه النفوس قادرة</w:t>
      </w:r>
      <w:r w:rsidR="00B43D80" w:rsidRPr="00282AC9">
        <w:rPr>
          <w:rFonts w:hint="cs"/>
          <w:sz w:val="27"/>
          <w:rtl/>
          <w:lang w:bidi="ar-EG"/>
        </w:rPr>
        <w:t>ً</w:t>
      </w:r>
      <w:r w:rsidRPr="00282AC9">
        <w:rPr>
          <w:rFonts w:hint="cs"/>
          <w:sz w:val="27"/>
          <w:rtl/>
          <w:lang w:bidi="ar-EG"/>
        </w:rPr>
        <w:t xml:space="preserve"> على إفاضة الوجود على المخلوقات</w:t>
      </w:r>
      <w:r w:rsidR="00B43D80" w:rsidRPr="00282AC9">
        <w:rPr>
          <w:rFonts w:hint="cs"/>
          <w:sz w:val="27"/>
          <w:rtl/>
          <w:lang w:bidi="ar-EG"/>
        </w:rPr>
        <w:t>.</w:t>
      </w:r>
      <w:r w:rsidRPr="00282AC9">
        <w:rPr>
          <w:rFonts w:hint="cs"/>
          <w:sz w:val="27"/>
          <w:rtl/>
          <w:lang w:bidi="ar-EG"/>
        </w:rPr>
        <w:t xml:space="preserve"> وهذه الوجوه ردّ</w:t>
      </w:r>
      <w:r w:rsidR="00B43D80" w:rsidRPr="00282AC9">
        <w:rPr>
          <w:rFonts w:hint="cs"/>
          <w:sz w:val="27"/>
          <w:rtl/>
          <w:lang w:bidi="ar-EG"/>
        </w:rPr>
        <w:t>ٌ</w:t>
      </w:r>
      <w:r w:rsidRPr="00282AC9">
        <w:rPr>
          <w:rFonts w:hint="cs"/>
          <w:sz w:val="27"/>
          <w:rtl/>
          <w:lang w:bidi="ar-EG"/>
        </w:rPr>
        <w:t xml:space="preserve"> على هذا التصوير.</w:t>
      </w:r>
    </w:p>
    <w:p w:rsidR="0064200B" w:rsidRPr="00282AC9" w:rsidRDefault="0064200B" w:rsidP="0064200B">
      <w:pPr>
        <w:spacing w:line="410" w:lineRule="exact"/>
        <w:rPr>
          <w:sz w:val="27"/>
          <w:rtl/>
        </w:rPr>
      </w:pPr>
    </w:p>
    <w:p w:rsidR="000D1249" w:rsidRPr="00282AC9" w:rsidRDefault="00936C45" w:rsidP="00C07FC0">
      <w:pPr>
        <w:pStyle w:val="31"/>
        <w:rPr>
          <w:color w:val="auto"/>
          <w:rtl/>
          <w:lang w:bidi="ar-EG"/>
        </w:rPr>
      </w:pPr>
      <w:r w:rsidRPr="00282AC9">
        <w:rPr>
          <w:rFonts w:hint="cs"/>
          <w:color w:val="auto"/>
          <w:rtl/>
          <w:lang w:bidi="ar-EG"/>
        </w:rPr>
        <w:t xml:space="preserve">النحو </w:t>
      </w:r>
      <w:r w:rsidR="00DA6FB6" w:rsidRPr="00282AC9">
        <w:rPr>
          <w:rFonts w:hint="cs"/>
          <w:color w:val="auto"/>
          <w:rtl/>
          <w:lang w:bidi="ar-EG"/>
        </w:rPr>
        <w:t xml:space="preserve">الثاني: </w:t>
      </w:r>
      <w:r w:rsidR="00C07FC0" w:rsidRPr="00282AC9">
        <w:rPr>
          <w:rFonts w:hint="cs"/>
          <w:color w:val="auto"/>
          <w:rtl/>
          <w:lang w:bidi="ar-EG"/>
        </w:rPr>
        <w:t>الوساطة بالفَيْض</w:t>
      </w:r>
      <w:r w:rsidR="00DA6FB6" w:rsidRPr="00282AC9">
        <w:rPr>
          <w:rFonts w:hint="cs"/>
          <w:color w:val="auto"/>
          <w:rtl/>
          <w:lang w:bidi="ar-EG"/>
        </w:rPr>
        <w:t xml:space="preserve"> </w:t>
      </w:r>
    </w:p>
    <w:p w:rsidR="00DA6FB6" w:rsidRPr="00282AC9" w:rsidRDefault="00DA6FB6" w:rsidP="0064200B">
      <w:pPr>
        <w:spacing w:line="420" w:lineRule="exact"/>
        <w:rPr>
          <w:sz w:val="27"/>
          <w:rtl/>
          <w:lang w:bidi="ar-EG"/>
        </w:rPr>
      </w:pPr>
      <w:r w:rsidRPr="00282AC9">
        <w:rPr>
          <w:rFonts w:hint="cs"/>
          <w:sz w:val="27"/>
          <w:rtl/>
          <w:lang w:bidi="ar-EG"/>
        </w:rPr>
        <w:t>وبيانه يتوق</w:t>
      </w:r>
      <w:r w:rsidR="006521D5" w:rsidRPr="00282AC9">
        <w:rPr>
          <w:rFonts w:hint="cs"/>
          <w:sz w:val="27"/>
          <w:rtl/>
          <w:lang w:bidi="ar-EG"/>
        </w:rPr>
        <w:t>َّ</w:t>
      </w:r>
      <w:r w:rsidRPr="00282AC9">
        <w:rPr>
          <w:rFonts w:hint="cs"/>
          <w:sz w:val="27"/>
          <w:rtl/>
          <w:lang w:bidi="ar-EG"/>
        </w:rPr>
        <w:t>ف على عدّة نقاط</w:t>
      </w:r>
      <w:r w:rsidR="006521D5" w:rsidRPr="00282AC9">
        <w:rPr>
          <w:rFonts w:hint="cs"/>
          <w:sz w:val="27"/>
          <w:rtl/>
          <w:lang w:bidi="ar-EG"/>
        </w:rPr>
        <w:t xml:space="preserve"> أيضاً</w:t>
      </w:r>
      <w:r w:rsidRPr="00282AC9">
        <w:rPr>
          <w:rFonts w:hint="cs"/>
          <w:sz w:val="27"/>
          <w:rtl/>
          <w:lang w:bidi="ar-EG"/>
        </w:rPr>
        <w:t xml:space="preserve">: </w:t>
      </w:r>
    </w:p>
    <w:p w:rsidR="00DA6FB6" w:rsidRPr="00282AC9" w:rsidRDefault="00DA6FB6" w:rsidP="00C57B75">
      <w:pPr>
        <w:rPr>
          <w:sz w:val="27"/>
          <w:rtl/>
          <w:lang w:bidi="ar-EG"/>
        </w:rPr>
      </w:pPr>
      <w:r w:rsidRPr="00282AC9">
        <w:rPr>
          <w:rFonts w:hint="cs"/>
          <w:b/>
          <w:bCs/>
          <w:sz w:val="27"/>
          <w:rtl/>
          <w:lang w:bidi="ar-EG"/>
        </w:rPr>
        <w:lastRenderedPageBreak/>
        <w:t>النقطة الأولى</w:t>
      </w:r>
      <w:r w:rsidRPr="00282AC9">
        <w:rPr>
          <w:rFonts w:hint="cs"/>
          <w:sz w:val="27"/>
          <w:rtl/>
          <w:lang w:bidi="ar-EG"/>
        </w:rPr>
        <w:t xml:space="preserve">: </w:t>
      </w:r>
      <w:r w:rsidR="006521D5" w:rsidRPr="00282AC9">
        <w:rPr>
          <w:rFonts w:hint="cs"/>
          <w:sz w:val="27"/>
          <w:rtl/>
          <w:lang w:bidi="ar-EG"/>
        </w:rPr>
        <w:t>ل</w:t>
      </w:r>
      <w:r w:rsidRPr="00282AC9">
        <w:rPr>
          <w:rFonts w:hint="cs"/>
          <w:sz w:val="27"/>
          <w:rtl/>
          <w:lang w:bidi="ar-EG"/>
        </w:rPr>
        <w:t xml:space="preserve">عوالم الوجود بنظر الفلاسفة مراتب: </w:t>
      </w:r>
    </w:p>
    <w:p w:rsidR="00DA6FB6" w:rsidRPr="00282AC9" w:rsidRDefault="00DA6FB6" w:rsidP="00C57B75">
      <w:pPr>
        <w:rPr>
          <w:sz w:val="27"/>
          <w:rtl/>
          <w:lang w:bidi="ar-EG"/>
        </w:rPr>
      </w:pPr>
      <w:r w:rsidRPr="00282AC9">
        <w:rPr>
          <w:rFonts w:hint="cs"/>
          <w:b/>
          <w:bCs/>
          <w:sz w:val="27"/>
          <w:rtl/>
          <w:lang w:bidi="ar-EG"/>
        </w:rPr>
        <w:t>الأولى</w:t>
      </w:r>
      <w:r w:rsidRPr="00282AC9">
        <w:rPr>
          <w:rFonts w:hint="cs"/>
          <w:sz w:val="27"/>
          <w:rtl/>
          <w:lang w:bidi="ar-EG"/>
        </w:rPr>
        <w:t>: عالم الجبروت</w:t>
      </w:r>
      <w:r w:rsidR="006521D5" w:rsidRPr="00282AC9">
        <w:rPr>
          <w:rFonts w:hint="cs"/>
          <w:sz w:val="27"/>
          <w:rtl/>
          <w:lang w:bidi="ar-EG"/>
        </w:rPr>
        <w:t>.</w:t>
      </w:r>
      <w:r w:rsidRPr="00282AC9">
        <w:rPr>
          <w:rFonts w:hint="cs"/>
          <w:sz w:val="27"/>
          <w:rtl/>
          <w:lang w:bidi="ar-EG"/>
        </w:rPr>
        <w:t xml:space="preserve"> وهو عالم العقول المجر</w:t>
      </w:r>
      <w:r w:rsidR="006521D5" w:rsidRPr="00282AC9">
        <w:rPr>
          <w:rFonts w:hint="cs"/>
          <w:sz w:val="27"/>
          <w:rtl/>
          <w:lang w:bidi="ar-EG"/>
        </w:rPr>
        <w:t>َّ</w:t>
      </w:r>
      <w:r w:rsidRPr="00282AC9">
        <w:rPr>
          <w:rFonts w:hint="cs"/>
          <w:sz w:val="27"/>
          <w:rtl/>
          <w:lang w:bidi="ar-EG"/>
        </w:rPr>
        <w:t>دة الكل</w:t>
      </w:r>
      <w:r w:rsidR="006521D5" w:rsidRPr="00282AC9">
        <w:rPr>
          <w:rFonts w:hint="cs"/>
          <w:sz w:val="27"/>
          <w:rtl/>
          <w:lang w:bidi="ar-EG"/>
        </w:rPr>
        <w:t>ِّ</w:t>
      </w:r>
      <w:r w:rsidRPr="00282AC9">
        <w:rPr>
          <w:rFonts w:hint="cs"/>
          <w:sz w:val="27"/>
          <w:rtl/>
          <w:lang w:bidi="ar-EG"/>
        </w:rPr>
        <w:t>يّة</w:t>
      </w:r>
      <w:r w:rsidR="006521D5" w:rsidRPr="00282AC9">
        <w:rPr>
          <w:rFonts w:hint="cs"/>
          <w:sz w:val="27"/>
          <w:rtl/>
          <w:lang w:bidi="ar-EG"/>
        </w:rPr>
        <w:t>.</w:t>
      </w:r>
      <w:r w:rsidRPr="00282AC9">
        <w:rPr>
          <w:rFonts w:hint="cs"/>
          <w:sz w:val="27"/>
          <w:rtl/>
          <w:lang w:bidi="ar-EG"/>
        </w:rPr>
        <w:t xml:space="preserve"> والكل</w:t>
      </w:r>
      <w:r w:rsidR="006521D5" w:rsidRPr="00282AC9">
        <w:rPr>
          <w:rFonts w:hint="cs"/>
          <w:sz w:val="27"/>
          <w:rtl/>
          <w:lang w:bidi="ar-EG"/>
        </w:rPr>
        <w:t>ِّ</w:t>
      </w:r>
      <w:r w:rsidRPr="00282AC9">
        <w:rPr>
          <w:rFonts w:hint="cs"/>
          <w:sz w:val="27"/>
          <w:rtl/>
          <w:lang w:bidi="ar-EG"/>
        </w:rPr>
        <w:t>يّة هنا ليست بالمعنى المنطقي</w:t>
      </w:r>
      <w:r w:rsidR="006521D5" w:rsidRPr="00282AC9">
        <w:rPr>
          <w:rFonts w:hint="cs"/>
          <w:sz w:val="27"/>
          <w:rtl/>
          <w:lang w:bidi="ar-EG"/>
        </w:rPr>
        <w:t>،</w:t>
      </w:r>
      <w:r w:rsidRPr="00282AC9">
        <w:rPr>
          <w:rFonts w:hint="cs"/>
          <w:sz w:val="27"/>
          <w:rtl/>
          <w:lang w:bidi="ar-EG"/>
        </w:rPr>
        <w:t xml:space="preserve"> الذي هو وصف</w:t>
      </w:r>
      <w:r w:rsidR="006521D5" w:rsidRPr="00282AC9">
        <w:rPr>
          <w:rFonts w:hint="cs"/>
          <w:sz w:val="27"/>
          <w:rtl/>
          <w:lang w:bidi="ar-EG"/>
        </w:rPr>
        <w:t>ٌ</w:t>
      </w:r>
      <w:r w:rsidRPr="00282AC9">
        <w:rPr>
          <w:rFonts w:hint="cs"/>
          <w:sz w:val="27"/>
          <w:rtl/>
          <w:lang w:bidi="ar-EG"/>
        </w:rPr>
        <w:t xml:space="preserve"> للمفهوم، بل بالمعنى العرفاني، وهو سعة الوجود</w:t>
      </w:r>
      <w:r w:rsidR="006521D5" w:rsidRPr="00282AC9">
        <w:rPr>
          <w:rFonts w:hint="cs"/>
          <w:sz w:val="27"/>
          <w:rtl/>
          <w:lang w:bidi="ar-EG"/>
        </w:rPr>
        <w:t>،</w:t>
      </w:r>
      <w:r w:rsidRPr="00282AC9">
        <w:rPr>
          <w:rFonts w:hint="cs"/>
          <w:sz w:val="27"/>
          <w:rtl/>
          <w:lang w:bidi="ar-EG"/>
        </w:rPr>
        <w:t xml:space="preserve"> بحيث يكون محيطاً بالإحاطة القيّوميّة لما دونه من العوالم الدنيا</w:t>
      </w:r>
      <w:r w:rsidR="006521D5" w:rsidRPr="00282AC9">
        <w:rPr>
          <w:rFonts w:hint="cs"/>
          <w:sz w:val="27"/>
          <w:rtl/>
          <w:lang w:bidi="ar-EG"/>
        </w:rPr>
        <w:t>.</w:t>
      </w:r>
      <w:r w:rsidRPr="00282AC9">
        <w:rPr>
          <w:rFonts w:hint="cs"/>
          <w:sz w:val="27"/>
          <w:rtl/>
          <w:lang w:bidi="ar-EG"/>
        </w:rPr>
        <w:t xml:space="preserve"> ويسم</w:t>
      </w:r>
      <w:r w:rsidR="006521D5" w:rsidRPr="00282AC9">
        <w:rPr>
          <w:rFonts w:hint="cs"/>
          <w:sz w:val="27"/>
          <w:rtl/>
          <w:lang w:bidi="ar-EG"/>
        </w:rPr>
        <w:t>ِّ</w:t>
      </w:r>
      <w:r w:rsidRPr="00282AC9">
        <w:rPr>
          <w:rFonts w:hint="cs"/>
          <w:sz w:val="27"/>
          <w:rtl/>
          <w:lang w:bidi="ar-EG"/>
        </w:rPr>
        <w:t>يه أهل الشرع بـ (الملائكة المقر</w:t>
      </w:r>
      <w:r w:rsidR="006521D5" w:rsidRPr="00282AC9">
        <w:rPr>
          <w:rFonts w:hint="cs"/>
          <w:sz w:val="27"/>
          <w:rtl/>
          <w:lang w:bidi="ar-EG"/>
        </w:rPr>
        <w:t>َّ</w:t>
      </w:r>
      <w:r w:rsidRPr="00282AC9">
        <w:rPr>
          <w:rFonts w:hint="cs"/>
          <w:sz w:val="27"/>
          <w:rtl/>
          <w:lang w:bidi="ar-EG"/>
        </w:rPr>
        <w:t>بين)، و(الملائكة الكرّوبي</w:t>
      </w:r>
      <w:r w:rsidR="006521D5" w:rsidRPr="00282AC9">
        <w:rPr>
          <w:rFonts w:hint="cs"/>
          <w:sz w:val="27"/>
          <w:rtl/>
          <w:lang w:bidi="ar-EG"/>
        </w:rPr>
        <w:t>ّ</w:t>
      </w:r>
      <w:r w:rsidRPr="00282AC9">
        <w:rPr>
          <w:rFonts w:hint="cs"/>
          <w:sz w:val="27"/>
          <w:rtl/>
          <w:lang w:bidi="ar-EG"/>
        </w:rPr>
        <w:t xml:space="preserve">ين). </w:t>
      </w:r>
    </w:p>
    <w:p w:rsidR="00DA6FB6" w:rsidRPr="00282AC9" w:rsidRDefault="00DA6FB6" w:rsidP="00C57B75">
      <w:pPr>
        <w:rPr>
          <w:sz w:val="27"/>
          <w:rtl/>
          <w:lang w:bidi="ar-EG"/>
        </w:rPr>
      </w:pPr>
      <w:r w:rsidRPr="00282AC9">
        <w:rPr>
          <w:rFonts w:hint="cs"/>
          <w:b/>
          <w:bCs/>
          <w:sz w:val="27"/>
          <w:rtl/>
          <w:lang w:bidi="ar-EG"/>
        </w:rPr>
        <w:t>الثانية</w:t>
      </w:r>
      <w:r w:rsidRPr="00282AC9">
        <w:rPr>
          <w:rFonts w:hint="cs"/>
          <w:sz w:val="27"/>
          <w:rtl/>
          <w:lang w:bidi="ar-EG"/>
        </w:rPr>
        <w:t>: عالم الملكوت</w:t>
      </w:r>
      <w:r w:rsidR="006521D5" w:rsidRPr="00282AC9">
        <w:rPr>
          <w:rFonts w:hint="cs"/>
          <w:sz w:val="27"/>
          <w:rtl/>
          <w:lang w:bidi="ar-EG"/>
        </w:rPr>
        <w:t>.</w:t>
      </w:r>
      <w:r w:rsidRPr="00282AC9">
        <w:rPr>
          <w:rFonts w:hint="cs"/>
          <w:sz w:val="27"/>
          <w:rtl/>
          <w:lang w:bidi="ar-EG"/>
        </w:rPr>
        <w:t xml:space="preserve"> وهو عالم المثال</w:t>
      </w:r>
      <w:r w:rsidR="006521D5" w:rsidRPr="00282AC9">
        <w:rPr>
          <w:rFonts w:hint="cs"/>
          <w:sz w:val="27"/>
          <w:rtl/>
          <w:lang w:bidi="ar-EG"/>
        </w:rPr>
        <w:t>.</w:t>
      </w:r>
      <w:r w:rsidRPr="00282AC9">
        <w:rPr>
          <w:rFonts w:hint="cs"/>
          <w:sz w:val="27"/>
          <w:rtl/>
          <w:lang w:bidi="ar-EG"/>
        </w:rPr>
        <w:t xml:space="preserve"> ويسم</w:t>
      </w:r>
      <w:r w:rsidR="006521D5" w:rsidRPr="00282AC9">
        <w:rPr>
          <w:rFonts w:hint="cs"/>
          <w:sz w:val="27"/>
          <w:rtl/>
          <w:lang w:bidi="ar-EG"/>
        </w:rPr>
        <w:t>ّ</w:t>
      </w:r>
      <w:r w:rsidRPr="00282AC9">
        <w:rPr>
          <w:rFonts w:hint="cs"/>
          <w:sz w:val="27"/>
          <w:rtl/>
          <w:lang w:bidi="ar-EG"/>
        </w:rPr>
        <w:t>يه أهل الشرع بـ (الملائكة البرزخي</w:t>
      </w:r>
      <w:r w:rsidR="006521D5" w:rsidRPr="00282AC9">
        <w:rPr>
          <w:rFonts w:hint="cs"/>
          <w:sz w:val="27"/>
          <w:rtl/>
          <w:lang w:bidi="ar-EG"/>
        </w:rPr>
        <w:t>ّ</w:t>
      </w:r>
      <w:r w:rsidRPr="00282AC9">
        <w:rPr>
          <w:rFonts w:hint="cs"/>
          <w:sz w:val="27"/>
          <w:rtl/>
          <w:lang w:bidi="ar-EG"/>
        </w:rPr>
        <w:t>ين)، و(المدبّ</w:t>
      </w:r>
      <w:r w:rsidR="006521D5" w:rsidRPr="00282AC9">
        <w:rPr>
          <w:rFonts w:hint="cs"/>
          <w:sz w:val="27"/>
          <w:rtl/>
          <w:lang w:bidi="ar-EG"/>
        </w:rPr>
        <w:t>ِ</w:t>
      </w:r>
      <w:r w:rsidRPr="00282AC9">
        <w:rPr>
          <w:rFonts w:hint="cs"/>
          <w:sz w:val="27"/>
          <w:rtl/>
          <w:lang w:bidi="ar-EG"/>
        </w:rPr>
        <w:t>رات أمراً).</w:t>
      </w:r>
    </w:p>
    <w:p w:rsidR="00DA6FB6" w:rsidRPr="00282AC9" w:rsidRDefault="00DA6FB6" w:rsidP="00C57B75">
      <w:pPr>
        <w:rPr>
          <w:sz w:val="27"/>
          <w:rtl/>
          <w:lang w:bidi="ar-EG"/>
        </w:rPr>
      </w:pPr>
      <w:r w:rsidRPr="00282AC9">
        <w:rPr>
          <w:rFonts w:hint="cs"/>
          <w:b/>
          <w:bCs/>
          <w:sz w:val="27"/>
          <w:rtl/>
          <w:lang w:bidi="ar-EG"/>
        </w:rPr>
        <w:t>الثالثة</w:t>
      </w:r>
      <w:r w:rsidRPr="00282AC9">
        <w:rPr>
          <w:rFonts w:hint="cs"/>
          <w:sz w:val="27"/>
          <w:rtl/>
          <w:lang w:bidi="ar-EG"/>
        </w:rPr>
        <w:t>: عالم الناسوت</w:t>
      </w:r>
      <w:r w:rsidR="006521D5" w:rsidRPr="00282AC9">
        <w:rPr>
          <w:rFonts w:hint="cs"/>
          <w:sz w:val="27"/>
          <w:rtl/>
          <w:lang w:bidi="ar-EG"/>
        </w:rPr>
        <w:t>.</w:t>
      </w:r>
      <w:r w:rsidRPr="00282AC9">
        <w:rPr>
          <w:rFonts w:hint="cs"/>
          <w:sz w:val="27"/>
          <w:rtl/>
          <w:lang w:bidi="ar-EG"/>
        </w:rPr>
        <w:t xml:space="preserve"> وهو عالم الطبيعة</w:t>
      </w:r>
      <w:r w:rsidR="006521D5" w:rsidRPr="00282AC9">
        <w:rPr>
          <w:rFonts w:hint="cs"/>
          <w:sz w:val="27"/>
          <w:rtl/>
          <w:lang w:bidi="ar-EG"/>
        </w:rPr>
        <w:t>.</w:t>
      </w:r>
      <w:r w:rsidRPr="00282AC9">
        <w:rPr>
          <w:rFonts w:hint="cs"/>
          <w:sz w:val="27"/>
          <w:rtl/>
          <w:lang w:bidi="ar-EG"/>
        </w:rPr>
        <w:t xml:space="preserve"> ويسمّ</w:t>
      </w:r>
      <w:r w:rsidR="006521D5" w:rsidRPr="00282AC9">
        <w:rPr>
          <w:rFonts w:hint="cs"/>
          <w:sz w:val="27"/>
          <w:rtl/>
          <w:lang w:bidi="ar-EG"/>
        </w:rPr>
        <w:t>ِ</w:t>
      </w:r>
      <w:r w:rsidRPr="00282AC9">
        <w:rPr>
          <w:rFonts w:hint="cs"/>
          <w:sz w:val="27"/>
          <w:rtl/>
          <w:lang w:bidi="ar-EG"/>
        </w:rPr>
        <w:t>يه أهل الشرع ب</w:t>
      </w:r>
      <w:r w:rsidR="006521D5" w:rsidRPr="00282AC9">
        <w:rPr>
          <w:rFonts w:hint="cs"/>
          <w:sz w:val="27"/>
          <w:rtl/>
          <w:lang w:bidi="ar-EG"/>
        </w:rPr>
        <w:t>ـ (</w:t>
      </w:r>
      <w:r w:rsidRPr="00282AC9">
        <w:rPr>
          <w:rFonts w:hint="cs"/>
          <w:sz w:val="27"/>
          <w:rtl/>
          <w:lang w:bidi="ar-EG"/>
        </w:rPr>
        <w:t>عالم الشهادة</w:t>
      </w:r>
      <w:r w:rsidR="006521D5" w:rsidRPr="00282AC9">
        <w:rPr>
          <w:rFonts w:hint="cs"/>
          <w:sz w:val="27"/>
          <w:rtl/>
          <w:lang w:bidi="ar-EG"/>
        </w:rPr>
        <w:t>).</w:t>
      </w:r>
      <w:r w:rsidRPr="00282AC9">
        <w:rPr>
          <w:rFonts w:hint="cs"/>
          <w:sz w:val="27"/>
          <w:rtl/>
          <w:lang w:bidi="ar-EG"/>
        </w:rPr>
        <w:t xml:space="preserve"> والموجودات في هذا العالم مراتب متعد</w:t>
      </w:r>
      <w:r w:rsidR="006521D5" w:rsidRPr="00282AC9">
        <w:rPr>
          <w:rFonts w:hint="cs"/>
          <w:sz w:val="27"/>
          <w:rtl/>
          <w:lang w:bidi="ar-EG"/>
        </w:rPr>
        <w:t>ِّ</w:t>
      </w:r>
      <w:r w:rsidRPr="00282AC9">
        <w:rPr>
          <w:rFonts w:hint="cs"/>
          <w:sz w:val="27"/>
          <w:rtl/>
          <w:lang w:bidi="ar-EG"/>
        </w:rPr>
        <w:t>دة، فتبدأ من الهيولى الأولى، ثم</w:t>
      </w:r>
      <w:r w:rsidR="006521D5" w:rsidRPr="00282AC9">
        <w:rPr>
          <w:rFonts w:hint="cs"/>
          <w:sz w:val="27"/>
          <w:rtl/>
          <w:lang w:bidi="ar-EG"/>
        </w:rPr>
        <w:t>ّ</w:t>
      </w:r>
      <w:r w:rsidRPr="00282AC9">
        <w:rPr>
          <w:rFonts w:hint="cs"/>
          <w:sz w:val="27"/>
          <w:rtl/>
          <w:lang w:bidi="ar-EG"/>
        </w:rPr>
        <w:t xml:space="preserve"> الصورة الجسمية، ثم</w:t>
      </w:r>
      <w:r w:rsidR="006521D5" w:rsidRPr="00282AC9">
        <w:rPr>
          <w:rFonts w:hint="cs"/>
          <w:sz w:val="27"/>
          <w:rtl/>
          <w:lang w:bidi="ar-EG"/>
        </w:rPr>
        <w:t>ّ</w:t>
      </w:r>
      <w:r w:rsidRPr="00282AC9">
        <w:rPr>
          <w:rFonts w:hint="cs"/>
          <w:sz w:val="27"/>
          <w:rtl/>
          <w:lang w:bidi="ar-EG"/>
        </w:rPr>
        <w:t xml:space="preserve"> الصورة النوعية للعناصر البسيطة، ثم</w:t>
      </w:r>
      <w:r w:rsidR="006521D5" w:rsidRPr="00282AC9">
        <w:rPr>
          <w:rFonts w:hint="cs"/>
          <w:sz w:val="27"/>
          <w:rtl/>
          <w:lang w:bidi="ar-EG"/>
        </w:rPr>
        <w:t>ّ</w:t>
      </w:r>
      <w:r w:rsidRPr="00282AC9">
        <w:rPr>
          <w:rFonts w:hint="cs"/>
          <w:sz w:val="27"/>
          <w:rtl/>
          <w:lang w:bidi="ar-EG"/>
        </w:rPr>
        <w:t xml:space="preserve"> الصورة النوعية للمواليد الثلاثة </w:t>
      </w:r>
      <w:r w:rsidRPr="00282AC9">
        <w:rPr>
          <w:sz w:val="27"/>
          <w:rtl/>
          <w:lang w:bidi="ar-EG"/>
        </w:rPr>
        <w:t>ـ</w:t>
      </w:r>
      <w:r w:rsidRPr="00282AC9">
        <w:rPr>
          <w:rFonts w:hint="cs"/>
          <w:sz w:val="27"/>
          <w:rtl/>
          <w:lang w:bidi="ar-EG"/>
        </w:rPr>
        <w:t xml:space="preserve"> وهي</w:t>
      </w:r>
      <w:r w:rsidR="006521D5" w:rsidRPr="00282AC9">
        <w:rPr>
          <w:rFonts w:hint="cs"/>
          <w:sz w:val="27"/>
          <w:rtl/>
          <w:lang w:bidi="ar-EG"/>
        </w:rPr>
        <w:t>:</w:t>
      </w:r>
      <w:r w:rsidRPr="00282AC9">
        <w:rPr>
          <w:rFonts w:hint="cs"/>
          <w:sz w:val="27"/>
          <w:rtl/>
          <w:lang w:bidi="ar-EG"/>
        </w:rPr>
        <w:t xml:space="preserve"> المعادن والنباتات والحيوانات ـ.</w:t>
      </w:r>
    </w:p>
    <w:p w:rsidR="00DA6FB6" w:rsidRPr="00282AC9" w:rsidRDefault="00DA6FB6" w:rsidP="00C57B75">
      <w:pPr>
        <w:rPr>
          <w:sz w:val="27"/>
          <w:rtl/>
          <w:lang w:bidi="ar-EG"/>
        </w:rPr>
      </w:pPr>
      <w:r w:rsidRPr="00282AC9">
        <w:rPr>
          <w:rFonts w:hint="cs"/>
          <w:b/>
          <w:bCs/>
          <w:sz w:val="27"/>
          <w:rtl/>
          <w:lang w:bidi="ar-EG"/>
        </w:rPr>
        <w:t>النقطة الثانية</w:t>
      </w:r>
      <w:r w:rsidRPr="00282AC9">
        <w:rPr>
          <w:rFonts w:hint="cs"/>
          <w:sz w:val="27"/>
          <w:rtl/>
          <w:lang w:bidi="ar-EG"/>
        </w:rPr>
        <w:t xml:space="preserve">: </w:t>
      </w:r>
      <w:r w:rsidR="006521D5" w:rsidRPr="00282AC9">
        <w:rPr>
          <w:rFonts w:hint="cs"/>
          <w:sz w:val="27"/>
          <w:rtl/>
          <w:lang w:bidi="ar-EG"/>
        </w:rPr>
        <w:t>إ</w:t>
      </w:r>
      <w:r w:rsidRPr="00282AC9">
        <w:rPr>
          <w:rFonts w:hint="cs"/>
          <w:sz w:val="27"/>
          <w:rtl/>
          <w:lang w:bidi="ar-EG"/>
        </w:rPr>
        <w:t xml:space="preserve">نّ </w:t>
      </w:r>
      <w:r w:rsidR="006521D5" w:rsidRPr="00282AC9">
        <w:rPr>
          <w:rFonts w:hint="cs"/>
          <w:sz w:val="27"/>
          <w:rtl/>
          <w:lang w:bidi="ar-EG"/>
        </w:rPr>
        <w:t>ل</w:t>
      </w:r>
      <w:r w:rsidRPr="00282AC9">
        <w:rPr>
          <w:rFonts w:hint="cs"/>
          <w:sz w:val="27"/>
          <w:rtl/>
          <w:lang w:bidi="ar-EG"/>
        </w:rPr>
        <w:t>لنفس الإنسانية بنظر العرفاء مراتب سبعة</w:t>
      </w:r>
      <w:r w:rsidR="006521D5" w:rsidRPr="00282AC9">
        <w:rPr>
          <w:rFonts w:hint="cs"/>
          <w:sz w:val="27"/>
          <w:rtl/>
          <w:lang w:bidi="ar-EG"/>
        </w:rPr>
        <w:t>.</w:t>
      </w:r>
      <w:r w:rsidRPr="00282AC9">
        <w:rPr>
          <w:rFonts w:hint="cs"/>
          <w:sz w:val="27"/>
          <w:rtl/>
          <w:lang w:bidi="ar-EG"/>
        </w:rPr>
        <w:t xml:space="preserve"> ونحن نقتصر على بيان خمس</w:t>
      </w:r>
      <w:r w:rsidR="006521D5" w:rsidRPr="00282AC9">
        <w:rPr>
          <w:rFonts w:hint="cs"/>
          <w:sz w:val="27"/>
          <w:rtl/>
          <w:lang w:bidi="ar-EG"/>
        </w:rPr>
        <w:t>ٍ</w:t>
      </w:r>
      <w:r w:rsidRPr="00282AC9">
        <w:rPr>
          <w:rFonts w:hint="cs"/>
          <w:sz w:val="27"/>
          <w:rtl/>
          <w:lang w:bidi="ar-EG"/>
        </w:rPr>
        <w:t xml:space="preserve"> من تلك المراتب:</w:t>
      </w:r>
    </w:p>
    <w:p w:rsidR="00DA6FB6" w:rsidRPr="00282AC9" w:rsidRDefault="00DA6FB6" w:rsidP="00C57B75">
      <w:pPr>
        <w:rPr>
          <w:sz w:val="27"/>
          <w:rtl/>
          <w:lang w:bidi="ar-EG"/>
        </w:rPr>
      </w:pPr>
      <w:r w:rsidRPr="00282AC9">
        <w:rPr>
          <w:rFonts w:hint="cs"/>
          <w:b/>
          <w:bCs/>
          <w:sz w:val="27"/>
          <w:rtl/>
          <w:lang w:bidi="ar-EG"/>
        </w:rPr>
        <w:t>الأولى</w:t>
      </w:r>
      <w:r w:rsidRPr="00282AC9">
        <w:rPr>
          <w:rFonts w:hint="cs"/>
          <w:sz w:val="27"/>
          <w:rtl/>
          <w:lang w:bidi="ar-EG"/>
        </w:rPr>
        <w:t>: الطبع</w:t>
      </w:r>
      <w:r w:rsidR="001816E6" w:rsidRPr="00282AC9">
        <w:rPr>
          <w:rFonts w:hint="cs"/>
          <w:sz w:val="27"/>
          <w:rtl/>
          <w:lang w:bidi="ar-EG"/>
        </w:rPr>
        <w:t>.</w:t>
      </w:r>
      <w:r w:rsidRPr="00282AC9">
        <w:rPr>
          <w:rFonts w:hint="cs"/>
          <w:sz w:val="27"/>
          <w:rtl/>
          <w:lang w:bidi="ar-EG"/>
        </w:rPr>
        <w:t xml:space="preserve"> والنفس الإنسانية من حيث تدبيرها للبدن تُسمّ</w:t>
      </w:r>
      <w:r w:rsidR="001816E6" w:rsidRPr="00282AC9">
        <w:rPr>
          <w:rFonts w:hint="cs"/>
          <w:sz w:val="27"/>
          <w:rtl/>
          <w:lang w:bidi="ar-EG"/>
        </w:rPr>
        <w:t>َ</w:t>
      </w:r>
      <w:r w:rsidRPr="00282AC9">
        <w:rPr>
          <w:rFonts w:hint="cs"/>
          <w:sz w:val="27"/>
          <w:rtl/>
          <w:lang w:bidi="ar-EG"/>
        </w:rPr>
        <w:t>ى بالطبع.</w:t>
      </w:r>
    </w:p>
    <w:p w:rsidR="00DA6FB6" w:rsidRPr="00282AC9" w:rsidRDefault="00DA6FB6" w:rsidP="00C57B75">
      <w:pPr>
        <w:rPr>
          <w:sz w:val="27"/>
          <w:rtl/>
          <w:lang w:bidi="ar-EG"/>
        </w:rPr>
      </w:pPr>
      <w:r w:rsidRPr="00282AC9">
        <w:rPr>
          <w:rFonts w:hint="cs"/>
          <w:b/>
          <w:bCs/>
          <w:sz w:val="27"/>
          <w:rtl/>
          <w:lang w:bidi="ar-EG"/>
        </w:rPr>
        <w:t>الثانية</w:t>
      </w:r>
      <w:r w:rsidRPr="00282AC9">
        <w:rPr>
          <w:rFonts w:hint="cs"/>
          <w:sz w:val="27"/>
          <w:rtl/>
          <w:lang w:bidi="ar-EG"/>
        </w:rPr>
        <w:t>: النفس</w:t>
      </w:r>
      <w:r w:rsidR="001816E6" w:rsidRPr="00282AC9">
        <w:rPr>
          <w:rFonts w:hint="cs"/>
          <w:sz w:val="27"/>
          <w:rtl/>
          <w:lang w:bidi="ar-EG"/>
        </w:rPr>
        <w:t>.</w:t>
      </w:r>
      <w:r w:rsidRPr="00282AC9">
        <w:rPr>
          <w:rFonts w:hint="cs"/>
          <w:sz w:val="27"/>
          <w:rtl/>
          <w:lang w:bidi="ar-EG"/>
        </w:rPr>
        <w:t xml:space="preserve"> والنفس الإنسانية من حيث كونها نفساً حيوانية تُسمّ</w:t>
      </w:r>
      <w:r w:rsidR="001816E6" w:rsidRPr="00282AC9">
        <w:rPr>
          <w:rFonts w:hint="cs"/>
          <w:sz w:val="27"/>
          <w:rtl/>
          <w:lang w:bidi="ar-EG"/>
        </w:rPr>
        <w:t>َ</w:t>
      </w:r>
      <w:r w:rsidRPr="00282AC9">
        <w:rPr>
          <w:rFonts w:hint="cs"/>
          <w:sz w:val="27"/>
          <w:rtl/>
          <w:lang w:bidi="ar-EG"/>
        </w:rPr>
        <w:t>ى بالنفس.</w:t>
      </w:r>
    </w:p>
    <w:p w:rsidR="00DA6FB6" w:rsidRPr="00282AC9" w:rsidRDefault="00DA6FB6" w:rsidP="00C57B75">
      <w:pPr>
        <w:rPr>
          <w:sz w:val="27"/>
          <w:rtl/>
          <w:lang w:bidi="ar-EG"/>
        </w:rPr>
      </w:pPr>
      <w:r w:rsidRPr="00282AC9">
        <w:rPr>
          <w:rFonts w:hint="cs"/>
          <w:b/>
          <w:bCs/>
          <w:sz w:val="27"/>
          <w:rtl/>
          <w:lang w:bidi="ar-EG"/>
        </w:rPr>
        <w:t>الثالثة</w:t>
      </w:r>
      <w:r w:rsidRPr="00282AC9">
        <w:rPr>
          <w:rFonts w:hint="cs"/>
          <w:sz w:val="27"/>
          <w:rtl/>
          <w:lang w:bidi="ar-EG"/>
        </w:rPr>
        <w:t>: القلب</w:t>
      </w:r>
      <w:r w:rsidR="001816E6" w:rsidRPr="00282AC9">
        <w:rPr>
          <w:rFonts w:hint="cs"/>
          <w:sz w:val="27"/>
          <w:rtl/>
          <w:lang w:bidi="ar-EG"/>
        </w:rPr>
        <w:t>.</w:t>
      </w:r>
      <w:r w:rsidRPr="00282AC9">
        <w:rPr>
          <w:rFonts w:hint="cs"/>
          <w:sz w:val="27"/>
          <w:rtl/>
          <w:lang w:bidi="ar-EG"/>
        </w:rPr>
        <w:t xml:space="preserve"> </w:t>
      </w:r>
      <w:r w:rsidR="001816E6" w:rsidRPr="00282AC9">
        <w:rPr>
          <w:rFonts w:hint="cs"/>
          <w:sz w:val="27"/>
          <w:rtl/>
          <w:lang w:bidi="ar-EG"/>
        </w:rPr>
        <w:t>و</w:t>
      </w:r>
      <w:r w:rsidRPr="00282AC9">
        <w:rPr>
          <w:rFonts w:hint="cs"/>
          <w:sz w:val="27"/>
          <w:rtl/>
          <w:lang w:bidi="ar-EG"/>
        </w:rPr>
        <w:t>النفس الإنسانية من حيث إدراكها للجزئي</w:t>
      </w:r>
      <w:r w:rsidR="001816E6" w:rsidRPr="00282AC9">
        <w:rPr>
          <w:rFonts w:hint="cs"/>
          <w:sz w:val="27"/>
          <w:rtl/>
          <w:lang w:bidi="ar-EG"/>
        </w:rPr>
        <w:t>ّ</w:t>
      </w:r>
      <w:r w:rsidRPr="00282AC9">
        <w:rPr>
          <w:rFonts w:hint="cs"/>
          <w:sz w:val="27"/>
          <w:rtl/>
          <w:lang w:bidi="ar-EG"/>
        </w:rPr>
        <w:t>ات والكل</w:t>
      </w:r>
      <w:r w:rsidR="001816E6" w:rsidRPr="00282AC9">
        <w:rPr>
          <w:rFonts w:hint="cs"/>
          <w:sz w:val="27"/>
          <w:rtl/>
          <w:lang w:bidi="ar-EG"/>
        </w:rPr>
        <w:t>ِّ</w:t>
      </w:r>
      <w:r w:rsidRPr="00282AC9">
        <w:rPr>
          <w:rFonts w:hint="cs"/>
          <w:sz w:val="27"/>
          <w:rtl/>
          <w:lang w:bidi="ar-EG"/>
        </w:rPr>
        <w:t>ي</w:t>
      </w:r>
      <w:r w:rsidR="001816E6" w:rsidRPr="00282AC9">
        <w:rPr>
          <w:rFonts w:hint="cs"/>
          <w:sz w:val="27"/>
          <w:rtl/>
          <w:lang w:bidi="ar-EG"/>
        </w:rPr>
        <w:t>ّ</w:t>
      </w:r>
      <w:r w:rsidRPr="00282AC9">
        <w:rPr>
          <w:rFonts w:hint="cs"/>
          <w:sz w:val="27"/>
          <w:rtl/>
          <w:lang w:bidi="ar-EG"/>
        </w:rPr>
        <w:t>ات تُسمّى بالقلب.</w:t>
      </w:r>
    </w:p>
    <w:p w:rsidR="00DA6FB6" w:rsidRPr="00282AC9" w:rsidRDefault="00DA6FB6" w:rsidP="00C57B75">
      <w:pPr>
        <w:rPr>
          <w:sz w:val="27"/>
          <w:rtl/>
          <w:lang w:bidi="ar-EG"/>
        </w:rPr>
      </w:pPr>
      <w:r w:rsidRPr="00282AC9">
        <w:rPr>
          <w:rFonts w:hint="cs"/>
          <w:b/>
          <w:bCs/>
          <w:sz w:val="27"/>
          <w:rtl/>
          <w:lang w:bidi="ar-EG"/>
        </w:rPr>
        <w:t>الرابعة</w:t>
      </w:r>
      <w:r w:rsidRPr="00282AC9">
        <w:rPr>
          <w:rFonts w:hint="cs"/>
          <w:sz w:val="27"/>
          <w:rtl/>
          <w:lang w:bidi="ar-EG"/>
        </w:rPr>
        <w:t>: الروح</w:t>
      </w:r>
      <w:r w:rsidR="001816E6" w:rsidRPr="00282AC9">
        <w:rPr>
          <w:rFonts w:hint="cs"/>
          <w:sz w:val="27"/>
          <w:rtl/>
          <w:lang w:bidi="ar-EG"/>
        </w:rPr>
        <w:t>.</w:t>
      </w:r>
      <w:r w:rsidRPr="00282AC9">
        <w:rPr>
          <w:rFonts w:hint="cs"/>
          <w:sz w:val="27"/>
          <w:rtl/>
          <w:lang w:bidi="ar-EG"/>
        </w:rPr>
        <w:t xml:space="preserve"> </w:t>
      </w:r>
      <w:r w:rsidR="001816E6" w:rsidRPr="00282AC9">
        <w:rPr>
          <w:rFonts w:hint="cs"/>
          <w:sz w:val="27"/>
          <w:rtl/>
          <w:lang w:bidi="ar-EG"/>
        </w:rPr>
        <w:t>و</w:t>
      </w:r>
      <w:r w:rsidRPr="00282AC9">
        <w:rPr>
          <w:rFonts w:hint="cs"/>
          <w:sz w:val="27"/>
          <w:rtl/>
          <w:lang w:bidi="ar-EG"/>
        </w:rPr>
        <w:t>النفس الإنسانية من حيث إدراكها للكل</w:t>
      </w:r>
      <w:r w:rsidR="001816E6" w:rsidRPr="00282AC9">
        <w:rPr>
          <w:rFonts w:hint="cs"/>
          <w:sz w:val="27"/>
          <w:rtl/>
          <w:lang w:bidi="ar-EG"/>
        </w:rPr>
        <w:t>ِّ</w:t>
      </w:r>
      <w:r w:rsidRPr="00282AC9">
        <w:rPr>
          <w:rFonts w:hint="cs"/>
          <w:sz w:val="27"/>
          <w:rtl/>
          <w:lang w:bidi="ar-EG"/>
        </w:rPr>
        <w:t>ي</w:t>
      </w:r>
      <w:r w:rsidR="001816E6" w:rsidRPr="00282AC9">
        <w:rPr>
          <w:rFonts w:hint="cs"/>
          <w:sz w:val="27"/>
          <w:rtl/>
          <w:lang w:bidi="ar-EG"/>
        </w:rPr>
        <w:t>ّ</w:t>
      </w:r>
      <w:r w:rsidRPr="00282AC9">
        <w:rPr>
          <w:rFonts w:hint="cs"/>
          <w:sz w:val="27"/>
          <w:rtl/>
          <w:lang w:bidi="ar-EG"/>
        </w:rPr>
        <w:t>ات تُسمّى بالروح.</w:t>
      </w:r>
    </w:p>
    <w:p w:rsidR="00DA6FB6" w:rsidRPr="00282AC9" w:rsidRDefault="00DA6FB6" w:rsidP="00C57B75">
      <w:pPr>
        <w:rPr>
          <w:sz w:val="27"/>
          <w:rtl/>
          <w:lang w:bidi="ar-EG"/>
        </w:rPr>
      </w:pPr>
      <w:r w:rsidRPr="00282AC9">
        <w:rPr>
          <w:rFonts w:hint="cs"/>
          <w:b/>
          <w:bCs/>
          <w:sz w:val="27"/>
          <w:rtl/>
          <w:lang w:bidi="ar-EG"/>
        </w:rPr>
        <w:t>الخامسة</w:t>
      </w:r>
      <w:r w:rsidRPr="00282AC9">
        <w:rPr>
          <w:rFonts w:hint="cs"/>
          <w:sz w:val="27"/>
          <w:rtl/>
          <w:lang w:bidi="ar-EG"/>
        </w:rPr>
        <w:t>: السرّ</w:t>
      </w:r>
      <w:r w:rsidR="001816E6" w:rsidRPr="00282AC9">
        <w:rPr>
          <w:rFonts w:hint="cs"/>
          <w:sz w:val="27"/>
          <w:rtl/>
          <w:lang w:bidi="ar-EG"/>
        </w:rPr>
        <w:t>.</w:t>
      </w:r>
      <w:r w:rsidRPr="00282AC9">
        <w:rPr>
          <w:rFonts w:hint="cs"/>
          <w:sz w:val="27"/>
          <w:rtl/>
          <w:lang w:bidi="ar-EG"/>
        </w:rPr>
        <w:t xml:space="preserve"> </w:t>
      </w:r>
      <w:r w:rsidR="001816E6" w:rsidRPr="00282AC9">
        <w:rPr>
          <w:rFonts w:hint="cs"/>
          <w:sz w:val="27"/>
          <w:rtl/>
          <w:lang w:bidi="ar-EG"/>
        </w:rPr>
        <w:t>و</w:t>
      </w:r>
      <w:r w:rsidRPr="00282AC9">
        <w:rPr>
          <w:rFonts w:hint="cs"/>
          <w:sz w:val="27"/>
          <w:rtl/>
          <w:lang w:bidi="ar-EG"/>
        </w:rPr>
        <w:t>النفس الإنسانية من حيث ات</w:t>
      </w:r>
      <w:r w:rsidR="001816E6" w:rsidRPr="00282AC9">
        <w:rPr>
          <w:rFonts w:hint="cs"/>
          <w:sz w:val="27"/>
          <w:rtl/>
          <w:lang w:bidi="ar-EG"/>
        </w:rPr>
        <w:t>ّ</w:t>
      </w:r>
      <w:r w:rsidRPr="00282AC9">
        <w:rPr>
          <w:rFonts w:hint="cs"/>
          <w:sz w:val="27"/>
          <w:rtl/>
          <w:lang w:bidi="ar-EG"/>
        </w:rPr>
        <w:t>حادها مع العقول المجر</w:t>
      </w:r>
      <w:r w:rsidR="001816E6" w:rsidRPr="00282AC9">
        <w:rPr>
          <w:rFonts w:hint="cs"/>
          <w:sz w:val="27"/>
          <w:rtl/>
          <w:lang w:bidi="ar-EG"/>
        </w:rPr>
        <w:t>َّ</w:t>
      </w:r>
      <w:r w:rsidRPr="00282AC9">
        <w:rPr>
          <w:rFonts w:hint="cs"/>
          <w:sz w:val="27"/>
          <w:rtl/>
          <w:lang w:bidi="ar-EG"/>
        </w:rPr>
        <w:t>دة الكل</w:t>
      </w:r>
      <w:r w:rsidR="001816E6" w:rsidRPr="00282AC9">
        <w:rPr>
          <w:rFonts w:hint="cs"/>
          <w:sz w:val="27"/>
          <w:rtl/>
          <w:lang w:bidi="ar-EG"/>
        </w:rPr>
        <w:t>ِّ</w:t>
      </w:r>
      <w:r w:rsidRPr="00282AC9">
        <w:rPr>
          <w:rFonts w:hint="cs"/>
          <w:sz w:val="27"/>
          <w:rtl/>
          <w:lang w:bidi="ar-EG"/>
        </w:rPr>
        <w:t>ي</w:t>
      </w:r>
      <w:r w:rsidR="001816E6" w:rsidRPr="00282AC9">
        <w:rPr>
          <w:rFonts w:hint="cs"/>
          <w:sz w:val="27"/>
          <w:rtl/>
          <w:lang w:bidi="ar-EG"/>
        </w:rPr>
        <w:t>ّ</w:t>
      </w:r>
      <w:r w:rsidRPr="00282AC9">
        <w:rPr>
          <w:rFonts w:hint="cs"/>
          <w:sz w:val="27"/>
          <w:rtl/>
          <w:lang w:bidi="ar-EG"/>
        </w:rPr>
        <w:t>ة ت</w:t>
      </w:r>
      <w:r w:rsidR="001816E6" w:rsidRPr="00282AC9">
        <w:rPr>
          <w:rFonts w:hint="cs"/>
          <w:sz w:val="27"/>
          <w:rtl/>
          <w:lang w:bidi="ar-EG"/>
        </w:rPr>
        <w:t>ُ</w:t>
      </w:r>
      <w:r w:rsidRPr="00282AC9">
        <w:rPr>
          <w:rFonts w:hint="cs"/>
          <w:sz w:val="27"/>
          <w:rtl/>
          <w:lang w:bidi="ar-EG"/>
        </w:rPr>
        <w:t>سم</w:t>
      </w:r>
      <w:r w:rsidR="001816E6" w:rsidRPr="00282AC9">
        <w:rPr>
          <w:rFonts w:hint="cs"/>
          <w:sz w:val="27"/>
          <w:rtl/>
          <w:lang w:bidi="ar-EG"/>
        </w:rPr>
        <w:t>ّ</w:t>
      </w:r>
      <w:r w:rsidRPr="00282AC9">
        <w:rPr>
          <w:rFonts w:hint="cs"/>
          <w:sz w:val="27"/>
          <w:rtl/>
          <w:lang w:bidi="ar-EG"/>
        </w:rPr>
        <w:t>ى بالسرّ.</w:t>
      </w:r>
    </w:p>
    <w:p w:rsidR="00DA6FB6" w:rsidRPr="00282AC9" w:rsidRDefault="00DA6FB6" w:rsidP="00C57B75">
      <w:pPr>
        <w:rPr>
          <w:sz w:val="27"/>
          <w:rtl/>
          <w:lang w:bidi="ar-EG"/>
        </w:rPr>
      </w:pPr>
      <w:r w:rsidRPr="00282AC9">
        <w:rPr>
          <w:rFonts w:hint="cs"/>
          <w:sz w:val="27"/>
          <w:rtl/>
          <w:lang w:bidi="ar-EG"/>
        </w:rPr>
        <w:t>وقد بقي</w:t>
      </w:r>
      <w:r w:rsidR="001816E6" w:rsidRPr="00282AC9">
        <w:rPr>
          <w:rFonts w:hint="cs"/>
          <w:sz w:val="27"/>
          <w:rtl/>
          <w:lang w:bidi="ar-EG"/>
        </w:rPr>
        <w:t>َ</w:t>
      </w:r>
      <w:r w:rsidRPr="00282AC9">
        <w:rPr>
          <w:rFonts w:hint="cs"/>
          <w:sz w:val="27"/>
          <w:rtl/>
          <w:lang w:bidi="ar-EG"/>
        </w:rPr>
        <w:t>ت</w:t>
      </w:r>
      <w:r w:rsidR="001816E6" w:rsidRPr="00282AC9">
        <w:rPr>
          <w:rFonts w:hint="cs"/>
          <w:sz w:val="27"/>
          <w:rtl/>
          <w:lang w:bidi="ar-EG"/>
        </w:rPr>
        <w:t>ْ</w:t>
      </w:r>
      <w:r w:rsidRPr="00282AC9">
        <w:rPr>
          <w:rFonts w:hint="cs"/>
          <w:sz w:val="27"/>
          <w:rtl/>
          <w:lang w:bidi="ar-EG"/>
        </w:rPr>
        <w:t xml:space="preserve"> مرتبتان: الخفيّ</w:t>
      </w:r>
      <w:r w:rsidR="001816E6" w:rsidRPr="00282AC9">
        <w:rPr>
          <w:rFonts w:hint="cs"/>
          <w:sz w:val="27"/>
          <w:rtl/>
          <w:lang w:bidi="ar-EG"/>
        </w:rPr>
        <w:t>؛</w:t>
      </w:r>
      <w:r w:rsidRPr="00282AC9">
        <w:rPr>
          <w:rFonts w:hint="cs"/>
          <w:sz w:val="27"/>
          <w:rtl/>
          <w:lang w:bidi="ar-EG"/>
        </w:rPr>
        <w:t xml:space="preserve"> والأخفى</w:t>
      </w:r>
      <w:r w:rsidR="001816E6" w:rsidRPr="00282AC9">
        <w:rPr>
          <w:rFonts w:hint="cs"/>
          <w:sz w:val="27"/>
          <w:rtl/>
          <w:lang w:bidi="ar-EG"/>
        </w:rPr>
        <w:t>.</w:t>
      </w:r>
      <w:r w:rsidRPr="00282AC9">
        <w:rPr>
          <w:rFonts w:hint="cs"/>
          <w:sz w:val="27"/>
          <w:rtl/>
          <w:lang w:bidi="ar-EG"/>
        </w:rPr>
        <w:t xml:space="preserve"> والحركة الاستكمالية للنفس تكون على نحو اللبس بعد اللبس، بمعنى تحصّ</w:t>
      </w:r>
      <w:r w:rsidR="001816E6" w:rsidRPr="00282AC9">
        <w:rPr>
          <w:rFonts w:hint="cs"/>
          <w:sz w:val="27"/>
          <w:rtl/>
          <w:lang w:bidi="ar-EG"/>
        </w:rPr>
        <w:t>ُ</w:t>
      </w:r>
      <w:r w:rsidRPr="00282AC9">
        <w:rPr>
          <w:rFonts w:hint="cs"/>
          <w:sz w:val="27"/>
          <w:rtl/>
          <w:lang w:bidi="ar-EG"/>
        </w:rPr>
        <w:t>ل صورة</w:t>
      </w:r>
      <w:r w:rsidR="001816E6" w:rsidRPr="00282AC9">
        <w:rPr>
          <w:rFonts w:hint="cs"/>
          <w:sz w:val="27"/>
          <w:rtl/>
          <w:lang w:bidi="ar-EG"/>
        </w:rPr>
        <w:t>ٍ</w:t>
      </w:r>
      <w:r w:rsidRPr="00282AC9">
        <w:rPr>
          <w:rFonts w:hint="cs"/>
          <w:sz w:val="27"/>
          <w:rtl/>
          <w:lang w:bidi="ar-EG"/>
        </w:rPr>
        <w:t xml:space="preserve"> فوق صورة، لا على نحو اللبس بعد الخلع، بمعنى تحصّ</w:t>
      </w:r>
      <w:r w:rsidR="001816E6" w:rsidRPr="00282AC9">
        <w:rPr>
          <w:rFonts w:hint="cs"/>
          <w:sz w:val="27"/>
          <w:rtl/>
          <w:lang w:bidi="ar-EG"/>
        </w:rPr>
        <w:t>ُ</w:t>
      </w:r>
      <w:r w:rsidRPr="00282AC9">
        <w:rPr>
          <w:rFonts w:hint="cs"/>
          <w:sz w:val="27"/>
          <w:rtl/>
          <w:lang w:bidi="ar-EG"/>
        </w:rPr>
        <w:t>ل صورة</w:t>
      </w:r>
      <w:r w:rsidR="001816E6" w:rsidRPr="00282AC9">
        <w:rPr>
          <w:rFonts w:hint="cs"/>
          <w:sz w:val="27"/>
          <w:rtl/>
          <w:lang w:bidi="ar-EG"/>
        </w:rPr>
        <w:t>ٍ</w:t>
      </w:r>
      <w:r w:rsidRPr="00282AC9">
        <w:rPr>
          <w:rFonts w:hint="cs"/>
          <w:sz w:val="27"/>
          <w:rtl/>
          <w:lang w:bidi="ar-EG"/>
        </w:rPr>
        <w:t xml:space="preserve"> بعد زوال صورة</w:t>
      </w:r>
      <w:r w:rsidR="001816E6" w:rsidRPr="00282AC9">
        <w:rPr>
          <w:rFonts w:hint="cs"/>
          <w:sz w:val="27"/>
          <w:rtl/>
          <w:lang w:bidi="ar-EG"/>
        </w:rPr>
        <w:t>ٍ</w:t>
      </w:r>
      <w:r w:rsidRPr="00282AC9">
        <w:rPr>
          <w:rFonts w:hint="cs"/>
          <w:sz w:val="27"/>
          <w:rtl/>
          <w:lang w:bidi="ar-EG"/>
        </w:rPr>
        <w:t>، مثل</w:t>
      </w:r>
      <w:r w:rsidR="001816E6" w:rsidRPr="00282AC9">
        <w:rPr>
          <w:rFonts w:hint="cs"/>
          <w:sz w:val="27"/>
          <w:rtl/>
          <w:lang w:bidi="ar-EG"/>
        </w:rPr>
        <w:t>:</w:t>
      </w:r>
      <w:r w:rsidRPr="00282AC9">
        <w:rPr>
          <w:rFonts w:hint="cs"/>
          <w:sz w:val="27"/>
          <w:rtl/>
          <w:lang w:bidi="ar-EG"/>
        </w:rPr>
        <w:t xml:space="preserve"> تحصّل صورة التراب لبدن الإنسان بعد الموت</w:t>
      </w:r>
      <w:r w:rsidR="001816E6" w:rsidRPr="00282AC9">
        <w:rPr>
          <w:rFonts w:hint="cs"/>
          <w:sz w:val="27"/>
          <w:rtl/>
          <w:lang w:bidi="ar-EG"/>
        </w:rPr>
        <w:t>.</w:t>
      </w:r>
      <w:r w:rsidRPr="00282AC9">
        <w:rPr>
          <w:rFonts w:hint="cs"/>
          <w:sz w:val="27"/>
          <w:rtl/>
          <w:lang w:bidi="ar-EG"/>
        </w:rPr>
        <w:t xml:space="preserve"> فالصورة الترابية لا تحصل لبدن الإنسان إ</w:t>
      </w:r>
      <w:r w:rsidR="00EE6DBA" w:rsidRPr="00282AC9">
        <w:rPr>
          <w:rFonts w:hint="cs"/>
          <w:sz w:val="27"/>
          <w:rtl/>
          <w:lang w:bidi="ar-EG"/>
        </w:rPr>
        <w:t>لاّ</w:t>
      </w:r>
      <w:r w:rsidRPr="00282AC9">
        <w:rPr>
          <w:rFonts w:hint="cs"/>
          <w:sz w:val="27"/>
          <w:rtl/>
          <w:lang w:bidi="ar-EG"/>
        </w:rPr>
        <w:t xml:space="preserve"> بعد خلع وزوال الصورة البدنية لجسم الإنسان.</w:t>
      </w:r>
    </w:p>
    <w:p w:rsidR="00DA6FB6" w:rsidRPr="00282AC9" w:rsidRDefault="00DA6FB6" w:rsidP="00C57B75">
      <w:pPr>
        <w:rPr>
          <w:sz w:val="27"/>
          <w:rtl/>
          <w:lang w:bidi="ar-EG"/>
        </w:rPr>
      </w:pPr>
      <w:r w:rsidRPr="00282AC9">
        <w:rPr>
          <w:rFonts w:hint="cs"/>
          <w:b/>
          <w:bCs/>
          <w:sz w:val="27"/>
          <w:rtl/>
          <w:lang w:bidi="ar-EG"/>
        </w:rPr>
        <w:t>النقطة الثالثة</w:t>
      </w:r>
      <w:r w:rsidRPr="00282AC9">
        <w:rPr>
          <w:rFonts w:hint="cs"/>
          <w:sz w:val="27"/>
          <w:rtl/>
          <w:lang w:bidi="ar-EG"/>
        </w:rPr>
        <w:t>: هناك قاعدة</w:t>
      </w:r>
      <w:r w:rsidR="001816E6" w:rsidRPr="00282AC9">
        <w:rPr>
          <w:rFonts w:hint="cs"/>
          <w:sz w:val="27"/>
          <w:rtl/>
          <w:lang w:bidi="ar-EG"/>
        </w:rPr>
        <w:t>ٌ</w:t>
      </w:r>
      <w:r w:rsidRPr="00282AC9">
        <w:rPr>
          <w:rFonts w:hint="cs"/>
          <w:sz w:val="27"/>
          <w:rtl/>
          <w:lang w:bidi="ar-EG"/>
        </w:rPr>
        <w:t xml:space="preserve"> باسم قاعدة إمكان الأشرف</w:t>
      </w:r>
      <w:r w:rsidR="001816E6" w:rsidRPr="00282AC9">
        <w:rPr>
          <w:rFonts w:hint="cs"/>
          <w:sz w:val="27"/>
          <w:rtl/>
          <w:lang w:bidi="ar-EG"/>
        </w:rPr>
        <w:t>،</w:t>
      </w:r>
      <w:r w:rsidRPr="00282AC9">
        <w:rPr>
          <w:rFonts w:hint="cs"/>
          <w:sz w:val="27"/>
          <w:rtl/>
          <w:lang w:bidi="ar-EG"/>
        </w:rPr>
        <w:t xml:space="preserve"> ومفادها</w:t>
      </w:r>
      <w:r w:rsidR="001816E6" w:rsidRPr="00282AC9">
        <w:rPr>
          <w:rFonts w:hint="cs"/>
          <w:sz w:val="27"/>
          <w:rtl/>
          <w:lang w:bidi="ar-EG"/>
        </w:rPr>
        <w:t>:</w:t>
      </w:r>
      <w:r w:rsidRPr="00282AC9">
        <w:rPr>
          <w:rFonts w:hint="cs"/>
          <w:sz w:val="27"/>
          <w:rtl/>
          <w:lang w:bidi="ar-EG"/>
        </w:rPr>
        <w:t xml:space="preserve"> </w:t>
      </w:r>
      <w:r w:rsidR="001816E6" w:rsidRPr="00282AC9">
        <w:rPr>
          <w:rFonts w:hint="cs"/>
          <w:sz w:val="27"/>
          <w:rtl/>
          <w:lang w:bidi="ar-EG"/>
        </w:rPr>
        <w:t>إ</w:t>
      </w:r>
      <w:r w:rsidRPr="00282AC9">
        <w:rPr>
          <w:rFonts w:hint="cs"/>
          <w:sz w:val="27"/>
          <w:rtl/>
          <w:lang w:bidi="ar-EG"/>
        </w:rPr>
        <w:t xml:space="preserve">نّه إذا </w:t>
      </w:r>
      <w:r w:rsidRPr="00282AC9">
        <w:rPr>
          <w:rFonts w:hint="cs"/>
          <w:sz w:val="27"/>
          <w:rtl/>
          <w:lang w:bidi="ar-EG"/>
        </w:rPr>
        <w:lastRenderedPageBreak/>
        <w:t>أمكن وجود أشرف يجب أن يوجد حت</w:t>
      </w:r>
      <w:r w:rsidR="001816E6" w:rsidRPr="00282AC9">
        <w:rPr>
          <w:rFonts w:hint="cs"/>
          <w:sz w:val="27"/>
          <w:rtl/>
          <w:lang w:bidi="ar-EG"/>
        </w:rPr>
        <w:t>ّ</w:t>
      </w:r>
      <w:r w:rsidRPr="00282AC9">
        <w:rPr>
          <w:rFonts w:hint="cs"/>
          <w:sz w:val="27"/>
          <w:rtl/>
          <w:lang w:bidi="ar-EG"/>
        </w:rPr>
        <w:t>ى يوجد الوجود الأخسّ</w:t>
      </w:r>
      <w:r w:rsidR="001816E6" w:rsidRPr="00282AC9">
        <w:rPr>
          <w:rFonts w:hint="cs"/>
          <w:sz w:val="27"/>
          <w:rtl/>
          <w:lang w:bidi="ar-EG"/>
        </w:rPr>
        <w:t>.</w:t>
      </w:r>
      <w:r w:rsidRPr="00282AC9">
        <w:rPr>
          <w:rFonts w:hint="cs"/>
          <w:sz w:val="27"/>
          <w:rtl/>
          <w:lang w:bidi="ar-EG"/>
        </w:rPr>
        <w:t xml:space="preserve"> وعلى أساس هذه القاعدة لعالم الوجود نزولاً قوس</w:t>
      </w:r>
      <w:r w:rsidR="001816E6" w:rsidRPr="00282AC9">
        <w:rPr>
          <w:rFonts w:hint="cs"/>
          <w:sz w:val="27"/>
          <w:rtl/>
          <w:lang w:bidi="ar-EG"/>
        </w:rPr>
        <w:t>ٌ</w:t>
      </w:r>
      <w:r w:rsidRPr="00282AC9">
        <w:rPr>
          <w:rFonts w:hint="cs"/>
          <w:sz w:val="27"/>
          <w:rtl/>
          <w:lang w:bidi="ar-EG"/>
        </w:rPr>
        <w:t xml:space="preserve"> يبدأ من عالم الجبروت</w:t>
      </w:r>
      <w:r w:rsidR="001816E6" w:rsidRPr="00282AC9">
        <w:rPr>
          <w:rFonts w:hint="cs"/>
          <w:sz w:val="27"/>
          <w:rtl/>
          <w:lang w:bidi="ar-EG"/>
        </w:rPr>
        <w:t>،</w:t>
      </w:r>
      <w:r w:rsidRPr="00282AC9">
        <w:rPr>
          <w:rFonts w:hint="cs"/>
          <w:sz w:val="27"/>
          <w:rtl/>
          <w:lang w:bidi="ar-EG"/>
        </w:rPr>
        <w:t xml:space="preserve"> ثم</w:t>
      </w:r>
      <w:r w:rsidR="001816E6" w:rsidRPr="00282AC9">
        <w:rPr>
          <w:rFonts w:hint="cs"/>
          <w:sz w:val="27"/>
          <w:rtl/>
          <w:lang w:bidi="ar-EG"/>
        </w:rPr>
        <w:t>ّ</w:t>
      </w:r>
      <w:r w:rsidRPr="00282AC9">
        <w:rPr>
          <w:rFonts w:hint="cs"/>
          <w:sz w:val="27"/>
          <w:rtl/>
          <w:lang w:bidi="ar-EG"/>
        </w:rPr>
        <w:t xml:space="preserve"> الم</w:t>
      </w:r>
      <w:r w:rsidR="001816E6" w:rsidRPr="00282AC9">
        <w:rPr>
          <w:rFonts w:hint="cs"/>
          <w:sz w:val="27"/>
          <w:rtl/>
          <w:lang w:bidi="ar-EG"/>
        </w:rPr>
        <w:t>َ</w:t>
      </w:r>
      <w:r w:rsidRPr="00282AC9">
        <w:rPr>
          <w:rFonts w:hint="cs"/>
          <w:sz w:val="27"/>
          <w:rtl/>
          <w:lang w:bidi="ar-EG"/>
        </w:rPr>
        <w:t>ل</w:t>
      </w:r>
      <w:r w:rsidR="001816E6" w:rsidRPr="00282AC9">
        <w:rPr>
          <w:rFonts w:hint="cs"/>
          <w:sz w:val="27"/>
          <w:rtl/>
          <w:lang w:bidi="ar-EG"/>
        </w:rPr>
        <w:t>َ</w:t>
      </w:r>
      <w:r w:rsidRPr="00282AC9">
        <w:rPr>
          <w:rFonts w:hint="cs"/>
          <w:sz w:val="27"/>
          <w:rtl/>
          <w:lang w:bidi="ar-EG"/>
        </w:rPr>
        <w:t>كوت</w:t>
      </w:r>
      <w:r w:rsidR="001816E6" w:rsidRPr="00282AC9">
        <w:rPr>
          <w:rFonts w:hint="cs"/>
          <w:sz w:val="27"/>
          <w:rtl/>
          <w:lang w:bidi="ar-EG"/>
        </w:rPr>
        <w:t>،</w:t>
      </w:r>
      <w:r w:rsidRPr="00282AC9">
        <w:rPr>
          <w:rFonts w:hint="cs"/>
          <w:sz w:val="27"/>
          <w:rtl/>
          <w:lang w:bidi="ar-EG"/>
        </w:rPr>
        <w:t xml:space="preserve"> ثم</w:t>
      </w:r>
      <w:r w:rsidR="001816E6" w:rsidRPr="00282AC9">
        <w:rPr>
          <w:rFonts w:hint="cs"/>
          <w:sz w:val="27"/>
          <w:rtl/>
          <w:lang w:bidi="ar-EG"/>
        </w:rPr>
        <w:t>ّ</w:t>
      </w:r>
      <w:r w:rsidRPr="00282AC9">
        <w:rPr>
          <w:rFonts w:hint="cs"/>
          <w:sz w:val="27"/>
          <w:rtl/>
          <w:lang w:bidi="ar-EG"/>
        </w:rPr>
        <w:t xml:space="preserve"> الناسوت</w:t>
      </w:r>
      <w:r w:rsidR="001816E6" w:rsidRPr="00282AC9">
        <w:rPr>
          <w:rFonts w:hint="cs"/>
          <w:sz w:val="27"/>
          <w:rtl/>
          <w:lang w:bidi="ar-EG"/>
        </w:rPr>
        <w:t>؛</w:t>
      </w:r>
      <w:r w:rsidRPr="00282AC9">
        <w:rPr>
          <w:rFonts w:hint="cs"/>
          <w:sz w:val="27"/>
          <w:rtl/>
          <w:lang w:bidi="ar-EG"/>
        </w:rPr>
        <w:t xml:space="preserve"> وفي المقابل تكون قاعدة</w:t>
      </w:r>
      <w:r w:rsidR="001816E6" w:rsidRPr="00282AC9">
        <w:rPr>
          <w:rFonts w:hint="cs"/>
          <w:sz w:val="27"/>
          <w:rtl/>
          <w:lang w:bidi="ar-EG"/>
        </w:rPr>
        <w:t>ٌ</w:t>
      </w:r>
      <w:r w:rsidRPr="00282AC9">
        <w:rPr>
          <w:rFonts w:hint="cs"/>
          <w:sz w:val="27"/>
          <w:rtl/>
          <w:lang w:bidi="ar-EG"/>
        </w:rPr>
        <w:t xml:space="preserve"> أخرى، وهي قاعدة إمكان الأخسّ</w:t>
      </w:r>
      <w:r w:rsidR="001816E6" w:rsidRPr="00282AC9">
        <w:rPr>
          <w:rFonts w:hint="cs"/>
          <w:sz w:val="27"/>
          <w:rtl/>
          <w:lang w:bidi="ar-EG"/>
        </w:rPr>
        <w:t>،</w:t>
      </w:r>
      <w:r w:rsidRPr="00282AC9">
        <w:rPr>
          <w:rFonts w:hint="cs"/>
          <w:sz w:val="27"/>
          <w:rtl/>
          <w:lang w:bidi="ar-EG"/>
        </w:rPr>
        <w:t xml:space="preserve"> ومفاد</w:t>
      </w:r>
      <w:r w:rsidR="001816E6" w:rsidRPr="00282AC9">
        <w:rPr>
          <w:rFonts w:hint="cs"/>
          <w:sz w:val="27"/>
          <w:rtl/>
          <w:lang w:bidi="ar-EG"/>
        </w:rPr>
        <w:t>ُ</w:t>
      </w:r>
      <w:r w:rsidRPr="00282AC9">
        <w:rPr>
          <w:rFonts w:hint="cs"/>
          <w:sz w:val="27"/>
          <w:rtl/>
          <w:lang w:bidi="ar-EG"/>
        </w:rPr>
        <w:t>ها</w:t>
      </w:r>
      <w:r w:rsidR="001816E6" w:rsidRPr="00282AC9">
        <w:rPr>
          <w:rFonts w:hint="cs"/>
          <w:sz w:val="27"/>
          <w:rtl/>
          <w:lang w:bidi="ar-EG"/>
        </w:rPr>
        <w:t>:</w:t>
      </w:r>
      <w:r w:rsidRPr="00282AC9">
        <w:rPr>
          <w:rFonts w:hint="cs"/>
          <w:sz w:val="27"/>
          <w:rtl/>
          <w:lang w:bidi="ar-EG"/>
        </w:rPr>
        <w:t xml:space="preserve"> </w:t>
      </w:r>
      <w:r w:rsidR="001816E6" w:rsidRPr="00282AC9">
        <w:rPr>
          <w:rFonts w:hint="cs"/>
          <w:sz w:val="27"/>
          <w:rtl/>
          <w:lang w:bidi="ar-EG"/>
        </w:rPr>
        <w:t>إ</w:t>
      </w:r>
      <w:r w:rsidRPr="00282AC9">
        <w:rPr>
          <w:rFonts w:hint="cs"/>
          <w:sz w:val="27"/>
          <w:rtl/>
          <w:lang w:bidi="ar-EG"/>
        </w:rPr>
        <w:t>نّه إذا أمكن وجود أخسّ</w:t>
      </w:r>
      <w:r w:rsidR="001816E6" w:rsidRPr="00282AC9">
        <w:rPr>
          <w:rFonts w:hint="cs"/>
          <w:sz w:val="27"/>
          <w:rtl/>
          <w:lang w:bidi="ar-EG"/>
        </w:rPr>
        <w:t>ٍ</w:t>
      </w:r>
      <w:r w:rsidRPr="00282AC9">
        <w:rPr>
          <w:rFonts w:hint="cs"/>
          <w:sz w:val="27"/>
          <w:rtl/>
          <w:lang w:bidi="ar-EG"/>
        </w:rPr>
        <w:t xml:space="preserve"> يجب أن يوجد حت</w:t>
      </w:r>
      <w:r w:rsidR="001816E6" w:rsidRPr="00282AC9">
        <w:rPr>
          <w:rFonts w:hint="cs"/>
          <w:sz w:val="27"/>
          <w:rtl/>
          <w:lang w:bidi="ar-EG"/>
        </w:rPr>
        <w:t>ّ</w:t>
      </w:r>
      <w:r w:rsidRPr="00282AC9">
        <w:rPr>
          <w:rFonts w:hint="cs"/>
          <w:sz w:val="27"/>
          <w:rtl/>
          <w:lang w:bidi="ar-EG"/>
        </w:rPr>
        <w:t>ى يوجد الأشرف</w:t>
      </w:r>
      <w:r w:rsidR="00B87EE8" w:rsidRPr="00282AC9">
        <w:rPr>
          <w:rFonts w:hint="cs"/>
          <w:sz w:val="27"/>
          <w:rtl/>
          <w:lang w:bidi="ar-EG"/>
        </w:rPr>
        <w:t>.</w:t>
      </w:r>
      <w:r w:rsidRPr="00282AC9">
        <w:rPr>
          <w:rFonts w:hint="cs"/>
          <w:sz w:val="27"/>
          <w:rtl/>
          <w:lang w:bidi="ar-EG"/>
        </w:rPr>
        <w:t xml:space="preserve"> </w:t>
      </w:r>
      <w:r w:rsidR="00B87EE8" w:rsidRPr="00282AC9">
        <w:rPr>
          <w:rFonts w:hint="cs"/>
          <w:sz w:val="27"/>
          <w:rtl/>
          <w:lang w:bidi="ar-EG"/>
        </w:rPr>
        <w:t>و</w:t>
      </w:r>
      <w:r w:rsidRPr="00282AC9">
        <w:rPr>
          <w:rFonts w:hint="cs"/>
          <w:sz w:val="27"/>
          <w:rtl/>
          <w:lang w:bidi="ar-EG"/>
        </w:rPr>
        <w:t>على أساس هذه القاعدة لعالم الوجود صعوداً قوس</w:t>
      </w:r>
      <w:r w:rsidR="00B87EE8" w:rsidRPr="00282AC9">
        <w:rPr>
          <w:rFonts w:hint="cs"/>
          <w:sz w:val="27"/>
          <w:rtl/>
          <w:lang w:bidi="ar-EG"/>
        </w:rPr>
        <w:t>ٌ</w:t>
      </w:r>
      <w:r w:rsidRPr="00282AC9">
        <w:rPr>
          <w:rFonts w:hint="cs"/>
          <w:sz w:val="27"/>
          <w:rtl/>
          <w:lang w:bidi="ar-EG"/>
        </w:rPr>
        <w:t xml:space="preserve"> يبدأ من الهيولى الأولى، ثم</w:t>
      </w:r>
      <w:r w:rsidR="00B87EE8" w:rsidRPr="00282AC9">
        <w:rPr>
          <w:rFonts w:hint="cs"/>
          <w:sz w:val="27"/>
          <w:rtl/>
          <w:lang w:bidi="ar-EG"/>
        </w:rPr>
        <w:t>ّ</w:t>
      </w:r>
      <w:r w:rsidRPr="00282AC9">
        <w:rPr>
          <w:rFonts w:hint="cs"/>
          <w:sz w:val="27"/>
          <w:rtl/>
          <w:lang w:bidi="ar-EG"/>
        </w:rPr>
        <w:t xml:space="preserve"> الصورة الجسمية، ثم</w:t>
      </w:r>
      <w:r w:rsidR="00B87EE8" w:rsidRPr="00282AC9">
        <w:rPr>
          <w:rFonts w:hint="cs"/>
          <w:sz w:val="27"/>
          <w:rtl/>
          <w:lang w:bidi="ar-EG"/>
        </w:rPr>
        <w:t>ّ</w:t>
      </w:r>
      <w:r w:rsidRPr="00282AC9">
        <w:rPr>
          <w:rFonts w:hint="cs"/>
          <w:sz w:val="27"/>
          <w:rtl/>
          <w:lang w:bidi="ar-EG"/>
        </w:rPr>
        <w:t xml:space="preserve"> الصورة النوعية للبسائط، ثم</w:t>
      </w:r>
      <w:r w:rsidR="00B87EE8" w:rsidRPr="00282AC9">
        <w:rPr>
          <w:rFonts w:hint="cs"/>
          <w:sz w:val="27"/>
          <w:rtl/>
          <w:lang w:bidi="ar-EG"/>
        </w:rPr>
        <w:t>ّ</w:t>
      </w:r>
      <w:r w:rsidRPr="00282AC9">
        <w:rPr>
          <w:rFonts w:hint="cs"/>
          <w:sz w:val="27"/>
          <w:rtl/>
          <w:lang w:bidi="ar-EG"/>
        </w:rPr>
        <w:t xml:space="preserve"> الصورة النوعية للمرك</w:t>
      </w:r>
      <w:r w:rsidR="00B87EE8" w:rsidRPr="00282AC9">
        <w:rPr>
          <w:rFonts w:hint="cs"/>
          <w:sz w:val="27"/>
          <w:rtl/>
          <w:lang w:bidi="ar-EG"/>
        </w:rPr>
        <w:t>َّ</w:t>
      </w:r>
      <w:r w:rsidRPr="00282AC9">
        <w:rPr>
          <w:rFonts w:hint="cs"/>
          <w:sz w:val="27"/>
          <w:rtl/>
          <w:lang w:bidi="ar-EG"/>
        </w:rPr>
        <w:t>بات</w:t>
      </w:r>
      <w:r w:rsidR="00B87EE8" w:rsidRPr="00282AC9">
        <w:rPr>
          <w:rFonts w:hint="cs"/>
          <w:sz w:val="27"/>
          <w:rtl/>
          <w:lang w:bidi="ar-EG"/>
        </w:rPr>
        <w:t>،</w:t>
      </w:r>
      <w:r w:rsidRPr="00282AC9">
        <w:rPr>
          <w:rFonts w:hint="cs"/>
          <w:sz w:val="27"/>
          <w:rtl/>
          <w:lang w:bidi="ar-EG"/>
        </w:rPr>
        <w:t xml:space="preserve"> حت</w:t>
      </w:r>
      <w:r w:rsidR="00B87EE8" w:rsidRPr="00282AC9">
        <w:rPr>
          <w:rFonts w:hint="cs"/>
          <w:sz w:val="27"/>
          <w:rtl/>
          <w:lang w:bidi="ar-EG"/>
        </w:rPr>
        <w:t>ّ</w:t>
      </w:r>
      <w:r w:rsidRPr="00282AC9">
        <w:rPr>
          <w:rFonts w:hint="cs"/>
          <w:sz w:val="27"/>
          <w:rtl/>
          <w:lang w:bidi="ar-EG"/>
        </w:rPr>
        <w:t>ى النفس الإنساني</w:t>
      </w:r>
      <w:r w:rsidR="00B87EE8" w:rsidRPr="00282AC9">
        <w:rPr>
          <w:rFonts w:hint="cs"/>
          <w:sz w:val="27"/>
          <w:rtl/>
          <w:lang w:bidi="ar-EG"/>
        </w:rPr>
        <w:t>ّ</w:t>
      </w:r>
      <w:r w:rsidRPr="00282AC9">
        <w:rPr>
          <w:rFonts w:hint="cs"/>
          <w:sz w:val="27"/>
          <w:rtl/>
          <w:lang w:bidi="ar-EG"/>
        </w:rPr>
        <w:t>ة</w:t>
      </w:r>
      <w:r w:rsidR="00B87EE8" w:rsidRPr="00282AC9">
        <w:rPr>
          <w:rFonts w:hint="cs"/>
          <w:sz w:val="27"/>
          <w:rtl/>
          <w:lang w:bidi="ar-EG"/>
        </w:rPr>
        <w:t>،</w:t>
      </w:r>
      <w:r w:rsidRPr="00282AC9">
        <w:rPr>
          <w:rFonts w:hint="cs"/>
          <w:sz w:val="27"/>
          <w:rtl/>
          <w:lang w:bidi="ar-EG"/>
        </w:rPr>
        <w:t xml:space="preserve"> التي لها مراتب خمس</w:t>
      </w:r>
      <w:r w:rsidR="008D55CB" w:rsidRPr="00282AC9">
        <w:rPr>
          <w:rFonts w:hint="cs"/>
          <w:sz w:val="27"/>
          <w:rtl/>
          <w:lang w:bidi="ar-EG"/>
        </w:rPr>
        <w:t>ة</w:t>
      </w:r>
      <w:r w:rsidR="00B87EE8" w:rsidRPr="00282AC9">
        <w:rPr>
          <w:rFonts w:hint="cs"/>
          <w:sz w:val="27"/>
          <w:rtl/>
          <w:lang w:bidi="ar-EG"/>
        </w:rPr>
        <w:t>،</w:t>
      </w:r>
      <w:r w:rsidRPr="00282AC9">
        <w:rPr>
          <w:rFonts w:hint="cs"/>
          <w:sz w:val="27"/>
          <w:rtl/>
          <w:lang w:bidi="ar-EG"/>
        </w:rPr>
        <w:t xml:space="preserve"> كما تقد</w:t>
      </w:r>
      <w:r w:rsidR="00B87EE8" w:rsidRPr="00282AC9">
        <w:rPr>
          <w:rFonts w:hint="cs"/>
          <w:sz w:val="27"/>
          <w:rtl/>
          <w:lang w:bidi="ar-EG"/>
        </w:rPr>
        <w:t>َّ</w:t>
      </w:r>
      <w:r w:rsidRPr="00282AC9">
        <w:rPr>
          <w:rFonts w:hint="cs"/>
          <w:sz w:val="27"/>
          <w:rtl/>
          <w:lang w:bidi="ar-EG"/>
        </w:rPr>
        <w:t>م</w:t>
      </w:r>
      <w:r w:rsidR="00B87EE8" w:rsidRPr="00282AC9">
        <w:rPr>
          <w:rFonts w:hint="cs"/>
          <w:sz w:val="27"/>
          <w:rtl/>
          <w:lang w:bidi="ar-EG"/>
        </w:rPr>
        <w:t>َتْ</w:t>
      </w:r>
      <w:r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النقطة الرابعة</w:t>
      </w:r>
      <w:r w:rsidRPr="00282AC9">
        <w:rPr>
          <w:rFonts w:hint="cs"/>
          <w:sz w:val="27"/>
          <w:rtl/>
          <w:lang w:bidi="ar-EG"/>
        </w:rPr>
        <w:t>: عندهم قاعدة</w:t>
      </w:r>
      <w:r w:rsidR="00B87EE8" w:rsidRPr="00282AC9">
        <w:rPr>
          <w:rFonts w:hint="cs"/>
          <w:sz w:val="27"/>
          <w:rtl/>
          <w:lang w:bidi="ar-EG"/>
        </w:rPr>
        <w:t>ٌ</w:t>
      </w:r>
      <w:r w:rsidRPr="00282AC9">
        <w:rPr>
          <w:rFonts w:hint="cs"/>
          <w:sz w:val="27"/>
          <w:rtl/>
          <w:lang w:bidi="ar-EG"/>
        </w:rPr>
        <w:t xml:space="preserve"> بأنّ العالي لا يطلب السافل؛ </w:t>
      </w:r>
      <w:r w:rsidR="00B87EE8" w:rsidRPr="00282AC9">
        <w:rPr>
          <w:rFonts w:hint="cs"/>
          <w:sz w:val="27"/>
          <w:rtl/>
          <w:lang w:bidi="ar-EG"/>
        </w:rPr>
        <w:t>و</w:t>
      </w:r>
      <w:r w:rsidRPr="00282AC9">
        <w:rPr>
          <w:rFonts w:hint="cs"/>
          <w:sz w:val="27"/>
          <w:rtl/>
          <w:lang w:bidi="ar-EG"/>
        </w:rPr>
        <w:t>لذلك الوجود من العالي لا يحصل للسافل</w:t>
      </w:r>
      <w:r w:rsidR="00B87EE8" w:rsidRPr="00282AC9">
        <w:rPr>
          <w:rFonts w:hint="cs"/>
          <w:sz w:val="27"/>
          <w:rtl/>
          <w:lang w:bidi="ar-EG"/>
        </w:rPr>
        <w:t>،</w:t>
      </w:r>
      <w:r w:rsidRPr="00282AC9">
        <w:rPr>
          <w:rFonts w:hint="cs"/>
          <w:sz w:val="27"/>
          <w:rtl/>
          <w:lang w:bidi="ar-EG"/>
        </w:rPr>
        <w:t xml:space="preserve"> إ</w:t>
      </w:r>
      <w:r w:rsidR="00EE6DBA" w:rsidRPr="00282AC9">
        <w:rPr>
          <w:rFonts w:hint="cs"/>
          <w:sz w:val="27"/>
          <w:rtl/>
          <w:lang w:bidi="ar-EG"/>
        </w:rPr>
        <w:t>لاّ</w:t>
      </w:r>
      <w:r w:rsidRPr="00282AC9">
        <w:rPr>
          <w:rFonts w:hint="cs"/>
          <w:sz w:val="27"/>
          <w:rtl/>
          <w:lang w:bidi="ar-EG"/>
        </w:rPr>
        <w:t xml:space="preserve"> بغرض الصعود إليه؛ </w:t>
      </w:r>
      <w:r w:rsidR="00B87EE8" w:rsidRPr="00282AC9">
        <w:rPr>
          <w:rFonts w:hint="cs"/>
          <w:sz w:val="27"/>
          <w:rtl/>
          <w:lang w:bidi="ar-EG"/>
        </w:rPr>
        <w:t>و</w:t>
      </w:r>
      <w:r w:rsidRPr="00282AC9">
        <w:rPr>
          <w:rFonts w:hint="cs"/>
          <w:sz w:val="27"/>
          <w:rtl/>
          <w:lang w:bidi="ar-EG"/>
        </w:rPr>
        <w:t>لذلك الوجود من عالم الجبروت لا يحصل لعالم الملكوت</w:t>
      </w:r>
      <w:r w:rsidR="00B87EE8" w:rsidRPr="00282AC9">
        <w:rPr>
          <w:rFonts w:hint="cs"/>
          <w:sz w:val="27"/>
          <w:rtl/>
          <w:lang w:bidi="ar-EG"/>
        </w:rPr>
        <w:t>،</w:t>
      </w:r>
      <w:r w:rsidRPr="00282AC9">
        <w:rPr>
          <w:rFonts w:hint="cs"/>
          <w:sz w:val="27"/>
          <w:rtl/>
          <w:lang w:bidi="ar-EG"/>
        </w:rPr>
        <w:t xml:space="preserve"> إ</w:t>
      </w:r>
      <w:r w:rsidR="00EE6DBA" w:rsidRPr="00282AC9">
        <w:rPr>
          <w:rFonts w:hint="cs"/>
          <w:sz w:val="27"/>
          <w:rtl/>
          <w:lang w:bidi="ar-EG"/>
        </w:rPr>
        <w:t>لاّ</w:t>
      </w:r>
      <w:r w:rsidRPr="00282AC9">
        <w:rPr>
          <w:rFonts w:hint="cs"/>
          <w:sz w:val="27"/>
          <w:rtl/>
          <w:lang w:bidi="ar-EG"/>
        </w:rPr>
        <w:t xml:space="preserve"> لصعوده إلى عالم الجبروت</w:t>
      </w:r>
      <w:r w:rsidR="00B87EE8" w:rsidRPr="00282AC9">
        <w:rPr>
          <w:rFonts w:hint="cs"/>
          <w:sz w:val="27"/>
          <w:rtl/>
          <w:lang w:bidi="ar-EG"/>
        </w:rPr>
        <w:t xml:space="preserve">؛ </w:t>
      </w:r>
      <w:r w:rsidRPr="00282AC9">
        <w:rPr>
          <w:rFonts w:hint="cs"/>
          <w:sz w:val="27"/>
          <w:rtl/>
          <w:lang w:bidi="ar-EG"/>
        </w:rPr>
        <w:t>ولا يحصل الوجود من عالم الملكوت إلى عالم الناسوت</w:t>
      </w:r>
      <w:r w:rsidR="00B87EE8" w:rsidRPr="00282AC9">
        <w:rPr>
          <w:rFonts w:hint="cs"/>
          <w:sz w:val="27"/>
          <w:rtl/>
          <w:lang w:bidi="ar-EG"/>
        </w:rPr>
        <w:t>،</w:t>
      </w:r>
      <w:r w:rsidRPr="00282AC9">
        <w:rPr>
          <w:rFonts w:hint="cs"/>
          <w:sz w:val="27"/>
          <w:rtl/>
          <w:lang w:bidi="ar-EG"/>
        </w:rPr>
        <w:t xml:space="preserve"> إ</w:t>
      </w:r>
      <w:r w:rsidR="00EE6DBA" w:rsidRPr="00282AC9">
        <w:rPr>
          <w:rFonts w:hint="cs"/>
          <w:sz w:val="27"/>
          <w:rtl/>
          <w:lang w:bidi="ar-EG"/>
        </w:rPr>
        <w:t>لاّ</w:t>
      </w:r>
      <w:r w:rsidRPr="00282AC9">
        <w:rPr>
          <w:rFonts w:hint="cs"/>
          <w:sz w:val="27"/>
          <w:rtl/>
          <w:lang w:bidi="ar-EG"/>
        </w:rPr>
        <w:t xml:space="preserve"> بغرض صعوده إلى عالم الملكوت. وعلى ذلك، فكلّ فاعل</w:t>
      </w:r>
      <w:r w:rsidR="00B87EE8" w:rsidRPr="00282AC9">
        <w:rPr>
          <w:rFonts w:hint="cs"/>
          <w:sz w:val="27"/>
          <w:rtl/>
          <w:lang w:bidi="ar-EG"/>
        </w:rPr>
        <w:t>ٍ</w:t>
      </w:r>
      <w:r w:rsidRPr="00282AC9">
        <w:rPr>
          <w:rFonts w:hint="cs"/>
          <w:sz w:val="27"/>
          <w:rtl/>
          <w:lang w:bidi="ar-EG"/>
        </w:rPr>
        <w:t xml:space="preserve"> في قوس النزول له غاية</w:t>
      </w:r>
      <w:r w:rsidR="00B87EE8" w:rsidRPr="00282AC9">
        <w:rPr>
          <w:rFonts w:hint="cs"/>
          <w:sz w:val="27"/>
          <w:rtl/>
          <w:lang w:bidi="ar-EG"/>
        </w:rPr>
        <w:t>ٌ</w:t>
      </w:r>
      <w:r w:rsidRPr="00282AC9">
        <w:rPr>
          <w:rFonts w:hint="cs"/>
          <w:sz w:val="27"/>
          <w:rtl/>
          <w:lang w:bidi="ar-EG"/>
        </w:rPr>
        <w:t xml:space="preserve"> في مرتبته في قوس الصعود</w:t>
      </w:r>
      <w:r w:rsidR="00B87EE8" w:rsidRPr="00282AC9">
        <w:rPr>
          <w:rFonts w:hint="cs"/>
          <w:sz w:val="27"/>
          <w:rtl/>
          <w:lang w:bidi="ar-EG"/>
        </w:rPr>
        <w:t>؛</w:t>
      </w:r>
      <w:r w:rsidRPr="00282AC9">
        <w:rPr>
          <w:rFonts w:hint="cs"/>
          <w:sz w:val="27"/>
          <w:rtl/>
          <w:lang w:bidi="ar-EG"/>
        </w:rPr>
        <w:t xml:space="preserve"> فغاية عالم الجبروت في قوس النزول هو النفس الإنساني</w:t>
      </w:r>
      <w:r w:rsidR="00B87EE8" w:rsidRPr="00282AC9">
        <w:rPr>
          <w:rFonts w:hint="cs"/>
          <w:sz w:val="27"/>
          <w:rtl/>
          <w:lang w:bidi="ar-EG"/>
        </w:rPr>
        <w:t>ّ</w:t>
      </w:r>
      <w:r w:rsidRPr="00282AC9">
        <w:rPr>
          <w:rFonts w:hint="cs"/>
          <w:sz w:val="27"/>
          <w:rtl/>
          <w:lang w:bidi="ar-EG"/>
        </w:rPr>
        <w:t>ة في مرتبة السرّ، وغاية عالم الم</w:t>
      </w:r>
      <w:r w:rsidR="00B87EE8" w:rsidRPr="00282AC9">
        <w:rPr>
          <w:rFonts w:hint="cs"/>
          <w:sz w:val="27"/>
          <w:rtl/>
          <w:lang w:bidi="ar-EG"/>
        </w:rPr>
        <w:t>َ</w:t>
      </w:r>
      <w:r w:rsidRPr="00282AC9">
        <w:rPr>
          <w:rFonts w:hint="cs"/>
          <w:sz w:val="27"/>
          <w:rtl/>
          <w:lang w:bidi="ar-EG"/>
        </w:rPr>
        <w:t>ل</w:t>
      </w:r>
      <w:r w:rsidR="00B87EE8" w:rsidRPr="00282AC9">
        <w:rPr>
          <w:rFonts w:hint="cs"/>
          <w:sz w:val="27"/>
          <w:rtl/>
          <w:lang w:bidi="ar-EG"/>
        </w:rPr>
        <w:t>َ</w:t>
      </w:r>
      <w:r w:rsidRPr="00282AC9">
        <w:rPr>
          <w:rFonts w:hint="cs"/>
          <w:sz w:val="27"/>
          <w:rtl/>
          <w:lang w:bidi="ar-EG"/>
        </w:rPr>
        <w:t>كوت في قوس النزول هو النفس الإنساني</w:t>
      </w:r>
      <w:r w:rsidR="00B87EE8" w:rsidRPr="00282AC9">
        <w:rPr>
          <w:rFonts w:hint="cs"/>
          <w:sz w:val="27"/>
          <w:rtl/>
          <w:lang w:bidi="ar-EG"/>
        </w:rPr>
        <w:t>ّ</w:t>
      </w:r>
      <w:r w:rsidRPr="00282AC9">
        <w:rPr>
          <w:rFonts w:hint="cs"/>
          <w:sz w:val="27"/>
          <w:rtl/>
          <w:lang w:bidi="ar-EG"/>
        </w:rPr>
        <w:t>ة في مرتبة الر</w:t>
      </w:r>
      <w:r w:rsidR="00B87EE8" w:rsidRPr="00282AC9">
        <w:rPr>
          <w:rFonts w:hint="cs"/>
          <w:sz w:val="27"/>
          <w:rtl/>
          <w:lang w:bidi="ar-EG"/>
        </w:rPr>
        <w:t>ُّ</w:t>
      </w:r>
      <w:r w:rsidRPr="00282AC9">
        <w:rPr>
          <w:rFonts w:hint="cs"/>
          <w:sz w:val="27"/>
          <w:rtl/>
          <w:lang w:bidi="ar-EG"/>
        </w:rPr>
        <w:t>وح.</w:t>
      </w:r>
    </w:p>
    <w:p w:rsidR="00B87EE8" w:rsidRPr="00282AC9" w:rsidRDefault="00DA6FB6" w:rsidP="00C57B75">
      <w:pPr>
        <w:rPr>
          <w:sz w:val="27"/>
          <w:rtl/>
          <w:lang w:bidi="ar-EG"/>
        </w:rPr>
      </w:pPr>
      <w:r w:rsidRPr="00282AC9">
        <w:rPr>
          <w:rFonts w:hint="cs"/>
          <w:b/>
          <w:bCs/>
          <w:sz w:val="27"/>
          <w:rtl/>
          <w:lang w:bidi="ar-EG"/>
        </w:rPr>
        <w:t>النقطة الخامسة</w:t>
      </w:r>
      <w:r w:rsidRPr="00282AC9">
        <w:rPr>
          <w:rFonts w:hint="cs"/>
          <w:sz w:val="27"/>
          <w:rtl/>
          <w:lang w:bidi="ar-EG"/>
        </w:rPr>
        <w:t xml:space="preserve">: </w:t>
      </w:r>
      <w:r w:rsidR="00B87EE8" w:rsidRPr="00282AC9">
        <w:rPr>
          <w:rFonts w:hint="cs"/>
          <w:sz w:val="27"/>
          <w:rtl/>
          <w:lang w:bidi="ar-EG"/>
        </w:rPr>
        <w:t>إ</w:t>
      </w:r>
      <w:r w:rsidRPr="00282AC9">
        <w:rPr>
          <w:rFonts w:hint="cs"/>
          <w:sz w:val="27"/>
          <w:rtl/>
          <w:lang w:bidi="ar-EG"/>
        </w:rPr>
        <w:t>نّ الفاعل يأتي بمعنيين</w:t>
      </w:r>
      <w:r w:rsidR="00B87EE8" w:rsidRPr="00282AC9">
        <w:rPr>
          <w:rFonts w:hint="cs"/>
          <w:sz w:val="27"/>
          <w:rtl/>
          <w:lang w:bidi="ar-EG"/>
        </w:rPr>
        <w:t>:</w:t>
      </w:r>
    </w:p>
    <w:p w:rsidR="00B87EE8" w:rsidRPr="00282AC9" w:rsidRDefault="00DA6FB6" w:rsidP="00C57B75">
      <w:pPr>
        <w:rPr>
          <w:sz w:val="27"/>
          <w:rtl/>
          <w:lang w:bidi="ar-EG"/>
        </w:rPr>
      </w:pPr>
      <w:r w:rsidRPr="00282AC9">
        <w:rPr>
          <w:rFonts w:hint="cs"/>
          <w:b/>
          <w:bCs/>
          <w:sz w:val="27"/>
          <w:rtl/>
          <w:lang w:bidi="ar-EG"/>
        </w:rPr>
        <w:t>الأوّل</w:t>
      </w:r>
      <w:r w:rsidRPr="00282AC9">
        <w:rPr>
          <w:rFonts w:hint="cs"/>
          <w:sz w:val="27"/>
          <w:rtl/>
          <w:lang w:bidi="ar-EG"/>
        </w:rPr>
        <w:t>: فاعل ما منه الوجود</w:t>
      </w:r>
      <w:r w:rsidR="00B87EE8" w:rsidRPr="00282AC9">
        <w:rPr>
          <w:rFonts w:hint="cs"/>
          <w:sz w:val="27"/>
          <w:rtl/>
          <w:lang w:bidi="ar-EG"/>
        </w:rPr>
        <w:t>.</w:t>
      </w:r>
      <w:r w:rsidRPr="00282AC9">
        <w:rPr>
          <w:rFonts w:hint="cs"/>
          <w:sz w:val="27"/>
          <w:rtl/>
          <w:lang w:bidi="ar-EG"/>
        </w:rPr>
        <w:t xml:space="preserve"> وهذا المعنى يختص</w:t>
      </w:r>
      <w:r w:rsidR="00B87EE8" w:rsidRPr="00282AC9">
        <w:rPr>
          <w:rFonts w:hint="cs"/>
          <w:sz w:val="27"/>
          <w:rtl/>
          <w:lang w:bidi="ar-EG"/>
        </w:rPr>
        <w:t>ّ</w:t>
      </w:r>
      <w:r w:rsidRPr="00282AC9">
        <w:rPr>
          <w:rFonts w:hint="cs"/>
          <w:sz w:val="27"/>
          <w:rtl/>
          <w:lang w:bidi="ar-EG"/>
        </w:rPr>
        <w:t xml:space="preserve"> بالباري تبارك وتعالى؛ لأنّه هو المفيض للوجود؛ فلذلك العلّة الحقيقية للمخلوقات هو الله</w:t>
      </w:r>
      <w:r w:rsidR="00B87EE8" w:rsidRPr="00282AC9">
        <w:rPr>
          <w:rFonts w:hint="cs"/>
          <w:sz w:val="27"/>
          <w:rtl/>
          <w:lang w:bidi="ar-EG"/>
        </w:rPr>
        <w:t>،</w:t>
      </w:r>
      <w:r w:rsidRPr="00282AC9">
        <w:rPr>
          <w:rFonts w:hint="cs"/>
          <w:sz w:val="27"/>
          <w:rtl/>
          <w:lang w:bidi="ar-EG"/>
        </w:rPr>
        <w:t xml:space="preserve"> على أساس قاعدة (لا مؤث</w:t>
      </w:r>
      <w:r w:rsidR="00B87EE8" w:rsidRPr="00282AC9">
        <w:rPr>
          <w:rFonts w:hint="cs"/>
          <w:sz w:val="27"/>
          <w:rtl/>
          <w:lang w:bidi="ar-EG"/>
        </w:rPr>
        <w:t>ِّ</w:t>
      </w:r>
      <w:r w:rsidRPr="00282AC9">
        <w:rPr>
          <w:rFonts w:hint="cs"/>
          <w:sz w:val="27"/>
          <w:rtl/>
          <w:lang w:bidi="ar-EG"/>
        </w:rPr>
        <w:t>ر في الوجود إ</w:t>
      </w:r>
      <w:r w:rsidR="00EE6DBA" w:rsidRPr="00282AC9">
        <w:rPr>
          <w:rFonts w:hint="cs"/>
          <w:sz w:val="27"/>
          <w:rtl/>
          <w:lang w:bidi="ar-EG"/>
        </w:rPr>
        <w:t>لاّ</w:t>
      </w:r>
      <w:r w:rsidR="00B87EE8" w:rsidRPr="00282AC9">
        <w:rPr>
          <w:rFonts w:hint="cs"/>
          <w:sz w:val="27"/>
          <w:rtl/>
          <w:lang w:bidi="ar-EG"/>
        </w:rPr>
        <w:t xml:space="preserve"> الله).</w:t>
      </w:r>
    </w:p>
    <w:p w:rsidR="00DA6FB6" w:rsidRPr="00282AC9" w:rsidRDefault="00DA6FB6" w:rsidP="00C57B75">
      <w:pPr>
        <w:rPr>
          <w:sz w:val="27"/>
          <w:rtl/>
          <w:lang w:bidi="ar-EG"/>
        </w:rPr>
      </w:pPr>
      <w:r w:rsidRPr="00282AC9">
        <w:rPr>
          <w:rFonts w:hint="cs"/>
          <w:b/>
          <w:bCs/>
          <w:sz w:val="27"/>
          <w:rtl/>
          <w:lang w:bidi="ar-EG"/>
        </w:rPr>
        <w:t>الثاني</w:t>
      </w:r>
      <w:r w:rsidRPr="00282AC9">
        <w:rPr>
          <w:rFonts w:hint="cs"/>
          <w:sz w:val="27"/>
          <w:rtl/>
          <w:lang w:bidi="ar-EG"/>
        </w:rPr>
        <w:t>: فاعل ما به الوجود</w:t>
      </w:r>
      <w:r w:rsidR="00B87EE8" w:rsidRPr="00282AC9">
        <w:rPr>
          <w:rFonts w:hint="cs"/>
          <w:sz w:val="27"/>
          <w:rtl/>
          <w:lang w:bidi="ar-EG"/>
        </w:rPr>
        <w:t>.</w:t>
      </w:r>
      <w:r w:rsidRPr="00282AC9">
        <w:rPr>
          <w:rFonts w:hint="cs"/>
          <w:sz w:val="27"/>
          <w:rtl/>
          <w:lang w:bidi="ar-EG"/>
        </w:rPr>
        <w:t xml:space="preserve"> وهذا المعنى يختص</w:t>
      </w:r>
      <w:r w:rsidR="00B87EE8" w:rsidRPr="00282AC9">
        <w:rPr>
          <w:rFonts w:hint="cs"/>
          <w:sz w:val="27"/>
          <w:rtl/>
          <w:lang w:bidi="ar-EG"/>
        </w:rPr>
        <w:t>ّ</w:t>
      </w:r>
      <w:r w:rsidRPr="00282AC9">
        <w:rPr>
          <w:rFonts w:hint="cs"/>
          <w:sz w:val="27"/>
          <w:rtl/>
          <w:lang w:bidi="ar-EG"/>
        </w:rPr>
        <w:t xml:space="preserve"> بالفواعل الإمكانية، فتكون تلك الفواعل من الع</w:t>
      </w:r>
      <w:r w:rsidR="00B87EE8" w:rsidRPr="00282AC9">
        <w:rPr>
          <w:rFonts w:hint="cs"/>
          <w:sz w:val="27"/>
          <w:rtl/>
          <w:lang w:bidi="ar-EG"/>
        </w:rPr>
        <w:t>ِ</w:t>
      </w:r>
      <w:r w:rsidRPr="00282AC9">
        <w:rPr>
          <w:rFonts w:hint="cs"/>
          <w:sz w:val="27"/>
          <w:rtl/>
          <w:lang w:bidi="ar-EG"/>
        </w:rPr>
        <w:t>ل</w:t>
      </w:r>
      <w:r w:rsidR="00B87EE8" w:rsidRPr="00282AC9">
        <w:rPr>
          <w:rFonts w:hint="cs"/>
          <w:sz w:val="27"/>
          <w:rtl/>
          <w:lang w:bidi="ar-EG"/>
        </w:rPr>
        <w:t>َ</w:t>
      </w:r>
      <w:r w:rsidRPr="00282AC9">
        <w:rPr>
          <w:rFonts w:hint="cs"/>
          <w:sz w:val="27"/>
          <w:rtl/>
          <w:lang w:bidi="ar-EG"/>
        </w:rPr>
        <w:t>ل الم</w:t>
      </w:r>
      <w:r w:rsidR="00B87EE8" w:rsidRPr="00282AC9">
        <w:rPr>
          <w:rFonts w:hint="cs"/>
          <w:sz w:val="27"/>
          <w:rtl/>
          <w:lang w:bidi="ar-EG"/>
        </w:rPr>
        <w:t>ُ</w:t>
      </w:r>
      <w:r w:rsidRPr="00282AC9">
        <w:rPr>
          <w:rFonts w:hint="cs"/>
          <w:sz w:val="27"/>
          <w:rtl/>
          <w:lang w:bidi="ar-EG"/>
        </w:rPr>
        <w:t>ع</w:t>
      </w:r>
      <w:r w:rsidR="00B87EE8" w:rsidRPr="00282AC9">
        <w:rPr>
          <w:rFonts w:hint="cs"/>
          <w:sz w:val="27"/>
          <w:rtl/>
          <w:lang w:bidi="ar-EG"/>
        </w:rPr>
        <w:t>ِ</w:t>
      </w:r>
      <w:r w:rsidRPr="00282AC9">
        <w:rPr>
          <w:rFonts w:hint="cs"/>
          <w:sz w:val="27"/>
          <w:rtl/>
          <w:lang w:bidi="ar-EG"/>
        </w:rPr>
        <w:t>دّ</w:t>
      </w:r>
      <w:r w:rsidR="00B87EE8" w:rsidRPr="00282AC9">
        <w:rPr>
          <w:rFonts w:hint="cs"/>
          <w:sz w:val="27"/>
          <w:rtl/>
          <w:lang w:bidi="ar-EG"/>
        </w:rPr>
        <w:t>َ</w:t>
      </w:r>
      <w:r w:rsidRPr="00282AC9">
        <w:rPr>
          <w:rFonts w:hint="cs"/>
          <w:sz w:val="27"/>
          <w:rtl/>
          <w:lang w:bidi="ar-EG"/>
        </w:rPr>
        <w:t>ة، بالمعنى اللغوي</w:t>
      </w:r>
      <w:r w:rsidR="00B87EE8" w:rsidRPr="00282AC9">
        <w:rPr>
          <w:rFonts w:hint="cs"/>
          <w:sz w:val="27"/>
          <w:rtl/>
          <w:lang w:bidi="ar-EG"/>
        </w:rPr>
        <w:t>ّ</w:t>
      </w:r>
      <w:r w:rsidRPr="00282AC9">
        <w:rPr>
          <w:rFonts w:hint="cs"/>
          <w:sz w:val="27"/>
          <w:rtl/>
          <w:lang w:bidi="ar-EG"/>
        </w:rPr>
        <w:t>، وهو المهيِّىء</w:t>
      </w:r>
      <w:r w:rsidR="00B87EE8" w:rsidRPr="00282AC9">
        <w:rPr>
          <w:rFonts w:hint="cs"/>
          <w:sz w:val="27"/>
          <w:rtl/>
          <w:lang w:bidi="ar-EG"/>
        </w:rPr>
        <w:t>.</w:t>
      </w:r>
      <w:r w:rsidRPr="00282AC9">
        <w:rPr>
          <w:rFonts w:hint="cs"/>
          <w:sz w:val="27"/>
          <w:rtl/>
          <w:lang w:bidi="ar-EG"/>
        </w:rPr>
        <w:t xml:space="preserve"> فالجبروت يهيِّ</w:t>
      </w:r>
      <w:r w:rsidR="008D55CB" w:rsidRPr="00282AC9">
        <w:rPr>
          <w:rFonts w:hint="cs"/>
          <w:sz w:val="27"/>
          <w:rtl/>
          <w:lang w:bidi="ar-EG"/>
        </w:rPr>
        <w:t>ئ</w:t>
      </w:r>
      <w:r w:rsidRPr="00282AC9">
        <w:rPr>
          <w:rFonts w:hint="cs"/>
          <w:sz w:val="27"/>
          <w:rtl/>
          <w:lang w:bidi="ar-EG"/>
        </w:rPr>
        <w:t xml:space="preserve"> الم</w:t>
      </w:r>
      <w:r w:rsidR="00B87EE8" w:rsidRPr="00282AC9">
        <w:rPr>
          <w:rFonts w:hint="cs"/>
          <w:sz w:val="27"/>
          <w:rtl/>
          <w:lang w:bidi="ar-EG"/>
        </w:rPr>
        <w:t>َ</w:t>
      </w:r>
      <w:r w:rsidRPr="00282AC9">
        <w:rPr>
          <w:rFonts w:hint="cs"/>
          <w:sz w:val="27"/>
          <w:rtl/>
          <w:lang w:bidi="ar-EG"/>
        </w:rPr>
        <w:t>ل</w:t>
      </w:r>
      <w:r w:rsidR="00B87EE8" w:rsidRPr="00282AC9">
        <w:rPr>
          <w:rFonts w:hint="cs"/>
          <w:sz w:val="27"/>
          <w:rtl/>
          <w:lang w:bidi="ar-EG"/>
        </w:rPr>
        <w:t>َ</w:t>
      </w:r>
      <w:r w:rsidRPr="00282AC9">
        <w:rPr>
          <w:rFonts w:hint="cs"/>
          <w:sz w:val="27"/>
          <w:rtl/>
          <w:lang w:bidi="ar-EG"/>
        </w:rPr>
        <w:t>كوت لإفاضة الوجود إليه من الباري تبارك وتعالى</w:t>
      </w:r>
      <w:r w:rsidR="006B436A" w:rsidRPr="00282AC9">
        <w:rPr>
          <w:rFonts w:hint="cs"/>
          <w:sz w:val="27"/>
          <w:rtl/>
          <w:lang w:bidi="ar-EG"/>
        </w:rPr>
        <w:t>.</w:t>
      </w:r>
      <w:r w:rsidRPr="00282AC9">
        <w:rPr>
          <w:rFonts w:hint="cs"/>
          <w:sz w:val="27"/>
          <w:rtl/>
          <w:lang w:bidi="ar-EG"/>
        </w:rPr>
        <w:t xml:space="preserve"> وليس بالمعنى الاصطلاحي الذي يكون عدمه بعد وجوده موقوفاً عليه للمعلول.</w:t>
      </w:r>
    </w:p>
    <w:p w:rsidR="00272982" w:rsidRPr="00282AC9" w:rsidRDefault="00DA6FB6" w:rsidP="00C57B75">
      <w:pPr>
        <w:rPr>
          <w:sz w:val="27"/>
          <w:rtl/>
          <w:lang w:bidi="ar-EG"/>
        </w:rPr>
      </w:pPr>
      <w:r w:rsidRPr="00282AC9">
        <w:rPr>
          <w:rFonts w:hint="cs"/>
          <w:sz w:val="27"/>
          <w:rtl/>
          <w:lang w:bidi="ar-EG"/>
        </w:rPr>
        <w:t>وبعد هذه النقاط تتبيّ</w:t>
      </w:r>
      <w:r w:rsidR="006B436A" w:rsidRPr="00282AC9">
        <w:rPr>
          <w:rFonts w:hint="cs"/>
          <w:sz w:val="27"/>
          <w:rtl/>
          <w:lang w:bidi="ar-EG"/>
        </w:rPr>
        <w:t>َ</w:t>
      </w:r>
      <w:r w:rsidRPr="00282AC9">
        <w:rPr>
          <w:rFonts w:hint="cs"/>
          <w:sz w:val="27"/>
          <w:rtl/>
          <w:lang w:bidi="ar-EG"/>
        </w:rPr>
        <w:t>ن الولاية التكوينية للنبيّ وآله المعصومين</w:t>
      </w:r>
      <w:r w:rsidR="00876ECA" w:rsidRPr="00282AC9">
        <w:rPr>
          <w:rFonts w:cs="Mosawi" w:hint="cs"/>
          <w:sz w:val="22"/>
          <w:szCs w:val="22"/>
          <w:rtl/>
        </w:rPr>
        <w:t>^</w:t>
      </w:r>
      <w:r w:rsidRPr="00282AC9">
        <w:rPr>
          <w:rFonts w:hint="cs"/>
          <w:sz w:val="27"/>
          <w:rtl/>
          <w:lang w:bidi="ar-EG"/>
        </w:rPr>
        <w:t>؛ فقد ر</w:t>
      </w:r>
      <w:r w:rsidR="006B436A" w:rsidRPr="00282AC9">
        <w:rPr>
          <w:rFonts w:hint="cs"/>
          <w:sz w:val="27"/>
          <w:rtl/>
          <w:lang w:bidi="ar-EG"/>
        </w:rPr>
        <w:t>ُ</w:t>
      </w:r>
      <w:r w:rsidRPr="00282AC9">
        <w:rPr>
          <w:rFonts w:hint="cs"/>
          <w:sz w:val="27"/>
          <w:rtl/>
          <w:lang w:bidi="ar-EG"/>
        </w:rPr>
        <w:t xml:space="preserve">وي: </w:t>
      </w:r>
      <w:r w:rsidR="006B436A" w:rsidRPr="00282AC9">
        <w:rPr>
          <w:rFonts w:hint="eastAsia"/>
          <w:sz w:val="24"/>
          <w:szCs w:val="24"/>
          <w:rtl/>
        </w:rPr>
        <w:t>«</w:t>
      </w:r>
      <w:r w:rsidR="006B436A" w:rsidRPr="00282AC9">
        <w:rPr>
          <w:rFonts w:hint="cs"/>
          <w:sz w:val="27"/>
          <w:rtl/>
          <w:lang w:bidi="ar-EG"/>
        </w:rPr>
        <w:t>إ</w:t>
      </w:r>
      <w:r w:rsidRPr="00282AC9">
        <w:rPr>
          <w:rFonts w:hint="cs"/>
          <w:sz w:val="27"/>
          <w:rtl/>
          <w:lang w:bidi="ar-EG"/>
        </w:rPr>
        <w:t>نّ أوّل ما خلق الله نور نبيّك</w:t>
      </w:r>
      <w:r w:rsidR="006B436A" w:rsidRPr="00282AC9">
        <w:rPr>
          <w:rFonts w:hint="cs"/>
          <w:sz w:val="27"/>
          <w:rtl/>
          <w:lang w:bidi="ar-EG"/>
        </w:rPr>
        <w:t>،</w:t>
      </w:r>
      <w:r w:rsidRPr="00282AC9">
        <w:rPr>
          <w:rFonts w:hint="cs"/>
          <w:sz w:val="27"/>
          <w:rtl/>
          <w:lang w:bidi="ar-EG"/>
        </w:rPr>
        <w:t xml:space="preserve"> يا جابر</w:t>
      </w:r>
      <w:r w:rsidR="006B436A" w:rsidRPr="00282AC9">
        <w:rPr>
          <w:rFonts w:hint="eastAsia"/>
          <w:sz w:val="24"/>
          <w:szCs w:val="24"/>
          <w:rtl/>
        </w:rPr>
        <w:t>»</w:t>
      </w:r>
      <w:r w:rsidRPr="00282AC9">
        <w:rPr>
          <w:sz w:val="27"/>
          <w:vertAlign w:val="superscript"/>
          <w:rtl/>
          <w:lang w:bidi="ar-EG"/>
        </w:rPr>
        <w:t>(</w:t>
      </w:r>
      <w:r w:rsidRPr="00282AC9">
        <w:rPr>
          <w:rStyle w:val="af9"/>
          <w:sz w:val="27"/>
          <w:rtl/>
          <w:lang w:bidi="ar-EG"/>
        </w:rPr>
        <w:endnoteReference w:id="680"/>
      </w:r>
      <w:r w:rsidRPr="00282AC9">
        <w:rPr>
          <w:sz w:val="27"/>
          <w:vertAlign w:val="superscript"/>
          <w:rtl/>
          <w:lang w:bidi="ar-EG"/>
        </w:rPr>
        <w:t>)</w:t>
      </w:r>
      <w:r w:rsidR="006B436A" w:rsidRPr="00282AC9">
        <w:rPr>
          <w:rFonts w:hint="cs"/>
          <w:sz w:val="27"/>
          <w:rtl/>
          <w:lang w:bidi="ar-EG"/>
        </w:rPr>
        <w:t>؛</w:t>
      </w:r>
      <w:r w:rsidRPr="00282AC9">
        <w:rPr>
          <w:rFonts w:hint="cs"/>
          <w:sz w:val="27"/>
          <w:rtl/>
          <w:lang w:bidi="ar-EG"/>
        </w:rPr>
        <w:t xml:space="preserve"> وأيضاً</w:t>
      </w:r>
      <w:r w:rsidR="006B436A" w:rsidRPr="00282AC9">
        <w:rPr>
          <w:rFonts w:hint="cs"/>
          <w:sz w:val="27"/>
          <w:rtl/>
          <w:lang w:bidi="ar-EG"/>
        </w:rPr>
        <w:t>:</w:t>
      </w:r>
      <w:r w:rsidRPr="00282AC9">
        <w:rPr>
          <w:rFonts w:hint="cs"/>
          <w:sz w:val="27"/>
          <w:rtl/>
          <w:lang w:bidi="ar-EG"/>
        </w:rPr>
        <w:t xml:space="preserve"> </w:t>
      </w:r>
      <w:r w:rsidR="006B436A" w:rsidRPr="00282AC9">
        <w:rPr>
          <w:rFonts w:hint="eastAsia"/>
          <w:sz w:val="24"/>
          <w:szCs w:val="24"/>
          <w:rtl/>
        </w:rPr>
        <w:t>«</w:t>
      </w:r>
      <w:r w:rsidR="006B436A" w:rsidRPr="00282AC9">
        <w:rPr>
          <w:rFonts w:hint="cs"/>
          <w:sz w:val="27"/>
          <w:rtl/>
          <w:lang w:bidi="ar-EG"/>
        </w:rPr>
        <w:t>إ</w:t>
      </w:r>
      <w:r w:rsidRPr="00282AC9">
        <w:rPr>
          <w:rFonts w:hint="cs"/>
          <w:sz w:val="27"/>
          <w:rtl/>
          <w:lang w:bidi="ar-EG"/>
        </w:rPr>
        <w:t>نّ أوّل ما خلق الله العقل</w:t>
      </w:r>
      <w:r w:rsidR="006B436A" w:rsidRPr="00282AC9">
        <w:rPr>
          <w:rFonts w:hint="eastAsia"/>
          <w:sz w:val="24"/>
          <w:szCs w:val="24"/>
          <w:rtl/>
        </w:rPr>
        <w:t>»</w:t>
      </w:r>
      <w:r w:rsidRPr="00282AC9">
        <w:rPr>
          <w:sz w:val="27"/>
          <w:vertAlign w:val="superscript"/>
          <w:rtl/>
          <w:lang w:bidi="ar-EG"/>
        </w:rPr>
        <w:t>(</w:t>
      </w:r>
      <w:r w:rsidRPr="00282AC9">
        <w:rPr>
          <w:rStyle w:val="af9"/>
          <w:sz w:val="27"/>
          <w:rtl/>
          <w:lang w:bidi="ar-EG"/>
        </w:rPr>
        <w:endnoteReference w:id="681"/>
      </w:r>
      <w:r w:rsidRPr="00282AC9">
        <w:rPr>
          <w:sz w:val="27"/>
          <w:vertAlign w:val="superscript"/>
          <w:rtl/>
          <w:lang w:bidi="ar-EG"/>
        </w:rPr>
        <w:t>)</w:t>
      </w:r>
      <w:r w:rsidR="006B436A" w:rsidRPr="00282AC9">
        <w:rPr>
          <w:rFonts w:hint="cs"/>
          <w:sz w:val="27"/>
          <w:rtl/>
          <w:lang w:bidi="ar-EG"/>
        </w:rPr>
        <w:t>؛</w:t>
      </w:r>
      <w:r w:rsidRPr="00282AC9">
        <w:rPr>
          <w:rFonts w:hint="cs"/>
          <w:sz w:val="27"/>
          <w:rtl/>
          <w:lang w:bidi="ar-EG"/>
        </w:rPr>
        <w:t xml:space="preserve"> وأيضاً</w:t>
      </w:r>
      <w:r w:rsidR="006B436A" w:rsidRPr="00282AC9">
        <w:rPr>
          <w:rFonts w:hint="cs"/>
          <w:sz w:val="27"/>
          <w:rtl/>
          <w:lang w:bidi="ar-EG"/>
        </w:rPr>
        <w:t>:</w:t>
      </w:r>
      <w:r w:rsidRPr="00282AC9">
        <w:rPr>
          <w:rFonts w:hint="cs"/>
          <w:sz w:val="27"/>
          <w:rtl/>
          <w:lang w:bidi="ar-EG"/>
        </w:rPr>
        <w:t xml:space="preserve"> </w:t>
      </w:r>
      <w:r w:rsidR="006B436A" w:rsidRPr="00282AC9">
        <w:rPr>
          <w:rFonts w:hint="eastAsia"/>
          <w:sz w:val="24"/>
          <w:szCs w:val="24"/>
          <w:rtl/>
        </w:rPr>
        <w:t>«</w:t>
      </w:r>
      <w:r w:rsidR="006B436A" w:rsidRPr="00282AC9">
        <w:rPr>
          <w:rFonts w:hint="cs"/>
          <w:sz w:val="27"/>
          <w:rtl/>
          <w:lang w:bidi="ar-EG"/>
        </w:rPr>
        <w:t>إ</w:t>
      </w:r>
      <w:r w:rsidRPr="00282AC9">
        <w:rPr>
          <w:rFonts w:hint="cs"/>
          <w:sz w:val="27"/>
          <w:rtl/>
          <w:lang w:bidi="ar-EG"/>
        </w:rPr>
        <w:t>نّ أوّل ما خلق الله القلم</w:t>
      </w:r>
      <w:r w:rsidR="006B436A" w:rsidRPr="00282AC9">
        <w:rPr>
          <w:rFonts w:hint="eastAsia"/>
          <w:sz w:val="24"/>
          <w:szCs w:val="24"/>
          <w:rtl/>
        </w:rPr>
        <w:t>»</w:t>
      </w:r>
      <w:r w:rsidRPr="00282AC9">
        <w:rPr>
          <w:sz w:val="27"/>
          <w:vertAlign w:val="superscript"/>
          <w:rtl/>
          <w:lang w:bidi="ar-EG"/>
        </w:rPr>
        <w:t>(</w:t>
      </w:r>
      <w:r w:rsidRPr="00282AC9">
        <w:rPr>
          <w:rStyle w:val="af9"/>
          <w:sz w:val="27"/>
          <w:rtl/>
          <w:lang w:bidi="ar-EG"/>
        </w:rPr>
        <w:endnoteReference w:id="682"/>
      </w:r>
      <w:r w:rsidRPr="00282AC9">
        <w:rPr>
          <w:sz w:val="27"/>
          <w:vertAlign w:val="superscript"/>
          <w:rtl/>
          <w:lang w:bidi="ar-EG"/>
        </w:rPr>
        <w:t>)</w:t>
      </w:r>
      <w:r w:rsidR="006B436A" w:rsidRPr="00282AC9">
        <w:rPr>
          <w:rFonts w:hint="cs"/>
          <w:sz w:val="27"/>
          <w:rtl/>
          <w:lang w:bidi="ar-EG"/>
        </w:rPr>
        <w:t>.</w:t>
      </w:r>
      <w:r w:rsidRPr="00282AC9">
        <w:rPr>
          <w:rFonts w:hint="cs"/>
          <w:sz w:val="27"/>
          <w:rtl/>
          <w:lang w:bidi="ar-EG"/>
        </w:rPr>
        <w:t xml:space="preserve"> ووجه الجمع بين هذه الأحاديث أنّ المعلول الأول من حيث إنّه مجر</w:t>
      </w:r>
      <w:r w:rsidR="006B436A" w:rsidRPr="00282AC9">
        <w:rPr>
          <w:rFonts w:hint="cs"/>
          <w:sz w:val="27"/>
          <w:rtl/>
          <w:lang w:bidi="ar-EG"/>
        </w:rPr>
        <w:t>ّ</w:t>
      </w:r>
      <w:r w:rsidRPr="00282AC9">
        <w:rPr>
          <w:rFonts w:hint="cs"/>
          <w:sz w:val="27"/>
          <w:rtl/>
          <w:lang w:bidi="ar-EG"/>
        </w:rPr>
        <w:t>د</w:t>
      </w:r>
      <w:r w:rsidR="006B436A" w:rsidRPr="00282AC9">
        <w:rPr>
          <w:rFonts w:hint="cs"/>
          <w:sz w:val="27"/>
          <w:rtl/>
          <w:lang w:bidi="ar-EG"/>
        </w:rPr>
        <w:t>ٌ</w:t>
      </w:r>
      <w:r w:rsidRPr="00282AC9">
        <w:rPr>
          <w:rFonts w:hint="cs"/>
          <w:sz w:val="27"/>
          <w:rtl/>
          <w:lang w:bidi="ar-EG"/>
        </w:rPr>
        <w:t xml:space="preserve"> يعقل ذاته ومبدأه يُسمّى عقلاً، ومن حيث إنّه واسطة</w:t>
      </w:r>
      <w:r w:rsidR="006B436A" w:rsidRPr="00282AC9">
        <w:rPr>
          <w:rFonts w:hint="cs"/>
          <w:sz w:val="27"/>
          <w:rtl/>
          <w:lang w:bidi="ar-EG"/>
        </w:rPr>
        <w:t>ٌ</w:t>
      </w:r>
      <w:r w:rsidRPr="00282AC9">
        <w:rPr>
          <w:rFonts w:hint="cs"/>
          <w:sz w:val="27"/>
          <w:rtl/>
          <w:lang w:bidi="ar-EG"/>
        </w:rPr>
        <w:t xml:space="preserve"> في صدور </w:t>
      </w:r>
      <w:r w:rsidRPr="00282AC9">
        <w:rPr>
          <w:rFonts w:hint="cs"/>
          <w:sz w:val="27"/>
          <w:rtl/>
          <w:lang w:bidi="ar-EG"/>
        </w:rPr>
        <w:lastRenderedPageBreak/>
        <w:t>سائر الموجودات يُسمّى قلماً، ومن حيث توس</w:t>
      </w:r>
      <w:r w:rsidR="006B436A" w:rsidRPr="00282AC9">
        <w:rPr>
          <w:rFonts w:hint="cs"/>
          <w:sz w:val="27"/>
          <w:rtl/>
          <w:lang w:bidi="ar-EG"/>
        </w:rPr>
        <w:t>ّ</w:t>
      </w:r>
      <w:r w:rsidRPr="00282AC9">
        <w:rPr>
          <w:rFonts w:hint="cs"/>
          <w:sz w:val="27"/>
          <w:rtl/>
          <w:lang w:bidi="ar-EG"/>
        </w:rPr>
        <w:t>طه في إفاضة أنوار الأنبياء والأئم</w:t>
      </w:r>
      <w:r w:rsidR="006B436A" w:rsidRPr="00282AC9">
        <w:rPr>
          <w:rFonts w:hint="cs"/>
          <w:sz w:val="27"/>
          <w:rtl/>
          <w:lang w:bidi="ar-EG"/>
        </w:rPr>
        <w:t>ّ</w:t>
      </w:r>
      <w:r w:rsidRPr="00282AC9">
        <w:rPr>
          <w:rFonts w:hint="cs"/>
          <w:sz w:val="27"/>
          <w:rtl/>
          <w:lang w:bidi="ar-EG"/>
        </w:rPr>
        <w:t>ة</w:t>
      </w:r>
      <w:r w:rsidR="00876ECA" w:rsidRPr="00282AC9">
        <w:rPr>
          <w:rFonts w:cs="Mosawi" w:hint="cs"/>
          <w:sz w:val="22"/>
          <w:szCs w:val="22"/>
          <w:rtl/>
        </w:rPr>
        <w:t>^</w:t>
      </w:r>
      <w:r w:rsidRPr="00282AC9">
        <w:rPr>
          <w:rFonts w:hint="cs"/>
          <w:sz w:val="27"/>
          <w:rtl/>
          <w:lang w:bidi="ar-EG"/>
        </w:rPr>
        <w:t xml:space="preserve"> في هذا العالم يُسمّى نوراً محمّدياً</w:t>
      </w:r>
      <w:r w:rsidR="006B436A" w:rsidRPr="00282AC9">
        <w:rPr>
          <w:rFonts w:hint="cs"/>
          <w:sz w:val="27"/>
          <w:rtl/>
          <w:lang w:bidi="ar-EG"/>
        </w:rPr>
        <w:t xml:space="preserve">. </w:t>
      </w:r>
      <w:r w:rsidRPr="00282AC9">
        <w:rPr>
          <w:rFonts w:hint="cs"/>
          <w:sz w:val="27"/>
          <w:rtl/>
          <w:lang w:bidi="ar-EG"/>
        </w:rPr>
        <w:t>وبناءً على هذه الأحاديث يكون العقل الأوّل هو النور المحمّدي</w:t>
      </w:r>
      <w:r w:rsidR="006B436A" w:rsidRPr="00282AC9">
        <w:rPr>
          <w:rFonts w:hint="cs"/>
          <w:sz w:val="27"/>
          <w:rtl/>
          <w:lang w:bidi="ar-EG"/>
        </w:rPr>
        <w:t>.</w:t>
      </w:r>
      <w:r w:rsidRPr="00282AC9">
        <w:rPr>
          <w:rFonts w:hint="cs"/>
          <w:sz w:val="27"/>
          <w:rtl/>
          <w:lang w:bidi="ar-EG"/>
        </w:rPr>
        <w:t xml:space="preserve"> فالنور المحمّدي هو من عالم الجبروت. وعلى أساس النقطتين الأولى والثالثة قوس النزول يبدأ من عالم الجبروت</w:t>
      </w:r>
      <w:r w:rsidR="006B436A" w:rsidRPr="00282AC9">
        <w:rPr>
          <w:rFonts w:hint="cs"/>
          <w:sz w:val="27"/>
          <w:rtl/>
          <w:lang w:bidi="ar-EG"/>
        </w:rPr>
        <w:t>،</w:t>
      </w:r>
      <w:r w:rsidRPr="00282AC9">
        <w:rPr>
          <w:rFonts w:hint="cs"/>
          <w:sz w:val="27"/>
          <w:rtl/>
          <w:lang w:bidi="ar-EG"/>
        </w:rPr>
        <w:t xml:space="preserve"> وينتهي إلى عالم الناسوت. وعلى أساس النقطة الثالثة نهاية قوس الصعود هي النفس الإنساني</w:t>
      </w:r>
      <w:r w:rsidR="006B436A" w:rsidRPr="00282AC9">
        <w:rPr>
          <w:rFonts w:hint="cs"/>
          <w:sz w:val="27"/>
          <w:rtl/>
          <w:lang w:bidi="ar-EG"/>
        </w:rPr>
        <w:t>ّ</w:t>
      </w:r>
      <w:r w:rsidRPr="00282AC9">
        <w:rPr>
          <w:rFonts w:hint="cs"/>
          <w:sz w:val="27"/>
          <w:rtl/>
          <w:lang w:bidi="ar-EG"/>
        </w:rPr>
        <w:t>ة في مرتبة السرّ. وعلى أساس النقطة الرابعة كلّ فاعل</w:t>
      </w:r>
      <w:r w:rsidR="006B436A" w:rsidRPr="00282AC9">
        <w:rPr>
          <w:rFonts w:hint="cs"/>
          <w:sz w:val="27"/>
          <w:rtl/>
          <w:lang w:bidi="ar-EG"/>
        </w:rPr>
        <w:t>ٍ</w:t>
      </w:r>
      <w:r w:rsidRPr="00282AC9">
        <w:rPr>
          <w:rFonts w:hint="cs"/>
          <w:sz w:val="27"/>
          <w:rtl/>
          <w:lang w:bidi="ar-EG"/>
        </w:rPr>
        <w:t xml:space="preserve"> في قوس النزول له غاية</w:t>
      </w:r>
      <w:r w:rsidR="006B436A" w:rsidRPr="00282AC9">
        <w:rPr>
          <w:rFonts w:hint="cs"/>
          <w:sz w:val="27"/>
          <w:rtl/>
          <w:lang w:bidi="ar-EG"/>
        </w:rPr>
        <w:t>ٌ</w:t>
      </w:r>
      <w:r w:rsidRPr="00282AC9">
        <w:rPr>
          <w:rFonts w:hint="cs"/>
          <w:sz w:val="27"/>
          <w:rtl/>
          <w:lang w:bidi="ar-EG"/>
        </w:rPr>
        <w:t xml:space="preserve"> في قوس الصعود، ويت</w:t>
      </w:r>
      <w:r w:rsidR="006B436A" w:rsidRPr="00282AC9">
        <w:rPr>
          <w:rFonts w:hint="cs"/>
          <w:sz w:val="27"/>
          <w:rtl/>
          <w:lang w:bidi="ar-EG"/>
        </w:rPr>
        <w:t>ّ</w:t>
      </w:r>
      <w:r w:rsidRPr="00282AC9">
        <w:rPr>
          <w:rFonts w:hint="cs"/>
          <w:sz w:val="27"/>
          <w:rtl/>
          <w:lang w:bidi="ar-EG"/>
        </w:rPr>
        <w:t>حد ذو الغاية بالغاية عند انتهاء دائرة الوجود</w:t>
      </w:r>
      <w:r w:rsidR="006B436A" w:rsidRPr="00282AC9">
        <w:rPr>
          <w:rFonts w:hint="cs"/>
          <w:sz w:val="27"/>
          <w:rtl/>
          <w:lang w:bidi="ar-EG"/>
        </w:rPr>
        <w:t>.</w:t>
      </w:r>
      <w:r w:rsidRPr="00282AC9">
        <w:rPr>
          <w:rFonts w:hint="cs"/>
          <w:sz w:val="27"/>
          <w:rtl/>
          <w:lang w:bidi="ar-EG"/>
        </w:rPr>
        <w:t xml:space="preserve"> وعلى أساس النقطة الخامسة المراتب العالية في قوس النزول لها فاعلي</w:t>
      </w:r>
      <w:r w:rsidR="006B436A" w:rsidRPr="00282AC9">
        <w:rPr>
          <w:rFonts w:hint="cs"/>
          <w:sz w:val="27"/>
          <w:rtl/>
          <w:lang w:bidi="ar-EG"/>
        </w:rPr>
        <w:t>ّ</w:t>
      </w:r>
      <w:r w:rsidRPr="00282AC9">
        <w:rPr>
          <w:rFonts w:hint="cs"/>
          <w:sz w:val="27"/>
          <w:rtl/>
          <w:lang w:bidi="ar-EG"/>
        </w:rPr>
        <w:t>ة</w:t>
      </w:r>
      <w:r w:rsidR="006B436A" w:rsidRPr="00282AC9">
        <w:rPr>
          <w:rFonts w:hint="cs"/>
          <w:sz w:val="27"/>
          <w:rtl/>
          <w:lang w:bidi="ar-EG"/>
        </w:rPr>
        <w:t>ٌ</w:t>
      </w:r>
      <w:r w:rsidRPr="00282AC9">
        <w:rPr>
          <w:rFonts w:hint="cs"/>
          <w:sz w:val="27"/>
          <w:rtl/>
          <w:lang w:bidi="ar-EG"/>
        </w:rPr>
        <w:t xml:space="preserve"> بمعنى ما به الوجود، فيسري هذا الحكم للغاية من جهة ات</w:t>
      </w:r>
      <w:r w:rsidR="006B436A" w:rsidRPr="00282AC9">
        <w:rPr>
          <w:rFonts w:hint="cs"/>
          <w:sz w:val="27"/>
          <w:rtl/>
          <w:lang w:bidi="ar-EG"/>
        </w:rPr>
        <w:t>ّ</w:t>
      </w:r>
      <w:r w:rsidRPr="00282AC9">
        <w:rPr>
          <w:rFonts w:hint="cs"/>
          <w:sz w:val="27"/>
          <w:rtl/>
          <w:lang w:bidi="ar-EG"/>
        </w:rPr>
        <w:t>حادها مع ذي الغاية، فتكون تلك النفوس الق</w:t>
      </w:r>
      <w:r w:rsidR="006B436A" w:rsidRPr="00282AC9">
        <w:rPr>
          <w:rFonts w:hint="cs"/>
          <w:sz w:val="27"/>
          <w:rtl/>
          <w:lang w:bidi="ar-EG"/>
        </w:rPr>
        <w:t>ُ</w:t>
      </w:r>
      <w:r w:rsidRPr="00282AC9">
        <w:rPr>
          <w:rFonts w:hint="cs"/>
          <w:sz w:val="27"/>
          <w:rtl/>
          <w:lang w:bidi="ar-EG"/>
        </w:rPr>
        <w:t>د</w:t>
      </w:r>
      <w:r w:rsidR="006B436A" w:rsidRPr="00282AC9">
        <w:rPr>
          <w:rFonts w:hint="cs"/>
          <w:sz w:val="27"/>
          <w:rtl/>
          <w:lang w:bidi="ar-EG"/>
        </w:rPr>
        <w:t>ْ</w:t>
      </w:r>
      <w:r w:rsidRPr="00282AC9">
        <w:rPr>
          <w:rFonts w:hint="cs"/>
          <w:sz w:val="27"/>
          <w:rtl/>
          <w:lang w:bidi="ar-EG"/>
        </w:rPr>
        <w:t>سية في قوس الصعود من جهة روحانيتها ونورانيتها واسطة</w:t>
      </w:r>
      <w:r w:rsidR="006B436A" w:rsidRPr="00282AC9">
        <w:rPr>
          <w:rFonts w:hint="cs"/>
          <w:sz w:val="27"/>
          <w:rtl/>
          <w:lang w:bidi="ar-EG"/>
        </w:rPr>
        <w:t>ً</w:t>
      </w:r>
      <w:r w:rsidRPr="00282AC9">
        <w:rPr>
          <w:rFonts w:hint="cs"/>
          <w:sz w:val="27"/>
          <w:rtl/>
          <w:lang w:bidi="ar-EG"/>
        </w:rPr>
        <w:t xml:space="preserve"> في الإفاضة والإيجاد</w:t>
      </w:r>
      <w:r w:rsidR="006B436A" w:rsidRPr="00282AC9">
        <w:rPr>
          <w:rFonts w:hint="cs"/>
          <w:sz w:val="27"/>
          <w:rtl/>
          <w:lang w:bidi="ar-EG"/>
        </w:rPr>
        <w:t>.</w:t>
      </w:r>
      <w:r w:rsidRPr="00282AC9">
        <w:rPr>
          <w:rFonts w:hint="cs"/>
          <w:sz w:val="27"/>
          <w:rtl/>
          <w:lang w:bidi="ar-EG"/>
        </w:rPr>
        <w:t xml:space="preserve"> فم</w:t>
      </w:r>
      <w:r w:rsidR="006B436A" w:rsidRPr="00282AC9">
        <w:rPr>
          <w:rFonts w:hint="cs"/>
          <w:sz w:val="27"/>
          <w:rtl/>
          <w:lang w:bidi="ar-EG"/>
        </w:rPr>
        <w:t>َ</w:t>
      </w:r>
      <w:r w:rsidRPr="00282AC9">
        <w:rPr>
          <w:rFonts w:hint="cs"/>
          <w:sz w:val="27"/>
          <w:rtl/>
          <w:lang w:bidi="ar-EG"/>
        </w:rPr>
        <w:t>ن</w:t>
      </w:r>
      <w:r w:rsidR="006B436A" w:rsidRPr="00282AC9">
        <w:rPr>
          <w:rFonts w:hint="cs"/>
          <w:sz w:val="27"/>
          <w:rtl/>
          <w:lang w:bidi="ar-EG"/>
        </w:rPr>
        <w:t>ْ</w:t>
      </w:r>
      <w:r w:rsidRPr="00282AC9">
        <w:rPr>
          <w:rFonts w:hint="cs"/>
          <w:sz w:val="27"/>
          <w:rtl/>
          <w:lang w:bidi="ar-EG"/>
        </w:rPr>
        <w:t xml:space="preserve"> يلتزم بعدم هذه الواسطة يلتزم بعدم ما ي</w:t>
      </w:r>
      <w:r w:rsidR="008D55CB" w:rsidRPr="00282AC9">
        <w:rPr>
          <w:rFonts w:hint="cs"/>
          <w:sz w:val="27"/>
          <w:rtl/>
          <w:lang w:bidi="ar-EG"/>
        </w:rPr>
        <w:t>ُ</w:t>
      </w:r>
      <w:r w:rsidRPr="00282AC9">
        <w:rPr>
          <w:rFonts w:hint="cs"/>
          <w:sz w:val="27"/>
          <w:rtl/>
          <w:lang w:bidi="ar-EG"/>
        </w:rPr>
        <w:t>بتدأ به عالم الوجود نزولاً، وهذا إنكار</w:t>
      </w:r>
      <w:r w:rsidR="00272982" w:rsidRPr="00282AC9">
        <w:rPr>
          <w:rFonts w:hint="cs"/>
          <w:sz w:val="27"/>
          <w:rtl/>
          <w:lang w:bidi="ar-EG"/>
        </w:rPr>
        <w:t>ٌ</w:t>
      </w:r>
      <w:r w:rsidRPr="00282AC9">
        <w:rPr>
          <w:rFonts w:hint="cs"/>
          <w:sz w:val="27"/>
          <w:rtl/>
          <w:lang w:bidi="ar-EG"/>
        </w:rPr>
        <w:t xml:space="preserve"> للعوالم التي هي في طول هذا العالم</w:t>
      </w:r>
      <w:r w:rsidR="00272982" w:rsidRPr="00282AC9">
        <w:rPr>
          <w:rFonts w:hint="cs"/>
          <w:sz w:val="27"/>
          <w:rtl/>
          <w:lang w:bidi="ar-EG"/>
        </w:rPr>
        <w:t>.</w:t>
      </w:r>
      <w:r w:rsidRPr="00282AC9">
        <w:rPr>
          <w:rFonts w:hint="cs"/>
          <w:sz w:val="27"/>
          <w:rtl/>
          <w:lang w:bidi="ar-EG"/>
        </w:rPr>
        <w:t xml:space="preserve"> وقد ثبتت هذه العوالم بقاعدة إمكان الأشرف، كما تقد</w:t>
      </w:r>
      <w:r w:rsidR="00272982" w:rsidRPr="00282AC9">
        <w:rPr>
          <w:rFonts w:hint="cs"/>
          <w:sz w:val="27"/>
          <w:rtl/>
          <w:lang w:bidi="ar-EG"/>
        </w:rPr>
        <w:t>َّ</w:t>
      </w:r>
      <w:r w:rsidRPr="00282AC9">
        <w:rPr>
          <w:rFonts w:hint="cs"/>
          <w:sz w:val="27"/>
          <w:rtl/>
          <w:lang w:bidi="ar-EG"/>
        </w:rPr>
        <w:t>م في النقطة الثانية</w:t>
      </w:r>
      <w:r w:rsidR="00272982" w:rsidRPr="00282AC9">
        <w:rPr>
          <w:rFonts w:hint="cs"/>
          <w:sz w:val="27"/>
          <w:rtl/>
          <w:lang w:bidi="ar-EG"/>
        </w:rPr>
        <w:t>.</w:t>
      </w:r>
    </w:p>
    <w:p w:rsidR="00DA6FB6" w:rsidRPr="00282AC9" w:rsidRDefault="00DA6FB6" w:rsidP="00C57B75">
      <w:pPr>
        <w:rPr>
          <w:sz w:val="27"/>
          <w:rtl/>
          <w:lang w:bidi="ar-EG"/>
        </w:rPr>
      </w:pPr>
      <w:r w:rsidRPr="00282AC9">
        <w:rPr>
          <w:rFonts w:hint="cs"/>
          <w:sz w:val="27"/>
          <w:rtl/>
          <w:lang w:bidi="ar-EG"/>
        </w:rPr>
        <w:t>وعلى ضوء ما تقد</w:t>
      </w:r>
      <w:r w:rsidR="00272982" w:rsidRPr="00282AC9">
        <w:rPr>
          <w:rFonts w:hint="cs"/>
          <w:sz w:val="27"/>
          <w:rtl/>
          <w:lang w:bidi="ar-EG"/>
        </w:rPr>
        <w:t>َّ</w:t>
      </w:r>
      <w:r w:rsidRPr="00282AC9">
        <w:rPr>
          <w:rFonts w:hint="cs"/>
          <w:sz w:val="27"/>
          <w:rtl/>
          <w:lang w:bidi="ar-EG"/>
        </w:rPr>
        <w:t xml:space="preserve">م </w:t>
      </w:r>
      <w:r w:rsidR="00272982" w:rsidRPr="00282AC9">
        <w:rPr>
          <w:rFonts w:hint="cs"/>
          <w:sz w:val="27"/>
          <w:rtl/>
          <w:lang w:bidi="ar-EG"/>
        </w:rPr>
        <w:t xml:space="preserve">قال </w:t>
      </w:r>
      <w:r w:rsidRPr="00282AC9">
        <w:rPr>
          <w:rFonts w:hint="cs"/>
          <w:sz w:val="27"/>
          <w:rtl/>
          <w:lang w:bidi="ar-EG"/>
        </w:rPr>
        <w:t>المحق</w:t>
      </w:r>
      <w:r w:rsidR="00272982" w:rsidRPr="00282AC9">
        <w:rPr>
          <w:rFonts w:hint="cs"/>
          <w:sz w:val="27"/>
          <w:rtl/>
          <w:lang w:bidi="ar-EG"/>
        </w:rPr>
        <w:t>ِّ</w:t>
      </w:r>
      <w:r w:rsidRPr="00282AC9">
        <w:rPr>
          <w:rFonts w:hint="cs"/>
          <w:sz w:val="27"/>
          <w:rtl/>
          <w:lang w:bidi="ar-EG"/>
        </w:rPr>
        <w:t>ق الأصفهاني</w:t>
      </w:r>
      <w:r w:rsidR="009A2A04" w:rsidRPr="00282AC9">
        <w:rPr>
          <w:rFonts w:cs="Mosawi" w:hint="cs"/>
          <w:sz w:val="22"/>
          <w:szCs w:val="22"/>
          <w:rtl/>
          <w:lang w:bidi="ar-EG"/>
        </w:rPr>
        <w:t>&amp;</w:t>
      </w:r>
      <w:r w:rsidR="00272982" w:rsidRPr="00282AC9">
        <w:rPr>
          <w:rFonts w:hint="cs"/>
          <w:sz w:val="27"/>
          <w:rtl/>
          <w:lang w:bidi="ar-EG"/>
        </w:rPr>
        <w:t>؛</w:t>
      </w:r>
      <w:r w:rsidRPr="00282AC9">
        <w:rPr>
          <w:rFonts w:hint="cs"/>
          <w:sz w:val="27"/>
          <w:rtl/>
          <w:lang w:bidi="ar-EG"/>
        </w:rPr>
        <w:t xml:space="preserve"> لإثبات كونهم عللاً فاعلي</w:t>
      </w:r>
      <w:r w:rsidR="00272982" w:rsidRPr="00282AC9">
        <w:rPr>
          <w:rFonts w:hint="cs"/>
          <w:sz w:val="27"/>
          <w:rtl/>
          <w:lang w:bidi="ar-EG"/>
        </w:rPr>
        <w:t>ّ</w:t>
      </w:r>
      <w:r w:rsidRPr="00282AC9">
        <w:rPr>
          <w:rFonts w:hint="cs"/>
          <w:sz w:val="27"/>
          <w:rtl/>
          <w:lang w:bidi="ar-EG"/>
        </w:rPr>
        <w:t xml:space="preserve">ة: </w:t>
      </w:r>
      <w:r w:rsidR="00272982" w:rsidRPr="00282AC9">
        <w:rPr>
          <w:rFonts w:hint="eastAsia"/>
          <w:sz w:val="24"/>
          <w:szCs w:val="24"/>
          <w:rtl/>
        </w:rPr>
        <w:t>«</w:t>
      </w:r>
      <w:r w:rsidRPr="00282AC9">
        <w:rPr>
          <w:rFonts w:hint="cs"/>
          <w:sz w:val="27"/>
          <w:rtl/>
          <w:lang w:bidi="ar-EG"/>
        </w:rPr>
        <w:t>فالإنسان الكامل المحمّدي</w:t>
      </w:r>
      <w:r w:rsidR="009A2A04" w:rsidRPr="00282AC9">
        <w:rPr>
          <w:rFonts w:cs="Mosawi" w:hint="cs"/>
          <w:sz w:val="22"/>
          <w:szCs w:val="22"/>
          <w:rtl/>
          <w:lang w:bidi="ar-EG"/>
        </w:rPr>
        <w:t>|</w:t>
      </w:r>
      <w:r w:rsidRPr="00282AC9">
        <w:rPr>
          <w:rFonts w:hint="cs"/>
          <w:sz w:val="27"/>
          <w:rtl/>
          <w:lang w:bidi="ar-EG"/>
        </w:rPr>
        <w:t xml:space="preserve"> في هذه الدائرة العظيمة</w:t>
      </w:r>
      <w:r w:rsidR="00272982" w:rsidRPr="00282AC9">
        <w:rPr>
          <w:rFonts w:hint="cs"/>
          <w:sz w:val="27"/>
          <w:rtl/>
          <w:lang w:bidi="ar-EG"/>
        </w:rPr>
        <w:t>،</w:t>
      </w:r>
      <w:r w:rsidRPr="00282AC9">
        <w:rPr>
          <w:rFonts w:hint="cs"/>
          <w:sz w:val="27"/>
          <w:rtl/>
          <w:lang w:bidi="ar-EG"/>
        </w:rPr>
        <w:t xml:space="preserve"> وغيره من النفوس الق</w:t>
      </w:r>
      <w:r w:rsidR="00272982" w:rsidRPr="00282AC9">
        <w:rPr>
          <w:rFonts w:hint="cs"/>
          <w:sz w:val="27"/>
          <w:rtl/>
          <w:lang w:bidi="ar-EG"/>
        </w:rPr>
        <w:t>ُ</w:t>
      </w:r>
      <w:r w:rsidRPr="00282AC9">
        <w:rPr>
          <w:rFonts w:hint="cs"/>
          <w:sz w:val="27"/>
          <w:rtl/>
          <w:lang w:bidi="ar-EG"/>
        </w:rPr>
        <w:t>د</w:t>
      </w:r>
      <w:r w:rsidR="00272982" w:rsidRPr="00282AC9">
        <w:rPr>
          <w:rFonts w:hint="cs"/>
          <w:sz w:val="27"/>
          <w:rtl/>
          <w:lang w:bidi="ar-EG"/>
        </w:rPr>
        <w:t>ْ</w:t>
      </w:r>
      <w:r w:rsidRPr="00282AC9">
        <w:rPr>
          <w:rFonts w:hint="cs"/>
          <w:sz w:val="27"/>
          <w:rtl/>
          <w:lang w:bidi="ar-EG"/>
        </w:rPr>
        <w:t>سية في سائر الدوائر</w:t>
      </w:r>
      <w:r w:rsidR="00272982" w:rsidRPr="00282AC9">
        <w:rPr>
          <w:rFonts w:hint="cs"/>
          <w:sz w:val="27"/>
          <w:rtl/>
          <w:lang w:bidi="ar-EG"/>
        </w:rPr>
        <w:t>؛</w:t>
      </w:r>
      <w:r w:rsidRPr="00282AC9">
        <w:rPr>
          <w:rFonts w:hint="cs"/>
          <w:sz w:val="27"/>
          <w:rtl/>
          <w:lang w:bidi="ar-EG"/>
        </w:rPr>
        <w:t xml:space="preserve"> بلحاظ ات</w:t>
      </w:r>
      <w:r w:rsidR="00272982" w:rsidRPr="00282AC9">
        <w:rPr>
          <w:rFonts w:hint="cs"/>
          <w:sz w:val="27"/>
          <w:rtl/>
          <w:lang w:bidi="ar-EG"/>
        </w:rPr>
        <w:t>ّ</w:t>
      </w:r>
      <w:r w:rsidRPr="00282AC9">
        <w:rPr>
          <w:rFonts w:hint="cs"/>
          <w:sz w:val="27"/>
          <w:rtl/>
          <w:lang w:bidi="ar-EG"/>
        </w:rPr>
        <w:t>حاده بالفواعل العالية</w:t>
      </w:r>
      <w:r w:rsidR="00272982" w:rsidRPr="00282AC9">
        <w:rPr>
          <w:rFonts w:hint="cs"/>
          <w:sz w:val="27"/>
          <w:rtl/>
          <w:lang w:bidi="ar-EG"/>
        </w:rPr>
        <w:t>،</w:t>
      </w:r>
      <w:r w:rsidRPr="00282AC9">
        <w:rPr>
          <w:rFonts w:hint="cs"/>
          <w:sz w:val="27"/>
          <w:rtl/>
          <w:lang w:bidi="ar-EG"/>
        </w:rPr>
        <w:t xml:space="preserve"> واسطة</w:t>
      </w:r>
      <w:r w:rsidR="00272982" w:rsidRPr="00282AC9">
        <w:rPr>
          <w:rFonts w:hint="cs"/>
          <w:sz w:val="27"/>
          <w:rtl/>
          <w:lang w:bidi="ar-EG"/>
        </w:rPr>
        <w:t>ٌ</w:t>
      </w:r>
      <w:r w:rsidRPr="00282AC9">
        <w:rPr>
          <w:rFonts w:hint="cs"/>
          <w:sz w:val="27"/>
          <w:rtl/>
          <w:lang w:bidi="ar-EG"/>
        </w:rPr>
        <w:t xml:space="preserve"> في الإفاضة بروحاني</w:t>
      </w:r>
      <w:r w:rsidR="00272982" w:rsidRPr="00282AC9">
        <w:rPr>
          <w:rFonts w:hint="cs"/>
          <w:sz w:val="27"/>
          <w:rtl/>
          <w:lang w:bidi="ar-EG"/>
        </w:rPr>
        <w:t>ّ</w:t>
      </w:r>
      <w:r w:rsidRPr="00282AC9">
        <w:rPr>
          <w:rFonts w:hint="cs"/>
          <w:sz w:val="27"/>
          <w:rtl/>
          <w:lang w:bidi="ar-EG"/>
        </w:rPr>
        <w:t>تها ونوراني</w:t>
      </w:r>
      <w:r w:rsidR="00272982" w:rsidRPr="00282AC9">
        <w:rPr>
          <w:rFonts w:hint="cs"/>
          <w:sz w:val="27"/>
          <w:rtl/>
          <w:lang w:bidi="ar-EG"/>
        </w:rPr>
        <w:t>ّ</w:t>
      </w:r>
      <w:r w:rsidRPr="00282AC9">
        <w:rPr>
          <w:rFonts w:hint="cs"/>
          <w:sz w:val="27"/>
          <w:rtl/>
          <w:lang w:bidi="ar-EG"/>
        </w:rPr>
        <w:t>تها</w:t>
      </w:r>
      <w:r w:rsidR="00272982" w:rsidRPr="00282AC9">
        <w:rPr>
          <w:rFonts w:hint="cs"/>
          <w:sz w:val="27"/>
          <w:rtl/>
          <w:lang w:bidi="ar-EG"/>
        </w:rPr>
        <w:t xml:space="preserve">. </w:t>
      </w:r>
      <w:r w:rsidRPr="00282AC9">
        <w:rPr>
          <w:rFonts w:hint="cs"/>
          <w:sz w:val="27"/>
          <w:rtl/>
          <w:lang w:bidi="ar-EG"/>
        </w:rPr>
        <w:t>فالالتزام بعدم ما ينتهي إليه الدائرة التزامٌ بعدم ما تبتدئ به، والالتزام بعدمه التزام</w:t>
      </w:r>
      <w:r w:rsidR="00272982" w:rsidRPr="00282AC9">
        <w:rPr>
          <w:rFonts w:hint="cs"/>
          <w:sz w:val="27"/>
          <w:rtl/>
          <w:lang w:bidi="ar-EG"/>
        </w:rPr>
        <w:t>ٌ</w:t>
      </w:r>
      <w:r w:rsidRPr="00282AC9">
        <w:rPr>
          <w:rFonts w:hint="cs"/>
          <w:sz w:val="27"/>
          <w:rtl/>
          <w:lang w:bidi="ar-EG"/>
        </w:rPr>
        <w:t xml:space="preserve"> بعدم فاعل ما به الوجود، فيوجب الالتزام بعدم سائر العوالم التي هي في طول هذا العالم</w:t>
      </w:r>
      <w:r w:rsidR="00272982" w:rsidRPr="00282AC9">
        <w:rPr>
          <w:rFonts w:hint="eastAsia"/>
          <w:sz w:val="24"/>
          <w:szCs w:val="24"/>
          <w:rtl/>
        </w:rPr>
        <w:t>»</w:t>
      </w:r>
      <w:r w:rsidRPr="00282AC9">
        <w:rPr>
          <w:sz w:val="27"/>
          <w:vertAlign w:val="superscript"/>
          <w:rtl/>
          <w:lang w:bidi="ar-EG"/>
        </w:rPr>
        <w:t>(</w:t>
      </w:r>
      <w:r w:rsidRPr="00282AC9">
        <w:rPr>
          <w:rStyle w:val="af9"/>
          <w:sz w:val="27"/>
          <w:rtl/>
          <w:lang w:bidi="ar-EG"/>
        </w:rPr>
        <w:endnoteReference w:id="683"/>
      </w:r>
      <w:r w:rsidRPr="00282AC9">
        <w:rPr>
          <w:sz w:val="27"/>
          <w:vertAlign w:val="superscript"/>
          <w:rtl/>
          <w:lang w:bidi="ar-EG"/>
        </w:rPr>
        <w:t>)</w:t>
      </w:r>
      <w:r w:rsidRPr="00282AC9">
        <w:rPr>
          <w:rFonts w:hint="cs"/>
          <w:sz w:val="27"/>
          <w:rtl/>
          <w:lang w:bidi="ar-EG"/>
        </w:rPr>
        <w:t>.</w:t>
      </w:r>
    </w:p>
    <w:p w:rsidR="0064200B" w:rsidRPr="00282AC9" w:rsidRDefault="0064200B" w:rsidP="0064200B">
      <w:pPr>
        <w:spacing w:line="420" w:lineRule="exact"/>
        <w:rPr>
          <w:sz w:val="27"/>
          <w:rtl/>
        </w:rPr>
      </w:pPr>
    </w:p>
    <w:p w:rsidR="00131FAE" w:rsidRPr="00282AC9" w:rsidRDefault="00131FAE" w:rsidP="00C61C4F">
      <w:pPr>
        <w:pStyle w:val="31"/>
        <w:rPr>
          <w:color w:val="auto"/>
          <w:rtl/>
          <w:lang w:bidi="ar-EG"/>
        </w:rPr>
      </w:pPr>
      <w:r w:rsidRPr="00282AC9">
        <w:rPr>
          <w:rFonts w:hint="cs"/>
          <w:color w:val="auto"/>
          <w:rtl/>
          <w:lang w:bidi="ar-EG"/>
        </w:rPr>
        <w:t>مناقش</w:t>
      </w:r>
      <w:r w:rsidR="00C61C4F" w:rsidRPr="00282AC9">
        <w:rPr>
          <w:rFonts w:hint="cs"/>
          <w:color w:val="auto"/>
          <w:rtl/>
          <w:lang w:bidi="ar-EG"/>
        </w:rPr>
        <w:t>اتٌ واعتراض</w:t>
      </w:r>
    </w:p>
    <w:p w:rsidR="00DA6FB6" w:rsidRPr="00282AC9" w:rsidRDefault="00DA6FB6" w:rsidP="00C57B75">
      <w:pPr>
        <w:rPr>
          <w:sz w:val="27"/>
          <w:rtl/>
          <w:lang w:bidi="ar-EG"/>
        </w:rPr>
      </w:pPr>
      <w:r w:rsidRPr="00282AC9">
        <w:rPr>
          <w:rFonts w:hint="cs"/>
          <w:sz w:val="27"/>
          <w:rtl/>
          <w:lang w:bidi="ar-EG"/>
        </w:rPr>
        <w:t>وقد ن</w:t>
      </w:r>
      <w:r w:rsidR="00272982" w:rsidRPr="00282AC9">
        <w:rPr>
          <w:rFonts w:hint="cs"/>
          <w:sz w:val="27"/>
          <w:rtl/>
          <w:lang w:bidi="ar-EG"/>
        </w:rPr>
        <w:t>ُ</w:t>
      </w:r>
      <w:r w:rsidRPr="00282AC9">
        <w:rPr>
          <w:rFonts w:hint="cs"/>
          <w:sz w:val="27"/>
          <w:rtl/>
          <w:lang w:bidi="ar-EG"/>
        </w:rPr>
        <w:t>وقش هذا المعنى للولاية التكوينية بعدّة وجوه</w:t>
      </w:r>
      <w:r w:rsidR="00272982" w:rsidRPr="00282AC9">
        <w:rPr>
          <w:rFonts w:hint="cs"/>
          <w:sz w:val="27"/>
          <w:rtl/>
          <w:lang w:bidi="ar-EG"/>
        </w:rPr>
        <w:t>ٍ</w:t>
      </w:r>
      <w:r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الوجه الأوّل</w:t>
      </w:r>
      <w:r w:rsidRPr="00282AC9">
        <w:rPr>
          <w:rFonts w:hint="cs"/>
          <w:sz w:val="27"/>
          <w:rtl/>
          <w:lang w:bidi="ar-EG"/>
        </w:rPr>
        <w:t xml:space="preserve">: </w:t>
      </w:r>
      <w:r w:rsidR="00272982" w:rsidRPr="00282AC9">
        <w:rPr>
          <w:rFonts w:hint="cs"/>
          <w:sz w:val="27"/>
          <w:rtl/>
          <w:lang w:bidi="ar-EG"/>
        </w:rPr>
        <w:t>إ</w:t>
      </w:r>
      <w:r w:rsidRPr="00282AC9">
        <w:rPr>
          <w:rFonts w:hint="cs"/>
          <w:sz w:val="27"/>
          <w:rtl/>
          <w:lang w:bidi="ar-EG"/>
        </w:rPr>
        <w:t>نّها تستلزم التفويض، والتفويض يوجب الشرك في الربوبية</w:t>
      </w:r>
      <w:r w:rsidR="00272982" w:rsidRPr="00282AC9">
        <w:rPr>
          <w:rFonts w:hint="cs"/>
          <w:sz w:val="27"/>
          <w:rtl/>
          <w:lang w:bidi="ar-EG"/>
        </w:rPr>
        <w:t>،</w:t>
      </w:r>
      <w:r w:rsidRPr="00282AC9">
        <w:rPr>
          <w:rFonts w:hint="cs"/>
          <w:sz w:val="27"/>
          <w:rtl/>
          <w:lang w:bidi="ar-EG"/>
        </w:rPr>
        <w:t xml:space="preserve"> كما تقد</w:t>
      </w:r>
      <w:r w:rsidR="00272982" w:rsidRPr="00282AC9">
        <w:rPr>
          <w:rFonts w:hint="cs"/>
          <w:sz w:val="27"/>
          <w:rtl/>
          <w:lang w:bidi="ar-EG"/>
        </w:rPr>
        <w:t>َّ</w:t>
      </w:r>
      <w:r w:rsidRPr="00282AC9">
        <w:rPr>
          <w:rFonts w:hint="cs"/>
          <w:sz w:val="27"/>
          <w:rtl/>
          <w:lang w:bidi="ar-EG"/>
        </w:rPr>
        <w:t>م في التصوير الأوّل للولاية التكوينية.</w:t>
      </w:r>
    </w:p>
    <w:p w:rsidR="00DA6FB6" w:rsidRPr="00282AC9" w:rsidRDefault="00272982" w:rsidP="00C57B75">
      <w:pPr>
        <w:rPr>
          <w:sz w:val="27"/>
          <w:rtl/>
          <w:lang w:bidi="ar-EG"/>
        </w:rPr>
      </w:pPr>
      <w:r w:rsidRPr="00282AC9">
        <w:rPr>
          <w:rFonts w:hint="cs"/>
          <w:sz w:val="27"/>
          <w:rtl/>
          <w:lang w:bidi="ar-EG"/>
        </w:rPr>
        <w:t>و</w:t>
      </w:r>
      <w:r w:rsidR="00DA6FB6" w:rsidRPr="00282AC9">
        <w:rPr>
          <w:rFonts w:hint="cs"/>
          <w:sz w:val="27"/>
          <w:rtl/>
          <w:lang w:bidi="ar-EG"/>
        </w:rPr>
        <w:t>هذا الردّ مخدوش</w:t>
      </w:r>
      <w:r w:rsidRPr="00282AC9">
        <w:rPr>
          <w:rFonts w:hint="cs"/>
          <w:sz w:val="27"/>
          <w:rtl/>
          <w:lang w:bidi="ar-EG"/>
        </w:rPr>
        <w:t>ٌ</w:t>
      </w:r>
      <w:r w:rsidR="00DA6FB6" w:rsidRPr="00282AC9">
        <w:rPr>
          <w:rFonts w:hint="cs"/>
          <w:sz w:val="27"/>
          <w:rtl/>
          <w:lang w:bidi="ar-EG"/>
        </w:rPr>
        <w:t>؛ لأنّ التفويض هو إرجاع الأمر إلى الغير، وهذه الولاية لا تكون إرجاعاً لأمر التدبير إلى الغير من وجهة نظر الفلاسفة؛ لأنّ عالم الجبروت بنظرهم لازم</w:t>
      </w:r>
      <w:r w:rsidR="00D31D7F" w:rsidRPr="00282AC9">
        <w:rPr>
          <w:rFonts w:hint="cs"/>
          <w:sz w:val="27"/>
          <w:rtl/>
          <w:lang w:bidi="ar-EG"/>
        </w:rPr>
        <w:t>ُ</w:t>
      </w:r>
      <w:r w:rsidR="00DA6FB6" w:rsidRPr="00282AC9">
        <w:rPr>
          <w:rFonts w:hint="cs"/>
          <w:sz w:val="27"/>
          <w:rtl/>
          <w:lang w:bidi="ar-EG"/>
        </w:rPr>
        <w:t xml:space="preserve"> وجود الباري تبارك وتعالى، فموجود</w:t>
      </w:r>
      <w:r w:rsidR="00D31D7F" w:rsidRPr="00282AC9">
        <w:rPr>
          <w:rFonts w:hint="cs"/>
          <w:sz w:val="27"/>
          <w:rtl/>
          <w:lang w:bidi="ar-EG"/>
        </w:rPr>
        <w:t>ٌ</w:t>
      </w:r>
      <w:r w:rsidR="00DA6FB6" w:rsidRPr="00282AC9">
        <w:rPr>
          <w:rFonts w:hint="cs"/>
          <w:sz w:val="27"/>
          <w:rtl/>
          <w:lang w:bidi="ar-EG"/>
        </w:rPr>
        <w:t xml:space="preserve"> بوجوده، فيكون من الصقع </w:t>
      </w:r>
      <w:r w:rsidR="00DA6FB6" w:rsidRPr="00282AC9">
        <w:rPr>
          <w:rFonts w:hint="cs"/>
          <w:sz w:val="27"/>
          <w:rtl/>
          <w:lang w:bidi="ar-EG"/>
        </w:rPr>
        <w:lastRenderedPageBreak/>
        <w:t>الربوبي</w:t>
      </w:r>
      <w:r w:rsidR="00D31D7F" w:rsidRPr="00282AC9">
        <w:rPr>
          <w:rFonts w:hint="cs"/>
          <w:sz w:val="27"/>
          <w:rtl/>
          <w:lang w:bidi="ar-EG"/>
        </w:rPr>
        <w:t>ّ</w:t>
      </w:r>
      <w:r w:rsidR="00DA6FB6" w:rsidRPr="00282AC9">
        <w:rPr>
          <w:rFonts w:hint="cs"/>
          <w:sz w:val="27"/>
          <w:rtl/>
          <w:lang w:bidi="ar-EG"/>
        </w:rPr>
        <w:t xml:space="preserve">، فلا يكون </w:t>
      </w:r>
      <w:r w:rsidR="00C3031C" w:rsidRPr="00282AC9">
        <w:rPr>
          <w:rFonts w:hint="cs"/>
          <w:sz w:val="27"/>
          <w:rtl/>
          <w:lang w:bidi="ar-EG"/>
        </w:rPr>
        <w:t>موجوداً بخلقه ـ أي إيجاده من العدم ـ</w:t>
      </w:r>
      <w:r w:rsidR="00DA6FB6" w:rsidRPr="00282AC9">
        <w:rPr>
          <w:rFonts w:hint="cs"/>
          <w:sz w:val="27"/>
          <w:rtl/>
          <w:lang w:bidi="ar-EG"/>
        </w:rPr>
        <w:t xml:space="preserve"> حت</w:t>
      </w:r>
      <w:r w:rsidR="00D31D7F" w:rsidRPr="00282AC9">
        <w:rPr>
          <w:rFonts w:hint="cs"/>
          <w:sz w:val="27"/>
          <w:rtl/>
          <w:lang w:bidi="ar-EG"/>
        </w:rPr>
        <w:t>ّ</w:t>
      </w:r>
      <w:r w:rsidR="00DA6FB6" w:rsidRPr="00282AC9">
        <w:rPr>
          <w:rFonts w:hint="cs"/>
          <w:sz w:val="27"/>
          <w:rtl/>
          <w:lang w:bidi="ar-EG"/>
        </w:rPr>
        <w:t>ى يكون توسيطه للإفاضة من قبيل</w:t>
      </w:r>
      <w:r w:rsidR="00D31D7F" w:rsidRPr="00282AC9">
        <w:rPr>
          <w:rFonts w:hint="cs"/>
          <w:sz w:val="27"/>
          <w:rtl/>
          <w:lang w:bidi="ar-EG"/>
        </w:rPr>
        <w:t>:</w:t>
      </w:r>
      <w:r w:rsidR="00DA6FB6" w:rsidRPr="00282AC9">
        <w:rPr>
          <w:rFonts w:hint="cs"/>
          <w:sz w:val="27"/>
          <w:rtl/>
          <w:lang w:bidi="ar-EG"/>
        </w:rPr>
        <w:t xml:space="preserve"> تسليم أمر التدبير إلى الغير، ويستلزم ذلك إذا كان الشيء موجوداً ب</w:t>
      </w:r>
      <w:r w:rsidR="00C3031C" w:rsidRPr="00282AC9">
        <w:rPr>
          <w:rFonts w:hint="cs"/>
          <w:sz w:val="27"/>
          <w:rtl/>
          <w:lang w:bidi="ar-EG"/>
        </w:rPr>
        <w:t>خلقه</w:t>
      </w:r>
      <w:r w:rsidR="00DA6FB6" w:rsidRPr="00282AC9">
        <w:rPr>
          <w:rFonts w:hint="cs"/>
          <w:sz w:val="27"/>
          <w:rtl/>
          <w:lang w:bidi="ar-EG"/>
        </w:rPr>
        <w:t xml:space="preserve"> كما كان هذا المعنى وارداً على تصوير الولاية القائم على قول المتكل</w:t>
      </w:r>
      <w:r w:rsidR="00D31D7F" w:rsidRPr="00282AC9">
        <w:rPr>
          <w:rFonts w:hint="cs"/>
          <w:sz w:val="27"/>
          <w:rtl/>
          <w:lang w:bidi="ar-EG"/>
        </w:rPr>
        <w:t>ِّ</w:t>
      </w:r>
      <w:r w:rsidR="00DA6FB6" w:rsidRPr="00282AC9">
        <w:rPr>
          <w:rFonts w:hint="cs"/>
          <w:sz w:val="27"/>
          <w:rtl/>
          <w:lang w:bidi="ar-EG"/>
        </w:rPr>
        <w:t>مين؛ لأنّ النبي</w:t>
      </w:r>
      <w:r w:rsidR="00D31D7F" w:rsidRPr="00282AC9">
        <w:rPr>
          <w:rFonts w:hint="cs"/>
          <w:sz w:val="27"/>
          <w:rtl/>
          <w:lang w:bidi="ar-EG"/>
        </w:rPr>
        <w:t>ّ</w:t>
      </w:r>
      <w:r w:rsidR="00DA6FB6" w:rsidRPr="00282AC9">
        <w:rPr>
          <w:rFonts w:hint="cs"/>
          <w:sz w:val="27"/>
          <w:rtl/>
          <w:lang w:bidi="ar-EG"/>
        </w:rPr>
        <w:t xml:space="preserve"> والأئم</w:t>
      </w:r>
      <w:r w:rsidR="00D31D7F" w:rsidRPr="00282AC9">
        <w:rPr>
          <w:rFonts w:hint="cs"/>
          <w:sz w:val="27"/>
          <w:rtl/>
          <w:lang w:bidi="ar-EG"/>
        </w:rPr>
        <w:t>ّ</w:t>
      </w:r>
      <w:r w:rsidR="00DA6FB6" w:rsidRPr="00282AC9">
        <w:rPr>
          <w:rFonts w:hint="cs"/>
          <w:sz w:val="27"/>
          <w:rtl/>
          <w:lang w:bidi="ar-EG"/>
        </w:rPr>
        <w:t>ة</w:t>
      </w:r>
      <w:r w:rsidR="00876ECA" w:rsidRPr="00282AC9">
        <w:rPr>
          <w:rFonts w:cs="Mosawi" w:hint="cs"/>
          <w:sz w:val="22"/>
          <w:szCs w:val="22"/>
          <w:rtl/>
        </w:rPr>
        <w:t>^</w:t>
      </w:r>
      <w:r w:rsidR="00DA6FB6" w:rsidRPr="00282AC9">
        <w:rPr>
          <w:rFonts w:hint="cs"/>
          <w:sz w:val="27"/>
          <w:rtl/>
          <w:lang w:bidi="ar-EG"/>
        </w:rPr>
        <w:t xml:space="preserve"> حادث</w:t>
      </w:r>
      <w:r w:rsidR="00D31D7F" w:rsidRPr="00282AC9">
        <w:rPr>
          <w:rFonts w:hint="cs"/>
          <w:sz w:val="27"/>
          <w:rtl/>
          <w:lang w:bidi="ar-EG"/>
        </w:rPr>
        <w:t>ٌ،</w:t>
      </w:r>
      <w:r w:rsidR="00DA6FB6" w:rsidRPr="00282AC9">
        <w:rPr>
          <w:rFonts w:hint="cs"/>
          <w:sz w:val="27"/>
          <w:rtl/>
          <w:lang w:bidi="ar-EG"/>
        </w:rPr>
        <w:t xml:space="preserve"> على قولهم، فيكون وجودهم بإيجاد الله تبارك وتعالى</w:t>
      </w:r>
      <w:r w:rsidR="00C3031C" w:rsidRPr="00282AC9">
        <w:rPr>
          <w:rFonts w:hint="cs"/>
          <w:sz w:val="27"/>
          <w:rtl/>
          <w:lang w:bidi="ar-EG"/>
        </w:rPr>
        <w:t xml:space="preserve"> من العدم</w:t>
      </w:r>
      <w:r w:rsidR="00D31D7F" w:rsidRPr="00282AC9">
        <w:rPr>
          <w:rFonts w:hint="cs"/>
          <w:sz w:val="27"/>
          <w:rtl/>
          <w:lang w:bidi="ar-EG"/>
        </w:rPr>
        <w:t>.</w:t>
      </w:r>
      <w:r w:rsidR="00DA6FB6" w:rsidRPr="00282AC9">
        <w:rPr>
          <w:rFonts w:hint="cs"/>
          <w:sz w:val="27"/>
          <w:rtl/>
          <w:lang w:bidi="ar-EG"/>
        </w:rPr>
        <w:t xml:space="preserve"> فإرجاع تدبير الخلق إليهم تفويض</w:t>
      </w:r>
      <w:r w:rsidR="00D31D7F" w:rsidRPr="00282AC9">
        <w:rPr>
          <w:rFonts w:hint="cs"/>
          <w:sz w:val="27"/>
          <w:rtl/>
          <w:lang w:bidi="ar-EG"/>
        </w:rPr>
        <w:t>ٌ</w:t>
      </w:r>
      <w:r w:rsidR="00DA6FB6" w:rsidRPr="00282AC9">
        <w:rPr>
          <w:rFonts w:hint="cs"/>
          <w:sz w:val="27"/>
          <w:rtl/>
          <w:lang w:bidi="ar-EG"/>
        </w:rPr>
        <w:t xml:space="preserve"> لأمر التدبير إلى الغير، وهذا شرك</w:t>
      </w:r>
      <w:r w:rsidR="00D31D7F" w:rsidRPr="00282AC9">
        <w:rPr>
          <w:rFonts w:hint="cs"/>
          <w:sz w:val="27"/>
          <w:rtl/>
          <w:lang w:bidi="ar-EG"/>
        </w:rPr>
        <w:t>ٌ</w:t>
      </w:r>
      <w:r w:rsidR="00DA6FB6" w:rsidRPr="00282AC9">
        <w:rPr>
          <w:rFonts w:hint="cs"/>
          <w:sz w:val="27"/>
          <w:rtl/>
          <w:lang w:bidi="ar-EG"/>
        </w:rPr>
        <w:t xml:space="preserve"> في الربوبية.</w:t>
      </w:r>
    </w:p>
    <w:p w:rsidR="00DA6FB6" w:rsidRPr="00282AC9" w:rsidRDefault="00DA6FB6" w:rsidP="0064200B">
      <w:pPr>
        <w:spacing w:line="422" w:lineRule="exact"/>
        <w:rPr>
          <w:sz w:val="27"/>
          <w:rtl/>
          <w:lang w:bidi="ar-EG"/>
        </w:rPr>
      </w:pPr>
      <w:r w:rsidRPr="00282AC9">
        <w:rPr>
          <w:rFonts w:hint="cs"/>
          <w:b/>
          <w:bCs/>
          <w:sz w:val="27"/>
          <w:rtl/>
          <w:lang w:bidi="ar-EG"/>
        </w:rPr>
        <w:t>الوجه الثاني</w:t>
      </w:r>
      <w:r w:rsidRPr="00282AC9">
        <w:rPr>
          <w:rFonts w:hint="cs"/>
          <w:sz w:val="27"/>
          <w:rtl/>
          <w:lang w:bidi="ar-EG"/>
        </w:rPr>
        <w:t xml:space="preserve">: </w:t>
      </w:r>
      <w:r w:rsidR="005200F3" w:rsidRPr="00282AC9">
        <w:rPr>
          <w:rFonts w:hint="cs"/>
          <w:sz w:val="27"/>
          <w:rtl/>
          <w:lang w:bidi="ar-EG"/>
        </w:rPr>
        <w:t>وهو للشيخ السبحاني</w:t>
      </w:r>
      <w:r w:rsidR="005200F3" w:rsidRPr="00282AC9">
        <w:rPr>
          <w:sz w:val="27"/>
          <w:vertAlign w:val="superscript"/>
          <w:rtl/>
          <w:lang w:bidi="ar-EG"/>
        </w:rPr>
        <w:t>(</w:t>
      </w:r>
      <w:r w:rsidR="005200F3" w:rsidRPr="00282AC9">
        <w:rPr>
          <w:rStyle w:val="af9"/>
          <w:sz w:val="27"/>
          <w:rtl/>
          <w:lang w:bidi="ar-EG"/>
        </w:rPr>
        <w:endnoteReference w:id="684"/>
      </w:r>
      <w:r w:rsidR="005200F3" w:rsidRPr="00282AC9">
        <w:rPr>
          <w:sz w:val="27"/>
          <w:vertAlign w:val="superscript"/>
          <w:rtl/>
          <w:lang w:bidi="ar-EG"/>
        </w:rPr>
        <w:t>)</w:t>
      </w:r>
      <w:r w:rsidRPr="00282AC9">
        <w:rPr>
          <w:rFonts w:hint="cs"/>
          <w:sz w:val="27"/>
          <w:rtl/>
          <w:lang w:bidi="ar-EG"/>
        </w:rPr>
        <w:t xml:space="preserve">، وحاصله: </w:t>
      </w:r>
      <w:r w:rsidR="005200F3" w:rsidRPr="00282AC9">
        <w:rPr>
          <w:rFonts w:hint="cs"/>
          <w:sz w:val="27"/>
          <w:rtl/>
          <w:lang w:bidi="ar-EG"/>
        </w:rPr>
        <w:t>إ</w:t>
      </w:r>
      <w:r w:rsidRPr="00282AC9">
        <w:rPr>
          <w:rFonts w:hint="cs"/>
          <w:sz w:val="27"/>
          <w:rtl/>
          <w:lang w:bidi="ar-EG"/>
        </w:rPr>
        <w:t>نّ هذه النفوس الق</w:t>
      </w:r>
      <w:r w:rsidR="005200F3" w:rsidRPr="00282AC9">
        <w:rPr>
          <w:rFonts w:hint="cs"/>
          <w:sz w:val="27"/>
          <w:rtl/>
          <w:lang w:bidi="ar-EG"/>
        </w:rPr>
        <w:t>ُ</w:t>
      </w:r>
      <w:r w:rsidRPr="00282AC9">
        <w:rPr>
          <w:rFonts w:hint="cs"/>
          <w:sz w:val="27"/>
          <w:rtl/>
          <w:lang w:bidi="ar-EG"/>
        </w:rPr>
        <w:t>د</w:t>
      </w:r>
      <w:r w:rsidR="005200F3" w:rsidRPr="00282AC9">
        <w:rPr>
          <w:rFonts w:hint="cs"/>
          <w:sz w:val="27"/>
          <w:rtl/>
          <w:lang w:bidi="ar-EG"/>
        </w:rPr>
        <w:t>ْ</w:t>
      </w:r>
      <w:r w:rsidRPr="00282AC9">
        <w:rPr>
          <w:rFonts w:hint="cs"/>
          <w:sz w:val="27"/>
          <w:rtl/>
          <w:lang w:bidi="ar-EG"/>
        </w:rPr>
        <w:t>سي</w:t>
      </w:r>
      <w:r w:rsidR="005200F3" w:rsidRPr="00282AC9">
        <w:rPr>
          <w:rFonts w:hint="cs"/>
          <w:sz w:val="27"/>
          <w:rtl/>
          <w:lang w:bidi="ar-EG"/>
        </w:rPr>
        <w:t>ّ</w:t>
      </w:r>
      <w:r w:rsidRPr="00282AC9">
        <w:rPr>
          <w:rFonts w:hint="cs"/>
          <w:sz w:val="27"/>
          <w:rtl/>
          <w:lang w:bidi="ar-EG"/>
        </w:rPr>
        <w:t>ة لو كانت في مرتبة العلّة الفاعلي</w:t>
      </w:r>
      <w:r w:rsidR="005200F3" w:rsidRPr="00282AC9">
        <w:rPr>
          <w:rFonts w:hint="cs"/>
          <w:sz w:val="27"/>
          <w:rtl/>
          <w:lang w:bidi="ar-EG"/>
        </w:rPr>
        <w:t>ّ</w:t>
      </w:r>
      <w:r w:rsidRPr="00282AC9">
        <w:rPr>
          <w:rFonts w:hint="cs"/>
          <w:sz w:val="27"/>
          <w:rtl/>
          <w:lang w:bidi="ar-EG"/>
        </w:rPr>
        <w:t xml:space="preserve">ة لعالم الطبيعة </w:t>
      </w:r>
      <w:r w:rsidR="005200F3" w:rsidRPr="00282AC9">
        <w:rPr>
          <w:rFonts w:hint="cs"/>
          <w:sz w:val="27"/>
          <w:rtl/>
          <w:lang w:bidi="ar-EG"/>
        </w:rPr>
        <w:t>ل</w:t>
      </w:r>
      <w:r w:rsidRPr="00282AC9">
        <w:rPr>
          <w:rFonts w:hint="cs"/>
          <w:sz w:val="27"/>
          <w:rtl/>
          <w:lang w:bidi="ar-EG"/>
        </w:rPr>
        <w:t>لزم تقد</w:t>
      </w:r>
      <w:r w:rsidR="005200F3" w:rsidRPr="00282AC9">
        <w:rPr>
          <w:rFonts w:hint="cs"/>
          <w:sz w:val="27"/>
          <w:rtl/>
          <w:lang w:bidi="ar-EG"/>
        </w:rPr>
        <w:t>ُّ</w:t>
      </w:r>
      <w:r w:rsidRPr="00282AC9">
        <w:rPr>
          <w:rFonts w:hint="cs"/>
          <w:sz w:val="27"/>
          <w:rtl/>
          <w:lang w:bidi="ar-EG"/>
        </w:rPr>
        <w:t>م الشيء على نفسه؛ لأنّ هذه النفوس في مرتبة المعلول للعلل الطبيعية، فإنّ حياتهم تتوق</w:t>
      </w:r>
      <w:r w:rsidR="005200F3" w:rsidRPr="00282AC9">
        <w:rPr>
          <w:rFonts w:hint="cs"/>
          <w:sz w:val="27"/>
          <w:rtl/>
          <w:lang w:bidi="ar-EG"/>
        </w:rPr>
        <w:t>َّ</w:t>
      </w:r>
      <w:r w:rsidRPr="00282AC9">
        <w:rPr>
          <w:rFonts w:hint="cs"/>
          <w:sz w:val="27"/>
          <w:rtl/>
          <w:lang w:bidi="ar-EG"/>
        </w:rPr>
        <w:t>ف على الهواء والماء والطعام والدواء، فتتوق</w:t>
      </w:r>
      <w:r w:rsidR="005200F3" w:rsidRPr="00282AC9">
        <w:rPr>
          <w:rFonts w:hint="cs"/>
          <w:sz w:val="27"/>
          <w:rtl/>
          <w:lang w:bidi="ar-EG"/>
        </w:rPr>
        <w:t>َّ</w:t>
      </w:r>
      <w:r w:rsidRPr="00282AC9">
        <w:rPr>
          <w:rFonts w:hint="cs"/>
          <w:sz w:val="27"/>
          <w:rtl/>
          <w:lang w:bidi="ar-EG"/>
        </w:rPr>
        <w:t>ف حياتهم على هذه الأسباب</w:t>
      </w:r>
      <w:r w:rsidR="005200F3" w:rsidRPr="00282AC9">
        <w:rPr>
          <w:rFonts w:hint="cs"/>
          <w:sz w:val="27"/>
          <w:rtl/>
          <w:lang w:bidi="ar-EG"/>
        </w:rPr>
        <w:t>.</w:t>
      </w:r>
      <w:r w:rsidRPr="00282AC9">
        <w:rPr>
          <w:rFonts w:hint="cs"/>
          <w:sz w:val="27"/>
          <w:rtl/>
          <w:lang w:bidi="ar-EG"/>
        </w:rPr>
        <w:t xml:space="preserve"> فلو كانت هذه الذوات في مرتبة العلّة لهذه الأسباب يستلزم تقد</w:t>
      </w:r>
      <w:r w:rsidR="005200F3" w:rsidRPr="00282AC9">
        <w:rPr>
          <w:rFonts w:hint="cs"/>
          <w:sz w:val="27"/>
          <w:rtl/>
          <w:lang w:bidi="ar-EG"/>
        </w:rPr>
        <w:t>ُّ</w:t>
      </w:r>
      <w:r w:rsidRPr="00282AC9">
        <w:rPr>
          <w:rFonts w:hint="cs"/>
          <w:sz w:val="27"/>
          <w:rtl/>
          <w:lang w:bidi="ar-EG"/>
        </w:rPr>
        <w:t>م الشيء على نفسه</w:t>
      </w:r>
      <w:r w:rsidR="005200F3" w:rsidRPr="00282AC9">
        <w:rPr>
          <w:rFonts w:hint="cs"/>
          <w:sz w:val="27"/>
          <w:rtl/>
          <w:lang w:bidi="ar-EG"/>
        </w:rPr>
        <w:t>،</w:t>
      </w:r>
      <w:r w:rsidRPr="00282AC9">
        <w:rPr>
          <w:rFonts w:hint="cs"/>
          <w:sz w:val="27"/>
          <w:rtl/>
          <w:lang w:bidi="ar-EG"/>
        </w:rPr>
        <w:t xml:space="preserve"> وهو محال</w:t>
      </w:r>
      <w:r w:rsidR="005200F3" w:rsidRPr="00282AC9">
        <w:rPr>
          <w:rFonts w:hint="cs"/>
          <w:sz w:val="27"/>
          <w:rtl/>
          <w:lang w:bidi="ar-EG"/>
        </w:rPr>
        <w:t>ٌ</w:t>
      </w:r>
      <w:r w:rsidRPr="00282AC9">
        <w:rPr>
          <w:rFonts w:hint="cs"/>
          <w:sz w:val="27"/>
          <w:rtl/>
          <w:lang w:bidi="ar-EG"/>
        </w:rPr>
        <w:t>.</w:t>
      </w:r>
    </w:p>
    <w:p w:rsidR="00DA6FB6" w:rsidRPr="00282AC9" w:rsidRDefault="00DA6FB6" w:rsidP="0064200B">
      <w:pPr>
        <w:spacing w:line="422" w:lineRule="exact"/>
        <w:rPr>
          <w:sz w:val="27"/>
          <w:rtl/>
          <w:lang w:bidi="ar-EG"/>
        </w:rPr>
      </w:pPr>
      <w:r w:rsidRPr="00282AC9">
        <w:rPr>
          <w:rFonts w:hint="cs"/>
          <w:sz w:val="27"/>
          <w:rtl/>
          <w:lang w:bidi="ar-EG"/>
        </w:rPr>
        <w:t>ولا يمكن المساعدة على هذه المناقشة؛ لأنّ لهذه الذوات الق</w:t>
      </w:r>
      <w:r w:rsidR="005200F3" w:rsidRPr="00282AC9">
        <w:rPr>
          <w:rFonts w:hint="cs"/>
          <w:sz w:val="27"/>
          <w:rtl/>
          <w:lang w:bidi="ar-EG"/>
        </w:rPr>
        <w:t>ُ</w:t>
      </w:r>
      <w:r w:rsidRPr="00282AC9">
        <w:rPr>
          <w:rFonts w:hint="cs"/>
          <w:sz w:val="27"/>
          <w:rtl/>
          <w:lang w:bidi="ar-EG"/>
        </w:rPr>
        <w:t>د</w:t>
      </w:r>
      <w:r w:rsidR="005200F3" w:rsidRPr="00282AC9">
        <w:rPr>
          <w:rFonts w:hint="cs"/>
          <w:sz w:val="27"/>
          <w:rtl/>
          <w:lang w:bidi="ar-EG"/>
        </w:rPr>
        <w:t>ْ</w:t>
      </w:r>
      <w:r w:rsidRPr="00282AC9">
        <w:rPr>
          <w:rFonts w:hint="cs"/>
          <w:sz w:val="27"/>
          <w:rtl/>
          <w:lang w:bidi="ar-EG"/>
        </w:rPr>
        <w:t>سي</w:t>
      </w:r>
      <w:r w:rsidR="005200F3" w:rsidRPr="00282AC9">
        <w:rPr>
          <w:rFonts w:hint="cs"/>
          <w:sz w:val="27"/>
          <w:rtl/>
          <w:lang w:bidi="ar-EG"/>
        </w:rPr>
        <w:t>ّ</w:t>
      </w:r>
      <w:r w:rsidRPr="00282AC9">
        <w:rPr>
          <w:rFonts w:hint="cs"/>
          <w:sz w:val="27"/>
          <w:rtl/>
          <w:lang w:bidi="ar-EG"/>
        </w:rPr>
        <w:t>ة في هذا العالم جهتين:</w:t>
      </w:r>
    </w:p>
    <w:p w:rsidR="00C91A62" w:rsidRPr="00282AC9" w:rsidRDefault="00DA6FB6" w:rsidP="0064200B">
      <w:pPr>
        <w:rPr>
          <w:sz w:val="27"/>
          <w:rtl/>
          <w:lang w:bidi="ar-EG"/>
        </w:rPr>
      </w:pPr>
      <w:r w:rsidRPr="00282AC9">
        <w:rPr>
          <w:rFonts w:hint="cs"/>
          <w:b/>
          <w:bCs/>
          <w:sz w:val="27"/>
          <w:rtl/>
          <w:lang w:bidi="ar-EG"/>
        </w:rPr>
        <w:t>الأولى</w:t>
      </w:r>
      <w:r w:rsidRPr="00282AC9">
        <w:rPr>
          <w:rFonts w:hint="cs"/>
          <w:sz w:val="27"/>
          <w:rtl/>
          <w:lang w:bidi="ar-EG"/>
        </w:rPr>
        <w:t>: الجهة الجسمانية</w:t>
      </w:r>
      <w:r w:rsidR="00C91A62" w:rsidRPr="00282AC9">
        <w:rPr>
          <w:rFonts w:hint="cs"/>
          <w:sz w:val="27"/>
          <w:rtl/>
          <w:lang w:bidi="ar-EG"/>
        </w:rPr>
        <w:t>.</w:t>
      </w:r>
    </w:p>
    <w:p w:rsidR="00DA6FB6" w:rsidRPr="00282AC9" w:rsidRDefault="00DA6FB6" w:rsidP="0064200B">
      <w:pPr>
        <w:spacing w:line="422" w:lineRule="exact"/>
        <w:rPr>
          <w:sz w:val="27"/>
          <w:rtl/>
          <w:lang w:bidi="ar-EG"/>
        </w:rPr>
      </w:pPr>
      <w:r w:rsidRPr="00282AC9">
        <w:rPr>
          <w:rFonts w:hint="cs"/>
          <w:b/>
          <w:bCs/>
          <w:sz w:val="27"/>
          <w:rtl/>
          <w:lang w:bidi="ar-EG"/>
        </w:rPr>
        <w:t>الثانية</w:t>
      </w:r>
      <w:r w:rsidRPr="00282AC9">
        <w:rPr>
          <w:rFonts w:hint="cs"/>
          <w:sz w:val="27"/>
          <w:rtl/>
          <w:lang w:bidi="ar-EG"/>
        </w:rPr>
        <w:t>: الجهة الروحانية</w:t>
      </w:r>
      <w:r w:rsidR="00C91A62" w:rsidRPr="00282AC9">
        <w:rPr>
          <w:rFonts w:hint="cs"/>
          <w:sz w:val="27"/>
          <w:rtl/>
          <w:lang w:bidi="ar-EG"/>
        </w:rPr>
        <w:t>،</w:t>
      </w:r>
      <w:r w:rsidRPr="00282AC9">
        <w:rPr>
          <w:rFonts w:hint="cs"/>
          <w:sz w:val="27"/>
          <w:rtl/>
          <w:lang w:bidi="ar-EG"/>
        </w:rPr>
        <w:t xml:space="preserve"> ولهذه الجهة مراتب، وهي</w:t>
      </w:r>
      <w:r w:rsidR="00C91A62" w:rsidRPr="00282AC9">
        <w:rPr>
          <w:rFonts w:hint="cs"/>
          <w:sz w:val="27"/>
          <w:rtl/>
          <w:lang w:bidi="ar-EG"/>
        </w:rPr>
        <w:t>:</w:t>
      </w:r>
      <w:r w:rsidRPr="00282AC9">
        <w:rPr>
          <w:rFonts w:hint="cs"/>
          <w:sz w:val="27"/>
          <w:rtl/>
          <w:lang w:bidi="ar-EG"/>
        </w:rPr>
        <w:t xml:space="preserve"> مرتبة الطبع إلى مرتبة السرّ</w:t>
      </w:r>
      <w:r w:rsidR="00C91A62" w:rsidRPr="00282AC9">
        <w:rPr>
          <w:rFonts w:hint="cs"/>
          <w:sz w:val="27"/>
          <w:rtl/>
          <w:lang w:bidi="ar-EG"/>
        </w:rPr>
        <w:t>،</w:t>
      </w:r>
      <w:r w:rsidRPr="00282AC9">
        <w:rPr>
          <w:rFonts w:hint="cs"/>
          <w:sz w:val="27"/>
          <w:rtl/>
          <w:lang w:bidi="ar-EG"/>
        </w:rPr>
        <w:t xml:space="preserve"> على قول العرفاء، فإذا وصلت نفوسهم إلى مرتبة السرّ فلا تحتاج إلى البدن</w:t>
      </w:r>
      <w:r w:rsidR="00C91A62" w:rsidRPr="00282AC9">
        <w:rPr>
          <w:rFonts w:hint="cs"/>
          <w:sz w:val="27"/>
          <w:rtl/>
          <w:lang w:bidi="ar-EG"/>
        </w:rPr>
        <w:t>،</w:t>
      </w:r>
      <w:r w:rsidRPr="00282AC9">
        <w:rPr>
          <w:rFonts w:hint="cs"/>
          <w:sz w:val="27"/>
          <w:rtl/>
          <w:lang w:bidi="ar-EG"/>
        </w:rPr>
        <w:t xml:space="preserve"> على قول العرفاء، فيكون الب</w:t>
      </w:r>
      <w:r w:rsidR="00C91A62" w:rsidRPr="00282AC9">
        <w:rPr>
          <w:rFonts w:hint="cs"/>
          <w:sz w:val="27"/>
          <w:rtl/>
          <w:lang w:bidi="ar-EG"/>
        </w:rPr>
        <w:t>َ</w:t>
      </w:r>
      <w:r w:rsidRPr="00282AC9">
        <w:rPr>
          <w:rFonts w:hint="cs"/>
          <w:sz w:val="27"/>
          <w:rtl/>
          <w:lang w:bidi="ar-EG"/>
        </w:rPr>
        <w:t>د</w:t>
      </w:r>
      <w:r w:rsidR="00C91A62" w:rsidRPr="00282AC9">
        <w:rPr>
          <w:rFonts w:hint="cs"/>
          <w:sz w:val="27"/>
          <w:rtl/>
          <w:lang w:bidi="ar-EG"/>
        </w:rPr>
        <w:t>َ</w:t>
      </w:r>
      <w:r w:rsidRPr="00282AC9">
        <w:rPr>
          <w:rFonts w:hint="cs"/>
          <w:sz w:val="27"/>
          <w:rtl/>
          <w:lang w:bidi="ar-EG"/>
        </w:rPr>
        <w:t>ن بمثابة الجلباب، متى شاء يدخل فيه، ومتى شاء يخرج منه</w:t>
      </w:r>
      <w:r w:rsidR="00C91A62" w:rsidRPr="00282AC9">
        <w:rPr>
          <w:rFonts w:hint="cs"/>
          <w:sz w:val="27"/>
          <w:rtl/>
          <w:lang w:bidi="ar-EG"/>
        </w:rPr>
        <w:t>.</w:t>
      </w:r>
      <w:r w:rsidRPr="00282AC9">
        <w:rPr>
          <w:rFonts w:hint="cs"/>
          <w:sz w:val="27"/>
          <w:rtl/>
          <w:lang w:bidi="ar-EG"/>
        </w:rPr>
        <w:t xml:space="preserve"> فيكون احتياجهم إلى الأسباب الطبيعية في حياتهم من الجانب الجسماني</w:t>
      </w:r>
      <w:r w:rsidR="00C91A62" w:rsidRPr="00282AC9">
        <w:rPr>
          <w:rFonts w:hint="cs"/>
          <w:sz w:val="27"/>
          <w:rtl/>
          <w:lang w:bidi="ar-EG"/>
        </w:rPr>
        <w:t>؛</w:t>
      </w:r>
      <w:r w:rsidRPr="00282AC9">
        <w:rPr>
          <w:rFonts w:hint="cs"/>
          <w:sz w:val="27"/>
          <w:rtl/>
          <w:lang w:bidi="ar-EG"/>
        </w:rPr>
        <w:t xml:space="preserve"> فأجسامهم من حيث كونها تتغذ</w:t>
      </w:r>
      <w:r w:rsidR="00C91A62" w:rsidRPr="00282AC9">
        <w:rPr>
          <w:rFonts w:hint="cs"/>
          <w:sz w:val="27"/>
          <w:rtl/>
          <w:lang w:bidi="ar-EG"/>
        </w:rPr>
        <w:t>ّى وتنمو وتول</w:t>
      </w:r>
      <w:r w:rsidRPr="00282AC9">
        <w:rPr>
          <w:rFonts w:hint="cs"/>
          <w:sz w:val="27"/>
          <w:rtl/>
          <w:lang w:bidi="ar-EG"/>
        </w:rPr>
        <w:t>د ـ ومنشأ هذه الأمور هو النفس النباتية ـ</w:t>
      </w:r>
      <w:r w:rsidR="00C91A62" w:rsidRPr="00282AC9">
        <w:rPr>
          <w:rFonts w:hint="cs"/>
          <w:sz w:val="27"/>
          <w:rtl/>
          <w:lang w:bidi="ar-EG"/>
        </w:rPr>
        <w:t>،</w:t>
      </w:r>
      <w:r w:rsidRPr="00282AC9">
        <w:rPr>
          <w:rFonts w:hint="cs"/>
          <w:sz w:val="27"/>
          <w:rtl/>
          <w:lang w:bidi="ar-EG"/>
        </w:rPr>
        <w:t xml:space="preserve"> ومن حيث كونها تحسّ وتتحر</w:t>
      </w:r>
      <w:r w:rsidR="00C91A62" w:rsidRPr="00282AC9">
        <w:rPr>
          <w:rFonts w:hint="cs"/>
          <w:sz w:val="27"/>
          <w:rtl/>
          <w:lang w:bidi="ar-EG"/>
        </w:rPr>
        <w:t>ّ</w:t>
      </w:r>
      <w:r w:rsidRPr="00282AC9">
        <w:rPr>
          <w:rFonts w:hint="cs"/>
          <w:sz w:val="27"/>
          <w:rtl/>
          <w:lang w:bidi="ar-EG"/>
        </w:rPr>
        <w:t xml:space="preserve">ك بالإرادة ـ ومنشؤهما هو النفس الحيوانية </w:t>
      </w:r>
      <w:r w:rsidRPr="00282AC9">
        <w:rPr>
          <w:sz w:val="27"/>
          <w:rtl/>
          <w:lang w:bidi="ar-EG"/>
        </w:rPr>
        <w:t>ـ</w:t>
      </w:r>
      <w:r w:rsidR="00C91A62" w:rsidRPr="00282AC9">
        <w:rPr>
          <w:rFonts w:hint="cs"/>
          <w:sz w:val="27"/>
          <w:rtl/>
          <w:lang w:bidi="ar-EG"/>
        </w:rPr>
        <w:t>،</w:t>
      </w:r>
      <w:r w:rsidRPr="00282AC9">
        <w:rPr>
          <w:rFonts w:hint="cs"/>
          <w:sz w:val="27"/>
          <w:rtl/>
          <w:lang w:bidi="ar-EG"/>
        </w:rPr>
        <w:t xml:space="preserve"> تحتاج إلى تلك الأسباب</w:t>
      </w:r>
      <w:r w:rsidR="00C91A62" w:rsidRPr="00282AC9">
        <w:rPr>
          <w:rFonts w:hint="cs"/>
          <w:sz w:val="27"/>
          <w:rtl/>
          <w:lang w:bidi="ar-EG"/>
        </w:rPr>
        <w:t>.</w:t>
      </w:r>
      <w:r w:rsidRPr="00282AC9">
        <w:rPr>
          <w:rFonts w:hint="cs"/>
          <w:sz w:val="27"/>
          <w:rtl/>
          <w:lang w:bidi="ar-EG"/>
        </w:rPr>
        <w:t xml:space="preserve"> وأمّا من جانب النفس الناطقة في المراتب الدنيا، مثل</w:t>
      </w:r>
      <w:r w:rsidR="00C91A62" w:rsidRPr="00282AC9">
        <w:rPr>
          <w:rFonts w:hint="cs"/>
          <w:sz w:val="27"/>
          <w:rtl/>
          <w:lang w:bidi="ar-EG"/>
        </w:rPr>
        <w:t>:</w:t>
      </w:r>
      <w:r w:rsidRPr="00282AC9">
        <w:rPr>
          <w:rFonts w:hint="cs"/>
          <w:sz w:val="27"/>
          <w:rtl/>
          <w:lang w:bidi="ar-EG"/>
        </w:rPr>
        <w:t xml:space="preserve"> مرتبة الطبع والنفس</w:t>
      </w:r>
      <w:r w:rsidR="00C91A62" w:rsidRPr="00282AC9">
        <w:rPr>
          <w:rFonts w:hint="cs"/>
          <w:sz w:val="27"/>
          <w:rtl/>
          <w:lang w:bidi="ar-EG"/>
        </w:rPr>
        <w:t>،</w:t>
      </w:r>
      <w:r w:rsidRPr="00282AC9">
        <w:rPr>
          <w:rFonts w:hint="cs"/>
          <w:sz w:val="27"/>
          <w:rtl/>
          <w:lang w:bidi="ar-EG"/>
        </w:rPr>
        <w:t xml:space="preserve"> فيحتاج </w:t>
      </w:r>
      <w:r w:rsidRPr="00282AC9">
        <w:rPr>
          <w:sz w:val="27"/>
          <w:rtl/>
          <w:lang w:bidi="ar-EG"/>
        </w:rPr>
        <w:t>ـ</w:t>
      </w:r>
      <w:r w:rsidRPr="00282AC9">
        <w:rPr>
          <w:rFonts w:hint="cs"/>
          <w:sz w:val="27"/>
          <w:rtl/>
          <w:lang w:bidi="ar-EG"/>
        </w:rPr>
        <w:t xml:space="preserve"> أيضاً ـ إلى تلك الأسباب</w:t>
      </w:r>
      <w:r w:rsidR="00C91A62" w:rsidRPr="00282AC9">
        <w:rPr>
          <w:rFonts w:hint="cs"/>
          <w:sz w:val="27"/>
          <w:rtl/>
          <w:lang w:bidi="ar-EG"/>
        </w:rPr>
        <w:t>.</w:t>
      </w:r>
      <w:r w:rsidRPr="00282AC9">
        <w:rPr>
          <w:rFonts w:hint="cs"/>
          <w:sz w:val="27"/>
          <w:rtl/>
          <w:lang w:bidi="ar-EG"/>
        </w:rPr>
        <w:t xml:space="preserve"> وأمّا النفس الناطقة في المراتب العليا</w:t>
      </w:r>
      <w:r w:rsidR="00C91A62" w:rsidRPr="00282AC9">
        <w:rPr>
          <w:rFonts w:hint="cs"/>
          <w:sz w:val="27"/>
          <w:rtl/>
          <w:lang w:bidi="ar-EG"/>
        </w:rPr>
        <w:t>،</w:t>
      </w:r>
      <w:r w:rsidRPr="00282AC9">
        <w:rPr>
          <w:rFonts w:hint="cs"/>
          <w:sz w:val="27"/>
          <w:rtl/>
          <w:lang w:bidi="ar-EG"/>
        </w:rPr>
        <w:t xml:space="preserve"> مثل</w:t>
      </w:r>
      <w:r w:rsidR="00C91A62" w:rsidRPr="00282AC9">
        <w:rPr>
          <w:rFonts w:hint="cs"/>
          <w:sz w:val="27"/>
          <w:rtl/>
          <w:lang w:bidi="ar-EG"/>
        </w:rPr>
        <w:t>:</w:t>
      </w:r>
      <w:r w:rsidRPr="00282AC9">
        <w:rPr>
          <w:rFonts w:hint="cs"/>
          <w:sz w:val="27"/>
          <w:rtl/>
          <w:lang w:bidi="ar-EG"/>
        </w:rPr>
        <w:t xml:space="preserve"> مرتبة الروح والسرّ والخفيّ والأخفى</w:t>
      </w:r>
      <w:r w:rsidR="00C91A62" w:rsidRPr="00282AC9">
        <w:rPr>
          <w:rFonts w:hint="cs"/>
          <w:sz w:val="27"/>
          <w:rtl/>
          <w:lang w:bidi="ar-EG"/>
        </w:rPr>
        <w:t>،</w:t>
      </w:r>
      <w:r w:rsidRPr="00282AC9">
        <w:rPr>
          <w:rFonts w:hint="cs"/>
          <w:sz w:val="27"/>
          <w:rtl/>
          <w:lang w:bidi="ar-EG"/>
        </w:rPr>
        <w:t xml:space="preserve"> فلا تحتاج إلى تلك الأسباب</w:t>
      </w:r>
      <w:r w:rsidR="00C91A62" w:rsidRPr="00282AC9">
        <w:rPr>
          <w:rFonts w:hint="cs"/>
          <w:sz w:val="27"/>
          <w:rtl/>
          <w:lang w:bidi="ar-EG"/>
        </w:rPr>
        <w:t>.</w:t>
      </w:r>
      <w:r w:rsidRPr="00282AC9">
        <w:rPr>
          <w:rFonts w:hint="cs"/>
          <w:sz w:val="27"/>
          <w:rtl/>
          <w:lang w:bidi="ar-EG"/>
        </w:rPr>
        <w:t xml:space="preserve"> والولاية التكوينية للذوات الق</w:t>
      </w:r>
      <w:r w:rsidR="00C91A62" w:rsidRPr="00282AC9">
        <w:rPr>
          <w:rFonts w:hint="cs"/>
          <w:sz w:val="27"/>
          <w:rtl/>
          <w:lang w:bidi="ar-EG"/>
        </w:rPr>
        <w:t>ُ</w:t>
      </w:r>
      <w:r w:rsidRPr="00282AC9">
        <w:rPr>
          <w:rFonts w:hint="cs"/>
          <w:sz w:val="27"/>
          <w:rtl/>
          <w:lang w:bidi="ar-EG"/>
        </w:rPr>
        <w:t>د</w:t>
      </w:r>
      <w:r w:rsidR="00C91A62" w:rsidRPr="00282AC9">
        <w:rPr>
          <w:rFonts w:hint="cs"/>
          <w:sz w:val="27"/>
          <w:rtl/>
          <w:lang w:bidi="ar-EG"/>
        </w:rPr>
        <w:t>ْ</w:t>
      </w:r>
      <w:r w:rsidRPr="00282AC9">
        <w:rPr>
          <w:rFonts w:hint="cs"/>
          <w:sz w:val="27"/>
          <w:rtl/>
          <w:lang w:bidi="ar-EG"/>
        </w:rPr>
        <w:t>سي</w:t>
      </w:r>
      <w:r w:rsidR="00C91A62" w:rsidRPr="00282AC9">
        <w:rPr>
          <w:rFonts w:hint="cs"/>
          <w:sz w:val="27"/>
          <w:rtl/>
          <w:lang w:bidi="ar-EG"/>
        </w:rPr>
        <w:t>ّ</w:t>
      </w:r>
      <w:r w:rsidRPr="00282AC9">
        <w:rPr>
          <w:rFonts w:hint="cs"/>
          <w:sz w:val="27"/>
          <w:rtl/>
          <w:lang w:bidi="ar-EG"/>
        </w:rPr>
        <w:t>ة تكون من جهة النفس الناطقة بمراتبها العليا</w:t>
      </w:r>
      <w:r w:rsidR="00C91A62" w:rsidRPr="00282AC9">
        <w:rPr>
          <w:rFonts w:hint="cs"/>
          <w:sz w:val="27"/>
          <w:rtl/>
          <w:lang w:bidi="ar-EG"/>
        </w:rPr>
        <w:t>،</w:t>
      </w:r>
      <w:r w:rsidRPr="00282AC9">
        <w:rPr>
          <w:rFonts w:hint="cs"/>
          <w:sz w:val="27"/>
          <w:rtl/>
          <w:lang w:bidi="ar-EG"/>
        </w:rPr>
        <w:t xml:space="preserve"> لا بمراتبها الدنيا، فلا ي</w:t>
      </w:r>
      <w:r w:rsidR="00C91A62" w:rsidRPr="00282AC9">
        <w:rPr>
          <w:rFonts w:hint="cs"/>
          <w:sz w:val="27"/>
          <w:rtl/>
          <w:lang w:bidi="ar-EG"/>
        </w:rPr>
        <w:t>َرِ</w:t>
      </w:r>
      <w:r w:rsidRPr="00282AC9">
        <w:rPr>
          <w:rFonts w:hint="cs"/>
          <w:sz w:val="27"/>
          <w:rtl/>
          <w:lang w:bidi="ar-EG"/>
        </w:rPr>
        <w:t>د</w:t>
      </w:r>
      <w:r w:rsidR="00C91A62" w:rsidRPr="00282AC9">
        <w:rPr>
          <w:rFonts w:hint="cs"/>
          <w:sz w:val="27"/>
          <w:rtl/>
          <w:lang w:bidi="ar-EG"/>
        </w:rPr>
        <w:t>ُ</w:t>
      </w:r>
      <w:r w:rsidRPr="00282AC9">
        <w:rPr>
          <w:rFonts w:hint="cs"/>
          <w:sz w:val="27"/>
          <w:rtl/>
          <w:lang w:bidi="ar-EG"/>
        </w:rPr>
        <w:t xml:space="preserve"> عليها ما تقد</w:t>
      </w:r>
      <w:r w:rsidR="00C91A62" w:rsidRPr="00282AC9">
        <w:rPr>
          <w:rFonts w:hint="cs"/>
          <w:sz w:val="27"/>
          <w:rtl/>
          <w:lang w:bidi="ar-EG"/>
        </w:rPr>
        <w:t>َّ</w:t>
      </w:r>
      <w:r w:rsidRPr="00282AC9">
        <w:rPr>
          <w:rFonts w:hint="cs"/>
          <w:sz w:val="27"/>
          <w:rtl/>
          <w:lang w:bidi="ar-EG"/>
        </w:rPr>
        <w:t>م من الشيخ السبحاني.</w:t>
      </w:r>
    </w:p>
    <w:p w:rsidR="00464B39" w:rsidRPr="00282AC9" w:rsidRDefault="0022528D" w:rsidP="00C3031C">
      <w:pPr>
        <w:pStyle w:val="31"/>
        <w:rPr>
          <w:color w:val="auto"/>
          <w:rtl/>
          <w:lang w:bidi="ar-EG"/>
        </w:rPr>
      </w:pPr>
      <w:r w:rsidRPr="00282AC9">
        <w:rPr>
          <w:rFonts w:hint="cs"/>
          <w:color w:val="auto"/>
          <w:rtl/>
          <w:lang w:bidi="ar-EG"/>
        </w:rPr>
        <w:lastRenderedPageBreak/>
        <w:t xml:space="preserve">الإشكال على مذهب </w:t>
      </w:r>
      <w:r w:rsidR="00C3031C" w:rsidRPr="00282AC9">
        <w:rPr>
          <w:rFonts w:hint="cs"/>
          <w:color w:val="auto"/>
          <w:rtl/>
          <w:lang w:bidi="ar-EG"/>
        </w:rPr>
        <w:t>الوساطة بالفَيْض</w:t>
      </w:r>
    </w:p>
    <w:p w:rsidR="00DA6FB6" w:rsidRPr="00282AC9" w:rsidRDefault="00C91A62" w:rsidP="0064200B">
      <w:pPr>
        <w:spacing w:line="406" w:lineRule="exact"/>
        <w:rPr>
          <w:sz w:val="27"/>
          <w:rtl/>
          <w:lang w:bidi="ar-EG"/>
        </w:rPr>
      </w:pPr>
      <w:r w:rsidRPr="00282AC9">
        <w:rPr>
          <w:rFonts w:hint="cs"/>
          <w:sz w:val="27"/>
          <w:rtl/>
          <w:lang w:bidi="ar-EG"/>
        </w:rPr>
        <w:t>ولكنْ</w:t>
      </w:r>
      <w:r w:rsidR="00DA6FB6" w:rsidRPr="00282AC9">
        <w:rPr>
          <w:rFonts w:hint="cs"/>
          <w:sz w:val="27"/>
          <w:rtl/>
          <w:lang w:bidi="ar-EG"/>
        </w:rPr>
        <w:t xml:space="preserve"> لا يمكن أن نقبل هذا التصوير للولاية التكوينية؛ وذلك لأجل عدم ات</w:t>
      </w:r>
      <w:r w:rsidRPr="00282AC9">
        <w:rPr>
          <w:rFonts w:hint="cs"/>
          <w:sz w:val="27"/>
          <w:rtl/>
          <w:lang w:bidi="ar-EG"/>
        </w:rPr>
        <w:t>ّ</w:t>
      </w:r>
      <w:r w:rsidR="00DA6FB6" w:rsidRPr="00282AC9">
        <w:rPr>
          <w:rFonts w:hint="cs"/>
          <w:sz w:val="27"/>
          <w:rtl/>
          <w:lang w:bidi="ar-EG"/>
        </w:rPr>
        <w:t>حاد ذي الغاية بالغاية عندما تكون النفوس الق</w:t>
      </w:r>
      <w:r w:rsidRPr="00282AC9">
        <w:rPr>
          <w:rFonts w:hint="cs"/>
          <w:sz w:val="27"/>
          <w:rtl/>
          <w:lang w:bidi="ar-EG"/>
        </w:rPr>
        <w:t>ُ</w:t>
      </w:r>
      <w:r w:rsidR="00DA6FB6" w:rsidRPr="00282AC9">
        <w:rPr>
          <w:rFonts w:hint="cs"/>
          <w:sz w:val="27"/>
          <w:rtl/>
          <w:lang w:bidi="ar-EG"/>
        </w:rPr>
        <w:t>د</w:t>
      </w:r>
      <w:r w:rsidRPr="00282AC9">
        <w:rPr>
          <w:rFonts w:hint="cs"/>
          <w:sz w:val="27"/>
          <w:rtl/>
          <w:lang w:bidi="ar-EG"/>
        </w:rPr>
        <w:t>ْ</w:t>
      </w:r>
      <w:r w:rsidR="00DA6FB6" w:rsidRPr="00282AC9">
        <w:rPr>
          <w:rFonts w:hint="cs"/>
          <w:sz w:val="27"/>
          <w:rtl/>
          <w:lang w:bidi="ar-EG"/>
        </w:rPr>
        <w:t>سية متعلّ</w:t>
      </w:r>
      <w:r w:rsidRPr="00282AC9">
        <w:rPr>
          <w:rFonts w:hint="cs"/>
          <w:sz w:val="27"/>
          <w:rtl/>
          <w:lang w:bidi="ar-EG"/>
        </w:rPr>
        <w:t>ِ</w:t>
      </w:r>
      <w:r w:rsidR="00DA6FB6" w:rsidRPr="00282AC9">
        <w:rPr>
          <w:rFonts w:hint="cs"/>
          <w:sz w:val="27"/>
          <w:rtl/>
          <w:lang w:bidi="ar-EG"/>
        </w:rPr>
        <w:t>قة بالأبدان الناسوتية</w:t>
      </w:r>
      <w:r w:rsidRPr="00282AC9">
        <w:rPr>
          <w:rFonts w:hint="cs"/>
          <w:sz w:val="27"/>
          <w:rtl/>
          <w:lang w:bidi="ar-EG"/>
        </w:rPr>
        <w:t>.</w:t>
      </w:r>
      <w:r w:rsidR="00DA6FB6" w:rsidRPr="00282AC9">
        <w:rPr>
          <w:rFonts w:hint="cs"/>
          <w:sz w:val="27"/>
          <w:rtl/>
          <w:lang w:bidi="ar-EG"/>
        </w:rPr>
        <w:t xml:space="preserve"> ويتوق</w:t>
      </w:r>
      <w:r w:rsidRPr="00282AC9">
        <w:rPr>
          <w:rFonts w:hint="cs"/>
          <w:sz w:val="27"/>
          <w:rtl/>
          <w:lang w:bidi="ar-EG"/>
        </w:rPr>
        <w:t>َّ</w:t>
      </w:r>
      <w:r w:rsidR="00DA6FB6" w:rsidRPr="00282AC9">
        <w:rPr>
          <w:rFonts w:hint="cs"/>
          <w:sz w:val="27"/>
          <w:rtl/>
          <w:lang w:bidi="ar-EG"/>
        </w:rPr>
        <w:t>ف توضيح ذلك على مقد</w:t>
      </w:r>
      <w:r w:rsidRPr="00282AC9">
        <w:rPr>
          <w:rFonts w:hint="cs"/>
          <w:sz w:val="27"/>
          <w:rtl/>
          <w:lang w:bidi="ar-EG"/>
        </w:rPr>
        <w:t>ّ</w:t>
      </w:r>
      <w:r w:rsidR="00DA6FB6" w:rsidRPr="00282AC9">
        <w:rPr>
          <w:rFonts w:hint="cs"/>
          <w:sz w:val="27"/>
          <w:rtl/>
          <w:lang w:bidi="ar-EG"/>
        </w:rPr>
        <w:t>مة</w:t>
      </w:r>
      <w:r w:rsidRPr="00282AC9">
        <w:rPr>
          <w:rFonts w:hint="cs"/>
          <w:sz w:val="27"/>
          <w:rtl/>
          <w:lang w:bidi="ar-EG"/>
        </w:rPr>
        <w:t>ٍ</w:t>
      </w:r>
      <w:r w:rsidR="00DA6FB6" w:rsidRPr="00282AC9">
        <w:rPr>
          <w:rFonts w:hint="cs"/>
          <w:sz w:val="27"/>
          <w:rtl/>
          <w:lang w:bidi="ar-EG"/>
        </w:rPr>
        <w:t>، وهي</w:t>
      </w:r>
      <w:r w:rsidRPr="00282AC9">
        <w:rPr>
          <w:rFonts w:hint="cs"/>
          <w:sz w:val="27"/>
          <w:rtl/>
          <w:lang w:bidi="ar-EG"/>
        </w:rPr>
        <w:t>:</w:t>
      </w:r>
      <w:r w:rsidR="00DA6FB6" w:rsidRPr="00282AC9">
        <w:rPr>
          <w:rFonts w:hint="cs"/>
          <w:sz w:val="27"/>
          <w:rtl/>
          <w:lang w:bidi="ar-EG"/>
        </w:rPr>
        <w:t xml:space="preserve"> </w:t>
      </w:r>
      <w:r w:rsidRPr="00282AC9">
        <w:rPr>
          <w:rFonts w:hint="cs"/>
          <w:sz w:val="27"/>
          <w:rtl/>
          <w:lang w:bidi="ar-EG"/>
        </w:rPr>
        <w:t>إ</w:t>
      </w:r>
      <w:r w:rsidR="00DA6FB6" w:rsidRPr="00282AC9">
        <w:rPr>
          <w:rFonts w:hint="cs"/>
          <w:sz w:val="27"/>
          <w:rtl/>
          <w:lang w:bidi="ar-EG"/>
        </w:rPr>
        <w:t>نّ للاتحاد سبعة معانٍ</w:t>
      </w:r>
      <w:r w:rsidRPr="00282AC9">
        <w:rPr>
          <w:rFonts w:hint="cs"/>
          <w:sz w:val="27"/>
          <w:rtl/>
          <w:lang w:bidi="ar-EG"/>
        </w:rPr>
        <w:t>؛</w:t>
      </w:r>
      <w:r w:rsidR="00DA6FB6" w:rsidRPr="00282AC9">
        <w:rPr>
          <w:rFonts w:hint="cs"/>
          <w:sz w:val="27"/>
          <w:rtl/>
          <w:lang w:bidi="ar-EG"/>
        </w:rPr>
        <w:t xml:space="preserve"> ثلاثة منها معانٍ مجازي</w:t>
      </w:r>
      <w:r w:rsidR="00652501" w:rsidRPr="00282AC9">
        <w:rPr>
          <w:rFonts w:hint="cs"/>
          <w:sz w:val="27"/>
          <w:rtl/>
          <w:lang w:bidi="ar-EG"/>
        </w:rPr>
        <w:t>ّ</w:t>
      </w:r>
      <w:r w:rsidR="00DA6FB6" w:rsidRPr="00282AC9">
        <w:rPr>
          <w:rFonts w:hint="cs"/>
          <w:sz w:val="27"/>
          <w:rtl/>
          <w:lang w:bidi="ar-EG"/>
        </w:rPr>
        <w:t>ة:</w:t>
      </w:r>
    </w:p>
    <w:p w:rsidR="00DA6FB6" w:rsidRPr="00282AC9" w:rsidRDefault="00DA6FB6" w:rsidP="00C57B75">
      <w:pPr>
        <w:rPr>
          <w:sz w:val="27"/>
          <w:rtl/>
          <w:lang w:bidi="ar-EG"/>
        </w:rPr>
      </w:pPr>
      <w:r w:rsidRPr="00282AC9">
        <w:rPr>
          <w:rFonts w:hint="cs"/>
          <w:sz w:val="27"/>
          <w:rtl/>
          <w:lang w:bidi="ar-EG"/>
        </w:rPr>
        <w:t>1ـ صيرورة شيء</w:t>
      </w:r>
      <w:r w:rsidR="00652501" w:rsidRPr="00282AC9">
        <w:rPr>
          <w:rFonts w:hint="cs"/>
          <w:sz w:val="27"/>
          <w:rtl/>
          <w:lang w:bidi="ar-EG"/>
        </w:rPr>
        <w:t>ٍ</w:t>
      </w:r>
      <w:r w:rsidRPr="00282AC9">
        <w:rPr>
          <w:rFonts w:hint="cs"/>
          <w:sz w:val="27"/>
          <w:rtl/>
          <w:lang w:bidi="ar-EG"/>
        </w:rPr>
        <w:t xml:space="preserve"> ما شيئاً آخر بالاستحالة، سواء</w:t>
      </w:r>
      <w:r w:rsidR="00652501" w:rsidRPr="00282AC9">
        <w:rPr>
          <w:rFonts w:hint="cs"/>
          <w:sz w:val="27"/>
          <w:rtl/>
          <w:lang w:bidi="ar-EG"/>
        </w:rPr>
        <w:t>ٌ</w:t>
      </w:r>
      <w:r w:rsidRPr="00282AC9">
        <w:rPr>
          <w:rFonts w:hint="cs"/>
          <w:sz w:val="27"/>
          <w:rtl/>
          <w:lang w:bidi="ar-EG"/>
        </w:rPr>
        <w:t xml:space="preserve"> كانت دفعي</w:t>
      </w:r>
      <w:r w:rsidR="00652501" w:rsidRPr="00282AC9">
        <w:rPr>
          <w:rFonts w:hint="cs"/>
          <w:sz w:val="27"/>
          <w:rtl/>
          <w:lang w:bidi="ar-EG"/>
        </w:rPr>
        <w:t>ّ</w:t>
      </w:r>
      <w:r w:rsidRPr="00282AC9">
        <w:rPr>
          <w:rFonts w:hint="cs"/>
          <w:sz w:val="27"/>
          <w:rtl/>
          <w:lang w:bidi="ar-EG"/>
        </w:rPr>
        <w:t>ة</w:t>
      </w:r>
      <w:r w:rsidR="00652501" w:rsidRPr="00282AC9">
        <w:rPr>
          <w:rFonts w:hint="cs"/>
          <w:sz w:val="27"/>
          <w:rtl/>
          <w:lang w:bidi="ar-EG"/>
        </w:rPr>
        <w:t>ً،</w:t>
      </w:r>
      <w:r w:rsidRPr="00282AC9">
        <w:rPr>
          <w:rFonts w:hint="cs"/>
          <w:sz w:val="27"/>
          <w:rtl/>
          <w:lang w:bidi="ar-EG"/>
        </w:rPr>
        <w:t xml:space="preserve"> مثل: صيرورة الماء هواءً، </w:t>
      </w:r>
      <w:r w:rsidR="00652501" w:rsidRPr="00282AC9">
        <w:rPr>
          <w:rFonts w:hint="cs"/>
          <w:sz w:val="27"/>
          <w:rtl/>
          <w:lang w:bidi="ar-EG"/>
        </w:rPr>
        <w:t>ف</w:t>
      </w:r>
      <w:r w:rsidRPr="00282AC9">
        <w:rPr>
          <w:rFonts w:hint="cs"/>
          <w:sz w:val="27"/>
          <w:rtl/>
          <w:lang w:bidi="ar-EG"/>
        </w:rPr>
        <w:t>الصورة المائية تزول عن الهيولى الأولى فيه دفعة</w:t>
      </w:r>
      <w:r w:rsidR="00652501" w:rsidRPr="00282AC9">
        <w:rPr>
          <w:rFonts w:hint="cs"/>
          <w:sz w:val="27"/>
          <w:rtl/>
          <w:lang w:bidi="ar-EG"/>
        </w:rPr>
        <w:t>ً</w:t>
      </w:r>
      <w:r w:rsidRPr="00282AC9">
        <w:rPr>
          <w:rFonts w:hint="cs"/>
          <w:sz w:val="27"/>
          <w:rtl/>
          <w:lang w:bidi="ar-EG"/>
        </w:rPr>
        <w:t>، وتعرض عليها الصورة الهوائية</w:t>
      </w:r>
      <w:r w:rsidR="00652501" w:rsidRPr="00282AC9">
        <w:rPr>
          <w:rFonts w:hint="cs"/>
          <w:sz w:val="27"/>
          <w:rtl/>
          <w:lang w:bidi="ar-EG"/>
        </w:rPr>
        <w:t>،</w:t>
      </w:r>
      <w:r w:rsidRPr="00282AC9">
        <w:rPr>
          <w:rFonts w:hint="cs"/>
          <w:sz w:val="27"/>
          <w:rtl/>
          <w:lang w:bidi="ar-EG"/>
        </w:rPr>
        <w:t xml:space="preserve"> وهذا المعنى للات</w:t>
      </w:r>
      <w:r w:rsidR="00652501" w:rsidRPr="00282AC9">
        <w:rPr>
          <w:rFonts w:hint="cs"/>
          <w:sz w:val="27"/>
          <w:rtl/>
          <w:lang w:bidi="ar-EG"/>
        </w:rPr>
        <w:t>ّ</w:t>
      </w:r>
      <w:r w:rsidRPr="00282AC9">
        <w:rPr>
          <w:rFonts w:hint="cs"/>
          <w:sz w:val="27"/>
          <w:rtl/>
          <w:lang w:bidi="ar-EG"/>
        </w:rPr>
        <w:t>حاد مجازي؛ لأنّ الماء بنفسه ما صار هواءً، بل بجزئه صار هواءً</w:t>
      </w:r>
      <w:r w:rsidR="00652501" w:rsidRPr="00282AC9">
        <w:rPr>
          <w:rFonts w:hint="cs"/>
          <w:sz w:val="27"/>
          <w:rtl/>
          <w:lang w:bidi="ar-EG"/>
        </w:rPr>
        <w:t xml:space="preserve"> </w:t>
      </w:r>
      <w:r w:rsidRPr="00282AC9">
        <w:rPr>
          <w:sz w:val="27"/>
          <w:rtl/>
          <w:lang w:bidi="ar-EG"/>
        </w:rPr>
        <w:t>ـ</w:t>
      </w:r>
      <w:r w:rsidRPr="00282AC9">
        <w:rPr>
          <w:rFonts w:hint="cs"/>
          <w:sz w:val="27"/>
          <w:rtl/>
          <w:lang w:bidi="ar-EG"/>
        </w:rPr>
        <w:t xml:space="preserve"> وهو الهيولى الأولى </w:t>
      </w:r>
      <w:r w:rsidRPr="00282AC9">
        <w:rPr>
          <w:sz w:val="27"/>
          <w:rtl/>
          <w:lang w:bidi="ar-EG"/>
        </w:rPr>
        <w:t>ـ</w:t>
      </w:r>
      <w:r w:rsidR="00652501" w:rsidRPr="00282AC9">
        <w:rPr>
          <w:rFonts w:hint="cs"/>
          <w:sz w:val="27"/>
          <w:rtl/>
          <w:lang w:bidi="ar-EG"/>
        </w:rPr>
        <w:t>،</w:t>
      </w:r>
      <w:r w:rsidRPr="00282AC9">
        <w:rPr>
          <w:rFonts w:hint="cs"/>
          <w:sz w:val="27"/>
          <w:rtl/>
          <w:lang w:bidi="ar-EG"/>
        </w:rPr>
        <w:t xml:space="preserve"> فات</w:t>
      </w:r>
      <w:r w:rsidR="00652501" w:rsidRPr="00282AC9">
        <w:rPr>
          <w:rFonts w:hint="cs"/>
          <w:sz w:val="27"/>
          <w:rtl/>
          <w:lang w:bidi="ar-EG"/>
        </w:rPr>
        <w:t>َّ</w:t>
      </w:r>
      <w:r w:rsidRPr="00282AC9">
        <w:rPr>
          <w:rFonts w:hint="cs"/>
          <w:sz w:val="27"/>
          <w:rtl/>
          <w:lang w:bidi="ar-EG"/>
        </w:rPr>
        <w:t>حدت الهيولى مع الصورة الهوائية</w:t>
      </w:r>
      <w:r w:rsidR="00652501" w:rsidRPr="00282AC9">
        <w:rPr>
          <w:rFonts w:hint="cs"/>
          <w:sz w:val="27"/>
          <w:rtl/>
          <w:lang w:bidi="ar-EG"/>
        </w:rPr>
        <w:t>؛</w:t>
      </w:r>
      <w:r w:rsidRPr="00282AC9">
        <w:rPr>
          <w:rFonts w:hint="cs"/>
          <w:sz w:val="27"/>
          <w:rtl/>
          <w:lang w:bidi="ar-EG"/>
        </w:rPr>
        <w:t xml:space="preserve"> أو كانت تدريجي</w:t>
      </w:r>
      <w:r w:rsidR="00652501" w:rsidRPr="00282AC9">
        <w:rPr>
          <w:rFonts w:hint="cs"/>
          <w:sz w:val="27"/>
          <w:rtl/>
          <w:lang w:bidi="ar-EG"/>
        </w:rPr>
        <w:t>ّ</w:t>
      </w:r>
      <w:r w:rsidRPr="00282AC9">
        <w:rPr>
          <w:rFonts w:hint="cs"/>
          <w:sz w:val="27"/>
          <w:rtl/>
          <w:lang w:bidi="ar-EG"/>
        </w:rPr>
        <w:t>ة</w:t>
      </w:r>
      <w:r w:rsidR="00652501" w:rsidRPr="00282AC9">
        <w:rPr>
          <w:rFonts w:hint="cs"/>
          <w:sz w:val="27"/>
          <w:rtl/>
          <w:lang w:bidi="ar-EG"/>
        </w:rPr>
        <w:t>ً،</w:t>
      </w:r>
      <w:r w:rsidRPr="00282AC9">
        <w:rPr>
          <w:rFonts w:hint="cs"/>
          <w:sz w:val="27"/>
          <w:rtl/>
          <w:lang w:bidi="ar-EG"/>
        </w:rPr>
        <w:t xml:space="preserve"> مثل: صيرورة الطعام في المعدة كيموساً، وبعد ذلك كيلوساً، وهو سائل</w:t>
      </w:r>
      <w:r w:rsidR="00652501" w:rsidRPr="00282AC9">
        <w:rPr>
          <w:rFonts w:hint="cs"/>
          <w:sz w:val="27"/>
          <w:rtl/>
          <w:lang w:bidi="ar-EG"/>
        </w:rPr>
        <w:t>ٌ</w:t>
      </w:r>
      <w:r w:rsidRPr="00282AC9">
        <w:rPr>
          <w:rFonts w:hint="cs"/>
          <w:sz w:val="27"/>
          <w:rtl/>
          <w:lang w:bidi="ar-EG"/>
        </w:rPr>
        <w:t xml:space="preserve"> أبيض مستخلص من الكيموس، وهذه الصيرورة تدريجي</w:t>
      </w:r>
      <w:r w:rsidR="00652501" w:rsidRPr="00282AC9">
        <w:rPr>
          <w:rFonts w:hint="cs"/>
          <w:sz w:val="27"/>
          <w:rtl/>
          <w:lang w:bidi="ar-EG"/>
        </w:rPr>
        <w:t>ّ</w:t>
      </w:r>
      <w:r w:rsidRPr="00282AC9">
        <w:rPr>
          <w:rFonts w:hint="cs"/>
          <w:sz w:val="27"/>
          <w:rtl/>
          <w:lang w:bidi="ar-EG"/>
        </w:rPr>
        <w:t>ة</w:t>
      </w:r>
      <w:r w:rsidR="00652501" w:rsidRPr="00282AC9">
        <w:rPr>
          <w:rFonts w:hint="cs"/>
          <w:sz w:val="27"/>
          <w:rtl/>
          <w:lang w:bidi="ar-EG"/>
        </w:rPr>
        <w:t>ٌ</w:t>
      </w:r>
      <w:r w:rsidRPr="00282AC9">
        <w:rPr>
          <w:rFonts w:hint="cs"/>
          <w:sz w:val="27"/>
          <w:rtl/>
          <w:lang w:bidi="ar-EG"/>
        </w:rPr>
        <w:t>، فزالت صورة الطعام عن الهيولى، وعرض</w:t>
      </w:r>
      <w:r w:rsidR="00652501" w:rsidRPr="00282AC9">
        <w:rPr>
          <w:rFonts w:hint="cs"/>
          <w:sz w:val="27"/>
          <w:rtl/>
          <w:lang w:bidi="ar-EG"/>
        </w:rPr>
        <w:t>َ</w:t>
      </w:r>
      <w:r w:rsidRPr="00282AC9">
        <w:rPr>
          <w:rFonts w:hint="cs"/>
          <w:sz w:val="27"/>
          <w:rtl/>
          <w:lang w:bidi="ar-EG"/>
        </w:rPr>
        <w:t>ت</w:t>
      </w:r>
      <w:r w:rsidR="008D55CB" w:rsidRPr="00282AC9">
        <w:rPr>
          <w:rFonts w:hint="cs"/>
          <w:sz w:val="27"/>
          <w:rtl/>
          <w:lang w:bidi="ar-EG"/>
        </w:rPr>
        <w:t>ْ</w:t>
      </w:r>
      <w:r w:rsidRPr="00282AC9">
        <w:rPr>
          <w:rFonts w:hint="cs"/>
          <w:sz w:val="27"/>
          <w:rtl/>
          <w:lang w:bidi="ar-EG"/>
        </w:rPr>
        <w:t xml:space="preserve"> عليها الكيموس والكيلوس.</w:t>
      </w:r>
    </w:p>
    <w:p w:rsidR="00DA6FB6" w:rsidRPr="00282AC9" w:rsidRDefault="00DA6FB6" w:rsidP="00C57B75">
      <w:pPr>
        <w:rPr>
          <w:sz w:val="27"/>
          <w:rtl/>
          <w:lang w:bidi="ar-EG"/>
        </w:rPr>
      </w:pPr>
      <w:r w:rsidRPr="00282AC9">
        <w:rPr>
          <w:rFonts w:hint="cs"/>
          <w:sz w:val="27"/>
          <w:rtl/>
          <w:lang w:bidi="ar-EG"/>
        </w:rPr>
        <w:t>2ـ صيرورة شيء</w:t>
      </w:r>
      <w:r w:rsidR="00652501" w:rsidRPr="00282AC9">
        <w:rPr>
          <w:rFonts w:hint="cs"/>
          <w:sz w:val="27"/>
          <w:rtl/>
          <w:lang w:bidi="ar-EG"/>
        </w:rPr>
        <w:t>ٍ</w:t>
      </w:r>
      <w:r w:rsidRPr="00282AC9">
        <w:rPr>
          <w:rFonts w:hint="cs"/>
          <w:sz w:val="27"/>
          <w:rtl/>
          <w:lang w:bidi="ar-EG"/>
        </w:rPr>
        <w:t xml:space="preserve"> ما شيئاً آخر بالتركيب، مثل: صيرورة التراب طيناً</w:t>
      </w:r>
      <w:r w:rsidR="00652501" w:rsidRPr="00282AC9">
        <w:rPr>
          <w:rFonts w:hint="cs"/>
          <w:sz w:val="27"/>
          <w:rtl/>
          <w:lang w:bidi="ar-EG"/>
        </w:rPr>
        <w:t>؛</w:t>
      </w:r>
      <w:r w:rsidRPr="00282AC9">
        <w:rPr>
          <w:rFonts w:hint="cs"/>
          <w:sz w:val="27"/>
          <w:rtl/>
          <w:lang w:bidi="ar-EG"/>
        </w:rPr>
        <w:t xml:space="preserve"> فإنّ التراب تحوّ</w:t>
      </w:r>
      <w:r w:rsidR="00652501" w:rsidRPr="00282AC9">
        <w:rPr>
          <w:rFonts w:hint="cs"/>
          <w:sz w:val="27"/>
          <w:rtl/>
          <w:lang w:bidi="ar-EG"/>
        </w:rPr>
        <w:t>َ</w:t>
      </w:r>
      <w:r w:rsidRPr="00282AC9">
        <w:rPr>
          <w:rFonts w:hint="cs"/>
          <w:sz w:val="27"/>
          <w:rtl/>
          <w:lang w:bidi="ar-EG"/>
        </w:rPr>
        <w:t>ل إلى الطين بانضمام الماء إليه</w:t>
      </w:r>
      <w:r w:rsidR="00652501" w:rsidRPr="00282AC9">
        <w:rPr>
          <w:rFonts w:hint="cs"/>
          <w:sz w:val="27"/>
          <w:rtl/>
          <w:lang w:bidi="ar-EG"/>
        </w:rPr>
        <w:t>.</w:t>
      </w:r>
      <w:r w:rsidRPr="00282AC9">
        <w:rPr>
          <w:rFonts w:hint="cs"/>
          <w:sz w:val="27"/>
          <w:rtl/>
          <w:lang w:bidi="ar-EG"/>
        </w:rPr>
        <w:t xml:space="preserve"> وهذه الصيرورة ـ أيضاً ـ معنى</w:t>
      </w:r>
      <w:r w:rsidR="00652501" w:rsidRPr="00282AC9">
        <w:rPr>
          <w:rFonts w:hint="cs"/>
          <w:sz w:val="27"/>
          <w:rtl/>
          <w:lang w:bidi="ar-EG"/>
        </w:rPr>
        <w:t>ً</w:t>
      </w:r>
      <w:r w:rsidRPr="00282AC9">
        <w:rPr>
          <w:rFonts w:hint="cs"/>
          <w:sz w:val="27"/>
          <w:rtl/>
          <w:lang w:bidi="ar-EG"/>
        </w:rPr>
        <w:t xml:space="preserve"> مجازي</w:t>
      </w:r>
      <w:r w:rsidR="00652501" w:rsidRPr="00282AC9">
        <w:rPr>
          <w:rFonts w:hint="cs"/>
          <w:sz w:val="27"/>
          <w:rtl/>
          <w:lang w:bidi="ar-EG"/>
        </w:rPr>
        <w:t>ٌّ</w:t>
      </w:r>
      <w:r w:rsidRPr="00282AC9">
        <w:rPr>
          <w:rFonts w:hint="cs"/>
          <w:sz w:val="27"/>
          <w:rtl/>
          <w:lang w:bidi="ar-EG"/>
        </w:rPr>
        <w:t xml:space="preserve"> للات</w:t>
      </w:r>
      <w:r w:rsidR="00652501" w:rsidRPr="00282AC9">
        <w:rPr>
          <w:rFonts w:hint="cs"/>
          <w:sz w:val="27"/>
          <w:rtl/>
          <w:lang w:bidi="ar-EG"/>
        </w:rPr>
        <w:t>ّ</w:t>
      </w:r>
      <w:r w:rsidRPr="00282AC9">
        <w:rPr>
          <w:rFonts w:hint="cs"/>
          <w:sz w:val="27"/>
          <w:rtl/>
          <w:lang w:bidi="ar-EG"/>
        </w:rPr>
        <w:t>حاد؛ لأنّ التراب ما صار بنفسه طيناً، بل صار طيناً بانضمام الماء إليه، فإنّه مرك</w:t>
      </w:r>
      <w:r w:rsidR="00652501" w:rsidRPr="00282AC9">
        <w:rPr>
          <w:rFonts w:hint="cs"/>
          <w:sz w:val="27"/>
          <w:rtl/>
          <w:lang w:bidi="ar-EG"/>
        </w:rPr>
        <w:t>َّ</w:t>
      </w:r>
      <w:r w:rsidRPr="00282AC9">
        <w:rPr>
          <w:rFonts w:hint="cs"/>
          <w:sz w:val="27"/>
          <w:rtl/>
          <w:lang w:bidi="ar-EG"/>
        </w:rPr>
        <w:t>ب</w:t>
      </w:r>
      <w:r w:rsidR="00652501" w:rsidRPr="00282AC9">
        <w:rPr>
          <w:rFonts w:hint="cs"/>
          <w:sz w:val="27"/>
          <w:rtl/>
          <w:lang w:bidi="ar-EG"/>
        </w:rPr>
        <w:t>ٌ</w:t>
      </w:r>
      <w:r w:rsidRPr="00282AC9">
        <w:rPr>
          <w:rFonts w:hint="cs"/>
          <w:sz w:val="27"/>
          <w:rtl/>
          <w:lang w:bidi="ar-EG"/>
        </w:rPr>
        <w:t xml:space="preserve"> من التراب والماء.</w:t>
      </w:r>
    </w:p>
    <w:p w:rsidR="00DA6FB6" w:rsidRPr="00282AC9" w:rsidRDefault="00DA6FB6" w:rsidP="00C57B75">
      <w:pPr>
        <w:rPr>
          <w:sz w:val="27"/>
          <w:rtl/>
          <w:lang w:bidi="ar-EG"/>
        </w:rPr>
      </w:pPr>
      <w:r w:rsidRPr="00282AC9">
        <w:rPr>
          <w:rFonts w:hint="cs"/>
          <w:sz w:val="27"/>
          <w:rtl/>
          <w:lang w:bidi="ar-EG"/>
        </w:rPr>
        <w:t>3ـ صيرورة شيء</w:t>
      </w:r>
      <w:r w:rsidR="00652501" w:rsidRPr="00282AC9">
        <w:rPr>
          <w:rFonts w:hint="cs"/>
          <w:sz w:val="27"/>
          <w:rtl/>
          <w:lang w:bidi="ar-EG"/>
        </w:rPr>
        <w:t>ٍ</w:t>
      </w:r>
      <w:r w:rsidRPr="00282AC9">
        <w:rPr>
          <w:rFonts w:hint="cs"/>
          <w:sz w:val="27"/>
          <w:rtl/>
          <w:lang w:bidi="ar-EG"/>
        </w:rPr>
        <w:t xml:space="preserve"> ما شيئاً آخر بالفناء فيه، كصيرورة القطرة بحراً</w:t>
      </w:r>
      <w:r w:rsidR="00652501" w:rsidRPr="00282AC9">
        <w:rPr>
          <w:rFonts w:hint="cs"/>
          <w:sz w:val="27"/>
          <w:rtl/>
          <w:lang w:bidi="ar-EG"/>
        </w:rPr>
        <w:t>؛</w:t>
      </w:r>
      <w:r w:rsidRPr="00282AC9">
        <w:rPr>
          <w:rFonts w:hint="cs"/>
          <w:sz w:val="27"/>
          <w:rtl/>
          <w:lang w:bidi="ar-EG"/>
        </w:rPr>
        <w:t xml:space="preserve"> فإنّ القطرة تفقد حدّ</w:t>
      </w:r>
      <w:r w:rsidR="00652501" w:rsidRPr="00282AC9">
        <w:rPr>
          <w:rFonts w:hint="cs"/>
          <w:sz w:val="27"/>
          <w:rtl/>
          <w:lang w:bidi="ar-EG"/>
        </w:rPr>
        <w:t>َ</w:t>
      </w:r>
      <w:r w:rsidRPr="00282AC9">
        <w:rPr>
          <w:rFonts w:hint="cs"/>
          <w:sz w:val="27"/>
          <w:rtl/>
          <w:lang w:bidi="ar-EG"/>
        </w:rPr>
        <w:t>ها، وهذا يعني فناءها، وموجودة</w:t>
      </w:r>
      <w:r w:rsidR="00652501" w:rsidRPr="00282AC9">
        <w:rPr>
          <w:rFonts w:hint="cs"/>
          <w:sz w:val="27"/>
          <w:rtl/>
          <w:lang w:bidi="ar-EG"/>
        </w:rPr>
        <w:t>ٌ</w:t>
      </w:r>
      <w:r w:rsidRPr="00282AC9">
        <w:rPr>
          <w:rFonts w:hint="cs"/>
          <w:sz w:val="27"/>
          <w:rtl/>
          <w:lang w:bidi="ar-EG"/>
        </w:rPr>
        <w:t xml:space="preserve"> بوجود البحر، وكفناء الضوء الخفيف في الضوء القوي</w:t>
      </w:r>
      <w:r w:rsidR="00652501" w:rsidRPr="00282AC9">
        <w:rPr>
          <w:rFonts w:hint="cs"/>
          <w:sz w:val="27"/>
          <w:rtl/>
          <w:lang w:bidi="ar-EG"/>
        </w:rPr>
        <w:t>ّ</w:t>
      </w:r>
      <w:r w:rsidRPr="00282AC9">
        <w:rPr>
          <w:rFonts w:hint="cs"/>
          <w:sz w:val="27"/>
          <w:rtl/>
          <w:lang w:bidi="ar-EG"/>
        </w:rPr>
        <w:t>، مثل</w:t>
      </w:r>
      <w:r w:rsidR="00652501" w:rsidRPr="00282AC9">
        <w:rPr>
          <w:rFonts w:hint="cs"/>
          <w:sz w:val="27"/>
          <w:rtl/>
          <w:lang w:bidi="ar-EG"/>
        </w:rPr>
        <w:t>:</w:t>
      </w:r>
      <w:r w:rsidRPr="00282AC9">
        <w:rPr>
          <w:rFonts w:hint="cs"/>
          <w:sz w:val="27"/>
          <w:rtl/>
          <w:lang w:bidi="ar-EG"/>
        </w:rPr>
        <w:t xml:space="preserve"> ضوء الشمعة في ضوء الشمس</w:t>
      </w:r>
      <w:r w:rsidR="00652501" w:rsidRPr="00282AC9">
        <w:rPr>
          <w:rFonts w:hint="cs"/>
          <w:sz w:val="27"/>
          <w:rtl/>
          <w:lang w:bidi="ar-EG"/>
        </w:rPr>
        <w:t>؛</w:t>
      </w:r>
      <w:r w:rsidRPr="00282AC9">
        <w:rPr>
          <w:rFonts w:hint="cs"/>
          <w:sz w:val="27"/>
          <w:rtl/>
          <w:lang w:bidi="ar-EG"/>
        </w:rPr>
        <w:t xml:space="preserve"> فإنّ ضوء الشمعة يفنى</w:t>
      </w:r>
      <w:r w:rsidR="00652501" w:rsidRPr="00282AC9">
        <w:rPr>
          <w:rFonts w:hint="cs"/>
          <w:sz w:val="27"/>
          <w:rtl/>
          <w:lang w:bidi="ar-EG"/>
        </w:rPr>
        <w:t>،</w:t>
      </w:r>
      <w:r w:rsidRPr="00282AC9">
        <w:rPr>
          <w:rFonts w:hint="cs"/>
          <w:sz w:val="27"/>
          <w:rtl/>
          <w:lang w:bidi="ar-EG"/>
        </w:rPr>
        <w:t xml:space="preserve"> بمعنى يفقد حدّ</w:t>
      </w:r>
      <w:r w:rsidR="00652501" w:rsidRPr="00282AC9">
        <w:rPr>
          <w:rFonts w:hint="cs"/>
          <w:sz w:val="27"/>
          <w:rtl/>
          <w:lang w:bidi="ar-EG"/>
        </w:rPr>
        <w:t>َ</w:t>
      </w:r>
      <w:r w:rsidRPr="00282AC9">
        <w:rPr>
          <w:rFonts w:hint="cs"/>
          <w:sz w:val="27"/>
          <w:rtl/>
          <w:lang w:bidi="ar-EG"/>
        </w:rPr>
        <w:t>ه، ويوجد بوجود ضوء الشمس</w:t>
      </w:r>
      <w:r w:rsidR="00652501" w:rsidRPr="00282AC9">
        <w:rPr>
          <w:rFonts w:hint="cs"/>
          <w:sz w:val="27"/>
          <w:rtl/>
          <w:lang w:bidi="ar-EG"/>
        </w:rPr>
        <w:t>.</w:t>
      </w:r>
      <w:r w:rsidRPr="00282AC9">
        <w:rPr>
          <w:rFonts w:hint="cs"/>
          <w:sz w:val="27"/>
          <w:rtl/>
          <w:lang w:bidi="ar-EG"/>
        </w:rPr>
        <w:t xml:space="preserve"> وهذا المعنى للات</w:t>
      </w:r>
      <w:r w:rsidR="00652501" w:rsidRPr="00282AC9">
        <w:rPr>
          <w:rFonts w:hint="cs"/>
          <w:sz w:val="27"/>
          <w:rtl/>
          <w:lang w:bidi="ar-EG"/>
        </w:rPr>
        <w:t>ّ</w:t>
      </w:r>
      <w:r w:rsidRPr="00282AC9">
        <w:rPr>
          <w:rFonts w:hint="cs"/>
          <w:sz w:val="27"/>
          <w:rtl/>
          <w:lang w:bidi="ar-EG"/>
        </w:rPr>
        <w:t>حاد أيضاً مجازي</w:t>
      </w:r>
      <w:r w:rsidR="00652501" w:rsidRPr="00282AC9">
        <w:rPr>
          <w:rFonts w:hint="cs"/>
          <w:sz w:val="27"/>
          <w:rtl/>
          <w:lang w:bidi="ar-EG"/>
        </w:rPr>
        <w:t>ٌّ</w:t>
      </w:r>
      <w:r w:rsidRPr="00282AC9">
        <w:rPr>
          <w:rFonts w:hint="cs"/>
          <w:sz w:val="27"/>
          <w:rtl/>
          <w:lang w:bidi="ar-EG"/>
        </w:rPr>
        <w:t>؛ لأنّ الضعيف بنفسه ما صار قوي</w:t>
      </w:r>
      <w:r w:rsidR="00C65A78" w:rsidRPr="00282AC9">
        <w:rPr>
          <w:rFonts w:hint="cs"/>
          <w:sz w:val="27"/>
          <w:rtl/>
          <w:lang w:bidi="ar-EG"/>
        </w:rPr>
        <w:t>ّ</w:t>
      </w:r>
      <w:r w:rsidRPr="00282AC9">
        <w:rPr>
          <w:rFonts w:hint="cs"/>
          <w:sz w:val="27"/>
          <w:rtl/>
          <w:lang w:bidi="ar-EG"/>
        </w:rPr>
        <w:t>اً</w:t>
      </w:r>
      <w:r w:rsidR="00C65A78" w:rsidRPr="00282AC9">
        <w:rPr>
          <w:rFonts w:hint="cs"/>
          <w:sz w:val="27"/>
          <w:rtl/>
          <w:lang w:bidi="ar-EG"/>
        </w:rPr>
        <w:t>،</w:t>
      </w:r>
      <w:r w:rsidRPr="00282AC9">
        <w:rPr>
          <w:rFonts w:hint="cs"/>
          <w:sz w:val="27"/>
          <w:rtl/>
          <w:lang w:bidi="ar-EG"/>
        </w:rPr>
        <w:t xml:space="preserve"> بل فقد ح</w:t>
      </w:r>
      <w:r w:rsidR="00C65A78" w:rsidRPr="00282AC9">
        <w:rPr>
          <w:rFonts w:hint="cs"/>
          <w:sz w:val="27"/>
          <w:rtl/>
          <w:lang w:bidi="ar-EG"/>
        </w:rPr>
        <w:t>َ</w:t>
      </w:r>
      <w:r w:rsidRPr="00282AC9">
        <w:rPr>
          <w:rFonts w:hint="cs"/>
          <w:sz w:val="27"/>
          <w:rtl/>
          <w:lang w:bidi="ar-EG"/>
        </w:rPr>
        <w:t>دّ</w:t>
      </w:r>
      <w:r w:rsidR="00C65A78" w:rsidRPr="00282AC9">
        <w:rPr>
          <w:rFonts w:hint="cs"/>
          <w:sz w:val="27"/>
          <w:rtl/>
          <w:lang w:bidi="ar-EG"/>
        </w:rPr>
        <w:t>َ</w:t>
      </w:r>
      <w:r w:rsidRPr="00282AC9">
        <w:rPr>
          <w:rFonts w:hint="cs"/>
          <w:sz w:val="27"/>
          <w:rtl/>
          <w:lang w:bidi="ar-EG"/>
        </w:rPr>
        <w:t>ه</w:t>
      </w:r>
      <w:r w:rsidR="00C65A78" w:rsidRPr="00282AC9">
        <w:rPr>
          <w:rFonts w:hint="cs"/>
          <w:sz w:val="27"/>
          <w:rtl/>
          <w:lang w:bidi="ar-EG"/>
        </w:rPr>
        <w:t>.</w:t>
      </w:r>
      <w:r w:rsidRPr="00282AC9">
        <w:rPr>
          <w:rFonts w:hint="cs"/>
          <w:sz w:val="27"/>
          <w:rtl/>
          <w:lang w:bidi="ar-EG"/>
        </w:rPr>
        <w:t xml:space="preserve"> وهذا النحو من الات</w:t>
      </w:r>
      <w:r w:rsidR="00C65A78" w:rsidRPr="00282AC9">
        <w:rPr>
          <w:rFonts w:hint="cs"/>
          <w:sz w:val="27"/>
          <w:rtl/>
          <w:lang w:bidi="ar-EG"/>
        </w:rPr>
        <w:t>ّ</w:t>
      </w:r>
      <w:r w:rsidRPr="00282AC9">
        <w:rPr>
          <w:rFonts w:hint="cs"/>
          <w:sz w:val="27"/>
          <w:rtl/>
          <w:lang w:bidi="ar-EG"/>
        </w:rPr>
        <w:t>حاد يتحق</w:t>
      </w:r>
      <w:r w:rsidR="00C65A78" w:rsidRPr="00282AC9">
        <w:rPr>
          <w:rFonts w:hint="cs"/>
          <w:sz w:val="27"/>
          <w:rtl/>
          <w:lang w:bidi="ar-EG"/>
        </w:rPr>
        <w:t>َّ</w:t>
      </w:r>
      <w:r w:rsidRPr="00282AC9">
        <w:rPr>
          <w:rFonts w:hint="cs"/>
          <w:sz w:val="27"/>
          <w:rtl/>
          <w:lang w:bidi="ar-EG"/>
        </w:rPr>
        <w:t>ق فيما لو كان وجود شيء</w:t>
      </w:r>
      <w:r w:rsidR="00C65A78" w:rsidRPr="00282AC9">
        <w:rPr>
          <w:rFonts w:hint="cs"/>
          <w:sz w:val="27"/>
          <w:rtl/>
          <w:lang w:bidi="ar-EG"/>
        </w:rPr>
        <w:t>ٍ</w:t>
      </w:r>
      <w:r w:rsidRPr="00282AC9">
        <w:rPr>
          <w:rFonts w:hint="cs"/>
          <w:sz w:val="27"/>
          <w:rtl/>
          <w:lang w:bidi="ar-EG"/>
        </w:rPr>
        <w:t xml:space="preserve"> مرتبة</w:t>
      </w:r>
      <w:r w:rsidR="00C65A78" w:rsidRPr="00282AC9">
        <w:rPr>
          <w:rFonts w:hint="cs"/>
          <w:sz w:val="27"/>
          <w:rtl/>
          <w:lang w:bidi="ar-EG"/>
        </w:rPr>
        <w:t>ً</w:t>
      </w:r>
      <w:r w:rsidRPr="00282AC9">
        <w:rPr>
          <w:rFonts w:hint="cs"/>
          <w:sz w:val="27"/>
          <w:rtl/>
          <w:lang w:bidi="ar-EG"/>
        </w:rPr>
        <w:t xml:space="preserve"> من وجود شيء</w:t>
      </w:r>
      <w:r w:rsidR="00C65A78" w:rsidRPr="00282AC9">
        <w:rPr>
          <w:rFonts w:hint="cs"/>
          <w:sz w:val="27"/>
          <w:rtl/>
          <w:lang w:bidi="ar-EG"/>
        </w:rPr>
        <w:t>ٍ</w:t>
      </w:r>
      <w:r w:rsidRPr="00282AC9">
        <w:rPr>
          <w:rFonts w:hint="cs"/>
          <w:sz w:val="27"/>
          <w:rtl/>
          <w:lang w:bidi="ar-EG"/>
        </w:rPr>
        <w:t xml:space="preserve"> آخر، فيفقد رتبته</w:t>
      </w:r>
      <w:r w:rsidR="00C65A78" w:rsidRPr="00282AC9">
        <w:rPr>
          <w:rFonts w:hint="cs"/>
          <w:sz w:val="27"/>
          <w:rtl/>
          <w:lang w:bidi="ar-EG"/>
        </w:rPr>
        <w:t>،</w:t>
      </w:r>
      <w:r w:rsidRPr="00282AC9">
        <w:rPr>
          <w:rFonts w:hint="cs"/>
          <w:sz w:val="27"/>
          <w:rtl/>
          <w:lang w:bidi="ar-EG"/>
        </w:rPr>
        <w:t xml:space="preserve"> ويوجد بوجود القوي</w:t>
      </w:r>
      <w:r w:rsidR="00C65A78" w:rsidRPr="00282AC9">
        <w:rPr>
          <w:rFonts w:hint="cs"/>
          <w:sz w:val="27"/>
          <w:rtl/>
          <w:lang w:bidi="ar-EG"/>
        </w:rPr>
        <w:t>ّ</w:t>
      </w:r>
      <w:r w:rsidRPr="00282AC9">
        <w:rPr>
          <w:rFonts w:hint="cs"/>
          <w:sz w:val="27"/>
          <w:rtl/>
          <w:lang w:bidi="ar-EG"/>
        </w:rPr>
        <w:t>. وهذه المعاني المجازية ممكنة</w:t>
      </w:r>
      <w:r w:rsidR="00C65A78" w:rsidRPr="00282AC9">
        <w:rPr>
          <w:rFonts w:hint="cs"/>
          <w:sz w:val="27"/>
          <w:rtl/>
          <w:lang w:bidi="ar-EG"/>
        </w:rPr>
        <w:t>ُ</w:t>
      </w:r>
      <w:r w:rsidRPr="00282AC9">
        <w:rPr>
          <w:rFonts w:hint="cs"/>
          <w:sz w:val="27"/>
          <w:rtl/>
          <w:lang w:bidi="ar-EG"/>
        </w:rPr>
        <w:t xml:space="preserve"> الوجود. </w:t>
      </w:r>
    </w:p>
    <w:p w:rsidR="00DA6FB6" w:rsidRPr="00282AC9" w:rsidRDefault="00DA6FB6" w:rsidP="00C57B75">
      <w:pPr>
        <w:rPr>
          <w:sz w:val="27"/>
          <w:rtl/>
          <w:lang w:bidi="ar-EG"/>
        </w:rPr>
      </w:pPr>
      <w:r w:rsidRPr="00282AC9">
        <w:rPr>
          <w:rFonts w:hint="cs"/>
          <w:sz w:val="27"/>
          <w:rtl/>
          <w:lang w:bidi="ar-EG"/>
        </w:rPr>
        <w:t>وأمّا المعنى الحقيقي</w:t>
      </w:r>
      <w:r w:rsidR="00C65A78" w:rsidRPr="00282AC9">
        <w:rPr>
          <w:rFonts w:hint="cs"/>
          <w:sz w:val="27"/>
          <w:rtl/>
          <w:lang w:bidi="ar-EG"/>
        </w:rPr>
        <w:t>ّ</w:t>
      </w:r>
      <w:r w:rsidRPr="00282AC9">
        <w:rPr>
          <w:rFonts w:hint="cs"/>
          <w:sz w:val="27"/>
          <w:rtl/>
          <w:lang w:bidi="ar-EG"/>
        </w:rPr>
        <w:t xml:space="preserve"> للات</w:t>
      </w:r>
      <w:r w:rsidR="00C65A78" w:rsidRPr="00282AC9">
        <w:rPr>
          <w:rFonts w:hint="cs"/>
          <w:sz w:val="27"/>
          <w:rtl/>
          <w:lang w:bidi="ar-EG"/>
        </w:rPr>
        <w:t>ّ</w:t>
      </w:r>
      <w:r w:rsidRPr="00282AC9">
        <w:rPr>
          <w:rFonts w:hint="cs"/>
          <w:sz w:val="27"/>
          <w:rtl/>
          <w:lang w:bidi="ar-EG"/>
        </w:rPr>
        <w:t>حاد فهو صيرورة شيء</w:t>
      </w:r>
      <w:r w:rsidR="00C65A78" w:rsidRPr="00282AC9">
        <w:rPr>
          <w:rFonts w:hint="cs"/>
          <w:sz w:val="27"/>
          <w:rtl/>
          <w:lang w:bidi="ar-EG"/>
        </w:rPr>
        <w:t>ٍ</w:t>
      </w:r>
      <w:r w:rsidRPr="00282AC9">
        <w:rPr>
          <w:rFonts w:hint="cs"/>
          <w:sz w:val="27"/>
          <w:rtl/>
          <w:lang w:bidi="ar-EG"/>
        </w:rPr>
        <w:t xml:space="preserve"> بعينه شيئاً آخر، و</w:t>
      </w:r>
      <w:r w:rsidRPr="00282AC9">
        <w:rPr>
          <w:rFonts w:hint="eastAsia"/>
          <w:sz w:val="24"/>
          <w:szCs w:val="24"/>
          <w:rtl/>
        </w:rPr>
        <w:t>«</w:t>
      </w:r>
      <w:r w:rsidRPr="00282AC9">
        <w:rPr>
          <w:rFonts w:hint="cs"/>
          <w:sz w:val="27"/>
          <w:rtl/>
          <w:lang w:bidi="ar-EG"/>
        </w:rPr>
        <w:t>بعينه</w:t>
      </w:r>
      <w:r w:rsidRPr="00282AC9">
        <w:rPr>
          <w:rFonts w:hint="eastAsia"/>
          <w:sz w:val="24"/>
          <w:szCs w:val="24"/>
          <w:rtl/>
        </w:rPr>
        <w:t>»</w:t>
      </w:r>
      <w:r w:rsidRPr="00282AC9">
        <w:rPr>
          <w:rFonts w:hint="cs"/>
          <w:sz w:val="27"/>
          <w:rtl/>
          <w:lang w:bidi="ar-EG"/>
        </w:rPr>
        <w:t xml:space="preserve"> الذي هو قيد الشيء يعني أنّ الشيء بدون زوال شيء</w:t>
      </w:r>
      <w:r w:rsidR="00C65A78" w:rsidRPr="00282AC9">
        <w:rPr>
          <w:rFonts w:hint="cs"/>
          <w:sz w:val="27"/>
          <w:rtl/>
          <w:lang w:bidi="ar-EG"/>
        </w:rPr>
        <w:t>ٍ</w:t>
      </w:r>
      <w:r w:rsidRPr="00282AC9">
        <w:rPr>
          <w:rFonts w:hint="cs"/>
          <w:sz w:val="27"/>
          <w:rtl/>
          <w:lang w:bidi="ar-EG"/>
        </w:rPr>
        <w:t xml:space="preserve"> عنه ولا زيادة شيء عليه </w:t>
      </w:r>
      <w:r w:rsidRPr="00282AC9">
        <w:rPr>
          <w:sz w:val="27"/>
          <w:rtl/>
          <w:lang w:bidi="ar-EG"/>
        </w:rPr>
        <w:t>ـ</w:t>
      </w:r>
      <w:r w:rsidRPr="00282AC9">
        <w:rPr>
          <w:rFonts w:hint="cs"/>
          <w:sz w:val="27"/>
          <w:rtl/>
          <w:lang w:bidi="ar-EG"/>
        </w:rPr>
        <w:t xml:space="preserve"> أي بلا زيادة</w:t>
      </w:r>
      <w:r w:rsidR="00C65A78" w:rsidRPr="00282AC9">
        <w:rPr>
          <w:rFonts w:hint="cs"/>
          <w:sz w:val="27"/>
          <w:rtl/>
          <w:lang w:bidi="ar-EG"/>
        </w:rPr>
        <w:t>ٍ</w:t>
      </w:r>
      <w:r w:rsidRPr="00282AC9">
        <w:rPr>
          <w:rFonts w:hint="cs"/>
          <w:sz w:val="27"/>
          <w:rtl/>
          <w:lang w:bidi="ar-EG"/>
        </w:rPr>
        <w:t xml:space="preserve"> ونقيصة</w:t>
      </w:r>
      <w:r w:rsidR="00C65A78" w:rsidRPr="00282AC9">
        <w:rPr>
          <w:rFonts w:hint="cs"/>
          <w:sz w:val="27"/>
          <w:rtl/>
          <w:lang w:bidi="ar-EG"/>
        </w:rPr>
        <w:t>ٍ</w:t>
      </w:r>
      <w:r w:rsidRPr="00282AC9">
        <w:rPr>
          <w:rFonts w:hint="cs"/>
          <w:sz w:val="27"/>
          <w:rtl/>
          <w:lang w:bidi="ar-EG"/>
        </w:rPr>
        <w:t xml:space="preserve"> </w:t>
      </w:r>
      <w:r w:rsidRPr="00282AC9">
        <w:rPr>
          <w:sz w:val="27"/>
          <w:rtl/>
          <w:lang w:bidi="ar-EG"/>
        </w:rPr>
        <w:t>ـ</w:t>
      </w:r>
      <w:r w:rsidRPr="00282AC9">
        <w:rPr>
          <w:rFonts w:hint="cs"/>
          <w:sz w:val="27"/>
          <w:rtl/>
          <w:lang w:bidi="ar-EG"/>
        </w:rPr>
        <w:t xml:space="preserve"> صار شيئاً آخر، و</w:t>
      </w:r>
      <w:r w:rsidR="00C65A78" w:rsidRPr="00282AC9">
        <w:rPr>
          <w:rFonts w:hint="cs"/>
          <w:sz w:val="27"/>
          <w:rtl/>
          <w:lang w:bidi="ar-EG"/>
        </w:rPr>
        <w:t>ل</w:t>
      </w:r>
      <w:r w:rsidRPr="00282AC9">
        <w:rPr>
          <w:rFonts w:hint="cs"/>
          <w:sz w:val="27"/>
          <w:rtl/>
          <w:lang w:bidi="ar-EG"/>
        </w:rPr>
        <w:t>هذا المعنى الحقيقي</w:t>
      </w:r>
      <w:r w:rsidR="00C65A78" w:rsidRPr="00282AC9">
        <w:rPr>
          <w:rFonts w:hint="cs"/>
          <w:sz w:val="27"/>
          <w:rtl/>
          <w:lang w:bidi="ar-EG"/>
        </w:rPr>
        <w:t>ّ</w:t>
      </w:r>
      <w:r w:rsidRPr="00282AC9">
        <w:rPr>
          <w:rFonts w:hint="cs"/>
          <w:sz w:val="27"/>
          <w:rtl/>
          <w:lang w:bidi="ar-EG"/>
        </w:rPr>
        <w:t xml:space="preserve"> </w:t>
      </w:r>
      <w:r w:rsidR="00C65A78" w:rsidRPr="00282AC9">
        <w:rPr>
          <w:rFonts w:hint="cs"/>
          <w:sz w:val="27"/>
          <w:rtl/>
          <w:lang w:bidi="ar-EG"/>
        </w:rPr>
        <w:t xml:space="preserve">ثلاث </w:t>
      </w:r>
      <w:r w:rsidRPr="00282AC9">
        <w:rPr>
          <w:rFonts w:hint="cs"/>
          <w:sz w:val="27"/>
          <w:rtl/>
          <w:lang w:bidi="ar-EG"/>
        </w:rPr>
        <w:t>صور:</w:t>
      </w:r>
    </w:p>
    <w:p w:rsidR="00DA6FB6" w:rsidRPr="00282AC9" w:rsidRDefault="00DA6FB6" w:rsidP="00C57B75">
      <w:pPr>
        <w:rPr>
          <w:sz w:val="27"/>
          <w:rtl/>
          <w:lang w:bidi="ar-EG"/>
        </w:rPr>
      </w:pPr>
      <w:r w:rsidRPr="00282AC9">
        <w:rPr>
          <w:rFonts w:hint="cs"/>
          <w:b/>
          <w:bCs/>
          <w:sz w:val="27"/>
          <w:rtl/>
          <w:lang w:bidi="ar-EG"/>
        </w:rPr>
        <w:lastRenderedPageBreak/>
        <w:t>الصورة الأولى</w:t>
      </w:r>
      <w:r w:rsidRPr="00282AC9">
        <w:rPr>
          <w:rFonts w:hint="cs"/>
          <w:sz w:val="27"/>
          <w:rtl/>
          <w:lang w:bidi="ar-EG"/>
        </w:rPr>
        <w:t>: صيرورة شيء</w:t>
      </w:r>
      <w:r w:rsidR="00C65A78" w:rsidRPr="00282AC9">
        <w:rPr>
          <w:rFonts w:hint="cs"/>
          <w:sz w:val="27"/>
          <w:rtl/>
          <w:lang w:bidi="ar-EG"/>
        </w:rPr>
        <w:t>ٍ</w:t>
      </w:r>
      <w:r w:rsidRPr="00282AC9">
        <w:rPr>
          <w:rFonts w:hint="cs"/>
          <w:sz w:val="27"/>
          <w:rtl/>
          <w:lang w:bidi="ar-EG"/>
        </w:rPr>
        <w:t xml:space="preserve"> ما شيئاً آخر</w:t>
      </w:r>
      <w:r w:rsidR="00C65A78" w:rsidRPr="00282AC9">
        <w:rPr>
          <w:rFonts w:hint="cs"/>
          <w:sz w:val="27"/>
          <w:rtl/>
          <w:lang w:bidi="ar-EG"/>
        </w:rPr>
        <w:t>،</w:t>
      </w:r>
      <w:r w:rsidRPr="00282AC9">
        <w:rPr>
          <w:rFonts w:hint="cs"/>
          <w:sz w:val="27"/>
          <w:rtl/>
          <w:lang w:bidi="ar-EG"/>
        </w:rPr>
        <w:t xml:space="preserve"> مع بقاء وجودهما معاً بعد الات</w:t>
      </w:r>
      <w:r w:rsidR="00C65A78" w:rsidRPr="00282AC9">
        <w:rPr>
          <w:rFonts w:hint="cs"/>
          <w:sz w:val="27"/>
          <w:rtl/>
          <w:lang w:bidi="ar-EG"/>
        </w:rPr>
        <w:t>ّ</w:t>
      </w:r>
      <w:r w:rsidRPr="00282AC9">
        <w:rPr>
          <w:rFonts w:hint="cs"/>
          <w:sz w:val="27"/>
          <w:rtl/>
          <w:lang w:bidi="ar-EG"/>
        </w:rPr>
        <w:t>حاد</w:t>
      </w:r>
      <w:r w:rsidR="00C65A78" w:rsidRPr="00282AC9">
        <w:rPr>
          <w:rFonts w:hint="cs"/>
          <w:sz w:val="27"/>
          <w:rtl/>
          <w:lang w:bidi="ar-EG"/>
        </w:rPr>
        <w:t>.</w:t>
      </w:r>
      <w:r w:rsidRPr="00282AC9">
        <w:rPr>
          <w:rFonts w:hint="cs"/>
          <w:sz w:val="27"/>
          <w:rtl/>
          <w:lang w:bidi="ar-EG"/>
        </w:rPr>
        <w:t xml:space="preserve"> وهذه الصورة محال</w:t>
      </w:r>
      <w:r w:rsidR="00C65A78" w:rsidRPr="00282AC9">
        <w:rPr>
          <w:rFonts w:hint="cs"/>
          <w:sz w:val="27"/>
          <w:rtl/>
          <w:lang w:bidi="ar-EG"/>
        </w:rPr>
        <w:t>ٌ؛</w:t>
      </w:r>
      <w:r w:rsidRPr="00282AC9">
        <w:rPr>
          <w:rFonts w:hint="cs"/>
          <w:sz w:val="27"/>
          <w:rtl/>
          <w:lang w:bidi="ar-EG"/>
        </w:rPr>
        <w:t xml:space="preserve"> لاستلزامها وحدة المتعد</w:t>
      </w:r>
      <w:r w:rsidR="00C65A78" w:rsidRPr="00282AC9">
        <w:rPr>
          <w:rFonts w:hint="cs"/>
          <w:sz w:val="27"/>
          <w:rtl/>
          <w:lang w:bidi="ar-EG"/>
        </w:rPr>
        <w:t>ِّ</w:t>
      </w:r>
      <w:r w:rsidRPr="00282AC9">
        <w:rPr>
          <w:rFonts w:hint="cs"/>
          <w:sz w:val="27"/>
          <w:rtl/>
          <w:lang w:bidi="ar-EG"/>
        </w:rPr>
        <w:t>د، ووحدة المتعد</w:t>
      </w:r>
      <w:r w:rsidR="00C65A78" w:rsidRPr="00282AC9">
        <w:rPr>
          <w:rFonts w:hint="cs"/>
          <w:sz w:val="27"/>
          <w:rtl/>
          <w:lang w:bidi="ar-EG"/>
        </w:rPr>
        <w:t>ِّ</w:t>
      </w:r>
      <w:r w:rsidRPr="00282AC9">
        <w:rPr>
          <w:rFonts w:hint="cs"/>
          <w:sz w:val="27"/>
          <w:rtl/>
          <w:lang w:bidi="ar-EG"/>
        </w:rPr>
        <w:t>د محال</w:t>
      </w:r>
      <w:r w:rsidR="00C65A78" w:rsidRPr="00282AC9">
        <w:rPr>
          <w:rFonts w:hint="cs"/>
          <w:sz w:val="27"/>
          <w:rtl/>
          <w:lang w:bidi="ar-EG"/>
        </w:rPr>
        <w:t>ٌ</w:t>
      </w:r>
      <w:r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الصورة الثانية</w:t>
      </w:r>
      <w:r w:rsidRPr="00282AC9">
        <w:rPr>
          <w:rFonts w:hint="cs"/>
          <w:sz w:val="27"/>
          <w:rtl/>
          <w:lang w:bidi="ar-EG"/>
        </w:rPr>
        <w:t>: صيرورة شيء</w:t>
      </w:r>
      <w:r w:rsidR="00C65A78" w:rsidRPr="00282AC9">
        <w:rPr>
          <w:rFonts w:hint="cs"/>
          <w:sz w:val="27"/>
          <w:rtl/>
          <w:lang w:bidi="ar-EG"/>
        </w:rPr>
        <w:t>ٍ</w:t>
      </w:r>
      <w:r w:rsidRPr="00282AC9">
        <w:rPr>
          <w:rFonts w:hint="cs"/>
          <w:sz w:val="27"/>
          <w:rtl/>
          <w:lang w:bidi="ar-EG"/>
        </w:rPr>
        <w:t xml:space="preserve"> ما شيئاً آخر مع انعدام الشيء الصائر بالمرّة، وبقاء الشيء الثاني</w:t>
      </w:r>
      <w:r w:rsidR="00C65A78" w:rsidRPr="00282AC9">
        <w:rPr>
          <w:rFonts w:hint="cs"/>
          <w:sz w:val="27"/>
          <w:rtl/>
          <w:lang w:bidi="ar-EG"/>
        </w:rPr>
        <w:t>.</w:t>
      </w:r>
      <w:r w:rsidRPr="00282AC9">
        <w:rPr>
          <w:rFonts w:hint="cs"/>
          <w:sz w:val="27"/>
          <w:rtl/>
          <w:lang w:bidi="ar-EG"/>
        </w:rPr>
        <w:t xml:space="preserve"> وهذه الصورة ـ أيضاً ـ محال</w:t>
      </w:r>
      <w:r w:rsidR="00C65A78" w:rsidRPr="00282AC9">
        <w:rPr>
          <w:rFonts w:hint="cs"/>
          <w:sz w:val="27"/>
          <w:rtl/>
          <w:lang w:bidi="ar-EG"/>
        </w:rPr>
        <w:t>ٌ</w:t>
      </w:r>
      <w:r w:rsidRPr="00282AC9">
        <w:rPr>
          <w:rFonts w:hint="cs"/>
          <w:sz w:val="27"/>
          <w:rtl/>
          <w:lang w:bidi="ar-EG"/>
        </w:rPr>
        <w:t>؛ لأنّه</w:t>
      </w:r>
      <w:r w:rsidR="00C65A78" w:rsidRPr="00282AC9">
        <w:rPr>
          <w:rFonts w:hint="cs"/>
          <w:sz w:val="27"/>
          <w:rtl/>
          <w:lang w:bidi="ar-EG"/>
        </w:rPr>
        <w:t>ا</w:t>
      </w:r>
      <w:r w:rsidRPr="00282AC9">
        <w:rPr>
          <w:rFonts w:hint="cs"/>
          <w:sz w:val="27"/>
          <w:rtl/>
          <w:lang w:bidi="ar-EG"/>
        </w:rPr>
        <w:t xml:space="preserve"> </w:t>
      </w:r>
      <w:r w:rsidR="00C65A78" w:rsidRPr="00282AC9">
        <w:rPr>
          <w:rFonts w:hint="cs"/>
          <w:sz w:val="27"/>
          <w:rtl/>
          <w:lang w:bidi="ar-EG"/>
        </w:rPr>
        <w:t>ت</w:t>
      </w:r>
      <w:r w:rsidRPr="00282AC9">
        <w:rPr>
          <w:rFonts w:hint="cs"/>
          <w:sz w:val="27"/>
          <w:rtl/>
          <w:lang w:bidi="ar-EG"/>
        </w:rPr>
        <w:t>ستلزم اجتماع النقيضين؛ إذ الات</w:t>
      </w:r>
      <w:r w:rsidR="00C65A78" w:rsidRPr="00282AC9">
        <w:rPr>
          <w:rFonts w:hint="cs"/>
          <w:sz w:val="27"/>
          <w:rtl/>
          <w:lang w:bidi="ar-EG"/>
        </w:rPr>
        <w:t>ّ</w:t>
      </w:r>
      <w:r w:rsidRPr="00282AC9">
        <w:rPr>
          <w:rFonts w:hint="cs"/>
          <w:sz w:val="27"/>
          <w:rtl/>
          <w:lang w:bidi="ar-EG"/>
        </w:rPr>
        <w:t>حاد بمعنى الصيرورة يقتضي أن يكون الشيء الصائر موجوداً، وفرضنا أنّه انعدم</w:t>
      </w:r>
      <w:r w:rsidR="005A4E69" w:rsidRPr="00282AC9">
        <w:rPr>
          <w:rFonts w:hint="cs"/>
          <w:sz w:val="27"/>
          <w:rtl/>
          <w:lang w:bidi="ar-EG"/>
        </w:rPr>
        <w:t>،</w:t>
      </w:r>
      <w:r w:rsidRPr="00282AC9">
        <w:rPr>
          <w:rFonts w:hint="cs"/>
          <w:sz w:val="27"/>
          <w:rtl/>
          <w:lang w:bidi="ar-EG"/>
        </w:rPr>
        <w:t xml:space="preserve"> فحصل اجتماع النقيضين، واجتماع النقيضين محال</w:t>
      </w:r>
      <w:r w:rsidR="005A4E69" w:rsidRPr="00282AC9">
        <w:rPr>
          <w:rFonts w:hint="cs"/>
          <w:sz w:val="27"/>
          <w:rtl/>
          <w:lang w:bidi="ar-EG"/>
        </w:rPr>
        <w:t>ٌ</w:t>
      </w:r>
      <w:r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الصورة الثالثة</w:t>
      </w:r>
      <w:r w:rsidRPr="00282AC9">
        <w:rPr>
          <w:rFonts w:hint="cs"/>
          <w:sz w:val="27"/>
          <w:rtl/>
          <w:lang w:bidi="ar-EG"/>
        </w:rPr>
        <w:t>: صيرورة شيء</w:t>
      </w:r>
      <w:r w:rsidR="005A4E69" w:rsidRPr="00282AC9">
        <w:rPr>
          <w:rFonts w:hint="cs"/>
          <w:sz w:val="27"/>
          <w:rtl/>
          <w:lang w:bidi="ar-EG"/>
        </w:rPr>
        <w:t>ٍ</w:t>
      </w:r>
      <w:r w:rsidRPr="00282AC9">
        <w:rPr>
          <w:rFonts w:hint="cs"/>
          <w:sz w:val="27"/>
          <w:rtl/>
          <w:lang w:bidi="ar-EG"/>
        </w:rPr>
        <w:t xml:space="preserve"> ما شيئاً متأخ</w:t>
      </w:r>
      <w:r w:rsidR="005A4E69" w:rsidRPr="00282AC9">
        <w:rPr>
          <w:rFonts w:hint="cs"/>
          <w:sz w:val="27"/>
          <w:rtl/>
          <w:lang w:bidi="ar-EG"/>
        </w:rPr>
        <w:t>ِّ</w:t>
      </w:r>
      <w:r w:rsidRPr="00282AC9">
        <w:rPr>
          <w:rFonts w:hint="cs"/>
          <w:sz w:val="27"/>
          <w:rtl/>
          <w:lang w:bidi="ar-EG"/>
        </w:rPr>
        <w:t>راً عن الشيء الأوّل</w:t>
      </w:r>
      <w:r w:rsidR="005A4E69" w:rsidRPr="00282AC9">
        <w:rPr>
          <w:rFonts w:hint="cs"/>
          <w:sz w:val="27"/>
          <w:rtl/>
          <w:lang w:bidi="ar-EG"/>
        </w:rPr>
        <w:t>.</w:t>
      </w:r>
      <w:r w:rsidRPr="00282AC9">
        <w:rPr>
          <w:rFonts w:hint="cs"/>
          <w:sz w:val="27"/>
          <w:rtl/>
          <w:lang w:bidi="ar-EG"/>
        </w:rPr>
        <w:t xml:space="preserve"> ولهذه الصورة فرضان:</w:t>
      </w:r>
    </w:p>
    <w:p w:rsidR="00DA6FB6" w:rsidRPr="00282AC9" w:rsidRDefault="00DA6FB6" w:rsidP="00C57B75">
      <w:pPr>
        <w:rPr>
          <w:sz w:val="27"/>
          <w:rtl/>
          <w:lang w:bidi="ar-EG"/>
        </w:rPr>
      </w:pPr>
      <w:r w:rsidRPr="00282AC9">
        <w:rPr>
          <w:rFonts w:hint="cs"/>
          <w:b/>
          <w:bCs/>
          <w:sz w:val="27"/>
          <w:rtl/>
          <w:lang w:bidi="ar-EG"/>
        </w:rPr>
        <w:t>الفرض الأوّل</w:t>
      </w:r>
      <w:r w:rsidRPr="00282AC9">
        <w:rPr>
          <w:rFonts w:hint="cs"/>
          <w:sz w:val="27"/>
          <w:rtl/>
          <w:lang w:bidi="ar-EG"/>
        </w:rPr>
        <w:t>: أن يكون الشيء المتأخ</w:t>
      </w:r>
      <w:r w:rsidR="005A4E69" w:rsidRPr="00282AC9">
        <w:rPr>
          <w:rFonts w:hint="cs"/>
          <w:sz w:val="27"/>
          <w:rtl/>
          <w:lang w:bidi="ar-EG"/>
        </w:rPr>
        <w:t>ِّ</w:t>
      </w:r>
      <w:r w:rsidRPr="00282AC9">
        <w:rPr>
          <w:rFonts w:hint="cs"/>
          <w:sz w:val="27"/>
          <w:rtl/>
          <w:lang w:bidi="ar-EG"/>
        </w:rPr>
        <w:t>ر كمالاً للشيء الأوّل، مثل: الحركة الجوهرية للماد</w:t>
      </w:r>
      <w:r w:rsidR="005A4E69" w:rsidRPr="00282AC9">
        <w:rPr>
          <w:rFonts w:hint="cs"/>
          <w:sz w:val="27"/>
          <w:rtl/>
          <w:lang w:bidi="ar-EG"/>
        </w:rPr>
        <w:t>ّ</w:t>
      </w:r>
      <w:r w:rsidRPr="00282AC9">
        <w:rPr>
          <w:rFonts w:hint="cs"/>
          <w:sz w:val="27"/>
          <w:rtl/>
          <w:lang w:bidi="ar-EG"/>
        </w:rPr>
        <w:t>ة إلى النفس النباتية، وحركة النفس النباتية إلى النفس الحيوانية، وحركة النفس الحيوانية إلى النفس الناطقة</w:t>
      </w:r>
      <w:r w:rsidR="005A4E69" w:rsidRPr="00282AC9">
        <w:rPr>
          <w:rFonts w:hint="cs"/>
          <w:sz w:val="27"/>
          <w:rtl/>
          <w:lang w:bidi="ar-EG"/>
        </w:rPr>
        <w:t>.</w:t>
      </w:r>
      <w:r w:rsidRPr="00282AC9">
        <w:rPr>
          <w:rFonts w:hint="cs"/>
          <w:sz w:val="27"/>
          <w:rtl/>
          <w:lang w:bidi="ar-EG"/>
        </w:rPr>
        <w:t xml:space="preserve"> فالماد</w:t>
      </w:r>
      <w:r w:rsidR="005A4E69" w:rsidRPr="00282AC9">
        <w:rPr>
          <w:rFonts w:hint="cs"/>
          <w:sz w:val="27"/>
          <w:rtl/>
          <w:lang w:bidi="ar-EG"/>
        </w:rPr>
        <w:t>ّ</w:t>
      </w:r>
      <w:r w:rsidRPr="00282AC9">
        <w:rPr>
          <w:rFonts w:hint="cs"/>
          <w:sz w:val="27"/>
          <w:rtl/>
          <w:lang w:bidi="ar-EG"/>
        </w:rPr>
        <w:t>ة صارت نفساً نباتيةً، والنفس النباتية المتأخ</w:t>
      </w:r>
      <w:r w:rsidR="005A4E69" w:rsidRPr="00282AC9">
        <w:rPr>
          <w:rFonts w:hint="cs"/>
          <w:sz w:val="27"/>
          <w:rtl/>
          <w:lang w:bidi="ar-EG"/>
        </w:rPr>
        <w:t>ِّ</w:t>
      </w:r>
      <w:r w:rsidRPr="00282AC9">
        <w:rPr>
          <w:rFonts w:hint="cs"/>
          <w:sz w:val="27"/>
          <w:rtl/>
          <w:lang w:bidi="ar-EG"/>
        </w:rPr>
        <w:t>رة كمال</w:t>
      </w:r>
      <w:r w:rsidR="005A4E69" w:rsidRPr="00282AC9">
        <w:rPr>
          <w:rFonts w:hint="cs"/>
          <w:sz w:val="27"/>
          <w:rtl/>
          <w:lang w:bidi="ar-EG"/>
        </w:rPr>
        <w:t>ٌ</w:t>
      </w:r>
      <w:r w:rsidRPr="00282AC9">
        <w:rPr>
          <w:rFonts w:hint="cs"/>
          <w:sz w:val="27"/>
          <w:rtl/>
          <w:lang w:bidi="ar-EG"/>
        </w:rPr>
        <w:t xml:space="preserve"> لتلك الماد</w:t>
      </w:r>
      <w:r w:rsidR="005A4E69" w:rsidRPr="00282AC9">
        <w:rPr>
          <w:rFonts w:hint="cs"/>
          <w:sz w:val="27"/>
          <w:rtl/>
          <w:lang w:bidi="ar-EG"/>
        </w:rPr>
        <w:t>ّ</w:t>
      </w:r>
      <w:r w:rsidRPr="00282AC9">
        <w:rPr>
          <w:rFonts w:hint="cs"/>
          <w:sz w:val="27"/>
          <w:rtl/>
          <w:lang w:bidi="ar-EG"/>
        </w:rPr>
        <w:t>ة</w:t>
      </w:r>
      <w:r w:rsidR="005A4E69" w:rsidRPr="00282AC9">
        <w:rPr>
          <w:rFonts w:hint="cs"/>
          <w:sz w:val="27"/>
          <w:rtl/>
          <w:lang w:bidi="ar-EG"/>
        </w:rPr>
        <w:t>.</w:t>
      </w:r>
      <w:r w:rsidRPr="00282AC9">
        <w:rPr>
          <w:rFonts w:hint="cs"/>
          <w:sz w:val="27"/>
          <w:rtl/>
          <w:lang w:bidi="ar-EG"/>
        </w:rPr>
        <w:t xml:space="preserve"> وهكذا النفس الحيوانية بالنسبة إلى النفس النباتية</w:t>
      </w:r>
      <w:r w:rsidR="005A4E69" w:rsidRPr="00282AC9">
        <w:rPr>
          <w:rFonts w:hint="cs"/>
          <w:sz w:val="27"/>
          <w:rtl/>
          <w:lang w:bidi="ar-EG"/>
        </w:rPr>
        <w:t>؛</w:t>
      </w:r>
      <w:r w:rsidRPr="00282AC9">
        <w:rPr>
          <w:rFonts w:hint="cs"/>
          <w:sz w:val="27"/>
          <w:rtl/>
          <w:lang w:bidi="ar-EG"/>
        </w:rPr>
        <w:t xml:space="preserve"> والنفس الناطقة بالنسبة إلى النفس الحيوانية. وهذا الفرض ممكن</w:t>
      </w:r>
      <w:r w:rsidR="005A4E69" w:rsidRPr="00282AC9">
        <w:rPr>
          <w:rFonts w:hint="cs"/>
          <w:sz w:val="27"/>
          <w:rtl/>
          <w:lang w:bidi="ar-EG"/>
        </w:rPr>
        <w:t>ُ</w:t>
      </w:r>
      <w:r w:rsidRPr="00282AC9">
        <w:rPr>
          <w:rFonts w:hint="cs"/>
          <w:sz w:val="27"/>
          <w:rtl/>
          <w:lang w:bidi="ar-EG"/>
        </w:rPr>
        <w:t xml:space="preserve"> الوجود</w:t>
      </w:r>
      <w:r w:rsidR="005A4E69" w:rsidRPr="00282AC9">
        <w:rPr>
          <w:rFonts w:hint="cs"/>
          <w:sz w:val="27"/>
          <w:rtl/>
          <w:lang w:bidi="ar-EG"/>
        </w:rPr>
        <w:t>،</w:t>
      </w:r>
      <w:r w:rsidRPr="00282AC9">
        <w:rPr>
          <w:rFonts w:hint="cs"/>
          <w:sz w:val="27"/>
          <w:rtl/>
          <w:lang w:bidi="ar-EG"/>
        </w:rPr>
        <w:t xml:space="preserve"> ومتحق</w:t>
      </w:r>
      <w:r w:rsidR="005A4E69" w:rsidRPr="00282AC9">
        <w:rPr>
          <w:rFonts w:hint="cs"/>
          <w:sz w:val="27"/>
          <w:rtl/>
          <w:lang w:bidi="ar-EG"/>
        </w:rPr>
        <w:t>ِّ</w:t>
      </w:r>
      <w:r w:rsidRPr="00282AC9">
        <w:rPr>
          <w:rFonts w:hint="cs"/>
          <w:sz w:val="27"/>
          <w:rtl/>
          <w:lang w:bidi="ar-EG"/>
        </w:rPr>
        <w:t>ق</w:t>
      </w:r>
      <w:r w:rsidR="005A4E69" w:rsidRPr="00282AC9">
        <w:rPr>
          <w:rFonts w:hint="cs"/>
          <w:sz w:val="27"/>
          <w:rtl/>
          <w:lang w:bidi="ar-EG"/>
        </w:rPr>
        <w:t>ٌ</w:t>
      </w:r>
      <w:r w:rsidRPr="00282AC9">
        <w:rPr>
          <w:rFonts w:hint="cs"/>
          <w:sz w:val="27"/>
          <w:rtl/>
          <w:lang w:bidi="ar-EG"/>
        </w:rPr>
        <w:t xml:space="preserve"> في عالم الطبيعة.</w:t>
      </w:r>
    </w:p>
    <w:p w:rsidR="00DA6FB6" w:rsidRPr="00282AC9" w:rsidRDefault="00DA6FB6" w:rsidP="00C57B75">
      <w:pPr>
        <w:rPr>
          <w:sz w:val="27"/>
          <w:rtl/>
          <w:lang w:bidi="ar-EG"/>
        </w:rPr>
      </w:pPr>
      <w:r w:rsidRPr="00282AC9">
        <w:rPr>
          <w:rFonts w:hint="cs"/>
          <w:b/>
          <w:bCs/>
          <w:sz w:val="27"/>
          <w:rtl/>
          <w:lang w:bidi="ar-EG"/>
        </w:rPr>
        <w:t>الفرض الثاني</w:t>
      </w:r>
      <w:r w:rsidRPr="00282AC9">
        <w:rPr>
          <w:rFonts w:hint="cs"/>
          <w:sz w:val="27"/>
          <w:rtl/>
          <w:lang w:bidi="ar-EG"/>
        </w:rPr>
        <w:t>: أن لا يكون الشيء المتأخ</w:t>
      </w:r>
      <w:r w:rsidR="005A4E69" w:rsidRPr="00282AC9">
        <w:rPr>
          <w:rFonts w:hint="cs"/>
          <w:sz w:val="27"/>
          <w:rtl/>
          <w:lang w:bidi="ar-EG"/>
        </w:rPr>
        <w:t>ِّ</w:t>
      </w:r>
      <w:r w:rsidRPr="00282AC9">
        <w:rPr>
          <w:rFonts w:hint="cs"/>
          <w:sz w:val="27"/>
          <w:rtl/>
          <w:lang w:bidi="ar-EG"/>
        </w:rPr>
        <w:t>ر كمالاً للشيء الأوّل. وهذا الفرض محالٌ؛ لأنّ الشيء المتأخ</w:t>
      </w:r>
      <w:r w:rsidR="005A4E69" w:rsidRPr="00282AC9">
        <w:rPr>
          <w:rFonts w:hint="cs"/>
          <w:sz w:val="27"/>
          <w:rtl/>
          <w:lang w:bidi="ar-EG"/>
        </w:rPr>
        <w:t>ِّ</w:t>
      </w:r>
      <w:r w:rsidRPr="00282AC9">
        <w:rPr>
          <w:rFonts w:hint="cs"/>
          <w:sz w:val="27"/>
          <w:rtl/>
          <w:lang w:bidi="ar-EG"/>
        </w:rPr>
        <w:t>ر لو صار عين الشيء الأوّل لاستلزم تقد</w:t>
      </w:r>
      <w:r w:rsidR="005A4E69" w:rsidRPr="00282AC9">
        <w:rPr>
          <w:rFonts w:hint="cs"/>
          <w:sz w:val="27"/>
          <w:rtl/>
          <w:lang w:bidi="ar-EG"/>
        </w:rPr>
        <w:t>ُّ</w:t>
      </w:r>
      <w:r w:rsidRPr="00282AC9">
        <w:rPr>
          <w:rFonts w:hint="cs"/>
          <w:sz w:val="27"/>
          <w:rtl/>
          <w:lang w:bidi="ar-EG"/>
        </w:rPr>
        <w:t>م الشيء على نفسه، وتقد</w:t>
      </w:r>
      <w:r w:rsidR="005A4E69" w:rsidRPr="00282AC9">
        <w:rPr>
          <w:rFonts w:hint="cs"/>
          <w:sz w:val="27"/>
          <w:rtl/>
          <w:lang w:bidi="ar-EG"/>
        </w:rPr>
        <w:t>ُّ</w:t>
      </w:r>
      <w:r w:rsidRPr="00282AC9">
        <w:rPr>
          <w:rFonts w:hint="cs"/>
          <w:sz w:val="27"/>
          <w:rtl/>
          <w:lang w:bidi="ar-EG"/>
        </w:rPr>
        <w:t>م الشيء على نفسه محال</w:t>
      </w:r>
      <w:r w:rsidR="005A4E69" w:rsidRPr="00282AC9">
        <w:rPr>
          <w:rFonts w:hint="cs"/>
          <w:sz w:val="27"/>
          <w:rtl/>
          <w:lang w:bidi="ar-EG"/>
        </w:rPr>
        <w:t>ٌ</w:t>
      </w:r>
      <w:r w:rsidRPr="00282AC9">
        <w:rPr>
          <w:rFonts w:hint="cs"/>
          <w:sz w:val="27"/>
          <w:rtl/>
          <w:lang w:bidi="ar-EG"/>
        </w:rPr>
        <w:t>.</w:t>
      </w:r>
    </w:p>
    <w:p w:rsidR="00DA6FB6" w:rsidRPr="00282AC9" w:rsidRDefault="00DA6FB6" w:rsidP="00C57B75">
      <w:pPr>
        <w:rPr>
          <w:sz w:val="27"/>
          <w:rtl/>
          <w:lang w:bidi="ar-EG"/>
        </w:rPr>
      </w:pPr>
      <w:r w:rsidRPr="00282AC9">
        <w:rPr>
          <w:rFonts w:hint="cs"/>
          <w:sz w:val="27"/>
          <w:rtl/>
          <w:lang w:bidi="ar-EG"/>
        </w:rPr>
        <w:t>وعلى ضوء هذه المعاني للات</w:t>
      </w:r>
      <w:r w:rsidR="005A4E69" w:rsidRPr="00282AC9">
        <w:rPr>
          <w:rFonts w:hint="cs"/>
          <w:sz w:val="27"/>
          <w:rtl/>
          <w:lang w:bidi="ar-EG"/>
        </w:rPr>
        <w:t>ّ</w:t>
      </w:r>
      <w:r w:rsidRPr="00282AC9">
        <w:rPr>
          <w:rFonts w:hint="cs"/>
          <w:sz w:val="27"/>
          <w:rtl/>
          <w:lang w:bidi="ar-EG"/>
        </w:rPr>
        <w:t>حاد فإنّ فرض ات</w:t>
      </w:r>
      <w:r w:rsidR="005A4E69" w:rsidRPr="00282AC9">
        <w:rPr>
          <w:rFonts w:hint="cs"/>
          <w:sz w:val="27"/>
          <w:rtl/>
          <w:lang w:bidi="ar-EG"/>
        </w:rPr>
        <w:t>ّ</w:t>
      </w:r>
      <w:r w:rsidRPr="00282AC9">
        <w:rPr>
          <w:rFonts w:hint="cs"/>
          <w:sz w:val="27"/>
          <w:rtl/>
          <w:lang w:bidi="ar-EG"/>
        </w:rPr>
        <w:t>حاد نفس النبي</w:t>
      </w:r>
      <w:r w:rsidR="005A4E69" w:rsidRPr="00282AC9">
        <w:rPr>
          <w:rFonts w:hint="cs"/>
          <w:sz w:val="27"/>
          <w:rtl/>
          <w:lang w:bidi="ar-EG"/>
        </w:rPr>
        <w:t>ّ</w:t>
      </w:r>
      <w:r w:rsidRPr="00282AC9">
        <w:rPr>
          <w:rFonts w:hint="cs"/>
          <w:sz w:val="27"/>
          <w:rtl/>
          <w:lang w:bidi="ar-EG"/>
        </w:rPr>
        <w:t xml:space="preserve"> والولي</w:t>
      </w:r>
      <w:r w:rsidR="005A4E69" w:rsidRPr="00282AC9">
        <w:rPr>
          <w:rFonts w:hint="cs"/>
          <w:sz w:val="27"/>
          <w:rtl/>
          <w:lang w:bidi="ar-EG"/>
        </w:rPr>
        <w:t>ّ</w:t>
      </w:r>
      <w:r w:rsidRPr="00282AC9">
        <w:rPr>
          <w:rFonts w:hint="cs"/>
          <w:sz w:val="27"/>
          <w:rtl/>
          <w:lang w:bidi="ar-EG"/>
        </w:rPr>
        <w:t xml:space="preserve"> في نهايات قوس الصعود مع بدايات قوس النزول لا يخلو من احتمالات ثلاثة:</w:t>
      </w:r>
    </w:p>
    <w:p w:rsidR="0064200B" w:rsidRPr="00282AC9" w:rsidRDefault="0064200B" w:rsidP="0064200B">
      <w:pPr>
        <w:spacing w:line="420" w:lineRule="exact"/>
        <w:rPr>
          <w:sz w:val="27"/>
          <w:rtl/>
        </w:rPr>
      </w:pPr>
    </w:p>
    <w:p w:rsidR="00467741" w:rsidRPr="00282AC9" w:rsidRDefault="00467741" w:rsidP="00467741">
      <w:pPr>
        <w:pStyle w:val="31"/>
        <w:rPr>
          <w:color w:val="auto"/>
          <w:rtl/>
          <w:lang w:bidi="ar-EG"/>
        </w:rPr>
      </w:pPr>
      <w:r w:rsidRPr="00282AC9">
        <w:rPr>
          <w:rFonts w:hint="cs"/>
          <w:color w:val="auto"/>
          <w:rtl/>
          <w:lang w:bidi="ar-EG"/>
        </w:rPr>
        <w:t>1ـ بطلان الاتّحاد مع العقل الأوّل</w:t>
      </w:r>
      <w:r w:rsidR="0036509B" w:rsidRPr="00282AC9">
        <w:rPr>
          <w:rFonts w:hint="cs"/>
          <w:color w:val="auto"/>
          <w:rtl/>
          <w:lang w:bidi="ar-EG"/>
        </w:rPr>
        <w:t>،</w:t>
      </w:r>
      <w:r w:rsidR="00C3031C" w:rsidRPr="00282AC9">
        <w:rPr>
          <w:rFonts w:hint="cs"/>
          <w:color w:val="auto"/>
          <w:rtl/>
          <w:lang w:bidi="ar-EG"/>
        </w:rPr>
        <w:t xml:space="preserve"> على فرض الغيريّة</w:t>
      </w:r>
    </w:p>
    <w:p w:rsidR="00DA6FB6" w:rsidRPr="00282AC9" w:rsidRDefault="00DA6FB6" w:rsidP="00C57B75">
      <w:pPr>
        <w:rPr>
          <w:sz w:val="27"/>
          <w:rtl/>
          <w:lang w:bidi="ar-EG"/>
        </w:rPr>
      </w:pPr>
      <w:r w:rsidRPr="00282AC9">
        <w:rPr>
          <w:rFonts w:hint="cs"/>
          <w:b/>
          <w:bCs/>
          <w:sz w:val="27"/>
          <w:rtl/>
          <w:lang w:bidi="ar-EG"/>
        </w:rPr>
        <w:t>الاحتمال الأوّل</w:t>
      </w:r>
      <w:r w:rsidRPr="00282AC9">
        <w:rPr>
          <w:rFonts w:hint="cs"/>
          <w:sz w:val="27"/>
          <w:rtl/>
          <w:lang w:bidi="ar-EG"/>
        </w:rPr>
        <w:t xml:space="preserve">: </w:t>
      </w:r>
      <w:r w:rsidR="005A4E69" w:rsidRPr="00282AC9">
        <w:rPr>
          <w:rFonts w:hint="cs"/>
          <w:sz w:val="27"/>
          <w:rtl/>
          <w:lang w:bidi="ar-EG"/>
        </w:rPr>
        <w:t>إ</w:t>
      </w:r>
      <w:r w:rsidRPr="00282AC9">
        <w:rPr>
          <w:rFonts w:hint="cs"/>
          <w:sz w:val="27"/>
          <w:rtl/>
          <w:lang w:bidi="ar-EG"/>
        </w:rPr>
        <w:t>نّ نفس النبي</w:t>
      </w:r>
      <w:r w:rsidR="005A4E69" w:rsidRPr="00282AC9">
        <w:rPr>
          <w:rFonts w:hint="cs"/>
          <w:sz w:val="27"/>
          <w:rtl/>
          <w:lang w:bidi="ar-EG"/>
        </w:rPr>
        <w:t>ّ</w:t>
      </w:r>
      <w:r w:rsidRPr="00282AC9">
        <w:rPr>
          <w:rFonts w:hint="cs"/>
          <w:sz w:val="27"/>
          <w:rtl/>
          <w:lang w:bidi="ar-EG"/>
        </w:rPr>
        <w:t xml:space="preserve"> والوليّ تصل إلى مرتبة العقل الأوّل، بحيث تكسب ف</w:t>
      </w:r>
      <w:r w:rsidR="005A4E69" w:rsidRPr="00282AC9">
        <w:rPr>
          <w:rFonts w:hint="cs"/>
          <w:sz w:val="27"/>
          <w:rtl/>
          <w:lang w:bidi="ar-EG"/>
        </w:rPr>
        <w:t>َ</w:t>
      </w:r>
      <w:r w:rsidRPr="00282AC9">
        <w:rPr>
          <w:rFonts w:hint="cs"/>
          <w:sz w:val="27"/>
          <w:rtl/>
          <w:lang w:bidi="ar-EG"/>
        </w:rPr>
        <w:t>ي</w:t>
      </w:r>
      <w:r w:rsidR="005A4E69" w:rsidRPr="00282AC9">
        <w:rPr>
          <w:rFonts w:hint="cs"/>
          <w:sz w:val="27"/>
          <w:rtl/>
          <w:lang w:bidi="ar-EG"/>
        </w:rPr>
        <w:t>ْ</w:t>
      </w:r>
      <w:r w:rsidRPr="00282AC9">
        <w:rPr>
          <w:rFonts w:hint="cs"/>
          <w:sz w:val="27"/>
          <w:rtl/>
          <w:lang w:bidi="ar-EG"/>
        </w:rPr>
        <w:t>ض الوجود من الباري ـ تبارك وتعالى ـ مباشرة</w:t>
      </w:r>
      <w:r w:rsidR="005A4E69" w:rsidRPr="00282AC9">
        <w:rPr>
          <w:rFonts w:hint="cs"/>
          <w:sz w:val="27"/>
          <w:rtl/>
          <w:lang w:bidi="ar-EG"/>
        </w:rPr>
        <w:t>ً،</w:t>
      </w:r>
      <w:r w:rsidRPr="00282AC9">
        <w:rPr>
          <w:rFonts w:hint="cs"/>
          <w:sz w:val="27"/>
          <w:rtl/>
          <w:lang w:bidi="ar-EG"/>
        </w:rPr>
        <w:t xml:space="preserve"> في مقابل العقل الأوّل، وتت</w:t>
      </w:r>
      <w:r w:rsidR="005A4E69" w:rsidRPr="00282AC9">
        <w:rPr>
          <w:rFonts w:hint="cs"/>
          <w:sz w:val="27"/>
          <w:rtl/>
          <w:lang w:bidi="ar-EG"/>
        </w:rPr>
        <w:t>َّ</w:t>
      </w:r>
      <w:r w:rsidRPr="00282AC9">
        <w:rPr>
          <w:rFonts w:hint="cs"/>
          <w:sz w:val="27"/>
          <w:rtl/>
          <w:lang w:bidi="ar-EG"/>
        </w:rPr>
        <w:t>حد معه.</w:t>
      </w:r>
    </w:p>
    <w:p w:rsidR="005A4E69" w:rsidRPr="00282AC9" w:rsidRDefault="00DA6FB6" w:rsidP="00C57B75">
      <w:pPr>
        <w:rPr>
          <w:sz w:val="27"/>
          <w:rtl/>
          <w:lang w:bidi="ar-EG"/>
        </w:rPr>
      </w:pPr>
      <w:r w:rsidRPr="00282AC9">
        <w:rPr>
          <w:rFonts w:hint="cs"/>
          <w:b/>
          <w:bCs/>
          <w:sz w:val="27"/>
          <w:rtl/>
          <w:lang w:bidi="ar-EG"/>
        </w:rPr>
        <w:t>وي</w:t>
      </w:r>
      <w:r w:rsidR="005A4E69" w:rsidRPr="00282AC9">
        <w:rPr>
          <w:rFonts w:hint="cs"/>
          <w:b/>
          <w:bCs/>
          <w:sz w:val="27"/>
          <w:rtl/>
          <w:lang w:bidi="ar-EG"/>
        </w:rPr>
        <w:t>َ</w:t>
      </w:r>
      <w:r w:rsidRPr="00282AC9">
        <w:rPr>
          <w:rFonts w:hint="cs"/>
          <w:b/>
          <w:bCs/>
          <w:sz w:val="27"/>
          <w:rtl/>
          <w:lang w:bidi="ar-EG"/>
        </w:rPr>
        <w:t>ر</w:t>
      </w:r>
      <w:r w:rsidR="005A4E69" w:rsidRPr="00282AC9">
        <w:rPr>
          <w:rFonts w:hint="cs"/>
          <w:b/>
          <w:bCs/>
          <w:sz w:val="27"/>
          <w:rtl/>
          <w:lang w:bidi="ar-EG"/>
        </w:rPr>
        <w:t>ِ</w:t>
      </w:r>
      <w:r w:rsidRPr="00282AC9">
        <w:rPr>
          <w:rFonts w:hint="cs"/>
          <w:b/>
          <w:bCs/>
          <w:sz w:val="27"/>
          <w:rtl/>
          <w:lang w:bidi="ar-EG"/>
        </w:rPr>
        <w:t>د</w:t>
      </w:r>
      <w:r w:rsidR="005A4E69" w:rsidRPr="00282AC9">
        <w:rPr>
          <w:rFonts w:hint="cs"/>
          <w:b/>
          <w:bCs/>
          <w:sz w:val="27"/>
          <w:rtl/>
          <w:lang w:bidi="ar-EG"/>
        </w:rPr>
        <w:t>ُ</w:t>
      </w:r>
      <w:r w:rsidRPr="00282AC9">
        <w:rPr>
          <w:rFonts w:hint="cs"/>
          <w:b/>
          <w:bCs/>
          <w:sz w:val="27"/>
          <w:rtl/>
          <w:lang w:bidi="ar-EG"/>
        </w:rPr>
        <w:t xml:space="preserve"> عليه</w:t>
      </w:r>
      <w:r w:rsidR="005A4E69"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أو</w:t>
      </w:r>
      <w:r w:rsidR="005A4E69" w:rsidRPr="00282AC9">
        <w:rPr>
          <w:rFonts w:hint="cs"/>
          <w:b/>
          <w:bCs/>
          <w:sz w:val="27"/>
          <w:rtl/>
          <w:lang w:bidi="ar-EG"/>
        </w:rPr>
        <w:t>ّ</w:t>
      </w:r>
      <w:r w:rsidRPr="00282AC9">
        <w:rPr>
          <w:rFonts w:hint="cs"/>
          <w:b/>
          <w:bCs/>
          <w:sz w:val="27"/>
          <w:rtl/>
          <w:lang w:bidi="ar-EG"/>
        </w:rPr>
        <w:t>لاً</w:t>
      </w:r>
      <w:r w:rsidRPr="00282AC9">
        <w:rPr>
          <w:rFonts w:hint="cs"/>
          <w:sz w:val="27"/>
          <w:rtl/>
          <w:lang w:bidi="ar-EG"/>
        </w:rPr>
        <w:t xml:space="preserve">: </w:t>
      </w:r>
      <w:r w:rsidR="005A4E69" w:rsidRPr="00282AC9">
        <w:rPr>
          <w:rFonts w:hint="cs"/>
          <w:sz w:val="27"/>
          <w:rtl/>
          <w:lang w:bidi="ar-EG"/>
        </w:rPr>
        <w:t>إ</w:t>
      </w:r>
      <w:r w:rsidRPr="00282AC9">
        <w:rPr>
          <w:rFonts w:hint="cs"/>
          <w:sz w:val="27"/>
          <w:rtl/>
          <w:lang w:bidi="ar-EG"/>
        </w:rPr>
        <w:t>نّ أصل الفرض في هذا الاحتمال باطل</w:t>
      </w:r>
      <w:r w:rsidR="005A4E69" w:rsidRPr="00282AC9">
        <w:rPr>
          <w:rFonts w:hint="cs"/>
          <w:sz w:val="27"/>
          <w:rtl/>
          <w:lang w:bidi="ar-EG"/>
        </w:rPr>
        <w:t>ٌ</w:t>
      </w:r>
      <w:r w:rsidRPr="00282AC9">
        <w:rPr>
          <w:rFonts w:hint="cs"/>
          <w:sz w:val="27"/>
          <w:rtl/>
          <w:lang w:bidi="ar-EG"/>
        </w:rPr>
        <w:t>؛ لأنّ العقل الأوّل واحد</w:t>
      </w:r>
      <w:r w:rsidR="005A4E69" w:rsidRPr="00282AC9">
        <w:rPr>
          <w:rFonts w:hint="cs"/>
          <w:sz w:val="27"/>
          <w:rtl/>
          <w:lang w:bidi="ar-EG"/>
        </w:rPr>
        <w:t>ٌ</w:t>
      </w:r>
      <w:r w:rsidRPr="00282AC9">
        <w:rPr>
          <w:rFonts w:hint="cs"/>
          <w:sz w:val="27"/>
          <w:rtl/>
          <w:lang w:bidi="ar-EG"/>
        </w:rPr>
        <w:t xml:space="preserve"> لا يتعد</w:t>
      </w:r>
      <w:r w:rsidR="005A4E69" w:rsidRPr="00282AC9">
        <w:rPr>
          <w:rFonts w:hint="cs"/>
          <w:sz w:val="27"/>
          <w:rtl/>
          <w:lang w:bidi="ar-EG"/>
        </w:rPr>
        <w:t>َّ</w:t>
      </w:r>
      <w:r w:rsidRPr="00282AC9">
        <w:rPr>
          <w:rFonts w:hint="cs"/>
          <w:sz w:val="27"/>
          <w:rtl/>
          <w:lang w:bidi="ar-EG"/>
        </w:rPr>
        <w:t>د</w:t>
      </w:r>
      <w:r w:rsidR="00523328" w:rsidRPr="00282AC9">
        <w:rPr>
          <w:rFonts w:hint="cs"/>
          <w:sz w:val="27"/>
          <w:rtl/>
          <w:lang w:bidi="ar-EG"/>
        </w:rPr>
        <w:t>،</w:t>
      </w:r>
      <w:r w:rsidRPr="00282AC9">
        <w:rPr>
          <w:rFonts w:hint="cs"/>
          <w:sz w:val="27"/>
          <w:rtl/>
          <w:lang w:bidi="ar-EG"/>
        </w:rPr>
        <w:t xml:space="preserve"> </w:t>
      </w:r>
      <w:r w:rsidRPr="00282AC9">
        <w:rPr>
          <w:rFonts w:hint="cs"/>
          <w:sz w:val="27"/>
          <w:rtl/>
          <w:lang w:bidi="ar-EG"/>
        </w:rPr>
        <w:lastRenderedPageBreak/>
        <w:t>بنظر الفلاسفة</w:t>
      </w:r>
      <w:r w:rsidR="00523328" w:rsidRPr="00282AC9">
        <w:rPr>
          <w:rFonts w:hint="cs"/>
          <w:sz w:val="27"/>
          <w:rtl/>
          <w:lang w:bidi="ar-EG"/>
        </w:rPr>
        <w:t>،</w:t>
      </w:r>
      <w:r w:rsidRPr="00282AC9">
        <w:rPr>
          <w:rFonts w:hint="cs"/>
          <w:sz w:val="27"/>
          <w:rtl/>
          <w:lang w:bidi="ar-EG"/>
        </w:rPr>
        <w:t xml:space="preserve"> من جهتين: </w:t>
      </w:r>
      <w:r w:rsidRPr="00282AC9">
        <w:rPr>
          <w:rFonts w:hint="cs"/>
          <w:b/>
          <w:bCs/>
          <w:sz w:val="27"/>
          <w:rtl/>
          <w:lang w:bidi="ar-EG"/>
        </w:rPr>
        <w:t>الأولى</w:t>
      </w:r>
      <w:r w:rsidRPr="00282AC9">
        <w:rPr>
          <w:rFonts w:hint="cs"/>
          <w:sz w:val="27"/>
          <w:rtl/>
          <w:lang w:bidi="ar-EG"/>
        </w:rPr>
        <w:t>: من جهة أنّ نوع كلّ عقل</w:t>
      </w:r>
      <w:r w:rsidR="00523328" w:rsidRPr="00282AC9">
        <w:rPr>
          <w:rFonts w:hint="cs"/>
          <w:sz w:val="27"/>
          <w:rtl/>
          <w:lang w:bidi="ar-EG"/>
        </w:rPr>
        <w:t>ٍ</w:t>
      </w:r>
      <w:r w:rsidRPr="00282AC9">
        <w:rPr>
          <w:rFonts w:hint="cs"/>
          <w:sz w:val="27"/>
          <w:rtl/>
          <w:lang w:bidi="ar-EG"/>
        </w:rPr>
        <w:t xml:space="preserve"> منحصر</w:t>
      </w:r>
      <w:r w:rsidR="00523328" w:rsidRPr="00282AC9">
        <w:rPr>
          <w:rFonts w:hint="cs"/>
          <w:sz w:val="27"/>
          <w:rtl/>
          <w:lang w:bidi="ar-EG"/>
        </w:rPr>
        <w:t>ٌ</w:t>
      </w:r>
      <w:r w:rsidRPr="00282AC9">
        <w:rPr>
          <w:rFonts w:hint="cs"/>
          <w:sz w:val="27"/>
          <w:rtl/>
          <w:lang w:bidi="ar-EG"/>
        </w:rPr>
        <w:t xml:space="preserve"> في شخصه، </w:t>
      </w:r>
      <w:r w:rsidRPr="00282AC9">
        <w:rPr>
          <w:rFonts w:hint="cs"/>
          <w:b/>
          <w:bCs/>
          <w:sz w:val="27"/>
          <w:rtl/>
          <w:lang w:bidi="ar-EG"/>
        </w:rPr>
        <w:t>والثانية</w:t>
      </w:r>
      <w:r w:rsidRPr="00282AC9">
        <w:rPr>
          <w:rFonts w:hint="cs"/>
          <w:sz w:val="27"/>
          <w:rtl/>
          <w:lang w:bidi="ar-EG"/>
        </w:rPr>
        <w:t xml:space="preserve">: من جهة قاعدة </w:t>
      </w:r>
      <w:r w:rsidR="00523328" w:rsidRPr="00282AC9">
        <w:rPr>
          <w:rFonts w:hint="eastAsia"/>
          <w:sz w:val="24"/>
          <w:szCs w:val="24"/>
          <w:rtl/>
        </w:rPr>
        <w:t>«</w:t>
      </w:r>
      <w:r w:rsidRPr="00282AC9">
        <w:rPr>
          <w:rFonts w:hint="cs"/>
          <w:sz w:val="27"/>
          <w:rtl/>
          <w:lang w:bidi="ar-EG"/>
        </w:rPr>
        <w:t>أنّ الواحد لا يصدر عنه إ</w:t>
      </w:r>
      <w:r w:rsidR="00EE6DBA" w:rsidRPr="00282AC9">
        <w:rPr>
          <w:rFonts w:hint="cs"/>
          <w:sz w:val="27"/>
          <w:rtl/>
          <w:lang w:bidi="ar-EG"/>
        </w:rPr>
        <w:t>لاّ</w:t>
      </w:r>
      <w:r w:rsidRPr="00282AC9">
        <w:rPr>
          <w:rFonts w:hint="cs"/>
          <w:sz w:val="27"/>
          <w:rtl/>
          <w:lang w:bidi="ar-EG"/>
        </w:rPr>
        <w:t xml:space="preserve"> الواحد</w:t>
      </w:r>
      <w:r w:rsidR="00523328" w:rsidRPr="00282AC9">
        <w:rPr>
          <w:rFonts w:hint="eastAsia"/>
          <w:sz w:val="24"/>
          <w:szCs w:val="24"/>
          <w:rtl/>
        </w:rPr>
        <w:t>»</w:t>
      </w:r>
      <w:r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وثانياً</w:t>
      </w:r>
      <w:r w:rsidRPr="00282AC9">
        <w:rPr>
          <w:rFonts w:hint="cs"/>
          <w:sz w:val="27"/>
          <w:rtl/>
          <w:lang w:bidi="ar-EG"/>
        </w:rPr>
        <w:t>: الات</w:t>
      </w:r>
      <w:r w:rsidR="00523328" w:rsidRPr="00282AC9">
        <w:rPr>
          <w:rFonts w:hint="cs"/>
          <w:sz w:val="27"/>
          <w:rtl/>
          <w:lang w:bidi="ar-EG"/>
        </w:rPr>
        <w:t>ّ</w:t>
      </w:r>
      <w:r w:rsidRPr="00282AC9">
        <w:rPr>
          <w:rFonts w:hint="cs"/>
          <w:sz w:val="27"/>
          <w:rtl/>
          <w:lang w:bidi="ar-EG"/>
        </w:rPr>
        <w:t>حاد بينهما محال</w:t>
      </w:r>
      <w:r w:rsidR="00523328" w:rsidRPr="00282AC9">
        <w:rPr>
          <w:rFonts w:hint="cs"/>
          <w:sz w:val="27"/>
          <w:rtl/>
          <w:lang w:bidi="ar-EG"/>
        </w:rPr>
        <w:t>ٌ</w:t>
      </w:r>
      <w:r w:rsidRPr="00282AC9">
        <w:rPr>
          <w:rFonts w:hint="cs"/>
          <w:sz w:val="27"/>
          <w:rtl/>
          <w:lang w:bidi="ar-EG"/>
        </w:rPr>
        <w:t>؛ لأنّه إمّا أن يكون الات</w:t>
      </w:r>
      <w:r w:rsidR="00523328" w:rsidRPr="00282AC9">
        <w:rPr>
          <w:rFonts w:hint="cs"/>
          <w:sz w:val="27"/>
          <w:rtl/>
          <w:lang w:bidi="ar-EG"/>
        </w:rPr>
        <w:t>ّ</w:t>
      </w:r>
      <w:r w:rsidRPr="00282AC9">
        <w:rPr>
          <w:rFonts w:hint="cs"/>
          <w:sz w:val="27"/>
          <w:rtl/>
          <w:lang w:bidi="ar-EG"/>
        </w:rPr>
        <w:t>حاد من قبيل: الات</w:t>
      </w:r>
      <w:r w:rsidR="00523328" w:rsidRPr="00282AC9">
        <w:rPr>
          <w:rFonts w:hint="cs"/>
          <w:sz w:val="27"/>
          <w:rtl/>
          <w:lang w:bidi="ar-EG"/>
        </w:rPr>
        <w:t>ّ</w:t>
      </w:r>
      <w:r w:rsidRPr="00282AC9">
        <w:rPr>
          <w:rFonts w:hint="cs"/>
          <w:sz w:val="27"/>
          <w:rtl/>
          <w:lang w:bidi="ar-EG"/>
        </w:rPr>
        <w:t>حاد في الصورة الأولى من الات</w:t>
      </w:r>
      <w:r w:rsidR="00523328" w:rsidRPr="00282AC9">
        <w:rPr>
          <w:rFonts w:hint="cs"/>
          <w:sz w:val="27"/>
          <w:rtl/>
          <w:lang w:bidi="ar-EG"/>
        </w:rPr>
        <w:t>ّ</w:t>
      </w:r>
      <w:r w:rsidRPr="00282AC9">
        <w:rPr>
          <w:rFonts w:hint="cs"/>
          <w:sz w:val="27"/>
          <w:rtl/>
          <w:lang w:bidi="ar-EG"/>
        </w:rPr>
        <w:t>حاد الحقيقي، فيستلزم وحدة المتعد</w:t>
      </w:r>
      <w:r w:rsidR="00523328" w:rsidRPr="00282AC9">
        <w:rPr>
          <w:rFonts w:hint="cs"/>
          <w:sz w:val="27"/>
          <w:rtl/>
          <w:lang w:bidi="ar-EG"/>
        </w:rPr>
        <w:t>ِّ</w:t>
      </w:r>
      <w:r w:rsidRPr="00282AC9">
        <w:rPr>
          <w:rFonts w:hint="cs"/>
          <w:sz w:val="27"/>
          <w:rtl/>
          <w:lang w:bidi="ar-EG"/>
        </w:rPr>
        <w:t>د</w:t>
      </w:r>
      <w:r w:rsidR="00523328" w:rsidRPr="00282AC9">
        <w:rPr>
          <w:rFonts w:hint="cs"/>
          <w:sz w:val="27"/>
          <w:rtl/>
          <w:lang w:bidi="ar-EG"/>
        </w:rPr>
        <w:t>؛</w:t>
      </w:r>
      <w:r w:rsidRPr="00282AC9">
        <w:rPr>
          <w:rFonts w:hint="cs"/>
          <w:sz w:val="27"/>
          <w:rtl/>
          <w:lang w:bidi="ar-EG"/>
        </w:rPr>
        <w:t xml:space="preserve"> وإمّا من قبيل</w:t>
      </w:r>
      <w:r w:rsidR="00523328" w:rsidRPr="00282AC9">
        <w:rPr>
          <w:rFonts w:hint="cs"/>
          <w:sz w:val="27"/>
          <w:rtl/>
          <w:lang w:bidi="ar-EG"/>
        </w:rPr>
        <w:t xml:space="preserve">: </w:t>
      </w:r>
      <w:r w:rsidRPr="00282AC9">
        <w:rPr>
          <w:rFonts w:hint="cs"/>
          <w:sz w:val="27"/>
          <w:rtl/>
          <w:lang w:bidi="ar-EG"/>
        </w:rPr>
        <w:t>الات</w:t>
      </w:r>
      <w:r w:rsidR="00523328" w:rsidRPr="00282AC9">
        <w:rPr>
          <w:rFonts w:hint="cs"/>
          <w:sz w:val="27"/>
          <w:rtl/>
          <w:lang w:bidi="ar-EG"/>
        </w:rPr>
        <w:t>ّ</w:t>
      </w:r>
      <w:r w:rsidRPr="00282AC9">
        <w:rPr>
          <w:rFonts w:hint="cs"/>
          <w:sz w:val="27"/>
          <w:rtl/>
          <w:lang w:bidi="ar-EG"/>
        </w:rPr>
        <w:t>حاد في الصورة الثانية من الات</w:t>
      </w:r>
      <w:r w:rsidR="00523328" w:rsidRPr="00282AC9">
        <w:rPr>
          <w:rFonts w:hint="cs"/>
          <w:sz w:val="27"/>
          <w:rtl/>
          <w:lang w:bidi="ar-EG"/>
        </w:rPr>
        <w:t>ّ</w:t>
      </w:r>
      <w:r w:rsidRPr="00282AC9">
        <w:rPr>
          <w:rFonts w:hint="cs"/>
          <w:sz w:val="27"/>
          <w:rtl/>
          <w:lang w:bidi="ar-EG"/>
        </w:rPr>
        <w:t>حاد الحقيقي</w:t>
      </w:r>
      <w:r w:rsidR="00523328" w:rsidRPr="00282AC9">
        <w:rPr>
          <w:rFonts w:hint="cs"/>
          <w:sz w:val="27"/>
          <w:rtl/>
          <w:lang w:bidi="ar-EG"/>
        </w:rPr>
        <w:t>ّ</w:t>
      </w:r>
      <w:r w:rsidRPr="00282AC9">
        <w:rPr>
          <w:rFonts w:hint="cs"/>
          <w:sz w:val="27"/>
          <w:rtl/>
          <w:lang w:bidi="ar-EG"/>
        </w:rPr>
        <w:t>، فيستلزم اجتماع النقيضين.</w:t>
      </w:r>
    </w:p>
    <w:p w:rsidR="0064200B" w:rsidRPr="00282AC9" w:rsidRDefault="0064200B" w:rsidP="0064200B">
      <w:pPr>
        <w:spacing w:line="420" w:lineRule="exact"/>
        <w:rPr>
          <w:sz w:val="27"/>
          <w:rtl/>
        </w:rPr>
      </w:pPr>
    </w:p>
    <w:p w:rsidR="00467741" w:rsidRPr="00282AC9" w:rsidRDefault="007D1924" w:rsidP="0036509B">
      <w:pPr>
        <w:pStyle w:val="31"/>
        <w:rPr>
          <w:color w:val="auto"/>
          <w:rtl/>
          <w:lang w:bidi="ar-EG"/>
        </w:rPr>
      </w:pPr>
      <w:r w:rsidRPr="00282AC9">
        <w:rPr>
          <w:rFonts w:hint="cs"/>
          <w:color w:val="auto"/>
          <w:rtl/>
          <w:lang w:bidi="ar-EG"/>
        </w:rPr>
        <w:t xml:space="preserve">2ـ بطلان </w:t>
      </w:r>
      <w:r w:rsidR="0036509B" w:rsidRPr="00282AC9">
        <w:rPr>
          <w:rFonts w:hint="cs"/>
          <w:color w:val="auto"/>
          <w:rtl/>
          <w:lang w:bidi="ar-EG"/>
        </w:rPr>
        <w:t>الاتّحاد مع العقل الأوّل، على فرض العينيّة</w:t>
      </w:r>
    </w:p>
    <w:p w:rsidR="00DA6FB6" w:rsidRPr="00282AC9" w:rsidRDefault="00DA6FB6" w:rsidP="00C57B75">
      <w:pPr>
        <w:rPr>
          <w:sz w:val="27"/>
          <w:rtl/>
          <w:lang w:bidi="ar-EG"/>
        </w:rPr>
      </w:pPr>
      <w:r w:rsidRPr="00282AC9">
        <w:rPr>
          <w:rFonts w:hint="cs"/>
          <w:b/>
          <w:bCs/>
          <w:sz w:val="27"/>
          <w:rtl/>
          <w:lang w:bidi="ar-EG"/>
        </w:rPr>
        <w:t>الاحتمال الثاني</w:t>
      </w:r>
      <w:r w:rsidRPr="00282AC9">
        <w:rPr>
          <w:rFonts w:hint="cs"/>
          <w:sz w:val="27"/>
          <w:rtl/>
          <w:lang w:bidi="ar-EG"/>
        </w:rPr>
        <w:t xml:space="preserve">: </w:t>
      </w:r>
      <w:r w:rsidR="00523328" w:rsidRPr="00282AC9">
        <w:rPr>
          <w:rFonts w:hint="cs"/>
          <w:sz w:val="27"/>
          <w:rtl/>
          <w:lang w:bidi="ar-EG"/>
        </w:rPr>
        <w:t xml:space="preserve">إن </w:t>
      </w:r>
      <w:r w:rsidRPr="00282AC9">
        <w:rPr>
          <w:rFonts w:hint="cs"/>
          <w:sz w:val="27"/>
          <w:rtl/>
          <w:lang w:bidi="ar-EG"/>
        </w:rPr>
        <w:t>نفس النبي</w:t>
      </w:r>
      <w:r w:rsidR="00523328" w:rsidRPr="00282AC9">
        <w:rPr>
          <w:rFonts w:hint="cs"/>
          <w:sz w:val="27"/>
          <w:rtl/>
          <w:lang w:bidi="ar-EG"/>
        </w:rPr>
        <w:t>ّ</w:t>
      </w:r>
      <w:r w:rsidRPr="00282AC9">
        <w:rPr>
          <w:rFonts w:hint="cs"/>
          <w:sz w:val="27"/>
          <w:rtl/>
          <w:lang w:bidi="ar-EG"/>
        </w:rPr>
        <w:t xml:space="preserve"> والوليّ صار نفس العقل الأوّل. وهذا الاحتمال يُستفاد من العلا</w:t>
      </w:r>
      <w:r w:rsidR="00523328" w:rsidRPr="00282AC9">
        <w:rPr>
          <w:rFonts w:hint="cs"/>
          <w:sz w:val="27"/>
          <w:rtl/>
          <w:lang w:bidi="ar-EG"/>
        </w:rPr>
        <w:t>ّ</w:t>
      </w:r>
      <w:r w:rsidRPr="00282AC9">
        <w:rPr>
          <w:rFonts w:hint="cs"/>
          <w:sz w:val="27"/>
          <w:rtl/>
          <w:lang w:bidi="ar-EG"/>
        </w:rPr>
        <w:t>مة الطباطبائي</w:t>
      </w:r>
      <w:r w:rsidR="00523328" w:rsidRPr="00282AC9">
        <w:rPr>
          <w:rFonts w:hint="cs"/>
          <w:sz w:val="27"/>
          <w:rtl/>
          <w:lang w:bidi="ar-EG"/>
        </w:rPr>
        <w:t>،</w:t>
      </w:r>
      <w:r w:rsidRPr="00282AC9">
        <w:rPr>
          <w:rFonts w:hint="cs"/>
          <w:sz w:val="27"/>
          <w:rtl/>
          <w:lang w:bidi="ar-EG"/>
        </w:rPr>
        <w:t xml:space="preserve"> في الشمس الساطعة</w:t>
      </w:r>
      <w:r w:rsidR="00523328" w:rsidRPr="00282AC9">
        <w:rPr>
          <w:rFonts w:hint="cs"/>
          <w:sz w:val="27"/>
          <w:rtl/>
          <w:lang w:bidi="ar-EG"/>
        </w:rPr>
        <w:t>،</w:t>
      </w:r>
      <w:r w:rsidRPr="00282AC9">
        <w:rPr>
          <w:rFonts w:hint="cs"/>
          <w:sz w:val="27"/>
          <w:rtl/>
          <w:lang w:bidi="ar-EG"/>
        </w:rPr>
        <w:t xml:space="preserve"> في بحث </w:t>
      </w:r>
      <w:r w:rsidRPr="00282AC9">
        <w:rPr>
          <w:rFonts w:hint="eastAsia"/>
          <w:sz w:val="24"/>
          <w:szCs w:val="24"/>
          <w:rtl/>
          <w:lang w:bidi="ar-EG"/>
        </w:rPr>
        <w:t>«</w:t>
      </w:r>
      <w:r w:rsidRPr="00282AC9">
        <w:rPr>
          <w:rFonts w:hint="cs"/>
          <w:sz w:val="27"/>
          <w:rtl/>
          <w:lang w:bidi="ar-EG"/>
        </w:rPr>
        <w:t>أول ما خلقه الله تبارك وتعالى</w:t>
      </w:r>
      <w:r w:rsidRPr="00282AC9">
        <w:rPr>
          <w:rFonts w:hint="eastAsia"/>
          <w:sz w:val="24"/>
          <w:szCs w:val="24"/>
          <w:rtl/>
        </w:rPr>
        <w:t>»</w:t>
      </w:r>
      <w:r w:rsidR="00523328" w:rsidRPr="00282AC9">
        <w:rPr>
          <w:rFonts w:hint="cs"/>
          <w:sz w:val="27"/>
          <w:rtl/>
          <w:lang w:bidi="ar-EG"/>
        </w:rPr>
        <w:t>.</w:t>
      </w:r>
      <w:r w:rsidRPr="00282AC9">
        <w:rPr>
          <w:rFonts w:hint="cs"/>
          <w:sz w:val="27"/>
          <w:rtl/>
          <w:lang w:bidi="ar-EG"/>
        </w:rPr>
        <w:t xml:space="preserve"> والاتحاد في هذا الاحتمال هو الفرض الثاني من الصورة الثالثة للات</w:t>
      </w:r>
      <w:r w:rsidR="00523328" w:rsidRPr="00282AC9">
        <w:rPr>
          <w:rFonts w:hint="cs"/>
          <w:sz w:val="27"/>
          <w:rtl/>
          <w:lang w:bidi="ar-EG"/>
        </w:rPr>
        <w:t>ّ</w:t>
      </w:r>
      <w:r w:rsidRPr="00282AC9">
        <w:rPr>
          <w:rFonts w:hint="cs"/>
          <w:sz w:val="27"/>
          <w:rtl/>
          <w:lang w:bidi="ar-EG"/>
        </w:rPr>
        <w:t>حاد الحقيقي</w:t>
      </w:r>
      <w:r w:rsidR="00523328" w:rsidRPr="00282AC9">
        <w:rPr>
          <w:rFonts w:hint="cs"/>
          <w:sz w:val="27"/>
          <w:rtl/>
          <w:lang w:bidi="ar-EG"/>
        </w:rPr>
        <w:t>ّ</w:t>
      </w:r>
      <w:r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وي</w:t>
      </w:r>
      <w:r w:rsidR="00523328" w:rsidRPr="00282AC9">
        <w:rPr>
          <w:rFonts w:hint="cs"/>
          <w:b/>
          <w:bCs/>
          <w:sz w:val="27"/>
          <w:rtl/>
          <w:lang w:bidi="ar-EG"/>
        </w:rPr>
        <w:t>َ</w:t>
      </w:r>
      <w:r w:rsidRPr="00282AC9">
        <w:rPr>
          <w:rFonts w:hint="cs"/>
          <w:b/>
          <w:bCs/>
          <w:sz w:val="27"/>
          <w:rtl/>
          <w:lang w:bidi="ar-EG"/>
        </w:rPr>
        <w:t>ر</w:t>
      </w:r>
      <w:r w:rsidR="00523328" w:rsidRPr="00282AC9">
        <w:rPr>
          <w:rFonts w:hint="cs"/>
          <w:b/>
          <w:bCs/>
          <w:sz w:val="27"/>
          <w:rtl/>
          <w:lang w:bidi="ar-EG"/>
        </w:rPr>
        <w:t>ِ</w:t>
      </w:r>
      <w:r w:rsidRPr="00282AC9">
        <w:rPr>
          <w:rFonts w:hint="cs"/>
          <w:b/>
          <w:bCs/>
          <w:sz w:val="27"/>
          <w:rtl/>
          <w:lang w:bidi="ar-EG"/>
        </w:rPr>
        <w:t>د</w:t>
      </w:r>
      <w:r w:rsidR="00523328" w:rsidRPr="00282AC9">
        <w:rPr>
          <w:rFonts w:hint="cs"/>
          <w:b/>
          <w:bCs/>
          <w:sz w:val="27"/>
          <w:rtl/>
          <w:lang w:bidi="ar-EG"/>
        </w:rPr>
        <w:t>ُ</w:t>
      </w:r>
      <w:r w:rsidRPr="00282AC9">
        <w:rPr>
          <w:rFonts w:hint="cs"/>
          <w:b/>
          <w:bCs/>
          <w:sz w:val="27"/>
          <w:rtl/>
          <w:lang w:bidi="ar-EG"/>
        </w:rPr>
        <w:t xml:space="preserve"> عليه</w:t>
      </w:r>
      <w:r w:rsidR="00523328" w:rsidRPr="00282AC9">
        <w:rPr>
          <w:rFonts w:hint="cs"/>
          <w:sz w:val="27"/>
          <w:rtl/>
          <w:lang w:bidi="ar-EG"/>
        </w:rPr>
        <w:t>:</w:t>
      </w:r>
      <w:r w:rsidRPr="00282AC9">
        <w:rPr>
          <w:rFonts w:hint="cs"/>
          <w:sz w:val="27"/>
          <w:rtl/>
          <w:lang w:bidi="ar-EG"/>
        </w:rPr>
        <w:t xml:space="preserve"> </w:t>
      </w:r>
      <w:r w:rsidR="00523328" w:rsidRPr="00282AC9">
        <w:rPr>
          <w:rFonts w:hint="cs"/>
          <w:sz w:val="27"/>
          <w:rtl/>
          <w:lang w:bidi="ar-EG"/>
        </w:rPr>
        <w:t>إ</w:t>
      </w:r>
      <w:r w:rsidRPr="00282AC9">
        <w:rPr>
          <w:rFonts w:hint="cs"/>
          <w:sz w:val="27"/>
          <w:rtl/>
          <w:lang w:bidi="ar-EG"/>
        </w:rPr>
        <w:t>نّ هذا النحو من الات</w:t>
      </w:r>
      <w:r w:rsidR="00523328" w:rsidRPr="00282AC9">
        <w:rPr>
          <w:rFonts w:hint="cs"/>
          <w:sz w:val="27"/>
          <w:rtl/>
          <w:lang w:bidi="ar-EG"/>
        </w:rPr>
        <w:t>ّ</w:t>
      </w:r>
      <w:r w:rsidRPr="00282AC9">
        <w:rPr>
          <w:rFonts w:hint="cs"/>
          <w:sz w:val="27"/>
          <w:rtl/>
          <w:lang w:bidi="ar-EG"/>
        </w:rPr>
        <w:t>حاد محال</w:t>
      </w:r>
      <w:r w:rsidR="00523328" w:rsidRPr="00282AC9">
        <w:rPr>
          <w:rFonts w:hint="cs"/>
          <w:sz w:val="27"/>
          <w:rtl/>
          <w:lang w:bidi="ar-EG"/>
        </w:rPr>
        <w:t>ٌ</w:t>
      </w:r>
      <w:r w:rsidRPr="00282AC9">
        <w:rPr>
          <w:rFonts w:hint="cs"/>
          <w:sz w:val="27"/>
          <w:rtl/>
          <w:lang w:bidi="ar-EG"/>
        </w:rPr>
        <w:t>؛ لأنّ وجود العقل الأوّل محدود</w:t>
      </w:r>
      <w:r w:rsidR="00523328" w:rsidRPr="00282AC9">
        <w:rPr>
          <w:rFonts w:hint="cs"/>
          <w:sz w:val="27"/>
          <w:rtl/>
          <w:lang w:bidi="ar-EG"/>
        </w:rPr>
        <w:t>ٌ؛</w:t>
      </w:r>
      <w:r w:rsidRPr="00282AC9">
        <w:rPr>
          <w:rFonts w:hint="cs"/>
          <w:sz w:val="27"/>
          <w:rtl/>
          <w:lang w:bidi="ar-EG"/>
        </w:rPr>
        <w:t xml:space="preserve"> لفقدانه ذات واجب الوجود، فيكون له ماهي</w:t>
      </w:r>
      <w:r w:rsidR="00523328" w:rsidRPr="00282AC9">
        <w:rPr>
          <w:rFonts w:hint="cs"/>
          <w:sz w:val="27"/>
          <w:rtl/>
          <w:lang w:bidi="ar-EG"/>
        </w:rPr>
        <w:t>ّ</w:t>
      </w:r>
      <w:r w:rsidRPr="00282AC9">
        <w:rPr>
          <w:rFonts w:hint="cs"/>
          <w:sz w:val="27"/>
          <w:rtl/>
          <w:lang w:bidi="ar-EG"/>
        </w:rPr>
        <w:t>ة</w:t>
      </w:r>
      <w:r w:rsidR="00523328" w:rsidRPr="00282AC9">
        <w:rPr>
          <w:rFonts w:hint="cs"/>
          <w:sz w:val="27"/>
          <w:rtl/>
          <w:lang w:bidi="ar-EG"/>
        </w:rPr>
        <w:t>ٌ</w:t>
      </w:r>
      <w:r w:rsidRPr="00282AC9">
        <w:rPr>
          <w:rFonts w:hint="cs"/>
          <w:sz w:val="27"/>
          <w:rtl/>
          <w:lang w:bidi="ar-EG"/>
        </w:rPr>
        <w:t>، ولذلك تكون وحدته وحدة</w:t>
      </w:r>
      <w:r w:rsidR="00523328" w:rsidRPr="00282AC9">
        <w:rPr>
          <w:rFonts w:hint="cs"/>
          <w:sz w:val="27"/>
          <w:rtl/>
          <w:lang w:bidi="ar-EG"/>
        </w:rPr>
        <w:t>ً</w:t>
      </w:r>
      <w:r w:rsidRPr="00282AC9">
        <w:rPr>
          <w:rFonts w:hint="cs"/>
          <w:sz w:val="27"/>
          <w:rtl/>
          <w:lang w:bidi="ar-EG"/>
        </w:rPr>
        <w:t xml:space="preserve"> عددية</w:t>
      </w:r>
      <w:r w:rsidRPr="00282AC9">
        <w:rPr>
          <w:sz w:val="27"/>
          <w:vertAlign w:val="superscript"/>
          <w:rtl/>
          <w:lang w:bidi="ar-EG"/>
        </w:rPr>
        <w:t>(</w:t>
      </w:r>
      <w:r w:rsidRPr="00282AC9">
        <w:rPr>
          <w:rStyle w:val="af9"/>
          <w:sz w:val="27"/>
          <w:rtl/>
          <w:lang w:bidi="ar-EG"/>
        </w:rPr>
        <w:endnoteReference w:id="685"/>
      </w:r>
      <w:r w:rsidRPr="00282AC9">
        <w:rPr>
          <w:sz w:val="27"/>
          <w:vertAlign w:val="superscript"/>
          <w:rtl/>
          <w:lang w:bidi="ar-EG"/>
        </w:rPr>
        <w:t>)</w:t>
      </w:r>
      <w:r w:rsidRPr="00282AC9">
        <w:rPr>
          <w:rFonts w:hint="cs"/>
          <w:sz w:val="27"/>
          <w:rtl/>
          <w:lang w:bidi="ar-EG"/>
        </w:rPr>
        <w:t>، أي يمكن فرض ثانٍ له، وهذا الموجود المحدود يوجد قبل العوالم الأخرى التي هي أدنى منه؛ فإذا فرضنا أنّ المادة في جسم النبي</w:t>
      </w:r>
      <w:r w:rsidR="00523328" w:rsidRPr="00282AC9">
        <w:rPr>
          <w:rFonts w:hint="cs"/>
          <w:sz w:val="27"/>
          <w:rtl/>
          <w:lang w:bidi="ar-EG"/>
        </w:rPr>
        <w:t>ّ</w:t>
      </w:r>
      <w:r w:rsidRPr="00282AC9">
        <w:rPr>
          <w:rFonts w:hint="cs"/>
          <w:sz w:val="27"/>
          <w:rtl/>
          <w:lang w:bidi="ar-EG"/>
        </w:rPr>
        <w:t xml:space="preserve"> والوليّ بحركته الج</w:t>
      </w:r>
      <w:r w:rsidR="00523328" w:rsidRPr="00282AC9">
        <w:rPr>
          <w:rFonts w:hint="cs"/>
          <w:sz w:val="27"/>
          <w:rtl/>
          <w:lang w:bidi="ar-EG"/>
        </w:rPr>
        <w:t>َ</w:t>
      </w:r>
      <w:r w:rsidRPr="00282AC9">
        <w:rPr>
          <w:rFonts w:hint="cs"/>
          <w:sz w:val="27"/>
          <w:rtl/>
          <w:lang w:bidi="ar-EG"/>
        </w:rPr>
        <w:t>و</w:t>
      </w:r>
      <w:r w:rsidR="00523328" w:rsidRPr="00282AC9">
        <w:rPr>
          <w:rFonts w:hint="cs"/>
          <w:sz w:val="27"/>
          <w:rtl/>
          <w:lang w:bidi="ar-EG"/>
        </w:rPr>
        <w:t>ْ</w:t>
      </w:r>
      <w:r w:rsidRPr="00282AC9">
        <w:rPr>
          <w:rFonts w:hint="cs"/>
          <w:sz w:val="27"/>
          <w:rtl/>
          <w:lang w:bidi="ar-EG"/>
        </w:rPr>
        <w:t>هرية صارت العقل الأوّل في بداية قوس النزول فإنّه يستلزم تقد</w:t>
      </w:r>
      <w:r w:rsidR="009D7359" w:rsidRPr="00282AC9">
        <w:rPr>
          <w:rFonts w:hint="cs"/>
          <w:sz w:val="27"/>
          <w:rtl/>
          <w:lang w:bidi="ar-EG"/>
        </w:rPr>
        <w:t>ُّ</w:t>
      </w:r>
      <w:r w:rsidRPr="00282AC9">
        <w:rPr>
          <w:rFonts w:hint="cs"/>
          <w:sz w:val="27"/>
          <w:rtl/>
          <w:lang w:bidi="ar-EG"/>
        </w:rPr>
        <w:t>م الشيء على نفسه؛ لأنّ العقل الأوّل بحدّه كان موجوداً قبل العوالم الدنيا، فصار موجوداً بحدّ</w:t>
      </w:r>
      <w:r w:rsidR="009D7359" w:rsidRPr="00282AC9">
        <w:rPr>
          <w:rFonts w:hint="cs"/>
          <w:sz w:val="27"/>
          <w:rtl/>
          <w:lang w:bidi="ar-EG"/>
        </w:rPr>
        <w:t>ِ</w:t>
      </w:r>
      <w:r w:rsidRPr="00282AC9">
        <w:rPr>
          <w:rFonts w:hint="cs"/>
          <w:sz w:val="27"/>
          <w:rtl/>
          <w:lang w:bidi="ar-EG"/>
        </w:rPr>
        <w:t>ه بعد تلك العوالم، وهذا تقد</w:t>
      </w:r>
      <w:r w:rsidR="009D7359" w:rsidRPr="00282AC9">
        <w:rPr>
          <w:rFonts w:hint="cs"/>
          <w:sz w:val="27"/>
          <w:rtl/>
          <w:lang w:bidi="ar-EG"/>
        </w:rPr>
        <w:t>ُّ</w:t>
      </w:r>
      <w:r w:rsidRPr="00282AC9">
        <w:rPr>
          <w:rFonts w:hint="cs"/>
          <w:sz w:val="27"/>
          <w:rtl/>
          <w:lang w:bidi="ar-EG"/>
        </w:rPr>
        <w:t>م الشيء على نفسه، وهو محال</w:t>
      </w:r>
      <w:r w:rsidR="009D7359" w:rsidRPr="00282AC9">
        <w:rPr>
          <w:rFonts w:hint="cs"/>
          <w:sz w:val="27"/>
          <w:rtl/>
          <w:lang w:bidi="ar-EG"/>
        </w:rPr>
        <w:t>ٌ</w:t>
      </w:r>
      <w:r w:rsidRPr="00282AC9">
        <w:rPr>
          <w:rFonts w:hint="cs"/>
          <w:sz w:val="27"/>
          <w:rtl/>
          <w:lang w:bidi="ar-EG"/>
        </w:rPr>
        <w:t>، فيستحيل أن يكون ذ</w:t>
      </w:r>
      <w:r w:rsidR="009D7359" w:rsidRPr="00282AC9">
        <w:rPr>
          <w:rFonts w:hint="cs"/>
          <w:sz w:val="27"/>
          <w:rtl/>
          <w:lang w:bidi="ar-EG"/>
        </w:rPr>
        <w:t>و</w:t>
      </w:r>
      <w:r w:rsidRPr="00282AC9">
        <w:rPr>
          <w:rFonts w:hint="cs"/>
          <w:sz w:val="27"/>
          <w:rtl/>
          <w:lang w:bidi="ar-EG"/>
        </w:rPr>
        <w:t xml:space="preserve"> الغاية عين</w:t>
      </w:r>
      <w:r w:rsidR="009D7359" w:rsidRPr="00282AC9">
        <w:rPr>
          <w:rFonts w:hint="cs"/>
          <w:sz w:val="27"/>
          <w:rtl/>
          <w:lang w:bidi="ar-EG"/>
        </w:rPr>
        <w:t>َ</w:t>
      </w:r>
      <w:r w:rsidRPr="00282AC9">
        <w:rPr>
          <w:rFonts w:hint="cs"/>
          <w:sz w:val="27"/>
          <w:rtl/>
          <w:lang w:bidi="ar-EG"/>
        </w:rPr>
        <w:t xml:space="preserve"> الغاية.</w:t>
      </w:r>
    </w:p>
    <w:p w:rsidR="00DA6FB6" w:rsidRPr="00282AC9" w:rsidRDefault="00DA6FB6" w:rsidP="00C57B75">
      <w:pPr>
        <w:rPr>
          <w:sz w:val="27"/>
          <w:rtl/>
          <w:lang w:bidi="ar-EG"/>
        </w:rPr>
      </w:pPr>
      <w:r w:rsidRPr="00282AC9">
        <w:rPr>
          <w:rFonts w:hint="cs"/>
          <w:sz w:val="27"/>
          <w:rtl/>
          <w:lang w:bidi="ar-EG"/>
        </w:rPr>
        <w:t xml:space="preserve"> وأمّا ما قاله بعض أهل المعقول</w:t>
      </w:r>
      <w:r w:rsidR="009D7359" w:rsidRPr="00282AC9">
        <w:rPr>
          <w:rFonts w:hint="cs"/>
          <w:sz w:val="27"/>
          <w:rtl/>
          <w:lang w:bidi="ar-EG"/>
        </w:rPr>
        <w:t>،</w:t>
      </w:r>
      <w:r w:rsidRPr="00282AC9">
        <w:rPr>
          <w:rFonts w:hint="cs"/>
          <w:sz w:val="27"/>
          <w:rtl/>
          <w:lang w:bidi="ar-EG"/>
        </w:rPr>
        <w:t xml:space="preserve"> المتشرّ</w:t>
      </w:r>
      <w:r w:rsidR="009D7359" w:rsidRPr="00282AC9">
        <w:rPr>
          <w:rFonts w:hint="cs"/>
          <w:sz w:val="27"/>
          <w:rtl/>
          <w:lang w:bidi="ar-EG"/>
        </w:rPr>
        <w:t>ِ</w:t>
      </w:r>
      <w:r w:rsidRPr="00282AC9">
        <w:rPr>
          <w:rFonts w:hint="cs"/>
          <w:sz w:val="27"/>
          <w:rtl/>
          <w:lang w:bidi="ar-EG"/>
        </w:rPr>
        <w:t>ب بالعرفان</w:t>
      </w:r>
      <w:r w:rsidR="009D7359" w:rsidRPr="00282AC9">
        <w:rPr>
          <w:rFonts w:hint="cs"/>
          <w:sz w:val="27"/>
          <w:rtl/>
          <w:lang w:bidi="ar-EG"/>
        </w:rPr>
        <w:t>،</w:t>
      </w:r>
      <w:r w:rsidRPr="00282AC9">
        <w:rPr>
          <w:rFonts w:hint="cs"/>
          <w:sz w:val="27"/>
          <w:rtl/>
          <w:lang w:bidi="ar-EG"/>
        </w:rPr>
        <w:t xml:space="preserve"> من أنّ كلّ فاعل</w:t>
      </w:r>
      <w:r w:rsidR="009D7359" w:rsidRPr="00282AC9">
        <w:rPr>
          <w:rFonts w:hint="cs"/>
          <w:sz w:val="27"/>
          <w:rtl/>
          <w:lang w:bidi="ar-EG"/>
        </w:rPr>
        <w:t>ٍ</w:t>
      </w:r>
      <w:r w:rsidRPr="00282AC9">
        <w:rPr>
          <w:rFonts w:hint="cs"/>
          <w:sz w:val="27"/>
          <w:rtl/>
          <w:lang w:bidi="ar-EG"/>
        </w:rPr>
        <w:t xml:space="preserve"> في قوس النزول له غاية</w:t>
      </w:r>
      <w:r w:rsidR="009D7359" w:rsidRPr="00282AC9">
        <w:rPr>
          <w:rFonts w:hint="cs"/>
          <w:sz w:val="27"/>
          <w:rtl/>
          <w:lang w:bidi="ar-EG"/>
        </w:rPr>
        <w:t>ٌ</w:t>
      </w:r>
      <w:r w:rsidRPr="00282AC9">
        <w:rPr>
          <w:rFonts w:hint="cs"/>
          <w:sz w:val="27"/>
          <w:rtl/>
          <w:lang w:bidi="ar-EG"/>
        </w:rPr>
        <w:t xml:space="preserve"> في قوس الصعود، فغير</w:t>
      </w:r>
      <w:r w:rsidR="009D7359" w:rsidRPr="00282AC9">
        <w:rPr>
          <w:rFonts w:hint="cs"/>
          <w:sz w:val="27"/>
          <w:rtl/>
          <w:lang w:bidi="ar-EG"/>
        </w:rPr>
        <w:t>ُ</w:t>
      </w:r>
      <w:r w:rsidRPr="00282AC9">
        <w:rPr>
          <w:rFonts w:hint="cs"/>
          <w:sz w:val="27"/>
          <w:rtl/>
          <w:lang w:bidi="ar-EG"/>
        </w:rPr>
        <w:t xml:space="preserve"> مقبول</w:t>
      </w:r>
      <w:r w:rsidR="009D7359" w:rsidRPr="00282AC9">
        <w:rPr>
          <w:rFonts w:hint="cs"/>
          <w:sz w:val="27"/>
          <w:rtl/>
          <w:lang w:bidi="ar-EG"/>
        </w:rPr>
        <w:t>ٍ</w:t>
      </w:r>
      <w:r w:rsidRPr="00282AC9">
        <w:rPr>
          <w:rFonts w:hint="cs"/>
          <w:sz w:val="27"/>
          <w:rtl/>
          <w:lang w:bidi="ar-EG"/>
        </w:rPr>
        <w:t>؛ لأنّ الغاية إمّا أن تكون بمعنى ما ينتهي إليه الفعل، فهذا لا ينطبق في قوس النزول؛ إذ الفاعل في هذا القوس</w:t>
      </w:r>
      <w:r w:rsidR="009D7359" w:rsidRPr="00282AC9">
        <w:rPr>
          <w:rFonts w:hint="cs"/>
          <w:sz w:val="27"/>
          <w:rtl/>
          <w:lang w:bidi="ar-EG"/>
        </w:rPr>
        <w:t>،</w:t>
      </w:r>
      <w:r w:rsidRPr="00282AC9">
        <w:rPr>
          <w:rFonts w:hint="cs"/>
          <w:sz w:val="27"/>
          <w:rtl/>
          <w:lang w:bidi="ar-EG"/>
        </w:rPr>
        <w:t xml:space="preserve"> مثل</w:t>
      </w:r>
      <w:r w:rsidR="009D7359" w:rsidRPr="00282AC9">
        <w:rPr>
          <w:rFonts w:hint="cs"/>
          <w:sz w:val="27"/>
          <w:rtl/>
          <w:lang w:bidi="ar-EG"/>
        </w:rPr>
        <w:t>:</w:t>
      </w:r>
      <w:r w:rsidRPr="00282AC9">
        <w:rPr>
          <w:rFonts w:hint="cs"/>
          <w:sz w:val="27"/>
          <w:rtl/>
          <w:lang w:bidi="ar-EG"/>
        </w:rPr>
        <w:t xml:space="preserve"> عالم الملكوت</w:t>
      </w:r>
      <w:r w:rsidR="009D7359" w:rsidRPr="00282AC9">
        <w:rPr>
          <w:rFonts w:hint="cs"/>
          <w:sz w:val="27"/>
          <w:rtl/>
          <w:lang w:bidi="ar-EG"/>
        </w:rPr>
        <w:t>،</w:t>
      </w:r>
      <w:r w:rsidRPr="00282AC9">
        <w:rPr>
          <w:rFonts w:hint="cs"/>
          <w:sz w:val="27"/>
          <w:rtl/>
          <w:lang w:bidi="ar-EG"/>
        </w:rPr>
        <w:t xml:space="preserve"> ينزل فيض الوجود منه إلى الهيولى الأولى في عالم الناسوت، ويصعد إلى الصورة الجسمية</w:t>
      </w:r>
      <w:r w:rsidR="009D7359" w:rsidRPr="00282AC9">
        <w:rPr>
          <w:rFonts w:hint="cs"/>
          <w:sz w:val="27"/>
          <w:rtl/>
          <w:lang w:bidi="ar-EG"/>
        </w:rPr>
        <w:t>،</w:t>
      </w:r>
      <w:r w:rsidRPr="00282AC9">
        <w:rPr>
          <w:rFonts w:hint="cs"/>
          <w:sz w:val="27"/>
          <w:rtl/>
          <w:lang w:bidi="ar-EG"/>
        </w:rPr>
        <w:t xml:space="preserve"> ثم إلى صورة العناصر البسيطة</w:t>
      </w:r>
      <w:r w:rsidR="009D7359" w:rsidRPr="00282AC9">
        <w:rPr>
          <w:rFonts w:hint="cs"/>
          <w:sz w:val="27"/>
          <w:rtl/>
          <w:lang w:bidi="ar-EG"/>
        </w:rPr>
        <w:t>،</w:t>
      </w:r>
      <w:r w:rsidRPr="00282AC9">
        <w:rPr>
          <w:rFonts w:hint="cs"/>
          <w:sz w:val="27"/>
          <w:rtl/>
          <w:lang w:bidi="ar-EG"/>
        </w:rPr>
        <w:t xml:space="preserve"> ولا ينتهي إلى النفس الإنسانية بمرتبة الروح، بل يتجاوزها إلى النفس الإنسانية بمرتبة السرّ، فلا يصدق أنّ النفس الإنسانية بمرتبة الروح هي ما ينتهي إليها فعل عالم الم</w:t>
      </w:r>
      <w:r w:rsidR="009D7359" w:rsidRPr="00282AC9">
        <w:rPr>
          <w:rFonts w:hint="cs"/>
          <w:sz w:val="27"/>
          <w:rtl/>
          <w:lang w:bidi="ar-EG"/>
        </w:rPr>
        <w:t>َ</w:t>
      </w:r>
      <w:r w:rsidRPr="00282AC9">
        <w:rPr>
          <w:rFonts w:hint="cs"/>
          <w:sz w:val="27"/>
          <w:rtl/>
          <w:lang w:bidi="ar-EG"/>
        </w:rPr>
        <w:t>ل</w:t>
      </w:r>
      <w:r w:rsidR="009D7359" w:rsidRPr="00282AC9">
        <w:rPr>
          <w:rFonts w:hint="cs"/>
          <w:sz w:val="27"/>
          <w:rtl/>
          <w:lang w:bidi="ar-EG"/>
        </w:rPr>
        <w:t>َ</w:t>
      </w:r>
      <w:r w:rsidRPr="00282AC9">
        <w:rPr>
          <w:rFonts w:hint="cs"/>
          <w:sz w:val="27"/>
          <w:rtl/>
          <w:lang w:bidi="ar-EG"/>
        </w:rPr>
        <w:t>كوت</w:t>
      </w:r>
      <w:r w:rsidR="009D7359" w:rsidRPr="00282AC9">
        <w:rPr>
          <w:rFonts w:hint="cs"/>
          <w:sz w:val="27"/>
          <w:rtl/>
          <w:lang w:bidi="ar-EG"/>
        </w:rPr>
        <w:t>؛</w:t>
      </w:r>
      <w:r w:rsidRPr="00282AC9">
        <w:rPr>
          <w:rFonts w:hint="cs"/>
          <w:sz w:val="27"/>
          <w:rtl/>
          <w:lang w:bidi="ar-EG"/>
        </w:rPr>
        <w:t xml:space="preserve"> أو تكون </w:t>
      </w:r>
      <w:r w:rsidRPr="00282AC9">
        <w:rPr>
          <w:sz w:val="27"/>
          <w:rtl/>
          <w:lang w:bidi="ar-EG"/>
        </w:rPr>
        <w:t>ـ</w:t>
      </w:r>
      <w:r w:rsidRPr="00282AC9">
        <w:rPr>
          <w:rFonts w:hint="cs"/>
          <w:sz w:val="27"/>
          <w:rtl/>
          <w:lang w:bidi="ar-EG"/>
        </w:rPr>
        <w:t xml:space="preserve"> أي الغاية ـ بمعنى ما لأجله أقدم الفاعل على فعله، وهذه الغاية تكون للفاعل المختار، والفواعل </w:t>
      </w:r>
      <w:r w:rsidRPr="00282AC9">
        <w:rPr>
          <w:rFonts w:hint="cs"/>
          <w:sz w:val="27"/>
          <w:rtl/>
          <w:lang w:bidi="ar-EG"/>
        </w:rPr>
        <w:lastRenderedPageBreak/>
        <w:t>المجر</w:t>
      </w:r>
      <w:r w:rsidR="009D7359" w:rsidRPr="00282AC9">
        <w:rPr>
          <w:rFonts w:hint="cs"/>
          <w:sz w:val="27"/>
          <w:rtl/>
          <w:lang w:bidi="ar-EG"/>
        </w:rPr>
        <w:t>ّ</w:t>
      </w:r>
      <w:r w:rsidRPr="00282AC9">
        <w:rPr>
          <w:rFonts w:hint="cs"/>
          <w:sz w:val="27"/>
          <w:rtl/>
          <w:lang w:bidi="ar-EG"/>
        </w:rPr>
        <w:t>دة في قوس النزول</w:t>
      </w:r>
      <w:r w:rsidR="009D7359" w:rsidRPr="00282AC9">
        <w:rPr>
          <w:rFonts w:hint="cs"/>
          <w:sz w:val="27"/>
          <w:rtl/>
          <w:lang w:bidi="ar-EG"/>
        </w:rPr>
        <w:t>،</w:t>
      </w:r>
      <w:r w:rsidRPr="00282AC9">
        <w:rPr>
          <w:rFonts w:hint="cs"/>
          <w:sz w:val="27"/>
          <w:rtl/>
          <w:lang w:bidi="ar-EG"/>
        </w:rPr>
        <w:t xml:space="preserve"> مثل</w:t>
      </w:r>
      <w:r w:rsidR="009D7359" w:rsidRPr="00282AC9">
        <w:rPr>
          <w:rFonts w:hint="cs"/>
          <w:sz w:val="27"/>
          <w:rtl/>
          <w:lang w:bidi="ar-EG"/>
        </w:rPr>
        <w:t>:</w:t>
      </w:r>
      <w:r w:rsidRPr="00282AC9">
        <w:rPr>
          <w:rFonts w:hint="cs"/>
          <w:sz w:val="27"/>
          <w:rtl/>
          <w:lang w:bidi="ar-EG"/>
        </w:rPr>
        <w:t xml:space="preserve"> عالم الجبروت، وعالم الملكوت، ليست فواعل مختارة، بل هي فواعل بالتسخير، ولو أنّ الفلاسفة تخيّلوا أنّ النفوس الف</w:t>
      </w:r>
      <w:r w:rsidR="001F07EA" w:rsidRPr="00282AC9">
        <w:rPr>
          <w:rFonts w:hint="cs"/>
          <w:sz w:val="27"/>
          <w:rtl/>
          <w:lang w:bidi="ar-EG"/>
        </w:rPr>
        <w:t>َ</w:t>
      </w:r>
      <w:r w:rsidRPr="00282AC9">
        <w:rPr>
          <w:rFonts w:hint="cs"/>
          <w:sz w:val="27"/>
          <w:rtl/>
          <w:lang w:bidi="ar-EG"/>
        </w:rPr>
        <w:t>ل</w:t>
      </w:r>
      <w:r w:rsidR="001F07EA" w:rsidRPr="00282AC9">
        <w:rPr>
          <w:rFonts w:hint="cs"/>
          <w:sz w:val="27"/>
          <w:rtl/>
          <w:lang w:bidi="ar-EG"/>
        </w:rPr>
        <w:t>َ</w:t>
      </w:r>
      <w:r w:rsidRPr="00282AC9">
        <w:rPr>
          <w:rFonts w:hint="cs"/>
          <w:sz w:val="27"/>
          <w:rtl/>
          <w:lang w:bidi="ar-EG"/>
        </w:rPr>
        <w:t>كي</w:t>
      </w:r>
      <w:r w:rsidR="001F07EA" w:rsidRPr="00282AC9">
        <w:rPr>
          <w:rFonts w:hint="cs"/>
          <w:sz w:val="27"/>
          <w:rtl/>
          <w:lang w:bidi="ar-EG"/>
        </w:rPr>
        <w:t>ّ</w:t>
      </w:r>
      <w:r w:rsidRPr="00282AC9">
        <w:rPr>
          <w:rFonts w:hint="cs"/>
          <w:sz w:val="27"/>
          <w:rtl/>
          <w:lang w:bidi="ar-EG"/>
        </w:rPr>
        <w:t>ة التي هي من عالم الملكوت الأعلى فواعل مختارة</w:t>
      </w:r>
      <w:r w:rsidRPr="00282AC9">
        <w:rPr>
          <w:sz w:val="27"/>
          <w:vertAlign w:val="superscript"/>
          <w:rtl/>
          <w:lang w:bidi="ar-EG"/>
        </w:rPr>
        <w:t>(</w:t>
      </w:r>
      <w:r w:rsidRPr="00282AC9">
        <w:rPr>
          <w:rStyle w:val="af9"/>
          <w:sz w:val="27"/>
          <w:rtl/>
          <w:lang w:bidi="ar-EG"/>
        </w:rPr>
        <w:endnoteReference w:id="686"/>
      </w:r>
      <w:r w:rsidRPr="00282AC9">
        <w:rPr>
          <w:sz w:val="27"/>
          <w:vertAlign w:val="superscript"/>
          <w:rtl/>
          <w:lang w:bidi="ar-EG"/>
        </w:rPr>
        <w:t>)</w:t>
      </w:r>
      <w:r w:rsidR="001F07EA" w:rsidRPr="00282AC9">
        <w:rPr>
          <w:rFonts w:hint="cs"/>
          <w:sz w:val="27"/>
          <w:rtl/>
          <w:lang w:bidi="ar-EG"/>
        </w:rPr>
        <w:t>.</w:t>
      </w:r>
      <w:r w:rsidRPr="00282AC9">
        <w:rPr>
          <w:rFonts w:hint="cs"/>
          <w:sz w:val="27"/>
          <w:rtl/>
          <w:lang w:bidi="ar-EG"/>
        </w:rPr>
        <w:t xml:space="preserve"> وبناءً عليه</w:t>
      </w:r>
      <w:r w:rsidR="001F07EA" w:rsidRPr="00282AC9">
        <w:rPr>
          <w:rFonts w:hint="cs"/>
          <w:sz w:val="27"/>
          <w:rtl/>
          <w:lang w:bidi="ar-EG"/>
        </w:rPr>
        <w:t>،</w:t>
      </w:r>
      <w:r w:rsidRPr="00282AC9">
        <w:rPr>
          <w:rFonts w:hint="cs"/>
          <w:sz w:val="27"/>
          <w:rtl/>
          <w:lang w:bidi="ar-EG"/>
        </w:rPr>
        <w:t xml:space="preserve"> إنّنا نرى أنّ الغاية هي ما ينتهي إليه الشيء</w:t>
      </w:r>
      <w:r w:rsidR="001F07EA" w:rsidRPr="00282AC9">
        <w:rPr>
          <w:rFonts w:hint="cs"/>
          <w:sz w:val="27"/>
          <w:rtl/>
          <w:lang w:bidi="ar-EG"/>
        </w:rPr>
        <w:t>.</w:t>
      </w:r>
      <w:r w:rsidRPr="00282AC9">
        <w:rPr>
          <w:rFonts w:hint="cs"/>
          <w:sz w:val="27"/>
          <w:rtl/>
          <w:lang w:bidi="ar-EG"/>
        </w:rPr>
        <w:t xml:space="preserve"> فالله هو الغاية بهذا المعنى؛ لأنّ كلّ شيء</w:t>
      </w:r>
      <w:r w:rsidR="001F07EA" w:rsidRPr="00282AC9">
        <w:rPr>
          <w:rFonts w:hint="cs"/>
          <w:sz w:val="27"/>
          <w:rtl/>
          <w:lang w:bidi="ar-EG"/>
        </w:rPr>
        <w:t>ٍ</w:t>
      </w:r>
      <w:r w:rsidRPr="00282AC9">
        <w:rPr>
          <w:rFonts w:hint="cs"/>
          <w:sz w:val="27"/>
          <w:rtl/>
          <w:lang w:bidi="ar-EG"/>
        </w:rPr>
        <w:t xml:space="preserve"> ينتهي إليه في القيامة الكبرى</w:t>
      </w:r>
      <w:r w:rsidR="001F07EA" w:rsidRPr="00282AC9">
        <w:rPr>
          <w:rFonts w:hint="cs"/>
          <w:sz w:val="27"/>
          <w:rtl/>
          <w:lang w:bidi="ar-EG"/>
        </w:rPr>
        <w:t>؛</w:t>
      </w:r>
      <w:r w:rsidRPr="00282AC9">
        <w:rPr>
          <w:rFonts w:hint="cs"/>
          <w:sz w:val="27"/>
          <w:rtl/>
          <w:lang w:bidi="ar-EG"/>
        </w:rPr>
        <w:t xml:space="preserve"> إذ يفنى كلّ شيء</w:t>
      </w:r>
      <w:r w:rsidR="001F07EA" w:rsidRPr="00282AC9">
        <w:rPr>
          <w:rFonts w:hint="cs"/>
          <w:sz w:val="27"/>
          <w:rtl/>
          <w:lang w:bidi="ar-EG"/>
        </w:rPr>
        <w:t>ٍ</w:t>
      </w:r>
      <w:r w:rsidRPr="00282AC9">
        <w:rPr>
          <w:rFonts w:hint="cs"/>
          <w:sz w:val="27"/>
          <w:rtl/>
          <w:lang w:bidi="ar-EG"/>
        </w:rPr>
        <w:t xml:space="preserve"> فيه بالمعنى الثالث المجازي</w:t>
      </w:r>
      <w:r w:rsidR="001F07EA" w:rsidRPr="00282AC9">
        <w:rPr>
          <w:rFonts w:hint="cs"/>
          <w:sz w:val="27"/>
          <w:rtl/>
          <w:lang w:bidi="ar-EG"/>
        </w:rPr>
        <w:t>ّ</w:t>
      </w:r>
      <w:r w:rsidRPr="00282AC9">
        <w:rPr>
          <w:rFonts w:hint="cs"/>
          <w:sz w:val="27"/>
          <w:rtl/>
          <w:lang w:bidi="ar-EG"/>
        </w:rPr>
        <w:t xml:space="preserve"> للات</w:t>
      </w:r>
      <w:r w:rsidR="001F07EA" w:rsidRPr="00282AC9">
        <w:rPr>
          <w:rFonts w:hint="cs"/>
          <w:sz w:val="27"/>
          <w:rtl/>
          <w:lang w:bidi="ar-EG"/>
        </w:rPr>
        <w:t>ّ</w:t>
      </w:r>
      <w:r w:rsidRPr="00282AC9">
        <w:rPr>
          <w:rFonts w:hint="cs"/>
          <w:sz w:val="27"/>
          <w:rtl/>
          <w:lang w:bidi="ar-EG"/>
        </w:rPr>
        <w:t>حاد</w:t>
      </w:r>
      <w:r w:rsidR="001F07EA" w:rsidRPr="00282AC9">
        <w:rPr>
          <w:rFonts w:hint="cs"/>
          <w:sz w:val="27"/>
          <w:rtl/>
          <w:lang w:bidi="ar-EG"/>
        </w:rPr>
        <w:t>.</w:t>
      </w:r>
      <w:r w:rsidRPr="00282AC9">
        <w:rPr>
          <w:rFonts w:hint="cs"/>
          <w:sz w:val="27"/>
          <w:rtl/>
          <w:lang w:bidi="ar-EG"/>
        </w:rPr>
        <w:t xml:space="preserve"> فوجوده تبارك وتعالى ليس محدوداً بحدّ</w:t>
      </w:r>
      <w:r w:rsidR="001F07EA" w:rsidRPr="00282AC9">
        <w:rPr>
          <w:rFonts w:hint="cs"/>
          <w:sz w:val="27"/>
          <w:rtl/>
          <w:lang w:bidi="ar-EG"/>
        </w:rPr>
        <w:t>ٍ</w:t>
      </w:r>
      <w:r w:rsidRPr="00282AC9">
        <w:rPr>
          <w:rFonts w:hint="cs"/>
          <w:sz w:val="27"/>
          <w:rtl/>
          <w:lang w:bidi="ar-EG"/>
        </w:rPr>
        <w:t>، فيكون واجداً لكلّ شيء</w:t>
      </w:r>
      <w:r w:rsidR="001F07EA" w:rsidRPr="00282AC9">
        <w:rPr>
          <w:rFonts w:hint="cs"/>
          <w:sz w:val="27"/>
          <w:rtl/>
          <w:lang w:bidi="ar-EG"/>
        </w:rPr>
        <w:t>ٍ</w:t>
      </w:r>
      <w:r w:rsidR="008D55CB" w:rsidRPr="00282AC9">
        <w:rPr>
          <w:rFonts w:hint="cs"/>
          <w:sz w:val="27"/>
          <w:rtl/>
          <w:lang w:bidi="ar-EG"/>
        </w:rPr>
        <w:t xml:space="preserve"> بنحوٍ</w:t>
      </w:r>
      <w:r w:rsidRPr="00282AC9">
        <w:rPr>
          <w:rFonts w:hint="cs"/>
          <w:sz w:val="27"/>
          <w:rtl/>
          <w:lang w:bidi="ar-EG"/>
        </w:rPr>
        <w:t xml:space="preserve"> أعلى وأشرف</w:t>
      </w:r>
      <w:r w:rsidR="001F07EA" w:rsidRPr="00282AC9">
        <w:rPr>
          <w:rFonts w:hint="cs"/>
          <w:sz w:val="27"/>
          <w:rtl/>
          <w:lang w:bidi="ar-EG"/>
        </w:rPr>
        <w:t>.</w:t>
      </w:r>
      <w:r w:rsidRPr="00282AC9">
        <w:rPr>
          <w:rFonts w:hint="cs"/>
          <w:sz w:val="27"/>
          <w:rtl/>
          <w:lang w:bidi="ar-EG"/>
        </w:rPr>
        <w:t xml:space="preserve"> وتكون وحدته وحدة</w:t>
      </w:r>
      <w:r w:rsidR="001F07EA" w:rsidRPr="00282AC9">
        <w:rPr>
          <w:rFonts w:hint="cs"/>
          <w:sz w:val="27"/>
          <w:rtl/>
          <w:lang w:bidi="ar-EG"/>
        </w:rPr>
        <w:t>ً</w:t>
      </w:r>
      <w:r w:rsidRPr="00282AC9">
        <w:rPr>
          <w:rFonts w:hint="cs"/>
          <w:sz w:val="27"/>
          <w:rtl/>
          <w:lang w:bidi="ar-EG"/>
        </w:rPr>
        <w:t xml:space="preserve"> حقّة حقيقي</w:t>
      </w:r>
      <w:r w:rsidR="001F07EA" w:rsidRPr="00282AC9">
        <w:rPr>
          <w:rFonts w:hint="cs"/>
          <w:sz w:val="27"/>
          <w:rtl/>
          <w:lang w:bidi="ar-EG"/>
        </w:rPr>
        <w:t>ّ</w:t>
      </w:r>
      <w:r w:rsidRPr="00282AC9">
        <w:rPr>
          <w:rFonts w:hint="cs"/>
          <w:sz w:val="27"/>
          <w:rtl/>
          <w:lang w:bidi="ar-EG"/>
        </w:rPr>
        <w:t>ة، فيفيض الوجود إلى المخلوقات على نحو الطولية</w:t>
      </w:r>
      <w:r w:rsidR="001F07EA" w:rsidRPr="00282AC9">
        <w:rPr>
          <w:rFonts w:hint="cs"/>
          <w:sz w:val="27"/>
          <w:rtl/>
          <w:lang w:bidi="ar-EG"/>
        </w:rPr>
        <w:t>،</w:t>
      </w:r>
      <w:r w:rsidRPr="00282AC9">
        <w:rPr>
          <w:rFonts w:hint="cs"/>
          <w:sz w:val="27"/>
          <w:rtl/>
          <w:lang w:bidi="ar-EG"/>
        </w:rPr>
        <w:t xml:space="preserve"> من عالم الجبروت إلى عالم الناسوت، ثمّ يرتقي من عالم الناسوت إلى عالم الملكوت</w:t>
      </w:r>
      <w:r w:rsidR="001F07EA" w:rsidRPr="00282AC9">
        <w:rPr>
          <w:rFonts w:hint="cs"/>
          <w:sz w:val="27"/>
          <w:rtl/>
          <w:lang w:bidi="ar-EG"/>
        </w:rPr>
        <w:t>،</w:t>
      </w:r>
      <w:r w:rsidRPr="00282AC9">
        <w:rPr>
          <w:rFonts w:hint="cs"/>
          <w:sz w:val="27"/>
          <w:rtl/>
          <w:lang w:bidi="ar-EG"/>
        </w:rPr>
        <w:t xml:space="preserve"> دون أن يكون في مرتبة ذلك العالم</w:t>
      </w:r>
      <w:r w:rsidR="0036509B" w:rsidRPr="00282AC9">
        <w:rPr>
          <w:rFonts w:hint="cs"/>
          <w:sz w:val="27"/>
          <w:rtl/>
          <w:lang w:bidi="ar-EG"/>
        </w:rPr>
        <w:t xml:space="preserve"> بحيث يتّحد معه</w:t>
      </w:r>
      <w:r w:rsidRPr="00282AC9">
        <w:rPr>
          <w:rFonts w:hint="cs"/>
          <w:sz w:val="27"/>
          <w:rtl/>
          <w:lang w:bidi="ar-EG"/>
        </w:rPr>
        <w:t>؛ لأنّه من تجل</w:t>
      </w:r>
      <w:r w:rsidR="001F07EA" w:rsidRPr="00282AC9">
        <w:rPr>
          <w:rFonts w:hint="cs"/>
          <w:sz w:val="27"/>
          <w:rtl/>
          <w:lang w:bidi="ar-EG"/>
        </w:rPr>
        <w:t>ِّي</w:t>
      </w:r>
      <w:r w:rsidRPr="00282AC9">
        <w:rPr>
          <w:rFonts w:hint="cs"/>
          <w:sz w:val="27"/>
          <w:rtl/>
          <w:lang w:bidi="ar-EG"/>
        </w:rPr>
        <w:t>اته وإشراقاته</w:t>
      </w:r>
      <w:r w:rsidR="001F07EA" w:rsidRPr="00282AC9">
        <w:rPr>
          <w:rFonts w:hint="cs"/>
          <w:sz w:val="27"/>
          <w:rtl/>
          <w:lang w:bidi="ar-EG"/>
        </w:rPr>
        <w:t>.</w:t>
      </w:r>
      <w:r w:rsidRPr="00282AC9">
        <w:rPr>
          <w:rFonts w:hint="cs"/>
          <w:sz w:val="27"/>
          <w:rtl/>
          <w:lang w:bidi="ar-EG"/>
        </w:rPr>
        <w:t xml:space="preserve"> وهكذا فيض الوجود يرتقي من عالم الملكوت إلى عالم الجبروت</w:t>
      </w:r>
      <w:r w:rsidR="001F07EA" w:rsidRPr="00282AC9">
        <w:rPr>
          <w:rFonts w:hint="cs"/>
          <w:sz w:val="27"/>
          <w:rtl/>
          <w:lang w:bidi="ar-EG"/>
        </w:rPr>
        <w:t>،</w:t>
      </w:r>
      <w:r w:rsidRPr="00282AC9">
        <w:rPr>
          <w:rFonts w:hint="cs"/>
          <w:sz w:val="27"/>
          <w:rtl/>
          <w:lang w:bidi="ar-EG"/>
        </w:rPr>
        <w:t xml:space="preserve"> باستكمال النفس الإنساني</w:t>
      </w:r>
      <w:r w:rsidR="001F07EA" w:rsidRPr="00282AC9">
        <w:rPr>
          <w:rFonts w:hint="cs"/>
          <w:sz w:val="27"/>
          <w:rtl/>
          <w:lang w:bidi="ar-EG"/>
        </w:rPr>
        <w:t>ّ</w:t>
      </w:r>
      <w:r w:rsidRPr="00282AC9">
        <w:rPr>
          <w:rFonts w:hint="cs"/>
          <w:sz w:val="27"/>
          <w:rtl/>
          <w:lang w:bidi="ar-EG"/>
        </w:rPr>
        <w:t>ة بالعقل المستفاد</w:t>
      </w:r>
      <w:r w:rsidR="001F07EA" w:rsidRPr="00282AC9">
        <w:rPr>
          <w:rFonts w:hint="cs"/>
          <w:sz w:val="27"/>
          <w:rtl/>
          <w:lang w:bidi="ar-EG"/>
        </w:rPr>
        <w:t>،</w:t>
      </w:r>
      <w:r w:rsidRPr="00282AC9">
        <w:rPr>
          <w:rFonts w:hint="cs"/>
          <w:sz w:val="27"/>
          <w:rtl/>
          <w:lang w:bidi="ar-EG"/>
        </w:rPr>
        <w:t xml:space="preserve"> دون أن تكون في مرتبة ذلك العالم</w:t>
      </w:r>
      <w:r w:rsidR="0036509B" w:rsidRPr="00282AC9">
        <w:rPr>
          <w:rFonts w:hint="cs"/>
          <w:sz w:val="27"/>
          <w:rtl/>
          <w:lang w:bidi="ar-EG"/>
        </w:rPr>
        <w:t xml:space="preserve"> بحيث يتّحد معه</w:t>
      </w:r>
      <w:r w:rsidRPr="00282AC9">
        <w:rPr>
          <w:rFonts w:hint="cs"/>
          <w:sz w:val="27"/>
          <w:rtl/>
          <w:lang w:bidi="ar-EG"/>
        </w:rPr>
        <w:t>؛ لأنّها من تجل</w:t>
      </w:r>
      <w:r w:rsidR="001F07EA" w:rsidRPr="00282AC9">
        <w:rPr>
          <w:rFonts w:hint="cs"/>
          <w:sz w:val="27"/>
          <w:rtl/>
          <w:lang w:bidi="ar-EG"/>
        </w:rPr>
        <w:t>ِّ</w:t>
      </w:r>
      <w:r w:rsidRPr="00282AC9">
        <w:rPr>
          <w:rFonts w:hint="cs"/>
          <w:sz w:val="27"/>
          <w:rtl/>
          <w:lang w:bidi="ar-EG"/>
        </w:rPr>
        <w:t>ياته وإشراقاته</w:t>
      </w:r>
      <w:r w:rsidR="001F07EA" w:rsidRPr="00282AC9">
        <w:rPr>
          <w:rFonts w:hint="cs"/>
          <w:sz w:val="27"/>
          <w:rtl/>
          <w:lang w:bidi="ar-EG"/>
        </w:rPr>
        <w:t>.</w:t>
      </w:r>
      <w:r w:rsidRPr="00282AC9">
        <w:rPr>
          <w:rFonts w:hint="cs"/>
          <w:sz w:val="27"/>
          <w:rtl/>
          <w:lang w:bidi="ar-EG"/>
        </w:rPr>
        <w:t xml:space="preserve"> فلا تت</w:t>
      </w:r>
      <w:r w:rsidR="001F07EA" w:rsidRPr="00282AC9">
        <w:rPr>
          <w:rFonts w:hint="cs"/>
          <w:sz w:val="27"/>
          <w:rtl/>
          <w:lang w:bidi="ar-EG"/>
        </w:rPr>
        <w:t>ّ</w:t>
      </w:r>
      <w:r w:rsidRPr="00282AC9">
        <w:rPr>
          <w:rFonts w:hint="cs"/>
          <w:sz w:val="27"/>
          <w:rtl/>
          <w:lang w:bidi="ar-EG"/>
        </w:rPr>
        <w:t>حد بذلك العالم</w:t>
      </w:r>
      <w:r w:rsidR="001F07EA" w:rsidRPr="00282AC9">
        <w:rPr>
          <w:rFonts w:hint="cs"/>
          <w:sz w:val="27"/>
          <w:rtl/>
          <w:lang w:bidi="ar-EG"/>
        </w:rPr>
        <w:t>،</w:t>
      </w:r>
      <w:r w:rsidRPr="00282AC9">
        <w:rPr>
          <w:rFonts w:hint="cs"/>
          <w:sz w:val="27"/>
          <w:rtl/>
          <w:lang w:bidi="ar-EG"/>
        </w:rPr>
        <w:t xml:space="preserve"> كما قال به العرفاء، </w:t>
      </w:r>
      <w:r w:rsidR="00DC441C" w:rsidRPr="00282AC9">
        <w:rPr>
          <w:rFonts w:hint="cs"/>
          <w:sz w:val="27"/>
          <w:rtl/>
          <w:lang w:bidi="ar-EG"/>
        </w:rPr>
        <w:t xml:space="preserve">بل يتّصل بتلك العوالم، </w:t>
      </w:r>
      <w:r w:rsidRPr="00282AC9">
        <w:rPr>
          <w:rFonts w:hint="cs"/>
          <w:sz w:val="27"/>
          <w:rtl/>
          <w:lang w:bidi="ar-EG"/>
        </w:rPr>
        <w:t>وتستمر</w:t>
      </w:r>
      <w:r w:rsidR="001F07EA" w:rsidRPr="00282AC9">
        <w:rPr>
          <w:rFonts w:hint="cs"/>
          <w:sz w:val="27"/>
          <w:rtl/>
          <w:lang w:bidi="ar-EG"/>
        </w:rPr>
        <w:t>ّ</w:t>
      </w:r>
      <w:r w:rsidRPr="00282AC9">
        <w:rPr>
          <w:rFonts w:hint="cs"/>
          <w:sz w:val="27"/>
          <w:rtl/>
          <w:lang w:bidi="ar-EG"/>
        </w:rPr>
        <w:t xml:space="preserve"> بالسير إلى الله بالقيامة الصغرى، بحيث تستغني من القيام الحلولي بالب</w:t>
      </w:r>
      <w:r w:rsidR="001F07EA" w:rsidRPr="00282AC9">
        <w:rPr>
          <w:rFonts w:hint="cs"/>
          <w:sz w:val="27"/>
          <w:rtl/>
          <w:lang w:bidi="ar-EG"/>
        </w:rPr>
        <w:t>َ</w:t>
      </w:r>
      <w:r w:rsidRPr="00282AC9">
        <w:rPr>
          <w:rFonts w:hint="cs"/>
          <w:sz w:val="27"/>
          <w:rtl/>
          <w:lang w:bidi="ar-EG"/>
        </w:rPr>
        <w:t>د</w:t>
      </w:r>
      <w:r w:rsidR="001F07EA" w:rsidRPr="00282AC9">
        <w:rPr>
          <w:rFonts w:hint="cs"/>
          <w:sz w:val="27"/>
          <w:rtl/>
          <w:lang w:bidi="ar-EG"/>
        </w:rPr>
        <w:t>َ</w:t>
      </w:r>
      <w:r w:rsidRPr="00282AC9">
        <w:rPr>
          <w:rFonts w:hint="cs"/>
          <w:sz w:val="27"/>
          <w:rtl/>
          <w:lang w:bidi="ar-EG"/>
        </w:rPr>
        <w:t>ن، وتكون قائمة</w:t>
      </w:r>
      <w:r w:rsidR="001F07EA" w:rsidRPr="00282AC9">
        <w:rPr>
          <w:rFonts w:hint="cs"/>
          <w:sz w:val="27"/>
          <w:rtl/>
          <w:lang w:bidi="ar-EG"/>
        </w:rPr>
        <w:t>ً</w:t>
      </w:r>
      <w:r w:rsidRPr="00282AC9">
        <w:rPr>
          <w:rFonts w:hint="cs"/>
          <w:sz w:val="27"/>
          <w:rtl/>
          <w:lang w:bidi="ar-EG"/>
        </w:rPr>
        <w:t xml:space="preserve"> بعالم الملكوت، ثمّ بالقيامة الكبرى تفنى بحدّه، وأصل وجودها يكتفي بالقيام الصدوري بالحق</w:t>
      </w:r>
      <w:r w:rsidR="001F07EA" w:rsidRPr="00282AC9">
        <w:rPr>
          <w:rFonts w:hint="cs"/>
          <w:sz w:val="27"/>
          <w:rtl/>
          <w:lang w:bidi="ar-EG"/>
        </w:rPr>
        <w:t>ّ</w:t>
      </w:r>
      <w:r w:rsidRPr="00282AC9">
        <w:rPr>
          <w:rFonts w:hint="cs"/>
          <w:sz w:val="27"/>
          <w:rtl/>
          <w:lang w:bidi="ar-EG"/>
        </w:rPr>
        <w:t xml:space="preserve"> تبارك وتعالى</w:t>
      </w:r>
      <w:r w:rsidR="001F07EA" w:rsidRPr="00282AC9">
        <w:rPr>
          <w:rFonts w:hint="cs"/>
          <w:sz w:val="27"/>
          <w:rtl/>
          <w:lang w:bidi="ar-EG"/>
        </w:rPr>
        <w:t>،</w:t>
      </w:r>
      <w:r w:rsidRPr="00282AC9">
        <w:rPr>
          <w:rFonts w:hint="cs"/>
          <w:sz w:val="27"/>
          <w:rtl/>
          <w:lang w:bidi="ar-EG"/>
        </w:rPr>
        <w:t xml:space="preserve"> ت</w:t>
      </w:r>
      <w:r w:rsidR="001F07EA" w:rsidRPr="00282AC9">
        <w:rPr>
          <w:rFonts w:hint="cs"/>
          <w:sz w:val="27"/>
          <w:rtl/>
          <w:lang w:bidi="ar-EG"/>
        </w:rPr>
        <w:t>َ</w:t>
      </w:r>
      <w:r w:rsidRPr="00282AC9">
        <w:rPr>
          <w:rFonts w:hint="cs"/>
          <w:sz w:val="27"/>
          <w:rtl/>
          <w:lang w:bidi="ar-EG"/>
        </w:rPr>
        <w:t>ب</w:t>
      </w:r>
      <w:r w:rsidR="001F07EA" w:rsidRPr="00282AC9">
        <w:rPr>
          <w:rFonts w:hint="cs"/>
          <w:sz w:val="27"/>
          <w:rtl/>
          <w:lang w:bidi="ar-EG"/>
        </w:rPr>
        <w:t>َ</w:t>
      </w:r>
      <w:r w:rsidRPr="00282AC9">
        <w:rPr>
          <w:rFonts w:hint="cs"/>
          <w:sz w:val="27"/>
          <w:rtl/>
          <w:lang w:bidi="ar-EG"/>
        </w:rPr>
        <w:t>عاً لعالم الجبروت، فلا يكون لكلّ فاعل</w:t>
      </w:r>
      <w:r w:rsidR="001F07EA" w:rsidRPr="00282AC9">
        <w:rPr>
          <w:rFonts w:hint="cs"/>
          <w:sz w:val="27"/>
          <w:rtl/>
          <w:lang w:bidi="ar-EG"/>
        </w:rPr>
        <w:t>ٍ</w:t>
      </w:r>
      <w:r w:rsidRPr="00282AC9">
        <w:rPr>
          <w:rFonts w:hint="cs"/>
          <w:sz w:val="27"/>
          <w:rtl/>
          <w:lang w:bidi="ar-EG"/>
        </w:rPr>
        <w:t xml:space="preserve"> في البدايات غاية</w:t>
      </w:r>
      <w:r w:rsidR="001F07EA" w:rsidRPr="00282AC9">
        <w:rPr>
          <w:rFonts w:hint="cs"/>
          <w:sz w:val="27"/>
          <w:rtl/>
          <w:lang w:bidi="ar-EG"/>
        </w:rPr>
        <w:t>ٌ</w:t>
      </w:r>
      <w:r w:rsidRPr="00282AC9">
        <w:rPr>
          <w:rFonts w:hint="cs"/>
          <w:sz w:val="27"/>
          <w:rtl/>
          <w:lang w:bidi="ar-EG"/>
        </w:rPr>
        <w:t xml:space="preserve"> في النهايات</w:t>
      </w:r>
      <w:r w:rsidR="001F07EA" w:rsidRPr="00282AC9">
        <w:rPr>
          <w:rFonts w:hint="cs"/>
          <w:sz w:val="27"/>
          <w:rtl/>
          <w:lang w:bidi="ar-EG"/>
        </w:rPr>
        <w:t>،</w:t>
      </w:r>
      <w:r w:rsidRPr="00282AC9">
        <w:rPr>
          <w:rFonts w:hint="cs"/>
          <w:sz w:val="27"/>
          <w:rtl/>
          <w:lang w:bidi="ar-EG"/>
        </w:rPr>
        <w:t xml:space="preserve"> حتّى إذا أنكرنا هذه الغايات ننكر الفواعل في البدايات</w:t>
      </w:r>
      <w:r w:rsidR="00740B2D" w:rsidRPr="00282AC9">
        <w:rPr>
          <w:rFonts w:hint="cs"/>
          <w:sz w:val="27"/>
          <w:rtl/>
          <w:lang w:bidi="ar-EG"/>
        </w:rPr>
        <w:t>.</w:t>
      </w:r>
      <w:r w:rsidRPr="00282AC9">
        <w:rPr>
          <w:rFonts w:hint="cs"/>
          <w:sz w:val="27"/>
          <w:rtl/>
          <w:lang w:bidi="ar-EG"/>
        </w:rPr>
        <w:t xml:space="preserve"> فإذن ذو الغاية هو الله</w:t>
      </w:r>
      <w:r w:rsidR="00740B2D" w:rsidRPr="00282AC9">
        <w:rPr>
          <w:rFonts w:hint="cs"/>
          <w:sz w:val="27"/>
          <w:rtl/>
          <w:lang w:bidi="ar-EG"/>
        </w:rPr>
        <w:t>،</w:t>
      </w:r>
      <w:r w:rsidRPr="00282AC9">
        <w:rPr>
          <w:rFonts w:hint="cs"/>
          <w:sz w:val="27"/>
          <w:rtl/>
          <w:lang w:bidi="ar-EG"/>
        </w:rPr>
        <w:t xml:space="preserve"> الذي أفاض الوجود لكلّ العوالم النزولي</w:t>
      </w:r>
      <w:r w:rsidR="00740B2D" w:rsidRPr="00282AC9">
        <w:rPr>
          <w:rFonts w:hint="cs"/>
          <w:sz w:val="27"/>
          <w:rtl/>
          <w:lang w:bidi="ar-EG"/>
        </w:rPr>
        <w:t>ّ</w:t>
      </w:r>
      <w:r w:rsidRPr="00282AC9">
        <w:rPr>
          <w:rFonts w:hint="cs"/>
          <w:sz w:val="27"/>
          <w:rtl/>
          <w:lang w:bidi="ar-EG"/>
        </w:rPr>
        <w:t>ة والصعودي</w:t>
      </w:r>
      <w:r w:rsidR="00740B2D" w:rsidRPr="00282AC9">
        <w:rPr>
          <w:rFonts w:hint="cs"/>
          <w:sz w:val="27"/>
          <w:rtl/>
          <w:lang w:bidi="ar-EG"/>
        </w:rPr>
        <w:t>ّ</w:t>
      </w:r>
      <w:r w:rsidRPr="00282AC9">
        <w:rPr>
          <w:rFonts w:hint="cs"/>
          <w:sz w:val="27"/>
          <w:rtl/>
          <w:lang w:bidi="ar-EG"/>
        </w:rPr>
        <w:t>ة، والغاية هي الله أيضاً؛ لانتهاء كل</w:t>
      </w:r>
      <w:r w:rsidR="00740B2D" w:rsidRPr="00282AC9">
        <w:rPr>
          <w:rFonts w:hint="cs"/>
          <w:sz w:val="27"/>
          <w:rtl/>
          <w:lang w:bidi="ar-EG"/>
        </w:rPr>
        <w:t>ّ</w:t>
      </w:r>
      <w:r w:rsidRPr="00282AC9">
        <w:rPr>
          <w:rFonts w:hint="cs"/>
          <w:sz w:val="27"/>
          <w:rtl/>
          <w:lang w:bidi="ar-EG"/>
        </w:rPr>
        <w:t xml:space="preserve"> هذه العوالم إليه</w:t>
      </w:r>
      <w:r w:rsidR="00740B2D" w:rsidRPr="00282AC9">
        <w:rPr>
          <w:rFonts w:hint="cs"/>
          <w:sz w:val="27"/>
          <w:rtl/>
          <w:lang w:bidi="ar-EG"/>
        </w:rPr>
        <w:t>.</w:t>
      </w:r>
      <w:r w:rsidRPr="00282AC9">
        <w:rPr>
          <w:rFonts w:hint="cs"/>
          <w:sz w:val="27"/>
          <w:rtl/>
          <w:lang w:bidi="ar-EG"/>
        </w:rPr>
        <w:t xml:space="preserve"> وهذا معنى قوله تعالى: </w:t>
      </w:r>
      <w:r w:rsidR="00740B2D" w:rsidRPr="00282AC9">
        <w:rPr>
          <w:rFonts w:ascii="Mosawi" w:hAnsi="Mosawi" w:cs="Mosawi"/>
          <w:sz w:val="24"/>
          <w:szCs w:val="24"/>
          <w:rtl/>
        </w:rPr>
        <w:t>﴿</w:t>
      </w:r>
      <w:r w:rsidRPr="00282AC9">
        <w:rPr>
          <w:rFonts w:hint="cs"/>
          <w:b/>
          <w:bCs/>
          <w:sz w:val="27"/>
          <w:rtl/>
          <w:lang w:bidi="ar-EG"/>
        </w:rPr>
        <w:t>إ</w:t>
      </w:r>
      <w:r w:rsidR="00740B2D" w:rsidRPr="00282AC9">
        <w:rPr>
          <w:rFonts w:hint="cs"/>
          <w:b/>
          <w:bCs/>
          <w:sz w:val="27"/>
          <w:rtl/>
          <w:lang w:bidi="ar-EG"/>
        </w:rPr>
        <w:t>ِ</w:t>
      </w:r>
      <w:r w:rsidRPr="00282AC9">
        <w:rPr>
          <w:rFonts w:hint="cs"/>
          <w:b/>
          <w:bCs/>
          <w:sz w:val="27"/>
          <w:rtl/>
          <w:lang w:bidi="ar-EG"/>
        </w:rPr>
        <w:t>نّ</w:t>
      </w:r>
      <w:r w:rsidR="00740B2D" w:rsidRPr="00282AC9">
        <w:rPr>
          <w:rFonts w:hint="cs"/>
          <w:b/>
          <w:bCs/>
          <w:sz w:val="27"/>
          <w:rtl/>
          <w:lang w:bidi="ar-EG"/>
        </w:rPr>
        <w:t>َ</w:t>
      </w:r>
      <w:r w:rsidRPr="00282AC9">
        <w:rPr>
          <w:rFonts w:hint="cs"/>
          <w:b/>
          <w:bCs/>
          <w:sz w:val="27"/>
          <w:rtl/>
          <w:lang w:bidi="ar-EG"/>
        </w:rPr>
        <w:t>ا لله</w:t>
      </w:r>
      <w:r w:rsidR="00740B2D" w:rsidRPr="00282AC9">
        <w:rPr>
          <w:rFonts w:hint="cs"/>
          <w:b/>
          <w:bCs/>
          <w:sz w:val="27"/>
          <w:rtl/>
          <w:lang w:bidi="ar-EG"/>
        </w:rPr>
        <w:t>ِ</w:t>
      </w:r>
      <w:r w:rsidRPr="00282AC9">
        <w:rPr>
          <w:rFonts w:hint="cs"/>
          <w:b/>
          <w:bCs/>
          <w:sz w:val="27"/>
          <w:rtl/>
          <w:lang w:bidi="ar-EG"/>
        </w:rPr>
        <w:t xml:space="preserve"> و</w:t>
      </w:r>
      <w:r w:rsidR="00740B2D" w:rsidRPr="00282AC9">
        <w:rPr>
          <w:rFonts w:hint="cs"/>
          <w:b/>
          <w:bCs/>
          <w:sz w:val="27"/>
          <w:rtl/>
          <w:lang w:bidi="ar-EG"/>
        </w:rPr>
        <w:t>َ</w:t>
      </w:r>
      <w:r w:rsidRPr="00282AC9">
        <w:rPr>
          <w:rFonts w:hint="cs"/>
          <w:b/>
          <w:bCs/>
          <w:sz w:val="27"/>
          <w:rtl/>
          <w:lang w:bidi="ar-EG"/>
        </w:rPr>
        <w:t>إ</w:t>
      </w:r>
      <w:r w:rsidR="00740B2D" w:rsidRPr="00282AC9">
        <w:rPr>
          <w:rFonts w:hint="cs"/>
          <w:b/>
          <w:bCs/>
          <w:sz w:val="27"/>
          <w:rtl/>
          <w:lang w:bidi="ar-EG"/>
        </w:rPr>
        <w:t>ِ</w:t>
      </w:r>
      <w:r w:rsidRPr="00282AC9">
        <w:rPr>
          <w:rFonts w:hint="cs"/>
          <w:b/>
          <w:bCs/>
          <w:sz w:val="27"/>
          <w:rtl/>
          <w:lang w:bidi="ar-EG"/>
        </w:rPr>
        <w:t>نّ</w:t>
      </w:r>
      <w:r w:rsidR="00740B2D" w:rsidRPr="00282AC9">
        <w:rPr>
          <w:rFonts w:hint="cs"/>
          <w:b/>
          <w:bCs/>
          <w:sz w:val="27"/>
          <w:rtl/>
          <w:lang w:bidi="ar-EG"/>
        </w:rPr>
        <w:t>َ</w:t>
      </w:r>
      <w:r w:rsidRPr="00282AC9">
        <w:rPr>
          <w:rFonts w:hint="cs"/>
          <w:b/>
          <w:bCs/>
          <w:sz w:val="27"/>
          <w:rtl/>
          <w:lang w:bidi="ar-EG"/>
        </w:rPr>
        <w:t>ا إ</w:t>
      </w:r>
      <w:r w:rsidR="00740B2D" w:rsidRPr="00282AC9">
        <w:rPr>
          <w:rFonts w:hint="cs"/>
          <w:b/>
          <w:bCs/>
          <w:sz w:val="27"/>
          <w:rtl/>
          <w:lang w:bidi="ar-EG"/>
        </w:rPr>
        <w:t>ِ</w:t>
      </w:r>
      <w:r w:rsidRPr="00282AC9">
        <w:rPr>
          <w:rFonts w:hint="cs"/>
          <w:b/>
          <w:bCs/>
          <w:sz w:val="27"/>
          <w:rtl/>
          <w:lang w:bidi="ar-EG"/>
        </w:rPr>
        <w:t>ل</w:t>
      </w:r>
      <w:r w:rsidR="00740B2D" w:rsidRPr="00282AC9">
        <w:rPr>
          <w:rFonts w:hint="cs"/>
          <w:b/>
          <w:bCs/>
          <w:sz w:val="27"/>
          <w:rtl/>
          <w:lang w:bidi="ar-EG"/>
        </w:rPr>
        <w:t>َ</w:t>
      </w:r>
      <w:r w:rsidRPr="00282AC9">
        <w:rPr>
          <w:rFonts w:hint="cs"/>
          <w:b/>
          <w:bCs/>
          <w:sz w:val="27"/>
          <w:rtl/>
          <w:lang w:bidi="ar-EG"/>
        </w:rPr>
        <w:t>ي</w:t>
      </w:r>
      <w:r w:rsidR="00740B2D" w:rsidRPr="00282AC9">
        <w:rPr>
          <w:rFonts w:hint="cs"/>
          <w:b/>
          <w:bCs/>
          <w:sz w:val="27"/>
          <w:rtl/>
          <w:lang w:bidi="ar-EG"/>
        </w:rPr>
        <w:t>ْ</w:t>
      </w:r>
      <w:r w:rsidRPr="00282AC9">
        <w:rPr>
          <w:rFonts w:hint="cs"/>
          <w:b/>
          <w:bCs/>
          <w:sz w:val="27"/>
          <w:rtl/>
          <w:lang w:bidi="ar-EG"/>
        </w:rPr>
        <w:t>ه</w:t>
      </w:r>
      <w:r w:rsidR="00740B2D" w:rsidRPr="00282AC9">
        <w:rPr>
          <w:rFonts w:hint="cs"/>
          <w:b/>
          <w:bCs/>
          <w:sz w:val="27"/>
          <w:rtl/>
          <w:lang w:bidi="ar-EG"/>
        </w:rPr>
        <w:t>ِ</w:t>
      </w:r>
      <w:r w:rsidRPr="00282AC9">
        <w:rPr>
          <w:rFonts w:hint="cs"/>
          <w:b/>
          <w:bCs/>
          <w:sz w:val="27"/>
          <w:rtl/>
          <w:lang w:bidi="ar-EG"/>
        </w:rPr>
        <w:t xml:space="preserve"> ر</w:t>
      </w:r>
      <w:r w:rsidR="00740B2D" w:rsidRPr="00282AC9">
        <w:rPr>
          <w:rFonts w:hint="cs"/>
          <w:b/>
          <w:bCs/>
          <w:sz w:val="27"/>
          <w:rtl/>
          <w:lang w:bidi="ar-EG"/>
        </w:rPr>
        <w:t>َ</w:t>
      </w:r>
      <w:r w:rsidRPr="00282AC9">
        <w:rPr>
          <w:rFonts w:hint="cs"/>
          <w:b/>
          <w:bCs/>
          <w:sz w:val="27"/>
          <w:rtl/>
          <w:lang w:bidi="ar-EG"/>
        </w:rPr>
        <w:t>اج</w:t>
      </w:r>
      <w:r w:rsidR="00740B2D" w:rsidRPr="00282AC9">
        <w:rPr>
          <w:rFonts w:hint="cs"/>
          <w:b/>
          <w:bCs/>
          <w:sz w:val="27"/>
          <w:rtl/>
          <w:lang w:bidi="ar-EG"/>
        </w:rPr>
        <w:t>ِ</w:t>
      </w:r>
      <w:r w:rsidRPr="00282AC9">
        <w:rPr>
          <w:rFonts w:hint="cs"/>
          <w:b/>
          <w:bCs/>
          <w:sz w:val="27"/>
          <w:rtl/>
          <w:lang w:bidi="ar-EG"/>
        </w:rPr>
        <w:t>ع</w:t>
      </w:r>
      <w:r w:rsidR="00740B2D" w:rsidRPr="00282AC9">
        <w:rPr>
          <w:rFonts w:hint="cs"/>
          <w:b/>
          <w:bCs/>
          <w:sz w:val="27"/>
          <w:rtl/>
          <w:lang w:bidi="ar-EG"/>
        </w:rPr>
        <w:t>ُ</w:t>
      </w:r>
      <w:r w:rsidRPr="00282AC9">
        <w:rPr>
          <w:rFonts w:hint="cs"/>
          <w:b/>
          <w:bCs/>
          <w:sz w:val="27"/>
          <w:rtl/>
          <w:lang w:bidi="ar-EG"/>
        </w:rPr>
        <w:t>ون</w:t>
      </w:r>
      <w:r w:rsidR="00740B2D" w:rsidRPr="00282AC9">
        <w:rPr>
          <w:rFonts w:hint="cs"/>
          <w:b/>
          <w:bCs/>
          <w:sz w:val="27"/>
          <w:rtl/>
          <w:lang w:bidi="ar-EG"/>
        </w:rPr>
        <w:t>َ</w:t>
      </w:r>
      <w:r w:rsidR="00740B2D" w:rsidRPr="00282AC9">
        <w:rPr>
          <w:rFonts w:ascii="Mosawi" w:hAnsi="Mosawi" w:cs="Mosawi"/>
          <w:sz w:val="24"/>
          <w:szCs w:val="24"/>
          <w:rtl/>
        </w:rPr>
        <w:t>﴾</w:t>
      </w:r>
      <w:r w:rsidRPr="00282AC9">
        <w:rPr>
          <w:rFonts w:hint="cs"/>
          <w:sz w:val="27"/>
          <w:rtl/>
          <w:lang w:bidi="ar-EG"/>
        </w:rPr>
        <w:t>، وليس معناه اكتمال دائرة الوجود في حال وجود هذه العوالم</w:t>
      </w:r>
      <w:r w:rsidR="00740B2D" w:rsidRPr="00282AC9">
        <w:rPr>
          <w:rFonts w:hint="cs"/>
          <w:sz w:val="27"/>
          <w:rtl/>
          <w:lang w:bidi="ar-EG"/>
        </w:rPr>
        <w:t>،</w:t>
      </w:r>
      <w:r w:rsidRPr="00282AC9">
        <w:rPr>
          <w:rFonts w:hint="cs"/>
          <w:sz w:val="27"/>
          <w:rtl/>
          <w:lang w:bidi="ar-EG"/>
        </w:rPr>
        <w:t xml:space="preserve"> بحيث يبدأ النصف الأوّل لهذه الدائرة نزولاً من عالم الجبروت، وينتهي إلى عالم الناسوت</w:t>
      </w:r>
      <w:r w:rsidR="00740B2D" w:rsidRPr="00282AC9">
        <w:rPr>
          <w:rFonts w:hint="cs"/>
          <w:sz w:val="27"/>
          <w:rtl/>
          <w:lang w:bidi="ar-EG"/>
        </w:rPr>
        <w:t>،</w:t>
      </w:r>
      <w:r w:rsidRPr="00282AC9">
        <w:rPr>
          <w:rFonts w:hint="cs"/>
          <w:sz w:val="27"/>
          <w:rtl/>
          <w:lang w:bidi="ar-EG"/>
        </w:rPr>
        <w:t xml:space="preserve"> وهذا (إنّا لله)</w:t>
      </w:r>
      <w:r w:rsidR="00740B2D" w:rsidRPr="00282AC9">
        <w:rPr>
          <w:rFonts w:hint="cs"/>
          <w:sz w:val="27"/>
          <w:rtl/>
          <w:lang w:bidi="ar-EG"/>
        </w:rPr>
        <w:t>،</w:t>
      </w:r>
      <w:r w:rsidRPr="00282AC9">
        <w:rPr>
          <w:rFonts w:hint="cs"/>
          <w:sz w:val="27"/>
          <w:rtl/>
          <w:lang w:bidi="ar-EG"/>
        </w:rPr>
        <w:t xml:space="preserve"> ويبدأ النصف الثاني لهذه الدائرة صعوداً من عالم الناسوت، وينتهي إلى عالم الجبروت، وهذا (إنّا إليه راجعون). </w:t>
      </w:r>
    </w:p>
    <w:p w:rsidR="00ED357A" w:rsidRPr="00282AC9" w:rsidRDefault="00DA6FB6" w:rsidP="00C57B75">
      <w:pPr>
        <w:rPr>
          <w:sz w:val="27"/>
          <w:rtl/>
          <w:lang w:bidi="ar-EG"/>
        </w:rPr>
      </w:pPr>
      <w:r w:rsidRPr="00282AC9">
        <w:rPr>
          <w:rFonts w:hint="cs"/>
          <w:sz w:val="27"/>
          <w:rtl/>
          <w:lang w:bidi="ar-EG"/>
        </w:rPr>
        <w:t>نعم، عالم الجبروت</w:t>
      </w:r>
      <w:r w:rsidR="00740B2D" w:rsidRPr="00282AC9">
        <w:rPr>
          <w:rFonts w:hint="cs"/>
          <w:sz w:val="27"/>
          <w:rtl/>
          <w:lang w:bidi="ar-EG"/>
        </w:rPr>
        <w:t>؛</w:t>
      </w:r>
      <w:r w:rsidRPr="00282AC9">
        <w:rPr>
          <w:rFonts w:hint="cs"/>
          <w:sz w:val="27"/>
          <w:rtl/>
          <w:lang w:bidi="ar-EG"/>
        </w:rPr>
        <w:t xml:space="preserve"> بما أنّه موجودٌ بوجود الله، يكون قديماً </w:t>
      </w:r>
      <w:r w:rsidRPr="00282AC9">
        <w:rPr>
          <w:sz w:val="27"/>
          <w:rtl/>
          <w:lang w:bidi="ar-EG"/>
        </w:rPr>
        <w:t>ـ</w:t>
      </w:r>
      <w:r w:rsidRPr="00282AC9">
        <w:rPr>
          <w:rFonts w:hint="cs"/>
          <w:sz w:val="27"/>
          <w:rtl/>
          <w:lang w:bidi="ar-EG"/>
        </w:rPr>
        <w:t xml:space="preserve"> بمعنى غير مسبوق بالع</w:t>
      </w:r>
      <w:r w:rsidR="00740B2D" w:rsidRPr="00282AC9">
        <w:rPr>
          <w:rFonts w:hint="cs"/>
          <w:sz w:val="27"/>
          <w:rtl/>
          <w:lang w:bidi="ar-EG"/>
        </w:rPr>
        <w:t>َ</w:t>
      </w:r>
      <w:r w:rsidRPr="00282AC9">
        <w:rPr>
          <w:rFonts w:hint="cs"/>
          <w:sz w:val="27"/>
          <w:rtl/>
          <w:lang w:bidi="ar-EG"/>
        </w:rPr>
        <w:t>د</w:t>
      </w:r>
      <w:r w:rsidR="00740B2D" w:rsidRPr="00282AC9">
        <w:rPr>
          <w:rFonts w:hint="cs"/>
          <w:sz w:val="27"/>
          <w:rtl/>
          <w:lang w:bidi="ar-EG"/>
        </w:rPr>
        <w:t>َ</w:t>
      </w:r>
      <w:r w:rsidRPr="00282AC9">
        <w:rPr>
          <w:rFonts w:hint="cs"/>
          <w:sz w:val="27"/>
          <w:rtl/>
          <w:lang w:bidi="ar-EG"/>
        </w:rPr>
        <w:t xml:space="preserve">م المقابل </w:t>
      </w:r>
      <w:r w:rsidRPr="00282AC9">
        <w:rPr>
          <w:sz w:val="27"/>
          <w:rtl/>
          <w:lang w:bidi="ar-EG"/>
        </w:rPr>
        <w:t>ـ</w:t>
      </w:r>
      <w:r w:rsidR="00740B2D" w:rsidRPr="00282AC9">
        <w:rPr>
          <w:rFonts w:hint="cs"/>
          <w:sz w:val="27"/>
          <w:rtl/>
          <w:lang w:bidi="ar-EG"/>
        </w:rPr>
        <w:t>،</w:t>
      </w:r>
      <w:r w:rsidRPr="00282AC9">
        <w:rPr>
          <w:rFonts w:hint="cs"/>
          <w:sz w:val="27"/>
          <w:rtl/>
          <w:lang w:bidi="ar-EG"/>
        </w:rPr>
        <w:t xml:space="preserve"> ولكن</w:t>
      </w:r>
      <w:r w:rsidR="00740B2D" w:rsidRPr="00282AC9">
        <w:rPr>
          <w:rFonts w:hint="cs"/>
          <w:sz w:val="27"/>
          <w:rtl/>
          <w:lang w:bidi="ar-EG"/>
        </w:rPr>
        <w:t>ّ</w:t>
      </w:r>
      <w:r w:rsidRPr="00282AC9">
        <w:rPr>
          <w:rFonts w:hint="cs"/>
          <w:sz w:val="27"/>
          <w:rtl/>
          <w:lang w:bidi="ar-EG"/>
        </w:rPr>
        <w:t>ه حادث</w:t>
      </w:r>
      <w:r w:rsidR="00740B2D" w:rsidRPr="00282AC9">
        <w:rPr>
          <w:rFonts w:hint="cs"/>
          <w:sz w:val="27"/>
          <w:rtl/>
          <w:lang w:bidi="ar-EG"/>
        </w:rPr>
        <w:t>ٌ</w:t>
      </w:r>
      <w:r w:rsidRPr="00282AC9">
        <w:rPr>
          <w:rFonts w:hint="cs"/>
          <w:sz w:val="27"/>
          <w:rtl/>
          <w:lang w:bidi="ar-EG"/>
        </w:rPr>
        <w:t xml:space="preserve"> بالحدوث الذاتي</w:t>
      </w:r>
      <w:r w:rsidR="00740B2D" w:rsidRPr="00282AC9">
        <w:rPr>
          <w:rFonts w:hint="cs"/>
          <w:sz w:val="27"/>
          <w:rtl/>
          <w:lang w:bidi="ar-EG"/>
        </w:rPr>
        <w:t>،</w:t>
      </w:r>
      <w:r w:rsidRPr="00282AC9">
        <w:rPr>
          <w:rFonts w:hint="cs"/>
          <w:sz w:val="27"/>
          <w:rtl/>
          <w:lang w:bidi="ar-EG"/>
        </w:rPr>
        <w:t xml:space="preserve"> كما يقول به الفلاسفة، أو بالحدوث الس</w:t>
      </w:r>
      <w:r w:rsidR="00740B2D" w:rsidRPr="00282AC9">
        <w:rPr>
          <w:rFonts w:hint="cs"/>
          <w:sz w:val="27"/>
          <w:rtl/>
          <w:lang w:bidi="ar-EG"/>
        </w:rPr>
        <w:t>َّ</w:t>
      </w:r>
      <w:r w:rsidRPr="00282AC9">
        <w:rPr>
          <w:rFonts w:hint="cs"/>
          <w:sz w:val="27"/>
          <w:rtl/>
          <w:lang w:bidi="ar-EG"/>
        </w:rPr>
        <w:t>ر</w:t>
      </w:r>
      <w:r w:rsidR="00740B2D" w:rsidRPr="00282AC9">
        <w:rPr>
          <w:rFonts w:hint="cs"/>
          <w:sz w:val="27"/>
          <w:rtl/>
          <w:lang w:bidi="ar-EG"/>
        </w:rPr>
        <w:t>ْ</w:t>
      </w:r>
      <w:r w:rsidRPr="00282AC9">
        <w:rPr>
          <w:rFonts w:hint="cs"/>
          <w:sz w:val="27"/>
          <w:rtl/>
          <w:lang w:bidi="ar-EG"/>
        </w:rPr>
        <w:t>م</w:t>
      </w:r>
      <w:r w:rsidR="00740B2D" w:rsidRPr="00282AC9">
        <w:rPr>
          <w:rFonts w:hint="cs"/>
          <w:sz w:val="27"/>
          <w:rtl/>
          <w:lang w:bidi="ar-EG"/>
        </w:rPr>
        <w:t>َ</w:t>
      </w:r>
      <w:r w:rsidRPr="00282AC9">
        <w:rPr>
          <w:rFonts w:hint="cs"/>
          <w:sz w:val="27"/>
          <w:rtl/>
          <w:lang w:bidi="ar-EG"/>
        </w:rPr>
        <w:t>دي</w:t>
      </w:r>
      <w:r w:rsidR="00740B2D" w:rsidRPr="00282AC9">
        <w:rPr>
          <w:rFonts w:hint="cs"/>
          <w:sz w:val="27"/>
          <w:rtl/>
          <w:lang w:bidi="ar-EG"/>
        </w:rPr>
        <w:t>ّ،</w:t>
      </w:r>
      <w:r w:rsidRPr="00282AC9">
        <w:rPr>
          <w:rFonts w:hint="cs"/>
          <w:sz w:val="27"/>
          <w:rtl/>
          <w:lang w:bidi="ar-EG"/>
        </w:rPr>
        <w:t xml:space="preserve"> كما يقول به المحق</w:t>
      </w:r>
      <w:r w:rsidR="00740B2D" w:rsidRPr="00282AC9">
        <w:rPr>
          <w:rFonts w:hint="cs"/>
          <w:sz w:val="27"/>
          <w:rtl/>
          <w:lang w:bidi="ar-EG"/>
        </w:rPr>
        <w:t>ِّق</w:t>
      </w:r>
      <w:r w:rsidRPr="00282AC9">
        <w:rPr>
          <w:rFonts w:hint="cs"/>
          <w:sz w:val="27"/>
          <w:rtl/>
          <w:lang w:bidi="ar-EG"/>
        </w:rPr>
        <w:t xml:space="preserve"> الداماد</w:t>
      </w:r>
      <w:r w:rsidR="009A2A04" w:rsidRPr="00282AC9">
        <w:rPr>
          <w:rFonts w:cs="Mosawi" w:hint="cs"/>
          <w:sz w:val="22"/>
          <w:szCs w:val="22"/>
          <w:rtl/>
          <w:lang w:bidi="ar-EG"/>
        </w:rPr>
        <w:t>&amp;</w:t>
      </w:r>
      <w:r w:rsidR="00740B2D" w:rsidRPr="00282AC9">
        <w:rPr>
          <w:rFonts w:hint="cs"/>
          <w:sz w:val="27"/>
          <w:rtl/>
          <w:lang w:bidi="ar-EG"/>
        </w:rPr>
        <w:t>.</w:t>
      </w:r>
      <w:r w:rsidRPr="00282AC9">
        <w:rPr>
          <w:rFonts w:hint="cs"/>
          <w:sz w:val="27"/>
          <w:rtl/>
          <w:lang w:bidi="ar-EG"/>
        </w:rPr>
        <w:t xml:space="preserve"> وبما أنّه بسيط</w:t>
      </w:r>
      <w:r w:rsidR="00740B2D" w:rsidRPr="00282AC9">
        <w:rPr>
          <w:rFonts w:hint="cs"/>
          <w:sz w:val="27"/>
          <w:rtl/>
          <w:lang w:bidi="ar-EG"/>
        </w:rPr>
        <w:t>ٌ،</w:t>
      </w:r>
      <w:r w:rsidRPr="00282AC9">
        <w:rPr>
          <w:rFonts w:hint="cs"/>
          <w:sz w:val="27"/>
          <w:rtl/>
          <w:lang w:bidi="ar-EG"/>
        </w:rPr>
        <w:t xml:space="preserve"> ليس بهالك</w:t>
      </w:r>
      <w:r w:rsidR="00740B2D" w:rsidRPr="00282AC9">
        <w:rPr>
          <w:rFonts w:hint="cs"/>
          <w:sz w:val="27"/>
          <w:rtl/>
          <w:lang w:bidi="ar-EG"/>
        </w:rPr>
        <w:t>ٍ</w:t>
      </w:r>
      <w:r w:rsidRPr="00282AC9">
        <w:rPr>
          <w:rFonts w:hint="cs"/>
          <w:sz w:val="27"/>
          <w:rtl/>
          <w:lang w:bidi="ar-EG"/>
        </w:rPr>
        <w:t>، فيكون أ</w:t>
      </w:r>
      <w:r w:rsidR="00ED357A" w:rsidRPr="00282AC9">
        <w:rPr>
          <w:rFonts w:hint="cs"/>
          <w:sz w:val="27"/>
          <w:rtl/>
          <w:lang w:bidi="ar-EG"/>
        </w:rPr>
        <w:t>َ</w:t>
      </w:r>
      <w:r w:rsidRPr="00282AC9">
        <w:rPr>
          <w:rFonts w:hint="cs"/>
          <w:sz w:val="27"/>
          <w:rtl/>
          <w:lang w:bidi="ar-EG"/>
        </w:rPr>
        <w:t>ب</w:t>
      </w:r>
      <w:r w:rsidR="00ED357A" w:rsidRPr="00282AC9">
        <w:rPr>
          <w:rFonts w:hint="cs"/>
          <w:sz w:val="27"/>
          <w:rtl/>
          <w:lang w:bidi="ar-EG"/>
        </w:rPr>
        <w:t>َ</w:t>
      </w:r>
      <w:r w:rsidRPr="00282AC9">
        <w:rPr>
          <w:rFonts w:hint="cs"/>
          <w:sz w:val="27"/>
          <w:rtl/>
          <w:lang w:bidi="ar-EG"/>
        </w:rPr>
        <w:t>دي</w:t>
      </w:r>
      <w:r w:rsidR="00ED357A" w:rsidRPr="00282AC9">
        <w:rPr>
          <w:rFonts w:hint="cs"/>
          <w:sz w:val="27"/>
          <w:rtl/>
          <w:lang w:bidi="ar-EG"/>
        </w:rPr>
        <w:t>ّ</w:t>
      </w:r>
      <w:r w:rsidRPr="00282AC9">
        <w:rPr>
          <w:rFonts w:hint="cs"/>
          <w:sz w:val="27"/>
          <w:rtl/>
          <w:lang w:bidi="ar-EG"/>
        </w:rPr>
        <w:t xml:space="preserve">اً </w:t>
      </w:r>
      <w:r w:rsidRPr="00282AC9">
        <w:rPr>
          <w:sz w:val="27"/>
          <w:rtl/>
          <w:lang w:bidi="ar-EG"/>
        </w:rPr>
        <w:t>ـ</w:t>
      </w:r>
      <w:r w:rsidR="00D9393B" w:rsidRPr="00282AC9">
        <w:rPr>
          <w:rFonts w:hint="cs"/>
          <w:sz w:val="27"/>
          <w:rtl/>
          <w:lang w:bidi="ar-EG"/>
        </w:rPr>
        <w:t xml:space="preserve"> بمعنى غير ملحوقٍ</w:t>
      </w:r>
      <w:r w:rsidRPr="00282AC9">
        <w:rPr>
          <w:rFonts w:hint="cs"/>
          <w:sz w:val="27"/>
          <w:rtl/>
          <w:lang w:bidi="ar-EG"/>
        </w:rPr>
        <w:t xml:space="preserve"> بالع</w:t>
      </w:r>
      <w:r w:rsidR="00ED357A" w:rsidRPr="00282AC9">
        <w:rPr>
          <w:rFonts w:hint="cs"/>
          <w:sz w:val="27"/>
          <w:rtl/>
          <w:lang w:bidi="ar-EG"/>
        </w:rPr>
        <w:t>َ</w:t>
      </w:r>
      <w:r w:rsidRPr="00282AC9">
        <w:rPr>
          <w:rFonts w:hint="cs"/>
          <w:sz w:val="27"/>
          <w:rtl/>
          <w:lang w:bidi="ar-EG"/>
        </w:rPr>
        <w:t>د</w:t>
      </w:r>
      <w:r w:rsidR="00ED357A" w:rsidRPr="00282AC9">
        <w:rPr>
          <w:rFonts w:hint="cs"/>
          <w:sz w:val="27"/>
          <w:rtl/>
          <w:lang w:bidi="ar-EG"/>
        </w:rPr>
        <w:t>َ</w:t>
      </w:r>
      <w:r w:rsidRPr="00282AC9">
        <w:rPr>
          <w:rFonts w:hint="cs"/>
          <w:sz w:val="27"/>
          <w:rtl/>
          <w:lang w:bidi="ar-EG"/>
        </w:rPr>
        <w:t xml:space="preserve">م المقابل </w:t>
      </w:r>
      <w:r w:rsidRPr="00282AC9">
        <w:rPr>
          <w:sz w:val="27"/>
          <w:rtl/>
          <w:lang w:bidi="ar-EG"/>
        </w:rPr>
        <w:t>ـ</w:t>
      </w:r>
      <w:r w:rsidR="00ED357A" w:rsidRPr="00282AC9">
        <w:rPr>
          <w:rFonts w:hint="cs"/>
          <w:sz w:val="27"/>
          <w:rtl/>
          <w:lang w:bidi="ar-EG"/>
        </w:rPr>
        <w:t>.</w:t>
      </w:r>
      <w:r w:rsidRPr="00282AC9">
        <w:rPr>
          <w:rFonts w:hint="cs"/>
          <w:sz w:val="27"/>
          <w:rtl/>
          <w:lang w:bidi="ar-EG"/>
        </w:rPr>
        <w:t xml:space="preserve"> وعليه</w:t>
      </w:r>
      <w:r w:rsidR="00ED357A" w:rsidRPr="00282AC9">
        <w:rPr>
          <w:rFonts w:hint="cs"/>
          <w:sz w:val="27"/>
          <w:rtl/>
          <w:lang w:bidi="ar-EG"/>
        </w:rPr>
        <w:t>،</w:t>
      </w:r>
      <w:r w:rsidRPr="00282AC9">
        <w:rPr>
          <w:rFonts w:hint="cs"/>
          <w:sz w:val="27"/>
          <w:rtl/>
          <w:lang w:bidi="ar-EG"/>
        </w:rPr>
        <w:t xml:space="preserve"> عالم الجبروت ثابت</w:t>
      </w:r>
      <w:r w:rsidR="00ED357A" w:rsidRPr="00282AC9">
        <w:rPr>
          <w:rFonts w:hint="cs"/>
          <w:sz w:val="27"/>
          <w:rtl/>
          <w:lang w:bidi="ar-EG"/>
        </w:rPr>
        <w:t>ٌ</w:t>
      </w:r>
      <w:r w:rsidRPr="00282AC9">
        <w:rPr>
          <w:rFonts w:hint="cs"/>
          <w:sz w:val="27"/>
          <w:rtl/>
          <w:lang w:bidi="ar-EG"/>
        </w:rPr>
        <w:t xml:space="preserve"> بثبوت </w:t>
      </w:r>
      <w:r w:rsidRPr="00282AC9">
        <w:rPr>
          <w:rFonts w:hint="cs"/>
          <w:sz w:val="27"/>
          <w:rtl/>
          <w:lang w:bidi="ar-EG"/>
        </w:rPr>
        <w:lastRenderedPageBreak/>
        <w:t>ذاته المقد</w:t>
      </w:r>
      <w:r w:rsidR="00ED357A" w:rsidRPr="00282AC9">
        <w:rPr>
          <w:rFonts w:hint="cs"/>
          <w:sz w:val="27"/>
          <w:rtl/>
          <w:lang w:bidi="ar-EG"/>
        </w:rPr>
        <w:t>َّ</w:t>
      </w:r>
      <w:r w:rsidRPr="00282AC9">
        <w:rPr>
          <w:rFonts w:hint="cs"/>
          <w:sz w:val="27"/>
          <w:rtl/>
          <w:lang w:bidi="ar-EG"/>
        </w:rPr>
        <w:t>سة</w:t>
      </w:r>
      <w:r w:rsidR="00ED357A" w:rsidRPr="00282AC9">
        <w:rPr>
          <w:rFonts w:hint="cs"/>
          <w:sz w:val="27"/>
          <w:rtl/>
          <w:lang w:bidi="ar-EG"/>
        </w:rPr>
        <w:t>،</w:t>
      </w:r>
      <w:r w:rsidRPr="00282AC9">
        <w:rPr>
          <w:rFonts w:hint="cs"/>
          <w:sz w:val="27"/>
          <w:rtl/>
          <w:lang w:bidi="ar-EG"/>
        </w:rPr>
        <w:t xml:space="preserve"> هذا من جهة</w:t>
      </w:r>
      <w:r w:rsidR="00ED357A" w:rsidRPr="00282AC9">
        <w:rPr>
          <w:rFonts w:hint="cs"/>
          <w:sz w:val="27"/>
          <w:rtl/>
          <w:lang w:bidi="ar-EG"/>
        </w:rPr>
        <w:t>ٍ؛</w:t>
      </w:r>
      <w:r w:rsidRPr="00282AC9">
        <w:rPr>
          <w:rFonts w:hint="cs"/>
          <w:sz w:val="27"/>
          <w:rtl/>
          <w:lang w:bidi="ar-EG"/>
        </w:rPr>
        <w:t xml:space="preserve"> ومن جهة</w:t>
      </w:r>
      <w:r w:rsidR="00ED357A" w:rsidRPr="00282AC9">
        <w:rPr>
          <w:rFonts w:hint="cs"/>
          <w:sz w:val="27"/>
          <w:rtl/>
          <w:lang w:bidi="ar-EG"/>
        </w:rPr>
        <w:t>ٍ</w:t>
      </w:r>
      <w:r w:rsidRPr="00282AC9">
        <w:rPr>
          <w:rFonts w:hint="cs"/>
          <w:sz w:val="27"/>
          <w:rtl/>
          <w:lang w:bidi="ar-EG"/>
        </w:rPr>
        <w:t xml:space="preserve"> أخرى وجه</w:t>
      </w:r>
      <w:r w:rsidR="00ED357A" w:rsidRPr="00282AC9">
        <w:rPr>
          <w:rFonts w:hint="cs"/>
          <w:sz w:val="27"/>
          <w:rtl/>
          <w:lang w:bidi="ar-EG"/>
        </w:rPr>
        <w:t>ُ</w:t>
      </w:r>
      <w:r w:rsidRPr="00282AC9">
        <w:rPr>
          <w:rFonts w:hint="cs"/>
          <w:sz w:val="27"/>
          <w:rtl/>
          <w:lang w:bidi="ar-EG"/>
        </w:rPr>
        <w:t xml:space="preserve"> الشيء هو واجهته التي يظهر من خلالها، فتُعتبر المغايرة بين الشيء ووجهه</w:t>
      </w:r>
      <w:r w:rsidR="00ED357A" w:rsidRPr="00282AC9">
        <w:rPr>
          <w:rFonts w:hint="cs"/>
          <w:sz w:val="27"/>
          <w:rtl/>
          <w:lang w:bidi="ar-EG"/>
        </w:rPr>
        <w:t>.</w:t>
      </w:r>
      <w:r w:rsidRPr="00282AC9">
        <w:rPr>
          <w:rFonts w:hint="cs"/>
          <w:sz w:val="27"/>
          <w:rtl/>
          <w:lang w:bidi="ar-EG"/>
        </w:rPr>
        <w:t xml:space="preserve"> فمن هاتين الجهتين فُسّ</w:t>
      </w:r>
      <w:r w:rsidR="00ED357A" w:rsidRPr="00282AC9">
        <w:rPr>
          <w:rFonts w:hint="cs"/>
          <w:sz w:val="27"/>
          <w:rtl/>
          <w:lang w:bidi="ar-EG"/>
        </w:rPr>
        <w:t>ِ</w:t>
      </w:r>
      <w:r w:rsidRPr="00282AC9">
        <w:rPr>
          <w:rFonts w:hint="cs"/>
          <w:sz w:val="27"/>
          <w:rtl/>
          <w:lang w:bidi="ar-EG"/>
        </w:rPr>
        <w:t>ر وجه الله في الآية الكريمة</w:t>
      </w:r>
      <w:r w:rsidR="00ED357A" w:rsidRPr="00282AC9">
        <w:rPr>
          <w:rFonts w:hint="cs"/>
          <w:sz w:val="27"/>
          <w:rtl/>
          <w:lang w:bidi="ar-EG"/>
        </w:rPr>
        <w:t>:</w:t>
      </w:r>
      <w:r w:rsidRPr="00282AC9">
        <w:rPr>
          <w:rFonts w:hint="cs"/>
          <w:sz w:val="27"/>
          <w:rtl/>
          <w:lang w:bidi="ar-EG"/>
        </w:rPr>
        <w:t xml:space="preserve"> </w:t>
      </w:r>
      <w:r w:rsidR="00ED357A" w:rsidRPr="00282AC9">
        <w:rPr>
          <w:rFonts w:ascii="Mosawi" w:hAnsi="Mosawi" w:cs="Mosawi"/>
          <w:sz w:val="24"/>
          <w:szCs w:val="24"/>
          <w:rtl/>
        </w:rPr>
        <w:t>﴿</w:t>
      </w:r>
      <w:r w:rsidRPr="00282AC9">
        <w:rPr>
          <w:rFonts w:hint="cs"/>
          <w:b/>
          <w:bCs/>
          <w:sz w:val="27"/>
          <w:rtl/>
          <w:lang w:bidi="ar-EG"/>
        </w:rPr>
        <w:t>ك</w:t>
      </w:r>
      <w:r w:rsidR="00ED357A" w:rsidRPr="00282AC9">
        <w:rPr>
          <w:rFonts w:hint="cs"/>
          <w:b/>
          <w:bCs/>
          <w:sz w:val="27"/>
          <w:rtl/>
          <w:lang w:bidi="ar-EG"/>
        </w:rPr>
        <w:t>ُ</w:t>
      </w:r>
      <w:r w:rsidRPr="00282AC9">
        <w:rPr>
          <w:rFonts w:hint="cs"/>
          <w:b/>
          <w:bCs/>
          <w:sz w:val="27"/>
          <w:rtl/>
          <w:lang w:bidi="ar-EG"/>
        </w:rPr>
        <w:t>لّ</w:t>
      </w:r>
      <w:r w:rsidR="00ED357A" w:rsidRPr="00282AC9">
        <w:rPr>
          <w:rFonts w:hint="cs"/>
          <w:b/>
          <w:bCs/>
          <w:sz w:val="27"/>
          <w:rtl/>
          <w:lang w:bidi="ar-EG"/>
        </w:rPr>
        <w:t>ُ</w:t>
      </w:r>
      <w:r w:rsidRPr="00282AC9">
        <w:rPr>
          <w:rFonts w:hint="cs"/>
          <w:b/>
          <w:bCs/>
          <w:sz w:val="27"/>
          <w:rtl/>
          <w:lang w:bidi="ar-EG"/>
        </w:rPr>
        <w:t xml:space="preserve"> ش</w:t>
      </w:r>
      <w:r w:rsidR="00ED357A" w:rsidRPr="00282AC9">
        <w:rPr>
          <w:rFonts w:hint="cs"/>
          <w:b/>
          <w:bCs/>
          <w:sz w:val="27"/>
          <w:rtl/>
          <w:lang w:bidi="ar-EG"/>
        </w:rPr>
        <w:t>َ</w:t>
      </w:r>
      <w:r w:rsidRPr="00282AC9">
        <w:rPr>
          <w:rFonts w:hint="cs"/>
          <w:b/>
          <w:bCs/>
          <w:sz w:val="27"/>
          <w:rtl/>
          <w:lang w:bidi="ar-EG"/>
        </w:rPr>
        <w:t>ي</w:t>
      </w:r>
      <w:r w:rsidR="00ED357A" w:rsidRPr="00282AC9">
        <w:rPr>
          <w:rFonts w:hint="cs"/>
          <w:b/>
          <w:bCs/>
          <w:sz w:val="27"/>
          <w:rtl/>
          <w:lang w:bidi="ar-EG"/>
        </w:rPr>
        <w:t>ْ</w:t>
      </w:r>
      <w:r w:rsidRPr="00282AC9">
        <w:rPr>
          <w:rFonts w:hint="cs"/>
          <w:b/>
          <w:bCs/>
          <w:sz w:val="27"/>
          <w:rtl/>
          <w:lang w:bidi="ar-EG"/>
        </w:rPr>
        <w:t>ء</w:t>
      </w:r>
      <w:r w:rsidR="00ED357A" w:rsidRPr="00282AC9">
        <w:rPr>
          <w:rFonts w:hint="cs"/>
          <w:b/>
          <w:bCs/>
          <w:sz w:val="27"/>
          <w:rtl/>
          <w:lang w:bidi="ar-EG"/>
        </w:rPr>
        <w:t>ٍ</w:t>
      </w:r>
      <w:r w:rsidRPr="00282AC9">
        <w:rPr>
          <w:rFonts w:hint="cs"/>
          <w:b/>
          <w:bCs/>
          <w:sz w:val="27"/>
          <w:rtl/>
          <w:lang w:bidi="ar-EG"/>
        </w:rPr>
        <w:t xml:space="preserve"> ه</w:t>
      </w:r>
      <w:r w:rsidR="00ED357A" w:rsidRPr="00282AC9">
        <w:rPr>
          <w:rFonts w:hint="cs"/>
          <w:b/>
          <w:bCs/>
          <w:sz w:val="27"/>
          <w:rtl/>
          <w:lang w:bidi="ar-EG"/>
        </w:rPr>
        <w:t>َ</w:t>
      </w:r>
      <w:r w:rsidRPr="00282AC9">
        <w:rPr>
          <w:rFonts w:hint="cs"/>
          <w:b/>
          <w:bCs/>
          <w:sz w:val="27"/>
          <w:rtl/>
          <w:lang w:bidi="ar-EG"/>
        </w:rPr>
        <w:t>ال</w:t>
      </w:r>
      <w:r w:rsidR="00ED357A" w:rsidRPr="00282AC9">
        <w:rPr>
          <w:rFonts w:hint="cs"/>
          <w:b/>
          <w:bCs/>
          <w:sz w:val="27"/>
          <w:rtl/>
          <w:lang w:bidi="ar-EG"/>
        </w:rPr>
        <w:t>ِ</w:t>
      </w:r>
      <w:r w:rsidRPr="00282AC9">
        <w:rPr>
          <w:rFonts w:hint="cs"/>
          <w:b/>
          <w:bCs/>
          <w:sz w:val="27"/>
          <w:rtl/>
          <w:lang w:bidi="ar-EG"/>
        </w:rPr>
        <w:t>ك</w:t>
      </w:r>
      <w:r w:rsidR="00ED357A" w:rsidRPr="00282AC9">
        <w:rPr>
          <w:rFonts w:hint="cs"/>
          <w:b/>
          <w:bCs/>
          <w:sz w:val="27"/>
          <w:rtl/>
          <w:lang w:bidi="ar-EG"/>
        </w:rPr>
        <w:t>ٌ</w:t>
      </w:r>
      <w:r w:rsidRPr="00282AC9">
        <w:rPr>
          <w:rFonts w:hint="cs"/>
          <w:b/>
          <w:bCs/>
          <w:sz w:val="27"/>
          <w:rtl/>
          <w:lang w:bidi="ar-EG"/>
        </w:rPr>
        <w:t xml:space="preserve"> إ</w:t>
      </w:r>
      <w:r w:rsidR="00ED357A" w:rsidRPr="00282AC9">
        <w:rPr>
          <w:rFonts w:hint="cs"/>
          <w:b/>
          <w:bCs/>
          <w:sz w:val="27"/>
          <w:rtl/>
          <w:lang w:bidi="ar-EG"/>
        </w:rPr>
        <w:t>ِ</w:t>
      </w:r>
      <w:r w:rsidR="00EE6DBA" w:rsidRPr="00282AC9">
        <w:rPr>
          <w:rFonts w:hint="cs"/>
          <w:b/>
          <w:bCs/>
          <w:sz w:val="27"/>
          <w:rtl/>
          <w:lang w:bidi="ar-EG"/>
        </w:rPr>
        <w:t>لاّ</w:t>
      </w:r>
      <w:r w:rsidR="00ED357A" w:rsidRPr="00282AC9">
        <w:rPr>
          <w:rFonts w:hint="cs"/>
          <w:b/>
          <w:bCs/>
          <w:sz w:val="27"/>
          <w:rtl/>
          <w:lang w:bidi="ar-EG"/>
        </w:rPr>
        <w:t>َ</w:t>
      </w:r>
      <w:r w:rsidRPr="00282AC9">
        <w:rPr>
          <w:rFonts w:hint="cs"/>
          <w:b/>
          <w:bCs/>
          <w:sz w:val="27"/>
          <w:rtl/>
          <w:lang w:bidi="ar-EG"/>
        </w:rPr>
        <w:t xml:space="preserve"> و</w:t>
      </w:r>
      <w:r w:rsidR="00ED357A" w:rsidRPr="00282AC9">
        <w:rPr>
          <w:rFonts w:hint="cs"/>
          <w:b/>
          <w:bCs/>
          <w:sz w:val="27"/>
          <w:rtl/>
          <w:lang w:bidi="ar-EG"/>
        </w:rPr>
        <w:t>َ</w:t>
      </w:r>
      <w:r w:rsidRPr="00282AC9">
        <w:rPr>
          <w:rFonts w:hint="cs"/>
          <w:b/>
          <w:bCs/>
          <w:sz w:val="27"/>
          <w:rtl/>
          <w:lang w:bidi="ar-EG"/>
        </w:rPr>
        <w:t>ج</w:t>
      </w:r>
      <w:r w:rsidR="00ED357A" w:rsidRPr="00282AC9">
        <w:rPr>
          <w:rFonts w:hint="cs"/>
          <w:b/>
          <w:bCs/>
          <w:sz w:val="27"/>
          <w:rtl/>
          <w:lang w:bidi="ar-EG"/>
        </w:rPr>
        <w:t>ْ</w:t>
      </w:r>
      <w:r w:rsidRPr="00282AC9">
        <w:rPr>
          <w:rFonts w:hint="cs"/>
          <w:b/>
          <w:bCs/>
          <w:sz w:val="27"/>
          <w:rtl/>
          <w:lang w:bidi="ar-EG"/>
        </w:rPr>
        <w:t>ه</w:t>
      </w:r>
      <w:r w:rsidR="00ED357A" w:rsidRPr="00282AC9">
        <w:rPr>
          <w:rFonts w:hint="cs"/>
          <w:b/>
          <w:bCs/>
          <w:sz w:val="27"/>
          <w:rtl/>
          <w:lang w:bidi="ar-EG"/>
        </w:rPr>
        <w:t>َ</w:t>
      </w:r>
      <w:r w:rsidRPr="00282AC9">
        <w:rPr>
          <w:rFonts w:hint="cs"/>
          <w:b/>
          <w:bCs/>
          <w:sz w:val="27"/>
          <w:rtl/>
          <w:lang w:bidi="ar-EG"/>
        </w:rPr>
        <w:t>ه</w:t>
      </w:r>
      <w:r w:rsidR="00ED357A" w:rsidRPr="00282AC9">
        <w:rPr>
          <w:rFonts w:hint="cs"/>
          <w:b/>
          <w:bCs/>
          <w:sz w:val="27"/>
          <w:rtl/>
          <w:lang w:bidi="ar-EG"/>
        </w:rPr>
        <w:t>ُ</w:t>
      </w:r>
      <w:r w:rsidR="00ED357A" w:rsidRPr="00282AC9">
        <w:rPr>
          <w:rFonts w:ascii="Mosawi" w:hAnsi="Mosawi" w:cs="Mosawi"/>
          <w:sz w:val="24"/>
          <w:szCs w:val="24"/>
          <w:rtl/>
        </w:rPr>
        <w:t>﴾</w:t>
      </w:r>
      <w:r w:rsidRPr="00282AC9">
        <w:rPr>
          <w:rFonts w:hint="cs"/>
          <w:sz w:val="27"/>
          <w:rtl/>
          <w:lang w:bidi="ar-EG"/>
        </w:rPr>
        <w:t xml:space="preserve"> بعالم الجبروت، لا بالذات المقد</w:t>
      </w:r>
      <w:r w:rsidR="00ED357A" w:rsidRPr="00282AC9">
        <w:rPr>
          <w:rFonts w:hint="cs"/>
          <w:sz w:val="27"/>
          <w:rtl/>
          <w:lang w:bidi="ar-EG"/>
        </w:rPr>
        <w:t>َّ</w:t>
      </w:r>
      <w:r w:rsidRPr="00282AC9">
        <w:rPr>
          <w:rFonts w:hint="cs"/>
          <w:sz w:val="27"/>
          <w:rtl/>
          <w:lang w:bidi="ar-EG"/>
        </w:rPr>
        <w:t>سة الإلهي</w:t>
      </w:r>
      <w:r w:rsidR="00ED357A" w:rsidRPr="00282AC9">
        <w:rPr>
          <w:rFonts w:hint="cs"/>
          <w:sz w:val="27"/>
          <w:rtl/>
          <w:lang w:bidi="ar-EG"/>
        </w:rPr>
        <w:t>ّ</w:t>
      </w:r>
      <w:r w:rsidRPr="00282AC9">
        <w:rPr>
          <w:rFonts w:hint="cs"/>
          <w:sz w:val="27"/>
          <w:rtl/>
          <w:lang w:bidi="ar-EG"/>
        </w:rPr>
        <w:t>ة</w:t>
      </w:r>
      <w:r w:rsidR="00ED357A" w:rsidRPr="00282AC9">
        <w:rPr>
          <w:rFonts w:hint="cs"/>
          <w:sz w:val="27"/>
          <w:rtl/>
          <w:lang w:bidi="ar-EG"/>
        </w:rPr>
        <w:t>.</w:t>
      </w:r>
      <w:r w:rsidRPr="00282AC9">
        <w:rPr>
          <w:rFonts w:hint="cs"/>
          <w:sz w:val="27"/>
          <w:rtl/>
          <w:lang w:bidi="ar-EG"/>
        </w:rPr>
        <w:t xml:space="preserve"> وبناءً عليه يكون عالم الجبروت ذا الغاية</w:t>
      </w:r>
      <w:r w:rsidR="00ED357A" w:rsidRPr="00282AC9">
        <w:rPr>
          <w:rFonts w:hint="cs"/>
          <w:sz w:val="27"/>
          <w:rtl/>
          <w:lang w:bidi="ar-EG"/>
        </w:rPr>
        <w:t xml:space="preserve">، </w:t>
      </w:r>
      <w:r w:rsidRPr="00282AC9">
        <w:rPr>
          <w:rFonts w:hint="cs"/>
          <w:sz w:val="27"/>
          <w:rtl/>
          <w:lang w:bidi="ar-EG"/>
        </w:rPr>
        <w:t>وفي نفس الوقت الغاية، بمعنى ما تنتهي إليه العوالم الأخرى، وذلك في القيامة الكبرى</w:t>
      </w:r>
      <w:r w:rsidR="00ED357A" w:rsidRPr="00282AC9">
        <w:rPr>
          <w:rFonts w:hint="cs"/>
          <w:sz w:val="27"/>
          <w:rtl/>
          <w:lang w:bidi="ar-EG"/>
        </w:rPr>
        <w:t>؛</w:t>
      </w:r>
      <w:r w:rsidRPr="00282AC9">
        <w:rPr>
          <w:rFonts w:hint="cs"/>
          <w:sz w:val="27"/>
          <w:rtl/>
          <w:lang w:bidi="ar-EG"/>
        </w:rPr>
        <w:t xml:space="preserve"> بفناء تلك العوالم فيه</w:t>
      </w:r>
      <w:r w:rsidR="00ED357A" w:rsidRPr="00282AC9">
        <w:rPr>
          <w:rFonts w:hint="cs"/>
          <w:sz w:val="27"/>
          <w:rtl/>
          <w:lang w:bidi="ar-EG"/>
        </w:rPr>
        <w:t>.</w:t>
      </w:r>
    </w:p>
    <w:p w:rsidR="00DA6FB6" w:rsidRPr="00282AC9" w:rsidRDefault="00DA6FB6" w:rsidP="00C57B75">
      <w:pPr>
        <w:rPr>
          <w:sz w:val="27"/>
          <w:rtl/>
          <w:lang w:bidi="ar-EG"/>
        </w:rPr>
      </w:pPr>
      <w:r w:rsidRPr="00282AC9">
        <w:rPr>
          <w:rFonts w:hint="cs"/>
          <w:sz w:val="27"/>
          <w:rtl/>
          <w:lang w:bidi="ar-EG"/>
        </w:rPr>
        <w:t>ولا ي</w:t>
      </w:r>
      <w:r w:rsidR="00ED357A" w:rsidRPr="00282AC9">
        <w:rPr>
          <w:rFonts w:hint="cs"/>
          <w:sz w:val="27"/>
          <w:rtl/>
          <w:lang w:bidi="ar-EG"/>
        </w:rPr>
        <w:t>َ</w:t>
      </w:r>
      <w:r w:rsidRPr="00282AC9">
        <w:rPr>
          <w:rFonts w:hint="cs"/>
          <w:sz w:val="27"/>
          <w:rtl/>
          <w:lang w:bidi="ar-EG"/>
        </w:rPr>
        <w:t>ر</w:t>
      </w:r>
      <w:r w:rsidR="00ED357A" w:rsidRPr="00282AC9">
        <w:rPr>
          <w:rFonts w:hint="cs"/>
          <w:sz w:val="27"/>
          <w:rtl/>
          <w:lang w:bidi="ar-EG"/>
        </w:rPr>
        <w:t>ِ</w:t>
      </w:r>
      <w:r w:rsidRPr="00282AC9">
        <w:rPr>
          <w:rFonts w:hint="cs"/>
          <w:sz w:val="27"/>
          <w:rtl/>
          <w:lang w:bidi="ar-EG"/>
        </w:rPr>
        <w:t>د</w:t>
      </w:r>
      <w:r w:rsidR="00ED357A" w:rsidRPr="00282AC9">
        <w:rPr>
          <w:rFonts w:hint="cs"/>
          <w:sz w:val="27"/>
          <w:rtl/>
          <w:lang w:bidi="ar-EG"/>
        </w:rPr>
        <w:t>ُ</w:t>
      </w:r>
      <w:r w:rsidRPr="00282AC9">
        <w:rPr>
          <w:rFonts w:hint="cs"/>
          <w:sz w:val="27"/>
          <w:rtl/>
          <w:lang w:bidi="ar-EG"/>
        </w:rPr>
        <w:t xml:space="preserve"> على هذا النحو من الغائيّة لعالم الجبروت ما تقد</w:t>
      </w:r>
      <w:r w:rsidR="00ED357A" w:rsidRPr="00282AC9">
        <w:rPr>
          <w:rFonts w:hint="cs"/>
          <w:sz w:val="27"/>
          <w:rtl/>
          <w:lang w:bidi="ar-EG"/>
        </w:rPr>
        <w:t>َّ</w:t>
      </w:r>
      <w:r w:rsidRPr="00282AC9">
        <w:rPr>
          <w:rFonts w:hint="cs"/>
          <w:sz w:val="27"/>
          <w:rtl/>
          <w:lang w:bidi="ar-EG"/>
        </w:rPr>
        <w:t>م من الإشكال على غائيّته على قول بعض</w:t>
      </w:r>
      <w:r w:rsidR="00ED357A" w:rsidRPr="00282AC9">
        <w:rPr>
          <w:rFonts w:hint="cs"/>
          <w:sz w:val="27"/>
          <w:rtl/>
          <w:lang w:bidi="ar-EG"/>
        </w:rPr>
        <w:t>ٍ</w:t>
      </w:r>
      <w:r w:rsidRPr="00282AC9">
        <w:rPr>
          <w:rFonts w:hint="cs"/>
          <w:sz w:val="27"/>
          <w:rtl/>
          <w:lang w:bidi="ar-EG"/>
        </w:rPr>
        <w:t>؛ لأنّ هذه الغائيّة تكون بمعنى ما تنتهي إليه العوالم الدنيا منه في القيامة الكبرى</w:t>
      </w:r>
      <w:r w:rsidR="00ED357A" w:rsidRPr="00282AC9">
        <w:rPr>
          <w:rFonts w:hint="cs"/>
          <w:sz w:val="27"/>
          <w:rtl/>
          <w:lang w:bidi="ar-EG"/>
        </w:rPr>
        <w:t>.</w:t>
      </w:r>
      <w:r w:rsidRPr="00282AC9">
        <w:rPr>
          <w:rFonts w:hint="cs"/>
          <w:sz w:val="27"/>
          <w:rtl/>
          <w:lang w:bidi="ar-EG"/>
        </w:rPr>
        <w:t xml:space="preserve"> ولا مشكلة في أن يكون مفيضاً للوجود لتلك العوالم، وفي نفس الوقت يكون ما تنتهي إليه تلك العوالم في القيامة الكبرى بالفناء فيه</w:t>
      </w:r>
      <w:r w:rsidR="00ED357A" w:rsidRPr="00282AC9">
        <w:rPr>
          <w:rFonts w:hint="cs"/>
          <w:sz w:val="27"/>
          <w:rtl/>
          <w:lang w:bidi="ar-EG"/>
        </w:rPr>
        <w:t>.</w:t>
      </w:r>
      <w:r w:rsidRPr="00282AC9">
        <w:rPr>
          <w:rFonts w:hint="cs"/>
          <w:sz w:val="27"/>
          <w:rtl/>
          <w:lang w:bidi="ar-EG"/>
        </w:rPr>
        <w:t xml:space="preserve"> وأمّا بح</w:t>
      </w:r>
      <w:r w:rsidR="00ED357A" w:rsidRPr="00282AC9">
        <w:rPr>
          <w:rFonts w:hint="cs"/>
          <w:sz w:val="27"/>
          <w:rtl/>
          <w:lang w:bidi="ar-EG"/>
        </w:rPr>
        <w:t>َ</w:t>
      </w:r>
      <w:r w:rsidRPr="00282AC9">
        <w:rPr>
          <w:rFonts w:hint="cs"/>
          <w:sz w:val="27"/>
          <w:rtl/>
          <w:lang w:bidi="ar-EG"/>
        </w:rPr>
        <w:t>س</w:t>
      </w:r>
      <w:r w:rsidR="00ED357A" w:rsidRPr="00282AC9">
        <w:rPr>
          <w:rFonts w:hint="cs"/>
          <w:sz w:val="27"/>
          <w:rtl/>
          <w:lang w:bidi="ar-EG"/>
        </w:rPr>
        <w:t>َ</w:t>
      </w:r>
      <w:r w:rsidRPr="00282AC9">
        <w:rPr>
          <w:rFonts w:hint="cs"/>
          <w:sz w:val="27"/>
          <w:rtl/>
          <w:lang w:bidi="ar-EG"/>
        </w:rPr>
        <w:t>ب الغائيّة على قول بعض</w:t>
      </w:r>
      <w:r w:rsidR="00ED357A" w:rsidRPr="00282AC9">
        <w:rPr>
          <w:rFonts w:hint="cs"/>
          <w:sz w:val="27"/>
          <w:rtl/>
          <w:lang w:bidi="ar-EG"/>
        </w:rPr>
        <w:t>ٍ</w:t>
      </w:r>
      <w:r w:rsidRPr="00282AC9">
        <w:rPr>
          <w:rFonts w:hint="cs"/>
          <w:sz w:val="27"/>
          <w:rtl/>
          <w:lang w:bidi="ar-EG"/>
        </w:rPr>
        <w:t xml:space="preserve"> يكون عالم الجبروت مفيضاً للوجود لتلك العوالم، وفي نفس الوقت يكون غاية</w:t>
      </w:r>
      <w:r w:rsidR="00330DD5" w:rsidRPr="00282AC9">
        <w:rPr>
          <w:rFonts w:hint="cs"/>
          <w:sz w:val="27"/>
          <w:rtl/>
          <w:lang w:bidi="ar-EG"/>
        </w:rPr>
        <w:t>ً</w:t>
      </w:r>
      <w:r w:rsidRPr="00282AC9">
        <w:rPr>
          <w:rFonts w:hint="cs"/>
          <w:sz w:val="27"/>
          <w:rtl/>
          <w:lang w:bidi="ar-EG"/>
        </w:rPr>
        <w:t xml:space="preserve"> لوجوداتها في س</w:t>
      </w:r>
      <w:r w:rsidR="00330DD5" w:rsidRPr="00282AC9">
        <w:rPr>
          <w:rFonts w:hint="cs"/>
          <w:sz w:val="27"/>
          <w:rtl/>
          <w:lang w:bidi="ar-EG"/>
        </w:rPr>
        <w:t>َ</w:t>
      </w:r>
      <w:r w:rsidRPr="00282AC9">
        <w:rPr>
          <w:rFonts w:hint="cs"/>
          <w:sz w:val="27"/>
          <w:rtl/>
          <w:lang w:bidi="ar-EG"/>
        </w:rPr>
        <w:t>ي</w:t>
      </w:r>
      <w:r w:rsidR="00330DD5" w:rsidRPr="00282AC9">
        <w:rPr>
          <w:rFonts w:hint="cs"/>
          <w:sz w:val="27"/>
          <w:rtl/>
          <w:lang w:bidi="ar-EG"/>
        </w:rPr>
        <w:t>ْ</w:t>
      </w:r>
      <w:r w:rsidRPr="00282AC9">
        <w:rPr>
          <w:rFonts w:hint="cs"/>
          <w:sz w:val="27"/>
          <w:rtl/>
          <w:lang w:bidi="ar-EG"/>
        </w:rPr>
        <w:t>رها التكاملي، وهذا يستلزم تقد</w:t>
      </w:r>
      <w:r w:rsidR="00330DD5" w:rsidRPr="00282AC9">
        <w:rPr>
          <w:rFonts w:hint="cs"/>
          <w:sz w:val="27"/>
          <w:rtl/>
          <w:lang w:bidi="ar-EG"/>
        </w:rPr>
        <w:t>ُّ</w:t>
      </w:r>
      <w:r w:rsidRPr="00282AC9">
        <w:rPr>
          <w:rFonts w:hint="cs"/>
          <w:sz w:val="27"/>
          <w:rtl/>
          <w:lang w:bidi="ar-EG"/>
        </w:rPr>
        <w:t>م الشيء على نفسه.</w:t>
      </w:r>
    </w:p>
    <w:p w:rsidR="0064200B" w:rsidRPr="00282AC9" w:rsidRDefault="0064200B" w:rsidP="0064200B">
      <w:pPr>
        <w:spacing w:line="420" w:lineRule="exact"/>
        <w:rPr>
          <w:sz w:val="27"/>
          <w:rtl/>
        </w:rPr>
      </w:pPr>
    </w:p>
    <w:p w:rsidR="007D1924" w:rsidRPr="00282AC9" w:rsidRDefault="007D1924" w:rsidP="00DC441C">
      <w:pPr>
        <w:pStyle w:val="31"/>
        <w:rPr>
          <w:color w:val="auto"/>
          <w:rtl/>
          <w:lang w:bidi="ar-EG"/>
        </w:rPr>
      </w:pPr>
      <w:r w:rsidRPr="00282AC9">
        <w:rPr>
          <w:rFonts w:hint="cs"/>
          <w:color w:val="auto"/>
          <w:rtl/>
          <w:lang w:bidi="ar-EG"/>
        </w:rPr>
        <w:t xml:space="preserve">3ـ بطلان </w:t>
      </w:r>
      <w:r w:rsidR="00DC441C" w:rsidRPr="00282AC9">
        <w:rPr>
          <w:rFonts w:hint="cs"/>
          <w:color w:val="auto"/>
          <w:rtl/>
          <w:lang w:bidi="ar-EG"/>
        </w:rPr>
        <w:t>الاتّحاد مع</w:t>
      </w:r>
      <w:r w:rsidRPr="00282AC9">
        <w:rPr>
          <w:rFonts w:hint="cs"/>
          <w:color w:val="auto"/>
          <w:rtl/>
          <w:lang w:bidi="ar-EG"/>
        </w:rPr>
        <w:t xml:space="preserve"> العقل الأوّل</w:t>
      </w:r>
      <w:r w:rsidR="00DC441C" w:rsidRPr="00282AC9">
        <w:rPr>
          <w:rFonts w:hint="cs"/>
          <w:color w:val="auto"/>
          <w:rtl/>
          <w:lang w:bidi="ar-EG"/>
        </w:rPr>
        <w:t>، على فرض الفناء</w:t>
      </w:r>
    </w:p>
    <w:p w:rsidR="00DA6FB6" w:rsidRPr="00282AC9" w:rsidRDefault="00DA6FB6" w:rsidP="00C57B75">
      <w:pPr>
        <w:rPr>
          <w:sz w:val="27"/>
          <w:rtl/>
          <w:lang w:bidi="ar-EG"/>
        </w:rPr>
      </w:pPr>
      <w:r w:rsidRPr="00282AC9">
        <w:rPr>
          <w:rFonts w:hint="cs"/>
          <w:b/>
          <w:bCs/>
          <w:sz w:val="27"/>
          <w:rtl/>
          <w:lang w:bidi="ar-EG"/>
        </w:rPr>
        <w:t>الاحتمال الثالث</w:t>
      </w:r>
      <w:r w:rsidRPr="00282AC9">
        <w:rPr>
          <w:rFonts w:hint="cs"/>
          <w:sz w:val="27"/>
          <w:rtl/>
          <w:lang w:bidi="ar-EG"/>
        </w:rPr>
        <w:t>: أن يفنى نفس النبي</w:t>
      </w:r>
      <w:r w:rsidR="00330DD5" w:rsidRPr="00282AC9">
        <w:rPr>
          <w:rFonts w:hint="cs"/>
          <w:sz w:val="27"/>
          <w:rtl/>
          <w:lang w:bidi="ar-EG"/>
        </w:rPr>
        <w:t>ّ</w:t>
      </w:r>
      <w:r w:rsidRPr="00282AC9">
        <w:rPr>
          <w:rFonts w:hint="cs"/>
          <w:sz w:val="27"/>
          <w:rtl/>
          <w:lang w:bidi="ar-EG"/>
        </w:rPr>
        <w:t xml:space="preserve"> والوليّ في العقل الأوّل</w:t>
      </w:r>
      <w:r w:rsidR="00330DD5" w:rsidRPr="00282AC9">
        <w:rPr>
          <w:rFonts w:hint="cs"/>
          <w:sz w:val="27"/>
          <w:rtl/>
          <w:lang w:bidi="ar-EG"/>
        </w:rPr>
        <w:t>،</w:t>
      </w:r>
      <w:r w:rsidRPr="00282AC9">
        <w:rPr>
          <w:rFonts w:hint="cs"/>
          <w:sz w:val="27"/>
          <w:rtl/>
          <w:lang w:bidi="ar-EG"/>
        </w:rPr>
        <w:t xml:space="preserve"> بمعنى فناء حدّه، وبقاء وجوده بوجود العقل الأوّل</w:t>
      </w:r>
      <w:r w:rsidR="00330DD5" w:rsidRPr="00282AC9">
        <w:rPr>
          <w:rFonts w:hint="cs"/>
          <w:sz w:val="27"/>
          <w:rtl/>
          <w:lang w:bidi="ar-EG"/>
        </w:rPr>
        <w:t>.</w:t>
      </w:r>
      <w:r w:rsidRPr="00282AC9">
        <w:rPr>
          <w:rFonts w:hint="cs"/>
          <w:sz w:val="27"/>
          <w:rtl/>
          <w:lang w:bidi="ar-EG"/>
        </w:rPr>
        <w:t xml:space="preserve"> وهذا الاتحاد هو المعنى الثالث المجازي</w:t>
      </w:r>
      <w:r w:rsidR="00330DD5" w:rsidRPr="00282AC9">
        <w:rPr>
          <w:rFonts w:hint="cs"/>
          <w:sz w:val="27"/>
          <w:rtl/>
          <w:lang w:bidi="ar-EG"/>
        </w:rPr>
        <w:t>ّ</w:t>
      </w:r>
      <w:r w:rsidRPr="00282AC9">
        <w:rPr>
          <w:rFonts w:hint="cs"/>
          <w:sz w:val="27"/>
          <w:rtl/>
          <w:lang w:bidi="ar-EG"/>
        </w:rPr>
        <w:t>.</w:t>
      </w:r>
    </w:p>
    <w:p w:rsidR="00DA6FB6" w:rsidRPr="00282AC9" w:rsidRDefault="00DA6FB6" w:rsidP="00C57B75">
      <w:pPr>
        <w:rPr>
          <w:sz w:val="27"/>
          <w:rtl/>
          <w:lang w:bidi="ar-EG"/>
        </w:rPr>
      </w:pPr>
      <w:r w:rsidRPr="00282AC9">
        <w:rPr>
          <w:rFonts w:hint="cs"/>
          <w:sz w:val="27"/>
          <w:rtl/>
          <w:lang w:bidi="ar-EG"/>
        </w:rPr>
        <w:t>وتوضيح الردّ على هذا الاحتمال يتوق</w:t>
      </w:r>
      <w:r w:rsidR="00330DD5" w:rsidRPr="00282AC9">
        <w:rPr>
          <w:rFonts w:hint="cs"/>
          <w:sz w:val="27"/>
          <w:rtl/>
          <w:lang w:bidi="ar-EG"/>
        </w:rPr>
        <w:t>َّ</w:t>
      </w:r>
      <w:r w:rsidRPr="00282AC9">
        <w:rPr>
          <w:rFonts w:hint="cs"/>
          <w:sz w:val="27"/>
          <w:rtl/>
          <w:lang w:bidi="ar-EG"/>
        </w:rPr>
        <w:t>ف على بيان عدّة نقاط:</w:t>
      </w:r>
    </w:p>
    <w:p w:rsidR="00DA6FB6" w:rsidRPr="00282AC9" w:rsidRDefault="00DA6FB6" w:rsidP="00C57B75">
      <w:pPr>
        <w:rPr>
          <w:sz w:val="27"/>
          <w:rtl/>
          <w:lang w:bidi="ar-EG"/>
        </w:rPr>
      </w:pPr>
      <w:r w:rsidRPr="00282AC9">
        <w:rPr>
          <w:rFonts w:hint="cs"/>
          <w:b/>
          <w:bCs/>
          <w:sz w:val="27"/>
          <w:rtl/>
          <w:lang w:bidi="ar-EG"/>
        </w:rPr>
        <w:t>الأولى</w:t>
      </w:r>
      <w:r w:rsidRPr="00282AC9">
        <w:rPr>
          <w:rFonts w:hint="cs"/>
          <w:sz w:val="27"/>
          <w:rtl/>
          <w:lang w:bidi="ar-EG"/>
        </w:rPr>
        <w:t xml:space="preserve">: </w:t>
      </w:r>
      <w:r w:rsidR="00330DD5" w:rsidRPr="00282AC9">
        <w:rPr>
          <w:rFonts w:hint="cs"/>
          <w:sz w:val="27"/>
          <w:rtl/>
          <w:lang w:bidi="ar-EG"/>
        </w:rPr>
        <w:t>إ</w:t>
      </w:r>
      <w:r w:rsidRPr="00282AC9">
        <w:rPr>
          <w:rFonts w:hint="cs"/>
          <w:sz w:val="27"/>
          <w:rtl/>
          <w:lang w:bidi="ar-EG"/>
        </w:rPr>
        <w:t xml:space="preserve">نّ </w:t>
      </w:r>
      <w:r w:rsidR="00330DD5" w:rsidRPr="00282AC9">
        <w:rPr>
          <w:rFonts w:hint="cs"/>
          <w:sz w:val="27"/>
          <w:rtl/>
          <w:lang w:bidi="ar-EG"/>
        </w:rPr>
        <w:t>ل</w:t>
      </w:r>
      <w:r w:rsidRPr="00282AC9">
        <w:rPr>
          <w:rFonts w:hint="cs"/>
          <w:sz w:val="27"/>
          <w:rtl/>
          <w:lang w:bidi="ar-EG"/>
        </w:rPr>
        <w:t>لعقل الأوّل وجود</w:t>
      </w:r>
      <w:r w:rsidR="00330DD5" w:rsidRPr="00282AC9">
        <w:rPr>
          <w:rFonts w:hint="cs"/>
          <w:sz w:val="27"/>
          <w:rtl/>
          <w:lang w:bidi="ar-EG"/>
        </w:rPr>
        <w:t>اً</w:t>
      </w:r>
      <w:r w:rsidRPr="00282AC9">
        <w:rPr>
          <w:rFonts w:hint="cs"/>
          <w:sz w:val="27"/>
          <w:rtl/>
          <w:lang w:bidi="ar-EG"/>
        </w:rPr>
        <w:t xml:space="preserve"> في نفسه، ووجود</w:t>
      </w:r>
      <w:r w:rsidR="00330DD5" w:rsidRPr="00282AC9">
        <w:rPr>
          <w:rFonts w:hint="cs"/>
          <w:sz w:val="27"/>
          <w:rtl/>
          <w:lang w:bidi="ar-EG"/>
        </w:rPr>
        <w:t>اً</w:t>
      </w:r>
      <w:r w:rsidRPr="00282AC9">
        <w:rPr>
          <w:rFonts w:hint="cs"/>
          <w:sz w:val="27"/>
          <w:rtl/>
          <w:lang w:bidi="ar-EG"/>
        </w:rPr>
        <w:t xml:space="preserve"> لغيره؛ فأمّا وجوده في نفسه فهو وجوده لذاته</w:t>
      </w:r>
      <w:r w:rsidR="00330DD5" w:rsidRPr="00282AC9">
        <w:rPr>
          <w:rFonts w:hint="cs"/>
          <w:sz w:val="27"/>
          <w:rtl/>
          <w:lang w:bidi="ar-EG"/>
        </w:rPr>
        <w:t xml:space="preserve">؛ </w:t>
      </w:r>
      <w:r w:rsidRPr="00282AC9">
        <w:rPr>
          <w:rFonts w:hint="cs"/>
          <w:sz w:val="27"/>
          <w:rtl/>
          <w:lang w:bidi="ar-EG"/>
        </w:rPr>
        <w:t>وأما وجوده لغيره فهو وجود</w:t>
      </w:r>
      <w:r w:rsidR="00330DD5" w:rsidRPr="00282AC9">
        <w:rPr>
          <w:rFonts w:hint="cs"/>
          <w:sz w:val="27"/>
          <w:rtl/>
          <w:lang w:bidi="ar-EG"/>
        </w:rPr>
        <w:t>ُ</w:t>
      </w:r>
      <w:r w:rsidRPr="00282AC9">
        <w:rPr>
          <w:rFonts w:hint="cs"/>
          <w:sz w:val="27"/>
          <w:rtl/>
          <w:lang w:bidi="ar-EG"/>
        </w:rPr>
        <w:t>ه عند تجلّ</w:t>
      </w:r>
      <w:r w:rsidR="00330DD5" w:rsidRPr="00282AC9">
        <w:rPr>
          <w:rFonts w:hint="cs"/>
          <w:sz w:val="27"/>
          <w:rtl/>
          <w:lang w:bidi="ar-EG"/>
        </w:rPr>
        <w:t>ِ</w:t>
      </w:r>
      <w:r w:rsidRPr="00282AC9">
        <w:rPr>
          <w:rFonts w:hint="cs"/>
          <w:sz w:val="27"/>
          <w:rtl/>
          <w:lang w:bidi="ar-EG"/>
        </w:rPr>
        <w:t>يه في ماد</w:t>
      </w:r>
      <w:r w:rsidR="00330DD5" w:rsidRPr="00282AC9">
        <w:rPr>
          <w:rFonts w:hint="cs"/>
          <w:sz w:val="27"/>
          <w:rtl/>
          <w:lang w:bidi="ar-EG"/>
        </w:rPr>
        <w:t>ّ</w:t>
      </w:r>
      <w:r w:rsidRPr="00282AC9">
        <w:rPr>
          <w:rFonts w:hint="cs"/>
          <w:sz w:val="27"/>
          <w:rtl/>
          <w:lang w:bidi="ar-EG"/>
        </w:rPr>
        <w:t>ة</w:t>
      </w:r>
      <w:r w:rsidR="00330DD5" w:rsidRPr="00282AC9">
        <w:rPr>
          <w:rFonts w:hint="cs"/>
          <w:sz w:val="27"/>
          <w:rtl/>
          <w:lang w:bidi="ar-EG"/>
        </w:rPr>
        <w:t>ٍ</w:t>
      </w:r>
      <w:r w:rsidRPr="00282AC9">
        <w:rPr>
          <w:rFonts w:hint="cs"/>
          <w:sz w:val="27"/>
          <w:rtl/>
          <w:lang w:bidi="ar-EG"/>
        </w:rPr>
        <w:t>، ويُسمّى هذا الوجود بالوجود الرابطي</w:t>
      </w:r>
      <w:r w:rsidR="00330DD5" w:rsidRPr="00282AC9">
        <w:rPr>
          <w:rFonts w:hint="cs"/>
          <w:sz w:val="27"/>
          <w:rtl/>
          <w:lang w:bidi="ar-EG"/>
        </w:rPr>
        <w:t>.</w:t>
      </w:r>
      <w:r w:rsidRPr="00282AC9">
        <w:rPr>
          <w:rFonts w:hint="cs"/>
          <w:sz w:val="27"/>
          <w:rtl/>
          <w:lang w:bidi="ar-EG"/>
        </w:rPr>
        <w:t xml:space="preserve"> وهذا الوجود لغيره شديد</w:t>
      </w:r>
      <w:r w:rsidR="00330DD5" w:rsidRPr="00282AC9">
        <w:rPr>
          <w:rFonts w:hint="cs"/>
          <w:sz w:val="27"/>
          <w:rtl/>
          <w:lang w:bidi="ar-EG"/>
        </w:rPr>
        <w:t>ٌ</w:t>
      </w:r>
      <w:r w:rsidRPr="00282AC9">
        <w:rPr>
          <w:rFonts w:hint="cs"/>
          <w:sz w:val="27"/>
          <w:rtl/>
          <w:lang w:bidi="ar-EG"/>
        </w:rPr>
        <w:t xml:space="preserve"> وضعيف</w:t>
      </w:r>
      <w:r w:rsidR="00330DD5" w:rsidRPr="00282AC9">
        <w:rPr>
          <w:rFonts w:hint="cs"/>
          <w:sz w:val="27"/>
          <w:rtl/>
          <w:lang w:bidi="ar-EG"/>
        </w:rPr>
        <w:t>؛</w:t>
      </w:r>
      <w:r w:rsidRPr="00282AC9">
        <w:rPr>
          <w:rFonts w:hint="cs"/>
          <w:sz w:val="27"/>
          <w:rtl/>
          <w:lang w:bidi="ar-EG"/>
        </w:rPr>
        <w:t xml:space="preserve"> بح</w:t>
      </w:r>
      <w:r w:rsidR="00330DD5" w:rsidRPr="00282AC9">
        <w:rPr>
          <w:rFonts w:hint="cs"/>
          <w:sz w:val="27"/>
          <w:rtl/>
          <w:lang w:bidi="ar-EG"/>
        </w:rPr>
        <w:t>َ</w:t>
      </w:r>
      <w:r w:rsidRPr="00282AC9">
        <w:rPr>
          <w:rFonts w:hint="cs"/>
          <w:sz w:val="27"/>
          <w:rtl/>
          <w:lang w:bidi="ar-EG"/>
        </w:rPr>
        <w:t>س</w:t>
      </w:r>
      <w:r w:rsidR="00330DD5" w:rsidRPr="00282AC9">
        <w:rPr>
          <w:rFonts w:hint="cs"/>
          <w:sz w:val="27"/>
          <w:rtl/>
          <w:lang w:bidi="ar-EG"/>
        </w:rPr>
        <w:t>َ</w:t>
      </w:r>
      <w:r w:rsidRPr="00282AC9">
        <w:rPr>
          <w:rFonts w:hint="cs"/>
          <w:sz w:val="27"/>
          <w:rtl/>
          <w:lang w:bidi="ar-EG"/>
        </w:rPr>
        <w:t>ب المرتبة الوجودية لذلك التجلّي</w:t>
      </w:r>
      <w:r w:rsidR="00330DD5" w:rsidRPr="00282AC9">
        <w:rPr>
          <w:rFonts w:hint="cs"/>
          <w:sz w:val="27"/>
          <w:rtl/>
          <w:lang w:bidi="ar-EG"/>
        </w:rPr>
        <w:t>.</w:t>
      </w:r>
      <w:r w:rsidRPr="00282AC9">
        <w:rPr>
          <w:rFonts w:hint="cs"/>
          <w:sz w:val="27"/>
          <w:rtl/>
          <w:lang w:bidi="ar-EG"/>
        </w:rPr>
        <w:t xml:space="preserve"> كل</w:t>
      </w:r>
      <w:r w:rsidR="00D9393B" w:rsidRPr="00282AC9">
        <w:rPr>
          <w:rFonts w:hint="cs"/>
          <w:sz w:val="27"/>
          <w:rtl/>
          <w:lang w:bidi="ar-EG"/>
        </w:rPr>
        <w:t>ّ</w:t>
      </w:r>
      <w:r w:rsidRPr="00282AC9">
        <w:rPr>
          <w:rFonts w:hint="cs"/>
          <w:sz w:val="27"/>
          <w:rtl/>
          <w:lang w:bidi="ar-EG"/>
        </w:rPr>
        <w:t>ما كان التجلّي قويّاً كان وجوده الرابطي شديداً</w:t>
      </w:r>
      <w:r w:rsidR="00330DD5" w:rsidRPr="00282AC9">
        <w:rPr>
          <w:rFonts w:hint="cs"/>
          <w:sz w:val="27"/>
          <w:rtl/>
          <w:lang w:bidi="ar-EG"/>
        </w:rPr>
        <w:t>؛</w:t>
      </w:r>
      <w:r w:rsidRPr="00282AC9">
        <w:rPr>
          <w:rFonts w:hint="cs"/>
          <w:sz w:val="27"/>
          <w:rtl/>
          <w:lang w:bidi="ar-EG"/>
        </w:rPr>
        <w:t xml:space="preserve"> وكلّما كان ضعيفاً كان وجوده الرابطي ضعيفاً</w:t>
      </w:r>
      <w:r w:rsidR="00330DD5" w:rsidRPr="00282AC9">
        <w:rPr>
          <w:rFonts w:hint="cs"/>
          <w:sz w:val="27"/>
          <w:rtl/>
          <w:lang w:bidi="ar-EG"/>
        </w:rPr>
        <w:t>.</w:t>
      </w:r>
      <w:r w:rsidRPr="00282AC9">
        <w:rPr>
          <w:rFonts w:hint="cs"/>
          <w:sz w:val="27"/>
          <w:rtl/>
          <w:lang w:bidi="ar-EG"/>
        </w:rPr>
        <w:t xml:space="preserve"> ومن باب تشبيه المعقول بالمحسوس يكون الوجود الرابطي كالكهرباء في الأشرطة الكهربائية</w:t>
      </w:r>
      <w:r w:rsidR="00330DD5" w:rsidRPr="00282AC9">
        <w:rPr>
          <w:rFonts w:hint="cs"/>
          <w:sz w:val="27"/>
          <w:rtl/>
          <w:lang w:bidi="ar-EG"/>
        </w:rPr>
        <w:t>؛</w:t>
      </w:r>
      <w:r w:rsidRPr="00282AC9">
        <w:rPr>
          <w:rFonts w:hint="cs"/>
          <w:sz w:val="27"/>
          <w:rtl/>
          <w:lang w:bidi="ar-EG"/>
        </w:rPr>
        <w:t xml:space="preserve"> كل</w:t>
      </w:r>
      <w:r w:rsidR="00330DD5" w:rsidRPr="00282AC9">
        <w:rPr>
          <w:rFonts w:hint="cs"/>
          <w:sz w:val="27"/>
          <w:rtl/>
          <w:lang w:bidi="ar-EG"/>
        </w:rPr>
        <w:t>ّ</w:t>
      </w:r>
      <w:r w:rsidRPr="00282AC9">
        <w:rPr>
          <w:rFonts w:hint="cs"/>
          <w:sz w:val="27"/>
          <w:rtl/>
          <w:lang w:bidi="ar-EG"/>
        </w:rPr>
        <w:t>ما كان الشريط ثخيناً كانت الكهرباء فيه قوي</w:t>
      </w:r>
      <w:r w:rsidR="00330DD5" w:rsidRPr="00282AC9">
        <w:rPr>
          <w:rFonts w:hint="cs"/>
          <w:sz w:val="27"/>
          <w:rtl/>
          <w:lang w:bidi="ar-EG"/>
        </w:rPr>
        <w:t>ّ</w:t>
      </w:r>
      <w:r w:rsidR="00D9393B" w:rsidRPr="00282AC9">
        <w:rPr>
          <w:rFonts w:hint="cs"/>
          <w:sz w:val="27"/>
          <w:rtl/>
          <w:lang w:bidi="ar-EG"/>
        </w:rPr>
        <w:t>ةً</w:t>
      </w:r>
      <w:r w:rsidR="00330DD5" w:rsidRPr="00282AC9">
        <w:rPr>
          <w:rFonts w:hint="cs"/>
          <w:sz w:val="27"/>
          <w:rtl/>
          <w:lang w:bidi="ar-EG"/>
        </w:rPr>
        <w:t>؛</w:t>
      </w:r>
      <w:r w:rsidRPr="00282AC9">
        <w:rPr>
          <w:rFonts w:hint="cs"/>
          <w:sz w:val="27"/>
          <w:rtl/>
          <w:lang w:bidi="ar-EG"/>
        </w:rPr>
        <w:t xml:space="preserve"> وكل</w:t>
      </w:r>
      <w:r w:rsidR="00330DD5" w:rsidRPr="00282AC9">
        <w:rPr>
          <w:rFonts w:hint="cs"/>
          <w:sz w:val="27"/>
          <w:rtl/>
          <w:lang w:bidi="ar-EG"/>
        </w:rPr>
        <w:t>ّ</w:t>
      </w:r>
      <w:r w:rsidRPr="00282AC9">
        <w:rPr>
          <w:rFonts w:hint="cs"/>
          <w:sz w:val="27"/>
          <w:rtl/>
          <w:lang w:bidi="ar-EG"/>
        </w:rPr>
        <w:t>ما كان نحيلاً كانت الكهرباء ضعيفة</w:t>
      </w:r>
      <w:r w:rsidR="00D9393B" w:rsidRPr="00282AC9">
        <w:rPr>
          <w:rFonts w:hint="cs"/>
          <w:sz w:val="27"/>
          <w:rtl/>
          <w:lang w:bidi="ar-EG"/>
        </w:rPr>
        <w:t>ً</w:t>
      </w:r>
      <w:r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الثانية</w:t>
      </w:r>
      <w:r w:rsidRPr="00282AC9">
        <w:rPr>
          <w:rFonts w:hint="cs"/>
          <w:sz w:val="27"/>
          <w:rtl/>
          <w:lang w:bidi="ar-EG"/>
        </w:rPr>
        <w:t xml:space="preserve">: </w:t>
      </w:r>
      <w:r w:rsidR="00330DD5" w:rsidRPr="00282AC9">
        <w:rPr>
          <w:rFonts w:hint="cs"/>
          <w:sz w:val="27"/>
          <w:rtl/>
          <w:lang w:bidi="ar-EG"/>
        </w:rPr>
        <w:t>إ</w:t>
      </w:r>
      <w:r w:rsidRPr="00282AC9">
        <w:rPr>
          <w:rFonts w:hint="cs"/>
          <w:sz w:val="27"/>
          <w:rtl/>
          <w:lang w:bidi="ar-EG"/>
        </w:rPr>
        <w:t>نّ نفس النبيّ والوليّ هي تجلّ</w:t>
      </w:r>
      <w:r w:rsidR="00330DD5" w:rsidRPr="00282AC9">
        <w:rPr>
          <w:rFonts w:hint="cs"/>
          <w:sz w:val="27"/>
          <w:rtl/>
          <w:lang w:bidi="ar-EG"/>
        </w:rPr>
        <w:t>ٍ</w:t>
      </w:r>
      <w:r w:rsidRPr="00282AC9">
        <w:rPr>
          <w:rFonts w:hint="cs"/>
          <w:sz w:val="27"/>
          <w:rtl/>
          <w:lang w:bidi="ar-EG"/>
        </w:rPr>
        <w:t xml:space="preserve"> من العقل الأوّل، والعقل الأو</w:t>
      </w:r>
      <w:r w:rsidR="00D9393B" w:rsidRPr="00282AC9">
        <w:rPr>
          <w:rFonts w:hint="cs"/>
          <w:sz w:val="27"/>
          <w:rtl/>
          <w:lang w:bidi="ar-EG"/>
        </w:rPr>
        <w:t>ّ</w:t>
      </w:r>
      <w:r w:rsidRPr="00282AC9">
        <w:rPr>
          <w:rFonts w:hint="cs"/>
          <w:sz w:val="27"/>
          <w:rtl/>
          <w:lang w:bidi="ar-EG"/>
        </w:rPr>
        <w:t>ل يكون متجل</w:t>
      </w:r>
      <w:r w:rsidR="00330DD5" w:rsidRPr="00282AC9">
        <w:rPr>
          <w:rFonts w:hint="cs"/>
          <w:sz w:val="27"/>
          <w:rtl/>
          <w:lang w:bidi="ar-EG"/>
        </w:rPr>
        <w:t>ِّ</w:t>
      </w:r>
      <w:r w:rsidRPr="00282AC9">
        <w:rPr>
          <w:rFonts w:hint="cs"/>
          <w:sz w:val="27"/>
          <w:rtl/>
          <w:lang w:bidi="ar-EG"/>
        </w:rPr>
        <w:t>ياً، والتجل</w:t>
      </w:r>
      <w:r w:rsidR="00330DD5" w:rsidRPr="00282AC9">
        <w:rPr>
          <w:rFonts w:hint="cs"/>
          <w:sz w:val="27"/>
          <w:rtl/>
          <w:lang w:bidi="ar-EG"/>
        </w:rPr>
        <w:t>ّ</w:t>
      </w:r>
      <w:r w:rsidRPr="00282AC9">
        <w:rPr>
          <w:rFonts w:hint="cs"/>
          <w:sz w:val="27"/>
          <w:rtl/>
          <w:lang w:bidi="ar-EG"/>
        </w:rPr>
        <w:t>ي يكون مرتبة</w:t>
      </w:r>
      <w:r w:rsidR="00330DD5" w:rsidRPr="00282AC9">
        <w:rPr>
          <w:rFonts w:hint="cs"/>
          <w:sz w:val="27"/>
          <w:rtl/>
          <w:lang w:bidi="ar-EG"/>
        </w:rPr>
        <w:t>ً</w:t>
      </w:r>
      <w:r w:rsidRPr="00282AC9">
        <w:rPr>
          <w:rFonts w:hint="cs"/>
          <w:sz w:val="27"/>
          <w:rtl/>
          <w:lang w:bidi="ar-EG"/>
        </w:rPr>
        <w:t xml:space="preserve"> نازلة من وجود المتجلّ</w:t>
      </w:r>
      <w:r w:rsidR="00330DD5" w:rsidRPr="00282AC9">
        <w:rPr>
          <w:rFonts w:hint="cs"/>
          <w:sz w:val="27"/>
          <w:rtl/>
          <w:lang w:bidi="ar-EG"/>
        </w:rPr>
        <w:t>ِ</w:t>
      </w:r>
      <w:r w:rsidRPr="00282AC9">
        <w:rPr>
          <w:rFonts w:hint="cs"/>
          <w:sz w:val="27"/>
          <w:rtl/>
          <w:lang w:bidi="ar-EG"/>
        </w:rPr>
        <w:t>ي.</w:t>
      </w:r>
    </w:p>
    <w:p w:rsidR="00DA6FB6" w:rsidRPr="00282AC9" w:rsidRDefault="00DA6FB6" w:rsidP="00C57B75">
      <w:pPr>
        <w:rPr>
          <w:sz w:val="27"/>
          <w:rtl/>
          <w:lang w:bidi="ar-EG"/>
        </w:rPr>
      </w:pPr>
      <w:r w:rsidRPr="00282AC9">
        <w:rPr>
          <w:rFonts w:hint="cs"/>
          <w:b/>
          <w:bCs/>
          <w:sz w:val="27"/>
          <w:rtl/>
          <w:lang w:bidi="ar-EG"/>
        </w:rPr>
        <w:lastRenderedPageBreak/>
        <w:t>الثالثة</w:t>
      </w:r>
      <w:r w:rsidRPr="00282AC9">
        <w:rPr>
          <w:rFonts w:hint="cs"/>
          <w:sz w:val="27"/>
          <w:rtl/>
          <w:lang w:bidi="ar-EG"/>
        </w:rPr>
        <w:t>: المعنى الثالث المجازي</w:t>
      </w:r>
      <w:r w:rsidR="00330DD5" w:rsidRPr="00282AC9">
        <w:rPr>
          <w:rFonts w:hint="cs"/>
          <w:sz w:val="27"/>
          <w:rtl/>
          <w:lang w:bidi="ar-EG"/>
        </w:rPr>
        <w:t>ّ</w:t>
      </w:r>
      <w:r w:rsidRPr="00282AC9">
        <w:rPr>
          <w:rFonts w:hint="cs"/>
          <w:sz w:val="27"/>
          <w:rtl/>
          <w:lang w:bidi="ar-EG"/>
        </w:rPr>
        <w:t xml:space="preserve"> للات</w:t>
      </w:r>
      <w:r w:rsidR="00330DD5" w:rsidRPr="00282AC9">
        <w:rPr>
          <w:rFonts w:hint="cs"/>
          <w:sz w:val="27"/>
          <w:rtl/>
          <w:lang w:bidi="ar-EG"/>
        </w:rPr>
        <w:t>ّ</w:t>
      </w:r>
      <w:r w:rsidRPr="00282AC9">
        <w:rPr>
          <w:rFonts w:hint="cs"/>
          <w:sz w:val="27"/>
          <w:rtl/>
          <w:lang w:bidi="ar-EG"/>
        </w:rPr>
        <w:t>حاد لا يحصل إ</w:t>
      </w:r>
      <w:r w:rsidR="00EE6DBA" w:rsidRPr="00282AC9">
        <w:rPr>
          <w:rFonts w:hint="cs"/>
          <w:sz w:val="27"/>
          <w:rtl/>
          <w:lang w:bidi="ar-EG"/>
        </w:rPr>
        <w:t>لاّ</w:t>
      </w:r>
      <w:r w:rsidRPr="00282AC9">
        <w:rPr>
          <w:rFonts w:hint="cs"/>
          <w:sz w:val="27"/>
          <w:rtl/>
          <w:lang w:bidi="ar-EG"/>
        </w:rPr>
        <w:t xml:space="preserve"> بفناء المرتبة النازلة في المتجلّي بوجوده في نفسه، مثل</w:t>
      </w:r>
      <w:r w:rsidR="008F48D2" w:rsidRPr="00282AC9">
        <w:rPr>
          <w:rFonts w:hint="cs"/>
          <w:sz w:val="27"/>
          <w:rtl/>
          <w:lang w:bidi="ar-EG"/>
        </w:rPr>
        <w:t>:</w:t>
      </w:r>
      <w:r w:rsidRPr="00282AC9">
        <w:rPr>
          <w:rFonts w:hint="cs"/>
          <w:sz w:val="27"/>
          <w:rtl/>
          <w:lang w:bidi="ar-EG"/>
        </w:rPr>
        <w:t xml:space="preserve"> فناء النور الضعيف في النور القوي</w:t>
      </w:r>
      <w:r w:rsidR="008F48D2" w:rsidRPr="00282AC9">
        <w:rPr>
          <w:rFonts w:hint="cs"/>
          <w:sz w:val="27"/>
          <w:rtl/>
          <w:lang w:bidi="ar-EG"/>
        </w:rPr>
        <w:t>ّ</w:t>
      </w:r>
      <w:r w:rsidRPr="00282AC9">
        <w:rPr>
          <w:rFonts w:hint="cs"/>
          <w:sz w:val="27"/>
          <w:rtl/>
          <w:lang w:bidi="ar-EG"/>
        </w:rPr>
        <w:t>.</w:t>
      </w:r>
    </w:p>
    <w:p w:rsidR="008F48D2" w:rsidRPr="00282AC9" w:rsidRDefault="00DA6FB6" w:rsidP="00C57B75">
      <w:pPr>
        <w:rPr>
          <w:sz w:val="27"/>
          <w:rtl/>
          <w:lang w:bidi="ar-EG"/>
        </w:rPr>
      </w:pPr>
      <w:r w:rsidRPr="00282AC9">
        <w:rPr>
          <w:rFonts w:hint="cs"/>
          <w:sz w:val="27"/>
          <w:rtl/>
          <w:lang w:bidi="ar-EG"/>
        </w:rPr>
        <w:t>بعد أن عرف</w:t>
      </w:r>
      <w:r w:rsidR="008F48D2" w:rsidRPr="00282AC9">
        <w:rPr>
          <w:rFonts w:hint="cs"/>
          <w:sz w:val="27"/>
          <w:rtl/>
          <w:lang w:bidi="ar-EG"/>
        </w:rPr>
        <w:t>ْ</w:t>
      </w:r>
      <w:r w:rsidRPr="00282AC9">
        <w:rPr>
          <w:rFonts w:hint="cs"/>
          <w:sz w:val="27"/>
          <w:rtl/>
          <w:lang w:bidi="ar-EG"/>
        </w:rPr>
        <w:t>ت</w:t>
      </w:r>
      <w:r w:rsidR="008F48D2" w:rsidRPr="00282AC9">
        <w:rPr>
          <w:rFonts w:hint="cs"/>
          <w:sz w:val="27"/>
          <w:rtl/>
          <w:lang w:bidi="ar-EG"/>
        </w:rPr>
        <w:t>َ</w:t>
      </w:r>
      <w:r w:rsidRPr="00282AC9">
        <w:rPr>
          <w:rFonts w:hint="cs"/>
          <w:sz w:val="27"/>
          <w:rtl/>
          <w:lang w:bidi="ar-EG"/>
        </w:rPr>
        <w:t xml:space="preserve"> هذه النقاط نقول: إنّ فناء نفس النبيّ والوليّ في العقل الأوّل محال</w:t>
      </w:r>
      <w:r w:rsidR="008F48D2" w:rsidRPr="00282AC9">
        <w:rPr>
          <w:rFonts w:hint="cs"/>
          <w:sz w:val="27"/>
          <w:rtl/>
          <w:lang w:bidi="ar-EG"/>
        </w:rPr>
        <w:t>ٌ</w:t>
      </w:r>
      <w:r w:rsidRPr="00282AC9">
        <w:rPr>
          <w:rFonts w:hint="cs"/>
          <w:sz w:val="27"/>
          <w:rtl/>
          <w:lang w:bidi="ar-EG"/>
        </w:rPr>
        <w:t>؛ لأنّ فناءه في العقل الأو</w:t>
      </w:r>
      <w:r w:rsidR="008F48D2" w:rsidRPr="00282AC9">
        <w:rPr>
          <w:rFonts w:hint="cs"/>
          <w:sz w:val="27"/>
          <w:rtl/>
          <w:lang w:bidi="ar-EG"/>
        </w:rPr>
        <w:t>ّ</w:t>
      </w:r>
      <w:r w:rsidRPr="00282AC9">
        <w:rPr>
          <w:rFonts w:hint="cs"/>
          <w:sz w:val="27"/>
          <w:rtl/>
          <w:lang w:bidi="ar-EG"/>
        </w:rPr>
        <w:t>ل بوجوده في نفسه لا يخلو من فرضين: إمّا أن يكون العقل الأوّل أثناء الفناء متجل</w:t>
      </w:r>
      <w:r w:rsidR="008F48D2" w:rsidRPr="00282AC9">
        <w:rPr>
          <w:rFonts w:hint="cs"/>
          <w:sz w:val="27"/>
          <w:rtl/>
          <w:lang w:bidi="ar-EG"/>
        </w:rPr>
        <w:t>ِّي</w:t>
      </w:r>
      <w:r w:rsidRPr="00282AC9">
        <w:rPr>
          <w:rFonts w:hint="cs"/>
          <w:sz w:val="27"/>
          <w:rtl/>
          <w:lang w:bidi="ar-EG"/>
        </w:rPr>
        <w:t>اً في ب</w:t>
      </w:r>
      <w:r w:rsidR="008F48D2" w:rsidRPr="00282AC9">
        <w:rPr>
          <w:rFonts w:hint="cs"/>
          <w:sz w:val="27"/>
          <w:rtl/>
          <w:lang w:bidi="ar-EG"/>
        </w:rPr>
        <w:t>َ</w:t>
      </w:r>
      <w:r w:rsidRPr="00282AC9">
        <w:rPr>
          <w:rFonts w:hint="cs"/>
          <w:sz w:val="27"/>
          <w:rtl/>
          <w:lang w:bidi="ar-EG"/>
        </w:rPr>
        <w:t>د</w:t>
      </w:r>
      <w:r w:rsidR="008F48D2" w:rsidRPr="00282AC9">
        <w:rPr>
          <w:rFonts w:hint="cs"/>
          <w:sz w:val="27"/>
          <w:rtl/>
          <w:lang w:bidi="ar-EG"/>
        </w:rPr>
        <w:t>َ</w:t>
      </w:r>
      <w:r w:rsidRPr="00282AC9">
        <w:rPr>
          <w:rFonts w:hint="cs"/>
          <w:sz w:val="27"/>
          <w:rtl/>
          <w:lang w:bidi="ar-EG"/>
        </w:rPr>
        <w:t>ن النبيّ أو الوليّ</w:t>
      </w:r>
      <w:r w:rsidR="008F48D2" w:rsidRPr="00282AC9">
        <w:rPr>
          <w:rFonts w:hint="cs"/>
          <w:sz w:val="27"/>
          <w:rtl/>
          <w:lang w:bidi="ar-EG"/>
        </w:rPr>
        <w:t>؛</w:t>
      </w:r>
      <w:r w:rsidRPr="00282AC9">
        <w:rPr>
          <w:rFonts w:hint="cs"/>
          <w:sz w:val="27"/>
          <w:rtl/>
          <w:lang w:bidi="ar-EG"/>
        </w:rPr>
        <w:t xml:space="preserve"> أو لا</w:t>
      </w:r>
      <w:r w:rsidR="008F48D2" w:rsidRPr="00282AC9">
        <w:rPr>
          <w:rFonts w:hint="cs"/>
          <w:sz w:val="27"/>
          <w:rtl/>
          <w:lang w:bidi="ar-EG"/>
        </w:rPr>
        <w:t>.</w:t>
      </w:r>
    </w:p>
    <w:p w:rsidR="008F48D2" w:rsidRPr="00282AC9" w:rsidRDefault="00DA6FB6" w:rsidP="00C57B75">
      <w:pPr>
        <w:rPr>
          <w:sz w:val="27"/>
          <w:rtl/>
          <w:lang w:bidi="ar-EG"/>
        </w:rPr>
      </w:pPr>
      <w:r w:rsidRPr="00282AC9">
        <w:rPr>
          <w:rFonts w:hint="cs"/>
          <w:sz w:val="27"/>
          <w:rtl/>
          <w:lang w:bidi="ar-EG"/>
        </w:rPr>
        <w:t>فإن لم يكن متجل</w:t>
      </w:r>
      <w:r w:rsidR="008F48D2" w:rsidRPr="00282AC9">
        <w:rPr>
          <w:rFonts w:hint="cs"/>
          <w:sz w:val="27"/>
          <w:rtl/>
          <w:lang w:bidi="ar-EG"/>
        </w:rPr>
        <w:t>ِّي</w:t>
      </w:r>
      <w:r w:rsidRPr="00282AC9">
        <w:rPr>
          <w:rFonts w:hint="cs"/>
          <w:sz w:val="27"/>
          <w:rtl/>
          <w:lang w:bidi="ar-EG"/>
        </w:rPr>
        <w:t>اً فيه فالنفس</w:t>
      </w:r>
      <w:r w:rsidR="008F48D2" w:rsidRPr="00282AC9">
        <w:rPr>
          <w:rFonts w:hint="cs"/>
          <w:sz w:val="27"/>
          <w:rtl/>
          <w:lang w:bidi="ar-EG"/>
        </w:rPr>
        <w:t>؛</w:t>
      </w:r>
      <w:r w:rsidRPr="00282AC9">
        <w:rPr>
          <w:rFonts w:hint="cs"/>
          <w:sz w:val="27"/>
          <w:rtl/>
          <w:lang w:bidi="ar-EG"/>
        </w:rPr>
        <w:t xml:space="preserve"> من حيث إنّها مرتبة</w:t>
      </w:r>
      <w:r w:rsidR="008F48D2" w:rsidRPr="00282AC9">
        <w:rPr>
          <w:rFonts w:hint="cs"/>
          <w:sz w:val="27"/>
          <w:rtl/>
          <w:lang w:bidi="ar-EG"/>
        </w:rPr>
        <w:t>ٌ</w:t>
      </w:r>
      <w:r w:rsidRPr="00282AC9">
        <w:rPr>
          <w:rFonts w:hint="cs"/>
          <w:sz w:val="27"/>
          <w:rtl/>
          <w:lang w:bidi="ar-EG"/>
        </w:rPr>
        <w:t xml:space="preserve"> نازلة من العقل الأوّل</w:t>
      </w:r>
      <w:r w:rsidR="008F48D2" w:rsidRPr="00282AC9">
        <w:rPr>
          <w:rFonts w:hint="cs"/>
          <w:sz w:val="27"/>
          <w:rtl/>
          <w:lang w:bidi="ar-EG"/>
        </w:rPr>
        <w:t>،</w:t>
      </w:r>
      <w:r w:rsidRPr="00282AC9">
        <w:rPr>
          <w:rFonts w:hint="cs"/>
          <w:sz w:val="27"/>
          <w:rtl/>
          <w:lang w:bidi="ar-EG"/>
        </w:rPr>
        <w:t xml:space="preserve"> قد فن</w:t>
      </w:r>
      <w:r w:rsidR="008F48D2" w:rsidRPr="00282AC9">
        <w:rPr>
          <w:rFonts w:hint="cs"/>
          <w:sz w:val="27"/>
          <w:rtl/>
          <w:lang w:bidi="ar-EG"/>
        </w:rPr>
        <w:t>يَ</w:t>
      </w:r>
      <w:r w:rsidRPr="00282AC9">
        <w:rPr>
          <w:rFonts w:hint="cs"/>
          <w:sz w:val="27"/>
          <w:rtl/>
          <w:lang w:bidi="ar-EG"/>
        </w:rPr>
        <w:t>ت</w:t>
      </w:r>
      <w:r w:rsidR="008F48D2" w:rsidRPr="00282AC9">
        <w:rPr>
          <w:rFonts w:hint="cs"/>
          <w:sz w:val="27"/>
          <w:rtl/>
          <w:lang w:bidi="ar-EG"/>
        </w:rPr>
        <w:t>ْ</w:t>
      </w:r>
      <w:r w:rsidRPr="00282AC9">
        <w:rPr>
          <w:rFonts w:hint="cs"/>
          <w:sz w:val="27"/>
          <w:rtl/>
          <w:lang w:bidi="ar-EG"/>
        </w:rPr>
        <w:t xml:space="preserve"> في العقل الأوّل</w:t>
      </w:r>
      <w:r w:rsidR="008F48D2" w:rsidRPr="00282AC9">
        <w:rPr>
          <w:rFonts w:hint="cs"/>
          <w:sz w:val="27"/>
          <w:rtl/>
          <w:lang w:bidi="ar-EG"/>
        </w:rPr>
        <w:t>،</w:t>
      </w:r>
      <w:r w:rsidRPr="00282AC9">
        <w:rPr>
          <w:rFonts w:hint="cs"/>
          <w:sz w:val="27"/>
          <w:rtl/>
          <w:lang w:bidi="ar-EG"/>
        </w:rPr>
        <w:t xml:space="preserve"> حت</w:t>
      </w:r>
      <w:r w:rsidR="008F48D2" w:rsidRPr="00282AC9">
        <w:rPr>
          <w:rFonts w:hint="cs"/>
          <w:sz w:val="27"/>
          <w:rtl/>
          <w:lang w:bidi="ar-EG"/>
        </w:rPr>
        <w:t>ّ</w:t>
      </w:r>
      <w:r w:rsidRPr="00282AC9">
        <w:rPr>
          <w:rFonts w:hint="cs"/>
          <w:sz w:val="27"/>
          <w:rtl/>
          <w:lang w:bidi="ar-EG"/>
        </w:rPr>
        <w:t>ى تكون نفس العقل الأوّل، فتفنى تلك المرتبة، وبالتالي تفنى النفس في مرتبة الطبع والروح</w:t>
      </w:r>
      <w:r w:rsidR="008F48D2" w:rsidRPr="00282AC9">
        <w:rPr>
          <w:rFonts w:hint="cs"/>
          <w:sz w:val="27"/>
          <w:rtl/>
          <w:lang w:bidi="ar-EG"/>
        </w:rPr>
        <w:t>.</w:t>
      </w:r>
      <w:r w:rsidRPr="00282AC9">
        <w:rPr>
          <w:rFonts w:hint="cs"/>
          <w:sz w:val="27"/>
          <w:rtl/>
          <w:lang w:bidi="ar-EG"/>
        </w:rPr>
        <w:t xml:space="preserve"> وبفنائها تفنى النفس النباتية والحيوانية؛ لأنّهما موجودتان بوجود النفس الناطقة</w:t>
      </w:r>
      <w:r w:rsidR="008F48D2" w:rsidRPr="00282AC9">
        <w:rPr>
          <w:rFonts w:hint="cs"/>
          <w:sz w:val="27"/>
          <w:rtl/>
          <w:lang w:bidi="ar-EG"/>
        </w:rPr>
        <w:t>.</w:t>
      </w:r>
      <w:r w:rsidRPr="00282AC9">
        <w:rPr>
          <w:rFonts w:hint="cs"/>
          <w:sz w:val="27"/>
          <w:rtl/>
          <w:lang w:bidi="ar-EG"/>
        </w:rPr>
        <w:t xml:space="preserve"> وبفناء هذه النفوس الثلاث تنتفي الحياة من ب</w:t>
      </w:r>
      <w:r w:rsidR="008F48D2" w:rsidRPr="00282AC9">
        <w:rPr>
          <w:rFonts w:hint="cs"/>
          <w:sz w:val="27"/>
          <w:rtl/>
          <w:lang w:bidi="ar-EG"/>
        </w:rPr>
        <w:t>َ</w:t>
      </w:r>
      <w:r w:rsidRPr="00282AC9">
        <w:rPr>
          <w:rFonts w:hint="cs"/>
          <w:sz w:val="27"/>
          <w:rtl/>
          <w:lang w:bidi="ar-EG"/>
        </w:rPr>
        <w:t>د</w:t>
      </w:r>
      <w:r w:rsidR="008F48D2" w:rsidRPr="00282AC9">
        <w:rPr>
          <w:rFonts w:hint="cs"/>
          <w:sz w:val="27"/>
          <w:rtl/>
          <w:lang w:bidi="ar-EG"/>
        </w:rPr>
        <w:t>َ</w:t>
      </w:r>
      <w:r w:rsidRPr="00282AC9">
        <w:rPr>
          <w:rFonts w:hint="cs"/>
          <w:sz w:val="27"/>
          <w:rtl/>
          <w:lang w:bidi="ar-EG"/>
        </w:rPr>
        <w:t>ن النبيّ والوليّ؛ لأنّها تنشأ من النفوس</w:t>
      </w:r>
      <w:r w:rsidR="008F48D2" w:rsidRPr="00282AC9">
        <w:rPr>
          <w:rFonts w:hint="cs"/>
          <w:sz w:val="27"/>
          <w:rtl/>
          <w:lang w:bidi="ar-EG"/>
        </w:rPr>
        <w:t>.</w:t>
      </w:r>
      <w:r w:rsidRPr="00282AC9">
        <w:rPr>
          <w:rFonts w:hint="cs"/>
          <w:sz w:val="27"/>
          <w:rtl/>
          <w:lang w:bidi="ar-EG"/>
        </w:rPr>
        <w:t xml:space="preserve"> فبالاتحاد بهذا المعنى يتحو</w:t>
      </w:r>
      <w:r w:rsidR="008F48D2" w:rsidRPr="00282AC9">
        <w:rPr>
          <w:rFonts w:hint="cs"/>
          <w:sz w:val="27"/>
          <w:rtl/>
          <w:lang w:bidi="ar-EG"/>
        </w:rPr>
        <w:t>َّ</w:t>
      </w:r>
      <w:r w:rsidRPr="00282AC9">
        <w:rPr>
          <w:rFonts w:hint="cs"/>
          <w:sz w:val="27"/>
          <w:rtl/>
          <w:lang w:bidi="ar-EG"/>
        </w:rPr>
        <w:t>ل ب</w:t>
      </w:r>
      <w:r w:rsidR="008F48D2" w:rsidRPr="00282AC9">
        <w:rPr>
          <w:rFonts w:hint="cs"/>
          <w:sz w:val="27"/>
          <w:rtl/>
          <w:lang w:bidi="ar-EG"/>
        </w:rPr>
        <w:t>َ</w:t>
      </w:r>
      <w:r w:rsidRPr="00282AC9">
        <w:rPr>
          <w:rFonts w:hint="cs"/>
          <w:sz w:val="27"/>
          <w:rtl/>
          <w:lang w:bidi="ar-EG"/>
        </w:rPr>
        <w:t>د</w:t>
      </w:r>
      <w:r w:rsidR="008F48D2" w:rsidRPr="00282AC9">
        <w:rPr>
          <w:rFonts w:hint="cs"/>
          <w:sz w:val="27"/>
          <w:rtl/>
          <w:lang w:bidi="ar-EG"/>
        </w:rPr>
        <w:t>َ</w:t>
      </w:r>
      <w:r w:rsidRPr="00282AC9">
        <w:rPr>
          <w:rFonts w:hint="cs"/>
          <w:sz w:val="27"/>
          <w:rtl/>
          <w:lang w:bidi="ar-EG"/>
        </w:rPr>
        <w:t>ن النبيّ والوليّ إلى جث</w:t>
      </w:r>
      <w:r w:rsidR="008F48D2" w:rsidRPr="00282AC9">
        <w:rPr>
          <w:rFonts w:hint="cs"/>
          <w:sz w:val="27"/>
          <w:rtl/>
          <w:lang w:bidi="ar-EG"/>
        </w:rPr>
        <w:t>ّ</w:t>
      </w:r>
      <w:r w:rsidRPr="00282AC9">
        <w:rPr>
          <w:rFonts w:hint="cs"/>
          <w:sz w:val="27"/>
          <w:rtl/>
          <w:lang w:bidi="ar-EG"/>
        </w:rPr>
        <w:t>ة</w:t>
      </w:r>
      <w:r w:rsidR="008F48D2" w:rsidRPr="00282AC9">
        <w:rPr>
          <w:rFonts w:hint="cs"/>
          <w:sz w:val="27"/>
          <w:rtl/>
          <w:lang w:bidi="ar-EG"/>
        </w:rPr>
        <w:t>ٍ</w:t>
      </w:r>
      <w:r w:rsidRPr="00282AC9">
        <w:rPr>
          <w:rFonts w:hint="cs"/>
          <w:sz w:val="27"/>
          <w:rtl/>
          <w:lang w:bidi="ar-EG"/>
        </w:rPr>
        <w:t xml:space="preserve"> هامدة</w:t>
      </w:r>
      <w:r w:rsidR="008F48D2" w:rsidRPr="00282AC9">
        <w:rPr>
          <w:rFonts w:hint="cs"/>
          <w:sz w:val="27"/>
          <w:rtl/>
          <w:lang w:bidi="ar-EG"/>
        </w:rPr>
        <w:t>،</w:t>
      </w:r>
      <w:r w:rsidRPr="00282AC9">
        <w:rPr>
          <w:rFonts w:hint="cs"/>
          <w:sz w:val="27"/>
          <w:rtl/>
          <w:lang w:bidi="ar-EG"/>
        </w:rPr>
        <w:t xml:space="preserve"> وبطلان ذلك من الواضحات</w:t>
      </w:r>
      <w:r w:rsidR="008F48D2" w:rsidRPr="00282AC9">
        <w:rPr>
          <w:rFonts w:hint="cs"/>
          <w:sz w:val="27"/>
          <w:rtl/>
          <w:lang w:bidi="ar-EG"/>
        </w:rPr>
        <w:t>.</w:t>
      </w:r>
    </w:p>
    <w:p w:rsidR="00DA6FB6" w:rsidRPr="00282AC9" w:rsidRDefault="00DA6FB6" w:rsidP="00C57B75">
      <w:pPr>
        <w:rPr>
          <w:sz w:val="27"/>
          <w:rtl/>
          <w:lang w:bidi="ar-EG"/>
        </w:rPr>
      </w:pPr>
      <w:r w:rsidRPr="00282AC9">
        <w:rPr>
          <w:rFonts w:hint="cs"/>
          <w:sz w:val="27"/>
          <w:rtl/>
          <w:lang w:bidi="ar-EG"/>
        </w:rPr>
        <w:t>وإن</w:t>
      </w:r>
      <w:r w:rsidR="008F48D2" w:rsidRPr="00282AC9">
        <w:rPr>
          <w:rFonts w:hint="cs"/>
          <w:sz w:val="27"/>
          <w:rtl/>
          <w:lang w:bidi="ar-EG"/>
        </w:rPr>
        <w:t>ْ</w:t>
      </w:r>
      <w:r w:rsidRPr="00282AC9">
        <w:rPr>
          <w:rFonts w:hint="cs"/>
          <w:sz w:val="27"/>
          <w:rtl/>
          <w:lang w:bidi="ar-EG"/>
        </w:rPr>
        <w:t xml:space="preserve"> كان متجليّاً فيه يستلزم الخُل</w:t>
      </w:r>
      <w:r w:rsidR="008F48D2" w:rsidRPr="00282AC9">
        <w:rPr>
          <w:rFonts w:hint="cs"/>
          <w:sz w:val="27"/>
          <w:rtl/>
          <w:lang w:bidi="ar-EG"/>
        </w:rPr>
        <w:t>ْ</w:t>
      </w:r>
      <w:r w:rsidRPr="00282AC9">
        <w:rPr>
          <w:rFonts w:hint="cs"/>
          <w:sz w:val="27"/>
          <w:rtl/>
          <w:lang w:bidi="ar-EG"/>
        </w:rPr>
        <w:t>ف</w:t>
      </w:r>
      <w:r w:rsidR="008F48D2" w:rsidRPr="00282AC9">
        <w:rPr>
          <w:rFonts w:hint="cs"/>
          <w:sz w:val="27"/>
          <w:rtl/>
          <w:lang w:bidi="ar-EG"/>
        </w:rPr>
        <w:t>؛</w:t>
      </w:r>
      <w:r w:rsidRPr="00282AC9">
        <w:rPr>
          <w:rFonts w:hint="cs"/>
          <w:sz w:val="27"/>
          <w:rtl/>
          <w:lang w:bidi="ar-EG"/>
        </w:rPr>
        <w:t xml:space="preserve"> فما فرضناه فانياً بحدّ</w:t>
      </w:r>
      <w:r w:rsidR="008F48D2" w:rsidRPr="00282AC9">
        <w:rPr>
          <w:rFonts w:hint="cs"/>
          <w:sz w:val="27"/>
          <w:rtl/>
          <w:lang w:bidi="ar-EG"/>
        </w:rPr>
        <w:t>ِ</w:t>
      </w:r>
      <w:r w:rsidRPr="00282AC9">
        <w:rPr>
          <w:rFonts w:hint="cs"/>
          <w:sz w:val="27"/>
          <w:rtl/>
          <w:lang w:bidi="ar-EG"/>
        </w:rPr>
        <w:t>ه في وجود العقل الأوّل في نفسه لم يكن فانياً كذلك، بل يكون حافظاً لحدّ</w:t>
      </w:r>
      <w:r w:rsidR="008F48D2" w:rsidRPr="00282AC9">
        <w:rPr>
          <w:rFonts w:hint="cs"/>
          <w:sz w:val="27"/>
          <w:rtl/>
          <w:lang w:bidi="ar-EG"/>
        </w:rPr>
        <w:t>ِ</w:t>
      </w:r>
      <w:r w:rsidRPr="00282AC9">
        <w:rPr>
          <w:rFonts w:hint="cs"/>
          <w:sz w:val="27"/>
          <w:rtl/>
          <w:lang w:bidi="ar-EG"/>
        </w:rPr>
        <w:t>ه.</w:t>
      </w:r>
    </w:p>
    <w:p w:rsidR="00043D46" w:rsidRPr="00282AC9" w:rsidRDefault="00DA6FB6" w:rsidP="00C57B75">
      <w:pPr>
        <w:rPr>
          <w:sz w:val="27"/>
          <w:rtl/>
          <w:lang w:bidi="ar-EG"/>
        </w:rPr>
      </w:pPr>
      <w:r w:rsidRPr="00282AC9">
        <w:rPr>
          <w:rFonts w:hint="cs"/>
          <w:sz w:val="27"/>
          <w:rtl/>
          <w:lang w:bidi="ar-EG"/>
        </w:rPr>
        <w:t>ومم</w:t>
      </w:r>
      <w:r w:rsidR="008F48D2" w:rsidRPr="00282AC9">
        <w:rPr>
          <w:rFonts w:hint="cs"/>
          <w:sz w:val="27"/>
          <w:rtl/>
          <w:lang w:bidi="ar-EG"/>
        </w:rPr>
        <w:t>ّ</w:t>
      </w:r>
      <w:r w:rsidRPr="00282AC9">
        <w:rPr>
          <w:rFonts w:hint="cs"/>
          <w:sz w:val="27"/>
          <w:rtl/>
          <w:lang w:bidi="ar-EG"/>
        </w:rPr>
        <w:t>ا تقد</w:t>
      </w:r>
      <w:r w:rsidR="008F48D2" w:rsidRPr="00282AC9">
        <w:rPr>
          <w:rFonts w:hint="cs"/>
          <w:sz w:val="27"/>
          <w:rtl/>
          <w:lang w:bidi="ar-EG"/>
        </w:rPr>
        <w:t>َّ</w:t>
      </w:r>
      <w:r w:rsidRPr="00282AC9">
        <w:rPr>
          <w:rFonts w:hint="cs"/>
          <w:sz w:val="27"/>
          <w:rtl/>
          <w:lang w:bidi="ar-EG"/>
        </w:rPr>
        <w:t>م يظهر وجه ح</w:t>
      </w:r>
      <w:r w:rsidR="008F48D2" w:rsidRPr="00282AC9">
        <w:rPr>
          <w:rFonts w:hint="cs"/>
          <w:sz w:val="27"/>
          <w:rtl/>
          <w:lang w:bidi="ar-EG"/>
        </w:rPr>
        <w:t>َ</w:t>
      </w:r>
      <w:r w:rsidRPr="00282AC9">
        <w:rPr>
          <w:rFonts w:hint="cs"/>
          <w:sz w:val="27"/>
          <w:rtl/>
          <w:lang w:bidi="ar-EG"/>
        </w:rPr>
        <w:t>ص</w:t>
      </w:r>
      <w:r w:rsidR="008F48D2" w:rsidRPr="00282AC9">
        <w:rPr>
          <w:rFonts w:hint="cs"/>
          <w:sz w:val="27"/>
          <w:rtl/>
          <w:lang w:bidi="ar-EG"/>
        </w:rPr>
        <w:t>ْ</w:t>
      </w:r>
      <w:r w:rsidRPr="00282AC9">
        <w:rPr>
          <w:rFonts w:hint="cs"/>
          <w:sz w:val="27"/>
          <w:rtl/>
          <w:lang w:bidi="ar-EG"/>
        </w:rPr>
        <w:t>ر الاحتمالات في الات</w:t>
      </w:r>
      <w:r w:rsidR="008F48D2" w:rsidRPr="00282AC9">
        <w:rPr>
          <w:rFonts w:hint="cs"/>
          <w:sz w:val="27"/>
          <w:rtl/>
          <w:lang w:bidi="ar-EG"/>
        </w:rPr>
        <w:t>ّ</w:t>
      </w:r>
      <w:r w:rsidRPr="00282AC9">
        <w:rPr>
          <w:rFonts w:hint="cs"/>
          <w:sz w:val="27"/>
          <w:rtl/>
          <w:lang w:bidi="ar-EG"/>
        </w:rPr>
        <w:t>حاد بالاحتمالات الثلاثة؛ إذ نفس النبيّ والوليّ إمّا تصل إلى مرتبة العقل الأوّل أو لا</w:t>
      </w:r>
      <w:r w:rsidR="00043D46" w:rsidRPr="00282AC9">
        <w:rPr>
          <w:rFonts w:hint="cs"/>
          <w:sz w:val="27"/>
          <w:rtl/>
          <w:lang w:bidi="ar-EG"/>
        </w:rPr>
        <w:t>.</w:t>
      </w:r>
      <w:r w:rsidRPr="00282AC9">
        <w:rPr>
          <w:rFonts w:hint="cs"/>
          <w:sz w:val="27"/>
          <w:rtl/>
          <w:lang w:bidi="ar-EG"/>
        </w:rPr>
        <w:t xml:space="preserve"> وعلى فرض الوصول لا يخلو من فرضين</w:t>
      </w:r>
      <w:r w:rsidR="00043D46" w:rsidRPr="00282AC9">
        <w:rPr>
          <w:rFonts w:hint="cs"/>
          <w:sz w:val="27"/>
          <w:rtl/>
          <w:lang w:bidi="ar-EG"/>
        </w:rPr>
        <w:t>؛</w:t>
      </w:r>
      <w:r w:rsidRPr="00282AC9">
        <w:rPr>
          <w:rFonts w:hint="cs"/>
          <w:sz w:val="27"/>
          <w:rtl/>
          <w:lang w:bidi="ar-EG"/>
        </w:rPr>
        <w:t xml:space="preserve"> إمّا غيره</w:t>
      </w:r>
      <w:r w:rsidR="00043D46" w:rsidRPr="00282AC9">
        <w:rPr>
          <w:rFonts w:hint="cs"/>
          <w:sz w:val="27"/>
          <w:rtl/>
          <w:lang w:bidi="ar-EG"/>
        </w:rPr>
        <w:t>؛</w:t>
      </w:r>
      <w:r w:rsidRPr="00282AC9">
        <w:rPr>
          <w:rFonts w:hint="cs"/>
          <w:sz w:val="27"/>
          <w:rtl/>
          <w:lang w:bidi="ar-EG"/>
        </w:rPr>
        <w:t xml:space="preserve"> أو نفسه</w:t>
      </w:r>
      <w:r w:rsidR="00043D46" w:rsidRPr="00282AC9">
        <w:rPr>
          <w:rFonts w:hint="cs"/>
          <w:sz w:val="27"/>
          <w:rtl/>
          <w:lang w:bidi="ar-EG"/>
        </w:rPr>
        <w:t>.</w:t>
      </w:r>
      <w:r w:rsidRPr="00282AC9">
        <w:rPr>
          <w:rFonts w:hint="cs"/>
          <w:sz w:val="27"/>
          <w:rtl/>
          <w:lang w:bidi="ar-EG"/>
        </w:rPr>
        <w:t xml:space="preserve"> وفي الفرض الأوّل يأتي الاحتمال الأوّل للات</w:t>
      </w:r>
      <w:r w:rsidR="00043D46" w:rsidRPr="00282AC9">
        <w:rPr>
          <w:rFonts w:hint="cs"/>
          <w:sz w:val="27"/>
          <w:rtl/>
          <w:lang w:bidi="ar-EG"/>
        </w:rPr>
        <w:t>ّ</w:t>
      </w:r>
      <w:r w:rsidRPr="00282AC9">
        <w:rPr>
          <w:rFonts w:hint="cs"/>
          <w:sz w:val="27"/>
          <w:rtl/>
          <w:lang w:bidi="ar-EG"/>
        </w:rPr>
        <w:t>حاد</w:t>
      </w:r>
      <w:r w:rsidR="00043D46" w:rsidRPr="00282AC9">
        <w:rPr>
          <w:rFonts w:hint="cs"/>
          <w:sz w:val="27"/>
          <w:rtl/>
          <w:lang w:bidi="ar-EG"/>
        </w:rPr>
        <w:t>؛</w:t>
      </w:r>
      <w:r w:rsidRPr="00282AC9">
        <w:rPr>
          <w:rFonts w:hint="cs"/>
          <w:sz w:val="27"/>
          <w:rtl/>
          <w:lang w:bidi="ar-EG"/>
        </w:rPr>
        <w:t xml:space="preserve"> وفي الفرض الثاني يأتي الاحتمال الثاني</w:t>
      </w:r>
      <w:r w:rsidR="00043D46" w:rsidRPr="00282AC9">
        <w:rPr>
          <w:rFonts w:hint="cs"/>
          <w:sz w:val="27"/>
          <w:rtl/>
          <w:lang w:bidi="ar-EG"/>
        </w:rPr>
        <w:t>.</w:t>
      </w:r>
      <w:r w:rsidRPr="00282AC9">
        <w:rPr>
          <w:rFonts w:hint="cs"/>
          <w:sz w:val="27"/>
          <w:rtl/>
          <w:lang w:bidi="ar-EG"/>
        </w:rPr>
        <w:t xml:space="preserve"> وعلى فرض عدم الوصول يأتي الاحتمال الثالث؛ إذ تكون نفس النبيّ والوليّ تجل</w:t>
      </w:r>
      <w:r w:rsidR="00043D46" w:rsidRPr="00282AC9">
        <w:rPr>
          <w:rFonts w:hint="cs"/>
          <w:sz w:val="27"/>
          <w:rtl/>
          <w:lang w:bidi="ar-EG"/>
        </w:rPr>
        <w:t>ِّي</w:t>
      </w:r>
      <w:r w:rsidRPr="00282AC9">
        <w:rPr>
          <w:rFonts w:hint="cs"/>
          <w:sz w:val="27"/>
          <w:rtl/>
          <w:lang w:bidi="ar-EG"/>
        </w:rPr>
        <w:t>اً وظهوراً له</w:t>
      </w:r>
      <w:r w:rsidR="00043D46" w:rsidRPr="00282AC9">
        <w:rPr>
          <w:rFonts w:hint="cs"/>
          <w:sz w:val="27"/>
          <w:rtl/>
          <w:lang w:bidi="ar-EG"/>
        </w:rPr>
        <w:t>.</w:t>
      </w:r>
      <w:r w:rsidRPr="00282AC9">
        <w:rPr>
          <w:rFonts w:hint="cs"/>
          <w:sz w:val="27"/>
          <w:rtl/>
          <w:lang w:bidi="ar-EG"/>
        </w:rPr>
        <w:t xml:space="preserve"> وثبت بطلان الات</w:t>
      </w:r>
      <w:r w:rsidR="00043D46" w:rsidRPr="00282AC9">
        <w:rPr>
          <w:rFonts w:hint="cs"/>
          <w:sz w:val="27"/>
          <w:rtl/>
          <w:lang w:bidi="ar-EG"/>
        </w:rPr>
        <w:t>ّ</w:t>
      </w:r>
      <w:r w:rsidRPr="00282AC9">
        <w:rPr>
          <w:rFonts w:hint="cs"/>
          <w:sz w:val="27"/>
          <w:rtl/>
          <w:lang w:bidi="ar-EG"/>
        </w:rPr>
        <w:t>حاد بكلّ احتمالاته</w:t>
      </w:r>
      <w:r w:rsidR="00043D46" w:rsidRPr="00282AC9">
        <w:rPr>
          <w:rFonts w:hint="cs"/>
          <w:sz w:val="27"/>
          <w:rtl/>
          <w:lang w:bidi="ar-EG"/>
        </w:rPr>
        <w:t>.</w:t>
      </w:r>
    </w:p>
    <w:p w:rsidR="00DA6FB6" w:rsidRPr="00282AC9" w:rsidRDefault="00DA6FB6" w:rsidP="00C57B75">
      <w:pPr>
        <w:rPr>
          <w:sz w:val="27"/>
          <w:rtl/>
          <w:lang w:bidi="ar-EG"/>
        </w:rPr>
      </w:pPr>
      <w:r w:rsidRPr="00282AC9">
        <w:rPr>
          <w:rFonts w:hint="cs"/>
          <w:sz w:val="27"/>
          <w:rtl/>
          <w:lang w:bidi="ar-EG"/>
        </w:rPr>
        <w:t>ومقصود بعض أهل المعقول</w:t>
      </w:r>
      <w:r w:rsidR="00043D46" w:rsidRPr="00282AC9">
        <w:rPr>
          <w:rFonts w:hint="cs"/>
          <w:sz w:val="27"/>
          <w:rtl/>
          <w:lang w:bidi="ar-EG"/>
        </w:rPr>
        <w:t>،</w:t>
      </w:r>
      <w:r w:rsidRPr="00282AC9">
        <w:rPr>
          <w:rFonts w:hint="cs"/>
          <w:sz w:val="27"/>
          <w:rtl/>
          <w:lang w:bidi="ar-EG"/>
        </w:rPr>
        <w:t xml:space="preserve"> من علماء الشيعة</w:t>
      </w:r>
      <w:r w:rsidR="00043D46" w:rsidRPr="00282AC9">
        <w:rPr>
          <w:rFonts w:hint="cs"/>
          <w:sz w:val="27"/>
          <w:rtl/>
          <w:lang w:bidi="ar-EG"/>
        </w:rPr>
        <w:t>،</w:t>
      </w:r>
      <w:r w:rsidR="00D9393B" w:rsidRPr="00282AC9">
        <w:rPr>
          <w:rFonts w:hint="cs"/>
          <w:sz w:val="27"/>
          <w:rtl/>
          <w:lang w:bidi="ar-EG"/>
        </w:rPr>
        <w:t xml:space="preserve"> </w:t>
      </w:r>
      <w:r w:rsidRPr="00282AC9">
        <w:rPr>
          <w:rFonts w:hint="cs"/>
          <w:sz w:val="27"/>
          <w:rtl/>
          <w:lang w:bidi="ar-EG"/>
        </w:rPr>
        <w:t>الذين يؤمنون بالولاية التكوينية للنبيّ والوليّ</w:t>
      </w:r>
      <w:r w:rsidR="00043D46" w:rsidRPr="00282AC9">
        <w:rPr>
          <w:rFonts w:hint="cs"/>
          <w:sz w:val="27"/>
          <w:rtl/>
          <w:lang w:bidi="ar-EG"/>
        </w:rPr>
        <w:t>،</w:t>
      </w:r>
      <w:r w:rsidRPr="00282AC9">
        <w:rPr>
          <w:rFonts w:hint="cs"/>
          <w:sz w:val="27"/>
          <w:rtl/>
          <w:lang w:bidi="ar-EG"/>
        </w:rPr>
        <w:t xml:space="preserve"> هو الاحتمال الثاني للات</w:t>
      </w:r>
      <w:r w:rsidR="00043D46" w:rsidRPr="00282AC9">
        <w:rPr>
          <w:rFonts w:hint="cs"/>
          <w:sz w:val="27"/>
          <w:rtl/>
          <w:lang w:bidi="ar-EG"/>
        </w:rPr>
        <w:t>ّ</w:t>
      </w:r>
      <w:r w:rsidRPr="00282AC9">
        <w:rPr>
          <w:rFonts w:hint="cs"/>
          <w:sz w:val="27"/>
          <w:rtl/>
          <w:lang w:bidi="ar-EG"/>
        </w:rPr>
        <w:t>حاد من بين تلك الاحتمالات الثلاثة</w:t>
      </w:r>
      <w:r w:rsidR="00043D46" w:rsidRPr="00282AC9">
        <w:rPr>
          <w:rFonts w:hint="cs"/>
          <w:sz w:val="27"/>
          <w:rtl/>
          <w:lang w:bidi="ar-EG"/>
        </w:rPr>
        <w:t>.</w:t>
      </w:r>
      <w:r w:rsidRPr="00282AC9">
        <w:rPr>
          <w:rFonts w:hint="cs"/>
          <w:sz w:val="27"/>
          <w:rtl/>
          <w:lang w:bidi="ar-EG"/>
        </w:rPr>
        <w:t xml:space="preserve"> فمن خلال هذا الات</w:t>
      </w:r>
      <w:r w:rsidR="00043D46" w:rsidRPr="00282AC9">
        <w:rPr>
          <w:rFonts w:hint="cs"/>
          <w:sz w:val="27"/>
          <w:rtl/>
          <w:lang w:bidi="ar-EG"/>
        </w:rPr>
        <w:t>ّ</w:t>
      </w:r>
      <w:r w:rsidRPr="00282AC9">
        <w:rPr>
          <w:rFonts w:hint="cs"/>
          <w:sz w:val="27"/>
          <w:rtl/>
          <w:lang w:bidi="ar-EG"/>
        </w:rPr>
        <w:t>حاد بين ذي الغاية والغاية يسري حكم ذي الغاية إلى الغاية</w:t>
      </w:r>
      <w:r w:rsidR="00043D46" w:rsidRPr="00282AC9">
        <w:rPr>
          <w:rFonts w:hint="cs"/>
          <w:sz w:val="27"/>
          <w:rtl/>
          <w:lang w:bidi="ar-EG"/>
        </w:rPr>
        <w:t>.</w:t>
      </w:r>
      <w:r w:rsidRPr="00282AC9">
        <w:rPr>
          <w:rFonts w:hint="cs"/>
          <w:sz w:val="27"/>
          <w:rtl/>
          <w:lang w:bidi="ar-EG"/>
        </w:rPr>
        <w:t xml:space="preserve"> وهذا يعني الولاية التكوينية بمعنى الواسطة في الف</w:t>
      </w:r>
      <w:r w:rsidR="00043D46" w:rsidRPr="00282AC9">
        <w:rPr>
          <w:rFonts w:hint="cs"/>
          <w:sz w:val="27"/>
          <w:rtl/>
          <w:lang w:bidi="ar-EG"/>
        </w:rPr>
        <w:t>َ</w:t>
      </w:r>
      <w:r w:rsidRPr="00282AC9">
        <w:rPr>
          <w:rFonts w:hint="cs"/>
          <w:sz w:val="27"/>
          <w:rtl/>
          <w:lang w:bidi="ar-EG"/>
        </w:rPr>
        <w:t>ي</w:t>
      </w:r>
      <w:r w:rsidR="00043D46" w:rsidRPr="00282AC9">
        <w:rPr>
          <w:rFonts w:hint="cs"/>
          <w:sz w:val="27"/>
          <w:rtl/>
          <w:lang w:bidi="ar-EG"/>
        </w:rPr>
        <w:t>ْ</w:t>
      </w:r>
      <w:r w:rsidRPr="00282AC9">
        <w:rPr>
          <w:rFonts w:hint="cs"/>
          <w:sz w:val="27"/>
          <w:rtl/>
          <w:lang w:bidi="ar-EG"/>
        </w:rPr>
        <w:t xml:space="preserve">ض. </w:t>
      </w:r>
    </w:p>
    <w:p w:rsidR="0064200B" w:rsidRPr="00282AC9" w:rsidRDefault="0064200B" w:rsidP="0064200B">
      <w:pPr>
        <w:spacing w:line="420" w:lineRule="exact"/>
        <w:rPr>
          <w:sz w:val="27"/>
          <w:rtl/>
        </w:rPr>
      </w:pPr>
    </w:p>
    <w:p w:rsidR="00B572CE" w:rsidRPr="00282AC9" w:rsidRDefault="007F6213" w:rsidP="007F6213">
      <w:pPr>
        <w:pStyle w:val="31"/>
        <w:rPr>
          <w:color w:val="auto"/>
          <w:rtl/>
          <w:lang w:bidi="ar-EG"/>
        </w:rPr>
      </w:pPr>
      <w:r w:rsidRPr="00282AC9">
        <w:rPr>
          <w:rFonts w:hint="cs"/>
          <w:color w:val="auto"/>
          <w:rtl/>
          <w:lang w:bidi="ar-EG"/>
        </w:rPr>
        <w:t>الاتصال بين النفوس القُدْسية والعقل الأوّل</w:t>
      </w:r>
    </w:p>
    <w:p w:rsidR="00043D46" w:rsidRPr="00282AC9" w:rsidRDefault="00DA6FB6" w:rsidP="00C57B75">
      <w:pPr>
        <w:rPr>
          <w:sz w:val="27"/>
          <w:rtl/>
          <w:lang w:bidi="ar-EG"/>
        </w:rPr>
      </w:pPr>
      <w:r w:rsidRPr="00282AC9">
        <w:rPr>
          <w:rFonts w:hint="cs"/>
          <w:sz w:val="27"/>
          <w:rtl/>
          <w:lang w:bidi="ar-EG"/>
        </w:rPr>
        <w:t>وبعد بطلان الات</w:t>
      </w:r>
      <w:r w:rsidR="00043D46" w:rsidRPr="00282AC9">
        <w:rPr>
          <w:rFonts w:hint="cs"/>
          <w:sz w:val="27"/>
          <w:rtl/>
          <w:lang w:bidi="ar-EG"/>
        </w:rPr>
        <w:t>ّ</w:t>
      </w:r>
      <w:r w:rsidRPr="00282AC9">
        <w:rPr>
          <w:rFonts w:hint="cs"/>
          <w:sz w:val="27"/>
          <w:rtl/>
          <w:lang w:bidi="ar-EG"/>
        </w:rPr>
        <w:t>حاد بكلّ احتمالاته نرى أنّ الصحيح هو الات</w:t>
      </w:r>
      <w:r w:rsidR="00043D46" w:rsidRPr="00282AC9">
        <w:rPr>
          <w:rFonts w:hint="cs"/>
          <w:sz w:val="27"/>
          <w:rtl/>
          <w:lang w:bidi="ar-EG"/>
        </w:rPr>
        <w:t>ّ</w:t>
      </w:r>
      <w:r w:rsidRPr="00282AC9">
        <w:rPr>
          <w:rFonts w:hint="cs"/>
          <w:sz w:val="27"/>
          <w:rtl/>
          <w:lang w:bidi="ar-EG"/>
        </w:rPr>
        <w:t>صال</w:t>
      </w:r>
      <w:r w:rsidR="00043D46" w:rsidRPr="00282AC9">
        <w:rPr>
          <w:rFonts w:hint="cs"/>
          <w:sz w:val="27"/>
          <w:rtl/>
          <w:lang w:bidi="ar-EG"/>
        </w:rPr>
        <w:t>.</w:t>
      </w:r>
      <w:r w:rsidRPr="00282AC9">
        <w:rPr>
          <w:rFonts w:hint="cs"/>
          <w:sz w:val="27"/>
          <w:rtl/>
          <w:lang w:bidi="ar-EG"/>
        </w:rPr>
        <w:t xml:space="preserve"> ويتوق</w:t>
      </w:r>
      <w:r w:rsidR="00043D46" w:rsidRPr="00282AC9">
        <w:rPr>
          <w:rFonts w:hint="cs"/>
          <w:sz w:val="27"/>
          <w:rtl/>
          <w:lang w:bidi="ar-EG"/>
        </w:rPr>
        <w:t>َّف على الإيمان بنقطتين:</w:t>
      </w:r>
    </w:p>
    <w:p w:rsidR="00043D46" w:rsidRPr="00282AC9" w:rsidRDefault="00DA6FB6" w:rsidP="00C57B75">
      <w:pPr>
        <w:rPr>
          <w:sz w:val="27"/>
          <w:rtl/>
          <w:lang w:bidi="ar-EG"/>
        </w:rPr>
      </w:pPr>
      <w:r w:rsidRPr="00282AC9">
        <w:rPr>
          <w:rFonts w:hint="cs"/>
          <w:b/>
          <w:bCs/>
          <w:sz w:val="27"/>
          <w:rtl/>
          <w:lang w:bidi="ar-EG"/>
        </w:rPr>
        <w:lastRenderedPageBreak/>
        <w:t>الأولى</w:t>
      </w:r>
      <w:r w:rsidRPr="00282AC9">
        <w:rPr>
          <w:rFonts w:hint="cs"/>
          <w:sz w:val="27"/>
          <w:rtl/>
          <w:lang w:bidi="ar-EG"/>
        </w:rPr>
        <w:t>: أن نفسّ</w:t>
      </w:r>
      <w:r w:rsidR="00043D46" w:rsidRPr="00282AC9">
        <w:rPr>
          <w:rFonts w:hint="cs"/>
          <w:sz w:val="27"/>
          <w:rtl/>
          <w:lang w:bidi="ar-EG"/>
        </w:rPr>
        <w:t>ِ</w:t>
      </w:r>
      <w:r w:rsidRPr="00282AC9">
        <w:rPr>
          <w:rFonts w:hint="cs"/>
          <w:sz w:val="27"/>
          <w:rtl/>
          <w:lang w:bidi="ar-EG"/>
        </w:rPr>
        <w:t>ر الفناء بالمعنى العرفاني، لا بالمعنى الفلسفي، وهو فقدان الشيء حدّ</w:t>
      </w:r>
      <w:r w:rsidR="00043D46" w:rsidRPr="00282AC9">
        <w:rPr>
          <w:rFonts w:hint="cs"/>
          <w:sz w:val="27"/>
          <w:rtl/>
          <w:lang w:bidi="ar-EG"/>
        </w:rPr>
        <w:t>َ</w:t>
      </w:r>
      <w:r w:rsidRPr="00282AC9">
        <w:rPr>
          <w:rFonts w:hint="cs"/>
          <w:sz w:val="27"/>
          <w:rtl/>
          <w:lang w:bidi="ar-EG"/>
        </w:rPr>
        <w:t>ه</w:t>
      </w:r>
      <w:r w:rsidR="00043D46" w:rsidRPr="00282AC9">
        <w:rPr>
          <w:rFonts w:hint="cs"/>
          <w:sz w:val="27"/>
          <w:rtl/>
          <w:lang w:bidi="ar-EG"/>
        </w:rPr>
        <w:t>،</w:t>
      </w:r>
      <w:r w:rsidRPr="00282AC9">
        <w:rPr>
          <w:rFonts w:hint="cs"/>
          <w:sz w:val="27"/>
          <w:rtl/>
          <w:lang w:bidi="ar-EG"/>
        </w:rPr>
        <w:t xml:space="preserve"> كما تقدم في المعنى الثالث المجازي للات</w:t>
      </w:r>
      <w:r w:rsidR="00043D46" w:rsidRPr="00282AC9">
        <w:rPr>
          <w:rFonts w:hint="cs"/>
          <w:sz w:val="27"/>
          <w:rtl/>
          <w:lang w:bidi="ar-EG"/>
        </w:rPr>
        <w:t>ّ</w:t>
      </w:r>
      <w:r w:rsidRPr="00282AC9">
        <w:rPr>
          <w:rFonts w:hint="cs"/>
          <w:sz w:val="27"/>
          <w:rtl/>
          <w:lang w:bidi="ar-EG"/>
        </w:rPr>
        <w:t>حاد</w:t>
      </w:r>
      <w:r w:rsidR="00043D46" w:rsidRPr="00282AC9">
        <w:rPr>
          <w:rFonts w:hint="cs"/>
          <w:sz w:val="27"/>
          <w:rtl/>
          <w:lang w:bidi="ar-EG"/>
        </w:rPr>
        <w:t>.</w:t>
      </w:r>
      <w:r w:rsidRPr="00282AC9">
        <w:rPr>
          <w:rFonts w:hint="cs"/>
          <w:sz w:val="27"/>
          <w:rtl/>
          <w:lang w:bidi="ar-EG"/>
        </w:rPr>
        <w:t xml:space="preserve"> والفناء بالمعنى العرفاني هو عدم شعور الشخص </w:t>
      </w:r>
      <w:r w:rsidR="00DC441C" w:rsidRPr="00282AC9">
        <w:rPr>
          <w:rFonts w:hint="cs"/>
          <w:sz w:val="27"/>
          <w:rtl/>
          <w:lang w:bidi="ar-EG"/>
        </w:rPr>
        <w:t>ب</w:t>
      </w:r>
      <w:r w:rsidRPr="00282AC9">
        <w:rPr>
          <w:rFonts w:hint="cs"/>
          <w:sz w:val="27"/>
          <w:rtl/>
          <w:lang w:bidi="ar-EG"/>
        </w:rPr>
        <w:t>نفسه، ولا شيء من لوازم نفسه</w:t>
      </w:r>
      <w:r w:rsidR="00043D46"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الثانية</w:t>
      </w:r>
      <w:r w:rsidRPr="00282AC9">
        <w:rPr>
          <w:rFonts w:hint="cs"/>
          <w:sz w:val="27"/>
          <w:rtl/>
          <w:lang w:bidi="ar-EG"/>
        </w:rPr>
        <w:t>: أن نفسّ</w:t>
      </w:r>
      <w:r w:rsidR="00043D46" w:rsidRPr="00282AC9">
        <w:rPr>
          <w:rFonts w:hint="cs"/>
          <w:sz w:val="27"/>
          <w:rtl/>
          <w:lang w:bidi="ar-EG"/>
        </w:rPr>
        <w:t>ِ</w:t>
      </w:r>
      <w:r w:rsidRPr="00282AC9">
        <w:rPr>
          <w:rFonts w:hint="cs"/>
          <w:sz w:val="27"/>
          <w:rtl/>
          <w:lang w:bidi="ar-EG"/>
        </w:rPr>
        <w:t>ر الاتصال بالمعنى العرفاني، وهو الشهود</w:t>
      </w:r>
      <w:r w:rsidR="00623040" w:rsidRPr="00282AC9">
        <w:rPr>
          <w:rFonts w:hint="cs"/>
          <w:sz w:val="27"/>
          <w:rtl/>
          <w:lang w:bidi="ar-EG"/>
        </w:rPr>
        <w:t>،</w:t>
      </w:r>
      <w:r w:rsidRPr="00282AC9">
        <w:rPr>
          <w:rFonts w:hint="cs"/>
          <w:sz w:val="27"/>
          <w:rtl/>
          <w:lang w:bidi="ar-EG"/>
        </w:rPr>
        <w:t xml:space="preserve"> لا بالمعنى اللغوي، وهو ات</w:t>
      </w:r>
      <w:r w:rsidR="00623040" w:rsidRPr="00282AC9">
        <w:rPr>
          <w:rFonts w:hint="cs"/>
          <w:sz w:val="27"/>
          <w:rtl/>
          <w:lang w:bidi="ar-EG"/>
        </w:rPr>
        <w:t>ّ</w:t>
      </w:r>
      <w:r w:rsidRPr="00282AC9">
        <w:rPr>
          <w:rFonts w:hint="cs"/>
          <w:sz w:val="27"/>
          <w:rtl/>
          <w:lang w:bidi="ar-EG"/>
        </w:rPr>
        <w:t>صال الذات بالذات؛ لأنّ هذا المعنى لا يُع</w:t>
      </w:r>
      <w:r w:rsidR="00623040" w:rsidRPr="00282AC9">
        <w:rPr>
          <w:rFonts w:hint="cs"/>
          <w:sz w:val="27"/>
          <w:rtl/>
          <w:lang w:bidi="ar-EG"/>
        </w:rPr>
        <w:t>ْ</w:t>
      </w:r>
      <w:r w:rsidRPr="00282AC9">
        <w:rPr>
          <w:rFonts w:hint="cs"/>
          <w:sz w:val="27"/>
          <w:rtl/>
          <w:lang w:bidi="ar-EG"/>
        </w:rPr>
        <w:t>ق</w:t>
      </w:r>
      <w:r w:rsidR="00623040" w:rsidRPr="00282AC9">
        <w:rPr>
          <w:rFonts w:hint="cs"/>
          <w:sz w:val="27"/>
          <w:rtl/>
          <w:lang w:bidi="ar-EG"/>
        </w:rPr>
        <w:t>َ</w:t>
      </w:r>
      <w:r w:rsidRPr="00282AC9">
        <w:rPr>
          <w:rFonts w:hint="cs"/>
          <w:sz w:val="27"/>
          <w:rtl/>
          <w:lang w:bidi="ar-EG"/>
        </w:rPr>
        <w:t>ل في مقام البحث؛ إذ ذلك لا يكون إ</w:t>
      </w:r>
      <w:r w:rsidR="00EE6DBA" w:rsidRPr="00282AC9">
        <w:rPr>
          <w:rFonts w:hint="cs"/>
          <w:sz w:val="27"/>
          <w:rtl/>
          <w:lang w:bidi="ar-EG"/>
        </w:rPr>
        <w:t>لاّ</w:t>
      </w:r>
      <w:r w:rsidRPr="00282AC9">
        <w:rPr>
          <w:rFonts w:hint="cs"/>
          <w:sz w:val="27"/>
          <w:rtl/>
          <w:lang w:bidi="ar-EG"/>
        </w:rPr>
        <w:t xml:space="preserve"> بين الجسمين</w:t>
      </w:r>
      <w:r w:rsidR="00623040" w:rsidRPr="00282AC9">
        <w:rPr>
          <w:rFonts w:hint="cs"/>
          <w:sz w:val="27"/>
          <w:rtl/>
          <w:lang w:bidi="ar-EG"/>
        </w:rPr>
        <w:t>.</w:t>
      </w:r>
      <w:r w:rsidRPr="00282AC9">
        <w:rPr>
          <w:rFonts w:hint="cs"/>
          <w:sz w:val="27"/>
          <w:rtl/>
          <w:lang w:bidi="ar-EG"/>
        </w:rPr>
        <w:t xml:space="preserve"> وبح</w:t>
      </w:r>
      <w:r w:rsidR="00623040" w:rsidRPr="00282AC9">
        <w:rPr>
          <w:rFonts w:hint="cs"/>
          <w:sz w:val="27"/>
          <w:rtl/>
          <w:lang w:bidi="ar-EG"/>
        </w:rPr>
        <w:t>َ</w:t>
      </w:r>
      <w:r w:rsidRPr="00282AC9">
        <w:rPr>
          <w:rFonts w:hint="cs"/>
          <w:sz w:val="27"/>
          <w:rtl/>
          <w:lang w:bidi="ar-EG"/>
        </w:rPr>
        <w:t>س</w:t>
      </w:r>
      <w:r w:rsidR="00623040" w:rsidRPr="00282AC9">
        <w:rPr>
          <w:rFonts w:hint="cs"/>
          <w:sz w:val="27"/>
          <w:rtl/>
          <w:lang w:bidi="ar-EG"/>
        </w:rPr>
        <w:t>َ</w:t>
      </w:r>
      <w:r w:rsidRPr="00282AC9">
        <w:rPr>
          <w:rFonts w:hint="cs"/>
          <w:sz w:val="27"/>
          <w:rtl/>
          <w:lang w:bidi="ar-EG"/>
        </w:rPr>
        <w:t>ب هذا التفسير للفناء فنفس النبيّ والوليّ تكون فانية</w:t>
      </w:r>
      <w:r w:rsidR="00623040" w:rsidRPr="00282AC9">
        <w:rPr>
          <w:rFonts w:hint="cs"/>
          <w:sz w:val="27"/>
          <w:rtl/>
          <w:lang w:bidi="ar-EG"/>
        </w:rPr>
        <w:t>ً</w:t>
      </w:r>
      <w:r w:rsidRPr="00282AC9">
        <w:rPr>
          <w:rFonts w:hint="cs"/>
          <w:sz w:val="27"/>
          <w:rtl/>
          <w:lang w:bidi="ar-EG"/>
        </w:rPr>
        <w:t xml:space="preserve"> في العقل الأوّل بوجوده الرابطي، وبالتالي يشهد الوجود الرابطي للعقل الأوّل</w:t>
      </w:r>
      <w:r w:rsidR="00623040" w:rsidRPr="00282AC9">
        <w:rPr>
          <w:rFonts w:hint="cs"/>
          <w:sz w:val="27"/>
          <w:rtl/>
          <w:lang w:bidi="ar-EG"/>
        </w:rPr>
        <w:t>.</w:t>
      </w:r>
      <w:r w:rsidRPr="00282AC9">
        <w:rPr>
          <w:rFonts w:hint="cs"/>
          <w:sz w:val="27"/>
          <w:rtl/>
          <w:lang w:bidi="ar-EG"/>
        </w:rPr>
        <w:t xml:space="preserve"> وهذا المعنى للفناء يأتي على أساس أنّ نفوسهم تكون من تجل</w:t>
      </w:r>
      <w:r w:rsidR="00623040" w:rsidRPr="00282AC9">
        <w:rPr>
          <w:rFonts w:hint="cs"/>
          <w:sz w:val="27"/>
          <w:rtl/>
          <w:lang w:bidi="ar-EG"/>
        </w:rPr>
        <w:t>ِّي</w:t>
      </w:r>
      <w:r w:rsidRPr="00282AC9">
        <w:rPr>
          <w:rFonts w:hint="cs"/>
          <w:sz w:val="27"/>
          <w:rtl/>
          <w:lang w:bidi="ar-EG"/>
        </w:rPr>
        <w:t>اته وإشراقاته في عالم الناسوت</w:t>
      </w:r>
      <w:r w:rsidR="00623040" w:rsidRPr="00282AC9">
        <w:rPr>
          <w:rFonts w:hint="cs"/>
          <w:sz w:val="27"/>
          <w:rtl/>
          <w:lang w:bidi="ar-EG"/>
        </w:rPr>
        <w:t>.</w:t>
      </w:r>
      <w:r w:rsidRPr="00282AC9">
        <w:rPr>
          <w:rFonts w:hint="cs"/>
          <w:sz w:val="27"/>
          <w:rtl/>
          <w:lang w:bidi="ar-EG"/>
        </w:rPr>
        <w:t xml:space="preserve"> ومراتب التجليّ مختلفة</w:t>
      </w:r>
      <w:r w:rsidR="00623040" w:rsidRPr="00282AC9">
        <w:rPr>
          <w:rFonts w:hint="cs"/>
          <w:sz w:val="27"/>
          <w:rtl/>
          <w:lang w:bidi="ar-EG"/>
        </w:rPr>
        <w:t>ٌ</w:t>
      </w:r>
      <w:r w:rsidRPr="00282AC9">
        <w:rPr>
          <w:rFonts w:hint="cs"/>
          <w:sz w:val="27"/>
          <w:rtl/>
          <w:lang w:bidi="ar-EG"/>
        </w:rPr>
        <w:t>؛ إذ تجلّ</w:t>
      </w:r>
      <w:r w:rsidR="00623040" w:rsidRPr="00282AC9">
        <w:rPr>
          <w:rFonts w:hint="cs"/>
          <w:sz w:val="27"/>
          <w:rtl/>
          <w:lang w:bidi="ar-EG"/>
        </w:rPr>
        <w:t>ِ</w:t>
      </w:r>
      <w:r w:rsidRPr="00282AC9">
        <w:rPr>
          <w:rFonts w:hint="cs"/>
          <w:sz w:val="27"/>
          <w:rtl/>
          <w:lang w:bidi="ar-EG"/>
        </w:rPr>
        <w:t>يه في نفس النبي</w:t>
      </w:r>
      <w:r w:rsidR="00623040" w:rsidRPr="00282AC9">
        <w:rPr>
          <w:rFonts w:hint="cs"/>
          <w:sz w:val="27"/>
          <w:rtl/>
          <w:lang w:bidi="ar-EG"/>
        </w:rPr>
        <w:t>ّ</w:t>
      </w:r>
      <w:r w:rsidRPr="00282AC9">
        <w:rPr>
          <w:rFonts w:hint="cs"/>
          <w:sz w:val="27"/>
          <w:rtl/>
          <w:lang w:bidi="ar-EG"/>
        </w:rPr>
        <w:t xml:space="preserve"> أعظم من تجلّ</w:t>
      </w:r>
      <w:r w:rsidR="00623040" w:rsidRPr="00282AC9">
        <w:rPr>
          <w:rFonts w:hint="cs"/>
          <w:sz w:val="27"/>
          <w:rtl/>
          <w:lang w:bidi="ar-EG"/>
        </w:rPr>
        <w:t>ِ</w:t>
      </w:r>
      <w:r w:rsidRPr="00282AC9">
        <w:rPr>
          <w:rFonts w:hint="cs"/>
          <w:sz w:val="27"/>
          <w:rtl/>
          <w:lang w:bidi="ar-EG"/>
        </w:rPr>
        <w:t>يه في نفس الوليّ</w:t>
      </w:r>
      <w:r w:rsidR="00623040" w:rsidRPr="00282AC9">
        <w:rPr>
          <w:rFonts w:hint="cs"/>
          <w:sz w:val="27"/>
          <w:rtl/>
          <w:lang w:bidi="ar-EG"/>
        </w:rPr>
        <w:t>،</w:t>
      </w:r>
      <w:r w:rsidRPr="00282AC9">
        <w:rPr>
          <w:rFonts w:hint="cs"/>
          <w:sz w:val="27"/>
          <w:rtl/>
          <w:lang w:bidi="ar-EG"/>
        </w:rPr>
        <w:t xml:space="preserve"> على أساس أنّ النبي</w:t>
      </w:r>
      <w:r w:rsidR="00623040" w:rsidRPr="00282AC9">
        <w:rPr>
          <w:rFonts w:hint="cs"/>
          <w:sz w:val="27"/>
          <w:rtl/>
          <w:lang w:bidi="ar-EG"/>
        </w:rPr>
        <w:t>ّ</w:t>
      </w:r>
      <w:r w:rsidR="009A2A04" w:rsidRPr="00282AC9">
        <w:rPr>
          <w:rFonts w:cs="Mosawi" w:hint="cs"/>
          <w:sz w:val="22"/>
          <w:szCs w:val="22"/>
          <w:rtl/>
          <w:lang w:bidi="ar-EG"/>
        </w:rPr>
        <w:t>|</w:t>
      </w:r>
      <w:r w:rsidRPr="00282AC9">
        <w:rPr>
          <w:rFonts w:hint="cs"/>
          <w:sz w:val="27"/>
          <w:rtl/>
          <w:lang w:bidi="ar-EG"/>
        </w:rPr>
        <w:t xml:space="preserve"> أفضل من جميع الأئم</w:t>
      </w:r>
      <w:r w:rsidR="00623040" w:rsidRPr="00282AC9">
        <w:rPr>
          <w:rFonts w:hint="cs"/>
          <w:sz w:val="27"/>
          <w:rtl/>
          <w:lang w:bidi="ar-EG"/>
        </w:rPr>
        <w:t>ّ</w:t>
      </w:r>
      <w:r w:rsidRPr="00282AC9">
        <w:rPr>
          <w:rFonts w:hint="cs"/>
          <w:sz w:val="27"/>
          <w:rtl/>
          <w:lang w:bidi="ar-EG"/>
        </w:rPr>
        <w:t>ة</w:t>
      </w:r>
      <w:r w:rsidR="00876ECA" w:rsidRPr="00282AC9">
        <w:rPr>
          <w:rFonts w:cs="Mosawi" w:hint="cs"/>
          <w:sz w:val="22"/>
          <w:szCs w:val="22"/>
          <w:rtl/>
        </w:rPr>
        <w:t>^</w:t>
      </w:r>
      <w:r w:rsidR="00623040" w:rsidRPr="00282AC9">
        <w:rPr>
          <w:rFonts w:hint="cs"/>
          <w:sz w:val="27"/>
          <w:rtl/>
          <w:lang w:bidi="ar-EG"/>
        </w:rPr>
        <w:t>.</w:t>
      </w:r>
      <w:r w:rsidRPr="00282AC9">
        <w:rPr>
          <w:rFonts w:hint="cs"/>
          <w:sz w:val="27"/>
          <w:rtl/>
          <w:lang w:bidi="ar-EG"/>
        </w:rPr>
        <w:t xml:space="preserve"> فوجوده الرابطي في نفس النبيّ أقوى من وجوده الرابطي في نفس الوليّ</w:t>
      </w:r>
      <w:r w:rsidR="00623040" w:rsidRPr="00282AC9">
        <w:rPr>
          <w:rFonts w:hint="cs"/>
          <w:sz w:val="27"/>
          <w:rtl/>
          <w:lang w:bidi="ar-EG"/>
        </w:rPr>
        <w:t xml:space="preserve">. </w:t>
      </w:r>
      <w:r w:rsidRPr="00282AC9">
        <w:rPr>
          <w:rFonts w:hint="cs"/>
          <w:sz w:val="27"/>
          <w:rtl/>
          <w:lang w:bidi="ar-EG"/>
        </w:rPr>
        <w:t>وهذا المعنى للفناء معقول</w:t>
      </w:r>
      <w:r w:rsidR="00623040" w:rsidRPr="00282AC9">
        <w:rPr>
          <w:rFonts w:hint="cs"/>
          <w:sz w:val="27"/>
          <w:rtl/>
          <w:lang w:bidi="ar-EG"/>
        </w:rPr>
        <w:t>ٌ</w:t>
      </w:r>
      <w:r w:rsidRPr="00282AC9">
        <w:rPr>
          <w:rFonts w:hint="cs"/>
          <w:sz w:val="27"/>
          <w:rtl/>
          <w:lang w:bidi="ar-EG"/>
        </w:rPr>
        <w:t>، إ</w:t>
      </w:r>
      <w:r w:rsidR="00EE6DBA" w:rsidRPr="00282AC9">
        <w:rPr>
          <w:rFonts w:hint="cs"/>
          <w:sz w:val="27"/>
          <w:rtl/>
          <w:lang w:bidi="ar-EG"/>
        </w:rPr>
        <w:t>لاّ</w:t>
      </w:r>
      <w:r w:rsidRPr="00282AC9">
        <w:rPr>
          <w:rFonts w:hint="cs"/>
          <w:sz w:val="27"/>
          <w:rtl/>
          <w:lang w:bidi="ar-EG"/>
        </w:rPr>
        <w:t xml:space="preserve"> أنّه لا يوجب س</w:t>
      </w:r>
      <w:r w:rsidR="00623040" w:rsidRPr="00282AC9">
        <w:rPr>
          <w:rFonts w:hint="cs"/>
          <w:sz w:val="27"/>
          <w:rtl/>
          <w:lang w:bidi="ar-EG"/>
        </w:rPr>
        <w:t>َ</w:t>
      </w:r>
      <w:r w:rsidRPr="00282AC9">
        <w:rPr>
          <w:rFonts w:hint="cs"/>
          <w:sz w:val="27"/>
          <w:rtl/>
          <w:lang w:bidi="ar-EG"/>
        </w:rPr>
        <w:t>ر</w:t>
      </w:r>
      <w:r w:rsidR="00623040" w:rsidRPr="00282AC9">
        <w:rPr>
          <w:rFonts w:hint="cs"/>
          <w:sz w:val="27"/>
          <w:rtl/>
          <w:lang w:bidi="ar-EG"/>
        </w:rPr>
        <w:t>َ</w:t>
      </w:r>
      <w:r w:rsidRPr="00282AC9">
        <w:rPr>
          <w:rFonts w:hint="cs"/>
          <w:sz w:val="27"/>
          <w:rtl/>
          <w:lang w:bidi="ar-EG"/>
        </w:rPr>
        <w:t>يان حكم العقل الأوّل إلى الجانب الروحي لوجودهم الناسوتيّ، وهو إفاضة الوجود إلى سائر المخلوقات؛ إذ الفناء حصل في الوجود الرابطي</w:t>
      </w:r>
      <w:r w:rsidR="00623040" w:rsidRPr="00282AC9">
        <w:rPr>
          <w:rFonts w:hint="cs"/>
          <w:sz w:val="27"/>
          <w:rtl/>
          <w:lang w:bidi="ar-EG"/>
        </w:rPr>
        <w:t>ّ</w:t>
      </w:r>
      <w:r w:rsidRPr="00282AC9">
        <w:rPr>
          <w:rFonts w:hint="cs"/>
          <w:sz w:val="27"/>
          <w:rtl/>
          <w:lang w:bidi="ar-EG"/>
        </w:rPr>
        <w:t xml:space="preserve"> للعقل الأوّل، وهو فناء</w:t>
      </w:r>
      <w:r w:rsidR="00623040" w:rsidRPr="00282AC9">
        <w:rPr>
          <w:rFonts w:hint="cs"/>
          <w:sz w:val="27"/>
          <w:rtl/>
          <w:lang w:bidi="ar-EG"/>
        </w:rPr>
        <w:t>ٌ</w:t>
      </w:r>
      <w:r w:rsidRPr="00282AC9">
        <w:rPr>
          <w:rFonts w:hint="cs"/>
          <w:sz w:val="27"/>
          <w:rtl/>
          <w:lang w:bidi="ar-EG"/>
        </w:rPr>
        <w:t xml:space="preserve"> عرفاني</w:t>
      </w:r>
      <w:r w:rsidR="00623040" w:rsidRPr="00282AC9">
        <w:rPr>
          <w:rFonts w:hint="cs"/>
          <w:sz w:val="27"/>
          <w:rtl/>
          <w:lang w:bidi="ar-EG"/>
        </w:rPr>
        <w:t>ّ؛</w:t>
      </w:r>
      <w:r w:rsidRPr="00282AC9">
        <w:rPr>
          <w:rFonts w:hint="cs"/>
          <w:sz w:val="27"/>
          <w:rtl/>
          <w:lang w:bidi="ar-EG"/>
        </w:rPr>
        <w:t xml:space="preserve"> فإذا كانت النفس فانية</w:t>
      </w:r>
      <w:r w:rsidR="00623040" w:rsidRPr="00282AC9">
        <w:rPr>
          <w:rFonts w:hint="cs"/>
          <w:sz w:val="27"/>
          <w:rtl/>
          <w:lang w:bidi="ar-EG"/>
        </w:rPr>
        <w:t>ً</w:t>
      </w:r>
      <w:r w:rsidRPr="00282AC9">
        <w:rPr>
          <w:rFonts w:hint="cs"/>
          <w:sz w:val="27"/>
          <w:rtl/>
          <w:lang w:bidi="ar-EG"/>
        </w:rPr>
        <w:t xml:space="preserve"> في العقل الأوّل </w:t>
      </w:r>
      <w:r w:rsidRPr="00282AC9">
        <w:rPr>
          <w:sz w:val="27"/>
          <w:rtl/>
          <w:lang w:bidi="ar-EG"/>
        </w:rPr>
        <w:t>ـ</w:t>
      </w:r>
      <w:r w:rsidRPr="00282AC9">
        <w:rPr>
          <w:rFonts w:hint="cs"/>
          <w:sz w:val="27"/>
          <w:rtl/>
          <w:lang w:bidi="ar-EG"/>
        </w:rPr>
        <w:t xml:space="preserve"> بمعنى عدم الشعور بإنّيتها </w:t>
      </w:r>
      <w:r w:rsidRPr="00282AC9">
        <w:rPr>
          <w:sz w:val="27"/>
          <w:rtl/>
          <w:lang w:bidi="ar-EG"/>
        </w:rPr>
        <w:t>ـ</w:t>
      </w:r>
      <w:r w:rsidRPr="00282AC9">
        <w:rPr>
          <w:rFonts w:hint="cs"/>
          <w:sz w:val="27"/>
          <w:rtl/>
          <w:lang w:bidi="ar-EG"/>
        </w:rPr>
        <w:t xml:space="preserve"> فتشهد العقل الأوّل، وبالتالي تشهد الله تبارك وتعالى؛ لأنّه باطن</w:t>
      </w:r>
      <w:r w:rsidR="00623040" w:rsidRPr="00282AC9">
        <w:rPr>
          <w:rFonts w:hint="cs"/>
          <w:sz w:val="27"/>
          <w:rtl/>
          <w:lang w:bidi="ar-EG"/>
        </w:rPr>
        <w:t>ٌ</w:t>
      </w:r>
      <w:r w:rsidRPr="00282AC9">
        <w:rPr>
          <w:rFonts w:hint="cs"/>
          <w:sz w:val="27"/>
          <w:rtl/>
          <w:lang w:bidi="ar-EG"/>
        </w:rPr>
        <w:t xml:space="preserve"> للعقل الأوّل، فالله صار باطناً لباطن نفس النبيّ والوليّ</w:t>
      </w:r>
      <w:r w:rsidR="00623040" w:rsidRPr="00282AC9">
        <w:rPr>
          <w:rFonts w:hint="cs"/>
          <w:sz w:val="27"/>
          <w:rtl/>
          <w:lang w:bidi="ar-EG"/>
        </w:rPr>
        <w:t>.</w:t>
      </w:r>
      <w:r w:rsidRPr="00282AC9">
        <w:rPr>
          <w:rFonts w:hint="cs"/>
          <w:sz w:val="27"/>
          <w:rtl/>
          <w:lang w:bidi="ar-EG"/>
        </w:rPr>
        <w:t xml:space="preserve"> وهذا الشهود يكون بمقدار مقوّ</w:t>
      </w:r>
      <w:r w:rsidR="00623040" w:rsidRPr="00282AC9">
        <w:rPr>
          <w:rFonts w:hint="cs"/>
          <w:sz w:val="27"/>
          <w:rtl/>
          <w:lang w:bidi="ar-EG"/>
        </w:rPr>
        <w:t>ِ</w:t>
      </w:r>
      <w:r w:rsidRPr="00282AC9">
        <w:rPr>
          <w:rFonts w:hint="cs"/>
          <w:sz w:val="27"/>
          <w:rtl/>
          <w:lang w:bidi="ar-EG"/>
        </w:rPr>
        <w:t>مية العقل الأوّل لهذه النفوس</w:t>
      </w:r>
      <w:r w:rsidR="00623040" w:rsidRPr="00282AC9">
        <w:rPr>
          <w:rFonts w:hint="cs"/>
          <w:sz w:val="27"/>
          <w:rtl/>
          <w:lang w:bidi="ar-EG"/>
        </w:rPr>
        <w:t>.</w:t>
      </w:r>
      <w:r w:rsidRPr="00282AC9">
        <w:rPr>
          <w:rFonts w:hint="cs"/>
          <w:sz w:val="27"/>
          <w:rtl/>
          <w:lang w:bidi="ar-EG"/>
        </w:rPr>
        <w:t xml:space="preserve"> كما أنّ شهود الله ـ أيضاً ـ يكون بمقدار مقو</w:t>
      </w:r>
      <w:r w:rsidR="00623040" w:rsidRPr="00282AC9">
        <w:rPr>
          <w:rFonts w:hint="cs"/>
          <w:sz w:val="27"/>
          <w:rtl/>
          <w:lang w:bidi="ar-EG"/>
        </w:rPr>
        <w:t>ِّ</w:t>
      </w:r>
      <w:r w:rsidRPr="00282AC9">
        <w:rPr>
          <w:rFonts w:hint="cs"/>
          <w:sz w:val="27"/>
          <w:rtl/>
          <w:lang w:bidi="ar-EG"/>
        </w:rPr>
        <w:t>ميّة الله لهذه النفوس</w:t>
      </w:r>
      <w:r w:rsidR="00623040" w:rsidRPr="00282AC9">
        <w:rPr>
          <w:rFonts w:hint="cs"/>
          <w:sz w:val="27"/>
          <w:rtl/>
          <w:lang w:bidi="ar-EG"/>
        </w:rPr>
        <w:t>.</w:t>
      </w:r>
      <w:r w:rsidRPr="00282AC9">
        <w:rPr>
          <w:rFonts w:hint="cs"/>
          <w:sz w:val="27"/>
          <w:rtl/>
          <w:lang w:bidi="ar-EG"/>
        </w:rPr>
        <w:t xml:space="preserve"> وبالنتيجة نفس النبي</w:t>
      </w:r>
      <w:r w:rsidR="00623040" w:rsidRPr="00282AC9">
        <w:rPr>
          <w:rFonts w:hint="cs"/>
          <w:sz w:val="27"/>
          <w:rtl/>
          <w:lang w:bidi="ar-EG"/>
        </w:rPr>
        <w:t>ّ</w:t>
      </w:r>
      <w:r w:rsidRPr="00282AC9">
        <w:rPr>
          <w:rFonts w:hint="cs"/>
          <w:sz w:val="27"/>
          <w:rtl/>
          <w:lang w:bidi="ar-EG"/>
        </w:rPr>
        <w:t xml:space="preserve"> والولي</w:t>
      </w:r>
      <w:r w:rsidR="00623040" w:rsidRPr="00282AC9">
        <w:rPr>
          <w:rFonts w:hint="cs"/>
          <w:sz w:val="27"/>
          <w:rtl/>
          <w:lang w:bidi="ar-EG"/>
        </w:rPr>
        <w:t>ّ</w:t>
      </w:r>
      <w:r w:rsidRPr="00282AC9">
        <w:rPr>
          <w:rFonts w:hint="cs"/>
          <w:sz w:val="27"/>
          <w:rtl/>
          <w:lang w:bidi="ar-EG"/>
        </w:rPr>
        <w:t xml:space="preserve"> تت</w:t>
      </w:r>
      <w:r w:rsidR="00623040" w:rsidRPr="00282AC9">
        <w:rPr>
          <w:rFonts w:hint="cs"/>
          <w:sz w:val="27"/>
          <w:rtl/>
          <w:lang w:bidi="ar-EG"/>
        </w:rPr>
        <w:t>ّ</w:t>
      </w:r>
      <w:r w:rsidRPr="00282AC9">
        <w:rPr>
          <w:rFonts w:hint="cs"/>
          <w:sz w:val="27"/>
          <w:rtl/>
          <w:lang w:bidi="ar-EG"/>
        </w:rPr>
        <w:t>صل بعالم الجبروت، ومن ثمّ بالله تبارك وتعالى، لا أنّها تت</w:t>
      </w:r>
      <w:r w:rsidR="00623040" w:rsidRPr="00282AC9">
        <w:rPr>
          <w:rFonts w:hint="cs"/>
          <w:sz w:val="27"/>
          <w:rtl/>
          <w:lang w:bidi="ar-EG"/>
        </w:rPr>
        <w:t>َّ</w:t>
      </w:r>
      <w:r w:rsidRPr="00282AC9">
        <w:rPr>
          <w:rFonts w:hint="cs"/>
          <w:sz w:val="27"/>
          <w:rtl/>
          <w:lang w:bidi="ar-EG"/>
        </w:rPr>
        <w:t>حد مع عالم الجبروت</w:t>
      </w:r>
      <w:r w:rsidR="00623040" w:rsidRPr="00282AC9">
        <w:rPr>
          <w:rFonts w:hint="cs"/>
          <w:sz w:val="27"/>
          <w:rtl/>
          <w:lang w:bidi="ar-EG"/>
        </w:rPr>
        <w:t>،</w:t>
      </w:r>
      <w:r w:rsidRPr="00282AC9">
        <w:rPr>
          <w:rFonts w:hint="cs"/>
          <w:sz w:val="27"/>
          <w:rtl/>
          <w:lang w:bidi="ar-EG"/>
        </w:rPr>
        <w:t xml:space="preserve"> كما يؤمن </w:t>
      </w:r>
      <w:r w:rsidR="00DC441C" w:rsidRPr="00282AC9">
        <w:rPr>
          <w:rFonts w:hint="cs"/>
          <w:sz w:val="27"/>
          <w:rtl/>
          <w:lang w:bidi="ar-EG"/>
        </w:rPr>
        <w:t>القائل بالولاية التكوينيّة بمعنى الوساطة في الفَيْض</w:t>
      </w:r>
      <w:r w:rsidRPr="00282AC9">
        <w:rPr>
          <w:rFonts w:hint="cs"/>
          <w:sz w:val="27"/>
          <w:rtl/>
          <w:lang w:bidi="ar-EG"/>
        </w:rPr>
        <w:t>.</w:t>
      </w:r>
    </w:p>
    <w:p w:rsidR="0064200B" w:rsidRPr="00282AC9" w:rsidRDefault="0064200B" w:rsidP="0064200B">
      <w:pPr>
        <w:spacing w:line="420" w:lineRule="exact"/>
        <w:rPr>
          <w:sz w:val="27"/>
          <w:rtl/>
        </w:rPr>
      </w:pPr>
    </w:p>
    <w:p w:rsidR="007F6213" w:rsidRPr="00282AC9" w:rsidRDefault="007F6213" w:rsidP="007F6213">
      <w:pPr>
        <w:pStyle w:val="31"/>
        <w:rPr>
          <w:color w:val="auto"/>
          <w:rtl/>
          <w:lang w:bidi="ar-EG"/>
        </w:rPr>
      </w:pPr>
      <w:r w:rsidRPr="00282AC9">
        <w:rPr>
          <w:rFonts w:hint="cs"/>
          <w:color w:val="auto"/>
          <w:rtl/>
          <w:lang w:bidi="ar-EG"/>
        </w:rPr>
        <w:t xml:space="preserve">الفرق بين نفس النبيّ والوليّ ونفوس البشر </w:t>
      </w:r>
    </w:p>
    <w:p w:rsidR="00DA6FB6" w:rsidRPr="00282AC9" w:rsidRDefault="00DA6FB6" w:rsidP="00C57B75">
      <w:pPr>
        <w:rPr>
          <w:sz w:val="27"/>
          <w:rtl/>
          <w:lang w:bidi="ar-EG"/>
        </w:rPr>
      </w:pPr>
      <w:r w:rsidRPr="00282AC9">
        <w:rPr>
          <w:rFonts w:hint="cs"/>
          <w:sz w:val="27"/>
          <w:rtl/>
          <w:lang w:bidi="ar-EG"/>
        </w:rPr>
        <w:t>وبناءً على الاتصال بين النفوس الق</w:t>
      </w:r>
      <w:r w:rsidR="00623040" w:rsidRPr="00282AC9">
        <w:rPr>
          <w:rFonts w:hint="cs"/>
          <w:sz w:val="27"/>
          <w:rtl/>
          <w:lang w:bidi="ar-EG"/>
        </w:rPr>
        <w:t>ُ</w:t>
      </w:r>
      <w:r w:rsidRPr="00282AC9">
        <w:rPr>
          <w:rFonts w:hint="cs"/>
          <w:sz w:val="27"/>
          <w:rtl/>
          <w:lang w:bidi="ar-EG"/>
        </w:rPr>
        <w:t>د</w:t>
      </w:r>
      <w:r w:rsidR="00623040" w:rsidRPr="00282AC9">
        <w:rPr>
          <w:rFonts w:hint="cs"/>
          <w:sz w:val="27"/>
          <w:rtl/>
          <w:lang w:bidi="ar-EG"/>
        </w:rPr>
        <w:t>ْ</w:t>
      </w:r>
      <w:r w:rsidRPr="00282AC9">
        <w:rPr>
          <w:rFonts w:hint="cs"/>
          <w:sz w:val="27"/>
          <w:rtl/>
          <w:lang w:bidi="ar-EG"/>
        </w:rPr>
        <w:t>سية والعقل الأو</w:t>
      </w:r>
      <w:r w:rsidR="00623040" w:rsidRPr="00282AC9">
        <w:rPr>
          <w:rFonts w:hint="cs"/>
          <w:sz w:val="27"/>
          <w:rtl/>
          <w:lang w:bidi="ar-EG"/>
        </w:rPr>
        <w:t>ّ</w:t>
      </w:r>
      <w:r w:rsidRPr="00282AC9">
        <w:rPr>
          <w:rFonts w:hint="cs"/>
          <w:sz w:val="27"/>
          <w:rtl/>
          <w:lang w:bidi="ar-EG"/>
        </w:rPr>
        <w:t>ل تكون نفس النبي</w:t>
      </w:r>
      <w:r w:rsidR="00623040" w:rsidRPr="00282AC9">
        <w:rPr>
          <w:rFonts w:hint="cs"/>
          <w:sz w:val="27"/>
          <w:rtl/>
          <w:lang w:bidi="ar-EG"/>
        </w:rPr>
        <w:t>ّ</w:t>
      </w:r>
      <w:r w:rsidRPr="00282AC9">
        <w:rPr>
          <w:rFonts w:hint="cs"/>
          <w:sz w:val="27"/>
          <w:rtl/>
          <w:lang w:bidi="ar-EG"/>
        </w:rPr>
        <w:t xml:space="preserve"> والوليّ كباقي نفوس البشر</w:t>
      </w:r>
      <w:r w:rsidR="00623040" w:rsidRPr="00282AC9">
        <w:rPr>
          <w:rFonts w:hint="cs"/>
          <w:sz w:val="27"/>
          <w:rtl/>
          <w:lang w:bidi="ar-EG"/>
        </w:rPr>
        <w:t>.</w:t>
      </w:r>
      <w:r w:rsidRPr="00282AC9">
        <w:rPr>
          <w:rFonts w:hint="cs"/>
          <w:sz w:val="27"/>
          <w:rtl/>
          <w:lang w:bidi="ar-EG"/>
        </w:rPr>
        <w:t xml:space="preserve"> والفرق بينهما بأمرين: </w:t>
      </w:r>
    </w:p>
    <w:p w:rsidR="00DA6FB6" w:rsidRPr="00282AC9" w:rsidRDefault="00DA6FB6" w:rsidP="00C57B75">
      <w:pPr>
        <w:rPr>
          <w:sz w:val="27"/>
          <w:rtl/>
          <w:lang w:bidi="ar-EG"/>
        </w:rPr>
      </w:pPr>
      <w:r w:rsidRPr="00282AC9">
        <w:rPr>
          <w:rFonts w:hint="cs"/>
          <w:b/>
          <w:bCs/>
          <w:sz w:val="27"/>
          <w:rtl/>
          <w:lang w:bidi="ar-EG"/>
        </w:rPr>
        <w:t>الأوّل</w:t>
      </w:r>
      <w:r w:rsidRPr="00282AC9">
        <w:rPr>
          <w:rFonts w:hint="cs"/>
          <w:sz w:val="27"/>
          <w:rtl/>
          <w:lang w:bidi="ar-EG"/>
        </w:rPr>
        <w:t xml:space="preserve">: </w:t>
      </w:r>
      <w:r w:rsidR="00623040" w:rsidRPr="00282AC9">
        <w:rPr>
          <w:rFonts w:hint="cs"/>
          <w:sz w:val="27"/>
          <w:rtl/>
          <w:lang w:bidi="ar-EG"/>
        </w:rPr>
        <w:t>إ</w:t>
      </w:r>
      <w:r w:rsidRPr="00282AC9">
        <w:rPr>
          <w:rFonts w:hint="cs"/>
          <w:sz w:val="27"/>
          <w:rtl/>
          <w:lang w:bidi="ar-EG"/>
        </w:rPr>
        <w:t>نّ نفوس بقية البشر تجل</w:t>
      </w:r>
      <w:r w:rsidR="00623040" w:rsidRPr="00282AC9">
        <w:rPr>
          <w:rFonts w:hint="cs"/>
          <w:sz w:val="27"/>
          <w:rtl/>
          <w:lang w:bidi="ar-EG"/>
        </w:rPr>
        <w:t>ِّي</w:t>
      </w:r>
      <w:r w:rsidRPr="00282AC9">
        <w:rPr>
          <w:rFonts w:hint="cs"/>
          <w:sz w:val="27"/>
          <w:rtl/>
          <w:lang w:bidi="ar-EG"/>
        </w:rPr>
        <w:t>ات العقل الفعّال</w:t>
      </w:r>
      <w:r w:rsidR="00623040" w:rsidRPr="00282AC9">
        <w:rPr>
          <w:rFonts w:hint="cs"/>
          <w:sz w:val="27"/>
          <w:rtl/>
          <w:lang w:bidi="ar-EG"/>
        </w:rPr>
        <w:t>،</w:t>
      </w:r>
      <w:r w:rsidRPr="00282AC9">
        <w:rPr>
          <w:rFonts w:hint="cs"/>
          <w:sz w:val="27"/>
          <w:rtl/>
          <w:lang w:bidi="ar-EG"/>
        </w:rPr>
        <w:t xml:space="preserve"> الذي يسم</w:t>
      </w:r>
      <w:r w:rsidR="00623040" w:rsidRPr="00282AC9">
        <w:rPr>
          <w:rFonts w:hint="cs"/>
          <w:sz w:val="27"/>
          <w:rtl/>
          <w:lang w:bidi="ar-EG"/>
        </w:rPr>
        <w:t>ِّ</w:t>
      </w:r>
      <w:r w:rsidRPr="00282AC9">
        <w:rPr>
          <w:rFonts w:hint="cs"/>
          <w:sz w:val="27"/>
          <w:rtl/>
          <w:lang w:bidi="ar-EG"/>
        </w:rPr>
        <w:t>يه أهل الشرع ب</w:t>
      </w:r>
      <w:r w:rsidR="00623040" w:rsidRPr="00282AC9">
        <w:rPr>
          <w:rFonts w:hint="cs"/>
          <w:sz w:val="27"/>
          <w:rtl/>
          <w:lang w:bidi="ar-EG"/>
        </w:rPr>
        <w:t xml:space="preserve">ـ </w:t>
      </w:r>
      <w:r w:rsidR="00922165" w:rsidRPr="00282AC9">
        <w:rPr>
          <w:rFonts w:hint="cs"/>
          <w:sz w:val="27"/>
          <w:rtl/>
          <w:lang w:bidi="ar-EG"/>
        </w:rPr>
        <w:t>(</w:t>
      </w:r>
      <w:r w:rsidRPr="00282AC9">
        <w:rPr>
          <w:rFonts w:hint="cs"/>
          <w:sz w:val="27"/>
          <w:rtl/>
          <w:lang w:bidi="ar-EG"/>
        </w:rPr>
        <w:t>جبرائيل</w:t>
      </w:r>
      <w:r w:rsidR="00922165" w:rsidRPr="00282AC9">
        <w:rPr>
          <w:rFonts w:hint="cs"/>
          <w:sz w:val="27"/>
          <w:rtl/>
          <w:lang w:bidi="ar-EG"/>
        </w:rPr>
        <w:t>)؛</w:t>
      </w:r>
      <w:r w:rsidRPr="00282AC9">
        <w:rPr>
          <w:rFonts w:hint="cs"/>
          <w:sz w:val="27"/>
          <w:rtl/>
          <w:lang w:bidi="ar-EG"/>
        </w:rPr>
        <w:t xml:space="preserve"> ونفس النبيّ والوليّ تجلّي العقل الأوّل</w:t>
      </w:r>
      <w:r w:rsidR="00922165" w:rsidRPr="00282AC9">
        <w:rPr>
          <w:rFonts w:hint="cs"/>
          <w:sz w:val="27"/>
          <w:rtl/>
          <w:lang w:bidi="ar-EG"/>
        </w:rPr>
        <w:t>،</w:t>
      </w:r>
      <w:r w:rsidRPr="00282AC9">
        <w:rPr>
          <w:rFonts w:hint="cs"/>
          <w:sz w:val="27"/>
          <w:rtl/>
          <w:lang w:bidi="ar-EG"/>
        </w:rPr>
        <w:t xml:space="preserve"> الذي يسم</w:t>
      </w:r>
      <w:r w:rsidR="00922165" w:rsidRPr="00282AC9">
        <w:rPr>
          <w:rFonts w:hint="cs"/>
          <w:sz w:val="27"/>
          <w:rtl/>
          <w:lang w:bidi="ar-EG"/>
        </w:rPr>
        <w:t>ِّ</w:t>
      </w:r>
      <w:r w:rsidRPr="00282AC9">
        <w:rPr>
          <w:rFonts w:hint="cs"/>
          <w:sz w:val="27"/>
          <w:rtl/>
          <w:lang w:bidi="ar-EG"/>
        </w:rPr>
        <w:t>يه أهل الشرع ب</w:t>
      </w:r>
      <w:r w:rsidR="00922165" w:rsidRPr="00282AC9">
        <w:rPr>
          <w:rFonts w:hint="cs"/>
          <w:sz w:val="27"/>
          <w:rtl/>
          <w:lang w:bidi="ar-EG"/>
        </w:rPr>
        <w:t>ـ (</w:t>
      </w:r>
      <w:r w:rsidRPr="00282AC9">
        <w:rPr>
          <w:rFonts w:hint="cs"/>
          <w:sz w:val="27"/>
          <w:rtl/>
          <w:lang w:bidi="ar-EG"/>
        </w:rPr>
        <w:t>النور المحمّدي</w:t>
      </w:r>
      <w:r w:rsidR="009A2A04" w:rsidRPr="00282AC9">
        <w:rPr>
          <w:rFonts w:cs="Mosawi" w:hint="cs"/>
          <w:sz w:val="22"/>
          <w:szCs w:val="22"/>
          <w:rtl/>
          <w:lang w:bidi="ar-EG"/>
        </w:rPr>
        <w:t>|</w:t>
      </w:r>
      <w:r w:rsidR="00922165" w:rsidRPr="00282AC9">
        <w:rPr>
          <w:rFonts w:hint="cs"/>
          <w:sz w:val="27"/>
          <w:rtl/>
          <w:lang w:bidi="ar-EG"/>
        </w:rPr>
        <w:t>)</w:t>
      </w:r>
      <w:r w:rsidRPr="00282AC9">
        <w:rPr>
          <w:rFonts w:hint="cs"/>
          <w:sz w:val="27"/>
          <w:rtl/>
          <w:lang w:bidi="ar-EG"/>
        </w:rPr>
        <w:t>، بح</w:t>
      </w:r>
      <w:r w:rsidR="00922165" w:rsidRPr="00282AC9">
        <w:rPr>
          <w:rFonts w:hint="cs"/>
          <w:sz w:val="27"/>
          <w:rtl/>
          <w:lang w:bidi="ar-EG"/>
        </w:rPr>
        <w:t>َ</w:t>
      </w:r>
      <w:r w:rsidRPr="00282AC9">
        <w:rPr>
          <w:rFonts w:hint="cs"/>
          <w:sz w:val="27"/>
          <w:rtl/>
          <w:lang w:bidi="ar-EG"/>
        </w:rPr>
        <w:t>س</w:t>
      </w:r>
      <w:r w:rsidR="00922165" w:rsidRPr="00282AC9">
        <w:rPr>
          <w:rFonts w:hint="cs"/>
          <w:sz w:val="27"/>
          <w:rtl/>
          <w:lang w:bidi="ar-EG"/>
        </w:rPr>
        <w:t>َ</w:t>
      </w:r>
      <w:r w:rsidRPr="00282AC9">
        <w:rPr>
          <w:rFonts w:hint="cs"/>
          <w:sz w:val="27"/>
          <w:rtl/>
          <w:lang w:bidi="ar-EG"/>
        </w:rPr>
        <w:t>ب ما ر</w:t>
      </w:r>
      <w:r w:rsidR="00922165" w:rsidRPr="00282AC9">
        <w:rPr>
          <w:rFonts w:hint="cs"/>
          <w:sz w:val="27"/>
          <w:rtl/>
          <w:lang w:bidi="ar-EG"/>
        </w:rPr>
        <w:t>ُ</w:t>
      </w:r>
      <w:r w:rsidRPr="00282AC9">
        <w:rPr>
          <w:rFonts w:hint="cs"/>
          <w:sz w:val="27"/>
          <w:rtl/>
          <w:lang w:bidi="ar-EG"/>
        </w:rPr>
        <w:t xml:space="preserve">وي أنّه قال: </w:t>
      </w:r>
      <w:r w:rsidR="00922165" w:rsidRPr="00282AC9">
        <w:rPr>
          <w:rFonts w:hint="eastAsia"/>
          <w:sz w:val="24"/>
          <w:szCs w:val="24"/>
          <w:rtl/>
        </w:rPr>
        <w:t>«</w:t>
      </w:r>
      <w:r w:rsidRPr="00282AC9">
        <w:rPr>
          <w:rFonts w:hint="cs"/>
          <w:sz w:val="27"/>
          <w:rtl/>
          <w:lang w:bidi="ar-EG"/>
        </w:rPr>
        <w:t>أو</w:t>
      </w:r>
      <w:r w:rsidR="00922165" w:rsidRPr="00282AC9">
        <w:rPr>
          <w:rFonts w:hint="cs"/>
          <w:sz w:val="27"/>
          <w:rtl/>
          <w:lang w:bidi="ar-EG"/>
        </w:rPr>
        <w:t>ّ</w:t>
      </w:r>
      <w:r w:rsidRPr="00282AC9">
        <w:rPr>
          <w:rFonts w:hint="cs"/>
          <w:sz w:val="27"/>
          <w:rtl/>
          <w:lang w:bidi="ar-EG"/>
        </w:rPr>
        <w:t>ل ما خلق الله نور نبي</w:t>
      </w:r>
      <w:r w:rsidR="00922165" w:rsidRPr="00282AC9">
        <w:rPr>
          <w:rFonts w:hint="cs"/>
          <w:sz w:val="27"/>
          <w:rtl/>
          <w:lang w:bidi="ar-EG"/>
        </w:rPr>
        <w:t>ِّ</w:t>
      </w:r>
      <w:r w:rsidRPr="00282AC9">
        <w:rPr>
          <w:rFonts w:hint="cs"/>
          <w:sz w:val="27"/>
          <w:rtl/>
          <w:lang w:bidi="ar-EG"/>
        </w:rPr>
        <w:t>ك</w:t>
      </w:r>
      <w:r w:rsidR="00922165" w:rsidRPr="00282AC9">
        <w:rPr>
          <w:rFonts w:hint="cs"/>
          <w:sz w:val="27"/>
          <w:rtl/>
          <w:lang w:bidi="ar-EG"/>
        </w:rPr>
        <w:t>،</w:t>
      </w:r>
      <w:r w:rsidRPr="00282AC9">
        <w:rPr>
          <w:rFonts w:hint="cs"/>
          <w:sz w:val="27"/>
          <w:rtl/>
          <w:lang w:bidi="ar-EG"/>
        </w:rPr>
        <w:t xml:space="preserve"> يا جابر</w:t>
      </w:r>
      <w:r w:rsidR="00922165" w:rsidRPr="00282AC9">
        <w:rPr>
          <w:rFonts w:hint="eastAsia"/>
          <w:sz w:val="24"/>
          <w:szCs w:val="24"/>
          <w:rtl/>
        </w:rPr>
        <w:t>»</w:t>
      </w:r>
      <w:r w:rsidR="00922165" w:rsidRPr="00282AC9">
        <w:rPr>
          <w:rFonts w:hint="cs"/>
          <w:sz w:val="27"/>
          <w:rtl/>
          <w:lang w:bidi="ar-EG"/>
        </w:rPr>
        <w:t>؛</w:t>
      </w:r>
      <w:r w:rsidRPr="00282AC9">
        <w:rPr>
          <w:rFonts w:hint="cs"/>
          <w:sz w:val="27"/>
          <w:rtl/>
          <w:lang w:bidi="ar-EG"/>
        </w:rPr>
        <w:t xml:space="preserve"> وفي </w:t>
      </w:r>
      <w:r w:rsidRPr="00282AC9">
        <w:rPr>
          <w:rFonts w:hint="cs"/>
          <w:sz w:val="27"/>
          <w:rtl/>
          <w:lang w:bidi="ar-EG"/>
        </w:rPr>
        <w:lastRenderedPageBreak/>
        <w:t>رواية</w:t>
      </w:r>
      <w:r w:rsidR="00922165" w:rsidRPr="00282AC9">
        <w:rPr>
          <w:rFonts w:hint="cs"/>
          <w:sz w:val="27"/>
          <w:rtl/>
          <w:lang w:bidi="ar-EG"/>
        </w:rPr>
        <w:t>ٍ</w:t>
      </w:r>
      <w:r w:rsidRPr="00282AC9">
        <w:rPr>
          <w:rFonts w:hint="cs"/>
          <w:sz w:val="27"/>
          <w:rtl/>
          <w:lang w:bidi="ar-EG"/>
        </w:rPr>
        <w:t xml:space="preserve"> أخرى</w:t>
      </w:r>
      <w:r w:rsidR="00922165" w:rsidRPr="00282AC9">
        <w:rPr>
          <w:rFonts w:hint="cs"/>
          <w:sz w:val="27"/>
          <w:rtl/>
          <w:lang w:bidi="ar-EG"/>
        </w:rPr>
        <w:t>:</w:t>
      </w:r>
      <w:r w:rsidRPr="00282AC9">
        <w:rPr>
          <w:rFonts w:hint="cs"/>
          <w:sz w:val="27"/>
          <w:rtl/>
          <w:lang w:bidi="ar-EG"/>
        </w:rPr>
        <w:t xml:space="preserve"> </w:t>
      </w:r>
      <w:r w:rsidR="00922165" w:rsidRPr="00282AC9">
        <w:rPr>
          <w:rFonts w:hint="eastAsia"/>
          <w:sz w:val="24"/>
          <w:szCs w:val="24"/>
          <w:rtl/>
        </w:rPr>
        <w:t>«</w:t>
      </w:r>
      <w:r w:rsidRPr="00282AC9">
        <w:rPr>
          <w:rFonts w:hint="cs"/>
          <w:sz w:val="27"/>
          <w:rtl/>
          <w:lang w:bidi="ar-EG"/>
        </w:rPr>
        <w:t>أو</w:t>
      </w:r>
      <w:r w:rsidR="00922165" w:rsidRPr="00282AC9">
        <w:rPr>
          <w:rFonts w:hint="cs"/>
          <w:sz w:val="27"/>
          <w:rtl/>
          <w:lang w:bidi="ar-EG"/>
        </w:rPr>
        <w:t>ّ</w:t>
      </w:r>
      <w:r w:rsidRPr="00282AC9">
        <w:rPr>
          <w:rFonts w:hint="cs"/>
          <w:sz w:val="27"/>
          <w:rtl/>
          <w:lang w:bidi="ar-EG"/>
        </w:rPr>
        <w:t>ل ما خلق الله العقل</w:t>
      </w:r>
      <w:r w:rsidR="00922165" w:rsidRPr="00282AC9">
        <w:rPr>
          <w:rFonts w:hint="eastAsia"/>
          <w:sz w:val="24"/>
          <w:szCs w:val="24"/>
          <w:rtl/>
        </w:rPr>
        <w:t>»</w:t>
      </w:r>
      <w:r w:rsidRPr="00282AC9">
        <w:rPr>
          <w:rFonts w:hint="cs"/>
          <w:sz w:val="27"/>
          <w:rtl/>
          <w:lang w:bidi="ar-EG"/>
        </w:rPr>
        <w:t>.</w:t>
      </w:r>
    </w:p>
    <w:p w:rsidR="00DA6FB6" w:rsidRPr="00282AC9" w:rsidRDefault="00DA6FB6" w:rsidP="00C57B75">
      <w:pPr>
        <w:rPr>
          <w:sz w:val="27"/>
          <w:rtl/>
          <w:lang w:bidi="ar-EG"/>
        </w:rPr>
      </w:pPr>
      <w:r w:rsidRPr="00282AC9">
        <w:rPr>
          <w:rFonts w:hint="cs"/>
          <w:b/>
          <w:bCs/>
          <w:sz w:val="27"/>
          <w:rtl/>
          <w:lang w:bidi="ar-EG"/>
        </w:rPr>
        <w:t>الثاني</w:t>
      </w:r>
      <w:r w:rsidRPr="00282AC9">
        <w:rPr>
          <w:rFonts w:hint="cs"/>
          <w:sz w:val="27"/>
          <w:rtl/>
          <w:lang w:bidi="ar-EG"/>
        </w:rPr>
        <w:t xml:space="preserve">: </w:t>
      </w:r>
      <w:r w:rsidR="00922165" w:rsidRPr="00282AC9">
        <w:rPr>
          <w:rFonts w:hint="cs"/>
          <w:sz w:val="27"/>
          <w:rtl/>
          <w:lang w:bidi="ar-EG"/>
        </w:rPr>
        <w:t>إ</w:t>
      </w:r>
      <w:r w:rsidRPr="00282AC9">
        <w:rPr>
          <w:rFonts w:hint="cs"/>
          <w:sz w:val="27"/>
          <w:rtl/>
          <w:lang w:bidi="ar-EG"/>
        </w:rPr>
        <w:t>نّ نفوس بقي</w:t>
      </w:r>
      <w:r w:rsidR="00922165" w:rsidRPr="00282AC9">
        <w:rPr>
          <w:rFonts w:hint="cs"/>
          <w:sz w:val="27"/>
          <w:rtl/>
          <w:lang w:bidi="ar-EG"/>
        </w:rPr>
        <w:t>ّ</w:t>
      </w:r>
      <w:r w:rsidRPr="00282AC9">
        <w:rPr>
          <w:rFonts w:hint="cs"/>
          <w:sz w:val="27"/>
          <w:rtl/>
          <w:lang w:bidi="ar-EG"/>
        </w:rPr>
        <w:t>ة البشر تصل إلى مرتبة الفناء والات</w:t>
      </w:r>
      <w:r w:rsidR="00922165" w:rsidRPr="00282AC9">
        <w:rPr>
          <w:rFonts w:hint="cs"/>
          <w:sz w:val="27"/>
          <w:rtl/>
          <w:lang w:bidi="ar-EG"/>
        </w:rPr>
        <w:t>ّ</w:t>
      </w:r>
      <w:r w:rsidRPr="00282AC9">
        <w:rPr>
          <w:rFonts w:hint="cs"/>
          <w:sz w:val="27"/>
          <w:rtl/>
          <w:lang w:bidi="ar-EG"/>
        </w:rPr>
        <w:t>صال بالمجاهدة العلمي</w:t>
      </w:r>
      <w:r w:rsidR="00922165" w:rsidRPr="00282AC9">
        <w:rPr>
          <w:rFonts w:hint="cs"/>
          <w:sz w:val="27"/>
          <w:rtl/>
          <w:lang w:bidi="ar-EG"/>
        </w:rPr>
        <w:t>ّ</w:t>
      </w:r>
      <w:r w:rsidRPr="00282AC9">
        <w:rPr>
          <w:rFonts w:hint="cs"/>
          <w:sz w:val="27"/>
          <w:rtl/>
          <w:lang w:bidi="ar-EG"/>
        </w:rPr>
        <w:t>ة والعملية</w:t>
      </w:r>
      <w:r w:rsidR="00922165" w:rsidRPr="00282AC9">
        <w:rPr>
          <w:rFonts w:hint="cs"/>
          <w:sz w:val="27"/>
          <w:rtl/>
          <w:lang w:bidi="ar-EG"/>
        </w:rPr>
        <w:t>؛</w:t>
      </w:r>
      <w:r w:rsidRPr="00282AC9">
        <w:rPr>
          <w:rFonts w:hint="cs"/>
          <w:sz w:val="27"/>
          <w:rtl/>
          <w:lang w:bidi="ar-EG"/>
        </w:rPr>
        <w:t xml:space="preserve"> بينما نفس النبيّ والوليّ تصل إلى مرتبة الفناء والات</w:t>
      </w:r>
      <w:r w:rsidR="00922165" w:rsidRPr="00282AC9">
        <w:rPr>
          <w:rFonts w:hint="cs"/>
          <w:sz w:val="27"/>
          <w:rtl/>
          <w:lang w:bidi="ar-EG"/>
        </w:rPr>
        <w:t>ّ</w:t>
      </w:r>
      <w:r w:rsidRPr="00282AC9">
        <w:rPr>
          <w:rFonts w:hint="cs"/>
          <w:sz w:val="27"/>
          <w:rtl/>
          <w:lang w:bidi="ar-EG"/>
        </w:rPr>
        <w:t>صال بالعناية الإلهي</w:t>
      </w:r>
      <w:r w:rsidR="00922165" w:rsidRPr="00282AC9">
        <w:rPr>
          <w:rFonts w:hint="cs"/>
          <w:sz w:val="27"/>
          <w:rtl/>
          <w:lang w:bidi="ar-EG"/>
        </w:rPr>
        <w:t>ّ</w:t>
      </w:r>
      <w:r w:rsidRPr="00282AC9">
        <w:rPr>
          <w:rFonts w:hint="cs"/>
          <w:sz w:val="27"/>
          <w:rtl/>
          <w:lang w:bidi="ar-EG"/>
        </w:rPr>
        <w:t>ة.</w:t>
      </w:r>
    </w:p>
    <w:p w:rsidR="0008532C" w:rsidRPr="00282AC9" w:rsidRDefault="00DA6FB6" w:rsidP="00C57B75">
      <w:pPr>
        <w:rPr>
          <w:sz w:val="27"/>
          <w:rtl/>
          <w:lang w:bidi="ar-EG"/>
        </w:rPr>
      </w:pPr>
      <w:r w:rsidRPr="00282AC9">
        <w:rPr>
          <w:rFonts w:hint="cs"/>
          <w:sz w:val="27"/>
          <w:rtl/>
          <w:lang w:bidi="ar-EG"/>
        </w:rPr>
        <w:t>والنفوس الق</w:t>
      </w:r>
      <w:r w:rsidR="00922165" w:rsidRPr="00282AC9">
        <w:rPr>
          <w:rFonts w:hint="cs"/>
          <w:sz w:val="27"/>
          <w:rtl/>
          <w:lang w:bidi="ar-EG"/>
        </w:rPr>
        <w:t>ُ</w:t>
      </w:r>
      <w:r w:rsidRPr="00282AC9">
        <w:rPr>
          <w:rFonts w:hint="cs"/>
          <w:sz w:val="27"/>
          <w:rtl/>
          <w:lang w:bidi="ar-EG"/>
        </w:rPr>
        <w:t>د</w:t>
      </w:r>
      <w:r w:rsidR="00922165" w:rsidRPr="00282AC9">
        <w:rPr>
          <w:rFonts w:hint="cs"/>
          <w:sz w:val="27"/>
          <w:rtl/>
          <w:lang w:bidi="ar-EG"/>
        </w:rPr>
        <w:t>ْ</w:t>
      </w:r>
      <w:r w:rsidRPr="00282AC9">
        <w:rPr>
          <w:rFonts w:hint="cs"/>
          <w:sz w:val="27"/>
          <w:rtl/>
          <w:lang w:bidi="ar-EG"/>
        </w:rPr>
        <w:t>سي</w:t>
      </w:r>
      <w:r w:rsidR="00922165" w:rsidRPr="00282AC9">
        <w:rPr>
          <w:rFonts w:hint="cs"/>
          <w:sz w:val="27"/>
          <w:rtl/>
          <w:lang w:bidi="ar-EG"/>
        </w:rPr>
        <w:t>ّ</w:t>
      </w:r>
      <w:r w:rsidRPr="00282AC9">
        <w:rPr>
          <w:rFonts w:hint="cs"/>
          <w:sz w:val="27"/>
          <w:rtl/>
          <w:lang w:bidi="ar-EG"/>
        </w:rPr>
        <w:t>ة</w:t>
      </w:r>
      <w:r w:rsidR="00922165" w:rsidRPr="00282AC9">
        <w:rPr>
          <w:rFonts w:hint="cs"/>
          <w:sz w:val="27"/>
          <w:rtl/>
          <w:lang w:bidi="ar-EG"/>
        </w:rPr>
        <w:t>،</w:t>
      </w:r>
      <w:r w:rsidRPr="00282AC9">
        <w:rPr>
          <w:rFonts w:hint="cs"/>
          <w:sz w:val="27"/>
          <w:rtl/>
          <w:lang w:bidi="ar-EG"/>
        </w:rPr>
        <w:t xml:space="preserve"> التي لها قدرة الاتصال بالعالم العلوي</w:t>
      </w:r>
      <w:r w:rsidR="00922165" w:rsidRPr="00282AC9">
        <w:rPr>
          <w:rFonts w:hint="cs"/>
          <w:sz w:val="27"/>
          <w:rtl/>
          <w:lang w:bidi="ar-EG"/>
        </w:rPr>
        <w:t>ّ،</w:t>
      </w:r>
      <w:r w:rsidRPr="00282AC9">
        <w:rPr>
          <w:rFonts w:hint="cs"/>
          <w:sz w:val="27"/>
          <w:rtl/>
          <w:lang w:bidi="ar-EG"/>
        </w:rPr>
        <w:t xml:space="preserve"> يحصل لها كمال</w:t>
      </w:r>
      <w:r w:rsidR="00922165" w:rsidRPr="00282AC9">
        <w:rPr>
          <w:rFonts w:hint="cs"/>
          <w:sz w:val="27"/>
          <w:rtl/>
          <w:lang w:bidi="ar-EG"/>
        </w:rPr>
        <w:t>ٌ</w:t>
      </w:r>
      <w:r w:rsidRPr="00282AC9">
        <w:rPr>
          <w:rFonts w:hint="cs"/>
          <w:sz w:val="27"/>
          <w:rtl/>
          <w:lang w:bidi="ar-EG"/>
        </w:rPr>
        <w:t xml:space="preserve"> في القوى الثلاث: 1ـ القو</w:t>
      </w:r>
      <w:r w:rsidR="00922165" w:rsidRPr="00282AC9">
        <w:rPr>
          <w:rFonts w:hint="cs"/>
          <w:sz w:val="27"/>
          <w:rtl/>
          <w:lang w:bidi="ar-EG"/>
        </w:rPr>
        <w:t>ّ</w:t>
      </w:r>
      <w:r w:rsidRPr="00282AC9">
        <w:rPr>
          <w:rFonts w:hint="cs"/>
          <w:sz w:val="27"/>
          <w:rtl/>
          <w:lang w:bidi="ar-EG"/>
        </w:rPr>
        <w:t>ة الم</w:t>
      </w:r>
      <w:r w:rsidR="00922165" w:rsidRPr="00282AC9">
        <w:rPr>
          <w:rFonts w:hint="cs"/>
          <w:sz w:val="27"/>
          <w:rtl/>
          <w:lang w:bidi="ar-EG"/>
        </w:rPr>
        <w:t>ُ</w:t>
      </w:r>
      <w:r w:rsidRPr="00282AC9">
        <w:rPr>
          <w:rFonts w:hint="cs"/>
          <w:sz w:val="27"/>
          <w:rtl/>
          <w:lang w:bidi="ar-EG"/>
        </w:rPr>
        <w:t>د</w:t>
      </w:r>
      <w:r w:rsidR="00922165" w:rsidRPr="00282AC9">
        <w:rPr>
          <w:rFonts w:hint="cs"/>
          <w:sz w:val="27"/>
          <w:rtl/>
          <w:lang w:bidi="ar-EG"/>
        </w:rPr>
        <w:t>ْ</w:t>
      </w:r>
      <w:r w:rsidRPr="00282AC9">
        <w:rPr>
          <w:rFonts w:hint="cs"/>
          <w:sz w:val="27"/>
          <w:rtl/>
          <w:lang w:bidi="ar-EG"/>
        </w:rPr>
        <w:t>ر</w:t>
      </w:r>
      <w:r w:rsidR="00922165" w:rsidRPr="00282AC9">
        <w:rPr>
          <w:rFonts w:hint="cs"/>
          <w:sz w:val="27"/>
          <w:rtl/>
          <w:lang w:bidi="ar-EG"/>
        </w:rPr>
        <w:t>ِ</w:t>
      </w:r>
      <w:r w:rsidRPr="00282AC9">
        <w:rPr>
          <w:rFonts w:hint="cs"/>
          <w:sz w:val="27"/>
          <w:rtl/>
          <w:lang w:bidi="ar-EG"/>
        </w:rPr>
        <w:t>كة للكل</w:t>
      </w:r>
      <w:r w:rsidR="00922165" w:rsidRPr="00282AC9">
        <w:rPr>
          <w:rFonts w:hint="cs"/>
          <w:sz w:val="27"/>
          <w:rtl/>
          <w:lang w:bidi="ar-EG"/>
        </w:rPr>
        <w:t>ِّ</w:t>
      </w:r>
      <w:r w:rsidRPr="00282AC9">
        <w:rPr>
          <w:rFonts w:hint="cs"/>
          <w:sz w:val="27"/>
          <w:rtl/>
          <w:lang w:bidi="ar-EG"/>
        </w:rPr>
        <w:t>يات، 2ـ القو</w:t>
      </w:r>
      <w:r w:rsidR="00922165" w:rsidRPr="00282AC9">
        <w:rPr>
          <w:rFonts w:hint="cs"/>
          <w:sz w:val="27"/>
          <w:rtl/>
          <w:lang w:bidi="ar-EG"/>
        </w:rPr>
        <w:t>ّ</w:t>
      </w:r>
      <w:r w:rsidRPr="00282AC9">
        <w:rPr>
          <w:rFonts w:hint="cs"/>
          <w:sz w:val="27"/>
          <w:rtl/>
          <w:lang w:bidi="ar-EG"/>
        </w:rPr>
        <w:t>ة الم</w:t>
      </w:r>
      <w:r w:rsidR="00922165" w:rsidRPr="00282AC9">
        <w:rPr>
          <w:rFonts w:hint="cs"/>
          <w:sz w:val="27"/>
          <w:rtl/>
          <w:lang w:bidi="ar-EG"/>
        </w:rPr>
        <w:t>ُ</w:t>
      </w:r>
      <w:r w:rsidRPr="00282AC9">
        <w:rPr>
          <w:rFonts w:hint="cs"/>
          <w:sz w:val="27"/>
          <w:rtl/>
          <w:lang w:bidi="ar-EG"/>
        </w:rPr>
        <w:t>د</w:t>
      </w:r>
      <w:r w:rsidR="00922165" w:rsidRPr="00282AC9">
        <w:rPr>
          <w:rFonts w:hint="cs"/>
          <w:sz w:val="27"/>
          <w:rtl/>
          <w:lang w:bidi="ar-EG"/>
        </w:rPr>
        <w:t>ْ</w:t>
      </w:r>
      <w:r w:rsidRPr="00282AC9">
        <w:rPr>
          <w:rFonts w:hint="cs"/>
          <w:sz w:val="27"/>
          <w:rtl/>
          <w:lang w:bidi="ar-EG"/>
        </w:rPr>
        <w:t>ر</w:t>
      </w:r>
      <w:r w:rsidR="00922165" w:rsidRPr="00282AC9">
        <w:rPr>
          <w:rFonts w:hint="cs"/>
          <w:sz w:val="27"/>
          <w:rtl/>
          <w:lang w:bidi="ar-EG"/>
        </w:rPr>
        <w:t>ِ</w:t>
      </w:r>
      <w:r w:rsidRPr="00282AC9">
        <w:rPr>
          <w:rFonts w:hint="cs"/>
          <w:sz w:val="27"/>
          <w:rtl/>
          <w:lang w:bidi="ar-EG"/>
        </w:rPr>
        <w:t>كة للجزئي</w:t>
      </w:r>
      <w:r w:rsidR="00922165" w:rsidRPr="00282AC9">
        <w:rPr>
          <w:rFonts w:hint="cs"/>
          <w:sz w:val="27"/>
          <w:rtl/>
          <w:lang w:bidi="ar-EG"/>
        </w:rPr>
        <w:t>ّ</w:t>
      </w:r>
      <w:r w:rsidRPr="00282AC9">
        <w:rPr>
          <w:rFonts w:hint="cs"/>
          <w:sz w:val="27"/>
          <w:rtl/>
          <w:lang w:bidi="ar-EG"/>
        </w:rPr>
        <w:t>ات، 3ـ القو</w:t>
      </w:r>
      <w:r w:rsidR="00922165" w:rsidRPr="00282AC9">
        <w:rPr>
          <w:rFonts w:hint="cs"/>
          <w:sz w:val="27"/>
          <w:rtl/>
          <w:lang w:bidi="ar-EG"/>
        </w:rPr>
        <w:t>ّ</w:t>
      </w:r>
      <w:r w:rsidR="0008532C" w:rsidRPr="00282AC9">
        <w:rPr>
          <w:rFonts w:hint="cs"/>
          <w:sz w:val="27"/>
          <w:rtl/>
          <w:lang w:bidi="ar-EG"/>
        </w:rPr>
        <w:t>ة العمّالة.</w:t>
      </w:r>
    </w:p>
    <w:p w:rsidR="0008532C" w:rsidRPr="00282AC9" w:rsidRDefault="00DA6FB6" w:rsidP="00C57B75">
      <w:pPr>
        <w:rPr>
          <w:sz w:val="27"/>
          <w:rtl/>
          <w:lang w:bidi="ar-EG"/>
        </w:rPr>
      </w:pPr>
      <w:r w:rsidRPr="00282AC9">
        <w:rPr>
          <w:rFonts w:hint="cs"/>
          <w:sz w:val="27"/>
          <w:rtl/>
          <w:lang w:bidi="ar-EG"/>
        </w:rPr>
        <w:t>فأمّا كمال القو</w:t>
      </w:r>
      <w:r w:rsidR="00922165" w:rsidRPr="00282AC9">
        <w:rPr>
          <w:rFonts w:hint="cs"/>
          <w:sz w:val="27"/>
          <w:rtl/>
          <w:lang w:bidi="ar-EG"/>
        </w:rPr>
        <w:t>ّ</w:t>
      </w:r>
      <w:r w:rsidRPr="00282AC9">
        <w:rPr>
          <w:rFonts w:hint="cs"/>
          <w:sz w:val="27"/>
          <w:rtl/>
          <w:lang w:bidi="ar-EG"/>
        </w:rPr>
        <w:t>ة الم</w:t>
      </w:r>
      <w:r w:rsidR="00922165" w:rsidRPr="00282AC9">
        <w:rPr>
          <w:rFonts w:hint="cs"/>
          <w:sz w:val="27"/>
          <w:rtl/>
          <w:lang w:bidi="ar-EG"/>
        </w:rPr>
        <w:t>ُ</w:t>
      </w:r>
      <w:r w:rsidRPr="00282AC9">
        <w:rPr>
          <w:rFonts w:hint="cs"/>
          <w:sz w:val="27"/>
          <w:rtl/>
          <w:lang w:bidi="ar-EG"/>
        </w:rPr>
        <w:t>د</w:t>
      </w:r>
      <w:r w:rsidR="00922165" w:rsidRPr="00282AC9">
        <w:rPr>
          <w:rFonts w:hint="cs"/>
          <w:sz w:val="27"/>
          <w:rtl/>
          <w:lang w:bidi="ar-EG"/>
        </w:rPr>
        <w:t>ْ</w:t>
      </w:r>
      <w:r w:rsidRPr="00282AC9">
        <w:rPr>
          <w:rFonts w:hint="cs"/>
          <w:sz w:val="27"/>
          <w:rtl/>
          <w:lang w:bidi="ar-EG"/>
        </w:rPr>
        <w:t>ر</w:t>
      </w:r>
      <w:r w:rsidR="00922165" w:rsidRPr="00282AC9">
        <w:rPr>
          <w:rFonts w:hint="cs"/>
          <w:sz w:val="27"/>
          <w:rtl/>
          <w:lang w:bidi="ar-EG"/>
        </w:rPr>
        <w:t>ِ</w:t>
      </w:r>
      <w:r w:rsidRPr="00282AC9">
        <w:rPr>
          <w:rFonts w:hint="cs"/>
          <w:sz w:val="27"/>
          <w:rtl/>
          <w:lang w:bidi="ar-EG"/>
        </w:rPr>
        <w:t>كة للكل</w:t>
      </w:r>
      <w:r w:rsidR="00922165" w:rsidRPr="00282AC9">
        <w:rPr>
          <w:rFonts w:hint="cs"/>
          <w:sz w:val="27"/>
          <w:rtl/>
          <w:lang w:bidi="ar-EG"/>
        </w:rPr>
        <w:t>ِّ</w:t>
      </w:r>
      <w:r w:rsidRPr="00282AC9">
        <w:rPr>
          <w:rFonts w:hint="cs"/>
          <w:sz w:val="27"/>
          <w:rtl/>
          <w:lang w:bidi="ar-EG"/>
        </w:rPr>
        <w:t>يات فبحصول صور حقائق الأشياء في نفوسهم بالح</w:t>
      </w:r>
      <w:r w:rsidR="00922165" w:rsidRPr="00282AC9">
        <w:rPr>
          <w:rFonts w:hint="cs"/>
          <w:sz w:val="27"/>
          <w:rtl/>
          <w:lang w:bidi="ar-EG"/>
        </w:rPr>
        <w:t>َ</w:t>
      </w:r>
      <w:r w:rsidRPr="00282AC9">
        <w:rPr>
          <w:rFonts w:hint="cs"/>
          <w:sz w:val="27"/>
          <w:rtl/>
          <w:lang w:bidi="ar-EG"/>
        </w:rPr>
        <w:t>د</w:t>
      </w:r>
      <w:r w:rsidR="00922165" w:rsidRPr="00282AC9">
        <w:rPr>
          <w:rFonts w:hint="cs"/>
          <w:sz w:val="27"/>
          <w:rtl/>
          <w:lang w:bidi="ar-EG"/>
        </w:rPr>
        <w:t>ْ</w:t>
      </w:r>
      <w:r w:rsidRPr="00282AC9">
        <w:rPr>
          <w:rFonts w:hint="cs"/>
          <w:sz w:val="27"/>
          <w:rtl/>
          <w:lang w:bidi="ar-EG"/>
        </w:rPr>
        <w:t>س، لا بالفكر المكوّ</w:t>
      </w:r>
      <w:r w:rsidR="00922165" w:rsidRPr="00282AC9">
        <w:rPr>
          <w:rFonts w:hint="cs"/>
          <w:sz w:val="27"/>
          <w:rtl/>
          <w:lang w:bidi="ar-EG"/>
        </w:rPr>
        <w:t>َ</w:t>
      </w:r>
      <w:r w:rsidRPr="00282AC9">
        <w:rPr>
          <w:rFonts w:hint="cs"/>
          <w:sz w:val="27"/>
          <w:rtl/>
          <w:lang w:bidi="ar-EG"/>
        </w:rPr>
        <w:t>ن من حركتين: حركة من المجهول إلى المبادىء</w:t>
      </w:r>
      <w:r w:rsidR="00922165" w:rsidRPr="00282AC9">
        <w:rPr>
          <w:rFonts w:hint="cs"/>
          <w:sz w:val="27"/>
          <w:rtl/>
          <w:lang w:bidi="ar-EG"/>
        </w:rPr>
        <w:t>؛</w:t>
      </w:r>
      <w:r w:rsidRPr="00282AC9">
        <w:rPr>
          <w:rFonts w:hint="cs"/>
          <w:sz w:val="27"/>
          <w:rtl/>
          <w:lang w:bidi="ar-EG"/>
        </w:rPr>
        <w:t xml:space="preserve"> وحركة من المبادىء إلى المطلوب</w:t>
      </w:r>
      <w:r w:rsidR="00922165" w:rsidRPr="00282AC9">
        <w:rPr>
          <w:rFonts w:hint="cs"/>
          <w:sz w:val="27"/>
          <w:rtl/>
          <w:lang w:bidi="ar-EG"/>
        </w:rPr>
        <w:t>.</w:t>
      </w:r>
      <w:r w:rsidRPr="00282AC9">
        <w:rPr>
          <w:rFonts w:hint="cs"/>
          <w:sz w:val="27"/>
          <w:rtl/>
          <w:lang w:bidi="ar-EG"/>
        </w:rPr>
        <w:t xml:space="preserve"> وفي الح</w:t>
      </w:r>
      <w:r w:rsidR="00922165" w:rsidRPr="00282AC9">
        <w:rPr>
          <w:rFonts w:hint="cs"/>
          <w:sz w:val="27"/>
          <w:rtl/>
          <w:lang w:bidi="ar-EG"/>
        </w:rPr>
        <w:t>َ</w:t>
      </w:r>
      <w:r w:rsidRPr="00282AC9">
        <w:rPr>
          <w:rFonts w:hint="cs"/>
          <w:sz w:val="27"/>
          <w:rtl/>
          <w:lang w:bidi="ar-EG"/>
        </w:rPr>
        <w:t>د</w:t>
      </w:r>
      <w:r w:rsidR="00922165" w:rsidRPr="00282AC9">
        <w:rPr>
          <w:rFonts w:hint="cs"/>
          <w:sz w:val="27"/>
          <w:rtl/>
          <w:lang w:bidi="ar-EG"/>
        </w:rPr>
        <w:t>ْ</w:t>
      </w:r>
      <w:r w:rsidRPr="00282AC9">
        <w:rPr>
          <w:rFonts w:hint="cs"/>
          <w:sz w:val="27"/>
          <w:rtl/>
          <w:lang w:bidi="ar-EG"/>
        </w:rPr>
        <w:t>س تحصل المبادىء دفعة</w:t>
      </w:r>
      <w:r w:rsidR="00922165" w:rsidRPr="00282AC9">
        <w:rPr>
          <w:rFonts w:hint="cs"/>
          <w:sz w:val="27"/>
          <w:rtl/>
          <w:lang w:bidi="ar-EG"/>
        </w:rPr>
        <w:t>ً</w:t>
      </w:r>
      <w:r w:rsidRPr="00282AC9">
        <w:rPr>
          <w:rFonts w:hint="cs"/>
          <w:sz w:val="27"/>
          <w:rtl/>
          <w:lang w:bidi="ar-EG"/>
        </w:rPr>
        <w:t xml:space="preserve"> واحدة</w:t>
      </w:r>
      <w:r w:rsidR="00922165" w:rsidRPr="00282AC9">
        <w:rPr>
          <w:rFonts w:hint="cs"/>
          <w:sz w:val="27"/>
          <w:rtl/>
          <w:lang w:bidi="ar-EG"/>
        </w:rPr>
        <w:t>،</w:t>
      </w:r>
      <w:r w:rsidRPr="00282AC9">
        <w:rPr>
          <w:rFonts w:hint="cs"/>
          <w:sz w:val="27"/>
          <w:rtl/>
          <w:lang w:bidi="ar-EG"/>
        </w:rPr>
        <w:t xml:space="preserve"> وبذلك ينكشف المجهول</w:t>
      </w:r>
      <w:r w:rsidR="00922165" w:rsidRPr="00282AC9">
        <w:rPr>
          <w:rFonts w:hint="cs"/>
          <w:sz w:val="27"/>
          <w:rtl/>
          <w:lang w:bidi="ar-EG"/>
        </w:rPr>
        <w:t>.</w:t>
      </w:r>
      <w:r w:rsidRPr="00282AC9">
        <w:rPr>
          <w:rFonts w:hint="cs"/>
          <w:sz w:val="27"/>
          <w:rtl/>
          <w:lang w:bidi="ar-EG"/>
        </w:rPr>
        <w:t xml:space="preserve"> وحصول الح</w:t>
      </w:r>
      <w:r w:rsidR="00922165" w:rsidRPr="00282AC9">
        <w:rPr>
          <w:rFonts w:hint="cs"/>
          <w:sz w:val="27"/>
          <w:rtl/>
          <w:lang w:bidi="ar-EG"/>
        </w:rPr>
        <w:t>َ</w:t>
      </w:r>
      <w:r w:rsidRPr="00282AC9">
        <w:rPr>
          <w:rFonts w:hint="cs"/>
          <w:sz w:val="27"/>
          <w:rtl/>
          <w:lang w:bidi="ar-EG"/>
        </w:rPr>
        <w:t>د</w:t>
      </w:r>
      <w:r w:rsidR="00922165" w:rsidRPr="00282AC9">
        <w:rPr>
          <w:rFonts w:hint="cs"/>
          <w:sz w:val="27"/>
          <w:rtl/>
          <w:lang w:bidi="ar-EG"/>
        </w:rPr>
        <w:t>ْ</w:t>
      </w:r>
      <w:r w:rsidRPr="00282AC9">
        <w:rPr>
          <w:rFonts w:hint="cs"/>
          <w:sz w:val="27"/>
          <w:rtl/>
          <w:lang w:bidi="ar-EG"/>
        </w:rPr>
        <w:t>س لديهم ليس اكتسابياً، فيكون علمهم ل</w:t>
      </w:r>
      <w:r w:rsidR="00922165" w:rsidRPr="00282AC9">
        <w:rPr>
          <w:rFonts w:hint="cs"/>
          <w:sz w:val="27"/>
          <w:rtl/>
          <w:lang w:bidi="ar-EG"/>
        </w:rPr>
        <w:t>َ</w:t>
      </w:r>
      <w:r w:rsidRPr="00282AC9">
        <w:rPr>
          <w:rFonts w:hint="cs"/>
          <w:sz w:val="27"/>
          <w:rtl/>
          <w:lang w:bidi="ar-EG"/>
        </w:rPr>
        <w:t>د</w:t>
      </w:r>
      <w:r w:rsidR="00922165" w:rsidRPr="00282AC9">
        <w:rPr>
          <w:rFonts w:hint="cs"/>
          <w:sz w:val="27"/>
          <w:rtl/>
          <w:lang w:bidi="ar-EG"/>
        </w:rPr>
        <w:t>ُ</w:t>
      </w:r>
      <w:r w:rsidRPr="00282AC9">
        <w:rPr>
          <w:rFonts w:hint="cs"/>
          <w:sz w:val="27"/>
          <w:rtl/>
          <w:lang w:bidi="ar-EG"/>
        </w:rPr>
        <w:t>نيّاً، فيقف على كلّ ما يريد معرفته، وذلك من خلال الات</w:t>
      </w:r>
      <w:r w:rsidR="0008532C" w:rsidRPr="00282AC9">
        <w:rPr>
          <w:rFonts w:hint="cs"/>
          <w:sz w:val="27"/>
          <w:rtl/>
          <w:lang w:bidi="ar-EG"/>
        </w:rPr>
        <w:t>ّ</w:t>
      </w:r>
      <w:r w:rsidRPr="00282AC9">
        <w:rPr>
          <w:rFonts w:hint="cs"/>
          <w:sz w:val="27"/>
          <w:rtl/>
          <w:lang w:bidi="ar-EG"/>
        </w:rPr>
        <w:t>صال بالعالم العلوي، فيكون علمه إرادي</w:t>
      </w:r>
      <w:r w:rsidR="0008532C" w:rsidRPr="00282AC9">
        <w:rPr>
          <w:rFonts w:hint="cs"/>
          <w:sz w:val="27"/>
          <w:rtl/>
          <w:lang w:bidi="ar-EG"/>
        </w:rPr>
        <w:t>ّ</w:t>
      </w:r>
      <w:r w:rsidRPr="00282AC9">
        <w:rPr>
          <w:rFonts w:hint="cs"/>
          <w:sz w:val="27"/>
          <w:rtl/>
          <w:lang w:bidi="ar-EG"/>
        </w:rPr>
        <w:t>اً، لا علم ما كان وما يكون حضوري</w:t>
      </w:r>
      <w:r w:rsidR="0008532C" w:rsidRPr="00282AC9">
        <w:rPr>
          <w:rFonts w:hint="cs"/>
          <w:sz w:val="27"/>
          <w:rtl/>
          <w:lang w:bidi="ar-EG"/>
        </w:rPr>
        <w:t>ّ</w:t>
      </w:r>
      <w:r w:rsidRPr="00282AC9">
        <w:rPr>
          <w:rFonts w:hint="cs"/>
          <w:sz w:val="27"/>
          <w:rtl/>
          <w:lang w:bidi="ar-EG"/>
        </w:rPr>
        <w:t>اً؛ لأنّ هذا النحو من العلم يتوق</w:t>
      </w:r>
      <w:r w:rsidR="0008532C" w:rsidRPr="00282AC9">
        <w:rPr>
          <w:rFonts w:hint="cs"/>
          <w:sz w:val="27"/>
          <w:rtl/>
          <w:lang w:bidi="ar-EG"/>
        </w:rPr>
        <w:t>َّ</w:t>
      </w:r>
      <w:r w:rsidRPr="00282AC9">
        <w:rPr>
          <w:rFonts w:hint="cs"/>
          <w:sz w:val="27"/>
          <w:rtl/>
          <w:lang w:bidi="ar-EG"/>
        </w:rPr>
        <w:t>ف على الات</w:t>
      </w:r>
      <w:r w:rsidR="0008532C" w:rsidRPr="00282AC9">
        <w:rPr>
          <w:rFonts w:hint="cs"/>
          <w:sz w:val="27"/>
          <w:rtl/>
          <w:lang w:bidi="ar-EG"/>
        </w:rPr>
        <w:t>ّ</w:t>
      </w:r>
      <w:r w:rsidRPr="00282AC9">
        <w:rPr>
          <w:rFonts w:hint="cs"/>
          <w:sz w:val="27"/>
          <w:rtl/>
          <w:lang w:bidi="ar-EG"/>
        </w:rPr>
        <w:t>حاد بالعالم العلوي</w:t>
      </w:r>
      <w:r w:rsidR="0008532C" w:rsidRPr="00282AC9">
        <w:rPr>
          <w:rFonts w:hint="cs"/>
          <w:sz w:val="27"/>
          <w:rtl/>
          <w:lang w:bidi="ar-EG"/>
        </w:rPr>
        <w:t>ّ، وقد ثبت بطلانه.</w:t>
      </w:r>
    </w:p>
    <w:p w:rsidR="00A871FC" w:rsidRPr="00282AC9" w:rsidRDefault="00DA6FB6" w:rsidP="00C57B75">
      <w:pPr>
        <w:rPr>
          <w:sz w:val="27"/>
          <w:rtl/>
          <w:lang w:bidi="ar-EG"/>
        </w:rPr>
      </w:pPr>
      <w:r w:rsidRPr="00282AC9">
        <w:rPr>
          <w:rFonts w:hint="cs"/>
          <w:sz w:val="27"/>
          <w:rtl/>
          <w:lang w:bidi="ar-EG"/>
        </w:rPr>
        <w:t>وأمّا كمال القو</w:t>
      </w:r>
      <w:r w:rsidR="0008532C" w:rsidRPr="00282AC9">
        <w:rPr>
          <w:rFonts w:hint="cs"/>
          <w:sz w:val="27"/>
          <w:rtl/>
          <w:lang w:bidi="ar-EG"/>
        </w:rPr>
        <w:t>ّ</w:t>
      </w:r>
      <w:r w:rsidRPr="00282AC9">
        <w:rPr>
          <w:rFonts w:hint="cs"/>
          <w:sz w:val="27"/>
          <w:rtl/>
          <w:lang w:bidi="ar-EG"/>
        </w:rPr>
        <w:t>ة الم</w:t>
      </w:r>
      <w:r w:rsidR="0008532C" w:rsidRPr="00282AC9">
        <w:rPr>
          <w:rFonts w:hint="cs"/>
          <w:sz w:val="27"/>
          <w:rtl/>
          <w:lang w:bidi="ar-EG"/>
        </w:rPr>
        <w:t>ُ</w:t>
      </w:r>
      <w:r w:rsidRPr="00282AC9">
        <w:rPr>
          <w:rFonts w:hint="cs"/>
          <w:sz w:val="27"/>
          <w:rtl/>
          <w:lang w:bidi="ar-EG"/>
        </w:rPr>
        <w:t>د</w:t>
      </w:r>
      <w:r w:rsidR="0008532C" w:rsidRPr="00282AC9">
        <w:rPr>
          <w:rFonts w:hint="cs"/>
          <w:sz w:val="27"/>
          <w:rtl/>
          <w:lang w:bidi="ar-EG"/>
        </w:rPr>
        <w:t>ْ</w:t>
      </w:r>
      <w:r w:rsidRPr="00282AC9">
        <w:rPr>
          <w:rFonts w:hint="cs"/>
          <w:sz w:val="27"/>
          <w:rtl/>
          <w:lang w:bidi="ar-EG"/>
        </w:rPr>
        <w:t>ر</w:t>
      </w:r>
      <w:r w:rsidR="0008532C" w:rsidRPr="00282AC9">
        <w:rPr>
          <w:rFonts w:hint="cs"/>
          <w:sz w:val="27"/>
          <w:rtl/>
          <w:lang w:bidi="ar-EG"/>
        </w:rPr>
        <w:t>ِ</w:t>
      </w:r>
      <w:r w:rsidRPr="00282AC9">
        <w:rPr>
          <w:rFonts w:hint="cs"/>
          <w:sz w:val="27"/>
          <w:rtl/>
          <w:lang w:bidi="ar-EG"/>
        </w:rPr>
        <w:t>كة للجزئي</w:t>
      </w:r>
      <w:r w:rsidR="0008532C" w:rsidRPr="00282AC9">
        <w:rPr>
          <w:rFonts w:hint="cs"/>
          <w:sz w:val="27"/>
          <w:rtl/>
          <w:lang w:bidi="ar-EG"/>
        </w:rPr>
        <w:t>ّ</w:t>
      </w:r>
      <w:r w:rsidRPr="00282AC9">
        <w:rPr>
          <w:rFonts w:hint="cs"/>
          <w:sz w:val="27"/>
          <w:rtl/>
          <w:lang w:bidi="ar-EG"/>
        </w:rPr>
        <w:t>ات فإنّها إمّا قو</w:t>
      </w:r>
      <w:r w:rsidR="0008532C" w:rsidRPr="00282AC9">
        <w:rPr>
          <w:rFonts w:hint="cs"/>
          <w:sz w:val="27"/>
          <w:rtl/>
          <w:lang w:bidi="ar-EG"/>
        </w:rPr>
        <w:t>ّ</w:t>
      </w:r>
      <w:r w:rsidRPr="00282AC9">
        <w:rPr>
          <w:rFonts w:hint="cs"/>
          <w:sz w:val="27"/>
          <w:rtl/>
          <w:lang w:bidi="ar-EG"/>
        </w:rPr>
        <w:t>ة باطنية</w:t>
      </w:r>
      <w:r w:rsidR="0008532C" w:rsidRPr="00282AC9">
        <w:rPr>
          <w:rFonts w:hint="cs"/>
          <w:sz w:val="27"/>
          <w:rtl/>
          <w:lang w:bidi="ar-EG"/>
        </w:rPr>
        <w:t>،</w:t>
      </w:r>
      <w:r w:rsidRPr="00282AC9">
        <w:rPr>
          <w:rFonts w:hint="cs"/>
          <w:sz w:val="27"/>
          <w:rtl/>
          <w:lang w:bidi="ar-EG"/>
        </w:rPr>
        <w:t xml:space="preserve"> مثل</w:t>
      </w:r>
      <w:r w:rsidR="0008532C" w:rsidRPr="00282AC9">
        <w:rPr>
          <w:rFonts w:hint="cs"/>
          <w:sz w:val="27"/>
          <w:rtl/>
          <w:lang w:bidi="ar-EG"/>
        </w:rPr>
        <w:t>:</w:t>
      </w:r>
      <w:r w:rsidRPr="00282AC9">
        <w:rPr>
          <w:rFonts w:hint="cs"/>
          <w:sz w:val="27"/>
          <w:rtl/>
          <w:lang w:bidi="ar-EG"/>
        </w:rPr>
        <w:t xml:space="preserve"> المتخيّلة، وكمالها قو</w:t>
      </w:r>
      <w:r w:rsidR="0008532C" w:rsidRPr="00282AC9">
        <w:rPr>
          <w:rFonts w:hint="cs"/>
          <w:sz w:val="27"/>
          <w:rtl/>
          <w:lang w:bidi="ar-EG"/>
        </w:rPr>
        <w:t>ّ</w:t>
      </w:r>
      <w:r w:rsidRPr="00282AC9">
        <w:rPr>
          <w:rFonts w:hint="cs"/>
          <w:sz w:val="27"/>
          <w:rtl/>
          <w:lang w:bidi="ar-EG"/>
        </w:rPr>
        <w:t>ة تصوير الأشياء بالمتخيّلة</w:t>
      </w:r>
      <w:r w:rsidR="0008532C" w:rsidRPr="00282AC9">
        <w:rPr>
          <w:rFonts w:hint="cs"/>
          <w:sz w:val="27"/>
          <w:rtl/>
          <w:lang w:bidi="ar-EG"/>
        </w:rPr>
        <w:t>.</w:t>
      </w:r>
      <w:r w:rsidRPr="00282AC9">
        <w:rPr>
          <w:rFonts w:hint="cs"/>
          <w:sz w:val="27"/>
          <w:rtl/>
          <w:lang w:bidi="ar-EG"/>
        </w:rPr>
        <w:t xml:space="preserve"> فم</w:t>
      </w:r>
      <w:r w:rsidR="0008532C" w:rsidRPr="00282AC9">
        <w:rPr>
          <w:rFonts w:hint="cs"/>
          <w:sz w:val="27"/>
          <w:rtl/>
          <w:lang w:bidi="ar-EG"/>
        </w:rPr>
        <w:t>َ</w:t>
      </w:r>
      <w:r w:rsidRPr="00282AC9">
        <w:rPr>
          <w:rFonts w:hint="cs"/>
          <w:sz w:val="27"/>
          <w:rtl/>
          <w:lang w:bidi="ar-EG"/>
        </w:rPr>
        <w:t>ن</w:t>
      </w:r>
      <w:r w:rsidR="0008532C" w:rsidRPr="00282AC9">
        <w:rPr>
          <w:rFonts w:hint="cs"/>
          <w:sz w:val="27"/>
          <w:rtl/>
          <w:lang w:bidi="ar-EG"/>
        </w:rPr>
        <w:t>ْ</w:t>
      </w:r>
      <w:r w:rsidRPr="00282AC9">
        <w:rPr>
          <w:rFonts w:hint="cs"/>
          <w:sz w:val="27"/>
          <w:rtl/>
          <w:lang w:bidi="ar-EG"/>
        </w:rPr>
        <w:t xml:space="preserve"> يرى في المنام الخضرة يصوّ</w:t>
      </w:r>
      <w:r w:rsidR="0008532C" w:rsidRPr="00282AC9">
        <w:rPr>
          <w:rFonts w:hint="cs"/>
          <w:sz w:val="27"/>
          <w:rtl/>
          <w:lang w:bidi="ar-EG"/>
        </w:rPr>
        <w:t>ِ</w:t>
      </w:r>
      <w:r w:rsidRPr="00282AC9">
        <w:rPr>
          <w:rFonts w:hint="cs"/>
          <w:sz w:val="27"/>
          <w:rtl/>
          <w:lang w:bidi="ar-EG"/>
        </w:rPr>
        <w:t>رها بالحب</w:t>
      </w:r>
      <w:r w:rsidR="0008532C" w:rsidRPr="00282AC9">
        <w:rPr>
          <w:rFonts w:hint="cs"/>
          <w:sz w:val="27"/>
          <w:rtl/>
          <w:lang w:bidi="ar-EG"/>
        </w:rPr>
        <w:t>ّ</w:t>
      </w:r>
      <w:r w:rsidRPr="00282AC9">
        <w:rPr>
          <w:rFonts w:hint="cs"/>
          <w:sz w:val="27"/>
          <w:rtl/>
          <w:lang w:bidi="ar-EG"/>
        </w:rPr>
        <w:t>، ومن يرى الحي</w:t>
      </w:r>
      <w:r w:rsidR="0008532C" w:rsidRPr="00282AC9">
        <w:rPr>
          <w:rFonts w:hint="cs"/>
          <w:sz w:val="27"/>
          <w:rtl/>
          <w:lang w:bidi="ar-EG"/>
        </w:rPr>
        <w:t>ّ</w:t>
      </w:r>
      <w:r w:rsidRPr="00282AC9">
        <w:rPr>
          <w:rFonts w:hint="cs"/>
          <w:sz w:val="27"/>
          <w:rtl/>
          <w:lang w:bidi="ar-EG"/>
        </w:rPr>
        <w:t>ة يصوّ</w:t>
      </w:r>
      <w:r w:rsidR="0008532C" w:rsidRPr="00282AC9">
        <w:rPr>
          <w:rFonts w:hint="cs"/>
          <w:sz w:val="27"/>
          <w:rtl/>
          <w:lang w:bidi="ar-EG"/>
        </w:rPr>
        <w:t>ِ</w:t>
      </w:r>
      <w:r w:rsidRPr="00282AC9">
        <w:rPr>
          <w:rFonts w:hint="cs"/>
          <w:sz w:val="27"/>
          <w:rtl/>
          <w:lang w:bidi="ar-EG"/>
        </w:rPr>
        <w:t>رها بالعداوة، وم</w:t>
      </w:r>
      <w:r w:rsidR="0008532C" w:rsidRPr="00282AC9">
        <w:rPr>
          <w:rFonts w:hint="cs"/>
          <w:sz w:val="27"/>
          <w:rtl/>
          <w:lang w:bidi="ar-EG"/>
        </w:rPr>
        <w:t>َ</w:t>
      </w:r>
      <w:r w:rsidRPr="00282AC9">
        <w:rPr>
          <w:rFonts w:hint="cs"/>
          <w:sz w:val="27"/>
          <w:rtl/>
          <w:lang w:bidi="ar-EG"/>
        </w:rPr>
        <w:t>ن</w:t>
      </w:r>
      <w:r w:rsidR="0008532C" w:rsidRPr="00282AC9">
        <w:rPr>
          <w:rFonts w:hint="cs"/>
          <w:sz w:val="27"/>
          <w:rtl/>
          <w:lang w:bidi="ar-EG"/>
        </w:rPr>
        <w:t>ْ</w:t>
      </w:r>
      <w:r w:rsidRPr="00282AC9">
        <w:rPr>
          <w:rFonts w:hint="cs"/>
          <w:sz w:val="27"/>
          <w:rtl/>
          <w:lang w:bidi="ar-EG"/>
        </w:rPr>
        <w:t xml:space="preserve"> رأى سبع بقرات عجاف يصوّ</w:t>
      </w:r>
      <w:r w:rsidR="0008532C" w:rsidRPr="00282AC9">
        <w:rPr>
          <w:rFonts w:hint="cs"/>
          <w:sz w:val="27"/>
          <w:rtl/>
          <w:lang w:bidi="ar-EG"/>
        </w:rPr>
        <w:t>ِ</w:t>
      </w:r>
      <w:r w:rsidRPr="00282AC9">
        <w:rPr>
          <w:rFonts w:hint="cs"/>
          <w:sz w:val="27"/>
          <w:rtl/>
          <w:lang w:bidi="ar-EG"/>
        </w:rPr>
        <w:t>رها بسبع سنوات القحط</w:t>
      </w:r>
      <w:r w:rsidR="0008532C" w:rsidRPr="00282AC9">
        <w:rPr>
          <w:rFonts w:hint="cs"/>
          <w:sz w:val="27"/>
          <w:rtl/>
          <w:lang w:bidi="ar-EG"/>
        </w:rPr>
        <w:t>؛</w:t>
      </w:r>
      <w:r w:rsidRPr="00282AC9">
        <w:rPr>
          <w:rFonts w:hint="cs"/>
          <w:sz w:val="27"/>
          <w:rtl/>
          <w:lang w:bidi="ar-EG"/>
        </w:rPr>
        <w:t xml:space="preserve"> وإمّا قو</w:t>
      </w:r>
      <w:r w:rsidR="0008532C" w:rsidRPr="00282AC9">
        <w:rPr>
          <w:rFonts w:hint="cs"/>
          <w:sz w:val="27"/>
          <w:rtl/>
          <w:lang w:bidi="ar-EG"/>
        </w:rPr>
        <w:t>ّ</w:t>
      </w:r>
      <w:r w:rsidRPr="00282AC9">
        <w:rPr>
          <w:rFonts w:hint="cs"/>
          <w:sz w:val="27"/>
          <w:rtl/>
          <w:lang w:bidi="ar-EG"/>
        </w:rPr>
        <w:t>ة ظاهري</w:t>
      </w:r>
      <w:r w:rsidR="0008532C" w:rsidRPr="00282AC9">
        <w:rPr>
          <w:rFonts w:hint="cs"/>
          <w:sz w:val="27"/>
          <w:rtl/>
          <w:lang w:bidi="ar-EG"/>
        </w:rPr>
        <w:t>ّ</w:t>
      </w:r>
      <w:r w:rsidRPr="00282AC9">
        <w:rPr>
          <w:rFonts w:hint="cs"/>
          <w:sz w:val="27"/>
          <w:rtl/>
          <w:lang w:bidi="ar-EG"/>
        </w:rPr>
        <w:t>ة</w:t>
      </w:r>
      <w:r w:rsidR="0008532C" w:rsidRPr="00282AC9">
        <w:rPr>
          <w:rFonts w:hint="cs"/>
          <w:sz w:val="27"/>
          <w:rtl/>
          <w:lang w:bidi="ar-EG"/>
        </w:rPr>
        <w:t>،</w:t>
      </w:r>
      <w:r w:rsidRPr="00282AC9">
        <w:rPr>
          <w:rFonts w:hint="cs"/>
          <w:sz w:val="27"/>
          <w:rtl/>
          <w:lang w:bidi="ar-EG"/>
        </w:rPr>
        <w:t xml:space="preserve"> مثل</w:t>
      </w:r>
      <w:r w:rsidR="0008532C" w:rsidRPr="00282AC9">
        <w:rPr>
          <w:rFonts w:hint="cs"/>
          <w:sz w:val="27"/>
          <w:rtl/>
          <w:lang w:bidi="ar-EG"/>
        </w:rPr>
        <w:t>:</w:t>
      </w:r>
      <w:r w:rsidRPr="00282AC9">
        <w:rPr>
          <w:rFonts w:hint="cs"/>
          <w:sz w:val="27"/>
          <w:rtl/>
          <w:lang w:bidi="ar-EG"/>
        </w:rPr>
        <w:t xml:space="preserve"> الحواس</w:t>
      </w:r>
      <w:r w:rsidR="0008532C" w:rsidRPr="00282AC9">
        <w:rPr>
          <w:rFonts w:hint="cs"/>
          <w:sz w:val="27"/>
          <w:rtl/>
          <w:lang w:bidi="ar-EG"/>
        </w:rPr>
        <w:t>ّ</w:t>
      </w:r>
      <w:r w:rsidRPr="00282AC9">
        <w:rPr>
          <w:rFonts w:hint="cs"/>
          <w:sz w:val="27"/>
          <w:rtl/>
          <w:lang w:bidi="ar-EG"/>
        </w:rPr>
        <w:t xml:space="preserve"> الخمسة، وكمالها بقو</w:t>
      </w:r>
      <w:r w:rsidR="0008532C" w:rsidRPr="00282AC9">
        <w:rPr>
          <w:rFonts w:hint="cs"/>
          <w:sz w:val="27"/>
          <w:rtl/>
          <w:lang w:bidi="ar-EG"/>
        </w:rPr>
        <w:t>ّ</w:t>
      </w:r>
      <w:r w:rsidRPr="00282AC9">
        <w:rPr>
          <w:rFonts w:hint="cs"/>
          <w:sz w:val="27"/>
          <w:rtl/>
          <w:lang w:bidi="ar-EG"/>
        </w:rPr>
        <w:t>ة ال</w:t>
      </w:r>
      <w:r w:rsidR="0008532C" w:rsidRPr="00282AC9">
        <w:rPr>
          <w:rFonts w:hint="cs"/>
          <w:sz w:val="27"/>
          <w:rtl/>
          <w:lang w:bidi="ar-EG"/>
        </w:rPr>
        <w:t>إ</w:t>
      </w:r>
      <w:r w:rsidRPr="00282AC9">
        <w:rPr>
          <w:rFonts w:hint="cs"/>
          <w:sz w:val="27"/>
          <w:rtl/>
          <w:lang w:bidi="ar-EG"/>
        </w:rPr>
        <w:t>حساس، بحيث تحسّ بعض الأشياء التي لا يحسّها الإنسان العادي، كما ر</w:t>
      </w:r>
      <w:r w:rsidR="0008532C" w:rsidRPr="00282AC9">
        <w:rPr>
          <w:rFonts w:hint="cs"/>
          <w:sz w:val="27"/>
          <w:rtl/>
          <w:lang w:bidi="ar-EG"/>
        </w:rPr>
        <w:t>ُ</w:t>
      </w:r>
      <w:r w:rsidRPr="00282AC9">
        <w:rPr>
          <w:rFonts w:hint="cs"/>
          <w:sz w:val="27"/>
          <w:rtl/>
          <w:lang w:bidi="ar-EG"/>
        </w:rPr>
        <w:t>وي عن النبي</w:t>
      </w:r>
      <w:r w:rsidR="0008532C" w:rsidRPr="00282AC9">
        <w:rPr>
          <w:rFonts w:hint="cs"/>
          <w:sz w:val="27"/>
          <w:rtl/>
          <w:lang w:bidi="ar-EG"/>
        </w:rPr>
        <w:t>ّ</w:t>
      </w:r>
      <w:r w:rsidR="009A2A04" w:rsidRPr="00282AC9">
        <w:rPr>
          <w:rFonts w:cs="Mosawi" w:hint="cs"/>
          <w:sz w:val="22"/>
          <w:szCs w:val="22"/>
          <w:rtl/>
          <w:lang w:bidi="ar-EG"/>
        </w:rPr>
        <w:t>|</w:t>
      </w:r>
      <w:r w:rsidRPr="00282AC9">
        <w:rPr>
          <w:rFonts w:hint="cs"/>
          <w:sz w:val="27"/>
          <w:rtl/>
          <w:lang w:bidi="ar-EG"/>
        </w:rPr>
        <w:t xml:space="preserve">: </w:t>
      </w:r>
      <w:r w:rsidR="0008532C" w:rsidRPr="00282AC9">
        <w:rPr>
          <w:rFonts w:hint="eastAsia"/>
          <w:sz w:val="24"/>
          <w:szCs w:val="24"/>
          <w:rtl/>
        </w:rPr>
        <w:t>«</w:t>
      </w:r>
      <w:r w:rsidRPr="00282AC9">
        <w:rPr>
          <w:rFonts w:hint="cs"/>
          <w:sz w:val="27"/>
          <w:rtl/>
          <w:lang w:bidi="ar-EG"/>
        </w:rPr>
        <w:t>إنّي لأجد نفس الرحمن من ق</w:t>
      </w:r>
      <w:r w:rsidR="0008532C" w:rsidRPr="00282AC9">
        <w:rPr>
          <w:rFonts w:hint="cs"/>
          <w:sz w:val="27"/>
          <w:rtl/>
          <w:lang w:bidi="ar-EG"/>
        </w:rPr>
        <w:t>ِ</w:t>
      </w:r>
      <w:r w:rsidRPr="00282AC9">
        <w:rPr>
          <w:rFonts w:hint="cs"/>
          <w:sz w:val="27"/>
          <w:rtl/>
          <w:lang w:bidi="ar-EG"/>
        </w:rPr>
        <w:t>ب</w:t>
      </w:r>
      <w:r w:rsidR="0008532C" w:rsidRPr="00282AC9">
        <w:rPr>
          <w:rFonts w:hint="cs"/>
          <w:sz w:val="27"/>
          <w:rtl/>
          <w:lang w:bidi="ar-EG"/>
        </w:rPr>
        <w:t>َ</w:t>
      </w:r>
      <w:r w:rsidRPr="00282AC9">
        <w:rPr>
          <w:rFonts w:hint="cs"/>
          <w:sz w:val="27"/>
          <w:rtl/>
          <w:lang w:bidi="ar-EG"/>
        </w:rPr>
        <w:t>ل اليمن</w:t>
      </w:r>
      <w:r w:rsidR="0008532C" w:rsidRPr="00282AC9">
        <w:rPr>
          <w:rFonts w:hint="eastAsia"/>
          <w:sz w:val="24"/>
          <w:szCs w:val="24"/>
          <w:rtl/>
        </w:rPr>
        <w:t>»</w:t>
      </w:r>
      <w:r w:rsidRPr="00282AC9">
        <w:rPr>
          <w:sz w:val="27"/>
          <w:vertAlign w:val="superscript"/>
          <w:rtl/>
          <w:lang w:bidi="ar-EG"/>
        </w:rPr>
        <w:t>(</w:t>
      </w:r>
      <w:r w:rsidRPr="00282AC9">
        <w:rPr>
          <w:rStyle w:val="af9"/>
          <w:sz w:val="27"/>
          <w:rtl/>
          <w:lang w:bidi="ar-EG"/>
        </w:rPr>
        <w:endnoteReference w:id="687"/>
      </w:r>
      <w:r w:rsidRPr="00282AC9">
        <w:rPr>
          <w:sz w:val="27"/>
          <w:vertAlign w:val="superscript"/>
          <w:rtl/>
          <w:lang w:bidi="ar-EG"/>
        </w:rPr>
        <w:t>)</w:t>
      </w:r>
      <w:r w:rsidR="0008532C" w:rsidRPr="00282AC9">
        <w:rPr>
          <w:rFonts w:hint="cs"/>
          <w:sz w:val="27"/>
          <w:rtl/>
          <w:lang w:bidi="ar-EG"/>
        </w:rPr>
        <w:t>، و</w:t>
      </w:r>
      <w:r w:rsidR="0008532C" w:rsidRPr="00282AC9">
        <w:rPr>
          <w:rFonts w:hint="eastAsia"/>
          <w:sz w:val="24"/>
          <w:szCs w:val="24"/>
          <w:rtl/>
        </w:rPr>
        <w:t>«</w:t>
      </w:r>
      <w:r w:rsidRPr="00282AC9">
        <w:rPr>
          <w:rFonts w:hint="cs"/>
          <w:sz w:val="27"/>
          <w:rtl/>
          <w:lang w:bidi="ar-EG"/>
        </w:rPr>
        <w:t>زُويت لي الأرض، فأ</w:t>
      </w:r>
      <w:r w:rsidR="0008532C" w:rsidRPr="00282AC9">
        <w:rPr>
          <w:rFonts w:hint="cs"/>
          <w:sz w:val="27"/>
          <w:rtl/>
          <w:lang w:bidi="ar-EG"/>
        </w:rPr>
        <w:t>ُ</w:t>
      </w:r>
      <w:r w:rsidRPr="00282AC9">
        <w:rPr>
          <w:rFonts w:hint="cs"/>
          <w:sz w:val="27"/>
          <w:rtl/>
          <w:lang w:bidi="ar-EG"/>
        </w:rPr>
        <w:t>ر</w:t>
      </w:r>
      <w:r w:rsidR="0008532C" w:rsidRPr="00282AC9">
        <w:rPr>
          <w:rFonts w:hint="cs"/>
          <w:sz w:val="27"/>
          <w:rtl/>
          <w:lang w:bidi="ar-EG"/>
        </w:rPr>
        <w:t>ِ</w:t>
      </w:r>
      <w:r w:rsidRPr="00282AC9">
        <w:rPr>
          <w:rFonts w:hint="cs"/>
          <w:sz w:val="27"/>
          <w:rtl/>
          <w:lang w:bidi="ar-EG"/>
        </w:rPr>
        <w:t>يت</w:t>
      </w:r>
      <w:r w:rsidR="0008532C" w:rsidRPr="00282AC9">
        <w:rPr>
          <w:rFonts w:hint="cs"/>
          <w:sz w:val="27"/>
          <w:rtl/>
          <w:lang w:bidi="ar-EG"/>
        </w:rPr>
        <w:t>ُ</w:t>
      </w:r>
      <w:r w:rsidRPr="00282AC9">
        <w:rPr>
          <w:rFonts w:hint="cs"/>
          <w:sz w:val="27"/>
          <w:rtl/>
          <w:lang w:bidi="ar-EG"/>
        </w:rPr>
        <w:t xml:space="preserve"> مشارقها ومغاربها، وسيبلغ م</w:t>
      </w:r>
      <w:r w:rsidR="0008532C" w:rsidRPr="00282AC9">
        <w:rPr>
          <w:rFonts w:hint="cs"/>
          <w:sz w:val="27"/>
          <w:rtl/>
          <w:lang w:bidi="ar-EG"/>
        </w:rPr>
        <w:t>ُ</w:t>
      </w:r>
      <w:r w:rsidRPr="00282AC9">
        <w:rPr>
          <w:rFonts w:hint="cs"/>
          <w:sz w:val="27"/>
          <w:rtl/>
          <w:lang w:bidi="ar-EG"/>
        </w:rPr>
        <w:t>ل</w:t>
      </w:r>
      <w:r w:rsidR="0008532C" w:rsidRPr="00282AC9">
        <w:rPr>
          <w:rFonts w:hint="cs"/>
          <w:sz w:val="27"/>
          <w:rtl/>
          <w:lang w:bidi="ar-EG"/>
        </w:rPr>
        <w:t>ْ</w:t>
      </w:r>
      <w:r w:rsidRPr="00282AC9">
        <w:rPr>
          <w:rFonts w:hint="cs"/>
          <w:sz w:val="27"/>
          <w:rtl/>
          <w:lang w:bidi="ar-EG"/>
        </w:rPr>
        <w:t>ك</w:t>
      </w:r>
      <w:r w:rsidR="0008532C" w:rsidRPr="00282AC9">
        <w:rPr>
          <w:rFonts w:hint="cs"/>
          <w:sz w:val="27"/>
          <w:rtl/>
          <w:lang w:bidi="ar-EG"/>
        </w:rPr>
        <w:t>ُ</w:t>
      </w:r>
      <w:r w:rsidRPr="00282AC9">
        <w:rPr>
          <w:rFonts w:hint="cs"/>
          <w:sz w:val="27"/>
          <w:rtl/>
          <w:lang w:bidi="ar-EG"/>
        </w:rPr>
        <w:t xml:space="preserve"> أم</w:t>
      </w:r>
      <w:r w:rsidR="0008532C" w:rsidRPr="00282AC9">
        <w:rPr>
          <w:rFonts w:hint="cs"/>
          <w:sz w:val="27"/>
          <w:rtl/>
          <w:lang w:bidi="ar-EG"/>
        </w:rPr>
        <w:t>ّ</w:t>
      </w:r>
      <w:r w:rsidRPr="00282AC9">
        <w:rPr>
          <w:rFonts w:hint="cs"/>
          <w:sz w:val="27"/>
          <w:rtl/>
          <w:lang w:bidi="ar-EG"/>
        </w:rPr>
        <w:t>تي ما ز</w:t>
      </w:r>
      <w:r w:rsidR="0008532C" w:rsidRPr="00282AC9">
        <w:rPr>
          <w:rFonts w:hint="cs"/>
          <w:sz w:val="27"/>
          <w:rtl/>
          <w:lang w:bidi="ar-EG"/>
        </w:rPr>
        <w:t>ُ</w:t>
      </w:r>
      <w:r w:rsidRPr="00282AC9">
        <w:rPr>
          <w:rFonts w:hint="cs"/>
          <w:sz w:val="27"/>
          <w:rtl/>
          <w:lang w:bidi="ar-EG"/>
        </w:rPr>
        <w:t>وي لي منها</w:t>
      </w:r>
      <w:r w:rsidR="0008532C" w:rsidRPr="00282AC9">
        <w:rPr>
          <w:rFonts w:hint="eastAsia"/>
          <w:sz w:val="24"/>
          <w:szCs w:val="24"/>
          <w:rtl/>
        </w:rPr>
        <w:t>»</w:t>
      </w:r>
      <w:r w:rsidRPr="00282AC9">
        <w:rPr>
          <w:sz w:val="27"/>
          <w:vertAlign w:val="superscript"/>
          <w:rtl/>
          <w:lang w:bidi="ar-EG"/>
        </w:rPr>
        <w:t>(</w:t>
      </w:r>
      <w:r w:rsidRPr="00282AC9">
        <w:rPr>
          <w:rStyle w:val="af9"/>
          <w:sz w:val="27"/>
          <w:rtl/>
          <w:lang w:bidi="ar-EG"/>
        </w:rPr>
        <w:endnoteReference w:id="688"/>
      </w:r>
      <w:r w:rsidRPr="00282AC9">
        <w:rPr>
          <w:sz w:val="27"/>
          <w:vertAlign w:val="superscript"/>
          <w:rtl/>
          <w:lang w:bidi="ar-EG"/>
        </w:rPr>
        <w:t>)</w:t>
      </w:r>
      <w:r w:rsidR="0008532C" w:rsidRPr="00282AC9">
        <w:rPr>
          <w:rFonts w:hint="cs"/>
          <w:sz w:val="27"/>
          <w:rtl/>
          <w:lang w:bidi="ar-EG"/>
        </w:rPr>
        <w:t>؛</w:t>
      </w:r>
      <w:r w:rsidRPr="00282AC9">
        <w:rPr>
          <w:rFonts w:hint="cs"/>
          <w:sz w:val="27"/>
          <w:rtl/>
          <w:lang w:bidi="ar-EG"/>
        </w:rPr>
        <w:t xml:space="preserve"> وكما قال النبيّ يعقوب</w:t>
      </w:r>
      <w:r w:rsidR="009A2A04" w:rsidRPr="00282AC9">
        <w:rPr>
          <w:rFonts w:cs="Mosawi" w:hint="cs"/>
          <w:sz w:val="22"/>
          <w:szCs w:val="22"/>
          <w:rtl/>
          <w:lang w:bidi="ar-EG"/>
        </w:rPr>
        <w:t>×</w:t>
      </w:r>
      <w:r w:rsidRPr="00282AC9">
        <w:rPr>
          <w:rFonts w:hint="cs"/>
          <w:sz w:val="27"/>
          <w:rtl/>
          <w:lang w:bidi="ar-EG"/>
        </w:rPr>
        <w:t xml:space="preserve">: </w:t>
      </w:r>
      <w:r w:rsidR="0008532C" w:rsidRPr="00282AC9">
        <w:rPr>
          <w:rFonts w:ascii="Mosawi" w:hAnsi="Mosawi" w:cs="Mosawi"/>
          <w:sz w:val="24"/>
          <w:szCs w:val="24"/>
          <w:rtl/>
        </w:rPr>
        <w:t>﴿</w:t>
      </w:r>
      <w:r w:rsidRPr="00282AC9">
        <w:rPr>
          <w:rFonts w:hint="cs"/>
          <w:b/>
          <w:bCs/>
          <w:sz w:val="27"/>
          <w:rtl/>
          <w:lang w:bidi="ar-EG"/>
        </w:rPr>
        <w:t>إ</w:t>
      </w:r>
      <w:r w:rsidR="0008532C" w:rsidRPr="00282AC9">
        <w:rPr>
          <w:rFonts w:hint="cs"/>
          <w:b/>
          <w:bCs/>
          <w:sz w:val="27"/>
          <w:rtl/>
          <w:lang w:bidi="ar-EG"/>
        </w:rPr>
        <w:t>ِ</w:t>
      </w:r>
      <w:r w:rsidRPr="00282AC9">
        <w:rPr>
          <w:rFonts w:hint="cs"/>
          <w:b/>
          <w:bCs/>
          <w:sz w:val="27"/>
          <w:rtl/>
          <w:lang w:bidi="ar-EG"/>
        </w:rPr>
        <w:t>نّ</w:t>
      </w:r>
      <w:r w:rsidR="0008532C" w:rsidRPr="00282AC9">
        <w:rPr>
          <w:rFonts w:hint="cs"/>
          <w:b/>
          <w:bCs/>
          <w:sz w:val="27"/>
          <w:rtl/>
          <w:lang w:bidi="ar-EG"/>
        </w:rPr>
        <w:t>ِ</w:t>
      </w:r>
      <w:r w:rsidRPr="00282AC9">
        <w:rPr>
          <w:rFonts w:hint="cs"/>
          <w:b/>
          <w:bCs/>
          <w:sz w:val="27"/>
          <w:rtl/>
          <w:lang w:bidi="ar-EG"/>
        </w:rPr>
        <w:t>ي لأ</w:t>
      </w:r>
      <w:r w:rsidR="0008532C" w:rsidRPr="00282AC9">
        <w:rPr>
          <w:rFonts w:hint="cs"/>
          <w:b/>
          <w:bCs/>
          <w:sz w:val="27"/>
          <w:rtl/>
          <w:lang w:bidi="ar-EG"/>
        </w:rPr>
        <w:t>َ</w:t>
      </w:r>
      <w:r w:rsidRPr="00282AC9">
        <w:rPr>
          <w:rFonts w:hint="cs"/>
          <w:b/>
          <w:bCs/>
          <w:sz w:val="27"/>
          <w:rtl/>
          <w:lang w:bidi="ar-EG"/>
        </w:rPr>
        <w:t>ج</w:t>
      </w:r>
      <w:r w:rsidR="0008532C" w:rsidRPr="00282AC9">
        <w:rPr>
          <w:rFonts w:hint="cs"/>
          <w:b/>
          <w:bCs/>
          <w:sz w:val="27"/>
          <w:rtl/>
          <w:lang w:bidi="ar-EG"/>
        </w:rPr>
        <w:t>ِ</w:t>
      </w:r>
      <w:r w:rsidRPr="00282AC9">
        <w:rPr>
          <w:rFonts w:hint="cs"/>
          <w:b/>
          <w:bCs/>
          <w:sz w:val="27"/>
          <w:rtl/>
          <w:lang w:bidi="ar-EG"/>
        </w:rPr>
        <w:t>د</w:t>
      </w:r>
      <w:r w:rsidR="0008532C" w:rsidRPr="00282AC9">
        <w:rPr>
          <w:rFonts w:hint="cs"/>
          <w:b/>
          <w:bCs/>
          <w:sz w:val="27"/>
          <w:rtl/>
          <w:lang w:bidi="ar-EG"/>
        </w:rPr>
        <w:t>ُ</w:t>
      </w:r>
      <w:r w:rsidRPr="00282AC9">
        <w:rPr>
          <w:rFonts w:hint="cs"/>
          <w:b/>
          <w:bCs/>
          <w:sz w:val="27"/>
          <w:rtl/>
          <w:lang w:bidi="ar-EG"/>
        </w:rPr>
        <w:t xml:space="preserve"> ر</w:t>
      </w:r>
      <w:r w:rsidR="0008532C" w:rsidRPr="00282AC9">
        <w:rPr>
          <w:rFonts w:hint="cs"/>
          <w:b/>
          <w:bCs/>
          <w:sz w:val="27"/>
          <w:rtl/>
          <w:lang w:bidi="ar-EG"/>
        </w:rPr>
        <w:t>ِ</w:t>
      </w:r>
      <w:r w:rsidRPr="00282AC9">
        <w:rPr>
          <w:rFonts w:hint="cs"/>
          <w:b/>
          <w:bCs/>
          <w:sz w:val="27"/>
          <w:rtl/>
          <w:lang w:bidi="ar-EG"/>
        </w:rPr>
        <w:t>يح</w:t>
      </w:r>
      <w:r w:rsidR="0008532C" w:rsidRPr="00282AC9">
        <w:rPr>
          <w:rFonts w:hint="cs"/>
          <w:b/>
          <w:bCs/>
          <w:sz w:val="27"/>
          <w:rtl/>
          <w:lang w:bidi="ar-EG"/>
        </w:rPr>
        <w:t>َ</w:t>
      </w:r>
      <w:r w:rsidRPr="00282AC9">
        <w:rPr>
          <w:rFonts w:hint="cs"/>
          <w:b/>
          <w:bCs/>
          <w:sz w:val="27"/>
          <w:rtl/>
          <w:lang w:bidi="ar-EG"/>
        </w:rPr>
        <w:t xml:space="preserve"> ي</w:t>
      </w:r>
      <w:r w:rsidR="0008532C" w:rsidRPr="00282AC9">
        <w:rPr>
          <w:rFonts w:hint="cs"/>
          <w:b/>
          <w:bCs/>
          <w:sz w:val="27"/>
          <w:rtl/>
          <w:lang w:bidi="ar-EG"/>
        </w:rPr>
        <w:t>ُ</w:t>
      </w:r>
      <w:r w:rsidRPr="00282AC9">
        <w:rPr>
          <w:rFonts w:hint="cs"/>
          <w:b/>
          <w:bCs/>
          <w:sz w:val="27"/>
          <w:rtl/>
          <w:lang w:bidi="ar-EG"/>
        </w:rPr>
        <w:t>وس</w:t>
      </w:r>
      <w:r w:rsidR="0008532C" w:rsidRPr="00282AC9">
        <w:rPr>
          <w:rFonts w:hint="cs"/>
          <w:b/>
          <w:bCs/>
          <w:sz w:val="27"/>
          <w:rtl/>
          <w:lang w:bidi="ar-EG"/>
        </w:rPr>
        <w:t>ُ</w:t>
      </w:r>
      <w:r w:rsidRPr="00282AC9">
        <w:rPr>
          <w:rFonts w:hint="cs"/>
          <w:b/>
          <w:bCs/>
          <w:sz w:val="27"/>
          <w:rtl/>
          <w:lang w:bidi="ar-EG"/>
        </w:rPr>
        <w:t>ف</w:t>
      </w:r>
      <w:r w:rsidR="0008532C" w:rsidRPr="00282AC9">
        <w:rPr>
          <w:rFonts w:hint="cs"/>
          <w:b/>
          <w:bCs/>
          <w:sz w:val="27"/>
          <w:rtl/>
          <w:lang w:bidi="ar-EG"/>
        </w:rPr>
        <w:t>َ</w:t>
      </w:r>
      <w:r w:rsidRPr="00282AC9">
        <w:rPr>
          <w:rFonts w:hint="cs"/>
          <w:b/>
          <w:bCs/>
          <w:sz w:val="27"/>
          <w:rtl/>
          <w:lang w:bidi="ar-EG"/>
        </w:rPr>
        <w:t xml:space="preserve"> ل</w:t>
      </w:r>
      <w:r w:rsidR="0008532C" w:rsidRPr="00282AC9">
        <w:rPr>
          <w:rFonts w:hint="cs"/>
          <w:b/>
          <w:bCs/>
          <w:sz w:val="27"/>
          <w:rtl/>
          <w:lang w:bidi="ar-EG"/>
        </w:rPr>
        <w:t>َ</w:t>
      </w:r>
      <w:r w:rsidRPr="00282AC9">
        <w:rPr>
          <w:rFonts w:hint="cs"/>
          <w:b/>
          <w:bCs/>
          <w:sz w:val="27"/>
          <w:rtl/>
          <w:lang w:bidi="ar-EG"/>
        </w:rPr>
        <w:t>و</w:t>
      </w:r>
      <w:r w:rsidR="0008532C" w:rsidRPr="00282AC9">
        <w:rPr>
          <w:rFonts w:hint="cs"/>
          <w:b/>
          <w:bCs/>
          <w:sz w:val="27"/>
          <w:rtl/>
          <w:lang w:bidi="ar-EG"/>
        </w:rPr>
        <w:t>ْ</w:t>
      </w:r>
      <w:r w:rsidRPr="00282AC9">
        <w:rPr>
          <w:rFonts w:hint="cs"/>
          <w:b/>
          <w:bCs/>
          <w:sz w:val="27"/>
          <w:rtl/>
          <w:lang w:bidi="ar-EG"/>
        </w:rPr>
        <w:t>لا</w:t>
      </w:r>
      <w:r w:rsidR="0008532C" w:rsidRPr="00282AC9">
        <w:rPr>
          <w:rFonts w:hint="cs"/>
          <w:b/>
          <w:bCs/>
          <w:sz w:val="27"/>
          <w:rtl/>
          <w:lang w:bidi="ar-EG"/>
        </w:rPr>
        <w:t>َ</w:t>
      </w:r>
      <w:r w:rsidRPr="00282AC9">
        <w:rPr>
          <w:rFonts w:hint="cs"/>
          <w:b/>
          <w:bCs/>
          <w:sz w:val="27"/>
          <w:rtl/>
          <w:lang w:bidi="ar-EG"/>
        </w:rPr>
        <w:t xml:space="preserve"> أ</w:t>
      </w:r>
      <w:r w:rsidR="0008532C" w:rsidRPr="00282AC9">
        <w:rPr>
          <w:rFonts w:hint="cs"/>
          <w:b/>
          <w:bCs/>
          <w:sz w:val="27"/>
          <w:rtl/>
          <w:lang w:bidi="ar-EG"/>
        </w:rPr>
        <w:t>َ</w:t>
      </w:r>
      <w:r w:rsidRPr="00282AC9">
        <w:rPr>
          <w:rFonts w:hint="cs"/>
          <w:b/>
          <w:bCs/>
          <w:sz w:val="27"/>
          <w:rtl/>
          <w:lang w:bidi="ar-EG"/>
        </w:rPr>
        <w:t>ن</w:t>
      </w:r>
      <w:r w:rsidR="0008532C" w:rsidRPr="00282AC9">
        <w:rPr>
          <w:rFonts w:hint="cs"/>
          <w:b/>
          <w:bCs/>
          <w:sz w:val="27"/>
          <w:rtl/>
          <w:lang w:bidi="ar-EG"/>
        </w:rPr>
        <w:t>ْ</w:t>
      </w:r>
      <w:r w:rsidRPr="00282AC9">
        <w:rPr>
          <w:rFonts w:hint="cs"/>
          <w:b/>
          <w:bCs/>
          <w:sz w:val="27"/>
          <w:rtl/>
          <w:lang w:bidi="ar-EG"/>
        </w:rPr>
        <w:t xml:space="preserve"> ت</w:t>
      </w:r>
      <w:r w:rsidR="0008532C" w:rsidRPr="00282AC9">
        <w:rPr>
          <w:rFonts w:hint="cs"/>
          <w:b/>
          <w:bCs/>
          <w:sz w:val="27"/>
          <w:rtl/>
          <w:lang w:bidi="ar-EG"/>
        </w:rPr>
        <w:t>ُ</w:t>
      </w:r>
      <w:r w:rsidRPr="00282AC9">
        <w:rPr>
          <w:rFonts w:hint="cs"/>
          <w:b/>
          <w:bCs/>
          <w:sz w:val="27"/>
          <w:rtl/>
          <w:lang w:bidi="ar-EG"/>
        </w:rPr>
        <w:t>ف</w:t>
      </w:r>
      <w:r w:rsidR="0008532C" w:rsidRPr="00282AC9">
        <w:rPr>
          <w:rFonts w:hint="cs"/>
          <w:b/>
          <w:bCs/>
          <w:sz w:val="27"/>
          <w:rtl/>
          <w:lang w:bidi="ar-EG"/>
        </w:rPr>
        <w:t>َ</w:t>
      </w:r>
      <w:r w:rsidRPr="00282AC9">
        <w:rPr>
          <w:rFonts w:hint="cs"/>
          <w:b/>
          <w:bCs/>
          <w:sz w:val="27"/>
          <w:rtl/>
          <w:lang w:bidi="ar-EG"/>
        </w:rPr>
        <w:t>نّ</w:t>
      </w:r>
      <w:r w:rsidR="0008532C" w:rsidRPr="00282AC9">
        <w:rPr>
          <w:rFonts w:hint="cs"/>
          <w:b/>
          <w:bCs/>
          <w:sz w:val="27"/>
          <w:rtl/>
          <w:lang w:bidi="ar-EG"/>
        </w:rPr>
        <w:t>ِ</w:t>
      </w:r>
      <w:r w:rsidRPr="00282AC9">
        <w:rPr>
          <w:rFonts w:hint="cs"/>
          <w:b/>
          <w:bCs/>
          <w:sz w:val="27"/>
          <w:rtl/>
          <w:lang w:bidi="ar-EG"/>
        </w:rPr>
        <w:t>د</w:t>
      </w:r>
      <w:r w:rsidR="0008532C" w:rsidRPr="00282AC9">
        <w:rPr>
          <w:rFonts w:hint="cs"/>
          <w:b/>
          <w:bCs/>
          <w:sz w:val="27"/>
          <w:rtl/>
          <w:lang w:bidi="ar-EG"/>
        </w:rPr>
        <w:t>ُ</w:t>
      </w:r>
      <w:r w:rsidRPr="00282AC9">
        <w:rPr>
          <w:rFonts w:hint="cs"/>
          <w:b/>
          <w:bCs/>
          <w:sz w:val="27"/>
          <w:rtl/>
          <w:lang w:bidi="ar-EG"/>
        </w:rPr>
        <w:t>ون</w:t>
      </w:r>
      <w:r w:rsidR="0008532C" w:rsidRPr="00282AC9">
        <w:rPr>
          <w:rFonts w:ascii="Mosawi" w:hAnsi="Mosawi" w:cs="Mosawi"/>
          <w:sz w:val="24"/>
          <w:szCs w:val="24"/>
          <w:rtl/>
        </w:rPr>
        <w:t>﴾</w:t>
      </w:r>
      <w:r w:rsidRPr="00282AC9">
        <w:rPr>
          <w:rFonts w:hint="cs"/>
          <w:sz w:val="27"/>
          <w:rtl/>
          <w:lang w:bidi="ar-EG"/>
        </w:rPr>
        <w:t xml:space="preserve"> (يوسف: 94)</w:t>
      </w:r>
      <w:r w:rsidR="0008532C" w:rsidRPr="00282AC9">
        <w:rPr>
          <w:rFonts w:hint="cs"/>
          <w:sz w:val="27"/>
          <w:rtl/>
          <w:lang w:bidi="ar-EG"/>
        </w:rPr>
        <w:t>.</w:t>
      </w:r>
      <w:r w:rsidRPr="00282AC9">
        <w:rPr>
          <w:rFonts w:hint="cs"/>
          <w:sz w:val="27"/>
          <w:rtl/>
          <w:lang w:bidi="ar-EG"/>
        </w:rPr>
        <w:t xml:space="preserve"> والنفوس الق</w:t>
      </w:r>
      <w:r w:rsidR="0008532C" w:rsidRPr="00282AC9">
        <w:rPr>
          <w:rFonts w:hint="cs"/>
          <w:sz w:val="27"/>
          <w:rtl/>
          <w:lang w:bidi="ar-EG"/>
        </w:rPr>
        <w:t>ُ</w:t>
      </w:r>
      <w:r w:rsidRPr="00282AC9">
        <w:rPr>
          <w:rFonts w:hint="cs"/>
          <w:sz w:val="27"/>
          <w:rtl/>
          <w:lang w:bidi="ar-EG"/>
        </w:rPr>
        <w:t>د</w:t>
      </w:r>
      <w:r w:rsidR="0008532C" w:rsidRPr="00282AC9">
        <w:rPr>
          <w:rFonts w:hint="cs"/>
          <w:sz w:val="27"/>
          <w:rtl/>
          <w:lang w:bidi="ar-EG"/>
        </w:rPr>
        <w:t>ْ</w:t>
      </w:r>
      <w:r w:rsidRPr="00282AC9">
        <w:rPr>
          <w:rFonts w:hint="cs"/>
          <w:sz w:val="27"/>
          <w:rtl/>
          <w:lang w:bidi="ar-EG"/>
        </w:rPr>
        <w:t>سية ترى الأشياء المجرّ</w:t>
      </w:r>
      <w:r w:rsidR="0008532C" w:rsidRPr="00282AC9">
        <w:rPr>
          <w:rFonts w:hint="cs"/>
          <w:sz w:val="27"/>
          <w:rtl/>
          <w:lang w:bidi="ar-EG"/>
        </w:rPr>
        <w:t>َ</w:t>
      </w:r>
      <w:r w:rsidRPr="00282AC9">
        <w:rPr>
          <w:rFonts w:hint="cs"/>
          <w:sz w:val="27"/>
          <w:rtl/>
          <w:lang w:bidi="ar-EG"/>
        </w:rPr>
        <w:t>دة، وتسمع كلامهم</w:t>
      </w:r>
      <w:r w:rsidR="0008532C" w:rsidRPr="00282AC9">
        <w:rPr>
          <w:rFonts w:hint="cs"/>
          <w:sz w:val="27"/>
          <w:rtl/>
          <w:lang w:bidi="ar-EG"/>
        </w:rPr>
        <w:t xml:space="preserve">. </w:t>
      </w:r>
      <w:r w:rsidRPr="00282AC9">
        <w:rPr>
          <w:rFonts w:hint="cs"/>
          <w:sz w:val="27"/>
          <w:rtl/>
          <w:lang w:bidi="ar-EG"/>
        </w:rPr>
        <w:t>وهذه الأمور لا يمكن رؤيتها وسماعها للنفوس العادية</w:t>
      </w:r>
      <w:r w:rsidR="0008532C" w:rsidRPr="00282AC9">
        <w:rPr>
          <w:rFonts w:hint="cs"/>
          <w:sz w:val="27"/>
          <w:rtl/>
          <w:lang w:bidi="ar-EG"/>
        </w:rPr>
        <w:t>؛</w:t>
      </w:r>
      <w:r w:rsidRPr="00282AC9">
        <w:rPr>
          <w:rFonts w:hint="cs"/>
          <w:sz w:val="27"/>
          <w:rtl/>
          <w:lang w:bidi="ar-EG"/>
        </w:rPr>
        <w:t xml:space="preserve"> فالوجود الرابطي للعقل المجر</w:t>
      </w:r>
      <w:r w:rsidR="0008532C" w:rsidRPr="00282AC9">
        <w:rPr>
          <w:rFonts w:hint="cs"/>
          <w:sz w:val="27"/>
          <w:rtl/>
          <w:lang w:bidi="ar-EG"/>
        </w:rPr>
        <w:t>ّ</w:t>
      </w:r>
      <w:r w:rsidRPr="00282AC9">
        <w:rPr>
          <w:rFonts w:hint="cs"/>
          <w:sz w:val="27"/>
          <w:rtl/>
          <w:lang w:bidi="ar-EG"/>
        </w:rPr>
        <w:t>د ينزل من الباطن إلى الخيال، ومن الخيال إلى الباصرة، كما أنّ رسول الله</w:t>
      </w:r>
      <w:r w:rsidR="009A2A04" w:rsidRPr="00282AC9">
        <w:rPr>
          <w:rFonts w:cs="Mosawi" w:hint="cs"/>
          <w:sz w:val="22"/>
          <w:szCs w:val="22"/>
          <w:rtl/>
          <w:lang w:bidi="ar-EG"/>
        </w:rPr>
        <w:t>|</w:t>
      </w:r>
      <w:r w:rsidRPr="00282AC9">
        <w:rPr>
          <w:rFonts w:hint="cs"/>
          <w:sz w:val="27"/>
          <w:rtl/>
          <w:lang w:bidi="ar-EG"/>
        </w:rPr>
        <w:t xml:space="preserve"> كان يرى جبرائيل بصورة د</w:t>
      </w:r>
      <w:r w:rsidR="0008532C" w:rsidRPr="00282AC9">
        <w:rPr>
          <w:rFonts w:hint="cs"/>
          <w:sz w:val="27"/>
          <w:rtl/>
          <w:lang w:bidi="ar-EG"/>
        </w:rPr>
        <w:t>ِ</w:t>
      </w:r>
      <w:r w:rsidRPr="00282AC9">
        <w:rPr>
          <w:rFonts w:hint="cs"/>
          <w:sz w:val="27"/>
          <w:rtl/>
          <w:lang w:bidi="ar-EG"/>
        </w:rPr>
        <w:t>ح</w:t>
      </w:r>
      <w:r w:rsidR="0008532C" w:rsidRPr="00282AC9">
        <w:rPr>
          <w:rFonts w:hint="cs"/>
          <w:sz w:val="27"/>
          <w:rtl/>
          <w:lang w:bidi="ar-EG"/>
        </w:rPr>
        <w:t>ْ</w:t>
      </w:r>
      <w:r w:rsidRPr="00282AC9">
        <w:rPr>
          <w:rFonts w:hint="cs"/>
          <w:sz w:val="27"/>
          <w:rtl/>
          <w:lang w:bidi="ar-EG"/>
        </w:rPr>
        <w:t>ي</w:t>
      </w:r>
      <w:r w:rsidR="0008532C" w:rsidRPr="00282AC9">
        <w:rPr>
          <w:rFonts w:hint="cs"/>
          <w:sz w:val="27"/>
          <w:rtl/>
          <w:lang w:bidi="ar-EG"/>
        </w:rPr>
        <w:t>َ</w:t>
      </w:r>
      <w:r w:rsidRPr="00282AC9">
        <w:rPr>
          <w:rFonts w:hint="cs"/>
          <w:sz w:val="27"/>
          <w:rtl/>
          <w:lang w:bidi="ar-EG"/>
        </w:rPr>
        <w:t>ة الكلبي، وكانت مريم</w:t>
      </w:r>
      <w:r w:rsidR="009A2A04" w:rsidRPr="00282AC9">
        <w:rPr>
          <w:rFonts w:cs="Mosawi" w:hint="cs"/>
          <w:sz w:val="22"/>
          <w:szCs w:val="22"/>
          <w:rtl/>
          <w:lang w:bidi="ar-EG"/>
        </w:rPr>
        <w:t>÷</w:t>
      </w:r>
      <w:r w:rsidRPr="00282AC9">
        <w:rPr>
          <w:rFonts w:hint="cs"/>
          <w:sz w:val="27"/>
          <w:rtl/>
          <w:lang w:bidi="ar-EG"/>
        </w:rPr>
        <w:t xml:space="preserve"> ترى جبرائيل بصورة شاب</w:t>
      </w:r>
      <w:r w:rsidR="00A871FC" w:rsidRPr="00282AC9">
        <w:rPr>
          <w:rFonts w:hint="cs"/>
          <w:sz w:val="27"/>
          <w:rtl/>
          <w:lang w:bidi="ar-EG"/>
        </w:rPr>
        <w:t>ٍّ</w:t>
      </w:r>
      <w:r w:rsidRPr="00282AC9">
        <w:rPr>
          <w:rFonts w:hint="cs"/>
          <w:sz w:val="27"/>
          <w:rtl/>
          <w:lang w:bidi="ar-EG"/>
        </w:rPr>
        <w:t xml:space="preserve"> أمرد</w:t>
      </w:r>
      <w:r w:rsidRPr="00282AC9">
        <w:rPr>
          <w:sz w:val="27"/>
          <w:vertAlign w:val="superscript"/>
          <w:rtl/>
          <w:lang w:bidi="ar-EG"/>
        </w:rPr>
        <w:t>(</w:t>
      </w:r>
      <w:r w:rsidRPr="00282AC9">
        <w:rPr>
          <w:rStyle w:val="af9"/>
          <w:sz w:val="27"/>
          <w:rtl/>
          <w:lang w:bidi="ar-EG"/>
        </w:rPr>
        <w:endnoteReference w:id="689"/>
      </w:r>
      <w:r w:rsidRPr="00282AC9">
        <w:rPr>
          <w:sz w:val="27"/>
          <w:vertAlign w:val="superscript"/>
          <w:rtl/>
          <w:lang w:bidi="ar-EG"/>
        </w:rPr>
        <w:t>)</w:t>
      </w:r>
      <w:r w:rsidR="00A871FC" w:rsidRPr="00282AC9">
        <w:rPr>
          <w:rFonts w:hint="cs"/>
          <w:sz w:val="27"/>
          <w:rtl/>
          <w:lang w:bidi="ar-EG"/>
        </w:rPr>
        <w:t>.</w:t>
      </w:r>
    </w:p>
    <w:p w:rsidR="007F6213" w:rsidRPr="00282AC9" w:rsidRDefault="00DA6FB6" w:rsidP="00C57B75">
      <w:pPr>
        <w:rPr>
          <w:sz w:val="27"/>
          <w:rtl/>
          <w:lang w:bidi="ar-EG"/>
        </w:rPr>
      </w:pPr>
      <w:r w:rsidRPr="00282AC9">
        <w:rPr>
          <w:rFonts w:hint="cs"/>
          <w:sz w:val="27"/>
          <w:rtl/>
          <w:lang w:bidi="ar-EG"/>
        </w:rPr>
        <w:t>وأمّا كمال القو</w:t>
      </w:r>
      <w:r w:rsidR="00B572CE" w:rsidRPr="00282AC9">
        <w:rPr>
          <w:rFonts w:hint="cs"/>
          <w:sz w:val="27"/>
          <w:rtl/>
          <w:lang w:bidi="ar-EG"/>
        </w:rPr>
        <w:t>ّ</w:t>
      </w:r>
      <w:r w:rsidRPr="00282AC9">
        <w:rPr>
          <w:rFonts w:hint="cs"/>
          <w:sz w:val="27"/>
          <w:rtl/>
          <w:lang w:bidi="ar-EG"/>
        </w:rPr>
        <w:t xml:space="preserve">ة العمّالة فبأن تكون الهيولى الأولى في عالم الناسوت تحت </w:t>
      </w:r>
      <w:r w:rsidRPr="00282AC9">
        <w:rPr>
          <w:rFonts w:hint="cs"/>
          <w:sz w:val="27"/>
          <w:rtl/>
          <w:lang w:bidi="ar-EG"/>
        </w:rPr>
        <w:lastRenderedPageBreak/>
        <w:t>إرادتهم</w:t>
      </w:r>
      <w:r w:rsidR="00A871FC" w:rsidRPr="00282AC9">
        <w:rPr>
          <w:rFonts w:hint="cs"/>
          <w:sz w:val="27"/>
          <w:rtl/>
          <w:lang w:bidi="ar-EG"/>
        </w:rPr>
        <w:t>،</w:t>
      </w:r>
      <w:r w:rsidRPr="00282AC9">
        <w:rPr>
          <w:rFonts w:hint="cs"/>
          <w:sz w:val="27"/>
          <w:rtl/>
          <w:lang w:bidi="ar-EG"/>
        </w:rPr>
        <w:t xml:space="preserve"> بحيث ينفي صورة</w:t>
      </w:r>
      <w:r w:rsidR="00A871FC" w:rsidRPr="00282AC9">
        <w:rPr>
          <w:rFonts w:hint="cs"/>
          <w:sz w:val="27"/>
          <w:rtl/>
          <w:lang w:bidi="ar-EG"/>
        </w:rPr>
        <w:t>ً</w:t>
      </w:r>
      <w:r w:rsidRPr="00282AC9">
        <w:rPr>
          <w:rFonts w:hint="cs"/>
          <w:sz w:val="27"/>
          <w:rtl/>
          <w:lang w:bidi="ar-EG"/>
        </w:rPr>
        <w:t xml:space="preserve"> منها أو يفيض صورة</w:t>
      </w:r>
      <w:r w:rsidR="00A871FC" w:rsidRPr="00282AC9">
        <w:rPr>
          <w:rFonts w:hint="cs"/>
          <w:sz w:val="27"/>
          <w:rtl/>
          <w:lang w:bidi="ar-EG"/>
        </w:rPr>
        <w:t>ً</w:t>
      </w:r>
      <w:r w:rsidRPr="00282AC9">
        <w:rPr>
          <w:rFonts w:hint="cs"/>
          <w:sz w:val="27"/>
          <w:rtl/>
          <w:lang w:bidi="ar-EG"/>
        </w:rPr>
        <w:t xml:space="preserve"> عليها في مقام إثبات حق</w:t>
      </w:r>
      <w:r w:rsidR="00A871FC" w:rsidRPr="00282AC9">
        <w:rPr>
          <w:rFonts w:hint="cs"/>
          <w:sz w:val="27"/>
          <w:rtl/>
          <w:lang w:bidi="ar-EG"/>
        </w:rPr>
        <w:t>ٍّ،</w:t>
      </w:r>
      <w:r w:rsidRPr="00282AC9">
        <w:rPr>
          <w:rFonts w:hint="cs"/>
          <w:sz w:val="27"/>
          <w:rtl/>
          <w:lang w:bidi="ar-EG"/>
        </w:rPr>
        <w:t xml:space="preserve"> مثل</w:t>
      </w:r>
      <w:r w:rsidR="00A871FC" w:rsidRPr="00282AC9">
        <w:rPr>
          <w:rFonts w:hint="cs"/>
          <w:sz w:val="27"/>
          <w:rtl/>
          <w:lang w:bidi="ar-EG"/>
        </w:rPr>
        <w:t>:</w:t>
      </w:r>
      <w:r w:rsidRPr="00282AC9">
        <w:rPr>
          <w:rFonts w:hint="cs"/>
          <w:sz w:val="27"/>
          <w:rtl/>
          <w:lang w:bidi="ar-EG"/>
        </w:rPr>
        <w:t xml:space="preserve"> المعجزات</w:t>
      </w:r>
      <w:r w:rsidR="00A871FC" w:rsidRPr="00282AC9">
        <w:rPr>
          <w:rFonts w:hint="cs"/>
          <w:sz w:val="27"/>
          <w:rtl/>
          <w:lang w:bidi="ar-EG"/>
        </w:rPr>
        <w:t>؛</w:t>
      </w:r>
      <w:r w:rsidRPr="00282AC9">
        <w:rPr>
          <w:rFonts w:hint="cs"/>
          <w:sz w:val="27"/>
          <w:rtl/>
          <w:lang w:bidi="ar-EG"/>
        </w:rPr>
        <w:t xml:space="preserve"> أو تثبيت موقع في النفوس، وإغاثة الملهوف</w:t>
      </w:r>
      <w:r w:rsidR="00A871FC" w:rsidRPr="00282AC9">
        <w:rPr>
          <w:rFonts w:hint="cs"/>
          <w:sz w:val="27"/>
          <w:rtl/>
          <w:lang w:bidi="ar-EG"/>
        </w:rPr>
        <w:t>،</w:t>
      </w:r>
      <w:r w:rsidRPr="00282AC9">
        <w:rPr>
          <w:rFonts w:hint="cs"/>
          <w:sz w:val="27"/>
          <w:rtl/>
          <w:lang w:bidi="ar-EG"/>
        </w:rPr>
        <w:t xml:space="preserve"> مثل</w:t>
      </w:r>
      <w:r w:rsidR="00A871FC" w:rsidRPr="00282AC9">
        <w:rPr>
          <w:rFonts w:hint="cs"/>
          <w:sz w:val="27"/>
          <w:rtl/>
          <w:lang w:bidi="ar-EG"/>
        </w:rPr>
        <w:t>:</w:t>
      </w:r>
      <w:r w:rsidRPr="00282AC9">
        <w:rPr>
          <w:rFonts w:hint="cs"/>
          <w:sz w:val="27"/>
          <w:rtl/>
          <w:lang w:bidi="ar-EG"/>
        </w:rPr>
        <w:t xml:space="preserve"> الكرامات</w:t>
      </w:r>
      <w:r w:rsidR="00A871FC" w:rsidRPr="00282AC9">
        <w:rPr>
          <w:rFonts w:hint="cs"/>
          <w:sz w:val="27"/>
          <w:rtl/>
          <w:lang w:bidi="ar-EG"/>
        </w:rPr>
        <w:t>.</w:t>
      </w:r>
      <w:r w:rsidRPr="00282AC9">
        <w:rPr>
          <w:rFonts w:hint="cs"/>
          <w:sz w:val="27"/>
          <w:rtl/>
          <w:lang w:bidi="ar-EG"/>
        </w:rPr>
        <w:t xml:space="preserve"> كما في النبي</w:t>
      </w:r>
      <w:r w:rsidR="00A871FC" w:rsidRPr="00282AC9">
        <w:rPr>
          <w:rFonts w:hint="cs"/>
          <w:sz w:val="27"/>
          <w:rtl/>
          <w:lang w:bidi="ar-EG"/>
        </w:rPr>
        <w:t>ّ</w:t>
      </w:r>
      <w:r w:rsidRPr="00282AC9">
        <w:rPr>
          <w:rFonts w:hint="cs"/>
          <w:sz w:val="27"/>
          <w:rtl/>
          <w:lang w:bidi="ar-EG"/>
        </w:rPr>
        <w:t xml:space="preserve"> عيسى</w:t>
      </w:r>
      <w:r w:rsidR="009A2A04" w:rsidRPr="00282AC9">
        <w:rPr>
          <w:rFonts w:cs="Mosawi" w:hint="cs"/>
          <w:sz w:val="22"/>
          <w:szCs w:val="22"/>
          <w:rtl/>
          <w:lang w:bidi="ar-EG"/>
        </w:rPr>
        <w:t>×</w:t>
      </w:r>
      <w:r w:rsidRPr="00282AC9">
        <w:rPr>
          <w:rFonts w:hint="cs"/>
          <w:sz w:val="27"/>
          <w:rtl/>
          <w:lang w:bidi="ar-EG"/>
        </w:rPr>
        <w:t xml:space="preserve"> الذي كان يحيي الموتى</w:t>
      </w:r>
      <w:r w:rsidR="00A871FC" w:rsidRPr="00282AC9">
        <w:rPr>
          <w:rFonts w:hint="cs"/>
          <w:sz w:val="27"/>
          <w:rtl/>
          <w:lang w:bidi="ar-EG"/>
        </w:rPr>
        <w:t>،</w:t>
      </w:r>
      <w:r w:rsidRPr="00282AC9">
        <w:rPr>
          <w:rFonts w:hint="cs"/>
          <w:sz w:val="27"/>
          <w:rtl/>
          <w:lang w:bidi="ar-EG"/>
        </w:rPr>
        <w:t xml:space="preserve"> ويبرئ الأكمه</w:t>
      </w:r>
      <w:r w:rsidR="00A871FC" w:rsidRPr="00282AC9">
        <w:rPr>
          <w:rFonts w:hint="cs"/>
          <w:sz w:val="27"/>
          <w:rtl/>
          <w:lang w:bidi="ar-EG"/>
        </w:rPr>
        <w:t>؛</w:t>
      </w:r>
      <w:r w:rsidRPr="00282AC9">
        <w:rPr>
          <w:rFonts w:hint="cs"/>
          <w:sz w:val="27"/>
          <w:rtl/>
          <w:lang w:bidi="ar-EG"/>
        </w:rPr>
        <w:t xml:space="preserve"> والنبي</w:t>
      </w:r>
      <w:r w:rsidR="00B572CE" w:rsidRPr="00282AC9">
        <w:rPr>
          <w:rFonts w:hint="cs"/>
          <w:sz w:val="27"/>
          <w:rtl/>
          <w:lang w:bidi="ar-EG"/>
        </w:rPr>
        <w:t>ّ</w:t>
      </w:r>
      <w:r w:rsidRPr="00282AC9">
        <w:rPr>
          <w:rFonts w:hint="cs"/>
          <w:sz w:val="27"/>
          <w:rtl/>
          <w:lang w:bidi="ar-EG"/>
        </w:rPr>
        <w:t xml:space="preserve"> موسى</w:t>
      </w:r>
      <w:r w:rsidR="009A2A04" w:rsidRPr="00282AC9">
        <w:rPr>
          <w:rFonts w:cs="Mosawi" w:hint="cs"/>
          <w:sz w:val="22"/>
          <w:szCs w:val="22"/>
          <w:rtl/>
          <w:lang w:bidi="ar-EG"/>
        </w:rPr>
        <w:t>×</w:t>
      </w:r>
      <w:r w:rsidRPr="00282AC9">
        <w:rPr>
          <w:rFonts w:hint="cs"/>
          <w:sz w:val="27"/>
          <w:rtl/>
          <w:lang w:bidi="ar-EG"/>
        </w:rPr>
        <w:t xml:space="preserve"> في العصا واليد البيضاء</w:t>
      </w:r>
      <w:r w:rsidR="00A871FC" w:rsidRPr="00282AC9">
        <w:rPr>
          <w:rFonts w:hint="cs"/>
          <w:sz w:val="27"/>
          <w:rtl/>
          <w:lang w:bidi="ar-EG"/>
        </w:rPr>
        <w:t>؛</w:t>
      </w:r>
      <w:r w:rsidRPr="00282AC9">
        <w:rPr>
          <w:rFonts w:hint="cs"/>
          <w:sz w:val="27"/>
          <w:rtl/>
          <w:lang w:bidi="ar-EG"/>
        </w:rPr>
        <w:t xml:space="preserve"> والنبي</w:t>
      </w:r>
      <w:r w:rsidR="00B572CE" w:rsidRPr="00282AC9">
        <w:rPr>
          <w:rFonts w:hint="cs"/>
          <w:sz w:val="27"/>
          <w:rtl/>
          <w:lang w:bidi="ar-EG"/>
        </w:rPr>
        <w:t>ّ</w:t>
      </w:r>
      <w:r w:rsidRPr="00282AC9">
        <w:rPr>
          <w:rFonts w:hint="cs"/>
          <w:sz w:val="27"/>
          <w:rtl/>
          <w:lang w:bidi="ar-EG"/>
        </w:rPr>
        <w:t xml:space="preserve"> إبراهيم</w:t>
      </w:r>
      <w:r w:rsidR="009A2A04" w:rsidRPr="00282AC9">
        <w:rPr>
          <w:rFonts w:cs="Mosawi" w:hint="cs"/>
          <w:sz w:val="22"/>
          <w:szCs w:val="22"/>
          <w:rtl/>
          <w:lang w:bidi="ar-EG"/>
        </w:rPr>
        <w:t>×</w:t>
      </w:r>
      <w:r w:rsidRPr="00282AC9">
        <w:rPr>
          <w:rFonts w:hint="cs"/>
          <w:sz w:val="27"/>
          <w:rtl/>
          <w:lang w:bidi="ar-EG"/>
        </w:rPr>
        <w:t xml:space="preserve"> في قضي</w:t>
      </w:r>
      <w:r w:rsidR="00A871FC" w:rsidRPr="00282AC9">
        <w:rPr>
          <w:rFonts w:hint="cs"/>
          <w:sz w:val="27"/>
          <w:rtl/>
          <w:lang w:bidi="ar-EG"/>
        </w:rPr>
        <w:t>ّ</w:t>
      </w:r>
      <w:r w:rsidRPr="00282AC9">
        <w:rPr>
          <w:rFonts w:hint="cs"/>
          <w:sz w:val="27"/>
          <w:rtl/>
          <w:lang w:bidi="ar-EG"/>
        </w:rPr>
        <w:t>ة الطيور</w:t>
      </w:r>
      <w:r w:rsidR="00A871FC" w:rsidRPr="00282AC9">
        <w:rPr>
          <w:rFonts w:hint="cs"/>
          <w:sz w:val="27"/>
          <w:rtl/>
          <w:lang w:bidi="ar-EG"/>
        </w:rPr>
        <w:t>.</w:t>
      </w:r>
      <w:r w:rsidRPr="00282AC9">
        <w:rPr>
          <w:rFonts w:hint="cs"/>
          <w:sz w:val="27"/>
          <w:rtl/>
          <w:lang w:bidi="ar-EG"/>
        </w:rPr>
        <w:t xml:space="preserve"> فتكون في حالة الفناء والاتصال بالله إرادتهم إرادة الله، وقدرتهم قدرة الله</w:t>
      </w:r>
      <w:r w:rsidR="00A871FC" w:rsidRPr="00282AC9">
        <w:rPr>
          <w:rFonts w:hint="cs"/>
          <w:sz w:val="27"/>
          <w:rtl/>
          <w:lang w:bidi="ar-EG"/>
        </w:rPr>
        <w:t>؛</w:t>
      </w:r>
      <w:r w:rsidR="007F6213" w:rsidRPr="00282AC9">
        <w:rPr>
          <w:rFonts w:hint="cs"/>
          <w:sz w:val="27"/>
          <w:rtl/>
          <w:lang w:bidi="ar-EG"/>
        </w:rPr>
        <w:t xml:space="preserve"> لاندكاكهم في الله.</w:t>
      </w:r>
    </w:p>
    <w:p w:rsidR="003742B8" w:rsidRPr="00282AC9" w:rsidRDefault="00DA6FB6" w:rsidP="00C57B75">
      <w:pPr>
        <w:rPr>
          <w:sz w:val="27"/>
          <w:rtl/>
          <w:lang w:bidi="ar-EG"/>
        </w:rPr>
      </w:pPr>
      <w:r w:rsidRPr="00282AC9">
        <w:rPr>
          <w:rFonts w:hint="cs"/>
          <w:sz w:val="27"/>
          <w:rtl/>
          <w:lang w:bidi="ar-EG"/>
        </w:rPr>
        <w:t>وأمّا بقي</w:t>
      </w:r>
      <w:r w:rsidR="00A871FC" w:rsidRPr="00282AC9">
        <w:rPr>
          <w:rFonts w:hint="cs"/>
          <w:sz w:val="27"/>
          <w:rtl/>
          <w:lang w:bidi="ar-EG"/>
        </w:rPr>
        <w:t>ّ</w:t>
      </w:r>
      <w:r w:rsidRPr="00282AC9">
        <w:rPr>
          <w:rFonts w:hint="cs"/>
          <w:sz w:val="27"/>
          <w:rtl/>
          <w:lang w:bidi="ar-EG"/>
        </w:rPr>
        <w:t>ة النفوس فليس لهم هذه القدرة والإرادة</w:t>
      </w:r>
      <w:r w:rsidR="00A871FC" w:rsidRPr="00282AC9">
        <w:rPr>
          <w:rFonts w:hint="cs"/>
          <w:sz w:val="27"/>
          <w:rtl/>
          <w:lang w:bidi="ar-EG"/>
        </w:rPr>
        <w:t>؛</w:t>
      </w:r>
      <w:r w:rsidRPr="00282AC9">
        <w:rPr>
          <w:rFonts w:hint="cs"/>
          <w:sz w:val="27"/>
          <w:rtl/>
          <w:lang w:bidi="ar-EG"/>
        </w:rPr>
        <w:t xml:space="preserve"> لاندكاكهم في الأناني</w:t>
      </w:r>
      <w:r w:rsidR="00A871FC" w:rsidRPr="00282AC9">
        <w:rPr>
          <w:rFonts w:hint="cs"/>
          <w:sz w:val="27"/>
          <w:rtl/>
          <w:lang w:bidi="ar-EG"/>
        </w:rPr>
        <w:t>ّ</w:t>
      </w:r>
      <w:r w:rsidRPr="00282AC9">
        <w:rPr>
          <w:rFonts w:hint="cs"/>
          <w:sz w:val="27"/>
          <w:rtl/>
          <w:lang w:bidi="ar-EG"/>
        </w:rPr>
        <w:t>ة والإن</w:t>
      </w:r>
      <w:r w:rsidR="00A871FC" w:rsidRPr="00282AC9">
        <w:rPr>
          <w:rFonts w:hint="cs"/>
          <w:sz w:val="27"/>
          <w:rtl/>
          <w:lang w:bidi="ar-EG"/>
        </w:rPr>
        <w:t>ِّي</w:t>
      </w:r>
      <w:r w:rsidRPr="00282AC9">
        <w:rPr>
          <w:rFonts w:hint="cs"/>
          <w:sz w:val="27"/>
          <w:rtl/>
          <w:lang w:bidi="ar-EG"/>
        </w:rPr>
        <w:t>ة</w:t>
      </w:r>
      <w:r w:rsidR="00A871FC" w:rsidRPr="00282AC9">
        <w:rPr>
          <w:rFonts w:hint="cs"/>
          <w:sz w:val="27"/>
          <w:rtl/>
          <w:lang w:bidi="ar-EG"/>
        </w:rPr>
        <w:t>.</w:t>
      </w:r>
    </w:p>
    <w:p w:rsidR="0064200B" w:rsidRPr="00282AC9" w:rsidRDefault="0064200B" w:rsidP="006B4F9E">
      <w:pPr>
        <w:rPr>
          <w:sz w:val="27"/>
          <w:rtl/>
        </w:rPr>
      </w:pPr>
    </w:p>
    <w:p w:rsidR="003742B8" w:rsidRPr="00282AC9" w:rsidRDefault="003742B8" w:rsidP="003742B8">
      <w:pPr>
        <w:pStyle w:val="31"/>
        <w:rPr>
          <w:color w:val="auto"/>
          <w:rtl/>
          <w:lang w:bidi="ar-EG"/>
        </w:rPr>
      </w:pPr>
      <w:r w:rsidRPr="00282AC9">
        <w:rPr>
          <w:rFonts w:hint="cs"/>
          <w:color w:val="auto"/>
          <w:rtl/>
          <w:lang w:bidi="ar-EG"/>
        </w:rPr>
        <w:t>النتيجة</w:t>
      </w:r>
    </w:p>
    <w:p w:rsidR="00E83C22" w:rsidRPr="00282AC9" w:rsidRDefault="00DA6FB6" w:rsidP="00C57B75">
      <w:pPr>
        <w:rPr>
          <w:rtl/>
          <w:lang w:bidi="ar-EG"/>
        </w:rPr>
      </w:pPr>
      <w:r w:rsidRPr="00282AC9">
        <w:rPr>
          <w:rFonts w:hint="cs"/>
          <w:sz w:val="27"/>
          <w:rtl/>
          <w:lang w:bidi="ar-EG"/>
        </w:rPr>
        <w:t>وهذه القدرة على التصر</w:t>
      </w:r>
      <w:r w:rsidR="00A871FC" w:rsidRPr="00282AC9">
        <w:rPr>
          <w:rFonts w:hint="cs"/>
          <w:sz w:val="27"/>
          <w:rtl/>
          <w:lang w:bidi="ar-EG"/>
        </w:rPr>
        <w:t>ُّ</w:t>
      </w:r>
      <w:r w:rsidRPr="00282AC9">
        <w:rPr>
          <w:rFonts w:hint="cs"/>
          <w:sz w:val="27"/>
          <w:rtl/>
          <w:lang w:bidi="ar-EG"/>
        </w:rPr>
        <w:t xml:space="preserve">ف في الأمور التكوينية </w:t>
      </w:r>
      <w:r w:rsidRPr="00282AC9">
        <w:rPr>
          <w:sz w:val="27"/>
          <w:rtl/>
          <w:lang w:bidi="ar-EG"/>
        </w:rPr>
        <w:t>ـ</w:t>
      </w:r>
      <w:r w:rsidRPr="00282AC9">
        <w:rPr>
          <w:rFonts w:hint="cs"/>
          <w:sz w:val="27"/>
          <w:rtl/>
          <w:lang w:bidi="ar-EG"/>
        </w:rPr>
        <w:t xml:space="preserve"> أثناء الات</w:t>
      </w:r>
      <w:r w:rsidR="00A871FC" w:rsidRPr="00282AC9">
        <w:rPr>
          <w:rFonts w:hint="cs"/>
          <w:sz w:val="27"/>
          <w:rtl/>
          <w:lang w:bidi="ar-EG"/>
        </w:rPr>
        <w:t>ّ</w:t>
      </w:r>
      <w:r w:rsidRPr="00282AC9">
        <w:rPr>
          <w:rFonts w:hint="cs"/>
          <w:sz w:val="27"/>
          <w:rtl/>
          <w:lang w:bidi="ar-EG"/>
        </w:rPr>
        <w:t>صال بالعقل الأوّل، وبالتالي الات</w:t>
      </w:r>
      <w:r w:rsidR="00A871FC" w:rsidRPr="00282AC9">
        <w:rPr>
          <w:rFonts w:hint="cs"/>
          <w:sz w:val="27"/>
          <w:rtl/>
          <w:lang w:bidi="ar-EG"/>
        </w:rPr>
        <w:t>ّ</w:t>
      </w:r>
      <w:r w:rsidRPr="00282AC9">
        <w:rPr>
          <w:rFonts w:hint="cs"/>
          <w:sz w:val="27"/>
          <w:rtl/>
          <w:lang w:bidi="ar-EG"/>
        </w:rPr>
        <w:t>صال بحقيقتهم النوري</w:t>
      </w:r>
      <w:r w:rsidR="00A871FC" w:rsidRPr="00282AC9">
        <w:rPr>
          <w:rFonts w:hint="cs"/>
          <w:sz w:val="27"/>
          <w:rtl/>
          <w:lang w:bidi="ar-EG"/>
        </w:rPr>
        <w:t>ّ</w:t>
      </w:r>
      <w:r w:rsidRPr="00282AC9">
        <w:rPr>
          <w:rFonts w:hint="cs"/>
          <w:sz w:val="27"/>
          <w:rtl/>
          <w:lang w:bidi="ar-EG"/>
        </w:rPr>
        <w:t>ة في الحضرة الأ</w:t>
      </w:r>
      <w:r w:rsidR="00A871FC" w:rsidRPr="00282AC9">
        <w:rPr>
          <w:rFonts w:hint="cs"/>
          <w:sz w:val="27"/>
          <w:rtl/>
          <w:lang w:bidi="ar-EG"/>
        </w:rPr>
        <w:t>َ</w:t>
      </w:r>
      <w:r w:rsidRPr="00282AC9">
        <w:rPr>
          <w:rFonts w:hint="cs"/>
          <w:sz w:val="27"/>
          <w:rtl/>
          <w:lang w:bidi="ar-EG"/>
        </w:rPr>
        <w:t>ح</w:t>
      </w:r>
      <w:r w:rsidR="00A871FC" w:rsidRPr="00282AC9">
        <w:rPr>
          <w:rFonts w:hint="cs"/>
          <w:sz w:val="27"/>
          <w:rtl/>
          <w:lang w:bidi="ar-EG"/>
        </w:rPr>
        <w:t>َ</w:t>
      </w:r>
      <w:r w:rsidRPr="00282AC9">
        <w:rPr>
          <w:rFonts w:hint="cs"/>
          <w:sz w:val="27"/>
          <w:rtl/>
          <w:lang w:bidi="ar-EG"/>
        </w:rPr>
        <w:t>دي</w:t>
      </w:r>
      <w:r w:rsidR="00A871FC" w:rsidRPr="00282AC9">
        <w:rPr>
          <w:rFonts w:hint="cs"/>
          <w:sz w:val="27"/>
          <w:rtl/>
          <w:lang w:bidi="ar-EG"/>
        </w:rPr>
        <w:t>ّ</w:t>
      </w:r>
      <w:r w:rsidRPr="00282AC9">
        <w:rPr>
          <w:rFonts w:hint="cs"/>
          <w:sz w:val="27"/>
          <w:rtl/>
          <w:lang w:bidi="ar-EG"/>
        </w:rPr>
        <w:t>ة</w:t>
      </w:r>
      <w:r w:rsidR="00A871FC" w:rsidRPr="00282AC9">
        <w:rPr>
          <w:rFonts w:hint="cs"/>
          <w:sz w:val="27"/>
          <w:rtl/>
          <w:lang w:bidi="ar-EG"/>
        </w:rPr>
        <w:t>،</w:t>
      </w:r>
      <w:r w:rsidRPr="00282AC9">
        <w:rPr>
          <w:rFonts w:hint="cs"/>
          <w:sz w:val="27"/>
          <w:rtl/>
          <w:lang w:bidi="ar-EG"/>
        </w:rPr>
        <w:t xml:space="preserve"> التي هي التعيّ</w:t>
      </w:r>
      <w:r w:rsidR="00A871FC" w:rsidRPr="00282AC9">
        <w:rPr>
          <w:rFonts w:hint="cs"/>
          <w:sz w:val="27"/>
          <w:rtl/>
          <w:lang w:bidi="ar-EG"/>
        </w:rPr>
        <w:t>ُ</w:t>
      </w:r>
      <w:r w:rsidRPr="00282AC9">
        <w:rPr>
          <w:rFonts w:hint="cs"/>
          <w:sz w:val="27"/>
          <w:rtl/>
          <w:lang w:bidi="ar-EG"/>
        </w:rPr>
        <w:t>ن الأوّل لذات الحق</w:t>
      </w:r>
      <w:r w:rsidR="00A871FC" w:rsidRPr="00282AC9">
        <w:rPr>
          <w:rFonts w:hint="cs"/>
          <w:sz w:val="27"/>
          <w:rtl/>
          <w:lang w:bidi="ar-EG"/>
        </w:rPr>
        <w:t>ّ</w:t>
      </w:r>
      <w:r w:rsidRPr="00282AC9">
        <w:rPr>
          <w:rFonts w:hint="cs"/>
          <w:sz w:val="27"/>
          <w:rtl/>
          <w:lang w:bidi="ar-EG"/>
        </w:rPr>
        <w:t xml:space="preserve"> </w:t>
      </w:r>
      <w:r w:rsidRPr="00282AC9">
        <w:rPr>
          <w:sz w:val="27"/>
          <w:rtl/>
          <w:lang w:bidi="ar-EG"/>
        </w:rPr>
        <w:t>ـ</w:t>
      </w:r>
      <w:r w:rsidRPr="00282AC9">
        <w:rPr>
          <w:rFonts w:hint="cs"/>
          <w:sz w:val="27"/>
          <w:rtl/>
          <w:lang w:bidi="ar-EG"/>
        </w:rPr>
        <w:t xml:space="preserve"> هي الولاية التكوينية</w:t>
      </w:r>
      <w:r w:rsidR="00A871FC" w:rsidRPr="00282AC9">
        <w:rPr>
          <w:rFonts w:hint="cs"/>
          <w:sz w:val="27"/>
          <w:rtl/>
          <w:lang w:bidi="ar-EG"/>
        </w:rPr>
        <w:t>،</w:t>
      </w:r>
      <w:r w:rsidRPr="00282AC9">
        <w:rPr>
          <w:rFonts w:hint="cs"/>
          <w:sz w:val="27"/>
          <w:rtl/>
          <w:lang w:bidi="ar-EG"/>
        </w:rPr>
        <w:t xml:space="preserve"> التي تنشأ من الات</w:t>
      </w:r>
      <w:r w:rsidR="00A871FC" w:rsidRPr="00282AC9">
        <w:rPr>
          <w:rFonts w:hint="cs"/>
          <w:sz w:val="27"/>
          <w:rtl/>
          <w:lang w:bidi="ar-EG"/>
        </w:rPr>
        <w:t>ّ</w:t>
      </w:r>
      <w:r w:rsidRPr="00282AC9">
        <w:rPr>
          <w:rFonts w:hint="cs"/>
          <w:sz w:val="27"/>
          <w:rtl/>
          <w:lang w:bidi="ar-EG"/>
        </w:rPr>
        <w:t>صال بالعالم العلوي</w:t>
      </w:r>
      <w:r w:rsidR="00A871FC" w:rsidRPr="00282AC9">
        <w:rPr>
          <w:rFonts w:hint="cs"/>
          <w:sz w:val="27"/>
          <w:rtl/>
          <w:lang w:bidi="ar-EG"/>
        </w:rPr>
        <w:t>ّ.</w:t>
      </w:r>
      <w:r w:rsidRPr="00282AC9">
        <w:rPr>
          <w:rFonts w:hint="cs"/>
          <w:sz w:val="27"/>
          <w:rtl/>
          <w:lang w:bidi="ar-EG"/>
        </w:rPr>
        <w:t xml:space="preserve"> والولاية التكوينية بمعنى القدرة على التصر</w:t>
      </w:r>
      <w:r w:rsidR="00A871FC" w:rsidRPr="00282AC9">
        <w:rPr>
          <w:rFonts w:hint="cs"/>
          <w:sz w:val="27"/>
          <w:rtl/>
          <w:lang w:bidi="ar-EG"/>
        </w:rPr>
        <w:t>ُّ</w:t>
      </w:r>
      <w:r w:rsidRPr="00282AC9">
        <w:rPr>
          <w:rFonts w:hint="cs"/>
          <w:sz w:val="27"/>
          <w:rtl/>
          <w:lang w:bidi="ar-EG"/>
        </w:rPr>
        <w:t>ف هي ما نؤمن به</w:t>
      </w:r>
      <w:r w:rsidRPr="00282AC9">
        <w:rPr>
          <w:sz w:val="27"/>
          <w:vertAlign w:val="superscript"/>
          <w:rtl/>
          <w:lang w:bidi="ar-EG"/>
        </w:rPr>
        <w:t>(</w:t>
      </w:r>
      <w:r w:rsidRPr="00282AC9">
        <w:rPr>
          <w:rStyle w:val="af9"/>
          <w:sz w:val="27"/>
          <w:rtl/>
          <w:lang w:bidi="ar-EG"/>
        </w:rPr>
        <w:endnoteReference w:id="690"/>
      </w:r>
      <w:r w:rsidRPr="00282AC9">
        <w:rPr>
          <w:sz w:val="27"/>
          <w:vertAlign w:val="superscript"/>
          <w:rtl/>
          <w:lang w:bidi="ar-EG"/>
        </w:rPr>
        <w:t>)</w:t>
      </w:r>
      <w:r w:rsidRPr="00282AC9">
        <w:rPr>
          <w:rFonts w:hint="cs"/>
          <w:sz w:val="27"/>
          <w:rtl/>
          <w:lang w:bidi="ar-EG"/>
        </w:rPr>
        <w:t>، لا الولاية التكوينية ـ بمعنى الواسطة في الف</w:t>
      </w:r>
      <w:r w:rsidR="00A871FC" w:rsidRPr="00282AC9">
        <w:rPr>
          <w:rFonts w:hint="cs"/>
          <w:sz w:val="27"/>
          <w:rtl/>
          <w:lang w:bidi="ar-EG"/>
        </w:rPr>
        <w:t>َ</w:t>
      </w:r>
      <w:r w:rsidRPr="00282AC9">
        <w:rPr>
          <w:rFonts w:hint="cs"/>
          <w:sz w:val="27"/>
          <w:rtl/>
          <w:lang w:bidi="ar-EG"/>
        </w:rPr>
        <w:t>ي</w:t>
      </w:r>
      <w:r w:rsidR="00A871FC" w:rsidRPr="00282AC9">
        <w:rPr>
          <w:rFonts w:hint="cs"/>
          <w:sz w:val="27"/>
          <w:rtl/>
          <w:lang w:bidi="ar-EG"/>
        </w:rPr>
        <w:t>ْ</w:t>
      </w:r>
      <w:r w:rsidRPr="00282AC9">
        <w:rPr>
          <w:rFonts w:hint="cs"/>
          <w:sz w:val="27"/>
          <w:rtl/>
          <w:lang w:bidi="ar-EG"/>
        </w:rPr>
        <w:t>ض الإلهي ـ بالجانب الروحاني لوجودهم الناسوتي الجسماني</w:t>
      </w:r>
      <w:r w:rsidR="00A871FC" w:rsidRPr="00282AC9">
        <w:rPr>
          <w:rFonts w:hint="cs"/>
          <w:sz w:val="27"/>
          <w:rtl/>
          <w:lang w:bidi="ar-EG"/>
        </w:rPr>
        <w:t>.</w:t>
      </w:r>
      <w:r w:rsidRPr="00282AC9">
        <w:rPr>
          <w:rFonts w:hint="cs"/>
          <w:sz w:val="27"/>
          <w:rtl/>
          <w:lang w:bidi="ar-EG"/>
        </w:rPr>
        <w:t xml:space="preserve"> وأمّا وجودهم الدهري الروحاني</w:t>
      </w:r>
      <w:r w:rsidR="00A871FC" w:rsidRPr="00282AC9">
        <w:rPr>
          <w:rFonts w:hint="cs"/>
          <w:sz w:val="27"/>
          <w:rtl/>
          <w:lang w:bidi="ar-EG"/>
        </w:rPr>
        <w:t>،</w:t>
      </w:r>
      <w:r w:rsidRPr="00282AC9">
        <w:rPr>
          <w:rFonts w:hint="cs"/>
          <w:sz w:val="27"/>
          <w:rtl/>
          <w:lang w:bidi="ar-EG"/>
        </w:rPr>
        <w:t xml:space="preserve"> الذي يكون قبل عالم الناسوت، فلا مشكلة أن يكون له الولاية التكوينية بمعنى الواسطة في الف</w:t>
      </w:r>
      <w:r w:rsidR="00A871FC" w:rsidRPr="00282AC9">
        <w:rPr>
          <w:rFonts w:hint="cs"/>
          <w:sz w:val="27"/>
          <w:rtl/>
          <w:lang w:bidi="ar-EG"/>
        </w:rPr>
        <w:t>َ</w:t>
      </w:r>
      <w:r w:rsidRPr="00282AC9">
        <w:rPr>
          <w:rFonts w:hint="cs"/>
          <w:sz w:val="27"/>
          <w:rtl/>
          <w:lang w:bidi="ar-EG"/>
        </w:rPr>
        <w:t>ي</w:t>
      </w:r>
      <w:r w:rsidR="00A871FC" w:rsidRPr="00282AC9">
        <w:rPr>
          <w:rFonts w:hint="cs"/>
          <w:sz w:val="27"/>
          <w:rtl/>
          <w:lang w:bidi="ar-EG"/>
        </w:rPr>
        <w:t>ْ</w:t>
      </w:r>
      <w:r w:rsidRPr="00282AC9">
        <w:rPr>
          <w:rFonts w:hint="cs"/>
          <w:sz w:val="27"/>
          <w:rtl/>
          <w:lang w:bidi="ar-EG"/>
        </w:rPr>
        <w:t>ض</w:t>
      </w:r>
      <w:r w:rsidR="00A871FC" w:rsidRPr="00282AC9">
        <w:rPr>
          <w:rFonts w:hint="cs"/>
          <w:sz w:val="27"/>
          <w:rtl/>
          <w:lang w:bidi="ar-EG"/>
        </w:rPr>
        <w:t>.</w:t>
      </w:r>
      <w:r w:rsidRPr="00282AC9">
        <w:rPr>
          <w:rFonts w:hint="cs"/>
          <w:sz w:val="27"/>
          <w:rtl/>
          <w:lang w:bidi="ar-EG"/>
        </w:rPr>
        <w:t xml:space="preserve"> وبذلك يمكن المصالحة بين المثبتين والنافين للولاية التكوينية </w:t>
      </w:r>
      <w:r w:rsidRPr="00282AC9">
        <w:rPr>
          <w:sz w:val="27"/>
          <w:rtl/>
          <w:lang w:bidi="ar-EG"/>
        </w:rPr>
        <w:t>ـ</w:t>
      </w:r>
      <w:r w:rsidRPr="00282AC9">
        <w:rPr>
          <w:rFonts w:hint="cs"/>
          <w:sz w:val="27"/>
          <w:rtl/>
          <w:lang w:bidi="ar-EG"/>
        </w:rPr>
        <w:t xml:space="preserve"> بمعنى الواسطة في الفيض الإلهي</w:t>
      </w:r>
      <w:r w:rsidR="00A871FC" w:rsidRPr="00282AC9">
        <w:rPr>
          <w:rFonts w:hint="cs"/>
          <w:sz w:val="27"/>
          <w:rtl/>
          <w:lang w:bidi="ar-EG"/>
        </w:rPr>
        <w:t>ّ</w:t>
      </w:r>
      <w:r w:rsidRPr="00282AC9">
        <w:rPr>
          <w:rFonts w:hint="cs"/>
          <w:sz w:val="27"/>
          <w:rtl/>
          <w:lang w:bidi="ar-EG"/>
        </w:rPr>
        <w:t xml:space="preserve"> </w:t>
      </w:r>
      <w:r w:rsidRPr="00282AC9">
        <w:rPr>
          <w:sz w:val="27"/>
          <w:rtl/>
          <w:lang w:bidi="ar-EG"/>
        </w:rPr>
        <w:t>ـ</w:t>
      </w:r>
      <w:r w:rsidR="00A871FC" w:rsidRPr="00282AC9">
        <w:rPr>
          <w:rFonts w:hint="cs"/>
          <w:sz w:val="27"/>
          <w:rtl/>
          <w:lang w:bidi="ar-EG"/>
        </w:rPr>
        <w:t>؛</w:t>
      </w:r>
      <w:r w:rsidRPr="00282AC9">
        <w:rPr>
          <w:rFonts w:hint="cs"/>
          <w:sz w:val="27"/>
          <w:rtl/>
          <w:lang w:bidi="ar-EG"/>
        </w:rPr>
        <w:t xml:space="preserve"> فالمثبتون قصدوا من الولاية التكوينية ولايتهم بوجودهم الدهري الروحاني، والنافون قصدوا منها ولايتهم بالجانب الروحاني لوجودهم الناسوتي الجسماني</w:t>
      </w:r>
      <w:r w:rsidR="005F6EE0" w:rsidRPr="00282AC9">
        <w:rPr>
          <w:rFonts w:hint="cs"/>
          <w:sz w:val="27"/>
          <w:rtl/>
          <w:lang w:bidi="ar-EG"/>
        </w:rPr>
        <w:t>.</w:t>
      </w:r>
      <w:r w:rsidRPr="00282AC9">
        <w:rPr>
          <w:rFonts w:hint="cs"/>
          <w:sz w:val="27"/>
          <w:rtl/>
          <w:lang w:bidi="ar-EG"/>
        </w:rPr>
        <w:t xml:space="preserve"> وهذا هو التوفيق الصحيح بين المتنازعين.</w:t>
      </w:r>
    </w:p>
    <w:p w:rsidR="00E83C22" w:rsidRPr="00282AC9" w:rsidRDefault="00E83C22" w:rsidP="00123F98">
      <w:pPr>
        <w:rPr>
          <w:rtl/>
        </w:rPr>
      </w:pPr>
    </w:p>
    <w:p w:rsidR="00E83C22" w:rsidRPr="00282AC9" w:rsidRDefault="00E83C22" w:rsidP="00123F98">
      <w:pPr>
        <w:spacing w:line="420" w:lineRule="exact"/>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122"/>
          <w:headerReference w:type="default" r:id="rId123"/>
          <w:footerReference w:type="even" r:id="rId124"/>
          <w:footerReference w:type="default" r:id="rId125"/>
          <w:headerReference w:type="first" r:id="rId1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460336">
      <w:pPr>
        <w:spacing w:line="340" w:lineRule="exact"/>
        <w:rPr>
          <w:rtl/>
        </w:rPr>
      </w:pPr>
    </w:p>
    <w:p w:rsidR="00E83C22" w:rsidRPr="00282AC9" w:rsidRDefault="00E83C22" w:rsidP="00460336">
      <w:pPr>
        <w:spacing w:line="360" w:lineRule="exact"/>
        <w:rPr>
          <w:rtl/>
        </w:rPr>
      </w:pPr>
    </w:p>
    <w:p w:rsidR="00E83C22" w:rsidRPr="00282AC9" w:rsidRDefault="00BF20B7" w:rsidP="00BF20B7">
      <w:pPr>
        <w:pStyle w:val="11"/>
        <w:spacing w:line="216" w:lineRule="auto"/>
        <w:rPr>
          <w:rtl/>
        </w:rPr>
      </w:pPr>
      <w:bookmarkStart w:id="75" w:name="_Toc87011519"/>
      <w:r w:rsidRPr="00282AC9">
        <w:rPr>
          <w:rtl/>
          <w:lang w:bidi="ar-MA"/>
        </w:rPr>
        <w:t>المع</w:t>
      </w:r>
      <w:r w:rsidRPr="00282AC9">
        <w:rPr>
          <w:rFonts w:hint="cs"/>
          <w:rtl/>
          <w:lang w:bidi="ar-MA"/>
        </w:rPr>
        <w:t>نى ومستوياته</w:t>
      </w:r>
      <w:bookmarkEnd w:id="75"/>
    </w:p>
    <w:p w:rsidR="00E83C22" w:rsidRPr="00282AC9" w:rsidRDefault="00BF20B7" w:rsidP="00BF20B7">
      <w:pPr>
        <w:pStyle w:val="11"/>
        <w:spacing w:line="216" w:lineRule="auto"/>
        <w:rPr>
          <w:sz w:val="26"/>
          <w:szCs w:val="42"/>
          <w:rtl/>
        </w:rPr>
      </w:pPr>
      <w:bookmarkStart w:id="76" w:name="_Toc87011520"/>
      <w:r w:rsidRPr="00282AC9">
        <w:rPr>
          <w:rFonts w:hint="cs"/>
          <w:sz w:val="26"/>
          <w:szCs w:val="42"/>
          <w:rtl/>
          <w:lang w:bidi="ar-MA"/>
        </w:rPr>
        <w:t>في</w:t>
      </w:r>
      <w:r w:rsidRPr="00282AC9">
        <w:rPr>
          <w:sz w:val="26"/>
          <w:szCs w:val="42"/>
          <w:rtl/>
          <w:lang w:bidi="ar-MA"/>
        </w:rPr>
        <w:t xml:space="preserve"> </w:t>
      </w:r>
      <w:r w:rsidRPr="00282AC9">
        <w:rPr>
          <w:rFonts w:hint="cs"/>
          <w:sz w:val="26"/>
          <w:szCs w:val="42"/>
          <w:rtl/>
          <w:lang w:bidi="ar-MA"/>
        </w:rPr>
        <w:t>علم أصول الفق</w:t>
      </w:r>
      <w:r w:rsidRPr="00282AC9">
        <w:rPr>
          <w:rFonts w:hint="cs"/>
          <w:sz w:val="26"/>
          <w:szCs w:val="42"/>
          <w:rtl/>
        </w:rPr>
        <w:t>ه</w:t>
      </w:r>
      <w:bookmarkEnd w:id="76"/>
    </w:p>
    <w:p w:rsidR="00E83C22" w:rsidRPr="00282AC9" w:rsidRDefault="00E83C22" w:rsidP="00460336">
      <w:pPr>
        <w:spacing w:line="360" w:lineRule="exact"/>
        <w:rPr>
          <w:rtl/>
        </w:rPr>
      </w:pPr>
    </w:p>
    <w:p w:rsidR="00E83C22" w:rsidRPr="00282AC9" w:rsidRDefault="00BF20B7" w:rsidP="00BF20B7">
      <w:pPr>
        <w:pStyle w:val="Author"/>
        <w:rPr>
          <w:rtl/>
        </w:rPr>
      </w:pPr>
      <w:bookmarkStart w:id="77" w:name="_Toc87011521"/>
      <w:r w:rsidRPr="00282AC9">
        <w:rPr>
          <w:rFonts w:hint="cs"/>
          <w:rtl/>
          <w:lang w:bidi="ar-MA"/>
        </w:rPr>
        <w:t xml:space="preserve">د. </w:t>
      </w:r>
      <w:r w:rsidRPr="00282AC9">
        <w:rPr>
          <w:rtl/>
          <w:lang w:bidi="ar-MA"/>
        </w:rPr>
        <w:t>محمد بنعمر</w:t>
      </w:r>
      <w:r w:rsidR="00527634" w:rsidRPr="00282AC9">
        <w:rPr>
          <w:rFonts w:cs="Taher" w:hint="cs"/>
          <w:vertAlign w:val="superscript"/>
          <w:rtl/>
        </w:rPr>
        <w:t>(</w:t>
      </w:r>
      <w:r w:rsidR="00527634" w:rsidRPr="00282AC9">
        <w:rPr>
          <w:rFonts w:cs="Taher"/>
          <w:vertAlign w:val="superscript"/>
          <w:rtl/>
        </w:rPr>
        <w:footnoteReference w:customMarkFollows="1" w:id="15"/>
        <w:t>*)</w:t>
      </w:r>
      <w:bookmarkEnd w:id="77"/>
    </w:p>
    <w:p w:rsidR="00E83C22" w:rsidRPr="00282AC9" w:rsidRDefault="00E83C22" w:rsidP="00460336">
      <w:pPr>
        <w:spacing w:line="300" w:lineRule="exact"/>
        <w:rPr>
          <w:rtl/>
        </w:rPr>
      </w:pPr>
    </w:p>
    <w:p w:rsidR="00D722E4" w:rsidRPr="00282AC9" w:rsidRDefault="00D722E4" w:rsidP="00BF20B7">
      <w:pPr>
        <w:pStyle w:val="31"/>
        <w:rPr>
          <w:color w:val="auto"/>
          <w:lang w:bidi="ar-MA"/>
        </w:rPr>
      </w:pPr>
      <w:r w:rsidRPr="00282AC9">
        <w:rPr>
          <w:rFonts w:hint="cs"/>
          <w:color w:val="auto"/>
          <w:rtl/>
          <w:lang w:bidi="ar-MA"/>
        </w:rPr>
        <w:t>ال</w:t>
      </w:r>
      <w:r w:rsidRPr="00282AC9">
        <w:rPr>
          <w:color w:val="auto"/>
          <w:rtl/>
          <w:lang w:bidi="ar-MA"/>
        </w:rPr>
        <w:t>خلاصة</w:t>
      </w:r>
    </w:p>
    <w:p w:rsidR="002648C1" w:rsidRPr="00282AC9" w:rsidRDefault="00D722E4" w:rsidP="00460336">
      <w:pPr>
        <w:spacing w:line="380" w:lineRule="exact"/>
        <w:rPr>
          <w:rFonts w:ascii="Times New Roman" w:hAnsi="Times New Roman"/>
          <w:sz w:val="27"/>
          <w:rtl/>
          <w:lang w:bidi="ar-MA"/>
        </w:rPr>
      </w:pPr>
      <w:r w:rsidRPr="00282AC9">
        <w:rPr>
          <w:rFonts w:ascii="Times New Roman" w:hAnsi="Times New Roman"/>
          <w:sz w:val="27"/>
          <w:rtl/>
          <w:lang w:bidi="ar-MA"/>
        </w:rPr>
        <w:t>نسعى من وراء هذا البحث إلى إبراز جهود الأصولي</w:t>
      </w:r>
      <w:r w:rsidR="002648C1" w:rsidRPr="00282AC9">
        <w:rPr>
          <w:rFonts w:ascii="Times New Roman" w:hAnsi="Times New Roman" w:hint="cs"/>
          <w:sz w:val="27"/>
          <w:rtl/>
          <w:lang w:bidi="ar-MA"/>
        </w:rPr>
        <w:t>ّ</w:t>
      </w:r>
      <w:r w:rsidRPr="00282AC9">
        <w:rPr>
          <w:rFonts w:ascii="Times New Roman" w:hAnsi="Times New Roman"/>
          <w:sz w:val="27"/>
          <w:rtl/>
          <w:lang w:bidi="ar-MA"/>
        </w:rPr>
        <w:t>ين في اشتغالهم على استمداد المعنى من النص</w:t>
      </w:r>
      <w:r w:rsidR="002648C1" w:rsidRPr="00282AC9">
        <w:rPr>
          <w:rFonts w:ascii="Times New Roman" w:hAnsi="Times New Roman" w:hint="cs"/>
          <w:sz w:val="27"/>
          <w:rtl/>
          <w:lang w:bidi="ar-MA"/>
        </w:rPr>
        <w:t>ّ</w:t>
      </w:r>
      <w:r w:rsidRPr="00282AC9">
        <w:rPr>
          <w:rFonts w:ascii="Times New Roman" w:hAnsi="Times New Roman"/>
          <w:sz w:val="27"/>
          <w:rtl/>
          <w:lang w:bidi="ar-MA"/>
        </w:rPr>
        <w:t xml:space="preserve"> الشرعي</w:t>
      </w:r>
      <w:r w:rsidR="002648C1" w:rsidRPr="00282AC9">
        <w:rPr>
          <w:rFonts w:ascii="Times New Roman" w:hAnsi="Times New Roman" w:hint="cs"/>
          <w:sz w:val="27"/>
          <w:rtl/>
          <w:lang w:bidi="ar-MA"/>
        </w:rPr>
        <w:t>؛</w:t>
      </w:r>
      <w:r w:rsidRPr="00282AC9">
        <w:rPr>
          <w:rFonts w:ascii="Times New Roman" w:hAnsi="Times New Roman"/>
          <w:sz w:val="27"/>
          <w:rtl/>
          <w:lang w:bidi="ar-MA"/>
        </w:rPr>
        <w:t xml:space="preserve"> ذلك أن </w:t>
      </w:r>
      <w:r w:rsidRPr="00282AC9">
        <w:rPr>
          <w:rFonts w:ascii="Times New Roman" w:hAnsi="Times New Roman" w:hint="cs"/>
          <w:sz w:val="27"/>
          <w:rtl/>
          <w:lang w:bidi="ar-MA"/>
        </w:rPr>
        <w:t>ال</w:t>
      </w:r>
      <w:r w:rsidRPr="00282AC9">
        <w:rPr>
          <w:rFonts w:ascii="Times New Roman" w:hAnsi="Times New Roman"/>
          <w:sz w:val="27"/>
          <w:rtl/>
          <w:lang w:bidi="ar-MA"/>
        </w:rPr>
        <w:t xml:space="preserve">موضوع </w:t>
      </w:r>
      <w:r w:rsidRPr="00282AC9">
        <w:rPr>
          <w:rFonts w:ascii="Times New Roman" w:hAnsi="Times New Roman" w:hint="cs"/>
          <w:sz w:val="27"/>
          <w:rtl/>
          <w:lang w:bidi="ar-MA"/>
        </w:rPr>
        <w:t xml:space="preserve">الأساس في </w:t>
      </w:r>
      <w:r w:rsidRPr="00282AC9">
        <w:rPr>
          <w:rFonts w:ascii="Times New Roman" w:hAnsi="Times New Roman"/>
          <w:sz w:val="27"/>
          <w:rtl/>
          <w:lang w:bidi="ar-MA"/>
        </w:rPr>
        <w:t>الدرس الأصولي هو تحصيل واستمداد المعنى من النص</w:t>
      </w:r>
      <w:r w:rsidR="002648C1" w:rsidRPr="00282AC9">
        <w:rPr>
          <w:rFonts w:ascii="Times New Roman" w:hAnsi="Times New Roman" w:hint="cs"/>
          <w:sz w:val="27"/>
          <w:rtl/>
          <w:lang w:bidi="ar-MA"/>
        </w:rPr>
        <w:t>ّ؛</w:t>
      </w:r>
      <w:r w:rsidRPr="00282AC9">
        <w:rPr>
          <w:rFonts w:ascii="Times New Roman" w:hAnsi="Times New Roman"/>
          <w:sz w:val="27"/>
          <w:rtl/>
          <w:lang w:bidi="ar-MA"/>
        </w:rPr>
        <w:t xml:space="preserve"> ليكون هذا المعنى طريق</w:t>
      </w:r>
      <w:r w:rsidRPr="00282AC9">
        <w:rPr>
          <w:rFonts w:ascii="Times New Roman" w:hAnsi="Times New Roman" w:hint="cs"/>
          <w:sz w:val="27"/>
          <w:rtl/>
          <w:lang w:bidi="ar-MA"/>
        </w:rPr>
        <w:t>اً</w:t>
      </w:r>
      <w:r w:rsidRPr="00282AC9">
        <w:rPr>
          <w:rFonts w:ascii="Times New Roman" w:hAnsi="Times New Roman"/>
          <w:sz w:val="27"/>
          <w:rtl/>
          <w:lang w:bidi="ar-MA"/>
        </w:rPr>
        <w:t xml:space="preserve"> وسبيل</w:t>
      </w:r>
      <w:r w:rsidRPr="00282AC9">
        <w:rPr>
          <w:rFonts w:ascii="Times New Roman" w:hAnsi="Times New Roman" w:hint="cs"/>
          <w:sz w:val="27"/>
          <w:rtl/>
          <w:lang w:bidi="ar-MA"/>
        </w:rPr>
        <w:t>اً</w:t>
      </w:r>
      <w:r w:rsidRPr="00282AC9">
        <w:rPr>
          <w:rFonts w:ascii="Times New Roman" w:hAnsi="Times New Roman"/>
          <w:sz w:val="27"/>
          <w:rtl/>
          <w:lang w:bidi="ar-MA"/>
        </w:rPr>
        <w:t xml:space="preserve"> إلى</w:t>
      </w:r>
      <w:r w:rsidRPr="00282AC9">
        <w:rPr>
          <w:rFonts w:ascii="Times New Roman" w:hAnsi="Times New Roman" w:hint="cs"/>
          <w:sz w:val="27"/>
          <w:rtl/>
          <w:lang w:bidi="ar-MA"/>
        </w:rPr>
        <w:t xml:space="preserve"> تفه</w:t>
      </w:r>
      <w:r w:rsidR="002648C1" w:rsidRPr="00282AC9">
        <w:rPr>
          <w:rFonts w:ascii="Times New Roman" w:hAnsi="Times New Roman" w:hint="cs"/>
          <w:sz w:val="27"/>
          <w:rtl/>
          <w:lang w:bidi="ar-MA"/>
        </w:rPr>
        <w:t>ُّ</w:t>
      </w:r>
      <w:r w:rsidRPr="00282AC9">
        <w:rPr>
          <w:rFonts w:ascii="Times New Roman" w:hAnsi="Times New Roman" w:hint="cs"/>
          <w:sz w:val="27"/>
          <w:rtl/>
          <w:lang w:bidi="ar-MA"/>
        </w:rPr>
        <w:t>م النصوص الشرعي</w:t>
      </w:r>
      <w:r w:rsidR="002648C1" w:rsidRPr="00282AC9">
        <w:rPr>
          <w:rFonts w:ascii="Times New Roman" w:hAnsi="Times New Roman" w:hint="cs"/>
          <w:sz w:val="27"/>
          <w:rtl/>
          <w:lang w:bidi="ar-MA"/>
        </w:rPr>
        <w:t>ّ</w:t>
      </w:r>
      <w:r w:rsidRPr="00282AC9">
        <w:rPr>
          <w:rFonts w:ascii="Times New Roman" w:hAnsi="Times New Roman" w:hint="cs"/>
          <w:sz w:val="27"/>
          <w:rtl/>
          <w:lang w:bidi="ar-MA"/>
        </w:rPr>
        <w:t>ة</w:t>
      </w:r>
      <w:r w:rsidR="002648C1" w:rsidRPr="00282AC9">
        <w:rPr>
          <w:rFonts w:ascii="Times New Roman" w:hAnsi="Times New Roman" w:hint="cs"/>
          <w:sz w:val="27"/>
          <w:rtl/>
          <w:lang w:bidi="ar-MA"/>
        </w:rPr>
        <w:t>،</w:t>
      </w:r>
      <w:r w:rsidRPr="00282AC9">
        <w:rPr>
          <w:rFonts w:ascii="Times New Roman" w:hAnsi="Times New Roman" w:hint="cs"/>
          <w:sz w:val="27"/>
          <w:rtl/>
          <w:lang w:bidi="ar-MA"/>
        </w:rPr>
        <w:t xml:space="preserve"> و</w:t>
      </w:r>
      <w:r w:rsidRPr="00282AC9">
        <w:rPr>
          <w:rFonts w:ascii="Times New Roman" w:hAnsi="Times New Roman"/>
          <w:sz w:val="27"/>
          <w:rtl/>
          <w:lang w:bidi="ar-MA"/>
        </w:rPr>
        <w:t>استنباط الأحكام الشرعي</w:t>
      </w:r>
      <w:r w:rsidR="002648C1" w:rsidRPr="00282AC9">
        <w:rPr>
          <w:rFonts w:ascii="Times New Roman" w:hAnsi="Times New Roman" w:hint="cs"/>
          <w:sz w:val="27"/>
          <w:rtl/>
          <w:lang w:bidi="ar-MA"/>
        </w:rPr>
        <w:t>ّ</w:t>
      </w:r>
      <w:r w:rsidRPr="00282AC9">
        <w:rPr>
          <w:rFonts w:ascii="Times New Roman" w:hAnsi="Times New Roman"/>
          <w:sz w:val="27"/>
          <w:rtl/>
          <w:lang w:bidi="ar-MA"/>
        </w:rPr>
        <w:t>ة</w:t>
      </w:r>
      <w:r w:rsidRPr="00282AC9">
        <w:rPr>
          <w:rFonts w:ascii="Times New Roman" w:hAnsi="Times New Roman" w:hint="cs"/>
          <w:sz w:val="27"/>
          <w:rtl/>
          <w:lang w:bidi="ar-MA"/>
        </w:rPr>
        <w:t xml:space="preserve"> منها، </w:t>
      </w:r>
      <w:r w:rsidRPr="00282AC9">
        <w:rPr>
          <w:rFonts w:ascii="Times New Roman" w:hAnsi="Times New Roman"/>
          <w:sz w:val="27"/>
          <w:rtl/>
          <w:lang w:bidi="ar-MA"/>
        </w:rPr>
        <w:t>وإلى تمث</w:t>
      </w:r>
      <w:r w:rsidR="002648C1" w:rsidRPr="00282AC9">
        <w:rPr>
          <w:rFonts w:ascii="Times New Roman" w:hAnsi="Times New Roman" w:hint="cs"/>
          <w:sz w:val="27"/>
          <w:rtl/>
          <w:lang w:bidi="ar-MA"/>
        </w:rPr>
        <w:t>ُّ</w:t>
      </w:r>
      <w:r w:rsidRPr="00282AC9">
        <w:rPr>
          <w:rFonts w:ascii="Times New Roman" w:hAnsi="Times New Roman"/>
          <w:sz w:val="27"/>
          <w:rtl/>
          <w:lang w:bidi="ar-MA"/>
        </w:rPr>
        <w:t>ل القصد المحمول في ذلك المعنى</w:t>
      </w:r>
      <w:r w:rsidR="002648C1" w:rsidRPr="00282AC9">
        <w:rPr>
          <w:rFonts w:ascii="Times New Roman" w:hAnsi="Times New Roman" w:hint="cs"/>
          <w:sz w:val="27"/>
          <w:rtl/>
          <w:lang w:bidi="ar-MA"/>
        </w:rPr>
        <w:t>.</w:t>
      </w:r>
    </w:p>
    <w:p w:rsidR="00D722E4" w:rsidRPr="00282AC9" w:rsidRDefault="00D722E4" w:rsidP="00460336">
      <w:pPr>
        <w:spacing w:line="380" w:lineRule="exact"/>
        <w:rPr>
          <w:rFonts w:ascii="Times New Roman" w:hAnsi="Times New Roman"/>
          <w:sz w:val="27"/>
          <w:rtl/>
          <w:lang w:bidi="ar-MA"/>
        </w:rPr>
      </w:pPr>
      <w:r w:rsidRPr="00282AC9">
        <w:rPr>
          <w:rFonts w:ascii="Times New Roman" w:hAnsi="Times New Roman"/>
          <w:sz w:val="27"/>
          <w:rtl/>
          <w:lang w:bidi="ar-MA"/>
        </w:rPr>
        <w:t>ولعل</w:t>
      </w:r>
      <w:r w:rsidR="002648C1" w:rsidRPr="00282AC9">
        <w:rPr>
          <w:rFonts w:ascii="Times New Roman" w:hAnsi="Times New Roman" w:hint="cs"/>
          <w:sz w:val="27"/>
          <w:rtl/>
          <w:lang w:bidi="ar-MA"/>
        </w:rPr>
        <w:t>ّ</w:t>
      </w:r>
      <w:r w:rsidRPr="00282AC9">
        <w:rPr>
          <w:rFonts w:ascii="Times New Roman" w:hAnsi="Times New Roman"/>
          <w:sz w:val="27"/>
          <w:rtl/>
          <w:lang w:bidi="ar-MA"/>
        </w:rPr>
        <w:t xml:space="preserve"> هذا الب</w:t>
      </w:r>
      <w:r w:rsidR="002648C1" w:rsidRPr="00282AC9">
        <w:rPr>
          <w:rFonts w:ascii="Times New Roman" w:hAnsi="Times New Roman" w:hint="cs"/>
          <w:sz w:val="27"/>
          <w:rtl/>
          <w:lang w:bidi="ar-MA"/>
        </w:rPr>
        <w:t>ُ</w:t>
      </w:r>
      <w:r w:rsidRPr="00282AC9">
        <w:rPr>
          <w:rFonts w:ascii="Times New Roman" w:hAnsi="Times New Roman"/>
          <w:sz w:val="27"/>
          <w:rtl/>
          <w:lang w:bidi="ar-MA"/>
        </w:rPr>
        <w:t>ع</w:t>
      </w:r>
      <w:r w:rsidR="002648C1" w:rsidRPr="00282AC9">
        <w:rPr>
          <w:rFonts w:ascii="Times New Roman" w:hAnsi="Times New Roman" w:hint="cs"/>
          <w:sz w:val="27"/>
          <w:rtl/>
          <w:lang w:bidi="ar-MA"/>
        </w:rPr>
        <w:t>ْ</w:t>
      </w:r>
      <w:r w:rsidRPr="00282AC9">
        <w:rPr>
          <w:rFonts w:ascii="Times New Roman" w:hAnsi="Times New Roman"/>
          <w:sz w:val="27"/>
          <w:rtl/>
          <w:lang w:bidi="ar-MA"/>
        </w:rPr>
        <w:t>د المعرفي في الاشتغال على المعنى في الدرس الأصولي هو الذي جعل المباحث ال</w:t>
      </w:r>
      <w:r w:rsidRPr="00282AC9">
        <w:rPr>
          <w:rFonts w:ascii="Times New Roman" w:hAnsi="Times New Roman" w:hint="cs"/>
          <w:sz w:val="27"/>
          <w:rtl/>
          <w:lang w:bidi="ar-MA"/>
        </w:rPr>
        <w:t>أ</w:t>
      </w:r>
      <w:r w:rsidRPr="00282AC9">
        <w:rPr>
          <w:rFonts w:ascii="Times New Roman" w:hAnsi="Times New Roman"/>
          <w:sz w:val="27"/>
          <w:rtl/>
          <w:lang w:bidi="ar-MA"/>
        </w:rPr>
        <w:t>صولية حاملة</w:t>
      </w:r>
      <w:r w:rsidR="002648C1" w:rsidRPr="00282AC9">
        <w:rPr>
          <w:rFonts w:ascii="Times New Roman" w:hAnsi="Times New Roman" w:hint="cs"/>
          <w:sz w:val="27"/>
          <w:rtl/>
          <w:lang w:bidi="ar-MA"/>
        </w:rPr>
        <w:t>ً</w:t>
      </w:r>
      <w:r w:rsidRPr="00282AC9">
        <w:rPr>
          <w:rFonts w:ascii="Times New Roman" w:hAnsi="Times New Roman"/>
          <w:sz w:val="27"/>
          <w:rtl/>
          <w:lang w:bidi="ar-MA"/>
        </w:rPr>
        <w:t xml:space="preserve"> لكثير</w:t>
      </w:r>
      <w:r w:rsidR="002648C1" w:rsidRPr="00282AC9">
        <w:rPr>
          <w:rFonts w:ascii="Times New Roman" w:hAnsi="Times New Roman" w:hint="cs"/>
          <w:sz w:val="27"/>
          <w:rtl/>
          <w:lang w:bidi="ar-MA"/>
        </w:rPr>
        <w:t>ٍ</w:t>
      </w:r>
      <w:r w:rsidRPr="00282AC9">
        <w:rPr>
          <w:rFonts w:ascii="Times New Roman" w:hAnsi="Times New Roman"/>
          <w:sz w:val="27"/>
          <w:rtl/>
          <w:lang w:bidi="ar-MA"/>
        </w:rPr>
        <w:t xml:space="preserve"> من القضايا المنتمية </w:t>
      </w:r>
      <w:r w:rsidRPr="00282AC9">
        <w:rPr>
          <w:rFonts w:ascii="Times New Roman" w:hAnsi="Times New Roman" w:hint="cs"/>
          <w:sz w:val="27"/>
          <w:rtl/>
          <w:lang w:bidi="ar-MA"/>
        </w:rPr>
        <w:t>إ</w:t>
      </w:r>
      <w:r w:rsidRPr="00282AC9">
        <w:rPr>
          <w:rFonts w:ascii="Times New Roman" w:hAnsi="Times New Roman"/>
          <w:sz w:val="27"/>
          <w:rtl/>
          <w:lang w:bidi="ar-MA"/>
        </w:rPr>
        <w:t>لى مجال اللغة والدلالة والمعجم والسيا</w:t>
      </w:r>
      <w:r w:rsidRPr="00282AC9">
        <w:rPr>
          <w:rFonts w:ascii="Times New Roman" w:hAnsi="Times New Roman" w:hint="cs"/>
          <w:sz w:val="27"/>
          <w:rtl/>
          <w:lang w:bidi="ar-MA"/>
        </w:rPr>
        <w:t>ق</w:t>
      </w:r>
      <w:r w:rsidR="002648C1"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فالناظر في كتب علم أصول الفقه</w:t>
      </w:r>
      <w:r w:rsidR="002648C1" w:rsidRPr="00282AC9">
        <w:rPr>
          <w:rFonts w:ascii="Times New Roman" w:hAnsi="Times New Roman" w:hint="cs"/>
          <w:sz w:val="27"/>
          <w:rtl/>
          <w:lang w:bidi="ar-MA"/>
        </w:rPr>
        <w:t>، و</w:t>
      </w:r>
      <w:r w:rsidR="00674EF5" w:rsidRPr="00282AC9">
        <w:rPr>
          <w:rFonts w:ascii="Times New Roman" w:hAnsi="Times New Roman"/>
          <w:sz w:val="27"/>
          <w:rtl/>
          <w:lang w:bidi="ar-MA"/>
        </w:rPr>
        <w:t>لا سيَّما</w:t>
      </w:r>
      <w:r w:rsidRPr="00282AC9">
        <w:rPr>
          <w:rFonts w:ascii="Times New Roman" w:hAnsi="Times New Roman"/>
          <w:sz w:val="27"/>
          <w:rtl/>
          <w:lang w:bidi="ar-MA"/>
        </w:rPr>
        <w:t xml:space="preserve"> الأم</w:t>
      </w:r>
      <w:r w:rsidR="002648C1" w:rsidRPr="00282AC9">
        <w:rPr>
          <w:rFonts w:ascii="Times New Roman" w:hAnsi="Times New Roman" w:hint="cs"/>
          <w:sz w:val="27"/>
          <w:rtl/>
          <w:lang w:bidi="ar-MA"/>
        </w:rPr>
        <w:t>ّ</w:t>
      </w:r>
      <w:r w:rsidRPr="00282AC9">
        <w:rPr>
          <w:rFonts w:ascii="Times New Roman" w:hAnsi="Times New Roman"/>
          <w:sz w:val="27"/>
          <w:rtl/>
          <w:lang w:bidi="ar-MA"/>
        </w:rPr>
        <w:t>هات منها</w:t>
      </w:r>
      <w:r w:rsidRPr="00282AC9">
        <w:rPr>
          <w:rFonts w:ascii="Times New Roman" w:hAnsi="Times New Roman" w:hint="cs"/>
          <w:sz w:val="27"/>
          <w:rtl/>
          <w:lang w:bidi="ar-MA"/>
        </w:rPr>
        <w:t xml:space="preserve">، </w:t>
      </w:r>
      <w:r w:rsidRPr="00282AC9">
        <w:rPr>
          <w:rFonts w:ascii="Times New Roman" w:hAnsi="Times New Roman"/>
          <w:sz w:val="27"/>
          <w:rtl/>
          <w:lang w:bidi="ar-MA"/>
        </w:rPr>
        <w:t>ي</w:t>
      </w:r>
      <w:r w:rsidR="002648C1" w:rsidRPr="00282AC9">
        <w:rPr>
          <w:rFonts w:ascii="Times New Roman" w:hAnsi="Times New Roman" w:hint="cs"/>
          <w:sz w:val="27"/>
          <w:rtl/>
          <w:lang w:bidi="ar-MA"/>
        </w:rPr>
        <w:t>ُ</w:t>
      </w:r>
      <w:r w:rsidRPr="00282AC9">
        <w:rPr>
          <w:rFonts w:ascii="Times New Roman" w:hAnsi="Times New Roman"/>
          <w:sz w:val="27"/>
          <w:rtl/>
          <w:lang w:bidi="ar-MA"/>
        </w:rPr>
        <w:t>لاح</w:t>
      </w:r>
      <w:r w:rsidR="002648C1" w:rsidRPr="00282AC9">
        <w:rPr>
          <w:rFonts w:ascii="Times New Roman" w:hAnsi="Times New Roman" w:hint="cs"/>
          <w:sz w:val="27"/>
          <w:rtl/>
          <w:lang w:bidi="ar-MA"/>
        </w:rPr>
        <w:t>ِ</w:t>
      </w:r>
      <w:r w:rsidRPr="00282AC9">
        <w:rPr>
          <w:rFonts w:ascii="Times New Roman" w:hAnsi="Times New Roman"/>
          <w:sz w:val="27"/>
          <w:rtl/>
          <w:lang w:bidi="ar-MA"/>
        </w:rPr>
        <w:t>ظ أنها حاملة</w:t>
      </w:r>
      <w:r w:rsidR="002648C1" w:rsidRPr="00282AC9">
        <w:rPr>
          <w:rFonts w:ascii="Times New Roman" w:hAnsi="Times New Roman" w:hint="cs"/>
          <w:sz w:val="27"/>
          <w:rtl/>
          <w:lang w:bidi="ar-MA"/>
        </w:rPr>
        <w:t>ٌ</w:t>
      </w:r>
      <w:r w:rsidRPr="00282AC9">
        <w:rPr>
          <w:rFonts w:ascii="Times New Roman" w:hAnsi="Times New Roman"/>
          <w:sz w:val="27"/>
          <w:rtl/>
          <w:lang w:bidi="ar-MA"/>
        </w:rPr>
        <w:t xml:space="preserve"> لكثير من البحوث والدراسات التي تنتمي إلى علم اللغة</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وهذا مؤش</w:t>
      </w:r>
      <w:r w:rsidR="002648C1" w:rsidRPr="00282AC9">
        <w:rPr>
          <w:rFonts w:ascii="Times New Roman" w:hAnsi="Times New Roman" w:hint="cs"/>
          <w:sz w:val="27"/>
          <w:rtl/>
          <w:lang w:bidi="ar-MA"/>
        </w:rPr>
        <w:t>ِّ</w:t>
      </w:r>
      <w:r w:rsidRPr="00282AC9">
        <w:rPr>
          <w:rFonts w:ascii="Times New Roman" w:hAnsi="Times New Roman"/>
          <w:sz w:val="27"/>
          <w:rtl/>
          <w:lang w:bidi="ar-MA"/>
        </w:rPr>
        <w:t>ر</w:t>
      </w:r>
      <w:r w:rsidR="002648C1" w:rsidRPr="00282AC9">
        <w:rPr>
          <w:rFonts w:ascii="Times New Roman" w:hAnsi="Times New Roman" w:hint="cs"/>
          <w:sz w:val="27"/>
          <w:rtl/>
          <w:lang w:bidi="ar-MA"/>
        </w:rPr>
        <w:t>ٌ</w:t>
      </w:r>
      <w:r w:rsidRPr="00282AC9">
        <w:rPr>
          <w:rFonts w:ascii="Times New Roman" w:hAnsi="Times New Roman"/>
          <w:sz w:val="27"/>
          <w:rtl/>
          <w:lang w:bidi="ar-MA"/>
        </w:rPr>
        <w:t xml:space="preserve"> واضح</w:t>
      </w:r>
      <w:r w:rsidR="002648C1" w:rsidRPr="00282AC9">
        <w:rPr>
          <w:rFonts w:ascii="Times New Roman" w:hAnsi="Times New Roman" w:hint="cs"/>
          <w:sz w:val="27"/>
          <w:rtl/>
          <w:lang w:bidi="ar-MA"/>
        </w:rPr>
        <w:t>ٌ</w:t>
      </w:r>
      <w:r w:rsidRPr="00282AC9">
        <w:rPr>
          <w:rFonts w:ascii="Times New Roman" w:hAnsi="Times New Roman"/>
          <w:sz w:val="27"/>
          <w:rtl/>
          <w:lang w:bidi="ar-MA"/>
        </w:rPr>
        <w:t xml:space="preserve"> على توج</w:t>
      </w:r>
      <w:r w:rsidR="002648C1" w:rsidRPr="00282AC9">
        <w:rPr>
          <w:rFonts w:ascii="Times New Roman" w:hAnsi="Times New Roman" w:hint="cs"/>
          <w:sz w:val="27"/>
          <w:rtl/>
          <w:lang w:bidi="ar-MA"/>
        </w:rPr>
        <w:t>ُّ</w:t>
      </w:r>
      <w:r w:rsidRPr="00282AC9">
        <w:rPr>
          <w:rFonts w:ascii="Times New Roman" w:hAnsi="Times New Roman"/>
          <w:sz w:val="27"/>
          <w:rtl/>
          <w:lang w:bidi="ar-MA"/>
        </w:rPr>
        <w:t>ه علم أصول الفقه نحو الوجهة البيانية والتفسيرية</w:t>
      </w:r>
      <w:r w:rsidR="00EE0C5E" w:rsidRPr="00282AC9">
        <w:rPr>
          <w:rFonts w:ascii="Times New Roman" w:hAnsi="Times New Roman" w:hint="cs"/>
          <w:sz w:val="27"/>
          <w:rtl/>
          <w:lang w:bidi="ar-MA"/>
        </w:rPr>
        <w:t xml:space="preserve">. </w:t>
      </w:r>
      <w:r w:rsidRPr="00282AC9">
        <w:rPr>
          <w:rFonts w:ascii="Times New Roman" w:hAnsi="Times New Roman"/>
          <w:sz w:val="27"/>
          <w:rtl/>
          <w:lang w:bidi="ar-MA"/>
        </w:rPr>
        <w:t>وهذا البحث هو إبراز</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وإظهار لمنهج علماء الأصول في اشتغالهم على المعنى</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و</w:t>
      </w:r>
      <w:r w:rsidRPr="00282AC9">
        <w:rPr>
          <w:rFonts w:ascii="Times New Roman" w:hAnsi="Times New Roman" w:hint="cs"/>
          <w:sz w:val="27"/>
          <w:rtl/>
          <w:lang w:bidi="ar-MA"/>
        </w:rPr>
        <w:t xml:space="preserve">تعيين </w:t>
      </w:r>
      <w:r w:rsidRPr="00282AC9">
        <w:rPr>
          <w:rFonts w:ascii="Times New Roman" w:hAnsi="Times New Roman"/>
          <w:sz w:val="27"/>
          <w:rtl/>
          <w:lang w:bidi="ar-MA"/>
        </w:rPr>
        <w:t>طرائقهم ومسالكهم في استمداد هذا المعنى من النص</w:t>
      </w:r>
      <w:r w:rsidR="00EE0C5E" w:rsidRPr="00282AC9">
        <w:rPr>
          <w:rFonts w:ascii="Times New Roman" w:hAnsi="Times New Roman" w:hint="cs"/>
          <w:sz w:val="27"/>
          <w:rtl/>
          <w:lang w:bidi="ar-MA"/>
        </w:rPr>
        <w:t xml:space="preserve">ّ؛ </w:t>
      </w:r>
      <w:r w:rsidRPr="00282AC9">
        <w:rPr>
          <w:rFonts w:ascii="Times New Roman" w:hAnsi="Times New Roman" w:hint="cs"/>
          <w:sz w:val="27"/>
          <w:rtl/>
          <w:lang w:bidi="ar-MA"/>
        </w:rPr>
        <w:t>حت</w:t>
      </w:r>
      <w:r w:rsidR="00EE0C5E" w:rsidRPr="00282AC9">
        <w:rPr>
          <w:rFonts w:ascii="Times New Roman" w:hAnsi="Times New Roman" w:hint="cs"/>
          <w:sz w:val="27"/>
          <w:rtl/>
          <w:lang w:bidi="ar-MA"/>
        </w:rPr>
        <w:t>ّ</w:t>
      </w:r>
      <w:r w:rsidRPr="00282AC9">
        <w:rPr>
          <w:rFonts w:ascii="Times New Roman" w:hAnsi="Times New Roman" w:hint="cs"/>
          <w:sz w:val="27"/>
          <w:rtl/>
          <w:lang w:bidi="ar-MA"/>
        </w:rPr>
        <w:t xml:space="preserve">ى يكون </w:t>
      </w:r>
      <w:r w:rsidRPr="00282AC9">
        <w:rPr>
          <w:rFonts w:ascii="Times New Roman" w:hAnsi="Times New Roman"/>
          <w:sz w:val="27"/>
          <w:rtl/>
          <w:lang w:bidi="ar-MA"/>
        </w:rPr>
        <w:t>مقد</w:t>
      </w:r>
      <w:r w:rsidR="00EE0C5E" w:rsidRPr="00282AC9">
        <w:rPr>
          <w:rFonts w:ascii="Times New Roman" w:hAnsi="Times New Roman" w:hint="cs"/>
          <w:sz w:val="27"/>
          <w:rtl/>
          <w:lang w:bidi="ar-MA"/>
        </w:rPr>
        <w:t>ّ</w:t>
      </w:r>
      <w:r w:rsidRPr="00282AC9">
        <w:rPr>
          <w:rFonts w:ascii="Times New Roman" w:hAnsi="Times New Roman"/>
          <w:sz w:val="27"/>
          <w:rtl/>
          <w:lang w:bidi="ar-MA"/>
        </w:rPr>
        <w:t>مة</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في الاستدلال على الأحكام الشرعية من النص</w:t>
      </w:r>
      <w:r w:rsidRPr="00282AC9">
        <w:rPr>
          <w:rFonts w:ascii="Times New Roman" w:hAnsi="Times New Roman" w:hint="cs"/>
          <w:sz w:val="27"/>
          <w:rtl/>
          <w:lang w:bidi="ar-MA"/>
        </w:rPr>
        <w:t>ّ.</w:t>
      </w:r>
    </w:p>
    <w:p w:rsidR="00D722E4" w:rsidRPr="00282AC9" w:rsidRDefault="00D722E4" w:rsidP="00460336">
      <w:pPr>
        <w:spacing w:line="300" w:lineRule="exact"/>
        <w:rPr>
          <w:rFonts w:ascii="Times New Roman" w:hAnsi="Times New Roman"/>
          <w:sz w:val="27"/>
          <w:rtl/>
          <w:lang w:bidi="ar-MA"/>
        </w:rPr>
      </w:pPr>
    </w:p>
    <w:p w:rsidR="00D722E4" w:rsidRPr="00282AC9" w:rsidRDefault="00D722E4" w:rsidP="00BF20B7">
      <w:pPr>
        <w:pStyle w:val="31"/>
        <w:rPr>
          <w:color w:val="auto"/>
          <w:rtl/>
          <w:lang w:bidi="ar-MA"/>
        </w:rPr>
      </w:pPr>
      <w:r w:rsidRPr="00282AC9">
        <w:rPr>
          <w:color w:val="auto"/>
          <w:rtl/>
          <w:lang w:bidi="ar-MA"/>
        </w:rPr>
        <w:t>تمه</w:t>
      </w:r>
      <w:r w:rsidR="00BF20B7" w:rsidRPr="00282AC9">
        <w:rPr>
          <w:rFonts w:hint="cs"/>
          <w:color w:val="auto"/>
          <w:rtl/>
          <w:lang w:bidi="ar-MA"/>
        </w:rPr>
        <w:t>ي</w:t>
      </w:r>
      <w:r w:rsidRPr="00282AC9">
        <w:rPr>
          <w:color w:val="auto"/>
          <w:rtl/>
          <w:lang w:bidi="ar-MA"/>
        </w:rPr>
        <w:t>د</w:t>
      </w:r>
      <w:r w:rsidRPr="00282AC9">
        <w:rPr>
          <w:rFonts w:hint="cs"/>
          <w:color w:val="auto"/>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ي</w:t>
      </w:r>
      <w:r w:rsidR="00EE0C5E" w:rsidRPr="00282AC9">
        <w:rPr>
          <w:rFonts w:ascii="Times New Roman" w:hAnsi="Times New Roman" w:hint="cs"/>
          <w:sz w:val="27"/>
          <w:rtl/>
          <w:lang w:bidi="ar-MA"/>
        </w:rPr>
        <w:t>ُ</w:t>
      </w:r>
      <w:r w:rsidRPr="00282AC9">
        <w:rPr>
          <w:rFonts w:ascii="Times New Roman" w:hAnsi="Times New Roman"/>
          <w:sz w:val="27"/>
          <w:rtl/>
          <w:lang w:bidi="ar-MA"/>
        </w:rPr>
        <w:t>ع</w:t>
      </w:r>
      <w:r w:rsidR="00EE0C5E" w:rsidRPr="00282AC9">
        <w:rPr>
          <w:rFonts w:ascii="Times New Roman" w:hAnsi="Times New Roman" w:hint="cs"/>
          <w:sz w:val="27"/>
          <w:rtl/>
          <w:lang w:bidi="ar-MA"/>
        </w:rPr>
        <w:t>َ</w:t>
      </w:r>
      <w:r w:rsidRPr="00282AC9">
        <w:rPr>
          <w:rFonts w:ascii="Times New Roman" w:hAnsi="Times New Roman"/>
          <w:sz w:val="27"/>
          <w:rtl/>
          <w:lang w:bidi="ar-MA"/>
        </w:rPr>
        <w:t>د</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مشكل تفسير النص</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الشرعي</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وبيان دلالته اللغوية ومعانيه الشرعية، </w:t>
      </w:r>
      <w:r w:rsidRPr="00282AC9">
        <w:rPr>
          <w:rFonts w:ascii="Times New Roman" w:hAnsi="Times New Roman"/>
          <w:sz w:val="27"/>
          <w:rtl/>
          <w:lang w:bidi="ar-MA"/>
        </w:rPr>
        <w:lastRenderedPageBreak/>
        <w:t>وتمث</w:t>
      </w:r>
      <w:r w:rsidR="00EE0C5E" w:rsidRPr="00282AC9">
        <w:rPr>
          <w:rFonts w:ascii="Times New Roman" w:hAnsi="Times New Roman" w:hint="cs"/>
          <w:sz w:val="27"/>
          <w:rtl/>
          <w:lang w:bidi="ar-MA"/>
        </w:rPr>
        <w:t>ُّ</w:t>
      </w:r>
      <w:r w:rsidRPr="00282AC9">
        <w:rPr>
          <w:rFonts w:ascii="Times New Roman" w:hAnsi="Times New Roman"/>
          <w:sz w:val="27"/>
          <w:rtl/>
          <w:lang w:bidi="ar-MA"/>
        </w:rPr>
        <w:t>ل القصد منه، من أبرز القضايا المعرفي</w:t>
      </w:r>
      <w:r w:rsidR="00EE0C5E" w:rsidRPr="00282AC9">
        <w:rPr>
          <w:rFonts w:ascii="Times New Roman" w:hAnsi="Times New Roman" w:hint="cs"/>
          <w:sz w:val="27"/>
          <w:rtl/>
          <w:lang w:bidi="ar-MA"/>
        </w:rPr>
        <w:t>ّ</w:t>
      </w:r>
      <w:r w:rsidRPr="00282AC9">
        <w:rPr>
          <w:rFonts w:ascii="Times New Roman" w:hAnsi="Times New Roman"/>
          <w:sz w:val="27"/>
          <w:rtl/>
          <w:lang w:bidi="ar-MA"/>
        </w:rPr>
        <w:t>ة والمنهجية التي أثارها علماء الإسلام عام</w:t>
      </w:r>
      <w:r w:rsidR="00EE0C5E" w:rsidRPr="00282AC9">
        <w:rPr>
          <w:rFonts w:ascii="Times New Roman" w:hAnsi="Times New Roman" w:hint="cs"/>
          <w:sz w:val="27"/>
          <w:rtl/>
          <w:lang w:bidi="ar-MA"/>
        </w:rPr>
        <w:t>ّ</w:t>
      </w:r>
      <w:r w:rsidRPr="00282AC9">
        <w:rPr>
          <w:rFonts w:ascii="Times New Roman" w:hAnsi="Times New Roman"/>
          <w:sz w:val="27"/>
          <w:rtl/>
          <w:lang w:bidi="ar-MA"/>
        </w:rPr>
        <w:t>ة</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وعلماء الأصول بصفة</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خاص</w:t>
      </w:r>
      <w:r w:rsidR="00EE0C5E" w:rsidRPr="00282AC9">
        <w:rPr>
          <w:rFonts w:ascii="Times New Roman" w:hAnsi="Times New Roman" w:hint="cs"/>
          <w:sz w:val="27"/>
          <w:rtl/>
          <w:lang w:bidi="ar-MA"/>
        </w:rPr>
        <w:t>ّ</w:t>
      </w:r>
      <w:r w:rsidRPr="00282AC9">
        <w:rPr>
          <w:rFonts w:ascii="Times New Roman" w:hAnsi="Times New Roman"/>
          <w:sz w:val="27"/>
          <w:rtl/>
          <w:lang w:bidi="ar-MA"/>
        </w:rPr>
        <w:t>ة</w:t>
      </w:r>
      <w:r w:rsidR="00EE0C5E"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 xml:space="preserve">فعلم أصول الفقه من </w:t>
      </w:r>
      <w:r w:rsidRPr="00282AC9">
        <w:rPr>
          <w:rFonts w:ascii="Times New Roman" w:hAnsi="Times New Roman" w:hint="cs"/>
          <w:sz w:val="27"/>
          <w:rtl/>
          <w:lang w:bidi="ar-MA"/>
        </w:rPr>
        <w:t>أ</w:t>
      </w:r>
      <w:r w:rsidRPr="00282AC9">
        <w:rPr>
          <w:rFonts w:ascii="Times New Roman" w:hAnsi="Times New Roman"/>
          <w:sz w:val="27"/>
          <w:rtl/>
          <w:lang w:bidi="ar-MA"/>
        </w:rPr>
        <w:t>برز العلوم استحضار</w:t>
      </w:r>
      <w:r w:rsidRPr="00282AC9">
        <w:rPr>
          <w:rFonts w:ascii="Times New Roman" w:hAnsi="Times New Roman" w:hint="cs"/>
          <w:sz w:val="27"/>
          <w:rtl/>
          <w:lang w:bidi="ar-MA"/>
        </w:rPr>
        <w:t>اً</w:t>
      </w:r>
      <w:r w:rsidRPr="00282AC9">
        <w:rPr>
          <w:rFonts w:ascii="Times New Roman" w:hAnsi="Times New Roman"/>
          <w:sz w:val="27"/>
          <w:rtl/>
          <w:lang w:bidi="ar-MA"/>
        </w:rPr>
        <w:t xml:space="preserve"> وإثارة</w:t>
      </w:r>
      <w:r w:rsidRPr="00282AC9">
        <w:rPr>
          <w:rFonts w:ascii="Times New Roman" w:hAnsi="Times New Roman" w:hint="cs"/>
          <w:sz w:val="27"/>
          <w:rtl/>
          <w:lang w:bidi="ar-MA"/>
        </w:rPr>
        <w:t>ً</w:t>
      </w:r>
      <w:r w:rsidRPr="00282AC9">
        <w:rPr>
          <w:rFonts w:ascii="Times New Roman" w:hAnsi="Times New Roman"/>
          <w:sz w:val="27"/>
          <w:rtl/>
          <w:lang w:bidi="ar-MA"/>
        </w:rPr>
        <w:t xml:space="preserve"> لهذا الإشكال</w:t>
      </w:r>
      <w:r w:rsidR="00EE0C5E"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فهو من أهم</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العلوم الإسلامية اشتغال</w:t>
      </w:r>
      <w:r w:rsidRPr="00282AC9">
        <w:rPr>
          <w:rFonts w:ascii="Times New Roman" w:hAnsi="Times New Roman" w:hint="cs"/>
          <w:sz w:val="27"/>
          <w:rtl/>
          <w:lang w:bidi="ar-MA"/>
        </w:rPr>
        <w:t>اً</w:t>
      </w:r>
      <w:r w:rsidRPr="00282AC9">
        <w:rPr>
          <w:rFonts w:ascii="Times New Roman" w:hAnsi="Times New Roman"/>
          <w:sz w:val="27"/>
          <w:rtl/>
          <w:lang w:bidi="ar-MA"/>
        </w:rPr>
        <w:t xml:space="preserve"> على الف</w:t>
      </w:r>
      <w:r w:rsidR="00EE0C5E" w:rsidRPr="00282AC9">
        <w:rPr>
          <w:rFonts w:ascii="Times New Roman" w:hAnsi="Times New Roman" w:hint="cs"/>
          <w:sz w:val="27"/>
          <w:rtl/>
          <w:lang w:bidi="ar-MA"/>
        </w:rPr>
        <w:t>َ</w:t>
      </w:r>
      <w:r w:rsidRPr="00282AC9">
        <w:rPr>
          <w:rFonts w:ascii="Times New Roman" w:hAnsi="Times New Roman"/>
          <w:sz w:val="27"/>
          <w:rtl/>
          <w:lang w:bidi="ar-MA"/>
        </w:rPr>
        <w:t>ه</w:t>
      </w:r>
      <w:r w:rsidR="00EE0C5E" w:rsidRPr="00282AC9">
        <w:rPr>
          <w:rFonts w:ascii="Times New Roman" w:hAnsi="Times New Roman" w:hint="cs"/>
          <w:sz w:val="27"/>
          <w:rtl/>
          <w:lang w:bidi="ar-MA"/>
        </w:rPr>
        <w:t>ْ</w:t>
      </w:r>
      <w:r w:rsidRPr="00282AC9">
        <w:rPr>
          <w:rFonts w:ascii="Times New Roman" w:hAnsi="Times New Roman"/>
          <w:sz w:val="27"/>
          <w:rtl/>
          <w:lang w:bidi="ar-MA"/>
        </w:rPr>
        <w:t>م</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واستحضار</w:t>
      </w:r>
      <w:r w:rsidRPr="00282AC9">
        <w:rPr>
          <w:rFonts w:ascii="Times New Roman" w:hAnsi="Times New Roman" w:hint="cs"/>
          <w:sz w:val="27"/>
          <w:rtl/>
          <w:lang w:bidi="ar-MA"/>
        </w:rPr>
        <w:t>اً</w:t>
      </w:r>
      <w:r w:rsidRPr="00282AC9">
        <w:rPr>
          <w:rFonts w:ascii="Times New Roman" w:hAnsi="Times New Roman"/>
          <w:sz w:val="27"/>
          <w:rtl/>
          <w:lang w:bidi="ar-MA"/>
        </w:rPr>
        <w:t xml:space="preserve"> لقضايا البيان في التراث العربي</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الإسلامي</w:t>
      </w:r>
      <w:r w:rsidR="00EE0C5E" w:rsidRPr="00282AC9">
        <w:rPr>
          <w:rFonts w:ascii="Times New Roman" w:hAnsi="Times New Roman" w:hint="cs"/>
          <w:sz w:val="27"/>
          <w:rtl/>
          <w:lang w:bidi="ar-MA"/>
        </w:rPr>
        <w:t>ّ</w:t>
      </w:r>
      <w:r w:rsidRPr="00282AC9">
        <w:rPr>
          <w:rFonts w:ascii="Times New Roman" w:hAnsi="Times New Roman"/>
          <w:sz w:val="27"/>
          <w:rtl/>
          <w:lang w:bidi="ar-MA"/>
        </w:rPr>
        <w:t>، إلى درجة أن هناك م</w:t>
      </w:r>
      <w:r w:rsidR="00EE0C5E" w:rsidRPr="00282AC9">
        <w:rPr>
          <w:rFonts w:ascii="Times New Roman" w:hAnsi="Times New Roman" w:hint="cs"/>
          <w:sz w:val="27"/>
          <w:rtl/>
          <w:lang w:bidi="ar-MA"/>
        </w:rPr>
        <w:t>َ</w:t>
      </w:r>
      <w:r w:rsidRPr="00282AC9">
        <w:rPr>
          <w:rFonts w:ascii="Times New Roman" w:hAnsi="Times New Roman"/>
          <w:sz w:val="27"/>
          <w:rtl/>
          <w:lang w:bidi="ar-MA"/>
        </w:rPr>
        <w:t>ن</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سم</w:t>
      </w:r>
      <w:r w:rsidR="00EE0C5E" w:rsidRPr="00282AC9">
        <w:rPr>
          <w:rFonts w:ascii="Times New Roman" w:hAnsi="Times New Roman" w:hint="cs"/>
          <w:sz w:val="27"/>
          <w:rtl/>
          <w:lang w:bidi="ar-MA"/>
        </w:rPr>
        <w:t>ّ</w:t>
      </w:r>
      <w:r w:rsidRPr="00282AC9">
        <w:rPr>
          <w:rFonts w:ascii="Times New Roman" w:hAnsi="Times New Roman"/>
          <w:sz w:val="27"/>
          <w:rtl/>
          <w:lang w:bidi="ar-MA"/>
        </w:rPr>
        <w:t>ى ونعت علم أصول الفقه ب</w:t>
      </w:r>
      <w:r w:rsidR="00EE0C5E" w:rsidRPr="00282AC9">
        <w:rPr>
          <w:rFonts w:ascii="Times New Roman" w:hAnsi="Times New Roman" w:hint="cs"/>
          <w:sz w:val="27"/>
          <w:rtl/>
          <w:lang w:bidi="ar-MA"/>
        </w:rPr>
        <w:t>ـ (</w:t>
      </w:r>
      <w:r w:rsidRPr="00282AC9">
        <w:rPr>
          <w:rFonts w:ascii="Times New Roman" w:hAnsi="Times New Roman"/>
          <w:sz w:val="27"/>
          <w:rtl/>
          <w:lang w:bidi="ar-MA"/>
        </w:rPr>
        <w:t>علم نقد النص</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أو </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علم </w:t>
      </w:r>
      <w:r w:rsidRPr="00282AC9">
        <w:rPr>
          <w:rFonts w:ascii="Times New Roman" w:hAnsi="Times New Roman" w:hint="cs"/>
          <w:sz w:val="27"/>
          <w:rtl/>
          <w:lang w:bidi="ar-MA"/>
        </w:rPr>
        <w:t xml:space="preserve">فهم </w:t>
      </w:r>
      <w:r w:rsidRPr="00282AC9">
        <w:rPr>
          <w:rFonts w:ascii="Times New Roman" w:hAnsi="Times New Roman"/>
          <w:sz w:val="27"/>
          <w:rtl/>
          <w:lang w:bidi="ar-MA"/>
        </w:rPr>
        <w:t>النص</w:t>
      </w:r>
      <w:r w:rsidR="00EE0C5E" w:rsidRPr="00282AC9">
        <w:rPr>
          <w:rFonts w:ascii="Times New Roman" w:hAnsi="Times New Roman" w:hint="cs"/>
          <w:sz w:val="27"/>
          <w:rtl/>
          <w:lang w:bidi="ar-MA"/>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691"/>
      </w:r>
      <w:r w:rsidRPr="00282AC9">
        <w:rPr>
          <w:rFonts w:ascii="Times New Roman" w:hAnsi="Times New Roman"/>
          <w:sz w:val="27"/>
          <w:vertAlign w:val="superscript"/>
          <w:rtl/>
          <w:lang w:bidi="ar-MA"/>
        </w:rPr>
        <w:t>)</w:t>
      </w:r>
      <w:r w:rsidRPr="00282AC9">
        <w:rPr>
          <w:rFonts w:ascii="Times New Roman" w:hAnsi="Times New Roman"/>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 xml:space="preserve">بحيث </w:t>
      </w:r>
      <w:r w:rsidRPr="00282AC9">
        <w:rPr>
          <w:rFonts w:ascii="Times New Roman" w:hAnsi="Times New Roman"/>
          <w:sz w:val="27"/>
          <w:rtl/>
          <w:lang w:bidi="ar-MA"/>
        </w:rPr>
        <w:t>أراد له مؤس</w:t>
      </w:r>
      <w:r w:rsidR="00EE0C5E" w:rsidRPr="00282AC9">
        <w:rPr>
          <w:rFonts w:ascii="Times New Roman" w:hAnsi="Times New Roman" w:hint="cs"/>
          <w:sz w:val="27"/>
          <w:rtl/>
          <w:lang w:bidi="ar-MA"/>
        </w:rPr>
        <w:t>ِّ</w:t>
      </w:r>
      <w:r w:rsidRPr="00282AC9">
        <w:rPr>
          <w:rFonts w:ascii="Times New Roman" w:hAnsi="Times New Roman"/>
          <w:sz w:val="27"/>
          <w:rtl/>
          <w:lang w:bidi="ar-MA"/>
        </w:rPr>
        <w:t>سه الإمام الشافعي</w:t>
      </w:r>
      <w:r w:rsidR="00EE0C5E" w:rsidRPr="00282AC9">
        <w:rPr>
          <w:rFonts w:ascii="Times New Roman" w:hAnsi="Times New Roman" w:hint="cs"/>
          <w:sz w:val="27"/>
          <w:rtl/>
          <w:lang w:bidi="ar-MA"/>
        </w:rPr>
        <w:t>(204هـ)</w:t>
      </w:r>
      <w:r w:rsidR="00EE0C5E" w:rsidRPr="00282AC9">
        <w:rPr>
          <w:rFonts w:ascii="Times New Roman" w:hAnsi="Times New Roman"/>
          <w:sz w:val="27"/>
          <w:rtl/>
          <w:lang w:bidi="ar-MA"/>
        </w:rPr>
        <w:t xml:space="preserve"> </w:t>
      </w:r>
      <w:r w:rsidRPr="00282AC9">
        <w:rPr>
          <w:rFonts w:ascii="Times New Roman" w:hAnsi="Times New Roman"/>
          <w:sz w:val="27"/>
          <w:rtl/>
          <w:lang w:bidi="ar-MA"/>
        </w:rPr>
        <w:t>أن يكون علم أصول الفقه علم</w:t>
      </w:r>
      <w:r w:rsidRPr="00282AC9">
        <w:rPr>
          <w:rFonts w:ascii="Times New Roman" w:hAnsi="Times New Roman" w:hint="cs"/>
          <w:sz w:val="27"/>
          <w:rtl/>
          <w:lang w:bidi="ar-MA"/>
        </w:rPr>
        <w:t>اً</w:t>
      </w:r>
      <w:r w:rsidRPr="00282AC9">
        <w:rPr>
          <w:rFonts w:ascii="Times New Roman" w:hAnsi="Times New Roman"/>
          <w:sz w:val="27"/>
          <w:rtl/>
          <w:lang w:bidi="ar-MA"/>
        </w:rPr>
        <w:t xml:space="preserve"> مسد</w:t>
      </w:r>
      <w:r w:rsidR="00EE0C5E" w:rsidRPr="00282AC9">
        <w:rPr>
          <w:rFonts w:ascii="Times New Roman" w:hAnsi="Times New Roman" w:hint="cs"/>
          <w:sz w:val="27"/>
          <w:rtl/>
          <w:lang w:bidi="ar-MA"/>
        </w:rPr>
        <w:t>ّ</w:t>
      </w:r>
      <w:r w:rsidRPr="00282AC9">
        <w:rPr>
          <w:rFonts w:ascii="Times New Roman" w:hAnsi="Times New Roman"/>
          <w:sz w:val="27"/>
          <w:rtl/>
          <w:lang w:bidi="ar-MA"/>
        </w:rPr>
        <w:t>د</w:t>
      </w:r>
      <w:r w:rsidRPr="00282AC9">
        <w:rPr>
          <w:rFonts w:ascii="Times New Roman" w:hAnsi="Times New Roman" w:hint="cs"/>
          <w:sz w:val="27"/>
          <w:rtl/>
          <w:lang w:bidi="ar-MA"/>
        </w:rPr>
        <w:t>اً</w:t>
      </w:r>
      <w:r w:rsidRPr="00282AC9">
        <w:rPr>
          <w:rFonts w:ascii="Times New Roman" w:hAnsi="Times New Roman"/>
          <w:sz w:val="27"/>
          <w:rtl/>
          <w:lang w:bidi="ar-MA"/>
        </w:rPr>
        <w:t xml:space="preserve"> في </w:t>
      </w:r>
      <w:r w:rsidRPr="00282AC9">
        <w:rPr>
          <w:rFonts w:ascii="Times New Roman" w:hAnsi="Times New Roman" w:hint="cs"/>
          <w:sz w:val="27"/>
          <w:rtl/>
          <w:lang w:bidi="ar-MA"/>
        </w:rPr>
        <w:t>تفه</w:t>
      </w:r>
      <w:r w:rsidR="00EE0C5E" w:rsidRPr="00282AC9">
        <w:rPr>
          <w:rFonts w:ascii="Times New Roman" w:hAnsi="Times New Roman" w:hint="cs"/>
          <w:sz w:val="27"/>
          <w:rtl/>
          <w:lang w:bidi="ar-MA"/>
        </w:rPr>
        <w:t>ُّ</w:t>
      </w:r>
      <w:r w:rsidRPr="00282AC9">
        <w:rPr>
          <w:rFonts w:ascii="Times New Roman" w:hAnsi="Times New Roman" w:hint="cs"/>
          <w:sz w:val="27"/>
          <w:rtl/>
          <w:lang w:bidi="ar-MA"/>
        </w:rPr>
        <w:t>م النص</w:t>
      </w:r>
      <w:r w:rsidR="00EE0C5E" w:rsidRPr="00282AC9">
        <w:rPr>
          <w:rFonts w:ascii="Times New Roman" w:hAnsi="Times New Roman" w:hint="cs"/>
          <w:sz w:val="27"/>
          <w:rtl/>
          <w:lang w:bidi="ar-MA"/>
        </w:rPr>
        <w:t>ّ</w:t>
      </w:r>
      <w:r w:rsidRPr="00282AC9">
        <w:rPr>
          <w:rFonts w:ascii="Times New Roman" w:hAnsi="Times New Roman"/>
          <w:sz w:val="27"/>
          <w:rtl/>
          <w:lang w:bidi="ar-MA"/>
        </w:rPr>
        <w:t>، ومساعد</w:t>
      </w:r>
      <w:r w:rsidRPr="00282AC9">
        <w:rPr>
          <w:rFonts w:ascii="Times New Roman" w:hAnsi="Times New Roman" w:hint="cs"/>
          <w:sz w:val="27"/>
          <w:rtl/>
          <w:lang w:bidi="ar-MA"/>
        </w:rPr>
        <w:t>اً</w:t>
      </w:r>
      <w:r w:rsidRPr="00282AC9">
        <w:rPr>
          <w:rFonts w:ascii="Times New Roman" w:hAnsi="Times New Roman"/>
          <w:sz w:val="27"/>
          <w:rtl/>
          <w:lang w:bidi="ar-MA"/>
        </w:rPr>
        <w:t xml:space="preserve"> على </w:t>
      </w:r>
      <w:r w:rsidRPr="00282AC9">
        <w:rPr>
          <w:rFonts w:ascii="Times New Roman" w:hAnsi="Times New Roman" w:hint="cs"/>
          <w:sz w:val="27"/>
          <w:rtl/>
          <w:lang w:bidi="ar-MA"/>
        </w:rPr>
        <w:t>الاستنباط</w:t>
      </w:r>
      <w:r w:rsidR="00EE0C5E" w:rsidRPr="00282AC9">
        <w:rPr>
          <w:rFonts w:ascii="Times New Roman" w:hAnsi="Times New Roman" w:hint="cs"/>
          <w:sz w:val="27"/>
          <w:rtl/>
          <w:lang w:bidi="ar-MA"/>
        </w:rPr>
        <w:t>،</w:t>
      </w:r>
      <w:r w:rsidRPr="00282AC9">
        <w:rPr>
          <w:rFonts w:ascii="Times New Roman" w:hAnsi="Times New Roman" w:hint="cs"/>
          <w:sz w:val="27"/>
          <w:rtl/>
          <w:lang w:bidi="ar-MA"/>
        </w:rPr>
        <w:t xml:space="preserve"> وموج</w:t>
      </w:r>
      <w:r w:rsidR="00EE0C5E" w:rsidRPr="00282AC9">
        <w:rPr>
          <w:rFonts w:ascii="Times New Roman" w:hAnsi="Times New Roman" w:hint="cs"/>
          <w:sz w:val="27"/>
          <w:rtl/>
          <w:lang w:bidi="ar-MA"/>
        </w:rPr>
        <w:t>ّ</w:t>
      </w:r>
      <w:r w:rsidRPr="00282AC9">
        <w:rPr>
          <w:rFonts w:ascii="Times New Roman" w:hAnsi="Times New Roman" w:hint="cs"/>
          <w:sz w:val="27"/>
          <w:rtl/>
          <w:lang w:bidi="ar-MA"/>
        </w:rPr>
        <w:t>ها</w:t>
      </w:r>
      <w:r w:rsidR="00EE0C5E" w:rsidRPr="00282AC9">
        <w:rPr>
          <w:rFonts w:ascii="Times New Roman" w:hAnsi="Times New Roman" w:hint="cs"/>
          <w:sz w:val="27"/>
          <w:rtl/>
          <w:lang w:bidi="ar-MA"/>
        </w:rPr>
        <w:t>ً</w:t>
      </w:r>
      <w:r w:rsidRPr="00282AC9">
        <w:rPr>
          <w:rFonts w:ascii="Times New Roman" w:hAnsi="Times New Roman" w:hint="cs"/>
          <w:sz w:val="27"/>
          <w:rtl/>
          <w:lang w:bidi="ar-MA"/>
        </w:rPr>
        <w:t xml:space="preserve"> ل</w:t>
      </w:r>
      <w:r w:rsidRPr="00282AC9">
        <w:rPr>
          <w:rFonts w:ascii="Times New Roman" w:hAnsi="Times New Roman"/>
          <w:sz w:val="27"/>
          <w:rtl/>
          <w:lang w:bidi="ar-MA"/>
        </w:rPr>
        <w:t xml:space="preserve">لاستدلال </w:t>
      </w:r>
      <w:r w:rsidRPr="00282AC9">
        <w:rPr>
          <w:rFonts w:ascii="Times New Roman" w:hAnsi="Times New Roman" w:hint="cs"/>
          <w:sz w:val="27"/>
          <w:rtl/>
          <w:lang w:bidi="ar-MA"/>
        </w:rPr>
        <w:t>على ا</w:t>
      </w:r>
      <w:r w:rsidRPr="00282AC9">
        <w:rPr>
          <w:rFonts w:ascii="Times New Roman" w:hAnsi="Times New Roman"/>
          <w:sz w:val="27"/>
          <w:rtl/>
          <w:lang w:bidi="ar-MA"/>
        </w:rPr>
        <w:t>لأحكام الشرعي</w:t>
      </w:r>
      <w:r w:rsidR="00EE0C5E" w:rsidRPr="00282AC9">
        <w:rPr>
          <w:rFonts w:ascii="Times New Roman" w:hAnsi="Times New Roman" w:hint="cs"/>
          <w:sz w:val="27"/>
          <w:rtl/>
          <w:lang w:bidi="ar-MA"/>
        </w:rPr>
        <w:t>ّ</w:t>
      </w:r>
      <w:r w:rsidRPr="00282AC9">
        <w:rPr>
          <w:rFonts w:ascii="Times New Roman" w:hAnsi="Times New Roman"/>
          <w:sz w:val="27"/>
          <w:rtl/>
          <w:lang w:bidi="ar-MA"/>
        </w:rPr>
        <w:t>ة</w:t>
      </w:r>
      <w:r w:rsidR="00EE0C5E" w:rsidRPr="00282AC9">
        <w:rPr>
          <w:rFonts w:ascii="Times New Roman" w:hAnsi="Times New Roman" w:hint="cs"/>
          <w:sz w:val="27"/>
          <w:rtl/>
          <w:lang w:bidi="ar-MA"/>
        </w:rPr>
        <w:t>؛</w:t>
      </w:r>
      <w:r w:rsidRPr="00282AC9">
        <w:rPr>
          <w:rFonts w:ascii="Times New Roman" w:hAnsi="Times New Roman"/>
          <w:sz w:val="27"/>
          <w:rtl/>
          <w:lang w:bidi="ar-MA"/>
        </w:rPr>
        <w:t xml:space="preserve"> ل</w:t>
      </w:r>
      <w:r w:rsidRPr="00282AC9">
        <w:rPr>
          <w:rFonts w:ascii="Times New Roman" w:hAnsi="Times New Roman" w:hint="cs"/>
          <w:sz w:val="27"/>
          <w:rtl/>
          <w:lang w:bidi="ar-MA"/>
        </w:rPr>
        <w:t>أ</w:t>
      </w:r>
      <w:r w:rsidRPr="00282AC9">
        <w:rPr>
          <w:rFonts w:ascii="Times New Roman" w:hAnsi="Times New Roman"/>
          <w:sz w:val="27"/>
          <w:rtl/>
          <w:lang w:bidi="ar-MA"/>
        </w:rPr>
        <w:t>ن تحصيل المعنى هو الطريق الأمثل لإدراك القصد في</w:t>
      </w:r>
      <w:r w:rsidRPr="00282AC9">
        <w:rPr>
          <w:rFonts w:ascii="Times New Roman" w:hAnsi="Times New Roman" w:hint="cs"/>
          <w:sz w:val="27"/>
          <w:rtl/>
          <w:lang w:bidi="ar-MA"/>
        </w:rPr>
        <w:t xml:space="preserve"> مضامين </w:t>
      </w:r>
      <w:r w:rsidRPr="00282AC9">
        <w:rPr>
          <w:rFonts w:ascii="Times New Roman" w:hAnsi="Times New Roman"/>
          <w:sz w:val="27"/>
          <w:rtl/>
          <w:lang w:bidi="ar-MA"/>
        </w:rPr>
        <w:t>النص</w:t>
      </w:r>
      <w:r w:rsidRPr="00282AC9">
        <w:rPr>
          <w:rFonts w:ascii="Times New Roman" w:hAnsi="Times New Roman" w:hint="cs"/>
          <w:sz w:val="27"/>
          <w:rtl/>
          <w:lang w:bidi="ar-MA"/>
        </w:rPr>
        <w:t>وص</w:t>
      </w:r>
      <w:r w:rsidRPr="00282AC9">
        <w:rPr>
          <w:rFonts w:ascii="Times New Roman" w:hAnsi="Times New Roman"/>
          <w:sz w:val="27"/>
          <w:rtl/>
          <w:lang w:bidi="ar-MA"/>
        </w:rPr>
        <w:t xml:space="preserve"> الشرعي</w:t>
      </w:r>
      <w:r w:rsidRPr="00282AC9">
        <w:rPr>
          <w:rFonts w:ascii="Times New Roman" w:hAnsi="Times New Roman" w:hint="cs"/>
          <w:sz w:val="27"/>
          <w:rtl/>
          <w:lang w:bidi="ar-MA"/>
        </w:rPr>
        <w:t>ة.</w:t>
      </w:r>
    </w:p>
    <w:p w:rsidR="00D722E4" w:rsidRPr="00282AC9" w:rsidRDefault="00372438" w:rsidP="00A20690">
      <w:pPr>
        <w:rPr>
          <w:b/>
          <w:bCs/>
          <w:rtl/>
          <w:lang w:bidi="ar-MA"/>
        </w:rPr>
      </w:pPr>
      <w:r w:rsidRPr="00282AC9">
        <w:rPr>
          <w:rFonts w:hint="cs"/>
          <w:rtl/>
          <w:lang w:bidi="ar-MA"/>
        </w:rPr>
        <w:t>و</w:t>
      </w:r>
      <w:r w:rsidR="00D722E4" w:rsidRPr="00282AC9">
        <w:rPr>
          <w:rtl/>
          <w:lang w:bidi="ar-MA"/>
        </w:rPr>
        <w:t>لما كان الو</w:t>
      </w:r>
      <w:r w:rsidRPr="00282AC9">
        <w:rPr>
          <w:rFonts w:hint="cs"/>
          <w:rtl/>
          <w:lang w:bidi="ar-MA"/>
        </w:rPr>
        <w:t>َ</w:t>
      </w:r>
      <w:r w:rsidR="00D722E4" w:rsidRPr="00282AC9">
        <w:rPr>
          <w:rtl/>
          <w:lang w:bidi="ar-MA"/>
        </w:rPr>
        <w:t>ح</w:t>
      </w:r>
      <w:r w:rsidRPr="00282AC9">
        <w:rPr>
          <w:rFonts w:hint="cs"/>
          <w:rtl/>
          <w:lang w:bidi="ar-MA"/>
        </w:rPr>
        <w:t>ْ</w:t>
      </w:r>
      <w:r w:rsidR="00D722E4" w:rsidRPr="00282AC9">
        <w:rPr>
          <w:rtl/>
          <w:lang w:bidi="ar-MA"/>
        </w:rPr>
        <w:t>ي هو مركز المعرفة في التراث العربي</w:t>
      </w:r>
      <w:r w:rsidRPr="00282AC9">
        <w:rPr>
          <w:rFonts w:hint="cs"/>
          <w:rtl/>
          <w:lang w:bidi="ar-MA"/>
        </w:rPr>
        <w:t>ّ</w:t>
      </w:r>
      <w:r w:rsidR="00D722E4" w:rsidRPr="00282AC9">
        <w:rPr>
          <w:rtl/>
          <w:lang w:bidi="ar-MA"/>
        </w:rPr>
        <w:t xml:space="preserve"> الإسلامي</w:t>
      </w:r>
      <w:r w:rsidRPr="00282AC9">
        <w:rPr>
          <w:rFonts w:hint="cs"/>
          <w:rtl/>
          <w:lang w:bidi="ar-MA"/>
        </w:rPr>
        <w:t>ّ</w:t>
      </w:r>
      <w:r w:rsidR="00D722E4" w:rsidRPr="00282AC9">
        <w:rPr>
          <w:rFonts w:hint="cs"/>
          <w:rtl/>
          <w:lang w:bidi="ar-MA"/>
        </w:rPr>
        <w:t xml:space="preserve"> ومدارها </w:t>
      </w:r>
      <w:r w:rsidR="00D722E4" w:rsidRPr="00282AC9">
        <w:rPr>
          <w:rtl/>
          <w:lang w:bidi="ar-MA"/>
        </w:rPr>
        <w:t>فقد نشأ</w:t>
      </w:r>
      <w:r w:rsidRPr="00282AC9">
        <w:rPr>
          <w:rFonts w:hint="cs"/>
          <w:rtl/>
          <w:lang w:bidi="ar-MA"/>
        </w:rPr>
        <w:t>َ</w:t>
      </w:r>
      <w:r w:rsidR="00D722E4" w:rsidRPr="00282AC9">
        <w:rPr>
          <w:rtl/>
          <w:lang w:bidi="ar-MA"/>
        </w:rPr>
        <w:t>ت</w:t>
      </w:r>
      <w:r w:rsidRPr="00282AC9">
        <w:rPr>
          <w:rFonts w:hint="cs"/>
          <w:rtl/>
          <w:lang w:bidi="ar-MA"/>
        </w:rPr>
        <w:t>ْ</w:t>
      </w:r>
      <w:r w:rsidR="00D722E4" w:rsidRPr="00282AC9">
        <w:rPr>
          <w:rtl/>
          <w:lang w:bidi="ar-MA"/>
        </w:rPr>
        <w:t xml:space="preserve"> مجموعة</w:t>
      </w:r>
      <w:r w:rsidRPr="00282AC9">
        <w:rPr>
          <w:rFonts w:hint="cs"/>
          <w:rtl/>
          <w:lang w:bidi="ar-MA"/>
        </w:rPr>
        <w:t>ٌ</w:t>
      </w:r>
      <w:r w:rsidR="00D722E4" w:rsidRPr="00282AC9">
        <w:rPr>
          <w:rtl/>
          <w:lang w:bidi="ar-MA"/>
        </w:rPr>
        <w:t xml:space="preserve"> من العلوم</w:t>
      </w:r>
      <w:r w:rsidR="00D722E4" w:rsidRPr="00282AC9">
        <w:rPr>
          <w:rFonts w:hint="cs"/>
          <w:rtl/>
          <w:lang w:bidi="ar-MA"/>
        </w:rPr>
        <w:t xml:space="preserve"> </w:t>
      </w:r>
      <w:r w:rsidR="00D722E4" w:rsidRPr="00282AC9">
        <w:rPr>
          <w:rtl/>
          <w:lang w:bidi="ar-MA"/>
        </w:rPr>
        <w:t>والمعارف انطلاق</w:t>
      </w:r>
      <w:r w:rsidR="00D722E4" w:rsidRPr="00282AC9">
        <w:rPr>
          <w:rFonts w:hint="cs"/>
          <w:rtl/>
          <w:lang w:bidi="ar-MA"/>
        </w:rPr>
        <w:t>اً</w:t>
      </w:r>
      <w:r w:rsidR="00D722E4" w:rsidRPr="00282AC9">
        <w:rPr>
          <w:rtl/>
          <w:lang w:bidi="ar-MA"/>
        </w:rPr>
        <w:t xml:space="preserve"> من هذا المركز</w:t>
      </w:r>
      <w:r w:rsidRPr="00282AC9">
        <w:rPr>
          <w:rFonts w:hint="cs"/>
          <w:rtl/>
          <w:lang w:bidi="ar-MA"/>
        </w:rPr>
        <w:t>،</w:t>
      </w:r>
      <w:r w:rsidR="00D722E4" w:rsidRPr="00282AC9">
        <w:rPr>
          <w:rtl/>
          <w:lang w:bidi="ar-MA"/>
        </w:rPr>
        <w:t xml:space="preserve"> الذي هو القر</w:t>
      </w:r>
      <w:r w:rsidRPr="00282AC9">
        <w:rPr>
          <w:rFonts w:hint="cs"/>
          <w:rtl/>
          <w:lang w:bidi="ar-MA"/>
        </w:rPr>
        <w:t>آ</w:t>
      </w:r>
      <w:r w:rsidR="00D722E4" w:rsidRPr="00282AC9">
        <w:rPr>
          <w:rtl/>
          <w:lang w:bidi="ar-MA"/>
        </w:rPr>
        <w:t>ن الكريم</w:t>
      </w:r>
      <w:r w:rsidRPr="00282AC9">
        <w:rPr>
          <w:rFonts w:hint="cs"/>
          <w:rtl/>
          <w:lang w:bidi="ar-MA"/>
        </w:rPr>
        <w:t>.</w:t>
      </w:r>
      <w:r w:rsidR="00D722E4" w:rsidRPr="00282AC9">
        <w:rPr>
          <w:rtl/>
          <w:lang w:bidi="ar-MA"/>
        </w:rPr>
        <w:t xml:space="preserve"> ومن </w:t>
      </w:r>
      <w:r w:rsidR="00D722E4" w:rsidRPr="00282AC9">
        <w:rPr>
          <w:rFonts w:hint="cs"/>
          <w:rtl/>
          <w:lang w:bidi="ar-MA"/>
        </w:rPr>
        <w:t xml:space="preserve">هذه العلوم </w:t>
      </w:r>
      <w:r w:rsidR="00D722E4" w:rsidRPr="00282AC9">
        <w:rPr>
          <w:rtl/>
          <w:lang w:bidi="ar-MA"/>
        </w:rPr>
        <w:t>علم</w:t>
      </w:r>
      <w:r w:rsidRPr="00282AC9">
        <w:rPr>
          <w:rFonts w:hint="cs"/>
          <w:rtl/>
          <w:lang w:bidi="ar-MA"/>
        </w:rPr>
        <w:t>ُ</w:t>
      </w:r>
      <w:r w:rsidR="00D722E4" w:rsidRPr="00282AC9">
        <w:rPr>
          <w:rtl/>
          <w:lang w:bidi="ar-MA"/>
        </w:rPr>
        <w:t xml:space="preserve"> أصول الفقه</w:t>
      </w:r>
      <w:r w:rsidRPr="00282AC9">
        <w:rPr>
          <w:rFonts w:hint="cs"/>
          <w:rtl/>
          <w:lang w:bidi="ar-MA"/>
        </w:rPr>
        <w:t>،</w:t>
      </w:r>
      <w:r w:rsidR="00D722E4" w:rsidRPr="00282AC9">
        <w:rPr>
          <w:rtl/>
          <w:lang w:bidi="ar-MA"/>
        </w:rPr>
        <w:t xml:space="preserve"> الذي يشتغل</w:t>
      </w:r>
      <w:r w:rsidR="00D722E4" w:rsidRPr="00282AC9">
        <w:rPr>
          <w:rFonts w:hint="cs"/>
          <w:rtl/>
          <w:lang w:bidi="ar-MA"/>
        </w:rPr>
        <w:t xml:space="preserve"> </w:t>
      </w:r>
      <w:r w:rsidR="00D722E4" w:rsidRPr="00282AC9">
        <w:rPr>
          <w:rFonts w:hint="eastAsia"/>
          <w:rtl/>
          <w:lang w:bidi="ar-MA"/>
        </w:rPr>
        <w:t>على</w:t>
      </w:r>
      <w:r w:rsidR="00D722E4" w:rsidRPr="00282AC9">
        <w:rPr>
          <w:rFonts w:hint="cs"/>
          <w:rtl/>
          <w:lang w:bidi="ar-MA"/>
        </w:rPr>
        <w:t xml:space="preserve"> </w:t>
      </w:r>
      <w:r w:rsidR="00D722E4" w:rsidRPr="00282AC9">
        <w:rPr>
          <w:rFonts w:hint="eastAsia"/>
          <w:rtl/>
          <w:lang w:bidi="ar-MA"/>
        </w:rPr>
        <w:t>صناعة</w:t>
      </w:r>
      <w:r w:rsidR="00D722E4" w:rsidRPr="00282AC9">
        <w:rPr>
          <w:rFonts w:hint="cs"/>
          <w:rtl/>
          <w:lang w:bidi="ar-MA"/>
        </w:rPr>
        <w:t xml:space="preserve"> </w:t>
      </w:r>
      <w:r w:rsidR="00D722E4" w:rsidRPr="00282AC9">
        <w:rPr>
          <w:rFonts w:hint="eastAsia"/>
          <w:rtl/>
          <w:lang w:bidi="ar-MA"/>
        </w:rPr>
        <w:t>واستمداد</w:t>
      </w:r>
      <w:r w:rsidR="00D722E4" w:rsidRPr="00282AC9">
        <w:rPr>
          <w:rFonts w:hint="cs"/>
          <w:rtl/>
          <w:lang w:bidi="ar-MA"/>
        </w:rPr>
        <w:t xml:space="preserve"> المعنى </w:t>
      </w:r>
      <w:r w:rsidR="00D722E4" w:rsidRPr="00282AC9">
        <w:rPr>
          <w:rFonts w:hint="eastAsia"/>
          <w:rtl/>
          <w:lang w:bidi="ar-MA"/>
        </w:rPr>
        <w:t>من</w:t>
      </w:r>
      <w:r w:rsidR="00D722E4" w:rsidRPr="00282AC9">
        <w:rPr>
          <w:rFonts w:hint="cs"/>
          <w:rtl/>
          <w:lang w:bidi="ar-MA"/>
        </w:rPr>
        <w:t xml:space="preserve"> </w:t>
      </w:r>
      <w:r w:rsidR="00D722E4" w:rsidRPr="00282AC9">
        <w:rPr>
          <w:rFonts w:hint="eastAsia"/>
          <w:rtl/>
          <w:lang w:bidi="ar-MA"/>
        </w:rPr>
        <w:t>النص</w:t>
      </w:r>
      <w:r w:rsidRPr="00282AC9">
        <w:rPr>
          <w:rFonts w:hint="cs"/>
          <w:rtl/>
          <w:lang w:bidi="ar-MA"/>
        </w:rPr>
        <w:t>ّ</w:t>
      </w:r>
      <w:r w:rsidR="00D722E4" w:rsidRPr="00282AC9">
        <w:rPr>
          <w:rFonts w:hint="cs"/>
          <w:rtl/>
          <w:lang w:bidi="ar-MA"/>
        </w:rPr>
        <w:t xml:space="preserve"> </w:t>
      </w:r>
      <w:r w:rsidR="00D722E4" w:rsidRPr="00282AC9">
        <w:rPr>
          <w:rFonts w:hint="eastAsia"/>
          <w:rtl/>
          <w:lang w:bidi="ar-MA"/>
        </w:rPr>
        <w:t>الشرعي</w:t>
      </w:r>
      <w:r w:rsidRPr="00282AC9">
        <w:rPr>
          <w:rFonts w:hint="cs"/>
          <w:rtl/>
          <w:lang w:bidi="ar-MA"/>
        </w:rPr>
        <w:t>؛</w:t>
      </w:r>
      <w:r w:rsidR="00D722E4" w:rsidRPr="00282AC9">
        <w:rPr>
          <w:rFonts w:hint="eastAsia"/>
          <w:rtl/>
          <w:lang w:bidi="ar-MA"/>
        </w:rPr>
        <w:t xml:space="preserve"> </w:t>
      </w:r>
      <w:r w:rsidR="00D722E4" w:rsidRPr="00282AC9">
        <w:rPr>
          <w:rFonts w:hint="cs"/>
          <w:rtl/>
          <w:lang w:bidi="ar-MA"/>
        </w:rPr>
        <w:t>ليكون هذا المعنى طريقا</w:t>
      </w:r>
      <w:r w:rsidRPr="00282AC9">
        <w:rPr>
          <w:rFonts w:hint="cs"/>
          <w:rtl/>
          <w:lang w:bidi="ar-MA"/>
        </w:rPr>
        <w:t>ً</w:t>
      </w:r>
      <w:r w:rsidR="00D722E4" w:rsidRPr="00282AC9">
        <w:rPr>
          <w:rFonts w:hint="cs"/>
          <w:rtl/>
          <w:lang w:bidi="ar-MA"/>
        </w:rPr>
        <w:t xml:space="preserve"> إلى الاستنباط</w:t>
      </w:r>
      <w:r w:rsidRPr="00282AC9">
        <w:rPr>
          <w:rFonts w:hint="cs"/>
          <w:rtl/>
          <w:lang w:bidi="ar-MA"/>
        </w:rPr>
        <w:t>،</w:t>
      </w:r>
      <w:r w:rsidR="00D722E4" w:rsidRPr="00282AC9">
        <w:rPr>
          <w:rFonts w:hint="cs"/>
          <w:rtl/>
          <w:lang w:bidi="ar-MA"/>
        </w:rPr>
        <w:t xml:space="preserve"> وسبيلا</w:t>
      </w:r>
      <w:r w:rsidRPr="00282AC9">
        <w:rPr>
          <w:rFonts w:hint="cs"/>
          <w:rtl/>
          <w:lang w:bidi="ar-MA"/>
        </w:rPr>
        <w:t>ً</w:t>
      </w:r>
      <w:r w:rsidR="00D722E4" w:rsidRPr="00282AC9">
        <w:rPr>
          <w:rFonts w:hint="cs"/>
          <w:rtl/>
          <w:lang w:bidi="ar-MA"/>
        </w:rPr>
        <w:t xml:space="preserve"> إلى الاستدلال</w:t>
      </w:r>
      <w:r w:rsidRPr="00282AC9">
        <w:rPr>
          <w:rFonts w:hint="cs"/>
          <w:rtl/>
          <w:lang w:bidi="ar-MA"/>
        </w:rPr>
        <w:t>،</w:t>
      </w:r>
      <w:r w:rsidR="00D722E4" w:rsidRPr="00282AC9">
        <w:rPr>
          <w:rFonts w:hint="cs"/>
          <w:rtl/>
          <w:lang w:bidi="ar-MA"/>
        </w:rPr>
        <w:t xml:space="preserve"> وكذا البرهنة على القضايا والنوازل غير المنصوص عليها</w:t>
      </w:r>
      <w:r w:rsidRPr="00282AC9">
        <w:rPr>
          <w:rFonts w:hint="cs"/>
          <w:rtl/>
          <w:lang w:bidi="ar-MA"/>
        </w:rPr>
        <w:t>،</w:t>
      </w:r>
      <w:r w:rsidR="00D722E4" w:rsidRPr="00282AC9">
        <w:rPr>
          <w:rFonts w:hint="cs"/>
          <w:rtl/>
          <w:lang w:bidi="ar-MA"/>
        </w:rPr>
        <w:t xml:space="preserve"> أو غير المصر</w:t>
      </w:r>
      <w:r w:rsidRPr="00282AC9">
        <w:rPr>
          <w:rFonts w:hint="cs"/>
          <w:rtl/>
          <w:lang w:bidi="ar-MA"/>
        </w:rPr>
        <w:t>َّ</w:t>
      </w:r>
      <w:r w:rsidR="00D722E4" w:rsidRPr="00282AC9">
        <w:rPr>
          <w:rFonts w:hint="cs"/>
          <w:rtl/>
          <w:lang w:bidi="ar-MA"/>
        </w:rPr>
        <w:t>ح بها</w:t>
      </w:r>
      <w:r w:rsidRPr="00282AC9">
        <w:rPr>
          <w:rFonts w:hint="cs"/>
          <w:rtl/>
          <w:lang w:bidi="ar-MA"/>
        </w:rPr>
        <w:t>،</w:t>
      </w:r>
      <w:r w:rsidR="00D722E4" w:rsidRPr="00282AC9">
        <w:rPr>
          <w:rFonts w:hint="cs"/>
          <w:rtl/>
          <w:lang w:bidi="ar-MA"/>
        </w:rPr>
        <w:t xml:space="preserve"> في النصوص الشرعي</w:t>
      </w:r>
      <w:r w:rsidRPr="00282AC9">
        <w:rPr>
          <w:rFonts w:hint="cs"/>
          <w:rtl/>
          <w:lang w:bidi="ar-MA"/>
        </w:rPr>
        <w:t>ّ</w:t>
      </w:r>
      <w:r w:rsidR="00D722E4" w:rsidRPr="00282AC9">
        <w:rPr>
          <w:rFonts w:hint="cs"/>
          <w:rtl/>
          <w:lang w:bidi="ar-MA"/>
        </w:rPr>
        <w:t>ة.</w:t>
      </w:r>
    </w:p>
    <w:p w:rsidR="00D722E4" w:rsidRPr="00282AC9" w:rsidRDefault="00D722E4" w:rsidP="00A20690">
      <w:pPr>
        <w:rPr>
          <w:rFonts w:ascii="Times New Roman" w:hAnsi="Times New Roman"/>
          <w:sz w:val="27"/>
          <w:rtl/>
          <w:lang w:bidi="ar-MA"/>
        </w:rPr>
      </w:pPr>
      <w:r w:rsidRPr="00282AC9">
        <w:rPr>
          <w:rFonts w:hint="cs"/>
          <w:sz w:val="27"/>
          <w:rtl/>
          <w:lang w:bidi="ar-MA"/>
        </w:rPr>
        <w:t>فالحضارة العربية الإسلامية ت</w:t>
      </w:r>
      <w:r w:rsidR="00372438" w:rsidRPr="00282AC9">
        <w:rPr>
          <w:rFonts w:hint="cs"/>
          <w:sz w:val="27"/>
          <w:rtl/>
          <w:lang w:bidi="ar-MA"/>
        </w:rPr>
        <w:t>ُ</w:t>
      </w:r>
      <w:r w:rsidRPr="00282AC9">
        <w:rPr>
          <w:rFonts w:hint="cs"/>
          <w:sz w:val="27"/>
          <w:rtl/>
          <w:lang w:bidi="ar-MA"/>
        </w:rPr>
        <w:t>ن</w:t>
      </w:r>
      <w:r w:rsidR="00372438" w:rsidRPr="00282AC9">
        <w:rPr>
          <w:rFonts w:hint="cs"/>
          <w:sz w:val="27"/>
          <w:rtl/>
          <w:lang w:bidi="ar-MA"/>
        </w:rPr>
        <w:t>ْ</w:t>
      </w:r>
      <w:r w:rsidRPr="00282AC9">
        <w:rPr>
          <w:rFonts w:hint="cs"/>
          <w:sz w:val="27"/>
          <w:rtl/>
          <w:lang w:bidi="ar-MA"/>
        </w:rPr>
        <w:t>ع</w:t>
      </w:r>
      <w:r w:rsidR="00372438" w:rsidRPr="00282AC9">
        <w:rPr>
          <w:rFonts w:hint="cs"/>
          <w:sz w:val="27"/>
          <w:rtl/>
          <w:lang w:bidi="ar-MA"/>
        </w:rPr>
        <w:t>َ</w:t>
      </w:r>
      <w:r w:rsidRPr="00282AC9">
        <w:rPr>
          <w:rFonts w:hint="cs"/>
          <w:sz w:val="27"/>
          <w:rtl/>
          <w:lang w:bidi="ar-MA"/>
        </w:rPr>
        <w:t>ت بين الباحثين عادة</w:t>
      </w:r>
      <w:r w:rsidR="00372438" w:rsidRPr="00282AC9">
        <w:rPr>
          <w:rFonts w:hint="cs"/>
          <w:sz w:val="27"/>
          <w:rtl/>
          <w:lang w:bidi="ar-MA"/>
        </w:rPr>
        <w:t>ً</w:t>
      </w:r>
      <w:r w:rsidRPr="00282AC9">
        <w:rPr>
          <w:rFonts w:hint="cs"/>
          <w:sz w:val="27"/>
          <w:rtl/>
          <w:lang w:bidi="ar-MA"/>
        </w:rPr>
        <w:t xml:space="preserve"> ب</w:t>
      </w:r>
      <w:r w:rsidR="00372438" w:rsidRPr="00282AC9">
        <w:rPr>
          <w:rFonts w:hint="cs"/>
          <w:sz w:val="27"/>
          <w:rtl/>
          <w:lang w:bidi="ar-MA"/>
        </w:rPr>
        <w:t>ـ (</w:t>
      </w:r>
      <w:r w:rsidRPr="00282AC9">
        <w:rPr>
          <w:rFonts w:hint="cs"/>
          <w:sz w:val="27"/>
          <w:rtl/>
          <w:lang w:bidi="ar-MA"/>
        </w:rPr>
        <w:t>حضارة النص</w:t>
      </w:r>
      <w:r w:rsidR="00372438" w:rsidRPr="00282AC9">
        <w:rPr>
          <w:rFonts w:hint="cs"/>
          <w:sz w:val="27"/>
          <w:rtl/>
          <w:lang w:bidi="ar-MA"/>
        </w:rPr>
        <w:t>ّ)</w:t>
      </w:r>
      <w:r w:rsidRPr="00282AC9">
        <w:rPr>
          <w:rFonts w:hint="cs"/>
          <w:sz w:val="27"/>
          <w:rtl/>
          <w:lang w:bidi="ar-MA"/>
        </w:rPr>
        <w:t>، وب</w:t>
      </w:r>
      <w:r w:rsidR="00372438" w:rsidRPr="00282AC9">
        <w:rPr>
          <w:rFonts w:hint="cs"/>
          <w:sz w:val="27"/>
          <w:rtl/>
          <w:lang w:bidi="ar-MA"/>
        </w:rPr>
        <w:t>ـ (</w:t>
      </w:r>
      <w:r w:rsidRPr="00282AC9">
        <w:rPr>
          <w:rFonts w:hint="cs"/>
          <w:sz w:val="27"/>
          <w:rtl/>
          <w:lang w:bidi="ar-MA"/>
        </w:rPr>
        <w:t>حضار</w:t>
      </w:r>
      <w:r w:rsidRPr="00282AC9">
        <w:rPr>
          <w:rFonts w:hint="eastAsia"/>
          <w:sz w:val="27"/>
          <w:rtl/>
          <w:lang w:bidi="ar-MA"/>
        </w:rPr>
        <w:t>ة</w:t>
      </w:r>
      <w:r w:rsidRPr="00282AC9">
        <w:rPr>
          <w:rFonts w:hint="cs"/>
          <w:sz w:val="27"/>
          <w:rtl/>
          <w:lang w:bidi="ar-MA"/>
        </w:rPr>
        <w:t xml:space="preserve"> التأويل</w:t>
      </w:r>
      <w:r w:rsidR="00372438" w:rsidRPr="00282AC9">
        <w:rPr>
          <w:rFonts w:hint="cs"/>
          <w:sz w:val="27"/>
          <w:rtl/>
          <w:lang w:bidi="ar-MA"/>
        </w:rPr>
        <w:t>)؛</w:t>
      </w:r>
      <w:r w:rsidRPr="00282AC9">
        <w:rPr>
          <w:rFonts w:hint="cs"/>
          <w:sz w:val="27"/>
          <w:rtl/>
          <w:lang w:bidi="ar-MA"/>
        </w:rPr>
        <w:t xml:space="preserve"> ذلك أن التأويل هو الوجه ال</w:t>
      </w:r>
      <w:r w:rsidR="00372438" w:rsidRPr="00282AC9">
        <w:rPr>
          <w:rFonts w:hint="cs"/>
          <w:sz w:val="27"/>
          <w:rtl/>
          <w:lang w:bidi="ar-MA"/>
        </w:rPr>
        <w:t>آ</w:t>
      </w:r>
      <w:r w:rsidRPr="00282AC9">
        <w:rPr>
          <w:rFonts w:hint="cs"/>
          <w:sz w:val="27"/>
          <w:rtl/>
          <w:lang w:bidi="ar-MA"/>
        </w:rPr>
        <w:t>خر والمقابل للنص</w:t>
      </w:r>
      <w:r w:rsidR="00372438" w:rsidRPr="00282AC9">
        <w:rPr>
          <w:rFonts w:ascii="Times New Roman" w:hAnsi="Times New Roman" w:hint="cs"/>
          <w:sz w:val="27"/>
          <w:rtl/>
          <w:lang w:bidi="ar-MA"/>
        </w:rPr>
        <w:t>ّ</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في هذا الإطار كان البحث عن المعنى</w:t>
      </w:r>
      <w:r w:rsidR="00372438" w:rsidRPr="00282AC9">
        <w:rPr>
          <w:rFonts w:hint="cs"/>
          <w:sz w:val="27"/>
          <w:rtl/>
          <w:lang w:bidi="ar-MA"/>
        </w:rPr>
        <w:t>،</w:t>
      </w:r>
      <w:r w:rsidRPr="00282AC9">
        <w:rPr>
          <w:rFonts w:hint="cs"/>
          <w:sz w:val="27"/>
          <w:rtl/>
          <w:lang w:bidi="ar-MA"/>
        </w:rPr>
        <w:t xml:space="preserve"> </w:t>
      </w:r>
      <w:r w:rsidRPr="00282AC9">
        <w:rPr>
          <w:rFonts w:ascii="Times New Roman" w:hAnsi="Times New Roman" w:hint="cs"/>
          <w:sz w:val="27"/>
          <w:rtl/>
          <w:lang w:bidi="ar-MA"/>
        </w:rPr>
        <w:t>والعمل على مقاربته</w:t>
      </w:r>
      <w:r w:rsidR="00372438" w:rsidRPr="00282AC9">
        <w:rPr>
          <w:rFonts w:ascii="Times New Roman" w:hAnsi="Times New Roman" w:hint="cs"/>
          <w:sz w:val="27"/>
          <w:rtl/>
          <w:lang w:bidi="ar-MA"/>
        </w:rPr>
        <w:t>،</w:t>
      </w:r>
      <w:r w:rsidRPr="00282AC9">
        <w:rPr>
          <w:rFonts w:ascii="Times New Roman" w:hAnsi="Times New Roman" w:hint="cs"/>
          <w:sz w:val="27"/>
          <w:rtl/>
          <w:lang w:bidi="ar-MA"/>
        </w:rPr>
        <w:t xml:space="preserve"> وت</w:t>
      </w:r>
      <w:r w:rsidR="00372438" w:rsidRPr="00282AC9">
        <w:rPr>
          <w:rFonts w:ascii="Times New Roman" w:hAnsi="Times New Roman" w:hint="cs"/>
          <w:sz w:val="27"/>
          <w:rtl/>
          <w:lang w:bidi="ar-MA"/>
        </w:rPr>
        <w:t>أ</w:t>
      </w:r>
      <w:r w:rsidRPr="00282AC9">
        <w:rPr>
          <w:rFonts w:ascii="Times New Roman" w:hAnsi="Times New Roman" w:hint="cs"/>
          <w:sz w:val="27"/>
          <w:rtl/>
          <w:lang w:bidi="ar-MA"/>
        </w:rPr>
        <w:t>مين الطريق والسبيل للوصول إليه</w:t>
      </w:r>
      <w:r w:rsidR="00372438" w:rsidRPr="00282AC9">
        <w:rPr>
          <w:rFonts w:ascii="Times New Roman" w:hAnsi="Times New Roman" w:hint="cs"/>
          <w:sz w:val="27"/>
          <w:rtl/>
          <w:lang w:bidi="ar-MA"/>
        </w:rPr>
        <w:t>،</w:t>
      </w:r>
      <w:r w:rsidRPr="00282AC9">
        <w:rPr>
          <w:rFonts w:ascii="Times New Roman" w:hAnsi="Times New Roman" w:hint="cs"/>
          <w:sz w:val="27"/>
          <w:rtl/>
          <w:lang w:bidi="ar-MA"/>
        </w:rPr>
        <w:t xml:space="preserve"> من أهم</w:t>
      </w:r>
      <w:r w:rsidR="00372438" w:rsidRPr="00282AC9">
        <w:rPr>
          <w:rFonts w:ascii="Times New Roman" w:hAnsi="Times New Roman" w:hint="cs"/>
          <w:sz w:val="27"/>
          <w:rtl/>
          <w:lang w:bidi="ar-MA"/>
        </w:rPr>
        <w:t>ّ</w:t>
      </w:r>
      <w:r w:rsidRPr="00282AC9">
        <w:rPr>
          <w:rFonts w:ascii="Times New Roman" w:hAnsi="Times New Roman" w:hint="cs"/>
          <w:sz w:val="27"/>
          <w:rtl/>
          <w:lang w:bidi="ar-MA"/>
        </w:rPr>
        <w:t xml:space="preserve"> المحاور الكبرى التي حضر</w:t>
      </w:r>
      <w:r w:rsidR="00372438" w:rsidRPr="00282AC9">
        <w:rPr>
          <w:rFonts w:ascii="Times New Roman" w:hAnsi="Times New Roman" w:hint="cs"/>
          <w:sz w:val="27"/>
          <w:rtl/>
          <w:lang w:bidi="ar-MA"/>
        </w:rPr>
        <w:t>َ</w:t>
      </w:r>
      <w:r w:rsidRPr="00282AC9">
        <w:rPr>
          <w:rFonts w:ascii="Times New Roman" w:hAnsi="Times New Roman" w:hint="cs"/>
          <w:sz w:val="27"/>
          <w:rtl/>
          <w:lang w:bidi="ar-MA"/>
        </w:rPr>
        <w:t>ت</w:t>
      </w:r>
      <w:r w:rsidR="00372438" w:rsidRPr="00282AC9">
        <w:rPr>
          <w:rFonts w:ascii="Times New Roman" w:hAnsi="Times New Roman" w:hint="cs"/>
          <w:sz w:val="27"/>
          <w:rtl/>
          <w:lang w:bidi="ar-MA"/>
        </w:rPr>
        <w:t>ْ</w:t>
      </w:r>
      <w:r w:rsidRPr="00282AC9">
        <w:rPr>
          <w:rFonts w:ascii="Times New Roman" w:hAnsi="Times New Roman" w:hint="cs"/>
          <w:sz w:val="27"/>
          <w:rtl/>
          <w:lang w:bidi="ar-MA"/>
        </w:rPr>
        <w:t xml:space="preserve"> في بناء العلوم الإسلامي</w:t>
      </w:r>
      <w:r w:rsidR="00372438" w:rsidRPr="00282AC9">
        <w:rPr>
          <w:rFonts w:ascii="Times New Roman" w:hAnsi="Times New Roman" w:hint="cs"/>
          <w:sz w:val="27"/>
          <w:rtl/>
          <w:lang w:bidi="ar-MA"/>
        </w:rPr>
        <w:t>ّ</w:t>
      </w:r>
      <w:r w:rsidRPr="00282AC9">
        <w:rPr>
          <w:rFonts w:ascii="Times New Roman" w:hAnsi="Times New Roman" w:hint="cs"/>
          <w:sz w:val="27"/>
          <w:rtl/>
          <w:lang w:bidi="ar-MA"/>
        </w:rPr>
        <w:t>ة</w:t>
      </w:r>
      <w:r w:rsidR="00372438" w:rsidRPr="00282AC9">
        <w:rPr>
          <w:rFonts w:ascii="Times New Roman" w:hAnsi="Times New Roman" w:hint="cs"/>
          <w:sz w:val="27"/>
          <w:rtl/>
          <w:lang w:bidi="ar-MA"/>
        </w:rPr>
        <w:t>.</w:t>
      </w:r>
      <w:r w:rsidRPr="00282AC9">
        <w:rPr>
          <w:rFonts w:ascii="Times New Roman" w:hAnsi="Times New Roman" w:hint="cs"/>
          <w:sz w:val="27"/>
          <w:rtl/>
          <w:lang w:bidi="ar-MA"/>
        </w:rPr>
        <w:t xml:space="preserve"> ومن العلوم التي نالت الصدارة في الاشتغال على المعنى علم أصول الفقه</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692"/>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460336" w:rsidRPr="00282AC9" w:rsidRDefault="00460336" w:rsidP="00460336">
      <w:pPr>
        <w:spacing w:line="420" w:lineRule="exact"/>
        <w:rPr>
          <w:sz w:val="27"/>
          <w:rtl/>
        </w:rPr>
      </w:pPr>
    </w:p>
    <w:p w:rsidR="00D722E4" w:rsidRPr="00282AC9" w:rsidRDefault="00D722E4" w:rsidP="00BF20B7">
      <w:pPr>
        <w:pStyle w:val="31"/>
        <w:rPr>
          <w:color w:val="auto"/>
          <w:rtl/>
          <w:lang w:bidi="ar-MA"/>
        </w:rPr>
      </w:pPr>
      <w:r w:rsidRPr="00282AC9">
        <w:rPr>
          <w:color w:val="auto"/>
          <w:rtl/>
          <w:lang w:bidi="ar-MA"/>
        </w:rPr>
        <w:t>الفهم والتفسير في الدرس ال</w:t>
      </w:r>
      <w:r w:rsidRPr="00282AC9">
        <w:rPr>
          <w:rFonts w:hint="cs"/>
          <w:color w:val="auto"/>
          <w:rtl/>
          <w:lang w:bidi="ar-MA"/>
        </w:rPr>
        <w:t>أ</w:t>
      </w:r>
      <w:r w:rsidRPr="00282AC9">
        <w:rPr>
          <w:color w:val="auto"/>
          <w:rtl/>
          <w:lang w:bidi="ar-MA"/>
        </w:rPr>
        <w:t>صولي</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إن تفسير النص</w:t>
      </w:r>
      <w:r w:rsidR="00372438" w:rsidRPr="00282AC9">
        <w:rPr>
          <w:rFonts w:ascii="Times New Roman" w:hAnsi="Times New Roman" w:hint="cs"/>
          <w:sz w:val="27"/>
          <w:rtl/>
          <w:lang w:bidi="ar-MA"/>
        </w:rPr>
        <w:t>ّ</w:t>
      </w:r>
      <w:r w:rsidRPr="00282AC9">
        <w:rPr>
          <w:rFonts w:ascii="Times New Roman" w:hAnsi="Times New Roman"/>
          <w:sz w:val="27"/>
          <w:rtl/>
          <w:lang w:bidi="ar-MA"/>
        </w:rPr>
        <w:t xml:space="preserve"> وفهمه</w:t>
      </w:r>
      <w:r w:rsidR="00372438" w:rsidRPr="00282AC9">
        <w:rPr>
          <w:rFonts w:ascii="Times New Roman" w:hAnsi="Times New Roman" w:hint="cs"/>
          <w:sz w:val="27"/>
          <w:rtl/>
          <w:lang w:bidi="ar-MA"/>
        </w:rPr>
        <w:t>،</w:t>
      </w:r>
      <w:r w:rsidRPr="00282AC9">
        <w:rPr>
          <w:rFonts w:ascii="Times New Roman" w:hAnsi="Times New Roman"/>
          <w:sz w:val="27"/>
          <w:rtl/>
          <w:lang w:bidi="ar-MA"/>
        </w:rPr>
        <w:t xml:space="preserve"> واستمداد معناه</w:t>
      </w:r>
      <w:r w:rsidR="00372438"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ascii="Times New Roman" w:hAnsi="Times New Roman" w:hint="cs"/>
          <w:sz w:val="27"/>
          <w:rtl/>
          <w:lang w:bidi="ar-MA"/>
        </w:rPr>
        <w:t>جزئي</w:t>
      </w:r>
      <w:r w:rsidR="00372438" w:rsidRPr="00282AC9">
        <w:rPr>
          <w:rFonts w:ascii="Times New Roman" w:hAnsi="Times New Roman" w:hint="cs"/>
          <w:sz w:val="27"/>
          <w:rtl/>
          <w:lang w:bidi="ar-MA"/>
        </w:rPr>
        <w:t>ّ</w:t>
      </w:r>
      <w:r w:rsidRPr="00282AC9">
        <w:rPr>
          <w:rFonts w:ascii="Times New Roman" w:hAnsi="Times New Roman" w:hint="cs"/>
          <w:sz w:val="27"/>
          <w:rtl/>
          <w:lang w:bidi="ar-MA"/>
        </w:rPr>
        <w:t>ا</w:t>
      </w:r>
      <w:r w:rsidR="00372438" w:rsidRPr="00282AC9">
        <w:rPr>
          <w:rFonts w:ascii="Times New Roman" w:hAnsi="Times New Roman" w:hint="cs"/>
          <w:sz w:val="27"/>
          <w:rtl/>
          <w:lang w:bidi="ar-MA"/>
        </w:rPr>
        <w:t>ً</w:t>
      </w:r>
      <w:r w:rsidRPr="00282AC9">
        <w:rPr>
          <w:rFonts w:ascii="Times New Roman" w:hAnsi="Times New Roman" w:hint="cs"/>
          <w:sz w:val="27"/>
          <w:rtl/>
          <w:lang w:bidi="ar-MA"/>
        </w:rPr>
        <w:t xml:space="preserve"> أو كل</w:t>
      </w:r>
      <w:r w:rsidR="00372438" w:rsidRPr="00282AC9">
        <w:rPr>
          <w:rFonts w:ascii="Times New Roman" w:hAnsi="Times New Roman" w:hint="cs"/>
          <w:sz w:val="27"/>
          <w:rtl/>
          <w:lang w:bidi="ar-MA"/>
        </w:rPr>
        <w:t>ِّ</w:t>
      </w:r>
      <w:r w:rsidRPr="00282AC9">
        <w:rPr>
          <w:rFonts w:ascii="Times New Roman" w:hAnsi="Times New Roman" w:hint="cs"/>
          <w:sz w:val="27"/>
          <w:rtl/>
          <w:lang w:bidi="ar-MA"/>
        </w:rPr>
        <w:t>يا</w:t>
      </w:r>
      <w:r w:rsidR="00372438"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شك</w:t>
      </w:r>
      <w:r w:rsidR="00372438" w:rsidRPr="00282AC9">
        <w:rPr>
          <w:rFonts w:ascii="Times New Roman" w:hAnsi="Times New Roman" w:hint="cs"/>
          <w:sz w:val="27"/>
          <w:rtl/>
          <w:lang w:bidi="ar-MA"/>
        </w:rPr>
        <w:t>َّ</w:t>
      </w:r>
      <w:r w:rsidRPr="00282AC9">
        <w:rPr>
          <w:rFonts w:ascii="Times New Roman" w:hAnsi="Times New Roman"/>
          <w:sz w:val="27"/>
          <w:rtl/>
          <w:lang w:bidi="ar-MA"/>
        </w:rPr>
        <w:t>ل قطاع</w:t>
      </w:r>
      <w:r w:rsidRPr="00282AC9">
        <w:rPr>
          <w:rFonts w:ascii="Times New Roman" w:hAnsi="Times New Roman" w:hint="cs"/>
          <w:sz w:val="27"/>
          <w:rtl/>
          <w:lang w:bidi="ar-MA"/>
        </w:rPr>
        <w:t>اً</w:t>
      </w:r>
      <w:r w:rsidRPr="00282AC9">
        <w:rPr>
          <w:rFonts w:ascii="Times New Roman" w:hAnsi="Times New Roman"/>
          <w:sz w:val="27"/>
          <w:rtl/>
          <w:lang w:bidi="ar-MA"/>
        </w:rPr>
        <w:t xml:space="preserve"> مشترك</w:t>
      </w:r>
      <w:r w:rsidRPr="00282AC9">
        <w:rPr>
          <w:rFonts w:ascii="Times New Roman" w:hAnsi="Times New Roman" w:hint="cs"/>
          <w:sz w:val="27"/>
          <w:rtl/>
          <w:lang w:bidi="ar-MA"/>
        </w:rPr>
        <w:t>اً</w:t>
      </w:r>
      <w:r w:rsidRPr="00282AC9">
        <w:rPr>
          <w:rFonts w:ascii="Times New Roman" w:hAnsi="Times New Roman"/>
          <w:sz w:val="27"/>
          <w:rtl/>
          <w:lang w:bidi="ar-MA"/>
        </w:rPr>
        <w:t xml:space="preserve"> بين كثير من الن</w:t>
      </w:r>
      <w:r w:rsidR="00955A2F" w:rsidRPr="00282AC9">
        <w:rPr>
          <w:rFonts w:ascii="Times New Roman" w:hAnsi="Times New Roman" w:hint="cs"/>
          <w:sz w:val="27"/>
          <w:rtl/>
          <w:lang w:bidi="ar-MA"/>
        </w:rPr>
        <w:t>ُّ</w:t>
      </w:r>
      <w:r w:rsidRPr="00282AC9">
        <w:rPr>
          <w:rFonts w:ascii="Times New Roman" w:hAnsi="Times New Roman"/>
          <w:sz w:val="27"/>
          <w:rtl/>
          <w:lang w:bidi="ar-MA"/>
        </w:rPr>
        <w:t>ظ</w:t>
      </w:r>
      <w:r w:rsidR="00955A2F" w:rsidRPr="00282AC9">
        <w:rPr>
          <w:rFonts w:ascii="Times New Roman" w:hAnsi="Times New Roman" w:hint="cs"/>
          <w:sz w:val="27"/>
          <w:rtl/>
          <w:lang w:bidi="ar-MA"/>
        </w:rPr>
        <w:t>ُ</w:t>
      </w:r>
      <w:r w:rsidRPr="00282AC9">
        <w:rPr>
          <w:rFonts w:ascii="Times New Roman" w:hAnsi="Times New Roman"/>
          <w:sz w:val="27"/>
          <w:rtl/>
          <w:lang w:bidi="ar-MA"/>
        </w:rPr>
        <w:t>م والمعارف والعلوم التي أس</w:t>
      </w:r>
      <w:r w:rsidR="00955A2F" w:rsidRPr="00282AC9">
        <w:rPr>
          <w:rFonts w:ascii="Times New Roman" w:hAnsi="Times New Roman" w:hint="cs"/>
          <w:sz w:val="27"/>
          <w:rtl/>
          <w:lang w:bidi="ar-MA"/>
        </w:rPr>
        <w:t>ّ</w:t>
      </w:r>
      <w:r w:rsidRPr="00282AC9">
        <w:rPr>
          <w:rFonts w:ascii="Times New Roman" w:hAnsi="Times New Roman"/>
          <w:sz w:val="27"/>
          <w:rtl/>
          <w:lang w:bidi="ar-MA"/>
        </w:rPr>
        <w:t>ست المحاور</w:t>
      </w:r>
      <w:r w:rsidRPr="00282AC9">
        <w:rPr>
          <w:rFonts w:ascii="Times New Roman" w:hAnsi="Times New Roman" w:hint="cs"/>
          <w:sz w:val="27"/>
          <w:rtl/>
          <w:lang w:bidi="ar-MA"/>
        </w:rPr>
        <w:t xml:space="preserve"> والأنساق</w:t>
      </w:r>
      <w:r w:rsidRPr="00282AC9">
        <w:rPr>
          <w:rFonts w:ascii="Times New Roman" w:hAnsi="Times New Roman"/>
          <w:sz w:val="27"/>
          <w:rtl/>
          <w:lang w:bidi="ar-MA"/>
        </w:rPr>
        <w:t xml:space="preserve"> المعرفي</w:t>
      </w:r>
      <w:r w:rsidR="00955A2F" w:rsidRPr="00282AC9">
        <w:rPr>
          <w:rFonts w:ascii="Times New Roman" w:hAnsi="Times New Roman" w:hint="cs"/>
          <w:sz w:val="27"/>
          <w:rtl/>
          <w:lang w:bidi="ar-MA"/>
        </w:rPr>
        <w:t>ّ</w:t>
      </w:r>
      <w:r w:rsidRPr="00282AC9">
        <w:rPr>
          <w:rFonts w:ascii="Times New Roman" w:hAnsi="Times New Roman"/>
          <w:sz w:val="27"/>
          <w:rtl/>
          <w:lang w:bidi="ar-MA"/>
        </w:rPr>
        <w:t>ة الكبرى في التراث العربي</w:t>
      </w:r>
      <w:r w:rsidR="00955A2F" w:rsidRPr="00282AC9">
        <w:rPr>
          <w:rFonts w:ascii="Times New Roman" w:hAnsi="Times New Roman" w:hint="cs"/>
          <w:sz w:val="27"/>
          <w:rtl/>
          <w:lang w:bidi="ar-MA"/>
        </w:rPr>
        <w:t>ّ</w:t>
      </w:r>
      <w:r w:rsidRPr="00282AC9">
        <w:rPr>
          <w:rFonts w:ascii="Times New Roman" w:hAnsi="Times New Roman"/>
          <w:sz w:val="27"/>
          <w:rtl/>
          <w:lang w:bidi="ar-MA"/>
        </w:rPr>
        <w:t xml:space="preserve"> الإسلامي</w:t>
      </w:r>
      <w:r w:rsidR="00955A2F" w:rsidRPr="00282AC9">
        <w:rPr>
          <w:rFonts w:ascii="Times New Roman" w:hAnsi="Times New Roman" w:hint="cs"/>
          <w:sz w:val="27"/>
          <w:rtl/>
          <w:lang w:bidi="ar-MA"/>
        </w:rPr>
        <w:t>ّ.</w:t>
      </w:r>
      <w:r w:rsidRPr="00282AC9">
        <w:rPr>
          <w:rFonts w:ascii="Times New Roman" w:hAnsi="Times New Roman"/>
          <w:sz w:val="27"/>
          <w:rtl/>
          <w:lang w:bidi="ar-MA"/>
        </w:rPr>
        <w:t xml:space="preserve"> لكن</w:t>
      </w:r>
      <w:r w:rsidR="00955A2F" w:rsidRPr="00282AC9">
        <w:rPr>
          <w:rFonts w:ascii="Times New Roman" w:hAnsi="Times New Roman" w:hint="cs"/>
          <w:sz w:val="27"/>
          <w:rtl/>
          <w:lang w:bidi="ar-MA"/>
        </w:rPr>
        <w:t>ّ</w:t>
      </w:r>
      <w:r w:rsidRPr="00282AC9">
        <w:rPr>
          <w:rFonts w:ascii="Times New Roman" w:hAnsi="Times New Roman"/>
          <w:sz w:val="27"/>
          <w:rtl/>
          <w:lang w:bidi="ar-MA"/>
        </w:rPr>
        <w:t xml:space="preserve"> ما قد</w:t>
      </w:r>
      <w:r w:rsidR="00955A2F" w:rsidRPr="00282AC9">
        <w:rPr>
          <w:rFonts w:ascii="Times New Roman" w:hAnsi="Times New Roman" w:hint="cs"/>
          <w:sz w:val="27"/>
          <w:rtl/>
          <w:lang w:bidi="ar-MA"/>
        </w:rPr>
        <w:t>َّ</w:t>
      </w:r>
      <w:r w:rsidRPr="00282AC9">
        <w:rPr>
          <w:rFonts w:ascii="Times New Roman" w:hAnsi="Times New Roman"/>
          <w:sz w:val="27"/>
          <w:rtl/>
          <w:lang w:bidi="ar-MA"/>
        </w:rPr>
        <w:t>مه علم أصول الفقه في محور صناعة المعنى</w:t>
      </w:r>
      <w:r w:rsidR="00955A2F"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ascii="Times New Roman" w:hAnsi="Times New Roman" w:hint="cs"/>
          <w:sz w:val="27"/>
          <w:rtl/>
          <w:lang w:bidi="ar-MA"/>
        </w:rPr>
        <w:t>وبشهادة الكثير</w:t>
      </w:r>
      <w:r w:rsidR="00955A2F"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يتمي</w:t>
      </w:r>
      <w:r w:rsidR="00955A2F" w:rsidRPr="00282AC9">
        <w:rPr>
          <w:rFonts w:ascii="Times New Roman" w:hAnsi="Times New Roman" w:hint="cs"/>
          <w:sz w:val="27"/>
          <w:rtl/>
          <w:lang w:bidi="ar-MA"/>
        </w:rPr>
        <w:t>َّ</w:t>
      </w:r>
      <w:r w:rsidRPr="00282AC9">
        <w:rPr>
          <w:rFonts w:ascii="Times New Roman" w:hAnsi="Times New Roman"/>
          <w:sz w:val="27"/>
          <w:rtl/>
          <w:lang w:bidi="ar-MA"/>
        </w:rPr>
        <w:t xml:space="preserve">ز </w:t>
      </w:r>
      <w:r w:rsidRPr="00282AC9">
        <w:rPr>
          <w:rFonts w:ascii="Times New Roman" w:hAnsi="Times New Roman" w:hint="cs"/>
          <w:sz w:val="27"/>
          <w:rtl/>
          <w:lang w:bidi="ar-MA"/>
        </w:rPr>
        <w:t>بخصوصي</w:t>
      </w:r>
      <w:r w:rsidR="00955A2F" w:rsidRPr="00282AC9">
        <w:rPr>
          <w:rFonts w:ascii="Times New Roman" w:hAnsi="Times New Roman" w:hint="cs"/>
          <w:sz w:val="27"/>
          <w:rtl/>
          <w:lang w:bidi="ar-MA"/>
        </w:rPr>
        <w:t>ّ</w:t>
      </w:r>
      <w:r w:rsidRPr="00282AC9">
        <w:rPr>
          <w:rFonts w:ascii="Times New Roman" w:hAnsi="Times New Roman" w:hint="cs"/>
          <w:sz w:val="27"/>
          <w:rtl/>
          <w:lang w:bidi="ar-MA"/>
        </w:rPr>
        <w:t>ة</w:t>
      </w:r>
      <w:r w:rsidR="00955A2F"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00955A2F" w:rsidRPr="00282AC9">
        <w:rPr>
          <w:rFonts w:ascii="Times New Roman" w:hAnsi="Times New Roman" w:hint="cs"/>
          <w:sz w:val="27"/>
          <w:rtl/>
          <w:lang w:bidi="ar-MA"/>
        </w:rPr>
        <w:t>عمّا</w:t>
      </w:r>
      <w:r w:rsidRPr="00282AC9">
        <w:rPr>
          <w:rFonts w:ascii="Times New Roman" w:hAnsi="Times New Roman"/>
          <w:sz w:val="27"/>
          <w:rtl/>
          <w:lang w:bidi="ar-MA"/>
        </w:rPr>
        <w:t xml:space="preserve"> قد</w:t>
      </w:r>
      <w:r w:rsidR="00955A2F" w:rsidRPr="00282AC9">
        <w:rPr>
          <w:rFonts w:ascii="Times New Roman" w:hAnsi="Times New Roman" w:hint="cs"/>
          <w:sz w:val="27"/>
          <w:rtl/>
          <w:lang w:bidi="ar-MA"/>
        </w:rPr>
        <w:t>َّ</w:t>
      </w:r>
      <w:r w:rsidRPr="00282AC9">
        <w:rPr>
          <w:rFonts w:ascii="Times New Roman" w:hAnsi="Times New Roman"/>
          <w:sz w:val="27"/>
          <w:rtl/>
          <w:lang w:bidi="ar-MA"/>
        </w:rPr>
        <w:t>مته الن</w:t>
      </w:r>
      <w:r w:rsidR="00955A2F" w:rsidRPr="00282AC9">
        <w:rPr>
          <w:rFonts w:ascii="Times New Roman" w:hAnsi="Times New Roman" w:hint="cs"/>
          <w:sz w:val="27"/>
          <w:rtl/>
          <w:lang w:bidi="ar-MA"/>
        </w:rPr>
        <w:t>ُّ</w:t>
      </w:r>
      <w:r w:rsidRPr="00282AC9">
        <w:rPr>
          <w:rFonts w:ascii="Times New Roman" w:hAnsi="Times New Roman"/>
          <w:sz w:val="27"/>
          <w:rtl/>
          <w:lang w:bidi="ar-MA"/>
        </w:rPr>
        <w:t>ظ</w:t>
      </w:r>
      <w:r w:rsidR="00955A2F" w:rsidRPr="00282AC9">
        <w:rPr>
          <w:rFonts w:ascii="Times New Roman" w:hAnsi="Times New Roman" w:hint="cs"/>
          <w:sz w:val="27"/>
          <w:rtl/>
          <w:lang w:bidi="ar-MA"/>
        </w:rPr>
        <w:t>ُ</w:t>
      </w:r>
      <w:r w:rsidRPr="00282AC9">
        <w:rPr>
          <w:rFonts w:ascii="Times New Roman" w:hAnsi="Times New Roman"/>
          <w:sz w:val="27"/>
          <w:rtl/>
          <w:lang w:bidi="ar-MA"/>
        </w:rPr>
        <w:t>م المعرفي</w:t>
      </w:r>
      <w:r w:rsidR="00955A2F" w:rsidRPr="00282AC9">
        <w:rPr>
          <w:rFonts w:ascii="Times New Roman" w:hAnsi="Times New Roman" w:hint="cs"/>
          <w:sz w:val="27"/>
          <w:rtl/>
          <w:lang w:bidi="ar-MA"/>
        </w:rPr>
        <w:t>ّ</w:t>
      </w:r>
      <w:r w:rsidRPr="00282AC9">
        <w:rPr>
          <w:rFonts w:ascii="Times New Roman" w:hAnsi="Times New Roman"/>
          <w:sz w:val="27"/>
          <w:rtl/>
          <w:lang w:bidi="ar-MA"/>
        </w:rPr>
        <w:t>ة الأخرى</w:t>
      </w:r>
      <w:r w:rsidRPr="00282AC9">
        <w:rPr>
          <w:rFonts w:ascii="Times New Roman" w:hAnsi="Times New Roman" w:hint="cs"/>
          <w:sz w:val="27"/>
          <w:rtl/>
          <w:lang w:bidi="ar-MA"/>
        </w:rPr>
        <w:t xml:space="preserve"> في </w:t>
      </w:r>
      <w:r w:rsidRPr="00282AC9">
        <w:rPr>
          <w:rFonts w:ascii="Times New Roman" w:hAnsi="Times New Roman" w:hint="cs"/>
          <w:sz w:val="27"/>
          <w:rtl/>
          <w:lang w:bidi="ar-MA"/>
        </w:rPr>
        <w:lastRenderedPageBreak/>
        <w:t>محور</w:t>
      </w:r>
      <w:r w:rsidRPr="00282AC9">
        <w:rPr>
          <w:rFonts w:ascii="Times New Roman" w:hAnsi="Times New Roman"/>
          <w:sz w:val="27"/>
          <w:rtl/>
          <w:lang w:bidi="ar-MA"/>
        </w:rPr>
        <w:t xml:space="preserve"> </w:t>
      </w:r>
      <w:r w:rsidRPr="00282AC9">
        <w:rPr>
          <w:rFonts w:ascii="Times New Roman" w:hAnsi="Times New Roman" w:hint="cs"/>
          <w:sz w:val="27"/>
          <w:rtl/>
          <w:lang w:bidi="ar-MA"/>
        </w:rPr>
        <w:t>التفسير والبيا</w:t>
      </w:r>
      <w:r w:rsidRPr="00282AC9">
        <w:rPr>
          <w:rFonts w:ascii="Times New Roman" w:hAnsi="Times New Roman" w:hint="eastAsia"/>
          <w:sz w:val="27"/>
          <w:rtl/>
          <w:lang w:bidi="ar-MA"/>
        </w:rPr>
        <w:t>ن</w:t>
      </w:r>
      <w:r w:rsidRPr="00282AC9">
        <w:rPr>
          <w:rFonts w:ascii="Times New Roman" w:hAnsi="Times New Roman" w:hint="cs"/>
          <w:sz w:val="27"/>
          <w:rtl/>
          <w:lang w:bidi="ar-MA"/>
        </w:rPr>
        <w:t xml:space="preserve"> والتأويل</w:t>
      </w:r>
      <w:r w:rsidRPr="00282AC9">
        <w:rPr>
          <w:rFonts w:ascii="Times New Roman" w:hAnsi="Times New Roman"/>
          <w:sz w:val="27"/>
          <w:rtl/>
          <w:lang w:bidi="ar-MA"/>
        </w:rPr>
        <w:t>.</w:t>
      </w:r>
    </w:p>
    <w:p w:rsidR="00D722E4" w:rsidRPr="00282AC9" w:rsidRDefault="00955A2F" w:rsidP="00A20690">
      <w:pPr>
        <w:rPr>
          <w:rFonts w:ascii="Times New Roman" w:hAnsi="Times New Roman"/>
          <w:sz w:val="27"/>
          <w:rtl/>
          <w:lang w:bidi="ar-MA"/>
        </w:rPr>
      </w:pPr>
      <w:r w:rsidRPr="00282AC9">
        <w:rPr>
          <w:rFonts w:ascii="Times New Roman" w:hAnsi="Times New Roman" w:hint="cs"/>
          <w:sz w:val="27"/>
          <w:rtl/>
          <w:lang w:bidi="ar-MA"/>
        </w:rPr>
        <w:t>وقد</w:t>
      </w:r>
      <w:r w:rsidR="00D722E4" w:rsidRPr="00282AC9">
        <w:rPr>
          <w:rFonts w:ascii="Times New Roman" w:hAnsi="Times New Roman"/>
          <w:sz w:val="27"/>
          <w:rtl/>
          <w:lang w:bidi="ar-MA"/>
        </w:rPr>
        <w:t xml:space="preserve"> ظهرت عد</w:t>
      </w:r>
      <w:r w:rsidRPr="00282AC9">
        <w:rPr>
          <w:rFonts w:ascii="Times New Roman" w:hAnsi="Times New Roman" w:hint="cs"/>
          <w:sz w:val="27"/>
          <w:rtl/>
          <w:lang w:bidi="ar-MA"/>
        </w:rPr>
        <w:t>ّ</w:t>
      </w:r>
      <w:r w:rsidR="00D722E4" w:rsidRPr="00282AC9">
        <w:rPr>
          <w:rFonts w:ascii="Times New Roman" w:hAnsi="Times New Roman"/>
          <w:sz w:val="27"/>
          <w:rtl/>
          <w:lang w:bidi="ar-MA"/>
        </w:rPr>
        <w:t>ة دراسات، وبرزت مجموعة</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من الأبحاث الأكاديمية</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حاول فيها أصحابها تشخيص مكو</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نات المنهج </w:t>
      </w:r>
      <w:r w:rsidR="00D722E4" w:rsidRPr="00282AC9">
        <w:rPr>
          <w:rFonts w:ascii="Times New Roman" w:hAnsi="Times New Roman" w:hint="cs"/>
          <w:sz w:val="27"/>
          <w:rtl/>
          <w:lang w:bidi="ar-MA"/>
        </w:rPr>
        <w:t>التفسيري</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وإظهار أ</w:t>
      </w:r>
      <w:r w:rsidRPr="00282AC9">
        <w:rPr>
          <w:rFonts w:ascii="Times New Roman" w:hAnsi="Times New Roman" w:hint="cs"/>
          <w:sz w:val="27"/>
          <w:rtl/>
          <w:lang w:bidi="ar-MA"/>
        </w:rPr>
        <w:t>ُ</w:t>
      </w:r>
      <w:r w:rsidR="00D722E4" w:rsidRPr="00282AC9">
        <w:rPr>
          <w:rFonts w:ascii="Times New Roman" w:hAnsi="Times New Roman"/>
          <w:sz w:val="27"/>
          <w:rtl/>
          <w:lang w:bidi="ar-MA"/>
        </w:rPr>
        <w:t>س</w:t>
      </w:r>
      <w:r w:rsidRPr="00282AC9">
        <w:rPr>
          <w:rFonts w:ascii="Times New Roman" w:hAnsi="Times New Roman" w:hint="cs"/>
          <w:sz w:val="27"/>
          <w:rtl/>
          <w:lang w:bidi="ar-MA"/>
        </w:rPr>
        <w:t>ُ</w:t>
      </w:r>
      <w:r w:rsidR="00D722E4" w:rsidRPr="00282AC9">
        <w:rPr>
          <w:rFonts w:ascii="Times New Roman" w:hAnsi="Times New Roman"/>
          <w:sz w:val="27"/>
          <w:rtl/>
          <w:lang w:bidi="ar-MA"/>
        </w:rPr>
        <w:t>سه</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و</w:t>
      </w:r>
      <w:r w:rsidR="00D722E4" w:rsidRPr="00282AC9">
        <w:rPr>
          <w:rFonts w:ascii="Times New Roman" w:hAnsi="Times New Roman" w:hint="cs"/>
          <w:sz w:val="27"/>
          <w:rtl/>
          <w:lang w:bidi="ar-MA"/>
        </w:rPr>
        <w:t xml:space="preserve">بيان </w:t>
      </w:r>
      <w:r w:rsidR="00D722E4" w:rsidRPr="00282AC9">
        <w:rPr>
          <w:rFonts w:ascii="Times New Roman" w:hAnsi="Times New Roman"/>
          <w:sz w:val="27"/>
          <w:rtl/>
          <w:lang w:bidi="ar-MA"/>
        </w:rPr>
        <w:t>عناصره</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وإجراء مقارنة</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بين هذا المنهج والمناهج المعاصرة المهتم</w:t>
      </w:r>
      <w:r w:rsidRPr="00282AC9">
        <w:rPr>
          <w:rFonts w:ascii="Times New Roman" w:hAnsi="Times New Roman" w:hint="cs"/>
          <w:sz w:val="27"/>
          <w:rtl/>
          <w:lang w:bidi="ar-MA"/>
        </w:rPr>
        <w:t>ّ</w:t>
      </w:r>
      <w:r w:rsidR="00D722E4" w:rsidRPr="00282AC9">
        <w:rPr>
          <w:rFonts w:ascii="Times New Roman" w:hAnsi="Times New Roman"/>
          <w:sz w:val="27"/>
          <w:rtl/>
          <w:lang w:bidi="ar-MA"/>
        </w:rPr>
        <w:t>ة</w:t>
      </w:r>
      <w:r w:rsidR="00D722E4" w:rsidRPr="00282AC9">
        <w:rPr>
          <w:rFonts w:ascii="Times New Roman" w:hAnsi="Times New Roman" w:hint="cs"/>
          <w:sz w:val="27"/>
          <w:rtl/>
          <w:lang w:bidi="ar-MA"/>
        </w:rPr>
        <w:t xml:space="preserve">، </w:t>
      </w:r>
      <w:r w:rsidRPr="00282AC9">
        <w:rPr>
          <w:rFonts w:ascii="Times New Roman" w:hAnsi="Times New Roman" w:hint="cs"/>
          <w:sz w:val="27"/>
          <w:rtl/>
          <w:lang w:bidi="ar-MA"/>
        </w:rPr>
        <w:t>و</w:t>
      </w:r>
      <w:r w:rsidR="00D722E4" w:rsidRPr="00282AC9">
        <w:rPr>
          <w:rFonts w:ascii="Times New Roman" w:hAnsi="Times New Roman"/>
          <w:sz w:val="27"/>
          <w:rtl/>
          <w:lang w:bidi="ar-MA"/>
        </w:rPr>
        <w:t>خاصة بمشاكل القراءة</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وبتحليل الخطاب، و</w:t>
      </w:r>
      <w:r w:rsidR="00D722E4" w:rsidRPr="00282AC9">
        <w:rPr>
          <w:rFonts w:ascii="Times New Roman" w:hAnsi="Times New Roman" w:hint="cs"/>
          <w:sz w:val="27"/>
          <w:rtl/>
          <w:lang w:bidi="ar-MA"/>
        </w:rPr>
        <w:t xml:space="preserve">بقضايا </w:t>
      </w:r>
      <w:r w:rsidR="00D722E4" w:rsidRPr="00282AC9">
        <w:rPr>
          <w:rFonts w:ascii="Times New Roman" w:hAnsi="Times New Roman"/>
          <w:sz w:val="27"/>
          <w:rtl/>
          <w:lang w:bidi="ar-MA"/>
        </w:rPr>
        <w:t>التفسير والتأويل</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وهي مقارنة</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توخ</w:t>
      </w:r>
      <w:r w:rsidRPr="00282AC9">
        <w:rPr>
          <w:rFonts w:ascii="Times New Roman" w:hAnsi="Times New Roman" w:hint="cs"/>
          <w:sz w:val="27"/>
          <w:rtl/>
          <w:lang w:bidi="ar-MA"/>
        </w:rPr>
        <w:t>ّ</w:t>
      </w:r>
      <w:r w:rsidR="00D722E4" w:rsidRPr="00282AC9">
        <w:rPr>
          <w:rFonts w:ascii="Times New Roman" w:hAnsi="Times New Roman"/>
          <w:sz w:val="27"/>
          <w:rtl/>
          <w:lang w:bidi="ar-MA"/>
        </w:rPr>
        <w:t>ى القائمون بها إدراك نق</w:t>
      </w:r>
      <w:r w:rsidRPr="00282AC9">
        <w:rPr>
          <w:rFonts w:ascii="Times New Roman" w:hAnsi="Times New Roman" w:hint="cs"/>
          <w:sz w:val="27"/>
          <w:rtl/>
          <w:lang w:bidi="ar-MA"/>
        </w:rPr>
        <w:t>ا</w:t>
      </w:r>
      <w:r w:rsidR="00D722E4" w:rsidRPr="00282AC9">
        <w:rPr>
          <w:rFonts w:ascii="Times New Roman" w:hAnsi="Times New Roman"/>
          <w:sz w:val="27"/>
          <w:rtl/>
          <w:lang w:bidi="ar-MA"/>
        </w:rPr>
        <w:t>ط التقاطع، ومحاور التلاقي</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وعناصر الاشتراك </w:t>
      </w:r>
      <w:r w:rsidR="00D722E4" w:rsidRPr="00282AC9">
        <w:rPr>
          <w:rFonts w:ascii="Times New Roman" w:hAnsi="Times New Roman" w:hint="cs"/>
          <w:sz w:val="27"/>
          <w:rtl/>
          <w:lang w:bidi="ar-MA"/>
        </w:rPr>
        <w:t>والاجتماع</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بين المنهج الأصولي والمناهج المعاصرة</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التي تشتغل على ر القراءة</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والبيان وتحليل الخطاب</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والتفسير</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والتأويل</w:t>
      </w:r>
      <w:r w:rsidR="00D722E4" w:rsidRPr="00282AC9">
        <w:rPr>
          <w:rFonts w:ascii="Times New Roman" w:hAnsi="Times New Roman"/>
          <w:sz w:val="27"/>
          <w:vertAlign w:val="superscript"/>
          <w:rtl/>
          <w:lang w:bidi="ar-MA"/>
        </w:rPr>
        <w:t>(</w:t>
      </w:r>
      <w:r w:rsidR="00D722E4" w:rsidRPr="00282AC9">
        <w:rPr>
          <w:rStyle w:val="af9"/>
          <w:rFonts w:ascii="Times New Roman" w:hAnsi="Times New Roman"/>
          <w:sz w:val="27"/>
          <w:rtl/>
          <w:lang w:bidi="ar-MA"/>
        </w:rPr>
        <w:endnoteReference w:id="693"/>
      </w:r>
      <w:r w:rsidR="00D722E4" w:rsidRPr="00282AC9">
        <w:rPr>
          <w:rFonts w:ascii="Times New Roman" w:hAnsi="Times New Roman"/>
          <w:sz w:val="27"/>
          <w:vertAlign w:val="superscript"/>
          <w:rtl/>
          <w:lang w:bidi="ar-MA"/>
        </w:rPr>
        <w:t>)</w:t>
      </w:r>
      <w:r w:rsidR="00D722E4" w:rsidRPr="00282AC9">
        <w:rPr>
          <w:rFonts w:ascii="Times New Roman" w:hAnsi="Times New Roman"/>
          <w:sz w:val="27"/>
          <w:rtl/>
          <w:lang w:bidi="ar-MA"/>
        </w:rPr>
        <w:t>.</w:t>
      </w:r>
    </w:p>
    <w:p w:rsidR="00D722E4" w:rsidRPr="00282AC9" w:rsidRDefault="008223AD" w:rsidP="00A20690">
      <w:pPr>
        <w:rPr>
          <w:rFonts w:ascii="Times New Roman" w:hAnsi="Times New Roman"/>
          <w:sz w:val="27"/>
          <w:rtl/>
          <w:lang w:bidi="ar-MA"/>
        </w:rPr>
      </w:pPr>
      <w:r w:rsidRPr="00282AC9">
        <w:rPr>
          <w:rFonts w:ascii="Times New Roman" w:hAnsi="Times New Roman" w:hint="cs"/>
          <w:sz w:val="27"/>
          <w:rtl/>
          <w:lang w:bidi="ar-MA"/>
        </w:rPr>
        <w:t>وقد</w:t>
      </w:r>
      <w:r w:rsidR="00D722E4" w:rsidRPr="00282AC9">
        <w:rPr>
          <w:rFonts w:ascii="Times New Roman" w:hAnsi="Times New Roman" w:hint="cs"/>
          <w:sz w:val="27"/>
          <w:rtl/>
          <w:lang w:bidi="ar-MA"/>
        </w:rPr>
        <w:t xml:space="preserve"> أسفرت </w:t>
      </w:r>
      <w:r w:rsidRPr="00282AC9">
        <w:rPr>
          <w:rFonts w:ascii="Times New Roman" w:hAnsi="Times New Roman" w:hint="cs"/>
          <w:sz w:val="27"/>
          <w:rtl/>
          <w:lang w:bidi="ar-MA"/>
        </w:rPr>
        <w:t>أ</w:t>
      </w:r>
      <w:r w:rsidR="00D722E4" w:rsidRPr="00282AC9">
        <w:rPr>
          <w:rFonts w:ascii="Times New Roman" w:hAnsi="Times New Roman" w:hint="cs"/>
          <w:sz w:val="27"/>
          <w:rtl/>
          <w:lang w:bidi="ar-MA"/>
        </w:rPr>
        <w:t>غلب النتائج عن المستوى العلمي</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الكبير الذي بلغه ووصل إليه منهج علماء </w:t>
      </w:r>
      <w:r w:rsidRPr="00282AC9">
        <w:rPr>
          <w:rFonts w:ascii="Times New Roman" w:hAnsi="Times New Roman" w:hint="cs"/>
          <w:sz w:val="27"/>
          <w:rtl/>
          <w:lang w:bidi="ar-MA"/>
        </w:rPr>
        <w:t>ال</w:t>
      </w:r>
      <w:r w:rsidR="00D722E4" w:rsidRPr="00282AC9">
        <w:rPr>
          <w:rFonts w:ascii="Times New Roman" w:hAnsi="Times New Roman" w:hint="cs"/>
          <w:sz w:val="27"/>
          <w:rtl/>
          <w:lang w:bidi="ar-MA"/>
        </w:rPr>
        <w:t>أصول في التعامل مع النصوص الشرعي</w:t>
      </w:r>
      <w:r w:rsidRPr="00282AC9">
        <w:rPr>
          <w:rFonts w:ascii="Times New Roman" w:hAnsi="Times New Roman" w:hint="cs"/>
          <w:sz w:val="27"/>
          <w:rtl/>
          <w:lang w:bidi="ar-MA"/>
        </w:rPr>
        <w:t>ّ</w:t>
      </w:r>
      <w:r w:rsidR="00D722E4" w:rsidRPr="00282AC9">
        <w:rPr>
          <w:rFonts w:ascii="Times New Roman" w:hAnsi="Times New Roman" w:hint="cs"/>
          <w:sz w:val="27"/>
          <w:rtl/>
          <w:lang w:bidi="ar-MA"/>
        </w:rPr>
        <w:t>ة بصفة</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عام</w:t>
      </w:r>
      <w:r w:rsidRPr="00282AC9">
        <w:rPr>
          <w:rFonts w:ascii="Times New Roman" w:hAnsi="Times New Roman" w:hint="cs"/>
          <w:sz w:val="27"/>
          <w:rtl/>
          <w:lang w:bidi="ar-MA"/>
        </w:rPr>
        <w:t>ّ</w:t>
      </w:r>
      <w:r w:rsidR="00D722E4" w:rsidRPr="00282AC9">
        <w:rPr>
          <w:rFonts w:ascii="Times New Roman" w:hAnsi="Times New Roman" w:hint="cs"/>
          <w:sz w:val="27"/>
          <w:rtl/>
          <w:lang w:bidi="ar-MA"/>
        </w:rPr>
        <w:t>ة</w:t>
      </w:r>
      <w:r w:rsidR="00D722E4" w:rsidRPr="00282AC9">
        <w:rPr>
          <w:rFonts w:ascii="Times New Roman" w:hAnsi="Times New Roman"/>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ف</w:t>
      </w:r>
      <w:r w:rsidRPr="00282AC9">
        <w:rPr>
          <w:rFonts w:ascii="Times New Roman" w:hAnsi="Times New Roman"/>
          <w:sz w:val="27"/>
          <w:rtl/>
          <w:lang w:bidi="ar-MA"/>
        </w:rPr>
        <w:t xml:space="preserve">الغاية من هذه الدراسات والبحوث هو </w:t>
      </w:r>
      <w:r w:rsidRPr="00282AC9">
        <w:rPr>
          <w:rFonts w:ascii="Times New Roman" w:hAnsi="Times New Roman" w:hint="cs"/>
          <w:sz w:val="27"/>
          <w:rtl/>
          <w:lang w:bidi="ar-MA"/>
        </w:rPr>
        <w:t>المقارنة والموازنة بين المناهج التفسيرية والبيانية</w:t>
      </w:r>
      <w:r w:rsidR="008223AD" w:rsidRPr="00282AC9">
        <w:rPr>
          <w:rFonts w:ascii="Times New Roman" w:hAnsi="Times New Roman" w:hint="cs"/>
          <w:sz w:val="27"/>
          <w:rtl/>
          <w:lang w:bidi="ar-MA"/>
        </w:rPr>
        <w:t>؛</w:t>
      </w:r>
      <w:r w:rsidRPr="00282AC9">
        <w:rPr>
          <w:rFonts w:ascii="Times New Roman" w:hAnsi="Times New Roman" w:hint="cs"/>
          <w:sz w:val="27"/>
          <w:rtl/>
          <w:lang w:bidi="ar-MA"/>
        </w:rPr>
        <w:t xml:space="preserve"> لأجل</w:t>
      </w:r>
      <w:r w:rsidRPr="00282AC9">
        <w:rPr>
          <w:rFonts w:ascii="Times New Roman" w:hAnsi="Times New Roman"/>
          <w:sz w:val="27"/>
          <w:rtl/>
          <w:lang w:bidi="ar-MA"/>
        </w:rPr>
        <w:t xml:space="preserve"> الكشف عن المعايير الضابطة للفهم</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و</w:t>
      </w:r>
      <w:r w:rsidRPr="00282AC9">
        <w:rPr>
          <w:rFonts w:ascii="Times New Roman" w:hAnsi="Times New Roman" w:hint="cs"/>
          <w:sz w:val="27"/>
          <w:rtl/>
          <w:lang w:bidi="ar-MA"/>
        </w:rPr>
        <w:t xml:space="preserve">القوانين </w:t>
      </w:r>
      <w:r w:rsidRPr="00282AC9">
        <w:rPr>
          <w:rFonts w:ascii="Times New Roman" w:hAnsi="Times New Roman"/>
          <w:sz w:val="27"/>
          <w:rtl/>
          <w:lang w:bidi="ar-MA"/>
        </w:rPr>
        <w:t>الصانعة للمعنى، وإظهار الآلي</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ات المعينة على استمداد </w:t>
      </w:r>
      <w:r w:rsidRPr="00282AC9">
        <w:rPr>
          <w:rFonts w:ascii="Times New Roman" w:hAnsi="Times New Roman" w:hint="cs"/>
          <w:sz w:val="27"/>
          <w:rtl/>
          <w:lang w:bidi="ar-MA"/>
        </w:rPr>
        <w:t xml:space="preserve">هذا </w:t>
      </w:r>
      <w:r w:rsidRPr="00282AC9">
        <w:rPr>
          <w:rFonts w:ascii="Times New Roman" w:hAnsi="Times New Roman"/>
          <w:sz w:val="27"/>
          <w:rtl/>
          <w:lang w:bidi="ar-MA"/>
        </w:rPr>
        <w:t>المعنى.</w:t>
      </w:r>
    </w:p>
    <w:p w:rsidR="00D722E4" w:rsidRPr="00282AC9" w:rsidRDefault="008223AD" w:rsidP="00A20690">
      <w:pPr>
        <w:rPr>
          <w:rFonts w:ascii="Times New Roman" w:hAnsi="Times New Roman"/>
          <w:sz w:val="27"/>
          <w:rtl/>
          <w:lang w:bidi="ar-MA"/>
        </w:rPr>
      </w:pPr>
      <w:r w:rsidRPr="00282AC9">
        <w:rPr>
          <w:rFonts w:ascii="Times New Roman" w:hAnsi="Times New Roman" w:hint="cs"/>
          <w:sz w:val="27"/>
          <w:rtl/>
          <w:lang w:bidi="ar-MA"/>
        </w:rPr>
        <w:t>و</w:t>
      </w:r>
      <w:r w:rsidR="00D722E4" w:rsidRPr="00282AC9">
        <w:rPr>
          <w:rFonts w:ascii="Times New Roman" w:hAnsi="Times New Roman" w:hint="cs"/>
          <w:sz w:val="27"/>
          <w:rtl/>
          <w:lang w:bidi="ar-MA"/>
        </w:rPr>
        <w:t>ما ي</w:t>
      </w:r>
      <w:r w:rsidRPr="00282AC9">
        <w:rPr>
          <w:rFonts w:ascii="Times New Roman" w:hAnsi="Times New Roman" w:hint="cs"/>
          <w:sz w:val="27"/>
          <w:rtl/>
          <w:lang w:bidi="ar-MA"/>
        </w:rPr>
        <w:t>ظهر</w:t>
      </w:r>
      <w:r w:rsidR="00D722E4" w:rsidRPr="00282AC9">
        <w:rPr>
          <w:rFonts w:ascii="Times New Roman" w:hAnsi="Times New Roman" w:hint="cs"/>
          <w:sz w:val="27"/>
          <w:rtl/>
          <w:lang w:bidi="ar-MA"/>
        </w:rPr>
        <w:t xml:space="preserve"> للناظر والباحث أن وجهة العلوم الإسلامي</w:t>
      </w:r>
      <w:r w:rsidRPr="00282AC9">
        <w:rPr>
          <w:rFonts w:ascii="Times New Roman" w:hAnsi="Times New Roman" w:hint="cs"/>
          <w:sz w:val="27"/>
          <w:rtl/>
          <w:lang w:bidi="ar-MA"/>
        </w:rPr>
        <w:t>ّ</w:t>
      </w:r>
      <w:r w:rsidR="00D722E4" w:rsidRPr="00282AC9">
        <w:rPr>
          <w:rFonts w:ascii="Times New Roman" w:hAnsi="Times New Roman" w:hint="cs"/>
          <w:sz w:val="27"/>
          <w:rtl/>
          <w:lang w:bidi="ar-MA"/>
        </w:rPr>
        <w:t>ة كانت تنحو نحو الوجهة اللغوي</w:t>
      </w:r>
      <w:r w:rsidRPr="00282AC9">
        <w:rPr>
          <w:rFonts w:ascii="Times New Roman" w:hAnsi="Times New Roman" w:hint="cs"/>
          <w:sz w:val="27"/>
          <w:rtl/>
          <w:lang w:bidi="ar-MA"/>
        </w:rPr>
        <w:t>ّة و</w:t>
      </w:r>
      <w:r w:rsidR="00D722E4" w:rsidRPr="00282AC9">
        <w:rPr>
          <w:rFonts w:ascii="Times New Roman" w:hAnsi="Times New Roman" w:hint="cs"/>
          <w:sz w:val="27"/>
          <w:rtl/>
          <w:lang w:bidi="ar-MA"/>
        </w:rPr>
        <w:t>البياني</w:t>
      </w:r>
      <w:r w:rsidRPr="00282AC9">
        <w:rPr>
          <w:rFonts w:ascii="Times New Roman" w:hAnsi="Times New Roman" w:hint="cs"/>
          <w:sz w:val="27"/>
          <w:rtl/>
          <w:lang w:bidi="ar-MA"/>
        </w:rPr>
        <w:t>ّ</w:t>
      </w:r>
      <w:r w:rsidR="00D722E4" w:rsidRPr="00282AC9">
        <w:rPr>
          <w:rFonts w:ascii="Times New Roman" w:hAnsi="Times New Roman" w:hint="cs"/>
          <w:sz w:val="27"/>
          <w:rtl/>
          <w:lang w:bidi="ar-MA"/>
        </w:rPr>
        <w:t>ة التفسيري</w:t>
      </w:r>
      <w:r w:rsidRPr="00282AC9">
        <w:rPr>
          <w:rFonts w:ascii="Times New Roman" w:hAnsi="Times New Roman" w:hint="cs"/>
          <w:sz w:val="27"/>
          <w:rtl/>
          <w:lang w:bidi="ar-MA"/>
        </w:rPr>
        <w:t>ّ</w:t>
      </w:r>
      <w:r w:rsidR="00D722E4" w:rsidRPr="00282AC9">
        <w:rPr>
          <w:rFonts w:ascii="Times New Roman" w:hAnsi="Times New Roman" w:hint="cs"/>
          <w:sz w:val="27"/>
          <w:rtl/>
          <w:lang w:bidi="ar-MA"/>
        </w:rPr>
        <w:t>ة</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وهذا محل</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اتفاق كثير</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من الباحثين والدارسين</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الذين اشتغلوا على الن</w:t>
      </w:r>
      <w:r w:rsidRPr="00282AC9">
        <w:rPr>
          <w:rFonts w:ascii="Times New Roman" w:hAnsi="Times New Roman" w:hint="cs"/>
          <w:sz w:val="27"/>
          <w:rtl/>
          <w:lang w:bidi="ar-MA"/>
        </w:rPr>
        <w:t>َّ</w:t>
      </w:r>
      <w:r w:rsidR="00D722E4" w:rsidRPr="00282AC9">
        <w:rPr>
          <w:rFonts w:ascii="Times New Roman" w:hAnsi="Times New Roman" w:hint="cs"/>
          <w:sz w:val="27"/>
          <w:rtl/>
          <w:lang w:bidi="ar-MA"/>
        </w:rPr>
        <w:t>س</w:t>
      </w:r>
      <w:r w:rsidRPr="00282AC9">
        <w:rPr>
          <w:rFonts w:ascii="Times New Roman" w:hAnsi="Times New Roman" w:hint="cs"/>
          <w:sz w:val="27"/>
          <w:rtl/>
          <w:lang w:bidi="ar-MA"/>
        </w:rPr>
        <w:t>َ</w:t>
      </w:r>
      <w:r w:rsidR="00D722E4" w:rsidRPr="00282AC9">
        <w:rPr>
          <w:rFonts w:ascii="Times New Roman" w:hAnsi="Times New Roman" w:hint="cs"/>
          <w:sz w:val="27"/>
          <w:rtl/>
          <w:lang w:bidi="ar-MA"/>
        </w:rPr>
        <w:t>ق والبناء المرك</w:t>
      </w:r>
      <w:r w:rsidRPr="00282AC9">
        <w:rPr>
          <w:rFonts w:ascii="Times New Roman" w:hAnsi="Times New Roman" w:hint="cs"/>
          <w:sz w:val="27"/>
          <w:rtl/>
          <w:lang w:bidi="ar-MA"/>
        </w:rPr>
        <w:t>َّب و</w:t>
      </w:r>
      <w:r w:rsidR="00D722E4" w:rsidRPr="00282AC9">
        <w:rPr>
          <w:rFonts w:ascii="Times New Roman" w:hAnsi="Times New Roman" w:hint="cs"/>
          <w:sz w:val="27"/>
          <w:rtl/>
          <w:lang w:bidi="ar-MA"/>
        </w:rPr>
        <w:t>المشكل للعلوم الإسلامي</w:t>
      </w:r>
      <w:r w:rsidRPr="00282AC9">
        <w:rPr>
          <w:rFonts w:ascii="Times New Roman" w:hAnsi="Times New Roman" w:hint="cs"/>
          <w:sz w:val="27"/>
          <w:rtl/>
          <w:lang w:bidi="ar-MA"/>
        </w:rPr>
        <w:t>ّ</w:t>
      </w:r>
      <w:r w:rsidR="00D722E4" w:rsidRPr="00282AC9">
        <w:rPr>
          <w:rFonts w:ascii="Times New Roman" w:hAnsi="Times New Roman" w:hint="cs"/>
          <w:sz w:val="27"/>
          <w:rtl/>
          <w:lang w:bidi="ar-MA"/>
        </w:rPr>
        <w:t>ة</w:t>
      </w:r>
      <w:r w:rsidR="00D722E4" w:rsidRPr="00282AC9">
        <w:rPr>
          <w:rFonts w:ascii="Times New Roman" w:hAnsi="Times New Roman"/>
          <w:sz w:val="27"/>
          <w:vertAlign w:val="superscript"/>
          <w:rtl/>
          <w:lang w:bidi="ar-MA"/>
        </w:rPr>
        <w:t>(</w:t>
      </w:r>
      <w:r w:rsidR="00D722E4" w:rsidRPr="00282AC9">
        <w:rPr>
          <w:rStyle w:val="af9"/>
          <w:rFonts w:ascii="Times New Roman" w:hAnsi="Times New Roman"/>
          <w:sz w:val="27"/>
          <w:rtl/>
          <w:lang w:bidi="ar-MA"/>
        </w:rPr>
        <w:endnoteReference w:id="694"/>
      </w:r>
      <w:r w:rsidR="00D722E4" w:rsidRPr="00282AC9">
        <w:rPr>
          <w:rFonts w:ascii="Times New Roman" w:hAnsi="Times New Roman"/>
          <w:sz w:val="27"/>
          <w:vertAlign w:val="superscript"/>
          <w:rtl/>
          <w:lang w:bidi="ar-MA"/>
        </w:rPr>
        <w:t>)</w:t>
      </w:r>
      <w:r w:rsidR="00D722E4" w:rsidRPr="00282AC9">
        <w:rPr>
          <w:rFonts w:ascii="Times New Roman" w:hAnsi="Times New Roman" w:hint="cs"/>
          <w:sz w:val="27"/>
          <w:rtl/>
          <w:lang w:bidi="ar-MA"/>
        </w:rPr>
        <w:t>.</w:t>
      </w:r>
    </w:p>
    <w:p w:rsidR="00460336" w:rsidRPr="00282AC9" w:rsidRDefault="00460336" w:rsidP="00460336">
      <w:pPr>
        <w:spacing w:line="420" w:lineRule="exact"/>
        <w:rPr>
          <w:sz w:val="27"/>
          <w:rtl/>
        </w:rPr>
      </w:pPr>
    </w:p>
    <w:p w:rsidR="00D722E4" w:rsidRPr="00282AC9" w:rsidRDefault="00D722E4" w:rsidP="00BF20B7">
      <w:pPr>
        <w:pStyle w:val="31"/>
        <w:rPr>
          <w:color w:val="auto"/>
          <w:rtl/>
          <w:lang w:bidi="ar-MA"/>
        </w:rPr>
      </w:pPr>
      <w:r w:rsidRPr="00282AC9">
        <w:rPr>
          <w:color w:val="auto"/>
          <w:rtl/>
          <w:lang w:bidi="ar-MA"/>
        </w:rPr>
        <w:t xml:space="preserve">علم </w:t>
      </w:r>
      <w:r w:rsidRPr="00282AC9">
        <w:rPr>
          <w:rFonts w:hint="cs"/>
          <w:color w:val="auto"/>
          <w:rtl/>
          <w:lang w:bidi="ar-MA"/>
        </w:rPr>
        <w:t>أ</w:t>
      </w:r>
      <w:r w:rsidRPr="00282AC9">
        <w:rPr>
          <w:color w:val="auto"/>
          <w:rtl/>
          <w:lang w:bidi="ar-MA"/>
        </w:rPr>
        <w:t>صول الفقه</w:t>
      </w:r>
      <w:r w:rsidR="008223AD" w:rsidRPr="00282AC9">
        <w:rPr>
          <w:rFonts w:hint="cs"/>
          <w:color w:val="auto"/>
          <w:rtl/>
          <w:lang w:bidi="ar-MA"/>
        </w:rPr>
        <w:t>،</w:t>
      </w:r>
      <w:r w:rsidRPr="00282AC9">
        <w:rPr>
          <w:color w:val="auto"/>
          <w:rtl/>
          <w:lang w:bidi="ar-MA"/>
        </w:rPr>
        <w:t xml:space="preserve"> الحقيقة والدلالة</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ي</w:t>
      </w:r>
      <w:r w:rsidR="008223AD" w:rsidRPr="00282AC9">
        <w:rPr>
          <w:rFonts w:ascii="Times New Roman" w:hAnsi="Times New Roman" w:hint="cs"/>
          <w:sz w:val="27"/>
          <w:rtl/>
          <w:lang w:bidi="ar-MA"/>
        </w:rPr>
        <w:t>ُ</w:t>
      </w:r>
      <w:r w:rsidRPr="00282AC9">
        <w:rPr>
          <w:rFonts w:ascii="Times New Roman" w:hAnsi="Times New Roman"/>
          <w:sz w:val="27"/>
          <w:rtl/>
          <w:lang w:bidi="ar-MA"/>
        </w:rPr>
        <w:t>ع</w:t>
      </w:r>
      <w:r w:rsidR="008223AD" w:rsidRPr="00282AC9">
        <w:rPr>
          <w:rFonts w:ascii="Times New Roman" w:hAnsi="Times New Roman" w:hint="cs"/>
          <w:sz w:val="27"/>
          <w:rtl/>
          <w:lang w:bidi="ar-MA"/>
        </w:rPr>
        <w:t>َ</w:t>
      </w:r>
      <w:r w:rsidRPr="00282AC9">
        <w:rPr>
          <w:rFonts w:ascii="Times New Roman" w:hAnsi="Times New Roman"/>
          <w:sz w:val="27"/>
          <w:rtl/>
          <w:lang w:bidi="ar-MA"/>
        </w:rPr>
        <w:t>د</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علم أصول الفقه من أهم</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العلوم التي أنتج</w:t>
      </w:r>
      <w:r w:rsidR="008223AD" w:rsidRPr="00282AC9">
        <w:rPr>
          <w:rFonts w:ascii="Times New Roman" w:hAnsi="Times New Roman" w:hint="cs"/>
          <w:sz w:val="27"/>
          <w:rtl/>
          <w:lang w:bidi="ar-MA"/>
        </w:rPr>
        <w:t>َ</w:t>
      </w:r>
      <w:r w:rsidRPr="00282AC9">
        <w:rPr>
          <w:rFonts w:ascii="Times New Roman" w:hAnsi="Times New Roman"/>
          <w:sz w:val="27"/>
          <w:rtl/>
          <w:lang w:bidi="ar-MA"/>
        </w:rPr>
        <w:t>ت</w:t>
      </w:r>
      <w:r w:rsidR="008223AD" w:rsidRPr="00282AC9">
        <w:rPr>
          <w:rFonts w:ascii="Times New Roman" w:hAnsi="Times New Roman" w:hint="cs"/>
          <w:sz w:val="27"/>
          <w:rtl/>
          <w:lang w:bidi="ar-MA"/>
        </w:rPr>
        <w:t>ْ</w:t>
      </w:r>
      <w:r w:rsidRPr="00282AC9">
        <w:rPr>
          <w:rFonts w:ascii="Times New Roman" w:hAnsi="Times New Roman"/>
          <w:sz w:val="27"/>
          <w:rtl/>
          <w:lang w:bidi="ar-MA"/>
        </w:rPr>
        <w:t>ها الحضارة العربية الإسلامية</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فقد عب</w:t>
      </w:r>
      <w:r w:rsidR="008223AD" w:rsidRPr="00282AC9">
        <w:rPr>
          <w:rFonts w:ascii="Times New Roman" w:hAnsi="Times New Roman" w:hint="cs"/>
          <w:sz w:val="27"/>
          <w:rtl/>
          <w:lang w:bidi="ar-MA"/>
        </w:rPr>
        <w:t>َّ</w:t>
      </w:r>
      <w:r w:rsidRPr="00282AC9">
        <w:rPr>
          <w:rFonts w:ascii="Times New Roman" w:hAnsi="Times New Roman"/>
          <w:sz w:val="27"/>
          <w:rtl/>
          <w:lang w:bidi="ar-MA"/>
        </w:rPr>
        <w:t>ر هذا العلم عن أهم</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المشاغل التشريعية</w:t>
      </w:r>
      <w:r w:rsidRPr="00282AC9">
        <w:rPr>
          <w:rFonts w:ascii="Times New Roman" w:hAnsi="Times New Roman" w:hint="cs"/>
          <w:sz w:val="27"/>
          <w:rtl/>
          <w:lang w:bidi="ar-MA"/>
        </w:rPr>
        <w:t xml:space="preserve"> والتأويلية </w:t>
      </w:r>
      <w:r w:rsidRPr="00282AC9">
        <w:rPr>
          <w:rFonts w:ascii="Times New Roman" w:hAnsi="Times New Roman"/>
          <w:sz w:val="27"/>
          <w:rtl/>
          <w:lang w:bidi="ar-MA"/>
        </w:rPr>
        <w:t xml:space="preserve">التي </w:t>
      </w:r>
      <w:r w:rsidRPr="00282AC9">
        <w:rPr>
          <w:rFonts w:ascii="Times New Roman" w:hAnsi="Times New Roman" w:hint="cs"/>
          <w:sz w:val="27"/>
          <w:rtl/>
          <w:lang w:bidi="ar-MA"/>
        </w:rPr>
        <w:t>شغل</w:t>
      </w:r>
      <w:r w:rsidR="008223AD" w:rsidRPr="00282AC9">
        <w:rPr>
          <w:rFonts w:ascii="Times New Roman" w:hAnsi="Times New Roman" w:hint="cs"/>
          <w:sz w:val="27"/>
          <w:rtl/>
          <w:lang w:bidi="ar-MA"/>
        </w:rPr>
        <w:t>َ</w:t>
      </w:r>
      <w:r w:rsidRPr="00282AC9">
        <w:rPr>
          <w:rFonts w:ascii="Times New Roman" w:hAnsi="Times New Roman" w:hint="cs"/>
          <w:sz w:val="27"/>
          <w:rtl/>
          <w:lang w:bidi="ar-MA"/>
        </w:rPr>
        <w:t>ت</w:t>
      </w:r>
      <w:r w:rsidR="008223AD"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الحضارة العربية الإسلامية في مسارها التاريخي</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الطويل</w:t>
      </w:r>
      <w:r w:rsidR="008223AD" w:rsidRPr="00282AC9">
        <w:rPr>
          <w:rFonts w:ascii="Times New Roman" w:hAnsi="Times New Roman" w:hint="cs"/>
          <w:sz w:val="27"/>
          <w:rtl/>
          <w:lang w:bidi="ar-MA"/>
        </w:rPr>
        <w:t xml:space="preserve">. </w:t>
      </w:r>
      <w:r w:rsidRPr="00282AC9">
        <w:rPr>
          <w:rFonts w:ascii="Times New Roman" w:hAnsi="Times New Roman"/>
          <w:sz w:val="27"/>
          <w:rtl/>
          <w:lang w:bidi="ar-MA"/>
        </w:rPr>
        <w:t>وقد تحد</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ث ابن خلدون في </w:t>
      </w:r>
      <w:r w:rsidRPr="00282AC9">
        <w:rPr>
          <w:rFonts w:hint="eastAsia"/>
          <w:sz w:val="24"/>
          <w:szCs w:val="24"/>
          <w:rtl/>
          <w:lang w:bidi="ar-MA"/>
        </w:rPr>
        <w:t>«</w:t>
      </w:r>
      <w:r w:rsidRPr="00282AC9">
        <w:rPr>
          <w:rFonts w:ascii="Times New Roman" w:hAnsi="Times New Roman"/>
          <w:sz w:val="27"/>
          <w:rtl/>
          <w:lang w:bidi="ar-MA"/>
        </w:rPr>
        <w:t>المقد</w:t>
      </w:r>
      <w:r w:rsidR="008223AD" w:rsidRPr="00282AC9">
        <w:rPr>
          <w:rFonts w:ascii="Times New Roman" w:hAnsi="Times New Roman" w:hint="cs"/>
          <w:sz w:val="27"/>
          <w:rtl/>
          <w:lang w:bidi="ar-MA"/>
        </w:rPr>
        <w:t>ّ</w:t>
      </w:r>
      <w:r w:rsidRPr="00282AC9">
        <w:rPr>
          <w:rFonts w:ascii="Times New Roman" w:hAnsi="Times New Roman"/>
          <w:sz w:val="27"/>
          <w:rtl/>
          <w:lang w:bidi="ar-MA"/>
        </w:rPr>
        <w:t>مة</w:t>
      </w:r>
      <w:r w:rsidRPr="00282AC9">
        <w:rPr>
          <w:rFonts w:hint="eastAsia"/>
          <w:sz w:val="24"/>
          <w:szCs w:val="24"/>
          <w:rtl/>
        </w:rPr>
        <w:t>»</w:t>
      </w:r>
      <w:r w:rsidRPr="00282AC9">
        <w:rPr>
          <w:rFonts w:ascii="Times New Roman" w:hAnsi="Times New Roman"/>
          <w:sz w:val="27"/>
          <w:rtl/>
          <w:lang w:bidi="ar-MA"/>
        </w:rPr>
        <w:t xml:space="preserve"> عن علم أصول الفقه</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وأهم</w:t>
      </w:r>
      <w:r w:rsidR="008223AD" w:rsidRPr="00282AC9">
        <w:rPr>
          <w:rFonts w:ascii="Times New Roman" w:hAnsi="Times New Roman" w:hint="cs"/>
          <w:sz w:val="27"/>
          <w:rtl/>
          <w:lang w:bidi="ar-MA"/>
        </w:rPr>
        <w:t>ّ</w:t>
      </w:r>
      <w:r w:rsidRPr="00282AC9">
        <w:rPr>
          <w:rFonts w:ascii="Times New Roman" w:hAnsi="Times New Roman"/>
          <w:sz w:val="27"/>
          <w:rtl/>
          <w:lang w:bidi="ar-MA"/>
        </w:rPr>
        <w:t>يته</w:t>
      </w:r>
      <w:r w:rsidRPr="00282AC9">
        <w:rPr>
          <w:rFonts w:ascii="Times New Roman" w:hAnsi="Times New Roman" w:hint="cs"/>
          <w:sz w:val="27"/>
          <w:rtl/>
          <w:lang w:bidi="ar-MA"/>
        </w:rPr>
        <w:t xml:space="preserve"> في التشريع والاستنباط</w:t>
      </w:r>
      <w:r w:rsidR="008223AD"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فقال</w:t>
      </w:r>
      <w:r w:rsidRPr="00282AC9">
        <w:rPr>
          <w:rFonts w:ascii="Times New Roman" w:hAnsi="Times New Roman" w:hint="cs"/>
          <w:sz w:val="27"/>
          <w:rtl/>
          <w:lang w:bidi="ar-MA"/>
        </w:rPr>
        <w:t xml:space="preserve">: </w:t>
      </w:r>
      <w:r w:rsidRPr="00282AC9">
        <w:rPr>
          <w:rFonts w:hint="eastAsia"/>
          <w:sz w:val="24"/>
          <w:szCs w:val="24"/>
          <w:rtl/>
          <w:lang w:bidi="ar-MA"/>
        </w:rPr>
        <w:t>«</w:t>
      </w:r>
      <w:r w:rsidRPr="00282AC9">
        <w:rPr>
          <w:rFonts w:ascii="Times New Roman" w:hAnsi="Times New Roman"/>
          <w:sz w:val="27"/>
          <w:rtl/>
          <w:lang w:bidi="ar-MA"/>
        </w:rPr>
        <w:t>اعل</w:t>
      </w:r>
      <w:r w:rsidR="008223AD" w:rsidRPr="00282AC9">
        <w:rPr>
          <w:rFonts w:ascii="Times New Roman" w:hAnsi="Times New Roman" w:hint="cs"/>
          <w:sz w:val="27"/>
          <w:rtl/>
          <w:lang w:bidi="ar-MA"/>
        </w:rPr>
        <w:t>َ</w:t>
      </w:r>
      <w:r w:rsidRPr="00282AC9">
        <w:rPr>
          <w:rFonts w:ascii="Times New Roman" w:hAnsi="Times New Roman"/>
          <w:sz w:val="27"/>
          <w:rtl/>
          <w:lang w:bidi="ar-MA"/>
        </w:rPr>
        <w:t>م</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أن أصول الفقه من أعظم العلوم الشرعي</w:t>
      </w:r>
      <w:r w:rsidR="008223AD" w:rsidRPr="00282AC9">
        <w:rPr>
          <w:rFonts w:ascii="Times New Roman" w:hAnsi="Times New Roman" w:hint="cs"/>
          <w:sz w:val="27"/>
          <w:rtl/>
          <w:lang w:bidi="ar-MA"/>
        </w:rPr>
        <w:t>ّ</w:t>
      </w:r>
      <w:r w:rsidRPr="00282AC9">
        <w:rPr>
          <w:rFonts w:ascii="Times New Roman" w:hAnsi="Times New Roman"/>
          <w:sz w:val="27"/>
          <w:rtl/>
          <w:lang w:bidi="ar-MA"/>
        </w:rPr>
        <w:t>ة</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و</w:t>
      </w:r>
      <w:r w:rsidRPr="00282AC9">
        <w:rPr>
          <w:rFonts w:ascii="Times New Roman" w:hAnsi="Times New Roman" w:hint="cs"/>
          <w:sz w:val="27"/>
          <w:rtl/>
          <w:lang w:bidi="ar-MA"/>
        </w:rPr>
        <w:t>أ</w:t>
      </w:r>
      <w:r w:rsidRPr="00282AC9">
        <w:rPr>
          <w:rFonts w:ascii="Times New Roman" w:hAnsi="Times New Roman"/>
          <w:sz w:val="27"/>
          <w:rtl/>
          <w:lang w:bidi="ar-MA"/>
        </w:rPr>
        <w:t>جل</w:t>
      </w:r>
      <w:r w:rsidR="008223AD" w:rsidRPr="00282AC9">
        <w:rPr>
          <w:rFonts w:ascii="Times New Roman" w:hAnsi="Times New Roman" w:hint="cs"/>
          <w:sz w:val="27"/>
          <w:rtl/>
          <w:lang w:bidi="ar-MA"/>
        </w:rPr>
        <w:t>ّ</w:t>
      </w:r>
      <w:r w:rsidRPr="00282AC9">
        <w:rPr>
          <w:rFonts w:ascii="Times New Roman" w:hAnsi="Times New Roman"/>
          <w:sz w:val="27"/>
          <w:rtl/>
          <w:lang w:bidi="ar-MA"/>
        </w:rPr>
        <w:t>ها ق</w:t>
      </w:r>
      <w:r w:rsidR="008223AD" w:rsidRPr="00282AC9">
        <w:rPr>
          <w:rFonts w:ascii="Times New Roman" w:hAnsi="Times New Roman" w:hint="cs"/>
          <w:sz w:val="27"/>
          <w:rtl/>
          <w:lang w:bidi="ar-MA"/>
        </w:rPr>
        <w:t>َ</w:t>
      </w:r>
      <w:r w:rsidRPr="00282AC9">
        <w:rPr>
          <w:rFonts w:ascii="Times New Roman" w:hAnsi="Times New Roman"/>
          <w:sz w:val="27"/>
          <w:rtl/>
          <w:lang w:bidi="ar-MA"/>
        </w:rPr>
        <w:t>د</w:t>
      </w:r>
      <w:r w:rsidR="008223AD" w:rsidRPr="00282AC9">
        <w:rPr>
          <w:rFonts w:ascii="Times New Roman" w:hAnsi="Times New Roman" w:hint="cs"/>
          <w:sz w:val="27"/>
          <w:rtl/>
          <w:lang w:bidi="ar-MA"/>
        </w:rPr>
        <w:t>ْ</w:t>
      </w:r>
      <w:r w:rsidRPr="00282AC9">
        <w:rPr>
          <w:rFonts w:ascii="Times New Roman" w:hAnsi="Times New Roman"/>
          <w:sz w:val="27"/>
          <w:rtl/>
          <w:lang w:bidi="ar-MA"/>
        </w:rPr>
        <w:t>ر</w:t>
      </w:r>
      <w:r w:rsidRPr="00282AC9">
        <w:rPr>
          <w:rFonts w:ascii="Times New Roman" w:hAnsi="Times New Roman" w:hint="cs"/>
          <w:sz w:val="27"/>
          <w:rtl/>
          <w:lang w:bidi="ar-MA"/>
        </w:rPr>
        <w:t>اً</w:t>
      </w:r>
      <w:r w:rsidRPr="00282AC9">
        <w:rPr>
          <w:rFonts w:ascii="Times New Roman" w:hAnsi="Times New Roman"/>
          <w:sz w:val="27"/>
          <w:rtl/>
          <w:lang w:bidi="ar-MA"/>
        </w:rPr>
        <w:t>، وأكثرها فائدة</w:t>
      </w:r>
      <w:r w:rsidR="008223AD" w:rsidRPr="00282AC9">
        <w:rPr>
          <w:rFonts w:ascii="Times New Roman" w:hAnsi="Times New Roman" w:hint="cs"/>
          <w:sz w:val="27"/>
          <w:rtl/>
          <w:lang w:bidi="ar-MA"/>
        </w:rPr>
        <w:t>ً</w:t>
      </w:r>
      <w:r w:rsidRPr="00282AC9">
        <w:rPr>
          <w:rFonts w:ascii="Times New Roman" w:hAnsi="Times New Roman"/>
          <w:sz w:val="27"/>
          <w:rtl/>
          <w:lang w:bidi="ar-MA"/>
        </w:rPr>
        <w:t>، وهو النظر في الأدل</w:t>
      </w:r>
      <w:r w:rsidR="008223AD" w:rsidRPr="00282AC9">
        <w:rPr>
          <w:rFonts w:ascii="Times New Roman" w:hAnsi="Times New Roman" w:hint="cs"/>
          <w:sz w:val="27"/>
          <w:rtl/>
          <w:lang w:bidi="ar-MA"/>
        </w:rPr>
        <w:t>ّ</w:t>
      </w:r>
      <w:r w:rsidRPr="00282AC9">
        <w:rPr>
          <w:rFonts w:ascii="Times New Roman" w:hAnsi="Times New Roman"/>
          <w:sz w:val="27"/>
          <w:rtl/>
          <w:lang w:bidi="ar-MA"/>
        </w:rPr>
        <w:t>ة الشرعية، من حيث تؤخذ منها الأحكام</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695"/>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واعتبر ابن خلدون علم أصول الفقه من العلوم المست</w:t>
      </w:r>
      <w:r w:rsidR="008223AD" w:rsidRPr="00282AC9">
        <w:rPr>
          <w:rFonts w:ascii="Times New Roman" w:hAnsi="Times New Roman" w:hint="cs"/>
          <w:sz w:val="27"/>
          <w:rtl/>
          <w:lang w:bidi="ar-MA"/>
        </w:rPr>
        <w:t>َ</w:t>
      </w:r>
      <w:r w:rsidRPr="00282AC9">
        <w:rPr>
          <w:rFonts w:ascii="Times New Roman" w:hAnsi="Times New Roman"/>
          <w:sz w:val="27"/>
          <w:rtl/>
          <w:lang w:bidi="ar-MA"/>
        </w:rPr>
        <w:t>حد</w:t>
      </w:r>
      <w:r w:rsidR="008223AD" w:rsidRPr="00282AC9">
        <w:rPr>
          <w:rFonts w:ascii="Times New Roman" w:hAnsi="Times New Roman" w:hint="cs"/>
          <w:sz w:val="27"/>
          <w:rtl/>
          <w:lang w:bidi="ar-MA"/>
        </w:rPr>
        <w:t>َ</w:t>
      </w:r>
      <w:r w:rsidRPr="00282AC9">
        <w:rPr>
          <w:rFonts w:ascii="Times New Roman" w:hAnsi="Times New Roman"/>
          <w:sz w:val="27"/>
          <w:rtl/>
          <w:lang w:bidi="ar-MA"/>
        </w:rPr>
        <w:t>ثة في المل</w:t>
      </w:r>
      <w:r w:rsidR="008223AD" w:rsidRPr="00282AC9">
        <w:rPr>
          <w:rFonts w:ascii="Times New Roman" w:hAnsi="Times New Roman" w:hint="cs"/>
          <w:sz w:val="27"/>
          <w:rtl/>
          <w:lang w:bidi="ar-MA"/>
        </w:rPr>
        <w:t>ّ</w:t>
      </w:r>
      <w:r w:rsidRPr="00282AC9">
        <w:rPr>
          <w:rFonts w:ascii="Times New Roman" w:hAnsi="Times New Roman"/>
          <w:sz w:val="27"/>
          <w:rtl/>
          <w:lang w:bidi="ar-MA"/>
        </w:rPr>
        <w:t>ة</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حيث لم يكن المتقد</w:t>
      </w:r>
      <w:r w:rsidR="008223AD" w:rsidRPr="00282AC9">
        <w:rPr>
          <w:rFonts w:ascii="Times New Roman" w:hAnsi="Times New Roman" w:hint="cs"/>
          <w:sz w:val="27"/>
          <w:rtl/>
          <w:lang w:bidi="ar-MA"/>
        </w:rPr>
        <w:t>ِّ</w:t>
      </w:r>
      <w:r w:rsidRPr="00282AC9">
        <w:rPr>
          <w:rFonts w:ascii="Times New Roman" w:hAnsi="Times New Roman"/>
          <w:sz w:val="27"/>
          <w:rtl/>
          <w:lang w:bidi="ar-MA"/>
        </w:rPr>
        <w:t>مون في حاجة</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إليه</w:t>
      </w:r>
      <w:r w:rsidRPr="00282AC9">
        <w:rPr>
          <w:rFonts w:ascii="Times New Roman" w:hAnsi="Times New Roman" w:hint="cs"/>
          <w:sz w:val="27"/>
          <w:rtl/>
          <w:lang w:bidi="ar-MA"/>
        </w:rPr>
        <w:t xml:space="preserve">، </w:t>
      </w:r>
      <w:r w:rsidRPr="00282AC9">
        <w:rPr>
          <w:rFonts w:ascii="Times New Roman" w:hAnsi="Times New Roman"/>
          <w:sz w:val="27"/>
          <w:rtl/>
          <w:lang w:bidi="ar-MA"/>
        </w:rPr>
        <w:t>وإنما نشأ</w:t>
      </w:r>
      <w:r w:rsidR="008223AD" w:rsidRPr="00282AC9">
        <w:rPr>
          <w:rFonts w:ascii="Times New Roman" w:hAnsi="Times New Roman" w:hint="cs"/>
          <w:sz w:val="27"/>
          <w:rtl/>
          <w:lang w:bidi="ar-MA"/>
        </w:rPr>
        <w:t>َ</w:t>
      </w:r>
      <w:r w:rsidRPr="00282AC9">
        <w:rPr>
          <w:rFonts w:ascii="Times New Roman" w:hAnsi="Times New Roman"/>
          <w:sz w:val="27"/>
          <w:rtl/>
          <w:lang w:bidi="ar-MA"/>
        </w:rPr>
        <w:t>ت</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الحاجة إليه بعد فساد الألسنة، واختلاط المسلمين بغيرهم من أهل الديانات الأخرى</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lastRenderedPageBreak/>
        <w:t xml:space="preserve"> </w:t>
      </w:r>
      <w:r w:rsidRPr="00282AC9">
        <w:rPr>
          <w:rFonts w:ascii="Times New Roman" w:hAnsi="Times New Roman"/>
          <w:sz w:val="27"/>
          <w:rtl/>
          <w:lang w:bidi="ar-MA"/>
        </w:rPr>
        <w:t xml:space="preserve">وعلم أصول الفقه هو </w:t>
      </w:r>
      <w:r w:rsidRPr="00282AC9">
        <w:rPr>
          <w:rFonts w:ascii="Times New Roman" w:hAnsi="Times New Roman" w:hint="cs"/>
          <w:sz w:val="27"/>
          <w:rtl/>
          <w:lang w:bidi="ar-MA"/>
        </w:rPr>
        <w:t>من علوم المناهج</w:t>
      </w:r>
      <w:r w:rsidR="008223AD"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يدرج في علم المناهج، فهو كاشف</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 لحضور المس</w:t>
      </w:r>
      <w:r w:rsidRPr="00282AC9">
        <w:rPr>
          <w:rFonts w:ascii="Times New Roman" w:hAnsi="Times New Roman" w:hint="cs"/>
          <w:sz w:val="27"/>
          <w:rtl/>
          <w:lang w:bidi="ar-MA"/>
        </w:rPr>
        <w:t>أ</w:t>
      </w:r>
      <w:r w:rsidRPr="00282AC9">
        <w:rPr>
          <w:rFonts w:ascii="Times New Roman" w:hAnsi="Times New Roman"/>
          <w:sz w:val="27"/>
          <w:rtl/>
          <w:lang w:bidi="ar-MA"/>
        </w:rPr>
        <w:t>لة المنهجي</w:t>
      </w:r>
      <w:r w:rsidR="008223AD" w:rsidRPr="00282AC9">
        <w:rPr>
          <w:rFonts w:ascii="Times New Roman" w:hAnsi="Times New Roman" w:hint="cs"/>
          <w:sz w:val="27"/>
          <w:rtl/>
          <w:lang w:bidi="ar-MA"/>
        </w:rPr>
        <w:t>ّ</w:t>
      </w:r>
      <w:r w:rsidRPr="00282AC9">
        <w:rPr>
          <w:rFonts w:ascii="Times New Roman" w:hAnsi="Times New Roman"/>
          <w:sz w:val="27"/>
          <w:rtl/>
          <w:lang w:bidi="ar-MA"/>
        </w:rPr>
        <w:t xml:space="preserve">ة في التراث العربي الإسلامي، </w:t>
      </w:r>
      <w:r w:rsidRPr="00282AC9">
        <w:rPr>
          <w:rFonts w:ascii="Times New Roman" w:hAnsi="Times New Roman" w:hint="cs"/>
          <w:sz w:val="27"/>
          <w:rtl/>
          <w:lang w:bidi="ar-MA"/>
        </w:rPr>
        <w:t xml:space="preserve">بحيث </w:t>
      </w:r>
      <w:r w:rsidRPr="00282AC9">
        <w:rPr>
          <w:rFonts w:ascii="Times New Roman" w:hAnsi="Times New Roman"/>
          <w:sz w:val="27"/>
          <w:rtl/>
          <w:lang w:bidi="ar-MA"/>
        </w:rPr>
        <w:t>يعكس مدى اشتغال علماء الإسلام على المس</w:t>
      </w:r>
      <w:r w:rsidRPr="00282AC9">
        <w:rPr>
          <w:rFonts w:ascii="Times New Roman" w:hAnsi="Times New Roman" w:hint="cs"/>
          <w:sz w:val="27"/>
          <w:rtl/>
          <w:lang w:bidi="ar-MA"/>
        </w:rPr>
        <w:t>أ</w:t>
      </w:r>
      <w:r w:rsidRPr="00282AC9">
        <w:rPr>
          <w:rFonts w:ascii="Times New Roman" w:hAnsi="Times New Roman"/>
          <w:sz w:val="27"/>
          <w:rtl/>
          <w:lang w:bidi="ar-MA"/>
        </w:rPr>
        <w:t>لة المنهجي</w:t>
      </w:r>
      <w:r w:rsidR="001D7ADE" w:rsidRPr="00282AC9">
        <w:rPr>
          <w:rFonts w:ascii="Times New Roman" w:hAnsi="Times New Roman" w:hint="cs"/>
          <w:sz w:val="27"/>
          <w:rtl/>
          <w:lang w:bidi="ar-MA"/>
        </w:rPr>
        <w:t>ّ</w:t>
      </w:r>
      <w:r w:rsidRPr="00282AC9">
        <w:rPr>
          <w:rFonts w:ascii="Times New Roman" w:hAnsi="Times New Roman"/>
          <w:sz w:val="27"/>
          <w:rtl/>
          <w:lang w:bidi="ar-MA"/>
        </w:rPr>
        <w:t>ة، وعنايتهم البالغة بالعلوم ذات الوجهة التفسيرية البياني</w:t>
      </w:r>
      <w:r w:rsidR="001D7ADE" w:rsidRPr="00282AC9">
        <w:rPr>
          <w:rFonts w:ascii="Times New Roman" w:hAnsi="Times New Roman" w:hint="cs"/>
          <w:sz w:val="27"/>
          <w:rtl/>
          <w:lang w:bidi="ar-MA"/>
        </w:rPr>
        <w:t>ّ</w:t>
      </w:r>
      <w:r w:rsidRPr="00282AC9">
        <w:rPr>
          <w:rFonts w:ascii="Times New Roman" w:hAnsi="Times New Roman"/>
          <w:sz w:val="27"/>
          <w:rtl/>
          <w:lang w:bidi="ar-MA"/>
        </w:rPr>
        <w:t>ة</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حيث</w:t>
      </w:r>
      <w:r w:rsidRPr="00282AC9">
        <w:rPr>
          <w:rFonts w:ascii="Times New Roman" w:hAnsi="Times New Roman" w:hint="cs"/>
          <w:sz w:val="27"/>
          <w:rtl/>
          <w:lang w:bidi="ar-MA"/>
        </w:rPr>
        <w:t xml:space="preserve"> كان </w:t>
      </w:r>
      <w:r w:rsidRPr="00282AC9">
        <w:rPr>
          <w:rFonts w:ascii="Times New Roman" w:hAnsi="Times New Roman"/>
          <w:sz w:val="27"/>
          <w:rtl/>
          <w:lang w:bidi="ar-MA"/>
        </w:rPr>
        <w:t>لكل</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علم</w:t>
      </w:r>
      <w:r w:rsidR="001D7ADE" w:rsidRPr="00282AC9">
        <w:rPr>
          <w:rFonts w:ascii="Times New Roman" w:hAnsi="Times New Roman" w:hint="cs"/>
          <w:sz w:val="27"/>
          <w:rtl/>
          <w:lang w:bidi="ar-MA"/>
        </w:rPr>
        <w:t>ٍ</w:t>
      </w:r>
      <w:r w:rsidRPr="00282AC9">
        <w:rPr>
          <w:rFonts w:ascii="Times New Roman" w:hAnsi="Times New Roman" w:hint="cs"/>
          <w:sz w:val="27"/>
          <w:rtl/>
          <w:lang w:bidi="ar-MA"/>
        </w:rPr>
        <w:t xml:space="preserve"> في التراث </w:t>
      </w:r>
      <w:r w:rsidRPr="00282AC9">
        <w:rPr>
          <w:rFonts w:ascii="Times New Roman" w:hAnsi="Times New Roman"/>
          <w:sz w:val="27"/>
          <w:rtl/>
          <w:lang w:bidi="ar-MA"/>
        </w:rPr>
        <w:t>منهجه الخاص</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به</w:t>
      </w:r>
      <w:r w:rsidR="001D7ADE"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والممي</w:t>
      </w:r>
      <w:r w:rsidR="001D7ADE" w:rsidRPr="00282AC9">
        <w:rPr>
          <w:rFonts w:ascii="Times New Roman" w:hAnsi="Times New Roman" w:hint="cs"/>
          <w:sz w:val="27"/>
          <w:rtl/>
          <w:lang w:bidi="ar-MA"/>
        </w:rPr>
        <w:t>ِّ</w:t>
      </w:r>
      <w:r w:rsidRPr="00282AC9">
        <w:rPr>
          <w:rFonts w:ascii="Times New Roman" w:hAnsi="Times New Roman"/>
          <w:sz w:val="27"/>
          <w:rtl/>
          <w:lang w:bidi="ar-MA"/>
        </w:rPr>
        <w:t>ز له</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696"/>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rPr>
      </w:pPr>
      <w:r w:rsidRPr="00282AC9">
        <w:rPr>
          <w:rFonts w:ascii="Times New Roman" w:hAnsi="Times New Roman" w:hint="cs"/>
          <w:sz w:val="27"/>
          <w:rtl/>
          <w:lang w:bidi="ar-MA"/>
        </w:rPr>
        <w:t xml:space="preserve"> </w:t>
      </w:r>
      <w:r w:rsidRPr="00282AC9">
        <w:rPr>
          <w:rFonts w:ascii="Times New Roman" w:hAnsi="Times New Roman"/>
          <w:sz w:val="27"/>
          <w:rtl/>
          <w:lang w:bidi="ar-MA"/>
        </w:rPr>
        <w:t>ولعل</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هذا الب</w:t>
      </w:r>
      <w:r w:rsidR="001D7ADE" w:rsidRPr="00282AC9">
        <w:rPr>
          <w:rFonts w:ascii="Times New Roman" w:hAnsi="Times New Roman" w:hint="cs"/>
          <w:sz w:val="27"/>
          <w:rtl/>
          <w:lang w:bidi="ar-MA"/>
        </w:rPr>
        <w:t>ُ</w:t>
      </w:r>
      <w:r w:rsidRPr="00282AC9">
        <w:rPr>
          <w:rFonts w:ascii="Times New Roman" w:hAnsi="Times New Roman"/>
          <w:sz w:val="27"/>
          <w:rtl/>
          <w:lang w:bidi="ar-MA"/>
        </w:rPr>
        <w:t>ع</w:t>
      </w:r>
      <w:r w:rsidR="001D7ADE" w:rsidRPr="00282AC9">
        <w:rPr>
          <w:rFonts w:ascii="Times New Roman" w:hAnsi="Times New Roman" w:hint="cs"/>
          <w:sz w:val="27"/>
          <w:rtl/>
          <w:lang w:bidi="ar-MA"/>
        </w:rPr>
        <w:t>ْ</w:t>
      </w:r>
      <w:r w:rsidRPr="00282AC9">
        <w:rPr>
          <w:rFonts w:ascii="Times New Roman" w:hAnsi="Times New Roman"/>
          <w:sz w:val="27"/>
          <w:rtl/>
          <w:lang w:bidi="ar-MA"/>
        </w:rPr>
        <w:t>د المنهجي</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المرك</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ب لعلم أصول الفقه هو الذي </w:t>
      </w:r>
      <w:r w:rsidR="001D7ADE" w:rsidRPr="00282AC9">
        <w:rPr>
          <w:rFonts w:ascii="Times New Roman" w:hAnsi="Times New Roman" w:hint="cs"/>
          <w:sz w:val="27"/>
          <w:rtl/>
          <w:lang w:bidi="ar-MA"/>
        </w:rPr>
        <w:t xml:space="preserve">دفع </w:t>
      </w:r>
      <w:r w:rsidRPr="00282AC9">
        <w:rPr>
          <w:rFonts w:ascii="Times New Roman" w:hAnsi="Times New Roman"/>
          <w:sz w:val="27"/>
          <w:rtl/>
          <w:lang w:bidi="ar-MA"/>
        </w:rPr>
        <w:t xml:space="preserve">بعض الدارسين </w:t>
      </w:r>
      <w:r w:rsidR="001D7ADE" w:rsidRPr="00282AC9">
        <w:rPr>
          <w:rFonts w:ascii="Times New Roman" w:hAnsi="Times New Roman" w:hint="cs"/>
          <w:sz w:val="27"/>
          <w:rtl/>
          <w:lang w:bidi="ar-MA"/>
        </w:rPr>
        <w:t>إلى</w:t>
      </w:r>
      <w:r w:rsidRPr="00282AC9">
        <w:rPr>
          <w:rFonts w:ascii="Times New Roman" w:hAnsi="Times New Roman"/>
          <w:sz w:val="27"/>
          <w:rtl/>
          <w:lang w:bidi="ar-MA"/>
        </w:rPr>
        <w:t xml:space="preserve"> نعت هذا العلم بالمنهجي</w:t>
      </w:r>
      <w:r w:rsidR="001D7ADE" w:rsidRPr="00282AC9">
        <w:rPr>
          <w:rFonts w:ascii="Times New Roman" w:hAnsi="Times New Roman" w:hint="cs"/>
          <w:sz w:val="27"/>
          <w:rtl/>
          <w:lang w:bidi="ar-MA"/>
        </w:rPr>
        <w:t>ّ</w:t>
      </w:r>
      <w:r w:rsidRPr="00282AC9">
        <w:rPr>
          <w:rFonts w:ascii="Times New Roman" w:hAnsi="Times New Roman"/>
          <w:sz w:val="27"/>
          <w:rtl/>
          <w:lang w:bidi="ar-MA"/>
        </w:rPr>
        <w:t>ة التشريعي</w:t>
      </w:r>
      <w:r w:rsidR="001D7ADE" w:rsidRPr="00282AC9">
        <w:rPr>
          <w:rFonts w:ascii="Times New Roman" w:hAnsi="Times New Roman" w:hint="cs"/>
          <w:sz w:val="27"/>
          <w:rtl/>
          <w:lang w:bidi="ar-MA"/>
        </w:rPr>
        <w:t>ّ</w:t>
      </w:r>
      <w:r w:rsidRPr="00282AC9">
        <w:rPr>
          <w:rFonts w:ascii="Times New Roman" w:hAnsi="Times New Roman"/>
          <w:sz w:val="27"/>
          <w:rtl/>
          <w:lang w:bidi="ar-MA"/>
        </w:rPr>
        <w:t>ة</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لأنه علم</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يضع بين يد</w:t>
      </w:r>
      <w:r w:rsidR="001D7ADE" w:rsidRPr="00282AC9">
        <w:rPr>
          <w:rFonts w:ascii="Times New Roman" w:hAnsi="Times New Roman" w:hint="cs"/>
          <w:sz w:val="27"/>
          <w:rtl/>
          <w:lang w:bidi="ar-MA"/>
        </w:rPr>
        <w:t>َ</w:t>
      </w:r>
      <w:r w:rsidRPr="00282AC9">
        <w:rPr>
          <w:rFonts w:ascii="Times New Roman" w:hAnsi="Times New Roman"/>
          <w:sz w:val="27"/>
          <w:rtl/>
          <w:lang w:bidi="ar-MA"/>
        </w:rPr>
        <w:t>ي</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المستدل</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والمشتغل على فهم النصوص الشرعي</w:t>
      </w:r>
      <w:r w:rsidR="001D7ADE" w:rsidRPr="00282AC9">
        <w:rPr>
          <w:rFonts w:ascii="Times New Roman" w:hAnsi="Times New Roman" w:hint="cs"/>
          <w:sz w:val="27"/>
          <w:rtl/>
          <w:lang w:bidi="ar-MA"/>
        </w:rPr>
        <w:t>ّ</w:t>
      </w:r>
      <w:r w:rsidRPr="00282AC9">
        <w:rPr>
          <w:rFonts w:ascii="Times New Roman" w:hAnsi="Times New Roman"/>
          <w:sz w:val="27"/>
          <w:rtl/>
          <w:lang w:bidi="ar-MA"/>
        </w:rPr>
        <w:t>ة مجموعة</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من القواعد والآلي</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ات </w:t>
      </w:r>
      <w:r w:rsidRPr="00282AC9">
        <w:rPr>
          <w:rFonts w:ascii="Times New Roman" w:hAnsi="Times New Roman" w:hint="cs"/>
          <w:sz w:val="27"/>
          <w:rtl/>
          <w:lang w:bidi="ar-MA"/>
        </w:rPr>
        <w:t>الكل</w:t>
      </w:r>
      <w:r w:rsidR="001D7ADE" w:rsidRPr="00282AC9">
        <w:rPr>
          <w:rFonts w:ascii="Times New Roman" w:hAnsi="Times New Roman" w:hint="cs"/>
          <w:sz w:val="27"/>
          <w:rtl/>
          <w:lang w:bidi="ar-MA"/>
        </w:rPr>
        <w:t>ِّ</w:t>
      </w:r>
      <w:r w:rsidRPr="00282AC9">
        <w:rPr>
          <w:rFonts w:ascii="Times New Roman" w:hAnsi="Times New Roman" w:hint="cs"/>
          <w:sz w:val="27"/>
          <w:rtl/>
          <w:lang w:bidi="ar-MA"/>
        </w:rPr>
        <w:t>ية والضوابط</w:t>
      </w:r>
      <w:r w:rsidR="001D7ADE"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التي تعينه وتساعده على تفه</w:t>
      </w:r>
      <w:r w:rsidR="001D7ADE" w:rsidRPr="00282AC9">
        <w:rPr>
          <w:rFonts w:ascii="Times New Roman" w:hAnsi="Times New Roman" w:hint="cs"/>
          <w:sz w:val="27"/>
          <w:rtl/>
          <w:lang w:bidi="ar-MA"/>
        </w:rPr>
        <w:t>ُّ</w:t>
      </w:r>
      <w:r w:rsidRPr="00282AC9">
        <w:rPr>
          <w:rFonts w:ascii="Times New Roman" w:hAnsi="Times New Roman"/>
          <w:sz w:val="27"/>
          <w:rtl/>
          <w:lang w:bidi="ar-MA"/>
        </w:rPr>
        <w:t>م النص</w:t>
      </w:r>
      <w:r w:rsidR="001D7ADE" w:rsidRPr="00282AC9">
        <w:rPr>
          <w:rFonts w:ascii="Times New Roman" w:hAnsi="Times New Roman" w:hint="cs"/>
          <w:sz w:val="27"/>
          <w:rtl/>
          <w:lang w:bidi="ar-MA"/>
        </w:rPr>
        <w:t>ّ،</w:t>
      </w:r>
      <w:r w:rsidRPr="00282AC9">
        <w:rPr>
          <w:rFonts w:ascii="Times New Roman" w:hAnsi="Times New Roman"/>
          <w:sz w:val="27"/>
          <w:rtl/>
          <w:lang w:bidi="ar-MA"/>
        </w:rPr>
        <w:t xml:space="preserve"> و</w:t>
      </w:r>
      <w:r w:rsidRPr="00282AC9">
        <w:rPr>
          <w:rFonts w:ascii="Times New Roman" w:hAnsi="Times New Roman" w:hint="cs"/>
          <w:sz w:val="27"/>
          <w:rtl/>
          <w:lang w:bidi="ar-MA"/>
        </w:rPr>
        <w:t xml:space="preserve">على </w:t>
      </w:r>
      <w:r w:rsidRPr="00282AC9">
        <w:rPr>
          <w:rFonts w:ascii="Times New Roman" w:hAnsi="Times New Roman"/>
          <w:sz w:val="27"/>
          <w:rtl/>
          <w:lang w:bidi="ar-MA"/>
        </w:rPr>
        <w:t>استمداد معناه</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697"/>
      </w:r>
      <w:r w:rsidRPr="00282AC9">
        <w:rPr>
          <w:rFonts w:ascii="Times New Roman" w:hAnsi="Times New Roman"/>
          <w:sz w:val="27"/>
          <w:vertAlign w:val="superscript"/>
          <w:rtl/>
          <w:lang w:bidi="ar-MA"/>
        </w:rPr>
        <w:t>)</w:t>
      </w:r>
      <w:r w:rsidRPr="00282AC9">
        <w:rPr>
          <w:rFonts w:ascii="Times New Roman" w:hAnsi="Times New Roman"/>
          <w:sz w:val="27"/>
          <w:rtl/>
          <w:lang w:bidi="ar-MA"/>
        </w:rPr>
        <w:t>.</w:t>
      </w:r>
    </w:p>
    <w:p w:rsidR="00D722E4" w:rsidRPr="00282AC9" w:rsidRDefault="001D7ADE" w:rsidP="00A20690">
      <w:pPr>
        <w:rPr>
          <w:rFonts w:ascii="Times New Roman" w:hAnsi="Times New Roman"/>
          <w:sz w:val="27"/>
          <w:rtl/>
          <w:lang w:bidi="ar-MA"/>
        </w:rPr>
      </w:pPr>
      <w:r w:rsidRPr="00282AC9">
        <w:rPr>
          <w:rFonts w:ascii="Times New Roman" w:hAnsi="Times New Roman" w:hint="cs"/>
          <w:sz w:val="27"/>
          <w:shd w:val="clear" w:color="auto" w:fill="FFFFFF"/>
          <w:rtl/>
        </w:rPr>
        <w:t>و</w:t>
      </w:r>
      <w:r w:rsidR="00D722E4" w:rsidRPr="00282AC9">
        <w:rPr>
          <w:rFonts w:ascii="Times New Roman" w:hAnsi="Times New Roman"/>
          <w:sz w:val="27"/>
          <w:shd w:val="clear" w:color="auto" w:fill="FFFFFF"/>
          <w:rtl/>
        </w:rPr>
        <w:t>من جهة</w:t>
      </w:r>
      <w:r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 xml:space="preserve"> أخرى </w:t>
      </w:r>
      <w:r w:rsidR="00D722E4" w:rsidRPr="00282AC9">
        <w:rPr>
          <w:rFonts w:ascii="Times New Roman" w:hAnsi="Times New Roman" w:hint="cs"/>
          <w:sz w:val="27"/>
          <w:shd w:val="clear" w:color="auto" w:fill="FFFFFF"/>
          <w:rtl/>
        </w:rPr>
        <w:t>فهو ي</w:t>
      </w:r>
      <w:r w:rsidR="00D722E4" w:rsidRPr="00282AC9">
        <w:rPr>
          <w:rFonts w:ascii="Times New Roman" w:hAnsi="Times New Roman"/>
          <w:sz w:val="27"/>
          <w:shd w:val="clear" w:color="auto" w:fill="FFFFFF"/>
          <w:rtl/>
        </w:rPr>
        <w:t>جس</w:t>
      </w:r>
      <w:r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د مبدأ التداخل والتواصل بين العلوم</w:t>
      </w:r>
      <w:r w:rsidR="00D722E4" w:rsidRPr="00282AC9">
        <w:rPr>
          <w:rFonts w:ascii="Times New Roman" w:hAnsi="Times New Roman" w:hint="cs"/>
          <w:sz w:val="27"/>
          <w:shd w:val="clear" w:color="auto" w:fill="FFFFFF"/>
          <w:rtl/>
        </w:rPr>
        <w:t xml:space="preserve"> الحاضرة في الإسلام</w:t>
      </w:r>
      <w:r w:rsidRPr="00282AC9">
        <w:rPr>
          <w:rFonts w:ascii="Times New Roman" w:hAnsi="Times New Roman" w:hint="cs"/>
          <w:sz w:val="27"/>
          <w:shd w:val="clear" w:color="auto" w:fill="FFFFFF"/>
          <w:rtl/>
        </w:rPr>
        <w:t xml:space="preserve">؛ </w:t>
      </w:r>
      <w:r w:rsidR="00D722E4" w:rsidRPr="00282AC9">
        <w:rPr>
          <w:rFonts w:ascii="Times New Roman" w:hAnsi="Times New Roman"/>
          <w:sz w:val="27"/>
          <w:rtl/>
        </w:rPr>
        <w:t>ذلك أن علم أصول الفقه هو في بنائه العام</w:t>
      </w:r>
      <w:r w:rsidRPr="00282AC9">
        <w:rPr>
          <w:rFonts w:ascii="Times New Roman" w:hAnsi="Times New Roman" w:hint="cs"/>
          <w:sz w:val="27"/>
          <w:rtl/>
        </w:rPr>
        <w:t>ّ</w:t>
      </w:r>
      <w:r w:rsidR="00D722E4" w:rsidRPr="00282AC9">
        <w:rPr>
          <w:rFonts w:ascii="Times New Roman" w:hAnsi="Times New Roman"/>
          <w:sz w:val="27"/>
          <w:rtl/>
        </w:rPr>
        <w:t xml:space="preserve"> </w:t>
      </w:r>
      <w:r w:rsidR="00D722E4" w:rsidRPr="00282AC9">
        <w:rPr>
          <w:rFonts w:hint="eastAsia"/>
          <w:sz w:val="24"/>
          <w:szCs w:val="24"/>
          <w:rtl/>
          <w:lang w:bidi="ar-MA"/>
        </w:rPr>
        <w:t>«</w:t>
      </w:r>
      <w:r w:rsidR="00D722E4" w:rsidRPr="00282AC9">
        <w:rPr>
          <w:rFonts w:ascii="Times New Roman" w:hAnsi="Times New Roman"/>
          <w:sz w:val="27"/>
          <w:rtl/>
          <w:lang w:bidi="ar-MA"/>
        </w:rPr>
        <w:t>يظهر بمظهر نسق</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من العلوم</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لم تدخل فيه شعب العلوم الإسلامية و</w:t>
      </w:r>
      <w:r w:rsidRPr="00282AC9">
        <w:rPr>
          <w:rFonts w:ascii="Times New Roman" w:hAnsi="Times New Roman" w:hint="cs"/>
          <w:sz w:val="27"/>
          <w:rtl/>
          <w:lang w:bidi="ar-MA"/>
        </w:rPr>
        <w:t>َ</w:t>
      </w:r>
      <w:r w:rsidR="00D722E4" w:rsidRPr="00282AC9">
        <w:rPr>
          <w:rFonts w:ascii="Times New Roman" w:hAnsi="Times New Roman"/>
          <w:sz w:val="27"/>
          <w:rtl/>
          <w:lang w:bidi="ar-MA"/>
        </w:rPr>
        <w:t>حد</w:t>
      </w:r>
      <w:r w:rsidRPr="00282AC9">
        <w:rPr>
          <w:rFonts w:ascii="Times New Roman" w:hAnsi="Times New Roman" w:hint="cs"/>
          <w:sz w:val="27"/>
          <w:rtl/>
          <w:lang w:bidi="ar-MA"/>
        </w:rPr>
        <w:t>َ</w:t>
      </w:r>
      <w:r w:rsidR="00D722E4" w:rsidRPr="00282AC9">
        <w:rPr>
          <w:rFonts w:ascii="Times New Roman" w:hAnsi="Times New Roman"/>
          <w:sz w:val="27"/>
          <w:rtl/>
          <w:lang w:bidi="ar-MA"/>
        </w:rPr>
        <w:t>ها</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بل دخ</w:t>
      </w:r>
      <w:r w:rsidRPr="00282AC9">
        <w:rPr>
          <w:rFonts w:ascii="Times New Roman" w:hAnsi="Times New Roman" w:hint="cs"/>
          <w:sz w:val="27"/>
          <w:rtl/>
          <w:lang w:bidi="ar-MA"/>
        </w:rPr>
        <w:t>َ</w:t>
      </w:r>
      <w:r w:rsidR="00D722E4" w:rsidRPr="00282AC9">
        <w:rPr>
          <w:rFonts w:ascii="Times New Roman" w:hAnsi="Times New Roman"/>
          <w:sz w:val="27"/>
          <w:rtl/>
          <w:lang w:bidi="ar-MA"/>
        </w:rPr>
        <w:t>ل</w:t>
      </w:r>
      <w:r w:rsidRPr="00282AC9">
        <w:rPr>
          <w:rFonts w:ascii="Times New Roman" w:hAnsi="Times New Roman" w:hint="cs"/>
          <w:sz w:val="27"/>
          <w:rtl/>
          <w:lang w:bidi="ar-MA"/>
        </w:rPr>
        <w:t>َ</w:t>
      </w:r>
      <w:r w:rsidR="00D722E4" w:rsidRPr="00282AC9">
        <w:rPr>
          <w:rFonts w:ascii="Times New Roman" w:hAnsi="Times New Roman"/>
          <w:sz w:val="27"/>
          <w:rtl/>
          <w:lang w:bidi="ar-MA"/>
        </w:rPr>
        <w:t>ت</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فيه أيض</w:t>
      </w:r>
      <w:r w:rsidR="00D722E4" w:rsidRPr="00282AC9">
        <w:rPr>
          <w:rFonts w:ascii="Times New Roman" w:hAnsi="Times New Roman" w:hint="cs"/>
          <w:sz w:val="27"/>
          <w:rtl/>
          <w:lang w:bidi="ar-MA"/>
        </w:rPr>
        <w:t>اً</w:t>
      </w:r>
      <w:r w:rsidR="00D722E4" w:rsidRPr="00282AC9">
        <w:rPr>
          <w:rFonts w:ascii="Times New Roman" w:hAnsi="Times New Roman"/>
          <w:sz w:val="27"/>
          <w:rtl/>
          <w:lang w:bidi="ar-MA"/>
        </w:rPr>
        <w:t xml:space="preserve"> العلوم العقلية المنقولة والدخيلة</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 xml:space="preserve">على الثقافة </w:t>
      </w:r>
      <w:r w:rsidR="00D722E4" w:rsidRPr="00282AC9">
        <w:rPr>
          <w:rFonts w:ascii="Times New Roman" w:hAnsi="Times New Roman" w:hint="cs"/>
          <w:sz w:val="27"/>
          <w:rtl/>
          <w:lang w:bidi="ar-MA"/>
        </w:rPr>
        <w:t>العربية الإسلامي</w:t>
      </w:r>
      <w:r w:rsidR="00D722E4" w:rsidRPr="00282AC9">
        <w:rPr>
          <w:rFonts w:ascii="Times New Roman" w:hAnsi="Times New Roman" w:hint="eastAsia"/>
          <w:sz w:val="27"/>
          <w:rtl/>
          <w:lang w:bidi="ar-MA"/>
        </w:rPr>
        <w:t>ة</w:t>
      </w:r>
      <w:r w:rsidR="00D722E4" w:rsidRPr="00282AC9">
        <w:rPr>
          <w:rFonts w:ascii="Times New Roman" w:hAnsi="Times New Roman"/>
          <w:sz w:val="27"/>
          <w:rtl/>
          <w:lang w:bidi="ar-MA"/>
        </w:rPr>
        <w:t>، والوافدة عليها من ثقافات</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أخرى</w:t>
      </w:r>
      <w:r w:rsidRPr="00282AC9">
        <w:rPr>
          <w:rFonts w:hint="eastAsia"/>
          <w:sz w:val="24"/>
          <w:szCs w:val="24"/>
          <w:rtl/>
        </w:rPr>
        <w:t>»</w:t>
      </w:r>
      <w:r w:rsidR="00D722E4" w:rsidRPr="00282AC9">
        <w:rPr>
          <w:rFonts w:ascii="Times New Roman" w:hAnsi="Times New Roman"/>
          <w:sz w:val="27"/>
          <w:vertAlign w:val="superscript"/>
          <w:rtl/>
          <w:lang w:bidi="ar-MA"/>
        </w:rPr>
        <w:t>(</w:t>
      </w:r>
      <w:r w:rsidR="00D722E4" w:rsidRPr="00282AC9">
        <w:rPr>
          <w:rStyle w:val="af9"/>
          <w:rFonts w:ascii="Times New Roman" w:hAnsi="Times New Roman"/>
          <w:sz w:val="27"/>
          <w:rtl/>
          <w:lang w:bidi="ar-MA"/>
        </w:rPr>
        <w:endnoteReference w:id="698"/>
      </w:r>
      <w:r w:rsidR="00D722E4" w:rsidRPr="00282AC9">
        <w:rPr>
          <w:rFonts w:ascii="Times New Roman" w:hAnsi="Times New Roman"/>
          <w:sz w:val="27"/>
          <w:vertAlign w:val="superscript"/>
          <w:rtl/>
          <w:lang w:bidi="ar-MA"/>
        </w:rPr>
        <w:t>)</w:t>
      </w:r>
      <w:r w:rsidR="00D722E4" w:rsidRPr="00282AC9">
        <w:rPr>
          <w:rFonts w:ascii="Times New Roman" w:hAnsi="Times New Roman" w:hint="cs"/>
          <w:sz w:val="27"/>
          <w:rtl/>
          <w:lang w:bidi="ar-MA"/>
        </w:rPr>
        <w:t>.</w:t>
      </w:r>
    </w:p>
    <w:p w:rsidR="00D722E4" w:rsidRPr="00282AC9" w:rsidRDefault="00D722E4" w:rsidP="00A20690">
      <w:pPr>
        <w:rPr>
          <w:rFonts w:ascii="Times New Roman" w:hAnsi="Times New Roman"/>
          <w:sz w:val="27"/>
          <w:shd w:val="clear" w:color="auto" w:fill="FFFFFF"/>
          <w:rtl/>
        </w:rPr>
      </w:pPr>
      <w:r w:rsidRPr="00282AC9">
        <w:rPr>
          <w:rFonts w:ascii="Times New Roman" w:hAnsi="Times New Roman"/>
          <w:sz w:val="27"/>
          <w:shd w:val="clear" w:color="auto" w:fill="FFFFFF"/>
          <w:rtl/>
        </w:rPr>
        <w:t>ولقد رد</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 xml:space="preserve"> الدكتور طه عبد الرحمان بقو</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ة</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 xml:space="preserve"> على م</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ن</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 xml:space="preserve"> استصغر هذا العلم، أو قل</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ل من ش</w:t>
      </w:r>
      <w:r w:rsidRPr="00282AC9">
        <w:rPr>
          <w:rFonts w:ascii="Times New Roman" w:hAnsi="Times New Roman" w:hint="cs"/>
          <w:sz w:val="27"/>
          <w:shd w:val="clear" w:color="auto" w:fill="FFFFFF"/>
          <w:rtl/>
        </w:rPr>
        <w:t>أ</w:t>
      </w:r>
      <w:r w:rsidRPr="00282AC9">
        <w:rPr>
          <w:rFonts w:ascii="Times New Roman" w:hAnsi="Times New Roman"/>
          <w:sz w:val="27"/>
          <w:shd w:val="clear" w:color="auto" w:fill="FFFFFF"/>
          <w:rtl/>
        </w:rPr>
        <w:t>نه</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 xml:space="preserve"> أومن قيمته العلمي</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ة</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 xml:space="preserve"> ل</w:t>
      </w:r>
      <w:r w:rsidRPr="00282AC9">
        <w:rPr>
          <w:rFonts w:ascii="Times New Roman" w:hAnsi="Times New Roman" w:hint="cs"/>
          <w:sz w:val="27"/>
          <w:shd w:val="clear" w:color="auto" w:fill="FFFFFF"/>
          <w:rtl/>
        </w:rPr>
        <w:t>أ</w:t>
      </w:r>
      <w:r w:rsidRPr="00282AC9">
        <w:rPr>
          <w:rFonts w:ascii="Times New Roman" w:hAnsi="Times New Roman"/>
          <w:sz w:val="27"/>
          <w:shd w:val="clear" w:color="auto" w:fill="FFFFFF"/>
          <w:rtl/>
        </w:rPr>
        <w:t>ن القضايا والمباحث والإشكالي</w:t>
      </w:r>
      <w:r w:rsidR="001D7ADE" w:rsidRPr="00282AC9">
        <w:rPr>
          <w:rFonts w:ascii="Times New Roman" w:hAnsi="Times New Roman" w:hint="cs"/>
          <w:sz w:val="27"/>
          <w:shd w:val="clear" w:color="auto" w:fill="FFFFFF"/>
          <w:rtl/>
        </w:rPr>
        <w:t>ّ</w:t>
      </w:r>
      <w:r w:rsidRPr="00282AC9">
        <w:rPr>
          <w:rFonts w:ascii="Times New Roman" w:hAnsi="Times New Roman"/>
          <w:sz w:val="27"/>
          <w:shd w:val="clear" w:color="auto" w:fill="FFFFFF"/>
          <w:rtl/>
        </w:rPr>
        <w:t>ات الكبرى التي استحضرها وأثارها علماء هذا العلم</w:t>
      </w:r>
      <w:r w:rsidRPr="00282AC9">
        <w:rPr>
          <w:rFonts w:ascii="Times New Roman" w:hAnsi="Times New Roman" w:hint="cs"/>
          <w:sz w:val="27"/>
          <w:shd w:val="clear" w:color="auto" w:fill="FFFFFF"/>
          <w:rtl/>
        </w:rPr>
        <w:t xml:space="preserve"> قديما</w:t>
      </w:r>
      <w:r w:rsidR="001D7ADE" w:rsidRPr="00282AC9">
        <w:rPr>
          <w:rFonts w:ascii="Times New Roman" w:hAnsi="Times New Roman" w:hint="cs"/>
          <w:sz w:val="27"/>
          <w:shd w:val="clear" w:color="auto" w:fill="FFFFFF"/>
          <w:rtl/>
        </w:rPr>
        <w:t>ً ليس بالإ</w:t>
      </w:r>
      <w:r w:rsidRPr="00282AC9">
        <w:rPr>
          <w:rFonts w:ascii="Times New Roman" w:hAnsi="Times New Roman" w:hint="cs"/>
          <w:sz w:val="27"/>
          <w:shd w:val="clear" w:color="auto" w:fill="FFFFFF"/>
          <w:rtl/>
        </w:rPr>
        <w:t>مكا</w:t>
      </w:r>
      <w:r w:rsidRPr="00282AC9">
        <w:rPr>
          <w:rFonts w:ascii="Times New Roman" w:hAnsi="Times New Roman" w:hint="eastAsia"/>
          <w:sz w:val="27"/>
          <w:shd w:val="clear" w:color="auto" w:fill="FFFFFF"/>
          <w:rtl/>
        </w:rPr>
        <w:t>ن</w:t>
      </w:r>
      <w:r w:rsidRPr="00282AC9">
        <w:rPr>
          <w:rFonts w:ascii="Times New Roman" w:hAnsi="Times New Roman" w:hint="cs"/>
          <w:sz w:val="27"/>
          <w:shd w:val="clear" w:color="auto" w:fill="FFFFFF"/>
          <w:rtl/>
        </w:rPr>
        <w:t xml:space="preserve"> أن</w:t>
      </w:r>
      <w:r w:rsidRPr="00282AC9">
        <w:rPr>
          <w:rFonts w:ascii="Times New Roman" w:hAnsi="Times New Roman"/>
          <w:sz w:val="27"/>
          <w:shd w:val="clear" w:color="auto" w:fill="FFFFFF"/>
          <w:rtl/>
        </w:rPr>
        <w:t xml:space="preserve"> </w:t>
      </w:r>
      <w:r w:rsidRPr="00282AC9">
        <w:rPr>
          <w:rFonts w:ascii="Times New Roman" w:hAnsi="Times New Roman" w:hint="cs"/>
          <w:sz w:val="27"/>
          <w:shd w:val="clear" w:color="auto" w:fill="FFFFFF"/>
          <w:rtl/>
        </w:rPr>
        <w:t>ي</w:t>
      </w:r>
      <w:r w:rsidRPr="00282AC9">
        <w:rPr>
          <w:rFonts w:ascii="Times New Roman" w:hAnsi="Times New Roman"/>
          <w:sz w:val="27"/>
          <w:shd w:val="clear" w:color="auto" w:fill="FFFFFF"/>
          <w:rtl/>
        </w:rPr>
        <w:t>ستحضرها الباحثون المعاصرون اليوم</w:t>
      </w:r>
      <w:r w:rsidRPr="00282AC9">
        <w:rPr>
          <w:rFonts w:ascii="Times New Roman" w:hAnsi="Times New Roman" w:hint="cs"/>
          <w:sz w:val="27"/>
          <w:shd w:val="clear" w:color="auto" w:fill="FFFFFF"/>
          <w:rtl/>
        </w:rPr>
        <w:t>.</w:t>
      </w:r>
    </w:p>
    <w:p w:rsidR="00D722E4" w:rsidRPr="00282AC9" w:rsidRDefault="001D7ADE" w:rsidP="00A20690">
      <w:pPr>
        <w:rPr>
          <w:rFonts w:ascii="Times New Roman" w:hAnsi="Times New Roman"/>
          <w:sz w:val="27"/>
          <w:shd w:val="clear" w:color="auto" w:fill="FFFFFF"/>
          <w:rtl/>
        </w:rPr>
      </w:pPr>
      <w:r w:rsidRPr="00282AC9">
        <w:rPr>
          <w:rFonts w:ascii="Times New Roman" w:hAnsi="Times New Roman" w:hint="cs"/>
          <w:sz w:val="27"/>
          <w:shd w:val="clear" w:color="auto" w:fill="FFFFFF"/>
          <w:rtl/>
        </w:rPr>
        <w:t xml:space="preserve">وفي </w:t>
      </w:r>
      <w:r w:rsidR="00D722E4" w:rsidRPr="00282AC9">
        <w:rPr>
          <w:rFonts w:ascii="Times New Roman" w:hAnsi="Times New Roman" w:hint="cs"/>
          <w:sz w:val="27"/>
          <w:shd w:val="clear" w:color="auto" w:fill="FFFFFF"/>
          <w:rtl/>
        </w:rPr>
        <w:t>المقابل</w:t>
      </w:r>
      <w:r w:rsidRPr="00282AC9">
        <w:rPr>
          <w:rFonts w:ascii="Times New Roman" w:hAnsi="Times New Roman" w:hint="cs"/>
          <w:sz w:val="27"/>
          <w:shd w:val="clear" w:color="auto" w:fill="FFFFFF"/>
          <w:rtl/>
        </w:rPr>
        <w:t>،</w:t>
      </w:r>
      <w:r w:rsidR="00D722E4" w:rsidRPr="00282AC9">
        <w:rPr>
          <w:rFonts w:ascii="Times New Roman" w:hAnsi="Times New Roman" w:hint="cs"/>
          <w:sz w:val="27"/>
          <w:shd w:val="clear" w:color="auto" w:fill="FFFFFF"/>
          <w:rtl/>
        </w:rPr>
        <w:t xml:space="preserve"> اعتبر</w:t>
      </w:r>
      <w:r w:rsidR="00D722E4" w:rsidRPr="00282AC9">
        <w:rPr>
          <w:rFonts w:ascii="Times New Roman" w:hAnsi="Times New Roman"/>
          <w:sz w:val="27"/>
          <w:shd w:val="clear" w:color="auto" w:fill="FFFFFF"/>
          <w:rtl/>
        </w:rPr>
        <w:t xml:space="preserve"> الدكتور مهدي فضل الله </w:t>
      </w:r>
      <w:r w:rsidR="00D722E4" w:rsidRPr="00282AC9">
        <w:rPr>
          <w:rFonts w:hint="eastAsia"/>
          <w:sz w:val="24"/>
          <w:szCs w:val="24"/>
          <w:rtl/>
        </w:rPr>
        <w:t>«</w:t>
      </w:r>
      <w:r w:rsidRPr="00282AC9">
        <w:rPr>
          <w:rFonts w:ascii="Times New Roman" w:hAnsi="Times New Roman" w:hint="cs"/>
          <w:sz w:val="27"/>
          <w:shd w:val="clear" w:color="auto" w:fill="FFFFFF"/>
          <w:rtl/>
        </w:rPr>
        <w:t>أ</w:t>
      </w:r>
      <w:r w:rsidR="00D722E4" w:rsidRPr="00282AC9">
        <w:rPr>
          <w:rFonts w:ascii="Times New Roman" w:hAnsi="Times New Roman"/>
          <w:sz w:val="27"/>
          <w:shd w:val="clear" w:color="auto" w:fill="FFFFFF"/>
          <w:rtl/>
        </w:rPr>
        <w:t>ن علم أصول الفقه منهج</w:t>
      </w:r>
      <w:r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 xml:space="preserve"> دقيق</w:t>
      </w:r>
      <w:r w:rsidR="00D722E4" w:rsidRPr="00282AC9">
        <w:rPr>
          <w:rFonts w:ascii="Times New Roman" w:hAnsi="Times New Roman" w:hint="cs"/>
          <w:sz w:val="27"/>
          <w:shd w:val="clear" w:color="auto" w:fill="FFFFFF"/>
          <w:rtl/>
        </w:rPr>
        <w:t>، وأ</w:t>
      </w:r>
      <w:r w:rsidR="00D722E4" w:rsidRPr="00282AC9">
        <w:rPr>
          <w:rFonts w:ascii="Times New Roman" w:hAnsi="Times New Roman"/>
          <w:sz w:val="27"/>
          <w:shd w:val="clear" w:color="auto" w:fill="FFFFFF"/>
          <w:rtl/>
        </w:rPr>
        <w:t>نه منهج</w:t>
      </w:r>
      <w:r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 xml:space="preserve"> لا يعادله منهج</w:t>
      </w:r>
      <w:r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 xml:space="preserve"> </w:t>
      </w:r>
      <w:r w:rsidRPr="00282AC9">
        <w:rPr>
          <w:rFonts w:ascii="Times New Roman" w:hAnsi="Times New Roman" w:hint="cs"/>
          <w:sz w:val="27"/>
          <w:shd w:val="clear" w:color="auto" w:fill="FFFFFF"/>
          <w:rtl/>
        </w:rPr>
        <w:t>آ</w:t>
      </w:r>
      <w:r w:rsidR="00D722E4" w:rsidRPr="00282AC9">
        <w:rPr>
          <w:rFonts w:ascii="Times New Roman" w:hAnsi="Times New Roman"/>
          <w:sz w:val="27"/>
          <w:shd w:val="clear" w:color="auto" w:fill="FFFFFF"/>
          <w:rtl/>
        </w:rPr>
        <w:t>خر، في دق</w:t>
      </w:r>
      <w:r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ته</w:t>
      </w:r>
      <w:r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 xml:space="preserve"> وتماسكه، ومرونته، وقدرته على الخوض في مختلف موضوعات الشريعة، والوصول فيه</w:t>
      </w:r>
      <w:r w:rsidR="00F76709" w:rsidRPr="00282AC9">
        <w:rPr>
          <w:rFonts w:ascii="Times New Roman" w:hAnsi="Times New Roman" w:hint="cs"/>
          <w:sz w:val="27"/>
          <w:shd w:val="clear" w:color="auto" w:fill="FFFFFF"/>
          <w:rtl/>
        </w:rPr>
        <w:t>ا</w:t>
      </w:r>
      <w:r w:rsidR="00D722E4" w:rsidRPr="00282AC9">
        <w:rPr>
          <w:rFonts w:ascii="Times New Roman" w:hAnsi="Times New Roman"/>
          <w:sz w:val="27"/>
          <w:shd w:val="clear" w:color="auto" w:fill="FFFFFF"/>
          <w:rtl/>
        </w:rPr>
        <w:t xml:space="preserve"> إلى حلول</w:t>
      </w:r>
      <w:r w:rsidR="00F76709"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 xml:space="preserve"> اجتماعي</w:t>
      </w:r>
      <w:r w:rsidR="00F76709"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ة إنساني</w:t>
      </w:r>
      <w:r w:rsidR="00F76709" w:rsidRPr="00282AC9">
        <w:rPr>
          <w:rFonts w:ascii="Times New Roman" w:hAnsi="Times New Roman" w:hint="cs"/>
          <w:sz w:val="27"/>
          <w:shd w:val="clear" w:color="auto" w:fill="FFFFFF"/>
          <w:rtl/>
        </w:rPr>
        <w:t>ّ</w:t>
      </w:r>
      <w:r w:rsidR="00D722E4" w:rsidRPr="00282AC9">
        <w:rPr>
          <w:rFonts w:ascii="Times New Roman" w:hAnsi="Times New Roman"/>
          <w:sz w:val="27"/>
          <w:shd w:val="clear" w:color="auto" w:fill="FFFFFF"/>
          <w:rtl/>
        </w:rPr>
        <w:t>ة</w:t>
      </w:r>
      <w:r w:rsidR="00D722E4" w:rsidRPr="00282AC9">
        <w:rPr>
          <w:rFonts w:hint="eastAsia"/>
          <w:sz w:val="24"/>
          <w:szCs w:val="24"/>
          <w:rtl/>
        </w:rPr>
        <w:t>»</w:t>
      </w:r>
      <w:r w:rsidR="00D722E4" w:rsidRPr="00282AC9">
        <w:rPr>
          <w:rFonts w:ascii="Times New Roman" w:hAnsi="Times New Roman"/>
          <w:sz w:val="27"/>
          <w:shd w:val="clear" w:color="auto" w:fill="FFFFFF"/>
          <w:vertAlign w:val="superscript"/>
          <w:rtl/>
        </w:rPr>
        <w:t>(</w:t>
      </w:r>
      <w:r w:rsidR="00D722E4" w:rsidRPr="00282AC9">
        <w:rPr>
          <w:rStyle w:val="af9"/>
          <w:rFonts w:ascii="Times New Roman" w:hAnsi="Times New Roman"/>
          <w:sz w:val="27"/>
          <w:shd w:val="clear" w:color="auto" w:fill="FFFFFF"/>
          <w:rtl/>
        </w:rPr>
        <w:endnoteReference w:id="699"/>
      </w:r>
      <w:r w:rsidR="00D722E4" w:rsidRPr="00282AC9">
        <w:rPr>
          <w:rFonts w:ascii="Times New Roman" w:hAnsi="Times New Roman"/>
          <w:sz w:val="27"/>
          <w:shd w:val="clear" w:color="auto" w:fill="FFFFFF"/>
          <w:vertAlign w:val="superscript"/>
          <w:rtl/>
        </w:rPr>
        <w:t>)</w:t>
      </w:r>
      <w:r w:rsidR="00D722E4" w:rsidRPr="00282AC9">
        <w:rPr>
          <w:rFonts w:ascii="Times New Roman" w:hAnsi="Times New Roman" w:hint="cs"/>
          <w:sz w:val="27"/>
          <w:shd w:val="clear" w:color="auto" w:fill="FFFFFF"/>
          <w:rtl/>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shd w:val="clear" w:color="auto" w:fill="FFFFFF"/>
          <w:rtl/>
        </w:rPr>
        <w:t xml:space="preserve"> </w:t>
      </w:r>
      <w:r w:rsidRPr="00282AC9">
        <w:rPr>
          <w:rFonts w:ascii="Times New Roman" w:hAnsi="Times New Roman" w:hint="cs"/>
          <w:sz w:val="27"/>
          <w:rtl/>
        </w:rPr>
        <w:t xml:space="preserve">وهذا </w:t>
      </w:r>
      <w:r w:rsidRPr="00282AC9">
        <w:rPr>
          <w:rFonts w:ascii="Times New Roman" w:hAnsi="Times New Roman"/>
          <w:sz w:val="27"/>
          <w:rtl/>
        </w:rPr>
        <w:t>يدل</w:t>
      </w:r>
      <w:r w:rsidR="00F76709" w:rsidRPr="00282AC9">
        <w:rPr>
          <w:rFonts w:ascii="Times New Roman" w:hAnsi="Times New Roman" w:hint="cs"/>
          <w:sz w:val="27"/>
          <w:rtl/>
        </w:rPr>
        <w:t>ّ</w:t>
      </w:r>
      <w:r w:rsidRPr="00282AC9">
        <w:rPr>
          <w:rFonts w:ascii="Times New Roman" w:hAnsi="Times New Roman"/>
          <w:sz w:val="27"/>
          <w:rtl/>
        </w:rPr>
        <w:t xml:space="preserve"> </w:t>
      </w:r>
      <w:r w:rsidRPr="00282AC9">
        <w:rPr>
          <w:rFonts w:ascii="Times New Roman" w:hAnsi="Times New Roman" w:hint="cs"/>
          <w:sz w:val="27"/>
          <w:rtl/>
        </w:rPr>
        <w:t>أن</w:t>
      </w:r>
      <w:r w:rsidRPr="00282AC9">
        <w:rPr>
          <w:rFonts w:ascii="Times New Roman" w:hAnsi="Times New Roman"/>
          <w:sz w:val="27"/>
          <w:rtl/>
        </w:rPr>
        <w:t xml:space="preserve"> علم أصول الفقه من أهم</w:t>
      </w:r>
      <w:r w:rsidR="00F76709" w:rsidRPr="00282AC9">
        <w:rPr>
          <w:rFonts w:ascii="Times New Roman" w:hAnsi="Times New Roman" w:hint="cs"/>
          <w:sz w:val="27"/>
          <w:rtl/>
        </w:rPr>
        <w:t>ّ</w:t>
      </w:r>
      <w:r w:rsidRPr="00282AC9">
        <w:rPr>
          <w:rFonts w:ascii="Times New Roman" w:hAnsi="Times New Roman"/>
          <w:sz w:val="27"/>
          <w:rtl/>
        </w:rPr>
        <w:t xml:space="preserve"> العلوم التي استطاع</w:t>
      </w:r>
      <w:r w:rsidR="00F76709" w:rsidRPr="00282AC9">
        <w:rPr>
          <w:rFonts w:ascii="Times New Roman" w:hAnsi="Times New Roman" w:hint="cs"/>
          <w:sz w:val="27"/>
          <w:rtl/>
        </w:rPr>
        <w:t>َ</w:t>
      </w:r>
      <w:r w:rsidRPr="00282AC9">
        <w:rPr>
          <w:rFonts w:ascii="Times New Roman" w:hAnsi="Times New Roman"/>
          <w:sz w:val="27"/>
          <w:rtl/>
        </w:rPr>
        <w:t>ت</w:t>
      </w:r>
      <w:r w:rsidR="00F76709" w:rsidRPr="00282AC9">
        <w:rPr>
          <w:rFonts w:ascii="Times New Roman" w:hAnsi="Times New Roman" w:hint="cs"/>
          <w:sz w:val="27"/>
          <w:rtl/>
        </w:rPr>
        <w:t>ْ</w:t>
      </w:r>
      <w:r w:rsidRPr="00282AC9">
        <w:rPr>
          <w:rFonts w:ascii="Times New Roman" w:hAnsi="Times New Roman"/>
          <w:sz w:val="27"/>
          <w:rtl/>
        </w:rPr>
        <w:t xml:space="preserve"> أن تحمل نظرية</w:t>
      </w:r>
      <w:r w:rsidR="00F76709" w:rsidRPr="00282AC9">
        <w:rPr>
          <w:rFonts w:ascii="Times New Roman" w:hAnsi="Times New Roman" w:hint="cs"/>
          <w:sz w:val="27"/>
          <w:rtl/>
        </w:rPr>
        <w:t>ً</w:t>
      </w:r>
      <w:r w:rsidRPr="00282AC9">
        <w:rPr>
          <w:rFonts w:ascii="Times New Roman" w:hAnsi="Times New Roman"/>
          <w:sz w:val="27"/>
          <w:rtl/>
        </w:rPr>
        <w:t xml:space="preserve"> متكاملة في تفسير النص</w:t>
      </w:r>
      <w:r w:rsidR="00F76709" w:rsidRPr="00282AC9">
        <w:rPr>
          <w:rFonts w:ascii="Times New Roman" w:hAnsi="Times New Roman" w:hint="cs"/>
          <w:sz w:val="27"/>
          <w:rtl/>
        </w:rPr>
        <w:t>ّ،</w:t>
      </w:r>
      <w:r w:rsidRPr="00282AC9">
        <w:rPr>
          <w:rFonts w:ascii="Times New Roman" w:hAnsi="Times New Roman"/>
          <w:sz w:val="27"/>
          <w:rtl/>
        </w:rPr>
        <w:t xml:space="preserve"> وقراءته وتأويله</w:t>
      </w:r>
      <w:r w:rsidR="00F76709" w:rsidRPr="00282AC9">
        <w:rPr>
          <w:rFonts w:ascii="Times New Roman" w:hAnsi="Times New Roman" w:hint="cs"/>
          <w:sz w:val="27"/>
          <w:rtl/>
        </w:rPr>
        <w:t>.</w:t>
      </w:r>
      <w:r w:rsidRPr="00282AC9">
        <w:rPr>
          <w:rFonts w:ascii="Times New Roman" w:hAnsi="Times New Roman" w:hint="cs"/>
          <w:sz w:val="27"/>
          <w:rtl/>
        </w:rPr>
        <w:t xml:space="preserve"> </w:t>
      </w:r>
      <w:r w:rsidRPr="00282AC9">
        <w:rPr>
          <w:rFonts w:ascii="Times New Roman" w:hAnsi="Times New Roman"/>
          <w:sz w:val="27"/>
          <w:rtl/>
        </w:rPr>
        <w:t>فعلم أصول الفقه علم</w:t>
      </w:r>
      <w:r w:rsidR="00F76709" w:rsidRPr="00282AC9">
        <w:rPr>
          <w:rFonts w:ascii="Times New Roman" w:hAnsi="Times New Roman" w:hint="cs"/>
          <w:sz w:val="27"/>
          <w:rtl/>
        </w:rPr>
        <w:t>ٌ</w:t>
      </w:r>
      <w:r w:rsidRPr="00282AC9">
        <w:rPr>
          <w:rFonts w:ascii="Times New Roman" w:hAnsi="Times New Roman"/>
          <w:sz w:val="27"/>
          <w:rtl/>
        </w:rPr>
        <w:t xml:space="preserve"> يختص</w:t>
      </w:r>
      <w:r w:rsidR="00F76709" w:rsidRPr="00282AC9">
        <w:rPr>
          <w:rFonts w:ascii="Times New Roman" w:hAnsi="Times New Roman" w:hint="cs"/>
          <w:sz w:val="27"/>
          <w:rtl/>
        </w:rPr>
        <w:t>ّ</w:t>
      </w:r>
      <w:r w:rsidRPr="00282AC9">
        <w:rPr>
          <w:rFonts w:ascii="Times New Roman" w:hAnsi="Times New Roman"/>
          <w:sz w:val="27"/>
          <w:rtl/>
        </w:rPr>
        <w:t xml:space="preserve"> بمنهج الاستنباط</w:t>
      </w:r>
      <w:r w:rsidRPr="00282AC9">
        <w:rPr>
          <w:rFonts w:ascii="Times New Roman" w:hAnsi="Times New Roman" w:hint="cs"/>
          <w:sz w:val="27"/>
          <w:rtl/>
        </w:rPr>
        <w:t xml:space="preserve">، </w:t>
      </w:r>
      <w:r w:rsidR="00F76709" w:rsidRPr="00282AC9">
        <w:rPr>
          <w:rFonts w:ascii="Times New Roman" w:hAnsi="Times New Roman" w:hint="cs"/>
          <w:sz w:val="27"/>
          <w:rtl/>
        </w:rPr>
        <w:t>و</w:t>
      </w:r>
      <w:r w:rsidRPr="00282AC9">
        <w:rPr>
          <w:rFonts w:ascii="Times New Roman" w:hAnsi="Times New Roman"/>
          <w:sz w:val="27"/>
          <w:rtl/>
        </w:rPr>
        <w:t>يتعل</w:t>
      </w:r>
      <w:r w:rsidR="00F76709" w:rsidRPr="00282AC9">
        <w:rPr>
          <w:rFonts w:ascii="Times New Roman" w:hAnsi="Times New Roman" w:hint="cs"/>
          <w:sz w:val="27"/>
          <w:rtl/>
        </w:rPr>
        <w:t>ّ</w:t>
      </w:r>
      <w:r w:rsidRPr="00282AC9">
        <w:rPr>
          <w:rFonts w:ascii="Times New Roman" w:hAnsi="Times New Roman"/>
          <w:sz w:val="27"/>
          <w:rtl/>
        </w:rPr>
        <w:t>ق بتقويم عملية الاجتهاد، ويعمل على تسديد الفهم، ويت</w:t>
      </w:r>
      <w:r w:rsidR="00F76709" w:rsidRPr="00282AC9">
        <w:rPr>
          <w:rFonts w:ascii="Times New Roman" w:hAnsi="Times New Roman" w:hint="cs"/>
          <w:sz w:val="27"/>
          <w:rtl/>
        </w:rPr>
        <w:t>ّ</w:t>
      </w:r>
      <w:r w:rsidRPr="00282AC9">
        <w:rPr>
          <w:rFonts w:ascii="Times New Roman" w:hAnsi="Times New Roman"/>
          <w:sz w:val="27"/>
          <w:rtl/>
        </w:rPr>
        <w:t>صل مباشرة</w:t>
      </w:r>
      <w:r w:rsidR="00F76709" w:rsidRPr="00282AC9">
        <w:rPr>
          <w:rFonts w:ascii="Times New Roman" w:hAnsi="Times New Roman" w:hint="cs"/>
          <w:sz w:val="27"/>
          <w:rtl/>
        </w:rPr>
        <w:t>ً</w:t>
      </w:r>
      <w:r w:rsidRPr="00282AC9">
        <w:rPr>
          <w:rFonts w:ascii="Times New Roman" w:hAnsi="Times New Roman"/>
          <w:sz w:val="27"/>
          <w:rtl/>
        </w:rPr>
        <w:t xml:space="preserve"> بتسديد النظر في الفهم وفق قانون</w:t>
      </w:r>
      <w:r w:rsidR="00F76709" w:rsidRPr="00282AC9">
        <w:rPr>
          <w:rFonts w:ascii="Times New Roman" w:hAnsi="Times New Roman" w:hint="cs"/>
          <w:sz w:val="27"/>
          <w:rtl/>
        </w:rPr>
        <w:t>ٍ</w:t>
      </w:r>
      <w:r w:rsidRPr="00282AC9">
        <w:rPr>
          <w:rFonts w:ascii="Times New Roman" w:hAnsi="Times New Roman"/>
          <w:sz w:val="27"/>
          <w:rtl/>
        </w:rPr>
        <w:t xml:space="preserve"> علمي</w:t>
      </w:r>
      <w:r w:rsidR="00F76709" w:rsidRPr="00282AC9">
        <w:rPr>
          <w:rFonts w:ascii="Times New Roman" w:hAnsi="Times New Roman" w:hint="cs"/>
          <w:sz w:val="27"/>
          <w:rtl/>
        </w:rPr>
        <w:t>ّ</w:t>
      </w:r>
      <w:r w:rsidRPr="00282AC9">
        <w:rPr>
          <w:rFonts w:ascii="Times New Roman" w:hAnsi="Times New Roman"/>
          <w:sz w:val="27"/>
          <w:rtl/>
        </w:rPr>
        <w:t xml:space="preserve"> ضابط</w:t>
      </w:r>
      <w:r w:rsidR="00F76709" w:rsidRPr="00282AC9">
        <w:rPr>
          <w:rFonts w:ascii="Times New Roman" w:hAnsi="Times New Roman" w:hint="cs"/>
          <w:sz w:val="27"/>
          <w:rtl/>
        </w:rPr>
        <w:t>؛</w:t>
      </w:r>
      <w:r w:rsidRPr="00282AC9">
        <w:rPr>
          <w:rFonts w:ascii="Times New Roman" w:hAnsi="Times New Roman" w:hint="cs"/>
          <w:sz w:val="27"/>
          <w:rtl/>
        </w:rPr>
        <w:t xml:space="preserve"> </w:t>
      </w:r>
      <w:r w:rsidRPr="00282AC9">
        <w:rPr>
          <w:rFonts w:ascii="Times New Roman" w:hAnsi="Times New Roman"/>
          <w:sz w:val="27"/>
          <w:rtl/>
        </w:rPr>
        <w:t>ل</w:t>
      </w:r>
      <w:r w:rsidRPr="00282AC9">
        <w:rPr>
          <w:rFonts w:ascii="Times New Roman" w:hAnsi="Times New Roman" w:hint="cs"/>
          <w:sz w:val="27"/>
          <w:rtl/>
        </w:rPr>
        <w:t>أ</w:t>
      </w:r>
      <w:r w:rsidRPr="00282AC9">
        <w:rPr>
          <w:rFonts w:ascii="Times New Roman" w:hAnsi="Times New Roman"/>
          <w:sz w:val="27"/>
          <w:rtl/>
        </w:rPr>
        <w:t>ن مسعى الأصولي كان دائم</w:t>
      </w:r>
      <w:r w:rsidRPr="00282AC9">
        <w:rPr>
          <w:rFonts w:ascii="Times New Roman" w:hAnsi="Times New Roman" w:hint="cs"/>
          <w:sz w:val="27"/>
          <w:rtl/>
        </w:rPr>
        <w:t>اً</w:t>
      </w:r>
      <w:r w:rsidRPr="00282AC9">
        <w:rPr>
          <w:rFonts w:ascii="Times New Roman" w:hAnsi="Times New Roman"/>
          <w:sz w:val="27"/>
          <w:rtl/>
        </w:rPr>
        <w:t xml:space="preserve"> هو تقعيد قواعد الفهم، وإرساء شروط التفسير، وع</w:t>
      </w:r>
      <w:r w:rsidR="00F76709" w:rsidRPr="00282AC9">
        <w:rPr>
          <w:rFonts w:ascii="Times New Roman" w:hAnsi="Times New Roman" w:hint="cs"/>
          <w:sz w:val="27"/>
          <w:rtl/>
        </w:rPr>
        <w:t>َ</w:t>
      </w:r>
      <w:r w:rsidRPr="00282AC9">
        <w:rPr>
          <w:rFonts w:ascii="Times New Roman" w:hAnsi="Times New Roman"/>
          <w:sz w:val="27"/>
          <w:rtl/>
        </w:rPr>
        <w:t>ر</w:t>
      </w:r>
      <w:r w:rsidR="00F76709" w:rsidRPr="00282AC9">
        <w:rPr>
          <w:rFonts w:ascii="Times New Roman" w:hAnsi="Times New Roman" w:hint="cs"/>
          <w:sz w:val="27"/>
          <w:rtl/>
        </w:rPr>
        <w:t>ْ</w:t>
      </w:r>
      <w:r w:rsidRPr="00282AC9">
        <w:rPr>
          <w:rFonts w:ascii="Times New Roman" w:hAnsi="Times New Roman"/>
          <w:sz w:val="27"/>
          <w:rtl/>
        </w:rPr>
        <w:t>ض مقتضيات البيان وأصول التأويل</w:t>
      </w:r>
      <w:r w:rsidR="00F76709" w:rsidRPr="00282AC9">
        <w:rPr>
          <w:rFonts w:ascii="Times New Roman" w:hAnsi="Times New Roman" w:hint="cs"/>
          <w:sz w:val="27"/>
          <w:rtl/>
        </w:rPr>
        <w:t>.</w:t>
      </w:r>
      <w:r w:rsidRPr="00282AC9">
        <w:rPr>
          <w:rFonts w:ascii="Times New Roman" w:hAnsi="Times New Roman"/>
          <w:sz w:val="27"/>
          <w:rtl/>
        </w:rPr>
        <w:t xml:space="preserve"> </w:t>
      </w:r>
      <w:r w:rsidRPr="00282AC9">
        <w:rPr>
          <w:rFonts w:ascii="Times New Roman" w:hAnsi="Times New Roman" w:hint="cs"/>
          <w:sz w:val="27"/>
          <w:rtl/>
        </w:rPr>
        <w:t xml:space="preserve">قصده من هذا </w:t>
      </w:r>
      <w:r w:rsidRPr="00282AC9">
        <w:rPr>
          <w:rFonts w:ascii="Times New Roman" w:hAnsi="Times New Roman"/>
          <w:sz w:val="27"/>
          <w:rtl/>
        </w:rPr>
        <w:t>تحصيل المعنى المحمول في الخطاب القر</w:t>
      </w:r>
      <w:r w:rsidR="00F76709" w:rsidRPr="00282AC9">
        <w:rPr>
          <w:rFonts w:ascii="Times New Roman" w:hAnsi="Times New Roman" w:hint="cs"/>
          <w:sz w:val="27"/>
          <w:rtl/>
        </w:rPr>
        <w:t>آ</w:t>
      </w:r>
      <w:r w:rsidRPr="00282AC9">
        <w:rPr>
          <w:rFonts w:ascii="Times New Roman" w:hAnsi="Times New Roman"/>
          <w:sz w:val="27"/>
          <w:rtl/>
        </w:rPr>
        <w:t>ني</w:t>
      </w:r>
      <w:r w:rsidR="00F76709" w:rsidRPr="00282AC9">
        <w:rPr>
          <w:rFonts w:ascii="Times New Roman" w:hAnsi="Times New Roman" w:hint="cs"/>
          <w:sz w:val="27"/>
          <w:rtl/>
        </w:rPr>
        <w:t>؛</w:t>
      </w:r>
      <w:r w:rsidRPr="00282AC9">
        <w:rPr>
          <w:rFonts w:ascii="Times New Roman" w:hAnsi="Times New Roman"/>
          <w:sz w:val="27"/>
          <w:rtl/>
        </w:rPr>
        <w:t xml:space="preserve"> ليكون هذا المعنى مدخل</w:t>
      </w:r>
      <w:r w:rsidRPr="00282AC9">
        <w:rPr>
          <w:rFonts w:ascii="Times New Roman" w:hAnsi="Times New Roman" w:hint="cs"/>
          <w:sz w:val="27"/>
          <w:rtl/>
        </w:rPr>
        <w:t>اً</w:t>
      </w:r>
      <w:r w:rsidRPr="00282AC9">
        <w:rPr>
          <w:rFonts w:ascii="Times New Roman" w:hAnsi="Times New Roman"/>
          <w:sz w:val="27"/>
          <w:rtl/>
        </w:rPr>
        <w:t xml:space="preserve"> لاستنباط الحكم الشرعي</w:t>
      </w:r>
      <w:r w:rsidRPr="00282AC9">
        <w:rPr>
          <w:rFonts w:ascii="Times New Roman" w:hAnsi="Times New Roman"/>
          <w:sz w:val="27"/>
          <w:vertAlign w:val="superscript"/>
          <w:rtl/>
        </w:rPr>
        <w:t>(</w:t>
      </w:r>
      <w:r w:rsidRPr="00282AC9">
        <w:rPr>
          <w:rStyle w:val="af9"/>
          <w:rFonts w:ascii="Times New Roman" w:hAnsi="Times New Roman"/>
          <w:sz w:val="27"/>
          <w:rtl/>
        </w:rPr>
        <w:endnoteReference w:id="700"/>
      </w:r>
      <w:r w:rsidRPr="00282AC9">
        <w:rPr>
          <w:rFonts w:ascii="Times New Roman" w:hAnsi="Times New Roman"/>
          <w:sz w:val="27"/>
          <w:vertAlign w:val="superscript"/>
          <w:rtl/>
        </w:rPr>
        <w:t>)</w:t>
      </w:r>
      <w:r w:rsidRPr="00282AC9">
        <w:rPr>
          <w:rFonts w:ascii="Times New Roman" w:hAnsi="Times New Roman"/>
          <w:sz w:val="27"/>
          <w:rtl/>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lastRenderedPageBreak/>
        <w:t>فهو منهج</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بالإمكان استثمار</w:t>
      </w:r>
      <w:r w:rsidR="00F76709" w:rsidRPr="00282AC9">
        <w:rPr>
          <w:rFonts w:ascii="Times New Roman" w:hAnsi="Times New Roman" w:hint="cs"/>
          <w:sz w:val="27"/>
          <w:rtl/>
          <w:lang w:bidi="ar-MA"/>
        </w:rPr>
        <w:t>ُ</w:t>
      </w:r>
      <w:r w:rsidRPr="00282AC9">
        <w:rPr>
          <w:rFonts w:ascii="Times New Roman" w:hAnsi="Times New Roman" w:hint="cs"/>
          <w:sz w:val="27"/>
          <w:rtl/>
          <w:lang w:bidi="ar-MA"/>
        </w:rPr>
        <w:t>ه في تفق</w:t>
      </w:r>
      <w:r w:rsidR="00F76709" w:rsidRPr="00282AC9">
        <w:rPr>
          <w:rFonts w:ascii="Times New Roman" w:hAnsi="Times New Roman" w:hint="cs"/>
          <w:sz w:val="27"/>
          <w:rtl/>
          <w:lang w:bidi="ar-MA"/>
        </w:rPr>
        <w:t>ُّ</w:t>
      </w:r>
      <w:r w:rsidRPr="00282AC9">
        <w:rPr>
          <w:rFonts w:ascii="Times New Roman" w:hAnsi="Times New Roman" w:hint="cs"/>
          <w:sz w:val="27"/>
          <w:rtl/>
          <w:lang w:bidi="ar-MA"/>
        </w:rPr>
        <w:t>ه النصوص المدو</w:t>
      </w:r>
      <w:r w:rsidR="00F76709" w:rsidRPr="00282AC9">
        <w:rPr>
          <w:rFonts w:ascii="Times New Roman" w:hAnsi="Times New Roman" w:hint="cs"/>
          <w:sz w:val="27"/>
          <w:rtl/>
          <w:lang w:bidi="ar-MA"/>
        </w:rPr>
        <w:t>َّ</w:t>
      </w:r>
      <w:r w:rsidRPr="00282AC9">
        <w:rPr>
          <w:rFonts w:ascii="Times New Roman" w:hAnsi="Times New Roman" w:hint="cs"/>
          <w:sz w:val="27"/>
          <w:rtl/>
          <w:lang w:bidi="ar-MA"/>
        </w:rPr>
        <w:t>نة باللغة العربية، بما في ذلك النصوص القانونية</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لأنها م</w:t>
      </w:r>
      <w:r w:rsidR="00F76709" w:rsidRPr="00282AC9">
        <w:rPr>
          <w:rFonts w:ascii="Times New Roman" w:hAnsi="Times New Roman" w:hint="cs"/>
          <w:sz w:val="27"/>
          <w:rtl/>
          <w:lang w:bidi="ar-MA"/>
        </w:rPr>
        <w:t>ُ</w:t>
      </w:r>
      <w:r w:rsidRPr="00282AC9">
        <w:rPr>
          <w:rFonts w:ascii="Times New Roman" w:hAnsi="Times New Roman" w:hint="cs"/>
          <w:sz w:val="27"/>
          <w:rtl/>
          <w:lang w:bidi="ar-MA"/>
        </w:rPr>
        <w:t>صاغة</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ومرك</w:t>
      </w:r>
      <w:r w:rsidR="00F76709" w:rsidRPr="00282AC9">
        <w:rPr>
          <w:rFonts w:ascii="Times New Roman" w:hAnsi="Times New Roman" w:hint="cs"/>
          <w:sz w:val="27"/>
          <w:rtl/>
          <w:lang w:bidi="ar-MA"/>
        </w:rPr>
        <w:t>ّ</w:t>
      </w:r>
      <w:r w:rsidRPr="00282AC9">
        <w:rPr>
          <w:rFonts w:ascii="Times New Roman" w:hAnsi="Times New Roman" w:hint="cs"/>
          <w:sz w:val="27"/>
          <w:rtl/>
          <w:lang w:bidi="ar-MA"/>
        </w:rPr>
        <w:t>بة بأسلوب</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عربي</w:t>
      </w:r>
      <w:r w:rsidR="00F76709" w:rsidRPr="00282AC9">
        <w:rPr>
          <w:rFonts w:ascii="Times New Roman" w:hAnsi="Times New Roman" w:hint="cs"/>
          <w:sz w:val="27"/>
          <w:rtl/>
          <w:lang w:bidi="ar-MA"/>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01"/>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ف</w:t>
      </w:r>
      <w:r w:rsidRPr="00282AC9">
        <w:rPr>
          <w:rFonts w:ascii="Times New Roman" w:hAnsi="Times New Roman"/>
          <w:sz w:val="27"/>
          <w:rtl/>
          <w:lang w:bidi="ar-MA"/>
        </w:rPr>
        <w:t>ه</w:t>
      </w:r>
      <w:r w:rsidRPr="00282AC9">
        <w:rPr>
          <w:rFonts w:ascii="Times New Roman" w:hAnsi="Times New Roman" w:hint="cs"/>
          <w:sz w:val="27"/>
          <w:rtl/>
          <w:lang w:bidi="ar-MA"/>
        </w:rPr>
        <w:t xml:space="preserve">ذه </w:t>
      </w:r>
      <w:r w:rsidRPr="00282AC9">
        <w:rPr>
          <w:rFonts w:ascii="Times New Roman" w:hAnsi="Times New Roman"/>
          <w:sz w:val="27"/>
          <w:rtl/>
          <w:lang w:bidi="ar-MA"/>
        </w:rPr>
        <w:t>المهم</w:t>
      </w:r>
      <w:r w:rsidR="00F76709" w:rsidRPr="00282AC9">
        <w:rPr>
          <w:rFonts w:ascii="Times New Roman" w:hAnsi="Times New Roman" w:hint="cs"/>
          <w:sz w:val="27"/>
          <w:rtl/>
          <w:lang w:bidi="ar-MA"/>
        </w:rPr>
        <w:t>ّ</w:t>
      </w:r>
      <w:r w:rsidRPr="00282AC9">
        <w:rPr>
          <w:rFonts w:ascii="Times New Roman" w:hAnsi="Times New Roman"/>
          <w:sz w:val="27"/>
          <w:rtl/>
          <w:lang w:bidi="ar-MA"/>
        </w:rPr>
        <w:t>ة</w:t>
      </w:r>
      <w:r w:rsidR="00F76709" w:rsidRPr="00282AC9">
        <w:rPr>
          <w:rFonts w:ascii="Times New Roman" w:hAnsi="Times New Roman" w:hint="cs"/>
          <w:sz w:val="27"/>
          <w:rtl/>
          <w:lang w:bidi="ar-MA"/>
        </w:rPr>
        <w:t>،</w:t>
      </w:r>
      <w:r w:rsidRPr="00282AC9">
        <w:rPr>
          <w:rFonts w:ascii="Times New Roman" w:hAnsi="Times New Roman"/>
          <w:sz w:val="27"/>
          <w:rtl/>
          <w:lang w:bidi="ar-MA"/>
        </w:rPr>
        <w:t xml:space="preserve"> التي أ</w:t>
      </w:r>
      <w:r w:rsidR="00F76709" w:rsidRPr="00282AC9">
        <w:rPr>
          <w:rFonts w:ascii="Times New Roman" w:hAnsi="Times New Roman" w:hint="cs"/>
          <w:sz w:val="27"/>
          <w:rtl/>
          <w:lang w:bidi="ar-MA"/>
        </w:rPr>
        <w:t>ُ</w:t>
      </w:r>
      <w:r w:rsidRPr="00282AC9">
        <w:rPr>
          <w:rFonts w:ascii="Times New Roman" w:hAnsi="Times New Roman"/>
          <w:sz w:val="27"/>
          <w:rtl/>
          <w:lang w:bidi="ar-MA"/>
        </w:rPr>
        <w:t>نيط بها علم أصول لفقه</w:t>
      </w:r>
      <w:r w:rsidR="00F76709" w:rsidRPr="00282AC9">
        <w:rPr>
          <w:rFonts w:ascii="Times New Roman" w:hAnsi="Times New Roman" w:hint="cs"/>
          <w:sz w:val="27"/>
          <w:rtl/>
          <w:lang w:bidi="ar-MA"/>
        </w:rPr>
        <w:t>،</w:t>
      </w:r>
      <w:r w:rsidRPr="00282AC9">
        <w:rPr>
          <w:rFonts w:ascii="Times New Roman" w:hAnsi="Times New Roman"/>
          <w:sz w:val="27"/>
          <w:rtl/>
          <w:lang w:bidi="ar-MA"/>
        </w:rPr>
        <w:t xml:space="preserve"> هي التي </w:t>
      </w:r>
      <w:r w:rsidRPr="00282AC9">
        <w:rPr>
          <w:rFonts w:ascii="Times New Roman" w:hAnsi="Times New Roman" w:hint="cs"/>
          <w:sz w:val="27"/>
          <w:rtl/>
          <w:lang w:bidi="ar-MA"/>
        </w:rPr>
        <w:t>كشف عنها الإمام</w:t>
      </w:r>
      <w:r w:rsidRPr="00282AC9">
        <w:rPr>
          <w:rFonts w:ascii="Times New Roman" w:hAnsi="Times New Roman"/>
          <w:sz w:val="27"/>
          <w:rtl/>
          <w:lang w:bidi="ar-MA"/>
        </w:rPr>
        <w:t xml:space="preserve"> الغزالي</w:t>
      </w:r>
      <w:r w:rsidRPr="00282AC9">
        <w:rPr>
          <w:rFonts w:ascii="Times New Roman" w:hAnsi="Times New Roman" w:hint="cs"/>
          <w:sz w:val="27"/>
          <w:rtl/>
          <w:lang w:bidi="ar-MA"/>
        </w:rPr>
        <w:t xml:space="preserve"> بقوله</w:t>
      </w:r>
      <w:r w:rsidRPr="00282AC9">
        <w:rPr>
          <w:rFonts w:ascii="Times New Roman" w:hAnsi="Times New Roman"/>
          <w:sz w:val="27"/>
          <w:rtl/>
          <w:lang w:bidi="ar-MA"/>
        </w:rPr>
        <w:t>:</w:t>
      </w:r>
      <w:r w:rsidRPr="00282AC9">
        <w:rPr>
          <w:rFonts w:ascii="Times New Roman" w:hAnsi="Times New Roman" w:hint="cs"/>
          <w:sz w:val="27"/>
          <w:rtl/>
          <w:lang w:bidi="ar-MA"/>
        </w:rPr>
        <w:t xml:space="preserve"> </w:t>
      </w:r>
      <w:r w:rsidRPr="00282AC9">
        <w:rPr>
          <w:rFonts w:hint="eastAsia"/>
          <w:sz w:val="24"/>
          <w:szCs w:val="24"/>
          <w:rtl/>
          <w:lang w:bidi="ar-MA"/>
        </w:rPr>
        <w:t>«</w:t>
      </w:r>
      <w:r w:rsidRPr="00282AC9">
        <w:rPr>
          <w:rFonts w:ascii="Times New Roman" w:hAnsi="Times New Roman"/>
          <w:sz w:val="27"/>
          <w:rtl/>
          <w:lang w:bidi="ar-MA"/>
        </w:rPr>
        <w:t>أصول الفقه يرجع إلى ضبط قوانين الاستدلال</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02"/>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lang w:bidi="ar-MA"/>
        </w:rPr>
      </w:pPr>
      <w:r w:rsidRPr="00282AC9">
        <w:rPr>
          <w:rFonts w:ascii="Times New Roman" w:hAnsi="Times New Roman" w:hint="cs"/>
          <w:sz w:val="27"/>
          <w:rtl/>
          <w:lang w:bidi="ar-MA"/>
        </w:rPr>
        <w:t>ولم</w:t>
      </w:r>
      <w:r w:rsidR="00F76709" w:rsidRPr="00282AC9">
        <w:rPr>
          <w:rFonts w:ascii="Times New Roman" w:hAnsi="Times New Roman" w:hint="cs"/>
          <w:sz w:val="27"/>
          <w:rtl/>
          <w:lang w:bidi="ar-MA"/>
        </w:rPr>
        <w:t>ّ</w:t>
      </w:r>
      <w:r w:rsidRPr="00282AC9">
        <w:rPr>
          <w:rFonts w:ascii="Times New Roman" w:hAnsi="Times New Roman" w:hint="cs"/>
          <w:sz w:val="27"/>
          <w:rtl/>
          <w:lang w:bidi="ar-MA"/>
        </w:rPr>
        <w:t>ا كانت</w:t>
      </w:r>
      <w:r w:rsidRPr="00282AC9">
        <w:rPr>
          <w:rFonts w:ascii="Times New Roman" w:hAnsi="Times New Roman"/>
          <w:sz w:val="27"/>
          <w:rtl/>
          <w:lang w:bidi="ar-MA"/>
        </w:rPr>
        <w:t xml:space="preserve"> معظم التكاليف الشرعية لها استمداد</w:t>
      </w:r>
      <w:r w:rsidR="00F76709" w:rsidRPr="00282AC9">
        <w:rPr>
          <w:rFonts w:ascii="Times New Roman" w:hAnsi="Times New Roman" w:hint="cs"/>
          <w:sz w:val="27"/>
          <w:rtl/>
          <w:lang w:bidi="ar-MA"/>
        </w:rPr>
        <w:t>ٌ</w:t>
      </w:r>
      <w:r w:rsidRPr="00282AC9">
        <w:rPr>
          <w:rFonts w:ascii="Times New Roman" w:hAnsi="Times New Roman"/>
          <w:sz w:val="27"/>
          <w:rtl/>
          <w:lang w:bidi="ar-MA"/>
        </w:rPr>
        <w:t xml:space="preserve"> من اللغة العربية</w:t>
      </w:r>
      <w:r w:rsidRPr="00282AC9">
        <w:rPr>
          <w:rFonts w:ascii="Times New Roman" w:hAnsi="Times New Roman" w:hint="cs"/>
          <w:sz w:val="27"/>
          <w:rtl/>
          <w:lang w:bidi="ar-MA"/>
        </w:rPr>
        <w:t xml:space="preserve"> وعلومها</w:t>
      </w:r>
      <w:r w:rsidRPr="00282AC9">
        <w:rPr>
          <w:rFonts w:ascii="Times New Roman" w:hAnsi="Times New Roman"/>
          <w:sz w:val="27"/>
          <w:rtl/>
          <w:lang w:bidi="ar-MA"/>
        </w:rPr>
        <w:t xml:space="preserve"> </w:t>
      </w:r>
      <w:r w:rsidRPr="00282AC9">
        <w:rPr>
          <w:rFonts w:ascii="Times New Roman" w:hAnsi="Times New Roman" w:hint="cs"/>
          <w:sz w:val="27"/>
          <w:rtl/>
          <w:lang w:bidi="ar-MA"/>
        </w:rPr>
        <w:t>أ</w:t>
      </w:r>
      <w:r w:rsidR="00F76709" w:rsidRPr="00282AC9">
        <w:rPr>
          <w:rFonts w:ascii="Times New Roman" w:hAnsi="Times New Roman" w:hint="cs"/>
          <w:sz w:val="27"/>
          <w:rtl/>
          <w:lang w:bidi="ar-MA"/>
        </w:rPr>
        <w:t>َ</w:t>
      </w:r>
      <w:r w:rsidRPr="00282AC9">
        <w:rPr>
          <w:rFonts w:ascii="Times New Roman" w:hAnsi="Times New Roman"/>
          <w:sz w:val="27"/>
          <w:rtl/>
          <w:lang w:bidi="ar-MA"/>
        </w:rPr>
        <w:t>و</w:t>
      </w:r>
      <w:r w:rsidR="00F76709" w:rsidRPr="00282AC9">
        <w:rPr>
          <w:rFonts w:ascii="Times New Roman" w:hAnsi="Times New Roman" w:hint="cs"/>
          <w:sz w:val="27"/>
          <w:rtl/>
          <w:lang w:bidi="ar-MA"/>
        </w:rPr>
        <w:t>ْ</w:t>
      </w:r>
      <w:r w:rsidRPr="00282AC9">
        <w:rPr>
          <w:rFonts w:ascii="Times New Roman" w:hAnsi="Times New Roman"/>
          <w:sz w:val="27"/>
          <w:rtl/>
          <w:lang w:bidi="ar-MA"/>
        </w:rPr>
        <w:t>لى علماء هذه الشريعة العناية البالغة بال</w:t>
      </w:r>
      <w:r w:rsidRPr="00282AC9">
        <w:rPr>
          <w:rFonts w:ascii="Times New Roman" w:hAnsi="Times New Roman" w:hint="cs"/>
          <w:sz w:val="27"/>
          <w:rtl/>
          <w:lang w:bidi="ar-MA"/>
        </w:rPr>
        <w:t>ل</w:t>
      </w:r>
      <w:r w:rsidRPr="00282AC9">
        <w:rPr>
          <w:rFonts w:ascii="Times New Roman" w:hAnsi="Times New Roman"/>
          <w:sz w:val="27"/>
          <w:rtl/>
          <w:lang w:bidi="ar-MA"/>
        </w:rPr>
        <w:t>غة العربي</w:t>
      </w:r>
      <w:r w:rsidR="00F76709" w:rsidRPr="00282AC9">
        <w:rPr>
          <w:rFonts w:ascii="Times New Roman" w:hAnsi="Times New Roman" w:hint="cs"/>
          <w:sz w:val="27"/>
          <w:rtl/>
          <w:lang w:bidi="ar-MA"/>
        </w:rPr>
        <w:t>ّ</w:t>
      </w:r>
      <w:r w:rsidRPr="00282AC9">
        <w:rPr>
          <w:rFonts w:ascii="Times New Roman" w:hAnsi="Times New Roman"/>
          <w:sz w:val="27"/>
          <w:rtl/>
          <w:lang w:bidi="ar-MA"/>
        </w:rPr>
        <w:t>ة، واستعانوا بقواعد اللغة العربية في فهمهم للشريعة الإسلامي</w:t>
      </w:r>
      <w:r w:rsidR="00F76709" w:rsidRPr="00282AC9">
        <w:rPr>
          <w:rFonts w:ascii="Times New Roman" w:hAnsi="Times New Roman" w:hint="cs"/>
          <w:sz w:val="27"/>
          <w:rtl/>
          <w:lang w:bidi="ar-MA"/>
        </w:rPr>
        <w:t>ّ</w:t>
      </w:r>
      <w:r w:rsidRPr="00282AC9">
        <w:rPr>
          <w:rFonts w:ascii="Times New Roman" w:hAnsi="Times New Roman"/>
          <w:sz w:val="27"/>
          <w:rtl/>
          <w:lang w:bidi="ar-MA"/>
        </w:rPr>
        <w:t>ة</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03"/>
      </w:r>
      <w:r w:rsidRPr="00282AC9">
        <w:rPr>
          <w:rFonts w:ascii="Times New Roman" w:hAnsi="Times New Roman"/>
          <w:sz w:val="27"/>
          <w:vertAlign w:val="superscript"/>
          <w:rtl/>
          <w:lang w:bidi="ar-MA"/>
        </w:rPr>
        <w:t>)</w:t>
      </w:r>
      <w:r w:rsidRPr="00282AC9">
        <w:rPr>
          <w:rFonts w:ascii="Times New Roman" w:hAnsi="Times New Roman"/>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وقد انطوى هذا العلم على نظري</w:t>
      </w:r>
      <w:r w:rsidR="00F76709" w:rsidRPr="00282AC9">
        <w:rPr>
          <w:rFonts w:ascii="Times New Roman" w:hAnsi="Times New Roman" w:hint="cs"/>
          <w:sz w:val="27"/>
          <w:rtl/>
          <w:lang w:bidi="ar-MA"/>
        </w:rPr>
        <w:t>ّ</w:t>
      </w:r>
      <w:r w:rsidRPr="00282AC9">
        <w:rPr>
          <w:rFonts w:ascii="Times New Roman" w:hAnsi="Times New Roman" w:hint="cs"/>
          <w:sz w:val="27"/>
          <w:rtl/>
          <w:lang w:bidi="ar-MA"/>
        </w:rPr>
        <w:t>ات</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علمي</w:t>
      </w:r>
      <w:r w:rsidR="00F76709" w:rsidRPr="00282AC9">
        <w:rPr>
          <w:rFonts w:ascii="Times New Roman" w:hAnsi="Times New Roman" w:hint="cs"/>
          <w:sz w:val="27"/>
          <w:rtl/>
          <w:lang w:bidi="ar-MA"/>
        </w:rPr>
        <w:t>ّ</w:t>
      </w:r>
      <w:r w:rsidRPr="00282AC9">
        <w:rPr>
          <w:rFonts w:ascii="Times New Roman" w:hAnsi="Times New Roman" w:hint="cs"/>
          <w:sz w:val="27"/>
          <w:rtl/>
          <w:lang w:bidi="ar-MA"/>
        </w:rPr>
        <w:t>ة لا تقل</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أهم</w:t>
      </w:r>
      <w:r w:rsidR="00F76709" w:rsidRPr="00282AC9">
        <w:rPr>
          <w:rFonts w:ascii="Times New Roman" w:hAnsi="Times New Roman" w:hint="cs"/>
          <w:sz w:val="27"/>
          <w:rtl/>
          <w:lang w:bidi="ar-MA"/>
        </w:rPr>
        <w:t>ّ</w:t>
      </w:r>
      <w:r w:rsidRPr="00282AC9">
        <w:rPr>
          <w:rFonts w:ascii="Times New Roman" w:hAnsi="Times New Roman" w:hint="cs"/>
          <w:sz w:val="27"/>
          <w:rtl/>
          <w:lang w:bidi="ar-MA"/>
        </w:rPr>
        <w:t>ية</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عن النظريات التي تتعر</w:t>
      </w:r>
      <w:r w:rsidR="00F76709" w:rsidRPr="00282AC9">
        <w:rPr>
          <w:rFonts w:ascii="Times New Roman" w:hAnsi="Times New Roman" w:hint="cs"/>
          <w:sz w:val="27"/>
          <w:rtl/>
          <w:lang w:bidi="ar-MA"/>
        </w:rPr>
        <w:t>َّ</w:t>
      </w:r>
      <w:r w:rsidRPr="00282AC9">
        <w:rPr>
          <w:rFonts w:ascii="Times New Roman" w:hAnsi="Times New Roman" w:hint="cs"/>
          <w:sz w:val="27"/>
          <w:rtl/>
          <w:lang w:bidi="ar-MA"/>
        </w:rPr>
        <w:t>ض لدراسة النصوص، وتغوص في أعماقها</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لإدراك المعنى و</w:t>
      </w:r>
      <w:r w:rsidR="00F76709" w:rsidRPr="00282AC9">
        <w:rPr>
          <w:rFonts w:ascii="Times New Roman" w:hAnsi="Times New Roman" w:hint="cs"/>
          <w:sz w:val="27"/>
          <w:rtl/>
          <w:lang w:bidi="ar-MA"/>
        </w:rPr>
        <w:t>حمولته و</w:t>
      </w:r>
      <w:r w:rsidRPr="00282AC9">
        <w:rPr>
          <w:rFonts w:ascii="Times New Roman" w:hAnsi="Times New Roman" w:hint="cs"/>
          <w:sz w:val="27"/>
          <w:rtl/>
          <w:lang w:bidi="ar-MA"/>
        </w:rPr>
        <w:t>القصد المتضم</w:t>
      </w:r>
      <w:r w:rsidR="00F76709" w:rsidRPr="00282AC9">
        <w:rPr>
          <w:rFonts w:ascii="Times New Roman" w:hAnsi="Times New Roman" w:hint="cs"/>
          <w:sz w:val="27"/>
          <w:rtl/>
          <w:lang w:bidi="ar-MA"/>
        </w:rPr>
        <w:t>ّ</w:t>
      </w:r>
      <w:r w:rsidRPr="00282AC9">
        <w:rPr>
          <w:rFonts w:ascii="Times New Roman" w:hAnsi="Times New Roman" w:hint="cs"/>
          <w:sz w:val="27"/>
          <w:rtl/>
          <w:lang w:bidi="ar-MA"/>
        </w:rPr>
        <w:t>ن فيه.</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وعلى العموم ف</w:t>
      </w:r>
      <w:r w:rsidR="00F76709" w:rsidRPr="00282AC9">
        <w:rPr>
          <w:rFonts w:ascii="Times New Roman" w:hAnsi="Times New Roman" w:hint="cs"/>
          <w:sz w:val="27"/>
          <w:rtl/>
          <w:lang w:bidi="ar-MA"/>
        </w:rPr>
        <w:t>إ</w:t>
      </w:r>
      <w:r w:rsidRPr="00282AC9">
        <w:rPr>
          <w:rFonts w:ascii="Times New Roman" w:hAnsi="Times New Roman" w:hint="cs"/>
          <w:sz w:val="27"/>
          <w:rtl/>
          <w:lang w:bidi="ar-MA"/>
        </w:rPr>
        <w:t>ن علم أصول الفقه عبارة</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عن قواعد منهجي</w:t>
      </w:r>
      <w:r w:rsidR="00F76709" w:rsidRPr="00282AC9">
        <w:rPr>
          <w:rFonts w:ascii="Times New Roman" w:hAnsi="Times New Roman" w:hint="cs"/>
          <w:sz w:val="27"/>
          <w:rtl/>
          <w:lang w:bidi="ar-MA"/>
        </w:rPr>
        <w:t>ّ</w:t>
      </w:r>
      <w:r w:rsidRPr="00282AC9">
        <w:rPr>
          <w:rFonts w:ascii="Times New Roman" w:hAnsi="Times New Roman" w:hint="cs"/>
          <w:sz w:val="27"/>
          <w:rtl/>
          <w:lang w:bidi="ar-MA"/>
        </w:rPr>
        <w:t>ة استدلالي</w:t>
      </w:r>
      <w:r w:rsidR="00F76709" w:rsidRPr="00282AC9">
        <w:rPr>
          <w:rFonts w:ascii="Times New Roman" w:hAnsi="Times New Roman" w:hint="cs"/>
          <w:sz w:val="27"/>
          <w:rtl/>
          <w:lang w:bidi="ar-MA"/>
        </w:rPr>
        <w:t>ّ</w:t>
      </w:r>
      <w:r w:rsidRPr="00282AC9">
        <w:rPr>
          <w:rFonts w:ascii="Times New Roman" w:hAnsi="Times New Roman" w:hint="cs"/>
          <w:sz w:val="27"/>
          <w:rtl/>
          <w:lang w:bidi="ar-MA"/>
        </w:rPr>
        <w:t>ة</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لضبط الفهم</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وتنظيم الاستنباط</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وتسديد الاستدلال</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و تحصيل المعنى</w:t>
      </w:r>
      <w:r w:rsidR="00F76709" w:rsidRPr="00282AC9">
        <w:rPr>
          <w:rFonts w:ascii="Times New Roman" w:hAnsi="Times New Roman" w:hint="cs"/>
          <w:sz w:val="27"/>
          <w:rtl/>
          <w:lang w:bidi="ar-MA"/>
        </w:rPr>
        <w:t>،</w:t>
      </w:r>
      <w:r w:rsidRPr="00282AC9">
        <w:rPr>
          <w:rFonts w:ascii="Times New Roman" w:hAnsi="Times New Roman" w:hint="cs"/>
          <w:sz w:val="27"/>
          <w:rtl/>
          <w:lang w:bidi="ar-MA"/>
        </w:rPr>
        <w:t xml:space="preserve"> والوصول إلى القصد. </w:t>
      </w:r>
    </w:p>
    <w:p w:rsidR="00460336" w:rsidRPr="00282AC9" w:rsidRDefault="00460336" w:rsidP="00460336">
      <w:pPr>
        <w:spacing w:line="420" w:lineRule="exact"/>
        <w:rPr>
          <w:sz w:val="27"/>
          <w:rtl/>
        </w:rPr>
      </w:pPr>
    </w:p>
    <w:p w:rsidR="00D722E4" w:rsidRPr="00282AC9" w:rsidRDefault="00D722E4" w:rsidP="00BF20B7">
      <w:pPr>
        <w:pStyle w:val="31"/>
        <w:rPr>
          <w:color w:val="auto"/>
          <w:shd w:val="clear" w:color="auto" w:fill="FFFFFF"/>
          <w:rtl/>
        </w:rPr>
      </w:pPr>
      <w:r w:rsidRPr="00282AC9">
        <w:rPr>
          <w:color w:val="auto"/>
          <w:rtl/>
          <w:lang w:bidi="ar-MA"/>
        </w:rPr>
        <w:t>تلق</w:t>
      </w:r>
      <w:r w:rsidR="00F76709" w:rsidRPr="00282AC9">
        <w:rPr>
          <w:rFonts w:hint="cs"/>
          <w:color w:val="auto"/>
          <w:rtl/>
          <w:lang w:bidi="ar-MA"/>
        </w:rPr>
        <w:t>ّ</w:t>
      </w:r>
      <w:r w:rsidRPr="00282AC9">
        <w:rPr>
          <w:color w:val="auto"/>
          <w:rtl/>
          <w:lang w:bidi="ar-MA"/>
        </w:rPr>
        <w:t>ي المعنى في النص</w:t>
      </w:r>
      <w:r w:rsidR="00F76709" w:rsidRPr="00282AC9">
        <w:rPr>
          <w:rFonts w:hint="cs"/>
          <w:color w:val="auto"/>
          <w:rtl/>
          <w:lang w:bidi="ar-MA"/>
        </w:rPr>
        <w:t>ّ</w:t>
      </w:r>
      <w:r w:rsidR="00603539" w:rsidRPr="00282AC9">
        <w:rPr>
          <w:rFonts w:hint="cs"/>
          <w:color w:val="auto"/>
          <w:rtl/>
          <w:lang w:bidi="ar-MA"/>
        </w:rPr>
        <w:t>،</w:t>
      </w:r>
      <w:r w:rsidRPr="00282AC9">
        <w:rPr>
          <w:color w:val="auto"/>
          <w:rtl/>
          <w:lang w:bidi="ar-MA"/>
        </w:rPr>
        <w:t xml:space="preserve"> الشروط والمقتضيات في علم </w:t>
      </w:r>
      <w:r w:rsidRPr="00282AC9">
        <w:rPr>
          <w:rFonts w:hint="cs"/>
          <w:color w:val="auto"/>
          <w:rtl/>
          <w:lang w:bidi="ar-MA"/>
        </w:rPr>
        <w:t>أ</w:t>
      </w:r>
      <w:r w:rsidRPr="00282AC9">
        <w:rPr>
          <w:color w:val="auto"/>
          <w:rtl/>
          <w:lang w:bidi="ar-MA"/>
        </w:rPr>
        <w:t>صول الفقه</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انطلاق</w:t>
      </w:r>
      <w:r w:rsidRPr="00282AC9">
        <w:rPr>
          <w:rFonts w:ascii="Times New Roman" w:hAnsi="Times New Roman" w:hint="cs"/>
          <w:sz w:val="27"/>
          <w:rtl/>
          <w:lang w:bidi="ar-MA"/>
        </w:rPr>
        <w:t>اً</w:t>
      </w:r>
      <w:r w:rsidRPr="00282AC9">
        <w:rPr>
          <w:rFonts w:ascii="Times New Roman" w:hAnsi="Times New Roman"/>
          <w:sz w:val="27"/>
          <w:rtl/>
          <w:lang w:bidi="ar-MA"/>
        </w:rPr>
        <w:t xml:space="preserve"> من هذا المبدأ العام</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وهو أن علم أصول الفقه </w:t>
      </w:r>
      <w:r w:rsidRPr="00282AC9">
        <w:rPr>
          <w:rFonts w:ascii="Times New Roman" w:hAnsi="Times New Roman"/>
          <w:sz w:val="27"/>
          <w:shd w:val="clear" w:color="auto" w:fill="FFFFFF"/>
          <w:rtl/>
          <w:lang w:bidi="ar-MA"/>
        </w:rPr>
        <w:t>ي</w:t>
      </w:r>
      <w:r w:rsidR="00603539" w:rsidRPr="00282AC9">
        <w:rPr>
          <w:rFonts w:ascii="Times New Roman" w:hAnsi="Times New Roman" w:hint="cs"/>
          <w:sz w:val="27"/>
          <w:shd w:val="clear" w:color="auto" w:fill="FFFFFF"/>
          <w:rtl/>
          <w:lang w:bidi="ar-MA"/>
        </w:rPr>
        <w:t>ُ</w:t>
      </w:r>
      <w:r w:rsidRPr="00282AC9">
        <w:rPr>
          <w:rFonts w:ascii="Times New Roman" w:hAnsi="Times New Roman"/>
          <w:sz w:val="27"/>
          <w:shd w:val="clear" w:color="auto" w:fill="FFFFFF"/>
          <w:rtl/>
          <w:lang w:bidi="ar-MA"/>
        </w:rPr>
        <w:t>ع</w:t>
      </w:r>
      <w:r w:rsidR="00603539" w:rsidRPr="00282AC9">
        <w:rPr>
          <w:rFonts w:ascii="Times New Roman" w:hAnsi="Times New Roman" w:hint="cs"/>
          <w:sz w:val="27"/>
          <w:shd w:val="clear" w:color="auto" w:fill="FFFFFF"/>
          <w:rtl/>
          <w:lang w:bidi="ar-MA"/>
        </w:rPr>
        <w:t>َ</w:t>
      </w:r>
      <w:r w:rsidRPr="00282AC9">
        <w:rPr>
          <w:rFonts w:ascii="Times New Roman" w:hAnsi="Times New Roman"/>
          <w:sz w:val="27"/>
          <w:shd w:val="clear" w:color="auto" w:fill="FFFFFF"/>
          <w:rtl/>
          <w:lang w:bidi="ar-MA"/>
        </w:rPr>
        <w:t>د</w:t>
      </w:r>
      <w:r w:rsidR="00603539" w:rsidRPr="00282AC9">
        <w:rPr>
          <w:rFonts w:ascii="Times New Roman" w:hAnsi="Times New Roman" w:hint="cs"/>
          <w:sz w:val="27"/>
          <w:shd w:val="clear" w:color="auto" w:fill="FFFFFF"/>
          <w:rtl/>
          <w:lang w:bidi="ar-MA"/>
        </w:rPr>
        <w:t>ّ</w:t>
      </w:r>
      <w:r w:rsidRPr="00282AC9">
        <w:rPr>
          <w:rFonts w:ascii="Times New Roman" w:hAnsi="Times New Roman"/>
          <w:sz w:val="27"/>
          <w:shd w:val="clear" w:color="auto" w:fill="FFFFFF"/>
          <w:rtl/>
          <w:lang w:bidi="ar-MA"/>
        </w:rPr>
        <w:t xml:space="preserve"> من </w:t>
      </w:r>
      <w:r w:rsidRPr="00282AC9">
        <w:rPr>
          <w:rFonts w:ascii="Times New Roman" w:hAnsi="Times New Roman" w:hint="cs"/>
          <w:sz w:val="27"/>
          <w:shd w:val="clear" w:color="auto" w:fill="FFFFFF"/>
          <w:rtl/>
          <w:lang w:bidi="ar-MA"/>
        </w:rPr>
        <w:t>أ</w:t>
      </w:r>
      <w:r w:rsidRPr="00282AC9">
        <w:rPr>
          <w:rFonts w:ascii="Times New Roman" w:hAnsi="Times New Roman"/>
          <w:sz w:val="27"/>
          <w:shd w:val="clear" w:color="auto" w:fill="FFFFFF"/>
          <w:rtl/>
          <w:lang w:bidi="ar-MA"/>
        </w:rPr>
        <w:t>برز العلوم التي اشتغلت على المعنى في النص</w:t>
      </w:r>
      <w:r w:rsidR="00603539" w:rsidRPr="00282AC9">
        <w:rPr>
          <w:rFonts w:ascii="Times New Roman" w:hAnsi="Times New Roman" w:hint="cs"/>
          <w:sz w:val="27"/>
          <w:shd w:val="clear" w:color="auto" w:fill="FFFFFF"/>
          <w:rtl/>
          <w:lang w:bidi="ar-MA"/>
        </w:rPr>
        <w:t>ّ،</w:t>
      </w:r>
      <w:r w:rsidRPr="00282AC9">
        <w:rPr>
          <w:rFonts w:ascii="Times New Roman" w:hAnsi="Times New Roman"/>
          <w:sz w:val="27"/>
          <w:shd w:val="clear" w:color="auto" w:fill="FFFFFF"/>
          <w:rtl/>
          <w:lang w:bidi="ar-MA"/>
        </w:rPr>
        <w:t xml:space="preserve"> في جميع مستوياته، وكان هذا الاشتغال</w:t>
      </w:r>
      <w:r w:rsidRPr="00282AC9">
        <w:rPr>
          <w:rFonts w:ascii="Times New Roman" w:hAnsi="Times New Roman"/>
          <w:sz w:val="27"/>
          <w:rtl/>
          <w:lang w:bidi="ar-MA"/>
        </w:rPr>
        <w:t xml:space="preserve"> من </w:t>
      </w:r>
      <w:r w:rsidRPr="00282AC9">
        <w:rPr>
          <w:rFonts w:ascii="Times New Roman" w:hAnsi="Times New Roman" w:hint="cs"/>
          <w:sz w:val="27"/>
          <w:rtl/>
          <w:lang w:bidi="ar-MA"/>
        </w:rPr>
        <w:t>أ</w:t>
      </w:r>
      <w:r w:rsidRPr="00282AC9">
        <w:rPr>
          <w:rFonts w:ascii="Times New Roman" w:hAnsi="Times New Roman"/>
          <w:sz w:val="27"/>
          <w:rtl/>
          <w:lang w:bidi="ar-MA"/>
        </w:rPr>
        <w:t xml:space="preserve">جل </w:t>
      </w:r>
      <w:r w:rsidRPr="00282AC9">
        <w:rPr>
          <w:rFonts w:ascii="Times New Roman" w:hAnsi="Times New Roman" w:hint="cs"/>
          <w:sz w:val="27"/>
          <w:rtl/>
          <w:lang w:bidi="ar-MA"/>
        </w:rPr>
        <w:t>ت</w:t>
      </w:r>
      <w:r w:rsidRPr="00282AC9">
        <w:rPr>
          <w:rFonts w:ascii="Times New Roman" w:hAnsi="Times New Roman"/>
          <w:sz w:val="27"/>
          <w:rtl/>
          <w:lang w:bidi="ar-MA"/>
        </w:rPr>
        <w:t>فه</w:t>
      </w:r>
      <w:r w:rsidR="00603539" w:rsidRPr="00282AC9">
        <w:rPr>
          <w:rFonts w:ascii="Times New Roman" w:hAnsi="Times New Roman" w:hint="cs"/>
          <w:sz w:val="27"/>
          <w:rtl/>
          <w:lang w:bidi="ar-MA"/>
        </w:rPr>
        <w:t>ُّ</w:t>
      </w:r>
      <w:r w:rsidRPr="00282AC9">
        <w:rPr>
          <w:rFonts w:ascii="Times New Roman" w:hAnsi="Times New Roman"/>
          <w:sz w:val="27"/>
          <w:rtl/>
          <w:lang w:bidi="ar-MA"/>
        </w:rPr>
        <w:t>م النص</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واستيعاب مضامينه</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والوقوف على معانيه</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كل</w:t>
      </w:r>
      <w:r w:rsidR="00603539" w:rsidRPr="00282AC9">
        <w:rPr>
          <w:rFonts w:ascii="Times New Roman" w:hAnsi="Times New Roman" w:hint="cs"/>
          <w:sz w:val="27"/>
          <w:rtl/>
          <w:lang w:bidi="ar-MA"/>
        </w:rPr>
        <w:t>ِّ</w:t>
      </w:r>
      <w:r w:rsidRPr="00282AC9">
        <w:rPr>
          <w:rFonts w:ascii="Times New Roman" w:hAnsi="Times New Roman"/>
          <w:sz w:val="27"/>
          <w:rtl/>
          <w:lang w:bidi="ar-MA"/>
        </w:rPr>
        <w:t>ية أم جزئي</w:t>
      </w:r>
      <w:r w:rsidR="00603539" w:rsidRPr="00282AC9">
        <w:rPr>
          <w:rFonts w:ascii="Times New Roman" w:hAnsi="Times New Roman" w:hint="cs"/>
          <w:sz w:val="27"/>
          <w:rtl/>
          <w:lang w:bidi="ar-MA"/>
        </w:rPr>
        <w:t>ّ</w:t>
      </w:r>
      <w:r w:rsidRPr="00282AC9">
        <w:rPr>
          <w:rFonts w:ascii="Times New Roman" w:hAnsi="Times New Roman"/>
          <w:sz w:val="27"/>
          <w:rtl/>
          <w:lang w:bidi="ar-MA"/>
        </w:rPr>
        <w:t>ة</w:t>
      </w:r>
      <w:r w:rsidR="00603539"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لإدراك مقاصده ومراميه</w:t>
      </w:r>
      <w:r w:rsidRPr="00282AC9">
        <w:rPr>
          <w:rFonts w:ascii="Times New Roman" w:hAnsi="Times New Roman" w:hint="cs"/>
          <w:sz w:val="27"/>
          <w:rtl/>
          <w:lang w:bidi="ar-MA"/>
        </w:rPr>
        <w:t xml:space="preserve">، </w:t>
      </w:r>
      <w:r w:rsidR="00603539" w:rsidRPr="00282AC9">
        <w:rPr>
          <w:rFonts w:ascii="Times New Roman" w:hAnsi="Times New Roman" w:hint="cs"/>
          <w:sz w:val="27"/>
          <w:rtl/>
          <w:lang w:bidi="ar-MA"/>
        </w:rPr>
        <w:t>فإن</w:t>
      </w:r>
      <w:r w:rsidRPr="00282AC9">
        <w:rPr>
          <w:rFonts w:ascii="Times New Roman" w:hAnsi="Times New Roman"/>
          <w:sz w:val="27"/>
          <w:rtl/>
          <w:lang w:bidi="ar-MA"/>
        </w:rPr>
        <w:t xml:space="preserve"> علماء الأصول استحضروا كثير</w:t>
      </w:r>
      <w:r w:rsidRPr="00282AC9">
        <w:rPr>
          <w:rFonts w:ascii="Times New Roman" w:hAnsi="Times New Roman" w:hint="cs"/>
          <w:sz w:val="27"/>
          <w:rtl/>
          <w:lang w:bidi="ar-MA"/>
        </w:rPr>
        <w:t>اً</w:t>
      </w:r>
      <w:r w:rsidRPr="00282AC9">
        <w:rPr>
          <w:rFonts w:ascii="Times New Roman" w:hAnsi="Times New Roman"/>
          <w:sz w:val="27"/>
          <w:rtl/>
          <w:lang w:bidi="ar-MA"/>
        </w:rPr>
        <w:t xml:space="preserve"> من المباحث اللغوي</w:t>
      </w:r>
      <w:r w:rsidR="00603539" w:rsidRPr="00282AC9">
        <w:rPr>
          <w:rFonts w:ascii="Times New Roman" w:hAnsi="Times New Roman" w:hint="cs"/>
          <w:sz w:val="27"/>
          <w:rtl/>
          <w:lang w:bidi="ar-MA"/>
        </w:rPr>
        <w:t>ّ</w:t>
      </w:r>
      <w:r w:rsidRPr="00282AC9">
        <w:rPr>
          <w:rFonts w:ascii="Times New Roman" w:hAnsi="Times New Roman"/>
          <w:sz w:val="27"/>
          <w:rtl/>
          <w:lang w:bidi="ar-MA"/>
        </w:rPr>
        <w:t>ة والدلالي</w:t>
      </w:r>
      <w:r w:rsidR="00603539" w:rsidRPr="00282AC9">
        <w:rPr>
          <w:rFonts w:ascii="Times New Roman" w:hAnsi="Times New Roman" w:hint="cs"/>
          <w:sz w:val="27"/>
          <w:rtl/>
          <w:lang w:bidi="ar-MA"/>
        </w:rPr>
        <w:t>ّ</w:t>
      </w:r>
      <w:r w:rsidRPr="00282AC9">
        <w:rPr>
          <w:rFonts w:ascii="Times New Roman" w:hAnsi="Times New Roman"/>
          <w:sz w:val="27"/>
          <w:rtl/>
          <w:lang w:bidi="ar-MA"/>
        </w:rPr>
        <w:t>ة التي تشتغل على المعنى</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ل</w:t>
      </w:r>
      <w:r w:rsidRPr="00282AC9">
        <w:rPr>
          <w:rFonts w:ascii="Times New Roman" w:hAnsi="Times New Roman" w:hint="cs"/>
          <w:sz w:val="27"/>
          <w:rtl/>
          <w:lang w:bidi="ar-MA"/>
        </w:rPr>
        <w:t>أ</w:t>
      </w:r>
      <w:r w:rsidRPr="00282AC9">
        <w:rPr>
          <w:rFonts w:ascii="Times New Roman" w:hAnsi="Times New Roman"/>
          <w:sz w:val="27"/>
          <w:rtl/>
          <w:lang w:bidi="ar-MA"/>
        </w:rPr>
        <w:t>ن التلق</w:t>
      </w:r>
      <w:r w:rsidR="00603539" w:rsidRPr="00282AC9">
        <w:rPr>
          <w:rFonts w:ascii="Times New Roman" w:hAnsi="Times New Roman" w:hint="cs"/>
          <w:sz w:val="27"/>
          <w:rtl/>
          <w:lang w:bidi="ar-MA"/>
        </w:rPr>
        <w:t>ّ</w:t>
      </w:r>
      <w:r w:rsidRPr="00282AC9">
        <w:rPr>
          <w:rFonts w:ascii="Times New Roman" w:hAnsi="Times New Roman"/>
          <w:sz w:val="27"/>
          <w:rtl/>
          <w:lang w:bidi="ar-MA"/>
        </w:rPr>
        <w:t>ي السليم للمعنى المحمول في النص</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الشرعي يتأس</w:t>
      </w:r>
      <w:r w:rsidR="00603539" w:rsidRPr="00282AC9">
        <w:rPr>
          <w:rFonts w:ascii="Times New Roman" w:hAnsi="Times New Roman" w:hint="cs"/>
          <w:sz w:val="27"/>
          <w:rtl/>
          <w:lang w:bidi="ar-MA"/>
        </w:rPr>
        <w:t>َّ</w:t>
      </w:r>
      <w:r w:rsidRPr="00282AC9">
        <w:rPr>
          <w:rFonts w:ascii="Times New Roman" w:hAnsi="Times New Roman"/>
          <w:sz w:val="27"/>
          <w:rtl/>
          <w:lang w:bidi="ar-MA"/>
        </w:rPr>
        <w:t>س على ضوء القواعد والكل</w:t>
      </w:r>
      <w:r w:rsidR="00603539" w:rsidRPr="00282AC9">
        <w:rPr>
          <w:rFonts w:ascii="Times New Roman" w:hAnsi="Times New Roman" w:hint="cs"/>
          <w:sz w:val="27"/>
          <w:rtl/>
          <w:lang w:bidi="ar-MA"/>
        </w:rPr>
        <w:t>ِّ</w:t>
      </w:r>
      <w:r w:rsidRPr="00282AC9">
        <w:rPr>
          <w:rFonts w:ascii="Times New Roman" w:hAnsi="Times New Roman"/>
          <w:sz w:val="27"/>
          <w:rtl/>
          <w:lang w:bidi="ar-MA"/>
        </w:rPr>
        <w:t>يات والأصول المستمد</w:t>
      </w:r>
      <w:r w:rsidR="00603539" w:rsidRPr="00282AC9">
        <w:rPr>
          <w:rFonts w:ascii="Times New Roman" w:hAnsi="Times New Roman" w:hint="cs"/>
          <w:sz w:val="27"/>
          <w:rtl/>
          <w:lang w:bidi="ar-MA"/>
        </w:rPr>
        <w:t>ّ</w:t>
      </w:r>
      <w:r w:rsidRPr="00282AC9">
        <w:rPr>
          <w:rFonts w:ascii="Times New Roman" w:hAnsi="Times New Roman"/>
          <w:sz w:val="27"/>
          <w:rtl/>
          <w:lang w:bidi="ar-MA"/>
        </w:rPr>
        <w:t>ة من اللغة العربية</w:t>
      </w:r>
      <w:r w:rsidRPr="00282AC9">
        <w:rPr>
          <w:rFonts w:ascii="Times New Roman" w:hAnsi="Times New Roman" w:hint="cs"/>
          <w:sz w:val="27"/>
          <w:rtl/>
          <w:lang w:bidi="ar-MA"/>
        </w:rPr>
        <w:t xml:space="preserve">، </w:t>
      </w:r>
      <w:r w:rsidRPr="00282AC9">
        <w:rPr>
          <w:rFonts w:ascii="Times New Roman" w:hAnsi="Times New Roman"/>
          <w:sz w:val="27"/>
          <w:rtl/>
          <w:lang w:bidi="ar-MA"/>
        </w:rPr>
        <w:t>ومن طبيعتها في الأداء</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وق</w:t>
      </w:r>
      <w:r w:rsidRPr="00282AC9">
        <w:rPr>
          <w:rFonts w:ascii="Times New Roman" w:hAnsi="Times New Roman" w:hint="cs"/>
          <w:sz w:val="27"/>
          <w:rtl/>
          <w:lang w:bidi="ar-MA"/>
        </w:rPr>
        <w:t>و</w:t>
      </w:r>
      <w:r w:rsidRPr="00282AC9">
        <w:rPr>
          <w:rFonts w:ascii="Times New Roman" w:hAnsi="Times New Roman"/>
          <w:sz w:val="27"/>
          <w:rtl/>
          <w:lang w:bidi="ar-MA"/>
        </w:rPr>
        <w:t>ان</w:t>
      </w:r>
      <w:r w:rsidRPr="00282AC9">
        <w:rPr>
          <w:rFonts w:ascii="Times New Roman" w:hAnsi="Times New Roman" w:hint="cs"/>
          <w:sz w:val="27"/>
          <w:rtl/>
          <w:lang w:bidi="ar-MA"/>
        </w:rPr>
        <w:t>ي</w:t>
      </w:r>
      <w:r w:rsidRPr="00282AC9">
        <w:rPr>
          <w:rFonts w:ascii="Times New Roman" w:hAnsi="Times New Roman"/>
          <w:sz w:val="27"/>
          <w:rtl/>
          <w:lang w:bidi="ar-MA"/>
        </w:rPr>
        <w:t>نها في التخاطب.</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ومن ش</w:t>
      </w:r>
      <w:r w:rsidRPr="00282AC9">
        <w:rPr>
          <w:rFonts w:ascii="Times New Roman" w:hAnsi="Times New Roman" w:hint="cs"/>
          <w:sz w:val="27"/>
          <w:rtl/>
          <w:lang w:bidi="ar-MA"/>
        </w:rPr>
        <w:t>أ</w:t>
      </w:r>
      <w:r w:rsidRPr="00282AC9">
        <w:rPr>
          <w:rFonts w:ascii="Times New Roman" w:hAnsi="Times New Roman"/>
          <w:sz w:val="27"/>
          <w:rtl/>
          <w:lang w:bidi="ar-MA"/>
        </w:rPr>
        <w:t>ن التقي</w:t>
      </w:r>
      <w:r w:rsidR="00603539" w:rsidRPr="00282AC9">
        <w:rPr>
          <w:rFonts w:ascii="Times New Roman" w:hAnsi="Times New Roman" w:hint="cs"/>
          <w:sz w:val="27"/>
          <w:rtl/>
          <w:lang w:bidi="ar-MA"/>
        </w:rPr>
        <w:t>ُّ</w:t>
      </w:r>
      <w:r w:rsidRPr="00282AC9">
        <w:rPr>
          <w:rFonts w:ascii="Times New Roman" w:hAnsi="Times New Roman"/>
          <w:sz w:val="27"/>
          <w:rtl/>
          <w:lang w:bidi="ar-MA"/>
        </w:rPr>
        <w:t>د بهذه القواعد والكل</w:t>
      </w:r>
      <w:r w:rsidR="00603539" w:rsidRPr="00282AC9">
        <w:rPr>
          <w:rFonts w:ascii="Times New Roman" w:hAnsi="Times New Roman" w:hint="cs"/>
          <w:sz w:val="27"/>
          <w:rtl/>
          <w:lang w:bidi="ar-MA"/>
        </w:rPr>
        <w:t>ِّ</w:t>
      </w:r>
      <w:r w:rsidRPr="00282AC9">
        <w:rPr>
          <w:rFonts w:ascii="Times New Roman" w:hAnsi="Times New Roman"/>
          <w:sz w:val="27"/>
          <w:rtl/>
          <w:lang w:bidi="ar-MA"/>
        </w:rPr>
        <w:t>يات أن يساعد ويعين المتلق</w:t>
      </w:r>
      <w:r w:rsidR="00603539" w:rsidRPr="00282AC9">
        <w:rPr>
          <w:rFonts w:ascii="Times New Roman" w:hAnsi="Times New Roman" w:hint="cs"/>
          <w:sz w:val="27"/>
          <w:rtl/>
          <w:lang w:bidi="ar-MA"/>
        </w:rPr>
        <w:t>ّ</w:t>
      </w:r>
      <w:r w:rsidRPr="00282AC9">
        <w:rPr>
          <w:rFonts w:ascii="Times New Roman" w:hAnsi="Times New Roman"/>
          <w:sz w:val="27"/>
          <w:rtl/>
          <w:lang w:bidi="ar-MA"/>
        </w:rPr>
        <w:t>ي على التلق</w:t>
      </w:r>
      <w:r w:rsidR="00603539" w:rsidRPr="00282AC9">
        <w:rPr>
          <w:rFonts w:ascii="Times New Roman" w:hAnsi="Times New Roman" w:hint="cs"/>
          <w:sz w:val="27"/>
          <w:rtl/>
          <w:lang w:bidi="ar-MA"/>
        </w:rPr>
        <w:t>ّ</w:t>
      </w:r>
      <w:r w:rsidRPr="00282AC9">
        <w:rPr>
          <w:rFonts w:ascii="Times New Roman" w:hAnsi="Times New Roman"/>
          <w:sz w:val="27"/>
          <w:rtl/>
          <w:lang w:bidi="ar-MA"/>
        </w:rPr>
        <w:t>ي السليم للنص</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القر</w:t>
      </w:r>
      <w:r w:rsidR="00603539" w:rsidRPr="00282AC9">
        <w:rPr>
          <w:rFonts w:ascii="Times New Roman" w:hAnsi="Times New Roman" w:hint="cs"/>
          <w:sz w:val="27"/>
          <w:rtl/>
          <w:lang w:bidi="ar-MA"/>
        </w:rPr>
        <w:t>آ</w:t>
      </w:r>
      <w:r w:rsidRPr="00282AC9">
        <w:rPr>
          <w:rFonts w:ascii="Times New Roman" w:hAnsi="Times New Roman"/>
          <w:sz w:val="27"/>
          <w:rtl/>
          <w:lang w:bidi="ar-MA"/>
        </w:rPr>
        <w:t>ني، ويجعل الفهم سديد</w:t>
      </w:r>
      <w:r w:rsidRPr="00282AC9">
        <w:rPr>
          <w:rFonts w:ascii="Times New Roman" w:hAnsi="Times New Roman" w:hint="cs"/>
          <w:sz w:val="27"/>
          <w:rtl/>
          <w:lang w:bidi="ar-MA"/>
        </w:rPr>
        <w:t>اً وسليما</w:t>
      </w:r>
      <w:r w:rsidR="00603539" w:rsidRPr="00282AC9">
        <w:rPr>
          <w:rFonts w:ascii="Times New Roman" w:hAnsi="Times New Roman" w:hint="cs"/>
          <w:sz w:val="27"/>
          <w:rtl/>
          <w:lang w:bidi="ar-MA"/>
        </w:rPr>
        <w:t>ً</w:t>
      </w:r>
      <w:r w:rsidRPr="00282AC9">
        <w:rPr>
          <w:rFonts w:ascii="Times New Roman" w:hAnsi="Times New Roman"/>
          <w:sz w:val="27"/>
          <w:rtl/>
          <w:lang w:bidi="ar-MA"/>
        </w:rPr>
        <w:t>، محافظ</w:t>
      </w:r>
      <w:r w:rsidRPr="00282AC9">
        <w:rPr>
          <w:rFonts w:ascii="Times New Roman" w:hAnsi="Times New Roman" w:hint="cs"/>
          <w:sz w:val="27"/>
          <w:rtl/>
          <w:lang w:bidi="ar-MA"/>
        </w:rPr>
        <w:t>اً</w:t>
      </w:r>
      <w:r w:rsidRPr="00282AC9">
        <w:rPr>
          <w:rFonts w:ascii="Times New Roman" w:hAnsi="Times New Roman"/>
          <w:sz w:val="27"/>
          <w:rtl/>
          <w:lang w:bidi="ar-MA"/>
        </w:rPr>
        <w:t xml:space="preserve"> على مقاصده العليا التي من </w:t>
      </w:r>
      <w:r w:rsidRPr="00282AC9">
        <w:rPr>
          <w:rFonts w:ascii="Times New Roman" w:hAnsi="Times New Roman" w:hint="cs"/>
          <w:sz w:val="27"/>
          <w:rtl/>
          <w:lang w:bidi="ar-MA"/>
        </w:rPr>
        <w:t>أ</w:t>
      </w:r>
      <w:r w:rsidRPr="00282AC9">
        <w:rPr>
          <w:rFonts w:ascii="Times New Roman" w:hAnsi="Times New Roman"/>
          <w:sz w:val="27"/>
          <w:rtl/>
          <w:lang w:bidi="ar-MA"/>
        </w:rPr>
        <w:t xml:space="preserve">جلها نزل </w:t>
      </w:r>
      <w:r w:rsidRPr="00282AC9">
        <w:rPr>
          <w:rFonts w:ascii="Times New Roman" w:hAnsi="Times New Roman" w:hint="cs"/>
          <w:sz w:val="27"/>
          <w:rtl/>
          <w:lang w:bidi="ar-MA"/>
        </w:rPr>
        <w:t>القر</w:t>
      </w:r>
      <w:r w:rsidR="00603539" w:rsidRPr="00282AC9">
        <w:rPr>
          <w:rFonts w:ascii="Times New Roman" w:hAnsi="Times New Roman" w:hint="cs"/>
          <w:sz w:val="27"/>
          <w:rtl/>
          <w:lang w:bidi="ar-MA"/>
        </w:rPr>
        <w:t>آ</w:t>
      </w:r>
      <w:r w:rsidRPr="00282AC9">
        <w:rPr>
          <w:rFonts w:ascii="Times New Roman" w:hAnsi="Times New Roman" w:hint="cs"/>
          <w:sz w:val="27"/>
          <w:rtl/>
          <w:lang w:bidi="ar-MA"/>
        </w:rPr>
        <w:t>ن</w:t>
      </w:r>
      <w:r w:rsidR="00603539"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مع العلم أن هذه القواعد، ذات الوجهة التفسيرية</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هي في حد</w:t>
      </w:r>
      <w:r w:rsidR="00603539" w:rsidRPr="00282AC9">
        <w:rPr>
          <w:rFonts w:ascii="Times New Roman" w:hAnsi="Times New Roman" w:hint="cs"/>
          <w:sz w:val="27"/>
          <w:rtl/>
          <w:lang w:bidi="ar-MA"/>
        </w:rPr>
        <w:t>ّ</w:t>
      </w:r>
      <w:r w:rsidRPr="00282AC9">
        <w:rPr>
          <w:rFonts w:ascii="Times New Roman" w:hAnsi="Times New Roman"/>
          <w:sz w:val="27"/>
          <w:rtl/>
          <w:lang w:bidi="ar-MA"/>
        </w:rPr>
        <w:t xml:space="preserve"> ذاتها</w:t>
      </w:r>
      <w:r w:rsidRPr="00282AC9">
        <w:rPr>
          <w:rFonts w:ascii="Times New Roman" w:hAnsi="Times New Roman" w:hint="cs"/>
          <w:sz w:val="27"/>
          <w:rtl/>
          <w:lang w:bidi="ar-MA"/>
        </w:rPr>
        <w:t xml:space="preserve"> </w:t>
      </w:r>
      <w:r w:rsidRPr="00282AC9">
        <w:rPr>
          <w:rFonts w:ascii="Times New Roman" w:hAnsi="Times New Roman"/>
          <w:sz w:val="27"/>
          <w:rtl/>
          <w:lang w:bidi="ar-MA"/>
        </w:rPr>
        <w:t>آلي</w:t>
      </w:r>
      <w:r w:rsidR="00317E76" w:rsidRPr="00282AC9">
        <w:rPr>
          <w:rFonts w:ascii="Times New Roman" w:hAnsi="Times New Roman" w:hint="cs"/>
          <w:sz w:val="27"/>
          <w:rtl/>
          <w:lang w:bidi="ar-MA"/>
        </w:rPr>
        <w:t>ّ</w:t>
      </w:r>
      <w:r w:rsidRPr="00282AC9">
        <w:rPr>
          <w:rFonts w:ascii="Times New Roman" w:hAnsi="Times New Roman"/>
          <w:sz w:val="27"/>
          <w:rtl/>
          <w:lang w:bidi="ar-MA"/>
        </w:rPr>
        <w:t>ات</w:t>
      </w:r>
      <w:r w:rsidR="00317E76" w:rsidRPr="00282AC9">
        <w:rPr>
          <w:rFonts w:ascii="Times New Roman" w:hAnsi="Times New Roman" w:hint="cs"/>
          <w:sz w:val="27"/>
          <w:rtl/>
          <w:lang w:bidi="ar-MA"/>
        </w:rPr>
        <w:t>ٌ</w:t>
      </w:r>
      <w:r w:rsidRPr="00282AC9">
        <w:rPr>
          <w:rFonts w:ascii="Times New Roman" w:hAnsi="Times New Roman"/>
          <w:sz w:val="27"/>
          <w:rtl/>
          <w:lang w:bidi="ar-MA"/>
        </w:rPr>
        <w:t xml:space="preserve"> مساع</w:t>
      </w:r>
      <w:r w:rsidR="00317E76" w:rsidRPr="00282AC9">
        <w:rPr>
          <w:rFonts w:ascii="Times New Roman" w:hAnsi="Times New Roman" w:hint="cs"/>
          <w:sz w:val="27"/>
          <w:rtl/>
          <w:lang w:bidi="ar-MA"/>
        </w:rPr>
        <w:t>ِ</w:t>
      </w:r>
      <w:r w:rsidRPr="00282AC9">
        <w:rPr>
          <w:rFonts w:ascii="Times New Roman" w:hAnsi="Times New Roman"/>
          <w:sz w:val="27"/>
          <w:rtl/>
          <w:lang w:bidi="ar-MA"/>
        </w:rPr>
        <w:t>دة، وأصول</w:t>
      </w:r>
      <w:r w:rsidR="00317E76" w:rsidRPr="00282AC9">
        <w:rPr>
          <w:rFonts w:ascii="Times New Roman" w:hAnsi="Times New Roman" w:hint="cs"/>
          <w:sz w:val="27"/>
          <w:rtl/>
          <w:lang w:bidi="ar-MA"/>
        </w:rPr>
        <w:t>ٌ</w:t>
      </w:r>
      <w:r w:rsidRPr="00282AC9">
        <w:rPr>
          <w:rFonts w:ascii="Times New Roman" w:hAnsi="Times New Roman"/>
          <w:sz w:val="27"/>
          <w:rtl/>
          <w:lang w:bidi="ar-MA"/>
        </w:rPr>
        <w:t xml:space="preserve"> معينة على</w:t>
      </w:r>
      <w:r w:rsidRPr="00282AC9">
        <w:rPr>
          <w:rFonts w:ascii="Times New Roman" w:hAnsi="Times New Roman" w:hint="cs"/>
          <w:sz w:val="27"/>
          <w:rtl/>
          <w:lang w:bidi="ar-MA"/>
        </w:rPr>
        <w:t xml:space="preserve"> تحصيل</w:t>
      </w:r>
      <w:r w:rsidRPr="00282AC9">
        <w:rPr>
          <w:rFonts w:ascii="Times New Roman" w:hAnsi="Times New Roman"/>
          <w:sz w:val="27"/>
          <w:rtl/>
          <w:lang w:bidi="ar-MA"/>
        </w:rPr>
        <w:t xml:space="preserve"> المعنى </w:t>
      </w:r>
      <w:r w:rsidRPr="00282AC9">
        <w:rPr>
          <w:rFonts w:ascii="Times New Roman" w:hAnsi="Times New Roman" w:hint="cs"/>
          <w:sz w:val="27"/>
          <w:rtl/>
          <w:lang w:bidi="ar-MA"/>
        </w:rPr>
        <w:t>من</w:t>
      </w:r>
      <w:r w:rsidRPr="00282AC9">
        <w:rPr>
          <w:rFonts w:ascii="Times New Roman" w:hAnsi="Times New Roman"/>
          <w:sz w:val="27"/>
          <w:rtl/>
          <w:lang w:bidi="ar-MA"/>
        </w:rPr>
        <w:t xml:space="preserve"> النص</w:t>
      </w:r>
      <w:r w:rsidR="00317E76" w:rsidRPr="00282AC9">
        <w:rPr>
          <w:rFonts w:ascii="Times New Roman" w:hAnsi="Times New Roman" w:hint="cs"/>
          <w:sz w:val="27"/>
          <w:rtl/>
          <w:lang w:bidi="ar-MA"/>
        </w:rPr>
        <w:t>ّ؛</w:t>
      </w:r>
      <w:r w:rsidRPr="00282AC9">
        <w:rPr>
          <w:rFonts w:ascii="Times New Roman" w:hAnsi="Times New Roman"/>
          <w:sz w:val="27"/>
          <w:rtl/>
          <w:lang w:bidi="ar-MA"/>
        </w:rPr>
        <w:t xml:space="preserve"> حت</w:t>
      </w:r>
      <w:r w:rsidR="00317E76" w:rsidRPr="00282AC9">
        <w:rPr>
          <w:rFonts w:ascii="Times New Roman" w:hAnsi="Times New Roman" w:hint="cs"/>
          <w:sz w:val="27"/>
          <w:rtl/>
          <w:lang w:bidi="ar-MA"/>
        </w:rPr>
        <w:t>ّ</w:t>
      </w:r>
      <w:r w:rsidRPr="00282AC9">
        <w:rPr>
          <w:rFonts w:ascii="Times New Roman" w:hAnsi="Times New Roman"/>
          <w:sz w:val="27"/>
          <w:rtl/>
          <w:lang w:bidi="ar-MA"/>
        </w:rPr>
        <w:t xml:space="preserve">ى يكون هذا </w:t>
      </w:r>
      <w:r w:rsidRPr="00282AC9">
        <w:rPr>
          <w:rFonts w:ascii="Times New Roman" w:hAnsi="Times New Roman"/>
          <w:sz w:val="27"/>
          <w:rtl/>
          <w:lang w:bidi="ar-MA"/>
        </w:rPr>
        <w:lastRenderedPageBreak/>
        <w:t>المعنى طريق</w:t>
      </w:r>
      <w:r w:rsidRPr="00282AC9">
        <w:rPr>
          <w:rFonts w:ascii="Times New Roman" w:hAnsi="Times New Roman" w:hint="cs"/>
          <w:sz w:val="27"/>
          <w:rtl/>
          <w:lang w:bidi="ar-MA"/>
        </w:rPr>
        <w:t>اً</w:t>
      </w:r>
      <w:r w:rsidRPr="00282AC9">
        <w:rPr>
          <w:rFonts w:ascii="Times New Roman" w:hAnsi="Times New Roman"/>
          <w:sz w:val="27"/>
          <w:rtl/>
          <w:lang w:bidi="ar-MA"/>
        </w:rPr>
        <w:t xml:space="preserve"> إلى الاستدلال</w:t>
      </w:r>
      <w:r w:rsidR="00317E76" w:rsidRPr="00282AC9">
        <w:rPr>
          <w:rFonts w:ascii="Times New Roman" w:hAnsi="Times New Roman" w:hint="cs"/>
          <w:sz w:val="27"/>
          <w:rtl/>
          <w:lang w:bidi="ar-MA"/>
        </w:rPr>
        <w:t>.</w:t>
      </w:r>
      <w:r w:rsidR="00317E76" w:rsidRPr="00282AC9">
        <w:rPr>
          <w:rFonts w:ascii="Times New Roman" w:hAnsi="Times New Roman"/>
          <w:sz w:val="27"/>
          <w:rtl/>
          <w:lang w:bidi="ar-MA"/>
        </w:rPr>
        <w:t xml:space="preserve"> و</w:t>
      </w:r>
      <w:r w:rsidRPr="00282AC9">
        <w:rPr>
          <w:rFonts w:ascii="Times New Roman" w:hAnsi="Times New Roman"/>
          <w:sz w:val="27"/>
          <w:rtl/>
          <w:lang w:bidi="ar-MA"/>
        </w:rPr>
        <w:t>هذه القواعد</w:t>
      </w:r>
      <w:r w:rsidRPr="00282AC9">
        <w:rPr>
          <w:rFonts w:ascii="Times New Roman" w:hAnsi="Times New Roman" w:hint="cs"/>
          <w:sz w:val="27"/>
          <w:rtl/>
          <w:lang w:bidi="ar-MA"/>
        </w:rPr>
        <w:t xml:space="preserve"> التفسيرية هي في غالبها قواعد </w:t>
      </w:r>
      <w:r w:rsidRPr="00282AC9">
        <w:rPr>
          <w:rFonts w:ascii="Times New Roman" w:hAnsi="Times New Roman"/>
          <w:sz w:val="27"/>
          <w:rtl/>
          <w:lang w:bidi="ar-MA"/>
        </w:rPr>
        <w:t>مستمد</w:t>
      </w:r>
      <w:r w:rsidR="00317E76" w:rsidRPr="00282AC9">
        <w:rPr>
          <w:rFonts w:ascii="Times New Roman" w:hAnsi="Times New Roman" w:hint="cs"/>
          <w:sz w:val="27"/>
          <w:rtl/>
          <w:lang w:bidi="ar-MA"/>
        </w:rPr>
        <w:t>ّ</w:t>
      </w:r>
      <w:r w:rsidRPr="00282AC9">
        <w:rPr>
          <w:rFonts w:ascii="Times New Roman" w:hAnsi="Times New Roman"/>
          <w:sz w:val="27"/>
          <w:rtl/>
          <w:lang w:bidi="ar-MA"/>
        </w:rPr>
        <w:t>ة من اللغة العربية</w:t>
      </w:r>
      <w:r w:rsidR="00317E76" w:rsidRPr="00282AC9">
        <w:rPr>
          <w:rFonts w:ascii="Times New Roman" w:hAnsi="Times New Roman" w:hint="cs"/>
          <w:sz w:val="27"/>
          <w:rtl/>
          <w:lang w:bidi="ar-MA"/>
        </w:rPr>
        <w:t>.</w:t>
      </w:r>
      <w:r w:rsidRPr="00282AC9">
        <w:rPr>
          <w:rFonts w:ascii="Times New Roman" w:hAnsi="Times New Roman" w:hint="cs"/>
          <w:sz w:val="27"/>
          <w:rtl/>
          <w:lang w:bidi="ar-MA"/>
        </w:rPr>
        <w:t xml:space="preserve"> وهذا </w:t>
      </w:r>
      <w:r w:rsidRPr="00282AC9">
        <w:rPr>
          <w:rFonts w:ascii="Times New Roman" w:hAnsi="Times New Roman"/>
          <w:sz w:val="27"/>
          <w:rtl/>
          <w:lang w:bidi="ar-MA"/>
        </w:rPr>
        <w:t xml:space="preserve">يعود </w:t>
      </w:r>
      <w:r w:rsidRPr="00282AC9">
        <w:rPr>
          <w:rFonts w:ascii="Times New Roman" w:hAnsi="Times New Roman" w:hint="cs"/>
          <w:sz w:val="27"/>
          <w:rtl/>
          <w:lang w:bidi="ar-MA"/>
        </w:rPr>
        <w:t xml:space="preserve">إلى </w:t>
      </w:r>
      <w:r w:rsidRPr="00282AC9">
        <w:rPr>
          <w:rFonts w:ascii="Times New Roman" w:hAnsi="Times New Roman"/>
          <w:sz w:val="27"/>
          <w:rtl/>
          <w:lang w:bidi="ar-MA"/>
        </w:rPr>
        <w:t>أن القر</w:t>
      </w:r>
      <w:r w:rsidR="00317E76" w:rsidRPr="00282AC9">
        <w:rPr>
          <w:rFonts w:ascii="Times New Roman" w:hAnsi="Times New Roman" w:hint="cs"/>
          <w:sz w:val="27"/>
          <w:rtl/>
          <w:lang w:bidi="ar-MA"/>
        </w:rPr>
        <w:t>آ</w:t>
      </w:r>
      <w:r w:rsidRPr="00282AC9">
        <w:rPr>
          <w:rFonts w:ascii="Times New Roman" w:hAnsi="Times New Roman"/>
          <w:sz w:val="27"/>
          <w:rtl/>
          <w:lang w:bidi="ar-MA"/>
        </w:rPr>
        <w:t>ن الكريم هو كلام</w:t>
      </w:r>
      <w:r w:rsidR="00317E76" w:rsidRPr="00282AC9">
        <w:rPr>
          <w:rFonts w:ascii="Times New Roman" w:hAnsi="Times New Roman" w:hint="cs"/>
          <w:sz w:val="27"/>
          <w:rtl/>
          <w:lang w:bidi="ar-MA"/>
        </w:rPr>
        <w:t>ٌ</w:t>
      </w:r>
      <w:r w:rsidRPr="00282AC9">
        <w:rPr>
          <w:rFonts w:ascii="Times New Roman" w:hAnsi="Times New Roman"/>
          <w:sz w:val="27"/>
          <w:rtl/>
          <w:lang w:bidi="ar-MA"/>
        </w:rPr>
        <w:t xml:space="preserve"> عربي</w:t>
      </w:r>
      <w:r w:rsidR="00317E76" w:rsidRPr="00282AC9">
        <w:rPr>
          <w:rFonts w:ascii="Times New Roman" w:hAnsi="Times New Roman" w:hint="cs"/>
          <w:sz w:val="27"/>
          <w:rtl/>
          <w:lang w:bidi="ar-MA"/>
        </w:rPr>
        <w:t>ّ،</w:t>
      </w:r>
      <w:r w:rsidRPr="00282AC9">
        <w:rPr>
          <w:rFonts w:ascii="Times New Roman" w:hAnsi="Times New Roman" w:hint="cs"/>
          <w:sz w:val="27"/>
          <w:rtl/>
          <w:lang w:bidi="ar-MA"/>
        </w:rPr>
        <w:t xml:space="preserve"> جرى فيه التخاطب على معهود العرب في كلامها، </w:t>
      </w:r>
      <w:r w:rsidRPr="00282AC9">
        <w:rPr>
          <w:rFonts w:ascii="Times New Roman" w:hAnsi="Times New Roman"/>
          <w:sz w:val="27"/>
          <w:rtl/>
          <w:lang w:bidi="ar-MA"/>
        </w:rPr>
        <w:t>فكانت قواعد اللغة العربية طريق</w:t>
      </w:r>
      <w:r w:rsidRPr="00282AC9">
        <w:rPr>
          <w:rFonts w:ascii="Times New Roman" w:hAnsi="Times New Roman" w:hint="cs"/>
          <w:sz w:val="27"/>
          <w:rtl/>
          <w:lang w:bidi="ar-MA"/>
        </w:rPr>
        <w:t>اً</w:t>
      </w:r>
      <w:r w:rsidRPr="00282AC9">
        <w:rPr>
          <w:rFonts w:ascii="Times New Roman" w:hAnsi="Times New Roman"/>
          <w:sz w:val="27"/>
          <w:rtl/>
          <w:lang w:bidi="ar-MA"/>
        </w:rPr>
        <w:t xml:space="preserve"> إلى فهم </w:t>
      </w:r>
      <w:r w:rsidRPr="00282AC9">
        <w:rPr>
          <w:rFonts w:ascii="Times New Roman" w:hAnsi="Times New Roman" w:hint="cs"/>
          <w:sz w:val="27"/>
          <w:rtl/>
          <w:lang w:bidi="ar-MA"/>
        </w:rPr>
        <w:t>ال</w:t>
      </w:r>
      <w:r w:rsidRPr="00282AC9">
        <w:rPr>
          <w:rFonts w:ascii="Times New Roman" w:hAnsi="Times New Roman"/>
          <w:sz w:val="27"/>
          <w:rtl/>
          <w:lang w:bidi="ar-MA"/>
        </w:rPr>
        <w:t>معاني</w:t>
      </w:r>
      <w:r w:rsidRPr="00282AC9">
        <w:rPr>
          <w:rFonts w:ascii="Times New Roman" w:hAnsi="Times New Roman" w:hint="cs"/>
          <w:sz w:val="27"/>
          <w:rtl/>
          <w:lang w:bidi="ar-MA"/>
        </w:rPr>
        <w:t xml:space="preserve"> القرآنية.</w:t>
      </w:r>
    </w:p>
    <w:p w:rsidR="00D722E4" w:rsidRPr="00282AC9" w:rsidRDefault="00D722E4" w:rsidP="006E02D7">
      <w:pPr>
        <w:pStyle w:val="afc"/>
        <w:spacing w:line="420" w:lineRule="exact"/>
        <w:textAlignment w:val="baseline"/>
        <w:rPr>
          <w:rFonts w:ascii="Arial" w:hAnsi="Arial" w:cs="AL-Mohanad"/>
          <w:sz w:val="27"/>
          <w:szCs w:val="27"/>
          <w:rtl/>
        </w:rPr>
      </w:pPr>
      <w:r w:rsidRPr="00282AC9">
        <w:rPr>
          <w:rFonts w:ascii="Arial" w:hAnsi="Arial" w:cs="AL-Mohanad"/>
          <w:sz w:val="27"/>
          <w:szCs w:val="27"/>
          <w:rtl/>
          <w:lang w:bidi="ar-MA"/>
        </w:rPr>
        <w:t>ومم</w:t>
      </w:r>
      <w:r w:rsidR="00317E76" w:rsidRPr="00282AC9">
        <w:rPr>
          <w:rFonts w:ascii="Arial" w:hAnsi="Arial" w:cs="AL-Mohanad" w:hint="cs"/>
          <w:sz w:val="27"/>
          <w:szCs w:val="27"/>
          <w:rtl/>
          <w:lang w:bidi="ar-MA"/>
        </w:rPr>
        <w:t>ّ</w:t>
      </w:r>
      <w:r w:rsidRPr="00282AC9">
        <w:rPr>
          <w:rFonts w:ascii="Arial" w:hAnsi="Arial" w:cs="AL-Mohanad"/>
          <w:sz w:val="27"/>
          <w:szCs w:val="27"/>
          <w:rtl/>
          <w:lang w:bidi="ar-MA"/>
        </w:rPr>
        <w:t>ا يدل</w:t>
      </w:r>
      <w:r w:rsidR="00317E76" w:rsidRPr="00282AC9">
        <w:rPr>
          <w:rFonts w:ascii="Arial" w:hAnsi="Arial" w:cs="AL-Mohanad" w:hint="cs"/>
          <w:sz w:val="27"/>
          <w:szCs w:val="27"/>
          <w:rtl/>
          <w:lang w:bidi="ar-MA"/>
        </w:rPr>
        <w:t>ّ</w:t>
      </w:r>
      <w:r w:rsidRPr="00282AC9">
        <w:rPr>
          <w:rFonts w:ascii="Arial" w:hAnsi="Arial" w:cs="AL-Mohanad"/>
          <w:sz w:val="27"/>
          <w:szCs w:val="27"/>
          <w:rtl/>
          <w:lang w:bidi="ar-MA"/>
        </w:rPr>
        <w:t xml:space="preserve"> على أهم</w:t>
      </w:r>
      <w:r w:rsidR="00317E76" w:rsidRPr="00282AC9">
        <w:rPr>
          <w:rFonts w:ascii="Arial" w:hAnsi="Arial" w:cs="AL-Mohanad" w:hint="cs"/>
          <w:sz w:val="27"/>
          <w:szCs w:val="27"/>
          <w:rtl/>
          <w:lang w:bidi="ar-MA"/>
        </w:rPr>
        <w:t>ّ</w:t>
      </w:r>
      <w:r w:rsidRPr="00282AC9">
        <w:rPr>
          <w:rFonts w:ascii="Arial" w:hAnsi="Arial" w:cs="AL-Mohanad"/>
          <w:sz w:val="27"/>
          <w:szCs w:val="27"/>
          <w:rtl/>
          <w:lang w:bidi="ar-MA"/>
        </w:rPr>
        <w:t>ية هذه القواعد ذات المنزع ال</w:t>
      </w:r>
      <w:r w:rsidR="00317E76" w:rsidRPr="00282AC9">
        <w:rPr>
          <w:rFonts w:ascii="Arial" w:hAnsi="Arial" w:cs="AL-Mohanad" w:hint="cs"/>
          <w:sz w:val="27"/>
          <w:szCs w:val="27"/>
          <w:rtl/>
          <w:lang w:bidi="ar-MA"/>
        </w:rPr>
        <w:t>أ</w:t>
      </w:r>
      <w:r w:rsidRPr="00282AC9">
        <w:rPr>
          <w:rFonts w:ascii="Arial" w:hAnsi="Arial" w:cs="AL-Mohanad"/>
          <w:sz w:val="27"/>
          <w:szCs w:val="27"/>
          <w:rtl/>
          <w:lang w:bidi="ar-MA"/>
        </w:rPr>
        <w:t>صولي في الفهم والتفسير</w:t>
      </w:r>
      <w:r w:rsidR="00EF4A35" w:rsidRPr="00282AC9">
        <w:rPr>
          <w:rFonts w:ascii="Arial" w:hAnsi="Arial" w:cs="AL-Mohanad" w:hint="cs"/>
          <w:sz w:val="27"/>
          <w:szCs w:val="27"/>
          <w:rtl/>
          <w:lang w:bidi="ar-MA"/>
        </w:rPr>
        <w:t xml:space="preserve"> </w:t>
      </w:r>
      <w:r w:rsidRPr="00282AC9">
        <w:rPr>
          <w:rFonts w:ascii="Arial" w:hAnsi="Arial" w:cs="AL-Mohanad"/>
          <w:sz w:val="27"/>
          <w:szCs w:val="27"/>
          <w:rtl/>
          <w:lang w:bidi="ar-MA"/>
        </w:rPr>
        <w:t>تصريح المفس</w:t>
      </w:r>
      <w:r w:rsidR="00317E76" w:rsidRPr="00282AC9">
        <w:rPr>
          <w:rFonts w:ascii="Arial" w:hAnsi="Arial" w:cs="AL-Mohanad" w:hint="cs"/>
          <w:sz w:val="27"/>
          <w:szCs w:val="27"/>
          <w:rtl/>
          <w:lang w:bidi="ar-MA"/>
        </w:rPr>
        <w:t>ِّ</w:t>
      </w:r>
      <w:r w:rsidRPr="00282AC9">
        <w:rPr>
          <w:rFonts w:ascii="Arial" w:hAnsi="Arial" w:cs="AL-Mohanad"/>
          <w:sz w:val="27"/>
          <w:szCs w:val="27"/>
          <w:rtl/>
          <w:lang w:bidi="ar-MA"/>
        </w:rPr>
        <w:t>ر الأندلسي ابن جزي الكلبي</w:t>
      </w:r>
      <w:r w:rsidR="00317E76" w:rsidRPr="00282AC9">
        <w:rPr>
          <w:rFonts w:ascii="Arial" w:hAnsi="Arial" w:cs="AL-Mohanad" w:hint="cs"/>
          <w:sz w:val="27"/>
          <w:szCs w:val="27"/>
          <w:rtl/>
          <w:lang w:bidi="ar-MA"/>
        </w:rPr>
        <w:t>(</w:t>
      </w:r>
      <w:r w:rsidRPr="00282AC9">
        <w:rPr>
          <w:rFonts w:ascii="Arial" w:hAnsi="Arial" w:cs="AL-Mohanad"/>
          <w:sz w:val="27"/>
          <w:szCs w:val="27"/>
          <w:rtl/>
          <w:lang w:bidi="ar-MA"/>
        </w:rPr>
        <w:t>741ه</w:t>
      </w:r>
      <w:r w:rsidR="00317E76" w:rsidRPr="00282AC9">
        <w:rPr>
          <w:rFonts w:ascii="Arial" w:hAnsi="Arial" w:cs="AL-Mohanad" w:hint="cs"/>
          <w:sz w:val="27"/>
          <w:szCs w:val="27"/>
          <w:rtl/>
          <w:lang w:bidi="ar-MA"/>
        </w:rPr>
        <w:t>ـ)،</w:t>
      </w:r>
      <w:r w:rsidRPr="00282AC9">
        <w:rPr>
          <w:rFonts w:ascii="Arial" w:hAnsi="Arial" w:cs="AL-Mohanad"/>
          <w:sz w:val="27"/>
          <w:szCs w:val="27"/>
          <w:rtl/>
          <w:lang w:bidi="ar-MA"/>
        </w:rPr>
        <w:t xml:space="preserve"> الذي</w:t>
      </w:r>
      <w:r w:rsidR="00EF4A35" w:rsidRPr="00282AC9">
        <w:rPr>
          <w:rFonts w:ascii="Arial" w:hAnsi="Arial" w:cs="AL-Mohanad"/>
          <w:sz w:val="27"/>
          <w:szCs w:val="27"/>
          <w:rtl/>
          <w:lang w:bidi="ar-MA"/>
        </w:rPr>
        <w:t xml:space="preserve"> قال في ش</w:t>
      </w:r>
      <w:r w:rsidR="00317E76" w:rsidRPr="00282AC9">
        <w:rPr>
          <w:rFonts w:ascii="Arial" w:hAnsi="Arial" w:cs="AL-Mohanad" w:hint="cs"/>
          <w:sz w:val="27"/>
          <w:szCs w:val="27"/>
          <w:rtl/>
          <w:lang w:bidi="ar-MA"/>
        </w:rPr>
        <w:t>أ</w:t>
      </w:r>
      <w:r w:rsidR="00EF4A35" w:rsidRPr="00282AC9">
        <w:rPr>
          <w:rFonts w:ascii="Arial" w:hAnsi="Arial" w:cs="AL-Mohanad"/>
          <w:sz w:val="27"/>
          <w:szCs w:val="27"/>
          <w:rtl/>
          <w:lang w:bidi="ar-MA"/>
        </w:rPr>
        <w:t>ن هذه القواع</w:t>
      </w:r>
      <w:r w:rsidR="00EF4A35" w:rsidRPr="00282AC9">
        <w:rPr>
          <w:rFonts w:ascii="Arial" w:hAnsi="Arial" w:cs="AL-Mohanad" w:hint="cs"/>
          <w:sz w:val="27"/>
          <w:szCs w:val="27"/>
          <w:rtl/>
          <w:lang w:bidi="ar-MA"/>
        </w:rPr>
        <w:t xml:space="preserve">د: </w:t>
      </w:r>
      <w:r w:rsidRPr="00282AC9">
        <w:rPr>
          <w:rFonts w:cs="AL-Mohanad" w:hint="eastAsia"/>
          <w:rtl/>
        </w:rPr>
        <w:t>«</w:t>
      </w:r>
      <w:r w:rsidRPr="00282AC9">
        <w:rPr>
          <w:rStyle w:val="1Char"/>
          <w:rFonts w:ascii="Arial" w:hAnsi="Arial" w:cs="AL-Mohanad"/>
          <w:b w:val="0"/>
          <w:sz w:val="27"/>
          <w:szCs w:val="27"/>
          <w:rtl/>
        </w:rPr>
        <w:t>...</w:t>
      </w:r>
      <w:r w:rsidRPr="00282AC9">
        <w:rPr>
          <w:rFonts w:ascii="Arial" w:hAnsi="Arial" w:cs="AL-Mohanad"/>
          <w:sz w:val="27"/>
          <w:szCs w:val="27"/>
          <w:rtl/>
        </w:rPr>
        <w:t>فإنه من أدوات تفسير القرآن، وإنه لنعم الع</w:t>
      </w:r>
      <w:r w:rsidR="00317E76" w:rsidRPr="00282AC9">
        <w:rPr>
          <w:rFonts w:ascii="Arial" w:hAnsi="Arial" w:cs="AL-Mohanad" w:hint="cs"/>
          <w:sz w:val="27"/>
          <w:szCs w:val="27"/>
          <w:rtl/>
        </w:rPr>
        <w:t>َ</w:t>
      </w:r>
      <w:r w:rsidRPr="00282AC9">
        <w:rPr>
          <w:rFonts w:ascii="Arial" w:hAnsi="Arial" w:cs="AL-Mohanad"/>
          <w:sz w:val="27"/>
          <w:szCs w:val="27"/>
          <w:rtl/>
        </w:rPr>
        <w:t>و</w:t>
      </w:r>
      <w:r w:rsidR="00317E76" w:rsidRPr="00282AC9">
        <w:rPr>
          <w:rFonts w:ascii="Arial" w:hAnsi="Arial" w:cs="AL-Mohanad" w:hint="cs"/>
          <w:sz w:val="27"/>
          <w:szCs w:val="27"/>
          <w:rtl/>
        </w:rPr>
        <w:t>ْ</w:t>
      </w:r>
      <w:r w:rsidRPr="00282AC9">
        <w:rPr>
          <w:rFonts w:ascii="Arial" w:hAnsi="Arial" w:cs="AL-Mohanad"/>
          <w:sz w:val="27"/>
          <w:szCs w:val="27"/>
          <w:rtl/>
        </w:rPr>
        <w:t>ن على فهم المعاني</w:t>
      </w:r>
      <w:r w:rsidR="00317E76" w:rsidRPr="00282AC9">
        <w:rPr>
          <w:rFonts w:ascii="Arial" w:hAnsi="Arial" w:cs="AL-Mohanad" w:hint="cs"/>
          <w:sz w:val="27"/>
          <w:szCs w:val="27"/>
          <w:rtl/>
        </w:rPr>
        <w:t>،</w:t>
      </w:r>
      <w:r w:rsidRPr="00282AC9">
        <w:rPr>
          <w:rFonts w:ascii="Arial" w:hAnsi="Arial" w:cs="AL-Mohanad"/>
          <w:sz w:val="27"/>
          <w:szCs w:val="27"/>
          <w:rtl/>
        </w:rPr>
        <w:t xml:space="preserve"> وترجيح الأقوال</w:t>
      </w:r>
      <w:r w:rsidR="00317E76" w:rsidRPr="00282AC9">
        <w:rPr>
          <w:rFonts w:ascii="Arial" w:hAnsi="Arial" w:cs="AL-Mohanad" w:hint="cs"/>
          <w:sz w:val="27"/>
          <w:szCs w:val="27"/>
          <w:rtl/>
        </w:rPr>
        <w:t>.</w:t>
      </w:r>
      <w:r w:rsidRPr="00282AC9">
        <w:rPr>
          <w:rFonts w:ascii="Arial" w:hAnsi="Arial" w:cs="AL-Mohanad"/>
          <w:sz w:val="27"/>
          <w:szCs w:val="27"/>
          <w:rtl/>
        </w:rPr>
        <w:t xml:space="preserve"> وما أحوج المفس</w:t>
      </w:r>
      <w:r w:rsidR="00317E76" w:rsidRPr="00282AC9">
        <w:rPr>
          <w:rFonts w:ascii="Arial" w:hAnsi="Arial" w:cs="AL-Mohanad" w:hint="cs"/>
          <w:sz w:val="27"/>
          <w:szCs w:val="27"/>
          <w:rtl/>
        </w:rPr>
        <w:t>ِّ</w:t>
      </w:r>
      <w:r w:rsidRPr="00282AC9">
        <w:rPr>
          <w:rFonts w:ascii="Arial" w:hAnsi="Arial" w:cs="AL-Mohanad"/>
          <w:sz w:val="27"/>
          <w:szCs w:val="27"/>
          <w:rtl/>
        </w:rPr>
        <w:t>ر إلى معرفة: النص</w:t>
      </w:r>
      <w:r w:rsidR="00317E76" w:rsidRPr="00282AC9">
        <w:rPr>
          <w:rFonts w:ascii="Arial" w:hAnsi="Arial" w:cs="AL-Mohanad" w:hint="cs"/>
          <w:sz w:val="27"/>
          <w:szCs w:val="27"/>
          <w:rtl/>
        </w:rPr>
        <w:t>ّ</w:t>
      </w:r>
      <w:r w:rsidRPr="00282AC9">
        <w:rPr>
          <w:rFonts w:ascii="Arial" w:hAnsi="Arial" w:cs="AL-Mohanad"/>
          <w:sz w:val="27"/>
          <w:szCs w:val="27"/>
          <w:rtl/>
        </w:rPr>
        <w:t>، والظاهر، والمجمل، والمبين، والعام</w:t>
      </w:r>
      <w:r w:rsidR="00317E76" w:rsidRPr="00282AC9">
        <w:rPr>
          <w:rFonts w:ascii="Arial" w:hAnsi="Arial" w:cs="AL-Mohanad" w:hint="cs"/>
          <w:sz w:val="27"/>
          <w:szCs w:val="27"/>
          <w:rtl/>
        </w:rPr>
        <w:t>ّ</w:t>
      </w:r>
      <w:r w:rsidRPr="00282AC9">
        <w:rPr>
          <w:rFonts w:ascii="Arial" w:hAnsi="Arial" w:cs="AL-Mohanad"/>
          <w:sz w:val="27"/>
          <w:szCs w:val="27"/>
          <w:rtl/>
        </w:rPr>
        <w:t>، والخاص</w:t>
      </w:r>
      <w:r w:rsidR="00317E76" w:rsidRPr="00282AC9">
        <w:rPr>
          <w:rFonts w:ascii="Arial" w:hAnsi="Arial" w:cs="AL-Mohanad" w:hint="cs"/>
          <w:sz w:val="27"/>
          <w:szCs w:val="27"/>
          <w:rtl/>
        </w:rPr>
        <w:t>ّ</w:t>
      </w:r>
      <w:r w:rsidRPr="00282AC9">
        <w:rPr>
          <w:rFonts w:ascii="Arial" w:hAnsi="Arial" w:cs="AL-Mohanad"/>
          <w:sz w:val="27"/>
          <w:szCs w:val="27"/>
          <w:rtl/>
        </w:rPr>
        <w:t>، والمطلق، والمقي</w:t>
      </w:r>
      <w:r w:rsidR="00317E76" w:rsidRPr="00282AC9">
        <w:rPr>
          <w:rFonts w:ascii="Arial" w:hAnsi="Arial" w:cs="AL-Mohanad" w:hint="cs"/>
          <w:sz w:val="27"/>
          <w:szCs w:val="27"/>
          <w:rtl/>
        </w:rPr>
        <w:t>ّ</w:t>
      </w:r>
      <w:r w:rsidRPr="00282AC9">
        <w:rPr>
          <w:rFonts w:ascii="Arial" w:hAnsi="Arial" w:cs="AL-Mohanad"/>
          <w:sz w:val="27"/>
          <w:szCs w:val="27"/>
          <w:rtl/>
        </w:rPr>
        <w:t>د، وفحوى الخطاب، ولحن الخطاب، ودليل الخطاب، وشروط النسخ</w:t>
      </w:r>
      <w:r w:rsidR="00317E76" w:rsidRPr="00282AC9">
        <w:rPr>
          <w:rFonts w:ascii="Arial" w:hAnsi="Arial" w:cs="AL-Mohanad" w:hint="cs"/>
          <w:sz w:val="27"/>
          <w:szCs w:val="27"/>
          <w:bdr w:val="none" w:sz="0" w:space="0" w:color="auto" w:frame="1"/>
          <w:rtl/>
        </w:rPr>
        <w:t>،</w:t>
      </w:r>
      <w:r w:rsidRPr="00282AC9">
        <w:rPr>
          <w:rFonts w:ascii="Arial" w:hAnsi="Arial" w:cs="AL-Mohanad"/>
          <w:sz w:val="27"/>
          <w:szCs w:val="27"/>
          <w:bdr w:val="none" w:sz="0" w:space="0" w:color="auto" w:frame="1"/>
          <w:vertAlign w:val="superscript"/>
          <w:rtl/>
        </w:rPr>
        <w:t xml:space="preserve"> </w:t>
      </w:r>
      <w:r w:rsidRPr="00282AC9">
        <w:rPr>
          <w:rFonts w:ascii="Arial" w:hAnsi="Arial" w:cs="AL-Mohanad"/>
          <w:sz w:val="27"/>
          <w:szCs w:val="27"/>
          <w:rtl/>
        </w:rPr>
        <w:t>ووجوه التعارض، وأسباب الخلاف، وغير ذلك</w:t>
      </w:r>
      <w:r w:rsidR="00317E76" w:rsidRPr="00282AC9">
        <w:rPr>
          <w:rFonts w:ascii="Arial" w:hAnsi="Arial" w:cs="AL-Mohanad" w:hint="cs"/>
          <w:sz w:val="27"/>
          <w:szCs w:val="27"/>
          <w:rtl/>
        </w:rPr>
        <w:t>،</w:t>
      </w:r>
      <w:r w:rsidRPr="00282AC9">
        <w:rPr>
          <w:rFonts w:ascii="Arial" w:hAnsi="Arial" w:cs="AL-Mohanad"/>
          <w:sz w:val="27"/>
          <w:szCs w:val="27"/>
          <w:rtl/>
        </w:rPr>
        <w:t xml:space="preserve"> من علم الأصول</w:t>
      </w:r>
      <w:r w:rsidR="00317E76" w:rsidRPr="00282AC9">
        <w:rPr>
          <w:rFonts w:ascii="Arial" w:hAnsi="Arial" w:cs="AL-Mohanad" w:hint="cs"/>
          <w:sz w:val="27"/>
          <w:szCs w:val="27"/>
          <w:rtl/>
        </w:rPr>
        <w:t>!</w:t>
      </w:r>
      <w:r w:rsidRPr="00282AC9">
        <w:rPr>
          <w:rFonts w:ascii="Arial" w:hAnsi="Arial" w:cs="AL-Mohanad"/>
          <w:sz w:val="27"/>
          <w:szCs w:val="27"/>
          <w:rtl/>
        </w:rPr>
        <w:t>...</w:t>
      </w:r>
      <w:r w:rsidRPr="00282AC9">
        <w:rPr>
          <w:rFonts w:cs="AL-Mohanad" w:hint="eastAsia"/>
          <w:rtl/>
        </w:rPr>
        <w:t>»</w:t>
      </w:r>
      <w:r w:rsidR="006E02D7" w:rsidRPr="00282AC9">
        <w:rPr>
          <w:rFonts w:ascii="Arial" w:hAnsi="Arial" w:cs="AL-Mohanad"/>
          <w:sz w:val="27"/>
          <w:szCs w:val="27"/>
          <w:vertAlign w:val="superscript"/>
          <w:rtl/>
        </w:rPr>
        <w:t>(</w:t>
      </w:r>
      <w:r w:rsidR="006E02D7" w:rsidRPr="00282AC9">
        <w:rPr>
          <w:rStyle w:val="af9"/>
          <w:rFonts w:ascii="Arial" w:hAnsi="Arial" w:cs="AL-Mohanad"/>
          <w:sz w:val="27"/>
          <w:szCs w:val="27"/>
          <w:rtl/>
        </w:rPr>
        <w:endnoteReference w:id="704"/>
      </w:r>
      <w:r w:rsidR="006E02D7" w:rsidRPr="00282AC9">
        <w:rPr>
          <w:rFonts w:ascii="Arial" w:hAnsi="Arial" w:cs="AL-Mohanad"/>
          <w:sz w:val="27"/>
          <w:szCs w:val="27"/>
          <w:vertAlign w:val="superscript"/>
          <w:rtl/>
        </w:rPr>
        <w:t>)</w:t>
      </w:r>
      <w:r w:rsidRPr="00282AC9">
        <w:rPr>
          <w:rFonts w:ascii="Arial" w:hAnsi="Arial" w:cs="AL-Mohanad"/>
          <w:sz w:val="27"/>
          <w:szCs w:val="27"/>
          <w:rtl/>
        </w:rPr>
        <w:t>.</w:t>
      </w:r>
    </w:p>
    <w:p w:rsidR="00460336" w:rsidRPr="00282AC9" w:rsidRDefault="00460336" w:rsidP="003062B7">
      <w:pPr>
        <w:spacing w:line="440" w:lineRule="exact"/>
        <w:rPr>
          <w:sz w:val="27"/>
          <w:rtl/>
        </w:rPr>
      </w:pPr>
    </w:p>
    <w:p w:rsidR="00860C5D" w:rsidRPr="00282AC9" w:rsidRDefault="00860C5D" w:rsidP="00860C5D">
      <w:pPr>
        <w:pStyle w:val="31"/>
        <w:rPr>
          <w:color w:val="auto"/>
          <w:rtl/>
        </w:rPr>
      </w:pPr>
      <w:r w:rsidRPr="00282AC9">
        <w:rPr>
          <w:color w:val="auto"/>
          <w:rtl/>
          <w:lang w:bidi="ar-MA"/>
        </w:rPr>
        <w:t>المرجع اللغوي</w:t>
      </w:r>
      <w:r w:rsidRPr="00282AC9">
        <w:rPr>
          <w:rFonts w:hint="cs"/>
          <w:color w:val="auto"/>
          <w:rtl/>
          <w:lang w:bidi="ar-MA"/>
        </w:rPr>
        <w:t>ّ</w:t>
      </w:r>
      <w:r w:rsidRPr="00282AC9">
        <w:rPr>
          <w:color w:val="auto"/>
          <w:rtl/>
          <w:lang w:bidi="ar-MA"/>
        </w:rPr>
        <w:t xml:space="preserve"> في علم </w:t>
      </w:r>
      <w:r w:rsidRPr="00282AC9">
        <w:rPr>
          <w:rFonts w:hint="cs"/>
          <w:color w:val="auto"/>
          <w:rtl/>
          <w:lang w:bidi="ar-MA"/>
        </w:rPr>
        <w:t>أ</w:t>
      </w:r>
      <w:r w:rsidRPr="00282AC9">
        <w:rPr>
          <w:color w:val="auto"/>
          <w:rtl/>
          <w:lang w:bidi="ar-MA"/>
        </w:rPr>
        <w:t>صول الفقه</w:t>
      </w:r>
    </w:p>
    <w:p w:rsidR="00D722E4" w:rsidRPr="00282AC9" w:rsidRDefault="00D722E4" w:rsidP="00C61F1E">
      <w:pPr>
        <w:spacing w:line="420" w:lineRule="exact"/>
        <w:rPr>
          <w:rFonts w:ascii="UthmanTN1" w:hAnsi="UthmanTN1"/>
          <w:sz w:val="27"/>
          <w:rtl/>
        </w:rPr>
      </w:pPr>
      <w:r w:rsidRPr="00282AC9">
        <w:rPr>
          <w:rFonts w:ascii="UthmanTN1" w:hAnsi="UthmanTN1" w:hint="cs"/>
          <w:sz w:val="27"/>
          <w:rtl/>
        </w:rPr>
        <w:t>وهو المعنى الذي أك</w:t>
      </w:r>
      <w:r w:rsidR="00860C5D" w:rsidRPr="00282AC9">
        <w:rPr>
          <w:rFonts w:ascii="UthmanTN1" w:hAnsi="UthmanTN1" w:hint="cs"/>
          <w:sz w:val="27"/>
          <w:rtl/>
        </w:rPr>
        <w:t>َّ</w:t>
      </w:r>
      <w:r w:rsidRPr="00282AC9">
        <w:rPr>
          <w:rFonts w:ascii="UthmanTN1" w:hAnsi="UthmanTN1" w:hint="cs"/>
          <w:sz w:val="27"/>
          <w:rtl/>
        </w:rPr>
        <w:t>ده الإمام القرافي</w:t>
      </w:r>
      <w:r w:rsidR="00860C5D" w:rsidRPr="00282AC9">
        <w:rPr>
          <w:rFonts w:ascii="UthmanTN1" w:hAnsi="UthmanTN1" w:hint="cs"/>
          <w:sz w:val="27"/>
          <w:rtl/>
        </w:rPr>
        <w:t>،</w:t>
      </w:r>
      <w:r w:rsidRPr="00282AC9">
        <w:rPr>
          <w:rFonts w:ascii="UthmanTN1" w:hAnsi="UthmanTN1" w:hint="cs"/>
          <w:sz w:val="27"/>
          <w:rtl/>
        </w:rPr>
        <w:t xml:space="preserve"> في مقد</w:t>
      </w:r>
      <w:r w:rsidR="00860C5D" w:rsidRPr="00282AC9">
        <w:rPr>
          <w:rFonts w:ascii="UthmanTN1" w:hAnsi="UthmanTN1" w:hint="cs"/>
          <w:sz w:val="27"/>
          <w:rtl/>
        </w:rPr>
        <w:t>ّ</w:t>
      </w:r>
      <w:r w:rsidRPr="00282AC9">
        <w:rPr>
          <w:rFonts w:ascii="UthmanTN1" w:hAnsi="UthmanTN1" w:hint="cs"/>
          <w:sz w:val="27"/>
          <w:rtl/>
        </w:rPr>
        <w:t>مة فروقه</w:t>
      </w:r>
      <w:r w:rsidR="00860C5D" w:rsidRPr="00282AC9">
        <w:rPr>
          <w:rFonts w:ascii="UthmanTN1" w:hAnsi="UthmanTN1" w:hint="cs"/>
          <w:sz w:val="27"/>
          <w:rtl/>
        </w:rPr>
        <w:t>،</w:t>
      </w:r>
      <w:r w:rsidRPr="00282AC9">
        <w:rPr>
          <w:rFonts w:ascii="UthmanTN1" w:hAnsi="UthmanTN1" w:hint="cs"/>
          <w:sz w:val="27"/>
          <w:rtl/>
        </w:rPr>
        <w:t xml:space="preserve"> عندما قال:</w:t>
      </w:r>
      <w:r w:rsidR="00860C5D" w:rsidRPr="00282AC9">
        <w:rPr>
          <w:rFonts w:ascii="UthmanTN1" w:hAnsi="UthmanTN1" w:hint="cs"/>
          <w:sz w:val="27"/>
          <w:rtl/>
        </w:rPr>
        <w:t xml:space="preserve"> </w:t>
      </w:r>
      <w:r w:rsidR="00860C5D" w:rsidRPr="00282AC9">
        <w:rPr>
          <w:rFonts w:hint="eastAsia"/>
          <w:sz w:val="24"/>
          <w:szCs w:val="24"/>
          <w:rtl/>
        </w:rPr>
        <w:t>«</w:t>
      </w:r>
      <w:r w:rsidRPr="00282AC9">
        <w:rPr>
          <w:rtl/>
          <w:lang w:bidi="ar-MA"/>
        </w:rPr>
        <w:t>خص</w:t>
      </w:r>
      <w:r w:rsidR="001D5DAE" w:rsidRPr="00282AC9">
        <w:rPr>
          <w:rFonts w:hint="cs"/>
          <w:rtl/>
          <w:lang w:bidi="ar-MA"/>
        </w:rPr>
        <w:t>ّ</w:t>
      </w:r>
      <w:r w:rsidRPr="00282AC9">
        <w:rPr>
          <w:rtl/>
          <w:lang w:bidi="ar-MA"/>
        </w:rPr>
        <w:t xml:space="preserve"> الله تعالى اللسان العربي</w:t>
      </w:r>
      <w:r w:rsidR="00860C5D" w:rsidRPr="00282AC9">
        <w:rPr>
          <w:rFonts w:hint="cs"/>
          <w:rtl/>
          <w:lang w:bidi="ar-MA"/>
        </w:rPr>
        <w:t>ّ</w:t>
      </w:r>
      <w:r w:rsidRPr="00282AC9">
        <w:rPr>
          <w:rtl/>
          <w:lang w:bidi="ar-MA"/>
        </w:rPr>
        <w:t xml:space="preserve"> بالبيان</w:t>
      </w:r>
      <w:r w:rsidR="00860C5D" w:rsidRPr="00282AC9">
        <w:rPr>
          <w:rFonts w:hint="cs"/>
          <w:rtl/>
          <w:lang w:bidi="ar-MA"/>
        </w:rPr>
        <w:t>؛</w:t>
      </w:r>
      <w:r w:rsidRPr="00282AC9">
        <w:rPr>
          <w:rtl/>
          <w:lang w:bidi="ar-MA"/>
        </w:rPr>
        <w:t xml:space="preserve"> إذ استمد</w:t>
      </w:r>
      <w:r w:rsidR="00860C5D" w:rsidRPr="00282AC9">
        <w:rPr>
          <w:rFonts w:hint="cs"/>
          <w:rtl/>
          <w:lang w:bidi="ar-MA"/>
        </w:rPr>
        <w:t>َّ</w:t>
      </w:r>
      <w:r w:rsidRPr="00282AC9">
        <w:rPr>
          <w:rtl/>
          <w:lang w:bidi="ar-MA"/>
        </w:rPr>
        <w:t>ت</w:t>
      </w:r>
      <w:r w:rsidR="00860C5D" w:rsidRPr="00282AC9">
        <w:rPr>
          <w:rFonts w:hint="cs"/>
          <w:rtl/>
          <w:lang w:bidi="ar-MA"/>
        </w:rPr>
        <w:t>ْ</w:t>
      </w:r>
      <w:r w:rsidRPr="00282AC9">
        <w:rPr>
          <w:rtl/>
          <w:lang w:bidi="ar-MA"/>
        </w:rPr>
        <w:t xml:space="preserve"> اللغة العربية شرفها وقدسي</w:t>
      </w:r>
      <w:r w:rsidR="00860C5D" w:rsidRPr="00282AC9">
        <w:rPr>
          <w:rFonts w:hint="cs"/>
          <w:rtl/>
          <w:lang w:bidi="ar-MA"/>
        </w:rPr>
        <w:t>ّ</w:t>
      </w:r>
      <w:r w:rsidRPr="00282AC9">
        <w:rPr>
          <w:rtl/>
          <w:lang w:bidi="ar-MA"/>
        </w:rPr>
        <w:t>تها من انتسابها وانتما</w:t>
      </w:r>
      <w:r w:rsidRPr="00282AC9">
        <w:rPr>
          <w:rFonts w:hint="cs"/>
          <w:rtl/>
          <w:lang w:bidi="ar-MA"/>
        </w:rPr>
        <w:t>ئها إلى</w:t>
      </w:r>
      <w:r w:rsidRPr="00282AC9">
        <w:rPr>
          <w:rtl/>
          <w:lang w:bidi="ar-MA"/>
        </w:rPr>
        <w:t xml:space="preserve"> </w:t>
      </w:r>
      <w:r w:rsidRPr="00282AC9">
        <w:rPr>
          <w:rFonts w:hint="cs"/>
          <w:rtl/>
          <w:lang w:bidi="ar-MA"/>
        </w:rPr>
        <w:t>ا</w:t>
      </w:r>
      <w:r w:rsidRPr="00282AC9">
        <w:rPr>
          <w:rtl/>
          <w:lang w:bidi="ar-MA"/>
        </w:rPr>
        <w:t>لو</w:t>
      </w:r>
      <w:r w:rsidR="00860C5D" w:rsidRPr="00282AC9">
        <w:rPr>
          <w:rFonts w:hint="cs"/>
          <w:rtl/>
          <w:lang w:bidi="ar-MA"/>
        </w:rPr>
        <w:t>َ</w:t>
      </w:r>
      <w:r w:rsidRPr="00282AC9">
        <w:rPr>
          <w:rtl/>
          <w:lang w:bidi="ar-MA"/>
        </w:rPr>
        <w:t>ح</w:t>
      </w:r>
      <w:r w:rsidR="00860C5D" w:rsidRPr="00282AC9">
        <w:rPr>
          <w:rFonts w:hint="cs"/>
          <w:rtl/>
          <w:lang w:bidi="ar-MA"/>
        </w:rPr>
        <w:t>ْ</w:t>
      </w:r>
      <w:r w:rsidRPr="00282AC9">
        <w:rPr>
          <w:rtl/>
          <w:lang w:bidi="ar-MA"/>
        </w:rPr>
        <w:t>ي</w:t>
      </w:r>
      <w:r w:rsidR="00860C5D" w:rsidRPr="00282AC9">
        <w:rPr>
          <w:rFonts w:hint="cs"/>
          <w:rtl/>
          <w:lang w:bidi="ar-MA"/>
        </w:rPr>
        <w:t>.</w:t>
      </w:r>
      <w:r w:rsidR="00DB77FA">
        <w:rPr>
          <w:rFonts w:hint="cs"/>
          <w:rtl/>
          <w:lang w:bidi="ar-MA"/>
        </w:rPr>
        <w:t xml:space="preserve"> </w:t>
      </w:r>
      <w:r w:rsidRPr="00282AC9">
        <w:rPr>
          <w:rtl/>
          <w:lang w:bidi="ar-MA"/>
        </w:rPr>
        <w:t>قال ابن فارس</w:t>
      </w:r>
      <w:r w:rsidR="00860C5D" w:rsidRPr="00282AC9">
        <w:rPr>
          <w:rFonts w:hint="cs"/>
          <w:rtl/>
          <w:lang w:bidi="ar-MA"/>
        </w:rPr>
        <w:t xml:space="preserve">: </w:t>
      </w:r>
      <w:r w:rsidR="00860C5D" w:rsidRPr="00282AC9">
        <w:rPr>
          <w:rFonts w:hint="eastAsia"/>
          <w:sz w:val="24"/>
          <w:szCs w:val="24"/>
          <w:rtl/>
        </w:rPr>
        <w:t>«</w:t>
      </w:r>
      <w:r w:rsidRPr="00282AC9">
        <w:rPr>
          <w:rtl/>
          <w:lang w:bidi="ar-MA"/>
        </w:rPr>
        <w:t>لم</w:t>
      </w:r>
      <w:r w:rsidR="001D5DAE" w:rsidRPr="00282AC9">
        <w:rPr>
          <w:rFonts w:hint="cs"/>
          <w:rtl/>
          <w:lang w:bidi="ar-MA"/>
        </w:rPr>
        <w:t>ّ</w:t>
      </w:r>
      <w:r w:rsidRPr="00282AC9">
        <w:rPr>
          <w:rtl/>
          <w:lang w:bidi="ar-MA"/>
        </w:rPr>
        <w:t>ا خص</w:t>
      </w:r>
      <w:r w:rsidR="001D5DAE" w:rsidRPr="00282AC9">
        <w:rPr>
          <w:rFonts w:hint="cs"/>
          <w:rtl/>
          <w:lang w:bidi="ar-MA"/>
        </w:rPr>
        <w:t>ّ</w:t>
      </w:r>
      <w:r w:rsidRPr="00282AC9">
        <w:rPr>
          <w:rtl/>
          <w:lang w:bidi="ar-MA"/>
        </w:rPr>
        <w:t xml:space="preserve"> الله جل</w:t>
      </w:r>
      <w:r w:rsidR="00860C5D" w:rsidRPr="00282AC9">
        <w:rPr>
          <w:rFonts w:hint="cs"/>
          <w:rtl/>
          <w:lang w:bidi="ar-MA"/>
        </w:rPr>
        <w:t>َّ</w:t>
      </w:r>
      <w:r w:rsidRPr="00282AC9">
        <w:rPr>
          <w:rtl/>
          <w:lang w:bidi="ar-MA"/>
        </w:rPr>
        <w:t xml:space="preserve"> ثناؤه اللسان العربي بالبيان علم أن سائر اللغات قاصرة</w:t>
      </w:r>
      <w:r w:rsidR="00860C5D" w:rsidRPr="00282AC9">
        <w:rPr>
          <w:rFonts w:hint="cs"/>
          <w:rtl/>
          <w:lang w:bidi="ar-MA"/>
        </w:rPr>
        <w:t>ٌ</w:t>
      </w:r>
      <w:r w:rsidRPr="00282AC9">
        <w:rPr>
          <w:rtl/>
          <w:lang w:bidi="ar-MA"/>
        </w:rPr>
        <w:t xml:space="preserve"> عنه</w:t>
      </w:r>
      <w:r w:rsidR="00855A22" w:rsidRPr="00282AC9">
        <w:rPr>
          <w:rFonts w:hint="eastAsia"/>
          <w:sz w:val="24"/>
          <w:szCs w:val="24"/>
          <w:rtl/>
        </w:rPr>
        <w:t>»</w:t>
      </w:r>
      <w:r w:rsidR="00507963" w:rsidRPr="00507963">
        <w:rPr>
          <w:rFonts w:hint="cs"/>
          <w:sz w:val="27"/>
          <w:vertAlign w:val="superscript"/>
          <w:rtl/>
          <w:lang w:bidi="ar-LB"/>
        </w:rPr>
        <w:t>(</w:t>
      </w:r>
      <w:r w:rsidR="00507963" w:rsidRPr="00507963">
        <w:rPr>
          <w:rStyle w:val="af9"/>
          <w:sz w:val="27"/>
          <w:rtl/>
          <w:lang w:bidi="ar-LB"/>
        </w:rPr>
        <w:endnoteReference w:id="705"/>
      </w:r>
      <w:r w:rsidR="00507963" w:rsidRPr="00507963">
        <w:rPr>
          <w:rFonts w:hint="cs"/>
          <w:sz w:val="27"/>
          <w:vertAlign w:val="superscript"/>
          <w:rtl/>
          <w:lang w:bidi="ar-LB"/>
        </w:rPr>
        <w:t>)</w:t>
      </w:r>
      <w:r w:rsidR="00855A22">
        <w:rPr>
          <w:rFonts w:hint="cs"/>
          <w:sz w:val="24"/>
          <w:szCs w:val="24"/>
          <w:rtl/>
        </w:rPr>
        <w:t>.</w:t>
      </w:r>
    </w:p>
    <w:p w:rsidR="001D5DAE" w:rsidRPr="00282AC9" w:rsidRDefault="00D722E4" w:rsidP="00460336">
      <w:pPr>
        <w:spacing w:line="420" w:lineRule="exact"/>
        <w:rPr>
          <w:rFonts w:ascii="Times New Roman" w:hAnsi="Times New Roman"/>
          <w:sz w:val="27"/>
          <w:rtl/>
          <w:lang w:bidi="ar-MA"/>
        </w:rPr>
      </w:pPr>
      <w:r w:rsidRPr="00282AC9">
        <w:rPr>
          <w:rFonts w:hint="cs"/>
          <w:sz w:val="27"/>
          <w:rtl/>
          <w:lang w:bidi="ar-MA"/>
        </w:rPr>
        <w:t>أما الإمام علي</w:t>
      </w:r>
      <w:r w:rsidR="00860C5D" w:rsidRPr="00282AC9">
        <w:rPr>
          <w:rFonts w:hint="cs"/>
          <w:sz w:val="27"/>
          <w:rtl/>
          <w:lang w:bidi="ar-MA"/>
        </w:rPr>
        <w:t>ّ</w:t>
      </w:r>
      <w:r w:rsidRPr="00282AC9">
        <w:rPr>
          <w:rFonts w:hint="cs"/>
          <w:sz w:val="27"/>
          <w:rtl/>
          <w:lang w:bidi="ar-MA"/>
        </w:rPr>
        <w:t xml:space="preserve"> </w:t>
      </w:r>
      <w:r w:rsidRPr="00282AC9">
        <w:rPr>
          <w:rFonts w:ascii="Arial" w:hAnsi="Arial" w:hint="cs"/>
          <w:sz w:val="27"/>
          <w:shd w:val="clear" w:color="auto" w:fill="FFFFFF"/>
          <w:rtl/>
          <w:lang w:bidi="ar-MA"/>
        </w:rPr>
        <w:t>فقد</w:t>
      </w:r>
      <w:r w:rsidRPr="00282AC9">
        <w:rPr>
          <w:rFonts w:ascii="Arial" w:hAnsi="Arial"/>
          <w:sz w:val="27"/>
          <w:shd w:val="clear" w:color="auto" w:fill="FFFFFF"/>
          <w:rtl/>
          <w:lang w:bidi="ar-MA"/>
        </w:rPr>
        <w:t xml:space="preserve"> قال</w:t>
      </w:r>
      <w:r w:rsidRPr="00282AC9">
        <w:rPr>
          <w:rFonts w:ascii="Arial" w:hAnsi="Arial" w:hint="cs"/>
          <w:sz w:val="27"/>
          <w:shd w:val="clear" w:color="auto" w:fill="FFFFFF"/>
          <w:rtl/>
          <w:lang w:bidi="ar-MA"/>
        </w:rPr>
        <w:t xml:space="preserve"> في ش</w:t>
      </w:r>
      <w:r w:rsidR="00860C5D" w:rsidRPr="00282AC9">
        <w:rPr>
          <w:rFonts w:ascii="Arial" w:hAnsi="Arial" w:hint="cs"/>
          <w:sz w:val="27"/>
          <w:shd w:val="clear" w:color="auto" w:fill="FFFFFF"/>
          <w:rtl/>
          <w:lang w:bidi="ar-MA"/>
        </w:rPr>
        <w:t>أ</w:t>
      </w:r>
      <w:r w:rsidRPr="00282AC9">
        <w:rPr>
          <w:rFonts w:ascii="Arial" w:hAnsi="Arial" w:hint="cs"/>
          <w:sz w:val="27"/>
          <w:shd w:val="clear" w:color="auto" w:fill="FFFFFF"/>
          <w:rtl/>
          <w:lang w:bidi="ar-MA"/>
        </w:rPr>
        <w:t>ن العربية</w:t>
      </w:r>
      <w:r w:rsidRPr="00282AC9">
        <w:rPr>
          <w:rFonts w:ascii="Arial" w:hAnsi="Arial"/>
          <w:sz w:val="27"/>
          <w:shd w:val="clear" w:color="auto" w:fill="FFFFFF"/>
          <w:rtl/>
          <w:lang w:bidi="ar-MA"/>
        </w:rPr>
        <w:t xml:space="preserve">: </w:t>
      </w:r>
      <w:r w:rsidRPr="00282AC9">
        <w:rPr>
          <w:rFonts w:hint="eastAsia"/>
          <w:sz w:val="24"/>
          <w:szCs w:val="24"/>
          <w:rtl/>
        </w:rPr>
        <w:t>«</w:t>
      </w:r>
      <w:r w:rsidRPr="00282AC9">
        <w:rPr>
          <w:rFonts w:ascii="Arial" w:hAnsi="Arial"/>
          <w:sz w:val="27"/>
          <w:shd w:val="clear" w:color="auto" w:fill="FFFFFF"/>
          <w:rtl/>
        </w:rPr>
        <w:t>كلام العرب كالميزان الذي يعرف به الزيادة والنقصان، وهو أعذب من الماء</w:t>
      </w:r>
      <w:r w:rsidR="00860C5D" w:rsidRPr="00282AC9">
        <w:rPr>
          <w:rFonts w:ascii="Arial" w:hAnsi="Arial" w:hint="cs"/>
          <w:sz w:val="27"/>
          <w:shd w:val="clear" w:color="auto" w:fill="FFFFFF"/>
          <w:rtl/>
        </w:rPr>
        <w:t>،</w:t>
      </w:r>
      <w:r w:rsidRPr="00282AC9">
        <w:rPr>
          <w:rFonts w:ascii="Arial" w:hAnsi="Arial"/>
          <w:sz w:val="27"/>
          <w:shd w:val="clear" w:color="auto" w:fill="FFFFFF"/>
          <w:rtl/>
        </w:rPr>
        <w:t xml:space="preserve"> و</w:t>
      </w:r>
      <w:r w:rsidR="00860C5D" w:rsidRPr="00282AC9">
        <w:rPr>
          <w:rFonts w:ascii="Arial" w:hAnsi="Arial" w:hint="cs"/>
          <w:sz w:val="27"/>
          <w:shd w:val="clear" w:color="auto" w:fill="FFFFFF"/>
          <w:rtl/>
        </w:rPr>
        <w:t>أ</w:t>
      </w:r>
      <w:r w:rsidRPr="00282AC9">
        <w:rPr>
          <w:rFonts w:ascii="Arial" w:hAnsi="Arial"/>
          <w:sz w:val="27"/>
          <w:shd w:val="clear" w:color="auto" w:fill="FFFFFF"/>
          <w:rtl/>
        </w:rPr>
        <w:t>رق</w:t>
      </w:r>
      <w:r w:rsidR="00860C5D" w:rsidRPr="00282AC9">
        <w:rPr>
          <w:rFonts w:ascii="Arial" w:hAnsi="Arial" w:hint="cs"/>
          <w:sz w:val="27"/>
          <w:shd w:val="clear" w:color="auto" w:fill="FFFFFF"/>
          <w:rtl/>
        </w:rPr>
        <w:t>ّ</w:t>
      </w:r>
      <w:r w:rsidRPr="00282AC9">
        <w:rPr>
          <w:rFonts w:ascii="Arial" w:hAnsi="Arial"/>
          <w:sz w:val="27"/>
          <w:shd w:val="clear" w:color="auto" w:fill="FFFFFF"/>
          <w:rtl/>
        </w:rPr>
        <w:t xml:space="preserve"> من الهواء</w:t>
      </w:r>
      <w:r w:rsidR="00860C5D" w:rsidRPr="00282AC9">
        <w:rPr>
          <w:rFonts w:ascii="Arial" w:hAnsi="Arial" w:hint="cs"/>
          <w:sz w:val="27"/>
          <w:shd w:val="clear" w:color="auto" w:fill="FFFFFF"/>
          <w:rtl/>
        </w:rPr>
        <w:t>؛</w:t>
      </w:r>
      <w:r w:rsidRPr="00282AC9">
        <w:rPr>
          <w:rFonts w:ascii="Arial" w:hAnsi="Arial"/>
          <w:sz w:val="27"/>
          <w:shd w:val="clear" w:color="auto" w:fill="FFFFFF"/>
          <w:rtl/>
        </w:rPr>
        <w:t xml:space="preserve"> ف</w:t>
      </w:r>
      <w:r w:rsidR="00860C5D" w:rsidRPr="00282AC9">
        <w:rPr>
          <w:rFonts w:ascii="Arial" w:hAnsi="Arial" w:hint="cs"/>
          <w:sz w:val="27"/>
          <w:shd w:val="clear" w:color="auto" w:fill="FFFFFF"/>
          <w:rtl/>
        </w:rPr>
        <w:t>إ</w:t>
      </w:r>
      <w:r w:rsidRPr="00282AC9">
        <w:rPr>
          <w:rFonts w:ascii="Arial" w:hAnsi="Arial"/>
          <w:sz w:val="27"/>
          <w:shd w:val="clear" w:color="auto" w:fill="FFFFFF"/>
          <w:rtl/>
        </w:rPr>
        <w:t>ن</w:t>
      </w:r>
      <w:r w:rsidR="00860C5D" w:rsidRPr="00282AC9">
        <w:rPr>
          <w:rFonts w:ascii="Arial" w:hAnsi="Arial" w:hint="cs"/>
          <w:sz w:val="27"/>
          <w:shd w:val="clear" w:color="auto" w:fill="FFFFFF"/>
          <w:rtl/>
        </w:rPr>
        <w:t>ْ</w:t>
      </w:r>
      <w:r w:rsidRPr="00282AC9">
        <w:rPr>
          <w:rFonts w:ascii="Arial" w:hAnsi="Arial"/>
          <w:sz w:val="27"/>
          <w:shd w:val="clear" w:color="auto" w:fill="FFFFFF"/>
          <w:rtl/>
        </w:rPr>
        <w:t xml:space="preserve"> فس</w:t>
      </w:r>
      <w:r w:rsidR="00860C5D" w:rsidRPr="00282AC9">
        <w:rPr>
          <w:rFonts w:ascii="Arial" w:hAnsi="Arial" w:hint="cs"/>
          <w:sz w:val="27"/>
          <w:shd w:val="clear" w:color="auto" w:fill="FFFFFF"/>
          <w:rtl/>
        </w:rPr>
        <w:t>َّ</w:t>
      </w:r>
      <w:r w:rsidRPr="00282AC9">
        <w:rPr>
          <w:rFonts w:ascii="Arial" w:hAnsi="Arial"/>
          <w:sz w:val="27"/>
          <w:shd w:val="clear" w:color="auto" w:fill="FFFFFF"/>
          <w:rtl/>
        </w:rPr>
        <w:t>رته بذاته استصعب، و</w:t>
      </w:r>
      <w:r w:rsidR="00860C5D" w:rsidRPr="00282AC9">
        <w:rPr>
          <w:rFonts w:ascii="Arial" w:hAnsi="Arial" w:hint="cs"/>
          <w:sz w:val="27"/>
          <w:shd w:val="clear" w:color="auto" w:fill="FFFFFF"/>
          <w:rtl/>
        </w:rPr>
        <w:t>إ</w:t>
      </w:r>
      <w:r w:rsidRPr="00282AC9">
        <w:rPr>
          <w:rFonts w:ascii="Arial" w:hAnsi="Arial"/>
          <w:sz w:val="27"/>
          <w:shd w:val="clear" w:color="auto" w:fill="FFFFFF"/>
          <w:rtl/>
        </w:rPr>
        <w:t>ن</w:t>
      </w:r>
      <w:r w:rsidR="00860C5D" w:rsidRPr="00282AC9">
        <w:rPr>
          <w:rFonts w:ascii="Arial" w:hAnsi="Arial" w:hint="cs"/>
          <w:sz w:val="27"/>
          <w:shd w:val="clear" w:color="auto" w:fill="FFFFFF"/>
          <w:rtl/>
        </w:rPr>
        <w:t>ْ</w:t>
      </w:r>
      <w:r w:rsidRPr="00282AC9">
        <w:rPr>
          <w:rFonts w:ascii="Arial" w:hAnsi="Arial"/>
          <w:sz w:val="27"/>
          <w:shd w:val="clear" w:color="auto" w:fill="FFFFFF"/>
          <w:rtl/>
        </w:rPr>
        <w:t xml:space="preserve"> فس</w:t>
      </w:r>
      <w:r w:rsidR="00860C5D" w:rsidRPr="00282AC9">
        <w:rPr>
          <w:rFonts w:ascii="Arial" w:hAnsi="Arial" w:hint="cs"/>
          <w:sz w:val="27"/>
          <w:shd w:val="clear" w:color="auto" w:fill="FFFFFF"/>
          <w:rtl/>
        </w:rPr>
        <w:t>َّ</w:t>
      </w:r>
      <w:r w:rsidRPr="00282AC9">
        <w:rPr>
          <w:rFonts w:ascii="Arial" w:hAnsi="Arial"/>
          <w:sz w:val="27"/>
          <w:shd w:val="clear" w:color="auto" w:fill="FFFFFF"/>
          <w:rtl/>
        </w:rPr>
        <w:t>رته بغير معناه استحال</w:t>
      </w:r>
      <w:r w:rsidR="00860C5D" w:rsidRPr="00282AC9">
        <w:rPr>
          <w:rFonts w:ascii="Arial" w:hAnsi="Arial" w:hint="cs"/>
          <w:sz w:val="27"/>
          <w:shd w:val="clear" w:color="auto" w:fill="FFFFFF"/>
          <w:rtl/>
        </w:rPr>
        <w:t>.</w:t>
      </w:r>
      <w:r w:rsidRPr="00282AC9">
        <w:rPr>
          <w:rFonts w:ascii="Arial" w:hAnsi="Arial"/>
          <w:sz w:val="27"/>
          <w:shd w:val="clear" w:color="auto" w:fill="FFFFFF"/>
          <w:rtl/>
        </w:rPr>
        <w:t xml:space="preserve"> فالعرب أشجار</w:t>
      </w:r>
      <w:r w:rsidR="00860C5D" w:rsidRPr="00282AC9">
        <w:rPr>
          <w:rFonts w:ascii="Arial" w:hAnsi="Arial" w:hint="cs"/>
          <w:sz w:val="27"/>
          <w:shd w:val="clear" w:color="auto" w:fill="FFFFFF"/>
          <w:rtl/>
        </w:rPr>
        <w:t>ٌ،</w:t>
      </w:r>
      <w:r w:rsidRPr="00282AC9">
        <w:rPr>
          <w:rFonts w:ascii="Arial" w:hAnsi="Arial"/>
          <w:sz w:val="27"/>
          <w:shd w:val="clear" w:color="auto" w:fill="FFFFFF"/>
          <w:rtl/>
        </w:rPr>
        <w:t xml:space="preserve"> وكلامهم ثمار</w:t>
      </w:r>
      <w:r w:rsidR="00860C5D" w:rsidRPr="00282AC9">
        <w:rPr>
          <w:rFonts w:ascii="Arial" w:hAnsi="Arial" w:hint="cs"/>
          <w:sz w:val="27"/>
          <w:shd w:val="clear" w:color="auto" w:fill="FFFFFF"/>
          <w:rtl/>
        </w:rPr>
        <w:t>ٌ</w:t>
      </w:r>
      <w:r w:rsidRPr="00282AC9">
        <w:rPr>
          <w:rFonts w:ascii="Arial" w:hAnsi="Arial" w:hint="cs"/>
          <w:sz w:val="27"/>
          <w:shd w:val="clear" w:color="auto" w:fill="FFFFFF"/>
          <w:rtl/>
        </w:rPr>
        <w:t>.</w:t>
      </w:r>
      <w:r w:rsidRPr="00282AC9">
        <w:rPr>
          <w:rFonts w:ascii="Times New Roman" w:hAnsi="Times New Roman"/>
          <w:sz w:val="27"/>
          <w:rtl/>
        </w:rPr>
        <w:t>..</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06"/>
      </w:r>
      <w:r w:rsidRPr="00282AC9">
        <w:rPr>
          <w:rFonts w:ascii="Times New Roman" w:hAnsi="Times New Roman"/>
          <w:sz w:val="27"/>
          <w:vertAlign w:val="superscript"/>
          <w:rtl/>
          <w:lang w:bidi="ar-MA"/>
        </w:rPr>
        <w:t>)</w:t>
      </w:r>
      <w:r w:rsidRPr="00282AC9">
        <w:rPr>
          <w:rFonts w:ascii="Times New Roman" w:hAnsi="Times New Roman"/>
          <w:sz w:val="27"/>
          <w:rtl/>
          <w:lang w:bidi="ar-MA"/>
        </w:rPr>
        <w:t>.</w:t>
      </w:r>
    </w:p>
    <w:p w:rsidR="00D722E4" w:rsidRPr="00282AC9" w:rsidRDefault="001D5DAE" w:rsidP="00460336">
      <w:pPr>
        <w:spacing w:line="420" w:lineRule="exact"/>
        <w:rPr>
          <w:rFonts w:ascii="Times New Roman" w:hAnsi="Times New Roman"/>
          <w:sz w:val="27"/>
          <w:rtl/>
          <w:lang w:bidi="ar-MA"/>
        </w:rPr>
      </w:pPr>
      <w:r w:rsidRPr="00282AC9">
        <w:rPr>
          <w:rFonts w:ascii="Times New Roman" w:hAnsi="Times New Roman" w:hint="cs"/>
          <w:sz w:val="27"/>
          <w:rtl/>
          <w:lang w:bidi="ar-MA"/>
        </w:rPr>
        <w:t xml:space="preserve">وهذا </w:t>
      </w:r>
      <w:r w:rsidR="00D722E4" w:rsidRPr="00282AC9">
        <w:rPr>
          <w:rFonts w:ascii="Times New Roman" w:hAnsi="Times New Roman" w:hint="cs"/>
          <w:sz w:val="27"/>
          <w:rtl/>
          <w:lang w:bidi="ar-MA"/>
        </w:rPr>
        <w:t>ما جعل الترابط حاضرا</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وقائما</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بين القر</w:t>
      </w:r>
      <w:r w:rsidR="00EF4A35" w:rsidRPr="00282AC9">
        <w:rPr>
          <w:rFonts w:ascii="Times New Roman" w:hAnsi="Times New Roman" w:hint="cs"/>
          <w:sz w:val="27"/>
          <w:rtl/>
          <w:lang w:bidi="ar-MA"/>
        </w:rPr>
        <w:t>آ</w:t>
      </w:r>
      <w:r w:rsidR="00D722E4" w:rsidRPr="00282AC9">
        <w:rPr>
          <w:rFonts w:ascii="Times New Roman" w:hAnsi="Times New Roman" w:hint="cs"/>
          <w:sz w:val="27"/>
          <w:rtl/>
          <w:lang w:bidi="ar-MA"/>
        </w:rPr>
        <w:t>ن الكريم واللغة العربية</w:t>
      </w:r>
      <w:r w:rsidR="00D722E4" w:rsidRPr="00282AC9">
        <w:rPr>
          <w:rFonts w:ascii="Times New Roman" w:hAnsi="Times New Roman"/>
          <w:sz w:val="27"/>
          <w:rtl/>
          <w:lang w:bidi="ar-MA"/>
        </w:rPr>
        <w:t>.</w:t>
      </w:r>
    </w:p>
    <w:p w:rsidR="00D722E4" w:rsidRPr="00282AC9" w:rsidRDefault="00D722E4" w:rsidP="00460336">
      <w:pPr>
        <w:spacing w:line="420" w:lineRule="exact"/>
        <w:rPr>
          <w:rFonts w:ascii="Arial" w:hAnsi="Arial"/>
          <w:sz w:val="27"/>
          <w:rtl/>
          <w:lang w:bidi="ar-MA"/>
        </w:rPr>
      </w:pPr>
      <w:r w:rsidRPr="00282AC9">
        <w:rPr>
          <w:rFonts w:ascii="Arial" w:hAnsi="Arial"/>
          <w:sz w:val="27"/>
          <w:rtl/>
          <w:lang w:bidi="ar-MA"/>
        </w:rPr>
        <w:t xml:space="preserve">ويعتبر علماء الأصول من </w:t>
      </w:r>
      <w:r w:rsidRPr="00282AC9">
        <w:rPr>
          <w:rFonts w:ascii="Arial" w:hAnsi="Arial" w:hint="cs"/>
          <w:sz w:val="27"/>
          <w:rtl/>
          <w:lang w:bidi="ar-MA"/>
        </w:rPr>
        <w:t>أوائل العلماء</w:t>
      </w:r>
      <w:r w:rsidRPr="00282AC9">
        <w:rPr>
          <w:rFonts w:ascii="Arial" w:hAnsi="Arial"/>
          <w:sz w:val="27"/>
          <w:rtl/>
          <w:lang w:bidi="ar-MA"/>
        </w:rPr>
        <w:t xml:space="preserve"> الذين احتضنوا الدراسات اللغوية</w:t>
      </w:r>
      <w:r w:rsidRPr="00282AC9">
        <w:rPr>
          <w:rFonts w:ascii="Arial" w:hAnsi="Arial" w:hint="cs"/>
          <w:sz w:val="27"/>
          <w:rtl/>
          <w:lang w:bidi="ar-MA"/>
        </w:rPr>
        <w:t xml:space="preserve"> والدلالية</w:t>
      </w:r>
      <w:r w:rsidR="001D5DAE" w:rsidRPr="00282AC9">
        <w:rPr>
          <w:rFonts w:ascii="Arial" w:hAnsi="Arial" w:hint="cs"/>
          <w:sz w:val="27"/>
          <w:rtl/>
          <w:lang w:bidi="ar-MA"/>
        </w:rPr>
        <w:t>؛</w:t>
      </w:r>
      <w:r w:rsidRPr="00282AC9">
        <w:rPr>
          <w:rFonts w:ascii="Arial" w:hAnsi="Arial"/>
          <w:sz w:val="27"/>
          <w:rtl/>
          <w:lang w:bidi="ar-MA"/>
        </w:rPr>
        <w:t xml:space="preserve"> ف</w:t>
      </w:r>
      <w:r w:rsidR="001D5DAE" w:rsidRPr="00282AC9">
        <w:rPr>
          <w:rFonts w:ascii="Arial" w:hAnsi="Arial" w:hint="cs"/>
          <w:sz w:val="27"/>
          <w:rtl/>
          <w:lang w:bidi="ar-MA"/>
        </w:rPr>
        <w:t>أ</w:t>
      </w:r>
      <w:r w:rsidRPr="00282AC9">
        <w:rPr>
          <w:rFonts w:ascii="Arial" w:hAnsi="Arial"/>
          <w:sz w:val="27"/>
          <w:rtl/>
          <w:lang w:bidi="ar-MA"/>
        </w:rPr>
        <w:t xml:space="preserve">غلب المصادر </w:t>
      </w:r>
      <w:r w:rsidRPr="00282AC9">
        <w:rPr>
          <w:rFonts w:ascii="Arial" w:hAnsi="Arial" w:hint="cs"/>
          <w:sz w:val="27"/>
          <w:rtl/>
          <w:lang w:bidi="ar-MA"/>
        </w:rPr>
        <w:t>الأصولية احتضن</w:t>
      </w:r>
      <w:r w:rsidR="001D5DAE" w:rsidRPr="00282AC9">
        <w:rPr>
          <w:rFonts w:ascii="Arial" w:hAnsi="Arial" w:hint="cs"/>
          <w:sz w:val="27"/>
          <w:rtl/>
          <w:lang w:bidi="ar-MA"/>
        </w:rPr>
        <w:t>َ</w:t>
      </w:r>
      <w:r w:rsidRPr="00282AC9">
        <w:rPr>
          <w:rFonts w:ascii="Arial" w:hAnsi="Arial" w:hint="cs"/>
          <w:sz w:val="27"/>
          <w:rtl/>
          <w:lang w:bidi="ar-MA"/>
        </w:rPr>
        <w:t>ت</w:t>
      </w:r>
      <w:r w:rsidR="001D5DAE" w:rsidRPr="00282AC9">
        <w:rPr>
          <w:rFonts w:ascii="Arial" w:hAnsi="Arial" w:hint="cs"/>
          <w:sz w:val="27"/>
          <w:rtl/>
          <w:lang w:bidi="ar-MA"/>
        </w:rPr>
        <w:t>ْ</w:t>
      </w:r>
      <w:r w:rsidRPr="00282AC9">
        <w:rPr>
          <w:rFonts w:ascii="Arial" w:hAnsi="Arial" w:hint="cs"/>
          <w:sz w:val="27"/>
          <w:rtl/>
          <w:lang w:bidi="ar-MA"/>
        </w:rPr>
        <w:t xml:space="preserve"> المباحث اللغوية والدلالية، بحيث لا نجد تراثا</w:t>
      </w:r>
      <w:r w:rsidR="001D5DAE" w:rsidRPr="00282AC9">
        <w:rPr>
          <w:rFonts w:ascii="Arial" w:hAnsi="Arial" w:hint="cs"/>
          <w:sz w:val="27"/>
          <w:rtl/>
          <w:lang w:bidi="ar-MA"/>
        </w:rPr>
        <w:t>ً</w:t>
      </w:r>
      <w:r w:rsidRPr="00282AC9">
        <w:rPr>
          <w:rFonts w:ascii="Arial" w:hAnsi="Arial" w:hint="cs"/>
          <w:sz w:val="27"/>
          <w:rtl/>
          <w:lang w:bidi="ar-MA"/>
        </w:rPr>
        <w:t xml:space="preserve"> أصولي</w:t>
      </w:r>
      <w:r w:rsidR="001D5DAE" w:rsidRPr="00282AC9">
        <w:rPr>
          <w:rFonts w:ascii="Arial" w:hAnsi="Arial" w:hint="cs"/>
          <w:sz w:val="27"/>
          <w:rtl/>
          <w:lang w:bidi="ar-MA"/>
        </w:rPr>
        <w:t>ّ</w:t>
      </w:r>
      <w:r w:rsidRPr="00282AC9">
        <w:rPr>
          <w:rFonts w:ascii="Arial" w:hAnsi="Arial" w:hint="cs"/>
          <w:sz w:val="27"/>
          <w:rtl/>
          <w:lang w:bidi="ar-MA"/>
        </w:rPr>
        <w:t>ا</w:t>
      </w:r>
      <w:r w:rsidR="001D5DAE" w:rsidRPr="00282AC9">
        <w:rPr>
          <w:rFonts w:ascii="Arial" w:hAnsi="Arial" w:hint="cs"/>
          <w:sz w:val="27"/>
          <w:rtl/>
          <w:lang w:bidi="ar-MA"/>
        </w:rPr>
        <w:t>ً</w:t>
      </w:r>
      <w:r w:rsidRPr="00282AC9">
        <w:rPr>
          <w:rFonts w:ascii="Arial" w:hAnsi="Arial" w:hint="cs"/>
          <w:sz w:val="27"/>
          <w:rtl/>
          <w:lang w:bidi="ar-MA"/>
        </w:rPr>
        <w:t xml:space="preserve"> لا يحمل المباحث ذات الصلة بالمباحث اللغوية</w:t>
      </w:r>
      <w:r w:rsidRPr="00282AC9">
        <w:rPr>
          <w:rFonts w:ascii="Arial" w:hAnsi="Arial"/>
          <w:sz w:val="27"/>
          <w:vertAlign w:val="superscript"/>
          <w:rtl/>
          <w:lang w:bidi="ar-MA"/>
        </w:rPr>
        <w:t>(</w:t>
      </w:r>
      <w:r w:rsidRPr="00282AC9">
        <w:rPr>
          <w:rStyle w:val="af9"/>
          <w:rFonts w:ascii="Arial" w:hAnsi="Arial"/>
          <w:sz w:val="27"/>
          <w:rtl/>
          <w:lang w:bidi="ar-MA"/>
        </w:rPr>
        <w:endnoteReference w:id="707"/>
      </w:r>
      <w:r w:rsidRPr="00282AC9">
        <w:rPr>
          <w:rFonts w:ascii="Arial" w:hAnsi="Arial"/>
          <w:sz w:val="27"/>
          <w:vertAlign w:val="superscript"/>
          <w:rtl/>
          <w:lang w:bidi="ar-MA"/>
        </w:rPr>
        <w:t>)</w:t>
      </w:r>
      <w:r w:rsidRPr="00282AC9">
        <w:rPr>
          <w:rFonts w:ascii="Arial" w:hAnsi="Arial" w:hint="cs"/>
          <w:sz w:val="27"/>
          <w:rtl/>
          <w:lang w:bidi="ar-MA"/>
        </w:rPr>
        <w:t>.</w:t>
      </w:r>
    </w:p>
    <w:p w:rsidR="00D722E4" w:rsidRPr="00282AC9" w:rsidRDefault="001D5DAE" w:rsidP="00460336">
      <w:pPr>
        <w:spacing w:line="420" w:lineRule="exact"/>
        <w:rPr>
          <w:rFonts w:ascii="Arial" w:hAnsi="Arial"/>
          <w:sz w:val="27"/>
          <w:rtl/>
          <w:lang w:bidi="ar-MA"/>
        </w:rPr>
      </w:pPr>
      <w:r w:rsidRPr="00282AC9">
        <w:rPr>
          <w:rFonts w:ascii="Arial" w:hAnsi="Arial" w:hint="cs"/>
          <w:sz w:val="27"/>
          <w:rtl/>
          <w:lang w:bidi="ar-MA"/>
        </w:rPr>
        <w:t>و</w:t>
      </w:r>
      <w:r w:rsidR="00D722E4" w:rsidRPr="00282AC9">
        <w:rPr>
          <w:rFonts w:ascii="Arial" w:hAnsi="Arial" w:hint="cs"/>
          <w:sz w:val="27"/>
          <w:rtl/>
          <w:lang w:bidi="ar-MA"/>
        </w:rPr>
        <w:t>في هذا المعنى قال إمام الحرمين</w:t>
      </w:r>
      <w:r w:rsidRPr="00282AC9">
        <w:rPr>
          <w:rFonts w:ascii="Arial" w:hAnsi="Arial" w:hint="cs"/>
          <w:sz w:val="27"/>
          <w:rtl/>
          <w:lang w:bidi="ar-MA"/>
        </w:rPr>
        <w:t>،</w:t>
      </w:r>
      <w:r w:rsidR="00D722E4" w:rsidRPr="00282AC9">
        <w:rPr>
          <w:rFonts w:ascii="Arial" w:hAnsi="Arial" w:hint="cs"/>
          <w:sz w:val="27"/>
          <w:rtl/>
          <w:lang w:bidi="ar-MA"/>
        </w:rPr>
        <w:t xml:space="preserve"> صاحب البرهان: </w:t>
      </w:r>
      <w:r w:rsidR="00D722E4" w:rsidRPr="00282AC9">
        <w:rPr>
          <w:rFonts w:hint="eastAsia"/>
          <w:sz w:val="24"/>
          <w:szCs w:val="24"/>
          <w:rtl/>
          <w:lang w:bidi="ar-MA"/>
        </w:rPr>
        <w:t>«</w:t>
      </w:r>
      <w:r w:rsidR="00D722E4" w:rsidRPr="00282AC9">
        <w:rPr>
          <w:rFonts w:ascii="Arial" w:hAnsi="Arial" w:hint="cs"/>
          <w:sz w:val="27"/>
          <w:rtl/>
          <w:lang w:bidi="ar-MA"/>
        </w:rPr>
        <w:t>اعل</w:t>
      </w:r>
      <w:r w:rsidRPr="00282AC9">
        <w:rPr>
          <w:rFonts w:ascii="Arial" w:hAnsi="Arial" w:hint="cs"/>
          <w:sz w:val="27"/>
          <w:rtl/>
          <w:lang w:bidi="ar-MA"/>
        </w:rPr>
        <w:t>َ</w:t>
      </w:r>
      <w:r w:rsidR="00D722E4" w:rsidRPr="00282AC9">
        <w:rPr>
          <w:rFonts w:ascii="Arial" w:hAnsi="Arial" w:hint="cs"/>
          <w:sz w:val="27"/>
          <w:rtl/>
          <w:lang w:bidi="ar-MA"/>
        </w:rPr>
        <w:t>م</w:t>
      </w:r>
      <w:r w:rsidRPr="00282AC9">
        <w:rPr>
          <w:rFonts w:ascii="Arial" w:hAnsi="Arial" w:hint="cs"/>
          <w:sz w:val="27"/>
          <w:rtl/>
          <w:lang w:bidi="ar-MA"/>
        </w:rPr>
        <w:t>ْ</w:t>
      </w:r>
      <w:r w:rsidR="00D722E4" w:rsidRPr="00282AC9">
        <w:rPr>
          <w:rFonts w:ascii="Arial" w:hAnsi="Arial" w:hint="cs"/>
          <w:sz w:val="27"/>
          <w:rtl/>
          <w:lang w:bidi="ar-MA"/>
        </w:rPr>
        <w:t xml:space="preserve"> أن معظم الكلام في أصول الفقه يتعل</w:t>
      </w:r>
      <w:r w:rsidRPr="00282AC9">
        <w:rPr>
          <w:rFonts w:ascii="Arial" w:hAnsi="Arial" w:hint="cs"/>
          <w:sz w:val="27"/>
          <w:rtl/>
          <w:lang w:bidi="ar-MA"/>
        </w:rPr>
        <w:t>َّ</w:t>
      </w:r>
      <w:r w:rsidR="00D722E4" w:rsidRPr="00282AC9">
        <w:rPr>
          <w:rFonts w:ascii="Arial" w:hAnsi="Arial" w:hint="cs"/>
          <w:sz w:val="27"/>
          <w:rtl/>
          <w:lang w:bidi="ar-MA"/>
        </w:rPr>
        <w:t>ق بالألفاظ والمعاني</w:t>
      </w:r>
      <w:r w:rsidR="00D722E4" w:rsidRPr="00282AC9">
        <w:rPr>
          <w:rFonts w:hint="eastAsia"/>
          <w:sz w:val="24"/>
          <w:szCs w:val="24"/>
          <w:rtl/>
        </w:rPr>
        <w:t>»</w:t>
      </w:r>
      <w:r w:rsidR="00D722E4" w:rsidRPr="00282AC9">
        <w:rPr>
          <w:rFonts w:ascii="Arial" w:hAnsi="Arial" w:hint="cs"/>
          <w:sz w:val="27"/>
          <w:rtl/>
          <w:lang w:bidi="ar-MA"/>
        </w:rPr>
        <w:t>.</w:t>
      </w:r>
    </w:p>
    <w:p w:rsidR="00D722E4" w:rsidRPr="00282AC9" w:rsidRDefault="00D722E4" w:rsidP="00EF4A35">
      <w:pPr>
        <w:pStyle w:val="31"/>
        <w:rPr>
          <w:color w:val="auto"/>
          <w:rtl/>
          <w:lang w:bidi="ar-MA"/>
        </w:rPr>
      </w:pPr>
      <w:r w:rsidRPr="00282AC9">
        <w:rPr>
          <w:color w:val="auto"/>
          <w:rtl/>
          <w:lang w:bidi="ar-MA"/>
        </w:rPr>
        <w:lastRenderedPageBreak/>
        <w:t xml:space="preserve">اللغة في كتب علم </w:t>
      </w:r>
      <w:r w:rsidRPr="00282AC9">
        <w:rPr>
          <w:rFonts w:hint="cs"/>
          <w:color w:val="auto"/>
          <w:rtl/>
          <w:lang w:bidi="ar-MA"/>
        </w:rPr>
        <w:t>أ</w:t>
      </w:r>
      <w:r w:rsidRPr="00282AC9">
        <w:rPr>
          <w:color w:val="auto"/>
          <w:rtl/>
          <w:lang w:bidi="ar-MA"/>
        </w:rPr>
        <w:t>صول الفقه</w:t>
      </w:r>
    </w:p>
    <w:p w:rsidR="00D722E4" w:rsidRPr="00282AC9" w:rsidRDefault="00D722E4" w:rsidP="003062B7">
      <w:pPr>
        <w:spacing w:line="406" w:lineRule="exact"/>
        <w:rPr>
          <w:rFonts w:ascii="Times New Roman" w:hAnsi="Times New Roman"/>
          <w:sz w:val="27"/>
          <w:rtl/>
          <w:lang w:bidi="ar-MA"/>
        </w:rPr>
      </w:pPr>
      <w:r w:rsidRPr="00282AC9">
        <w:rPr>
          <w:rFonts w:ascii="Times New Roman" w:hAnsi="Times New Roman"/>
          <w:sz w:val="27"/>
          <w:rtl/>
        </w:rPr>
        <w:t>بحكم عربي</w:t>
      </w:r>
      <w:r w:rsidR="00E409E1" w:rsidRPr="00282AC9">
        <w:rPr>
          <w:rFonts w:ascii="Times New Roman" w:hAnsi="Times New Roman" w:hint="cs"/>
          <w:sz w:val="27"/>
          <w:rtl/>
        </w:rPr>
        <w:t>ّ</w:t>
      </w:r>
      <w:r w:rsidRPr="00282AC9">
        <w:rPr>
          <w:rFonts w:ascii="Times New Roman" w:hAnsi="Times New Roman"/>
          <w:sz w:val="27"/>
          <w:rtl/>
        </w:rPr>
        <w:t>ة الشريعة الإسلامية، وبحكم نزولها وفق مقتضيات اللغة العربي</w:t>
      </w:r>
      <w:r w:rsidR="00E409E1" w:rsidRPr="00282AC9">
        <w:rPr>
          <w:rFonts w:ascii="Times New Roman" w:hAnsi="Times New Roman" w:hint="cs"/>
          <w:sz w:val="27"/>
          <w:rtl/>
        </w:rPr>
        <w:t>ّ</w:t>
      </w:r>
      <w:r w:rsidRPr="00282AC9">
        <w:rPr>
          <w:rFonts w:ascii="Times New Roman" w:hAnsi="Times New Roman"/>
          <w:sz w:val="27"/>
          <w:rtl/>
        </w:rPr>
        <w:t>ة، وأساليبها في التعبير</w:t>
      </w:r>
      <w:r w:rsidR="00E409E1" w:rsidRPr="00282AC9">
        <w:rPr>
          <w:rFonts w:ascii="Times New Roman" w:hAnsi="Times New Roman" w:hint="cs"/>
          <w:sz w:val="27"/>
          <w:rtl/>
        </w:rPr>
        <w:t xml:space="preserve">، </w:t>
      </w:r>
      <w:r w:rsidRPr="00282AC9">
        <w:rPr>
          <w:rFonts w:ascii="Times New Roman" w:hAnsi="Times New Roman"/>
          <w:sz w:val="27"/>
          <w:rtl/>
        </w:rPr>
        <w:t>كان ضرور</w:t>
      </w:r>
      <w:r w:rsidR="00E409E1" w:rsidRPr="00282AC9">
        <w:rPr>
          <w:rFonts w:ascii="Times New Roman" w:hAnsi="Times New Roman" w:hint="cs"/>
          <w:sz w:val="27"/>
          <w:rtl/>
        </w:rPr>
        <w:t>يّاً</w:t>
      </w:r>
      <w:r w:rsidRPr="00282AC9">
        <w:rPr>
          <w:rFonts w:ascii="Times New Roman" w:hAnsi="Times New Roman"/>
          <w:sz w:val="27"/>
          <w:rtl/>
        </w:rPr>
        <w:t xml:space="preserve"> ول</w:t>
      </w:r>
      <w:r w:rsidR="00E409E1" w:rsidRPr="00282AC9">
        <w:rPr>
          <w:rFonts w:ascii="Times New Roman" w:hAnsi="Times New Roman" w:hint="cs"/>
          <w:sz w:val="27"/>
          <w:rtl/>
        </w:rPr>
        <w:t>ا</w:t>
      </w:r>
      <w:r w:rsidRPr="00282AC9">
        <w:rPr>
          <w:rFonts w:ascii="Times New Roman" w:hAnsi="Times New Roman"/>
          <w:sz w:val="27"/>
          <w:rtl/>
        </w:rPr>
        <w:t>زما</w:t>
      </w:r>
      <w:r w:rsidR="00E409E1" w:rsidRPr="00282AC9">
        <w:rPr>
          <w:rFonts w:ascii="Times New Roman" w:hAnsi="Times New Roman" w:hint="cs"/>
          <w:sz w:val="27"/>
          <w:rtl/>
        </w:rPr>
        <w:t>ً</w:t>
      </w:r>
      <w:r w:rsidR="00E409E1" w:rsidRPr="00282AC9">
        <w:rPr>
          <w:rFonts w:ascii="Times New Roman" w:hAnsi="Times New Roman"/>
          <w:sz w:val="27"/>
          <w:rtl/>
        </w:rPr>
        <w:t xml:space="preserve"> على المفتي و</w:t>
      </w:r>
      <w:r w:rsidRPr="00282AC9">
        <w:rPr>
          <w:rFonts w:ascii="Times New Roman" w:hAnsi="Times New Roman"/>
          <w:sz w:val="27"/>
          <w:rtl/>
        </w:rPr>
        <w:t>متفه</w:t>
      </w:r>
      <w:r w:rsidR="00E409E1" w:rsidRPr="00282AC9">
        <w:rPr>
          <w:rFonts w:ascii="Times New Roman" w:hAnsi="Times New Roman" w:hint="cs"/>
          <w:sz w:val="27"/>
          <w:rtl/>
        </w:rPr>
        <w:t>ِّ</w:t>
      </w:r>
      <w:r w:rsidRPr="00282AC9">
        <w:rPr>
          <w:rFonts w:ascii="Times New Roman" w:hAnsi="Times New Roman"/>
          <w:sz w:val="27"/>
          <w:rtl/>
        </w:rPr>
        <w:t>م النص</w:t>
      </w:r>
      <w:r w:rsidR="00E409E1" w:rsidRPr="00282AC9">
        <w:rPr>
          <w:rFonts w:ascii="Times New Roman" w:hAnsi="Times New Roman" w:hint="cs"/>
          <w:sz w:val="27"/>
          <w:rtl/>
        </w:rPr>
        <w:t>ّ</w:t>
      </w:r>
      <w:r w:rsidRPr="00282AC9">
        <w:rPr>
          <w:rFonts w:ascii="Times New Roman" w:hAnsi="Times New Roman"/>
          <w:sz w:val="27"/>
          <w:rtl/>
        </w:rPr>
        <w:t xml:space="preserve"> والمستدل</w:t>
      </w:r>
      <w:r w:rsidR="00E409E1" w:rsidRPr="00282AC9">
        <w:rPr>
          <w:rFonts w:ascii="Times New Roman" w:hAnsi="Times New Roman" w:hint="cs"/>
          <w:sz w:val="27"/>
          <w:rtl/>
        </w:rPr>
        <w:t>ّ</w:t>
      </w:r>
      <w:r w:rsidRPr="00282AC9">
        <w:rPr>
          <w:rFonts w:ascii="Times New Roman" w:hAnsi="Times New Roman"/>
          <w:sz w:val="27"/>
          <w:rtl/>
        </w:rPr>
        <w:t xml:space="preserve"> ومستنبط الأحكام </w:t>
      </w:r>
      <w:r w:rsidRPr="00282AC9">
        <w:rPr>
          <w:rFonts w:ascii="Times New Roman" w:hAnsi="Times New Roman" w:hint="cs"/>
          <w:sz w:val="27"/>
          <w:rtl/>
        </w:rPr>
        <w:t>الشرعية من النص</w:t>
      </w:r>
      <w:r w:rsidR="00E409E1" w:rsidRPr="00282AC9">
        <w:rPr>
          <w:rFonts w:ascii="Times New Roman" w:hAnsi="Times New Roman" w:hint="cs"/>
          <w:sz w:val="27"/>
          <w:rtl/>
        </w:rPr>
        <w:t>ّ</w:t>
      </w:r>
      <w:r w:rsidRPr="00282AC9">
        <w:rPr>
          <w:rFonts w:ascii="Times New Roman" w:hAnsi="Times New Roman" w:hint="cs"/>
          <w:sz w:val="27"/>
          <w:rtl/>
        </w:rPr>
        <w:t xml:space="preserve"> </w:t>
      </w:r>
      <w:r w:rsidR="00E409E1" w:rsidRPr="00282AC9">
        <w:rPr>
          <w:rFonts w:ascii="Times New Roman" w:hAnsi="Times New Roman" w:hint="cs"/>
          <w:sz w:val="27"/>
          <w:rtl/>
        </w:rPr>
        <w:t>أ</w:t>
      </w:r>
      <w:r w:rsidRPr="00282AC9">
        <w:rPr>
          <w:rFonts w:ascii="Times New Roman" w:hAnsi="Times New Roman"/>
          <w:sz w:val="27"/>
          <w:rtl/>
        </w:rPr>
        <w:t>ن يتمك</w:t>
      </w:r>
      <w:r w:rsidR="00E409E1" w:rsidRPr="00282AC9">
        <w:rPr>
          <w:rFonts w:ascii="Times New Roman" w:hAnsi="Times New Roman" w:hint="cs"/>
          <w:sz w:val="27"/>
          <w:rtl/>
        </w:rPr>
        <w:t>َّ</w:t>
      </w:r>
      <w:r w:rsidRPr="00282AC9">
        <w:rPr>
          <w:rFonts w:ascii="Times New Roman" w:hAnsi="Times New Roman"/>
          <w:sz w:val="27"/>
          <w:rtl/>
        </w:rPr>
        <w:t>ن من اللغة العربية، ومن جميع مكو</w:t>
      </w:r>
      <w:r w:rsidR="00E409E1" w:rsidRPr="00282AC9">
        <w:rPr>
          <w:rFonts w:ascii="Times New Roman" w:hAnsi="Times New Roman" w:hint="cs"/>
          <w:sz w:val="27"/>
          <w:rtl/>
        </w:rPr>
        <w:t>ّ</w:t>
      </w:r>
      <w:r w:rsidRPr="00282AC9">
        <w:rPr>
          <w:rFonts w:ascii="Times New Roman" w:hAnsi="Times New Roman"/>
          <w:sz w:val="27"/>
          <w:rtl/>
        </w:rPr>
        <w:t>ناتها</w:t>
      </w:r>
      <w:r w:rsidRPr="00282AC9">
        <w:rPr>
          <w:rFonts w:ascii="Times New Roman" w:hAnsi="Times New Roman" w:hint="cs"/>
          <w:sz w:val="27"/>
          <w:rtl/>
        </w:rPr>
        <w:t xml:space="preserve"> وأدواتها،</w:t>
      </w:r>
      <w:r w:rsidRPr="00282AC9">
        <w:rPr>
          <w:rFonts w:ascii="Times New Roman" w:hAnsi="Times New Roman"/>
          <w:sz w:val="27"/>
          <w:rtl/>
        </w:rPr>
        <w:t xml:space="preserve"> وعناصرها ومستوياتها</w:t>
      </w:r>
      <w:r w:rsidRPr="00282AC9">
        <w:rPr>
          <w:rFonts w:ascii="Times New Roman" w:hAnsi="Times New Roman"/>
          <w:sz w:val="27"/>
          <w:vertAlign w:val="superscript"/>
          <w:rtl/>
        </w:rPr>
        <w:t>(</w:t>
      </w:r>
      <w:r w:rsidRPr="00282AC9">
        <w:rPr>
          <w:rStyle w:val="af9"/>
          <w:rFonts w:ascii="Times New Roman" w:hAnsi="Times New Roman"/>
          <w:sz w:val="27"/>
          <w:rtl/>
        </w:rPr>
        <w:endnoteReference w:id="708"/>
      </w:r>
      <w:r w:rsidRPr="00282AC9">
        <w:rPr>
          <w:rFonts w:ascii="Times New Roman" w:hAnsi="Times New Roman"/>
          <w:sz w:val="27"/>
          <w:vertAlign w:val="superscript"/>
          <w:rtl/>
        </w:rPr>
        <w:t>)</w:t>
      </w:r>
      <w:r w:rsidRPr="00282AC9">
        <w:rPr>
          <w:rFonts w:ascii="Times New Roman" w:hAnsi="Times New Roman" w:hint="cs"/>
          <w:sz w:val="27"/>
          <w:rtl/>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والسبب في حضور اللغة في مدو</w:t>
      </w:r>
      <w:r w:rsidR="00E409E1" w:rsidRPr="00282AC9">
        <w:rPr>
          <w:rFonts w:ascii="Times New Roman" w:hAnsi="Times New Roman" w:hint="cs"/>
          <w:sz w:val="27"/>
          <w:rtl/>
          <w:lang w:bidi="ar-MA"/>
        </w:rPr>
        <w:t>ّ</w:t>
      </w:r>
      <w:r w:rsidRPr="00282AC9">
        <w:rPr>
          <w:rFonts w:ascii="Times New Roman" w:hAnsi="Times New Roman"/>
          <w:sz w:val="27"/>
          <w:rtl/>
          <w:lang w:bidi="ar-MA"/>
        </w:rPr>
        <w:t>نات علم أصول الفقه يعود</w:t>
      </w:r>
      <w:r w:rsidR="00E409E1" w:rsidRPr="00282AC9">
        <w:rPr>
          <w:rFonts w:ascii="Times New Roman" w:hAnsi="Times New Roman" w:hint="cs"/>
          <w:sz w:val="27"/>
          <w:rtl/>
          <w:lang w:bidi="ar-MA"/>
        </w:rPr>
        <w:t xml:space="preserve"> إلى</w:t>
      </w:r>
      <w:r w:rsidRPr="00282AC9">
        <w:rPr>
          <w:rFonts w:ascii="Times New Roman" w:hAnsi="Times New Roman"/>
          <w:sz w:val="27"/>
          <w:rtl/>
          <w:lang w:bidi="ar-MA"/>
        </w:rPr>
        <w:t xml:space="preserve"> </w:t>
      </w:r>
      <w:r w:rsidRPr="00282AC9">
        <w:rPr>
          <w:rFonts w:hint="eastAsia"/>
          <w:sz w:val="24"/>
          <w:szCs w:val="24"/>
          <w:rtl/>
          <w:lang w:bidi="ar-MA"/>
        </w:rPr>
        <w:t>«</w:t>
      </w:r>
      <w:r w:rsidRPr="00282AC9">
        <w:rPr>
          <w:rFonts w:ascii="Times New Roman" w:hAnsi="Times New Roman"/>
          <w:sz w:val="27"/>
          <w:rtl/>
          <w:lang w:bidi="ar-MA"/>
        </w:rPr>
        <w:t>أن الشريعة جاء</w:t>
      </w:r>
      <w:r w:rsidR="00E409E1" w:rsidRPr="00282AC9">
        <w:rPr>
          <w:rFonts w:ascii="Times New Roman" w:hAnsi="Times New Roman" w:hint="cs"/>
          <w:sz w:val="27"/>
          <w:rtl/>
          <w:lang w:bidi="ar-MA"/>
        </w:rPr>
        <w:t>َ</w:t>
      </w:r>
      <w:r w:rsidRPr="00282AC9">
        <w:rPr>
          <w:rFonts w:ascii="Times New Roman" w:hAnsi="Times New Roman"/>
          <w:sz w:val="27"/>
          <w:rtl/>
          <w:lang w:bidi="ar-MA"/>
        </w:rPr>
        <w:t>ت</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بلغة العرب</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وكل</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شريعة</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لا تظهر إلا</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بلغة</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hint="eastAsia"/>
          <w:sz w:val="24"/>
          <w:szCs w:val="24"/>
          <w:rtl/>
          <w:lang w:bidi="ar-MA"/>
        </w:rPr>
        <w:t>«</w:t>
      </w:r>
      <w:r w:rsidRPr="00282AC9">
        <w:rPr>
          <w:rFonts w:ascii="Times New Roman" w:hAnsi="Times New Roman"/>
          <w:sz w:val="27"/>
          <w:rtl/>
          <w:lang w:bidi="ar-MA"/>
        </w:rPr>
        <w:t>فيصير تعل</w:t>
      </w:r>
      <w:r w:rsidR="00E409E1" w:rsidRPr="00282AC9">
        <w:rPr>
          <w:rFonts w:ascii="Times New Roman" w:hAnsi="Times New Roman" w:hint="cs"/>
          <w:sz w:val="27"/>
          <w:rtl/>
          <w:lang w:bidi="ar-MA"/>
        </w:rPr>
        <w:t>ُّ</w:t>
      </w:r>
      <w:r w:rsidRPr="00282AC9">
        <w:rPr>
          <w:rFonts w:ascii="Times New Roman" w:hAnsi="Times New Roman"/>
          <w:sz w:val="27"/>
          <w:rtl/>
          <w:lang w:bidi="ar-MA"/>
        </w:rPr>
        <w:t>م تلك اللغة من الضروريات</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09"/>
      </w:r>
      <w:r w:rsidRPr="00282AC9">
        <w:rPr>
          <w:rFonts w:ascii="Times New Roman" w:hAnsi="Times New Roman"/>
          <w:sz w:val="27"/>
          <w:vertAlign w:val="superscript"/>
          <w:rtl/>
          <w:lang w:bidi="ar-MA"/>
        </w:rPr>
        <w:t>)</w:t>
      </w:r>
      <w:r w:rsidR="00E409E1"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 xml:space="preserve">إذ </w:t>
      </w:r>
      <w:r w:rsidR="00E409E1" w:rsidRPr="00282AC9">
        <w:rPr>
          <w:rFonts w:ascii="Times New Roman" w:hAnsi="Times New Roman" w:hint="cs"/>
          <w:sz w:val="27"/>
          <w:rtl/>
          <w:lang w:bidi="ar-MA"/>
        </w:rPr>
        <w:t>إ</w:t>
      </w:r>
      <w:r w:rsidRPr="00282AC9">
        <w:rPr>
          <w:rFonts w:ascii="Times New Roman" w:hAnsi="Times New Roman"/>
          <w:sz w:val="27"/>
          <w:rtl/>
          <w:lang w:bidi="ar-MA"/>
        </w:rPr>
        <w:t>ن القر</w:t>
      </w:r>
      <w:r w:rsidR="00E409E1" w:rsidRPr="00282AC9">
        <w:rPr>
          <w:rFonts w:ascii="Times New Roman" w:hAnsi="Times New Roman" w:hint="cs"/>
          <w:sz w:val="27"/>
          <w:rtl/>
          <w:lang w:bidi="ar-MA"/>
        </w:rPr>
        <w:t>آ</w:t>
      </w:r>
      <w:r w:rsidRPr="00282AC9">
        <w:rPr>
          <w:rFonts w:ascii="Times New Roman" w:hAnsi="Times New Roman"/>
          <w:sz w:val="27"/>
          <w:rtl/>
          <w:lang w:bidi="ar-MA"/>
        </w:rPr>
        <w:t>ن الكريم والسن</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ة النبوية </w:t>
      </w:r>
      <w:r w:rsidRPr="00282AC9">
        <w:rPr>
          <w:rFonts w:hint="eastAsia"/>
          <w:sz w:val="24"/>
          <w:szCs w:val="24"/>
          <w:rtl/>
          <w:lang w:bidi="ar-MA"/>
        </w:rPr>
        <w:t>«</w:t>
      </w:r>
      <w:r w:rsidRPr="00282AC9">
        <w:rPr>
          <w:rFonts w:ascii="Times New Roman" w:hAnsi="Times New Roman"/>
          <w:sz w:val="27"/>
          <w:rtl/>
          <w:lang w:bidi="ar-MA"/>
        </w:rPr>
        <w:t>لم</w:t>
      </w:r>
      <w:r w:rsidR="00E409E1" w:rsidRPr="00282AC9">
        <w:rPr>
          <w:rFonts w:ascii="Times New Roman" w:hAnsi="Times New Roman" w:hint="cs"/>
          <w:sz w:val="27"/>
          <w:rtl/>
          <w:lang w:bidi="ar-MA"/>
        </w:rPr>
        <w:t>ّ</w:t>
      </w:r>
      <w:r w:rsidRPr="00282AC9">
        <w:rPr>
          <w:rFonts w:ascii="Times New Roman" w:hAnsi="Times New Roman"/>
          <w:sz w:val="27"/>
          <w:rtl/>
          <w:lang w:bidi="ar-MA"/>
        </w:rPr>
        <w:t>ا كانا عربي</w:t>
      </w:r>
      <w:r w:rsidR="00E409E1" w:rsidRPr="00282AC9">
        <w:rPr>
          <w:rFonts w:ascii="Times New Roman" w:hAnsi="Times New Roman" w:hint="cs"/>
          <w:sz w:val="27"/>
          <w:rtl/>
          <w:lang w:bidi="ar-MA"/>
        </w:rPr>
        <w:t>ّ</w:t>
      </w:r>
      <w:r w:rsidRPr="00282AC9">
        <w:rPr>
          <w:rFonts w:ascii="Times New Roman" w:hAnsi="Times New Roman"/>
          <w:sz w:val="27"/>
          <w:rtl/>
          <w:lang w:bidi="ar-MA"/>
        </w:rPr>
        <w:t>ين لم يكن لينظر فيهما إلا</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عربي</w:t>
      </w:r>
      <w:r w:rsidR="00E409E1" w:rsidRPr="00282AC9">
        <w:rPr>
          <w:rFonts w:ascii="Times New Roman" w:hAnsi="Times New Roman" w:hint="cs"/>
          <w:sz w:val="27"/>
          <w:rtl/>
          <w:lang w:bidi="ar-MA"/>
        </w:rPr>
        <w:t>ّ</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10"/>
      </w:r>
      <w:r w:rsidRPr="00282AC9">
        <w:rPr>
          <w:rFonts w:ascii="Times New Roman" w:hAnsi="Times New Roman"/>
          <w:sz w:val="27"/>
          <w:vertAlign w:val="superscript"/>
          <w:rtl/>
          <w:lang w:bidi="ar-MA"/>
        </w:rPr>
        <w:t>)</w:t>
      </w:r>
      <w:r w:rsidR="00E409E1"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وهو ما جعل مدو</w:t>
      </w:r>
      <w:r w:rsidR="00E409E1" w:rsidRPr="00282AC9">
        <w:rPr>
          <w:rFonts w:ascii="Times New Roman" w:hAnsi="Times New Roman" w:hint="cs"/>
          <w:sz w:val="27"/>
          <w:rtl/>
          <w:lang w:bidi="ar-MA"/>
        </w:rPr>
        <w:t>ّ</w:t>
      </w:r>
      <w:r w:rsidRPr="00282AC9">
        <w:rPr>
          <w:rFonts w:ascii="Times New Roman" w:hAnsi="Times New Roman"/>
          <w:sz w:val="27"/>
          <w:rtl/>
          <w:lang w:bidi="ar-MA"/>
        </w:rPr>
        <w:t>نات علم أصول الفقه تحتوي على مقد</w:t>
      </w:r>
      <w:r w:rsidR="00E409E1" w:rsidRPr="00282AC9">
        <w:rPr>
          <w:rFonts w:ascii="Times New Roman" w:hAnsi="Times New Roman" w:hint="cs"/>
          <w:sz w:val="27"/>
          <w:rtl/>
          <w:lang w:bidi="ar-MA"/>
        </w:rPr>
        <w:t>ّ</w:t>
      </w:r>
      <w:r w:rsidRPr="00282AC9">
        <w:rPr>
          <w:rFonts w:ascii="Times New Roman" w:hAnsi="Times New Roman"/>
          <w:sz w:val="27"/>
          <w:rtl/>
          <w:lang w:bidi="ar-MA"/>
        </w:rPr>
        <w:t>مات نفيسة في علم اللغة</w:t>
      </w:r>
      <w:r w:rsidRPr="00282AC9">
        <w:rPr>
          <w:rFonts w:ascii="Times New Roman" w:hAnsi="Times New Roman" w:hint="cs"/>
          <w:sz w:val="27"/>
          <w:rtl/>
          <w:lang w:bidi="ar-MA"/>
        </w:rPr>
        <w:t xml:space="preserve"> بفروعها المتعد</w:t>
      </w:r>
      <w:r w:rsidR="00E409E1" w:rsidRPr="00282AC9">
        <w:rPr>
          <w:rFonts w:ascii="Times New Roman" w:hAnsi="Times New Roman" w:hint="cs"/>
          <w:sz w:val="27"/>
          <w:rtl/>
          <w:lang w:bidi="ar-MA"/>
        </w:rPr>
        <w:t>ِّ</w:t>
      </w:r>
      <w:r w:rsidRPr="00282AC9">
        <w:rPr>
          <w:rFonts w:ascii="Times New Roman" w:hAnsi="Times New Roman" w:hint="cs"/>
          <w:sz w:val="27"/>
          <w:rtl/>
          <w:lang w:bidi="ar-MA"/>
        </w:rPr>
        <w:t>دة</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قال الإمام الغزالي</w:t>
      </w:r>
      <w:r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hint="eastAsia"/>
          <w:sz w:val="24"/>
          <w:szCs w:val="24"/>
          <w:rtl/>
        </w:rPr>
        <w:t>«</w:t>
      </w:r>
      <w:r w:rsidRPr="00282AC9">
        <w:rPr>
          <w:rFonts w:ascii="Times New Roman" w:hAnsi="Times New Roman"/>
          <w:sz w:val="27"/>
          <w:rtl/>
          <w:lang w:bidi="ar-MA"/>
        </w:rPr>
        <w:t>إن المقد</w:t>
      </w:r>
      <w:r w:rsidR="00E409E1" w:rsidRPr="00282AC9">
        <w:rPr>
          <w:rFonts w:ascii="Times New Roman" w:hAnsi="Times New Roman" w:hint="cs"/>
          <w:sz w:val="27"/>
          <w:rtl/>
          <w:lang w:bidi="ar-MA"/>
        </w:rPr>
        <w:t>ّ</w:t>
      </w:r>
      <w:r w:rsidRPr="00282AC9">
        <w:rPr>
          <w:rFonts w:ascii="Times New Roman" w:hAnsi="Times New Roman"/>
          <w:sz w:val="27"/>
          <w:rtl/>
          <w:lang w:bidi="ar-MA"/>
        </w:rPr>
        <w:t>مات اللغوية</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كعلم اللغة والنحو</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فإنها آلة</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لعلم كتاب الله</w:t>
      </w:r>
      <w:r w:rsidR="00E409E1" w:rsidRPr="00282AC9">
        <w:rPr>
          <w:rFonts w:ascii="Times New Roman" w:hAnsi="Times New Roman" w:hint="cs"/>
          <w:sz w:val="27"/>
          <w:rtl/>
          <w:lang w:bidi="ar-MA"/>
        </w:rPr>
        <w:t>،</w:t>
      </w:r>
      <w:r w:rsidRPr="00282AC9">
        <w:rPr>
          <w:rFonts w:ascii="Times New Roman" w:hAnsi="Times New Roman"/>
          <w:sz w:val="27"/>
          <w:rtl/>
          <w:lang w:bidi="ar-MA"/>
        </w:rPr>
        <w:t xml:space="preserve"> وسن</w:t>
      </w:r>
      <w:r w:rsidR="00E409E1" w:rsidRPr="00282AC9">
        <w:rPr>
          <w:rFonts w:ascii="Times New Roman" w:hAnsi="Times New Roman" w:hint="cs"/>
          <w:sz w:val="27"/>
          <w:rtl/>
          <w:lang w:bidi="ar-MA"/>
        </w:rPr>
        <w:t>ّ</w:t>
      </w:r>
      <w:r w:rsidRPr="00282AC9">
        <w:rPr>
          <w:rFonts w:ascii="Times New Roman" w:hAnsi="Times New Roman"/>
          <w:sz w:val="27"/>
          <w:rtl/>
          <w:lang w:bidi="ar-MA"/>
        </w:rPr>
        <w:t>ة نبي</w:t>
      </w:r>
      <w:r w:rsidR="00E409E1" w:rsidRPr="00282AC9">
        <w:rPr>
          <w:rFonts w:ascii="Times New Roman" w:hAnsi="Times New Roman" w:hint="cs"/>
          <w:sz w:val="27"/>
          <w:rtl/>
          <w:lang w:bidi="ar-MA"/>
        </w:rPr>
        <w:t>ِّ</w:t>
      </w:r>
      <w:r w:rsidRPr="00282AC9">
        <w:rPr>
          <w:rFonts w:ascii="Times New Roman" w:hAnsi="Times New Roman"/>
          <w:sz w:val="27"/>
          <w:rtl/>
          <w:lang w:bidi="ar-MA"/>
        </w:rPr>
        <w:t>ه</w:t>
      </w:r>
      <w:r w:rsidR="00A9773B" w:rsidRPr="00282AC9">
        <w:rPr>
          <w:rFonts w:ascii="Mosawi" w:hAnsi="Mosawi" w:cs="Mosawi"/>
          <w:sz w:val="22"/>
          <w:szCs w:val="22"/>
          <w:rtl/>
        </w:rPr>
        <w:t>ﷺ</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11"/>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هذه الخصائص التي في اللغة العربية هي التي أه</w:t>
      </w:r>
      <w:r w:rsidR="000C1A22" w:rsidRPr="00282AC9">
        <w:rPr>
          <w:rFonts w:ascii="Times New Roman" w:hAnsi="Times New Roman" w:hint="cs"/>
          <w:sz w:val="27"/>
          <w:rtl/>
          <w:lang w:bidi="ar-MA"/>
        </w:rPr>
        <w:t>َّ</w:t>
      </w:r>
      <w:r w:rsidRPr="00282AC9">
        <w:rPr>
          <w:rFonts w:ascii="Times New Roman" w:hAnsi="Times New Roman" w:hint="cs"/>
          <w:sz w:val="27"/>
          <w:rtl/>
          <w:lang w:bidi="ar-MA"/>
        </w:rPr>
        <w:t>ل</w:t>
      </w:r>
      <w:r w:rsidR="000C1A22" w:rsidRPr="00282AC9">
        <w:rPr>
          <w:rFonts w:ascii="Times New Roman" w:hAnsi="Times New Roman" w:hint="cs"/>
          <w:sz w:val="27"/>
          <w:rtl/>
          <w:lang w:bidi="ar-MA"/>
        </w:rPr>
        <w:t>َ</w:t>
      </w:r>
      <w:r w:rsidRPr="00282AC9">
        <w:rPr>
          <w:rFonts w:ascii="Times New Roman" w:hAnsi="Times New Roman" w:hint="cs"/>
          <w:sz w:val="27"/>
          <w:rtl/>
          <w:lang w:bidi="ar-MA"/>
        </w:rPr>
        <w:t>ت العربية ل</w:t>
      </w:r>
      <w:r w:rsidR="000C1A22" w:rsidRPr="00282AC9">
        <w:rPr>
          <w:rFonts w:ascii="Times New Roman" w:hAnsi="Times New Roman" w:hint="cs"/>
          <w:sz w:val="27"/>
          <w:rtl/>
          <w:lang w:bidi="ar-MA"/>
        </w:rPr>
        <w:t>أ</w:t>
      </w:r>
      <w:r w:rsidRPr="00282AC9">
        <w:rPr>
          <w:rFonts w:ascii="Times New Roman" w:hAnsi="Times New Roman" w:hint="cs"/>
          <w:sz w:val="27"/>
          <w:rtl/>
          <w:lang w:bidi="ar-MA"/>
        </w:rPr>
        <w:t>ن ت</w:t>
      </w:r>
      <w:r w:rsidR="000C1A22" w:rsidRPr="00282AC9">
        <w:rPr>
          <w:rFonts w:ascii="Times New Roman" w:hAnsi="Times New Roman" w:hint="cs"/>
          <w:sz w:val="27"/>
          <w:rtl/>
          <w:lang w:bidi="ar-MA"/>
        </w:rPr>
        <w:t>ُ</w:t>
      </w:r>
      <w:r w:rsidRPr="00282AC9">
        <w:rPr>
          <w:rFonts w:ascii="Times New Roman" w:hAnsi="Times New Roman" w:hint="cs"/>
          <w:sz w:val="27"/>
          <w:rtl/>
          <w:lang w:bidi="ar-MA"/>
        </w:rPr>
        <w:t>ح</w:t>
      </w:r>
      <w:r w:rsidR="000C1A22" w:rsidRPr="00282AC9">
        <w:rPr>
          <w:rFonts w:ascii="Times New Roman" w:hAnsi="Times New Roman" w:hint="cs"/>
          <w:sz w:val="27"/>
          <w:rtl/>
          <w:lang w:bidi="ar-MA"/>
        </w:rPr>
        <w:t>ْ</w:t>
      </w:r>
      <w:r w:rsidRPr="00282AC9">
        <w:rPr>
          <w:rFonts w:ascii="Times New Roman" w:hAnsi="Times New Roman" w:hint="cs"/>
          <w:sz w:val="27"/>
          <w:rtl/>
          <w:lang w:bidi="ar-MA"/>
        </w:rPr>
        <w:t>ص</w:t>
      </w:r>
      <w:r w:rsidR="000C1A22" w:rsidRPr="00282AC9">
        <w:rPr>
          <w:rFonts w:ascii="Times New Roman" w:hAnsi="Times New Roman" w:hint="cs"/>
          <w:sz w:val="27"/>
          <w:rtl/>
          <w:lang w:bidi="ar-MA"/>
        </w:rPr>
        <w:t>َ</w:t>
      </w:r>
      <w:r w:rsidRPr="00282AC9">
        <w:rPr>
          <w:rFonts w:ascii="Times New Roman" w:hAnsi="Times New Roman" w:hint="cs"/>
          <w:sz w:val="27"/>
          <w:rtl/>
          <w:lang w:bidi="ar-MA"/>
        </w:rPr>
        <w:t>ى بموقع</w:t>
      </w:r>
      <w:r w:rsidR="000C1A22" w:rsidRPr="00282AC9">
        <w:rPr>
          <w:rFonts w:ascii="Times New Roman" w:hAnsi="Times New Roman" w:hint="cs"/>
          <w:sz w:val="27"/>
          <w:rtl/>
          <w:lang w:bidi="ar-MA"/>
        </w:rPr>
        <w:t>ٍ</w:t>
      </w:r>
      <w:r w:rsidRPr="00282AC9">
        <w:rPr>
          <w:rFonts w:ascii="Times New Roman" w:hAnsi="Times New Roman" w:hint="cs"/>
          <w:sz w:val="27"/>
          <w:rtl/>
          <w:lang w:bidi="ar-MA"/>
        </w:rPr>
        <w:t xml:space="preserve"> كبير، ومن ثم</w:t>
      </w:r>
      <w:r w:rsidR="000C1A22"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hint="cs"/>
          <w:sz w:val="27"/>
          <w:rtl/>
          <w:lang w:bidi="ar-MA"/>
        </w:rPr>
        <w:t>فلا م</w:t>
      </w:r>
      <w:r w:rsidR="000C1A22" w:rsidRPr="00282AC9">
        <w:rPr>
          <w:rFonts w:hint="cs"/>
          <w:sz w:val="27"/>
          <w:rtl/>
          <w:lang w:bidi="ar-MA"/>
        </w:rPr>
        <w:t>َ</w:t>
      </w:r>
      <w:r w:rsidRPr="00282AC9">
        <w:rPr>
          <w:rFonts w:hint="cs"/>
          <w:sz w:val="27"/>
          <w:rtl/>
          <w:lang w:bidi="ar-MA"/>
        </w:rPr>
        <w:t>حي</w:t>
      </w:r>
      <w:r w:rsidR="000C1A22" w:rsidRPr="00282AC9">
        <w:rPr>
          <w:rFonts w:hint="cs"/>
          <w:sz w:val="27"/>
          <w:rtl/>
          <w:lang w:bidi="ar-MA"/>
        </w:rPr>
        <w:t>ص</w:t>
      </w:r>
      <w:r w:rsidRPr="00282AC9">
        <w:rPr>
          <w:rFonts w:hint="cs"/>
          <w:sz w:val="27"/>
          <w:rtl/>
          <w:lang w:bidi="ar-MA"/>
        </w:rPr>
        <w:t xml:space="preserve"> </w:t>
      </w:r>
      <w:r w:rsidR="000C1A22" w:rsidRPr="00282AC9">
        <w:rPr>
          <w:rFonts w:hint="cs"/>
          <w:sz w:val="27"/>
          <w:rtl/>
          <w:lang w:bidi="ar-MA"/>
        </w:rPr>
        <w:t>ع</w:t>
      </w:r>
      <w:r w:rsidRPr="00282AC9">
        <w:rPr>
          <w:rFonts w:hint="cs"/>
          <w:sz w:val="27"/>
          <w:rtl/>
          <w:lang w:bidi="ar-MA"/>
        </w:rPr>
        <w:t>ن اللغة العربية وعلومها لم</w:t>
      </w:r>
      <w:r w:rsidR="000C1A22" w:rsidRPr="00282AC9">
        <w:rPr>
          <w:rFonts w:hint="cs"/>
          <w:sz w:val="27"/>
          <w:rtl/>
          <w:lang w:bidi="ar-MA"/>
        </w:rPr>
        <w:t>َ</w:t>
      </w:r>
      <w:r w:rsidRPr="00282AC9">
        <w:rPr>
          <w:rFonts w:hint="cs"/>
          <w:sz w:val="27"/>
          <w:rtl/>
          <w:lang w:bidi="ar-MA"/>
        </w:rPr>
        <w:t>ن</w:t>
      </w:r>
      <w:r w:rsidR="000C1A22" w:rsidRPr="00282AC9">
        <w:rPr>
          <w:rFonts w:hint="cs"/>
          <w:sz w:val="27"/>
          <w:rtl/>
          <w:lang w:bidi="ar-MA"/>
        </w:rPr>
        <w:t>ْ</w:t>
      </w:r>
      <w:r w:rsidRPr="00282AC9">
        <w:rPr>
          <w:rFonts w:hint="cs"/>
          <w:sz w:val="27"/>
          <w:rtl/>
          <w:lang w:bidi="ar-MA"/>
        </w:rPr>
        <w:t xml:space="preserve"> أراد الفهم لكتاب الله</w:t>
      </w:r>
      <w:r w:rsidR="000C1A22" w:rsidRPr="00282AC9">
        <w:rPr>
          <w:rFonts w:hint="cs"/>
          <w:sz w:val="27"/>
          <w:rtl/>
          <w:lang w:bidi="ar-MA"/>
        </w:rPr>
        <w:t>؛</w:t>
      </w:r>
      <w:r w:rsidRPr="00282AC9">
        <w:rPr>
          <w:rFonts w:hint="cs"/>
          <w:sz w:val="27"/>
          <w:rtl/>
          <w:lang w:bidi="ar-MA"/>
        </w:rPr>
        <w:t xml:space="preserve"> ل</w:t>
      </w:r>
      <w:r w:rsidR="000C1A22" w:rsidRPr="00282AC9">
        <w:rPr>
          <w:rFonts w:hint="cs"/>
          <w:sz w:val="27"/>
          <w:rtl/>
          <w:lang w:bidi="ar-MA"/>
        </w:rPr>
        <w:t>أ</w:t>
      </w:r>
      <w:r w:rsidRPr="00282AC9">
        <w:rPr>
          <w:rFonts w:hint="cs"/>
          <w:sz w:val="27"/>
          <w:rtl/>
          <w:lang w:bidi="ar-MA"/>
        </w:rPr>
        <w:t>ن القر</w:t>
      </w:r>
      <w:r w:rsidR="000C1A22" w:rsidRPr="00282AC9">
        <w:rPr>
          <w:rFonts w:hint="cs"/>
          <w:sz w:val="27"/>
          <w:rtl/>
          <w:lang w:bidi="ar-MA"/>
        </w:rPr>
        <w:t>آ</w:t>
      </w:r>
      <w:r w:rsidRPr="00282AC9">
        <w:rPr>
          <w:rFonts w:hint="cs"/>
          <w:sz w:val="27"/>
          <w:rtl/>
          <w:lang w:bidi="ar-MA"/>
        </w:rPr>
        <w:t xml:space="preserve">ن الكريم </w:t>
      </w:r>
      <w:r w:rsidR="000C1A22" w:rsidRPr="00282AC9">
        <w:rPr>
          <w:rFonts w:hint="cs"/>
          <w:sz w:val="27"/>
          <w:rtl/>
          <w:lang w:bidi="ar-MA"/>
        </w:rPr>
        <w:t>أ</w:t>
      </w:r>
      <w:r w:rsidRPr="00282AC9">
        <w:rPr>
          <w:rFonts w:hint="cs"/>
          <w:sz w:val="27"/>
          <w:rtl/>
          <w:lang w:bidi="ar-MA"/>
        </w:rPr>
        <w:t>نزله الله بلسان العرب</w:t>
      </w:r>
      <w:r w:rsidRPr="00282AC9">
        <w:rPr>
          <w:sz w:val="27"/>
          <w:rtl/>
          <w:lang w:bidi="ar-MA"/>
        </w:rPr>
        <w:t>.</w:t>
      </w:r>
    </w:p>
    <w:p w:rsidR="00D722E4" w:rsidRPr="00282AC9" w:rsidRDefault="00D722E4" w:rsidP="00A20690">
      <w:pPr>
        <w:rPr>
          <w:sz w:val="27"/>
          <w:rtl/>
          <w:lang w:bidi="ar-MA"/>
        </w:rPr>
      </w:pPr>
      <w:r w:rsidRPr="00282AC9">
        <w:rPr>
          <w:rFonts w:ascii="Times New Roman" w:hAnsi="Times New Roman" w:hint="cs"/>
          <w:sz w:val="27"/>
          <w:rtl/>
          <w:lang w:bidi="ar-MA"/>
        </w:rPr>
        <w:t xml:space="preserve">واللغة هي التي </w:t>
      </w:r>
      <w:r w:rsidRPr="00282AC9">
        <w:rPr>
          <w:rFonts w:hint="cs"/>
          <w:sz w:val="27"/>
          <w:rtl/>
          <w:lang w:bidi="ar-MA"/>
        </w:rPr>
        <w:t>تكفل للمفس</w:t>
      </w:r>
      <w:r w:rsidR="000C1A22" w:rsidRPr="00282AC9">
        <w:rPr>
          <w:rFonts w:hint="cs"/>
          <w:sz w:val="27"/>
          <w:rtl/>
          <w:lang w:bidi="ar-MA"/>
        </w:rPr>
        <w:t>ِّ</w:t>
      </w:r>
      <w:r w:rsidRPr="00282AC9">
        <w:rPr>
          <w:rFonts w:hint="cs"/>
          <w:sz w:val="27"/>
          <w:rtl/>
          <w:lang w:bidi="ar-MA"/>
        </w:rPr>
        <w:t>ر وتعينه على أن يستمد</w:t>
      </w:r>
      <w:r w:rsidR="000C1A22" w:rsidRPr="00282AC9">
        <w:rPr>
          <w:rFonts w:hint="cs"/>
          <w:sz w:val="27"/>
          <w:rtl/>
          <w:lang w:bidi="ar-MA"/>
        </w:rPr>
        <w:t>ّ</w:t>
      </w:r>
      <w:r w:rsidRPr="00282AC9">
        <w:rPr>
          <w:rFonts w:hint="cs"/>
          <w:sz w:val="27"/>
          <w:rtl/>
          <w:lang w:bidi="ar-MA"/>
        </w:rPr>
        <w:t xml:space="preserve"> المعنى، ويحق</w:t>
      </w:r>
      <w:r w:rsidR="000C1A22" w:rsidRPr="00282AC9">
        <w:rPr>
          <w:rFonts w:hint="cs"/>
          <w:sz w:val="27"/>
          <w:rtl/>
          <w:lang w:bidi="ar-MA"/>
        </w:rPr>
        <w:t>ِّ</w:t>
      </w:r>
      <w:r w:rsidRPr="00282AC9">
        <w:rPr>
          <w:rFonts w:hint="cs"/>
          <w:sz w:val="27"/>
          <w:rtl/>
          <w:lang w:bidi="ar-MA"/>
        </w:rPr>
        <w:t>ق الدلالة في النص</w:t>
      </w:r>
      <w:r w:rsidR="000C1A22" w:rsidRPr="00282AC9">
        <w:rPr>
          <w:rFonts w:hint="cs"/>
          <w:sz w:val="27"/>
          <w:rtl/>
          <w:lang w:bidi="ar-MA"/>
        </w:rPr>
        <w:t>ّ،</w:t>
      </w:r>
      <w:r w:rsidRPr="00282AC9">
        <w:rPr>
          <w:sz w:val="27"/>
          <w:rtl/>
          <w:lang w:bidi="ar-MA"/>
        </w:rPr>
        <w:t xml:space="preserve"> بجميع الطرق الموصلة </w:t>
      </w:r>
      <w:r w:rsidRPr="00282AC9">
        <w:rPr>
          <w:rFonts w:hint="cs"/>
          <w:sz w:val="27"/>
          <w:rtl/>
          <w:lang w:bidi="ar-MA"/>
        </w:rPr>
        <w:t>إليها،</w:t>
      </w:r>
      <w:r w:rsidRPr="00282AC9">
        <w:rPr>
          <w:sz w:val="27"/>
          <w:rtl/>
          <w:lang w:bidi="ar-MA"/>
        </w:rPr>
        <w:t xml:space="preserve"> و</w:t>
      </w:r>
      <w:r w:rsidRPr="00282AC9">
        <w:rPr>
          <w:rFonts w:hint="cs"/>
          <w:sz w:val="27"/>
          <w:rtl/>
          <w:lang w:bidi="ar-MA"/>
        </w:rPr>
        <w:t xml:space="preserve">بجميع </w:t>
      </w:r>
      <w:r w:rsidRPr="00282AC9">
        <w:rPr>
          <w:sz w:val="27"/>
          <w:rtl/>
          <w:lang w:bidi="ar-MA"/>
        </w:rPr>
        <w:t>السبل المؤد</w:t>
      </w:r>
      <w:r w:rsidR="000C1A22" w:rsidRPr="00282AC9">
        <w:rPr>
          <w:rFonts w:hint="cs"/>
          <w:sz w:val="27"/>
          <w:rtl/>
          <w:lang w:bidi="ar-MA"/>
        </w:rPr>
        <w:t>ّ</w:t>
      </w:r>
      <w:r w:rsidRPr="00282AC9">
        <w:rPr>
          <w:sz w:val="27"/>
          <w:rtl/>
          <w:lang w:bidi="ar-MA"/>
        </w:rPr>
        <w:t>ية</w:t>
      </w:r>
      <w:r w:rsidR="000C1A22" w:rsidRPr="00282AC9">
        <w:rPr>
          <w:rFonts w:hint="cs"/>
          <w:sz w:val="27"/>
          <w:rtl/>
          <w:lang w:bidi="ar-MA"/>
        </w:rPr>
        <w:t>،</w:t>
      </w:r>
      <w:r w:rsidRPr="00282AC9">
        <w:rPr>
          <w:rFonts w:hint="cs"/>
          <w:sz w:val="27"/>
          <w:rtl/>
          <w:lang w:bidi="ar-MA"/>
        </w:rPr>
        <w:t xml:space="preserve"> سواء</w:t>
      </w:r>
      <w:r w:rsidR="000C1A22" w:rsidRPr="00282AC9">
        <w:rPr>
          <w:rFonts w:hint="cs"/>
          <w:sz w:val="27"/>
          <w:rtl/>
          <w:lang w:bidi="ar-MA"/>
        </w:rPr>
        <w:t>ٌ</w:t>
      </w:r>
      <w:r w:rsidRPr="00282AC9">
        <w:rPr>
          <w:rFonts w:hint="cs"/>
          <w:sz w:val="27"/>
          <w:rtl/>
          <w:lang w:bidi="ar-MA"/>
        </w:rPr>
        <w:t xml:space="preserve"> كان هذا الاستمداد والتحصيل ب</w:t>
      </w:r>
      <w:r w:rsidRPr="00282AC9">
        <w:rPr>
          <w:sz w:val="27"/>
          <w:rtl/>
          <w:lang w:bidi="ar-MA"/>
        </w:rPr>
        <w:t>طريق المنطوق أو المفهوم أو المعقول...</w:t>
      </w:r>
      <w:r w:rsidRPr="00282AC9">
        <w:rPr>
          <w:sz w:val="27"/>
          <w:vertAlign w:val="superscript"/>
          <w:rtl/>
          <w:lang w:bidi="ar-MA"/>
        </w:rPr>
        <w:t>(</w:t>
      </w:r>
      <w:r w:rsidRPr="00282AC9">
        <w:rPr>
          <w:rStyle w:val="af9"/>
          <w:sz w:val="27"/>
          <w:rtl/>
          <w:lang w:bidi="ar-MA"/>
        </w:rPr>
        <w:endnoteReference w:id="712"/>
      </w:r>
      <w:r w:rsidRPr="00282AC9">
        <w:rPr>
          <w:sz w:val="27"/>
          <w:vertAlign w:val="superscript"/>
          <w:rtl/>
          <w:lang w:bidi="ar-MA"/>
        </w:rPr>
        <w:t>)</w:t>
      </w:r>
      <w:r w:rsidRPr="00282AC9">
        <w:rPr>
          <w:sz w:val="27"/>
          <w:rtl/>
          <w:lang w:bidi="ar-MA"/>
        </w:rPr>
        <w:t>.</w:t>
      </w:r>
    </w:p>
    <w:p w:rsidR="00D722E4" w:rsidRPr="00282AC9" w:rsidRDefault="00D722E4" w:rsidP="00A20690">
      <w:pPr>
        <w:rPr>
          <w:rFonts w:ascii="Times New Roman" w:hAnsi="Times New Roman"/>
          <w:sz w:val="27"/>
          <w:rtl/>
        </w:rPr>
      </w:pPr>
      <w:r w:rsidRPr="00282AC9">
        <w:rPr>
          <w:rFonts w:ascii="Times New Roman" w:hAnsi="Times New Roman"/>
          <w:sz w:val="27"/>
          <w:rtl/>
          <w:lang w:bidi="ar-MA"/>
        </w:rPr>
        <w:t>ومم</w:t>
      </w:r>
      <w:r w:rsidR="000C1A22" w:rsidRPr="00282AC9">
        <w:rPr>
          <w:rFonts w:ascii="Times New Roman" w:hAnsi="Times New Roman" w:hint="cs"/>
          <w:sz w:val="27"/>
          <w:rtl/>
          <w:lang w:bidi="ar-MA"/>
        </w:rPr>
        <w:t>ّ</w:t>
      </w:r>
      <w:r w:rsidRPr="00282AC9">
        <w:rPr>
          <w:rFonts w:ascii="Times New Roman" w:hAnsi="Times New Roman"/>
          <w:sz w:val="27"/>
          <w:rtl/>
          <w:lang w:bidi="ar-MA"/>
        </w:rPr>
        <w:t>ا يدل</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على نزوع علم أصول الفقه نحو تفسير النص</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وقراءته هو استحضار علماء الأصول لكثير</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من المباحث ذات المنحى اللغوي</w:t>
      </w:r>
      <w:r w:rsidR="000C1A22"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فأغلب المباحث التي د</w:t>
      </w:r>
      <w:r w:rsidR="000C1A22" w:rsidRPr="00282AC9">
        <w:rPr>
          <w:rFonts w:ascii="Times New Roman" w:hAnsi="Times New Roman" w:hint="cs"/>
          <w:sz w:val="27"/>
          <w:rtl/>
          <w:lang w:bidi="ar-MA"/>
        </w:rPr>
        <w:t>ُ</w:t>
      </w:r>
      <w:r w:rsidRPr="00282AC9">
        <w:rPr>
          <w:rFonts w:ascii="Times New Roman" w:hAnsi="Times New Roman"/>
          <w:sz w:val="27"/>
          <w:rtl/>
          <w:lang w:bidi="ar-MA"/>
        </w:rPr>
        <w:t>و</w:t>
      </w:r>
      <w:r w:rsidR="000C1A22" w:rsidRPr="00282AC9">
        <w:rPr>
          <w:rFonts w:ascii="Times New Roman" w:hAnsi="Times New Roman" w:hint="cs"/>
          <w:sz w:val="27"/>
          <w:rtl/>
          <w:lang w:bidi="ar-MA"/>
        </w:rPr>
        <w:t>ِّ</w:t>
      </w:r>
      <w:r w:rsidRPr="00282AC9">
        <w:rPr>
          <w:rFonts w:ascii="Times New Roman" w:hAnsi="Times New Roman"/>
          <w:sz w:val="27"/>
          <w:rtl/>
          <w:lang w:bidi="ar-MA"/>
        </w:rPr>
        <w:t>ن</w:t>
      </w:r>
      <w:r w:rsidR="000C1A22" w:rsidRPr="00282AC9">
        <w:rPr>
          <w:rFonts w:ascii="Times New Roman" w:hAnsi="Times New Roman" w:hint="cs"/>
          <w:sz w:val="27"/>
          <w:rtl/>
          <w:lang w:bidi="ar-MA"/>
        </w:rPr>
        <w:t>َ</w:t>
      </w:r>
      <w:r w:rsidRPr="00282AC9">
        <w:rPr>
          <w:rFonts w:ascii="Times New Roman" w:hAnsi="Times New Roman"/>
          <w:sz w:val="27"/>
          <w:rtl/>
          <w:lang w:bidi="ar-MA"/>
        </w:rPr>
        <w:t>ت</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في هذا العلم هي مباحث تنتمي </w:t>
      </w:r>
      <w:r w:rsidR="000C1A22" w:rsidRPr="00282AC9">
        <w:rPr>
          <w:rFonts w:ascii="Times New Roman" w:hAnsi="Times New Roman" w:hint="cs"/>
          <w:sz w:val="27"/>
          <w:rtl/>
          <w:lang w:bidi="ar-MA"/>
        </w:rPr>
        <w:t xml:space="preserve">إلى </w:t>
      </w:r>
      <w:r w:rsidRPr="00282AC9">
        <w:rPr>
          <w:rFonts w:ascii="Times New Roman" w:hAnsi="Times New Roman"/>
          <w:sz w:val="27"/>
          <w:rtl/>
          <w:lang w:bidi="ar-MA"/>
        </w:rPr>
        <w:t>علم اللغة</w:t>
      </w:r>
      <w:r w:rsidR="00716928" w:rsidRPr="00282AC9">
        <w:rPr>
          <w:rFonts w:ascii="Times New Roman" w:hAnsi="Times New Roman" w:hint="cs"/>
          <w:sz w:val="27"/>
          <w:rtl/>
          <w:lang w:bidi="ar-MA"/>
        </w:rPr>
        <w:t>،</w:t>
      </w:r>
      <w:r w:rsidRPr="00282AC9">
        <w:rPr>
          <w:rFonts w:ascii="Times New Roman" w:hAnsi="Times New Roman"/>
          <w:sz w:val="27"/>
          <w:rtl/>
          <w:lang w:bidi="ar-MA"/>
        </w:rPr>
        <w:t xml:space="preserve"> والدلالة، والتركيب، وعلم المعجم</w:t>
      </w:r>
      <w:r w:rsidR="000C1A22"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فهي مباحث في أصلها كانت تنزع إلى وضع القواعد والأصول والضوابط</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التي تنزع إلى تحقيق الفهم السليم والسديد للنص</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الشرعي</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انطلاق</w:t>
      </w:r>
      <w:r w:rsidRPr="00282AC9">
        <w:rPr>
          <w:rFonts w:ascii="Times New Roman" w:hAnsi="Times New Roman" w:hint="cs"/>
          <w:sz w:val="27"/>
          <w:rtl/>
          <w:lang w:bidi="ar-MA"/>
        </w:rPr>
        <w:t>اً</w:t>
      </w:r>
      <w:r w:rsidRPr="00282AC9">
        <w:rPr>
          <w:rFonts w:ascii="Times New Roman" w:hAnsi="Times New Roman"/>
          <w:sz w:val="27"/>
          <w:rtl/>
          <w:lang w:bidi="ar-MA"/>
        </w:rPr>
        <w:t xml:space="preserve"> من علوم اللغة العربية</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وهذا المعطى يعود </w:t>
      </w:r>
      <w:r w:rsidRPr="00282AC9">
        <w:rPr>
          <w:rFonts w:ascii="Times New Roman" w:hAnsi="Times New Roman" w:hint="cs"/>
          <w:sz w:val="27"/>
          <w:rtl/>
          <w:lang w:bidi="ar-MA"/>
        </w:rPr>
        <w:t xml:space="preserve">إلى </w:t>
      </w:r>
      <w:r w:rsidRPr="00282AC9">
        <w:rPr>
          <w:rFonts w:ascii="Times New Roman" w:hAnsi="Times New Roman"/>
          <w:sz w:val="27"/>
          <w:rtl/>
          <w:lang w:bidi="ar-MA"/>
        </w:rPr>
        <w:t xml:space="preserve">أن </w:t>
      </w:r>
      <w:r w:rsidRPr="00282AC9">
        <w:rPr>
          <w:rFonts w:hint="eastAsia"/>
          <w:sz w:val="24"/>
          <w:szCs w:val="24"/>
          <w:rtl/>
          <w:lang w:bidi="ar-MA"/>
        </w:rPr>
        <w:t>«</w:t>
      </w:r>
      <w:r w:rsidRPr="00282AC9">
        <w:rPr>
          <w:rFonts w:ascii="Times New Roman" w:hAnsi="Times New Roman"/>
          <w:sz w:val="27"/>
          <w:rtl/>
          <w:lang w:bidi="ar-MA"/>
        </w:rPr>
        <w:t>الحق</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سبحانه خاطب العرب بلسانها</w:t>
      </w:r>
      <w:r w:rsidR="000C1A22" w:rsidRPr="00282AC9">
        <w:rPr>
          <w:rFonts w:ascii="Times New Roman" w:hAnsi="Times New Roman" w:hint="cs"/>
          <w:sz w:val="27"/>
          <w:rtl/>
          <w:lang w:bidi="ar-MA"/>
        </w:rPr>
        <w:t>،</w:t>
      </w:r>
      <w:r w:rsidRPr="00282AC9">
        <w:rPr>
          <w:rFonts w:ascii="Times New Roman" w:hAnsi="Times New Roman"/>
          <w:sz w:val="27"/>
          <w:rtl/>
          <w:lang w:bidi="ar-MA"/>
        </w:rPr>
        <w:t xml:space="preserve"> على ما تعرف من معانيها</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13"/>
      </w:r>
      <w:r w:rsidRPr="00282AC9">
        <w:rPr>
          <w:rFonts w:ascii="Times New Roman" w:hAnsi="Times New Roman"/>
          <w:sz w:val="27"/>
          <w:vertAlign w:val="superscript"/>
          <w:rtl/>
          <w:lang w:bidi="ar-MA"/>
        </w:rPr>
        <w:t>)</w:t>
      </w:r>
      <w:r w:rsidR="000C1A22"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00206C3B" w:rsidRPr="00282AC9">
        <w:rPr>
          <w:rFonts w:ascii="Times New Roman" w:hAnsi="Times New Roman" w:hint="cs"/>
          <w:sz w:val="27"/>
          <w:rtl/>
          <w:lang w:bidi="ar-MA"/>
        </w:rPr>
        <w:t>وقد أدّى</w:t>
      </w:r>
      <w:r w:rsidRPr="00282AC9">
        <w:rPr>
          <w:rFonts w:ascii="Times New Roman" w:hAnsi="Times New Roman"/>
          <w:sz w:val="27"/>
          <w:rtl/>
          <w:lang w:bidi="ar-MA"/>
        </w:rPr>
        <w:t xml:space="preserve"> هذا الترابط الوثيق بين علم أصول الفقه واللغة العربية، وتوق</w:t>
      </w:r>
      <w:r w:rsidR="000C1A22" w:rsidRPr="00282AC9">
        <w:rPr>
          <w:rFonts w:ascii="Times New Roman" w:hAnsi="Times New Roman" w:hint="cs"/>
          <w:sz w:val="27"/>
          <w:rtl/>
          <w:lang w:bidi="ar-MA"/>
        </w:rPr>
        <w:t>ُّ</w:t>
      </w:r>
      <w:r w:rsidRPr="00282AC9">
        <w:rPr>
          <w:rFonts w:ascii="Times New Roman" w:hAnsi="Times New Roman"/>
          <w:sz w:val="27"/>
          <w:rtl/>
          <w:lang w:bidi="ar-MA"/>
        </w:rPr>
        <w:t>ف استمداد المعنى على اللغة العربي</w:t>
      </w:r>
      <w:r w:rsidR="000C1A22" w:rsidRPr="00282AC9">
        <w:rPr>
          <w:rFonts w:ascii="Times New Roman" w:hAnsi="Times New Roman" w:hint="cs"/>
          <w:sz w:val="27"/>
          <w:rtl/>
          <w:lang w:bidi="ar-MA"/>
        </w:rPr>
        <w:t>ّ</w:t>
      </w:r>
      <w:r w:rsidRPr="00282AC9">
        <w:rPr>
          <w:rFonts w:ascii="Times New Roman" w:hAnsi="Times New Roman"/>
          <w:sz w:val="27"/>
          <w:rtl/>
          <w:lang w:bidi="ar-MA"/>
        </w:rPr>
        <w:t>ة، إلى ظهور شبكة</w:t>
      </w:r>
      <w:r w:rsidR="00206C3B" w:rsidRPr="00282AC9">
        <w:rPr>
          <w:rFonts w:ascii="Times New Roman" w:hAnsi="Times New Roman" w:hint="cs"/>
          <w:sz w:val="27"/>
          <w:rtl/>
          <w:lang w:bidi="ar-MA"/>
        </w:rPr>
        <w:t>ٍ</w:t>
      </w:r>
      <w:r w:rsidRPr="00282AC9">
        <w:rPr>
          <w:rFonts w:ascii="Times New Roman" w:hAnsi="Times New Roman"/>
          <w:sz w:val="27"/>
          <w:rtl/>
          <w:lang w:bidi="ar-MA"/>
        </w:rPr>
        <w:t xml:space="preserve"> متكاملة ومنسجمة من العلوم اللغوي</w:t>
      </w:r>
      <w:r w:rsidR="00206C3B" w:rsidRPr="00282AC9">
        <w:rPr>
          <w:rFonts w:ascii="Times New Roman" w:hAnsi="Times New Roman" w:hint="cs"/>
          <w:sz w:val="27"/>
          <w:rtl/>
          <w:lang w:bidi="ar-MA"/>
        </w:rPr>
        <w:t>ّ</w:t>
      </w:r>
      <w:r w:rsidRPr="00282AC9">
        <w:rPr>
          <w:rFonts w:ascii="Times New Roman" w:hAnsi="Times New Roman"/>
          <w:sz w:val="27"/>
          <w:rtl/>
          <w:lang w:bidi="ar-MA"/>
        </w:rPr>
        <w:t>ة والدلالي</w:t>
      </w:r>
      <w:r w:rsidR="00206C3B" w:rsidRPr="00282AC9">
        <w:rPr>
          <w:rFonts w:ascii="Times New Roman" w:hAnsi="Times New Roman" w:hint="cs"/>
          <w:sz w:val="27"/>
          <w:rtl/>
          <w:lang w:bidi="ar-MA"/>
        </w:rPr>
        <w:t>ّ</w:t>
      </w:r>
      <w:r w:rsidRPr="00282AC9">
        <w:rPr>
          <w:rFonts w:ascii="Times New Roman" w:hAnsi="Times New Roman"/>
          <w:sz w:val="27"/>
          <w:rtl/>
          <w:lang w:bidi="ar-MA"/>
        </w:rPr>
        <w:t>ة والشرعي</w:t>
      </w:r>
      <w:r w:rsidR="00206C3B" w:rsidRPr="00282AC9">
        <w:rPr>
          <w:rFonts w:ascii="Times New Roman" w:hAnsi="Times New Roman" w:hint="cs"/>
          <w:sz w:val="27"/>
          <w:rtl/>
          <w:lang w:bidi="ar-MA"/>
        </w:rPr>
        <w:t>ّ</w:t>
      </w:r>
      <w:r w:rsidRPr="00282AC9">
        <w:rPr>
          <w:rFonts w:ascii="Times New Roman" w:hAnsi="Times New Roman"/>
          <w:sz w:val="27"/>
          <w:rtl/>
          <w:lang w:bidi="ar-MA"/>
        </w:rPr>
        <w:t>ة</w:t>
      </w:r>
      <w:r w:rsidR="00206C3B" w:rsidRPr="00282AC9">
        <w:rPr>
          <w:rFonts w:ascii="Times New Roman" w:hAnsi="Times New Roman" w:hint="cs"/>
          <w:sz w:val="27"/>
          <w:rtl/>
          <w:lang w:bidi="ar-MA"/>
        </w:rPr>
        <w:t>،</w:t>
      </w:r>
      <w:r w:rsidRPr="00282AC9">
        <w:rPr>
          <w:rFonts w:ascii="Times New Roman" w:hAnsi="Times New Roman"/>
          <w:sz w:val="27"/>
          <w:rtl/>
          <w:lang w:bidi="ar-MA"/>
        </w:rPr>
        <w:t xml:space="preserve"> تعمل موح</w:t>
      </w:r>
      <w:r w:rsidR="00206C3B" w:rsidRPr="00282AC9">
        <w:rPr>
          <w:rFonts w:ascii="Times New Roman" w:hAnsi="Times New Roman" w:hint="cs"/>
          <w:sz w:val="27"/>
          <w:rtl/>
          <w:lang w:bidi="ar-MA"/>
        </w:rPr>
        <w:t>ّ</w:t>
      </w:r>
      <w:r w:rsidRPr="00282AC9">
        <w:rPr>
          <w:rFonts w:ascii="Times New Roman" w:hAnsi="Times New Roman"/>
          <w:sz w:val="27"/>
          <w:rtl/>
          <w:lang w:bidi="ar-MA"/>
        </w:rPr>
        <w:t>دة</w:t>
      </w:r>
      <w:r w:rsidR="00206C3B" w:rsidRPr="00282AC9">
        <w:rPr>
          <w:rFonts w:ascii="Times New Roman" w:hAnsi="Times New Roman" w:hint="cs"/>
          <w:sz w:val="27"/>
          <w:rtl/>
          <w:lang w:bidi="ar-MA"/>
        </w:rPr>
        <w:t>ً،</w:t>
      </w:r>
      <w:r w:rsidRPr="00282AC9">
        <w:rPr>
          <w:rFonts w:ascii="Times New Roman" w:hAnsi="Times New Roman"/>
          <w:sz w:val="27"/>
          <w:rtl/>
          <w:lang w:bidi="ar-MA"/>
        </w:rPr>
        <w:t xml:space="preserve"> وبطريقة</w:t>
      </w:r>
      <w:r w:rsidR="00206C3B" w:rsidRPr="00282AC9">
        <w:rPr>
          <w:rFonts w:ascii="Times New Roman" w:hAnsi="Times New Roman" w:hint="cs"/>
          <w:sz w:val="27"/>
          <w:rtl/>
          <w:lang w:bidi="ar-MA"/>
        </w:rPr>
        <w:t>ٍ</w:t>
      </w:r>
      <w:r w:rsidRPr="00282AC9">
        <w:rPr>
          <w:rFonts w:ascii="Times New Roman" w:hAnsi="Times New Roman"/>
          <w:sz w:val="27"/>
          <w:rtl/>
          <w:lang w:bidi="ar-MA"/>
        </w:rPr>
        <w:t xml:space="preserve"> منسجمة</w:t>
      </w:r>
      <w:r w:rsidR="00206C3B" w:rsidRPr="00282AC9">
        <w:rPr>
          <w:rFonts w:ascii="Times New Roman" w:hAnsi="Times New Roman" w:hint="cs"/>
          <w:sz w:val="27"/>
          <w:rtl/>
          <w:lang w:bidi="ar-MA"/>
        </w:rPr>
        <w:t>ٍ؛</w:t>
      </w:r>
      <w:r w:rsidRPr="00282AC9">
        <w:rPr>
          <w:rFonts w:ascii="Times New Roman" w:hAnsi="Times New Roman"/>
          <w:sz w:val="27"/>
          <w:rtl/>
          <w:lang w:bidi="ar-MA"/>
        </w:rPr>
        <w:t xml:space="preserve"> من </w:t>
      </w:r>
      <w:r w:rsidRPr="00282AC9">
        <w:rPr>
          <w:rFonts w:ascii="Times New Roman" w:hAnsi="Times New Roman" w:hint="cs"/>
          <w:sz w:val="27"/>
          <w:rtl/>
          <w:lang w:bidi="ar-MA"/>
        </w:rPr>
        <w:t>أ</w:t>
      </w:r>
      <w:r w:rsidRPr="00282AC9">
        <w:rPr>
          <w:rFonts w:ascii="Times New Roman" w:hAnsi="Times New Roman"/>
          <w:sz w:val="27"/>
          <w:rtl/>
          <w:lang w:bidi="ar-MA"/>
        </w:rPr>
        <w:t xml:space="preserve">جل استمداد المعنى </w:t>
      </w:r>
      <w:r w:rsidRPr="00282AC9">
        <w:rPr>
          <w:rFonts w:ascii="Times New Roman" w:hAnsi="Times New Roman"/>
          <w:sz w:val="27"/>
          <w:rtl/>
          <w:lang w:bidi="ar-MA"/>
        </w:rPr>
        <w:lastRenderedPageBreak/>
        <w:t>من النص</w:t>
      </w:r>
      <w:r w:rsidR="00206C3B" w:rsidRPr="00282AC9">
        <w:rPr>
          <w:rFonts w:ascii="Times New Roman" w:hAnsi="Times New Roman" w:hint="cs"/>
          <w:sz w:val="27"/>
          <w:rtl/>
          <w:lang w:bidi="ar-MA"/>
        </w:rPr>
        <w:t>ّ؛</w:t>
      </w:r>
      <w:r w:rsidRPr="00282AC9">
        <w:rPr>
          <w:rFonts w:ascii="Times New Roman" w:hAnsi="Times New Roman"/>
          <w:sz w:val="27"/>
          <w:rtl/>
          <w:lang w:bidi="ar-MA"/>
        </w:rPr>
        <w:t xml:space="preserve"> لأجل تفه</w:t>
      </w:r>
      <w:r w:rsidR="00206C3B" w:rsidRPr="00282AC9">
        <w:rPr>
          <w:rFonts w:ascii="Times New Roman" w:hAnsi="Times New Roman" w:hint="cs"/>
          <w:sz w:val="27"/>
          <w:rtl/>
          <w:lang w:bidi="ar-MA"/>
        </w:rPr>
        <w:t>ُّ</w:t>
      </w:r>
      <w:r w:rsidRPr="00282AC9">
        <w:rPr>
          <w:rFonts w:ascii="Times New Roman" w:hAnsi="Times New Roman"/>
          <w:sz w:val="27"/>
          <w:rtl/>
          <w:lang w:bidi="ar-MA"/>
        </w:rPr>
        <w:t>مه واستخلاص مقاصده</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rPr>
      </w:pPr>
      <w:r w:rsidRPr="00282AC9">
        <w:rPr>
          <w:rFonts w:ascii="Times New Roman" w:hAnsi="Times New Roman" w:hint="cs"/>
          <w:sz w:val="27"/>
          <w:rtl/>
        </w:rPr>
        <w:t>إن هذا التعل</w:t>
      </w:r>
      <w:r w:rsidR="00206C3B" w:rsidRPr="00282AC9">
        <w:rPr>
          <w:rFonts w:ascii="Times New Roman" w:hAnsi="Times New Roman" w:hint="cs"/>
          <w:sz w:val="27"/>
          <w:rtl/>
        </w:rPr>
        <w:t>ُّ</w:t>
      </w:r>
      <w:r w:rsidRPr="00282AC9">
        <w:rPr>
          <w:rFonts w:ascii="Times New Roman" w:hAnsi="Times New Roman" w:hint="cs"/>
          <w:sz w:val="27"/>
          <w:rtl/>
        </w:rPr>
        <w:t>ق باللغة بين الأصولي</w:t>
      </w:r>
      <w:r w:rsidR="00206C3B" w:rsidRPr="00282AC9">
        <w:rPr>
          <w:rFonts w:ascii="Times New Roman" w:hAnsi="Times New Roman" w:hint="cs"/>
          <w:sz w:val="27"/>
          <w:rtl/>
        </w:rPr>
        <w:t>ّ</w:t>
      </w:r>
      <w:r w:rsidRPr="00282AC9">
        <w:rPr>
          <w:rFonts w:ascii="Times New Roman" w:hAnsi="Times New Roman" w:hint="cs"/>
          <w:sz w:val="27"/>
          <w:rtl/>
        </w:rPr>
        <w:t>ين هو الذي جعل جزءا</w:t>
      </w:r>
      <w:r w:rsidR="00206C3B" w:rsidRPr="00282AC9">
        <w:rPr>
          <w:rFonts w:ascii="Times New Roman" w:hAnsi="Times New Roman" w:hint="cs"/>
          <w:sz w:val="27"/>
          <w:rtl/>
        </w:rPr>
        <w:t>ً</w:t>
      </w:r>
      <w:r w:rsidRPr="00282AC9">
        <w:rPr>
          <w:rFonts w:ascii="Times New Roman" w:hAnsi="Times New Roman" w:hint="cs"/>
          <w:sz w:val="27"/>
          <w:rtl/>
        </w:rPr>
        <w:t xml:space="preserve"> كبيرا</w:t>
      </w:r>
      <w:r w:rsidR="00206C3B" w:rsidRPr="00282AC9">
        <w:rPr>
          <w:rFonts w:ascii="Times New Roman" w:hAnsi="Times New Roman" w:hint="cs"/>
          <w:sz w:val="27"/>
          <w:rtl/>
        </w:rPr>
        <w:t>ً</w:t>
      </w:r>
      <w:r w:rsidRPr="00282AC9">
        <w:rPr>
          <w:rFonts w:ascii="Times New Roman" w:hAnsi="Times New Roman" w:hint="cs"/>
          <w:sz w:val="27"/>
          <w:rtl/>
        </w:rPr>
        <w:t xml:space="preserve"> من مباحث علم أصول الفقه تدور وتت</w:t>
      </w:r>
      <w:r w:rsidR="00206C3B" w:rsidRPr="00282AC9">
        <w:rPr>
          <w:rFonts w:ascii="Times New Roman" w:hAnsi="Times New Roman" w:hint="cs"/>
          <w:sz w:val="27"/>
          <w:rtl/>
        </w:rPr>
        <w:t>ّ</w:t>
      </w:r>
      <w:r w:rsidRPr="00282AC9">
        <w:rPr>
          <w:rFonts w:ascii="Times New Roman" w:hAnsi="Times New Roman" w:hint="cs"/>
          <w:sz w:val="27"/>
          <w:rtl/>
        </w:rPr>
        <w:t>جه نحو المباحث اللغوي</w:t>
      </w:r>
      <w:r w:rsidR="00206C3B" w:rsidRPr="00282AC9">
        <w:rPr>
          <w:rFonts w:ascii="Times New Roman" w:hAnsi="Times New Roman" w:hint="cs"/>
          <w:sz w:val="27"/>
          <w:rtl/>
        </w:rPr>
        <w:t>ّ</w:t>
      </w:r>
      <w:r w:rsidRPr="00282AC9">
        <w:rPr>
          <w:rFonts w:ascii="Times New Roman" w:hAnsi="Times New Roman" w:hint="cs"/>
          <w:sz w:val="27"/>
          <w:rtl/>
        </w:rPr>
        <w:t>ة والدلالي</w:t>
      </w:r>
      <w:r w:rsidR="00206C3B" w:rsidRPr="00282AC9">
        <w:rPr>
          <w:rFonts w:ascii="Times New Roman" w:hAnsi="Times New Roman" w:hint="cs"/>
          <w:sz w:val="27"/>
          <w:rtl/>
        </w:rPr>
        <w:t>ّ</w:t>
      </w:r>
      <w:r w:rsidRPr="00282AC9">
        <w:rPr>
          <w:rFonts w:ascii="Times New Roman" w:hAnsi="Times New Roman" w:hint="cs"/>
          <w:sz w:val="27"/>
          <w:rtl/>
        </w:rPr>
        <w:t>ة...</w:t>
      </w:r>
    </w:p>
    <w:p w:rsidR="00D722E4" w:rsidRPr="00282AC9" w:rsidRDefault="00D722E4" w:rsidP="00A20690">
      <w:pPr>
        <w:rPr>
          <w:rFonts w:ascii="Times New Roman" w:hAnsi="Times New Roman"/>
          <w:sz w:val="27"/>
          <w:rtl/>
        </w:rPr>
      </w:pPr>
      <w:r w:rsidRPr="00282AC9">
        <w:rPr>
          <w:rFonts w:ascii="Times New Roman" w:hAnsi="Times New Roman" w:hint="cs"/>
          <w:sz w:val="27"/>
          <w:rtl/>
        </w:rPr>
        <w:t>ف</w:t>
      </w:r>
      <w:r w:rsidR="00206C3B" w:rsidRPr="00282AC9">
        <w:rPr>
          <w:rFonts w:ascii="Times New Roman" w:hAnsi="Times New Roman" w:hint="cs"/>
          <w:sz w:val="27"/>
          <w:rtl/>
        </w:rPr>
        <w:t>أ</w:t>
      </w:r>
      <w:r w:rsidRPr="00282AC9">
        <w:rPr>
          <w:rFonts w:ascii="Times New Roman" w:hAnsi="Times New Roman" w:hint="cs"/>
          <w:sz w:val="27"/>
          <w:rtl/>
        </w:rPr>
        <w:t>غلب ومعظم مباحث علم أصول الفقه تنتظمها البحوث الم</w:t>
      </w:r>
      <w:r w:rsidR="00206C3B" w:rsidRPr="00282AC9">
        <w:rPr>
          <w:rFonts w:ascii="Times New Roman" w:hAnsi="Times New Roman" w:hint="cs"/>
          <w:sz w:val="27"/>
          <w:rtl/>
        </w:rPr>
        <w:t>ُ</w:t>
      </w:r>
      <w:r w:rsidRPr="00282AC9">
        <w:rPr>
          <w:rFonts w:ascii="Times New Roman" w:hAnsi="Times New Roman" w:hint="cs"/>
          <w:sz w:val="27"/>
          <w:rtl/>
        </w:rPr>
        <w:t>د</w:t>
      </w:r>
      <w:r w:rsidR="00206C3B" w:rsidRPr="00282AC9">
        <w:rPr>
          <w:rFonts w:ascii="Times New Roman" w:hAnsi="Times New Roman" w:hint="cs"/>
          <w:sz w:val="27"/>
          <w:rtl/>
        </w:rPr>
        <w:t>ْ</w:t>
      </w:r>
      <w:r w:rsidRPr="00282AC9">
        <w:rPr>
          <w:rFonts w:ascii="Times New Roman" w:hAnsi="Times New Roman" w:hint="cs"/>
          <w:sz w:val="27"/>
          <w:rtl/>
        </w:rPr>
        <w:t>ر</w:t>
      </w:r>
      <w:r w:rsidR="00206C3B" w:rsidRPr="00282AC9">
        <w:rPr>
          <w:rFonts w:ascii="Times New Roman" w:hAnsi="Times New Roman" w:hint="cs"/>
          <w:sz w:val="27"/>
          <w:rtl/>
        </w:rPr>
        <w:t>َ</w:t>
      </w:r>
      <w:r w:rsidRPr="00282AC9">
        <w:rPr>
          <w:rFonts w:ascii="Times New Roman" w:hAnsi="Times New Roman" w:hint="cs"/>
          <w:sz w:val="27"/>
          <w:rtl/>
        </w:rPr>
        <w:t>جة في العلاقة الرابطة والجامعة بين الألفاظ والمعاني.</w:t>
      </w:r>
    </w:p>
    <w:p w:rsidR="00D722E4" w:rsidRPr="00282AC9" w:rsidRDefault="00D722E4" w:rsidP="00A20690">
      <w:pPr>
        <w:rPr>
          <w:sz w:val="27"/>
          <w:rtl/>
          <w:lang w:bidi="ar-MA"/>
        </w:rPr>
      </w:pPr>
      <w:r w:rsidRPr="00282AC9">
        <w:rPr>
          <w:rFonts w:asciiTheme="minorBidi" w:hAnsiTheme="minorBidi"/>
          <w:sz w:val="27"/>
          <w:rtl/>
        </w:rPr>
        <w:t xml:space="preserve"> قال الدكتور محمد عابد الجابري</w:t>
      </w:r>
      <w:r w:rsidR="00206C3B"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إن</w:t>
      </w:r>
      <w:r w:rsidRPr="00282AC9">
        <w:rPr>
          <w:rFonts w:asciiTheme="minorBidi" w:hAnsiTheme="minorBidi"/>
          <w:sz w:val="27"/>
          <w:rtl/>
        </w:rPr>
        <w:t xml:space="preserve"> </w:t>
      </w:r>
      <w:r w:rsidRPr="00282AC9">
        <w:rPr>
          <w:rFonts w:hint="eastAsia"/>
          <w:sz w:val="24"/>
          <w:szCs w:val="24"/>
          <w:rtl/>
        </w:rPr>
        <w:t>«</w:t>
      </w:r>
      <w:r w:rsidRPr="00282AC9">
        <w:rPr>
          <w:rFonts w:asciiTheme="minorBidi" w:hAnsiTheme="minorBidi"/>
          <w:sz w:val="27"/>
          <w:rtl/>
        </w:rPr>
        <w:t>السلطة المرجعي</w:t>
      </w:r>
      <w:r w:rsidR="00206C3B" w:rsidRPr="00282AC9">
        <w:rPr>
          <w:rFonts w:asciiTheme="minorBidi" w:hAnsiTheme="minorBidi" w:hint="cs"/>
          <w:sz w:val="27"/>
          <w:rtl/>
        </w:rPr>
        <w:t>ّ</w:t>
      </w:r>
      <w:r w:rsidRPr="00282AC9">
        <w:rPr>
          <w:rFonts w:asciiTheme="minorBidi" w:hAnsiTheme="minorBidi"/>
          <w:sz w:val="27"/>
          <w:rtl/>
        </w:rPr>
        <w:t>ة في علم أصول الفقه كانت للبحوث اللغوي</w:t>
      </w:r>
      <w:r w:rsidR="00206C3B" w:rsidRPr="00282AC9">
        <w:rPr>
          <w:rFonts w:asciiTheme="minorBidi" w:hAnsiTheme="minorBidi" w:hint="cs"/>
          <w:sz w:val="27"/>
          <w:rtl/>
        </w:rPr>
        <w:t>ّ</w:t>
      </w:r>
      <w:r w:rsidRPr="00282AC9">
        <w:rPr>
          <w:rFonts w:asciiTheme="minorBidi" w:hAnsiTheme="minorBidi"/>
          <w:sz w:val="27"/>
          <w:rtl/>
        </w:rPr>
        <w:t>ة، والمحور الرئيس الذي ينتظم هذه البحوث هو علاقة اللفظ بالمعنى</w:t>
      </w:r>
      <w:r w:rsidRPr="00282AC9">
        <w:rPr>
          <w:rFonts w:hint="eastAsia"/>
          <w:sz w:val="24"/>
          <w:szCs w:val="24"/>
          <w:rtl/>
        </w:rPr>
        <w:t>»</w:t>
      </w:r>
      <w:r w:rsidRPr="00282AC9">
        <w:rPr>
          <w:rFonts w:asciiTheme="minorBidi" w:hAnsiTheme="minorBidi"/>
          <w:sz w:val="27"/>
          <w:vertAlign w:val="superscript"/>
          <w:rtl/>
        </w:rPr>
        <w:t>(</w:t>
      </w:r>
      <w:r w:rsidRPr="00282AC9">
        <w:rPr>
          <w:rStyle w:val="af9"/>
          <w:rFonts w:asciiTheme="minorBidi" w:hAnsiTheme="minorBidi"/>
          <w:sz w:val="27"/>
          <w:rtl/>
        </w:rPr>
        <w:endnoteReference w:id="714"/>
      </w:r>
      <w:r w:rsidRPr="00282AC9">
        <w:rPr>
          <w:rFonts w:asciiTheme="minorBidi" w:hAnsiTheme="minorBidi"/>
          <w:sz w:val="27"/>
          <w:vertAlign w:val="superscript"/>
          <w:rtl/>
        </w:rPr>
        <w:t>)</w:t>
      </w:r>
      <w:r w:rsidRPr="00282AC9">
        <w:rPr>
          <w:rFonts w:asciiTheme="minorBidi" w:hAnsiTheme="minorBidi"/>
          <w:sz w:val="27"/>
          <w:rtl/>
        </w:rPr>
        <w:t>.</w:t>
      </w:r>
    </w:p>
    <w:p w:rsidR="00D722E4" w:rsidRPr="00282AC9" w:rsidRDefault="00206C3B" w:rsidP="00A20690">
      <w:pPr>
        <w:rPr>
          <w:rFonts w:ascii="Times New Roman" w:hAnsi="Times New Roman"/>
          <w:sz w:val="27"/>
          <w:rtl/>
          <w:lang w:bidi="ar-MA"/>
        </w:rPr>
      </w:pPr>
      <w:r w:rsidRPr="00282AC9">
        <w:rPr>
          <w:rFonts w:ascii="Times New Roman" w:hAnsi="Times New Roman" w:hint="cs"/>
          <w:sz w:val="27"/>
          <w:rtl/>
          <w:lang w:bidi="ar-MA"/>
        </w:rPr>
        <w:t>و</w:t>
      </w:r>
      <w:r w:rsidR="00D722E4" w:rsidRPr="00282AC9">
        <w:rPr>
          <w:rFonts w:ascii="Times New Roman" w:hAnsi="Times New Roman" w:hint="cs"/>
          <w:sz w:val="27"/>
          <w:rtl/>
          <w:lang w:bidi="ar-MA"/>
        </w:rPr>
        <w:t>ما</w:t>
      </w:r>
      <w:r w:rsidR="00D722E4" w:rsidRPr="00282AC9">
        <w:rPr>
          <w:rFonts w:ascii="Times New Roman" w:hAnsi="Times New Roman"/>
          <w:sz w:val="27"/>
          <w:rtl/>
          <w:lang w:bidi="ar-MA"/>
        </w:rPr>
        <w:t xml:space="preserve"> يدل</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على نزوع علم أصول الفقه نحو تفسير النص</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لاستمداد واستخلاص المعنى منه، هو استحضار علماء الأصول لكثير</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من المباحث اللغوي</w:t>
      </w:r>
      <w:r w:rsidR="00D722E4" w:rsidRPr="00282AC9">
        <w:rPr>
          <w:rFonts w:ascii="Times New Roman" w:hAnsi="Times New Roman" w:hint="cs"/>
          <w:sz w:val="27"/>
          <w:rtl/>
          <w:lang w:bidi="ar-MA"/>
        </w:rPr>
        <w:t>ة</w:t>
      </w:r>
      <w:r w:rsidR="00D722E4" w:rsidRPr="00282AC9">
        <w:rPr>
          <w:rFonts w:ascii="Times New Roman" w:hAnsi="Times New Roman"/>
          <w:sz w:val="27"/>
          <w:rtl/>
          <w:lang w:bidi="ar-MA"/>
        </w:rPr>
        <w:t>، والدلالي</w:t>
      </w:r>
      <w:r w:rsidRPr="00282AC9">
        <w:rPr>
          <w:rFonts w:ascii="Times New Roman" w:hAnsi="Times New Roman" w:hint="cs"/>
          <w:sz w:val="27"/>
          <w:rtl/>
          <w:lang w:bidi="ar-MA"/>
        </w:rPr>
        <w:t>ّة.</w:t>
      </w:r>
      <w:r w:rsidR="00D722E4" w:rsidRPr="00282AC9">
        <w:rPr>
          <w:rFonts w:ascii="Times New Roman" w:hAnsi="Times New Roman"/>
          <w:sz w:val="27"/>
          <w:rtl/>
          <w:lang w:bidi="ar-MA"/>
        </w:rPr>
        <w:t xml:space="preserve"> فأغلب المباحث </w:t>
      </w:r>
      <w:r w:rsidR="00D722E4" w:rsidRPr="00282AC9">
        <w:rPr>
          <w:rFonts w:ascii="Times New Roman" w:hAnsi="Times New Roman" w:hint="cs"/>
          <w:sz w:val="27"/>
          <w:rtl/>
          <w:lang w:bidi="ar-MA"/>
        </w:rPr>
        <w:t>المرك</w:t>
      </w:r>
      <w:r w:rsidRPr="00282AC9">
        <w:rPr>
          <w:rFonts w:ascii="Times New Roman" w:hAnsi="Times New Roman" w:hint="cs"/>
          <w:sz w:val="27"/>
          <w:rtl/>
          <w:lang w:bidi="ar-MA"/>
        </w:rPr>
        <w:t>ّ</w:t>
      </w:r>
      <w:r w:rsidR="00D722E4" w:rsidRPr="00282AC9">
        <w:rPr>
          <w:rFonts w:ascii="Times New Roman" w:hAnsi="Times New Roman" w:hint="cs"/>
          <w:sz w:val="27"/>
          <w:rtl/>
          <w:lang w:bidi="ar-MA"/>
        </w:rPr>
        <w:t>بة لعلم أصول الفقه</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التي دو</w:t>
      </w:r>
      <w:r w:rsidRPr="00282AC9">
        <w:rPr>
          <w:rFonts w:ascii="Times New Roman" w:hAnsi="Times New Roman" w:hint="cs"/>
          <w:sz w:val="27"/>
          <w:rtl/>
          <w:lang w:bidi="ar-MA"/>
        </w:rPr>
        <w:t>ِّ</w:t>
      </w:r>
      <w:r w:rsidR="00D722E4" w:rsidRPr="00282AC9">
        <w:rPr>
          <w:rFonts w:ascii="Times New Roman" w:hAnsi="Times New Roman"/>
          <w:sz w:val="27"/>
          <w:rtl/>
          <w:lang w:bidi="ar-MA"/>
        </w:rPr>
        <w:t>نت في هذا العلم</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مباحث تنتمي لعلم اللغة بجميع مستوياته:</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التركيب</w:t>
      </w:r>
      <w:r w:rsidR="00716928" w:rsidRPr="00282AC9">
        <w:rPr>
          <w:rFonts w:ascii="Times New Roman" w:hAnsi="Times New Roman" w:hint="cs"/>
          <w:sz w:val="27"/>
          <w:rtl/>
          <w:lang w:bidi="ar-MA"/>
        </w:rPr>
        <w:t>،</w:t>
      </w:r>
      <w:r w:rsidR="00D722E4" w:rsidRPr="00282AC9">
        <w:rPr>
          <w:rFonts w:ascii="Times New Roman" w:hAnsi="Times New Roman"/>
          <w:sz w:val="27"/>
          <w:rtl/>
          <w:lang w:bidi="ar-MA"/>
        </w:rPr>
        <w:t xml:space="preserve"> والمعجم</w:t>
      </w:r>
      <w:r w:rsidR="00716928" w:rsidRPr="00282AC9">
        <w:rPr>
          <w:rFonts w:ascii="Times New Roman" w:hAnsi="Times New Roman" w:hint="cs"/>
          <w:sz w:val="27"/>
          <w:rtl/>
          <w:lang w:bidi="ar-MA"/>
        </w:rPr>
        <w:t>،</w:t>
      </w:r>
      <w:r w:rsidR="00D722E4" w:rsidRPr="00282AC9">
        <w:rPr>
          <w:rFonts w:ascii="Times New Roman" w:hAnsi="Times New Roman"/>
          <w:sz w:val="27"/>
          <w:rtl/>
          <w:lang w:bidi="ar-MA"/>
        </w:rPr>
        <w:t xml:space="preserve"> والدلالة</w:t>
      </w:r>
      <w:r w:rsidR="00716928" w:rsidRPr="00282AC9">
        <w:rPr>
          <w:rFonts w:ascii="Times New Roman" w:hAnsi="Times New Roman" w:hint="cs"/>
          <w:sz w:val="27"/>
          <w:rtl/>
          <w:lang w:bidi="ar-MA"/>
        </w:rPr>
        <w:t>.</w:t>
      </w:r>
      <w:r w:rsidR="00D722E4" w:rsidRPr="00282AC9">
        <w:rPr>
          <w:rFonts w:ascii="Times New Roman" w:hAnsi="Times New Roman"/>
          <w:sz w:val="27"/>
          <w:rtl/>
          <w:lang w:bidi="ar-MA"/>
        </w:rPr>
        <w:t xml:space="preserve"> فهي علوم</w:t>
      </w:r>
      <w:r w:rsidR="00716928" w:rsidRPr="00282AC9">
        <w:rPr>
          <w:rFonts w:ascii="Times New Roman" w:hAnsi="Times New Roman" w:hint="cs"/>
          <w:sz w:val="27"/>
          <w:rtl/>
          <w:lang w:bidi="ar-MA"/>
        </w:rPr>
        <w:t>ٌ</w:t>
      </w:r>
      <w:r w:rsidR="00D722E4" w:rsidRPr="00282AC9">
        <w:rPr>
          <w:rFonts w:ascii="Times New Roman" w:hAnsi="Times New Roman"/>
          <w:sz w:val="27"/>
          <w:rtl/>
          <w:lang w:bidi="ar-MA"/>
        </w:rPr>
        <w:t xml:space="preserve"> تنزع نحو التفسير والبيان</w:t>
      </w:r>
      <w:r w:rsidR="00716928" w:rsidRPr="00282AC9">
        <w:rPr>
          <w:rFonts w:ascii="Times New Roman" w:hAnsi="Times New Roman" w:hint="cs"/>
          <w:sz w:val="27"/>
          <w:rtl/>
          <w:lang w:bidi="ar-MA"/>
        </w:rPr>
        <w:t>.</w:t>
      </w:r>
      <w:r w:rsidR="00D722E4" w:rsidRPr="00282AC9">
        <w:rPr>
          <w:rFonts w:ascii="Times New Roman" w:hAnsi="Times New Roman"/>
          <w:sz w:val="27"/>
          <w:rtl/>
          <w:lang w:bidi="ar-MA"/>
        </w:rPr>
        <w:t xml:space="preserve"> وهذا يعود </w:t>
      </w:r>
      <w:r w:rsidR="00716928" w:rsidRPr="00282AC9">
        <w:rPr>
          <w:rFonts w:ascii="Times New Roman" w:hAnsi="Times New Roman" w:hint="cs"/>
          <w:sz w:val="27"/>
          <w:rtl/>
          <w:lang w:bidi="ar-MA"/>
        </w:rPr>
        <w:t xml:space="preserve">إلى </w:t>
      </w:r>
      <w:r w:rsidR="00D722E4" w:rsidRPr="00282AC9">
        <w:rPr>
          <w:rFonts w:ascii="Times New Roman" w:hAnsi="Times New Roman"/>
          <w:sz w:val="27"/>
          <w:rtl/>
          <w:lang w:bidi="ar-MA"/>
        </w:rPr>
        <w:t xml:space="preserve">أن </w:t>
      </w:r>
      <w:r w:rsidR="00D722E4" w:rsidRPr="00282AC9">
        <w:rPr>
          <w:rFonts w:hint="eastAsia"/>
          <w:sz w:val="24"/>
          <w:szCs w:val="24"/>
          <w:rtl/>
          <w:lang w:bidi="ar-MA"/>
        </w:rPr>
        <w:t>«</w:t>
      </w:r>
      <w:r w:rsidR="00D722E4" w:rsidRPr="00282AC9">
        <w:rPr>
          <w:rFonts w:ascii="Times New Roman" w:hAnsi="Times New Roman"/>
          <w:sz w:val="27"/>
          <w:rtl/>
          <w:lang w:bidi="ar-MA"/>
        </w:rPr>
        <w:t>الحق</w:t>
      </w:r>
      <w:r w:rsidR="00716928"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سبحانه خاطب العرب بلسانها</w:t>
      </w:r>
      <w:r w:rsidR="00716928" w:rsidRPr="00282AC9">
        <w:rPr>
          <w:rFonts w:ascii="Times New Roman" w:hAnsi="Times New Roman" w:hint="cs"/>
          <w:sz w:val="27"/>
          <w:rtl/>
          <w:lang w:bidi="ar-MA"/>
        </w:rPr>
        <w:t>،</w:t>
      </w:r>
      <w:r w:rsidR="00D722E4" w:rsidRPr="00282AC9">
        <w:rPr>
          <w:rFonts w:ascii="Times New Roman" w:hAnsi="Times New Roman"/>
          <w:sz w:val="27"/>
          <w:rtl/>
          <w:lang w:bidi="ar-MA"/>
        </w:rPr>
        <w:t xml:space="preserve"> على ما تعرف من معانيها</w:t>
      </w:r>
      <w:r w:rsidR="00D722E4" w:rsidRPr="00282AC9">
        <w:rPr>
          <w:rFonts w:hint="eastAsia"/>
          <w:sz w:val="24"/>
          <w:szCs w:val="24"/>
          <w:rtl/>
        </w:rPr>
        <w:t>»</w:t>
      </w:r>
      <w:r w:rsidR="00D722E4" w:rsidRPr="00282AC9">
        <w:rPr>
          <w:rFonts w:ascii="Times New Roman" w:hAnsi="Times New Roman"/>
          <w:sz w:val="27"/>
          <w:vertAlign w:val="superscript"/>
          <w:rtl/>
          <w:lang w:bidi="ar-MA"/>
        </w:rPr>
        <w:t>(</w:t>
      </w:r>
      <w:r w:rsidR="00D722E4" w:rsidRPr="00282AC9">
        <w:rPr>
          <w:rStyle w:val="af9"/>
          <w:rFonts w:ascii="Times New Roman" w:hAnsi="Times New Roman"/>
          <w:sz w:val="27"/>
          <w:rtl/>
          <w:lang w:bidi="ar-MA"/>
        </w:rPr>
        <w:endnoteReference w:id="715"/>
      </w:r>
      <w:r w:rsidR="00D722E4" w:rsidRPr="00282AC9">
        <w:rPr>
          <w:rFonts w:ascii="Times New Roman" w:hAnsi="Times New Roman"/>
          <w:sz w:val="27"/>
          <w:vertAlign w:val="superscript"/>
          <w:rtl/>
          <w:lang w:bidi="ar-MA"/>
        </w:rPr>
        <w:t>)</w:t>
      </w:r>
      <w:r w:rsidR="00D722E4" w:rsidRPr="00282AC9">
        <w:rPr>
          <w:rFonts w:ascii="Times New Roman" w:hAnsi="Times New Roman" w:hint="cs"/>
          <w:sz w:val="27"/>
          <w:rtl/>
          <w:lang w:bidi="ar-MA"/>
        </w:rPr>
        <w:t>.</w:t>
      </w:r>
      <w:r w:rsidR="00D722E4" w:rsidRPr="00282AC9">
        <w:rPr>
          <w:rFonts w:ascii="Times New Roman" w:hAnsi="Times New Roman"/>
          <w:sz w:val="27"/>
          <w:rtl/>
          <w:lang w:bidi="ar-MA"/>
        </w:rPr>
        <w:t xml:space="preserve"> </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 xml:space="preserve">فالمرجع في التفسير والبيان والفهم هو </w:t>
      </w:r>
      <w:r w:rsidRPr="00282AC9">
        <w:rPr>
          <w:rFonts w:ascii="Times New Roman" w:hAnsi="Times New Roman" w:hint="cs"/>
          <w:sz w:val="27"/>
          <w:rtl/>
          <w:lang w:bidi="ar-MA"/>
        </w:rPr>
        <w:t xml:space="preserve">قواعد </w:t>
      </w:r>
      <w:r w:rsidRPr="00282AC9">
        <w:rPr>
          <w:rFonts w:ascii="Times New Roman" w:hAnsi="Times New Roman"/>
          <w:sz w:val="27"/>
          <w:rtl/>
          <w:lang w:bidi="ar-MA"/>
        </w:rPr>
        <w:t xml:space="preserve">اللغة العربية، وأعرافها في الأداء، ومعهودها في التخاطب، ومقتضياتها في صرف ونقل المعنى، </w:t>
      </w:r>
      <w:r w:rsidRPr="00282AC9">
        <w:rPr>
          <w:rFonts w:ascii="Times New Roman" w:hAnsi="Times New Roman" w:hint="cs"/>
          <w:sz w:val="27"/>
          <w:rtl/>
          <w:lang w:bidi="ar-MA"/>
        </w:rPr>
        <w:t xml:space="preserve">وما يتبع </w:t>
      </w:r>
      <w:r w:rsidRPr="00282AC9">
        <w:rPr>
          <w:rFonts w:ascii="Times New Roman" w:hAnsi="Times New Roman"/>
          <w:sz w:val="27"/>
          <w:rtl/>
          <w:lang w:bidi="ar-MA"/>
        </w:rPr>
        <w:t>من</w:t>
      </w:r>
      <w:r w:rsidRPr="00282AC9">
        <w:rPr>
          <w:rFonts w:ascii="Times New Roman" w:hAnsi="Times New Roman" w:hint="cs"/>
          <w:sz w:val="27"/>
          <w:rtl/>
          <w:lang w:bidi="ar-MA"/>
        </w:rPr>
        <w:t xml:space="preserve"> تحو</w:t>
      </w:r>
      <w:r w:rsidR="00716928" w:rsidRPr="00282AC9">
        <w:rPr>
          <w:rFonts w:ascii="Times New Roman" w:hAnsi="Times New Roman" w:hint="cs"/>
          <w:sz w:val="27"/>
          <w:rtl/>
          <w:lang w:bidi="ar-MA"/>
        </w:rPr>
        <w:t>ُّ</w:t>
      </w:r>
      <w:r w:rsidRPr="00282AC9">
        <w:rPr>
          <w:rFonts w:ascii="Times New Roman" w:hAnsi="Times New Roman" w:hint="cs"/>
          <w:sz w:val="27"/>
          <w:rtl/>
          <w:lang w:bidi="ar-MA"/>
        </w:rPr>
        <w:t>ل المعنى من المواضعة</w:t>
      </w:r>
      <w:r w:rsidRPr="00282AC9">
        <w:rPr>
          <w:rFonts w:ascii="Times New Roman" w:hAnsi="Times New Roman"/>
          <w:sz w:val="27"/>
          <w:rtl/>
          <w:lang w:bidi="ar-MA"/>
        </w:rPr>
        <w:t xml:space="preserve"> اللغوي</w:t>
      </w:r>
      <w:r w:rsidR="00716928" w:rsidRPr="00282AC9">
        <w:rPr>
          <w:rFonts w:ascii="Times New Roman" w:hAnsi="Times New Roman" w:hint="cs"/>
          <w:sz w:val="27"/>
          <w:rtl/>
          <w:lang w:bidi="ar-MA"/>
        </w:rPr>
        <w:t>ّ</w:t>
      </w:r>
      <w:r w:rsidRPr="00282AC9">
        <w:rPr>
          <w:rFonts w:ascii="Times New Roman" w:hAnsi="Times New Roman"/>
          <w:sz w:val="27"/>
          <w:rtl/>
          <w:lang w:bidi="ar-MA"/>
        </w:rPr>
        <w:t>ة إلى الشرعي</w:t>
      </w:r>
      <w:r w:rsidR="00716928" w:rsidRPr="00282AC9">
        <w:rPr>
          <w:rFonts w:ascii="Times New Roman" w:hAnsi="Times New Roman" w:hint="cs"/>
          <w:sz w:val="27"/>
          <w:rtl/>
          <w:lang w:bidi="ar-MA"/>
        </w:rPr>
        <w:t>ّ</w:t>
      </w:r>
      <w:r w:rsidRPr="00282AC9">
        <w:rPr>
          <w:rFonts w:ascii="Times New Roman" w:hAnsi="Times New Roman"/>
          <w:sz w:val="27"/>
          <w:rtl/>
          <w:lang w:bidi="ar-MA"/>
        </w:rPr>
        <w:t xml:space="preserve">ة أو </w:t>
      </w:r>
      <w:r w:rsidRPr="00282AC9">
        <w:rPr>
          <w:rFonts w:ascii="Times New Roman" w:hAnsi="Times New Roman" w:hint="cs"/>
          <w:sz w:val="27"/>
          <w:rtl/>
          <w:lang w:bidi="ar-MA"/>
        </w:rPr>
        <w:t xml:space="preserve">المواضعة </w:t>
      </w:r>
      <w:r w:rsidRPr="00282AC9">
        <w:rPr>
          <w:rFonts w:ascii="Times New Roman" w:hAnsi="Times New Roman"/>
          <w:sz w:val="27"/>
          <w:rtl/>
          <w:lang w:bidi="ar-MA"/>
        </w:rPr>
        <w:t>الع</w:t>
      </w:r>
      <w:r w:rsidR="00716928" w:rsidRPr="00282AC9">
        <w:rPr>
          <w:rFonts w:ascii="Times New Roman" w:hAnsi="Times New Roman" w:hint="cs"/>
          <w:sz w:val="27"/>
          <w:rtl/>
          <w:lang w:bidi="ar-MA"/>
        </w:rPr>
        <w:t>ُ</w:t>
      </w:r>
      <w:r w:rsidRPr="00282AC9">
        <w:rPr>
          <w:rFonts w:ascii="Times New Roman" w:hAnsi="Times New Roman"/>
          <w:sz w:val="27"/>
          <w:rtl/>
          <w:lang w:bidi="ar-MA"/>
        </w:rPr>
        <w:t>ر</w:t>
      </w:r>
      <w:r w:rsidR="00716928" w:rsidRPr="00282AC9">
        <w:rPr>
          <w:rFonts w:ascii="Times New Roman" w:hAnsi="Times New Roman" w:hint="cs"/>
          <w:sz w:val="27"/>
          <w:rtl/>
          <w:lang w:bidi="ar-MA"/>
        </w:rPr>
        <w:t>ْ</w:t>
      </w:r>
      <w:r w:rsidRPr="00282AC9">
        <w:rPr>
          <w:rFonts w:ascii="Times New Roman" w:hAnsi="Times New Roman"/>
          <w:sz w:val="27"/>
          <w:rtl/>
          <w:lang w:bidi="ar-MA"/>
        </w:rPr>
        <w:t>فية</w:t>
      </w:r>
      <w:r w:rsidRPr="00282AC9">
        <w:rPr>
          <w:rFonts w:ascii="Times New Roman" w:hAnsi="Times New Roman" w:hint="cs"/>
          <w:sz w:val="27"/>
          <w:rtl/>
          <w:lang w:bidi="ar-MA"/>
        </w:rPr>
        <w:t xml:space="preserve">، </w:t>
      </w:r>
      <w:r w:rsidRPr="00282AC9">
        <w:rPr>
          <w:rFonts w:ascii="Times New Roman" w:hAnsi="Times New Roman"/>
          <w:sz w:val="27"/>
          <w:rtl/>
          <w:lang w:bidi="ar-MA"/>
        </w:rPr>
        <w:t>بحيث لا تظهر ثمرة الاستدلال إلا</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بفهم النص</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كما صر</w:t>
      </w:r>
      <w:r w:rsidR="00B566FC" w:rsidRPr="00282AC9">
        <w:rPr>
          <w:rFonts w:ascii="Times New Roman" w:hAnsi="Times New Roman" w:hint="cs"/>
          <w:sz w:val="27"/>
          <w:rtl/>
          <w:lang w:bidi="ar-MA"/>
        </w:rPr>
        <w:t>ّ</w:t>
      </w:r>
      <w:r w:rsidRPr="00282AC9">
        <w:rPr>
          <w:rFonts w:ascii="Times New Roman" w:hAnsi="Times New Roman"/>
          <w:sz w:val="27"/>
          <w:rtl/>
          <w:lang w:bidi="ar-MA"/>
        </w:rPr>
        <w:t>ح بذلك الإمام الشاطبي</w:t>
      </w:r>
      <w:r w:rsidRPr="00282AC9">
        <w:rPr>
          <w:rFonts w:ascii="Times New Roman" w:hAnsi="Times New Roman" w:hint="cs"/>
          <w:sz w:val="27"/>
          <w:rtl/>
          <w:lang w:bidi="ar-MA"/>
        </w:rPr>
        <w:t>(</w:t>
      </w:r>
      <w:r w:rsidRPr="00282AC9">
        <w:rPr>
          <w:rFonts w:ascii="Times New Roman" w:hAnsi="Times New Roman"/>
          <w:sz w:val="27"/>
          <w:rtl/>
          <w:lang w:bidi="ar-MA"/>
        </w:rPr>
        <w:t>790ه</w:t>
      </w:r>
      <w:r w:rsidRPr="00282AC9">
        <w:rPr>
          <w:rFonts w:ascii="Times New Roman" w:hAnsi="Times New Roman" w:hint="cs"/>
          <w:sz w:val="27"/>
          <w:rtl/>
          <w:lang w:bidi="ar-MA"/>
        </w:rPr>
        <w:t>ـ)</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عندما قال في الموافقات: </w:t>
      </w:r>
      <w:r w:rsidRPr="00282AC9">
        <w:rPr>
          <w:rFonts w:hint="eastAsia"/>
          <w:sz w:val="24"/>
          <w:szCs w:val="24"/>
          <w:rtl/>
          <w:lang w:bidi="ar-MA"/>
        </w:rPr>
        <w:t>«</w:t>
      </w:r>
      <w:r w:rsidRPr="00282AC9">
        <w:rPr>
          <w:rFonts w:ascii="Times New Roman" w:hAnsi="Times New Roman"/>
          <w:sz w:val="27"/>
          <w:rtl/>
          <w:lang w:bidi="ar-MA"/>
        </w:rPr>
        <w:t>لا تظهر ثمرة الفهم إلا</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في الاستنباط</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16"/>
      </w:r>
      <w:r w:rsidRPr="00282AC9">
        <w:rPr>
          <w:rFonts w:ascii="Times New Roman" w:hAnsi="Times New Roman"/>
          <w:sz w:val="27"/>
          <w:vertAlign w:val="superscript"/>
          <w:rtl/>
          <w:lang w:bidi="ar-MA"/>
        </w:rPr>
        <w:t>)</w:t>
      </w:r>
      <w:r w:rsidRPr="00282AC9">
        <w:rPr>
          <w:rFonts w:ascii="Times New Roman" w:hAnsi="Times New Roman"/>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فتوج</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ه علم أصول الفقه </w:t>
      </w:r>
      <w:r w:rsidRPr="00282AC9">
        <w:rPr>
          <w:rFonts w:ascii="Times New Roman" w:hAnsi="Times New Roman" w:hint="cs"/>
          <w:sz w:val="27"/>
          <w:rtl/>
          <w:lang w:bidi="ar-MA"/>
        </w:rPr>
        <w:t>نحو ا</w:t>
      </w:r>
      <w:r w:rsidRPr="00282AC9">
        <w:rPr>
          <w:rFonts w:ascii="Times New Roman" w:hAnsi="Times New Roman"/>
          <w:sz w:val="27"/>
          <w:rtl/>
          <w:lang w:bidi="ar-MA"/>
        </w:rPr>
        <w:t xml:space="preserve">للغة يعود إلى </w:t>
      </w:r>
      <w:r w:rsidRPr="00282AC9">
        <w:rPr>
          <w:rFonts w:ascii="Times New Roman" w:hAnsi="Times New Roman" w:hint="cs"/>
          <w:sz w:val="27"/>
          <w:rtl/>
          <w:lang w:bidi="ar-MA"/>
        </w:rPr>
        <w:t>اشتغاله ب</w:t>
      </w:r>
      <w:r w:rsidRPr="00282AC9">
        <w:rPr>
          <w:rFonts w:ascii="Times New Roman" w:hAnsi="Times New Roman"/>
          <w:sz w:val="27"/>
          <w:rtl/>
          <w:lang w:bidi="ar-MA"/>
        </w:rPr>
        <w:t>التفسير والقراءة</w:t>
      </w:r>
      <w:r w:rsidR="00B566F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وهو توج</w:t>
      </w:r>
      <w:r w:rsidR="00B566FC" w:rsidRPr="00282AC9">
        <w:rPr>
          <w:rFonts w:ascii="Times New Roman" w:hAnsi="Times New Roman" w:hint="cs"/>
          <w:sz w:val="27"/>
          <w:rtl/>
          <w:lang w:bidi="ar-MA"/>
        </w:rPr>
        <w:t>ُّ</w:t>
      </w:r>
      <w:r w:rsidRPr="00282AC9">
        <w:rPr>
          <w:rFonts w:ascii="Times New Roman" w:hAnsi="Times New Roman"/>
          <w:sz w:val="27"/>
          <w:rtl/>
          <w:lang w:bidi="ar-MA"/>
        </w:rPr>
        <w:t>ه</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يجد مبر</w:t>
      </w:r>
      <w:r w:rsidR="00B566FC" w:rsidRPr="00282AC9">
        <w:rPr>
          <w:rFonts w:ascii="Times New Roman" w:hAnsi="Times New Roman" w:hint="cs"/>
          <w:sz w:val="27"/>
          <w:rtl/>
          <w:lang w:bidi="ar-MA"/>
        </w:rPr>
        <w:t>ِّ</w:t>
      </w:r>
      <w:r w:rsidRPr="00282AC9">
        <w:rPr>
          <w:rFonts w:ascii="Times New Roman" w:hAnsi="Times New Roman"/>
          <w:sz w:val="27"/>
          <w:rtl/>
          <w:lang w:bidi="ar-MA"/>
        </w:rPr>
        <w:t>ره وسنده في توق</w:t>
      </w:r>
      <w:r w:rsidR="00B566FC" w:rsidRPr="00282AC9">
        <w:rPr>
          <w:rFonts w:ascii="Times New Roman" w:hAnsi="Times New Roman" w:hint="cs"/>
          <w:sz w:val="27"/>
          <w:rtl/>
          <w:lang w:bidi="ar-MA"/>
        </w:rPr>
        <w:t>ُّ</w:t>
      </w:r>
      <w:r w:rsidRPr="00282AC9">
        <w:rPr>
          <w:rFonts w:ascii="Times New Roman" w:hAnsi="Times New Roman"/>
          <w:sz w:val="27"/>
          <w:rtl/>
          <w:lang w:bidi="ar-MA"/>
        </w:rPr>
        <w:t>ف الاستدلال على فهم النص</w:t>
      </w:r>
      <w:r w:rsidR="00B566FC" w:rsidRPr="00282AC9">
        <w:rPr>
          <w:rFonts w:ascii="Times New Roman" w:hAnsi="Times New Roman" w:hint="cs"/>
          <w:sz w:val="27"/>
          <w:rtl/>
          <w:lang w:bidi="ar-MA"/>
        </w:rPr>
        <w:t>ّ</w:t>
      </w:r>
      <w:r w:rsidRPr="00282AC9">
        <w:rPr>
          <w:rFonts w:ascii="Times New Roman" w:hAnsi="Times New Roman"/>
          <w:sz w:val="27"/>
          <w:rtl/>
          <w:lang w:bidi="ar-MA"/>
        </w:rPr>
        <w:t>، وإدراك حمولته اللغوي</w:t>
      </w:r>
      <w:r w:rsidR="00B566FC" w:rsidRPr="00282AC9">
        <w:rPr>
          <w:rFonts w:ascii="Times New Roman" w:hAnsi="Times New Roman" w:hint="cs"/>
          <w:sz w:val="27"/>
          <w:rtl/>
          <w:lang w:bidi="ar-MA"/>
        </w:rPr>
        <w:t>ّ</w:t>
      </w:r>
      <w:r w:rsidRPr="00282AC9">
        <w:rPr>
          <w:rFonts w:ascii="Times New Roman" w:hAnsi="Times New Roman"/>
          <w:sz w:val="27"/>
          <w:rtl/>
          <w:lang w:bidi="ar-MA"/>
        </w:rPr>
        <w:t>ة</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ومعانيه الشرعية</w:t>
      </w:r>
      <w:r w:rsidR="00B566F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ل</w:t>
      </w:r>
      <w:r w:rsidRPr="00282AC9">
        <w:rPr>
          <w:rFonts w:ascii="Times New Roman" w:hAnsi="Times New Roman" w:hint="cs"/>
          <w:sz w:val="27"/>
          <w:rtl/>
          <w:lang w:bidi="ar-MA"/>
        </w:rPr>
        <w:t>أ</w:t>
      </w:r>
      <w:r w:rsidRPr="00282AC9">
        <w:rPr>
          <w:rFonts w:ascii="Times New Roman" w:hAnsi="Times New Roman"/>
          <w:sz w:val="27"/>
          <w:rtl/>
          <w:lang w:bidi="ar-MA"/>
        </w:rPr>
        <w:t>ن الفهم لمحتوى النص</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في دلالته</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وفي معانيه ومقاصده</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هو </w:t>
      </w:r>
      <w:r w:rsidRPr="00282AC9">
        <w:rPr>
          <w:rFonts w:ascii="Times New Roman" w:hAnsi="Times New Roman" w:hint="cs"/>
          <w:sz w:val="27"/>
          <w:rtl/>
          <w:lang w:bidi="ar-MA"/>
        </w:rPr>
        <w:t>ال</w:t>
      </w:r>
      <w:r w:rsidRPr="00282AC9">
        <w:rPr>
          <w:rFonts w:ascii="Times New Roman" w:hAnsi="Times New Roman"/>
          <w:sz w:val="27"/>
          <w:rtl/>
          <w:lang w:bidi="ar-MA"/>
        </w:rPr>
        <w:t xml:space="preserve">مدخل </w:t>
      </w:r>
      <w:r w:rsidRPr="00282AC9">
        <w:rPr>
          <w:rFonts w:ascii="Times New Roman" w:hAnsi="Times New Roman" w:hint="cs"/>
          <w:sz w:val="27"/>
          <w:rtl/>
          <w:lang w:bidi="ar-MA"/>
        </w:rPr>
        <w:t>ال</w:t>
      </w:r>
      <w:r w:rsidRPr="00282AC9">
        <w:rPr>
          <w:rFonts w:ascii="Times New Roman" w:hAnsi="Times New Roman"/>
          <w:sz w:val="27"/>
          <w:rtl/>
          <w:lang w:bidi="ar-MA"/>
        </w:rPr>
        <w:t>أو</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لي لاستنباط </w:t>
      </w:r>
      <w:r w:rsidRPr="00282AC9">
        <w:rPr>
          <w:rFonts w:ascii="Times New Roman" w:hAnsi="Times New Roman" w:hint="cs"/>
          <w:sz w:val="27"/>
          <w:rtl/>
          <w:lang w:bidi="ar-MA"/>
        </w:rPr>
        <w:t>الأحكام الشرعية</w:t>
      </w:r>
      <w:r w:rsidR="00B566F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 xml:space="preserve">باعتبار </w:t>
      </w:r>
      <w:r w:rsidRPr="00282AC9">
        <w:rPr>
          <w:rFonts w:ascii="Times New Roman" w:hAnsi="Times New Roman" w:hint="cs"/>
          <w:sz w:val="27"/>
          <w:rtl/>
          <w:lang w:bidi="ar-MA"/>
        </w:rPr>
        <w:t>أ</w:t>
      </w:r>
      <w:r w:rsidRPr="00282AC9">
        <w:rPr>
          <w:rFonts w:ascii="Times New Roman" w:hAnsi="Times New Roman"/>
          <w:sz w:val="27"/>
          <w:rtl/>
          <w:lang w:bidi="ar-MA"/>
        </w:rPr>
        <w:t>نه</w:t>
      </w:r>
      <w:r w:rsidRPr="00282AC9">
        <w:rPr>
          <w:rFonts w:ascii="Times New Roman" w:hAnsi="Times New Roman" w:hint="cs"/>
          <w:sz w:val="27"/>
          <w:rtl/>
          <w:lang w:bidi="ar-MA"/>
        </w:rPr>
        <w:t xml:space="preserve"> </w:t>
      </w:r>
      <w:r w:rsidRPr="00282AC9">
        <w:rPr>
          <w:rFonts w:hint="eastAsia"/>
          <w:sz w:val="24"/>
          <w:szCs w:val="24"/>
          <w:rtl/>
        </w:rPr>
        <w:t>«</w:t>
      </w:r>
      <w:r w:rsidRPr="00282AC9">
        <w:rPr>
          <w:rFonts w:ascii="Times New Roman" w:hAnsi="Times New Roman"/>
          <w:sz w:val="27"/>
          <w:rtl/>
        </w:rPr>
        <w:t>لا استنباط بدون فقه</w:t>
      </w:r>
      <w:r w:rsidR="00B566FC" w:rsidRPr="00282AC9">
        <w:rPr>
          <w:rFonts w:ascii="Times New Roman" w:hAnsi="Times New Roman" w:hint="cs"/>
          <w:sz w:val="27"/>
          <w:rtl/>
        </w:rPr>
        <w:t>ٍ</w:t>
      </w:r>
      <w:r w:rsidRPr="00282AC9">
        <w:rPr>
          <w:rFonts w:ascii="Times New Roman" w:hAnsi="Times New Roman"/>
          <w:sz w:val="27"/>
          <w:rtl/>
        </w:rPr>
        <w:t xml:space="preserve"> للنص</w:t>
      </w:r>
      <w:r w:rsidRPr="00282AC9">
        <w:rPr>
          <w:rFonts w:ascii="Times New Roman" w:hAnsi="Times New Roman" w:hint="cs"/>
          <w:sz w:val="27"/>
          <w:rtl/>
        </w:rPr>
        <w:t>ّ</w:t>
      </w:r>
      <w:r w:rsidRPr="00282AC9">
        <w:rPr>
          <w:rFonts w:ascii="Times New Roman" w:hAnsi="Times New Roman"/>
          <w:sz w:val="27"/>
          <w:rtl/>
        </w:rPr>
        <w:t xml:space="preserve"> الشرعي</w:t>
      </w:r>
      <w:r w:rsidRPr="00282AC9">
        <w:rPr>
          <w:rFonts w:ascii="Times New Roman" w:hAnsi="Times New Roman" w:hint="cs"/>
          <w:sz w:val="27"/>
          <w:rtl/>
        </w:rPr>
        <w:t>ّ</w:t>
      </w:r>
      <w:r w:rsidRPr="00282AC9">
        <w:rPr>
          <w:rFonts w:hint="eastAsia"/>
          <w:sz w:val="24"/>
          <w:szCs w:val="24"/>
          <w:rtl/>
        </w:rPr>
        <w:t>»</w:t>
      </w:r>
      <w:r w:rsidR="00B566FC" w:rsidRPr="00282AC9">
        <w:rPr>
          <w:rFonts w:ascii="Times New Roman" w:hAnsi="Times New Roman" w:hint="cs"/>
          <w:sz w:val="27"/>
          <w:rtl/>
        </w:rPr>
        <w:t>،</w:t>
      </w:r>
      <w:r w:rsidRPr="00282AC9">
        <w:rPr>
          <w:rFonts w:ascii="Times New Roman" w:hAnsi="Times New Roman" w:hint="cs"/>
          <w:sz w:val="27"/>
          <w:rtl/>
        </w:rPr>
        <w:t xml:space="preserve"> </w:t>
      </w:r>
      <w:r w:rsidRPr="00282AC9">
        <w:rPr>
          <w:rFonts w:ascii="Times New Roman" w:hAnsi="Times New Roman"/>
          <w:sz w:val="27"/>
          <w:rtl/>
        </w:rPr>
        <w:t>كما يقول علماء الأصول.</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rPr>
        <w:t xml:space="preserve"> </w:t>
      </w:r>
      <w:r w:rsidRPr="00282AC9">
        <w:rPr>
          <w:rFonts w:ascii="Times New Roman" w:hAnsi="Times New Roman"/>
          <w:sz w:val="27"/>
          <w:rtl/>
        </w:rPr>
        <w:t xml:space="preserve">هذا </w:t>
      </w:r>
      <w:r w:rsidRPr="00282AC9">
        <w:rPr>
          <w:rFonts w:ascii="Times New Roman" w:hAnsi="Times New Roman" w:hint="cs"/>
          <w:sz w:val="27"/>
          <w:rtl/>
        </w:rPr>
        <w:t xml:space="preserve">الاعتبار </w:t>
      </w:r>
      <w:r w:rsidRPr="00282AC9">
        <w:rPr>
          <w:rFonts w:ascii="Times New Roman" w:hAnsi="Times New Roman"/>
          <w:sz w:val="27"/>
          <w:rtl/>
        </w:rPr>
        <w:t>جعل</w:t>
      </w:r>
      <w:r w:rsidRPr="00282AC9">
        <w:rPr>
          <w:rFonts w:ascii="Times New Roman" w:hAnsi="Times New Roman" w:hint="cs"/>
          <w:sz w:val="27"/>
          <w:rtl/>
        </w:rPr>
        <w:t xml:space="preserve"> من </w:t>
      </w:r>
      <w:r w:rsidRPr="00282AC9">
        <w:rPr>
          <w:rFonts w:ascii="Times New Roman" w:hAnsi="Times New Roman"/>
          <w:sz w:val="27"/>
          <w:rtl/>
        </w:rPr>
        <w:t>مصن</w:t>
      </w:r>
      <w:r w:rsidR="00B566FC" w:rsidRPr="00282AC9">
        <w:rPr>
          <w:rFonts w:ascii="Times New Roman" w:hAnsi="Times New Roman" w:hint="cs"/>
          <w:sz w:val="27"/>
          <w:rtl/>
        </w:rPr>
        <w:t>ّ</w:t>
      </w:r>
      <w:r w:rsidRPr="00282AC9">
        <w:rPr>
          <w:rFonts w:ascii="Times New Roman" w:hAnsi="Times New Roman"/>
          <w:sz w:val="27"/>
          <w:rtl/>
        </w:rPr>
        <w:t>فات ومدو</w:t>
      </w:r>
      <w:r w:rsidR="00B566FC" w:rsidRPr="00282AC9">
        <w:rPr>
          <w:rFonts w:ascii="Times New Roman" w:hAnsi="Times New Roman" w:hint="cs"/>
          <w:sz w:val="27"/>
          <w:rtl/>
        </w:rPr>
        <w:t>ّ</w:t>
      </w:r>
      <w:r w:rsidRPr="00282AC9">
        <w:rPr>
          <w:rFonts w:ascii="Times New Roman" w:hAnsi="Times New Roman"/>
          <w:sz w:val="27"/>
          <w:rtl/>
        </w:rPr>
        <w:t xml:space="preserve">نات علم أصول الفقه </w:t>
      </w:r>
      <w:r w:rsidRPr="00282AC9">
        <w:rPr>
          <w:rFonts w:ascii="Times New Roman" w:hAnsi="Times New Roman" w:hint="cs"/>
          <w:sz w:val="27"/>
          <w:rtl/>
        </w:rPr>
        <w:t>حاملة</w:t>
      </w:r>
      <w:r w:rsidR="00B566FC" w:rsidRPr="00282AC9">
        <w:rPr>
          <w:rFonts w:ascii="Times New Roman" w:hAnsi="Times New Roman" w:hint="cs"/>
          <w:sz w:val="27"/>
          <w:rtl/>
        </w:rPr>
        <w:t>ً</w:t>
      </w:r>
      <w:r w:rsidRPr="00282AC9">
        <w:rPr>
          <w:rFonts w:ascii="Times New Roman" w:hAnsi="Times New Roman" w:hint="cs"/>
          <w:sz w:val="27"/>
          <w:rtl/>
        </w:rPr>
        <w:t xml:space="preserve"> لكثير</w:t>
      </w:r>
      <w:r w:rsidR="00B566FC" w:rsidRPr="00282AC9">
        <w:rPr>
          <w:rFonts w:ascii="Times New Roman" w:hAnsi="Times New Roman" w:hint="cs"/>
          <w:sz w:val="27"/>
          <w:rtl/>
        </w:rPr>
        <w:t>ٍ</w:t>
      </w:r>
      <w:r w:rsidRPr="00282AC9">
        <w:rPr>
          <w:rFonts w:ascii="Times New Roman" w:hAnsi="Times New Roman" w:hint="cs"/>
          <w:sz w:val="27"/>
          <w:rtl/>
        </w:rPr>
        <w:t xml:space="preserve"> من</w:t>
      </w:r>
      <w:r w:rsidRPr="00282AC9">
        <w:rPr>
          <w:rFonts w:ascii="Times New Roman" w:hAnsi="Times New Roman"/>
          <w:sz w:val="27"/>
          <w:rtl/>
        </w:rPr>
        <w:t xml:space="preserve"> المباحث اللغوية</w:t>
      </w:r>
      <w:r w:rsidRPr="00282AC9">
        <w:rPr>
          <w:rFonts w:ascii="Times New Roman" w:hAnsi="Times New Roman" w:hint="cs"/>
          <w:sz w:val="27"/>
          <w:rtl/>
        </w:rPr>
        <w:t xml:space="preserve"> و</w:t>
      </w:r>
      <w:r w:rsidRPr="00282AC9">
        <w:rPr>
          <w:rFonts w:ascii="Times New Roman" w:hAnsi="Times New Roman"/>
          <w:sz w:val="27"/>
          <w:rtl/>
        </w:rPr>
        <w:t>المباحث البلاغية، وجامعة</w:t>
      </w:r>
      <w:r w:rsidR="00B566FC" w:rsidRPr="00282AC9">
        <w:rPr>
          <w:rFonts w:ascii="Times New Roman" w:hAnsi="Times New Roman" w:hint="cs"/>
          <w:sz w:val="27"/>
          <w:rtl/>
        </w:rPr>
        <w:t>ً</w:t>
      </w:r>
      <w:r w:rsidRPr="00282AC9">
        <w:rPr>
          <w:rFonts w:ascii="Times New Roman" w:hAnsi="Times New Roman"/>
          <w:sz w:val="27"/>
          <w:rtl/>
        </w:rPr>
        <w:t xml:space="preserve"> للقضايا الدلالية، والمسائل المعجمية</w:t>
      </w:r>
      <w:r w:rsidR="00B566FC" w:rsidRPr="00282AC9">
        <w:rPr>
          <w:rFonts w:ascii="Times New Roman" w:hAnsi="Times New Roman" w:hint="cs"/>
          <w:sz w:val="27"/>
          <w:rtl/>
        </w:rPr>
        <w:t>.</w:t>
      </w:r>
      <w:r w:rsidRPr="00282AC9">
        <w:rPr>
          <w:rFonts w:ascii="Times New Roman" w:hAnsi="Times New Roman" w:hint="cs"/>
          <w:sz w:val="27"/>
          <w:rtl/>
        </w:rPr>
        <w:t xml:space="preserve"> </w:t>
      </w:r>
      <w:r w:rsidRPr="00282AC9">
        <w:rPr>
          <w:rFonts w:ascii="Times New Roman" w:hAnsi="Times New Roman"/>
          <w:sz w:val="27"/>
          <w:rtl/>
        </w:rPr>
        <w:t>وهي مباحث من أهدافها وغاياتها ف</w:t>
      </w:r>
      <w:r w:rsidR="00B566FC" w:rsidRPr="00282AC9">
        <w:rPr>
          <w:rFonts w:ascii="Times New Roman" w:hAnsi="Times New Roman" w:hint="cs"/>
          <w:sz w:val="27"/>
          <w:rtl/>
        </w:rPr>
        <w:t>َ</w:t>
      </w:r>
      <w:r w:rsidRPr="00282AC9">
        <w:rPr>
          <w:rFonts w:ascii="Times New Roman" w:hAnsi="Times New Roman"/>
          <w:sz w:val="27"/>
          <w:rtl/>
        </w:rPr>
        <w:t>ه</w:t>
      </w:r>
      <w:r w:rsidR="00B566FC" w:rsidRPr="00282AC9">
        <w:rPr>
          <w:rFonts w:ascii="Times New Roman" w:hAnsi="Times New Roman" w:hint="cs"/>
          <w:sz w:val="27"/>
          <w:rtl/>
        </w:rPr>
        <w:t>ْ</w:t>
      </w:r>
      <w:r w:rsidRPr="00282AC9">
        <w:rPr>
          <w:rFonts w:ascii="Times New Roman" w:hAnsi="Times New Roman"/>
          <w:sz w:val="27"/>
          <w:rtl/>
        </w:rPr>
        <w:t>م النص</w:t>
      </w:r>
      <w:r w:rsidR="00B566FC" w:rsidRPr="00282AC9">
        <w:rPr>
          <w:rFonts w:ascii="Times New Roman" w:hAnsi="Times New Roman" w:hint="cs"/>
          <w:sz w:val="27"/>
          <w:rtl/>
        </w:rPr>
        <w:t>ّ</w:t>
      </w:r>
      <w:r w:rsidRPr="00282AC9">
        <w:rPr>
          <w:rFonts w:ascii="Times New Roman" w:hAnsi="Times New Roman"/>
          <w:sz w:val="27"/>
          <w:rtl/>
        </w:rPr>
        <w:t xml:space="preserve"> القرآني ف</w:t>
      </w:r>
      <w:r w:rsidR="00B566FC" w:rsidRPr="00282AC9">
        <w:rPr>
          <w:rFonts w:ascii="Times New Roman" w:hAnsi="Times New Roman" w:hint="cs"/>
          <w:sz w:val="27"/>
          <w:rtl/>
        </w:rPr>
        <w:t>َ</w:t>
      </w:r>
      <w:r w:rsidRPr="00282AC9">
        <w:rPr>
          <w:rFonts w:ascii="Times New Roman" w:hAnsi="Times New Roman"/>
          <w:sz w:val="27"/>
          <w:rtl/>
        </w:rPr>
        <w:t>ه</w:t>
      </w:r>
      <w:r w:rsidR="00B566FC" w:rsidRPr="00282AC9">
        <w:rPr>
          <w:rFonts w:ascii="Times New Roman" w:hAnsi="Times New Roman" w:hint="cs"/>
          <w:sz w:val="27"/>
          <w:rtl/>
        </w:rPr>
        <w:t>ْ</w:t>
      </w:r>
      <w:r w:rsidRPr="00282AC9">
        <w:rPr>
          <w:rFonts w:ascii="Times New Roman" w:hAnsi="Times New Roman"/>
          <w:sz w:val="27"/>
          <w:rtl/>
        </w:rPr>
        <w:t>م</w:t>
      </w:r>
      <w:r w:rsidRPr="00282AC9">
        <w:rPr>
          <w:rFonts w:ascii="Times New Roman" w:hAnsi="Times New Roman" w:hint="cs"/>
          <w:sz w:val="27"/>
          <w:rtl/>
        </w:rPr>
        <w:t>اً</w:t>
      </w:r>
      <w:r w:rsidRPr="00282AC9">
        <w:rPr>
          <w:rFonts w:ascii="Times New Roman" w:hAnsi="Times New Roman"/>
          <w:sz w:val="27"/>
          <w:rtl/>
        </w:rPr>
        <w:t xml:space="preserve"> منسجم</w:t>
      </w:r>
      <w:r w:rsidRPr="00282AC9">
        <w:rPr>
          <w:rFonts w:ascii="Times New Roman" w:hAnsi="Times New Roman" w:hint="cs"/>
          <w:sz w:val="27"/>
          <w:rtl/>
        </w:rPr>
        <w:t>اً</w:t>
      </w:r>
      <w:r w:rsidRPr="00282AC9">
        <w:rPr>
          <w:rFonts w:ascii="Times New Roman" w:hAnsi="Times New Roman"/>
          <w:sz w:val="27"/>
          <w:rtl/>
        </w:rPr>
        <w:t xml:space="preserve"> مع طبيعة اللغة العربية، </w:t>
      </w:r>
      <w:r w:rsidRPr="00282AC9">
        <w:rPr>
          <w:rFonts w:ascii="Times New Roman" w:hAnsi="Times New Roman"/>
          <w:sz w:val="27"/>
          <w:rtl/>
        </w:rPr>
        <w:lastRenderedPageBreak/>
        <w:t>ومتوافق</w:t>
      </w:r>
      <w:r w:rsidRPr="00282AC9">
        <w:rPr>
          <w:rFonts w:ascii="Times New Roman" w:hAnsi="Times New Roman" w:hint="cs"/>
          <w:sz w:val="27"/>
          <w:rtl/>
        </w:rPr>
        <w:t>اً</w:t>
      </w:r>
      <w:r w:rsidRPr="00282AC9">
        <w:rPr>
          <w:rFonts w:ascii="Times New Roman" w:hAnsi="Times New Roman"/>
          <w:sz w:val="27"/>
          <w:rtl/>
        </w:rPr>
        <w:t xml:space="preserve"> مع معهودها في التخاطب، وواقع</w:t>
      </w:r>
      <w:r w:rsidRPr="00282AC9">
        <w:rPr>
          <w:rFonts w:ascii="Times New Roman" w:hAnsi="Times New Roman" w:hint="cs"/>
          <w:sz w:val="27"/>
          <w:rtl/>
        </w:rPr>
        <w:t>اً</w:t>
      </w:r>
      <w:r w:rsidRPr="00282AC9">
        <w:rPr>
          <w:rFonts w:ascii="Times New Roman" w:hAnsi="Times New Roman"/>
          <w:sz w:val="27"/>
          <w:rtl/>
        </w:rPr>
        <w:t xml:space="preserve"> على أصولها في التفسير، ومنطقها ومقتضياتها في البيان والتأويل</w:t>
      </w:r>
      <w:r w:rsidR="00B566FC" w:rsidRPr="00282AC9">
        <w:rPr>
          <w:rFonts w:ascii="Times New Roman" w:hAnsi="Times New Roman" w:hint="cs"/>
          <w:sz w:val="27"/>
          <w:rtl/>
        </w:rPr>
        <w:t>.</w:t>
      </w:r>
      <w:r w:rsidRPr="00282AC9">
        <w:rPr>
          <w:rFonts w:ascii="Times New Roman" w:hAnsi="Times New Roman" w:hint="cs"/>
          <w:sz w:val="27"/>
          <w:rtl/>
        </w:rPr>
        <w:t xml:space="preserve"> </w:t>
      </w:r>
      <w:r w:rsidRPr="00282AC9">
        <w:rPr>
          <w:rFonts w:ascii="Times New Roman" w:hAnsi="Times New Roman"/>
          <w:sz w:val="27"/>
          <w:rtl/>
        </w:rPr>
        <w:t>لقد كان طبيعي</w:t>
      </w:r>
      <w:r w:rsidRPr="00282AC9">
        <w:rPr>
          <w:rFonts w:ascii="Times New Roman" w:hAnsi="Times New Roman" w:hint="cs"/>
          <w:sz w:val="27"/>
          <w:rtl/>
        </w:rPr>
        <w:t xml:space="preserve">اً، </w:t>
      </w:r>
      <w:r w:rsidRPr="00282AC9">
        <w:rPr>
          <w:rFonts w:ascii="Times New Roman" w:hAnsi="Times New Roman"/>
          <w:sz w:val="27"/>
          <w:rtl/>
        </w:rPr>
        <w:t>والعربية لسان شريعة الإسلام</w:t>
      </w:r>
      <w:r w:rsidRPr="00282AC9">
        <w:rPr>
          <w:rFonts w:ascii="Times New Roman" w:hAnsi="Times New Roman" w:hint="cs"/>
          <w:sz w:val="27"/>
          <w:rtl/>
        </w:rPr>
        <w:t xml:space="preserve">، </w:t>
      </w:r>
      <w:r w:rsidRPr="00282AC9">
        <w:rPr>
          <w:rFonts w:ascii="Times New Roman" w:hAnsi="Times New Roman"/>
          <w:sz w:val="27"/>
          <w:rtl/>
        </w:rPr>
        <w:t>أن توضع قواعد التفسير في ظل</w:t>
      </w:r>
      <w:r w:rsidR="00B566FC" w:rsidRPr="00282AC9">
        <w:rPr>
          <w:rFonts w:ascii="Times New Roman" w:hAnsi="Times New Roman" w:hint="cs"/>
          <w:sz w:val="27"/>
          <w:rtl/>
        </w:rPr>
        <w:t>ّ</w:t>
      </w:r>
      <w:r w:rsidRPr="00282AC9">
        <w:rPr>
          <w:rFonts w:ascii="Times New Roman" w:hAnsi="Times New Roman"/>
          <w:sz w:val="27"/>
          <w:rtl/>
        </w:rPr>
        <w:t xml:space="preserve"> هذه الحقيقة</w:t>
      </w:r>
      <w:r w:rsidR="00B566FC" w:rsidRPr="00282AC9">
        <w:rPr>
          <w:rFonts w:ascii="Times New Roman" w:hAnsi="Times New Roman" w:hint="cs"/>
          <w:sz w:val="27"/>
          <w:rtl/>
        </w:rPr>
        <w:t>.</w:t>
      </w:r>
      <w:r w:rsidRPr="00282AC9">
        <w:rPr>
          <w:rFonts w:ascii="Times New Roman" w:hAnsi="Times New Roman"/>
          <w:sz w:val="27"/>
          <w:rtl/>
        </w:rPr>
        <w:t xml:space="preserve"> </w:t>
      </w:r>
      <w:r w:rsidRPr="00282AC9">
        <w:rPr>
          <w:rFonts w:hint="eastAsia"/>
          <w:sz w:val="24"/>
          <w:szCs w:val="24"/>
          <w:rtl/>
          <w:lang w:bidi="ar-MA"/>
        </w:rPr>
        <w:t>«</w:t>
      </w:r>
      <w:r w:rsidRPr="00282AC9">
        <w:rPr>
          <w:rFonts w:ascii="Times New Roman" w:hAnsi="Times New Roman"/>
          <w:sz w:val="27"/>
          <w:rtl/>
          <w:lang w:bidi="ar-MA"/>
        </w:rPr>
        <w:t>وهكذا و</w:t>
      </w:r>
      <w:r w:rsidR="00B566FC" w:rsidRPr="00282AC9">
        <w:rPr>
          <w:rFonts w:ascii="Times New Roman" w:hAnsi="Times New Roman" w:hint="cs"/>
          <w:sz w:val="27"/>
          <w:rtl/>
          <w:lang w:bidi="ar-MA"/>
        </w:rPr>
        <w:t>ُ</w:t>
      </w:r>
      <w:r w:rsidRPr="00282AC9">
        <w:rPr>
          <w:rFonts w:ascii="Times New Roman" w:hAnsi="Times New Roman"/>
          <w:sz w:val="27"/>
          <w:rtl/>
          <w:lang w:bidi="ar-MA"/>
        </w:rPr>
        <w:t>ضعت تلك القواعد بعد استقراء</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ل</w:t>
      </w:r>
      <w:r w:rsidRPr="00282AC9">
        <w:rPr>
          <w:rFonts w:ascii="Times New Roman" w:hAnsi="Times New Roman" w:hint="cs"/>
          <w:sz w:val="27"/>
          <w:rtl/>
          <w:lang w:bidi="ar-MA"/>
        </w:rPr>
        <w:t>ل</w:t>
      </w:r>
      <w:r w:rsidRPr="00282AC9">
        <w:rPr>
          <w:rFonts w:ascii="Times New Roman" w:hAnsi="Times New Roman"/>
          <w:sz w:val="27"/>
          <w:rtl/>
          <w:lang w:bidi="ar-MA"/>
        </w:rPr>
        <w:t>أساليب العربية، وإدراك</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لطبيعتها في الخطاب، ومعرفة ما يمكن أن تؤد</w:t>
      </w:r>
      <w:r w:rsidR="00B566FC" w:rsidRPr="00282AC9">
        <w:rPr>
          <w:rFonts w:ascii="Times New Roman" w:hAnsi="Times New Roman" w:hint="cs"/>
          <w:sz w:val="27"/>
          <w:rtl/>
          <w:lang w:bidi="ar-MA"/>
        </w:rPr>
        <w:t>ّ</w:t>
      </w:r>
      <w:r w:rsidRPr="00282AC9">
        <w:rPr>
          <w:rFonts w:ascii="Times New Roman" w:hAnsi="Times New Roman"/>
          <w:sz w:val="27"/>
          <w:rtl/>
          <w:lang w:bidi="ar-MA"/>
        </w:rPr>
        <w:t>يه تلك الألفاظ والتراكيب من مدلولات</w:t>
      </w:r>
      <w:r w:rsidR="00B566FC" w:rsidRPr="00282AC9">
        <w:rPr>
          <w:rFonts w:ascii="Times New Roman" w:hAnsi="Times New Roman" w:hint="cs"/>
          <w:sz w:val="27"/>
          <w:rtl/>
          <w:lang w:bidi="ar-MA"/>
        </w:rPr>
        <w:t>ٍ</w:t>
      </w:r>
      <w:r w:rsidRPr="00282AC9">
        <w:rPr>
          <w:rFonts w:ascii="Times New Roman" w:hAnsi="Times New Roman"/>
          <w:sz w:val="27"/>
          <w:rtl/>
          <w:lang w:bidi="ar-MA"/>
        </w:rPr>
        <w:t xml:space="preserve"> ومعان</w:t>
      </w:r>
      <w:r w:rsidR="00B566FC" w:rsidRPr="00282AC9">
        <w:rPr>
          <w:rFonts w:ascii="Times New Roman" w:hAnsi="Times New Roman" w:hint="cs"/>
          <w:sz w:val="27"/>
          <w:rtl/>
          <w:lang w:bidi="ar-MA"/>
        </w:rPr>
        <w:t>ٍ</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17"/>
      </w:r>
      <w:r w:rsidRPr="00282AC9">
        <w:rPr>
          <w:rFonts w:ascii="Times New Roman" w:hAnsi="Times New Roman"/>
          <w:sz w:val="27"/>
          <w:vertAlign w:val="superscript"/>
          <w:rtl/>
          <w:lang w:bidi="ar-MA"/>
        </w:rPr>
        <w:t>)</w:t>
      </w:r>
      <w:r w:rsidR="00C86EE9"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ول</w:t>
      </w:r>
      <w:r w:rsidR="00B566FC" w:rsidRPr="00282AC9">
        <w:rPr>
          <w:rFonts w:ascii="Times New Roman" w:hAnsi="Times New Roman" w:hint="cs"/>
          <w:sz w:val="27"/>
          <w:rtl/>
          <w:lang w:bidi="ar-MA"/>
        </w:rPr>
        <w:t>أ</w:t>
      </w:r>
      <w:r w:rsidRPr="00282AC9">
        <w:rPr>
          <w:rFonts w:ascii="Times New Roman" w:hAnsi="Times New Roman"/>
          <w:sz w:val="27"/>
          <w:rtl/>
          <w:lang w:bidi="ar-MA"/>
        </w:rPr>
        <w:t>ن</w:t>
      </w:r>
      <w:r w:rsidR="00B566FC" w:rsidRPr="00282AC9">
        <w:rPr>
          <w:rFonts w:ascii="Times New Roman" w:hAnsi="Times New Roman" w:hint="cs"/>
          <w:sz w:val="27"/>
          <w:rtl/>
          <w:lang w:bidi="ar-MA"/>
        </w:rPr>
        <w:t xml:space="preserve"> </w:t>
      </w:r>
      <w:r w:rsidRPr="00282AC9">
        <w:rPr>
          <w:rFonts w:ascii="Times New Roman" w:hAnsi="Times New Roman" w:hint="cs"/>
          <w:sz w:val="27"/>
          <w:rtl/>
          <w:lang w:bidi="ar-MA"/>
        </w:rPr>
        <w:t>م</w:t>
      </w:r>
      <w:r w:rsidRPr="00282AC9">
        <w:rPr>
          <w:rFonts w:ascii="Times New Roman" w:hAnsi="Times New Roman"/>
          <w:sz w:val="27"/>
          <w:rtl/>
          <w:lang w:bidi="ar-MA"/>
        </w:rPr>
        <w:t>قصد البيان هو أو</w:t>
      </w:r>
      <w:r w:rsidR="00B566FC" w:rsidRPr="00282AC9">
        <w:rPr>
          <w:rFonts w:ascii="Times New Roman" w:hAnsi="Times New Roman" w:hint="cs"/>
          <w:sz w:val="27"/>
          <w:rtl/>
          <w:lang w:bidi="ar-MA"/>
        </w:rPr>
        <w:t>ّ</w:t>
      </w:r>
      <w:r w:rsidRPr="00282AC9">
        <w:rPr>
          <w:rFonts w:ascii="Times New Roman" w:hAnsi="Times New Roman"/>
          <w:sz w:val="27"/>
          <w:rtl/>
          <w:lang w:bidi="ar-MA"/>
        </w:rPr>
        <w:t>ل مقاصد الشريعة الإسلامي</w:t>
      </w:r>
      <w:r w:rsidR="00C86EE9" w:rsidRPr="00282AC9">
        <w:rPr>
          <w:rFonts w:ascii="Times New Roman" w:hAnsi="Times New Roman" w:hint="cs"/>
          <w:sz w:val="27"/>
          <w:rtl/>
          <w:lang w:bidi="ar-MA"/>
        </w:rPr>
        <w:t>ّ</w:t>
      </w:r>
      <w:r w:rsidRPr="00282AC9">
        <w:rPr>
          <w:rFonts w:ascii="Times New Roman" w:hAnsi="Times New Roman"/>
          <w:sz w:val="27"/>
          <w:rtl/>
          <w:lang w:bidi="ar-MA"/>
        </w:rPr>
        <w:t>ة، وهو المقصد الذي عب</w:t>
      </w:r>
      <w:r w:rsidR="00B566FC" w:rsidRPr="00282AC9">
        <w:rPr>
          <w:rFonts w:ascii="Times New Roman" w:hAnsi="Times New Roman" w:hint="cs"/>
          <w:sz w:val="27"/>
          <w:rtl/>
          <w:lang w:bidi="ar-MA"/>
        </w:rPr>
        <w:t>َّ</w:t>
      </w:r>
      <w:r w:rsidRPr="00282AC9">
        <w:rPr>
          <w:rFonts w:ascii="Times New Roman" w:hAnsi="Times New Roman"/>
          <w:sz w:val="27"/>
          <w:rtl/>
          <w:lang w:bidi="ar-MA"/>
        </w:rPr>
        <w:t>ر عنه الإمام الشاطبي بقصد الشارع في وضع التشريع للإفهام</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18"/>
      </w:r>
      <w:r w:rsidRPr="00282AC9">
        <w:rPr>
          <w:rFonts w:ascii="Times New Roman" w:hAnsi="Times New Roman"/>
          <w:sz w:val="27"/>
          <w:vertAlign w:val="superscript"/>
          <w:rtl/>
          <w:lang w:bidi="ar-MA"/>
        </w:rPr>
        <w:t>)</w:t>
      </w:r>
      <w:r w:rsidRPr="00282AC9">
        <w:rPr>
          <w:rFonts w:ascii="Times New Roman" w:hAnsi="Times New Roman"/>
          <w:sz w:val="27"/>
          <w:rtl/>
          <w:lang w:bidi="ar-MA"/>
        </w:rPr>
        <w:t>.</w:t>
      </w:r>
    </w:p>
    <w:p w:rsidR="003062B7" w:rsidRPr="00282AC9" w:rsidRDefault="003062B7" w:rsidP="003062B7">
      <w:pPr>
        <w:spacing w:line="420" w:lineRule="exact"/>
        <w:rPr>
          <w:sz w:val="27"/>
          <w:rtl/>
        </w:rPr>
      </w:pPr>
    </w:p>
    <w:p w:rsidR="00D722E4" w:rsidRPr="00282AC9" w:rsidRDefault="00D722E4" w:rsidP="00965E08">
      <w:pPr>
        <w:pStyle w:val="31"/>
        <w:rPr>
          <w:color w:val="auto"/>
          <w:rtl/>
          <w:lang w:bidi="ar-MA"/>
        </w:rPr>
      </w:pPr>
      <w:r w:rsidRPr="00282AC9">
        <w:rPr>
          <w:rFonts w:hint="cs"/>
          <w:color w:val="auto"/>
          <w:rtl/>
          <w:lang w:bidi="ar-MA"/>
        </w:rPr>
        <w:t xml:space="preserve"> </w:t>
      </w:r>
      <w:r w:rsidRPr="00282AC9">
        <w:rPr>
          <w:color w:val="auto"/>
          <w:rtl/>
          <w:lang w:bidi="ar-MA"/>
        </w:rPr>
        <w:t>المنهج الأصولي</w:t>
      </w:r>
      <w:r w:rsidR="00C86EE9" w:rsidRPr="00282AC9">
        <w:rPr>
          <w:rFonts w:hint="cs"/>
          <w:color w:val="auto"/>
          <w:rtl/>
          <w:lang w:bidi="ar-MA"/>
        </w:rPr>
        <w:t>ّ</w:t>
      </w:r>
      <w:r w:rsidRPr="00282AC9">
        <w:rPr>
          <w:color w:val="auto"/>
          <w:rtl/>
          <w:lang w:bidi="ar-MA"/>
        </w:rPr>
        <w:t xml:space="preserve"> في صناعة المعنى</w:t>
      </w:r>
      <w:r w:rsidR="00C86EE9" w:rsidRPr="00282AC9">
        <w:rPr>
          <w:rFonts w:hint="cs"/>
          <w:color w:val="auto"/>
          <w:rtl/>
          <w:lang w:bidi="ar-MA"/>
        </w:rPr>
        <w:t>،</w:t>
      </w:r>
      <w:r w:rsidRPr="00282AC9">
        <w:rPr>
          <w:color w:val="auto"/>
          <w:rtl/>
          <w:lang w:bidi="ar-MA"/>
        </w:rPr>
        <w:t xml:space="preserve"> الغاية والقصد</w:t>
      </w:r>
    </w:p>
    <w:p w:rsidR="00D722E4" w:rsidRPr="00282AC9" w:rsidRDefault="00D722E4" w:rsidP="00A20690">
      <w:pPr>
        <w:rPr>
          <w:rStyle w:val="af3"/>
          <w:rFonts w:ascii="Times New Roman" w:hAnsi="Times New Roman" w:cs="AL-Mohanad"/>
          <w:b w:val="0"/>
          <w:sz w:val="27"/>
          <w:rtl/>
        </w:rPr>
      </w:pPr>
      <w:r w:rsidRPr="00282AC9">
        <w:rPr>
          <w:rStyle w:val="af3"/>
          <w:rFonts w:ascii="Times New Roman" w:hAnsi="Times New Roman" w:cs="AL-Mohanad" w:hint="cs"/>
          <w:b w:val="0"/>
          <w:sz w:val="27"/>
          <w:rtl/>
        </w:rPr>
        <w:t xml:space="preserve">لقد </w:t>
      </w:r>
      <w:r w:rsidR="00C86EE9" w:rsidRPr="00282AC9">
        <w:rPr>
          <w:rStyle w:val="af3"/>
          <w:rFonts w:ascii="Times New Roman" w:hAnsi="Times New Roman" w:cs="AL-Mohanad" w:hint="cs"/>
          <w:b w:val="0"/>
          <w:sz w:val="27"/>
          <w:rtl/>
        </w:rPr>
        <w:t>تقدَّم أ</w:t>
      </w:r>
      <w:r w:rsidRPr="00282AC9">
        <w:rPr>
          <w:rStyle w:val="af3"/>
          <w:rFonts w:ascii="Times New Roman" w:hAnsi="Times New Roman" w:cs="AL-Mohanad" w:hint="cs"/>
          <w:b w:val="0"/>
          <w:sz w:val="27"/>
          <w:rtl/>
        </w:rPr>
        <w:t xml:space="preserve">ن من </w:t>
      </w:r>
      <w:r w:rsidR="00C86EE9" w:rsidRPr="00282AC9">
        <w:rPr>
          <w:rStyle w:val="af3"/>
          <w:rFonts w:ascii="Times New Roman" w:hAnsi="Times New Roman" w:cs="AL-Mohanad" w:hint="cs"/>
          <w:b w:val="0"/>
          <w:sz w:val="27"/>
          <w:rtl/>
        </w:rPr>
        <w:t>أ</w:t>
      </w:r>
      <w:r w:rsidRPr="00282AC9">
        <w:rPr>
          <w:rStyle w:val="af3"/>
          <w:rFonts w:ascii="Times New Roman" w:hAnsi="Times New Roman" w:cs="AL-Mohanad" w:hint="cs"/>
          <w:b w:val="0"/>
          <w:sz w:val="27"/>
          <w:rtl/>
        </w:rPr>
        <w:t>برز ما اعتن</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ت</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 xml:space="preserve"> به العلوم الإنسانية هو تأسيس البيان المؤد</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ي إلى فهم النص</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 xml:space="preserve"> بقسم</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ي</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ه</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 xml:space="preserve"> القر</w:t>
      </w:r>
      <w:r w:rsidR="00C86EE9" w:rsidRPr="00282AC9">
        <w:rPr>
          <w:rStyle w:val="af3"/>
          <w:rFonts w:ascii="Times New Roman" w:hAnsi="Times New Roman" w:cs="AL-Mohanad" w:hint="cs"/>
          <w:b w:val="0"/>
          <w:sz w:val="27"/>
          <w:rtl/>
        </w:rPr>
        <w:t>آ</w:t>
      </w:r>
      <w:r w:rsidRPr="00282AC9">
        <w:rPr>
          <w:rStyle w:val="af3"/>
          <w:rFonts w:ascii="Times New Roman" w:hAnsi="Times New Roman" w:cs="AL-Mohanad" w:hint="cs"/>
          <w:b w:val="0"/>
          <w:sz w:val="27"/>
          <w:rtl/>
        </w:rPr>
        <w:t>ني</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 xml:space="preserve"> والحديثي</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 xml:space="preserve"> ومن </w:t>
      </w:r>
      <w:r w:rsidR="00C86EE9" w:rsidRPr="00282AC9">
        <w:rPr>
          <w:rStyle w:val="af3"/>
          <w:rFonts w:ascii="Times New Roman" w:hAnsi="Times New Roman" w:cs="AL-Mohanad" w:hint="cs"/>
          <w:b w:val="0"/>
          <w:sz w:val="27"/>
          <w:rtl/>
        </w:rPr>
        <w:t>أ</w:t>
      </w:r>
      <w:r w:rsidRPr="00282AC9">
        <w:rPr>
          <w:rStyle w:val="af3"/>
          <w:rFonts w:ascii="Times New Roman" w:hAnsi="Times New Roman" w:cs="AL-Mohanad" w:hint="cs"/>
          <w:b w:val="0"/>
          <w:sz w:val="27"/>
          <w:rtl/>
        </w:rPr>
        <w:t>برز العلوم التي اختار</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ت</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 xml:space="preserve"> الاشتغال بهذا الموضوع علم</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 xml:space="preserve"> أصول الفقه</w:t>
      </w:r>
      <w:r w:rsidRPr="00282AC9">
        <w:rPr>
          <w:rFonts w:ascii="Arial" w:hAnsi="Arial" w:hint="cs"/>
          <w:b/>
          <w:sz w:val="27"/>
          <w:rtl/>
        </w:rPr>
        <w:t>.</w:t>
      </w:r>
    </w:p>
    <w:p w:rsidR="00D722E4" w:rsidRPr="00282AC9" w:rsidRDefault="00D722E4" w:rsidP="00A20690">
      <w:pPr>
        <w:rPr>
          <w:rStyle w:val="af3"/>
          <w:rFonts w:ascii="Times New Roman" w:hAnsi="Times New Roman" w:cs="AL-Mohanad"/>
          <w:b w:val="0"/>
          <w:sz w:val="27"/>
          <w:rtl/>
        </w:rPr>
      </w:pPr>
      <w:r w:rsidRPr="00282AC9">
        <w:rPr>
          <w:rStyle w:val="af3"/>
          <w:rFonts w:ascii="Times New Roman" w:hAnsi="Times New Roman" w:cs="AL-Mohanad" w:hint="cs"/>
          <w:b w:val="0"/>
          <w:sz w:val="27"/>
          <w:rtl/>
        </w:rPr>
        <w:t>وعليه</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 xml:space="preserve"> ف</w:t>
      </w:r>
      <w:r w:rsidRPr="00282AC9">
        <w:rPr>
          <w:rStyle w:val="af3"/>
          <w:rFonts w:ascii="Times New Roman" w:hAnsi="Times New Roman" w:cs="AL-Mohanad"/>
          <w:b w:val="0"/>
          <w:sz w:val="27"/>
          <w:rtl/>
        </w:rPr>
        <w:t xml:space="preserve">إن عناية علماء </w:t>
      </w:r>
      <w:r w:rsidRPr="00282AC9">
        <w:rPr>
          <w:rStyle w:val="af3"/>
          <w:rFonts w:ascii="Times New Roman" w:hAnsi="Times New Roman" w:cs="AL-Mohanad" w:hint="cs"/>
          <w:b w:val="0"/>
          <w:sz w:val="27"/>
          <w:rtl/>
        </w:rPr>
        <w:t>الأصول</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xml:space="preserve"> على اختلاف تخص</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صاتهم، هو تأسيس البيان المؤد</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ي إلى فهم القر</w:t>
      </w:r>
      <w:r w:rsidR="00C86EE9" w:rsidRPr="00282AC9">
        <w:rPr>
          <w:rStyle w:val="af3"/>
          <w:rFonts w:ascii="Times New Roman" w:hAnsi="Times New Roman" w:cs="AL-Mohanad" w:hint="cs"/>
          <w:b w:val="0"/>
          <w:sz w:val="27"/>
          <w:rtl/>
        </w:rPr>
        <w:t>آ</w:t>
      </w:r>
      <w:r w:rsidRPr="00282AC9">
        <w:rPr>
          <w:rStyle w:val="af3"/>
          <w:rFonts w:ascii="Times New Roman" w:hAnsi="Times New Roman" w:cs="AL-Mohanad"/>
          <w:b w:val="0"/>
          <w:sz w:val="27"/>
          <w:rtl/>
        </w:rPr>
        <w:t>ن الكريم، ووضع الضوابط العلمية، والشروط المنهجي</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ة المت</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صلة بالفهم والبيان، من خلال استدرار المعاني من مفردات النص</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وتحصيلها من منطوقه، واستمدادها من مفهومه، واستكشافها من معقوله، مع الالتفات إلى الع</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ل</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ل، والأمارات، والقرائن</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xml:space="preserve"> والسياقات، والمقتضيات المحيطة بالنص</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 xml:space="preserve"> </w:t>
      </w:r>
      <w:r w:rsidRPr="00282AC9">
        <w:rPr>
          <w:rStyle w:val="af3"/>
          <w:rFonts w:ascii="Times New Roman" w:hAnsi="Times New Roman" w:cs="AL-Mohanad"/>
          <w:b w:val="0"/>
          <w:sz w:val="27"/>
          <w:rtl/>
        </w:rPr>
        <w:t>لقد كان الأصولي مندفع</w:t>
      </w:r>
      <w:r w:rsidRPr="00282AC9">
        <w:rPr>
          <w:rStyle w:val="af3"/>
          <w:rFonts w:ascii="Times New Roman" w:hAnsi="Times New Roman" w:cs="AL-Mohanad" w:hint="cs"/>
          <w:b w:val="0"/>
          <w:sz w:val="27"/>
          <w:rtl/>
        </w:rPr>
        <w:t>اً</w:t>
      </w:r>
      <w:r w:rsidRPr="00282AC9">
        <w:rPr>
          <w:rStyle w:val="af3"/>
          <w:rFonts w:ascii="Times New Roman" w:hAnsi="Times New Roman" w:cs="AL-Mohanad"/>
          <w:b w:val="0"/>
          <w:sz w:val="27"/>
          <w:rtl/>
        </w:rPr>
        <w:t xml:space="preserve"> برغبة</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xml:space="preserve"> </w:t>
      </w:r>
      <w:r w:rsidRPr="00282AC9">
        <w:rPr>
          <w:rStyle w:val="af3"/>
          <w:rFonts w:ascii="Times New Roman" w:hAnsi="Times New Roman" w:cs="AL-Mohanad" w:hint="cs"/>
          <w:b w:val="0"/>
          <w:sz w:val="27"/>
          <w:rtl/>
        </w:rPr>
        <w:t>أ</w:t>
      </w:r>
      <w:r w:rsidRPr="00282AC9">
        <w:rPr>
          <w:rStyle w:val="af3"/>
          <w:rFonts w:ascii="Times New Roman" w:hAnsi="Times New Roman" w:cs="AL-Mohanad"/>
          <w:b w:val="0"/>
          <w:sz w:val="27"/>
          <w:rtl/>
        </w:rPr>
        <w:t>كبر وتوج</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ه</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xml:space="preserve"> قوي</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xml:space="preserve"> في صيانة النص</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وحمايته</w:t>
      </w:r>
      <w:r w:rsidRPr="00282AC9">
        <w:rPr>
          <w:rStyle w:val="af3"/>
          <w:rFonts w:ascii="Times New Roman" w:hAnsi="Times New Roman" w:cs="AL-Mohanad" w:hint="cs"/>
          <w:b w:val="0"/>
          <w:sz w:val="27"/>
          <w:rtl/>
        </w:rPr>
        <w:t xml:space="preserve"> وتحصينه </w:t>
      </w:r>
      <w:r w:rsidRPr="00282AC9">
        <w:rPr>
          <w:rStyle w:val="af3"/>
          <w:rFonts w:ascii="Times New Roman" w:hAnsi="Times New Roman" w:cs="AL-Mohanad"/>
          <w:b w:val="0"/>
          <w:sz w:val="27"/>
          <w:rtl/>
        </w:rPr>
        <w:t>من أن يصير مجال</w:t>
      </w:r>
      <w:r w:rsidRPr="00282AC9">
        <w:rPr>
          <w:rStyle w:val="af3"/>
          <w:rFonts w:ascii="Times New Roman" w:hAnsi="Times New Roman" w:cs="AL-Mohanad" w:hint="cs"/>
          <w:b w:val="0"/>
          <w:sz w:val="27"/>
          <w:rtl/>
        </w:rPr>
        <w:t>اً</w:t>
      </w:r>
      <w:r w:rsidRPr="00282AC9">
        <w:rPr>
          <w:rStyle w:val="af3"/>
          <w:rFonts w:ascii="Times New Roman" w:hAnsi="Times New Roman" w:cs="AL-Mohanad"/>
          <w:b w:val="0"/>
          <w:sz w:val="27"/>
          <w:rtl/>
        </w:rPr>
        <w:t xml:space="preserve"> </w:t>
      </w:r>
      <w:r w:rsidRPr="00282AC9">
        <w:rPr>
          <w:rStyle w:val="af3"/>
          <w:rFonts w:ascii="Times New Roman" w:hAnsi="Times New Roman" w:cs="AL-Mohanad" w:hint="cs"/>
          <w:b w:val="0"/>
          <w:sz w:val="27"/>
          <w:rtl/>
        </w:rPr>
        <w:t>للزيادة</w:t>
      </w:r>
      <w:r w:rsidRPr="00282AC9">
        <w:rPr>
          <w:rStyle w:val="af3"/>
          <w:rFonts w:ascii="Times New Roman" w:hAnsi="Times New Roman" w:cs="AL-Mohanad"/>
          <w:b w:val="0"/>
          <w:sz w:val="27"/>
          <w:rtl/>
        </w:rPr>
        <w:t>، وممر</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hint="cs"/>
          <w:b w:val="0"/>
          <w:sz w:val="27"/>
          <w:rtl/>
        </w:rPr>
        <w:t>اً</w:t>
      </w:r>
      <w:r w:rsidRPr="00282AC9">
        <w:rPr>
          <w:rStyle w:val="af3"/>
          <w:rFonts w:ascii="Times New Roman" w:hAnsi="Times New Roman" w:cs="AL-Mohanad"/>
          <w:b w:val="0"/>
          <w:sz w:val="27"/>
          <w:rtl/>
        </w:rPr>
        <w:t xml:space="preserve"> لإقحام الذات، ومعبر</w:t>
      </w:r>
      <w:r w:rsidRPr="00282AC9">
        <w:rPr>
          <w:rStyle w:val="af3"/>
          <w:rFonts w:ascii="Times New Roman" w:hAnsi="Times New Roman" w:cs="AL-Mohanad" w:hint="cs"/>
          <w:b w:val="0"/>
          <w:sz w:val="27"/>
          <w:rtl/>
        </w:rPr>
        <w:t>اً</w:t>
      </w:r>
      <w:r w:rsidRPr="00282AC9">
        <w:rPr>
          <w:rStyle w:val="af3"/>
          <w:rFonts w:ascii="Times New Roman" w:hAnsi="Times New Roman" w:cs="AL-Mohanad"/>
          <w:b w:val="0"/>
          <w:sz w:val="27"/>
          <w:rtl/>
        </w:rPr>
        <w:t xml:space="preserve"> من </w:t>
      </w:r>
      <w:r w:rsidRPr="00282AC9">
        <w:rPr>
          <w:rStyle w:val="af3"/>
          <w:rFonts w:ascii="Times New Roman" w:hAnsi="Times New Roman" w:cs="AL-Mohanad" w:hint="cs"/>
          <w:b w:val="0"/>
          <w:sz w:val="27"/>
          <w:rtl/>
        </w:rPr>
        <w:t>أ</w:t>
      </w:r>
      <w:r w:rsidRPr="00282AC9">
        <w:rPr>
          <w:rStyle w:val="af3"/>
          <w:rFonts w:ascii="Times New Roman" w:hAnsi="Times New Roman" w:cs="AL-Mohanad"/>
          <w:b w:val="0"/>
          <w:sz w:val="27"/>
          <w:rtl/>
        </w:rPr>
        <w:t xml:space="preserve">جل تصريف </w:t>
      </w:r>
      <w:r w:rsidR="00E23C30" w:rsidRPr="00282AC9">
        <w:rPr>
          <w:rStyle w:val="af3"/>
          <w:rFonts w:ascii="Times New Roman" w:hAnsi="Times New Roman" w:cs="AL-Mohanad" w:hint="cs"/>
          <w:b w:val="0"/>
          <w:sz w:val="27"/>
          <w:rtl/>
        </w:rPr>
        <w:t>الآراء</w:t>
      </w:r>
      <w:r w:rsidRPr="00282AC9">
        <w:rPr>
          <w:rStyle w:val="af3"/>
          <w:rFonts w:ascii="Times New Roman" w:hAnsi="Times New Roman" w:cs="AL-Mohanad"/>
          <w:b w:val="0"/>
          <w:sz w:val="27"/>
          <w:rtl/>
        </w:rPr>
        <w:t xml:space="preserve"> الشخصي</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ة، وتمرير الرغبات الذاتية</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xml:space="preserve"> لقارئ النص</w:t>
      </w:r>
      <w:r w:rsidR="00C86EE9"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xml:space="preserve">، </w:t>
      </w:r>
      <w:r w:rsidR="00C86EE9" w:rsidRPr="00282AC9">
        <w:rPr>
          <w:rStyle w:val="af3"/>
          <w:rFonts w:ascii="Times New Roman" w:hAnsi="Times New Roman" w:cs="AL-Mohanad" w:hint="cs"/>
          <w:b w:val="0"/>
          <w:sz w:val="27"/>
          <w:rtl/>
        </w:rPr>
        <w:t>و</w:t>
      </w:r>
      <w:r w:rsidR="00674EF5" w:rsidRPr="00282AC9">
        <w:rPr>
          <w:rStyle w:val="af3"/>
          <w:rFonts w:ascii="Times New Roman" w:hAnsi="Times New Roman" w:cs="AL-Mohanad" w:hint="cs"/>
          <w:b w:val="0"/>
          <w:sz w:val="27"/>
          <w:rtl/>
        </w:rPr>
        <w:t>لا سيَّما</w:t>
      </w:r>
      <w:r w:rsidRPr="00282AC9">
        <w:rPr>
          <w:rStyle w:val="af3"/>
          <w:rFonts w:ascii="Times New Roman" w:hAnsi="Times New Roman" w:cs="AL-Mohanad" w:hint="cs"/>
          <w:b w:val="0"/>
          <w:sz w:val="27"/>
          <w:rtl/>
        </w:rPr>
        <w:t xml:space="preserve"> </w:t>
      </w:r>
      <w:r w:rsidR="00076263" w:rsidRPr="00282AC9">
        <w:rPr>
          <w:rStyle w:val="af3"/>
          <w:rFonts w:ascii="Times New Roman" w:hAnsi="Times New Roman" w:cs="AL-Mohanad" w:hint="cs"/>
          <w:b w:val="0"/>
          <w:sz w:val="27"/>
          <w:rtl/>
        </w:rPr>
        <w:t>إذا</w:t>
      </w:r>
      <w:r w:rsidRPr="00282AC9">
        <w:rPr>
          <w:rStyle w:val="af3"/>
          <w:rFonts w:ascii="Times New Roman" w:hAnsi="Times New Roman" w:cs="AL-Mohanad" w:hint="cs"/>
          <w:b w:val="0"/>
          <w:sz w:val="27"/>
          <w:rtl/>
        </w:rPr>
        <w:t xml:space="preserve"> كانت هذه </w:t>
      </w:r>
      <w:r w:rsidRPr="00282AC9">
        <w:rPr>
          <w:rStyle w:val="af3"/>
          <w:rFonts w:ascii="Times New Roman" w:hAnsi="Times New Roman" w:cs="AL-Mohanad"/>
          <w:b w:val="0"/>
          <w:sz w:val="27"/>
          <w:rtl/>
        </w:rPr>
        <w:t>الرغبات لا تحكمها المعايير العلمي</w:t>
      </w:r>
      <w:r w:rsidR="00076263"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xml:space="preserve">ة، ولا </w:t>
      </w:r>
      <w:r w:rsidRPr="00282AC9">
        <w:rPr>
          <w:rStyle w:val="af3"/>
          <w:rFonts w:ascii="Times New Roman" w:hAnsi="Times New Roman" w:cs="AL-Mohanad" w:hint="cs"/>
          <w:b w:val="0"/>
          <w:sz w:val="27"/>
          <w:rtl/>
        </w:rPr>
        <w:t xml:space="preserve">تحترم </w:t>
      </w:r>
      <w:r w:rsidRPr="00282AC9">
        <w:rPr>
          <w:rStyle w:val="af3"/>
          <w:rFonts w:ascii="Times New Roman" w:hAnsi="Times New Roman" w:cs="AL-Mohanad"/>
          <w:b w:val="0"/>
          <w:sz w:val="27"/>
          <w:rtl/>
        </w:rPr>
        <w:t>الضوابط المنهجي</w:t>
      </w:r>
      <w:r w:rsidR="00076263"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 xml:space="preserve">ة، </w:t>
      </w:r>
      <w:r w:rsidRPr="00282AC9">
        <w:rPr>
          <w:rStyle w:val="af3"/>
          <w:rFonts w:ascii="Times New Roman" w:hAnsi="Times New Roman" w:cs="AL-Mohanad" w:hint="cs"/>
          <w:b w:val="0"/>
          <w:sz w:val="27"/>
          <w:rtl/>
        </w:rPr>
        <w:t>و</w:t>
      </w:r>
      <w:r w:rsidRPr="00282AC9">
        <w:rPr>
          <w:rStyle w:val="af3"/>
          <w:rFonts w:ascii="Times New Roman" w:hAnsi="Times New Roman" w:cs="AL-Mohanad"/>
          <w:b w:val="0"/>
          <w:sz w:val="27"/>
          <w:rtl/>
        </w:rPr>
        <w:t>تن</w:t>
      </w:r>
      <w:r w:rsidR="00076263" w:rsidRPr="00282AC9">
        <w:rPr>
          <w:rStyle w:val="af3"/>
          <w:rFonts w:ascii="Times New Roman" w:hAnsi="Times New Roman" w:cs="AL-Mohanad" w:hint="cs"/>
          <w:b w:val="0"/>
          <w:sz w:val="27"/>
          <w:rtl/>
        </w:rPr>
        <w:t>أى</w:t>
      </w:r>
      <w:r w:rsidRPr="00282AC9">
        <w:rPr>
          <w:rStyle w:val="af3"/>
          <w:rFonts w:ascii="Times New Roman" w:hAnsi="Times New Roman" w:cs="AL-Mohanad"/>
          <w:b w:val="0"/>
          <w:sz w:val="27"/>
          <w:rtl/>
        </w:rPr>
        <w:t xml:space="preserve"> بطبيعتها عن الحياد، وتنتصر للتحي</w:t>
      </w:r>
      <w:r w:rsidR="00076263" w:rsidRPr="00282AC9">
        <w:rPr>
          <w:rStyle w:val="af3"/>
          <w:rFonts w:ascii="Times New Roman" w:hAnsi="Times New Roman" w:cs="AL-Mohanad" w:hint="cs"/>
          <w:b w:val="0"/>
          <w:sz w:val="27"/>
          <w:rtl/>
        </w:rPr>
        <w:t>ُّ</w:t>
      </w:r>
      <w:r w:rsidRPr="00282AC9">
        <w:rPr>
          <w:rStyle w:val="af3"/>
          <w:rFonts w:ascii="Times New Roman" w:hAnsi="Times New Roman" w:cs="AL-Mohanad"/>
          <w:b w:val="0"/>
          <w:sz w:val="27"/>
          <w:rtl/>
        </w:rPr>
        <w:t>ز</w:t>
      </w:r>
      <w:r w:rsidRPr="00282AC9">
        <w:rPr>
          <w:rStyle w:val="af3"/>
          <w:rFonts w:ascii="Times New Roman" w:hAnsi="Times New Roman" w:cs="AL-Mohanad" w:hint="cs"/>
          <w:b w:val="0"/>
          <w:sz w:val="27"/>
          <w:rtl/>
        </w:rPr>
        <w:t xml:space="preserve"> الذاتي، ولا تأخذ ب</w:t>
      </w:r>
      <w:r w:rsidRPr="00282AC9">
        <w:rPr>
          <w:rStyle w:val="af3"/>
          <w:rFonts w:ascii="Times New Roman" w:hAnsi="Times New Roman" w:cs="AL-Mohanad"/>
          <w:b w:val="0"/>
          <w:sz w:val="27"/>
          <w:rtl/>
        </w:rPr>
        <w:t>الموضوعية</w:t>
      </w:r>
      <w:r w:rsidRPr="00282AC9">
        <w:rPr>
          <w:rStyle w:val="af3"/>
          <w:rFonts w:ascii="Times New Roman" w:hAnsi="Times New Roman" w:cs="AL-Mohanad" w:hint="cs"/>
          <w:b w:val="0"/>
          <w:sz w:val="27"/>
          <w:rtl/>
        </w:rPr>
        <w:t xml:space="preserve"> التي يقتضيها البحث العلمي</w:t>
      </w:r>
      <w:r w:rsidRPr="00282AC9">
        <w:rPr>
          <w:rStyle w:val="af3"/>
          <w:rFonts w:ascii="Times New Roman" w:hAnsi="Times New Roman" w:cs="AL-Mohanad"/>
          <w:b w:val="0"/>
          <w:sz w:val="27"/>
          <w:vertAlign w:val="superscript"/>
          <w:rtl/>
        </w:rPr>
        <w:t>(</w:t>
      </w:r>
      <w:r w:rsidRPr="00282AC9">
        <w:rPr>
          <w:rStyle w:val="af9"/>
          <w:rFonts w:ascii="Times New Roman" w:hAnsi="Times New Roman"/>
          <w:b/>
          <w:sz w:val="27"/>
          <w:rtl/>
        </w:rPr>
        <w:endnoteReference w:id="719"/>
      </w:r>
      <w:r w:rsidRPr="00282AC9">
        <w:rPr>
          <w:rStyle w:val="af3"/>
          <w:rFonts w:ascii="Times New Roman" w:hAnsi="Times New Roman" w:cs="AL-Mohanad"/>
          <w:b w:val="0"/>
          <w:sz w:val="27"/>
          <w:vertAlign w:val="superscript"/>
          <w:rtl/>
        </w:rPr>
        <w:t>)</w:t>
      </w:r>
      <w:r w:rsidRPr="00282AC9">
        <w:rPr>
          <w:rStyle w:val="af3"/>
          <w:rFonts w:ascii="Times New Roman" w:hAnsi="Times New Roman" w:cs="AL-Mohanad"/>
          <w:b w:val="0"/>
          <w:sz w:val="27"/>
          <w:rtl/>
        </w:rPr>
        <w:t>.</w:t>
      </w:r>
    </w:p>
    <w:p w:rsidR="00D722E4" w:rsidRPr="00282AC9" w:rsidRDefault="00D722E4" w:rsidP="00A20690">
      <w:pPr>
        <w:rPr>
          <w:rFonts w:ascii="Arial" w:hAnsi="Arial"/>
          <w:sz w:val="27"/>
          <w:rtl/>
          <w:lang w:bidi="ar-MA"/>
        </w:rPr>
      </w:pPr>
      <w:r w:rsidRPr="00282AC9">
        <w:rPr>
          <w:rFonts w:ascii="Arial" w:hAnsi="Arial" w:hint="cs"/>
          <w:sz w:val="27"/>
          <w:rtl/>
          <w:lang w:bidi="ar-MA"/>
        </w:rPr>
        <w:t xml:space="preserve">فلا </w:t>
      </w:r>
      <w:r w:rsidR="00076263" w:rsidRPr="00282AC9">
        <w:rPr>
          <w:rFonts w:ascii="Arial" w:hAnsi="Arial" w:hint="cs"/>
          <w:sz w:val="27"/>
          <w:rtl/>
          <w:lang w:bidi="ar-MA"/>
        </w:rPr>
        <w:t>أ</w:t>
      </w:r>
      <w:r w:rsidRPr="00282AC9">
        <w:rPr>
          <w:rFonts w:ascii="Arial" w:hAnsi="Arial" w:hint="cs"/>
          <w:sz w:val="27"/>
          <w:rtl/>
          <w:lang w:bidi="ar-MA"/>
        </w:rPr>
        <w:t>حد يشك</w:t>
      </w:r>
      <w:r w:rsidR="00076263" w:rsidRPr="00282AC9">
        <w:rPr>
          <w:rFonts w:ascii="Arial" w:hAnsi="Arial" w:hint="cs"/>
          <w:sz w:val="27"/>
          <w:rtl/>
          <w:lang w:bidi="ar-MA"/>
        </w:rPr>
        <w:t>ّ في</w:t>
      </w:r>
      <w:r w:rsidRPr="00282AC9">
        <w:rPr>
          <w:rFonts w:ascii="Arial" w:hAnsi="Arial" w:hint="cs"/>
          <w:sz w:val="27"/>
          <w:rtl/>
          <w:lang w:bidi="ar-MA"/>
        </w:rPr>
        <w:t xml:space="preserve"> أن علم أصول الفقه من أهم</w:t>
      </w:r>
      <w:r w:rsidR="00076263" w:rsidRPr="00282AC9">
        <w:rPr>
          <w:rFonts w:ascii="Arial" w:hAnsi="Arial" w:hint="cs"/>
          <w:sz w:val="27"/>
          <w:rtl/>
          <w:lang w:bidi="ar-MA"/>
        </w:rPr>
        <w:t>ّ</w:t>
      </w:r>
      <w:r w:rsidRPr="00282AC9">
        <w:rPr>
          <w:rFonts w:ascii="Arial" w:hAnsi="Arial" w:hint="cs"/>
          <w:sz w:val="27"/>
          <w:rtl/>
          <w:lang w:bidi="ar-MA"/>
        </w:rPr>
        <w:t xml:space="preserve"> العلوم المنهجية والتأويلية التي قد</w:t>
      </w:r>
      <w:r w:rsidR="00076263" w:rsidRPr="00282AC9">
        <w:rPr>
          <w:rFonts w:ascii="Arial" w:hAnsi="Arial" w:hint="cs"/>
          <w:sz w:val="27"/>
          <w:rtl/>
          <w:lang w:bidi="ar-MA"/>
        </w:rPr>
        <w:t>َّ</w:t>
      </w:r>
      <w:r w:rsidRPr="00282AC9">
        <w:rPr>
          <w:rFonts w:ascii="Arial" w:hAnsi="Arial" w:hint="cs"/>
          <w:sz w:val="27"/>
          <w:rtl/>
          <w:lang w:bidi="ar-MA"/>
        </w:rPr>
        <w:t>م</w:t>
      </w:r>
      <w:r w:rsidR="00076263" w:rsidRPr="00282AC9">
        <w:rPr>
          <w:rFonts w:ascii="Arial" w:hAnsi="Arial" w:hint="cs"/>
          <w:sz w:val="27"/>
          <w:rtl/>
          <w:lang w:bidi="ar-MA"/>
        </w:rPr>
        <w:t>َ</w:t>
      </w:r>
      <w:r w:rsidRPr="00282AC9">
        <w:rPr>
          <w:rFonts w:ascii="Arial" w:hAnsi="Arial" w:hint="cs"/>
          <w:sz w:val="27"/>
          <w:rtl/>
          <w:lang w:bidi="ar-MA"/>
        </w:rPr>
        <w:t>ت</w:t>
      </w:r>
      <w:r w:rsidR="00076263" w:rsidRPr="00282AC9">
        <w:rPr>
          <w:rFonts w:ascii="Arial" w:hAnsi="Arial" w:hint="cs"/>
          <w:sz w:val="27"/>
          <w:rtl/>
          <w:lang w:bidi="ar-MA"/>
        </w:rPr>
        <w:t>ْ</w:t>
      </w:r>
      <w:r w:rsidRPr="00282AC9">
        <w:rPr>
          <w:rFonts w:ascii="Arial" w:hAnsi="Arial" w:hint="cs"/>
          <w:sz w:val="27"/>
          <w:rtl/>
          <w:lang w:bidi="ar-MA"/>
        </w:rPr>
        <w:t xml:space="preserve"> نظري</w:t>
      </w:r>
      <w:r w:rsidR="00076263" w:rsidRPr="00282AC9">
        <w:rPr>
          <w:rFonts w:ascii="Arial" w:hAnsi="Arial" w:hint="cs"/>
          <w:sz w:val="27"/>
          <w:rtl/>
          <w:lang w:bidi="ar-MA"/>
        </w:rPr>
        <w:t>ّ</w:t>
      </w:r>
      <w:r w:rsidRPr="00282AC9">
        <w:rPr>
          <w:rFonts w:ascii="Arial" w:hAnsi="Arial" w:hint="cs"/>
          <w:sz w:val="27"/>
          <w:rtl/>
          <w:lang w:bidi="ar-MA"/>
        </w:rPr>
        <w:t>ة</w:t>
      </w:r>
      <w:r w:rsidR="00076263" w:rsidRPr="00282AC9">
        <w:rPr>
          <w:rFonts w:ascii="Arial" w:hAnsi="Arial" w:hint="cs"/>
          <w:sz w:val="27"/>
          <w:rtl/>
          <w:lang w:bidi="ar-MA"/>
        </w:rPr>
        <w:t>ً</w:t>
      </w:r>
      <w:r w:rsidRPr="00282AC9">
        <w:rPr>
          <w:rFonts w:ascii="Arial" w:hAnsi="Arial" w:hint="cs"/>
          <w:sz w:val="27"/>
          <w:rtl/>
          <w:lang w:bidi="ar-MA"/>
        </w:rPr>
        <w:t xml:space="preserve"> متكاملة</w:t>
      </w:r>
      <w:r w:rsidR="00076263" w:rsidRPr="00282AC9">
        <w:rPr>
          <w:rFonts w:ascii="Arial" w:hAnsi="Arial" w:hint="cs"/>
          <w:sz w:val="27"/>
          <w:rtl/>
          <w:lang w:bidi="ar-MA"/>
        </w:rPr>
        <w:t>ً</w:t>
      </w:r>
      <w:r w:rsidRPr="00282AC9">
        <w:rPr>
          <w:rFonts w:ascii="Arial" w:hAnsi="Arial" w:hint="cs"/>
          <w:sz w:val="27"/>
          <w:rtl/>
          <w:lang w:bidi="ar-MA"/>
        </w:rPr>
        <w:t xml:space="preserve"> تخص</w:t>
      </w:r>
      <w:r w:rsidR="00076263" w:rsidRPr="00282AC9">
        <w:rPr>
          <w:rFonts w:ascii="Arial" w:hAnsi="Arial" w:hint="cs"/>
          <w:sz w:val="27"/>
          <w:rtl/>
          <w:lang w:bidi="ar-MA"/>
        </w:rPr>
        <w:t>ّ</w:t>
      </w:r>
      <w:r w:rsidRPr="00282AC9">
        <w:rPr>
          <w:rFonts w:ascii="Arial" w:hAnsi="Arial" w:hint="cs"/>
          <w:sz w:val="27"/>
          <w:rtl/>
          <w:lang w:bidi="ar-MA"/>
        </w:rPr>
        <w:t xml:space="preserve"> تفسير وفقه النص</w:t>
      </w:r>
      <w:r w:rsidR="00076263" w:rsidRPr="00282AC9">
        <w:rPr>
          <w:rFonts w:ascii="Arial" w:hAnsi="Arial" w:hint="cs"/>
          <w:sz w:val="27"/>
          <w:rtl/>
          <w:lang w:bidi="ar-MA"/>
        </w:rPr>
        <w:t>ّ</w:t>
      </w:r>
      <w:r w:rsidRPr="00282AC9">
        <w:rPr>
          <w:rFonts w:ascii="Arial" w:hAnsi="Arial" w:hint="cs"/>
          <w:sz w:val="27"/>
          <w:rtl/>
          <w:lang w:bidi="ar-MA"/>
        </w:rPr>
        <w:t>.</w:t>
      </w:r>
    </w:p>
    <w:p w:rsidR="00D722E4" w:rsidRPr="00282AC9" w:rsidRDefault="00D722E4" w:rsidP="00A20690">
      <w:pPr>
        <w:rPr>
          <w:rFonts w:ascii="Lotus Linotype" w:hAnsi="Lotus Linotype"/>
          <w:sz w:val="27"/>
          <w:rtl/>
          <w:lang w:bidi="ar-MA"/>
        </w:rPr>
      </w:pPr>
      <w:r w:rsidRPr="00282AC9">
        <w:rPr>
          <w:rFonts w:ascii="Lotus Linotype" w:hAnsi="Lotus Linotype"/>
          <w:sz w:val="27"/>
          <w:rtl/>
          <w:lang w:bidi="ar-MA"/>
        </w:rPr>
        <w:t xml:space="preserve"> </w:t>
      </w:r>
      <w:r w:rsidR="00076263" w:rsidRPr="00282AC9">
        <w:rPr>
          <w:rFonts w:ascii="Lotus Linotype" w:hAnsi="Lotus Linotype" w:hint="cs"/>
          <w:sz w:val="27"/>
          <w:rtl/>
          <w:lang w:bidi="ar-MA"/>
        </w:rPr>
        <w:t>و</w:t>
      </w:r>
      <w:r w:rsidRPr="00282AC9">
        <w:rPr>
          <w:rFonts w:ascii="Lotus Linotype" w:hAnsi="Lotus Linotype" w:hint="cs"/>
          <w:sz w:val="27"/>
          <w:rtl/>
          <w:lang w:bidi="ar-MA"/>
        </w:rPr>
        <w:t>في هذا السياق عاتب المفس</w:t>
      </w:r>
      <w:r w:rsidR="00076263" w:rsidRPr="00282AC9">
        <w:rPr>
          <w:rFonts w:ascii="Lotus Linotype" w:hAnsi="Lotus Linotype" w:hint="cs"/>
          <w:sz w:val="27"/>
          <w:rtl/>
          <w:lang w:bidi="ar-MA"/>
        </w:rPr>
        <w:t>ِّ</w:t>
      </w:r>
      <w:r w:rsidRPr="00282AC9">
        <w:rPr>
          <w:rFonts w:ascii="Lotus Linotype" w:hAnsi="Lotus Linotype" w:hint="cs"/>
          <w:sz w:val="27"/>
          <w:rtl/>
          <w:lang w:bidi="ar-MA"/>
        </w:rPr>
        <w:t xml:space="preserve">ر </w:t>
      </w:r>
      <w:r w:rsidRPr="00282AC9">
        <w:rPr>
          <w:rFonts w:ascii="Lotus Linotype" w:hAnsi="Lotus Linotype"/>
          <w:sz w:val="27"/>
          <w:rtl/>
          <w:lang w:bidi="ar-MA"/>
        </w:rPr>
        <w:t>ابن جزي الكلبي</w:t>
      </w:r>
      <w:r w:rsidR="00076263" w:rsidRPr="00282AC9">
        <w:rPr>
          <w:rFonts w:ascii="Lotus Linotype" w:hAnsi="Lotus Linotype" w:hint="cs"/>
          <w:sz w:val="27"/>
          <w:rtl/>
          <w:lang w:bidi="ar-MA"/>
        </w:rPr>
        <w:t>،</w:t>
      </w:r>
      <w:r w:rsidRPr="00282AC9">
        <w:rPr>
          <w:rFonts w:ascii="Lotus Linotype" w:hAnsi="Lotus Linotype"/>
          <w:sz w:val="27"/>
          <w:rtl/>
          <w:lang w:bidi="ar-MA"/>
        </w:rPr>
        <w:t xml:space="preserve"> في مقد</w:t>
      </w:r>
      <w:r w:rsidR="00076263" w:rsidRPr="00282AC9">
        <w:rPr>
          <w:rFonts w:ascii="Lotus Linotype" w:hAnsi="Lotus Linotype" w:hint="cs"/>
          <w:sz w:val="27"/>
          <w:rtl/>
          <w:lang w:bidi="ar-MA"/>
        </w:rPr>
        <w:t>ّ</w:t>
      </w:r>
      <w:r w:rsidRPr="00282AC9">
        <w:rPr>
          <w:rFonts w:ascii="Lotus Linotype" w:hAnsi="Lotus Linotype"/>
          <w:sz w:val="27"/>
          <w:rtl/>
          <w:lang w:bidi="ar-MA"/>
        </w:rPr>
        <w:t>مة تفسيره، بعض المفس</w:t>
      </w:r>
      <w:r w:rsidR="00076263" w:rsidRPr="00282AC9">
        <w:rPr>
          <w:rFonts w:ascii="Lotus Linotype" w:hAnsi="Lotus Linotype" w:hint="cs"/>
          <w:sz w:val="27"/>
          <w:rtl/>
          <w:lang w:bidi="ar-MA"/>
        </w:rPr>
        <w:t>ِّ</w:t>
      </w:r>
      <w:r w:rsidRPr="00282AC9">
        <w:rPr>
          <w:rFonts w:ascii="Lotus Linotype" w:hAnsi="Lotus Linotype"/>
          <w:sz w:val="27"/>
          <w:rtl/>
          <w:lang w:bidi="ar-MA"/>
        </w:rPr>
        <w:t>رين</w:t>
      </w:r>
      <w:r w:rsidR="00076263" w:rsidRPr="00282AC9">
        <w:rPr>
          <w:rFonts w:ascii="Lotus Linotype" w:hAnsi="Lotus Linotype" w:hint="cs"/>
          <w:sz w:val="27"/>
          <w:rtl/>
          <w:lang w:bidi="ar-MA"/>
        </w:rPr>
        <w:t>؛</w:t>
      </w:r>
      <w:r w:rsidRPr="00282AC9">
        <w:rPr>
          <w:rFonts w:ascii="Lotus Linotype" w:hAnsi="Lotus Linotype"/>
          <w:sz w:val="27"/>
          <w:rtl/>
          <w:lang w:bidi="ar-MA"/>
        </w:rPr>
        <w:t xml:space="preserve"> لأنهم</w:t>
      </w:r>
      <w:r w:rsidRPr="00282AC9">
        <w:rPr>
          <w:rFonts w:ascii="Lotus Linotype" w:hAnsi="Lotus Linotype" w:hint="cs"/>
          <w:sz w:val="27"/>
          <w:rtl/>
          <w:lang w:bidi="ar-MA"/>
        </w:rPr>
        <w:t xml:space="preserve"> تغاض</w:t>
      </w:r>
      <w:r w:rsidR="00076263" w:rsidRPr="00282AC9">
        <w:rPr>
          <w:rFonts w:ascii="Lotus Linotype" w:hAnsi="Lotus Linotype" w:hint="cs"/>
          <w:sz w:val="27"/>
          <w:rtl/>
          <w:lang w:bidi="ar-MA"/>
        </w:rPr>
        <w:t>َ</w:t>
      </w:r>
      <w:r w:rsidRPr="00282AC9">
        <w:rPr>
          <w:rFonts w:ascii="Lotus Linotype" w:hAnsi="Lotus Linotype" w:hint="cs"/>
          <w:sz w:val="27"/>
          <w:rtl/>
          <w:lang w:bidi="ar-MA"/>
        </w:rPr>
        <w:t>و</w:t>
      </w:r>
      <w:r w:rsidR="00076263" w:rsidRPr="00282AC9">
        <w:rPr>
          <w:rFonts w:ascii="Lotus Linotype" w:hAnsi="Lotus Linotype" w:hint="cs"/>
          <w:sz w:val="27"/>
          <w:rtl/>
          <w:lang w:bidi="ar-MA"/>
        </w:rPr>
        <w:t>ْ</w:t>
      </w:r>
      <w:r w:rsidRPr="00282AC9">
        <w:rPr>
          <w:rFonts w:ascii="Lotus Linotype" w:hAnsi="Lotus Linotype" w:hint="cs"/>
          <w:sz w:val="27"/>
          <w:rtl/>
          <w:lang w:bidi="ar-MA"/>
        </w:rPr>
        <w:t xml:space="preserve">ا واغفلوا مباحث </w:t>
      </w:r>
      <w:r w:rsidRPr="00282AC9">
        <w:rPr>
          <w:rFonts w:ascii="Lotus Linotype" w:hAnsi="Lotus Linotype"/>
          <w:sz w:val="27"/>
          <w:rtl/>
          <w:lang w:bidi="ar-MA"/>
        </w:rPr>
        <w:t xml:space="preserve">علم أصول الفقه، </w:t>
      </w:r>
      <w:r w:rsidRPr="00282AC9">
        <w:rPr>
          <w:rFonts w:ascii="Lotus Linotype" w:hAnsi="Lotus Linotype" w:hint="cs"/>
          <w:sz w:val="27"/>
          <w:rtl/>
          <w:lang w:bidi="ar-MA"/>
        </w:rPr>
        <w:t>و تجاهلوا جهود الأصولي</w:t>
      </w:r>
      <w:r w:rsidR="00076263" w:rsidRPr="00282AC9">
        <w:rPr>
          <w:rFonts w:ascii="Lotus Linotype" w:hAnsi="Lotus Linotype" w:hint="cs"/>
          <w:sz w:val="27"/>
          <w:rtl/>
          <w:lang w:bidi="ar-MA"/>
        </w:rPr>
        <w:t>ّ</w:t>
      </w:r>
      <w:r w:rsidRPr="00282AC9">
        <w:rPr>
          <w:rFonts w:ascii="Lotus Linotype" w:hAnsi="Lotus Linotype" w:hint="cs"/>
          <w:sz w:val="27"/>
          <w:rtl/>
          <w:lang w:bidi="ar-MA"/>
        </w:rPr>
        <w:t xml:space="preserve">ين </w:t>
      </w:r>
      <w:r w:rsidRPr="00282AC9">
        <w:rPr>
          <w:rFonts w:ascii="Lotus Linotype" w:hAnsi="Lotus Linotype" w:hint="cs"/>
          <w:sz w:val="27"/>
          <w:rtl/>
          <w:lang w:bidi="ar-MA"/>
        </w:rPr>
        <w:lastRenderedPageBreak/>
        <w:t xml:space="preserve">في التفسير، </w:t>
      </w:r>
      <w:r w:rsidRPr="00282AC9">
        <w:rPr>
          <w:rFonts w:ascii="Lotus Linotype" w:hAnsi="Lotus Linotype"/>
          <w:sz w:val="27"/>
          <w:rtl/>
          <w:lang w:bidi="ar-MA"/>
        </w:rPr>
        <w:t>ولم يستحضرو</w:t>
      </w:r>
      <w:r w:rsidRPr="00282AC9">
        <w:rPr>
          <w:rFonts w:ascii="Lotus Linotype" w:hAnsi="Lotus Linotype" w:hint="cs"/>
          <w:sz w:val="27"/>
          <w:rtl/>
          <w:lang w:bidi="ar-MA"/>
        </w:rPr>
        <w:t>ه</w:t>
      </w:r>
      <w:r w:rsidRPr="00282AC9">
        <w:rPr>
          <w:rFonts w:ascii="Lotus Linotype" w:hAnsi="Lotus Linotype"/>
          <w:sz w:val="27"/>
          <w:rtl/>
          <w:lang w:bidi="ar-MA"/>
        </w:rPr>
        <w:t xml:space="preserve">ا </w:t>
      </w:r>
      <w:r w:rsidRPr="00282AC9">
        <w:rPr>
          <w:rFonts w:ascii="Lotus Linotype" w:hAnsi="Lotus Linotype" w:hint="cs"/>
          <w:sz w:val="27"/>
          <w:rtl/>
          <w:lang w:bidi="ar-MA"/>
        </w:rPr>
        <w:t xml:space="preserve">في سياق </w:t>
      </w:r>
      <w:r w:rsidRPr="00282AC9">
        <w:rPr>
          <w:rFonts w:ascii="Lotus Linotype" w:hAnsi="Lotus Linotype"/>
          <w:sz w:val="27"/>
          <w:rtl/>
          <w:lang w:bidi="ar-MA"/>
        </w:rPr>
        <w:t>تفسيرهم للقر</w:t>
      </w:r>
      <w:r w:rsidR="00076263" w:rsidRPr="00282AC9">
        <w:rPr>
          <w:rFonts w:ascii="Lotus Linotype" w:hAnsi="Lotus Linotype" w:hint="cs"/>
          <w:sz w:val="27"/>
          <w:rtl/>
          <w:lang w:bidi="ar-MA"/>
        </w:rPr>
        <w:t>آ</w:t>
      </w:r>
      <w:r w:rsidRPr="00282AC9">
        <w:rPr>
          <w:rFonts w:ascii="Lotus Linotype" w:hAnsi="Lotus Linotype"/>
          <w:sz w:val="27"/>
          <w:rtl/>
          <w:lang w:bidi="ar-MA"/>
        </w:rPr>
        <w:t>ن الكريم</w:t>
      </w:r>
      <w:r w:rsidR="00076263" w:rsidRPr="00282AC9">
        <w:rPr>
          <w:rFonts w:ascii="Lotus Linotype" w:hAnsi="Lotus Linotype" w:hint="cs"/>
          <w:sz w:val="27"/>
          <w:rtl/>
          <w:lang w:bidi="ar-MA"/>
        </w:rPr>
        <w:t>،</w:t>
      </w:r>
      <w:r w:rsidRPr="00282AC9">
        <w:rPr>
          <w:rFonts w:ascii="Lotus Linotype" w:hAnsi="Lotus Linotype"/>
          <w:sz w:val="27"/>
          <w:rtl/>
          <w:lang w:bidi="ar-MA"/>
        </w:rPr>
        <w:t xml:space="preserve"> </w:t>
      </w:r>
      <w:r w:rsidR="00076263" w:rsidRPr="00282AC9">
        <w:rPr>
          <w:rFonts w:ascii="Lotus Linotype" w:hAnsi="Lotus Linotype" w:hint="cs"/>
          <w:sz w:val="27"/>
          <w:rtl/>
          <w:lang w:bidi="ar-MA"/>
        </w:rPr>
        <w:t>و</w:t>
      </w:r>
      <w:r w:rsidR="00674EF5" w:rsidRPr="00282AC9">
        <w:rPr>
          <w:rFonts w:ascii="Lotus Linotype" w:hAnsi="Lotus Linotype" w:hint="cs"/>
          <w:sz w:val="27"/>
          <w:rtl/>
          <w:lang w:bidi="ar-MA"/>
        </w:rPr>
        <w:t>لا سيَّما</w:t>
      </w:r>
      <w:r w:rsidRPr="00282AC9">
        <w:rPr>
          <w:rFonts w:ascii="Lotus Linotype" w:hAnsi="Lotus Linotype" w:hint="cs"/>
          <w:sz w:val="27"/>
          <w:rtl/>
          <w:lang w:bidi="ar-MA"/>
        </w:rPr>
        <w:t xml:space="preserve"> ما </w:t>
      </w:r>
      <w:r w:rsidRPr="00282AC9">
        <w:rPr>
          <w:rFonts w:ascii="Lotus Linotype" w:hAnsi="Lotus Linotype"/>
          <w:sz w:val="27"/>
          <w:rtl/>
          <w:lang w:bidi="ar-MA"/>
        </w:rPr>
        <w:t>تعل</w:t>
      </w:r>
      <w:r w:rsidR="00076263" w:rsidRPr="00282AC9">
        <w:rPr>
          <w:rFonts w:ascii="Lotus Linotype" w:hAnsi="Lotus Linotype" w:hint="cs"/>
          <w:sz w:val="27"/>
          <w:rtl/>
          <w:lang w:bidi="ar-MA"/>
        </w:rPr>
        <w:t>َّ</w:t>
      </w:r>
      <w:r w:rsidRPr="00282AC9">
        <w:rPr>
          <w:rFonts w:ascii="Lotus Linotype" w:hAnsi="Lotus Linotype"/>
          <w:sz w:val="27"/>
          <w:rtl/>
          <w:lang w:bidi="ar-MA"/>
        </w:rPr>
        <w:t>ق بالقواعد اللغوية المخص</w:t>
      </w:r>
      <w:r w:rsidR="00076263" w:rsidRPr="00282AC9">
        <w:rPr>
          <w:rFonts w:ascii="Lotus Linotype" w:hAnsi="Lotus Linotype" w:hint="cs"/>
          <w:sz w:val="27"/>
          <w:rtl/>
          <w:lang w:bidi="ar-MA"/>
        </w:rPr>
        <w:t>ّ</w:t>
      </w:r>
      <w:r w:rsidRPr="00282AC9">
        <w:rPr>
          <w:rFonts w:ascii="Lotus Linotype" w:hAnsi="Lotus Linotype"/>
          <w:sz w:val="27"/>
          <w:rtl/>
          <w:lang w:bidi="ar-MA"/>
        </w:rPr>
        <w:t>صة للتفسير عام</w:t>
      </w:r>
      <w:r w:rsidR="00076263" w:rsidRPr="00282AC9">
        <w:rPr>
          <w:rFonts w:ascii="Lotus Linotype" w:hAnsi="Lotus Linotype" w:hint="cs"/>
          <w:sz w:val="27"/>
          <w:rtl/>
          <w:lang w:bidi="ar-MA"/>
        </w:rPr>
        <w:t>ّ</w:t>
      </w:r>
      <w:r w:rsidRPr="00282AC9">
        <w:rPr>
          <w:rFonts w:ascii="Lotus Linotype" w:hAnsi="Lotus Linotype"/>
          <w:sz w:val="27"/>
          <w:rtl/>
          <w:lang w:bidi="ar-MA"/>
        </w:rPr>
        <w:t>ة، و</w:t>
      </w:r>
      <w:r w:rsidRPr="00282AC9">
        <w:rPr>
          <w:rFonts w:ascii="Lotus Linotype" w:hAnsi="Lotus Linotype" w:hint="cs"/>
          <w:sz w:val="27"/>
          <w:rtl/>
          <w:lang w:bidi="ar-MA"/>
        </w:rPr>
        <w:t xml:space="preserve">تفسير </w:t>
      </w:r>
      <w:r w:rsidRPr="00282AC9">
        <w:rPr>
          <w:rFonts w:ascii="Lotus Linotype" w:hAnsi="Lotus Linotype"/>
          <w:sz w:val="27"/>
          <w:rtl/>
          <w:lang w:bidi="ar-MA"/>
        </w:rPr>
        <w:t>النص</w:t>
      </w:r>
      <w:r w:rsidR="00076263" w:rsidRPr="00282AC9">
        <w:rPr>
          <w:rFonts w:ascii="Lotus Linotype" w:hAnsi="Lotus Linotype" w:hint="cs"/>
          <w:sz w:val="27"/>
          <w:rtl/>
          <w:lang w:bidi="ar-MA"/>
        </w:rPr>
        <w:t>ّ</w:t>
      </w:r>
      <w:r w:rsidRPr="00282AC9">
        <w:rPr>
          <w:rFonts w:ascii="Lotus Linotype" w:hAnsi="Lotus Linotype"/>
          <w:sz w:val="27"/>
          <w:rtl/>
          <w:lang w:bidi="ar-MA"/>
        </w:rPr>
        <w:t xml:space="preserve"> القر</w:t>
      </w:r>
      <w:r w:rsidRPr="00282AC9">
        <w:rPr>
          <w:rFonts w:ascii="Lotus Linotype" w:hAnsi="Lotus Linotype" w:hint="cs"/>
          <w:sz w:val="27"/>
          <w:rtl/>
          <w:lang w:bidi="ar-MA"/>
        </w:rPr>
        <w:t>آ</w:t>
      </w:r>
      <w:r w:rsidRPr="00282AC9">
        <w:rPr>
          <w:rFonts w:ascii="Lotus Linotype" w:hAnsi="Lotus Linotype"/>
          <w:sz w:val="27"/>
          <w:rtl/>
          <w:lang w:bidi="ar-MA"/>
        </w:rPr>
        <w:t>ني</w:t>
      </w:r>
      <w:r w:rsidR="00076263" w:rsidRPr="00282AC9">
        <w:rPr>
          <w:rFonts w:ascii="Lotus Linotype" w:hAnsi="Lotus Linotype" w:hint="cs"/>
          <w:sz w:val="27"/>
          <w:rtl/>
          <w:lang w:bidi="ar-MA"/>
        </w:rPr>
        <w:t>ّ</w:t>
      </w:r>
      <w:r w:rsidRPr="00282AC9">
        <w:rPr>
          <w:rFonts w:ascii="Lotus Linotype" w:hAnsi="Lotus Linotype"/>
          <w:sz w:val="27"/>
          <w:rtl/>
          <w:lang w:bidi="ar-MA"/>
        </w:rPr>
        <w:t xml:space="preserve"> خاص</w:t>
      </w:r>
      <w:r w:rsidR="00076263" w:rsidRPr="00282AC9">
        <w:rPr>
          <w:rFonts w:ascii="Lotus Linotype" w:hAnsi="Lotus Linotype" w:hint="cs"/>
          <w:sz w:val="27"/>
          <w:rtl/>
          <w:lang w:bidi="ar-MA"/>
        </w:rPr>
        <w:t>ّ</w:t>
      </w:r>
      <w:r w:rsidRPr="00282AC9">
        <w:rPr>
          <w:rFonts w:ascii="Lotus Linotype" w:hAnsi="Lotus Linotype"/>
          <w:sz w:val="27"/>
          <w:rtl/>
          <w:lang w:bidi="ar-MA"/>
        </w:rPr>
        <w:t>ة...</w:t>
      </w:r>
      <w:r w:rsidRPr="00282AC9">
        <w:rPr>
          <w:rFonts w:ascii="Lotus Linotype" w:hAnsi="Lotus Linotype"/>
          <w:sz w:val="27"/>
          <w:vertAlign w:val="superscript"/>
          <w:rtl/>
          <w:lang w:bidi="ar-MA"/>
        </w:rPr>
        <w:t>(</w:t>
      </w:r>
      <w:r w:rsidRPr="00282AC9">
        <w:rPr>
          <w:rStyle w:val="af9"/>
          <w:rFonts w:ascii="Lotus Linotype" w:hAnsi="Lotus Linotype"/>
          <w:sz w:val="27"/>
          <w:rtl/>
          <w:lang w:bidi="ar-MA"/>
        </w:rPr>
        <w:endnoteReference w:id="720"/>
      </w:r>
      <w:r w:rsidRPr="00282AC9">
        <w:rPr>
          <w:rFonts w:ascii="Lotus Linotype" w:hAnsi="Lotus Linotype"/>
          <w:sz w:val="27"/>
          <w:vertAlign w:val="superscript"/>
          <w:rtl/>
          <w:lang w:bidi="ar-MA"/>
        </w:rPr>
        <w:t>)</w:t>
      </w:r>
      <w:r w:rsidRPr="00282AC9">
        <w:rPr>
          <w:rFonts w:ascii="Lotus Linotype" w:hAnsi="Lotus Linotype"/>
          <w:sz w:val="27"/>
          <w:rtl/>
          <w:lang w:bidi="ar-MA"/>
        </w:rPr>
        <w:t>.</w:t>
      </w:r>
    </w:p>
    <w:p w:rsidR="00D722E4" w:rsidRPr="00282AC9" w:rsidRDefault="00D722E4" w:rsidP="00A20690">
      <w:pPr>
        <w:tabs>
          <w:tab w:val="right" w:pos="4195"/>
        </w:tabs>
        <w:rPr>
          <w:rFonts w:ascii="Traditional Arabic" w:hAnsi="Traditional Arabic"/>
          <w:sz w:val="27"/>
          <w:shd w:val="clear" w:color="auto" w:fill="FFFFFF"/>
          <w:rtl/>
        </w:rPr>
      </w:pPr>
      <w:r w:rsidRPr="00282AC9">
        <w:rPr>
          <w:rFonts w:ascii="Lotus Linotype" w:hAnsi="Lotus Linotype"/>
          <w:sz w:val="27"/>
          <w:rtl/>
          <w:lang w:bidi="ar-MA"/>
        </w:rPr>
        <w:t>وهذا العتاب</w:t>
      </w:r>
      <w:r w:rsidRPr="00282AC9">
        <w:rPr>
          <w:sz w:val="27"/>
          <w:rtl/>
          <w:lang w:bidi="ar-MA"/>
        </w:rPr>
        <w:t xml:space="preserve"> </w:t>
      </w:r>
      <w:r w:rsidRPr="00282AC9">
        <w:rPr>
          <w:rFonts w:hint="cs"/>
          <w:sz w:val="27"/>
          <w:rtl/>
          <w:lang w:bidi="ar-MA"/>
        </w:rPr>
        <w:t>يجد اعتباره أن</w:t>
      </w:r>
      <w:r w:rsidRPr="00282AC9">
        <w:rPr>
          <w:sz w:val="27"/>
          <w:rtl/>
          <w:lang w:bidi="ar-MA"/>
        </w:rPr>
        <w:t xml:space="preserve"> مقصد البيان ي</w:t>
      </w:r>
      <w:r w:rsidR="00076263" w:rsidRPr="00282AC9">
        <w:rPr>
          <w:rFonts w:hint="cs"/>
          <w:sz w:val="27"/>
          <w:rtl/>
          <w:lang w:bidi="ar-MA"/>
        </w:rPr>
        <w:t>ُ</w:t>
      </w:r>
      <w:r w:rsidRPr="00282AC9">
        <w:rPr>
          <w:sz w:val="27"/>
          <w:rtl/>
          <w:lang w:bidi="ar-MA"/>
        </w:rPr>
        <w:t>ع</w:t>
      </w:r>
      <w:r w:rsidR="00076263" w:rsidRPr="00282AC9">
        <w:rPr>
          <w:rFonts w:hint="cs"/>
          <w:sz w:val="27"/>
          <w:rtl/>
          <w:lang w:bidi="ar-MA"/>
        </w:rPr>
        <w:t>َ</w:t>
      </w:r>
      <w:r w:rsidRPr="00282AC9">
        <w:rPr>
          <w:sz w:val="27"/>
          <w:rtl/>
          <w:lang w:bidi="ar-MA"/>
        </w:rPr>
        <w:t>د</w:t>
      </w:r>
      <w:r w:rsidR="00076263" w:rsidRPr="00282AC9">
        <w:rPr>
          <w:rFonts w:hint="cs"/>
          <w:sz w:val="27"/>
          <w:rtl/>
          <w:lang w:bidi="ar-MA"/>
        </w:rPr>
        <w:t>ّ</w:t>
      </w:r>
      <w:r w:rsidRPr="00282AC9">
        <w:rPr>
          <w:sz w:val="27"/>
          <w:rtl/>
          <w:lang w:bidi="ar-MA"/>
        </w:rPr>
        <w:t xml:space="preserve"> من </w:t>
      </w:r>
      <w:r w:rsidR="00076263" w:rsidRPr="00282AC9">
        <w:rPr>
          <w:rFonts w:hint="cs"/>
          <w:sz w:val="27"/>
          <w:rtl/>
          <w:lang w:bidi="ar-MA"/>
        </w:rPr>
        <w:t>أ</w:t>
      </w:r>
      <w:r w:rsidRPr="00282AC9">
        <w:rPr>
          <w:sz w:val="27"/>
          <w:rtl/>
          <w:lang w:bidi="ar-MA"/>
        </w:rPr>
        <w:t>برز المقاصد التي جاء بها الإسلام</w:t>
      </w:r>
      <w:r w:rsidR="00076263" w:rsidRPr="00282AC9">
        <w:rPr>
          <w:rFonts w:hint="cs"/>
          <w:sz w:val="27"/>
          <w:rtl/>
          <w:lang w:bidi="ar-MA"/>
        </w:rPr>
        <w:t>،</w:t>
      </w:r>
      <w:r w:rsidRPr="00282AC9">
        <w:rPr>
          <w:sz w:val="27"/>
          <w:rtl/>
          <w:lang w:bidi="ar-MA"/>
        </w:rPr>
        <w:t xml:space="preserve"> وحملتها الشريعة الإسلامية، و</w:t>
      </w:r>
      <w:r w:rsidR="00076263" w:rsidRPr="00282AC9">
        <w:rPr>
          <w:rFonts w:hint="cs"/>
          <w:sz w:val="27"/>
          <w:rtl/>
          <w:lang w:bidi="ar-MA"/>
        </w:rPr>
        <w:t>أ</w:t>
      </w:r>
      <w:r w:rsidRPr="00282AC9">
        <w:rPr>
          <w:sz w:val="27"/>
          <w:rtl/>
          <w:lang w:bidi="ar-MA"/>
        </w:rPr>
        <w:t>ص</w:t>
      </w:r>
      <w:r w:rsidR="00076263" w:rsidRPr="00282AC9">
        <w:rPr>
          <w:rFonts w:hint="cs"/>
          <w:sz w:val="27"/>
          <w:rtl/>
          <w:lang w:bidi="ar-MA"/>
        </w:rPr>
        <w:t>َّ</w:t>
      </w:r>
      <w:r w:rsidRPr="00282AC9">
        <w:rPr>
          <w:sz w:val="27"/>
          <w:rtl/>
          <w:lang w:bidi="ar-MA"/>
        </w:rPr>
        <w:t>لتها في خطابها، وبي</w:t>
      </w:r>
      <w:r w:rsidR="00076263" w:rsidRPr="00282AC9">
        <w:rPr>
          <w:rFonts w:hint="cs"/>
          <w:sz w:val="27"/>
          <w:rtl/>
          <w:lang w:bidi="ar-MA"/>
        </w:rPr>
        <w:t>َّ</w:t>
      </w:r>
      <w:r w:rsidRPr="00282AC9">
        <w:rPr>
          <w:sz w:val="27"/>
          <w:rtl/>
          <w:lang w:bidi="ar-MA"/>
        </w:rPr>
        <w:t>نتها في آياتها، وقع</w:t>
      </w:r>
      <w:r w:rsidR="00076263" w:rsidRPr="00282AC9">
        <w:rPr>
          <w:rFonts w:hint="cs"/>
          <w:sz w:val="27"/>
          <w:rtl/>
          <w:lang w:bidi="ar-MA"/>
        </w:rPr>
        <w:t>َّ</w:t>
      </w:r>
      <w:r w:rsidRPr="00282AC9">
        <w:rPr>
          <w:sz w:val="27"/>
          <w:rtl/>
          <w:lang w:bidi="ar-MA"/>
        </w:rPr>
        <w:t>دتها في نصوصها، وكشفت عنها في نقولها وشواهدها</w:t>
      </w:r>
      <w:r w:rsidRPr="00282AC9">
        <w:rPr>
          <w:rFonts w:hint="cs"/>
          <w:sz w:val="27"/>
          <w:rtl/>
          <w:lang w:bidi="ar-MA"/>
        </w:rPr>
        <w:t xml:space="preserve">، </w:t>
      </w:r>
      <w:r w:rsidRPr="00282AC9">
        <w:rPr>
          <w:sz w:val="27"/>
          <w:rtl/>
          <w:lang w:bidi="ar-MA"/>
        </w:rPr>
        <w:t>و</w:t>
      </w:r>
      <w:r w:rsidRPr="00282AC9">
        <w:rPr>
          <w:rFonts w:hint="cs"/>
          <w:sz w:val="27"/>
          <w:rtl/>
          <w:lang w:bidi="ar-MA"/>
        </w:rPr>
        <w:t>قع</w:t>
      </w:r>
      <w:r w:rsidR="00076263" w:rsidRPr="00282AC9">
        <w:rPr>
          <w:rFonts w:hint="cs"/>
          <w:sz w:val="27"/>
          <w:rtl/>
          <w:lang w:bidi="ar-MA"/>
        </w:rPr>
        <w:t>َّ</w:t>
      </w:r>
      <w:r w:rsidRPr="00282AC9">
        <w:rPr>
          <w:rFonts w:hint="cs"/>
          <w:sz w:val="27"/>
          <w:rtl/>
          <w:lang w:bidi="ar-MA"/>
        </w:rPr>
        <w:t>دتها في قواعدها</w:t>
      </w:r>
      <w:r w:rsidR="00076263" w:rsidRPr="00282AC9">
        <w:rPr>
          <w:rFonts w:hint="cs"/>
          <w:sz w:val="27"/>
          <w:rtl/>
          <w:lang w:bidi="ar-MA"/>
        </w:rPr>
        <w:t>،</w:t>
      </w:r>
      <w:r w:rsidRPr="00282AC9">
        <w:rPr>
          <w:rFonts w:hint="cs"/>
          <w:sz w:val="27"/>
          <w:rtl/>
          <w:lang w:bidi="ar-MA"/>
        </w:rPr>
        <w:t xml:space="preserve"> التي </w:t>
      </w:r>
      <w:r w:rsidRPr="00282AC9">
        <w:rPr>
          <w:sz w:val="27"/>
          <w:rtl/>
          <w:lang w:bidi="ar-MA"/>
        </w:rPr>
        <w:t>منها</w:t>
      </w:r>
      <w:r w:rsidR="00076263" w:rsidRPr="00282AC9">
        <w:rPr>
          <w:rFonts w:hint="cs"/>
          <w:sz w:val="27"/>
          <w:rtl/>
          <w:lang w:bidi="ar-MA"/>
        </w:rPr>
        <w:t>:</w:t>
      </w:r>
      <w:r w:rsidRPr="00282AC9">
        <w:rPr>
          <w:sz w:val="27"/>
          <w:rtl/>
          <w:lang w:bidi="ar-MA"/>
        </w:rPr>
        <w:t xml:space="preserve"> </w:t>
      </w:r>
      <w:r w:rsidR="00076263" w:rsidRPr="00282AC9">
        <w:rPr>
          <w:rFonts w:hint="cs"/>
          <w:sz w:val="27"/>
          <w:rtl/>
          <w:lang w:bidi="ar-MA"/>
        </w:rPr>
        <w:t>إ</w:t>
      </w:r>
      <w:r w:rsidRPr="00282AC9">
        <w:rPr>
          <w:sz w:val="27"/>
          <w:rtl/>
          <w:lang w:bidi="ar-MA"/>
        </w:rPr>
        <w:t xml:space="preserve">ن </w:t>
      </w:r>
      <w:r w:rsidRPr="00282AC9">
        <w:rPr>
          <w:rFonts w:hint="eastAsia"/>
          <w:sz w:val="24"/>
          <w:szCs w:val="24"/>
          <w:rtl/>
          <w:lang w:bidi="ar-MA"/>
        </w:rPr>
        <w:t>«</w:t>
      </w:r>
      <w:r w:rsidRPr="00282AC9">
        <w:rPr>
          <w:sz w:val="27"/>
          <w:rtl/>
          <w:lang w:bidi="ar-MA"/>
        </w:rPr>
        <w:t>الأصل في الخطاب البيان</w:t>
      </w:r>
      <w:r w:rsidRPr="00282AC9">
        <w:rPr>
          <w:rFonts w:hint="cs"/>
          <w:sz w:val="27"/>
          <w:rtl/>
          <w:lang w:bidi="ar-MA"/>
        </w:rPr>
        <w:t xml:space="preserve"> وتحقيق الفهم</w:t>
      </w:r>
      <w:r w:rsidRPr="00282AC9">
        <w:rPr>
          <w:rFonts w:hint="eastAsia"/>
          <w:sz w:val="24"/>
          <w:szCs w:val="24"/>
          <w:rtl/>
        </w:rPr>
        <w:t>»</w:t>
      </w:r>
      <w:r w:rsidR="00E23C30" w:rsidRPr="00282AC9">
        <w:rPr>
          <w:rFonts w:hint="cs"/>
          <w:sz w:val="27"/>
          <w:rtl/>
          <w:lang w:bidi="ar-MA"/>
        </w:rPr>
        <w:t>،</w:t>
      </w:r>
      <w:r w:rsidRPr="00282AC9">
        <w:rPr>
          <w:rFonts w:hint="cs"/>
          <w:sz w:val="27"/>
          <w:rtl/>
          <w:lang w:bidi="ar-MA"/>
        </w:rPr>
        <w:t xml:space="preserve"> وبعبارة</w:t>
      </w:r>
      <w:r w:rsidRPr="00282AC9">
        <w:rPr>
          <w:rFonts w:ascii="Traditional Arabic" w:hAnsi="Traditional Arabic"/>
          <w:sz w:val="27"/>
          <w:shd w:val="clear" w:color="auto" w:fill="FFFFFF"/>
          <w:rtl/>
          <w:lang w:bidi="ar-MA"/>
        </w:rPr>
        <w:t xml:space="preserve"> الإمام أب</w:t>
      </w:r>
      <w:r w:rsidRPr="00282AC9">
        <w:rPr>
          <w:rFonts w:ascii="Traditional Arabic" w:hAnsi="Traditional Arabic" w:hint="cs"/>
          <w:sz w:val="27"/>
          <w:shd w:val="clear" w:color="auto" w:fill="FFFFFF"/>
          <w:rtl/>
          <w:lang w:bidi="ar-MA"/>
        </w:rPr>
        <w:t>ي</w:t>
      </w:r>
      <w:r w:rsidRPr="00282AC9">
        <w:rPr>
          <w:rFonts w:ascii="Traditional Arabic" w:hAnsi="Traditional Arabic"/>
          <w:sz w:val="27"/>
          <w:shd w:val="clear" w:color="auto" w:fill="FFFFFF"/>
          <w:rtl/>
          <w:lang w:bidi="ar-MA"/>
        </w:rPr>
        <w:t xml:space="preserve"> الحسين البصري</w:t>
      </w:r>
      <w:r w:rsidR="00076263" w:rsidRPr="00282AC9">
        <w:rPr>
          <w:rFonts w:ascii="Traditional Arabic" w:hAnsi="Traditional Arabic" w:hint="cs"/>
          <w:sz w:val="27"/>
          <w:shd w:val="clear" w:color="auto" w:fill="FFFFFF"/>
          <w:rtl/>
          <w:lang w:bidi="ar-MA"/>
        </w:rPr>
        <w:t>(</w:t>
      </w:r>
      <w:r w:rsidRPr="00282AC9">
        <w:rPr>
          <w:rFonts w:ascii="Traditional Arabic" w:hAnsi="Traditional Arabic"/>
          <w:sz w:val="27"/>
          <w:shd w:val="clear" w:color="auto" w:fill="FFFFFF"/>
          <w:rtl/>
          <w:lang w:bidi="ar-MA"/>
        </w:rPr>
        <w:t>436ه</w:t>
      </w:r>
      <w:r w:rsidR="00965E08" w:rsidRPr="00282AC9">
        <w:rPr>
          <w:rFonts w:ascii="Traditional Arabic" w:hAnsi="Traditional Arabic" w:hint="cs"/>
          <w:sz w:val="27"/>
          <w:shd w:val="clear" w:color="auto" w:fill="FFFFFF"/>
          <w:rtl/>
          <w:lang w:bidi="ar-MA"/>
        </w:rPr>
        <w:t>ـ</w:t>
      </w:r>
      <w:r w:rsidR="00076263" w:rsidRPr="00282AC9">
        <w:rPr>
          <w:rFonts w:ascii="Traditional Arabic" w:hAnsi="Traditional Arabic" w:hint="cs"/>
          <w:sz w:val="27"/>
          <w:shd w:val="clear" w:color="auto" w:fill="FFFFFF"/>
          <w:rtl/>
          <w:lang w:bidi="ar-MA"/>
        </w:rPr>
        <w:t>)</w:t>
      </w:r>
      <w:r w:rsidRPr="00282AC9">
        <w:rPr>
          <w:rFonts w:ascii="Traditional Arabic" w:hAnsi="Traditional Arabic"/>
          <w:sz w:val="27"/>
          <w:shd w:val="clear" w:color="auto" w:fill="FFFFFF"/>
          <w:rtl/>
          <w:lang w:bidi="ar-MA"/>
        </w:rPr>
        <w:t>:</w:t>
      </w:r>
      <w:r w:rsidR="00965E08" w:rsidRPr="00282AC9">
        <w:rPr>
          <w:rFonts w:ascii="Traditional Arabic" w:hAnsi="Traditional Arabic" w:hint="cs"/>
          <w:sz w:val="27"/>
          <w:shd w:val="clear" w:color="auto" w:fill="FFFFFF"/>
          <w:rtl/>
          <w:lang w:bidi="ar-MA"/>
        </w:rPr>
        <w:t xml:space="preserve"> </w:t>
      </w:r>
      <w:r w:rsidR="00076263" w:rsidRPr="00282AC9">
        <w:rPr>
          <w:rFonts w:hint="eastAsia"/>
          <w:sz w:val="24"/>
          <w:szCs w:val="24"/>
          <w:rtl/>
          <w:lang w:bidi="ar-MA"/>
        </w:rPr>
        <w:t>«</w:t>
      </w:r>
      <w:r w:rsidRPr="00282AC9">
        <w:rPr>
          <w:rFonts w:ascii="Traditional Arabic" w:hAnsi="Traditional Arabic" w:hint="cs"/>
          <w:sz w:val="27"/>
          <w:shd w:val="clear" w:color="auto" w:fill="FFFFFF"/>
          <w:rtl/>
        </w:rPr>
        <w:t>إن</w:t>
      </w:r>
      <w:r w:rsidRPr="00282AC9">
        <w:rPr>
          <w:rFonts w:ascii="Traditional Arabic" w:hAnsi="Traditional Arabic"/>
          <w:sz w:val="27"/>
          <w:shd w:val="clear" w:color="auto" w:fill="FFFFFF"/>
          <w:rtl/>
        </w:rPr>
        <w:t xml:space="preserve"> الغرض من إرسال الخطاب هو تحقيق التفاهم.</w:t>
      </w:r>
      <w:r w:rsidRPr="00282AC9">
        <w:rPr>
          <w:rFonts w:ascii="Traditional Arabic" w:hAnsi="Traditional Arabic" w:hint="cs"/>
          <w:sz w:val="27"/>
          <w:shd w:val="clear" w:color="auto" w:fill="FFFFFF"/>
          <w:rtl/>
        </w:rPr>
        <w:t>.</w:t>
      </w:r>
      <w:r w:rsidRPr="00282AC9">
        <w:rPr>
          <w:rFonts w:ascii="Traditional Arabic" w:hAnsi="Traditional Arabic"/>
          <w:sz w:val="27"/>
          <w:shd w:val="clear" w:color="auto" w:fill="FFFFFF"/>
          <w:rtl/>
        </w:rPr>
        <w:t>.</w:t>
      </w:r>
      <w:r w:rsidRPr="00282AC9">
        <w:rPr>
          <w:rFonts w:hint="eastAsia"/>
          <w:sz w:val="24"/>
          <w:szCs w:val="24"/>
          <w:rtl/>
        </w:rPr>
        <w:t>»</w:t>
      </w:r>
      <w:r w:rsidRPr="00282AC9">
        <w:rPr>
          <w:rFonts w:ascii="Traditional Arabic" w:hAnsi="Traditional Arabic"/>
          <w:sz w:val="27"/>
          <w:shd w:val="clear" w:color="auto" w:fill="FFFFFF"/>
          <w:vertAlign w:val="superscript"/>
          <w:rtl/>
        </w:rPr>
        <w:t>(</w:t>
      </w:r>
      <w:r w:rsidRPr="00282AC9">
        <w:rPr>
          <w:rStyle w:val="af9"/>
          <w:sz w:val="27"/>
          <w:shd w:val="clear" w:color="auto" w:fill="FFFFFF"/>
          <w:rtl/>
        </w:rPr>
        <w:endnoteReference w:id="721"/>
      </w:r>
      <w:r w:rsidRPr="00282AC9">
        <w:rPr>
          <w:rFonts w:ascii="Traditional Arabic" w:hAnsi="Traditional Arabic"/>
          <w:sz w:val="27"/>
          <w:shd w:val="clear" w:color="auto" w:fill="FFFFFF"/>
          <w:vertAlign w:val="superscript"/>
          <w:rtl/>
        </w:rPr>
        <w:t>)</w:t>
      </w:r>
      <w:r w:rsidRPr="00282AC9">
        <w:rPr>
          <w:rFonts w:ascii="Traditional Arabic" w:hAnsi="Traditional Arabic"/>
          <w:sz w:val="27"/>
          <w:shd w:val="clear" w:color="auto" w:fill="FFFFFF"/>
          <w:rtl/>
        </w:rPr>
        <w:t>.</w:t>
      </w:r>
    </w:p>
    <w:p w:rsidR="003062B7" w:rsidRPr="00282AC9" w:rsidRDefault="003062B7" w:rsidP="003062B7">
      <w:pPr>
        <w:spacing w:line="420" w:lineRule="exact"/>
        <w:rPr>
          <w:sz w:val="27"/>
          <w:rtl/>
        </w:rPr>
      </w:pPr>
    </w:p>
    <w:p w:rsidR="00D722E4" w:rsidRPr="00282AC9" w:rsidRDefault="00E66DEA" w:rsidP="00E66DEA">
      <w:pPr>
        <w:pStyle w:val="31"/>
        <w:rPr>
          <w:color w:val="auto"/>
          <w:rtl/>
          <w:lang w:bidi="ar-MA"/>
        </w:rPr>
      </w:pPr>
      <w:r w:rsidRPr="00282AC9">
        <w:rPr>
          <w:color w:val="auto"/>
          <w:rtl/>
          <w:lang w:bidi="ar-MA"/>
        </w:rPr>
        <w:t>الصلة المشتركة</w:t>
      </w:r>
      <w:r w:rsidRPr="00282AC9">
        <w:rPr>
          <w:rFonts w:hint="cs"/>
          <w:color w:val="auto"/>
          <w:rtl/>
          <w:lang w:bidi="ar-MA"/>
        </w:rPr>
        <w:t xml:space="preserve"> بين </w:t>
      </w:r>
      <w:r w:rsidR="00D722E4" w:rsidRPr="00282AC9">
        <w:rPr>
          <w:color w:val="auto"/>
          <w:rtl/>
          <w:lang w:bidi="ar-MA"/>
        </w:rPr>
        <w:t>علم</w:t>
      </w:r>
      <w:r w:rsidRPr="00282AC9">
        <w:rPr>
          <w:rFonts w:hint="cs"/>
          <w:color w:val="auto"/>
          <w:rtl/>
          <w:lang w:bidi="ar-MA"/>
        </w:rPr>
        <w:t>َيْ</w:t>
      </w:r>
      <w:r w:rsidR="00D722E4" w:rsidRPr="00282AC9">
        <w:rPr>
          <w:color w:val="auto"/>
          <w:rtl/>
          <w:lang w:bidi="ar-MA"/>
        </w:rPr>
        <w:t xml:space="preserve"> أصول الفقه والتفسير</w:t>
      </w:r>
      <w:r w:rsidR="00D722E4" w:rsidRPr="00282AC9">
        <w:rPr>
          <w:rFonts w:hint="cs"/>
          <w:color w:val="auto"/>
          <w:rtl/>
          <w:lang w:bidi="ar-MA"/>
        </w:rPr>
        <w:t xml:space="preserve"> </w:t>
      </w:r>
    </w:p>
    <w:p w:rsidR="00D722E4" w:rsidRPr="00282AC9" w:rsidRDefault="00D722E4" w:rsidP="00A20690">
      <w:pPr>
        <w:rPr>
          <w:rFonts w:ascii="Lotus Linotype" w:hAnsi="Lotus Linotype"/>
          <w:sz w:val="27"/>
          <w:rtl/>
          <w:lang w:bidi="ar-MA"/>
        </w:rPr>
      </w:pPr>
      <w:r w:rsidRPr="00282AC9">
        <w:rPr>
          <w:rFonts w:ascii="Lotus Linotype" w:hAnsi="Lotus Linotype"/>
          <w:sz w:val="27"/>
          <w:rtl/>
          <w:lang w:bidi="ar-MA"/>
        </w:rPr>
        <w:t xml:space="preserve"> </w:t>
      </w:r>
      <w:r w:rsidRPr="00282AC9">
        <w:rPr>
          <w:rFonts w:ascii="Lotus Linotype" w:hAnsi="Lotus Linotype" w:hint="cs"/>
          <w:sz w:val="27"/>
          <w:rtl/>
          <w:lang w:bidi="ar-MA"/>
        </w:rPr>
        <w:t>مم</w:t>
      </w:r>
      <w:r w:rsidR="00E23C30" w:rsidRPr="00282AC9">
        <w:rPr>
          <w:rFonts w:ascii="Lotus Linotype" w:hAnsi="Lotus Linotype" w:hint="cs"/>
          <w:sz w:val="27"/>
          <w:rtl/>
          <w:lang w:bidi="ar-MA"/>
        </w:rPr>
        <w:t>ّ</w:t>
      </w:r>
      <w:r w:rsidRPr="00282AC9">
        <w:rPr>
          <w:rFonts w:ascii="Lotus Linotype" w:hAnsi="Lotus Linotype" w:hint="cs"/>
          <w:sz w:val="27"/>
          <w:rtl/>
          <w:lang w:bidi="ar-MA"/>
        </w:rPr>
        <w:t>ا يدل</w:t>
      </w:r>
      <w:r w:rsidR="00E23C30" w:rsidRPr="00282AC9">
        <w:rPr>
          <w:rFonts w:ascii="Lotus Linotype" w:hAnsi="Lotus Linotype" w:hint="cs"/>
          <w:sz w:val="27"/>
          <w:rtl/>
          <w:lang w:bidi="ar-MA"/>
        </w:rPr>
        <w:t>ّ</w:t>
      </w:r>
      <w:r w:rsidRPr="00282AC9">
        <w:rPr>
          <w:rFonts w:ascii="Lotus Linotype" w:hAnsi="Lotus Linotype" w:hint="cs"/>
          <w:sz w:val="27"/>
          <w:rtl/>
          <w:lang w:bidi="ar-MA"/>
        </w:rPr>
        <w:t xml:space="preserve"> على</w:t>
      </w:r>
      <w:r w:rsidRPr="00282AC9">
        <w:rPr>
          <w:rFonts w:ascii="Lotus Linotype" w:hAnsi="Lotus Linotype"/>
          <w:sz w:val="27"/>
          <w:rtl/>
          <w:lang w:bidi="ar-MA"/>
        </w:rPr>
        <w:t xml:space="preserve"> الصلة القوي</w:t>
      </w:r>
      <w:r w:rsidR="00E23C30" w:rsidRPr="00282AC9">
        <w:rPr>
          <w:rFonts w:ascii="Lotus Linotype" w:hAnsi="Lotus Linotype" w:hint="cs"/>
          <w:sz w:val="27"/>
          <w:rtl/>
          <w:lang w:bidi="ar-MA"/>
        </w:rPr>
        <w:t>ّ</w:t>
      </w:r>
      <w:r w:rsidRPr="00282AC9">
        <w:rPr>
          <w:rFonts w:ascii="Lotus Linotype" w:hAnsi="Lotus Linotype"/>
          <w:sz w:val="27"/>
          <w:rtl/>
          <w:lang w:bidi="ar-MA"/>
        </w:rPr>
        <w:t xml:space="preserve">ة القائمة بين علم أصول الفقه والتفسير </w:t>
      </w:r>
      <w:r w:rsidRPr="00282AC9">
        <w:rPr>
          <w:rFonts w:ascii="Lotus Linotype" w:hAnsi="Lotus Linotype" w:hint="cs"/>
          <w:sz w:val="27"/>
          <w:rtl/>
          <w:lang w:bidi="ar-MA"/>
        </w:rPr>
        <w:t xml:space="preserve">أن </w:t>
      </w:r>
      <w:r w:rsidRPr="00282AC9">
        <w:rPr>
          <w:rFonts w:ascii="Lotus Linotype" w:hAnsi="Lotus Linotype"/>
          <w:sz w:val="27"/>
          <w:rtl/>
          <w:lang w:bidi="ar-MA"/>
        </w:rPr>
        <w:t>كل</w:t>
      </w:r>
      <w:r w:rsidR="00E23C30" w:rsidRPr="00282AC9">
        <w:rPr>
          <w:rFonts w:ascii="Lotus Linotype" w:hAnsi="Lotus Linotype" w:hint="cs"/>
          <w:sz w:val="27"/>
          <w:rtl/>
          <w:lang w:bidi="ar-MA"/>
        </w:rPr>
        <w:t>َ</w:t>
      </w:r>
      <w:r w:rsidRPr="00282AC9">
        <w:rPr>
          <w:rFonts w:ascii="Lotus Linotype" w:hAnsi="Lotus Linotype" w:hint="cs"/>
          <w:sz w:val="27"/>
          <w:rtl/>
          <w:lang w:bidi="ar-MA"/>
        </w:rPr>
        <w:t>ي</w:t>
      </w:r>
      <w:r w:rsidR="00E23C30" w:rsidRPr="00282AC9">
        <w:rPr>
          <w:rFonts w:ascii="Lotus Linotype" w:hAnsi="Lotus Linotype" w:hint="cs"/>
          <w:sz w:val="27"/>
          <w:rtl/>
          <w:lang w:bidi="ar-MA"/>
        </w:rPr>
        <w:t>ْ</w:t>
      </w:r>
      <w:r w:rsidRPr="00282AC9">
        <w:rPr>
          <w:rFonts w:ascii="Lotus Linotype" w:hAnsi="Lotus Linotype" w:hint="cs"/>
          <w:sz w:val="27"/>
          <w:rtl/>
          <w:lang w:bidi="ar-MA"/>
        </w:rPr>
        <w:t xml:space="preserve">هما </w:t>
      </w:r>
      <w:r w:rsidRPr="00282AC9">
        <w:rPr>
          <w:rFonts w:ascii="Lotus Linotype" w:hAnsi="Lotus Linotype"/>
          <w:sz w:val="27"/>
          <w:rtl/>
          <w:lang w:bidi="ar-MA"/>
        </w:rPr>
        <w:t xml:space="preserve">يشتغل على محور </w:t>
      </w:r>
      <w:r w:rsidRPr="00282AC9">
        <w:rPr>
          <w:rFonts w:ascii="Lotus Linotype" w:hAnsi="Lotus Linotype" w:hint="cs"/>
          <w:sz w:val="27"/>
          <w:rtl/>
          <w:lang w:bidi="ar-MA"/>
        </w:rPr>
        <w:t>التفسير والبيا</w:t>
      </w:r>
      <w:r w:rsidRPr="00282AC9">
        <w:rPr>
          <w:rFonts w:ascii="Lotus Linotype" w:hAnsi="Lotus Linotype" w:hint="eastAsia"/>
          <w:sz w:val="27"/>
          <w:rtl/>
          <w:lang w:bidi="ar-MA"/>
        </w:rPr>
        <w:t>ن</w:t>
      </w:r>
      <w:r w:rsidRPr="00282AC9">
        <w:rPr>
          <w:rFonts w:ascii="Lotus Linotype" w:hAnsi="Lotus Linotype" w:hint="cs"/>
          <w:sz w:val="27"/>
          <w:rtl/>
          <w:lang w:bidi="ar-MA"/>
        </w:rPr>
        <w:t xml:space="preserve">، </w:t>
      </w:r>
      <w:r w:rsidRPr="00282AC9">
        <w:rPr>
          <w:rFonts w:ascii="Lotus Linotype" w:hAnsi="Lotus Linotype"/>
          <w:sz w:val="27"/>
          <w:rtl/>
          <w:lang w:bidi="ar-MA"/>
        </w:rPr>
        <w:t>و</w:t>
      </w:r>
      <w:r w:rsidRPr="00282AC9">
        <w:rPr>
          <w:rFonts w:ascii="Lotus Linotype" w:hAnsi="Lotus Linotype" w:hint="cs"/>
          <w:sz w:val="27"/>
          <w:rtl/>
          <w:lang w:bidi="ar-MA"/>
        </w:rPr>
        <w:t xml:space="preserve">على </w:t>
      </w:r>
      <w:r w:rsidRPr="00282AC9">
        <w:rPr>
          <w:rFonts w:ascii="Lotus Linotype" w:hAnsi="Lotus Linotype"/>
          <w:sz w:val="27"/>
          <w:rtl/>
          <w:lang w:bidi="ar-MA"/>
        </w:rPr>
        <w:t>تمث</w:t>
      </w:r>
      <w:r w:rsidR="00E23C30" w:rsidRPr="00282AC9">
        <w:rPr>
          <w:rFonts w:ascii="Lotus Linotype" w:hAnsi="Lotus Linotype" w:hint="cs"/>
          <w:sz w:val="27"/>
          <w:rtl/>
          <w:lang w:bidi="ar-MA"/>
        </w:rPr>
        <w:t>ُّ</w:t>
      </w:r>
      <w:r w:rsidRPr="00282AC9">
        <w:rPr>
          <w:rFonts w:ascii="Lotus Linotype" w:hAnsi="Lotus Linotype"/>
          <w:sz w:val="27"/>
          <w:rtl/>
          <w:lang w:bidi="ar-MA"/>
        </w:rPr>
        <w:t>ل المعاني</w:t>
      </w:r>
      <w:r w:rsidRPr="00282AC9">
        <w:rPr>
          <w:rFonts w:ascii="Lotus Linotype" w:hAnsi="Lotus Linotype" w:hint="cs"/>
          <w:sz w:val="27"/>
          <w:rtl/>
          <w:lang w:bidi="ar-MA"/>
        </w:rPr>
        <w:t>، واستمداد الدلالات اللغوي</w:t>
      </w:r>
      <w:r w:rsidR="00E23C30" w:rsidRPr="00282AC9">
        <w:rPr>
          <w:rFonts w:ascii="Lotus Linotype" w:hAnsi="Lotus Linotype" w:hint="cs"/>
          <w:sz w:val="27"/>
          <w:rtl/>
          <w:lang w:bidi="ar-MA"/>
        </w:rPr>
        <w:t>ّ</w:t>
      </w:r>
      <w:r w:rsidRPr="00282AC9">
        <w:rPr>
          <w:rFonts w:ascii="Lotus Linotype" w:hAnsi="Lotus Linotype" w:hint="cs"/>
          <w:sz w:val="27"/>
          <w:rtl/>
          <w:lang w:bidi="ar-MA"/>
        </w:rPr>
        <w:t xml:space="preserve">ة المحمولة </w:t>
      </w:r>
      <w:r w:rsidRPr="00282AC9">
        <w:rPr>
          <w:rFonts w:ascii="Lotus Linotype" w:hAnsi="Lotus Linotype"/>
          <w:sz w:val="27"/>
          <w:rtl/>
          <w:lang w:bidi="ar-MA"/>
        </w:rPr>
        <w:t>في النص</w:t>
      </w:r>
      <w:r w:rsidR="00E23C30" w:rsidRPr="00282AC9">
        <w:rPr>
          <w:rFonts w:ascii="Lotus Linotype" w:hAnsi="Lotus Linotype" w:hint="cs"/>
          <w:sz w:val="27"/>
          <w:rtl/>
          <w:lang w:bidi="ar-MA"/>
        </w:rPr>
        <w:t>ّ</w:t>
      </w:r>
      <w:r w:rsidRPr="00282AC9">
        <w:rPr>
          <w:rFonts w:ascii="Lotus Linotype" w:hAnsi="Lotus Linotype"/>
          <w:sz w:val="27"/>
          <w:rtl/>
          <w:lang w:bidi="ar-MA"/>
        </w:rPr>
        <w:t xml:space="preserve"> القر</w:t>
      </w:r>
      <w:r w:rsidRPr="00282AC9">
        <w:rPr>
          <w:rFonts w:ascii="Lotus Linotype" w:hAnsi="Lotus Linotype" w:hint="cs"/>
          <w:sz w:val="27"/>
          <w:rtl/>
          <w:lang w:bidi="ar-MA"/>
        </w:rPr>
        <w:t>آ</w:t>
      </w:r>
      <w:r w:rsidRPr="00282AC9">
        <w:rPr>
          <w:rFonts w:ascii="Lotus Linotype" w:hAnsi="Lotus Linotype"/>
          <w:sz w:val="27"/>
          <w:rtl/>
          <w:lang w:bidi="ar-MA"/>
        </w:rPr>
        <w:t>ني</w:t>
      </w:r>
      <w:r w:rsidRPr="00282AC9">
        <w:rPr>
          <w:rFonts w:ascii="Lotus Linotype" w:hAnsi="Lotus Linotype"/>
          <w:sz w:val="27"/>
          <w:vertAlign w:val="superscript"/>
          <w:rtl/>
          <w:lang w:bidi="ar-MA"/>
        </w:rPr>
        <w:t>(</w:t>
      </w:r>
      <w:r w:rsidRPr="00282AC9">
        <w:rPr>
          <w:rStyle w:val="af9"/>
          <w:rFonts w:ascii="Lotus Linotype" w:hAnsi="Lotus Linotype"/>
          <w:sz w:val="27"/>
          <w:rtl/>
          <w:lang w:bidi="ar-MA"/>
        </w:rPr>
        <w:endnoteReference w:id="722"/>
      </w:r>
      <w:r w:rsidRPr="00282AC9">
        <w:rPr>
          <w:rFonts w:ascii="Lotus Linotype" w:hAnsi="Lotus Linotype"/>
          <w:sz w:val="27"/>
          <w:vertAlign w:val="superscript"/>
          <w:rtl/>
          <w:lang w:bidi="ar-MA"/>
        </w:rPr>
        <w:t>)</w:t>
      </w:r>
      <w:r w:rsidRPr="00282AC9">
        <w:rPr>
          <w:rFonts w:ascii="Lotus Linotype" w:hAnsi="Lotus Linotype"/>
          <w:sz w:val="27"/>
          <w:rtl/>
          <w:lang w:bidi="ar-MA"/>
        </w:rPr>
        <w:t>.</w:t>
      </w:r>
      <w:r w:rsidR="00E23C30" w:rsidRPr="00282AC9">
        <w:rPr>
          <w:rFonts w:ascii="Lotus Linotype" w:hAnsi="Lotus Linotype" w:hint="cs"/>
          <w:sz w:val="27"/>
          <w:rtl/>
          <w:lang w:bidi="ar-MA"/>
        </w:rPr>
        <w:t xml:space="preserve"> و</w:t>
      </w:r>
      <w:r w:rsidRPr="00282AC9">
        <w:rPr>
          <w:rFonts w:ascii="Lotus Linotype" w:hAnsi="Lotus Linotype"/>
          <w:sz w:val="27"/>
          <w:rtl/>
          <w:lang w:bidi="ar-MA"/>
        </w:rPr>
        <w:t>من هنا ف</w:t>
      </w:r>
      <w:r w:rsidR="00E23C30" w:rsidRPr="00282AC9">
        <w:rPr>
          <w:rFonts w:ascii="Lotus Linotype" w:hAnsi="Lotus Linotype" w:hint="cs"/>
          <w:sz w:val="27"/>
          <w:rtl/>
          <w:lang w:bidi="ar-MA"/>
        </w:rPr>
        <w:t>إ</w:t>
      </w:r>
      <w:r w:rsidRPr="00282AC9">
        <w:rPr>
          <w:rFonts w:ascii="Lotus Linotype" w:hAnsi="Lotus Linotype"/>
          <w:sz w:val="27"/>
          <w:rtl/>
          <w:lang w:bidi="ar-MA"/>
        </w:rPr>
        <w:t xml:space="preserve">ن الضرورة المنهجية </w:t>
      </w:r>
      <w:r w:rsidR="00E23C30" w:rsidRPr="00282AC9">
        <w:rPr>
          <w:rFonts w:ascii="Lotus Linotype" w:hAnsi="Lotus Linotype" w:hint="cs"/>
          <w:sz w:val="27"/>
          <w:rtl/>
          <w:lang w:bidi="ar-MA"/>
        </w:rPr>
        <w:t>و</w:t>
      </w:r>
      <w:r w:rsidRPr="00282AC9">
        <w:rPr>
          <w:rFonts w:ascii="Lotus Linotype" w:hAnsi="Lotus Linotype" w:hint="cs"/>
          <w:sz w:val="27"/>
          <w:rtl/>
          <w:lang w:bidi="ar-MA"/>
        </w:rPr>
        <w:t xml:space="preserve">العلمية </w:t>
      </w:r>
      <w:r w:rsidRPr="00282AC9">
        <w:rPr>
          <w:rFonts w:ascii="Lotus Linotype" w:hAnsi="Lotus Linotype"/>
          <w:sz w:val="27"/>
          <w:rtl/>
          <w:lang w:bidi="ar-MA"/>
        </w:rPr>
        <w:t>ملزمة</w:t>
      </w:r>
      <w:r w:rsidR="00E23C30" w:rsidRPr="00282AC9">
        <w:rPr>
          <w:rFonts w:ascii="Lotus Linotype" w:hAnsi="Lotus Linotype" w:hint="cs"/>
          <w:sz w:val="27"/>
          <w:rtl/>
          <w:lang w:bidi="ar-MA"/>
        </w:rPr>
        <w:t>ٌ</w:t>
      </w:r>
      <w:r w:rsidRPr="00282AC9">
        <w:rPr>
          <w:rFonts w:ascii="Lotus Linotype" w:hAnsi="Lotus Linotype"/>
          <w:sz w:val="27"/>
          <w:rtl/>
          <w:lang w:bidi="ar-MA"/>
        </w:rPr>
        <w:t xml:space="preserve"> للمفس</w:t>
      </w:r>
      <w:r w:rsidR="00E23C30" w:rsidRPr="00282AC9">
        <w:rPr>
          <w:rFonts w:ascii="Lotus Linotype" w:hAnsi="Lotus Linotype" w:hint="cs"/>
          <w:sz w:val="27"/>
          <w:rtl/>
          <w:lang w:bidi="ar-MA"/>
        </w:rPr>
        <w:t>ِّ</w:t>
      </w:r>
      <w:r w:rsidRPr="00282AC9">
        <w:rPr>
          <w:rFonts w:ascii="Lotus Linotype" w:hAnsi="Lotus Linotype"/>
          <w:sz w:val="27"/>
          <w:rtl/>
          <w:lang w:bidi="ar-MA"/>
        </w:rPr>
        <w:t>ر</w:t>
      </w:r>
      <w:r w:rsidRPr="00282AC9">
        <w:rPr>
          <w:rFonts w:ascii="Lotus Linotype" w:hAnsi="Lotus Linotype" w:hint="cs"/>
          <w:sz w:val="27"/>
          <w:rtl/>
          <w:lang w:bidi="ar-MA"/>
        </w:rPr>
        <w:t xml:space="preserve"> والقارئ </w:t>
      </w:r>
      <w:r w:rsidRPr="00282AC9">
        <w:rPr>
          <w:rFonts w:ascii="Lotus Linotype" w:hAnsi="Lotus Linotype"/>
          <w:sz w:val="27"/>
          <w:rtl/>
          <w:lang w:bidi="ar-MA"/>
        </w:rPr>
        <w:t>في أن يستعين بجهود الأصولي</w:t>
      </w:r>
      <w:r w:rsidR="00E23C30" w:rsidRPr="00282AC9">
        <w:rPr>
          <w:rFonts w:ascii="Lotus Linotype" w:hAnsi="Lotus Linotype" w:hint="cs"/>
          <w:sz w:val="27"/>
          <w:rtl/>
          <w:lang w:bidi="ar-MA"/>
        </w:rPr>
        <w:t>ّ</w:t>
      </w:r>
      <w:r w:rsidRPr="00282AC9">
        <w:rPr>
          <w:rFonts w:ascii="Lotus Linotype" w:hAnsi="Lotus Linotype"/>
          <w:sz w:val="27"/>
          <w:rtl/>
          <w:lang w:bidi="ar-MA"/>
        </w:rPr>
        <w:t>ين</w:t>
      </w:r>
      <w:r w:rsidRPr="00282AC9">
        <w:rPr>
          <w:rFonts w:ascii="Lotus Linotype" w:hAnsi="Lotus Linotype" w:hint="cs"/>
          <w:sz w:val="27"/>
          <w:rtl/>
          <w:lang w:bidi="ar-MA"/>
        </w:rPr>
        <w:t xml:space="preserve">، </w:t>
      </w:r>
      <w:r w:rsidRPr="00282AC9">
        <w:rPr>
          <w:rFonts w:ascii="Lotus Linotype" w:hAnsi="Lotus Linotype"/>
          <w:sz w:val="27"/>
          <w:rtl/>
          <w:lang w:bidi="ar-MA"/>
        </w:rPr>
        <w:t>و</w:t>
      </w:r>
      <w:r w:rsidRPr="00282AC9">
        <w:rPr>
          <w:rFonts w:ascii="Lotus Linotype" w:hAnsi="Lotus Linotype" w:hint="cs"/>
          <w:sz w:val="27"/>
          <w:rtl/>
          <w:lang w:bidi="ar-MA"/>
        </w:rPr>
        <w:t xml:space="preserve">يستحضر </w:t>
      </w:r>
      <w:r w:rsidRPr="00282AC9">
        <w:rPr>
          <w:rFonts w:ascii="Lotus Linotype" w:hAnsi="Lotus Linotype"/>
          <w:sz w:val="27"/>
          <w:rtl/>
          <w:lang w:bidi="ar-MA"/>
        </w:rPr>
        <w:t xml:space="preserve">بحوثهم، </w:t>
      </w:r>
      <w:r w:rsidR="00E23C30" w:rsidRPr="00282AC9">
        <w:rPr>
          <w:rFonts w:ascii="Lotus Linotype" w:hAnsi="Lotus Linotype" w:hint="cs"/>
          <w:sz w:val="27"/>
          <w:rtl/>
          <w:lang w:bidi="ar-MA"/>
        </w:rPr>
        <w:t>و</w:t>
      </w:r>
      <w:r w:rsidRPr="00282AC9">
        <w:rPr>
          <w:rFonts w:ascii="Lotus Linotype" w:hAnsi="Lotus Linotype" w:hint="cs"/>
          <w:sz w:val="27"/>
          <w:rtl/>
          <w:lang w:bidi="ar-MA"/>
        </w:rPr>
        <w:t xml:space="preserve">يستأنس باجتهاداتهم </w:t>
      </w:r>
      <w:r w:rsidR="00E23C30" w:rsidRPr="00282AC9">
        <w:rPr>
          <w:rFonts w:ascii="Lotus Linotype" w:hAnsi="Lotus Linotype" w:hint="cs"/>
          <w:sz w:val="27"/>
          <w:rtl/>
          <w:lang w:bidi="ar-MA"/>
        </w:rPr>
        <w:t>وآرائهم</w:t>
      </w:r>
      <w:r w:rsidRPr="00282AC9">
        <w:rPr>
          <w:rFonts w:ascii="Lotus Linotype" w:hAnsi="Lotus Linotype" w:hint="cs"/>
          <w:sz w:val="27"/>
          <w:rtl/>
          <w:lang w:bidi="ar-MA"/>
        </w:rPr>
        <w:t xml:space="preserve"> </w:t>
      </w:r>
      <w:r w:rsidRPr="00282AC9">
        <w:rPr>
          <w:rFonts w:ascii="Lotus Linotype" w:hAnsi="Lotus Linotype"/>
          <w:sz w:val="27"/>
          <w:rtl/>
          <w:lang w:bidi="ar-MA"/>
        </w:rPr>
        <w:t>في قراءة النص</w:t>
      </w:r>
      <w:r w:rsidR="00E23C30" w:rsidRPr="00282AC9">
        <w:rPr>
          <w:rFonts w:ascii="Lotus Linotype" w:hAnsi="Lotus Linotype" w:hint="cs"/>
          <w:sz w:val="27"/>
          <w:rtl/>
          <w:lang w:bidi="ar-MA"/>
        </w:rPr>
        <w:t>ّ</w:t>
      </w:r>
      <w:r w:rsidRPr="00282AC9">
        <w:rPr>
          <w:rFonts w:ascii="Lotus Linotype" w:hAnsi="Lotus Linotype" w:hint="cs"/>
          <w:sz w:val="27"/>
          <w:rtl/>
          <w:lang w:bidi="ar-MA"/>
        </w:rPr>
        <w:t xml:space="preserve"> الشرعي، </w:t>
      </w:r>
      <w:r w:rsidRPr="00282AC9">
        <w:rPr>
          <w:rFonts w:ascii="Lotus Linotype" w:hAnsi="Lotus Linotype"/>
          <w:sz w:val="27"/>
          <w:rtl/>
          <w:lang w:bidi="ar-MA"/>
        </w:rPr>
        <w:t>و</w:t>
      </w:r>
      <w:r w:rsidR="00E23C30" w:rsidRPr="00282AC9">
        <w:rPr>
          <w:rFonts w:ascii="Lotus Linotype" w:hAnsi="Lotus Linotype" w:hint="cs"/>
          <w:sz w:val="27"/>
          <w:rtl/>
          <w:lang w:bidi="ar-MA"/>
        </w:rPr>
        <w:t>أ</w:t>
      </w:r>
      <w:r w:rsidRPr="00282AC9">
        <w:rPr>
          <w:rFonts w:ascii="Lotus Linotype" w:hAnsi="Lotus Linotype" w:hint="cs"/>
          <w:sz w:val="27"/>
          <w:rtl/>
          <w:lang w:bidi="ar-MA"/>
        </w:rPr>
        <w:t xml:space="preserve">ن </w:t>
      </w:r>
      <w:r w:rsidRPr="00282AC9">
        <w:rPr>
          <w:rFonts w:ascii="Lotus Linotype" w:hAnsi="Lotus Linotype"/>
          <w:sz w:val="27"/>
          <w:rtl/>
          <w:lang w:bidi="ar-MA"/>
        </w:rPr>
        <w:t xml:space="preserve">لا يتغاضى عن هذه </w:t>
      </w:r>
      <w:r w:rsidRPr="00282AC9">
        <w:rPr>
          <w:rFonts w:ascii="Lotus Linotype" w:hAnsi="Lotus Linotype" w:hint="cs"/>
          <w:sz w:val="27"/>
          <w:rtl/>
          <w:lang w:bidi="ar-MA"/>
        </w:rPr>
        <w:t>الجهود في كل</w:t>
      </w:r>
      <w:r w:rsidR="00E23C30" w:rsidRPr="00282AC9">
        <w:rPr>
          <w:rFonts w:ascii="Lotus Linotype" w:hAnsi="Lotus Linotype" w:hint="cs"/>
          <w:sz w:val="27"/>
          <w:rtl/>
          <w:lang w:bidi="ar-MA"/>
        </w:rPr>
        <w:t>ّ</w:t>
      </w:r>
      <w:r w:rsidRPr="00282AC9">
        <w:rPr>
          <w:rFonts w:ascii="Lotus Linotype" w:hAnsi="Lotus Linotype" w:hint="cs"/>
          <w:sz w:val="27"/>
          <w:rtl/>
          <w:lang w:bidi="ar-MA"/>
        </w:rPr>
        <w:t xml:space="preserve"> عمل</w:t>
      </w:r>
      <w:r w:rsidR="00E23C30" w:rsidRPr="00282AC9">
        <w:rPr>
          <w:rFonts w:ascii="Lotus Linotype" w:hAnsi="Lotus Linotype" w:hint="cs"/>
          <w:sz w:val="27"/>
          <w:rtl/>
          <w:lang w:bidi="ar-MA"/>
        </w:rPr>
        <w:t>ٍ</w:t>
      </w:r>
      <w:r w:rsidRPr="00282AC9">
        <w:rPr>
          <w:rFonts w:ascii="Lotus Linotype" w:hAnsi="Lotus Linotype" w:hint="cs"/>
          <w:sz w:val="27"/>
          <w:rtl/>
          <w:lang w:bidi="ar-MA"/>
        </w:rPr>
        <w:t xml:space="preserve"> ات</w:t>
      </w:r>
      <w:r w:rsidR="00E23C30" w:rsidRPr="00282AC9">
        <w:rPr>
          <w:rFonts w:ascii="Lotus Linotype" w:hAnsi="Lotus Linotype" w:hint="cs"/>
          <w:sz w:val="27"/>
          <w:rtl/>
          <w:lang w:bidi="ar-MA"/>
        </w:rPr>
        <w:t>ّ</w:t>
      </w:r>
      <w:r w:rsidRPr="00282AC9">
        <w:rPr>
          <w:rFonts w:ascii="Lotus Linotype" w:hAnsi="Lotus Linotype" w:hint="cs"/>
          <w:sz w:val="27"/>
          <w:rtl/>
          <w:lang w:bidi="ar-MA"/>
        </w:rPr>
        <w:t>صل بقراءة النص</w:t>
      </w:r>
      <w:r w:rsidR="00E23C30" w:rsidRPr="00282AC9">
        <w:rPr>
          <w:rFonts w:ascii="Lotus Linotype" w:hAnsi="Lotus Linotype" w:hint="cs"/>
          <w:sz w:val="27"/>
          <w:rtl/>
          <w:lang w:bidi="ar-MA"/>
        </w:rPr>
        <w:t>ّ</w:t>
      </w:r>
      <w:r w:rsidRPr="00282AC9">
        <w:rPr>
          <w:rFonts w:ascii="Lotus Linotype" w:hAnsi="Lotus Linotype" w:hint="cs"/>
          <w:sz w:val="27"/>
          <w:rtl/>
          <w:lang w:bidi="ar-MA"/>
        </w:rPr>
        <w:t xml:space="preserve">. </w:t>
      </w:r>
    </w:p>
    <w:p w:rsidR="00D722E4" w:rsidRPr="00282AC9" w:rsidRDefault="00E23C30" w:rsidP="00A20690">
      <w:pPr>
        <w:rPr>
          <w:sz w:val="27"/>
          <w:rtl/>
          <w:lang w:bidi="ar-MA"/>
        </w:rPr>
      </w:pPr>
      <w:r w:rsidRPr="00282AC9">
        <w:rPr>
          <w:rFonts w:hint="cs"/>
          <w:sz w:val="27"/>
          <w:rtl/>
          <w:lang w:bidi="ar-MA"/>
        </w:rPr>
        <w:t>و</w:t>
      </w:r>
      <w:r w:rsidR="00D722E4" w:rsidRPr="00282AC9">
        <w:rPr>
          <w:sz w:val="27"/>
          <w:rtl/>
          <w:lang w:bidi="ar-MA"/>
        </w:rPr>
        <w:t>ت</w:t>
      </w:r>
      <w:r w:rsidRPr="00282AC9">
        <w:rPr>
          <w:rFonts w:hint="cs"/>
          <w:sz w:val="27"/>
          <w:rtl/>
          <w:lang w:bidi="ar-MA"/>
        </w:rPr>
        <w:t>َ</w:t>
      </w:r>
      <w:r w:rsidR="00D722E4" w:rsidRPr="00282AC9">
        <w:rPr>
          <w:sz w:val="27"/>
          <w:rtl/>
          <w:lang w:bidi="ar-MA"/>
        </w:rPr>
        <w:t>ب</w:t>
      </w:r>
      <w:r w:rsidRPr="00282AC9">
        <w:rPr>
          <w:rFonts w:hint="cs"/>
          <w:sz w:val="27"/>
          <w:rtl/>
          <w:lang w:bidi="ar-MA"/>
        </w:rPr>
        <w:t>َ</w:t>
      </w:r>
      <w:r w:rsidR="00D722E4" w:rsidRPr="00282AC9">
        <w:rPr>
          <w:sz w:val="27"/>
          <w:rtl/>
          <w:lang w:bidi="ar-MA"/>
        </w:rPr>
        <w:t>عا</w:t>
      </w:r>
      <w:r w:rsidRPr="00282AC9">
        <w:rPr>
          <w:rFonts w:hint="cs"/>
          <w:sz w:val="27"/>
          <w:rtl/>
          <w:lang w:bidi="ar-MA"/>
        </w:rPr>
        <w:t>ً</w:t>
      </w:r>
      <w:r w:rsidR="00D722E4" w:rsidRPr="00282AC9">
        <w:rPr>
          <w:sz w:val="27"/>
          <w:rtl/>
          <w:lang w:bidi="ar-MA"/>
        </w:rPr>
        <w:t xml:space="preserve"> لهذا الاعتبار العملي، وهذا المعطى المنهجي </w:t>
      </w:r>
      <w:r w:rsidR="00D722E4" w:rsidRPr="00282AC9">
        <w:rPr>
          <w:rFonts w:hint="cs"/>
          <w:sz w:val="27"/>
          <w:rtl/>
          <w:lang w:bidi="ar-MA"/>
        </w:rPr>
        <w:t>المحد</w:t>
      </w:r>
      <w:r w:rsidRPr="00282AC9">
        <w:rPr>
          <w:rFonts w:hint="cs"/>
          <w:sz w:val="27"/>
          <w:rtl/>
          <w:lang w:bidi="ar-MA"/>
        </w:rPr>
        <w:t>ّ</w:t>
      </w:r>
      <w:r w:rsidR="00D722E4" w:rsidRPr="00282AC9">
        <w:rPr>
          <w:rFonts w:hint="cs"/>
          <w:sz w:val="27"/>
          <w:rtl/>
          <w:lang w:bidi="ar-MA"/>
        </w:rPr>
        <w:t>د لأهم</w:t>
      </w:r>
      <w:r w:rsidRPr="00282AC9">
        <w:rPr>
          <w:rFonts w:hint="cs"/>
          <w:sz w:val="27"/>
          <w:rtl/>
          <w:lang w:bidi="ar-MA"/>
        </w:rPr>
        <w:t>ّ</w:t>
      </w:r>
      <w:r w:rsidR="00D722E4" w:rsidRPr="00282AC9">
        <w:rPr>
          <w:rFonts w:hint="cs"/>
          <w:sz w:val="27"/>
          <w:rtl/>
          <w:lang w:bidi="ar-MA"/>
        </w:rPr>
        <w:t xml:space="preserve">ية المنهج، </w:t>
      </w:r>
      <w:r w:rsidR="00D722E4" w:rsidRPr="00282AC9">
        <w:rPr>
          <w:sz w:val="27"/>
          <w:rtl/>
          <w:lang w:bidi="ar-MA"/>
        </w:rPr>
        <w:t>فقد أدرك</w:t>
      </w:r>
      <w:r w:rsidRPr="00282AC9">
        <w:rPr>
          <w:rFonts w:hint="cs"/>
          <w:sz w:val="27"/>
          <w:rtl/>
          <w:lang w:bidi="ar-MA"/>
        </w:rPr>
        <w:t>َ</w:t>
      </w:r>
      <w:r w:rsidR="00D722E4" w:rsidRPr="00282AC9">
        <w:rPr>
          <w:sz w:val="27"/>
          <w:rtl/>
          <w:lang w:bidi="ar-MA"/>
        </w:rPr>
        <w:t>ت</w:t>
      </w:r>
      <w:r w:rsidRPr="00282AC9">
        <w:rPr>
          <w:rFonts w:hint="cs"/>
          <w:sz w:val="27"/>
          <w:rtl/>
          <w:lang w:bidi="ar-MA"/>
        </w:rPr>
        <w:t>ْ</w:t>
      </w:r>
      <w:r w:rsidR="00D722E4" w:rsidRPr="00282AC9">
        <w:rPr>
          <w:sz w:val="27"/>
          <w:rtl/>
          <w:lang w:bidi="ar-MA"/>
        </w:rPr>
        <w:t xml:space="preserve"> الثقافة العربية الإسلامية في بداية نشأتها أن الحاجة ماس</w:t>
      </w:r>
      <w:r w:rsidRPr="00282AC9">
        <w:rPr>
          <w:rFonts w:hint="cs"/>
          <w:sz w:val="27"/>
          <w:rtl/>
          <w:lang w:bidi="ar-MA"/>
        </w:rPr>
        <w:t>ّ</w:t>
      </w:r>
      <w:r w:rsidR="00D722E4" w:rsidRPr="00282AC9">
        <w:rPr>
          <w:sz w:val="27"/>
          <w:rtl/>
          <w:lang w:bidi="ar-MA"/>
        </w:rPr>
        <w:t>ة</w:t>
      </w:r>
      <w:r w:rsidRPr="00282AC9">
        <w:rPr>
          <w:rFonts w:hint="cs"/>
          <w:sz w:val="27"/>
          <w:rtl/>
          <w:lang w:bidi="ar-MA"/>
        </w:rPr>
        <w:t>ٌ</w:t>
      </w:r>
      <w:r w:rsidR="00D722E4" w:rsidRPr="00282AC9">
        <w:rPr>
          <w:sz w:val="27"/>
          <w:rtl/>
          <w:lang w:bidi="ar-MA"/>
        </w:rPr>
        <w:t xml:space="preserve"> وضروري</w:t>
      </w:r>
      <w:r w:rsidRPr="00282AC9">
        <w:rPr>
          <w:rFonts w:hint="cs"/>
          <w:sz w:val="27"/>
          <w:rtl/>
          <w:lang w:bidi="ar-MA"/>
        </w:rPr>
        <w:t>ّ</w:t>
      </w:r>
      <w:r w:rsidR="00D722E4" w:rsidRPr="00282AC9">
        <w:rPr>
          <w:sz w:val="27"/>
          <w:rtl/>
          <w:lang w:bidi="ar-MA"/>
        </w:rPr>
        <w:t>ة</w:t>
      </w:r>
      <w:r w:rsidRPr="00282AC9">
        <w:rPr>
          <w:rFonts w:hint="cs"/>
          <w:sz w:val="27"/>
          <w:rtl/>
          <w:lang w:bidi="ar-MA"/>
        </w:rPr>
        <w:t>ٌ</w:t>
      </w:r>
      <w:r w:rsidR="00D722E4" w:rsidRPr="00282AC9">
        <w:rPr>
          <w:sz w:val="27"/>
          <w:rtl/>
          <w:lang w:bidi="ar-MA"/>
        </w:rPr>
        <w:t xml:space="preserve"> إلى تأسيس منهج</w:t>
      </w:r>
      <w:r w:rsidRPr="00282AC9">
        <w:rPr>
          <w:rFonts w:hint="cs"/>
          <w:sz w:val="27"/>
          <w:rtl/>
          <w:lang w:bidi="ar-MA"/>
        </w:rPr>
        <w:t>ٍ</w:t>
      </w:r>
      <w:r w:rsidR="00D722E4" w:rsidRPr="00282AC9">
        <w:rPr>
          <w:sz w:val="27"/>
          <w:rtl/>
          <w:lang w:bidi="ar-MA"/>
        </w:rPr>
        <w:t xml:space="preserve"> يضبط عملية الفهم، ويسد</w:t>
      </w:r>
      <w:r w:rsidRPr="00282AC9">
        <w:rPr>
          <w:rFonts w:hint="cs"/>
          <w:sz w:val="27"/>
          <w:rtl/>
          <w:lang w:bidi="ar-MA"/>
        </w:rPr>
        <w:t>ِّ</w:t>
      </w:r>
      <w:r w:rsidR="00D722E4" w:rsidRPr="00282AC9">
        <w:rPr>
          <w:sz w:val="27"/>
          <w:rtl/>
          <w:lang w:bidi="ar-MA"/>
        </w:rPr>
        <w:t>د عملية البيان، ويقو</w:t>
      </w:r>
      <w:r w:rsidRPr="00282AC9">
        <w:rPr>
          <w:rFonts w:hint="cs"/>
          <w:sz w:val="27"/>
          <w:rtl/>
          <w:lang w:bidi="ar-MA"/>
        </w:rPr>
        <w:t>ِّ</w:t>
      </w:r>
      <w:r w:rsidRPr="00282AC9">
        <w:rPr>
          <w:sz w:val="27"/>
          <w:rtl/>
          <w:lang w:bidi="ar-MA"/>
        </w:rPr>
        <w:t>م الاستمداد، و</w:t>
      </w:r>
      <w:r w:rsidR="00D722E4" w:rsidRPr="00282AC9">
        <w:rPr>
          <w:sz w:val="27"/>
          <w:rtl/>
          <w:lang w:bidi="ar-MA"/>
        </w:rPr>
        <w:t>ينظ</w:t>
      </w:r>
      <w:r w:rsidRPr="00282AC9">
        <w:rPr>
          <w:rFonts w:hint="cs"/>
          <w:sz w:val="27"/>
          <w:rtl/>
          <w:lang w:bidi="ar-MA"/>
        </w:rPr>
        <w:t>ِّ</w:t>
      </w:r>
      <w:r w:rsidR="00D722E4" w:rsidRPr="00282AC9">
        <w:rPr>
          <w:sz w:val="27"/>
          <w:rtl/>
          <w:lang w:bidi="ar-MA"/>
        </w:rPr>
        <w:t xml:space="preserve">م </w:t>
      </w:r>
      <w:r w:rsidR="00D722E4" w:rsidRPr="00282AC9">
        <w:rPr>
          <w:rFonts w:hint="cs"/>
          <w:sz w:val="27"/>
          <w:rtl/>
          <w:lang w:bidi="ar-MA"/>
        </w:rPr>
        <w:t>ويقن</w:t>
      </w:r>
      <w:r w:rsidRPr="00282AC9">
        <w:rPr>
          <w:rFonts w:hint="cs"/>
          <w:sz w:val="27"/>
          <w:rtl/>
          <w:lang w:bidi="ar-MA"/>
        </w:rPr>
        <w:t>ِّ</w:t>
      </w:r>
      <w:r w:rsidR="00D722E4" w:rsidRPr="00282AC9">
        <w:rPr>
          <w:rFonts w:hint="cs"/>
          <w:sz w:val="27"/>
          <w:rtl/>
          <w:lang w:bidi="ar-MA"/>
        </w:rPr>
        <w:t xml:space="preserve">ن </w:t>
      </w:r>
      <w:r w:rsidR="00D722E4" w:rsidRPr="00282AC9">
        <w:rPr>
          <w:sz w:val="27"/>
          <w:rtl/>
          <w:lang w:bidi="ar-MA"/>
        </w:rPr>
        <w:t>عملية التأويل</w:t>
      </w:r>
      <w:r w:rsidRPr="00282AC9">
        <w:rPr>
          <w:rFonts w:hint="cs"/>
          <w:sz w:val="27"/>
          <w:rtl/>
          <w:lang w:bidi="ar-MA"/>
        </w:rPr>
        <w:t>،</w:t>
      </w:r>
      <w:r w:rsidR="00D722E4" w:rsidRPr="00282AC9">
        <w:rPr>
          <w:sz w:val="27"/>
          <w:rtl/>
          <w:lang w:bidi="ar-MA"/>
        </w:rPr>
        <w:t xml:space="preserve"> </w:t>
      </w:r>
      <w:r w:rsidRPr="00282AC9">
        <w:rPr>
          <w:rFonts w:hint="cs"/>
          <w:sz w:val="27"/>
          <w:rtl/>
          <w:lang w:bidi="ar-MA"/>
        </w:rPr>
        <w:t>و</w:t>
      </w:r>
      <w:r w:rsidR="00D722E4" w:rsidRPr="00282AC9">
        <w:rPr>
          <w:sz w:val="27"/>
          <w:rtl/>
          <w:lang w:bidi="ar-MA"/>
        </w:rPr>
        <w:t>خاص</w:t>
      </w:r>
      <w:r w:rsidRPr="00282AC9">
        <w:rPr>
          <w:rFonts w:hint="cs"/>
          <w:sz w:val="27"/>
          <w:rtl/>
          <w:lang w:bidi="ar-MA"/>
        </w:rPr>
        <w:t>ّ</w:t>
      </w:r>
      <w:r w:rsidR="00D722E4" w:rsidRPr="00282AC9">
        <w:rPr>
          <w:sz w:val="27"/>
          <w:rtl/>
          <w:lang w:bidi="ar-MA"/>
        </w:rPr>
        <w:t xml:space="preserve">ة في </w:t>
      </w:r>
      <w:r w:rsidR="00D722E4" w:rsidRPr="00282AC9">
        <w:rPr>
          <w:rFonts w:hint="cs"/>
          <w:sz w:val="27"/>
          <w:rtl/>
          <w:lang w:bidi="ar-MA"/>
        </w:rPr>
        <w:t xml:space="preserve">تحقيق </w:t>
      </w:r>
      <w:r w:rsidR="00D722E4" w:rsidRPr="00282AC9">
        <w:rPr>
          <w:sz w:val="27"/>
          <w:rtl/>
          <w:lang w:bidi="ar-MA"/>
        </w:rPr>
        <w:t>دلالة</w:t>
      </w:r>
      <w:r w:rsidR="00D722E4" w:rsidRPr="00282AC9">
        <w:rPr>
          <w:rFonts w:hint="cs"/>
          <w:sz w:val="27"/>
          <w:rtl/>
          <w:lang w:bidi="ar-MA"/>
        </w:rPr>
        <w:t xml:space="preserve"> الألفاظ، </w:t>
      </w:r>
      <w:r w:rsidR="00D722E4" w:rsidRPr="00282AC9">
        <w:rPr>
          <w:sz w:val="27"/>
          <w:rtl/>
          <w:lang w:bidi="ar-MA"/>
        </w:rPr>
        <w:t>و</w:t>
      </w:r>
      <w:r w:rsidR="00D722E4" w:rsidRPr="00282AC9">
        <w:rPr>
          <w:rFonts w:hint="cs"/>
          <w:sz w:val="27"/>
          <w:rtl/>
          <w:lang w:bidi="ar-MA"/>
        </w:rPr>
        <w:t xml:space="preserve">في </w:t>
      </w:r>
      <w:r w:rsidR="00D722E4" w:rsidRPr="00282AC9">
        <w:rPr>
          <w:sz w:val="27"/>
          <w:rtl/>
          <w:lang w:bidi="ar-MA"/>
        </w:rPr>
        <w:t>تحو</w:t>
      </w:r>
      <w:r w:rsidRPr="00282AC9">
        <w:rPr>
          <w:rFonts w:hint="cs"/>
          <w:sz w:val="27"/>
          <w:rtl/>
          <w:lang w:bidi="ar-MA"/>
        </w:rPr>
        <w:t>ُّ</w:t>
      </w:r>
      <w:r w:rsidR="00D722E4" w:rsidRPr="00282AC9">
        <w:rPr>
          <w:sz w:val="27"/>
          <w:rtl/>
          <w:lang w:bidi="ar-MA"/>
        </w:rPr>
        <w:t>ل المعنى</w:t>
      </w:r>
      <w:r w:rsidR="00D722E4" w:rsidRPr="00282AC9">
        <w:rPr>
          <w:rFonts w:hint="cs"/>
          <w:sz w:val="27"/>
          <w:rtl/>
          <w:lang w:bidi="ar-MA"/>
        </w:rPr>
        <w:t xml:space="preserve"> وانتقاله </w:t>
      </w:r>
      <w:r w:rsidR="00D722E4" w:rsidRPr="00282AC9">
        <w:rPr>
          <w:sz w:val="27"/>
          <w:rtl/>
          <w:lang w:bidi="ar-MA"/>
        </w:rPr>
        <w:t>من الدلالة الأصلية إلى الدلالة الت</w:t>
      </w:r>
      <w:r w:rsidRPr="00282AC9">
        <w:rPr>
          <w:rFonts w:hint="cs"/>
          <w:sz w:val="27"/>
          <w:rtl/>
          <w:lang w:bidi="ar-MA"/>
        </w:rPr>
        <w:t>َّ</w:t>
      </w:r>
      <w:r w:rsidR="00D722E4" w:rsidRPr="00282AC9">
        <w:rPr>
          <w:sz w:val="27"/>
          <w:rtl/>
          <w:lang w:bidi="ar-MA"/>
        </w:rPr>
        <w:t>ب</w:t>
      </w:r>
      <w:r w:rsidRPr="00282AC9">
        <w:rPr>
          <w:rFonts w:hint="cs"/>
          <w:sz w:val="27"/>
          <w:rtl/>
          <w:lang w:bidi="ar-MA"/>
        </w:rPr>
        <w:t>َ</w:t>
      </w:r>
      <w:r w:rsidR="00D722E4" w:rsidRPr="00282AC9">
        <w:rPr>
          <w:sz w:val="27"/>
          <w:rtl/>
          <w:lang w:bidi="ar-MA"/>
        </w:rPr>
        <w:t>عية</w:t>
      </w:r>
      <w:r w:rsidRPr="00282AC9">
        <w:rPr>
          <w:rFonts w:hint="cs"/>
          <w:sz w:val="27"/>
          <w:rtl/>
          <w:lang w:bidi="ar-MA"/>
        </w:rPr>
        <w:t>،</w:t>
      </w:r>
      <w:r w:rsidR="00D722E4" w:rsidRPr="00282AC9">
        <w:rPr>
          <w:sz w:val="27"/>
          <w:rtl/>
          <w:lang w:bidi="ar-MA"/>
        </w:rPr>
        <w:t xml:space="preserve"> ت</w:t>
      </w:r>
      <w:r w:rsidRPr="00282AC9">
        <w:rPr>
          <w:rFonts w:hint="cs"/>
          <w:sz w:val="27"/>
          <w:rtl/>
          <w:lang w:bidi="ar-MA"/>
        </w:rPr>
        <w:t>َ</w:t>
      </w:r>
      <w:r w:rsidR="00D722E4" w:rsidRPr="00282AC9">
        <w:rPr>
          <w:sz w:val="27"/>
          <w:rtl/>
          <w:lang w:bidi="ar-MA"/>
        </w:rPr>
        <w:t>ب</w:t>
      </w:r>
      <w:r w:rsidRPr="00282AC9">
        <w:rPr>
          <w:rFonts w:hint="cs"/>
          <w:sz w:val="27"/>
          <w:rtl/>
          <w:lang w:bidi="ar-MA"/>
        </w:rPr>
        <w:t>َ</w:t>
      </w:r>
      <w:r w:rsidR="00D722E4" w:rsidRPr="00282AC9">
        <w:rPr>
          <w:sz w:val="27"/>
          <w:rtl/>
          <w:lang w:bidi="ar-MA"/>
        </w:rPr>
        <w:t>عا</w:t>
      </w:r>
      <w:r w:rsidRPr="00282AC9">
        <w:rPr>
          <w:rFonts w:hint="cs"/>
          <w:sz w:val="27"/>
          <w:rtl/>
          <w:lang w:bidi="ar-MA"/>
        </w:rPr>
        <w:t>ً</w:t>
      </w:r>
      <w:r w:rsidR="00D722E4" w:rsidRPr="00282AC9">
        <w:rPr>
          <w:sz w:val="27"/>
          <w:rtl/>
          <w:lang w:bidi="ar-MA"/>
        </w:rPr>
        <w:t xml:space="preserve"> للسياقات والمقتضيات التي ت</w:t>
      </w:r>
      <w:r w:rsidRPr="00282AC9">
        <w:rPr>
          <w:rFonts w:hint="cs"/>
          <w:sz w:val="27"/>
          <w:rtl/>
          <w:lang w:bidi="ar-MA"/>
        </w:rPr>
        <w:t>َ</w:t>
      </w:r>
      <w:r w:rsidR="00D722E4" w:rsidRPr="00282AC9">
        <w:rPr>
          <w:sz w:val="27"/>
          <w:rtl/>
          <w:lang w:bidi="ar-MA"/>
        </w:rPr>
        <w:t>ر</w:t>
      </w:r>
      <w:r w:rsidRPr="00282AC9">
        <w:rPr>
          <w:rFonts w:hint="cs"/>
          <w:sz w:val="27"/>
          <w:rtl/>
          <w:lang w:bidi="ar-MA"/>
        </w:rPr>
        <w:t>ِ</w:t>
      </w:r>
      <w:r w:rsidR="00D722E4" w:rsidRPr="00282AC9">
        <w:rPr>
          <w:sz w:val="27"/>
          <w:rtl/>
          <w:lang w:bidi="ar-MA"/>
        </w:rPr>
        <w:t>د</w:t>
      </w:r>
      <w:r w:rsidRPr="00282AC9">
        <w:rPr>
          <w:rFonts w:hint="cs"/>
          <w:sz w:val="27"/>
          <w:rtl/>
          <w:lang w:bidi="ar-MA"/>
        </w:rPr>
        <w:t>ُ</w:t>
      </w:r>
      <w:r w:rsidR="00D722E4" w:rsidRPr="00282AC9">
        <w:rPr>
          <w:sz w:val="27"/>
          <w:rtl/>
          <w:lang w:bidi="ar-MA"/>
        </w:rPr>
        <w:t xml:space="preserve"> فيها تلك الدلالة، من خلال ما </w:t>
      </w:r>
      <w:r w:rsidRPr="00282AC9">
        <w:rPr>
          <w:rFonts w:hint="cs"/>
          <w:sz w:val="27"/>
          <w:rtl/>
          <w:lang w:bidi="ar-MA"/>
        </w:rPr>
        <w:t>ت</w:t>
      </w:r>
      <w:r w:rsidR="00D722E4" w:rsidRPr="00282AC9">
        <w:rPr>
          <w:sz w:val="27"/>
          <w:rtl/>
          <w:lang w:bidi="ar-MA"/>
        </w:rPr>
        <w:t>م</w:t>
      </w:r>
      <w:r w:rsidRPr="00282AC9">
        <w:rPr>
          <w:rFonts w:hint="cs"/>
          <w:sz w:val="27"/>
          <w:rtl/>
          <w:lang w:bidi="ar-MA"/>
        </w:rPr>
        <w:t>ّ</w:t>
      </w:r>
      <w:r w:rsidR="00D722E4" w:rsidRPr="00282AC9">
        <w:rPr>
          <w:sz w:val="27"/>
          <w:rtl/>
          <w:lang w:bidi="ar-MA"/>
        </w:rPr>
        <w:t xml:space="preserve"> إرسا</w:t>
      </w:r>
      <w:r w:rsidRPr="00282AC9">
        <w:rPr>
          <w:rFonts w:hint="cs"/>
          <w:sz w:val="27"/>
          <w:rtl/>
          <w:lang w:bidi="ar-MA"/>
        </w:rPr>
        <w:t>ؤ</w:t>
      </w:r>
      <w:r w:rsidR="00D722E4" w:rsidRPr="00282AC9">
        <w:rPr>
          <w:sz w:val="27"/>
          <w:rtl/>
          <w:lang w:bidi="ar-MA"/>
        </w:rPr>
        <w:t xml:space="preserve">ه من الضوابط، وما </w:t>
      </w:r>
      <w:r w:rsidRPr="00282AC9">
        <w:rPr>
          <w:rFonts w:hint="cs"/>
          <w:sz w:val="27"/>
          <w:rtl/>
          <w:lang w:bidi="ar-MA"/>
        </w:rPr>
        <w:t>ت</w:t>
      </w:r>
      <w:r w:rsidR="00D722E4" w:rsidRPr="00282AC9">
        <w:rPr>
          <w:sz w:val="27"/>
          <w:rtl/>
          <w:lang w:bidi="ar-MA"/>
        </w:rPr>
        <w:t>م</w:t>
      </w:r>
      <w:r w:rsidRPr="00282AC9">
        <w:rPr>
          <w:rFonts w:hint="cs"/>
          <w:sz w:val="27"/>
          <w:rtl/>
          <w:lang w:bidi="ar-MA"/>
        </w:rPr>
        <w:t>ّ</w:t>
      </w:r>
      <w:r w:rsidRPr="00282AC9">
        <w:rPr>
          <w:sz w:val="27"/>
          <w:rtl/>
          <w:lang w:bidi="ar-MA"/>
        </w:rPr>
        <w:t xml:space="preserve"> إنتاجه و</w:t>
      </w:r>
      <w:r w:rsidR="00D722E4" w:rsidRPr="00282AC9">
        <w:rPr>
          <w:sz w:val="27"/>
          <w:rtl/>
          <w:lang w:bidi="ar-MA"/>
        </w:rPr>
        <w:t xml:space="preserve">تقنينه من </w:t>
      </w:r>
      <w:r w:rsidR="00D722E4" w:rsidRPr="00282AC9">
        <w:rPr>
          <w:rFonts w:hint="cs"/>
          <w:sz w:val="27"/>
          <w:rtl/>
          <w:lang w:bidi="ar-MA"/>
        </w:rPr>
        <w:t>المقتضيات</w:t>
      </w:r>
      <w:r w:rsidR="00D722E4" w:rsidRPr="00282AC9">
        <w:rPr>
          <w:sz w:val="27"/>
          <w:rtl/>
          <w:lang w:bidi="ar-MA"/>
        </w:rPr>
        <w:t xml:space="preserve">، وما </w:t>
      </w:r>
      <w:r w:rsidRPr="00282AC9">
        <w:rPr>
          <w:rFonts w:hint="cs"/>
          <w:sz w:val="27"/>
          <w:rtl/>
          <w:lang w:bidi="ar-MA"/>
        </w:rPr>
        <w:t>ت</w:t>
      </w:r>
      <w:r w:rsidR="00D722E4" w:rsidRPr="00282AC9">
        <w:rPr>
          <w:sz w:val="27"/>
          <w:rtl/>
          <w:lang w:bidi="ar-MA"/>
        </w:rPr>
        <w:t>م</w:t>
      </w:r>
      <w:r w:rsidRPr="00282AC9">
        <w:rPr>
          <w:rFonts w:hint="cs"/>
          <w:sz w:val="27"/>
          <w:rtl/>
          <w:lang w:bidi="ar-MA"/>
        </w:rPr>
        <w:t>ّ</w:t>
      </w:r>
      <w:r w:rsidR="00D722E4" w:rsidRPr="00282AC9">
        <w:rPr>
          <w:sz w:val="27"/>
          <w:rtl/>
          <w:lang w:bidi="ar-MA"/>
        </w:rPr>
        <w:t xml:space="preserve"> تعيينه من الشروط الخادمة والمشتغلة على الفهم</w:t>
      </w:r>
      <w:r w:rsidRPr="00282AC9">
        <w:rPr>
          <w:rFonts w:hint="cs"/>
          <w:sz w:val="27"/>
          <w:rtl/>
          <w:lang w:bidi="ar-MA"/>
        </w:rPr>
        <w:t>،</w:t>
      </w:r>
      <w:r w:rsidR="00D722E4" w:rsidRPr="00282AC9">
        <w:rPr>
          <w:sz w:val="27"/>
          <w:rtl/>
          <w:lang w:bidi="ar-MA"/>
        </w:rPr>
        <w:t xml:space="preserve"> والمنظ</w:t>
      </w:r>
      <w:r w:rsidRPr="00282AC9">
        <w:rPr>
          <w:rFonts w:hint="cs"/>
          <w:sz w:val="27"/>
          <w:rtl/>
          <w:lang w:bidi="ar-MA"/>
        </w:rPr>
        <w:t>ِّ</w:t>
      </w:r>
      <w:r w:rsidR="00D722E4" w:rsidRPr="00282AC9">
        <w:rPr>
          <w:sz w:val="27"/>
          <w:rtl/>
          <w:lang w:bidi="ar-MA"/>
        </w:rPr>
        <w:t>مة للتأويل.</w:t>
      </w:r>
      <w:r w:rsidR="00D722E4" w:rsidRPr="00282AC9">
        <w:rPr>
          <w:rFonts w:hint="cs"/>
          <w:sz w:val="27"/>
          <w:rtl/>
          <w:lang w:bidi="ar-MA"/>
        </w:rPr>
        <w:t xml:space="preserve"> </w:t>
      </w:r>
    </w:p>
    <w:p w:rsidR="00D722E4" w:rsidRPr="00282AC9" w:rsidRDefault="00D722E4" w:rsidP="00A20690">
      <w:pPr>
        <w:rPr>
          <w:sz w:val="27"/>
          <w:rtl/>
        </w:rPr>
      </w:pPr>
      <w:r w:rsidRPr="00282AC9">
        <w:rPr>
          <w:rFonts w:hint="cs"/>
          <w:sz w:val="27"/>
          <w:rtl/>
        </w:rPr>
        <w:t>و</w:t>
      </w:r>
      <w:r w:rsidRPr="00282AC9">
        <w:rPr>
          <w:sz w:val="27"/>
          <w:rtl/>
        </w:rPr>
        <w:t>المنهج عند المفس</w:t>
      </w:r>
      <w:r w:rsidR="00AA0B2E" w:rsidRPr="00282AC9">
        <w:rPr>
          <w:rFonts w:hint="cs"/>
          <w:sz w:val="27"/>
          <w:rtl/>
        </w:rPr>
        <w:t>ِّ</w:t>
      </w:r>
      <w:r w:rsidRPr="00282AC9">
        <w:rPr>
          <w:sz w:val="27"/>
          <w:rtl/>
        </w:rPr>
        <w:t xml:space="preserve">رين هو تلك </w:t>
      </w:r>
      <w:r w:rsidRPr="00282AC9">
        <w:rPr>
          <w:rFonts w:hint="cs"/>
          <w:sz w:val="27"/>
          <w:rtl/>
        </w:rPr>
        <w:t>الطرق والمسالك التي</w:t>
      </w:r>
      <w:r w:rsidRPr="00282AC9">
        <w:rPr>
          <w:sz w:val="27"/>
          <w:rtl/>
        </w:rPr>
        <w:t xml:space="preserve"> ينبغي أن يت</w:t>
      </w:r>
      <w:r w:rsidR="00AA0B2E" w:rsidRPr="00282AC9">
        <w:rPr>
          <w:rFonts w:hint="cs"/>
          <w:sz w:val="27"/>
          <w:rtl/>
        </w:rPr>
        <w:t>ّ</w:t>
      </w:r>
      <w:r w:rsidRPr="00282AC9">
        <w:rPr>
          <w:sz w:val="27"/>
          <w:rtl/>
        </w:rPr>
        <w:t xml:space="preserve">بعها ويسلكها </w:t>
      </w:r>
      <w:r w:rsidRPr="00282AC9">
        <w:rPr>
          <w:rFonts w:hint="cs"/>
          <w:sz w:val="27"/>
          <w:rtl/>
        </w:rPr>
        <w:t>ويتقي</w:t>
      </w:r>
      <w:r w:rsidR="00AA0B2E" w:rsidRPr="00282AC9">
        <w:rPr>
          <w:rFonts w:hint="cs"/>
          <w:sz w:val="27"/>
          <w:rtl/>
        </w:rPr>
        <w:t>َّ</w:t>
      </w:r>
      <w:r w:rsidRPr="00282AC9">
        <w:rPr>
          <w:rFonts w:hint="cs"/>
          <w:sz w:val="27"/>
          <w:rtl/>
        </w:rPr>
        <w:t xml:space="preserve">د بها </w:t>
      </w:r>
      <w:r w:rsidRPr="00282AC9">
        <w:rPr>
          <w:sz w:val="27"/>
          <w:rtl/>
        </w:rPr>
        <w:t>المفس</w:t>
      </w:r>
      <w:r w:rsidR="00AA0B2E" w:rsidRPr="00282AC9">
        <w:rPr>
          <w:rFonts w:hint="cs"/>
          <w:sz w:val="27"/>
          <w:rtl/>
        </w:rPr>
        <w:t>ِّ</w:t>
      </w:r>
      <w:r w:rsidRPr="00282AC9">
        <w:rPr>
          <w:sz w:val="27"/>
          <w:rtl/>
        </w:rPr>
        <w:t xml:space="preserve">ر في تفسيره لكتاب </w:t>
      </w:r>
      <w:r w:rsidRPr="00282AC9">
        <w:rPr>
          <w:rFonts w:hint="cs"/>
          <w:sz w:val="27"/>
          <w:rtl/>
        </w:rPr>
        <w:t>الله</w:t>
      </w:r>
      <w:r w:rsidR="00AA0B2E" w:rsidRPr="00282AC9">
        <w:rPr>
          <w:rFonts w:hint="cs"/>
          <w:sz w:val="27"/>
          <w:rtl/>
        </w:rPr>
        <w:t>؛</w:t>
      </w:r>
      <w:r w:rsidRPr="00282AC9">
        <w:rPr>
          <w:rFonts w:hint="cs"/>
          <w:sz w:val="27"/>
          <w:rtl/>
        </w:rPr>
        <w:t xml:space="preserve"> تحصينا</w:t>
      </w:r>
      <w:r w:rsidR="00AA0B2E" w:rsidRPr="00282AC9">
        <w:rPr>
          <w:rFonts w:hint="cs"/>
          <w:sz w:val="27"/>
          <w:rtl/>
        </w:rPr>
        <w:t>ً</w:t>
      </w:r>
      <w:r w:rsidRPr="00282AC9">
        <w:rPr>
          <w:sz w:val="27"/>
          <w:rtl/>
        </w:rPr>
        <w:t xml:space="preserve"> </w:t>
      </w:r>
      <w:r w:rsidRPr="00282AC9">
        <w:rPr>
          <w:rFonts w:hint="cs"/>
          <w:sz w:val="27"/>
          <w:rtl/>
        </w:rPr>
        <w:t>ل</w:t>
      </w:r>
      <w:r w:rsidRPr="00282AC9">
        <w:rPr>
          <w:sz w:val="27"/>
          <w:rtl/>
        </w:rPr>
        <w:t>كتاب ال</w:t>
      </w:r>
      <w:r w:rsidRPr="00282AC9">
        <w:rPr>
          <w:rFonts w:hint="cs"/>
          <w:sz w:val="27"/>
          <w:rtl/>
        </w:rPr>
        <w:t>ل</w:t>
      </w:r>
      <w:r w:rsidRPr="00282AC9">
        <w:rPr>
          <w:sz w:val="27"/>
          <w:rtl/>
        </w:rPr>
        <w:t>ه من التحريف...</w:t>
      </w:r>
      <w:r w:rsidRPr="00282AC9">
        <w:rPr>
          <w:sz w:val="27"/>
          <w:vertAlign w:val="superscript"/>
          <w:rtl/>
        </w:rPr>
        <w:t>(</w:t>
      </w:r>
      <w:r w:rsidRPr="00282AC9">
        <w:rPr>
          <w:rStyle w:val="af9"/>
          <w:sz w:val="27"/>
          <w:rtl/>
        </w:rPr>
        <w:endnoteReference w:id="723"/>
      </w:r>
      <w:r w:rsidRPr="00282AC9">
        <w:rPr>
          <w:sz w:val="27"/>
          <w:vertAlign w:val="superscript"/>
          <w:rtl/>
        </w:rPr>
        <w:t>)</w:t>
      </w:r>
      <w:r w:rsidRPr="00282AC9">
        <w:rPr>
          <w:sz w:val="27"/>
          <w:rtl/>
        </w:rPr>
        <w:t>.</w:t>
      </w:r>
    </w:p>
    <w:p w:rsidR="00D722E4" w:rsidRPr="00282AC9" w:rsidRDefault="00D722E4" w:rsidP="00A20690">
      <w:pPr>
        <w:rPr>
          <w:sz w:val="27"/>
          <w:rtl/>
          <w:lang w:bidi="ar-MA"/>
        </w:rPr>
      </w:pPr>
      <w:r w:rsidRPr="00282AC9">
        <w:rPr>
          <w:sz w:val="27"/>
          <w:rtl/>
        </w:rPr>
        <w:t>ومم</w:t>
      </w:r>
      <w:r w:rsidR="00AA0B2E" w:rsidRPr="00282AC9">
        <w:rPr>
          <w:rFonts w:hint="cs"/>
          <w:sz w:val="27"/>
          <w:rtl/>
        </w:rPr>
        <w:t>ّ</w:t>
      </w:r>
      <w:r w:rsidRPr="00282AC9">
        <w:rPr>
          <w:sz w:val="27"/>
          <w:rtl/>
        </w:rPr>
        <w:t>ا يؤك</w:t>
      </w:r>
      <w:r w:rsidR="00AA0B2E" w:rsidRPr="00282AC9">
        <w:rPr>
          <w:rFonts w:hint="cs"/>
          <w:sz w:val="27"/>
          <w:rtl/>
        </w:rPr>
        <w:t>ِّ</w:t>
      </w:r>
      <w:r w:rsidRPr="00282AC9">
        <w:rPr>
          <w:sz w:val="27"/>
          <w:rtl/>
        </w:rPr>
        <w:t>د حضور المنهج بشكل</w:t>
      </w:r>
      <w:r w:rsidR="00AA0B2E" w:rsidRPr="00282AC9">
        <w:rPr>
          <w:rFonts w:hint="cs"/>
          <w:sz w:val="27"/>
          <w:rtl/>
        </w:rPr>
        <w:t>ٍ</w:t>
      </w:r>
      <w:r w:rsidRPr="00282AC9">
        <w:rPr>
          <w:sz w:val="27"/>
          <w:rtl/>
        </w:rPr>
        <w:t xml:space="preserve"> بارز </w:t>
      </w:r>
      <w:r w:rsidRPr="00282AC9">
        <w:rPr>
          <w:rFonts w:hint="cs"/>
          <w:sz w:val="27"/>
          <w:rtl/>
        </w:rPr>
        <w:t>في العلوم الإسلامية</w:t>
      </w:r>
      <w:r w:rsidRPr="00282AC9">
        <w:rPr>
          <w:sz w:val="27"/>
          <w:rtl/>
        </w:rPr>
        <w:t xml:space="preserve"> حضور مباحث علم أصول</w:t>
      </w:r>
      <w:r w:rsidRPr="00282AC9">
        <w:rPr>
          <w:rFonts w:hint="cs"/>
          <w:sz w:val="27"/>
          <w:rtl/>
        </w:rPr>
        <w:t xml:space="preserve"> الفقه وعلم أصول </w:t>
      </w:r>
      <w:r w:rsidRPr="00282AC9">
        <w:rPr>
          <w:sz w:val="27"/>
          <w:rtl/>
        </w:rPr>
        <w:t>التفسير</w:t>
      </w:r>
      <w:r w:rsidRPr="00282AC9">
        <w:rPr>
          <w:rFonts w:hint="cs"/>
          <w:sz w:val="27"/>
          <w:rtl/>
        </w:rPr>
        <w:t xml:space="preserve"> وعلم المعجم</w:t>
      </w:r>
      <w:r w:rsidR="00AA0B2E" w:rsidRPr="00282AC9">
        <w:rPr>
          <w:rFonts w:hint="cs"/>
          <w:sz w:val="27"/>
          <w:rtl/>
        </w:rPr>
        <w:t>؛</w:t>
      </w:r>
      <w:r w:rsidRPr="00282AC9">
        <w:rPr>
          <w:sz w:val="27"/>
          <w:rtl/>
        </w:rPr>
        <w:t xml:space="preserve"> </w:t>
      </w:r>
      <w:r w:rsidRPr="00282AC9">
        <w:rPr>
          <w:rFonts w:hint="cs"/>
          <w:sz w:val="27"/>
          <w:rtl/>
        </w:rPr>
        <w:t>باعتباره</w:t>
      </w:r>
      <w:r w:rsidR="00AA0B2E" w:rsidRPr="00282AC9">
        <w:rPr>
          <w:rFonts w:hint="cs"/>
          <w:sz w:val="27"/>
          <w:rtl/>
        </w:rPr>
        <w:t>ا</w:t>
      </w:r>
      <w:r w:rsidRPr="00282AC9">
        <w:rPr>
          <w:rFonts w:hint="cs"/>
          <w:sz w:val="27"/>
          <w:rtl/>
        </w:rPr>
        <w:t xml:space="preserve"> من </w:t>
      </w:r>
      <w:r w:rsidR="00AA0B2E" w:rsidRPr="00282AC9">
        <w:rPr>
          <w:rFonts w:hint="cs"/>
          <w:sz w:val="27"/>
          <w:rtl/>
        </w:rPr>
        <w:t>أ</w:t>
      </w:r>
      <w:r w:rsidRPr="00282AC9">
        <w:rPr>
          <w:rFonts w:hint="cs"/>
          <w:sz w:val="27"/>
          <w:rtl/>
        </w:rPr>
        <w:t>برز علوم مناهج الف</w:t>
      </w:r>
      <w:r w:rsidR="00AA0B2E" w:rsidRPr="00282AC9">
        <w:rPr>
          <w:rFonts w:hint="cs"/>
          <w:sz w:val="27"/>
          <w:rtl/>
        </w:rPr>
        <w:t>َ</w:t>
      </w:r>
      <w:r w:rsidRPr="00282AC9">
        <w:rPr>
          <w:rFonts w:hint="cs"/>
          <w:sz w:val="27"/>
          <w:rtl/>
        </w:rPr>
        <w:t>ه</w:t>
      </w:r>
      <w:r w:rsidR="00AA0B2E" w:rsidRPr="00282AC9">
        <w:rPr>
          <w:rFonts w:hint="cs"/>
          <w:sz w:val="27"/>
          <w:rtl/>
        </w:rPr>
        <w:t>ْ</w:t>
      </w:r>
      <w:r w:rsidRPr="00282AC9">
        <w:rPr>
          <w:rFonts w:hint="cs"/>
          <w:sz w:val="27"/>
          <w:rtl/>
        </w:rPr>
        <w:t>م</w:t>
      </w:r>
      <w:r w:rsidR="00AA0B2E" w:rsidRPr="00282AC9">
        <w:rPr>
          <w:rFonts w:hint="cs"/>
          <w:sz w:val="27"/>
          <w:rtl/>
        </w:rPr>
        <w:t>.</w:t>
      </w:r>
      <w:r w:rsidRPr="00282AC9">
        <w:rPr>
          <w:rFonts w:hint="cs"/>
          <w:sz w:val="27"/>
          <w:rtl/>
        </w:rPr>
        <w:t xml:space="preserve"> </w:t>
      </w:r>
      <w:r w:rsidRPr="00282AC9">
        <w:rPr>
          <w:rFonts w:hint="cs"/>
          <w:sz w:val="27"/>
          <w:rtl/>
        </w:rPr>
        <w:lastRenderedPageBreak/>
        <w:t>فوظيفتهم تت</w:t>
      </w:r>
      <w:r w:rsidR="00AA0B2E" w:rsidRPr="00282AC9">
        <w:rPr>
          <w:rFonts w:hint="cs"/>
          <w:sz w:val="27"/>
          <w:rtl/>
        </w:rPr>
        <w:t>َّ</w:t>
      </w:r>
      <w:r w:rsidRPr="00282AC9">
        <w:rPr>
          <w:rFonts w:hint="cs"/>
          <w:sz w:val="27"/>
          <w:rtl/>
        </w:rPr>
        <w:t>حد في تحصين وضبط عمل المفس</w:t>
      </w:r>
      <w:r w:rsidR="00AA0B2E" w:rsidRPr="00282AC9">
        <w:rPr>
          <w:rFonts w:hint="cs"/>
          <w:sz w:val="27"/>
          <w:rtl/>
        </w:rPr>
        <w:t>ِّ</w:t>
      </w:r>
      <w:r w:rsidRPr="00282AC9">
        <w:rPr>
          <w:rFonts w:hint="cs"/>
          <w:sz w:val="27"/>
          <w:rtl/>
        </w:rPr>
        <w:t>ر من أن لا يخرج عن السبيل في التماسه للمعنى.</w:t>
      </w:r>
    </w:p>
    <w:p w:rsidR="003062B7" w:rsidRPr="00282AC9" w:rsidRDefault="003062B7" w:rsidP="003062B7">
      <w:pPr>
        <w:rPr>
          <w:sz w:val="27"/>
          <w:rtl/>
        </w:rPr>
      </w:pPr>
    </w:p>
    <w:p w:rsidR="00D722E4" w:rsidRPr="00282AC9" w:rsidRDefault="00D722E4" w:rsidP="00965E08">
      <w:pPr>
        <w:pStyle w:val="31"/>
        <w:rPr>
          <w:color w:val="auto"/>
          <w:rtl/>
          <w:lang w:bidi="ar-MA"/>
        </w:rPr>
      </w:pPr>
      <w:r w:rsidRPr="00282AC9">
        <w:rPr>
          <w:color w:val="auto"/>
          <w:rtl/>
        </w:rPr>
        <w:t>الجهات اللغوي</w:t>
      </w:r>
      <w:r w:rsidR="00AA0B2E" w:rsidRPr="00282AC9">
        <w:rPr>
          <w:rFonts w:hint="cs"/>
          <w:color w:val="auto"/>
          <w:rtl/>
        </w:rPr>
        <w:t>ّ</w:t>
      </w:r>
      <w:r w:rsidRPr="00282AC9">
        <w:rPr>
          <w:color w:val="auto"/>
          <w:rtl/>
        </w:rPr>
        <w:t>ة الصانعة للمعنى</w:t>
      </w:r>
    </w:p>
    <w:p w:rsidR="00D722E4" w:rsidRPr="00282AC9" w:rsidRDefault="00AA0B2E" w:rsidP="00965E08">
      <w:pPr>
        <w:pStyle w:val="31"/>
        <w:rPr>
          <w:color w:val="auto"/>
          <w:rtl/>
        </w:rPr>
      </w:pPr>
      <w:r w:rsidRPr="00282AC9">
        <w:rPr>
          <w:rFonts w:hint="cs"/>
          <w:color w:val="auto"/>
          <w:rtl/>
        </w:rPr>
        <w:t xml:space="preserve">1ـ </w:t>
      </w:r>
      <w:r w:rsidR="00D722E4" w:rsidRPr="00282AC9">
        <w:rPr>
          <w:color w:val="auto"/>
          <w:rtl/>
        </w:rPr>
        <w:t>جهة اللفظ</w:t>
      </w:r>
    </w:p>
    <w:p w:rsidR="00D722E4" w:rsidRPr="00282AC9" w:rsidRDefault="00D722E4" w:rsidP="003062B7">
      <w:pPr>
        <w:spacing w:line="410" w:lineRule="exact"/>
        <w:rPr>
          <w:rFonts w:ascii="Times New Roman" w:hAnsi="Times New Roman"/>
          <w:sz w:val="27"/>
          <w:rtl/>
          <w:lang w:bidi="ar-MA"/>
        </w:rPr>
      </w:pPr>
      <w:r w:rsidRPr="00282AC9">
        <w:rPr>
          <w:rFonts w:ascii="Times New Roman" w:hAnsi="Times New Roman"/>
          <w:sz w:val="27"/>
          <w:rtl/>
          <w:lang w:bidi="ar-MA"/>
        </w:rPr>
        <w:t>إن من أبرز الجهات اللغوي</w:t>
      </w:r>
      <w:r w:rsidR="00AA0B2E" w:rsidRPr="00282AC9">
        <w:rPr>
          <w:rFonts w:ascii="Times New Roman" w:hAnsi="Times New Roman" w:hint="cs"/>
          <w:sz w:val="27"/>
          <w:rtl/>
          <w:lang w:bidi="ar-MA"/>
        </w:rPr>
        <w:t>ّ</w:t>
      </w:r>
      <w:r w:rsidRPr="00282AC9">
        <w:rPr>
          <w:rFonts w:ascii="Times New Roman" w:hAnsi="Times New Roman"/>
          <w:sz w:val="27"/>
          <w:rtl/>
          <w:lang w:bidi="ar-MA"/>
        </w:rPr>
        <w:t>ة التي كانت موض</w:t>
      </w:r>
      <w:r w:rsidRPr="00282AC9">
        <w:rPr>
          <w:rFonts w:ascii="Times New Roman" w:hAnsi="Times New Roman" w:hint="cs"/>
          <w:sz w:val="27"/>
          <w:rtl/>
          <w:lang w:bidi="ar-MA"/>
        </w:rPr>
        <w:t>و</w:t>
      </w:r>
      <w:r w:rsidRPr="00282AC9">
        <w:rPr>
          <w:rFonts w:ascii="Times New Roman" w:hAnsi="Times New Roman"/>
          <w:sz w:val="27"/>
          <w:rtl/>
          <w:lang w:bidi="ar-MA"/>
        </w:rPr>
        <w:t>ع بحث واستقراء</w:t>
      </w:r>
      <w:r w:rsidRPr="00282AC9">
        <w:rPr>
          <w:rFonts w:ascii="Times New Roman" w:hAnsi="Times New Roman" w:hint="cs"/>
          <w:sz w:val="27"/>
          <w:rtl/>
          <w:lang w:bidi="ar-MA"/>
        </w:rPr>
        <w:t xml:space="preserve"> وتتب</w:t>
      </w:r>
      <w:r w:rsidR="00AA0B2E" w:rsidRPr="00282AC9">
        <w:rPr>
          <w:rFonts w:ascii="Times New Roman" w:hAnsi="Times New Roman" w:hint="cs"/>
          <w:sz w:val="27"/>
          <w:rtl/>
          <w:lang w:bidi="ar-MA"/>
        </w:rPr>
        <w:t>ُّ</w:t>
      </w:r>
      <w:r w:rsidRPr="00282AC9">
        <w:rPr>
          <w:rFonts w:ascii="Times New Roman" w:hAnsi="Times New Roman" w:hint="cs"/>
          <w:sz w:val="27"/>
          <w:rtl/>
          <w:lang w:bidi="ar-MA"/>
        </w:rPr>
        <w:t xml:space="preserve">ع </w:t>
      </w:r>
      <w:r w:rsidRPr="00282AC9">
        <w:rPr>
          <w:rFonts w:ascii="Times New Roman" w:hAnsi="Times New Roman"/>
          <w:sz w:val="27"/>
          <w:rtl/>
          <w:lang w:bidi="ar-MA"/>
        </w:rPr>
        <w:t>علماء أصول الفقه هي جهة الألفاظ في علاقتها بالمعاني</w:t>
      </w:r>
      <w:r w:rsidR="00AA0B2E" w:rsidRPr="00282AC9">
        <w:rPr>
          <w:rFonts w:ascii="Times New Roman" w:hAnsi="Times New Roman" w:hint="cs"/>
          <w:sz w:val="27"/>
          <w:rtl/>
          <w:lang w:bidi="ar-MA"/>
        </w:rPr>
        <w:t>؛</w:t>
      </w:r>
      <w:r w:rsidRPr="00282AC9">
        <w:rPr>
          <w:rFonts w:ascii="Times New Roman" w:hAnsi="Times New Roman"/>
          <w:sz w:val="27"/>
          <w:rtl/>
          <w:lang w:bidi="ar-MA"/>
        </w:rPr>
        <w:t xml:space="preserve"> ل</w:t>
      </w:r>
      <w:r w:rsidRPr="00282AC9">
        <w:rPr>
          <w:rFonts w:ascii="Times New Roman" w:hAnsi="Times New Roman" w:hint="cs"/>
          <w:sz w:val="27"/>
          <w:rtl/>
          <w:lang w:bidi="ar-MA"/>
        </w:rPr>
        <w:t>أ</w:t>
      </w:r>
      <w:r w:rsidRPr="00282AC9">
        <w:rPr>
          <w:rFonts w:ascii="Times New Roman" w:hAnsi="Times New Roman"/>
          <w:sz w:val="27"/>
          <w:rtl/>
          <w:lang w:bidi="ar-MA"/>
        </w:rPr>
        <w:t xml:space="preserve">ن اللفظ </w:t>
      </w:r>
      <w:r w:rsidRPr="00282AC9">
        <w:rPr>
          <w:rFonts w:ascii="Times New Roman" w:hAnsi="Times New Roman" w:hint="cs"/>
          <w:sz w:val="27"/>
          <w:rtl/>
          <w:lang w:bidi="ar-MA"/>
        </w:rPr>
        <w:t>ه</w:t>
      </w:r>
      <w:r w:rsidR="00AA0B2E" w:rsidRPr="00282AC9">
        <w:rPr>
          <w:rFonts w:ascii="Times New Roman" w:hAnsi="Times New Roman" w:hint="cs"/>
          <w:sz w:val="27"/>
          <w:rtl/>
          <w:lang w:bidi="ar-MA"/>
        </w:rPr>
        <w:t>و</w:t>
      </w:r>
      <w:r w:rsidRPr="00282AC9">
        <w:rPr>
          <w:rFonts w:ascii="Times New Roman" w:hAnsi="Times New Roman" w:hint="cs"/>
          <w:sz w:val="27"/>
          <w:rtl/>
          <w:lang w:bidi="ar-MA"/>
        </w:rPr>
        <w:t xml:space="preserve"> </w:t>
      </w:r>
      <w:r w:rsidRPr="00282AC9">
        <w:rPr>
          <w:rFonts w:ascii="Times New Roman" w:hAnsi="Times New Roman"/>
          <w:sz w:val="27"/>
          <w:rtl/>
          <w:lang w:bidi="ar-MA"/>
        </w:rPr>
        <w:t>أداة</w:t>
      </w:r>
      <w:r w:rsidR="00AA0B2E" w:rsidRPr="00282AC9">
        <w:rPr>
          <w:rFonts w:ascii="Times New Roman" w:hAnsi="Times New Roman" w:hint="cs"/>
          <w:sz w:val="27"/>
          <w:rtl/>
          <w:lang w:bidi="ar-MA"/>
        </w:rPr>
        <w:t>ٌ</w:t>
      </w:r>
      <w:r w:rsidRPr="00282AC9">
        <w:rPr>
          <w:rFonts w:ascii="Times New Roman" w:hAnsi="Times New Roman"/>
          <w:sz w:val="27"/>
          <w:rtl/>
          <w:lang w:bidi="ar-MA"/>
        </w:rPr>
        <w:t xml:space="preserve"> ووسيلة</w:t>
      </w:r>
      <w:r w:rsidR="00AA0B2E"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ascii="Times New Roman" w:hAnsi="Times New Roman" w:hint="cs"/>
          <w:sz w:val="27"/>
          <w:rtl/>
          <w:lang w:bidi="ar-MA"/>
        </w:rPr>
        <w:t xml:space="preserve">إلى </w:t>
      </w:r>
      <w:r w:rsidRPr="00282AC9">
        <w:rPr>
          <w:rFonts w:ascii="Times New Roman" w:hAnsi="Times New Roman"/>
          <w:sz w:val="27"/>
          <w:rtl/>
          <w:lang w:bidi="ar-MA"/>
        </w:rPr>
        <w:t>تمث</w:t>
      </w:r>
      <w:r w:rsidR="00AA0B2E" w:rsidRPr="00282AC9">
        <w:rPr>
          <w:rFonts w:ascii="Times New Roman" w:hAnsi="Times New Roman" w:hint="cs"/>
          <w:sz w:val="27"/>
          <w:rtl/>
          <w:lang w:bidi="ar-MA"/>
        </w:rPr>
        <w:t>ُّ</w:t>
      </w:r>
      <w:r w:rsidRPr="00282AC9">
        <w:rPr>
          <w:rFonts w:ascii="Times New Roman" w:hAnsi="Times New Roman"/>
          <w:sz w:val="27"/>
          <w:rtl/>
          <w:lang w:bidi="ar-MA"/>
        </w:rPr>
        <w:t xml:space="preserve">ل المعنى، فلا </w:t>
      </w:r>
      <w:r w:rsidRPr="00282AC9">
        <w:rPr>
          <w:rFonts w:hint="eastAsia"/>
          <w:sz w:val="24"/>
          <w:szCs w:val="24"/>
          <w:rtl/>
          <w:lang w:bidi="ar-MA"/>
        </w:rPr>
        <w:t>«</w:t>
      </w:r>
      <w:r w:rsidRPr="00282AC9">
        <w:rPr>
          <w:rFonts w:ascii="Times New Roman" w:hAnsi="Times New Roman"/>
          <w:sz w:val="27"/>
          <w:rtl/>
          <w:lang w:bidi="ar-MA"/>
        </w:rPr>
        <w:t>سبيل إلى معرفة حقائق الأشياء إلا</w:t>
      </w:r>
      <w:r w:rsidR="00AA0B2E" w:rsidRPr="00282AC9">
        <w:rPr>
          <w:rFonts w:ascii="Times New Roman" w:hAnsi="Times New Roman" w:hint="cs"/>
          <w:sz w:val="27"/>
          <w:rtl/>
          <w:lang w:bidi="ar-MA"/>
        </w:rPr>
        <w:t>ّ</w:t>
      </w:r>
      <w:r w:rsidRPr="00282AC9">
        <w:rPr>
          <w:rFonts w:ascii="Times New Roman" w:hAnsi="Times New Roman"/>
          <w:sz w:val="27"/>
          <w:rtl/>
          <w:lang w:bidi="ar-MA"/>
        </w:rPr>
        <w:t xml:space="preserve"> بتوس</w:t>
      </w:r>
      <w:r w:rsidR="00AA0B2E" w:rsidRPr="00282AC9">
        <w:rPr>
          <w:rFonts w:ascii="Times New Roman" w:hAnsi="Times New Roman" w:hint="cs"/>
          <w:sz w:val="27"/>
          <w:rtl/>
          <w:lang w:bidi="ar-MA"/>
        </w:rPr>
        <w:t>ُّ</w:t>
      </w:r>
      <w:r w:rsidRPr="00282AC9">
        <w:rPr>
          <w:rFonts w:ascii="Times New Roman" w:hAnsi="Times New Roman"/>
          <w:sz w:val="27"/>
          <w:rtl/>
          <w:lang w:bidi="ar-MA"/>
        </w:rPr>
        <w:t>ط</w:t>
      </w:r>
      <w:r w:rsidR="00AA0B2E" w:rsidRPr="00282AC9">
        <w:rPr>
          <w:rFonts w:ascii="Times New Roman" w:hAnsi="Times New Roman" w:hint="cs"/>
          <w:sz w:val="27"/>
          <w:rtl/>
          <w:lang w:bidi="ar-MA"/>
        </w:rPr>
        <w:t>ٍ</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24"/>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D722E4" w:rsidRPr="00282AC9" w:rsidRDefault="00AA0B2E" w:rsidP="003062B7">
      <w:pPr>
        <w:spacing w:line="410" w:lineRule="exact"/>
        <w:rPr>
          <w:rFonts w:ascii="Times New Roman" w:hAnsi="Times New Roman"/>
          <w:sz w:val="27"/>
          <w:rtl/>
          <w:lang w:bidi="ar-MA"/>
        </w:rPr>
      </w:pPr>
      <w:r w:rsidRPr="00282AC9">
        <w:rPr>
          <w:rFonts w:ascii="Times New Roman" w:hAnsi="Times New Roman" w:hint="cs"/>
          <w:sz w:val="27"/>
          <w:rtl/>
          <w:lang w:bidi="ar-MA"/>
        </w:rPr>
        <w:t>و</w:t>
      </w:r>
      <w:r w:rsidR="00D722E4" w:rsidRPr="00282AC9">
        <w:rPr>
          <w:rFonts w:ascii="Times New Roman" w:hAnsi="Times New Roman" w:hint="cs"/>
          <w:sz w:val="27"/>
          <w:rtl/>
          <w:lang w:bidi="ar-MA"/>
        </w:rPr>
        <w:t>من جهة</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أخرى ي</w:t>
      </w:r>
      <w:r w:rsidRPr="00282AC9">
        <w:rPr>
          <w:rFonts w:ascii="Times New Roman" w:hAnsi="Times New Roman" w:hint="cs"/>
          <w:sz w:val="27"/>
          <w:rtl/>
          <w:lang w:bidi="ar-MA"/>
        </w:rPr>
        <w:t>ُ</w:t>
      </w:r>
      <w:r w:rsidR="00D722E4" w:rsidRPr="00282AC9">
        <w:rPr>
          <w:rFonts w:ascii="Times New Roman" w:hAnsi="Times New Roman" w:hint="cs"/>
          <w:sz w:val="27"/>
          <w:rtl/>
          <w:lang w:bidi="ar-MA"/>
        </w:rPr>
        <w:t>ع</w:t>
      </w:r>
      <w:r w:rsidRPr="00282AC9">
        <w:rPr>
          <w:rFonts w:ascii="Times New Roman" w:hAnsi="Times New Roman" w:hint="cs"/>
          <w:sz w:val="27"/>
          <w:rtl/>
          <w:lang w:bidi="ar-MA"/>
        </w:rPr>
        <w:t>َ</w:t>
      </w:r>
      <w:r w:rsidR="00D722E4" w:rsidRPr="00282AC9">
        <w:rPr>
          <w:rFonts w:ascii="Times New Roman" w:hAnsi="Times New Roman" w:hint="cs"/>
          <w:sz w:val="27"/>
          <w:rtl/>
          <w:lang w:bidi="ar-MA"/>
        </w:rPr>
        <w:t>د</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اللفظ طريق البيان</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ووسيلة</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لفهم </w:t>
      </w:r>
      <w:r w:rsidRPr="00282AC9">
        <w:rPr>
          <w:rFonts w:ascii="Times New Roman" w:hAnsi="Times New Roman" w:hint="cs"/>
          <w:sz w:val="27"/>
          <w:rtl/>
          <w:lang w:bidi="ar-MA"/>
        </w:rPr>
        <w:t>ا</w:t>
      </w:r>
      <w:r w:rsidR="00D722E4" w:rsidRPr="00282AC9">
        <w:rPr>
          <w:rFonts w:ascii="Times New Roman" w:hAnsi="Times New Roman" w:hint="cs"/>
          <w:sz w:val="27"/>
          <w:rtl/>
          <w:lang w:bidi="ar-MA"/>
        </w:rPr>
        <w:t>لنص</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إذ </w:t>
      </w:r>
      <w:r w:rsidRPr="00282AC9">
        <w:rPr>
          <w:rFonts w:ascii="Times New Roman" w:hAnsi="Times New Roman" w:hint="cs"/>
          <w:sz w:val="27"/>
          <w:rtl/>
          <w:lang w:bidi="ar-MA"/>
        </w:rPr>
        <w:t>إ</w:t>
      </w:r>
      <w:r w:rsidR="00D722E4" w:rsidRPr="00282AC9">
        <w:rPr>
          <w:rFonts w:ascii="Times New Roman" w:hAnsi="Times New Roman" w:hint="cs"/>
          <w:sz w:val="27"/>
          <w:rtl/>
          <w:lang w:bidi="ar-MA"/>
        </w:rPr>
        <w:t xml:space="preserve">ن الأصل </w:t>
      </w:r>
      <w:r w:rsidR="00D722E4" w:rsidRPr="00282AC9">
        <w:rPr>
          <w:rFonts w:hint="eastAsia"/>
          <w:sz w:val="24"/>
          <w:szCs w:val="24"/>
          <w:rtl/>
          <w:lang w:bidi="ar-MA"/>
        </w:rPr>
        <w:t>«</w:t>
      </w:r>
      <w:r w:rsidRPr="00282AC9">
        <w:rPr>
          <w:rFonts w:ascii="Times New Roman" w:hAnsi="Times New Roman" w:hint="cs"/>
          <w:sz w:val="27"/>
          <w:rtl/>
          <w:lang w:bidi="ar-MA"/>
        </w:rPr>
        <w:t>أ</w:t>
      </w:r>
      <w:r w:rsidR="00D722E4" w:rsidRPr="00282AC9">
        <w:rPr>
          <w:rFonts w:ascii="Times New Roman" w:hAnsi="Times New Roman" w:hint="cs"/>
          <w:sz w:val="27"/>
          <w:rtl/>
          <w:lang w:bidi="ar-MA"/>
        </w:rPr>
        <w:t>نه لا بيان إلا</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بالألفاظ المعب</w:t>
      </w:r>
      <w:r w:rsidRPr="00282AC9">
        <w:rPr>
          <w:rFonts w:ascii="Times New Roman" w:hAnsi="Times New Roman" w:hint="cs"/>
          <w:sz w:val="27"/>
          <w:rtl/>
          <w:lang w:bidi="ar-MA"/>
        </w:rPr>
        <w:t>ِّ</w:t>
      </w:r>
      <w:r w:rsidR="00D722E4" w:rsidRPr="00282AC9">
        <w:rPr>
          <w:rFonts w:ascii="Times New Roman" w:hAnsi="Times New Roman" w:hint="cs"/>
          <w:sz w:val="27"/>
          <w:rtl/>
          <w:lang w:bidi="ar-MA"/>
        </w:rPr>
        <w:t>رة عن المعاني التي أوقعت عليها في اللغة</w:t>
      </w:r>
      <w:r w:rsidRPr="00282AC9">
        <w:rPr>
          <w:rFonts w:ascii="Times New Roman" w:hAnsi="Times New Roman" w:hint="cs"/>
          <w:sz w:val="27"/>
          <w:rtl/>
          <w:lang w:bidi="ar-MA"/>
        </w:rPr>
        <w:t>.</w:t>
      </w:r>
      <w:r w:rsidR="00D722E4" w:rsidRPr="00282AC9">
        <w:rPr>
          <w:rFonts w:ascii="Times New Roman" w:hAnsi="Times New Roman" w:hint="cs"/>
          <w:sz w:val="27"/>
          <w:rtl/>
          <w:lang w:bidi="ar-MA"/>
        </w:rPr>
        <w:t>..</w:t>
      </w:r>
      <w:r w:rsidR="00D722E4" w:rsidRPr="00282AC9">
        <w:rPr>
          <w:rFonts w:hint="eastAsia"/>
          <w:sz w:val="24"/>
          <w:szCs w:val="24"/>
          <w:rtl/>
        </w:rPr>
        <w:t>»</w:t>
      </w:r>
      <w:r w:rsidR="00D722E4" w:rsidRPr="00282AC9">
        <w:rPr>
          <w:rFonts w:ascii="Times New Roman" w:hAnsi="Times New Roman"/>
          <w:sz w:val="27"/>
          <w:vertAlign w:val="superscript"/>
          <w:rtl/>
          <w:lang w:bidi="ar-MA"/>
        </w:rPr>
        <w:t>(</w:t>
      </w:r>
      <w:r w:rsidR="00D722E4" w:rsidRPr="00282AC9">
        <w:rPr>
          <w:rStyle w:val="af9"/>
          <w:rFonts w:ascii="Times New Roman" w:hAnsi="Times New Roman"/>
          <w:sz w:val="27"/>
          <w:rtl/>
          <w:lang w:bidi="ar-MA"/>
        </w:rPr>
        <w:endnoteReference w:id="725"/>
      </w:r>
      <w:r w:rsidR="00D722E4" w:rsidRPr="00282AC9">
        <w:rPr>
          <w:rFonts w:ascii="Times New Roman" w:hAnsi="Times New Roman"/>
          <w:sz w:val="27"/>
          <w:vertAlign w:val="superscript"/>
          <w:rtl/>
          <w:lang w:bidi="ar-MA"/>
        </w:rPr>
        <w:t>)</w:t>
      </w:r>
      <w:r w:rsidR="00D722E4" w:rsidRPr="00282AC9">
        <w:rPr>
          <w:rFonts w:ascii="Times New Roman" w:hAnsi="Times New Roman" w:hint="cs"/>
          <w:sz w:val="27"/>
          <w:rtl/>
          <w:lang w:bidi="ar-MA"/>
        </w:rPr>
        <w:t>.</w:t>
      </w:r>
    </w:p>
    <w:p w:rsidR="00D722E4" w:rsidRPr="00282AC9" w:rsidRDefault="00D722E4" w:rsidP="00A20690">
      <w:pPr>
        <w:rPr>
          <w:sz w:val="27"/>
          <w:rtl/>
          <w:lang w:bidi="ar-AE"/>
        </w:rPr>
      </w:pPr>
      <w:r w:rsidRPr="00282AC9">
        <w:rPr>
          <w:rFonts w:hint="cs"/>
          <w:sz w:val="27"/>
          <w:rtl/>
          <w:lang w:bidi="ar-AE"/>
        </w:rPr>
        <w:t>والتحق</w:t>
      </w:r>
      <w:r w:rsidR="00AA0B2E" w:rsidRPr="00282AC9">
        <w:rPr>
          <w:rFonts w:hint="cs"/>
          <w:sz w:val="27"/>
          <w:rtl/>
          <w:lang w:bidi="ar-AE"/>
        </w:rPr>
        <w:t>ُّ</w:t>
      </w:r>
      <w:r w:rsidRPr="00282AC9">
        <w:rPr>
          <w:rFonts w:hint="cs"/>
          <w:sz w:val="27"/>
          <w:rtl/>
          <w:lang w:bidi="ar-AE"/>
        </w:rPr>
        <w:t xml:space="preserve">ق من الألفاظ </w:t>
      </w:r>
      <w:r w:rsidRPr="00282AC9">
        <w:rPr>
          <w:sz w:val="27"/>
          <w:rtl/>
          <w:lang w:bidi="ar-AE"/>
        </w:rPr>
        <w:t>من ش</w:t>
      </w:r>
      <w:r w:rsidR="00AA0B2E" w:rsidRPr="00282AC9">
        <w:rPr>
          <w:rFonts w:hint="cs"/>
          <w:sz w:val="27"/>
          <w:rtl/>
          <w:lang w:bidi="ar-AE"/>
        </w:rPr>
        <w:t>أ</w:t>
      </w:r>
      <w:r w:rsidRPr="00282AC9">
        <w:rPr>
          <w:sz w:val="27"/>
          <w:rtl/>
          <w:lang w:bidi="ar-AE"/>
        </w:rPr>
        <w:t>نه أن يبعد الالتباس</w:t>
      </w:r>
      <w:r w:rsidR="00B77DB5" w:rsidRPr="00282AC9">
        <w:rPr>
          <w:rFonts w:hint="cs"/>
          <w:sz w:val="27"/>
          <w:rtl/>
          <w:lang w:bidi="ar-AE"/>
        </w:rPr>
        <w:t>،</w:t>
      </w:r>
      <w:r w:rsidRPr="00282AC9">
        <w:rPr>
          <w:sz w:val="27"/>
          <w:rtl/>
          <w:lang w:bidi="ar-AE"/>
        </w:rPr>
        <w:t xml:space="preserve"> ويرفع الخفاء </w:t>
      </w:r>
      <w:r w:rsidRPr="00282AC9">
        <w:rPr>
          <w:rFonts w:hint="cs"/>
          <w:sz w:val="27"/>
          <w:rtl/>
          <w:lang w:bidi="ar-AE"/>
        </w:rPr>
        <w:t>في النص</w:t>
      </w:r>
      <w:r w:rsidR="00B77DB5" w:rsidRPr="00282AC9">
        <w:rPr>
          <w:rFonts w:hint="cs"/>
          <w:sz w:val="27"/>
          <w:rtl/>
          <w:lang w:bidi="ar-AE"/>
        </w:rPr>
        <w:t>ّ؛</w:t>
      </w:r>
      <w:r w:rsidRPr="00282AC9">
        <w:rPr>
          <w:rFonts w:hint="cs"/>
          <w:sz w:val="27"/>
          <w:rtl/>
          <w:lang w:bidi="ar-AE"/>
        </w:rPr>
        <w:t xml:space="preserve"> </w:t>
      </w:r>
      <w:r w:rsidRPr="00282AC9">
        <w:rPr>
          <w:rFonts w:hint="eastAsia"/>
          <w:sz w:val="24"/>
          <w:szCs w:val="24"/>
          <w:rtl/>
          <w:lang w:bidi="ar-AE"/>
        </w:rPr>
        <w:t>«</w:t>
      </w:r>
      <w:r w:rsidRPr="00282AC9">
        <w:rPr>
          <w:sz w:val="27"/>
          <w:rtl/>
          <w:lang w:bidi="ar-AE"/>
        </w:rPr>
        <w:t>ل</w:t>
      </w:r>
      <w:r w:rsidR="00B77DB5" w:rsidRPr="00282AC9">
        <w:rPr>
          <w:rFonts w:hint="cs"/>
          <w:sz w:val="27"/>
          <w:rtl/>
          <w:lang w:bidi="ar-AE"/>
        </w:rPr>
        <w:t>أ</w:t>
      </w:r>
      <w:r w:rsidRPr="00282AC9">
        <w:rPr>
          <w:sz w:val="27"/>
          <w:rtl/>
          <w:lang w:bidi="ar-AE"/>
        </w:rPr>
        <w:t>ن الأصل في كل</w:t>
      </w:r>
      <w:r w:rsidR="00B77DB5" w:rsidRPr="00282AC9">
        <w:rPr>
          <w:rFonts w:hint="cs"/>
          <w:sz w:val="27"/>
          <w:rtl/>
          <w:lang w:bidi="ar-AE"/>
        </w:rPr>
        <w:t>ّ</w:t>
      </w:r>
      <w:r w:rsidRPr="00282AC9">
        <w:rPr>
          <w:sz w:val="27"/>
          <w:rtl/>
          <w:lang w:bidi="ar-AE"/>
        </w:rPr>
        <w:t xml:space="preserve"> بلاء</w:t>
      </w:r>
      <w:r w:rsidR="00B77DB5" w:rsidRPr="00282AC9">
        <w:rPr>
          <w:rFonts w:hint="cs"/>
          <w:sz w:val="27"/>
          <w:rtl/>
          <w:lang w:bidi="ar-AE"/>
        </w:rPr>
        <w:t>ٍ</w:t>
      </w:r>
      <w:r w:rsidRPr="00282AC9">
        <w:rPr>
          <w:sz w:val="27"/>
          <w:rtl/>
          <w:lang w:bidi="ar-AE"/>
        </w:rPr>
        <w:t xml:space="preserve"> وعماء</w:t>
      </w:r>
      <w:r w:rsidR="00B77DB5" w:rsidRPr="00282AC9">
        <w:rPr>
          <w:rFonts w:hint="cs"/>
          <w:sz w:val="27"/>
          <w:rtl/>
          <w:lang w:bidi="ar-AE"/>
        </w:rPr>
        <w:t>ٍ</w:t>
      </w:r>
      <w:r w:rsidRPr="00282AC9">
        <w:rPr>
          <w:sz w:val="27"/>
          <w:rtl/>
          <w:lang w:bidi="ar-AE"/>
        </w:rPr>
        <w:t xml:space="preserve"> وتخليط</w:t>
      </w:r>
      <w:r w:rsidR="00B77DB5" w:rsidRPr="00282AC9">
        <w:rPr>
          <w:rFonts w:hint="cs"/>
          <w:sz w:val="27"/>
          <w:rtl/>
          <w:lang w:bidi="ar-AE"/>
        </w:rPr>
        <w:t>ٍ</w:t>
      </w:r>
      <w:r w:rsidRPr="00282AC9">
        <w:rPr>
          <w:sz w:val="27"/>
          <w:rtl/>
          <w:lang w:bidi="ar-AE"/>
        </w:rPr>
        <w:t xml:space="preserve"> وفساد</w:t>
      </w:r>
      <w:r w:rsidR="00B77DB5" w:rsidRPr="00282AC9">
        <w:rPr>
          <w:rFonts w:hint="cs"/>
          <w:sz w:val="27"/>
          <w:rtl/>
          <w:lang w:bidi="ar-AE"/>
        </w:rPr>
        <w:t>ٍ</w:t>
      </w:r>
      <w:r w:rsidRPr="00282AC9">
        <w:rPr>
          <w:sz w:val="27"/>
          <w:rtl/>
          <w:lang w:bidi="ar-AE"/>
        </w:rPr>
        <w:t xml:space="preserve"> هو اختلاط الأسماء، ووقوع اسم</w:t>
      </w:r>
      <w:r w:rsidR="00B77DB5" w:rsidRPr="00282AC9">
        <w:rPr>
          <w:rFonts w:hint="cs"/>
          <w:sz w:val="27"/>
          <w:rtl/>
          <w:lang w:bidi="ar-AE"/>
        </w:rPr>
        <w:t>ٍ</w:t>
      </w:r>
      <w:r w:rsidRPr="00282AC9">
        <w:rPr>
          <w:sz w:val="27"/>
          <w:rtl/>
          <w:lang w:bidi="ar-AE"/>
        </w:rPr>
        <w:t xml:space="preserve"> واحد</w:t>
      </w:r>
      <w:r w:rsidR="00B77DB5" w:rsidRPr="00282AC9">
        <w:rPr>
          <w:rFonts w:hint="cs"/>
          <w:sz w:val="27"/>
          <w:rtl/>
          <w:lang w:bidi="ar-AE"/>
        </w:rPr>
        <w:t>ٍ</w:t>
      </w:r>
      <w:r w:rsidRPr="00282AC9">
        <w:rPr>
          <w:sz w:val="27"/>
          <w:rtl/>
          <w:lang w:bidi="ar-AE"/>
        </w:rPr>
        <w:t xml:space="preserve"> على معاني كثيرة</w:t>
      </w:r>
      <w:r w:rsidR="00B77DB5" w:rsidRPr="00282AC9">
        <w:rPr>
          <w:rFonts w:hint="cs"/>
          <w:sz w:val="27"/>
          <w:rtl/>
          <w:lang w:bidi="ar-AE"/>
        </w:rPr>
        <w:t>ٍ</w:t>
      </w:r>
      <w:r w:rsidRPr="00282AC9">
        <w:rPr>
          <w:sz w:val="27"/>
          <w:rtl/>
          <w:lang w:bidi="ar-AE"/>
        </w:rPr>
        <w:t>...</w:t>
      </w:r>
      <w:r w:rsidRPr="00282AC9">
        <w:rPr>
          <w:rFonts w:hint="eastAsia"/>
          <w:sz w:val="24"/>
          <w:szCs w:val="24"/>
          <w:rtl/>
        </w:rPr>
        <w:t>»</w:t>
      </w:r>
      <w:r w:rsidRPr="00282AC9">
        <w:rPr>
          <w:sz w:val="27"/>
          <w:vertAlign w:val="superscript"/>
          <w:rtl/>
          <w:lang w:bidi="ar-AE"/>
        </w:rPr>
        <w:t>(</w:t>
      </w:r>
      <w:r w:rsidRPr="00282AC9">
        <w:rPr>
          <w:rStyle w:val="af9"/>
          <w:sz w:val="27"/>
          <w:rtl/>
          <w:lang w:bidi="ar-AE"/>
        </w:rPr>
        <w:endnoteReference w:id="726"/>
      </w:r>
      <w:r w:rsidRPr="00282AC9">
        <w:rPr>
          <w:sz w:val="27"/>
          <w:vertAlign w:val="superscript"/>
          <w:rtl/>
          <w:lang w:bidi="ar-AE"/>
        </w:rPr>
        <w:t>)</w:t>
      </w:r>
      <w:r w:rsidRPr="00282AC9">
        <w:rPr>
          <w:sz w:val="27"/>
          <w:rtl/>
          <w:lang w:bidi="ar-AE"/>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لهذا الاعتبار</w:t>
      </w:r>
      <w:r w:rsidRPr="00282AC9">
        <w:rPr>
          <w:rFonts w:ascii="Times New Roman" w:hAnsi="Times New Roman"/>
          <w:sz w:val="27"/>
          <w:rtl/>
          <w:lang w:bidi="ar-MA"/>
        </w:rPr>
        <w:t xml:space="preserve"> رصد </w:t>
      </w:r>
      <w:r w:rsidRPr="00282AC9">
        <w:rPr>
          <w:rFonts w:hint="eastAsia"/>
          <w:sz w:val="24"/>
          <w:szCs w:val="24"/>
          <w:rtl/>
          <w:lang w:bidi="ar-MA"/>
        </w:rPr>
        <w:t>«</w:t>
      </w:r>
      <w:r w:rsidRPr="00282AC9">
        <w:rPr>
          <w:rFonts w:ascii="Times New Roman" w:hAnsi="Times New Roman"/>
          <w:sz w:val="27"/>
          <w:rtl/>
          <w:lang w:bidi="ar-MA"/>
        </w:rPr>
        <w:t>علماء الأصول دلالات الألفاظ من مختلف الزوايا والجهات</w:t>
      </w:r>
      <w:r w:rsidR="00B77DB5"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وحت</w:t>
      </w:r>
      <w:r w:rsidR="00B77DB5" w:rsidRPr="00282AC9">
        <w:rPr>
          <w:rFonts w:ascii="Times New Roman" w:hAnsi="Times New Roman" w:hint="cs"/>
          <w:sz w:val="27"/>
          <w:rtl/>
          <w:lang w:bidi="ar-MA"/>
        </w:rPr>
        <w:t>ّ</w:t>
      </w:r>
      <w:r w:rsidRPr="00282AC9">
        <w:rPr>
          <w:rFonts w:ascii="Times New Roman" w:hAnsi="Times New Roman"/>
          <w:sz w:val="27"/>
          <w:rtl/>
          <w:lang w:bidi="ar-MA"/>
        </w:rPr>
        <w:t>ى تتوف</w:t>
      </w:r>
      <w:r w:rsidR="00B77DB5" w:rsidRPr="00282AC9">
        <w:rPr>
          <w:rFonts w:ascii="Times New Roman" w:hAnsi="Times New Roman" w:hint="cs"/>
          <w:sz w:val="27"/>
          <w:rtl/>
          <w:lang w:bidi="ar-MA"/>
        </w:rPr>
        <w:t>َّ</w:t>
      </w:r>
      <w:r w:rsidRPr="00282AC9">
        <w:rPr>
          <w:rFonts w:ascii="Times New Roman" w:hAnsi="Times New Roman"/>
          <w:sz w:val="27"/>
          <w:rtl/>
          <w:lang w:bidi="ar-MA"/>
        </w:rPr>
        <w:t>ر لهم تلك المعرفة بال</w:t>
      </w:r>
      <w:r w:rsidRPr="00282AC9">
        <w:rPr>
          <w:rFonts w:ascii="Times New Roman" w:hAnsi="Times New Roman" w:hint="cs"/>
          <w:sz w:val="27"/>
          <w:rtl/>
          <w:lang w:bidi="ar-MA"/>
        </w:rPr>
        <w:t>ل</w:t>
      </w:r>
      <w:r w:rsidRPr="00282AC9">
        <w:rPr>
          <w:rFonts w:ascii="Times New Roman" w:hAnsi="Times New Roman"/>
          <w:sz w:val="27"/>
          <w:rtl/>
          <w:lang w:bidi="ar-MA"/>
        </w:rPr>
        <w:t>فظ رصدوها من زاوية ما و</w:t>
      </w:r>
      <w:r w:rsidR="00B77DB5" w:rsidRPr="00282AC9">
        <w:rPr>
          <w:rFonts w:ascii="Times New Roman" w:hAnsi="Times New Roman" w:hint="cs"/>
          <w:sz w:val="27"/>
          <w:rtl/>
          <w:lang w:bidi="ar-MA"/>
        </w:rPr>
        <w:t>ُ</w:t>
      </w:r>
      <w:r w:rsidRPr="00282AC9">
        <w:rPr>
          <w:rFonts w:ascii="Times New Roman" w:hAnsi="Times New Roman"/>
          <w:sz w:val="27"/>
          <w:rtl/>
          <w:lang w:bidi="ar-MA"/>
        </w:rPr>
        <w:t>ض</w:t>
      </w:r>
      <w:r w:rsidR="00B77DB5" w:rsidRPr="00282AC9">
        <w:rPr>
          <w:rFonts w:ascii="Times New Roman" w:hAnsi="Times New Roman" w:hint="cs"/>
          <w:sz w:val="27"/>
          <w:rtl/>
          <w:lang w:bidi="ar-MA"/>
        </w:rPr>
        <w:t>ِ</w:t>
      </w:r>
      <w:r w:rsidRPr="00282AC9">
        <w:rPr>
          <w:rFonts w:ascii="Times New Roman" w:hAnsi="Times New Roman"/>
          <w:sz w:val="27"/>
          <w:rtl/>
          <w:lang w:bidi="ar-MA"/>
        </w:rPr>
        <w:t>ع</w:t>
      </w:r>
      <w:r w:rsidR="00B77DB5" w:rsidRPr="00282AC9">
        <w:rPr>
          <w:rFonts w:ascii="Times New Roman" w:hAnsi="Times New Roman" w:hint="cs"/>
          <w:sz w:val="27"/>
          <w:rtl/>
          <w:lang w:bidi="ar-MA"/>
        </w:rPr>
        <w:t>َ</w:t>
      </w:r>
      <w:r w:rsidRPr="00282AC9">
        <w:rPr>
          <w:rFonts w:ascii="Times New Roman" w:hAnsi="Times New Roman"/>
          <w:sz w:val="27"/>
          <w:rtl/>
          <w:lang w:bidi="ar-MA"/>
        </w:rPr>
        <w:t>ت</w:t>
      </w:r>
      <w:r w:rsidR="00B77DB5" w:rsidRPr="00282AC9">
        <w:rPr>
          <w:rFonts w:ascii="Times New Roman" w:hAnsi="Times New Roman" w:hint="cs"/>
          <w:sz w:val="27"/>
          <w:rtl/>
          <w:lang w:bidi="ar-MA"/>
        </w:rPr>
        <w:t>ْ</w:t>
      </w:r>
      <w:r w:rsidRPr="00282AC9">
        <w:rPr>
          <w:rFonts w:ascii="Times New Roman" w:hAnsi="Times New Roman"/>
          <w:sz w:val="27"/>
          <w:rtl/>
          <w:lang w:bidi="ar-MA"/>
        </w:rPr>
        <w:t xml:space="preserve"> له الألفاظ من حقائق</w:t>
      </w:r>
      <w:r w:rsidRPr="00282AC9">
        <w:rPr>
          <w:rFonts w:ascii="Times New Roman" w:hAnsi="Times New Roman" w:hint="cs"/>
          <w:sz w:val="27"/>
          <w:rtl/>
          <w:lang w:bidi="ar-MA"/>
        </w:rPr>
        <w:t xml:space="preserve">، </w:t>
      </w:r>
      <w:r w:rsidRPr="00282AC9">
        <w:rPr>
          <w:rFonts w:ascii="Times New Roman" w:hAnsi="Times New Roman"/>
          <w:sz w:val="27"/>
          <w:rtl/>
          <w:lang w:bidi="ar-MA"/>
        </w:rPr>
        <w:t>فوجدوها لا تخرج في دلالتها عن العموم والخصوص والاشتراك</w:t>
      </w:r>
      <w:r w:rsidR="00B77DB5"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كما رصدوها من زاوية ما ت</w:t>
      </w:r>
      <w:r w:rsidR="00B77DB5" w:rsidRPr="00282AC9">
        <w:rPr>
          <w:rFonts w:ascii="Times New Roman" w:hAnsi="Times New Roman" w:hint="cs"/>
          <w:sz w:val="27"/>
          <w:rtl/>
          <w:lang w:bidi="ar-MA"/>
        </w:rPr>
        <w:t>ُ</w:t>
      </w:r>
      <w:r w:rsidRPr="00282AC9">
        <w:rPr>
          <w:rFonts w:ascii="Times New Roman" w:hAnsi="Times New Roman"/>
          <w:sz w:val="27"/>
          <w:rtl/>
          <w:lang w:bidi="ar-MA"/>
        </w:rPr>
        <w:t>س</w:t>
      </w:r>
      <w:r w:rsidR="00B77DB5" w:rsidRPr="00282AC9">
        <w:rPr>
          <w:rFonts w:ascii="Times New Roman" w:hAnsi="Times New Roman" w:hint="cs"/>
          <w:sz w:val="27"/>
          <w:rtl/>
          <w:lang w:bidi="ar-MA"/>
        </w:rPr>
        <w:t>ْ</w:t>
      </w:r>
      <w:r w:rsidRPr="00282AC9">
        <w:rPr>
          <w:rFonts w:ascii="Times New Roman" w:hAnsi="Times New Roman"/>
          <w:sz w:val="27"/>
          <w:rtl/>
          <w:lang w:bidi="ar-MA"/>
        </w:rPr>
        <w:t>ت</w:t>
      </w:r>
      <w:r w:rsidR="00B77DB5" w:rsidRPr="00282AC9">
        <w:rPr>
          <w:rFonts w:ascii="Times New Roman" w:hAnsi="Times New Roman" w:hint="cs"/>
          <w:sz w:val="27"/>
          <w:rtl/>
          <w:lang w:bidi="ar-MA"/>
        </w:rPr>
        <w:t>َ</w:t>
      </w:r>
      <w:r w:rsidRPr="00282AC9">
        <w:rPr>
          <w:rFonts w:ascii="Times New Roman" w:hAnsi="Times New Roman"/>
          <w:sz w:val="27"/>
          <w:rtl/>
          <w:lang w:bidi="ar-MA"/>
        </w:rPr>
        <w:t>ع</w:t>
      </w:r>
      <w:r w:rsidR="00B77DB5" w:rsidRPr="00282AC9">
        <w:rPr>
          <w:rFonts w:ascii="Times New Roman" w:hAnsi="Times New Roman" w:hint="cs"/>
          <w:sz w:val="27"/>
          <w:rtl/>
          <w:lang w:bidi="ar-MA"/>
        </w:rPr>
        <w:t>ْ</w:t>
      </w:r>
      <w:r w:rsidRPr="00282AC9">
        <w:rPr>
          <w:rFonts w:ascii="Times New Roman" w:hAnsi="Times New Roman"/>
          <w:sz w:val="27"/>
          <w:rtl/>
          <w:lang w:bidi="ar-MA"/>
        </w:rPr>
        <w:t>م</w:t>
      </w:r>
      <w:r w:rsidR="00B77DB5" w:rsidRPr="00282AC9">
        <w:rPr>
          <w:rFonts w:ascii="Times New Roman" w:hAnsi="Times New Roman" w:hint="cs"/>
          <w:sz w:val="27"/>
          <w:rtl/>
          <w:lang w:bidi="ar-MA"/>
        </w:rPr>
        <w:t>َ</w:t>
      </w:r>
      <w:r w:rsidRPr="00282AC9">
        <w:rPr>
          <w:rFonts w:ascii="Times New Roman" w:hAnsi="Times New Roman"/>
          <w:sz w:val="27"/>
          <w:rtl/>
          <w:lang w:bidi="ar-MA"/>
        </w:rPr>
        <w:t>ل فيه فوجدوها لا تخرج في دلالتها عن الحقيقة والمجاز</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27"/>
      </w:r>
      <w:r w:rsidRPr="00282AC9">
        <w:rPr>
          <w:rFonts w:ascii="Times New Roman" w:hAnsi="Times New Roman"/>
          <w:sz w:val="27"/>
          <w:vertAlign w:val="superscript"/>
          <w:rtl/>
          <w:lang w:bidi="ar-MA"/>
        </w:rPr>
        <w:t>)</w:t>
      </w:r>
      <w:r w:rsidR="00B77DB5"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وقد تمي</w:t>
      </w:r>
      <w:r w:rsidR="00B77DB5" w:rsidRPr="00282AC9">
        <w:rPr>
          <w:rFonts w:ascii="Times New Roman" w:hAnsi="Times New Roman" w:hint="cs"/>
          <w:sz w:val="27"/>
          <w:rtl/>
          <w:lang w:bidi="ar-MA"/>
        </w:rPr>
        <w:t>َّ</w:t>
      </w:r>
      <w:r w:rsidRPr="00282AC9">
        <w:rPr>
          <w:rFonts w:ascii="Times New Roman" w:hAnsi="Times New Roman"/>
          <w:sz w:val="27"/>
          <w:rtl/>
          <w:lang w:bidi="ar-MA"/>
        </w:rPr>
        <w:t>ز حديثهم حول اللفظ بالس</w:t>
      </w:r>
      <w:r w:rsidR="00B77DB5" w:rsidRPr="00282AC9">
        <w:rPr>
          <w:rFonts w:ascii="Times New Roman" w:hAnsi="Times New Roman" w:hint="cs"/>
          <w:sz w:val="27"/>
          <w:rtl/>
          <w:lang w:bidi="ar-MA"/>
        </w:rPr>
        <w:t>َّ</w:t>
      </w:r>
      <w:r w:rsidRPr="00282AC9">
        <w:rPr>
          <w:rFonts w:ascii="Times New Roman" w:hAnsi="Times New Roman"/>
          <w:sz w:val="27"/>
          <w:rtl/>
          <w:lang w:bidi="ar-MA"/>
        </w:rPr>
        <w:t>ع</w:t>
      </w:r>
      <w:r w:rsidR="00B77DB5" w:rsidRPr="00282AC9">
        <w:rPr>
          <w:rFonts w:ascii="Times New Roman" w:hAnsi="Times New Roman" w:hint="cs"/>
          <w:sz w:val="27"/>
          <w:rtl/>
          <w:lang w:bidi="ar-MA"/>
        </w:rPr>
        <w:t>َ</w:t>
      </w:r>
      <w:r w:rsidRPr="00282AC9">
        <w:rPr>
          <w:rFonts w:ascii="Times New Roman" w:hAnsi="Times New Roman"/>
          <w:sz w:val="27"/>
          <w:rtl/>
          <w:lang w:bidi="ar-MA"/>
        </w:rPr>
        <w:t>ة والشمولية، وحق</w:t>
      </w:r>
      <w:r w:rsidR="00B77DB5" w:rsidRPr="00282AC9">
        <w:rPr>
          <w:rFonts w:ascii="Times New Roman" w:hAnsi="Times New Roman" w:hint="cs"/>
          <w:sz w:val="27"/>
          <w:rtl/>
          <w:lang w:bidi="ar-MA"/>
        </w:rPr>
        <w:t>َّ</w:t>
      </w:r>
      <w:r w:rsidRPr="00282AC9">
        <w:rPr>
          <w:rFonts w:ascii="Times New Roman" w:hAnsi="Times New Roman"/>
          <w:sz w:val="27"/>
          <w:rtl/>
          <w:lang w:bidi="ar-MA"/>
        </w:rPr>
        <w:t>قوا بحوث</w:t>
      </w:r>
      <w:r w:rsidRPr="00282AC9">
        <w:rPr>
          <w:rFonts w:ascii="Times New Roman" w:hAnsi="Times New Roman" w:hint="cs"/>
          <w:sz w:val="27"/>
          <w:rtl/>
          <w:lang w:bidi="ar-MA"/>
        </w:rPr>
        <w:t>اً</w:t>
      </w:r>
      <w:r w:rsidRPr="00282AC9">
        <w:rPr>
          <w:rFonts w:ascii="Times New Roman" w:hAnsi="Times New Roman"/>
          <w:sz w:val="27"/>
          <w:rtl/>
          <w:lang w:bidi="ar-MA"/>
        </w:rPr>
        <w:t xml:space="preserve"> نفيسة</w:t>
      </w:r>
      <w:r w:rsidR="00060C41" w:rsidRPr="00282AC9">
        <w:rPr>
          <w:rFonts w:ascii="Times New Roman" w:hAnsi="Times New Roman" w:hint="cs"/>
          <w:sz w:val="27"/>
          <w:rtl/>
          <w:lang w:bidi="ar-MA"/>
        </w:rPr>
        <w:t>ً</w:t>
      </w:r>
      <w:r w:rsidRPr="00282AC9">
        <w:rPr>
          <w:rFonts w:ascii="Times New Roman" w:hAnsi="Times New Roman"/>
          <w:sz w:val="27"/>
          <w:rtl/>
          <w:lang w:bidi="ar-MA"/>
        </w:rPr>
        <w:t xml:space="preserve"> تدور في محور اللفظ في علاقته بالمعنى</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28"/>
      </w:r>
      <w:r w:rsidRPr="00282AC9">
        <w:rPr>
          <w:rFonts w:ascii="Times New Roman" w:hAnsi="Times New Roman"/>
          <w:sz w:val="27"/>
          <w:vertAlign w:val="superscript"/>
          <w:rtl/>
          <w:lang w:bidi="ar-MA"/>
        </w:rPr>
        <w:t>)</w:t>
      </w:r>
      <w:r w:rsidR="00B77DB5"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 xml:space="preserve">وهذا الرصد والمتابعة يعود </w:t>
      </w:r>
      <w:r w:rsidR="00B77DB5" w:rsidRPr="00282AC9">
        <w:rPr>
          <w:rFonts w:ascii="Times New Roman" w:hAnsi="Times New Roman" w:hint="cs"/>
          <w:sz w:val="27"/>
          <w:rtl/>
          <w:lang w:bidi="ar-MA"/>
        </w:rPr>
        <w:t xml:space="preserve">إلى </w:t>
      </w:r>
      <w:r w:rsidRPr="00282AC9">
        <w:rPr>
          <w:rFonts w:ascii="Times New Roman" w:hAnsi="Times New Roman"/>
          <w:sz w:val="27"/>
          <w:rtl/>
          <w:lang w:bidi="ar-MA"/>
        </w:rPr>
        <w:t>أن اللفظ هو العمدة في استنباط الأحكام الشرعي</w:t>
      </w:r>
      <w:r w:rsidR="00B77DB5" w:rsidRPr="00282AC9">
        <w:rPr>
          <w:rFonts w:ascii="Times New Roman" w:hAnsi="Times New Roman" w:hint="cs"/>
          <w:sz w:val="27"/>
          <w:rtl/>
          <w:lang w:bidi="ar-MA"/>
        </w:rPr>
        <w:t>ّ</w:t>
      </w:r>
      <w:r w:rsidRPr="00282AC9">
        <w:rPr>
          <w:rFonts w:ascii="Times New Roman" w:hAnsi="Times New Roman"/>
          <w:sz w:val="27"/>
          <w:rtl/>
          <w:lang w:bidi="ar-MA"/>
        </w:rPr>
        <w:t>ة</w:t>
      </w:r>
      <w:r w:rsidR="00B77DB5" w:rsidRPr="00282AC9">
        <w:rPr>
          <w:rFonts w:ascii="Times New Roman" w:hAnsi="Times New Roman" w:hint="cs"/>
          <w:sz w:val="27"/>
          <w:rtl/>
          <w:lang w:bidi="ar-MA"/>
        </w:rPr>
        <w:t>،</w:t>
      </w:r>
      <w:r w:rsidRPr="00282AC9">
        <w:rPr>
          <w:rFonts w:ascii="Times New Roman" w:hAnsi="Times New Roman"/>
          <w:sz w:val="27"/>
          <w:rtl/>
          <w:lang w:bidi="ar-MA"/>
        </w:rPr>
        <w:t xml:space="preserve"> فتتبعوه مفرد</w:t>
      </w:r>
      <w:r w:rsidRPr="00282AC9">
        <w:rPr>
          <w:rFonts w:ascii="Times New Roman" w:hAnsi="Times New Roman" w:hint="cs"/>
          <w:sz w:val="27"/>
          <w:rtl/>
          <w:lang w:bidi="ar-MA"/>
        </w:rPr>
        <w:t>اً</w:t>
      </w:r>
      <w:r w:rsidRPr="00282AC9">
        <w:rPr>
          <w:rFonts w:ascii="Times New Roman" w:hAnsi="Times New Roman"/>
          <w:sz w:val="27"/>
          <w:rtl/>
          <w:lang w:bidi="ar-MA"/>
        </w:rPr>
        <w:t xml:space="preserve"> ومرك</w:t>
      </w:r>
      <w:r w:rsidR="00B77DB5" w:rsidRPr="00282AC9">
        <w:rPr>
          <w:rFonts w:ascii="Times New Roman" w:hAnsi="Times New Roman" w:hint="cs"/>
          <w:sz w:val="27"/>
          <w:rtl/>
          <w:lang w:bidi="ar-MA"/>
        </w:rPr>
        <w:t>ّ</w:t>
      </w:r>
      <w:r w:rsidRPr="00282AC9">
        <w:rPr>
          <w:rFonts w:ascii="Times New Roman" w:hAnsi="Times New Roman"/>
          <w:sz w:val="27"/>
          <w:rtl/>
          <w:lang w:bidi="ar-MA"/>
        </w:rPr>
        <w:t>ب</w:t>
      </w:r>
      <w:r w:rsidRPr="00282AC9">
        <w:rPr>
          <w:rFonts w:ascii="Times New Roman" w:hAnsi="Times New Roman" w:hint="cs"/>
          <w:sz w:val="27"/>
          <w:rtl/>
          <w:lang w:bidi="ar-MA"/>
        </w:rPr>
        <w:t xml:space="preserve">اً، </w:t>
      </w:r>
      <w:r w:rsidRPr="00282AC9">
        <w:rPr>
          <w:rFonts w:ascii="Times New Roman" w:hAnsi="Times New Roman"/>
          <w:sz w:val="27"/>
          <w:rtl/>
          <w:lang w:bidi="ar-MA"/>
        </w:rPr>
        <w:t>خاص</w:t>
      </w:r>
      <w:r w:rsidR="00B77DB5" w:rsidRPr="00282AC9">
        <w:rPr>
          <w:rFonts w:ascii="Times New Roman" w:hAnsi="Times New Roman" w:hint="cs"/>
          <w:sz w:val="27"/>
          <w:rtl/>
          <w:lang w:bidi="ar-MA"/>
        </w:rPr>
        <w:t>ّ</w:t>
      </w:r>
      <w:r w:rsidRPr="00282AC9">
        <w:rPr>
          <w:rFonts w:ascii="Times New Roman" w:hAnsi="Times New Roman" w:hint="cs"/>
          <w:sz w:val="27"/>
          <w:rtl/>
          <w:lang w:bidi="ar-MA"/>
        </w:rPr>
        <w:t>اً</w:t>
      </w:r>
      <w:r w:rsidRPr="00282AC9">
        <w:rPr>
          <w:rFonts w:ascii="Times New Roman" w:hAnsi="Times New Roman"/>
          <w:sz w:val="27"/>
          <w:rtl/>
          <w:lang w:bidi="ar-MA"/>
        </w:rPr>
        <w:t xml:space="preserve"> وعام</w:t>
      </w:r>
      <w:r w:rsidR="00B77DB5" w:rsidRPr="00282AC9">
        <w:rPr>
          <w:rFonts w:ascii="Times New Roman" w:hAnsi="Times New Roman" w:hint="cs"/>
          <w:sz w:val="27"/>
          <w:rtl/>
          <w:lang w:bidi="ar-MA"/>
        </w:rPr>
        <w:t>ّ</w:t>
      </w:r>
      <w:r w:rsidRPr="00282AC9">
        <w:rPr>
          <w:rFonts w:ascii="Times New Roman" w:hAnsi="Times New Roman" w:hint="cs"/>
          <w:sz w:val="27"/>
          <w:rtl/>
          <w:lang w:bidi="ar-MA"/>
        </w:rPr>
        <w:t xml:space="preserve">اً، </w:t>
      </w:r>
      <w:r w:rsidRPr="00282AC9">
        <w:rPr>
          <w:rFonts w:ascii="Times New Roman" w:hAnsi="Times New Roman"/>
          <w:sz w:val="27"/>
          <w:rtl/>
          <w:lang w:bidi="ar-MA"/>
        </w:rPr>
        <w:t>مطلق</w:t>
      </w:r>
      <w:r w:rsidRPr="00282AC9">
        <w:rPr>
          <w:rFonts w:ascii="Times New Roman" w:hAnsi="Times New Roman" w:hint="cs"/>
          <w:sz w:val="27"/>
          <w:rtl/>
          <w:lang w:bidi="ar-MA"/>
        </w:rPr>
        <w:t>اً</w:t>
      </w:r>
      <w:r w:rsidRPr="00282AC9">
        <w:rPr>
          <w:rFonts w:ascii="Times New Roman" w:hAnsi="Times New Roman"/>
          <w:sz w:val="27"/>
          <w:rtl/>
          <w:lang w:bidi="ar-MA"/>
        </w:rPr>
        <w:t xml:space="preserve"> ومقي</w:t>
      </w:r>
      <w:r w:rsidR="00B77DB5" w:rsidRPr="00282AC9">
        <w:rPr>
          <w:rFonts w:ascii="Times New Roman" w:hAnsi="Times New Roman" w:hint="cs"/>
          <w:sz w:val="27"/>
          <w:rtl/>
          <w:lang w:bidi="ar-MA"/>
        </w:rPr>
        <w:t>ّ</w:t>
      </w:r>
      <w:r w:rsidRPr="00282AC9">
        <w:rPr>
          <w:rFonts w:ascii="Times New Roman" w:hAnsi="Times New Roman"/>
          <w:sz w:val="27"/>
          <w:rtl/>
          <w:lang w:bidi="ar-MA"/>
        </w:rPr>
        <w:t>د</w:t>
      </w:r>
      <w:r w:rsidRPr="00282AC9">
        <w:rPr>
          <w:rFonts w:ascii="Times New Roman" w:hAnsi="Times New Roman" w:hint="cs"/>
          <w:sz w:val="27"/>
          <w:rtl/>
          <w:lang w:bidi="ar-MA"/>
        </w:rPr>
        <w:t xml:space="preserve">اً، </w:t>
      </w:r>
      <w:r w:rsidRPr="00282AC9">
        <w:rPr>
          <w:rFonts w:ascii="Times New Roman" w:hAnsi="Times New Roman"/>
          <w:sz w:val="27"/>
          <w:rtl/>
          <w:lang w:bidi="ar-MA"/>
        </w:rPr>
        <w:t>حقيقة</w:t>
      </w:r>
      <w:r w:rsidRPr="00282AC9">
        <w:rPr>
          <w:rFonts w:ascii="Times New Roman" w:hAnsi="Times New Roman" w:hint="cs"/>
          <w:sz w:val="27"/>
          <w:rtl/>
          <w:lang w:bidi="ar-MA"/>
        </w:rPr>
        <w:t>ً</w:t>
      </w:r>
      <w:r w:rsidRPr="00282AC9">
        <w:rPr>
          <w:rFonts w:ascii="Times New Roman" w:hAnsi="Times New Roman"/>
          <w:sz w:val="27"/>
          <w:rtl/>
          <w:lang w:bidi="ar-MA"/>
        </w:rPr>
        <w:t xml:space="preserve"> ومجاز</w:t>
      </w:r>
      <w:r w:rsidRPr="00282AC9">
        <w:rPr>
          <w:rFonts w:ascii="Times New Roman" w:hAnsi="Times New Roman" w:hint="cs"/>
          <w:sz w:val="27"/>
          <w:rtl/>
          <w:lang w:bidi="ar-MA"/>
        </w:rPr>
        <w:t>اً</w:t>
      </w:r>
      <w:r w:rsidRPr="00282AC9">
        <w:rPr>
          <w:rFonts w:ascii="Times New Roman" w:hAnsi="Times New Roman"/>
          <w:sz w:val="27"/>
          <w:rtl/>
          <w:lang w:bidi="ar-MA"/>
        </w:rPr>
        <w:t>، وفص</w:t>
      </w:r>
      <w:r w:rsidR="00B77DB5" w:rsidRPr="00282AC9">
        <w:rPr>
          <w:rFonts w:ascii="Times New Roman" w:hAnsi="Times New Roman" w:hint="cs"/>
          <w:sz w:val="27"/>
          <w:rtl/>
          <w:lang w:bidi="ar-MA"/>
        </w:rPr>
        <w:t>َّ</w:t>
      </w:r>
      <w:r w:rsidRPr="00282AC9">
        <w:rPr>
          <w:rFonts w:ascii="Times New Roman" w:hAnsi="Times New Roman"/>
          <w:sz w:val="27"/>
          <w:rtl/>
          <w:lang w:bidi="ar-MA"/>
        </w:rPr>
        <w:t>لوا القول في علاقته بالمعنى</w:t>
      </w:r>
      <w:r w:rsidRPr="00282AC9">
        <w:rPr>
          <w:rFonts w:ascii="Times New Roman" w:hAnsi="Times New Roman" w:hint="cs"/>
          <w:sz w:val="27"/>
          <w:rtl/>
          <w:lang w:bidi="ar-MA"/>
        </w:rPr>
        <w:t xml:space="preserve">، </w:t>
      </w:r>
      <w:r w:rsidRPr="00282AC9">
        <w:rPr>
          <w:rFonts w:ascii="Times New Roman" w:hAnsi="Times New Roman"/>
          <w:sz w:val="27"/>
          <w:rtl/>
          <w:lang w:bidi="ar-MA"/>
        </w:rPr>
        <w:t>ومراتب هذا المعنى</w:t>
      </w:r>
      <w:r w:rsidR="00B77DB5" w:rsidRPr="00282AC9">
        <w:rPr>
          <w:rFonts w:ascii="Times New Roman" w:hAnsi="Times New Roman" w:hint="cs"/>
          <w:sz w:val="27"/>
          <w:rtl/>
          <w:lang w:bidi="ar-MA"/>
        </w:rPr>
        <w:t>.</w:t>
      </w:r>
      <w:r w:rsidRPr="00282AC9">
        <w:rPr>
          <w:rFonts w:ascii="Times New Roman" w:hAnsi="Times New Roman"/>
          <w:sz w:val="27"/>
          <w:rtl/>
          <w:lang w:bidi="ar-MA"/>
        </w:rPr>
        <w:t xml:space="preserve"> كما بحثوا مدى تأثير السياق والقرائن في توجيه المعنى</w:t>
      </w:r>
      <w:r w:rsidRPr="00282AC9">
        <w:rPr>
          <w:rFonts w:ascii="Times New Roman" w:hAnsi="Times New Roman" w:hint="cs"/>
          <w:sz w:val="27"/>
          <w:rtl/>
          <w:lang w:bidi="ar-MA"/>
        </w:rPr>
        <w:t xml:space="preserve">، </w:t>
      </w:r>
      <w:r w:rsidRPr="00282AC9">
        <w:rPr>
          <w:rFonts w:ascii="Times New Roman" w:hAnsi="Times New Roman"/>
          <w:sz w:val="27"/>
          <w:rtl/>
          <w:lang w:bidi="ar-MA"/>
        </w:rPr>
        <w:t>فثنائي</w:t>
      </w:r>
      <w:r w:rsidR="00D54428" w:rsidRPr="00282AC9">
        <w:rPr>
          <w:rFonts w:ascii="Times New Roman" w:hAnsi="Times New Roman" w:hint="cs"/>
          <w:sz w:val="27"/>
          <w:rtl/>
          <w:lang w:bidi="ar-MA"/>
        </w:rPr>
        <w:t>ّ</w:t>
      </w:r>
      <w:r w:rsidRPr="00282AC9">
        <w:rPr>
          <w:rFonts w:ascii="Times New Roman" w:hAnsi="Times New Roman"/>
          <w:sz w:val="27"/>
          <w:rtl/>
          <w:lang w:bidi="ar-MA"/>
        </w:rPr>
        <w:t>ة اللفظ والمعنى شك</w:t>
      </w:r>
      <w:r w:rsidR="00B77DB5" w:rsidRPr="00282AC9">
        <w:rPr>
          <w:rFonts w:ascii="Times New Roman" w:hAnsi="Times New Roman" w:hint="cs"/>
          <w:sz w:val="27"/>
          <w:rtl/>
          <w:lang w:bidi="ar-MA"/>
        </w:rPr>
        <w:t>َّ</w:t>
      </w:r>
      <w:r w:rsidRPr="00282AC9">
        <w:rPr>
          <w:rFonts w:ascii="Times New Roman" w:hAnsi="Times New Roman"/>
          <w:sz w:val="27"/>
          <w:rtl/>
          <w:lang w:bidi="ar-MA"/>
        </w:rPr>
        <w:t>لت سلطة</w:t>
      </w:r>
      <w:r w:rsidR="00B77DB5" w:rsidRPr="00282AC9">
        <w:rPr>
          <w:rFonts w:ascii="Times New Roman" w:hAnsi="Times New Roman" w:hint="cs"/>
          <w:sz w:val="27"/>
          <w:rtl/>
          <w:lang w:bidi="ar-MA"/>
        </w:rPr>
        <w:t>ً</w:t>
      </w:r>
      <w:r w:rsidRPr="00282AC9">
        <w:rPr>
          <w:rFonts w:ascii="Times New Roman" w:hAnsi="Times New Roman"/>
          <w:sz w:val="27"/>
          <w:rtl/>
          <w:lang w:bidi="ar-MA"/>
        </w:rPr>
        <w:t xml:space="preserve"> معرفي</w:t>
      </w:r>
      <w:r w:rsidR="00D54428" w:rsidRPr="00282AC9">
        <w:rPr>
          <w:rFonts w:ascii="Times New Roman" w:hAnsi="Times New Roman" w:hint="cs"/>
          <w:sz w:val="27"/>
          <w:rtl/>
          <w:lang w:bidi="ar-MA"/>
        </w:rPr>
        <w:t>ّ</w:t>
      </w:r>
      <w:r w:rsidRPr="00282AC9">
        <w:rPr>
          <w:rFonts w:ascii="Times New Roman" w:hAnsi="Times New Roman"/>
          <w:sz w:val="27"/>
          <w:rtl/>
          <w:lang w:bidi="ar-MA"/>
        </w:rPr>
        <w:t>ة، حاضرة</w:t>
      </w:r>
      <w:r w:rsidR="00B77DB5" w:rsidRPr="00282AC9">
        <w:rPr>
          <w:rFonts w:ascii="Times New Roman" w:hAnsi="Times New Roman" w:hint="cs"/>
          <w:sz w:val="27"/>
          <w:rtl/>
          <w:lang w:bidi="ar-MA"/>
        </w:rPr>
        <w:t>ً</w:t>
      </w:r>
      <w:r w:rsidRPr="00282AC9">
        <w:rPr>
          <w:rFonts w:ascii="Times New Roman" w:hAnsi="Times New Roman"/>
          <w:sz w:val="27"/>
          <w:rtl/>
          <w:lang w:bidi="ar-MA"/>
        </w:rPr>
        <w:t xml:space="preserve"> بقو</w:t>
      </w:r>
      <w:r w:rsidR="00B77DB5" w:rsidRPr="00282AC9">
        <w:rPr>
          <w:rFonts w:ascii="Times New Roman" w:hAnsi="Times New Roman" w:hint="cs"/>
          <w:sz w:val="27"/>
          <w:rtl/>
          <w:lang w:bidi="ar-MA"/>
        </w:rPr>
        <w:t>ّ</w:t>
      </w:r>
      <w:r w:rsidRPr="00282AC9">
        <w:rPr>
          <w:rFonts w:ascii="Times New Roman" w:hAnsi="Times New Roman"/>
          <w:sz w:val="27"/>
          <w:rtl/>
          <w:lang w:bidi="ar-MA"/>
        </w:rPr>
        <w:t>ة</w:t>
      </w:r>
      <w:r w:rsidR="00B77DB5" w:rsidRPr="00282AC9">
        <w:rPr>
          <w:rFonts w:ascii="Times New Roman" w:hAnsi="Times New Roman" w:hint="cs"/>
          <w:sz w:val="27"/>
          <w:rtl/>
          <w:lang w:bidi="ar-MA"/>
        </w:rPr>
        <w:t>ٍ</w:t>
      </w:r>
      <w:r w:rsidRPr="00282AC9">
        <w:rPr>
          <w:rFonts w:ascii="Times New Roman" w:hAnsi="Times New Roman"/>
          <w:sz w:val="27"/>
          <w:rtl/>
          <w:lang w:bidi="ar-MA"/>
        </w:rPr>
        <w:t xml:space="preserve"> في الدرس الأصولي</w:t>
      </w:r>
      <w:r w:rsidR="00B77DB5" w:rsidRPr="00282AC9">
        <w:rPr>
          <w:rFonts w:ascii="Times New Roman" w:hAnsi="Times New Roman" w:hint="cs"/>
          <w:sz w:val="27"/>
          <w:rtl/>
          <w:lang w:bidi="ar-MA"/>
        </w:rPr>
        <w:t>،</w:t>
      </w:r>
      <w:r w:rsidRPr="00282AC9">
        <w:rPr>
          <w:rFonts w:ascii="Times New Roman" w:hAnsi="Times New Roman"/>
          <w:sz w:val="27"/>
          <w:rtl/>
          <w:lang w:bidi="ar-MA"/>
        </w:rPr>
        <w:t xml:space="preserve"> بجميع مدارسه واتجاهاته، بحيث اعتنى بهذه الثنائية جميع الأصولي</w:t>
      </w:r>
      <w:r w:rsidR="00B77DB5" w:rsidRPr="00282AC9">
        <w:rPr>
          <w:rFonts w:ascii="Times New Roman" w:hAnsi="Times New Roman" w:hint="cs"/>
          <w:sz w:val="27"/>
          <w:rtl/>
          <w:lang w:bidi="ar-MA"/>
        </w:rPr>
        <w:t>ّ</w:t>
      </w:r>
      <w:r w:rsidRPr="00282AC9">
        <w:rPr>
          <w:rFonts w:ascii="Times New Roman" w:hAnsi="Times New Roman"/>
          <w:sz w:val="27"/>
          <w:rtl/>
          <w:lang w:bidi="ar-MA"/>
        </w:rPr>
        <w:t>ين</w:t>
      </w:r>
      <w:r w:rsidR="00B77DB5" w:rsidRPr="00282AC9">
        <w:rPr>
          <w:rFonts w:ascii="Times New Roman" w:hAnsi="Times New Roman" w:hint="cs"/>
          <w:sz w:val="27"/>
          <w:rtl/>
          <w:lang w:bidi="ar-MA"/>
        </w:rPr>
        <w:t>،</w:t>
      </w:r>
      <w:r w:rsidRPr="00282AC9">
        <w:rPr>
          <w:rFonts w:ascii="Times New Roman" w:hAnsi="Times New Roman"/>
          <w:sz w:val="27"/>
          <w:rtl/>
          <w:lang w:bidi="ar-MA"/>
        </w:rPr>
        <w:t xml:space="preserve"> على اختلاف مدارسهم وات</w:t>
      </w:r>
      <w:r w:rsidR="00D54428" w:rsidRPr="00282AC9">
        <w:rPr>
          <w:rFonts w:ascii="Times New Roman" w:hAnsi="Times New Roman" w:hint="cs"/>
          <w:sz w:val="27"/>
          <w:rtl/>
          <w:lang w:bidi="ar-MA"/>
        </w:rPr>
        <w:t>ّ</w:t>
      </w:r>
      <w:r w:rsidRPr="00282AC9">
        <w:rPr>
          <w:rFonts w:ascii="Times New Roman" w:hAnsi="Times New Roman"/>
          <w:sz w:val="27"/>
          <w:rtl/>
          <w:lang w:bidi="ar-MA"/>
        </w:rPr>
        <w:t>جاهاتهم المذهبية</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29"/>
      </w:r>
      <w:r w:rsidRPr="00282AC9">
        <w:rPr>
          <w:rFonts w:ascii="Times New Roman" w:hAnsi="Times New Roman"/>
          <w:sz w:val="27"/>
          <w:vertAlign w:val="superscript"/>
          <w:rtl/>
          <w:lang w:bidi="ar-MA"/>
        </w:rPr>
        <w:t>)</w:t>
      </w:r>
      <w:r w:rsidR="00D54428"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وقد كانت لهم في مدارسة اللفظ اجتهادات</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قي</w:t>
      </w:r>
      <w:r w:rsidR="00D54428" w:rsidRPr="00282AC9">
        <w:rPr>
          <w:rFonts w:ascii="Times New Roman" w:hAnsi="Times New Roman" w:hint="cs"/>
          <w:sz w:val="27"/>
          <w:rtl/>
          <w:lang w:bidi="ar-MA"/>
        </w:rPr>
        <w:t>ِّ</w:t>
      </w:r>
      <w:r w:rsidRPr="00282AC9">
        <w:rPr>
          <w:rFonts w:ascii="Times New Roman" w:hAnsi="Times New Roman"/>
          <w:sz w:val="27"/>
          <w:rtl/>
          <w:lang w:bidi="ar-MA"/>
        </w:rPr>
        <w:t>مة ونفيسة، بحيث كان يجمعهم في اشتغالهم بثنائي</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ة اللفظ والمعنى، </w:t>
      </w:r>
      <w:r w:rsidRPr="00282AC9">
        <w:rPr>
          <w:rFonts w:ascii="Times New Roman" w:hAnsi="Times New Roman" w:hint="cs"/>
          <w:sz w:val="27"/>
          <w:rtl/>
          <w:lang w:bidi="ar-MA"/>
        </w:rPr>
        <w:t>و</w:t>
      </w:r>
      <w:r w:rsidRPr="00282AC9">
        <w:rPr>
          <w:rFonts w:ascii="Times New Roman" w:hAnsi="Times New Roman"/>
          <w:sz w:val="27"/>
          <w:rtl/>
          <w:lang w:bidi="ar-MA"/>
        </w:rPr>
        <w:t>هم</w:t>
      </w:r>
      <w:r w:rsidRPr="00282AC9">
        <w:rPr>
          <w:rFonts w:ascii="Times New Roman" w:hAnsi="Times New Roman" w:hint="cs"/>
          <w:sz w:val="27"/>
          <w:rtl/>
          <w:lang w:bidi="ar-MA"/>
        </w:rPr>
        <w:t>ا</w:t>
      </w:r>
      <w:r w:rsidRPr="00282AC9">
        <w:rPr>
          <w:rFonts w:ascii="Times New Roman" w:hAnsi="Times New Roman"/>
          <w:sz w:val="27"/>
          <w:rtl/>
          <w:lang w:bidi="ar-MA"/>
        </w:rPr>
        <w:t xml:space="preserve"> مشترك</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واحد</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ascii="Times New Roman" w:hAnsi="Times New Roman" w:hint="cs"/>
          <w:sz w:val="27"/>
          <w:rtl/>
          <w:lang w:bidi="ar-MA"/>
        </w:rPr>
        <w:t>ل</w:t>
      </w:r>
      <w:r w:rsidRPr="00282AC9">
        <w:rPr>
          <w:rFonts w:ascii="Times New Roman" w:hAnsi="Times New Roman"/>
          <w:sz w:val="27"/>
          <w:rtl/>
          <w:lang w:bidi="ar-MA"/>
        </w:rPr>
        <w:t>استمداد المعنى من النص</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ascii="Times New Roman" w:hAnsi="Times New Roman"/>
          <w:sz w:val="27"/>
          <w:rtl/>
          <w:lang w:bidi="ar-MA"/>
        </w:rPr>
        <w:lastRenderedPageBreak/>
        <w:t>الشرعي</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ليكون هذا المعنى مقد</w:t>
      </w:r>
      <w:r w:rsidR="00D54428" w:rsidRPr="00282AC9">
        <w:rPr>
          <w:rFonts w:ascii="Times New Roman" w:hAnsi="Times New Roman" w:hint="cs"/>
          <w:sz w:val="27"/>
          <w:rtl/>
          <w:lang w:bidi="ar-MA"/>
        </w:rPr>
        <w:t>ّ</w:t>
      </w:r>
      <w:r w:rsidRPr="00282AC9">
        <w:rPr>
          <w:rFonts w:ascii="Times New Roman" w:hAnsi="Times New Roman"/>
          <w:sz w:val="27"/>
          <w:rtl/>
          <w:lang w:bidi="ar-MA"/>
        </w:rPr>
        <w:t>مة</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في استنباط وتحصيل الحكم الشرعي</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ومم</w:t>
      </w:r>
      <w:r w:rsidR="00D54428" w:rsidRPr="00282AC9">
        <w:rPr>
          <w:rFonts w:ascii="Times New Roman" w:hAnsi="Times New Roman" w:hint="cs"/>
          <w:sz w:val="27"/>
          <w:rtl/>
          <w:lang w:bidi="ar-MA"/>
        </w:rPr>
        <w:t>ّ</w:t>
      </w:r>
      <w:r w:rsidRPr="00282AC9">
        <w:rPr>
          <w:rFonts w:ascii="Times New Roman" w:hAnsi="Times New Roman" w:hint="cs"/>
          <w:sz w:val="27"/>
          <w:rtl/>
          <w:lang w:bidi="ar-MA"/>
        </w:rPr>
        <w:t>ا شد</w:t>
      </w:r>
      <w:r w:rsidR="00D54428" w:rsidRPr="00282AC9">
        <w:rPr>
          <w:rFonts w:ascii="Times New Roman" w:hAnsi="Times New Roman" w:hint="cs"/>
          <w:sz w:val="27"/>
          <w:rtl/>
          <w:lang w:bidi="ar-MA"/>
        </w:rPr>
        <w:t>ّ</w:t>
      </w:r>
      <w:r w:rsidRPr="00282AC9">
        <w:rPr>
          <w:rFonts w:ascii="Times New Roman" w:hAnsi="Times New Roman" w:hint="cs"/>
          <w:sz w:val="27"/>
          <w:rtl/>
          <w:lang w:bidi="ar-MA"/>
        </w:rPr>
        <w:t xml:space="preserve"> الأصولي</w:t>
      </w:r>
      <w:r w:rsidR="00D54428" w:rsidRPr="00282AC9">
        <w:rPr>
          <w:rFonts w:ascii="Times New Roman" w:hAnsi="Times New Roman" w:hint="cs"/>
          <w:sz w:val="27"/>
          <w:rtl/>
          <w:lang w:bidi="ar-MA"/>
        </w:rPr>
        <w:t>ّ</w:t>
      </w:r>
      <w:r w:rsidRPr="00282AC9">
        <w:rPr>
          <w:rFonts w:ascii="Times New Roman" w:hAnsi="Times New Roman" w:hint="cs"/>
          <w:sz w:val="27"/>
          <w:rtl/>
          <w:lang w:bidi="ar-MA"/>
        </w:rPr>
        <w:t>ين في اشتغالهم على اللفظ هو أن الأخطر في سوء الف</w:t>
      </w:r>
      <w:r w:rsidR="00D54428" w:rsidRPr="00282AC9">
        <w:rPr>
          <w:rFonts w:ascii="Times New Roman" w:hAnsi="Times New Roman" w:hint="cs"/>
          <w:sz w:val="27"/>
          <w:rtl/>
          <w:lang w:bidi="ar-MA"/>
        </w:rPr>
        <w:t>َ</w:t>
      </w:r>
      <w:r w:rsidRPr="00282AC9">
        <w:rPr>
          <w:rFonts w:ascii="Times New Roman" w:hAnsi="Times New Roman" w:hint="cs"/>
          <w:sz w:val="27"/>
          <w:rtl/>
          <w:lang w:bidi="ar-MA"/>
        </w:rPr>
        <w:t>ه</w:t>
      </w:r>
      <w:r w:rsidR="00D54428" w:rsidRPr="00282AC9">
        <w:rPr>
          <w:rFonts w:ascii="Times New Roman" w:hAnsi="Times New Roman" w:hint="cs"/>
          <w:sz w:val="27"/>
          <w:rtl/>
          <w:lang w:bidi="ar-MA"/>
        </w:rPr>
        <w:t>ْ</w:t>
      </w:r>
      <w:r w:rsidRPr="00282AC9">
        <w:rPr>
          <w:rFonts w:ascii="Times New Roman" w:hAnsi="Times New Roman" w:hint="cs"/>
          <w:sz w:val="27"/>
          <w:rtl/>
          <w:lang w:bidi="ar-MA"/>
        </w:rPr>
        <w:t>م للنص</w:t>
      </w:r>
      <w:r w:rsidR="00D54428" w:rsidRPr="00282AC9">
        <w:rPr>
          <w:rFonts w:ascii="Times New Roman" w:hAnsi="Times New Roman" w:hint="cs"/>
          <w:sz w:val="27"/>
          <w:rtl/>
          <w:lang w:bidi="ar-MA"/>
        </w:rPr>
        <w:t>ّ</w:t>
      </w:r>
      <w:r w:rsidRPr="00282AC9">
        <w:rPr>
          <w:rFonts w:ascii="Times New Roman" w:hAnsi="Times New Roman" w:hint="cs"/>
          <w:sz w:val="27"/>
          <w:rtl/>
          <w:lang w:bidi="ar-MA"/>
        </w:rPr>
        <w:t xml:space="preserve"> بصفة</w:t>
      </w:r>
      <w:r w:rsidR="00D54428" w:rsidRPr="00282AC9">
        <w:rPr>
          <w:rFonts w:ascii="Times New Roman" w:hAnsi="Times New Roman" w:hint="cs"/>
          <w:sz w:val="27"/>
          <w:rtl/>
          <w:lang w:bidi="ar-MA"/>
        </w:rPr>
        <w:t>ٍ</w:t>
      </w:r>
      <w:r w:rsidRPr="00282AC9">
        <w:rPr>
          <w:rFonts w:ascii="Times New Roman" w:hAnsi="Times New Roman" w:hint="cs"/>
          <w:sz w:val="27"/>
          <w:rtl/>
          <w:lang w:bidi="ar-MA"/>
        </w:rPr>
        <w:t xml:space="preserve"> عام</w:t>
      </w:r>
      <w:r w:rsidR="00D54428" w:rsidRPr="00282AC9">
        <w:rPr>
          <w:rFonts w:ascii="Times New Roman" w:hAnsi="Times New Roman" w:hint="cs"/>
          <w:sz w:val="27"/>
          <w:rtl/>
          <w:lang w:bidi="ar-MA"/>
        </w:rPr>
        <w:t>ّ</w:t>
      </w:r>
      <w:r w:rsidRPr="00282AC9">
        <w:rPr>
          <w:rFonts w:ascii="Times New Roman" w:hAnsi="Times New Roman" w:hint="cs"/>
          <w:sz w:val="27"/>
          <w:rtl/>
          <w:lang w:bidi="ar-MA"/>
        </w:rPr>
        <w:t>ة هو عدم التحق</w:t>
      </w:r>
      <w:r w:rsidR="00D54428" w:rsidRPr="00282AC9">
        <w:rPr>
          <w:rFonts w:ascii="Times New Roman" w:hAnsi="Times New Roman" w:hint="cs"/>
          <w:sz w:val="27"/>
          <w:rtl/>
          <w:lang w:bidi="ar-MA"/>
        </w:rPr>
        <w:t>ُّ</w:t>
      </w:r>
      <w:r w:rsidRPr="00282AC9">
        <w:rPr>
          <w:rFonts w:ascii="Times New Roman" w:hAnsi="Times New Roman" w:hint="cs"/>
          <w:sz w:val="27"/>
          <w:rtl/>
          <w:lang w:bidi="ar-MA"/>
        </w:rPr>
        <w:t>ق من الألفاظ المرك</w:t>
      </w:r>
      <w:r w:rsidR="00D54428" w:rsidRPr="00282AC9">
        <w:rPr>
          <w:rFonts w:ascii="Times New Roman" w:hAnsi="Times New Roman" w:hint="cs"/>
          <w:sz w:val="27"/>
          <w:rtl/>
          <w:lang w:bidi="ar-MA"/>
        </w:rPr>
        <w:t>ّ</w:t>
      </w:r>
      <w:r w:rsidRPr="00282AC9">
        <w:rPr>
          <w:rFonts w:ascii="Times New Roman" w:hAnsi="Times New Roman" w:hint="cs"/>
          <w:sz w:val="27"/>
          <w:rtl/>
          <w:lang w:bidi="ar-MA"/>
        </w:rPr>
        <w:t>بة لذلك النص</w:t>
      </w:r>
      <w:r w:rsidR="00D54428" w:rsidRPr="00282AC9">
        <w:rPr>
          <w:rFonts w:ascii="Times New Roman" w:hAnsi="Times New Roman" w:hint="cs"/>
          <w:sz w:val="27"/>
          <w:rtl/>
          <w:lang w:bidi="ar-MA"/>
        </w:rPr>
        <w:t>ّ</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 xml:space="preserve">ومن مبادئهم في هذا الباب أن الأصل في تداول اللفظ هو تحقيق البيان </w:t>
      </w:r>
      <w:r w:rsidRPr="00282AC9">
        <w:rPr>
          <w:rFonts w:ascii="Times New Roman" w:hAnsi="Times New Roman" w:hint="cs"/>
          <w:sz w:val="27"/>
          <w:rtl/>
          <w:lang w:bidi="ar-MA"/>
        </w:rPr>
        <w:t>والف</w:t>
      </w:r>
      <w:r w:rsidR="00D54428" w:rsidRPr="00282AC9">
        <w:rPr>
          <w:rFonts w:ascii="Times New Roman" w:hAnsi="Times New Roman" w:hint="cs"/>
          <w:sz w:val="27"/>
          <w:rtl/>
          <w:lang w:bidi="ar-MA"/>
        </w:rPr>
        <w:t>َ</w:t>
      </w:r>
      <w:r w:rsidRPr="00282AC9">
        <w:rPr>
          <w:rFonts w:ascii="Times New Roman" w:hAnsi="Times New Roman" w:hint="cs"/>
          <w:sz w:val="27"/>
          <w:rtl/>
          <w:lang w:bidi="ar-MA"/>
        </w:rPr>
        <w:t>ه</w:t>
      </w:r>
      <w:r w:rsidR="00D54428" w:rsidRPr="00282AC9">
        <w:rPr>
          <w:rFonts w:ascii="Times New Roman" w:hAnsi="Times New Roman" w:hint="cs"/>
          <w:sz w:val="27"/>
          <w:rtl/>
          <w:lang w:bidi="ar-MA"/>
        </w:rPr>
        <w:t>ْ</w:t>
      </w:r>
      <w:r w:rsidRPr="00282AC9">
        <w:rPr>
          <w:rFonts w:ascii="Times New Roman" w:hAnsi="Times New Roman" w:hint="cs"/>
          <w:sz w:val="27"/>
          <w:rtl/>
          <w:lang w:bidi="ar-MA"/>
        </w:rPr>
        <w:t>م</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0"/>
      </w:r>
      <w:r w:rsidRPr="00282AC9">
        <w:rPr>
          <w:rFonts w:ascii="Times New Roman" w:hAnsi="Times New Roman"/>
          <w:sz w:val="27"/>
          <w:vertAlign w:val="superscript"/>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w:t>
      </w:r>
      <w:r w:rsidRPr="00282AC9">
        <w:rPr>
          <w:rFonts w:ascii="Times New Roman" w:hAnsi="Times New Roman" w:hint="cs"/>
          <w:sz w:val="27"/>
          <w:rtl/>
          <w:lang w:bidi="ar-MA"/>
        </w:rPr>
        <w:t>أ</w:t>
      </w:r>
      <w:r w:rsidRPr="00282AC9">
        <w:rPr>
          <w:rFonts w:ascii="Times New Roman" w:hAnsi="Times New Roman"/>
          <w:sz w:val="27"/>
          <w:rtl/>
          <w:lang w:bidi="ar-MA"/>
        </w:rPr>
        <w:t xml:space="preserve">ن </w:t>
      </w:r>
      <w:r w:rsidRPr="00282AC9">
        <w:rPr>
          <w:rFonts w:hint="eastAsia"/>
          <w:sz w:val="24"/>
          <w:szCs w:val="24"/>
          <w:rtl/>
          <w:lang w:bidi="ar-MA"/>
        </w:rPr>
        <w:t>«</w:t>
      </w:r>
      <w:r w:rsidRPr="00282AC9">
        <w:rPr>
          <w:rFonts w:ascii="Times New Roman" w:hAnsi="Times New Roman"/>
          <w:sz w:val="27"/>
          <w:rtl/>
          <w:lang w:bidi="ar-MA"/>
        </w:rPr>
        <w:t>لكل</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اسم</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مسم</w:t>
      </w:r>
      <w:r w:rsidR="00D54428" w:rsidRPr="00282AC9">
        <w:rPr>
          <w:rFonts w:ascii="Times New Roman" w:hAnsi="Times New Roman" w:hint="cs"/>
          <w:sz w:val="27"/>
          <w:rtl/>
          <w:lang w:bidi="ar-MA"/>
        </w:rPr>
        <w:t>ّ</w:t>
      </w:r>
      <w:r w:rsidRPr="00282AC9">
        <w:rPr>
          <w:rFonts w:ascii="Times New Roman" w:hAnsi="Times New Roman"/>
          <w:sz w:val="27"/>
          <w:rtl/>
          <w:lang w:bidi="ar-MA"/>
        </w:rPr>
        <w:t>ى</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يختص</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به</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ويتبين به المراد</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ليقع به التفاهم والبيان، ولو لم يكن ذلك لما كان تفاهم</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ascii="Times New Roman" w:hAnsi="Times New Roman" w:hint="cs"/>
          <w:sz w:val="27"/>
          <w:rtl/>
          <w:lang w:bidi="ar-MA"/>
        </w:rPr>
        <w:t>أ</w:t>
      </w:r>
      <w:r w:rsidRPr="00282AC9">
        <w:rPr>
          <w:rFonts w:ascii="Times New Roman" w:hAnsi="Times New Roman"/>
          <w:sz w:val="27"/>
          <w:rtl/>
          <w:lang w:bidi="ar-MA"/>
        </w:rPr>
        <w:t>بد</w:t>
      </w:r>
      <w:r w:rsidRPr="00282AC9">
        <w:rPr>
          <w:rFonts w:ascii="Times New Roman" w:hAnsi="Times New Roman" w:hint="cs"/>
          <w:sz w:val="27"/>
          <w:rtl/>
          <w:lang w:bidi="ar-MA"/>
        </w:rPr>
        <w:t>اً</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ولبطل خطاب الله تعالى لنا</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1"/>
      </w:r>
      <w:r w:rsidRPr="00282AC9">
        <w:rPr>
          <w:rFonts w:ascii="Times New Roman" w:hAnsi="Times New Roman"/>
          <w:sz w:val="27"/>
          <w:vertAlign w:val="superscript"/>
          <w:rtl/>
          <w:lang w:bidi="ar-MA"/>
        </w:rPr>
        <w:t>)</w:t>
      </w:r>
      <w:r w:rsidR="00D54428" w:rsidRPr="00282AC9">
        <w:rPr>
          <w:rFonts w:ascii="Times New Roman" w:hAnsi="Times New Roman" w:hint="cs"/>
          <w:sz w:val="27"/>
          <w:rtl/>
          <w:lang w:bidi="ar-MA"/>
        </w:rPr>
        <w:t>.</w:t>
      </w:r>
      <w:r w:rsidRPr="00282AC9">
        <w:rPr>
          <w:rFonts w:ascii="Times New Roman" w:hAnsi="Times New Roman" w:hint="cs"/>
          <w:sz w:val="27"/>
          <w:rtl/>
          <w:lang w:bidi="ar-MA"/>
        </w:rPr>
        <w:t xml:space="preserve"> و</w:t>
      </w:r>
      <w:r w:rsidRPr="00282AC9">
        <w:rPr>
          <w:rFonts w:ascii="Times New Roman" w:hAnsi="Times New Roman"/>
          <w:sz w:val="27"/>
          <w:rtl/>
          <w:lang w:bidi="ar-MA"/>
        </w:rPr>
        <w:t>هذا الحضور للبحث اللغوي</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والدلالي</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في الدرس الأصولي</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هو ما يجعلنا ندرك أن علم أصول الفقه</w:t>
      </w:r>
      <w:r w:rsidRPr="00282AC9">
        <w:rPr>
          <w:rFonts w:ascii="Times New Roman" w:hAnsi="Times New Roman" w:hint="cs"/>
          <w:sz w:val="27"/>
          <w:rtl/>
          <w:lang w:bidi="ar-MA"/>
        </w:rPr>
        <w:t xml:space="preserve"> </w:t>
      </w:r>
      <w:r w:rsidRPr="00282AC9">
        <w:rPr>
          <w:rFonts w:ascii="Times New Roman" w:hAnsi="Times New Roman"/>
          <w:sz w:val="27"/>
          <w:rtl/>
          <w:lang w:bidi="ar-MA"/>
        </w:rPr>
        <w:t>هو في أصله بحث</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في دلالة اللفظ في النص</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الشرعي</w:t>
      </w:r>
      <w:r w:rsidR="00D54428" w:rsidRPr="00282AC9">
        <w:rPr>
          <w:rFonts w:ascii="Times New Roman" w:hAnsi="Times New Roman" w:hint="cs"/>
          <w:sz w:val="27"/>
          <w:rtl/>
          <w:lang w:bidi="ar-MA"/>
        </w:rPr>
        <w:t>ّ؛</w:t>
      </w:r>
      <w:r w:rsidRPr="00282AC9">
        <w:rPr>
          <w:rFonts w:ascii="Times New Roman" w:hAnsi="Times New Roman"/>
          <w:sz w:val="27"/>
          <w:rtl/>
          <w:lang w:bidi="ar-MA"/>
        </w:rPr>
        <w:t xml:space="preserve"> من </w:t>
      </w:r>
      <w:r w:rsidRPr="00282AC9">
        <w:rPr>
          <w:rFonts w:ascii="Times New Roman" w:hAnsi="Times New Roman" w:hint="cs"/>
          <w:sz w:val="27"/>
          <w:rtl/>
          <w:lang w:bidi="ar-MA"/>
        </w:rPr>
        <w:t>أ</w:t>
      </w:r>
      <w:r w:rsidRPr="00282AC9">
        <w:rPr>
          <w:rFonts w:ascii="Times New Roman" w:hAnsi="Times New Roman"/>
          <w:sz w:val="27"/>
          <w:rtl/>
          <w:lang w:bidi="ar-MA"/>
        </w:rPr>
        <w:t>جل رسم الضوابط، وإرساء المعايير الحاكمة لفهم النص</w:t>
      </w:r>
      <w:r w:rsidR="00D54428" w:rsidRPr="00282AC9">
        <w:rPr>
          <w:rFonts w:ascii="Times New Roman" w:hAnsi="Times New Roman" w:hint="cs"/>
          <w:sz w:val="27"/>
          <w:rtl/>
          <w:lang w:bidi="ar-MA"/>
        </w:rPr>
        <w:t>ّ</w:t>
      </w:r>
      <w:r w:rsidRPr="00282AC9">
        <w:rPr>
          <w:rFonts w:ascii="Times New Roman" w:hAnsi="Times New Roman"/>
          <w:sz w:val="27"/>
          <w:rtl/>
          <w:lang w:bidi="ar-MA"/>
        </w:rPr>
        <w:t>، وتحصيل القواعد، وهو ما كان دافع</w:t>
      </w:r>
      <w:r w:rsidRPr="00282AC9">
        <w:rPr>
          <w:rFonts w:ascii="Times New Roman" w:hAnsi="Times New Roman" w:hint="cs"/>
          <w:sz w:val="27"/>
          <w:rtl/>
          <w:lang w:bidi="ar-MA"/>
        </w:rPr>
        <w:t>اً</w:t>
      </w:r>
      <w:r w:rsidRPr="00282AC9">
        <w:rPr>
          <w:rFonts w:ascii="Times New Roman" w:hAnsi="Times New Roman"/>
          <w:sz w:val="27"/>
          <w:rtl/>
          <w:lang w:bidi="ar-MA"/>
        </w:rPr>
        <w:t xml:space="preserve"> للأصولي</w:t>
      </w:r>
      <w:r w:rsidR="00D54428" w:rsidRPr="00282AC9">
        <w:rPr>
          <w:rFonts w:ascii="Times New Roman" w:hAnsi="Times New Roman" w:hint="cs"/>
          <w:sz w:val="27"/>
          <w:rtl/>
          <w:lang w:bidi="ar-MA"/>
        </w:rPr>
        <w:t>ّ</w:t>
      </w:r>
      <w:r w:rsidRPr="00282AC9">
        <w:rPr>
          <w:rFonts w:ascii="Times New Roman" w:hAnsi="Times New Roman"/>
          <w:sz w:val="27"/>
          <w:rtl/>
          <w:lang w:bidi="ar-MA"/>
        </w:rPr>
        <w:t>ين إلى استقراء جميع أنواع وأشكال العلاقات والأنساق التي تقوم بين اللفظ والمعنى في النص</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الشرعي</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2"/>
      </w:r>
      <w:r w:rsidRPr="00282AC9">
        <w:rPr>
          <w:rFonts w:ascii="Times New Roman" w:hAnsi="Times New Roman"/>
          <w:sz w:val="27"/>
          <w:vertAlign w:val="superscript"/>
          <w:rtl/>
          <w:lang w:bidi="ar-MA"/>
        </w:rPr>
        <w:t>)</w:t>
      </w:r>
      <w:r w:rsidRPr="00282AC9">
        <w:rPr>
          <w:rFonts w:ascii="Times New Roman" w:hAnsi="Times New Roman"/>
          <w:sz w:val="27"/>
          <w:rtl/>
          <w:lang w:bidi="ar-MA"/>
        </w:rPr>
        <w:t>.</w:t>
      </w:r>
    </w:p>
    <w:p w:rsidR="005E4999" w:rsidRPr="00282AC9" w:rsidRDefault="00D722E4" w:rsidP="00A20690">
      <w:pPr>
        <w:rPr>
          <w:rFonts w:ascii="Times New Roman" w:hAnsi="Times New Roman"/>
          <w:sz w:val="27"/>
          <w:rtl/>
          <w:lang w:bidi="ar-MA"/>
        </w:rPr>
      </w:pPr>
      <w:r w:rsidRPr="00282AC9">
        <w:rPr>
          <w:rFonts w:ascii="Times New Roman" w:hAnsi="Times New Roman"/>
          <w:sz w:val="27"/>
          <w:rtl/>
          <w:lang w:bidi="ar-MA"/>
        </w:rPr>
        <w:t>بل إن البحث عن المعنى الذي يحمله اللفظ في التركيب كان هو الأصل والقصد في عمل الأصوليين وهم يشت</w:t>
      </w:r>
      <w:r w:rsidR="007648AC" w:rsidRPr="00282AC9">
        <w:rPr>
          <w:rFonts w:ascii="Times New Roman" w:hAnsi="Times New Roman" w:hint="cs"/>
          <w:sz w:val="27"/>
          <w:rtl/>
          <w:lang w:bidi="ar-MA"/>
        </w:rPr>
        <w:t>غ</w:t>
      </w:r>
      <w:r w:rsidRPr="00282AC9">
        <w:rPr>
          <w:rFonts w:ascii="Times New Roman" w:hAnsi="Times New Roman"/>
          <w:sz w:val="27"/>
          <w:rtl/>
          <w:lang w:bidi="ar-MA"/>
        </w:rPr>
        <w:t>لون على اللغة، ويستحضرون مباحثها، ويناقشون قضاياها</w:t>
      </w:r>
      <w:r w:rsidR="007648A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وهذا ما صر</w:t>
      </w:r>
      <w:r w:rsidR="007648AC" w:rsidRPr="00282AC9">
        <w:rPr>
          <w:rFonts w:ascii="Times New Roman" w:hAnsi="Times New Roman" w:hint="cs"/>
          <w:sz w:val="27"/>
          <w:rtl/>
          <w:lang w:bidi="ar-MA"/>
        </w:rPr>
        <w:t>َّ</w:t>
      </w:r>
      <w:r w:rsidRPr="00282AC9">
        <w:rPr>
          <w:rFonts w:ascii="Times New Roman" w:hAnsi="Times New Roman"/>
          <w:sz w:val="27"/>
          <w:rtl/>
          <w:lang w:bidi="ar-MA"/>
        </w:rPr>
        <w:t>ح به الإمام الشاطبي عندما قال:</w:t>
      </w:r>
      <w:r w:rsidR="007648AC" w:rsidRPr="00282AC9">
        <w:rPr>
          <w:rFonts w:hint="cs"/>
          <w:sz w:val="24"/>
          <w:szCs w:val="24"/>
          <w:rtl/>
        </w:rPr>
        <w:t xml:space="preserve"> </w:t>
      </w:r>
      <w:r w:rsidR="007648AC" w:rsidRPr="00282AC9">
        <w:rPr>
          <w:rFonts w:hint="eastAsia"/>
          <w:sz w:val="24"/>
          <w:szCs w:val="24"/>
          <w:rtl/>
          <w:lang w:bidi="ar-MA"/>
        </w:rPr>
        <w:t>«</w:t>
      </w:r>
      <w:r w:rsidRPr="00282AC9">
        <w:rPr>
          <w:rFonts w:ascii="Times New Roman" w:hAnsi="Times New Roman"/>
          <w:sz w:val="27"/>
          <w:rtl/>
          <w:lang w:bidi="ar-MA"/>
        </w:rPr>
        <w:t>إن الاعتناء بالمعاني المبثوثة في الخطاب هو المقصود الأعظم</w:t>
      </w:r>
      <w:r w:rsidRPr="00282AC9">
        <w:rPr>
          <w:rFonts w:ascii="Times New Roman" w:hAnsi="Times New Roman" w:hint="cs"/>
          <w:sz w:val="27"/>
          <w:rtl/>
          <w:lang w:bidi="ar-MA"/>
        </w:rPr>
        <w:t xml:space="preserve">، </w:t>
      </w:r>
      <w:r w:rsidRPr="00282AC9">
        <w:rPr>
          <w:rFonts w:ascii="Times New Roman" w:hAnsi="Times New Roman"/>
          <w:sz w:val="27"/>
          <w:rtl/>
          <w:lang w:bidi="ar-MA"/>
        </w:rPr>
        <w:t>بناء</w:t>
      </w:r>
      <w:r w:rsidR="007648AC" w:rsidRPr="00282AC9">
        <w:rPr>
          <w:rFonts w:ascii="Times New Roman" w:hAnsi="Times New Roman" w:hint="cs"/>
          <w:sz w:val="27"/>
          <w:rtl/>
          <w:lang w:bidi="ar-MA"/>
        </w:rPr>
        <w:t>ً على</w:t>
      </w:r>
      <w:r w:rsidRPr="00282AC9">
        <w:rPr>
          <w:rFonts w:ascii="Times New Roman" w:hAnsi="Times New Roman"/>
          <w:sz w:val="27"/>
          <w:rtl/>
          <w:lang w:bidi="ar-MA"/>
        </w:rPr>
        <w:t xml:space="preserve"> أن العرب إنما كانت عنايتها بالمعاني</w:t>
      </w:r>
      <w:r w:rsidR="007648A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وهذا الأصل معلوم</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عند أهل العربية</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3"/>
      </w:r>
      <w:r w:rsidRPr="00282AC9">
        <w:rPr>
          <w:rFonts w:ascii="Times New Roman" w:hAnsi="Times New Roman"/>
          <w:sz w:val="27"/>
          <w:vertAlign w:val="superscript"/>
          <w:rtl/>
          <w:lang w:bidi="ar-MA"/>
        </w:rPr>
        <w:t>)</w:t>
      </w:r>
      <w:r w:rsidR="007648AC" w:rsidRPr="00282AC9">
        <w:rPr>
          <w:rFonts w:ascii="Times New Roman" w:hAnsi="Times New Roman" w:hint="cs"/>
          <w:sz w:val="27"/>
          <w:rtl/>
          <w:lang w:bidi="ar-MA"/>
        </w:rPr>
        <w:t>.</w:t>
      </w:r>
    </w:p>
    <w:p w:rsidR="005E4999" w:rsidRPr="00282AC9" w:rsidRDefault="00D722E4" w:rsidP="00A20690">
      <w:pPr>
        <w:rPr>
          <w:rFonts w:ascii="Times New Roman" w:hAnsi="Times New Roman"/>
          <w:sz w:val="27"/>
          <w:rtl/>
          <w:lang w:bidi="ar-MA"/>
        </w:rPr>
      </w:pPr>
      <w:r w:rsidRPr="00282AC9">
        <w:rPr>
          <w:rFonts w:ascii="Times New Roman" w:hAnsi="Times New Roman"/>
          <w:sz w:val="27"/>
          <w:rtl/>
          <w:lang w:bidi="ar-MA"/>
        </w:rPr>
        <w:t>فال</w:t>
      </w:r>
      <w:r w:rsidR="007648AC" w:rsidRPr="00282AC9">
        <w:rPr>
          <w:rFonts w:ascii="Times New Roman" w:hAnsi="Times New Roman" w:hint="cs"/>
          <w:sz w:val="27"/>
          <w:rtl/>
          <w:lang w:bidi="ar-MA"/>
        </w:rPr>
        <w:t>ل</w:t>
      </w:r>
      <w:r w:rsidRPr="00282AC9">
        <w:rPr>
          <w:rFonts w:ascii="Times New Roman" w:hAnsi="Times New Roman"/>
          <w:sz w:val="27"/>
          <w:rtl/>
          <w:lang w:bidi="ar-MA"/>
        </w:rPr>
        <w:t xml:space="preserve">فظ ما هو </w:t>
      </w:r>
      <w:r w:rsidRPr="00282AC9">
        <w:rPr>
          <w:rFonts w:ascii="Times New Roman" w:hAnsi="Times New Roman" w:hint="cs"/>
          <w:sz w:val="27"/>
          <w:rtl/>
          <w:lang w:bidi="ar-MA"/>
        </w:rPr>
        <w:t>إ</w:t>
      </w:r>
      <w:r w:rsidRPr="00282AC9">
        <w:rPr>
          <w:rFonts w:ascii="Times New Roman" w:hAnsi="Times New Roman"/>
          <w:sz w:val="27"/>
          <w:rtl/>
          <w:lang w:bidi="ar-MA"/>
        </w:rPr>
        <w:t>لا</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وسيلة</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لتحصيل المعنى من النص</w:t>
      </w:r>
      <w:r w:rsidR="007648AC"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ولقد أفصح إمام الحرمين الجويني</w:t>
      </w:r>
      <w:r w:rsidRPr="00282AC9">
        <w:rPr>
          <w:rFonts w:ascii="Times New Roman" w:hAnsi="Times New Roman" w:hint="cs"/>
          <w:sz w:val="27"/>
          <w:rtl/>
          <w:lang w:bidi="ar-MA"/>
        </w:rPr>
        <w:t>(</w:t>
      </w:r>
      <w:r w:rsidRPr="00282AC9">
        <w:rPr>
          <w:rFonts w:ascii="Times New Roman" w:hAnsi="Times New Roman"/>
          <w:sz w:val="27"/>
          <w:rtl/>
          <w:lang w:bidi="ar-MA"/>
        </w:rPr>
        <w:t>478ه</w:t>
      </w:r>
      <w:r w:rsidRPr="00282AC9">
        <w:rPr>
          <w:rFonts w:ascii="Times New Roman" w:hAnsi="Times New Roman" w:hint="cs"/>
          <w:sz w:val="27"/>
          <w:rtl/>
          <w:lang w:bidi="ar-MA"/>
        </w:rPr>
        <w:t>ـ)</w:t>
      </w:r>
      <w:r w:rsidRPr="00282AC9">
        <w:rPr>
          <w:rFonts w:ascii="Times New Roman" w:hAnsi="Times New Roman"/>
          <w:sz w:val="27"/>
          <w:rtl/>
          <w:lang w:bidi="ar-MA"/>
        </w:rPr>
        <w:t xml:space="preserve"> عن هذا التوج</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ه في </w:t>
      </w:r>
      <w:r w:rsidRPr="00282AC9">
        <w:rPr>
          <w:rFonts w:hint="eastAsia"/>
          <w:sz w:val="24"/>
          <w:szCs w:val="24"/>
          <w:rtl/>
          <w:lang w:bidi="ar-MA"/>
        </w:rPr>
        <w:t>«</w:t>
      </w:r>
      <w:r w:rsidRPr="00282AC9">
        <w:rPr>
          <w:rFonts w:ascii="Times New Roman" w:hAnsi="Times New Roman"/>
          <w:sz w:val="27"/>
          <w:rtl/>
          <w:lang w:bidi="ar-MA"/>
        </w:rPr>
        <w:t>البرهان</w:t>
      </w:r>
      <w:r w:rsidRPr="00282AC9">
        <w:rPr>
          <w:rFonts w:hint="eastAsia"/>
          <w:sz w:val="24"/>
          <w:szCs w:val="24"/>
          <w:rtl/>
        </w:rPr>
        <w:t>»</w:t>
      </w:r>
      <w:r w:rsidRPr="00282AC9">
        <w:rPr>
          <w:rFonts w:ascii="Times New Roman" w:hAnsi="Times New Roman"/>
          <w:sz w:val="27"/>
          <w:rtl/>
          <w:lang w:bidi="ar-MA"/>
        </w:rPr>
        <w:t xml:space="preserve"> فقال: </w:t>
      </w:r>
      <w:r w:rsidRPr="00282AC9">
        <w:rPr>
          <w:rFonts w:hint="eastAsia"/>
          <w:sz w:val="24"/>
          <w:szCs w:val="24"/>
          <w:rtl/>
          <w:lang w:bidi="ar-MA"/>
        </w:rPr>
        <w:t>«</w:t>
      </w:r>
      <w:r w:rsidRPr="00282AC9">
        <w:rPr>
          <w:rFonts w:ascii="Times New Roman" w:hAnsi="Times New Roman"/>
          <w:sz w:val="27"/>
          <w:rtl/>
          <w:lang w:bidi="ar-MA"/>
        </w:rPr>
        <w:t>اعل</w:t>
      </w:r>
      <w:r w:rsidR="007648AC" w:rsidRPr="00282AC9">
        <w:rPr>
          <w:rFonts w:ascii="Times New Roman" w:hAnsi="Times New Roman" w:hint="cs"/>
          <w:sz w:val="27"/>
          <w:rtl/>
          <w:lang w:bidi="ar-MA"/>
        </w:rPr>
        <w:t>َ</w:t>
      </w:r>
      <w:r w:rsidRPr="00282AC9">
        <w:rPr>
          <w:rFonts w:ascii="Times New Roman" w:hAnsi="Times New Roman"/>
          <w:sz w:val="27"/>
          <w:rtl/>
          <w:lang w:bidi="ar-MA"/>
        </w:rPr>
        <w:t>م</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أن معظم الكلام في الأصول يتعل</w:t>
      </w:r>
      <w:r w:rsidR="007648AC" w:rsidRPr="00282AC9">
        <w:rPr>
          <w:rFonts w:ascii="Times New Roman" w:hAnsi="Times New Roman" w:hint="cs"/>
          <w:sz w:val="27"/>
          <w:rtl/>
          <w:lang w:bidi="ar-MA"/>
        </w:rPr>
        <w:t>َّ</w:t>
      </w:r>
      <w:r w:rsidRPr="00282AC9">
        <w:rPr>
          <w:rFonts w:ascii="Times New Roman" w:hAnsi="Times New Roman"/>
          <w:sz w:val="27"/>
          <w:rtl/>
          <w:lang w:bidi="ar-MA"/>
        </w:rPr>
        <w:t>ق بالألفاظ والمعاني</w:t>
      </w:r>
      <w:r w:rsidR="007648A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أما المعاني فستأتي في كتاب القياس</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إن</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شاء الله</w:t>
      </w:r>
      <w:r w:rsidR="007648A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007648AC" w:rsidRPr="00282AC9">
        <w:rPr>
          <w:rFonts w:ascii="Times New Roman" w:hAnsi="Times New Roman" w:hint="cs"/>
          <w:sz w:val="27"/>
          <w:rtl/>
          <w:lang w:bidi="ar-MA"/>
        </w:rPr>
        <w:t>و</w:t>
      </w:r>
      <w:r w:rsidRPr="00282AC9">
        <w:rPr>
          <w:rFonts w:ascii="Times New Roman" w:hAnsi="Times New Roman"/>
          <w:sz w:val="27"/>
          <w:rtl/>
          <w:lang w:bidi="ar-MA"/>
        </w:rPr>
        <w:t>أما الألفاظ ف</w:t>
      </w:r>
      <w:r w:rsidR="00674EF5" w:rsidRPr="00282AC9">
        <w:rPr>
          <w:rFonts w:ascii="Times New Roman" w:hAnsi="Times New Roman"/>
          <w:sz w:val="27"/>
          <w:rtl/>
          <w:lang w:bidi="ar-MA"/>
        </w:rPr>
        <w:t>لا بُدَّ</w:t>
      </w:r>
      <w:r w:rsidRPr="00282AC9">
        <w:rPr>
          <w:rFonts w:ascii="Times New Roman" w:hAnsi="Times New Roman"/>
          <w:sz w:val="27"/>
          <w:rtl/>
          <w:lang w:bidi="ar-MA"/>
        </w:rPr>
        <w:t xml:space="preserve"> من الاعتناء بها</w:t>
      </w:r>
      <w:r w:rsidR="007648A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فإن</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الشريعة عربي</w:t>
      </w:r>
      <w:r w:rsidR="007648AC" w:rsidRPr="00282AC9">
        <w:rPr>
          <w:rFonts w:ascii="Times New Roman" w:hAnsi="Times New Roman" w:hint="cs"/>
          <w:sz w:val="27"/>
          <w:rtl/>
          <w:lang w:bidi="ar-MA"/>
        </w:rPr>
        <w:t>ّ</w:t>
      </w:r>
      <w:r w:rsidRPr="00282AC9">
        <w:rPr>
          <w:rFonts w:ascii="Times New Roman" w:hAnsi="Times New Roman"/>
          <w:sz w:val="27"/>
          <w:rtl/>
          <w:lang w:bidi="ar-MA"/>
        </w:rPr>
        <w:t>ة</w:t>
      </w:r>
      <w:r w:rsidR="007648AC" w:rsidRPr="00282AC9">
        <w:rPr>
          <w:rFonts w:ascii="Times New Roman" w:hAnsi="Times New Roman" w:hint="cs"/>
          <w:sz w:val="27"/>
          <w:rtl/>
          <w:lang w:bidi="ar-MA"/>
        </w:rPr>
        <w:t>ٌ</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4"/>
      </w:r>
      <w:r w:rsidRPr="00282AC9">
        <w:rPr>
          <w:rFonts w:ascii="Times New Roman" w:hAnsi="Times New Roman"/>
          <w:sz w:val="27"/>
          <w:vertAlign w:val="superscript"/>
          <w:rtl/>
          <w:lang w:bidi="ar-MA"/>
        </w:rPr>
        <w:t>)</w:t>
      </w:r>
      <w:r w:rsidR="007648A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وي</w:t>
      </w:r>
      <w:r w:rsidR="007648AC" w:rsidRPr="00282AC9">
        <w:rPr>
          <w:rFonts w:ascii="Times New Roman" w:hAnsi="Times New Roman" w:hint="cs"/>
          <w:sz w:val="27"/>
          <w:rtl/>
          <w:lang w:bidi="ar-MA"/>
        </w:rPr>
        <w:t>ُ</w:t>
      </w:r>
      <w:r w:rsidRPr="00282AC9">
        <w:rPr>
          <w:rFonts w:ascii="Times New Roman" w:hAnsi="Times New Roman"/>
          <w:sz w:val="27"/>
          <w:rtl/>
          <w:lang w:bidi="ar-MA"/>
        </w:rPr>
        <w:t>ع</w:t>
      </w:r>
      <w:r w:rsidR="007648AC" w:rsidRPr="00282AC9">
        <w:rPr>
          <w:rFonts w:ascii="Times New Roman" w:hAnsi="Times New Roman" w:hint="cs"/>
          <w:sz w:val="27"/>
          <w:rtl/>
          <w:lang w:bidi="ar-MA"/>
        </w:rPr>
        <w:t>َ</w:t>
      </w:r>
      <w:r w:rsidRPr="00282AC9">
        <w:rPr>
          <w:rFonts w:ascii="Times New Roman" w:hAnsi="Times New Roman"/>
          <w:sz w:val="27"/>
          <w:rtl/>
          <w:lang w:bidi="ar-MA"/>
        </w:rPr>
        <w:t>د</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مبحث اللفظ من المداخل الأساسية لفهم الخطاب الشرعي</w:t>
      </w:r>
      <w:r w:rsidR="007648AC" w:rsidRPr="00282AC9">
        <w:rPr>
          <w:rFonts w:ascii="Times New Roman" w:hAnsi="Times New Roman" w:hint="cs"/>
          <w:sz w:val="27"/>
          <w:rtl/>
          <w:lang w:bidi="ar-MA"/>
        </w:rPr>
        <w:t>ّ</w:t>
      </w:r>
      <w:r w:rsidRPr="00282AC9">
        <w:rPr>
          <w:rFonts w:ascii="Times New Roman" w:hAnsi="Times New Roman"/>
          <w:sz w:val="27"/>
          <w:rtl/>
          <w:lang w:bidi="ar-MA"/>
        </w:rPr>
        <w:t>، فهو من أهم</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الآلي</w:t>
      </w:r>
      <w:r w:rsidR="007648AC" w:rsidRPr="00282AC9">
        <w:rPr>
          <w:rFonts w:ascii="Times New Roman" w:hAnsi="Times New Roman" w:hint="cs"/>
          <w:sz w:val="27"/>
          <w:rtl/>
          <w:lang w:bidi="ar-MA"/>
        </w:rPr>
        <w:t>ّ</w:t>
      </w:r>
      <w:r w:rsidRPr="00282AC9">
        <w:rPr>
          <w:rFonts w:ascii="Times New Roman" w:hAnsi="Times New Roman"/>
          <w:sz w:val="27"/>
          <w:rtl/>
          <w:lang w:bidi="ar-MA"/>
        </w:rPr>
        <w:t>ات المساعدة والمعينة على الفهم والتلق</w:t>
      </w:r>
      <w:r w:rsidR="007648AC" w:rsidRPr="00282AC9">
        <w:rPr>
          <w:rFonts w:ascii="Times New Roman" w:hAnsi="Times New Roman" w:hint="cs"/>
          <w:sz w:val="27"/>
          <w:rtl/>
          <w:lang w:bidi="ar-MA"/>
        </w:rPr>
        <w:t>ّ</w:t>
      </w:r>
      <w:r w:rsidRPr="00282AC9">
        <w:rPr>
          <w:rFonts w:ascii="Times New Roman" w:hAnsi="Times New Roman"/>
          <w:sz w:val="27"/>
          <w:rtl/>
          <w:lang w:bidi="ar-MA"/>
        </w:rPr>
        <w:t>ي.</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والمنطلق</w:t>
      </w:r>
      <w:r w:rsidRPr="00282AC9">
        <w:rPr>
          <w:rFonts w:ascii="Times New Roman" w:hAnsi="Times New Roman" w:hint="cs"/>
          <w:sz w:val="27"/>
          <w:rtl/>
          <w:lang w:bidi="ar-MA"/>
        </w:rPr>
        <w:t xml:space="preserve"> المنهجي </w:t>
      </w:r>
      <w:r w:rsidRPr="00282AC9">
        <w:rPr>
          <w:rFonts w:ascii="Times New Roman" w:hAnsi="Times New Roman"/>
          <w:sz w:val="27"/>
          <w:rtl/>
          <w:lang w:bidi="ar-MA"/>
        </w:rPr>
        <w:t>هو التحق</w:t>
      </w:r>
      <w:r w:rsidR="007648AC" w:rsidRPr="00282AC9">
        <w:rPr>
          <w:rFonts w:ascii="Times New Roman" w:hAnsi="Times New Roman" w:hint="cs"/>
          <w:sz w:val="27"/>
          <w:rtl/>
          <w:lang w:bidi="ar-MA"/>
        </w:rPr>
        <w:t>ُّ</w:t>
      </w:r>
      <w:r w:rsidRPr="00282AC9">
        <w:rPr>
          <w:rFonts w:ascii="Times New Roman" w:hAnsi="Times New Roman"/>
          <w:sz w:val="27"/>
          <w:rtl/>
          <w:lang w:bidi="ar-MA"/>
        </w:rPr>
        <w:t>ق من اللفظ في حالت</w:t>
      </w:r>
      <w:r w:rsidR="007648AC" w:rsidRPr="00282AC9">
        <w:rPr>
          <w:rFonts w:ascii="Times New Roman" w:hAnsi="Times New Roman" w:hint="cs"/>
          <w:sz w:val="27"/>
          <w:rtl/>
          <w:lang w:bidi="ar-MA"/>
        </w:rPr>
        <w:t>َ</w:t>
      </w:r>
      <w:r w:rsidRPr="00282AC9">
        <w:rPr>
          <w:rFonts w:ascii="Times New Roman" w:hAnsi="Times New Roman"/>
          <w:sz w:val="27"/>
          <w:rtl/>
          <w:lang w:bidi="ar-MA"/>
        </w:rPr>
        <w:t>ي</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الإفراد والتركيب</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فالف</w:t>
      </w:r>
      <w:r w:rsidR="007648AC" w:rsidRPr="00282AC9">
        <w:rPr>
          <w:rFonts w:ascii="Times New Roman" w:hAnsi="Times New Roman" w:hint="cs"/>
          <w:sz w:val="27"/>
          <w:rtl/>
          <w:lang w:bidi="ar-MA"/>
        </w:rPr>
        <w:t>َ</w:t>
      </w:r>
      <w:r w:rsidRPr="00282AC9">
        <w:rPr>
          <w:rFonts w:ascii="Times New Roman" w:hAnsi="Times New Roman"/>
          <w:sz w:val="27"/>
          <w:rtl/>
          <w:lang w:bidi="ar-MA"/>
        </w:rPr>
        <w:t>ه</w:t>
      </w:r>
      <w:r w:rsidR="007648AC" w:rsidRPr="00282AC9">
        <w:rPr>
          <w:rFonts w:ascii="Times New Roman" w:hAnsi="Times New Roman" w:hint="cs"/>
          <w:sz w:val="27"/>
          <w:rtl/>
          <w:lang w:bidi="ar-MA"/>
        </w:rPr>
        <w:t>ْ</w:t>
      </w:r>
      <w:r w:rsidRPr="00282AC9">
        <w:rPr>
          <w:rFonts w:ascii="Times New Roman" w:hAnsi="Times New Roman"/>
          <w:sz w:val="27"/>
          <w:rtl/>
          <w:lang w:bidi="ar-MA"/>
        </w:rPr>
        <w:t>م يبدأ</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كما قالت ال</w:t>
      </w:r>
      <w:r w:rsidRPr="00282AC9">
        <w:rPr>
          <w:rFonts w:ascii="Times New Roman" w:hAnsi="Times New Roman" w:hint="cs"/>
          <w:sz w:val="27"/>
          <w:rtl/>
          <w:lang w:bidi="ar-MA"/>
        </w:rPr>
        <w:t>دكتورة</w:t>
      </w:r>
      <w:r w:rsidRPr="00282AC9">
        <w:rPr>
          <w:rFonts w:ascii="Times New Roman" w:hAnsi="Times New Roman"/>
          <w:sz w:val="27"/>
          <w:rtl/>
          <w:lang w:bidi="ar-MA"/>
        </w:rPr>
        <w:t xml:space="preserve"> عائشة بنت الشاطئ</w:t>
      </w:r>
      <w:r w:rsidR="007648AC" w:rsidRPr="00282AC9">
        <w:rPr>
          <w:rFonts w:ascii="Times New Roman" w:hAnsi="Times New Roman" w:hint="cs"/>
          <w:sz w:val="27"/>
          <w:rtl/>
          <w:lang w:bidi="ar-MA"/>
        </w:rPr>
        <w:t>،</w:t>
      </w:r>
      <w:r w:rsidRPr="00282AC9">
        <w:rPr>
          <w:rFonts w:ascii="Times New Roman" w:hAnsi="Times New Roman"/>
          <w:sz w:val="27"/>
          <w:rtl/>
          <w:lang w:bidi="ar-MA"/>
        </w:rPr>
        <w:t xml:space="preserve"> بالخدمة اللغوية لألفاظ النص</w:t>
      </w:r>
      <w:r w:rsidR="007648AC" w:rsidRPr="00282AC9">
        <w:rPr>
          <w:rFonts w:ascii="Times New Roman" w:hAnsi="Times New Roman" w:hint="cs"/>
          <w:sz w:val="27"/>
          <w:rtl/>
          <w:lang w:bidi="ar-MA"/>
        </w:rPr>
        <w:t>ّ</w:t>
      </w:r>
      <w:r w:rsidRPr="00282AC9">
        <w:rPr>
          <w:rFonts w:ascii="Times New Roman" w:hAnsi="Times New Roman"/>
          <w:sz w:val="27"/>
          <w:rtl/>
          <w:lang w:bidi="ar-MA"/>
        </w:rPr>
        <w:t>، بمعرفة الدلالة المعجمية والسياقية للفظ في علاقته بالمعنى</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5"/>
      </w:r>
      <w:r w:rsidRPr="00282AC9">
        <w:rPr>
          <w:rFonts w:ascii="Times New Roman" w:hAnsi="Times New Roman"/>
          <w:sz w:val="27"/>
          <w:vertAlign w:val="superscript"/>
          <w:rtl/>
          <w:lang w:bidi="ar-MA"/>
        </w:rPr>
        <w:t>)</w:t>
      </w:r>
      <w:r w:rsidR="007648A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وإدراك</w:t>
      </w:r>
      <w:r w:rsidRPr="00282AC9">
        <w:rPr>
          <w:rFonts w:ascii="Times New Roman" w:hAnsi="Times New Roman" w:hint="cs"/>
          <w:sz w:val="27"/>
          <w:rtl/>
          <w:lang w:bidi="ar-MA"/>
        </w:rPr>
        <w:t>اً</w:t>
      </w:r>
      <w:r w:rsidRPr="00282AC9">
        <w:rPr>
          <w:rFonts w:ascii="Times New Roman" w:hAnsi="Times New Roman"/>
          <w:sz w:val="27"/>
          <w:rtl/>
          <w:lang w:bidi="ar-MA"/>
        </w:rPr>
        <w:t xml:space="preserve"> لهذا الب</w:t>
      </w:r>
      <w:r w:rsidR="007648AC" w:rsidRPr="00282AC9">
        <w:rPr>
          <w:rFonts w:ascii="Times New Roman" w:hAnsi="Times New Roman" w:hint="cs"/>
          <w:sz w:val="27"/>
          <w:rtl/>
          <w:lang w:bidi="ar-MA"/>
        </w:rPr>
        <w:t>ُ</w:t>
      </w:r>
      <w:r w:rsidRPr="00282AC9">
        <w:rPr>
          <w:rFonts w:ascii="Times New Roman" w:hAnsi="Times New Roman"/>
          <w:sz w:val="27"/>
          <w:rtl/>
          <w:lang w:bidi="ar-MA"/>
        </w:rPr>
        <w:t>ع</w:t>
      </w:r>
      <w:r w:rsidR="007648AC" w:rsidRPr="00282AC9">
        <w:rPr>
          <w:rFonts w:ascii="Times New Roman" w:hAnsi="Times New Roman" w:hint="cs"/>
          <w:sz w:val="27"/>
          <w:rtl/>
          <w:lang w:bidi="ar-MA"/>
        </w:rPr>
        <w:t>ْ</w:t>
      </w:r>
      <w:r w:rsidRPr="00282AC9">
        <w:rPr>
          <w:rFonts w:ascii="Times New Roman" w:hAnsi="Times New Roman"/>
          <w:sz w:val="27"/>
          <w:rtl/>
          <w:lang w:bidi="ar-MA"/>
        </w:rPr>
        <w:t>د المنحي، فقد ع</w:t>
      </w:r>
      <w:r w:rsidR="000543E6" w:rsidRPr="00282AC9">
        <w:rPr>
          <w:rFonts w:ascii="Times New Roman" w:hAnsi="Times New Roman" w:hint="cs"/>
          <w:sz w:val="27"/>
          <w:rtl/>
          <w:lang w:bidi="ar-MA"/>
        </w:rPr>
        <w:t>ُ</w:t>
      </w:r>
      <w:r w:rsidRPr="00282AC9">
        <w:rPr>
          <w:rFonts w:ascii="Times New Roman" w:hAnsi="Times New Roman"/>
          <w:sz w:val="27"/>
          <w:rtl/>
          <w:lang w:bidi="ar-MA"/>
        </w:rPr>
        <w:t>ني علماء</w:t>
      </w:r>
      <w:r w:rsidRPr="00282AC9">
        <w:rPr>
          <w:rFonts w:ascii="Times New Roman" w:hAnsi="Times New Roman" w:hint="cs"/>
          <w:sz w:val="27"/>
          <w:shd w:val="clear" w:color="auto" w:fill="FFFFFF"/>
          <w:rtl/>
          <w:lang w:bidi="ar-MA"/>
        </w:rPr>
        <w:t xml:space="preserve"> </w:t>
      </w:r>
      <w:r w:rsidRPr="00282AC9">
        <w:rPr>
          <w:rFonts w:ascii="Times New Roman" w:hAnsi="Times New Roman"/>
          <w:sz w:val="27"/>
          <w:shd w:val="clear" w:color="auto" w:fill="FFFFFF"/>
          <w:rtl/>
          <w:lang w:bidi="ar-MA"/>
        </w:rPr>
        <w:t>باللفظ العربي</w:t>
      </w:r>
      <w:r w:rsidR="000543E6" w:rsidRPr="00282AC9">
        <w:rPr>
          <w:rFonts w:ascii="Times New Roman" w:hAnsi="Times New Roman" w:hint="cs"/>
          <w:sz w:val="27"/>
          <w:shd w:val="clear" w:color="auto" w:fill="FFFFFF"/>
          <w:rtl/>
          <w:lang w:bidi="ar-MA"/>
        </w:rPr>
        <w:t>،</w:t>
      </w:r>
      <w:r w:rsidRPr="00282AC9">
        <w:rPr>
          <w:rFonts w:ascii="Times New Roman" w:hAnsi="Times New Roman"/>
          <w:sz w:val="27"/>
          <w:shd w:val="clear" w:color="auto" w:fill="FFFFFF"/>
          <w:rtl/>
          <w:lang w:bidi="ar-MA"/>
        </w:rPr>
        <w:t xml:space="preserve"> من حيث معانيه ودلالاته</w:t>
      </w:r>
      <w:r w:rsidR="000543E6" w:rsidRPr="00282AC9">
        <w:rPr>
          <w:rFonts w:ascii="Times New Roman" w:hAnsi="Times New Roman" w:hint="cs"/>
          <w:sz w:val="27"/>
          <w:shd w:val="clear" w:color="auto" w:fill="FFFFFF"/>
          <w:rtl/>
          <w:lang w:bidi="ar-MA"/>
        </w:rPr>
        <w:t xml:space="preserve">، </w:t>
      </w:r>
      <w:r w:rsidRPr="00282AC9">
        <w:rPr>
          <w:rFonts w:ascii="Times New Roman" w:hAnsi="Times New Roman"/>
          <w:sz w:val="27"/>
          <w:shd w:val="clear" w:color="auto" w:fill="FFFFFF"/>
          <w:rtl/>
          <w:lang w:bidi="ar-MA"/>
        </w:rPr>
        <w:t>عناية</w:t>
      </w:r>
      <w:r w:rsidR="000543E6" w:rsidRPr="00282AC9">
        <w:rPr>
          <w:rFonts w:ascii="Times New Roman" w:hAnsi="Times New Roman" w:hint="cs"/>
          <w:sz w:val="27"/>
          <w:shd w:val="clear" w:color="auto" w:fill="FFFFFF"/>
          <w:rtl/>
          <w:lang w:bidi="ar-MA"/>
        </w:rPr>
        <w:t>ً</w:t>
      </w:r>
      <w:r w:rsidRPr="00282AC9">
        <w:rPr>
          <w:rFonts w:ascii="Times New Roman" w:hAnsi="Times New Roman"/>
          <w:sz w:val="27"/>
          <w:shd w:val="clear" w:color="auto" w:fill="FFFFFF"/>
          <w:rtl/>
          <w:lang w:bidi="ar-MA"/>
        </w:rPr>
        <w:t xml:space="preserve"> بالغة</w:t>
      </w:r>
      <w:r w:rsidRPr="00282AC9">
        <w:rPr>
          <w:rFonts w:ascii="Times New Roman" w:hAnsi="Times New Roman"/>
          <w:sz w:val="27"/>
          <w:rtl/>
          <w:lang w:bidi="ar-MA"/>
        </w:rPr>
        <w:t xml:space="preserve">، وقاموا </w:t>
      </w:r>
      <w:r w:rsidRPr="00282AC9">
        <w:rPr>
          <w:rFonts w:ascii="Times New Roman" w:hAnsi="Times New Roman"/>
          <w:sz w:val="27"/>
          <w:rtl/>
          <w:lang w:bidi="ar-MA"/>
        </w:rPr>
        <w:lastRenderedPageBreak/>
        <w:t>بمتابعته في جميع الأحوال والمواقع</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ولم يف</w:t>
      </w:r>
      <w:r w:rsidR="000543E6" w:rsidRPr="00282AC9">
        <w:rPr>
          <w:rFonts w:ascii="Times New Roman" w:hAnsi="Times New Roman" w:hint="cs"/>
          <w:sz w:val="27"/>
          <w:rtl/>
          <w:lang w:bidi="ar-MA"/>
        </w:rPr>
        <w:t>ُ</w:t>
      </w:r>
      <w:r w:rsidRPr="00282AC9">
        <w:rPr>
          <w:rFonts w:ascii="Times New Roman" w:hAnsi="Times New Roman"/>
          <w:sz w:val="27"/>
          <w:rtl/>
          <w:lang w:bidi="ar-MA"/>
        </w:rPr>
        <w:t>ت</w:t>
      </w:r>
      <w:r w:rsidR="000543E6" w:rsidRPr="00282AC9">
        <w:rPr>
          <w:rFonts w:ascii="Times New Roman" w:hAnsi="Times New Roman" w:hint="cs"/>
          <w:sz w:val="27"/>
          <w:rtl/>
          <w:lang w:bidi="ar-MA"/>
        </w:rPr>
        <w:t>ْ</w:t>
      </w:r>
      <w:r w:rsidRPr="00282AC9">
        <w:rPr>
          <w:rFonts w:ascii="Times New Roman" w:hAnsi="Times New Roman"/>
          <w:sz w:val="27"/>
          <w:rtl/>
          <w:lang w:bidi="ar-MA"/>
        </w:rPr>
        <w:t>ه</w:t>
      </w:r>
      <w:r w:rsidR="000543E6" w:rsidRPr="00282AC9">
        <w:rPr>
          <w:rFonts w:ascii="Times New Roman" w:hAnsi="Times New Roman" w:hint="cs"/>
          <w:sz w:val="27"/>
          <w:rtl/>
          <w:lang w:bidi="ar-MA"/>
        </w:rPr>
        <w:t>ُ</w:t>
      </w:r>
      <w:r w:rsidRPr="00282AC9">
        <w:rPr>
          <w:rFonts w:ascii="Times New Roman" w:hAnsi="Times New Roman"/>
          <w:sz w:val="27"/>
          <w:rtl/>
          <w:lang w:bidi="ar-MA"/>
        </w:rPr>
        <w:t>م استحضار السياق</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بحكم أثره و</w:t>
      </w:r>
      <w:r w:rsidR="000543E6" w:rsidRPr="00282AC9">
        <w:rPr>
          <w:rFonts w:ascii="Times New Roman" w:hAnsi="Times New Roman" w:hint="cs"/>
          <w:sz w:val="27"/>
          <w:rtl/>
          <w:lang w:bidi="ar-MA"/>
        </w:rPr>
        <w:t>ق</w:t>
      </w:r>
      <w:r w:rsidRPr="00282AC9">
        <w:rPr>
          <w:rFonts w:ascii="Times New Roman" w:hAnsi="Times New Roman"/>
          <w:sz w:val="27"/>
          <w:rtl/>
          <w:lang w:bidi="ar-MA"/>
        </w:rPr>
        <w:t>و</w:t>
      </w:r>
      <w:r w:rsidR="000543E6" w:rsidRPr="00282AC9">
        <w:rPr>
          <w:rFonts w:ascii="Times New Roman" w:hAnsi="Times New Roman" w:hint="cs"/>
          <w:sz w:val="27"/>
          <w:rtl/>
          <w:lang w:bidi="ar-MA"/>
        </w:rPr>
        <w:t>ّ</w:t>
      </w:r>
      <w:r w:rsidRPr="00282AC9">
        <w:rPr>
          <w:rFonts w:ascii="Times New Roman" w:hAnsi="Times New Roman"/>
          <w:sz w:val="27"/>
          <w:rtl/>
          <w:lang w:bidi="ar-MA"/>
        </w:rPr>
        <w:t>ته في توجيه المعنى</w:t>
      </w:r>
      <w:r w:rsidR="000543E6"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ل</w:t>
      </w:r>
      <w:r w:rsidRPr="00282AC9">
        <w:rPr>
          <w:rFonts w:ascii="Times New Roman" w:hAnsi="Times New Roman" w:hint="cs"/>
          <w:sz w:val="27"/>
          <w:rtl/>
          <w:lang w:bidi="ar-MA"/>
        </w:rPr>
        <w:t>أ</w:t>
      </w:r>
      <w:r w:rsidRPr="00282AC9">
        <w:rPr>
          <w:rFonts w:ascii="Times New Roman" w:hAnsi="Times New Roman"/>
          <w:sz w:val="27"/>
          <w:rtl/>
          <w:lang w:bidi="ar-MA"/>
        </w:rPr>
        <w:t>ن الأصل في تحليل الخطاب الشرعي</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يجب أن تكون البداية فيه بالخدمة اللغوي</w:t>
      </w:r>
      <w:r w:rsidR="000543E6" w:rsidRPr="00282AC9">
        <w:rPr>
          <w:rFonts w:ascii="Times New Roman" w:hAnsi="Times New Roman" w:hint="cs"/>
          <w:sz w:val="27"/>
          <w:rtl/>
          <w:lang w:bidi="ar-MA"/>
        </w:rPr>
        <w:t>ّ</w:t>
      </w:r>
      <w:r w:rsidRPr="00282AC9">
        <w:rPr>
          <w:rFonts w:ascii="Times New Roman" w:hAnsi="Times New Roman"/>
          <w:sz w:val="27"/>
          <w:rtl/>
          <w:lang w:bidi="ar-MA"/>
        </w:rPr>
        <w:t>ة لألفاظه</w:t>
      </w:r>
      <w:r w:rsidR="000543E6" w:rsidRPr="00282AC9">
        <w:rPr>
          <w:rFonts w:ascii="Times New Roman" w:hAnsi="Times New Roman" w:hint="cs"/>
          <w:sz w:val="27"/>
          <w:rtl/>
          <w:lang w:bidi="ar-MA"/>
        </w:rPr>
        <w:t xml:space="preserve">، </w:t>
      </w:r>
      <w:r w:rsidRPr="00282AC9">
        <w:rPr>
          <w:rFonts w:ascii="Times New Roman" w:hAnsi="Times New Roman"/>
          <w:sz w:val="27"/>
          <w:rtl/>
          <w:lang w:bidi="ar-MA"/>
        </w:rPr>
        <w:t>بمعرفة الدلالة المعجمي</w:t>
      </w:r>
      <w:r w:rsidR="000543E6" w:rsidRPr="00282AC9">
        <w:rPr>
          <w:rFonts w:ascii="Times New Roman" w:hAnsi="Times New Roman" w:hint="cs"/>
          <w:sz w:val="27"/>
          <w:rtl/>
          <w:lang w:bidi="ar-MA"/>
        </w:rPr>
        <w:t>ّ</w:t>
      </w:r>
      <w:r w:rsidRPr="00282AC9">
        <w:rPr>
          <w:rFonts w:ascii="Times New Roman" w:hAnsi="Times New Roman"/>
          <w:sz w:val="27"/>
          <w:rtl/>
          <w:lang w:bidi="ar-MA"/>
        </w:rPr>
        <w:t>ة أو</w:t>
      </w:r>
      <w:r w:rsidR="000543E6" w:rsidRPr="00282AC9">
        <w:rPr>
          <w:rFonts w:ascii="Times New Roman" w:hAnsi="Times New Roman" w:hint="cs"/>
          <w:sz w:val="27"/>
          <w:rtl/>
          <w:lang w:bidi="ar-MA"/>
        </w:rPr>
        <w:t>ّ</w:t>
      </w:r>
      <w:r w:rsidRPr="00282AC9">
        <w:rPr>
          <w:rFonts w:ascii="Times New Roman" w:hAnsi="Times New Roman"/>
          <w:sz w:val="27"/>
          <w:rtl/>
          <w:lang w:bidi="ar-MA"/>
        </w:rPr>
        <w:t>ل</w:t>
      </w:r>
      <w:r w:rsidRPr="00282AC9">
        <w:rPr>
          <w:rFonts w:ascii="Times New Roman" w:hAnsi="Times New Roman" w:hint="cs"/>
          <w:sz w:val="27"/>
          <w:rtl/>
          <w:lang w:bidi="ar-MA"/>
        </w:rPr>
        <w:t>اً</w:t>
      </w:r>
      <w:r w:rsidRPr="00282AC9">
        <w:rPr>
          <w:rFonts w:ascii="Times New Roman" w:hAnsi="Times New Roman"/>
          <w:sz w:val="27"/>
          <w:rtl/>
          <w:lang w:bidi="ar-MA"/>
        </w:rPr>
        <w:t>، والدلالة الاستعمالي</w:t>
      </w:r>
      <w:r w:rsidR="000543E6" w:rsidRPr="00282AC9">
        <w:rPr>
          <w:rFonts w:ascii="Times New Roman" w:hAnsi="Times New Roman" w:hint="cs"/>
          <w:sz w:val="27"/>
          <w:rtl/>
          <w:lang w:bidi="ar-MA"/>
        </w:rPr>
        <w:t>ّ</w:t>
      </w:r>
      <w:r w:rsidRPr="00282AC9">
        <w:rPr>
          <w:rFonts w:ascii="Times New Roman" w:hAnsi="Times New Roman"/>
          <w:sz w:val="27"/>
          <w:rtl/>
          <w:lang w:bidi="ar-MA"/>
        </w:rPr>
        <w:t>ة ثاني</w:t>
      </w:r>
      <w:r w:rsidRPr="00282AC9">
        <w:rPr>
          <w:rFonts w:ascii="Times New Roman" w:hAnsi="Times New Roman" w:hint="cs"/>
          <w:sz w:val="27"/>
          <w:rtl/>
          <w:lang w:bidi="ar-MA"/>
        </w:rPr>
        <w:t>اً</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لهذه الألفاظ والمقتضيات والأحوال المحيطة بالنص</w:t>
      </w:r>
      <w:r w:rsidR="000543E6"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ف</w:t>
      </w:r>
      <w:r w:rsidR="00674EF5" w:rsidRPr="00282AC9">
        <w:rPr>
          <w:rFonts w:ascii="Times New Roman" w:hAnsi="Times New Roman"/>
          <w:sz w:val="27"/>
          <w:rtl/>
          <w:lang w:bidi="ar-MA"/>
        </w:rPr>
        <w:t>لا بُدَّ</w:t>
      </w:r>
      <w:r w:rsidRPr="00282AC9">
        <w:rPr>
          <w:rFonts w:ascii="Times New Roman" w:hAnsi="Times New Roman"/>
          <w:sz w:val="27"/>
          <w:rtl/>
          <w:lang w:bidi="ar-MA"/>
        </w:rPr>
        <w:t xml:space="preserve"> في التفسير</w:t>
      </w:r>
      <w:r w:rsidRPr="00282AC9">
        <w:rPr>
          <w:rFonts w:ascii="Times New Roman" w:hAnsi="Times New Roman" w:hint="cs"/>
          <w:sz w:val="27"/>
          <w:rtl/>
          <w:lang w:bidi="ar-MA"/>
        </w:rPr>
        <w:t xml:space="preserve"> </w:t>
      </w:r>
      <w:r w:rsidRPr="00282AC9">
        <w:rPr>
          <w:rFonts w:ascii="Times New Roman" w:hAnsi="Times New Roman"/>
          <w:sz w:val="27"/>
          <w:rtl/>
          <w:lang w:bidi="ar-MA"/>
        </w:rPr>
        <w:t>من التحق</w:t>
      </w:r>
      <w:r w:rsidR="000543E6" w:rsidRPr="00282AC9">
        <w:rPr>
          <w:rFonts w:ascii="Times New Roman" w:hAnsi="Times New Roman" w:hint="cs"/>
          <w:sz w:val="27"/>
          <w:rtl/>
          <w:lang w:bidi="ar-MA"/>
        </w:rPr>
        <w:t>ُّ</w:t>
      </w:r>
      <w:r w:rsidRPr="00282AC9">
        <w:rPr>
          <w:rFonts w:ascii="Times New Roman" w:hAnsi="Times New Roman"/>
          <w:sz w:val="27"/>
          <w:rtl/>
          <w:lang w:bidi="ar-MA"/>
        </w:rPr>
        <w:t>ق من الألفاظ في التركيب</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فأو</w:t>
      </w:r>
      <w:r w:rsidR="000543E6" w:rsidRPr="00282AC9">
        <w:rPr>
          <w:rFonts w:ascii="Times New Roman" w:hAnsi="Times New Roman" w:hint="cs"/>
          <w:sz w:val="27"/>
          <w:rtl/>
          <w:lang w:bidi="ar-MA"/>
        </w:rPr>
        <w:t>ّ</w:t>
      </w:r>
      <w:r w:rsidRPr="00282AC9">
        <w:rPr>
          <w:rFonts w:ascii="Times New Roman" w:hAnsi="Times New Roman"/>
          <w:sz w:val="27"/>
          <w:rtl/>
          <w:lang w:bidi="ar-MA"/>
        </w:rPr>
        <w:t>ل م</w:t>
      </w:r>
      <w:r w:rsidRPr="00282AC9">
        <w:rPr>
          <w:rFonts w:ascii="Times New Roman" w:hAnsi="Times New Roman" w:hint="cs"/>
          <w:sz w:val="27"/>
          <w:rtl/>
          <w:lang w:bidi="ar-MA"/>
        </w:rPr>
        <w:t>ا</w:t>
      </w:r>
      <w:r w:rsidRPr="00282AC9">
        <w:rPr>
          <w:rFonts w:ascii="Times New Roman" w:hAnsi="Times New Roman"/>
          <w:sz w:val="27"/>
          <w:rtl/>
          <w:lang w:bidi="ar-MA"/>
        </w:rPr>
        <w:t xml:space="preserve"> يحتاج إليه مفس</w:t>
      </w:r>
      <w:r w:rsidR="000543E6" w:rsidRPr="00282AC9">
        <w:rPr>
          <w:rFonts w:ascii="Times New Roman" w:hAnsi="Times New Roman" w:hint="cs"/>
          <w:sz w:val="27"/>
          <w:rtl/>
          <w:lang w:bidi="ar-MA"/>
        </w:rPr>
        <w:t>ِّ</w:t>
      </w:r>
      <w:r w:rsidRPr="00282AC9">
        <w:rPr>
          <w:rFonts w:ascii="Times New Roman" w:hAnsi="Times New Roman"/>
          <w:sz w:val="27"/>
          <w:rtl/>
          <w:lang w:bidi="ar-MA"/>
        </w:rPr>
        <w:t>ر الخطاب أن يحق</w:t>
      </w:r>
      <w:r w:rsidR="000543E6" w:rsidRPr="00282AC9">
        <w:rPr>
          <w:rFonts w:ascii="Times New Roman" w:hAnsi="Times New Roman" w:hint="cs"/>
          <w:sz w:val="27"/>
          <w:rtl/>
          <w:lang w:bidi="ar-MA"/>
        </w:rPr>
        <w:t>ِّ</w:t>
      </w:r>
      <w:r w:rsidRPr="00282AC9">
        <w:rPr>
          <w:rFonts w:ascii="Times New Roman" w:hAnsi="Times New Roman"/>
          <w:sz w:val="27"/>
          <w:rtl/>
          <w:lang w:bidi="ar-MA"/>
        </w:rPr>
        <w:t>ق الألفاظ المفردة.</w:t>
      </w:r>
      <w:r w:rsidRPr="00282AC9">
        <w:rPr>
          <w:rFonts w:ascii="Times New Roman" w:hAnsi="Times New Roman" w:hint="cs"/>
          <w:sz w:val="27"/>
          <w:rtl/>
          <w:lang w:bidi="ar-MA"/>
        </w:rPr>
        <w:t xml:space="preserve"> </w:t>
      </w:r>
      <w:r w:rsidRPr="00282AC9">
        <w:rPr>
          <w:rFonts w:ascii="Times New Roman" w:hAnsi="Times New Roman"/>
          <w:sz w:val="27"/>
          <w:rtl/>
          <w:lang w:bidi="ar-MA"/>
        </w:rPr>
        <w:t>فتحصيل معنى مفردات ألفاظ القر</w:t>
      </w:r>
      <w:r w:rsidR="000543E6" w:rsidRPr="00282AC9">
        <w:rPr>
          <w:rFonts w:ascii="Times New Roman" w:hAnsi="Times New Roman" w:hint="cs"/>
          <w:sz w:val="27"/>
          <w:rtl/>
          <w:lang w:bidi="ar-MA"/>
        </w:rPr>
        <w:t>آ</w:t>
      </w:r>
      <w:r w:rsidRPr="00282AC9">
        <w:rPr>
          <w:rFonts w:ascii="Times New Roman" w:hAnsi="Times New Roman"/>
          <w:sz w:val="27"/>
          <w:rtl/>
          <w:lang w:bidi="ar-MA"/>
        </w:rPr>
        <w:t>ن من أو</w:t>
      </w:r>
      <w:r w:rsidR="000543E6" w:rsidRPr="00282AC9">
        <w:rPr>
          <w:rFonts w:ascii="Times New Roman" w:hAnsi="Times New Roman" w:hint="cs"/>
          <w:sz w:val="27"/>
          <w:rtl/>
          <w:lang w:bidi="ar-MA"/>
        </w:rPr>
        <w:t>ّ</w:t>
      </w:r>
      <w:r w:rsidRPr="00282AC9">
        <w:rPr>
          <w:rFonts w:ascii="Times New Roman" w:hAnsi="Times New Roman"/>
          <w:sz w:val="27"/>
          <w:rtl/>
          <w:lang w:bidi="ar-MA"/>
        </w:rPr>
        <w:t>ل المعاون لم</w:t>
      </w:r>
      <w:r w:rsidR="000543E6" w:rsidRPr="00282AC9">
        <w:rPr>
          <w:rFonts w:ascii="Times New Roman" w:hAnsi="Times New Roman" w:hint="cs"/>
          <w:sz w:val="27"/>
          <w:rtl/>
          <w:lang w:bidi="ar-MA"/>
        </w:rPr>
        <w:t>َ</w:t>
      </w:r>
      <w:r w:rsidRPr="00282AC9">
        <w:rPr>
          <w:rFonts w:ascii="Times New Roman" w:hAnsi="Times New Roman"/>
          <w:sz w:val="27"/>
          <w:rtl/>
          <w:lang w:bidi="ar-MA"/>
        </w:rPr>
        <w:t>ن</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أراد أن يدرك معاني</w:t>
      </w:r>
      <w:r w:rsidRPr="00282AC9">
        <w:rPr>
          <w:rFonts w:ascii="Times New Roman" w:hAnsi="Times New Roman" w:hint="cs"/>
          <w:sz w:val="27"/>
          <w:rtl/>
          <w:lang w:bidi="ar-MA"/>
        </w:rPr>
        <w:t xml:space="preserve"> القر</w:t>
      </w:r>
      <w:r w:rsidR="000543E6" w:rsidRPr="00282AC9">
        <w:rPr>
          <w:rFonts w:ascii="Times New Roman" w:hAnsi="Times New Roman" w:hint="cs"/>
          <w:sz w:val="27"/>
          <w:rtl/>
          <w:lang w:bidi="ar-MA"/>
        </w:rPr>
        <w:t>آ</w:t>
      </w:r>
      <w:r w:rsidRPr="00282AC9">
        <w:rPr>
          <w:rFonts w:ascii="Times New Roman" w:hAnsi="Times New Roman" w:hint="cs"/>
          <w:sz w:val="27"/>
          <w:rtl/>
          <w:lang w:bidi="ar-MA"/>
        </w:rPr>
        <w:t>ن</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6"/>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3062B7" w:rsidRPr="00282AC9" w:rsidRDefault="003062B7" w:rsidP="003062B7">
      <w:pPr>
        <w:spacing w:line="420" w:lineRule="exact"/>
        <w:rPr>
          <w:sz w:val="27"/>
          <w:rtl/>
        </w:rPr>
      </w:pPr>
    </w:p>
    <w:p w:rsidR="00D722E4" w:rsidRPr="00282AC9" w:rsidRDefault="000543E6" w:rsidP="00965E08">
      <w:pPr>
        <w:pStyle w:val="31"/>
        <w:rPr>
          <w:color w:val="auto"/>
          <w:rtl/>
          <w:lang w:bidi="ar-MA"/>
        </w:rPr>
      </w:pPr>
      <w:r w:rsidRPr="00282AC9">
        <w:rPr>
          <w:rFonts w:hint="cs"/>
          <w:color w:val="auto"/>
          <w:rtl/>
          <w:lang w:bidi="ar-MA"/>
        </w:rPr>
        <w:t xml:space="preserve">2ـ </w:t>
      </w:r>
      <w:r w:rsidR="00D722E4" w:rsidRPr="00282AC9">
        <w:rPr>
          <w:rFonts w:hint="cs"/>
          <w:color w:val="auto"/>
          <w:rtl/>
          <w:lang w:bidi="ar-MA"/>
        </w:rPr>
        <w:t xml:space="preserve">جهة </w:t>
      </w:r>
      <w:r w:rsidR="00D722E4" w:rsidRPr="00282AC9">
        <w:rPr>
          <w:color w:val="auto"/>
          <w:rtl/>
          <w:lang w:bidi="ar-MA"/>
        </w:rPr>
        <w:t>الدلالة</w:t>
      </w:r>
      <w:r w:rsidRPr="00282AC9">
        <w:rPr>
          <w:rFonts w:hint="cs"/>
          <w:color w:val="auto"/>
          <w:rtl/>
          <w:lang w:bidi="ar-MA"/>
        </w:rPr>
        <w:t>،</w:t>
      </w:r>
      <w:r w:rsidR="00D722E4" w:rsidRPr="00282AC9">
        <w:rPr>
          <w:color w:val="auto"/>
          <w:rtl/>
          <w:lang w:bidi="ar-MA"/>
        </w:rPr>
        <w:t xml:space="preserve"> </w:t>
      </w:r>
      <w:r w:rsidR="00D722E4" w:rsidRPr="00282AC9">
        <w:rPr>
          <w:rFonts w:hint="cs"/>
          <w:color w:val="auto"/>
          <w:rtl/>
          <w:lang w:bidi="ar-MA"/>
        </w:rPr>
        <w:t>ومراتبها</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بناء</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على هذا الثابت</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وهو أن التلق</w:t>
      </w:r>
      <w:r w:rsidR="000543E6" w:rsidRPr="00282AC9">
        <w:rPr>
          <w:rFonts w:ascii="Times New Roman" w:hAnsi="Times New Roman" w:hint="cs"/>
          <w:sz w:val="27"/>
          <w:rtl/>
          <w:lang w:bidi="ar-MA"/>
        </w:rPr>
        <w:t>ّ</w:t>
      </w:r>
      <w:r w:rsidRPr="00282AC9">
        <w:rPr>
          <w:rFonts w:ascii="Times New Roman" w:hAnsi="Times New Roman"/>
          <w:sz w:val="27"/>
          <w:rtl/>
          <w:lang w:bidi="ar-MA"/>
        </w:rPr>
        <w:t>ي السليم للنص</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الشرعي وفهمه، والوصول إلى مقاصده</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لا يتيس</w:t>
      </w:r>
      <w:r w:rsidR="000543E6" w:rsidRPr="00282AC9">
        <w:rPr>
          <w:rFonts w:ascii="Times New Roman" w:hAnsi="Times New Roman" w:hint="cs"/>
          <w:sz w:val="27"/>
          <w:rtl/>
          <w:lang w:bidi="ar-MA"/>
        </w:rPr>
        <w:t>َّ</w:t>
      </w:r>
      <w:r w:rsidRPr="00282AC9">
        <w:rPr>
          <w:rFonts w:ascii="Times New Roman" w:hAnsi="Times New Roman"/>
          <w:sz w:val="27"/>
          <w:rtl/>
          <w:lang w:bidi="ar-MA"/>
        </w:rPr>
        <w:t>ر إلا</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بتجميع مجموعة</w:t>
      </w:r>
      <w:r w:rsidR="000543E6" w:rsidRPr="00282AC9">
        <w:rPr>
          <w:rFonts w:ascii="Times New Roman" w:hAnsi="Times New Roman" w:hint="cs"/>
          <w:sz w:val="27"/>
          <w:rtl/>
          <w:lang w:bidi="ar-MA"/>
        </w:rPr>
        <w:t>ٍ</w:t>
      </w:r>
      <w:r w:rsidRPr="00282AC9">
        <w:rPr>
          <w:rFonts w:ascii="Times New Roman" w:hAnsi="Times New Roman"/>
          <w:sz w:val="27"/>
          <w:rtl/>
          <w:lang w:bidi="ar-MA"/>
        </w:rPr>
        <w:t xml:space="preserve"> من الضوابط والشروط، والتقي</w:t>
      </w:r>
      <w:r w:rsidR="00347236" w:rsidRPr="00282AC9">
        <w:rPr>
          <w:rFonts w:ascii="Times New Roman" w:hAnsi="Times New Roman" w:hint="cs"/>
          <w:sz w:val="27"/>
          <w:rtl/>
          <w:lang w:bidi="ar-MA"/>
        </w:rPr>
        <w:t>ُّ</w:t>
      </w:r>
      <w:r w:rsidRPr="00282AC9">
        <w:rPr>
          <w:rFonts w:ascii="Times New Roman" w:hAnsi="Times New Roman"/>
          <w:sz w:val="27"/>
          <w:rtl/>
          <w:lang w:bidi="ar-MA"/>
        </w:rPr>
        <w:t>د بعدد</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من القواعد، ف</w:t>
      </w:r>
      <w:r w:rsidRPr="00282AC9">
        <w:rPr>
          <w:rFonts w:ascii="Times New Roman" w:hAnsi="Times New Roman" w:hint="cs"/>
          <w:sz w:val="27"/>
          <w:rtl/>
          <w:lang w:bidi="ar-MA"/>
        </w:rPr>
        <w:t>إ</w:t>
      </w:r>
      <w:r w:rsidRPr="00282AC9">
        <w:rPr>
          <w:rFonts w:ascii="Times New Roman" w:hAnsi="Times New Roman"/>
          <w:sz w:val="27"/>
          <w:rtl/>
          <w:lang w:bidi="ar-MA"/>
        </w:rPr>
        <w:t xml:space="preserve">ن وجهة علماء </w:t>
      </w:r>
      <w:r w:rsidRPr="00282AC9">
        <w:rPr>
          <w:rFonts w:ascii="Times New Roman" w:hAnsi="Times New Roman" w:hint="cs"/>
          <w:sz w:val="27"/>
          <w:rtl/>
          <w:lang w:bidi="ar-MA"/>
        </w:rPr>
        <w:t>ال</w:t>
      </w:r>
      <w:r w:rsidRPr="00282AC9">
        <w:rPr>
          <w:rFonts w:ascii="Times New Roman" w:hAnsi="Times New Roman"/>
          <w:sz w:val="27"/>
          <w:rtl/>
          <w:lang w:bidi="ar-MA"/>
        </w:rPr>
        <w:t>أصول ات</w:t>
      </w:r>
      <w:r w:rsidR="00347236" w:rsidRPr="00282AC9">
        <w:rPr>
          <w:rFonts w:ascii="Times New Roman" w:hAnsi="Times New Roman" w:hint="cs"/>
          <w:sz w:val="27"/>
          <w:rtl/>
          <w:lang w:bidi="ar-MA"/>
        </w:rPr>
        <w:t>ّ</w:t>
      </w:r>
      <w:r w:rsidRPr="00282AC9">
        <w:rPr>
          <w:rFonts w:ascii="Times New Roman" w:hAnsi="Times New Roman"/>
          <w:sz w:val="27"/>
          <w:rtl/>
          <w:lang w:bidi="ar-MA"/>
        </w:rPr>
        <w:t>جهت إلى الدلالات</w:t>
      </w:r>
      <w:r w:rsidR="00347236"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ومن ثم</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فمن أهم</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الجوانب اللغوية</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التي كانت موضوع دراسة الأصوليين، الجانب الدلالي</w:t>
      </w:r>
      <w:r w:rsidR="00347236"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والذي ح</w:t>
      </w:r>
      <w:r w:rsidR="00347236" w:rsidRPr="00282AC9">
        <w:rPr>
          <w:rFonts w:ascii="Times New Roman" w:hAnsi="Times New Roman" w:hint="cs"/>
          <w:sz w:val="27"/>
          <w:rtl/>
          <w:lang w:bidi="ar-MA"/>
        </w:rPr>
        <w:t>د</w:t>
      </w:r>
      <w:r w:rsidRPr="00282AC9">
        <w:rPr>
          <w:rFonts w:ascii="Times New Roman" w:hAnsi="Times New Roman"/>
          <w:sz w:val="27"/>
          <w:rtl/>
          <w:lang w:bidi="ar-MA"/>
        </w:rPr>
        <w:t>ا بالأصولي</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ين </w:t>
      </w:r>
      <w:r w:rsidR="00347236" w:rsidRPr="00282AC9">
        <w:rPr>
          <w:rFonts w:ascii="Times New Roman" w:hAnsi="Times New Roman" w:hint="cs"/>
          <w:sz w:val="27"/>
          <w:rtl/>
          <w:lang w:bidi="ar-MA"/>
        </w:rPr>
        <w:t>ل</w:t>
      </w:r>
      <w:r w:rsidRPr="00282AC9">
        <w:rPr>
          <w:rFonts w:ascii="Times New Roman" w:hAnsi="Times New Roman"/>
          <w:sz w:val="27"/>
          <w:rtl/>
          <w:lang w:bidi="ar-MA"/>
        </w:rPr>
        <w:t>لعناية بهذا الجانب هو توق</w:t>
      </w:r>
      <w:r w:rsidR="00347236" w:rsidRPr="00282AC9">
        <w:rPr>
          <w:rFonts w:ascii="Times New Roman" w:hAnsi="Times New Roman" w:hint="cs"/>
          <w:sz w:val="27"/>
          <w:rtl/>
          <w:lang w:bidi="ar-MA"/>
        </w:rPr>
        <w:t>ُّ</w:t>
      </w:r>
      <w:r w:rsidRPr="00282AC9">
        <w:rPr>
          <w:rFonts w:ascii="Times New Roman" w:hAnsi="Times New Roman"/>
          <w:sz w:val="27"/>
          <w:rtl/>
          <w:lang w:bidi="ar-MA"/>
        </w:rPr>
        <w:t>ف التفسير والتأويل والاستنباط على معرفة دلالة اللفظ على المعنى</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من جميع الجهات والزوايا والمستويات.</w:t>
      </w:r>
    </w:p>
    <w:p w:rsidR="005E4999" w:rsidRPr="00282AC9" w:rsidRDefault="00D722E4" w:rsidP="00A20690">
      <w:pPr>
        <w:rPr>
          <w:rFonts w:ascii="Times New Roman" w:hAnsi="Times New Roman"/>
          <w:sz w:val="27"/>
          <w:rtl/>
          <w:lang w:bidi="ar-MA"/>
        </w:rPr>
      </w:pPr>
      <w:r w:rsidRPr="00282AC9">
        <w:rPr>
          <w:rFonts w:ascii="Times New Roman" w:hAnsi="Times New Roman"/>
          <w:sz w:val="27"/>
          <w:rtl/>
          <w:lang w:bidi="ar-MA"/>
        </w:rPr>
        <w:t>فالدلالات هي التي ت</w:t>
      </w:r>
      <w:r w:rsidR="00347236" w:rsidRPr="00282AC9">
        <w:rPr>
          <w:rFonts w:ascii="Times New Roman" w:hAnsi="Times New Roman" w:hint="cs"/>
          <w:sz w:val="27"/>
          <w:rtl/>
          <w:lang w:bidi="ar-MA"/>
        </w:rPr>
        <w:t>ُ</w:t>
      </w:r>
      <w:r w:rsidRPr="00282AC9">
        <w:rPr>
          <w:rFonts w:ascii="Times New Roman" w:hAnsi="Times New Roman"/>
          <w:sz w:val="27"/>
          <w:rtl/>
          <w:lang w:bidi="ar-MA"/>
        </w:rPr>
        <w:t>عين الفقيه على استخراج واستنباط الأحكام من المنطوق</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وهي الق</w:t>
      </w:r>
      <w:r w:rsidR="00347236" w:rsidRPr="00282AC9">
        <w:rPr>
          <w:rFonts w:ascii="Times New Roman" w:hAnsi="Times New Roman" w:hint="cs"/>
          <w:sz w:val="27"/>
          <w:rtl/>
          <w:lang w:bidi="ar-MA"/>
        </w:rPr>
        <w:t>ض</w:t>
      </w:r>
      <w:r w:rsidRPr="00282AC9">
        <w:rPr>
          <w:rFonts w:ascii="Times New Roman" w:hAnsi="Times New Roman"/>
          <w:sz w:val="27"/>
          <w:rtl/>
          <w:lang w:bidi="ar-MA"/>
        </w:rPr>
        <w:t>ي</w:t>
      </w:r>
      <w:r w:rsidR="00347236" w:rsidRPr="00282AC9">
        <w:rPr>
          <w:rFonts w:ascii="Times New Roman" w:hAnsi="Times New Roman" w:hint="cs"/>
          <w:sz w:val="27"/>
          <w:rtl/>
          <w:lang w:bidi="ar-MA"/>
        </w:rPr>
        <w:t>ّ</w:t>
      </w:r>
      <w:r w:rsidRPr="00282AC9">
        <w:rPr>
          <w:rFonts w:ascii="Times New Roman" w:hAnsi="Times New Roman"/>
          <w:sz w:val="27"/>
          <w:rtl/>
          <w:lang w:bidi="ar-MA"/>
        </w:rPr>
        <w:t>ة المصر</w:t>
      </w:r>
      <w:r w:rsidR="00347236" w:rsidRPr="00282AC9">
        <w:rPr>
          <w:rFonts w:ascii="Times New Roman" w:hAnsi="Times New Roman" w:hint="cs"/>
          <w:sz w:val="27"/>
          <w:rtl/>
          <w:lang w:bidi="ar-MA"/>
        </w:rPr>
        <w:t>َّ</w:t>
      </w:r>
      <w:r w:rsidRPr="00282AC9">
        <w:rPr>
          <w:rFonts w:ascii="Times New Roman" w:hAnsi="Times New Roman"/>
          <w:sz w:val="27"/>
          <w:rtl/>
          <w:lang w:bidi="ar-MA"/>
        </w:rPr>
        <w:t>ح بها</w:t>
      </w:r>
      <w:r w:rsidR="00347236"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كما ت</w:t>
      </w:r>
      <w:r w:rsidR="00347236" w:rsidRPr="00282AC9">
        <w:rPr>
          <w:rFonts w:ascii="Times New Roman" w:hAnsi="Times New Roman" w:hint="cs"/>
          <w:sz w:val="27"/>
          <w:rtl/>
          <w:lang w:bidi="ar-MA"/>
        </w:rPr>
        <w:t>ُ</w:t>
      </w:r>
      <w:r w:rsidRPr="00282AC9">
        <w:rPr>
          <w:rFonts w:ascii="Times New Roman" w:hAnsi="Times New Roman"/>
          <w:sz w:val="27"/>
          <w:rtl/>
          <w:lang w:bidi="ar-MA"/>
        </w:rPr>
        <w:t>عينه على استنباط الأحكام من غير المصر</w:t>
      </w:r>
      <w:r w:rsidR="00347236" w:rsidRPr="00282AC9">
        <w:rPr>
          <w:rFonts w:ascii="Times New Roman" w:hAnsi="Times New Roman" w:hint="cs"/>
          <w:sz w:val="27"/>
          <w:rtl/>
          <w:lang w:bidi="ar-MA"/>
        </w:rPr>
        <w:t>َّ</w:t>
      </w:r>
      <w:r w:rsidRPr="00282AC9">
        <w:rPr>
          <w:rFonts w:ascii="Times New Roman" w:hAnsi="Times New Roman"/>
          <w:sz w:val="27"/>
          <w:rtl/>
          <w:lang w:bidi="ar-MA"/>
        </w:rPr>
        <w:t>ح به</w:t>
      </w:r>
      <w:r w:rsidRPr="00282AC9">
        <w:rPr>
          <w:rFonts w:ascii="Times New Roman" w:hAnsi="Times New Roman" w:hint="cs"/>
          <w:sz w:val="27"/>
          <w:rtl/>
          <w:lang w:bidi="ar-MA"/>
        </w:rPr>
        <w:t>، أ</w:t>
      </w:r>
      <w:r w:rsidRPr="00282AC9">
        <w:rPr>
          <w:rFonts w:ascii="Times New Roman" w:hAnsi="Times New Roman"/>
          <w:sz w:val="27"/>
          <w:rtl/>
          <w:lang w:bidi="ar-MA"/>
        </w:rPr>
        <w:t>ي من النص</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غير المصر</w:t>
      </w:r>
      <w:r w:rsidR="00347236" w:rsidRPr="00282AC9">
        <w:rPr>
          <w:rFonts w:ascii="Times New Roman" w:hAnsi="Times New Roman" w:hint="cs"/>
          <w:sz w:val="27"/>
          <w:rtl/>
          <w:lang w:bidi="ar-MA"/>
        </w:rPr>
        <w:t>َّ</w:t>
      </w:r>
      <w:r w:rsidRPr="00282AC9">
        <w:rPr>
          <w:rFonts w:ascii="Times New Roman" w:hAnsi="Times New Roman"/>
          <w:sz w:val="27"/>
          <w:rtl/>
          <w:lang w:bidi="ar-MA"/>
        </w:rPr>
        <w:t>ح به</w:t>
      </w:r>
      <w:r w:rsidR="00347236"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وهذا الشكل في الاستدلال ي</w:t>
      </w:r>
      <w:r w:rsidR="00347236" w:rsidRPr="00282AC9">
        <w:rPr>
          <w:rFonts w:ascii="Times New Roman" w:hAnsi="Times New Roman" w:hint="cs"/>
          <w:sz w:val="27"/>
          <w:rtl/>
          <w:lang w:bidi="ar-MA"/>
        </w:rPr>
        <w:t>ُ</w:t>
      </w:r>
      <w:r w:rsidRPr="00282AC9">
        <w:rPr>
          <w:rFonts w:ascii="Times New Roman" w:hAnsi="Times New Roman"/>
          <w:sz w:val="27"/>
          <w:rtl/>
          <w:lang w:bidi="ar-MA"/>
        </w:rPr>
        <w:t>ع</w:t>
      </w:r>
      <w:r w:rsidR="00347236" w:rsidRPr="00282AC9">
        <w:rPr>
          <w:rFonts w:ascii="Times New Roman" w:hAnsi="Times New Roman" w:hint="cs"/>
          <w:sz w:val="27"/>
          <w:rtl/>
          <w:lang w:bidi="ar-MA"/>
        </w:rPr>
        <w:t>ْ</w:t>
      </w:r>
      <w:r w:rsidRPr="00282AC9">
        <w:rPr>
          <w:rFonts w:ascii="Times New Roman" w:hAnsi="Times New Roman"/>
          <w:sz w:val="27"/>
          <w:rtl/>
          <w:lang w:bidi="ar-MA"/>
        </w:rPr>
        <w:t>ر</w:t>
      </w:r>
      <w:r w:rsidR="00347236" w:rsidRPr="00282AC9">
        <w:rPr>
          <w:rFonts w:ascii="Times New Roman" w:hAnsi="Times New Roman" w:hint="cs"/>
          <w:sz w:val="27"/>
          <w:rtl/>
          <w:lang w:bidi="ar-MA"/>
        </w:rPr>
        <w:t>َ</w:t>
      </w:r>
      <w:r w:rsidRPr="00282AC9">
        <w:rPr>
          <w:rFonts w:ascii="Times New Roman" w:hAnsi="Times New Roman"/>
          <w:sz w:val="27"/>
          <w:rtl/>
          <w:lang w:bidi="ar-MA"/>
        </w:rPr>
        <w:t>ف عند المناطقة ب</w:t>
      </w:r>
      <w:r w:rsidR="00347236" w:rsidRPr="00282AC9">
        <w:rPr>
          <w:rFonts w:ascii="Times New Roman" w:hAnsi="Times New Roman" w:hint="cs"/>
          <w:sz w:val="27"/>
          <w:rtl/>
          <w:lang w:bidi="ar-MA"/>
        </w:rPr>
        <w:t>ـ (</w:t>
      </w:r>
      <w:r w:rsidRPr="00282AC9">
        <w:rPr>
          <w:rFonts w:ascii="Times New Roman" w:hAnsi="Times New Roman"/>
          <w:sz w:val="27"/>
          <w:rtl/>
          <w:lang w:bidi="ar-MA"/>
        </w:rPr>
        <w:t>قواعد التوليد والاستدلال</w:t>
      </w:r>
      <w:r w:rsidR="00347236" w:rsidRPr="00282AC9">
        <w:rPr>
          <w:rFonts w:ascii="Times New Roman" w:hAnsi="Times New Roman" w:hint="cs"/>
          <w:sz w:val="27"/>
          <w:rtl/>
          <w:lang w:bidi="ar-MA"/>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7"/>
      </w:r>
      <w:r w:rsidRPr="00282AC9">
        <w:rPr>
          <w:rFonts w:ascii="Times New Roman" w:hAnsi="Times New Roman"/>
          <w:sz w:val="27"/>
          <w:vertAlign w:val="superscript"/>
          <w:rtl/>
          <w:lang w:bidi="ar-MA"/>
        </w:rPr>
        <w:t>)</w:t>
      </w:r>
      <w:r w:rsidR="00347236"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وب</w:t>
      </w:r>
      <w:r w:rsidR="00347236" w:rsidRPr="00282AC9">
        <w:rPr>
          <w:rFonts w:ascii="Times New Roman" w:hAnsi="Times New Roman" w:hint="cs"/>
          <w:sz w:val="27"/>
          <w:rtl/>
          <w:lang w:bidi="ar-MA"/>
        </w:rPr>
        <w:t>ـ (</w:t>
      </w:r>
      <w:r w:rsidRPr="00282AC9">
        <w:rPr>
          <w:rFonts w:ascii="Times New Roman" w:hAnsi="Times New Roman"/>
          <w:sz w:val="27"/>
          <w:rtl/>
          <w:lang w:bidi="ar-MA"/>
        </w:rPr>
        <w:t>تحصيل المسكوت من المنطوق</w:t>
      </w:r>
      <w:r w:rsidR="00347236"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ومن هنا ع</w:t>
      </w:r>
      <w:r w:rsidR="00347236" w:rsidRPr="00282AC9">
        <w:rPr>
          <w:rFonts w:ascii="Times New Roman" w:hAnsi="Times New Roman" w:hint="cs"/>
          <w:sz w:val="27"/>
          <w:rtl/>
          <w:lang w:bidi="ar-MA"/>
        </w:rPr>
        <w:t>ُ</w:t>
      </w:r>
      <w:r w:rsidRPr="00282AC9">
        <w:rPr>
          <w:rFonts w:ascii="Times New Roman" w:hAnsi="Times New Roman"/>
          <w:sz w:val="27"/>
          <w:rtl/>
          <w:lang w:bidi="ar-MA"/>
        </w:rPr>
        <w:t>د</w:t>
      </w:r>
      <w:r w:rsidR="00347236" w:rsidRPr="00282AC9">
        <w:rPr>
          <w:rFonts w:ascii="Times New Roman" w:hAnsi="Times New Roman" w:hint="cs"/>
          <w:sz w:val="27"/>
          <w:rtl/>
          <w:lang w:bidi="ar-MA"/>
        </w:rPr>
        <w:t>َّ</w:t>
      </w:r>
      <w:r w:rsidRPr="00282AC9">
        <w:rPr>
          <w:rFonts w:ascii="Times New Roman" w:hAnsi="Times New Roman"/>
          <w:sz w:val="27"/>
          <w:rtl/>
          <w:lang w:bidi="ar-MA"/>
        </w:rPr>
        <w:t>ت</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جهة الدلالات عمدة علم الأصول</w:t>
      </w:r>
      <w:r w:rsidR="00347236"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ف</w:t>
      </w:r>
      <w:r w:rsidR="00674EF5" w:rsidRPr="00282AC9">
        <w:rPr>
          <w:rFonts w:ascii="Times New Roman" w:hAnsi="Times New Roman"/>
          <w:sz w:val="27"/>
          <w:rtl/>
          <w:lang w:bidi="ar-MA"/>
        </w:rPr>
        <w:t>لا بُدَّ</w:t>
      </w:r>
      <w:r w:rsidRPr="00282AC9">
        <w:rPr>
          <w:rFonts w:ascii="Times New Roman" w:hAnsi="Times New Roman"/>
          <w:sz w:val="27"/>
          <w:rtl/>
          <w:lang w:bidi="ar-MA"/>
        </w:rPr>
        <w:t xml:space="preserve"> في التفسير من إدراك</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سليم ومعرفة</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عميقة بدلالات الألفاظ على المعاني، وبالتغي</w:t>
      </w:r>
      <w:r w:rsidR="00347236" w:rsidRPr="00282AC9">
        <w:rPr>
          <w:rFonts w:ascii="Times New Roman" w:hAnsi="Times New Roman" w:hint="cs"/>
          <w:sz w:val="27"/>
          <w:rtl/>
          <w:lang w:bidi="ar-MA"/>
        </w:rPr>
        <w:t>ُّ</w:t>
      </w:r>
      <w:r w:rsidRPr="00282AC9">
        <w:rPr>
          <w:rFonts w:ascii="Times New Roman" w:hAnsi="Times New Roman"/>
          <w:sz w:val="27"/>
          <w:rtl/>
          <w:lang w:bidi="ar-MA"/>
        </w:rPr>
        <w:t>ر الذي يطرأ على دلالة الخطاب</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ت</w:t>
      </w:r>
      <w:r w:rsidR="00347236" w:rsidRPr="00282AC9">
        <w:rPr>
          <w:rFonts w:ascii="Times New Roman" w:hAnsi="Times New Roman" w:hint="cs"/>
          <w:sz w:val="27"/>
          <w:rtl/>
          <w:lang w:bidi="ar-MA"/>
        </w:rPr>
        <w:t>َ</w:t>
      </w:r>
      <w:r w:rsidRPr="00282AC9">
        <w:rPr>
          <w:rFonts w:ascii="Times New Roman" w:hAnsi="Times New Roman"/>
          <w:sz w:val="27"/>
          <w:rtl/>
          <w:lang w:bidi="ar-MA"/>
        </w:rPr>
        <w:t>ب</w:t>
      </w:r>
      <w:r w:rsidR="00347236" w:rsidRPr="00282AC9">
        <w:rPr>
          <w:rFonts w:ascii="Times New Roman" w:hAnsi="Times New Roman" w:hint="cs"/>
          <w:sz w:val="27"/>
          <w:rtl/>
          <w:lang w:bidi="ar-MA"/>
        </w:rPr>
        <w:t>َ</w:t>
      </w:r>
      <w:r w:rsidRPr="00282AC9">
        <w:rPr>
          <w:rFonts w:ascii="Times New Roman" w:hAnsi="Times New Roman"/>
          <w:sz w:val="27"/>
          <w:rtl/>
          <w:lang w:bidi="ar-MA"/>
        </w:rPr>
        <w:t>ع</w:t>
      </w:r>
      <w:r w:rsidRPr="00282AC9">
        <w:rPr>
          <w:rFonts w:ascii="Times New Roman" w:hAnsi="Times New Roman" w:hint="cs"/>
          <w:sz w:val="27"/>
          <w:rtl/>
          <w:lang w:bidi="ar-MA"/>
        </w:rPr>
        <w:t>اً</w:t>
      </w:r>
      <w:r w:rsidRPr="00282AC9">
        <w:rPr>
          <w:rFonts w:ascii="Times New Roman" w:hAnsi="Times New Roman"/>
          <w:sz w:val="27"/>
          <w:rtl/>
          <w:lang w:bidi="ar-MA"/>
        </w:rPr>
        <w:t xml:space="preserve"> للسياق المحيط بالخطاب</w:t>
      </w:r>
      <w:r w:rsidR="00347236"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ولهذا الغرض نظر علماء أصول الفقه في الألفاظ في علاقتها بالمعاني في جميع الجهات</w:t>
      </w:r>
      <w:r w:rsidRPr="00282AC9">
        <w:rPr>
          <w:rFonts w:ascii="Times New Roman" w:hAnsi="Times New Roman" w:hint="cs"/>
          <w:sz w:val="27"/>
          <w:rtl/>
          <w:lang w:bidi="ar-MA"/>
        </w:rPr>
        <w:t xml:space="preserve">، </w:t>
      </w:r>
      <w:r w:rsidRPr="00282AC9">
        <w:rPr>
          <w:rFonts w:ascii="Times New Roman" w:hAnsi="Times New Roman"/>
          <w:sz w:val="27"/>
          <w:rtl/>
          <w:lang w:bidi="ar-MA"/>
        </w:rPr>
        <w:t>كما انصر</w:t>
      </w:r>
      <w:r w:rsidR="00347236" w:rsidRPr="00282AC9">
        <w:rPr>
          <w:rFonts w:ascii="Times New Roman" w:hAnsi="Times New Roman" w:hint="cs"/>
          <w:sz w:val="27"/>
          <w:rtl/>
          <w:lang w:bidi="ar-MA"/>
        </w:rPr>
        <w:t>َ</w:t>
      </w:r>
      <w:r w:rsidRPr="00282AC9">
        <w:rPr>
          <w:rFonts w:ascii="Times New Roman" w:hAnsi="Times New Roman"/>
          <w:sz w:val="27"/>
          <w:rtl/>
          <w:lang w:bidi="ar-MA"/>
        </w:rPr>
        <w:t>ف</w:t>
      </w:r>
      <w:r w:rsidR="00347236" w:rsidRPr="00282AC9">
        <w:rPr>
          <w:rFonts w:ascii="Times New Roman" w:hAnsi="Times New Roman" w:hint="cs"/>
          <w:sz w:val="27"/>
          <w:rtl/>
          <w:lang w:bidi="ar-MA"/>
        </w:rPr>
        <w:t>َ</w:t>
      </w:r>
      <w:r w:rsidRPr="00282AC9">
        <w:rPr>
          <w:rFonts w:ascii="Times New Roman" w:hAnsi="Times New Roman"/>
          <w:sz w:val="27"/>
          <w:rtl/>
          <w:lang w:bidi="ar-MA"/>
        </w:rPr>
        <w:t>ت</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عنايتهم إلى الإلمام بالمقتضيات المحيطة بالخطاب</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لأن الكلام الواحد تختلف دلالت</w:t>
      </w:r>
      <w:r w:rsidR="00347236" w:rsidRPr="00282AC9">
        <w:rPr>
          <w:rFonts w:ascii="Times New Roman" w:hAnsi="Times New Roman" w:hint="cs"/>
          <w:sz w:val="27"/>
          <w:rtl/>
          <w:lang w:bidi="ar-MA"/>
        </w:rPr>
        <w:t>ُ</w:t>
      </w:r>
      <w:r w:rsidRPr="00282AC9">
        <w:rPr>
          <w:rFonts w:ascii="Times New Roman" w:hAnsi="Times New Roman"/>
          <w:sz w:val="27"/>
          <w:rtl/>
          <w:lang w:bidi="ar-MA"/>
        </w:rPr>
        <w:t>ه ت</w:t>
      </w:r>
      <w:r w:rsidR="00347236" w:rsidRPr="00282AC9">
        <w:rPr>
          <w:rFonts w:ascii="Times New Roman" w:hAnsi="Times New Roman" w:hint="cs"/>
          <w:sz w:val="27"/>
          <w:rtl/>
          <w:lang w:bidi="ar-MA"/>
        </w:rPr>
        <w:t>َ</w:t>
      </w:r>
      <w:r w:rsidRPr="00282AC9">
        <w:rPr>
          <w:rFonts w:ascii="Times New Roman" w:hAnsi="Times New Roman"/>
          <w:sz w:val="27"/>
          <w:rtl/>
          <w:lang w:bidi="ar-MA"/>
        </w:rPr>
        <w:t>ب</w:t>
      </w:r>
      <w:r w:rsidR="00347236" w:rsidRPr="00282AC9">
        <w:rPr>
          <w:rFonts w:ascii="Times New Roman" w:hAnsi="Times New Roman" w:hint="cs"/>
          <w:sz w:val="27"/>
          <w:rtl/>
          <w:lang w:bidi="ar-MA"/>
        </w:rPr>
        <w:t>َ</w:t>
      </w:r>
      <w:r w:rsidRPr="00282AC9">
        <w:rPr>
          <w:rFonts w:ascii="Times New Roman" w:hAnsi="Times New Roman"/>
          <w:sz w:val="27"/>
          <w:rtl/>
          <w:lang w:bidi="ar-MA"/>
        </w:rPr>
        <w:t>عا</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للمقتضيات المحيطة به. </w:t>
      </w:r>
    </w:p>
    <w:p w:rsidR="005E4999" w:rsidRPr="00282AC9" w:rsidRDefault="00D722E4" w:rsidP="00A20690">
      <w:pPr>
        <w:rPr>
          <w:rFonts w:ascii="Times New Roman" w:hAnsi="Times New Roman"/>
          <w:sz w:val="27"/>
          <w:rtl/>
          <w:lang w:bidi="ar-MA"/>
        </w:rPr>
      </w:pPr>
      <w:r w:rsidRPr="00282AC9">
        <w:rPr>
          <w:rFonts w:ascii="Times New Roman" w:hAnsi="Times New Roman"/>
          <w:sz w:val="27"/>
          <w:rtl/>
          <w:lang w:bidi="ar-MA"/>
        </w:rPr>
        <w:t>فدلالة الألفاظ تابعة</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لقصد المتكل</w:t>
      </w:r>
      <w:r w:rsidR="00347236" w:rsidRPr="00282AC9">
        <w:rPr>
          <w:rFonts w:ascii="Times New Roman" w:hAnsi="Times New Roman" w:hint="cs"/>
          <w:sz w:val="27"/>
          <w:rtl/>
          <w:lang w:bidi="ar-MA"/>
        </w:rPr>
        <w:t>ِّ</w:t>
      </w:r>
      <w:r w:rsidRPr="00282AC9">
        <w:rPr>
          <w:rFonts w:ascii="Times New Roman" w:hAnsi="Times New Roman"/>
          <w:sz w:val="27"/>
          <w:rtl/>
          <w:lang w:bidi="ar-MA"/>
        </w:rPr>
        <w:t>م وإرادته</w:t>
      </w:r>
      <w:r w:rsidRPr="00282AC9">
        <w:rPr>
          <w:rFonts w:ascii="Times New Roman" w:hAnsi="Times New Roman" w:hint="cs"/>
          <w:sz w:val="27"/>
          <w:rtl/>
          <w:lang w:bidi="ar-MA"/>
        </w:rPr>
        <w:t xml:space="preserve">، </w:t>
      </w:r>
      <w:r w:rsidRPr="00282AC9">
        <w:rPr>
          <w:rFonts w:ascii="Times New Roman" w:hAnsi="Times New Roman"/>
          <w:sz w:val="27"/>
          <w:rtl/>
          <w:lang w:bidi="ar-MA"/>
        </w:rPr>
        <w:t>ومن ثم</w:t>
      </w:r>
      <w:r w:rsidR="00347236" w:rsidRPr="00282AC9">
        <w:rPr>
          <w:rFonts w:ascii="Times New Roman" w:hAnsi="Times New Roman" w:hint="cs"/>
          <w:sz w:val="27"/>
          <w:rtl/>
          <w:lang w:bidi="ar-MA"/>
        </w:rPr>
        <w:t>ّ</w:t>
      </w:r>
      <w:r w:rsidRPr="00282AC9">
        <w:rPr>
          <w:rFonts w:ascii="Times New Roman" w:hAnsi="Times New Roman"/>
          <w:sz w:val="27"/>
          <w:rtl/>
          <w:lang w:bidi="ar-MA"/>
        </w:rPr>
        <w:t xml:space="preserve"> </w:t>
      </w:r>
      <w:r w:rsidR="00674EF5" w:rsidRPr="00282AC9">
        <w:rPr>
          <w:rFonts w:ascii="Times New Roman" w:hAnsi="Times New Roman"/>
          <w:sz w:val="27"/>
          <w:rtl/>
          <w:lang w:bidi="ar-MA"/>
        </w:rPr>
        <w:t>لا بُدَّ</w:t>
      </w:r>
      <w:r w:rsidRPr="00282AC9">
        <w:rPr>
          <w:rFonts w:ascii="Times New Roman" w:hAnsi="Times New Roman"/>
          <w:sz w:val="27"/>
          <w:rtl/>
          <w:lang w:bidi="ar-MA"/>
        </w:rPr>
        <w:t xml:space="preserve"> من معرفة القصد </w:t>
      </w:r>
      <w:r w:rsidRPr="00282AC9">
        <w:rPr>
          <w:rFonts w:ascii="Times New Roman" w:hAnsi="Times New Roman"/>
          <w:sz w:val="27"/>
          <w:rtl/>
          <w:lang w:bidi="ar-MA"/>
        </w:rPr>
        <w:lastRenderedPageBreak/>
        <w:t>والإرادة في التخاطب</w:t>
      </w:r>
      <w:r w:rsidR="005E4999" w:rsidRPr="00282AC9">
        <w:rPr>
          <w:rFonts w:ascii="Times New Roman" w:hAnsi="Times New Roman" w:hint="cs"/>
          <w:sz w:val="27"/>
          <w:rtl/>
          <w:lang w:bidi="ar-MA"/>
        </w:rPr>
        <w:t>؛</w:t>
      </w:r>
      <w:r w:rsidRPr="00282AC9">
        <w:rPr>
          <w:rFonts w:ascii="Times New Roman" w:hAnsi="Times New Roman"/>
          <w:sz w:val="27"/>
          <w:rtl/>
          <w:lang w:bidi="ar-MA"/>
        </w:rPr>
        <w:t xml:space="preserve"> بتحكيم السياق، وإعمال القرائن المحيطة بالنص</w:t>
      </w:r>
      <w:r w:rsidR="005E4999" w:rsidRPr="00282AC9">
        <w:rPr>
          <w:rFonts w:ascii="Times New Roman" w:hAnsi="Times New Roman" w:hint="cs"/>
          <w:sz w:val="27"/>
          <w:rtl/>
          <w:lang w:bidi="ar-MA"/>
        </w:rPr>
        <w:t>ّ؛</w:t>
      </w:r>
      <w:r w:rsidRPr="00282AC9">
        <w:rPr>
          <w:rFonts w:ascii="Times New Roman" w:hAnsi="Times New Roman"/>
          <w:sz w:val="27"/>
          <w:rtl/>
          <w:lang w:bidi="ar-MA"/>
        </w:rPr>
        <w:t xml:space="preserve"> ل</w:t>
      </w:r>
      <w:r w:rsidRPr="00282AC9">
        <w:rPr>
          <w:rFonts w:ascii="Times New Roman" w:hAnsi="Times New Roman" w:hint="cs"/>
          <w:sz w:val="27"/>
          <w:rtl/>
          <w:lang w:bidi="ar-MA"/>
        </w:rPr>
        <w:t>أ</w:t>
      </w:r>
      <w:r w:rsidRPr="00282AC9">
        <w:rPr>
          <w:rFonts w:ascii="Times New Roman" w:hAnsi="Times New Roman"/>
          <w:sz w:val="27"/>
          <w:rtl/>
          <w:lang w:bidi="ar-MA"/>
        </w:rPr>
        <w:t>ن السياق حاكم</w:t>
      </w:r>
      <w:r w:rsidR="005E4999" w:rsidRPr="00282AC9">
        <w:rPr>
          <w:rFonts w:ascii="Times New Roman" w:hAnsi="Times New Roman" w:hint="cs"/>
          <w:sz w:val="27"/>
          <w:rtl/>
          <w:lang w:bidi="ar-MA"/>
        </w:rPr>
        <w:t>ٌ،</w:t>
      </w:r>
      <w:r w:rsidRPr="00282AC9">
        <w:rPr>
          <w:rFonts w:ascii="Times New Roman" w:hAnsi="Times New Roman"/>
          <w:sz w:val="27"/>
          <w:rtl/>
          <w:lang w:bidi="ar-MA"/>
        </w:rPr>
        <w:t xml:space="preserve"> كما صر</w:t>
      </w:r>
      <w:r w:rsidR="005E4999" w:rsidRPr="00282AC9">
        <w:rPr>
          <w:rFonts w:ascii="Times New Roman" w:hAnsi="Times New Roman" w:hint="cs"/>
          <w:sz w:val="27"/>
          <w:rtl/>
          <w:lang w:bidi="ar-MA"/>
        </w:rPr>
        <w:t>َّ</w:t>
      </w:r>
      <w:r w:rsidRPr="00282AC9">
        <w:rPr>
          <w:rFonts w:ascii="Times New Roman" w:hAnsi="Times New Roman"/>
          <w:sz w:val="27"/>
          <w:rtl/>
          <w:lang w:bidi="ar-MA"/>
        </w:rPr>
        <w:t>ح بذلك علماء الأصول</w:t>
      </w:r>
      <w:r w:rsidR="005E4999"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وي</w:t>
      </w:r>
      <w:r w:rsidR="005E4999" w:rsidRPr="00282AC9">
        <w:rPr>
          <w:rFonts w:ascii="Times New Roman" w:hAnsi="Times New Roman" w:hint="cs"/>
          <w:sz w:val="27"/>
          <w:rtl/>
          <w:lang w:bidi="ar-MA"/>
        </w:rPr>
        <w:t>ُ</w:t>
      </w:r>
      <w:r w:rsidRPr="00282AC9">
        <w:rPr>
          <w:rFonts w:ascii="Times New Roman" w:hAnsi="Times New Roman"/>
          <w:sz w:val="27"/>
          <w:rtl/>
          <w:lang w:bidi="ar-MA"/>
        </w:rPr>
        <w:t>ع</w:t>
      </w:r>
      <w:r w:rsidR="005E4999" w:rsidRPr="00282AC9">
        <w:rPr>
          <w:rFonts w:ascii="Times New Roman" w:hAnsi="Times New Roman" w:hint="cs"/>
          <w:sz w:val="27"/>
          <w:rtl/>
          <w:lang w:bidi="ar-MA"/>
        </w:rPr>
        <w:t>َ</w:t>
      </w:r>
      <w:r w:rsidRPr="00282AC9">
        <w:rPr>
          <w:rFonts w:ascii="Times New Roman" w:hAnsi="Times New Roman"/>
          <w:sz w:val="27"/>
          <w:rtl/>
          <w:lang w:bidi="ar-MA"/>
        </w:rPr>
        <w:t>د</w:t>
      </w:r>
      <w:r w:rsidR="005E4999" w:rsidRPr="00282AC9">
        <w:rPr>
          <w:rFonts w:ascii="Times New Roman" w:hAnsi="Times New Roman" w:hint="cs"/>
          <w:sz w:val="27"/>
          <w:rtl/>
          <w:lang w:bidi="ar-MA"/>
        </w:rPr>
        <w:t>ّ</w:t>
      </w:r>
      <w:r w:rsidRPr="00282AC9">
        <w:rPr>
          <w:rFonts w:ascii="Times New Roman" w:hAnsi="Times New Roman"/>
          <w:sz w:val="27"/>
          <w:rtl/>
          <w:lang w:bidi="ar-MA"/>
        </w:rPr>
        <w:t xml:space="preserve"> مبحث الدلالة عند الأصولي</w:t>
      </w:r>
      <w:r w:rsidR="005E4999" w:rsidRPr="00282AC9">
        <w:rPr>
          <w:rFonts w:ascii="Times New Roman" w:hAnsi="Times New Roman" w:hint="cs"/>
          <w:sz w:val="27"/>
          <w:rtl/>
          <w:lang w:bidi="ar-MA"/>
        </w:rPr>
        <w:t>ّ</w:t>
      </w:r>
      <w:r w:rsidRPr="00282AC9">
        <w:rPr>
          <w:rFonts w:ascii="Times New Roman" w:hAnsi="Times New Roman"/>
          <w:sz w:val="27"/>
          <w:rtl/>
          <w:lang w:bidi="ar-MA"/>
        </w:rPr>
        <w:t>ين الأساس الذي يتأس</w:t>
      </w:r>
      <w:r w:rsidR="005E4999" w:rsidRPr="00282AC9">
        <w:rPr>
          <w:rFonts w:ascii="Times New Roman" w:hAnsi="Times New Roman" w:hint="cs"/>
          <w:sz w:val="27"/>
          <w:rtl/>
          <w:lang w:bidi="ar-MA"/>
        </w:rPr>
        <w:t>َّ</w:t>
      </w:r>
      <w:r w:rsidRPr="00282AC9">
        <w:rPr>
          <w:rFonts w:ascii="Times New Roman" w:hAnsi="Times New Roman"/>
          <w:sz w:val="27"/>
          <w:rtl/>
          <w:lang w:bidi="ar-MA"/>
        </w:rPr>
        <w:t>س عليه بناء علم أصول الفقه</w:t>
      </w:r>
      <w:r w:rsidR="005E4999"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وقد كشف عن هذا الإمام الغزالي</w:t>
      </w:r>
      <w:r w:rsidR="005E4999" w:rsidRPr="00282AC9">
        <w:rPr>
          <w:rFonts w:ascii="Times New Roman" w:hAnsi="Times New Roman" w:hint="cs"/>
          <w:sz w:val="27"/>
          <w:rtl/>
          <w:lang w:bidi="ar-MA"/>
        </w:rPr>
        <w:t>(</w:t>
      </w:r>
      <w:r w:rsidRPr="00282AC9">
        <w:rPr>
          <w:rFonts w:ascii="Times New Roman" w:hAnsi="Times New Roman"/>
          <w:sz w:val="27"/>
          <w:rtl/>
          <w:lang w:bidi="ar-MA"/>
        </w:rPr>
        <w:t>505ه</w:t>
      </w:r>
      <w:r w:rsidR="005E4999" w:rsidRPr="00282AC9">
        <w:rPr>
          <w:rFonts w:ascii="Times New Roman" w:hAnsi="Times New Roman" w:hint="cs"/>
          <w:sz w:val="27"/>
          <w:rtl/>
          <w:lang w:bidi="ar-MA"/>
        </w:rPr>
        <w:t>ـ)،</w:t>
      </w:r>
      <w:r w:rsidRPr="00282AC9">
        <w:rPr>
          <w:rFonts w:ascii="Times New Roman" w:hAnsi="Times New Roman" w:hint="cs"/>
          <w:sz w:val="27"/>
          <w:rtl/>
          <w:lang w:bidi="ar-MA"/>
        </w:rPr>
        <w:t xml:space="preserve"> </w:t>
      </w:r>
      <w:r w:rsidRPr="00282AC9">
        <w:rPr>
          <w:rFonts w:ascii="Times New Roman" w:hAnsi="Times New Roman"/>
          <w:sz w:val="27"/>
          <w:rtl/>
          <w:lang w:bidi="ar-MA"/>
        </w:rPr>
        <w:t xml:space="preserve">عندما قال في </w:t>
      </w:r>
      <w:r w:rsidRPr="00282AC9">
        <w:rPr>
          <w:rFonts w:hint="eastAsia"/>
          <w:sz w:val="24"/>
          <w:szCs w:val="24"/>
          <w:rtl/>
          <w:lang w:bidi="ar-MA"/>
        </w:rPr>
        <w:t>«</w:t>
      </w:r>
      <w:r w:rsidRPr="00282AC9">
        <w:rPr>
          <w:rFonts w:ascii="Times New Roman" w:hAnsi="Times New Roman"/>
          <w:sz w:val="27"/>
          <w:rtl/>
          <w:lang w:bidi="ar-MA"/>
        </w:rPr>
        <w:t>المستصفى</w:t>
      </w:r>
      <w:r w:rsidRPr="00282AC9">
        <w:rPr>
          <w:rFonts w:hint="eastAsia"/>
          <w:sz w:val="24"/>
          <w:szCs w:val="24"/>
          <w:rtl/>
        </w:rPr>
        <w:t>»</w:t>
      </w:r>
      <w:r w:rsidRPr="00282AC9">
        <w:rPr>
          <w:rFonts w:ascii="Times New Roman" w:hAnsi="Times New Roman"/>
          <w:sz w:val="27"/>
          <w:rtl/>
          <w:lang w:bidi="ar-MA"/>
        </w:rPr>
        <w:t xml:space="preserve">: </w:t>
      </w:r>
      <w:r w:rsidRPr="00282AC9">
        <w:rPr>
          <w:rFonts w:hint="eastAsia"/>
          <w:sz w:val="24"/>
          <w:szCs w:val="24"/>
          <w:rtl/>
          <w:lang w:bidi="ar-MA"/>
        </w:rPr>
        <w:t>«</w:t>
      </w:r>
      <w:r w:rsidRPr="00282AC9">
        <w:rPr>
          <w:rFonts w:ascii="Times New Roman" w:hAnsi="Times New Roman"/>
          <w:sz w:val="27"/>
          <w:rtl/>
          <w:lang w:bidi="ar-MA"/>
        </w:rPr>
        <w:t>اعل</w:t>
      </w:r>
      <w:r w:rsidR="005E4999" w:rsidRPr="00282AC9">
        <w:rPr>
          <w:rFonts w:ascii="Times New Roman" w:hAnsi="Times New Roman" w:hint="cs"/>
          <w:sz w:val="27"/>
          <w:rtl/>
          <w:lang w:bidi="ar-MA"/>
        </w:rPr>
        <w:t>َ</w:t>
      </w:r>
      <w:r w:rsidRPr="00282AC9">
        <w:rPr>
          <w:rFonts w:ascii="Times New Roman" w:hAnsi="Times New Roman"/>
          <w:sz w:val="27"/>
          <w:rtl/>
          <w:lang w:bidi="ar-MA"/>
        </w:rPr>
        <w:t>م</w:t>
      </w:r>
      <w:r w:rsidR="005E4999" w:rsidRPr="00282AC9">
        <w:rPr>
          <w:rFonts w:ascii="Times New Roman" w:hAnsi="Times New Roman" w:hint="cs"/>
          <w:sz w:val="27"/>
          <w:rtl/>
          <w:lang w:bidi="ar-MA"/>
        </w:rPr>
        <w:t>ْ</w:t>
      </w:r>
      <w:r w:rsidRPr="00282AC9">
        <w:rPr>
          <w:rFonts w:ascii="Times New Roman" w:hAnsi="Times New Roman"/>
          <w:sz w:val="27"/>
          <w:rtl/>
          <w:lang w:bidi="ar-MA"/>
        </w:rPr>
        <w:t xml:space="preserve"> أن هذا القطب هو عمدة علم الأصول</w:t>
      </w:r>
      <w:r w:rsidR="005E4999"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لأنه ميدان</w:t>
      </w:r>
      <w:r w:rsidR="005E4999" w:rsidRPr="00282AC9">
        <w:rPr>
          <w:rFonts w:ascii="Times New Roman" w:hAnsi="Times New Roman" w:hint="cs"/>
          <w:sz w:val="27"/>
          <w:rtl/>
          <w:lang w:bidi="ar-MA"/>
        </w:rPr>
        <w:t>ُ</w:t>
      </w:r>
      <w:r w:rsidRPr="00282AC9">
        <w:rPr>
          <w:rFonts w:ascii="Times New Roman" w:hAnsi="Times New Roman"/>
          <w:sz w:val="27"/>
          <w:rtl/>
          <w:lang w:bidi="ar-MA"/>
        </w:rPr>
        <w:t xml:space="preserve"> س</w:t>
      </w:r>
      <w:r w:rsidR="005E4999" w:rsidRPr="00282AC9">
        <w:rPr>
          <w:rFonts w:ascii="Times New Roman" w:hAnsi="Times New Roman" w:hint="cs"/>
          <w:sz w:val="27"/>
          <w:rtl/>
          <w:lang w:bidi="ar-MA"/>
        </w:rPr>
        <w:t>َ</w:t>
      </w:r>
      <w:r w:rsidRPr="00282AC9">
        <w:rPr>
          <w:rFonts w:ascii="Times New Roman" w:hAnsi="Times New Roman"/>
          <w:sz w:val="27"/>
          <w:rtl/>
          <w:lang w:bidi="ar-MA"/>
        </w:rPr>
        <w:t>ع</w:t>
      </w:r>
      <w:r w:rsidR="005E4999" w:rsidRPr="00282AC9">
        <w:rPr>
          <w:rFonts w:ascii="Times New Roman" w:hAnsi="Times New Roman" w:hint="cs"/>
          <w:sz w:val="27"/>
          <w:rtl/>
          <w:lang w:bidi="ar-MA"/>
        </w:rPr>
        <w:t>ْ</w:t>
      </w:r>
      <w:r w:rsidRPr="00282AC9">
        <w:rPr>
          <w:rFonts w:ascii="Times New Roman" w:hAnsi="Times New Roman"/>
          <w:sz w:val="27"/>
          <w:rtl/>
          <w:lang w:bidi="ar-MA"/>
        </w:rPr>
        <w:t>ي المجتهدين</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في اقتباس الأحكام من أصولها</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واجتنائها من أغصانها</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8"/>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ومم</w:t>
      </w:r>
      <w:r w:rsidR="00254E2F" w:rsidRPr="00282AC9">
        <w:rPr>
          <w:rFonts w:ascii="Times New Roman" w:hAnsi="Times New Roman" w:hint="cs"/>
          <w:sz w:val="27"/>
          <w:rtl/>
          <w:lang w:bidi="ar-MA"/>
        </w:rPr>
        <w:t>ّ</w:t>
      </w:r>
      <w:r w:rsidRPr="00282AC9">
        <w:rPr>
          <w:rFonts w:ascii="Times New Roman" w:hAnsi="Times New Roman"/>
          <w:sz w:val="27"/>
          <w:rtl/>
          <w:lang w:bidi="ar-MA"/>
        </w:rPr>
        <w:t>ا حف</w:t>
      </w:r>
      <w:r w:rsidR="00254E2F" w:rsidRPr="00282AC9">
        <w:rPr>
          <w:rFonts w:ascii="Times New Roman" w:hAnsi="Times New Roman" w:hint="cs"/>
          <w:sz w:val="27"/>
          <w:rtl/>
          <w:lang w:bidi="ar-MA"/>
        </w:rPr>
        <w:t>ّ</w:t>
      </w:r>
      <w:r w:rsidRPr="00282AC9">
        <w:rPr>
          <w:rFonts w:ascii="Times New Roman" w:hAnsi="Times New Roman"/>
          <w:sz w:val="27"/>
          <w:rtl/>
          <w:lang w:bidi="ar-MA"/>
        </w:rPr>
        <w:t>ز الأصولي</w:t>
      </w:r>
      <w:r w:rsidR="00254E2F" w:rsidRPr="00282AC9">
        <w:rPr>
          <w:rFonts w:ascii="Times New Roman" w:hAnsi="Times New Roman" w:hint="cs"/>
          <w:sz w:val="27"/>
          <w:rtl/>
          <w:lang w:bidi="ar-MA"/>
        </w:rPr>
        <w:t>ّ</w:t>
      </w:r>
      <w:r w:rsidRPr="00282AC9">
        <w:rPr>
          <w:rFonts w:ascii="Times New Roman" w:hAnsi="Times New Roman"/>
          <w:sz w:val="27"/>
          <w:rtl/>
          <w:lang w:bidi="ar-MA"/>
        </w:rPr>
        <w:t>ين على التوس</w:t>
      </w:r>
      <w:r w:rsidR="00254E2F" w:rsidRPr="00282AC9">
        <w:rPr>
          <w:rFonts w:ascii="Times New Roman" w:hAnsi="Times New Roman" w:hint="cs"/>
          <w:sz w:val="27"/>
          <w:rtl/>
          <w:lang w:bidi="ar-MA"/>
        </w:rPr>
        <w:t>ُّ</w:t>
      </w:r>
      <w:r w:rsidRPr="00282AC9">
        <w:rPr>
          <w:rFonts w:ascii="Times New Roman" w:hAnsi="Times New Roman"/>
          <w:sz w:val="27"/>
          <w:rtl/>
          <w:lang w:bidi="ar-MA"/>
        </w:rPr>
        <w:t>ع في المباحث اللغوي</w:t>
      </w:r>
      <w:r w:rsidR="00254E2F" w:rsidRPr="00282AC9">
        <w:rPr>
          <w:rFonts w:ascii="Times New Roman" w:hAnsi="Times New Roman" w:hint="cs"/>
          <w:sz w:val="27"/>
          <w:rtl/>
          <w:lang w:bidi="ar-MA"/>
        </w:rPr>
        <w:t>ّ</w:t>
      </w:r>
      <w:r w:rsidRPr="00282AC9">
        <w:rPr>
          <w:rFonts w:ascii="Times New Roman" w:hAnsi="Times New Roman"/>
          <w:sz w:val="27"/>
          <w:rtl/>
          <w:lang w:bidi="ar-MA"/>
        </w:rPr>
        <w:t>ة والدلالي</w:t>
      </w:r>
      <w:r w:rsidR="00254E2F" w:rsidRPr="00282AC9">
        <w:rPr>
          <w:rFonts w:ascii="Times New Roman" w:hAnsi="Times New Roman" w:hint="cs"/>
          <w:sz w:val="27"/>
          <w:rtl/>
          <w:lang w:bidi="ar-MA"/>
        </w:rPr>
        <w:t>ّ</w:t>
      </w:r>
      <w:r w:rsidRPr="00282AC9">
        <w:rPr>
          <w:rFonts w:ascii="Times New Roman" w:hAnsi="Times New Roman"/>
          <w:sz w:val="27"/>
          <w:rtl/>
          <w:lang w:bidi="ar-MA"/>
        </w:rPr>
        <w:t>ة هو درجة التفاوت الحاصل في الألفاظ</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من حيث درجة الوضوح والخفاء</w:t>
      </w:r>
      <w:r w:rsidR="00254E2F"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فالألفاظ التي جاء</w:t>
      </w:r>
      <w:r w:rsidR="00254E2F" w:rsidRPr="00282AC9">
        <w:rPr>
          <w:rFonts w:ascii="Times New Roman" w:hAnsi="Times New Roman" w:hint="cs"/>
          <w:sz w:val="27"/>
          <w:rtl/>
          <w:lang w:bidi="ar-MA"/>
        </w:rPr>
        <w:t>َ</w:t>
      </w:r>
      <w:r w:rsidRPr="00282AC9">
        <w:rPr>
          <w:rFonts w:ascii="Times New Roman" w:hAnsi="Times New Roman"/>
          <w:sz w:val="27"/>
          <w:rtl/>
          <w:lang w:bidi="ar-MA"/>
        </w:rPr>
        <w:t>ت</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في الخطاب الشرعي</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ليست في مستوى</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واحد</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من حيث الوضوح والإبانة والخفاء</w:t>
      </w:r>
      <w:r w:rsidR="00254E2F"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 xml:space="preserve">بل إن اللفظ الواحد قد </w:t>
      </w:r>
      <w:r w:rsidRPr="00282AC9">
        <w:rPr>
          <w:rFonts w:hint="eastAsia"/>
          <w:sz w:val="24"/>
          <w:szCs w:val="24"/>
          <w:rtl/>
          <w:lang w:bidi="ar-MA"/>
        </w:rPr>
        <w:t>«</w:t>
      </w:r>
      <w:r w:rsidRPr="00282AC9">
        <w:rPr>
          <w:rFonts w:ascii="Times New Roman" w:hAnsi="Times New Roman"/>
          <w:sz w:val="27"/>
          <w:rtl/>
          <w:lang w:bidi="ar-MA"/>
        </w:rPr>
        <w:t>يدل</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على الحكم بصيغته ومنظومه</w:t>
      </w:r>
      <w:r w:rsidRPr="00282AC9">
        <w:rPr>
          <w:rFonts w:ascii="Times New Roman" w:hAnsi="Times New Roman" w:hint="cs"/>
          <w:sz w:val="27"/>
          <w:rtl/>
          <w:lang w:bidi="ar-MA"/>
        </w:rPr>
        <w:t xml:space="preserve">، </w:t>
      </w:r>
      <w:r w:rsidRPr="00282AC9">
        <w:rPr>
          <w:rFonts w:ascii="Times New Roman" w:hAnsi="Times New Roman"/>
          <w:sz w:val="27"/>
          <w:rtl/>
          <w:lang w:bidi="ar-MA"/>
        </w:rPr>
        <w:t>أو بفحواه ومفهومه</w:t>
      </w:r>
      <w:r w:rsidRPr="00282AC9">
        <w:rPr>
          <w:rFonts w:ascii="Times New Roman" w:hAnsi="Times New Roman" w:hint="cs"/>
          <w:sz w:val="27"/>
          <w:rtl/>
          <w:lang w:bidi="ar-MA"/>
        </w:rPr>
        <w:t xml:space="preserve">، </w:t>
      </w:r>
      <w:r w:rsidRPr="00282AC9">
        <w:rPr>
          <w:rFonts w:ascii="Times New Roman" w:hAnsi="Times New Roman"/>
          <w:sz w:val="27"/>
          <w:rtl/>
          <w:lang w:bidi="ar-MA"/>
        </w:rPr>
        <w:t>أو بمعناه ومعقوله</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39"/>
      </w:r>
      <w:r w:rsidRPr="00282AC9">
        <w:rPr>
          <w:rFonts w:ascii="Times New Roman" w:hAnsi="Times New Roman"/>
          <w:sz w:val="27"/>
          <w:vertAlign w:val="superscript"/>
          <w:rtl/>
          <w:lang w:bidi="ar-MA"/>
        </w:rPr>
        <w:t>)</w:t>
      </w:r>
      <w:r w:rsidR="00254E2F"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إضافة</w:t>
      </w:r>
      <w:r w:rsidR="00254E2F" w:rsidRPr="00282AC9">
        <w:rPr>
          <w:rFonts w:ascii="Times New Roman" w:hAnsi="Times New Roman" w:hint="cs"/>
          <w:sz w:val="27"/>
          <w:rtl/>
          <w:lang w:bidi="ar-MA"/>
        </w:rPr>
        <w:t>ً إلى</w:t>
      </w:r>
      <w:r w:rsidRPr="00282AC9">
        <w:rPr>
          <w:rFonts w:ascii="Times New Roman" w:hAnsi="Times New Roman"/>
          <w:sz w:val="27"/>
          <w:rtl/>
          <w:lang w:bidi="ar-MA"/>
        </w:rPr>
        <w:t xml:space="preserve"> أن البيان مقصور</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على الدلالة اللفظية</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وهو ما أك</w:t>
      </w:r>
      <w:r w:rsidR="00254E2F" w:rsidRPr="00282AC9">
        <w:rPr>
          <w:rFonts w:ascii="Times New Roman" w:hAnsi="Times New Roman" w:hint="cs"/>
          <w:sz w:val="27"/>
          <w:rtl/>
          <w:lang w:bidi="ar-MA"/>
        </w:rPr>
        <w:t>َّ</w:t>
      </w:r>
      <w:r w:rsidRPr="00282AC9">
        <w:rPr>
          <w:rFonts w:ascii="Times New Roman" w:hAnsi="Times New Roman"/>
          <w:sz w:val="27"/>
          <w:rtl/>
          <w:lang w:bidi="ar-MA"/>
        </w:rPr>
        <w:t>ده الأصولي</w:t>
      </w:r>
      <w:r w:rsidR="00254E2F" w:rsidRPr="00282AC9">
        <w:rPr>
          <w:rFonts w:ascii="Times New Roman" w:hAnsi="Times New Roman" w:hint="cs"/>
          <w:sz w:val="27"/>
          <w:rtl/>
          <w:lang w:bidi="ar-MA"/>
        </w:rPr>
        <w:t>ّ</w:t>
      </w:r>
      <w:r w:rsidRPr="00282AC9">
        <w:rPr>
          <w:rFonts w:ascii="Times New Roman" w:hAnsi="Times New Roman"/>
          <w:sz w:val="27"/>
          <w:rtl/>
          <w:lang w:bidi="ar-MA"/>
        </w:rPr>
        <w:t>ون في نقولهم</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حيث ذكروا </w:t>
      </w:r>
      <w:r w:rsidRPr="00282AC9">
        <w:rPr>
          <w:rFonts w:hint="eastAsia"/>
          <w:sz w:val="24"/>
          <w:szCs w:val="24"/>
          <w:rtl/>
          <w:lang w:bidi="ar-MA"/>
        </w:rPr>
        <w:t>«</w:t>
      </w:r>
      <w:r w:rsidRPr="00282AC9">
        <w:rPr>
          <w:rFonts w:ascii="Times New Roman" w:hAnsi="Times New Roman"/>
          <w:sz w:val="27"/>
          <w:rtl/>
          <w:lang w:bidi="ar-MA"/>
        </w:rPr>
        <w:t>أن البيان لا يكون إلا</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بالألفاظ المعب</w:t>
      </w:r>
      <w:r w:rsidR="00254E2F" w:rsidRPr="00282AC9">
        <w:rPr>
          <w:rFonts w:ascii="Times New Roman" w:hAnsi="Times New Roman" w:hint="cs"/>
          <w:sz w:val="27"/>
          <w:rtl/>
          <w:lang w:bidi="ar-MA"/>
        </w:rPr>
        <w:t>ِّ</w:t>
      </w:r>
      <w:r w:rsidRPr="00282AC9">
        <w:rPr>
          <w:rFonts w:ascii="Times New Roman" w:hAnsi="Times New Roman"/>
          <w:sz w:val="27"/>
          <w:rtl/>
          <w:lang w:bidi="ar-MA"/>
        </w:rPr>
        <w:t>رة عن المعاني التي أوقعت عليها في اللغة</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40"/>
      </w:r>
      <w:r w:rsidRPr="00282AC9">
        <w:rPr>
          <w:rFonts w:ascii="Times New Roman" w:hAnsi="Times New Roman"/>
          <w:sz w:val="27"/>
          <w:vertAlign w:val="superscript"/>
          <w:rtl/>
          <w:lang w:bidi="ar-MA"/>
        </w:rPr>
        <w:t>)</w:t>
      </w:r>
      <w:r w:rsidR="00254E2F"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والسبيل والطريق في هذه المعرفة هي وجهة اللسان العربي</w:t>
      </w:r>
      <w:r w:rsidR="00254E2F" w:rsidRPr="00282AC9">
        <w:rPr>
          <w:rFonts w:ascii="Times New Roman" w:hAnsi="Times New Roman" w:hint="cs"/>
          <w:sz w:val="27"/>
          <w:rtl/>
          <w:lang w:bidi="ar-MA"/>
        </w:rPr>
        <w:t>ّ</w:t>
      </w:r>
      <w:r w:rsidRPr="00282AC9">
        <w:rPr>
          <w:rFonts w:ascii="Times New Roman" w:hAnsi="Times New Roman"/>
          <w:sz w:val="27"/>
          <w:rtl/>
          <w:lang w:bidi="ar-MA"/>
        </w:rPr>
        <w:t>، وهو المقصود بالمواضعة اللغوي</w:t>
      </w:r>
      <w:r w:rsidR="00254E2F" w:rsidRPr="00282AC9">
        <w:rPr>
          <w:rFonts w:ascii="Times New Roman" w:hAnsi="Times New Roman" w:hint="cs"/>
          <w:sz w:val="27"/>
          <w:rtl/>
          <w:lang w:bidi="ar-MA"/>
        </w:rPr>
        <w:t>ّ</w:t>
      </w:r>
      <w:r w:rsidRPr="00282AC9">
        <w:rPr>
          <w:rFonts w:ascii="Times New Roman" w:hAnsi="Times New Roman"/>
          <w:sz w:val="27"/>
          <w:rtl/>
          <w:lang w:bidi="ar-MA"/>
        </w:rPr>
        <w:t>ة</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41"/>
      </w:r>
      <w:r w:rsidRPr="00282AC9">
        <w:rPr>
          <w:rFonts w:ascii="Times New Roman" w:hAnsi="Times New Roman"/>
          <w:sz w:val="27"/>
          <w:vertAlign w:val="superscript"/>
          <w:rtl/>
          <w:lang w:bidi="ar-MA"/>
        </w:rPr>
        <w:t>)</w:t>
      </w:r>
      <w:r w:rsidRPr="00282AC9">
        <w:rPr>
          <w:rFonts w:ascii="Times New Roman" w:hAnsi="Times New Roman"/>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ومم</w:t>
      </w:r>
      <w:r w:rsidR="00254E2F" w:rsidRPr="00282AC9">
        <w:rPr>
          <w:rFonts w:ascii="Times New Roman" w:hAnsi="Times New Roman" w:hint="cs"/>
          <w:sz w:val="27"/>
          <w:rtl/>
          <w:lang w:bidi="ar-MA"/>
        </w:rPr>
        <w:t>ّ</w:t>
      </w:r>
      <w:r w:rsidRPr="00282AC9">
        <w:rPr>
          <w:rFonts w:ascii="Times New Roman" w:hAnsi="Times New Roman"/>
          <w:sz w:val="27"/>
          <w:rtl/>
          <w:lang w:bidi="ar-MA"/>
        </w:rPr>
        <w:t>ا يؤك</w:t>
      </w:r>
      <w:r w:rsidR="00254E2F" w:rsidRPr="00282AC9">
        <w:rPr>
          <w:rFonts w:ascii="Times New Roman" w:hAnsi="Times New Roman" w:hint="cs"/>
          <w:sz w:val="27"/>
          <w:rtl/>
          <w:lang w:bidi="ar-MA"/>
        </w:rPr>
        <w:t>ِّ</w:t>
      </w:r>
      <w:r w:rsidRPr="00282AC9">
        <w:rPr>
          <w:rFonts w:ascii="Times New Roman" w:hAnsi="Times New Roman"/>
          <w:sz w:val="27"/>
          <w:rtl/>
          <w:lang w:bidi="ar-MA"/>
        </w:rPr>
        <w:t>د أهم</w:t>
      </w:r>
      <w:r w:rsidR="00254E2F" w:rsidRPr="00282AC9">
        <w:rPr>
          <w:rFonts w:ascii="Times New Roman" w:hAnsi="Times New Roman" w:hint="cs"/>
          <w:sz w:val="27"/>
          <w:rtl/>
          <w:lang w:bidi="ar-MA"/>
        </w:rPr>
        <w:t>ّ</w:t>
      </w:r>
      <w:r w:rsidRPr="00282AC9">
        <w:rPr>
          <w:rFonts w:ascii="Times New Roman" w:hAnsi="Times New Roman"/>
          <w:sz w:val="27"/>
          <w:rtl/>
          <w:lang w:bidi="ar-MA"/>
        </w:rPr>
        <w:t>ية الدلالة في الفهم واستمداد المعنى</w:t>
      </w:r>
      <w:r w:rsidRPr="00282AC9">
        <w:rPr>
          <w:rFonts w:ascii="Times New Roman" w:hAnsi="Times New Roman" w:hint="cs"/>
          <w:sz w:val="27"/>
          <w:rtl/>
          <w:lang w:bidi="ar-MA"/>
        </w:rPr>
        <w:t xml:space="preserve"> </w:t>
      </w:r>
      <w:r w:rsidRPr="00282AC9">
        <w:rPr>
          <w:rFonts w:ascii="Times New Roman" w:hAnsi="Times New Roman"/>
          <w:sz w:val="27"/>
          <w:rtl/>
          <w:lang w:bidi="ar-MA"/>
        </w:rPr>
        <w:t>كون النص</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الشرعي</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يدل</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على أكثر من دلالة</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بطرق</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مختلفة</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فقد أضحى ضروري</w:t>
      </w:r>
      <w:r w:rsidR="00254E2F" w:rsidRPr="00282AC9">
        <w:rPr>
          <w:rFonts w:ascii="Times New Roman" w:hAnsi="Times New Roman" w:hint="cs"/>
          <w:sz w:val="27"/>
          <w:rtl/>
          <w:lang w:bidi="ar-MA"/>
        </w:rPr>
        <w:t>ّ</w:t>
      </w:r>
      <w:r w:rsidRPr="00282AC9">
        <w:rPr>
          <w:rFonts w:ascii="Times New Roman" w:hAnsi="Times New Roman"/>
          <w:sz w:val="27"/>
          <w:rtl/>
          <w:lang w:bidi="ar-MA"/>
        </w:rPr>
        <w:t>ا</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البحث في دلالة النصوص على معانيها</w:t>
      </w:r>
      <w:r w:rsidRPr="00282AC9">
        <w:rPr>
          <w:rFonts w:ascii="Times New Roman" w:hAnsi="Times New Roman" w:hint="cs"/>
          <w:sz w:val="27"/>
          <w:rtl/>
          <w:lang w:bidi="ar-MA"/>
        </w:rPr>
        <w:t>، و</w:t>
      </w:r>
      <w:r w:rsidRPr="00282AC9">
        <w:rPr>
          <w:rFonts w:ascii="Times New Roman" w:hAnsi="Times New Roman"/>
          <w:sz w:val="27"/>
          <w:rtl/>
          <w:lang w:bidi="ar-MA"/>
        </w:rPr>
        <w:t>التي تعتبر قواعد أصولي</w:t>
      </w:r>
      <w:r w:rsidR="00254E2F" w:rsidRPr="00282AC9">
        <w:rPr>
          <w:rFonts w:ascii="Times New Roman" w:hAnsi="Times New Roman" w:hint="cs"/>
          <w:sz w:val="27"/>
          <w:rtl/>
          <w:lang w:bidi="ar-MA"/>
        </w:rPr>
        <w:t>ّ</w:t>
      </w:r>
      <w:r w:rsidRPr="00282AC9">
        <w:rPr>
          <w:rFonts w:ascii="Times New Roman" w:hAnsi="Times New Roman"/>
          <w:sz w:val="27"/>
          <w:rtl/>
          <w:lang w:bidi="ar-MA"/>
        </w:rPr>
        <w:t>ة لغوي</w:t>
      </w:r>
      <w:r w:rsidR="00254E2F" w:rsidRPr="00282AC9">
        <w:rPr>
          <w:rFonts w:ascii="Times New Roman" w:hAnsi="Times New Roman" w:hint="cs"/>
          <w:sz w:val="27"/>
          <w:rtl/>
          <w:lang w:bidi="ar-MA"/>
        </w:rPr>
        <w:t>ّ</w:t>
      </w:r>
      <w:r w:rsidRPr="00282AC9">
        <w:rPr>
          <w:rFonts w:ascii="Times New Roman" w:hAnsi="Times New Roman"/>
          <w:sz w:val="27"/>
          <w:rtl/>
          <w:lang w:bidi="ar-MA"/>
        </w:rPr>
        <w:t>ة ترسم منهج الاجتهاد في استثمار كاف</w:t>
      </w:r>
      <w:r w:rsidR="00254E2F" w:rsidRPr="00282AC9">
        <w:rPr>
          <w:rFonts w:ascii="Times New Roman" w:hAnsi="Times New Roman" w:hint="cs"/>
          <w:sz w:val="27"/>
          <w:rtl/>
          <w:lang w:bidi="ar-MA"/>
        </w:rPr>
        <w:t>ّ</w:t>
      </w:r>
      <w:r w:rsidRPr="00282AC9">
        <w:rPr>
          <w:rFonts w:ascii="Times New Roman" w:hAnsi="Times New Roman"/>
          <w:sz w:val="27"/>
          <w:rtl/>
          <w:lang w:bidi="ar-MA"/>
        </w:rPr>
        <w:t>ة طاقات النص</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في الدلالة على معانيه</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وهو من أهم</w:t>
      </w:r>
      <w:r w:rsidR="00254E2F" w:rsidRPr="00282AC9">
        <w:rPr>
          <w:rFonts w:ascii="Times New Roman" w:hAnsi="Times New Roman" w:hint="cs"/>
          <w:sz w:val="27"/>
          <w:rtl/>
          <w:lang w:bidi="ar-MA"/>
        </w:rPr>
        <w:t>ّ</w:t>
      </w:r>
      <w:r w:rsidRPr="00282AC9">
        <w:rPr>
          <w:rFonts w:ascii="Times New Roman" w:hAnsi="Times New Roman"/>
          <w:sz w:val="27"/>
          <w:rtl/>
          <w:lang w:bidi="ar-MA"/>
        </w:rPr>
        <w:t xml:space="preserve"> البحوث التي يقوم عليها استنباط الأحكام</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42"/>
      </w:r>
      <w:r w:rsidRPr="00282AC9">
        <w:rPr>
          <w:rFonts w:ascii="Times New Roman" w:hAnsi="Times New Roman"/>
          <w:sz w:val="27"/>
          <w:vertAlign w:val="superscript"/>
          <w:rtl/>
          <w:lang w:bidi="ar-MA"/>
        </w:rPr>
        <w:t>)</w:t>
      </w:r>
      <w:r w:rsidRPr="00282AC9">
        <w:rPr>
          <w:rFonts w:ascii="Times New Roman" w:hAnsi="Times New Roman"/>
          <w:sz w:val="27"/>
          <w:rtl/>
          <w:lang w:bidi="ar-MA"/>
        </w:rPr>
        <w:t>.</w:t>
      </w:r>
    </w:p>
    <w:p w:rsidR="00D722E4" w:rsidRPr="00282AC9" w:rsidRDefault="00254E2F" w:rsidP="00A20690">
      <w:pPr>
        <w:rPr>
          <w:rFonts w:ascii="Times New Roman" w:hAnsi="Times New Roman"/>
          <w:sz w:val="27"/>
          <w:rtl/>
          <w:lang w:bidi="ar-MA"/>
        </w:rPr>
      </w:pPr>
      <w:r w:rsidRPr="00282AC9">
        <w:rPr>
          <w:rFonts w:ascii="Times New Roman" w:hAnsi="Times New Roman" w:hint="cs"/>
          <w:sz w:val="27"/>
          <w:rtl/>
          <w:lang w:bidi="ar-MA"/>
        </w:rPr>
        <w:t>و</w:t>
      </w:r>
      <w:r w:rsidRPr="00282AC9">
        <w:rPr>
          <w:rFonts w:ascii="Times New Roman" w:hAnsi="Times New Roman"/>
          <w:sz w:val="27"/>
          <w:rtl/>
          <w:lang w:bidi="ar-MA"/>
        </w:rPr>
        <w:t xml:space="preserve">من أهداف </w:t>
      </w:r>
      <w:r w:rsidR="00D722E4" w:rsidRPr="00282AC9">
        <w:rPr>
          <w:rFonts w:ascii="Times New Roman" w:hAnsi="Times New Roman"/>
          <w:sz w:val="27"/>
          <w:rtl/>
          <w:lang w:bidi="ar-MA"/>
        </w:rPr>
        <w:t>النظرة الأصولية للبحث الدلالي الس</w:t>
      </w:r>
      <w:r w:rsidRPr="00282AC9">
        <w:rPr>
          <w:rFonts w:ascii="Times New Roman" w:hAnsi="Times New Roman" w:hint="cs"/>
          <w:sz w:val="27"/>
          <w:rtl/>
          <w:lang w:bidi="ar-MA"/>
        </w:rPr>
        <w:t>َّ</w:t>
      </w:r>
      <w:r w:rsidR="00D722E4" w:rsidRPr="00282AC9">
        <w:rPr>
          <w:rFonts w:ascii="Times New Roman" w:hAnsi="Times New Roman"/>
          <w:sz w:val="27"/>
          <w:rtl/>
          <w:lang w:bidi="ar-MA"/>
        </w:rPr>
        <w:t>ع</w:t>
      </w:r>
      <w:r w:rsidRPr="00282AC9">
        <w:rPr>
          <w:rFonts w:ascii="Times New Roman" w:hAnsi="Times New Roman" w:hint="cs"/>
          <w:sz w:val="27"/>
          <w:rtl/>
          <w:lang w:bidi="ar-MA"/>
        </w:rPr>
        <w:t>ْ</w:t>
      </w:r>
      <w:r w:rsidR="00D722E4" w:rsidRPr="00282AC9">
        <w:rPr>
          <w:rFonts w:ascii="Times New Roman" w:hAnsi="Times New Roman"/>
          <w:sz w:val="27"/>
          <w:rtl/>
          <w:lang w:bidi="ar-MA"/>
        </w:rPr>
        <w:t>ي</w:t>
      </w:r>
      <w:r w:rsidRPr="00282AC9">
        <w:rPr>
          <w:rFonts w:ascii="Times New Roman" w:hAnsi="Times New Roman" w:hint="cs"/>
          <w:sz w:val="27"/>
          <w:rtl/>
          <w:lang w:bidi="ar-MA"/>
        </w:rPr>
        <w:t>ُ</w:t>
      </w:r>
      <w:r w:rsidR="00D722E4" w:rsidRPr="00282AC9">
        <w:rPr>
          <w:rFonts w:ascii="Times New Roman" w:hAnsi="Times New Roman"/>
          <w:sz w:val="27"/>
          <w:rtl/>
          <w:lang w:bidi="ar-MA"/>
        </w:rPr>
        <w:t xml:space="preserve"> إلى تحديد معالم البيان والتفسير والتأويل</w:t>
      </w:r>
      <w:r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وذلك بوضع المعايير المنضبطة والضوابط الحاكمة التي توز</w:t>
      </w:r>
      <w:r w:rsidR="005527B4" w:rsidRPr="00282AC9">
        <w:rPr>
          <w:rFonts w:ascii="Times New Roman" w:hAnsi="Times New Roman"/>
          <w:sz w:val="27"/>
          <w:rtl/>
          <w:lang w:bidi="ar-MA"/>
        </w:rPr>
        <w:t>ن بها النصوص والمتون اللغوية في</w:t>
      </w:r>
      <w:r w:rsidR="00D722E4" w:rsidRPr="00282AC9">
        <w:rPr>
          <w:rFonts w:ascii="Times New Roman" w:hAnsi="Times New Roman"/>
          <w:sz w:val="27"/>
          <w:rtl/>
          <w:lang w:bidi="ar-MA"/>
        </w:rPr>
        <w:t xml:space="preserve">ما </w:t>
      </w:r>
      <w:r w:rsidR="005527B4" w:rsidRPr="00282AC9">
        <w:rPr>
          <w:rFonts w:ascii="Times New Roman" w:hAnsi="Times New Roman" w:hint="cs"/>
          <w:sz w:val="27"/>
          <w:rtl/>
          <w:lang w:bidi="ar-MA"/>
        </w:rPr>
        <w:t xml:space="preserve">لو </w:t>
      </w:r>
      <w:r w:rsidR="00D722E4" w:rsidRPr="00282AC9">
        <w:rPr>
          <w:rFonts w:ascii="Times New Roman" w:hAnsi="Times New Roman"/>
          <w:sz w:val="27"/>
          <w:rtl/>
          <w:lang w:bidi="ar-MA"/>
        </w:rPr>
        <w:t>شاب</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ها ل</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ب</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س</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 أو مس</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ها غموض</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 أو اعترضها إبهام</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 xml:space="preserve"> أو أصابها خفاء</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 xml:space="preserve"> </w:t>
      </w:r>
      <w:r w:rsidR="005527B4" w:rsidRPr="00282AC9">
        <w:rPr>
          <w:rFonts w:ascii="Times New Roman" w:hAnsi="Times New Roman" w:hint="cs"/>
          <w:sz w:val="27"/>
          <w:rtl/>
          <w:lang w:bidi="ar-MA"/>
        </w:rPr>
        <w:t>و</w:t>
      </w:r>
      <w:r w:rsidR="00D722E4" w:rsidRPr="00282AC9">
        <w:rPr>
          <w:rFonts w:ascii="Times New Roman" w:hAnsi="Times New Roman"/>
          <w:sz w:val="27"/>
          <w:rtl/>
          <w:lang w:bidi="ar-MA"/>
        </w:rPr>
        <w:t>التباس</w:t>
      </w:r>
      <w:r w:rsidR="005527B4"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كل</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 xml:space="preserve"> هذا العمل كان من </w:t>
      </w:r>
      <w:r w:rsidR="00D722E4" w:rsidRPr="00282AC9">
        <w:rPr>
          <w:rFonts w:ascii="Times New Roman" w:hAnsi="Times New Roman" w:hint="cs"/>
          <w:sz w:val="27"/>
          <w:rtl/>
          <w:lang w:bidi="ar-MA"/>
        </w:rPr>
        <w:t>أ</w:t>
      </w:r>
      <w:r w:rsidR="00D722E4" w:rsidRPr="00282AC9">
        <w:rPr>
          <w:rFonts w:ascii="Times New Roman" w:hAnsi="Times New Roman"/>
          <w:sz w:val="27"/>
          <w:rtl/>
          <w:lang w:bidi="ar-MA"/>
        </w:rPr>
        <w:t>جل الوصول إلى تحقيق هذا الهدف النبيل، الذي يتحد</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د في ضبط عملي</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تي القراءة والتأويل</w:t>
      </w:r>
      <w:r w:rsidR="005527B4" w:rsidRPr="00282AC9">
        <w:rPr>
          <w:rFonts w:ascii="Times New Roman" w:hAnsi="Times New Roman" w:hint="cs"/>
          <w:sz w:val="27"/>
          <w:rtl/>
          <w:lang w:bidi="ar-MA"/>
        </w:rPr>
        <w:t>.</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وعلم أصول الفقه في مجمله إنما هو بحث</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 xml:space="preserve"> في الدلالات</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 xml:space="preserve"> لفظ</w:t>
      </w:r>
      <w:r w:rsidR="00D722E4" w:rsidRPr="00282AC9">
        <w:rPr>
          <w:rFonts w:ascii="Times New Roman" w:hAnsi="Times New Roman" w:hint="cs"/>
          <w:sz w:val="27"/>
          <w:rtl/>
          <w:lang w:bidi="ar-MA"/>
        </w:rPr>
        <w:t>اً</w:t>
      </w:r>
      <w:r w:rsidR="00D722E4" w:rsidRPr="00282AC9">
        <w:rPr>
          <w:rFonts w:ascii="Times New Roman" w:hAnsi="Times New Roman"/>
          <w:sz w:val="27"/>
          <w:rtl/>
          <w:lang w:bidi="ar-MA"/>
        </w:rPr>
        <w:t xml:space="preserve"> ومعنى</w:t>
      </w:r>
      <w:r w:rsidR="00D722E4" w:rsidRPr="00282AC9">
        <w:rPr>
          <w:rFonts w:ascii="Times New Roman" w:hAnsi="Times New Roman" w:hint="cs"/>
          <w:sz w:val="27"/>
          <w:rtl/>
          <w:lang w:bidi="ar-MA"/>
        </w:rPr>
        <w:t xml:space="preserve">، </w:t>
      </w:r>
      <w:r w:rsidR="00D722E4" w:rsidRPr="00282AC9">
        <w:rPr>
          <w:rFonts w:ascii="Times New Roman" w:hAnsi="Times New Roman"/>
          <w:sz w:val="27"/>
          <w:rtl/>
          <w:lang w:bidi="ar-MA"/>
        </w:rPr>
        <w:t>ونص</w:t>
      </w:r>
      <w:r w:rsidR="005527B4" w:rsidRPr="00282AC9">
        <w:rPr>
          <w:rFonts w:ascii="Times New Roman" w:hAnsi="Times New Roman" w:hint="cs"/>
          <w:sz w:val="27"/>
          <w:rtl/>
          <w:lang w:bidi="ar-MA"/>
        </w:rPr>
        <w:t>ّ</w:t>
      </w:r>
      <w:r w:rsidR="00D722E4" w:rsidRPr="00282AC9">
        <w:rPr>
          <w:rFonts w:ascii="Times New Roman" w:hAnsi="Times New Roman" w:hint="cs"/>
          <w:sz w:val="27"/>
          <w:rtl/>
          <w:lang w:bidi="ar-MA"/>
        </w:rPr>
        <w:t>اً</w:t>
      </w:r>
      <w:r w:rsidR="00D722E4" w:rsidRPr="00282AC9">
        <w:rPr>
          <w:rFonts w:ascii="Times New Roman" w:hAnsi="Times New Roman"/>
          <w:sz w:val="27"/>
          <w:rtl/>
          <w:lang w:bidi="ar-MA"/>
        </w:rPr>
        <w:t xml:space="preserve"> وسياق</w:t>
      </w:r>
      <w:r w:rsidR="00D722E4" w:rsidRPr="00282AC9">
        <w:rPr>
          <w:rFonts w:ascii="Times New Roman" w:hAnsi="Times New Roman" w:hint="cs"/>
          <w:sz w:val="27"/>
          <w:rtl/>
          <w:lang w:bidi="ar-MA"/>
        </w:rPr>
        <w:t xml:space="preserve">اً، </w:t>
      </w:r>
      <w:r w:rsidR="00D722E4" w:rsidRPr="00282AC9">
        <w:rPr>
          <w:rFonts w:ascii="Times New Roman" w:hAnsi="Times New Roman"/>
          <w:sz w:val="27"/>
          <w:rtl/>
          <w:lang w:bidi="ar-MA"/>
        </w:rPr>
        <w:t>وذلك عن طريق مبدأ التلازم القائم بين قوانين اللغة في فهم الخطاب، وضوابط السياق في تحديد المعنى المتعد</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 xml:space="preserve">د، </w:t>
      </w:r>
      <w:r w:rsidR="00D722E4" w:rsidRPr="00282AC9">
        <w:rPr>
          <w:rFonts w:ascii="Times New Roman" w:hAnsi="Times New Roman"/>
          <w:sz w:val="27"/>
          <w:rtl/>
          <w:lang w:bidi="ar-MA"/>
        </w:rPr>
        <w:lastRenderedPageBreak/>
        <w:t>والمحتمل على نحو</w:t>
      </w:r>
      <w:r w:rsidR="005527B4" w:rsidRPr="00282AC9">
        <w:rPr>
          <w:rFonts w:ascii="Times New Roman" w:hAnsi="Times New Roman" w:hint="cs"/>
          <w:sz w:val="27"/>
          <w:rtl/>
          <w:lang w:bidi="ar-MA"/>
        </w:rPr>
        <w:t>ٍ</w:t>
      </w:r>
      <w:r w:rsidR="00D722E4" w:rsidRPr="00282AC9">
        <w:rPr>
          <w:rFonts w:ascii="Times New Roman" w:hAnsi="Times New Roman"/>
          <w:sz w:val="27"/>
          <w:rtl/>
          <w:lang w:bidi="ar-MA"/>
        </w:rPr>
        <w:t xml:space="preserve"> مخصوص</w:t>
      </w:r>
      <w:r w:rsidR="00D722E4" w:rsidRPr="00282AC9">
        <w:rPr>
          <w:rFonts w:hint="eastAsia"/>
          <w:sz w:val="24"/>
          <w:szCs w:val="24"/>
          <w:rtl/>
        </w:rPr>
        <w:t>»</w:t>
      </w:r>
      <w:r w:rsidR="00D722E4" w:rsidRPr="00282AC9">
        <w:rPr>
          <w:rFonts w:ascii="Times New Roman" w:hAnsi="Times New Roman"/>
          <w:sz w:val="27"/>
          <w:vertAlign w:val="superscript"/>
          <w:rtl/>
          <w:lang w:bidi="ar-MA"/>
        </w:rPr>
        <w:t>(</w:t>
      </w:r>
      <w:r w:rsidR="00D722E4" w:rsidRPr="00282AC9">
        <w:rPr>
          <w:rStyle w:val="af9"/>
          <w:rFonts w:ascii="Times New Roman" w:hAnsi="Times New Roman"/>
          <w:sz w:val="27"/>
          <w:rtl/>
          <w:lang w:bidi="ar-MA"/>
        </w:rPr>
        <w:endnoteReference w:id="743"/>
      </w:r>
      <w:r w:rsidR="00D722E4" w:rsidRPr="00282AC9">
        <w:rPr>
          <w:rFonts w:ascii="Times New Roman" w:hAnsi="Times New Roman"/>
          <w:sz w:val="27"/>
          <w:vertAlign w:val="superscript"/>
          <w:rtl/>
          <w:lang w:bidi="ar-MA"/>
        </w:rPr>
        <w:t>)</w:t>
      </w:r>
      <w:r w:rsidR="00D722E4" w:rsidRPr="00282AC9">
        <w:rPr>
          <w:rFonts w:ascii="Times New Roman" w:hAnsi="Times New Roman"/>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sz w:val="27"/>
          <w:rtl/>
          <w:lang w:bidi="ar-MA"/>
        </w:rPr>
        <w:t>والاهتمام بالدلالات</w:t>
      </w:r>
      <w:r w:rsidR="005527B4" w:rsidRPr="00282AC9">
        <w:rPr>
          <w:rFonts w:ascii="Times New Roman" w:hAnsi="Times New Roman" w:hint="cs"/>
          <w:sz w:val="27"/>
          <w:rtl/>
          <w:lang w:bidi="ar-MA"/>
        </w:rPr>
        <w:t>،</w:t>
      </w:r>
      <w:r w:rsidRPr="00282AC9">
        <w:rPr>
          <w:rFonts w:ascii="Times New Roman" w:hAnsi="Times New Roman"/>
          <w:sz w:val="27"/>
          <w:rtl/>
          <w:lang w:bidi="ar-MA"/>
        </w:rPr>
        <w:t xml:space="preserve"> بجميع أقسامها وفروعها وأنواعها، جعل</w:t>
      </w:r>
      <w:r w:rsidR="005527B4" w:rsidRPr="00282AC9">
        <w:rPr>
          <w:rFonts w:ascii="Times New Roman" w:hAnsi="Times New Roman" w:hint="cs"/>
          <w:sz w:val="27"/>
          <w:rtl/>
          <w:lang w:bidi="ar-MA"/>
        </w:rPr>
        <w:t>َ</w:t>
      </w:r>
      <w:r w:rsidRPr="00282AC9">
        <w:rPr>
          <w:rFonts w:ascii="Times New Roman" w:hAnsi="Times New Roman"/>
          <w:sz w:val="27"/>
          <w:rtl/>
          <w:lang w:bidi="ar-MA"/>
        </w:rPr>
        <w:t>ت</w:t>
      </w:r>
      <w:r w:rsidR="005527B4" w:rsidRPr="00282AC9">
        <w:rPr>
          <w:rFonts w:ascii="Times New Roman" w:hAnsi="Times New Roman" w:hint="cs"/>
          <w:sz w:val="27"/>
          <w:rtl/>
          <w:lang w:bidi="ar-MA"/>
        </w:rPr>
        <w:t>ْ</w:t>
      </w:r>
      <w:r w:rsidRPr="00282AC9">
        <w:rPr>
          <w:rFonts w:ascii="Times New Roman" w:hAnsi="Times New Roman"/>
          <w:sz w:val="27"/>
          <w:rtl/>
          <w:lang w:bidi="ar-MA"/>
        </w:rPr>
        <w:t xml:space="preserve"> علماء الأصول يت</w:t>
      </w:r>
      <w:r w:rsidR="005527B4" w:rsidRPr="00282AC9">
        <w:rPr>
          <w:rFonts w:ascii="Times New Roman" w:hAnsi="Times New Roman" w:hint="cs"/>
          <w:sz w:val="27"/>
          <w:rtl/>
          <w:lang w:bidi="ar-MA"/>
        </w:rPr>
        <w:t>ّ</w:t>
      </w:r>
      <w:r w:rsidRPr="00282AC9">
        <w:rPr>
          <w:rFonts w:ascii="Times New Roman" w:hAnsi="Times New Roman"/>
          <w:sz w:val="27"/>
          <w:rtl/>
          <w:lang w:bidi="ar-MA"/>
        </w:rPr>
        <w:t>جهون إلى البحث في السياق</w:t>
      </w:r>
      <w:r w:rsidR="005527B4" w:rsidRPr="00282AC9">
        <w:rPr>
          <w:rFonts w:ascii="Times New Roman" w:hAnsi="Times New Roman" w:hint="cs"/>
          <w:sz w:val="27"/>
          <w:rtl/>
          <w:lang w:bidi="ar-MA"/>
        </w:rPr>
        <w:t>؛</w:t>
      </w:r>
      <w:r w:rsidRPr="00282AC9">
        <w:rPr>
          <w:rFonts w:ascii="Times New Roman" w:hAnsi="Times New Roman"/>
          <w:sz w:val="27"/>
          <w:rtl/>
          <w:lang w:bidi="ar-MA"/>
        </w:rPr>
        <w:t xml:space="preserve"> باعتبار أن السياق أداة</w:t>
      </w:r>
      <w:r w:rsidR="005527B4" w:rsidRPr="00282AC9">
        <w:rPr>
          <w:rFonts w:ascii="Times New Roman" w:hAnsi="Times New Roman" w:hint="cs"/>
          <w:sz w:val="27"/>
          <w:rtl/>
          <w:lang w:bidi="ar-MA"/>
        </w:rPr>
        <w:t>ٌ</w:t>
      </w:r>
      <w:r w:rsidRPr="00282AC9">
        <w:rPr>
          <w:rFonts w:ascii="Times New Roman" w:hAnsi="Times New Roman"/>
          <w:sz w:val="27"/>
          <w:rtl/>
          <w:lang w:bidi="ar-MA"/>
        </w:rPr>
        <w:t xml:space="preserve"> إجرائي</w:t>
      </w:r>
      <w:r w:rsidR="005527B4" w:rsidRPr="00282AC9">
        <w:rPr>
          <w:rFonts w:ascii="Times New Roman" w:hAnsi="Times New Roman" w:hint="cs"/>
          <w:sz w:val="27"/>
          <w:rtl/>
          <w:lang w:bidi="ar-MA"/>
        </w:rPr>
        <w:t>ّ</w:t>
      </w:r>
      <w:r w:rsidRPr="00282AC9">
        <w:rPr>
          <w:rFonts w:ascii="Times New Roman" w:hAnsi="Times New Roman"/>
          <w:sz w:val="27"/>
          <w:rtl/>
          <w:lang w:bidi="ar-MA"/>
        </w:rPr>
        <w:t>ة لتحديد المعنى، وسب</w:t>
      </w:r>
      <w:r w:rsidRPr="00282AC9">
        <w:rPr>
          <w:rFonts w:ascii="Times New Roman" w:hAnsi="Times New Roman" w:hint="cs"/>
          <w:sz w:val="27"/>
          <w:rtl/>
          <w:lang w:bidi="ar-MA"/>
        </w:rPr>
        <w:t>ب</w:t>
      </w:r>
      <w:r w:rsidR="005527B4" w:rsidRPr="00282AC9">
        <w:rPr>
          <w:rFonts w:ascii="Times New Roman" w:hAnsi="Times New Roman" w:hint="cs"/>
          <w:sz w:val="27"/>
          <w:rtl/>
          <w:lang w:bidi="ar-MA"/>
        </w:rPr>
        <w:t>ٌ</w:t>
      </w:r>
      <w:r w:rsidRPr="00282AC9">
        <w:rPr>
          <w:rFonts w:ascii="Times New Roman" w:hAnsi="Times New Roman"/>
          <w:sz w:val="27"/>
          <w:rtl/>
          <w:lang w:bidi="ar-MA"/>
        </w:rPr>
        <w:t xml:space="preserve"> م</w:t>
      </w:r>
      <w:r w:rsidR="005527B4" w:rsidRPr="00282AC9">
        <w:rPr>
          <w:rFonts w:ascii="Times New Roman" w:hAnsi="Times New Roman" w:hint="cs"/>
          <w:sz w:val="27"/>
          <w:rtl/>
          <w:lang w:bidi="ar-MA"/>
        </w:rPr>
        <w:t>ُ</w:t>
      </w:r>
      <w:r w:rsidRPr="00282AC9">
        <w:rPr>
          <w:rFonts w:ascii="Times New Roman" w:hAnsi="Times New Roman"/>
          <w:sz w:val="27"/>
          <w:rtl/>
          <w:lang w:bidi="ar-MA"/>
        </w:rPr>
        <w:t>عين في الترجيح بين الدلالات المحت</w:t>
      </w:r>
      <w:r w:rsidR="005527B4" w:rsidRPr="00282AC9">
        <w:rPr>
          <w:rFonts w:ascii="Times New Roman" w:hAnsi="Times New Roman" w:hint="cs"/>
          <w:sz w:val="27"/>
          <w:rtl/>
          <w:lang w:bidi="ar-MA"/>
        </w:rPr>
        <w:t>َ</w:t>
      </w:r>
      <w:r w:rsidRPr="00282AC9">
        <w:rPr>
          <w:rFonts w:ascii="Times New Roman" w:hAnsi="Times New Roman"/>
          <w:sz w:val="27"/>
          <w:rtl/>
          <w:lang w:bidi="ar-MA"/>
        </w:rPr>
        <w:t>م</w:t>
      </w:r>
      <w:r w:rsidR="005527B4" w:rsidRPr="00282AC9">
        <w:rPr>
          <w:rFonts w:ascii="Times New Roman" w:hAnsi="Times New Roman" w:hint="cs"/>
          <w:sz w:val="27"/>
          <w:rtl/>
          <w:lang w:bidi="ar-MA"/>
        </w:rPr>
        <w:t>َ</w:t>
      </w:r>
      <w:r w:rsidRPr="00282AC9">
        <w:rPr>
          <w:rFonts w:ascii="Times New Roman" w:hAnsi="Times New Roman"/>
          <w:sz w:val="27"/>
          <w:rtl/>
          <w:lang w:bidi="ar-MA"/>
        </w:rPr>
        <w:t>لة، والأقوال المتعد</w:t>
      </w:r>
      <w:r w:rsidR="005527B4" w:rsidRPr="00282AC9">
        <w:rPr>
          <w:rFonts w:ascii="Times New Roman" w:hAnsi="Times New Roman" w:hint="cs"/>
          <w:sz w:val="27"/>
          <w:rtl/>
          <w:lang w:bidi="ar-MA"/>
        </w:rPr>
        <w:t>ِّ</w:t>
      </w:r>
      <w:r w:rsidRPr="00282AC9">
        <w:rPr>
          <w:rFonts w:ascii="Times New Roman" w:hAnsi="Times New Roman"/>
          <w:sz w:val="27"/>
          <w:rtl/>
          <w:lang w:bidi="ar-MA"/>
        </w:rPr>
        <w:t>دة التي يحتملها المعنى المحمول في النص</w:t>
      </w:r>
      <w:r w:rsidR="005527B4" w:rsidRPr="00282AC9">
        <w:rPr>
          <w:rFonts w:ascii="Times New Roman" w:hAnsi="Times New Roman" w:hint="cs"/>
          <w:sz w:val="27"/>
          <w:rtl/>
          <w:lang w:bidi="ar-MA"/>
        </w:rPr>
        <w:t>ّ</w:t>
      </w:r>
      <w:r w:rsidRPr="00282AC9">
        <w:rPr>
          <w:rFonts w:ascii="Times New Roman" w:hAnsi="Times New Roman"/>
          <w:sz w:val="27"/>
          <w:rtl/>
          <w:lang w:bidi="ar-MA"/>
        </w:rPr>
        <w:t xml:space="preserve"> الشرعي</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44"/>
      </w:r>
      <w:r w:rsidRPr="00282AC9">
        <w:rPr>
          <w:rFonts w:ascii="Times New Roman" w:hAnsi="Times New Roman"/>
          <w:sz w:val="27"/>
          <w:vertAlign w:val="superscript"/>
          <w:rtl/>
          <w:lang w:bidi="ar-MA"/>
        </w:rPr>
        <w:t>)</w:t>
      </w:r>
      <w:r w:rsidR="005527B4"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هذه الأهم</w:t>
      </w:r>
      <w:r w:rsidR="006B1884" w:rsidRPr="00282AC9">
        <w:rPr>
          <w:rFonts w:ascii="Times New Roman" w:hAnsi="Times New Roman" w:hint="cs"/>
          <w:sz w:val="27"/>
          <w:rtl/>
          <w:lang w:bidi="ar-MA"/>
        </w:rPr>
        <w:t>ِّ</w:t>
      </w:r>
      <w:r w:rsidRPr="00282AC9">
        <w:rPr>
          <w:rFonts w:ascii="Times New Roman" w:hAnsi="Times New Roman"/>
          <w:sz w:val="27"/>
          <w:rtl/>
          <w:lang w:bidi="ar-MA"/>
        </w:rPr>
        <w:t>ية التي اكتسب</w:t>
      </w:r>
      <w:r w:rsidR="006B1884" w:rsidRPr="00282AC9">
        <w:rPr>
          <w:rFonts w:ascii="Times New Roman" w:hAnsi="Times New Roman" w:hint="cs"/>
          <w:sz w:val="27"/>
          <w:rtl/>
          <w:lang w:bidi="ar-MA"/>
        </w:rPr>
        <w:t>َ</w:t>
      </w:r>
      <w:r w:rsidRPr="00282AC9">
        <w:rPr>
          <w:rFonts w:ascii="Times New Roman" w:hAnsi="Times New Roman"/>
          <w:sz w:val="27"/>
          <w:rtl/>
          <w:lang w:bidi="ar-MA"/>
        </w:rPr>
        <w:t>ت</w:t>
      </w:r>
      <w:r w:rsidR="006B1884" w:rsidRPr="00282AC9">
        <w:rPr>
          <w:rFonts w:ascii="Times New Roman" w:hAnsi="Times New Roman" w:hint="cs"/>
          <w:sz w:val="27"/>
          <w:rtl/>
          <w:lang w:bidi="ar-MA"/>
        </w:rPr>
        <w:t>ْ</w:t>
      </w:r>
      <w:r w:rsidRPr="00282AC9">
        <w:rPr>
          <w:rFonts w:ascii="Times New Roman" w:hAnsi="Times New Roman"/>
          <w:sz w:val="27"/>
          <w:rtl/>
          <w:lang w:bidi="ar-MA"/>
        </w:rPr>
        <w:t>ها الدلالات في التفسير</w:t>
      </w:r>
      <w:r w:rsidR="006B1884" w:rsidRPr="00282AC9">
        <w:rPr>
          <w:rFonts w:ascii="Times New Roman" w:hAnsi="Times New Roman" w:hint="cs"/>
          <w:sz w:val="27"/>
          <w:rtl/>
          <w:lang w:bidi="ar-MA"/>
        </w:rPr>
        <w:t xml:space="preserve"> جعلت بعض</w:t>
      </w:r>
      <w:r w:rsidRPr="00282AC9">
        <w:rPr>
          <w:rFonts w:ascii="Times New Roman" w:hAnsi="Times New Roman"/>
          <w:sz w:val="27"/>
          <w:rtl/>
          <w:lang w:bidi="ar-MA"/>
        </w:rPr>
        <w:t xml:space="preserve"> الباحثين </w:t>
      </w:r>
      <w:r w:rsidR="006B1884" w:rsidRPr="00282AC9">
        <w:rPr>
          <w:rFonts w:ascii="Times New Roman" w:hAnsi="Times New Roman" w:hint="cs"/>
          <w:sz w:val="27"/>
          <w:rtl/>
          <w:lang w:bidi="ar-MA"/>
        </w:rPr>
        <w:t>ي</w:t>
      </w:r>
      <w:r w:rsidRPr="00282AC9">
        <w:rPr>
          <w:rFonts w:ascii="Times New Roman" w:hAnsi="Times New Roman"/>
          <w:sz w:val="27"/>
          <w:rtl/>
          <w:lang w:bidi="ar-MA"/>
        </w:rPr>
        <w:t>ستحضر</w:t>
      </w:r>
      <w:r w:rsidR="006B1884" w:rsidRPr="00282AC9">
        <w:rPr>
          <w:rFonts w:ascii="Times New Roman" w:hAnsi="Times New Roman" w:hint="cs"/>
          <w:sz w:val="27"/>
          <w:rtl/>
          <w:lang w:bidi="ar-MA"/>
        </w:rPr>
        <w:t>ون</w:t>
      </w:r>
      <w:r w:rsidRPr="00282AC9">
        <w:rPr>
          <w:rFonts w:ascii="Times New Roman" w:hAnsi="Times New Roman"/>
          <w:sz w:val="27"/>
          <w:rtl/>
          <w:lang w:bidi="ar-MA"/>
        </w:rPr>
        <w:t xml:space="preserve"> مبحث الدلالات ليكون قانون</w:t>
      </w:r>
      <w:r w:rsidRPr="00282AC9">
        <w:rPr>
          <w:rFonts w:ascii="Times New Roman" w:hAnsi="Times New Roman" w:hint="cs"/>
          <w:sz w:val="27"/>
          <w:rtl/>
          <w:lang w:bidi="ar-MA"/>
        </w:rPr>
        <w:t>اً</w:t>
      </w:r>
      <w:r w:rsidRPr="00282AC9">
        <w:rPr>
          <w:rFonts w:ascii="Times New Roman" w:hAnsi="Times New Roman"/>
          <w:sz w:val="27"/>
          <w:rtl/>
          <w:lang w:bidi="ar-MA"/>
        </w:rPr>
        <w:t xml:space="preserve"> عام</w:t>
      </w:r>
      <w:r w:rsidR="006B1884" w:rsidRPr="00282AC9">
        <w:rPr>
          <w:rFonts w:ascii="Times New Roman" w:hAnsi="Times New Roman" w:hint="cs"/>
          <w:sz w:val="27"/>
          <w:rtl/>
          <w:lang w:bidi="ar-MA"/>
        </w:rPr>
        <w:t>ّ</w:t>
      </w:r>
      <w:r w:rsidRPr="00282AC9">
        <w:rPr>
          <w:rFonts w:ascii="Times New Roman" w:hAnsi="Times New Roman" w:hint="cs"/>
          <w:sz w:val="27"/>
          <w:rtl/>
          <w:lang w:bidi="ar-MA"/>
        </w:rPr>
        <w:t>اً</w:t>
      </w:r>
      <w:r w:rsidRPr="00282AC9">
        <w:rPr>
          <w:rFonts w:ascii="Times New Roman" w:hAnsi="Times New Roman"/>
          <w:sz w:val="27"/>
          <w:rtl/>
          <w:lang w:bidi="ar-MA"/>
        </w:rPr>
        <w:t xml:space="preserve"> في التفسير والبيان.</w:t>
      </w:r>
    </w:p>
    <w:p w:rsidR="00D722E4" w:rsidRPr="00282AC9" w:rsidRDefault="006B1884" w:rsidP="00A20690">
      <w:pPr>
        <w:tabs>
          <w:tab w:val="left" w:pos="2667"/>
        </w:tabs>
        <w:rPr>
          <w:rFonts w:asciiTheme="majorBidi" w:hAnsiTheme="majorBidi"/>
          <w:sz w:val="27"/>
          <w:rtl/>
        </w:rPr>
      </w:pPr>
      <w:r w:rsidRPr="00282AC9">
        <w:rPr>
          <w:rFonts w:asciiTheme="majorBidi" w:hAnsiTheme="majorBidi" w:hint="cs"/>
          <w:sz w:val="27"/>
          <w:rtl/>
          <w:lang w:bidi="ar-MA"/>
        </w:rPr>
        <w:t>و</w:t>
      </w:r>
      <w:r w:rsidR="00D722E4" w:rsidRPr="00282AC9">
        <w:rPr>
          <w:rFonts w:asciiTheme="majorBidi" w:hAnsiTheme="majorBidi"/>
          <w:sz w:val="27"/>
          <w:rtl/>
          <w:lang w:bidi="ar-MA"/>
        </w:rPr>
        <w:t>تنقسم الدلالة إلى عد</w:t>
      </w:r>
      <w:r w:rsidRPr="00282AC9">
        <w:rPr>
          <w:rFonts w:asciiTheme="majorBidi" w:hAnsiTheme="majorBidi" w:hint="cs"/>
          <w:sz w:val="27"/>
          <w:rtl/>
          <w:lang w:bidi="ar-MA"/>
        </w:rPr>
        <w:t>ّ</w:t>
      </w:r>
      <w:r w:rsidR="00D722E4" w:rsidRPr="00282AC9">
        <w:rPr>
          <w:rFonts w:asciiTheme="majorBidi" w:hAnsiTheme="majorBidi"/>
          <w:sz w:val="27"/>
          <w:rtl/>
          <w:lang w:bidi="ar-MA"/>
        </w:rPr>
        <w:t>ة أقسام</w:t>
      </w:r>
      <w:r w:rsidRPr="00282AC9">
        <w:rPr>
          <w:rFonts w:asciiTheme="majorBidi" w:hAnsiTheme="majorBidi" w:hint="cs"/>
          <w:sz w:val="27"/>
          <w:rtl/>
          <w:lang w:bidi="ar-MA"/>
        </w:rPr>
        <w:t>ٍ،</w:t>
      </w:r>
      <w:r w:rsidR="00D722E4" w:rsidRPr="00282AC9">
        <w:rPr>
          <w:rFonts w:asciiTheme="majorBidi" w:hAnsiTheme="majorBidi"/>
          <w:sz w:val="27"/>
          <w:rtl/>
          <w:lang w:bidi="ar-MA"/>
        </w:rPr>
        <w:t xml:space="preserve"> منها:</w:t>
      </w:r>
    </w:p>
    <w:p w:rsidR="00D722E4" w:rsidRPr="00282AC9" w:rsidRDefault="00D722E4" w:rsidP="00A20690">
      <w:pPr>
        <w:tabs>
          <w:tab w:val="left" w:pos="2667"/>
        </w:tabs>
        <w:rPr>
          <w:rFonts w:asciiTheme="majorBidi" w:hAnsiTheme="majorBidi"/>
          <w:sz w:val="27"/>
          <w:rtl/>
        </w:rPr>
      </w:pPr>
      <w:r w:rsidRPr="00282AC9">
        <w:rPr>
          <w:rFonts w:asciiTheme="majorBidi" w:hAnsiTheme="majorBidi"/>
          <w:sz w:val="27"/>
          <w:rtl/>
        </w:rPr>
        <w:t xml:space="preserve"> </w:t>
      </w:r>
      <w:r w:rsidR="006B1884" w:rsidRPr="00282AC9">
        <w:rPr>
          <w:rFonts w:asciiTheme="majorBidi" w:hAnsiTheme="majorBidi" w:hint="cs"/>
          <w:b/>
          <w:bCs/>
          <w:sz w:val="27"/>
          <w:rtl/>
        </w:rPr>
        <w:t>1</w:t>
      </w:r>
      <w:r w:rsidRPr="00282AC9">
        <w:rPr>
          <w:rFonts w:asciiTheme="majorBidi" w:hAnsiTheme="majorBidi"/>
          <w:b/>
          <w:bCs/>
          <w:sz w:val="27"/>
          <w:rtl/>
        </w:rPr>
        <w:t>ـ الدلالة الأصلي</w:t>
      </w:r>
      <w:r w:rsidR="00E66DEA" w:rsidRPr="00282AC9">
        <w:rPr>
          <w:rFonts w:asciiTheme="majorBidi" w:hAnsiTheme="majorBidi" w:hint="cs"/>
          <w:b/>
          <w:bCs/>
          <w:sz w:val="27"/>
          <w:rtl/>
        </w:rPr>
        <w:t>ّ</w:t>
      </w:r>
      <w:r w:rsidRPr="00282AC9">
        <w:rPr>
          <w:rFonts w:asciiTheme="majorBidi" w:hAnsiTheme="majorBidi"/>
          <w:b/>
          <w:bCs/>
          <w:sz w:val="27"/>
          <w:rtl/>
        </w:rPr>
        <w:t>ة</w:t>
      </w:r>
      <w:r w:rsidR="006B1884" w:rsidRPr="00282AC9">
        <w:rPr>
          <w:rFonts w:asciiTheme="majorBidi" w:hAnsiTheme="majorBidi" w:hint="cs"/>
          <w:sz w:val="27"/>
          <w:rtl/>
        </w:rPr>
        <w:t>:</w:t>
      </w:r>
      <w:r w:rsidRPr="00282AC9">
        <w:rPr>
          <w:rFonts w:asciiTheme="majorBidi" w:hAnsiTheme="majorBidi"/>
          <w:sz w:val="27"/>
          <w:rtl/>
        </w:rPr>
        <w:t xml:space="preserve"> وهي دلالة</w:t>
      </w:r>
      <w:r w:rsidR="006B1884" w:rsidRPr="00282AC9">
        <w:rPr>
          <w:rFonts w:asciiTheme="majorBidi" w:hAnsiTheme="majorBidi" w:hint="cs"/>
          <w:sz w:val="27"/>
          <w:rtl/>
        </w:rPr>
        <w:t>ٌ</w:t>
      </w:r>
      <w:r w:rsidRPr="00282AC9">
        <w:rPr>
          <w:rFonts w:asciiTheme="majorBidi" w:hAnsiTheme="majorBidi"/>
          <w:sz w:val="27"/>
          <w:rtl/>
        </w:rPr>
        <w:t xml:space="preserve"> لفظي</w:t>
      </w:r>
      <w:r w:rsidR="006B1884" w:rsidRPr="00282AC9">
        <w:rPr>
          <w:rFonts w:asciiTheme="majorBidi" w:hAnsiTheme="majorBidi" w:hint="cs"/>
          <w:sz w:val="27"/>
          <w:rtl/>
        </w:rPr>
        <w:t>ّ</w:t>
      </w:r>
      <w:r w:rsidRPr="00282AC9">
        <w:rPr>
          <w:rFonts w:asciiTheme="majorBidi" w:hAnsiTheme="majorBidi"/>
          <w:sz w:val="27"/>
          <w:rtl/>
        </w:rPr>
        <w:t xml:space="preserve">ة </w:t>
      </w:r>
      <w:r w:rsidRPr="00282AC9">
        <w:rPr>
          <w:rFonts w:asciiTheme="majorBidi" w:hAnsiTheme="majorBidi" w:hint="cs"/>
          <w:sz w:val="27"/>
          <w:rtl/>
        </w:rPr>
        <w:t>تابعة</w:t>
      </w:r>
      <w:r w:rsidR="006B1884" w:rsidRPr="00282AC9">
        <w:rPr>
          <w:rFonts w:asciiTheme="majorBidi" w:hAnsiTheme="majorBidi" w:hint="cs"/>
          <w:sz w:val="27"/>
          <w:rtl/>
        </w:rPr>
        <w:t>ٌ</w:t>
      </w:r>
      <w:r w:rsidRPr="00282AC9">
        <w:rPr>
          <w:rFonts w:asciiTheme="majorBidi" w:hAnsiTheme="majorBidi" w:hint="cs"/>
          <w:sz w:val="27"/>
          <w:rtl/>
        </w:rPr>
        <w:t xml:space="preserve"> لقصد المتكل</w:t>
      </w:r>
      <w:r w:rsidR="006B1884" w:rsidRPr="00282AC9">
        <w:rPr>
          <w:rFonts w:asciiTheme="majorBidi" w:hAnsiTheme="majorBidi" w:hint="cs"/>
          <w:sz w:val="27"/>
          <w:rtl/>
        </w:rPr>
        <w:t>ِّ</w:t>
      </w:r>
      <w:r w:rsidRPr="00282AC9">
        <w:rPr>
          <w:rFonts w:asciiTheme="majorBidi" w:hAnsiTheme="majorBidi" w:hint="cs"/>
          <w:sz w:val="27"/>
          <w:rtl/>
        </w:rPr>
        <w:t>م</w:t>
      </w:r>
      <w:r w:rsidR="006B1884" w:rsidRPr="00282AC9">
        <w:rPr>
          <w:rFonts w:asciiTheme="majorBidi" w:hAnsiTheme="majorBidi" w:hint="cs"/>
          <w:sz w:val="27"/>
          <w:rtl/>
        </w:rPr>
        <w:t>،</w:t>
      </w:r>
      <w:r w:rsidRPr="00282AC9">
        <w:rPr>
          <w:rFonts w:asciiTheme="majorBidi" w:hAnsiTheme="majorBidi" w:hint="cs"/>
          <w:sz w:val="27"/>
          <w:rtl/>
        </w:rPr>
        <w:t xml:space="preserve"> </w:t>
      </w:r>
      <w:r w:rsidR="006B1884" w:rsidRPr="00282AC9">
        <w:rPr>
          <w:rFonts w:asciiTheme="majorBidi" w:hAnsiTheme="majorBidi" w:hint="cs"/>
          <w:sz w:val="27"/>
          <w:rtl/>
        </w:rPr>
        <w:t xml:space="preserve">حيث </w:t>
      </w:r>
      <w:r w:rsidRPr="00282AC9">
        <w:rPr>
          <w:rFonts w:asciiTheme="majorBidi" w:hAnsiTheme="majorBidi"/>
          <w:sz w:val="27"/>
          <w:rtl/>
        </w:rPr>
        <w:t>يجد العقل بين الدال</w:t>
      </w:r>
      <w:r w:rsidR="006B1884" w:rsidRPr="00282AC9">
        <w:rPr>
          <w:rFonts w:asciiTheme="majorBidi" w:hAnsiTheme="majorBidi" w:hint="cs"/>
          <w:sz w:val="27"/>
          <w:rtl/>
        </w:rPr>
        <w:t>ّ</w:t>
      </w:r>
      <w:r w:rsidRPr="00282AC9">
        <w:rPr>
          <w:rFonts w:asciiTheme="majorBidi" w:hAnsiTheme="majorBidi"/>
          <w:sz w:val="27"/>
          <w:rtl/>
        </w:rPr>
        <w:t xml:space="preserve"> والمدلول مناسبة</w:t>
      </w:r>
      <w:r w:rsidR="006B1884" w:rsidRPr="00282AC9">
        <w:rPr>
          <w:rFonts w:asciiTheme="majorBidi" w:hAnsiTheme="majorBidi" w:hint="cs"/>
          <w:sz w:val="27"/>
          <w:rtl/>
        </w:rPr>
        <w:t>ً.</w:t>
      </w:r>
      <w:r w:rsidRPr="00282AC9">
        <w:rPr>
          <w:rFonts w:asciiTheme="majorBidi" w:hAnsiTheme="majorBidi" w:hint="cs"/>
          <w:sz w:val="27"/>
          <w:rtl/>
        </w:rPr>
        <w:t xml:space="preserve"> </w:t>
      </w:r>
      <w:r w:rsidRPr="00282AC9">
        <w:rPr>
          <w:rFonts w:asciiTheme="majorBidi" w:hAnsiTheme="majorBidi"/>
          <w:sz w:val="27"/>
          <w:rtl/>
        </w:rPr>
        <w:t>وقوامها</w:t>
      </w:r>
      <w:r w:rsidRPr="00282AC9">
        <w:rPr>
          <w:rFonts w:asciiTheme="majorBidi" w:hAnsiTheme="majorBidi" w:hint="cs"/>
          <w:sz w:val="27"/>
          <w:rtl/>
        </w:rPr>
        <w:t xml:space="preserve"> أن تأخذ</w:t>
      </w:r>
      <w:r w:rsidRPr="00282AC9">
        <w:rPr>
          <w:rFonts w:asciiTheme="majorBidi" w:hAnsiTheme="majorBidi"/>
          <w:sz w:val="27"/>
          <w:rtl/>
        </w:rPr>
        <w:t xml:space="preserve"> الألفاظ من وضعها الأصلي</w:t>
      </w:r>
      <w:r w:rsidR="006B1884" w:rsidRPr="00282AC9">
        <w:rPr>
          <w:rFonts w:asciiTheme="majorBidi" w:hAnsiTheme="majorBidi" w:hint="cs"/>
          <w:sz w:val="27"/>
          <w:rtl/>
        </w:rPr>
        <w:t>ّ،</w:t>
      </w:r>
      <w:r w:rsidRPr="00282AC9">
        <w:rPr>
          <w:rFonts w:asciiTheme="majorBidi" w:hAnsiTheme="majorBidi"/>
          <w:sz w:val="27"/>
          <w:rtl/>
        </w:rPr>
        <w:t xml:space="preserve"> بحيث تكون دلالتها </w:t>
      </w:r>
      <w:r w:rsidRPr="00282AC9">
        <w:rPr>
          <w:rFonts w:asciiTheme="majorBidi" w:hAnsiTheme="majorBidi" w:hint="cs"/>
          <w:sz w:val="27"/>
          <w:rtl/>
        </w:rPr>
        <w:t>وفق</w:t>
      </w:r>
      <w:r w:rsidRPr="00282AC9">
        <w:rPr>
          <w:rFonts w:asciiTheme="majorBidi" w:hAnsiTheme="majorBidi"/>
          <w:sz w:val="27"/>
          <w:rtl/>
        </w:rPr>
        <w:t xml:space="preserve"> ما و</w:t>
      </w:r>
      <w:r w:rsidR="006B1884" w:rsidRPr="00282AC9">
        <w:rPr>
          <w:rFonts w:asciiTheme="majorBidi" w:hAnsiTheme="majorBidi" w:hint="cs"/>
          <w:sz w:val="27"/>
          <w:rtl/>
        </w:rPr>
        <w:t>ُ</w:t>
      </w:r>
      <w:r w:rsidRPr="00282AC9">
        <w:rPr>
          <w:rFonts w:asciiTheme="majorBidi" w:hAnsiTheme="majorBidi"/>
          <w:sz w:val="27"/>
          <w:rtl/>
        </w:rPr>
        <w:t>ضع</w:t>
      </w:r>
      <w:r w:rsidR="006B1884" w:rsidRPr="00282AC9">
        <w:rPr>
          <w:rFonts w:asciiTheme="majorBidi" w:hAnsiTheme="majorBidi" w:hint="cs"/>
          <w:sz w:val="27"/>
          <w:rtl/>
        </w:rPr>
        <w:t>َ</w:t>
      </w:r>
      <w:r w:rsidRPr="00282AC9">
        <w:rPr>
          <w:rFonts w:asciiTheme="majorBidi" w:hAnsiTheme="majorBidi"/>
          <w:sz w:val="27"/>
          <w:rtl/>
        </w:rPr>
        <w:t>ت</w:t>
      </w:r>
      <w:r w:rsidR="006B1884" w:rsidRPr="00282AC9">
        <w:rPr>
          <w:rFonts w:asciiTheme="majorBidi" w:hAnsiTheme="majorBidi" w:hint="cs"/>
          <w:sz w:val="27"/>
          <w:rtl/>
        </w:rPr>
        <w:t>ْ</w:t>
      </w:r>
      <w:r w:rsidRPr="00282AC9">
        <w:rPr>
          <w:rFonts w:asciiTheme="majorBidi" w:hAnsiTheme="majorBidi"/>
          <w:sz w:val="27"/>
          <w:rtl/>
        </w:rPr>
        <w:t xml:space="preserve"> له بالقصد الأو</w:t>
      </w:r>
      <w:r w:rsidR="006B1884" w:rsidRPr="00282AC9">
        <w:rPr>
          <w:rFonts w:asciiTheme="majorBidi" w:hAnsiTheme="majorBidi" w:hint="cs"/>
          <w:sz w:val="27"/>
          <w:rtl/>
        </w:rPr>
        <w:t>ّ</w:t>
      </w:r>
      <w:r w:rsidRPr="00282AC9">
        <w:rPr>
          <w:rFonts w:asciiTheme="majorBidi" w:hAnsiTheme="majorBidi"/>
          <w:sz w:val="27"/>
          <w:rtl/>
        </w:rPr>
        <w:t>ل</w:t>
      </w:r>
      <w:r w:rsidRPr="00282AC9">
        <w:rPr>
          <w:rFonts w:asciiTheme="majorBidi" w:hAnsiTheme="majorBidi" w:hint="cs"/>
          <w:sz w:val="27"/>
          <w:rtl/>
        </w:rPr>
        <w:t xml:space="preserve"> المأخوذ من الوضع</w:t>
      </w:r>
      <w:r w:rsidR="006B1884" w:rsidRPr="00282AC9">
        <w:rPr>
          <w:rFonts w:asciiTheme="majorBidi" w:hAnsiTheme="majorBidi" w:hint="cs"/>
          <w:sz w:val="27"/>
          <w:rtl/>
        </w:rPr>
        <w:t>.</w:t>
      </w:r>
      <w:r w:rsidRPr="00282AC9">
        <w:rPr>
          <w:rFonts w:asciiTheme="majorBidi" w:hAnsiTheme="majorBidi"/>
          <w:sz w:val="27"/>
          <w:rtl/>
        </w:rPr>
        <w:t xml:space="preserve"> فهي دلالة</w:t>
      </w:r>
      <w:r w:rsidR="006B1884" w:rsidRPr="00282AC9">
        <w:rPr>
          <w:rFonts w:asciiTheme="majorBidi" w:hAnsiTheme="majorBidi" w:hint="cs"/>
          <w:sz w:val="27"/>
          <w:rtl/>
        </w:rPr>
        <w:t>ٌ</w:t>
      </w:r>
      <w:r w:rsidRPr="00282AC9">
        <w:rPr>
          <w:rFonts w:asciiTheme="majorBidi" w:hAnsiTheme="majorBidi"/>
          <w:sz w:val="27"/>
          <w:rtl/>
        </w:rPr>
        <w:t xml:space="preserve"> تشترك فيها</w:t>
      </w:r>
      <w:r w:rsidRPr="00282AC9">
        <w:rPr>
          <w:rFonts w:asciiTheme="majorBidi" w:hAnsiTheme="majorBidi" w:hint="cs"/>
          <w:sz w:val="27"/>
          <w:rtl/>
        </w:rPr>
        <w:t xml:space="preserve"> جميع الفهوم</w:t>
      </w:r>
      <w:r w:rsidRPr="00282AC9">
        <w:rPr>
          <w:rFonts w:asciiTheme="majorBidi" w:hAnsiTheme="majorBidi"/>
          <w:sz w:val="27"/>
          <w:rtl/>
        </w:rPr>
        <w:t xml:space="preserve"> والألسنة</w:t>
      </w:r>
      <w:r w:rsidRPr="00282AC9">
        <w:rPr>
          <w:rFonts w:asciiTheme="majorBidi" w:hAnsiTheme="majorBidi"/>
          <w:sz w:val="27"/>
          <w:vertAlign w:val="superscript"/>
          <w:rtl/>
        </w:rPr>
        <w:t>(</w:t>
      </w:r>
      <w:r w:rsidRPr="00282AC9">
        <w:rPr>
          <w:rStyle w:val="af9"/>
          <w:rFonts w:asciiTheme="majorBidi" w:hAnsiTheme="majorBidi"/>
          <w:sz w:val="27"/>
          <w:rtl/>
        </w:rPr>
        <w:endnoteReference w:id="745"/>
      </w:r>
      <w:r w:rsidRPr="00282AC9">
        <w:rPr>
          <w:rFonts w:asciiTheme="majorBidi" w:hAnsiTheme="majorBidi"/>
          <w:sz w:val="27"/>
          <w:vertAlign w:val="superscript"/>
          <w:rtl/>
        </w:rPr>
        <w:t>)</w:t>
      </w:r>
      <w:r w:rsidRPr="00282AC9">
        <w:rPr>
          <w:rFonts w:asciiTheme="majorBidi" w:hAnsiTheme="majorBidi"/>
          <w:sz w:val="27"/>
          <w:rtl/>
        </w:rPr>
        <w:t>.</w:t>
      </w:r>
    </w:p>
    <w:p w:rsidR="00D722E4" w:rsidRPr="00282AC9" w:rsidRDefault="00D722E4" w:rsidP="00A20690">
      <w:pPr>
        <w:tabs>
          <w:tab w:val="left" w:pos="2667"/>
        </w:tabs>
        <w:rPr>
          <w:rFonts w:asciiTheme="majorBidi" w:hAnsiTheme="majorBidi"/>
          <w:sz w:val="27"/>
          <w:rtl/>
        </w:rPr>
      </w:pPr>
      <w:r w:rsidRPr="00282AC9">
        <w:rPr>
          <w:rFonts w:asciiTheme="majorBidi" w:hAnsiTheme="majorBidi"/>
          <w:sz w:val="27"/>
          <w:rtl/>
        </w:rPr>
        <w:t xml:space="preserve"> </w:t>
      </w:r>
      <w:r w:rsidR="006B1884" w:rsidRPr="00282AC9">
        <w:rPr>
          <w:rFonts w:asciiTheme="majorBidi" w:hAnsiTheme="majorBidi" w:hint="cs"/>
          <w:b/>
          <w:bCs/>
          <w:sz w:val="27"/>
          <w:rtl/>
        </w:rPr>
        <w:t>2</w:t>
      </w:r>
      <w:r w:rsidRPr="00282AC9">
        <w:rPr>
          <w:rFonts w:asciiTheme="majorBidi" w:hAnsiTheme="majorBidi"/>
          <w:b/>
          <w:bCs/>
          <w:sz w:val="27"/>
          <w:rtl/>
        </w:rPr>
        <w:t>ـ الدلالة التابعة</w:t>
      </w:r>
      <w:r w:rsidR="006B1884" w:rsidRPr="00282AC9">
        <w:rPr>
          <w:rFonts w:asciiTheme="majorBidi" w:hAnsiTheme="majorBidi" w:hint="cs"/>
          <w:sz w:val="27"/>
          <w:rtl/>
        </w:rPr>
        <w:t>:</w:t>
      </w:r>
      <w:r w:rsidRPr="00282AC9">
        <w:rPr>
          <w:rFonts w:asciiTheme="majorBidi" w:hAnsiTheme="majorBidi"/>
          <w:sz w:val="27"/>
          <w:rtl/>
        </w:rPr>
        <w:t xml:space="preserve"> </w:t>
      </w:r>
      <w:r w:rsidR="006B1884" w:rsidRPr="00282AC9">
        <w:rPr>
          <w:rFonts w:asciiTheme="majorBidi" w:hAnsiTheme="majorBidi" w:hint="cs"/>
          <w:sz w:val="27"/>
          <w:rtl/>
        </w:rPr>
        <w:t>و</w:t>
      </w:r>
      <w:r w:rsidRPr="00282AC9">
        <w:rPr>
          <w:rFonts w:asciiTheme="majorBidi" w:hAnsiTheme="majorBidi"/>
          <w:sz w:val="27"/>
          <w:rtl/>
        </w:rPr>
        <w:t>هي دلالة مستمد</w:t>
      </w:r>
      <w:r w:rsidR="006B1884" w:rsidRPr="00282AC9">
        <w:rPr>
          <w:rFonts w:asciiTheme="majorBidi" w:hAnsiTheme="majorBidi" w:hint="cs"/>
          <w:sz w:val="27"/>
          <w:rtl/>
        </w:rPr>
        <w:t>ّةٌ</w:t>
      </w:r>
      <w:r w:rsidRPr="00282AC9">
        <w:rPr>
          <w:rFonts w:asciiTheme="majorBidi" w:hAnsiTheme="majorBidi"/>
          <w:sz w:val="27"/>
          <w:rtl/>
        </w:rPr>
        <w:t xml:space="preserve"> من الدلالة الأصلية، وخادمة</w:t>
      </w:r>
      <w:r w:rsidR="006B1884" w:rsidRPr="00282AC9">
        <w:rPr>
          <w:rFonts w:asciiTheme="majorBidi" w:hAnsiTheme="majorBidi" w:hint="cs"/>
          <w:sz w:val="27"/>
          <w:rtl/>
        </w:rPr>
        <w:t>ٌ</w:t>
      </w:r>
      <w:r w:rsidRPr="00282AC9">
        <w:rPr>
          <w:rFonts w:asciiTheme="majorBidi" w:hAnsiTheme="majorBidi"/>
          <w:sz w:val="27"/>
          <w:rtl/>
        </w:rPr>
        <w:t xml:space="preserve"> لها</w:t>
      </w:r>
      <w:r w:rsidR="006B1884" w:rsidRPr="00282AC9">
        <w:rPr>
          <w:rFonts w:asciiTheme="majorBidi" w:hAnsiTheme="majorBidi" w:hint="cs"/>
          <w:sz w:val="27"/>
          <w:rtl/>
        </w:rPr>
        <w:t xml:space="preserve">، </w:t>
      </w:r>
      <w:r w:rsidRPr="00282AC9">
        <w:rPr>
          <w:rFonts w:asciiTheme="majorBidi" w:hAnsiTheme="majorBidi" w:hint="cs"/>
          <w:sz w:val="27"/>
          <w:rtl/>
        </w:rPr>
        <w:t>وراجعة</w:t>
      </w:r>
      <w:r w:rsidR="006B1884" w:rsidRPr="00282AC9">
        <w:rPr>
          <w:rFonts w:asciiTheme="majorBidi" w:hAnsiTheme="majorBidi" w:hint="cs"/>
          <w:sz w:val="27"/>
          <w:rtl/>
        </w:rPr>
        <w:t>ٌ</w:t>
      </w:r>
      <w:r w:rsidRPr="00282AC9">
        <w:rPr>
          <w:rFonts w:asciiTheme="majorBidi" w:hAnsiTheme="majorBidi" w:hint="cs"/>
          <w:sz w:val="27"/>
          <w:rtl/>
        </w:rPr>
        <w:t xml:space="preserve"> </w:t>
      </w:r>
      <w:r w:rsidR="006B1884" w:rsidRPr="00282AC9">
        <w:rPr>
          <w:rFonts w:asciiTheme="majorBidi" w:hAnsiTheme="majorBidi" w:hint="cs"/>
          <w:sz w:val="27"/>
          <w:rtl/>
        </w:rPr>
        <w:t>إ</w:t>
      </w:r>
      <w:r w:rsidRPr="00282AC9">
        <w:rPr>
          <w:rFonts w:asciiTheme="majorBidi" w:hAnsiTheme="majorBidi" w:hint="cs"/>
          <w:sz w:val="27"/>
          <w:rtl/>
        </w:rPr>
        <w:t>ليها</w:t>
      </w:r>
      <w:r w:rsidR="006B1884" w:rsidRPr="00282AC9">
        <w:rPr>
          <w:rFonts w:asciiTheme="majorBidi" w:hAnsiTheme="majorBidi" w:hint="cs"/>
          <w:sz w:val="27"/>
          <w:rtl/>
        </w:rPr>
        <w:t>.</w:t>
      </w:r>
      <w:r w:rsidRPr="00282AC9">
        <w:rPr>
          <w:rFonts w:asciiTheme="majorBidi" w:hAnsiTheme="majorBidi" w:hint="cs"/>
          <w:sz w:val="27"/>
          <w:rtl/>
        </w:rPr>
        <w:t xml:space="preserve"> </w:t>
      </w:r>
      <w:r w:rsidR="006B1884" w:rsidRPr="00282AC9">
        <w:rPr>
          <w:rFonts w:asciiTheme="majorBidi" w:hAnsiTheme="majorBidi" w:hint="cs"/>
          <w:sz w:val="27"/>
          <w:rtl/>
        </w:rPr>
        <w:t>و</w:t>
      </w:r>
      <w:r w:rsidRPr="00282AC9">
        <w:rPr>
          <w:rFonts w:asciiTheme="majorBidi" w:hAnsiTheme="majorBidi"/>
          <w:sz w:val="27"/>
          <w:rtl/>
        </w:rPr>
        <w:t>يتطل</w:t>
      </w:r>
      <w:r w:rsidR="006B1884" w:rsidRPr="00282AC9">
        <w:rPr>
          <w:rFonts w:asciiTheme="majorBidi" w:hAnsiTheme="majorBidi" w:hint="cs"/>
          <w:sz w:val="27"/>
          <w:rtl/>
        </w:rPr>
        <w:t>ّ</w:t>
      </w:r>
      <w:r w:rsidRPr="00282AC9">
        <w:rPr>
          <w:rFonts w:asciiTheme="majorBidi" w:hAnsiTheme="majorBidi"/>
          <w:sz w:val="27"/>
          <w:rtl/>
        </w:rPr>
        <w:t xml:space="preserve">ب النظر في </w:t>
      </w:r>
      <w:r w:rsidRPr="00282AC9">
        <w:rPr>
          <w:rFonts w:asciiTheme="majorBidi" w:hAnsiTheme="majorBidi" w:hint="cs"/>
          <w:sz w:val="27"/>
          <w:rtl/>
        </w:rPr>
        <w:t xml:space="preserve">معرفتها </w:t>
      </w:r>
      <w:r w:rsidRPr="00282AC9">
        <w:rPr>
          <w:rFonts w:asciiTheme="majorBidi" w:hAnsiTheme="majorBidi"/>
          <w:sz w:val="27"/>
          <w:rtl/>
        </w:rPr>
        <w:t>النظر في المقتضيات العام</w:t>
      </w:r>
      <w:r w:rsidR="006B1884" w:rsidRPr="00282AC9">
        <w:rPr>
          <w:rFonts w:asciiTheme="majorBidi" w:hAnsiTheme="majorBidi" w:hint="cs"/>
          <w:sz w:val="27"/>
          <w:rtl/>
        </w:rPr>
        <w:t>ّ</w:t>
      </w:r>
      <w:r w:rsidRPr="00282AC9">
        <w:rPr>
          <w:rFonts w:asciiTheme="majorBidi" w:hAnsiTheme="majorBidi"/>
          <w:sz w:val="27"/>
          <w:rtl/>
        </w:rPr>
        <w:t xml:space="preserve">ة المحيطة </w:t>
      </w:r>
      <w:r w:rsidR="006B1884" w:rsidRPr="00282AC9">
        <w:rPr>
          <w:rFonts w:asciiTheme="majorBidi" w:hAnsiTheme="majorBidi" w:hint="cs"/>
          <w:sz w:val="27"/>
          <w:rtl/>
        </w:rPr>
        <w:t>با</w:t>
      </w:r>
      <w:r w:rsidRPr="00282AC9">
        <w:rPr>
          <w:rFonts w:asciiTheme="majorBidi" w:hAnsiTheme="majorBidi"/>
          <w:sz w:val="27"/>
          <w:rtl/>
        </w:rPr>
        <w:t>لخطاب</w:t>
      </w:r>
      <w:r w:rsidR="006B1884" w:rsidRPr="00282AC9">
        <w:rPr>
          <w:rFonts w:asciiTheme="majorBidi" w:hAnsiTheme="majorBidi" w:hint="cs"/>
          <w:sz w:val="27"/>
          <w:rtl/>
        </w:rPr>
        <w:t>،</w:t>
      </w:r>
      <w:r w:rsidRPr="00282AC9">
        <w:rPr>
          <w:rFonts w:asciiTheme="majorBidi" w:hAnsiTheme="majorBidi" w:hint="cs"/>
          <w:sz w:val="27"/>
          <w:rtl/>
        </w:rPr>
        <w:t xml:space="preserve"> </w:t>
      </w:r>
      <w:r w:rsidR="006B1884" w:rsidRPr="00282AC9">
        <w:rPr>
          <w:rFonts w:asciiTheme="majorBidi" w:hAnsiTheme="majorBidi" w:hint="cs"/>
          <w:sz w:val="27"/>
          <w:rtl/>
        </w:rPr>
        <w:t>أ</w:t>
      </w:r>
      <w:r w:rsidRPr="00282AC9">
        <w:rPr>
          <w:rFonts w:asciiTheme="majorBidi" w:hAnsiTheme="majorBidi" w:hint="cs"/>
          <w:sz w:val="27"/>
          <w:rtl/>
        </w:rPr>
        <w:t>عني السياق</w:t>
      </w:r>
      <w:r w:rsidRPr="00282AC9">
        <w:rPr>
          <w:rFonts w:asciiTheme="majorBidi" w:hAnsiTheme="majorBidi"/>
          <w:sz w:val="27"/>
          <w:vertAlign w:val="superscript"/>
          <w:rtl/>
        </w:rPr>
        <w:t>(</w:t>
      </w:r>
      <w:r w:rsidRPr="00282AC9">
        <w:rPr>
          <w:rStyle w:val="af9"/>
          <w:rFonts w:asciiTheme="majorBidi" w:hAnsiTheme="majorBidi"/>
          <w:sz w:val="27"/>
          <w:rtl/>
        </w:rPr>
        <w:endnoteReference w:id="746"/>
      </w:r>
      <w:r w:rsidRPr="00282AC9">
        <w:rPr>
          <w:rFonts w:asciiTheme="majorBidi" w:hAnsiTheme="majorBidi"/>
          <w:sz w:val="27"/>
          <w:vertAlign w:val="superscript"/>
          <w:rtl/>
        </w:rPr>
        <w:t>)</w:t>
      </w:r>
      <w:r w:rsidRPr="00282AC9">
        <w:rPr>
          <w:rFonts w:asciiTheme="majorBidi" w:hAnsiTheme="majorBidi"/>
          <w:sz w:val="27"/>
          <w:rtl/>
        </w:rPr>
        <w:t>.</w:t>
      </w:r>
    </w:p>
    <w:p w:rsidR="00D722E4" w:rsidRPr="00282AC9" w:rsidRDefault="00D722E4" w:rsidP="00A20690">
      <w:pPr>
        <w:tabs>
          <w:tab w:val="left" w:pos="2667"/>
        </w:tabs>
        <w:rPr>
          <w:rFonts w:asciiTheme="majorBidi" w:hAnsiTheme="majorBidi"/>
          <w:sz w:val="27"/>
          <w:rtl/>
        </w:rPr>
      </w:pPr>
      <w:r w:rsidRPr="00282AC9">
        <w:rPr>
          <w:rFonts w:asciiTheme="majorBidi" w:hAnsiTheme="majorBidi"/>
          <w:sz w:val="27"/>
          <w:rtl/>
        </w:rPr>
        <w:t>وتحصيل الدلالة الت</w:t>
      </w:r>
      <w:r w:rsidR="006B1884" w:rsidRPr="00282AC9">
        <w:rPr>
          <w:rFonts w:asciiTheme="majorBidi" w:hAnsiTheme="majorBidi" w:hint="cs"/>
          <w:sz w:val="27"/>
          <w:rtl/>
        </w:rPr>
        <w:t>َّ</w:t>
      </w:r>
      <w:r w:rsidRPr="00282AC9">
        <w:rPr>
          <w:rFonts w:asciiTheme="majorBidi" w:hAnsiTheme="majorBidi"/>
          <w:sz w:val="27"/>
          <w:rtl/>
        </w:rPr>
        <w:t>ب</w:t>
      </w:r>
      <w:r w:rsidR="006B1884" w:rsidRPr="00282AC9">
        <w:rPr>
          <w:rFonts w:asciiTheme="majorBidi" w:hAnsiTheme="majorBidi" w:hint="cs"/>
          <w:sz w:val="27"/>
          <w:rtl/>
        </w:rPr>
        <w:t>َ</w:t>
      </w:r>
      <w:r w:rsidRPr="00282AC9">
        <w:rPr>
          <w:rFonts w:asciiTheme="majorBidi" w:hAnsiTheme="majorBidi"/>
          <w:sz w:val="27"/>
          <w:rtl/>
        </w:rPr>
        <w:t>عية من الأصلي</w:t>
      </w:r>
      <w:r w:rsidR="006B1884" w:rsidRPr="00282AC9">
        <w:rPr>
          <w:rFonts w:asciiTheme="majorBidi" w:hAnsiTheme="majorBidi" w:hint="cs"/>
          <w:sz w:val="27"/>
          <w:rtl/>
        </w:rPr>
        <w:t>ّ</w:t>
      </w:r>
      <w:r w:rsidRPr="00282AC9">
        <w:rPr>
          <w:rFonts w:asciiTheme="majorBidi" w:hAnsiTheme="majorBidi"/>
          <w:sz w:val="27"/>
          <w:rtl/>
        </w:rPr>
        <w:t>ة متوق</w:t>
      </w:r>
      <w:r w:rsidR="006B1884" w:rsidRPr="00282AC9">
        <w:rPr>
          <w:rFonts w:asciiTheme="majorBidi" w:hAnsiTheme="majorBidi" w:hint="cs"/>
          <w:sz w:val="27"/>
          <w:rtl/>
        </w:rPr>
        <w:t>ِّ</w:t>
      </w:r>
      <w:r w:rsidRPr="00282AC9">
        <w:rPr>
          <w:rFonts w:asciiTheme="majorBidi" w:hAnsiTheme="majorBidi"/>
          <w:sz w:val="27"/>
          <w:rtl/>
        </w:rPr>
        <w:t>ف</w:t>
      </w:r>
      <w:r w:rsidR="006B1884" w:rsidRPr="00282AC9">
        <w:rPr>
          <w:rFonts w:asciiTheme="majorBidi" w:hAnsiTheme="majorBidi" w:hint="cs"/>
          <w:sz w:val="27"/>
          <w:rtl/>
        </w:rPr>
        <w:t>ٌ</w:t>
      </w:r>
      <w:r w:rsidRPr="00282AC9">
        <w:rPr>
          <w:rFonts w:asciiTheme="majorBidi" w:hAnsiTheme="majorBidi"/>
          <w:sz w:val="27"/>
          <w:rtl/>
        </w:rPr>
        <w:t xml:space="preserve"> على مدى المعرفة بالسياق المحيط بالخطاب</w:t>
      </w:r>
      <w:r w:rsidR="009F79BB" w:rsidRPr="00282AC9">
        <w:rPr>
          <w:rFonts w:asciiTheme="majorBidi" w:hAnsiTheme="majorBidi" w:hint="cs"/>
          <w:sz w:val="27"/>
          <w:rtl/>
        </w:rPr>
        <w:t>.</w:t>
      </w:r>
      <w:r w:rsidRPr="00282AC9">
        <w:rPr>
          <w:rFonts w:asciiTheme="majorBidi" w:hAnsiTheme="majorBidi"/>
          <w:sz w:val="27"/>
          <w:rtl/>
        </w:rPr>
        <w:t xml:space="preserve"> وهو ما يتفاوت فيه المتلق</w:t>
      </w:r>
      <w:r w:rsidR="009F79BB" w:rsidRPr="00282AC9">
        <w:rPr>
          <w:rFonts w:asciiTheme="majorBidi" w:hAnsiTheme="majorBidi" w:hint="cs"/>
          <w:sz w:val="27"/>
          <w:rtl/>
        </w:rPr>
        <w:t>ِّ</w:t>
      </w:r>
      <w:r w:rsidRPr="00282AC9">
        <w:rPr>
          <w:rFonts w:asciiTheme="majorBidi" w:hAnsiTheme="majorBidi"/>
          <w:sz w:val="27"/>
          <w:rtl/>
        </w:rPr>
        <w:t>ين لهذا الخطاب.</w:t>
      </w:r>
      <w:r w:rsidRPr="00282AC9">
        <w:rPr>
          <w:rFonts w:asciiTheme="majorBidi" w:hAnsiTheme="majorBidi" w:hint="cs"/>
          <w:sz w:val="27"/>
          <w:rtl/>
        </w:rPr>
        <w:t xml:space="preserve"> </w:t>
      </w:r>
      <w:r w:rsidRPr="00282AC9">
        <w:rPr>
          <w:rFonts w:asciiTheme="majorBidi" w:hAnsiTheme="majorBidi"/>
          <w:sz w:val="27"/>
          <w:rtl/>
        </w:rPr>
        <w:t>وهو ما يعني أن المتلق</w:t>
      </w:r>
      <w:r w:rsidR="009F79BB" w:rsidRPr="00282AC9">
        <w:rPr>
          <w:rFonts w:asciiTheme="majorBidi" w:hAnsiTheme="majorBidi" w:hint="cs"/>
          <w:sz w:val="27"/>
          <w:rtl/>
        </w:rPr>
        <w:t>ِّ</w:t>
      </w:r>
      <w:r w:rsidRPr="00282AC9">
        <w:rPr>
          <w:rFonts w:asciiTheme="majorBidi" w:hAnsiTheme="majorBidi"/>
          <w:sz w:val="27"/>
          <w:rtl/>
        </w:rPr>
        <w:t xml:space="preserve">ين يتفاوتون في اكتساب </w:t>
      </w:r>
      <w:r w:rsidRPr="00282AC9">
        <w:rPr>
          <w:rFonts w:asciiTheme="majorBidi" w:hAnsiTheme="majorBidi" w:hint="cs"/>
          <w:sz w:val="27"/>
          <w:rtl/>
        </w:rPr>
        <w:t>هذه الدلالة</w:t>
      </w:r>
      <w:r w:rsidRPr="00282AC9">
        <w:rPr>
          <w:rFonts w:asciiTheme="majorBidi" w:hAnsiTheme="majorBidi"/>
          <w:sz w:val="27"/>
          <w:rtl/>
        </w:rPr>
        <w:t>...</w:t>
      </w:r>
    </w:p>
    <w:p w:rsidR="00D722E4" w:rsidRPr="00282AC9" w:rsidRDefault="00D722E4" w:rsidP="00A20690">
      <w:pPr>
        <w:tabs>
          <w:tab w:val="left" w:pos="2667"/>
        </w:tabs>
        <w:rPr>
          <w:rFonts w:asciiTheme="majorBidi" w:hAnsiTheme="majorBidi"/>
          <w:sz w:val="27"/>
          <w:rtl/>
        </w:rPr>
      </w:pPr>
      <w:r w:rsidRPr="00282AC9">
        <w:rPr>
          <w:rFonts w:asciiTheme="majorBidi" w:hAnsiTheme="majorBidi"/>
          <w:sz w:val="27"/>
          <w:rtl/>
        </w:rPr>
        <w:t>فمراعاة المقتضيات التداولية للخطاب</w:t>
      </w:r>
      <w:r w:rsidR="009F79BB" w:rsidRPr="00282AC9">
        <w:rPr>
          <w:rFonts w:asciiTheme="majorBidi" w:hAnsiTheme="majorBidi" w:hint="cs"/>
          <w:sz w:val="27"/>
          <w:rtl/>
        </w:rPr>
        <w:t>،</w:t>
      </w:r>
      <w:r w:rsidRPr="00282AC9">
        <w:rPr>
          <w:rFonts w:asciiTheme="majorBidi" w:hAnsiTheme="majorBidi"/>
          <w:sz w:val="27"/>
          <w:rtl/>
        </w:rPr>
        <w:t xml:space="preserve"> من حيث الظروف والملابسات المحيطة بالخطاب</w:t>
      </w:r>
      <w:r w:rsidR="009F79BB" w:rsidRPr="00282AC9">
        <w:rPr>
          <w:rFonts w:asciiTheme="majorBidi" w:hAnsiTheme="majorBidi" w:hint="cs"/>
          <w:sz w:val="27"/>
          <w:rtl/>
        </w:rPr>
        <w:t>،</w:t>
      </w:r>
      <w:r w:rsidRPr="00282AC9">
        <w:rPr>
          <w:rFonts w:asciiTheme="majorBidi" w:hAnsiTheme="majorBidi"/>
          <w:sz w:val="27"/>
          <w:rtl/>
        </w:rPr>
        <w:t xml:space="preserve"> مطلب</w:t>
      </w:r>
      <w:r w:rsidR="009F79BB" w:rsidRPr="00282AC9">
        <w:rPr>
          <w:rFonts w:asciiTheme="majorBidi" w:hAnsiTheme="majorBidi" w:hint="cs"/>
          <w:sz w:val="27"/>
          <w:rtl/>
        </w:rPr>
        <w:t>ٌ</w:t>
      </w:r>
      <w:r w:rsidRPr="00282AC9">
        <w:rPr>
          <w:rFonts w:asciiTheme="majorBidi" w:hAnsiTheme="majorBidi"/>
          <w:sz w:val="27"/>
          <w:rtl/>
        </w:rPr>
        <w:t xml:space="preserve"> منهجي</w:t>
      </w:r>
      <w:r w:rsidR="009F79BB" w:rsidRPr="00282AC9">
        <w:rPr>
          <w:rFonts w:asciiTheme="majorBidi" w:hAnsiTheme="majorBidi" w:hint="cs"/>
          <w:sz w:val="27"/>
          <w:rtl/>
        </w:rPr>
        <w:t>ّ</w:t>
      </w:r>
      <w:r w:rsidRPr="00282AC9">
        <w:rPr>
          <w:rFonts w:asciiTheme="majorBidi" w:hAnsiTheme="majorBidi"/>
          <w:sz w:val="27"/>
          <w:rtl/>
        </w:rPr>
        <w:t xml:space="preserve"> في تمث</w:t>
      </w:r>
      <w:r w:rsidR="009F79BB" w:rsidRPr="00282AC9">
        <w:rPr>
          <w:rFonts w:asciiTheme="majorBidi" w:hAnsiTheme="majorBidi" w:hint="cs"/>
          <w:sz w:val="27"/>
          <w:rtl/>
        </w:rPr>
        <w:t>ُّ</w:t>
      </w:r>
      <w:r w:rsidRPr="00282AC9">
        <w:rPr>
          <w:rFonts w:asciiTheme="majorBidi" w:hAnsiTheme="majorBidi"/>
          <w:sz w:val="27"/>
          <w:rtl/>
        </w:rPr>
        <w:t>ل الدلالة في الخطاب</w:t>
      </w:r>
      <w:r w:rsidR="009F79BB" w:rsidRPr="00282AC9">
        <w:rPr>
          <w:rFonts w:asciiTheme="majorBidi" w:hAnsiTheme="majorBidi" w:hint="cs"/>
          <w:sz w:val="27"/>
          <w:rtl/>
        </w:rPr>
        <w:t>،</w:t>
      </w:r>
      <w:r w:rsidRPr="00282AC9">
        <w:rPr>
          <w:rFonts w:asciiTheme="majorBidi" w:hAnsiTheme="majorBidi"/>
          <w:sz w:val="27"/>
          <w:rtl/>
        </w:rPr>
        <w:t xml:space="preserve"> </w:t>
      </w:r>
      <w:r w:rsidRPr="00282AC9">
        <w:rPr>
          <w:rFonts w:asciiTheme="majorBidi" w:hAnsiTheme="majorBidi" w:hint="cs"/>
          <w:sz w:val="27"/>
          <w:rtl/>
        </w:rPr>
        <w:t>بأقسامها المتعد</w:t>
      </w:r>
      <w:r w:rsidR="009F79BB" w:rsidRPr="00282AC9">
        <w:rPr>
          <w:rFonts w:asciiTheme="majorBidi" w:hAnsiTheme="majorBidi" w:hint="cs"/>
          <w:sz w:val="27"/>
          <w:rtl/>
        </w:rPr>
        <w:t>ِّ</w:t>
      </w:r>
      <w:r w:rsidRPr="00282AC9">
        <w:rPr>
          <w:rFonts w:asciiTheme="majorBidi" w:hAnsiTheme="majorBidi" w:hint="cs"/>
          <w:sz w:val="27"/>
          <w:rtl/>
        </w:rPr>
        <w:t xml:space="preserve">دة، </w:t>
      </w:r>
      <w:r w:rsidRPr="00282AC9">
        <w:rPr>
          <w:rFonts w:asciiTheme="majorBidi" w:hAnsiTheme="majorBidi"/>
          <w:sz w:val="27"/>
          <w:rtl/>
        </w:rPr>
        <w:t>و</w:t>
      </w:r>
      <w:r w:rsidRPr="00282AC9">
        <w:rPr>
          <w:rFonts w:asciiTheme="majorBidi" w:hAnsiTheme="majorBidi" w:hint="cs"/>
          <w:sz w:val="27"/>
          <w:rtl/>
        </w:rPr>
        <w:t>ب</w:t>
      </w:r>
      <w:r w:rsidRPr="00282AC9">
        <w:rPr>
          <w:rFonts w:asciiTheme="majorBidi" w:hAnsiTheme="majorBidi"/>
          <w:sz w:val="27"/>
          <w:rtl/>
        </w:rPr>
        <w:t>فروعها</w:t>
      </w:r>
      <w:r w:rsidRPr="00282AC9">
        <w:rPr>
          <w:rFonts w:asciiTheme="majorBidi" w:hAnsiTheme="majorBidi" w:hint="cs"/>
          <w:sz w:val="27"/>
          <w:rtl/>
        </w:rPr>
        <w:t xml:space="preserve"> و</w:t>
      </w:r>
      <w:r w:rsidR="009F79BB" w:rsidRPr="00282AC9">
        <w:rPr>
          <w:rFonts w:asciiTheme="majorBidi" w:hAnsiTheme="majorBidi" w:hint="cs"/>
          <w:sz w:val="27"/>
          <w:rtl/>
        </w:rPr>
        <w:t>أ</w:t>
      </w:r>
      <w:r w:rsidRPr="00282AC9">
        <w:rPr>
          <w:rFonts w:asciiTheme="majorBidi" w:hAnsiTheme="majorBidi" w:hint="cs"/>
          <w:sz w:val="27"/>
          <w:rtl/>
        </w:rPr>
        <w:t xml:space="preserve">شكالها </w:t>
      </w:r>
      <w:r w:rsidRPr="00282AC9">
        <w:rPr>
          <w:rFonts w:asciiTheme="majorBidi" w:hAnsiTheme="majorBidi"/>
          <w:sz w:val="27"/>
          <w:rtl/>
        </w:rPr>
        <w:t>المتنو</w:t>
      </w:r>
      <w:r w:rsidR="009F79BB" w:rsidRPr="00282AC9">
        <w:rPr>
          <w:rFonts w:asciiTheme="majorBidi" w:hAnsiTheme="majorBidi" w:hint="cs"/>
          <w:sz w:val="27"/>
          <w:rtl/>
        </w:rPr>
        <w:t>ِّ</w:t>
      </w:r>
      <w:r w:rsidRPr="00282AC9">
        <w:rPr>
          <w:rFonts w:asciiTheme="majorBidi" w:hAnsiTheme="majorBidi"/>
          <w:sz w:val="27"/>
          <w:rtl/>
        </w:rPr>
        <w:t>عة.</w:t>
      </w:r>
      <w:r w:rsidRPr="00282AC9">
        <w:rPr>
          <w:rFonts w:asciiTheme="majorBidi" w:hAnsiTheme="majorBidi" w:hint="cs"/>
          <w:sz w:val="27"/>
          <w:rtl/>
        </w:rPr>
        <w:t xml:space="preserve"> </w:t>
      </w:r>
    </w:p>
    <w:p w:rsidR="00D722E4" w:rsidRPr="00282AC9" w:rsidRDefault="00D722E4" w:rsidP="00A20690">
      <w:pPr>
        <w:rPr>
          <w:rFonts w:ascii="Arial" w:hAnsi="Arial"/>
          <w:sz w:val="27"/>
          <w:rtl/>
        </w:rPr>
      </w:pPr>
      <w:r w:rsidRPr="00282AC9">
        <w:rPr>
          <w:rFonts w:ascii="Arial" w:hAnsi="Arial" w:hint="cs"/>
          <w:sz w:val="27"/>
          <w:rtl/>
        </w:rPr>
        <w:t>والدلالة بهذا التقسيم والتفريع هي من اختيار الإمام الشاطبي(790هـ)</w:t>
      </w:r>
      <w:r w:rsidR="009F79BB" w:rsidRPr="00282AC9">
        <w:rPr>
          <w:rFonts w:ascii="Arial" w:hAnsi="Arial" w:hint="cs"/>
          <w:sz w:val="27"/>
          <w:rtl/>
        </w:rPr>
        <w:t>،</w:t>
      </w:r>
      <w:r w:rsidRPr="00282AC9">
        <w:rPr>
          <w:rFonts w:ascii="Arial" w:hAnsi="Arial" w:hint="cs"/>
          <w:sz w:val="27"/>
          <w:rtl/>
        </w:rPr>
        <w:t xml:space="preserve"> في الموافقات</w:t>
      </w:r>
      <w:r w:rsidR="009F79BB" w:rsidRPr="00282AC9">
        <w:rPr>
          <w:rFonts w:ascii="Arial" w:hAnsi="Arial" w:hint="cs"/>
          <w:sz w:val="27"/>
          <w:rtl/>
        </w:rPr>
        <w:t>،</w:t>
      </w:r>
      <w:r w:rsidRPr="00282AC9">
        <w:rPr>
          <w:rFonts w:ascii="Arial" w:hAnsi="Arial" w:hint="cs"/>
          <w:sz w:val="27"/>
          <w:rtl/>
        </w:rPr>
        <w:t xml:space="preserve"> فقد قس</w:t>
      </w:r>
      <w:r w:rsidR="009F79BB" w:rsidRPr="00282AC9">
        <w:rPr>
          <w:rFonts w:ascii="Arial" w:hAnsi="Arial" w:hint="cs"/>
          <w:sz w:val="27"/>
          <w:rtl/>
        </w:rPr>
        <w:t>َّ</w:t>
      </w:r>
      <w:r w:rsidRPr="00282AC9">
        <w:rPr>
          <w:rFonts w:ascii="Arial" w:hAnsi="Arial" w:hint="cs"/>
          <w:sz w:val="27"/>
          <w:rtl/>
        </w:rPr>
        <w:t>م الدلالة التي ترجع إلى المواضعة اللغوي</w:t>
      </w:r>
      <w:r w:rsidR="009F79BB" w:rsidRPr="00282AC9">
        <w:rPr>
          <w:rFonts w:ascii="Arial" w:hAnsi="Arial" w:hint="cs"/>
          <w:sz w:val="27"/>
          <w:rtl/>
        </w:rPr>
        <w:t>ّ</w:t>
      </w:r>
      <w:r w:rsidRPr="00282AC9">
        <w:rPr>
          <w:rFonts w:ascii="Arial" w:hAnsi="Arial" w:hint="cs"/>
          <w:sz w:val="27"/>
          <w:rtl/>
        </w:rPr>
        <w:t>ة إلى:</w:t>
      </w:r>
    </w:p>
    <w:p w:rsidR="00D722E4" w:rsidRPr="00282AC9" w:rsidRDefault="00D722E4" w:rsidP="00A20690">
      <w:pPr>
        <w:rPr>
          <w:rFonts w:ascii="Arial" w:hAnsi="Arial"/>
          <w:sz w:val="27"/>
          <w:rtl/>
        </w:rPr>
      </w:pPr>
      <w:r w:rsidRPr="00282AC9">
        <w:rPr>
          <w:rFonts w:ascii="Arial" w:hAnsi="Arial" w:hint="cs"/>
          <w:sz w:val="27"/>
          <w:rtl/>
        </w:rPr>
        <w:t xml:space="preserve"> </w:t>
      </w:r>
      <w:r w:rsidRPr="00282AC9">
        <w:rPr>
          <w:rFonts w:ascii="Arial" w:hAnsi="Arial" w:hint="cs"/>
          <w:b/>
          <w:bCs/>
          <w:sz w:val="27"/>
          <w:rtl/>
        </w:rPr>
        <w:t>دلالة أصلي</w:t>
      </w:r>
      <w:r w:rsidR="009F79BB" w:rsidRPr="00282AC9">
        <w:rPr>
          <w:rFonts w:ascii="Arial" w:hAnsi="Arial" w:hint="cs"/>
          <w:b/>
          <w:bCs/>
          <w:sz w:val="27"/>
          <w:rtl/>
        </w:rPr>
        <w:t>ّ</w:t>
      </w:r>
      <w:r w:rsidRPr="00282AC9">
        <w:rPr>
          <w:rFonts w:ascii="Arial" w:hAnsi="Arial" w:hint="cs"/>
          <w:b/>
          <w:bCs/>
          <w:sz w:val="27"/>
          <w:rtl/>
        </w:rPr>
        <w:t>ة</w:t>
      </w:r>
      <w:r w:rsidR="009F79BB" w:rsidRPr="00282AC9">
        <w:rPr>
          <w:rFonts w:ascii="Arial" w:hAnsi="Arial" w:hint="cs"/>
          <w:sz w:val="27"/>
          <w:rtl/>
        </w:rPr>
        <w:t>؛</w:t>
      </w:r>
      <w:r w:rsidRPr="00282AC9">
        <w:rPr>
          <w:rFonts w:ascii="Arial" w:hAnsi="Arial" w:hint="cs"/>
          <w:sz w:val="27"/>
          <w:rtl/>
        </w:rPr>
        <w:t xml:space="preserve"> </w:t>
      </w:r>
      <w:r w:rsidRPr="00282AC9">
        <w:rPr>
          <w:rFonts w:ascii="Arial" w:hAnsi="Arial" w:hint="cs"/>
          <w:sz w:val="24"/>
          <w:szCs w:val="24"/>
          <w:rtl/>
        </w:rPr>
        <w:t>«</w:t>
      </w:r>
      <w:r w:rsidRPr="00282AC9">
        <w:rPr>
          <w:rFonts w:ascii="Arial" w:hAnsi="Arial" w:hint="cs"/>
          <w:sz w:val="27"/>
          <w:rtl/>
        </w:rPr>
        <w:t>...من جهة كونها ألفاظا</w:t>
      </w:r>
      <w:r w:rsidR="009F79BB" w:rsidRPr="00282AC9">
        <w:rPr>
          <w:rFonts w:ascii="Arial" w:hAnsi="Arial" w:hint="cs"/>
          <w:sz w:val="27"/>
          <w:rtl/>
        </w:rPr>
        <w:t>ً</w:t>
      </w:r>
      <w:r w:rsidRPr="00282AC9">
        <w:rPr>
          <w:rFonts w:ascii="Arial" w:hAnsi="Arial" w:hint="cs"/>
          <w:sz w:val="27"/>
          <w:rtl/>
        </w:rPr>
        <w:t xml:space="preserve"> وعبارات مفيدة دال</w:t>
      </w:r>
      <w:r w:rsidR="009F79BB" w:rsidRPr="00282AC9">
        <w:rPr>
          <w:rFonts w:ascii="Arial" w:hAnsi="Arial" w:hint="cs"/>
          <w:sz w:val="27"/>
          <w:rtl/>
        </w:rPr>
        <w:t>ّ</w:t>
      </w:r>
      <w:r w:rsidRPr="00282AC9">
        <w:rPr>
          <w:rFonts w:ascii="Arial" w:hAnsi="Arial" w:hint="cs"/>
          <w:sz w:val="27"/>
          <w:rtl/>
        </w:rPr>
        <w:t>ة على معان</w:t>
      </w:r>
      <w:r w:rsidR="009F79BB" w:rsidRPr="00282AC9">
        <w:rPr>
          <w:rFonts w:ascii="Arial" w:hAnsi="Arial" w:hint="cs"/>
          <w:sz w:val="27"/>
          <w:rtl/>
        </w:rPr>
        <w:t>ٍ</w:t>
      </w:r>
      <w:r w:rsidRPr="00282AC9">
        <w:rPr>
          <w:rFonts w:ascii="Arial" w:hAnsi="Arial" w:hint="cs"/>
          <w:sz w:val="27"/>
          <w:rtl/>
        </w:rPr>
        <w:t xml:space="preserve"> مطلقة...</w:t>
      </w:r>
      <w:r w:rsidR="009F79BB" w:rsidRPr="00282AC9">
        <w:rPr>
          <w:rFonts w:hint="eastAsia"/>
          <w:sz w:val="24"/>
          <w:szCs w:val="24"/>
          <w:rtl/>
        </w:rPr>
        <w:t>»</w:t>
      </w:r>
      <w:r w:rsidRPr="00282AC9">
        <w:rPr>
          <w:rFonts w:ascii="Arial" w:hAnsi="Arial" w:hint="cs"/>
          <w:sz w:val="27"/>
          <w:rtl/>
        </w:rPr>
        <w:t>.</w:t>
      </w:r>
    </w:p>
    <w:p w:rsidR="00D722E4" w:rsidRPr="00282AC9" w:rsidRDefault="009F79BB" w:rsidP="00A20690">
      <w:pPr>
        <w:rPr>
          <w:rFonts w:ascii="Arial" w:hAnsi="Arial"/>
          <w:sz w:val="27"/>
          <w:rtl/>
        </w:rPr>
      </w:pPr>
      <w:r w:rsidRPr="00282AC9">
        <w:rPr>
          <w:rFonts w:ascii="Arial" w:hAnsi="Arial" w:hint="cs"/>
          <w:b/>
          <w:bCs/>
          <w:sz w:val="27"/>
          <w:rtl/>
        </w:rPr>
        <w:t>و</w:t>
      </w:r>
      <w:r w:rsidR="00D722E4" w:rsidRPr="00282AC9">
        <w:rPr>
          <w:rFonts w:ascii="Arial" w:hAnsi="Arial" w:hint="cs"/>
          <w:b/>
          <w:bCs/>
          <w:sz w:val="27"/>
          <w:rtl/>
        </w:rPr>
        <w:t>دلالة تابعة</w:t>
      </w:r>
      <w:r w:rsidR="00060C41" w:rsidRPr="00282AC9">
        <w:rPr>
          <w:rFonts w:ascii="Arial" w:hAnsi="Arial" w:hint="cs"/>
          <w:sz w:val="27"/>
          <w:rtl/>
        </w:rPr>
        <w:t>،</w:t>
      </w:r>
      <w:r w:rsidRPr="00282AC9">
        <w:rPr>
          <w:rFonts w:ascii="Arial" w:hAnsi="Arial" w:hint="cs"/>
          <w:sz w:val="27"/>
          <w:rtl/>
        </w:rPr>
        <w:t xml:space="preserve"> </w:t>
      </w:r>
      <w:r w:rsidRPr="00282AC9">
        <w:rPr>
          <w:rFonts w:ascii="Arial" w:hAnsi="Arial" w:hint="cs"/>
          <w:sz w:val="24"/>
          <w:szCs w:val="24"/>
          <w:rtl/>
        </w:rPr>
        <w:t>«</w:t>
      </w:r>
      <w:r w:rsidR="00D722E4" w:rsidRPr="00282AC9">
        <w:rPr>
          <w:rFonts w:ascii="Arial" w:hAnsi="Arial" w:hint="cs"/>
          <w:sz w:val="27"/>
          <w:rtl/>
        </w:rPr>
        <w:t>وهي من جهة كونها ألفاظا</w:t>
      </w:r>
      <w:r w:rsidRPr="00282AC9">
        <w:rPr>
          <w:rFonts w:ascii="Arial" w:hAnsi="Arial" w:hint="cs"/>
          <w:sz w:val="27"/>
          <w:rtl/>
        </w:rPr>
        <w:t>ً</w:t>
      </w:r>
      <w:r w:rsidR="00D722E4" w:rsidRPr="00282AC9">
        <w:rPr>
          <w:rFonts w:ascii="Arial" w:hAnsi="Arial" w:hint="cs"/>
          <w:sz w:val="27"/>
          <w:rtl/>
        </w:rPr>
        <w:t xml:space="preserve"> وعبارات مقي</w:t>
      </w:r>
      <w:r w:rsidRPr="00282AC9">
        <w:rPr>
          <w:rFonts w:ascii="Arial" w:hAnsi="Arial" w:hint="cs"/>
          <w:sz w:val="27"/>
          <w:rtl/>
        </w:rPr>
        <w:t>ّ</w:t>
      </w:r>
      <w:r w:rsidR="00D722E4" w:rsidRPr="00282AC9">
        <w:rPr>
          <w:rFonts w:ascii="Arial" w:hAnsi="Arial" w:hint="cs"/>
          <w:sz w:val="27"/>
          <w:rtl/>
        </w:rPr>
        <w:t>دة دال</w:t>
      </w:r>
      <w:r w:rsidRPr="00282AC9">
        <w:rPr>
          <w:rFonts w:ascii="Arial" w:hAnsi="Arial" w:hint="cs"/>
          <w:sz w:val="27"/>
          <w:rtl/>
        </w:rPr>
        <w:t>ّ</w:t>
      </w:r>
      <w:r w:rsidR="00D722E4" w:rsidRPr="00282AC9">
        <w:rPr>
          <w:rFonts w:ascii="Arial" w:hAnsi="Arial" w:hint="cs"/>
          <w:sz w:val="27"/>
          <w:rtl/>
        </w:rPr>
        <w:t>ة</w:t>
      </w:r>
      <w:r w:rsidRPr="00282AC9">
        <w:rPr>
          <w:rFonts w:ascii="Arial" w:hAnsi="Arial" w:hint="cs"/>
          <w:sz w:val="27"/>
          <w:rtl/>
        </w:rPr>
        <w:t>ٌ</w:t>
      </w:r>
      <w:r w:rsidR="00D722E4" w:rsidRPr="00282AC9">
        <w:rPr>
          <w:rFonts w:ascii="Arial" w:hAnsi="Arial" w:hint="cs"/>
          <w:sz w:val="27"/>
          <w:rtl/>
        </w:rPr>
        <w:t xml:space="preserve"> على معان</w:t>
      </w:r>
      <w:r w:rsidRPr="00282AC9">
        <w:rPr>
          <w:rFonts w:ascii="Arial" w:hAnsi="Arial" w:hint="cs"/>
          <w:sz w:val="27"/>
          <w:rtl/>
        </w:rPr>
        <w:t>ٍ</w:t>
      </w:r>
      <w:r w:rsidR="00D722E4" w:rsidRPr="00282AC9">
        <w:rPr>
          <w:rFonts w:ascii="Arial" w:hAnsi="Arial" w:hint="cs"/>
          <w:sz w:val="27"/>
          <w:rtl/>
        </w:rPr>
        <w:t xml:space="preserve"> خادمة</w:t>
      </w:r>
      <w:r w:rsidRPr="00282AC9">
        <w:rPr>
          <w:rFonts w:ascii="Arial" w:hAnsi="Arial" w:hint="cs"/>
          <w:sz w:val="27"/>
          <w:rtl/>
        </w:rPr>
        <w:t>ٍ</w:t>
      </w:r>
      <w:r w:rsidR="00D722E4" w:rsidRPr="00282AC9">
        <w:rPr>
          <w:rFonts w:ascii="Arial" w:hAnsi="Arial" w:hint="cs"/>
          <w:sz w:val="27"/>
          <w:rtl/>
        </w:rPr>
        <w:t xml:space="preserve"> للد</w:t>
      </w:r>
      <w:r w:rsidRPr="00282AC9">
        <w:rPr>
          <w:rFonts w:ascii="Arial" w:hAnsi="Arial" w:hint="cs"/>
          <w:sz w:val="27"/>
          <w:rtl/>
        </w:rPr>
        <w:t>ل</w:t>
      </w:r>
      <w:r w:rsidR="00D722E4" w:rsidRPr="00282AC9">
        <w:rPr>
          <w:rFonts w:ascii="Arial" w:hAnsi="Arial" w:hint="cs"/>
          <w:sz w:val="27"/>
          <w:rtl/>
        </w:rPr>
        <w:t>الة التابعة...</w:t>
      </w:r>
      <w:r w:rsidR="00D722E4" w:rsidRPr="00282AC9">
        <w:rPr>
          <w:rFonts w:hint="eastAsia"/>
          <w:sz w:val="24"/>
          <w:szCs w:val="24"/>
          <w:rtl/>
        </w:rPr>
        <w:t>»</w:t>
      </w:r>
      <w:r w:rsidR="00D722E4" w:rsidRPr="00282AC9">
        <w:rPr>
          <w:rFonts w:ascii="Arial" w:hAnsi="Arial"/>
          <w:sz w:val="27"/>
          <w:vertAlign w:val="superscript"/>
          <w:rtl/>
        </w:rPr>
        <w:t>(</w:t>
      </w:r>
      <w:r w:rsidR="00D722E4" w:rsidRPr="00282AC9">
        <w:rPr>
          <w:rStyle w:val="af9"/>
          <w:rFonts w:ascii="Arial" w:hAnsi="Arial"/>
          <w:sz w:val="27"/>
          <w:rtl/>
        </w:rPr>
        <w:endnoteReference w:id="747"/>
      </w:r>
      <w:r w:rsidR="00D722E4" w:rsidRPr="00282AC9">
        <w:rPr>
          <w:rFonts w:ascii="Arial" w:hAnsi="Arial"/>
          <w:sz w:val="27"/>
          <w:vertAlign w:val="superscript"/>
          <w:rtl/>
        </w:rPr>
        <w:t>)</w:t>
      </w:r>
      <w:r w:rsidR="00D722E4" w:rsidRPr="00282AC9">
        <w:rPr>
          <w:rFonts w:ascii="Arial" w:hAnsi="Arial" w:hint="cs"/>
          <w:sz w:val="27"/>
          <w:rtl/>
        </w:rPr>
        <w:t>.</w:t>
      </w:r>
    </w:p>
    <w:p w:rsidR="00D722E4" w:rsidRPr="00282AC9" w:rsidRDefault="00D722E4" w:rsidP="00A20690">
      <w:pPr>
        <w:tabs>
          <w:tab w:val="left" w:pos="2667"/>
        </w:tabs>
        <w:rPr>
          <w:rFonts w:asciiTheme="majorBidi" w:hAnsiTheme="majorBidi"/>
          <w:sz w:val="27"/>
          <w:rtl/>
        </w:rPr>
      </w:pPr>
      <w:r w:rsidRPr="00282AC9">
        <w:rPr>
          <w:rFonts w:asciiTheme="majorBidi" w:hAnsiTheme="majorBidi"/>
          <w:sz w:val="27"/>
          <w:rtl/>
        </w:rPr>
        <w:lastRenderedPageBreak/>
        <w:t>ويندرج في هذه المقتضيات</w:t>
      </w:r>
      <w:r w:rsidRPr="00282AC9">
        <w:rPr>
          <w:rFonts w:asciiTheme="majorBidi" w:hAnsiTheme="majorBidi" w:hint="cs"/>
          <w:sz w:val="27"/>
          <w:rtl/>
        </w:rPr>
        <w:t xml:space="preserve"> الحاكمة والموج</w:t>
      </w:r>
      <w:r w:rsidR="009F79BB" w:rsidRPr="00282AC9">
        <w:rPr>
          <w:rFonts w:asciiTheme="majorBidi" w:hAnsiTheme="majorBidi" w:hint="cs"/>
          <w:sz w:val="27"/>
          <w:rtl/>
        </w:rPr>
        <w:t>ِّ</w:t>
      </w:r>
      <w:r w:rsidRPr="00282AC9">
        <w:rPr>
          <w:rFonts w:asciiTheme="majorBidi" w:hAnsiTheme="majorBidi" w:hint="cs"/>
          <w:sz w:val="27"/>
          <w:rtl/>
        </w:rPr>
        <w:t xml:space="preserve">هة للمعنى </w:t>
      </w:r>
      <w:r w:rsidRPr="00282AC9">
        <w:rPr>
          <w:rFonts w:asciiTheme="majorBidi" w:hAnsiTheme="majorBidi"/>
          <w:sz w:val="27"/>
          <w:rtl/>
        </w:rPr>
        <w:t>السياق والقرائن والمقام</w:t>
      </w:r>
      <w:r w:rsidR="00470A29" w:rsidRPr="00282AC9">
        <w:rPr>
          <w:rFonts w:asciiTheme="majorBidi" w:hAnsiTheme="majorBidi" w:hint="cs"/>
          <w:sz w:val="27"/>
          <w:rtl/>
        </w:rPr>
        <w:t>؛</w:t>
      </w:r>
      <w:r w:rsidRPr="00282AC9">
        <w:rPr>
          <w:rFonts w:asciiTheme="majorBidi" w:hAnsiTheme="majorBidi"/>
          <w:sz w:val="27"/>
          <w:rtl/>
        </w:rPr>
        <w:t xml:space="preserve"> باعتباره</w:t>
      </w:r>
      <w:r w:rsidR="00470A29" w:rsidRPr="00282AC9">
        <w:rPr>
          <w:rFonts w:asciiTheme="majorBidi" w:hAnsiTheme="majorBidi" w:hint="cs"/>
          <w:sz w:val="27"/>
          <w:rtl/>
        </w:rPr>
        <w:t>ا</w:t>
      </w:r>
      <w:r w:rsidRPr="00282AC9">
        <w:rPr>
          <w:rFonts w:asciiTheme="majorBidi" w:hAnsiTheme="majorBidi" w:hint="cs"/>
          <w:sz w:val="27"/>
          <w:rtl/>
        </w:rPr>
        <w:t xml:space="preserve"> من </w:t>
      </w:r>
      <w:r w:rsidRPr="00282AC9">
        <w:rPr>
          <w:rFonts w:asciiTheme="majorBidi" w:hAnsiTheme="majorBidi"/>
          <w:sz w:val="27"/>
          <w:rtl/>
        </w:rPr>
        <w:t>العلامات الدال</w:t>
      </w:r>
      <w:r w:rsidR="00470A29" w:rsidRPr="00282AC9">
        <w:rPr>
          <w:rFonts w:asciiTheme="majorBidi" w:hAnsiTheme="majorBidi" w:hint="cs"/>
          <w:sz w:val="27"/>
          <w:rtl/>
        </w:rPr>
        <w:t>ّ</w:t>
      </w:r>
      <w:r w:rsidRPr="00282AC9">
        <w:rPr>
          <w:rFonts w:asciiTheme="majorBidi" w:hAnsiTheme="majorBidi"/>
          <w:sz w:val="27"/>
          <w:rtl/>
        </w:rPr>
        <w:t xml:space="preserve">ة </w:t>
      </w:r>
      <w:r w:rsidRPr="00282AC9">
        <w:rPr>
          <w:rFonts w:asciiTheme="majorBidi" w:hAnsiTheme="majorBidi" w:hint="cs"/>
          <w:sz w:val="27"/>
          <w:rtl/>
        </w:rPr>
        <w:t>والم</w:t>
      </w:r>
      <w:r w:rsidR="00470A29" w:rsidRPr="00282AC9">
        <w:rPr>
          <w:rFonts w:asciiTheme="majorBidi" w:hAnsiTheme="majorBidi" w:hint="cs"/>
          <w:sz w:val="27"/>
          <w:rtl/>
        </w:rPr>
        <w:t>ُ</w:t>
      </w:r>
      <w:r w:rsidRPr="00282AC9">
        <w:rPr>
          <w:rFonts w:asciiTheme="majorBidi" w:hAnsiTheme="majorBidi" w:hint="cs"/>
          <w:sz w:val="27"/>
          <w:rtl/>
        </w:rPr>
        <w:t>ر</w:t>
      </w:r>
      <w:r w:rsidR="00470A29" w:rsidRPr="00282AC9">
        <w:rPr>
          <w:rFonts w:asciiTheme="majorBidi" w:hAnsiTheme="majorBidi" w:hint="cs"/>
          <w:sz w:val="27"/>
          <w:rtl/>
        </w:rPr>
        <w:t>ْ</w:t>
      </w:r>
      <w:r w:rsidRPr="00282AC9">
        <w:rPr>
          <w:rFonts w:asciiTheme="majorBidi" w:hAnsiTheme="majorBidi" w:hint="cs"/>
          <w:sz w:val="27"/>
          <w:rtl/>
        </w:rPr>
        <w:t>ش</w:t>
      </w:r>
      <w:r w:rsidR="00470A29" w:rsidRPr="00282AC9">
        <w:rPr>
          <w:rFonts w:asciiTheme="majorBidi" w:hAnsiTheme="majorBidi" w:hint="cs"/>
          <w:sz w:val="27"/>
          <w:rtl/>
        </w:rPr>
        <w:t>ِ</w:t>
      </w:r>
      <w:r w:rsidRPr="00282AC9">
        <w:rPr>
          <w:rFonts w:asciiTheme="majorBidi" w:hAnsiTheme="majorBidi" w:hint="cs"/>
          <w:sz w:val="27"/>
          <w:rtl/>
        </w:rPr>
        <w:t xml:space="preserve">دة </w:t>
      </w:r>
      <w:r w:rsidR="00470A29" w:rsidRPr="00282AC9">
        <w:rPr>
          <w:rFonts w:asciiTheme="majorBidi" w:hAnsiTheme="majorBidi" w:hint="cs"/>
          <w:sz w:val="27"/>
          <w:rtl/>
        </w:rPr>
        <w:t>إ</w:t>
      </w:r>
      <w:r w:rsidRPr="00282AC9">
        <w:rPr>
          <w:rFonts w:asciiTheme="majorBidi" w:hAnsiTheme="majorBidi"/>
          <w:sz w:val="27"/>
          <w:rtl/>
        </w:rPr>
        <w:t>لى مراد المتكل</w:t>
      </w:r>
      <w:r w:rsidR="00470A29" w:rsidRPr="00282AC9">
        <w:rPr>
          <w:rFonts w:asciiTheme="majorBidi" w:hAnsiTheme="majorBidi" w:hint="cs"/>
          <w:sz w:val="27"/>
          <w:rtl/>
        </w:rPr>
        <w:t>ِّ</w:t>
      </w:r>
      <w:r w:rsidRPr="00282AC9">
        <w:rPr>
          <w:rFonts w:asciiTheme="majorBidi" w:hAnsiTheme="majorBidi"/>
          <w:sz w:val="27"/>
          <w:rtl/>
        </w:rPr>
        <w:t>م من كلامه</w:t>
      </w:r>
      <w:r w:rsidR="00470A29" w:rsidRPr="00282AC9">
        <w:rPr>
          <w:rFonts w:asciiTheme="majorBidi" w:hAnsiTheme="majorBidi" w:hint="cs"/>
          <w:sz w:val="27"/>
          <w:rtl/>
        </w:rPr>
        <w:t>.</w:t>
      </w:r>
      <w:r w:rsidRPr="00282AC9">
        <w:rPr>
          <w:rFonts w:asciiTheme="majorBidi" w:hAnsiTheme="majorBidi"/>
          <w:sz w:val="27"/>
          <w:rtl/>
        </w:rPr>
        <w:t xml:space="preserve"> وهي</w:t>
      </w:r>
      <w:r w:rsidRPr="00282AC9">
        <w:rPr>
          <w:rFonts w:asciiTheme="majorBidi" w:hAnsiTheme="majorBidi" w:hint="cs"/>
          <w:sz w:val="27"/>
          <w:rtl/>
        </w:rPr>
        <w:t xml:space="preserve"> من </w:t>
      </w:r>
      <w:r w:rsidRPr="00282AC9">
        <w:rPr>
          <w:rFonts w:asciiTheme="majorBidi" w:hAnsiTheme="majorBidi"/>
          <w:sz w:val="27"/>
          <w:rtl/>
        </w:rPr>
        <w:t>الوسائل الم</w:t>
      </w:r>
      <w:r w:rsidR="00470A29" w:rsidRPr="00282AC9">
        <w:rPr>
          <w:rFonts w:asciiTheme="majorBidi" w:hAnsiTheme="majorBidi" w:hint="cs"/>
          <w:sz w:val="27"/>
          <w:rtl/>
        </w:rPr>
        <w:t>ُ</w:t>
      </w:r>
      <w:r w:rsidRPr="00282AC9">
        <w:rPr>
          <w:rFonts w:asciiTheme="majorBidi" w:hAnsiTheme="majorBidi"/>
          <w:sz w:val="27"/>
          <w:rtl/>
        </w:rPr>
        <w:t>ر</w:t>
      </w:r>
      <w:r w:rsidR="00470A29" w:rsidRPr="00282AC9">
        <w:rPr>
          <w:rFonts w:asciiTheme="majorBidi" w:hAnsiTheme="majorBidi" w:hint="cs"/>
          <w:sz w:val="27"/>
          <w:rtl/>
        </w:rPr>
        <w:t>ْ</w:t>
      </w:r>
      <w:r w:rsidRPr="00282AC9">
        <w:rPr>
          <w:rFonts w:asciiTheme="majorBidi" w:hAnsiTheme="majorBidi"/>
          <w:sz w:val="27"/>
          <w:rtl/>
        </w:rPr>
        <w:t>ش</w:t>
      </w:r>
      <w:r w:rsidR="00470A29" w:rsidRPr="00282AC9">
        <w:rPr>
          <w:rFonts w:asciiTheme="majorBidi" w:hAnsiTheme="majorBidi" w:hint="cs"/>
          <w:sz w:val="27"/>
          <w:rtl/>
        </w:rPr>
        <w:t>ِ</w:t>
      </w:r>
      <w:r w:rsidRPr="00282AC9">
        <w:rPr>
          <w:rFonts w:asciiTheme="majorBidi" w:hAnsiTheme="majorBidi"/>
          <w:sz w:val="27"/>
          <w:rtl/>
        </w:rPr>
        <w:t>دة إلى بيان المحت</w:t>
      </w:r>
      <w:r w:rsidR="00470A29" w:rsidRPr="00282AC9">
        <w:rPr>
          <w:rFonts w:asciiTheme="majorBidi" w:hAnsiTheme="majorBidi" w:hint="cs"/>
          <w:sz w:val="27"/>
          <w:rtl/>
        </w:rPr>
        <w:t>َ</w:t>
      </w:r>
      <w:r w:rsidRPr="00282AC9">
        <w:rPr>
          <w:rFonts w:asciiTheme="majorBidi" w:hAnsiTheme="majorBidi"/>
          <w:sz w:val="27"/>
          <w:rtl/>
        </w:rPr>
        <w:t>م</w:t>
      </w:r>
      <w:r w:rsidR="00470A29" w:rsidRPr="00282AC9">
        <w:rPr>
          <w:rFonts w:asciiTheme="majorBidi" w:hAnsiTheme="majorBidi" w:hint="cs"/>
          <w:sz w:val="27"/>
          <w:rtl/>
        </w:rPr>
        <w:t>َ</w:t>
      </w:r>
      <w:r w:rsidRPr="00282AC9">
        <w:rPr>
          <w:rFonts w:asciiTheme="majorBidi" w:hAnsiTheme="majorBidi"/>
          <w:sz w:val="27"/>
          <w:rtl/>
        </w:rPr>
        <w:t>لات من الخطاب...</w:t>
      </w:r>
      <w:r w:rsidRPr="00282AC9">
        <w:rPr>
          <w:rFonts w:asciiTheme="majorBidi" w:hAnsiTheme="majorBidi"/>
          <w:sz w:val="27"/>
          <w:vertAlign w:val="superscript"/>
          <w:rtl/>
        </w:rPr>
        <w:t>(</w:t>
      </w:r>
      <w:r w:rsidRPr="00282AC9">
        <w:rPr>
          <w:rStyle w:val="af9"/>
          <w:rFonts w:asciiTheme="majorBidi" w:hAnsiTheme="majorBidi"/>
          <w:sz w:val="27"/>
          <w:rtl/>
        </w:rPr>
        <w:endnoteReference w:id="748"/>
      </w:r>
      <w:r w:rsidRPr="00282AC9">
        <w:rPr>
          <w:rFonts w:asciiTheme="majorBidi" w:hAnsiTheme="majorBidi"/>
          <w:sz w:val="27"/>
          <w:vertAlign w:val="superscript"/>
          <w:rtl/>
        </w:rPr>
        <w:t>)</w:t>
      </w:r>
      <w:r w:rsidRPr="00282AC9">
        <w:rPr>
          <w:rFonts w:asciiTheme="majorBidi" w:hAnsiTheme="majorBidi"/>
          <w:sz w:val="27"/>
          <w:rtl/>
        </w:rPr>
        <w:t>.</w:t>
      </w:r>
    </w:p>
    <w:p w:rsidR="00D722E4" w:rsidRPr="00282AC9" w:rsidRDefault="00D722E4" w:rsidP="00A20690">
      <w:pPr>
        <w:tabs>
          <w:tab w:val="left" w:pos="2667"/>
        </w:tabs>
        <w:rPr>
          <w:rFonts w:asciiTheme="majorBidi" w:hAnsiTheme="majorBidi"/>
          <w:sz w:val="27"/>
          <w:rtl/>
        </w:rPr>
      </w:pPr>
      <w:r w:rsidRPr="00282AC9">
        <w:rPr>
          <w:rFonts w:asciiTheme="majorBidi" w:hAnsiTheme="majorBidi" w:hint="cs"/>
          <w:sz w:val="27"/>
          <w:rtl/>
        </w:rPr>
        <w:t xml:space="preserve">أما الإمام الأصولي </w:t>
      </w:r>
      <w:r w:rsidRPr="00282AC9">
        <w:rPr>
          <w:rFonts w:ascii="Arial" w:hAnsi="Arial" w:hint="cs"/>
          <w:sz w:val="27"/>
          <w:rtl/>
        </w:rPr>
        <w:t>ابن القي</w:t>
      </w:r>
      <w:r w:rsidR="00470A29" w:rsidRPr="00282AC9">
        <w:rPr>
          <w:rFonts w:ascii="Arial" w:hAnsi="Arial" w:hint="cs"/>
          <w:sz w:val="27"/>
          <w:rtl/>
        </w:rPr>
        <w:t>ِّ</w:t>
      </w:r>
      <w:r w:rsidRPr="00282AC9">
        <w:rPr>
          <w:rFonts w:ascii="Arial" w:hAnsi="Arial" w:hint="cs"/>
          <w:sz w:val="27"/>
          <w:rtl/>
        </w:rPr>
        <w:t>م الجوزية</w:t>
      </w:r>
      <w:r w:rsidR="00470A29" w:rsidRPr="00282AC9">
        <w:rPr>
          <w:rFonts w:ascii="Arial" w:hAnsi="Arial" w:hint="cs"/>
          <w:sz w:val="27"/>
          <w:rtl/>
        </w:rPr>
        <w:t>(</w:t>
      </w:r>
      <w:r w:rsidRPr="00282AC9">
        <w:rPr>
          <w:rFonts w:ascii="Arial" w:hAnsi="Arial" w:hint="cs"/>
          <w:sz w:val="27"/>
          <w:rtl/>
        </w:rPr>
        <w:t>751ه</w:t>
      </w:r>
      <w:r w:rsidR="00470A29" w:rsidRPr="00282AC9">
        <w:rPr>
          <w:rFonts w:ascii="Arial" w:hAnsi="Arial" w:hint="cs"/>
          <w:sz w:val="27"/>
          <w:rtl/>
        </w:rPr>
        <w:t>ـ)</w:t>
      </w:r>
      <w:r w:rsidRPr="00282AC9">
        <w:rPr>
          <w:rFonts w:ascii="Arial" w:hAnsi="Arial" w:hint="cs"/>
          <w:sz w:val="27"/>
          <w:rtl/>
        </w:rPr>
        <w:t xml:space="preserve"> </w:t>
      </w:r>
      <w:r w:rsidRPr="00282AC9">
        <w:rPr>
          <w:rFonts w:asciiTheme="majorBidi" w:hAnsiTheme="majorBidi" w:hint="cs"/>
          <w:sz w:val="27"/>
          <w:rtl/>
        </w:rPr>
        <w:t>فله اختيار</w:t>
      </w:r>
      <w:r w:rsidR="00470A29" w:rsidRPr="00282AC9">
        <w:rPr>
          <w:rFonts w:asciiTheme="majorBidi" w:hAnsiTheme="majorBidi" w:hint="cs"/>
          <w:sz w:val="27"/>
          <w:rtl/>
        </w:rPr>
        <w:t>ٌ</w:t>
      </w:r>
      <w:r w:rsidRPr="00282AC9">
        <w:rPr>
          <w:rFonts w:asciiTheme="majorBidi" w:hAnsiTheme="majorBidi" w:hint="cs"/>
          <w:sz w:val="27"/>
          <w:rtl/>
        </w:rPr>
        <w:t xml:space="preserve"> واجتها</w:t>
      </w:r>
      <w:r w:rsidRPr="00282AC9">
        <w:rPr>
          <w:rFonts w:asciiTheme="majorBidi" w:hAnsiTheme="majorBidi" w:hint="eastAsia"/>
          <w:sz w:val="27"/>
          <w:rtl/>
        </w:rPr>
        <w:t>د</w:t>
      </w:r>
      <w:r w:rsidR="00470A29" w:rsidRPr="00282AC9">
        <w:rPr>
          <w:rFonts w:asciiTheme="majorBidi" w:hAnsiTheme="majorBidi" w:hint="cs"/>
          <w:sz w:val="27"/>
          <w:rtl/>
        </w:rPr>
        <w:t>ٌ</w:t>
      </w:r>
      <w:r w:rsidRPr="00282AC9">
        <w:rPr>
          <w:rFonts w:asciiTheme="majorBidi" w:hAnsiTheme="majorBidi" w:hint="cs"/>
          <w:sz w:val="27"/>
          <w:rtl/>
        </w:rPr>
        <w:t xml:space="preserve"> خاص</w:t>
      </w:r>
      <w:r w:rsidR="00470A29" w:rsidRPr="00282AC9">
        <w:rPr>
          <w:rFonts w:asciiTheme="majorBidi" w:hAnsiTheme="majorBidi" w:hint="cs"/>
          <w:sz w:val="27"/>
          <w:rtl/>
        </w:rPr>
        <w:t>ّ</w:t>
      </w:r>
      <w:r w:rsidRPr="00282AC9">
        <w:rPr>
          <w:rFonts w:asciiTheme="majorBidi" w:hAnsiTheme="majorBidi" w:hint="cs"/>
          <w:sz w:val="27"/>
          <w:rtl/>
        </w:rPr>
        <w:t xml:space="preserve"> في </w:t>
      </w:r>
      <w:r w:rsidR="00470A29" w:rsidRPr="00282AC9">
        <w:rPr>
          <w:rFonts w:asciiTheme="majorBidi" w:hAnsiTheme="majorBidi" w:hint="cs"/>
          <w:sz w:val="27"/>
          <w:rtl/>
        </w:rPr>
        <w:t>توصيف و</w:t>
      </w:r>
      <w:r w:rsidRPr="00282AC9">
        <w:rPr>
          <w:rFonts w:asciiTheme="majorBidi" w:hAnsiTheme="majorBidi" w:hint="cs"/>
          <w:sz w:val="27"/>
          <w:rtl/>
        </w:rPr>
        <w:t>تفريع وتقسيم الدلالة</w:t>
      </w:r>
      <w:r w:rsidRPr="00282AC9">
        <w:rPr>
          <w:rFonts w:asciiTheme="majorBidi" w:hAnsiTheme="majorBidi"/>
          <w:sz w:val="27"/>
          <w:vertAlign w:val="superscript"/>
          <w:rtl/>
        </w:rPr>
        <w:t>(</w:t>
      </w:r>
      <w:r w:rsidRPr="00282AC9">
        <w:rPr>
          <w:rStyle w:val="af9"/>
          <w:rFonts w:asciiTheme="majorBidi" w:hAnsiTheme="majorBidi"/>
          <w:sz w:val="27"/>
          <w:rtl/>
        </w:rPr>
        <w:endnoteReference w:id="749"/>
      </w:r>
      <w:r w:rsidRPr="00282AC9">
        <w:rPr>
          <w:rFonts w:asciiTheme="majorBidi" w:hAnsiTheme="majorBidi"/>
          <w:sz w:val="27"/>
          <w:vertAlign w:val="superscript"/>
          <w:rtl/>
        </w:rPr>
        <w:t>)</w:t>
      </w:r>
      <w:r w:rsidR="00470A29" w:rsidRPr="00282AC9">
        <w:rPr>
          <w:rFonts w:asciiTheme="majorBidi" w:hAnsiTheme="majorBidi" w:hint="cs"/>
          <w:sz w:val="27"/>
          <w:rtl/>
        </w:rPr>
        <w:t>.</w:t>
      </w:r>
      <w:r w:rsidRPr="00282AC9">
        <w:rPr>
          <w:rFonts w:asciiTheme="majorBidi" w:hAnsiTheme="majorBidi" w:hint="cs"/>
          <w:sz w:val="27"/>
          <w:rtl/>
        </w:rPr>
        <w:t xml:space="preserve"> فهي تأخذ عنده قسمين أساسيين:</w:t>
      </w:r>
    </w:p>
    <w:p w:rsidR="00D722E4" w:rsidRPr="00282AC9" w:rsidRDefault="00D722E4" w:rsidP="00A20690">
      <w:pPr>
        <w:rPr>
          <w:rFonts w:ascii="Arial" w:hAnsi="Arial"/>
          <w:sz w:val="27"/>
          <w:rtl/>
          <w:lang w:bidi="ar-MA"/>
        </w:rPr>
      </w:pPr>
      <w:r w:rsidRPr="00282AC9">
        <w:rPr>
          <w:rFonts w:ascii="Arial" w:hAnsi="Arial" w:hint="cs"/>
          <w:sz w:val="27"/>
          <w:rtl/>
          <w:lang w:bidi="ar-MA"/>
        </w:rPr>
        <w:t xml:space="preserve"> </w:t>
      </w:r>
      <w:r w:rsidRPr="00282AC9">
        <w:rPr>
          <w:rFonts w:ascii="Arial" w:hAnsi="Arial" w:hint="cs"/>
          <w:b/>
          <w:bCs/>
          <w:sz w:val="27"/>
          <w:rtl/>
          <w:lang w:bidi="ar-MA"/>
        </w:rPr>
        <w:t>1ـ الدلالة الحقيقية</w:t>
      </w:r>
      <w:r w:rsidR="00470A29" w:rsidRPr="00282AC9">
        <w:rPr>
          <w:rFonts w:ascii="Arial" w:hAnsi="Arial" w:hint="cs"/>
          <w:sz w:val="27"/>
          <w:rtl/>
          <w:lang w:bidi="ar-MA"/>
        </w:rPr>
        <w:t>:</w:t>
      </w:r>
      <w:r w:rsidRPr="00282AC9">
        <w:rPr>
          <w:rFonts w:ascii="Arial" w:hAnsi="Arial" w:hint="cs"/>
          <w:sz w:val="27"/>
          <w:rtl/>
          <w:lang w:bidi="ar-MA"/>
        </w:rPr>
        <w:t xml:space="preserve"> وهي الدلالة التابعة لقصد المتكل</w:t>
      </w:r>
      <w:r w:rsidR="00470A29" w:rsidRPr="00282AC9">
        <w:rPr>
          <w:rFonts w:ascii="Arial" w:hAnsi="Arial" w:hint="cs"/>
          <w:sz w:val="27"/>
          <w:rtl/>
          <w:lang w:bidi="ar-MA"/>
        </w:rPr>
        <w:t>ِّ</w:t>
      </w:r>
      <w:r w:rsidRPr="00282AC9">
        <w:rPr>
          <w:rFonts w:ascii="Arial" w:hAnsi="Arial" w:hint="cs"/>
          <w:sz w:val="27"/>
          <w:rtl/>
          <w:lang w:bidi="ar-MA"/>
        </w:rPr>
        <w:t>م</w:t>
      </w:r>
      <w:r w:rsidR="00470A29" w:rsidRPr="00282AC9">
        <w:rPr>
          <w:rFonts w:ascii="Arial" w:hAnsi="Arial" w:hint="cs"/>
          <w:sz w:val="27"/>
          <w:rtl/>
          <w:lang w:bidi="ar-MA"/>
        </w:rPr>
        <w:t>.</w:t>
      </w:r>
      <w:r w:rsidRPr="00282AC9">
        <w:rPr>
          <w:rFonts w:ascii="Arial" w:hAnsi="Arial" w:hint="cs"/>
          <w:sz w:val="27"/>
          <w:rtl/>
          <w:lang w:bidi="ar-MA"/>
        </w:rPr>
        <w:t xml:space="preserve"> وهذه الدلالة لا تختلف باختلاف المتكل</w:t>
      </w:r>
      <w:r w:rsidR="00470A29" w:rsidRPr="00282AC9">
        <w:rPr>
          <w:rFonts w:ascii="Arial" w:hAnsi="Arial" w:hint="cs"/>
          <w:sz w:val="27"/>
          <w:rtl/>
          <w:lang w:bidi="ar-MA"/>
        </w:rPr>
        <w:t>ِّ</w:t>
      </w:r>
      <w:r w:rsidRPr="00282AC9">
        <w:rPr>
          <w:rFonts w:ascii="Arial" w:hAnsi="Arial" w:hint="cs"/>
          <w:sz w:val="27"/>
          <w:rtl/>
          <w:lang w:bidi="ar-MA"/>
        </w:rPr>
        <w:t>مين</w:t>
      </w:r>
      <w:r w:rsidR="00470A29" w:rsidRPr="00282AC9">
        <w:rPr>
          <w:rFonts w:ascii="Arial" w:hAnsi="Arial" w:hint="cs"/>
          <w:sz w:val="27"/>
          <w:rtl/>
          <w:lang w:bidi="ar-MA"/>
        </w:rPr>
        <w:t>؛</w:t>
      </w:r>
      <w:r w:rsidRPr="00282AC9">
        <w:rPr>
          <w:rFonts w:ascii="Arial" w:hAnsi="Arial" w:hint="cs"/>
          <w:sz w:val="27"/>
          <w:rtl/>
          <w:lang w:bidi="ar-MA"/>
        </w:rPr>
        <w:t xml:space="preserve"> فالمتكلم أدرى من غيره بكلامه، وهو </w:t>
      </w:r>
      <w:r w:rsidR="00470A29" w:rsidRPr="00282AC9">
        <w:rPr>
          <w:rFonts w:ascii="Arial" w:hAnsi="Arial" w:hint="cs"/>
          <w:sz w:val="27"/>
          <w:rtl/>
          <w:lang w:bidi="ar-MA"/>
        </w:rPr>
        <w:t>أ</w:t>
      </w:r>
      <w:r w:rsidRPr="00282AC9">
        <w:rPr>
          <w:rFonts w:ascii="Arial" w:hAnsi="Arial" w:hint="cs"/>
          <w:sz w:val="27"/>
          <w:rtl/>
          <w:lang w:bidi="ar-MA"/>
        </w:rPr>
        <w:t>علم به من غيره.</w:t>
      </w:r>
    </w:p>
    <w:p w:rsidR="00D722E4" w:rsidRPr="00282AC9" w:rsidRDefault="00D722E4" w:rsidP="00A20690">
      <w:pPr>
        <w:rPr>
          <w:rFonts w:ascii="Arial" w:hAnsi="Arial"/>
          <w:sz w:val="27"/>
          <w:rtl/>
          <w:lang w:bidi="ar-MA"/>
        </w:rPr>
      </w:pPr>
      <w:r w:rsidRPr="00282AC9">
        <w:rPr>
          <w:rFonts w:ascii="Arial" w:hAnsi="Arial" w:hint="cs"/>
          <w:sz w:val="27"/>
          <w:rtl/>
          <w:lang w:bidi="ar-MA"/>
        </w:rPr>
        <w:t xml:space="preserve"> </w:t>
      </w:r>
      <w:r w:rsidRPr="00282AC9">
        <w:rPr>
          <w:rFonts w:ascii="Arial" w:hAnsi="Arial" w:hint="cs"/>
          <w:b/>
          <w:bCs/>
          <w:sz w:val="27"/>
          <w:rtl/>
          <w:lang w:bidi="ar-MA"/>
        </w:rPr>
        <w:t>2ـ الدلالة التابعة</w:t>
      </w:r>
      <w:r w:rsidR="00470A29" w:rsidRPr="00282AC9">
        <w:rPr>
          <w:rFonts w:ascii="Arial" w:hAnsi="Arial" w:hint="cs"/>
          <w:sz w:val="27"/>
          <w:rtl/>
          <w:lang w:bidi="ar-MA"/>
        </w:rPr>
        <w:t>:</w:t>
      </w:r>
      <w:r w:rsidRPr="00282AC9">
        <w:rPr>
          <w:rFonts w:ascii="Arial" w:hAnsi="Arial" w:hint="cs"/>
          <w:sz w:val="27"/>
          <w:rtl/>
          <w:lang w:bidi="ar-MA"/>
        </w:rPr>
        <w:t xml:space="preserve"> وهي التابعة لفهم السامع</w:t>
      </w:r>
      <w:r w:rsidR="00470A29" w:rsidRPr="00282AC9">
        <w:rPr>
          <w:rFonts w:ascii="Arial" w:hAnsi="Arial" w:hint="cs"/>
          <w:sz w:val="27"/>
          <w:rtl/>
          <w:lang w:bidi="ar-MA"/>
        </w:rPr>
        <w:t xml:space="preserve">. </w:t>
      </w:r>
      <w:r w:rsidRPr="00282AC9">
        <w:rPr>
          <w:rFonts w:ascii="Arial" w:hAnsi="Arial" w:hint="cs"/>
          <w:sz w:val="27"/>
          <w:rtl/>
          <w:lang w:bidi="ar-MA"/>
        </w:rPr>
        <w:t>وهذه الدلالة تختلف باختلاف مدارك ومستويات السامعين</w:t>
      </w:r>
      <w:r w:rsidR="00470A29" w:rsidRPr="00282AC9">
        <w:rPr>
          <w:rFonts w:ascii="Arial" w:hAnsi="Arial" w:hint="cs"/>
          <w:sz w:val="27"/>
          <w:rtl/>
          <w:lang w:bidi="ar-MA"/>
        </w:rPr>
        <w:t>،</w:t>
      </w:r>
      <w:r w:rsidRPr="00282AC9">
        <w:rPr>
          <w:rFonts w:ascii="Arial" w:hAnsi="Arial" w:hint="cs"/>
          <w:sz w:val="27"/>
          <w:rtl/>
          <w:lang w:bidi="ar-MA"/>
        </w:rPr>
        <w:t xml:space="preserve"> ح</w:t>
      </w:r>
      <w:r w:rsidR="00470A29" w:rsidRPr="00282AC9">
        <w:rPr>
          <w:rFonts w:ascii="Arial" w:hAnsi="Arial" w:hint="cs"/>
          <w:sz w:val="27"/>
          <w:rtl/>
          <w:lang w:bidi="ar-MA"/>
        </w:rPr>
        <w:t>َ</w:t>
      </w:r>
      <w:r w:rsidRPr="00282AC9">
        <w:rPr>
          <w:rFonts w:ascii="Arial" w:hAnsi="Arial" w:hint="cs"/>
          <w:sz w:val="27"/>
          <w:rtl/>
          <w:lang w:bidi="ar-MA"/>
        </w:rPr>
        <w:t>س</w:t>
      </w:r>
      <w:r w:rsidR="00470A29" w:rsidRPr="00282AC9">
        <w:rPr>
          <w:rFonts w:ascii="Arial" w:hAnsi="Arial" w:hint="cs"/>
          <w:sz w:val="27"/>
          <w:rtl/>
          <w:lang w:bidi="ar-MA"/>
        </w:rPr>
        <w:t>ْ</w:t>
      </w:r>
      <w:r w:rsidRPr="00282AC9">
        <w:rPr>
          <w:rFonts w:ascii="Arial" w:hAnsi="Arial" w:hint="cs"/>
          <w:sz w:val="27"/>
          <w:rtl/>
          <w:lang w:bidi="ar-MA"/>
        </w:rPr>
        <w:t>ب المقتضيات الثقافية التي يتمي</w:t>
      </w:r>
      <w:r w:rsidR="00470A29" w:rsidRPr="00282AC9">
        <w:rPr>
          <w:rFonts w:ascii="Arial" w:hAnsi="Arial" w:hint="cs"/>
          <w:sz w:val="27"/>
          <w:rtl/>
          <w:lang w:bidi="ar-MA"/>
        </w:rPr>
        <w:t>َّ</w:t>
      </w:r>
      <w:r w:rsidRPr="00282AC9">
        <w:rPr>
          <w:rFonts w:ascii="Arial" w:hAnsi="Arial" w:hint="cs"/>
          <w:sz w:val="27"/>
          <w:rtl/>
          <w:lang w:bidi="ar-MA"/>
        </w:rPr>
        <w:t>زون بها</w:t>
      </w:r>
      <w:r w:rsidRPr="00282AC9">
        <w:rPr>
          <w:rFonts w:ascii="Arial" w:hAnsi="Arial"/>
          <w:sz w:val="27"/>
          <w:vertAlign w:val="superscript"/>
          <w:rtl/>
          <w:lang w:bidi="ar-MA"/>
        </w:rPr>
        <w:t>(</w:t>
      </w:r>
      <w:r w:rsidRPr="00282AC9">
        <w:rPr>
          <w:rStyle w:val="af9"/>
          <w:rFonts w:ascii="Arial" w:hAnsi="Arial"/>
          <w:sz w:val="27"/>
          <w:rtl/>
          <w:lang w:bidi="ar-MA"/>
        </w:rPr>
        <w:endnoteReference w:id="750"/>
      </w:r>
      <w:r w:rsidRPr="00282AC9">
        <w:rPr>
          <w:rFonts w:ascii="Arial" w:hAnsi="Arial"/>
          <w:sz w:val="27"/>
          <w:vertAlign w:val="superscript"/>
          <w:rtl/>
          <w:lang w:bidi="ar-MA"/>
        </w:rPr>
        <w:t>)</w:t>
      </w:r>
      <w:r w:rsidRPr="00282AC9">
        <w:rPr>
          <w:rFonts w:ascii="Arial" w:hAnsi="Arial" w:hint="cs"/>
          <w:sz w:val="27"/>
          <w:rtl/>
          <w:lang w:bidi="ar-MA"/>
        </w:rPr>
        <w:t>.</w:t>
      </w:r>
    </w:p>
    <w:p w:rsidR="003062B7" w:rsidRPr="00282AC9" w:rsidRDefault="003062B7" w:rsidP="003062B7">
      <w:pPr>
        <w:spacing w:line="420" w:lineRule="exact"/>
        <w:rPr>
          <w:sz w:val="27"/>
          <w:rtl/>
        </w:rPr>
      </w:pPr>
    </w:p>
    <w:p w:rsidR="00D722E4" w:rsidRPr="00282AC9" w:rsidRDefault="00470A29" w:rsidP="00965E08">
      <w:pPr>
        <w:pStyle w:val="31"/>
        <w:rPr>
          <w:color w:val="auto"/>
          <w:rtl/>
          <w:lang w:bidi="ar-MA"/>
        </w:rPr>
      </w:pPr>
      <w:r w:rsidRPr="00282AC9">
        <w:rPr>
          <w:rFonts w:hint="cs"/>
          <w:color w:val="auto"/>
          <w:rtl/>
          <w:lang w:bidi="ar-MA"/>
        </w:rPr>
        <w:t xml:space="preserve">3ـ </w:t>
      </w:r>
      <w:r w:rsidR="00D722E4" w:rsidRPr="00282AC9">
        <w:rPr>
          <w:color w:val="auto"/>
          <w:rtl/>
          <w:lang w:bidi="ar-MA"/>
        </w:rPr>
        <w:t>جهة السياق</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في مسعى الأصولي</w:t>
      </w:r>
      <w:r w:rsidR="00470A29" w:rsidRPr="00282AC9">
        <w:rPr>
          <w:rFonts w:ascii="Times New Roman" w:hAnsi="Times New Roman" w:hint="cs"/>
          <w:sz w:val="27"/>
          <w:rtl/>
          <w:lang w:bidi="ar-MA"/>
        </w:rPr>
        <w:t>ّ</w:t>
      </w:r>
      <w:r w:rsidRPr="00282AC9">
        <w:rPr>
          <w:rFonts w:ascii="Times New Roman" w:hAnsi="Times New Roman" w:hint="cs"/>
          <w:sz w:val="27"/>
          <w:rtl/>
          <w:lang w:bidi="ar-MA"/>
        </w:rPr>
        <w:t>ين في الفصل بين الألفاظ من جهة المعجم ومن جهة الاستعمال اشتغلوا بالسياق</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للفصل بين الجهتين</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ل</w:t>
      </w:r>
      <w:r w:rsidR="00470A29" w:rsidRPr="00282AC9">
        <w:rPr>
          <w:rFonts w:ascii="Times New Roman" w:hAnsi="Times New Roman" w:hint="cs"/>
          <w:sz w:val="27"/>
          <w:rtl/>
          <w:lang w:bidi="ar-MA"/>
        </w:rPr>
        <w:t>أ</w:t>
      </w:r>
      <w:r w:rsidRPr="00282AC9">
        <w:rPr>
          <w:rFonts w:ascii="Times New Roman" w:hAnsi="Times New Roman" w:hint="cs"/>
          <w:sz w:val="27"/>
          <w:rtl/>
          <w:lang w:bidi="ar-MA"/>
        </w:rPr>
        <w:t>ن اللفظ تتغي</w:t>
      </w:r>
      <w:r w:rsidR="00470A29" w:rsidRPr="00282AC9">
        <w:rPr>
          <w:rFonts w:ascii="Times New Roman" w:hAnsi="Times New Roman" w:hint="cs"/>
          <w:sz w:val="27"/>
          <w:rtl/>
          <w:lang w:bidi="ar-MA"/>
        </w:rPr>
        <w:t>َّ</w:t>
      </w:r>
      <w:r w:rsidRPr="00282AC9">
        <w:rPr>
          <w:rFonts w:ascii="Times New Roman" w:hAnsi="Times New Roman" w:hint="cs"/>
          <w:sz w:val="27"/>
          <w:rtl/>
          <w:lang w:bidi="ar-MA"/>
        </w:rPr>
        <w:t>ر دلالته ومعناه ت</w:t>
      </w:r>
      <w:r w:rsidR="00470A29" w:rsidRPr="00282AC9">
        <w:rPr>
          <w:rFonts w:ascii="Times New Roman" w:hAnsi="Times New Roman" w:hint="cs"/>
          <w:sz w:val="27"/>
          <w:rtl/>
          <w:lang w:bidi="ar-MA"/>
        </w:rPr>
        <w:t>َ</w:t>
      </w:r>
      <w:r w:rsidRPr="00282AC9">
        <w:rPr>
          <w:rFonts w:ascii="Times New Roman" w:hAnsi="Times New Roman" w:hint="cs"/>
          <w:sz w:val="27"/>
          <w:rtl/>
          <w:lang w:bidi="ar-MA"/>
        </w:rPr>
        <w:t>ب</w:t>
      </w:r>
      <w:r w:rsidR="00470A29" w:rsidRPr="00282AC9">
        <w:rPr>
          <w:rFonts w:ascii="Times New Roman" w:hAnsi="Times New Roman" w:hint="cs"/>
          <w:sz w:val="27"/>
          <w:rtl/>
          <w:lang w:bidi="ar-MA"/>
        </w:rPr>
        <w:t>َ</w:t>
      </w:r>
      <w:r w:rsidRPr="00282AC9">
        <w:rPr>
          <w:rFonts w:ascii="Times New Roman" w:hAnsi="Times New Roman" w:hint="cs"/>
          <w:sz w:val="27"/>
          <w:rtl/>
          <w:lang w:bidi="ar-MA"/>
        </w:rPr>
        <w:t>عا</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للسياق الذي ي</w:t>
      </w:r>
      <w:r w:rsidR="00470A29" w:rsidRPr="00282AC9">
        <w:rPr>
          <w:rFonts w:ascii="Times New Roman" w:hAnsi="Times New Roman" w:hint="cs"/>
          <w:sz w:val="27"/>
          <w:rtl/>
          <w:lang w:bidi="ar-MA"/>
        </w:rPr>
        <w:t>َرِ</w:t>
      </w:r>
      <w:r w:rsidRPr="00282AC9">
        <w:rPr>
          <w:rFonts w:ascii="Times New Roman" w:hAnsi="Times New Roman" w:hint="cs"/>
          <w:sz w:val="27"/>
          <w:rtl/>
          <w:lang w:bidi="ar-MA"/>
        </w:rPr>
        <w:t>د</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فيه.</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فالسياق هو الإطار الذي تنتظم فيه العناصر المرك</w:t>
      </w:r>
      <w:r w:rsidR="00470A29" w:rsidRPr="00282AC9">
        <w:rPr>
          <w:rFonts w:ascii="Times New Roman" w:hAnsi="Times New Roman" w:hint="cs"/>
          <w:sz w:val="27"/>
          <w:rtl/>
          <w:lang w:bidi="ar-MA"/>
        </w:rPr>
        <w:t>ّ</w:t>
      </w:r>
      <w:r w:rsidRPr="00282AC9">
        <w:rPr>
          <w:rFonts w:ascii="Times New Roman" w:hAnsi="Times New Roman" w:hint="cs"/>
          <w:sz w:val="27"/>
          <w:rtl/>
          <w:lang w:bidi="ar-MA"/>
        </w:rPr>
        <w:t>بة للنص</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وقد اعتمده المفس</w:t>
      </w:r>
      <w:r w:rsidR="00470A29" w:rsidRPr="00282AC9">
        <w:rPr>
          <w:rFonts w:ascii="Times New Roman" w:hAnsi="Times New Roman" w:hint="cs"/>
          <w:sz w:val="27"/>
          <w:rtl/>
          <w:lang w:bidi="ar-MA"/>
        </w:rPr>
        <w:t>ِّ</w:t>
      </w:r>
      <w:r w:rsidRPr="00282AC9">
        <w:rPr>
          <w:rFonts w:ascii="Times New Roman" w:hAnsi="Times New Roman" w:hint="cs"/>
          <w:sz w:val="27"/>
          <w:rtl/>
          <w:lang w:bidi="ar-MA"/>
        </w:rPr>
        <w:t>رون في تفسيرهم للنص</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ووظ</w:t>
      </w:r>
      <w:r w:rsidR="00470A29" w:rsidRPr="00282AC9">
        <w:rPr>
          <w:rFonts w:ascii="Times New Roman" w:hAnsi="Times New Roman" w:hint="cs"/>
          <w:sz w:val="27"/>
          <w:rtl/>
          <w:lang w:bidi="ar-MA"/>
        </w:rPr>
        <w:t>َّ</w:t>
      </w:r>
      <w:r w:rsidRPr="00282AC9">
        <w:rPr>
          <w:rFonts w:ascii="Times New Roman" w:hAnsi="Times New Roman" w:hint="cs"/>
          <w:sz w:val="27"/>
          <w:rtl/>
          <w:lang w:bidi="ar-MA"/>
        </w:rPr>
        <w:t>فوه في تعيين دلالة النص</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القر</w:t>
      </w:r>
      <w:r w:rsidR="00470A29" w:rsidRPr="00282AC9">
        <w:rPr>
          <w:rFonts w:ascii="Times New Roman" w:hAnsi="Times New Roman" w:hint="cs"/>
          <w:sz w:val="27"/>
          <w:rtl/>
          <w:lang w:bidi="ar-MA"/>
        </w:rPr>
        <w:t>آ</w:t>
      </w:r>
      <w:r w:rsidRPr="00282AC9">
        <w:rPr>
          <w:rFonts w:ascii="Times New Roman" w:hAnsi="Times New Roman" w:hint="cs"/>
          <w:sz w:val="27"/>
          <w:rtl/>
          <w:lang w:bidi="ar-MA"/>
        </w:rPr>
        <w:t>ني</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فهو من أهم</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القرائن الدال</w:t>
      </w:r>
      <w:r w:rsidR="00470A29" w:rsidRPr="00282AC9">
        <w:rPr>
          <w:rFonts w:ascii="Times New Roman" w:hAnsi="Times New Roman" w:hint="cs"/>
          <w:sz w:val="27"/>
          <w:rtl/>
          <w:lang w:bidi="ar-MA"/>
        </w:rPr>
        <w:t>ّ</w:t>
      </w:r>
      <w:r w:rsidRPr="00282AC9">
        <w:rPr>
          <w:rFonts w:ascii="Times New Roman" w:hAnsi="Times New Roman" w:hint="cs"/>
          <w:sz w:val="27"/>
          <w:rtl/>
          <w:lang w:bidi="ar-MA"/>
        </w:rPr>
        <w:t>ة على مراد المتكل</w:t>
      </w:r>
      <w:r w:rsidR="00470A29" w:rsidRPr="00282AC9">
        <w:rPr>
          <w:rFonts w:ascii="Times New Roman" w:hAnsi="Times New Roman" w:hint="cs"/>
          <w:sz w:val="27"/>
          <w:rtl/>
          <w:lang w:bidi="ar-MA"/>
        </w:rPr>
        <w:t>ِّ</w:t>
      </w:r>
      <w:r w:rsidRPr="00282AC9">
        <w:rPr>
          <w:rFonts w:ascii="Times New Roman" w:hAnsi="Times New Roman" w:hint="cs"/>
          <w:sz w:val="27"/>
          <w:rtl/>
          <w:lang w:bidi="ar-MA"/>
        </w:rPr>
        <w:t>م.</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لقد فطن الأصولي</w:t>
      </w:r>
      <w:r w:rsidR="00470A29" w:rsidRPr="00282AC9">
        <w:rPr>
          <w:rFonts w:ascii="Times New Roman" w:hAnsi="Times New Roman" w:hint="cs"/>
          <w:sz w:val="27"/>
          <w:rtl/>
          <w:lang w:bidi="ar-MA"/>
        </w:rPr>
        <w:t>ّ</w:t>
      </w:r>
      <w:r w:rsidRPr="00282AC9">
        <w:rPr>
          <w:rFonts w:ascii="Times New Roman" w:hAnsi="Times New Roman" w:hint="cs"/>
          <w:sz w:val="27"/>
          <w:rtl/>
          <w:lang w:bidi="ar-MA"/>
        </w:rPr>
        <w:t>ون إلى السياق وعناصره وأثره في تحديد المعنى</w:t>
      </w:r>
      <w:r w:rsidR="00470A29" w:rsidRPr="00282AC9">
        <w:rPr>
          <w:rFonts w:ascii="Times New Roman" w:hAnsi="Times New Roman" w:hint="cs"/>
          <w:sz w:val="27"/>
          <w:rtl/>
          <w:lang w:bidi="ar-MA"/>
        </w:rPr>
        <w:t>.</w:t>
      </w:r>
      <w:r w:rsidRPr="00282AC9">
        <w:rPr>
          <w:rFonts w:ascii="Times New Roman" w:hAnsi="Times New Roman" w:hint="cs"/>
          <w:sz w:val="27"/>
          <w:rtl/>
          <w:lang w:bidi="ar-MA"/>
        </w:rPr>
        <w:t xml:space="preserve"> وقد وضع علماء الأصول عد</w:t>
      </w:r>
      <w:r w:rsidR="00470A29" w:rsidRPr="00282AC9">
        <w:rPr>
          <w:rFonts w:ascii="Times New Roman" w:hAnsi="Times New Roman" w:hint="cs"/>
          <w:sz w:val="27"/>
          <w:rtl/>
          <w:lang w:bidi="ar-MA"/>
        </w:rPr>
        <w:t>ّ</w:t>
      </w:r>
      <w:r w:rsidRPr="00282AC9">
        <w:rPr>
          <w:rFonts w:ascii="Times New Roman" w:hAnsi="Times New Roman" w:hint="cs"/>
          <w:sz w:val="27"/>
          <w:rtl/>
          <w:lang w:bidi="ar-MA"/>
        </w:rPr>
        <w:t>ة ضوابط في إعمالهم للسياق.</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وي</w:t>
      </w:r>
      <w:r w:rsidR="00470A29" w:rsidRPr="00282AC9">
        <w:rPr>
          <w:rFonts w:ascii="Times New Roman" w:hAnsi="Times New Roman" w:hint="cs"/>
          <w:sz w:val="27"/>
          <w:rtl/>
          <w:lang w:bidi="ar-MA"/>
        </w:rPr>
        <w:t>ُ</w:t>
      </w:r>
      <w:r w:rsidRPr="00282AC9">
        <w:rPr>
          <w:rFonts w:ascii="Times New Roman" w:hAnsi="Times New Roman" w:hint="cs"/>
          <w:sz w:val="27"/>
          <w:rtl/>
          <w:lang w:bidi="ar-MA"/>
        </w:rPr>
        <w:t>راد بالسياق عند علماء الأصول مجموع</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ما انتظم من القرائن الدال</w:t>
      </w:r>
      <w:r w:rsidR="0025281C" w:rsidRPr="00282AC9">
        <w:rPr>
          <w:rFonts w:ascii="Times New Roman" w:hAnsi="Times New Roman" w:hint="cs"/>
          <w:sz w:val="27"/>
          <w:rtl/>
          <w:lang w:bidi="ar-MA"/>
        </w:rPr>
        <w:t>ّ</w:t>
      </w:r>
      <w:r w:rsidRPr="00282AC9">
        <w:rPr>
          <w:rFonts w:ascii="Times New Roman" w:hAnsi="Times New Roman" w:hint="cs"/>
          <w:sz w:val="27"/>
          <w:rtl/>
          <w:lang w:bidi="ar-MA"/>
        </w:rPr>
        <w:t>ة على المقصود من الخطاب</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سواء</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أكانت تلك القرائن حالي</w:t>
      </w:r>
      <w:r w:rsidR="0025281C" w:rsidRPr="00282AC9">
        <w:rPr>
          <w:rFonts w:ascii="Times New Roman" w:hAnsi="Times New Roman" w:hint="cs"/>
          <w:sz w:val="27"/>
          <w:rtl/>
          <w:lang w:bidi="ar-MA"/>
        </w:rPr>
        <w:t>ّ</w:t>
      </w:r>
      <w:r w:rsidRPr="00282AC9">
        <w:rPr>
          <w:rFonts w:ascii="Times New Roman" w:hAnsi="Times New Roman" w:hint="cs"/>
          <w:sz w:val="27"/>
          <w:rtl/>
          <w:lang w:bidi="ar-MA"/>
        </w:rPr>
        <w:t>ة</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أم مقامي</w:t>
      </w:r>
      <w:r w:rsidR="0025281C" w:rsidRPr="00282AC9">
        <w:rPr>
          <w:rFonts w:ascii="Times New Roman" w:hAnsi="Times New Roman" w:hint="cs"/>
          <w:sz w:val="27"/>
          <w:rtl/>
          <w:lang w:bidi="ar-MA"/>
        </w:rPr>
        <w:t>ّ</w:t>
      </w:r>
      <w:r w:rsidRPr="00282AC9">
        <w:rPr>
          <w:rFonts w:ascii="Times New Roman" w:hAnsi="Times New Roman" w:hint="cs"/>
          <w:sz w:val="27"/>
          <w:rtl/>
          <w:lang w:bidi="ar-MA"/>
        </w:rPr>
        <w:t>ة</w:t>
      </w:r>
      <w:r w:rsidR="0025281C" w:rsidRPr="00282AC9">
        <w:rPr>
          <w:rFonts w:ascii="Times New Roman" w:hAnsi="Times New Roman" w:hint="cs"/>
          <w:sz w:val="27"/>
          <w:rtl/>
          <w:lang w:bidi="ar-MA"/>
        </w:rPr>
        <w:t>ً</w:t>
      </w:r>
      <w:r w:rsidRPr="00282AC9">
        <w:rPr>
          <w:rFonts w:ascii="Times New Roman" w:hAnsi="Times New Roman" w:hint="cs"/>
          <w:sz w:val="27"/>
          <w:rtl/>
          <w:lang w:bidi="ar-MA"/>
        </w:rPr>
        <w:t>، وبعبارة</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أخرى</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السياق هو مجموع</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القرائن التي ت</w:t>
      </w:r>
      <w:r w:rsidR="0025281C" w:rsidRPr="00282AC9">
        <w:rPr>
          <w:rFonts w:ascii="Times New Roman" w:hAnsi="Times New Roman" w:hint="cs"/>
          <w:sz w:val="27"/>
          <w:rtl/>
          <w:lang w:bidi="ar-MA"/>
        </w:rPr>
        <w:t>ُ</w:t>
      </w:r>
      <w:r w:rsidRPr="00282AC9">
        <w:rPr>
          <w:rFonts w:ascii="Times New Roman" w:hAnsi="Times New Roman" w:hint="cs"/>
          <w:sz w:val="27"/>
          <w:rtl/>
          <w:lang w:bidi="ar-MA"/>
        </w:rPr>
        <w:t>ساهم في عملية الف</w:t>
      </w:r>
      <w:r w:rsidR="0025281C" w:rsidRPr="00282AC9">
        <w:rPr>
          <w:rFonts w:ascii="Times New Roman" w:hAnsi="Times New Roman" w:hint="cs"/>
          <w:sz w:val="27"/>
          <w:rtl/>
          <w:lang w:bidi="ar-MA"/>
        </w:rPr>
        <w:t>َ</w:t>
      </w:r>
      <w:r w:rsidRPr="00282AC9">
        <w:rPr>
          <w:rFonts w:ascii="Times New Roman" w:hAnsi="Times New Roman" w:hint="cs"/>
          <w:sz w:val="27"/>
          <w:rtl/>
          <w:lang w:bidi="ar-MA"/>
        </w:rPr>
        <w:t>ه</w:t>
      </w:r>
      <w:r w:rsidR="0025281C" w:rsidRPr="00282AC9">
        <w:rPr>
          <w:rFonts w:ascii="Times New Roman" w:hAnsi="Times New Roman" w:hint="cs"/>
          <w:sz w:val="27"/>
          <w:rtl/>
          <w:lang w:bidi="ar-MA"/>
        </w:rPr>
        <w:t>ْ</w:t>
      </w:r>
      <w:r w:rsidRPr="00282AC9">
        <w:rPr>
          <w:rFonts w:ascii="Times New Roman" w:hAnsi="Times New Roman" w:hint="cs"/>
          <w:sz w:val="27"/>
          <w:rtl/>
          <w:lang w:bidi="ar-MA"/>
        </w:rPr>
        <w:t>م والإفهام</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للفصل بين المعاني</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لغوي</w:t>
      </w:r>
      <w:r w:rsidR="0025281C" w:rsidRPr="00282AC9">
        <w:rPr>
          <w:rFonts w:ascii="Times New Roman" w:hAnsi="Times New Roman" w:hint="cs"/>
          <w:sz w:val="27"/>
          <w:rtl/>
          <w:lang w:bidi="ar-MA"/>
        </w:rPr>
        <w:t>ّ</w:t>
      </w:r>
      <w:r w:rsidRPr="00282AC9">
        <w:rPr>
          <w:rFonts w:ascii="Times New Roman" w:hAnsi="Times New Roman" w:hint="cs"/>
          <w:sz w:val="27"/>
          <w:rtl/>
          <w:lang w:bidi="ar-MA"/>
        </w:rPr>
        <w:t>ة</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كانت أم غير</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لغوي</w:t>
      </w:r>
      <w:r w:rsidR="0025281C" w:rsidRPr="00282AC9">
        <w:rPr>
          <w:rFonts w:ascii="Times New Roman" w:hAnsi="Times New Roman" w:hint="cs"/>
          <w:sz w:val="27"/>
          <w:rtl/>
          <w:lang w:bidi="ar-MA"/>
        </w:rPr>
        <w:t>ّ</w:t>
      </w:r>
      <w:r w:rsidRPr="00282AC9">
        <w:rPr>
          <w:rFonts w:ascii="Times New Roman" w:hAnsi="Times New Roman" w:hint="cs"/>
          <w:sz w:val="27"/>
          <w:rtl/>
          <w:lang w:bidi="ar-MA"/>
        </w:rPr>
        <w:t>ة</w:t>
      </w:r>
      <w:r w:rsidR="0025281C" w:rsidRPr="00282AC9">
        <w:rPr>
          <w:rFonts w:ascii="Times New Roman" w:hAnsi="Times New Roman" w:hint="cs"/>
          <w:sz w:val="27"/>
          <w:rtl/>
          <w:lang w:bidi="ar-MA"/>
        </w:rPr>
        <w:t>ٍ</w:t>
      </w:r>
      <w:r w:rsidRPr="00282AC9">
        <w:rPr>
          <w:rFonts w:ascii="Times New Roman" w:hAnsi="Times New Roman" w:hint="cs"/>
          <w:sz w:val="27"/>
          <w:rtl/>
          <w:lang w:bidi="ar-MA"/>
        </w:rPr>
        <w:t>...</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51"/>
      </w:r>
      <w:r w:rsidRPr="00282AC9">
        <w:rPr>
          <w:rFonts w:ascii="Times New Roman" w:hAnsi="Times New Roman"/>
          <w:sz w:val="27"/>
          <w:vertAlign w:val="superscript"/>
          <w:rtl/>
          <w:lang w:bidi="ar-MA"/>
        </w:rPr>
        <w:t>)</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lang w:bidi="ar-MA"/>
        </w:rPr>
      </w:pPr>
      <w:r w:rsidRPr="00282AC9">
        <w:rPr>
          <w:rFonts w:ascii="Times New Roman" w:hAnsi="Times New Roman" w:hint="cs"/>
          <w:sz w:val="27"/>
          <w:rtl/>
          <w:lang w:bidi="ar-MA"/>
        </w:rPr>
        <w:t>وعليه</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ف</w:t>
      </w:r>
      <w:r w:rsidRPr="00282AC9">
        <w:rPr>
          <w:rFonts w:ascii="Times New Roman" w:hAnsi="Times New Roman"/>
          <w:sz w:val="27"/>
          <w:rtl/>
          <w:lang w:bidi="ar-MA"/>
        </w:rPr>
        <w:t>إن عناية علماء الأصول بالألفاظ لم تكن مستقل</w:t>
      </w:r>
      <w:r w:rsidR="0025281C" w:rsidRPr="00282AC9">
        <w:rPr>
          <w:rFonts w:ascii="Times New Roman" w:hAnsi="Times New Roman" w:hint="cs"/>
          <w:sz w:val="27"/>
          <w:rtl/>
          <w:lang w:bidi="ar-MA"/>
        </w:rPr>
        <w:t>ّ</w:t>
      </w:r>
      <w:r w:rsidRPr="00282AC9">
        <w:rPr>
          <w:rFonts w:ascii="Times New Roman" w:hAnsi="Times New Roman"/>
          <w:sz w:val="27"/>
          <w:rtl/>
          <w:lang w:bidi="ar-MA"/>
        </w:rPr>
        <w:t>ة</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ascii="Times New Roman" w:hAnsi="Times New Roman" w:hint="cs"/>
          <w:sz w:val="27"/>
          <w:rtl/>
          <w:lang w:bidi="ar-MA"/>
        </w:rPr>
        <w:t>أو منفصلة</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عن السياق، بل كانت داخل</w:t>
      </w:r>
      <w:r w:rsidR="0025281C" w:rsidRPr="00282AC9">
        <w:rPr>
          <w:rFonts w:ascii="Times New Roman" w:hAnsi="Times New Roman" w:hint="cs"/>
          <w:sz w:val="27"/>
          <w:rtl/>
          <w:lang w:bidi="ar-MA"/>
        </w:rPr>
        <w:t>ةً</w:t>
      </w:r>
      <w:r w:rsidRPr="00282AC9">
        <w:rPr>
          <w:rFonts w:ascii="Times New Roman" w:hAnsi="Times New Roman"/>
          <w:sz w:val="27"/>
          <w:rtl/>
          <w:lang w:bidi="ar-MA"/>
        </w:rPr>
        <w:t xml:space="preserve"> </w:t>
      </w:r>
      <w:r w:rsidRPr="00282AC9">
        <w:rPr>
          <w:rFonts w:ascii="Times New Roman" w:hAnsi="Times New Roman" w:hint="cs"/>
          <w:sz w:val="27"/>
          <w:rtl/>
          <w:lang w:bidi="ar-MA"/>
        </w:rPr>
        <w:t>ومرتبطة</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0025281C" w:rsidRPr="00282AC9">
        <w:rPr>
          <w:rFonts w:ascii="Times New Roman" w:hAnsi="Times New Roman" w:hint="cs"/>
          <w:sz w:val="27"/>
          <w:rtl/>
          <w:lang w:bidi="ar-MA"/>
        </w:rPr>
        <w:t>ب</w:t>
      </w:r>
      <w:r w:rsidRPr="00282AC9">
        <w:rPr>
          <w:rFonts w:ascii="Times New Roman" w:hAnsi="Times New Roman" w:hint="cs"/>
          <w:sz w:val="27"/>
          <w:rtl/>
          <w:lang w:bidi="ar-MA"/>
        </w:rPr>
        <w:t>مبدأ مراعاة المقتضيات والمقامات</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ل</w:t>
      </w:r>
      <w:r w:rsidRPr="00282AC9">
        <w:rPr>
          <w:rFonts w:ascii="Times New Roman" w:hAnsi="Times New Roman" w:hint="cs"/>
          <w:sz w:val="27"/>
          <w:rtl/>
          <w:lang w:bidi="ar-MA"/>
        </w:rPr>
        <w:t>أ</w:t>
      </w:r>
      <w:r w:rsidRPr="00282AC9">
        <w:rPr>
          <w:rFonts w:ascii="Times New Roman" w:hAnsi="Times New Roman"/>
          <w:sz w:val="27"/>
          <w:rtl/>
          <w:lang w:bidi="ar-MA"/>
        </w:rPr>
        <w:t>ن اللفظ خارج التركيب لا قيمة له</w:t>
      </w:r>
      <w:r w:rsidRPr="00282AC9">
        <w:rPr>
          <w:rFonts w:ascii="Times New Roman" w:hAnsi="Times New Roman" w:hint="cs"/>
          <w:sz w:val="27"/>
          <w:rtl/>
          <w:lang w:bidi="ar-MA"/>
        </w:rPr>
        <w:t>.</w:t>
      </w:r>
    </w:p>
    <w:p w:rsidR="00D722E4" w:rsidRPr="00282AC9" w:rsidRDefault="00D722E4" w:rsidP="00A20690">
      <w:pPr>
        <w:rPr>
          <w:rFonts w:ascii="Times New Roman" w:hAnsi="Times New Roman"/>
          <w:sz w:val="27"/>
          <w:rtl/>
        </w:rPr>
      </w:pPr>
      <w:r w:rsidRPr="00282AC9">
        <w:rPr>
          <w:rFonts w:ascii="Times New Roman" w:hAnsi="Times New Roman"/>
          <w:sz w:val="27"/>
          <w:rtl/>
          <w:lang w:bidi="ar-MA"/>
        </w:rPr>
        <w:lastRenderedPageBreak/>
        <w:t xml:space="preserve"> قال الإمام الشاطبي:</w:t>
      </w:r>
      <w:r w:rsidRPr="00282AC9">
        <w:rPr>
          <w:rFonts w:ascii="Times New Roman" w:hAnsi="Times New Roman" w:hint="cs"/>
          <w:sz w:val="27"/>
          <w:rtl/>
          <w:lang w:bidi="ar-MA"/>
        </w:rPr>
        <w:t xml:space="preserve"> </w:t>
      </w:r>
      <w:r w:rsidRPr="00282AC9">
        <w:rPr>
          <w:rFonts w:hint="eastAsia"/>
          <w:sz w:val="24"/>
          <w:szCs w:val="24"/>
          <w:rtl/>
          <w:lang w:bidi="ar-MA"/>
        </w:rPr>
        <w:t>«</w:t>
      </w:r>
      <w:r w:rsidRPr="00282AC9">
        <w:rPr>
          <w:rFonts w:ascii="Times New Roman" w:hAnsi="Times New Roman"/>
          <w:sz w:val="27"/>
          <w:rtl/>
          <w:lang w:bidi="ar-MA"/>
        </w:rPr>
        <w:t>لو اعتبر اللفظ بمجر</w:t>
      </w:r>
      <w:r w:rsidR="0025281C" w:rsidRPr="00282AC9">
        <w:rPr>
          <w:rFonts w:ascii="Times New Roman" w:hAnsi="Times New Roman" w:hint="cs"/>
          <w:sz w:val="27"/>
          <w:rtl/>
          <w:lang w:bidi="ar-MA"/>
        </w:rPr>
        <w:t>ّ</w:t>
      </w:r>
      <w:r w:rsidRPr="00282AC9">
        <w:rPr>
          <w:rFonts w:ascii="Times New Roman" w:hAnsi="Times New Roman"/>
          <w:sz w:val="27"/>
          <w:rtl/>
          <w:lang w:bidi="ar-MA"/>
        </w:rPr>
        <w:t>ده لم يكن له معنى</w:t>
      </w:r>
      <w:r w:rsidR="0025281C" w:rsidRPr="00282AC9">
        <w:rPr>
          <w:rFonts w:ascii="Times New Roman" w:hAnsi="Times New Roman" w:hint="cs"/>
          <w:sz w:val="27"/>
          <w:rtl/>
          <w:lang w:bidi="ar-MA"/>
        </w:rPr>
        <w:t>ً</w:t>
      </w:r>
      <w:r w:rsidRPr="00282AC9">
        <w:rPr>
          <w:rFonts w:hint="eastAsia"/>
          <w:sz w:val="24"/>
          <w:szCs w:val="24"/>
          <w:rtl/>
        </w:rPr>
        <w:t>»</w:t>
      </w:r>
      <w:r w:rsidRPr="00282AC9">
        <w:rPr>
          <w:rFonts w:ascii="Times New Roman" w:hAnsi="Times New Roman"/>
          <w:sz w:val="27"/>
          <w:vertAlign w:val="superscript"/>
          <w:rtl/>
          <w:lang w:bidi="ar-MA"/>
        </w:rPr>
        <w:t>(</w:t>
      </w:r>
      <w:r w:rsidRPr="00282AC9">
        <w:rPr>
          <w:rStyle w:val="af9"/>
          <w:rFonts w:ascii="Times New Roman" w:hAnsi="Times New Roman"/>
          <w:sz w:val="27"/>
          <w:rtl/>
          <w:lang w:bidi="ar-MA"/>
        </w:rPr>
        <w:endnoteReference w:id="752"/>
      </w:r>
      <w:r w:rsidRPr="00282AC9">
        <w:rPr>
          <w:rFonts w:ascii="Times New Roman" w:hAnsi="Times New Roman"/>
          <w:sz w:val="27"/>
          <w:vertAlign w:val="superscript"/>
          <w:rtl/>
          <w:lang w:bidi="ar-MA"/>
        </w:rPr>
        <w:t>)</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ومن ثم</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 فمن الجهات المهم</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ة التي </w:t>
      </w:r>
      <w:r w:rsidRPr="00282AC9">
        <w:rPr>
          <w:rFonts w:ascii="Times New Roman" w:hAnsi="Times New Roman" w:hint="cs"/>
          <w:sz w:val="27"/>
          <w:rtl/>
          <w:lang w:bidi="ar-MA"/>
        </w:rPr>
        <w:t xml:space="preserve">اشتغل عليها </w:t>
      </w:r>
      <w:r w:rsidRPr="00282AC9">
        <w:rPr>
          <w:rFonts w:ascii="Times New Roman" w:hAnsi="Times New Roman"/>
          <w:sz w:val="27"/>
          <w:rtl/>
          <w:lang w:bidi="ar-MA"/>
        </w:rPr>
        <w:t>علماء الأصول، وكان لها الأثر الكبير في استمداد المعنى</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 جهة السياق</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 وقصد المتكل</w:t>
      </w:r>
      <w:r w:rsidR="0025281C" w:rsidRPr="00282AC9">
        <w:rPr>
          <w:rFonts w:ascii="Times New Roman" w:hAnsi="Times New Roman" w:hint="cs"/>
          <w:sz w:val="27"/>
          <w:rtl/>
          <w:lang w:bidi="ar-MA"/>
        </w:rPr>
        <w:t>ِّ</w:t>
      </w:r>
      <w:r w:rsidRPr="00282AC9">
        <w:rPr>
          <w:rFonts w:ascii="Times New Roman" w:hAnsi="Times New Roman"/>
          <w:sz w:val="27"/>
          <w:rtl/>
          <w:lang w:bidi="ar-MA"/>
        </w:rPr>
        <w:t>م من الخطاب</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ومن قواعدهم في هذا الباب: السياق حاكم</w:t>
      </w:r>
      <w:r w:rsidR="0025281C" w:rsidRPr="00282AC9">
        <w:rPr>
          <w:rFonts w:ascii="Times New Roman" w:hAnsi="Times New Roman" w:hint="cs"/>
          <w:sz w:val="27"/>
          <w:rtl/>
          <w:lang w:bidi="ar-MA"/>
        </w:rPr>
        <w:t>ٌ</w:t>
      </w:r>
      <w:r w:rsidRPr="00282AC9">
        <w:rPr>
          <w:rFonts w:ascii="Times New Roman" w:hAnsi="Times New Roman"/>
          <w:sz w:val="27"/>
          <w:rtl/>
          <w:lang w:bidi="ar-MA"/>
        </w:rPr>
        <w:t>، و</w:t>
      </w:r>
      <w:r w:rsidR="0025281C" w:rsidRPr="00282AC9">
        <w:rPr>
          <w:rFonts w:ascii="Times New Roman" w:hAnsi="Times New Roman" w:hint="cs"/>
          <w:sz w:val="27"/>
          <w:rtl/>
          <w:lang w:bidi="ar-MA"/>
        </w:rPr>
        <w:t>إ</w:t>
      </w:r>
      <w:r w:rsidRPr="00282AC9">
        <w:rPr>
          <w:rFonts w:ascii="Times New Roman" w:hAnsi="Times New Roman"/>
          <w:sz w:val="27"/>
          <w:rtl/>
          <w:lang w:bidi="ar-MA"/>
        </w:rPr>
        <w:t xml:space="preserve">ن الأصل المنهجي هو إعمال الدلالة الحقيقية </w:t>
      </w:r>
      <w:r w:rsidRPr="00282AC9">
        <w:rPr>
          <w:rFonts w:ascii="Times New Roman" w:hAnsi="Times New Roman" w:hint="cs"/>
          <w:sz w:val="27"/>
          <w:rtl/>
          <w:lang w:bidi="ar-MA"/>
        </w:rPr>
        <w:t>للفظ</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 ولا ي</w:t>
      </w:r>
      <w:r w:rsidR="0025281C" w:rsidRPr="00282AC9">
        <w:rPr>
          <w:rFonts w:ascii="Times New Roman" w:hAnsi="Times New Roman" w:hint="cs"/>
          <w:sz w:val="27"/>
          <w:rtl/>
          <w:lang w:bidi="ar-MA"/>
        </w:rPr>
        <w:t>ُ</w:t>
      </w:r>
      <w:r w:rsidRPr="00282AC9">
        <w:rPr>
          <w:rFonts w:ascii="Times New Roman" w:hAnsi="Times New Roman"/>
          <w:sz w:val="27"/>
          <w:rtl/>
          <w:lang w:bidi="ar-MA"/>
        </w:rPr>
        <w:t>ل</w:t>
      </w:r>
      <w:r w:rsidR="0025281C" w:rsidRPr="00282AC9">
        <w:rPr>
          <w:rFonts w:ascii="Times New Roman" w:hAnsi="Times New Roman" w:hint="cs"/>
          <w:sz w:val="27"/>
          <w:rtl/>
          <w:lang w:bidi="ar-MA"/>
        </w:rPr>
        <w:t>ْ</w:t>
      </w:r>
      <w:r w:rsidRPr="00282AC9">
        <w:rPr>
          <w:rFonts w:ascii="Times New Roman" w:hAnsi="Times New Roman"/>
          <w:sz w:val="27"/>
          <w:rtl/>
          <w:lang w:bidi="ar-MA"/>
        </w:rPr>
        <w:t>ج</w:t>
      </w:r>
      <w:r w:rsidR="0025281C" w:rsidRPr="00282AC9">
        <w:rPr>
          <w:rFonts w:ascii="Times New Roman" w:hAnsi="Times New Roman" w:hint="cs"/>
          <w:sz w:val="27"/>
          <w:rtl/>
          <w:lang w:bidi="ar-MA"/>
        </w:rPr>
        <w:t>َ</w:t>
      </w:r>
      <w:r w:rsidRPr="00282AC9">
        <w:rPr>
          <w:rFonts w:ascii="Times New Roman" w:hAnsi="Times New Roman" w:hint="cs"/>
          <w:sz w:val="27"/>
          <w:rtl/>
          <w:lang w:bidi="ar-MA"/>
        </w:rPr>
        <w:t>أ</w:t>
      </w:r>
      <w:r w:rsidRPr="00282AC9">
        <w:rPr>
          <w:rFonts w:ascii="Times New Roman" w:hAnsi="Times New Roman"/>
          <w:sz w:val="27"/>
          <w:rtl/>
          <w:lang w:bidi="ar-MA"/>
        </w:rPr>
        <w:t xml:space="preserve"> إلى السياق إلا</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 عند عدم قدرة الوضع على الوفاء بالمعنى</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 و</w:t>
      </w:r>
      <w:r w:rsidRPr="00282AC9">
        <w:rPr>
          <w:rFonts w:ascii="Times New Roman" w:hAnsi="Times New Roman" w:hint="cs"/>
          <w:sz w:val="27"/>
          <w:rtl/>
          <w:lang w:bidi="ar-MA"/>
        </w:rPr>
        <w:t>إ</w:t>
      </w:r>
      <w:r w:rsidRPr="00282AC9">
        <w:rPr>
          <w:rFonts w:ascii="Times New Roman" w:hAnsi="Times New Roman"/>
          <w:sz w:val="27"/>
          <w:rtl/>
          <w:lang w:bidi="ar-MA"/>
        </w:rPr>
        <w:t>ن انتزاع المعنى من النص</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 يحكمه السياق</w:t>
      </w:r>
      <w:r w:rsidR="0025281C" w:rsidRPr="00282AC9">
        <w:rPr>
          <w:rFonts w:ascii="Times New Roman" w:hAnsi="Times New Roman" w:hint="cs"/>
          <w:sz w:val="27"/>
          <w:rtl/>
          <w:lang w:bidi="ar-MA"/>
        </w:rPr>
        <w:t>.</w:t>
      </w:r>
      <w:r w:rsidRPr="00282AC9">
        <w:rPr>
          <w:rFonts w:ascii="Times New Roman" w:hAnsi="Times New Roman"/>
          <w:sz w:val="27"/>
          <w:rtl/>
          <w:lang w:bidi="ar-MA"/>
        </w:rPr>
        <w:t xml:space="preserve"> و</w:t>
      </w:r>
      <w:r w:rsidRPr="00282AC9">
        <w:rPr>
          <w:rFonts w:ascii="Times New Roman" w:hAnsi="Times New Roman" w:hint="cs"/>
          <w:sz w:val="27"/>
          <w:rtl/>
          <w:lang w:bidi="ar-MA"/>
        </w:rPr>
        <w:t>إ</w:t>
      </w:r>
      <w:r w:rsidRPr="00282AC9">
        <w:rPr>
          <w:rFonts w:ascii="Times New Roman" w:hAnsi="Times New Roman"/>
          <w:sz w:val="27"/>
          <w:rtl/>
          <w:lang w:bidi="ar-MA"/>
        </w:rPr>
        <w:t>ن الأصل في الخطاب هو تحقيق الفهم والبيان والإبلاغ</w:t>
      </w:r>
      <w:r w:rsidR="0025281C"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قال الشيخ ابن دقيق العيد:</w:t>
      </w:r>
      <w:r w:rsidRPr="00282AC9">
        <w:rPr>
          <w:rFonts w:ascii="Times New Roman" w:hAnsi="Times New Roman" w:hint="cs"/>
          <w:sz w:val="27"/>
          <w:rtl/>
          <w:lang w:bidi="ar-MA"/>
        </w:rPr>
        <w:t xml:space="preserve"> </w:t>
      </w:r>
      <w:r w:rsidRPr="00282AC9">
        <w:rPr>
          <w:rFonts w:hint="eastAsia"/>
          <w:sz w:val="24"/>
          <w:szCs w:val="24"/>
          <w:rtl/>
        </w:rPr>
        <w:t>«</w:t>
      </w:r>
      <w:r w:rsidRPr="00282AC9">
        <w:rPr>
          <w:rFonts w:ascii="Times New Roman" w:hAnsi="Times New Roman"/>
          <w:sz w:val="27"/>
          <w:rtl/>
        </w:rPr>
        <w:t>أما السياق فه</w:t>
      </w:r>
      <w:r w:rsidRPr="00282AC9">
        <w:rPr>
          <w:rFonts w:ascii="Times New Roman" w:hAnsi="Times New Roman" w:hint="cs"/>
          <w:sz w:val="27"/>
          <w:rtl/>
        </w:rPr>
        <w:t>و</w:t>
      </w:r>
      <w:r w:rsidRPr="00282AC9">
        <w:rPr>
          <w:rFonts w:ascii="Times New Roman" w:hAnsi="Times New Roman"/>
          <w:sz w:val="27"/>
          <w:rtl/>
        </w:rPr>
        <w:t xml:space="preserve"> يرشد إلى تبيين المجملات</w:t>
      </w:r>
      <w:r w:rsidRPr="00282AC9">
        <w:rPr>
          <w:rFonts w:ascii="Times New Roman" w:hAnsi="Times New Roman" w:hint="cs"/>
          <w:sz w:val="27"/>
          <w:rtl/>
        </w:rPr>
        <w:t xml:space="preserve">، </w:t>
      </w:r>
      <w:r w:rsidRPr="00282AC9">
        <w:rPr>
          <w:rFonts w:ascii="Times New Roman" w:hAnsi="Times New Roman"/>
          <w:sz w:val="27"/>
          <w:rtl/>
        </w:rPr>
        <w:t>وترجيح المحتملات</w:t>
      </w:r>
      <w:r w:rsidRPr="00282AC9">
        <w:rPr>
          <w:rFonts w:ascii="Times New Roman" w:hAnsi="Times New Roman" w:hint="cs"/>
          <w:sz w:val="27"/>
          <w:rtl/>
        </w:rPr>
        <w:t xml:space="preserve">، </w:t>
      </w:r>
      <w:r w:rsidRPr="00282AC9">
        <w:rPr>
          <w:rFonts w:ascii="Times New Roman" w:hAnsi="Times New Roman"/>
          <w:sz w:val="27"/>
          <w:rtl/>
        </w:rPr>
        <w:t>وتقرير الواضحات</w:t>
      </w:r>
      <w:r w:rsidR="0025281C" w:rsidRPr="00282AC9">
        <w:rPr>
          <w:rFonts w:ascii="Times New Roman" w:hAnsi="Times New Roman" w:hint="cs"/>
          <w:sz w:val="27"/>
          <w:rtl/>
        </w:rPr>
        <w:t>.</w:t>
      </w:r>
      <w:r w:rsidRPr="00282AC9">
        <w:rPr>
          <w:rFonts w:ascii="Times New Roman" w:hAnsi="Times New Roman" w:hint="cs"/>
          <w:sz w:val="27"/>
          <w:rtl/>
        </w:rPr>
        <w:t xml:space="preserve"> </w:t>
      </w:r>
      <w:r w:rsidRPr="00282AC9">
        <w:rPr>
          <w:rFonts w:ascii="Times New Roman" w:hAnsi="Times New Roman"/>
          <w:sz w:val="27"/>
          <w:rtl/>
        </w:rPr>
        <w:t>وكل</w:t>
      </w:r>
      <w:r w:rsidR="0025281C" w:rsidRPr="00282AC9">
        <w:rPr>
          <w:rFonts w:ascii="Times New Roman" w:hAnsi="Times New Roman" w:hint="cs"/>
          <w:sz w:val="27"/>
          <w:rtl/>
        </w:rPr>
        <w:t>ُّ</w:t>
      </w:r>
      <w:r w:rsidRPr="00282AC9">
        <w:rPr>
          <w:rFonts w:ascii="Times New Roman" w:hAnsi="Times New Roman"/>
          <w:sz w:val="27"/>
          <w:rtl/>
        </w:rPr>
        <w:t xml:space="preserve"> ذلك ي</w:t>
      </w:r>
      <w:r w:rsidR="0025281C" w:rsidRPr="00282AC9">
        <w:rPr>
          <w:rFonts w:ascii="Times New Roman" w:hAnsi="Times New Roman" w:hint="cs"/>
          <w:sz w:val="27"/>
          <w:rtl/>
        </w:rPr>
        <w:t>ُ</w:t>
      </w:r>
      <w:r w:rsidRPr="00282AC9">
        <w:rPr>
          <w:rFonts w:ascii="Times New Roman" w:hAnsi="Times New Roman"/>
          <w:sz w:val="27"/>
          <w:rtl/>
        </w:rPr>
        <w:t>ع</w:t>
      </w:r>
      <w:r w:rsidR="0025281C" w:rsidRPr="00282AC9">
        <w:rPr>
          <w:rFonts w:ascii="Times New Roman" w:hAnsi="Times New Roman" w:hint="cs"/>
          <w:sz w:val="27"/>
          <w:rtl/>
        </w:rPr>
        <w:t>ْ</w:t>
      </w:r>
      <w:r w:rsidRPr="00282AC9">
        <w:rPr>
          <w:rFonts w:ascii="Times New Roman" w:hAnsi="Times New Roman"/>
          <w:sz w:val="27"/>
          <w:rtl/>
        </w:rPr>
        <w:t>ر</w:t>
      </w:r>
      <w:r w:rsidR="0025281C" w:rsidRPr="00282AC9">
        <w:rPr>
          <w:rFonts w:ascii="Times New Roman" w:hAnsi="Times New Roman" w:hint="cs"/>
          <w:sz w:val="27"/>
          <w:rtl/>
        </w:rPr>
        <w:t>َ</w:t>
      </w:r>
      <w:r w:rsidRPr="00282AC9">
        <w:rPr>
          <w:rFonts w:ascii="Times New Roman" w:hAnsi="Times New Roman"/>
          <w:sz w:val="27"/>
          <w:rtl/>
        </w:rPr>
        <w:t>ف بالاستعمال</w:t>
      </w:r>
      <w:r w:rsidRPr="00282AC9">
        <w:rPr>
          <w:rFonts w:hint="eastAsia"/>
          <w:sz w:val="24"/>
          <w:szCs w:val="24"/>
          <w:rtl/>
        </w:rPr>
        <w:t>»</w:t>
      </w:r>
      <w:r w:rsidRPr="00282AC9">
        <w:rPr>
          <w:rFonts w:ascii="Times New Roman" w:hAnsi="Times New Roman"/>
          <w:sz w:val="27"/>
          <w:vertAlign w:val="superscript"/>
          <w:rtl/>
        </w:rPr>
        <w:t>(</w:t>
      </w:r>
      <w:r w:rsidRPr="00282AC9">
        <w:rPr>
          <w:rStyle w:val="af9"/>
          <w:rFonts w:ascii="Times New Roman" w:hAnsi="Times New Roman"/>
          <w:sz w:val="27"/>
          <w:rtl/>
        </w:rPr>
        <w:endnoteReference w:id="753"/>
      </w:r>
      <w:r w:rsidRPr="00282AC9">
        <w:rPr>
          <w:rFonts w:ascii="Times New Roman" w:hAnsi="Times New Roman"/>
          <w:sz w:val="27"/>
          <w:vertAlign w:val="superscript"/>
          <w:rtl/>
        </w:rPr>
        <w:t>)</w:t>
      </w:r>
      <w:r w:rsidR="0025281C" w:rsidRPr="00282AC9">
        <w:rPr>
          <w:rFonts w:ascii="Times New Roman" w:hAnsi="Times New Roman" w:hint="cs"/>
          <w:sz w:val="27"/>
          <w:rtl/>
        </w:rPr>
        <w:t>.</w:t>
      </w:r>
      <w:r w:rsidRPr="00282AC9">
        <w:rPr>
          <w:rFonts w:ascii="Times New Roman" w:hAnsi="Times New Roman" w:hint="cs"/>
          <w:sz w:val="27"/>
          <w:rtl/>
        </w:rPr>
        <w:t xml:space="preserve"> </w:t>
      </w:r>
      <w:r w:rsidRPr="00282AC9">
        <w:rPr>
          <w:rFonts w:ascii="Times New Roman" w:hAnsi="Times New Roman"/>
          <w:sz w:val="27"/>
          <w:rtl/>
        </w:rPr>
        <w:t>والسياق في الدرس الأصولي ي</w:t>
      </w:r>
      <w:r w:rsidR="0025281C" w:rsidRPr="00282AC9">
        <w:rPr>
          <w:rFonts w:ascii="Times New Roman" w:hAnsi="Times New Roman" w:hint="cs"/>
          <w:sz w:val="27"/>
          <w:rtl/>
        </w:rPr>
        <w:t>ُ</w:t>
      </w:r>
      <w:r w:rsidRPr="00282AC9">
        <w:rPr>
          <w:rFonts w:ascii="Times New Roman" w:hAnsi="Times New Roman"/>
          <w:sz w:val="27"/>
          <w:rtl/>
        </w:rPr>
        <w:t>ع</w:t>
      </w:r>
      <w:r w:rsidR="0025281C" w:rsidRPr="00282AC9">
        <w:rPr>
          <w:rFonts w:ascii="Times New Roman" w:hAnsi="Times New Roman" w:hint="cs"/>
          <w:sz w:val="27"/>
          <w:rtl/>
        </w:rPr>
        <w:t>َ</w:t>
      </w:r>
      <w:r w:rsidRPr="00282AC9">
        <w:rPr>
          <w:rFonts w:ascii="Times New Roman" w:hAnsi="Times New Roman"/>
          <w:sz w:val="27"/>
          <w:rtl/>
        </w:rPr>
        <w:t>د</w:t>
      </w:r>
      <w:r w:rsidR="0025281C" w:rsidRPr="00282AC9">
        <w:rPr>
          <w:rFonts w:ascii="Times New Roman" w:hAnsi="Times New Roman" w:hint="cs"/>
          <w:sz w:val="27"/>
          <w:rtl/>
        </w:rPr>
        <w:t>ّ</w:t>
      </w:r>
      <w:r w:rsidRPr="00282AC9">
        <w:rPr>
          <w:rFonts w:ascii="Times New Roman" w:hAnsi="Times New Roman"/>
          <w:sz w:val="27"/>
          <w:rtl/>
        </w:rPr>
        <w:t xml:space="preserve"> من </w:t>
      </w:r>
      <w:r w:rsidRPr="00282AC9">
        <w:rPr>
          <w:rFonts w:ascii="Times New Roman" w:hAnsi="Times New Roman" w:hint="cs"/>
          <w:sz w:val="27"/>
          <w:rtl/>
        </w:rPr>
        <w:t>أ</w:t>
      </w:r>
      <w:r w:rsidRPr="00282AC9">
        <w:rPr>
          <w:rFonts w:ascii="Times New Roman" w:hAnsi="Times New Roman"/>
          <w:sz w:val="27"/>
          <w:rtl/>
        </w:rPr>
        <w:t>برز الجهات الضابطة للمعنى، بل هو الموج</w:t>
      </w:r>
      <w:r w:rsidR="0025281C" w:rsidRPr="00282AC9">
        <w:rPr>
          <w:rFonts w:ascii="Times New Roman" w:hAnsi="Times New Roman" w:hint="cs"/>
          <w:sz w:val="27"/>
          <w:rtl/>
        </w:rPr>
        <w:t>ِّ</w:t>
      </w:r>
      <w:r w:rsidRPr="00282AC9">
        <w:rPr>
          <w:rFonts w:ascii="Times New Roman" w:hAnsi="Times New Roman"/>
          <w:sz w:val="27"/>
          <w:rtl/>
        </w:rPr>
        <w:t>ه للمعنى في النص</w:t>
      </w:r>
      <w:r w:rsidR="0025281C" w:rsidRPr="00282AC9">
        <w:rPr>
          <w:rFonts w:ascii="Times New Roman" w:hAnsi="Times New Roman" w:hint="cs"/>
          <w:sz w:val="27"/>
          <w:rtl/>
        </w:rPr>
        <w:t>ّ</w:t>
      </w:r>
      <w:r w:rsidRPr="00282AC9">
        <w:rPr>
          <w:rFonts w:ascii="Times New Roman" w:hAnsi="Times New Roman"/>
          <w:sz w:val="27"/>
          <w:vertAlign w:val="superscript"/>
          <w:rtl/>
        </w:rPr>
        <w:t>(</w:t>
      </w:r>
      <w:r w:rsidRPr="00282AC9">
        <w:rPr>
          <w:rStyle w:val="af9"/>
          <w:rFonts w:ascii="Times New Roman" w:hAnsi="Times New Roman"/>
          <w:sz w:val="27"/>
          <w:rtl/>
        </w:rPr>
        <w:endnoteReference w:id="754"/>
      </w:r>
      <w:r w:rsidRPr="00282AC9">
        <w:rPr>
          <w:rFonts w:ascii="Times New Roman" w:hAnsi="Times New Roman"/>
          <w:sz w:val="27"/>
          <w:vertAlign w:val="superscript"/>
          <w:rtl/>
        </w:rPr>
        <w:t>)</w:t>
      </w:r>
      <w:r w:rsidRPr="00282AC9">
        <w:rPr>
          <w:rFonts w:ascii="Times New Roman" w:hAnsi="Times New Roman" w:hint="cs"/>
          <w:sz w:val="27"/>
          <w:rtl/>
        </w:rPr>
        <w:t>.</w:t>
      </w:r>
    </w:p>
    <w:p w:rsidR="00D722E4" w:rsidRPr="00282AC9" w:rsidRDefault="00D722E4" w:rsidP="0069438D">
      <w:pPr>
        <w:rPr>
          <w:rFonts w:ascii="Times New Roman" w:hAnsi="Times New Roman"/>
          <w:sz w:val="27"/>
          <w:rtl/>
        </w:rPr>
      </w:pPr>
      <w:r w:rsidRPr="00282AC9">
        <w:rPr>
          <w:rFonts w:ascii="Times New Roman" w:hAnsi="Times New Roman"/>
          <w:sz w:val="27"/>
          <w:rtl/>
        </w:rPr>
        <w:t>واعتبر علماء الأصول مبدأ مراعاة وتحكيم السياق في الفهم وتحصيل المعنى المنهج</w:t>
      </w:r>
      <w:r w:rsidR="00573AAD" w:rsidRPr="00282AC9">
        <w:rPr>
          <w:rFonts w:ascii="Times New Roman" w:hAnsi="Times New Roman" w:hint="cs"/>
          <w:sz w:val="27"/>
          <w:rtl/>
        </w:rPr>
        <w:t>َ</w:t>
      </w:r>
      <w:r w:rsidRPr="00282AC9">
        <w:rPr>
          <w:rFonts w:ascii="Times New Roman" w:hAnsi="Times New Roman"/>
          <w:sz w:val="27"/>
          <w:rtl/>
        </w:rPr>
        <w:t xml:space="preserve"> الأمثل، والطريق</w:t>
      </w:r>
      <w:r w:rsidR="00573AAD" w:rsidRPr="00282AC9">
        <w:rPr>
          <w:rFonts w:ascii="Times New Roman" w:hAnsi="Times New Roman" w:hint="cs"/>
          <w:sz w:val="27"/>
          <w:rtl/>
        </w:rPr>
        <w:t>َ</w:t>
      </w:r>
      <w:r w:rsidRPr="00282AC9">
        <w:rPr>
          <w:rFonts w:ascii="Times New Roman" w:hAnsi="Times New Roman"/>
          <w:sz w:val="27"/>
          <w:rtl/>
        </w:rPr>
        <w:t xml:space="preserve"> السديد الم</w:t>
      </w:r>
      <w:r w:rsidR="00573AAD" w:rsidRPr="00282AC9">
        <w:rPr>
          <w:rFonts w:ascii="Times New Roman" w:hAnsi="Times New Roman" w:hint="cs"/>
          <w:sz w:val="27"/>
          <w:rtl/>
        </w:rPr>
        <w:t>ُ</w:t>
      </w:r>
      <w:r w:rsidRPr="00282AC9">
        <w:rPr>
          <w:rFonts w:ascii="Times New Roman" w:hAnsi="Times New Roman"/>
          <w:sz w:val="27"/>
          <w:rtl/>
        </w:rPr>
        <w:t>عين في تحصيل المعنى من النص</w:t>
      </w:r>
      <w:r w:rsidR="00573AAD" w:rsidRPr="00282AC9">
        <w:rPr>
          <w:rFonts w:ascii="Times New Roman" w:hAnsi="Times New Roman" w:hint="cs"/>
          <w:sz w:val="27"/>
          <w:rtl/>
        </w:rPr>
        <w:t>ّ</w:t>
      </w:r>
      <w:r w:rsidR="00B261D1">
        <w:rPr>
          <w:rFonts w:ascii="Times New Roman" w:hAnsi="Times New Roman"/>
          <w:sz w:val="27"/>
          <w:rtl/>
        </w:rPr>
        <w:t xml:space="preserve"> الشرع</w:t>
      </w:r>
      <w:r w:rsidR="00B261D1">
        <w:rPr>
          <w:rFonts w:ascii="Times New Roman" w:hAnsi="Times New Roman" w:hint="cs"/>
          <w:sz w:val="27"/>
          <w:rtl/>
        </w:rPr>
        <w:t>يّ</w:t>
      </w:r>
      <w:r w:rsidR="00784B8C" w:rsidRPr="00DB77FA">
        <w:rPr>
          <w:vertAlign w:val="superscript"/>
          <w:rtl/>
        </w:rPr>
        <w:t>(</w:t>
      </w:r>
      <w:r w:rsidR="00784B8C" w:rsidRPr="00DB77FA">
        <w:rPr>
          <w:vertAlign w:val="superscript"/>
          <w:rtl/>
        </w:rPr>
        <w:endnoteReference w:id="755"/>
      </w:r>
      <w:r w:rsidR="00784B8C" w:rsidRPr="00DB77FA">
        <w:rPr>
          <w:vertAlign w:val="superscript"/>
          <w:rtl/>
        </w:rPr>
        <w:t>)</w:t>
      </w:r>
      <w:r w:rsidR="00B261D1">
        <w:rPr>
          <w:rFonts w:ascii="Times New Roman" w:hAnsi="Times New Roman" w:hint="cs"/>
          <w:sz w:val="27"/>
          <w:rtl/>
        </w:rPr>
        <w:t>.</w:t>
      </w:r>
      <w:r w:rsidRPr="00282AC9">
        <w:rPr>
          <w:rFonts w:ascii="Times New Roman" w:hAnsi="Times New Roman" w:hint="cs"/>
          <w:sz w:val="27"/>
          <w:rtl/>
        </w:rPr>
        <w:t xml:space="preserve"> </w:t>
      </w:r>
      <w:r w:rsidRPr="00282AC9">
        <w:rPr>
          <w:rFonts w:ascii="Times New Roman" w:hAnsi="Times New Roman"/>
          <w:sz w:val="27"/>
          <w:rtl/>
        </w:rPr>
        <w:t>و</w:t>
      </w:r>
      <w:r w:rsidR="00573AAD" w:rsidRPr="00282AC9">
        <w:rPr>
          <w:rFonts w:ascii="Times New Roman" w:hAnsi="Times New Roman" w:hint="cs"/>
          <w:sz w:val="27"/>
          <w:rtl/>
        </w:rPr>
        <w:t>إ</w:t>
      </w:r>
      <w:r w:rsidRPr="00282AC9">
        <w:rPr>
          <w:rFonts w:ascii="Times New Roman" w:hAnsi="Times New Roman"/>
          <w:sz w:val="27"/>
          <w:rtl/>
        </w:rPr>
        <w:t>ن الناظر في كتب الأصول ي</w:t>
      </w:r>
      <w:r w:rsidR="00573AAD" w:rsidRPr="00282AC9">
        <w:rPr>
          <w:rFonts w:ascii="Times New Roman" w:hAnsi="Times New Roman" w:hint="cs"/>
          <w:sz w:val="27"/>
          <w:rtl/>
        </w:rPr>
        <w:t>ُ</w:t>
      </w:r>
      <w:r w:rsidRPr="00282AC9">
        <w:rPr>
          <w:rFonts w:ascii="Times New Roman" w:hAnsi="Times New Roman"/>
          <w:sz w:val="27"/>
          <w:rtl/>
        </w:rPr>
        <w:t>لاح</w:t>
      </w:r>
      <w:r w:rsidR="00573AAD" w:rsidRPr="00282AC9">
        <w:rPr>
          <w:rFonts w:ascii="Times New Roman" w:hAnsi="Times New Roman" w:hint="cs"/>
          <w:sz w:val="27"/>
          <w:rtl/>
        </w:rPr>
        <w:t>ِ</w:t>
      </w:r>
      <w:r w:rsidRPr="00282AC9">
        <w:rPr>
          <w:rFonts w:ascii="Times New Roman" w:hAnsi="Times New Roman"/>
          <w:sz w:val="27"/>
          <w:rtl/>
        </w:rPr>
        <w:t>ظ مدى اهتمام علماء الأصول بالسياق، وبقصد المتكل</w:t>
      </w:r>
      <w:r w:rsidR="00573AAD" w:rsidRPr="00282AC9">
        <w:rPr>
          <w:rFonts w:ascii="Times New Roman" w:hAnsi="Times New Roman" w:hint="cs"/>
          <w:sz w:val="27"/>
          <w:rtl/>
        </w:rPr>
        <w:t>ِّ</w:t>
      </w:r>
      <w:r w:rsidRPr="00282AC9">
        <w:rPr>
          <w:rFonts w:ascii="Times New Roman" w:hAnsi="Times New Roman"/>
          <w:sz w:val="27"/>
          <w:rtl/>
        </w:rPr>
        <w:t>م من الخطاب، مم</w:t>
      </w:r>
      <w:r w:rsidR="00573AAD" w:rsidRPr="00282AC9">
        <w:rPr>
          <w:rFonts w:ascii="Times New Roman" w:hAnsi="Times New Roman" w:hint="cs"/>
          <w:sz w:val="27"/>
          <w:rtl/>
        </w:rPr>
        <w:t>ّ</w:t>
      </w:r>
      <w:r w:rsidRPr="00282AC9">
        <w:rPr>
          <w:rFonts w:ascii="Times New Roman" w:hAnsi="Times New Roman"/>
          <w:sz w:val="27"/>
          <w:rtl/>
        </w:rPr>
        <w:t>ا جعلهم يخص</w:t>
      </w:r>
      <w:r w:rsidR="00573AAD" w:rsidRPr="00282AC9">
        <w:rPr>
          <w:rFonts w:ascii="Times New Roman" w:hAnsi="Times New Roman" w:hint="cs"/>
          <w:sz w:val="27"/>
          <w:rtl/>
        </w:rPr>
        <w:t>ِّ</w:t>
      </w:r>
      <w:r w:rsidRPr="00282AC9">
        <w:rPr>
          <w:rFonts w:ascii="Times New Roman" w:hAnsi="Times New Roman"/>
          <w:sz w:val="27"/>
          <w:rtl/>
        </w:rPr>
        <w:t>صون له مباحث واسعة</w:t>
      </w:r>
      <w:r w:rsidR="00573AAD" w:rsidRPr="00282AC9">
        <w:rPr>
          <w:rFonts w:ascii="Times New Roman" w:hAnsi="Times New Roman" w:hint="cs"/>
          <w:sz w:val="27"/>
          <w:rtl/>
        </w:rPr>
        <w:t>ً</w:t>
      </w:r>
      <w:r w:rsidRPr="00282AC9">
        <w:rPr>
          <w:rFonts w:ascii="Times New Roman" w:hAnsi="Times New Roman"/>
          <w:sz w:val="27"/>
          <w:rtl/>
        </w:rPr>
        <w:t xml:space="preserve"> في ثنايا كتبهم ومؤل</w:t>
      </w:r>
      <w:r w:rsidR="00573AAD" w:rsidRPr="00282AC9">
        <w:rPr>
          <w:rFonts w:ascii="Times New Roman" w:hAnsi="Times New Roman" w:hint="cs"/>
          <w:sz w:val="27"/>
          <w:rtl/>
        </w:rPr>
        <w:t>َّ</w:t>
      </w:r>
      <w:r w:rsidRPr="00282AC9">
        <w:rPr>
          <w:rFonts w:ascii="Times New Roman" w:hAnsi="Times New Roman"/>
          <w:sz w:val="27"/>
          <w:rtl/>
        </w:rPr>
        <w:t>فاتهم.</w:t>
      </w:r>
    </w:p>
    <w:p w:rsidR="00D722E4" w:rsidRPr="00282AC9" w:rsidRDefault="00D722E4" w:rsidP="00A20690">
      <w:pPr>
        <w:rPr>
          <w:rFonts w:ascii="Arial" w:hAnsi="Arial"/>
          <w:sz w:val="27"/>
          <w:rtl/>
        </w:rPr>
      </w:pPr>
      <w:r w:rsidRPr="00282AC9">
        <w:rPr>
          <w:rFonts w:ascii="Arial" w:hAnsi="Arial" w:hint="cs"/>
          <w:sz w:val="27"/>
          <w:rtl/>
        </w:rPr>
        <w:t>كما أن السياق هو آلي</w:t>
      </w:r>
      <w:r w:rsidR="00573AAD" w:rsidRPr="00282AC9">
        <w:rPr>
          <w:rFonts w:ascii="Arial" w:hAnsi="Arial" w:hint="cs"/>
          <w:sz w:val="27"/>
          <w:rtl/>
        </w:rPr>
        <w:t>ّ</w:t>
      </w:r>
      <w:r w:rsidRPr="00282AC9">
        <w:rPr>
          <w:rFonts w:ascii="Arial" w:hAnsi="Arial" w:hint="cs"/>
          <w:sz w:val="27"/>
          <w:rtl/>
        </w:rPr>
        <w:t>ة</w:t>
      </w:r>
      <w:r w:rsidR="00573AAD" w:rsidRPr="00282AC9">
        <w:rPr>
          <w:rFonts w:ascii="Arial" w:hAnsi="Arial" w:hint="cs"/>
          <w:sz w:val="27"/>
          <w:rtl/>
        </w:rPr>
        <w:t>ٌ مسا</w:t>
      </w:r>
      <w:r w:rsidRPr="00282AC9">
        <w:rPr>
          <w:rFonts w:ascii="Arial" w:hAnsi="Arial" w:hint="cs"/>
          <w:sz w:val="27"/>
          <w:rtl/>
        </w:rPr>
        <w:t>عدة</w:t>
      </w:r>
      <w:r w:rsidR="00573AAD" w:rsidRPr="00282AC9">
        <w:rPr>
          <w:rFonts w:ascii="Arial" w:hAnsi="Arial" w:hint="cs"/>
          <w:sz w:val="27"/>
          <w:rtl/>
        </w:rPr>
        <w:t>،</w:t>
      </w:r>
      <w:r w:rsidRPr="00282AC9">
        <w:rPr>
          <w:rFonts w:ascii="Arial" w:hAnsi="Arial" w:hint="cs"/>
          <w:sz w:val="27"/>
          <w:rtl/>
        </w:rPr>
        <w:t xml:space="preserve"> وأداة موج</w:t>
      </w:r>
      <w:r w:rsidR="00573AAD" w:rsidRPr="00282AC9">
        <w:rPr>
          <w:rFonts w:ascii="Arial" w:hAnsi="Arial" w:hint="cs"/>
          <w:sz w:val="27"/>
          <w:rtl/>
        </w:rPr>
        <w:t>ِّ</w:t>
      </w:r>
      <w:r w:rsidRPr="00282AC9">
        <w:rPr>
          <w:rFonts w:ascii="Arial" w:hAnsi="Arial" w:hint="cs"/>
          <w:sz w:val="27"/>
          <w:rtl/>
        </w:rPr>
        <w:t>هة</w:t>
      </w:r>
      <w:r w:rsidR="00573AAD" w:rsidRPr="00282AC9">
        <w:rPr>
          <w:rFonts w:ascii="Arial" w:hAnsi="Arial" w:hint="cs"/>
          <w:sz w:val="27"/>
          <w:rtl/>
        </w:rPr>
        <w:t>،</w:t>
      </w:r>
      <w:r w:rsidRPr="00282AC9">
        <w:rPr>
          <w:rFonts w:ascii="Arial" w:hAnsi="Arial" w:hint="cs"/>
          <w:sz w:val="27"/>
          <w:rtl/>
        </w:rPr>
        <w:t xml:space="preserve"> على توجيه المعنى في الخطاب</w:t>
      </w:r>
      <w:r w:rsidRPr="00282AC9">
        <w:rPr>
          <w:rFonts w:ascii="Arial" w:hAnsi="Arial"/>
          <w:sz w:val="27"/>
          <w:vertAlign w:val="superscript"/>
          <w:rtl/>
        </w:rPr>
        <w:t>(</w:t>
      </w:r>
      <w:r w:rsidRPr="00282AC9">
        <w:rPr>
          <w:rStyle w:val="af9"/>
          <w:rFonts w:ascii="Arial" w:hAnsi="Arial"/>
          <w:sz w:val="27"/>
          <w:rtl/>
        </w:rPr>
        <w:endnoteReference w:id="756"/>
      </w:r>
      <w:r w:rsidRPr="00282AC9">
        <w:rPr>
          <w:rFonts w:ascii="Arial" w:hAnsi="Arial"/>
          <w:sz w:val="27"/>
          <w:vertAlign w:val="superscript"/>
          <w:rtl/>
        </w:rPr>
        <w:t>)</w:t>
      </w:r>
      <w:r w:rsidR="00573AAD" w:rsidRPr="00282AC9">
        <w:rPr>
          <w:rFonts w:ascii="Arial" w:hAnsi="Arial" w:hint="cs"/>
          <w:sz w:val="27"/>
          <w:rtl/>
        </w:rPr>
        <w:t>،</w:t>
      </w:r>
      <w:r w:rsidRPr="00282AC9">
        <w:rPr>
          <w:rFonts w:ascii="Arial" w:hAnsi="Arial" w:hint="cs"/>
          <w:sz w:val="27"/>
          <w:rtl/>
        </w:rPr>
        <w:t xml:space="preserve"> بناء</w:t>
      </w:r>
      <w:r w:rsidR="00573AAD" w:rsidRPr="00282AC9">
        <w:rPr>
          <w:rFonts w:ascii="Arial" w:hAnsi="Arial" w:hint="cs"/>
          <w:sz w:val="27"/>
          <w:rtl/>
        </w:rPr>
        <w:t>ً على</w:t>
      </w:r>
      <w:r w:rsidRPr="00282AC9">
        <w:rPr>
          <w:rFonts w:ascii="Arial" w:hAnsi="Arial" w:hint="cs"/>
          <w:sz w:val="27"/>
          <w:rtl/>
        </w:rPr>
        <w:t xml:space="preserve"> أن مقصود الخطاب ليس التفق</w:t>
      </w:r>
      <w:r w:rsidR="00573AAD" w:rsidRPr="00282AC9">
        <w:rPr>
          <w:rFonts w:ascii="Arial" w:hAnsi="Arial" w:hint="cs"/>
          <w:sz w:val="27"/>
          <w:rtl/>
        </w:rPr>
        <w:t>ُّ</w:t>
      </w:r>
      <w:r w:rsidRPr="00282AC9">
        <w:rPr>
          <w:rFonts w:ascii="Arial" w:hAnsi="Arial" w:hint="cs"/>
          <w:sz w:val="27"/>
          <w:rtl/>
        </w:rPr>
        <w:t>ه في العبارة</w:t>
      </w:r>
      <w:r w:rsidR="00573AAD" w:rsidRPr="00282AC9">
        <w:rPr>
          <w:rFonts w:ascii="Arial" w:hAnsi="Arial" w:hint="cs"/>
          <w:sz w:val="27"/>
          <w:rtl/>
        </w:rPr>
        <w:t>،</w:t>
      </w:r>
      <w:r w:rsidRPr="00282AC9">
        <w:rPr>
          <w:rFonts w:ascii="Arial" w:hAnsi="Arial" w:hint="cs"/>
          <w:sz w:val="27"/>
          <w:rtl/>
        </w:rPr>
        <w:t xml:space="preserve"> بل التفق</w:t>
      </w:r>
      <w:r w:rsidR="00573AAD" w:rsidRPr="00282AC9">
        <w:rPr>
          <w:rFonts w:ascii="Arial" w:hAnsi="Arial" w:hint="cs"/>
          <w:sz w:val="27"/>
          <w:rtl/>
        </w:rPr>
        <w:t>ُّ</w:t>
      </w:r>
      <w:r w:rsidRPr="00282AC9">
        <w:rPr>
          <w:rFonts w:ascii="Arial" w:hAnsi="Arial" w:hint="cs"/>
          <w:sz w:val="27"/>
          <w:rtl/>
        </w:rPr>
        <w:t>ه في المعب</w:t>
      </w:r>
      <w:r w:rsidR="00573AAD" w:rsidRPr="00282AC9">
        <w:rPr>
          <w:rFonts w:ascii="Arial" w:hAnsi="Arial" w:hint="cs"/>
          <w:sz w:val="27"/>
          <w:rtl/>
        </w:rPr>
        <w:t>ِّ</w:t>
      </w:r>
      <w:r w:rsidRPr="00282AC9">
        <w:rPr>
          <w:rFonts w:ascii="Arial" w:hAnsi="Arial" w:hint="cs"/>
          <w:sz w:val="27"/>
          <w:rtl/>
        </w:rPr>
        <w:t>ر...</w:t>
      </w:r>
      <w:r w:rsidRPr="00282AC9">
        <w:rPr>
          <w:rFonts w:ascii="Arial" w:hAnsi="Arial"/>
          <w:sz w:val="27"/>
          <w:vertAlign w:val="superscript"/>
          <w:rtl/>
        </w:rPr>
        <w:t>(</w:t>
      </w:r>
      <w:r w:rsidRPr="00282AC9">
        <w:rPr>
          <w:rStyle w:val="af9"/>
          <w:rFonts w:ascii="Arial" w:hAnsi="Arial"/>
          <w:sz w:val="27"/>
          <w:rtl/>
        </w:rPr>
        <w:endnoteReference w:id="757"/>
      </w:r>
      <w:r w:rsidRPr="00282AC9">
        <w:rPr>
          <w:rFonts w:ascii="Arial" w:hAnsi="Arial"/>
          <w:sz w:val="27"/>
          <w:vertAlign w:val="superscript"/>
          <w:rtl/>
        </w:rPr>
        <w:t>)</w:t>
      </w:r>
      <w:r w:rsidRPr="00282AC9">
        <w:rPr>
          <w:rFonts w:ascii="Arial" w:hAnsi="Arial" w:hint="cs"/>
          <w:sz w:val="27"/>
          <w:rtl/>
        </w:rPr>
        <w:t>.</w:t>
      </w:r>
    </w:p>
    <w:p w:rsidR="00D722E4" w:rsidRPr="00282AC9" w:rsidRDefault="00D722E4" w:rsidP="00A20690">
      <w:pPr>
        <w:rPr>
          <w:rFonts w:ascii="Times New Roman" w:hAnsi="Times New Roman"/>
          <w:sz w:val="27"/>
          <w:rtl/>
        </w:rPr>
      </w:pPr>
      <w:r w:rsidRPr="00282AC9">
        <w:rPr>
          <w:rFonts w:ascii="Times New Roman" w:hAnsi="Times New Roman" w:hint="cs"/>
          <w:sz w:val="27"/>
          <w:rtl/>
        </w:rPr>
        <w:t>ومن اجتهاداتهم في هذا المجال أن الخطاب الصادر عن الشارع</w:t>
      </w:r>
      <w:r w:rsidRPr="00282AC9">
        <w:rPr>
          <w:rFonts w:ascii="Times New Roman" w:hAnsi="Times New Roman"/>
          <w:sz w:val="27"/>
          <w:rtl/>
        </w:rPr>
        <w:t xml:space="preserve"> </w:t>
      </w:r>
      <w:r w:rsidRPr="00282AC9">
        <w:rPr>
          <w:rFonts w:ascii="Times New Roman" w:hAnsi="Times New Roman" w:hint="cs"/>
          <w:sz w:val="27"/>
          <w:rtl/>
        </w:rPr>
        <w:t>يحمل على المعنى الشرعي</w:t>
      </w:r>
      <w:r w:rsidR="00573AAD" w:rsidRPr="00282AC9">
        <w:rPr>
          <w:rFonts w:ascii="Times New Roman" w:hAnsi="Times New Roman" w:hint="cs"/>
          <w:sz w:val="27"/>
          <w:rtl/>
        </w:rPr>
        <w:t>ّ؛</w:t>
      </w:r>
      <w:r w:rsidRPr="00282AC9">
        <w:rPr>
          <w:rFonts w:ascii="Times New Roman" w:hAnsi="Times New Roman" w:hint="cs"/>
          <w:sz w:val="27"/>
          <w:rtl/>
        </w:rPr>
        <w:t xml:space="preserve"> فإذا تعذ</w:t>
      </w:r>
      <w:r w:rsidR="00573AAD" w:rsidRPr="00282AC9">
        <w:rPr>
          <w:rFonts w:ascii="Times New Roman" w:hAnsi="Times New Roman" w:hint="cs"/>
          <w:sz w:val="27"/>
          <w:rtl/>
        </w:rPr>
        <w:t>َّ</w:t>
      </w:r>
      <w:r w:rsidRPr="00282AC9">
        <w:rPr>
          <w:rFonts w:ascii="Times New Roman" w:hAnsi="Times New Roman" w:hint="cs"/>
          <w:sz w:val="27"/>
          <w:rtl/>
        </w:rPr>
        <w:t>ر ح</w:t>
      </w:r>
      <w:r w:rsidR="00573AAD" w:rsidRPr="00282AC9">
        <w:rPr>
          <w:rFonts w:ascii="Times New Roman" w:hAnsi="Times New Roman" w:hint="cs"/>
          <w:sz w:val="27"/>
          <w:rtl/>
        </w:rPr>
        <w:t>ُ</w:t>
      </w:r>
      <w:r w:rsidRPr="00282AC9">
        <w:rPr>
          <w:rFonts w:ascii="Times New Roman" w:hAnsi="Times New Roman" w:hint="cs"/>
          <w:sz w:val="27"/>
          <w:rtl/>
        </w:rPr>
        <w:t>م</w:t>
      </w:r>
      <w:r w:rsidR="00573AAD" w:rsidRPr="00282AC9">
        <w:rPr>
          <w:rFonts w:ascii="Times New Roman" w:hAnsi="Times New Roman" w:hint="cs"/>
          <w:sz w:val="27"/>
          <w:rtl/>
        </w:rPr>
        <w:t>ِ</w:t>
      </w:r>
      <w:r w:rsidRPr="00282AC9">
        <w:rPr>
          <w:rFonts w:ascii="Times New Roman" w:hAnsi="Times New Roman" w:hint="cs"/>
          <w:sz w:val="27"/>
          <w:rtl/>
        </w:rPr>
        <w:t>ل على المعنى الع</w:t>
      </w:r>
      <w:r w:rsidR="00573AAD" w:rsidRPr="00282AC9">
        <w:rPr>
          <w:rFonts w:ascii="Times New Roman" w:hAnsi="Times New Roman" w:hint="cs"/>
          <w:sz w:val="27"/>
          <w:rtl/>
        </w:rPr>
        <w:t>ُ</w:t>
      </w:r>
      <w:r w:rsidRPr="00282AC9">
        <w:rPr>
          <w:rFonts w:ascii="Times New Roman" w:hAnsi="Times New Roman" w:hint="cs"/>
          <w:sz w:val="27"/>
          <w:rtl/>
        </w:rPr>
        <w:t>ر</w:t>
      </w:r>
      <w:r w:rsidR="00573AAD" w:rsidRPr="00282AC9">
        <w:rPr>
          <w:rFonts w:ascii="Times New Roman" w:hAnsi="Times New Roman" w:hint="cs"/>
          <w:sz w:val="27"/>
          <w:rtl/>
        </w:rPr>
        <w:t>ْ</w:t>
      </w:r>
      <w:r w:rsidRPr="00282AC9">
        <w:rPr>
          <w:rFonts w:ascii="Times New Roman" w:hAnsi="Times New Roman" w:hint="cs"/>
          <w:sz w:val="27"/>
          <w:rtl/>
        </w:rPr>
        <w:t>في، ثم</w:t>
      </w:r>
      <w:r w:rsidR="00573AAD" w:rsidRPr="00282AC9">
        <w:rPr>
          <w:rFonts w:ascii="Times New Roman" w:hAnsi="Times New Roman" w:hint="cs"/>
          <w:sz w:val="27"/>
          <w:rtl/>
        </w:rPr>
        <w:t>ّ</w:t>
      </w:r>
      <w:r w:rsidRPr="00282AC9">
        <w:rPr>
          <w:rFonts w:ascii="Times New Roman" w:hAnsi="Times New Roman" w:hint="cs"/>
          <w:sz w:val="27"/>
          <w:rtl/>
        </w:rPr>
        <w:t xml:space="preserve"> أخيرا</w:t>
      </w:r>
      <w:r w:rsidR="00573AAD" w:rsidRPr="00282AC9">
        <w:rPr>
          <w:rFonts w:ascii="Times New Roman" w:hAnsi="Times New Roman" w:hint="cs"/>
          <w:sz w:val="27"/>
          <w:rtl/>
        </w:rPr>
        <w:t>ً</w:t>
      </w:r>
      <w:r w:rsidRPr="00282AC9">
        <w:rPr>
          <w:rFonts w:ascii="Times New Roman" w:hAnsi="Times New Roman" w:hint="cs"/>
          <w:sz w:val="27"/>
          <w:rtl/>
        </w:rPr>
        <w:t xml:space="preserve"> يحمل على المعنى الشرعي</w:t>
      </w:r>
      <w:r w:rsidR="00573AAD" w:rsidRPr="00282AC9">
        <w:rPr>
          <w:rFonts w:ascii="Times New Roman" w:hAnsi="Times New Roman" w:hint="cs"/>
          <w:sz w:val="27"/>
          <w:rtl/>
        </w:rPr>
        <w:t>ّ</w:t>
      </w:r>
      <w:r w:rsidRPr="00282AC9">
        <w:rPr>
          <w:rFonts w:ascii="Times New Roman" w:hAnsi="Times New Roman"/>
          <w:sz w:val="27"/>
          <w:vertAlign w:val="superscript"/>
          <w:rtl/>
        </w:rPr>
        <w:t>(</w:t>
      </w:r>
      <w:r w:rsidRPr="00282AC9">
        <w:rPr>
          <w:rStyle w:val="af9"/>
          <w:rFonts w:ascii="Times New Roman" w:hAnsi="Times New Roman"/>
          <w:sz w:val="27"/>
          <w:rtl/>
        </w:rPr>
        <w:endnoteReference w:id="758"/>
      </w:r>
      <w:r w:rsidRPr="00282AC9">
        <w:rPr>
          <w:rFonts w:ascii="Times New Roman" w:hAnsi="Times New Roman"/>
          <w:sz w:val="27"/>
          <w:vertAlign w:val="superscript"/>
          <w:rtl/>
        </w:rPr>
        <w:t>)</w:t>
      </w:r>
      <w:r w:rsidRPr="00282AC9">
        <w:rPr>
          <w:rFonts w:ascii="Times New Roman" w:hAnsi="Times New Roman"/>
          <w:sz w:val="27"/>
          <w:rtl/>
        </w:rPr>
        <w:t>.</w:t>
      </w:r>
    </w:p>
    <w:p w:rsidR="00573AAD" w:rsidRPr="00282AC9" w:rsidRDefault="00573AAD" w:rsidP="00A20690">
      <w:pPr>
        <w:rPr>
          <w:rFonts w:ascii="Times New Roman" w:hAnsi="Times New Roman"/>
          <w:sz w:val="27"/>
          <w:rtl/>
        </w:rPr>
      </w:pPr>
      <w:r w:rsidRPr="00282AC9">
        <w:rPr>
          <w:rFonts w:ascii="Times New Roman" w:hAnsi="Times New Roman" w:hint="cs"/>
          <w:sz w:val="27"/>
          <w:rtl/>
        </w:rPr>
        <w:t>و</w:t>
      </w:r>
      <w:r w:rsidR="00D722E4" w:rsidRPr="00282AC9">
        <w:rPr>
          <w:rFonts w:ascii="Times New Roman" w:hAnsi="Times New Roman" w:hint="cs"/>
          <w:sz w:val="27"/>
          <w:rtl/>
        </w:rPr>
        <w:t>المبدأ</w:t>
      </w:r>
      <w:r w:rsidR="00D722E4" w:rsidRPr="00282AC9">
        <w:rPr>
          <w:rFonts w:ascii="Times New Roman" w:hAnsi="Times New Roman"/>
          <w:sz w:val="27"/>
          <w:rtl/>
        </w:rPr>
        <w:t xml:space="preserve"> في هذا الاشتغال أن اللفظ قبل الاستعمال لا </w:t>
      </w:r>
      <w:r w:rsidRPr="00282AC9">
        <w:rPr>
          <w:rFonts w:ascii="Times New Roman" w:hAnsi="Times New Roman" w:hint="cs"/>
          <w:sz w:val="27"/>
          <w:rtl/>
        </w:rPr>
        <w:t>ي</w:t>
      </w:r>
      <w:r w:rsidR="00D722E4" w:rsidRPr="00282AC9">
        <w:rPr>
          <w:rFonts w:ascii="Times New Roman" w:hAnsi="Times New Roman"/>
          <w:sz w:val="27"/>
          <w:rtl/>
        </w:rPr>
        <w:t>كتسب أي</w:t>
      </w:r>
      <w:r w:rsidRPr="00282AC9">
        <w:rPr>
          <w:rFonts w:ascii="Times New Roman" w:hAnsi="Times New Roman" w:hint="cs"/>
          <w:sz w:val="27"/>
          <w:rtl/>
        </w:rPr>
        <w:t>ّ</w:t>
      </w:r>
      <w:r w:rsidR="00D722E4" w:rsidRPr="00282AC9">
        <w:rPr>
          <w:rFonts w:ascii="Times New Roman" w:hAnsi="Times New Roman"/>
          <w:sz w:val="27"/>
          <w:rtl/>
        </w:rPr>
        <w:t xml:space="preserve"> معنى</w:t>
      </w:r>
      <w:r w:rsidRPr="00282AC9">
        <w:rPr>
          <w:rFonts w:ascii="Times New Roman" w:hAnsi="Times New Roman" w:hint="cs"/>
          <w:sz w:val="27"/>
          <w:rtl/>
        </w:rPr>
        <w:t>ً</w:t>
      </w:r>
      <w:r w:rsidR="00D722E4" w:rsidRPr="00282AC9">
        <w:rPr>
          <w:rFonts w:ascii="Times New Roman" w:hAnsi="Times New Roman"/>
          <w:sz w:val="27"/>
          <w:rtl/>
        </w:rPr>
        <w:t>، وإنما معناه الحقيقي</w:t>
      </w:r>
      <w:r w:rsidRPr="00282AC9">
        <w:rPr>
          <w:rFonts w:ascii="Times New Roman" w:hAnsi="Times New Roman" w:hint="cs"/>
          <w:sz w:val="27"/>
          <w:rtl/>
        </w:rPr>
        <w:t>ّ</w:t>
      </w:r>
      <w:r w:rsidR="00D722E4" w:rsidRPr="00282AC9">
        <w:rPr>
          <w:rFonts w:ascii="Times New Roman" w:hAnsi="Times New Roman"/>
          <w:sz w:val="27"/>
          <w:rtl/>
        </w:rPr>
        <w:t xml:space="preserve"> يتحد</w:t>
      </w:r>
      <w:r w:rsidRPr="00282AC9">
        <w:rPr>
          <w:rFonts w:ascii="Times New Roman" w:hAnsi="Times New Roman" w:hint="cs"/>
          <w:sz w:val="27"/>
          <w:rtl/>
        </w:rPr>
        <w:t>ّ</w:t>
      </w:r>
      <w:r w:rsidR="00D722E4" w:rsidRPr="00282AC9">
        <w:rPr>
          <w:rFonts w:ascii="Times New Roman" w:hAnsi="Times New Roman"/>
          <w:sz w:val="27"/>
          <w:rtl/>
        </w:rPr>
        <w:t>د في استعماله</w:t>
      </w:r>
      <w:r w:rsidRPr="00282AC9">
        <w:rPr>
          <w:rFonts w:ascii="Times New Roman" w:hAnsi="Times New Roman" w:hint="cs"/>
          <w:sz w:val="27"/>
          <w:rtl/>
        </w:rPr>
        <w:t>،</w:t>
      </w:r>
      <w:r w:rsidR="00D722E4" w:rsidRPr="00282AC9">
        <w:rPr>
          <w:rFonts w:ascii="Times New Roman" w:hAnsi="Times New Roman"/>
          <w:sz w:val="27"/>
          <w:rtl/>
        </w:rPr>
        <w:t xml:space="preserve"> ت</w:t>
      </w:r>
      <w:r w:rsidRPr="00282AC9">
        <w:rPr>
          <w:rFonts w:ascii="Times New Roman" w:hAnsi="Times New Roman" w:hint="cs"/>
          <w:sz w:val="27"/>
          <w:rtl/>
        </w:rPr>
        <w:t>َ</w:t>
      </w:r>
      <w:r w:rsidR="00D722E4" w:rsidRPr="00282AC9">
        <w:rPr>
          <w:rFonts w:ascii="Times New Roman" w:hAnsi="Times New Roman"/>
          <w:sz w:val="27"/>
          <w:rtl/>
        </w:rPr>
        <w:t>ب</w:t>
      </w:r>
      <w:r w:rsidRPr="00282AC9">
        <w:rPr>
          <w:rFonts w:ascii="Times New Roman" w:hAnsi="Times New Roman" w:hint="cs"/>
          <w:sz w:val="27"/>
          <w:rtl/>
        </w:rPr>
        <w:t>َ</w:t>
      </w:r>
      <w:r w:rsidR="00D722E4" w:rsidRPr="00282AC9">
        <w:rPr>
          <w:rFonts w:ascii="Times New Roman" w:hAnsi="Times New Roman"/>
          <w:sz w:val="27"/>
          <w:rtl/>
        </w:rPr>
        <w:t>ع</w:t>
      </w:r>
      <w:r w:rsidR="00D722E4" w:rsidRPr="00282AC9">
        <w:rPr>
          <w:rFonts w:ascii="Times New Roman" w:hAnsi="Times New Roman" w:hint="cs"/>
          <w:sz w:val="27"/>
          <w:rtl/>
        </w:rPr>
        <w:t>اً</w:t>
      </w:r>
      <w:r w:rsidR="00D722E4" w:rsidRPr="00282AC9">
        <w:rPr>
          <w:rFonts w:ascii="Times New Roman" w:hAnsi="Times New Roman"/>
          <w:sz w:val="27"/>
          <w:rtl/>
        </w:rPr>
        <w:t xml:space="preserve"> للسياق ال</w:t>
      </w:r>
      <w:r w:rsidRPr="00282AC9">
        <w:rPr>
          <w:rFonts w:ascii="Times New Roman" w:hAnsi="Times New Roman" w:hint="cs"/>
          <w:sz w:val="27"/>
          <w:rtl/>
        </w:rPr>
        <w:t>ذ</w:t>
      </w:r>
      <w:r w:rsidR="00D722E4" w:rsidRPr="00282AC9">
        <w:rPr>
          <w:rFonts w:ascii="Times New Roman" w:hAnsi="Times New Roman"/>
          <w:sz w:val="27"/>
          <w:rtl/>
        </w:rPr>
        <w:t xml:space="preserve">ي </w:t>
      </w:r>
      <w:r w:rsidRPr="00282AC9">
        <w:rPr>
          <w:rFonts w:ascii="Times New Roman" w:hAnsi="Times New Roman" w:hint="cs"/>
          <w:sz w:val="27"/>
          <w:rtl/>
        </w:rPr>
        <w:t>يَ</w:t>
      </w:r>
      <w:r w:rsidR="00D722E4" w:rsidRPr="00282AC9">
        <w:rPr>
          <w:rFonts w:ascii="Times New Roman" w:hAnsi="Times New Roman"/>
          <w:sz w:val="27"/>
          <w:rtl/>
        </w:rPr>
        <w:t>ر</w:t>
      </w:r>
      <w:r w:rsidRPr="00282AC9">
        <w:rPr>
          <w:rFonts w:ascii="Times New Roman" w:hAnsi="Times New Roman" w:hint="cs"/>
          <w:sz w:val="27"/>
          <w:rtl/>
        </w:rPr>
        <w:t>ِ</w:t>
      </w:r>
      <w:r w:rsidR="00D722E4" w:rsidRPr="00282AC9">
        <w:rPr>
          <w:rFonts w:ascii="Times New Roman" w:hAnsi="Times New Roman"/>
          <w:sz w:val="27"/>
          <w:rtl/>
        </w:rPr>
        <w:t>د</w:t>
      </w:r>
      <w:r w:rsidRPr="00282AC9">
        <w:rPr>
          <w:rFonts w:ascii="Times New Roman" w:hAnsi="Times New Roman" w:hint="cs"/>
          <w:sz w:val="27"/>
          <w:rtl/>
        </w:rPr>
        <w:t>ُ</w:t>
      </w:r>
      <w:r w:rsidR="00D722E4" w:rsidRPr="00282AC9">
        <w:rPr>
          <w:rFonts w:ascii="Times New Roman" w:hAnsi="Times New Roman"/>
          <w:sz w:val="27"/>
          <w:rtl/>
        </w:rPr>
        <w:t xml:space="preserve"> فيه</w:t>
      </w:r>
      <w:r w:rsidR="00D722E4" w:rsidRPr="00282AC9">
        <w:rPr>
          <w:rFonts w:ascii="Times New Roman" w:hAnsi="Times New Roman" w:hint="cs"/>
          <w:sz w:val="27"/>
          <w:rtl/>
        </w:rPr>
        <w:t>، م</w:t>
      </w:r>
      <w:r w:rsidR="00D722E4" w:rsidRPr="00282AC9">
        <w:rPr>
          <w:rFonts w:ascii="Times New Roman" w:hAnsi="Times New Roman"/>
          <w:sz w:val="27"/>
          <w:rtl/>
        </w:rPr>
        <w:t>م</w:t>
      </w:r>
      <w:r w:rsidRPr="00282AC9">
        <w:rPr>
          <w:rFonts w:ascii="Times New Roman" w:hAnsi="Times New Roman" w:hint="cs"/>
          <w:sz w:val="27"/>
          <w:rtl/>
        </w:rPr>
        <w:t>ّ</w:t>
      </w:r>
      <w:r w:rsidR="00D722E4" w:rsidRPr="00282AC9">
        <w:rPr>
          <w:rFonts w:ascii="Times New Roman" w:hAnsi="Times New Roman"/>
          <w:sz w:val="27"/>
          <w:rtl/>
        </w:rPr>
        <w:t>ا يد</w:t>
      </w:r>
      <w:r w:rsidR="00D722E4" w:rsidRPr="00282AC9">
        <w:rPr>
          <w:rFonts w:ascii="Times New Roman" w:hAnsi="Times New Roman" w:hint="cs"/>
          <w:sz w:val="27"/>
          <w:rtl/>
        </w:rPr>
        <w:t>ل</w:t>
      </w:r>
      <w:r w:rsidRPr="00282AC9">
        <w:rPr>
          <w:rFonts w:ascii="Times New Roman" w:hAnsi="Times New Roman" w:hint="cs"/>
          <w:sz w:val="27"/>
          <w:rtl/>
        </w:rPr>
        <w:t>ِّ</w:t>
      </w:r>
      <w:r w:rsidR="00D722E4" w:rsidRPr="00282AC9">
        <w:rPr>
          <w:rFonts w:ascii="Times New Roman" w:hAnsi="Times New Roman"/>
          <w:sz w:val="27"/>
          <w:rtl/>
        </w:rPr>
        <w:t>ل ويعني أن السياق هو الناظم الذي يعطي للكلمة دلالتها الحقيق</w:t>
      </w:r>
      <w:r w:rsidRPr="00282AC9">
        <w:rPr>
          <w:rFonts w:ascii="Times New Roman" w:hAnsi="Times New Roman" w:hint="cs"/>
          <w:sz w:val="27"/>
          <w:rtl/>
        </w:rPr>
        <w:t>ي</w:t>
      </w:r>
      <w:r w:rsidR="00D722E4" w:rsidRPr="00282AC9">
        <w:rPr>
          <w:rFonts w:ascii="Times New Roman" w:hAnsi="Times New Roman"/>
          <w:sz w:val="27"/>
          <w:rtl/>
        </w:rPr>
        <w:t>ة في التركيب</w:t>
      </w:r>
      <w:r w:rsidRPr="00282AC9">
        <w:rPr>
          <w:rFonts w:ascii="Times New Roman" w:hAnsi="Times New Roman" w:hint="cs"/>
          <w:sz w:val="27"/>
          <w:rtl/>
        </w:rPr>
        <w:t>.</w:t>
      </w:r>
    </w:p>
    <w:p w:rsidR="00D722E4" w:rsidRPr="00282AC9" w:rsidRDefault="00D722E4" w:rsidP="00C61F1E">
      <w:pPr>
        <w:rPr>
          <w:rFonts w:ascii="Times New Roman" w:hAnsi="Times New Roman"/>
          <w:sz w:val="27"/>
          <w:rtl/>
        </w:rPr>
      </w:pPr>
      <w:r w:rsidRPr="00282AC9">
        <w:rPr>
          <w:rFonts w:ascii="Times New Roman" w:hAnsi="Times New Roman"/>
          <w:sz w:val="27"/>
          <w:rtl/>
        </w:rPr>
        <w:t>والسياق يتفر</w:t>
      </w:r>
      <w:r w:rsidR="00573AAD" w:rsidRPr="00282AC9">
        <w:rPr>
          <w:rFonts w:ascii="Times New Roman" w:hAnsi="Times New Roman" w:hint="cs"/>
          <w:sz w:val="27"/>
          <w:rtl/>
        </w:rPr>
        <w:t>َّ</w:t>
      </w:r>
      <w:r w:rsidRPr="00282AC9">
        <w:rPr>
          <w:rFonts w:ascii="Times New Roman" w:hAnsi="Times New Roman"/>
          <w:sz w:val="27"/>
          <w:rtl/>
        </w:rPr>
        <w:t>ع إلى عد</w:t>
      </w:r>
      <w:r w:rsidR="00573AAD" w:rsidRPr="00282AC9">
        <w:rPr>
          <w:rFonts w:ascii="Times New Roman" w:hAnsi="Times New Roman" w:hint="cs"/>
          <w:sz w:val="27"/>
          <w:rtl/>
        </w:rPr>
        <w:t>ّ</w:t>
      </w:r>
      <w:r w:rsidRPr="00282AC9">
        <w:rPr>
          <w:rFonts w:ascii="Times New Roman" w:hAnsi="Times New Roman"/>
          <w:sz w:val="27"/>
          <w:rtl/>
        </w:rPr>
        <w:t>ة أنواع</w:t>
      </w:r>
      <w:r w:rsidR="00573AAD" w:rsidRPr="00282AC9">
        <w:rPr>
          <w:rFonts w:ascii="Times New Roman" w:hAnsi="Times New Roman" w:hint="cs"/>
          <w:sz w:val="27"/>
          <w:rtl/>
        </w:rPr>
        <w:t>،</w:t>
      </w:r>
      <w:r w:rsidRPr="00282AC9">
        <w:rPr>
          <w:rFonts w:ascii="Times New Roman" w:hAnsi="Times New Roman"/>
          <w:sz w:val="27"/>
          <w:rtl/>
        </w:rPr>
        <w:t xml:space="preserve"> منها:</w:t>
      </w:r>
      <w:r w:rsidRPr="00282AC9">
        <w:rPr>
          <w:rFonts w:ascii="Times New Roman" w:hAnsi="Times New Roman" w:hint="cs"/>
          <w:sz w:val="27"/>
          <w:rtl/>
        </w:rPr>
        <w:t xml:space="preserve"> </w:t>
      </w:r>
      <w:r w:rsidRPr="00282AC9">
        <w:rPr>
          <w:rFonts w:ascii="Times New Roman" w:hAnsi="Times New Roman"/>
          <w:sz w:val="27"/>
          <w:rtl/>
        </w:rPr>
        <w:t>السياق اللغوي والمقالي</w:t>
      </w:r>
      <w:r w:rsidR="00573AAD" w:rsidRPr="00282AC9">
        <w:rPr>
          <w:rFonts w:ascii="Times New Roman" w:hAnsi="Times New Roman" w:hint="cs"/>
          <w:sz w:val="27"/>
          <w:rtl/>
        </w:rPr>
        <w:t>؛</w:t>
      </w:r>
      <w:r w:rsidRPr="00282AC9">
        <w:rPr>
          <w:rFonts w:ascii="Times New Roman" w:hAnsi="Times New Roman"/>
          <w:sz w:val="27"/>
          <w:rtl/>
        </w:rPr>
        <w:t xml:space="preserve"> والسياق غير اللغوي</w:t>
      </w:r>
      <w:r w:rsidR="00573AAD" w:rsidRPr="00282AC9">
        <w:rPr>
          <w:rFonts w:ascii="Times New Roman" w:hAnsi="Times New Roman" w:hint="cs"/>
          <w:sz w:val="27"/>
          <w:rtl/>
        </w:rPr>
        <w:t>،</w:t>
      </w:r>
      <w:r w:rsidR="00772794">
        <w:rPr>
          <w:rFonts w:ascii="Times New Roman" w:hAnsi="Times New Roman"/>
          <w:sz w:val="27"/>
          <w:rtl/>
        </w:rPr>
        <w:t xml:space="preserve"> وهو المقا</w:t>
      </w:r>
      <w:r w:rsidR="00772794">
        <w:rPr>
          <w:rFonts w:ascii="Times New Roman" w:hAnsi="Times New Roman" w:hint="cs"/>
          <w:sz w:val="27"/>
          <w:rtl/>
        </w:rPr>
        <w:t>مي</w:t>
      </w:r>
      <w:r w:rsidR="00C61F1E" w:rsidRPr="00507963">
        <w:rPr>
          <w:rFonts w:hint="cs"/>
          <w:sz w:val="27"/>
          <w:vertAlign w:val="superscript"/>
          <w:rtl/>
          <w:lang w:bidi="ar-LB"/>
        </w:rPr>
        <w:t>(</w:t>
      </w:r>
      <w:r w:rsidR="00C61F1E" w:rsidRPr="00507963">
        <w:rPr>
          <w:rStyle w:val="af9"/>
          <w:sz w:val="27"/>
          <w:rtl/>
          <w:lang w:bidi="ar-LB"/>
        </w:rPr>
        <w:endnoteReference w:id="759"/>
      </w:r>
      <w:r w:rsidR="00C61F1E" w:rsidRPr="00507963">
        <w:rPr>
          <w:rFonts w:hint="cs"/>
          <w:sz w:val="27"/>
          <w:vertAlign w:val="superscript"/>
          <w:rtl/>
          <w:lang w:bidi="ar-LB"/>
        </w:rPr>
        <w:t>)</w:t>
      </w:r>
      <w:r w:rsidR="00772794">
        <w:rPr>
          <w:rFonts w:ascii="Times New Roman" w:hAnsi="Times New Roman" w:hint="cs"/>
          <w:sz w:val="27"/>
          <w:rtl/>
        </w:rPr>
        <w:t xml:space="preserve">. </w:t>
      </w:r>
      <w:r w:rsidRPr="00282AC9">
        <w:rPr>
          <w:rFonts w:ascii="Times New Roman" w:hAnsi="Times New Roman"/>
          <w:sz w:val="27"/>
          <w:rtl/>
        </w:rPr>
        <w:t>فهو أداة</w:t>
      </w:r>
      <w:r w:rsidR="00573AAD" w:rsidRPr="00282AC9">
        <w:rPr>
          <w:rFonts w:ascii="Times New Roman" w:hAnsi="Times New Roman" w:hint="cs"/>
          <w:sz w:val="27"/>
          <w:rtl/>
        </w:rPr>
        <w:t>ٌ</w:t>
      </w:r>
      <w:r w:rsidRPr="00282AC9">
        <w:rPr>
          <w:rFonts w:ascii="Times New Roman" w:hAnsi="Times New Roman"/>
          <w:sz w:val="27"/>
          <w:rtl/>
        </w:rPr>
        <w:t xml:space="preserve"> إجرائية لتحديد المعنى في النص</w:t>
      </w:r>
      <w:r w:rsidR="00573AAD" w:rsidRPr="00282AC9">
        <w:rPr>
          <w:rFonts w:ascii="Times New Roman" w:hAnsi="Times New Roman" w:hint="cs"/>
          <w:sz w:val="27"/>
          <w:rtl/>
        </w:rPr>
        <w:t>ّ.</w:t>
      </w:r>
      <w:r w:rsidRPr="00282AC9">
        <w:rPr>
          <w:rFonts w:ascii="Times New Roman" w:hAnsi="Times New Roman"/>
          <w:sz w:val="27"/>
          <w:rtl/>
        </w:rPr>
        <w:t xml:space="preserve"> وإعمال</w:t>
      </w:r>
      <w:r w:rsidR="00573AAD" w:rsidRPr="00282AC9">
        <w:rPr>
          <w:rFonts w:ascii="Times New Roman" w:hAnsi="Times New Roman" w:hint="cs"/>
          <w:sz w:val="27"/>
          <w:rtl/>
        </w:rPr>
        <w:t>ُ</w:t>
      </w:r>
      <w:r w:rsidRPr="00282AC9">
        <w:rPr>
          <w:rFonts w:ascii="Times New Roman" w:hAnsi="Times New Roman"/>
          <w:sz w:val="27"/>
          <w:rtl/>
        </w:rPr>
        <w:t>ه يساعد وي</w:t>
      </w:r>
      <w:r w:rsidR="00573AAD" w:rsidRPr="00282AC9">
        <w:rPr>
          <w:rFonts w:ascii="Times New Roman" w:hAnsi="Times New Roman" w:hint="cs"/>
          <w:sz w:val="27"/>
          <w:rtl/>
        </w:rPr>
        <w:t>ُ</w:t>
      </w:r>
      <w:r w:rsidRPr="00282AC9">
        <w:rPr>
          <w:rFonts w:ascii="Times New Roman" w:hAnsi="Times New Roman"/>
          <w:sz w:val="27"/>
          <w:rtl/>
        </w:rPr>
        <w:t>عين على حسن الف</w:t>
      </w:r>
      <w:r w:rsidR="00573AAD" w:rsidRPr="00282AC9">
        <w:rPr>
          <w:rFonts w:ascii="Times New Roman" w:hAnsi="Times New Roman" w:hint="cs"/>
          <w:sz w:val="27"/>
          <w:rtl/>
        </w:rPr>
        <w:t>َ</w:t>
      </w:r>
      <w:r w:rsidRPr="00282AC9">
        <w:rPr>
          <w:rFonts w:ascii="Times New Roman" w:hAnsi="Times New Roman"/>
          <w:sz w:val="27"/>
          <w:rtl/>
        </w:rPr>
        <w:t>ه</w:t>
      </w:r>
      <w:r w:rsidR="00573AAD" w:rsidRPr="00282AC9">
        <w:rPr>
          <w:rFonts w:ascii="Times New Roman" w:hAnsi="Times New Roman" w:hint="cs"/>
          <w:sz w:val="27"/>
          <w:rtl/>
        </w:rPr>
        <w:t>ْ</w:t>
      </w:r>
      <w:r w:rsidRPr="00282AC9">
        <w:rPr>
          <w:rFonts w:ascii="Times New Roman" w:hAnsi="Times New Roman"/>
          <w:sz w:val="27"/>
          <w:rtl/>
        </w:rPr>
        <w:t>م والتلق</w:t>
      </w:r>
      <w:r w:rsidR="00573AAD" w:rsidRPr="00282AC9">
        <w:rPr>
          <w:rFonts w:ascii="Times New Roman" w:hAnsi="Times New Roman" w:hint="cs"/>
          <w:sz w:val="27"/>
          <w:rtl/>
        </w:rPr>
        <w:t>ّ</w:t>
      </w:r>
      <w:r w:rsidRPr="00282AC9">
        <w:rPr>
          <w:rFonts w:ascii="Times New Roman" w:hAnsi="Times New Roman"/>
          <w:sz w:val="27"/>
          <w:rtl/>
        </w:rPr>
        <w:t>ي</w:t>
      </w:r>
      <w:r w:rsidR="00573AAD" w:rsidRPr="00282AC9">
        <w:rPr>
          <w:rFonts w:ascii="Times New Roman" w:hAnsi="Times New Roman" w:hint="cs"/>
          <w:sz w:val="27"/>
          <w:rtl/>
        </w:rPr>
        <w:t>.</w:t>
      </w:r>
      <w:r w:rsidRPr="00282AC9">
        <w:rPr>
          <w:rFonts w:ascii="Times New Roman" w:hAnsi="Times New Roman" w:hint="cs"/>
          <w:sz w:val="27"/>
          <w:rtl/>
        </w:rPr>
        <w:t xml:space="preserve"> </w:t>
      </w:r>
      <w:r w:rsidR="00112558" w:rsidRPr="00282AC9">
        <w:rPr>
          <w:rFonts w:ascii="Times New Roman" w:hAnsi="Times New Roman" w:hint="cs"/>
          <w:sz w:val="27"/>
          <w:rtl/>
        </w:rPr>
        <w:t>وي</w:t>
      </w:r>
      <w:r w:rsidRPr="00282AC9">
        <w:rPr>
          <w:rFonts w:ascii="Times New Roman" w:hAnsi="Times New Roman"/>
          <w:sz w:val="27"/>
          <w:rtl/>
        </w:rPr>
        <w:t>ؤك</w:t>
      </w:r>
      <w:r w:rsidR="00112558" w:rsidRPr="00282AC9">
        <w:rPr>
          <w:rFonts w:ascii="Times New Roman" w:hAnsi="Times New Roman" w:hint="cs"/>
          <w:sz w:val="27"/>
          <w:rtl/>
        </w:rPr>
        <w:t>ِّ</w:t>
      </w:r>
      <w:r w:rsidRPr="00282AC9">
        <w:rPr>
          <w:rFonts w:ascii="Times New Roman" w:hAnsi="Times New Roman"/>
          <w:sz w:val="27"/>
          <w:rtl/>
        </w:rPr>
        <w:t>ده أن</w:t>
      </w:r>
      <w:r w:rsidR="00112558" w:rsidRPr="00282AC9">
        <w:rPr>
          <w:rFonts w:ascii="Times New Roman" w:hAnsi="Times New Roman" w:hint="cs"/>
          <w:sz w:val="27"/>
          <w:rtl/>
        </w:rPr>
        <w:t>ّ</w:t>
      </w:r>
      <w:r w:rsidRPr="00282AC9">
        <w:rPr>
          <w:rFonts w:ascii="Times New Roman" w:hAnsi="Times New Roman"/>
          <w:sz w:val="27"/>
          <w:rtl/>
        </w:rPr>
        <w:t xml:space="preserve"> الجهل بالسياق</w:t>
      </w:r>
      <w:r w:rsidR="00112558" w:rsidRPr="00282AC9">
        <w:rPr>
          <w:rFonts w:ascii="Times New Roman" w:hAnsi="Times New Roman" w:hint="cs"/>
          <w:sz w:val="27"/>
          <w:rtl/>
        </w:rPr>
        <w:t>،</w:t>
      </w:r>
      <w:r w:rsidRPr="00282AC9">
        <w:rPr>
          <w:rFonts w:ascii="Times New Roman" w:hAnsi="Times New Roman"/>
          <w:sz w:val="27"/>
          <w:rtl/>
        </w:rPr>
        <w:t xml:space="preserve"> وعدم إعماله أو استحضاره</w:t>
      </w:r>
      <w:r w:rsidR="00112558" w:rsidRPr="00282AC9">
        <w:rPr>
          <w:rFonts w:ascii="Times New Roman" w:hAnsi="Times New Roman" w:hint="cs"/>
          <w:sz w:val="27"/>
          <w:rtl/>
        </w:rPr>
        <w:t>،</w:t>
      </w:r>
      <w:r w:rsidRPr="00282AC9">
        <w:rPr>
          <w:rFonts w:ascii="Times New Roman" w:hAnsi="Times New Roman"/>
          <w:sz w:val="27"/>
          <w:rtl/>
        </w:rPr>
        <w:t xml:space="preserve"> ي</w:t>
      </w:r>
      <w:r w:rsidR="00112558" w:rsidRPr="00282AC9">
        <w:rPr>
          <w:rFonts w:ascii="Times New Roman" w:hAnsi="Times New Roman" w:hint="cs"/>
          <w:sz w:val="27"/>
          <w:rtl/>
        </w:rPr>
        <w:t>ُ</w:t>
      </w:r>
      <w:r w:rsidRPr="00282AC9">
        <w:rPr>
          <w:rFonts w:ascii="Times New Roman" w:hAnsi="Times New Roman"/>
          <w:sz w:val="27"/>
          <w:rtl/>
        </w:rPr>
        <w:t>ع</w:t>
      </w:r>
      <w:r w:rsidR="00112558" w:rsidRPr="00282AC9">
        <w:rPr>
          <w:rFonts w:ascii="Times New Roman" w:hAnsi="Times New Roman" w:hint="cs"/>
          <w:sz w:val="27"/>
          <w:rtl/>
        </w:rPr>
        <w:t>َ</w:t>
      </w:r>
      <w:r w:rsidRPr="00282AC9">
        <w:rPr>
          <w:rFonts w:ascii="Times New Roman" w:hAnsi="Times New Roman"/>
          <w:sz w:val="27"/>
          <w:rtl/>
        </w:rPr>
        <w:t>د</w:t>
      </w:r>
      <w:r w:rsidR="00112558" w:rsidRPr="00282AC9">
        <w:rPr>
          <w:rFonts w:ascii="Times New Roman" w:hAnsi="Times New Roman" w:hint="cs"/>
          <w:sz w:val="27"/>
          <w:rtl/>
        </w:rPr>
        <w:t>ّ</w:t>
      </w:r>
      <w:r w:rsidRPr="00282AC9">
        <w:rPr>
          <w:rFonts w:ascii="Times New Roman" w:hAnsi="Times New Roman"/>
          <w:sz w:val="27"/>
          <w:rtl/>
        </w:rPr>
        <w:t xml:space="preserve"> ض</w:t>
      </w:r>
      <w:r w:rsidR="00112558" w:rsidRPr="00282AC9">
        <w:rPr>
          <w:rFonts w:ascii="Times New Roman" w:hAnsi="Times New Roman" w:hint="cs"/>
          <w:sz w:val="27"/>
          <w:rtl/>
        </w:rPr>
        <w:t>َ</w:t>
      </w:r>
      <w:r w:rsidRPr="00282AC9">
        <w:rPr>
          <w:rFonts w:ascii="Times New Roman" w:hAnsi="Times New Roman"/>
          <w:sz w:val="27"/>
          <w:rtl/>
        </w:rPr>
        <w:t>ر</w:t>
      </w:r>
      <w:r w:rsidR="00112558" w:rsidRPr="00282AC9">
        <w:rPr>
          <w:rFonts w:ascii="Times New Roman" w:hAnsi="Times New Roman" w:hint="cs"/>
          <w:sz w:val="27"/>
          <w:rtl/>
        </w:rPr>
        <w:t>ْ</w:t>
      </w:r>
      <w:r w:rsidRPr="00282AC9">
        <w:rPr>
          <w:rFonts w:ascii="Times New Roman" w:hAnsi="Times New Roman"/>
          <w:sz w:val="27"/>
          <w:rtl/>
        </w:rPr>
        <w:t>ب</w:t>
      </w:r>
      <w:r w:rsidRPr="00282AC9">
        <w:rPr>
          <w:rFonts w:ascii="Times New Roman" w:hAnsi="Times New Roman" w:hint="cs"/>
          <w:sz w:val="27"/>
          <w:rtl/>
        </w:rPr>
        <w:t>اً</w:t>
      </w:r>
      <w:r w:rsidRPr="00282AC9">
        <w:rPr>
          <w:rFonts w:ascii="Times New Roman" w:hAnsi="Times New Roman"/>
          <w:sz w:val="27"/>
          <w:rtl/>
        </w:rPr>
        <w:t xml:space="preserve"> من تحريف المعنى</w:t>
      </w:r>
      <w:r w:rsidR="00112558" w:rsidRPr="00282AC9">
        <w:rPr>
          <w:rFonts w:ascii="Times New Roman" w:hAnsi="Times New Roman" w:hint="cs"/>
          <w:sz w:val="27"/>
          <w:rtl/>
        </w:rPr>
        <w:t>،</w:t>
      </w:r>
      <w:r w:rsidRPr="00282AC9">
        <w:rPr>
          <w:rFonts w:ascii="Times New Roman" w:hAnsi="Times New Roman"/>
          <w:sz w:val="27"/>
          <w:rtl/>
        </w:rPr>
        <w:t xml:space="preserve"> وإبعاده عن أصله</w:t>
      </w:r>
      <w:r w:rsidR="00112558" w:rsidRPr="00282AC9">
        <w:rPr>
          <w:rFonts w:ascii="Times New Roman" w:hAnsi="Times New Roman" w:hint="cs"/>
          <w:sz w:val="27"/>
          <w:rtl/>
        </w:rPr>
        <w:t>،</w:t>
      </w:r>
      <w:r w:rsidRPr="00282AC9">
        <w:rPr>
          <w:rFonts w:ascii="Times New Roman" w:hAnsi="Times New Roman"/>
          <w:sz w:val="27"/>
          <w:rtl/>
        </w:rPr>
        <w:t xml:space="preserve"> وعن قصده</w:t>
      </w:r>
      <w:r w:rsidR="00112558" w:rsidRPr="00282AC9">
        <w:rPr>
          <w:rFonts w:ascii="Times New Roman" w:hAnsi="Times New Roman" w:hint="cs"/>
          <w:sz w:val="27"/>
          <w:rtl/>
        </w:rPr>
        <w:t>؛</w:t>
      </w:r>
      <w:r w:rsidRPr="00282AC9">
        <w:rPr>
          <w:rFonts w:ascii="Times New Roman" w:hAnsi="Times New Roman"/>
          <w:sz w:val="27"/>
          <w:rtl/>
        </w:rPr>
        <w:t xml:space="preserve"> إذ حضور القصد في التخاطب ضروري</w:t>
      </w:r>
      <w:r w:rsidR="00112558" w:rsidRPr="00282AC9">
        <w:rPr>
          <w:rFonts w:ascii="Times New Roman" w:hAnsi="Times New Roman" w:hint="cs"/>
          <w:sz w:val="27"/>
          <w:rtl/>
        </w:rPr>
        <w:t>ٌّ</w:t>
      </w:r>
      <w:r w:rsidRPr="00282AC9">
        <w:rPr>
          <w:rFonts w:ascii="Times New Roman" w:hAnsi="Times New Roman"/>
          <w:sz w:val="27"/>
          <w:rtl/>
        </w:rPr>
        <w:t>، و</w:t>
      </w:r>
      <w:r w:rsidR="00112558" w:rsidRPr="00282AC9">
        <w:rPr>
          <w:rFonts w:ascii="Times New Roman" w:hAnsi="Times New Roman" w:hint="cs"/>
          <w:sz w:val="27"/>
          <w:rtl/>
        </w:rPr>
        <w:t>إ</w:t>
      </w:r>
      <w:r w:rsidRPr="00282AC9">
        <w:rPr>
          <w:rFonts w:ascii="Times New Roman" w:hAnsi="Times New Roman"/>
          <w:sz w:val="27"/>
          <w:rtl/>
        </w:rPr>
        <w:t>نه لا كلام إلا</w:t>
      </w:r>
      <w:r w:rsidR="00112558" w:rsidRPr="00282AC9">
        <w:rPr>
          <w:rFonts w:ascii="Times New Roman" w:hAnsi="Times New Roman" w:hint="cs"/>
          <w:sz w:val="27"/>
          <w:rtl/>
        </w:rPr>
        <w:t>ّ</w:t>
      </w:r>
      <w:r w:rsidRPr="00282AC9">
        <w:rPr>
          <w:rFonts w:ascii="Times New Roman" w:hAnsi="Times New Roman"/>
          <w:sz w:val="27"/>
          <w:rtl/>
        </w:rPr>
        <w:t xml:space="preserve"> بوجود القصد</w:t>
      </w:r>
      <w:r w:rsidR="00112558" w:rsidRPr="00282AC9">
        <w:rPr>
          <w:rFonts w:ascii="Times New Roman" w:hAnsi="Times New Roman" w:hint="cs"/>
          <w:sz w:val="27"/>
          <w:rtl/>
        </w:rPr>
        <w:t>.</w:t>
      </w:r>
      <w:r w:rsidRPr="00282AC9">
        <w:rPr>
          <w:rFonts w:ascii="Times New Roman" w:hAnsi="Times New Roman"/>
          <w:sz w:val="27"/>
          <w:rtl/>
        </w:rPr>
        <w:t xml:space="preserve"> ومن قواعد علماء </w:t>
      </w:r>
      <w:r w:rsidRPr="00282AC9">
        <w:rPr>
          <w:rFonts w:ascii="Times New Roman" w:hAnsi="Times New Roman"/>
          <w:sz w:val="27"/>
          <w:rtl/>
        </w:rPr>
        <w:lastRenderedPageBreak/>
        <w:t>الأصول: الأصل في الكلام الق</w:t>
      </w:r>
      <w:r w:rsidR="00112558" w:rsidRPr="00282AC9">
        <w:rPr>
          <w:rFonts w:ascii="Times New Roman" w:hAnsi="Times New Roman" w:hint="cs"/>
          <w:sz w:val="27"/>
          <w:rtl/>
        </w:rPr>
        <w:t>َ</w:t>
      </w:r>
      <w:r w:rsidRPr="00282AC9">
        <w:rPr>
          <w:rFonts w:ascii="Times New Roman" w:hAnsi="Times New Roman"/>
          <w:sz w:val="27"/>
          <w:rtl/>
        </w:rPr>
        <w:t>ص</w:t>
      </w:r>
      <w:r w:rsidR="00112558" w:rsidRPr="00282AC9">
        <w:rPr>
          <w:rFonts w:ascii="Times New Roman" w:hAnsi="Times New Roman" w:hint="cs"/>
          <w:sz w:val="27"/>
          <w:rtl/>
        </w:rPr>
        <w:t>ْ</w:t>
      </w:r>
      <w:r w:rsidRPr="00282AC9">
        <w:rPr>
          <w:rFonts w:ascii="Times New Roman" w:hAnsi="Times New Roman"/>
          <w:sz w:val="27"/>
          <w:rtl/>
        </w:rPr>
        <w:t>د</w:t>
      </w:r>
      <w:r w:rsidRPr="00282AC9">
        <w:rPr>
          <w:rFonts w:ascii="Times New Roman" w:hAnsi="Times New Roman"/>
          <w:sz w:val="27"/>
          <w:vertAlign w:val="superscript"/>
          <w:rtl/>
        </w:rPr>
        <w:t>(</w:t>
      </w:r>
      <w:r w:rsidRPr="00282AC9">
        <w:rPr>
          <w:rStyle w:val="af9"/>
          <w:rFonts w:ascii="Times New Roman" w:hAnsi="Times New Roman"/>
          <w:sz w:val="27"/>
          <w:rtl/>
        </w:rPr>
        <w:endnoteReference w:id="760"/>
      </w:r>
      <w:r w:rsidRPr="00282AC9">
        <w:rPr>
          <w:rFonts w:ascii="Times New Roman" w:hAnsi="Times New Roman"/>
          <w:sz w:val="27"/>
          <w:vertAlign w:val="superscript"/>
          <w:rtl/>
        </w:rPr>
        <w:t>)</w:t>
      </w:r>
      <w:r w:rsidRPr="00282AC9">
        <w:rPr>
          <w:rFonts w:ascii="Times New Roman" w:hAnsi="Times New Roman" w:hint="cs"/>
          <w:sz w:val="27"/>
          <w:rtl/>
        </w:rPr>
        <w:t>.</w:t>
      </w:r>
    </w:p>
    <w:p w:rsidR="00D722E4" w:rsidRPr="00282AC9" w:rsidRDefault="00D722E4" w:rsidP="00A20690">
      <w:pPr>
        <w:rPr>
          <w:rFonts w:ascii="Times New Roman" w:hAnsi="Times New Roman"/>
          <w:sz w:val="27"/>
          <w:rtl/>
        </w:rPr>
      </w:pPr>
      <w:r w:rsidRPr="00282AC9">
        <w:rPr>
          <w:rFonts w:ascii="Times New Roman" w:hAnsi="Times New Roman" w:hint="cs"/>
          <w:sz w:val="27"/>
          <w:rtl/>
        </w:rPr>
        <w:t>هذه الاعتبارات مؤش</w:t>
      </w:r>
      <w:r w:rsidR="00112558" w:rsidRPr="00282AC9">
        <w:rPr>
          <w:rFonts w:ascii="Times New Roman" w:hAnsi="Times New Roman" w:hint="cs"/>
          <w:sz w:val="27"/>
          <w:rtl/>
        </w:rPr>
        <w:t>ِّ</w:t>
      </w:r>
      <w:r w:rsidRPr="00282AC9">
        <w:rPr>
          <w:rFonts w:ascii="Times New Roman" w:hAnsi="Times New Roman" w:hint="cs"/>
          <w:sz w:val="27"/>
          <w:rtl/>
        </w:rPr>
        <w:t>ر</w:t>
      </w:r>
      <w:r w:rsidR="00112558" w:rsidRPr="00282AC9">
        <w:rPr>
          <w:rFonts w:ascii="Times New Roman" w:hAnsi="Times New Roman" w:hint="cs"/>
          <w:sz w:val="27"/>
          <w:rtl/>
        </w:rPr>
        <w:t>ٌ</w:t>
      </w:r>
      <w:r w:rsidRPr="00282AC9">
        <w:rPr>
          <w:rFonts w:ascii="Times New Roman" w:hAnsi="Times New Roman" w:hint="cs"/>
          <w:sz w:val="27"/>
          <w:rtl/>
        </w:rPr>
        <w:t xml:space="preserve"> على أن علم أصول الفقه يبقى من أهم</w:t>
      </w:r>
      <w:r w:rsidR="00112558" w:rsidRPr="00282AC9">
        <w:rPr>
          <w:rFonts w:ascii="Times New Roman" w:hAnsi="Times New Roman" w:hint="cs"/>
          <w:sz w:val="27"/>
          <w:rtl/>
        </w:rPr>
        <w:t>ّ</w:t>
      </w:r>
      <w:r w:rsidRPr="00282AC9">
        <w:rPr>
          <w:rFonts w:ascii="Times New Roman" w:hAnsi="Times New Roman" w:hint="cs"/>
          <w:sz w:val="27"/>
          <w:rtl/>
        </w:rPr>
        <w:t xml:space="preserve"> أدوات الفهم والاستمداد</w:t>
      </w:r>
      <w:r w:rsidR="00112558" w:rsidRPr="00282AC9">
        <w:rPr>
          <w:rFonts w:ascii="Times New Roman" w:hAnsi="Times New Roman" w:hint="cs"/>
          <w:sz w:val="27"/>
          <w:rtl/>
        </w:rPr>
        <w:t>.</w:t>
      </w:r>
      <w:r w:rsidRPr="00282AC9">
        <w:rPr>
          <w:rFonts w:ascii="Times New Roman" w:hAnsi="Times New Roman" w:hint="cs"/>
          <w:sz w:val="27"/>
          <w:rtl/>
        </w:rPr>
        <w:t xml:space="preserve"> وما أحوج المفس</w:t>
      </w:r>
      <w:r w:rsidR="00112558" w:rsidRPr="00282AC9">
        <w:rPr>
          <w:rFonts w:ascii="Times New Roman" w:hAnsi="Times New Roman" w:hint="cs"/>
          <w:sz w:val="27"/>
          <w:rtl/>
        </w:rPr>
        <w:t>ِّ</w:t>
      </w:r>
      <w:r w:rsidRPr="00282AC9">
        <w:rPr>
          <w:rFonts w:ascii="Times New Roman" w:hAnsi="Times New Roman" w:hint="cs"/>
          <w:sz w:val="27"/>
          <w:rtl/>
        </w:rPr>
        <w:t xml:space="preserve">ر </w:t>
      </w:r>
      <w:r w:rsidR="00112558" w:rsidRPr="00282AC9">
        <w:rPr>
          <w:rFonts w:ascii="Times New Roman" w:hAnsi="Times New Roman" w:hint="cs"/>
          <w:sz w:val="27"/>
          <w:rtl/>
        </w:rPr>
        <w:t>ل</w:t>
      </w:r>
      <w:r w:rsidRPr="00282AC9">
        <w:rPr>
          <w:rFonts w:ascii="Times New Roman" w:hAnsi="Times New Roman" w:hint="cs"/>
          <w:sz w:val="27"/>
          <w:rtl/>
        </w:rPr>
        <w:t>لاطلاع والانفتاح على قواعد هذا العلم الم</w:t>
      </w:r>
      <w:r w:rsidR="00112558" w:rsidRPr="00282AC9">
        <w:rPr>
          <w:rFonts w:ascii="Times New Roman" w:hAnsi="Times New Roman" w:hint="cs"/>
          <w:sz w:val="27"/>
          <w:rtl/>
        </w:rPr>
        <w:t>ُ</w:t>
      </w:r>
      <w:r w:rsidRPr="00282AC9">
        <w:rPr>
          <w:rFonts w:ascii="Times New Roman" w:hAnsi="Times New Roman" w:hint="cs"/>
          <w:sz w:val="27"/>
          <w:rtl/>
        </w:rPr>
        <w:t>ساع</w:t>
      </w:r>
      <w:r w:rsidR="00112558" w:rsidRPr="00282AC9">
        <w:rPr>
          <w:rFonts w:ascii="Times New Roman" w:hAnsi="Times New Roman" w:hint="cs"/>
          <w:sz w:val="27"/>
          <w:rtl/>
        </w:rPr>
        <w:t>ِ</w:t>
      </w:r>
      <w:r w:rsidRPr="00282AC9">
        <w:rPr>
          <w:rFonts w:ascii="Times New Roman" w:hAnsi="Times New Roman" w:hint="cs"/>
          <w:sz w:val="27"/>
          <w:rtl/>
        </w:rPr>
        <w:t>دة على الفهم والتلق</w:t>
      </w:r>
      <w:r w:rsidR="00112558" w:rsidRPr="00282AC9">
        <w:rPr>
          <w:rFonts w:ascii="Times New Roman" w:hAnsi="Times New Roman" w:hint="cs"/>
          <w:sz w:val="27"/>
          <w:rtl/>
        </w:rPr>
        <w:t>ّ</w:t>
      </w:r>
      <w:r w:rsidRPr="00282AC9">
        <w:rPr>
          <w:rFonts w:ascii="Times New Roman" w:hAnsi="Times New Roman" w:hint="cs"/>
          <w:sz w:val="27"/>
          <w:rtl/>
        </w:rPr>
        <w:t>ي لمعاني النصوص الشرعية</w:t>
      </w:r>
      <w:r w:rsidR="00112558" w:rsidRPr="00282AC9">
        <w:rPr>
          <w:rFonts w:ascii="Times New Roman" w:hAnsi="Times New Roman" w:hint="cs"/>
          <w:sz w:val="27"/>
          <w:rtl/>
        </w:rPr>
        <w:t>!</w:t>
      </w:r>
    </w:p>
    <w:p w:rsidR="00D722E4" w:rsidRPr="00282AC9" w:rsidRDefault="00D722E4" w:rsidP="00A20690">
      <w:pPr>
        <w:rPr>
          <w:rFonts w:ascii="Times New Roman" w:hAnsi="Times New Roman"/>
          <w:sz w:val="27"/>
          <w:rtl/>
        </w:rPr>
      </w:pPr>
      <w:r w:rsidRPr="00282AC9">
        <w:rPr>
          <w:rFonts w:ascii="Times New Roman" w:hAnsi="Times New Roman" w:hint="cs"/>
          <w:sz w:val="27"/>
          <w:rtl/>
        </w:rPr>
        <w:t xml:space="preserve"> </w:t>
      </w:r>
    </w:p>
    <w:p w:rsidR="00D722E4" w:rsidRPr="00282AC9" w:rsidRDefault="00D722E4" w:rsidP="00965E08">
      <w:pPr>
        <w:pStyle w:val="31"/>
        <w:rPr>
          <w:color w:val="auto"/>
          <w:rtl/>
          <w:lang w:bidi="ar-MA"/>
        </w:rPr>
      </w:pPr>
      <w:r w:rsidRPr="00282AC9">
        <w:rPr>
          <w:rFonts w:hint="cs"/>
          <w:color w:val="auto"/>
          <w:rtl/>
          <w:lang w:bidi="ar-MA"/>
        </w:rPr>
        <w:t>خاتمةٌ</w:t>
      </w:r>
    </w:p>
    <w:p w:rsidR="00D722E4" w:rsidRPr="00282AC9" w:rsidRDefault="00D722E4" w:rsidP="00A20690">
      <w:pPr>
        <w:rPr>
          <w:sz w:val="27"/>
          <w:rtl/>
          <w:lang w:bidi="ar-MA"/>
        </w:rPr>
      </w:pPr>
      <w:r w:rsidRPr="00282AC9">
        <w:rPr>
          <w:rFonts w:hint="cs"/>
          <w:sz w:val="27"/>
          <w:rtl/>
          <w:lang w:bidi="ar-MA"/>
        </w:rPr>
        <w:t>ما نستنتجه في هذا البحث أن علوم الفهم والتفسير والبيان تحظى بموقع</w:t>
      </w:r>
      <w:r w:rsidR="00112558" w:rsidRPr="00282AC9">
        <w:rPr>
          <w:rFonts w:hint="cs"/>
          <w:sz w:val="27"/>
          <w:rtl/>
          <w:lang w:bidi="ar-MA"/>
        </w:rPr>
        <w:t>ٍ</w:t>
      </w:r>
      <w:r w:rsidRPr="00282AC9">
        <w:rPr>
          <w:rFonts w:hint="cs"/>
          <w:sz w:val="27"/>
          <w:rtl/>
          <w:lang w:bidi="ar-MA"/>
        </w:rPr>
        <w:t xml:space="preserve"> متمي</w:t>
      </w:r>
      <w:r w:rsidR="00112558" w:rsidRPr="00282AC9">
        <w:rPr>
          <w:rFonts w:hint="cs"/>
          <w:sz w:val="27"/>
          <w:rtl/>
          <w:lang w:bidi="ar-MA"/>
        </w:rPr>
        <w:t>ِّ</w:t>
      </w:r>
      <w:r w:rsidRPr="00282AC9">
        <w:rPr>
          <w:rFonts w:hint="cs"/>
          <w:sz w:val="27"/>
          <w:rtl/>
          <w:lang w:bidi="ar-MA"/>
        </w:rPr>
        <w:t>ز</w:t>
      </w:r>
      <w:r w:rsidRPr="00282AC9">
        <w:rPr>
          <w:sz w:val="27"/>
          <w:rtl/>
          <w:lang w:bidi="ar-MA"/>
        </w:rPr>
        <w:t xml:space="preserve"> </w:t>
      </w:r>
      <w:r w:rsidRPr="00282AC9">
        <w:rPr>
          <w:rFonts w:hint="cs"/>
          <w:sz w:val="27"/>
          <w:rtl/>
          <w:lang w:bidi="ar-MA"/>
        </w:rPr>
        <w:t>ومكانة</w:t>
      </w:r>
      <w:r w:rsidR="00112558" w:rsidRPr="00282AC9">
        <w:rPr>
          <w:rFonts w:hint="cs"/>
          <w:sz w:val="27"/>
          <w:rtl/>
          <w:lang w:bidi="ar-MA"/>
        </w:rPr>
        <w:t>ٍ</w:t>
      </w:r>
      <w:r w:rsidRPr="00282AC9">
        <w:rPr>
          <w:rFonts w:hint="cs"/>
          <w:sz w:val="27"/>
          <w:rtl/>
          <w:lang w:bidi="ar-MA"/>
        </w:rPr>
        <w:t xml:space="preserve"> خاص</w:t>
      </w:r>
      <w:r w:rsidR="00112558" w:rsidRPr="00282AC9">
        <w:rPr>
          <w:rFonts w:hint="cs"/>
          <w:sz w:val="27"/>
          <w:rtl/>
          <w:lang w:bidi="ar-MA"/>
        </w:rPr>
        <w:t>ّ</w:t>
      </w:r>
      <w:r w:rsidRPr="00282AC9">
        <w:rPr>
          <w:rFonts w:hint="cs"/>
          <w:sz w:val="27"/>
          <w:rtl/>
          <w:lang w:bidi="ar-MA"/>
        </w:rPr>
        <w:t>ة</w:t>
      </w:r>
      <w:r w:rsidRPr="00282AC9">
        <w:rPr>
          <w:sz w:val="27"/>
          <w:rtl/>
          <w:lang w:bidi="ar-MA"/>
        </w:rPr>
        <w:t xml:space="preserve"> في التراث العربي</w:t>
      </w:r>
      <w:r w:rsidR="00112558" w:rsidRPr="00282AC9">
        <w:rPr>
          <w:rFonts w:hint="cs"/>
          <w:sz w:val="27"/>
          <w:rtl/>
          <w:lang w:bidi="ar-MA"/>
        </w:rPr>
        <w:t>ّ</w:t>
      </w:r>
      <w:r w:rsidRPr="00282AC9">
        <w:rPr>
          <w:sz w:val="27"/>
          <w:rtl/>
          <w:lang w:bidi="ar-MA"/>
        </w:rPr>
        <w:t xml:space="preserve"> الإسلامي</w:t>
      </w:r>
      <w:r w:rsidR="00112558" w:rsidRPr="00282AC9">
        <w:rPr>
          <w:rFonts w:hint="cs"/>
          <w:sz w:val="27"/>
          <w:rtl/>
          <w:lang w:bidi="ar-MA"/>
        </w:rPr>
        <w:t>.</w:t>
      </w:r>
      <w:r w:rsidRPr="00282AC9">
        <w:rPr>
          <w:rFonts w:hint="cs"/>
          <w:sz w:val="27"/>
          <w:rtl/>
          <w:lang w:bidi="ar-MA"/>
        </w:rPr>
        <w:t xml:space="preserve"> و</w:t>
      </w:r>
      <w:r w:rsidR="00112558" w:rsidRPr="00282AC9">
        <w:rPr>
          <w:rFonts w:hint="cs"/>
          <w:sz w:val="27"/>
          <w:rtl/>
          <w:lang w:bidi="ar-MA"/>
        </w:rPr>
        <w:t>إ</w:t>
      </w:r>
      <w:r w:rsidRPr="00282AC9">
        <w:rPr>
          <w:sz w:val="27"/>
          <w:rtl/>
          <w:lang w:bidi="ar-MA"/>
        </w:rPr>
        <w:t xml:space="preserve">ن </w:t>
      </w:r>
      <w:r w:rsidRPr="00282AC9">
        <w:rPr>
          <w:rFonts w:hint="cs"/>
          <w:sz w:val="27"/>
          <w:rtl/>
          <w:lang w:bidi="ar-MA"/>
        </w:rPr>
        <w:t xml:space="preserve">هذه </w:t>
      </w:r>
      <w:r w:rsidRPr="00282AC9">
        <w:rPr>
          <w:sz w:val="27"/>
          <w:rtl/>
          <w:lang w:bidi="ar-MA"/>
        </w:rPr>
        <w:t>العلوم</w:t>
      </w:r>
      <w:r w:rsidR="00112558" w:rsidRPr="00282AC9">
        <w:rPr>
          <w:rFonts w:hint="cs"/>
          <w:sz w:val="27"/>
          <w:rtl/>
          <w:lang w:bidi="ar-MA"/>
        </w:rPr>
        <w:t>،</w:t>
      </w:r>
      <w:r w:rsidRPr="00282AC9">
        <w:rPr>
          <w:sz w:val="27"/>
          <w:rtl/>
          <w:lang w:bidi="ar-MA"/>
        </w:rPr>
        <w:t xml:space="preserve"> </w:t>
      </w:r>
      <w:r w:rsidRPr="00282AC9">
        <w:rPr>
          <w:rFonts w:hint="cs"/>
          <w:sz w:val="27"/>
          <w:rtl/>
          <w:lang w:bidi="ar-MA"/>
        </w:rPr>
        <w:t xml:space="preserve">رغم </w:t>
      </w:r>
      <w:r w:rsidRPr="00282AC9">
        <w:rPr>
          <w:sz w:val="27"/>
          <w:rtl/>
          <w:lang w:bidi="ar-MA"/>
        </w:rPr>
        <w:t>اختلاف أنواعها</w:t>
      </w:r>
      <w:r w:rsidR="00112558" w:rsidRPr="00282AC9">
        <w:rPr>
          <w:rFonts w:hint="cs"/>
          <w:sz w:val="27"/>
          <w:rtl/>
          <w:lang w:bidi="ar-MA"/>
        </w:rPr>
        <w:t>،</w:t>
      </w:r>
      <w:r w:rsidRPr="00282AC9">
        <w:rPr>
          <w:sz w:val="27"/>
          <w:rtl/>
          <w:lang w:bidi="ar-MA"/>
        </w:rPr>
        <w:t xml:space="preserve"> وتعد</w:t>
      </w:r>
      <w:r w:rsidR="00112558" w:rsidRPr="00282AC9">
        <w:rPr>
          <w:rFonts w:hint="cs"/>
          <w:sz w:val="27"/>
          <w:rtl/>
          <w:lang w:bidi="ar-MA"/>
        </w:rPr>
        <w:t>ُّ</w:t>
      </w:r>
      <w:r w:rsidRPr="00282AC9">
        <w:rPr>
          <w:sz w:val="27"/>
          <w:rtl/>
          <w:lang w:bidi="ar-MA"/>
        </w:rPr>
        <w:t>د أشكالها، وتنو</w:t>
      </w:r>
      <w:r w:rsidR="00112558" w:rsidRPr="00282AC9">
        <w:rPr>
          <w:rFonts w:hint="cs"/>
          <w:sz w:val="27"/>
          <w:rtl/>
          <w:lang w:bidi="ar-MA"/>
        </w:rPr>
        <w:t>ُّ</w:t>
      </w:r>
      <w:r w:rsidRPr="00282AC9">
        <w:rPr>
          <w:sz w:val="27"/>
          <w:rtl/>
          <w:lang w:bidi="ar-MA"/>
        </w:rPr>
        <w:t>ع فروعها وأقسامها، قد اختار</w:t>
      </w:r>
      <w:r w:rsidR="00112558" w:rsidRPr="00282AC9">
        <w:rPr>
          <w:rFonts w:hint="cs"/>
          <w:sz w:val="27"/>
          <w:rtl/>
          <w:lang w:bidi="ar-MA"/>
        </w:rPr>
        <w:t>َ</w:t>
      </w:r>
      <w:r w:rsidRPr="00282AC9">
        <w:rPr>
          <w:sz w:val="27"/>
          <w:rtl/>
          <w:lang w:bidi="ar-MA"/>
        </w:rPr>
        <w:t>ت</w:t>
      </w:r>
      <w:r w:rsidR="00112558" w:rsidRPr="00282AC9">
        <w:rPr>
          <w:rFonts w:hint="cs"/>
          <w:sz w:val="27"/>
          <w:rtl/>
          <w:lang w:bidi="ar-MA"/>
        </w:rPr>
        <w:t>ْ</w:t>
      </w:r>
      <w:r w:rsidRPr="00282AC9">
        <w:rPr>
          <w:sz w:val="27"/>
          <w:rtl/>
          <w:lang w:bidi="ar-MA"/>
        </w:rPr>
        <w:t xml:space="preserve"> </w:t>
      </w:r>
      <w:r w:rsidRPr="00282AC9">
        <w:rPr>
          <w:rFonts w:hint="cs"/>
          <w:sz w:val="27"/>
          <w:rtl/>
          <w:lang w:bidi="ar-MA"/>
        </w:rPr>
        <w:t>الاشتغال على جهة البيان وتفه</w:t>
      </w:r>
      <w:r w:rsidR="00112558" w:rsidRPr="00282AC9">
        <w:rPr>
          <w:rFonts w:hint="cs"/>
          <w:sz w:val="27"/>
          <w:rtl/>
          <w:lang w:bidi="ar-MA"/>
        </w:rPr>
        <w:t>ُّ</w:t>
      </w:r>
      <w:r w:rsidRPr="00282AC9">
        <w:rPr>
          <w:rFonts w:hint="cs"/>
          <w:sz w:val="27"/>
          <w:rtl/>
          <w:lang w:bidi="ar-MA"/>
        </w:rPr>
        <w:t>م النصوص</w:t>
      </w:r>
      <w:r w:rsidR="00112558" w:rsidRPr="00282AC9">
        <w:rPr>
          <w:rFonts w:hint="cs"/>
          <w:sz w:val="27"/>
          <w:rtl/>
          <w:lang w:bidi="ar-MA"/>
        </w:rPr>
        <w:t>،</w:t>
      </w:r>
      <w:r w:rsidRPr="00282AC9">
        <w:rPr>
          <w:rFonts w:hint="cs"/>
          <w:sz w:val="27"/>
          <w:rtl/>
          <w:lang w:bidi="ar-MA"/>
        </w:rPr>
        <w:t xml:space="preserve"> وهو مؤش</w:t>
      </w:r>
      <w:r w:rsidR="00112558" w:rsidRPr="00282AC9">
        <w:rPr>
          <w:rFonts w:hint="cs"/>
          <w:sz w:val="27"/>
          <w:rtl/>
          <w:lang w:bidi="ar-MA"/>
        </w:rPr>
        <w:t>ِّ</w:t>
      </w:r>
      <w:r w:rsidRPr="00282AC9">
        <w:rPr>
          <w:rFonts w:hint="cs"/>
          <w:sz w:val="27"/>
          <w:rtl/>
          <w:lang w:bidi="ar-MA"/>
        </w:rPr>
        <w:t>ر</w:t>
      </w:r>
      <w:r w:rsidR="00112558" w:rsidRPr="00282AC9">
        <w:rPr>
          <w:rFonts w:hint="cs"/>
          <w:sz w:val="27"/>
          <w:rtl/>
          <w:lang w:bidi="ar-MA"/>
        </w:rPr>
        <w:t>ٌ</w:t>
      </w:r>
      <w:r w:rsidRPr="00282AC9">
        <w:rPr>
          <w:rFonts w:hint="cs"/>
          <w:sz w:val="27"/>
          <w:rtl/>
          <w:lang w:bidi="ar-MA"/>
        </w:rPr>
        <w:t xml:space="preserve"> داعم </w:t>
      </w:r>
      <w:r w:rsidR="00112558" w:rsidRPr="00282AC9">
        <w:rPr>
          <w:rFonts w:hint="cs"/>
          <w:sz w:val="27"/>
          <w:rtl/>
          <w:lang w:bidi="ar-MA"/>
        </w:rPr>
        <w:t>ل</w:t>
      </w:r>
      <w:r w:rsidRPr="00282AC9">
        <w:rPr>
          <w:rFonts w:ascii="Times New Roman" w:hAnsi="Times New Roman" w:hint="cs"/>
          <w:sz w:val="27"/>
          <w:rtl/>
          <w:lang w:bidi="ar-MA"/>
        </w:rPr>
        <w:t xml:space="preserve">مدى </w:t>
      </w:r>
      <w:r w:rsidRPr="00282AC9">
        <w:rPr>
          <w:rFonts w:ascii="Arial" w:hAnsi="Arial" w:hint="cs"/>
          <w:sz w:val="27"/>
          <w:rtl/>
          <w:lang w:bidi="ar-MA"/>
        </w:rPr>
        <w:t>حضور</w:t>
      </w:r>
      <w:r w:rsidRPr="00282AC9">
        <w:rPr>
          <w:rFonts w:ascii="Arial" w:hAnsi="Arial"/>
          <w:sz w:val="27"/>
          <w:rtl/>
          <w:lang w:bidi="ar-MA"/>
        </w:rPr>
        <w:t xml:space="preserve"> منهج </w:t>
      </w:r>
      <w:r w:rsidRPr="00282AC9">
        <w:rPr>
          <w:rFonts w:ascii="Arial" w:hAnsi="Arial" w:hint="cs"/>
          <w:sz w:val="27"/>
          <w:rtl/>
          <w:lang w:bidi="ar-MA"/>
        </w:rPr>
        <w:t>الف</w:t>
      </w:r>
      <w:r w:rsidR="00112558" w:rsidRPr="00282AC9">
        <w:rPr>
          <w:rFonts w:ascii="Arial" w:hAnsi="Arial" w:hint="cs"/>
          <w:sz w:val="27"/>
          <w:rtl/>
          <w:lang w:bidi="ar-MA"/>
        </w:rPr>
        <w:t>َ</w:t>
      </w:r>
      <w:r w:rsidRPr="00282AC9">
        <w:rPr>
          <w:rFonts w:ascii="Arial" w:hAnsi="Arial" w:hint="cs"/>
          <w:sz w:val="27"/>
          <w:rtl/>
          <w:lang w:bidi="ar-MA"/>
        </w:rPr>
        <w:t>ه</w:t>
      </w:r>
      <w:r w:rsidR="00112558" w:rsidRPr="00282AC9">
        <w:rPr>
          <w:rFonts w:ascii="Arial" w:hAnsi="Arial" w:hint="cs"/>
          <w:sz w:val="27"/>
          <w:rtl/>
          <w:lang w:bidi="ar-MA"/>
        </w:rPr>
        <w:t>ْ</w:t>
      </w:r>
      <w:r w:rsidRPr="00282AC9">
        <w:rPr>
          <w:rFonts w:ascii="Arial" w:hAnsi="Arial" w:hint="cs"/>
          <w:sz w:val="27"/>
          <w:rtl/>
          <w:lang w:bidi="ar-MA"/>
        </w:rPr>
        <w:t>م في التراث العربي الإسلامي</w:t>
      </w:r>
      <w:r w:rsidRPr="00282AC9">
        <w:rPr>
          <w:rFonts w:ascii="Times New Roman" w:hAnsi="Times New Roman" w:hint="cs"/>
          <w:sz w:val="27"/>
          <w:rtl/>
          <w:lang w:bidi="ar-MA"/>
        </w:rPr>
        <w:t>.</w:t>
      </w:r>
    </w:p>
    <w:p w:rsidR="00D722E4" w:rsidRPr="00282AC9" w:rsidRDefault="00D722E4" w:rsidP="00A20690">
      <w:pPr>
        <w:rPr>
          <w:sz w:val="27"/>
          <w:rtl/>
          <w:lang w:bidi="ar-MA"/>
        </w:rPr>
      </w:pPr>
      <w:r w:rsidRPr="00282AC9">
        <w:rPr>
          <w:rFonts w:hint="cs"/>
          <w:sz w:val="27"/>
          <w:rtl/>
          <w:lang w:bidi="ar-MA"/>
        </w:rPr>
        <w:t xml:space="preserve">ويأتي علم الأصول في صدارة العلوم </w:t>
      </w:r>
      <w:r w:rsidRPr="00282AC9">
        <w:rPr>
          <w:sz w:val="27"/>
          <w:rtl/>
          <w:lang w:bidi="ar-MA"/>
        </w:rPr>
        <w:t>الإسلامي</w:t>
      </w:r>
      <w:r w:rsidR="00112558" w:rsidRPr="00282AC9">
        <w:rPr>
          <w:rFonts w:hint="cs"/>
          <w:sz w:val="27"/>
          <w:rtl/>
          <w:lang w:bidi="ar-MA"/>
        </w:rPr>
        <w:t>ّ</w:t>
      </w:r>
      <w:r w:rsidRPr="00282AC9">
        <w:rPr>
          <w:sz w:val="27"/>
          <w:rtl/>
          <w:lang w:bidi="ar-MA"/>
        </w:rPr>
        <w:t>ة</w:t>
      </w:r>
      <w:r w:rsidRPr="00282AC9">
        <w:rPr>
          <w:rFonts w:hint="cs"/>
          <w:sz w:val="27"/>
          <w:rtl/>
          <w:lang w:bidi="ar-MA"/>
        </w:rPr>
        <w:t xml:space="preserve"> التي اشتغل</w:t>
      </w:r>
      <w:r w:rsidR="00112558" w:rsidRPr="00282AC9">
        <w:rPr>
          <w:rFonts w:hint="cs"/>
          <w:sz w:val="27"/>
          <w:rtl/>
          <w:lang w:bidi="ar-MA"/>
        </w:rPr>
        <w:t>َ</w:t>
      </w:r>
      <w:r w:rsidRPr="00282AC9">
        <w:rPr>
          <w:rFonts w:hint="cs"/>
          <w:sz w:val="27"/>
          <w:rtl/>
          <w:lang w:bidi="ar-MA"/>
        </w:rPr>
        <w:t>ت</w:t>
      </w:r>
      <w:r w:rsidR="00112558" w:rsidRPr="00282AC9">
        <w:rPr>
          <w:rFonts w:hint="cs"/>
          <w:sz w:val="27"/>
          <w:rtl/>
          <w:lang w:bidi="ar-MA"/>
        </w:rPr>
        <w:t>ْ</w:t>
      </w:r>
      <w:r w:rsidRPr="00282AC9">
        <w:rPr>
          <w:rFonts w:hint="cs"/>
          <w:sz w:val="27"/>
          <w:rtl/>
          <w:lang w:bidi="ar-MA"/>
        </w:rPr>
        <w:t xml:space="preserve"> على جهة الفهم والبيان والاستمداد</w:t>
      </w:r>
      <w:r w:rsidRPr="00282AC9">
        <w:rPr>
          <w:sz w:val="27"/>
          <w:rtl/>
          <w:lang w:bidi="ar-MA"/>
        </w:rPr>
        <w:t>.</w:t>
      </w:r>
      <w:r w:rsidRPr="00282AC9">
        <w:rPr>
          <w:rFonts w:hint="cs"/>
          <w:sz w:val="27"/>
          <w:rtl/>
          <w:lang w:bidi="ar-MA"/>
        </w:rPr>
        <w:t xml:space="preserve"> </w:t>
      </w:r>
    </w:p>
    <w:p w:rsidR="00D722E4" w:rsidRPr="00282AC9" w:rsidRDefault="00D722E4" w:rsidP="00A20690">
      <w:pPr>
        <w:rPr>
          <w:rFonts w:ascii="Times New Roman" w:hAnsi="Times New Roman"/>
          <w:sz w:val="27"/>
          <w:rtl/>
        </w:rPr>
      </w:pPr>
      <w:r w:rsidRPr="00282AC9">
        <w:rPr>
          <w:rFonts w:ascii="Times New Roman" w:hAnsi="Times New Roman" w:hint="cs"/>
          <w:sz w:val="27"/>
          <w:rtl/>
        </w:rPr>
        <w:t>هذه الاعتبارات والمواصفات اعتبارات</w:t>
      </w:r>
      <w:r w:rsidR="00112558" w:rsidRPr="00282AC9">
        <w:rPr>
          <w:rFonts w:ascii="Times New Roman" w:hAnsi="Times New Roman" w:hint="cs"/>
          <w:sz w:val="27"/>
          <w:rtl/>
        </w:rPr>
        <w:t>ٌ و</w:t>
      </w:r>
      <w:r w:rsidRPr="00282AC9">
        <w:rPr>
          <w:rFonts w:ascii="Times New Roman" w:hAnsi="Times New Roman" w:hint="cs"/>
          <w:sz w:val="27"/>
          <w:rtl/>
        </w:rPr>
        <w:t>مؤش</w:t>
      </w:r>
      <w:r w:rsidR="00112558" w:rsidRPr="00282AC9">
        <w:rPr>
          <w:rFonts w:ascii="Times New Roman" w:hAnsi="Times New Roman" w:hint="cs"/>
          <w:sz w:val="27"/>
          <w:rtl/>
        </w:rPr>
        <w:t>ِّ</w:t>
      </w:r>
      <w:r w:rsidRPr="00282AC9">
        <w:rPr>
          <w:rFonts w:ascii="Times New Roman" w:hAnsi="Times New Roman" w:hint="cs"/>
          <w:sz w:val="27"/>
          <w:rtl/>
        </w:rPr>
        <w:t>رات على أن علم أصول الفقه يبقى من أهم</w:t>
      </w:r>
      <w:r w:rsidR="00112558" w:rsidRPr="00282AC9">
        <w:rPr>
          <w:rFonts w:ascii="Times New Roman" w:hAnsi="Times New Roman" w:hint="cs"/>
          <w:sz w:val="27"/>
          <w:rtl/>
        </w:rPr>
        <w:t>ّ</w:t>
      </w:r>
      <w:r w:rsidRPr="00282AC9">
        <w:rPr>
          <w:rFonts w:ascii="Times New Roman" w:hAnsi="Times New Roman" w:hint="cs"/>
          <w:sz w:val="27"/>
          <w:rtl/>
        </w:rPr>
        <w:t xml:space="preserve"> أدوات الفهم وعناصر الاستمداد للمعنى في النصوص الشرعي</w:t>
      </w:r>
      <w:r w:rsidR="00112558" w:rsidRPr="00282AC9">
        <w:rPr>
          <w:rFonts w:ascii="Times New Roman" w:hAnsi="Times New Roman" w:hint="cs"/>
          <w:sz w:val="27"/>
          <w:rtl/>
        </w:rPr>
        <w:t>ّ</w:t>
      </w:r>
      <w:r w:rsidRPr="00282AC9">
        <w:rPr>
          <w:rFonts w:ascii="Times New Roman" w:hAnsi="Times New Roman" w:hint="cs"/>
          <w:sz w:val="27"/>
          <w:rtl/>
        </w:rPr>
        <w:t>ة</w:t>
      </w:r>
      <w:r w:rsidR="00112558" w:rsidRPr="00282AC9">
        <w:rPr>
          <w:rFonts w:ascii="Times New Roman" w:hAnsi="Times New Roman" w:hint="cs"/>
          <w:sz w:val="27"/>
          <w:rtl/>
        </w:rPr>
        <w:t xml:space="preserve"> </w:t>
      </w:r>
      <w:r w:rsidRPr="00282AC9">
        <w:rPr>
          <w:rFonts w:ascii="Times New Roman" w:hAnsi="Times New Roman" w:hint="cs"/>
          <w:sz w:val="27"/>
          <w:rtl/>
        </w:rPr>
        <w:t>خاص</w:t>
      </w:r>
      <w:r w:rsidR="00112558" w:rsidRPr="00282AC9">
        <w:rPr>
          <w:rFonts w:ascii="Times New Roman" w:hAnsi="Times New Roman" w:hint="cs"/>
          <w:sz w:val="27"/>
          <w:rtl/>
        </w:rPr>
        <w:t>ّ</w:t>
      </w:r>
      <w:r w:rsidRPr="00282AC9">
        <w:rPr>
          <w:rFonts w:ascii="Times New Roman" w:hAnsi="Times New Roman" w:hint="cs"/>
          <w:sz w:val="27"/>
          <w:rtl/>
        </w:rPr>
        <w:t>ة</w:t>
      </w:r>
      <w:r w:rsidR="00112558" w:rsidRPr="00282AC9">
        <w:rPr>
          <w:rFonts w:ascii="Times New Roman" w:hAnsi="Times New Roman" w:hint="cs"/>
          <w:sz w:val="27"/>
          <w:rtl/>
        </w:rPr>
        <w:t>ً،</w:t>
      </w:r>
      <w:r w:rsidRPr="00282AC9">
        <w:rPr>
          <w:rFonts w:ascii="Times New Roman" w:hAnsi="Times New Roman" w:hint="cs"/>
          <w:sz w:val="27"/>
          <w:rtl/>
        </w:rPr>
        <w:t xml:space="preserve"> </w:t>
      </w:r>
      <w:r w:rsidR="00112558" w:rsidRPr="00282AC9">
        <w:rPr>
          <w:rFonts w:ascii="Times New Roman" w:hAnsi="Times New Roman" w:hint="cs"/>
          <w:sz w:val="27"/>
          <w:rtl/>
        </w:rPr>
        <w:t>و</w:t>
      </w:r>
      <w:r w:rsidRPr="00282AC9">
        <w:rPr>
          <w:rFonts w:ascii="Times New Roman" w:hAnsi="Times New Roman" w:hint="cs"/>
          <w:sz w:val="27"/>
          <w:rtl/>
        </w:rPr>
        <w:t>النصوص المدو</w:t>
      </w:r>
      <w:r w:rsidR="00112558" w:rsidRPr="00282AC9">
        <w:rPr>
          <w:rFonts w:ascii="Times New Roman" w:hAnsi="Times New Roman" w:hint="cs"/>
          <w:sz w:val="27"/>
          <w:rtl/>
        </w:rPr>
        <w:t>َّ</w:t>
      </w:r>
      <w:r w:rsidRPr="00282AC9">
        <w:rPr>
          <w:rFonts w:ascii="Times New Roman" w:hAnsi="Times New Roman" w:hint="cs"/>
          <w:sz w:val="27"/>
          <w:rtl/>
        </w:rPr>
        <w:t>نة باللغة العربية بصفة</w:t>
      </w:r>
      <w:r w:rsidR="00112558" w:rsidRPr="00282AC9">
        <w:rPr>
          <w:rFonts w:ascii="Times New Roman" w:hAnsi="Times New Roman" w:hint="cs"/>
          <w:sz w:val="27"/>
          <w:rtl/>
        </w:rPr>
        <w:t>ٍ</w:t>
      </w:r>
      <w:r w:rsidRPr="00282AC9">
        <w:rPr>
          <w:rFonts w:ascii="Times New Roman" w:hAnsi="Times New Roman" w:hint="cs"/>
          <w:sz w:val="27"/>
          <w:rtl/>
        </w:rPr>
        <w:t xml:space="preserve"> عام</w:t>
      </w:r>
      <w:r w:rsidR="00112558" w:rsidRPr="00282AC9">
        <w:rPr>
          <w:rFonts w:ascii="Times New Roman" w:hAnsi="Times New Roman" w:hint="cs"/>
          <w:sz w:val="27"/>
          <w:rtl/>
        </w:rPr>
        <w:t>ّ</w:t>
      </w:r>
      <w:r w:rsidRPr="00282AC9">
        <w:rPr>
          <w:rFonts w:ascii="Times New Roman" w:hAnsi="Times New Roman" w:hint="cs"/>
          <w:sz w:val="27"/>
          <w:rtl/>
        </w:rPr>
        <w:t>ة.</w:t>
      </w:r>
    </w:p>
    <w:p w:rsidR="00D722E4" w:rsidRPr="00282AC9" w:rsidRDefault="00D722E4" w:rsidP="00A20690">
      <w:pPr>
        <w:rPr>
          <w:rFonts w:ascii="Times New Roman" w:hAnsi="Times New Roman"/>
          <w:sz w:val="27"/>
          <w:rtl/>
        </w:rPr>
      </w:pPr>
      <w:r w:rsidRPr="00282AC9">
        <w:rPr>
          <w:rFonts w:ascii="Times New Roman" w:hAnsi="Times New Roman"/>
          <w:sz w:val="27"/>
          <w:rtl/>
          <w:lang w:bidi="ar-MA"/>
        </w:rPr>
        <w:t>فعناية علماء الأصول كانت مت</w:t>
      </w:r>
      <w:r w:rsidR="00112558" w:rsidRPr="00282AC9">
        <w:rPr>
          <w:rFonts w:ascii="Times New Roman" w:hAnsi="Times New Roman" w:hint="cs"/>
          <w:sz w:val="27"/>
          <w:rtl/>
          <w:lang w:bidi="ar-MA"/>
        </w:rPr>
        <w:t>ّ</w:t>
      </w:r>
      <w:r w:rsidRPr="00282AC9">
        <w:rPr>
          <w:rFonts w:ascii="Times New Roman" w:hAnsi="Times New Roman"/>
          <w:sz w:val="27"/>
          <w:rtl/>
          <w:lang w:bidi="ar-MA"/>
        </w:rPr>
        <w:t>جهة</w:t>
      </w:r>
      <w:r w:rsidR="00112558" w:rsidRPr="00282AC9">
        <w:rPr>
          <w:rFonts w:ascii="Times New Roman" w:hAnsi="Times New Roman" w:hint="cs"/>
          <w:sz w:val="27"/>
          <w:rtl/>
          <w:lang w:bidi="ar-MA"/>
        </w:rPr>
        <w:t>ً</w:t>
      </w:r>
      <w:r w:rsidRPr="00282AC9">
        <w:rPr>
          <w:rFonts w:ascii="Times New Roman" w:hAnsi="Times New Roman"/>
          <w:sz w:val="27"/>
          <w:rtl/>
          <w:lang w:bidi="ar-MA"/>
        </w:rPr>
        <w:t xml:space="preserve"> إلى الاهتمام بالدلالة</w:t>
      </w:r>
      <w:r w:rsidR="00112558" w:rsidRPr="00282AC9">
        <w:rPr>
          <w:rFonts w:ascii="Times New Roman" w:hAnsi="Times New Roman" w:hint="cs"/>
          <w:sz w:val="27"/>
          <w:rtl/>
          <w:lang w:bidi="ar-MA"/>
        </w:rPr>
        <w:t>،</w:t>
      </w:r>
      <w:r w:rsidRPr="00282AC9">
        <w:rPr>
          <w:rFonts w:ascii="Times New Roman" w:hAnsi="Times New Roman"/>
          <w:sz w:val="27"/>
          <w:rtl/>
          <w:lang w:bidi="ar-MA"/>
        </w:rPr>
        <w:t xml:space="preserve"> و</w:t>
      </w:r>
      <w:r w:rsidRPr="00282AC9">
        <w:rPr>
          <w:rFonts w:ascii="Times New Roman" w:hAnsi="Times New Roman" w:hint="cs"/>
          <w:sz w:val="27"/>
          <w:rtl/>
          <w:lang w:bidi="ar-MA"/>
        </w:rPr>
        <w:t>ب</w:t>
      </w:r>
      <w:r w:rsidRPr="00282AC9">
        <w:rPr>
          <w:rFonts w:ascii="Times New Roman" w:hAnsi="Times New Roman"/>
          <w:sz w:val="27"/>
          <w:rtl/>
          <w:lang w:bidi="ar-MA"/>
        </w:rPr>
        <w:t>طرق استخلاص المعنى</w:t>
      </w:r>
      <w:r w:rsidR="00112558" w:rsidRPr="00282AC9">
        <w:rPr>
          <w:rFonts w:ascii="Times New Roman" w:hAnsi="Times New Roman" w:hint="cs"/>
          <w:sz w:val="27"/>
          <w:rtl/>
          <w:lang w:bidi="ar-MA"/>
        </w:rPr>
        <w:t>؛</w:t>
      </w:r>
      <w:r w:rsidRPr="00282AC9">
        <w:rPr>
          <w:rFonts w:ascii="Times New Roman" w:hAnsi="Times New Roman"/>
          <w:sz w:val="27"/>
          <w:rtl/>
          <w:lang w:bidi="ar-MA"/>
        </w:rPr>
        <w:t xml:space="preserve"> </w:t>
      </w:r>
      <w:r w:rsidRPr="00282AC9">
        <w:rPr>
          <w:rFonts w:ascii="Times New Roman" w:hAnsi="Times New Roman" w:hint="cs"/>
          <w:sz w:val="27"/>
          <w:rtl/>
          <w:lang w:bidi="ar-MA"/>
        </w:rPr>
        <w:t>ب</w:t>
      </w:r>
      <w:r w:rsidRPr="00282AC9">
        <w:rPr>
          <w:rFonts w:ascii="Times New Roman" w:hAnsi="Times New Roman"/>
          <w:sz w:val="27"/>
          <w:rtl/>
          <w:lang w:bidi="ar-MA"/>
        </w:rPr>
        <w:t>قصد ضبط فهم النص</w:t>
      </w:r>
      <w:r w:rsidR="00112558" w:rsidRPr="00282AC9">
        <w:rPr>
          <w:rFonts w:ascii="Times New Roman" w:hAnsi="Times New Roman" w:hint="cs"/>
          <w:sz w:val="27"/>
          <w:rtl/>
          <w:lang w:bidi="ar-MA"/>
        </w:rPr>
        <w:t>ّ</w:t>
      </w:r>
      <w:r w:rsidRPr="00282AC9">
        <w:rPr>
          <w:rFonts w:ascii="Times New Roman" w:hAnsi="Times New Roman"/>
          <w:sz w:val="27"/>
          <w:rtl/>
          <w:lang w:bidi="ar-MA"/>
        </w:rPr>
        <w:t xml:space="preserve"> من نصوص القر</w:t>
      </w:r>
      <w:r w:rsidR="00112558" w:rsidRPr="00282AC9">
        <w:rPr>
          <w:rFonts w:ascii="Times New Roman" w:hAnsi="Times New Roman" w:hint="cs"/>
          <w:sz w:val="27"/>
          <w:rtl/>
          <w:lang w:bidi="ar-MA"/>
        </w:rPr>
        <w:t>آ</w:t>
      </w:r>
      <w:r w:rsidRPr="00282AC9">
        <w:rPr>
          <w:rFonts w:ascii="Times New Roman" w:hAnsi="Times New Roman"/>
          <w:sz w:val="27"/>
          <w:rtl/>
          <w:lang w:bidi="ar-MA"/>
        </w:rPr>
        <w:t>ن الكريم والس</w:t>
      </w:r>
      <w:r w:rsidR="00112558" w:rsidRPr="00282AC9">
        <w:rPr>
          <w:rFonts w:ascii="Times New Roman" w:hAnsi="Times New Roman" w:hint="cs"/>
          <w:sz w:val="27"/>
          <w:rtl/>
          <w:lang w:bidi="ar-MA"/>
        </w:rPr>
        <w:t>ُّ</w:t>
      </w:r>
      <w:r w:rsidRPr="00282AC9">
        <w:rPr>
          <w:rFonts w:ascii="Times New Roman" w:hAnsi="Times New Roman"/>
          <w:sz w:val="27"/>
          <w:rtl/>
          <w:lang w:bidi="ar-MA"/>
        </w:rPr>
        <w:t>ن</w:t>
      </w:r>
      <w:r w:rsidR="00112558" w:rsidRPr="00282AC9">
        <w:rPr>
          <w:rFonts w:ascii="Times New Roman" w:hAnsi="Times New Roman" w:hint="cs"/>
          <w:sz w:val="27"/>
          <w:rtl/>
          <w:lang w:bidi="ar-MA"/>
        </w:rPr>
        <w:t>َّ</w:t>
      </w:r>
      <w:r w:rsidRPr="00282AC9">
        <w:rPr>
          <w:rFonts w:ascii="Times New Roman" w:hAnsi="Times New Roman" w:hint="cs"/>
          <w:sz w:val="27"/>
          <w:rtl/>
          <w:lang w:bidi="ar-MA"/>
        </w:rPr>
        <w:t>ة</w:t>
      </w:r>
      <w:r w:rsidRPr="00282AC9">
        <w:rPr>
          <w:rFonts w:ascii="Times New Roman" w:hAnsi="Times New Roman"/>
          <w:sz w:val="27"/>
          <w:rtl/>
          <w:lang w:bidi="ar-MA"/>
        </w:rPr>
        <w:t xml:space="preserve"> النبوية</w:t>
      </w:r>
      <w:r w:rsidRPr="00282AC9">
        <w:rPr>
          <w:rFonts w:ascii="Times New Roman" w:hAnsi="Times New Roman" w:hint="cs"/>
          <w:sz w:val="27"/>
          <w:rtl/>
          <w:lang w:bidi="ar-MA"/>
        </w:rPr>
        <w:t xml:space="preserve">، </w:t>
      </w:r>
      <w:r w:rsidRPr="00282AC9">
        <w:rPr>
          <w:rFonts w:ascii="Times New Roman" w:hAnsi="Times New Roman"/>
          <w:sz w:val="27"/>
          <w:rtl/>
          <w:lang w:bidi="ar-MA"/>
        </w:rPr>
        <w:t>والاشتغال بالمنهج الأصولي</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في قراءة وتأويل النص</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الشرعي</w:t>
      </w:r>
      <w:r w:rsidR="00DC164D" w:rsidRPr="00282AC9">
        <w:rPr>
          <w:rFonts w:ascii="Times New Roman" w:hAnsi="Times New Roman" w:hint="cs"/>
          <w:sz w:val="27"/>
          <w:rtl/>
          <w:lang w:bidi="ar-MA"/>
        </w:rPr>
        <w:t>.</w:t>
      </w:r>
      <w:r w:rsidRPr="00282AC9">
        <w:rPr>
          <w:rFonts w:ascii="Times New Roman" w:hAnsi="Times New Roman" w:hint="cs"/>
          <w:sz w:val="27"/>
          <w:rtl/>
          <w:lang w:bidi="ar-MA"/>
        </w:rPr>
        <w:t xml:space="preserve"> </w:t>
      </w:r>
      <w:r w:rsidRPr="00282AC9">
        <w:rPr>
          <w:rFonts w:ascii="Times New Roman" w:hAnsi="Times New Roman"/>
          <w:sz w:val="27"/>
          <w:rtl/>
          <w:lang w:bidi="ar-MA"/>
        </w:rPr>
        <w:t>وواضح</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أن علم أصول يحمل في مباحثه نظري</w:t>
      </w:r>
      <w:r w:rsidR="00DC164D" w:rsidRPr="00282AC9">
        <w:rPr>
          <w:rFonts w:ascii="Times New Roman" w:hAnsi="Times New Roman" w:hint="cs"/>
          <w:sz w:val="27"/>
          <w:rtl/>
          <w:lang w:bidi="ar-MA"/>
        </w:rPr>
        <w:t>ّ</w:t>
      </w:r>
      <w:r w:rsidRPr="00282AC9">
        <w:rPr>
          <w:rFonts w:ascii="Times New Roman" w:hAnsi="Times New Roman"/>
          <w:sz w:val="27"/>
          <w:rtl/>
          <w:lang w:bidi="ar-MA"/>
        </w:rPr>
        <w:t>ة</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دلالي</w:t>
      </w:r>
      <w:r w:rsidR="00DC164D" w:rsidRPr="00282AC9">
        <w:rPr>
          <w:rFonts w:ascii="Times New Roman" w:hAnsi="Times New Roman" w:hint="cs"/>
          <w:sz w:val="27"/>
          <w:rtl/>
          <w:lang w:bidi="ar-MA"/>
        </w:rPr>
        <w:t>ّ</w:t>
      </w:r>
      <w:r w:rsidRPr="00282AC9">
        <w:rPr>
          <w:rFonts w:ascii="Times New Roman" w:hAnsi="Times New Roman"/>
          <w:sz w:val="27"/>
          <w:rtl/>
          <w:lang w:bidi="ar-MA"/>
        </w:rPr>
        <w:t>ة</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متماسكة، ومنسجمة، ومتناسقة، </w:t>
      </w:r>
      <w:r w:rsidRPr="00282AC9">
        <w:rPr>
          <w:rFonts w:ascii="Times New Roman" w:hAnsi="Times New Roman" w:hint="cs"/>
          <w:sz w:val="27"/>
          <w:rtl/>
          <w:lang w:bidi="ar-MA"/>
        </w:rPr>
        <w:t>و</w:t>
      </w:r>
      <w:r w:rsidRPr="00282AC9">
        <w:rPr>
          <w:rFonts w:ascii="Times New Roman" w:hAnsi="Times New Roman"/>
          <w:sz w:val="27"/>
          <w:rtl/>
          <w:lang w:bidi="ar-MA"/>
        </w:rPr>
        <w:t>تكشف عن مستويات اشتغال الدلالة، وحضور المعنى، وأشكال تلق</w:t>
      </w:r>
      <w:r w:rsidR="00DC164D" w:rsidRPr="00282AC9">
        <w:rPr>
          <w:rFonts w:ascii="Times New Roman" w:hAnsi="Times New Roman" w:hint="cs"/>
          <w:sz w:val="27"/>
          <w:rtl/>
          <w:lang w:bidi="ar-MA"/>
        </w:rPr>
        <w:t>ّ</w:t>
      </w:r>
      <w:r w:rsidRPr="00282AC9">
        <w:rPr>
          <w:rFonts w:ascii="Times New Roman" w:hAnsi="Times New Roman"/>
          <w:sz w:val="27"/>
          <w:rtl/>
          <w:lang w:bidi="ar-MA"/>
        </w:rPr>
        <w:t>ي هذا المعنى في النص</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عام</w:t>
      </w:r>
      <w:r w:rsidR="00DC164D" w:rsidRPr="00282AC9">
        <w:rPr>
          <w:rFonts w:ascii="Times New Roman" w:hAnsi="Times New Roman" w:hint="cs"/>
          <w:sz w:val="27"/>
          <w:rtl/>
          <w:lang w:bidi="ar-MA"/>
        </w:rPr>
        <w:t>ّ</w:t>
      </w:r>
      <w:r w:rsidRPr="00282AC9">
        <w:rPr>
          <w:rFonts w:ascii="Times New Roman" w:hAnsi="Times New Roman"/>
          <w:sz w:val="27"/>
          <w:rtl/>
          <w:lang w:bidi="ar-MA"/>
        </w:rPr>
        <w:t>ة</w:t>
      </w:r>
      <w:r w:rsidR="00DC164D" w:rsidRPr="00282AC9">
        <w:rPr>
          <w:rFonts w:ascii="Times New Roman" w:hAnsi="Times New Roman" w:hint="cs"/>
          <w:sz w:val="27"/>
          <w:rtl/>
          <w:lang w:bidi="ar-MA"/>
        </w:rPr>
        <w:t>ً</w:t>
      </w:r>
      <w:r w:rsidRPr="00282AC9">
        <w:rPr>
          <w:rFonts w:ascii="Times New Roman" w:hAnsi="Times New Roman"/>
          <w:sz w:val="27"/>
          <w:rtl/>
          <w:lang w:bidi="ar-MA"/>
        </w:rPr>
        <w:t>، والنص</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الشرعي</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خاص</w:t>
      </w:r>
      <w:r w:rsidR="00DC164D" w:rsidRPr="00282AC9">
        <w:rPr>
          <w:rFonts w:ascii="Times New Roman" w:hAnsi="Times New Roman" w:hint="cs"/>
          <w:sz w:val="27"/>
          <w:rtl/>
          <w:lang w:bidi="ar-MA"/>
        </w:rPr>
        <w:t>ّ</w:t>
      </w:r>
      <w:r w:rsidRPr="00282AC9">
        <w:rPr>
          <w:rFonts w:ascii="Times New Roman" w:hAnsi="Times New Roman"/>
          <w:sz w:val="27"/>
          <w:rtl/>
          <w:lang w:bidi="ar-MA"/>
        </w:rPr>
        <w:t>ة</w:t>
      </w:r>
      <w:r w:rsidR="00DC164D" w:rsidRPr="00282AC9">
        <w:rPr>
          <w:rFonts w:ascii="Times New Roman" w:hAnsi="Times New Roman" w:hint="cs"/>
          <w:sz w:val="27"/>
          <w:rtl/>
          <w:lang w:bidi="ar-MA"/>
        </w:rPr>
        <w:t>ً</w:t>
      </w:r>
      <w:r w:rsidRPr="00282AC9">
        <w:rPr>
          <w:rFonts w:ascii="Times New Roman" w:hAnsi="Times New Roman"/>
          <w:sz w:val="27"/>
          <w:rtl/>
          <w:lang w:bidi="ar-MA"/>
        </w:rPr>
        <w:t>، لغاية جعل هذا المعنى مقد</w:t>
      </w:r>
      <w:r w:rsidR="00DC164D" w:rsidRPr="00282AC9">
        <w:rPr>
          <w:rFonts w:ascii="Times New Roman" w:hAnsi="Times New Roman" w:hint="cs"/>
          <w:sz w:val="27"/>
          <w:rtl/>
          <w:lang w:bidi="ar-MA"/>
        </w:rPr>
        <w:t>ّ</w:t>
      </w:r>
      <w:r w:rsidRPr="00282AC9">
        <w:rPr>
          <w:rFonts w:ascii="Times New Roman" w:hAnsi="Times New Roman"/>
          <w:sz w:val="27"/>
          <w:rtl/>
          <w:lang w:bidi="ar-MA"/>
        </w:rPr>
        <w:t>مة</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أساسي</w:t>
      </w:r>
      <w:r w:rsidR="00DC164D" w:rsidRPr="00282AC9">
        <w:rPr>
          <w:rFonts w:ascii="Times New Roman" w:hAnsi="Times New Roman" w:hint="cs"/>
          <w:sz w:val="27"/>
          <w:rtl/>
          <w:lang w:bidi="ar-MA"/>
        </w:rPr>
        <w:t>ّ</w:t>
      </w:r>
      <w:r w:rsidRPr="00282AC9">
        <w:rPr>
          <w:rFonts w:ascii="Times New Roman" w:hAnsi="Times New Roman"/>
          <w:sz w:val="27"/>
          <w:rtl/>
          <w:lang w:bidi="ar-MA"/>
        </w:rPr>
        <w:t>ة في الاستمداد والاستنباط من جهة</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ولحماية هذا المعنى من التحريف من جهة</w:t>
      </w:r>
      <w:r w:rsidR="00DC164D" w:rsidRPr="00282AC9">
        <w:rPr>
          <w:rFonts w:ascii="Times New Roman" w:hAnsi="Times New Roman" w:hint="cs"/>
          <w:sz w:val="27"/>
          <w:rtl/>
          <w:lang w:bidi="ar-MA"/>
        </w:rPr>
        <w:t>ٍ</w:t>
      </w:r>
      <w:r w:rsidRPr="00282AC9">
        <w:rPr>
          <w:rFonts w:ascii="Times New Roman" w:hAnsi="Times New Roman"/>
          <w:sz w:val="27"/>
          <w:rtl/>
          <w:lang w:bidi="ar-MA"/>
        </w:rPr>
        <w:t xml:space="preserve"> </w:t>
      </w:r>
      <w:r w:rsidR="00DC164D" w:rsidRPr="00282AC9">
        <w:rPr>
          <w:rFonts w:ascii="Times New Roman" w:hAnsi="Times New Roman" w:hint="cs"/>
          <w:sz w:val="27"/>
          <w:rtl/>
          <w:lang w:bidi="ar-MA"/>
        </w:rPr>
        <w:t>أ</w:t>
      </w:r>
      <w:r w:rsidRPr="00282AC9">
        <w:rPr>
          <w:rFonts w:ascii="Times New Roman" w:hAnsi="Times New Roman"/>
          <w:sz w:val="27"/>
          <w:rtl/>
          <w:lang w:bidi="ar-MA"/>
        </w:rPr>
        <w:t>خرى</w:t>
      </w:r>
      <w:r w:rsidR="00DC164D" w:rsidRPr="00282AC9">
        <w:rPr>
          <w:rFonts w:ascii="Times New Roman" w:hAnsi="Times New Roman" w:hint="cs"/>
          <w:sz w:val="27"/>
          <w:rtl/>
          <w:lang w:bidi="ar-MA"/>
        </w:rPr>
        <w:t xml:space="preserve">. </w:t>
      </w:r>
      <w:r w:rsidR="00DF2190" w:rsidRPr="00282AC9">
        <w:rPr>
          <w:rFonts w:ascii="Times New Roman" w:hAnsi="Times New Roman" w:hint="cs"/>
          <w:sz w:val="27"/>
          <w:rtl/>
          <w:lang w:bidi="ar-MA"/>
        </w:rPr>
        <w:t>ولهذا</w:t>
      </w:r>
      <w:r w:rsidR="00DC164D" w:rsidRPr="00282AC9">
        <w:rPr>
          <w:rFonts w:ascii="Times New Roman" w:hAnsi="Times New Roman" w:hint="cs"/>
          <w:sz w:val="27"/>
          <w:rtl/>
          <w:lang w:bidi="ar-MA"/>
        </w:rPr>
        <w:t xml:space="preserve"> لقي اهت</w:t>
      </w:r>
      <w:r w:rsidRPr="00282AC9">
        <w:rPr>
          <w:rFonts w:ascii="Times New Roman" w:hAnsi="Times New Roman"/>
          <w:sz w:val="27"/>
          <w:rtl/>
          <w:lang w:bidi="ar-MA"/>
        </w:rPr>
        <w:t>مام</w:t>
      </w:r>
      <w:r w:rsidRPr="00282AC9">
        <w:rPr>
          <w:rFonts w:ascii="Times New Roman" w:hAnsi="Times New Roman" w:hint="cs"/>
          <w:sz w:val="27"/>
          <w:rtl/>
          <w:lang w:bidi="ar-MA"/>
        </w:rPr>
        <w:t>اً</w:t>
      </w:r>
      <w:r w:rsidRPr="00282AC9">
        <w:rPr>
          <w:rFonts w:ascii="Times New Roman" w:hAnsi="Times New Roman"/>
          <w:sz w:val="27"/>
          <w:rtl/>
          <w:lang w:bidi="ar-MA"/>
        </w:rPr>
        <w:t xml:space="preserve"> متزايد</w:t>
      </w:r>
      <w:r w:rsidRPr="00282AC9">
        <w:rPr>
          <w:rFonts w:ascii="Times New Roman" w:hAnsi="Times New Roman" w:hint="cs"/>
          <w:sz w:val="27"/>
          <w:rtl/>
          <w:lang w:bidi="ar-MA"/>
        </w:rPr>
        <w:t>اً</w:t>
      </w:r>
      <w:r w:rsidRPr="00282AC9">
        <w:rPr>
          <w:rFonts w:ascii="Times New Roman" w:hAnsi="Times New Roman"/>
          <w:sz w:val="27"/>
          <w:rtl/>
          <w:lang w:bidi="ar-MA"/>
        </w:rPr>
        <w:t xml:space="preserve"> بين الدارسين والباحثين في الآونة الأخيرة</w:t>
      </w:r>
      <w:r w:rsidRPr="00282AC9">
        <w:rPr>
          <w:rFonts w:ascii="Times New Roman" w:hAnsi="Times New Roman" w:hint="cs"/>
          <w:sz w:val="27"/>
          <w:rtl/>
          <w:lang w:bidi="ar-MA"/>
        </w:rPr>
        <w:t>.</w:t>
      </w:r>
    </w:p>
    <w:p w:rsidR="00E83C22" w:rsidRPr="00282AC9" w:rsidRDefault="00E83C22" w:rsidP="00A20690">
      <w:pPr>
        <w:rPr>
          <w:rtl/>
        </w:rPr>
      </w:pPr>
    </w:p>
    <w:p w:rsidR="003062B7" w:rsidRPr="00282AC9" w:rsidRDefault="003062B7" w:rsidP="00A20690">
      <w:pPr>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lastRenderedPageBreak/>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127"/>
          <w:headerReference w:type="default" r:id="rId128"/>
          <w:footerReference w:type="even" r:id="rId129"/>
          <w:footerReference w:type="defaul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F93ED3" w:rsidRPr="00282AC9" w:rsidRDefault="00F93ED3" w:rsidP="00883826">
      <w:pPr>
        <w:spacing w:line="420" w:lineRule="exact"/>
        <w:rPr>
          <w:rtl/>
        </w:rPr>
      </w:pPr>
    </w:p>
    <w:p w:rsidR="00E83C22" w:rsidRPr="00282AC9" w:rsidRDefault="00E83C22" w:rsidP="00883826">
      <w:pPr>
        <w:spacing w:line="420" w:lineRule="exact"/>
        <w:rPr>
          <w:rtl/>
        </w:rPr>
      </w:pPr>
    </w:p>
    <w:p w:rsidR="00E83C22" w:rsidRPr="00282AC9" w:rsidRDefault="002F241A" w:rsidP="002F241A">
      <w:pPr>
        <w:pStyle w:val="11"/>
        <w:spacing w:line="216" w:lineRule="auto"/>
        <w:rPr>
          <w:rtl/>
        </w:rPr>
      </w:pPr>
      <w:bookmarkStart w:id="78" w:name="_Toc87011522"/>
      <w:r w:rsidRPr="00282AC9">
        <w:rPr>
          <w:rFonts w:hint="cs"/>
          <w:rtl/>
        </w:rPr>
        <w:t>(انتصار الدم على السيف)</w:t>
      </w:r>
      <w:bookmarkEnd w:id="78"/>
    </w:p>
    <w:p w:rsidR="00E83C22" w:rsidRPr="00282AC9" w:rsidRDefault="00B46C5F" w:rsidP="001B0857">
      <w:pPr>
        <w:pStyle w:val="11"/>
        <w:spacing w:line="216" w:lineRule="auto"/>
        <w:rPr>
          <w:sz w:val="26"/>
          <w:szCs w:val="42"/>
          <w:rtl/>
        </w:rPr>
      </w:pPr>
      <w:bookmarkStart w:id="79" w:name="_Toc87011523"/>
      <w:r w:rsidRPr="00282AC9">
        <w:rPr>
          <w:rFonts w:hint="cs"/>
          <w:sz w:val="26"/>
          <w:szCs w:val="42"/>
          <w:rtl/>
        </w:rPr>
        <w:t>قراءةٌ نقديّة في المفهوم</w:t>
      </w:r>
      <w:bookmarkEnd w:id="79"/>
    </w:p>
    <w:p w:rsidR="00E83C22" w:rsidRPr="00282AC9" w:rsidRDefault="00E83C22" w:rsidP="00883826">
      <w:pPr>
        <w:spacing w:line="420" w:lineRule="exact"/>
        <w:rPr>
          <w:rtl/>
        </w:rPr>
      </w:pPr>
    </w:p>
    <w:p w:rsidR="00E83C22" w:rsidRPr="00282AC9" w:rsidRDefault="002F241A" w:rsidP="002F241A">
      <w:pPr>
        <w:pStyle w:val="Author"/>
        <w:rPr>
          <w:rtl/>
        </w:rPr>
      </w:pPr>
      <w:bookmarkStart w:id="80" w:name="_Toc87011524"/>
      <w:r w:rsidRPr="00282AC9">
        <w:rPr>
          <w:rFonts w:hint="cs"/>
          <w:rtl/>
        </w:rPr>
        <w:t>د. الشيخ عصري الباني</w:t>
      </w:r>
      <w:r w:rsidR="00527634" w:rsidRPr="00282AC9">
        <w:rPr>
          <w:rFonts w:cs="Taher" w:hint="cs"/>
          <w:vertAlign w:val="superscript"/>
          <w:rtl/>
        </w:rPr>
        <w:t>(</w:t>
      </w:r>
      <w:r w:rsidR="00527634" w:rsidRPr="00282AC9">
        <w:rPr>
          <w:rFonts w:cs="Taher"/>
          <w:vertAlign w:val="superscript"/>
          <w:rtl/>
        </w:rPr>
        <w:footnoteReference w:customMarkFollows="1" w:id="16"/>
        <w:t>*)</w:t>
      </w:r>
      <w:bookmarkEnd w:id="80"/>
    </w:p>
    <w:p w:rsidR="00E83C22" w:rsidRPr="00282AC9" w:rsidRDefault="00E83C22" w:rsidP="00883826">
      <w:pPr>
        <w:spacing w:line="420" w:lineRule="exact"/>
        <w:rPr>
          <w:rtl/>
        </w:rPr>
      </w:pPr>
    </w:p>
    <w:p w:rsidR="00965E08" w:rsidRPr="00282AC9" w:rsidRDefault="00965E08" w:rsidP="002F241A">
      <w:pPr>
        <w:pStyle w:val="31"/>
        <w:rPr>
          <w:color w:val="auto"/>
          <w:rtl/>
        </w:rPr>
      </w:pPr>
      <w:r w:rsidRPr="00282AC9">
        <w:rPr>
          <w:rFonts w:hint="cs"/>
          <w:color w:val="auto"/>
          <w:rtl/>
        </w:rPr>
        <w:t>تمهيدٌ</w:t>
      </w:r>
    </w:p>
    <w:p w:rsidR="00965E08" w:rsidRPr="00282AC9" w:rsidRDefault="000468E6" w:rsidP="003062B7">
      <w:pPr>
        <w:rPr>
          <w:rFonts w:asciiTheme="minorBidi" w:hAnsiTheme="minorBidi"/>
          <w:sz w:val="27"/>
          <w:rtl/>
        </w:rPr>
      </w:pPr>
      <w:r w:rsidRPr="00282AC9">
        <w:rPr>
          <w:rFonts w:asciiTheme="minorBidi" w:hAnsiTheme="minorBidi" w:hint="cs"/>
          <w:sz w:val="27"/>
          <w:rtl/>
        </w:rPr>
        <w:t>مَنْ يُراجِع م</w:t>
      </w:r>
      <w:r w:rsidR="00965E08" w:rsidRPr="00282AC9">
        <w:rPr>
          <w:rFonts w:asciiTheme="minorBidi" w:hAnsiTheme="minorBidi" w:hint="cs"/>
          <w:sz w:val="27"/>
          <w:rtl/>
        </w:rPr>
        <w:t>ا</w:t>
      </w:r>
      <w:r w:rsidR="00965E08" w:rsidRPr="00282AC9">
        <w:rPr>
          <w:rFonts w:asciiTheme="minorBidi" w:hAnsiTheme="minorBidi"/>
          <w:sz w:val="27"/>
          <w:rtl/>
        </w:rPr>
        <w:t xml:space="preserve"> </w:t>
      </w:r>
      <w:r w:rsidR="00965E08" w:rsidRPr="00282AC9">
        <w:rPr>
          <w:rFonts w:asciiTheme="minorBidi" w:hAnsiTheme="minorBidi" w:hint="cs"/>
          <w:sz w:val="27"/>
          <w:rtl/>
        </w:rPr>
        <w:t>كُتُب</w:t>
      </w:r>
      <w:r w:rsidR="00965E08" w:rsidRPr="00282AC9">
        <w:rPr>
          <w:rFonts w:asciiTheme="minorBidi" w:hAnsiTheme="minorBidi"/>
          <w:sz w:val="27"/>
          <w:rtl/>
        </w:rPr>
        <w:t xml:space="preserve"> </w:t>
      </w:r>
      <w:r w:rsidR="00965E08" w:rsidRPr="00282AC9">
        <w:rPr>
          <w:rFonts w:asciiTheme="minorBidi" w:hAnsiTheme="minorBidi" w:hint="cs"/>
          <w:sz w:val="27"/>
          <w:rtl/>
        </w:rPr>
        <w:t>عن</w:t>
      </w:r>
      <w:r w:rsidR="00965E08" w:rsidRPr="00282AC9">
        <w:rPr>
          <w:rFonts w:asciiTheme="minorBidi" w:hAnsiTheme="minorBidi"/>
          <w:sz w:val="27"/>
          <w:rtl/>
        </w:rPr>
        <w:t xml:space="preserve"> </w:t>
      </w:r>
      <w:r w:rsidR="00965E08" w:rsidRPr="00282AC9">
        <w:rPr>
          <w:rFonts w:asciiTheme="minorBidi" w:hAnsiTheme="minorBidi" w:hint="cs"/>
          <w:sz w:val="27"/>
          <w:rtl/>
        </w:rPr>
        <w:t>ال</w:t>
      </w:r>
      <w:r w:rsidRPr="00282AC9">
        <w:rPr>
          <w:rFonts w:asciiTheme="minorBidi" w:hAnsiTheme="minorBidi" w:hint="cs"/>
          <w:sz w:val="27"/>
          <w:rtl/>
        </w:rPr>
        <w:t>إ</w:t>
      </w:r>
      <w:r w:rsidR="00965E08"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00965E08" w:rsidRPr="00282AC9">
        <w:rPr>
          <w:rFonts w:asciiTheme="minorBidi" w:hAnsiTheme="minorBidi"/>
          <w:sz w:val="27"/>
          <w:rtl/>
        </w:rPr>
        <w:t xml:space="preserve"> </w:t>
      </w:r>
      <w:r w:rsidRPr="00282AC9">
        <w:rPr>
          <w:rFonts w:asciiTheme="minorBidi" w:hAnsiTheme="minorBidi" w:hint="cs"/>
          <w:sz w:val="27"/>
          <w:rtl/>
        </w:rPr>
        <w:t>من الكُتُب،</w:t>
      </w:r>
      <w:r w:rsidR="00965E08" w:rsidRPr="00282AC9">
        <w:rPr>
          <w:rFonts w:asciiTheme="minorBidi" w:hAnsiTheme="minorBidi"/>
          <w:sz w:val="27"/>
          <w:rtl/>
        </w:rPr>
        <w:t xml:space="preserve"> </w:t>
      </w:r>
      <w:r w:rsidRPr="00282AC9">
        <w:rPr>
          <w:rFonts w:asciiTheme="minorBidi" w:hAnsiTheme="minorBidi" w:hint="cs"/>
          <w:sz w:val="27"/>
          <w:rtl/>
        </w:rPr>
        <w:t>والأشعار</w:t>
      </w:r>
      <w:r w:rsidR="00965E08" w:rsidRPr="00282AC9">
        <w:rPr>
          <w:rFonts w:asciiTheme="minorBidi" w:hAnsiTheme="minorBidi"/>
          <w:sz w:val="27"/>
          <w:rtl/>
        </w:rPr>
        <w:t xml:space="preserve"> </w:t>
      </w:r>
      <w:r w:rsidR="00965E08" w:rsidRPr="00282AC9">
        <w:rPr>
          <w:rFonts w:asciiTheme="minorBidi" w:hAnsiTheme="minorBidi" w:hint="cs"/>
          <w:sz w:val="27"/>
          <w:rtl/>
        </w:rPr>
        <w:t>التي</w:t>
      </w:r>
      <w:r w:rsidR="00965E08" w:rsidRPr="00282AC9">
        <w:rPr>
          <w:rFonts w:asciiTheme="minorBidi" w:hAnsiTheme="minorBidi"/>
          <w:sz w:val="27"/>
          <w:rtl/>
        </w:rPr>
        <w:t xml:space="preserve"> </w:t>
      </w:r>
      <w:r w:rsidR="00965E08" w:rsidRPr="00282AC9">
        <w:rPr>
          <w:rFonts w:asciiTheme="minorBidi" w:hAnsiTheme="minorBidi" w:hint="cs"/>
          <w:sz w:val="27"/>
          <w:rtl/>
        </w:rPr>
        <w:t>نُظم</w:t>
      </w:r>
      <w:r w:rsidRPr="00282AC9">
        <w:rPr>
          <w:rFonts w:asciiTheme="minorBidi" w:hAnsiTheme="minorBidi" w:hint="cs"/>
          <w:sz w:val="27"/>
          <w:rtl/>
        </w:rPr>
        <w:t>َ</w:t>
      </w:r>
      <w:r w:rsidR="00965E08" w:rsidRPr="00282AC9">
        <w:rPr>
          <w:rFonts w:asciiTheme="minorBidi" w:hAnsiTheme="minorBidi" w:hint="cs"/>
          <w:sz w:val="27"/>
          <w:rtl/>
        </w:rPr>
        <w:t>ت</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إلى</w:t>
      </w:r>
      <w:r w:rsidR="00965E08" w:rsidRPr="00282AC9">
        <w:rPr>
          <w:rFonts w:asciiTheme="minorBidi" w:hAnsiTheme="minorBidi"/>
          <w:sz w:val="27"/>
          <w:rtl/>
        </w:rPr>
        <w:t xml:space="preserve"> </w:t>
      </w:r>
      <w:r w:rsidRPr="00282AC9">
        <w:rPr>
          <w:rFonts w:asciiTheme="minorBidi" w:hAnsiTheme="minorBidi" w:hint="cs"/>
          <w:sz w:val="27"/>
          <w:rtl/>
        </w:rPr>
        <w:t>فترة</w:t>
      </w:r>
      <w:r w:rsidR="00965E08" w:rsidRPr="00282AC9">
        <w:rPr>
          <w:rFonts w:asciiTheme="minorBidi" w:hAnsiTheme="minorBidi"/>
          <w:sz w:val="27"/>
          <w:rtl/>
        </w:rPr>
        <w:t xml:space="preserve"> </w:t>
      </w:r>
      <w:r w:rsidR="00965E08" w:rsidRPr="00282AC9">
        <w:rPr>
          <w:rFonts w:asciiTheme="minorBidi" w:hAnsiTheme="minorBidi" w:hint="cs"/>
          <w:sz w:val="27"/>
          <w:rtl/>
        </w:rPr>
        <w:t>ما</w:t>
      </w:r>
      <w:r w:rsidR="00965E08" w:rsidRPr="00282AC9">
        <w:rPr>
          <w:rFonts w:asciiTheme="minorBidi" w:hAnsiTheme="minorBidi"/>
          <w:sz w:val="27"/>
          <w:rtl/>
        </w:rPr>
        <w:t xml:space="preserve"> </w:t>
      </w:r>
      <w:r w:rsidRPr="00282AC9">
        <w:rPr>
          <w:rFonts w:asciiTheme="minorBidi" w:hAnsiTheme="minorBidi" w:hint="cs"/>
          <w:sz w:val="27"/>
          <w:rtl/>
        </w:rPr>
        <w:t>قبل</w:t>
      </w:r>
      <w:r w:rsidR="00965E08" w:rsidRPr="00282AC9">
        <w:rPr>
          <w:rFonts w:asciiTheme="minorBidi" w:hAnsiTheme="minorBidi"/>
          <w:sz w:val="27"/>
          <w:rtl/>
        </w:rPr>
        <w:t xml:space="preserve"> </w:t>
      </w:r>
      <w:r w:rsidR="00965E08" w:rsidRPr="00282AC9">
        <w:rPr>
          <w:rFonts w:asciiTheme="minorBidi" w:hAnsiTheme="minorBidi" w:hint="cs"/>
          <w:sz w:val="27"/>
          <w:rtl/>
        </w:rPr>
        <w:t>الخمسين</w:t>
      </w:r>
      <w:r w:rsidR="004D5A4A" w:rsidRPr="00282AC9">
        <w:rPr>
          <w:rFonts w:asciiTheme="minorBidi" w:hAnsiTheme="minorBidi" w:hint="cs"/>
          <w:sz w:val="27"/>
          <w:rtl/>
        </w:rPr>
        <w:t>يّ</w:t>
      </w:r>
      <w:r w:rsidR="00965E08" w:rsidRPr="00282AC9">
        <w:rPr>
          <w:rFonts w:asciiTheme="minorBidi" w:hAnsiTheme="minorBidi" w:hint="cs"/>
          <w:sz w:val="27"/>
          <w:rtl/>
        </w:rPr>
        <w:t>ات</w:t>
      </w:r>
      <w:r w:rsidR="00965E08" w:rsidRPr="00282AC9">
        <w:rPr>
          <w:rFonts w:asciiTheme="minorBidi" w:hAnsiTheme="minorBidi"/>
          <w:sz w:val="27"/>
          <w:rtl/>
        </w:rPr>
        <w:t xml:space="preserve"> </w:t>
      </w:r>
      <w:r w:rsidR="00965E08" w:rsidRPr="00282AC9">
        <w:rPr>
          <w:rFonts w:asciiTheme="minorBidi" w:hAnsiTheme="minorBidi" w:hint="cs"/>
          <w:sz w:val="27"/>
          <w:rtl/>
        </w:rPr>
        <w:t>من القرن الماضي</w:t>
      </w:r>
      <w:r w:rsidRPr="00282AC9">
        <w:rPr>
          <w:rFonts w:asciiTheme="minorBidi" w:hAnsiTheme="minorBidi" w:hint="cs"/>
          <w:sz w:val="27"/>
          <w:rtl/>
        </w:rPr>
        <w:t>،</w:t>
      </w:r>
      <w:r w:rsidR="00965E08" w:rsidRPr="00282AC9">
        <w:rPr>
          <w:rFonts w:asciiTheme="minorBidi" w:hAnsiTheme="minorBidi" w:hint="cs"/>
          <w:sz w:val="27"/>
          <w:rtl/>
        </w:rPr>
        <w:t xml:space="preserve"> لا</w:t>
      </w:r>
      <w:r w:rsidR="00965E08" w:rsidRPr="00282AC9">
        <w:rPr>
          <w:rFonts w:asciiTheme="minorBidi" w:hAnsiTheme="minorBidi"/>
          <w:sz w:val="27"/>
          <w:rtl/>
        </w:rPr>
        <w:t xml:space="preserve"> </w:t>
      </w:r>
      <w:r w:rsidR="00965E08" w:rsidRPr="00282AC9">
        <w:rPr>
          <w:rFonts w:asciiTheme="minorBidi" w:hAnsiTheme="minorBidi" w:hint="cs"/>
          <w:sz w:val="27"/>
          <w:rtl/>
        </w:rPr>
        <w:t>يرى</w:t>
      </w:r>
      <w:r w:rsidR="00965E08" w:rsidRPr="00282AC9">
        <w:rPr>
          <w:rFonts w:asciiTheme="minorBidi" w:hAnsiTheme="minorBidi"/>
          <w:sz w:val="27"/>
          <w:rtl/>
        </w:rPr>
        <w:t xml:space="preserve"> </w:t>
      </w:r>
      <w:r w:rsidR="00965E08" w:rsidRPr="00282AC9">
        <w:rPr>
          <w:rFonts w:asciiTheme="minorBidi" w:hAnsiTheme="minorBidi" w:hint="cs"/>
          <w:sz w:val="27"/>
          <w:rtl/>
        </w:rPr>
        <w:t>تصريحا</w:t>
      </w:r>
      <w:r w:rsidRPr="00282AC9">
        <w:rPr>
          <w:rFonts w:asciiTheme="minorBidi" w:hAnsiTheme="minorBidi" w:hint="cs"/>
          <w:sz w:val="27"/>
          <w:rtl/>
        </w:rPr>
        <w:t>ً</w:t>
      </w:r>
      <w:r w:rsidR="00965E08" w:rsidRPr="00282AC9">
        <w:rPr>
          <w:rFonts w:asciiTheme="minorBidi" w:hAnsiTheme="minorBidi" w:hint="cs"/>
          <w:sz w:val="27"/>
          <w:rtl/>
        </w:rPr>
        <w:t xml:space="preserve"> </w:t>
      </w:r>
      <w:r w:rsidRPr="00282AC9">
        <w:rPr>
          <w:rFonts w:asciiTheme="minorBidi" w:hAnsiTheme="minorBidi" w:hint="cs"/>
          <w:sz w:val="27"/>
          <w:rtl/>
        </w:rPr>
        <w:t>أ</w:t>
      </w:r>
      <w:r w:rsidR="00965E08" w:rsidRPr="00282AC9">
        <w:rPr>
          <w:rFonts w:asciiTheme="minorBidi" w:hAnsiTheme="minorBidi" w:hint="cs"/>
          <w:sz w:val="27"/>
          <w:rtl/>
        </w:rPr>
        <w:t>و تلميحا</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يتحد</w:t>
      </w:r>
      <w:r w:rsidRPr="00282AC9">
        <w:rPr>
          <w:rFonts w:asciiTheme="minorBidi" w:hAnsiTheme="minorBidi" w:hint="cs"/>
          <w:sz w:val="27"/>
          <w:rtl/>
        </w:rPr>
        <w:t>ّ</w:t>
      </w:r>
      <w:r w:rsidR="00965E08" w:rsidRPr="00282AC9">
        <w:rPr>
          <w:rFonts w:asciiTheme="minorBidi" w:hAnsiTheme="minorBidi" w:hint="cs"/>
          <w:sz w:val="27"/>
          <w:rtl/>
        </w:rPr>
        <w:t>ث</w:t>
      </w:r>
      <w:r w:rsidR="00965E08" w:rsidRPr="00282AC9">
        <w:rPr>
          <w:rFonts w:asciiTheme="minorBidi" w:hAnsiTheme="minorBidi"/>
          <w:sz w:val="27"/>
          <w:rtl/>
        </w:rPr>
        <w:t xml:space="preserve"> </w:t>
      </w:r>
      <w:r w:rsidR="00965E08" w:rsidRPr="00282AC9">
        <w:rPr>
          <w:rFonts w:asciiTheme="minorBidi" w:hAnsiTheme="minorBidi" w:hint="cs"/>
          <w:sz w:val="27"/>
          <w:rtl/>
        </w:rPr>
        <w:t>عن</w:t>
      </w:r>
      <w:r w:rsidR="00965E08" w:rsidRPr="00282AC9">
        <w:rPr>
          <w:rFonts w:asciiTheme="minorBidi" w:hAnsiTheme="minorBidi"/>
          <w:sz w:val="27"/>
          <w:rtl/>
        </w:rPr>
        <w:t xml:space="preserve"> </w:t>
      </w:r>
      <w:r w:rsidR="00965E08" w:rsidRPr="00282AC9">
        <w:rPr>
          <w:rFonts w:asciiTheme="minorBidi" w:hAnsiTheme="minorBidi" w:hint="cs"/>
          <w:sz w:val="27"/>
          <w:rtl/>
        </w:rPr>
        <w:t>أنَّ</w:t>
      </w:r>
      <w:r w:rsidR="00965E08" w:rsidRPr="00282AC9">
        <w:rPr>
          <w:rFonts w:asciiTheme="minorBidi" w:hAnsiTheme="minorBidi"/>
          <w:sz w:val="27"/>
          <w:rtl/>
        </w:rPr>
        <w:t xml:space="preserve"> </w:t>
      </w:r>
      <w:r w:rsidR="00965E08" w:rsidRPr="00282AC9">
        <w:rPr>
          <w:rFonts w:asciiTheme="minorBidi" w:hAnsiTheme="minorBidi" w:hint="cs"/>
          <w:sz w:val="27"/>
          <w:rtl/>
        </w:rPr>
        <w:t>الامام الحسين</w:t>
      </w:r>
      <w:r w:rsidR="009A2A04" w:rsidRPr="00282AC9">
        <w:rPr>
          <w:rFonts w:asciiTheme="minorBidi" w:hAnsiTheme="minorBidi" w:cs="Mosawi" w:hint="cs"/>
          <w:sz w:val="22"/>
          <w:szCs w:val="22"/>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انتصر</w:t>
      </w:r>
      <w:r w:rsidR="00965E08" w:rsidRPr="00282AC9">
        <w:rPr>
          <w:rFonts w:asciiTheme="minorBidi" w:hAnsiTheme="minorBidi"/>
          <w:sz w:val="27"/>
          <w:rtl/>
        </w:rPr>
        <w:t xml:space="preserve"> </w:t>
      </w:r>
      <w:r w:rsidR="00965E08" w:rsidRPr="00282AC9">
        <w:rPr>
          <w:rFonts w:asciiTheme="minorBidi" w:hAnsiTheme="minorBidi" w:hint="cs"/>
          <w:sz w:val="27"/>
          <w:rtl/>
        </w:rPr>
        <w:t>بحَسَب</w:t>
      </w:r>
      <w:r w:rsidR="00965E08" w:rsidRPr="00282AC9">
        <w:rPr>
          <w:rFonts w:asciiTheme="minorBidi" w:hAnsiTheme="minorBidi"/>
          <w:sz w:val="27"/>
          <w:rtl/>
        </w:rPr>
        <w:t xml:space="preserve"> </w:t>
      </w:r>
      <w:r w:rsidR="00965E08" w:rsidRPr="00282AC9">
        <w:rPr>
          <w:rFonts w:asciiTheme="minorBidi" w:hAnsiTheme="minorBidi" w:hint="cs"/>
          <w:sz w:val="27"/>
          <w:rtl/>
        </w:rPr>
        <w:t>الف</w:t>
      </w:r>
      <w:r w:rsidRPr="00282AC9">
        <w:rPr>
          <w:rFonts w:asciiTheme="minorBidi" w:hAnsiTheme="minorBidi" w:hint="cs"/>
          <w:sz w:val="27"/>
          <w:rtl/>
        </w:rPr>
        <w:t>َ</w:t>
      </w:r>
      <w:r w:rsidR="00965E08" w:rsidRPr="00282AC9">
        <w:rPr>
          <w:rFonts w:asciiTheme="minorBidi" w:hAnsiTheme="minorBidi" w:hint="cs"/>
          <w:sz w:val="27"/>
          <w:rtl/>
        </w:rPr>
        <w:t>ه</w:t>
      </w:r>
      <w:r w:rsidRPr="00282AC9">
        <w:rPr>
          <w:rFonts w:asciiTheme="minorBidi" w:hAnsiTheme="minorBidi" w:hint="cs"/>
          <w:sz w:val="27"/>
          <w:rtl/>
        </w:rPr>
        <w:t>ْ</w:t>
      </w:r>
      <w:r w:rsidR="00965E08" w:rsidRPr="00282AC9">
        <w:rPr>
          <w:rFonts w:asciiTheme="minorBidi" w:hAnsiTheme="minorBidi" w:hint="cs"/>
          <w:sz w:val="27"/>
          <w:rtl/>
        </w:rPr>
        <w:t>م</w:t>
      </w:r>
      <w:r w:rsidR="00965E08" w:rsidRPr="00282AC9">
        <w:rPr>
          <w:rFonts w:asciiTheme="minorBidi" w:hAnsiTheme="minorBidi"/>
          <w:sz w:val="27"/>
          <w:rtl/>
        </w:rPr>
        <w:t xml:space="preserve"> </w:t>
      </w:r>
      <w:r w:rsidR="00965E08" w:rsidRPr="00282AC9">
        <w:rPr>
          <w:rFonts w:asciiTheme="minorBidi" w:hAnsiTheme="minorBidi" w:hint="cs"/>
          <w:sz w:val="27"/>
          <w:rtl/>
        </w:rPr>
        <w:t>الشائع</w:t>
      </w:r>
      <w:r w:rsidR="00965E08" w:rsidRPr="00282AC9">
        <w:rPr>
          <w:rFonts w:asciiTheme="minorBidi" w:hAnsiTheme="minorBidi"/>
          <w:sz w:val="27"/>
          <w:rtl/>
        </w:rPr>
        <w:t xml:space="preserve"> </w:t>
      </w:r>
      <w:r w:rsidR="00965E08" w:rsidRPr="00282AC9">
        <w:rPr>
          <w:rFonts w:asciiTheme="minorBidi" w:hAnsiTheme="minorBidi" w:hint="cs"/>
          <w:sz w:val="27"/>
          <w:rtl/>
        </w:rPr>
        <w:t>والمعروف</w:t>
      </w:r>
      <w:r w:rsidR="00965E08" w:rsidRPr="00282AC9">
        <w:rPr>
          <w:rFonts w:asciiTheme="minorBidi" w:hAnsiTheme="minorBidi"/>
          <w:sz w:val="27"/>
          <w:rtl/>
        </w:rPr>
        <w:t xml:space="preserve"> </w:t>
      </w:r>
      <w:r w:rsidR="00965E08" w:rsidRPr="00282AC9">
        <w:rPr>
          <w:rFonts w:asciiTheme="minorBidi" w:hAnsiTheme="minorBidi" w:hint="cs"/>
          <w:sz w:val="27"/>
          <w:rtl/>
        </w:rPr>
        <w:t>لدى</w:t>
      </w:r>
      <w:r w:rsidR="00965E08" w:rsidRPr="00282AC9">
        <w:rPr>
          <w:rFonts w:asciiTheme="minorBidi" w:hAnsiTheme="minorBidi"/>
          <w:sz w:val="27"/>
          <w:rtl/>
        </w:rPr>
        <w:t xml:space="preserve"> </w:t>
      </w:r>
      <w:r w:rsidR="00965E08" w:rsidRPr="00282AC9">
        <w:rPr>
          <w:rFonts w:asciiTheme="minorBidi" w:hAnsiTheme="minorBidi" w:hint="cs"/>
          <w:sz w:val="27"/>
          <w:rtl/>
        </w:rPr>
        <w:t>عموم الشيعة اليوم</w:t>
      </w:r>
      <w:r w:rsidRPr="00282AC9">
        <w:rPr>
          <w:rFonts w:asciiTheme="minorBidi" w:hAnsiTheme="minorBidi" w:hint="cs"/>
          <w:sz w:val="27"/>
          <w:rtl/>
        </w:rPr>
        <w:t>،</w:t>
      </w:r>
      <w:r w:rsidR="00965E08" w:rsidRPr="00282AC9">
        <w:rPr>
          <w:rFonts w:asciiTheme="minorBidi" w:hAnsiTheme="minorBidi" w:hint="cs"/>
          <w:sz w:val="27"/>
          <w:rtl/>
        </w:rPr>
        <w:t xml:space="preserve"> في أنّه</w:t>
      </w:r>
      <w:r w:rsidR="00965E08" w:rsidRPr="00282AC9">
        <w:rPr>
          <w:rFonts w:asciiTheme="minorBidi" w:hAnsiTheme="minorBidi"/>
          <w:sz w:val="27"/>
          <w:rtl/>
        </w:rPr>
        <w:t xml:space="preserve"> </w:t>
      </w:r>
      <w:r w:rsidR="00965E08" w:rsidRPr="00282AC9">
        <w:rPr>
          <w:rFonts w:asciiTheme="minorBidi" w:hAnsiTheme="minorBidi" w:hint="cs"/>
          <w:sz w:val="27"/>
          <w:rtl/>
        </w:rPr>
        <w:t>تغلّ</w:t>
      </w:r>
      <w:r w:rsidRPr="00282AC9">
        <w:rPr>
          <w:rFonts w:asciiTheme="minorBidi" w:hAnsiTheme="minorBidi" w:hint="cs"/>
          <w:sz w:val="27"/>
          <w:rtl/>
        </w:rPr>
        <w:t>َب</w:t>
      </w:r>
      <w:r w:rsidR="00965E08" w:rsidRPr="00282AC9">
        <w:rPr>
          <w:rFonts w:asciiTheme="minorBidi" w:hAnsiTheme="minorBidi"/>
          <w:sz w:val="27"/>
          <w:rtl/>
        </w:rPr>
        <w:t xml:space="preserve"> </w:t>
      </w:r>
      <w:r w:rsidR="00965E08" w:rsidRPr="00282AC9">
        <w:rPr>
          <w:rFonts w:asciiTheme="minorBidi" w:hAnsiTheme="minorBidi" w:hint="cs"/>
          <w:sz w:val="27"/>
          <w:rtl/>
        </w:rPr>
        <w:t>على</w:t>
      </w:r>
      <w:r w:rsidR="00965E08" w:rsidRPr="00282AC9">
        <w:rPr>
          <w:rFonts w:asciiTheme="minorBidi" w:hAnsiTheme="minorBidi"/>
          <w:sz w:val="27"/>
          <w:rtl/>
        </w:rPr>
        <w:t xml:space="preserve"> </w:t>
      </w:r>
      <w:r w:rsidR="00965E08" w:rsidRPr="00282AC9">
        <w:rPr>
          <w:rFonts w:asciiTheme="minorBidi" w:hAnsiTheme="minorBidi" w:hint="cs"/>
          <w:sz w:val="27"/>
          <w:rtl/>
        </w:rPr>
        <w:t>خَص</w:t>
      </w:r>
      <w:r w:rsidRPr="00282AC9">
        <w:rPr>
          <w:rFonts w:asciiTheme="minorBidi" w:hAnsiTheme="minorBidi" w:hint="cs"/>
          <w:sz w:val="27"/>
          <w:rtl/>
        </w:rPr>
        <w:t>ْمه</w:t>
      </w:r>
      <w:r w:rsidR="00965E08" w:rsidRPr="00282AC9">
        <w:rPr>
          <w:rFonts w:asciiTheme="minorBidi" w:hAnsiTheme="minorBidi" w:hint="cs"/>
          <w:sz w:val="27"/>
          <w:rtl/>
        </w:rPr>
        <w:t>.</w:t>
      </w:r>
    </w:p>
    <w:p w:rsidR="00965E08" w:rsidRPr="00282AC9" w:rsidRDefault="000468E6" w:rsidP="003062B7">
      <w:pPr>
        <w:rPr>
          <w:rFonts w:asciiTheme="minorBidi" w:hAnsiTheme="minorBidi"/>
          <w:sz w:val="27"/>
        </w:rPr>
      </w:pPr>
      <w:r w:rsidRPr="00282AC9">
        <w:rPr>
          <w:rFonts w:asciiTheme="minorBidi" w:hAnsiTheme="minorBidi" w:hint="cs"/>
          <w:sz w:val="27"/>
          <w:rtl/>
        </w:rPr>
        <w:t>فالكتابات والأش</w:t>
      </w:r>
      <w:r w:rsidR="00965E08" w:rsidRPr="00282AC9">
        <w:rPr>
          <w:rFonts w:asciiTheme="minorBidi" w:hAnsiTheme="minorBidi" w:hint="cs"/>
          <w:sz w:val="27"/>
          <w:rtl/>
        </w:rPr>
        <w:t>عار</w:t>
      </w:r>
      <w:r w:rsidR="00965E08" w:rsidRPr="00282AC9">
        <w:rPr>
          <w:rFonts w:asciiTheme="minorBidi" w:hAnsiTheme="minorBidi"/>
          <w:sz w:val="27"/>
          <w:rtl/>
        </w:rPr>
        <w:t xml:space="preserve"> </w:t>
      </w:r>
      <w:r w:rsidR="00965E08" w:rsidRPr="00282AC9">
        <w:rPr>
          <w:rFonts w:asciiTheme="minorBidi" w:hAnsiTheme="minorBidi" w:hint="cs"/>
          <w:sz w:val="27"/>
          <w:rtl/>
        </w:rPr>
        <w:t>قبل هذه المرحلة كانت تتحد</w:t>
      </w:r>
      <w:r w:rsidRPr="00282AC9">
        <w:rPr>
          <w:rFonts w:asciiTheme="minorBidi" w:hAnsiTheme="minorBidi" w:hint="cs"/>
          <w:sz w:val="27"/>
          <w:rtl/>
        </w:rPr>
        <w:t>َّ</w:t>
      </w:r>
      <w:r w:rsidR="00965E08" w:rsidRPr="00282AC9">
        <w:rPr>
          <w:rFonts w:asciiTheme="minorBidi" w:hAnsiTheme="minorBidi" w:hint="cs"/>
          <w:sz w:val="27"/>
          <w:rtl/>
        </w:rPr>
        <w:t>ث</w:t>
      </w:r>
      <w:r w:rsidR="00965E08" w:rsidRPr="00282AC9">
        <w:rPr>
          <w:rFonts w:asciiTheme="minorBidi" w:hAnsiTheme="minorBidi"/>
          <w:sz w:val="27"/>
          <w:rtl/>
        </w:rPr>
        <w:t xml:space="preserve"> </w:t>
      </w:r>
      <w:r w:rsidR="00965E08" w:rsidRPr="00282AC9">
        <w:rPr>
          <w:rFonts w:asciiTheme="minorBidi" w:hAnsiTheme="minorBidi" w:hint="cs"/>
          <w:sz w:val="27"/>
          <w:rtl/>
        </w:rPr>
        <w:t>عن</w:t>
      </w:r>
      <w:r w:rsidR="00965E08" w:rsidRPr="00282AC9">
        <w:rPr>
          <w:rFonts w:asciiTheme="minorBidi" w:hAnsiTheme="minorBidi"/>
          <w:sz w:val="27"/>
          <w:rtl/>
        </w:rPr>
        <w:t xml:space="preserve"> </w:t>
      </w:r>
      <w:r w:rsidR="00965E08" w:rsidRPr="00282AC9">
        <w:rPr>
          <w:rFonts w:asciiTheme="minorBidi" w:hAnsiTheme="minorBidi" w:hint="cs"/>
          <w:sz w:val="27"/>
          <w:rtl/>
        </w:rPr>
        <w:t>شجاعته،</w:t>
      </w:r>
      <w:r w:rsidR="00965E08" w:rsidRPr="00282AC9">
        <w:rPr>
          <w:rFonts w:asciiTheme="minorBidi" w:hAnsiTheme="minorBidi"/>
          <w:sz w:val="27"/>
          <w:rtl/>
        </w:rPr>
        <w:t xml:space="preserve"> </w:t>
      </w:r>
      <w:r w:rsidR="00965E08" w:rsidRPr="00282AC9">
        <w:rPr>
          <w:rFonts w:asciiTheme="minorBidi" w:hAnsiTheme="minorBidi" w:hint="cs"/>
          <w:sz w:val="27"/>
          <w:rtl/>
        </w:rPr>
        <w:t>وعن</w:t>
      </w:r>
      <w:r w:rsidR="00965E08" w:rsidRPr="00282AC9">
        <w:rPr>
          <w:rFonts w:asciiTheme="minorBidi" w:hAnsiTheme="minorBidi"/>
          <w:sz w:val="27"/>
          <w:rtl/>
        </w:rPr>
        <w:t xml:space="preserve"> </w:t>
      </w:r>
      <w:r w:rsidR="00965E08" w:rsidRPr="00282AC9">
        <w:rPr>
          <w:rFonts w:asciiTheme="minorBidi" w:hAnsiTheme="minorBidi" w:hint="cs"/>
          <w:sz w:val="27"/>
          <w:rtl/>
        </w:rPr>
        <w:t>عُل</w:t>
      </w:r>
      <w:r w:rsidRPr="00282AC9">
        <w:rPr>
          <w:rFonts w:asciiTheme="minorBidi" w:hAnsiTheme="minorBidi" w:hint="cs"/>
          <w:sz w:val="27"/>
          <w:rtl/>
        </w:rPr>
        <w:t>ُ</w:t>
      </w:r>
      <w:r w:rsidR="00965E08" w:rsidRPr="00282AC9">
        <w:rPr>
          <w:rFonts w:asciiTheme="minorBidi" w:hAnsiTheme="minorBidi" w:hint="cs"/>
          <w:sz w:val="27"/>
          <w:rtl/>
        </w:rPr>
        <w:t>وّ</w:t>
      </w:r>
      <w:r w:rsidR="00965E08" w:rsidRPr="00282AC9">
        <w:rPr>
          <w:rFonts w:asciiTheme="minorBidi" w:hAnsiTheme="minorBidi"/>
          <w:sz w:val="27"/>
          <w:rtl/>
        </w:rPr>
        <w:t xml:space="preserve"> </w:t>
      </w:r>
      <w:r w:rsidR="00965E08" w:rsidRPr="00282AC9">
        <w:rPr>
          <w:rFonts w:asciiTheme="minorBidi" w:hAnsiTheme="minorBidi" w:hint="cs"/>
          <w:sz w:val="27"/>
          <w:rtl/>
        </w:rPr>
        <w:t>هِم</w:t>
      </w:r>
      <w:r w:rsidRPr="00282AC9">
        <w:rPr>
          <w:rFonts w:asciiTheme="minorBidi" w:hAnsiTheme="minorBidi" w:hint="cs"/>
          <w:sz w:val="27"/>
          <w:rtl/>
        </w:rPr>
        <w:t>َّت</w:t>
      </w:r>
      <w:r w:rsidR="00965E08" w:rsidRPr="00282AC9">
        <w:rPr>
          <w:rFonts w:asciiTheme="minorBidi" w:hAnsiTheme="minorBidi" w:hint="cs"/>
          <w:sz w:val="27"/>
          <w:rtl/>
        </w:rPr>
        <w:t>ه،</w:t>
      </w:r>
      <w:r w:rsidR="00965E08" w:rsidRPr="00282AC9">
        <w:rPr>
          <w:rFonts w:asciiTheme="minorBidi" w:hAnsiTheme="minorBidi"/>
          <w:sz w:val="27"/>
          <w:rtl/>
        </w:rPr>
        <w:t xml:space="preserve"> </w:t>
      </w:r>
      <w:r w:rsidRPr="00282AC9">
        <w:rPr>
          <w:rFonts w:asciiTheme="minorBidi" w:hAnsiTheme="minorBidi" w:hint="cs"/>
          <w:sz w:val="27"/>
          <w:rtl/>
        </w:rPr>
        <w:t>وجُرأته</w:t>
      </w:r>
      <w:r w:rsidR="00965E08" w:rsidRPr="00282AC9">
        <w:rPr>
          <w:rFonts w:asciiTheme="minorBidi" w:hAnsiTheme="minorBidi" w:hint="cs"/>
          <w:sz w:val="27"/>
          <w:rtl/>
        </w:rPr>
        <w:t>،</w:t>
      </w:r>
      <w:r w:rsidR="00965E08" w:rsidRPr="00282AC9">
        <w:rPr>
          <w:rFonts w:asciiTheme="minorBidi" w:hAnsiTheme="minorBidi"/>
          <w:sz w:val="27"/>
          <w:rtl/>
        </w:rPr>
        <w:t xml:space="preserve"> و</w:t>
      </w:r>
      <w:r w:rsidRPr="00282AC9">
        <w:rPr>
          <w:rFonts w:asciiTheme="minorBidi" w:hAnsiTheme="minorBidi" w:hint="cs"/>
          <w:sz w:val="27"/>
          <w:rtl/>
        </w:rPr>
        <w:t>وضوحه</w:t>
      </w:r>
      <w:r w:rsidR="00965E08" w:rsidRPr="00282AC9">
        <w:rPr>
          <w:rFonts w:asciiTheme="minorBidi" w:hAnsiTheme="minorBidi" w:hint="cs"/>
          <w:sz w:val="27"/>
          <w:rtl/>
        </w:rPr>
        <w:t>،</w:t>
      </w:r>
      <w:r w:rsidR="00965E08" w:rsidRPr="00282AC9">
        <w:rPr>
          <w:rFonts w:asciiTheme="minorBidi" w:hAnsiTheme="minorBidi"/>
          <w:sz w:val="27"/>
          <w:rtl/>
        </w:rPr>
        <w:t xml:space="preserve"> و</w:t>
      </w:r>
      <w:r w:rsidRPr="00282AC9">
        <w:rPr>
          <w:rFonts w:asciiTheme="minorBidi" w:hAnsiTheme="minorBidi" w:hint="cs"/>
          <w:sz w:val="27"/>
          <w:rtl/>
        </w:rPr>
        <w:t>إقدامه</w:t>
      </w:r>
      <w:r w:rsidR="00965E08"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وعزّ</w:t>
      </w:r>
      <w:r w:rsidRPr="00282AC9">
        <w:rPr>
          <w:rFonts w:asciiTheme="minorBidi" w:hAnsiTheme="minorBidi" w:hint="cs"/>
          <w:sz w:val="27"/>
          <w:rtl/>
        </w:rPr>
        <w:t>ِ</w:t>
      </w:r>
      <w:r w:rsidR="00965E08" w:rsidRPr="00282AC9">
        <w:rPr>
          <w:rFonts w:asciiTheme="minorBidi" w:hAnsiTheme="minorBidi" w:hint="cs"/>
          <w:sz w:val="27"/>
          <w:rtl/>
        </w:rPr>
        <w:t>ه،</w:t>
      </w:r>
      <w:r w:rsidR="00965E08" w:rsidRPr="00282AC9">
        <w:rPr>
          <w:rFonts w:asciiTheme="minorBidi" w:hAnsiTheme="minorBidi"/>
          <w:sz w:val="27"/>
          <w:rtl/>
        </w:rPr>
        <w:t xml:space="preserve"> </w:t>
      </w:r>
      <w:r w:rsidR="00965E08" w:rsidRPr="00282AC9">
        <w:rPr>
          <w:rFonts w:asciiTheme="minorBidi" w:hAnsiTheme="minorBidi" w:hint="cs"/>
          <w:sz w:val="27"/>
          <w:rtl/>
        </w:rPr>
        <w:t>وشموخه،</w:t>
      </w:r>
      <w:r w:rsidR="00965E08" w:rsidRPr="00282AC9">
        <w:rPr>
          <w:rFonts w:asciiTheme="minorBidi" w:hAnsiTheme="minorBidi"/>
          <w:sz w:val="27"/>
          <w:rtl/>
        </w:rPr>
        <w:t xml:space="preserve"> </w:t>
      </w:r>
      <w:r w:rsidR="00965E08" w:rsidRPr="00282AC9">
        <w:rPr>
          <w:rFonts w:asciiTheme="minorBidi" w:hAnsiTheme="minorBidi" w:hint="cs"/>
          <w:sz w:val="27"/>
          <w:rtl/>
        </w:rPr>
        <w:t>وأنّهُ</w:t>
      </w:r>
      <w:r w:rsidR="00965E08" w:rsidRPr="00282AC9">
        <w:rPr>
          <w:rFonts w:asciiTheme="minorBidi" w:hAnsiTheme="minorBidi"/>
          <w:sz w:val="27"/>
          <w:rtl/>
        </w:rPr>
        <w:t xml:space="preserve"> </w:t>
      </w:r>
      <w:r w:rsidR="00965E08" w:rsidRPr="00282AC9">
        <w:rPr>
          <w:rFonts w:asciiTheme="minorBidi" w:hAnsiTheme="minorBidi" w:hint="cs"/>
          <w:sz w:val="27"/>
          <w:rtl/>
        </w:rPr>
        <w:t>بنى</w:t>
      </w:r>
      <w:r w:rsidR="00965E08" w:rsidRPr="00282AC9">
        <w:rPr>
          <w:rFonts w:asciiTheme="minorBidi" w:hAnsiTheme="minorBidi"/>
          <w:sz w:val="27"/>
          <w:rtl/>
        </w:rPr>
        <w:t xml:space="preserve"> </w:t>
      </w:r>
      <w:r w:rsidRPr="00282AC9">
        <w:rPr>
          <w:rFonts w:asciiTheme="minorBidi" w:hAnsiTheme="minorBidi" w:hint="cs"/>
          <w:sz w:val="27"/>
          <w:rtl/>
        </w:rPr>
        <w:t>لنفسه</w:t>
      </w:r>
      <w:r w:rsidR="00965E08" w:rsidRPr="00282AC9">
        <w:rPr>
          <w:rFonts w:asciiTheme="minorBidi" w:hAnsiTheme="minorBidi"/>
          <w:sz w:val="27"/>
          <w:rtl/>
        </w:rPr>
        <w:t xml:space="preserve"> و</w:t>
      </w:r>
      <w:r w:rsidRPr="00282AC9">
        <w:rPr>
          <w:rFonts w:asciiTheme="minorBidi" w:hAnsiTheme="minorBidi" w:hint="cs"/>
          <w:sz w:val="27"/>
          <w:rtl/>
        </w:rPr>
        <w:t>لقومه</w:t>
      </w:r>
      <w:r w:rsidR="00965E08" w:rsidRPr="00282AC9">
        <w:rPr>
          <w:rFonts w:asciiTheme="minorBidi" w:hAnsiTheme="minorBidi"/>
          <w:sz w:val="27"/>
          <w:rtl/>
        </w:rPr>
        <w:t xml:space="preserve"> </w:t>
      </w:r>
      <w:r w:rsidR="00965E08" w:rsidRPr="00282AC9">
        <w:rPr>
          <w:rFonts w:asciiTheme="minorBidi" w:hAnsiTheme="minorBidi" w:hint="cs"/>
          <w:sz w:val="27"/>
          <w:rtl/>
        </w:rPr>
        <w:t>م</w:t>
      </w:r>
      <w:r w:rsidRPr="00282AC9">
        <w:rPr>
          <w:rFonts w:asciiTheme="minorBidi" w:hAnsiTheme="minorBidi" w:hint="cs"/>
          <w:sz w:val="27"/>
          <w:rtl/>
        </w:rPr>
        <w:t>َ</w:t>
      </w:r>
      <w:r w:rsidR="00965E08" w:rsidRPr="00282AC9">
        <w:rPr>
          <w:rFonts w:asciiTheme="minorBidi" w:hAnsiTheme="minorBidi" w:hint="cs"/>
          <w:sz w:val="27"/>
          <w:rtl/>
        </w:rPr>
        <w:t>ج</w:t>
      </w:r>
      <w:r w:rsidRPr="00282AC9">
        <w:rPr>
          <w:rFonts w:asciiTheme="minorBidi" w:hAnsiTheme="minorBidi" w:hint="cs"/>
          <w:sz w:val="27"/>
          <w:rtl/>
        </w:rPr>
        <w:t>ْ</w:t>
      </w:r>
      <w:r w:rsidR="00965E08" w:rsidRPr="00282AC9">
        <w:rPr>
          <w:rFonts w:asciiTheme="minorBidi" w:hAnsiTheme="minorBidi" w:hint="cs"/>
          <w:sz w:val="27"/>
          <w:rtl/>
        </w:rPr>
        <w:t>داً</w:t>
      </w:r>
      <w:r w:rsidR="00965E08" w:rsidRPr="00282AC9">
        <w:rPr>
          <w:rFonts w:asciiTheme="minorBidi" w:hAnsiTheme="minorBidi"/>
          <w:sz w:val="27"/>
          <w:rtl/>
        </w:rPr>
        <w:t xml:space="preserve"> </w:t>
      </w:r>
      <w:r w:rsidRPr="00282AC9">
        <w:rPr>
          <w:rFonts w:asciiTheme="minorBidi" w:hAnsiTheme="minorBidi" w:hint="cs"/>
          <w:sz w:val="27"/>
          <w:rtl/>
        </w:rPr>
        <w:t>عظيماً ع</w:t>
      </w:r>
      <w:r w:rsidR="00965E08" w:rsidRPr="00282AC9">
        <w:rPr>
          <w:rFonts w:asciiTheme="minorBidi" w:hAnsiTheme="minorBidi" w:hint="cs"/>
          <w:sz w:val="27"/>
          <w:rtl/>
        </w:rPr>
        <w:t>بر</w:t>
      </w:r>
      <w:r w:rsidR="00965E08" w:rsidRPr="00282AC9">
        <w:rPr>
          <w:rFonts w:asciiTheme="minorBidi" w:hAnsiTheme="minorBidi"/>
          <w:sz w:val="27"/>
          <w:rtl/>
        </w:rPr>
        <w:t xml:space="preserve"> </w:t>
      </w:r>
      <w:r w:rsidR="00965E08" w:rsidRPr="00282AC9">
        <w:rPr>
          <w:rFonts w:asciiTheme="minorBidi" w:hAnsiTheme="minorBidi" w:hint="cs"/>
          <w:sz w:val="27"/>
          <w:rtl/>
        </w:rPr>
        <w:t>التأريخ</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سُوح</w:t>
      </w:r>
      <w:r w:rsidR="00965E08" w:rsidRPr="00282AC9">
        <w:rPr>
          <w:rFonts w:asciiTheme="minorBidi" w:hAnsiTheme="minorBidi"/>
          <w:sz w:val="27"/>
          <w:rtl/>
        </w:rPr>
        <w:t xml:space="preserve"> </w:t>
      </w:r>
      <w:r w:rsidR="00965E08" w:rsidRPr="00282AC9">
        <w:rPr>
          <w:rFonts w:asciiTheme="minorBidi" w:hAnsiTheme="minorBidi" w:hint="cs"/>
          <w:sz w:val="27"/>
          <w:rtl/>
        </w:rPr>
        <w:t>القتال</w:t>
      </w:r>
      <w:r w:rsidR="00B15BA2"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باعتبار</w:t>
      </w:r>
      <w:r w:rsidR="00965E08" w:rsidRPr="00282AC9">
        <w:rPr>
          <w:rFonts w:asciiTheme="minorBidi" w:hAnsiTheme="minorBidi"/>
          <w:sz w:val="27"/>
          <w:rtl/>
        </w:rPr>
        <w:t xml:space="preserve"> </w:t>
      </w:r>
      <w:r w:rsidR="00B15BA2" w:rsidRPr="00282AC9">
        <w:rPr>
          <w:rFonts w:asciiTheme="minorBidi" w:hAnsiTheme="minorBidi" w:hint="cs"/>
          <w:sz w:val="27"/>
          <w:rtl/>
        </w:rPr>
        <w:t>هذه</w:t>
      </w:r>
      <w:r w:rsidR="00965E08" w:rsidRPr="00282AC9">
        <w:rPr>
          <w:rFonts w:asciiTheme="minorBidi" w:hAnsiTheme="minorBidi"/>
          <w:sz w:val="27"/>
          <w:rtl/>
        </w:rPr>
        <w:t xml:space="preserve"> </w:t>
      </w:r>
      <w:r w:rsidR="00965E08" w:rsidRPr="00282AC9">
        <w:rPr>
          <w:rFonts w:asciiTheme="minorBidi" w:hAnsiTheme="minorBidi" w:hint="cs"/>
          <w:sz w:val="27"/>
          <w:rtl/>
        </w:rPr>
        <w:t>المفاخر من</w:t>
      </w:r>
      <w:r w:rsidR="00965E08" w:rsidRPr="00282AC9">
        <w:rPr>
          <w:rFonts w:asciiTheme="minorBidi" w:hAnsiTheme="minorBidi"/>
          <w:sz w:val="27"/>
          <w:rtl/>
        </w:rPr>
        <w:t xml:space="preserve"> </w:t>
      </w:r>
      <w:r w:rsidR="00B15BA2" w:rsidRPr="00282AC9">
        <w:rPr>
          <w:rFonts w:asciiTheme="minorBidi" w:hAnsiTheme="minorBidi" w:hint="cs"/>
          <w:sz w:val="27"/>
          <w:rtl/>
        </w:rPr>
        <w:t>المفاخر</w:t>
      </w:r>
      <w:r w:rsidR="00965E08" w:rsidRPr="00282AC9">
        <w:rPr>
          <w:rFonts w:asciiTheme="minorBidi" w:hAnsiTheme="minorBidi"/>
          <w:sz w:val="27"/>
          <w:rtl/>
        </w:rPr>
        <w:t xml:space="preserve"> </w:t>
      </w:r>
      <w:r w:rsidR="00965E08" w:rsidRPr="00282AC9">
        <w:rPr>
          <w:rFonts w:asciiTheme="minorBidi" w:hAnsiTheme="minorBidi" w:hint="cs"/>
          <w:sz w:val="27"/>
          <w:rtl/>
        </w:rPr>
        <w:t>الإلهيّة والدينيّة</w:t>
      </w:r>
      <w:r w:rsidR="00965E08" w:rsidRPr="00282AC9">
        <w:rPr>
          <w:rFonts w:asciiTheme="minorBidi" w:hAnsiTheme="minorBidi"/>
          <w:sz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فاذا راجعنا</w:t>
      </w:r>
      <w:r w:rsidRPr="00282AC9">
        <w:rPr>
          <w:rFonts w:asciiTheme="minorBidi" w:hAnsiTheme="minorBidi"/>
          <w:sz w:val="27"/>
          <w:rtl/>
        </w:rPr>
        <w:t xml:space="preserve"> </w:t>
      </w:r>
      <w:r w:rsidRPr="00282AC9">
        <w:rPr>
          <w:rFonts w:asciiTheme="minorBidi" w:hAnsiTheme="minorBidi" w:hint="cs"/>
          <w:sz w:val="27"/>
          <w:rtl/>
        </w:rPr>
        <w:t>الكُتُب</w:t>
      </w:r>
      <w:r w:rsidRPr="00282AC9">
        <w:rPr>
          <w:rFonts w:asciiTheme="minorBidi" w:hAnsiTheme="minorBidi"/>
          <w:sz w:val="27"/>
          <w:rtl/>
        </w:rPr>
        <w:t xml:space="preserve"> </w:t>
      </w:r>
      <w:r w:rsidRPr="00282AC9">
        <w:rPr>
          <w:rFonts w:asciiTheme="minorBidi" w:hAnsiTheme="minorBidi" w:hint="cs"/>
          <w:sz w:val="27"/>
          <w:rtl/>
        </w:rPr>
        <w:t>التي</w:t>
      </w:r>
      <w:r w:rsidRPr="00282AC9">
        <w:rPr>
          <w:rFonts w:asciiTheme="minorBidi" w:hAnsiTheme="minorBidi"/>
          <w:sz w:val="27"/>
          <w:rtl/>
        </w:rPr>
        <w:t xml:space="preserve"> </w:t>
      </w:r>
      <w:r w:rsidRPr="00282AC9">
        <w:rPr>
          <w:rFonts w:asciiTheme="minorBidi" w:hAnsiTheme="minorBidi" w:hint="cs"/>
          <w:sz w:val="27"/>
          <w:rtl/>
        </w:rPr>
        <w:t>سبق</w:t>
      </w:r>
      <w:r w:rsidR="00B15BA2" w:rsidRPr="00282AC9">
        <w:rPr>
          <w:rFonts w:asciiTheme="minorBidi" w:hAnsiTheme="minorBidi" w:hint="cs"/>
          <w:sz w:val="27"/>
          <w:rtl/>
        </w:rPr>
        <w:t>َ</w:t>
      </w:r>
      <w:r w:rsidRPr="00282AC9">
        <w:rPr>
          <w:rFonts w:asciiTheme="minorBidi" w:hAnsiTheme="minorBidi" w:hint="cs"/>
          <w:sz w:val="27"/>
          <w:rtl/>
        </w:rPr>
        <w:t>ت</w:t>
      </w:r>
      <w:r w:rsidR="00B15B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التأريخ</w:t>
      </w:r>
      <w:r w:rsidRPr="00282AC9">
        <w:rPr>
          <w:rFonts w:asciiTheme="minorBidi" w:hAnsiTheme="minorBidi"/>
          <w:sz w:val="27"/>
          <w:rtl/>
        </w:rPr>
        <w:t xml:space="preserve"> </w:t>
      </w:r>
      <w:r w:rsidR="00B15BA2" w:rsidRPr="00282AC9">
        <w:rPr>
          <w:rFonts w:asciiTheme="minorBidi" w:hAnsiTheme="minorBidi" w:hint="cs"/>
          <w:sz w:val="27"/>
          <w:rtl/>
        </w:rPr>
        <w:t>ف</w:t>
      </w:r>
      <w:r w:rsidRPr="00282AC9">
        <w:rPr>
          <w:rFonts w:asciiTheme="minorBidi" w:hAnsiTheme="minorBidi" w:hint="cs"/>
          <w:sz w:val="27"/>
          <w:rtl/>
        </w:rPr>
        <w:t>هي</w:t>
      </w:r>
      <w:r w:rsidRPr="00282AC9">
        <w:rPr>
          <w:rFonts w:asciiTheme="minorBidi" w:hAnsiTheme="minorBidi"/>
          <w:sz w:val="27"/>
          <w:rtl/>
        </w:rPr>
        <w:t xml:space="preserve"> </w:t>
      </w:r>
      <w:r w:rsidRPr="00282AC9">
        <w:rPr>
          <w:rFonts w:asciiTheme="minorBidi" w:hAnsiTheme="minorBidi" w:hint="cs"/>
          <w:sz w:val="27"/>
          <w:rtl/>
        </w:rPr>
        <w:t>أبعدُ</w:t>
      </w:r>
      <w:r w:rsidRPr="00282AC9">
        <w:rPr>
          <w:rFonts w:asciiTheme="minorBidi" w:hAnsiTheme="minorBidi"/>
          <w:sz w:val="27"/>
          <w:rtl/>
        </w:rPr>
        <w:t xml:space="preserve"> </w:t>
      </w:r>
      <w:r w:rsidRPr="00282AC9">
        <w:rPr>
          <w:rFonts w:asciiTheme="minorBidi" w:hAnsiTheme="minorBidi" w:hint="cs"/>
          <w:sz w:val="27"/>
          <w:rtl/>
        </w:rPr>
        <w:t>ما</w:t>
      </w:r>
      <w:r w:rsidRPr="00282AC9">
        <w:rPr>
          <w:rFonts w:asciiTheme="minorBidi" w:hAnsiTheme="minorBidi"/>
          <w:sz w:val="27"/>
          <w:rtl/>
        </w:rPr>
        <w:t xml:space="preserve"> </w:t>
      </w:r>
      <w:r w:rsidRPr="00282AC9">
        <w:rPr>
          <w:rFonts w:asciiTheme="minorBidi" w:hAnsiTheme="minorBidi" w:hint="cs"/>
          <w:sz w:val="27"/>
          <w:rtl/>
        </w:rPr>
        <w:t>تكون</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الحديث</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مثل</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الموضوع</w:t>
      </w:r>
      <w:r w:rsidR="00B15BA2" w:rsidRPr="00282AC9">
        <w:rPr>
          <w:rFonts w:asciiTheme="minorBidi" w:hAnsiTheme="minorBidi" w:hint="cs"/>
          <w:sz w:val="27"/>
          <w:rtl/>
        </w:rPr>
        <w:t>، ككتاب</w:t>
      </w:r>
      <w:r w:rsidRPr="00282AC9">
        <w:rPr>
          <w:rFonts w:asciiTheme="minorBidi" w:hAnsiTheme="minorBidi"/>
          <w:sz w:val="27"/>
          <w:rtl/>
        </w:rPr>
        <w:t xml:space="preserve"> </w:t>
      </w:r>
      <w:r w:rsidRPr="00282AC9">
        <w:rPr>
          <w:rFonts w:asciiTheme="minorBidi" w:hAnsiTheme="minorBidi" w:hint="cs"/>
          <w:sz w:val="27"/>
          <w:rtl/>
        </w:rPr>
        <w:t>(الخصائص</w:t>
      </w:r>
      <w:r w:rsidRPr="00282AC9">
        <w:rPr>
          <w:rFonts w:asciiTheme="minorBidi" w:hAnsiTheme="minorBidi"/>
          <w:sz w:val="27"/>
          <w:rtl/>
        </w:rPr>
        <w:t xml:space="preserve"> </w:t>
      </w:r>
      <w:r w:rsidR="00B15BA2" w:rsidRPr="00282AC9">
        <w:rPr>
          <w:rFonts w:asciiTheme="minorBidi" w:hAnsiTheme="minorBidi" w:hint="cs"/>
          <w:sz w:val="27"/>
          <w:rtl/>
        </w:rPr>
        <w:t>الح</w:t>
      </w:r>
      <w:r w:rsidRPr="00282AC9">
        <w:rPr>
          <w:rFonts w:asciiTheme="minorBidi" w:hAnsiTheme="minorBidi" w:hint="cs"/>
          <w:sz w:val="27"/>
          <w:rtl/>
        </w:rPr>
        <w:t>سينيّة)</w:t>
      </w:r>
      <w:r w:rsidR="00B15B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للشيخ</w:t>
      </w:r>
      <w:r w:rsidRPr="00282AC9">
        <w:rPr>
          <w:rFonts w:asciiTheme="minorBidi" w:hAnsiTheme="minorBidi"/>
          <w:sz w:val="27"/>
          <w:rtl/>
        </w:rPr>
        <w:t xml:space="preserve"> </w:t>
      </w:r>
      <w:r w:rsidRPr="00282AC9">
        <w:rPr>
          <w:rFonts w:asciiTheme="minorBidi" w:hAnsiTheme="minorBidi" w:hint="cs"/>
          <w:sz w:val="27"/>
          <w:rtl/>
        </w:rPr>
        <w:t>جعفر</w:t>
      </w:r>
      <w:r w:rsidRPr="00282AC9">
        <w:rPr>
          <w:rFonts w:asciiTheme="minorBidi" w:hAnsiTheme="minorBidi"/>
          <w:sz w:val="27"/>
          <w:rtl/>
        </w:rPr>
        <w:t xml:space="preserve"> </w:t>
      </w:r>
      <w:r w:rsidR="00B15BA2" w:rsidRPr="00282AC9">
        <w:rPr>
          <w:rFonts w:asciiTheme="minorBidi" w:hAnsiTheme="minorBidi" w:hint="cs"/>
          <w:sz w:val="27"/>
          <w:rtl/>
        </w:rPr>
        <w:t>التُّ</w:t>
      </w:r>
      <w:r w:rsidRPr="00282AC9">
        <w:rPr>
          <w:rFonts w:asciiTheme="minorBidi" w:hAnsiTheme="minorBidi" w:hint="cs"/>
          <w:sz w:val="27"/>
          <w:rtl/>
        </w:rPr>
        <w:t>ستري</w:t>
      </w:r>
      <w:r w:rsidR="00B15BA2" w:rsidRPr="00282AC9">
        <w:rPr>
          <w:rFonts w:asciiTheme="minorBidi" w:hAnsiTheme="minorBidi" w:hint="cs"/>
          <w:sz w:val="27"/>
          <w:rtl/>
        </w:rPr>
        <w:t>،</w:t>
      </w:r>
      <w:r w:rsidRPr="00282AC9">
        <w:rPr>
          <w:rFonts w:asciiTheme="minorBidi" w:hAnsiTheme="minorBidi"/>
          <w:sz w:val="27"/>
          <w:rtl/>
        </w:rPr>
        <w:t xml:space="preserve"> </w:t>
      </w:r>
      <w:r w:rsidR="00B15BA2" w:rsidRPr="00282AC9">
        <w:rPr>
          <w:rFonts w:asciiTheme="minorBidi" w:hAnsiTheme="minorBidi" w:hint="cs"/>
          <w:sz w:val="27"/>
          <w:rtl/>
        </w:rPr>
        <w:t>وه</w:t>
      </w:r>
      <w:r w:rsidRPr="00282AC9">
        <w:rPr>
          <w:rFonts w:asciiTheme="minorBidi" w:hAnsiTheme="minorBidi" w:hint="cs"/>
          <w:sz w:val="27"/>
          <w:rtl/>
        </w:rPr>
        <w:t>و</w:t>
      </w:r>
      <w:r w:rsidRPr="00282AC9">
        <w:rPr>
          <w:rFonts w:asciiTheme="minorBidi" w:hAnsiTheme="minorBidi"/>
          <w:sz w:val="27"/>
          <w:rtl/>
        </w:rPr>
        <w:t xml:space="preserve"> </w:t>
      </w:r>
      <w:r w:rsidR="00B15BA2" w:rsidRPr="00282AC9">
        <w:rPr>
          <w:rFonts w:asciiTheme="minorBidi" w:hAnsiTheme="minorBidi" w:hint="cs"/>
          <w:sz w:val="27"/>
          <w:rtl/>
        </w:rPr>
        <w:t>لخطيبٍ</w:t>
      </w:r>
      <w:r w:rsidRPr="00282AC9">
        <w:rPr>
          <w:rFonts w:asciiTheme="minorBidi" w:hAnsiTheme="minorBidi"/>
          <w:sz w:val="27"/>
          <w:rtl/>
        </w:rPr>
        <w:t xml:space="preserve"> </w:t>
      </w:r>
      <w:r w:rsidR="00B15BA2" w:rsidRPr="00282AC9">
        <w:rPr>
          <w:rFonts w:asciiTheme="minorBidi" w:hAnsiTheme="minorBidi" w:hint="cs"/>
          <w:sz w:val="27"/>
          <w:rtl/>
        </w:rPr>
        <w:t>حُسينيٍّ</w:t>
      </w:r>
      <w:r w:rsidRPr="00282AC9">
        <w:rPr>
          <w:rFonts w:asciiTheme="minorBidi" w:hAnsiTheme="minorBidi"/>
          <w:sz w:val="27"/>
          <w:rtl/>
        </w:rPr>
        <w:t xml:space="preserve"> </w:t>
      </w:r>
      <w:r w:rsidRPr="00282AC9">
        <w:rPr>
          <w:rFonts w:asciiTheme="minorBidi" w:hAnsiTheme="minorBidi" w:hint="cs"/>
          <w:sz w:val="27"/>
          <w:rtl/>
        </w:rPr>
        <w:t>ومرجعٍ</w:t>
      </w:r>
      <w:r w:rsidRPr="00282AC9">
        <w:rPr>
          <w:rFonts w:asciiTheme="minorBidi" w:hAnsiTheme="minorBidi"/>
          <w:sz w:val="27"/>
          <w:rtl/>
        </w:rPr>
        <w:t xml:space="preserve"> </w:t>
      </w:r>
      <w:r w:rsidRPr="00282AC9">
        <w:rPr>
          <w:rFonts w:asciiTheme="minorBidi" w:hAnsiTheme="minorBidi" w:hint="cs"/>
          <w:sz w:val="27"/>
          <w:rtl/>
        </w:rPr>
        <w:t>معروف،</w:t>
      </w:r>
      <w:r w:rsidRPr="00282AC9">
        <w:rPr>
          <w:rFonts w:asciiTheme="minorBidi" w:hAnsiTheme="minorBidi"/>
          <w:sz w:val="27"/>
          <w:rtl/>
        </w:rPr>
        <w:t xml:space="preserve"> </w:t>
      </w:r>
      <w:r w:rsidRPr="00282AC9">
        <w:rPr>
          <w:rFonts w:asciiTheme="minorBidi" w:hAnsiTheme="minorBidi" w:hint="cs"/>
          <w:sz w:val="27"/>
          <w:rtl/>
        </w:rPr>
        <w:t>فلا نجده</w:t>
      </w:r>
      <w:r w:rsidRPr="00282AC9">
        <w:rPr>
          <w:rFonts w:asciiTheme="minorBidi" w:hAnsiTheme="minorBidi"/>
          <w:sz w:val="27"/>
          <w:rtl/>
        </w:rPr>
        <w:t xml:space="preserve"> </w:t>
      </w:r>
      <w:r w:rsidRPr="00282AC9">
        <w:rPr>
          <w:rFonts w:asciiTheme="minorBidi" w:hAnsiTheme="minorBidi" w:hint="cs"/>
          <w:sz w:val="27"/>
          <w:rtl/>
        </w:rPr>
        <w:t>يتحدّ</w:t>
      </w:r>
      <w:r w:rsidR="00B15BA2" w:rsidRPr="00282AC9">
        <w:rPr>
          <w:rFonts w:asciiTheme="minorBidi" w:hAnsiTheme="minorBidi" w:hint="cs"/>
          <w:sz w:val="27"/>
          <w:rtl/>
        </w:rPr>
        <w:t>َ</w:t>
      </w:r>
      <w:r w:rsidRPr="00282AC9">
        <w:rPr>
          <w:rFonts w:asciiTheme="minorBidi" w:hAnsiTheme="minorBidi" w:hint="cs"/>
          <w:sz w:val="27"/>
          <w:rtl/>
        </w:rPr>
        <w:t>ث</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الموضوع</w:t>
      </w:r>
      <w:r w:rsidRPr="00282AC9">
        <w:rPr>
          <w:rFonts w:asciiTheme="minorBidi" w:hAnsiTheme="minorBidi"/>
          <w:sz w:val="27"/>
          <w:rtl/>
        </w:rPr>
        <w:t xml:space="preserve">. </w:t>
      </w:r>
      <w:r w:rsidRPr="00282AC9">
        <w:rPr>
          <w:rFonts w:asciiTheme="minorBidi" w:hAnsiTheme="minorBidi" w:hint="cs"/>
          <w:sz w:val="27"/>
          <w:rtl/>
        </w:rPr>
        <w:t>وكذلك الحال مع الذين</w:t>
      </w:r>
      <w:r w:rsidRPr="00282AC9">
        <w:rPr>
          <w:rFonts w:asciiTheme="minorBidi" w:hAnsiTheme="minorBidi"/>
          <w:sz w:val="27"/>
          <w:rtl/>
        </w:rPr>
        <w:t xml:space="preserve"> </w:t>
      </w:r>
      <w:r w:rsidRPr="00282AC9">
        <w:rPr>
          <w:rFonts w:asciiTheme="minorBidi" w:hAnsiTheme="minorBidi" w:hint="cs"/>
          <w:sz w:val="27"/>
          <w:rtl/>
        </w:rPr>
        <w:t>جا</w:t>
      </w:r>
      <w:r w:rsidR="00B15BA2" w:rsidRPr="00282AC9">
        <w:rPr>
          <w:rFonts w:asciiTheme="minorBidi" w:hAnsiTheme="minorBidi" w:hint="cs"/>
          <w:sz w:val="27"/>
          <w:rtl/>
        </w:rPr>
        <w:t>ؤ</w:t>
      </w:r>
      <w:r w:rsidRPr="00282AC9">
        <w:rPr>
          <w:rFonts w:asciiTheme="minorBidi" w:hAnsiTheme="minorBidi" w:hint="cs"/>
          <w:sz w:val="27"/>
          <w:rtl/>
        </w:rPr>
        <w:t>وا</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بعده</w:t>
      </w:r>
      <w:r w:rsidR="00B15B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مثل</w:t>
      </w:r>
      <w:r w:rsidR="00B15B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الشيخ</w:t>
      </w:r>
      <w:r w:rsidRPr="00282AC9">
        <w:rPr>
          <w:rFonts w:asciiTheme="minorBidi" w:hAnsiTheme="minorBidi"/>
          <w:sz w:val="27"/>
          <w:rtl/>
        </w:rPr>
        <w:t xml:space="preserve"> </w:t>
      </w:r>
      <w:r w:rsidRPr="00282AC9">
        <w:rPr>
          <w:rFonts w:asciiTheme="minorBidi" w:hAnsiTheme="minorBidi" w:hint="cs"/>
          <w:sz w:val="27"/>
          <w:rtl/>
        </w:rPr>
        <w:t>مهدي</w:t>
      </w:r>
      <w:r w:rsidRPr="00282AC9">
        <w:rPr>
          <w:rFonts w:asciiTheme="minorBidi" w:hAnsiTheme="minorBidi"/>
          <w:sz w:val="27"/>
          <w:rtl/>
        </w:rPr>
        <w:t xml:space="preserve"> </w:t>
      </w:r>
      <w:r w:rsidRPr="00282AC9">
        <w:rPr>
          <w:rFonts w:asciiTheme="minorBidi" w:hAnsiTheme="minorBidi" w:hint="cs"/>
          <w:sz w:val="27"/>
          <w:rtl/>
        </w:rPr>
        <w:t>المازندراني</w:t>
      </w:r>
      <w:r w:rsidR="00B15B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w:t>
      </w:r>
      <w:r w:rsidR="00B15BA2" w:rsidRPr="00282AC9">
        <w:rPr>
          <w:rFonts w:asciiTheme="minorBidi" w:hAnsiTheme="minorBidi" w:hint="cs"/>
          <w:sz w:val="27"/>
          <w:rtl/>
        </w:rPr>
        <w:t>إ</w:t>
      </w:r>
      <w:r w:rsidRPr="00282AC9">
        <w:rPr>
          <w:rFonts w:asciiTheme="minorBidi" w:hAnsiTheme="minorBidi" w:hint="cs"/>
          <w:sz w:val="27"/>
          <w:rtl/>
        </w:rPr>
        <w:t>ن كُتُبهم</w:t>
      </w:r>
      <w:r w:rsidRPr="00282AC9">
        <w:rPr>
          <w:rFonts w:asciiTheme="minorBidi" w:hAnsiTheme="minorBidi"/>
          <w:sz w:val="27"/>
          <w:rtl/>
        </w:rPr>
        <w:t xml:space="preserve"> </w:t>
      </w:r>
      <w:r w:rsidR="00B15BA2" w:rsidRPr="00282AC9">
        <w:rPr>
          <w:rFonts w:asciiTheme="minorBidi" w:hAnsiTheme="minorBidi" w:hint="cs"/>
          <w:sz w:val="27"/>
          <w:rtl/>
        </w:rPr>
        <w:t>خالي</w:t>
      </w:r>
      <w:r w:rsidRPr="00282AC9">
        <w:rPr>
          <w:rFonts w:asciiTheme="minorBidi" w:hAnsiTheme="minorBidi" w:hint="cs"/>
          <w:sz w:val="27"/>
          <w:rtl/>
        </w:rPr>
        <w:t>ةٌ</w:t>
      </w:r>
      <w:r w:rsidRPr="00282AC9">
        <w:rPr>
          <w:rFonts w:asciiTheme="minorBidi" w:hAnsiTheme="minorBidi"/>
          <w:sz w:val="27"/>
          <w:rtl/>
        </w:rPr>
        <w:t xml:space="preserve"> </w:t>
      </w:r>
      <w:r w:rsidR="00B15BA2" w:rsidRPr="00282AC9">
        <w:rPr>
          <w:rFonts w:asciiTheme="minorBidi" w:hAnsiTheme="minorBidi" w:hint="cs"/>
          <w:sz w:val="27"/>
          <w:rtl/>
        </w:rPr>
        <w:t>م</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المعنى</w:t>
      </w:r>
      <w:r w:rsidRPr="00282AC9">
        <w:rPr>
          <w:rFonts w:asciiTheme="minorBidi" w:hAnsiTheme="minorBidi"/>
          <w:sz w:val="27"/>
          <w:rtl/>
        </w:rPr>
        <w:t xml:space="preserve">. </w:t>
      </w:r>
      <w:r w:rsidR="00B15BA2" w:rsidRPr="00282AC9">
        <w:rPr>
          <w:rFonts w:asciiTheme="minorBidi" w:hAnsiTheme="minorBidi" w:hint="cs"/>
          <w:sz w:val="27"/>
          <w:rtl/>
        </w:rPr>
        <w:t>وكذا سائر</w:t>
      </w:r>
      <w:r w:rsidRPr="00282AC9">
        <w:rPr>
          <w:rFonts w:asciiTheme="minorBidi" w:hAnsiTheme="minorBidi"/>
          <w:sz w:val="27"/>
          <w:rtl/>
        </w:rPr>
        <w:t xml:space="preserve"> </w:t>
      </w:r>
      <w:r w:rsidRPr="00282AC9">
        <w:rPr>
          <w:rFonts w:asciiTheme="minorBidi" w:hAnsiTheme="minorBidi" w:hint="cs"/>
          <w:sz w:val="27"/>
          <w:rtl/>
        </w:rPr>
        <w:t>الكُتُب</w:t>
      </w:r>
      <w:r w:rsidRPr="00282AC9">
        <w:rPr>
          <w:rFonts w:asciiTheme="minorBidi" w:hAnsiTheme="minorBidi"/>
          <w:sz w:val="27"/>
          <w:rtl/>
        </w:rPr>
        <w:t xml:space="preserve"> </w:t>
      </w:r>
      <w:r w:rsidRPr="00282AC9">
        <w:rPr>
          <w:rFonts w:asciiTheme="minorBidi" w:hAnsiTheme="minorBidi" w:hint="cs"/>
          <w:sz w:val="27"/>
          <w:rtl/>
        </w:rPr>
        <w:t>التي</w:t>
      </w:r>
      <w:r w:rsidRPr="00282AC9">
        <w:rPr>
          <w:rFonts w:asciiTheme="minorBidi" w:hAnsiTheme="minorBidi"/>
          <w:sz w:val="27"/>
          <w:rtl/>
        </w:rPr>
        <w:t xml:space="preserve"> </w:t>
      </w:r>
      <w:r w:rsidRPr="00282AC9">
        <w:rPr>
          <w:rFonts w:asciiTheme="minorBidi" w:hAnsiTheme="minorBidi" w:hint="cs"/>
          <w:sz w:val="27"/>
          <w:rtl/>
        </w:rPr>
        <w:t>جمع</w:t>
      </w:r>
      <w:r w:rsidR="00B15BA2" w:rsidRPr="00282AC9">
        <w:rPr>
          <w:rFonts w:asciiTheme="minorBidi" w:hAnsiTheme="minorBidi" w:hint="cs"/>
          <w:sz w:val="27"/>
          <w:rtl/>
        </w:rPr>
        <w:t>َ</w:t>
      </w:r>
      <w:r w:rsidRPr="00282AC9">
        <w:rPr>
          <w:rFonts w:asciiTheme="minorBidi" w:hAnsiTheme="minorBidi" w:hint="cs"/>
          <w:sz w:val="27"/>
          <w:rtl/>
        </w:rPr>
        <w:t>ت</w:t>
      </w:r>
      <w:r w:rsidR="00B15BA2" w:rsidRPr="00282AC9">
        <w:rPr>
          <w:rFonts w:asciiTheme="minorBidi" w:hAnsiTheme="minorBidi" w:hint="cs"/>
          <w:sz w:val="27"/>
          <w:rtl/>
        </w:rPr>
        <w:t>ْ</w:t>
      </w:r>
      <w:r w:rsidRPr="00282AC9">
        <w:rPr>
          <w:rFonts w:asciiTheme="minorBidi" w:hAnsiTheme="minorBidi"/>
          <w:sz w:val="27"/>
          <w:rtl/>
        </w:rPr>
        <w:t xml:space="preserve"> </w:t>
      </w:r>
      <w:r w:rsidR="00B15BA2" w:rsidRPr="00282AC9">
        <w:rPr>
          <w:rFonts w:asciiTheme="minorBidi" w:hAnsiTheme="minorBidi" w:hint="cs"/>
          <w:sz w:val="27"/>
          <w:rtl/>
        </w:rPr>
        <w:t>المجالس</w:t>
      </w:r>
      <w:r w:rsidRPr="00282AC9">
        <w:rPr>
          <w:rFonts w:asciiTheme="minorBidi" w:hAnsiTheme="minorBidi"/>
          <w:sz w:val="27"/>
          <w:rtl/>
        </w:rPr>
        <w:t xml:space="preserve"> </w:t>
      </w:r>
      <w:r w:rsidR="00B15BA2" w:rsidRPr="00282AC9">
        <w:rPr>
          <w:rFonts w:asciiTheme="minorBidi" w:hAnsiTheme="minorBidi" w:hint="cs"/>
          <w:sz w:val="27"/>
          <w:rtl/>
        </w:rPr>
        <w:t>الحسينيّة</w:t>
      </w:r>
      <w:r w:rsidRPr="00282AC9">
        <w:rPr>
          <w:rFonts w:asciiTheme="minorBidi" w:hAnsiTheme="minorBidi"/>
          <w:sz w:val="27"/>
          <w:rtl/>
        </w:rPr>
        <w:t xml:space="preserve"> </w:t>
      </w:r>
      <w:r w:rsidR="00B15BA2" w:rsidRPr="00282AC9">
        <w:rPr>
          <w:rFonts w:asciiTheme="minorBidi" w:hAnsiTheme="minorBidi" w:hint="cs"/>
          <w:sz w:val="27"/>
          <w:rtl/>
        </w:rPr>
        <w:t>لكبار</w:t>
      </w:r>
      <w:r w:rsidRPr="00282AC9">
        <w:rPr>
          <w:rFonts w:asciiTheme="minorBidi" w:hAnsiTheme="minorBidi"/>
          <w:sz w:val="27"/>
          <w:rtl/>
        </w:rPr>
        <w:t xml:space="preserve"> </w:t>
      </w:r>
      <w:r w:rsidR="00B15BA2" w:rsidRPr="00282AC9">
        <w:rPr>
          <w:rFonts w:asciiTheme="minorBidi" w:hAnsiTheme="minorBidi" w:hint="cs"/>
          <w:sz w:val="27"/>
          <w:rtl/>
        </w:rPr>
        <w:t>العلماء</w:t>
      </w:r>
      <w:r w:rsidRPr="00282AC9">
        <w:rPr>
          <w:rFonts w:asciiTheme="minorBidi" w:hAnsiTheme="minorBidi"/>
          <w:sz w:val="27"/>
          <w:rtl/>
        </w:rPr>
        <w:t xml:space="preserve"> </w:t>
      </w:r>
      <w:r w:rsidRPr="00282AC9">
        <w:rPr>
          <w:rFonts w:asciiTheme="minorBidi" w:hAnsiTheme="minorBidi" w:hint="cs"/>
          <w:sz w:val="27"/>
          <w:rtl/>
        </w:rPr>
        <w:t>وكبار</w:t>
      </w:r>
      <w:r w:rsidRPr="00282AC9">
        <w:rPr>
          <w:rFonts w:asciiTheme="minorBidi" w:hAnsiTheme="minorBidi"/>
          <w:sz w:val="27"/>
          <w:rtl/>
        </w:rPr>
        <w:t xml:space="preserve"> </w:t>
      </w:r>
      <w:r w:rsidR="00B15BA2" w:rsidRPr="00282AC9">
        <w:rPr>
          <w:rFonts w:asciiTheme="minorBidi" w:hAnsiTheme="minorBidi" w:hint="cs"/>
          <w:sz w:val="27"/>
          <w:rtl/>
        </w:rPr>
        <w:t>الخ</w:t>
      </w:r>
      <w:r w:rsidRPr="00282AC9">
        <w:rPr>
          <w:rFonts w:asciiTheme="minorBidi" w:hAnsiTheme="minorBidi" w:hint="cs"/>
          <w:sz w:val="27"/>
          <w:rtl/>
        </w:rPr>
        <w:t>طباء</w:t>
      </w:r>
      <w:r w:rsidRPr="00282AC9">
        <w:rPr>
          <w:rFonts w:asciiTheme="minorBidi" w:hAnsiTheme="minorBidi"/>
          <w:sz w:val="27"/>
          <w:rtl/>
        </w:rPr>
        <w:t xml:space="preserve"> </w:t>
      </w:r>
      <w:r w:rsidRPr="00282AC9">
        <w:rPr>
          <w:rFonts w:asciiTheme="minorBidi" w:hAnsiTheme="minorBidi" w:hint="cs"/>
          <w:sz w:val="27"/>
          <w:rtl/>
        </w:rPr>
        <w:t>ما</w:t>
      </w:r>
      <w:r w:rsidRPr="00282AC9">
        <w:rPr>
          <w:rFonts w:asciiTheme="minorBidi" w:hAnsiTheme="minorBidi"/>
          <w:sz w:val="27"/>
          <w:rtl/>
        </w:rPr>
        <w:t xml:space="preserve"> </w:t>
      </w:r>
      <w:r w:rsidRPr="00282AC9">
        <w:rPr>
          <w:rFonts w:asciiTheme="minorBidi" w:hAnsiTheme="minorBidi" w:hint="cs"/>
          <w:sz w:val="27"/>
          <w:rtl/>
        </w:rPr>
        <w:t>قبل</w:t>
      </w:r>
      <w:r w:rsidRPr="00282AC9">
        <w:rPr>
          <w:rFonts w:asciiTheme="minorBidi" w:hAnsiTheme="minorBidi"/>
          <w:sz w:val="27"/>
          <w:rtl/>
        </w:rPr>
        <w:t xml:space="preserve"> </w:t>
      </w:r>
      <w:r w:rsidRPr="00282AC9">
        <w:rPr>
          <w:rFonts w:asciiTheme="minorBidi" w:hAnsiTheme="minorBidi" w:hint="cs"/>
          <w:sz w:val="27"/>
          <w:rtl/>
        </w:rPr>
        <w:t>الخمسين</w:t>
      </w:r>
      <w:r w:rsidR="004D5A4A" w:rsidRPr="00282AC9">
        <w:rPr>
          <w:rFonts w:asciiTheme="minorBidi" w:hAnsiTheme="minorBidi" w:hint="cs"/>
          <w:sz w:val="27"/>
          <w:rtl/>
        </w:rPr>
        <w:t>يّ</w:t>
      </w:r>
      <w:r w:rsidRPr="00282AC9">
        <w:rPr>
          <w:rFonts w:asciiTheme="minorBidi" w:hAnsiTheme="minorBidi" w:hint="cs"/>
          <w:sz w:val="27"/>
          <w:rtl/>
        </w:rPr>
        <w:t>ات من القرن الماضي</w:t>
      </w:r>
      <w:r w:rsidRPr="00282AC9">
        <w:rPr>
          <w:rFonts w:asciiTheme="minorBidi" w:hAnsiTheme="minorBidi"/>
          <w:sz w:val="27"/>
          <w:rtl/>
        </w:rPr>
        <w:t xml:space="preserve">. </w:t>
      </w:r>
    </w:p>
    <w:p w:rsidR="00965E08" w:rsidRPr="00282AC9" w:rsidRDefault="00965E08" w:rsidP="003062B7">
      <w:pPr>
        <w:rPr>
          <w:rFonts w:asciiTheme="minorBidi" w:hAnsiTheme="minorBidi"/>
          <w:sz w:val="27"/>
          <w:rtl/>
        </w:rPr>
      </w:pPr>
      <w:r w:rsidRPr="00282AC9">
        <w:rPr>
          <w:rFonts w:asciiTheme="minorBidi" w:hAnsiTheme="minorBidi" w:hint="cs"/>
          <w:sz w:val="27"/>
          <w:rtl/>
        </w:rPr>
        <w:t>فهذا</w:t>
      </w:r>
      <w:r w:rsidRPr="00282AC9">
        <w:rPr>
          <w:rFonts w:asciiTheme="minorBidi" w:hAnsiTheme="minorBidi"/>
          <w:sz w:val="27"/>
          <w:rtl/>
        </w:rPr>
        <w:t xml:space="preserve"> </w:t>
      </w:r>
      <w:r w:rsidRPr="00282AC9">
        <w:rPr>
          <w:rFonts w:asciiTheme="minorBidi" w:hAnsiTheme="minorBidi" w:hint="cs"/>
          <w:sz w:val="27"/>
          <w:rtl/>
        </w:rPr>
        <w:t>القول</w:t>
      </w:r>
      <w:r w:rsidRPr="00282AC9">
        <w:rPr>
          <w:rFonts w:asciiTheme="minorBidi" w:hAnsiTheme="minorBidi"/>
          <w:sz w:val="27"/>
          <w:rtl/>
        </w:rPr>
        <w:t xml:space="preserve"> </w:t>
      </w:r>
      <w:r w:rsidRPr="00282AC9">
        <w:rPr>
          <w:rFonts w:asciiTheme="minorBidi" w:hAnsiTheme="minorBidi" w:hint="cs"/>
          <w:sz w:val="27"/>
          <w:rtl/>
        </w:rPr>
        <w:t>انتشر</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الثقافة</w:t>
      </w:r>
      <w:r w:rsidRPr="00282AC9">
        <w:rPr>
          <w:rFonts w:asciiTheme="minorBidi" w:hAnsiTheme="minorBidi"/>
          <w:sz w:val="27"/>
          <w:rtl/>
        </w:rPr>
        <w:t xml:space="preserve"> </w:t>
      </w:r>
      <w:r w:rsidRPr="00282AC9">
        <w:rPr>
          <w:rFonts w:asciiTheme="minorBidi" w:hAnsiTheme="minorBidi" w:hint="cs"/>
          <w:sz w:val="27"/>
          <w:rtl/>
        </w:rPr>
        <w:t>الشيعيّة</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بعد</w:t>
      </w:r>
      <w:r w:rsidRPr="00282AC9">
        <w:rPr>
          <w:rFonts w:asciiTheme="minorBidi" w:hAnsiTheme="minorBidi"/>
          <w:sz w:val="27"/>
          <w:rtl/>
        </w:rPr>
        <w:t xml:space="preserve"> </w:t>
      </w:r>
      <w:r w:rsidRPr="00282AC9">
        <w:rPr>
          <w:rFonts w:asciiTheme="minorBidi" w:hAnsiTheme="minorBidi" w:hint="cs"/>
          <w:sz w:val="27"/>
          <w:rtl/>
        </w:rPr>
        <w:t>الخمسين</w:t>
      </w:r>
      <w:r w:rsidR="004D5A4A" w:rsidRPr="00282AC9">
        <w:rPr>
          <w:rFonts w:asciiTheme="minorBidi" w:hAnsiTheme="minorBidi" w:hint="cs"/>
          <w:sz w:val="27"/>
          <w:rtl/>
        </w:rPr>
        <w:t>يّ</w:t>
      </w:r>
      <w:r w:rsidRPr="00282AC9">
        <w:rPr>
          <w:rFonts w:asciiTheme="minorBidi" w:hAnsiTheme="minorBidi" w:hint="cs"/>
          <w:sz w:val="27"/>
          <w:rtl/>
        </w:rPr>
        <w:t>ات</w:t>
      </w:r>
      <w:r w:rsidR="004D5A4A" w:rsidRPr="00282AC9">
        <w:rPr>
          <w:rFonts w:asciiTheme="minorBidi" w:hAnsiTheme="minorBidi" w:hint="cs"/>
          <w:sz w:val="27"/>
          <w:rtl/>
        </w:rPr>
        <w:t>.</w:t>
      </w:r>
      <w:r w:rsidRPr="00282AC9">
        <w:rPr>
          <w:rFonts w:asciiTheme="minorBidi" w:hAnsiTheme="minorBidi" w:hint="cs"/>
          <w:sz w:val="27"/>
          <w:rtl/>
        </w:rPr>
        <w:t xml:space="preserve"> و</w:t>
      </w:r>
      <w:r w:rsidR="004D5A4A" w:rsidRPr="00282AC9">
        <w:rPr>
          <w:rFonts w:asciiTheme="minorBidi" w:hAnsiTheme="minorBidi" w:hint="cs"/>
          <w:sz w:val="27"/>
          <w:rtl/>
        </w:rPr>
        <w:t>أ</w:t>
      </w:r>
      <w:r w:rsidRPr="00282AC9">
        <w:rPr>
          <w:rFonts w:asciiTheme="minorBidi" w:hAnsiTheme="minorBidi" w:hint="cs"/>
          <w:sz w:val="27"/>
          <w:rtl/>
        </w:rPr>
        <w:t>و</w:t>
      </w:r>
      <w:r w:rsidR="004D5A4A" w:rsidRPr="00282AC9">
        <w:rPr>
          <w:rFonts w:asciiTheme="minorBidi" w:hAnsiTheme="minorBidi" w:hint="cs"/>
          <w:sz w:val="27"/>
          <w:rtl/>
        </w:rPr>
        <w:t>ّ</w:t>
      </w:r>
      <w:r w:rsidRPr="00282AC9">
        <w:rPr>
          <w:rFonts w:asciiTheme="minorBidi" w:hAnsiTheme="minorBidi" w:hint="cs"/>
          <w:sz w:val="27"/>
          <w:rtl/>
        </w:rPr>
        <w:t>ل ظهوره كان في</w:t>
      </w:r>
      <w:r w:rsidRPr="00282AC9">
        <w:rPr>
          <w:rFonts w:asciiTheme="minorBidi" w:hAnsiTheme="minorBidi"/>
          <w:sz w:val="27"/>
          <w:rtl/>
        </w:rPr>
        <w:t xml:space="preserve"> </w:t>
      </w:r>
      <w:r w:rsidRPr="00282AC9">
        <w:rPr>
          <w:rFonts w:asciiTheme="minorBidi" w:hAnsiTheme="minorBidi" w:hint="cs"/>
          <w:sz w:val="27"/>
          <w:rtl/>
        </w:rPr>
        <w:t>تفسير</w:t>
      </w:r>
      <w:r w:rsidRPr="00282AC9">
        <w:rPr>
          <w:rFonts w:asciiTheme="minorBidi" w:hAnsiTheme="minorBidi"/>
          <w:sz w:val="27"/>
          <w:rtl/>
        </w:rPr>
        <w:t xml:space="preserve"> </w:t>
      </w:r>
      <w:r w:rsidRPr="00282AC9">
        <w:rPr>
          <w:rFonts w:asciiTheme="minorBidi" w:hAnsiTheme="minorBidi" w:hint="cs"/>
          <w:sz w:val="27"/>
          <w:rtl/>
        </w:rPr>
        <w:t>سيّد</w:t>
      </w:r>
      <w:r w:rsidRPr="00282AC9">
        <w:rPr>
          <w:rFonts w:asciiTheme="minorBidi" w:hAnsiTheme="minorBidi"/>
          <w:sz w:val="27"/>
          <w:rtl/>
        </w:rPr>
        <w:t xml:space="preserve"> </w:t>
      </w:r>
      <w:r w:rsidRPr="00282AC9">
        <w:rPr>
          <w:rFonts w:asciiTheme="minorBidi" w:hAnsiTheme="minorBidi" w:hint="cs"/>
          <w:sz w:val="27"/>
          <w:rtl/>
        </w:rPr>
        <w:t>قُطب</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ظلال</w:t>
      </w:r>
      <w:r w:rsidRPr="00282AC9">
        <w:rPr>
          <w:rFonts w:asciiTheme="minorBidi" w:hAnsiTheme="minorBidi"/>
          <w:sz w:val="27"/>
          <w:rtl/>
        </w:rPr>
        <w:t xml:space="preserve"> </w:t>
      </w:r>
      <w:r w:rsidRPr="00282AC9">
        <w:rPr>
          <w:rFonts w:asciiTheme="minorBidi" w:hAnsiTheme="minorBidi" w:hint="cs"/>
          <w:sz w:val="27"/>
          <w:rtl/>
        </w:rPr>
        <w:t>القرآن)</w:t>
      </w:r>
      <w:r w:rsidR="004D5A4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ذيل</w:t>
      </w:r>
      <w:r w:rsidRPr="00282AC9">
        <w:rPr>
          <w:rFonts w:asciiTheme="minorBidi" w:hAnsiTheme="minorBidi"/>
          <w:sz w:val="27"/>
          <w:rtl/>
        </w:rPr>
        <w:t xml:space="preserve"> </w:t>
      </w:r>
      <w:r w:rsidRPr="00282AC9">
        <w:rPr>
          <w:rFonts w:asciiTheme="minorBidi" w:hAnsiTheme="minorBidi" w:hint="cs"/>
          <w:sz w:val="27"/>
          <w:rtl/>
        </w:rPr>
        <w:t>قوله تعالى:</w:t>
      </w:r>
      <w:r w:rsidRPr="00282AC9">
        <w:rPr>
          <w:rFonts w:asciiTheme="minorBidi" w:hAnsiTheme="minorBidi"/>
          <w:sz w:val="27"/>
          <w:rtl/>
        </w:rPr>
        <w:t xml:space="preserve"> </w:t>
      </w:r>
      <w:r w:rsidRPr="00282AC9">
        <w:rPr>
          <w:rFonts w:ascii="Mosawi" w:hAnsi="Mosawi" w:cs="Mosawi"/>
          <w:sz w:val="24"/>
          <w:szCs w:val="24"/>
          <w:rtl/>
        </w:rPr>
        <w:t>﴿</w:t>
      </w:r>
      <w:r w:rsidR="004D5A4A" w:rsidRPr="00282AC9">
        <w:rPr>
          <w:b/>
          <w:bCs/>
          <w:sz w:val="27"/>
          <w:rtl/>
        </w:rPr>
        <w:t xml:space="preserve">إِنَّا لَنَنصُرُ رُسُلَنَا وَالَّذِينَ </w:t>
      </w:r>
      <w:r w:rsidR="004D5A4A" w:rsidRPr="00282AC9">
        <w:rPr>
          <w:b/>
          <w:bCs/>
          <w:sz w:val="27"/>
          <w:rtl/>
        </w:rPr>
        <w:lastRenderedPageBreak/>
        <w:t>آمَنُوا فِي الْحَيَاةِ الدُّنْيَا وَيَوْمَ يَقُومُ الأَشْهَادُ</w:t>
      </w:r>
      <w:r w:rsidRPr="00282AC9">
        <w:rPr>
          <w:rFonts w:ascii="Mosawi" w:hAnsi="Mosawi" w:cs="Mosawi"/>
          <w:sz w:val="24"/>
          <w:szCs w:val="24"/>
          <w:rtl/>
        </w:rPr>
        <w:t>﴾</w:t>
      </w:r>
      <w:r w:rsidRPr="00282AC9">
        <w:rPr>
          <w:rFonts w:asciiTheme="minorBidi" w:hAnsiTheme="minorBidi" w:hint="cs"/>
          <w:sz w:val="27"/>
          <w:rtl/>
        </w:rPr>
        <w:t xml:space="preserve"> (غافر: 51).</w:t>
      </w:r>
    </w:p>
    <w:p w:rsidR="00965E08" w:rsidRPr="00282AC9" w:rsidRDefault="00965E08" w:rsidP="003062B7">
      <w:pPr>
        <w:rPr>
          <w:rFonts w:asciiTheme="minorBidi" w:hAnsiTheme="minorBidi"/>
          <w:sz w:val="27"/>
          <w:rtl/>
        </w:rPr>
      </w:pPr>
      <w:r w:rsidRPr="00282AC9">
        <w:rPr>
          <w:rFonts w:asciiTheme="minorBidi" w:hAnsiTheme="minorBidi" w:hint="cs"/>
          <w:sz w:val="27"/>
          <w:rtl/>
        </w:rPr>
        <w:t>يقول</w:t>
      </w:r>
      <w:r w:rsidRPr="00282AC9">
        <w:rPr>
          <w:rFonts w:asciiTheme="minorBidi" w:hAnsiTheme="minorBidi"/>
          <w:sz w:val="27"/>
          <w:rtl/>
        </w:rPr>
        <w:t xml:space="preserve"> </w:t>
      </w:r>
      <w:r w:rsidRPr="00282AC9">
        <w:rPr>
          <w:rFonts w:asciiTheme="minorBidi" w:hAnsiTheme="minorBidi" w:hint="cs"/>
          <w:sz w:val="27"/>
          <w:rtl/>
        </w:rPr>
        <w:t>سيّد</w:t>
      </w:r>
      <w:r w:rsidRPr="00282AC9">
        <w:rPr>
          <w:rFonts w:asciiTheme="minorBidi" w:hAnsiTheme="minorBidi"/>
          <w:sz w:val="27"/>
          <w:rtl/>
        </w:rPr>
        <w:t xml:space="preserve"> </w:t>
      </w:r>
      <w:r w:rsidRPr="00282AC9">
        <w:rPr>
          <w:rFonts w:asciiTheme="minorBidi" w:hAnsiTheme="minorBidi" w:hint="cs"/>
          <w:sz w:val="27"/>
          <w:rtl/>
        </w:rPr>
        <w:t>قُطب</w:t>
      </w:r>
      <w:r w:rsidRPr="00282AC9">
        <w:rPr>
          <w:rFonts w:asciiTheme="minorBidi" w:hAnsiTheme="minorBidi"/>
          <w:sz w:val="27"/>
          <w:rtl/>
        </w:rPr>
        <w:t>:</w:t>
      </w:r>
      <w:r w:rsidRPr="00282AC9">
        <w:rPr>
          <w:rFonts w:asciiTheme="minorBidi" w:hAnsiTheme="minorBidi" w:hint="cs"/>
          <w:sz w:val="27"/>
          <w:rtl/>
        </w:rPr>
        <w:t xml:space="preserve"> </w:t>
      </w:r>
      <w:r w:rsidRPr="00282AC9">
        <w:rPr>
          <w:rFonts w:hint="eastAsia"/>
          <w:sz w:val="24"/>
          <w:szCs w:val="24"/>
          <w:rtl/>
        </w:rPr>
        <w:t>«</w:t>
      </w:r>
      <w:r w:rsidRPr="00282AC9">
        <w:rPr>
          <w:rFonts w:asciiTheme="minorBidi" w:hAnsiTheme="minorBidi" w:hint="cs"/>
          <w:sz w:val="27"/>
          <w:rtl/>
        </w:rPr>
        <w:t>والحسين</w:t>
      </w:r>
      <w:r w:rsidRPr="00282AC9">
        <w:rPr>
          <w:rFonts w:asciiTheme="minorBidi" w:hAnsiTheme="minorBidi"/>
          <w:sz w:val="27"/>
          <w:rtl/>
        </w:rPr>
        <w:t xml:space="preserve"> ـ </w:t>
      </w:r>
      <w:r w:rsidRPr="00282AC9">
        <w:rPr>
          <w:rFonts w:asciiTheme="minorBidi" w:hAnsiTheme="minorBidi" w:hint="cs"/>
          <w:sz w:val="27"/>
          <w:rtl/>
        </w:rPr>
        <w:t>رضوان</w:t>
      </w:r>
      <w:r w:rsidRPr="00282AC9">
        <w:rPr>
          <w:rFonts w:asciiTheme="minorBidi" w:hAnsiTheme="minorBidi"/>
          <w:sz w:val="27"/>
          <w:rtl/>
        </w:rPr>
        <w:t xml:space="preserve"> </w:t>
      </w:r>
      <w:r w:rsidRPr="00282AC9">
        <w:rPr>
          <w:rFonts w:asciiTheme="minorBidi" w:hAnsiTheme="minorBidi" w:hint="cs"/>
          <w:sz w:val="27"/>
          <w:rtl/>
        </w:rPr>
        <w:t>الله</w:t>
      </w:r>
      <w:r w:rsidRPr="00282AC9">
        <w:rPr>
          <w:rFonts w:asciiTheme="minorBidi" w:hAnsiTheme="minorBidi"/>
          <w:sz w:val="27"/>
          <w:rtl/>
        </w:rPr>
        <w:t xml:space="preserve"> </w:t>
      </w:r>
      <w:r w:rsidRPr="00282AC9">
        <w:rPr>
          <w:rFonts w:asciiTheme="minorBidi" w:hAnsiTheme="minorBidi" w:hint="cs"/>
          <w:sz w:val="27"/>
          <w:rtl/>
        </w:rPr>
        <w:t>عليه</w:t>
      </w:r>
      <w:r w:rsidRPr="00282AC9">
        <w:rPr>
          <w:rFonts w:asciiTheme="minorBidi" w:hAnsiTheme="minorBidi"/>
          <w:sz w:val="27"/>
          <w:rtl/>
        </w:rPr>
        <w:t xml:space="preserve"> ـ </w:t>
      </w:r>
      <w:r w:rsidR="004D5A4A" w:rsidRPr="00282AC9">
        <w:rPr>
          <w:rFonts w:asciiTheme="minorBidi" w:hAnsiTheme="minorBidi" w:hint="cs"/>
          <w:sz w:val="27"/>
          <w:rtl/>
        </w:rPr>
        <w:t>وه</w:t>
      </w:r>
      <w:r w:rsidRPr="00282AC9">
        <w:rPr>
          <w:rFonts w:asciiTheme="minorBidi" w:hAnsiTheme="minorBidi" w:hint="cs"/>
          <w:sz w:val="27"/>
          <w:rtl/>
        </w:rPr>
        <w:t>و</w:t>
      </w:r>
      <w:r w:rsidRPr="00282AC9">
        <w:rPr>
          <w:rFonts w:asciiTheme="minorBidi" w:hAnsiTheme="minorBidi"/>
          <w:sz w:val="27"/>
          <w:rtl/>
        </w:rPr>
        <w:t xml:space="preserve"> </w:t>
      </w:r>
      <w:r w:rsidR="004D5A4A" w:rsidRPr="00282AC9">
        <w:rPr>
          <w:rFonts w:asciiTheme="minorBidi" w:hAnsiTheme="minorBidi" w:hint="cs"/>
          <w:sz w:val="27"/>
          <w:rtl/>
        </w:rPr>
        <w:t>يُستشهَد</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004D5A4A" w:rsidRPr="00282AC9">
        <w:rPr>
          <w:rFonts w:asciiTheme="minorBidi" w:hAnsiTheme="minorBidi" w:hint="cs"/>
          <w:sz w:val="27"/>
          <w:rtl/>
        </w:rPr>
        <w:t>تلك</w:t>
      </w:r>
      <w:r w:rsidRPr="00282AC9">
        <w:rPr>
          <w:rFonts w:asciiTheme="minorBidi" w:hAnsiTheme="minorBidi"/>
          <w:sz w:val="27"/>
          <w:rtl/>
        </w:rPr>
        <w:t xml:space="preserve"> </w:t>
      </w:r>
      <w:r w:rsidR="004D5A4A" w:rsidRPr="00282AC9">
        <w:rPr>
          <w:rFonts w:asciiTheme="minorBidi" w:hAnsiTheme="minorBidi" w:hint="cs"/>
          <w:sz w:val="27"/>
          <w:rtl/>
        </w:rPr>
        <w:t>الص</w:t>
      </w:r>
      <w:r w:rsidRPr="00282AC9">
        <w:rPr>
          <w:rFonts w:asciiTheme="minorBidi" w:hAnsiTheme="minorBidi" w:hint="cs"/>
          <w:sz w:val="27"/>
          <w:rtl/>
        </w:rPr>
        <w:t>ورة</w:t>
      </w:r>
      <w:r w:rsidR="004D5A4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العظيمة</w:t>
      </w:r>
      <w:r w:rsidRPr="00282AC9">
        <w:rPr>
          <w:rFonts w:asciiTheme="minorBidi" w:hAnsiTheme="minorBidi"/>
          <w:sz w:val="27"/>
          <w:rtl/>
        </w:rPr>
        <w:t xml:space="preserve"> </w:t>
      </w:r>
      <w:r w:rsidR="004D5A4A" w:rsidRPr="00282AC9">
        <w:rPr>
          <w:rFonts w:asciiTheme="minorBidi" w:hAnsiTheme="minorBidi" w:hint="cs"/>
          <w:sz w:val="27"/>
          <w:rtl/>
        </w:rPr>
        <w:t>م</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جانب</w:t>
      </w:r>
      <w:r w:rsidR="004D5A4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المُف</w:t>
      </w:r>
      <w:r w:rsidR="004D5A4A" w:rsidRPr="00282AC9">
        <w:rPr>
          <w:rFonts w:asciiTheme="minorBidi" w:hAnsiTheme="minorBidi" w:hint="cs"/>
          <w:sz w:val="27"/>
          <w:rtl/>
        </w:rPr>
        <w:t>ْ</w:t>
      </w:r>
      <w:r w:rsidRPr="00282AC9">
        <w:rPr>
          <w:rFonts w:asciiTheme="minorBidi" w:hAnsiTheme="minorBidi" w:hint="cs"/>
          <w:sz w:val="27"/>
          <w:rtl/>
        </w:rPr>
        <w:t>ج</w:t>
      </w:r>
      <w:r w:rsidR="004D5A4A" w:rsidRPr="00282AC9">
        <w:rPr>
          <w:rFonts w:asciiTheme="minorBidi" w:hAnsiTheme="minorBidi" w:hint="cs"/>
          <w:sz w:val="27"/>
          <w:rtl/>
        </w:rPr>
        <w:t>ِ</w:t>
      </w:r>
      <w:r w:rsidRPr="00282AC9">
        <w:rPr>
          <w:rFonts w:asciiTheme="minorBidi" w:hAnsiTheme="minorBidi" w:hint="cs"/>
          <w:sz w:val="27"/>
          <w:rtl/>
        </w:rPr>
        <w:t>عة</w:t>
      </w:r>
      <w:r w:rsidRPr="00282AC9">
        <w:rPr>
          <w:rFonts w:asciiTheme="minorBidi" w:hAnsiTheme="minorBidi"/>
          <w:sz w:val="27"/>
          <w:rtl/>
        </w:rPr>
        <w:t xml:space="preserve"> </w:t>
      </w:r>
      <w:r w:rsidR="004D5A4A" w:rsidRPr="00282AC9">
        <w:rPr>
          <w:rFonts w:asciiTheme="minorBidi" w:hAnsiTheme="minorBidi" w:hint="cs"/>
          <w:sz w:val="27"/>
          <w:rtl/>
        </w:rPr>
        <w:t>م</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جانب</w:t>
      </w:r>
      <w:r w:rsidR="004D5A4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أ</w:t>
      </w:r>
      <w:r w:rsidR="004D5A4A" w:rsidRPr="00282AC9">
        <w:rPr>
          <w:rFonts w:asciiTheme="minorBidi" w:hAnsiTheme="minorBidi" w:hint="cs"/>
          <w:sz w:val="27"/>
          <w:rtl/>
        </w:rPr>
        <w:t>َ</w:t>
      </w:r>
      <w:r w:rsidRPr="00282AC9">
        <w:rPr>
          <w:rFonts w:asciiTheme="minorBidi" w:hAnsiTheme="minorBidi" w:hint="cs"/>
          <w:sz w:val="27"/>
          <w:rtl/>
        </w:rPr>
        <w:t>كان</w:t>
      </w:r>
      <w:r w:rsidR="004D5A4A" w:rsidRPr="00282AC9">
        <w:rPr>
          <w:rFonts w:asciiTheme="minorBidi" w:hAnsiTheme="minorBidi" w:hint="cs"/>
          <w:sz w:val="27"/>
          <w:rtl/>
        </w:rPr>
        <w:t>َ</w:t>
      </w:r>
      <w:r w:rsidRPr="00282AC9">
        <w:rPr>
          <w:rFonts w:asciiTheme="minorBidi" w:hAnsiTheme="minorBidi" w:hint="cs"/>
          <w:sz w:val="27"/>
          <w:rtl/>
        </w:rPr>
        <w:t>تْ</w:t>
      </w:r>
      <w:r w:rsidRPr="00282AC9">
        <w:rPr>
          <w:rFonts w:asciiTheme="minorBidi" w:hAnsiTheme="minorBidi"/>
          <w:sz w:val="27"/>
          <w:rtl/>
        </w:rPr>
        <w:t xml:space="preserve"> </w:t>
      </w:r>
      <w:r w:rsidR="004D5A4A" w:rsidRPr="00282AC9">
        <w:rPr>
          <w:rFonts w:asciiTheme="minorBidi" w:hAnsiTheme="minorBidi" w:hint="cs"/>
          <w:sz w:val="27"/>
          <w:rtl/>
        </w:rPr>
        <w:t>هذه</w:t>
      </w:r>
      <w:r w:rsidRPr="00282AC9">
        <w:rPr>
          <w:rFonts w:asciiTheme="minorBidi" w:hAnsiTheme="minorBidi"/>
          <w:sz w:val="27"/>
          <w:rtl/>
        </w:rPr>
        <w:t xml:space="preserve"> </w:t>
      </w:r>
      <w:r w:rsidRPr="00282AC9">
        <w:rPr>
          <w:rFonts w:asciiTheme="minorBidi" w:hAnsiTheme="minorBidi" w:hint="cs"/>
          <w:sz w:val="27"/>
          <w:rtl/>
        </w:rPr>
        <w:t>ن</w:t>
      </w:r>
      <w:r w:rsidR="004D5A4A" w:rsidRPr="00282AC9">
        <w:rPr>
          <w:rFonts w:asciiTheme="minorBidi" w:hAnsiTheme="minorBidi" w:hint="cs"/>
          <w:sz w:val="27"/>
          <w:rtl/>
        </w:rPr>
        <w:t>َ</w:t>
      </w:r>
      <w:r w:rsidRPr="00282AC9">
        <w:rPr>
          <w:rFonts w:asciiTheme="minorBidi" w:hAnsiTheme="minorBidi" w:hint="cs"/>
          <w:sz w:val="27"/>
          <w:rtl/>
        </w:rPr>
        <w:t>ص</w:t>
      </w:r>
      <w:r w:rsidR="004D5A4A" w:rsidRPr="00282AC9">
        <w:rPr>
          <w:rFonts w:asciiTheme="minorBidi" w:hAnsiTheme="minorBidi" w:hint="cs"/>
          <w:sz w:val="27"/>
          <w:rtl/>
        </w:rPr>
        <w:t>ْ</w:t>
      </w:r>
      <w:r w:rsidRPr="00282AC9">
        <w:rPr>
          <w:rFonts w:asciiTheme="minorBidi" w:hAnsiTheme="minorBidi" w:hint="cs"/>
          <w:sz w:val="27"/>
          <w:rtl/>
        </w:rPr>
        <w:t>راً</w:t>
      </w:r>
      <w:r w:rsidRPr="00282AC9">
        <w:rPr>
          <w:rFonts w:asciiTheme="minorBidi" w:hAnsiTheme="minorBidi"/>
          <w:sz w:val="27"/>
          <w:rtl/>
        </w:rPr>
        <w:t xml:space="preserve"> </w:t>
      </w:r>
      <w:r w:rsidRPr="00282AC9">
        <w:rPr>
          <w:rFonts w:asciiTheme="minorBidi" w:hAnsiTheme="minorBidi" w:hint="cs"/>
          <w:sz w:val="27"/>
          <w:rtl/>
        </w:rPr>
        <w:t>أم</w:t>
      </w:r>
      <w:r w:rsidRPr="00282AC9">
        <w:rPr>
          <w:rFonts w:asciiTheme="minorBidi" w:hAnsiTheme="minorBidi"/>
          <w:sz w:val="27"/>
          <w:rtl/>
        </w:rPr>
        <w:t xml:space="preserve"> </w:t>
      </w:r>
      <w:r w:rsidRPr="00282AC9">
        <w:rPr>
          <w:rFonts w:asciiTheme="minorBidi" w:hAnsiTheme="minorBidi" w:hint="cs"/>
          <w:sz w:val="27"/>
          <w:rtl/>
        </w:rPr>
        <w:t>هزيمة</w:t>
      </w:r>
      <w:r w:rsidR="004D5A4A" w:rsidRPr="00282AC9">
        <w:rPr>
          <w:rFonts w:asciiTheme="minorBidi" w:hAnsiTheme="minorBidi" w:hint="cs"/>
          <w:sz w:val="27"/>
          <w:rtl/>
        </w:rPr>
        <w:t>ً</w:t>
      </w:r>
      <w:r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004D5A4A" w:rsidRPr="00282AC9">
        <w:rPr>
          <w:rFonts w:asciiTheme="minorBidi" w:hAnsiTheme="minorBidi" w:hint="cs"/>
          <w:sz w:val="27"/>
          <w:rtl/>
        </w:rPr>
        <w:t>الص</w:t>
      </w:r>
      <w:r w:rsidRPr="00282AC9">
        <w:rPr>
          <w:rFonts w:asciiTheme="minorBidi" w:hAnsiTheme="minorBidi" w:hint="cs"/>
          <w:sz w:val="27"/>
          <w:rtl/>
        </w:rPr>
        <w:t>ورة</w:t>
      </w:r>
      <w:r w:rsidRPr="00282AC9">
        <w:rPr>
          <w:rFonts w:asciiTheme="minorBidi" w:hAnsiTheme="minorBidi"/>
          <w:sz w:val="27"/>
          <w:rtl/>
        </w:rPr>
        <w:t xml:space="preserve"> </w:t>
      </w:r>
      <w:r w:rsidR="004D5A4A" w:rsidRPr="00282AC9">
        <w:rPr>
          <w:rFonts w:asciiTheme="minorBidi" w:hAnsiTheme="minorBidi" w:hint="cs"/>
          <w:sz w:val="27"/>
          <w:rtl/>
        </w:rPr>
        <w:t>الظاهرة،</w:t>
      </w:r>
      <w:r w:rsidRPr="00282AC9">
        <w:rPr>
          <w:rFonts w:asciiTheme="minorBidi" w:hAnsiTheme="minorBidi"/>
          <w:sz w:val="27"/>
          <w:rtl/>
        </w:rPr>
        <w:t xml:space="preserve"> </w:t>
      </w:r>
      <w:r w:rsidRPr="00282AC9">
        <w:rPr>
          <w:rFonts w:asciiTheme="minorBidi" w:hAnsiTheme="minorBidi" w:hint="cs"/>
          <w:sz w:val="27"/>
          <w:rtl/>
        </w:rPr>
        <w:t>وبالمقياس</w:t>
      </w:r>
      <w:r w:rsidRPr="00282AC9">
        <w:rPr>
          <w:rFonts w:asciiTheme="minorBidi" w:hAnsiTheme="minorBidi"/>
          <w:sz w:val="27"/>
          <w:rtl/>
        </w:rPr>
        <w:t xml:space="preserve"> </w:t>
      </w:r>
      <w:r w:rsidRPr="00282AC9">
        <w:rPr>
          <w:rFonts w:asciiTheme="minorBidi" w:hAnsiTheme="minorBidi" w:hint="cs"/>
          <w:sz w:val="27"/>
          <w:rtl/>
        </w:rPr>
        <w:t>الصغير</w:t>
      </w:r>
      <w:r w:rsidR="004D5A4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كان</w:t>
      </w:r>
      <w:r w:rsidR="004D5A4A" w:rsidRPr="00282AC9">
        <w:rPr>
          <w:rFonts w:asciiTheme="minorBidi" w:hAnsiTheme="minorBidi" w:hint="cs"/>
          <w:sz w:val="27"/>
          <w:rtl/>
        </w:rPr>
        <w:t>َ</w:t>
      </w:r>
      <w:r w:rsidRPr="00282AC9">
        <w:rPr>
          <w:rFonts w:asciiTheme="minorBidi" w:hAnsiTheme="minorBidi" w:hint="cs"/>
          <w:sz w:val="27"/>
          <w:rtl/>
        </w:rPr>
        <w:t>تْ</w:t>
      </w:r>
      <w:r w:rsidRPr="00282AC9">
        <w:rPr>
          <w:rFonts w:asciiTheme="minorBidi" w:hAnsiTheme="minorBidi"/>
          <w:sz w:val="27"/>
          <w:rtl/>
        </w:rPr>
        <w:t xml:space="preserve"> </w:t>
      </w:r>
      <w:r w:rsidRPr="00282AC9">
        <w:rPr>
          <w:rFonts w:asciiTheme="minorBidi" w:hAnsiTheme="minorBidi" w:hint="cs"/>
          <w:sz w:val="27"/>
          <w:rtl/>
        </w:rPr>
        <w:t>هزيمة</w:t>
      </w:r>
      <w:r w:rsidR="004D5A4A" w:rsidRPr="00282AC9">
        <w:rPr>
          <w:rFonts w:asciiTheme="minorBidi" w:hAnsiTheme="minorBidi" w:hint="cs"/>
          <w:sz w:val="27"/>
          <w:rtl/>
        </w:rPr>
        <w:t>ً</w:t>
      </w:r>
      <w:r w:rsidR="00C56790" w:rsidRPr="00282AC9">
        <w:rPr>
          <w:rFonts w:asciiTheme="minorBidi" w:hAnsiTheme="minorBidi" w:hint="cs"/>
          <w:sz w:val="27"/>
          <w:rtl/>
        </w:rPr>
        <w:t>؛</w:t>
      </w:r>
      <w:r w:rsidRPr="00282AC9">
        <w:rPr>
          <w:rFonts w:asciiTheme="minorBidi" w:hAnsiTheme="minorBidi"/>
          <w:sz w:val="27"/>
          <w:rtl/>
        </w:rPr>
        <w:t xml:space="preserve"> </w:t>
      </w:r>
      <w:r w:rsidR="00C56790" w:rsidRPr="00282AC9">
        <w:rPr>
          <w:rFonts w:asciiTheme="minorBidi" w:hAnsiTheme="minorBidi" w:hint="cs"/>
          <w:sz w:val="27"/>
          <w:rtl/>
        </w:rPr>
        <w:t>و</w:t>
      </w:r>
      <w:r w:rsidRPr="00282AC9">
        <w:rPr>
          <w:rFonts w:asciiTheme="minorBidi" w:hAnsiTheme="minorBidi" w:hint="cs"/>
          <w:sz w:val="27"/>
          <w:rtl/>
        </w:rPr>
        <w:t>أمّا</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004D5A4A" w:rsidRPr="00282AC9">
        <w:rPr>
          <w:rFonts w:asciiTheme="minorBidi" w:hAnsiTheme="minorBidi" w:hint="cs"/>
          <w:sz w:val="27"/>
          <w:rtl/>
        </w:rPr>
        <w:t>الحقيقة</w:t>
      </w:r>
      <w:r w:rsidRPr="00282AC9">
        <w:rPr>
          <w:rFonts w:asciiTheme="minorBidi" w:hAnsiTheme="minorBidi"/>
          <w:sz w:val="27"/>
          <w:rtl/>
        </w:rPr>
        <w:t xml:space="preserve"> </w:t>
      </w:r>
      <w:r w:rsidR="004D5A4A" w:rsidRPr="00282AC9">
        <w:rPr>
          <w:rFonts w:asciiTheme="minorBidi" w:hAnsiTheme="minorBidi" w:hint="cs"/>
          <w:sz w:val="27"/>
          <w:rtl/>
        </w:rPr>
        <w:t>الخالصة،</w:t>
      </w:r>
      <w:r w:rsidRPr="00282AC9">
        <w:rPr>
          <w:rFonts w:asciiTheme="minorBidi" w:hAnsiTheme="minorBidi"/>
          <w:sz w:val="27"/>
          <w:rtl/>
        </w:rPr>
        <w:t xml:space="preserve"> </w:t>
      </w:r>
      <w:r w:rsidRPr="00282AC9">
        <w:rPr>
          <w:rFonts w:asciiTheme="minorBidi" w:hAnsiTheme="minorBidi" w:hint="cs"/>
          <w:sz w:val="27"/>
          <w:rtl/>
        </w:rPr>
        <w:t>وبالمقياس</w:t>
      </w:r>
      <w:r w:rsidRPr="00282AC9">
        <w:rPr>
          <w:rFonts w:asciiTheme="minorBidi" w:hAnsiTheme="minorBidi"/>
          <w:sz w:val="27"/>
          <w:rtl/>
        </w:rPr>
        <w:t xml:space="preserve"> </w:t>
      </w:r>
      <w:r w:rsidRPr="00282AC9">
        <w:rPr>
          <w:rFonts w:asciiTheme="minorBidi" w:hAnsiTheme="minorBidi" w:hint="cs"/>
          <w:sz w:val="27"/>
          <w:rtl/>
        </w:rPr>
        <w:t>الكبير</w:t>
      </w:r>
      <w:r w:rsidR="004D5A4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فقد</w:t>
      </w:r>
      <w:r w:rsidRPr="00282AC9">
        <w:rPr>
          <w:rFonts w:asciiTheme="minorBidi" w:hAnsiTheme="minorBidi"/>
          <w:sz w:val="27"/>
          <w:rtl/>
        </w:rPr>
        <w:t xml:space="preserve"> </w:t>
      </w:r>
      <w:r w:rsidRPr="00282AC9">
        <w:rPr>
          <w:rFonts w:asciiTheme="minorBidi" w:hAnsiTheme="minorBidi" w:hint="cs"/>
          <w:sz w:val="27"/>
          <w:rtl/>
        </w:rPr>
        <w:t>كان</w:t>
      </w:r>
      <w:r w:rsidR="004D5A4A" w:rsidRPr="00282AC9">
        <w:rPr>
          <w:rFonts w:asciiTheme="minorBidi" w:hAnsiTheme="minorBidi" w:hint="cs"/>
          <w:sz w:val="27"/>
          <w:rtl/>
        </w:rPr>
        <w:t>َ</w:t>
      </w:r>
      <w:r w:rsidRPr="00282AC9">
        <w:rPr>
          <w:rFonts w:asciiTheme="minorBidi" w:hAnsiTheme="minorBidi" w:hint="cs"/>
          <w:sz w:val="27"/>
          <w:rtl/>
        </w:rPr>
        <w:t>تْ</w:t>
      </w:r>
      <w:r w:rsidRPr="00282AC9">
        <w:rPr>
          <w:rFonts w:asciiTheme="minorBidi" w:hAnsiTheme="minorBidi"/>
          <w:sz w:val="27"/>
          <w:rtl/>
        </w:rPr>
        <w:t xml:space="preserve"> </w:t>
      </w:r>
      <w:r w:rsidRPr="00282AC9">
        <w:rPr>
          <w:rFonts w:asciiTheme="minorBidi" w:hAnsiTheme="minorBidi" w:hint="cs"/>
          <w:sz w:val="27"/>
          <w:rtl/>
        </w:rPr>
        <w:t>ن</w:t>
      </w:r>
      <w:r w:rsidR="004D5A4A" w:rsidRPr="00282AC9">
        <w:rPr>
          <w:rFonts w:asciiTheme="minorBidi" w:hAnsiTheme="minorBidi" w:hint="cs"/>
          <w:sz w:val="27"/>
          <w:rtl/>
        </w:rPr>
        <w:t>َ</w:t>
      </w:r>
      <w:r w:rsidRPr="00282AC9">
        <w:rPr>
          <w:rFonts w:asciiTheme="minorBidi" w:hAnsiTheme="minorBidi" w:hint="cs"/>
          <w:sz w:val="27"/>
          <w:rtl/>
        </w:rPr>
        <w:t>صْراً</w:t>
      </w:r>
      <w:r w:rsidRPr="00282AC9">
        <w:rPr>
          <w:rFonts w:asciiTheme="minorBidi" w:hAnsiTheme="minorBidi"/>
          <w:sz w:val="27"/>
          <w:rtl/>
        </w:rPr>
        <w:t xml:space="preserve">. </w:t>
      </w:r>
      <w:r w:rsidRPr="00282AC9">
        <w:rPr>
          <w:rFonts w:asciiTheme="minorBidi" w:hAnsiTheme="minorBidi" w:hint="cs"/>
          <w:sz w:val="27"/>
          <w:rtl/>
        </w:rPr>
        <w:t>فما</w:t>
      </w:r>
      <w:r w:rsidRPr="00282AC9">
        <w:rPr>
          <w:rFonts w:asciiTheme="minorBidi" w:hAnsiTheme="minorBidi"/>
          <w:sz w:val="27"/>
          <w:rtl/>
        </w:rPr>
        <w:t xml:space="preserve"> </w:t>
      </w:r>
      <w:r w:rsidR="00C56790" w:rsidRPr="00282AC9">
        <w:rPr>
          <w:rFonts w:asciiTheme="minorBidi" w:hAnsiTheme="minorBidi" w:hint="cs"/>
          <w:sz w:val="27"/>
          <w:rtl/>
        </w:rPr>
        <w:t>م</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شهيد</w:t>
      </w:r>
      <w:r w:rsidR="00C5679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الأرض</w:t>
      </w:r>
      <w:r w:rsidRPr="00282AC9">
        <w:rPr>
          <w:rFonts w:asciiTheme="minorBidi" w:hAnsiTheme="minorBidi"/>
          <w:sz w:val="27"/>
          <w:rtl/>
        </w:rPr>
        <w:t xml:space="preserve"> </w:t>
      </w:r>
      <w:r w:rsidRPr="00282AC9">
        <w:rPr>
          <w:rFonts w:asciiTheme="minorBidi" w:hAnsiTheme="minorBidi" w:hint="cs"/>
          <w:sz w:val="27"/>
          <w:rtl/>
        </w:rPr>
        <w:t>تهتزُّ</w:t>
      </w:r>
      <w:r w:rsidRPr="00282AC9">
        <w:rPr>
          <w:rFonts w:asciiTheme="minorBidi" w:hAnsiTheme="minorBidi"/>
          <w:sz w:val="27"/>
          <w:rtl/>
        </w:rPr>
        <w:t xml:space="preserve"> </w:t>
      </w:r>
      <w:r w:rsidRPr="00282AC9">
        <w:rPr>
          <w:rFonts w:asciiTheme="minorBidi" w:hAnsiTheme="minorBidi" w:hint="cs"/>
          <w:sz w:val="27"/>
          <w:rtl/>
        </w:rPr>
        <w:t>ل</w:t>
      </w:r>
      <w:r w:rsidR="00C56790" w:rsidRPr="00282AC9">
        <w:rPr>
          <w:rFonts w:asciiTheme="minorBidi" w:hAnsiTheme="minorBidi" w:hint="cs"/>
          <w:sz w:val="27"/>
          <w:rtl/>
        </w:rPr>
        <w:t>ه</w:t>
      </w:r>
      <w:r w:rsidRPr="00282AC9">
        <w:rPr>
          <w:rFonts w:asciiTheme="minorBidi" w:hAnsiTheme="minorBidi"/>
          <w:sz w:val="27"/>
          <w:rtl/>
        </w:rPr>
        <w:t xml:space="preserve"> </w:t>
      </w:r>
      <w:r w:rsidRPr="00282AC9">
        <w:rPr>
          <w:rFonts w:asciiTheme="minorBidi" w:hAnsiTheme="minorBidi" w:hint="cs"/>
          <w:sz w:val="27"/>
          <w:rtl/>
        </w:rPr>
        <w:t>الجوانح</w:t>
      </w:r>
      <w:r w:rsidRPr="00282AC9">
        <w:rPr>
          <w:rFonts w:asciiTheme="minorBidi" w:hAnsiTheme="minorBidi"/>
          <w:sz w:val="27"/>
          <w:rtl/>
        </w:rPr>
        <w:t xml:space="preserve"> </w:t>
      </w:r>
      <w:r w:rsidRPr="00282AC9">
        <w:rPr>
          <w:rFonts w:asciiTheme="minorBidi" w:hAnsiTheme="minorBidi" w:hint="cs"/>
          <w:sz w:val="27"/>
          <w:rtl/>
        </w:rPr>
        <w:t>بالحبّ</w:t>
      </w:r>
      <w:r w:rsidRPr="00282AC9">
        <w:rPr>
          <w:rFonts w:asciiTheme="minorBidi" w:hAnsiTheme="minorBidi"/>
          <w:sz w:val="27"/>
          <w:rtl/>
        </w:rPr>
        <w:t xml:space="preserve"> </w:t>
      </w:r>
      <w:r w:rsidRPr="00282AC9">
        <w:rPr>
          <w:rFonts w:asciiTheme="minorBidi" w:hAnsiTheme="minorBidi" w:hint="cs"/>
          <w:sz w:val="27"/>
          <w:rtl/>
        </w:rPr>
        <w:t>والعطف،</w:t>
      </w:r>
      <w:r w:rsidRPr="00282AC9">
        <w:rPr>
          <w:rFonts w:asciiTheme="minorBidi" w:hAnsiTheme="minorBidi"/>
          <w:sz w:val="27"/>
          <w:rtl/>
        </w:rPr>
        <w:t xml:space="preserve"> </w:t>
      </w:r>
      <w:r w:rsidRPr="00282AC9">
        <w:rPr>
          <w:rFonts w:asciiTheme="minorBidi" w:hAnsiTheme="minorBidi" w:hint="cs"/>
          <w:sz w:val="27"/>
          <w:rtl/>
        </w:rPr>
        <w:t>وتهفو</w:t>
      </w:r>
      <w:r w:rsidRPr="00282AC9">
        <w:rPr>
          <w:rFonts w:asciiTheme="minorBidi" w:hAnsiTheme="minorBidi"/>
          <w:sz w:val="27"/>
          <w:rtl/>
        </w:rPr>
        <w:t xml:space="preserve"> </w:t>
      </w:r>
      <w:r w:rsidR="00C56790" w:rsidRPr="00282AC9">
        <w:rPr>
          <w:rFonts w:asciiTheme="minorBidi" w:hAnsiTheme="minorBidi" w:hint="cs"/>
          <w:sz w:val="27"/>
          <w:rtl/>
        </w:rPr>
        <w:t>له</w:t>
      </w:r>
      <w:r w:rsidRPr="00282AC9">
        <w:rPr>
          <w:rFonts w:asciiTheme="minorBidi" w:hAnsiTheme="minorBidi"/>
          <w:sz w:val="27"/>
          <w:rtl/>
        </w:rPr>
        <w:t xml:space="preserve"> </w:t>
      </w:r>
      <w:r w:rsidRPr="00282AC9">
        <w:rPr>
          <w:rFonts w:asciiTheme="minorBidi" w:hAnsiTheme="minorBidi" w:hint="cs"/>
          <w:sz w:val="27"/>
          <w:rtl/>
        </w:rPr>
        <w:t>القلوب</w:t>
      </w:r>
      <w:r w:rsidR="00C5679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وتجيشُ</w:t>
      </w:r>
      <w:r w:rsidRPr="00282AC9">
        <w:rPr>
          <w:rFonts w:asciiTheme="minorBidi" w:hAnsiTheme="minorBidi"/>
          <w:sz w:val="27"/>
          <w:rtl/>
        </w:rPr>
        <w:t xml:space="preserve"> </w:t>
      </w:r>
      <w:r w:rsidRPr="00282AC9">
        <w:rPr>
          <w:rFonts w:asciiTheme="minorBidi" w:hAnsiTheme="minorBidi" w:hint="cs"/>
          <w:sz w:val="27"/>
          <w:rtl/>
        </w:rPr>
        <w:t>بالغَي</w:t>
      </w:r>
      <w:r w:rsidR="00C56790" w:rsidRPr="00282AC9">
        <w:rPr>
          <w:rFonts w:asciiTheme="minorBidi" w:hAnsiTheme="minorBidi" w:hint="cs"/>
          <w:sz w:val="27"/>
          <w:rtl/>
        </w:rPr>
        <w:t>ْ</w:t>
      </w:r>
      <w:r w:rsidRPr="00282AC9">
        <w:rPr>
          <w:rFonts w:asciiTheme="minorBidi" w:hAnsiTheme="minorBidi" w:hint="cs"/>
          <w:sz w:val="27"/>
          <w:rtl/>
        </w:rPr>
        <w:t>رة</w:t>
      </w:r>
      <w:r w:rsidRPr="00282AC9">
        <w:rPr>
          <w:rFonts w:asciiTheme="minorBidi" w:hAnsiTheme="minorBidi"/>
          <w:sz w:val="27"/>
          <w:rtl/>
        </w:rPr>
        <w:t xml:space="preserve"> </w:t>
      </w:r>
      <w:r w:rsidRPr="00282AC9">
        <w:rPr>
          <w:rFonts w:asciiTheme="minorBidi" w:hAnsiTheme="minorBidi" w:hint="cs"/>
          <w:sz w:val="27"/>
          <w:rtl/>
        </w:rPr>
        <w:t>والفداء</w:t>
      </w:r>
      <w:r w:rsidR="00C5679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كالحسين</w:t>
      </w:r>
      <w:r w:rsidRPr="00282AC9">
        <w:rPr>
          <w:rFonts w:asciiTheme="minorBidi" w:hAnsiTheme="minorBidi"/>
          <w:sz w:val="27"/>
          <w:rtl/>
        </w:rPr>
        <w:t xml:space="preserve"> </w:t>
      </w:r>
      <w:r w:rsidRPr="00282AC9">
        <w:rPr>
          <w:rFonts w:asciiTheme="minorBidi" w:hAnsiTheme="minorBidi" w:hint="cs"/>
          <w:sz w:val="27"/>
          <w:rtl/>
        </w:rPr>
        <w:t>رضوان</w:t>
      </w:r>
      <w:r w:rsidRPr="00282AC9">
        <w:rPr>
          <w:rFonts w:asciiTheme="minorBidi" w:hAnsiTheme="minorBidi"/>
          <w:sz w:val="27"/>
          <w:rtl/>
        </w:rPr>
        <w:t xml:space="preserve"> </w:t>
      </w:r>
      <w:r w:rsidRPr="00282AC9">
        <w:rPr>
          <w:rFonts w:asciiTheme="minorBidi" w:hAnsiTheme="minorBidi" w:hint="cs"/>
          <w:sz w:val="27"/>
          <w:rtl/>
        </w:rPr>
        <w:t>الله</w:t>
      </w:r>
      <w:r w:rsidRPr="00282AC9">
        <w:rPr>
          <w:rFonts w:asciiTheme="minorBidi" w:hAnsiTheme="minorBidi"/>
          <w:sz w:val="27"/>
          <w:rtl/>
        </w:rPr>
        <w:t xml:space="preserve"> </w:t>
      </w:r>
      <w:r w:rsidRPr="00282AC9">
        <w:rPr>
          <w:rFonts w:asciiTheme="minorBidi" w:hAnsiTheme="minorBidi" w:hint="cs"/>
          <w:sz w:val="27"/>
          <w:rtl/>
        </w:rPr>
        <w:t>عليه</w:t>
      </w:r>
      <w:r w:rsidRPr="00282AC9">
        <w:rPr>
          <w:rFonts w:asciiTheme="minorBidi" w:hAnsiTheme="minorBidi"/>
          <w:sz w:val="27"/>
          <w:rtl/>
        </w:rPr>
        <w:t xml:space="preserve">. </w:t>
      </w:r>
      <w:r w:rsidRPr="00282AC9">
        <w:rPr>
          <w:rFonts w:asciiTheme="minorBidi" w:hAnsiTheme="minorBidi" w:hint="cs"/>
          <w:sz w:val="27"/>
          <w:rtl/>
        </w:rPr>
        <w:t>يستوي</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المتشيّ</w:t>
      </w:r>
      <w:r w:rsidR="00C56790" w:rsidRPr="00282AC9">
        <w:rPr>
          <w:rFonts w:asciiTheme="minorBidi" w:hAnsiTheme="minorBidi" w:hint="cs"/>
          <w:sz w:val="27"/>
          <w:rtl/>
        </w:rPr>
        <w:t>ِ</w:t>
      </w:r>
      <w:r w:rsidRPr="00282AC9">
        <w:rPr>
          <w:rFonts w:asciiTheme="minorBidi" w:hAnsiTheme="minorBidi" w:hint="cs"/>
          <w:sz w:val="27"/>
          <w:rtl/>
        </w:rPr>
        <w:t>عون</w:t>
      </w:r>
      <w:r w:rsidRPr="00282AC9">
        <w:rPr>
          <w:rFonts w:asciiTheme="minorBidi" w:hAnsiTheme="minorBidi"/>
          <w:sz w:val="27"/>
          <w:rtl/>
        </w:rPr>
        <w:t xml:space="preserve"> </w:t>
      </w:r>
      <w:r w:rsidRPr="00282AC9">
        <w:rPr>
          <w:rFonts w:asciiTheme="minorBidi" w:hAnsiTheme="minorBidi" w:hint="cs"/>
          <w:sz w:val="27"/>
          <w:rtl/>
        </w:rPr>
        <w:t>وغير</w:t>
      </w:r>
      <w:r w:rsidRPr="00282AC9">
        <w:rPr>
          <w:rFonts w:asciiTheme="minorBidi" w:hAnsiTheme="minorBidi"/>
          <w:sz w:val="27"/>
          <w:rtl/>
        </w:rPr>
        <w:t xml:space="preserve"> </w:t>
      </w:r>
      <w:r w:rsidRPr="00282AC9">
        <w:rPr>
          <w:rFonts w:asciiTheme="minorBidi" w:hAnsiTheme="minorBidi" w:hint="cs"/>
          <w:sz w:val="27"/>
          <w:rtl/>
        </w:rPr>
        <w:t>المتشيّ</w:t>
      </w:r>
      <w:r w:rsidR="00C56790" w:rsidRPr="00282AC9">
        <w:rPr>
          <w:rFonts w:asciiTheme="minorBidi" w:hAnsiTheme="minorBidi" w:hint="cs"/>
          <w:sz w:val="27"/>
          <w:rtl/>
        </w:rPr>
        <w:t>ِ</w:t>
      </w:r>
      <w:r w:rsidRPr="00282AC9">
        <w:rPr>
          <w:rFonts w:asciiTheme="minorBidi" w:hAnsiTheme="minorBidi" w:hint="cs"/>
          <w:sz w:val="27"/>
          <w:rtl/>
        </w:rPr>
        <w:t>عين</w:t>
      </w:r>
      <w:r w:rsidRPr="00282AC9">
        <w:rPr>
          <w:rFonts w:asciiTheme="minorBidi" w:hAnsiTheme="minorBidi"/>
          <w:sz w:val="27"/>
          <w:rtl/>
        </w:rPr>
        <w:t xml:space="preserve"> </w:t>
      </w:r>
      <w:r w:rsidR="00C56790" w:rsidRPr="00282AC9">
        <w:rPr>
          <w:rFonts w:asciiTheme="minorBidi" w:hAnsiTheme="minorBidi" w:hint="cs"/>
          <w:sz w:val="27"/>
          <w:rtl/>
        </w:rPr>
        <w:t>م</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المسلمين</w:t>
      </w:r>
      <w:r w:rsidR="00C5679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وكثير</w:t>
      </w:r>
      <w:r w:rsidRPr="00282AC9">
        <w:rPr>
          <w:rFonts w:asciiTheme="minorBidi" w:hAnsiTheme="minorBidi"/>
          <w:sz w:val="27"/>
          <w:rtl/>
        </w:rPr>
        <w:t xml:space="preserve"> </w:t>
      </w:r>
      <w:r w:rsidR="00C56790" w:rsidRPr="00282AC9">
        <w:rPr>
          <w:rFonts w:asciiTheme="minorBidi" w:hAnsiTheme="minorBidi" w:hint="cs"/>
          <w:sz w:val="27"/>
          <w:rtl/>
        </w:rPr>
        <w:t>م</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غير</w:t>
      </w:r>
      <w:r w:rsidRPr="00282AC9">
        <w:rPr>
          <w:rFonts w:asciiTheme="minorBidi" w:hAnsiTheme="minorBidi"/>
          <w:sz w:val="27"/>
          <w:rtl/>
        </w:rPr>
        <w:t xml:space="preserve"> </w:t>
      </w:r>
      <w:r w:rsidRPr="00282AC9">
        <w:rPr>
          <w:rFonts w:asciiTheme="minorBidi" w:hAnsiTheme="minorBidi" w:hint="cs"/>
          <w:sz w:val="27"/>
          <w:rtl/>
        </w:rPr>
        <w:t>المسلمين</w:t>
      </w:r>
      <w:r w:rsidRPr="00282AC9">
        <w:rPr>
          <w:rFonts w:asciiTheme="minorBidi" w:hAnsiTheme="minorBidi"/>
          <w:sz w:val="27"/>
          <w:rtl/>
        </w:rPr>
        <w:t>..</w:t>
      </w:r>
      <w:r w:rsidRPr="00282AC9">
        <w:rPr>
          <w:rFonts w:asciiTheme="minorBidi" w:hAnsiTheme="minorBidi" w:hint="cs"/>
          <w:sz w:val="27"/>
          <w:rtl/>
        </w:rPr>
        <w:t>.</w:t>
      </w:r>
      <w:r w:rsidRPr="00282AC9">
        <w:rPr>
          <w:rFonts w:hint="eastAsia"/>
          <w:sz w:val="24"/>
          <w:szCs w:val="24"/>
          <w:rtl/>
        </w:rPr>
        <w:t>»</w:t>
      </w:r>
      <w:r w:rsidRPr="00282AC9">
        <w:rPr>
          <w:rFonts w:asciiTheme="minorBidi" w:hAnsiTheme="minorBidi" w:hint="cs"/>
          <w:sz w:val="27"/>
          <w:rtl/>
        </w:rPr>
        <w:t>.</w:t>
      </w:r>
    </w:p>
    <w:p w:rsidR="00965E08" w:rsidRPr="00282AC9" w:rsidRDefault="00C56790" w:rsidP="003062B7">
      <w:pPr>
        <w:rPr>
          <w:rFonts w:asciiTheme="minorBidi" w:hAnsiTheme="minorBidi"/>
          <w:sz w:val="27"/>
          <w:rtl/>
        </w:rPr>
      </w:pPr>
      <w:r w:rsidRPr="00282AC9">
        <w:rPr>
          <w:rFonts w:asciiTheme="minorBidi" w:hAnsiTheme="minorBidi" w:hint="cs"/>
          <w:sz w:val="27"/>
          <w:rtl/>
        </w:rPr>
        <w:t>فخلاصة</w:t>
      </w:r>
      <w:r w:rsidR="007A43F0"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كلامه</w:t>
      </w:r>
      <w:r w:rsidR="00965E08" w:rsidRPr="00282AC9">
        <w:rPr>
          <w:rFonts w:asciiTheme="minorBidi" w:hAnsiTheme="minorBidi"/>
          <w:sz w:val="27"/>
          <w:rtl/>
        </w:rPr>
        <w:t xml:space="preserve"> </w:t>
      </w:r>
      <w:r w:rsidR="00965E08" w:rsidRPr="00282AC9">
        <w:rPr>
          <w:rFonts w:asciiTheme="minorBidi" w:hAnsiTheme="minorBidi" w:hint="cs"/>
          <w:sz w:val="27"/>
          <w:rtl/>
        </w:rPr>
        <w:t>أن</w:t>
      </w:r>
      <w:r w:rsidR="00965E08" w:rsidRPr="00282AC9">
        <w:rPr>
          <w:rFonts w:asciiTheme="minorBidi" w:hAnsiTheme="minorBidi"/>
          <w:sz w:val="27"/>
          <w:rtl/>
        </w:rPr>
        <w:t xml:space="preserve"> </w:t>
      </w:r>
      <w:r w:rsidR="00965E08" w:rsidRPr="00282AC9">
        <w:rPr>
          <w:rFonts w:asciiTheme="minorBidi" w:hAnsiTheme="minorBidi" w:hint="cs"/>
          <w:sz w:val="27"/>
          <w:rtl/>
        </w:rPr>
        <w:t>الحسين</w:t>
      </w:r>
      <w:r w:rsidR="009A2A04" w:rsidRPr="00282AC9">
        <w:rPr>
          <w:rFonts w:asciiTheme="minorBidi" w:hAnsiTheme="minorBidi" w:cs="Mosawi" w:hint="cs"/>
          <w:sz w:val="22"/>
          <w:szCs w:val="22"/>
          <w:rtl/>
        </w:rPr>
        <w:t>×</w:t>
      </w:r>
      <w:r w:rsidR="00965E08" w:rsidRPr="00282AC9">
        <w:rPr>
          <w:rFonts w:asciiTheme="minorBidi" w:hAnsiTheme="minorBidi"/>
          <w:sz w:val="27"/>
          <w:rtl/>
        </w:rPr>
        <w:t xml:space="preserve"> </w:t>
      </w:r>
      <w:r w:rsidR="00965E08" w:rsidRPr="00282AC9">
        <w:rPr>
          <w:rFonts w:asciiTheme="minorBidi" w:hAnsiTheme="minorBidi" w:hint="cs"/>
          <w:sz w:val="27"/>
          <w:rtl/>
        </w:rPr>
        <w:t>ق</w:t>
      </w:r>
      <w:r w:rsidR="007A43F0" w:rsidRPr="00282AC9">
        <w:rPr>
          <w:rFonts w:asciiTheme="minorBidi" w:hAnsiTheme="minorBidi" w:hint="cs"/>
          <w:sz w:val="27"/>
          <w:rtl/>
        </w:rPr>
        <w:t>ُ</w:t>
      </w:r>
      <w:r w:rsidR="00965E08" w:rsidRPr="00282AC9">
        <w:rPr>
          <w:rFonts w:asciiTheme="minorBidi" w:hAnsiTheme="minorBidi" w:hint="cs"/>
          <w:sz w:val="27"/>
          <w:rtl/>
        </w:rPr>
        <w:t>تل</w:t>
      </w:r>
      <w:r w:rsidR="007A43F0"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ولكنه</w:t>
      </w:r>
      <w:r w:rsidR="00965E08" w:rsidRPr="00282AC9">
        <w:rPr>
          <w:rFonts w:asciiTheme="minorBidi" w:hAnsiTheme="minorBidi"/>
          <w:sz w:val="27"/>
          <w:rtl/>
        </w:rPr>
        <w:t xml:space="preserve"> </w:t>
      </w:r>
      <w:r w:rsidR="00965E08" w:rsidRPr="00282AC9">
        <w:rPr>
          <w:rFonts w:asciiTheme="minorBidi" w:hAnsiTheme="minorBidi" w:hint="cs"/>
          <w:sz w:val="27"/>
          <w:rtl/>
        </w:rPr>
        <w:t>انتصر</w:t>
      </w:r>
      <w:r w:rsidR="007A43F0"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لأنه</w:t>
      </w:r>
      <w:r w:rsidR="00965E08" w:rsidRPr="00282AC9">
        <w:rPr>
          <w:rFonts w:asciiTheme="minorBidi" w:hAnsiTheme="minorBidi"/>
          <w:sz w:val="27"/>
          <w:rtl/>
        </w:rPr>
        <w:t xml:space="preserve"> </w:t>
      </w:r>
      <w:r w:rsidR="00965E08" w:rsidRPr="00282AC9">
        <w:rPr>
          <w:rFonts w:asciiTheme="minorBidi" w:hAnsiTheme="minorBidi" w:hint="cs"/>
          <w:sz w:val="27"/>
          <w:rtl/>
        </w:rPr>
        <w:t>يقول</w:t>
      </w:r>
      <w:r w:rsidR="00965E08" w:rsidRPr="00282AC9">
        <w:rPr>
          <w:rFonts w:asciiTheme="minorBidi" w:hAnsiTheme="minorBidi"/>
          <w:sz w:val="27"/>
          <w:rtl/>
        </w:rPr>
        <w:t xml:space="preserve">: </w:t>
      </w:r>
      <w:r w:rsidR="00965E08" w:rsidRPr="00282AC9">
        <w:rPr>
          <w:rFonts w:hint="eastAsia"/>
          <w:sz w:val="24"/>
          <w:szCs w:val="24"/>
          <w:rtl/>
        </w:rPr>
        <w:t>«</w:t>
      </w:r>
      <w:r w:rsidR="00965E08" w:rsidRPr="00282AC9">
        <w:rPr>
          <w:rFonts w:asciiTheme="minorBidi" w:hAnsiTheme="minorBidi" w:hint="cs"/>
          <w:sz w:val="27"/>
          <w:rtl/>
        </w:rPr>
        <w:t>والناس</w:t>
      </w:r>
      <w:r w:rsidR="00965E08" w:rsidRPr="00282AC9">
        <w:rPr>
          <w:rFonts w:asciiTheme="minorBidi" w:hAnsiTheme="minorBidi"/>
          <w:sz w:val="27"/>
          <w:rtl/>
        </w:rPr>
        <w:t xml:space="preserve"> </w:t>
      </w:r>
      <w:r w:rsidR="00965E08" w:rsidRPr="00282AC9">
        <w:rPr>
          <w:rFonts w:asciiTheme="minorBidi" w:hAnsiTheme="minorBidi" w:hint="cs"/>
          <w:sz w:val="27"/>
          <w:rtl/>
        </w:rPr>
        <w:t>كذلك</w:t>
      </w:r>
      <w:r w:rsidR="00965E08" w:rsidRPr="00282AC9">
        <w:rPr>
          <w:rFonts w:asciiTheme="minorBidi" w:hAnsiTheme="minorBidi"/>
          <w:sz w:val="27"/>
          <w:rtl/>
        </w:rPr>
        <w:t xml:space="preserve"> </w:t>
      </w:r>
      <w:r w:rsidR="00965E08" w:rsidRPr="00282AC9">
        <w:rPr>
          <w:rFonts w:asciiTheme="minorBidi" w:hAnsiTheme="minorBidi" w:hint="cs"/>
          <w:sz w:val="27"/>
          <w:rtl/>
        </w:rPr>
        <w:t>يقصرون</w:t>
      </w:r>
      <w:r w:rsidR="00965E08" w:rsidRPr="00282AC9">
        <w:rPr>
          <w:rFonts w:asciiTheme="minorBidi" w:hAnsiTheme="minorBidi"/>
          <w:sz w:val="27"/>
          <w:rtl/>
        </w:rPr>
        <w:t xml:space="preserve"> </w:t>
      </w:r>
      <w:r w:rsidR="00965E08" w:rsidRPr="00282AC9">
        <w:rPr>
          <w:rFonts w:asciiTheme="minorBidi" w:hAnsiTheme="minorBidi" w:hint="cs"/>
          <w:sz w:val="27"/>
          <w:rtl/>
        </w:rPr>
        <w:t>معنى</w:t>
      </w:r>
      <w:r w:rsidR="00965E08" w:rsidRPr="00282AC9">
        <w:rPr>
          <w:rFonts w:asciiTheme="minorBidi" w:hAnsiTheme="minorBidi"/>
          <w:sz w:val="27"/>
          <w:rtl/>
        </w:rPr>
        <w:t xml:space="preserve"> </w:t>
      </w:r>
      <w:r w:rsidR="00965E08" w:rsidRPr="00282AC9">
        <w:rPr>
          <w:rFonts w:asciiTheme="minorBidi" w:hAnsiTheme="minorBidi" w:hint="cs"/>
          <w:sz w:val="27"/>
          <w:rtl/>
        </w:rPr>
        <w:t>النصر</w:t>
      </w:r>
      <w:r w:rsidR="00965E08" w:rsidRPr="00282AC9">
        <w:rPr>
          <w:rFonts w:asciiTheme="minorBidi" w:hAnsiTheme="minorBidi"/>
          <w:sz w:val="27"/>
          <w:rtl/>
        </w:rPr>
        <w:t xml:space="preserve"> </w:t>
      </w:r>
      <w:r w:rsidR="00965E08" w:rsidRPr="00282AC9">
        <w:rPr>
          <w:rFonts w:asciiTheme="minorBidi" w:hAnsiTheme="minorBidi" w:hint="cs"/>
          <w:sz w:val="27"/>
          <w:rtl/>
        </w:rPr>
        <w:t>على</w:t>
      </w:r>
      <w:r w:rsidR="00965E08" w:rsidRPr="00282AC9">
        <w:rPr>
          <w:rFonts w:asciiTheme="minorBidi" w:hAnsiTheme="minorBidi"/>
          <w:sz w:val="27"/>
          <w:rtl/>
        </w:rPr>
        <w:t xml:space="preserve"> </w:t>
      </w:r>
      <w:r w:rsidR="00965E08" w:rsidRPr="00282AC9">
        <w:rPr>
          <w:rFonts w:asciiTheme="minorBidi" w:hAnsiTheme="minorBidi" w:hint="cs"/>
          <w:sz w:val="27"/>
          <w:rtl/>
        </w:rPr>
        <w:t>صور</w:t>
      </w:r>
      <w:r w:rsidR="007A43F0"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معي</w:t>
      </w:r>
      <w:r w:rsidR="007A43F0" w:rsidRPr="00282AC9">
        <w:rPr>
          <w:rFonts w:asciiTheme="minorBidi" w:hAnsiTheme="minorBidi" w:hint="cs"/>
          <w:sz w:val="27"/>
          <w:rtl/>
        </w:rPr>
        <w:t>َّ</w:t>
      </w:r>
      <w:r w:rsidR="00965E08" w:rsidRPr="00282AC9">
        <w:rPr>
          <w:rFonts w:asciiTheme="minorBidi" w:hAnsiTheme="minorBidi" w:hint="cs"/>
          <w:sz w:val="27"/>
          <w:rtl/>
        </w:rPr>
        <w:t>نة</w:t>
      </w:r>
      <w:r w:rsidR="00965E08" w:rsidRPr="00282AC9">
        <w:rPr>
          <w:rFonts w:asciiTheme="minorBidi" w:hAnsiTheme="minorBidi"/>
          <w:sz w:val="27"/>
          <w:rtl/>
        </w:rPr>
        <w:t xml:space="preserve"> </w:t>
      </w:r>
      <w:r w:rsidR="00965E08" w:rsidRPr="00282AC9">
        <w:rPr>
          <w:rFonts w:asciiTheme="minorBidi" w:hAnsiTheme="minorBidi" w:hint="cs"/>
          <w:sz w:val="27"/>
          <w:rtl/>
        </w:rPr>
        <w:t>معهودة</w:t>
      </w:r>
      <w:r w:rsidR="007A43F0"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لهم،</w:t>
      </w:r>
      <w:r w:rsidR="00965E08" w:rsidRPr="00282AC9">
        <w:rPr>
          <w:rFonts w:asciiTheme="minorBidi" w:hAnsiTheme="minorBidi"/>
          <w:sz w:val="27"/>
          <w:rtl/>
        </w:rPr>
        <w:t xml:space="preserve"> </w:t>
      </w:r>
      <w:r w:rsidR="00965E08" w:rsidRPr="00282AC9">
        <w:rPr>
          <w:rFonts w:asciiTheme="minorBidi" w:hAnsiTheme="minorBidi" w:hint="cs"/>
          <w:sz w:val="27"/>
          <w:rtl/>
        </w:rPr>
        <w:t>قريبة</w:t>
      </w:r>
      <w:r w:rsidR="007A43F0"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الرؤية</w:t>
      </w:r>
      <w:r w:rsidR="00965E08" w:rsidRPr="00282AC9">
        <w:rPr>
          <w:rFonts w:asciiTheme="minorBidi" w:hAnsiTheme="minorBidi"/>
          <w:sz w:val="27"/>
          <w:rtl/>
        </w:rPr>
        <w:t xml:space="preserve"> </w:t>
      </w:r>
      <w:r w:rsidR="00965E08" w:rsidRPr="00282AC9">
        <w:rPr>
          <w:rFonts w:asciiTheme="minorBidi" w:hAnsiTheme="minorBidi" w:hint="cs"/>
          <w:sz w:val="27"/>
          <w:rtl/>
        </w:rPr>
        <w:t>لأعينهم</w:t>
      </w:r>
      <w:r w:rsidR="00965E08" w:rsidRPr="00282AC9">
        <w:rPr>
          <w:rFonts w:asciiTheme="minorBidi" w:hAnsiTheme="minorBidi"/>
          <w:sz w:val="27"/>
          <w:rtl/>
        </w:rPr>
        <w:t xml:space="preserve">. </w:t>
      </w:r>
      <w:r w:rsidR="00965E08" w:rsidRPr="00282AC9">
        <w:rPr>
          <w:rFonts w:asciiTheme="minorBidi" w:hAnsiTheme="minorBidi" w:hint="cs"/>
          <w:sz w:val="27"/>
          <w:rtl/>
        </w:rPr>
        <w:t>ولكن</w:t>
      </w:r>
      <w:r w:rsidR="007A43F0"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صور</w:t>
      </w:r>
      <w:r w:rsidR="00965E08" w:rsidRPr="00282AC9">
        <w:rPr>
          <w:rFonts w:asciiTheme="minorBidi" w:hAnsiTheme="minorBidi"/>
          <w:sz w:val="27"/>
          <w:rtl/>
        </w:rPr>
        <w:t xml:space="preserve"> </w:t>
      </w:r>
      <w:r w:rsidR="00965E08" w:rsidRPr="00282AC9">
        <w:rPr>
          <w:rFonts w:asciiTheme="minorBidi" w:hAnsiTheme="minorBidi" w:hint="cs"/>
          <w:sz w:val="27"/>
          <w:rtl/>
        </w:rPr>
        <w:t>النصر</w:t>
      </w:r>
      <w:r w:rsidR="00965E08" w:rsidRPr="00282AC9">
        <w:rPr>
          <w:rFonts w:asciiTheme="minorBidi" w:hAnsiTheme="minorBidi"/>
          <w:sz w:val="27"/>
          <w:rtl/>
        </w:rPr>
        <w:t xml:space="preserve"> </w:t>
      </w:r>
      <w:r w:rsidR="00965E08" w:rsidRPr="00282AC9">
        <w:rPr>
          <w:rFonts w:asciiTheme="minorBidi" w:hAnsiTheme="minorBidi" w:hint="cs"/>
          <w:sz w:val="27"/>
          <w:rtl/>
        </w:rPr>
        <w:t>شت</w:t>
      </w:r>
      <w:r w:rsidR="007A43F0" w:rsidRPr="00282AC9">
        <w:rPr>
          <w:rFonts w:asciiTheme="minorBidi" w:hAnsiTheme="minorBidi" w:hint="cs"/>
          <w:sz w:val="27"/>
          <w:rtl/>
        </w:rPr>
        <w:t>ّ</w:t>
      </w:r>
      <w:r w:rsidR="00965E08" w:rsidRPr="00282AC9">
        <w:rPr>
          <w:rFonts w:asciiTheme="minorBidi" w:hAnsiTheme="minorBidi" w:hint="cs"/>
          <w:sz w:val="27"/>
          <w:rtl/>
        </w:rPr>
        <w:t>ى</w:t>
      </w:r>
      <w:r w:rsidR="00965E08" w:rsidRPr="00282AC9">
        <w:rPr>
          <w:rFonts w:asciiTheme="minorBidi" w:hAnsiTheme="minorBidi"/>
          <w:sz w:val="27"/>
          <w:rtl/>
        </w:rPr>
        <w:t>.</w:t>
      </w:r>
      <w:r w:rsidR="00965E08" w:rsidRPr="00282AC9">
        <w:rPr>
          <w:rFonts w:asciiTheme="minorBidi" w:hAnsiTheme="minorBidi" w:hint="cs"/>
          <w:sz w:val="27"/>
          <w:rtl/>
        </w:rPr>
        <w:t>..</w:t>
      </w:r>
      <w:r w:rsidR="00965E08" w:rsidRPr="00282AC9">
        <w:rPr>
          <w:rFonts w:hint="eastAsia"/>
          <w:sz w:val="24"/>
          <w:szCs w:val="24"/>
          <w:rtl/>
        </w:rPr>
        <w:t>»</w:t>
      </w:r>
      <w:r w:rsidR="00965E08" w:rsidRPr="00282AC9">
        <w:rPr>
          <w:rStyle w:val="af9"/>
          <w:rFonts w:asciiTheme="minorBidi" w:hAnsiTheme="minorBidi"/>
          <w:sz w:val="27"/>
          <w:rtl/>
        </w:rPr>
        <w:t>(</w:t>
      </w:r>
      <w:r w:rsidR="00965E08" w:rsidRPr="00282AC9">
        <w:rPr>
          <w:rStyle w:val="af9"/>
          <w:rFonts w:asciiTheme="minorBidi" w:hAnsiTheme="minorBidi"/>
          <w:sz w:val="27"/>
          <w:rtl/>
        </w:rPr>
        <w:endnoteReference w:id="761"/>
      </w:r>
      <w:r w:rsidR="00965E08" w:rsidRPr="00282AC9">
        <w:rPr>
          <w:rStyle w:val="af9"/>
          <w:rFonts w:asciiTheme="minorBidi" w:hAnsiTheme="minorBidi"/>
          <w:sz w:val="27"/>
          <w:rtl/>
        </w:rPr>
        <w:t>)</w:t>
      </w:r>
      <w:r w:rsidR="00965E08" w:rsidRPr="00282AC9">
        <w:rPr>
          <w:rFonts w:asciiTheme="minorBidi" w:hAnsiTheme="minorBidi" w:hint="cs"/>
          <w:sz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وشاع</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الفكر</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الو</w:t>
      </w:r>
      <w:r w:rsidR="007A43F0" w:rsidRPr="00282AC9">
        <w:rPr>
          <w:rFonts w:asciiTheme="minorBidi" w:hAnsiTheme="minorBidi" w:hint="cs"/>
          <w:sz w:val="27"/>
          <w:rtl/>
        </w:rPr>
        <w:t>َ</w:t>
      </w:r>
      <w:r w:rsidRPr="00282AC9">
        <w:rPr>
          <w:rFonts w:asciiTheme="minorBidi" w:hAnsiTheme="minorBidi" w:hint="cs"/>
          <w:sz w:val="27"/>
          <w:rtl/>
        </w:rPr>
        <w:t>س</w:t>
      </w:r>
      <w:r w:rsidR="007A43F0" w:rsidRPr="00282AC9">
        <w:rPr>
          <w:rFonts w:asciiTheme="minorBidi" w:hAnsiTheme="minorBidi" w:hint="cs"/>
          <w:sz w:val="27"/>
          <w:rtl/>
        </w:rPr>
        <w:t>َ</w:t>
      </w:r>
      <w:r w:rsidRPr="00282AC9">
        <w:rPr>
          <w:rFonts w:asciiTheme="minorBidi" w:hAnsiTheme="minorBidi" w:hint="cs"/>
          <w:sz w:val="27"/>
          <w:rtl/>
        </w:rPr>
        <w:t>ط</w:t>
      </w:r>
      <w:r w:rsidRPr="00282AC9">
        <w:rPr>
          <w:rFonts w:asciiTheme="minorBidi" w:hAnsiTheme="minorBidi"/>
          <w:sz w:val="27"/>
          <w:rtl/>
        </w:rPr>
        <w:t xml:space="preserve"> </w:t>
      </w:r>
      <w:r w:rsidRPr="00282AC9">
        <w:rPr>
          <w:rFonts w:asciiTheme="minorBidi" w:hAnsiTheme="minorBidi" w:hint="cs"/>
          <w:sz w:val="27"/>
          <w:rtl/>
        </w:rPr>
        <w:t>العراقي،</w:t>
      </w:r>
      <w:r w:rsidRPr="00282AC9">
        <w:rPr>
          <w:rFonts w:asciiTheme="minorBidi" w:hAnsiTheme="minorBidi"/>
          <w:sz w:val="27"/>
          <w:rtl/>
        </w:rPr>
        <w:t xml:space="preserve"> </w:t>
      </w:r>
      <w:r w:rsidRPr="00282AC9">
        <w:rPr>
          <w:rFonts w:asciiTheme="minorBidi" w:hAnsiTheme="minorBidi" w:hint="cs"/>
          <w:sz w:val="27"/>
          <w:rtl/>
        </w:rPr>
        <w:t>وفي</w:t>
      </w:r>
      <w:r w:rsidRPr="00282AC9">
        <w:rPr>
          <w:rFonts w:asciiTheme="minorBidi" w:hAnsiTheme="minorBidi"/>
          <w:sz w:val="27"/>
          <w:rtl/>
        </w:rPr>
        <w:t xml:space="preserve"> </w:t>
      </w:r>
      <w:r w:rsidRPr="00282AC9">
        <w:rPr>
          <w:rFonts w:asciiTheme="minorBidi" w:hAnsiTheme="minorBidi" w:hint="cs"/>
          <w:sz w:val="27"/>
          <w:rtl/>
        </w:rPr>
        <w:t>الو</w:t>
      </w:r>
      <w:r w:rsidR="007A43F0" w:rsidRPr="00282AC9">
        <w:rPr>
          <w:rFonts w:asciiTheme="minorBidi" w:hAnsiTheme="minorBidi" w:hint="cs"/>
          <w:sz w:val="27"/>
          <w:rtl/>
        </w:rPr>
        <w:t>َ</w:t>
      </w:r>
      <w:r w:rsidRPr="00282AC9">
        <w:rPr>
          <w:rFonts w:asciiTheme="minorBidi" w:hAnsiTheme="minorBidi" w:hint="cs"/>
          <w:sz w:val="27"/>
          <w:rtl/>
        </w:rPr>
        <w:t>س</w:t>
      </w:r>
      <w:r w:rsidR="007A43F0" w:rsidRPr="00282AC9">
        <w:rPr>
          <w:rFonts w:asciiTheme="minorBidi" w:hAnsiTheme="minorBidi" w:hint="cs"/>
          <w:sz w:val="27"/>
          <w:rtl/>
        </w:rPr>
        <w:t>َ</w:t>
      </w:r>
      <w:r w:rsidRPr="00282AC9">
        <w:rPr>
          <w:rFonts w:asciiTheme="minorBidi" w:hAnsiTheme="minorBidi" w:hint="cs"/>
          <w:sz w:val="27"/>
          <w:rtl/>
        </w:rPr>
        <w:t>ط</w:t>
      </w:r>
      <w:r w:rsidRPr="00282AC9">
        <w:rPr>
          <w:rFonts w:asciiTheme="minorBidi" w:hAnsiTheme="minorBidi"/>
          <w:sz w:val="27"/>
          <w:rtl/>
        </w:rPr>
        <w:t xml:space="preserve"> </w:t>
      </w:r>
      <w:r w:rsidRPr="00282AC9">
        <w:rPr>
          <w:rFonts w:asciiTheme="minorBidi" w:hAnsiTheme="minorBidi" w:hint="cs"/>
          <w:sz w:val="27"/>
          <w:rtl/>
        </w:rPr>
        <w:t>الإيراني،</w:t>
      </w:r>
      <w:r w:rsidRPr="00282AC9">
        <w:rPr>
          <w:rFonts w:asciiTheme="minorBidi" w:hAnsiTheme="minorBidi"/>
          <w:sz w:val="27"/>
          <w:rtl/>
        </w:rPr>
        <w:t xml:space="preserve"> </w:t>
      </w:r>
      <w:r w:rsidR="007A43F0" w:rsidRPr="00282AC9">
        <w:rPr>
          <w:rFonts w:asciiTheme="minorBidi" w:hAnsiTheme="minorBidi" w:hint="cs"/>
          <w:sz w:val="27"/>
          <w:rtl/>
        </w:rPr>
        <w:t>و</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الو</w:t>
      </w:r>
      <w:r w:rsidR="007A43F0" w:rsidRPr="00282AC9">
        <w:rPr>
          <w:rFonts w:asciiTheme="minorBidi" w:hAnsiTheme="minorBidi" w:hint="cs"/>
          <w:sz w:val="27"/>
          <w:rtl/>
        </w:rPr>
        <w:t>َ</w:t>
      </w:r>
      <w:r w:rsidRPr="00282AC9">
        <w:rPr>
          <w:rFonts w:asciiTheme="minorBidi" w:hAnsiTheme="minorBidi" w:hint="cs"/>
          <w:sz w:val="27"/>
          <w:rtl/>
        </w:rPr>
        <w:t>س</w:t>
      </w:r>
      <w:r w:rsidR="007A43F0" w:rsidRPr="00282AC9">
        <w:rPr>
          <w:rFonts w:asciiTheme="minorBidi" w:hAnsiTheme="minorBidi" w:hint="cs"/>
          <w:sz w:val="27"/>
          <w:rtl/>
        </w:rPr>
        <w:t>َ</w:t>
      </w:r>
      <w:r w:rsidRPr="00282AC9">
        <w:rPr>
          <w:rFonts w:asciiTheme="minorBidi" w:hAnsiTheme="minorBidi" w:hint="cs"/>
          <w:sz w:val="27"/>
          <w:rtl/>
        </w:rPr>
        <w:t>ط</w:t>
      </w:r>
      <w:r w:rsidRPr="00282AC9">
        <w:rPr>
          <w:rFonts w:asciiTheme="minorBidi" w:hAnsiTheme="minorBidi"/>
          <w:sz w:val="27"/>
          <w:rtl/>
        </w:rPr>
        <w:t xml:space="preserve"> </w:t>
      </w:r>
      <w:r w:rsidRPr="00282AC9">
        <w:rPr>
          <w:rFonts w:asciiTheme="minorBidi" w:hAnsiTheme="minorBidi" w:hint="cs"/>
          <w:sz w:val="27"/>
          <w:rtl/>
        </w:rPr>
        <w:t>الباكستاني،</w:t>
      </w:r>
      <w:r w:rsidRPr="00282AC9">
        <w:rPr>
          <w:rFonts w:asciiTheme="minorBidi" w:hAnsiTheme="minorBidi"/>
          <w:sz w:val="27"/>
          <w:rtl/>
        </w:rPr>
        <w:t xml:space="preserve"> </w:t>
      </w:r>
      <w:r w:rsidRPr="00282AC9">
        <w:rPr>
          <w:rFonts w:asciiTheme="minorBidi" w:hAnsiTheme="minorBidi" w:hint="cs"/>
          <w:sz w:val="27"/>
          <w:rtl/>
        </w:rPr>
        <w:t>وفي</w:t>
      </w:r>
      <w:r w:rsidRPr="00282AC9">
        <w:rPr>
          <w:rFonts w:asciiTheme="minorBidi" w:hAnsiTheme="minorBidi"/>
          <w:sz w:val="27"/>
          <w:rtl/>
        </w:rPr>
        <w:t xml:space="preserve"> </w:t>
      </w:r>
      <w:r w:rsidRPr="00282AC9">
        <w:rPr>
          <w:rFonts w:asciiTheme="minorBidi" w:hAnsiTheme="minorBidi" w:hint="cs"/>
          <w:sz w:val="27"/>
          <w:rtl/>
        </w:rPr>
        <w:t>الو</w:t>
      </w:r>
      <w:r w:rsidR="007A43F0" w:rsidRPr="00282AC9">
        <w:rPr>
          <w:rFonts w:asciiTheme="minorBidi" w:hAnsiTheme="minorBidi" w:hint="cs"/>
          <w:sz w:val="27"/>
          <w:rtl/>
        </w:rPr>
        <w:t>َ</w:t>
      </w:r>
      <w:r w:rsidRPr="00282AC9">
        <w:rPr>
          <w:rFonts w:asciiTheme="minorBidi" w:hAnsiTheme="minorBidi" w:hint="cs"/>
          <w:sz w:val="27"/>
          <w:rtl/>
        </w:rPr>
        <w:t>س</w:t>
      </w:r>
      <w:r w:rsidR="007A43F0" w:rsidRPr="00282AC9">
        <w:rPr>
          <w:rFonts w:asciiTheme="minorBidi" w:hAnsiTheme="minorBidi" w:hint="cs"/>
          <w:sz w:val="27"/>
          <w:rtl/>
        </w:rPr>
        <w:t>َ</w:t>
      </w:r>
      <w:r w:rsidRPr="00282AC9">
        <w:rPr>
          <w:rFonts w:asciiTheme="minorBidi" w:hAnsiTheme="minorBidi" w:hint="cs"/>
          <w:sz w:val="27"/>
          <w:rtl/>
        </w:rPr>
        <w:t>ط</w:t>
      </w:r>
      <w:r w:rsidRPr="00282AC9">
        <w:rPr>
          <w:rFonts w:asciiTheme="minorBidi" w:hAnsiTheme="minorBidi"/>
          <w:sz w:val="27"/>
          <w:rtl/>
        </w:rPr>
        <w:t xml:space="preserve"> </w:t>
      </w:r>
      <w:r w:rsidRPr="00282AC9">
        <w:rPr>
          <w:rFonts w:asciiTheme="minorBidi" w:hAnsiTheme="minorBidi" w:hint="cs"/>
          <w:sz w:val="27"/>
          <w:rtl/>
        </w:rPr>
        <w:t>الخليجي،</w:t>
      </w:r>
      <w:r w:rsidRPr="00282AC9">
        <w:rPr>
          <w:rFonts w:asciiTheme="minorBidi" w:hAnsiTheme="minorBidi"/>
          <w:sz w:val="27"/>
          <w:rtl/>
        </w:rPr>
        <w:t xml:space="preserve"> </w:t>
      </w:r>
      <w:r w:rsidRPr="00282AC9">
        <w:rPr>
          <w:rFonts w:asciiTheme="minorBidi" w:hAnsiTheme="minorBidi" w:hint="cs"/>
          <w:sz w:val="27"/>
          <w:rtl/>
        </w:rPr>
        <w:t>وفي</w:t>
      </w:r>
      <w:r w:rsidRPr="00282AC9">
        <w:rPr>
          <w:rFonts w:asciiTheme="minorBidi" w:hAnsiTheme="minorBidi"/>
          <w:sz w:val="27"/>
          <w:rtl/>
        </w:rPr>
        <w:t xml:space="preserve"> </w:t>
      </w:r>
      <w:r w:rsidRPr="00282AC9">
        <w:rPr>
          <w:rFonts w:asciiTheme="minorBidi" w:hAnsiTheme="minorBidi" w:hint="cs"/>
          <w:sz w:val="27"/>
          <w:rtl/>
        </w:rPr>
        <w:t>الو</w:t>
      </w:r>
      <w:r w:rsidR="007A43F0" w:rsidRPr="00282AC9">
        <w:rPr>
          <w:rFonts w:asciiTheme="minorBidi" w:hAnsiTheme="minorBidi" w:hint="cs"/>
          <w:sz w:val="27"/>
          <w:rtl/>
        </w:rPr>
        <w:t>َ</w:t>
      </w:r>
      <w:r w:rsidRPr="00282AC9">
        <w:rPr>
          <w:rFonts w:asciiTheme="minorBidi" w:hAnsiTheme="minorBidi" w:hint="cs"/>
          <w:sz w:val="27"/>
          <w:rtl/>
        </w:rPr>
        <w:t>س</w:t>
      </w:r>
      <w:r w:rsidR="007A43F0" w:rsidRPr="00282AC9">
        <w:rPr>
          <w:rFonts w:asciiTheme="minorBidi" w:hAnsiTheme="minorBidi" w:hint="cs"/>
          <w:sz w:val="27"/>
          <w:rtl/>
        </w:rPr>
        <w:t>َ</w:t>
      </w:r>
      <w:r w:rsidRPr="00282AC9">
        <w:rPr>
          <w:rFonts w:asciiTheme="minorBidi" w:hAnsiTheme="minorBidi" w:hint="cs"/>
          <w:sz w:val="27"/>
          <w:rtl/>
        </w:rPr>
        <w:t>ط</w:t>
      </w:r>
      <w:r w:rsidRPr="00282AC9">
        <w:rPr>
          <w:rFonts w:asciiTheme="minorBidi" w:hAnsiTheme="minorBidi"/>
          <w:sz w:val="27"/>
          <w:rtl/>
        </w:rPr>
        <w:t xml:space="preserve"> </w:t>
      </w:r>
      <w:r w:rsidRPr="00282AC9">
        <w:rPr>
          <w:rFonts w:asciiTheme="minorBidi" w:hAnsiTheme="minorBidi" w:hint="cs"/>
          <w:sz w:val="27"/>
          <w:rtl/>
        </w:rPr>
        <w:t>اللبناني</w:t>
      </w:r>
      <w:r w:rsidRPr="00282AC9">
        <w:rPr>
          <w:rFonts w:asciiTheme="minorBidi" w:hAnsiTheme="minorBidi"/>
          <w:sz w:val="27"/>
          <w:rtl/>
        </w:rPr>
        <w:t>.</w:t>
      </w:r>
      <w:r w:rsidRPr="00282AC9">
        <w:rPr>
          <w:rFonts w:asciiTheme="minorBidi" w:hAnsiTheme="minorBidi" w:hint="cs"/>
          <w:sz w:val="27"/>
          <w:rtl/>
        </w:rPr>
        <w:t xml:space="preserve"> وصار</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الفكر</w:t>
      </w:r>
      <w:r w:rsidRPr="00282AC9">
        <w:rPr>
          <w:rFonts w:asciiTheme="minorBidi" w:hAnsiTheme="minorBidi"/>
          <w:sz w:val="27"/>
          <w:rtl/>
        </w:rPr>
        <w:t xml:space="preserve"> </w:t>
      </w:r>
      <w:r w:rsidRPr="00282AC9">
        <w:rPr>
          <w:rFonts w:asciiTheme="minorBidi" w:hAnsiTheme="minorBidi" w:hint="cs"/>
          <w:sz w:val="27"/>
          <w:rtl/>
        </w:rPr>
        <w:t>هو</w:t>
      </w:r>
      <w:r w:rsidRPr="00282AC9">
        <w:rPr>
          <w:rFonts w:asciiTheme="minorBidi" w:hAnsiTheme="minorBidi"/>
          <w:sz w:val="27"/>
          <w:rtl/>
        </w:rPr>
        <w:t xml:space="preserve"> </w:t>
      </w:r>
      <w:r w:rsidRPr="00282AC9">
        <w:rPr>
          <w:rFonts w:asciiTheme="minorBidi" w:hAnsiTheme="minorBidi" w:hint="cs"/>
          <w:sz w:val="27"/>
          <w:rtl/>
        </w:rPr>
        <w:t>الفكر</w:t>
      </w:r>
      <w:r w:rsidRPr="00282AC9">
        <w:rPr>
          <w:rFonts w:asciiTheme="minorBidi" w:hAnsiTheme="minorBidi"/>
          <w:sz w:val="27"/>
          <w:rtl/>
        </w:rPr>
        <w:t xml:space="preserve"> </w:t>
      </w:r>
      <w:r w:rsidRPr="00282AC9">
        <w:rPr>
          <w:rFonts w:asciiTheme="minorBidi" w:hAnsiTheme="minorBidi" w:hint="cs"/>
          <w:sz w:val="27"/>
          <w:rtl/>
        </w:rPr>
        <w:t>المتزع</w:t>
      </w:r>
      <w:r w:rsidR="007A43F0" w:rsidRPr="00282AC9">
        <w:rPr>
          <w:rFonts w:asciiTheme="minorBidi" w:hAnsiTheme="minorBidi" w:hint="cs"/>
          <w:sz w:val="27"/>
          <w:rtl/>
        </w:rPr>
        <w:t>ِّ</w:t>
      </w:r>
      <w:r w:rsidRPr="00282AC9">
        <w:rPr>
          <w:rFonts w:asciiTheme="minorBidi" w:hAnsiTheme="minorBidi" w:hint="cs"/>
          <w:sz w:val="27"/>
          <w:rtl/>
        </w:rPr>
        <w:t>م</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الإعلام</w:t>
      </w:r>
      <w:r w:rsidR="007A43F0" w:rsidRPr="00282AC9">
        <w:rPr>
          <w:rFonts w:asciiTheme="minorBidi" w:hAnsiTheme="minorBidi" w:hint="cs"/>
          <w:sz w:val="27"/>
          <w:rtl/>
        </w:rPr>
        <w:t xml:space="preserve">، </w:t>
      </w:r>
      <w:r w:rsidRPr="00282AC9">
        <w:rPr>
          <w:rFonts w:asciiTheme="minorBidi" w:hAnsiTheme="minorBidi" w:hint="cs"/>
          <w:sz w:val="27"/>
          <w:rtl/>
        </w:rPr>
        <w:t>وفي</w:t>
      </w:r>
      <w:r w:rsidRPr="00282AC9">
        <w:rPr>
          <w:rFonts w:asciiTheme="minorBidi" w:hAnsiTheme="minorBidi"/>
          <w:sz w:val="27"/>
          <w:rtl/>
        </w:rPr>
        <w:t xml:space="preserve"> </w:t>
      </w:r>
      <w:r w:rsidRPr="00282AC9">
        <w:rPr>
          <w:rFonts w:asciiTheme="minorBidi" w:hAnsiTheme="minorBidi" w:hint="cs"/>
          <w:sz w:val="27"/>
          <w:rtl/>
        </w:rPr>
        <w:t>الفضائيات</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وعلى</w:t>
      </w:r>
      <w:r w:rsidRPr="00282AC9">
        <w:rPr>
          <w:rFonts w:asciiTheme="minorBidi" w:hAnsiTheme="minorBidi"/>
          <w:sz w:val="27"/>
          <w:rtl/>
        </w:rPr>
        <w:t xml:space="preserve"> </w:t>
      </w:r>
      <w:r w:rsidRPr="00282AC9">
        <w:rPr>
          <w:rFonts w:asciiTheme="minorBidi" w:hAnsiTheme="minorBidi" w:hint="cs"/>
          <w:sz w:val="27"/>
          <w:rtl/>
        </w:rPr>
        <w:t>ال</w:t>
      </w:r>
      <w:r w:rsidR="007A43F0" w:rsidRPr="00282AC9">
        <w:rPr>
          <w:rFonts w:asciiTheme="minorBidi" w:hAnsiTheme="minorBidi" w:hint="cs"/>
          <w:sz w:val="27"/>
          <w:rtl/>
        </w:rPr>
        <w:t>إ</w:t>
      </w:r>
      <w:r w:rsidRPr="00282AC9">
        <w:rPr>
          <w:rFonts w:asciiTheme="minorBidi" w:hAnsiTheme="minorBidi" w:hint="cs"/>
          <w:sz w:val="27"/>
          <w:rtl/>
        </w:rPr>
        <w:t>نترنت</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أن</w:t>
      </w:r>
      <w:r w:rsidRPr="00282AC9">
        <w:rPr>
          <w:rFonts w:asciiTheme="minorBidi" w:hAnsiTheme="minorBidi"/>
          <w:sz w:val="27"/>
          <w:rtl/>
        </w:rPr>
        <w:t xml:space="preserve"> </w:t>
      </w:r>
      <w:r w:rsidRPr="00282AC9">
        <w:rPr>
          <w:rFonts w:asciiTheme="minorBidi" w:hAnsiTheme="minorBidi" w:hint="cs"/>
          <w:sz w:val="27"/>
          <w:rtl/>
        </w:rPr>
        <w:t>ال</w:t>
      </w:r>
      <w:r w:rsidR="007A43F0"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قد</w:t>
      </w:r>
      <w:r w:rsidRPr="00282AC9">
        <w:rPr>
          <w:rFonts w:asciiTheme="minorBidi" w:hAnsiTheme="minorBidi"/>
          <w:sz w:val="27"/>
          <w:rtl/>
        </w:rPr>
        <w:t xml:space="preserve"> </w:t>
      </w:r>
      <w:r w:rsidRPr="00282AC9">
        <w:rPr>
          <w:rFonts w:asciiTheme="minorBidi" w:hAnsiTheme="minorBidi" w:hint="cs"/>
          <w:sz w:val="27"/>
          <w:rtl/>
        </w:rPr>
        <w:t>ق</w:t>
      </w:r>
      <w:r w:rsidR="007A43F0" w:rsidRPr="00282AC9">
        <w:rPr>
          <w:rFonts w:asciiTheme="minorBidi" w:hAnsiTheme="minorBidi" w:hint="cs"/>
          <w:sz w:val="27"/>
          <w:rtl/>
        </w:rPr>
        <w:t>ُ</w:t>
      </w:r>
      <w:r w:rsidRPr="00282AC9">
        <w:rPr>
          <w:rFonts w:asciiTheme="minorBidi" w:hAnsiTheme="minorBidi" w:hint="cs"/>
          <w:sz w:val="27"/>
          <w:rtl/>
        </w:rPr>
        <w:t>تل</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وأنه</w:t>
      </w:r>
      <w:r w:rsidRPr="00282AC9">
        <w:rPr>
          <w:rFonts w:asciiTheme="minorBidi" w:hAnsiTheme="minorBidi"/>
          <w:sz w:val="27"/>
          <w:rtl/>
        </w:rPr>
        <w:t xml:space="preserve"> </w:t>
      </w:r>
      <w:r w:rsidRPr="00282AC9">
        <w:rPr>
          <w:rFonts w:asciiTheme="minorBidi" w:hAnsiTheme="minorBidi" w:hint="cs"/>
          <w:sz w:val="27"/>
          <w:rtl/>
        </w:rPr>
        <w:t>انتصر</w:t>
      </w:r>
      <w:r w:rsidRPr="00282AC9">
        <w:rPr>
          <w:rFonts w:asciiTheme="minorBidi" w:hAnsiTheme="minorBidi"/>
          <w:sz w:val="27"/>
          <w:rtl/>
        </w:rPr>
        <w:t xml:space="preserve"> </w:t>
      </w:r>
      <w:r w:rsidRPr="00282AC9">
        <w:rPr>
          <w:rFonts w:asciiTheme="minorBidi" w:hAnsiTheme="minorBidi" w:hint="cs"/>
          <w:sz w:val="27"/>
          <w:rtl/>
        </w:rPr>
        <w:t>بعد</w:t>
      </w:r>
      <w:r w:rsidRPr="00282AC9">
        <w:rPr>
          <w:rFonts w:asciiTheme="minorBidi" w:hAnsiTheme="minorBidi"/>
          <w:sz w:val="27"/>
          <w:rtl/>
        </w:rPr>
        <w:t xml:space="preserve"> </w:t>
      </w:r>
      <w:r w:rsidRPr="00282AC9">
        <w:rPr>
          <w:rFonts w:asciiTheme="minorBidi" w:hAnsiTheme="minorBidi" w:hint="cs"/>
          <w:sz w:val="27"/>
          <w:rtl/>
        </w:rPr>
        <w:t>قتله</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وأن</w:t>
      </w:r>
      <w:r w:rsidRPr="00282AC9">
        <w:rPr>
          <w:rFonts w:asciiTheme="minorBidi" w:hAnsiTheme="minorBidi"/>
          <w:sz w:val="27"/>
          <w:rtl/>
        </w:rPr>
        <w:t xml:space="preserve"> </w:t>
      </w:r>
      <w:r w:rsidRPr="00282AC9">
        <w:rPr>
          <w:rFonts w:asciiTheme="minorBidi" w:hAnsiTheme="minorBidi" w:hint="cs"/>
          <w:sz w:val="27"/>
          <w:rtl/>
        </w:rPr>
        <w:t>أهدافه</w:t>
      </w:r>
      <w:r w:rsidRPr="00282AC9">
        <w:rPr>
          <w:rFonts w:asciiTheme="minorBidi" w:hAnsiTheme="minorBidi"/>
          <w:sz w:val="27"/>
          <w:rtl/>
        </w:rPr>
        <w:t xml:space="preserve"> </w:t>
      </w:r>
      <w:r w:rsidRPr="00282AC9">
        <w:rPr>
          <w:rFonts w:asciiTheme="minorBidi" w:hAnsiTheme="minorBidi" w:hint="cs"/>
          <w:sz w:val="27"/>
          <w:rtl/>
        </w:rPr>
        <w:t>قد</w:t>
      </w:r>
      <w:r w:rsidRPr="00282AC9">
        <w:rPr>
          <w:rFonts w:asciiTheme="minorBidi" w:hAnsiTheme="minorBidi"/>
          <w:sz w:val="27"/>
          <w:rtl/>
        </w:rPr>
        <w:t xml:space="preserve"> </w:t>
      </w:r>
      <w:r w:rsidRPr="00282AC9">
        <w:rPr>
          <w:rFonts w:asciiTheme="minorBidi" w:hAnsiTheme="minorBidi" w:hint="cs"/>
          <w:sz w:val="27"/>
          <w:rtl/>
        </w:rPr>
        <w:t>تحق</w:t>
      </w:r>
      <w:r w:rsidR="007A43F0" w:rsidRPr="00282AC9">
        <w:rPr>
          <w:rFonts w:asciiTheme="minorBidi" w:hAnsiTheme="minorBidi" w:hint="cs"/>
          <w:sz w:val="27"/>
          <w:rtl/>
        </w:rPr>
        <w:t>َّ</w:t>
      </w:r>
      <w:r w:rsidRPr="00282AC9">
        <w:rPr>
          <w:rFonts w:asciiTheme="minorBidi" w:hAnsiTheme="minorBidi" w:hint="cs"/>
          <w:sz w:val="27"/>
          <w:rtl/>
        </w:rPr>
        <w:t>ق</w:t>
      </w:r>
      <w:r w:rsidR="007A43F0" w:rsidRPr="00282AC9">
        <w:rPr>
          <w:rFonts w:asciiTheme="minorBidi" w:hAnsiTheme="minorBidi" w:hint="cs"/>
          <w:sz w:val="27"/>
          <w:rtl/>
        </w:rPr>
        <w:t>َ</w:t>
      </w:r>
      <w:r w:rsidRPr="00282AC9">
        <w:rPr>
          <w:rFonts w:asciiTheme="minorBidi" w:hAnsiTheme="minorBidi" w:hint="cs"/>
          <w:sz w:val="27"/>
          <w:rtl/>
        </w:rPr>
        <w:t>ت</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وانتهى</w:t>
      </w:r>
      <w:r w:rsidRPr="00282AC9">
        <w:rPr>
          <w:rFonts w:asciiTheme="minorBidi" w:hAnsiTheme="minorBidi"/>
          <w:sz w:val="27"/>
          <w:rtl/>
        </w:rPr>
        <w:t xml:space="preserve"> </w:t>
      </w:r>
      <w:r w:rsidRPr="00282AC9">
        <w:rPr>
          <w:rFonts w:asciiTheme="minorBidi" w:hAnsiTheme="minorBidi" w:hint="cs"/>
          <w:sz w:val="27"/>
          <w:rtl/>
        </w:rPr>
        <w:t>الموضوع. فصارت</w:t>
      </w:r>
      <w:r w:rsidRPr="00282AC9">
        <w:rPr>
          <w:rFonts w:asciiTheme="minorBidi" w:hAnsiTheme="minorBidi"/>
          <w:sz w:val="27"/>
          <w:rtl/>
        </w:rPr>
        <w:t xml:space="preserve"> </w:t>
      </w:r>
      <w:r w:rsidRPr="00282AC9">
        <w:rPr>
          <w:rFonts w:asciiTheme="minorBidi" w:hAnsiTheme="minorBidi" w:hint="cs"/>
          <w:sz w:val="27"/>
          <w:rtl/>
        </w:rPr>
        <w:t>مجالس</w:t>
      </w:r>
      <w:r w:rsidRPr="00282AC9">
        <w:rPr>
          <w:rFonts w:asciiTheme="minorBidi" w:hAnsiTheme="minorBidi"/>
          <w:sz w:val="27"/>
          <w:rtl/>
        </w:rPr>
        <w:t xml:space="preserve"> </w:t>
      </w:r>
      <w:r w:rsidRPr="00282AC9">
        <w:rPr>
          <w:rFonts w:asciiTheme="minorBidi" w:hAnsiTheme="minorBidi" w:hint="cs"/>
          <w:sz w:val="27"/>
          <w:rtl/>
        </w:rPr>
        <w:t>ال</w:t>
      </w:r>
      <w:r w:rsidR="007A43F0"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متمس</w:t>
      </w:r>
      <w:r w:rsidR="007A43F0" w:rsidRPr="00282AC9">
        <w:rPr>
          <w:rFonts w:asciiTheme="minorBidi" w:hAnsiTheme="minorBidi" w:hint="cs"/>
          <w:sz w:val="27"/>
          <w:rtl/>
        </w:rPr>
        <w:t>ّ</w:t>
      </w:r>
      <w:r w:rsidRPr="00282AC9">
        <w:rPr>
          <w:rFonts w:asciiTheme="minorBidi" w:hAnsiTheme="minorBidi" w:hint="cs"/>
          <w:sz w:val="27"/>
          <w:rtl/>
        </w:rPr>
        <w:t>كةً</w:t>
      </w:r>
      <w:r w:rsidRPr="00282AC9">
        <w:rPr>
          <w:rFonts w:asciiTheme="minorBidi" w:hAnsiTheme="minorBidi"/>
          <w:sz w:val="27"/>
          <w:rtl/>
        </w:rPr>
        <w:t xml:space="preserve"> </w:t>
      </w:r>
      <w:r w:rsidRPr="00282AC9">
        <w:rPr>
          <w:rFonts w:asciiTheme="minorBidi" w:hAnsiTheme="minorBidi" w:hint="cs"/>
          <w:sz w:val="27"/>
          <w:rtl/>
        </w:rPr>
        <w:t>بهذا</w:t>
      </w:r>
      <w:r w:rsidRPr="00282AC9">
        <w:rPr>
          <w:rFonts w:asciiTheme="minorBidi" w:hAnsiTheme="minorBidi"/>
          <w:sz w:val="27"/>
          <w:rtl/>
        </w:rPr>
        <w:t xml:space="preserve"> </w:t>
      </w:r>
      <w:r w:rsidRPr="00282AC9">
        <w:rPr>
          <w:rFonts w:asciiTheme="minorBidi" w:hAnsiTheme="minorBidi" w:hint="cs"/>
          <w:sz w:val="27"/>
          <w:rtl/>
        </w:rPr>
        <w:t>الطرح</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وهكذا</w:t>
      </w:r>
      <w:r w:rsidRPr="00282AC9">
        <w:rPr>
          <w:rFonts w:asciiTheme="minorBidi" w:hAnsiTheme="minorBidi"/>
          <w:sz w:val="27"/>
          <w:rtl/>
        </w:rPr>
        <w:t xml:space="preserve"> </w:t>
      </w:r>
      <w:r w:rsidRPr="00282AC9">
        <w:rPr>
          <w:rFonts w:asciiTheme="minorBidi" w:hAnsiTheme="minorBidi" w:hint="cs"/>
          <w:sz w:val="27"/>
          <w:rtl/>
        </w:rPr>
        <w:t>بدأ</w:t>
      </w:r>
      <w:r w:rsidRPr="00282AC9">
        <w:rPr>
          <w:rFonts w:asciiTheme="minorBidi" w:hAnsiTheme="minorBidi"/>
          <w:sz w:val="27"/>
          <w:rtl/>
        </w:rPr>
        <w:t xml:space="preserve"> </w:t>
      </w:r>
      <w:r w:rsidRPr="00282AC9">
        <w:rPr>
          <w:rFonts w:asciiTheme="minorBidi" w:hAnsiTheme="minorBidi" w:hint="cs"/>
          <w:sz w:val="27"/>
          <w:rtl/>
        </w:rPr>
        <w:t>الشعراء</w:t>
      </w:r>
      <w:r w:rsidRPr="00282AC9">
        <w:rPr>
          <w:rFonts w:asciiTheme="minorBidi" w:hAnsiTheme="minorBidi"/>
          <w:sz w:val="27"/>
          <w:rtl/>
        </w:rPr>
        <w:t xml:space="preserve"> </w:t>
      </w:r>
      <w:r w:rsidRPr="00282AC9">
        <w:rPr>
          <w:rFonts w:asciiTheme="minorBidi" w:hAnsiTheme="minorBidi" w:hint="cs"/>
          <w:sz w:val="27"/>
          <w:rtl/>
        </w:rPr>
        <w:t>ينظمون</w:t>
      </w:r>
      <w:r w:rsidRPr="00282AC9">
        <w:rPr>
          <w:rFonts w:asciiTheme="minorBidi" w:hAnsiTheme="minorBidi"/>
          <w:sz w:val="27"/>
          <w:vertAlign w:val="superscript"/>
          <w:rtl/>
        </w:rPr>
        <w:t>(</w:t>
      </w:r>
      <w:r w:rsidRPr="00282AC9">
        <w:rPr>
          <w:rStyle w:val="af9"/>
          <w:rFonts w:asciiTheme="minorBidi" w:hAnsiTheme="minorBidi"/>
          <w:sz w:val="27"/>
          <w:rtl/>
        </w:rPr>
        <w:endnoteReference w:id="762"/>
      </w:r>
      <w:r w:rsidRPr="00282AC9">
        <w:rPr>
          <w:rFonts w:asciiTheme="minorBidi" w:hAnsiTheme="minorBidi"/>
          <w:sz w:val="27"/>
          <w:vertAlign w:val="superscript"/>
          <w:rtl/>
        </w:rPr>
        <w:t>)</w:t>
      </w:r>
      <w:r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والرواديد</w:t>
      </w:r>
      <w:r w:rsidRPr="00282AC9">
        <w:rPr>
          <w:rFonts w:asciiTheme="minorBidi" w:hAnsiTheme="minorBidi"/>
          <w:sz w:val="27"/>
          <w:rtl/>
        </w:rPr>
        <w:t xml:space="preserve"> </w:t>
      </w:r>
      <w:r w:rsidRPr="00282AC9">
        <w:rPr>
          <w:rFonts w:asciiTheme="minorBidi" w:hAnsiTheme="minorBidi" w:hint="cs"/>
          <w:sz w:val="27"/>
          <w:rtl/>
        </w:rPr>
        <w:t>يقر</w:t>
      </w:r>
      <w:r w:rsidR="001100B1" w:rsidRPr="00282AC9">
        <w:rPr>
          <w:rFonts w:asciiTheme="minorBidi" w:hAnsiTheme="minorBidi" w:hint="cs"/>
          <w:sz w:val="27"/>
          <w:rtl/>
        </w:rPr>
        <w:t>ؤ</w:t>
      </w:r>
      <w:r w:rsidRPr="00282AC9">
        <w:rPr>
          <w:rFonts w:asciiTheme="minorBidi" w:hAnsiTheme="minorBidi" w:hint="cs"/>
          <w:sz w:val="27"/>
          <w:rtl/>
        </w:rPr>
        <w:t>ون،</w:t>
      </w:r>
      <w:r w:rsidRPr="00282AC9">
        <w:rPr>
          <w:rFonts w:asciiTheme="minorBidi" w:hAnsiTheme="minorBidi"/>
          <w:sz w:val="27"/>
          <w:rtl/>
        </w:rPr>
        <w:t xml:space="preserve"> و</w:t>
      </w:r>
      <w:r w:rsidRPr="00282AC9">
        <w:rPr>
          <w:rFonts w:asciiTheme="minorBidi" w:hAnsiTheme="minorBidi" w:hint="cs"/>
          <w:sz w:val="27"/>
          <w:rtl/>
        </w:rPr>
        <w:t>تؤل</w:t>
      </w:r>
      <w:r w:rsidR="007A43F0" w:rsidRPr="00282AC9">
        <w:rPr>
          <w:rFonts w:asciiTheme="minorBidi" w:hAnsiTheme="minorBidi" w:hint="cs"/>
          <w:sz w:val="27"/>
          <w:rtl/>
        </w:rPr>
        <w:t>َّ</w:t>
      </w:r>
      <w:r w:rsidRPr="00282AC9">
        <w:rPr>
          <w:rFonts w:asciiTheme="minorBidi" w:hAnsiTheme="minorBidi" w:hint="cs"/>
          <w:sz w:val="27"/>
          <w:rtl/>
        </w:rPr>
        <w:t>ف</w:t>
      </w:r>
      <w:r w:rsidRPr="00282AC9">
        <w:rPr>
          <w:rFonts w:asciiTheme="minorBidi" w:hAnsiTheme="minorBidi"/>
          <w:sz w:val="27"/>
          <w:rtl/>
        </w:rPr>
        <w:t xml:space="preserve"> </w:t>
      </w:r>
      <w:r w:rsidRPr="00282AC9">
        <w:rPr>
          <w:rFonts w:asciiTheme="minorBidi" w:hAnsiTheme="minorBidi" w:hint="cs"/>
          <w:sz w:val="27"/>
          <w:rtl/>
        </w:rPr>
        <w:t>الكتب،</w:t>
      </w:r>
      <w:r w:rsidRPr="00282AC9">
        <w:rPr>
          <w:rFonts w:asciiTheme="minorBidi" w:hAnsiTheme="minorBidi"/>
          <w:sz w:val="27"/>
          <w:rtl/>
        </w:rPr>
        <w:t xml:space="preserve"> </w:t>
      </w:r>
      <w:r w:rsidRPr="00282AC9">
        <w:rPr>
          <w:rFonts w:asciiTheme="minorBidi" w:hAnsiTheme="minorBidi" w:hint="cs"/>
          <w:sz w:val="27"/>
          <w:rtl/>
        </w:rPr>
        <w:t>فانتشر</w:t>
      </w:r>
      <w:r w:rsidR="007A43F0" w:rsidRPr="00282AC9">
        <w:rPr>
          <w:rFonts w:asciiTheme="minorBidi" w:hAnsiTheme="minorBidi" w:hint="cs"/>
          <w:sz w:val="27"/>
          <w:rtl/>
        </w:rPr>
        <w:t>َ</w:t>
      </w:r>
      <w:r w:rsidRPr="00282AC9">
        <w:rPr>
          <w:rFonts w:asciiTheme="minorBidi" w:hAnsiTheme="minorBidi" w:hint="cs"/>
          <w:sz w:val="27"/>
          <w:rtl/>
        </w:rPr>
        <w:t>ت</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هذه</w:t>
      </w:r>
      <w:r w:rsidRPr="00282AC9">
        <w:rPr>
          <w:rFonts w:asciiTheme="minorBidi" w:hAnsiTheme="minorBidi"/>
          <w:sz w:val="27"/>
          <w:rtl/>
        </w:rPr>
        <w:t xml:space="preserve"> </w:t>
      </w:r>
      <w:r w:rsidRPr="00282AC9">
        <w:rPr>
          <w:rFonts w:asciiTheme="minorBidi" w:hAnsiTheme="minorBidi" w:hint="cs"/>
          <w:sz w:val="27"/>
          <w:rtl/>
        </w:rPr>
        <w:t>الفكرة</w:t>
      </w:r>
      <w:r w:rsidRPr="00282AC9">
        <w:rPr>
          <w:rFonts w:asciiTheme="minorBidi" w:hAnsiTheme="minorBidi"/>
          <w:sz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فهم يستعملون</w:t>
      </w:r>
      <w:r w:rsidRPr="00282AC9">
        <w:rPr>
          <w:rFonts w:asciiTheme="minorBidi" w:hAnsiTheme="minorBidi"/>
          <w:sz w:val="27"/>
          <w:rtl/>
        </w:rPr>
        <w:t xml:space="preserve"> </w:t>
      </w:r>
      <w:r w:rsidRPr="00282AC9">
        <w:rPr>
          <w:rFonts w:asciiTheme="minorBidi" w:hAnsiTheme="minorBidi" w:hint="cs"/>
          <w:sz w:val="27"/>
          <w:rtl/>
        </w:rPr>
        <w:t>النصر</w:t>
      </w:r>
      <w:r w:rsidRPr="00282AC9">
        <w:rPr>
          <w:rFonts w:asciiTheme="minorBidi" w:hAnsiTheme="minorBidi"/>
          <w:sz w:val="27"/>
          <w:rtl/>
        </w:rPr>
        <w:t xml:space="preserve"> </w:t>
      </w:r>
      <w:r w:rsidRPr="00282AC9">
        <w:rPr>
          <w:rFonts w:asciiTheme="minorBidi" w:hAnsiTheme="minorBidi" w:hint="cs"/>
          <w:sz w:val="27"/>
          <w:rtl/>
        </w:rPr>
        <w:t>بالمعنى</w:t>
      </w:r>
      <w:r w:rsidRPr="00282AC9">
        <w:rPr>
          <w:rFonts w:asciiTheme="minorBidi" w:hAnsiTheme="minorBidi"/>
          <w:sz w:val="27"/>
          <w:rtl/>
        </w:rPr>
        <w:t xml:space="preserve"> </w:t>
      </w:r>
      <w:r w:rsidRPr="00282AC9">
        <w:rPr>
          <w:rFonts w:asciiTheme="minorBidi" w:hAnsiTheme="minorBidi" w:hint="cs"/>
          <w:sz w:val="27"/>
          <w:rtl/>
        </w:rPr>
        <w:t>المحر</w:t>
      </w:r>
      <w:r w:rsidR="007A43F0" w:rsidRPr="00282AC9">
        <w:rPr>
          <w:rFonts w:asciiTheme="minorBidi" w:hAnsiTheme="minorBidi" w:hint="cs"/>
          <w:sz w:val="27"/>
          <w:rtl/>
        </w:rPr>
        <w:t>َّ</w:t>
      </w:r>
      <w:r w:rsidRPr="00282AC9">
        <w:rPr>
          <w:rFonts w:asciiTheme="minorBidi" w:hAnsiTheme="minorBidi" w:hint="cs"/>
          <w:sz w:val="27"/>
          <w:rtl/>
        </w:rPr>
        <w:t>ف</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الذي</w:t>
      </w:r>
      <w:r w:rsidRPr="00282AC9">
        <w:rPr>
          <w:rFonts w:asciiTheme="minorBidi" w:hAnsiTheme="minorBidi"/>
          <w:sz w:val="27"/>
          <w:rtl/>
        </w:rPr>
        <w:t xml:space="preserve"> </w:t>
      </w:r>
      <w:r w:rsidRPr="00282AC9">
        <w:rPr>
          <w:rFonts w:asciiTheme="minorBidi" w:hAnsiTheme="minorBidi" w:hint="cs"/>
          <w:sz w:val="27"/>
          <w:rtl/>
        </w:rPr>
        <w:t>حر</w:t>
      </w:r>
      <w:r w:rsidR="007A43F0" w:rsidRPr="00282AC9">
        <w:rPr>
          <w:rFonts w:asciiTheme="minorBidi" w:hAnsiTheme="minorBidi" w:hint="cs"/>
          <w:sz w:val="27"/>
          <w:rtl/>
        </w:rPr>
        <w:t>ِّ</w:t>
      </w:r>
      <w:r w:rsidRPr="00282AC9">
        <w:rPr>
          <w:rFonts w:asciiTheme="minorBidi" w:hAnsiTheme="minorBidi" w:hint="cs"/>
          <w:sz w:val="27"/>
          <w:rtl/>
        </w:rPr>
        <w:t>ف</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أصله</w:t>
      </w:r>
      <w:r w:rsidRPr="00282AC9">
        <w:rPr>
          <w:rFonts w:asciiTheme="minorBidi" w:hAnsiTheme="minorBidi"/>
          <w:sz w:val="27"/>
          <w:rtl/>
        </w:rPr>
        <w:t xml:space="preserve"> </w:t>
      </w:r>
      <w:r w:rsidRPr="00282AC9">
        <w:rPr>
          <w:rFonts w:asciiTheme="minorBidi" w:hAnsiTheme="minorBidi" w:hint="cs"/>
          <w:sz w:val="27"/>
          <w:rtl/>
        </w:rPr>
        <w:t>الموجود</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كتب</w:t>
      </w:r>
      <w:r w:rsidRPr="00282AC9">
        <w:rPr>
          <w:rFonts w:asciiTheme="minorBidi" w:hAnsiTheme="minorBidi"/>
          <w:sz w:val="27"/>
          <w:rtl/>
        </w:rPr>
        <w:t xml:space="preserve"> </w:t>
      </w:r>
      <w:r w:rsidRPr="00282AC9">
        <w:rPr>
          <w:rFonts w:asciiTheme="minorBidi" w:hAnsiTheme="minorBidi" w:hint="cs"/>
          <w:sz w:val="27"/>
          <w:rtl/>
        </w:rPr>
        <w:t>الل</w:t>
      </w:r>
      <w:r w:rsidR="007A43F0" w:rsidRPr="00282AC9">
        <w:rPr>
          <w:rFonts w:asciiTheme="minorBidi" w:hAnsiTheme="minorBidi" w:hint="cs"/>
          <w:sz w:val="27"/>
          <w:rtl/>
        </w:rPr>
        <w:t>ّ</w:t>
      </w:r>
      <w:r w:rsidRPr="00282AC9">
        <w:rPr>
          <w:rFonts w:asciiTheme="minorBidi" w:hAnsiTheme="minorBidi" w:hint="cs"/>
          <w:sz w:val="27"/>
          <w:rtl/>
        </w:rPr>
        <w:t>غة</w:t>
      </w:r>
      <w:r w:rsidRPr="00282AC9">
        <w:rPr>
          <w:rFonts w:asciiTheme="minorBidi" w:hAnsiTheme="minorBidi"/>
          <w:sz w:val="27"/>
          <w:rtl/>
        </w:rPr>
        <w:t xml:space="preserve"> </w:t>
      </w:r>
      <w:r w:rsidRPr="00282AC9">
        <w:rPr>
          <w:rFonts w:asciiTheme="minorBidi" w:hAnsiTheme="minorBidi" w:hint="cs"/>
          <w:sz w:val="27"/>
          <w:rtl/>
        </w:rPr>
        <w:t>والأدب</w:t>
      </w:r>
      <w:r w:rsidRPr="00282AC9">
        <w:rPr>
          <w:rFonts w:asciiTheme="minorBidi" w:hAnsiTheme="minorBidi"/>
          <w:sz w:val="27"/>
          <w:rtl/>
        </w:rPr>
        <w:t xml:space="preserve">. </w:t>
      </w:r>
      <w:r w:rsidRPr="00282AC9">
        <w:rPr>
          <w:rFonts w:asciiTheme="minorBidi" w:hAnsiTheme="minorBidi" w:hint="cs"/>
          <w:sz w:val="27"/>
          <w:rtl/>
        </w:rPr>
        <w:t>ثم</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يطب</w:t>
      </w:r>
      <w:r w:rsidR="007A43F0" w:rsidRPr="00282AC9">
        <w:rPr>
          <w:rFonts w:asciiTheme="minorBidi" w:hAnsiTheme="minorBidi" w:hint="cs"/>
          <w:sz w:val="27"/>
          <w:rtl/>
        </w:rPr>
        <w:t>ِّ</w:t>
      </w:r>
      <w:r w:rsidRPr="00282AC9">
        <w:rPr>
          <w:rFonts w:asciiTheme="minorBidi" w:hAnsiTheme="minorBidi" w:hint="cs"/>
          <w:sz w:val="27"/>
          <w:rtl/>
        </w:rPr>
        <w:t>قونه</w:t>
      </w:r>
      <w:r w:rsidRPr="00282AC9">
        <w:rPr>
          <w:rFonts w:asciiTheme="minorBidi" w:hAnsiTheme="minorBidi"/>
          <w:sz w:val="27"/>
          <w:rtl/>
        </w:rPr>
        <w:t xml:space="preserve"> </w:t>
      </w:r>
      <w:r w:rsidRPr="00282AC9">
        <w:rPr>
          <w:rFonts w:asciiTheme="minorBidi" w:hAnsiTheme="minorBidi" w:hint="cs"/>
          <w:sz w:val="27"/>
          <w:rtl/>
        </w:rPr>
        <w:t>على</w:t>
      </w:r>
      <w:r w:rsidRPr="00282AC9">
        <w:rPr>
          <w:rFonts w:asciiTheme="minorBidi" w:hAnsiTheme="minorBidi"/>
          <w:sz w:val="27"/>
          <w:rtl/>
        </w:rPr>
        <w:t xml:space="preserve"> </w:t>
      </w:r>
      <w:r w:rsidRPr="00282AC9">
        <w:rPr>
          <w:rFonts w:asciiTheme="minorBidi" w:hAnsiTheme="minorBidi" w:hint="cs"/>
          <w:sz w:val="27"/>
          <w:rtl/>
        </w:rPr>
        <w:t>المشروع</w:t>
      </w:r>
      <w:r w:rsidRPr="00282AC9">
        <w:rPr>
          <w:rFonts w:asciiTheme="minorBidi" w:hAnsiTheme="minorBidi"/>
          <w:sz w:val="27"/>
          <w:rtl/>
        </w:rPr>
        <w:t xml:space="preserve"> </w:t>
      </w:r>
      <w:r w:rsidRPr="00282AC9">
        <w:rPr>
          <w:rFonts w:asciiTheme="minorBidi" w:hAnsiTheme="minorBidi" w:hint="cs"/>
          <w:sz w:val="27"/>
          <w:rtl/>
        </w:rPr>
        <w:t>الحسيني.</w:t>
      </w:r>
    </w:p>
    <w:p w:rsidR="00556C32" w:rsidRPr="00282AC9" w:rsidRDefault="00556C32" w:rsidP="00556C32">
      <w:pPr>
        <w:spacing w:line="420" w:lineRule="exact"/>
        <w:rPr>
          <w:sz w:val="27"/>
          <w:rtl/>
        </w:rPr>
      </w:pPr>
    </w:p>
    <w:p w:rsidR="00965E08" w:rsidRPr="00282AC9" w:rsidRDefault="00965E08" w:rsidP="002F241A">
      <w:pPr>
        <w:pStyle w:val="31"/>
        <w:rPr>
          <w:color w:val="auto"/>
          <w:rtl/>
        </w:rPr>
      </w:pPr>
      <w:r w:rsidRPr="00282AC9">
        <w:rPr>
          <w:rFonts w:hint="cs"/>
          <w:color w:val="auto"/>
          <w:rtl/>
        </w:rPr>
        <w:t>ثمرة البحث</w:t>
      </w:r>
    </w:p>
    <w:p w:rsidR="007A43F0" w:rsidRPr="00282AC9" w:rsidRDefault="00965E08" w:rsidP="003062B7">
      <w:pPr>
        <w:rPr>
          <w:rFonts w:asciiTheme="minorBidi" w:hAnsiTheme="minorBidi"/>
          <w:sz w:val="27"/>
          <w:rtl/>
        </w:rPr>
      </w:pPr>
      <w:r w:rsidRPr="00282AC9">
        <w:rPr>
          <w:rFonts w:asciiTheme="minorBidi" w:hAnsiTheme="minorBidi" w:hint="cs"/>
          <w:sz w:val="27"/>
          <w:rtl/>
        </w:rPr>
        <w:t>هنا ي</w:t>
      </w:r>
      <w:r w:rsidR="007A43F0" w:rsidRPr="00282AC9">
        <w:rPr>
          <w:rFonts w:asciiTheme="minorBidi" w:hAnsiTheme="minorBidi" w:hint="cs"/>
          <w:sz w:val="27"/>
          <w:rtl/>
        </w:rPr>
        <w:t>أ</w:t>
      </w:r>
      <w:r w:rsidRPr="00282AC9">
        <w:rPr>
          <w:rFonts w:asciiTheme="minorBidi" w:hAnsiTheme="minorBidi" w:hint="cs"/>
          <w:sz w:val="27"/>
          <w:rtl/>
        </w:rPr>
        <w:t>تي السؤال عن الثمرة التي ستترت</w:t>
      </w:r>
      <w:r w:rsidR="007A43F0" w:rsidRPr="00282AC9">
        <w:rPr>
          <w:rFonts w:asciiTheme="minorBidi" w:hAnsiTheme="minorBidi" w:hint="cs"/>
          <w:sz w:val="27"/>
          <w:rtl/>
        </w:rPr>
        <w:t>َّ</w:t>
      </w:r>
      <w:r w:rsidRPr="00282AC9">
        <w:rPr>
          <w:rFonts w:asciiTheme="minorBidi" w:hAnsiTheme="minorBidi" w:hint="cs"/>
          <w:sz w:val="27"/>
          <w:rtl/>
        </w:rPr>
        <w:t>ب على كلا الفهمين</w:t>
      </w:r>
      <w:r w:rsidR="007A43F0" w:rsidRPr="00282AC9">
        <w:rPr>
          <w:rFonts w:asciiTheme="minorBidi" w:hAnsiTheme="minorBidi" w:hint="cs"/>
          <w:sz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 xml:space="preserve">فنقول: </w:t>
      </w:r>
      <w:r w:rsidR="007A43F0" w:rsidRPr="00282AC9">
        <w:rPr>
          <w:rFonts w:asciiTheme="minorBidi" w:hAnsiTheme="minorBidi" w:hint="cs"/>
          <w:sz w:val="27"/>
          <w:rtl/>
        </w:rPr>
        <w:t>إ</w:t>
      </w:r>
      <w:r w:rsidRPr="00282AC9">
        <w:rPr>
          <w:rFonts w:asciiTheme="minorBidi" w:hAnsiTheme="minorBidi" w:hint="cs"/>
          <w:sz w:val="27"/>
          <w:rtl/>
        </w:rPr>
        <w:t>ننا حينما</w:t>
      </w:r>
      <w:r w:rsidRPr="00282AC9">
        <w:rPr>
          <w:rFonts w:asciiTheme="minorBidi" w:hAnsiTheme="minorBidi"/>
          <w:sz w:val="27"/>
          <w:rtl/>
        </w:rPr>
        <w:t xml:space="preserve"> </w:t>
      </w:r>
      <w:r w:rsidRPr="00282AC9">
        <w:rPr>
          <w:rFonts w:asciiTheme="minorBidi" w:hAnsiTheme="minorBidi" w:hint="cs"/>
          <w:sz w:val="27"/>
          <w:rtl/>
        </w:rPr>
        <w:t>نفهم</w:t>
      </w:r>
      <w:r w:rsidRPr="00282AC9">
        <w:rPr>
          <w:rFonts w:asciiTheme="minorBidi" w:hAnsiTheme="minorBidi"/>
          <w:sz w:val="27"/>
          <w:rtl/>
        </w:rPr>
        <w:t xml:space="preserve"> </w:t>
      </w:r>
      <w:r w:rsidRPr="00282AC9">
        <w:rPr>
          <w:rFonts w:asciiTheme="minorBidi" w:hAnsiTheme="minorBidi" w:hint="cs"/>
          <w:sz w:val="27"/>
          <w:rtl/>
        </w:rPr>
        <w:t>مشروع</w:t>
      </w:r>
      <w:r w:rsidRPr="00282AC9">
        <w:rPr>
          <w:rFonts w:asciiTheme="minorBidi" w:hAnsiTheme="minorBidi"/>
          <w:sz w:val="27"/>
          <w:rtl/>
        </w:rPr>
        <w:t xml:space="preserve"> </w:t>
      </w:r>
      <w:r w:rsidRPr="00282AC9">
        <w:rPr>
          <w:rFonts w:asciiTheme="minorBidi" w:hAnsiTheme="minorBidi" w:hint="cs"/>
          <w:sz w:val="27"/>
          <w:rtl/>
        </w:rPr>
        <w:t>ال</w:t>
      </w:r>
      <w:r w:rsidR="007A43F0"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بالف</w:t>
      </w:r>
      <w:r w:rsidR="007A43F0" w:rsidRPr="00282AC9">
        <w:rPr>
          <w:rFonts w:asciiTheme="minorBidi" w:hAnsiTheme="minorBidi" w:hint="cs"/>
          <w:sz w:val="27"/>
          <w:rtl/>
        </w:rPr>
        <w:t>َ</w:t>
      </w:r>
      <w:r w:rsidRPr="00282AC9">
        <w:rPr>
          <w:rFonts w:asciiTheme="minorBidi" w:hAnsiTheme="minorBidi" w:hint="cs"/>
          <w:sz w:val="27"/>
          <w:rtl/>
        </w:rPr>
        <w:t>ه</w:t>
      </w:r>
      <w:r w:rsidR="007A43F0" w:rsidRPr="00282AC9">
        <w:rPr>
          <w:rFonts w:asciiTheme="minorBidi" w:hAnsiTheme="minorBidi" w:hint="cs"/>
          <w:sz w:val="27"/>
          <w:rtl/>
        </w:rPr>
        <w:t>ْ</w:t>
      </w:r>
      <w:r w:rsidRPr="00282AC9">
        <w:rPr>
          <w:rFonts w:asciiTheme="minorBidi" w:hAnsiTheme="minorBidi" w:hint="cs"/>
          <w:sz w:val="27"/>
          <w:rtl/>
        </w:rPr>
        <w:t>م ال</w:t>
      </w:r>
      <w:r w:rsidR="007A43F0" w:rsidRPr="00282AC9">
        <w:rPr>
          <w:rFonts w:asciiTheme="minorBidi" w:hAnsiTheme="minorBidi" w:hint="cs"/>
          <w:sz w:val="27"/>
          <w:rtl/>
        </w:rPr>
        <w:t>أ</w:t>
      </w:r>
      <w:r w:rsidRPr="00282AC9">
        <w:rPr>
          <w:rFonts w:asciiTheme="minorBidi" w:hAnsiTheme="minorBidi" w:hint="cs"/>
          <w:sz w:val="27"/>
          <w:rtl/>
        </w:rPr>
        <w:t>و</w:t>
      </w:r>
      <w:r w:rsidR="007A43F0" w:rsidRPr="00282AC9">
        <w:rPr>
          <w:rFonts w:asciiTheme="minorBidi" w:hAnsiTheme="minorBidi" w:hint="cs"/>
          <w:sz w:val="27"/>
          <w:rtl/>
        </w:rPr>
        <w:t>ّ</w:t>
      </w:r>
      <w:r w:rsidRPr="00282AC9">
        <w:rPr>
          <w:rFonts w:asciiTheme="minorBidi" w:hAnsiTheme="minorBidi" w:hint="cs"/>
          <w:sz w:val="27"/>
          <w:rtl/>
        </w:rPr>
        <w:t>ل</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أن</w:t>
      </w:r>
      <w:r w:rsidRPr="00282AC9">
        <w:rPr>
          <w:rFonts w:asciiTheme="minorBidi" w:hAnsiTheme="minorBidi"/>
          <w:sz w:val="27"/>
          <w:rtl/>
        </w:rPr>
        <w:t xml:space="preserve"> </w:t>
      </w:r>
      <w:r w:rsidRPr="00282AC9">
        <w:rPr>
          <w:rFonts w:asciiTheme="minorBidi" w:hAnsiTheme="minorBidi" w:hint="cs"/>
          <w:sz w:val="27"/>
          <w:rtl/>
        </w:rPr>
        <w:t>المشروع</w:t>
      </w:r>
      <w:r w:rsidRPr="00282AC9">
        <w:rPr>
          <w:rFonts w:asciiTheme="minorBidi" w:hAnsiTheme="minorBidi"/>
          <w:sz w:val="27"/>
          <w:rtl/>
        </w:rPr>
        <w:t xml:space="preserve"> </w:t>
      </w:r>
      <w:r w:rsidRPr="00282AC9">
        <w:rPr>
          <w:rFonts w:asciiTheme="minorBidi" w:hAnsiTheme="minorBidi" w:hint="cs"/>
          <w:sz w:val="27"/>
          <w:rtl/>
        </w:rPr>
        <w:t>حق</w:t>
      </w:r>
      <w:r w:rsidR="007A43F0" w:rsidRPr="00282AC9">
        <w:rPr>
          <w:rFonts w:asciiTheme="minorBidi" w:hAnsiTheme="minorBidi" w:hint="cs"/>
          <w:sz w:val="27"/>
          <w:rtl/>
        </w:rPr>
        <w:t>َّ</w:t>
      </w:r>
      <w:r w:rsidRPr="00282AC9">
        <w:rPr>
          <w:rFonts w:asciiTheme="minorBidi" w:hAnsiTheme="minorBidi" w:hint="cs"/>
          <w:sz w:val="27"/>
          <w:rtl/>
        </w:rPr>
        <w:t>ق</w:t>
      </w:r>
      <w:r w:rsidRPr="00282AC9">
        <w:rPr>
          <w:rFonts w:asciiTheme="minorBidi" w:hAnsiTheme="minorBidi"/>
          <w:sz w:val="27"/>
          <w:rtl/>
        </w:rPr>
        <w:t xml:space="preserve"> </w:t>
      </w:r>
      <w:r w:rsidRPr="00282AC9">
        <w:rPr>
          <w:rFonts w:asciiTheme="minorBidi" w:hAnsiTheme="minorBidi" w:hint="cs"/>
          <w:sz w:val="27"/>
          <w:rtl/>
        </w:rPr>
        <w:t>بعضاً</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أهدافه،</w:t>
      </w:r>
      <w:r w:rsidRPr="00282AC9">
        <w:rPr>
          <w:rFonts w:asciiTheme="minorBidi" w:hAnsiTheme="minorBidi"/>
          <w:sz w:val="27"/>
          <w:rtl/>
        </w:rPr>
        <w:t xml:space="preserve"> </w:t>
      </w:r>
      <w:r w:rsidRPr="00282AC9">
        <w:rPr>
          <w:rFonts w:asciiTheme="minorBidi" w:hAnsiTheme="minorBidi" w:hint="cs"/>
          <w:sz w:val="27"/>
          <w:rtl/>
        </w:rPr>
        <w:t>أما</w:t>
      </w:r>
      <w:r w:rsidRPr="00282AC9">
        <w:rPr>
          <w:rFonts w:asciiTheme="minorBidi" w:hAnsiTheme="minorBidi"/>
          <w:sz w:val="27"/>
          <w:rtl/>
        </w:rPr>
        <w:t xml:space="preserve"> </w:t>
      </w:r>
      <w:r w:rsidRPr="00282AC9">
        <w:rPr>
          <w:rFonts w:asciiTheme="minorBidi" w:hAnsiTheme="minorBidi" w:hint="cs"/>
          <w:sz w:val="27"/>
          <w:rtl/>
        </w:rPr>
        <w:t>الأهداف</w:t>
      </w:r>
      <w:r w:rsidRPr="00282AC9">
        <w:rPr>
          <w:rFonts w:asciiTheme="minorBidi" w:hAnsiTheme="minorBidi"/>
          <w:sz w:val="27"/>
          <w:rtl/>
        </w:rPr>
        <w:t xml:space="preserve"> </w:t>
      </w:r>
      <w:r w:rsidRPr="00282AC9">
        <w:rPr>
          <w:rFonts w:asciiTheme="minorBidi" w:hAnsiTheme="minorBidi" w:hint="cs"/>
          <w:sz w:val="27"/>
          <w:rtl/>
        </w:rPr>
        <w:t>العظمى</w:t>
      </w:r>
      <w:r w:rsidRPr="00282AC9">
        <w:rPr>
          <w:rFonts w:asciiTheme="minorBidi" w:hAnsiTheme="minorBidi"/>
          <w:sz w:val="27"/>
          <w:rtl/>
        </w:rPr>
        <w:t xml:space="preserve"> </w:t>
      </w:r>
      <w:r w:rsidRPr="00282AC9">
        <w:rPr>
          <w:rFonts w:asciiTheme="minorBidi" w:hAnsiTheme="minorBidi" w:hint="cs"/>
          <w:sz w:val="27"/>
          <w:rtl/>
        </w:rPr>
        <w:t>فلم</w:t>
      </w:r>
      <w:r w:rsidRPr="00282AC9">
        <w:rPr>
          <w:rFonts w:asciiTheme="minorBidi" w:hAnsiTheme="minorBidi"/>
          <w:sz w:val="27"/>
          <w:rtl/>
        </w:rPr>
        <w:t xml:space="preserve"> </w:t>
      </w:r>
      <w:r w:rsidRPr="00282AC9">
        <w:rPr>
          <w:rFonts w:asciiTheme="minorBidi" w:hAnsiTheme="minorBidi" w:hint="cs"/>
          <w:sz w:val="27"/>
          <w:rtl/>
        </w:rPr>
        <w:t>يحق</w:t>
      </w:r>
      <w:r w:rsidR="007A43F0" w:rsidRPr="00282AC9">
        <w:rPr>
          <w:rFonts w:asciiTheme="minorBidi" w:hAnsiTheme="minorBidi" w:hint="cs"/>
          <w:sz w:val="27"/>
          <w:rtl/>
        </w:rPr>
        <w:t>ِّ</w:t>
      </w:r>
      <w:r w:rsidRPr="00282AC9">
        <w:rPr>
          <w:rFonts w:asciiTheme="minorBidi" w:hAnsiTheme="minorBidi" w:hint="cs"/>
          <w:sz w:val="27"/>
          <w:rtl/>
        </w:rPr>
        <w:t>قها</w:t>
      </w:r>
      <w:r w:rsidRPr="00282AC9">
        <w:rPr>
          <w:rFonts w:asciiTheme="minorBidi" w:hAnsiTheme="minorBidi"/>
          <w:sz w:val="27"/>
          <w:rtl/>
        </w:rPr>
        <w:t xml:space="preserve"> </w:t>
      </w:r>
      <w:r w:rsidR="007A43F0" w:rsidRPr="00282AC9">
        <w:rPr>
          <w:rFonts w:asciiTheme="minorBidi" w:hAnsiTheme="minorBidi" w:hint="cs"/>
          <w:sz w:val="27"/>
          <w:rtl/>
        </w:rPr>
        <w:t>حتّى</w:t>
      </w:r>
      <w:r w:rsidRPr="00282AC9">
        <w:rPr>
          <w:rFonts w:asciiTheme="minorBidi" w:hAnsiTheme="minorBidi"/>
          <w:sz w:val="27"/>
          <w:rtl/>
        </w:rPr>
        <w:t xml:space="preserve"> </w:t>
      </w:r>
      <w:r w:rsidRPr="00282AC9">
        <w:rPr>
          <w:rFonts w:asciiTheme="minorBidi" w:hAnsiTheme="minorBidi" w:hint="cs"/>
          <w:sz w:val="27"/>
          <w:rtl/>
        </w:rPr>
        <w:t>الآن، فهذا سيجعل الشيعة</w:t>
      </w:r>
      <w:r w:rsidRPr="00282AC9">
        <w:rPr>
          <w:rFonts w:asciiTheme="minorBidi" w:hAnsiTheme="minorBidi"/>
          <w:sz w:val="27"/>
          <w:rtl/>
        </w:rPr>
        <w:t xml:space="preserve"> </w:t>
      </w:r>
      <w:r w:rsidRPr="00282AC9">
        <w:rPr>
          <w:rFonts w:asciiTheme="minorBidi" w:hAnsiTheme="minorBidi" w:hint="cs"/>
          <w:sz w:val="27"/>
          <w:rtl/>
        </w:rPr>
        <w:t>تتحر</w:t>
      </w:r>
      <w:r w:rsidR="007A43F0" w:rsidRPr="00282AC9">
        <w:rPr>
          <w:rFonts w:asciiTheme="minorBidi" w:hAnsiTheme="minorBidi" w:hint="cs"/>
          <w:sz w:val="27"/>
          <w:rtl/>
        </w:rPr>
        <w:t>َّ</w:t>
      </w:r>
      <w:r w:rsidRPr="00282AC9">
        <w:rPr>
          <w:rFonts w:asciiTheme="minorBidi" w:hAnsiTheme="minorBidi" w:hint="cs"/>
          <w:sz w:val="27"/>
          <w:rtl/>
        </w:rPr>
        <w:t>ك</w:t>
      </w:r>
      <w:r w:rsidRPr="00282AC9">
        <w:rPr>
          <w:rFonts w:asciiTheme="minorBidi" w:hAnsiTheme="minorBidi"/>
          <w:sz w:val="27"/>
          <w:rtl/>
        </w:rPr>
        <w:t xml:space="preserve"> </w:t>
      </w:r>
      <w:r w:rsidRPr="00282AC9">
        <w:rPr>
          <w:rFonts w:asciiTheme="minorBidi" w:hAnsiTheme="minorBidi" w:hint="cs"/>
          <w:sz w:val="27"/>
          <w:rtl/>
        </w:rPr>
        <w:t>بات</w:t>
      </w:r>
      <w:r w:rsidR="007A43F0" w:rsidRPr="00282AC9">
        <w:rPr>
          <w:rFonts w:asciiTheme="minorBidi" w:hAnsiTheme="minorBidi" w:hint="cs"/>
          <w:sz w:val="27"/>
          <w:rtl/>
        </w:rPr>
        <w:t>ّ</w:t>
      </w:r>
      <w:r w:rsidRPr="00282AC9">
        <w:rPr>
          <w:rFonts w:asciiTheme="minorBidi" w:hAnsiTheme="minorBidi" w:hint="cs"/>
          <w:sz w:val="27"/>
          <w:rtl/>
        </w:rPr>
        <w:t>جاهها،</w:t>
      </w:r>
      <w:r w:rsidRPr="00282AC9">
        <w:rPr>
          <w:rFonts w:asciiTheme="minorBidi" w:hAnsiTheme="minorBidi"/>
          <w:sz w:val="27"/>
          <w:rtl/>
        </w:rPr>
        <w:t xml:space="preserve"> </w:t>
      </w:r>
      <w:r w:rsidRPr="00282AC9">
        <w:rPr>
          <w:rFonts w:asciiTheme="minorBidi" w:hAnsiTheme="minorBidi" w:hint="cs"/>
          <w:sz w:val="27"/>
          <w:rtl/>
        </w:rPr>
        <w:t>وستتبرمج</w:t>
      </w:r>
      <w:r w:rsidRPr="00282AC9">
        <w:rPr>
          <w:rFonts w:asciiTheme="minorBidi" w:hAnsiTheme="minorBidi"/>
          <w:sz w:val="27"/>
          <w:rtl/>
        </w:rPr>
        <w:t xml:space="preserve"> </w:t>
      </w:r>
      <w:r w:rsidRPr="00282AC9">
        <w:rPr>
          <w:rFonts w:asciiTheme="minorBidi" w:hAnsiTheme="minorBidi" w:hint="cs"/>
          <w:sz w:val="27"/>
          <w:rtl/>
        </w:rPr>
        <w:t>عقولهم</w:t>
      </w:r>
      <w:r w:rsidRPr="00282AC9">
        <w:rPr>
          <w:rFonts w:asciiTheme="minorBidi" w:hAnsiTheme="minorBidi"/>
          <w:sz w:val="27"/>
          <w:rtl/>
        </w:rPr>
        <w:t xml:space="preserve"> </w:t>
      </w:r>
      <w:r w:rsidRPr="00282AC9">
        <w:rPr>
          <w:rFonts w:asciiTheme="minorBidi" w:hAnsiTheme="minorBidi" w:hint="cs"/>
          <w:sz w:val="27"/>
          <w:rtl/>
        </w:rPr>
        <w:t>بات</w:t>
      </w:r>
      <w:r w:rsidR="007A43F0" w:rsidRPr="00282AC9">
        <w:rPr>
          <w:rFonts w:asciiTheme="minorBidi" w:hAnsiTheme="minorBidi" w:hint="cs"/>
          <w:sz w:val="27"/>
          <w:rtl/>
        </w:rPr>
        <w:t>ّ</w:t>
      </w:r>
      <w:r w:rsidRPr="00282AC9">
        <w:rPr>
          <w:rFonts w:asciiTheme="minorBidi" w:hAnsiTheme="minorBidi" w:hint="cs"/>
          <w:sz w:val="27"/>
          <w:rtl/>
        </w:rPr>
        <w:t>جاه</w:t>
      </w:r>
      <w:r w:rsidRPr="00282AC9">
        <w:rPr>
          <w:rFonts w:asciiTheme="minorBidi" w:hAnsiTheme="minorBidi"/>
          <w:sz w:val="27"/>
          <w:rtl/>
        </w:rPr>
        <w:t xml:space="preserve"> </w:t>
      </w:r>
      <w:r w:rsidRPr="00282AC9">
        <w:rPr>
          <w:rFonts w:asciiTheme="minorBidi" w:hAnsiTheme="minorBidi" w:hint="cs"/>
          <w:sz w:val="27"/>
          <w:rtl/>
        </w:rPr>
        <w:t>أن</w:t>
      </w:r>
      <w:r w:rsidRPr="00282AC9">
        <w:rPr>
          <w:rFonts w:asciiTheme="minorBidi" w:hAnsiTheme="minorBidi"/>
          <w:sz w:val="27"/>
          <w:rtl/>
        </w:rPr>
        <w:t xml:space="preserve"> </w:t>
      </w:r>
      <w:r w:rsidRPr="00282AC9">
        <w:rPr>
          <w:rFonts w:asciiTheme="minorBidi" w:hAnsiTheme="minorBidi" w:hint="cs"/>
          <w:sz w:val="27"/>
          <w:rtl/>
        </w:rPr>
        <w:t>يتحر</w:t>
      </w:r>
      <w:r w:rsidR="007A43F0" w:rsidRPr="00282AC9">
        <w:rPr>
          <w:rFonts w:asciiTheme="minorBidi" w:hAnsiTheme="minorBidi" w:hint="cs"/>
          <w:sz w:val="27"/>
          <w:rtl/>
        </w:rPr>
        <w:t>ّ</w:t>
      </w:r>
      <w:r w:rsidRPr="00282AC9">
        <w:rPr>
          <w:rFonts w:asciiTheme="minorBidi" w:hAnsiTheme="minorBidi" w:hint="cs"/>
          <w:sz w:val="27"/>
          <w:rtl/>
        </w:rPr>
        <w:t>كو</w:t>
      </w:r>
      <w:r w:rsidR="007A43F0" w:rsidRPr="00282AC9">
        <w:rPr>
          <w:rFonts w:asciiTheme="minorBidi" w:hAnsiTheme="minorBidi" w:hint="cs"/>
          <w:sz w:val="27"/>
          <w:rtl/>
        </w:rPr>
        <w:t>ا</w:t>
      </w:r>
      <w:r w:rsidRPr="00282AC9">
        <w:rPr>
          <w:rFonts w:asciiTheme="minorBidi" w:hAnsiTheme="minorBidi"/>
          <w:sz w:val="27"/>
          <w:rtl/>
        </w:rPr>
        <w:t xml:space="preserve"> </w:t>
      </w:r>
      <w:r w:rsidRPr="00282AC9">
        <w:rPr>
          <w:rFonts w:asciiTheme="minorBidi" w:hAnsiTheme="minorBidi" w:hint="cs"/>
          <w:sz w:val="27"/>
          <w:rtl/>
        </w:rPr>
        <w:t>ويعملو</w:t>
      </w:r>
      <w:r w:rsidR="007A43F0" w:rsidRPr="00282AC9">
        <w:rPr>
          <w:rFonts w:asciiTheme="minorBidi" w:hAnsiTheme="minorBidi" w:hint="cs"/>
          <w:sz w:val="27"/>
          <w:rtl/>
        </w:rPr>
        <w:t>ا</w:t>
      </w:r>
      <w:r w:rsidRPr="00282AC9">
        <w:rPr>
          <w:rFonts w:asciiTheme="minorBidi" w:hAnsiTheme="minorBidi"/>
          <w:sz w:val="27"/>
          <w:rtl/>
        </w:rPr>
        <w:t xml:space="preserve"> </w:t>
      </w:r>
      <w:r w:rsidRPr="00282AC9">
        <w:rPr>
          <w:rFonts w:asciiTheme="minorBidi" w:hAnsiTheme="minorBidi" w:hint="cs"/>
          <w:sz w:val="27"/>
          <w:rtl/>
        </w:rPr>
        <w:t>وينشطو</w:t>
      </w:r>
      <w:r w:rsidR="007A43F0" w:rsidRPr="00282AC9">
        <w:rPr>
          <w:rFonts w:asciiTheme="minorBidi" w:hAnsiTheme="minorBidi" w:hint="cs"/>
          <w:sz w:val="27"/>
          <w:rtl/>
        </w:rPr>
        <w:t>ا</w:t>
      </w:r>
      <w:r w:rsidRPr="00282AC9">
        <w:rPr>
          <w:rFonts w:asciiTheme="minorBidi" w:hAnsiTheme="minorBidi" w:hint="cs"/>
          <w:sz w:val="27"/>
          <w:rtl/>
        </w:rPr>
        <w:t>.</w:t>
      </w:r>
    </w:p>
    <w:p w:rsidR="00965E08" w:rsidRPr="00282AC9" w:rsidRDefault="00965E08" w:rsidP="003062B7">
      <w:pPr>
        <w:rPr>
          <w:rFonts w:asciiTheme="minorBidi" w:hAnsiTheme="minorBidi"/>
          <w:sz w:val="27"/>
          <w:rtl/>
        </w:rPr>
      </w:pPr>
      <w:r w:rsidRPr="00282AC9">
        <w:rPr>
          <w:rFonts w:asciiTheme="minorBidi" w:hAnsiTheme="minorBidi"/>
          <w:sz w:val="27"/>
          <w:rtl/>
        </w:rPr>
        <w:t xml:space="preserve"> </w:t>
      </w:r>
      <w:r w:rsidRPr="00282AC9">
        <w:rPr>
          <w:rFonts w:asciiTheme="minorBidi" w:hAnsiTheme="minorBidi" w:hint="cs"/>
          <w:sz w:val="27"/>
          <w:rtl/>
        </w:rPr>
        <w:t>بخلاف</w:t>
      </w:r>
      <w:r w:rsidRPr="00282AC9">
        <w:rPr>
          <w:rFonts w:asciiTheme="minorBidi" w:hAnsiTheme="minorBidi"/>
          <w:sz w:val="27"/>
          <w:rtl/>
        </w:rPr>
        <w:t xml:space="preserve"> </w:t>
      </w:r>
      <w:r w:rsidRPr="00282AC9">
        <w:rPr>
          <w:rFonts w:asciiTheme="minorBidi" w:hAnsiTheme="minorBidi" w:hint="cs"/>
          <w:sz w:val="27"/>
          <w:rtl/>
        </w:rPr>
        <w:t>ما</w:t>
      </w:r>
      <w:r w:rsidRPr="00282AC9">
        <w:rPr>
          <w:rFonts w:asciiTheme="minorBidi" w:hAnsiTheme="minorBidi"/>
          <w:sz w:val="27"/>
          <w:rtl/>
        </w:rPr>
        <w:t xml:space="preserve"> </w:t>
      </w:r>
      <w:r w:rsidRPr="00282AC9">
        <w:rPr>
          <w:rFonts w:asciiTheme="minorBidi" w:hAnsiTheme="minorBidi" w:hint="cs"/>
          <w:sz w:val="27"/>
          <w:rtl/>
        </w:rPr>
        <w:t>لو</w:t>
      </w:r>
      <w:r w:rsidRPr="00282AC9">
        <w:rPr>
          <w:rFonts w:asciiTheme="minorBidi" w:hAnsiTheme="minorBidi"/>
          <w:sz w:val="27"/>
          <w:rtl/>
        </w:rPr>
        <w:t xml:space="preserve"> </w:t>
      </w:r>
      <w:r w:rsidRPr="00282AC9">
        <w:rPr>
          <w:rFonts w:asciiTheme="minorBidi" w:hAnsiTheme="minorBidi" w:hint="cs"/>
          <w:sz w:val="27"/>
          <w:rtl/>
        </w:rPr>
        <w:t>قلنا</w:t>
      </w:r>
      <w:r w:rsidR="007A43F0" w:rsidRPr="00282AC9">
        <w:rPr>
          <w:rFonts w:asciiTheme="minorBidi" w:hAnsiTheme="minorBidi" w:hint="cs"/>
          <w:sz w:val="27"/>
          <w:rtl/>
        </w:rPr>
        <w:t>:</w:t>
      </w:r>
      <w:r w:rsidRPr="00282AC9">
        <w:rPr>
          <w:rFonts w:asciiTheme="minorBidi" w:hAnsiTheme="minorBidi"/>
          <w:sz w:val="27"/>
          <w:rtl/>
        </w:rPr>
        <w:t xml:space="preserve"> </w:t>
      </w:r>
      <w:r w:rsidR="007A43F0" w:rsidRPr="00282AC9">
        <w:rPr>
          <w:rFonts w:asciiTheme="minorBidi" w:hAnsiTheme="minorBidi" w:hint="cs"/>
          <w:sz w:val="27"/>
          <w:rtl/>
        </w:rPr>
        <w:t>إ</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الحسين</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قد</w:t>
      </w:r>
      <w:r w:rsidRPr="00282AC9">
        <w:rPr>
          <w:rFonts w:asciiTheme="minorBidi" w:hAnsiTheme="minorBidi"/>
          <w:sz w:val="27"/>
          <w:rtl/>
        </w:rPr>
        <w:t xml:space="preserve"> </w:t>
      </w:r>
      <w:r w:rsidRPr="00282AC9">
        <w:rPr>
          <w:rFonts w:asciiTheme="minorBidi" w:hAnsiTheme="minorBidi" w:hint="cs"/>
          <w:sz w:val="27"/>
          <w:rtl/>
        </w:rPr>
        <w:t>انتصر</w:t>
      </w:r>
      <w:r w:rsidR="007A43F0" w:rsidRPr="00282AC9">
        <w:rPr>
          <w:rFonts w:asciiTheme="minorBidi" w:hAnsiTheme="minorBidi" w:hint="cs"/>
          <w:sz w:val="27"/>
          <w:rtl/>
        </w:rPr>
        <w:t xml:space="preserve">، </w:t>
      </w:r>
      <w:r w:rsidRPr="00282AC9">
        <w:rPr>
          <w:rFonts w:asciiTheme="minorBidi" w:hAnsiTheme="minorBidi" w:hint="cs"/>
          <w:sz w:val="27"/>
          <w:rtl/>
        </w:rPr>
        <w:t>وحق</w:t>
      </w:r>
      <w:r w:rsidR="007A43F0" w:rsidRPr="00282AC9">
        <w:rPr>
          <w:rFonts w:asciiTheme="minorBidi" w:hAnsiTheme="minorBidi" w:hint="cs"/>
          <w:sz w:val="27"/>
          <w:rtl/>
        </w:rPr>
        <w:t>َّ</w:t>
      </w:r>
      <w:r w:rsidRPr="00282AC9">
        <w:rPr>
          <w:rFonts w:asciiTheme="minorBidi" w:hAnsiTheme="minorBidi" w:hint="cs"/>
          <w:sz w:val="27"/>
          <w:rtl/>
        </w:rPr>
        <w:t>ق</w:t>
      </w:r>
      <w:r w:rsidRPr="00282AC9">
        <w:rPr>
          <w:rFonts w:asciiTheme="minorBidi" w:hAnsiTheme="minorBidi"/>
          <w:sz w:val="27"/>
          <w:rtl/>
        </w:rPr>
        <w:t xml:space="preserve"> </w:t>
      </w:r>
      <w:r w:rsidRPr="00282AC9">
        <w:rPr>
          <w:rFonts w:asciiTheme="minorBidi" w:hAnsiTheme="minorBidi" w:hint="cs"/>
          <w:sz w:val="27"/>
          <w:rtl/>
        </w:rPr>
        <w:t>أهدافه</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وتم</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الإصلاح</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وأ</w:t>
      </w:r>
      <w:r w:rsidR="007A43F0" w:rsidRPr="00282AC9">
        <w:rPr>
          <w:rFonts w:asciiTheme="minorBidi" w:hAnsiTheme="minorBidi" w:hint="cs"/>
          <w:sz w:val="27"/>
          <w:rtl/>
        </w:rPr>
        <w:t>ُ</w:t>
      </w:r>
      <w:r w:rsidRPr="00282AC9">
        <w:rPr>
          <w:rFonts w:asciiTheme="minorBidi" w:hAnsiTheme="minorBidi" w:hint="cs"/>
          <w:sz w:val="27"/>
          <w:rtl/>
        </w:rPr>
        <w:t>صلحت</w:t>
      </w:r>
      <w:r w:rsidRPr="00282AC9">
        <w:rPr>
          <w:rFonts w:asciiTheme="minorBidi" w:hAnsiTheme="minorBidi"/>
          <w:sz w:val="27"/>
          <w:rtl/>
        </w:rPr>
        <w:t xml:space="preserve"> </w:t>
      </w:r>
      <w:r w:rsidRPr="00282AC9">
        <w:rPr>
          <w:rFonts w:asciiTheme="minorBidi" w:hAnsiTheme="minorBidi" w:hint="cs"/>
          <w:sz w:val="27"/>
          <w:rtl/>
        </w:rPr>
        <w:t>أوضاع</w:t>
      </w:r>
      <w:r w:rsidRPr="00282AC9">
        <w:rPr>
          <w:rFonts w:asciiTheme="minorBidi" w:hAnsiTheme="minorBidi"/>
          <w:sz w:val="27"/>
          <w:rtl/>
        </w:rPr>
        <w:t xml:space="preserve"> </w:t>
      </w:r>
      <w:r w:rsidRPr="00282AC9">
        <w:rPr>
          <w:rFonts w:asciiTheme="minorBidi" w:hAnsiTheme="minorBidi" w:hint="cs"/>
          <w:sz w:val="27"/>
          <w:rtl/>
        </w:rPr>
        <w:t>الأم</w:t>
      </w:r>
      <w:r w:rsidR="007A43F0" w:rsidRPr="00282AC9">
        <w:rPr>
          <w:rFonts w:asciiTheme="minorBidi" w:hAnsiTheme="minorBidi" w:hint="cs"/>
          <w:sz w:val="27"/>
          <w:rtl/>
        </w:rPr>
        <w:t>ّ</w:t>
      </w:r>
      <w:r w:rsidRPr="00282AC9">
        <w:rPr>
          <w:rFonts w:asciiTheme="minorBidi" w:hAnsiTheme="minorBidi" w:hint="cs"/>
          <w:sz w:val="27"/>
          <w:rtl/>
        </w:rPr>
        <w:t>ة</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فيقتصر</w:t>
      </w:r>
      <w:r w:rsidRPr="00282AC9">
        <w:rPr>
          <w:rFonts w:asciiTheme="minorBidi" w:hAnsiTheme="minorBidi"/>
          <w:sz w:val="27"/>
          <w:rtl/>
        </w:rPr>
        <w:t xml:space="preserve"> </w:t>
      </w:r>
      <w:r w:rsidRPr="00282AC9">
        <w:rPr>
          <w:rFonts w:asciiTheme="minorBidi" w:hAnsiTheme="minorBidi" w:hint="cs"/>
          <w:sz w:val="27"/>
          <w:rtl/>
        </w:rPr>
        <w:t>الشيعة</w:t>
      </w:r>
      <w:r w:rsidRPr="00282AC9">
        <w:rPr>
          <w:rFonts w:asciiTheme="minorBidi" w:hAnsiTheme="minorBidi"/>
          <w:sz w:val="27"/>
          <w:rtl/>
        </w:rPr>
        <w:t xml:space="preserve"> </w:t>
      </w:r>
      <w:r w:rsidRPr="00282AC9">
        <w:rPr>
          <w:rFonts w:asciiTheme="minorBidi" w:hAnsiTheme="minorBidi" w:hint="cs"/>
          <w:sz w:val="27"/>
          <w:rtl/>
        </w:rPr>
        <w:t xml:space="preserve">على </w:t>
      </w:r>
      <w:r w:rsidR="007A43F0" w:rsidRPr="00282AC9">
        <w:rPr>
          <w:rFonts w:asciiTheme="minorBidi" w:hAnsiTheme="minorBidi" w:hint="cs"/>
          <w:sz w:val="27"/>
          <w:rtl/>
        </w:rPr>
        <w:t>إ</w:t>
      </w:r>
      <w:r w:rsidRPr="00282AC9">
        <w:rPr>
          <w:rFonts w:asciiTheme="minorBidi" w:hAnsiTheme="minorBidi" w:hint="cs"/>
          <w:sz w:val="27"/>
          <w:rtl/>
        </w:rPr>
        <w:t>قامة الشعائر الحسيني</w:t>
      </w:r>
      <w:r w:rsidR="007A43F0" w:rsidRPr="00282AC9">
        <w:rPr>
          <w:rFonts w:asciiTheme="minorBidi" w:hAnsiTheme="minorBidi" w:hint="cs"/>
          <w:sz w:val="27"/>
          <w:rtl/>
        </w:rPr>
        <w:t>ّ</w:t>
      </w:r>
      <w:r w:rsidRPr="00282AC9">
        <w:rPr>
          <w:rFonts w:asciiTheme="minorBidi" w:hAnsiTheme="minorBidi" w:hint="cs"/>
          <w:sz w:val="27"/>
          <w:rtl/>
        </w:rPr>
        <w:t>ة</w:t>
      </w:r>
      <w:r w:rsidR="007A43F0"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ويتصو</w:t>
      </w:r>
      <w:r w:rsidR="007A43F0" w:rsidRPr="00282AC9">
        <w:rPr>
          <w:rFonts w:asciiTheme="minorBidi" w:hAnsiTheme="minorBidi" w:hint="cs"/>
          <w:sz w:val="27"/>
          <w:rtl/>
        </w:rPr>
        <w:t>ّ</w:t>
      </w:r>
      <w:r w:rsidRPr="00282AC9">
        <w:rPr>
          <w:rFonts w:asciiTheme="minorBidi" w:hAnsiTheme="minorBidi" w:hint="cs"/>
          <w:sz w:val="27"/>
          <w:rtl/>
        </w:rPr>
        <w:t>رون</w:t>
      </w:r>
      <w:r w:rsidRPr="00282AC9">
        <w:rPr>
          <w:rFonts w:asciiTheme="minorBidi" w:hAnsiTheme="minorBidi"/>
          <w:sz w:val="27"/>
          <w:rtl/>
        </w:rPr>
        <w:t xml:space="preserve"> </w:t>
      </w:r>
      <w:r w:rsidRPr="00282AC9">
        <w:rPr>
          <w:rFonts w:asciiTheme="minorBidi" w:hAnsiTheme="minorBidi" w:hint="cs"/>
          <w:sz w:val="27"/>
          <w:rtl/>
        </w:rPr>
        <w:t>أنهم</w:t>
      </w:r>
      <w:r w:rsidRPr="00282AC9">
        <w:rPr>
          <w:rFonts w:asciiTheme="minorBidi" w:hAnsiTheme="minorBidi"/>
          <w:sz w:val="27"/>
          <w:rtl/>
        </w:rPr>
        <w:t xml:space="preserve"> </w:t>
      </w:r>
      <w:r w:rsidRPr="00282AC9">
        <w:rPr>
          <w:rFonts w:asciiTheme="minorBidi" w:hAnsiTheme="minorBidi" w:hint="cs"/>
          <w:sz w:val="27"/>
          <w:rtl/>
        </w:rPr>
        <w:lastRenderedPageBreak/>
        <w:t>يفتحون</w:t>
      </w:r>
      <w:r w:rsidRPr="00282AC9">
        <w:rPr>
          <w:rFonts w:asciiTheme="minorBidi" w:hAnsiTheme="minorBidi"/>
          <w:sz w:val="27"/>
          <w:rtl/>
        </w:rPr>
        <w:t xml:space="preserve"> </w:t>
      </w:r>
      <w:r w:rsidRPr="00282AC9">
        <w:rPr>
          <w:rFonts w:asciiTheme="minorBidi" w:hAnsiTheme="minorBidi" w:hint="cs"/>
          <w:sz w:val="27"/>
          <w:rtl/>
        </w:rPr>
        <w:t>الفتوح</w:t>
      </w:r>
      <w:r w:rsidRPr="00282AC9">
        <w:rPr>
          <w:rFonts w:asciiTheme="minorBidi" w:hAnsiTheme="minorBidi"/>
          <w:sz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فال</w:t>
      </w:r>
      <w:r w:rsidR="007A43F0" w:rsidRPr="00282AC9">
        <w:rPr>
          <w:rFonts w:asciiTheme="minorBidi" w:hAnsiTheme="minorBidi" w:hint="cs"/>
          <w:sz w:val="27"/>
          <w:rtl/>
        </w:rPr>
        <w:t>إ</w:t>
      </w:r>
      <w:r w:rsidRPr="00282AC9">
        <w:rPr>
          <w:rFonts w:asciiTheme="minorBidi" w:hAnsiTheme="minorBidi" w:hint="cs"/>
          <w:sz w:val="27"/>
          <w:rtl/>
        </w:rPr>
        <w:t>شكال</w:t>
      </w:r>
      <w:r w:rsidRPr="00282AC9">
        <w:rPr>
          <w:rFonts w:asciiTheme="minorBidi" w:hAnsiTheme="minorBidi"/>
          <w:sz w:val="27"/>
          <w:rtl/>
        </w:rPr>
        <w:t xml:space="preserve"> </w:t>
      </w:r>
      <w:r w:rsidRPr="00282AC9">
        <w:rPr>
          <w:rFonts w:asciiTheme="minorBidi" w:hAnsiTheme="minorBidi" w:hint="cs"/>
          <w:sz w:val="27"/>
          <w:rtl/>
        </w:rPr>
        <w:t>ليس الشعائر الحسينية،</w:t>
      </w:r>
      <w:r w:rsidRPr="00282AC9">
        <w:rPr>
          <w:rFonts w:asciiTheme="minorBidi" w:hAnsiTheme="minorBidi"/>
          <w:sz w:val="27"/>
          <w:rtl/>
        </w:rPr>
        <w:t xml:space="preserve"> </w:t>
      </w:r>
      <w:r w:rsidRPr="00282AC9">
        <w:rPr>
          <w:rFonts w:asciiTheme="minorBidi" w:hAnsiTheme="minorBidi" w:hint="cs"/>
          <w:sz w:val="27"/>
          <w:rtl/>
        </w:rPr>
        <w:t>ولكن</w:t>
      </w:r>
      <w:r w:rsidR="007A43F0" w:rsidRPr="00282AC9">
        <w:rPr>
          <w:rFonts w:asciiTheme="minorBidi" w:hAnsiTheme="minorBidi" w:hint="cs"/>
          <w:sz w:val="27"/>
          <w:rtl/>
        </w:rPr>
        <w:t>ّ</w:t>
      </w:r>
      <w:r w:rsidRPr="00282AC9">
        <w:rPr>
          <w:rFonts w:asciiTheme="minorBidi" w:hAnsiTheme="minorBidi" w:hint="cs"/>
          <w:sz w:val="27"/>
          <w:rtl/>
        </w:rPr>
        <w:t>نا</w:t>
      </w:r>
      <w:r w:rsidRPr="00282AC9">
        <w:rPr>
          <w:rFonts w:asciiTheme="minorBidi" w:hAnsiTheme="minorBidi"/>
          <w:sz w:val="27"/>
          <w:rtl/>
        </w:rPr>
        <w:t xml:space="preserve"> </w:t>
      </w:r>
      <w:r w:rsidRPr="00282AC9">
        <w:rPr>
          <w:rFonts w:asciiTheme="minorBidi" w:hAnsiTheme="minorBidi" w:hint="cs"/>
          <w:sz w:val="27"/>
          <w:rtl/>
        </w:rPr>
        <w:t>نقول</w:t>
      </w:r>
      <w:r w:rsidRPr="00282AC9">
        <w:rPr>
          <w:rFonts w:asciiTheme="minorBidi" w:hAnsiTheme="minorBidi"/>
          <w:sz w:val="27"/>
          <w:rtl/>
        </w:rPr>
        <w:t xml:space="preserve">: </w:t>
      </w:r>
      <w:r w:rsidR="007A43F0" w:rsidRPr="00282AC9">
        <w:rPr>
          <w:rFonts w:asciiTheme="minorBidi" w:hAnsiTheme="minorBidi" w:hint="cs"/>
          <w:sz w:val="27"/>
          <w:rtl/>
        </w:rPr>
        <w:t>إ</w:t>
      </w:r>
      <w:r w:rsidRPr="00282AC9">
        <w:rPr>
          <w:rFonts w:asciiTheme="minorBidi" w:hAnsiTheme="minorBidi" w:hint="cs"/>
          <w:sz w:val="27"/>
          <w:rtl/>
        </w:rPr>
        <w:t>ن هذه</w:t>
      </w:r>
      <w:r w:rsidRPr="00282AC9">
        <w:rPr>
          <w:rFonts w:asciiTheme="minorBidi" w:hAnsiTheme="minorBidi"/>
          <w:sz w:val="27"/>
          <w:rtl/>
        </w:rPr>
        <w:t xml:space="preserve"> </w:t>
      </w:r>
      <w:r w:rsidRPr="00282AC9">
        <w:rPr>
          <w:rFonts w:asciiTheme="minorBidi" w:hAnsiTheme="minorBidi" w:hint="cs"/>
          <w:sz w:val="27"/>
          <w:rtl/>
        </w:rPr>
        <w:t>الشعائر</w:t>
      </w:r>
      <w:r w:rsidRPr="00282AC9">
        <w:rPr>
          <w:rFonts w:asciiTheme="minorBidi" w:hAnsiTheme="minorBidi"/>
          <w:sz w:val="27"/>
          <w:rtl/>
        </w:rPr>
        <w:t xml:space="preserve"> </w:t>
      </w:r>
      <w:r w:rsidRPr="00282AC9">
        <w:rPr>
          <w:rFonts w:asciiTheme="minorBidi" w:hAnsiTheme="minorBidi" w:hint="cs"/>
          <w:sz w:val="27"/>
          <w:rtl/>
        </w:rPr>
        <w:t>لا</w:t>
      </w:r>
      <w:r w:rsidRPr="00282AC9">
        <w:rPr>
          <w:rFonts w:asciiTheme="minorBidi" w:hAnsiTheme="minorBidi"/>
          <w:sz w:val="27"/>
          <w:rtl/>
        </w:rPr>
        <w:t xml:space="preserve"> </w:t>
      </w:r>
      <w:r w:rsidRPr="00282AC9">
        <w:rPr>
          <w:rFonts w:asciiTheme="minorBidi" w:hAnsiTheme="minorBidi" w:hint="cs"/>
          <w:sz w:val="27"/>
          <w:rtl/>
        </w:rPr>
        <w:t>قيمة</w:t>
      </w:r>
      <w:r w:rsidRPr="00282AC9">
        <w:rPr>
          <w:rFonts w:asciiTheme="minorBidi" w:hAnsiTheme="minorBidi"/>
          <w:sz w:val="27"/>
          <w:rtl/>
        </w:rPr>
        <w:t xml:space="preserve"> </w:t>
      </w:r>
      <w:r w:rsidRPr="00282AC9">
        <w:rPr>
          <w:rFonts w:asciiTheme="minorBidi" w:hAnsiTheme="minorBidi" w:hint="cs"/>
          <w:sz w:val="27"/>
          <w:rtl/>
        </w:rPr>
        <w:t>لها</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دون</w:t>
      </w:r>
      <w:r w:rsidRPr="00282AC9">
        <w:rPr>
          <w:rFonts w:asciiTheme="minorBidi" w:hAnsiTheme="minorBidi"/>
          <w:sz w:val="27"/>
          <w:rtl/>
        </w:rPr>
        <w:t xml:space="preserve"> </w:t>
      </w:r>
      <w:r w:rsidRPr="00282AC9">
        <w:rPr>
          <w:rFonts w:asciiTheme="minorBidi" w:hAnsiTheme="minorBidi" w:hint="cs"/>
          <w:sz w:val="27"/>
          <w:rtl/>
        </w:rPr>
        <w:t>المعرفة</w:t>
      </w:r>
      <w:r w:rsidRPr="00282AC9">
        <w:rPr>
          <w:rFonts w:asciiTheme="minorBidi" w:hAnsiTheme="minorBidi"/>
          <w:sz w:val="27"/>
          <w:rtl/>
        </w:rPr>
        <w:t xml:space="preserve">. </w:t>
      </w:r>
      <w:r w:rsidRPr="00282AC9">
        <w:rPr>
          <w:rFonts w:asciiTheme="minorBidi" w:hAnsiTheme="minorBidi" w:hint="cs"/>
          <w:sz w:val="27"/>
          <w:rtl/>
        </w:rPr>
        <w:t>ولذا</w:t>
      </w:r>
      <w:r w:rsidRPr="00282AC9">
        <w:rPr>
          <w:rFonts w:asciiTheme="minorBidi" w:hAnsiTheme="minorBidi"/>
          <w:sz w:val="27"/>
          <w:rtl/>
        </w:rPr>
        <w:t xml:space="preserve"> </w:t>
      </w:r>
      <w:r w:rsidR="00D861BC" w:rsidRPr="00282AC9">
        <w:rPr>
          <w:rFonts w:asciiTheme="minorBidi" w:hAnsiTheme="minorBidi" w:hint="cs"/>
          <w:sz w:val="27"/>
          <w:rtl/>
        </w:rPr>
        <w:t>حين</w:t>
      </w:r>
      <w:r w:rsidR="00D861BC" w:rsidRPr="00282AC9">
        <w:rPr>
          <w:rFonts w:asciiTheme="minorBidi" w:hAnsiTheme="minorBidi"/>
          <w:sz w:val="27"/>
          <w:rtl/>
        </w:rPr>
        <w:t xml:space="preserve"> </w:t>
      </w:r>
      <w:r w:rsidR="00D861BC" w:rsidRPr="00282AC9">
        <w:rPr>
          <w:rFonts w:asciiTheme="minorBidi" w:hAnsiTheme="minorBidi" w:hint="cs"/>
          <w:sz w:val="27"/>
          <w:rtl/>
        </w:rPr>
        <w:t xml:space="preserve">تحدَّث </w:t>
      </w:r>
      <w:r w:rsidRPr="00282AC9">
        <w:rPr>
          <w:rFonts w:asciiTheme="minorBidi" w:hAnsiTheme="minorBidi" w:hint="cs"/>
          <w:sz w:val="27"/>
          <w:rtl/>
        </w:rPr>
        <w:t>أئم</w:t>
      </w:r>
      <w:r w:rsidR="00D861BC" w:rsidRPr="00282AC9">
        <w:rPr>
          <w:rFonts w:asciiTheme="minorBidi" w:hAnsiTheme="minorBidi" w:hint="cs"/>
          <w:sz w:val="27"/>
          <w:rtl/>
        </w:rPr>
        <w:t>ّ</w:t>
      </w:r>
      <w:r w:rsidRPr="00282AC9">
        <w:rPr>
          <w:rFonts w:asciiTheme="minorBidi" w:hAnsiTheme="minorBidi" w:hint="cs"/>
          <w:sz w:val="27"/>
          <w:rtl/>
        </w:rPr>
        <w:t>تنا</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أهم</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شعيرةٍ</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وهي</w:t>
      </w:r>
      <w:r w:rsidRPr="00282AC9">
        <w:rPr>
          <w:rFonts w:asciiTheme="minorBidi" w:hAnsiTheme="minorBidi"/>
          <w:sz w:val="27"/>
          <w:rtl/>
        </w:rPr>
        <w:t xml:space="preserve"> </w:t>
      </w:r>
      <w:r w:rsidRPr="00282AC9">
        <w:rPr>
          <w:rFonts w:asciiTheme="minorBidi" w:hAnsiTheme="minorBidi" w:hint="cs"/>
          <w:sz w:val="27"/>
          <w:rtl/>
        </w:rPr>
        <w:t>الزيارة،</w:t>
      </w:r>
      <w:r w:rsidRPr="00282AC9">
        <w:rPr>
          <w:rFonts w:asciiTheme="minorBidi" w:hAnsiTheme="minorBidi"/>
          <w:sz w:val="27"/>
          <w:rtl/>
        </w:rPr>
        <w:t xml:space="preserve"> </w:t>
      </w:r>
      <w:r w:rsidR="00D861BC" w:rsidRPr="00282AC9">
        <w:rPr>
          <w:rFonts w:asciiTheme="minorBidi" w:hAnsiTheme="minorBidi" w:hint="cs"/>
          <w:sz w:val="27"/>
          <w:rtl/>
        </w:rPr>
        <w:t>كما في صحي</w:t>
      </w:r>
      <w:r w:rsidRPr="00282AC9">
        <w:rPr>
          <w:rFonts w:asciiTheme="minorBidi" w:hAnsiTheme="minorBidi" w:hint="cs"/>
          <w:sz w:val="27"/>
          <w:rtl/>
        </w:rPr>
        <w:t>حة</w:t>
      </w:r>
      <w:r w:rsidRPr="00282AC9">
        <w:rPr>
          <w:rFonts w:asciiTheme="minorBidi" w:hAnsiTheme="minorBidi"/>
          <w:sz w:val="27"/>
          <w:vertAlign w:val="superscript"/>
          <w:rtl/>
        </w:rPr>
        <w:t>(</w:t>
      </w:r>
      <w:r w:rsidRPr="00282AC9">
        <w:rPr>
          <w:rStyle w:val="af9"/>
          <w:rFonts w:asciiTheme="minorBidi" w:hAnsiTheme="minorBidi"/>
          <w:sz w:val="27"/>
          <w:rtl/>
        </w:rPr>
        <w:endnoteReference w:id="763"/>
      </w:r>
      <w:r w:rsidRPr="00282AC9">
        <w:rPr>
          <w:rFonts w:asciiTheme="minorBidi" w:hAnsiTheme="minorBidi"/>
          <w:sz w:val="27"/>
          <w:vertAlign w:val="superscript"/>
          <w:rtl/>
        </w:rPr>
        <w:t>)</w:t>
      </w:r>
      <w:r w:rsidRPr="00282AC9">
        <w:rPr>
          <w:rFonts w:asciiTheme="minorBidi" w:hAnsiTheme="minorBidi" w:hint="cs"/>
          <w:sz w:val="27"/>
          <w:rtl/>
        </w:rPr>
        <w:t xml:space="preserve"> عتيبة</w:t>
      </w:r>
      <w:r w:rsidRPr="00282AC9">
        <w:rPr>
          <w:rFonts w:asciiTheme="minorBidi" w:hAnsiTheme="minorBidi"/>
          <w:sz w:val="27"/>
          <w:rtl/>
        </w:rPr>
        <w:t xml:space="preserve"> </w:t>
      </w:r>
      <w:r w:rsidRPr="00282AC9">
        <w:rPr>
          <w:rFonts w:asciiTheme="minorBidi" w:hAnsiTheme="minorBidi" w:hint="cs"/>
          <w:sz w:val="27"/>
          <w:rtl/>
        </w:rPr>
        <w:t>بي</w:t>
      </w:r>
      <w:r w:rsidR="00D861BC" w:rsidRPr="00282AC9">
        <w:rPr>
          <w:rFonts w:asciiTheme="minorBidi" w:hAnsiTheme="minorBidi" w:hint="cs"/>
          <w:sz w:val="27"/>
          <w:rtl/>
        </w:rPr>
        <w:t>ّ</w:t>
      </w:r>
      <w:r w:rsidRPr="00282AC9">
        <w:rPr>
          <w:rFonts w:asciiTheme="minorBidi" w:hAnsiTheme="minorBidi" w:hint="cs"/>
          <w:sz w:val="27"/>
          <w:rtl/>
        </w:rPr>
        <w:t>اع</w:t>
      </w:r>
      <w:r w:rsidRPr="00282AC9">
        <w:rPr>
          <w:rFonts w:asciiTheme="minorBidi" w:hAnsiTheme="minorBidi"/>
          <w:sz w:val="27"/>
          <w:rtl/>
        </w:rPr>
        <w:t xml:space="preserve"> </w:t>
      </w:r>
      <w:r w:rsidRPr="00282AC9">
        <w:rPr>
          <w:rFonts w:asciiTheme="minorBidi" w:hAnsiTheme="minorBidi" w:hint="cs"/>
          <w:sz w:val="27"/>
          <w:rtl/>
        </w:rPr>
        <w:t>القصب،</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أبي</w:t>
      </w:r>
      <w:r w:rsidRPr="00282AC9">
        <w:rPr>
          <w:rFonts w:asciiTheme="minorBidi" w:hAnsiTheme="minorBidi"/>
          <w:sz w:val="27"/>
          <w:rtl/>
        </w:rPr>
        <w:t xml:space="preserve"> </w:t>
      </w:r>
      <w:r w:rsidRPr="00282AC9">
        <w:rPr>
          <w:rFonts w:asciiTheme="minorBidi" w:hAnsiTheme="minorBidi" w:hint="cs"/>
          <w:sz w:val="27"/>
          <w:rtl/>
        </w:rPr>
        <w:t>عبد</w:t>
      </w:r>
      <w:r w:rsidRPr="00282AC9">
        <w:rPr>
          <w:rFonts w:asciiTheme="minorBidi" w:hAnsiTheme="minorBidi"/>
          <w:sz w:val="27"/>
          <w:rtl/>
        </w:rPr>
        <w:t xml:space="preserve"> </w:t>
      </w:r>
      <w:r w:rsidRPr="00282AC9">
        <w:rPr>
          <w:rFonts w:asciiTheme="minorBidi" w:hAnsiTheme="minorBidi" w:hint="cs"/>
          <w:sz w:val="27"/>
          <w:rtl/>
        </w:rPr>
        <w:t>الله</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قال</w:t>
      </w:r>
      <w:r w:rsidRPr="00282AC9">
        <w:rPr>
          <w:rFonts w:asciiTheme="minorBidi" w:hAnsiTheme="minorBidi"/>
          <w:sz w:val="27"/>
          <w:rtl/>
        </w:rPr>
        <w:t xml:space="preserve">: </w:t>
      </w:r>
      <w:r w:rsidRPr="00282AC9">
        <w:rPr>
          <w:rFonts w:hint="eastAsia"/>
          <w:sz w:val="24"/>
          <w:szCs w:val="24"/>
          <w:rtl/>
        </w:rPr>
        <w:t>«</w:t>
      </w:r>
      <w:r w:rsidRPr="00282AC9">
        <w:rPr>
          <w:rFonts w:asciiTheme="minorBidi" w:hAnsiTheme="minorBidi" w:hint="cs"/>
          <w:sz w:val="27"/>
          <w:rtl/>
        </w:rPr>
        <w:t>م</w:t>
      </w:r>
      <w:r w:rsidR="00D861BC" w:rsidRPr="00282AC9">
        <w:rPr>
          <w:rFonts w:asciiTheme="minorBidi" w:hAnsiTheme="minorBidi" w:hint="cs"/>
          <w:sz w:val="27"/>
          <w:rtl/>
        </w:rPr>
        <w:t>َ</w:t>
      </w:r>
      <w:r w:rsidRPr="00282AC9">
        <w:rPr>
          <w:rFonts w:asciiTheme="minorBidi" w:hAnsiTheme="minorBidi" w:hint="cs"/>
          <w:sz w:val="27"/>
          <w:rtl/>
        </w:rPr>
        <w:t>ن</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أتى</w:t>
      </w:r>
      <w:r w:rsidRPr="00282AC9">
        <w:rPr>
          <w:rFonts w:asciiTheme="minorBidi" w:hAnsiTheme="minorBidi"/>
          <w:sz w:val="27"/>
          <w:rtl/>
        </w:rPr>
        <w:t xml:space="preserve"> </w:t>
      </w:r>
      <w:r w:rsidRPr="00282AC9">
        <w:rPr>
          <w:rFonts w:asciiTheme="minorBidi" w:hAnsiTheme="minorBidi" w:hint="cs"/>
          <w:sz w:val="27"/>
          <w:rtl/>
        </w:rPr>
        <w:t>قبر</w:t>
      </w:r>
      <w:r w:rsidRPr="00282AC9">
        <w:rPr>
          <w:rFonts w:asciiTheme="minorBidi" w:hAnsiTheme="minorBidi"/>
          <w:sz w:val="27"/>
          <w:rtl/>
        </w:rPr>
        <w:t xml:space="preserve"> </w:t>
      </w:r>
      <w:r w:rsidRPr="00282AC9">
        <w:rPr>
          <w:rFonts w:asciiTheme="minorBidi" w:hAnsiTheme="minorBidi" w:hint="cs"/>
          <w:sz w:val="27"/>
          <w:rtl/>
        </w:rPr>
        <w:t>الحسين</w:t>
      </w:r>
      <w:r w:rsidR="009A2A04" w:rsidRPr="00282AC9">
        <w:rPr>
          <w:rFonts w:asciiTheme="minorBidi" w:hAnsiTheme="minorBidi" w:cs="Mosawi"/>
          <w:sz w:val="22"/>
          <w:szCs w:val="22"/>
          <w:rtl/>
        </w:rPr>
        <w:t>×</w:t>
      </w:r>
      <w:r w:rsidRPr="00282AC9">
        <w:rPr>
          <w:rFonts w:asciiTheme="minorBidi" w:hAnsiTheme="minorBidi"/>
          <w:sz w:val="27"/>
          <w:rtl/>
        </w:rPr>
        <w:t xml:space="preserve"> </w:t>
      </w:r>
      <w:r w:rsidRPr="00282AC9">
        <w:rPr>
          <w:rFonts w:asciiTheme="minorBidi" w:hAnsiTheme="minorBidi" w:hint="cs"/>
          <w:sz w:val="27"/>
          <w:rtl/>
        </w:rPr>
        <w:t>عارفا</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بحق</w:t>
      </w:r>
      <w:r w:rsidR="00D861BC" w:rsidRPr="00282AC9">
        <w:rPr>
          <w:rFonts w:asciiTheme="minorBidi" w:hAnsiTheme="minorBidi" w:hint="cs"/>
          <w:sz w:val="27"/>
          <w:rtl/>
        </w:rPr>
        <w:t>ِّ</w:t>
      </w:r>
      <w:r w:rsidRPr="00282AC9">
        <w:rPr>
          <w:rFonts w:asciiTheme="minorBidi" w:hAnsiTheme="minorBidi" w:hint="cs"/>
          <w:sz w:val="27"/>
          <w:rtl/>
        </w:rPr>
        <w:t>ه</w:t>
      </w:r>
      <w:r w:rsidRPr="00282AC9">
        <w:rPr>
          <w:rFonts w:asciiTheme="minorBidi" w:hAnsiTheme="minorBidi"/>
          <w:sz w:val="27"/>
          <w:rtl/>
        </w:rPr>
        <w:t xml:space="preserve"> </w:t>
      </w:r>
      <w:r w:rsidRPr="00282AC9">
        <w:rPr>
          <w:rFonts w:asciiTheme="minorBidi" w:hAnsiTheme="minorBidi" w:hint="cs"/>
          <w:sz w:val="27"/>
          <w:rtl/>
        </w:rPr>
        <w:t>كتبه الله</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أعلى</w:t>
      </w:r>
      <w:r w:rsidRPr="00282AC9">
        <w:rPr>
          <w:rFonts w:asciiTheme="minorBidi" w:hAnsiTheme="minorBidi"/>
          <w:sz w:val="27"/>
          <w:rtl/>
        </w:rPr>
        <w:t xml:space="preserve"> </w:t>
      </w:r>
      <w:r w:rsidRPr="00282AC9">
        <w:rPr>
          <w:rFonts w:asciiTheme="minorBidi" w:hAnsiTheme="minorBidi" w:hint="cs"/>
          <w:sz w:val="27"/>
          <w:rtl/>
        </w:rPr>
        <w:t>علي</w:t>
      </w:r>
      <w:r w:rsidR="00D861BC" w:rsidRPr="00282AC9">
        <w:rPr>
          <w:rFonts w:asciiTheme="minorBidi" w:hAnsiTheme="minorBidi" w:hint="cs"/>
          <w:sz w:val="27"/>
          <w:rtl/>
        </w:rPr>
        <w:t>ّ</w:t>
      </w:r>
      <w:r w:rsidRPr="00282AC9">
        <w:rPr>
          <w:rFonts w:asciiTheme="minorBidi" w:hAnsiTheme="minorBidi" w:hint="cs"/>
          <w:sz w:val="27"/>
          <w:rtl/>
        </w:rPr>
        <w:t>ين</w:t>
      </w:r>
      <w:r w:rsidRPr="00282AC9">
        <w:rPr>
          <w:rFonts w:hint="eastAsia"/>
          <w:sz w:val="24"/>
          <w:szCs w:val="24"/>
          <w:rtl/>
        </w:rPr>
        <w:t>»</w:t>
      </w:r>
      <w:r w:rsidRPr="00282AC9">
        <w:rPr>
          <w:rFonts w:asciiTheme="minorBidi" w:hAnsiTheme="minorBidi"/>
          <w:sz w:val="27"/>
          <w:vertAlign w:val="superscript"/>
          <w:rtl/>
        </w:rPr>
        <w:t>(</w:t>
      </w:r>
      <w:r w:rsidRPr="00282AC9">
        <w:rPr>
          <w:rStyle w:val="af9"/>
          <w:rFonts w:asciiTheme="minorBidi" w:hAnsiTheme="minorBidi"/>
          <w:sz w:val="27"/>
          <w:rtl/>
        </w:rPr>
        <w:endnoteReference w:id="764"/>
      </w:r>
      <w:r w:rsidRPr="00282AC9">
        <w:rPr>
          <w:rFonts w:asciiTheme="minorBidi" w:hAnsiTheme="minorBidi"/>
          <w:sz w:val="27"/>
          <w:vertAlign w:val="superscript"/>
          <w:rtl/>
        </w:rPr>
        <w:t>)</w:t>
      </w:r>
      <w:r w:rsidR="00D861BC" w:rsidRPr="00282AC9">
        <w:rPr>
          <w:rFonts w:asciiTheme="minorBidi" w:hAnsiTheme="minorBidi" w:hint="cs"/>
          <w:sz w:val="27"/>
          <w:rtl/>
        </w:rPr>
        <w:t>.</w:t>
      </w:r>
      <w:r w:rsidRPr="00282AC9">
        <w:rPr>
          <w:rFonts w:asciiTheme="minorBidi" w:hAnsiTheme="minorBidi" w:hint="cs"/>
          <w:sz w:val="27"/>
          <w:rtl/>
        </w:rPr>
        <w:t xml:space="preserve"> فعلى الناس </w:t>
      </w:r>
      <w:r w:rsidR="00D861BC" w:rsidRPr="00282AC9">
        <w:rPr>
          <w:rFonts w:asciiTheme="minorBidi" w:hAnsiTheme="minorBidi" w:hint="cs"/>
          <w:sz w:val="27"/>
          <w:rtl/>
        </w:rPr>
        <w:t>أ</w:t>
      </w:r>
      <w:r w:rsidRPr="00282AC9">
        <w:rPr>
          <w:rFonts w:asciiTheme="minorBidi" w:hAnsiTheme="minorBidi" w:hint="cs"/>
          <w:sz w:val="27"/>
          <w:rtl/>
        </w:rPr>
        <w:t>ن يقيموا</w:t>
      </w:r>
      <w:r w:rsidRPr="00282AC9">
        <w:rPr>
          <w:rFonts w:asciiTheme="minorBidi" w:hAnsiTheme="minorBidi"/>
          <w:sz w:val="27"/>
          <w:rtl/>
        </w:rPr>
        <w:t xml:space="preserve"> </w:t>
      </w:r>
      <w:r w:rsidRPr="00282AC9">
        <w:rPr>
          <w:rFonts w:asciiTheme="minorBidi" w:hAnsiTheme="minorBidi" w:hint="cs"/>
          <w:sz w:val="27"/>
          <w:rtl/>
        </w:rPr>
        <w:t>الشعائر،</w:t>
      </w:r>
      <w:r w:rsidRPr="00282AC9">
        <w:rPr>
          <w:rFonts w:asciiTheme="minorBidi" w:hAnsiTheme="minorBidi"/>
          <w:sz w:val="27"/>
          <w:rtl/>
        </w:rPr>
        <w:t xml:space="preserve"> </w:t>
      </w:r>
      <w:r w:rsidRPr="00282AC9">
        <w:rPr>
          <w:rFonts w:asciiTheme="minorBidi" w:hAnsiTheme="minorBidi" w:hint="cs"/>
          <w:sz w:val="27"/>
          <w:rtl/>
        </w:rPr>
        <w:t>ولكن</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بوعي</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ومعرفة</w:t>
      </w:r>
      <w:r w:rsidR="00D861BC" w:rsidRPr="00282AC9">
        <w:rPr>
          <w:rFonts w:asciiTheme="minorBidi" w:hAnsiTheme="minorBidi" w:hint="cs"/>
          <w:sz w:val="27"/>
          <w:rtl/>
        </w:rPr>
        <w:t>ٍ.</w:t>
      </w:r>
      <w:r w:rsidRPr="00282AC9">
        <w:rPr>
          <w:rFonts w:asciiTheme="minorBidi" w:hAnsiTheme="minorBidi" w:hint="cs"/>
          <w:sz w:val="27"/>
          <w:rtl/>
        </w:rPr>
        <w:t xml:space="preserve"> فهؤلاء</w:t>
      </w:r>
      <w:r w:rsidRPr="00282AC9">
        <w:rPr>
          <w:rFonts w:asciiTheme="minorBidi" w:hAnsiTheme="minorBidi"/>
          <w:sz w:val="27"/>
          <w:rtl/>
        </w:rPr>
        <w:t xml:space="preserve"> </w:t>
      </w:r>
      <w:r w:rsidRPr="00282AC9">
        <w:rPr>
          <w:rFonts w:asciiTheme="minorBidi" w:hAnsiTheme="minorBidi" w:hint="cs"/>
          <w:sz w:val="27"/>
          <w:rtl/>
        </w:rPr>
        <w:t>الذين</w:t>
      </w:r>
      <w:r w:rsidRPr="00282AC9">
        <w:rPr>
          <w:rFonts w:asciiTheme="minorBidi" w:hAnsiTheme="minorBidi"/>
          <w:sz w:val="27"/>
          <w:rtl/>
        </w:rPr>
        <w:t xml:space="preserve"> </w:t>
      </w:r>
      <w:r w:rsidRPr="00282AC9">
        <w:rPr>
          <w:rFonts w:asciiTheme="minorBidi" w:hAnsiTheme="minorBidi" w:hint="cs"/>
          <w:sz w:val="27"/>
          <w:rtl/>
        </w:rPr>
        <w:t>يقولون</w:t>
      </w:r>
      <w:r w:rsidR="00D861BC" w:rsidRPr="00282AC9">
        <w:rPr>
          <w:rFonts w:asciiTheme="minorBidi" w:hAnsiTheme="minorBidi" w:hint="cs"/>
          <w:sz w:val="27"/>
          <w:rtl/>
        </w:rPr>
        <w:t>:</w:t>
      </w:r>
      <w:r w:rsidRPr="00282AC9">
        <w:rPr>
          <w:rFonts w:asciiTheme="minorBidi" w:hAnsiTheme="minorBidi"/>
          <w:sz w:val="27"/>
          <w:rtl/>
        </w:rPr>
        <w:t xml:space="preserve"> </w:t>
      </w:r>
      <w:r w:rsidR="00D861BC" w:rsidRPr="00282AC9">
        <w:rPr>
          <w:rFonts w:asciiTheme="minorBidi" w:hAnsiTheme="minorBidi" w:hint="cs"/>
          <w:sz w:val="27"/>
          <w:rtl/>
        </w:rPr>
        <w:t>إ</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الحسين</w:t>
      </w:r>
      <w:r w:rsidRPr="00282AC9">
        <w:rPr>
          <w:rFonts w:asciiTheme="minorBidi" w:hAnsiTheme="minorBidi"/>
          <w:sz w:val="27"/>
          <w:rtl/>
        </w:rPr>
        <w:t xml:space="preserve"> </w:t>
      </w:r>
      <w:r w:rsidRPr="00282AC9">
        <w:rPr>
          <w:rFonts w:asciiTheme="minorBidi" w:hAnsiTheme="minorBidi" w:hint="cs"/>
          <w:sz w:val="27"/>
          <w:rtl/>
        </w:rPr>
        <w:t>انتصر،</w:t>
      </w:r>
      <w:r w:rsidRPr="00282AC9">
        <w:rPr>
          <w:rFonts w:asciiTheme="minorBidi" w:hAnsiTheme="minorBidi"/>
          <w:sz w:val="27"/>
          <w:rtl/>
        </w:rPr>
        <w:t xml:space="preserve"> </w:t>
      </w:r>
      <w:r w:rsidRPr="00282AC9">
        <w:rPr>
          <w:rFonts w:asciiTheme="minorBidi" w:hAnsiTheme="minorBidi" w:hint="cs"/>
          <w:sz w:val="27"/>
          <w:rtl/>
        </w:rPr>
        <w:t>و</w:t>
      </w:r>
      <w:r w:rsidR="00D861BC" w:rsidRPr="00282AC9">
        <w:rPr>
          <w:rFonts w:asciiTheme="minorBidi" w:hAnsiTheme="minorBidi" w:hint="cs"/>
          <w:sz w:val="27"/>
          <w:rtl/>
        </w:rPr>
        <w:t>إ</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الحسين</w:t>
      </w:r>
      <w:r w:rsidRPr="00282AC9">
        <w:rPr>
          <w:rFonts w:asciiTheme="minorBidi" w:hAnsiTheme="minorBidi"/>
          <w:sz w:val="27"/>
          <w:rtl/>
        </w:rPr>
        <w:t xml:space="preserve"> </w:t>
      </w:r>
      <w:r w:rsidRPr="00282AC9">
        <w:rPr>
          <w:rFonts w:asciiTheme="minorBidi" w:hAnsiTheme="minorBidi" w:hint="cs"/>
          <w:sz w:val="27"/>
          <w:rtl/>
        </w:rPr>
        <w:t>حق</w:t>
      </w:r>
      <w:r w:rsidR="00D861BC" w:rsidRPr="00282AC9">
        <w:rPr>
          <w:rFonts w:asciiTheme="minorBidi" w:hAnsiTheme="minorBidi" w:hint="cs"/>
          <w:sz w:val="27"/>
          <w:rtl/>
        </w:rPr>
        <w:t>َّ</w:t>
      </w:r>
      <w:r w:rsidRPr="00282AC9">
        <w:rPr>
          <w:rFonts w:asciiTheme="minorBidi" w:hAnsiTheme="minorBidi" w:hint="cs"/>
          <w:sz w:val="27"/>
          <w:rtl/>
        </w:rPr>
        <w:t>ق</w:t>
      </w:r>
      <w:r w:rsidRPr="00282AC9">
        <w:rPr>
          <w:rFonts w:asciiTheme="minorBidi" w:hAnsiTheme="minorBidi"/>
          <w:sz w:val="27"/>
          <w:rtl/>
        </w:rPr>
        <w:t xml:space="preserve"> </w:t>
      </w:r>
      <w:r w:rsidRPr="00282AC9">
        <w:rPr>
          <w:rFonts w:asciiTheme="minorBidi" w:hAnsiTheme="minorBidi" w:hint="cs"/>
          <w:sz w:val="27"/>
          <w:rtl/>
        </w:rPr>
        <w:t>أهدافه</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w:t>
      </w:r>
      <w:r w:rsidR="00D861BC" w:rsidRPr="00282AC9">
        <w:rPr>
          <w:rFonts w:asciiTheme="minorBidi" w:hAnsiTheme="minorBidi" w:hint="cs"/>
          <w:sz w:val="27"/>
          <w:rtl/>
        </w:rPr>
        <w:t>إ</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الأمة</w:t>
      </w:r>
      <w:r w:rsidRPr="00282AC9">
        <w:rPr>
          <w:rFonts w:asciiTheme="minorBidi" w:hAnsiTheme="minorBidi"/>
          <w:sz w:val="27"/>
          <w:rtl/>
        </w:rPr>
        <w:t xml:space="preserve"> </w:t>
      </w:r>
      <w:r w:rsidRPr="00282AC9">
        <w:rPr>
          <w:rFonts w:asciiTheme="minorBidi" w:hAnsiTheme="minorBidi" w:hint="cs"/>
          <w:sz w:val="27"/>
          <w:rtl/>
        </w:rPr>
        <w:t>قد</w:t>
      </w:r>
      <w:r w:rsidRPr="00282AC9">
        <w:rPr>
          <w:rFonts w:asciiTheme="minorBidi" w:hAnsiTheme="minorBidi"/>
          <w:sz w:val="27"/>
          <w:rtl/>
        </w:rPr>
        <w:t xml:space="preserve"> </w:t>
      </w:r>
      <w:r w:rsidRPr="00282AC9">
        <w:rPr>
          <w:rFonts w:asciiTheme="minorBidi" w:hAnsiTheme="minorBidi" w:hint="cs"/>
          <w:sz w:val="27"/>
          <w:rtl/>
        </w:rPr>
        <w:t>أصلحت</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يفر</w:t>
      </w:r>
      <w:r w:rsidR="00D861BC" w:rsidRPr="00282AC9">
        <w:rPr>
          <w:rFonts w:asciiTheme="minorBidi" w:hAnsiTheme="minorBidi" w:hint="cs"/>
          <w:sz w:val="27"/>
          <w:rtl/>
        </w:rPr>
        <w:t>ِّ</w:t>
      </w:r>
      <w:r w:rsidRPr="00282AC9">
        <w:rPr>
          <w:rFonts w:asciiTheme="minorBidi" w:hAnsiTheme="minorBidi" w:hint="cs"/>
          <w:sz w:val="27"/>
          <w:rtl/>
        </w:rPr>
        <w:t>غون مشروع ال</w:t>
      </w:r>
      <w:r w:rsidR="00D861BC"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hint="cs"/>
          <w:sz w:val="27"/>
          <w:rtl/>
        </w:rPr>
        <w:t xml:space="preserve"> من مضمونه.</w:t>
      </w:r>
    </w:p>
    <w:p w:rsidR="00965E08" w:rsidRPr="00282AC9" w:rsidRDefault="00965E08" w:rsidP="003062B7">
      <w:pPr>
        <w:rPr>
          <w:rFonts w:asciiTheme="minorBidi" w:hAnsiTheme="minorBidi"/>
          <w:sz w:val="27"/>
          <w:rtl/>
        </w:rPr>
      </w:pPr>
      <w:r w:rsidRPr="00282AC9">
        <w:rPr>
          <w:rFonts w:asciiTheme="minorBidi" w:hAnsiTheme="minorBidi" w:hint="cs"/>
          <w:sz w:val="27"/>
          <w:rtl/>
        </w:rPr>
        <w:t>ونحن في هذا المقال سنناقش هذه</w:t>
      </w:r>
      <w:r w:rsidRPr="00282AC9">
        <w:rPr>
          <w:rFonts w:asciiTheme="minorBidi" w:hAnsiTheme="minorBidi"/>
          <w:sz w:val="27"/>
          <w:rtl/>
        </w:rPr>
        <w:t xml:space="preserve"> </w:t>
      </w:r>
      <w:r w:rsidRPr="00282AC9">
        <w:rPr>
          <w:rFonts w:asciiTheme="minorBidi" w:hAnsiTheme="minorBidi" w:hint="cs"/>
          <w:sz w:val="27"/>
          <w:rtl/>
        </w:rPr>
        <w:t>الفكرة</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من خلال</w:t>
      </w:r>
      <w:r w:rsidRPr="00282AC9">
        <w:rPr>
          <w:rFonts w:asciiTheme="minorBidi" w:hAnsiTheme="minorBidi"/>
          <w:sz w:val="27"/>
          <w:rtl/>
        </w:rPr>
        <w:t xml:space="preserve"> </w:t>
      </w:r>
      <w:r w:rsidRPr="00282AC9">
        <w:rPr>
          <w:rFonts w:asciiTheme="minorBidi" w:hAnsiTheme="minorBidi" w:hint="cs"/>
          <w:sz w:val="27"/>
          <w:rtl/>
        </w:rPr>
        <w:t>اللغة</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أصلها،</w:t>
      </w:r>
      <w:r w:rsidRPr="00282AC9">
        <w:rPr>
          <w:rFonts w:asciiTheme="minorBidi" w:hAnsiTheme="minorBidi"/>
          <w:sz w:val="27"/>
          <w:rtl/>
        </w:rPr>
        <w:t xml:space="preserve"> و</w:t>
      </w:r>
      <w:r w:rsidRPr="00282AC9">
        <w:rPr>
          <w:rFonts w:asciiTheme="minorBidi" w:hAnsiTheme="minorBidi" w:hint="cs"/>
          <w:sz w:val="27"/>
          <w:rtl/>
        </w:rPr>
        <w:t>الاستعمال</w:t>
      </w:r>
      <w:r w:rsidRPr="00282AC9">
        <w:rPr>
          <w:rFonts w:asciiTheme="minorBidi" w:hAnsiTheme="minorBidi"/>
          <w:sz w:val="27"/>
          <w:rtl/>
        </w:rPr>
        <w:t xml:space="preserve"> </w:t>
      </w:r>
      <w:r w:rsidRPr="00282AC9">
        <w:rPr>
          <w:rFonts w:asciiTheme="minorBidi" w:hAnsiTheme="minorBidi" w:hint="cs"/>
          <w:sz w:val="27"/>
          <w:rtl/>
        </w:rPr>
        <w:t>القرآني</w:t>
      </w:r>
      <w:r w:rsidR="00D861BC" w:rsidRPr="00282AC9">
        <w:rPr>
          <w:rFonts w:asciiTheme="minorBidi" w:hAnsiTheme="minorBidi" w:hint="cs"/>
          <w:sz w:val="27"/>
          <w:rtl/>
        </w:rPr>
        <w:t>ّ</w:t>
      </w:r>
      <w:r w:rsidRPr="00282AC9">
        <w:rPr>
          <w:rFonts w:asciiTheme="minorBidi" w:hAnsiTheme="minorBidi" w:hint="cs"/>
          <w:sz w:val="27"/>
          <w:rtl/>
        </w:rPr>
        <w:t>،</w:t>
      </w:r>
      <w:r w:rsidRPr="00282AC9">
        <w:rPr>
          <w:rFonts w:asciiTheme="minorBidi" w:hAnsiTheme="minorBidi"/>
          <w:sz w:val="27"/>
          <w:rtl/>
        </w:rPr>
        <w:t xml:space="preserve"> و</w:t>
      </w:r>
      <w:r w:rsidRPr="00282AC9">
        <w:rPr>
          <w:rFonts w:asciiTheme="minorBidi" w:hAnsiTheme="minorBidi" w:hint="cs"/>
          <w:sz w:val="27"/>
          <w:rtl/>
        </w:rPr>
        <w:t>حديث</w:t>
      </w:r>
      <w:r w:rsidRPr="00282AC9">
        <w:rPr>
          <w:rFonts w:asciiTheme="minorBidi" w:hAnsiTheme="minorBidi"/>
          <w:sz w:val="27"/>
          <w:rtl/>
        </w:rPr>
        <w:t xml:space="preserve"> </w:t>
      </w:r>
      <w:r w:rsidRPr="00282AC9">
        <w:rPr>
          <w:rFonts w:asciiTheme="minorBidi" w:hAnsiTheme="minorBidi" w:hint="cs"/>
          <w:sz w:val="27"/>
          <w:rtl/>
        </w:rPr>
        <w:t>أهل</w:t>
      </w:r>
      <w:r w:rsidRPr="00282AC9">
        <w:rPr>
          <w:rFonts w:asciiTheme="minorBidi" w:hAnsiTheme="minorBidi"/>
          <w:sz w:val="27"/>
          <w:rtl/>
        </w:rPr>
        <w:t xml:space="preserve"> </w:t>
      </w:r>
      <w:r w:rsidRPr="00282AC9">
        <w:rPr>
          <w:rFonts w:asciiTheme="minorBidi" w:hAnsiTheme="minorBidi" w:hint="cs"/>
          <w:sz w:val="27"/>
          <w:rtl/>
        </w:rPr>
        <w:t>البيت</w:t>
      </w:r>
      <w:r w:rsidR="00876ECA" w:rsidRPr="00282AC9">
        <w:rPr>
          <w:rFonts w:cs="Mosawi" w:hint="cs"/>
          <w:sz w:val="22"/>
          <w:szCs w:val="22"/>
          <w:rtl/>
        </w:rPr>
        <w:t>^</w:t>
      </w:r>
      <w:r w:rsidRPr="00282AC9">
        <w:rPr>
          <w:rFonts w:asciiTheme="minorBidi" w:hAnsiTheme="minorBidi" w:hint="cs"/>
          <w:sz w:val="27"/>
          <w:rtl/>
        </w:rPr>
        <w:t>،</w:t>
      </w:r>
      <w:r w:rsidRPr="00282AC9">
        <w:rPr>
          <w:rFonts w:asciiTheme="minorBidi" w:hAnsiTheme="minorBidi"/>
          <w:sz w:val="27"/>
          <w:rtl/>
        </w:rPr>
        <w:t xml:space="preserve"> و</w:t>
      </w:r>
      <w:r w:rsidRPr="00282AC9">
        <w:rPr>
          <w:rFonts w:asciiTheme="minorBidi" w:hAnsiTheme="minorBidi" w:hint="cs"/>
          <w:sz w:val="27"/>
          <w:rtl/>
        </w:rPr>
        <w:t>بح</w:t>
      </w:r>
      <w:r w:rsidR="00D861BC" w:rsidRPr="00282AC9">
        <w:rPr>
          <w:rFonts w:asciiTheme="minorBidi" w:hAnsiTheme="minorBidi" w:hint="cs"/>
          <w:sz w:val="27"/>
          <w:rtl/>
        </w:rPr>
        <w:t>َ</w:t>
      </w:r>
      <w:r w:rsidRPr="00282AC9">
        <w:rPr>
          <w:rFonts w:asciiTheme="minorBidi" w:hAnsiTheme="minorBidi" w:hint="cs"/>
          <w:sz w:val="27"/>
          <w:rtl/>
        </w:rPr>
        <w:t>س</w:t>
      </w:r>
      <w:r w:rsidR="00D861BC" w:rsidRPr="00282AC9">
        <w:rPr>
          <w:rFonts w:asciiTheme="minorBidi" w:hAnsiTheme="minorBidi" w:hint="cs"/>
          <w:sz w:val="27"/>
          <w:rtl/>
        </w:rPr>
        <w:t>َ</w:t>
      </w:r>
      <w:r w:rsidRPr="00282AC9">
        <w:rPr>
          <w:rFonts w:asciiTheme="minorBidi" w:hAnsiTheme="minorBidi" w:hint="cs"/>
          <w:sz w:val="27"/>
          <w:rtl/>
        </w:rPr>
        <w:t>ب</w:t>
      </w:r>
      <w:r w:rsidRPr="00282AC9">
        <w:rPr>
          <w:rFonts w:asciiTheme="minorBidi" w:hAnsiTheme="minorBidi"/>
          <w:sz w:val="27"/>
          <w:rtl/>
        </w:rPr>
        <w:t xml:space="preserve"> </w:t>
      </w:r>
      <w:r w:rsidRPr="00282AC9">
        <w:rPr>
          <w:rFonts w:asciiTheme="minorBidi" w:hAnsiTheme="minorBidi" w:hint="cs"/>
          <w:sz w:val="27"/>
          <w:rtl/>
        </w:rPr>
        <w:t>الواقع</w:t>
      </w:r>
      <w:r w:rsidRPr="00282AC9">
        <w:rPr>
          <w:rFonts w:asciiTheme="minorBidi" w:hAnsiTheme="minorBidi"/>
          <w:sz w:val="27"/>
          <w:rtl/>
        </w:rPr>
        <w:t xml:space="preserve"> </w:t>
      </w:r>
      <w:r w:rsidRPr="00282AC9">
        <w:rPr>
          <w:rFonts w:asciiTheme="minorBidi" w:hAnsiTheme="minorBidi" w:hint="cs"/>
          <w:sz w:val="27"/>
          <w:rtl/>
        </w:rPr>
        <w:t>التأريخي، من خلال</w:t>
      </w:r>
      <w:r w:rsidRPr="00282AC9">
        <w:rPr>
          <w:rFonts w:asciiTheme="minorBidi" w:hAnsiTheme="minorBidi"/>
          <w:sz w:val="27"/>
          <w:rtl/>
        </w:rPr>
        <w:t xml:space="preserve"> </w:t>
      </w:r>
      <w:r w:rsidRPr="00282AC9">
        <w:rPr>
          <w:rFonts w:asciiTheme="minorBidi" w:hAnsiTheme="minorBidi" w:hint="cs"/>
          <w:sz w:val="27"/>
          <w:rtl/>
        </w:rPr>
        <w:t>بعض</w:t>
      </w:r>
      <w:r w:rsidRPr="00282AC9">
        <w:rPr>
          <w:rFonts w:asciiTheme="minorBidi" w:hAnsiTheme="minorBidi"/>
          <w:sz w:val="27"/>
          <w:rtl/>
        </w:rPr>
        <w:t xml:space="preserve"> </w:t>
      </w:r>
      <w:r w:rsidRPr="00282AC9">
        <w:rPr>
          <w:rFonts w:asciiTheme="minorBidi" w:hAnsiTheme="minorBidi" w:hint="cs"/>
          <w:sz w:val="27"/>
          <w:rtl/>
        </w:rPr>
        <w:t>الأمثلة</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وبعض</w:t>
      </w:r>
      <w:r w:rsidRPr="00282AC9">
        <w:rPr>
          <w:rFonts w:asciiTheme="minorBidi" w:hAnsiTheme="minorBidi"/>
          <w:sz w:val="27"/>
          <w:rtl/>
        </w:rPr>
        <w:t xml:space="preserve"> </w:t>
      </w:r>
      <w:r w:rsidRPr="00282AC9">
        <w:rPr>
          <w:rFonts w:asciiTheme="minorBidi" w:hAnsiTheme="minorBidi" w:hint="cs"/>
          <w:sz w:val="27"/>
          <w:rtl/>
        </w:rPr>
        <w:t>النصوص</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التي</w:t>
      </w:r>
      <w:r w:rsidRPr="00282AC9">
        <w:rPr>
          <w:rFonts w:asciiTheme="minorBidi" w:hAnsiTheme="minorBidi"/>
          <w:sz w:val="27"/>
          <w:rtl/>
        </w:rPr>
        <w:t xml:space="preserve"> </w:t>
      </w:r>
      <w:r w:rsidRPr="00282AC9">
        <w:rPr>
          <w:rFonts w:asciiTheme="minorBidi" w:hAnsiTheme="minorBidi" w:hint="cs"/>
          <w:sz w:val="27"/>
          <w:rtl/>
        </w:rPr>
        <w:t>ترك</w:t>
      </w:r>
      <w:r w:rsidR="00D861BC" w:rsidRPr="00282AC9">
        <w:rPr>
          <w:rFonts w:asciiTheme="minorBidi" w:hAnsiTheme="minorBidi" w:hint="cs"/>
          <w:sz w:val="27"/>
          <w:rtl/>
        </w:rPr>
        <w:t>ِّ</w:t>
      </w:r>
      <w:r w:rsidRPr="00282AC9">
        <w:rPr>
          <w:rFonts w:asciiTheme="minorBidi" w:hAnsiTheme="minorBidi" w:hint="cs"/>
          <w:sz w:val="27"/>
          <w:rtl/>
        </w:rPr>
        <w:t>ز</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الموضوع</w:t>
      </w:r>
      <w:r w:rsidRPr="00282AC9">
        <w:rPr>
          <w:rFonts w:asciiTheme="minorBidi" w:hAnsiTheme="minorBidi"/>
          <w:sz w:val="27"/>
          <w:rtl/>
        </w:rPr>
        <w:t xml:space="preserve"> </w:t>
      </w:r>
      <w:r w:rsidRPr="00282AC9">
        <w:rPr>
          <w:rFonts w:asciiTheme="minorBidi" w:hAnsiTheme="minorBidi" w:hint="cs"/>
          <w:sz w:val="27"/>
          <w:rtl/>
        </w:rPr>
        <w:t>وتوض</w:t>
      </w:r>
      <w:r w:rsidR="00D861BC" w:rsidRPr="00282AC9">
        <w:rPr>
          <w:rFonts w:asciiTheme="minorBidi" w:hAnsiTheme="minorBidi" w:hint="cs"/>
          <w:sz w:val="27"/>
          <w:rtl/>
        </w:rPr>
        <w:t>ِّ</w:t>
      </w:r>
      <w:r w:rsidRPr="00282AC9">
        <w:rPr>
          <w:rFonts w:asciiTheme="minorBidi" w:hAnsiTheme="minorBidi" w:hint="cs"/>
          <w:sz w:val="27"/>
          <w:rtl/>
        </w:rPr>
        <w:t>حه</w:t>
      </w:r>
      <w:r w:rsidRPr="00282AC9">
        <w:rPr>
          <w:rFonts w:asciiTheme="minorBidi" w:hAnsiTheme="minorBidi"/>
          <w:sz w:val="27"/>
          <w:rtl/>
        </w:rPr>
        <w:t>.</w:t>
      </w:r>
    </w:p>
    <w:p w:rsidR="00556C32" w:rsidRPr="00282AC9" w:rsidRDefault="00556C32" w:rsidP="00556C32">
      <w:pPr>
        <w:spacing w:line="420" w:lineRule="exact"/>
        <w:rPr>
          <w:sz w:val="27"/>
          <w:rtl/>
        </w:rPr>
      </w:pPr>
    </w:p>
    <w:p w:rsidR="00965E08" w:rsidRPr="00282AC9" w:rsidRDefault="00965E08" w:rsidP="001B0857">
      <w:pPr>
        <w:pStyle w:val="31"/>
        <w:rPr>
          <w:color w:val="auto"/>
        </w:rPr>
      </w:pPr>
      <w:r w:rsidRPr="00282AC9">
        <w:rPr>
          <w:rFonts w:hint="cs"/>
          <w:color w:val="auto"/>
          <w:rtl/>
        </w:rPr>
        <w:t>أو</w:t>
      </w:r>
      <w:r w:rsidR="001B0857" w:rsidRPr="00282AC9">
        <w:rPr>
          <w:rFonts w:hint="cs"/>
          <w:color w:val="auto"/>
          <w:rtl/>
        </w:rPr>
        <w:t>ّ</w:t>
      </w:r>
      <w:r w:rsidRPr="00282AC9">
        <w:rPr>
          <w:rFonts w:hint="cs"/>
          <w:color w:val="auto"/>
          <w:rtl/>
        </w:rPr>
        <w:t xml:space="preserve">لاً: </w:t>
      </w:r>
      <w:r w:rsidR="001B0857" w:rsidRPr="00282AC9">
        <w:rPr>
          <w:rFonts w:hint="cs"/>
          <w:color w:val="auto"/>
          <w:rtl/>
        </w:rPr>
        <w:t>في ال</w:t>
      </w:r>
      <w:r w:rsidRPr="00282AC9">
        <w:rPr>
          <w:rFonts w:hint="cs"/>
          <w:color w:val="auto"/>
          <w:rtl/>
        </w:rPr>
        <w:t>نص</w:t>
      </w:r>
      <w:r w:rsidR="001B0857" w:rsidRPr="00282AC9">
        <w:rPr>
          <w:rFonts w:hint="cs"/>
          <w:color w:val="auto"/>
          <w:rtl/>
        </w:rPr>
        <w:t>ّ القرآني</w:t>
      </w:r>
    </w:p>
    <w:p w:rsidR="00965E08" w:rsidRPr="00282AC9" w:rsidRDefault="00965E08" w:rsidP="003062B7">
      <w:pPr>
        <w:pStyle w:val="afe"/>
        <w:spacing w:after="0" w:line="400" w:lineRule="exact"/>
        <w:ind w:left="0" w:firstLine="567"/>
        <w:jc w:val="both"/>
        <w:rPr>
          <w:rFonts w:asciiTheme="minorBidi" w:hAnsiTheme="minorBidi" w:cs="AL-Mohanad"/>
          <w:sz w:val="27"/>
          <w:szCs w:val="27"/>
          <w:rtl/>
        </w:rPr>
      </w:pPr>
      <w:r w:rsidRPr="00282AC9">
        <w:rPr>
          <w:rFonts w:asciiTheme="minorBidi" w:hAnsiTheme="minorBidi" w:cs="AL-Mohanad" w:hint="cs"/>
          <w:sz w:val="27"/>
          <w:szCs w:val="27"/>
          <w:rtl/>
        </w:rPr>
        <w:t>1ـ في صحيحة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جميل</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أبي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عبد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009A2A04" w:rsidRPr="00282AC9">
        <w:rPr>
          <w:rFonts w:asciiTheme="minorBidi" w:hAnsiTheme="minorBidi" w:cs="Mosawi"/>
          <w:rtl/>
        </w:rPr>
        <w:t>×</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قال</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قلت</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قول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تبارك وتعالى:</w:t>
      </w:r>
      <w:r w:rsidRPr="00282AC9">
        <w:rPr>
          <w:rFonts w:asciiTheme="minorBidi" w:hAnsiTheme="minorBidi" w:cs="AL-Mohanad"/>
          <w:sz w:val="27"/>
          <w:szCs w:val="27"/>
          <w:rtl/>
        </w:rPr>
        <w:t xml:space="preserve"> </w:t>
      </w:r>
      <w:r w:rsidRPr="00282AC9">
        <w:rPr>
          <w:rFonts w:ascii="Mosawi" w:hAnsi="Mosawi" w:cs="Mosawi"/>
          <w:sz w:val="24"/>
          <w:szCs w:val="24"/>
          <w:rtl/>
        </w:rPr>
        <w:t>﴿</w:t>
      </w:r>
      <w:r w:rsidR="00D861BC" w:rsidRPr="00282AC9">
        <w:rPr>
          <w:rFonts w:cs="AL-Mohanad"/>
          <w:b/>
          <w:bCs/>
          <w:sz w:val="27"/>
          <w:szCs w:val="27"/>
          <w:rtl/>
        </w:rPr>
        <w:t>إِنَّا لَنَنصُرُ رُسُلَنَا وَالَّذِينَ آمَنُوا فِي الْحَيَاةِ الدُّنْيَا وَيَوْمَ يَقُومُ الأَشْهَادُ</w:t>
      </w:r>
      <w:r w:rsidRPr="00282AC9">
        <w:rPr>
          <w:rFonts w:ascii="Mosawi" w:hAnsi="Mosawi" w:cs="Mosawi"/>
          <w:sz w:val="24"/>
          <w:szCs w:val="24"/>
          <w:rtl/>
        </w:rPr>
        <w:t>﴾</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 xml:space="preserve"> قال: </w:t>
      </w:r>
      <w:r w:rsidRPr="00282AC9">
        <w:rPr>
          <w:rFonts w:cs="AL-Mohanad" w:hint="eastAsia"/>
          <w:sz w:val="24"/>
          <w:szCs w:val="24"/>
          <w:rtl/>
        </w:rPr>
        <w:t>«</w:t>
      </w:r>
      <w:r w:rsidRPr="00282AC9">
        <w:rPr>
          <w:rFonts w:asciiTheme="minorBidi" w:hAnsiTheme="minorBidi" w:cs="AL-Mohanad" w:hint="cs"/>
          <w:sz w:val="27"/>
          <w:szCs w:val="27"/>
          <w:rtl/>
        </w:rPr>
        <w:t>ذلك</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والله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في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الر</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ج</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عة</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أما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علم</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ت</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أنبياء</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كثيرة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ي</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ن</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ص</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روا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في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الدنيا</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وق</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تلوا</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 xml:space="preserve"> والأئم</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بعدهم</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تلوا</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ولم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ي</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ن</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ص</w:t>
      </w:r>
      <w:r w:rsidR="00D861BC" w:rsidRPr="00282AC9">
        <w:rPr>
          <w:rFonts w:asciiTheme="minorBidi" w:hAnsiTheme="minorBidi" w:cs="AL-Mohanad" w:hint="cs"/>
          <w:sz w:val="27"/>
          <w:szCs w:val="27"/>
          <w:rtl/>
        </w:rPr>
        <w:t>َ</w:t>
      </w:r>
      <w:r w:rsidRPr="00282AC9">
        <w:rPr>
          <w:rFonts w:asciiTheme="minorBidi" w:hAnsiTheme="minorBidi" w:cs="AL-Mohanad" w:hint="cs"/>
          <w:sz w:val="27"/>
          <w:szCs w:val="27"/>
          <w:rtl/>
        </w:rPr>
        <w:t>روا</w:t>
      </w:r>
      <w:r w:rsidR="00D861BC"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ذلك</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في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الرجعة</w:t>
      </w:r>
      <w:r w:rsidRPr="00282AC9">
        <w:rPr>
          <w:rFonts w:cs="AL-Mohanad" w:hint="eastAsia"/>
          <w:sz w:val="24"/>
          <w:szCs w:val="24"/>
          <w:rtl/>
        </w:rPr>
        <w:t>»</w:t>
      </w:r>
      <w:r w:rsidRPr="00282AC9">
        <w:rPr>
          <w:rFonts w:asciiTheme="minorBidi" w:hAnsiTheme="minorBidi" w:cs="AL-Mohanad"/>
          <w:sz w:val="27"/>
          <w:szCs w:val="27"/>
          <w:vertAlign w:val="superscript"/>
          <w:rtl/>
        </w:rPr>
        <w:t>(</w:t>
      </w:r>
      <w:r w:rsidRPr="00282AC9">
        <w:rPr>
          <w:rStyle w:val="af9"/>
          <w:rFonts w:asciiTheme="minorBidi" w:hAnsiTheme="minorBidi" w:cs="AL-Mohanad"/>
          <w:sz w:val="27"/>
          <w:szCs w:val="27"/>
          <w:rtl/>
        </w:rPr>
        <w:endnoteReference w:id="765"/>
      </w:r>
      <w:r w:rsidRPr="00282AC9">
        <w:rPr>
          <w:rFonts w:asciiTheme="minorBidi" w:hAnsiTheme="minorBidi" w:cs="AL-Mohanad"/>
          <w:sz w:val="27"/>
          <w:szCs w:val="27"/>
          <w:vertAlign w:val="superscript"/>
          <w:rtl/>
        </w:rPr>
        <w:t>)</w:t>
      </w:r>
      <w:r w:rsidRPr="00282AC9">
        <w:rPr>
          <w:rFonts w:asciiTheme="minorBidi" w:hAnsiTheme="minorBidi" w:cs="AL-Mohanad" w:hint="cs"/>
          <w:sz w:val="27"/>
          <w:szCs w:val="27"/>
          <w:rtl/>
        </w:rPr>
        <w:t>.</w:t>
      </w:r>
    </w:p>
    <w:p w:rsidR="006600D4" w:rsidRPr="00282AC9" w:rsidRDefault="00965E08" w:rsidP="003062B7">
      <w:pPr>
        <w:rPr>
          <w:rFonts w:asciiTheme="minorBidi" w:hAnsiTheme="minorBidi"/>
          <w:sz w:val="27"/>
          <w:rtl/>
        </w:rPr>
      </w:pPr>
      <w:r w:rsidRPr="00282AC9">
        <w:rPr>
          <w:rFonts w:asciiTheme="minorBidi" w:hAnsiTheme="minorBidi" w:hint="cs"/>
          <w:sz w:val="27"/>
          <w:rtl/>
        </w:rPr>
        <w:t>فالإمام</w:t>
      </w:r>
      <w:r w:rsidR="009A2A04" w:rsidRPr="00282AC9">
        <w:rPr>
          <w:rFonts w:asciiTheme="minorBidi" w:hAnsiTheme="minorBidi" w:cs="Mosawi"/>
          <w:sz w:val="22"/>
          <w:szCs w:val="22"/>
          <w:rtl/>
        </w:rPr>
        <w:t>×</w:t>
      </w:r>
      <w:r w:rsidRPr="00282AC9">
        <w:rPr>
          <w:rFonts w:asciiTheme="minorBidi" w:hAnsiTheme="minorBidi" w:hint="cs"/>
          <w:sz w:val="27"/>
          <w:rtl/>
        </w:rPr>
        <w:t xml:space="preserve"> لم</w:t>
      </w:r>
      <w:r w:rsidRPr="00282AC9">
        <w:rPr>
          <w:rFonts w:asciiTheme="minorBidi" w:hAnsiTheme="minorBidi"/>
          <w:sz w:val="27"/>
          <w:rtl/>
        </w:rPr>
        <w:t xml:space="preserve"> </w:t>
      </w:r>
      <w:r w:rsidRPr="00282AC9">
        <w:rPr>
          <w:rFonts w:asciiTheme="minorBidi" w:hAnsiTheme="minorBidi" w:hint="cs"/>
          <w:sz w:val="27"/>
          <w:rtl/>
        </w:rPr>
        <w:t>يق</w:t>
      </w:r>
      <w:r w:rsidR="00D861BC" w:rsidRPr="00282AC9">
        <w:rPr>
          <w:rFonts w:asciiTheme="minorBidi" w:hAnsiTheme="minorBidi" w:hint="cs"/>
          <w:sz w:val="27"/>
          <w:rtl/>
        </w:rPr>
        <w:t>ُ</w:t>
      </w:r>
      <w:r w:rsidRPr="00282AC9">
        <w:rPr>
          <w:rFonts w:asciiTheme="minorBidi" w:hAnsiTheme="minorBidi" w:hint="cs"/>
          <w:sz w:val="27"/>
          <w:rtl/>
        </w:rPr>
        <w:t>ل</w:t>
      </w:r>
      <w:r w:rsidR="00D861BC" w:rsidRPr="00282AC9">
        <w:rPr>
          <w:rFonts w:asciiTheme="minorBidi" w:hAnsiTheme="minorBidi" w:hint="cs"/>
          <w:sz w:val="27"/>
          <w:rtl/>
        </w:rPr>
        <w:t>ْ:</w:t>
      </w:r>
      <w:r w:rsidRPr="00282AC9">
        <w:rPr>
          <w:rFonts w:asciiTheme="minorBidi" w:hAnsiTheme="minorBidi"/>
          <w:sz w:val="27"/>
          <w:rtl/>
        </w:rPr>
        <w:t xml:space="preserve"> </w:t>
      </w:r>
      <w:r w:rsidR="00D861BC" w:rsidRPr="00282AC9">
        <w:rPr>
          <w:rFonts w:asciiTheme="minorBidi" w:hAnsiTheme="minorBidi" w:hint="cs"/>
          <w:sz w:val="27"/>
          <w:rtl/>
        </w:rPr>
        <w:t>إ</w:t>
      </w:r>
      <w:r w:rsidRPr="00282AC9">
        <w:rPr>
          <w:rFonts w:asciiTheme="minorBidi" w:hAnsiTheme="minorBidi" w:hint="cs"/>
          <w:sz w:val="27"/>
          <w:rtl/>
        </w:rPr>
        <w:t>نهم</w:t>
      </w:r>
      <w:r w:rsidRPr="00282AC9">
        <w:rPr>
          <w:rFonts w:asciiTheme="minorBidi" w:hAnsiTheme="minorBidi"/>
          <w:sz w:val="27"/>
          <w:rtl/>
        </w:rPr>
        <w:t xml:space="preserve"> </w:t>
      </w:r>
      <w:r w:rsidRPr="00282AC9">
        <w:rPr>
          <w:rFonts w:asciiTheme="minorBidi" w:hAnsiTheme="minorBidi" w:hint="cs"/>
          <w:sz w:val="27"/>
          <w:rtl/>
        </w:rPr>
        <w:t>بعد</w:t>
      </w:r>
      <w:r w:rsidRPr="00282AC9">
        <w:rPr>
          <w:rFonts w:asciiTheme="minorBidi" w:hAnsiTheme="minorBidi"/>
          <w:sz w:val="27"/>
          <w:rtl/>
        </w:rPr>
        <w:t xml:space="preserve"> </w:t>
      </w:r>
      <w:r w:rsidRPr="00282AC9">
        <w:rPr>
          <w:rFonts w:asciiTheme="minorBidi" w:hAnsiTheme="minorBidi" w:hint="cs"/>
          <w:sz w:val="27"/>
          <w:rtl/>
        </w:rPr>
        <w:t>قتلهم</w:t>
      </w:r>
      <w:r w:rsidRPr="00282AC9">
        <w:rPr>
          <w:rFonts w:asciiTheme="minorBidi" w:hAnsiTheme="minorBidi"/>
          <w:sz w:val="27"/>
          <w:rtl/>
        </w:rPr>
        <w:t xml:space="preserve"> </w:t>
      </w:r>
      <w:r w:rsidRPr="00282AC9">
        <w:rPr>
          <w:rFonts w:asciiTheme="minorBidi" w:hAnsiTheme="minorBidi" w:hint="cs"/>
          <w:sz w:val="27"/>
          <w:rtl/>
        </w:rPr>
        <w:t>انتصروا</w:t>
      </w:r>
      <w:r w:rsidR="00D861BC" w:rsidRPr="00282AC9">
        <w:rPr>
          <w:rFonts w:asciiTheme="minorBidi" w:hAnsiTheme="minorBidi" w:hint="cs"/>
          <w:sz w:val="27"/>
          <w:rtl/>
        </w:rPr>
        <w:t>؛</w:t>
      </w:r>
      <w:r w:rsidRPr="00282AC9">
        <w:rPr>
          <w:rFonts w:asciiTheme="minorBidi" w:hAnsiTheme="minorBidi" w:hint="cs"/>
          <w:sz w:val="27"/>
          <w:rtl/>
        </w:rPr>
        <w:t xml:space="preserve"> </w:t>
      </w:r>
      <w:r w:rsidR="00D861BC" w:rsidRPr="00282AC9">
        <w:rPr>
          <w:rFonts w:asciiTheme="minorBidi" w:hAnsiTheme="minorBidi" w:hint="cs"/>
          <w:sz w:val="27"/>
          <w:rtl/>
        </w:rPr>
        <w:t>إ</w:t>
      </w:r>
      <w:r w:rsidRPr="00282AC9">
        <w:rPr>
          <w:rFonts w:asciiTheme="minorBidi" w:hAnsiTheme="minorBidi" w:hint="cs"/>
          <w:sz w:val="27"/>
          <w:rtl/>
        </w:rPr>
        <w:t>ذ</w:t>
      </w:r>
      <w:r w:rsidRPr="00282AC9">
        <w:rPr>
          <w:rFonts w:asciiTheme="minorBidi" w:hAnsiTheme="minorBidi"/>
          <w:sz w:val="27"/>
          <w:rtl/>
        </w:rPr>
        <w:t xml:space="preserve"> </w:t>
      </w:r>
      <w:r w:rsidRPr="00282AC9">
        <w:rPr>
          <w:rFonts w:asciiTheme="minorBidi" w:hAnsiTheme="minorBidi" w:hint="cs"/>
          <w:sz w:val="27"/>
          <w:rtl/>
        </w:rPr>
        <w:t>كيف</w:t>
      </w:r>
      <w:r w:rsidRPr="00282AC9">
        <w:rPr>
          <w:rFonts w:asciiTheme="minorBidi" w:hAnsiTheme="minorBidi"/>
          <w:sz w:val="27"/>
          <w:rtl/>
        </w:rPr>
        <w:t xml:space="preserve"> </w:t>
      </w:r>
      <w:r w:rsidRPr="00282AC9">
        <w:rPr>
          <w:rFonts w:asciiTheme="minorBidi" w:hAnsiTheme="minorBidi" w:hint="cs"/>
          <w:sz w:val="27"/>
          <w:rtl/>
        </w:rPr>
        <w:t>ينتصرون</w:t>
      </w:r>
      <w:r w:rsidRPr="00282AC9">
        <w:rPr>
          <w:rFonts w:asciiTheme="minorBidi" w:hAnsiTheme="minorBidi"/>
          <w:sz w:val="27"/>
          <w:rtl/>
        </w:rPr>
        <w:t xml:space="preserve"> </w:t>
      </w:r>
      <w:r w:rsidRPr="00282AC9">
        <w:rPr>
          <w:rFonts w:asciiTheme="minorBidi" w:hAnsiTheme="minorBidi" w:hint="cs"/>
          <w:sz w:val="27"/>
          <w:rtl/>
        </w:rPr>
        <w:t>و</w:t>
      </w:r>
      <w:r w:rsidR="00D861BC" w:rsidRPr="00282AC9">
        <w:rPr>
          <w:rFonts w:asciiTheme="minorBidi" w:hAnsiTheme="minorBidi" w:hint="cs"/>
          <w:sz w:val="27"/>
          <w:rtl/>
        </w:rPr>
        <w:t>قد</w:t>
      </w:r>
      <w:r w:rsidRPr="00282AC9">
        <w:rPr>
          <w:rFonts w:asciiTheme="minorBidi" w:hAnsiTheme="minorBidi"/>
          <w:sz w:val="27"/>
          <w:rtl/>
        </w:rPr>
        <w:t xml:space="preserve"> </w:t>
      </w:r>
      <w:r w:rsidRPr="00282AC9">
        <w:rPr>
          <w:rFonts w:asciiTheme="minorBidi" w:hAnsiTheme="minorBidi" w:hint="cs"/>
          <w:sz w:val="27"/>
          <w:rtl/>
        </w:rPr>
        <w:t>ق</w:t>
      </w:r>
      <w:r w:rsidR="00D861BC" w:rsidRPr="00282AC9">
        <w:rPr>
          <w:rFonts w:asciiTheme="minorBidi" w:hAnsiTheme="minorBidi" w:hint="cs"/>
          <w:sz w:val="27"/>
          <w:rtl/>
        </w:rPr>
        <w:t>ُ</w:t>
      </w:r>
      <w:r w:rsidRPr="00282AC9">
        <w:rPr>
          <w:rFonts w:asciiTheme="minorBidi" w:hAnsiTheme="minorBidi" w:hint="cs"/>
          <w:sz w:val="27"/>
          <w:rtl/>
        </w:rPr>
        <w:t>تلوا؟</w:t>
      </w:r>
      <w:r w:rsidRPr="00282AC9">
        <w:rPr>
          <w:rFonts w:asciiTheme="minorBidi" w:hAnsiTheme="minorBidi"/>
          <w:sz w:val="27"/>
          <w:rtl/>
        </w:rPr>
        <w:t>!</w:t>
      </w:r>
    </w:p>
    <w:p w:rsidR="006600D4" w:rsidRPr="00282AC9" w:rsidRDefault="00965E08" w:rsidP="003062B7">
      <w:pPr>
        <w:rPr>
          <w:rFonts w:asciiTheme="minorBidi" w:hAnsiTheme="minorBidi"/>
          <w:sz w:val="27"/>
          <w:rtl/>
        </w:rPr>
      </w:pPr>
      <w:r w:rsidRPr="00282AC9">
        <w:rPr>
          <w:rFonts w:asciiTheme="minorBidi" w:hAnsiTheme="minorBidi" w:hint="cs"/>
          <w:sz w:val="27"/>
          <w:rtl/>
        </w:rPr>
        <w:t>نعم</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يمكنننا</w:t>
      </w:r>
      <w:r w:rsidRPr="00282AC9">
        <w:rPr>
          <w:rFonts w:asciiTheme="minorBidi" w:hAnsiTheme="minorBidi"/>
          <w:sz w:val="27"/>
          <w:rtl/>
        </w:rPr>
        <w:t xml:space="preserve"> </w:t>
      </w:r>
      <w:r w:rsidRPr="00282AC9">
        <w:rPr>
          <w:rFonts w:asciiTheme="minorBidi" w:hAnsiTheme="minorBidi" w:hint="cs"/>
          <w:sz w:val="27"/>
          <w:rtl/>
        </w:rPr>
        <w:t>أن</w:t>
      </w:r>
      <w:r w:rsidRPr="00282AC9">
        <w:rPr>
          <w:rFonts w:asciiTheme="minorBidi" w:hAnsiTheme="minorBidi"/>
          <w:sz w:val="27"/>
          <w:rtl/>
        </w:rPr>
        <w:t xml:space="preserve"> </w:t>
      </w:r>
      <w:r w:rsidRPr="00282AC9">
        <w:rPr>
          <w:rFonts w:asciiTheme="minorBidi" w:hAnsiTheme="minorBidi" w:hint="cs"/>
          <w:sz w:val="27"/>
          <w:rtl/>
        </w:rPr>
        <w:t>نقول</w:t>
      </w:r>
      <w:r w:rsidR="00D861BC" w:rsidRPr="00282AC9">
        <w:rPr>
          <w:rFonts w:asciiTheme="minorBidi" w:hAnsiTheme="minorBidi" w:hint="cs"/>
          <w:sz w:val="27"/>
          <w:rtl/>
        </w:rPr>
        <w:t>:</w:t>
      </w:r>
      <w:r w:rsidRPr="00282AC9">
        <w:rPr>
          <w:rFonts w:asciiTheme="minorBidi" w:hAnsiTheme="minorBidi"/>
          <w:sz w:val="27"/>
          <w:rtl/>
        </w:rPr>
        <w:t xml:space="preserve"> </w:t>
      </w:r>
      <w:r w:rsidR="00D861BC" w:rsidRPr="00282AC9">
        <w:rPr>
          <w:rFonts w:asciiTheme="minorBidi" w:hAnsiTheme="minorBidi" w:hint="cs"/>
          <w:sz w:val="27"/>
          <w:rtl/>
        </w:rPr>
        <w:t>إ</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أهدافهم</w:t>
      </w:r>
      <w:r w:rsidRPr="00282AC9">
        <w:rPr>
          <w:rFonts w:asciiTheme="minorBidi" w:hAnsiTheme="minorBidi"/>
          <w:sz w:val="27"/>
          <w:rtl/>
        </w:rPr>
        <w:t xml:space="preserve"> </w:t>
      </w:r>
      <w:r w:rsidRPr="00282AC9">
        <w:rPr>
          <w:rFonts w:asciiTheme="minorBidi" w:hAnsiTheme="minorBidi" w:hint="cs"/>
          <w:sz w:val="27"/>
          <w:rtl/>
        </w:rPr>
        <w:t>تحق</w:t>
      </w:r>
      <w:r w:rsidR="00D861BC" w:rsidRPr="00282AC9">
        <w:rPr>
          <w:rFonts w:asciiTheme="minorBidi" w:hAnsiTheme="minorBidi" w:hint="cs"/>
          <w:sz w:val="27"/>
          <w:rtl/>
        </w:rPr>
        <w:t>َّ</w:t>
      </w:r>
      <w:r w:rsidRPr="00282AC9">
        <w:rPr>
          <w:rFonts w:asciiTheme="minorBidi" w:hAnsiTheme="minorBidi" w:hint="cs"/>
          <w:sz w:val="27"/>
          <w:rtl/>
        </w:rPr>
        <w:t>ق</w:t>
      </w:r>
      <w:r w:rsidR="00D861BC" w:rsidRPr="00282AC9">
        <w:rPr>
          <w:rFonts w:asciiTheme="minorBidi" w:hAnsiTheme="minorBidi" w:hint="cs"/>
          <w:sz w:val="27"/>
          <w:rtl/>
        </w:rPr>
        <w:t>َ</w:t>
      </w:r>
      <w:r w:rsidRPr="00282AC9">
        <w:rPr>
          <w:rFonts w:asciiTheme="minorBidi" w:hAnsiTheme="minorBidi" w:hint="cs"/>
          <w:sz w:val="27"/>
          <w:rtl/>
        </w:rPr>
        <w:t>ت</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لو</w:t>
      </w:r>
      <w:r w:rsidRPr="00282AC9">
        <w:rPr>
          <w:rFonts w:asciiTheme="minorBidi" w:hAnsiTheme="minorBidi"/>
          <w:sz w:val="27"/>
          <w:rtl/>
        </w:rPr>
        <w:t xml:space="preserve"> </w:t>
      </w:r>
      <w:r w:rsidRPr="00282AC9">
        <w:rPr>
          <w:rFonts w:asciiTheme="minorBidi" w:hAnsiTheme="minorBidi" w:hint="cs"/>
          <w:sz w:val="27"/>
          <w:rtl/>
        </w:rPr>
        <w:t>كان</w:t>
      </w:r>
      <w:r w:rsidRPr="00282AC9">
        <w:rPr>
          <w:rFonts w:asciiTheme="minorBidi" w:hAnsiTheme="minorBidi"/>
          <w:sz w:val="27"/>
          <w:rtl/>
        </w:rPr>
        <w:t xml:space="preserve"> </w:t>
      </w:r>
      <w:r w:rsidRPr="00282AC9">
        <w:rPr>
          <w:rFonts w:asciiTheme="minorBidi" w:hAnsiTheme="minorBidi" w:hint="cs"/>
          <w:sz w:val="27"/>
          <w:rtl/>
        </w:rPr>
        <w:t>هناك</w:t>
      </w:r>
      <w:r w:rsidRPr="00282AC9">
        <w:rPr>
          <w:rFonts w:asciiTheme="minorBidi" w:hAnsiTheme="minorBidi"/>
          <w:sz w:val="27"/>
          <w:rtl/>
        </w:rPr>
        <w:t xml:space="preserve"> </w:t>
      </w:r>
      <w:r w:rsidRPr="00282AC9">
        <w:rPr>
          <w:rFonts w:asciiTheme="minorBidi" w:hAnsiTheme="minorBidi" w:hint="cs"/>
          <w:sz w:val="27"/>
          <w:rtl/>
        </w:rPr>
        <w:t>م</w:t>
      </w:r>
      <w:r w:rsidR="00D861BC" w:rsidRPr="00282AC9">
        <w:rPr>
          <w:rFonts w:asciiTheme="minorBidi" w:hAnsiTheme="minorBidi" w:hint="cs"/>
          <w:sz w:val="27"/>
          <w:rtl/>
        </w:rPr>
        <w:t>َ</w:t>
      </w:r>
      <w:r w:rsidRPr="00282AC9">
        <w:rPr>
          <w:rFonts w:asciiTheme="minorBidi" w:hAnsiTheme="minorBidi" w:hint="cs"/>
          <w:sz w:val="27"/>
          <w:rtl/>
        </w:rPr>
        <w:t>ن</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يسعى</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تحقيق</w:t>
      </w:r>
      <w:r w:rsidRPr="00282AC9">
        <w:rPr>
          <w:rFonts w:asciiTheme="minorBidi" w:hAnsiTheme="minorBidi"/>
          <w:sz w:val="27"/>
          <w:rtl/>
        </w:rPr>
        <w:t xml:space="preserve"> </w:t>
      </w:r>
      <w:r w:rsidRPr="00282AC9">
        <w:rPr>
          <w:rFonts w:asciiTheme="minorBidi" w:hAnsiTheme="minorBidi" w:hint="cs"/>
          <w:sz w:val="27"/>
          <w:rtl/>
        </w:rPr>
        <w:t>أهدافهم،</w:t>
      </w:r>
      <w:r w:rsidRPr="00282AC9">
        <w:rPr>
          <w:rFonts w:asciiTheme="minorBidi" w:hAnsiTheme="minorBidi"/>
          <w:sz w:val="27"/>
          <w:rtl/>
        </w:rPr>
        <w:t xml:space="preserve"> </w:t>
      </w:r>
      <w:r w:rsidRPr="00282AC9">
        <w:rPr>
          <w:rFonts w:asciiTheme="minorBidi" w:hAnsiTheme="minorBidi" w:hint="cs"/>
          <w:sz w:val="27"/>
          <w:rtl/>
        </w:rPr>
        <w:t>ولكن</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تحقيق</w:t>
      </w:r>
      <w:r w:rsidRPr="00282AC9">
        <w:rPr>
          <w:rFonts w:asciiTheme="minorBidi" w:hAnsiTheme="minorBidi"/>
          <w:sz w:val="27"/>
          <w:rtl/>
        </w:rPr>
        <w:t xml:space="preserve"> </w:t>
      </w:r>
      <w:r w:rsidRPr="00282AC9">
        <w:rPr>
          <w:rFonts w:asciiTheme="minorBidi" w:hAnsiTheme="minorBidi" w:hint="cs"/>
          <w:sz w:val="27"/>
          <w:rtl/>
        </w:rPr>
        <w:t>الأهداف</w:t>
      </w:r>
      <w:r w:rsidRPr="00282AC9">
        <w:rPr>
          <w:rFonts w:asciiTheme="minorBidi" w:hAnsiTheme="minorBidi"/>
          <w:sz w:val="27"/>
          <w:rtl/>
        </w:rPr>
        <w:t xml:space="preserve"> </w:t>
      </w:r>
      <w:r w:rsidRPr="00282AC9">
        <w:rPr>
          <w:rFonts w:asciiTheme="minorBidi" w:hAnsiTheme="minorBidi" w:hint="cs"/>
          <w:sz w:val="27"/>
          <w:rtl/>
        </w:rPr>
        <w:t>شيء</w:t>
      </w:r>
      <w:r w:rsidR="00D861BC"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وهذا</w:t>
      </w:r>
      <w:r w:rsidRPr="00282AC9">
        <w:rPr>
          <w:rFonts w:asciiTheme="minorBidi" w:hAnsiTheme="minorBidi"/>
          <w:sz w:val="27"/>
          <w:rtl/>
        </w:rPr>
        <w:t xml:space="preserve"> </w:t>
      </w:r>
      <w:r w:rsidRPr="00282AC9">
        <w:rPr>
          <w:rFonts w:asciiTheme="minorBidi" w:hAnsiTheme="minorBidi" w:hint="cs"/>
          <w:sz w:val="27"/>
          <w:rtl/>
        </w:rPr>
        <w:t>المصطلح</w:t>
      </w:r>
      <w:r w:rsidRPr="00282AC9">
        <w:rPr>
          <w:rFonts w:asciiTheme="minorBidi" w:hAnsiTheme="minorBidi"/>
          <w:sz w:val="27"/>
          <w:rtl/>
        </w:rPr>
        <w:t xml:space="preserve"> </w:t>
      </w:r>
      <w:r w:rsidRPr="00282AC9">
        <w:rPr>
          <w:rFonts w:asciiTheme="minorBidi" w:hAnsiTheme="minorBidi" w:hint="cs"/>
          <w:sz w:val="27"/>
          <w:rtl/>
        </w:rPr>
        <w:t>(النصر)</w:t>
      </w:r>
      <w:r w:rsidRPr="00282AC9">
        <w:rPr>
          <w:rFonts w:asciiTheme="minorBidi" w:hAnsiTheme="minorBidi"/>
          <w:sz w:val="27"/>
          <w:rtl/>
        </w:rPr>
        <w:t xml:space="preserve"> </w:t>
      </w:r>
      <w:r w:rsidRPr="00282AC9">
        <w:rPr>
          <w:rFonts w:asciiTheme="minorBidi" w:hAnsiTheme="minorBidi" w:hint="cs"/>
          <w:sz w:val="27"/>
          <w:rtl/>
        </w:rPr>
        <w:t>شيءٌ</w:t>
      </w:r>
      <w:r w:rsidRPr="00282AC9">
        <w:rPr>
          <w:rFonts w:asciiTheme="minorBidi" w:hAnsiTheme="minorBidi"/>
          <w:sz w:val="27"/>
          <w:rtl/>
        </w:rPr>
        <w:t xml:space="preserve"> </w:t>
      </w:r>
      <w:r w:rsidRPr="00282AC9">
        <w:rPr>
          <w:rFonts w:asciiTheme="minorBidi" w:hAnsiTheme="minorBidi" w:hint="cs"/>
          <w:sz w:val="27"/>
          <w:rtl/>
        </w:rPr>
        <w:t>آخر</w:t>
      </w:r>
      <w:r w:rsidRPr="00282AC9">
        <w:rPr>
          <w:rFonts w:asciiTheme="minorBidi" w:hAnsiTheme="minorBidi"/>
          <w:sz w:val="27"/>
          <w:rtl/>
        </w:rPr>
        <w:t>.</w:t>
      </w:r>
    </w:p>
    <w:p w:rsidR="006600D4" w:rsidRPr="00282AC9" w:rsidRDefault="00965E08" w:rsidP="003062B7">
      <w:pPr>
        <w:rPr>
          <w:rFonts w:asciiTheme="minorBidi" w:hAnsiTheme="minorBidi"/>
          <w:sz w:val="27"/>
          <w:rtl/>
        </w:rPr>
      </w:pPr>
      <w:r w:rsidRPr="00282AC9">
        <w:rPr>
          <w:rFonts w:asciiTheme="minorBidi" w:hAnsiTheme="minorBidi" w:hint="cs"/>
          <w:sz w:val="27"/>
          <w:rtl/>
        </w:rPr>
        <w:t>فهذا</w:t>
      </w:r>
      <w:r w:rsidRPr="00282AC9">
        <w:rPr>
          <w:rFonts w:asciiTheme="minorBidi" w:hAnsiTheme="minorBidi"/>
          <w:sz w:val="27"/>
          <w:rtl/>
        </w:rPr>
        <w:t xml:space="preserve"> </w:t>
      </w:r>
      <w:r w:rsidRPr="00282AC9">
        <w:rPr>
          <w:rFonts w:asciiTheme="minorBidi" w:hAnsiTheme="minorBidi" w:hint="cs"/>
          <w:sz w:val="27"/>
          <w:rtl/>
        </w:rPr>
        <w:t>هو</w:t>
      </w:r>
      <w:r w:rsidRPr="00282AC9">
        <w:rPr>
          <w:rFonts w:asciiTheme="minorBidi" w:hAnsiTheme="minorBidi"/>
          <w:sz w:val="27"/>
          <w:rtl/>
        </w:rPr>
        <w:t xml:space="preserve"> </w:t>
      </w:r>
      <w:r w:rsidRPr="00282AC9">
        <w:rPr>
          <w:rFonts w:asciiTheme="minorBidi" w:hAnsiTheme="minorBidi" w:hint="cs"/>
          <w:sz w:val="27"/>
          <w:rtl/>
        </w:rPr>
        <w:t>مفهوم</w:t>
      </w:r>
      <w:r w:rsidRPr="00282AC9">
        <w:rPr>
          <w:rFonts w:asciiTheme="minorBidi" w:hAnsiTheme="minorBidi"/>
          <w:sz w:val="27"/>
          <w:rtl/>
        </w:rPr>
        <w:t xml:space="preserve"> </w:t>
      </w:r>
      <w:r w:rsidRPr="00282AC9">
        <w:rPr>
          <w:rFonts w:asciiTheme="minorBidi" w:hAnsiTheme="minorBidi" w:hint="cs"/>
          <w:sz w:val="27"/>
          <w:rtl/>
        </w:rPr>
        <w:t>الأئم</w:t>
      </w:r>
      <w:r w:rsidR="00D861BC" w:rsidRPr="00282AC9">
        <w:rPr>
          <w:rFonts w:asciiTheme="minorBidi" w:hAnsiTheme="minorBidi" w:hint="cs"/>
          <w:sz w:val="27"/>
          <w:rtl/>
        </w:rPr>
        <w:t>ّ</w:t>
      </w:r>
      <w:r w:rsidRPr="00282AC9">
        <w:rPr>
          <w:rFonts w:asciiTheme="minorBidi" w:hAnsiTheme="minorBidi" w:hint="cs"/>
          <w:sz w:val="27"/>
          <w:rtl/>
        </w:rPr>
        <w:t>ة</w:t>
      </w:r>
      <w:r w:rsidRPr="00282AC9">
        <w:rPr>
          <w:rFonts w:asciiTheme="minorBidi" w:hAnsiTheme="minorBidi"/>
          <w:sz w:val="27"/>
          <w:rtl/>
        </w:rPr>
        <w:t xml:space="preserve"> </w:t>
      </w:r>
      <w:r w:rsidRPr="00282AC9">
        <w:rPr>
          <w:rFonts w:asciiTheme="minorBidi" w:hAnsiTheme="minorBidi" w:hint="cs"/>
          <w:sz w:val="27"/>
          <w:rtl/>
        </w:rPr>
        <w:t>للنصر،</w:t>
      </w:r>
      <w:r w:rsidRPr="00282AC9">
        <w:rPr>
          <w:rFonts w:asciiTheme="minorBidi" w:hAnsiTheme="minorBidi"/>
          <w:sz w:val="27"/>
          <w:rtl/>
        </w:rPr>
        <w:t xml:space="preserve"> </w:t>
      </w:r>
      <w:r w:rsidRPr="00282AC9">
        <w:rPr>
          <w:rFonts w:asciiTheme="minorBidi" w:hAnsiTheme="minorBidi" w:hint="cs"/>
          <w:sz w:val="27"/>
          <w:rtl/>
        </w:rPr>
        <w:t>لا</w:t>
      </w:r>
      <w:r w:rsidRPr="00282AC9">
        <w:rPr>
          <w:rFonts w:asciiTheme="minorBidi" w:hAnsiTheme="minorBidi"/>
          <w:sz w:val="27"/>
          <w:rtl/>
        </w:rPr>
        <w:t xml:space="preserve"> </w:t>
      </w:r>
      <w:r w:rsidR="00D861BC" w:rsidRPr="00282AC9">
        <w:rPr>
          <w:rFonts w:asciiTheme="minorBidi" w:hAnsiTheme="minorBidi" w:hint="cs"/>
          <w:sz w:val="27"/>
          <w:rtl/>
        </w:rPr>
        <w:t>النصر</w:t>
      </w:r>
      <w:r w:rsidRPr="00282AC9">
        <w:rPr>
          <w:rFonts w:asciiTheme="minorBidi" w:hAnsiTheme="minorBidi"/>
          <w:sz w:val="27"/>
          <w:rtl/>
        </w:rPr>
        <w:t xml:space="preserve"> </w:t>
      </w:r>
      <w:r w:rsidRPr="00282AC9">
        <w:rPr>
          <w:rFonts w:asciiTheme="minorBidi" w:hAnsiTheme="minorBidi" w:hint="cs"/>
          <w:sz w:val="27"/>
          <w:rtl/>
        </w:rPr>
        <w:t>السياسي،</w:t>
      </w:r>
      <w:r w:rsidRPr="00282AC9">
        <w:rPr>
          <w:rFonts w:asciiTheme="minorBidi" w:hAnsiTheme="minorBidi"/>
          <w:sz w:val="27"/>
          <w:rtl/>
        </w:rPr>
        <w:t xml:space="preserve"> </w:t>
      </w:r>
      <w:r w:rsidR="00D861BC" w:rsidRPr="00282AC9">
        <w:rPr>
          <w:rFonts w:asciiTheme="minorBidi" w:hAnsiTheme="minorBidi" w:hint="cs"/>
          <w:sz w:val="27"/>
          <w:rtl/>
        </w:rPr>
        <w:t>أ</w:t>
      </w:r>
      <w:r w:rsidRPr="00282AC9">
        <w:rPr>
          <w:rFonts w:asciiTheme="minorBidi" w:hAnsiTheme="minorBidi" w:hint="cs"/>
          <w:sz w:val="27"/>
          <w:rtl/>
        </w:rPr>
        <w:t>و</w:t>
      </w:r>
      <w:r w:rsidRPr="00282AC9">
        <w:rPr>
          <w:rFonts w:asciiTheme="minorBidi" w:hAnsiTheme="minorBidi"/>
          <w:sz w:val="27"/>
          <w:rtl/>
        </w:rPr>
        <w:t xml:space="preserve"> </w:t>
      </w:r>
      <w:r w:rsidRPr="00282AC9">
        <w:rPr>
          <w:rFonts w:asciiTheme="minorBidi" w:hAnsiTheme="minorBidi" w:hint="cs"/>
          <w:sz w:val="27"/>
          <w:rtl/>
        </w:rPr>
        <w:t>الإعلامي</w:t>
      </w:r>
      <w:r w:rsidR="00D861BC" w:rsidRPr="00282AC9">
        <w:rPr>
          <w:rFonts w:asciiTheme="minorBidi" w:hAnsiTheme="minorBidi" w:hint="cs"/>
          <w:sz w:val="27"/>
          <w:rtl/>
        </w:rPr>
        <w:t>،</w:t>
      </w:r>
      <w:r w:rsidRPr="00282AC9">
        <w:rPr>
          <w:rFonts w:asciiTheme="minorBidi" w:hAnsiTheme="minorBidi" w:hint="cs"/>
          <w:sz w:val="27"/>
          <w:rtl/>
        </w:rPr>
        <w:t xml:space="preserve"> </w:t>
      </w:r>
      <w:r w:rsidR="00D861BC" w:rsidRPr="00282AC9">
        <w:rPr>
          <w:rFonts w:asciiTheme="minorBidi" w:hAnsiTheme="minorBidi" w:hint="cs"/>
          <w:sz w:val="27"/>
          <w:rtl/>
        </w:rPr>
        <w:t>أ</w:t>
      </w:r>
      <w:r w:rsidRPr="00282AC9">
        <w:rPr>
          <w:rFonts w:asciiTheme="minorBidi" w:hAnsiTheme="minorBidi" w:hint="cs"/>
          <w:sz w:val="27"/>
          <w:rtl/>
        </w:rPr>
        <w:t>و</w:t>
      </w:r>
      <w:r w:rsidRPr="00282AC9">
        <w:rPr>
          <w:rFonts w:asciiTheme="minorBidi" w:hAnsiTheme="minorBidi"/>
          <w:sz w:val="27"/>
          <w:rtl/>
        </w:rPr>
        <w:t>..</w:t>
      </w:r>
      <w:r w:rsidRPr="00282AC9">
        <w:rPr>
          <w:rFonts w:asciiTheme="minorBidi" w:hAnsiTheme="minorBidi" w:hint="cs"/>
          <w:sz w:val="27"/>
          <w:rtl/>
        </w:rPr>
        <w:t>.</w:t>
      </w:r>
    </w:p>
    <w:p w:rsidR="006600D4" w:rsidRPr="00282AC9" w:rsidRDefault="00965E08" w:rsidP="003062B7">
      <w:pPr>
        <w:rPr>
          <w:rFonts w:asciiTheme="minorBidi" w:hAnsiTheme="minorBidi"/>
          <w:sz w:val="27"/>
          <w:rtl/>
        </w:rPr>
      </w:pPr>
      <w:r w:rsidRPr="00282AC9">
        <w:rPr>
          <w:rFonts w:asciiTheme="minorBidi" w:hAnsiTheme="minorBidi" w:hint="cs"/>
          <w:sz w:val="27"/>
          <w:rtl/>
        </w:rPr>
        <w:t>وهذا</w:t>
      </w:r>
      <w:r w:rsidRPr="00282AC9">
        <w:rPr>
          <w:rFonts w:asciiTheme="minorBidi" w:hAnsiTheme="minorBidi"/>
          <w:sz w:val="27"/>
          <w:rtl/>
        </w:rPr>
        <w:t xml:space="preserve"> </w:t>
      </w:r>
      <w:r w:rsidRPr="00282AC9">
        <w:rPr>
          <w:rFonts w:asciiTheme="minorBidi" w:hAnsiTheme="minorBidi" w:hint="cs"/>
          <w:sz w:val="27"/>
          <w:rtl/>
        </w:rPr>
        <w:t>هو</w:t>
      </w:r>
      <w:r w:rsidRPr="00282AC9">
        <w:rPr>
          <w:rFonts w:asciiTheme="minorBidi" w:hAnsiTheme="minorBidi"/>
          <w:sz w:val="27"/>
          <w:rtl/>
        </w:rPr>
        <w:t xml:space="preserve"> </w:t>
      </w:r>
      <w:r w:rsidRPr="00282AC9">
        <w:rPr>
          <w:rFonts w:asciiTheme="minorBidi" w:hAnsiTheme="minorBidi" w:hint="cs"/>
          <w:sz w:val="27"/>
          <w:rtl/>
        </w:rPr>
        <w:t>معنى</w:t>
      </w:r>
      <w:r w:rsidRPr="00282AC9">
        <w:rPr>
          <w:rFonts w:asciiTheme="minorBidi" w:hAnsiTheme="minorBidi"/>
          <w:sz w:val="27"/>
          <w:rtl/>
        </w:rPr>
        <w:t xml:space="preserve"> </w:t>
      </w:r>
      <w:r w:rsidRPr="00282AC9">
        <w:rPr>
          <w:rFonts w:asciiTheme="minorBidi" w:hAnsiTheme="minorBidi" w:hint="cs"/>
          <w:sz w:val="27"/>
          <w:rtl/>
        </w:rPr>
        <w:t>النصر</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اللغة</w:t>
      </w:r>
      <w:r w:rsidR="00D861BC" w:rsidRPr="00282AC9">
        <w:rPr>
          <w:rFonts w:asciiTheme="minorBidi" w:hAnsiTheme="minorBidi" w:hint="cs"/>
          <w:sz w:val="27"/>
          <w:rtl/>
        </w:rPr>
        <w:t>،</w:t>
      </w:r>
      <w:r w:rsidRPr="00282AC9">
        <w:rPr>
          <w:rFonts w:asciiTheme="minorBidi" w:hAnsiTheme="minorBidi" w:hint="cs"/>
          <w:sz w:val="27"/>
          <w:rtl/>
        </w:rPr>
        <w:t xml:space="preserve"> وفي</w:t>
      </w:r>
      <w:r w:rsidRPr="00282AC9">
        <w:rPr>
          <w:rFonts w:asciiTheme="minorBidi" w:hAnsiTheme="minorBidi"/>
          <w:sz w:val="27"/>
          <w:rtl/>
        </w:rPr>
        <w:t xml:space="preserve"> </w:t>
      </w:r>
      <w:r w:rsidRPr="00282AC9">
        <w:rPr>
          <w:rFonts w:asciiTheme="minorBidi" w:hAnsiTheme="minorBidi" w:hint="cs"/>
          <w:sz w:val="27"/>
          <w:rtl/>
        </w:rPr>
        <w:t>القرآن</w:t>
      </w:r>
      <w:r w:rsidRPr="00282AC9">
        <w:rPr>
          <w:rFonts w:asciiTheme="minorBidi" w:hAnsiTheme="minorBidi"/>
          <w:sz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أما</w:t>
      </w:r>
      <w:r w:rsidRPr="00282AC9">
        <w:rPr>
          <w:rFonts w:asciiTheme="minorBidi" w:hAnsiTheme="minorBidi"/>
          <w:sz w:val="27"/>
          <w:rtl/>
        </w:rPr>
        <w:t xml:space="preserve"> </w:t>
      </w:r>
      <w:r w:rsidRPr="00282AC9">
        <w:rPr>
          <w:rFonts w:asciiTheme="minorBidi" w:hAnsiTheme="minorBidi" w:hint="cs"/>
          <w:sz w:val="27"/>
          <w:rtl/>
        </w:rPr>
        <w:t>الاستعمال بالمعنى الثاني</w:t>
      </w:r>
      <w:r w:rsidRPr="00282AC9">
        <w:rPr>
          <w:rFonts w:asciiTheme="minorBidi" w:hAnsiTheme="minorBidi"/>
          <w:sz w:val="27"/>
          <w:rtl/>
        </w:rPr>
        <w:t xml:space="preserve"> </w:t>
      </w:r>
      <w:r w:rsidRPr="00282AC9">
        <w:rPr>
          <w:rFonts w:asciiTheme="minorBidi" w:hAnsiTheme="minorBidi" w:hint="cs"/>
          <w:sz w:val="27"/>
          <w:rtl/>
        </w:rPr>
        <w:t>فهو</w:t>
      </w:r>
      <w:r w:rsidRPr="00282AC9">
        <w:rPr>
          <w:rFonts w:asciiTheme="minorBidi" w:hAnsiTheme="minorBidi"/>
          <w:sz w:val="27"/>
          <w:rtl/>
        </w:rPr>
        <w:t xml:space="preserve"> </w:t>
      </w:r>
      <w:r w:rsidRPr="00282AC9">
        <w:rPr>
          <w:rFonts w:asciiTheme="minorBidi" w:hAnsiTheme="minorBidi" w:hint="cs"/>
          <w:sz w:val="27"/>
          <w:rtl/>
        </w:rPr>
        <w:t>لغة</w:t>
      </w:r>
      <w:r w:rsidR="006600D4"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محر</w:t>
      </w:r>
      <w:r w:rsidR="006600D4" w:rsidRPr="00282AC9">
        <w:rPr>
          <w:rFonts w:asciiTheme="minorBidi" w:hAnsiTheme="minorBidi" w:hint="cs"/>
          <w:sz w:val="27"/>
          <w:rtl/>
        </w:rPr>
        <w:t>َّفة،</w:t>
      </w:r>
      <w:r w:rsidRPr="00282AC9">
        <w:rPr>
          <w:rFonts w:asciiTheme="minorBidi" w:hAnsiTheme="minorBidi"/>
          <w:sz w:val="27"/>
          <w:rtl/>
        </w:rPr>
        <w:t xml:space="preserve"> </w:t>
      </w:r>
      <w:r w:rsidRPr="00282AC9">
        <w:rPr>
          <w:rFonts w:asciiTheme="minorBidi" w:hAnsiTheme="minorBidi" w:hint="cs"/>
          <w:sz w:val="27"/>
          <w:rtl/>
        </w:rPr>
        <w:t>حر</w:t>
      </w:r>
      <w:r w:rsidR="006600D4" w:rsidRPr="00282AC9">
        <w:rPr>
          <w:rFonts w:asciiTheme="minorBidi" w:hAnsiTheme="minorBidi" w:hint="cs"/>
          <w:sz w:val="27"/>
          <w:rtl/>
        </w:rPr>
        <w:t>َّ</w:t>
      </w:r>
      <w:r w:rsidRPr="00282AC9">
        <w:rPr>
          <w:rFonts w:asciiTheme="minorBidi" w:hAnsiTheme="minorBidi" w:hint="cs"/>
          <w:sz w:val="27"/>
          <w:rtl/>
        </w:rPr>
        <w:t>فتها</w:t>
      </w:r>
      <w:r w:rsidRPr="00282AC9">
        <w:rPr>
          <w:rFonts w:asciiTheme="minorBidi" w:hAnsiTheme="minorBidi"/>
          <w:sz w:val="27"/>
          <w:rtl/>
        </w:rPr>
        <w:t xml:space="preserve"> </w:t>
      </w:r>
      <w:r w:rsidRPr="00282AC9">
        <w:rPr>
          <w:rFonts w:asciiTheme="minorBidi" w:hAnsiTheme="minorBidi" w:hint="cs"/>
          <w:sz w:val="27"/>
          <w:rtl/>
        </w:rPr>
        <w:t>الحكومات التي تسل</w:t>
      </w:r>
      <w:r w:rsidR="006600D4" w:rsidRPr="00282AC9">
        <w:rPr>
          <w:rFonts w:asciiTheme="minorBidi" w:hAnsiTheme="minorBidi" w:hint="cs"/>
          <w:sz w:val="27"/>
          <w:rtl/>
        </w:rPr>
        <w:t>َّ</w:t>
      </w:r>
      <w:r w:rsidRPr="00282AC9">
        <w:rPr>
          <w:rFonts w:asciiTheme="minorBidi" w:hAnsiTheme="minorBidi" w:hint="cs"/>
          <w:sz w:val="27"/>
          <w:rtl/>
        </w:rPr>
        <w:t>طت</w:t>
      </w:r>
      <w:r w:rsidRPr="00282AC9">
        <w:rPr>
          <w:rFonts w:asciiTheme="minorBidi" w:hAnsiTheme="minorBidi"/>
          <w:sz w:val="27"/>
          <w:rtl/>
        </w:rPr>
        <w:t xml:space="preserve"> </w:t>
      </w:r>
      <w:r w:rsidRPr="00282AC9">
        <w:rPr>
          <w:rFonts w:asciiTheme="minorBidi" w:hAnsiTheme="minorBidi" w:hint="cs"/>
          <w:sz w:val="27"/>
          <w:rtl/>
        </w:rPr>
        <w:t>على مقادير ال</w:t>
      </w:r>
      <w:r w:rsidR="006600D4" w:rsidRPr="00282AC9">
        <w:rPr>
          <w:rFonts w:asciiTheme="minorBidi" w:hAnsiTheme="minorBidi" w:hint="cs"/>
          <w:sz w:val="27"/>
          <w:rtl/>
        </w:rPr>
        <w:t>أ</w:t>
      </w:r>
      <w:r w:rsidRPr="00282AC9">
        <w:rPr>
          <w:rFonts w:asciiTheme="minorBidi" w:hAnsiTheme="minorBidi" w:hint="cs"/>
          <w:sz w:val="27"/>
          <w:rtl/>
        </w:rPr>
        <w:t>م</w:t>
      </w:r>
      <w:r w:rsidR="006600D4" w:rsidRPr="00282AC9">
        <w:rPr>
          <w:rFonts w:asciiTheme="minorBidi" w:hAnsiTheme="minorBidi" w:hint="cs"/>
          <w:sz w:val="27"/>
          <w:rtl/>
        </w:rPr>
        <w:t>ّ</w:t>
      </w:r>
      <w:r w:rsidRPr="00282AC9">
        <w:rPr>
          <w:rFonts w:asciiTheme="minorBidi" w:hAnsiTheme="minorBidi" w:hint="cs"/>
          <w:sz w:val="27"/>
          <w:rtl/>
        </w:rPr>
        <w:t>ة بعد النبي</w:t>
      </w:r>
      <w:r w:rsidR="006600D4" w:rsidRPr="00282AC9">
        <w:rPr>
          <w:rFonts w:asciiTheme="minorBidi" w:hAnsiTheme="minorBidi" w:hint="cs"/>
          <w:sz w:val="27"/>
          <w:rtl/>
        </w:rPr>
        <w:t>ّ</w:t>
      </w:r>
      <w:r w:rsidR="009A2A04" w:rsidRPr="00282AC9">
        <w:rPr>
          <w:rFonts w:asciiTheme="minorBidi" w:hAnsiTheme="minorBidi" w:cs="Mosawi" w:hint="cs"/>
          <w:sz w:val="22"/>
          <w:szCs w:val="22"/>
          <w:rtl/>
        </w:rPr>
        <w:t>|</w:t>
      </w:r>
      <w:r w:rsidR="006600D4" w:rsidRPr="00282AC9">
        <w:rPr>
          <w:rFonts w:asciiTheme="minorBidi" w:hAnsiTheme="minorBidi" w:hint="cs"/>
          <w:sz w:val="27"/>
          <w:rtl/>
        </w:rPr>
        <w:t>،</w:t>
      </w:r>
      <w:r w:rsidRPr="00282AC9">
        <w:rPr>
          <w:rFonts w:asciiTheme="minorBidi" w:hAnsiTheme="minorBidi" w:hint="cs"/>
          <w:sz w:val="27"/>
          <w:rtl/>
        </w:rPr>
        <w:t xml:space="preserve"> وم</w:t>
      </w:r>
      <w:r w:rsidR="006600D4" w:rsidRPr="00282AC9">
        <w:rPr>
          <w:rFonts w:asciiTheme="minorBidi" w:hAnsiTheme="minorBidi" w:hint="cs"/>
          <w:sz w:val="27"/>
          <w:rtl/>
        </w:rPr>
        <w:t>َ</w:t>
      </w:r>
      <w:r w:rsidRPr="00282AC9">
        <w:rPr>
          <w:rFonts w:asciiTheme="minorBidi" w:hAnsiTheme="minorBidi" w:hint="cs"/>
          <w:sz w:val="27"/>
          <w:rtl/>
        </w:rPr>
        <w:t>ن</w:t>
      </w:r>
      <w:r w:rsidR="006600D4"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جاء</w:t>
      </w:r>
      <w:r w:rsidRPr="00282AC9">
        <w:rPr>
          <w:rFonts w:asciiTheme="minorBidi" w:hAnsiTheme="minorBidi"/>
          <w:sz w:val="27"/>
          <w:rtl/>
        </w:rPr>
        <w:t xml:space="preserve"> </w:t>
      </w:r>
      <w:r w:rsidRPr="00282AC9">
        <w:rPr>
          <w:rFonts w:asciiTheme="minorBidi" w:hAnsiTheme="minorBidi" w:hint="cs"/>
          <w:sz w:val="27"/>
          <w:rtl/>
        </w:rPr>
        <w:t>بعدهم،</w:t>
      </w:r>
      <w:r w:rsidRPr="00282AC9">
        <w:rPr>
          <w:rFonts w:asciiTheme="minorBidi" w:hAnsiTheme="minorBidi"/>
          <w:sz w:val="27"/>
          <w:rtl/>
        </w:rPr>
        <w:t xml:space="preserve"> </w:t>
      </w:r>
      <w:r w:rsidRPr="00282AC9">
        <w:rPr>
          <w:rFonts w:asciiTheme="minorBidi" w:hAnsiTheme="minorBidi" w:hint="cs"/>
          <w:sz w:val="27"/>
          <w:rtl/>
        </w:rPr>
        <w:t>وتابعهم بعض</w:t>
      </w:r>
      <w:r w:rsidR="006600D4" w:rsidRPr="00282AC9">
        <w:rPr>
          <w:rFonts w:asciiTheme="minorBidi" w:hAnsiTheme="minorBidi" w:hint="cs"/>
          <w:sz w:val="27"/>
          <w:rtl/>
        </w:rPr>
        <w:t>ُ</w:t>
      </w:r>
      <w:r w:rsidRPr="00282AC9">
        <w:rPr>
          <w:rFonts w:asciiTheme="minorBidi" w:hAnsiTheme="minorBidi" w:hint="cs"/>
          <w:sz w:val="27"/>
          <w:rtl/>
        </w:rPr>
        <w:t xml:space="preserve"> الشيعة</w:t>
      </w:r>
      <w:r w:rsidR="006600D4"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فنشأ</w:t>
      </w:r>
      <w:r w:rsidR="006600D4" w:rsidRPr="00282AC9">
        <w:rPr>
          <w:rFonts w:asciiTheme="minorBidi" w:hAnsiTheme="minorBidi" w:hint="cs"/>
          <w:sz w:val="27"/>
          <w:rtl/>
        </w:rPr>
        <w:t>َ</w:t>
      </w:r>
      <w:r w:rsidRPr="00282AC9">
        <w:rPr>
          <w:rFonts w:asciiTheme="minorBidi" w:hAnsiTheme="minorBidi" w:hint="cs"/>
          <w:sz w:val="27"/>
          <w:rtl/>
        </w:rPr>
        <w:t>ت</w:t>
      </w:r>
      <w:r w:rsidR="006600D4"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هذه</w:t>
      </w:r>
      <w:r w:rsidRPr="00282AC9">
        <w:rPr>
          <w:rFonts w:asciiTheme="minorBidi" w:hAnsiTheme="minorBidi"/>
          <w:sz w:val="27"/>
          <w:rtl/>
        </w:rPr>
        <w:t xml:space="preserve"> </w:t>
      </w:r>
      <w:r w:rsidRPr="00282AC9">
        <w:rPr>
          <w:rFonts w:asciiTheme="minorBidi" w:hAnsiTheme="minorBidi" w:hint="cs"/>
          <w:sz w:val="27"/>
          <w:rtl/>
        </w:rPr>
        <w:t>الثقافة،</w:t>
      </w:r>
      <w:r w:rsidRPr="00282AC9">
        <w:rPr>
          <w:rFonts w:asciiTheme="minorBidi" w:hAnsiTheme="minorBidi"/>
          <w:sz w:val="27"/>
          <w:rtl/>
        </w:rPr>
        <w:t xml:space="preserve"> </w:t>
      </w:r>
      <w:r w:rsidRPr="00282AC9">
        <w:rPr>
          <w:rFonts w:asciiTheme="minorBidi" w:hAnsiTheme="minorBidi" w:hint="cs"/>
          <w:sz w:val="27"/>
          <w:rtl/>
        </w:rPr>
        <w:t>فكتب</w:t>
      </w:r>
      <w:r w:rsidRPr="00282AC9">
        <w:rPr>
          <w:rFonts w:asciiTheme="minorBidi" w:hAnsiTheme="minorBidi"/>
          <w:sz w:val="27"/>
          <w:rtl/>
        </w:rPr>
        <w:t xml:space="preserve"> </w:t>
      </w:r>
      <w:r w:rsidRPr="00282AC9">
        <w:rPr>
          <w:rFonts w:asciiTheme="minorBidi" w:hAnsiTheme="minorBidi" w:hint="cs"/>
          <w:sz w:val="27"/>
          <w:rtl/>
        </w:rPr>
        <w:t>الكتاب</w:t>
      </w:r>
      <w:r w:rsidR="006600D4"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ونظم</w:t>
      </w:r>
      <w:r w:rsidRPr="00282AC9">
        <w:rPr>
          <w:rFonts w:asciiTheme="minorBidi" w:hAnsiTheme="minorBidi"/>
          <w:sz w:val="27"/>
          <w:rtl/>
        </w:rPr>
        <w:t xml:space="preserve"> </w:t>
      </w:r>
      <w:r w:rsidRPr="00282AC9">
        <w:rPr>
          <w:rFonts w:asciiTheme="minorBidi" w:hAnsiTheme="minorBidi" w:hint="cs"/>
          <w:sz w:val="27"/>
          <w:rtl/>
        </w:rPr>
        <w:t>الشعراء</w:t>
      </w:r>
      <w:r w:rsidR="006600D4"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وأنشد</w:t>
      </w:r>
      <w:r w:rsidRPr="00282AC9">
        <w:rPr>
          <w:rFonts w:asciiTheme="minorBidi" w:hAnsiTheme="minorBidi"/>
          <w:sz w:val="27"/>
          <w:rtl/>
        </w:rPr>
        <w:t xml:space="preserve"> </w:t>
      </w:r>
      <w:r w:rsidRPr="00282AC9">
        <w:rPr>
          <w:rFonts w:asciiTheme="minorBidi" w:hAnsiTheme="minorBidi" w:hint="cs"/>
          <w:sz w:val="27"/>
          <w:rtl/>
        </w:rPr>
        <w:t>الرواديد</w:t>
      </w:r>
      <w:r w:rsidRPr="00282AC9">
        <w:rPr>
          <w:rFonts w:asciiTheme="minorBidi" w:hAnsiTheme="minorBidi"/>
          <w:sz w:val="27"/>
          <w:rtl/>
        </w:rPr>
        <w:t>.</w:t>
      </w:r>
    </w:p>
    <w:p w:rsidR="00965E08" w:rsidRPr="00282AC9" w:rsidRDefault="00965E08" w:rsidP="003062B7">
      <w:pPr>
        <w:pStyle w:val="afe"/>
        <w:spacing w:after="0" w:line="400" w:lineRule="exact"/>
        <w:ind w:left="0" w:firstLine="567"/>
        <w:jc w:val="both"/>
        <w:rPr>
          <w:rFonts w:asciiTheme="minorBidi" w:hAnsiTheme="minorBidi" w:cs="AL-Mohanad"/>
          <w:sz w:val="27"/>
          <w:szCs w:val="27"/>
          <w:rtl/>
        </w:rPr>
      </w:pPr>
      <w:r w:rsidRPr="00282AC9">
        <w:rPr>
          <w:rFonts w:asciiTheme="minorBidi" w:hAnsiTheme="minorBidi" w:cs="AL-Mohanad" w:hint="cs"/>
          <w:sz w:val="27"/>
          <w:szCs w:val="27"/>
          <w:rtl/>
        </w:rPr>
        <w:t>2ـ في موث</w:t>
      </w:r>
      <w:r w:rsidR="006600D4" w:rsidRPr="00282AC9">
        <w:rPr>
          <w:rFonts w:asciiTheme="minorBidi" w:hAnsiTheme="minorBidi" w:cs="AL-Mohanad" w:hint="cs"/>
          <w:sz w:val="27"/>
          <w:szCs w:val="27"/>
          <w:rtl/>
        </w:rPr>
        <w:t>َّ</w:t>
      </w:r>
      <w:r w:rsidRPr="00282AC9">
        <w:rPr>
          <w:rFonts w:asciiTheme="minorBidi" w:hAnsiTheme="minorBidi" w:cs="AL-Mohanad" w:hint="cs"/>
          <w:sz w:val="27"/>
          <w:szCs w:val="27"/>
          <w:rtl/>
        </w:rPr>
        <w:t>قة</w:t>
      </w:r>
      <w:r w:rsidRPr="00282AC9">
        <w:rPr>
          <w:rFonts w:asciiTheme="minorBidi" w:hAnsiTheme="minorBidi" w:cs="AL-Mohanad"/>
          <w:sz w:val="27"/>
          <w:szCs w:val="27"/>
          <w:vertAlign w:val="superscript"/>
          <w:rtl/>
        </w:rPr>
        <w:t>(</w:t>
      </w:r>
      <w:r w:rsidRPr="00282AC9">
        <w:rPr>
          <w:rStyle w:val="af9"/>
          <w:rFonts w:asciiTheme="minorBidi" w:hAnsiTheme="minorBidi" w:cs="AL-Mohanad"/>
          <w:sz w:val="27"/>
          <w:szCs w:val="27"/>
          <w:rtl/>
        </w:rPr>
        <w:endnoteReference w:id="766"/>
      </w:r>
      <w:r w:rsidRPr="00282AC9">
        <w:rPr>
          <w:rFonts w:asciiTheme="minorBidi" w:hAnsiTheme="minorBidi" w:cs="AL-Mohanad"/>
          <w:sz w:val="27"/>
          <w:szCs w:val="27"/>
          <w:vertAlign w:val="superscript"/>
          <w:rtl/>
        </w:rPr>
        <w:t>)</w:t>
      </w:r>
      <w:r w:rsidRPr="00282AC9">
        <w:rPr>
          <w:rFonts w:asciiTheme="minorBidi" w:hAnsiTheme="minorBidi" w:cs="AL-Mohanad" w:hint="cs"/>
          <w:sz w:val="27"/>
          <w:szCs w:val="27"/>
          <w:rtl/>
        </w:rPr>
        <w:t xml:space="preserve"> أبي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بصير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أبي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جعفر</w:t>
      </w:r>
      <w:r w:rsidR="009A2A04" w:rsidRPr="00282AC9">
        <w:rPr>
          <w:rFonts w:asciiTheme="minorBidi" w:hAnsiTheme="minorBidi" w:cs="Mosawi"/>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قال</w:t>
      </w:r>
      <w:r w:rsidRPr="00282AC9">
        <w:rPr>
          <w:rFonts w:asciiTheme="minorBidi" w:hAnsiTheme="minorBidi" w:cs="AL-Mohanad"/>
          <w:sz w:val="27"/>
          <w:szCs w:val="27"/>
          <w:rtl/>
        </w:rPr>
        <w:t>:</w:t>
      </w:r>
      <w:r w:rsidR="006600D4" w:rsidRPr="00282AC9">
        <w:rPr>
          <w:rFonts w:asciiTheme="minorBidi" w:hAnsiTheme="minorBidi" w:cs="AL-Mohanad" w:hint="cs"/>
          <w:sz w:val="27"/>
          <w:szCs w:val="27"/>
          <w:rtl/>
        </w:rPr>
        <w:t xml:space="preserve"> </w:t>
      </w:r>
      <w:r w:rsidRPr="00282AC9">
        <w:rPr>
          <w:rFonts w:asciiTheme="minorBidi" w:hAnsiTheme="minorBidi" w:cs="AL-Mohanad" w:hint="cs"/>
          <w:sz w:val="27"/>
          <w:szCs w:val="27"/>
          <w:rtl/>
        </w:rPr>
        <w:t>تلا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هذه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الآية</w:t>
      </w:r>
      <w:r w:rsidRPr="00282AC9">
        <w:rPr>
          <w:rFonts w:asciiTheme="minorBidi" w:hAnsiTheme="minorBidi" w:cs="AL-Mohanad"/>
          <w:sz w:val="27"/>
          <w:szCs w:val="27"/>
          <w:rtl/>
        </w:rPr>
        <w:t xml:space="preserve">: </w:t>
      </w:r>
      <w:r w:rsidRPr="00282AC9">
        <w:rPr>
          <w:rFonts w:ascii="Mosawi" w:hAnsi="Mosawi" w:cs="Mosawi"/>
          <w:sz w:val="24"/>
          <w:szCs w:val="24"/>
          <w:rtl/>
        </w:rPr>
        <w:t>﴿</w:t>
      </w:r>
      <w:r w:rsidR="006600D4" w:rsidRPr="00282AC9">
        <w:rPr>
          <w:rFonts w:cs="AL-Mohanad"/>
          <w:b/>
          <w:bCs/>
          <w:sz w:val="27"/>
          <w:szCs w:val="27"/>
          <w:rtl/>
        </w:rPr>
        <w:t>إِنَّا لَنَنصُرُ رُسُلَنَا وَالَّذِينَ آمَنُوا فِي الْحَيَاةِ الدُّنْيَا وَيَوْمَ يَقُومُ الأَشْهَادُ</w:t>
      </w:r>
      <w:r w:rsidRPr="00282AC9">
        <w:rPr>
          <w:rFonts w:ascii="Mosawi" w:hAnsi="Mosawi" w:cs="Mosawi"/>
          <w:sz w:val="24"/>
          <w:szCs w:val="24"/>
          <w:rtl/>
        </w:rPr>
        <w:t>﴾</w:t>
      </w:r>
      <w:r w:rsidRPr="00282AC9">
        <w:rPr>
          <w:rFonts w:asciiTheme="minorBidi" w:hAnsiTheme="minorBidi" w:cs="AL-Mohanad" w:hint="cs"/>
          <w:sz w:val="27"/>
          <w:szCs w:val="27"/>
          <w:rtl/>
        </w:rPr>
        <w:t xml:space="preserve"> (غافر: 51</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قال</w:t>
      </w:r>
      <w:r w:rsidRPr="00282AC9">
        <w:rPr>
          <w:rFonts w:asciiTheme="minorBidi" w:hAnsiTheme="minorBidi" w:cs="AL-Mohanad"/>
          <w:sz w:val="27"/>
          <w:szCs w:val="27"/>
          <w:rtl/>
        </w:rPr>
        <w:t xml:space="preserve">: </w:t>
      </w:r>
      <w:r w:rsidRPr="00282AC9">
        <w:rPr>
          <w:rFonts w:cs="AL-Mohanad" w:hint="eastAsia"/>
          <w:sz w:val="24"/>
          <w:szCs w:val="24"/>
          <w:rtl/>
        </w:rPr>
        <w:t>«</w:t>
      </w:r>
      <w:r w:rsidRPr="00282AC9">
        <w:rPr>
          <w:rFonts w:asciiTheme="minorBidi" w:hAnsiTheme="minorBidi" w:cs="AL-Mohanad" w:hint="cs"/>
          <w:sz w:val="27"/>
          <w:szCs w:val="27"/>
          <w:rtl/>
        </w:rPr>
        <w:t>الحسين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lastRenderedPageBreak/>
        <w:t>بن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علي</w:t>
      </w:r>
      <w:r w:rsidR="006600D4"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منهم</w:t>
      </w:r>
      <w:r w:rsidR="006600D4"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ولم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ي</w:t>
      </w:r>
      <w:r w:rsidR="006600D4" w:rsidRPr="00282AC9">
        <w:rPr>
          <w:rFonts w:asciiTheme="minorBidi" w:hAnsiTheme="minorBidi" w:cs="AL-Mohanad" w:hint="cs"/>
          <w:sz w:val="27"/>
          <w:szCs w:val="27"/>
          <w:rtl/>
        </w:rPr>
        <w:t>ُ</w:t>
      </w:r>
      <w:r w:rsidRPr="00282AC9">
        <w:rPr>
          <w:rFonts w:asciiTheme="minorBidi" w:hAnsiTheme="minorBidi" w:cs="AL-Mohanad" w:hint="cs"/>
          <w:sz w:val="27"/>
          <w:szCs w:val="27"/>
          <w:rtl/>
        </w:rPr>
        <w:t>ن</w:t>
      </w:r>
      <w:r w:rsidR="006600D4" w:rsidRPr="00282AC9">
        <w:rPr>
          <w:rFonts w:asciiTheme="minorBidi" w:hAnsiTheme="minorBidi" w:cs="AL-Mohanad" w:hint="cs"/>
          <w:sz w:val="27"/>
          <w:szCs w:val="27"/>
          <w:rtl/>
        </w:rPr>
        <w:t>ْ</w:t>
      </w:r>
      <w:r w:rsidRPr="00282AC9">
        <w:rPr>
          <w:rFonts w:asciiTheme="minorBidi" w:hAnsiTheme="minorBidi" w:cs="AL-Mohanad" w:hint="cs"/>
          <w:sz w:val="27"/>
          <w:szCs w:val="27"/>
          <w:rtl/>
        </w:rPr>
        <w:t>ص</w:t>
      </w:r>
      <w:r w:rsidR="006600D4" w:rsidRPr="00282AC9">
        <w:rPr>
          <w:rFonts w:asciiTheme="minorBidi" w:hAnsiTheme="minorBidi" w:cs="AL-Mohanad" w:hint="cs"/>
          <w:sz w:val="27"/>
          <w:szCs w:val="27"/>
          <w:rtl/>
        </w:rPr>
        <w:t>َ</w:t>
      </w:r>
      <w:r w:rsidRPr="00282AC9">
        <w:rPr>
          <w:rFonts w:asciiTheme="minorBidi" w:hAnsiTheme="minorBidi" w:cs="AL-Mohanad" w:hint="cs"/>
          <w:sz w:val="27"/>
          <w:szCs w:val="27"/>
          <w:rtl/>
        </w:rPr>
        <w:t>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بعد</w:t>
      </w:r>
      <w:r w:rsidR="006600D4" w:rsidRPr="00282AC9">
        <w:rPr>
          <w:rFonts w:asciiTheme="minorBidi" w:hAnsiTheme="minorBidi" w:cs="AL-Mohanad" w:hint="cs"/>
          <w:sz w:val="27"/>
          <w:szCs w:val="27"/>
          <w:rtl/>
        </w:rPr>
        <w:t>ُ</w:t>
      </w:r>
      <w:r w:rsidR="006600D4" w:rsidRPr="00282AC9">
        <w:rPr>
          <w:rFonts w:cs="AL-Mohanad" w:hint="eastAsia"/>
          <w:sz w:val="24"/>
          <w:szCs w:val="24"/>
          <w:rtl/>
        </w:rPr>
        <w:t>»</w:t>
      </w:r>
      <w:r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ثم</w:t>
      </w:r>
      <w:r w:rsidR="006600D4" w:rsidRPr="00282AC9">
        <w:rPr>
          <w:rFonts w:asciiTheme="minorBidi" w:hAnsiTheme="minorBidi" w:cs="AL-Mohanad" w:hint="cs"/>
          <w:sz w:val="27"/>
          <w:szCs w:val="27"/>
          <w:rtl/>
        </w:rPr>
        <w:t>ّ</w:t>
      </w:r>
      <w:r w:rsidRPr="00282AC9">
        <w:rPr>
          <w:rFonts w:asciiTheme="minorBidi" w:hAnsiTheme="minorBidi" w:cs="AL-Mohanad" w:hint="cs"/>
          <w:sz w:val="27"/>
          <w:szCs w:val="27"/>
          <w:rtl/>
        </w:rPr>
        <w:t xml:space="preserve"> قال</w:t>
      </w:r>
      <w:r w:rsidRPr="00282AC9">
        <w:rPr>
          <w:rFonts w:asciiTheme="minorBidi" w:hAnsiTheme="minorBidi" w:cs="AL-Mohanad"/>
          <w:sz w:val="27"/>
          <w:szCs w:val="27"/>
          <w:rtl/>
        </w:rPr>
        <w:t xml:space="preserve">: </w:t>
      </w:r>
      <w:r w:rsidR="006600D4" w:rsidRPr="00282AC9">
        <w:rPr>
          <w:rFonts w:cs="AL-Mohanad" w:hint="eastAsia"/>
          <w:sz w:val="24"/>
          <w:szCs w:val="24"/>
          <w:rtl/>
        </w:rPr>
        <w:t>«</w:t>
      </w:r>
      <w:r w:rsidRPr="00282AC9">
        <w:rPr>
          <w:rFonts w:asciiTheme="minorBidi" w:hAnsiTheme="minorBidi" w:cs="AL-Mohanad" w:hint="cs"/>
          <w:sz w:val="27"/>
          <w:szCs w:val="27"/>
          <w:rtl/>
        </w:rPr>
        <w:t>والله</w:t>
      </w:r>
      <w:r w:rsidR="006600D4"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لقد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قتل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قتلة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الحسين</w:t>
      </w:r>
      <w:r w:rsidR="009A2A04" w:rsidRPr="00282AC9">
        <w:rPr>
          <w:rFonts w:asciiTheme="minorBidi" w:hAnsiTheme="minorBidi" w:cs="Mosawi"/>
          <w:rtl/>
        </w:rPr>
        <w:t>×</w:t>
      </w:r>
      <w:r w:rsidR="006600D4"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ولم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ي</w:t>
      </w:r>
      <w:r w:rsidR="006600D4" w:rsidRPr="00282AC9">
        <w:rPr>
          <w:rFonts w:asciiTheme="minorBidi" w:hAnsiTheme="minorBidi" w:cs="AL-Mohanad" w:hint="cs"/>
          <w:sz w:val="27"/>
          <w:szCs w:val="27"/>
          <w:rtl/>
        </w:rPr>
        <w:t>ُ</w:t>
      </w:r>
      <w:r w:rsidRPr="00282AC9">
        <w:rPr>
          <w:rFonts w:asciiTheme="minorBidi" w:hAnsiTheme="minorBidi" w:cs="AL-Mohanad" w:hint="cs"/>
          <w:sz w:val="27"/>
          <w:szCs w:val="27"/>
          <w:rtl/>
        </w:rPr>
        <w:t>ط</w:t>
      </w:r>
      <w:r w:rsidR="006600D4" w:rsidRPr="00282AC9">
        <w:rPr>
          <w:rFonts w:asciiTheme="minorBidi" w:hAnsiTheme="minorBidi" w:cs="AL-Mohanad" w:hint="cs"/>
          <w:sz w:val="27"/>
          <w:szCs w:val="27"/>
          <w:rtl/>
        </w:rPr>
        <w:t>ْ</w:t>
      </w:r>
      <w:r w:rsidRPr="00282AC9">
        <w:rPr>
          <w:rFonts w:asciiTheme="minorBidi" w:hAnsiTheme="minorBidi" w:cs="AL-Mohanad" w:hint="cs"/>
          <w:sz w:val="27"/>
          <w:szCs w:val="27"/>
          <w:rtl/>
        </w:rPr>
        <w:t>ل</w:t>
      </w:r>
      <w:r w:rsidR="006600D4" w:rsidRPr="00282AC9">
        <w:rPr>
          <w:rFonts w:asciiTheme="minorBidi" w:hAnsiTheme="minorBidi" w:cs="AL-Mohanad" w:hint="cs"/>
          <w:sz w:val="27"/>
          <w:szCs w:val="27"/>
          <w:rtl/>
        </w:rPr>
        <w:t>َ</w:t>
      </w:r>
      <w:r w:rsidRPr="00282AC9">
        <w:rPr>
          <w:rFonts w:asciiTheme="minorBidi" w:hAnsiTheme="minorBidi" w:cs="AL-Mohanad" w:hint="cs"/>
          <w:sz w:val="27"/>
          <w:szCs w:val="27"/>
          <w:rtl/>
        </w:rPr>
        <w:t>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بدمه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بعد</w:t>
      </w:r>
      <w:r w:rsidR="006600D4" w:rsidRPr="00282AC9">
        <w:rPr>
          <w:rFonts w:asciiTheme="minorBidi" w:hAnsiTheme="minorBidi" w:cs="AL-Mohanad" w:hint="cs"/>
          <w:sz w:val="27"/>
          <w:szCs w:val="27"/>
          <w:rtl/>
        </w:rPr>
        <w:t>ُ</w:t>
      </w:r>
      <w:r w:rsidRPr="00282AC9">
        <w:rPr>
          <w:rFonts w:cs="AL-Mohanad" w:hint="eastAsia"/>
          <w:sz w:val="24"/>
          <w:szCs w:val="24"/>
          <w:rtl/>
        </w:rPr>
        <w:t>»</w:t>
      </w:r>
      <w:r w:rsidRPr="00282AC9">
        <w:rPr>
          <w:rFonts w:asciiTheme="minorBidi" w:hAnsiTheme="minorBidi" w:cs="AL-Mohanad"/>
          <w:sz w:val="27"/>
          <w:szCs w:val="27"/>
          <w:vertAlign w:val="superscript"/>
          <w:rtl/>
        </w:rPr>
        <w:t>(</w:t>
      </w:r>
      <w:r w:rsidRPr="00282AC9">
        <w:rPr>
          <w:rStyle w:val="af9"/>
          <w:rFonts w:asciiTheme="minorBidi" w:hAnsiTheme="minorBidi" w:cs="AL-Mohanad"/>
          <w:sz w:val="27"/>
          <w:szCs w:val="27"/>
          <w:rtl/>
        </w:rPr>
        <w:endnoteReference w:id="767"/>
      </w:r>
      <w:r w:rsidRPr="00282AC9">
        <w:rPr>
          <w:rFonts w:asciiTheme="minorBidi" w:hAnsiTheme="minorBidi" w:cs="AL-Mohanad"/>
          <w:sz w:val="27"/>
          <w:szCs w:val="27"/>
          <w:vertAlign w:val="superscript"/>
          <w:rtl/>
        </w:rPr>
        <w:t>)</w:t>
      </w:r>
      <w:r w:rsidRPr="00282AC9">
        <w:rPr>
          <w:rFonts w:asciiTheme="minorBidi" w:hAnsiTheme="minorBidi" w:cs="AL-Mohanad"/>
          <w:sz w:val="27"/>
          <w:szCs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فقتل قتلة ال</w:t>
      </w:r>
      <w:r w:rsidR="006600D4"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ليس</w:t>
      </w:r>
      <w:r w:rsidRPr="00282AC9">
        <w:rPr>
          <w:rFonts w:asciiTheme="minorBidi" w:hAnsiTheme="minorBidi"/>
          <w:sz w:val="27"/>
          <w:rtl/>
        </w:rPr>
        <w:t xml:space="preserve"> </w:t>
      </w:r>
      <w:r w:rsidRPr="00282AC9">
        <w:rPr>
          <w:rFonts w:asciiTheme="minorBidi" w:hAnsiTheme="minorBidi" w:hint="cs"/>
          <w:sz w:val="27"/>
          <w:rtl/>
        </w:rPr>
        <w:t>نصراً</w:t>
      </w:r>
      <w:r w:rsidRPr="00282AC9">
        <w:rPr>
          <w:rFonts w:asciiTheme="minorBidi" w:hAnsiTheme="minorBidi"/>
          <w:sz w:val="27"/>
          <w:rtl/>
        </w:rPr>
        <w:t xml:space="preserve"> </w:t>
      </w:r>
      <w:r w:rsidRPr="00282AC9">
        <w:rPr>
          <w:rFonts w:asciiTheme="minorBidi" w:hAnsiTheme="minorBidi" w:hint="cs"/>
          <w:sz w:val="27"/>
          <w:rtl/>
        </w:rPr>
        <w:t>للحسين</w:t>
      </w:r>
      <w:r w:rsidR="009A2A04" w:rsidRPr="00282AC9">
        <w:rPr>
          <w:rFonts w:asciiTheme="minorBidi" w:hAnsiTheme="minorBidi" w:cs="Mosawi"/>
          <w:sz w:val="22"/>
          <w:szCs w:val="22"/>
          <w:rtl/>
        </w:rPr>
        <w:t>×</w:t>
      </w:r>
      <w:r w:rsidRPr="00282AC9">
        <w:rPr>
          <w:rFonts w:asciiTheme="minorBidi" w:hAnsiTheme="minorBidi" w:hint="cs"/>
          <w:sz w:val="27"/>
          <w:rtl/>
        </w:rPr>
        <w:t>، بل</w:t>
      </w:r>
      <w:r w:rsidRPr="00282AC9">
        <w:rPr>
          <w:rFonts w:asciiTheme="minorBidi" w:hAnsiTheme="minorBidi"/>
          <w:sz w:val="27"/>
          <w:rtl/>
        </w:rPr>
        <w:t xml:space="preserve"> </w:t>
      </w:r>
      <w:r w:rsidRPr="00282AC9">
        <w:rPr>
          <w:rFonts w:asciiTheme="minorBidi" w:hAnsiTheme="minorBidi" w:hint="cs"/>
          <w:sz w:val="27"/>
          <w:rtl/>
        </w:rPr>
        <w:t>النصر</w:t>
      </w:r>
      <w:r w:rsidRPr="00282AC9">
        <w:rPr>
          <w:rFonts w:asciiTheme="minorBidi" w:hAnsiTheme="minorBidi"/>
          <w:sz w:val="27"/>
          <w:rtl/>
        </w:rPr>
        <w:t xml:space="preserve"> </w:t>
      </w:r>
      <w:r w:rsidRPr="00282AC9">
        <w:rPr>
          <w:rFonts w:asciiTheme="minorBidi" w:hAnsiTheme="minorBidi" w:hint="cs"/>
          <w:sz w:val="27"/>
          <w:rtl/>
        </w:rPr>
        <w:t>يتحق</w:t>
      </w:r>
      <w:r w:rsidR="006600D4" w:rsidRPr="00282AC9">
        <w:rPr>
          <w:rFonts w:asciiTheme="minorBidi" w:hAnsiTheme="minorBidi" w:hint="cs"/>
          <w:sz w:val="27"/>
          <w:rtl/>
        </w:rPr>
        <w:t>َّ</w:t>
      </w:r>
      <w:r w:rsidRPr="00282AC9">
        <w:rPr>
          <w:rFonts w:asciiTheme="minorBidi" w:hAnsiTheme="minorBidi" w:hint="cs"/>
          <w:sz w:val="27"/>
          <w:rtl/>
        </w:rPr>
        <w:t>ق</w:t>
      </w:r>
      <w:r w:rsidRPr="00282AC9">
        <w:rPr>
          <w:rFonts w:asciiTheme="minorBidi" w:hAnsiTheme="minorBidi"/>
          <w:sz w:val="27"/>
          <w:rtl/>
        </w:rPr>
        <w:t xml:space="preserve"> </w:t>
      </w:r>
      <w:r w:rsidR="006600D4" w:rsidRPr="00282AC9">
        <w:rPr>
          <w:rFonts w:asciiTheme="minorBidi" w:hAnsiTheme="minorBidi" w:hint="cs"/>
          <w:sz w:val="27"/>
          <w:rtl/>
        </w:rPr>
        <w:t>عند غلبة</w:t>
      </w:r>
      <w:r w:rsidRPr="00282AC9">
        <w:rPr>
          <w:rFonts w:asciiTheme="minorBidi" w:hAnsiTheme="minorBidi"/>
          <w:sz w:val="27"/>
          <w:rtl/>
        </w:rPr>
        <w:t xml:space="preserve"> </w:t>
      </w:r>
      <w:r w:rsidRPr="00282AC9">
        <w:rPr>
          <w:rFonts w:asciiTheme="minorBidi" w:hAnsiTheme="minorBidi" w:hint="cs"/>
          <w:sz w:val="27"/>
          <w:rtl/>
        </w:rPr>
        <w:t>المظلوم</w:t>
      </w:r>
      <w:r w:rsidRPr="00282AC9">
        <w:rPr>
          <w:rFonts w:asciiTheme="minorBidi" w:hAnsiTheme="minorBidi"/>
          <w:sz w:val="27"/>
          <w:rtl/>
        </w:rPr>
        <w:t xml:space="preserve"> </w:t>
      </w:r>
      <w:r w:rsidRPr="00282AC9">
        <w:rPr>
          <w:rFonts w:asciiTheme="minorBidi" w:hAnsiTheme="minorBidi" w:hint="cs"/>
          <w:sz w:val="27"/>
          <w:rtl/>
        </w:rPr>
        <w:t>على</w:t>
      </w:r>
      <w:r w:rsidRPr="00282AC9">
        <w:rPr>
          <w:rFonts w:asciiTheme="minorBidi" w:hAnsiTheme="minorBidi"/>
          <w:sz w:val="27"/>
          <w:rtl/>
        </w:rPr>
        <w:t xml:space="preserve"> </w:t>
      </w:r>
      <w:r w:rsidRPr="00282AC9">
        <w:rPr>
          <w:rFonts w:asciiTheme="minorBidi" w:hAnsiTheme="minorBidi" w:hint="cs"/>
          <w:sz w:val="27"/>
          <w:rtl/>
        </w:rPr>
        <w:t>الظالم</w:t>
      </w:r>
      <w:r w:rsidR="006600D4"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بشكلٍ</w:t>
      </w:r>
      <w:r w:rsidRPr="00282AC9">
        <w:rPr>
          <w:rFonts w:asciiTheme="minorBidi" w:hAnsiTheme="minorBidi"/>
          <w:sz w:val="27"/>
          <w:rtl/>
        </w:rPr>
        <w:t xml:space="preserve"> </w:t>
      </w:r>
      <w:r w:rsidRPr="00282AC9">
        <w:rPr>
          <w:rFonts w:asciiTheme="minorBidi" w:hAnsiTheme="minorBidi" w:hint="cs"/>
          <w:sz w:val="27"/>
          <w:rtl/>
        </w:rPr>
        <w:t>حس</w:t>
      </w:r>
      <w:r w:rsidR="006600D4" w:rsidRPr="00282AC9">
        <w:rPr>
          <w:rFonts w:asciiTheme="minorBidi" w:hAnsiTheme="minorBidi" w:hint="cs"/>
          <w:sz w:val="27"/>
          <w:rtl/>
        </w:rPr>
        <w:t>ّ</w:t>
      </w:r>
      <w:r w:rsidRPr="00282AC9">
        <w:rPr>
          <w:rFonts w:asciiTheme="minorBidi" w:hAnsiTheme="minorBidi" w:hint="cs"/>
          <w:sz w:val="27"/>
          <w:rtl/>
        </w:rPr>
        <w:t>ي</w:t>
      </w:r>
      <w:r w:rsidR="006600D4"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وظاهرٍ</w:t>
      </w:r>
      <w:r w:rsidRPr="00282AC9">
        <w:rPr>
          <w:rFonts w:asciiTheme="minorBidi" w:hAnsiTheme="minorBidi"/>
          <w:sz w:val="27"/>
          <w:rtl/>
        </w:rPr>
        <w:t xml:space="preserve"> </w:t>
      </w:r>
      <w:r w:rsidRPr="00282AC9">
        <w:rPr>
          <w:rFonts w:asciiTheme="minorBidi" w:hAnsiTheme="minorBidi" w:hint="cs"/>
          <w:sz w:val="27"/>
          <w:rtl/>
        </w:rPr>
        <w:t>ومباشر</w:t>
      </w:r>
      <w:r w:rsidR="006600D4" w:rsidRPr="00282AC9">
        <w:rPr>
          <w:rFonts w:asciiTheme="minorBidi" w:hAnsiTheme="minorBidi" w:hint="cs"/>
          <w:sz w:val="27"/>
          <w:rtl/>
        </w:rPr>
        <w:t>ٍ</w:t>
      </w:r>
      <w:r w:rsidRPr="00282AC9">
        <w:rPr>
          <w:rFonts w:asciiTheme="minorBidi" w:hAnsiTheme="minorBidi"/>
          <w:sz w:val="27"/>
          <w:rtl/>
        </w:rPr>
        <w:t>.</w:t>
      </w:r>
    </w:p>
    <w:p w:rsidR="00556C32" w:rsidRPr="00282AC9" w:rsidRDefault="00556C32" w:rsidP="00556C32">
      <w:pPr>
        <w:spacing w:line="420" w:lineRule="exact"/>
        <w:rPr>
          <w:sz w:val="27"/>
          <w:rtl/>
        </w:rPr>
      </w:pPr>
    </w:p>
    <w:p w:rsidR="00965E08" w:rsidRPr="00282AC9" w:rsidRDefault="00965E08" w:rsidP="007D56C2">
      <w:pPr>
        <w:pStyle w:val="31"/>
        <w:rPr>
          <w:color w:val="auto"/>
          <w:rtl/>
        </w:rPr>
      </w:pPr>
      <w:r w:rsidRPr="00282AC9">
        <w:rPr>
          <w:rFonts w:hint="cs"/>
          <w:color w:val="auto"/>
          <w:rtl/>
        </w:rPr>
        <w:t xml:space="preserve">ثانياً: </w:t>
      </w:r>
      <w:r w:rsidR="001B0857" w:rsidRPr="00282AC9">
        <w:rPr>
          <w:rFonts w:hint="cs"/>
          <w:color w:val="auto"/>
          <w:rtl/>
        </w:rPr>
        <w:t xml:space="preserve">في </w:t>
      </w:r>
      <w:r w:rsidRPr="00282AC9">
        <w:rPr>
          <w:rFonts w:hint="cs"/>
          <w:color w:val="auto"/>
          <w:rtl/>
        </w:rPr>
        <w:t>أدعية أهل البيت</w:t>
      </w:r>
      <w:r w:rsidR="00876ECA" w:rsidRPr="00282AC9">
        <w:rPr>
          <w:rFonts w:cs="Mosawi" w:hint="cs"/>
          <w:color w:val="auto"/>
          <w:sz w:val="23"/>
          <w:szCs w:val="23"/>
          <w:rtl/>
        </w:rPr>
        <w:t>^</w:t>
      </w:r>
    </w:p>
    <w:p w:rsidR="00965E08" w:rsidRPr="00282AC9" w:rsidRDefault="006600D4" w:rsidP="003062B7">
      <w:pPr>
        <w:rPr>
          <w:rFonts w:asciiTheme="minorBidi" w:hAnsiTheme="minorBidi"/>
          <w:sz w:val="27"/>
        </w:rPr>
      </w:pPr>
      <w:r w:rsidRPr="00282AC9">
        <w:rPr>
          <w:rFonts w:asciiTheme="minorBidi" w:hAnsiTheme="minorBidi" w:hint="cs"/>
          <w:sz w:val="27"/>
          <w:rtl/>
        </w:rPr>
        <w:t xml:space="preserve">1ـ </w:t>
      </w:r>
      <w:r w:rsidR="00965E08" w:rsidRPr="00282AC9">
        <w:rPr>
          <w:rFonts w:asciiTheme="minorBidi" w:hAnsiTheme="minorBidi" w:hint="cs"/>
          <w:sz w:val="27"/>
          <w:rtl/>
        </w:rPr>
        <w:t>عن عمرو</w:t>
      </w:r>
      <w:r w:rsidR="00965E08" w:rsidRPr="00282AC9">
        <w:rPr>
          <w:rFonts w:asciiTheme="minorBidi" w:hAnsiTheme="minorBidi"/>
          <w:sz w:val="27"/>
          <w:rtl/>
        </w:rPr>
        <w:t xml:space="preserve"> </w:t>
      </w:r>
      <w:r w:rsidR="00965E08" w:rsidRPr="00282AC9">
        <w:rPr>
          <w:rFonts w:asciiTheme="minorBidi" w:hAnsiTheme="minorBidi" w:hint="cs"/>
          <w:sz w:val="27"/>
          <w:rtl/>
        </w:rPr>
        <w:t>بن</w:t>
      </w:r>
      <w:r w:rsidR="00965E08" w:rsidRPr="00282AC9">
        <w:rPr>
          <w:rFonts w:asciiTheme="minorBidi" w:hAnsiTheme="minorBidi"/>
          <w:sz w:val="27"/>
          <w:rtl/>
        </w:rPr>
        <w:t xml:space="preserve"> </w:t>
      </w:r>
      <w:r w:rsidR="00965E08" w:rsidRPr="00282AC9">
        <w:rPr>
          <w:rFonts w:asciiTheme="minorBidi" w:hAnsiTheme="minorBidi" w:hint="cs"/>
          <w:sz w:val="27"/>
          <w:rtl/>
        </w:rPr>
        <w:t>خالد</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عن</w:t>
      </w:r>
      <w:r w:rsidR="00965E08" w:rsidRPr="00282AC9">
        <w:rPr>
          <w:rFonts w:asciiTheme="minorBidi" w:hAnsiTheme="minorBidi"/>
          <w:sz w:val="27"/>
          <w:rtl/>
        </w:rPr>
        <w:t xml:space="preserve"> </w:t>
      </w:r>
      <w:r w:rsidR="00965E08" w:rsidRPr="00282AC9">
        <w:rPr>
          <w:rFonts w:asciiTheme="minorBidi" w:hAnsiTheme="minorBidi" w:hint="cs"/>
          <w:sz w:val="27"/>
          <w:rtl/>
        </w:rPr>
        <w:t>أبي</w:t>
      </w:r>
      <w:r w:rsidR="00965E08" w:rsidRPr="00282AC9">
        <w:rPr>
          <w:rFonts w:asciiTheme="minorBidi" w:hAnsiTheme="minorBidi"/>
          <w:sz w:val="27"/>
          <w:rtl/>
        </w:rPr>
        <w:t xml:space="preserve"> </w:t>
      </w:r>
      <w:r w:rsidR="00965E08" w:rsidRPr="00282AC9">
        <w:rPr>
          <w:rFonts w:asciiTheme="minorBidi" w:hAnsiTheme="minorBidi" w:hint="cs"/>
          <w:sz w:val="27"/>
          <w:rtl/>
        </w:rPr>
        <w:t>جعفر</w:t>
      </w:r>
      <w:r w:rsidR="009A2A04" w:rsidRPr="00282AC9">
        <w:rPr>
          <w:rFonts w:asciiTheme="minorBidi" w:hAnsiTheme="minorBidi" w:cs="Mosawi"/>
          <w:sz w:val="22"/>
          <w:szCs w:val="22"/>
          <w:rtl/>
        </w:rPr>
        <w:t>×</w:t>
      </w:r>
      <w:r w:rsidR="00965E08" w:rsidRPr="00282AC9">
        <w:rPr>
          <w:rFonts w:asciiTheme="minorBidi" w:hAnsiTheme="minorBidi"/>
          <w:sz w:val="27"/>
          <w:rtl/>
        </w:rPr>
        <w:t xml:space="preserve"> </w:t>
      </w:r>
      <w:r w:rsidR="00965E08" w:rsidRPr="00282AC9">
        <w:rPr>
          <w:rFonts w:asciiTheme="minorBidi" w:hAnsiTheme="minorBidi" w:hint="cs"/>
          <w:sz w:val="27"/>
          <w:rtl/>
        </w:rPr>
        <w:t>قال</w:t>
      </w:r>
      <w:r w:rsidR="00965E08" w:rsidRPr="00282AC9">
        <w:rPr>
          <w:rFonts w:asciiTheme="minorBidi" w:hAnsiTheme="minorBidi"/>
          <w:sz w:val="27"/>
          <w:rtl/>
        </w:rPr>
        <w:t xml:space="preserve">: </w:t>
      </w:r>
      <w:r w:rsidR="00965E08" w:rsidRPr="00282AC9">
        <w:rPr>
          <w:rFonts w:hint="eastAsia"/>
          <w:sz w:val="24"/>
          <w:szCs w:val="24"/>
          <w:rtl/>
        </w:rPr>
        <w:t>«</w:t>
      </w:r>
      <w:r w:rsidR="00965E08" w:rsidRPr="00282AC9">
        <w:rPr>
          <w:rFonts w:asciiTheme="minorBidi" w:hAnsiTheme="minorBidi" w:hint="cs"/>
          <w:sz w:val="27"/>
          <w:rtl/>
        </w:rPr>
        <w:t>كان</w:t>
      </w:r>
      <w:r w:rsidR="00965E08" w:rsidRPr="00282AC9">
        <w:rPr>
          <w:rFonts w:asciiTheme="minorBidi" w:hAnsiTheme="minorBidi"/>
          <w:sz w:val="27"/>
          <w:rtl/>
        </w:rPr>
        <w:t xml:space="preserve"> </w:t>
      </w:r>
      <w:r w:rsidR="00965E08" w:rsidRPr="00282AC9">
        <w:rPr>
          <w:rFonts w:asciiTheme="minorBidi" w:hAnsiTheme="minorBidi" w:hint="cs"/>
          <w:sz w:val="27"/>
          <w:rtl/>
        </w:rPr>
        <w:t>رسول</w:t>
      </w:r>
      <w:r w:rsidR="00965E08" w:rsidRPr="00282AC9">
        <w:rPr>
          <w:rFonts w:asciiTheme="minorBidi" w:hAnsiTheme="minorBidi"/>
          <w:sz w:val="27"/>
          <w:rtl/>
        </w:rPr>
        <w:t xml:space="preserve"> </w:t>
      </w:r>
      <w:r w:rsidR="00965E08" w:rsidRPr="00282AC9">
        <w:rPr>
          <w:rFonts w:asciiTheme="minorBidi" w:hAnsiTheme="minorBidi" w:hint="cs"/>
          <w:sz w:val="27"/>
          <w:rtl/>
        </w:rPr>
        <w:t>الله</w:t>
      </w:r>
      <w:r w:rsidR="009A2A04" w:rsidRPr="00282AC9">
        <w:rPr>
          <w:rFonts w:asciiTheme="minorBidi" w:hAnsiTheme="minorBidi" w:cs="Mosawi"/>
          <w:sz w:val="22"/>
          <w:szCs w:val="22"/>
          <w:rtl/>
        </w:rPr>
        <w:t>|</w:t>
      </w:r>
      <w:r w:rsidR="00965E08" w:rsidRPr="00282AC9">
        <w:rPr>
          <w:rFonts w:asciiTheme="minorBidi" w:hAnsiTheme="minorBidi" w:hint="cs"/>
          <w:sz w:val="27"/>
          <w:rtl/>
        </w:rPr>
        <w:t xml:space="preserve"> يصوم</w:t>
      </w:r>
      <w:r w:rsidR="00965E08" w:rsidRPr="00282AC9">
        <w:rPr>
          <w:rFonts w:asciiTheme="minorBidi" w:hAnsiTheme="minorBidi"/>
          <w:sz w:val="27"/>
          <w:rtl/>
        </w:rPr>
        <w:t xml:space="preserve"> </w:t>
      </w:r>
      <w:r w:rsidR="00965E08" w:rsidRPr="00282AC9">
        <w:rPr>
          <w:rFonts w:asciiTheme="minorBidi" w:hAnsiTheme="minorBidi" w:hint="cs"/>
          <w:sz w:val="27"/>
          <w:rtl/>
        </w:rPr>
        <w:t>شعبان</w:t>
      </w:r>
      <w:r w:rsidR="00965E08" w:rsidRPr="00282AC9">
        <w:rPr>
          <w:rFonts w:asciiTheme="minorBidi" w:hAnsiTheme="minorBidi"/>
          <w:sz w:val="27"/>
          <w:rtl/>
        </w:rPr>
        <w:t xml:space="preserve"> </w:t>
      </w:r>
      <w:r w:rsidR="00965E08" w:rsidRPr="00282AC9">
        <w:rPr>
          <w:rFonts w:asciiTheme="minorBidi" w:hAnsiTheme="minorBidi" w:hint="cs"/>
          <w:sz w:val="27"/>
          <w:rtl/>
        </w:rPr>
        <w:t>ورمضان</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ي</w:t>
      </w:r>
      <w:r w:rsidRPr="00282AC9">
        <w:rPr>
          <w:rFonts w:asciiTheme="minorBidi" w:hAnsiTheme="minorBidi" w:hint="cs"/>
          <w:sz w:val="27"/>
          <w:rtl/>
        </w:rPr>
        <w:t>َ</w:t>
      </w:r>
      <w:r w:rsidR="00965E08" w:rsidRPr="00282AC9">
        <w:rPr>
          <w:rFonts w:asciiTheme="minorBidi" w:hAnsiTheme="minorBidi" w:hint="cs"/>
          <w:sz w:val="27"/>
          <w:rtl/>
        </w:rPr>
        <w:t>ص</w:t>
      </w:r>
      <w:r w:rsidRPr="00282AC9">
        <w:rPr>
          <w:rFonts w:asciiTheme="minorBidi" w:hAnsiTheme="minorBidi" w:hint="cs"/>
          <w:sz w:val="27"/>
          <w:rtl/>
        </w:rPr>
        <w:t>ِ</w:t>
      </w:r>
      <w:r w:rsidR="00965E08" w:rsidRPr="00282AC9">
        <w:rPr>
          <w:rFonts w:asciiTheme="minorBidi" w:hAnsiTheme="minorBidi" w:hint="cs"/>
          <w:sz w:val="27"/>
          <w:rtl/>
        </w:rPr>
        <w:t>ل</w:t>
      </w:r>
      <w:r w:rsidRPr="00282AC9">
        <w:rPr>
          <w:rFonts w:asciiTheme="minorBidi" w:hAnsiTheme="minorBidi" w:hint="cs"/>
          <w:sz w:val="27"/>
          <w:rtl/>
        </w:rPr>
        <w:t>ُ</w:t>
      </w:r>
      <w:r w:rsidR="00965E08" w:rsidRPr="00282AC9">
        <w:rPr>
          <w:rFonts w:asciiTheme="minorBidi" w:hAnsiTheme="minorBidi" w:hint="cs"/>
          <w:sz w:val="27"/>
          <w:rtl/>
        </w:rPr>
        <w:t>هما،</w:t>
      </w:r>
      <w:r w:rsidR="00965E08" w:rsidRPr="00282AC9">
        <w:rPr>
          <w:rFonts w:asciiTheme="minorBidi" w:hAnsiTheme="minorBidi"/>
          <w:sz w:val="27"/>
          <w:rtl/>
        </w:rPr>
        <w:t xml:space="preserve"> </w:t>
      </w:r>
      <w:r w:rsidR="00965E08" w:rsidRPr="00282AC9">
        <w:rPr>
          <w:rFonts w:asciiTheme="minorBidi" w:hAnsiTheme="minorBidi" w:hint="cs"/>
          <w:sz w:val="27"/>
          <w:rtl/>
        </w:rPr>
        <w:t>وكان</w:t>
      </w:r>
      <w:r w:rsidR="00965E08" w:rsidRPr="00282AC9">
        <w:rPr>
          <w:rFonts w:asciiTheme="minorBidi" w:hAnsiTheme="minorBidi"/>
          <w:sz w:val="27"/>
          <w:rtl/>
        </w:rPr>
        <w:t xml:space="preserve"> </w:t>
      </w:r>
      <w:r w:rsidR="00965E08" w:rsidRPr="00282AC9">
        <w:rPr>
          <w:rFonts w:asciiTheme="minorBidi" w:hAnsiTheme="minorBidi" w:hint="cs"/>
          <w:sz w:val="27"/>
          <w:rtl/>
        </w:rPr>
        <w:t>يقول</w:t>
      </w:r>
      <w:r w:rsidR="00965E08" w:rsidRPr="00282AC9">
        <w:rPr>
          <w:rFonts w:asciiTheme="minorBidi" w:hAnsiTheme="minorBidi"/>
          <w:sz w:val="27"/>
          <w:rtl/>
        </w:rPr>
        <w:t xml:space="preserve">: </w:t>
      </w:r>
      <w:r w:rsidR="00965E08" w:rsidRPr="00282AC9">
        <w:rPr>
          <w:rFonts w:asciiTheme="minorBidi" w:hAnsiTheme="minorBidi" w:hint="cs"/>
          <w:sz w:val="27"/>
          <w:rtl/>
        </w:rPr>
        <w:t>هما</w:t>
      </w:r>
      <w:r w:rsidR="00965E08" w:rsidRPr="00282AC9">
        <w:rPr>
          <w:rFonts w:asciiTheme="minorBidi" w:hAnsiTheme="minorBidi"/>
          <w:sz w:val="27"/>
          <w:rtl/>
        </w:rPr>
        <w:t xml:space="preserve"> </w:t>
      </w:r>
      <w:r w:rsidR="00965E08" w:rsidRPr="00282AC9">
        <w:rPr>
          <w:rFonts w:asciiTheme="minorBidi" w:hAnsiTheme="minorBidi" w:hint="cs"/>
          <w:sz w:val="27"/>
          <w:rtl/>
        </w:rPr>
        <w:t>شهرا</w:t>
      </w:r>
      <w:r w:rsidR="00965E08" w:rsidRPr="00282AC9">
        <w:rPr>
          <w:rFonts w:asciiTheme="minorBidi" w:hAnsiTheme="minorBidi"/>
          <w:sz w:val="27"/>
          <w:rtl/>
        </w:rPr>
        <w:t xml:space="preserve"> </w:t>
      </w:r>
      <w:r w:rsidR="00965E08" w:rsidRPr="00282AC9">
        <w:rPr>
          <w:rFonts w:asciiTheme="minorBidi" w:hAnsiTheme="minorBidi" w:hint="cs"/>
          <w:sz w:val="27"/>
          <w:rtl/>
        </w:rPr>
        <w:t>الله</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وهما</w:t>
      </w:r>
      <w:r w:rsidR="00965E08" w:rsidRPr="00282AC9">
        <w:rPr>
          <w:rFonts w:asciiTheme="minorBidi" w:hAnsiTheme="minorBidi"/>
          <w:sz w:val="27"/>
          <w:rtl/>
        </w:rPr>
        <w:t xml:space="preserve"> </w:t>
      </w:r>
      <w:r w:rsidR="00965E08" w:rsidRPr="00282AC9">
        <w:rPr>
          <w:rFonts w:asciiTheme="minorBidi" w:hAnsiTheme="minorBidi" w:hint="cs"/>
          <w:sz w:val="27"/>
          <w:rtl/>
        </w:rPr>
        <w:t>كف</w:t>
      </w:r>
      <w:r w:rsidRPr="00282AC9">
        <w:rPr>
          <w:rFonts w:asciiTheme="minorBidi" w:hAnsiTheme="minorBidi" w:hint="cs"/>
          <w:sz w:val="27"/>
          <w:rtl/>
        </w:rPr>
        <w:t>ّ</w:t>
      </w:r>
      <w:r w:rsidR="00965E08" w:rsidRPr="00282AC9">
        <w:rPr>
          <w:rFonts w:asciiTheme="minorBidi" w:hAnsiTheme="minorBidi" w:hint="cs"/>
          <w:sz w:val="27"/>
          <w:rtl/>
        </w:rPr>
        <w:t>ارة</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لما</w:t>
      </w:r>
      <w:r w:rsidR="00965E08" w:rsidRPr="00282AC9">
        <w:rPr>
          <w:rFonts w:asciiTheme="minorBidi" w:hAnsiTheme="minorBidi"/>
          <w:sz w:val="27"/>
          <w:rtl/>
        </w:rPr>
        <w:t xml:space="preserve"> </w:t>
      </w:r>
      <w:r w:rsidR="00965E08" w:rsidRPr="00282AC9">
        <w:rPr>
          <w:rFonts w:asciiTheme="minorBidi" w:hAnsiTheme="minorBidi" w:hint="cs"/>
          <w:sz w:val="27"/>
          <w:rtl/>
        </w:rPr>
        <w:t>قبلهما</w:t>
      </w:r>
      <w:r w:rsidR="00965E08" w:rsidRPr="00282AC9">
        <w:rPr>
          <w:rFonts w:asciiTheme="minorBidi" w:hAnsiTheme="minorBidi"/>
          <w:sz w:val="27"/>
          <w:rtl/>
        </w:rPr>
        <w:t xml:space="preserve"> </w:t>
      </w:r>
      <w:r w:rsidR="00965E08" w:rsidRPr="00282AC9">
        <w:rPr>
          <w:rFonts w:asciiTheme="minorBidi" w:hAnsiTheme="minorBidi" w:hint="cs"/>
          <w:sz w:val="27"/>
          <w:rtl/>
        </w:rPr>
        <w:t>وما</w:t>
      </w:r>
      <w:r w:rsidR="00965E08" w:rsidRPr="00282AC9">
        <w:rPr>
          <w:rFonts w:asciiTheme="minorBidi" w:hAnsiTheme="minorBidi"/>
          <w:sz w:val="27"/>
          <w:rtl/>
        </w:rPr>
        <w:t xml:space="preserve"> </w:t>
      </w:r>
      <w:r w:rsidR="00965E08" w:rsidRPr="00282AC9">
        <w:rPr>
          <w:rFonts w:asciiTheme="minorBidi" w:hAnsiTheme="minorBidi" w:hint="cs"/>
          <w:sz w:val="27"/>
          <w:rtl/>
        </w:rPr>
        <w:t>بعدهما من</w:t>
      </w:r>
      <w:r w:rsidR="00965E08" w:rsidRPr="00282AC9">
        <w:rPr>
          <w:rFonts w:asciiTheme="minorBidi" w:hAnsiTheme="minorBidi"/>
          <w:sz w:val="27"/>
          <w:rtl/>
        </w:rPr>
        <w:t xml:space="preserve"> </w:t>
      </w:r>
      <w:r w:rsidR="00965E08" w:rsidRPr="00282AC9">
        <w:rPr>
          <w:rFonts w:asciiTheme="minorBidi" w:hAnsiTheme="minorBidi" w:hint="cs"/>
          <w:sz w:val="27"/>
          <w:rtl/>
        </w:rPr>
        <w:t>الذنوب</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اليوم</w:t>
      </w:r>
      <w:r w:rsidR="00965E08" w:rsidRPr="00282AC9">
        <w:rPr>
          <w:rFonts w:asciiTheme="minorBidi" w:hAnsiTheme="minorBidi"/>
          <w:sz w:val="27"/>
          <w:rtl/>
        </w:rPr>
        <w:t xml:space="preserve"> </w:t>
      </w:r>
      <w:r w:rsidR="00965E08" w:rsidRPr="00282AC9">
        <w:rPr>
          <w:rFonts w:asciiTheme="minorBidi" w:hAnsiTheme="minorBidi" w:hint="cs"/>
          <w:sz w:val="27"/>
          <w:rtl/>
        </w:rPr>
        <w:t>الثالث</w:t>
      </w:r>
      <w:r w:rsidR="00965E08" w:rsidRPr="00282AC9">
        <w:rPr>
          <w:rFonts w:asciiTheme="minorBidi" w:hAnsiTheme="minorBidi"/>
          <w:sz w:val="27"/>
          <w:rtl/>
        </w:rPr>
        <w:t xml:space="preserve"> </w:t>
      </w:r>
      <w:r w:rsidR="00965E08" w:rsidRPr="00282AC9">
        <w:rPr>
          <w:rFonts w:asciiTheme="minorBidi" w:hAnsiTheme="minorBidi" w:hint="cs"/>
          <w:sz w:val="27"/>
          <w:rtl/>
        </w:rPr>
        <w:t>فيه</w:t>
      </w:r>
      <w:r w:rsidR="00965E08" w:rsidRPr="00282AC9">
        <w:rPr>
          <w:rFonts w:asciiTheme="minorBidi" w:hAnsiTheme="minorBidi"/>
          <w:sz w:val="27"/>
          <w:rtl/>
        </w:rPr>
        <w:t xml:space="preserve"> </w:t>
      </w:r>
      <w:r w:rsidR="00965E08" w:rsidRPr="00282AC9">
        <w:rPr>
          <w:rFonts w:asciiTheme="minorBidi" w:hAnsiTheme="minorBidi" w:hint="cs"/>
          <w:sz w:val="27"/>
          <w:rtl/>
        </w:rPr>
        <w:t>و</w:t>
      </w:r>
      <w:r w:rsidRPr="00282AC9">
        <w:rPr>
          <w:rFonts w:asciiTheme="minorBidi" w:hAnsiTheme="minorBidi" w:hint="cs"/>
          <w:sz w:val="27"/>
          <w:rtl/>
        </w:rPr>
        <w:t>ُ</w:t>
      </w:r>
      <w:r w:rsidR="00965E08" w:rsidRPr="00282AC9">
        <w:rPr>
          <w:rFonts w:asciiTheme="minorBidi" w:hAnsiTheme="minorBidi" w:hint="cs"/>
          <w:sz w:val="27"/>
          <w:rtl/>
        </w:rPr>
        <w:t>لد</w:t>
      </w:r>
      <w:r w:rsidR="00965E08" w:rsidRPr="00282AC9">
        <w:rPr>
          <w:rFonts w:asciiTheme="minorBidi" w:hAnsiTheme="minorBidi"/>
          <w:sz w:val="27"/>
          <w:rtl/>
        </w:rPr>
        <w:t xml:space="preserve"> </w:t>
      </w:r>
      <w:r w:rsidR="00965E08" w:rsidRPr="00282AC9">
        <w:rPr>
          <w:rFonts w:asciiTheme="minorBidi" w:hAnsiTheme="minorBidi" w:hint="cs"/>
          <w:sz w:val="27"/>
          <w:rtl/>
        </w:rPr>
        <w:t>الحسين</w:t>
      </w:r>
      <w:r w:rsidR="00965E08" w:rsidRPr="00282AC9">
        <w:rPr>
          <w:rFonts w:asciiTheme="minorBidi" w:hAnsiTheme="minorBidi"/>
          <w:sz w:val="27"/>
          <w:rtl/>
        </w:rPr>
        <w:t xml:space="preserve"> </w:t>
      </w:r>
      <w:r w:rsidR="00965E08" w:rsidRPr="00282AC9">
        <w:rPr>
          <w:rFonts w:asciiTheme="minorBidi" w:hAnsiTheme="minorBidi" w:hint="cs"/>
          <w:sz w:val="27"/>
          <w:rtl/>
        </w:rPr>
        <w:t>بن</w:t>
      </w:r>
      <w:r w:rsidR="00965E08" w:rsidRPr="00282AC9">
        <w:rPr>
          <w:rFonts w:asciiTheme="minorBidi" w:hAnsiTheme="minorBidi"/>
          <w:sz w:val="27"/>
          <w:rtl/>
        </w:rPr>
        <w:t xml:space="preserve"> </w:t>
      </w:r>
      <w:r w:rsidR="00965E08" w:rsidRPr="00282AC9">
        <w:rPr>
          <w:rFonts w:asciiTheme="minorBidi" w:hAnsiTheme="minorBidi" w:hint="cs"/>
          <w:sz w:val="27"/>
          <w:rtl/>
        </w:rPr>
        <w:t>علي</w:t>
      </w:r>
      <w:r w:rsidRPr="00282AC9">
        <w:rPr>
          <w:rFonts w:asciiTheme="minorBidi" w:hAnsiTheme="minorBidi" w:hint="cs"/>
          <w:sz w:val="27"/>
          <w:rtl/>
        </w:rPr>
        <w:t>ّ</w:t>
      </w:r>
      <w:r w:rsidR="009A2A04" w:rsidRPr="00282AC9">
        <w:rPr>
          <w:rFonts w:asciiTheme="minorBidi" w:hAnsiTheme="minorBidi" w:cs="Mosawi"/>
          <w:sz w:val="22"/>
          <w:szCs w:val="22"/>
          <w:rtl/>
        </w:rPr>
        <w:t>’</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خرج</w:t>
      </w:r>
      <w:r w:rsidR="00965E08" w:rsidRPr="00282AC9">
        <w:rPr>
          <w:rFonts w:asciiTheme="minorBidi" w:hAnsiTheme="minorBidi"/>
          <w:sz w:val="27"/>
          <w:rtl/>
        </w:rPr>
        <w:t xml:space="preserve"> </w:t>
      </w:r>
      <w:r w:rsidR="00965E08" w:rsidRPr="00282AC9">
        <w:rPr>
          <w:rFonts w:asciiTheme="minorBidi" w:hAnsiTheme="minorBidi" w:hint="cs"/>
          <w:sz w:val="27"/>
          <w:rtl/>
        </w:rPr>
        <w:t>إلى</w:t>
      </w:r>
      <w:r w:rsidR="00965E08" w:rsidRPr="00282AC9">
        <w:rPr>
          <w:rFonts w:asciiTheme="minorBidi" w:hAnsiTheme="minorBidi"/>
          <w:sz w:val="27"/>
          <w:rtl/>
        </w:rPr>
        <w:t xml:space="preserve"> </w:t>
      </w:r>
      <w:r w:rsidR="00965E08" w:rsidRPr="00282AC9">
        <w:rPr>
          <w:rFonts w:asciiTheme="minorBidi" w:hAnsiTheme="minorBidi" w:hint="cs"/>
          <w:sz w:val="27"/>
          <w:rtl/>
        </w:rPr>
        <w:t>القاسم</w:t>
      </w:r>
      <w:r w:rsidR="00965E08" w:rsidRPr="00282AC9">
        <w:rPr>
          <w:rFonts w:asciiTheme="minorBidi" w:hAnsiTheme="minorBidi"/>
          <w:sz w:val="27"/>
          <w:rtl/>
        </w:rPr>
        <w:t xml:space="preserve"> </w:t>
      </w:r>
      <w:r w:rsidR="00965E08" w:rsidRPr="00282AC9">
        <w:rPr>
          <w:rFonts w:asciiTheme="minorBidi" w:hAnsiTheme="minorBidi" w:hint="cs"/>
          <w:sz w:val="27"/>
          <w:rtl/>
        </w:rPr>
        <w:t>بن</w:t>
      </w:r>
      <w:r w:rsidR="00965E08" w:rsidRPr="00282AC9">
        <w:rPr>
          <w:rFonts w:asciiTheme="minorBidi" w:hAnsiTheme="minorBidi"/>
          <w:sz w:val="27"/>
          <w:rtl/>
        </w:rPr>
        <w:t xml:space="preserve"> </w:t>
      </w:r>
      <w:r w:rsidR="00965E08" w:rsidRPr="00282AC9">
        <w:rPr>
          <w:rFonts w:asciiTheme="minorBidi" w:hAnsiTheme="minorBidi" w:hint="cs"/>
          <w:sz w:val="27"/>
          <w:rtl/>
        </w:rPr>
        <w:t>العلاء الهمداني</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وكيل</w:t>
      </w:r>
      <w:r w:rsidR="00965E08" w:rsidRPr="00282AC9">
        <w:rPr>
          <w:rFonts w:asciiTheme="minorBidi" w:hAnsiTheme="minorBidi"/>
          <w:sz w:val="27"/>
          <w:rtl/>
        </w:rPr>
        <w:t xml:space="preserve"> </w:t>
      </w:r>
      <w:r w:rsidR="00965E08" w:rsidRPr="00282AC9">
        <w:rPr>
          <w:rFonts w:asciiTheme="minorBidi" w:hAnsiTheme="minorBidi" w:hint="cs"/>
          <w:sz w:val="27"/>
          <w:rtl/>
        </w:rPr>
        <w:t>أبي</w:t>
      </w:r>
      <w:r w:rsidR="00965E08" w:rsidRPr="00282AC9">
        <w:rPr>
          <w:rFonts w:asciiTheme="minorBidi" w:hAnsiTheme="minorBidi"/>
          <w:sz w:val="27"/>
          <w:rtl/>
        </w:rPr>
        <w:t xml:space="preserve"> </w:t>
      </w:r>
      <w:r w:rsidR="00965E08" w:rsidRPr="00282AC9">
        <w:rPr>
          <w:rFonts w:asciiTheme="minorBidi" w:hAnsiTheme="minorBidi" w:hint="cs"/>
          <w:sz w:val="27"/>
          <w:rtl/>
        </w:rPr>
        <w:t>محمد</w:t>
      </w:r>
      <w:r w:rsidR="009A2A04" w:rsidRPr="00282AC9">
        <w:rPr>
          <w:rFonts w:asciiTheme="minorBidi" w:hAnsiTheme="minorBidi" w:cs="Mosawi"/>
          <w:sz w:val="22"/>
          <w:szCs w:val="22"/>
          <w:rtl/>
        </w:rPr>
        <w:t>×</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أن</w:t>
      </w:r>
      <w:r w:rsidR="00965E08" w:rsidRPr="00282AC9">
        <w:rPr>
          <w:rFonts w:asciiTheme="minorBidi" w:hAnsiTheme="minorBidi"/>
          <w:sz w:val="27"/>
          <w:rtl/>
        </w:rPr>
        <w:t xml:space="preserve"> </w:t>
      </w:r>
      <w:r w:rsidR="00965E08" w:rsidRPr="00282AC9">
        <w:rPr>
          <w:rFonts w:asciiTheme="minorBidi" w:hAnsiTheme="minorBidi" w:hint="cs"/>
          <w:sz w:val="27"/>
          <w:rtl/>
        </w:rPr>
        <w:t>مولانا</w:t>
      </w:r>
      <w:r w:rsidR="00965E08" w:rsidRPr="00282AC9">
        <w:rPr>
          <w:rFonts w:asciiTheme="minorBidi" w:hAnsiTheme="minorBidi"/>
          <w:sz w:val="27"/>
          <w:rtl/>
        </w:rPr>
        <w:t xml:space="preserve"> </w:t>
      </w:r>
      <w:r w:rsidR="00965E08" w:rsidRPr="00282AC9">
        <w:rPr>
          <w:rFonts w:asciiTheme="minorBidi" w:hAnsiTheme="minorBidi" w:hint="cs"/>
          <w:sz w:val="27"/>
          <w:rtl/>
        </w:rPr>
        <w:t>الحسين</w:t>
      </w:r>
      <w:r w:rsidR="009A2A04" w:rsidRPr="00282AC9">
        <w:rPr>
          <w:rFonts w:asciiTheme="minorBidi" w:hAnsiTheme="minorBidi" w:cs="Mosawi"/>
          <w:sz w:val="22"/>
          <w:szCs w:val="22"/>
          <w:rtl/>
        </w:rPr>
        <w:t>×</w:t>
      </w:r>
      <w:r w:rsidR="00965E08" w:rsidRPr="00282AC9">
        <w:rPr>
          <w:rFonts w:asciiTheme="minorBidi" w:hAnsiTheme="minorBidi"/>
          <w:sz w:val="27"/>
          <w:rtl/>
        </w:rPr>
        <w:t xml:space="preserve"> </w:t>
      </w:r>
      <w:r w:rsidR="00965E08" w:rsidRPr="00282AC9">
        <w:rPr>
          <w:rFonts w:asciiTheme="minorBidi" w:hAnsiTheme="minorBidi" w:hint="cs"/>
          <w:sz w:val="27"/>
          <w:rtl/>
        </w:rPr>
        <w:t>و</w:t>
      </w:r>
      <w:r w:rsidR="00585BCA" w:rsidRPr="00282AC9">
        <w:rPr>
          <w:rFonts w:asciiTheme="minorBidi" w:hAnsiTheme="minorBidi" w:hint="cs"/>
          <w:sz w:val="27"/>
          <w:rtl/>
        </w:rPr>
        <w:t>ُ</w:t>
      </w:r>
      <w:r w:rsidR="00965E08" w:rsidRPr="00282AC9">
        <w:rPr>
          <w:rFonts w:asciiTheme="minorBidi" w:hAnsiTheme="minorBidi" w:hint="cs"/>
          <w:sz w:val="27"/>
          <w:rtl/>
        </w:rPr>
        <w:t>لد</w:t>
      </w:r>
      <w:r w:rsidR="00965E08" w:rsidRPr="00282AC9">
        <w:rPr>
          <w:rFonts w:asciiTheme="minorBidi" w:hAnsiTheme="minorBidi"/>
          <w:sz w:val="27"/>
          <w:rtl/>
        </w:rPr>
        <w:t xml:space="preserve"> </w:t>
      </w:r>
      <w:r w:rsidR="00965E08" w:rsidRPr="00282AC9">
        <w:rPr>
          <w:rFonts w:asciiTheme="minorBidi" w:hAnsiTheme="minorBidi" w:hint="cs"/>
          <w:sz w:val="27"/>
          <w:rtl/>
        </w:rPr>
        <w:t>يوم</w:t>
      </w:r>
      <w:r w:rsidR="00965E08" w:rsidRPr="00282AC9">
        <w:rPr>
          <w:rFonts w:asciiTheme="minorBidi" w:hAnsiTheme="minorBidi"/>
          <w:sz w:val="27"/>
          <w:rtl/>
        </w:rPr>
        <w:t xml:space="preserve"> </w:t>
      </w:r>
      <w:r w:rsidR="00965E08" w:rsidRPr="00282AC9">
        <w:rPr>
          <w:rFonts w:asciiTheme="minorBidi" w:hAnsiTheme="minorBidi" w:hint="cs"/>
          <w:sz w:val="27"/>
          <w:rtl/>
        </w:rPr>
        <w:t>الخميس</w:t>
      </w:r>
      <w:r w:rsidR="00965E08" w:rsidRPr="00282AC9">
        <w:rPr>
          <w:rFonts w:asciiTheme="minorBidi" w:hAnsiTheme="minorBidi"/>
          <w:sz w:val="27"/>
          <w:rtl/>
        </w:rPr>
        <w:t xml:space="preserve"> </w:t>
      </w:r>
      <w:r w:rsidR="00965E08" w:rsidRPr="00282AC9">
        <w:rPr>
          <w:rFonts w:asciiTheme="minorBidi" w:hAnsiTheme="minorBidi" w:hint="cs"/>
          <w:sz w:val="27"/>
          <w:rtl/>
        </w:rPr>
        <w:t>لثل</w:t>
      </w:r>
      <w:r w:rsidR="00585BCA" w:rsidRPr="00282AC9">
        <w:rPr>
          <w:rFonts w:asciiTheme="minorBidi" w:hAnsiTheme="minorBidi" w:hint="cs"/>
          <w:sz w:val="27"/>
          <w:rtl/>
        </w:rPr>
        <w:t>ا</w:t>
      </w:r>
      <w:r w:rsidR="00965E08" w:rsidRPr="00282AC9">
        <w:rPr>
          <w:rFonts w:asciiTheme="minorBidi" w:hAnsiTheme="minorBidi" w:hint="cs"/>
          <w:sz w:val="27"/>
          <w:rtl/>
        </w:rPr>
        <w:t>ث خ</w:t>
      </w:r>
      <w:r w:rsidR="00585BCA" w:rsidRPr="00282AC9">
        <w:rPr>
          <w:rFonts w:asciiTheme="minorBidi" w:hAnsiTheme="minorBidi" w:hint="cs"/>
          <w:sz w:val="27"/>
          <w:rtl/>
        </w:rPr>
        <w:t>َ</w:t>
      </w:r>
      <w:r w:rsidR="00965E08" w:rsidRPr="00282AC9">
        <w:rPr>
          <w:rFonts w:asciiTheme="minorBidi" w:hAnsiTheme="minorBidi" w:hint="cs"/>
          <w:sz w:val="27"/>
          <w:rtl/>
        </w:rPr>
        <w:t>ل</w:t>
      </w:r>
      <w:r w:rsidR="00585BCA" w:rsidRPr="00282AC9">
        <w:rPr>
          <w:rFonts w:asciiTheme="minorBidi" w:hAnsiTheme="minorBidi" w:hint="cs"/>
          <w:sz w:val="27"/>
          <w:rtl/>
        </w:rPr>
        <w:t>َ</w:t>
      </w:r>
      <w:r w:rsidR="00965E08" w:rsidRPr="00282AC9">
        <w:rPr>
          <w:rFonts w:asciiTheme="minorBidi" w:hAnsiTheme="minorBidi" w:hint="cs"/>
          <w:sz w:val="27"/>
          <w:rtl/>
        </w:rPr>
        <w:t>و</w:t>
      </w:r>
      <w:r w:rsidR="00585BCA" w:rsidRPr="00282AC9">
        <w:rPr>
          <w:rFonts w:asciiTheme="minorBidi" w:hAnsiTheme="minorBidi" w:hint="cs"/>
          <w:sz w:val="27"/>
          <w:rtl/>
        </w:rPr>
        <w:t>ْ</w:t>
      </w:r>
      <w:r w:rsidR="00965E08" w:rsidRPr="00282AC9">
        <w:rPr>
          <w:rFonts w:asciiTheme="minorBidi" w:hAnsiTheme="minorBidi" w:hint="cs"/>
          <w:sz w:val="27"/>
          <w:rtl/>
        </w:rPr>
        <w:t>ن</w:t>
      </w:r>
      <w:r w:rsidR="00965E08" w:rsidRPr="00282AC9">
        <w:rPr>
          <w:rFonts w:asciiTheme="minorBidi" w:hAnsiTheme="minorBidi"/>
          <w:sz w:val="27"/>
          <w:rtl/>
        </w:rPr>
        <w:t xml:space="preserve"> </w:t>
      </w:r>
      <w:r w:rsidR="00965E08" w:rsidRPr="00282AC9">
        <w:rPr>
          <w:rFonts w:asciiTheme="minorBidi" w:hAnsiTheme="minorBidi" w:hint="cs"/>
          <w:sz w:val="27"/>
          <w:rtl/>
        </w:rPr>
        <w:t>من</w:t>
      </w:r>
      <w:r w:rsidR="00965E08" w:rsidRPr="00282AC9">
        <w:rPr>
          <w:rFonts w:asciiTheme="minorBidi" w:hAnsiTheme="minorBidi"/>
          <w:sz w:val="27"/>
          <w:rtl/>
        </w:rPr>
        <w:t xml:space="preserve"> </w:t>
      </w:r>
      <w:r w:rsidR="00965E08" w:rsidRPr="00282AC9">
        <w:rPr>
          <w:rFonts w:asciiTheme="minorBidi" w:hAnsiTheme="minorBidi" w:hint="cs"/>
          <w:sz w:val="27"/>
          <w:rtl/>
        </w:rPr>
        <w:t>شعبان</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فص</w:t>
      </w:r>
      <w:r w:rsidR="00585BCA" w:rsidRPr="00282AC9">
        <w:rPr>
          <w:rFonts w:asciiTheme="minorBidi" w:hAnsiTheme="minorBidi" w:hint="cs"/>
          <w:sz w:val="27"/>
          <w:rtl/>
        </w:rPr>
        <w:t>ُ</w:t>
      </w:r>
      <w:r w:rsidR="00965E08" w:rsidRPr="00282AC9">
        <w:rPr>
          <w:rFonts w:asciiTheme="minorBidi" w:hAnsiTheme="minorBidi" w:hint="cs"/>
          <w:sz w:val="27"/>
          <w:rtl/>
        </w:rPr>
        <w:t>م</w:t>
      </w:r>
      <w:r w:rsidR="00585BCA" w:rsidRPr="00282AC9">
        <w:rPr>
          <w:rFonts w:asciiTheme="minorBidi" w:hAnsiTheme="minorBidi" w:hint="cs"/>
          <w:sz w:val="27"/>
          <w:rtl/>
        </w:rPr>
        <w:t>ْ</w:t>
      </w:r>
      <w:r w:rsidR="00965E08" w:rsidRPr="00282AC9">
        <w:rPr>
          <w:rFonts w:asciiTheme="minorBidi" w:hAnsiTheme="minorBidi" w:hint="cs"/>
          <w:sz w:val="27"/>
          <w:rtl/>
        </w:rPr>
        <w:t>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واد</w:t>
      </w:r>
      <w:r w:rsidR="00585BCA" w:rsidRPr="00282AC9">
        <w:rPr>
          <w:rFonts w:asciiTheme="minorBidi" w:hAnsiTheme="minorBidi" w:hint="cs"/>
          <w:sz w:val="27"/>
          <w:rtl/>
        </w:rPr>
        <w:t>ْ</w:t>
      </w:r>
      <w:r w:rsidR="00965E08" w:rsidRPr="00282AC9">
        <w:rPr>
          <w:rFonts w:asciiTheme="minorBidi" w:hAnsiTheme="minorBidi" w:hint="cs"/>
          <w:sz w:val="27"/>
          <w:rtl/>
        </w:rPr>
        <w:t>ع</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فيه</w:t>
      </w:r>
      <w:r w:rsidR="00965E08" w:rsidRPr="00282AC9">
        <w:rPr>
          <w:rFonts w:asciiTheme="minorBidi" w:hAnsiTheme="minorBidi"/>
          <w:sz w:val="27"/>
          <w:rtl/>
        </w:rPr>
        <w:t xml:space="preserve"> </w:t>
      </w:r>
      <w:r w:rsidR="00965E08" w:rsidRPr="00282AC9">
        <w:rPr>
          <w:rFonts w:asciiTheme="minorBidi" w:hAnsiTheme="minorBidi" w:hint="cs"/>
          <w:sz w:val="27"/>
          <w:rtl/>
        </w:rPr>
        <w:t>بهذا</w:t>
      </w:r>
      <w:r w:rsidR="00965E08" w:rsidRPr="00282AC9">
        <w:rPr>
          <w:rFonts w:asciiTheme="minorBidi" w:hAnsiTheme="minorBidi"/>
          <w:sz w:val="27"/>
          <w:rtl/>
        </w:rPr>
        <w:t xml:space="preserve"> </w:t>
      </w:r>
      <w:r w:rsidR="00965E08" w:rsidRPr="00282AC9">
        <w:rPr>
          <w:rFonts w:asciiTheme="minorBidi" w:hAnsiTheme="minorBidi" w:hint="cs"/>
          <w:sz w:val="27"/>
          <w:rtl/>
        </w:rPr>
        <w:t>الدعاء</w:t>
      </w:r>
      <w:r w:rsidR="00965E08" w:rsidRPr="00282AC9">
        <w:rPr>
          <w:rFonts w:asciiTheme="minorBidi" w:hAnsiTheme="minorBidi"/>
          <w:sz w:val="27"/>
          <w:rtl/>
        </w:rPr>
        <w:t>:</w:t>
      </w:r>
      <w:r w:rsidR="00585BCA" w:rsidRPr="00282AC9">
        <w:rPr>
          <w:rFonts w:asciiTheme="minorBidi" w:hAnsiTheme="minorBidi" w:hint="cs"/>
          <w:sz w:val="27"/>
          <w:rtl/>
        </w:rPr>
        <w:t xml:space="preserve"> </w:t>
      </w:r>
      <w:r w:rsidR="00965E08" w:rsidRPr="00282AC9">
        <w:rPr>
          <w:rFonts w:asciiTheme="minorBidi" w:hAnsiTheme="minorBidi" w:hint="cs"/>
          <w:sz w:val="27"/>
          <w:rtl/>
        </w:rPr>
        <w:t>(اللهم</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إني</w:t>
      </w:r>
      <w:r w:rsidR="00965E08" w:rsidRPr="00282AC9">
        <w:rPr>
          <w:rFonts w:asciiTheme="minorBidi" w:hAnsiTheme="minorBidi"/>
          <w:sz w:val="27"/>
          <w:rtl/>
        </w:rPr>
        <w:t xml:space="preserve"> </w:t>
      </w:r>
      <w:r w:rsidR="00965E08" w:rsidRPr="00282AC9">
        <w:rPr>
          <w:rFonts w:asciiTheme="minorBidi" w:hAnsiTheme="minorBidi" w:hint="cs"/>
          <w:sz w:val="27"/>
          <w:rtl/>
        </w:rPr>
        <w:t>أسألك</w:t>
      </w:r>
      <w:r w:rsidR="00965E08" w:rsidRPr="00282AC9">
        <w:rPr>
          <w:rFonts w:asciiTheme="minorBidi" w:hAnsiTheme="minorBidi"/>
          <w:sz w:val="27"/>
          <w:rtl/>
        </w:rPr>
        <w:t xml:space="preserve"> </w:t>
      </w:r>
      <w:r w:rsidR="00965E08" w:rsidRPr="00282AC9">
        <w:rPr>
          <w:rFonts w:asciiTheme="minorBidi" w:hAnsiTheme="minorBidi" w:hint="cs"/>
          <w:sz w:val="27"/>
          <w:rtl/>
        </w:rPr>
        <w:t>بحق</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المولود</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هذا</w:t>
      </w:r>
      <w:r w:rsidR="00965E08" w:rsidRPr="00282AC9">
        <w:rPr>
          <w:rFonts w:asciiTheme="minorBidi" w:hAnsiTheme="minorBidi"/>
          <w:sz w:val="27"/>
          <w:rtl/>
        </w:rPr>
        <w:t xml:space="preserve"> </w:t>
      </w:r>
      <w:r w:rsidR="00965E08" w:rsidRPr="00282AC9">
        <w:rPr>
          <w:rFonts w:asciiTheme="minorBidi" w:hAnsiTheme="minorBidi" w:hint="cs"/>
          <w:sz w:val="27"/>
          <w:rtl/>
        </w:rPr>
        <w:t>اليوم</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الموعود</w:t>
      </w:r>
      <w:r w:rsidR="00965E08" w:rsidRPr="00282AC9">
        <w:rPr>
          <w:rFonts w:asciiTheme="minorBidi" w:hAnsiTheme="minorBidi"/>
          <w:sz w:val="27"/>
          <w:rtl/>
        </w:rPr>
        <w:t xml:space="preserve"> </w:t>
      </w:r>
      <w:r w:rsidR="00965E08" w:rsidRPr="00282AC9">
        <w:rPr>
          <w:rFonts w:asciiTheme="minorBidi" w:hAnsiTheme="minorBidi" w:hint="cs"/>
          <w:sz w:val="27"/>
          <w:rtl/>
        </w:rPr>
        <w:t>بشهادته</w:t>
      </w:r>
      <w:r w:rsidR="00965E08" w:rsidRPr="00282AC9">
        <w:rPr>
          <w:rFonts w:asciiTheme="minorBidi" w:hAnsiTheme="minorBidi"/>
          <w:sz w:val="27"/>
          <w:rtl/>
        </w:rPr>
        <w:t xml:space="preserve"> </w:t>
      </w:r>
      <w:r w:rsidR="00965E08" w:rsidRPr="00282AC9">
        <w:rPr>
          <w:rFonts w:asciiTheme="minorBidi" w:hAnsiTheme="minorBidi" w:hint="cs"/>
          <w:sz w:val="27"/>
          <w:rtl/>
        </w:rPr>
        <w:t>قبل</w:t>
      </w:r>
      <w:r w:rsidR="00965E08" w:rsidRPr="00282AC9">
        <w:rPr>
          <w:rFonts w:asciiTheme="minorBidi" w:hAnsiTheme="minorBidi"/>
          <w:sz w:val="27"/>
          <w:rtl/>
        </w:rPr>
        <w:t xml:space="preserve"> </w:t>
      </w:r>
      <w:r w:rsidR="00965E08" w:rsidRPr="00282AC9">
        <w:rPr>
          <w:rFonts w:asciiTheme="minorBidi" w:hAnsiTheme="minorBidi" w:hint="cs"/>
          <w:sz w:val="27"/>
          <w:rtl/>
        </w:rPr>
        <w:t>استهلاله وولادته</w:t>
      </w:r>
      <w:r w:rsidR="00965E08" w:rsidRPr="00282AC9">
        <w:rPr>
          <w:rFonts w:asciiTheme="minorBidi" w:hAnsiTheme="minorBidi"/>
          <w:sz w:val="27"/>
          <w:rtl/>
        </w:rPr>
        <w:t xml:space="preserve">، </w:t>
      </w:r>
      <w:r w:rsidR="00965E08" w:rsidRPr="00282AC9">
        <w:rPr>
          <w:rFonts w:asciiTheme="minorBidi" w:hAnsiTheme="minorBidi" w:hint="cs"/>
          <w:sz w:val="27"/>
          <w:rtl/>
        </w:rPr>
        <w:t>ب</w:t>
      </w:r>
      <w:r w:rsidR="00585BCA" w:rsidRPr="00282AC9">
        <w:rPr>
          <w:rFonts w:asciiTheme="minorBidi" w:hAnsiTheme="minorBidi" w:hint="cs"/>
          <w:sz w:val="27"/>
          <w:rtl/>
        </w:rPr>
        <w:t>َ</w:t>
      </w:r>
      <w:r w:rsidR="00965E08" w:rsidRPr="00282AC9">
        <w:rPr>
          <w:rFonts w:asciiTheme="minorBidi" w:hAnsiTheme="minorBidi" w:hint="cs"/>
          <w:sz w:val="27"/>
          <w:rtl/>
        </w:rPr>
        <w:t>ك</w:t>
      </w:r>
      <w:r w:rsidR="00585BCA" w:rsidRPr="00282AC9">
        <w:rPr>
          <w:rFonts w:asciiTheme="minorBidi" w:hAnsiTheme="minorBidi" w:hint="cs"/>
          <w:sz w:val="27"/>
          <w:rtl/>
        </w:rPr>
        <w:t>َ</w:t>
      </w:r>
      <w:r w:rsidR="00965E08" w:rsidRPr="00282AC9">
        <w:rPr>
          <w:rFonts w:asciiTheme="minorBidi" w:hAnsiTheme="minorBidi" w:hint="cs"/>
          <w:sz w:val="27"/>
          <w:rtl/>
        </w:rPr>
        <w:t>ت</w:t>
      </w:r>
      <w:r w:rsidR="00585BCA" w:rsidRPr="00282AC9">
        <w:rPr>
          <w:rFonts w:asciiTheme="minorBidi" w:hAnsiTheme="minorBidi" w:hint="cs"/>
          <w:sz w:val="27"/>
          <w:rtl/>
        </w:rPr>
        <w:t>ْ</w:t>
      </w:r>
      <w:r w:rsidR="00965E08" w:rsidRPr="00282AC9">
        <w:rPr>
          <w:rFonts w:asciiTheme="minorBidi" w:hAnsiTheme="minorBidi" w:hint="cs"/>
          <w:sz w:val="27"/>
          <w:rtl/>
        </w:rPr>
        <w:t>ه</w:t>
      </w:r>
      <w:r w:rsidR="00965E08" w:rsidRPr="00282AC9">
        <w:rPr>
          <w:rFonts w:asciiTheme="minorBidi" w:hAnsiTheme="minorBidi"/>
          <w:sz w:val="27"/>
          <w:rtl/>
        </w:rPr>
        <w:t xml:space="preserve"> </w:t>
      </w:r>
      <w:r w:rsidR="00965E08" w:rsidRPr="00282AC9">
        <w:rPr>
          <w:rFonts w:asciiTheme="minorBidi" w:hAnsiTheme="minorBidi" w:hint="cs"/>
          <w:sz w:val="27"/>
          <w:rtl/>
        </w:rPr>
        <w:t>السماء</w:t>
      </w:r>
      <w:r w:rsidR="00965E08" w:rsidRPr="00282AC9">
        <w:rPr>
          <w:rFonts w:asciiTheme="minorBidi" w:hAnsiTheme="minorBidi"/>
          <w:sz w:val="27"/>
          <w:rtl/>
        </w:rPr>
        <w:t xml:space="preserve"> </w:t>
      </w:r>
      <w:r w:rsidR="00965E08" w:rsidRPr="00282AC9">
        <w:rPr>
          <w:rFonts w:asciiTheme="minorBidi" w:hAnsiTheme="minorBidi" w:hint="cs"/>
          <w:sz w:val="27"/>
          <w:rtl/>
        </w:rPr>
        <w:t>وم</w:t>
      </w:r>
      <w:r w:rsidR="00585BCA" w:rsidRPr="00282AC9">
        <w:rPr>
          <w:rFonts w:asciiTheme="minorBidi" w:hAnsiTheme="minorBidi" w:hint="cs"/>
          <w:sz w:val="27"/>
          <w:rtl/>
        </w:rPr>
        <w:t>َ</w:t>
      </w:r>
      <w:r w:rsidR="00965E08" w:rsidRPr="00282AC9">
        <w:rPr>
          <w:rFonts w:asciiTheme="minorBidi" w:hAnsiTheme="minorBidi" w:hint="cs"/>
          <w:sz w:val="27"/>
          <w:rtl/>
        </w:rPr>
        <w:t>ن</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فيها</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والأرض</w:t>
      </w:r>
      <w:r w:rsidR="00965E08" w:rsidRPr="00282AC9">
        <w:rPr>
          <w:rFonts w:asciiTheme="minorBidi" w:hAnsiTheme="minorBidi"/>
          <w:sz w:val="27"/>
          <w:rtl/>
        </w:rPr>
        <w:t xml:space="preserve"> </w:t>
      </w:r>
      <w:r w:rsidR="00965E08" w:rsidRPr="00282AC9">
        <w:rPr>
          <w:rFonts w:asciiTheme="minorBidi" w:hAnsiTheme="minorBidi" w:hint="cs"/>
          <w:sz w:val="27"/>
          <w:rtl/>
        </w:rPr>
        <w:t>وم</w:t>
      </w:r>
      <w:r w:rsidR="00585BCA" w:rsidRPr="00282AC9">
        <w:rPr>
          <w:rFonts w:asciiTheme="minorBidi" w:hAnsiTheme="minorBidi" w:hint="cs"/>
          <w:sz w:val="27"/>
          <w:rtl/>
        </w:rPr>
        <w:t>َ</w:t>
      </w:r>
      <w:r w:rsidR="00965E08" w:rsidRPr="00282AC9">
        <w:rPr>
          <w:rFonts w:asciiTheme="minorBidi" w:hAnsiTheme="minorBidi" w:hint="cs"/>
          <w:sz w:val="27"/>
          <w:rtl/>
        </w:rPr>
        <w:t>ن</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عليها</w:t>
      </w:r>
      <w:r w:rsidR="00965E08" w:rsidRPr="00282AC9">
        <w:rPr>
          <w:rFonts w:asciiTheme="minorBidi" w:hAnsiTheme="minorBidi"/>
          <w:sz w:val="27"/>
          <w:rtl/>
        </w:rPr>
        <w:t xml:space="preserve">، </w:t>
      </w:r>
      <w:r w:rsidR="00965E08" w:rsidRPr="00282AC9">
        <w:rPr>
          <w:rFonts w:asciiTheme="minorBidi" w:hAnsiTheme="minorBidi" w:hint="cs"/>
          <w:sz w:val="27"/>
          <w:rtl/>
        </w:rPr>
        <w:t>ولم</w:t>
      </w:r>
      <w:r w:rsidR="00585BCA" w:rsidRPr="00282AC9">
        <w:rPr>
          <w:rFonts w:asciiTheme="minorBidi" w:hAnsiTheme="minorBidi" w:hint="cs"/>
          <w:sz w:val="27"/>
          <w:rtl/>
        </w:rPr>
        <w:t>ّ</w:t>
      </w:r>
      <w:r w:rsidR="00965E08" w:rsidRPr="00282AC9">
        <w:rPr>
          <w:rFonts w:asciiTheme="minorBidi" w:hAnsiTheme="minorBidi" w:hint="cs"/>
          <w:sz w:val="27"/>
          <w:rtl/>
        </w:rPr>
        <w:t>ا</w:t>
      </w:r>
      <w:r w:rsidR="00965E08" w:rsidRPr="00282AC9">
        <w:rPr>
          <w:rFonts w:asciiTheme="minorBidi" w:hAnsiTheme="minorBidi"/>
          <w:sz w:val="27"/>
          <w:rtl/>
        </w:rPr>
        <w:t xml:space="preserve"> </w:t>
      </w:r>
      <w:r w:rsidR="00965E08" w:rsidRPr="00282AC9">
        <w:rPr>
          <w:rFonts w:asciiTheme="minorBidi" w:hAnsiTheme="minorBidi" w:hint="cs"/>
          <w:sz w:val="27"/>
          <w:rtl/>
        </w:rPr>
        <w:t>يطأ</w:t>
      </w:r>
      <w:r w:rsidR="00965E08" w:rsidRPr="00282AC9">
        <w:rPr>
          <w:rFonts w:asciiTheme="minorBidi" w:hAnsiTheme="minorBidi"/>
          <w:sz w:val="27"/>
          <w:rtl/>
        </w:rPr>
        <w:t xml:space="preserve"> </w:t>
      </w:r>
      <w:r w:rsidR="00965E08" w:rsidRPr="00282AC9">
        <w:rPr>
          <w:rFonts w:asciiTheme="minorBidi" w:hAnsiTheme="minorBidi" w:hint="cs"/>
          <w:sz w:val="27"/>
          <w:rtl/>
        </w:rPr>
        <w:t>لابت</w:t>
      </w:r>
      <w:r w:rsidR="00585BCA" w:rsidRPr="00282AC9">
        <w:rPr>
          <w:rFonts w:asciiTheme="minorBidi" w:hAnsiTheme="minorBidi" w:hint="cs"/>
          <w:sz w:val="27"/>
          <w:rtl/>
        </w:rPr>
        <w:t>َ</w:t>
      </w:r>
      <w:r w:rsidR="00965E08" w:rsidRPr="00282AC9">
        <w:rPr>
          <w:rFonts w:asciiTheme="minorBidi" w:hAnsiTheme="minorBidi" w:hint="cs"/>
          <w:sz w:val="27"/>
          <w:rtl/>
        </w:rPr>
        <w:t>ي</w:t>
      </w:r>
      <w:r w:rsidR="00585BCA" w:rsidRPr="00282AC9">
        <w:rPr>
          <w:rFonts w:asciiTheme="minorBidi" w:hAnsiTheme="minorBidi" w:hint="cs"/>
          <w:sz w:val="27"/>
          <w:rtl/>
        </w:rPr>
        <w:t>ْ</w:t>
      </w:r>
      <w:r w:rsidR="00965E08" w:rsidRPr="00282AC9">
        <w:rPr>
          <w:rFonts w:asciiTheme="minorBidi" w:hAnsiTheme="minorBidi" w:hint="cs"/>
          <w:sz w:val="27"/>
          <w:rtl/>
        </w:rPr>
        <w:t>ها</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قتيل</w:t>
      </w:r>
      <w:r w:rsidR="00965E08" w:rsidRPr="00282AC9">
        <w:rPr>
          <w:rFonts w:asciiTheme="minorBidi" w:hAnsiTheme="minorBidi"/>
          <w:sz w:val="27"/>
          <w:rtl/>
        </w:rPr>
        <w:t xml:space="preserve"> </w:t>
      </w:r>
      <w:r w:rsidR="00965E08" w:rsidRPr="00282AC9">
        <w:rPr>
          <w:rFonts w:asciiTheme="minorBidi" w:hAnsiTheme="minorBidi" w:hint="cs"/>
          <w:sz w:val="27"/>
          <w:rtl/>
        </w:rPr>
        <w:t>العبرة</w:t>
      </w:r>
      <w:r w:rsidR="00585BCA" w:rsidRPr="00282AC9">
        <w:rPr>
          <w:rFonts w:asciiTheme="minorBidi" w:hAnsiTheme="minorBidi" w:hint="cs"/>
          <w:sz w:val="27"/>
          <w:rtl/>
        </w:rPr>
        <w:t>،</w:t>
      </w:r>
      <w:r w:rsidR="00965E08" w:rsidRPr="00282AC9">
        <w:rPr>
          <w:rFonts w:asciiTheme="minorBidi" w:hAnsiTheme="minorBidi" w:hint="cs"/>
          <w:sz w:val="27"/>
          <w:rtl/>
        </w:rPr>
        <w:t xml:space="preserve"> وسي</w:t>
      </w:r>
      <w:r w:rsidR="00585BCA" w:rsidRPr="00282AC9">
        <w:rPr>
          <w:rFonts w:asciiTheme="minorBidi" w:hAnsiTheme="minorBidi" w:hint="cs"/>
          <w:sz w:val="27"/>
          <w:rtl/>
        </w:rPr>
        <w:t>ّ</w:t>
      </w:r>
      <w:r w:rsidR="00965E08" w:rsidRPr="00282AC9">
        <w:rPr>
          <w:rFonts w:asciiTheme="minorBidi" w:hAnsiTheme="minorBidi" w:hint="cs"/>
          <w:sz w:val="27"/>
          <w:rtl/>
        </w:rPr>
        <w:t>د</w:t>
      </w:r>
      <w:r w:rsidR="00965E08" w:rsidRPr="00282AC9">
        <w:rPr>
          <w:rFonts w:asciiTheme="minorBidi" w:hAnsiTheme="minorBidi"/>
          <w:sz w:val="27"/>
          <w:rtl/>
        </w:rPr>
        <w:t xml:space="preserve"> </w:t>
      </w:r>
      <w:r w:rsidR="00965E08" w:rsidRPr="00282AC9">
        <w:rPr>
          <w:rFonts w:asciiTheme="minorBidi" w:hAnsiTheme="minorBidi" w:hint="cs"/>
          <w:sz w:val="27"/>
          <w:rtl/>
        </w:rPr>
        <w:t>الأسرة</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الممدود</w:t>
      </w:r>
      <w:r w:rsidR="00965E08" w:rsidRPr="00282AC9">
        <w:rPr>
          <w:rFonts w:asciiTheme="minorBidi" w:hAnsiTheme="minorBidi"/>
          <w:sz w:val="27"/>
          <w:rtl/>
        </w:rPr>
        <w:t xml:space="preserve"> </w:t>
      </w:r>
      <w:r w:rsidR="00965E08" w:rsidRPr="00282AC9">
        <w:rPr>
          <w:rFonts w:asciiTheme="minorBidi" w:hAnsiTheme="minorBidi" w:hint="cs"/>
          <w:sz w:val="27"/>
          <w:rtl/>
        </w:rPr>
        <w:t>بالنصرة</w:t>
      </w:r>
      <w:r w:rsidR="00965E08" w:rsidRPr="00282AC9">
        <w:rPr>
          <w:rFonts w:asciiTheme="minorBidi" w:hAnsiTheme="minorBidi"/>
          <w:sz w:val="27"/>
          <w:rtl/>
        </w:rPr>
        <w:t xml:space="preserve"> </w:t>
      </w:r>
      <w:r w:rsidR="00965E08" w:rsidRPr="00282AC9">
        <w:rPr>
          <w:rFonts w:asciiTheme="minorBidi" w:hAnsiTheme="minorBidi" w:hint="cs"/>
          <w:sz w:val="27"/>
          <w:rtl/>
        </w:rPr>
        <w:t>يوم</w:t>
      </w:r>
      <w:r w:rsidR="00965E08" w:rsidRPr="00282AC9">
        <w:rPr>
          <w:rFonts w:asciiTheme="minorBidi" w:hAnsiTheme="minorBidi"/>
          <w:sz w:val="27"/>
          <w:rtl/>
        </w:rPr>
        <w:t xml:space="preserve"> </w:t>
      </w:r>
      <w:r w:rsidR="00965E08" w:rsidRPr="00282AC9">
        <w:rPr>
          <w:rFonts w:asciiTheme="minorBidi" w:hAnsiTheme="minorBidi" w:hint="cs"/>
          <w:sz w:val="27"/>
          <w:rtl/>
        </w:rPr>
        <w:t>الكر</w:t>
      </w:r>
      <w:r w:rsidR="00585BCA" w:rsidRPr="00282AC9">
        <w:rPr>
          <w:rFonts w:asciiTheme="minorBidi" w:hAnsiTheme="minorBidi" w:hint="cs"/>
          <w:sz w:val="27"/>
          <w:rtl/>
        </w:rPr>
        <w:t>ّ</w:t>
      </w:r>
      <w:r w:rsidR="00965E08" w:rsidRPr="00282AC9">
        <w:rPr>
          <w:rFonts w:asciiTheme="minorBidi" w:hAnsiTheme="minorBidi" w:hint="cs"/>
          <w:sz w:val="27"/>
          <w:rtl/>
        </w:rPr>
        <w:t>ة</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المعوض</w:t>
      </w:r>
      <w:r w:rsidR="00965E08" w:rsidRPr="00282AC9">
        <w:rPr>
          <w:rFonts w:asciiTheme="minorBidi" w:hAnsiTheme="minorBidi"/>
          <w:sz w:val="27"/>
          <w:rtl/>
        </w:rPr>
        <w:t xml:space="preserve"> </w:t>
      </w:r>
      <w:r w:rsidR="00965E08" w:rsidRPr="00282AC9">
        <w:rPr>
          <w:rFonts w:asciiTheme="minorBidi" w:hAnsiTheme="minorBidi" w:hint="cs"/>
          <w:sz w:val="27"/>
          <w:rtl/>
        </w:rPr>
        <w:t>من</w:t>
      </w:r>
      <w:r w:rsidR="00965E08" w:rsidRPr="00282AC9">
        <w:rPr>
          <w:rFonts w:asciiTheme="minorBidi" w:hAnsiTheme="minorBidi"/>
          <w:sz w:val="27"/>
          <w:rtl/>
        </w:rPr>
        <w:t xml:space="preserve"> </w:t>
      </w:r>
      <w:r w:rsidR="00965E08" w:rsidRPr="00282AC9">
        <w:rPr>
          <w:rFonts w:asciiTheme="minorBidi" w:hAnsiTheme="minorBidi" w:hint="cs"/>
          <w:sz w:val="27"/>
          <w:rtl/>
        </w:rPr>
        <w:t>قتله</w:t>
      </w:r>
      <w:r w:rsidR="00965E08" w:rsidRPr="00282AC9">
        <w:rPr>
          <w:rFonts w:asciiTheme="minorBidi" w:hAnsiTheme="minorBidi"/>
          <w:sz w:val="27"/>
          <w:rtl/>
        </w:rPr>
        <w:t xml:space="preserve"> </w:t>
      </w:r>
      <w:r w:rsidR="00965E08" w:rsidRPr="00282AC9">
        <w:rPr>
          <w:rFonts w:asciiTheme="minorBidi" w:hAnsiTheme="minorBidi" w:hint="cs"/>
          <w:sz w:val="27"/>
          <w:rtl/>
        </w:rPr>
        <w:t>أن</w:t>
      </w:r>
      <w:r w:rsidR="00965E08" w:rsidRPr="00282AC9">
        <w:rPr>
          <w:rFonts w:asciiTheme="minorBidi" w:hAnsiTheme="minorBidi"/>
          <w:sz w:val="27"/>
          <w:rtl/>
        </w:rPr>
        <w:t xml:space="preserve"> </w:t>
      </w:r>
      <w:r w:rsidR="00965E08" w:rsidRPr="00282AC9">
        <w:rPr>
          <w:rFonts w:asciiTheme="minorBidi" w:hAnsiTheme="minorBidi" w:hint="cs"/>
          <w:sz w:val="27"/>
          <w:rtl/>
        </w:rPr>
        <w:t>الأئم</w:t>
      </w:r>
      <w:r w:rsidR="00585BCA" w:rsidRPr="00282AC9">
        <w:rPr>
          <w:rFonts w:asciiTheme="minorBidi" w:hAnsiTheme="minorBidi" w:hint="cs"/>
          <w:sz w:val="27"/>
          <w:rtl/>
        </w:rPr>
        <w:t>ّ</w:t>
      </w:r>
      <w:r w:rsidR="00965E08" w:rsidRPr="00282AC9">
        <w:rPr>
          <w:rFonts w:asciiTheme="minorBidi" w:hAnsiTheme="minorBidi" w:hint="cs"/>
          <w:sz w:val="27"/>
          <w:rtl/>
        </w:rPr>
        <w:t>ة</w:t>
      </w:r>
      <w:r w:rsidR="00965E08" w:rsidRPr="00282AC9">
        <w:rPr>
          <w:rFonts w:asciiTheme="minorBidi" w:hAnsiTheme="minorBidi"/>
          <w:sz w:val="27"/>
          <w:rtl/>
        </w:rPr>
        <w:t xml:space="preserve"> </w:t>
      </w:r>
      <w:r w:rsidR="00965E08" w:rsidRPr="00282AC9">
        <w:rPr>
          <w:rFonts w:asciiTheme="minorBidi" w:hAnsiTheme="minorBidi" w:hint="cs"/>
          <w:sz w:val="27"/>
          <w:rtl/>
        </w:rPr>
        <w:t>من</w:t>
      </w:r>
      <w:r w:rsidR="00965E08" w:rsidRPr="00282AC9">
        <w:rPr>
          <w:rFonts w:asciiTheme="minorBidi" w:hAnsiTheme="minorBidi"/>
          <w:sz w:val="27"/>
          <w:rtl/>
        </w:rPr>
        <w:t xml:space="preserve"> </w:t>
      </w:r>
      <w:r w:rsidR="00965E08" w:rsidRPr="00282AC9">
        <w:rPr>
          <w:rFonts w:asciiTheme="minorBidi" w:hAnsiTheme="minorBidi" w:hint="cs"/>
          <w:sz w:val="27"/>
          <w:rtl/>
        </w:rPr>
        <w:t>نسله</w:t>
      </w:r>
      <w:r w:rsidR="00585BCA" w:rsidRPr="00282AC9">
        <w:rPr>
          <w:rFonts w:asciiTheme="minorBidi" w:hAnsiTheme="minorBidi" w:hint="cs"/>
          <w:sz w:val="27"/>
          <w:rtl/>
        </w:rPr>
        <w:t>،</w:t>
      </w:r>
      <w:r w:rsidR="00965E08" w:rsidRPr="00282AC9">
        <w:rPr>
          <w:rFonts w:asciiTheme="minorBidi" w:hAnsiTheme="minorBidi" w:hint="cs"/>
          <w:sz w:val="27"/>
          <w:rtl/>
        </w:rPr>
        <w:t xml:space="preserve"> والشفاء</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تربته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والفوز</w:t>
      </w:r>
      <w:r w:rsidR="00965E08" w:rsidRPr="00282AC9">
        <w:rPr>
          <w:rFonts w:asciiTheme="minorBidi" w:hAnsiTheme="minorBidi"/>
          <w:sz w:val="27"/>
          <w:rtl/>
        </w:rPr>
        <w:t xml:space="preserve"> </w:t>
      </w:r>
      <w:r w:rsidR="00965E08" w:rsidRPr="00282AC9">
        <w:rPr>
          <w:rFonts w:asciiTheme="minorBidi" w:hAnsiTheme="minorBidi" w:hint="cs"/>
          <w:sz w:val="27"/>
          <w:rtl/>
        </w:rPr>
        <w:t>معه</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أوبته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والأوصياء</w:t>
      </w:r>
      <w:r w:rsidR="00965E08" w:rsidRPr="00282AC9">
        <w:rPr>
          <w:rFonts w:asciiTheme="minorBidi" w:hAnsiTheme="minorBidi"/>
          <w:sz w:val="27"/>
          <w:rtl/>
        </w:rPr>
        <w:t xml:space="preserve"> </w:t>
      </w:r>
      <w:r w:rsidR="00965E08" w:rsidRPr="00282AC9">
        <w:rPr>
          <w:rFonts w:asciiTheme="minorBidi" w:hAnsiTheme="minorBidi" w:hint="cs"/>
          <w:sz w:val="27"/>
          <w:rtl/>
        </w:rPr>
        <w:t>من</w:t>
      </w:r>
      <w:r w:rsidR="00965E08" w:rsidRPr="00282AC9">
        <w:rPr>
          <w:rFonts w:asciiTheme="minorBidi" w:hAnsiTheme="minorBidi"/>
          <w:sz w:val="27"/>
          <w:rtl/>
        </w:rPr>
        <w:t xml:space="preserve"> </w:t>
      </w:r>
      <w:r w:rsidR="00965E08" w:rsidRPr="00282AC9">
        <w:rPr>
          <w:rFonts w:asciiTheme="minorBidi" w:hAnsiTheme="minorBidi" w:hint="cs"/>
          <w:sz w:val="27"/>
          <w:rtl/>
        </w:rPr>
        <w:t>عترته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بعد</w:t>
      </w:r>
      <w:r w:rsidR="00965E08" w:rsidRPr="00282AC9">
        <w:rPr>
          <w:rFonts w:asciiTheme="minorBidi" w:hAnsiTheme="minorBidi"/>
          <w:sz w:val="27"/>
          <w:rtl/>
        </w:rPr>
        <w:t xml:space="preserve"> </w:t>
      </w:r>
      <w:r w:rsidR="00965E08" w:rsidRPr="00282AC9">
        <w:rPr>
          <w:rFonts w:asciiTheme="minorBidi" w:hAnsiTheme="minorBidi" w:hint="cs"/>
          <w:sz w:val="27"/>
          <w:rtl/>
        </w:rPr>
        <w:t>قائمهم</w:t>
      </w:r>
      <w:r w:rsidR="00965E08" w:rsidRPr="00282AC9">
        <w:rPr>
          <w:rFonts w:asciiTheme="minorBidi" w:hAnsiTheme="minorBidi"/>
          <w:sz w:val="27"/>
          <w:rtl/>
        </w:rPr>
        <w:t xml:space="preserve"> </w:t>
      </w:r>
      <w:r w:rsidR="00965E08" w:rsidRPr="00282AC9">
        <w:rPr>
          <w:rFonts w:asciiTheme="minorBidi" w:hAnsiTheme="minorBidi" w:hint="cs"/>
          <w:sz w:val="27"/>
          <w:rtl/>
        </w:rPr>
        <w:t>وغيبته</w:t>
      </w:r>
      <w:r w:rsidR="00585BCA" w:rsidRPr="00282AC9">
        <w:rPr>
          <w:rFonts w:asciiTheme="minorBidi" w:hAnsiTheme="minorBidi" w:hint="cs"/>
          <w:sz w:val="27"/>
          <w:rtl/>
        </w:rPr>
        <w:t>،</w:t>
      </w:r>
      <w:r w:rsidR="00965E08" w:rsidRPr="00282AC9">
        <w:rPr>
          <w:rFonts w:asciiTheme="minorBidi" w:hAnsiTheme="minorBidi" w:hint="cs"/>
          <w:sz w:val="27"/>
          <w:rtl/>
        </w:rPr>
        <w:t xml:space="preserve"> حت</w:t>
      </w:r>
      <w:r w:rsidR="00585BCA" w:rsidRPr="00282AC9">
        <w:rPr>
          <w:rFonts w:asciiTheme="minorBidi" w:hAnsiTheme="minorBidi" w:hint="cs"/>
          <w:sz w:val="27"/>
          <w:rtl/>
        </w:rPr>
        <w:t>ّ</w:t>
      </w:r>
      <w:r w:rsidR="00965E08" w:rsidRPr="00282AC9">
        <w:rPr>
          <w:rFonts w:asciiTheme="minorBidi" w:hAnsiTheme="minorBidi" w:hint="cs"/>
          <w:sz w:val="27"/>
          <w:rtl/>
        </w:rPr>
        <w:t>ى</w:t>
      </w:r>
      <w:r w:rsidR="00965E08" w:rsidRPr="00282AC9">
        <w:rPr>
          <w:rFonts w:asciiTheme="minorBidi" w:hAnsiTheme="minorBidi"/>
          <w:sz w:val="27"/>
          <w:rtl/>
        </w:rPr>
        <w:t xml:space="preserve"> </w:t>
      </w:r>
      <w:r w:rsidR="00965E08" w:rsidRPr="00282AC9">
        <w:rPr>
          <w:rFonts w:asciiTheme="minorBidi" w:hAnsiTheme="minorBidi" w:hint="cs"/>
          <w:sz w:val="27"/>
          <w:rtl/>
        </w:rPr>
        <w:t>ي</w:t>
      </w:r>
      <w:r w:rsidR="00585BCA" w:rsidRPr="00282AC9">
        <w:rPr>
          <w:rFonts w:asciiTheme="minorBidi" w:hAnsiTheme="minorBidi" w:hint="cs"/>
          <w:sz w:val="27"/>
          <w:rtl/>
        </w:rPr>
        <w:t>ُ</w:t>
      </w:r>
      <w:r w:rsidR="00965E08" w:rsidRPr="00282AC9">
        <w:rPr>
          <w:rFonts w:asciiTheme="minorBidi" w:hAnsiTheme="minorBidi" w:hint="cs"/>
          <w:sz w:val="27"/>
          <w:rtl/>
        </w:rPr>
        <w:t>دركوا</w:t>
      </w:r>
      <w:r w:rsidR="00965E08" w:rsidRPr="00282AC9">
        <w:rPr>
          <w:rFonts w:asciiTheme="minorBidi" w:hAnsiTheme="minorBidi"/>
          <w:sz w:val="27"/>
          <w:rtl/>
        </w:rPr>
        <w:t xml:space="preserve"> </w:t>
      </w:r>
      <w:r w:rsidR="00965E08" w:rsidRPr="00282AC9">
        <w:rPr>
          <w:rFonts w:asciiTheme="minorBidi" w:hAnsiTheme="minorBidi" w:hint="cs"/>
          <w:sz w:val="27"/>
          <w:rtl/>
        </w:rPr>
        <w:t>الأوتار</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ويثأروا</w:t>
      </w:r>
      <w:r w:rsidR="00965E08" w:rsidRPr="00282AC9">
        <w:rPr>
          <w:rFonts w:asciiTheme="minorBidi" w:hAnsiTheme="minorBidi"/>
          <w:sz w:val="27"/>
          <w:rtl/>
        </w:rPr>
        <w:t xml:space="preserve"> </w:t>
      </w:r>
      <w:r w:rsidR="00965E08" w:rsidRPr="00282AC9">
        <w:rPr>
          <w:rFonts w:asciiTheme="minorBidi" w:hAnsiTheme="minorBidi" w:hint="cs"/>
          <w:sz w:val="27"/>
          <w:rtl/>
        </w:rPr>
        <w:t>الثار</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ويرضوا</w:t>
      </w:r>
      <w:r w:rsidR="00965E08" w:rsidRPr="00282AC9">
        <w:rPr>
          <w:rFonts w:asciiTheme="minorBidi" w:hAnsiTheme="minorBidi"/>
          <w:sz w:val="27"/>
          <w:rtl/>
        </w:rPr>
        <w:t xml:space="preserve"> </w:t>
      </w:r>
      <w:r w:rsidR="00965E08" w:rsidRPr="00282AC9">
        <w:rPr>
          <w:rFonts w:asciiTheme="minorBidi" w:hAnsiTheme="minorBidi" w:hint="cs"/>
          <w:sz w:val="27"/>
          <w:rtl/>
        </w:rPr>
        <w:t>الجب</w:t>
      </w:r>
      <w:r w:rsidR="00585BCA" w:rsidRPr="00282AC9">
        <w:rPr>
          <w:rFonts w:asciiTheme="minorBidi" w:hAnsiTheme="minorBidi" w:hint="cs"/>
          <w:sz w:val="27"/>
          <w:rtl/>
        </w:rPr>
        <w:t>ّ</w:t>
      </w:r>
      <w:r w:rsidR="00965E08" w:rsidRPr="00282AC9">
        <w:rPr>
          <w:rFonts w:asciiTheme="minorBidi" w:hAnsiTheme="minorBidi" w:hint="cs"/>
          <w:sz w:val="27"/>
          <w:rtl/>
        </w:rPr>
        <w:t>ار</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ويكونوا</w:t>
      </w:r>
      <w:r w:rsidR="00965E08" w:rsidRPr="00282AC9">
        <w:rPr>
          <w:rFonts w:asciiTheme="minorBidi" w:hAnsiTheme="minorBidi"/>
          <w:sz w:val="27"/>
          <w:rtl/>
        </w:rPr>
        <w:t xml:space="preserve"> </w:t>
      </w:r>
      <w:r w:rsidR="00965E08" w:rsidRPr="00282AC9">
        <w:rPr>
          <w:rFonts w:asciiTheme="minorBidi" w:hAnsiTheme="minorBidi" w:hint="cs"/>
          <w:sz w:val="27"/>
          <w:rtl/>
        </w:rPr>
        <w:t>خير</w:t>
      </w:r>
      <w:r w:rsidR="00965E08" w:rsidRPr="00282AC9">
        <w:rPr>
          <w:rFonts w:asciiTheme="minorBidi" w:hAnsiTheme="minorBidi"/>
          <w:sz w:val="27"/>
          <w:rtl/>
        </w:rPr>
        <w:t xml:space="preserve"> </w:t>
      </w:r>
      <w:r w:rsidR="00965E08" w:rsidRPr="00282AC9">
        <w:rPr>
          <w:rFonts w:asciiTheme="minorBidi" w:hAnsiTheme="minorBidi" w:hint="cs"/>
          <w:sz w:val="27"/>
          <w:rtl/>
        </w:rPr>
        <w:t>أنصار</w:t>
      </w:r>
      <w:r w:rsidR="00965E08" w:rsidRPr="00282AC9">
        <w:rPr>
          <w:rFonts w:asciiTheme="minorBidi" w:hAnsiTheme="minorBidi"/>
          <w:sz w:val="27"/>
          <w:rtl/>
        </w:rPr>
        <w:t xml:space="preserve"> </w:t>
      </w:r>
      <w:r w:rsidR="00965E08" w:rsidRPr="00282AC9">
        <w:rPr>
          <w:rFonts w:asciiTheme="minorBidi" w:hAnsiTheme="minorBidi" w:hint="cs"/>
          <w:sz w:val="27"/>
          <w:rtl/>
        </w:rPr>
        <w:t>(صلى</w:t>
      </w:r>
      <w:r w:rsidR="00965E08" w:rsidRPr="00282AC9">
        <w:rPr>
          <w:rFonts w:asciiTheme="minorBidi" w:hAnsiTheme="minorBidi"/>
          <w:sz w:val="27"/>
          <w:rtl/>
        </w:rPr>
        <w:t xml:space="preserve"> </w:t>
      </w:r>
      <w:r w:rsidR="00965E08" w:rsidRPr="00282AC9">
        <w:rPr>
          <w:rFonts w:asciiTheme="minorBidi" w:hAnsiTheme="minorBidi" w:hint="cs"/>
          <w:sz w:val="27"/>
          <w:rtl/>
        </w:rPr>
        <w:t>الله عليهم)</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مع</w:t>
      </w:r>
      <w:r w:rsidR="00965E08" w:rsidRPr="00282AC9">
        <w:rPr>
          <w:rFonts w:asciiTheme="minorBidi" w:hAnsiTheme="minorBidi"/>
          <w:sz w:val="27"/>
          <w:rtl/>
        </w:rPr>
        <w:t xml:space="preserve"> </w:t>
      </w:r>
      <w:r w:rsidR="00965E08" w:rsidRPr="00282AC9">
        <w:rPr>
          <w:rFonts w:asciiTheme="minorBidi" w:hAnsiTheme="minorBidi" w:hint="cs"/>
          <w:sz w:val="27"/>
          <w:rtl/>
        </w:rPr>
        <w:t>اختلاف</w:t>
      </w:r>
      <w:r w:rsidR="00965E08" w:rsidRPr="00282AC9">
        <w:rPr>
          <w:rFonts w:asciiTheme="minorBidi" w:hAnsiTheme="minorBidi"/>
          <w:sz w:val="27"/>
          <w:rtl/>
        </w:rPr>
        <w:t xml:space="preserve"> </w:t>
      </w:r>
      <w:r w:rsidR="00965E08" w:rsidRPr="00282AC9">
        <w:rPr>
          <w:rFonts w:asciiTheme="minorBidi" w:hAnsiTheme="minorBidi" w:hint="cs"/>
          <w:sz w:val="27"/>
          <w:rtl/>
        </w:rPr>
        <w:t>الليل</w:t>
      </w:r>
      <w:r w:rsidR="00965E08" w:rsidRPr="00282AC9">
        <w:rPr>
          <w:rFonts w:asciiTheme="minorBidi" w:hAnsiTheme="minorBidi"/>
          <w:sz w:val="27"/>
          <w:rtl/>
        </w:rPr>
        <w:t xml:space="preserve"> </w:t>
      </w:r>
      <w:r w:rsidR="00965E08" w:rsidRPr="00282AC9">
        <w:rPr>
          <w:rFonts w:asciiTheme="minorBidi" w:hAnsiTheme="minorBidi" w:hint="cs"/>
          <w:sz w:val="27"/>
          <w:rtl/>
        </w:rPr>
        <w:t>والنهار</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اللهم</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فبحق</w:t>
      </w:r>
      <w:r w:rsidR="00585BCA" w:rsidRPr="00282AC9">
        <w:rPr>
          <w:rFonts w:asciiTheme="minorBidi" w:hAnsiTheme="minorBidi" w:hint="cs"/>
          <w:sz w:val="27"/>
          <w:rtl/>
        </w:rPr>
        <w:t>ِّ</w:t>
      </w:r>
      <w:r w:rsidR="00965E08" w:rsidRPr="00282AC9">
        <w:rPr>
          <w:rFonts w:asciiTheme="minorBidi" w:hAnsiTheme="minorBidi" w:hint="cs"/>
          <w:sz w:val="27"/>
          <w:rtl/>
        </w:rPr>
        <w:t>هم</w:t>
      </w:r>
      <w:r w:rsidR="00965E08" w:rsidRPr="00282AC9">
        <w:rPr>
          <w:rFonts w:asciiTheme="minorBidi" w:hAnsiTheme="minorBidi"/>
          <w:sz w:val="27"/>
          <w:rtl/>
        </w:rPr>
        <w:t xml:space="preserve"> </w:t>
      </w:r>
      <w:r w:rsidR="00965E08" w:rsidRPr="00282AC9">
        <w:rPr>
          <w:rFonts w:asciiTheme="minorBidi" w:hAnsiTheme="minorBidi" w:hint="cs"/>
          <w:sz w:val="27"/>
          <w:rtl/>
        </w:rPr>
        <w:t>إليك</w:t>
      </w:r>
      <w:r w:rsidR="00965E08" w:rsidRPr="00282AC9">
        <w:rPr>
          <w:rFonts w:asciiTheme="minorBidi" w:hAnsiTheme="minorBidi"/>
          <w:sz w:val="27"/>
          <w:rtl/>
        </w:rPr>
        <w:t xml:space="preserve"> </w:t>
      </w:r>
      <w:r w:rsidR="00965E08" w:rsidRPr="00282AC9">
        <w:rPr>
          <w:rFonts w:asciiTheme="minorBidi" w:hAnsiTheme="minorBidi" w:hint="cs"/>
          <w:sz w:val="27"/>
          <w:rtl/>
        </w:rPr>
        <w:t>أتوس</w:t>
      </w:r>
      <w:r w:rsidR="00585BCA" w:rsidRPr="00282AC9">
        <w:rPr>
          <w:rFonts w:asciiTheme="minorBidi" w:hAnsiTheme="minorBidi" w:hint="cs"/>
          <w:sz w:val="27"/>
          <w:rtl/>
        </w:rPr>
        <w:t>َّ</w:t>
      </w:r>
      <w:r w:rsidR="00965E08" w:rsidRPr="00282AC9">
        <w:rPr>
          <w:rFonts w:asciiTheme="minorBidi" w:hAnsiTheme="minorBidi" w:hint="cs"/>
          <w:sz w:val="27"/>
          <w:rtl/>
        </w:rPr>
        <w:t>ل</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وأسأل</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سؤال مقترف</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معترف</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مس</w:t>
      </w:r>
      <w:r w:rsidR="00585BCA" w:rsidRPr="00282AC9">
        <w:rPr>
          <w:rFonts w:asciiTheme="minorBidi" w:hAnsiTheme="minorBidi" w:hint="cs"/>
          <w:sz w:val="27"/>
          <w:rtl/>
        </w:rPr>
        <w:t>يءٍ</w:t>
      </w:r>
      <w:r w:rsidR="00965E08" w:rsidRPr="00282AC9">
        <w:rPr>
          <w:rFonts w:asciiTheme="minorBidi" w:hAnsiTheme="minorBidi"/>
          <w:sz w:val="27"/>
          <w:rtl/>
        </w:rPr>
        <w:t xml:space="preserve"> </w:t>
      </w:r>
      <w:r w:rsidR="00965E08" w:rsidRPr="00282AC9">
        <w:rPr>
          <w:rFonts w:asciiTheme="minorBidi" w:hAnsiTheme="minorBidi" w:hint="cs"/>
          <w:sz w:val="27"/>
          <w:rtl/>
        </w:rPr>
        <w:t>إلى</w:t>
      </w:r>
      <w:r w:rsidR="00965E08" w:rsidRPr="00282AC9">
        <w:rPr>
          <w:rFonts w:asciiTheme="minorBidi" w:hAnsiTheme="minorBidi"/>
          <w:sz w:val="27"/>
          <w:rtl/>
        </w:rPr>
        <w:t xml:space="preserve"> </w:t>
      </w:r>
      <w:r w:rsidR="00965E08" w:rsidRPr="00282AC9">
        <w:rPr>
          <w:rFonts w:asciiTheme="minorBidi" w:hAnsiTheme="minorBidi" w:hint="cs"/>
          <w:sz w:val="27"/>
          <w:rtl/>
        </w:rPr>
        <w:t>نفسه</w:t>
      </w:r>
      <w:r w:rsidR="00965E08" w:rsidRPr="00282AC9">
        <w:rPr>
          <w:rFonts w:asciiTheme="minorBidi" w:hAnsiTheme="minorBidi"/>
          <w:sz w:val="27"/>
          <w:rtl/>
        </w:rPr>
        <w:t xml:space="preserve"> </w:t>
      </w:r>
      <w:r w:rsidR="00965E08" w:rsidRPr="00282AC9">
        <w:rPr>
          <w:rFonts w:asciiTheme="minorBidi" w:hAnsiTheme="minorBidi" w:hint="cs"/>
          <w:sz w:val="27"/>
          <w:rtl/>
        </w:rPr>
        <w:t>مم</w:t>
      </w:r>
      <w:r w:rsidR="00585BCA" w:rsidRPr="00282AC9">
        <w:rPr>
          <w:rFonts w:asciiTheme="minorBidi" w:hAnsiTheme="minorBidi" w:hint="cs"/>
          <w:sz w:val="27"/>
          <w:rtl/>
        </w:rPr>
        <w:t>ّ</w:t>
      </w:r>
      <w:r w:rsidR="00965E08" w:rsidRPr="00282AC9">
        <w:rPr>
          <w:rFonts w:asciiTheme="minorBidi" w:hAnsiTheme="minorBidi" w:hint="cs"/>
          <w:sz w:val="27"/>
          <w:rtl/>
        </w:rPr>
        <w:t>ا</w:t>
      </w:r>
      <w:r w:rsidR="00965E08" w:rsidRPr="00282AC9">
        <w:rPr>
          <w:rFonts w:asciiTheme="minorBidi" w:hAnsiTheme="minorBidi"/>
          <w:sz w:val="27"/>
          <w:rtl/>
        </w:rPr>
        <w:t xml:space="preserve"> </w:t>
      </w:r>
      <w:r w:rsidR="00965E08" w:rsidRPr="00282AC9">
        <w:rPr>
          <w:rFonts w:asciiTheme="minorBidi" w:hAnsiTheme="minorBidi" w:hint="cs"/>
          <w:sz w:val="27"/>
          <w:rtl/>
        </w:rPr>
        <w:t>فرط</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يومه</w:t>
      </w:r>
      <w:r w:rsidR="00965E08" w:rsidRPr="00282AC9">
        <w:rPr>
          <w:rFonts w:asciiTheme="minorBidi" w:hAnsiTheme="minorBidi"/>
          <w:sz w:val="27"/>
          <w:rtl/>
        </w:rPr>
        <w:t xml:space="preserve"> </w:t>
      </w:r>
      <w:r w:rsidR="00965E08" w:rsidRPr="00282AC9">
        <w:rPr>
          <w:rFonts w:asciiTheme="minorBidi" w:hAnsiTheme="minorBidi" w:hint="cs"/>
          <w:sz w:val="27"/>
          <w:rtl/>
        </w:rPr>
        <w:t>وأمسه</w:t>
      </w:r>
      <w:r w:rsidR="00965E08" w:rsidRPr="00282AC9">
        <w:rPr>
          <w:rFonts w:asciiTheme="minorBidi" w:hAnsiTheme="minorBidi"/>
          <w:sz w:val="27"/>
          <w:rtl/>
        </w:rPr>
        <w:t xml:space="preserve">، </w:t>
      </w:r>
      <w:r w:rsidR="00965E08" w:rsidRPr="00282AC9">
        <w:rPr>
          <w:rFonts w:asciiTheme="minorBidi" w:hAnsiTheme="minorBidi" w:hint="cs"/>
          <w:sz w:val="27"/>
          <w:rtl/>
        </w:rPr>
        <w:t>يسألك</w:t>
      </w:r>
      <w:r w:rsidR="00965E08" w:rsidRPr="00282AC9">
        <w:rPr>
          <w:rFonts w:asciiTheme="minorBidi" w:hAnsiTheme="minorBidi"/>
          <w:sz w:val="27"/>
          <w:rtl/>
        </w:rPr>
        <w:t xml:space="preserve"> </w:t>
      </w:r>
      <w:r w:rsidR="00965E08" w:rsidRPr="00282AC9">
        <w:rPr>
          <w:rFonts w:asciiTheme="minorBidi" w:hAnsiTheme="minorBidi" w:hint="cs"/>
          <w:sz w:val="27"/>
          <w:rtl/>
        </w:rPr>
        <w:t>العصمة</w:t>
      </w:r>
      <w:r w:rsidR="00965E08" w:rsidRPr="00282AC9">
        <w:rPr>
          <w:rFonts w:asciiTheme="minorBidi" w:hAnsiTheme="minorBidi"/>
          <w:sz w:val="27"/>
          <w:rtl/>
        </w:rPr>
        <w:t xml:space="preserve"> </w:t>
      </w:r>
      <w:r w:rsidR="00965E08" w:rsidRPr="00282AC9">
        <w:rPr>
          <w:rFonts w:asciiTheme="minorBidi" w:hAnsiTheme="minorBidi" w:hint="cs"/>
          <w:sz w:val="27"/>
          <w:rtl/>
        </w:rPr>
        <w:t>إلى محل</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رمسه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اللهم</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فصل</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على</w:t>
      </w:r>
      <w:r w:rsidR="00965E08" w:rsidRPr="00282AC9">
        <w:rPr>
          <w:rFonts w:asciiTheme="minorBidi" w:hAnsiTheme="minorBidi"/>
          <w:sz w:val="27"/>
          <w:rtl/>
        </w:rPr>
        <w:t xml:space="preserve"> </w:t>
      </w:r>
      <w:r w:rsidR="00965E08" w:rsidRPr="00282AC9">
        <w:rPr>
          <w:rFonts w:asciiTheme="minorBidi" w:hAnsiTheme="minorBidi" w:hint="cs"/>
          <w:sz w:val="27"/>
          <w:rtl/>
        </w:rPr>
        <w:t>محمد</w:t>
      </w:r>
      <w:r w:rsidR="00965E08" w:rsidRPr="00282AC9">
        <w:rPr>
          <w:rFonts w:asciiTheme="minorBidi" w:hAnsiTheme="minorBidi"/>
          <w:sz w:val="27"/>
          <w:rtl/>
        </w:rPr>
        <w:t xml:space="preserve"> </w:t>
      </w:r>
      <w:r w:rsidR="00965E08" w:rsidRPr="00282AC9">
        <w:rPr>
          <w:rFonts w:asciiTheme="minorBidi" w:hAnsiTheme="minorBidi" w:hint="cs"/>
          <w:sz w:val="27"/>
          <w:rtl/>
        </w:rPr>
        <w:t>وعترته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واحش</w:t>
      </w:r>
      <w:r w:rsidR="00585BCA" w:rsidRPr="00282AC9">
        <w:rPr>
          <w:rFonts w:asciiTheme="minorBidi" w:hAnsiTheme="minorBidi" w:hint="cs"/>
          <w:sz w:val="27"/>
          <w:rtl/>
        </w:rPr>
        <w:t>ُ</w:t>
      </w:r>
      <w:r w:rsidR="00965E08" w:rsidRPr="00282AC9">
        <w:rPr>
          <w:rFonts w:asciiTheme="minorBidi" w:hAnsiTheme="minorBidi" w:hint="cs"/>
          <w:sz w:val="27"/>
          <w:rtl/>
        </w:rPr>
        <w:t>ر</w:t>
      </w:r>
      <w:r w:rsidR="00585BCA" w:rsidRPr="00282AC9">
        <w:rPr>
          <w:rFonts w:asciiTheme="minorBidi" w:hAnsiTheme="minorBidi" w:hint="cs"/>
          <w:sz w:val="27"/>
          <w:rtl/>
        </w:rPr>
        <w:t>ْ</w:t>
      </w:r>
      <w:r w:rsidR="00965E08" w:rsidRPr="00282AC9">
        <w:rPr>
          <w:rFonts w:asciiTheme="minorBidi" w:hAnsiTheme="minorBidi" w:hint="cs"/>
          <w:sz w:val="27"/>
          <w:rtl/>
        </w:rPr>
        <w:t>نا</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زمرته</w:t>
      </w:r>
      <w:r w:rsidR="00965E08" w:rsidRPr="00282AC9">
        <w:rPr>
          <w:rFonts w:asciiTheme="minorBidi" w:hAnsiTheme="minorBidi"/>
          <w:sz w:val="27"/>
          <w:rtl/>
        </w:rPr>
        <w:t xml:space="preserve">، </w:t>
      </w:r>
      <w:r w:rsidR="00965E08" w:rsidRPr="00282AC9">
        <w:rPr>
          <w:rFonts w:asciiTheme="minorBidi" w:hAnsiTheme="minorBidi" w:hint="cs"/>
          <w:sz w:val="27"/>
          <w:rtl/>
        </w:rPr>
        <w:t>وبو</w:t>
      </w:r>
      <w:r w:rsidR="00585BCA" w:rsidRPr="00282AC9">
        <w:rPr>
          <w:rFonts w:asciiTheme="minorBidi" w:hAnsiTheme="minorBidi" w:hint="cs"/>
          <w:sz w:val="27"/>
          <w:rtl/>
        </w:rPr>
        <w:t>ِّ</w:t>
      </w:r>
      <w:r w:rsidR="00965E08" w:rsidRPr="00282AC9">
        <w:rPr>
          <w:rFonts w:asciiTheme="minorBidi" w:hAnsiTheme="minorBidi" w:hint="cs"/>
          <w:sz w:val="27"/>
          <w:rtl/>
        </w:rPr>
        <w:t>ئنا</w:t>
      </w:r>
      <w:r w:rsidR="00965E08" w:rsidRPr="00282AC9">
        <w:rPr>
          <w:rFonts w:asciiTheme="minorBidi" w:hAnsiTheme="minorBidi"/>
          <w:sz w:val="27"/>
          <w:rtl/>
        </w:rPr>
        <w:t xml:space="preserve"> </w:t>
      </w:r>
      <w:r w:rsidR="00965E08" w:rsidRPr="00282AC9">
        <w:rPr>
          <w:rFonts w:asciiTheme="minorBidi" w:hAnsiTheme="minorBidi" w:hint="cs"/>
          <w:sz w:val="27"/>
          <w:rtl/>
        </w:rPr>
        <w:t>معه</w:t>
      </w:r>
      <w:r w:rsidR="00965E08" w:rsidRPr="00282AC9">
        <w:rPr>
          <w:rFonts w:asciiTheme="minorBidi" w:hAnsiTheme="minorBidi"/>
          <w:sz w:val="27"/>
          <w:rtl/>
        </w:rPr>
        <w:t xml:space="preserve"> </w:t>
      </w:r>
      <w:r w:rsidR="00965E08" w:rsidRPr="00282AC9">
        <w:rPr>
          <w:rFonts w:asciiTheme="minorBidi" w:hAnsiTheme="minorBidi" w:hint="cs"/>
          <w:sz w:val="27"/>
          <w:rtl/>
        </w:rPr>
        <w:t>دار الكرامة</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ومحل</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الإقامة</w:t>
      </w:r>
      <w:r w:rsidR="00965E08" w:rsidRPr="00282AC9">
        <w:rPr>
          <w:rFonts w:asciiTheme="minorBidi" w:hAnsiTheme="minorBidi"/>
          <w:sz w:val="27"/>
          <w:rtl/>
        </w:rPr>
        <w:t>.</w:t>
      </w:r>
      <w:r w:rsidR="00965E08" w:rsidRPr="00282AC9">
        <w:rPr>
          <w:rFonts w:asciiTheme="minorBidi" w:hAnsiTheme="minorBidi" w:hint="cs"/>
          <w:sz w:val="27"/>
          <w:rtl/>
        </w:rPr>
        <w:t xml:space="preserve"> اللهم</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وكما</w:t>
      </w:r>
      <w:r w:rsidR="00965E08" w:rsidRPr="00282AC9">
        <w:rPr>
          <w:rFonts w:asciiTheme="minorBidi" w:hAnsiTheme="minorBidi"/>
          <w:sz w:val="27"/>
          <w:rtl/>
        </w:rPr>
        <w:t xml:space="preserve"> </w:t>
      </w:r>
      <w:r w:rsidR="00965E08" w:rsidRPr="00282AC9">
        <w:rPr>
          <w:rFonts w:asciiTheme="minorBidi" w:hAnsiTheme="minorBidi" w:hint="cs"/>
          <w:sz w:val="27"/>
          <w:rtl/>
        </w:rPr>
        <w:t>أكرمتنا</w:t>
      </w:r>
      <w:r w:rsidR="00965E08" w:rsidRPr="00282AC9">
        <w:rPr>
          <w:rFonts w:asciiTheme="minorBidi" w:hAnsiTheme="minorBidi"/>
          <w:sz w:val="27"/>
          <w:rtl/>
        </w:rPr>
        <w:t xml:space="preserve"> </w:t>
      </w:r>
      <w:r w:rsidR="00965E08" w:rsidRPr="00282AC9">
        <w:rPr>
          <w:rFonts w:asciiTheme="minorBidi" w:hAnsiTheme="minorBidi" w:hint="cs"/>
          <w:sz w:val="27"/>
          <w:rtl/>
        </w:rPr>
        <w:t>بمعرفته</w:t>
      </w:r>
      <w:r w:rsidR="00965E08" w:rsidRPr="00282AC9">
        <w:rPr>
          <w:rFonts w:asciiTheme="minorBidi" w:hAnsiTheme="minorBidi"/>
          <w:sz w:val="27"/>
          <w:rtl/>
        </w:rPr>
        <w:t xml:space="preserve"> </w:t>
      </w:r>
      <w:r w:rsidR="00965E08" w:rsidRPr="00282AC9">
        <w:rPr>
          <w:rFonts w:asciiTheme="minorBidi" w:hAnsiTheme="minorBidi" w:hint="cs"/>
          <w:sz w:val="27"/>
          <w:rtl/>
        </w:rPr>
        <w:t>فأكر</w:t>
      </w:r>
      <w:r w:rsidR="00585BCA" w:rsidRPr="00282AC9">
        <w:rPr>
          <w:rFonts w:asciiTheme="minorBidi" w:hAnsiTheme="minorBidi" w:hint="cs"/>
          <w:sz w:val="27"/>
          <w:rtl/>
        </w:rPr>
        <w:t>ِ</w:t>
      </w:r>
      <w:r w:rsidR="00965E08" w:rsidRPr="00282AC9">
        <w:rPr>
          <w:rFonts w:asciiTheme="minorBidi" w:hAnsiTheme="minorBidi" w:hint="cs"/>
          <w:sz w:val="27"/>
          <w:rtl/>
        </w:rPr>
        <w:t>م</w:t>
      </w:r>
      <w:r w:rsidR="00585BCA" w:rsidRPr="00282AC9">
        <w:rPr>
          <w:rFonts w:asciiTheme="minorBidi" w:hAnsiTheme="minorBidi" w:hint="cs"/>
          <w:sz w:val="27"/>
          <w:rtl/>
        </w:rPr>
        <w:t>ْ</w:t>
      </w:r>
      <w:r w:rsidR="00965E08" w:rsidRPr="00282AC9">
        <w:rPr>
          <w:rFonts w:asciiTheme="minorBidi" w:hAnsiTheme="minorBidi" w:hint="cs"/>
          <w:sz w:val="27"/>
          <w:rtl/>
        </w:rPr>
        <w:t>نا</w:t>
      </w:r>
      <w:r w:rsidR="00965E08" w:rsidRPr="00282AC9">
        <w:rPr>
          <w:rFonts w:asciiTheme="minorBidi" w:hAnsiTheme="minorBidi"/>
          <w:sz w:val="27"/>
          <w:rtl/>
        </w:rPr>
        <w:t xml:space="preserve"> </w:t>
      </w:r>
      <w:r w:rsidR="00965E08" w:rsidRPr="00282AC9">
        <w:rPr>
          <w:rFonts w:asciiTheme="minorBidi" w:hAnsiTheme="minorBidi" w:hint="cs"/>
          <w:sz w:val="27"/>
          <w:rtl/>
        </w:rPr>
        <w:t>بزلفته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وارزقنا</w:t>
      </w:r>
      <w:r w:rsidR="00965E08" w:rsidRPr="00282AC9">
        <w:rPr>
          <w:rFonts w:asciiTheme="minorBidi" w:hAnsiTheme="minorBidi"/>
          <w:sz w:val="27"/>
          <w:rtl/>
        </w:rPr>
        <w:t xml:space="preserve"> </w:t>
      </w:r>
      <w:r w:rsidR="00965E08" w:rsidRPr="00282AC9">
        <w:rPr>
          <w:rFonts w:asciiTheme="minorBidi" w:hAnsiTheme="minorBidi" w:hint="cs"/>
          <w:sz w:val="27"/>
          <w:rtl/>
        </w:rPr>
        <w:t>مرافقته</w:t>
      </w:r>
      <w:r w:rsidR="00965E08" w:rsidRPr="00282AC9">
        <w:rPr>
          <w:rFonts w:asciiTheme="minorBidi" w:hAnsiTheme="minorBidi"/>
          <w:sz w:val="27"/>
          <w:rtl/>
        </w:rPr>
        <w:t xml:space="preserve"> </w:t>
      </w:r>
      <w:r w:rsidR="00965E08" w:rsidRPr="00282AC9">
        <w:rPr>
          <w:rFonts w:asciiTheme="minorBidi" w:hAnsiTheme="minorBidi" w:hint="cs"/>
          <w:sz w:val="27"/>
          <w:rtl/>
        </w:rPr>
        <w:t>وسابقته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واجع</w:t>
      </w:r>
      <w:r w:rsidR="00585BCA" w:rsidRPr="00282AC9">
        <w:rPr>
          <w:rFonts w:asciiTheme="minorBidi" w:hAnsiTheme="minorBidi" w:hint="cs"/>
          <w:sz w:val="27"/>
          <w:rtl/>
        </w:rPr>
        <w:t>َ</w:t>
      </w:r>
      <w:r w:rsidR="00965E08" w:rsidRPr="00282AC9">
        <w:rPr>
          <w:rFonts w:asciiTheme="minorBidi" w:hAnsiTheme="minorBidi" w:hint="cs"/>
          <w:sz w:val="27"/>
          <w:rtl/>
        </w:rPr>
        <w:t>ل</w:t>
      </w:r>
      <w:r w:rsidR="00585BCA" w:rsidRPr="00282AC9">
        <w:rPr>
          <w:rFonts w:asciiTheme="minorBidi" w:hAnsiTheme="minorBidi" w:hint="cs"/>
          <w:sz w:val="27"/>
          <w:rtl/>
        </w:rPr>
        <w:t>ْ</w:t>
      </w:r>
      <w:r w:rsidR="00965E08" w:rsidRPr="00282AC9">
        <w:rPr>
          <w:rFonts w:asciiTheme="minorBidi" w:hAnsiTheme="minorBidi" w:hint="cs"/>
          <w:sz w:val="27"/>
          <w:rtl/>
        </w:rPr>
        <w:t>نا مم</w:t>
      </w:r>
      <w:r w:rsidR="00585BCA" w:rsidRPr="00282AC9">
        <w:rPr>
          <w:rFonts w:asciiTheme="minorBidi" w:hAnsiTheme="minorBidi" w:hint="cs"/>
          <w:sz w:val="27"/>
          <w:rtl/>
        </w:rPr>
        <w:t>َّ</w:t>
      </w:r>
      <w:r w:rsidR="00965E08" w:rsidRPr="00282AC9">
        <w:rPr>
          <w:rFonts w:asciiTheme="minorBidi" w:hAnsiTheme="minorBidi" w:hint="cs"/>
          <w:sz w:val="27"/>
          <w:rtl/>
        </w:rPr>
        <w:t>ن</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يسل</w:t>
      </w:r>
      <w:r w:rsidR="00585BCA" w:rsidRPr="00282AC9">
        <w:rPr>
          <w:rFonts w:asciiTheme="minorBidi" w:hAnsiTheme="minorBidi" w:hint="cs"/>
          <w:sz w:val="27"/>
          <w:rtl/>
        </w:rPr>
        <w:t>ِّ</w:t>
      </w:r>
      <w:r w:rsidR="00965E08" w:rsidRPr="00282AC9">
        <w:rPr>
          <w:rFonts w:asciiTheme="minorBidi" w:hAnsiTheme="minorBidi" w:hint="cs"/>
          <w:sz w:val="27"/>
          <w:rtl/>
        </w:rPr>
        <w:t>م</w:t>
      </w:r>
      <w:r w:rsidR="00965E08" w:rsidRPr="00282AC9">
        <w:rPr>
          <w:rFonts w:asciiTheme="minorBidi" w:hAnsiTheme="minorBidi"/>
          <w:sz w:val="27"/>
          <w:rtl/>
        </w:rPr>
        <w:t xml:space="preserve"> </w:t>
      </w:r>
      <w:r w:rsidR="00965E08" w:rsidRPr="00282AC9">
        <w:rPr>
          <w:rFonts w:asciiTheme="minorBidi" w:hAnsiTheme="minorBidi" w:hint="cs"/>
          <w:sz w:val="27"/>
          <w:rtl/>
        </w:rPr>
        <w:t>لأمره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ويكثر</w:t>
      </w:r>
      <w:r w:rsidR="00965E08" w:rsidRPr="00282AC9">
        <w:rPr>
          <w:rFonts w:asciiTheme="minorBidi" w:hAnsiTheme="minorBidi"/>
          <w:sz w:val="27"/>
          <w:rtl/>
        </w:rPr>
        <w:t xml:space="preserve"> </w:t>
      </w:r>
      <w:r w:rsidR="00965E08" w:rsidRPr="00282AC9">
        <w:rPr>
          <w:rFonts w:asciiTheme="minorBidi" w:hAnsiTheme="minorBidi" w:hint="cs"/>
          <w:sz w:val="27"/>
          <w:rtl/>
        </w:rPr>
        <w:t>الصلاة</w:t>
      </w:r>
      <w:r w:rsidR="00965E08" w:rsidRPr="00282AC9">
        <w:rPr>
          <w:rFonts w:asciiTheme="minorBidi" w:hAnsiTheme="minorBidi"/>
          <w:sz w:val="27"/>
          <w:rtl/>
        </w:rPr>
        <w:t xml:space="preserve"> </w:t>
      </w:r>
      <w:r w:rsidR="00965E08" w:rsidRPr="00282AC9">
        <w:rPr>
          <w:rFonts w:asciiTheme="minorBidi" w:hAnsiTheme="minorBidi" w:hint="cs"/>
          <w:sz w:val="27"/>
          <w:rtl/>
        </w:rPr>
        <w:t>عليه</w:t>
      </w:r>
      <w:r w:rsidR="00965E08" w:rsidRPr="00282AC9">
        <w:rPr>
          <w:rFonts w:asciiTheme="minorBidi" w:hAnsiTheme="minorBidi"/>
          <w:sz w:val="27"/>
          <w:rtl/>
        </w:rPr>
        <w:t xml:space="preserve"> </w:t>
      </w:r>
      <w:r w:rsidR="00965E08" w:rsidRPr="00282AC9">
        <w:rPr>
          <w:rFonts w:asciiTheme="minorBidi" w:hAnsiTheme="minorBidi" w:hint="cs"/>
          <w:sz w:val="27"/>
          <w:rtl/>
        </w:rPr>
        <w:t>عند</w:t>
      </w:r>
      <w:r w:rsidR="00965E08" w:rsidRPr="00282AC9">
        <w:rPr>
          <w:rFonts w:asciiTheme="minorBidi" w:hAnsiTheme="minorBidi"/>
          <w:sz w:val="27"/>
          <w:rtl/>
        </w:rPr>
        <w:t xml:space="preserve"> </w:t>
      </w:r>
      <w:r w:rsidR="00965E08" w:rsidRPr="00282AC9">
        <w:rPr>
          <w:rFonts w:asciiTheme="minorBidi" w:hAnsiTheme="minorBidi" w:hint="cs"/>
          <w:sz w:val="27"/>
          <w:rtl/>
        </w:rPr>
        <w:t>ذكره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وعلى</w:t>
      </w:r>
      <w:r w:rsidR="00965E08" w:rsidRPr="00282AC9">
        <w:rPr>
          <w:rFonts w:asciiTheme="minorBidi" w:hAnsiTheme="minorBidi"/>
          <w:sz w:val="27"/>
          <w:rtl/>
        </w:rPr>
        <w:t xml:space="preserve"> </w:t>
      </w:r>
      <w:r w:rsidR="00965E08" w:rsidRPr="00282AC9">
        <w:rPr>
          <w:rFonts w:asciiTheme="minorBidi" w:hAnsiTheme="minorBidi" w:hint="cs"/>
          <w:sz w:val="27"/>
          <w:rtl/>
        </w:rPr>
        <w:t>جميع</w:t>
      </w:r>
      <w:r w:rsidR="00965E08" w:rsidRPr="00282AC9">
        <w:rPr>
          <w:rFonts w:asciiTheme="minorBidi" w:hAnsiTheme="minorBidi"/>
          <w:sz w:val="27"/>
          <w:rtl/>
        </w:rPr>
        <w:t xml:space="preserve"> </w:t>
      </w:r>
      <w:r w:rsidR="00965E08" w:rsidRPr="00282AC9">
        <w:rPr>
          <w:rFonts w:asciiTheme="minorBidi" w:hAnsiTheme="minorBidi" w:hint="cs"/>
          <w:sz w:val="27"/>
          <w:rtl/>
        </w:rPr>
        <w:t>أوصيائه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وأهل أصفيائه</w:t>
      </w:r>
      <w:r w:rsidR="00585BCA"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الممدودين</w:t>
      </w:r>
      <w:r w:rsidR="00965E08" w:rsidRPr="00282AC9">
        <w:rPr>
          <w:rFonts w:asciiTheme="minorBidi" w:hAnsiTheme="minorBidi"/>
          <w:sz w:val="27"/>
          <w:rtl/>
        </w:rPr>
        <w:t xml:space="preserve"> </w:t>
      </w:r>
      <w:r w:rsidR="00965E08" w:rsidRPr="00282AC9">
        <w:rPr>
          <w:rFonts w:asciiTheme="minorBidi" w:hAnsiTheme="minorBidi" w:hint="cs"/>
          <w:sz w:val="27"/>
          <w:rtl/>
        </w:rPr>
        <w:t>منك</w:t>
      </w:r>
      <w:r w:rsidR="00965E08" w:rsidRPr="00282AC9">
        <w:rPr>
          <w:rFonts w:asciiTheme="minorBidi" w:hAnsiTheme="minorBidi"/>
          <w:sz w:val="27"/>
          <w:rtl/>
        </w:rPr>
        <w:t xml:space="preserve"> </w:t>
      </w:r>
      <w:r w:rsidR="00965E08" w:rsidRPr="00282AC9">
        <w:rPr>
          <w:rFonts w:asciiTheme="minorBidi" w:hAnsiTheme="minorBidi" w:hint="cs"/>
          <w:sz w:val="27"/>
          <w:rtl/>
        </w:rPr>
        <w:t>بالعدد</w:t>
      </w:r>
      <w:r w:rsidR="00965E08" w:rsidRPr="00282AC9">
        <w:rPr>
          <w:rFonts w:asciiTheme="minorBidi" w:hAnsiTheme="minorBidi"/>
          <w:sz w:val="27"/>
          <w:rtl/>
        </w:rPr>
        <w:t xml:space="preserve"> </w:t>
      </w:r>
      <w:r w:rsidR="00965E08" w:rsidRPr="00282AC9">
        <w:rPr>
          <w:rFonts w:asciiTheme="minorBidi" w:hAnsiTheme="minorBidi" w:hint="cs"/>
          <w:sz w:val="27"/>
          <w:rtl/>
        </w:rPr>
        <w:t>الاثني</w:t>
      </w:r>
      <w:r w:rsidR="00965E08" w:rsidRPr="00282AC9">
        <w:rPr>
          <w:rFonts w:asciiTheme="minorBidi" w:hAnsiTheme="minorBidi"/>
          <w:sz w:val="27"/>
          <w:rtl/>
        </w:rPr>
        <w:t xml:space="preserve"> </w:t>
      </w:r>
      <w:r w:rsidR="00965E08" w:rsidRPr="00282AC9">
        <w:rPr>
          <w:rFonts w:asciiTheme="minorBidi" w:hAnsiTheme="minorBidi" w:hint="cs"/>
          <w:sz w:val="27"/>
          <w:rtl/>
        </w:rPr>
        <w:t>عشر</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النجوم</w:t>
      </w:r>
      <w:r w:rsidR="00965E08" w:rsidRPr="00282AC9">
        <w:rPr>
          <w:rFonts w:asciiTheme="minorBidi" w:hAnsiTheme="minorBidi"/>
          <w:sz w:val="27"/>
          <w:rtl/>
        </w:rPr>
        <w:t xml:space="preserve"> </w:t>
      </w:r>
      <w:r w:rsidR="00965E08" w:rsidRPr="00282AC9">
        <w:rPr>
          <w:rFonts w:asciiTheme="minorBidi" w:hAnsiTheme="minorBidi" w:hint="cs"/>
          <w:sz w:val="27"/>
          <w:rtl/>
        </w:rPr>
        <w:t>الزهر</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والحجج</w:t>
      </w:r>
      <w:r w:rsidR="00965E08" w:rsidRPr="00282AC9">
        <w:rPr>
          <w:rFonts w:asciiTheme="minorBidi" w:hAnsiTheme="minorBidi"/>
          <w:sz w:val="27"/>
          <w:rtl/>
        </w:rPr>
        <w:t xml:space="preserve"> </w:t>
      </w:r>
      <w:r w:rsidR="00965E08" w:rsidRPr="00282AC9">
        <w:rPr>
          <w:rFonts w:asciiTheme="minorBidi" w:hAnsiTheme="minorBidi" w:hint="cs"/>
          <w:sz w:val="27"/>
          <w:rtl/>
        </w:rPr>
        <w:t>على</w:t>
      </w:r>
      <w:r w:rsidR="00965E08" w:rsidRPr="00282AC9">
        <w:rPr>
          <w:rFonts w:asciiTheme="minorBidi" w:hAnsiTheme="minorBidi"/>
          <w:sz w:val="27"/>
          <w:rtl/>
        </w:rPr>
        <w:t xml:space="preserve"> </w:t>
      </w:r>
      <w:r w:rsidR="00965E08" w:rsidRPr="00282AC9">
        <w:rPr>
          <w:rFonts w:asciiTheme="minorBidi" w:hAnsiTheme="minorBidi" w:hint="cs"/>
          <w:sz w:val="27"/>
          <w:rtl/>
        </w:rPr>
        <w:t>جميع البشر</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اللهم</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وه</w:t>
      </w:r>
      <w:r w:rsidR="00204049" w:rsidRPr="00282AC9">
        <w:rPr>
          <w:rFonts w:asciiTheme="minorBidi" w:hAnsiTheme="minorBidi" w:hint="cs"/>
          <w:sz w:val="27"/>
          <w:rtl/>
        </w:rPr>
        <w:t>َ</w:t>
      </w:r>
      <w:r w:rsidR="00965E08" w:rsidRPr="00282AC9">
        <w:rPr>
          <w:rFonts w:asciiTheme="minorBidi" w:hAnsiTheme="minorBidi" w:hint="cs"/>
          <w:sz w:val="27"/>
          <w:rtl/>
        </w:rPr>
        <w:t>ب</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لنا</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هذا</w:t>
      </w:r>
      <w:r w:rsidR="00965E08" w:rsidRPr="00282AC9">
        <w:rPr>
          <w:rFonts w:asciiTheme="minorBidi" w:hAnsiTheme="minorBidi"/>
          <w:sz w:val="27"/>
          <w:rtl/>
        </w:rPr>
        <w:t xml:space="preserve"> </w:t>
      </w:r>
      <w:r w:rsidR="00965E08" w:rsidRPr="00282AC9">
        <w:rPr>
          <w:rFonts w:asciiTheme="minorBidi" w:hAnsiTheme="minorBidi" w:hint="cs"/>
          <w:sz w:val="27"/>
          <w:rtl/>
        </w:rPr>
        <w:t>اليوم</w:t>
      </w:r>
      <w:r w:rsidR="00965E08" w:rsidRPr="00282AC9">
        <w:rPr>
          <w:rFonts w:asciiTheme="minorBidi" w:hAnsiTheme="minorBidi"/>
          <w:sz w:val="27"/>
          <w:rtl/>
        </w:rPr>
        <w:t xml:space="preserve"> </w:t>
      </w:r>
      <w:r w:rsidR="00965E08" w:rsidRPr="00282AC9">
        <w:rPr>
          <w:rFonts w:asciiTheme="minorBidi" w:hAnsiTheme="minorBidi" w:hint="cs"/>
          <w:sz w:val="27"/>
          <w:rtl/>
        </w:rPr>
        <w:t>خير</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موهبة</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وأنجح</w:t>
      </w:r>
      <w:r w:rsidR="00965E08" w:rsidRPr="00282AC9">
        <w:rPr>
          <w:rFonts w:asciiTheme="minorBidi" w:hAnsiTheme="minorBidi"/>
          <w:sz w:val="27"/>
          <w:rtl/>
        </w:rPr>
        <w:t xml:space="preserve"> </w:t>
      </w:r>
      <w:r w:rsidR="00965E08" w:rsidRPr="00282AC9">
        <w:rPr>
          <w:rFonts w:asciiTheme="minorBidi" w:hAnsiTheme="minorBidi" w:hint="cs"/>
          <w:sz w:val="27"/>
          <w:rtl/>
        </w:rPr>
        <w:t>لنا</w:t>
      </w:r>
      <w:r w:rsidR="00965E08" w:rsidRPr="00282AC9">
        <w:rPr>
          <w:rFonts w:asciiTheme="minorBidi" w:hAnsiTheme="minorBidi"/>
          <w:sz w:val="27"/>
          <w:rtl/>
        </w:rPr>
        <w:t xml:space="preserve"> </w:t>
      </w:r>
      <w:r w:rsidR="00965E08" w:rsidRPr="00282AC9">
        <w:rPr>
          <w:rFonts w:asciiTheme="minorBidi" w:hAnsiTheme="minorBidi" w:hint="cs"/>
          <w:sz w:val="27"/>
          <w:rtl/>
        </w:rPr>
        <w:t>فيه</w:t>
      </w:r>
      <w:r w:rsidR="00965E08" w:rsidRPr="00282AC9">
        <w:rPr>
          <w:rFonts w:asciiTheme="minorBidi" w:hAnsiTheme="minorBidi"/>
          <w:sz w:val="27"/>
          <w:rtl/>
        </w:rPr>
        <w:t xml:space="preserve"> </w:t>
      </w:r>
      <w:r w:rsidR="00965E08" w:rsidRPr="00282AC9">
        <w:rPr>
          <w:rFonts w:asciiTheme="minorBidi" w:hAnsiTheme="minorBidi" w:hint="cs"/>
          <w:sz w:val="27"/>
          <w:rtl/>
        </w:rPr>
        <w:t>كل</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طلبة</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كما</w:t>
      </w:r>
      <w:r w:rsidR="00965E08" w:rsidRPr="00282AC9">
        <w:rPr>
          <w:rFonts w:asciiTheme="minorBidi" w:hAnsiTheme="minorBidi"/>
          <w:sz w:val="27"/>
          <w:rtl/>
        </w:rPr>
        <w:t xml:space="preserve"> </w:t>
      </w:r>
      <w:r w:rsidR="00965E08" w:rsidRPr="00282AC9">
        <w:rPr>
          <w:rFonts w:asciiTheme="minorBidi" w:hAnsiTheme="minorBidi" w:hint="cs"/>
          <w:sz w:val="27"/>
          <w:rtl/>
        </w:rPr>
        <w:t>وه</w:t>
      </w:r>
      <w:r w:rsidR="00204049" w:rsidRPr="00282AC9">
        <w:rPr>
          <w:rFonts w:asciiTheme="minorBidi" w:hAnsiTheme="minorBidi" w:hint="cs"/>
          <w:sz w:val="27"/>
          <w:rtl/>
        </w:rPr>
        <w:t>َ</w:t>
      </w:r>
      <w:r w:rsidR="00965E08" w:rsidRPr="00282AC9">
        <w:rPr>
          <w:rFonts w:asciiTheme="minorBidi" w:hAnsiTheme="minorBidi" w:hint="cs"/>
          <w:sz w:val="27"/>
          <w:rtl/>
        </w:rPr>
        <w:t>ب</w:t>
      </w:r>
      <w:r w:rsidR="00204049" w:rsidRPr="00282AC9">
        <w:rPr>
          <w:rFonts w:asciiTheme="minorBidi" w:hAnsiTheme="minorBidi" w:hint="cs"/>
          <w:sz w:val="27"/>
          <w:rtl/>
        </w:rPr>
        <w:t>ْ</w:t>
      </w:r>
      <w:r w:rsidR="00965E08" w:rsidRPr="00282AC9">
        <w:rPr>
          <w:rFonts w:asciiTheme="minorBidi" w:hAnsiTheme="minorBidi" w:hint="cs"/>
          <w:sz w:val="27"/>
          <w:rtl/>
        </w:rPr>
        <w:t>ت</w:t>
      </w:r>
      <w:r w:rsidR="00204049" w:rsidRPr="00282AC9">
        <w:rPr>
          <w:rFonts w:asciiTheme="minorBidi" w:hAnsiTheme="minorBidi" w:hint="cs"/>
          <w:sz w:val="27"/>
          <w:rtl/>
        </w:rPr>
        <w:t>َ</w:t>
      </w:r>
      <w:r w:rsidR="00965E08" w:rsidRPr="00282AC9">
        <w:rPr>
          <w:rFonts w:asciiTheme="minorBidi" w:hAnsiTheme="minorBidi" w:hint="cs"/>
          <w:sz w:val="27"/>
          <w:rtl/>
        </w:rPr>
        <w:t xml:space="preserve"> الحسين</w:t>
      </w:r>
      <w:r w:rsidR="00965E08" w:rsidRPr="00282AC9">
        <w:rPr>
          <w:rFonts w:asciiTheme="minorBidi" w:hAnsiTheme="minorBidi"/>
          <w:sz w:val="27"/>
          <w:rtl/>
        </w:rPr>
        <w:t xml:space="preserve"> </w:t>
      </w:r>
      <w:r w:rsidR="00965E08" w:rsidRPr="00282AC9">
        <w:rPr>
          <w:rFonts w:asciiTheme="minorBidi" w:hAnsiTheme="minorBidi" w:hint="cs"/>
          <w:sz w:val="27"/>
          <w:rtl/>
        </w:rPr>
        <w:t>لمحم</w:t>
      </w:r>
      <w:r w:rsidR="00204049" w:rsidRPr="00282AC9">
        <w:rPr>
          <w:rFonts w:asciiTheme="minorBidi" w:hAnsiTheme="minorBidi" w:hint="cs"/>
          <w:sz w:val="27"/>
          <w:rtl/>
        </w:rPr>
        <w:t>ّ</w:t>
      </w:r>
      <w:r w:rsidR="00965E08" w:rsidRPr="00282AC9">
        <w:rPr>
          <w:rFonts w:asciiTheme="minorBidi" w:hAnsiTheme="minorBidi" w:hint="cs"/>
          <w:sz w:val="27"/>
          <w:rtl/>
        </w:rPr>
        <w:t>د</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جد</w:t>
      </w:r>
      <w:r w:rsidR="00204049" w:rsidRPr="00282AC9">
        <w:rPr>
          <w:rFonts w:asciiTheme="minorBidi" w:hAnsiTheme="minorBidi" w:hint="cs"/>
          <w:sz w:val="27"/>
          <w:rtl/>
        </w:rPr>
        <w:t>َّ</w:t>
      </w:r>
      <w:r w:rsidR="00965E08" w:rsidRPr="00282AC9">
        <w:rPr>
          <w:rFonts w:asciiTheme="minorBidi" w:hAnsiTheme="minorBidi" w:hint="cs"/>
          <w:sz w:val="27"/>
          <w:rtl/>
        </w:rPr>
        <w:t>ه</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وعاذ</w:t>
      </w:r>
      <w:r w:rsidR="00965E08" w:rsidRPr="00282AC9">
        <w:rPr>
          <w:rFonts w:asciiTheme="minorBidi" w:hAnsiTheme="minorBidi"/>
          <w:sz w:val="27"/>
          <w:rtl/>
        </w:rPr>
        <w:t xml:space="preserve"> </w:t>
      </w:r>
      <w:r w:rsidR="00965E08" w:rsidRPr="00282AC9">
        <w:rPr>
          <w:rFonts w:asciiTheme="minorBidi" w:hAnsiTheme="minorBidi" w:hint="cs"/>
          <w:sz w:val="27"/>
          <w:rtl/>
        </w:rPr>
        <w:t>فطرس</w:t>
      </w:r>
      <w:r w:rsidR="00965E08" w:rsidRPr="00282AC9">
        <w:rPr>
          <w:rFonts w:asciiTheme="minorBidi" w:hAnsiTheme="minorBidi"/>
          <w:sz w:val="27"/>
          <w:rtl/>
        </w:rPr>
        <w:t xml:space="preserve"> </w:t>
      </w:r>
      <w:r w:rsidR="00965E08" w:rsidRPr="00282AC9">
        <w:rPr>
          <w:rFonts w:asciiTheme="minorBidi" w:hAnsiTheme="minorBidi" w:hint="cs"/>
          <w:sz w:val="27"/>
          <w:rtl/>
        </w:rPr>
        <w:t>بم</w:t>
      </w:r>
      <w:r w:rsidR="00204049" w:rsidRPr="00282AC9">
        <w:rPr>
          <w:rFonts w:asciiTheme="minorBidi" w:hAnsiTheme="minorBidi" w:hint="cs"/>
          <w:sz w:val="27"/>
          <w:rtl/>
        </w:rPr>
        <w:t>َهْ</w:t>
      </w:r>
      <w:r w:rsidR="00965E08" w:rsidRPr="00282AC9">
        <w:rPr>
          <w:rFonts w:asciiTheme="minorBidi" w:hAnsiTheme="minorBidi" w:hint="cs"/>
          <w:sz w:val="27"/>
          <w:rtl/>
        </w:rPr>
        <w:t>ده</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فنحن</w:t>
      </w:r>
      <w:r w:rsidR="00965E08" w:rsidRPr="00282AC9">
        <w:rPr>
          <w:rFonts w:asciiTheme="minorBidi" w:hAnsiTheme="minorBidi"/>
          <w:sz w:val="27"/>
          <w:rtl/>
        </w:rPr>
        <w:t xml:space="preserve"> </w:t>
      </w:r>
      <w:r w:rsidR="00965E08" w:rsidRPr="00282AC9">
        <w:rPr>
          <w:rFonts w:asciiTheme="minorBidi" w:hAnsiTheme="minorBidi" w:hint="cs"/>
          <w:sz w:val="27"/>
          <w:rtl/>
        </w:rPr>
        <w:t>عائذون</w:t>
      </w:r>
      <w:r w:rsidR="00965E08" w:rsidRPr="00282AC9">
        <w:rPr>
          <w:rFonts w:asciiTheme="minorBidi" w:hAnsiTheme="minorBidi"/>
          <w:sz w:val="27"/>
          <w:rtl/>
        </w:rPr>
        <w:t xml:space="preserve"> </w:t>
      </w:r>
      <w:r w:rsidR="00965E08" w:rsidRPr="00282AC9">
        <w:rPr>
          <w:rFonts w:asciiTheme="minorBidi" w:hAnsiTheme="minorBidi" w:hint="cs"/>
          <w:sz w:val="27"/>
          <w:rtl/>
        </w:rPr>
        <w:t>بقبره</w:t>
      </w:r>
      <w:r w:rsidR="00965E08" w:rsidRPr="00282AC9">
        <w:rPr>
          <w:rFonts w:asciiTheme="minorBidi" w:hAnsiTheme="minorBidi"/>
          <w:sz w:val="27"/>
          <w:rtl/>
        </w:rPr>
        <w:t xml:space="preserve"> </w:t>
      </w:r>
      <w:r w:rsidR="00965E08" w:rsidRPr="00282AC9">
        <w:rPr>
          <w:rFonts w:asciiTheme="minorBidi" w:hAnsiTheme="minorBidi" w:hint="cs"/>
          <w:sz w:val="27"/>
          <w:rtl/>
        </w:rPr>
        <w:t>من</w:t>
      </w:r>
      <w:r w:rsidR="00965E08" w:rsidRPr="00282AC9">
        <w:rPr>
          <w:rFonts w:asciiTheme="minorBidi" w:hAnsiTheme="minorBidi"/>
          <w:sz w:val="27"/>
          <w:rtl/>
        </w:rPr>
        <w:t xml:space="preserve"> </w:t>
      </w:r>
      <w:r w:rsidR="00965E08" w:rsidRPr="00282AC9">
        <w:rPr>
          <w:rFonts w:asciiTheme="minorBidi" w:hAnsiTheme="minorBidi" w:hint="cs"/>
          <w:sz w:val="27"/>
          <w:rtl/>
        </w:rPr>
        <w:t>بعده</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نشهد تربته</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وننتظر</w:t>
      </w:r>
      <w:r w:rsidR="00965E08" w:rsidRPr="00282AC9">
        <w:rPr>
          <w:rFonts w:asciiTheme="minorBidi" w:hAnsiTheme="minorBidi"/>
          <w:sz w:val="27"/>
          <w:rtl/>
        </w:rPr>
        <w:t xml:space="preserve"> </w:t>
      </w:r>
      <w:r w:rsidR="00965E08" w:rsidRPr="00282AC9">
        <w:rPr>
          <w:rFonts w:asciiTheme="minorBidi" w:hAnsiTheme="minorBidi" w:hint="cs"/>
          <w:sz w:val="27"/>
          <w:rtl/>
        </w:rPr>
        <w:t>أوبته</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آمين</w:t>
      </w:r>
      <w:r w:rsidR="00965E08" w:rsidRPr="00282AC9">
        <w:rPr>
          <w:rFonts w:asciiTheme="minorBidi" w:hAnsiTheme="minorBidi"/>
          <w:sz w:val="27"/>
          <w:rtl/>
        </w:rPr>
        <w:t xml:space="preserve"> </w:t>
      </w:r>
      <w:r w:rsidR="00965E08" w:rsidRPr="00282AC9">
        <w:rPr>
          <w:rFonts w:asciiTheme="minorBidi" w:hAnsiTheme="minorBidi" w:hint="cs"/>
          <w:sz w:val="27"/>
          <w:rtl/>
        </w:rPr>
        <w:t>رب</w:t>
      </w:r>
      <w:r w:rsidR="00204049"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العالمين</w:t>
      </w:r>
      <w:r w:rsidR="00965E08" w:rsidRPr="00282AC9">
        <w:rPr>
          <w:rFonts w:hint="eastAsia"/>
          <w:sz w:val="24"/>
          <w:szCs w:val="24"/>
          <w:rtl/>
        </w:rPr>
        <w:t>»</w:t>
      </w:r>
      <w:r w:rsidR="00965E08" w:rsidRPr="00282AC9">
        <w:rPr>
          <w:rFonts w:asciiTheme="minorBidi" w:hAnsiTheme="minorBidi"/>
          <w:sz w:val="27"/>
          <w:vertAlign w:val="superscript"/>
          <w:rtl/>
        </w:rPr>
        <w:t>(</w:t>
      </w:r>
      <w:r w:rsidR="00965E08" w:rsidRPr="00282AC9">
        <w:rPr>
          <w:rStyle w:val="af9"/>
          <w:rFonts w:asciiTheme="minorBidi" w:hAnsiTheme="minorBidi"/>
          <w:sz w:val="27"/>
          <w:rtl/>
        </w:rPr>
        <w:endnoteReference w:id="768"/>
      </w:r>
      <w:r w:rsidR="00965E08" w:rsidRPr="00282AC9">
        <w:rPr>
          <w:rFonts w:asciiTheme="minorBidi" w:hAnsiTheme="minorBidi"/>
          <w:sz w:val="27"/>
          <w:vertAlign w:val="superscript"/>
          <w:rtl/>
        </w:rPr>
        <w:t>)</w:t>
      </w:r>
      <w:r w:rsidR="00965E08" w:rsidRPr="00282AC9">
        <w:rPr>
          <w:rFonts w:asciiTheme="minorBidi" w:hAnsiTheme="minorBidi"/>
          <w:sz w:val="27"/>
          <w:rtl/>
        </w:rPr>
        <w:t>.</w:t>
      </w:r>
    </w:p>
    <w:p w:rsidR="00965E08" w:rsidRPr="00282AC9" w:rsidRDefault="00204049" w:rsidP="003062B7">
      <w:pPr>
        <w:rPr>
          <w:rFonts w:asciiTheme="minorBidi" w:hAnsiTheme="minorBidi"/>
          <w:sz w:val="27"/>
          <w:rtl/>
        </w:rPr>
      </w:pPr>
      <w:r w:rsidRPr="00282AC9">
        <w:rPr>
          <w:rFonts w:asciiTheme="minorBidi" w:hAnsiTheme="minorBidi" w:hint="cs"/>
          <w:sz w:val="27"/>
          <w:rtl/>
        </w:rPr>
        <w:t>و</w:t>
      </w:r>
      <w:r w:rsidR="00965E08" w:rsidRPr="00282AC9">
        <w:rPr>
          <w:rFonts w:asciiTheme="minorBidi" w:hAnsiTheme="minorBidi" w:hint="cs"/>
          <w:sz w:val="27"/>
          <w:rtl/>
        </w:rPr>
        <w:t>نجد</w:t>
      </w:r>
      <w:r w:rsidR="00965E08" w:rsidRPr="00282AC9">
        <w:rPr>
          <w:rFonts w:asciiTheme="minorBidi" w:hAnsiTheme="minorBidi"/>
          <w:sz w:val="27"/>
          <w:rtl/>
        </w:rPr>
        <w:t xml:space="preserve"> </w:t>
      </w:r>
      <w:r w:rsidR="00965E08" w:rsidRPr="00282AC9">
        <w:rPr>
          <w:rFonts w:asciiTheme="minorBidi" w:hAnsiTheme="minorBidi" w:hint="cs"/>
          <w:sz w:val="27"/>
          <w:rtl/>
        </w:rPr>
        <w:t>أن</w:t>
      </w:r>
      <w:r w:rsidR="00965E08" w:rsidRPr="00282AC9">
        <w:rPr>
          <w:rFonts w:asciiTheme="minorBidi" w:hAnsiTheme="minorBidi"/>
          <w:sz w:val="27"/>
          <w:rtl/>
        </w:rPr>
        <w:t xml:space="preserve"> </w:t>
      </w:r>
      <w:r w:rsidR="00965E08" w:rsidRPr="00282AC9">
        <w:rPr>
          <w:rFonts w:asciiTheme="minorBidi" w:hAnsiTheme="minorBidi" w:hint="cs"/>
          <w:sz w:val="27"/>
          <w:rtl/>
        </w:rPr>
        <w:t>المعاني</w:t>
      </w:r>
      <w:r w:rsidR="00965E08" w:rsidRPr="00282AC9">
        <w:rPr>
          <w:rFonts w:asciiTheme="minorBidi" w:hAnsiTheme="minorBidi"/>
          <w:sz w:val="27"/>
          <w:rtl/>
        </w:rPr>
        <w:t xml:space="preserve"> </w:t>
      </w:r>
      <w:r w:rsidR="00965E08" w:rsidRPr="00282AC9">
        <w:rPr>
          <w:rFonts w:asciiTheme="minorBidi" w:hAnsiTheme="minorBidi" w:hint="cs"/>
          <w:sz w:val="27"/>
          <w:rtl/>
        </w:rPr>
        <w:t>التي</w:t>
      </w:r>
      <w:r w:rsidR="00965E08" w:rsidRPr="00282AC9">
        <w:rPr>
          <w:rFonts w:asciiTheme="minorBidi" w:hAnsiTheme="minorBidi"/>
          <w:sz w:val="27"/>
          <w:rtl/>
        </w:rPr>
        <w:t xml:space="preserve"> </w:t>
      </w:r>
      <w:r w:rsidR="00965E08" w:rsidRPr="00282AC9">
        <w:rPr>
          <w:rFonts w:asciiTheme="minorBidi" w:hAnsiTheme="minorBidi" w:hint="cs"/>
          <w:sz w:val="27"/>
          <w:rtl/>
        </w:rPr>
        <w:t>ذ</w:t>
      </w:r>
      <w:r w:rsidRPr="00282AC9">
        <w:rPr>
          <w:rFonts w:asciiTheme="minorBidi" w:hAnsiTheme="minorBidi" w:hint="cs"/>
          <w:sz w:val="27"/>
          <w:rtl/>
        </w:rPr>
        <w:t>ُ</w:t>
      </w:r>
      <w:r w:rsidR="00965E08" w:rsidRPr="00282AC9">
        <w:rPr>
          <w:rFonts w:asciiTheme="minorBidi" w:hAnsiTheme="minorBidi" w:hint="cs"/>
          <w:sz w:val="27"/>
          <w:rtl/>
        </w:rPr>
        <w:t>كر</w:t>
      </w:r>
      <w:r w:rsidRPr="00282AC9">
        <w:rPr>
          <w:rFonts w:asciiTheme="minorBidi" w:hAnsiTheme="minorBidi" w:hint="cs"/>
          <w:sz w:val="27"/>
          <w:rtl/>
        </w:rPr>
        <w:t>َ</w:t>
      </w:r>
      <w:r w:rsidR="00965E08" w:rsidRPr="00282AC9">
        <w:rPr>
          <w:rFonts w:asciiTheme="minorBidi" w:hAnsiTheme="minorBidi" w:hint="cs"/>
          <w:sz w:val="27"/>
          <w:rtl/>
        </w:rPr>
        <w:t>ت</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هذه</w:t>
      </w:r>
      <w:r w:rsidR="00965E08" w:rsidRPr="00282AC9">
        <w:rPr>
          <w:rFonts w:asciiTheme="minorBidi" w:hAnsiTheme="minorBidi"/>
          <w:sz w:val="27"/>
          <w:rtl/>
        </w:rPr>
        <w:t xml:space="preserve"> </w:t>
      </w:r>
      <w:r w:rsidR="00965E08" w:rsidRPr="00282AC9">
        <w:rPr>
          <w:rFonts w:asciiTheme="minorBidi" w:hAnsiTheme="minorBidi" w:hint="cs"/>
          <w:sz w:val="27"/>
          <w:rtl/>
        </w:rPr>
        <w:t>العبارات</w:t>
      </w:r>
      <w:r w:rsidR="00965E08" w:rsidRPr="00282AC9">
        <w:rPr>
          <w:rFonts w:asciiTheme="minorBidi" w:hAnsiTheme="minorBidi"/>
          <w:sz w:val="27"/>
          <w:rtl/>
        </w:rPr>
        <w:t xml:space="preserve"> </w:t>
      </w:r>
      <w:r w:rsidR="00965E08" w:rsidRPr="00282AC9">
        <w:rPr>
          <w:rFonts w:asciiTheme="minorBidi" w:hAnsiTheme="minorBidi" w:hint="cs"/>
          <w:sz w:val="27"/>
          <w:rtl/>
        </w:rPr>
        <w:t>تنطبق</w:t>
      </w:r>
      <w:r w:rsidR="00965E08" w:rsidRPr="00282AC9">
        <w:rPr>
          <w:rFonts w:asciiTheme="minorBidi" w:hAnsiTheme="minorBidi"/>
          <w:sz w:val="27"/>
          <w:rtl/>
        </w:rPr>
        <w:t xml:space="preserve"> </w:t>
      </w:r>
      <w:r w:rsidRPr="00282AC9">
        <w:rPr>
          <w:rFonts w:asciiTheme="minorBidi" w:hAnsiTheme="minorBidi" w:hint="cs"/>
          <w:sz w:val="27"/>
          <w:rtl/>
        </w:rPr>
        <w:t>ا</w:t>
      </w:r>
      <w:r w:rsidR="00965E08" w:rsidRPr="00282AC9">
        <w:rPr>
          <w:rFonts w:asciiTheme="minorBidi" w:hAnsiTheme="minorBidi" w:hint="cs"/>
          <w:sz w:val="27"/>
          <w:rtl/>
        </w:rPr>
        <w:t>نطباقاً</w:t>
      </w:r>
      <w:r w:rsidR="00965E08" w:rsidRPr="00282AC9">
        <w:rPr>
          <w:rFonts w:asciiTheme="minorBidi" w:hAnsiTheme="minorBidi"/>
          <w:sz w:val="27"/>
          <w:rtl/>
        </w:rPr>
        <w:t xml:space="preserve"> </w:t>
      </w:r>
      <w:r w:rsidR="00965E08" w:rsidRPr="00282AC9">
        <w:rPr>
          <w:rFonts w:asciiTheme="minorBidi" w:hAnsiTheme="minorBidi" w:hint="cs"/>
          <w:sz w:val="27"/>
          <w:rtl/>
        </w:rPr>
        <w:t>كاملاً</w:t>
      </w:r>
      <w:r w:rsidR="00965E08" w:rsidRPr="00282AC9">
        <w:rPr>
          <w:rFonts w:asciiTheme="minorBidi" w:hAnsiTheme="minorBidi"/>
          <w:sz w:val="27"/>
          <w:rtl/>
        </w:rPr>
        <w:t xml:space="preserve"> </w:t>
      </w:r>
      <w:r w:rsidR="00965E08" w:rsidRPr="00282AC9">
        <w:rPr>
          <w:rFonts w:asciiTheme="minorBidi" w:hAnsiTheme="minorBidi" w:hint="cs"/>
          <w:sz w:val="27"/>
          <w:rtl/>
        </w:rPr>
        <w:t>على</w:t>
      </w:r>
      <w:r w:rsidR="00965E08" w:rsidRPr="00282AC9">
        <w:rPr>
          <w:rFonts w:asciiTheme="minorBidi" w:hAnsiTheme="minorBidi"/>
          <w:sz w:val="27"/>
          <w:rtl/>
        </w:rPr>
        <w:t xml:space="preserve"> </w:t>
      </w:r>
      <w:r w:rsidR="00965E08" w:rsidRPr="00282AC9">
        <w:rPr>
          <w:rFonts w:asciiTheme="minorBidi" w:hAnsiTheme="minorBidi" w:hint="cs"/>
          <w:sz w:val="27"/>
          <w:rtl/>
        </w:rPr>
        <w:t>الذي</w:t>
      </w:r>
      <w:r w:rsidR="00965E08" w:rsidRPr="00282AC9">
        <w:rPr>
          <w:rFonts w:asciiTheme="minorBidi" w:hAnsiTheme="minorBidi"/>
          <w:sz w:val="27"/>
          <w:rtl/>
        </w:rPr>
        <w:t xml:space="preserve"> </w:t>
      </w:r>
      <w:r w:rsidR="00965E08" w:rsidRPr="00282AC9">
        <w:rPr>
          <w:rFonts w:asciiTheme="minorBidi" w:hAnsiTheme="minorBidi" w:hint="cs"/>
          <w:sz w:val="27"/>
          <w:rtl/>
        </w:rPr>
        <w:lastRenderedPageBreak/>
        <w:t xml:space="preserve">ذكرناه </w:t>
      </w:r>
      <w:r w:rsidRPr="00282AC9">
        <w:rPr>
          <w:rFonts w:asciiTheme="minorBidi" w:hAnsiTheme="minorBidi" w:hint="cs"/>
          <w:sz w:val="27"/>
          <w:rtl/>
        </w:rPr>
        <w:t>آ</w:t>
      </w:r>
      <w:r w:rsidR="00965E08" w:rsidRPr="00282AC9">
        <w:rPr>
          <w:rFonts w:asciiTheme="minorBidi" w:hAnsiTheme="minorBidi" w:hint="cs"/>
          <w:sz w:val="27"/>
          <w:rtl/>
        </w:rPr>
        <w:t>نفا</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فالدعاء</w:t>
      </w:r>
      <w:r w:rsidR="00965E08" w:rsidRPr="00282AC9">
        <w:rPr>
          <w:rFonts w:asciiTheme="minorBidi" w:hAnsiTheme="minorBidi"/>
          <w:sz w:val="27"/>
          <w:rtl/>
        </w:rPr>
        <w:t xml:space="preserve"> </w:t>
      </w:r>
      <w:r w:rsidR="00965E08" w:rsidRPr="00282AC9">
        <w:rPr>
          <w:rFonts w:asciiTheme="minorBidi" w:hAnsiTheme="minorBidi" w:hint="cs"/>
          <w:sz w:val="27"/>
          <w:rtl/>
        </w:rPr>
        <w:t>كأن</w:t>
      </w:r>
      <w:r w:rsidRPr="00282AC9">
        <w:rPr>
          <w:rFonts w:asciiTheme="minorBidi" w:hAnsiTheme="minorBidi" w:hint="cs"/>
          <w:sz w:val="27"/>
          <w:rtl/>
        </w:rPr>
        <w:t>ّ</w:t>
      </w:r>
      <w:r w:rsidR="00965E08" w:rsidRPr="00282AC9">
        <w:rPr>
          <w:rFonts w:asciiTheme="minorBidi" w:hAnsiTheme="minorBidi" w:hint="cs"/>
          <w:sz w:val="27"/>
          <w:rtl/>
        </w:rPr>
        <w:t>ه</w:t>
      </w:r>
      <w:r w:rsidR="00965E08" w:rsidRPr="00282AC9">
        <w:rPr>
          <w:rFonts w:asciiTheme="minorBidi" w:hAnsiTheme="minorBidi"/>
          <w:sz w:val="27"/>
          <w:rtl/>
        </w:rPr>
        <w:t xml:space="preserve"> </w:t>
      </w:r>
      <w:r w:rsidR="00965E08" w:rsidRPr="00282AC9">
        <w:rPr>
          <w:rFonts w:asciiTheme="minorBidi" w:hAnsiTheme="minorBidi" w:hint="cs"/>
          <w:sz w:val="27"/>
          <w:rtl/>
        </w:rPr>
        <w:t>خلاصةٌ</w:t>
      </w:r>
      <w:r w:rsidR="00965E08" w:rsidRPr="00282AC9">
        <w:rPr>
          <w:rFonts w:asciiTheme="minorBidi" w:hAnsiTheme="minorBidi"/>
          <w:sz w:val="27"/>
          <w:rtl/>
        </w:rPr>
        <w:t xml:space="preserve"> </w:t>
      </w:r>
      <w:r w:rsidR="00965E08" w:rsidRPr="00282AC9">
        <w:rPr>
          <w:rFonts w:asciiTheme="minorBidi" w:hAnsiTheme="minorBidi" w:hint="cs"/>
          <w:sz w:val="27"/>
          <w:rtl/>
        </w:rPr>
        <w:t>كاملةٌ</w:t>
      </w:r>
      <w:r w:rsidR="00965E08" w:rsidRPr="00282AC9">
        <w:rPr>
          <w:rFonts w:asciiTheme="minorBidi" w:hAnsiTheme="minorBidi"/>
          <w:sz w:val="27"/>
          <w:rtl/>
        </w:rPr>
        <w:t xml:space="preserve"> </w:t>
      </w:r>
      <w:r w:rsidR="00965E08" w:rsidRPr="00282AC9">
        <w:rPr>
          <w:rFonts w:asciiTheme="minorBidi" w:hAnsiTheme="minorBidi" w:hint="cs"/>
          <w:sz w:val="27"/>
          <w:rtl/>
        </w:rPr>
        <w:t>لكل</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الذي</w:t>
      </w:r>
      <w:r w:rsidR="00965E08" w:rsidRPr="00282AC9">
        <w:rPr>
          <w:rFonts w:asciiTheme="minorBidi" w:hAnsiTheme="minorBidi"/>
          <w:sz w:val="27"/>
          <w:rtl/>
        </w:rPr>
        <w:t xml:space="preserve"> </w:t>
      </w:r>
      <w:r w:rsidR="00965E08" w:rsidRPr="00282AC9">
        <w:rPr>
          <w:rFonts w:asciiTheme="minorBidi" w:hAnsiTheme="minorBidi" w:hint="cs"/>
          <w:sz w:val="27"/>
          <w:rtl/>
        </w:rPr>
        <w:t>مر</w:t>
      </w:r>
      <w:r w:rsidRPr="00282AC9">
        <w:rPr>
          <w:rFonts w:asciiTheme="minorBidi" w:hAnsiTheme="minorBidi" w:hint="cs"/>
          <w:sz w:val="27"/>
          <w:rtl/>
        </w:rPr>
        <w:t>َّ</w:t>
      </w:r>
      <w:r w:rsidR="00965E08" w:rsidRPr="00282AC9">
        <w:rPr>
          <w:rFonts w:asciiTheme="minorBidi" w:hAnsiTheme="minorBidi" w:hint="cs"/>
          <w:sz w:val="27"/>
          <w:rtl/>
        </w:rPr>
        <w:t xml:space="preserve"> وتقر</w:t>
      </w:r>
      <w:r w:rsidRPr="00282AC9">
        <w:rPr>
          <w:rFonts w:asciiTheme="minorBidi" w:hAnsiTheme="minorBidi" w:hint="cs"/>
          <w:sz w:val="27"/>
          <w:rtl/>
        </w:rPr>
        <w:t>َّ</w:t>
      </w:r>
      <w:r w:rsidR="00965E08" w:rsidRPr="00282AC9">
        <w:rPr>
          <w:rFonts w:asciiTheme="minorBidi" w:hAnsiTheme="minorBidi" w:hint="cs"/>
          <w:sz w:val="27"/>
          <w:rtl/>
        </w:rPr>
        <w:t>ر</w:t>
      </w:r>
      <w:r w:rsidR="00965E08" w:rsidRPr="00282AC9">
        <w:rPr>
          <w:rFonts w:asciiTheme="minorBidi" w:hAnsiTheme="minorBidi"/>
          <w:sz w:val="27"/>
          <w:rtl/>
        </w:rPr>
        <w:t xml:space="preserve">. </w:t>
      </w:r>
      <w:r w:rsidR="00965E08" w:rsidRPr="00282AC9">
        <w:rPr>
          <w:rFonts w:asciiTheme="minorBidi" w:hAnsiTheme="minorBidi" w:hint="cs"/>
          <w:sz w:val="27"/>
          <w:rtl/>
        </w:rPr>
        <w:t xml:space="preserve">ونضيف </w:t>
      </w:r>
      <w:r w:rsidRPr="00282AC9">
        <w:rPr>
          <w:rFonts w:asciiTheme="minorBidi" w:hAnsiTheme="minorBidi" w:hint="cs"/>
          <w:sz w:val="27"/>
          <w:rtl/>
        </w:rPr>
        <w:t>إ</w:t>
      </w:r>
      <w:r w:rsidR="00965E08" w:rsidRPr="00282AC9">
        <w:rPr>
          <w:rFonts w:asciiTheme="minorBidi" w:hAnsiTheme="minorBidi" w:hint="cs"/>
          <w:sz w:val="27"/>
          <w:rtl/>
        </w:rPr>
        <w:t xml:space="preserve">لى ذلك </w:t>
      </w:r>
      <w:r w:rsidRPr="00282AC9">
        <w:rPr>
          <w:rFonts w:asciiTheme="minorBidi" w:hAnsiTheme="minorBidi" w:hint="cs"/>
          <w:sz w:val="27"/>
          <w:rtl/>
        </w:rPr>
        <w:t>أن</w:t>
      </w:r>
      <w:r w:rsidR="00965E08" w:rsidRPr="00282AC9">
        <w:rPr>
          <w:rFonts w:asciiTheme="minorBidi" w:hAnsiTheme="minorBidi" w:hint="cs"/>
          <w:sz w:val="27"/>
          <w:rtl/>
        </w:rPr>
        <w:t>نا لم</w:t>
      </w:r>
      <w:r w:rsidR="00965E08" w:rsidRPr="00282AC9">
        <w:rPr>
          <w:rFonts w:asciiTheme="minorBidi" w:hAnsiTheme="minorBidi"/>
          <w:sz w:val="27"/>
          <w:rtl/>
        </w:rPr>
        <w:t xml:space="preserve"> </w:t>
      </w:r>
      <w:r w:rsidR="00965E08" w:rsidRPr="00282AC9">
        <w:rPr>
          <w:rFonts w:asciiTheme="minorBidi" w:hAnsiTheme="minorBidi" w:hint="cs"/>
          <w:sz w:val="27"/>
          <w:rtl/>
        </w:rPr>
        <w:t>نج</w:t>
      </w:r>
      <w:r w:rsidRPr="00282AC9">
        <w:rPr>
          <w:rFonts w:asciiTheme="minorBidi" w:hAnsiTheme="minorBidi" w:hint="cs"/>
          <w:sz w:val="27"/>
          <w:rtl/>
        </w:rPr>
        <w:t>ِ</w:t>
      </w:r>
      <w:r w:rsidR="00965E08" w:rsidRPr="00282AC9">
        <w:rPr>
          <w:rFonts w:asciiTheme="minorBidi" w:hAnsiTheme="minorBidi" w:hint="cs"/>
          <w:sz w:val="27"/>
          <w:rtl/>
        </w:rPr>
        <w:t>د</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كل</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الزيارات</w:t>
      </w:r>
      <w:r w:rsidR="00965E08" w:rsidRPr="00282AC9">
        <w:rPr>
          <w:rFonts w:asciiTheme="minorBidi" w:hAnsiTheme="minorBidi"/>
          <w:sz w:val="27"/>
          <w:rtl/>
        </w:rPr>
        <w:t xml:space="preserve"> </w:t>
      </w:r>
      <w:r w:rsidR="00965E08" w:rsidRPr="00282AC9">
        <w:rPr>
          <w:rFonts w:asciiTheme="minorBidi" w:hAnsiTheme="minorBidi" w:hint="cs"/>
          <w:sz w:val="27"/>
          <w:rtl/>
        </w:rPr>
        <w:t>والأدعية</w:t>
      </w:r>
      <w:r w:rsidR="00965E08" w:rsidRPr="00282AC9">
        <w:rPr>
          <w:rFonts w:asciiTheme="minorBidi" w:hAnsiTheme="minorBidi"/>
          <w:sz w:val="27"/>
          <w:rtl/>
        </w:rPr>
        <w:t xml:space="preserve"> </w:t>
      </w:r>
      <w:r w:rsidR="00965E08" w:rsidRPr="00282AC9">
        <w:rPr>
          <w:rFonts w:asciiTheme="minorBidi" w:hAnsiTheme="minorBidi" w:hint="cs"/>
          <w:sz w:val="27"/>
          <w:rtl/>
        </w:rPr>
        <w:t>والتوس</w:t>
      </w:r>
      <w:r w:rsidRPr="00282AC9">
        <w:rPr>
          <w:rFonts w:asciiTheme="minorBidi" w:hAnsiTheme="minorBidi" w:hint="cs"/>
          <w:sz w:val="27"/>
          <w:rtl/>
        </w:rPr>
        <w:t>ُّ</w:t>
      </w:r>
      <w:r w:rsidR="00965E08" w:rsidRPr="00282AC9">
        <w:rPr>
          <w:rFonts w:asciiTheme="minorBidi" w:hAnsiTheme="minorBidi" w:hint="cs"/>
          <w:sz w:val="27"/>
          <w:rtl/>
        </w:rPr>
        <w:t>لات</w:t>
      </w:r>
      <w:r w:rsidR="00965E08" w:rsidRPr="00282AC9">
        <w:rPr>
          <w:rFonts w:asciiTheme="minorBidi" w:hAnsiTheme="minorBidi"/>
          <w:sz w:val="27"/>
          <w:rtl/>
        </w:rPr>
        <w:t xml:space="preserve"> </w:t>
      </w:r>
      <w:r w:rsidR="00965E08" w:rsidRPr="00282AC9">
        <w:rPr>
          <w:rFonts w:asciiTheme="minorBidi" w:hAnsiTheme="minorBidi" w:hint="cs"/>
          <w:sz w:val="27"/>
          <w:rtl/>
        </w:rPr>
        <w:t>والمناجيات</w:t>
      </w:r>
      <w:r w:rsidR="00965E08" w:rsidRPr="00282AC9">
        <w:rPr>
          <w:rFonts w:asciiTheme="minorBidi" w:hAnsiTheme="minorBidi"/>
          <w:sz w:val="27"/>
          <w:rtl/>
        </w:rPr>
        <w:t xml:space="preserve"> </w:t>
      </w:r>
      <w:r w:rsidR="00965E08" w:rsidRPr="00282AC9">
        <w:rPr>
          <w:rFonts w:asciiTheme="minorBidi" w:hAnsiTheme="minorBidi" w:hint="cs"/>
          <w:sz w:val="27"/>
          <w:rtl/>
        </w:rPr>
        <w:t>لل</w:t>
      </w:r>
      <w:r w:rsidRPr="00282AC9">
        <w:rPr>
          <w:rFonts w:asciiTheme="minorBidi" w:hAnsiTheme="minorBidi" w:hint="cs"/>
          <w:sz w:val="27"/>
          <w:rtl/>
        </w:rPr>
        <w:t>إ</w:t>
      </w:r>
      <w:r w:rsidR="00965E08"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00965E08" w:rsidRPr="00282AC9">
        <w:rPr>
          <w:rFonts w:asciiTheme="minorBidi" w:hAnsiTheme="minorBidi"/>
          <w:sz w:val="27"/>
          <w:rtl/>
        </w:rPr>
        <w:t xml:space="preserve"> </w:t>
      </w:r>
      <w:r w:rsidR="00965E08" w:rsidRPr="00282AC9">
        <w:rPr>
          <w:rFonts w:asciiTheme="minorBidi" w:hAnsiTheme="minorBidi" w:hint="cs"/>
          <w:sz w:val="27"/>
          <w:rtl/>
        </w:rPr>
        <w:t>أنهم</w:t>
      </w:r>
      <w:r w:rsidR="00965E08" w:rsidRPr="00282AC9">
        <w:rPr>
          <w:rFonts w:asciiTheme="minorBidi" w:hAnsiTheme="minorBidi"/>
          <w:sz w:val="27"/>
          <w:rtl/>
        </w:rPr>
        <w:t xml:space="preserve"> </w:t>
      </w:r>
      <w:r w:rsidR="00965E08" w:rsidRPr="00282AC9">
        <w:rPr>
          <w:rFonts w:asciiTheme="minorBidi" w:hAnsiTheme="minorBidi" w:hint="cs"/>
          <w:sz w:val="27"/>
          <w:rtl/>
        </w:rPr>
        <w:t>تحد</w:t>
      </w:r>
      <w:r w:rsidRPr="00282AC9">
        <w:rPr>
          <w:rFonts w:asciiTheme="minorBidi" w:hAnsiTheme="minorBidi" w:hint="cs"/>
          <w:sz w:val="27"/>
          <w:rtl/>
        </w:rPr>
        <w:t>َّ</w:t>
      </w:r>
      <w:r w:rsidR="00965E08" w:rsidRPr="00282AC9">
        <w:rPr>
          <w:rFonts w:asciiTheme="minorBidi" w:hAnsiTheme="minorBidi" w:hint="cs"/>
          <w:sz w:val="27"/>
          <w:rtl/>
        </w:rPr>
        <w:t>ثوا</w:t>
      </w:r>
      <w:r w:rsidR="00965E08" w:rsidRPr="00282AC9">
        <w:rPr>
          <w:rFonts w:asciiTheme="minorBidi" w:hAnsiTheme="minorBidi"/>
          <w:sz w:val="27"/>
          <w:rtl/>
        </w:rPr>
        <w:t xml:space="preserve"> </w:t>
      </w:r>
      <w:r w:rsidR="00965E08" w:rsidRPr="00282AC9">
        <w:rPr>
          <w:rFonts w:asciiTheme="minorBidi" w:hAnsiTheme="minorBidi" w:hint="cs"/>
          <w:sz w:val="27"/>
          <w:rtl/>
        </w:rPr>
        <w:t>عن</w:t>
      </w:r>
      <w:r w:rsidR="00965E08" w:rsidRPr="00282AC9">
        <w:rPr>
          <w:rFonts w:asciiTheme="minorBidi" w:hAnsiTheme="minorBidi"/>
          <w:sz w:val="27"/>
          <w:rtl/>
        </w:rPr>
        <w:t xml:space="preserve"> </w:t>
      </w:r>
      <w:r w:rsidR="00965E08" w:rsidRPr="00282AC9">
        <w:rPr>
          <w:rFonts w:asciiTheme="minorBidi" w:hAnsiTheme="minorBidi" w:hint="cs"/>
          <w:sz w:val="27"/>
          <w:rtl/>
        </w:rPr>
        <w:t>نصرٍ</w:t>
      </w:r>
      <w:r w:rsidR="00965E08" w:rsidRPr="00282AC9">
        <w:rPr>
          <w:rFonts w:asciiTheme="minorBidi" w:hAnsiTheme="minorBidi"/>
          <w:sz w:val="27"/>
          <w:rtl/>
        </w:rPr>
        <w:t xml:space="preserve"> </w:t>
      </w:r>
      <w:r w:rsidR="00965E08" w:rsidRPr="00282AC9">
        <w:rPr>
          <w:rFonts w:asciiTheme="minorBidi" w:hAnsiTheme="minorBidi" w:hint="cs"/>
          <w:sz w:val="27"/>
          <w:rtl/>
        </w:rPr>
        <w:t>قبل</w:t>
      </w:r>
      <w:r w:rsidR="00965E08" w:rsidRPr="00282AC9">
        <w:rPr>
          <w:rFonts w:asciiTheme="minorBidi" w:hAnsiTheme="minorBidi"/>
          <w:sz w:val="27"/>
          <w:rtl/>
        </w:rPr>
        <w:t xml:space="preserve"> </w:t>
      </w:r>
      <w:r w:rsidR="00965E08" w:rsidRPr="00282AC9">
        <w:rPr>
          <w:rFonts w:asciiTheme="minorBidi" w:hAnsiTheme="minorBidi" w:hint="cs"/>
          <w:sz w:val="27"/>
          <w:rtl/>
        </w:rPr>
        <w:t>الر</w:t>
      </w:r>
      <w:r w:rsidRPr="00282AC9">
        <w:rPr>
          <w:rFonts w:asciiTheme="minorBidi" w:hAnsiTheme="minorBidi" w:hint="cs"/>
          <w:sz w:val="27"/>
          <w:rtl/>
        </w:rPr>
        <w:t>َّ</w:t>
      </w:r>
      <w:r w:rsidR="00965E08" w:rsidRPr="00282AC9">
        <w:rPr>
          <w:rFonts w:asciiTheme="minorBidi" w:hAnsiTheme="minorBidi" w:hint="cs"/>
          <w:sz w:val="27"/>
          <w:rtl/>
        </w:rPr>
        <w:t>ج</w:t>
      </w:r>
      <w:r w:rsidRPr="00282AC9">
        <w:rPr>
          <w:rFonts w:asciiTheme="minorBidi" w:hAnsiTheme="minorBidi" w:hint="cs"/>
          <w:sz w:val="27"/>
          <w:rtl/>
        </w:rPr>
        <w:t>ْ</w:t>
      </w:r>
      <w:r w:rsidR="00965E08" w:rsidRPr="00282AC9">
        <w:rPr>
          <w:rFonts w:asciiTheme="minorBidi" w:hAnsiTheme="minorBidi" w:hint="cs"/>
          <w:sz w:val="27"/>
          <w:rtl/>
        </w:rPr>
        <w:t>عة</w:t>
      </w:r>
      <w:r w:rsidR="00965E08" w:rsidRPr="00282AC9">
        <w:rPr>
          <w:rFonts w:asciiTheme="minorBidi" w:hAnsiTheme="minorBidi"/>
          <w:sz w:val="27"/>
          <w:rtl/>
        </w:rPr>
        <w:t>.</w:t>
      </w:r>
      <w:r w:rsidR="00965E08" w:rsidRPr="00282AC9">
        <w:rPr>
          <w:rFonts w:asciiTheme="minorBidi" w:hAnsiTheme="minorBidi" w:hint="cs"/>
          <w:sz w:val="27"/>
          <w:rtl/>
        </w:rPr>
        <w:t xml:space="preserve"> فمشروع</w:t>
      </w:r>
      <w:r w:rsidR="00965E08" w:rsidRPr="00282AC9">
        <w:rPr>
          <w:rFonts w:asciiTheme="minorBidi" w:hAnsiTheme="minorBidi"/>
          <w:sz w:val="27"/>
          <w:rtl/>
        </w:rPr>
        <w:t xml:space="preserve"> </w:t>
      </w:r>
      <w:r w:rsidR="00965E08" w:rsidRPr="00282AC9">
        <w:rPr>
          <w:rFonts w:asciiTheme="minorBidi" w:hAnsiTheme="minorBidi" w:hint="cs"/>
          <w:sz w:val="27"/>
          <w:rtl/>
        </w:rPr>
        <w:t>ال</w:t>
      </w:r>
      <w:r w:rsidRPr="00282AC9">
        <w:rPr>
          <w:rFonts w:asciiTheme="minorBidi" w:hAnsiTheme="minorBidi" w:hint="cs"/>
          <w:sz w:val="27"/>
          <w:rtl/>
        </w:rPr>
        <w:t>إ</w:t>
      </w:r>
      <w:r w:rsidR="00965E08"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00965E08" w:rsidRPr="00282AC9">
        <w:rPr>
          <w:rFonts w:asciiTheme="minorBidi" w:hAnsiTheme="minorBidi"/>
          <w:sz w:val="27"/>
          <w:rtl/>
        </w:rPr>
        <w:t xml:space="preserve"> </w:t>
      </w:r>
      <w:r w:rsidR="00965E08" w:rsidRPr="00282AC9">
        <w:rPr>
          <w:rFonts w:asciiTheme="minorBidi" w:hAnsiTheme="minorBidi" w:hint="cs"/>
          <w:sz w:val="27"/>
          <w:rtl/>
        </w:rPr>
        <w:t>يتحر</w:t>
      </w:r>
      <w:r w:rsidRPr="00282AC9">
        <w:rPr>
          <w:rFonts w:asciiTheme="minorBidi" w:hAnsiTheme="minorBidi" w:hint="cs"/>
          <w:sz w:val="27"/>
          <w:rtl/>
        </w:rPr>
        <w:t>َّ</w:t>
      </w:r>
      <w:r w:rsidR="00965E08" w:rsidRPr="00282AC9">
        <w:rPr>
          <w:rFonts w:asciiTheme="minorBidi" w:hAnsiTheme="minorBidi" w:hint="cs"/>
          <w:sz w:val="27"/>
          <w:rtl/>
        </w:rPr>
        <w:t>ك</w:t>
      </w:r>
      <w:r w:rsidR="00965E08" w:rsidRPr="00282AC9">
        <w:rPr>
          <w:rFonts w:asciiTheme="minorBidi" w:hAnsiTheme="minorBidi"/>
          <w:sz w:val="27"/>
          <w:rtl/>
        </w:rPr>
        <w:t xml:space="preserve"> </w:t>
      </w:r>
      <w:r w:rsidR="00965E08" w:rsidRPr="00282AC9">
        <w:rPr>
          <w:rFonts w:asciiTheme="minorBidi" w:hAnsiTheme="minorBidi" w:hint="cs"/>
          <w:sz w:val="27"/>
          <w:rtl/>
        </w:rPr>
        <w:t>بات</w:t>
      </w:r>
      <w:r w:rsidRPr="00282AC9">
        <w:rPr>
          <w:rFonts w:asciiTheme="minorBidi" w:hAnsiTheme="minorBidi" w:hint="cs"/>
          <w:sz w:val="27"/>
          <w:rtl/>
        </w:rPr>
        <w:t>ّ</w:t>
      </w:r>
      <w:r w:rsidR="00965E08" w:rsidRPr="00282AC9">
        <w:rPr>
          <w:rFonts w:asciiTheme="minorBidi" w:hAnsiTheme="minorBidi" w:hint="cs"/>
          <w:sz w:val="27"/>
          <w:rtl/>
        </w:rPr>
        <w:t>جاه</w:t>
      </w:r>
      <w:r w:rsidR="00965E08" w:rsidRPr="00282AC9">
        <w:rPr>
          <w:rFonts w:asciiTheme="minorBidi" w:hAnsiTheme="minorBidi"/>
          <w:sz w:val="27"/>
          <w:rtl/>
        </w:rPr>
        <w:t xml:space="preserve"> </w:t>
      </w:r>
      <w:r w:rsidR="00965E08" w:rsidRPr="00282AC9">
        <w:rPr>
          <w:rFonts w:asciiTheme="minorBidi" w:hAnsiTheme="minorBidi" w:hint="cs"/>
          <w:sz w:val="27"/>
          <w:rtl/>
        </w:rPr>
        <w:t>الانتصار.</w:t>
      </w:r>
    </w:p>
    <w:p w:rsidR="00556C32" w:rsidRPr="00282AC9" w:rsidRDefault="00556C32" w:rsidP="00556C32">
      <w:pPr>
        <w:spacing w:line="420" w:lineRule="exact"/>
        <w:rPr>
          <w:sz w:val="27"/>
          <w:rtl/>
        </w:rPr>
      </w:pPr>
    </w:p>
    <w:p w:rsidR="00965E08" w:rsidRPr="00282AC9" w:rsidRDefault="00965E08" w:rsidP="007D56C2">
      <w:pPr>
        <w:pStyle w:val="31"/>
        <w:rPr>
          <w:color w:val="auto"/>
          <w:rtl/>
        </w:rPr>
      </w:pPr>
      <w:r w:rsidRPr="00282AC9">
        <w:rPr>
          <w:rFonts w:hint="cs"/>
          <w:color w:val="auto"/>
          <w:rtl/>
        </w:rPr>
        <w:t xml:space="preserve">ثالثاً: </w:t>
      </w:r>
      <w:r w:rsidR="001B0857" w:rsidRPr="00282AC9">
        <w:rPr>
          <w:rFonts w:hint="cs"/>
          <w:color w:val="auto"/>
          <w:rtl/>
        </w:rPr>
        <w:t xml:space="preserve">في </w:t>
      </w:r>
      <w:r w:rsidRPr="00282AC9">
        <w:rPr>
          <w:rFonts w:hint="cs"/>
          <w:color w:val="auto"/>
          <w:rtl/>
        </w:rPr>
        <w:t>الواقع</w:t>
      </w:r>
      <w:r w:rsidRPr="00282AC9">
        <w:rPr>
          <w:color w:val="auto"/>
          <w:rtl/>
        </w:rPr>
        <w:t xml:space="preserve"> </w:t>
      </w:r>
      <w:r w:rsidRPr="00282AC9">
        <w:rPr>
          <w:rFonts w:hint="cs"/>
          <w:color w:val="auto"/>
          <w:rtl/>
        </w:rPr>
        <w:t>التأريخي</w:t>
      </w:r>
    </w:p>
    <w:p w:rsidR="00965E08" w:rsidRPr="00282AC9" w:rsidRDefault="00965E08" w:rsidP="003062B7">
      <w:pPr>
        <w:rPr>
          <w:rFonts w:asciiTheme="minorBidi" w:hAnsiTheme="minorBidi"/>
          <w:sz w:val="27"/>
        </w:rPr>
      </w:pPr>
      <w:r w:rsidRPr="00282AC9">
        <w:rPr>
          <w:rFonts w:asciiTheme="minorBidi" w:hAnsiTheme="minorBidi" w:hint="cs"/>
          <w:sz w:val="27"/>
          <w:rtl/>
        </w:rPr>
        <w:t>عند استعراض النصوص</w:t>
      </w:r>
      <w:r w:rsidRPr="00282AC9">
        <w:rPr>
          <w:rFonts w:asciiTheme="minorBidi" w:hAnsiTheme="minorBidi"/>
          <w:sz w:val="27"/>
          <w:rtl/>
        </w:rPr>
        <w:t xml:space="preserve"> </w:t>
      </w:r>
      <w:r w:rsidRPr="00282AC9">
        <w:rPr>
          <w:rFonts w:asciiTheme="minorBidi" w:hAnsiTheme="minorBidi" w:hint="cs"/>
          <w:sz w:val="27"/>
          <w:rtl/>
        </w:rPr>
        <w:t>التي تحد</w:t>
      </w:r>
      <w:r w:rsidR="00204049" w:rsidRPr="00282AC9">
        <w:rPr>
          <w:rFonts w:asciiTheme="minorBidi" w:hAnsiTheme="minorBidi" w:hint="cs"/>
          <w:sz w:val="27"/>
          <w:rtl/>
        </w:rPr>
        <w:t>ِّ</w:t>
      </w:r>
      <w:r w:rsidRPr="00282AC9">
        <w:rPr>
          <w:rFonts w:asciiTheme="minorBidi" w:hAnsiTheme="minorBidi" w:hint="cs"/>
          <w:sz w:val="27"/>
          <w:rtl/>
        </w:rPr>
        <w:t>ثنا</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واقع</w:t>
      </w:r>
      <w:r w:rsidRPr="00282AC9">
        <w:rPr>
          <w:rFonts w:asciiTheme="minorBidi" w:hAnsiTheme="minorBidi"/>
          <w:sz w:val="27"/>
          <w:rtl/>
        </w:rPr>
        <w:t xml:space="preserve"> </w:t>
      </w:r>
      <w:r w:rsidRPr="00282AC9">
        <w:rPr>
          <w:rFonts w:asciiTheme="minorBidi" w:hAnsiTheme="minorBidi" w:hint="cs"/>
          <w:sz w:val="27"/>
          <w:rtl/>
        </w:rPr>
        <w:t>الأم</w:t>
      </w:r>
      <w:r w:rsidR="00204049" w:rsidRPr="00282AC9">
        <w:rPr>
          <w:rFonts w:asciiTheme="minorBidi" w:hAnsiTheme="minorBidi" w:hint="cs"/>
          <w:sz w:val="27"/>
          <w:rtl/>
        </w:rPr>
        <w:t>ّ</w:t>
      </w:r>
      <w:r w:rsidRPr="00282AC9">
        <w:rPr>
          <w:rFonts w:asciiTheme="minorBidi" w:hAnsiTheme="minorBidi" w:hint="cs"/>
          <w:sz w:val="27"/>
          <w:rtl/>
        </w:rPr>
        <w:t>ة</w:t>
      </w:r>
      <w:r w:rsidRPr="00282AC9">
        <w:rPr>
          <w:rFonts w:asciiTheme="minorBidi" w:hAnsiTheme="minorBidi"/>
          <w:sz w:val="27"/>
          <w:rtl/>
        </w:rPr>
        <w:t xml:space="preserve"> </w:t>
      </w:r>
      <w:r w:rsidRPr="00282AC9">
        <w:rPr>
          <w:rFonts w:asciiTheme="minorBidi" w:hAnsiTheme="minorBidi" w:hint="cs"/>
          <w:sz w:val="27"/>
          <w:rtl/>
        </w:rPr>
        <w:t>بعد</w:t>
      </w:r>
      <w:r w:rsidRPr="00282AC9">
        <w:rPr>
          <w:rFonts w:asciiTheme="minorBidi" w:hAnsiTheme="minorBidi"/>
          <w:sz w:val="27"/>
          <w:rtl/>
        </w:rPr>
        <w:t xml:space="preserve"> </w:t>
      </w:r>
      <w:r w:rsidRPr="00282AC9">
        <w:rPr>
          <w:rFonts w:asciiTheme="minorBidi" w:hAnsiTheme="minorBidi" w:hint="cs"/>
          <w:sz w:val="27"/>
          <w:rtl/>
        </w:rPr>
        <w:t>عاشوراء</w:t>
      </w:r>
      <w:r w:rsidRPr="00282AC9">
        <w:rPr>
          <w:rFonts w:asciiTheme="minorBidi" w:hAnsiTheme="minorBidi"/>
          <w:sz w:val="27"/>
          <w:rtl/>
        </w:rPr>
        <w:t xml:space="preserve"> </w:t>
      </w:r>
      <w:r w:rsidRPr="00282AC9">
        <w:rPr>
          <w:rFonts w:asciiTheme="minorBidi" w:hAnsiTheme="minorBidi" w:hint="cs"/>
          <w:sz w:val="27"/>
          <w:rtl/>
        </w:rPr>
        <w:t>واستشهاد ال</w:t>
      </w:r>
      <w:r w:rsidR="00204049"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 xml:space="preserve">نلاحظ </w:t>
      </w:r>
      <w:r w:rsidR="00204049" w:rsidRPr="00282AC9">
        <w:rPr>
          <w:rFonts w:asciiTheme="minorBidi" w:hAnsiTheme="minorBidi" w:hint="cs"/>
          <w:sz w:val="27"/>
          <w:rtl/>
        </w:rPr>
        <w:t>أ</w:t>
      </w:r>
      <w:r w:rsidRPr="00282AC9">
        <w:rPr>
          <w:rFonts w:asciiTheme="minorBidi" w:hAnsiTheme="minorBidi" w:hint="cs"/>
          <w:sz w:val="27"/>
          <w:rtl/>
        </w:rPr>
        <w:t>نه ينطبق على</w:t>
      </w:r>
      <w:r w:rsidRPr="00282AC9">
        <w:rPr>
          <w:rFonts w:asciiTheme="minorBidi" w:hAnsiTheme="minorBidi"/>
          <w:sz w:val="27"/>
          <w:rtl/>
        </w:rPr>
        <w:t xml:space="preserve"> </w:t>
      </w:r>
      <w:r w:rsidRPr="00282AC9">
        <w:rPr>
          <w:rFonts w:asciiTheme="minorBidi" w:hAnsiTheme="minorBidi" w:hint="cs"/>
          <w:sz w:val="27"/>
          <w:rtl/>
        </w:rPr>
        <w:t>منطق</w:t>
      </w:r>
      <w:r w:rsidRPr="00282AC9">
        <w:rPr>
          <w:rFonts w:asciiTheme="minorBidi" w:hAnsiTheme="minorBidi"/>
          <w:sz w:val="27"/>
          <w:rtl/>
        </w:rPr>
        <w:t xml:space="preserve"> </w:t>
      </w:r>
      <w:r w:rsidRPr="00282AC9">
        <w:rPr>
          <w:rFonts w:asciiTheme="minorBidi" w:hAnsiTheme="minorBidi" w:hint="cs"/>
          <w:sz w:val="27"/>
          <w:rtl/>
        </w:rPr>
        <w:t>آل</w:t>
      </w:r>
      <w:r w:rsidRPr="00282AC9">
        <w:rPr>
          <w:rFonts w:asciiTheme="minorBidi" w:hAnsiTheme="minorBidi"/>
          <w:sz w:val="27"/>
          <w:rtl/>
        </w:rPr>
        <w:t xml:space="preserve"> </w:t>
      </w:r>
      <w:r w:rsidRPr="00282AC9">
        <w:rPr>
          <w:rFonts w:asciiTheme="minorBidi" w:hAnsiTheme="minorBidi" w:hint="cs"/>
          <w:sz w:val="27"/>
          <w:rtl/>
        </w:rPr>
        <w:t>محمد</w:t>
      </w:r>
      <w:r w:rsidR="00876ECA" w:rsidRPr="00282AC9">
        <w:rPr>
          <w:rFonts w:cs="Mosawi" w:hint="cs"/>
          <w:sz w:val="22"/>
          <w:szCs w:val="22"/>
          <w:rtl/>
        </w:rPr>
        <w:t>^</w:t>
      </w:r>
      <w:r w:rsidR="0020404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وهو مخالف</w:t>
      </w:r>
      <w:r w:rsidR="00204049" w:rsidRPr="00282AC9">
        <w:rPr>
          <w:rFonts w:asciiTheme="minorBidi" w:hAnsiTheme="minorBidi" w:hint="cs"/>
          <w:sz w:val="27"/>
          <w:rtl/>
        </w:rPr>
        <w:t>ٌ</w:t>
      </w:r>
      <w:r w:rsidRPr="00282AC9">
        <w:rPr>
          <w:rFonts w:asciiTheme="minorBidi" w:hAnsiTheme="minorBidi" w:hint="cs"/>
          <w:sz w:val="27"/>
          <w:rtl/>
        </w:rPr>
        <w:t xml:space="preserve"> للر</w:t>
      </w:r>
      <w:r w:rsidR="00204049" w:rsidRPr="00282AC9">
        <w:rPr>
          <w:rFonts w:asciiTheme="minorBidi" w:hAnsiTheme="minorBidi" w:hint="cs"/>
          <w:sz w:val="27"/>
          <w:rtl/>
        </w:rPr>
        <w:t>أ</w:t>
      </w:r>
      <w:r w:rsidRPr="00282AC9">
        <w:rPr>
          <w:rFonts w:asciiTheme="minorBidi" w:hAnsiTheme="minorBidi" w:hint="cs"/>
          <w:sz w:val="27"/>
          <w:rtl/>
        </w:rPr>
        <w:t>ي الثاني بشكل</w:t>
      </w:r>
      <w:r w:rsidR="00204049" w:rsidRPr="00282AC9">
        <w:rPr>
          <w:rFonts w:asciiTheme="minorBidi" w:hAnsiTheme="minorBidi" w:hint="cs"/>
          <w:sz w:val="27"/>
          <w:rtl/>
        </w:rPr>
        <w:t>ٍ</w:t>
      </w:r>
      <w:r w:rsidRPr="00282AC9">
        <w:rPr>
          <w:rFonts w:asciiTheme="minorBidi" w:hAnsiTheme="minorBidi" w:hint="cs"/>
          <w:sz w:val="27"/>
          <w:rtl/>
        </w:rPr>
        <w:t xml:space="preserve"> واضح: </w:t>
      </w:r>
    </w:p>
    <w:p w:rsidR="00965E08" w:rsidRPr="00282AC9" w:rsidRDefault="00965E08" w:rsidP="003062B7">
      <w:pPr>
        <w:pStyle w:val="afe"/>
        <w:spacing w:after="0" w:line="400" w:lineRule="exact"/>
        <w:ind w:left="0" w:firstLine="567"/>
        <w:jc w:val="both"/>
        <w:rPr>
          <w:rFonts w:asciiTheme="minorBidi" w:hAnsiTheme="minorBidi" w:cs="AL-Mohanad"/>
          <w:sz w:val="27"/>
          <w:szCs w:val="27"/>
        </w:rPr>
      </w:pPr>
      <w:r w:rsidRPr="00282AC9">
        <w:rPr>
          <w:rFonts w:asciiTheme="minorBidi" w:hAnsiTheme="minorBidi" w:cs="AL-Mohanad" w:hint="cs"/>
          <w:sz w:val="27"/>
          <w:szCs w:val="27"/>
          <w:rtl/>
        </w:rPr>
        <w:t>1ـ وصف</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وحل</w:t>
      </w:r>
      <w:r w:rsidR="00204049" w:rsidRPr="00282AC9">
        <w:rPr>
          <w:rFonts w:asciiTheme="minorBidi" w:hAnsiTheme="minorBidi" w:cs="AL-Mohanad" w:hint="cs"/>
          <w:sz w:val="27"/>
          <w:szCs w:val="27"/>
          <w:rtl/>
        </w:rPr>
        <w:t>َّ</w:t>
      </w:r>
      <w:r w:rsidRPr="00282AC9">
        <w:rPr>
          <w:rFonts w:asciiTheme="minorBidi" w:hAnsiTheme="minorBidi" w:cs="AL-Mohanad" w:hint="cs"/>
          <w:sz w:val="27"/>
          <w:szCs w:val="27"/>
          <w:rtl/>
        </w:rPr>
        <w:t>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الإمام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المهدي</w:t>
      </w:r>
      <w:r w:rsidR="001100B1" w:rsidRPr="00282AC9">
        <w:rPr>
          <w:rFonts w:ascii="Mosawi" w:hAnsi="Mosawi" w:cs="Mosawi" w:hint="cs"/>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جرى</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بعد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استشهاد ال</w:t>
      </w:r>
      <w:r w:rsidR="00204049" w:rsidRPr="00282AC9">
        <w:rPr>
          <w:rFonts w:asciiTheme="minorBidi" w:hAnsiTheme="minorBidi" w:cs="AL-Mohanad" w:hint="cs"/>
          <w:sz w:val="27"/>
          <w:szCs w:val="27"/>
          <w:rtl/>
        </w:rPr>
        <w:t>إ</w:t>
      </w:r>
      <w:r w:rsidRPr="00282AC9">
        <w:rPr>
          <w:rFonts w:asciiTheme="minorBidi" w:hAnsiTheme="minorBidi" w:cs="AL-Mohanad" w:hint="cs"/>
          <w:sz w:val="27"/>
          <w:szCs w:val="27"/>
          <w:rtl/>
        </w:rPr>
        <w:t>مام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الحسين</w:t>
      </w:r>
      <w:r w:rsidR="009A2A04" w:rsidRPr="00282AC9">
        <w:rPr>
          <w:rFonts w:asciiTheme="minorBidi" w:hAnsiTheme="minorBidi" w:cs="Mosawi" w:hint="cs"/>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بقوله</w:t>
      </w:r>
      <w:r w:rsidRPr="00282AC9">
        <w:rPr>
          <w:rFonts w:asciiTheme="minorBidi" w:hAnsiTheme="minorBidi" w:cs="AL-Mohanad"/>
          <w:sz w:val="27"/>
          <w:szCs w:val="27"/>
          <w:rtl/>
        </w:rPr>
        <w:t>:</w:t>
      </w:r>
      <w:r w:rsidRPr="00282AC9">
        <w:rPr>
          <w:rFonts w:asciiTheme="minorBidi" w:hAnsiTheme="minorBidi" w:cs="AL-Mohanad" w:hint="cs"/>
          <w:sz w:val="27"/>
          <w:szCs w:val="27"/>
          <w:rtl/>
        </w:rPr>
        <w:t xml:space="preserve"> </w:t>
      </w:r>
      <w:r w:rsidRPr="00282AC9">
        <w:rPr>
          <w:rFonts w:cs="AL-Mohanad" w:hint="eastAsia"/>
          <w:sz w:val="24"/>
          <w:szCs w:val="24"/>
          <w:rtl/>
        </w:rPr>
        <w:t>«</w:t>
      </w:r>
      <w:r w:rsidRPr="00282AC9">
        <w:rPr>
          <w:rFonts w:asciiTheme="minorBidi" w:hAnsiTheme="minorBidi" w:cs="AL-Mohanad" w:hint="cs"/>
          <w:sz w:val="27"/>
          <w:szCs w:val="27"/>
          <w:rtl/>
        </w:rPr>
        <w:t>...فالويل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للع</w:t>
      </w:r>
      <w:r w:rsidR="00204049" w:rsidRPr="00282AC9">
        <w:rPr>
          <w:rFonts w:asciiTheme="minorBidi" w:hAnsiTheme="minorBidi" w:cs="AL-Mohanad" w:hint="cs"/>
          <w:sz w:val="27"/>
          <w:szCs w:val="27"/>
          <w:rtl/>
        </w:rPr>
        <w:t>ُ</w:t>
      </w:r>
      <w:r w:rsidRPr="00282AC9">
        <w:rPr>
          <w:rFonts w:asciiTheme="minorBidi" w:hAnsiTheme="minorBidi" w:cs="AL-Mohanad" w:hint="cs"/>
          <w:sz w:val="27"/>
          <w:szCs w:val="27"/>
          <w:rtl/>
        </w:rPr>
        <w:t>صاة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الف</w:t>
      </w:r>
      <w:r w:rsidR="00204049" w:rsidRPr="00282AC9">
        <w:rPr>
          <w:rFonts w:asciiTheme="minorBidi" w:hAnsiTheme="minorBidi" w:cs="AL-Mohanad" w:hint="cs"/>
          <w:sz w:val="27"/>
          <w:szCs w:val="27"/>
          <w:rtl/>
        </w:rPr>
        <w:t>ُ</w:t>
      </w:r>
      <w:r w:rsidRPr="00282AC9">
        <w:rPr>
          <w:rFonts w:asciiTheme="minorBidi" w:hAnsiTheme="minorBidi" w:cs="AL-Mohanad" w:hint="cs"/>
          <w:sz w:val="27"/>
          <w:szCs w:val="27"/>
          <w:rtl/>
        </w:rPr>
        <w:t>س</w:t>
      </w:r>
      <w:r w:rsidR="00204049" w:rsidRPr="00282AC9">
        <w:rPr>
          <w:rFonts w:asciiTheme="minorBidi" w:hAnsiTheme="minorBidi" w:cs="AL-Mohanad" w:hint="cs"/>
          <w:sz w:val="27"/>
          <w:szCs w:val="27"/>
          <w:rtl/>
        </w:rPr>
        <w:t>ّ</w:t>
      </w:r>
      <w:r w:rsidRPr="00282AC9">
        <w:rPr>
          <w:rFonts w:asciiTheme="minorBidi" w:hAnsiTheme="minorBidi" w:cs="AL-Mohanad" w:hint="cs"/>
          <w:sz w:val="27"/>
          <w:szCs w:val="27"/>
          <w:rtl/>
        </w:rPr>
        <w:t>اق</w:t>
      </w:r>
      <w:r w:rsidR="00204049"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لقد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قتلوا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بقتلك</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w:t>
      </w:r>
      <w:r w:rsidR="00204049" w:rsidRPr="00282AC9">
        <w:rPr>
          <w:rFonts w:asciiTheme="minorBidi" w:hAnsiTheme="minorBidi" w:cs="AL-Mohanad" w:hint="cs"/>
          <w:sz w:val="27"/>
          <w:szCs w:val="27"/>
          <w:rtl/>
        </w:rPr>
        <w:t>إ</w:t>
      </w:r>
      <w:r w:rsidRPr="00282AC9">
        <w:rPr>
          <w:rFonts w:asciiTheme="minorBidi" w:hAnsiTheme="minorBidi" w:cs="AL-Mohanad" w:hint="cs"/>
          <w:sz w:val="27"/>
          <w:szCs w:val="27"/>
          <w:rtl/>
        </w:rPr>
        <w:t>سلام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وعط</w:t>
      </w:r>
      <w:r w:rsidR="00204049" w:rsidRPr="00282AC9">
        <w:rPr>
          <w:rFonts w:asciiTheme="minorBidi" w:hAnsiTheme="minorBidi" w:cs="AL-Mohanad" w:hint="cs"/>
          <w:sz w:val="27"/>
          <w:szCs w:val="27"/>
          <w:rtl/>
        </w:rPr>
        <w:t>َّ</w:t>
      </w:r>
      <w:r w:rsidRPr="00282AC9">
        <w:rPr>
          <w:rFonts w:asciiTheme="minorBidi" w:hAnsiTheme="minorBidi" w:cs="AL-Mohanad" w:hint="cs"/>
          <w:sz w:val="27"/>
          <w:szCs w:val="27"/>
          <w:rtl/>
        </w:rPr>
        <w:t>لوا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الصلاة والصيام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ونقضوا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السنن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w:t>
      </w:r>
      <w:r w:rsidR="00204049" w:rsidRPr="00282AC9">
        <w:rPr>
          <w:rFonts w:asciiTheme="minorBidi" w:hAnsiTheme="minorBidi" w:cs="AL-Mohanad" w:hint="cs"/>
          <w:sz w:val="27"/>
          <w:szCs w:val="27"/>
          <w:rtl/>
        </w:rPr>
        <w:t>أ</w:t>
      </w:r>
      <w:r w:rsidRPr="00282AC9">
        <w:rPr>
          <w:rFonts w:asciiTheme="minorBidi" w:hAnsiTheme="minorBidi" w:cs="AL-Mohanad" w:hint="cs"/>
          <w:sz w:val="27"/>
          <w:szCs w:val="27"/>
          <w:rtl/>
        </w:rPr>
        <w:t>حكام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وهدموا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قواعد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w:t>
      </w:r>
      <w:r w:rsidR="00204049" w:rsidRPr="00282AC9">
        <w:rPr>
          <w:rFonts w:asciiTheme="minorBidi" w:hAnsiTheme="minorBidi" w:cs="AL-Mohanad" w:hint="cs"/>
          <w:sz w:val="27"/>
          <w:szCs w:val="27"/>
          <w:rtl/>
        </w:rPr>
        <w:t>إ</w:t>
      </w:r>
      <w:r w:rsidRPr="00282AC9">
        <w:rPr>
          <w:rFonts w:asciiTheme="minorBidi" w:hAnsiTheme="minorBidi" w:cs="AL-Mohanad" w:hint="cs"/>
          <w:sz w:val="27"/>
          <w:szCs w:val="27"/>
          <w:rtl/>
        </w:rPr>
        <w:t>يمان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وحر</w:t>
      </w:r>
      <w:r w:rsidR="00204049" w:rsidRPr="00282AC9">
        <w:rPr>
          <w:rFonts w:asciiTheme="minorBidi" w:hAnsiTheme="minorBidi" w:cs="AL-Mohanad" w:hint="cs"/>
          <w:sz w:val="27"/>
          <w:szCs w:val="27"/>
          <w:rtl/>
        </w:rPr>
        <w:t>َّ</w:t>
      </w:r>
      <w:r w:rsidRPr="00282AC9">
        <w:rPr>
          <w:rFonts w:asciiTheme="minorBidi" w:hAnsiTheme="minorBidi" w:cs="AL-Mohanad" w:hint="cs"/>
          <w:sz w:val="27"/>
          <w:szCs w:val="27"/>
          <w:rtl/>
        </w:rPr>
        <w:t>فوا آيات</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القر</w:t>
      </w:r>
      <w:r w:rsidR="00204049" w:rsidRPr="00282AC9">
        <w:rPr>
          <w:rFonts w:asciiTheme="minorBidi" w:hAnsiTheme="minorBidi" w:cs="AL-Mohanad" w:hint="cs"/>
          <w:sz w:val="27"/>
          <w:szCs w:val="27"/>
          <w:rtl/>
        </w:rPr>
        <w:t>آ</w:t>
      </w:r>
      <w:r w:rsidRPr="00282AC9">
        <w:rPr>
          <w:rFonts w:asciiTheme="minorBidi" w:hAnsiTheme="minorBidi" w:cs="AL-Mohanad" w:hint="cs"/>
          <w:sz w:val="27"/>
          <w:szCs w:val="27"/>
          <w:rtl/>
        </w:rPr>
        <w:t>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وهم</w:t>
      </w:r>
      <w:r w:rsidR="000D420E" w:rsidRPr="00282AC9">
        <w:rPr>
          <w:rFonts w:asciiTheme="minorBidi" w:hAnsiTheme="minorBidi" w:cs="AL-Mohanad" w:hint="cs"/>
          <w:sz w:val="27"/>
          <w:szCs w:val="27"/>
          <w:rtl/>
        </w:rPr>
        <w:t xml:space="preserve"> </w:t>
      </w:r>
      <w:r w:rsidRPr="00282AC9">
        <w:rPr>
          <w:rFonts w:asciiTheme="minorBidi" w:hAnsiTheme="minorBidi" w:cs="AL-Mohanad" w:hint="cs"/>
          <w:sz w:val="27"/>
          <w:szCs w:val="27"/>
          <w:rtl/>
        </w:rPr>
        <w:t>لج</w:t>
      </w:r>
      <w:r w:rsidR="000D420E" w:rsidRPr="00282AC9">
        <w:rPr>
          <w:rFonts w:asciiTheme="minorBidi" w:hAnsiTheme="minorBidi" w:cs="AL-Mohanad" w:hint="cs"/>
          <w:sz w:val="27"/>
          <w:szCs w:val="27"/>
          <w:rtl/>
        </w:rPr>
        <w:t>ّ</w:t>
      </w:r>
      <w:r w:rsidRPr="00282AC9">
        <w:rPr>
          <w:rFonts w:asciiTheme="minorBidi" w:hAnsiTheme="minorBidi" w:cs="AL-Mohanad" w:hint="cs"/>
          <w:sz w:val="27"/>
          <w:szCs w:val="27"/>
          <w:rtl/>
        </w:rPr>
        <w:t>وا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في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الب</w:t>
      </w:r>
      <w:r w:rsidR="000D420E" w:rsidRPr="00282AC9">
        <w:rPr>
          <w:rFonts w:asciiTheme="minorBidi" w:hAnsiTheme="minorBidi" w:cs="AL-Mohanad" w:hint="cs"/>
          <w:sz w:val="27"/>
          <w:szCs w:val="27"/>
          <w:rtl/>
        </w:rPr>
        <w:t>َ</w:t>
      </w:r>
      <w:r w:rsidRPr="00282AC9">
        <w:rPr>
          <w:rFonts w:asciiTheme="minorBidi" w:hAnsiTheme="minorBidi" w:cs="AL-Mohanad" w:hint="cs"/>
          <w:sz w:val="27"/>
          <w:szCs w:val="27"/>
          <w:rtl/>
        </w:rPr>
        <w:t>غ</w:t>
      </w:r>
      <w:r w:rsidR="000D420E" w:rsidRPr="00282AC9">
        <w:rPr>
          <w:rFonts w:asciiTheme="minorBidi" w:hAnsiTheme="minorBidi" w:cs="AL-Mohanad" w:hint="cs"/>
          <w:sz w:val="27"/>
          <w:szCs w:val="27"/>
          <w:rtl/>
        </w:rPr>
        <w:t>ْ</w:t>
      </w:r>
      <w:r w:rsidRPr="00282AC9">
        <w:rPr>
          <w:rFonts w:asciiTheme="minorBidi" w:hAnsiTheme="minorBidi" w:cs="AL-Mohanad" w:hint="cs"/>
          <w:sz w:val="27"/>
          <w:szCs w:val="27"/>
          <w:rtl/>
        </w:rPr>
        <w:t>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والعدوان</w:t>
      </w:r>
      <w:r w:rsidRPr="00282AC9">
        <w:rPr>
          <w:rFonts w:asciiTheme="minorBidi" w:hAnsiTheme="minorBidi" w:cs="AL-Mohanad"/>
          <w:sz w:val="27"/>
          <w:szCs w:val="27"/>
          <w:rtl/>
        </w:rPr>
        <w:t>.</w:t>
      </w:r>
      <w:r w:rsidR="00204049" w:rsidRPr="00282AC9">
        <w:rPr>
          <w:rFonts w:asciiTheme="minorBidi" w:hAnsiTheme="minorBidi" w:cs="AL-Mohanad" w:hint="cs"/>
          <w:sz w:val="27"/>
          <w:szCs w:val="27"/>
          <w:rtl/>
        </w:rPr>
        <w:t xml:space="preserve"> </w:t>
      </w:r>
      <w:r w:rsidRPr="00282AC9">
        <w:rPr>
          <w:rFonts w:asciiTheme="minorBidi" w:hAnsiTheme="minorBidi" w:cs="AL-Mohanad" w:hint="cs"/>
          <w:sz w:val="27"/>
          <w:szCs w:val="27"/>
          <w:rtl/>
        </w:rPr>
        <w:t>لقد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أصبح</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رسول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009A2A04" w:rsidRPr="00282AC9">
        <w:rPr>
          <w:rFonts w:asciiTheme="minorBidi" w:hAnsiTheme="minorBidi" w:cs="Mosawi"/>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موتورا</w:t>
      </w:r>
      <w:r w:rsidR="000D420E"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وعاد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كتاب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 عز</w:t>
      </w:r>
      <w:r w:rsidR="000D420E"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وجل</w:t>
      </w:r>
      <w:r w:rsidR="000D420E"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مهجورا</w:t>
      </w:r>
      <w:r w:rsidR="000D420E"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وغودر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الحق</w:t>
      </w:r>
      <w:r w:rsidR="000D420E"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إذ</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w:t>
      </w:r>
      <w:r w:rsidR="000D420E" w:rsidRPr="00282AC9">
        <w:rPr>
          <w:rFonts w:asciiTheme="minorBidi" w:hAnsiTheme="minorBidi" w:cs="AL-Mohanad" w:hint="cs"/>
          <w:sz w:val="27"/>
          <w:szCs w:val="27"/>
          <w:rtl/>
        </w:rPr>
        <w:t>ُ</w:t>
      </w:r>
      <w:r w:rsidRPr="00282AC9">
        <w:rPr>
          <w:rFonts w:asciiTheme="minorBidi" w:hAnsiTheme="minorBidi" w:cs="AL-Mohanad" w:hint="cs"/>
          <w:sz w:val="27"/>
          <w:szCs w:val="27"/>
          <w:rtl/>
        </w:rPr>
        <w:t>ه</w:t>
      </w:r>
      <w:r w:rsidR="000D420E" w:rsidRPr="00282AC9">
        <w:rPr>
          <w:rFonts w:asciiTheme="minorBidi" w:hAnsiTheme="minorBidi" w:cs="AL-Mohanad" w:hint="cs"/>
          <w:sz w:val="27"/>
          <w:szCs w:val="27"/>
          <w:rtl/>
        </w:rPr>
        <w:t>ِ</w:t>
      </w:r>
      <w:r w:rsidRPr="00282AC9">
        <w:rPr>
          <w:rFonts w:asciiTheme="minorBidi" w:hAnsiTheme="minorBidi" w:cs="AL-Mohanad" w:hint="cs"/>
          <w:sz w:val="27"/>
          <w:szCs w:val="27"/>
          <w:rtl/>
        </w:rPr>
        <w:t>ر</w:t>
      </w:r>
      <w:r w:rsidR="000D420E" w:rsidRPr="00282AC9">
        <w:rPr>
          <w:rFonts w:asciiTheme="minorBidi" w:hAnsiTheme="minorBidi" w:cs="AL-Mohanad" w:hint="cs"/>
          <w:sz w:val="27"/>
          <w:szCs w:val="27"/>
          <w:rtl/>
        </w:rPr>
        <w:t>ْ</w:t>
      </w:r>
      <w:r w:rsidRPr="00282AC9">
        <w:rPr>
          <w:rFonts w:asciiTheme="minorBidi" w:hAnsiTheme="minorBidi" w:cs="AL-Mohanad" w:hint="cs"/>
          <w:sz w:val="27"/>
          <w:szCs w:val="27"/>
          <w:rtl/>
        </w:rPr>
        <w:t>ت</w:t>
      </w:r>
      <w:r w:rsidR="000D420E"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مقهورا</w:t>
      </w:r>
      <w:r w:rsidR="000D420E"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وف</w:t>
      </w:r>
      <w:r w:rsidR="000D420E" w:rsidRPr="00282AC9">
        <w:rPr>
          <w:rFonts w:asciiTheme="minorBidi" w:hAnsiTheme="minorBidi" w:cs="AL-Mohanad" w:hint="cs"/>
          <w:sz w:val="27"/>
          <w:szCs w:val="27"/>
          <w:rtl/>
        </w:rPr>
        <w:t>ُ</w:t>
      </w:r>
      <w:r w:rsidRPr="00282AC9">
        <w:rPr>
          <w:rFonts w:asciiTheme="minorBidi" w:hAnsiTheme="minorBidi" w:cs="AL-Mohanad" w:hint="cs"/>
          <w:sz w:val="27"/>
          <w:szCs w:val="27"/>
          <w:rtl/>
        </w:rPr>
        <w:t>ق</w:t>
      </w:r>
      <w:r w:rsidR="000D420E" w:rsidRPr="00282AC9">
        <w:rPr>
          <w:rFonts w:asciiTheme="minorBidi" w:hAnsiTheme="minorBidi" w:cs="AL-Mohanad" w:hint="cs"/>
          <w:sz w:val="27"/>
          <w:szCs w:val="27"/>
          <w:rtl/>
        </w:rPr>
        <w:t>ِ</w:t>
      </w:r>
      <w:r w:rsidRPr="00282AC9">
        <w:rPr>
          <w:rFonts w:asciiTheme="minorBidi" w:hAnsiTheme="minorBidi" w:cs="AL-Mohanad" w:hint="cs"/>
          <w:sz w:val="27"/>
          <w:szCs w:val="27"/>
          <w:rtl/>
        </w:rPr>
        <w:t>د</w:t>
      </w:r>
      <w:r w:rsidR="000D420E"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بفقدك</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التكبير والتهليل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والتحريم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والتحليل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والتنزيل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والتأويل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وظهر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بعدك التغيير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والتبديل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w:t>
      </w:r>
      <w:r w:rsidR="000D420E" w:rsidRPr="00282AC9">
        <w:rPr>
          <w:rFonts w:asciiTheme="minorBidi" w:hAnsiTheme="minorBidi" w:cs="AL-Mohanad" w:hint="cs"/>
          <w:sz w:val="27"/>
          <w:szCs w:val="27"/>
          <w:rtl/>
        </w:rPr>
        <w:t>إ</w:t>
      </w:r>
      <w:r w:rsidRPr="00282AC9">
        <w:rPr>
          <w:rFonts w:asciiTheme="minorBidi" w:hAnsiTheme="minorBidi" w:cs="AL-Mohanad" w:hint="cs"/>
          <w:sz w:val="27"/>
          <w:szCs w:val="27"/>
          <w:rtl/>
        </w:rPr>
        <w:t>لحاد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والتعطيل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والأهواء</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والأضاليل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والفتن والأباطيل...</w:t>
      </w:r>
      <w:r w:rsidRPr="00282AC9">
        <w:rPr>
          <w:rFonts w:cs="AL-Mohanad" w:hint="eastAsia"/>
          <w:sz w:val="24"/>
          <w:szCs w:val="24"/>
          <w:rtl/>
        </w:rPr>
        <w:t>»</w:t>
      </w:r>
      <w:r w:rsidRPr="00282AC9">
        <w:rPr>
          <w:rFonts w:asciiTheme="minorBidi" w:hAnsiTheme="minorBidi" w:cs="AL-Mohanad"/>
          <w:sz w:val="27"/>
          <w:szCs w:val="27"/>
          <w:vertAlign w:val="superscript"/>
          <w:rtl/>
        </w:rPr>
        <w:t>(</w:t>
      </w:r>
      <w:r w:rsidRPr="00282AC9">
        <w:rPr>
          <w:rStyle w:val="af9"/>
          <w:rFonts w:asciiTheme="minorBidi" w:hAnsiTheme="minorBidi" w:cs="AL-Mohanad"/>
          <w:sz w:val="27"/>
          <w:szCs w:val="27"/>
          <w:rtl/>
        </w:rPr>
        <w:endnoteReference w:id="769"/>
      </w:r>
      <w:r w:rsidRPr="00282AC9">
        <w:rPr>
          <w:rFonts w:asciiTheme="minorBidi" w:hAnsiTheme="minorBidi" w:cs="AL-Mohanad"/>
          <w:sz w:val="27"/>
          <w:szCs w:val="27"/>
          <w:vertAlign w:val="superscript"/>
          <w:rtl/>
        </w:rPr>
        <w:t>)</w:t>
      </w:r>
      <w:r w:rsidRPr="00282AC9">
        <w:rPr>
          <w:rFonts w:asciiTheme="minorBidi" w:hAnsiTheme="minorBidi" w:cs="AL-Mohanad" w:hint="cs"/>
          <w:sz w:val="27"/>
          <w:szCs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فهذا</w:t>
      </w:r>
      <w:r w:rsidRPr="00282AC9">
        <w:rPr>
          <w:rFonts w:asciiTheme="minorBidi" w:hAnsiTheme="minorBidi"/>
          <w:sz w:val="27"/>
          <w:rtl/>
        </w:rPr>
        <w:t xml:space="preserve"> </w:t>
      </w:r>
      <w:r w:rsidRPr="00282AC9">
        <w:rPr>
          <w:rFonts w:asciiTheme="minorBidi" w:hAnsiTheme="minorBidi" w:hint="cs"/>
          <w:sz w:val="27"/>
          <w:rtl/>
        </w:rPr>
        <w:t>هو</w:t>
      </w:r>
      <w:r w:rsidRPr="00282AC9">
        <w:rPr>
          <w:rFonts w:asciiTheme="minorBidi" w:hAnsiTheme="minorBidi"/>
          <w:sz w:val="27"/>
          <w:rtl/>
        </w:rPr>
        <w:t xml:space="preserve"> </w:t>
      </w:r>
      <w:r w:rsidRPr="00282AC9">
        <w:rPr>
          <w:rFonts w:asciiTheme="minorBidi" w:hAnsiTheme="minorBidi" w:hint="cs"/>
          <w:sz w:val="27"/>
          <w:rtl/>
        </w:rPr>
        <w:t>حال</w:t>
      </w:r>
      <w:r w:rsidRPr="00282AC9">
        <w:rPr>
          <w:rFonts w:asciiTheme="minorBidi" w:hAnsiTheme="minorBidi"/>
          <w:sz w:val="27"/>
          <w:rtl/>
        </w:rPr>
        <w:t xml:space="preserve"> </w:t>
      </w:r>
      <w:r w:rsidRPr="00282AC9">
        <w:rPr>
          <w:rFonts w:asciiTheme="minorBidi" w:hAnsiTheme="minorBidi" w:hint="cs"/>
          <w:sz w:val="27"/>
          <w:rtl/>
        </w:rPr>
        <w:t>الأم</w:t>
      </w:r>
      <w:r w:rsidR="000D420E" w:rsidRPr="00282AC9">
        <w:rPr>
          <w:rFonts w:asciiTheme="minorBidi" w:hAnsiTheme="minorBidi" w:hint="cs"/>
          <w:sz w:val="27"/>
          <w:rtl/>
        </w:rPr>
        <w:t>ّ</w:t>
      </w:r>
      <w:r w:rsidRPr="00282AC9">
        <w:rPr>
          <w:rFonts w:asciiTheme="minorBidi" w:hAnsiTheme="minorBidi" w:hint="cs"/>
          <w:sz w:val="27"/>
          <w:rtl/>
        </w:rPr>
        <w:t>ة</w:t>
      </w:r>
      <w:r w:rsidRPr="00282AC9">
        <w:rPr>
          <w:rFonts w:asciiTheme="minorBidi" w:hAnsiTheme="minorBidi"/>
          <w:sz w:val="27"/>
          <w:rtl/>
        </w:rPr>
        <w:t xml:space="preserve"> </w:t>
      </w:r>
      <w:r w:rsidRPr="00282AC9">
        <w:rPr>
          <w:rFonts w:asciiTheme="minorBidi" w:hAnsiTheme="minorBidi" w:hint="cs"/>
          <w:sz w:val="27"/>
          <w:rtl/>
        </w:rPr>
        <w:t>بعد</w:t>
      </w:r>
      <w:r w:rsidRPr="00282AC9">
        <w:rPr>
          <w:rFonts w:asciiTheme="minorBidi" w:hAnsiTheme="minorBidi"/>
          <w:sz w:val="27"/>
          <w:rtl/>
        </w:rPr>
        <w:t xml:space="preserve"> </w:t>
      </w:r>
      <w:r w:rsidRPr="00282AC9">
        <w:rPr>
          <w:rFonts w:asciiTheme="minorBidi" w:hAnsiTheme="minorBidi" w:hint="cs"/>
          <w:sz w:val="27"/>
          <w:rtl/>
        </w:rPr>
        <w:t>عاشوراء</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فأي</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إصلاحٍ</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الذي</w:t>
      </w:r>
      <w:r w:rsidRPr="00282AC9">
        <w:rPr>
          <w:rFonts w:asciiTheme="minorBidi" w:hAnsiTheme="minorBidi"/>
          <w:sz w:val="27"/>
          <w:rtl/>
        </w:rPr>
        <w:t xml:space="preserve"> </w:t>
      </w:r>
      <w:r w:rsidRPr="00282AC9">
        <w:rPr>
          <w:rFonts w:asciiTheme="minorBidi" w:hAnsiTheme="minorBidi" w:hint="cs"/>
          <w:sz w:val="27"/>
          <w:rtl/>
        </w:rPr>
        <w:t>يتحد</w:t>
      </w:r>
      <w:r w:rsidR="000D420E" w:rsidRPr="00282AC9">
        <w:rPr>
          <w:rFonts w:asciiTheme="minorBidi" w:hAnsiTheme="minorBidi" w:hint="cs"/>
          <w:sz w:val="27"/>
          <w:rtl/>
        </w:rPr>
        <w:t>َّ</w:t>
      </w:r>
      <w:r w:rsidRPr="00282AC9">
        <w:rPr>
          <w:rFonts w:asciiTheme="minorBidi" w:hAnsiTheme="minorBidi" w:hint="cs"/>
          <w:sz w:val="27"/>
          <w:rtl/>
        </w:rPr>
        <w:t>ثون</w:t>
      </w:r>
      <w:r w:rsidRPr="00282AC9">
        <w:rPr>
          <w:rFonts w:asciiTheme="minorBidi" w:hAnsiTheme="minorBidi"/>
          <w:sz w:val="27"/>
          <w:rtl/>
        </w:rPr>
        <w:t xml:space="preserve"> </w:t>
      </w:r>
      <w:r w:rsidRPr="00282AC9">
        <w:rPr>
          <w:rFonts w:asciiTheme="minorBidi" w:hAnsiTheme="minorBidi" w:hint="cs"/>
          <w:sz w:val="27"/>
          <w:rtl/>
        </w:rPr>
        <w:t>عنه</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والإمام</w:t>
      </w:r>
      <w:r w:rsidRPr="00282AC9">
        <w:rPr>
          <w:rFonts w:asciiTheme="minorBidi" w:hAnsiTheme="minorBidi"/>
          <w:sz w:val="27"/>
          <w:rtl/>
        </w:rPr>
        <w:t xml:space="preserve"> </w:t>
      </w:r>
      <w:r w:rsidRPr="00282AC9">
        <w:rPr>
          <w:rFonts w:asciiTheme="minorBidi" w:hAnsiTheme="minorBidi" w:hint="cs"/>
          <w:sz w:val="27"/>
          <w:rtl/>
        </w:rPr>
        <w:t>الحجة</w:t>
      </w:r>
      <w:r w:rsidRPr="00282AC9">
        <w:rPr>
          <w:rFonts w:asciiTheme="minorBidi" w:hAnsiTheme="minorBidi"/>
          <w:sz w:val="27"/>
          <w:rtl/>
        </w:rPr>
        <w:t xml:space="preserve"> </w:t>
      </w:r>
      <w:r w:rsidRPr="00282AC9">
        <w:rPr>
          <w:rFonts w:asciiTheme="minorBidi" w:hAnsiTheme="minorBidi" w:hint="cs"/>
          <w:sz w:val="27"/>
          <w:rtl/>
        </w:rPr>
        <w:t>يقول</w:t>
      </w:r>
      <w:r w:rsidRPr="00282AC9">
        <w:rPr>
          <w:rFonts w:asciiTheme="minorBidi" w:hAnsiTheme="minorBidi"/>
          <w:sz w:val="27"/>
          <w:rtl/>
        </w:rPr>
        <w:t>: (</w:t>
      </w:r>
      <w:r w:rsidRPr="00282AC9">
        <w:rPr>
          <w:rFonts w:asciiTheme="minorBidi" w:hAnsiTheme="minorBidi" w:hint="cs"/>
          <w:sz w:val="27"/>
          <w:rtl/>
        </w:rPr>
        <w:t>لقد</w:t>
      </w:r>
      <w:r w:rsidRPr="00282AC9">
        <w:rPr>
          <w:rFonts w:asciiTheme="minorBidi" w:hAnsiTheme="minorBidi"/>
          <w:sz w:val="27"/>
          <w:rtl/>
        </w:rPr>
        <w:t xml:space="preserve"> </w:t>
      </w:r>
      <w:r w:rsidRPr="00282AC9">
        <w:rPr>
          <w:rFonts w:asciiTheme="minorBidi" w:hAnsiTheme="minorBidi" w:hint="cs"/>
          <w:sz w:val="27"/>
          <w:rtl/>
        </w:rPr>
        <w:t>قتلوا</w:t>
      </w:r>
      <w:r w:rsidRPr="00282AC9">
        <w:rPr>
          <w:rFonts w:asciiTheme="minorBidi" w:hAnsiTheme="minorBidi"/>
          <w:sz w:val="27"/>
          <w:rtl/>
        </w:rPr>
        <w:t xml:space="preserve"> </w:t>
      </w:r>
      <w:r w:rsidRPr="00282AC9">
        <w:rPr>
          <w:rFonts w:asciiTheme="minorBidi" w:hAnsiTheme="minorBidi" w:hint="cs"/>
          <w:sz w:val="27"/>
          <w:rtl/>
        </w:rPr>
        <w:t>بقتلك</w:t>
      </w:r>
      <w:r w:rsidRPr="00282AC9">
        <w:rPr>
          <w:rFonts w:asciiTheme="minorBidi" w:hAnsiTheme="minorBidi"/>
          <w:sz w:val="27"/>
          <w:rtl/>
        </w:rPr>
        <w:t xml:space="preserve"> </w:t>
      </w:r>
      <w:r w:rsidRPr="00282AC9">
        <w:rPr>
          <w:rFonts w:asciiTheme="minorBidi" w:hAnsiTheme="minorBidi" w:hint="cs"/>
          <w:sz w:val="27"/>
          <w:rtl/>
        </w:rPr>
        <w:t>الإسلام)</w:t>
      </w:r>
      <w:r w:rsidR="000D420E" w:rsidRPr="00282AC9">
        <w:rPr>
          <w:rFonts w:asciiTheme="minorBidi" w:hAnsiTheme="minorBidi" w:hint="cs"/>
          <w:sz w:val="27"/>
          <w:rtl/>
        </w:rPr>
        <w:t>؟!</w:t>
      </w:r>
      <w:r w:rsidRPr="00282AC9">
        <w:rPr>
          <w:rFonts w:asciiTheme="minorBidi" w:hAnsiTheme="minorBidi" w:hint="cs"/>
          <w:sz w:val="27"/>
          <w:rtl/>
        </w:rPr>
        <w:t xml:space="preserve"> فمشروع ال</w:t>
      </w:r>
      <w:r w:rsidR="000D420E"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hint="cs"/>
          <w:sz w:val="27"/>
          <w:rtl/>
        </w:rPr>
        <w:t xml:space="preserve"> لا</w:t>
      </w:r>
      <w:r w:rsidR="000D420E" w:rsidRPr="00282AC9">
        <w:rPr>
          <w:rFonts w:asciiTheme="minorBidi" w:hAnsiTheme="minorBidi" w:hint="cs"/>
          <w:sz w:val="27"/>
          <w:rtl/>
        </w:rPr>
        <w:t xml:space="preserve"> </w:t>
      </w:r>
      <w:r w:rsidRPr="00282AC9">
        <w:rPr>
          <w:rFonts w:asciiTheme="minorBidi" w:hAnsiTheme="minorBidi" w:hint="cs"/>
          <w:sz w:val="27"/>
          <w:rtl/>
        </w:rPr>
        <w:t>زال</w:t>
      </w:r>
      <w:r w:rsidRPr="00282AC9">
        <w:rPr>
          <w:rFonts w:asciiTheme="minorBidi" w:hAnsiTheme="minorBidi"/>
          <w:sz w:val="27"/>
          <w:rtl/>
        </w:rPr>
        <w:t xml:space="preserve"> </w:t>
      </w:r>
      <w:r w:rsidRPr="00282AC9">
        <w:rPr>
          <w:rFonts w:asciiTheme="minorBidi" w:hAnsiTheme="minorBidi" w:hint="cs"/>
          <w:sz w:val="27"/>
          <w:rtl/>
        </w:rPr>
        <w:t>يتحر</w:t>
      </w:r>
      <w:r w:rsidR="000D420E" w:rsidRPr="00282AC9">
        <w:rPr>
          <w:rFonts w:asciiTheme="minorBidi" w:hAnsiTheme="minorBidi" w:hint="cs"/>
          <w:sz w:val="27"/>
          <w:rtl/>
        </w:rPr>
        <w:t>َّ</w:t>
      </w:r>
      <w:r w:rsidRPr="00282AC9">
        <w:rPr>
          <w:rFonts w:asciiTheme="minorBidi" w:hAnsiTheme="minorBidi" w:hint="cs"/>
          <w:sz w:val="27"/>
          <w:rtl/>
        </w:rPr>
        <w:t>ك</w:t>
      </w:r>
      <w:r w:rsidR="000D420E" w:rsidRPr="00282AC9">
        <w:rPr>
          <w:rFonts w:asciiTheme="minorBidi" w:hAnsiTheme="minorBidi" w:hint="cs"/>
          <w:sz w:val="27"/>
          <w:rtl/>
        </w:rPr>
        <w:t>.</w:t>
      </w:r>
      <w:r w:rsidRPr="00282AC9">
        <w:rPr>
          <w:rFonts w:asciiTheme="minorBidi" w:hAnsiTheme="minorBidi" w:hint="cs"/>
          <w:sz w:val="27"/>
          <w:rtl/>
        </w:rPr>
        <w:t xml:space="preserve"> وهؤلاء</w:t>
      </w:r>
      <w:r w:rsidRPr="00282AC9">
        <w:rPr>
          <w:rFonts w:asciiTheme="minorBidi" w:hAnsiTheme="minorBidi"/>
          <w:sz w:val="27"/>
          <w:rtl/>
        </w:rPr>
        <w:t xml:space="preserve"> </w:t>
      </w:r>
      <w:r w:rsidRPr="00282AC9">
        <w:rPr>
          <w:rFonts w:asciiTheme="minorBidi" w:hAnsiTheme="minorBidi" w:hint="cs"/>
          <w:sz w:val="27"/>
          <w:rtl/>
        </w:rPr>
        <w:t>قتلوا</w:t>
      </w:r>
      <w:r w:rsidRPr="00282AC9">
        <w:rPr>
          <w:rFonts w:asciiTheme="minorBidi" w:hAnsiTheme="minorBidi"/>
          <w:sz w:val="27"/>
          <w:rtl/>
        </w:rPr>
        <w:t xml:space="preserve"> </w:t>
      </w:r>
      <w:r w:rsidRPr="00282AC9">
        <w:rPr>
          <w:rFonts w:asciiTheme="minorBidi" w:hAnsiTheme="minorBidi" w:hint="cs"/>
          <w:sz w:val="27"/>
          <w:rtl/>
        </w:rPr>
        <w:t>الإسلام</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حيث</w:t>
      </w:r>
      <w:r w:rsidRPr="00282AC9">
        <w:rPr>
          <w:rFonts w:asciiTheme="minorBidi" w:hAnsiTheme="minorBidi"/>
          <w:sz w:val="27"/>
          <w:rtl/>
        </w:rPr>
        <w:t xml:space="preserve"> </w:t>
      </w:r>
      <w:r w:rsidR="000D420E" w:rsidRPr="00282AC9">
        <w:rPr>
          <w:rFonts w:asciiTheme="minorBidi" w:hAnsiTheme="minorBidi" w:hint="cs"/>
          <w:sz w:val="27"/>
          <w:rtl/>
        </w:rPr>
        <w:t xml:space="preserve">إن </w:t>
      </w:r>
      <w:r w:rsidRPr="00282AC9">
        <w:rPr>
          <w:rFonts w:asciiTheme="minorBidi" w:hAnsiTheme="minorBidi" w:hint="cs"/>
          <w:sz w:val="27"/>
          <w:rtl/>
        </w:rPr>
        <w:t>عام</w:t>
      </w:r>
      <w:r w:rsidR="000D420E" w:rsidRPr="00282AC9">
        <w:rPr>
          <w:rFonts w:asciiTheme="minorBidi" w:hAnsiTheme="minorBidi" w:hint="cs"/>
          <w:sz w:val="27"/>
          <w:rtl/>
        </w:rPr>
        <w:t>ّ</w:t>
      </w:r>
      <w:r w:rsidRPr="00282AC9">
        <w:rPr>
          <w:rFonts w:asciiTheme="minorBidi" w:hAnsiTheme="minorBidi" w:hint="cs"/>
          <w:sz w:val="27"/>
          <w:rtl/>
        </w:rPr>
        <w:t>ة</w:t>
      </w:r>
      <w:r w:rsidRPr="00282AC9">
        <w:rPr>
          <w:rFonts w:asciiTheme="minorBidi" w:hAnsiTheme="minorBidi"/>
          <w:sz w:val="27"/>
          <w:rtl/>
        </w:rPr>
        <w:t xml:space="preserve"> </w:t>
      </w:r>
      <w:r w:rsidRPr="00282AC9">
        <w:rPr>
          <w:rFonts w:asciiTheme="minorBidi" w:hAnsiTheme="minorBidi" w:hint="cs"/>
          <w:sz w:val="27"/>
          <w:rtl/>
        </w:rPr>
        <w:t>الأم</w:t>
      </w:r>
      <w:r w:rsidR="000D420E" w:rsidRPr="00282AC9">
        <w:rPr>
          <w:rFonts w:asciiTheme="minorBidi" w:hAnsiTheme="minorBidi" w:hint="cs"/>
          <w:sz w:val="27"/>
          <w:rtl/>
        </w:rPr>
        <w:t>ّ</w:t>
      </w:r>
      <w:r w:rsidRPr="00282AC9">
        <w:rPr>
          <w:rFonts w:asciiTheme="minorBidi" w:hAnsiTheme="minorBidi" w:hint="cs"/>
          <w:sz w:val="27"/>
          <w:rtl/>
        </w:rPr>
        <w:t>ة</w:t>
      </w:r>
      <w:r w:rsidRPr="00282AC9">
        <w:rPr>
          <w:rFonts w:asciiTheme="minorBidi" w:hAnsiTheme="minorBidi"/>
          <w:sz w:val="27"/>
          <w:rtl/>
        </w:rPr>
        <w:t xml:space="preserve"> </w:t>
      </w:r>
      <w:r w:rsidRPr="00282AC9">
        <w:rPr>
          <w:rFonts w:asciiTheme="minorBidi" w:hAnsiTheme="minorBidi" w:hint="cs"/>
          <w:sz w:val="27"/>
          <w:rtl/>
        </w:rPr>
        <w:t>ركض</w:t>
      </w:r>
      <w:r w:rsidR="000D420E" w:rsidRPr="00282AC9">
        <w:rPr>
          <w:rFonts w:asciiTheme="minorBidi" w:hAnsiTheme="minorBidi" w:hint="cs"/>
          <w:sz w:val="27"/>
          <w:rtl/>
        </w:rPr>
        <w:t>َ</w:t>
      </w:r>
      <w:r w:rsidRPr="00282AC9">
        <w:rPr>
          <w:rFonts w:asciiTheme="minorBidi" w:hAnsiTheme="minorBidi" w:hint="cs"/>
          <w:sz w:val="27"/>
          <w:rtl/>
        </w:rPr>
        <w:t>ت</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وراءهم</w:t>
      </w:r>
      <w:r w:rsidR="000D420E" w:rsidRPr="00282AC9">
        <w:rPr>
          <w:rFonts w:asciiTheme="minorBidi" w:hAnsiTheme="minorBidi" w:hint="cs"/>
          <w:sz w:val="27"/>
          <w:rtl/>
        </w:rPr>
        <w:t>.</w:t>
      </w:r>
      <w:r w:rsidRPr="00282AC9">
        <w:rPr>
          <w:rFonts w:asciiTheme="minorBidi" w:hAnsiTheme="minorBidi" w:hint="cs"/>
          <w:sz w:val="27"/>
          <w:rtl/>
        </w:rPr>
        <w:t xml:space="preserve"> وال</w:t>
      </w:r>
      <w:r w:rsidR="000D420E" w:rsidRPr="00282AC9">
        <w:rPr>
          <w:rFonts w:asciiTheme="minorBidi" w:hAnsiTheme="minorBidi" w:hint="cs"/>
          <w:sz w:val="27"/>
          <w:rtl/>
        </w:rPr>
        <w:t>إ</w:t>
      </w:r>
      <w:r w:rsidRPr="00282AC9">
        <w:rPr>
          <w:rFonts w:asciiTheme="minorBidi" w:hAnsiTheme="minorBidi" w:hint="cs"/>
          <w:sz w:val="27"/>
          <w:rtl/>
        </w:rPr>
        <w:t>مام</w:t>
      </w:r>
      <w:r w:rsidRPr="00282AC9">
        <w:rPr>
          <w:rFonts w:asciiTheme="minorBidi" w:hAnsiTheme="minorBidi"/>
          <w:sz w:val="27"/>
          <w:rtl/>
        </w:rPr>
        <w:t xml:space="preserve"> </w:t>
      </w:r>
      <w:r w:rsidRPr="00282AC9">
        <w:rPr>
          <w:rFonts w:asciiTheme="minorBidi" w:hAnsiTheme="minorBidi" w:hint="cs"/>
          <w:sz w:val="27"/>
          <w:rtl/>
        </w:rPr>
        <w:t>الحسين</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فضح</w:t>
      </w:r>
      <w:r w:rsidRPr="00282AC9">
        <w:rPr>
          <w:rFonts w:asciiTheme="minorBidi" w:hAnsiTheme="minorBidi"/>
          <w:sz w:val="27"/>
          <w:rtl/>
        </w:rPr>
        <w:t xml:space="preserve"> </w:t>
      </w:r>
      <w:r w:rsidRPr="00282AC9">
        <w:rPr>
          <w:rFonts w:asciiTheme="minorBidi" w:hAnsiTheme="minorBidi" w:hint="cs"/>
          <w:sz w:val="27"/>
          <w:rtl/>
        </w:rPr>
        <w:t>مشروع</w:t>
      </w:r>
      <w:r w:rsidRPr="00282AC9">
        <w:rPr>
          <w:rFonts w:asciiTheme="minorBidi" w:hAnsiTheme="minorBidi"/>
          <w:sz w:val="27"/>
          <w:rtl/>
        </w:rPr>
        <w:t xml:space="preserve"> </w:t>
      </w:r>
      <w:r w:rsidRPr="00282AC9">
        <w:rPr>
          <w:rFonts w:asciiTheme="minorBidi" w:hAnsiTheme="minorBidi" w:hint="cs"/>
          <w:sz w:val="27"/>
          <w:rtl/>
        </w:rPr>
        <w:t>السقيفة</w:t>
      </w:r>
      <w:r w:rsidRPr="00282AC9">
        <w:rPr>
          <w:rFonts w:asciiTheme="minorBidi" w:hAnsiTheme="minorBidi"/>
          <w:sz w:val="27"/>
          <w:rtl/>
        </w:rPr>
        <w:t xml:space="preserve"> </w:t>
      </w:r>
      <w:r w:rsidRPr="00282AC9">
        <w:rPr>
          <w:rFonts w:asciiTheme="minorBidi" w:hAnsiTheme="minorBidi" w:hint="cs"/>
          <w:sz w:val="27"/>
          <w:rtl/>
        </w:rPr>
        <w:t>بكل</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تفاصيله</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ووضع</w:t>
      </w:r>
      <w:r w:rsidRPr="00282AC9">
        <w:rPr>
          <w:rFonts w:asciiTheme="minorBidi" w:hAnsiTheme="minorBidi"/>
          <w:sz w:val="27"/>
          <w:rtl/>
        </w:rPr>
        <w:t xml:space="preserve"> </w:t>
      </w:r>
      <w:r w:rsidRPr="00282AC9">
        <w:rPr>
          <w:rFonts w:asciiTheme="minorBidi" w:hAnsiTheme="minorBidi" w:hint="cs"/>
          <w:sz w:val="27"/>
          <w:rtl/>
        </w:rPr>
        <w:t>خط</w:t>
      </w:r>
      <w:r w:rsidR="000D420E" w:rsidRPr="00282AC9">
        <w:rPr>
          <w:rFonts w:asciiTheme="minorBidi" w:hAnsiTheme="minorBidi" w:hint="cs"/>
          <w:sz w:val="27"/>
          <w:rtl/>
        </w:rPr>
        <w:t>ّ</w:t>
      </w:r>
      <w:r w:rsidRPr="00282AC9">
        <w:rPr>
          <w:rFonts w:asciiTheme="minorBidi" w:hAnsiTheme="minorBidi" w:hint="cs"/>
          <w:sz w:val="27"/>
          <w:rtl/>
        </w:rPr>
        <w:t>اً</w:t>
      </w:r>
      <w:r w:rsidRPr="00282AC9">
        <w:rPr>
          <w:rFonts w:asciiTheme="minorBidi" w:hAnsiTheme="minorBidi"/>
          <w:sz w:val="27"/>
          <w:rtl/>
        </w:rPr>
        <w:t xml:space="preserve"> </w:t>
      </w:r>
      <w:r w:rsidRPr="00282AC9">
        <w:rPr>
          <w:rFonts w:asciiTheme="minorBidi" w:hAnsiTheme="minorBidi" w:hint="cs"/>
          <w:sz w:val="27"/>
          <w:rtl/>
        </w:rPr>
        <w:t>مائزاً</w:t>
      </w:r>
      <w:r w:rsidRPr="00282AC9">
        <w:rPr>
          <w:rFonts w:asciiTheme="minorBidi" w:hAnsiTheme="minorBidi"/>
          <w:sz w:val="27"/>
          <w:rtl/>
        </w:rPr>
        <w:t xml:space="preserve"> </w:t>
      </w:r>
      <w:r w:rsidRPr="00282AC9">
        <w:rPr>
          <w:rFonts w:asciiTheme="minorBidi" w:hAnsiTheme="minorBidi" w:hint="cs"/>
          <w:sz w:val="27"/>
          <w:rtl/>
        </w:rPr>
        <w:t>بين</w:t>
      </w:r>
      <w:r w:rsidRPr="00282AC9">
        <w:rPr>
          <w:rFonts w:asciiTheme="minorBidi" w:hAnsiTheme="minorBidi"/>
          <w:sz w:val="27"/>
          <w:rtl/>
        </w:rPr>
        <w:t xml:space="preserve"> </w:t>
      </w:r>
      <w:r w:rsidRPr="00282AC9">
        <w:rPr>
          <w:rFonts w:asciiTheme="minorBidi" w:hAnsiTheme="minorBidi" w:hint="cs"/>
          <w:sz w:val="27"/>
          <w:rtl/>
        </w:rPr>
        <w:t>النهج</w:t>
      </w:r>
      <w:r w:rsidRPr="00282AC9">
        <w:rPr>
          <w:rFonts w:asciiTheme="minorBidi" w:hAnsiTheme="minorBidi"/>
          <w:sz w:val="27"/>
          <w:rtl/>
        </w:rPr>
        <w:t xml:space="preserve"> </w:t>
      </w:r>
      <w:r w:rsidRPr="00282AC9">
        <w:rPr>
          <w:rFonts w:asciiTheme="minorBidi" w:hAnsiTheme="minorBidi" w:hint="cs"/>
          <w:sz w:val="27"/>
          <w:rtl/>
        </w:rPr>
        <w:t>العلوي</w:t>
      </w:r>
      <w:r w:rsidR="000D420E" w:rsidRPr="00282AC9">
        <w:rPr>
          <w:rFonts w:asciiTheme="minorBidi" w:hAnsiTheme="minorBidi" w:hint="cs"/>
          <w:sz w:val="27"/>
          <w:rtl/>
        </w:rPr>
        <w:t>ّ</w:t>
      </w:r>
      <w:r w:rsidRPr="00282AC9">
        <w:rPr>
          <w:rFonts w:asciiTheme="minorBidi" w:hAnsiTheme="minorBidi"/>
          <w:sz w:val="27"/>
          <w:rtl/>
        </w:rPr>
        <w:t xml:space="preserve"> </w:t>
      </w:r>
      <w:r w:rsidR="000D420E" w:rsidRPr="00282AC9">
        <w:rPr>
          <w:rFonts w:asciiTheme="minorBidi" w:hAnsiTheme="minorBidi" w:hint="cs"/>
          <w:sz w:val="27"/>
          <w:rtl/>
        </w:rPr>
        <w:t>و</w:t>
      </w:r>
      <w:r w:rsidRPr="00282AC9">
        <w:rPr>
          <w:rFonts w:asciiTheme="minorBidi" w:hAnsiTheme="minorBidi" w:hint="cs"/>
          <w:sz w:val="27"/>
          <w:rtl/>
        </w:rPr>
        <w:t>نهج</w:t>
      </w:r>
      <w:r w:rsidRPr="00282AC9">
        <w:rPr>
          <w:rFonts w:asciiTheme="minorBidi" w:hAnsiTheme="minorBidi"/>
          <w:sz w:val="27"/>
          <w:rtl/>
        </w:rPr>
        <w:t xml:space="preserve"> </w:t>
      </w:r>
      <w:r w:rsidRPr="00282AC9">
        <w:rPr>
          <w:rFonts w:asciiTheme="minorBidi" w:hAnsiTheme="minorBidi" w:hint="cs"/>
          <w:sz w:val="27"/>
          <w:rtl/>
        </w:rPr>
        <w:t>السقيفة</w:t>
      </w:r>
      <w:r w:rsidRPr="00282AC9">
        <w:rPr>
          <w:rFonts w:asciiTheme="minorBidi" w:hAnsiTheme="minorBidi"/>
          <w:sz w:val="27"/>
          <w:rtl/>
        </w:rPr>
        <w:t xml:space="preserve">. </w:t>
      </w:r>
    </w:p>
    <w:p w:rsidR="00965E08" w:rsidRPr="00282AC9" w:rsidRDefault="00965E08" w:rsidP="003062B7">
      <w:pPr>
        <w:rPr>
          <w:rFonts w:asciiTheme="minorBidi" w:hAnsiTheme="minorBidi"/>
          <w:sz w:val="27"/>
        </w:rPr>
      </w:pPr>
      <w:r w:rsidRPr="00282AC9">
        <w:rPr>
          <w:rFonts w:asciiTheme="minorBidi" w:hAnsiTheme="minorBidi" w:hint="cs"/>
          <w:sz w:val="27"/>
          <w:rtl/>
        </w:rPr>
        <w:t>فالهدف</w:t>
      </w:r>
      <w:r w:rsidRPr="00282AC9">
        <w:rPr>
          <w:rFonts w:asciiTheme="minorBidi" w:hAnsiTheme="minorBidi"/>
          <w:sz w:val="27"/>
          <w:rtl/>
        </w:rPr>
        <w:t xml:space="preserve"> </w:t>
      </w:r>
      <w:r w:rsidRPr="00282AC9">
        <w:rPr>
          <w:rFonts w:asciiTheme="minorBidi" w:hAnsiTheme="minorBidi" w:hint="cs"/>
          <w:sz w:val="27"/>
          <w:rtl/>
        </w:rPr>
        <w:t>الأو</w:t>
      </w:r>
      <w:r w:rsidR="000D420E" w:rsidRPr="00282AC9">
        <w:rPr>
          <w:rFonts w:asciiTheme="minorBidi" w:hAnsiTheme="minorBidi" w:hint="cs"/>
          <w:sz w:val="27"/>
          <w:rtl/>
        </w:rPr>
        <w:t>ّ</w:t>
      </w:r>
      <w:r w:rsidRPr="00282AC9">
        <w:rPr>
          <w:rFonts w:asciiTheme="minorBidi" w:hAnsiTheme="minorBidi" w:hint="cs"/>
          <w:sz w:val="27"/>
          <w:rtl/>
        </w:rPr>
        <w:t>ل</w:t>
      </w:r>
      <w:r w:rsidRPr="00282AC9">
        <w:rPr>
          <w:rFonts w:asciiTheme="minorBidi" w:hAnsiTheme="minorBidi"/>
          <w:sz w:val="27"/>
          <w:rtl/>
        </w:rPr>
        <w:t xml:space="preserve"> </w:t>
      </w:r>
      <w:r w:rsidRPr="00282AC9">
        <w:rPr>
          <w:rFonts w:asciiTheme="minorBidi" w:hAnsiTheme="minorBidi" w:hint="cs"/>
          <w:sz w:val="27"/>
          <w:rtl/>
        </w:rPr>
        <w:t>لمشروع ال</w:t>
      </w:r>
      <w:r w:rsidR="000D420E"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hint="cs"/>
          <w:sz w:val="27"/>
          <w:rtl/>
        </w:rPr>
        <w:t xml:space="preserve"> تحق</w:t>
      </w:r>
      <w:r w:rsidR="000D420E" w:rsidRPr="00282AC9">
        <w:rPr>
          <w:rFonts w:asciiTheme="minorBidi" w:hAnsiTheme="minorBidi" w:hint="cs"/>
          <w:sz w:val="27"/>
          <w:rtl/>
        </w:rPr>
        <w:t>َّ</w:t>
      </w:r>
      <w:r w:rsidRPr="00282AC9">
        <w:rPr>
          <w:rFonts w:asciiTheme="minorBidi" w:hAnsiTheme="minorBidi" w:hint="cs"/>
          <w:sz w:val="27"/>
          <w:rtl/>
        </w:rPr>
        <w:t>ق</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ولكن</w:t>
      </w:r>
      <w:r w:rsidR="000D420E" w:rsidRPr="00282AC9">
        <w:rPr>
          <w:rFonts w:asciiTheme="minorBidi" w:hAnsiTheme="minorBidi" w:hint="cs"/>
          <w:sz w:val="27"/>
          <w:rtl/>
        </w:rPr>
        <w:t>ّ</w:t>
      </w:r>
      <w:r w:rsidRPr="00282AC9">
        <w:rPr>
          <w:rFonts w:asciiTheme="minorBidi" w:hAnsiTheme="minorBidi"/>
          <w:sz w:val="27"/>
          <w:rtl/>
        </w:rPr>
        <w:t xml:space="preserve"> </w:t>
      </w:r>
      <w:r w:rsidR="000D420E" w:rsidRPr="00282AC9">
        <w:rPr>
          <w:rFonts w:asciiTheme="minorBidi" w:hAnsiTheme="minorBidi" w:hint="cs"/>
          <w:sz w:val="27"/>
          <w:rtl/>
        </w:rPr>
        <w:t>م</w:t>
      </w:r>
      <w:r w:rsidRPr="00282AC9">
        <w:rPr>
          <w:rFonts w:asciiTheme="minorBidi" w:hAnsiTheme="minorBidi" w:hint="cs"/>
          <w:sz w:val="27"/>
          <w:rtl/>
        </w:rPr>
        <w:t>شروع ال</w:t>
      </w:r>
      <w:r w:rsidR="000D420E"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hint="cs"/>
          <w:sz w:val="27"/>
          <w:rtl/>
        </w:rPr>
        <w:t xml:space="preserve"> لم</w:t>
      </w:r>
      <w:r w:rsidRPr="00282AC9">
        <w:rPr>
          <w:rFonts w:asciiTheme="minorBidi" w:hAnsiTheme="minorBidi"/>
          <w:sz w:val="27"/>
          <w:rtl/>
        </w:rPr>
        <w:t xml:space="preserve"> </w:t>
      </w:r>
      <w:r w:rsidRPr="00282AC9">
        <w:rPr>
          <w:rFonts w:asciiTheme="minorBidi" w:hAnsiTheme="minorBidi" w:hint="cs"/>
          <w:sz w:val="27"/>
          <w:rtl/>
        </w:rPr>
        <w:t>يحق</w:t>
      </w:r>
      <w:r w:rsidR="000D420E" w:rsidRPr="00282AC9">
        <w:rPr>
          <w:rFonts w:asciiTheme="minorBidi" w:hAnsiTheme="minorBidi" w:hint="cs"/>
          <w:sz w:val="27"/>
          <w:rtl/>
        </w:rPr>
        <w:t>ِّ</w:t>
      </w:r>
      <w:r w:rsidRPr="00282AC9">
        <w:rPr>
          <w:rFonts w:asciiTheme="minorBidi" w:hAnsiTheme="minorBidi" w:hint="cs"/>
          <w:sz w:val="27"/>
          <w:rtl/>
        </w:rPr>
        <w:t>ق</w:t>
      </w:r>
      <w:r w:rsidRPr="00282AC9">
        <w:rPr>
          <w:rFonts w:asciiTheme="minorBidi" w:hAnsiTheme="minorBidi"/>
          <w:sz w:val="27"/>
          <w:rtl/>
        </w:rPr>
        <w:t xml:space="preserve"> </w:t>
      </w:r>
      <w:r w:rsidRPr="00282AC9">
        <w:rPr>
          <w:rFonts w:asciiTheme="minorBidi" w:hAnsiTheme="minorBidi" w:hint="cs"/>
          <w:sz w:val="27"/>
          <w:rtl/>
        </w:rPr>
        <w:t>النصر</w:t>
      </w:r>
      <w:r w:rsidRPr="00282AC9">
        <w:rPr>
          <w:rFonts w:asciiTheme="minorBidi" w:hAnsiTheme="minorBidi"/>
          <w:sz w:val="27"/>
          <w:rtl/>
        </w:rPr>
        <w:t xml:space="preserve"> </w:t>
      </w:r>
      <w:r w:rsidRPr="00282AC9">
        <w:rPr>
          <w:rFonts w:asciiTheme="minorBidi" w:hAnsiTheme="minorBidi" w:hint="cs"/>
          <w:sz w:val="27"/>
          <w:rtl/>
        </w:rPr>
        <w:t>إلى</w:t>
      </w:r>
      <w:r w:rsidRPr="00282AC9">
        <w:rPr>
          <w:rFonts w:asciiTheme="minorBidi" w:hAnsiTheme="minorBidi"/>
          <w:sz w:val="27"/>
          <w:rtl/>
        </w:rPr>
        <w:t xml:space="preserve"> </w:t>
      </w:r>
      <w:r w:rsidRPr="00282AC9">
        <w:rPr>
          <w:rFonts w:asciiTheme="minorBidi" w:hAnsiTheme="minorBidi" w:hint="cs"/>
          <w:sz w:val="27"/>
          <w:rtl/>
        </w:rPr>
        <w:t>هذه</w:t>
      </w:r>
      <w:r w:rsidRPr="00282AC9">
        <w:rPr>
          <w:rFonts w:asciiTheme="minorBidi" w:hAnsiTheme="minorBidi"/>
          <w:sz w:val="27"/>
          <w:rtl/>
        </w:rPr>
        <w:t xml:space="preserve"> </w:t>
      </w:r>
      <w:r w:rsidRPr="00282AC9">
        <w:rPr>
          <w:rFonts w:asciiTheme="minorBidi" w:hAnsiTheme="minorBidi" w:hint="cs"/>
          <w:sz w:val="27"/>
          <w:rtl/>
        </w:rPr>
        <w:t>اللحظة</w:t>
      </w:r>
      <w:r w:rsidRPr="00282AC9">
        <w:rPr>
          <w:rFonts w:asciiTheme="minorBidi" w:hAnsiTheme="minorBidi"/>
          <w:sz w:val="27"/>
          <w:rtl/>
        </w:rPr>
        <w:t xml:space="preserve">. </w:t>
      </w:r>
      <w:r w:rsidRPr="00282AC9">
        <w:rPr>
          <w:rFonts w:asciiTheme="minorBidi" w:hAnsiTheme="minorBidi" w:hint="cs"/>
          <w:sz w:val="27"/>
          <w:rtl/>
        </w:rPr>
        <w:t>إنه</w:t>
      </w:r>
      <w:r w:rsidRPr="00282AC9">
        <w:rPr>
          <w:rFonts w:asciiTheme="minorBidi" w:hAnsiTheme="minorBidi"/>
          <w:sz w:val="27"/>
          <w:rtl/>
        </w:rPr>
        <w:t xml:space="preserve"> </w:t>
      </w:r>
      <w:r w:rsidRPr="00282AC9">
        <w:rPr>
          <w:rFonts w:asciiTheme="minorBidi" w:hAnsiTheme="minorBidi" w:hint="cs"/>
          <w:sz w:val="27"/>
          <w:rtl/>
        </w:rPr>
        <w:t>يتحر</w:t>
      </w:r>
      <w:r w:rsidR="000D420E" w:rsidRPr="00282AC9">
        <w:rPr>
          <w:rFonts w:asciiTheme="minorBidi" w:hAnsiTheme="minorBidi" w:hint="cs"/>
          <w:sz w:val="27"/>
          <w:rtl/>
        </w:rPr>
        <w:t>َّ</w:t>
      </w:r>
      <w:r w:rsidRPr="00282AC9">
        <w:rPr>
          <w:rFonts w:asciiTheme="minorBidi" w:hAnsiTheme="minorBidi" w:hint="cs"/>
          <w:sz w:val="27"/>
          <w:rtl/>
        </w:rPr>
        <w:t>ك،</w:t>
      </w:r>
      <w:r w:rsidRPr="00282AC9">
        <w:rPr>
          <w:rFonts w:asciiTheme="minorBidi" w:hAnsiTheme="minorBidi"/>
          <w:sz w:val="27"/>
          <w:rtl/>
        </w:rPr>
        <w:t xml:space="preserve"> </w:t>
      </w:r>
      <w:r w:rsidRPr="00282AC9">
        <w:rPr>
          <w:rFonts w:asciiTheme="minorBidi" w:hAnsiTheme="minorBidi" w:hint="cs"/>
          <w:sz w:val="27"/>
          <w:rtl/>
        </w:rPr>
        <w:t>وعلينا</w:t>
      </w:r>
      <w:r w:rsidRPr="00282AC9">
        <w:rPr>
          <w:rFonts w:asciiTheme="minorBidi" w:hAnsiTheme="minorBidi"/>
          <w:sz w:val="27"/>
          <w:rtl/>
        </w:rPr>
        <w:t xml:space="preserve"> </w:t>
      </w:r>
      <w:r w:rsidRPr="00282AC9">
        <w:rPr>
          <w:rFonts w:asciiTheme="minorBidi" w:hAnsiTheme="minorBidi" w:hint="cs"/>
          <w:sz w:val="27"/>
          <w:rtl/>
        </w:rPr>
        <w:t>أن</w:t>
      </w:r>
      <w:r w:rsidRPr="00282AC9">
        <w:rPr>
          <w:rFonts w:asciiTheme="minorBidi" w:hAnsiTheme="minorBidi"/>
          <w:sz w:val="27"/>
          <w:rtl/>
        </w:rPr>
        <w:t xml:space="preserve"> </w:t>
      </w:r>
      <w:r w:rsidRPr="00282AC9">
        <w:rPr>
          <w:rFonts w:asciiTheme="minorBidi" w:hAnsiTheme="minorBidi" w:hint="cs"/>
          <w:sz w:val="27"/>
          <w:rtl/>
        </w:rPr>
        <w:t>نتحر</w:t>
      </w:r>
      <w:r w:rsidR="000D420E" w:rsidRPr="00282AC9">
        <w:rPr>
          <w:rFonts w:asciiTheme="minorBidi" w:hAnsiTheme="minorBidi" w:hint="cs"/>
          <w:sz w:val="27"/>
          <w:rtl/>
        </w:rPr>
        <w:t>َّ</w:t>
      </w:r>
      <w:r w:rsidRPr="00282AC9">
        <w:rPr>
          <w:rFonts w:asciiTheme="minorBidi" w:hAnsiTheme="minorBidi" w:hint="cs"/>
          <w:sz w:val="27"/>
          <w:rtl/>
        </w:rPr>
        <w:t>ك</w:t>
      </w:r>
      <w:r w:rsidRPr="00282AC9">
        <w:rPr>
          <w:rFonts w:asciiTheme="minorBidi" w:hAnsiTheme="minorBidi"/>
          <w:sz w:val="27"/>
          <w:rtl/>
        </w:rPr>
        <w:t xml:space="preserve"> </w:t>
      </w:r>
      <w:r w:rsidRPr="00282AC9">
        <w:rPr>
          <w:rFonts w:asciiTheme="minorBidi" w:hAnsiTheme="minorBidi" w:hint="cs"/>
          <w:sz w:val="27"/>
          <w:rtl/>
        </w:rPr>
        <w:t>معه،</w:t>
      </w:r>
      <w:r w:rsidRPr="00282AC9">
        <w:rPr>
          <w:rFonts w:asciiTheme="minorBidi" w:hAnsiTheme="minorBidi"/>
          <w:sz w:val="27"/>
          <w:rtl/>
        </w:rPr>
        <w:t xml:space="preserve"> </w:t>
      </w:r>
      <w:r w:rsidRPr="00282AC9">
        <w:rPr>
          <w:rFonts w:asciiTheme="minorBidi" w:hAnsiTheme="minorBidi" w:hint="cs"/>
          <w:sz w:val="27"/>
          <w:rtl/>
        </w:rPr>
        <w:t>لا</w:t>
      </w:r>
      <w:r w:rsidRPr="00282AC9">
        <w:rPr>
          <w:rFonts w:asciiTheme="minorBidi" w:hAnsiTheme="minorBidi"/>
          <w:sz w:val="27"/>
          <w:rtl/>
        </w:rPr>
        <w:t xml:space="preserve"> </w:t>
      </w:r>
      <w:r w:rsidRPr="00282AC9">
        <w:rPr>
          <w:rFonts w:asciiTheme="minorBidi" w:hAnsiTheme="minorBidi" w:hint="cs"/>
          <w:sz w:val="27"/>
          <w:rtl/>
        </w:rPr>
        <w:t>أن</w:t>
      </w:r>
      <w:r w:rsidRPr="00282AC9">
        <w:rPr>
          <w:rFonts w:asciiTheme="minorBidi" w:hAnsiTheme="minorBidi"/>
          <w:sz w:val="27"/>
          <w:rtl/>
        </w:rPr>
        <w:t xml:space="preserve"> </w:t>
      </w:r>
      <w:r w:rsidRPr="00282AC9">
        <w:rPr>
          <w:rFonts w:asciiTheme="minorBidi" w:hAnsiTheme="minorBidi" w:hint="cs"/>
          <w:sz w:val="27"/>
          <w:rtl/>
        </w:rPr>
        <w:t>نذعن</w:t>
      </w:r>
      <w:r w:rsidRPr="00282AC9">
        <w:rPr>
          <w:rFonts w:asciiTheme="minorBidi" w:hAnsiTheme="minorBidi"/>
          <w:sz w:val="27"/>
          <w:rtl/>
        </w:rPr>
        <w:t xml:space="preserve"> </w:t>
      </w:r>
      <w:r w:rsidRPr="00282AC9">
        <w:rPr>
          <w:rFonts w:asciiTheme="minorBidi" w:hAnsiTheme="minorBidi" w:hint="cs"/>
          <w:sz w:val="27"/>
          <w:rtl/>
        </w:rPr>
        <w:t>لما</w:t>
      </w:r>
      <w:r w:rsidRPr="00282AC9">
        <w:rPr>
          <w:rFonts w:asciiTheme="minorBidi" w:hAnsiTheme="minorBidi"/>
          <w:sz w:val="27"/>
          <w:rtl/>
        </w:rPr>
        <w:t xml:space="preserve"> </w:t>
      </w:r>
      <w:r w:rsidRPr="00282AC9">
        <w:rPr>
          <w:rFonts w:asciiTheme="minorBidi" w:hAnsiTheme="minorBidi" w:hint="cs"/>
          <w:sz w:val="27"/>
          <w:rtl/>
        </w:rPr>
        <w:t>يريده</w:t>
      </w:r>
      <w:r w:rsidRPr="00282AC9">
        <w:rPr>
          <w:rFonts w:asciiTheme="minorBidi" w:hAnsiTheme="minorBidi"/>
          <w:sz w:val="27"/>
          <w:rtl/>
        </w:rPr>
        <w:t xml:space="preserve"> </w:t>
      </w:r>
      <w:r w:rsidRPr="00282AC9">
        <w:rPr>
          <w:rFonts w:asciiTheme="minorBidi" w:hAnsiTheme="minorBidi" w:hint="cs"/>
          <w:sz w:val="27"/>
          <w:rtl/>
        </w:rPr>
        <w:t>الشيطان</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عبر</w:t>
      </w:r>
      <w:r w:rsidRPr="00282AC9">
        <w:rPr>
          <w:rFonts w:asciiTheme="minorBidi" w:hAnsiTheme="minorBidi"/>
          <w:sz w:val="27"/>
          <w:rtl/>
        </w:rPr>
        <w:t xml:space="preserve"> </w:t>
      </w:r>
      <w:r w:rsidRPr="00282AC9">
        <w:rPr>
          <w:rFonts w:asciiTheme="minorBidi" w:hAnsiTheme="minorBidi" w:hint="cs"/>
          <w:sz w:val="27"/>
          <w:rtl/>
        </w:rPr>
        <w:t>القول</w:t>
      </w:r>
      <w:r w:rsidR="000D420E" w:rsidRPr="00282AC9">
        <w:rPr>
          <w:rFonts w:asciiTheme="minorBidi" w:hAnsiTheme="minorBidi" w:hint="cs"/>
          <w:sz w:val="27"/>
          <w:rtl/>
        </w:rPr>
        <w:t>:</w:t>
      </w:r>
      <w:r w:rsidRPr="00282AC9">
        <w:rPr>
          <w:rFonts w:asciiTheme="minorBidi" w:hAnsiTheme="minorBidi"/>
          <w:sz w:val="27"/>
          <w:rtl/>
        </w:rPr>
        <w:t xml:space="preserve"> </w:t>
      </w:r>
      <w:r w:rsidR="000D420E" w:rsidRPr="00282AC9">
        <w:rPr>
          <w:rFonts w:asciiTheme="minorBidi" w:hAnsiTheme="minorBidi" w:hint="cs"/>
          <w:sz w:val="27"/>
          <w:rtl/>
        </w:rPr>
        <w:t>إ</w:t>
      </w:r>
      <w:r w:rsidRPr="00282AC9">
        <w:rPr>
          <w:rFonts w:asciiTheme="minorBidi" w:hAnsiTheme="minorBidi" w:hint="cs"/>
          <w:sz w:val="27"/>
          <w:rtl/>
        </w:rPr>
        <w:t>ن</w:t>
      </w:r>
      <w:r w:rsidRPr="00282AC9">
        <w:rPr>
          <w:rFonts w:asciiTheme="minorBidi" w:hAnsiTheme="minorBidi"/>
          <w:sz w:val="27"/>
          <w:rtl/>
        </w:rPr>
        <w:t xml:space="preserve"> </w:t>
      </w:r>
      <w:r w:rsidR="000D420E" w:rsidRPr="00282AC9">
        <w:rPr>
          <w:rFonts w:asciiTheme="minorBidi" w:hAnsiTheme="minorBidi" w:hint="cs"/>
          <w:sz w:val="27"/>
          <w:rtl/>
        </w:rPr>
        <w:t>م</w:t>
      </w:r>
      <w:r w:rsidRPr="00282AC9">
        <w:rPr>
          <w:rFonts w:asciiTheme="minorBidi" w:hAnsiTheme="minorBidi" w:hint="cs"/>
          <w:sz w:val="27"/>
          <w:rtl/>
        </w:rPr>
        <w:t>شروع ال</w:t>
      </w:r>
      <w:r w:rsidR="000D420E"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hint="cs"/>
          <w:sz w:val="27"/>
          <w:rtl/>
        </w:rPr>
        <w:t xml:space="preserve"> حق</w:t>
      </w:r>
      <w:r w:rsidR="000D420E" w:rsidRPr="00282AC9">
        <w:rPr>
          <w:rFonts w:asciiTheme="minorBidi" w:hAnsiTheme="minorBidi" w:hint="cs"/>
          <w:sz w:val="27"/>
          <w:rtl/>
        </w:rPr>
        <w:t>َّ</w:t>
      </w:r>
      <w:r w:rsidRPr="00282AC9">
        <w:rPr>
          <w:rFonts w:asciiTheme="minorBidi" w:hAnsiTheme="minorBidi" w:hint="cs"/>
          <w:sz w:val="27"/>
          <w:rtl/>
        </w:rPr>
        <w:t>ق</w:t>
      </w:r>
      <w:r w:rsidRPr="00282AC9">
        <w:rPr>
          <w:rFonts w:asciiTheme="minorBidi" w:hAnsiTheme="minorBidi"/>
          <w:sz w:val="27"/>
          <w:rtl/>
        </w:rPr>
        <w:t xml:space="preserve"> </w:t>
      </w:r>
      <w:r w:rsidRPr="00282AC9">
        <w:rPr>
          <w:rFonts w:asciiTheme="minorBidi" w:hAnsiTheme="minorBidi" w:hint="cs"/>
          <w:sz w:val="27"/>
          <w:rtl/>
        </w:rPr>
        <w:t>النصر</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والأم</w:t>
      </w:r>
      <w:r w:rsidR="000D420E" w:rsidRPr="00282AC9">
        <w:rPr>
          <w:rFonts w:asciiTheme="minorBidi" w:hAnsiTheme="minorBidi" w:hint="cs"/>
          <w:sz w:val="27"/>
          <w:rtl/>
        </w:rPr>
        <w:t>ّ</w:t>
      </w:r>
      <w:r w:rsidRPr="00282AC9">
        <w:rPr>
          <w:rFonts w:asciiTheme="minorBidi" w:hAnsiTheme="minorBidi" w:hint="cs"/>
          <w:sz w:val="27"/>
          <w:rtl/>
        </w:rPr>
        <w:t>ة</w:t>
      </w:r>
      <w:r w:rsidRPr="00282AC9">
        <w:rPr>
          <w:rFonts w:asciiTheme="minorBidi" w:hAnsiTheme="minorBidi"/>
          <w:sz w:val="27"/>
          <w:rtl/>
        </w:rPr>
        <w:t xml:space="preserve"> </w:t>
      </w:r>
      <w:r w:rsidRPr="00282AC9">
        <w:rPr>
          <w:rFonts w:asciiTheme="minorBidi" w:hAnsiTheme="minorBidi" w:hint="cs"/>
          <w:sz w:val="27"/>
          <w:rtl/>
        </w:rPr>
        <w:t>أصلحت</w:t>
      </w:r>
      <w:r w:rsidRPr="00282AC9">
        <w:rPr>
          <w:rFonts w:asciiTheme="minorBidi" w:hAnsiTheme="minorBidi"/>
          <w:sz w:val="27"/>
          <w:rtl/>
        </w:rPr>
        <w:t>.</w:t>
      </w:r>
    </w:p>
    <w:p w:rsidR="00965E08" w:rsidRPr="00282AC9" w:rsidRDefault="00965E08" w:rsidP="003062B7">
      <w:pPr>
        <w:rPr>
          <w:rFonts w:asciiTheme="minorBidi" w:hAnsiTheme="minorBidi"/>
          <w:sz w:val="27"/>
        </w:rPr>
      </w:pPr>
      <w:r w:rsidRPr="00282AC9">
        <w:rPr>
          <w:rFonts w:asciiTheme="minorBidi" w:hAnsiTheme="minorBidi" w:hint="cs"/>
          <w:sz w:val="27"/>
          <w:rtl/>
        </w:rPr>
        <w:t>و</w:t>
      </w:r>
      <w:r w:rsidR="000D420E" w:rsidRPr="00282AC9">
        <w:rPr>
          <w:rFonts w:asciiTheme="minorBidi" w:hAnsiTheme="minorBidi" w:hint="cs"/>
          <w:sz w:val="27"/>
          <w:rtl/>
        </w:rPr>
        <w:t>أ</w:t>
      </w:r>
      <w:r w:rsidRPr="00282AC9">
        <w:rPr>
          <w:rFonts w:asciiTheme="minorBidi" w:hAnsiTheme="minorBidi" w:hint="cs"/>
          <w:sz w:val="27"/>
          <w:rtl/>
        </w:rPr>
        <w:t>ما قوله</w:t>
      </w:r>
      <w:r w:rsidR="001100B1" w:rsidRPr="00282AC9">
        <w:rPr>
          <w:rFonts w:ascii="Mosawi" w:hAnsi="Mosawi" w:cs="Mosawi" w:hint="cs"/>
          <w:sz w:val="22"/>
          <w:szCs w:val="22"/>
          <w:rtl/>
        </w:rPr>
        <w:t>#</w:t>
      </w:r>
      <w:r w:rsidRPr="00282AC9">
        <w:rPr>
          <w:rFonts w:asciiTheme="minorBidi" w:hAnsiTheme="minorBidi"/>
          <w:sz w:val="27"/>
          <w:rtl/>
        </w:rPr>
        <w:t xml:space="preserve">: </w:t>
      </w:r>
      <w:r w:rsidRPr="00282AC9">
        <w:rPr>
          <w:rFonts w:hint="eastAsia"/>
          <w:sz w:val="24"/>
          <w:szCs w:val="24"/>
          <w:rtl/>
        </w:rPr>
        <w:t>«</w:t>
      </w:r>
      <w:r w:rsidRPr="00282AC9">
        <w:rPr>
          <w:rFonts w:asciiTheme="minorBidi" w:hAnsiTheme="minorBidi" w:hint="cs"/>
          <w:sz w:val="27"/>
          <w:rtl/>
        </w:rPr>
        <w:t>وظهر</w:t>
      </w:r>
      <w:r w:rsidRPr="00282AC9">
        <w:rPr>
          <w:rFonts w:asciiTheme="minorBidi" w:hAnsiTheme="minorBidi"/>
          <w:sz w:val="27"/>
          <w:rtl/>
        </w:rPr>
        <w:t xml:space="preserve"> </w:t>
      </w:r>
      <w:r w:rsidRPr="00282AC9">
        <w:rPr>
          <w:rFonts w:asciiTheme="minorBidi" w:hAnsiTheme="minorBidi" w:hint="cs"/>
          <w:sz w:val="27"/>
          <w:rtl/>
        </w:rPr>
        <w:t>بعدك</w:t>
      </w:r>
      <w:r w:rsidRPr="00282AC9">
        <w:rPr>
          <w:rFonts w:asciiTheme="minorBidi" w:hAnsiTheme="minorBidi"/>
          <w:sz w:val="27"/>
          <w:rtl/>
        </w:rPr>
        <w:t xml:space="preserve"> </w:t>
      </w:r>
      <w:r w:rsidRPr="00282AC9">
        <w:rPr>
          <w:rFonts w:asciiTheme="minorBidi" w:hAnsiTheme="minorBidi" w:hint="cs"/>
          <w:sz w:val="27"/>
          <w:rtl/>
        </w:rPr>
        <w:t>التغيير</w:t>
      </w:r>
      <w:r w:rsidRPr="00282AC9">
        <w:rPr>
          <w:rFonts w:asciiTheme="minorBidi" w:hAnsiTheme="minorBidi"/>
          <w:sz w:val="27"/>
          <w:rtl/>
        </w:rPr>
        <w:t xml:space="preserve"> </w:t>
      </w:r>
      <w:r w:rsidRPr="00282AC9">
        <w:rPr>
          <w:rFonts w:asciiTheme="minorBidi" w:hAnsiTheme="minorBidi" w:hint="cs"/>
          <w:sz w:val="27"/>
          <w:rtl/>
        </w:rPr>
        <w:t>والتبديل،</w:t>
      </w:r>
      <w:r w:rsidRPr="00282AC9">
        <w:rPr>
          <w:rFonts w:asciiTheme="minorBidi" w:hAnsiTheme="minorBidi"/>
          <w:sz w:val="27"/>
          <w:rtl/>
        </w:rPr>
        <w:t xml:space="preserve"> </w:t>
      </w:r>
      <w:r w:rsidRPr="00282AC9">
        <w:rPr>
          <w:rFonts w:asciiTheme="minorBidi" w:hAnsiTheme="minorBidi" w:hint="cs"/>
          <w:sz w:val="27"/>
          <w:rtl/>
        </w:rPr>
        <w:t>والإلحاد</w:t>
      </w:r>
      <w:r w:rsidRPr="00282AC9">
        <w:rPr>
          <w:rFonts w:asciiTheme="minorBidi" w:hAnsiTheme="minorBidi"/>
          <w:sz w:val="27"/>
          <w:rtl/>
        </w:rPr>
        <w:t xml:space="preserve"> </w:t>
      </w:r>
      <w:r w:rsidRPr="00282AC9">
        <w:rPr>
          <w:rFonts w:asciiTheme="minorBidi" w:hAnsiTheme="minorBidi" w:hint="cs"/>
          <w:sz w:val="27"/>
          <w:rtl/>
        </w:rPr>
        <w:t>والتعطيل</w:t>
      </w:r>
      <w:r w:rsidRPr="00282AC9">
        <w:rPr>
          <w:rFonts w:hint="eastAsia"/>
          <w:sz w:val="24"/>
          <w:szCs w:val="24"/>
          <w:rtl/>
        </w:rPr>
        <w:t>»</w:t>
      </w:r>
      <w:r w:rsidRPr="00282AC9">
        <w:rPr>
          <w:rFonts w:asciiTheme="minorBidi" w:hAnsiTheme="minorBidi"/>
          <w:sz w:val="27"/>
          <w:rtl/>
        </w:rPr>
        <w:t xml:space="preserve"> </w:t>
      </w:r>
      <w:r w:rsidRPr="00282AC9">
        <w:rPr>
          <w:rFonts w:asciiTheme="minorBidi" w:hAnsiTheme="minorBidi" w:hint="cs"/>
          <w:sz w:val="27"/>
          <w:rtl/>
        </w:rPr>
        <w:t>فهو ليس ما</w:t>
      </w:r>
      <w:r w:rsidRPr="00282AC9">
        <w:rPr>
          <w:rFonts w:asciiTheme="minorBidi" w:hAnsiTheme="minorBidi"/>
          <w:sz w:val="27"/>
          <w:rtl/>
        </w:rPr>
        <w:t xml:space="preserve"> </w:t>
      </w:r>
      <w:r w:rsidRPr="00282AC9">
        <w:rPr>
          <w:rFonts w:asciiTheme="minorBidi" w:hAnsiTheme="minorBidi" w:hint="cs"/>
          <w:sz w:val="27"/>
          <w:rtl/>
        </w:rPr>
        <w:t>يطلق</w:t>
      </w:r>
      <w:r w:rsidRPr="00282AC9">
        <w:rPr>
          <w:rFonts w:asciiTheme="minorBidi" w:hAnsiTheme="minorBidi"/>
          <w:sz w:val="27"/>
          <w:rtl/>
        </w:rPr>
        <w:t xml:space="preserve"> </w:t>
      </w:r>
      <w:r w:rsidRPr="00282AC9">
        <w:rPr>
          <w:rFonts w:asciiTheme="minorBidi" w:hAnsiTheme="minorBidi" w:hint="cs"/>
          <w:sz w:val="27"/>
          <w:rtl/>
        </w:rPr>
        <w:t>عليه</w:t>
      </w:r>
      <w:r w:rsidRPr="00282AC9">
        <w:rPr>
          <w:rFonts w:asciiTheme="minorBidi" w:hAnsiTheme="minorBidi"/>
          <w:sz w:val="27"/>
          <w:rtl/>
        </w:rPr>
        <w:t xml:space="preserve"> </w:t>
      </w:r>
      <w:r w:rsidRPr="00282AC9">
        <w:rPr>
          <w:rFonts w:asciiTheme="minorBidi" w:hAnsiTheme="minorBidi" w:hint="cs"/>
          <w:sz w:val="27"/>
          <w:rtl/>
        </w:rPr>
        <w:t>الإلحاد</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أي</w:t>
      </w:r>
      <w:r w:rsidR="000D420E" w:rsidRPr="00282AC9">
        <w:rPr>
          <w:rFonts w:asciiTheme="minorBidi" w:hAnsiTheme="minorBidi" w:hint="cs"/>
          <w:sz w:val="27"/>
          <w:rtl/>
        </w:rPr>
        <w:t>ّ</w:t>
      </w:r>
      <w:r w:rsidRPr="00282AC9">
        <w:rPr>
          <w:rFonts w:asciiTheme="minorBidi" w:hAnsiTheme="minorBidi" w:hint="cs"/>
          <w:sz w:val="27"/>
          <w:rtl/>
        </w:rPr>
        <w:t>امنا</w:t>
      </w:r>
      <w:r w:rsidRPr="00282AC9">
        <w:rPr>
          <w:rFonts w:asciiTheme="minorBidi" w:hAnsiTheme="minorBidi"/>
          <w:sz w:val="27"/>
          <w:rtl/>
        </w:rPr>
        <w:t xml:space="preserve"> </w:t>
      </w:r>
      <w:r w:rsidRPr="00282AC9">
        <w:rPr>
          <w:rFonts w:asciiTheme="minorBidi" w:hAnsiTheme="minorBidi" w:hint="cs"/>
          <w:sz w:val="27"/>
          <w:rtl/>
        </w:rPr>
        <w:t>هذه</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وهو</w:t>
      </w:r>
      <w:r w:rsidRPr="00282AC9">
        <w:rPr>
          <w:rFonts w:asciiTheme="minorBidi" w:hAnsiTheme="minorBidi"/>
          <w:sz w:val="27"/>
          <w:rtl/>
        </w:rPr>
        <w:t xml:space="preserve"> </w:t>
      </w:r>
      <w:r w:rsidRPr="00282AC9">
        <w:rPr>
          <w:rFonts w:asciiTheme="minorBidi" w:hAnsiTheme="minorBidi" w:hint="cs"/>
          <w:sz w:val="27"/>
          <w:rtl/>
        </w:rPr>
        <w:t>إنكار</w:t>
      </w:r>
      <w:r w:rsidRPr="00282AC9">
        <w:rPr>
          <w:rFonts w:asciiTheme="minorBidi" w:hAnsiTheme="minorBidi"/>
          <w:sz w:val="27"/>
          <w:rtl/>
        </w:rPr>
        <w:t xml:space="preserve"> </w:t>
      </w:r>
      <w:r w:rsidRPr="00282AC9">
        <w:rPr>
          <w:rFonts w:asciiTheme="minorBidi" w:hAnsiTheme="minorBidi" w:hint="cs"/>
          <w:sz w:val="27"/>
          <w:rtl/>
        </w:rPr>
        <w:t>وجود</w:t>
      </w:r>
      <w:r w:rsidRPr="00282AC9">
        <w:rPr>
          <w:rFonts w:asciiTheme="minorBidi" w:hAnsiTheme="minorBidi"/>
          <w:sz w:val="27"/>
          <w:rtl/>
        </w:rPr>
        <w:t xml:space="preserve"> </w:t>
      </w:r>
      <w:r w:rsidRPr="00282AC9">
        <w:rPr>
          <w:rFonts w:asciiTheme="minorBidi" w:hAnsiTheme="minorBidi" w:hint="cs"/>
          <w:sz w:val="27"/>
          <w:rtl/>
        </w:rPr>
        <w:t>الله</w:t>
      </w:r>
      <w:r w:rsidRPr="00282AC9">
        <w:rPr>
          <w:rFonts w:asciiTheme="minorBidi" w:hAnsiTheme="minorBidi"/>
          <w:sz w:val="27"/>
          <w:rtl/>
        </w:rPr>
        <w:t xml:space="preserve"> </w:t>
      </w:r>
      <w:r w:rsidRPr="00282AC9">
        <w:rPr>
          <w:rFonts w:asciiTheme="minorBidi" w:hAnsiTheme="minorBidi" w:hint="cs"/>
          <w:sz w:val="27"/>
          <w:rtl/>
        </w:rPr>
        <w:t>سبحانه</w:t>
      </w:r>
      <w:r w:rsidRPr="00282AC9">
        <w:rPr>
          <w:rFonts w:asciiTheme="minorBidi" w:hAnsiTheme="minorBidi"/>
          <w:sz w:val="27"/>
          <w:rtl/>
        </w:rPr>
        <w:t xml:space="preserve"> </w:t>
      </w:r>
      <w:r w:rsidRPr="00282AC9">
        <w:rPr>
          <w:rFonts w:asciiTheme="minorBidi" w:hAnsiTheme="minorBidi" w:hint="cs"/>
          <w:sz w:val="27"/>
          <w:rtl/>
        </w:rPr>
        <w:t>وتعالى</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بل المراد</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lastRenderedPageBreak/>
        <w:t>الإلحاد</w:t>
      </w:r>
      <w:r w:rsidRPr="00282AC9">
        <w:rPr>
          <w:rFonts w:asciiTheme="minorBidi" w:hAnsiTheme="minorBidi"/>
          <w:sz w:val="27"/>
          <w:rtl/>
        </w:rPr>
        <w:t xml:space="preserve"> </w:t>
      </w:r>
      <w:r w:rsidRPr="00282AC9">
        <w:rPr>
          <w:rFonts w:asciiTheme="minorBidi" w:hAnsiTheme="minorBidi" w:hint="cs"/>
          <w:sz w:val="27"/>
          <w:rtl/>
        </w:rPr>
        <w:t>هنا</w:t>
      </w:r>
      <w:r w:rsidRPr="00282AC9">
        <w:rPr>
          <w:rFonts w:asciiTheme="minorBidi" w:hAnsiTheme="minorBidi"/>
          <w:sz w:val="27"/>
          <w:rtl/>
        </w:rPr>
        <w:t xml:space="preserve"> </w:t>
      </w:r>
      <w:r w:rsidRPr="00282AC9">
        <w:rPr>
          <w:rFonts w:asciiTheme="minorBidi" w:hAnsiTheme="minorBidi" w:hint="cs"/>
          <w:sz w:val="27"/>
          <w:rtl/>
        </w:rPr>
        <w:t>هو</w:t>
      </w:r>
      <w:r w:rsidRPr="00282AC9">
        <w:rPr>
          <w:rFonts w:asciiTheme="minorBidi" w:hAnsiTheme="minorBidi"/>
          <w:sz w:val="27"/>
          <w:rtl/>
        </w:rPr>
        <w:t xml:space="preserve"> </w:t>
      </w:r>
      <w:r w:rsidRPr="00282AC9">
        <w:rPr>
          <w:rFonts w:asciiTheme="minorBidi" w:hAnsiTheme="minorBidi" w:hint="cs"/>
          <w:sz w:val="27"/>
          <w:rtl/>
        </w:rPr>
        <w:t>الإلحاد</w:t>
      </w:r>
      <w:r w:rsidRPr="00282AC9">
        <w:rPr>
          <w:rFonts w:asciiTheme="minorBidi" w:hAnsiTheme="minorBidi"/>
          <w:sz w:val="27"/>
          <w:rtl/>
        </w:rPr>
        <w:t xml:space="preserve"> </w:t>
      </w:r>
      <w:r w:rsidRPr="00282AC9">
        <w:rPr>
          <w:rFonts w:asciiTheme="minorBidi" w:hAnsiTheme="minorBidi" w:hint="cs"/>
          <w:sz w:val="27"/>
          <w:rtl/>
        </w:rPr>
        <w:t>الذي</w:t>
      </w:r>
      <w:r w:rsidRPr="00282AC9">
        <w:rPr>
          <w:rFonts w:asciiTheme="minorBidi" w:hAnsiTheme="minorBidi"/>
          <w:sz w:val="27"/>
          <w:rtl/>
        </w:rPr>
        <w:t xml:space="preserve"> </w:t>
      </w:r>
      <w:r w:rsidRPr="00282AC9">
        <w:rPr>
          <w:rFonts w:asciiTheme="minorBidi" w:hAnsiTheme="minorBidi" w:hint="cs"/>
          <w:sz w:val="27"/>
          <w:rtl/>
        </w:rPr>
        <w:t>تحد</w:t>
      </w:r>
      <w:r w:rsidR="000D420E" w:rsidRPr="00282AC9">
        <w:rPr>
          <w:rFonts w:asciiTheme="minorBidi" w:hAnsiTheme="minorBidi" w:hint="cs"/>
          <w:sz w:val="27"/>
          <w:rtl/>
        </w:rPr>
        <w:t>َّ</w:t>
      </w:r>
      <w:r w:rsidRPr="00282AC9">
        <w:rPr>
          <w:rFonts w:asciiTheme="minorBidi" w:hAnsiTheme="minorBidi" w:hint="cs"/>
          <w:sz w:val="27"/>
          <w:rtl/>
        </w:rPr>
        <w:t>ث</w:t>
      </w:r>
      <w:r w:rsidRPr="00282AC9">
        <w:rPr>
          <w:rFonts w:asciiTheme="minorBidi" w:hAnsiTheme="minorBidi"/>
          <w:sz w:val="27"/>
          <w:rtl/>
        </w:rPr>
        <w:t xml:space="preserve"> </w:t>
      </w:r>
      <w:r w:rsidRPr="00282AC9">
        <w:rPr>
          <w:rFonts w:asciiTheme="minorBidi" w:hAnsiTheme="minorBidi" w:hint="cs"/>
          <w:sz w:val="27"/>
          <w:rtl/>
        </w:rPr>
        <w:t>عنه</w:t>
      </w:r>
      <w:r w:rsidRPr="00282AC9">
        <w:rPr>
          <w:rFonts w:asciiTheme="minorBidi" w:hAnsiTheme="minorBidi"/>
          <w:sz w:val="27"/>
          <w:rtl/>
        </w:rPr>
        <w:t xml:space="preserve"> </w:t>
      </w:r>
      <w:r w:rsidRPr="00282AC9">
        <w:rPr>
          <w:rFonts w:asciiTheme="minorBidi" w:hAnsiTheme="minorBidi" w:hint="cs"/>
          <w:sz w:val="27"/>
          <w:rtl/>
        </w:rPr>
        <w:t>القرآن وال</w:t>
      </w:r>
      <w:r w:rsidR="000D420E" w:rsidRPr="00282AC9">
        <w:rPr>
          <w:rFonts w:asciiTheme="minorBidi" w:hAnsiTheme="minorBidi" w:hint="cs"/>
          <w:sz w:val="27"/>
          <w:rtl/>
        </w:rPr>
        <w:t>أ</w:t>
      </w:r>
      <w:r w:rsidRPr="00282AC9">
        <w:rPr>
          <w:rFonts w:asciiTheme="minorBidi" w:hAnsiTheme="minorBidi" w:hint="cs"/>
          <w:sz w:val="27"/>
          <w:rtl/>
        </w:rPr>
        <w:t>حاديث</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وهو</w:t>
      </w:r>
      <w:r w:rsidRPr="00282AC9">
        <w:rPr>
          <w:rFonts w:asciiTheme="minorBidi" w:hAnsiTheme="minorBidi"/>
          <w:sz w:val="27"/>
          <w:rtl/>
        </w:rPr>
        <w:t xml:space="preserve"> </w:t>
      </w:r>
      <w:r w:rsidRPr="00282AC9">
        <w:rPr>
          <w:rFonts w:asciiTheme="minorBidi" w:hAnsiTheme="minorBidi" w:hint="cs"/>
          <w:sz w:val="27"/>
          <w:rtl/>
        </w:rPr>
        <w:t>الإلحاد</w:t>
      </w:r>
      <w:r w:rsidRPr="00282AC9">
        <w:rPr>
          <w:rFonts w:asciiTheme="minorBidi" w:hAnsiTheme="minorBidi"/>
          <w:sz w:val="27"/>
          <w:rtl/>
        </w:rPr>
        <w:t xml:space="preserve"> </w:t>
      </w:r>
      <w:r w:rsidRPr="00282AC9">
        <w:rPr>
          <w:rFonts w:asciiTheme="minorBidi" w:hAnsiTheme="minorBidi" w:hint="cs"/>
          <w:sz w:val="27"/>
          <w:rtl/>
        </w:rPr>
        <w:t>بحق</w:t>
      </w:r>
      <w:r w:rsidR="000D420E"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محم</w:t>
      </w:r>
      <w:r w:rsidR="000D420E" w:rsidRPr="00282AC9">
        <w:rPr>
          <w:rFonts w:asciiTheme="minorBidi" w:hAnsiTheme="minorBidi" w:hint="cs"/>
          <w:sz w:val="27"/>
          <w:rtl/>
        </w:rPr>
        <w:t>ّ</w:t>
      </w:r>
      <w:r w:rsidRPr="00282AC9">
        <w:rPr>
          <w:rFonts w:asciiTheme="minorBidi" w:hAnsiTheme="minorBidi" w:hint="cs"/>
          <w:sz w:val="27"/>
          <w:rtl/>
        </w:rPr>
        <w:t>دٍ</w:t>
      </w:r>
      <w:r w:rsidRPr="00282AC9">
        <w:rPr>
          <w:rFonts w:asciiTheme="minorBidi" w:hAnsiTheme="minorBidi"/>
          <w:sz w:val="27"/>
          <w:rtl/>
        </w:rPr>
        <w:t xml:space="preserve"> </w:t>
      </w:r>
      <w:r w:rsidRPr="00282AC9">
        <w:rPr>
          <w:rFonts w:asciiTheme="minorBidi" w:hAnsiTheme="minorBidi" w:hint="cs"/>
          <w:sz w:val="27"/>
          <w:rtl/>
        </w:rPr>
        <w:t>وآل</w:t>
      </w:r>
      <w:r w:rsidRPr="00282AC9">
        <w:rPr>
          <w:rFonts w:asciiTheme="minorBidi" w:hAnsiTheme="minorBidi"/>
          <w:sz w:val="27"/>
          <w:rtl/>
        </w:rPr>
        <w:t xml:space="preserve"> </w:t>
      </w:r>
      <w:r w:rsidRPr="00282AC9">
        <w:rPr>
          <w:rFonts w:asciiTheme="minorBidi" w:hAnsiTheme="minorBidi" w:hint="cs"/>
          <w:sz w:val="27"/>
          <w:rtl/>
        </w:rPr>
        <w:t>محمد</w:t>
      </w:r>
      <w:r w:rsidR="00876ECA" w:rsidRPr="00282AC9">
        <w:rPr>
          <w:rFonts w:cs="Mosawi" w:hint="cs"/>
          <w:sz w:val="22"/>
          <w:szCs w:val="22"/>
          <w:rtl/>
        </w:rPr>
        <w:t>^</w:t>
      </w:r>
      <w:r w:rsidRPr="00282AC9">
        <w:rPr>
          <w:rFonts w:asciiTheme="minorBidi" w:hAnsiTheme="minorBidi"/>
          <w:sz w:val="27"/>
          <w:rtl/>
        </w:rPr>
        <w:t>.</w:t>
      </w:r>
      <w:r w:rsidRPr="00282AC9">
        <w:rPr>
          <w:rFonts w:asciiTheme="minorBidi" w:hAnsiTheme="minorBidi" w:hint="cs"/>
          <w:sz w:val="27"/>
          <w:rtl/>
        </w:rPr>
        <w:t xml:space="preserve"> </w:t>
      </w:r>
    </w:p>
    <w:p w:rsidR="00965E08" w:rsidRPr="00282AC9" w:rsidRDefault="00965E08" w:rsidP="003062B7">
      <w:pPr>
        <w:pStyle w:val="afe"/>
        <w:spacing w:after="0" w:line="400" w:lineRule="exact"/>
        <w:ind w:left="0" w:firstLine="567"/>
        <w:jc w:val="both"/>
        <w:rPr>
          <w:rFonts w:asciiTheme="minorBidi" w:eastAsia="MS Gothic" w:hAnsiTheme="minorBidi" w:cs="AL-Mohanad"/>
          <w:sz w:val="27"/>
          <w:szCs w:val="27"/>
          <w:rtl/>
        </w:rPr>
      </w:pPr>
      <w:r w:rsidRPr="00282AC9">
        <w:rPr>
          <w:rFonts w:asciiTheme="minorBidi" w:eastAsia="MS Gothic" w:hAnsiTheme="minorBidi" w:cs="AL-Mohanad" w:hint="cs"/>
          <w:sz w:val="27"/>
          <w:szCs w:val="27"/>
          <w:rtl/>
        </w:rPr>
        <w:t>2ـ عن أمير</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المؤمنين</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علي</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بن</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أبي</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طالب</w:t>
      </w:r>
      <w:r w:rsidR="009A2A04" w:rsidRPr="00282AC9">
        <w:rPr>
          <w:rFonts w:asciiTheme="minorBidi" w:eastAsia="MS Gothic" w:hAnsiTheme="minorBidi" w:cs="Mosawi"/>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أنه</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قال</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يوما</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لحذيفة</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بن</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اليمان</w:t>
      </w:r>
      <w:r w:rsidRPr="00282AC9">
        <w:rPr>
          <w:rFonts w:asciiTheme="minorBidi" w:eastAsia="MS Gothic" w:hAnsiTheme="minorBidi" w:cs="AL-Mohanad"/>
          <w:sz w:val="27"/>
          <w:szCs w:val="27"/>
          <w:rtl/>
        </w:rPr>
        <w:t>:</w:t>
      </w:r>
      <w:r w:rsidRPr="00282AC9">
        <w:rPr>
          <w:rFonts w:asciiTheme="minorBidi" w:eastAsia="MS Gothic" w:hAnsiTheme="minorBidi" w:cs="AL-Mohanad" w:hint="cs"/>
          <w:sz w:val="27"/>
          <w:szCs w:val="27"/>
          <w:rtl/>
        </w:rPr>
        <w:t xml:space="preserve"> </w:t>
      </w:r>
      <w:r w:rsidRPr="00282AC9">
        <w:rPr>
          <w:rFonts w:cs="AL-Mohanad" w:hint="eastAsia"/>
          <w:sz w:val="24"/>
          <w:szCs w:val="24"/>
          <w:rtl/>
        </w:rPr>
        <w:t>«</w:t>
      </w:r>
      <w:r w:rsidRPr="00282AC9">
        <w:rPr>
          <w:rFonts w:asciiTheme="minorBidi" w:eastAsia="MS Gothic" w:hAnsiTheme="minorBidi" w:cs="AL-Mohanad" w:hint="cs"/>
          <w:sz w:val="27"/>
          <w:szCs w:val="27"/>
          <w:rtl/>
        </w:rPr>
        <w:t>يا</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حذيفة...</w:t>
      </w:r>
      <w:r w:rsidR="000D420E" w:rsidRPr="00282AC9">
        <w:rPr>
          <w:rFonts w:cs="AL-Mohanad" w:hint="cs"/>
          <w:sz w:val="27"/>
          <w:szCs w:val="27"/>
          <w:rtl/>
        </w:rPr>
        <w:t>،</w:t>
      </w:r>
      <w:r w:rsidRPr="00282AC9">
        <w:rPr>
          <w:rFonts w:cs="AL-Mohanad"/>
          <w:sz w:val="27"/>
          <w:szCs w:val="27"/>
          <w:rtl/>
        </w:rPr>
        <w:t xml:space="preserve"> </w:t>
      </w:r>
      <w:r w:rsidRPr="00282AC9">
        <w:rPr>
          <w:rFonts w:asciiTheme="minorBidi" w:eastAsia="MS Gothic" w:hAnsiTheme="minorBidi" w:cs="AL-Mohanad" w:hint="cs"/>
          <w:sz w:val="27"/>
          <w:szCs w:val="27"/>
          <w:rtl/>
        </w:rPr>
        <w:t>فوالذي</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نفس</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علي</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بيده</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لا</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تزال</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هذه</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الأم</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ة</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بعد</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قتل</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الحسين</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ابني</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في</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ضلال</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 xml:space="preserve"> وظلمة</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وعسف</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وج</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و</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ر</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واختلاف</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في</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الدين</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وتغيير</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وتبديل</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لما</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أنزل</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الله</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في</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كتابه</w:t>
      </w:r>
      <w:r w:rsidRPr="00282AC9">
        <w:rPr>
          <w:rFonts w:asciiTheme="minorBidi" w:eastAsia="MS Gothic" w:hAnsiTheme="minorBidi" w:cs="AL-Mohanad"/>
          <w:sz w:val="27"/>
          <w:szCs w:val="27"/>
          <w:rtl/>
        </w:rPr>
        <w:t>،</w:t>
      </w:r>
      <w:r w:rsidRPr="00282AC9">
        <w:rPr>
          <w:rFonts w:asciiTheme="minorBidi" w:eastAsia="MS Gothic" w:hAnsiTheme="minorBidi" w:cs="AL-Mohanad" w:hint="cs"/>
          <w:sz w:val="27"/>
          <w:szCs w:val="27"/>
          <w:rtl/>
        </w:rPr>
        <w:t xml:space="preserve"> وإظهار</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الب</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د</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ع</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وإبطال</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الس</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ن</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ن</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واختلال</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وقياس</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مشتبهات</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وترك</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محكمات</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حتى تنسلخ</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من</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الإسلام</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وتدخل</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في</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العمى</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والتلد</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د</w:t>
      </w:r>
      <w:r w:rsidRPr="00282AC9">
        <w:rPr>
          <w:rFonts w:asciiTheme="minorBidi" w:eastAsia="MS Gothic" w:hAnsiTheme="minorBidi" w:cs="AL-Mohanad"/>
          <w:sz w:val="27"/>
          <w:szCs w:val="27"/>
          <w:rtl/>
        </w:rPr>
        <w:t xml:space="preserve"> </w:t>
      </w:r>
      <w:r w:rsidRPr="00282AC9">
        <w:rPr>
          <w:rFonts w:asciiTheme="minorBidi" w:eastAsia="MS Gothic" w:hAnsiTheme="minorBidi" w:cs="AL-Mohanad" w:hint="cs"/>
          <w:sz w:val="27"/>
          <w:szCs w:val="27"/>
          <w:rtl/>
        </w:rPr>
        <w:t>والتسك</w:t>
      </w:r>
      <w:r w:rsidR="000D420E" w:rsidRPr="00282AC9">
        <w:rPr>
          <w:rFonts w:asciiTheme="minorBidi" w:eastAsia="MS Gothic" w:hAnsiTheme="minorBidi" w:cs="AL-Mohanad" w:hint="cs"/>
          <w:sz w:val="27"/>
          <w:szCs w:val="27"/>
          <w:rtl/>
        </w:rPr>
        <w:t>ُّ</w:t>
      </w:r>
      <w:r w:rsidRPr="00282AC9">
        <w:rPr>
          <w:rFonts w:asciiTheme="minorBidi" w:eastAsia="MS Gothic" w:hAnsiTheme="minorBidi" w:cs="AL-Mohanad" w:hint="cs"/>
          <w:sz w:val="27"/>
          <w:szCs w:val="27"/>
          <w:rtl/>
        </w:rPr>
        <w:t>ع...</w:t>
      </w:r>
      <w:r w:rsidRPr="00282AC9">
        <w:rPr>
          <w:rFonts w:cs="AL-Mohanad" w:hint="eastAsia"/>
          <w:sz w:val="24"/>
          <w:szCs w:val="24"/>
          <w:rtl/>
        </w:rPr>
        <w:t>»</w:t>
      </w:r>
      <w:r w:rsidRPr="00282AC9">
        <w:rPr>
          <w:rFonts w:asciiTheme="minorBidi" w:eastAsia="MS Gothic" w:hAnsiTheme="minorBidi" w:cs="AL-Mohanad"/>
          <w:sz w:val="27"/>
          <w:szCs w:val="27"/>
          <w:vertAlign w:val="superscript"/>
          <w:rtl/>
        </w:rPr>
        <w:t>(</w:t>
      </w:r>
      <w:r w:rsidRPr="00282AC9">
        <w:rPr>
          <w:rStyle w:val="af9"/>
          <w:rFonts w:asciiTheme="minorBidi" w:eastAsia="MS Gothic" w:hAnsiTheme="minorBidi" w:cs="AL-Mohanad"/>
          <w:sz w:val="27"/>
          <w:szCs w:val="27"/>
          <w:rtl/>
        </w:rPr>
        <w:endnoteReference w:id="770"/>
      </w:r>
      <w:r w:rsidRPr="00282AC9">
        <w:rPr>
          <w:rFonts w:asciiTheme="minorBidi" w:eastAsia="MS Gothic" w:hAnsiTheme="minorBidi" w:cs="AL-Mohanad"/>
          <w:sz w:val="27"/>
          <w:szCs w:val="27"/>
          <w:vertAlign w:val="superscript"/>
          <w:rtl/>
        </w:rPr>
        <w:t>)</w:t>
      </w:r>
      <w:r w:rsidRPr="00282AC9">
        <w:rPr>
          <w:rFonts w:asciiTheme="minorBidi" w:eastAsia="MS Gothic" w:hAnsiTheme="minorBidi" w:cs="AL-Mohanad" w:hint="cs"/>
          <w:sz w:val="27"/>
          <w:szCs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فهذا</w:t>
      </w:r>
      <w:r w:rsidRPr="00282AC9">
        <w:rPr>
          <w:rFonts w:asciiTheme="minorBidi" w:hAnsiTheme="minorBidi"/>
          <w:sz w:val="27"/>
          <w:rtl/>
        </w:rPr>
        <w:t xml:space="preserve"> </w:t>
      </w:r>
      <w:r w:rsidRPr="00282AC9">
        <w:rPr>
          <w:rFonts w:asciiTheme="minorBidi" w:hAnsiTheme="minorBidi" w:hint="cs"/>
          <w:sz w:val="27"/>
          <w:rtl/>
        </w:rPr>
        <w:t>هو</w:t>
      </w:r>
      <w:r w:rsidRPr="00282AC9">
        <w:rPr>
          <w:rFonts w:asciiTheme="minorBidi" w:hAnsiTheme="minorBidi"/>
          <w:sz w:val="27"/>
          <w:rtl/>
        </w:rPr>
        <w:t xml:space="preserve"> </w:t>
      </w:r>
      <w:r w:rsidRPr="00282AC9">
        <w:rPr>
          <w:rFonts w:asciiTheme="minorBidi" w:hAnsiTheme="minorBidi" w:hint="cs"/>
          <w:sz w:val="27"/>
          <w:rtl/>
        </w:rPr>
        <w:t>حال</w:t>
      </w:r>
      <w:r w:rsidRPr="00282AC9">
        <w:rPr>
          <w:rFonts w:asciiTheme="minorBidi" w:hAnsiTheme="minorBidi"/>
          <w:sz w:val="27"/>
          <w:rtl/>
        </w:rPr>
        <w:t xml:space="preserve"> </w:t>
      </w:r>
      <w:r w:rsidRPr="00282AC9">
        <w:rPr>
          <w:rFonts w:asciiTheme="minorBidi" w:hAnsiTheme="minorBidi" w:hint="cs"/>
          <w:sz w:val="27"/>
          <w:rtl/>
        </w:rPr>
        <w:t>الأم</w:t>
      </w:r>
      <w:r w:rsidR="000D420E" w:rsidRPr="00282AC9">
        <w:rPr>
          <w:rFonts w:asciiTheme="minorBidi" w:hAnsiTheme="minorBidi" w:hint="cs"/>
          <w:sz w:val="27"/>
          <w:rtl/>
        </w:rPr>
        <w:t>ّ</w:t>
      </w:r>
      <w:r w:rsidRPr="00282AC9">
        <w:rPr>
          <w:rFonts w:asciiTheme="minorBidi" w:hAnsiTheme="minorBidi" w:hint="cs"/>
          <w:sz w:val="27"/>
          <w:rtl/>
        </w:rPr>
        <w:t>ة</w:t>
      </w:r>
      <w:r w:rsidRPr="00282AC9">
        <w:rPr>
          <w:rFonts w:asciiTheme="minorBidi" w:hAnsiTheme="minorBidi"/>
          <w:sz w:val="27"/>
          <w:rtl/>
        </w:rPr>
        <w:t xml:space="preserve"> </w:t>
      </w:r>
      <w:r w:rsidRPr="00282AC9">
        <w:rPr>
          <w:rFonts w:asciiTheme="minorBidi" w:hAnsiTheme="minorBidi" w:hint="cs"/>
          <w:sz w:val="27"/>
          <w:rtl/>
        </w:rPr>
        <w:t>بعد</w:t>
      </w:r>
      <w:r w:rsidRPr="00282AC9">
        <w:rPr>
          <w:rFonts w:asciiTheme="minorBidi" w:hAnsiTheme="minorBidi"/>
          <w:sz w:val="27"/>
          <w:rtl/>
        </w:rPr>
        <w:t xml:space="preserve"> </w:t>
      </w:r>
      <w:r w:rsidRPr="00282AC9">
        <w:rPr>
          <w:rFonts w:asciiTheme="minorBidi" w:hAnsiTheme="minorBidi" w:hint="cs"/>
          <w:sz w:val="27"/>
          <w:rtl/>
        </w:rPr>
        <w:t>استشهاد</w:t>
      </w:r>
      <w:r w:rsidRPr="00282AC9">
        <w:rPr>
          <w:rFonts w:asciiTheme="minorBidi" w:hAnsiTheme="minorBidi"/>
          <w:sz w:val="27"/>
          <w:rtl/>
        </w:rPr>
        <w:t xml:space="preserve"> </w:t>
      </w:r>
      <w:r w:rsidRPr="00282AC9">
        <w:rPr>
          <w:rFonts w:asciiTheme="minorBidi" w:hAnsiTheme="minorBidi" w:hint="cs"/>
          <w:sz w:val="27"/>
          <w:rtl/>
        </w:rPr>
        <w:t>الامام</w:t>
      </w:r>
      <w:r w:rsidRPr="00282AC9">
        <w:rPr>
          <w:rFonts w:asciiTheme="minorBidi" w:hAnsiTheme="minorBidi"/>
          <w:sz w:val="27"/>
          <w:rtl/>
        </w:rPr>
        <w:t xml:space="preserve"> </w:t>
      </w:r>
      <w:r w:rsidRPr="00282AC9">
        <w:rPr>
          <w:rFonts w:asciiTheme="minorBidi" w:hAnsiTheme="minorBidi" w:hint="cs"/>
          <w:sz w:val="27"/>
          <w:rtl/>
        </w:rPr>
        <w:t>الحسين</w:t>
      </w:r>
      <w:r w:rsidR="009A2A04" w:rsidRPr="00282AC9">
        <w:rPr>
          <w:rFonts w:asciiTheme="minorBidi" w:hAnsiTheme="minorBidi" w:cs="Mosawi"/>
          <w:sz w:val="22"/>
          <w:szCs w:val="22"/>
          <w:rtl/>
        </w:rPr>
        <w:t>×</w:t>
      </w:r>
      <w:r w:rsidR="000D420E" w:rsidRPr="00282AC9">
        <w:rPr>
          <w:rFonts w:asciiTheme="minorBidi" w:hAnsiTheme="minorBidi" w:hint="cs"/>
          <w:sz w:val="27"/>
          <w:rtl/>
        </w:rPr>
        <w:t xml:space="preserve">، </w:t>
      </w:r>
      <w:r w:rsidRPr="00282AC9">
        <w:rPr>
          <w:rFonts w:asciiTheme="minorBidi" w:hAnsiTheme="minorBidi" w:hint="cs"/>
          <w:sz w:val="27"/>
          <w:rtl/>
        </w:rPr>
        <w:t>بح</w:t>
      </w:r>
      <w:r w:rsidR="000D420E" w:rsidRPr="00282AC9">
        <w:rPr>
          <w:rFonts w:asciiTheme="minorBidi" w:hAnsiTheme="minorBidi" w:hint="cs"/>
          <w:sz w:val="27"/>
          <w:rtl/>
        </w:rPr>
        <w:t>َ</w:t>
      </w:r>
      <w:r w:rsidRPr="00282AC9">
        <w:rPr>
          <w:rFonts w:asciiTheme="minorBidi" w:hAnsiTheme="minorBidi" w:hint="cs"/>
          <w:sz w:val="27"/>
          <w:rtl/>
        </w:rPr>
        <w:t>س</w:t>
      </w:r>
      <w:r w:rsidR="000D420E" w:rsidRPr="00282AC9">
        <w:rPr>
          <w:rFonts w:asciiTheme="minorBidi" w:hAnsiTheme="minorBidi" w:hint="cs"/>
          <w:sz w:val="27"/>
          <w:rtl/>
        </w:rPr>
        <w:t>َ</w:t>
      </w:r>
      <w:r w:rsidRPr="00282AC9">
        <w:rPr>
          <w:rFonts w:asciiTheme="minorBidi" w:hAnsiTheme="minorBidi" w:hint="cs"/>
          <w:sz w:val="27"/>
          <w:rtl/>
        </w:rPr>
        <w:t>ب</w:t>
      </w:r>
      <w:r w:rsidRPr="00282AC9">
        <w:rPr>
          <w:rFonts w:asciiTheme="minorBidi" w:hAnsiTheme="minorBidi"/>
          <w:sz w:val="27"/>
          <w:rtl/>
        </w:rPr>
        <w:t xml:space="preserve"> </w:t>
      </w:r>
      <w:r w:rsidRPr="00282AC9">
        <w:rPr>
          <w:rFonts w:asciiTheme="minorBidi" w:hAnsiTheme="minorBidi" w:hint="cs"/>
          <w:sz w:val="27"/>
          <w:rtl/>
        </w:rPr>
        <w:t>أمير</w:t>
      </w:r>
      <w:r w:rsidRPr="00282AC9">
        <w:rPr>
          <w:rFonts w:asciiTheme="minorBidi" w:hAnsiTheme="minorBidi"/>
          <w:sz w:val="27"/>
          <w:rtl/>
        </w:rPr>
        <w:t xml:space="preserve"> </w:t>
      </w:r>
      <w:r w:rsidRPr="00282AC9">
        <w:rPr>
          <w:rFonts w:asciiTheme="minorBidi" w:hAnsiTheme="minorBidi" w:hint="cs"/>
          <w:sz w:val="27"/>
          <w:rtl/>
        </w:rPr>
        <w:t>المؤمنين</w:t>
      </w:r>
      <w:r w:rsidR="009A2A04" w:rsidRPr="00282AC9">
        <w:rPr>
          <w:rFonts w:asciiTheme="minorBidi" w:hAnsiTheme="minorBidi" w:cs="Mosawi"/>
          <w:sz w:val="22"/>
          <w:szCs w:val="22"/>
          <w:rtl/>
        </w:rPr>
        <w:t>×</w:t>
      </w:r>
      <w:r w:rsidRPr="00282AC9">
        <w:rPr>
          <w:rFonts w:asciiTheme="minorBidi" w:hAnsiTheme="minorBidi" w:hint="cs"/>
          <w:sz w:val="27"/>
          <w:rtl/>
        </w:rPr>
        <w:t>.</w:t>
      </w:r>
    </w:p>
    <w:p w:rsidR="00965E08" w:rsidRPr="00282AC9" w:rsidRDefault="00965E08" w:rsidP="003062B7">
      <w:pPr>
        <w:pStyle w:val="afe"/>
        <w:spacing w:after="0" w:line="400" w:lineRule="exact"/>
        <w:ind w:left="0" w:firstLine="567"/>
        <w:jc w:val="both"/>
        <w:rPr>
          <w:rFonts w:asciiTheme="minorBidi" w:hAnsiTheme="minorBidi" w:cs="AL-Mohanad"/>
          <w:sz w:val="27"/>
          <w:szCs w:val="27"/>
        </w:rPr>
      </w:pPr>
      <w:r w:rsidRPr="00282AC9">
        <w:rPr>
          <w:rFonts w:asciiTheme="minorBidi" w:hAnsiTheme="minorBidi" w:cs="AL-Mohanad" w:hint="cs"/>
          <w:sz w:val="27"/>
          <w:szCs w:val="27"/>
          <w:rtl/>
        </w:rPr>
        <w:t>3ـ عن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رزين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قال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قال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أبو</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عبد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009A2A04" w:rsidRPr="00282AC9">
        <w:rPr>
          <w:rFonts w:asciiTheme="minorBidi" w:hAnsiTheme="minorBidi" w:cs="Mosawi"/>
          <w:rtl/>
        </w:rPr>
        <w:t>×</w:t>
      </w:r>
      <w:r w:rsidRPr="00282AC9">
        <w:rPr>
          <w:rFonts w:asciiTheme="minorBidi" w:hAnsiTheme="minorBidi" w:cs="AL-Mohanad"/>
          <w:sz w:val="27"/>
          <w:szCs w:val="27"/>
          <w:rtl/>
        </w:rPr>
        <w:t xml:space="preserve">: </w:t>
      </w:r>
      <w:r w:rsidRPr="00282AC9">
        <w:rPr>
          <w:rFonts w:cs="AL-Mohanad" w:hint="eastAsia"/>
          <w:sz w:val="24"/>
          <w:szCs w:val="24"/>
          <w:rtl/>
        </w:rPr>
        <w:t>«</w:t>
      </w:r>
      <w:r w:rsidRPr="00282AC9">
        <w:rPr>
          <w:rFonts w:asciiTheme="minorBidi" w:hAnsiTheme="minorBidi" w:cs="AL-Mohanad" w:hint="cs"/>
          <w:sz w:val="27"/>
          <w:szCs w:val="27"/>
          <w:rtl/>
        </w:rPr>
        <w:t>لم</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ض</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رب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الحسين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علي</w:t>
      </w:r>
      <w:r w:rsidR="0086500A" w:rsidRPr="00282AC9">
        <w:rPr>
          <w:rFonts w:asciiTheme="minorBidi" w:hAnsiTheme="minorBidi" w:cs="AL-Mohanad" w:hint="cs"/>
          <w:sz w:val="27"/>
          <w:szCs w:val="27"/>
          <w:rtl/>
        </w:rPr>
        <w:t>ّ</w:t>
      </w:r>
      <w:r w:rsidR="009A2A04" w:rsidRPr="00282AC9">
        <w:rPr>
          <w:rFonts w:asciiTheme="minorBidi" w:hAnsiTheme="minorBidi" w:cs="Mosawi"/>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بالسيف</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فسقط</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رأسه</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 xml:space="preserve"> ثم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ابتدر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ليقطع</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رأسه</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نادى</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مناد</w:t>
      </w:r>
      <w:r w:rsidR="0086500A" w:rsidRPr="00282AC9">
        <w:rPr>
          <w:rFonts w:asciiTheme="minorBidi" w:hAnsiTheme="minorBidi" w:cs="AL-Mohanad" w:hint="cs"/>
          <w:sz w:val="27"/>
          <w:szCs w:val="27"/>
          <w:rtl/>
        </w:rPr>
        <w:t xml:space="preserve">ٍ </w:t>
      </w:r>
      <w:r w:rsidRPr="00282AC9">
        <w:rPr>
          <w:rFonts w:asciiTheme="minorBidi" w:hAnsiTheme="minorBidi" w:cs="AL-Mohanad" w:hint="cs"/>
          <w:sz w:val="27"/>
          <w:szCs w:val="27"/>
          <w:rtl/>
        </w:rPr>
        <w:t>من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بطنان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العرش</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ألا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أيتها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الأم</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المتحي</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رة</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الضال</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بعد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نبي</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ها</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وف</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قكم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w:t>
      </w:r>
      <w:r w:rsidR="0086500A" w:rsidRPr="00282AC9">
        <w:rPr>
          <w:rFonts w:asciiTheme="minorBidi" w:hAnsiTheme="minorBidi" w:cs="AL-Mohanad" w:hint="cs"/>
          <w:sz w:val="27"/>
          <w:szCs w:val="27"/>
          <w:rtl/>
        </w:rPr>
        <w:t>أ</w:t>
      </w:r>
      <w:r w:rsidRPr="00282AC9">
        <w:rPr>
          <w:rFonts w:asciiTheme="minorBidi" w:hAnsiTheme="minorBidi" w:cs="AL-Mohanad" w:hint="cs"/>
          <w:sz w:val="27"/>
          <w:szCs w:val="27"/>
          <w:rtl/>
        </w:rPr>
        <w:t>ضحى</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ولا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لفطر</w:t>
      </w:r>
      <w:r w:rsidR="0086500A" w:rsidRPr="00282AC9">
        <w:rPr>
          <w:rFonts w:asciiTheme="minorBidi" w:hAnsiTheme="minorBidi" w:cs="AL-Mohanad" w:hint="cs"/>
          <w:sz w:val="27"/>
          <w:szCs w:val="27"/>
          <w:rtl/>
        </w:rPr>
        <w:t>ٍ</w:t>
      </w:r>
      <w:r w:rsidRPr="00282AC9">
        <w:rPr>
          <w:rFonts w:cs="AL-Mohanad" w:hint="eastAsia"/>
          <w:sz w:val="24"/>
          <w:szCs w:val="24"/>
          <w:rtl/>
        </w:rPr>
        <w:t>»</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قال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ثم</w:t>
      </w:r>
      <w:r w:rsidRPr="00282AC9">
        <w:rPr>
          <w:rFonts w:asciiTheme="minorBidi" w:hAnsiTheme="minorBidi" w:cs="AL-Mohanad"/>
          <w:sz w:val="27"/>
          <w:szCs w:val="27"/>
          <w:rtl/>
        </w:rPr>
        <w:t xml:space="preserve"> </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قال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أبو</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عبد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009A2A04" w:rsidRPr="00282AC9">
        <w:rPr>
          <w:rFonts w:asciiTheme="minorBidi" w:hAnsiTheme="minorBidi" w:cs="Mosawi"/>
          <w:rtl/>
        </w:rPr>
        <w:t>×</w:t>
      </w:r>
      <w:r w:rsidRPr="00282AC9">
        <w:rPr>
          <w:rFonts w:asciiTheme="minorBidi" w:hAnsiTheme="minorBidi" w:cs="AL-Mohanad"/>
          <w:sz w:val="27"/>
          <w:szCs w:val="27"/>
          <w:rtl/>
        </w:rPr>
        <w:t xml:space="preserve">: </w:t>
      </w:r>
      <w:r w:rsidRPr="00282AC9">
        <w:rPr>
          <w:rFonts w:cs="AL-Mohanad" w:hint="eastAsia"/>
          <w:sz w:val="24"/>
          <w:szCs w:val="24"/>
          <w:rtl/>
        </w:rPr>
        <w:t>«</w:t>
      </w:r>
      <w:r w:rsidRPr="00282AC9">
        <w:rPr>
          <w:rFonts w:asciiTheme="minorBidi" w:hAnsiTheme="minorBidi" w:cs="AL-Mohanad" w:hint="cs"/>
          <w:sz w:val="27"/>
          <w:szCs w:val="27"/>
          <w:rtl/>
        </w:rPr>
        <w:t>فلا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ج</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ر</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م</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 xml:space="preserve"> والله</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ف</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قوا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ولا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يوف</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قون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حت</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ى</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يثأر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ثائر</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الحسين</w:t>
      </w:r>
      <w:r w:rsidR="009A2A04" w:rsidRPr="00282AC9">
        <w:rPr>
          <w:rFonts w:asciiTheme="minorBidi" w:hAnsiTheme="minorBidi" w:cs="Mosawi"/>
          <w:rtl/>
        </w:rPr>
        <w:t>×</w:t>
      </w:r>
      <w:r w:rsidRPr="00282AC9">
        <w:rPr>
          <w:rFonts w:cs="AL-Mohanad" w:hint="eastAsia"/>
          <w:sz w:val="24"/>
          <w:szCs w:val="24"/>
          <w:rtl/>
        </w:rPr>
        <w:t>»</w:t>
      </w:r>
      <w:r w:rsidRPr="00282AC9">
        <w:rPr>
          <w:rFonts w:asciiTheme="minorBidi" w:hAnsiTheme="minorBidi" w:cs="AL-Mohanad"/>
          <w:sz w:val="27"/>
          <w:szCs w:val="27"/>
          <w:vertAlign w:val="superscript"/>
          <w:rtl/>
        </w:rPr>
        <w:t>(</w:t>
      </w:r>
      <w:r w:rsidRPr="00282AC9">
        <w:rPr>
          <w:rStyle w:val="af9"/>
          <w:rFonts w:asciiTheme="minorBidi" w:hAnsiTheme="minorBidi" w:cs="AL-Mohanad"/>
          <w:sz w:val="27"/>
          <w:szCs w:val="27"/>
          <w:rtl/>
        </w:rPr>
        <w:endnoteReference w:id="771"/>
      </w:r>
      <w:r w:rsidRPr="00282AC9">
        <w:rPr>
          <w:rFonts w:asciiTheme="minorBidi" w:hAnsiTheme="minorBidi" w:cs="AL-Mohanad"/>
          <w:sz w:val="27"/>
          <w:szCs w:val="27"/>
          <w:vertAlign w:val="superscript"/>
          <w:rtl/>
        </w:rPr>
        <w:t>)</w:t>
      </w:r>
      <w:r w:rsidRPr="00282AC9">
        <w:rPr>
          <w:rFonts w:asciiTheme="minorBidi" w:hAnsiTheme="minorBidi" w:cs="AL-Mohanad"/>
          <w:sz w:val="27"/>
          <w:szCs w:val="27"/>
          <w:rtl/>
        </w:rPr>
        <w:t>.</w:t>
      </w:r>
    </w:p>
    <w:p w:rsidR="00965E08" w:rsidRPr="00282AC9" w:rsidRDefault="0086500A" w:rsidP="003062B7">
      <w:pPr>
        <w:rPr>
          <w:rFonts w:asciiTheme="minorBidi" w:hAnsiTheme="minorBidi"/>
          <w:sz w:val="27"/>
        </w:rPr>
      </w:pPr>
      <w:r w:rsidRPr="00282AC9">
        <w:rPr>
          <w:rFonts w:asciiTheme="minorBidi" w:hAnsiTheme="minorBidi" w:hint="cs"/>
          <w:sz w:val="27"/>
          <w:rtl/>
        </w:rPr>
        <w:t>والإمام</w:t>
      </w:r>
      <w:r w:rsidR="009A2A04" w:rsidRPr="00282AC9">
        <w:rPr>
          <w:rFonts w:asciiTheme="minorBidi" w:hAnsiTheme="minorBidi" w:cs="Mosawi" w:hint="cs"/>
          <w:sz w:val="22"/>
          <w:szCs w:val="22"/>
          <w:rtl/>
        </w:rPr>
        <w:t>×</w:t>
      </w:r>
      <w:r w:rsidRPr="00282AC9">
        <w:rPr>
          <w:rFonts w:asciiTheme="minorBidi" w:hAnsiTheme="minorBidi" w:hint="cs"/>
          <w:sz w:val="27"/>
          <w:rtl/>
        </w:rPr>
        <w:t xml:space="preserve"> ب</w:t>
      </w:r>
      <w:r w:rsidR="00965E08" w:rsidRPr="00282AC9">
        <w:rPr>
          <w:rFonts w:asciiTheme="minorBidi" w:hAnsiTheme="minorBidi" w:hint="cs"/>
          <w:sz w:val="27"/>
          <w:rtl/>
        </w:rPr>
        <w:t>قول</w:t>
      </w:r>
      <w:r w:rsidRPr="00282AC9">
        <w:rPr>
          <w:rFonts w:asciiTheme="minorBidi" w:hAnsiTheme="minorBidi" w:hint="cs"/>
          <w:sz w:val="27"/>
          <w:rtl/>
        </w:rPr>
        <w:t>ه</w:t>
      </w:r>
      <w:r w:rsidR="00965E08" w:rsidRPr="00282AC9">
        <w:rPr>
          <w:rFonts w:asciiTheme="minorBidi" w:hAnsiTheme="minorBidi"/>
          <w:sz w:val="27"/>
          <w:rtl/>
        </w:rPr>
        <w:t xml:space="preserve">: </w:t>
      </w:r>
      <w:r w:rsidR="00965E08" w:rsidRPr="00282AC9">
        <w:rPr>
          <w:rFonts w:hint="eastAsia"/>
          <w:sz w:val="24"/>
          <w:szCs w:val="24"/>
          <w:rtl/>
        </w:rPr>
        <w:t>«</w:t>
      </w:r>
      <w:r w:rsidR="00965E08" w:rsidRPr="00282AC9">
        <w:rPr>
          <w:rFonts w:asciiTheme="minorBidi" w:hAnsiTheme="minorBidi" w:hint="cs"/>
          <w:sz w:val="27"/>
          <w:rtl/>
        </w:rPr>
        <w:t>لما</w:t>
      </w:r>
      <w:r w:rsidR="00965E08" w:rsidRPr="00282AC9">
        <w:rPr>
          <w:rFonts w:asciiTheme="minorBidi" w:hAnsiTheme="minorBidi"/>
          <w:sz w:val="27"/>
          <w:rtl/>
        </w:rPr>
        <w:t xml:space="preserve"> </w:t>
      </w:r>
      <w:r w:rsidR="00965E08" w:rsidRPr="00282AC9">
        <w:rPr>
          <w:rFonts w:asciiTheme="minorBidi" w:hAnsiTheme="minorBidi" w:hint="cs"/>
          <w:sz w:val="27"/>
          <w:rtl/>
        </w:rPr>
        <w:t>ض</w:t>
      </w:r>
      <w:r w:rsidRPr="00282AC9">
        <w:rPr>
          <w:rFonts w:asciiTheme="minorBidi" w:hAnsiTheme="minorBidi" w:hint="cs"/>
          <w:sz w:val="27"/>
          <w:rtl/>
        </w:rPr>
        <w:t>ُ</w:t>
      </w:r>
      <w:r w:rsidR="00965E08" w:rsidRPr="00282AC9">
        <w:rPr>
          <w:rFonts w:asciiTheme="minorBidi" w:hAnsiTheme="minorBidi" w:hint="cs"/>
          <w:sz w:val="27"/>
          <w:rtl/>
        </w:rPr>
        <w:t>رب</w:t>
      </w:r>
      <w:r w:rsidR="00965E08" w:rsidRPr="00282AC9">
        <w:rPr>
          <w:rFonts w:asciiTheme="minorBidi" w:hAnsiTheme="minorBidi"/>
          <w:sz w:val="27"/>
          <w:rtl/>
        </w:rPr>
        <w:t xml:space="preserve"> </w:t>
      </w:r>
      <w:r w:rsidR="00965E08" w:rsidRPr="00282AC9">
        <w:rPr>
          <w:rFonts w:asciiTheme="minorBidi" w:hAnsiTheme="minorBidi" w:hint="cs"/>
          <w:sz w:val="27"/>
          <w:rtl/>
        </w:rPr>
        <w:t>الحسين</w:t>
      </w:r>
      <w:r w:rsidR="00965E08" w:rsidRPr="00282AC9">
        <w:rPr>
          <w:rFonts w:asciiTheme="minorBidi" w:hAnsiTheme="minorBidi"/>
          <w:sz w:val="27"/>
          <w:rtl/>
        </w:rPr>
        <w:t xml:space="preserve"> </w:t>
      </w:r>
      <w:r w:rsidR="00965E08" w:rsidRPr="00282AC9">
        <w:rPr>
          <w:rFonts w:asciiTheme="minorBidi" w:hAnsiTheme="minorBidi" w:hint="cs"/>
          <w:sz w:val="27"/>
          <w:rtl/>
        </w:rPr>
        <w:t>بن</w:t>
      </w:r>
      <w:r w:rsidR="00965E08" w:rsidRPr="00282AC9">
        <w:rPr>
          <w:rFonts w:asciiTheme="minorBidi" w:hAnsiTheme="minorBidi"/>
          <w:sz w:val="27"/>
          <w:rtl/>
        </w:rPr>
        <w:t xml:space="preserve"> </w:t>
      </w:r>
      <w:r w:rsidR="00965E08" w:rsidRPr="00282AC9">
        <w:rPr>
          <w:rFonts w:asciiTheme="minorBidi" w:hAnsiTheme="minorBidi" w:hint="cs"/>
          <w:sz w:val="27"/>
          <w:rtl/>
        </w:rPr>
        <w:t>علي</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بالسيف</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فسقط</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ثم</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ابتدر</w:t>
      </w:r>
      <w:r w:rsidR="00965E08" w:rsidRPr="00282AC9">
        <w:rPr>
          <w:rFonts w:asciiTheme="minorBidi" w:hAnsiTheme="minorBidi"/>
          <w:sz w:val="27"/>
          <w:rtl/>
        </w:rPr>
        <w:t xml:space="preserve"> </w:t>
      </w:r>
      <w:r w:rsidR="00965E08" w:rsidRPr="00282AC9">
        <w:rPr>
          <w:rFonts w:asciiTheme="minorBidi" w:hAnsiTheme="minorBidi" w:hint="cs"/>
          <w:sz w:val="27"/>
          <w:rtl/>
        </w:rPr>
        <w:t>ليقطع</w:t>
      </w:r>
      <w:r w:rsidR="00965E08" w:rsidRPr="00282AC9">
        <w:rPr>
          <w:rFonts w:asciiTheme="minorBidi" w:hAnsiTheme="minorBidi"/>
          <w:sz w:val="27"/>
          <w:rtl/>
        </w:rPr>
        <w:t xml:space="preserve"> </w:t>
      </w:r>
      <w:r w:rsidR="00965E08" w:rsidRPr="00282AC9">
        <w:rPr>
          <w:rFonts w:asciiTheme="minorBidi" w:hAnsiTheme="minorBidi" w:hint="cs"/>
          <w:sz w:val="27"/>
          <w:rtl/>
        </w:rPr>
        <w:t>رأسه</w:t>
      </w:r>
      <w:r w:rsidR="00965E08" w:rsidRPr="00282AC9">
        <w:rPr>
          <w:rFonts w:hint="eastAsia"/>
          <w:sz w:val="24"/>
          <w:szCs w:val="24"/>
          <w:rtl/>
        </w:rPr>
        <w:t>»</w:t>
      </w:r>
      <w:r w:rsidR="00965E08" w:rsidRPr="00282AC9">
        <w:rPr>
          <w:rFonts w:asciiTheme="minorBidi" w:hAnsiTheme="minorBidi"/>
          <w:sz w:val="27"/>
          <w:rtl/>
        </w:rPr>
        <w:t xml:space="preserve"> </w:t>
      </w:r>
      <w:r w:rsidR="00965E08" w:rsidRPr="00282AC9">
        <w:rPr>
          <w:rFonts w:asciiTheme="minorBidi" w:hAnsiTheme="minorBidi" w:hint="cs"/>
          <w:sz w:val="27"/>
          <w:rtl/>
        </w:rPr>
        <w:t>يتحد</w:t>
      </w:r>
      <w:r w:rsidRPr="00282AC9">
        <w:rPr>
          <w:rFonts w:asciiTheme="minorBidi" w:hAnsiTheme="minorBidi" w:hint="cs"/>
          <w:sz w:val="27"/>
          <w:rtl/>
        </w:rPr>
        <w:t>َّ</w:t>
      </w:r>
      <w:r w:rsidR="00965E08" w:rsidRPr="00282AC9">
        <w:rPr>
          <w:rFonts w:asciiTheme="minorBidi" w:hAnsiTheme="minorBidi" w:hint="cs"/>
          <w:sz w:val="27"/>
          <w:rtl/>
        </w:rPr>
        <w:t>ث</w:t>
      </w:r>
      <w:r w:rsidR="00965E08" w:rsidRPr="00282AC9">
        <w:rPr>
          <w:rFonts w:asciiTheme="minorBidi" w:hAnsiTheme="minorBidi"/>
          <w:sz w:val="27"/>
          <w:rtl/>
        </w:rPr>
        <w:t xml:space="preserve"> </w:t>
      </w:r>
      <w:r w:rsidR="00965E08" w:rsidRPr="00282AC9">
        <w:rPr>
          <w:rFonts w:asciiTheme="minorBidi" w:hAnsiTheme="minorBidi" w:hint="cs"/>
          <w:sz w:val="27"/>
          <w:rtl/>
        </w:rPr>
        <w:t>عن</w:t>
      </w:r>
      <w:r w:rsidR="00965E08" w:rsidRPr="00282AC9">
        <w:rPr>
          <w:rFonts w:asciiTheme="minorBidi" w:hAnsiTheme="minorBidi"/>
          <w:sz w:val="27"/>
          <w:rtl/>
        </w:rPr>
        <w:t xml:space="preserve"> </w:t>
      </w:r>
      <w:r w:rsidR="00965E08" w:rsidRPr="00282AC9">
        <w:rPr>
          <w:rFonts w:asciiTheme="minorBidi" w:hAnsiTheme="minorBidi" w:hint="cs"/>
          <w:sz w:val="27"/>
          <w:rtl/>
        </w:rPr>
        <w:t>هذه</w:t>
      </w:r>
      <w:r w:rsidR="00965E08" w:rsidRPr="00282AC9">
        <w:rPr>
          <w:rFonts w:asciiTheme="minorBidi" w:hAnsiTheme="minorBidi"/>
          <w:sz w:val="27"/>
          <w:rtl/>
        </w:rPr>
        <w:t xml:space="preserve"> </w:t>
      </w:r>
      <w:r w:rsidR="00965E08" w:rsidRPr="00282AC9">
        <w:rPr>
          <w:rFonts w:asciiTheme="minorBidi" w:hAnsiTheme="minorBidi" w:hint="cs"/>
          <w:sz w:val="27"/>
          <w:rtl/>
        </w:rPr>
        <w:t>الحادثة التي يرويها الطبري</w:t>
      </w:r>
      <w:r w:rsidR="00965E08" w:rsidRPr="00282AC9">
        <w:rPr>
          <w:rFonts w:asciiTheme="minorBidi" w:hAnsiTheme="minorBidi"/>
          <w:sz w:val="27"/>
          <w:rtl/>
        </w:rPr>
        <w:t xml:space="preserve">: </w:t>
      </w:r>
      <w:r w:rsidR="00965E08" w:rsidRPr="00282AC9">
        <w:rPr>
          <w:rFonts w:hint="eastAsia"/>
          <w:sz w:val="24"/>
          <w:szCs w:val="24"/>
          <w:rtl/>
        </w:rPr>
        <w:t>«</w:t>
      </w:r>
      <w:r w:rsidR="00965E08" w:rsidRPr="00282AC9">
        <w:rPr>
          <w:rFonts w:asciiTheme="minorBidi" w:hAnsiTheme="minorBidi" w:hint="cs"/>
          <w:sz w:val="27"/>
          <w:rtl/>
        </w:rPr>
        <w:t>وح</w:t>
      </w:r>
      <w:r w:rsidRPr="00282AC9">
        <w:rPr>
          <w:rFonts w:asciiTheme="minorBidi" w:hAnsiTheme="minorBidi" w:hint="cs"/>
          <w:sz w:val="27"/>
          <w:rtl/>
        </w:rPr>
        <w:t>َ</w:t>
      </w:r>
      <w:r w:rsidR="00965E08" w:rsidRPr="00282AC9">
        <w:rPr>
          <w:rFonts w:asciiTheme="minorBidi" w:hAnsiTheme="minorBidi" w:hint="cs"/>
          <w:sz w:val="27"/>
          <w:rtl/>
        </w:rPr>
        <w:t>م</w:t>
      </w:r>
      <w:r w:rsidRPr="00282AC9">
        <w:rPr>
          <w:rFonts w:asciiTheme="minorBidi" w:hAnsiTheme="minorBidi" w:hint="cs"/>
          <w:sz w:val="27"/>
          <w:rtl/>
        </w:rPr>
        <w:t>َ</w:t>
      </w:r>
      <w:r w:rsidR="00965E08" w:rsidRPr="00282AC9">
        <w:rPr>
          <w:rFonts w:asciiTheme="minorBidi" w:hAnsiTheme="minorBidi" w:hint="cs"/>
          <w:sz w:val="27"/>
          <w:rtl/>
        </w:rPr>
        <w:t>ل</w:t>
      </w:r>
      <w:r w:rsidR="00965E08" w:rsidRPr="00282AC9">
        <w:rPr>
          <w:rFonts w:asciiTheme="minorBidi" w:hAnsiTheme="minorBidi"/>
          <w:sz w:val="27"/>
          <w:rtl/>
        </w:rPr>
        <w:t xml:space="preserve"> </w:t>
      </w:r>
      <w:r w:rsidR="00965E08" w:rsidRPr="00282AC9">
        <w:rPr>
          <w:rFonts w:asciiTheme="minorBidi" w:hAnsiTheme="minorBidi" w:hint="cs"/>
          <w:sz w:val="27"/>
          <w:rtl/>
        </w:rPr>
        <w:t>عليه</w:t>
      </w:r>
      <w:r w:rsidR="00965E08" w:rsidRPr="00282AC9">
        <w:rPr>
          <w:rFonts w:asciiTheme="minorBidi" w:hAnsiTheme="minorBidi"/>
          <w:sz w:val="27"/>
          <w:rtl/>
        </w:rPr>
        <w:t xml:space="preserve"> </w:t>
      </w:r>
      <w:r w:rsidR="00965E08" w:rsidRPr="00282AC9">
        <w:rPr>
          <w:rFonts w:asciiTheme="minorBidi" w:hAnsiTheme="minorBidi" w:hint="cs"/>
          <w:sz w:val="27"/>
          <w:rtl/>
        </w:rPr>
        <w:t>في</w:t>
      </w:r>
      <w:r w:rsidR="00965E08" w:rsidRPr="00282AC9">
        <w:rPr>
          <w:rFonts w:asciiTheme="minorBidi" w:hAnsiTheme="minorBidi"/>
          <w:sz w:val="27"/>
          <w:rtl/>
        </w:rPr>
        <w:t xml:space="preserve"> </w:t>
      </w:r>
      <w:r w:rsidR="00965E08" w:rsidRPr="00282AC9">
        <w:rPr>
          <w:rFonts w:asciiTheme="minorBidi" w:hAnsiTheme="minorBidi" w:hint="cs"/>
          <w:sz w:val="27"/>
          <w:rtl/>
        </w:rPr>
        <w:t>تلك</w:t>
      </w:r>
      <w:r w:rsidR="00965E08" w:rsidRPr="00282AC9">
        <w:rPr>
          <w:rFonts w:asciiTheme="minorBidi" w:hAnsiTheme="minorBidi"/>
          <w:sz w:val="27"/>
          <w:rtl/>
        </w:rPr>
        <w:t xml:space="preserve"> </w:t>
      </w:r>
      <w:r w:rsidR="00965E08" w:rsidRPr="00282AC9">
        <w:rPr>
          <w:rFonts w:asciiTheme="minorBidi" w:hAnsiTheme="minorBidi" w:hint="cs"/>
          <w:sz w:val="27"/>
          <w:rtl/>
        </w:rPr>
        <w:t>الحال</w:t>
      </w:r>
      <w:r w:rsidR="00965E08" w:rsidRPr="00282AC9">
        <w:rPr>
          <w:rFonts w:asciiTheme="minorBidi" w:hAnsiTheme="minorBidi"/>
          <w:sz w:val="27"/>
          <w:rtl/>
        </w:rPr>
        <w:t xml:space="preserve"> </w:t>
      </w:r>
      <w:r w:rsidR="00965E08" w:rsidRPr="00282AC9">
        <w:rPr>
          <w:rFonts w:asciiTheme="minorBidi" w:hAnsiTheme="minorBidi" w:hint="cs"/>
          <w:sz w:val="27"/>
          <w:rtl/>
        </w:rPr>
        <w:t>سنان</w:t>
      </w:r>
      <w:r w:rsidR="00965E08" w:rsidRPr="00282AC9">
        <w:rPr>
          <w:rFonts w:asciiTheme="minorBidi" w:hAnsiTheme="minorBidi"/>
          <w:sz w:val="27"/>
          <w:rtl/>
        </w:rPr>
        <w:t xml:space="preserve"> </w:t>
      </w:r>
      <w:r w:rsidR="00965E08" w:rsidRPr="00282AC9">
        <w:rPr>
          <w:rFonts w:asciiTheme="minorBidi" w:hAnsiTheme="minorBidi" w:hint="cs"/>
          <w:sz w:val="27"/>
          <w:rtl/>
        </w:rPr>
        <w:t>بن</w:t>
      </w:r>
      <w:r w:rsidR="00965E08" w:rsidRPr="00282AC9">
        <w:rPr>
          <w:rFonts w:asciiTheme="minorBidi" w:hAnsiTheme="minorBidi"/>
          <w:sz w:val="27"/>
          <w:rtl/>
        </w:rPr>
        <w:t xml:space="preserve"> </w:t>
      </w:r>
      <w:r w:rsidR="00965E08" w:rsidRPr="00282AC9">
        <w:rPr>
          <w:rFonts w:asciiTheme="minorBidi" w:hAnsiTheme="minorBidi" w:hint="cs"/>
          <w:sz w:val="27"/>
          <w:rtl/>
        </w:rPr>
        <w:t>أنس</w:t>
      </w:r>
      <w:r w:rsidR="00965E08" w:rsidRPr="00282AC9">
        <w:rPr>
          <w:rFonts w:asciiTheme="minorBidi" w:hAnsiTheme="minorBidi"/>
          <w:sz w:val="27"/>
          <w:rtl/>
        </w:rPr>
        <w:t xml:space="preserve"> </w:t>
      </w:r>
      <w:r w:rsidR="00965E08" w:rsidRPr="00282AC9">
        <w:rPr>
          <w:rFonts w:asciiTheme="minorBidi" w:hAnsiTheme="minorBidi" w:hint="cs"/>
          <w:sz w:val="27"/>
          <w:rtl/>
        </w:rPr>
        <w:t>بن</w:t>
      </w:r>
      <w:r w:rsidR="00965E08" w:rsidRPr="00282AC9">
        <w:rPr>
          <w:rFonts w:asciiTheme="minorBidi" w:hAnsiTheme="minorBidi"/>
          <w:sz w:val="27"/>
          <w:rtl/>
        </w:rPr>
        <w:t xml:space="preserve"> </w:t>
      </w:r>
      <w:r w:rsidR="00965E08" w:rsidRPr="00282AC9">
        <w:rPr>
          <w:rFonts w:asciiTheme="minorBidi" w:hAnsiTheme="minorBidi" w:hint="cs"/>
          <w:sz w:val="27"/>
          <w:rtl/>
        </w:rPr>
        <w:t>عمرو</w:t>
      </w:r>
      <w:r w:rsidR="00965E08" w:rsidRPr="00282AC9">
        <w:rPr>
          <w:rFonts w:asciiTheme="minorBidi" w:hAnsiTheme="minorBidi"/>
          <w:sz w:val="27"/>
          <w:rtl/>
        </w:rPr>
        <w:t xml:space="preserve"> </w:t>
      </w:r>
      <w:r w:rsidR="00965E08" w:rsidRPr="00282AC9">
        <w:rPr>
          <w:rFonts w:asciiTheme="minorBidi" w:hAnsiTheme="minorBidi" w:hint="cs"/>
          <w:sz w:val="27"/>
          <w:rtl/>
        </w:rPr>
        <w:t>النخعي</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فطعنه</w:t>
      </w:r>
      <w:r w:rsidR="00965E08" w:rsidRPr="00282AC9">
        <w:rPr>
          <w:rFonts w:asciiTheme="minorBidi" w:hAnsiTheme="minorBidi"/>
          <w:sz w:val="27"/>
          <w:rtl/>
        </w:rPr>
        <w:t xml:space="preserve"> </w:t>
      </w:r>
      <w:r w:rsidR="00965E08" w:rsidRPr="00282AC9">
        <w:rPr>
          <w:rFonts w:asciiTheme="minorBidi" w:hAnsiTheme="minorBidi" w:hint="cs"/>
          <w:sz w:val="27"/>
          <w:rtl/>
        </w:rPr>
        <w:t>بالرمح</w:t>
      </w:r>
      <w:r w:rsidRPr="00282AC9">
        <w:rPr>
          <w:rFonts w:asciiTheme="minorBidi" w:hAnsiTheme="minorBidi" w:hint="cs"/>
          <w:sz w:val="27"/>
          <w:rtl/>
        </w:rPr>
        <w:t>،</w:t>
      </w:r>
      <w:r w:rsidR="00965E08" w:rsidRPr="00282AC9">
        <w:rPr>
          <w:rFonts w:asciiTheme="minorBidi" w:hAnsiTheme="minorBidi"/>
          <w:sz w:val="27"/>
          <w:rtl/>
        </w:rPr>
        <w:t xml:space="preserve"> </w:t>
      </w:r>
      <w:r w:rsidR="00965E08" w:rsidRPr="00282AC9">
        <w:rPr>
          <w:rFonts w:asciiTheme="minorBidi" w:hAnsiTheme="minorBidi" w:hint="cs"/>
          <w:sz w:val="27"/>
          <w:rtl/>
        </w:rPr>
        <w:t>فوقع</w:t>
      </w:r>
      <w:r w:rsidR="00965E08" w:rsidRPr="00282AC9">
        <w:rPr>
          <w:rFonts w:hint="eastAsia"/>
          <w:sz w:val="24"/>
          <w:szCs w:val="24"/>
          <w:rtl/>
        </w:rPr>
        <w:t>»</w:t>
      </w:r>
      <w:r w:rsidR="00965E08" w:rsidRPr="00282AC9">
        <w:rPr>
          <w:rFonts w:asciiTheme="minorBidi" w:hAnsiTheme="minorBidi"/>
          <w:sz w:val="27"/>
          <w:vertAlign w:val="superscript"/>
          <w:rtl/>
        </w:rPr>
        <w:t>(</w:t>
      </w:r>
      <w:r w:rsidR="00965E08" w:rsidRPr="00282AC9">
        <w:rPr>
          <w:rStyle w:val="af9"/>
          <w:rFonts w:asciiTheme="minorBidi" w:hAnsiTheme="minorBidi"/>
          <w:sz w:val="27"/>
          <w:rtl/>
        </w:rPr>
        <w:endnoteReference w:id="772"/>
      </w:r>
      <w:r w:rsidR="00965E08" w:rsidRPr="00282AC9">
        <w:rPr>
          <w:rFonts w:asciiTheme="minorBidi" w:hAnsiTheme="minorBidi"/>
          <w:sz w:val="27"/>
          <w:vertAlign w:val="superscript"/>
          <w:rtl/>
        </w:rPr>
        <w:t>)</w:t>
      </w:r>
      <w:r w:rsidR="00965E08" w:rsidRPr="00282AC9">
        <w:rPr>
          <w:rFonts w:asciiTheme="minorBidi" w:hAnsiTheme="minorBidi"/>
          <w:sz w:val="27"/>
          <w:rtl/>
        </w:rPr>
        <w:t>.</w:t>
      </w:r>
    </w:p>
    <w:p w:rsidR="00965E08" w:rsidRPr="00282AC9" w:rsidRDefault="00965E08" w:rsidP="003062B7">
      <w:pPr>
        <w:rPr>
          <w:rFonts w:asciiTheme="minorBidi" w:hAnsiTheme="minorBidi"/>
          <w:sz w:val="27"/>
        </w:rPr>
      </w:pPr>
      <w:r w:rsidRPr="00282AC9">
        <w:rPr>
          <w:rFonts w:asciiTheme="minorBidi" w:hAnsiTheme="minorBidi" w:hint="cs"/>
          <w:sz w:val="27"/>
          <w:rtl/>
        </w:rPr>
        <w:t>و</w:t>
      </w:r>
      <w:r w:rsidR="0086500A" w:rsidRPr="00282AC9">
        <w:rPr>
          <w:rFonts w:asciiTheme="minorBidi" w:hAnsiTheme="minorBidi" w:hint="cs"/>
          <w:sz w:val="27"/>
          <w:rtl/>
        </w:rPr>
        <w:t xml:space="preserve">أما </w:t>
      </w:r>
      <w:r w:rsidRPr="00282AC9">
        <w:rPr>
          <w:rFonts w:asciiTheme="minorBidi" w:hAnsiTheme="minorBidi" w:hint="cs"/>
          <w:sz w:val="27"/>
          <w:rtl/>
        </w:rPr>
        <w:t>قوله</w:t>
      </w:r>
      <w:r w:rsidRPr="00282AC9">
        <w:rPr>
          <w:rFonts w:asciiTheme="minorBidi" w:hAnsiTheme="minorBidi"/>
          <w:sz w:val="27"/>
          <w:rtl/>
        </w:rPr>
        <w:t xml:space="preserve">: </w:t>
      </w:r>
      <w:r w:rsidRPr="00282AC9">
        <w:rPr>
          <w:rFonts w:hint="eastAsia"/>
          <w:sz w:val="24"/>
          <w:szCs w:val="24"/>
          <w:rtl/>
        </w:rPr>
        <w:t>«</w:t>
      </w:r>
      <w:r w:rsidRPr="00282AC9">
        <w:rPr>
          <w:rFonts w:asciiTheme="minorBidi" w:hAnsiTheme="minorBidi" w:hint="cs"/>
          <w:sz w:val="27"/>
          <w:rtl/>
        </w:rPr>
        <w:t>لا</w:t>
      </w:r>
      <w:r w:rsidRPr="00282AC9">
        <w:rPr>
          <w:rFonts w:asciiTheme="minorBidi" w:hAnsiTheme="minorBidi"/>
          <w:sz w:val="27"/>
          <w:rtl/>
        </w:rPr>
        <w:t xml:space="preserve"> </w:t>
      </w:r>
      <w:r w:rsidRPr="00282AC9">
        <w:rPr>
          <w:rFonts w:asciiTheme="minorBidi" w:hAnsiTheme="minorBidi" w:hint="cs"/>
          <w:sz w:val="27"/>
          <w:rtl/>
        </w:rPr>
        <w:t>وف</w:t>
      </w:r>
      <w:r w:rsidR="0086500A" w:rsidRPr="00282AC9">
        <w:rPr>
          <w:rFonts w:asciiTheme="minorBidi" w:hAnsiTheme="minorBidi" w:hint="cs"/>
          <w:sz w:val="27"/>
          <w:rtl/>
        </w:rPr>
        <w:t>َّ</w:t>
      </w:r>
      <w:r w:rsidRPr="00282AC9">
        <w:rPr>
          <w:rFonts w:asciiTheme="minorBidi" w:hAnsiTheme="minorBidi" w:hint="cs"/>
          <w:sz w:val="27"/>
          <w:rtl/>
        </w:rPr>
        <w:t>قكم</w:t>
      </w:r>
      <w:r w:rsidRPr="00282AC9">
        <w:rPr>
          <w:rFonts w:asciiTheme="minorBidi" w:hAnsiTheme="minorBidi"/>
          <w:sz w:val="27"/>
          <w:rtl/>
        </w:rPr>
        <w:t xml:space="preserve"> </w:t>
      </w:r>
      <w:r w:rsidRPr="00282AC9">
        <w:rPr>
          <w:rFonts w:asciiTheme="minorBidi" w:hAnsiTheme="minorBidi" w:hint="cs"/>
          <w:sz w:val="27"/>
          <w:rtl/>
        </w:rPr>
        <w:t>الله</w:t>
      </w:r>
      <w:r w:rsidRPr="00282AC9">
        <w:rPr>
          <w:rFonts w:asciiTheme="minorBidi" w:hAnsiTheme="minorBidi"/>
          <w:sz w:val="27"/>
          <w:rtl/>
        </w:rPr>
        <w:t xml:space="preserve"> </w:t>
      </w:r>
      <w:r w:rsidRPr="00282AC9">
        <w:rPr>
          <w:rFonts w:asciiTheme="minorBidi" w:hAnsiTheme="minorBidi" w:hint="cs"/>
          <w:sz w:val="27"/>
          <w:rtl/>
        </w:rPr>
        <w:t>لأضحى</w:t>
      </w:r>
      <w:r w:rsidR="0086500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ولا</w:t>
      </w:r>
      <w:r w:rsidRPr="00282AC9">
        <w:rPr>
          <w:rFonts w:asciiTheme="minorBidi" w:hAnsiTheme="minorBidi"/>
          <w:sz w:val="27"/>
          <w:rtl/>
        </w:rPr>
        <w:t xml:space="preserve"> </w:t>
      </w:r>
      <w:r w:rsidRPr="00282AC9">
        <w:rPr>
          <w:rFonts w:asciiTheme="minorBidi" w:hAnsiTheme="minorBidi" w:hint="cs"/>
          <w:sz w:val="27"/>
          <w:rtl/>
        </w:rPr>
        <w:t>لفطر</w:t>
      </w:r>
      <w:r w:rsidR="0086500A" w:rsidRPr="00282AC9">
        <w:rPr>
          <w:rFonts w:asciiTheme="minorBidi" w:hAnsiTheme="minorBidi" w:hint="cs"/>
          <w:sz w:val="27"/>
          <w:rtl/>
        </w:rPr>
        <w:t>ٍ</w:t>
      </w:r>
      <w:r w:rsidRPr="00282AC9">
        <w:rPr>
          <w:rFonts w:hint="eastAsia"/>
          <w:sz w:val="24"/>
          <w:szCs w:val="24"/>
          <w:rtl/>
        </w:rPr>
        <w:t>»</w:t>
      </w:r>
      <w:r w:rsidRPr="00282AC9">
        <w:rPr>
          <w:rFonts w:asciiTheme="minorBidi" w:hAnsiTheme="minorBidi"/>
          <w:sz w:val="27"/>
          <w:rtl/>
        </w:rPr>
        <w:t xml:space="preserve"> </w:t>
      </w:r>
      <w:r w:rsidR="0086500A" w:rsidRPr="00282AC9">
        <w:rPr>
          <w:rFonts w:asciiTheme="minorBidi" w:hAnsiTheme="minorBidi" w:hint="cs"/>
          <w:sz w:val="27"/>
          <w:rtl/>
        </w:rPr>
        <w:t>ف</w:t>
      </w:r>
      <w:r w:rsidRPr="00282AC9">
        <w:rPr>
          <w:rFonts w:asciiTheme="minorBidi" w:hAnsiTheme="minorBidi" w:hint="cs"/>
          <w:sz w:val="27"/>
          <w:rtl/>
        </w:rPr>
        <w:t>الأضحى</w:t>
      </w:r>
      <w:r w:rsidRPr="00282AC9">
        <w:rPr>
          <w:rFonts w:asciiTheme="minorBidi" w:hAnsiTheme="minorBidi"/>
          <w:sz w:val="27"/>
          <w:rtl/>
        </w:rPr>
        <w:t xml:space="preserve"> </w:t>
      </w:r>
      <w:r w:rsidRPr="00282AC9">
        <w:rPr>
          <w:rFonts w:asciiTheme="minorBidi" w:hAnsiTheme="minorBidi" w:hint="cs"/>
          <w:sz w:val="27"/>
          <w:rtl/>
        </w:rPr>
        <w:t>إشارة</w:t>
      </w:r>
      <w:r w:rsidR="0086500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إلى</w:t>
      </w:r>
      <w:r w:rsidRPr="00282AC9">
        <w:rPr>
          <w:rFonts w:asciiTheme="minorBidi" w:hAnsiTheme="minorBidi"/>
          <w:sz w:val="27"/>
          <w:rtl/>
        </w:rPr>
        <w:t xml:space="preserve"> </w:t>
      </w:r>
      <w:r w:rsidRPr="00282AC9">
        <w:rPr>
          <w:rFonts w:asciiTheme="minorBidi" w:hAnsiTheme="minorBidi" w:hint="cs"/>
          <w:sz w:val="27"/>
          <w:rtl/>
        </w:rPr>
        <w:t>الحج</w:t>
      </w:r>
      <w:r w:rsidR="0086500A" w:rsidRPr="00282AC9">
        <w:rPr>
          <w:rFonts w:asciiTheme="minorBidi" w:hAnsiTheme="minorBidi" w:hint="cs"/>
          <w:sz w:val="27"/>
          <w:rtl/>
        </w:rPr>
        <w:t>ّ</w:t>
      </w:r>
      <w:r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والفطر</w:t>
      </w:r>
      <w:r w:rsidRPr="00282AC9">
        <w:rPr>
          <w:rFonts w:asciiTheme="minorBidi" w:hAnsiTheme="minorBidi"/>
          <w:sz w:val="27"/>
          <w:rtl/>
        </w:rPr>
        <w:t xml:space="preserve"> </w:t>
      </w:r>
      <w:r w:rsidRPr="00282AC9">
        <w:rPr>
          <w:rFonts w:asciiTheme="minorBidi" w:hAnsiTheme="minorBidi" w:hint="cs"/>
          <w:sz w:val="27"/>
          <w:rtl/>
        </w:rPr>
        <w:t>إشارة</w:t>
      </w:r>
      <w:r w:rsidR="0086500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إلى</w:t>
      </w:r>
      <w:r w:rsidRPr="00282AC9">
        <w:rPr>
          <w:rFonts w:asciiTheme="minorBidi" w:hAnsiTheme="minorBidi"/>
          <w:sz w:val="27"/>
          <w:rtl/>
        </w:rPr>
        <w:t xml:space="preserve"> </w:t>
      </w:r>
      <w:r w:rsidRPr="00282AC9">
        <w:rPr>
          <w:rFonts w:asciiTheme="minorBidi" w:hAnsiTheme="minorBidi" w:hint="cs"/>
          <w:sz w:val="27"/>
          <w:rtl/>
        </w:rPr>
        <w:t>الصيام</w:t>
      </w:r>
      <w:r w:rsidR="0086500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وكلاهما</w:t>
      </w:r>
      <w:r w:rsidRPr="00282AC9">
        <w:rPr>
          <w:rFonts w:asciiTheme="minorBidi" w:hAnsiTheme="minorBidi"/>
          <w:sz w:val="27"/>
          <w:rtl/>
        </w:rPr>
        <w:t xml:space="preserve"> </w:t>
      </w:r>
      <w:r w:rsidRPr="00282AC9">
        <w:rPr>
          <w:rFonts w:asciiTheme="minorBidi" w:hAnsiTheme="minorBidi" w:hint="cs"/>
          <w:sz w:val="27"/>
          <w:rtl/>
        </w:rPr>
        <w:t>يشيران</w:t>
      </w:r>
      <w:r w:rsidRPr="00282AC9">
        <w:rPr>
          <w:rFonts w:asciiTheme="minorBidi" w:hAnsiTheme="minorBidi"/>
          <w:sz w:val="27"/>
          <w:rtl/>
        </w:rPr>
        <w:t xml:space="preserve"> </w:t>
      </w:r>
      <w:r w:rsidRPr="00282AC9">
        <w:rPr>
          <w:rFonts w:asciiTheme="minorBidi" w:hAnsiTheme="minorBidi" w:hint="cs"/>
          <w:sz w:val="27"/>
          <w:rtl/>
        </w:rPr>
        <w:t>إلى</w:t>
      </w:r>
      <w:r w:rsidRPr="00282AC9">
        <w:rPr>
          <w:rFonts w:asciiTheme="minorBidi" w:hAnsiTheme="minorBidi"/>
          <w:sz w:val="27"/>
          <w:rtl/>
        </w:rPr>
        <w:t xml:space="preserve"> </w:t>
      </w:r>
      <w:r w:rsidRPr="00282AC9">
        <w:rPr>
          <w:rFonts w:asciiTheme="minorBidi" w:hAnsiTheme="minorBidi" w:hint="cs"/>
          <w:sz w:val="27"/>
          <w:rtl/>
        </w:rPr>
        <w:t>الصلاة</w:t>
      </w:r>
      <w:r w:rsidR="0086500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وإلى</w:t>
      </w:r>
      <w:r w:rsidRPr="00282AC9">
        <w:rPr>
          <w:rFonts w:asciiTheme="minorBidi" w:hAnsiTheme="minorBidi"/>
          <w:sz w:val="27"/>
          <w:rtl/>
        </w:rPr>
        <w:t xml:space="preserve"> </w:t>
      </w:r>
      <w:r w:rsidRPr="00282AC9">
        <w:rPr>
          <w:rFonts w:asciiTheme="minorBidi" w:hAnsiTheme="minorBidi" w:hint="cs"/>
          <w:sz w:val="27"/>
          <w:rtl/>
        </w:rPr>
        <w:t>طقوس</w:t>
      </w:r>
      <w:r w:rsidRPr="00282AC9">
        <w:rPr>
          <w:rFonts w:asciiTheme="minorBidi" w:hAnsiTheme="minorBidi"/>
          <w:sz w:val="27"/>
          <w:rtl/>
        </w:rPr>
        <w:t xml:space="preserve"> </w:t>
      </w:r>
      <w:r w:rsidRPr="00282AC9">
        <w:rPr>
          <w:rFonts w:asciiTheme="minorBidi" w:hAnsiTheme="minorBidi" w:hint="cs"/>
          <w:sz w:val="27"/>
          <w:rtl/>
        </w:rPr>
        <w:t>وتفاصيل</w:t>
      </w:r>
      <w:r w:rsidRPr="00282AC9">
        <w:rPr>
          <w:rFonts w:asciiTheme="minorBidi" w:hAnsiTheme="minorBidi"/>
          <w:sz w:val="27"/>
          <w:rtl/>
        </w:rPr>
        <w:t xml:space="preserve"> </w:t>
      </w:r>
      <w:r w:rsidRPr="00282AC9">
        <w:rPr>
          <w:rFonts w:asciiTheme="minorBidi" w:hAnsiTheme="minorBidi" w:hint="cs"/>
          <w:sz w:val="27"/>
          <w:rtl/>
        </w:rPr>
        <w:t>الد</w:t>
      </w:r>
      <w:r w:rsidR="0086500A" w:rsidRPr="00282AC9">
        <w:rPr>
          <w:rFonts w:asciiTheme="minorBidi" w:hAnsiTheme="minorBidi" w:hint="cs"/>
          <w:sz w:val="27"/>
          <w:rtl/>
        </w:rPr>
        <w:t>ِّ</w:t>
      </w:r>
      <w:r w:rsidRPr="00282AC9">
        <w:rPr>
          <w:rFonts w:asciiTheme="minorBidi" w:hAnsiTheme="minorBidi" w:hint="cs"/>
          <w:sz w:val="27"/>
          <w:rtl/>
        </w:rPr>
        <w:t>ين</w:t>
      </w:r>
      <w:r w:rsidR="0086500A" w:rsidRPr="00282AC9">
        <w:rPr>
          <w:rFonts w:asciiTheme="minorBidi" w:hAnsiTheme="minorBidi" w:hint="cs"/>
          <w:sz w:val="27"/>
          <w:rtl/>
        </w:rPr>
        <w:t>.</w:t>
      </w:r>
      <w:r w:rsidRPr="00282AC9">
        <w:rPr>
          <w:rFonts w:asciiTheme="minorBidi" w:hAnsiTheme="minorBidi" w:hint="cs"/>
          <w:sz w:val="27"/>
          <w:rtl/>
        </w:rPr>
        <w:t xml:space="preserve"> وهذا</w:t>
      </w:r>
      <w:r w:rsidRPr="00282AC9">
        <w:rPr>
          <w:rFonts w:asciiTheme="minorBidi" w:hAnsiTheme="minorBidi"/>
          <w:sz w:val="27"/>
          <w:rtl/>
        </w:rPr>
        <w:t xml:space="preserve"> </w:t>
      </w:r>
      <w:r w:rsidRPr="00282AC9">
        <w:rPr>
          <w:rFonts w:asciiTheme="minorBidi" w:hAnsiTheme="minorBidi" w:hint="cs"/>
          <w:sz w:val="27"/>
          <w:rtl/>
        </w:rPr>
        <w:t>هو الواقع</w:t>
      </w:r>
      <w:r w:rsidRPr="00282AC9">
        <w:rPr>
          <w:rFonts w:asciiTheme="minorBidi" w:hAnsiTheme="minorBidi"/>
          <w:sz w:val="27"/>
          <w:rtl/>
        </w:rPr>
        <w:t xml:space="preserve"> </w:t>
      </w:r>
      <w:r w:rsidRPr="00282AC9">
        <w:rPr>
          <w:rFonts w:asciiTheme="minorBidi" w:hAnsiTheme="minorBidi" w:hint="cs"/>
          <w:sz w:val="27"/>
          <w:rtl/>
        </w:rPr>
        <w:t>حت</w:t>
      </w:r>
      <w:r w:rsidR="0086500A" w:rsidRPr="00282AC9">
        <w:rPr>
          <w:rFonts w:asciiTheme="minorBidi" w:hAnsiTheme="minorBidi" w:hint="cs"/>
          <w:sz w:val="27"/>
          <w:rtl/>
        </w:rPr>
        <w:t>ّ</w:t>
      </w:r>
      <w:r w:rsidRPr="00282AC9">
        <w:rPr>
          <w:rFonts w:asciiTheme="minorBidi" w:hAnsiTheme="minorBidi" w:hint="cs"/>
          <w:sz w:val="27"/>
          <w:rtl/>
        </w:rPr>
        <w:t>ى</w:t>
      </w:r>
      <w:r w:rsidRPr="00282AC9">
        <w:rPr>
          <w:rFonts w:asciiTheme="minorBidi" w:hAnsiTheme="minorBidi"/>
          <w:sz w:val="27"/>
          <w:rtl/>
        </w:rPr>
        <w:t xml:space="preserve"> </w:t>
      </w:r>
      <w:r w:rsidRPr="00282AC9">
        <w:rPr>
          <w:rFonts w:asciiTheme="minorBidi" w:hAnsiTheme="minorBidi" w:hint="cs"/>
          <w:sz w:val="27"/>
          <w:rtl/>
        </w:rPr>
        <w:t>يومنا هذا</w:t>
      </w:r>
      <w:r w:rsidR="0086500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فلا</w:t>
      </w:r>
      <w:r w:rsidRPr="00282AC9">
        <w:rPr>
          <w:rFonts w:asciiTheme="minorBidi" w:hAnsiTheme="minorBidi"/>
          <w:sz w:val="27"/>
          <w:rtl/>
        </w:rPr>
        <w:t xml:space="preserve"> </w:t>
      </w:r>
      <w:r w:rsidRPr="00282AC9">
        <w:rPr>
          <w:rFonts w:asciiTheme="minorBidi" w:hAnsiTheme="minorBidi" w:hint="cs"/>
          <w:sz w:val="27"/>
          <w:rtl/>
        </w:rPr>
        <w:t>الحج</w:t>
      </w:r>
      <w:r w:rsidRPr="00282AC9">
        <w:rPr>
          <w:rFonts w:asciiTheme="minorBidi" w:hAnsiTheme="minorBidi"/>
          <w:sz w:val="27"/>
          <w:rtl/>
        </w:rPr>
        <w:t xml:space="preserve"> </w:t>
      </w:r>
      <w:r w:rsidRPr="00282AC9">
        <w:rPr>
          <w:rFonts w:asciiTheme="minorBidi" w:hAnsiTheme="minorBidi" w:hint="cs"/>
          <w:sz w:val="27"/>
          <w:rtl/>
        </w:rPr>
        <w:t>حج</w:t>
      </w:r>
      <w:r w:rsidR="0086500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مواعيده،</w:t>
      </w:r>
      <w:r w:rsidRPr="00282AC9">
        <w:rPr>
          <w:rFonts w:asciiTheme="minorBidi" w:hAnsiTheme="minorBidi"/>
          <w:sz w:val="27"/>
          <w:rtl/>
        </w:rPr>
        <w:t xml:space="preserve"> </w:t>
      </w:r>
      <w:r w:rsidRPr="00282AC9">
        <w:rPr>
          <w:rFonts w:asciiTheme="minorBidi" w:hAnsiTheme="minorBidi" w:hint="cs"/>
          <w:sz w:val="27"/>
          <w:rtl/>
        </w:rPr>
        <w:t>ولا</w:t>
      </w:r>
      <w:r w:rsidRPr="00282AC9">
        <w:rPr>
          <w:rFonts w:asciiTheme="minorBidi" w:hAnsiTheme="minorBidi"/>
          <w:sz w:val="27"/>
          <w:rtl/>
        </w:rPr>
        <w:t xml:space="preserve"> </w:t>
      </w:r>
      <w:r w:rsidRPr="00282AC9">
        <w:rPr>
          <w:rFonts w:asciiTheme="minorBidi" w:hAnsiTheme="minorBidi" w:hint="cs"/>
          <w:sz w:val="27"/>
          <w:rtl/>
        </w:rPr>
        <w:t>الصيام</w:t>
      </w:r>
      <w:r w:rsidRPr="00282AC9">
        <w:rPr>
          <w:rFonts w:asciiTheme="minorBidi" w:hAnsiTheme="minorBidi"/>
          <w:sz w:val="27"/>
          <w:rtl/>
        </w:rPr>
        <w:t xml:space="preserve"> </w:t>
      </w:r>
      <w:r w:rsidRPr="00282AC9">
        <w:rPr>
          <w:rFonts w:asciiTheme="minorBidi" w:hAnsiTheme="minorBidi" w:hint="cs"/>
          <w:sz w:val="27"/>
          <w:rtl/>
        </w:rPr>
        <w:t>صيامٌ</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أي</w:t>
      </w:r>
      <w:r w:rsidR="0086500A" w:rsidRPr="00282AC9">
        <w:rPr>
          <w:rFonts w:asciiTheme="minorBidi" w:hAnsiTheme="minorBidi" w:hint="cs"/>
          <w:sz w:val="27"/>
          <w:rtl/>
        </w:rPr>
        <w:t>ّ</w:t>
      </w:r>
      <w:r w:rsidRPr="00282AC9">
        <w:rPr>
          <w:rFonts w:asciiTheme="minorBidi" w:hAnsiTheme="minorBidi" w:hint="cs"/>
          <w:sz w:val="27"/>
          <w:rtl/>
        </w:rPr>
        <w:t>امه</w:t>
      </w:r>
      <w:r w:rsidR="0086500A"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ولا</w:t>
      </w:r>
      <w:r w:rsidRPr="00282AC9">
        <w:rPr>
          <w:rFonts w:asciiTheme="minorBidi" w:hAnsiTheme="minorBidi"/>
          <w:sz w:val="27"/>
          <w:rtl/>
        </w:rPr>
        <w:t xml:space="preserve"> </w:t>
      </w:r>
      <w:r w:rsidRPr="00282AC9">
        <w:rPr>
          <w:rFonts w:asciiTheme="minorBidi" w:hAnsiTheme="minorBidi" w:hint="cs"/>
          <w:sz w:val="27"/>
          <w:rtl/>
        </w:rPr>
        <w:t>العيد</w:t>
      </w:r>
      <w:r w:rsidRPr="00282AC9">
        <w:rPr>
          <w:rFonts w:asciiTheme="minorBidi" w:hAnsiTheme="minorBidi"/>
          <w:sz w:val="27"/>
          <w:rtl/>
        </w:rPr>
        <w:t xml:space="preserve"> </w:t>
      </w:r>
      <w:r w:rsidRPr="00282AC9">
        <w:rPr>
          <w:rFonts w:asciiTheme="minorBidi" w:hAnsiTheme="minorBidi" w:hint="cs"/>
          <w:sz w:val="27"/>
          <w:rtl/>
        </w:rPr>
        <w:t>عيدٌ.</w:t>
      </w:r>
    </w:p>
    <w:p w:rsidR="00965E08" w:rsidRPr="00282AC9" w:rsidRDefault="00965E08" w:rsidP="003062B7">
      <w:pPr>
        <w:pStyle w:val="afe"/>
        <w:spacing w:after="0" w:line="400" w:lineRule="exact"/>
        <w:ind w:left="0" w:firstLine="567"/>
        <w:jc w:val="both"/>
        <w:rPr>
          <w:rFonts w:asciiTheme="minorBidi" w:hAnsiTheme="minorBidi" w:cs="AL-Mohanad"/>
          <w:sz w:val="27"/>
          <w:szCs w:val="27"/>
        </w:rPr>
      </w:pPr>
      <w:r w:rsidRPr="00282AC9">
        <w:rPr>
          <w:rFonts w:asciiTheme="minorBidi" w:hAnsiTheme="minorBidi" w:cs="AL-Mohanad" w:hint="cs"/>
          <w:sz w:val="27"/>
          <w:szCs w:val="27"/>
          <w:rtl/>
        </w:rPr>
        <w:t>4ـ قال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محمد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أبي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قر</w:t>
      </w:r>
      <w:r w:rsidR="0086500A" w:rsidRPr="00282AC9">
        <w:rPr>
          <w:rFonts w:asciiTheme="minorBidi" w:hAnsiTheme="minorBidi" w:cs="AL-Mohanad" w:hint="cs"/>
          <w:sz w:val="27"/>
          <w:szCs w:val="27"/>
          <w:rtl/>
        </w:rPr>
        <w:t>ّ</w:t>
      </w:r>
      <w:r w:rsidRPr="00282AC9">
        <w:rPr>
          <w:rFonts w:asciiTheme="minorBidi" w:hAnsiTheme="minorBidi" w:cs="AL-Mohanad" w:hint="cs"/>
          <w:sz w:val="27"/>
          <w:szCs w:val="27"/>
          <w:rtl/>
        </w:rPr>
        <w:t>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نقلت</w:t>
      </w:r>
      <w:r w:rsidR="0086500A"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كتاب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أبي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جعفر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محمد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الحسين بن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سفيان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البزوفري(رضي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عنه)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هذا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الدعاء،</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وذكر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فيه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أنه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دعاء</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 xml:space="preserve"> لصاحب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الزمان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(صلوات</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عليه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وعج</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فرجه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وفرجنا</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ويستحب</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00796DA2" w:rsidRPr="00282AC9">
        <w:rPr>
          <w:rFonts w:asciiTheme="minorBidi" w:hAnsiTheme="minorBidi" w:cs="AL-Mohanad" w:hint="cs"/>
          <w:sz w:val="27"/>
          <w:szCs w:val="27"/>
          <w:rtl/>
        </w:rPr>
        <w:t>أ</w:t>
      </w:r>
      <w:r w:rsidRPr="00282AC9">
        <w:rPr>
          <w:rFonts w:asciiTheme="minorBidi" w:hAnsiTheme="minorBidi" w:cs="AL-Mohanad" w:hint="cs"/>
          <w:sz w:val="27"/>
          <w:szCs w:val="27"/>
          <w:rtl/>
        </w:rPr>
        <w:t>ن ي</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د</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ع</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ى</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في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الأعياد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الأربعة</w:t>
      </w:r>
      <w:r w:rsidRPr="00282AC9">
        <w:rPr>
          <w:rFonts w:asciiTheme="minorBidi" w:hAnsiTheme="minorBidi" w:cs="AL-Mohanad"/>
          <w:sz w:val="27"/>
          <w:szCs w:val="27"/>
          <w:rtl/>
        </w:rPr>
        <w:t>:</w:t>
      </w:r>
      <w:r w:rsidRPr="00282AC9">
        <w:rPr>
          <w:rFonts w:asciiTheme="minorBidi" w:hAnsiTheme="minorBidi" w:cs="AL-Mohanad" w:hint="cs"/>
          <w:sz w:val="27"/>
          <w:szCs w:val="27"/>
          <w:rtl/>
        </w:rPr>
        <w:t xml:space="preserve"> </w:t>
      </w:r>
      <w:r w:rsidRPr="00282AC9">
        <w:rPr>
          <w:rFonts w:cs="AL-Mohanad" w:hint="eastAsia"/>
          <w:sz w:val="24"/>
          <w:szCs w:val="24"/>
          <w:rtl/>
        </w:rPr>
        <w:t>«</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ع</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د</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لقطع</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دابر الظلمة</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المنتظر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لإقامة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الأ</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م</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ت</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والعوج</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المرتجى</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لإزالة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الج</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و</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ر والعدوان</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المد</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خر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لتجديد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الفرائض</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والس</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ن</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ن</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المتخي</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لإعادة المل</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والشريعة</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المؤم</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ل</w:t>
      </w:r>
      <w:r w:rsidR="00796DA2" w:rsidRPr="00282AC9">
        <w:rPr>
          <w:rFonts w:asciiTheme="minorBidi" w:hAnsiTheme="minorBidi" w:cs="AL-Mohanad" w:hint="cs"/>
          <w:sz w:val="27"/>
          <w:szCs w:val="27"/>
          <w:rtl/>
        </w:rPr>
        <w:t>إ</w:t>
      </w:r>
      <w:r w:rsidRPr="00282AC9">
        <w:rPr>
          <w:rFonts w:asciiTheme="minorBidi" w:hAnsiTheme="minorBidi" w:cs="AL-Mohanad" w:hint="cs"/>
          <w:sz w:val="27"/>
          <w:szCs w:val="27"/>
          <w:rtl/>
        </w:rPr>
        <w:t>حياء</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الكتاب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وحدوده</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محيي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معالم الد</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وأهله</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قاصم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شوكة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المعتدين</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هادم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أبنية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الشرك</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والن</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فاق</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 xml:space="preserve"> 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مبيد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أهل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الفسق</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lastRenderedPageBreak/>
        <w:t>والعصيان</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حاصد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فروع</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الغي</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والشقاق</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 xml:space="preserve"> 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طامس</w:t>
      </w:r>
      <w:r w:rsidRPr="00282AC9">
        <w:rPr>
          <w:rFonts w:asciiTheme="minorBidi" w:hAnsiTheme="minorBidi" w:cs="AL-Mohanad"/>
          <w:sz w:val="27"/>
          <w:szCs w:val="27"/>
          <w:rtl/>
        </w:rPr>
        <w:t xml:space="preserve"> </w:t>
      </w:r>
      <w:r w:rsidR="00796DA2" w:rsidRPr="00282AC9">
        <w:rPr>
          <w:rFonts w:asciiTheme="minorBidi" w:hAnsiTheme="minorBidi" w:cs="AL-Mohanad" w:hint="cs"/>
          <w:sz w:val="27"/>
          <w:szCs w:val="27"/>
          <w:rtl/>
        </w:rPr>
        <w:t>آ</w:t>
      </w:r>
      <w:r w:rsidRPr="00282AC9">
        <w:rPr>
          <w:rFonts w:asciiTheme="minorBidi" w:hAnsiTheme="minorBidi" w:cs="AL-Mohanad" w:hint="cs"/>
          <w:sz w:val="27"/>
          <w:szCs w:val="27"/>
          <w:rtl/>
        </w:rPr>
        <w:t>ثار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الز</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ي</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غ</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والأهواء</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قاطع</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حبائل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الكذب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والافتراء</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 مبيد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أهل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العناد</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والم</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ر</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دة</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معز</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الأولياء</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ومذل</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الأعداء</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جامع الكلمة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على</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التقوى</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باب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الذي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منه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يؤت</w:t>
      </w:r>
      <w:r w:rsidR="00796DA2" w:rsidRPr="00282AC9">
        <w:rPr>
          <w:rFonts w:asciiTheme="minorBidi" w:hAnsiTheme="minorBidi" w:cs="AL-Mohanad" w:hint="cs"/>
          <w:sz w:val="27"/>
          <w:szCs w:val="27"/>
          <w:rtl/>
        </w:rPr>
        <w:t>ى؟</w:t>
      </w:r>
      <w:r w:rsidRPr="00282AC9">
        <w:rPr>
          <w:rFonts w:asciiTheme="minorBidi" w:hAnsiTheme="minorBidi" w:cs="AL-Mohanad" w:hint="cs"/>
          <w:sz w:val="27"/>
          <w:szCs w:val="27"/>
          <w:rtl/>
        </w:rPr>
        <w:t xml:space="preserve"> 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وجه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الله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الذي</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إليه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تتوج</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ه</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الأولياء</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السبب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المت</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صل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بين الأرض</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والسماء</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صاحب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يوم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الفتح</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وناشر</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راية</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الهدى</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مؤل</w:t>
      </w:r>
      <w:r w:rsidR="00796DA2" w:rsidRPr="00282AC9">
        <w:rPr>
          <w:rFonts w:asciiTheme="minorBidi" w:hAnsiTheme="minorBidi" w:cs="AL-Mohanad" w:hint="cs"/>
          <w:sz w:val="27"/>
          <w:szCs w:val="27"/>
          <w:rtl/>
        </w:rPr>
        <w:t>ِّ</w:t>
      </w:r>
      <w:r w:rsidRPr="00282AC9">
        <w:rPr>
          <w:rFonts w:asciiTheme="minorBidi" w:hAnsiTheme="minorBidi" w:cs="AL-Mohanad" w:hint="cs"/>
          <w:sz w:val="27"/>
          <w:szCs w:val="27"/>
          <w:rtl/>
        </w:rPr>
        <w:t>ف شمل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الصلاح</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والرضا</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الطالب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بذحول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الأنبياء</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وأبناء</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الأنبياء</w:t>
      </w:r>
      <w:r w:rsidR="00796DA2" w:rsidRPr="00282AC9">
        <w:rPr>
          <w:rFonts w:asciiTheme="minorBidi" w:hAnsiTheme="minorBidi" w:cs="AL-Mohanad" w:hint="cs"/>
          <w:sz w:val="27"/>
          <w:szCs w:val="27"/>
          <w:rtl/>
        </w:rPr>
        <w:t>؟</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أين الطالب</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بدم</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المقتول</w:t>
      </w:r>
      <w:r w:rsidRPr="00282AC9">
        <w:rPr>
          <w:rFonts w:asciiTheme="minorBidi" w:hAnsiTheme="minorBidi" w:cs="AL-Mohanad"/>
          <w:sz w:val="27"/>
          <w:szCs w:val="27"/>
          <w:rtl/>
        </w:rPr>
        <w:t xml:space="preserve"> </w:t>
      </w:r>
      <w:r w:rsidRPr="00282AC9">
        <w:rPr>
          <w:rFonts w:asciiTheme="minorBidi" w:hAnsiTheme="minorBidi" w:cs="AL-Mohanad" w:hint="cs"/>
          <w:sz w:val="27"/>
          <w:szCs w:val="27"/>
          <w:rtl/>
        </w:rPr>
        <w:t>بكربلاء</w:t>
      </w:r>
      <w:r w:rsidRPr="00282AC9">
        <w:rPr>
          <w:rFonts w:asciiTheme="minorBidi" w:hAnsiTheme="minorBidi" w:cs="AL-Mohanad"/>
          <w:sz w:val="27"/>
          <w:szCs w:val="27"/>
          <w:rtl/>
        </w:rPr>
        <w:t>.</w:t>
      </w:r>
      <w:r w:rsidRPr="00282AC9">
        <w:rPr>
          <w:rFonts w:asciiTheme="minorBidi" w:hAnsiTheme="minorBidi" w:cs="AL-Mohanad" w:hint="cs"/>
          <w:sz w:val="27"/>
          <w:szCs w:val="27"/>
          <w:rtl/>
        </w:rPr>
        <w:t>..</w:t>
      </w:r>
      <w:r w:rsidRPr="00282AC9">
        <w:rPr>
          <w:rFonts w:cs="AL-Mohanad" w:hint="eastAsia"/>
          <w:sz w:val="24"/>
          <w:szCs w:val="24"/>
          <w:rtl/>
        </w:rPr>
        <w:t>»</w:t>
      </w:r>
      <w:r w:rsidRPr="00282AC9">
        <w:rPr>
          <w:rFonts w:asciiTheme="minorBidi" w:hAnsiTheme="minorBidi" w:cs="AL-Mohanad"/>
          <w:sz w:val="27"/>
          <w:szCs w:val="27"/>
          <w:vertAlign w:val="superscript"/>
          <w:rtl/>
        </w:rPr>
        <w:t>(</w:t>
      </w:r>
      <w:r w:rsidRPr="00282AC9">
        <w:rPr>
          <w:rStyle w:val="af9"/>
          <w:rFonts w:asciiTheme="minorBidi" w:hAnsiTheme="minorBidi" w:cs="AL-Mohanad"/>
          <w:sz w:val="27"/>
          <w:szCs w:val="27"/>
          <w:rtl/>
        </w:rPr>
        <w:endnoteReference w:id="773"/>
      </w:r>
      <w:r w:rsidRPr="00282AC9">
        <w:rPr>
          <w:rFonts w:asciiTheme="minorBidi" w:hAnsiTheme="minorBidi" w:cs="AL-Mohanad"/>
          <w:sz w:val="27"/>
          <w:szCs w:val="27"/>
          <w:vertAlign w:val="superscript"/>
          <w:rtl/>
        </w:rPr>
        <w:t>)</w:t>
      </w:r>
    </w:p>
    <w:p w:rsidR="00965E08" w:rsidRPr="00282AC9" w:rsidRDefault="00965E08" w:rsidP="003062B7">
      <w:pPr>
        <w:rPr>
          <w:rFonts w:asciiTheme="minorBidi" w:hAnsiTheme="minorBidi"/>
          <w:sz w:val="27"/>
        </w:rPr>
      </w:pPr>
      <w:r w:rsidRPr="00282AC9">
        <w:rPr>
          <w:rFonts w:asciiTheme="minorBidi" w:hAnsiTheme="minorBidi" w:hint="cs"/>
          <w:sz w:val="27"/>
          <w:rtl/>
        </w:rPr>
        <w:t>فهذه الج</w:t>
      </w:r>
      <w:r w:rsidR="00796DA2" w:rsidRPr="00282AC9">
        <w:rPr>
          <w:rFonts w:asciiTheme="minorBidi" w:hAnsiTheme="minorBidi" w:hint="cs"/>
          <w:sz w:val="27"/>
          <w:rtl/>
        </w:rPr>
        <w:t>ُ</w:t>
      </w:r>
      <w:r w:rsidRPr="00282AC9">
        <w:rPr>
          <w:rFonts w:asciiTheme="minorBidi" w:hAnsiTheme="minorBidi" w:hint="cs"/>
          <w:sz w:val="27"/>
          <w:rtl/>
        </w:rPr>
        <w:t>م</w:t>
      </w:r>
      <w:r w:rsidR="00796DA2" w:rsidRPr="00282AC9">
        <w:rPr>
          <w:rFonts w:asciiTheme="minorBidi" w:hAnsiTheme="minorBidi" w:hint="cs"/>
          <w:sz w:val="27"/>
          <w:rtl/>
        </w:rPr>
        <w:t>َل</w:t>
      </w:r>
      <w:r w:rsidRPr="00282AC9">
        <w:rPr>
          <w:rFonts w:asciiTheme="minorBidi" w:hAnsiTheme="minorBidi"/>
          <w:sz w:val="27"/>
          <w:rtl/>
        </w:rPr>
        <w:t xml:space="preserve"> </w:t>
      </w:r>
      <w:r w:rsidRPr="00282AC9">
        <w:rPr>
          <w:rFonts w:asciiTheme="minorBidi" w:hAnsiTheme="minorBidi" w:hint="cs"/>
          <w:sz w:val="27"/>
          <w:rtl/>
        </w:rPr>
        <w:t>ترسم</w:t>
      </w:r>
      <w:r w:rsidRPr="00282AC9">
        <w:rPr>
          <w:rFonts w:asciiTheme="minorBidi" w:hAnsiTheme="minorBidi"/>
          <w:sz w:val="27"/>
          <w:rtl/>
        </w:rPr>
        <w:t xml:space="preserve"> </w:t>
      </w:r>
      <w:r w:rsidRPr="00282AC9">
        <w:rPr>
          <w:rFonts w:asciiTheme="minorBidi" w:hAnsiTheme="minorBidi" w:hint="cs"/>
          <w:sz w:val="27"/>
          <w:rtl/>
        </w:rPr>
        <w:t>لنا</w:t>
      </w:r>
      <w:r w:rsidRPr="00282AC9">
        <w:rPr>
          <w:rFonts w:asciiTheme="minorBidi" w:hAnsiTheme="minorBidi"/>
          <w:sz w:val="27"/>
          <w:rtl/>
        </w:rPr>
        <w:t xml:space="preserve"> </w:t>
      </w:r>
      <w:r w:rsidRPr="00282AC9">
        <w:rPr>
          <w:rFonts w:asciiTheme="minorBidi" w:hAnsiTheme="minorBidi" w:hint="cs"/>
          <w:sz w:val="27"/>
          <w:rtl/>
        </w:rPr>
        <w:t>صورةً</w:t>
      </w:r>
      <w:r w:rsidRPr="00282AC9">
        <w:rPr>
          <w:rFonts w:asciiTheme="minorBidi" w:hAnsiTheme="minorBidi"/>
          <w:sz w:val="27"/>
          <w:rtl/>
        </w:rPr>
        <w:t xml:space="preserve"> </w:t>
      </w:r>
      <w:r w:rsidRPr="00282AC9">
        <w:rPr>
          <w:rFonts w:asciiTheme="minorBidi" w:hAnsiTheme="minorBidi" w:hint="cs"/>
          <w:sz w:val="27"/>
          <w:rtl/>
        </w:rPr>
        <w:t>واضحةً</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الواقع</w:t>
      </w:r>
      <w:r w:rsidRPr="00282AC9">
        <w:rPr>
          <w:rFonts w:asciiTheme="minorBidi" w:hAnsiTheme="minorBidi"/>
          <w:sz w:val="27"/>
          <w:rtl/>
        </w:rPr>
        <w:t xml:space="preserve"> </w:t>
      </w:r>
      <w:r w:rsidRPr="00282AC9">
        <w:rPr>
          <w:rFonts w:asciiTheme="minorBidi" w:hAnsiTheme="minorBidi" w:hint="cs"/>
          <w:sz w:val="27"/>
          <w:rtl/>
        </w:rPr>
        <w:t>السي</w:t>
      </w:r>
      <w:r w:rsidR="00796DA2" w:rsidRPr="00282AC9">
        <w:rPr>
          <w:rFonts w:asciiTheme="minorBidi" w:hAnsiTheme="minorBidi" w:hint="cs"/>
          <w:sz w:val="27"/>
          <w:rtl/>
        </w:rPr>
        <w:t>ِّئ.</w:t>
      </w:r>
      <w:r w:rsidRPr="00282AC9">
        <w:rPr>
          <w:rFonts w:asciiTheme="minorBidi" w:hAnsiTheme="minorBidi"/>
          <w:sz w:val="27"/>
          <w:rtl/>
        </w:rPr>
        <w:t xml:space="preserve"> </w:t>
      </w:r>
      <w:r w:rsidRPr="00282AC9">
        <w:rPr>
          <w:rFonts w:asciiTheme="minorBidi" w:hAnsiTheme="minorBidi" w:hint="cs"/>
          <w:sz w:val="27"/>
          <w:rtl/>
        </w:rPr>
        <w:t>وهي</w:t>
      </w:r>
      <w:r w:rsidRPr="00282AC9">
        <w:rPr>
          <w:rFonts w:asciiTheme="minorBidi" w:hAnsiTheme="minorBidi"/>
          <w:sz w:val="27"/>
          <w:rtl/>
        </w:rPr>
        <w:t xml:space="preserve"> </w:t>
      </w:r>
      <w:r w:rsidRPr="00282AC9">
        <w:rPr>
          <w:rFonts w:asciiTheme="minorBidi" w:hAnsiTheme="minorBidi" w:hint="cs"/>
          <w:sz w:val="27"/>
          <w:rtl/>
        </w:rPr>
        <w:t>منذ</w:t>
      </w:r>
      <w:r w:rsidRPr="00282AC9">
        <w:rPr>
          <w:rFonts w:asciiTheme="minorBidi" w:hAnsiTheme="minorBidi"/>
          <w:sz w:val="27"/>
          <w:rtl/>
        </w:rPr>
        <w:t xml:space="preserve"> </w:t>
      </w:r>
      <w:r w:rsidRPr="00282AC9">
        <w:rPr>
          <w:rFonts w:asciiTheme="minorBidi" w:hAnsiTheme="minorBidi" w:hint="cs"/>
          <w:sz w:val="27"/>
          <w:rtl/>
        </w:rPr>
        <w:t>زمن</w:t>
      </w:r>
      <w:r w:rsidRPr="00282AC9">
        <w:rPr>
          <w:rFonts w:asciiTheme="minorBidi" w:hAnsiTheme="minorBidi"/>
          <w:sz w:val="27"/>
          <w:rtl/>
        </w:rPr>
        <w:t xml:space="preserve"> </w:t>
      </w:r>
      <w:r w:rsidRPr="00282AC9">
        <w:rPr>
          <w:rFonts w:asciiTheme="minorBidi" w:hAnsiTheme="minorBidi" w:hint="cs"/>
          <w:sz w:val="27"/>
          <w:rtl/>
        </w:rPr>
        <w:t>استشهاد الإمام</w:t>
      </w:r>
      <w:r w:rsidRPr="00282AC9">
        <w:rPr>
          <w:rFonts w:asciiTheme="minorBidi" w:hAnsiTheme="minorBidi"/>
          <w:sz w:val="27"/>
          <w:rtl/>
        </w:rPr>
        <w:t xml:space="preserve"> </w:t>
      </w:r>
      <w:r w:rsidRPr="00282AC9">
        <w:rPr>
          <w:rFonts w:asciiTheme="minorBidi" w:hAnsiTheme="minorBidi" w:hint="cs"/>
          <w:sz w:val="27"/>
          <w:rtl/>
        </w:rPr>
        <w:t>الحسين</w:t>
      </w:r>
      <w:r w:rsidR="009A2A04" w:rsidRPr="00282AC9">
        <w:rPr>
          <w:rFonts w:asciiTheme="minorBidi" w:hAnsiTheme="minorBidi" w:cs="Mosawi" w:hint="cs"/>
          <w:sz w:val="22"/>
          <w:szCs w:val="22"/>
          <w:rtl/>
        </w:rPr>
        <w:t>×</w:t>
      </w:r>
      <w:r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واستمر</w:t>
      </w:r>
      <w:r w:rsidRPr="00282AC9">
        <w:rPr>
          <w:rFonts w:asciiTheme="minorBidi" w:hAnsiTheme="minorBidi"/>
          <w:sz w:val="27"/>
          <w:rtl/>
        </w:rPr>
        <w:t xml:space="preserve"> </w:t>
      </w:r>
      <w:r w:rsidRPr="00282AC9">
        <w:rPr>
          <w:rFonts w:asciiTheme="minorBidi" w:hAnsiTheme="minorBidi" w:hint="cs"/>
          <w:sz w:val="27"/>
          <w:rtl/>
        </w:rPr>
        <w:t>الحال</w:t>
      </w:r>
      <w:r w:rsidRPr="00282AC9">
        <w:rPr>
          <w:rFonts w:asciiTheme="minorBidi" w:hAnsiTheme="minorBidi"/>
          <w:sz w:val="27"/>
          <w:rtl/>
        </w:rPr>
        <w:t xml:space="preserve"> </w:t>
      </w:r>
      <w:r w:rsidRPr="00282AC9">
        <w:rPr>
          <w:rFonts w:asciiTheme="minorBidi" w:hAnsiTheme="minorBidi" w:hint="cs"/>
          <w:sz w:val="27"/>
          <w:rtl/>
        </w:rPr>
        <w:t>السي</w:t>
      </w:r>
      <w:r w:rsidR="00796DA2" w:rsidRPr="00282AC9">
        <w:rPr>
          <w:rFonts w:asciiTheme="minorBidi" w:hAnsiTheme="minorBidi" w:hint="cs"/>
          <w:sz w:val="27"/>
          <w:rtl/>
        </w:rPr>
        <w:t>ِّئ،</w:t>
      </w:r>
      <w:r w:rsidRPr="00282AC9">
        <w:rPr>
          <w:rFonts w:asciiTheme="minorBidi" w:hAnsiTheme="minorBidi"/>
          <w:sz w:val="27"/>
          <w:rtl/>
        </w:rPr>
        <w:t xml:space="preserve"> </w:t>
      </w:r>
      <w:r w:rsidRPr="00282AC9">
        <w:rPr>
          <w:rFonts w:asciiTheme="minorBidi" w:hAnsiTheme="minorBidi" w:hint="cs"/>
          <w:sz w:val="27"/>
          <w:rtl/>
        </w:rPr>
        <w:t>ولا</w:t>
      </w:r>
      <w:r w:rsidR="00796DA2" w:rsidRPr="00282AC9">
        <w:rPr>
          <w:rFonts w:asciiTheme="minorBidi" w:hAnsiTheme="minorBidi" w:hint="cs"/>
          <w:sz w:val="27"/>
          <w:rtl/>
        </w:rPr>
        <w:t xml:space="preserve"> </w:t>
      </w:r>
      <w:r w:rsidRPr="00282AC9">
        <w:rPr>
          <w:rFonts w:asciiTheme="minorBidi" w:hAnsiTheme="minorBidi" w:hint="cs"/>
          <w:sz w:val="27"/>
          <w:rtl/>
        </w:rPr>
        <w:t>زال</w:t>
      </w:r>
      <w:r w:rsidRPr="00282AC9">
        <w:rPr>
          <w:rFonts w:asciiTheme="minorBidi" w:hAnsiTheme="minorBidi"/>
          <w:sz w:val="27"/>
          <w:rtl/>
        </w:rPr>
        <w:t xml:space="preserve"> </w:t>
      </w:r>
      <w:r w:rsidRPr="00282AC9">
        <w:rPr>
          <w:rFonts w:asciiTheme="minorBidi" w:hAnsiTheme="minorBidi" w:hint="cs"/>
          <w:sz w:val="27"/>
          <w:rtl/>
        </w:rPr>
        <w:t>الحال</w:t>
      </w:r>
      <w:r w:rsidRPr="00282AC9">
        <w:rPr>
          <w:rFonts w:asciiTheme="minorBidi" w:hAnsiTheme="minorBidi"/>
          <w:sz w:val="27"/>
          <w:rtl/>
        </w:rPr>
        <w:t xml:space="preserve"> </w:t>
      </w:r>
      <w:r w:rsidRPr="00282AC9">
        <w:rPr>
          <w:rFonts w:asciiTheme="minorBidi" w:hAnsiTheme="minorBidi" w:hint="cs"/>
          <w:sz w:val="27"/>
          <w:rtl/>
        </w:rPr>
        <w:t>هو</w:t>
      </w:r>
      <w:r w:rsidRPr="00282AC9">
        <w:rPr>
          <w:rFonts w:asciiTheme="minorBidi" w:hAnsiTheme="minorBidi"/>
          <w:sz w:val="27"/>
          <w:rtl/>
        </w:rPr>
        <w:t xml:space="preserve"> </w:t>
      </w:r>
      <w:r w:rsidRPr="00282AC9">
        <w:rPr>
          <w:rFonts w:asciiTheme="minorBidi" w:hAnsiTheme="minorBidi" w:hint="cs"/>
          <w:sz w:val="27"/>
          <w:rtl/>
        </w:rPr>
        <w:t>الحال. فأين</w:t>
      </w:r>
      <w:r w:rsidRPr="00282AC9">
        <w:rPr>
          <w:rFonts w:asciiTheme="minorBidi" w:hAnsiTheme="minorBidi"/>
          <w:sz w:val="27"/>
          <w:rtl/>
        </w:rPr>
        <w:t xml:space="preserve"> </w:t>
      </w:r>
      <w:r w:rsidRPr="00282AC9">
        <w:rPr>
          <w:rFonts w:asciiTheme="minorBidi" w:hAnsiTheme="minorBidi" w:hint="cs"/>
          <w:sz w:val="27"/>
          <w:rtl/>
        </w:rPr>
        <w:t>الإصلاح</w:t>
      </w:r>
      <w:r w:rsidRPr="00282AC9">
        <w:rPr>
          <w:rFonts w:asciiTheme="minorBidi" w:hAnsiTheme="minorBidi"/>
          <w:sz w:val="27"/>
          <w:rtl/>
        </w:rPr>
        <w:t xml:space="preserve"> </w:t>
      </w:r>
      <w:r w:rsidRPr="00282AC9">
        <w:rPr>
          <w:rFonts w:asciiTheme="minorBidi" w:hAnsiTheme="minorBidi" w:hint="cs"/>
          <w:sz w:val="27"/>
          <w:rtl/>
        </w:rPr>
        <w:t>الذي يتحد</w:t>
      </w:r>
      <w:r w:rsidR="00796DA2" w:rsidRPr="00282AC9">
        <w:rPr>
          <w:rFonts w:asciiTheme="minorBidi" w:hAnsiTheme="minorBidi" w:hint="cs"/>
          <w:sz w:val="27"/>
          <w:rtl/>
        </w:rPr>
        <w:t>َّ</w:t>
      </w:r>
      <w:r w:rsidRPr="00282AC9">
        <w:rPr>
          <w:rFonts w:asciiTheme="minorBidi" w:hAnsiTheme="minorBidi" w:hint="cs"/>
          <w:sz w:val="27"/>
          <w:rtl/>
        </w:rPr>
        <w:t>ث</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أن</w:t>
      </w:r>
      <w:r w:rsidRPr="00282AC9">
        <w:rPr>
          <w:rFonts w:asciiTheme="minorBidi" w:hAnsiTheme="minorBidi"/>
          <w:sz w:val="27"/>
          <w:rtl/>
        </w:rPr>
        <w:t xml:space="preserve"> </w:t>
      </w:r>
      <w:r w:rsidRPr="00282AC9">
        <w:rPr>
          <w:rFonts w:asciiTheme="minorBidi" w:hAnsiTheme="minorBidi" w:hint="cs"/>
          <w:sz w:val="27"/>
          <w:rtl/>
        </w:rPr>
        <w:t>الامام الحسين</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قد</w:t>
      </w:r>
      <w:r w:rsidRPr="00282AC9">
        <w:rPr>
          <w:rFonts w:asciiTheme="minorBidi" w:hAnsiTheme="minorBidi"/>
          <w:sz w:val="27"/>
          <w:rtl/>
        </w:rPr>
        <w:t xml:space="preserve"> </w:t>
      </w:r>
      <w:r w:rsidRPr="00282AC9">
        <w:rPr>
          <w:rFonts w:asciiTheme="minorBidi" w:hAnsiTheme="minorBidi" w:hint="cs"/>
          <w:sz w:val="27"/>
          <w:rtl/>
        </w:rPr>
        <w:t>انتصر</w:t>
      </w:r>
      <w:r w:rsidR="00796D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وقد</w:t>
      </w:r>
      <w:r w:rsidRPr="00282AC9">
        <w:rPr>
          <w:rFonts w:asciiTheme="minorBidi" w:hAnsiTheme="minorBidi"/>
          <w:sz w:val="27"/>
          <w:rtl/>
        </w:rPr>
        <w:t xml:space="preserve"> </w:t>
      </w:r>
      <w:r w:rsidRPr="00282AC9">
        <w:rPr>
          <w:rFonts w:asciiTheme="minorBidi" w:hAnsiTheme="minorBidi" w:hint="cs"/>
          <w:sz w:val="27"/>
          <w:rtl/>
        </w:rPr>
        <w:t>حق</w:t>
      </w:r>
      <w:r w:rsidR="00796DA2" w:rsidRPr="00282AC9">
        <w:rPr>
          <w:rFonts w:asciiTheme="minorBidi" w:hAnsiTheme="minorBidi" w:hint="cs"/>
          <w:sz w:val="27"/>
          <w:rtl/>
        </w:rPr>
        <w:t>َّ</w:t>
      </w:r>
      <w:r w:rsidRPr="00282AC9">
        <w:rPr>
          <w:rFonts w:asciiTheme="minorBidi" w:hAnsiTheme="minorBidi" w:hint="cs"/>
          <w:sz w:val="27"/>
          <w:rtl/>
        </w:rPr>
        <w:t>ق</w:t>
      </w:r>
      <w:r w:rsidRPr="00282AC9">
        <w:rPr>
          <w:rFonts w:asciiTheme="minorBidi" w:hAnsiTheme="minorBidi"/>
          <w:sz w:val="27"/>
          <w:rtl/>
        </w:rPr>
        <w:t xml:space="preserve"> </w:t>
      </w:r>
      <w:r w:rsidRPr="00282AC9">
        <w:rPr>
          <w:rFonts w:asciiTheme="minorBidi" w:hAnsiTheme="minorBidi" w:hint="cs"/>
          <w:sz w:val="27"/>
          <w:rtl/>
        </w:rPr>
        <w:t>النصر</w:t>
      </w:r>
      <w:r w:rsidR="00796D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وتحق</w:t>
      </w:r>
      <w:r w:rsidR="00796DA2" w:rsidRPr="00282AC9">
        <w:rPr>
          <w:rFonts w:asciiTheme="minorBidi" w:hAnsiTheme="minorBidi" w:hint="cs"/>
          <w:sz w:val="27"/>
          <w:rtl/>
        </w:rPr>
        <w:t>َّ</w:t>
      </w:r>
      <w:r w:rsidRPr="00282AC9">
        <w:rPr>
          <w:rFonts w:asciiTheme="minorBidi" w:hAnsiTheme="minorBidi" w:hint="cs"/>
          <w:sz w:val="27"/>
          <w:rtl/>
        </w:rPr>
        <w:t>قت</w:t>
      </w:r>
      <w:r w:rsidRPr="00282AC9">
        <w:rPr>
          <w:rFonts w:asciiTheme="minorBidi" w:hAnsiTheme="minorBidi"/>
          <w:sz w:val="27"/>
          <w:rtl/>
        </w:rPr>
        <w:t xml:space="preserve"> </w:t>
      </w:r>
      <w:r w:rsidRPr="00282AC9">
        <w:rPr>
          <w:rFonts w:asciiTheme="minorBidi" w:hAnsiTheme="minorBidi" w:hint="cs"/>
          <w:sz w:val="27"/>
          <w:rtl/>
        </w:rPr>
        <w:t>أهدافه</w:t>
      </w:r>
      <w:r w:rsidR="00796D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وأن</w:t>
      </w:r>
      <w:r w:rsidRPr="00282AC9">
        <w:rPr>
          <w:rFonts w:asciiTheme="minorBidi" w:hAnsiTheme="minorBidi"/>
          <w:sz w:val="27"/>
          <w:rtl/>
        </w:rPr>
        <w:t xml:space="preserve"> </w:t>
      </w:r>
      <w:r w:rsidRPr="00282AC9">
        <w:rPr>
          <w:rFonts w:asciiTheme="minorBidi" w:hAnsiTheme="minorBidi" w:hint="cs"/>
          <w:sz w:val="27"/>
          <w:rtl/>
        </w:rPr>
        <w:t>الأم</w:t>
      </w:r>
      <w:r w:rsidR="00796DA2" w:rsidRPr="00282AC9">
        <w:rPr>
          <w:rFonts w:asciiTheme="minorBidi" w:hAnsiTheme="minorBidi" w:hint="cs"/>
          <w:sz w:val="27"/>
          <w:rtl/>
        </w:rPr>
        <w:t>ّ</w:t>
      </w:r>
      <w:r w:rsidRPr="00282AC9">
        <w:rPr>
          <w:rFonts w:asciiTheme="minorBidi" w:hAnsiTheme="minorBidi" w:hint="cs"/>
          <w:sz w:val="27"/>
          <w:rtl/>
        </w:rPr>
        <w:t>ة</w:t>
      </w:r>
      <w:r w:rsidRPr="00282AC9">
        <w:rPr>
          <w:rFonts w:asciiTheme="minorBidi" w:hAnsiTheme="minorBidi"/>
          <w:sz w:val="27"/>
          <w:rtl/>
        </w:rPr>
        <w:t xml:space="preserve"> </w:t>
      </w:r>
      <w:r w:rsidRPr="00282AC9">
        <w:rPr>
          <w:rFonts w:asciiTheme="minorBidi" w:hAnsiTheme="minorBidi" w:hint="cs"/>
          <w:sz w:val="27"/>
          <w:rtl/>
        </w:rPr>
        <w:t>قد</w:t>
      </w:r>
      <w:r w:rsidRPr="00282AC9">
        <w:rPr>
          <w:rFonts w:asciiTheme="minorBidi" w:hAnsiTheme="minorBidi"/>
          <w:sz w:val="27"/>
          <w:rtl/>
        </w:rPr>
        <w:t xml:space="preserve"> </w:t>
      </w:r>
      <w:r w:rsidRPr="00282AC9">
        <w:rPr>
          <w:rFonts w:asciiTheme="minorBidi" w:hAnsiTheme="minorBidi" w:hint="cs"/>
          <w:sz w:val="27"/>
          <w:rtl/>
        </w:rPr>
        <w:t>أصلح</w:t>
      </w:r>
      <w:r w:rsidRPr="00282AC9">
        <w:rPr>
          <w:rFonts w:asciiTheme="minorBidi" w:hAnsiTheme="minorBidi"/>
          <w:sz w:val="27"/>
          <w:rtl/>
        </w:rPr>
        <w:t xml:space="preserve"> </w:t>
      </w:r>
      <w:r w:rsidRPr="00282AC9">
        <w:rPr>
          <w:rFonts w:asciiTheme="minorBidi" w:hAnsiTheme="minorBidi" w:hint="cs"/>
          <w:sz w:val="27"/>
          <w:rtl/>
        </w:rPr>
        <w:t>حالها؟!</w:t>
      </w:r>
    </w:p>
    <w:p w:rsidR="00965E08" w:rsidRPr="00282AC9" w:rsidRDefault="00965E08" w:rsidP="003062B7">
      <w:pPr>
        <w:rPr>
          <w:rFonts w:asciiTheme="minorBidi" w:hAnsiTheme="minorBidi"/>
          <w:sz w:val="27"/>
        </w:rPr>
      </w:pPr>
      <w:r w:rsidRPr="00282AC9">
        <w:rPr>
          <w:rFonts w:asciiTheme="minorBidi" w:eastAsia="MS Gothic" w:hAnsiTheme="minorBidi" w:hint="cs"/>
          <w:sz w:val="27"/>
          <w:rtl/>
        </w:rPr>
        <w:t>5ـ</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00796DA2" w:rsidRPr="00282AC9">
        <w:rPr>
          <w:rFonts w:asciiTheme="minorBidi" w:hAnsiTheme="minorBidi" w:hint="cs"/>
          <w:sz w:val="27"/>
          <w:rtl/>
        </w:rPr>
        <w:t>حديثٍ</w:t>
      </w:r>
      <w:r w:rsidRPr="00282AC9">
        <w:rPr>
          <w:rFonts w:asciiTheme="minorBidi" w:hAnsiTheme="minorBidi"/>
          <w:sz w:val="27"/>
          <w:rtl/>
        </w:rPr>
        <w:t xml:space="preserve"> </w:t>
      </w:r>
      <w:r w:rsidRPr="00282AC9">
        <w:rPr>
          <w:rFonts w:asciiTheme="minorBidi" w:hAnsiTheme="minorBidi" w:hint="cs"/>
          <w:sz w:val="27"/>
          <w:rtl/>
        </w:rPr>
        <w:t>دار</w:t>
      </w:r>
      <w:r w:rsidRPr="00282AC9">
        <w:rPr>
          <w:rFonts w:asciiTheme="minorBidi" w:hAnsiTheme="minorBidi"/>
          <w:sz w:val="27"/>
          <w:rtl/>
        </w:rPr>
        <w:t xml:space="preserve"> </w:t>
      </w:r>
      <w:r w:rsidRPr="00282AC9">
        <w:rPr>
          <w:rFonts w:asciiTheme="minorBidi" w:hAnsiTheme="minorBidi" w:hint="cs"/>
          <w:sz w:val="27"/>
          <w:rtl/>
        </w:rPr>
        <w:t>بين</w:t>
      </w:r>
      <w:r w:rsidRPr="00282AC9">
        <w:rPr>
          <w:rFonts w:asciiTheme="minorBidi" w:hAnsiTheme="minorBidi"/>
          <w:sz w:val="27"/>
          <w:rtl/>
        </w:rPr>
        <w:t xml:space="preserve"> </w:t>
      </w:r>
      <w:r w:rsidRPr="00282AC9">
        <w:rPr>
          <w:rFonts w:asciiTheme="minorBidi" w:hAnsiTheme="minorBidi" w:hint="cs"/>
          <w:sz w:val="27"/>
          <w:rtl/>
        </w:rPr>
        <w:t>إمامنا</w:t>
      </w:r>
      <w:r w:rsidRPr="00282AC9">
        <w:rPr>
          <w:rFonts w:asciiTheme="minorBidi" w:hAnsiTheme="minorBidi"/>
          <w:sz w:val="27"/>
          <w:rtl/>
        </w:rPr>
        <w:t xml:space="preserve"> </w:t>
      </w:r>
      <w:r w:rsidRPr="00282AC9">
        <w:rPr>
          <w:rFonts w:asciiTheme="minorBidi" w:hAnsiTheme="minorBidi" w:hint="cs"/>
          <w:sz w:val="27"/>
          <w:rtl/>
        </w:rPr>
        <w:t>السج</w:t>
      </w:r>
      <w:r w:rsidR="00796DA2" w:rsidRPr="00282AC9">
        <w:rPr>
          <w:rFonts w:asciiTheme="minorBidi" w:hAnsiTheme="minorBidi" w:hint="cs"/>
          <w:sz w:val="27"/>
          <w:rtl/>
        </w:rPr>
        <w:t>ّ</w:t>
      </w:r>
      <w:r w:rsidRPr="00282AC9">
        <w:rPr>
          <w:rFonts w:asciiTheme="minorBidi" w:hAnsiTheme="minorBidi" w:hint="cs"/>
          <w:sz w:val="27"/>
          <w:rtl/>
        </w:rPr>
        <w:t>اد</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00796DA2" w:rsidRPr="00282AC9">
        <w:rPr>
          <w:rFonts w:asciiTheme="minorBidi" w:hAnsiTheme="minorBidi" w:hint="cs"/>
          <w:sz w:val="27"/>
          <w:rtl/>
        </w:rPr>
        <w:t>و</w:t>
      </w:r>
      <w:r w:rsidRPr="00282AC9">
        <w:rPr>
          <w:rFonts w:asciiTheme="minorBidi" w:hAnsiTheme="minorBidi" w:hint="cs"/>
          <w:sz w:val="27"/>
          <w:rtl/>
        </w:rPr>
        <w:t>عم</w:t>
      </w:r>
      <w:r w:rsidR="00796DA2" w:rsidRPr="00282AC9">
        <w:rPr>
          <w:rFonts w:asciiTheme="minorBidi" w:hAnsiTheme="minorBidi" w:hint="cs"/>
          <w:sz w:val="27"/>
          <w:rtl/>
        </w:rPr>
        <w:t>ّ</w:t>
      </w:r>
      <w:r w:rsidRPr="00282AC9">
        <w:rPr>
          <w:rFonts w:asciiTheme="minorBidi" w:hAnsiTheme="minorBidi" w:hint="cs"/>
          <w:sz w:val="27"/>
          <w:rtl/>
        </w:rPr>
        <w:t>ته</w:t>
      </w:r>
      <w:r w:rsidRPr="00282AC9">
        <w:rPr>
          <w:rFonts w:asciiTheme="minorBidi" w:hAnsiTheme="minorBidi"/>
          <w:sz w:val="27"/>
          <w:rtl/>
        </w:rPr>
        <w:t xml:space="preserve"> </w:t>
      </w:r>
      <w:r w:rsidRPr="00282AC9">
        <w:rPr>
          <w:rFonts w:asciiTheme="minorBidi" w:hAnsiTheme="minorBidi" w:hint="cs"/>
          <w:sz w:val="27"/>
          <w:rtl/>
        </w:rPr>
        <w:t>زينب</w:t>
      </w:r>
      <w:r w:rsidR="00CD164D" w:rsidRPr="00282AC9">
        <w:rPr>
          <w:rFonts w:ascii="Mosawi" w:hAnsi="Mosawi" w:cs="Mosawi"/>
          <w:sz w:val="22"/>
          <w:szCs w:val="22"/>
        </w:rPr>
        <w:t>÷</w:t>
      </w:r>
      <w:r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وهي</w:t>
      </w:r>
      <w:r w:rsidRPr="00282AC9">
        <w:rPr>
          <w:rFonts w:asciiTheme="minorBidi" w:hAnsiTheme="minorBidi"/>
          <w:sz w:val="27"/>
          <w:rtl/>
        </w:rPr>
        <w:t xml:space="preserve"> </w:t>
      </w:r>
      <w:r w:rsidRPr="00282AC9">
        <w:rPr>
          <w:rFonts w:asciiTheme="minorBidi" w:hAnsiTheme="minorBidi" w:hint="cs"/>
          <w:sz w:val="27"/>
          <w:rtl/>
        </w:rPr>
        <w:t>تحد</w:t>
      </w:r>
      <w:r w:rsidR="00796DA2" w:rsidRPr="00282AC9">
        <w:rPr>
          <w:rFonts w:asciiTheme="minorBidi" w:hAnsiTheme="minorBidi" w:hint="cs"/>
          <w:sz w:val="27"/>
          <w:rtl/>
        </w:rPr>
        <w:t>ِّ</w:t>
      </w:r>
      <w:r w:rsidRPr="00282AC9">
        <w:rPr>
          <w:rFonts w:asciiTheme="minorBidi" w:hAnsiTheme="minorBidi" w:hint="cs"/>
          <w:sz w:val="27"/>
          <w:rtl/>
        </w:rPr>
        <w:t>ث</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أمير</w:t>
      </w:r>
      <w:r w:rsidRPr="00282AC9">
        <w:rPr>
          <w:rFonts w:asciiTheme="minorBidi" w:hAnsiTheme="minorBidi"/>
          <w:sz w:val="27"/>
          <w:rtl/>
        </w:rPr>
        <w:t xml:space="preserve"> </w:t>
      </w:r>
      <w:r w:rsidRPr="00282AC9">
        <w:rPr>
          <w:rFonts w:asciiTheme="minorBidi" w:hAnsiTheme="minorBidi" w:hint="cs"/>
          <w:sz w:val="27"/>
          <w:rtl/>
        </w:rPr>
        <w:t>المؤمنين</w:t>
      </w:r>
      <w:r w:rsidR="009A2A04" w:rsidRPr="00282AC9">
        <w:rPr>
          <w:rFonts w:asciiTheme="minorBidi" w:hAnsiTheme="minorBidi" w:cs="Mosawi" w:hint="cs"/>
          <w:sz w:val="22"/>
          <w:szCs w:val="22"/>
          <w:rtl/>
        </w:rPr>
        <w:t>×</w:t>
      </w:r>
      <w:r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وأمير</w:t>
      </w:r>
      <w:r w:rsidRPr="00282AC9">
        <w:rPr>
          <w:rFonts w:asciiTheme="minorBidi" w:hAnsiTheme="minorBidi"/>
          <w:sz w:val="27"/>
          <w:rtl/>
        </w:rPr>
        <w:t xml:space="preserve"> </w:t>
      </w:r>
      <w:r w:rsidRPr="00282AC9">
        <w:rPr>
          <w:rFonts w:asciiTheme="minorBidi" w:hAnsiTheme="minorBidi" w:hint="cs"/>
          <w:sz w:val="27"/>
          <w:rtl/>
        </w:rPr>
        <w:t>المؤمنين</w:t>
      </w:r>
      <w:r w:rsidR="009A2A04" w:rsidRPr="00282AC9">
        <w:rPr>
          <w:rFonts w:asciiTheme="minorBidi" w:hAnsiTheme="minorBidi" w:cs="Mosawi" w:hint="cs"/>
          <w:sz w:val="22"/>
          <w:szCs w:val="22"/>
          <w:rtl/>
        </w:rPr>
        <w:t>×</w:t>
      </w:r>
      <w:r w:rsidRPr="00282AC9">
        <w:rPr>
          <w:rFonts w:asciiTheme="minorBidi" w:hAnsiTheme="minorBidi"/>
          <w:sz w:val="27"/>
          <w:rtl/>
        </w:rPr>
        <w:t xml:space="preserve"> </w:t>
      </w:r>
      <w:r w:rsidRPr="00282AC9">
        <w:rPr>
          <w:rFonts w:asciiTheme="minorBidi" w:hAnsiTheme="minorBidi" w:hint="cs"/>
          <w:sz w:val="27"/>
          <w:rtl/>
        </w:rPr>
        <w:t>يحد</w:t>
      </w:r>
      <w:r w:rsidR="00796DA2" w:rsidRPr="00282AC9">
        <w:rPr>
          <w:rFonts w:asciiTheme="minorBidi" w:hAnsiTheme="minorBidi" w:hint="cs"/>
          <w:sz w:val="27"/>
          <w:rtl/>
        </w:rPr>
        <w:t>ِّ</w:t>
      </w:r>
      <w:r w:rsidRPr="00282AC9">
        <w:rPr>
          <w:rFonts w:asciiTheme="minorBidi" w:hAnsiTheme="minorBidi" w:hint="cs"/>
          <w:sz w:val="27"/>
          <w:rtl/>
        </w:rPr>
        <w:t>ث</w:t>
      </w:r>
      <w:r w:rsidRPr="00282AC9">
        <w:rPr>
          <w:rFonts w:asciiTheme="minorBidi" w:hAnsiTheme="minorBidi"/>
          <w:sz w:val="27"/>
          <w:rtl/>
        </w:rPr>
        <w:t xml:space="preserve"> </w:t>
      </w:r>
      <w:r w:rsidRPr="00282AC9">
        <w:rPr>
          <w:rFonts w:asciiTheme="minorBidi" w:hAnsiTheme="minorBidi" w:hint="cs"/>
          <w:sz w:val="27"/>
          <w:rtl/>
        </w:rPr>
        <w:t>عن</w:t>
      </w:r>
      <w:r w:rsidRPr="00282AC9">
        <w:rPr>
          <w:rFonts w:asciiTheme="minorBidi" w:hAnsiTheme="minorBidi"/>
          <w:sz w:val="27"/>
          <w:rtl/>
        </w:rPr>
        <w:t xml:space="preserve"> </w:t>
      </w:r>
      <w:r w:rsidRPr="00282AC9">
        <w:rPr>
          <w:rFonts w:asciiTheme="minorBidi" w:hAnsiTheme="minorBidi" w:hint="cs"/>
          <w:sz w:val="27"/>
          <w:rtl/>
        </w:rPr>
        <w:t>رسول</w:t>
      </w:r>
      <w:r w:rsidRPr="00282AC9">
        <w:rPr>
          <w:rFonts w:asciiTheme="minorBidi" w:hAnsiTheme="minorBidi"/>
          <w:sz w:val="27"/>
          <w:rtl/>
        </w:rPr>
        <w:t xml:space="preserve"> </w:t>
      </w:r>
      <w:r w:rsidRPr="00282AC9">
        <w:rPr>
          <w:rFonts w:asciiTheme="minorBidi" w:hAnsiTheme="minorBidi" w:hint="cs"/>
          <w:sz w:val="27"/>
          <w:rtl/>
        </w:rPr>
        <w:t>الله</w:t>
      </w:r>
      <w:r w:rsidR="009A2A04" w:rsidRPr="00282AC9">
        <w:rPr>
          <w:rFonts w:asciiTheme="minorBidi" w:hAnsiTheme="minorBidi" w:cs="Mosawi"/>
          <w:sz w:val="22"/>
          <w:szCs w:val="22"/>
          <w:rtl/>
        </w:rPr>
        <w:t>|</w:t>
      </w:r>
      <w:r w:rsidR="00796DA2" w:rsidRPr="00282AC9">
        <w:rPr>
          <w:rFonts w:asciiTheme="minorBidi" w:hAnsiTheme="minorBidi" w:hint="cs"/>
          <w:sz w:val="27"/>
          <w:rtl/>
        </w:rPr>
        <w:t>،</w:t>
      </w:r>
      <w:r w:rsidRPr="00282AC9">
        <w:rPr>
          <w:rFonts w:asciiTheme="minorBidi" w:hAnsiTheme="minorBidi" w:hint="cs"/>
          <w:sz w:val="27"/>
          <w:rtl/>
        </w:rPr>
        <w:t xml:space="preserve"> في</w:t>
      </w:r>
      <w:r w:rsidRPr="00282AC9">
        <w:rPr>
          <w:rFonts w:asciiTheme="minorBidi" w:hAnsiTheme="minorBidi"/>
          <w:sz w:val="27"/>
          <w:rtl/>
        </w:rPr>
        <w:t xml:space="preserve"> </w:t>
      </w:r>
      <w:r w:rsidRPr="00282AC9">
        <w:rPr>
          <w:rFonts w:asciiTheme="minorBidi" w:hAnsiTheme="minorBidi" w:hint="cs"/>
          <w:sz w:val="27"/>
          <w:rtl/>
        </w:rPr>
        <w:t>اللحظات</w:t>
      </w:r>
      <w:r w:rsidRPr="00282AC9">
        <w:rPr>
          <w:rFonts w:asciiTheme="minorBidi" w:hAnsiTheme="minorBidi"/>
          <w:sz w:val="27"/>
          <w:rtl/>
        </w:rPr>
        <w:t xml:space="preserve"> </w:t>
      </w:r>
      <w:r w:rsidRPr="00282AC9">
        <w:rPr>
          <w:rFonts w:asciiTheme="minorBidi" w:hAnsiTheme="minorBidi" w:hint="cs"/>
          <w:sz w:val="27"/>
          <w:rtl/>
        </w:rPr>
        <w:t>الأخيرة</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حياته</w:t>
      </w:r>
      <w:r w:rsidR="00796DA2" w:rsidRPr="00282AC9">
        <w:rPr>
          <w:rFonts w:asciiTheme="minorBidi" w:hAnsiTheme="minorBidi" w:hint="cs"/>
          <w:sz w:val="27"/>
          <w:rtl/>
        </w:rPr>
        <w:t xml:space="preserve">، </w:t>
      </w:r>
      <w:r w:rsidRPr="00282AC9">
        <w:rPr>
          <w:rFonts w:asciiTheme="minorBidi" w:hAnsiTheme="minorBidi" w:hint="cs"/>
          <w:sz w:val="27"/>
          <w:rtl/>
        </w:rPr>
        <w:t>يقول</w:t>
      </w:r>
      <w:r w:rsidR="009A2A04" w:rsidRPr="00282AC9">
        <w:rPr>
          <w:rFonts w:asciiTheme="minorBidi" w:hAnsiTheme="minorBidi" w:cs="Mosawi" w:hint="cs"/>
          <w:sz w:val="22"/>
          <w:szCs w:val="22"/>
          <w:rtl/>
        </w:rPr>
        <w:t>×</w:t>
      </w:r>
      <w:r w:rsidRPr="00282AC9">
        <w:rPr>
          <w:rFonts w:asciiTheme="minorBidi" w:hAnsiTheme="minorBidi"/>
          <w:sz w:val="27"/>
          <w:rtl/>
        </w:rPr>
        <w:t>:</w:t>
      </w:r>
      <w:r w:rsidRPr="00282AC9">
        <w:rPr>
          <w:rFonts w:asciiTheme="minorBidi" w:hAnsiTheme="minorBidi" w:hint="cs"/>
          <w:sz w:val="27"/>
          <w:rtl/>
        </w:rPr>
        <w:t xml:space="preserve"> </w:t>
      </w:r>
      <w:r w:rsidRPr="00282AC9">
        <w:rPr>
          <w:rFonts w:hint="eastAsia"/>
          <w:sz w:val="24"/>
          <w:szCs w:val="24"/>
          <w:rtl/>
        </w:rPr>
        <w:t>«</w:t>
      </w:r>
      <w:r w:rsidRPr="00282AC9">
        <w:rPr>
          <w:rFonts w:asciiTheme="minorBidi" w:hAnsiTheme="minorBidi" w:hint="cs"/>
          <w:sz w:val="27"/>
          <w:rtl/>
        </w:rPr>
        <w:t>...ولقد</w:t>
      </w:r>
      <w:r w:rsidRPr="00282AC9">
        <w:rPr>
          <w:rFonts w:asciiTheme="minorBidi" w:hAnsiTheme="minorBidi"/>
          <w:sz w:val="27"/>
          <w:rtl/>
        </w:rPr>
        <w:t xml:space="preserve"> </w:t>
      </w:r>
      <w:r w:rsidRPr="00282AC9">
        <w:rPr>
          <w:rFonts w:asciiTheme="minorBidi" w:hAnsiTheme="minorBidi" w:hint="cs"/>
          <w:sz w:val="27"/>
          <w:rtl/>
        </w:rPr>
        <w:t>قال</w:t>
      </w:r>
      <w:r w:rsidRPr="00282AC9">
        <w:rPr>
          <w:rFonts w:asciiTheme="minorBidi" w:hAnsiTheme="minorBidi"/>
          <w:sz w:val="27"/>
          <w:rtl/>
        </w:rPr>
        <w:t xml:space="preserve"> </w:t>
      </w:r>
      <w:r w:rsidRPr="00282AC9">
        <w:rPr>
          <w:rFonts w:asciiTheme="minorBidi" w:hAnsiTheme="minorBidi" w:hint="cs"/>
          <w:sz w:val="27"/>
          <w:rtl/>
        </w:rPr>
        <w:t>لنا</w:t>
      </w:r>
      <w:r w:rsidRPr="00282AC9">
        <w:rPr>
          <w:rFonts w:asciiTheme="minorBidi" w:hAnsiTheme="minorBidi"/>
          <w:sz w:val="27"/>
          <w:rtl/>
        </w:rPr>
        <w:t xml:space="preserve"> </w:t>
      </w:r>
      <w:r w:rsidRPr="00282AC9">
        <w:rPr>
          <w:rFonts w:asciiTheme="minorBidi" w:hAnsiTheme="minorBidi" w:hint="cs"/>
          <w:sz w:val="27"/>
          <w:rtl/>
        </w:rPr>
        <w:t>رسول</w:t>
      </w:r>
      <w:r w:rsidRPr="00282AC9">
        <w:rPr>
          <w:rFonts w:asciiTheme="minorBidi" w:hAnsiTheme="minorBidi"/>
          <w:sz w:val="27"/>
          <w:rtl/>
        </w:rPr>
        <w:t xml:space="preserve"> </w:t>
      </w:r>
      <w:r w:rsidRPr="00282AC9">
        <w:rPr>
          <w:rFonts w:asciiTheme="minorBidi" w:hAnsiTheme="minorBidi" w:hint="cs"/>
          <w:sz w:val="27"/>
          <w:rtl/>
        </w:rPr>
        <w:t>الله</w:t>
      </w:r>
      <w:r w:rsidR="009A2A04" w:rsidRPr="00282AC9">
        <w:rPr>
          <w:rFonts w:asciiTheme="minorBidi" w:hAnsiTheme="minorBidi" w:cs="Mosawi" w:hint="cs"/>
          <w:sz w:val="22"/>
          <w:szCs w:val="22"/>
          <w:rtl/>
        </w:rPr>
        <w:t>|</w:t>
      </w:r>
      <w:r w:rsidR="00796D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حين</w:t>
      </w:r>
      <w:r w:rsidRPr="00282AC9">
        <w:rPr>
          <w:rFonts w:asciiTheme="minorBidi" w:hAnsiTheme="minorBidi"/>
          <w:sz w:val="27"/>
          <w:rtl/>
        </w:rPr>
        <w:t xml:space="preserve"> </w:t>
      </w:r>
      <w:r w:rsidRPr="00282AC9">
        <w:rPr>
          <w:rFonts w:asciiTheme="minorBidi" w:hAnsiTheme="minorBidi" w:hint="cs"/>
          <w:sz w:val="27"/>
          <w:rtl/>
        </w:rPr>
        <w:t>أخبرنا</w:t>
      </w:r>
      <w:r w:rsidRPr="00282AC9">
        <w:rPr>
          <w:rFonts w:asciiTheme="minorBidi" w:hAnsiTheme="minorBidi"/>
          <w:sz w:val="27"/>
          <w:rtl/>
        </w:rPr>
        <w:t xml:space="preserve"> </w:t>
      </w:r>
      <w:r w:rsidRPr="00282AC9">
        <w:rPr>
          <w:rFonts w:asciiTheme="minorBidi" w:hAnsiTheme="minorBidi" w:hint="cs"/>
          <w:sz w:val="27"/>
          <w:rtl/>
        </w:rPr>
        <w:t>بهذا</w:t>
      </w:r>
      <w:r w:rsidRPr="00282AC9">
        <w:rPr>
          <w:rFonts w:asciiTheme="minorBidi" w:hAnsiTheme="minorBidi"/>
          <w:sz w:val="27"/>
          <w:rtl/>
        </w:rPr>
        <w:t xml:space="preserve"> </w:t>
      </w:r>
      <w:r w:rsidRPr="00282AC9">
        <w:rPr>
          <w:rFonts w:asciiTheme="minorBidi" w:hAnsiTheme="minorBidi" w:hint="cs"/>
          <w:sz w:val="27"/>
          <w:rtl/>
        </w:rPr>
        <w:t>الخبر</w:t>
      </w:r>
      <w:r w:rsidRPr="00282AC9">
        <w:rPr>
          <w:rFonts w:asciiTheme="minorBidi" w:hAnsiTheme="minorBidi"/>
          <w:sz w:val="27"/>
          <w:rtl/>
        </w:rPr>
        <w:t xml:space="preserve">: </w:t>
      </w:r>
      <w:r w:rsidR="00796DA2" w:rsidRPr="00282AC9">
        <w:rPr>
          <w:rFonts w:asciiTheme="minorBidi" w:hAnsiTheme="minorBidi" w:hint="cs"/>
          <w:sz w:val="27"/>
          <w:rtl/>
        </w:rPr>
        <w:t>إ</w:t>
      </w:r>
      <w:r w:rsidRPr="00282AC9">
        <w:rPr>
          <w:rFonts w:asciiTheme="minorBidi" w:hAnsiTheme="minorBidi" w:hint="cs"/>
          <w:sz w:val="27"/>
          <w:rtl/>
        </w:rPr>
        <w:t>ن</w:t>
      </w:r>
      <w:r w:rsidRPr="00282AC9">
        <w:rPr>
          <w:rFonts w:asciiTheme="minorBidi" w:hAnsiTheme="minorBidi"/>
          <w:sz w:val="27"/>
          <w:rtl/>
        </w:rPr>
        <w:t xml:space="preserve"> </w:t>
      </w:r>
      <w:r w:rsidRPr="00282AC9">
        <w:rPr>
          <w:rFonts w:asciiTheme="minorBidi" w:hAnsiTheme="minorBidi" w:hint="cs"/>
          <w:sz w:val="27"/>
          <w:rtl/>
        </w:rPr>
        <w:t>إبليس</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ذلك اليوم</w:t>
      </w:r>
      <w:r w:rsidRPr="00282AC9">
        <w:rPr>
          <w:rFonts w:asciiTheme="minorBidi" w:hAnsiTheme="minorBidi"/>
          <w:sz w:val="27"/>
          <w:rtl/>
        </w:rPr>
        <w:t xml:space="preserve"> </w:t>
      </w:r>
      <w:r w:rsidRPr="00282AC9">
        <w:rPr>
          <w:rFonts w:asciiTheme="minorBidi" w:hAnsiTheme="minorBidi" w:hint="cs"/>
          <w:sz w:val="27"/>
          <w:rtl/>
        </w:rPr>
        <w:t>يطير</w:t>
      </w:r>
      <w:r w:rsidRPr="00282AC9">
        <w:rPr>
          <w:rFonts w:asciiTheme="minorBidi" w:hAnsiTheme="minorBidi"/>
          <w:sz w:val="27"/>
          <w:rtl/>
        </w:rPr>
        <w:t xml:space="preserve"> </w:t>
      </w:r>
      <w:r w:rsidRPr="00282AC9">
        <w:rPr>
          <w:rFonts w:asciiTheme="minorBidi" w:hAnsiTheme="minorBidi" w:hint="cs"/>
          <w:sz w:val="27"/>
          <w:rtl/>
        </w:rPr>
        <w:t>فرحا</w:t>
      </w:r>
      <w:r w:rsidR="00796D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فيجول</w:t>
      </w:r>
      <w:r w:rsidRPr="00282AC9">
        <w:rPr>
          <w:rFonts w:asciiTheme="minorBidi" w:hAnsiTheme="minorBidi"/>
          <w:sz w:val="27"/>
          <w:rtl/>
        </w:rPr>
        <w:t xml:space="preserve"> </w:t>
      </w:r>
      <w:r w:rsidRPr="00282AC9">
        <w:rPr>
          <w:rFonts w:asciiTheme="minorBidi" w:hAnsiTheme="minorBidi" w:hint="cs"/>
          <w:sz w:val="27"/>
          <w:rtl/>
        </w:rPr>
        <w:t>الأرض</w:t>
      </w:r>
      <w:r w:rsidRPr="00282AC9">
        <w:rPr>
          <w:rFonts w:asciiTheme="minorBidi" w:hAnsiTheme="minorBidi"/>
          <w:sz w:val="27"/>
          <w:rtl/>
        </w:rPr>
        <w:t xml:space="preserve"> </w:t>
      </w:r>
      <w:r w:rsidRPr="00282AC9">
        <w:rPr>
          <w:rFonts w:asciiTheme="minorBidi" w:hAnsiTheme="minorBidi" w:hint="cs"/>
          <w:sz w:val="27"/>
          <w:rtl/>
        </w:rPr>
        <w:t>كل</w:t>
      </w:r>
      <w:r w:rsidR="00796DA2" w:rsidRPr="00282AC9">
        <w:rPr>
          <w:rFonts w:asciiTheme="minorBidi" w:hAnsiTheme="minorBidi" w:hint="cs"/>
          <w:sz w:val="27"/>
          <w:rtl/>
        </w:rPr>
        <w:t>َّ</w:t>
      </w:r>
      <w:r w:rsidRPr="00282AC9">
        <w:rPr>
          <w:rFonts w:asciiTheme="minorBidi" w:hAnsiTheme="minorBidi" w:hint="cs"/>
          <w:sz w:val="27"/>
          <w:rtl/>
        </w:rPr>
        <w:t>ها</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شياطينه</w:t>
      </w:r>
      <w:r w:rsidRPr="00282AC9">
        <w:rPr>
          <w:rFonts w:asciiTheme="minorBidi" w:hAnsiTheme="minorBidi"/>
          <w:sz w:val="27"/>
          <w:rtl/>
        </w:rPr>
        <w:t xml:space="preserve"> </w:t>
      </w:r>
      <w:r w:rsidRPr="00282AC9">
        <w:rPr>
          <w:rFonts w:asciiTheme="minorBidi" w:hAnsiTheme="minorBidi" w:hint="cs"/>
          <w:sz w:val="27"/>
          <w:rtl/>
        </w:rPr>
        <w:t>وعفاريته</w:t>
      </w:r>
      <w:r w:rsidRPr="00282AC9">
        <w:rPr>
          <w:rFonts w:asciiTheme="minorBidi" w:hAnsiTheme="minorBidi"/>
          <w:sz w:val="27"/>
          <w:rtl/>
        </w:rPr>
        <w:t xml:space="preserve">، </w:t>
      </w:r>
      <w:r w:rsidRPr="00282AC9">
        <w:rPr>
          <w:rFonts w:asciiTheme="minorBidi" w:hAnsiTheme="minorBidi" w:hint="cs"/>
          <w:sz w:val="27"/>
          <w:rtl/>
        </w:rPr>
        <w:t>فيقول</w:t>
      </w:r>
      <w:r w:rsidRPr="00282AC9">
        <w:rPr>
          <w:rFonts w:asciiTheme="minorBidi" w:hAnsiTheme="minorBidi"/>
          <w:sz w:val="27"/>
          <w:rtl/>
        </w:rPr>
        <w:t xml:space="preserve">: </w:t>
      </w:r>
      <w:r w:rsidRPr="00282AC9">
        <w:rPr>
          <w:rFonts w:asciiTheme="minorBidi" w:hAnsiTheme="minorBidi" w:hint="cs"/>
          <w:sz w:val="27"/>
          <w:rtl/>
        </w:rPr>
        <w:t>يا</w:t>
      </w:r>
      <w:r w:rsidRPr="00282AC9">
        <w:rPr>
          <w:rFonts w:asciiTheme="minorBidi" w:hAnsiTheme="minorBidi"/>
          <w:sz w:val="27"/>
          <w:rtl/>
        </w:rPr>
        <w:t xml:space="preserve"> </w:t>
      </w:r>
      <w:r w:rsidRPr="00282AC9">
        <w:rPr>
          <w:rFonts w:asciiTheme="minorBidi" w:hAnsiTheme="minorBidi" w:hint="cs"/>
          <w:sz w:val="27"/>
          <w:rtl/>
        </w:rPr>
        <w:t>معشر الشياطين</w:t>
      </w:r>
      <w:r w:rsidR="00796D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قد</w:t>
      </w:r>
      <w:r w:rsidRPr="00282AC9">
        <w:rPr>
          <w:rFonts w:asciiTheme="minorBidi" w:hAnsiTheme="minorBidi"/>
          <w:sz w:val="27"/>
          <w:rtl/>
        </w:rPr>
        <w:t xml:space="preserve"> </w:t>
      </w:r>
      <w:r w:rsidRPr="00282AC9">
        <w:rPr>
          <w:rFonts w:asciiTheme="minorBidi" w:hAnsiTheme="minorBidi" w:hint="cs"/>
          <w:sz w:val="27"/>
          <w:rtl/>
        </w:rPr>
        <w:t>أدر</w:t>
      </w:r>
      <w:r w:rsidR="00796DA2" w:rsidRPr="00282AC9">
        <w:rPr>
          <w:rFonts w:asciiTheme="minorBidi" w:hAnsiTheme="minorBidi" w:hint="cs"/>
          <w:sz w:val="27"/>
          <w:rtl/>
        </w:rPr>
        <w:t>َ</w:t>
      </w:r>
      <w:r w:rsidRPr="00282AC9">
        <w:rPr>
          <w:rFonts w:asciiTheme="minorBidi" w:hAnsiTheme="minorBidi" w:hint="cs"/>
          <w:sz w:val="27"/>
          <w:rtl/>
        </w:rPr>
        <w:t>ك</w:t>
      </w:r>
      <w:r w:rsidR="00796DA2" w:rsidRPr="00282AC9">
        <w:rPr>
          <w:rFonts w:asciiTheme="minorBidi" w:hAnsiTheme="minorBidi" w:hint="cs"/>
          <w:sz w:val="27"/>
          <w:rtl/>
        </w:rPr>
        <w:t>ْ</w:t>
      </w:r>
      <w:r w:rsidRPr="00282AC9">
        <w:rPr>
          <w:rFonts w:asciiTheme="minorBidi" w:hAnsiTheme="minorBidi" w:hint="cs"/>
          <w:sz w:val="27"/>
          <w:rtl/>
        </w:rPr>
        <w:t>نا</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ذر</w:t>
      </w:r>
      <w:r w:rsidR="00796DA2" w:rsidRPr="00282AC9">
        <w:rPr>
          <w:rFonts w:asciiTheme="minorBidi" w:hAnsiTheme="minorBidi" w:hint="cs"/>
          <w:sz w:val="27"/>
          <w:rtl/>
        </w:rPr>
        <w:t>ِّ</w:t>
      </w:r>
      <w:r w:rsidRPr="00282AC9">
        <w:rPr>
          <w:rFonts w:asciiTheme="minorBidi" w:hAnsiTheme="minorBidi" w:hint="cs"/>
          <w:sz w:val="27"/>
          <w:rtl/>
        </w:rPr>
        <w:t>ية</w:t>
      </w:r>
      <w:r w:rsidRPr="00282AC9">
        <w:rPr>
          <w:rFonts w:asciiTheme="minorBidi" w:hAnsiTheme="minorBidi"/>
          <w:sz w:val="27"/>
          <w:rtl/>
        </w:rPr>
        <w:t xml:space="preserve"> </w:t>
      </w:r>
      <w:r w:rsidRPr="00282AC9">
        <w:rPr>
          <w:rFonts w:asciiTheme="minorBidi" w:hAnsiTheme="minorBidi" w:hint="cs"/>
          <w:sz w:val="27"/>
          <w:rtl/>
        </w:rPr>
        <w:t>آدم</w:t>
      </w:r>
      <w:r w:rsidRPr="00282AC9">
        <w:rPr>
          <w:rFonts w:asciiTheme="minorBidi" w:hAnsiTheme="minorBidi"/>
          <w:sz w:val="27"/>
          <w:rtl/>
        </w:rPr>
        <w:t xml:space="preserve"> </w:t>
      </w:r>
      <w:r w:rsidRPr="00282AC9">
        <w:rPr>
          <w:rFonts w:asciiTheme="minorBidi" w:hAnsiTheme="minorBidi" w:hint="cs"/>
          <w:sz w:val="27"/>
          <w:rtl/>
        </w:rPr>
        <w:t>الطلبة</w:t>
      </w:r>
      <w:r w:rsidRPr="00282AC9">
        <w:rPr>
          <w:rFonts w:asciiTheme="minorBidi" w:hAnsiTheme="minorBidi"/>
          <w:sz w:val="27"/>
          <w:rtl/>
        </w:rPr>
        <w:t xml:space="preserve">، </w:t>
      </w:r>
      <w:r w:rsidRPr="00282AC9">
        <w:rPr>
          <w:rFonts w:asciiTheme="minorBidi" w:hAnsiTheme="minorBidi" w:hint="cs"/>
          <w:sz w:val="27"/>
          <w:rtl/>
        </w:rPr>
        <w:t>وبلغنا</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هلاكهم</w:t>
      </w:r>
      <w:r w:rsidRPr="00282AC9">
        <w:rPr>
          <w:rFonts w:asciiTheme="minorBidi" w:hAnsiTheme="minorBidi"/>
          <w:sz w:val="27"/>
          <w:rtl/>
        </w:rPr>
        <w:t xml:space="preserve"> </w:t>
      </w:r>
      <w:r w:rsidRPr="00282AC9">
        <w:rPr>
          <w:rFonts w:asciiTheme="minorBidi" w:hAnsiTheme="minorBidi" w:hint="cs"/>
          <w:sz w:val="27"/>
          <w:rtl/>
        </w:rPr>
        <w:t>الغاية</w:t>
      </w:r>
      <w:r w:rsidRPr="00282AC9">
        <w:rPr>
          <w:rFonts w:asciiTheme="minorBidi" w:hAnsiTheme="minorBidi"/>
          <w:sz w:val="27"/>
          <w:rtl/>
        </w:rPr>
        <w:t xml:space="preserve">، </w:t>
      </w:r>
      <w:r w:rsidRPr="00282AC9">
        <w:rPr>
          <w:rFonts w:asciiTheme="minorBidi" w:hAnsiTheme="minorBidi" w:hint="cs"/>
          <w:sz w:val="27"/>
          <w:rtl/>
        </w:rPr>
        <w:t>وأورثناهم السوء</w:t>
      </w:r>
      <w:r w:rsidRPr="00282AC9">
        <w:rPr>
          <w:rFonts w:asciiTheme="minorBidi" w:hAnsiTheme="minorBidi"/>
          <w:sz w:val="27"/>
          <w:rtl/>
        </w:rPr>
        <w:t xml:space="preserve"> </w:t>
      </w:r>
      <w:r w:rsidRPr="00282AC9">
        <w:rPr>
          <w:rFonts w:asciiTheme="minorBidi" w:hAnsiTheme="minorBidi" w:hint="cs"/>
          <w:sz w:val="27"/>
          <w:rtl/>
        </w:rPr>
        <w:t>إلا</w:t>
      </w:r>
      <w:r w:rsidR="00796D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م</w:t>
      </w:r>
      <w:r w:rsidR="00796DA2" w:rsidRPr="00282AC9">
        <w:rPr>
          <w:rFonts w:asciiTheme="minorBidi" w:hAnsiTheme="minorBidi" w:hint="cs"/>
          <w:sz w:val="27"/>
          <w:rtl/>
        </w:rPr>
        <w:t>َ</w:t>
      </w:r>
      <w:r w:rsidRPr="00282AC9">
        <w:rPr>
          <w:rFonts w:asciiTheme="minorBidi" w:hAnsiTheme="minorBidi" w:hint="cs"/>
          <w:sz w:val="27"/>
          <w:rtl/>
        </w:rPr>
        <w:t>ن</w:t>
      </w:r>
      <w:r w:rsidRPr="00282AC9">
        <w:rPr>
          <w:rFonts w:asciiTheme="minorBidi" w:hAnsiTheme="minorBidi"/>
          <w:sz w:val="27"/>
          <w:rtl/>
        </w:rPr>
        <w:t xml:space="preserve"> </w:t>
      </w:r>
      <w:r w:rsidR="00796DA2" w:rsidRPr="00282AC9">
        <w:rPr>
          <w:rFonts w:asciiTheme="minorBidi" w:hAnsiTheme="minorBidi" w:hint="cs"/>
          <w:sz w:val="27"/>
          <w:rtl/>
        </w:rPr>
        <w:t>ْ</w:t>
      </w:r>
      <w:r w:rsidRPr="00282AC9">
        <w:rPr>
          <w:rFonts w:asciiTheme="minorBidi" w:hAnsiTheme="minorBidi" w:hint="cs"/>
          <w:sz w:val="27"/>
          <w:rtl/>
        </w:rPr>
        <w:t>اعتصم</w:t>
      </w:r>
      <w:r w:rsidRPr="00282AC9">
        <w:rPr>
          <w:rFonts w:asciiTheme="minorBidi" w:hAnsiTheme="minorBidi"/>
          <w:sz w:val="27"/>
          <w:rtl/>
        </w:rPr>
        <w:t xml:space="preserve"> </w:t>
      </w:r>
      <w:r w:rsidRPr="00282AC9">
        <w:rPr>
          <w:rFonts w:asciiTheme="minorBidi" w:hAnsiTheme="minorBidi" w:hint="cs"/>
          <w:sz w:val="27"/>
          <w:rtl/>
        </w:rPr>
        <w:t>بهذه</w:t>
      </w:r>
      <w:r w:rsidRPr="00282AC9">
        <w:rPr>
          <w:rFonts w:asciiTheme="minorBidi" w:hAnsiTheme="minorBidi"/>
          <w:sz w:val="27"/>
          <w:rtl/>
        </w:rPr>
        <w:t xml:space="preserve"> </w:t>
      </w:r>
      <w:r w:rsidRPr="00282AC9">
        <w:rPr>
          <w:rFonts w:asciiTheme="minorBidi" w:hAnsiTheme="minorBidi" w:hint="cs"/>
          <w:sz w:val="27"/>
          <w:rtl/>
        </w:rPr>
        <w:t>العصابة</w:t>
      </w:r>
      <w:r w:rsidRPr="00282AC9">
        <w:rPr>
          <w:rFonts w:asciiTheme="minorBidi" w:hAnsiTheme="minorBidi"/>
          <w:sz w:val="27"/>
          <w:rtl/>
        </w:rPr>
        <w:t xml:space="preserve">، </w:t>
      </w:r>
      <w:r w:rsidRPr="00282AC9">
        <w:rPr>
          <w:rFonts w:asciiTheme="minorBidi" w:hAnsiTheme="minorBidi" w:hint="cs"/>
          <w:sz w:val="27"/>
          <w:rtl/>
        </w:rPr>
        <w:t>فاج</w:t>
      </w:r>
      <w:r w:rsidR="00796DA2" w:rsidRPr="00282AC9">
        <w:rPr>
          <w:rFonts w:asciiTheme="minorBidi" w:hAnsiTheme="minorBidi" w:hint="cs"/>
          <w:sz w:val="27"/>
          <w:rtl/>
        </w:rPr>
        <w:t>ْ</w:t>
      </w:r>
      <w:r w:rsidRPr="00282AC9">
        <w:rPr>
          <w:rFonts w:asciiTheme="minorBidi" w:hAnsiTheme="minorBidi" w:hint="cs"/>
          <w:sz w:val="27"/>
          <w:rtl/>
        </w:rPr>
        <w:t>ع</w:t>
      </w:r>
      <w:r w:rsidR="00796DA2" w:rsidRPr="00282AC9">
        <w:rPr>
          <w:rFonts w:asciiTheme="minorBidi" w:hAnsiTheme="minorBidi" w:hint="cs"/>
          <w:sz w:val="27"/>
          <w:rtl/>
        </w:rPr>
        <w:t>َ</w:t>
      </w:r>
      <w:r w:rsidRPr="00282AC9">
        <w:rPr>
          <w:rFonts w:asciiTheme="minorBidi" w:hAnsiTheme="minorBidi" w:hint="cs"/>
          <w:sz w:val="27"/>
          <w:rtl/>
        </w:rPr>
        <w:t>لوا</w:t>
      </w:r>
      <w:r w:rsidRPr="00282AC9">
        <w:rPr>
          <w:rFonts w:asciiTheme="minorBidi" w:hAnsiTheme="minorBidi"/>
          <w:sz w:val="27"/>
          <w:rtl/>
        </w:rPr>
        <w:t xml:space="preserve"> </w:t>
      </w:r>
      <w:r w:rsidRPr="00282AC9">
        <w:rPr>
          <w:rFonts w:asciiTheme="minorBidi" w:hAnsiTheme="minorBidi" w:hint="cs"/>
          <w:sz w:val="27"/>
          <w:rtl/>
        </w:rPr>
        <w:t>شغلكم</w:t>
      </w:r>
      <w:r w:rsidRPr="00282AC9">
        <w:rPr>
          <w:rFonts w:asciiTheme="minorBidi" w:hAnsiTheme="minorBidi"/>
          <w:sz w:val="27"/>
          <w:rtl/>
        </w:rPr>
        <w:t xml:space="preserve"> </w:t>
      </w:r>
      <w:r w:rsidRPr="00282AC9">
        <w:rPr>
          <w:rFonts w:asciiTheme="minorBidi" w:hAnsiTheme="minorBidi" w:hint="cs"/>
          <w:sz w:val="27"/>
          <w:rtl/>
        </w:rPr>
        <w:t>بتشكيك</w:t>
      </w:r>
      <w:r w:rsidRPr="00282AC9">
        <w:rPr>
          <w:rFonts w:asciiTheme="minorBidi" w:hAnsiTheme="minorBidi"/>
          <w:sz w:val="27"/>
          <w:rtl/>
        </w:rPr>
        <w:t xml:space="preserve"> </w:t>
      </w:r>
      <w:r w:rsidRPr="00282AC9">
        <w:rPr>
          <w:rFonts w:asciiTheme="minorBidi" w:hAnsiTheme="minorBidi" w:hint="cs"/>
          <w:sz w:val="27"/>
          <w:rtl/>
        </w:rPr>
        <w:t>الناس</w:t>
      </w:r>
      <w:r w:rsidRPr="00282AC9">
        <w:rPr>
          <w:rFonts w:asciiTheme="minorBidi" w:hAnsiTheme="minorBidi"/>
          <w:sz w:val="27"/>
          <w:rtl/>
        </w:rPr>
        <w:t xml:space="preserve"> </w:t>
      </w:r>
      <w:r w:rsidRPr="00282AC9">
        <w:rPr>
          <w:rFonts w:asciiTheme="minorBidi" w:hAnsiTheme="minorBidi" w:hint="cs"/>
          <w:sz w:val="27"/>
          <w:rtl/>
        </w:rPr>
        <w:t>فيهم</w:t>
      </w:r>
      <w:r w:rsidRPr="00282AC9">
        <w:rPr>
          <w:rFonts w:asciiTheme="minorBidi" w:hAnsiTheme="minorBidi"/>
          <w:sz w:val="27"/>
          <w:rtl/>
        </w:rPr>
        <w:t xml:space="preserve">، </w:t>
      </w:r>
      <w:r w:rsidRPr="00282AC9">
        <w:rPr>
          <w:rFonts w:asciiTheme="minorBidi" w:hAnsiTheme="minorBidi" w:hint="cs"/>
          <w:sz w:val="27"/>
          <w:rtl/>
        </w:rPr>
        <w:t>وحملهم على</w:t>
      </w:r>
      <w:r w:rsidRPr="00282AC9">
        <w:rPr>
          <w:rFonts w:asciiTheme="minorBidi" w:hAnsiTheme="minorBidi"/>
          <w:sz w:val="27"/>
          <w:rtl/>
        </w:rPr>
        <w:t xml:space="preserve"> </w:t>
      </w:r>
      <w:r w:rsidRPr="00282AC9">
        <w:rPr>
          <w:rFonts w:asciiTheme="minorBidi" w:hAnsiTheme="minorBidi" w:hint="cs"/>
          <w:sz w:val="27"/>
          <w:rtl/>
        </w:rPr>
        <w:t>عداوتهم</w:t>
      </w:r>
      <w:r w:rsidR="00796D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وإغرائهم</w:t>
      </w:r>
      <w:r w:rsidRPr="00282AC9">
        <w:rPr>
          <w:rFonts w:asciiTheme="minorBidi" w:hAnsiTheme="minorBidi"/>
          <w:sz w:val="27"/>
          <w:rtl/>
        </w:rPr>
        <w:t xml:space="preserve"> </w:t>
      </w:r>
      <w:r w:rsidRPr="00282AC9">
        <w:rPr>
          <w:rFonts w:asciiTheme="minorBidi" w:hAnsiTheme="minorBidi" w:hint="cs"/>
          <w:sz w:val="27"/>
          <w:rtl/>
        </w:rPr>
        <w:t>بهم</w:t>
      </w:r>
      <w:r w:rsidRPr="00282AC9">
        <w:rPr>
          <w:rFonts w:asciiTheme="minorBidi" w:hAnsiTheme="minorBidi"/>
          <w:sz w:val="27"/>
          <w:rtl/>
        </w:rPr>
        <w:t xml:space="preserve"> </w:t>
      </w:r>
      <w:r w:rsidRPr="00282AC9">
        <w:rPr>
          <w:rFonts w:asciiTheme="minorBidi" w:hAnsiTheme="minorBidi" w:hint="cs"/>
          <w:sz w:val="27"/>
          <w:rtl/>
        </w:rPr>
        <w:t>وبأوليائهم</w:t>
      </w:r>
      <w:r w:rsidR="00796DA2"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حت</w:t>
      </w:r>
      <w:r w:rsidR="00796DA2" w:rsidRPr="00282AC9">
        <w:rPr>
          <w:rFonts w:asciiTheme="minorBidi" w:hAnsiTheme="minorBidi" w:hint="cs"/>
          <w:sz w:val="27"/>
          <w:rtl/>
        </w:rPr>
        <w:t>ّ</w:t>
      </w:r>
      <w:r w:rsidRPr="00282AC9">
        <w:rPr>
          <w:rFonts w:asciiTheme="minorBidi" w:hAnsiTheme="minorBidi" w:hint="cs"/>
          <w:sz w:val="27"/>
          <w:rtl/>
        </w:rPr>
        <w:t>ى</w:t>
      </w:r>
      <w:r w:rsidRPr="00282AC9">
        <w:rPr>
          <w:rFonts w:asciiTheme="minorBidi" w:hAnsiTheme="minorBidi"/>
          <w:sz w:val="27"/>
          <w:rtl/>
        </w:rPr>
        <w:t xml:space="preserve"> </w:t>
      </w:r>
      <w:r w:rsidRPr="00282AC9">
        <w:rPr>
          <w:rFonts w:asciiTheme="minorBidi" w:hAnsiTheme="minorBidi" w:hint="cs"/>
          <w:sz w:val="27"/>
          <w:rtl/>
        </w:rPr>
        <w:t>تستحكم</w:t>
      </w:r>
      <w:r w:rsidRPr="00282AC9">
        <w:rPr>
          <w:rFonts w:asciiTheme="minorBidi" w:hAnsiTheme="minorBidi"/>
          <w:sz w:val="27"/>
          <w:rtl/>
        </w:rPr>
        <w:t xml:space="preserve"> </w:t>
      </w:r>
      <w:r w:rsidRPr="00282AC9">
        <w:rPr>
          <w:rFonts w:asciiTheme="minorBidi" w:hAnsiTheme="minorBidi" w:hint="cs"/>
          <w:sz w:val="27"/>
          <w:rtl/>
        </w:rPr>
        <w:t>ضلالة</w:t>
      </w:r>
      <w:r w:rsidRPr="00282AC9">
        <w:rPr>
          <w:rFonts w:asciiTheme="minorBidi" w:hAnsiTheme="minorBidi"/>
          <w:sz w:val="27"/>
          <w:rtl/>
        </w:rPr>
        <w:t xml:space="preserve"> </w:t>
      </w:r>
      <w:r w:rsidRPr="00282AC9">
        <w:rPr>
          <w:rFonts w:asciiTheme="minorBidi" w:hAnsiTheme="minorBidi" w:hint="cs"/>
          <w:sz w:val="27"/>
          <w:rtl/>
        </w:rPr>
        <w:t>الخلق</w:t>
      </w:r>
      <w:r w:rsidRPr="00282AC9">
        <w:rPr>
          <w:rFonts w:asciiTheme="minorBidi" w:hAnsiTheme="minorBidi"/>
          <w:sz w:val="27"/>
          <w:rtl/>
        </w:rPr>
        <w:t xml:space="preserve"> </w:t>
      </w:r>
      <w:r w:rsidRPr="00282AC9">
        <w:rPr>
          <w:rFonts w:asciiTheme="minorBidi" w:hAnsiTheme="minorBidi" w:hint="cs"/>
          <w:sz w:val="27"/>
          <w:rtl/>
        </w:rPr>
        <w:t>وكفرهم</w:t>
      </w:r>
      <w:r w:rsidRPr="00282AC9">
        <w:rPr>
          <w:rFonts w:asciiTheme="minorBidi" w:hAnsiTheme="minorBidi"/>
          <w:sz w:val="27"/>
          <w:rtl/>
        </w:rPr>
        <w:t xml:space="preserve">، </w:t>
      </w:r>
      <w:r w:rsidRPr="00282AC9">
        <w:rPr>
          <w:rFonts w:asciiTheme="minorBidi" w:hAnsiTheme="minorBidi" w:hint="cs"/>
          <w:sz w:val="27"/>
          <w:rtl/>
        </w:rPr>
        <w:t>ولا ينجو</w:t>
      </w:r>
      <w:r w:rsidRPr="00282AC9">
        <w:rPr>
          <w:rFonts w:asciiTheme="minorBidi" w:hAnsiTheme="minorBidi"/>
          <w:sz w:val="27"/>
          <w:rtl/>
        </w:rPr>
        <w:t xml:space="preserve"> </w:t>
      </w:r>
      <w:r w:rsidRPr="00282AC9">
        <w:rPr>
          <w:rFonts w:asciiTheme="minorBidi" w:hAnsiTheme="minorBidi" w:hint="cs"/>
          <w:sz w:val="27"/>
          <w:rtl/>
        </w:rPr>
        <w:t>منهم</w:t>
      </w:r>
      <w:r w:rsidRPr="00282AC9">
        <w:rPr>
          <w:rFonts w:asciiTheme="minorBidi" w:hAnsiTheme="minorBidi"/>
          <w:sz w:val="27"/>
          <w:rtl/>
        </w:rPr>
        <w:t xml:space="preserve"> </w:t>
      </w:r>
      <w:r w:rsidRPr="00282AC9">
        <w:rPr>
          <w:rFonts w:asciiTheme="minorBidi" w:hAnsiTheme="minorBidi" w:hint="cs"/>
          <w:sz w:val="27"/>
          <w:rtl/>
        </w:rPr>
        <w:t>ناج</w:t>
      </w:r>
      <w:r w:rsidR="0030178D" w:rsidRPr="00282AC9">
        <w:rPr>
          <w:rFonts w:asciiTheme="minorBidi" w:hAnsiTheme="minorBidi" w:hint="cs"/>
          <w:sz w:val="27"/>
          <w:rtl/>
        </w:rPr>
        <w:t>ٍ.</w:t>
      </w:r>
      <w:r w:rsidRPr="00282AC9">
        <w:rPr>
          <w:rFonts w:asciiTheme="minorBidi" w:hAnsiTheme="minorBidi"/>
          <w:sz w:val="27"/>
          <w:rtl/>
        </w:rPr>
        <w:t xml:space="preserve"> </w:t>
      </w:r>
      <w:r w:rsidR="0030178D" w:rsidRPr="00282AC9">
        <w:rPr>
          <w:rFonts w:ascii="Mosawi" w:hAnsi="Mosawi" w:cs="Mosawi"/>
          <w:sz w:val="24"/>
          <w:szCs w:val="24"/>
          <w:rtl/>
        </w:rPr>
        <w:t>﴿</w:t>
      </w:r>
      <w:r w:rsidR="0030178D" w:rsidRPr="00282AC9">
        <w:rPr>
          <w:b/>
          <w:bCs/>
          <w:sz w:val="27"/>
          <w:rtl/>
        </w:rPr>
        <w:t>وَلَقَدْ صَدَّقَ عَلَيْهِمْ إِبْلِيسُ ظَنَّهُ</w:t>
      </w:r>
      <w:r w:rsidR="0030178D" w:rsidRPr="00282AC9">
        <w:rPr>
          <w:rFonts w:ascii="Mosawi" w:hAnsi="Mosawi" w:cs="Mosawi"/>
          <w:sz w:val="24"/>
          <w:szCs w:val="24"/>
          <w:rtl/>
        </w:rPr>
        <w:t>﴾</w:t>
      </w:r>
      <w:r w:rsidR="0030178D" w:rsidRPr="00282AC9">
        <w:rPr>
          <w:rFonts w:asciiTheme="minorBidi" w:hAnsiTheme="minorBidi" w:hint="cs"/>
          <w:sz w:val="27"/>
          <w:rtl/>
        </w:rPr>
        <w:t xml:space="preserve">، </w:t>
      </w:r>
      <w:r w:rsidRPr="00282AC9">
        <w:rPr>
          <w:rFonts w:asciiTheme="minorBidi" w:hAnsiTheme="minorBidi" w:hint="cs"/>
          <w:sz w:val="27"/>
          <w:rtl/>
        </w:rPr>
        <w:t>وهو</w:t>
      </w:r>
      <w:r w:rsidRPr="00282AC9">
        <w:rPr>
          <w:rFonts w:asciiTheme="minorBidi" w:hAnsiTheme="minorBidi"/>
          <w:sz w:val="27"/>
          <w:rtl/>
        </w:rPr>
        <w:t xml:space="preserve"> </w:t>
      </w:r>
      <w:r w:rsidRPr="00282AC9">
        <w:rPr>
          <w:rFonts w:asciiTheme="minorBidi" w:hAnsiTheme="minorBidi" w:hint="cs"/>
          <w:sz w:val="27"/>
          <w:rtl/>
        </w:rPr>
        <w:t>كذوب</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إنه</w:t>
      </w:r>
      <w:r w:rsidRPr="00282AC9">
        <w:rPr>
          <w:rFonts w:asciiTheme="minorBidi" w:hAnsiTheme="minorBidi"/>
          <w:sz w:val="27"/>
          <w:rtl/>
        </w:rPr>
        <w:t xml:space="preserve"> </w:t>
      </w:r>
      <w:r w:rsidRPr="00282AC9">
        <w:rPr>
          <w:rFonts w:asciiTheme="minorBidi" w:hAnsiTheme="minorBidi" w:hint="cs"/>
          <w:sz w:val="27"/>
          <w:rtl/>
        </w:rPr>
        <w:t>لا</w:t>
      </w:r>
      <w:r w:rsidRPr="00282AC9">
        <w:rPr>
          <w:rFonts w:asciiTheme="minorBidi" w:hAnsiTheme="minorBidi"/>
          <w:sz w:val="27"/>
          <w:rtl/>
        </w:rPr>
        <w:t xml:space="preserve"> </w:t>
      </w:r>
      <w:r w:rsidRPr="00282AC9">
        <w:rPr>
          <w:rFonts w:asciiTheme="minorBidi" w:hAnsiTheme="minorBidi" w:hint="cs"/>
          <w:sz w:val="27"/>
          <w:rtl/>
        </w:rPr>
        <w:t>ينفع</w:t>
      </w:r>
      <w:r w:rsidRPr="00282AC9">
        <w:rPr>
          <w:rFonts w:asciiTheme="minorBidi" w:hAnsiTheme="minorBidi"/>
          <w:sz w:val="27"/>
          <w:rtl/>
        </w:rPr>
        <w:t xml:space="preserve"> </w:t>
      </w:r>
      <w:r w:rsidRPr="00282AC9">
        <w:rPr>
          <w:rFonts w:asciiTheme="minorBidi" w:hAnsiTheme="minorBidi" w:hint="cs"/>
          <w:sz w:val="27"/>
          <w:rtl/>
        </w:rPr>
        <w:t>مع</w:t>
      </w:r>
      <w:r w:rsidRPr="00282AC9">
        <w:rPr>
          <w:rFonts w:asciiTheme="minorBidi" w:hAnsiTheme="minorBidi"/>
          <w:sz w:val="27"/>
          <w:rtl/>
        </w:rPr>
        <w:t xml:space="preserve"> </w:t>
      </w:r>
      <w:r w:rsidRPr="00282AC9">
        <w:rPr>
          <w:rFonts w:asciiTheme="minorBidi" w:hAnsiTheme="minorBidi" w:hint="cs"/>
          <w:sz w:val="27"/>
          <w:rtl/>
        </w:rPr>
        <w:t>عداوتكم عمل</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صالح</w:t>
      </w:r>
      <w:r w:rsidRPr="00282AC9">
        <w:rPr>
          <w:rFonts w:asciiTheme="minorBidi" w:hAnsiTheme="minorBidi"/>
          <w:sz w:val="27"/>
          <w:rtl/>
        </w:rPr>
        <w:t xml:space="preserve">، </w:t>
      </w:r>
      <w:r w:rsidRPr="00282AC9">
        <w:rPr>
          <w:rFonts w:asciiTheme="minorBidi" w:hAnsiTheme="minorBidi" w:hint="cs"/>
          <w:sz w:val="27"/>
          <w:rtl/>
        </w:rPr>
        <w:t>ولا</w:t>
      </w:r>
      <w:r w:rsidRPr="00282AC9">
        <w:rPr>
          <w:rFonts w:asciiTheme="minorBidi" w:hAnsiTheme="minorBidi"/>
          <w:sz w:val="27"/>
          <w:rtl/>
        </w:rPr>
        <w:t xml:space="preserve"> </w:t>
      </w:r>
      <w:r w:rsidRPr="00282AC9">
        <w:rPr>
          <w:rFonts w:asciiTheme="minorBidi" w:hAnsiTheme="minorBidi" w:hint="cs"/>
          <w:sz w:val="27"/>
          <w:rtl/>
        </w:rPr>
        <w:t>يضر</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مع</w:t>
      </w:r>
      <w:r w:rsidRPr="00282AC9">
        <w:rPr>
          <w:rFonts w:asciiTheme="minorBidi" w:hAnsiTheme="minorBidi"/>
          <w:sz w:val="27"/>
          <w:rtl/>
        </w:rPr>
        <w:t xml:space="preserve"> </w:t>
      </w:r>
      <w:r w:rsidRPr="00282AC9">
        <w:rPr>
          <w:rFonts w:asciiTheme="minorBidi" w:hAnsiTheme="minorBidi" w:hint="cs"/>
          <w:sz w:val="27"/>
          <w:rtl/>
        </w:rPr>
        <w:t>محبتكم</w:t>
      </w:r>
      <w:r w:rsidRPr="00282AC9">
        <w:rPr>
          <w:rFonts w:asciiTheme="minorBidi" w:hAnsiTheme="minorBidi"/>
          <w:sz w:val="27"/>
          <w:rtl/>
        </w:rPr>
        <w:t xml:space="preserve"> </w:t>
      </w:r>
      <w:r w:rsidRPr="00282AC9">
        <w:rPr>
          <w:rFonts w:asciiTheme="minorBidi" w:hAnsiTheme="minorBidi" w:hint="cs"/>
          <w:sz w:val="27"/>
          <w:rtl/>
        </w:rPr>
        <w:t>وموالاتكم</w:t>
      </w:r>
      <w:r w:rsidRPr="00282AC9">
        <w:rPr>
          <w:rFonts w:asciiTheme="minorBidi" w:hAnsiTheme="minorBidi"/>
          <w:sz w:val="27"/>
          <w:rtl/>
        </w:rPr>
        <w:t xml:space="preserve"> </w:t>
      </w:r>
      <w:r w:rsidRPr="00282AC9">
        <w:rPr>
          <w:rFonts w:asciiTheme="minorBidi" w:hAnsiTheme="minorBidi" w:hint="cs"/>
          <w:sz w:val="27"/>
          <w:rtl/>
        </w:rPr>
        <w:t>ذنب</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غير</w:t>
      </w:r>
      <w:r w:rsidRPr="00282AC9">
        <w:rPr>
          <w:rFonts w:asciiTheme="minorBidi" w:hAnsiTheme="minorBidi"/>
          <w:sz w:val="27"/>
          <w:rtl/>
        </w:rPr>
        <w:t xml:space="preserve"> </w:t>
      </w:r>
      <w:r w:rsidRPr="00282AC9">
        <w:rPr>
          <w:rFonts w:asciiTheme="minorBidi" w:hAnsiTheme="minorBidi" w:hint="cs"/>
          <w:sz w:val="27"/>
          <w:rtl/>
        </w:rPr>
        <w:t>الكبائر</w:t>
      </w:r>
      <w:r w:rsidRPr="00282AC9">
        <w:rPr>
          <w:rFonts w:hint="eastAsia"/>
          <w:sz w:val="24"/>
          <w:szCs w:val="24"/>
          <w:rtl/>
        </w:rPr>
        <w:t>»</w:t>
      </w:r>
      <w:r w:rsidRPr="00282AC9">
        <w:rPr>
          <w:rFonts w:asciiTheme="minorBidi" w:hAnsiTheme="minorBidi"/>
          <w:sz w:val="27"/>
          <w:rtl/>
        </w:rPr>
        <w:t>.</w:t>
      </w:r>
      <w:r w:rsidRPr="00282AC9">
        <w:rPr>
          <w:rFonts w:asciiTheme="minorBidi" w:hAnsiTheme="minorBidi" w:hint="cs"/>
          <w:sz w:val="27"/>
          <w:rtl/>
        </w:rPr>
        <w:t xml:space="preserve"> قال</w:t>
      </w:r>
      <w:r w:rsidRPr="00282AC9">
        <w:rPr>
          <w:rFonts w:asciiTheme="minorBidi" w:hAnsiTheme="minorBidi"/>
          <w:sz w:val="27"/>
          <w:rtl/>
        </w:rPr>
        <w:t xml:space="preserve"> </w:t>
      </w:r>
      <w:r w:rsidRPr="00282AC9">
        <w:rPr>
          <w:rFonts w:asciiTheme="minorBidi" w:hAnsiTheme="minorBidi" w:hint="cs"/>
          <w:sz w:val="27"/>
          <w:rtl/>
        </w:rPr>
        <w:t>زائدة</w:t>
      </w:r>
      <w:r w:rsidRPr="00282AC9">
        <w:rPr>
          <w:rFonts w:asciiTheme="minorBidi" w:hAnsiTheme="minorBidi"/>
          <w:sz w:val="27"/>
          <w:rtl/>
        </w:rPr>
        <w:t xml:space="preserve">: </w:t>
      </w:r>
      <w:r w:rsidRPr="00282AC9">
        <w:rPr>
          <w:rFonts w:asciiTheme="minorBidi" w:hAnsiTheme="minorBidi" w:hint="cs"/>
          <w:sz w:val="27"/>
          <w:rtl/>
        </w:rPr>
        <w:t>ثم</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قال</w:t>
      </w:r>
      <w:r w:rsidRPr="00282AC9">
        <w:rPr>
          <w:rFonts w:asciiTheme="minorBidi" w:hAnsiTheme="minorBidi"/>
          <w:sz w:val="27"/>
          <w:rtl/>
        </w:rPr>
        <w:t xml:space="preserve"> </w:t>
      </w:r>
      <w:r w:rsidRPr="00282AC9">
        <w:rPr>
          <w:rFonts w:asciiTheme="minorBidi" w:hAnsiTheme="minorBidi" w:hint="cs"/>
          <w:sz w:val="27"/>
          <w:rtl/>
        </w:rPr>
        <w:t>علي</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بن</w:t>
      </w:r>
      <w:r w:rsidRPr="00282AC9">
        <w:rPr>
          <w:rFonts w:asciiTheme="minorBidi" w:hAnsiTheme="minorBidi"/>
          <w:sz w:val="27"/>
          <w:rtl/>
        </w:rPr>
        <w:t xml:space="preserve"> </w:t>
      </w:r>
      <w:r w:rsidRPr="00282AC9">
        <w:rPr>
          <w:rFonts w:asciiTheme="minorBidi" w:hAnsiTheme="minorBidi" w:hint="cs"/>
          <w:sz w:val="27"/>
          <w:rtl/>
        </w:rPr>
        <w:t>الحسين</w:t>
      </w:r>
      <w:r w:rsidR="009A2A04" w:rsidRPr="00282AC9">
        <w:rPr>
          <w:rFonts w:asciiTheme="minorBidi" w:hAnsiTheme="minorBidi" w:cs="Mosawi"/>
          <w:sz w:val="22"/>
          <w:szCs w:val="22"/>
          <w:rtl/>
        </w:rPr>
        <w:t>’</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بعد</w:t>
      </w:r>
      <w:r w:rsidRPr="00282AC9">
        <w:rPr>
          <w:rFonts w:asciiTheme="minorBidi" w:hAnsiTheme="minorBidi"/>
          <w:sz w:val="27"/>
          <w:rtl/>
        </w:rPr>
        <w:t xml:space="preserve"> </w:t>
      </w:r>
      <w:r w:rsidRPr="00282AC9">
        <w:rPr>
          <w:rFonts w:asciiTheme="minorBidi" w:hAnsiTheme="minorBidi" w:hint="cs"/>
          <w:sz w:val="27"/>
          <w:rtl/>
        </w:rPr>
        <w:t>أن</w:t>
      </w:r>
      <w:r w:rsidRPr="00282AC9">
        <w:rPr>
          <w:rFonts w:asciiTheme="minorBidi" w:hAnsiTheme="minorBidi"/>
          <w:sz w:val="27"/>
          <w:rtl/>
        </w:rPr>
        <w:t xml:space="preserve"> </w:t>
      </w:r>
      <w:r w:rsidRPr="00282AC9">
        <w:rPr>
          <w:rFonts w:asciiTheme="minorBidi" w:hAnsiTheme="minorBidi" w:hint="cs"/>
          <w:sz w:val="27"/>
          <w:rtl/>
        </w:rPr>
        <w:t>حد</w:t>
      </w:r>
      <w:r w:rsidR="0030178D" w:rsidRPr="00282AC9">
        <w:rPr>
          <w:rFonts w:asciiTheme="minorBidi" w:hAnsiTheme="minorBidi" w:hint="cs"/>
          <w:sz w:val="27"/>
          <w:rtl/>
        </w:rPr>
        <w:t>َّ</w:t>
      </w:r>
      <w:r w:rsidRPr="00282AC9">
        <w:rPr>
          <w:rFonts w:asciiTheme="minorBidi" w:hAnsiTheme="minorBidi" w:hint="cs"/>
          <w:sz w:val="27"/>
          <w:rtl/>
        </w:rPr>
        <w:t>ثني</w:t>
      </w:r>
      <w:r w:rsidRPr="00282AC9">
        <w:rPr>
          <w:rFonts w:asciiTheme="minorBidi" w:hAnsiTheme="minorBidi"/>
          <w:sz w:val="27"/>
          <w:rtl/>
        </w:rPr>
        <w:t xml:space="preserve"> </w:t>
      </w:r>
      <w:r w:rsidRPr="00282AC9">
        <w:rPr>
          <w:rFonts w:asciiTheme="minorBidi" w:hAnsiTheme="minorBidi" w:hint="cs"/>
          <w:sz w:val="27"/>
          <w:rtl/>
        </w:rPr>
        <w:t>بهذا</w:t>
      </w:r>
      <w:r w:rsidRPr="00282AC9">
        <w:rPr>
          <w:rFonts w:asciiTheme="minorBidi" w:hAnsiTheme="minorBidi"/>
          <w:sz w:val="27"/>
          <w:rtl/>
        </w:rPr>
        <w:t xml:space="preserve"> </w:t>
      </w:r>
      <w:r w:rsidRPr="00282AC9">
        <w:rPr>
          <w:rFonts w:asciiTheme="minorBidi" w:hAnsiTheme="minorBidi" w:hint="cs"/>
          <w:sz w:val="27"/>
          <w:rtl/>
        </w:rPr>
        <w:t>الحديث</w:t>
      </w:r>
      <w:r w:rsidRPr="00282AC9">
        <w:rPr>
          <w:rFonts w:asciiTheme="minorBidi" w:hAnsiTheme="minorBidi"/>
          <w:sz w:val="27"/>
          <w:rtl/>
        </w:rPr>
        <w:t>:</w:t>
      </w:r>
      <w:r w:rsidRPr="00282AC9">
        <w:rPr>
          <w:rFonts w:asciiTheme="minorBidi" w:hAnsiTheme="minorBidi" w:hint="cs"/>
          <w:sz w:val="27"/>
          <w:rtl/>
        </w:rPr>
        <w:t xml:space="preserve"> </w:t>
      </w:r>
      <w:r w:rsidRPr="00282AC9">
        <w:rPr>
          <w:rFonts w:hint="eastAsia"/>
          <w:sz w:val="24"/>
          <w:szCs w:val="24"/>
          <w:rtl/>
        </w:rPr>
        <w:t>«</w:t>
      </w:r>
      <w:r w:rsidRPr="00282AC9">
        <w:rPr>
          <w:rFonts w:asciiTheme="minorBidi" w:hAnsiTheme="minorBidi" w:hint="cs"/>
          <w:sz w:val="27"/>
          <w:rtl/>
        </w:rPr>
        <w:t>خ</w:t>
      </w:r>
      <w:r w:rsidR="0030178D" w:rsidRPr="00282AC9">
        <w:rPr>
          <w:rFonts w:asciiTheme="minorBidi" w:hAnsiTheme="minorBidi" w:hint="cs"/>
          <w:sz w:val="27"/>
          <w:rtl/>
        </w:rPr>
        <w:t>ُ</w:t>
      </w:r>
      <w:r w:rsidRPr="00282AC9">
        <w:rPr>
          <w:rFonts w:asciiTheme="minorBidi" w:hAnsiTheme="minorBidi" w:hint="cs"/>
          <w:sz w:val="27"/>
          <w:rtl/>
        </w:rPr>
        <w:t>ذ</w:t>
      </w:r>
      <w:r w:rsidR="0030178D" w:rsidRPr="00282AC9">
        <w:rPr>
          <w:rFonts w:asciiTheme="minorBidi" w:hAnsiTheme="minorBidi" w:hint="cs"/>
          <w:sz w:val="27"/>
          <w:rtl/>
        </w:rPr>
        <w:t>ْ</w:t>
      </w:r>
      <w:r w:rsidRPr="00282AC9">
        <w:rPr>
          <w:rFonts w:asciiTheme="minorBidi" w:hAnsiTheme="minorBidi" w:hint="cs"/>
          <w:sz w:val="27"/>
          <w:rtl/>
        </w:rPr>
        <w:t>ه</w:t>
      </w:r>
      <w:r w:rsidRPr="00282AC9">
        <w:rPr>
          <w:rFonts w:asciiTheme="minorBidi" w:hAnsiTheme="minorBidi"/>
          <w:sz w:val="27"/>
          <w:rtl/>
        </w:rPr>
        <w:t xml:space="preserve"> </w:t>
      </w:r>
      <w:r w:rsidRPr="00282AC9">
        <w:rPr>
          <w:rFonts w:asciiTheme="minorBidi" w:hAnsiTheme="minorBidi" w:hint="cs"/>
          <w:sz w:val="27"/>
          <w:rtl/>
        </w:rPr>
        <w:t>إليك</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أما</w:t>
      </w:r>
      <w:r w:rsidRPr="00282AC9">
        <w:rPr>
          <w:rFonts w:asciiTheme="minorBidi" w:hAnsiTheme="minorBidi"/>
          <w:sz w:val="27"/>
          <w:rtl/>
        </w:rPr>
        <w:t xml:space="preserve"> </w:t>
      </w:r>
      <w:r w:rsidRPr="00282AC9">
        <w:rPr>
          <w:rFonts w:asciiTheme="minorBidi" w:hAnsiTheme="minorBidi" w:hint="cs"/>
          <w:sz w:val="27"/>
          <w:rtl/>
        </w:rPr>
        <w:t>لو</w:t>
      </w:r>
      <w:r w:rsidRPr="00282AC9">
        <w:rPr>
          <w:rFonts w:asciiTheme="minorBidi" w:hAnsiTheme="minorBidi"/>
          <w:sz w:val="27"/>
          <w:rtl/>
        </w:rPr>
        <w:t xml:space="preserve"> </w:t>
      </w:r>
      <w:r w:rsidRPr="00282AC9">
        <w:rPr>
          <w:rFonts w:asciiTheme="minorBidi" w:hAnsiTheme="minorBidi" w:hint="cs"/>
          <w:sz w:val="27"/>
          <w:rtl/>
        </w:rPr>
        <w:t>ض</w:t>
      </w:r>
      <w:r w:rsidR="0030178D" w:rsidRPr="00282AC9">
        <w:rPr>
          <w:rFonts w:asciiTheme="minorBidi" w:hAnsiTheme="minorBidi" w:hint="cs"/>
          <w:sz w:val="27"/>
          <w:rtl/>
        </w:rPr>
        <w:t>ُ</w:t>
      </w:r>
      <w:r w:rsidRPr="00282AC9">
        <w:rPr>
          <w:rFonts w:asciiTheme="minorBidi" w:hAnsiTheme="minorBidi" w:hint="cs"/>
          <w:sz w:val="27"/>
          <w:rtl/>
        </w:rPr>
        <w:t>رب</w:t>
      </w:r>
      <w:r w:rsidR="0030178D" w:rsidRPr="00282AC9">
        <w:rPr>
          <w:rFonts w:asciiTheme="minorBidi" w:hAnsiTheme="minorBidi" w:hint="cs"/>
          <w:sz w:val="27"/>
          <w:rtl/>
        </w:rPr>
        <w:t>َ</w:t>
      </w:r>
      <w:r w:rsidRPr="00282AC9">
        <w:rPr>
          <w:rFonts w:asciiTheme="minorBidi" w:hAnsiTheme="minorBidi" w:hint="cs"/>
          <w:sz w:val="27"/>
          <w:rtl/>
        </w:rPr>
        <w:t>ت</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طلبه</w:t>
      </w:r>
      <w:r w:rsidRPr="00282AC9">
        <w:rPr>
          <w:rFonts w:asciiTheme="minorBidi" w:hAnsiTheme="minorBidi"/>
          <w:sz w:val="27"/>
          <w:rtl/>
        </w:rPr>
        <w:t xml:space="preserve"> </w:t>
      </w:r>
      <w:r w:rsidRPr="00282AC9">
        <w:rPr>
          <w:rFonts w:asciiTheme="minorBidi" w:hAnsiTheme="minorBidi" w:hint="cs"/>
          <w:sz w:val="27"/>
          <w:rtl/>
        </w:rPr>
        <w:t>آباط</w:t>
      </w:r>
      <w:r w:rsidRPr="00282AC9">
        <w:rPr>
          <w:rFonts w:asciiTheme="minorBidi" w:hAnsiTheme="minorBidi"/>
          <w:sz w:val="27"/>
          <w:rtl/>
        </w:rPr>
        <w:t xml:space="preserve"> </w:t>
      </w:r>
      <w:r w:rsidRPr="00282AC9">
        <w:rPr>
          <w:rFonts w:asciiTheme="minorBidi" w:hAnsiTheme="minorBidi" w:hint="cs"/>
          <w:sz w:val="27"/>
          <w:rtl/>
        </w:rPr>
        <w:t>الإبل</w:t>
      </w:r>
      <w:r w:rsidRPr="00282AC9">
        <w:rPr>
          <w:rFonts w:asciiTheme="minorBidi" w:hAnsiTheme="minorBidi"/>
          <w:sz w:val="27"/>
          <w:rtl/>
        </w:rPr>
        <w:t xml:space="preserve"> </w:t>
      </w:r>
      <w:r w:rsidRPr="00282AC9">
        <w:rPr>
          <w:rFonts w:asciiTheme="minorBidi" w:hAnsiTheme="minorBidi" w:hint="cs"/>
          <w:sz w:val="27"/>
          <w:rtl/>
        </w:rPr>
        <w:t>ح</w:t>
      </w:r>
      <w:r w:rsidR="0030178D" w:rsidRPr="00282AC9">
        <w:rPr>
          <w:rFonts w:asciiTheme="minorBidi" w:hAnsiTheme="minorBidi" w:hint="cs"/>
          <w:sz w:val="27"/>
          <w:rtl/>
        </w:rPr>
        <w:t>َ</w:t>
      </w:r>
      <w:r w:rsidRPr="00282AC9">
        <w:rPr>
          <w:rFonts w:asciiTheme="minorBidi" w:hAnsiTheme="minorBidi" w:hint="cs"/>
          <w:sz w:val="27"/>
          <w:rtl/>
        </w:rPr>
        <w:t>و</w:t>
      </w:r>
      <w:r w:rsidR="0030178D" w:rsidRPr="00282AC9">
        <w:rPr>
          <w:rFonts w:asciiTheme="minorBidi" w:hAnsiTheme="minorBidi" w:hint="cs"/>
          <w:sz w:val="27"/>
          <w:rtl/>
        </w:rPr>
        <w:t>ْ</w:t>
      </w:r>
      <w:r w:rsidRPr="00282AC9">
        <w:rPr>
          <w:rFonts w:asciiTheme="minorBidi" w:hAnsiTheme="minorBidi" w:hint="cs"/>
          <w:sz w:val="27"/>
          <w:rtl/>
        </w:rPr>
        <w:t>لا</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لكان</w:t>
      </w:r>
      <w:r w:rsidRPr="00282AC9">
        <w:rPr>
          <w:rFonts w:asciiTheme="minorBidi" w:hAnsiTheme="minorBidi"/>
          <w:sz w:val="27"/>
          <w:rtl/>
        </w:rPr>
        <w:t xml:space="preserve"> </w:t>
      </w:r>
      <w:r w:rsidRPr="00282AC9">
        <w:rPr>
          <w:rFonts w:asciiTheme="minorBidi" w:hAnsiTheme="minorBidi" w:hint="cs"/>
          <w:sz w:val="27"/>
          <w:rtl/>
        </w:rPr>
        <w:t>قليلا</w:t>
      </w:r>
      <w:r w:rsidR="0030178D" w:rsidRPr="00282AC9">
        <w:rPr>
          <w:rFonts w:asciiTheme="minorBidi" w:hAnsiTheme="minorBidi" w:hint="cs"/>
          <w:sz w:val="27"/>
          <w:rtl/>
        </w:rPr>
        <w:t>ً</w:t>
      </w:r>
      <w:r w:rsidRPr="00282AC9">
        <w:rPr>
          <w:rFonts w:asciiTheme="minorBidi" w:hAnsiTheme="minorBidi" w:hint="cs"/>
          <w:sz w:val="27"/>
          <w:rtl/>
        </w:rPr>
        <w:t>...</w:t>
      </w:r>
      <w:r w:rsidRPr="00282AC9">
        <w:rPr>
          <w:rFonts w:hint="eastAsia"/>
          <w:sz w:val="24"/>
          <w:szCs w:val="24"/>
          <w:rtl/>
        </w:rPr>
        <w:t>»</w:t>
      </w:r>
      <w:r w:rsidRPr="00282AC9">
        <w:rPr>
          <w:rFonts w:asciiTheme="minorBidi" w:hAnsiTheme="minorBidi"/>
          <w:sz w:val="27"/>
          <w:vertAlign w:val="superscript"/>
          <w:rtl/>
        </w:rPr>
        <w:t>(</w:t>
      </w:r>
      <w:r w:rsidRPr="00282AC9">
        <w:rPr>
          <w:rStyle w:val="af9"/>
          <w:rFonts w:asciiTheme="minorBidi" w:hAnsiTheme="minorBidi"/>
          <w:sz w:val="27"/>
          <w:rtl/>
        </w:rPr>
        <w:endnoteReference w:id="774"/>
      </w:r>
      <w:r w:rsidRPr="00282AC9">
        <w:rPr>
          <w:rFonts w:asciiTheme="minorBidi" w:hAnsiTheme="minorBidi"/>
          <w:sz w:val="27"/>
          <w:vertAlign w:val="superscript"/>
          <w:rtl/>
        </w:rPr>
        <w:t>)</w:t>
      </w:r>
      <w:r w:rsidRPr="00282AC9">
        <w:rPr>
          <w:rFonts w:asciiTheme="minorBidi" w:hAnsiTheme="minorBidi" w:hint="cs"/>
          <w:sz w:val="27"/>
          <w:rtl/>
        </w:rPr>
        <w:t>.</w:t>
      </w:r>
    </w:p>
    <w:p w:rsidR="00965E08" w:rsidRPr="00282AC9" w:rsidRDefault="00965E08" w:rsidP="003062B7">
      <w:pPr>
        <w:rPr>
          <w:rFonts w:asciiTheme="minorBidi" w:hAnsiTheme="minorBidi"/>
          <w:sz w:val="27"/>
        </w:rPr>
      </w:pPr>
      <w:r w:rsidRPr="00282AC9">
        <w:rPr>
          <w:rFonts w:asciiTheme="minorBidi" w:hAnsiTheme="minorBidi"/>
          <w:sz w:val="27"/>
          <w:rtl/>
        </w:rPr>
        <w:t xml:space="preserve"> </w:t>
      </w:r>
      <w:r w:rsidR="0030178D" w:rsidRPr="00282AC9">
        <w:rPr>
          <w:rFonts w:asciiTheme="minorBidi" w:hAnsiTheme="minorBidi" w:hint="cs"/>
          <w:sz w:val="27"/>
          <w:rtl/>
        </w:rPr>
        <w:t>و</w:t>
      </w:r>
      <w:r w:rsidRPr="00282AC9">
        <w:rPr>
          <w:rFonts w:asciiTheme="minorBidi" w:hAnsiTheme="minorBidi" w:hint="cs"/>
          <w:sz w:val="27"/>
          <w:rtl/>
        </w:rPr>
        <w:t>قوله</w:t>
      </w:r>
      <w:r w:rsidRPr="00282AC9">
        <w:rPr>
          <w:rFonts w:asciiTheme="minorBidi" w:hAnsiTheme="minorBidi"/>
          <w:sz w:val="27"/>
          <w:rtl/>
        </w:rPr>
        <w:t xml:space="preserve">: </w:t>
      </w:r>
      <w:r w:rsidRPr="00282AC9">
        <w:rPr>
          <w:rFonts w:hint="eastAsia"/>
          <w:sz w:val="24"/>
          <w:szCs w:val="24"/>
          <w:rtl/>
        </w:rPr>
        <w:t>«</w:t>
      </w:r>
      <w:r w:rsidRPr="00282AC9">
        <w:rPr>
          <w:rFonts w:asciiTheme="minorBidi" w:hAnsiTheme="minorBidi" w:hint="cs"/>
          <w:sz w:val="27"/>
          <w:rtl/>
        </w:rPr>
        <w:t>أما</w:t>
      </w:r>
      <w:r w:rsidRPr="00282AC9">
        <w:rPr>
          <w:rFonts w:asciiTheme="minorBidi" w:hAnsiTheme="minorBidi"/>
          <w:sz w:val="27"/>
          <w:rtl/>
        </w:rPr>
        <w:t xml:space="preserve"> </w:t>
      </w:r>
      <w:r w:rsidRPr="00282AC9">
        <w:rPr>
          <w:rFonts w:asciiTheme="minorBidi" w:hAnsiTheme="minorBidi" w:hint="cs"/>
          <w:sz w:val="27"/>
          <w:rtl/>
        </w:rPr>
        <w:t>لو</w:t>
      </w:r>
      <w:r w:rsidRPr="00282AC9">
        <w:rPr>
          <w:rFonts w:asciiTheme="minorBidi" w:hAnsiTheme="minorBidi"/>
          <w:sz w:val="27"/>
          <w:rtl/>
        </w:rPr>
        <w:t xml:space="preserve"> </w:t>
      </w:r>
      <w:r w:rsidRPr="00282AC9">
        <w:rPr>
          <w:rFonts w:asciiTheme="minorBidi" w:hAnsiTheme="minorBidi" w:hint="cs"/>
          <w:sz w:val="27"/>
          <w:rtl/>
        </w:rPr>
        <w:t>ضربت</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طلبه</w:t>
      </w:r>
      <w:r w:rsidRPr="00282AC9">
        <w:rPr>
          <w:rFonts w:asciiTheme="minorBidi" w:hAnsiTheme="minorBidi"/>
          <w:sz w:val="27"/>
          <w:rtl/>
        </w:rPr>
        <w:t xml:space="preserve"> </w:t>
      </w:r>
      <w:r w:rsidR="0030178D" w:rsidRPr="00282AC9">
        <w:rPr>
          <w:rFonts w:asciiTheme="minorBidi" w:hAnsiTheme="minorBidi" w:hint="cs"/>
          <w:sz w:val="27"/>
          <w:rtl/>
        </w:rPr>
        <w:t>آ</w:t>
      </w:r>
      <w:r w:rsidRPr="00282AC9">
        <w:rPr>
          <w:rFonts w:asciiTheme="minorBidi" w:hAnsiTheme="minorBidi" w:hint="cs"/>
          <w:sz w:val="27"/>
          <w:rtl/>
        </w:rPr>
        <w:t>باط</w:t>
      </w:r>
      <w:r w:rsidRPr="00282AC9">
        <w:rPr>
          <w:rFonts w:asciiTheme="minorBidi" w:hAnsiTheme="minorBidi"/>
          <w:sz w:val="27"/>
          <w:rtl/>
        </w:rPr>
        <w:t xml:space="preserve"> </w:t>
      </w:r>
      <w:r w:rsidRPr="00282AC9">
        <w:rPr>
          <w:rFonts w:asciiTheme="minorBidi" w:hAnsiTheme="minorBidi" w:hint="cs"/>
          <w:sz w:val="27"/>
          <w:rtl/>
        </w:rPr>
        <w:t>الإبل</w:t>
      </w:r>
      <w:r w:rsidRPr="00282AC9">
        <w:rPr>
          <w:rFonts w:asciiTheme="minorBidi" w:hAnsiTheme="minorBidi"/>
          <w:sz w:val="27"/>
          <w:rtl/>
        </w:rPr>
        <w:t xml:space="preserve"> </w:t>
      </w:r>
      <w:r w:rsidRPr="00282AC9">
        <w:rPr>
          <w:rFonts w:asciiTheme="minorBidi" w:hAnsiTheme="minorBidi" w:hint="cs"/>
          <w:sz w:val="27"/>
          <w:rtl/>
        </w:rPr>
        <w:t>ح</w:t>
      </w:r>
      <w:r w:rsidR="0030178D" w:rsidRPr="00282AC9">
        <w:rPr>
          <w:rFonts w:asciiTheme="minorBidi" w:hAnsiTheme="minorBidi" w:hint="cs"/>
          <w:sz w:val="27"/>
          <w:rtl/>
        </w:rPr>
        <w:t>َ</w:t>
      </w:r>
      <w:r w:rsidRPr="00282AC9">
        <w:rPr>
          <w:rFonts w:asciiTheme="minorBidi" w:hAnsiTheme="minorBidi" w:hint="cs"/>
          <w:sz w:val="27"/>
          <w:rtl/>
        </w:rPr>
        <w:t>و</w:t>
      </w:r>
      <w:r w:rsidR="0030178D" w:rsidRPr="00282AC9">
        <w:rPr>
          <w:rFonts w:asciiTheme="minorBidi" w:hAnsiTheme="minorBidi" w:hint="cs"/>
          <w:sz w:val="27"/>
          <w:rtl/>
        </w:rPr>
        <w:t>ْ</w:t>
      </w:r>
      <w:r w:rsidRPr="00282AC9">
        <w:rPr>
          <w:rFonts w:asciiTheme="minorBidi" w:hAnsiTheme="minorBidi" w:hint="cs"/>
          <w:sz w:val="27"/>
          <w:rtl/>
        </w:rPr>
        <w:t>لاً</w:t>
      </w:r>
      <w:r w:rsidRPr="00282AC9">
        <w:rPr>
          <w:rFonts w:asciiTheme="minorBidi" w:hAnsiTheme="minorBidi"/>
          <w:sz w:val="27"/>
          <w:rtl/>
        </w:rPr>
        <w:t xml:space="preserve"> </w:t>
      </w:r>
      <w:r w:rsidRPr="00282AC9">
        <w:rPr>
          <w:rFonts w:asciiTheme="minorBidi" w:hAnsiTheme="minorBidi" w:hint="cs"/>
          <w:sz w:val="27"/>
          <w:rtl/>
        </w:rPr>
        <w:t>لكان</w:t>
      </w:r>
      <w:r w:rsidRPr="00282AC9">
        <w:rPr>
          <w:rFonts w:asciiTheme="minorBidi" w:hAnsiTheme="minorBidi"/>
          <w:sz w:val="27"/>
          <w:rtl/>
        </w:rPr>
        <w:t xml:space="preserve"> </w:t>
      </w:r>
      <w:r w:rsidRPr="00282AC9">
        <w:rPr>
          <w:rFonts w:asciiTheme="minorBidi" w:hAnsiTheme="minorBidi" w:hint="cs"/>
          <w:sz w:val="27"/>
          <w:rtl/>
        </w:rPr>
        <w:t>قليلاً</w:t>
      </w:r>
      <w:r w:rsidRPr="00282AC9">
        <w:rPr>
          <w:rFonts w:hint="eastAsia"/>
          <w:sz w:val="24"/>
          <w:szCs w:val="24"/>
          <w:rtl/>
        </w:rPr>
        <w:t>»</w:t>
      </w:r>
      <w:r w:rsidRPr="00282AC9">
        <w:rPr>
          <w:rFonts w:asciiTheme="minorBidi" w:hAnsiTheme="minorBidi"/>
          <w:sz w:val="27"/>
          <w:rtl/>
        </w:rPr>
        <w:t xml:space="preserve"> </w:t>
      </w:r>
      <w:r w:rsidR="0030178D" w:rsidRPr="00282AC9">
        <w:rPr>
          <w:rFonts w:asciiTheme="minorBidi" w:hAnsiTheme="minorBidi" w:hint="cs"/>
          <w:sz w:val="27"/>
          <w:rtl/>
        </w:rPr>
        <w:t>أ</w:t>
      </w:r>
      <w:r w:rsidRPr="00282AC9">
        <w:rPr>
          <w:rFonts w:asciiTheme="minorBidi" w:hAnsiTheme="minorBidi" w:hint="cs"/>
          <w:sz w:val="27"/>
          <w:rtl/>
        </w:rPr>
        <w:t>ي</w:t>
      </w:r>
      <w:r w:rsidRPr="00282AC9">
        <w:rPr>
          <w:rFonts w:asciiTheme="minorBidi" w:hAnsiTheme="minorBidi"/>
          <w:sz w:val="27"/>
          <w:rtl/>
        </w:rPr>
        <w:t xml:space="preserve"> </w:t>
      </w:r>
      <w:r w:rsidR="0030178D" w:rsidRPr="00282AC9">
        <w:rPr>
          <w:rFonts w:asciiTheme="minorBidi" w:hAnsiTheme="minorBidi" w:hint="cs"/>
          <w:sz w:val="27"/>
          <w:rtl/>
        </w:rPr>
        <w:t>إ</w:t>
      </w:r>
      <w:r w:rsidRPr="00282AC9">
        <w:rPr>
          <w:rFonts w:asciiTheme="minorBidi" w:hAnsiTheme="minorBidi" w:hint="cs"/>
          <w:sz w:val="27"/>
          <w:rtl/>
        </w:rPr>
        <w:t>نك</w:t>
      </w:r>
      <w:r w:rsidRPr="00282AC9">
        <w:rPr>
          <w:rFonts w:asciiTheme="minorBidi" w:hAnsiTheme="minorBidi"/>
          <w:sz w:val="27"/>
          <w:rtl/>
        </w:rPr>
        <w:t xml:space="preserve"> </w:t>
      </w:r>
      <w:r w:rsidRPr="00282AC9">
        <w:rPr>
          <w:rFonts w:asciiTheme="minorBidi" w:hAnsiTheme="minorBidi" w:hint="cs"/>
          <w:sz w:val="27"/>
          <w:rtl/>
        </w:rPr>
        <w:t>لو</w:t>
      </w:r>
      <w:r w:rsidRPr="00282AC9">
        <w:rPr>
          <w:rFonts w:asciiTheme="minorBidi" w:hAnsiTheme="minorBidi"/>
          <w:sz w:val="27"/>
          <w:rtl/>
        </w:rPr>
        <w:t xml:space="preserve"> </w:t>
      </w:r>
      <w:r w:rsidRPr="00282AC9">
        <w:rPr>
          <w:rFonts w:asciiTheme="minorBidi" w:hAnsiTheme="minorBidi" w:hint="cs"/>
          <w:sz w:val="27"/>
          <w:rtl/>
        </w:rPr>
        <w:t>ضر</w:t>
      </w:r>
      <w:r w:rsidR="0030178D" w:rsidRPr="00282AC9">
        <w:rPr>
          <w:rFonts w:asciiTheme="minorBidi" w:hAnsiTheme="minorBidi" w:hint="cs"/>
          <w:sz w:val="27"/>
          <w:rtl/>
        </w:rPr>
        <w:t>َ</w:t>
      </w:r>
      <w:r w:rsidRPr="00282AC9">
        <w:rPr>
          <w:rFonts w:asciiTheme="minorBidi" w:hAnsiTheme="minorBidi" w:hint="cs"/>
          <w:sz w:val="27"/>
          <w:rtl/>
        </w:rPr>
        <w:t>ب</w:t>
      </w:r>
      <w:r w:rsidR="0030178D" w:rsidRPr="00282AC9">
        <w:rPr>
          <w:rFonts w:asciiTheme="minorBidi" w:hAnsiTheme="minorBidi" w:hint="cs"/>
          <w:sz w:val="27"/>
          <w:rtl/>
        </w:rPr>
        <w:t>ْ</w:t>
      </w:r>
      <w:r w:rsidRPr="00282AC9">
        <w:rPr>
          <w:rFonts w:asciiTheme="minorBidi" w:hAnsiTheme="minorBidi" w:hint="cs"/>
          <w:sz w:val="27"/>
          <w:rtl/>
        </w:rPr>
        <w:t>ت</w:t>
      </w:r>
      <w:r w:rsidR="0030178D" w:rsidRPr="00282AC9">
        <w:rPr>
          <w:rFonts w:asciiTheme="minorBidi" w:hAnsiTheme="minorBidi" w:hint="cs"/>
          <w:sz w:val="27"/>
          <w:rtl/>
        </w:rPr>
        <w:t>َ</w:t>
      </w:r>
      <w:r w:rsidRPr="00282AC9">
        <w:rPr>
          <w:rFonts w:asciiTheme="minorBidi" w:hAnsiTheme="minorBidi"/>
          <w:sz w:val="27"/>
          <w:rtl/>
        </w:rPr>
        <w:t xml:space="preserve"> </w:t>
      </w:r>
      <w:r w:rsidR="0030178D" w:rsidRPr="00282AC9">
        <w:rPr>
          <w:rFonts w:asciiTheme="minorBidi" w:hAnsiTheme="minorBidi" w:hint="cs"/>
          <w:sz w:val="27"/>
          <w:rtl/>
        </w:rPr>
        <w:t>آ</w:t>
      </w:r>
      <w:r w:rsidRPr="00282AC9">
        <w:rPr>
          <w:rFonts w:asciiTheme="minorBidi" w:hAnsiTheme="minorBidi" w:hint="cs"/>
          <w:sz w:val="27"/>
          <w:rtl/>
        </w:rPr>
        <w:t>باط</w:t>
      </w:r>
      <w:r w:rsidRPr="00282AC9">
        <w:rPr>
          <w:rFonts w:asciiTheme="minorBidi" w:hAnsiTheme="minorBidi"/>
          <w:sz w:val="27"/>
          <w:rtl/>
        </w:rPr>
        <w:t xml:space="preserve"> </w:t>
      </w:r>
      <w:r w:rsidRPr="00282AC9">
        <w:rPr>
          <w:rFonts w:asciiTheme="minorBidi" w:hAnsiTheme="minorBidi" w:hint="cs"/>
          <w:sz w:val="27"/>
          <w:rtl/>
        </w:rPr>
        <w:t>الإبل</w:t>
      </w:r>
      <w:r w:rsidRPr="00282AC9">
        <w:rPr>
          <w:rFonts w:asciiTheme="minorBidi" w:hAnsiTheme="minorBidi"/>
          <w:sz w:val="27"/>
          <w:rtl/>
        </w:rPr>
        <w:t xml:space="preserve"> </w:t>
      </w:r>
      <w:r w:rsidRPr="00282AC9">
        <w:rPr>
          <w:rFonts w:asciiTheme="minorBidi" w:hAnsiTheme="minorBidi" w:hint="cs"/>
          <w:sz w:val="27"/>
          <w:rtl/>
        </w:rPr>
        <w:t>ح</w:t>
      </w:r>
      <w:r w:rsidR="0030178D" w:rsidRPr="00282AC9">
        <w:rPr>
          <w:rFonts w:asciiTheme="minorBidi" w:hAnsiTheme="minorBidi" w:hint="cs"/>
          <w:sz w:val="27"/>
          <w:rtl/>
        </w:rPr>
        <w:t>َ</w:t>
      </w:r>
      <w:r w:rsidRPr="00282AC9">
        <w:rPr>
          <w:rFonts w:asciiTheme="minorBidi" w:hAnsiTheme="minorBidi" w:hint="cs"/>
          <w:sz w:val="27"/>
          <w:rtl/>
        </w:rPr>
        <w:t>و</w:t>
      </w:r>
      <w:r w:rsidR="0030178D" w:rsidRPr="00282AC9">
        <w:rPr>
          <w:rFonts w:asciiTheme="minorBidi" w:hAnsiTheme="minorBidi" w:hint="cs"/>
          <w:sz w:val="27"/>
          <w:rtl/>
        </w:rPr>
        <w:t>ْ</w:t>
      </w:r>
      <w:r w:rsidRPr="00282AC9">
        <w:rPr>
          <w:rFonts w:asciiTheme="minorBidi" w:hAnsiTheme="minorBidi" w:hint="cs"/>
          <w:sz w:val="27"/>
          <w:rtl/>
        </w:rPr>
        <w:t>لاً</w:t>
      </w:r>
      <w:r w:rsidRPr="00282AC9">
        <w:rPr>
          <w:rFonts w:asciiTheme="minorBidi" w:hAnsiTheme="minorBidi"/>
          <w:sz w:val="27"/>
          <w:rtl/>
        </w:rPr>
        <w:t xml:space="preserve"> </w:t>
      </w:r>
      <w:r w:rsidRPr="00282AC9">
        <w:rPr>
          <w:rFonts w:asciiTheme="minorBidi" w:hAnsiTheme="minorBidi" w:hint="cs"/>
          <w:sz w:val="27"/>
          <w:rtl/>
        </w:rPr>
        <w:t>كاملاً</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كي</w:t>
      </w:r>
      <w:r w:rsidRPr="00282AC9">
        <w:rPr>
          <w:rFonts w:asciiTheme="minorBidi" w:hAnsiTheme="minorBidi"/>
          <w:sz w:val="27"/>
          <w:rtl/>
        </w:rPr>
        <w:t xml:space="preserve"> </w:t>
      </w:r>
      <w:r w:rsidRPr="00282AC9">
        <w:rPr>
          <w:rFonts w:asciiTheme="minorBidi" w:hAnsiTheme="minorBidi" w:hint="cs"/>
          <w:sz w:val="27"/>
          <w:rtl/>
        </w:rPr>
        <w:t>تسرع</w:t>
      </w:r>
      <w:r w:rsidRPr="00282AC9">
        <w:rPr>
          <w:rFonts w:asciiTheme="minorBidi" w:hAnsiTheme="minorBidi"/>
          <w:sz w:val="27"/>
          <w:rtl/>
        </w:rPr>
        <w:t xml:space="preserve"> </w:t>
      </w:r>
      <w:r w:rsidRPr="00282AC9">
        <w:rPr>
          <w:rFonts w:asciiTheme="minorBidi" w:hAnsiTheme="minorBidi" w:hint="cs"/>
          <w:sz w:val="27"/>
          <w:rtl/>
        </w:rPr>
        <w:t>بك</w:t>
      </w:r>
      <w:r w:rsidRPr="00282AC9">
        <w:rPr>
          <w:rFonts w:asciiTheme="minorBidi" w:hAnsiTheme="minorBidi"/>
          <w:sz w:val="27"/>
          <w:rtl/>
        </w:rPr>
        <w:t xml:space="preserve"> </w:t>
      </w:r>
      <w:r w:rsidRPr="00282AC9">
        <w:rPr>
          <w:rFonts w:asciiTheme="minorBidi" w:hAnsiTheme="minorBidi" w:hint="cs"/>
          <w:sz w:val="27"/>
          <w:rtl/>
        </w:rPr>
        <w:t>لطلب</w:t>
      </w:r>
      <w:r w:rsidRPr="00282AC9">
        <w:rPr>
          <w:rFonts w:asciiTheme="minorBidi" w:hAnsiTheme="minorBidi"/>
          <w:sz w:val="27"/>
          <w:rtl/>
        </w:rPr>
        <w:t xml:space="preserve"> </w:t>
      </w:r>
      <w:r w:rsidRPr="00282AC9">
        <w:rPr>
          <w:rFonts w:asciiTheme="minorBidi" w:hAnsiTheme="minorBidi" w:hint="cs"/>
          <w:sz w:val="27"/>
          <w:rtl/>
        </w:rPr>
        <w:t>هذا</w:t>
      </w:r>
      <w:r w:rsidRPr="00282AC9">
        <w:rPr>
          <w:rFonts w:asciiTheme="minorBidi" w:hAnsiTheme="minorBidi"/>
          <w:sz w:val="27"/>
          <w:rtl/>
        </w:rPr>
        <w:t xml:space="preserve"> </w:t>
      </w:r>
      <w:r w:rsidRPr="00282AC9">
        <w:rPr>
          <w:rFonts w:asciiTheme="minorBidi" w:hAnsiTheme="minorBidi" w:hint="cs"/>
          <w:sz w:val="27"/>
          <w:rtl/>
        </w:rPr>
        <w:t>الحديث</w:t>
      </w:r>
      <w:r w:rsidR="0030178D"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لكان</w:t>
      </w:r>
      <w:r w:rsidRPr="00282AC9">
        <w:rPr>
          <w:rFonts w:asciiTheme="minorBidi" w:hAnsiTheme="minorBidi"/>
          <w:sz w:val="27"/>
          <w:rtl/>
        </w:rPr>
        <w:t xml:space="preserve"> </w:t>
      </w:r>
      <w:r w:rsidRPr="00282AC9">
        <w:rPr>
          <w:rFonts w:asciiTheme="minorBidi" w:hAnsiTheme="minorBidi" w:hint="cs"/>
          <w:sz w:val="27"/>
          <w:rtl/>
        </w:rPr>
        <w:t>ذلك</w:t>
      </w:r>
      <w:r w:rsidRPr="00282AC9">
        <w:rPr>
          <w:rFonts w:asciiTheme="minorBidi" w:hAnsiTheme="minorBidi"/>
          <w:sz w:val="27"/>
          <w:rtl/>
        </w:rPr>
        <w:t xml:space="preserve"> </w:t>
      </w:r>
      <w:r w:rsidRPr="00282AC9">
        <w:rPr>
          <w:rFonts w:asciiTheme="minorBidi" w:hAnsiTheme="minorBidi" w:hint="cs"/>
          <w:sz w:val="27"/>
          <w:rtl/>
        </w:rPr>
        <w:t>قليلاً</w:t>
      </w:r>
      <w:r w:rsidRPr="00282AC9">
        <w:rPr>
          <w:rFonts w:asciiTheme="minorBidi" w:hAnsiTheme="minorBidi"/>
          <w:sz w:val="27"/>
          <w:rtl/>
        </w:rPr>
        <w:t>.</w:t>
      </w:r>
    </w:p>
    <w:p w:rsidR="00965E08" w:rsidRPr="00282AC9" w:rsidRDefault="00965E08" w:rsidP="003062B7">
      <w:pPr>
        <w:rPr>
          <w:rFonts w:asciiTheme="minorBidi" w:hAnsiTheme="minorBidi"/>
          <w:sz w:val="27"/>
        </w:rPr>
      </w:pPr>
      <w:r w:rsidRPr="00282AC9">
        <w:rPr>
          <w:rFonts w:asciiTheme="minorBidi" w:hAnsiTheme="minorBidi" w:hint="cs"/>
          <w:sz w:val="27"/>
          <w:rtl/>
        </w:rPr>
        <w:t>وقول</w:t>
      </w:r>
      <w:r w:rsidRPr="00282AC9">
        <w:rPr>
          <w:rFonts w:asciiTheme="minorBidi" w:hAnsiTheme="minorBidi"/>
          <w:sz w:val="27"/>
          <w:rtl/>
        </w:rPr>
        <w:t xml:space="preserve"> </w:t>
      </w:r>
      <w:r w:rsidRPr="00282AC9">
        <w:rPr>
          <w:rFonts w:asciiTheme="minorBidi" w:hAnsiTheme="minorBidi" w:hint="cs"/>
          <w:sz w:val="27"/>
          <w:rtl/>
        </w:rPr>
        <w:t>إبليس</w:t>
      </w:r>
      <w:r w:rsidRPr="00282AC9">
        <w:rPr>
          <w:rFonts w:asciiTheme="minorBidi" w:hAnsiTheme="minorBidi"/>
          <w:sz w:val="27"/>
          <w:rtl/>
        </w:rPr>
        <w:t xml:space="preserve">: </w:t>
      </w:r>
      <w:r w:rsidRPr="00282AC9">
        <w:rPr>
          <w:rFonts w:hint="eastAsia"/>
          <w:sz w:val="24"/>
          <w:szCs w:val="24"/>
          <w:rtl/>
        </w:rPr>
        <w:t>«</w:t>
      </w:r>
      <w:r w:rsidRPr="00282AC9">
        <w:rPr>
          <w:rFonts w:asciiTheme="minorBidi" w:hAnsiTheme="minorBidi" w:hint="cs"/>
          <w:sz w:val="27"/>
          <w:rtl/>
        </w:rPr>
        <w:t>إلا</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م</w:t>
      </w:r>
      <w:r w:rsidR="00A87919" w:rsidRPr="00282AC9">
        <w:rPr>
          <w:rFonts w:asciiTheme="minorBidi" w:hAnsiTheme="minorBidi" w:hint="cs"/>
          <w:sz w:val="27"/>
          <w:rtl/>
        </w:rPr>
        <w:t>َ</w:t>
      </w:r>
      <w:r w:rsidRPr="00282AC9">
        <w:rPr>
          <w:rFonts w:asciiTheme="minorBidi" w:hAnsiTheme="minorBidi" w:hint="cs"/>
          <w:sz w:val="27"/>
          <w:rtl/>
        </w:rPr>
        <w:t>ن</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اعتصم</w:t>
      </w:r>
      <w:r w:rsidRPr="00282AC9">
        <w:rPr>
          <w:rFonts w:asciiTheme="minorBidi" w:hAnsiTheme="minorBidi"/>
          <w:sz w:val="27"/>
          <w:rtl/>
        </w:rPr>
        <w:t xml:space="preserve"> </w:t>
      </w:r>
      <w:r w:rsidRPr="00282AC9">
        <w:rPr>
          <w:rFonts w:asciiTheme="minorBidi" w:hAnsiTheme="minorBidi" w:hint="cs"/>
          <w:sz w:val="27"/>
          <w:rtl/>
        </w:rPr>
        <w:t>بهذه</w:t>
      </w:r>
      <w:r w:rsidRPr="00282AC9">
        <w:rPr>
          <w:rFonts w:asciiTheme="minorBidi" w:hAnsiTheme="minorBidi"/>
          <w:sz w:val="27"/>
          <w:rtl/>
        </w:rPr>
        <w:t xml:space="preserve"> </w:t>
      </w:r>
      <w:r w:rsidRPr="00282AC9">
        <w:rPr>
          <w:rFonts w:asciiTheme="minorBidi" w:hAnsiTheme="minorBidi" w:hint="cs"/>
          <w:sz w:val="27"/>
          <w:rtl/>
        </w:rPr>
        <w:t>العصابة</w:t>
      </w:r>
      <w:r w:rsidRPr="00282AC9">
        <w:rPr>
          <w:rFonts w:hint="eastAsia"/>
          <w:sz w:val="24"/>
          <w:szCs w:val="24"/>
          <w:rtl/>
        </w:rPr>
        <w:t>»</w:t>
      </w:r>
      <w:r w:rsidRPr="00282AC9">
        <w:rPr>
          <w:rFonts w:asciiTheme="minorBidi" w:hAnsiTheme="minorBidi"/>
          <w:sz w:val="27"/>
          <w:rtl/>
        </w:rPr>
        <w:t xml:space="preserve"> </w:t>
      </w:r>
      <w:r w:rsidRPr="00282AC9">
        <w:rPr>
          <w:rFonts w:asciiTheme="minorBidi" w:hAnsiTheme="minorBidi" w:hint="cs"/>
          <w:sz w:val="27"/>
          <w:rtl/>
        </w:rPr>
        <w:t>هؤلاء</w:t>
      </w:r>
      <w:r w:rsidRPr="00282AC9">
        <w:rPr>
          <w:rFonts w:asciiTheme="minorBidi" w:hAnsiTheme="minorBidi"/>
          <w:sz w:val="27"/>
          <w:rtl/>
        </w:rPr>
        <w:t xml:space="preserve"> </w:t>
      </w:r>
      <w:r w:rsidRPr="00282AC9">
        <w:rPr>
          <w:rFonts w:asciiTheme="minorBidi" w:hAnsiTheme="minorBidi" w:hint="cs"/>
          <w:sz w:val="27"/>
          <w:rtl/>
        </w:rPr>
        <w:t>الذين</w:t>
      </w:r>
      <w:r w:rsidRPr="00282AC9">
        <w:rPr>
          <w:rFonts w:asciiTheme="minorBidi" w:hAnsiTheme="minorBidi"/>
          <w:sz w:val="27"/>
          <w:rtl/>
        </w:rPr>
        <w:t xml:space="preserve"> </w:t>
      </w:r>
      <w:r w:rsidRPr="00282AC9">
        <w:rPr>
          <w:rFonts w:asciiTheme="minorBidi" w:hAnsiTheme="minorBidi" w:hint="cs"/>
          <w:sz w:val="27"/>
          <w:rtl/>
        </w:rPr>
        <w:t>سيكونون</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سفينة ال</w:t>
      </w:r>
      <w:r w:rsidR="00A87919"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والذين</w:t>
      </w:r>
      <w:r w:rsidRPr="00282AC9">
        <w:rPr>
          <w:rFonts w:asciiTheme="minorBidi" w:hAnsiTheme="minorBidi"/>
          <w:sz w:val="27"/>
          <w:rtl/>
        </w:rPr>
        <w:t xml:space="preserve"> </w:t>
      </w:r>
      <w:r w:rsidRPr="00282AC9">
        <w:rPr>
          <w:rFonts w:asciiTheme="minorBidi" w:hAnsiTheme="minorBidi" w:hint="cs"/>
          <w:sz w:val="27"/>
          <w:rtl/>
        </w:rPr>
        <w:t>است</w:t>
      </w:r>
      <w:r w:rsidR="00A87919" w:rsidRPr="00282AC9">
        <w:rPr>
          <w:rFonts w:asciiTheme="minorBidi" w:hAnsiTheme="minorBidi" w:hint="cs"/>
          <w:sz w:val="27"/>
          <w:rtl/>
        </w:rPr>
        <w:t>ُ</w:t>
      </w:r>
      <w:r w:rsidRPr="00282AC9">
        <w:rPr>
          <w:rFonts w:asciiTheme="minorBidi" w:hAnsiTheme="minorBidi" w:hint="cs"/>
          <w:sz w:val="27"/>
          <w:rtl/>
        </w:rPr>
        <w:t>ن</w:t>
      </w:r>
      <w:r w:rsidR="00A87919" w:rsidRPr="00282AC9">
        <w:rPr>
          <w:rFonts w:asciiTheme="minorBidi" w:hAnsiTheme="minorBidi" w:hint="cs"/>
          <w:sz w:val="27"/>
          <w:rtl/>
        </w:rPr>
        <w:t>ْ</w:t>
      </w:r>
      <w:r w:rsidRPr="00282AC9">
        <w:rPr>
          <w:rFonts w:asciiTheme="minorBidi" w:hAnsiTheme="minorBidi" w:hint="cs"/>
          <w:sz w:val="27"/>
          <w:rtl/>
        </w:rPr>
        <w:t>ق</w:t>
      </w:r>
      <w:r w:rsidR="00A87919" w:rsidRPr="00282AC9">
        <w:rPr>
          <w:rFonts w:asciiTheme="minorBidi" w:hAnsiTheme="minorBidi" w:hint="cs"/>
          <w:sz w:val="27"/>
          <w:rtl/>
        </w:rPr>
        <w:t>ِ</w:t>
      </w:r>
      <w:r w:rsidRPr="00282AC9">
        <w:rPr>
          <w:rFonts w:asciiTheme="minorBidi" w:hAnsiTheme="minorBidi" w:hint="cs"/>
          <w:sz w:val="27"/>
          <w:rtl/>
        </w:rPr>
        <w:t>ذوا</w:t>
      </w:r>
      <w:r w:rsidRPr="00282AC9">
        <w:rPr>
          <w:rFonts w:asciiTheme="minorBidi" w:hAnsiTheme="minorBidi"/>
          <w:sz w:val="27"/>
          <w:rtl/>
        </w:rPr>
        <w:t xml:space="preserve"> </w:t>
      </w:r>
      <w:r w:rsidRPr="00282AC9">
        <w:rPr>
          <w:rFonts w:asciiTheme="minorBidi" w:hAnsiTheme="minorBidi" w:hint="cs"/>
          <w:sz w:val="27"/>
          <w:rtl/>
        </w:rPr>
        <w:t>بمشروع ال</w:t>
      </w:r>
      <w:r w:rsidR="00A87919" w:rsidRPr="00282AC9">
        <w:rPr>
          <w:rFonts w:asciiTheme="minorBidi" w:hAnsiTheme="minorBidi" w:hint="cs"/>
          <w:sz w:val="27"/>
          <w:rtl/>
        </w:rPr>
        <w:t>إ</w:t>
      </w:r>
      <w:r w:rsidRPr="00282AC9">
        <w:rPr>
          <w:rFonts w:asciiTheme="minorBidi" w:hAnsiTheme="minorBidi" w:hint="cs"/>
          <w:sz w:val="27"/>
          <w:rtl/>
        </w:rPr>
        <w:t>مام الحسين</w:t>
      </w:r>
      <w:r w:rsidR="009A2A04" w:rsidRPr="00282AC9">
        <w:rPr>
          <w:rFonts w:asciiTheme="minorBidi" w:hAnsiTheme="minorBidi" w:cs="Mosawi" w:hint="cs"/>
          <w:sz w:val="22"/>
          <w:szCs w:val="22"/>
          <w:rtl/>
        </w:rPr>
        <w:t>×</w:t>
      </w:r>
      <w:r w:rsidRPr="00282AC9">
        <w:rPr>
          <w:rFonts w:asciiTheme="minorBidi" w:hAnsiTheme="minorBidi" w:hint="cs"/>
          <w:sz w:val="27"/>
          <w:rtl/>
        </w:rPr>
        <w:t xml:space="preserve"> من</w:t>
      </w:r>
      <w:r w:rsidRPr="00282AC9">
        <w:rPr>
          <w:rFonts w:asciiTheme="minorBidi" w:hAnsiTheme="minorBidi"/>
          <w:sz w:val="27"/>
          <w:rtl/>
        </w:rPr>
        <w:t xml:space="preserve"> </w:t>
      </w:r>
      <w:r w:rsidRPr="00282AC9">
        <w:rPr>
          <w:rFonts w:asciiTheme="minorBidi" w:hAnsiTheme="minorBidi" w:hint="cs"/>
          <w:sz w:val="27"/>
          <w:rtl/>
        </w:rPr>
        <w:t>الضلالة</w:t>
      </w:r>
      <w:r w:rsidRPr="00282AC9">
        <w:rPr>
          <w:rFonts w:asciiTheme="minorBidi" w:hAnsiTheme="minorBidi"/>
          <w:sz w:val="27"/>
          <w:rtl/>
        </w:rPr>
        <w:t xml:space="preserve"> </w:t>
      </w:r>
      <w:r w:rsidRPr="00282AC9">
        <w:rPr>
          <w:rFonts w:asciiTheme="minorBidi" w:hAnsiTheme="minorBidi" w:hint="cs"/>
          <w:sz w:val="27"/>
          <w:rtl/>
        </w:rPr>
        <w:t>وح</w:t>
      </w:r>
      <w:r w:rsidR="00A87919" w:rsidRPr="00282AC9">
        <w:rPr>
          <w:rFonts w:asciiTheme="minorBidi" w:hAnsiTheme="minorBidi" w:hint="cs"/>
          <w:sz w:val="27"/>
          <w:rtl/>
        </w:rPr>
        <w:t>َ</w:t>
      </w:r>
      <w:r w:rsidRPr="00282AC9">
        <w:rPr>
          <w:rFonts w:asciiTheme="minorBidi" w:hAnsiTheme="minorBidi" w:hint="cs"/>
          <w:sz w:val="27"/>
          <w:rtl/>
        </w:rPr>
        <w:t>ي</w:t>
      </w:r>
      <w:r w:rsidR="00A87919" w:rsidRPr="00282AC9">
        <w:rPr>
          <w:rFonts w:asciiTheme="minorBidi" w:hAnsiTheme="minorBidi" w:hint="cs"/>
          <w:sz w:val="27"/>
          <w:rtl/>
        </w:rPr>
        <w:t>ْ</w:t>
      </w:r>
      <w:r w:rsidRPr="00282AC9">
        <w:rPr>
          <w:rFonts w:asciiTheme="minorBidi" w:hAnsiTheme="minorBidi" w:hint="cs"/>
          <w:sz w:val="27"/>
          <w:rtl/>
        </w:rPr>
        <w:t>رة</w:t>
      </w:r>
      <w:r w:rsidRPr="00282AC9">
        <w:rPr>
          <w:rFonts w:asciiTheme="minorBidi" w:hAnsiTheme="minorBidi"/>
          <w:sz w:val="27"/>
          <w:rtl/>
        </w:rPr>
        <w:t xml:space="preserve"> </w:t>
      </w:r>
      <w:r w:rsidRPr="00282AC9">
        <w:rPr>
          <w:rFonts w:asciiTheme="minorBidi" w:hAnsiTheme="minorBidi" w:hint="cs"/>
          <w:sz w:val="27"/>
          <w:rtl/>
        </w:rPr>
        <w:t>الجهالة</w:t>
      </w:r>
      <w:r w:rsidR="00A87919" w:rsidRPr="00282AC9">
        <w:rPr>
          <w:rFonts w:asciiTheme="minorBidi" w:hAnsiTheme="minorBidi" w:hint="cs"/>
          <w:sz w:val="27"/>
          <w:rtl/>
        </w:rPr>
        <w:t>،</w:t>
      </w:r>
      <w:r w:rsidRPr="00282AC9">
        <w:rPr>
          <w:rFonts w:asciiTheme="minorBidi" w:hAnsiTheme="minorBidi" w:hint="cs"/>
          <w:sz w:val="27"/>
          <w:rtl/>
        </w:rPr>
        <w:t xml:space="preserve"> فاعتصموا</w:t>
      </w:r>
      <w:r w:rsidRPr="00282AC9">
        <w:rPr>
          <w:rFonts w:asciiTheme="minorBidi" w:hAnsiTheme="minorBidi"/>
          <w:sz w:val="27"/>
          <w:rtl/>
        </w:rPr>
        <w:t xml:space="preserve"> </w:t>
      </w:r>
      <w:r w:rsidRPr="00282AC9">
        <w:rPr>
          <w:rFonts w:asciiTheme="minorBidi" w:hAnsiTheme="minorBidi" w:hint="cs"/>
          <w:sz w:val="27"/>
          <w:rtl/>
        </w:rPr>
        <w:t>بالع</w:t>
      </w:r>
      <w:r w:rsidR="00A87919" w:rsidRPr="00282AC9">
        <w:rPr>
          <w:rFonts w:asciiTheme="minorBidi" w:hAnsiTheme="minorBidi" w:hint="cs"/>
          <w:sz w:val="27"/>
          <w:rtl/>
        </w:rPr>
        <w:t>ِ</w:t>
      </w:r>
      <w:r w:rsidRPr="00282AC9">
        <w:rPr>
          <w:rFonts w:asciiTheme="minorBidi" w:hAnsiTheme="minorBidi" w:hint="cs"/>
          <w:sz w:val="27"/>
          <w:rtl/>
        </w:rPr>
        <w:t>ت</w:t>
      </w:r>
      <w:r w:rsidR="00A87919" w:rsidRPr="00282AC9">
        <w:rPr>
          <w:rFonts w:asciiTheme="minorBidi" w:hAnsiTheme="minorBidi" w:hint="cs"/>
          <w:sz w:val="27"/>
          <w:rtl/>
        </w:rPr>
        <w:t>ْ</w:t>
      </w:r>
      <w:r w:rsidRPr="00282AC9">
        <w:rPr>
          <w:rFonts w:asciiTheme="minorBidi" w:hAnsiTheme="minorBidi" w:hint="cs"/>
          <w:sz w:val="27"/>
          <w:rtl/>
        </w:rPr>
        <w:t>رة</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لأن</w:t>
      </w:r>
      <w:r w:rsidRPr="00282AC9">
        <w:rPr>
          <w:rFonts w:asciiTheme="minorBidi" w:hAnsiTheme="minorBidi"/>
          <w:sz w:val="27"/>
          <w:rtl/>
        </w:rPr>
        <w:t xml:space="preserve"> </w:t>
      </w:r>
      <w:r w:rsidRPr="00282AC9">
        <w:rPr>
          <w:rFonts w:asciiTheme="minorBidi" w:hAnsiTheme="minorBidi" w:hint="cs"/>
          <w:sz w:val="27"/>
          <w:rtl/>
        </w:rPr>
        <w:t>م</w:t>
      </w:r>
      <w:r w:rsidR="00A87919" w:rsidRPr="00282AC9">
        <w:rPr>
          <w:rFonts w:asciiTheme="minorBidi" w:hAnsiTheme="minorBidi" w:hint="cs"/>
          <w:sz w:val="27"/>
          <w:rtl/>
        </w:rPr>
        <w:t>َ</w:t>
      </w:r>
      <w:r w:rsidRPr="00282AC9">
        <w:rPr>
          <w:rFonts w:asciiTheme="minorBidi" w:hAnsiTheme="minorBidi" w:hint="cs"/>
          <w:sz w:val="27"/>
          <w:rtl/>
        </w:rPr>
        <w:t>ن</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اعتصم</w:t>
      </w:r>
      <w:r w:rsidRPr="00282AC9">
        <w:rPr>
          <w:rFonts w:asciiTheme="minorBidi" w:hAnsiTheme="minorBidi"/>
          <w:sz w:val="27"/>
          <w:rtl/>
        </w:rPr>
        <w:t xml:space="preserve"> </w:t>
      </w:r>
      <w:r w:rsidRPr="00282AC9">
        <w:rPr>
          <w:rFonts w:asciiTheme="minorBidi" w:hAnsiTheme="minorBidi" w:hint="cs"/>
          <w:sz w:val="27"/>
          <w:rtl/>
        </w:rPr>
        <w:t>بهم</w:t>
      </w:r>
      <w:r w:rsidRPr="00282AC9">
        <w:rPr>
          <w:rFonts w:asciiTheme="minorBidi" w:hAnsiTheme="minorBidi"/>
          <w:sz w:val="27"/>
          <w:rtl/>
        </w:rPr>
        <w:t xml:space="preserve"> </w:t>
      </w:r>
      <w:r w:rsidRPr="00282AC9">
        <w:rPr>
          <w:rFonts w:asciiTheme="minorBidi" w:hAnsiTheme="minorBidi" w:hint="cs"/>
          <w:sz w:val="27"/>
          <w:rtl/>
        </w:rPr>
        <w:t>فقد</w:t>
      </w:r>
      <w:r w:rsidRPr="00282AC9">
        <w:rPr>
          <w:rFonts w:asciiTheme="minorBidi" w:hAnsiTheme="minorBidi"/>
          <w:sz w:val="27"/>
          <w:rtl/>
        </w:rPr>
        <w:t xml:space="preserve"> </w:t>
      </w:r>
      <w:r w:rsidRPr="00282AC9">
        <w:rPr>
          <w:rFonts w:asciiTheme="minorBidi" w:hAnsiTheme="minorBidi" w:hint="cs"/>
          <w:sz w:val="27"/>
          <w:rtl/>
        </w:rPr>
        <w:t>اعتصم</w:t>
      </w:r>
      <w:r w:rsidRPr="00282AC9">
        <w:rPr>
          <w:rFonts w:asciiTheme="minorBidi" w:hAnsiTheme="minorBidi"/>
          <w:sz w:val="27"/>
          <w:rtl/>
        </w:rPr>
        <w:t xml:space="preserve"> </w:t>
      </w:r>
      <w:r w:rsidRPr="00282AC9">
        <w:rPr>
          <w:rFonts w:asciiTheme="minorBidi" w:hAnsiTheme="minorBidi" w:hint="cs"/>
          <w:sz w:val="27"/>
          <w:rtl/>
        </w:rPr>
        <w:t>بالله</w:t>
      </w:r>
      <w:r w:rsidRPr="00282AC9">
        <w:rPr>
          <w:rFonts w:asciiTheme="minorBidi" w:hAnsiTheme="minorBidi"/>
          <w:sz w:val="27"/>
          <w:rtl/>
        </w:rPr>
        <w:t xml:space="preserve"> </w:t>
      </w:r>
      <w:r w:rsidRPr="00282AC9">
        <w:rPr>
          <w:rFonts w:asciiTheme="minorBidi" w:hAnsiTheme="minorBidi" w:hint="cs"/>
          <w:sz w:val="27"/>
          <w:rtl/>
        </w:rPr>
        <w:t>عز</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وجل</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والعصابة</w:t>
      </w:r>
      <w:r w:rsidRPr="00282AC9">
        <w:rPr>
          <w:rFonts w:asciiTheme="minorBidi" w:hAnsiTheme="minorBidi"/>
          <w:sz w:val="27"/>
          <w:rtl/>
        </w:rPr>
        <w:t xml:space="preserve"> </w:t>
      </w:r>
      <w:r w:rsidRPr="00282AC9">
        <w:rPr>
          <w:rFonts w:asciiTheme="minorBidi" w:hAnsiTheme="minorBidi" w:hint="cs"/>
          <w:sz w:val="27"/>
          <w:rtl/>
        </w:rPr>
        <w:lastRenderedPageBreak/>
        <w:t>مجموعةٌ</w:t>
      </w:r>
      <w:r w:rsidRPr="00282AC9">
        <w:rPr>
          <w:rFonts w:asciiTheme="minorBidi" w:hAnsiTheme="minorBidi"/>
          <w:sz w:val="27"/>
          <w:rtl/>
        </w:rPr>
        <w:t xml:space="preserve"> </w:t>
      </w:r>
      <w:r w:rsidRPr="00282AC9">
        <w:rPr>
          <w:rFonts w:asciiTheme="minorBidi" w:hAnsiTheme="minorBidi" w:hint="cs"/>
          <w:sz w:val="27"/>
          <w:rtl/>
        </w:rPr>
        <w:t>من</w:t>
      </w:r>
      <w:r w:rsidRPr="00282AC9">
        <w:rPr>
          <w:rFonts w:asciiTheme="minorBidi" w:hAnsiTheme="minorBidi"/>
          <w:sz w:val="27"/>
          <w:rtl/>
        </w:rPr>
        <w:t xml:space="preserve"> </w:t>
      </w:r>
      <w:r w:rsidRPr="00282AC9">
        <w:rPr>
          <w:rFonts w:asciiTheme="minorBidi" w:hAnsiTheme="minorBidi" w:hint="cs"/>
          <w:sz w:val="27"/>
          <w:rtl/>
        </w:rPr>
        <w:t>الناس</w:t>
      </w:r>
      <w:r w:rsidRPr="00282AC9">
        <w:rPr>
          <w:rFonts w:asciiTheme="minorBidi" w:hAnsiTheme="minorBidi"/>
          <w:sz w:val="27"/>
          <w:rtl/>
        </w:rPr>
        <w:t xml:space="preserve"> </w:t>
      </w:r>
      <w:r w:rsidRPr="00282AC9">
        <w:rPr>
          <w:rFonts w:asciiTheme="minorBidi" w:hAnsiTheme="minorBidi" w:hint="cs"/>
          <w:sz w:val="27"/>
          <w:rtl/>
        </w:rPr>
        <w:t>تت</w:t>
      </w:r>
      <w:r w:rsidR="00A87919" w:rsidRPr="00282AC9">
        <w:rPr>
          <w:rFonts w:asciiTheme="minorBidi" w:hAnsiTheme="minorBidi" w:hint="cs"/>
          <w:sz w:val="27"/>
          <w:rtl/>
        </w:rPr>
        <w:t>َّ</w:t>
      </w:r>
      <w:r w:rsidRPr="00282AC9">
        <w:rPr>
          <w:rFonts w:asciiTheme="minorBidi" w:hAnsiTheme="minorBidi" w:hint="cs"/>
          <w:sz w:val="27"/>
          <w:rtl/>
        </w:rPr>
        <w:t>فق</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آرائها</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وتت</w:t>
      </w:r>
      <w:r w:rsidR="00A87919" w:rsidRPr="00282AC9">
        <w:rPr>
          <w:rFonts w:asciiTheme="minorBidi" w:hAnsiTheme="minorBidi" w:hint="cs"/>
          <w:sz w:val="27"/>
          <w:rtl/>
        </w:rPr>
        <w:t>َّ</w:t>
      </w:r>
      <w:r w:rsidRPr="00282AC9">
        <w:rPr>
          <w:rFonts w:asciiTheme="minorBidi" w:hAnsiTheme="minorBidi" w:hint="cs"/>
          <w:sz w:val="27"/>
          <w:rtl/>
        </w:rPr>
        <w:t>حد</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همومها</w:t>
      </w:r>
      <w:r w:rsidRPr="00282AC9">
        <w:rPr>
          <w:rFonts w:asciiTheme="minorBidi" w:hAnsiTheme="minorBidi"/>
          <w:sz w:val="27"/>
          <w:rtl/>
        </w:rPr>
        <w:t xml:space="preserve"> </w:t>
      </w:r>
      <w:r w:rsidRPr="00282AC9">
        <w:rPr>
          <w:rFonts w:asciiTheme="minorBidi" w:hAnsiTheme="minorBidi" w:hint="cs"/>
          <w:sz w:val="27"/>
          <w:rtl/>
        </w:rPr>
        <w:t>وأفراحها</w:t>
      </w:r>
      <w:r w:rsidRPr="00282AC9">
        <w:rPr>
          <w:rFonts w:asciiTheme="minorBidi" w:hAnsiTheme="minorBidi"/>
          <w:sz w:val="27"/>
          <w:rtl/>
        </w:rPr>
        <w:t xml:space="preserve"> </w:t>
      </w:r>
      <w:r w:rsidRPr="00282AC9">
        <w:rPr>
          <w:rFonts w:asciiTheme="minorBidi" w:hAnsiTheme="minorBidi" w:hint="cs"/>
          <w:sz w:val="27"/>
          <w:rtl/>
        </w:rPr>
        <w:t>وأتراحها</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وتضرب</w:t>
      </w:r>
      <w:r w:rsidRPr="00282AC9">
        <w:rPr>
          <w:rFonts w:asciiTheme="minorBidi" w:hAnsiTheme="minorBidi"/>
          <w:sz w:val="27"/>
          <w:rtl/>
        </w:rPr>
        <w:t xml:space="preserve"> </w:t>
      </w:r>
      <w:r w:rsidRPr="00282AC9">
        <w:rPr>
          <w:rFonts w:asciiTheme="minorBidi" w:hAnsiTheme="minorBidi" w:hint="cs"/>
          <w:sz w:val="27"/>
          <w:rtl/>
        </w:rPr>
        <w:t>بيدٍ</w:t>
      </w:r>
      <w:r w:rsidRPr="00282AC9">
        <w:rPr>
          <w:rFonts w:asciiTheme="minorBidi" w:hAnsiTheme="minorBidi"/>
          <w:sz w:val="27"/>
          <w:rtl/>
        </w:rPr>
        <w:t xml:space="preserve"> </w:t>
      </w:r>
      <w:r w:rsidRPr="00282AC9">
        <w:rPr>
          <w:rFonts w:asciiTheme="minorBidi" w:hAnsiTheme="minorBidi" w:hint="cs"/>
          <w:sz w:val="27"/>
          <w:rtl/>
        </w:rPr>
        <w:t>واحدة</w:t>
      </w:r>
      <w:r w:rsidRPr="00282AC9">
        <w:rPr>
          <w:rFonts w:asciiTheme="minorBidi" w:hAnsiTheme="minorBidi"/>
          <w:sz w:val="27"/>
          <w:rtl/>
        </w:rPr>
        <w:t>.</w:t>
      </w:r>
    </w:p>
    <w:p w:rsidR="00965E08" w:rsidRPr="00282AC9" w:rsidRDefault="00965E08" w:rsidP="003062B7">
      <w:pPr>
        <w:rPr>
          <w:rFonts w:asciiTheme="minorBidi" w:hAnsiTheme="minorBidi"/>
          <w:sz w:val="27"/>
          <w:rtl/>
        </w:rPr>
      </w:pPr>
      <w:r w:rsidRPr="00282AC9">
        <w:rPr>
          <w:rFonts w:asciiTheme="minorBidi" w:hAnsiTheme="minorBidi" w:hint="cs"/>
          <w:sz w:val="27"/>
          <w:rtl/>
        </w:rPr>
        <w:t>وقول</w:t>
      </w:r>
      <w:r w:rsidRPr="00282AC9">
        <w:rPr>
          <w:rFonts w:asciiTheme="minorBidi" w:hAnsiTheme="minorBidi"/>
          <w:sz w:val="27"/>
          <w:rtl/>
        </w:rPr>
        <w:t xml:space="preserve"> </w:t>
      </w:r>
      <w:r w:rsidRPr="00282AC9">
        <w:rPr>
          <w:rFonts w:asciiTheme="minorBidi" w:hAnsiTheme="minorBidi" w:hint="cs"/>
          <w:sz w:val="27"/>
          <w:rtl/>
        </w:rPr>
        <w:t>إبليس</w:t>
      </w:r>
      <w:r w:rsidRPr="00282AC9">
        <w:rPr>
          <w:rFonts w:asciiTheme="minorBidi" w:hAnsiTheme="minorBidi"/>
          <w:sz w:val="27"/>
          <w:rtl/>
        </w:rPr>
        <w:t xml:space="preserve">: </w:t>
      </w:r>
      <w:r w:rsidRPr="00282AC9">
        <w:rPr>
          <w:rFonts w:hint="eastAsia"/>
          <w:sz w:val="24"/>
          <w:szCs w:val="24"/>
          <w:rtl/>
        </w:rPr>
        <w:t>«</w:t>
      </w:r>
      <w:r w:rsidRPr="00282AC9">
        <w:rPr>
          <w:rFonts w:asciiTheme="minorBidi" w:hAnsiTheme="minorBidi" w:hint="cs"/>
          <w:sz w:val="27"/>
          <w:rtl/>
        </w:rPr>
        <w:t>فاجعلوا</w:t>
      </w:r>
      <w:r w:rsidRPr="00282AC9">
        <w:rPr>
          <w:rFonts w:asciiTheme="minorBidi" w:hAnsiTheme="minorBidi"/>
          <w:sz w:val="27"/>
          <w:rtl/>
        </w:rPr>
        <w:t xml:space="preserve"> </w:t>
      </w:r>
      <w:r w:rsidRPr="00282AC9">
        <w:rPr>
          <w:rFonts w:asciiTheme="minorBidi" w:hAnsiTheme="minorBidi" w:hint="cs"/>
          <w:sz w:val="27"/>
          <w:rtl/>
        </w:rPr>
        <w:t>شغلكم</w:t>
      </w:r>
      <w:r w:rsidRPr="00282AC9">
        <w:rPr>
          <w:rFonts w:asciiTheme="minorBidi" w:hAnsiTheme="minorBidi"/>
          <w:sz w:val="27"/>
          <w:rtl/>
        </w:rPr>
        <w:t xml:space="preserve"> </w:t>
      </w:r>
      <w:r w:rsidRPr="00282AC9">
        <w:rPr>
          <w:rFonts w:asciiTheme="minorBidi" w:hAnsiTheme="minorBidi" w:hint="cs"/>
          <w:sz w:val="27"/>
          <w:rtl/>
        </w:rPr>
        <w:t>بتشكيك</w:t>
      </w:r>
      <w:r w:rsidRPr="00282AC9">
        <w:rPr>
          <w:rFonts w:asciiTheme="minorBidi" w:hAnsiTheme="minorBidi"/>
          <w:sz w:val="27"/>
          <w:rtl/>
        </w:rPr>
        <w:t xml:space="preserve"> </w:t>
      </w:r>
      <w:r w:rsidRPr="00282AC9">
        <w:rPr>
          <w:rFonts w:asciiTheme="minorBidi" w:hAnsiTheme="minorBidi" w:hint="cs"/>
          <w:sz w:val="27"/>
          <w:rtl/>
        </w:rPr>
        <w:t>الناس</w:t>
      </w:r>
      <w:r w:rsidRPr="00282AC9">
        <w:rPr>
          <w:rFonts w:asciiTheme="minorBidi" w:hAnsiTheme="minorBidi"/>
          <w:sz w:val="27"/>
          <w:rtl/>
        </w:rPr>
        <w:t xml:space="preserve"> </w:t>
      </w:r>
      <w:r w:rsidRPr="00282AC9">
        <w:rPr>
          <w:rFonts w:asciiTheme="minorBidi" w:hAnsiTheme="minorBidi" w:hint="cs"/>
          <w:sz w:val="27"/>
          <w:rtl/>
        </w:rPr>
        <w:t>فيهم</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وحملهم</w:t>
      </w:r>
      <w:r w:rsidRPr="00282AC9">
        <w:rPr>
          <w:rFonts w:asciiTheme="minorBidi" w:hAnsiTheme="minorBidi"/>
          <w:sz w:val="27"/>
          <w:rtl/>
        </w:rPr>
        <w:t xml:space="preserve"> </w:t>
      </w:r>
      <w:r w:rsidRPr="00282AC9">
        <w:rPr>
          <w:rFonts w:asciiTheme="minorBidi" w:hAnsiTheme="minorBidi" w:hint="cs"/>
          <w:sz w:val="27"/>
          <w:rtl/>
        </w:rPr>
        <w:t>على</w:t>
      </w:r>
      <w:r w:rsidRPr="00282AC9">
        <w:rPr>
          <w:rFonts w:asciiTheme="minorBidi" w:hAnsiTheme="minorBidi"/>
          <w:sz w:val="27"/>
          <w:rtl/>
        </w:rPr>
        <w:t xml:space="preserve"> </w:t>
      </w:r>
      <w:r w:rsidRPr="00282AC9">
        <w:rPr>
          <w:rFonts w:asciiTheme="minorBidi" w:hAnsiTheme="minorBidi" w:hint="cs"/>
          <w:sz w:val="27"/>
          <w:rtl/>
        </w:rPr>
        <w:t>عداوتهم</w:t>
      </w:r>
      <w:r w:rsidRPr="00282AC9">
        <w:rPr>
          <w:rFonts w:hint="eastAsia"/>
          <w:sz w:val="24"/>
          <w:szCs w:val="24"/>
          <w:rtl/>
        </w:rPr>
        <w:t>»</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أي</w:t>
      </w:r>
      <w:r w:rsidRPr="00282AC9">
        <w:rPr>
          <w:rFonts w:asciiTheme="minorBidi" w:hAnsiTheme="minorBidi"/>
          <w:sz w:val="27"/>
          <w:rtl/>
        </w:rPr>
        <w:t xml:space="preserve"> </w:t>
      </w:r>
      <w:r w:rsidRPr="00282AC9">
        <w:rPr>
          <w:rFonts w:asciiTheme="minorBidi" w:hAnsiTheme="minorBidi" w:hint="cs"/>
          <w:sz w:val="27"/>
          <w:rtl/>
        </w:rPr>
        <w:t>بتشكيك</w:t>
      </w:r>
      <w:r w:rsidRPr="00282AC9">
        <w:rPr>
          <w:rFonts w:asciiTheme="minorBidi" w:hAnsiTheme="minorBidi"/>
          <w:sz w:val="27"/>
          <w:rtl/>
        </w:rPr>
        <w:t xml:space="preserve"> </w:t>
      </w:r>
      <w:r w:rsidRPr="00282AC9">
        <w:rPr>
          <w:rFonts w:asciiTheme="minorBidi" w:hAnsiTheme="minorBidi" w:hint="cs"/>
          <w:sz w:val="27"/>
          <w:rtl/>
        </w:rPr>
        <w:t>الناس</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هذه</w:t>
      </w:r>
      <w:r w:rsidRPr="00282AC9">
        <w:rPr>
          <w:rFonts w:asciiTheme="minorBidi" w:hAnsiTheme="minorBidi"/>
          <w:sz w:val="27"/>
          <w:rtl/>
        </w:rPr>
        <w:t xml:space="preserve"> </w:t>
      </w:r>
      <w:r w:rsidRPr="00282AC9">
        <w:rPr>
          <w:rFonts w:asciiTheme="minorBidi" w:hAnsiTheme="minorBidi" w:hint="cs"/>
          <w:sz w:val="27"/>
          <w:rtl/>
        </w:rPr>
        <w:t>المجموعة</w:t>
      </w:r>
      <w:r w:rsidR="00A87919" w:rsidRPr="00282AC9">
        <w:rPr>
          <w:rFonts w:asciiTheme="minorBidi" w:hAnsiTheme="minorBidi" w:hint="cs"/>
          <w:sz w:val="27"/>
          <w:rtl/>
        </w:rPr>
        <w:t>،</w:t>
      </w:r>
      <w:r w:rsidRPr="00282AC9">
        <w:rPr>
          <w:rFonts w:asciiTheme="minorBidi" w:hAnsiTheme="minorBidi"/>
          <w:sz w:val="27"/>
          <w:rtl/>
        </w:rPr>
        <w:t xml:space="preserve"> </w:t>
      </w:r>
      <w:r w:rsidRPr="00282AC9">
        <w:rPr>
          <w:rFonts w:asciiTheme="minorBidi" w:hAnsiTheme="minorBidi" w:hint="cs"/>
          <w:sz w:val="27"/>
          <w:rtl/>
        </w:rPr>
        <w:t>التي</w:t>
      </w:r>
      <w:r w:rsidRPr="00282AC9">
        <w:rPr>
          <w:rFonts w:asciiTheme="minorBidi" w:hAnsiTheme="minorBidi"/>
          <w:sz w:val="27"/>
          <w:rtl/>
        </w:rPr>
        <w:t xml:space="preserve"> </w:t>
      </w:r>
      <w:r w:rsidRPr="00282AC9">
        <w:rPr>
          <w:rFonts w:asciiTheme="minorBidi" w:hAnsiTheme="minorBidi" w:hint="cs"/>
          <w:sz w:val="27"/>
          <w:rtl/>
        </w:rPr>
        <w:t>تكون</w:t>
      </w:r>
      <w:r w:rsidRPr="00282AC9">
        <w:rPr>
          <w:rFonts w:asciiTheme="minorBidi" w:hAnsiTheme="minorBidi"/>
          <w:sz w:val="27"/>
          <w:rtl/>
        </w:rPr>
        <w:t xml:space="preserve"> </w:t>
      </w:r>
      <w:r w:rsidRPr="00282AC9">
        <w:rPr>
          <w:rFonts w:asciiTheme="minorBidi" w:hAnsiTheme="minorBidi" w:hint="cs"/>
          <w:sz w:val="27"/>
          <w:rtl/>
        </w:rPr>
        <w:t>في</w:t>
      </w:r>
      <w:r w:rsidRPr="00282AC9">
        <w:rPr>
          <w:rFonts w:asciiTheme="minorBidi" w:hAnsiTheme="minorBidi"/>
          <w:sz w:val="27"/>
          <w:rtl/>
        </w:rPr>
        <w:t xml:space="preserve"> </w:t>
      </w:r>
      <w:r w:rsidRPr="00282AC9">
        <w:rPr>
          <w:rFonts w:asciiTheme="minorBidi" w:hAnsiTheme="minorBidi" w:hint="cs"/>
          <w:sz w:val="27"/>
          <w:rtl/>
        </w:rPr>
        <w:t>سفينة</w:t>
      </w:r>
      <w:r w:rsidRPr="00282AC9">
        <w:rPr>
          <w:rFonts w:asciiTheme="minorBidi" w:hAnsiTheme="minorBidi"/>
          <w:sz w:val="27"/>
          <w:rtl/>
        </w:rPr>
        <w:t xml:space="preserve"> </w:t>
      </w:r>
      <w:r w:rsidRPr="00282AC9">
        <w:rPr>
          <w:rFonts w:asciiTheme="minorBidi" w:hAnsiTheme="minorBidi" w:hint="cs"/>
          <w:sz w:val="27"/>
          <w:rtl/>
        </w:rPr>
        <w:t>ال</w:t>
      </w:r>
      <w:r w:rsidR="00A87919" w:rsidRPr="00282AC9">
        <w:rPr>
          <w:rFonts w:asciiTheme="minorBidi" w:hAnsiTheme="minorBidi" w:hint="cs"/>
          <w:sz w:val="27"/>
          <w:rtl/>
        </w:rPr>
        <w:t>إ</w:t>
      </w:r>
      <w:r w:rsidRPr="00282AC9">
        <w:rPr>
          <w:rFonts w:asciiTheme="minorBidi" w:hAnsiTheme="minorBidi" w:hint="cs"/>
          <w:sz w:val="27"/>
          <w:rtl/>
        </w:rPr>
        <w:t>مام</w:t>
      </w:r>
      <w:r w:rsidRPr="00282AC9">
        <w:rPr>
          <w:rFonts w:asciiTheme="minorBidi" w:hAnsiTheme="minorBidi"/>
          <w:sz w:val="27"/>
          <w:rtl/>
        </w:rPr>
        <w:t xml:space="preserve"> </w:t>
      </w:r>
      <w:r w:rsidRPr="00282AC9">
        <w:rPr>
          <w:rFonts w:asciiTheme="minorBidi" w:hAnsiTheme="minorBidi" w:hint="cs"/>
          <w:sz w:val="27"/>
          <w:rtl/>
        </w:rPr>
        <w:t>الحسين</w:t>
      </w:r>
      <w:r w:rsidR="009A2A04" w:rsidRPr="00282AC9">
        <w:rPr>
          <w:rFonts w:asciiTheme="minorBidi" w:hAnsiTheme="minorBidi" w:cs="Mosawi"/>
          <w:sz w:val="22"/>
          <w:szCs w:val="22"/>
          <w:rtl/>
        </w:rPr>
        <w:t>×</w:t>
      </w:r>
      <w:r w:rsidRPr="00282AC9">
        <w:rPr>
          <w:rFonts w:asciiTheme="minorBidi" w:hAnsiTheme="minorBidi"/>
          <w:sz w:val="27"/>
          <w:rtl/>
        </w:rPr>
        <w:t>.</w:t>
      </w:r>
    </w:p>
    <w:p w:rsidR="00965E08" w:rsidRPr="00282AC9" w:rsidRDefault="00965E08" w:rsidP="003062B7">
      <w:pPr>
        <w:pStyle w:val="afe"/>
        <w:spacing w:after="0" w:line="400" w:lineRule="exact"/>
        <w:ind w:left="0" w:firstLine="567"/>
        <w:jc w:val="both"/>
        <w:rPr>
          <w:rFonts w:asciiTheme="minorBidi" w:hAnsiTheme="minorBidi" w:cs="AL-Mohanad"/>
          <w:sz w:val="27"/>
          <w:szCs w:val="27"/>
          <w:rtl/>
        </w:rPr>
      </w:pPr>
      <w:r w:rsidRPr="00282AC9">
        <w:rPr>
          <w:rFonts w:cs="AL-Mohanad" w:hint="cs"/>
          <w:sz w:val="27"/>
          <w:szCs w:val="27"/>
          <w:rtl/>
        </w:rPr>
        <w:t>6ـ عن</w:t>
      </w:r>
      <w:r w:rsidRPr="00282AC9">
        <w:rPr>
          <w:rFonts w:cs="AL-Mohanad"/>
          <w:sz w:val="27"/>
          <w:szCs w:val="27"/>
          <w:rtl/>
        </w:rPr>
        <w:t xml:space="preserve"> </w:t>
      </w:r>
      <w:r w:rsidRPr="00282AC9">
        <w:rPr>
          <w:rFonts w:cs="AL-Mohanad" w:hint="cs"/>
          <w:sz w:val="27"/>
          <w:szCs w:val="27"/>
          <w:rtl/>
        </w:rPr>
        <w:t>زرارة</w:t>
      </w:r>
      <w:r w:rsidRPr="00282AC9">
        <w:rPr>
          <w:rFonts w:cs="AL-Mohanad"/>
          <w:sz w:val="27"/>
          <w:szCs w:val="27"/>
          <w:rtl/>
        </w:rPr>
        <w:t xml:space="preserve">، </w:t>
      </w:r>
      <w:r w:rsidRPr="00282AC9">
        <w:rPr>
          <w:rFonts w:cs="AL-Mohanad" w:hint="cs"/>
          <w:sz w:val="27"/>
          <w:szCs w:val="27"/>
          <w:rtl/>
        </w:rPr>
        <w:t>عن</w:t>
      </w:r>
      <w:r w:rsidRPr="00282AC9">
        <w:rPr>
          <w:rFonts w:cs="AL-Mohanad"/>
          <w:sz w:val="27"/>
          <w:szCs w:val="27"/>
          <w:rtl/>
        </w:rPr>
        <w:t xml:space="preserve"> </w:t>
      </w:r>
      <w:r w:rsidRPr="00282AC9">
        <w:rPr>
          <w:rFonts w:cs="AL-Mohanad" w:hint="cs"/>
          <w:sz w:val="27"/>
          <w:szCs w:val="27"/>
          <w:rtl/>
        </w:rPr>
        <w:t>أبي</w:t>
      </w:r>
      <w:r w:rsidRPr="00282AC9">
        <w:rPr>
          <w:rFonts w:cs="AL-Mohanad"/>
          <w:sz w:val="27"/>
          <w:szCs w:val="27"/>
          <w:rtl/>
        </w:rPr>
        <w:t xml:space="preserve"> </w:t>
      </w:r>
      <w:r w:rsidRPr="00282AC9">
        <w:rPr>
          <w:rFonts w:cs="AL-Mohanad" w:hint="cs"/>
          <w:sz w:val="27"/>
          <w:szCs w:val="27"/>
          <w:rtl/>
        </w:rPr>
        <w:t>جعفر</w:t>
      </w:r>
      <w:r w:rsidR="009A2A04" w:rsidRPr="00282AC9">
        <w:rPr>
          <w:rFonts w:cs="Mosawi"/>
          <w:rtl/>
        </w:rPr>
        <w:t>×</w:t>
      </w:r>
      <w:r w:rsidRPr="00282AC9">
        <w:rPr>
          <w:rFonts w:cs="AL-Mohanad"/>
          <w:sz w:val="27"/>
          <w:szCs w:val="27"/>
          <w:rtl/>
        </w:rPr>
        <w:t xml:space="preserve"> </w:t>
      </w:r>
      <w:r w:rsidRPr="00282AC9">
        <w:rPr>
          <w:rFonts w:cs="AL-Mohanad" w:hint="cs"/>
          <w:sz w:val="27"/>
          <w:szCs w:val="27"/>
          <w:rtl/>
        </w:rPr>
        <w:t>قال</w:t>
      </w:r>
      <w:r w:rsidRPr="00282AC9">
        <w:rPr>
          <w:rFonts w:cs="AL-Mohanad"/>
          <w:sz w:val="27"/>
          <w:szCs w:val="27"/>
          <w:rtl/>
        </w:rPr>
        <w:t xml:space="preserve">: </w:t>
      </w:r>
      <w:r w:rsidRPr="00282AC9">
        <w:rPr>
          <w:rFonts w:cs="AL-Mohanad" w:hint="cs"/>
          <w:sz w:val="27"/>
          <w:szCs w:val="27"/>
          <w:rtl/>
        </w:rPr>
        <w:t>كتب</w:t>
      </w:r>
      <w:r w:rsidRPr="00282AC9">
        <w:rPr>
          <w:rFonts w:cs="AL-Mohanad"/>
          <w:sz w:val="27"/>
          <w:szCs w:val="27"/>
          <w:rtl/>
        </w:rPr>
        <w:t xml:space="preserve"> </w:t>
      </w:r>
      <w:r w:rsidRPr="00282AC9">
        <w:rPr>
          <w:rFonts w:cs="AL-Mohanad" w:hint="cs"/>
          <w:sz w:val="27"/>
          <w:szCs w:val="27"/>
          <w:rtl/>
        </w:rPr>
        <w:t>الحسين</w:t>
      </w:r>
      <w:r w:rsidRPr="00282AC9">
        <w:rPr>
          <w:rFonts w:cs="AL-Mohanad"/>
          <w:sz w:val="27"/>
          <w:szCs w:val="27"/>
          <w:rtl/>
        </w:rPr>
        <w:t xml:space="preserve"> </w:t>
      </w:r>
      <w:r w:rsidRPr="00282AC9">
        <w:rPr>
          <w:rFonts w:cs="AL-Mohanad" w:hint="cs"/>
          <w:sz w:val="27"/>
          <w:szCs w:val="27"/>
          <w:rtl/>
        </w:rPr>
        <w:t>بن</w:t>
      </w:r>
      <w:r w:rsidRPr="00282AC9">
        <w:rPr>
          <w:rFonts w:cs="AL-Mohanad"/>
          <w:sz w:val="27"/>
          <w:szCs w:val="27"/>
          <w:rtl/>
        </w:rPr>
        <w:t xml:space="preserve"> </w:t>
      </w:r>
      <w:r w:rsidRPr="00282AC9">
        <w:rPr>
          <w:rFonts w:cs="AL-Mohanad" w:hint="cs"/>
          <w:sz w:val="27"/>
          <w:szCs w:val="27"/>
          <w:rtl/>
        </w:rPr>
        <w:t>علي</w:t>
      </w:r>
      <w:r w:rsidR="00A87919"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من</w:t>
      </w:r>
      <w:r w:rsidRPr="00282AC9">
        <w:rPr>
          <w:rFonts w:cs="AL-Mohanad"/>
          <w:sz w:val="27"/>
          <w:szCs w:val="27"/>
          <w:rtl/>
        </w:rPr>
        <w:t xml:space="preserve"> </w:t>
      </w:r>
      <w:r w:rsidRPr="00282AC9">
        <w:rPr>
          <w:rFonts w:cs="AL-Mohanad" w:hint="cs"/>
          <w:sz w:val="27"/>
          <w:szCs w:val="27"/>
          <w:rtl/>
        </w:rPr>
        <w:t>مك</w:t>
      </w:r>
      <w:r w:rsidR="00A87919" w:rsidRPr="00282AC9">
        <w:rPr>
          <w:rFonts w:cs="AL-Mohanad" w:hint="cs"/>
          <w:sz w:val="27"/>
          <w:szCs w:val="27"/>
          <w:rtl/>
        </w:rPr>
        <w:t>ّ</w:t>
      </w:r>
      <w:r w:rsidRPr="00282AC9">
        <w:rPr>
          <w:rFonts w:cs="AL-Mohanad" w:hint="cs"/>
          <w:sz w:val="27"/>
          <w:szCs w:val="27"/>
          <w:rtl/>
        </w:rPr>
        <w:t>ة</w:t>
      </w:r>
      <w:r w:rsidRPr="00282AC9">
        <w:rPr>
          <w:rFonts w:cs="AL-Mohanad"/>
          <w:sz w:val="27"/>
          <w:szCs w:val="27"/>
          <w:rtl/>
        </w:rPr>
        <w:t xml:space="preserve"> </w:t>
      </w:r>
      <w:r w:rsidRPr="00282AC9">
        <w:rPr>
          <w:rFonts w:cs="AL-Mohanad" w:hint="cs"/>
          <w:sz w:val="27"/>
          <w:szCs w:val="27"/>
          <w:rtl/>
        </w:rPr>
        <w:t>إلى محمد</w:t>
      </w:r>
      <w:r w:rsidRPr="00282AC9">
        <w:rPr>
          <w:rFonts w:cs="AL-Mohanad"/>
          <w:sz w:val="27"/>
          <w:szCs w:val="27"/>
          <w:rtl/>
        </w:rPr>
        <w:t xml:space="preserve"> </w:t>
      </w:r>
      <w:r w:rsidRPr="00282AC9">
        <w:rPr>
          <w:rFonts w:cs="AL-Mohanad" w:hint="cs"/>
          <w:sz w:val="27"/>
          <w:szCs w:val="27"/>
          <w:rtl/>
        </w:rPr>
        <w:t>بن</w:t>
      </w:r>
      <w:r w:rsidRPr="00282AC9">
        <w:rPr>
          <w:rFonts w:cs="AL-Mohanad"/>
          <w:sz w:val="27"/>
          <w:szCs w:val="27"/>
          <w:rtl/>
        </w:rPr>
        <w:t xml:space="preserve"> </w:t>
      </w:r>
      <w:r w:rsidRPr="00282AC9">
        <w:rPr>
          <w:rFonts w:cs="AL-Mohanad" w:hint="cs"/>
          <w:sz w:val="27"/>
          <w:szCs w:val="27"/>
          <w:rtl/>
        </w:rPr>
        <w:t>علي</w:t>
      </w:r>
      <w:r w:rsidR="00A87919" w:rsidRPr="00282AC9">
        <w:rPr>
          <w:rFonts w:cs="AL-Mohanad" w:hint="cs"/>
          <w:sz w:val="27"/>
          <w:szCs w:val="27"/>
          <w:rtl/>
        </w:rPr>
        <w:t>ّ</w:t>
      </w:r>
      <w:r w:rsidRPr="00282AC9">
        <w:rPr>
          <w:rFonts w:cs="AL-Mohanad"/>
          <w:sz w:val="27"/>
          <w:szCs w:val="27"/>
          <w:rtl/>
        </w:rPr>
        <w:t>:</w:t>
      </w:r>
      <w:r w:rsidRPr="00282AC9">
        <w:rPr>
          <w:rFonts w:cs="AL-Mohanad" w:hint="cs"/>
          <w:sz w:val="27"/>
          <w:szCs w:val="27"/>
          <w:rtl/>
        </w:rPr>
        <w:t xml:space="preserve"> </w:t>
      </w:r>
      <w:r w:rsidRPr="00282AC9">
        <w:rPr>
          <w:rFonts w:cs="AL-Mohanad" w:hint="eastAsia"/>
          <w:sz w:val="24"/>
          <w:szCs w:val="24"/>
          <w:rtl/>
        </w:rPr>
        <w:t>«</w:t>
      </w:r>
      <w:r w:rsidRPr="00282AC9">
        <w:rPr>
          <w:rFonts w:cs="AL-Mohanad" w:hint="cs"/>
          <w:sz w:val="27"/>
          <w:szCs w:val="27"/>
          <w:rtl/>
        </w:rPr>
        <w:t>بسم</w:t>
      </w:r>
      <w:r w:rsidRPr="00282AC9">
        <w:rPr>
          <w:rFonts w:cs="AL-Mohanad"/>
          <w:sz w:val="27"/>
          <w:szCs w:val="27"/>
          <w:rtl/>
        </w:rPr>
        <w:t xml:space="preserve"> </w:t>
      </w:r>
      <w:r w:rsidRPr="00282AC9">
        <w:rPr>
          <w:rFonts w:cs="AL-Mohanad" w:hint="cs"/>
          <w:sz w:val="27"/>
          <w:szCs w:val="27"/>
          <w:rtl/>
        </w:rPr>
        <w:t>الله</w:t>
      </w:r>
      <w:r w:rsidRPr="00282AC9">
        <w:rPr>
          <w:rFonts w:cs="AL-Mohanad"/>
          <w:sz w:val="27"/>
          <w:szCs w:val="27"/>
          <w:rtl/>
        </w:rPr>
        <w:t xml:space="preserve"> </w:t>
      </w:r>
      <w:r w:rsidRPr="00282AC9">
        <w:rPr>
          <w:rFonts w:cs="AL-Mohanad" w:hint="cs"/>
          <w:sz w:val="27"/>
          <w:szCs w:val="27"/>
          <w:rtl/>
        </w:rPr>
        <w:t>الرحمن</w:t>
      </w:r>
      <w:r w:rsidRPr="00282AC9">
        <w:rPr>
          <w:rFonts w:cs="AL-Mohanad"/>
          <w:sz w:val="27"/>
          <w:szCs w:val="27"/>
          <w:rtl/>
        </w:rPr>
        <w:t xml:space="preserve"> </w:t>
      </w:r>
      <w:r w:rsidRPr="00282AC9">
        <w:rPr>
          <w:rFonts w:cs="AL-Mohanad" w:hint="cs"/>
          <w:sz w:val="27"/>
          <w:szCs w:val="27"/>
          <w:rtl/>
        </w:rPr>
        <w:t>الرحيم</w:t>
      </w:r>
      <w:r w:rsidR="00A87919"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من</w:t>
      </w:r>
      <w:r w:rsidRPr="00282AC9">
        <w:rPr>
          <w:rFonts w:cs="AL-Mohanad"/>
          <w:sz w:val="27"/>
          <w:szCs w:val="27"/>
          <w:rtl/>
        </w:rPr>
        <w:t xml:space="preserve"> </w:t>
      </w:r>
      <w:r w:rsidRPr="00282AC9">
        <w:rPr>
          <w:rFonts w:cs="AL-Mohanad" w:hint="cs"/>
          <w:sz w:val="27"/>
          <w:szCs w:val="27"/>
          <w:rtl/>
        </w:rPr>
        <w:t>الحسين</w:t>
      </w:r>
      <w:r w:rsidRPr="00282AC9">
        <w:rPr>
          <w:rFonts w:cs="AL-Mohanad"/>
          <w:sz w:val="27"/>
          <w:szCs w:val="27"/>
          <w:rtl/>
        </w:rPr>
        <w:t xml:space="preserve"> </w:t>
      </w:r>
      <w:r w:rsidRPr="00282AC9">
        <w:rPr>
          <w:rFonts w:cs="AL-Mohanad" w:hint="cs"/>
          <w:sz w:val="27"/>
          <w:szCs w:val="27"/>
          <w:rtl/>
        </w:rPr>
        <w:t>بن</w:t>
      </w:r>
      <w:r w:rsidRPr="00282AC9">
        <w:rPr>
          <w:rFonts w:cs="AL-Mohanad"/>
          <w:sz w:val="27"/>
          <w:szCs w:val="27"/>
          <w:rtl/>
        </w:rPr>
        <w:t xml:space="preserve"> </w:t>
      </w:r>
      <w:r w:rsidRPr="00282AC9">
        <w:rPr>
          <w:rFonts w:cs="AL-Mohanad" w:hint="cs"/>
          <w:sz w:val="27"/>
          <w:szCs w:val="27"/>
          <w:rtl/>
        </w:rPr>
        <w:t>علي</w:t>
      </w:r>
      <w:r w:rsidR="00A87919"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إلى</w:t>
      </w:r>
      <w:r w:rsidRPr="00282AC9">
        <w:rPr>
          <w:rFonts w:cs="AL-Mohanad"/>
          <w:sz w:val="27"/>
          <w:szCs w:val="27"/>
          <w:rtl/>
        </w:rPr>
        <w:t xml:space="preserve"> </w:t>
      </w:r>
      <w:r w:rsidRPr="00282AC9">
        <w:rPr>
          <w:rFonts w:cs="AL-Mohanad" w:hint="cs"/>
          <w:sz w:val="27"/>
          <w:szCs w:val="27"/>
          <w:rtl/>
        </w:rPr>
        <w:t>محمد</w:t>
      </w:r>
      <w:r w:rsidRPr="00282AC9">
        <w:rPr>
          <w:rFonts w:cs="AL-Mohanad"/>
          <w:sz w:val="27"/>
          <w:szCs w:val="27"/>
          <w:rtl/>
        </w:rPr>
        <w:t xml:space="preserve"> </w:t>
      </w:r>
      <w:r w:rsidRPr="00282AC9">
        <w:rPr>
          <w:rFonts w:cs="AL-Mohanad" w:hint="cs"/>
          <w:sz w:val="27"/>
          <w:szCs w:val="27"/>
          <w:rtl/>
        </w:rPr>
        <w:t>بن</w:t>
      </w:r>
      <w:r w:rsidRPr="00282AC9">
        <w:rPr>
          <w:rFonts w:cs="AL-Mohanad"/>
          <w:sz w:val="27"/>
          <w:szCs w:val="27"/>
          <w:rtl/>
        </w:rPr>
        <w:t xml:space="preserve"> </w:t>
      </w:r>
      <w:r w:rsidRPr="00282AC9">
        <w:rPr>
          <w:rFonts w:cs="AL-Mohanad" w:hint="cs"/>
          <w:sz w:val="27"/>
          <w:szCs w:val="27"/>
          <w:rtl/>
        </w:rPr>
        <w:t>علي</w:t>
      </w:r>
      <w:r w:rsidR="00A87919" w:rsidRPr="00282AC9">
        <w:rPr>
          <w:rFonts w:cs="AL-Mohanad" w:hint="cs"/>
          <w:sz w:val="27"/>
          <w:szCs w:val="27"/>
          <w:rtl/>
        </w:rPr>
        <w:t>ٍّ</w:t>
      </w:r>
      <w:r w:rsidRPr="00282AC9">
        <w:rPr>
          <w:rFonts w:cs="AL-Mohanad" w:hint="cs"/>
          <w:sz w:val="27"/>
          <w:szCs w:val="27"/>
          <w:rtl/>
        </w:rPr>
        <w:t xml:space="preserve"> وم</w:t>
      </w:r>
      <w:r w:rsidR="00A87919" w:rsidRPr="00282AC9">
        <w:rPr>
          <w:rFonts w:cs="AL-Mohanad" w:hint="cs"/>
          <w:sz w:val="27"/>
          <w:szCs w:val="27"/>
          <w:rtl/>
        </w:rPr>
        <w:t>َ</w:t>
      </w:r>
      <w:r w:rsidRPr="00282AC9">
        <w:rPr>
          <w:rFonts w:cs="AL-Mohanad" w:hint="cs"/>
          <w:sz w:val="27"/>
          <w:szCs w:val="27"/>
          <w:rtl/>
        </w:rPr>
        <w:t>ن</w:t>
      </w:r>
      <w:r w:rsidR="00A87919"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ق</w:t>
      </w:r>
      <w:r w:rsidR="00A87919" w:rsidRPr="00282AC9">
        <w:rPr>
          <w:rFonts w:cs="AL-Mohanad" w:hint="cs"/>
          <w:sz w:val="27"/>
          <w:szCs w:val="27"/>
          <w:rtl/>
        </w:rPr>
        <w:t>ِ</w:t>
      </w:r>
      <w:r w:rsidRPr="00282AC9">
        <w:rPr>
          <w:rFonts w:cs="AL-Mohanad" w:hint="cs"/>
          <w:sz w:val="27"/>
          <w:szCs w:val="27"/>
          <w:rtl/>
        </w:rPr>
        <w:t>ب</w:t>
      </w:r>
      <w:r w:rsidR="00A87919" w:rsidRPr="00282AC9">
        <w:rPr>
          <w:rFonts w:cs="AL-Mohanad" w:hint="cs"/>
          <w:sz w:val="27"/>
          <w:szCs w:val="27"/>
          <w:rtl/>
        </w:rPr>
        <w:t>َ</w:t>
      </w:r>
      <w:r w:rsidRPr="00282AC9">
        <w:rPr>
          <w:rFonts w:cs="AL-Mohanad" w:hint="cs"/>
          <w:sz w:val="27"/>
          <w:szCs w:val="27"/>
          <w:rtl/>
        </w:rPr>
        <w:t>له</w:t>
      </w:r>
      <w:r w:rsidRPr="00282AC9">
        <w:rPr>
          <w:rFonts w:cs="AL-Mohanad"/>
          <w:sz w:val="27"/>
          <w:szCs w:val="27"/>
          <w:rtl/>
        </w:rPr>
        <w:t xml:space="preserve"> </w:t>
      </w:r>
      <w:r w:rsidRPr="00282AC9">
        <w:rPr>
          <w:rFonts w:cs="AL-Mohanad" w:hint="cs"/>
          <w:sz w:val="27"/>
          <w:szCs w:val="27"/>
          <w:rtl/>
        </w:rPr>
        <w:t>من</w:t>
      </w:r>
      <w:r w:rsidRPr="00282AC9">
        <w:rPr>
          <w:rFonts w:cs="AL-Mohanad"/>
          <w:sz w:val="27"/>
          <w:szCs w:val="27"/>
          <w:rtl/>
        </w:rPr>
        <w:t xml:space="preserve"> </w:t>
      </w:r>
      <w:r w:rsidRPr="00282AC9">
        <w:rPr>
          <w:rFonts w:cs="AL-Mohanad" w:hint="cs"/>
          <w:sz w:val="27"/>
          <w:szCs w:val="27"/>
          <w:rtl/>
        </w:rPr>
        <w:t>بني</w:t>
      </w:r>
      <w:r w:rsidRPr="00282AC9">
        <w:rPr>
          <w:rFonts w:cs="AL-Mohanad"/>
          <w:sz w:val="27"/>
          <w:szCs w:val="27"/>
          <w:rtl/>
        </w:rPr>
        <w:t xml:space="preserve"> </w:t>
      </w:r>
      <w:r w:rsidRPr="00282AC9">
        <w:rPr>
          <w:rFonts w:cs="AL-Mohanad" w:hint="cs"/>
          <w:sz w:val="27"/>
          <w:szCs w:val="27"/>
          <w:rtl/>
        </w:rPr>
        <w:t>هاشم</w:t>
      </w:r>
      <w:r w:rsidRPr="00282AC9">
        <w:rPr>
          <w:rFonts w:cs="AL-Mohanad"/>
          <w:sz w:val="27"/>
          <w:szCs w:val="27"/>
          <w:rtl/>
        </w:rPr>
        <w:t xml:space="preserve">، </w:t>
      </w:r>
      <w:r w:rsidR="00A87919" w:rsidRPr="00282AC9">
        <w:rPr>
          <w:rFonts w:cs="AL-Mohanad" w:hint="cs"/>
          <w:sz w:val="27"/>
          <w:szCs w:val="27"/>
          <w:rtl/>
        </w:rPr>
        <w:t>أ</w:t>
      </w:r>
      <w:r w:rsidRPr="00282AC9">
        <w:rPr>
          <w:rFonts w:cs="AL-Mohanad" w:hint="cs"/>
          <w:sz w:val="27"/>
          <w:szCs w:val="27"/>
          <w:rtl/>
        </w:rPr>
        <w:t>ما</w:t>
      </w:r>
      <w:r w:rsidRPr="00282AC9">
        <w:rPr>
          <w:rFonts w:cs="AL-Mohanad"/>
          <w:sz w:val="27"/>
          <w:szCs w:val="27"/>
          <w:rtl/>
        </w:rPr>
        <w:t xml:space="preserve"> </w:t>
      </w:r>
      <w:r w:rsidRPr="00282AC9">
        <w:rPr>
          <w:rFonts w:cs="AL-Mohanad" w:hint="cs"/>
          <w:sz w:val="27"/>
          <w:szCs w:val="27"/>
          <w:rtl/>
        </w:rPr>
        <w:t>بعد</w:t>
      </w:r>
      <w:r w:rsidR="00A87919"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ف</w:t>
      </w:r>
      <w:r w:rsidR="00A87919" w:rsidRPr="00282AC9">
        <w:rPr>
          <w:rFonts w:cs="AL-Mohanad" w:hint="cs"/>
          <w:sz w:val="27"/>
          <w:szCs w:val="27"/>
          <w:rtl/>
        </w:rPr>
        <w:t>إ</w:t>
      </w:r>
      <w:r w:rsidRPr="00282AC9">
        <w:rPr>
          <w:rFonts w:cs="AL-Mohanad" w:hint="cs"/>
          <w:sz w:val="27"/>
          <w:szCs w:val="27"/>
          <w:rtl/>
        </w:rPr>
        <w:t>ن</w:t>
      </w:r>
      <w:r w:rsidRPr="00282AC9">
        <w:rPr>
          <w:rFonts w:cs="AL-Mohanad"/>
          <w:sz w:val="27"/>
          <w:szCs w:val="27"/>
          <w:rtl/>
        </w:rPr>
        <w:t xml:space="preserve"> </w:t>
      </w:r>
      <w:r w:rsidRPr="00282AC9">
        <w:rPr>
          <w:rFonts w:cs="AL-Mohanad" w:hint="cs"/>
          <w:sz w:val="27"/>
          <w:szCs w:val="27"/>
          <w:rtl/>
        </w:rPr>
        <w:t>م</w:t>
      </w:r>
      <w:r w:rsidR="00A87919" w:rsidRPr="00282AC9">
        <w:rPr>
          <w:rFonts w:cs="AL-Mohanad" w:hint="cs"/>
          <w:sz w:val="27"/>
          <w:szCs w:val="27"/>
          <w:rtl/>
        </w:rPr>
        <w:t>َ</w:t>
      </w:r>
      <w:r w:rsidRPr="00282AC9">
        <w:rPr>
          <w:rFonts w:cs="AL-Mohanad" w:hint="cs"/>
          <w:sz w:val="27"/>
          <w:szCs w:val="27"/>
          <w:rtl/>
        </w:rPr>
        <w:t>ن</w:t>
      </w:r>
      <w:r w:rsidR="00A87919"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لحق</w:t>
      </w:r>
      <w:r w:rsidRPr="00282AC9">
        <w:rPr>
          <w:rFonts w:cs="AL-Mohanad"/>
          <w:sz w:val="27"/>
          <w:szCs w:val="27"/>
          <w:rtl/>
        </w:rPr>
        <w:t xml:space="preserve"> </w:t>
      </w:r>
      <w:r w:rsidRPr="00282AC9">
        <w:rPr>
          <w:rFonts w:cs="AL-Mohanad" w:hint="cs"/>
          <w:sz w:val="27"/>
          <w:szCs w:val="27"/>
          <w:rtl/>
        </w:rPr>
        <w:t>بي</w:t>
      </w:r>
      <w:r w:rsidRPr="00282AC9">
        <w:rPr>
          <w:rFonts w:cs="AL-Mohanad"/>
          <w:sz w:val="27"/>
          <w:szCs w:val="27"/>
          <w:rtl/>
        </w:rPr>
        <w:t xml:space="preserve"> </w:t>
      </w:r>
      <w:r w:rsidRPr="00282AC9">
        <w:rPr>
          <w:rFonts w:cs="AL-Mohanad" w:hint="cs"/>
          <w:sz w:val="27"/>
          <w:szCs w:val="27"/>
          <w:rtl/>
        </w:rPr>
        <w:t>استشهد</w:t>
      </w:r>
      <w:r w:rsidR="00A87919"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وم</w:t>
      </w:r>
      <w:r w:rsidR="00A87919" w:rsidRPr="00282AC9">
        <w:rPr>
          <w:rFonts w:cs="AL-Mohanad" w:hint="cs"/>
          <w:sz w:val="27"/>
          <w:szCs w:val="27"/>
          <w:rtl/>
        </w:rPr>
        <w:t>َ</w:t>
      </w:r>
      <w:r w:rsidRPr="00282AC9">
        <w:rPr>
          <w:rFonts w:cs="AL-Mohanad" w:hint="cs"/>
          <w:sz w:val="27"/>
          <w:szCs w:val="27"/>
          <w:rtl/>
        </w:rPr>
        <w:t>ن</w:t>
      </w:r>
      <w:r w:rsidR="00A87919" w:rsidRPr="00282AC9">
        <w:rPr>
          <w:rFonts w:cs="AL-Mohanad" w:hint="cs"/>
          <w:sz w:val="27"/>
          <w:szCs w:val="27"/>
          <w:rtl/>
        </w:rPr>
        <w:t>ْ</w:t>
      </w:r>
      <w:r w:rsidRPr="00282AC9">
        <w:rPr>
          <w:rFonts w:cs="AL-Mohanad"/>
          <w:sz w:val="27"/>
          <w:szCs w:val="27"/>
          <w:rtl/>
        </w:rPr>
        <w:t xml:space="preserve"> </w:t>
      </w:r>
      <w:r w:rsidRPr="00282AC9">
        <w:rPr>
          <w:rFonts w:cs="AL-Mohanad" w:hint="cs"/>
          <w:sz w:val="27"/>
          <w:szCs w:val="27"/>
          <w:rtl/>
        </w:rPr>
        <w:t>لم</w:t>
      </w:r>
      <w:r w:rsidRPr="00282AC9">
        <w:rPr>
          <w:rFonts w:cs="AL-Mohanad"/>
          <w:sz w:val="27"/>
          <w:szCs w:val="27"/>
          <w:rtl/>
        </w:rPr>
        <w:t xml:space="preserve"> </w:t>
      </w:r>
      <w:r w:rsidRPr="00282AC9">
        <w:rPr>
          <w:rFonts w:cs="AL-Mohanad" w:hint="cs"/>
          <w:sz w:val="27"/>
          <w:szCs w:val="27"/>
          <w:rtl/>
        </w:rPr>
        <w:t>يلحق</w:t>
      </w:r>
      <w:r w:rsidRPr="00282AC9">
        <w:rPr>
          <w:rFonts w:cs="AL-Mohanad"/>
          <w:sz w:val="27"/>
          <w:szCs w:val="27"/>
          <w:rtl/>
        </w:rPr>
        <w:t xml:space="preserve"> </w:t>
      </w:r>
      <w:r w:rsidRPr="00282AC9">
        <w:rPr>
          <w:rFonts w:cs="AL-Mohanad" w:hint="cs"/>
          <w:sz w:val="27"/>
          <w:szCs w:val="27"/>
          <w:rtl/>
        </w:rPr>
        <w:t>بي لم</w:t>
      </w:r>
      <w:r w:rsidRPr="00282AC9">
        <w:rPr>
          <w:rFonts w:cs="AL-Mohanad"/>
          <w:sz w:val="27"/>
          <w:szCs w:val="27"/>
          <w:rtl/>
        </w:rPr>
        <w:t xml:space="preserve"> </w:t>
      </w:r>
      <w:r w:rsidRPr="00282AC9">
        <w:rPr>
          <w:rFonts w:cs="AL-Mohanad" w:hint="cs"/>
          <w:sz w:val="27"/>
          <w:szCs w:val="27"/>
          <w:rtl/>
        </w:rPr>
        <w:t>ي</w:t>
      </w:r>
      <w:r w:rsidR="00A87919" w:rsidRPr="00282AC9">
        <w:rPr>
          <w:rFonts w:cs="AL-Mohanad" w:hint="cs"/>
          <w:sz w:val="27"/>
          <w:szCs w:val="27"/>
          <w:rtl/>
        </w:rPr>
        <w:t>ُ</w:t>
      </w:r>
      <w:r w:rsidRPr="00282AC9">
        <w:rPr>
          <w:rFonts w:cs="AL-Mohanad" w:hint="cs"/>
          <w:sz w:val="27"/>
          <w:szCs w:val="27"/>
          <w:rtl/>
        </w:rPr>
        <w:t>د</w:t>
      </w:r>
      <w:r w:rsidR="00A87919" w:rsidRPr="00282AC9">
        <w:rPr>
          <w:rFonts w:cs="AL-Mohanad" w:hint="cs"/>
          <w:sz w:val="27"/>
          <w:szCs w:val="27"/>
          <w:rtl/>
        </w:rPr>
        <w:t>ْ</w:t>
      </w:r>
      <w:r w:rsidRPr="00282AC9">
        <w:rPr>
          <w:rFonts w:cs="AL-Mohanad" w:hint="cs"/>
          <w:sz w:val="27"/>
          <w:szCs w:val="27"/>
          <w:rtl/>
        </w:rPr>
        <w:t>ر</w:t>
      </w:r>
      <w:r w:rsidR="00A87919" w:rsidRPr="00282AC9">
        <w:rPr>
          <w:rFonts w:cs="AL-Mohanad" w:hint="cs"/>
          <w:sz w:val="27"/>
          <w:szCs w:val="27"/>
          <w:rtl/>
        </w:rPr>
        <w:t>ِ</w:t>
      </w:r>
      <w:r w:rsidRPr="00282AC9">
        <w:rPr>
          <w:rFonts w:cs="AL-Mohanad" w:hint="cs"/>
          <w:sz w:val="27"/>
          <w:szCs w:val="27"/>
          <w:rtl/>
        </w:rPr>
        <w:t>ك</w:t>
      </w:r>
      <w:r w:rsidRPr="00282AC9">
        <w:rPr>
          <w:rFonts w:cs="AL-Mohanad"/>
          <w:sz w:val="27"/>
          <w:szCs w:val="27"/>
          <w:rtl/>
        </w:rPr>
        <w:t xml:space="preserve"> </w:t>
      </w:r>
      <w:r w:rsidRPr="00282AC9">
        <w:rPr>
          <w:rFonts w:cs="AL-Mohanad" w:hint="cs"/>
          <w:sz w:val="27"/>
          <w:szCs w:val="27"/>
          <w:rtl/>
        </w:rPr>
        <w:t>الفتح</w:t>
      </w:r>
      <w:r w:rsidRPr="00282AC9">
        <w:rPr>
          <w:rFonts w:cs="AL-Mohanad"/>
          <w:sz w:val="27"/>
          <w:szCs w:val="27"/>
          <w:rtl/>
        </w:rPr>
        <w:t xml:space="preserve">، </w:t>
      </w:r>
      <w:r w:rsidRPr="00282AC9">
        <w:rPr>
          <w:rFonts w:cs="AL-Mohanad" w:hint="cs"/>
          <w:sz w:val="27"/>
          <w:szCs w:val="27"/>
          <w:rtl/>
        </w:rPr>
        <w:t>والسلام</w:t>
      </w:r>
      <w:r w:rsidRPr="00282AC9">
        <w:rPr>
          <w:rFonts w:cs="AL-Mohanad" w:hint="eastAsia"/>
          <w:sz w:val="24"/>
          <w:szCs w:val="24"/>
          <w:rtl/>
        </w:rPr>
        <w:t>»</w:t>
      </w:r>
      <w:r w:rsidRPr="00282AC9">
        <w:rPr>
          <w:rFonts w:cs="AL-Mohanad"/>
          <w:sz w:val="27"/>
          <w:szCs w:val="27"/>
          <w:vertAlign w:val="superscript"/>
          <w:rtl/>
        </w:rPr>
        <w:t>(</w:t>
      </w:r>
      <w:r w:rsidRPr="00282AC9">
        <w:rPr>
          <w:rStyle w:val="af9"/>
          <w:rFonts w:cs="AL-Mohanad"/>
          <w:sz w:val="27"/>
          <w:szCs w:val="27"/>
          <w:rtl/>
        </w:rPr>
        <w:endnoteReference w:id="775"/>
      </w:r>
      <w:r w:rsidRPr="00282AC9">
        <w:rPr>
          <w:rFonts w:cs="AL-Mohanad"/>
          <w:sz w:val="27"/>
          <w:szCs w:val="27"/>
          <w:vertAlign w:val="superscript"/>
          <w:rtl/>
        </w:rPr>
        <w:t>)</w:t>
      </w:r>
      <w:r w:rsidRPr="00282AC9">
        <w:rPr>
          <w:rFonts w:cs="AL-Mohanad" w:hint="cs"/>
          <w:sz w:val="27"/>
          <w:szCs w:val="27"/>
          <w:rtl/>
        </w:rPr>
        <w:t>.</w:t>
      </w:r>
    </w:p>
    <w:p w:rsidR="00965E08" w:rsidRPr="00282AC9" w:rsidRDefault="00A87919" w:rsidP="003062B7">
      <w:pPr>
        <w:rPr>
          <w:sz w:val="27"/>
          <w:rtl/>
        </w:rPr>
      </w:pPr>
      <w:r w:rsidRPr="00282AC9">
        <w:rPr>
          <w:rFonts w:hint="cs"/>
          <w:sz w:val="27"/>
          <w:rtl/>
        </w:rPr>
        <w:t>و</w:t>
      </w:r>
      <w:r w:rsidR="00965E08" w:rsidRPr="00282AC9">
        <w:rPr>
          <w:rFonts w:hint="cs"/>
          <w:sz w:val="27"/>
          <w:rtl/>
        </w:rPr>
        <w:t>الرسالة</w:t>
      </w:r>
      <w:r w:rsidR="00965E08" w:rsidRPr="00282AC9">
        <w:rPr>
          <w:sz w:val="27"/>
          <w:rtl/>
        </w:rPr>
        <w:t xml:space="preserve"> </w:t>
      </w:r>
      <w:r w:rsidR="00965E08" w:rsidRPr="00282AC9">
        <w:rPr>
          <w:rFonts w:hint="cs"/>
          <w:sz w:val="27"/>
          <w:rtl/>
        </w:rPr>
        <w:t>واضحة</w:t>
      </w:r>
      <w:r w:rsidRPr="00282AC9">
        <w:rPr>
          <w:rFonts w:hint="cs"/>
          <w:sz w:val="27"/>
          <w:rtl/>
        </w:rPr>
        <w:t>ٌ،</w:t>
      </w:r>
      <w:r w:rsidR="00965E08" w:rsidRPr="00282AC9">
        <w:rPr>
          <w:rFonts w:hint="cs"/>
          <w:sz w:val="27"/>
          <w:rtl/>
        </w:rPr>
        <w:t xml:space="preserve"> </w:t>
      </w:r>
      <w:r w:rsidRPr="00282AC9">
        <w:rPr>
          <w:rFonts w:hint="cs"/>
          <w:sz w:val="27"/>
          <w:rtl/>
        </w:rPr>
        <w:t>ف</w:t>
      </w:r>
      <w:r w:rsidR="00965E08" w:rsidRPr="00282AC9">
        <w:rPr>
          <w:rFonts w:hint="cs"/>
          <w:sz w:val="27"/>
          <w:rtl/>
        </w:rPr>
        <w:t>هي</w:t>
      </w:r>
      <w:r w:rsidR="00965E08" w:rsidRPr="00282AC9">
        <w:rPr>
          <w:sz w:val="27"/>
          <w:rtl/>
        </w:rPr>
        <w:t xml:space="preserve"> </w:t>
      </w:r>
      <w:r w:rsidR="00965E08" w:rsidRPr="00282AC9">
        <w:rPr>
          <w:rFonts w:hint="cs"/>
          <w:sz w:val="27"/>
          <w:rtl/>
        </w:rPr>
        <w:t>تقول</w:t>
      </w:r>
      <w:r w:rsidRPr="00282AC9">
        <w:rPr>
          <w:rFonts w:hint="cs"/>
          <w:sz w:val="27"/>
          <w:rtl/>
        </w:rPr>
        <w:t>:</w:t>
      </w:r>
      <w:r w:rsidR="00965E08" w:rsidRPr="00282AC9">
        <w:rPr>
          <w:sz w:val="27"/>
          <w:rtl/>
        </w:rPr>
        <w:t xml:space="preserve"> </w:t>
      </w:r>
      <w:r w:rsidRPr="00282AC9">
        <w:rPr>
          <w:rFonts w:hint="cs"/>
          <w:sz w:val="27"/>
          <w:rtl/>
        </w:rPr>
        <w:t>إ</w:t>
      </w:r>
      <w:r w:rsidR="00965E08" w:rsidRPr="00282AC9">
        <w:rPr>
          <w:rFonts w:hint="cs"/>
          <w:sz w:val="27"/>
          <w:rtl/>
        </w:rPr>
        <w:t>ن</w:t>
      </w:r>
      <w:r w:rsidR="00965E08" w:rsidRPr="00282AC9">
        <w:rPr>
          <w:sz w:val="27"/>
          <w:rtl/>
        </w:rPr>
        <w:t xml:space="preserve"> </w:t>
      </w:r>
      <w:r w:rsidR="00965E08" w:rsidRPr="00282AC9">
        <w:rPr>
          <w:rFonts w:hint="cs"/>
          <w:sz w:val="27"/>
          <w:rtl/>
        </w:rPr>
        <w:t>م</w:t>
      </w:r>
      <w:r w:rsidRPr="00282AC9">
        <w:rPr>
          <w:rFonts w:hint="cs"/>
          <w:sz w:val="27"/>
          <w:rtl/>
        </w:rPr>
        <w:t>َ</w:t>
      </w:r>
      <w:r w:rsidR="00965E08" w:rsidRPr="00282AC9">
        <w:rPr>
          <w:rFonts w:hint="cs"/>
          <w:sz w:val="27"/>
          <w:rtl/>
        </w:rPr>
        <w:t>ن</w:t>
      </w:r>
      <w:r w:rsidRPr="00282AC9">
        <w:rPr>
          <w:rFonts w:hint="cs"/>
          <w:sz w:val="27"/>
          <w:rtl/>
        </w:rPr>
        <w:t>ْ</w:t>
      </w:r>
      <w:r w:rsidR="00965E08" w:rsidRPr="00282AC9">
        <w:rPr>
          <w:sz w:val="27"/>
          <w:rtl/>
        </w:rPr>
        <w:t xml:space="preserve"> </w:t>
      </w:r>
      <w:r w:rsidR="00965E08" w:rsidRPr="00282AC9">
        <w:rPr>
          <w:rFonts w:hint="cs"/>
          <w:sz w:val="27"/>
          <w:rtl/>
        </w:rPr>
        <w:t>لحق</w:t>
      </w:r>
      <w:r w:rsidR="00965E08" w:rsidRPr="00282AC9">
        <w:rPr>
          <w:sz w:val="27"/>
          <w:rtl/>
        </w:rPr>
        <w:t xml:space="preserve"> </w:t>
      </w:r>
      <w:r w:rsidR="00965E08" w:rsidRPr="00282AC9">
        <w:rPr>
          <w:rFonts w:hint="cs"/>
          <w:sz w:val="27"/>
          <w:rtl/>
        </w:rPr>
        <w:t>بال</w:t>
      </w:r>
      <w:r w:rsidRPr="00282AC9">
        <w:rPr>
          <w:rFonts w:hint="cs"/>
          <w:sz w:val="27"/>
          <w:rtl/>
        </w:rPr>
        <w:t>إ</w:t>
      </w:r>
      <w:r w:rsidR="00965E08" w:rsidRPr="00282AC9">
        <w:rPr>
          <w:rFonts w:hint="cs"/>
          <w:sz w:val="27"/>
          <w:rtl/>
        </w:rPr>
        <w:t>مام الحسين</w:t>
      </w:r>
      <w:r w:rsidR="009A2A04" w:rsidRPr="00282AC9">
        <w:rPr>
          <w:rFonts w:cs="Mosawi" w:hint="cs"/>
          <w:sz w:val="22"/>
          <w:szCs w:val="22"/>
          <w:rtl/>
        </w:rPr>
        <w:t>×</w:t>
      </w:r>
      <w:r w:rsidR="00965E08" w:rsidRPr="00282AC9">
        <w:rPr>
          <w:rFonts w:hint="cs"/>
          <w:sz w:val="27"/>
          <w:rtl/>
        </w:rPr>
        <w:t xml:space="preserve"> ي</w:t>
      </w:r>
      <w:r w:rsidRPr="00282AC9">
        <w:rPr>
          <w:rFonts w:hint="cs"/>
          <w:sz w:val="27"/>
          <w:rtl/>
        </w:rPr>
        <w:t>ُ</w:t>
      </w:r>
      <w:r w:rsidR="00965E08" w:rsidRPr="00282AC9">
        <w:rPr>
          <w:rFonts w:hint="cs"/>
          <w:sz w:val="27"/>
          <w:rtl/>
        </w:rPr>
        <w:t>ستشهد،</w:t>
      </w:r>
      <w:r w:rsidR="00965E08" w:rsidRPr="00282AC9">
        <w:rPr>
          <w:sz w:val="27"/>
          <w:rtl/>
        </w:rPr>
        <w:t xml:space="preserve"> </w:t>
      </w:r>
      <w:r w:rsidR="00965E08" w:rsidRPr="00282AC9">
        <w:rPr>
          <w:rFonts w:hint="cs"/>
          <w:sz w:val="27"/>
          <w:rtl/>
        </w:rPr>
        <w:t>ولا</w:t>
      </w:r>
      <w:r w:rsidR="00965E08" w:rsidRPr="00282AC9">
        <w:rPr>
          <w:sz w:val="27"/>
          <w:rtl/>
        </w:rPr>
        <w:t xml:space="preserve"> </w:t>
      </w:r>
      <w:r w:rsidR="00965E08" w:rsidRPr="00282AC9">
        <w:rPr>
          <w:rFonts w:hint="cs"/>
          <w:sz w:val="27"/>
          <w:rtl/>
        </w:rPr>
        <w:t>يبقى</w:t>
      </w:r>
      <w:r w:rsidR="00965E08" w:rsidRPr="00282AC9">
        <w:rPr>
          <w:sz w:val="27"/>
          <w:rtl/>
        </w:rPr>
        <w:t xml:space="preserve"> </w:t>
      </w:r>
      <w:r w:rsidR="00965E08" w:rsidRPr="00282AC9">
        <w:rPr>
          <w:rFonts w:hint="cs"/>
          <w:sz w:val="27"/>
          <w:rtl/>
        </w:rPr>
        <w:t>على</w:t>
      </w:r>
      <w:r w:rsidR="00965E08" w:rsidRPr="00282AC9">
        <w:rPr>
          <w:sz w:val="27"/>
          <w:rtl/>
        </w:rPr>
        <w:t xml:space="preserve"> </w:t>
      </w:r>
      <w:r w:rsidR="00965E08" w:rsidRPr="00282AC9">
        <w:rPr>
          <w:rFonts w:hint="cs"/>
          <w:sz w:val="27"/>
          <w:rtl/>
        </w:rPr>
        <w:t>وجه</w:t>
      </w:r>
      <w:r w:rsidR="00965E08" w:rsidRPr="00282AC9">
        <w:rPr>
          <w:sz w:val="27"/>
          <w:rtl/>
        </w:rPr>
        <w:t xml:space="preserve"> </w:t>
      </w:r>
      <w:r w:rsidR="00965E08" w:rsidRPr="00282AC9">
        <w:rPr>
          <w:rFonts w:hint="cs"/>
          <w:sz w:val="27"/>
          <w:rtl/>
        </w:rPr>
        <w:t>الأرض</w:t>
      </w:r>
      <w:r w:rsidRPr="00282AC9">
        <w:rPr>
          <w:rFonts w:hint="cs"/>
          <w:sz w:val="27"/>
          <w:rtl/>
        </w:rPr>
        <w:t>؛</w:t>
      </w:r>
      <w:r w:rsidR="00965E08" w:rsidRPr="00282AC9">
        <w:rPr>
          <w:sz w:val="27"/>
          <w:rtl/>
        </w:rPr>
        <w:t xml:space="preserve"> </w:t>
      </w:r>
      <w:r w:rsidR="00965E08" w:rsidRPr="00282AC9">
        <w:rPr>
          <w:rFonts w:hint="cs"/>
          <w:sz w:val="27"/>
          <w:rtl/>
        </w:rPr>
        <w:t>و</w:t>
      </w:r>
      <w:r w:rsidRPr="00282AC9">
        <w:rPr>
          <w:rFonts w:hint="cs"/>
          <w:sz w:val="27"/>
          <w:rtl/>
        </w:rPr>
        <w:t>إ</w:t>
      </w:r>
      <w:r w:rsidR="00965E08" w:rsidRPr="00282AC9">
        <w:rPr>
          <w:rFonts w:hint="cs"/>
          <w:sz w:val="27"/>
          <w:rtl/>
        </w:rPr>
        <w:t>ن</w:t>
      </w:r>
      <w:r w:rsidRPr="00282AC9">
        <w:rPr>
          <w:rFonts w:hint="cs"/>
          <w:sz w:val="27"/>
          <w:rtl/>
        </w:rPr>
        <w:t>ّ</w:t>
      </w:r>
      <w:r w:rsidR="00965E08" w:rsidRPr="00282AC9">
        <w:rPr>
          <w:rFonts w:hint="cs"/>
          <w:sz w:val="27"/>
          <w:rtl/>
        </w:rPr>
        <w:t xml:space="preserve"> م</w:t>
      </w:r>
      <w:r w:rsidRPr="00282AC9">
        <w:rPr>
          <w:rFonts w:hint="cs"/>
          <w:sz w:val="27"/>
          <w:rtl/>
        </w:rPr>
        <w:t>َ</w:t>
      </w:r>
      <w:r w:rsidR="00965E08" w:rsidRPr="00282AC9">
        <w:rPr>
          <w:rFonts w:hint="cs"/>
          <w:sz w:val="27"/>
          <w:rtl/>
        </w:rPr>
        <w:t>ن</w:t>
      </w:r>
      <w:r w:rsidRPr="00282AC9">
        <w:rPr>
          <w:rFonts w:hint="cs"/>
          <w:sz w:val="27"/>
          <w:rtl/>
        </w:rPr>
        <w:t>ْ</w:t>
      </w:r>
      <w:r w:rsidR="00965E08" w:rsidRPr="00282AC9">
        <w:rPr>
          <w:sz w:val="27"/>
          <w:rtl/>
        </w:rPr>
        <w:t xml:space="preserve"> </w:t>
      </w:r>
      <w:r w:rsidR="00965E08" w:rsidRPr="00282AC9">
        <w:rPr>
          <w:rFonts w:hint="cs"/>
          <w:sz w:val="27"/>
          <w:rtl/>
        </w:rPr>
        <w:t>لم</w:t>
      </w:r>
      <w:r w:rsidR="00965E08" w:rsidRPr="00282AC9">
        <w:rPr>
          <w:sz w:val="27"/>
          <w:rtl/>
        </w:rPr>
        <w:t xml:space="preserve"> </w:t>
      </w:r>
      <w:r w:rsidR="00965E08" w:rsidRPr="00282AC9">
        <w:rPr>
          <w:rFonts w:hint="cs"/>
          <w:sz w:val="27"/>
          <w:rtl/>
        </w:rPr>
        <w:t>يلحق</w:t>
      </w:r>
      <w:r w:rsidR="00965E08" w:rsidRPr="00282AC9">
        <w:rPr>
          <w:sz w:val="27"/>
          <w:rtl/>
        </w:rPr>
        <w:t xml:space="preserve"> </w:t>
      </w:r>
      <w:r w:rsidR="00965E08" w:rsidRPr="00282AC9">
        <w:rPr>
          <w:rFonts w:hint="cs"/>
          <w:sz w:val="27"/>
          <w:rtl/>
        </w:rPr>
        <w:t>بال</w:t>
      </w:r>
      <w:r w:rsidRPr="00282AC9">
        <w:rPr>
          <w:rFonts w:hint="cs"/>
          <w:sz w:val="27"/>
          <w:rtl/>
        </w:rPr>
        <w:t>إ</w:t>
      </w:r>
      <w:r w:rsidR="00965E08" w:rsidRPr="00282AC9">
        <w:rPr>
          <w:rFonts w:hint="cs"/>
          <w:sz w:val="27"/>
          <w:rtl/>
        </w:rPr>
        <w:t>مام الحسين</w:t>
      </w:r>
      <w:r w:rsidR="009A2A04" w:rsidRPr="00282AC9">
        <w:rPr>
          <w:rFonts w:cs="Mosawi" w:hint="cs"/>
          <w:sz w:val="22"/>
          <w:szCs w:val="22"/>
          <w:rtl/>
        </w:rPr>
        <w:t>×</w:t>
      </w:r>
      <w:r w:rsidR="00965E08" w:rsidRPr="00282AC9">
        <w:rPr>
          <w:rFonts w:hint="cs"/>
          <w:sz w:val="27"/>
          <w:rtl/>
        </w:rPr>
        <w:t xml:space="preserve"> لم</w:t>
      </w:r>
      <w:r w:rsidR="00965E08" w:rsidRPr="00282AC9">
        <w:rPr>
          <w:sz w:val="27"/>
          <w:rtl/>
        </w:rPr>
        <w:t xml:space="preserve"> </w:t>
      </w:r>
      <w:r w:rsidR="00965E08" w:rsidRPr="00282AC9">
        <w:rPr>
          <w:rFonts w:hint="cs"/>
          <w:sz w:val="27"/>
          <w:rtl/>
        </w:rPr>
        <w:t>يدرك</w:t>
      </w:r>
      <w:r w:rsidR="00965E08" w:rsidRPr="00282AC9">
        <w:rPr>
          <w:sz w:val="27"/>
          <w:rtl/>
        </w:rPr>
        <w:t xml:space="preserve"> </w:t>
      </w:r>
      <w:r w:rsidR="00965E08" w:rsidRPr="00282AC9">
        <w:rPr>
          <w:rFonts w:hint="cs"/>
          <w:sz w:val="27"/>
          <w:rtl/>
        </w:rPr>
        <w:t>الفتح</w:t>
      </w:r>
      <w:r w:rsidRPr="00282AC9">
        <w:rPr>
          <w:rFonts w:hint="cs"/>
          <w:sz w:val="27"/>
          <w:rtl/>
        </w:rPr>
        <w:t>.</w:t>
      </w:r>
      <w:r w:rsidR="00965E08" w:rsidRPr="00282AC9">
        <w:rPr>
          <w:rFonts w:hint="cs"/>
          <w:sz w:val="27"/>
          <w:rtl/>
        </w:rPr>
        <w:t xml:space="preserve"> فهناك</w:t>
      </w:r>
      <w:r w:rsidR="00965E08" w:rsidRPr="00282AC9">
        <w:rPr>
          <w:sz w:val="27"/>
          <w:rtl/>
        </w:rPr>
        <w:t xml:space="preserve"> </w:t>
      </w:r>
      <w:r w:rsidR="00965E08" w:rsidRPr="00282AC9">
        <w:rPr>
          <w:rFonts w:hint="cs"/>
          <w:sz w:val="27"/>
          <w:rtl/>
        </w:rPr>
        <w:t>فتحٌ</w:t>
      </w:r>
      <w:r w:rsidRPr="00282AC9">
        <w:rPr>
          <w:rFonts w:hint="cs"/>
          <w:sz w:val="27"/>
          <w:rtl/>
        </w:rPr>
        <w:t>،</w:t>
      </w:r>
      <w:r w:rsidR="00965E08" w:rsidRPr="00282AC9">
        <w:rPr>
          <w:sz w:val="27"/>
          <w:rtl/>
        </w:rPr>
        <w:t xml:space="preserve"> </w:t>
      </w:r>
      <w:r w:rsidR="00965E08" w:rsidRPr="00282AC9">
        <w:rPr>
          <w:rFonts w:hint="cs"/>
          <w:sz w:val="27"/>
          <w:rtl/>
        </w:rPr>
        <w:t>ولكن</w:t>
      </w:r>
      <w:r w:rsidRPr="00282AC9">
        <w:rPr>
          <w:rFonts w:hint="cs"/>
          <w:sz w:val="27"/>
          <w:rtl/>
        </w:rPr>
        <w:t>ّ</w:t>
      </w:r>
      <w:r w:rsidR="00965E08" w:rsidRPr="00282AC9">
        <w:rPr>
          <w:sz w:val="27"/>
          <w:rtl/>
        </w:rPr>
        <w:t xml:space="preserve"> </w:t>
      </w:r>
      <w:r w:rsidR="00965E08" w:rsidRPr="00282AC9">
        <w:rPr>
          <w:rFonts w:hint="cs"/>
          <w:sz w:val="27"/>
          <w:rtl/>
        </w:rPr>
        <w:t>هذا</w:t>
      </w:r>
      <w:r w:rsidR="00965E08" w:rsidRPr="00282AC9">
        <w:rPr>
          <w:sz w:val="27"/>
          <w:rtl/>
        </w:rPr>
        <w:t xml:space="preserve"> </w:t>
      </w:r>
      <w:r w:rsidR="00965E08" w:rsidRPr="00282AC9">
        <w:rPr>
          <w:rFonts w:hint="cs"/>
          <w:sz w:val="27"/>
          <w:rtl/>
        </w:rPr>
        <w:t>الفتح</w:t>
      </w:r>
      <w:r w:rsidR="00965E08" w:rsidRPr="00282AC9">
        <w:rPr>
          <w:sz w:val="27"/>
          <w:rtl/>
        </w:rPr>
        <w:t xml:space="preserve"> </w:t>
      </w:r>
      <w:r w:rsidR="00965E08" w:rsidRPr="00282AC9">
        <w:rPr>
          <w:rFonts w:hint="cs"/>
          <w:sz w:val="27"/>
          <w:rtl/>
        </w:rPr>
        <w:t>يتحق</w:t>
      </w:r>
      <w:r w:rsidRPr="00282AC9">
        <w:rPr>
          <w:rFonts w:hint="cs"/>
          <w:sz w:val="27"/>
          <w:rtl/>
        </w:rPr>
        <w:t>َّ</w:t>
      </w:r>
      <w:r w:rsidR="00965E08" w:rsidRPr="00282AC9">
        <w:rPr>
          <w:rFonts w:hint="cs"/>
          <w:sz w:val="27"/>
          <w:rtl/>
        </w:rPr>
        <w:t>ق</w:t>
      </w:r>
      <w:r w:rsidR="00965E08" w:rsidRPr="00282AC9">
        <w:rPr>
          <w:sz w:val="27"/>
          <w:rtl/>
        </w:rPr>
        <w:t xml:space="preserve"> </w:t>
      </w:r>
      <w:r w:rsidR="00965E08" w:rsidRPr="00282AC9">
        <w:rPr>
          <w:rFonts w:hint="cs"/>
          <w:sz w:val="27"/>
          <w:rtl/>
        </w:rPr>
        <w:t>بعد</w:t>
      </w:r>
      <w:r w:rsidR="00965E08" w:rsidRPr="00282AC9">
        <w:rPr>
          <w:sz w:val="27"/>
          <w:rtl/>
        </w:rPr>
        <w:t xml:space="preserve"> </w:t>
      </w:r>
      <w:r w:rsidR="00965E08" w:rsidRPr="00282AC9">
        <w:rPr>
          <w:rFonts w:hint="cs"/>
          <w:sz w:val="27"/>
          <w:rtl/>
        </w:rPr>
        <w:t>الاستشهاد</w:t>
      </w:r>
      <w:r w:rsidRPr="00282AC9">
        <w:rPr>
          <w:rFonts w:hint="cs"/>
          <w:sz w:val="27"/>
          <w:rtl/>
        </w:rPr>
        <w:t>.</w:t>
      </w:r>
      <w:r w:rsidR="00965E08" w:rsidRPr="00282AC9">
        <w:rPr>
          <w:rFonts w:hint="cs"/>
          <w:sz w:val="27"/>
          <w:rtl/>
        </w:rPr>
        <w:t xml:space="preserve"> وهذا</w:t>
      </w:r>
      <w:r w:rsidR="00965E08" w:rsidRPr="00282AC9">
        <w:rPr>
          <w:sz w:val="27"/>
          <w:rtl/>
        </w:rPr>
        <w:t xml:space="preserve"> </w:t>
      </w:r>
      <w:r w:rsidR="00965E08" w:rsidRPr="00282AC9">
        <w:rPr>
          <w:rFonts w:hint="cs"/>
          <w:sz w:val="27"/>
          <w:rtl/>
        </w:rPr>
        <w:t>الفتح</w:t>
      </w:r>
      <w:r w:rsidR="00965E08" w:rsidRPr="00282AC9">
        <w:rPr>
          <w:sz w:val="27"/>
          <w:rtl/>
        </w:rPr>
        <w:t xml:space="preserve"> </w:t>
      </w:r>
      <w:r w:rsidR="00965E08" w:rsidRPr="00282AC9">
        <w:rPr>
          <w:rFonts w:hint="cs"/>
          <w:sz w:val="27"/>
          <w:rtl/>
        </w:rPr>
        <w:t>هو</w:t>
      </w:r>
      <w:r w:rsidR="00965E08" w:rsidRPr="00282AC9">
        <w:rPr>
          <w:sz w:val="27"/>
          <w:rtl/>
        </w:rPr>
        <w:t xml:space="preserve"> </w:t>
      </w:r>
      <w:r w:rsidR="00965E08" w:rsidRPr="00282AC9">
        <w:rPr>
          <w:rFonts w:hint="cs"/>
          <w:sz w:val="27"/>
          <w:rtl/>
        </w:rPr>
        <w:t>الفتح</w:t>
      </w:r>
      <w:r w:rsidR="00965E08" w:rsidRPr="00282AC9">
        <w:rPr>
          <w:sz w:val="27"/>
          <w:rtl/>
        </w:rPr>
        <w:t xml:space="preserve"> </w:t>
      </w:r>
      <w:r w:rsidR="00965E08" w:rsidRPr="00282AC9">
        <w:rPr>
          <w:rFonts w:hint="cs"/>
          <w:sz w:val="27"/>
          <w:rtl/>
        </w:rPr>
        <w:t>في</w:t>
      </w:r>
      <w:r w:rsidR="00965E08" w:rsidRPr="00282AC9">
        <w:rPr>
          <w:sz w:val="27"/>
          <w:rtl/>
        </w:rPr>
        <w:t xml:space="preserve"> </w:t>
      </w:r>
      <w:r w:rsidR="00965E08" w:rsidRPr="00282AC9">
        <w:rPr>
          <w:rFonts w:hint="cs"/>
          <w:sz w:val="27"/>
          <w:rtl/>
        </w:rPr>
        <w:t>عصر</w:t>
      </w:r>
      <w:r w:rsidR="00965E08" w:rsidRPr="00282AC9">
        <w:rPr>
          <w:sz w:val="27"/>
          <w:rtl/>
        </w:rPr>
        <w:t xml:space="preserve"> </w:t>
      </w:r>
      <w:r w:rsidR="00965E08" w:rsidRPr="00282AC9">
        <w:rPr>
          <w:rFonts w:hint="cs"/>
          <w:sz w:val="27"/>
          <w:rtl/>
        </w:rPr>
        <w:t>ال</w:t>
      </w:r>
      <w:r w:rsidRPr="00282AC9">
        <w:rPr>
          <w:rFonts w:hint="cs"/>
          <w:sz w:val="27"/>
          <w:rtl/>
        </w:rPr>
        <w:t>إ</w:t>
      </w:r>
      <w:r w:rsidR="00965E08" w:rsidRPr="00282AC9">
        <w:rPr>
          <w:rFonts w:hint="cs"/>
          <w:sz w:val="27"/>
          <w:rtl/>
        </w:rPr>
        <w:t>مام المهدي</w:t>
      </w:r>
      <w:r w:rsidRPr="00282AC9">
        <w:rPr>
          <w:rFonts w:hint="cs"/>
          <w:sz w:val="27"/>
          <w:rtl/>
        </w:rPr>
        <w:t>ّ</w:t>
      </w:r>
      <w:r w:rsidR="001100B1" w:rsidRPr="00282AC9">
        <w:rPr>
          <w:rFonts w:ascii="Mosawi" w:hAnsi="Mosawi" w:cs="Mosawi" w:hint="cs"/>
          <w:sz w:val="22"/>
          <w:szCs w:val="22"/>
          <w:rtl/>
        </w:rPr>
        <w:t>#</w:t>
      </w:r>
      <w:r w:rsidRPr="00282AC9">
        <w:rPr>
          <w:rFonts w:hint="cs"/>
          <w:sz w:val="27"/>
          <w:rtl/>
        </w:rPr>
        <w:t>؛</w:t>
      </w:r>
      <w:r w:rsidR="00965E08" w:rsidRPr="00282AC9">
        <w:rPr>
          <w:sz w:val="27"/>
          <w:rtl/>
        </w:rPr>
        <w:t xml:space="preserve"> </w:t>
      </w:r>
      <w:r w:rsidR="00965E08" w:rsidRPr="00282AC9">
        <w:rPr>
          <w:rFonts w:hint="cs"/>
          <w:sz w:val="27"/>
          <w:rtl/>
        </w:rPr>
        <w:t>فإن</w:t>
      </w:r>
      <w:r w:rsidR="00965E08" w:rsidRPr="00282AC9">
        <w:rPr>
          <w:sz w:val="27"/>
          <w:rtl/>
        </w:rPr>
        <w:t xml:space="preserve"> </w:t>
      </w:r>
      <w:r w:rsidR="00965E08" w:rsidRPr="00282AC9">
        <w:rPr>
          <w:rFonts w:hint="cs"/>
          <w:sz w:val="27"/>
          <w:rtl/>
        </w:rPr>
        <w:t>الفتح</w:t>
      </w:r>
      <w:r w:rsidR="00965E08" w:rsidRPr="00282AC9">
        <w:rPr>
          <w:sz w:val="27"/>
          <w:rtl/>
        </w:rPr>
        <w:t xml:space="preserve"> </w:t>
      </w:r>
      <w:r w:rsidR="00965E08" w:rsidRPr="00282AC9">
        <w:rPr>
          <w:rFonts w:hint="cs"/>
          <w:sz w:val="27"/>
          <w:rtl/>
        </w:rPr>
        <w:t>إن</w:t>
      </w:r>
      <w:r w:rsidRPr="00282AC9">
        <w:rPr>
          <w:rFonts w:hint="cs"/>
          <w:sz w:val="27"/>
          <w:rtl/>
        </w:rPr>
        <w:t>ْ</w:t>
      </w:r>
      <w:r w:rsidR="00965E08" w:rsidRPr="00282AC9">
        <w:rPr>
          <w:sz w:val="27"/>
          <w:rtl/>
        </w:rPr>
        <w:t xml:space="preserve"> </w:t>
      </w:r>
      <w:r w:rsidR="00965E08" w:rsidRPr="00282AC9">
        <w:rPr>
          <w:rFonts w:hint="cs"/>
          <w:sz w:val="27"/>
          <w:rtl/>
        </w:rPr>
        <w:t>لم</w:t>
      </w:r>
      <w:r w:rsidR="00965E08" w:rsidRPr="00282AC9">
        <w:rPr>
          <w:sz w:val="27"/>
          <w:rtl/>
        </w:rPr>
        <w:t xml:space="preserve"> </w:t>
      </w:r>
      <w:r w:rsidR="00965E08" w:rsidRPr="00282AC9">
        <w:rPr>
          <w:rFonts w:hint="cs"/>
          <w:sz w:val="27"/>
          <w:rtl/>
        </w:rPr>
        <w:t>يكن</w:t>
      </w:r>
      <w:r w:rsidR="00965E08" w:rsidRPr="00282AC9">
        <w:rPr>
          <w:sz w:val="27"/>
          <w:rtl/>
        </w:rPr>
        <w:t xml:space="preserve"> </w:t>
      </w:r>
      <w:r w:rsidR="00965E08" w:rsidRPr="00282AC9">
        <w:rPr>
          <w:rFonts w:hint="cs"/>
          <w:sz w:val="27"/>
          <w:rtl/>
        </w:rPr>
        <w:t>بمعنى</w:t>
      </w:r>
      <w:r w:rsidR="00965E08" w:rsidRPr="00282AC9">
        <w:rPr>
          <w:sz w:val="27"/>
          <w:rtl/>
        </w:rPr>
        <w:t xml:space="preserve"> </w:t>
      </w:r>
      <w:r w:rsidR="00965E08" w:rsidRPr="00282AC9">
        <w:rPr>
          <w:rFonts w:hint="cs"/>
          <w:sz w:val="27"/>
          <w:rtl/>
        </w:rPr>
        <w:t>النصر</w:t>
      </w:r>
      <w:r w:rsidR="00965E08" w:rsidRPr="00282AC9">
        <w:rPr>
          <w:sz w:val="27"/>
          <w:rtl/>
        </w:rPr>
        <w:t xml:space="preserve"> </w:t>
      </w:r>
      <w:r w:rsidR="00965E08" w:rsidRPr="00282AC9">
        <w:rPr>
          <w:rFonts w:hint="cs"/>
          <w:sz w:val="27"/>
          <w:rtl/>
        </w:rPr>
        <w:t>فهو</w:t>
      </w:r>
      <w:r w:rsidR="00965E08" w:rsidRPr="00282AC9">
        <w:rPr>
          <w:sz w:val="27"/>
          <w:rtl/>
        </w:rPr>
        <w:t xml:space="preserve"> </w:t>
      </w:r>
      <w:r w:rsidR="00965E08" w:rsidRPr="00282AC9">
        <w:rPr>
          <w:rFonts w:hint="cs"/>
          <w:sz w:val="27"/>
          <w:rtl/>
        </w:rPr>
        <w:t>أعلى</w:t>
      </w:r>
      <w:r w:rsidR="00965E08" w:rsidRPr="00282AC9">
        <w:rPr>
          <w:sz w:val="27"/>
          <w:rtl/>
        </w:rPr>
        <w:t xml:space="preserve"> </w:t>
      </w:r>
      <w:r w:rsidR="00965E08" w:rsidRPr="00282AC9">
        <w:rPr>
          <w:rFonts w:hint="cs"/>
          <w:sz w:val="27"/>
          <w:rtl/>
        </w:rPr>
        <w:t>رتبةً</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النصر</w:t>
      </w:r>
      <w:r w:rsidR="00965E08" w:rsidRPr="00282AC9">
        <w:rPr>
          <w:sz w:val="27"/>
          <w:rtl/>
        </w:rPr>
        <w:t xml:space="preserve">. </w:t>
      </w:r>
      <w:r w:rsidR="00965E08" w:rsidRPr="00282AC9">
        <w:rPr>
          <w:rFonts w:hint="cs"/>
          <w:sz w:val="27"/>
          <w:rtl/>
        </w:rPr>
        <w:t>قد</w:t>
      </w:r>
      <w:r w:rsidR="00965E08" w:rsidRPr="00282AC9">
        <w:rPr>
          <w:sz w:val="27"/>
          <w:rtl/>
        </w:rPr>
        <w:t xml:space="preserve"> </w:t>
      </w:r>
      <w:r w:rsidR="00965E08" w:rsidRPr="00282AC9">
        <w:rPr>
          <w:rFonts w:hint="cs"/>
          <w:sz w:val="27"/>
          <w:rtl/>
        </w:rPr>
        <w:t>ي</w:t>
      </w:r>
      <w:r w:rsidRPr="00282AC9">
        <w:rPr>
          <w:rFonts w:hint="cs"/>
          <w:sz w:val="27"/>
          <w:rtl/>
        </w:rPr>
        <w:t>ُ</w:t>
      </w:r>
      <w:r w:rsidR="00965E08" w:rsidRPr="00282AC9">
        <w:rPr>
          <w:rFonts w:hint="cs"/>
          <w:sz w:val="27"/>
          <w:rtl/>
        </w:rPr>
        <w:t>طلق</w:t>
      </w:r>
      <w:r w:rsidR="00965E08" w:rsidRPr="00282AC9">
        <w:rPr>
          <w:sz w:val="27"/>
          <w:rtl/>
        </w:rPr>
        <w:t xml:space="preserve"> </w:t>
      </w:r>
      <w:r w:rsidR="00965E08" w:rsidRPr="00282AC9">
        <w:rPr>
          <w:rFonts w:hint="cs"/>
          <w:sz w:val="27"/>
          <w:rtl/>
        </w:rPr>
        <w:t>الفتح</w:t>
      </w:r>
      <w:r w:rsidR="00965E08" w:rsidRPr="00282AC9">
        <w:rPr>
          <w:sz w:val="27"/>
          <w:rtl/>
        </w:rPr>
        <w:t xml:space="preserve"> </w:t>
      </w:r>
      <w:r w:rsidR="00965E08" w:rsidRPr="00282AC9">
        <w:rPr>
          <w:rFonts w:hint="cs"/>
          <w:sz w:val="27"/>
          <w:rtl/>
        </w:rPr>
        <w:t>على</w:t>
      </w:r>
      <w:r w:rsidR="00965E08" w:rsidRPr="00282AC9">
        <w:rPr>
          <w:sz w:val="27"/>
          <w:rtl/>
        </w:rPr>
        <w:t xml:space="preserve"> </w:t>
      </w:r>
      <w:r w:rsidR="00965E08" w:rsidRPr="00282AC9">
        <w:rPr>
          <w:rFonts w:hint="cs"/>
          <w:sz w:val="27"/>
          <w:rtl/>
        </w:rPr>
        <w:t>النصر،</w:t>
      </w:r>
      <w:r w:rsidR="00965E08" w:rsidRPr="00282AC9">
        <w:rPr>
          <w:sz w:val="27"/>
          <w:rtl/>
        </w:rPr>
        <w:t xml:space="preserve"> </w:t>
      </w:r>
      <w:r w:rsidR="00965E08" w:rsidRPr="00282AC9">
        <w:rPr>
          <w:rFonts w:hint="cs"/>
          <w:sz w:val="27"/>
          <w:rtl/>
        </w:rPr>
        <w:t>ولكن</w:t>
      </w:r>
      <w:r w:rsidRPr="00282AC9">
        <w:rPr>
          <w:rFonts w:hint="cs"/>
          <w:sz w:val="27"/>
          <w:rtl/>
        </w:rPr>
        <w:t>ْ</w:t>
      </w:r>
      <w:r w:rsidR="00965E08" w:rsidRPr="00282AC9">
        <w:rPr>
          <w:sz w:val="27"/>
          <w:rtl/>
        </w:rPr>
        <w:t xml:space="preserve"> </w:t>
      </w:r>
      <w:r w:rsidR="00965E08" w:rsidRPr="00282AC9">
        <w:rPr>
          <w:rFonts w:hint="cs"/>
          <w:sz w:val="27"/>
          <w:rtl/>
        </w:rPr>
        <w:t>لا</w:t>
      </w:r>
      <w:r w:rsidR="00965E08" w:rsidRPr="00282AC9">
        <w:rPr>
          <w:sz w:val="27"/>
          <w:rtl/>
        </w:rPr>
        <w:t xml:space="preserve"> </w:t>
      </w:r>
      <w:r w:rsidR="00965E08" w:rsidRPr="00282AC9">
        <w:rPr>
          <w:rFonts w:hint="cs"/>
          <w:sz w:val="27"/>
          <w:rtl/>
        </w:rPr>
        <w:t>يطلق</w:t>
      </w:r>
      <w:r w:rsidR="00965E08" w:rsidRPr="00282AC9">
        <w:rPr>
          <w:sz w:val="27"/>
          <w:rtl/>
        </w:rPr>
        <w:t xml:space="preserve"> </w:t>
      </w:r>
      <w:r w:rsidR="00965E08" w:rsidRPr="00282AC9">
        <w:rPr>
          <w:rFonts w:hint="cs"/>
          <w:sz w:val="27"/>
          <w:rtl/>
        </w:rPr>
        <w:t>النصر</w:t>
      </w:r>
      <w:r w:rsidR="00965E08" w:rsidRPr="00282AC9">
        <w:rPr>
          <w:sz w:val="27"/>
          <w:rtl/>
        </w:rPr>
        <w:t xml:space="preserve"> </w:t>
      </w:r>
      <w:r w:rsidR="00965E08" w:rsidRPr="00282AC9">
        <w:rPr>
          <w:rFonts w:hint="cs"/>
          <w:sz w:val="27"/>
          <w:rtl/>
        </w:rPr>
        <w:t>على</w:t>
      </w:r>
      <w:r w:rsidR="00965E08" w:rsidRPr="00282AC9">
        <w:rPr>
          <w:sz w:val="27"/>
          <w:rtl/>
        </w:rPr>
        <w:t xml:space="preserve"> </w:t>
      </w:r>
      <w:r w:rsidR="00965E08" w:rsidRPr="00282AC9">
        <w:rPr>
          <w:rFonts w:hint="cs"/>
          <w:sz w:val="27"/>
          <w:rtl/>
        </w:rPr>
        <w:t>الفتح</w:t>
      </w:r>
      <w:r w:rsidRPr="00282AC9">
        <w:rPr>
          <w:rFonts w:hint="cs"/>
          <w:sz w:val="27"/>
          <w:rtl/>
        </w:rPr>
        <w:t>؛</w:t>
      </w:r>
      <w:r w:rsidR="00965E08" w:rsidRPr="00282AC9">
        <w:rPr>
          <w:sz w:val="27"/>
          <w:rtl/>
        </w:rPr>
        <w:t xml:space="preserve"> </w:t>
      </w:r>
      <w:r w:rsidR="00965E08" w:rsidRPr="00282AC9">
        <w:rPr>
          <w:rFonts w:hint="cs"/>
          <w:sz w:val="27"/>
          <w:rtl/>
        </w:rPr>
        <w:t>لأن</w:t>
      </w:r>
      <w:r w:rsidR="00965E08" w:rsidRPr="00282AC9">
        <w:rPr>
          <w:sz w:val="27"/>
          <w:rtl/>
        </w:rPr>
        <w:t xml:space="preserve"> </w:t>
      </w:r>
      <w:r w:rsidR="00965E08" w:rsidRPr="00282AC9">
        <w:rPr>
          <w:rFonts w:hint="cs"/>
          <w:sz w:val="27"/>
          <w:rtl/>
        </w:rPr>
        <w:t>الفتح</w:t>
      </w:r>
      <w:r w:rsidR="00965E08" w:rsidRPr="00282AC9">
        <w:rPr>
          <w:sz w:val="27"/>
          <w:rtl/>
        </w:rPr>
        <w:t xml:space="preserve"> </w:t>
      </w:r>
      <w:r w:rsidR="00965E08" w:rsidRPr="00282AC9">
        <w:rPr>
          <w:rFonts w:hint="cs"/>
          <w:sz w:val="27"/>
          <w:rtl/>
        </w:rPr>
        <w:t>أعلى</w:t>
      </w:r>
      <w:r w:rsidR="00965E08" w:rsidRPr="00282AC9">
        <w:rPr>
          <w:sz w:val="27"/>
          <w:rtl/>
        </w:rPr>
        <w:t xml:space="preserve"> </w:t>
      </w:r>
      <w:r w:rsidR="00965E08" w:rsidRPr="00282AC9">
        <w:rPr>
          <w:rFonts w:hint="cs"/>
          <w:sz w:val="27"/>
          <w:rtl/>
        </w:rPr>
        <w:t>رتبةً</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النصر</w:t>
      </w:r>
      <w:r w:rsidR="00965E08" w:rsidRPr="00282AC9">
        <w:rPr>
          <w:sz w:val="27"/>
          <w:rtl/>
        </w:rPr>
        <w:t>.</w:t>
      </w:r>
    </w:p>
    <w:p w:rsidR="00965E08" w:rsidRPr="00282AC9" w:rsidRDefault="00965E08" w:rsidP="003062B7">
      <w:pPr>
        <w:rPr>
          <w:sz w:val="27"/>
          <w:rtl/>
        </w:rPr>
      </w:pPr>
      <w:r w:rsidRPr="00282AC9">
        <w:rPr>
          <w:rFonts w:hint="cs"/>
          <w:sz w:val="27"/>
          <w:rtl/>
        </w:rPr>
        <w:t>فال</w:t>
      </w:r>
      <w:r w:rsidR="00A87919" w:rsidRPr="00282AC9">
        <w:rPr>
          <w:rFonts w:hint="cs"/>
          <w:sz w:val="27"/>
          <w:rtl/>
        </w:rPr>
        <w:t>ا</w:t>
      </w:r>
      <w:r w:rsidRPr="00282AC9">
        <w:rPr>
          <w:rFonts w:hint="cs"/>
          <w:sz w:val="27"/>
          <w:rtl/>
        </w:rPr>
        <w:t>ستشهاد</w:t>
      </w:r>
      <w:r w:rsidRPr="00282AC9">
        <w:rPr>
          <w:sz w:val="27"/>
          <w:rtl/>
        </w:rPr>
        <w:t xml:space="preserve"> </w:t>
      </w:r>
      <w:r w:rsidRPr="00282AC9">
        <w:rPr>
          <w:rFonts w:hint="cs"/>
          <w:sz w:val="27"/>
          <w:rtl/>
        </w:rPr>
        <w:t>مع</w:t>
      </w:r>
      <w:r w:rsidRPr="00282AC9">
        <w:rPr>
          <w:sz w:val="27"/>
          <w:rtl/>
        </w:rPr>
        <w:t xml:space="preserve"> </w:t>
      </w:r>
      <w:r w:rsidRPr="00282AC9">
        <w:rPr>
          <w:rFonts w:hint="cs"/>
          <w:sz w:val="27"/>
          <w:rtl/>
        </w:rPr>
        <w:t>الامام الحسين</w:t>
      </w:r>
      <w:r w:rsidR="009A2A04" w:rsidRPr="00282AC9">
        <w:rPr>
          <w:rFonts w:cs="Mosawi" w:hint="cs"/>
          <w:sz w:val="22"/>
          <w:szCs w:val="22"/>
          <w:rtl/>
        </w:rPr>
        <w:t>×</w:t>
      </w:r>
      <w:r w:rsidRPr="00282AC9">
        <w:rPr>
          <w:sz w:val="27"/>
          <w:rtl/>
        </w:rPr>
        <w:t xml:space="preserve"> </w:t>
      </w:r>
      <w:r w:rsidRPr="00282AC9">
        <w:rPr>
          <w:rFonts w:hint="cs"/>
          <w:sz w:val="27"/>
          <w:rtl/>
        </w:rPr>
        <w:t>مقد</w:t>
      </w:r>
      <w:r w:rsidR="00A87919" w:rsidRPr="00282AC9">
        <w:rPr>
          <w:rFonts w:hint="cs"/>
          <w:sz w:val="27"/>
          <w:rtl/>
        </w:rPr>
        <w:t>ّ</w:t>
      </w:r>
      <w:r w:rsidRPr="00282AC9">
        <w:rPr>
          <w:rFonts w:hint="cs"/>
          <w:sz w:val="27"/>
          <w:rtl/>
        </w:rPr>
        <w:t>مةٌ</w:t>
      </w:r>
      <w:r w:rsidRPr="00282AC9">
        <w:rPr>
          <w:sz w:val="27"/>
          <w:rtl/>
        </w:rPr>
        <w:t xml:space="preserve"> </w:t>
      </w:r>
      <w:r w:rsidRPr="00282AC9">
        <w:rPr>
          <w:rFonts w:hint="cs"/>
          <w:sz w:val="27"/>
          <w:rtl/>
        </w:rPr>
        <w:t>للفتح</w:t>
      </w:r>
      <w:r w:rsidR="00A87919" w:rsidRPr="00282AC9">
        <w:rPr>
          <w:rFonts w:hint="cs"/>
          <w:sz w:val="27"/>
          <w:rtl/>
        </w:rPr>
        <w:t>.</w:t>
      </w:r>
      <w:r w:rsidRPr="00282AC9">
        <w:rPr>
          <w:sz w:val="27"/>
          <w:rtl/>
        </w:rPr>
        <w:t xml:space="preserve"> </w:t>
      </w:r>
      <w:r w:rsidRPr="00282AC9">
        <w:rPr>
          <w:rFonts w:hint="cs"/>
          <w:sz w:val="27"/>
          <w:rtl/>
        </w:rPr>
        <w:t>والإمام</w:t>
      </w:r>
      <w:r w:rsidRPr="00282AC9">
        <w:rPr>
          <w:sz w:val="27"/>
          <w:rtl/>
        </w:rPr>
        <w:t xml:space="preserve"> </w:t>
      </w:r>
      <w:r w:rsidRPr="00282AC9">
        <w:rPr>
          <w:rFonts w:hint="cs"/>
          <w:sz w:val="27"/>
          <w:rtl/>
        </w:rPr>
        <w:t>هنا</w:t>
      </w:r>
      <w:r w:rsidRPr="00282AC9">
        <w:rPr>
          <w:sz w:val="27"/>
          <w:rtl/>
        </w:rPr>
        <w:t xml:space="preserve"> </w:t>
      </w:r>
      <w:r w:rsidRPr="00282AC9">
        <w:rPr>
          <w:rFonts w:hint="cs"/>
          <w:sz w:val="27"/>
          <w:rtl/>
        </w:rPr>
        <w:t>ذكر</w:t>
      </w:r>
      <w:r w:rsidRPr="00282AC9">
        <w:rPr>
          <w:sz w:val="27"/>
          <w:rtl/>
        </w:rPr>
        <w:t xml:space="preserve"> </w:t>
      </w:r>
      <w:r w:rsidRPr="00282AC9">
        <w:rPr>
          <w:rFonts w:hint="cs"/>
          <w:sz w:val="27"/>
          <w:rtl/>
        </w:rPr>
        <w:t>كلمة</w:t>
      </w:r>
      <w:r w:rsidRPr="00282AC9">
        <w:rPr>
          <w:sz w:val="27"/>
          <w:rtl/>
        </w:rPr>
        <w:t xml:space="preserve"> </w:t>
      </w:r>
      <w:r w:rsidRPr="00282AC9">
        <w:rPr>
          <w:rFonts w:hint="eastAsia"/>
          <w:sz w:val="24"/>
          <w:szCs w:val="24"/>
          <w:rtl/>
        </w:rPr>
        <w:t>«</w:t>
      </w:r>
      <w:r w:rsidRPr="00282AC9">
        <w:rPr>
          <w:rFonts w:hint="cs"/>
          <w:sz w:val="27"/>
          <w:rtl/>
        </w:rPr>
        <w:t>الفتح</w:t>
      </w:r>
      <w:r w:rsidRPr="00282AC9">
        <w:rPr>
          <w:rFonts w:hint="eastAsia"/>
          <w:sz w:val="24"/>
          <w:szCs w:val="24"/>
          <w:rtl/>
        </w:rPr>
        <w:t>»</w:t>
      </w:r>
      <w:r w:rsidRPr="00282AC9">
        <w:rPr>
          <w:sz w:val="27"/>
          <w:rtl/>
        </w:rPr>
        <w:t xml:space="preserve"> </w:t>
      </w:r>
      <w:r w:rsidRPr="00282AC9">
        <w:rPr>
          <w:rFonts w:hint="cs"/>
          <w:sz w:val="27"/>
          <w:rtl/>
        </w:rPr>
        <w:t>معر</w:t>
      </w:r>
      <w:r w:rsidR="008B612A" w:rsidRPr="00282AC9">
        <w:rPr>
          <w:rFonts w:hint="cs"/>
          <w:sz w:val="27"/>
          <w:rtl/>
        </w:rPr>
        <w:t>َّ</w:t>
      </w:r>
      <w:r w:rsidRPr="00282AC9">
        <w:rPr>
          <w:rFonts w:hint="cs"/>
          <w:sz w:val="27"/>
          <w:rtl/>
        </w:rPr>
        <w:t>فةً</w:t>
      </w:r>
      <w:r w:rsidRPr="00282AC9">
        <w:rPr>
          <w:sz w:val="27"/>
          <w:rtl/>
        </w:rPr>
        <w:t xml:space="preserve"> </w:t>
      </w:r>
      <w:r w:rsidRPr="00282AC9">
        <w:rPr>
          <w:rFonts w:hint="cs"/>
          <w:sz w:val="27"/>
          <w:rtl/>
        </w:rPr>
        <w:t>بالألف</w:t>
      </w:r>
      <w:r w:rsidRPr="00282AC9">
        <w:rPr>
          <w:sz w:val="27"/>
          <w:rtl/>
        </w:rPr>
        <w:t xml:space="preserve"> </w:t>
      </w:r>
      <w:r w:rsidR="008B612A" w:rsidRPr="00282AC9">
        <w:rPr>
          <w:rFonts w:hint="cs"/>
          <w:sz w:val="27"/>
          <w:rtl/>
        </w:rPr>
        <w:t xml:space="preserve">واللام، </w:t>
      </w:r>
      <w:r w:rsidRPr="00282AC9">
        <w:rPr>
          <w:rFonts w:hint="cs"/>
          <w:sz w:val="27"/>
          <w:rtl/>
        </w:rPr>
        <w:t>فهي عهدي</w:t>
      </w:r>
      <w:r w:rsidR="008B612A" w:rsidRPr="00282AC9">
        <w:rPr>
          <w:rFonts w:hint="cs"/>
          <w:sz w:val="27"/>
          <w:rtl/>
        </w:rPr>
        <w:t>ّ</w:t>
      </w:r>
      <w:r w:rsidRPr="00282AC9">
        <w:rPr>
          <w:rFonts w:hint="cs"/>
          <w:sz w:val="27"/>
          <w:rtl/>
        </w:rPr>
        <w:t>ة</w:t>
      </w:r>
      <w:r w:rsidR="008B612A" w:rsidRPr="00282AC9">
        <w:rPr>
          <w:rFonts w:hint="cs"/>
          <w:sz w:val="27"/>
          <w:rtl/>
        </w:rPr>
        <w:t>ٌ</w:t>
      </w:r>
      <w:r w:rsidRPr="00282AC9">
        <w:rPr>
          <w:rFonts w:hint="cs"/>
          <w:sz w:val="27"/>
          <w:rtl/>
        </w:rPr>
        <w:t>،</w:t>
      </w:r>
      <w:r w:rsidRPr="00282AC9">
        <w:rPr>
          <w:sz w:val="27"/>
          <w:rtl/>
        </w:rPr>
        <w:t xml:space="preserve"> </w:t>
      </w:r>
      <w:r w:rsidRPr="00282AC9">
        <w:rPr>
          <w:rFonts w:hint="cs"/>
          <w:sz w:val="27"/>
          <w:rtl/>
        </w:rPr>
        <w:t>يعني</w:t>
      </w:r>
      <w:r w:rsidRPr="00282AC9">
        <w:rPr>
          <w:sz w:val="27"/>
          <w:rtl/>
        </w:rPr>
        <w:t xml:space="preserve"> </w:t>
      </w:r>
      <w:r w:rsidRPr="00282AC9">
        <w:rPr>
          <w:rFonts w:hint="cs"/>
          <w:sz w:val="27"/>
          <w:rtl/>
        </w:rPr>
        <w:t>هناك</w:t>
      </w:r>
      <w:r w:rsidRPr="00282AC9">
        <w:rPr>
          <w:sz w:val="27"/>
          <w:rtl/>
        </w:rPr>
        <w:t xml:space="preserve"> </w:t>
      </w:r>
      <w:r w:rsidRPr="00282AC9">
        <w:rPr>
          <w:rFonts w:hint="cs"/>
          <w:sz w:val="27"/>
          <w:rtl/>
        </w:rPr>
        <w:t>شيءٌ</w:t>
      </w:r>
      <w:r w:rsidRPr="00282AC9">
        <w:rPr>
          <w:sz w:val="27"/>
          <w:rtl/>
        </w:rPr>
        <w:t xml:space="preserve"> </w:t>
      </w:r>
      <w:r w:rsidRPr="00282AC9">
        <w:rPr>
          <w:rFonts w:hint="cs"/>
          <w:sz w:val="27"/>
          <w:rtl/>
        </w:rPr>
        <w:t>معهود</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أذهان</w:t>
      </w:r>
      <w:r w:rsidRPr="00282AC9">
        <w:rPr>
          <w:sz w:val="27"/>
          <w:rtl/>
        </w:rPr>
        <w:t xml:space="preserve"> </w:t>
      </w:r>
      <w:r w:rsidRPr="00282AC9">
        <w:rPr>
          <w:rFonts w:hint="cs"/>
          <w:sz w:val="27"/>
          <w:rtl/>
        </w:rPr>
        <w:t>الذين</w:t>
      </w:r>
      <w:r w:rsidRPr="00282AC9">
        <w:rPr>
          <w:sz w:val="27"/>
          <w:rtl/>
        </w:rPr>
        <w:t xml:space="preserve"> </w:t>
      </w:r>
      <w:r w:rsidRPr="00282AC9">
        <w:rPr>
          <w:rFonts w:hint="cs"/>
          <w:sz w:val="27"/>
          <w:rtl/>
        </w:rPr>
        <w:t>اط</w:t>
      </w:r>
      <w:r w:rsidR="008B612A" w:rsidRPr="00282AC9">
        <w:rPr>
          <w:rFonts w:hint="cs"/>
          <w:sz w:val="27"/>
          <w:rtl/>
        </w:rPr>
        <w:t>َّ</w:t>
      </w:r>
      <w:r w:rsidRPr="00282AC9">
        <w:rPr>
          <w:rFonts w:hint="cs"/>
          <w:sz w:val="27"/>
          <w:rtl/>
        </w:rPr>
        <w:t>لعوا</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مباد</w:t>
      </w:r>
      <w:r w:rsidR="008B612A" w:rsidRPr="00282AC9">
        <w:rPr>
          <w:rFonts w:hint="cs"/>
          <w:sz w:val="27"/>
          <w:rtl/>
        </w:rPr>
        <w:t>ئ</w:t>
      </w:r>
      <w:r w:rsidRPr="00282AC9">
        <w:rPr>
          <w:rFonts w:hint="cs"/>
          <w:sz w:val="27"/>
          <w:rtl/>
        </w:rPr>
        <w:t xml:space="preserve"> وفكر </w:t>
      </w:r>
      <w:r w:rsidR="008B612A" w:rsidRPr="00282AC9">
        <w:rPr>
          <w:rFonts w:hint="cs"/>
          <w:sz w:val="27"/>
          <w:rtl/>
        </w:rPr>
        <w:t>أ</w:t>
      </w:r>
      <w:r w:rsidRPr="00282AC9">
        <w:rPr>
          <w:rFonts w:hint="cs"/>
          <w:sz w:val="27"/>
          <w:rtl/>
        </w:rPr>
        <w:t xml:space="preserve">تباع مدرسة </w:t>
      </w:r>
      <w:r w:rsidR="008B612A" w:rsidRPr="00282AC9">
        <w:rPr>
          <w:rFonts w:hint="cs"/>
          <w:sz w:val="27"/>
          <w:rtl/>
        </w:rPr>
        <w:t>أ</w:t>
      </w:r>
      <w:r w:rsidRPr="00282AC9">
        <w:rPr>
          <w:rFonts w:hint="cs"/>
          <w:sz w:val="27"/>
          <w:rtl/>
        </w:rPr>
        <w:t>هل البيت</w:t>
      </w:r>
      <w:r w:rsidR="00876ECA" w:rsidRPr="00282AC9">
        <w:rPr>
          <w:rFonts w:cs="Mosawi" w:hint="cs"/>
          <w:sz w:val="22"/>
          <w:szCs w:val="22"/>
          <w:rtl/>
        </w:rPr>
        <w:t>^</w:t>
      </w:r>
      <w:r w:rsidRPr="00282AC9">
        <w:rPr>
          <w:rFonts w:hint="cs"/>
          <w:sz w:val="27"/>
          <w:rtl/>
        </w:rPr>
        <w:t>، وهذا</w:t>
      </w:r>
      <w:r w:rsidRPr="00282AC9">
        <w:rPr>
          <w:sz w:val="27"/>
          <w:rtl/>
        </w:rPr>
        <w:t xml:space="preserve"> </w:t>
      </w:r>
      <w:r w:rsidRPr="00282AC9">
        <w:rPr>
          <w:rFonts w:hint="cs"/>
          <w:sz w:val="27"/>
          <w:rtl/>
        </w:rPr>
        <w:t>الفتح</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الفتح</w:t>
      </w:r>
      <w:r w:rsidRPr="00282AC9">
        <w:rPr>
          <w:sz w:val="27"/>
          <w:rtl/>
        </w:rPr>
        <w:t xml:space="preserve"> </w:t>
      </w:r>
      <w:r w:rsidRPr="00282AC9">
        <w:rPr>
          <w:rFonts w:hint="cs"/>
          <w:sz w:val="27"/>
          <w:rtl/>
        </w:rPr>
        <w:t>الذي</w:t>
      </w:r>
      <w:r w:rsidRPr="00282AC9">
        <w:rPr>
          <w:sz w:val="27"/>
          <w:rtl/>
        </w:rPr>
        <w:t xml:space="preserve"> </w:t>
      </w:r>
      <w:r w:rsidRPr="00282AC9">
        <w:rPr>
          <w:rFonts w:hint="cs"/>
          <w:sz w:val="27"/>
          <w:rtl/>
        </w:rPr>
        <w:t>يتحق</w:t>
      </w:r>
      <w:r w:rsidR="008B612A" w:rsidRPr="00282AC9">
        <w:rPr>
          <w:rFonts w:hint="cs"/>
          <w:sz w:val="27"/>
          <w:rtl/>
        </w:rPr>
        <w:t>َّ</w:t>
      </w:r>
      <w:r w:rsidRPr="00282AC9">
        <w:rPr>
          <w:rFonts w:hint="cs"/>
          <w:sz w:val="27"/>
          <w:rtl/>
        </w:rPr>
        <w:t>ق</w:t>
      </w:r>
      <w:r w:rsidRPr="00282AC9">
        <w:rPr>
          <w:sz w:val="27"/>
          <w:rtl/>
        </w:rPr>
        <w:t xml:space="preserve"> </w:t>
      </w:r>
      <w:r w:rsidRPr="00282AC9">
        <w:rPr>
          <w:rFonts w:hint="cs"/>
          <w:sz w:val="27"/>
          <w:rtl/>
        </w:rPr>
        <w:t>عملي</w:t>
      </w:r>
      <w:r w:rsidR="008B612A" w:rsidRPr="00282AC9">
        <w:rPr>
          <w:rFonts w:hint="cs"/>
          <w:sz w:val="27"/>
          <w:rtl/>
        </w:rPr>
        <w:t>ّ</w:t>
      </w:r>
      <w:r w:rsidRPr="00282AC9">
        <w:rPr>
          <w:rFonts w:hint="cs"/>
          <w:sz w:val="27"/>
          <w:rtl/>
        </w:rPr>
        <w:t>اً</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ظهور ال</w:t>
      </w:r>
      <w:r w:rsidR="008B612A" w:rsidRPr="00282AC9">
        <w:rPr>
          <w:rFonts w:hint="cs"/>
          <w:sz w:val="27"/>
          <w:rtl/>
        </w:rPr>
        <w:t>إ</w:t>
      </w:r>
      <w:r w:rsidRPr="00282AC9">
        <w:rPr>
          <w:rFonts w:hint="cs"/>
          <w:sz w:val="27"/>
          <w:rtl/>
        </w:rPr>
        <w:t>مام المهدي</w:t>
      </w:r>
      <w:r w:rsidR="008B612A" w:rsidRPr="00282AC9">
        <w:rPr>
          <w:rFonts w:hint="cs"/>
          <w:sz w:val="27"/>
          <w:rtl/>
        </w:rPr>
        <w:t>ّ</w:t>
      </w:r>
      <w:r w:rsidR="001100B1" w:rsidRPr="00282AC9">
        <w:rPr>
          <w:rFonts w:ascii="Mosawi" w:hAnsi="Mosawi" w:cs="Mosawi" w:hint="cs"/>
          <w:sz w:val="22"/>
          <w:szCs w:val="22"/>
          <w:rtl/>
        </w:rPr>
        <w:t>#</w:t>
      </w:r>
      <w:r w:rsidRPr="00282AC9">
        <w:rPr>
          <w:sz w:val="27"/>
          <w:rtl/>
        </w:rPr>
        <w:t>.</w:t>
      </w:r>
    </w:p>
    <w:p w:rsidR="00965E08" w:rsidRPr="00282AC9" w:rsidRDefault="008B612A" w:rsidP="003062B7">
      <w:pPr>
        <w:rPr>
          <w:sz w:val="27"/>
          <w:rtl/>
        </w:rPr>
      </w:pPr>
      <w:r w:rsidRPr="00282AC9">
        <w:rPr>
          <w:rFonts w:hint="cs"/>
          <w:b/>
          <w:bCs/>
          <w:sz w:val="27"/>
          <w:rtl/>
        </w:rPr>
        <w:t>و</w:t>
      </w:r>
      <w:r w:rsidR="00965E08" w:rsidRPr="00282AC9">
        <w:rPr>
          <w:rFonts w:hint="cs"/>
          <w:b/>
          <w:bCs/>
          <w:sz w:val="27"/>
          <w:rtl/>
        </w:rPr>
        <w:t>قد</w:t>
      </w:r>
      <w:r w:rsidR="00965E08" w:rsidRPr="00282AC9">
        <w:rPr>
          <w:b/>
          <w:bCs/>
          <w:sz w:val="27"/>
          <w:rtl/>
        </w:rPr>
        <w:t xml:space="preserve"> </w:t>
      </w:r>
      <w:r w:rsidR="00965E08" w:rsidRPr="00282AC9">
        <w:rPr>
          <w:rFonts w:hint="cs"/>
          <w:b/>
          <w:bCs/>
          <w:sz w:val="27"/>
          <w:rtl/>
        </w:rPr>
        <w:t>يقول</w:t>
      </w:r>
      <w:r w:rsidR="00965E08" w:rsidRPr="00282AC9">
        <w:rPr>
          <w:b/>
          <w:bCs/>
          <w:sz w:val="27"/>
          <w:rtl/>
        </w:rPr>
        <w:t xml:space="preserve"> </w:t>
      </w:r>
      <w:r w:rsidR="00965E08" w:rsidRPr="00282AC9">
        <w:rPr>
          <w:rFonts w:hint="cs"/>
          <w:b/>
          <w:bCs/>
          <w:sz w:val="27"/>
          <w:rtl/>
        </w:rPr>
        <w:t>قائل</w:t>
      </w:r>
      <w:r w:rsidRPr="00282AC9">
        <w:rPr>
          <w:rFonts w:hint="cs"/>
          <w:b/>
          <w:bCs/>
          <w:sz w:val="27"/>
          <w:rtl/>
        </w:rPr>
        <w:t>ٌ</w:t>
      </w:r>
      <w:r w:rsidR="00965E08" w:rsidRPr="00282AC9">
        <w:rPr>
          <w:sz w:val="27"/>
          <w:rtl/>
        </w:rPr>
        <w:t xml:space="preserve">: </w:t>
      </w:r>
      <w:r w:rsidRPr="00282AC9">
        <w:rPr>
          <w:rFonts w:hint="cs"/>
          <w:sz w:val="27"/>
          <w:rtl/>
        </w:rPr>
        <w:t>إ</w:t>
      </w:r>
      <w:r w:rsidR="00965E08" w:rsidRPr="00282AC9">
        <w:rPr>
          <w:rFonts w:hint="cs"/>
          <w:sz w:val="27"/>
          <w:rtl/>
        </w:rPr>
        <w:t>ن الفتح هنا ي</w:t>
      </w:r>
      <w:r w:rsidRPr="00282AC9">
        <w:rPr>
          <w:rFonts w:hint="cs"/>
          <w:sz w:val="27"/>
          <w:rtl/>
        </w:rPr>
        <w:t>ُ</w:t>
      </w:r>
      <w:r w:rsidR="00965E08" w:rsidRPr="00282AC9">
        <w:rPr>
          <w:rFonts w:hint="cs"/>
          <w:sz w:val="27"/>
          <w:rtl/>
        </w:rPr>
        <w:t>راد منه</w:t>
      </w:r>
      <w:r w:rsidR="00965E08" w:rsidRPr="00282AC9">
        <w:rPr>
          <w:sz w:val="27"/>
          <w:rtl/>
        </w:rPr>
        <w:t xml:space="preserve"> </w:t>
      </w:r>
      <w:r w:rsidRPr="00282AC9">
        <w:rPr>
          <w:rFonts w:hint="cs"/>
          <w:sz w:val="27"/>
          <w:rtl/>
        </w:rPr>
        <w:t>الفتح</w:t>
      </w:r>
      <w:r w:rsidR="00965E08" w:rsidRPr="00282AC9">
        <w:rPr>
          <w:sz w:val="27"/>
          <w:rtl/>
        </w:rPr>
        <w:t xml:space="preserve"> </w:t>
      </w:r>
      <w:r w:rsidR="00965E08" w:rsidRPr="00282AC9">
        <w:rPr>
          <w:rFonts w:hint="cs"/>
          <w:sz w:val="27"/>
          <w:rtl/>
        </w:rPr>
        <w:t>المعنوي</w:t>
      </w:r>
      <w:r w:rsidR="00965E08" w:rsidRPr="00282AC9">
        <w:rPr>
          <w:sz w:val="27"/>
          <w:rtl/>
        </w:rPr>
        <w:t>.</w:t>
      </w:r>
    </w:p>
    <w:p w:rsidR="00965E08" w:rsidRPr="00282AC9" w:rsidRDefault="00965E08" w:rsidP="003062B7">
      <w:pPr>
        <w:rPr>
          <w:sz w:val="27"/>
          <w:rtl/>
        </w:rPr>
      </w:pPr>
      <w:r w:rsidRPr="00282AC9">
        <w:rPr>
          <w:rFonts w:hint="cs"/>
          <w:b/>
          <w:bCs/>
          <w:sz w:val="27"/>
          <w:rtl/>
        </w:rPr>
        <w:t>وجوابه</w:t>
      </w:r>
      <w:r w:rsidRPr="00282AC9">
        <w:rPr>
          <w:sz w:val="27"/>
          <w:rtl/>
        </w:rPr>
        <w:t xml:space="preserve">: </w:t>
      </w:r>
      <w:r w:rsidR="008B612A" w:rsidRPr="00282AC9">
        <w:rPr>
          <w:rFonts w:hint="cs"/>
          <w:sz w:val="27"/>
          <w:rtl/>
        </w:rPr>
        <w:t>إ</w:t>
      </w:r>
      <w:r w:rsidRPr="00282AC9">
        <w:rPr>
          <w:rFonts w:hint="cs"/>
          <w:sz w:val="27"/>
          <w:rtl/>
        </w:rPr>
        <w:t>ن الفتح</w:t>
      </w:r>
      <w:r w:rsidRPr="00282AC9">
        <w:rPr>
          <w:sz w:val="27"/>
          <w:rtl/>
        </w:rPr>
        <w:t xml:space="preserve"> </w:t>
      </w:r>
      <w:r w:rsidRPr="00282AC9">
        <w:rPr>
          <w:rFonts w:hint="cs"/>
          <w:sz w:val="27"/>
          <w:rtl/>
        </w:rPr>
        <w:t>ليس</w:t>
      </w:r>
      <w:r w:rsidRPr="00282AC9">
        <w:rPr>
          <w:sz w:val="27"/>
          <w:rtl/>
        </w:rPr>
        <w:t xml:space="preserve"> </w:t>
      </w:r>
      <w:r w:rsidRPr="00282AC9">
        <w:rPr>
          <w:rFonts w:hint="cs"/>
          <w:sz w:val="27"/>
          <w:rtl/>
        </w:rPr>
        <w:t>معنوي</w:t>
      </w:r>
      <w:r w:rsidR="008B612A" w:rsidRPr="00282AC9">
        <w:rPr>
          <w:rFonts w:hint="cs"/>
          <w:sz w:val="27"/>
          <w:rtl/>
        </w:rPr>
        <w:t>ّ</w:t>
      </w:r>
      <w:r w:rsidRPr="00282AC9">
        <w:rPr>
          <w:rFonts w:hint="cs"/>
          <w:sz w:val="27"/>
          <w:rtl/>
        </w:rPr>
        <w:t>اً</w:t>
      </w:r>
      <w:r w:rsidR="008B612A" w:rsidRPr="00282AC9">
        <w:rPr>
          <w:rFonts w:hint="cs"/>
          <w:sz w:val="27"/>
          <w:rtl/>
        </w:rPr>
        <w:t>،</w:t>
      </w:r>
      <w:r w:rsidRPr="00282AC9">
        <w:rPr>
          <w:sz w:val="27"/>
          <w:rtl/>
        </w:rPr>
        <w:t xml:space="preserve"> </w:t>
      </w:r>
      <w:r w:rsidRPr="00282AC9">
        <w:rPr>
          <w:rFonts w:hint="cs"/>
          <w:sz w:val="27"/>
          <w:rtl/>
        </w:rPr>
        <w:t>وإنما</w:t>
      </w:r>
      <w:r w:rsidRPr="00282AC9">
        <w:rPr>
          <w:sz w:val="27"/>
          <w:rtl/>
        </w:rPr>
        <w:t xml:space="preserve"> </w:t>
      </w:r>
      <w:r w:rsidRPr="00282AC9">
        <w:rPr>
          <w:rFonts w:hint="cs"/>
          <w:sz w:val="27"/>
          <w:rtl/>
        </w:rPr>
        <w:t>تأتي</w:t>
      </w:r>
      <w:r w:rsidRPr="00282AC9">
        <w:rPr>
          <w:sz w:val="27"/>
          <w:rtl/>
        </w:rPr>
        <w:t xml:space="preserve"> </w:t>
      </w:r>
      <w:r w:rsidRPr="00282AC9">
        <w:rPr>
          <w:rFonts w:hint="cs"/>
          <w:sz w:val="27"/>
          <w:rtl/>
        </w:rPr>
        <w:t>المعنوي</w:t>
      </w:r>
      <w:r w:rsidR="008B612A" w:rsidRPr="00282AC9">
        <w:rPr>
          <w:rFonts w:hint="cs"/>
          <w:sz w:val="27"/>
          <w:rtl/>
        </w:rPr>
        <w:t>ّ</w:t>
      </w:r>
      <w:r w:rsidRPr="00282AC9">
        <w:rPr>
          <w:rFonts w:hint="cs"/>
          <w:sz w:val="27"/>
          <w:rtl/>
        </w:rPr>
        <w:t>ات</w:t>
      </w:r>
      <w:r w:rsidRPr="00282AC9">
        <w:rPr>
          <w:sz w:val="27"/>
          <w:rtl/>
        </w:rPr>
        <w:t xml:space="preserve"> </w:t>
      </w:r>
      <w:r w:rsidRPr="00282AC9">
        <w:rPr>
          <w:rFonts w:hint="cs"/>
          <w:sz w:val="27"/>
          <w:rtl/>
        </w:rPr>
        <w:t>مع</w:t>
      </w:r>
      <w:r w:rsidRPr="00282AC9">
        <w:rPr>
          <w:sz w:val="27"/>
          <w:rtl/>
        </w:rPr>
        <w:t xml:space="preserve"> </w:t>
      </w:r>
      <w:r w:rsidRPr="00282AC9">
        <w:rPr>
          <w:rFonts w:hint="cs"/>
          <w:sz w:val="27"/>
          <w:rtl/>
        </w:rPr>
        <w:t>الفتح</w:t>
      </w:r>
      <w:r w:rsidRPr="00282AC9">
        <w:rPr>
          <w:sz w:val="27"/>
          <w:rtl/>
        </w:rPr>
        <w:t xml:space="preserve"> </w:t>
      </w:r>
      <w:r w:rsidRPr="00282AC9">
        <w:rPr>
          <w:rFonts w:hint="cs"/>
          <w:sz w:val="27"/>
          <w:rtl/>
        </w:rPr>
        <w:t>الواقعي</w:t>
      </w:r>
      <w:r w:rsidR="008B612A" w:rsidRPr="00282AC9">
        <w:rPr>
          <w:rFonts w:hint="cs"/>
          <w:sz w:val="27"/>
          <w:rtl/>
        </w:rPr>
        <w:t>ّ</w:t>
      </w:r>
      <w:r w:rsidRPr="00282AC9">
        <w:rPr>
          <w:sz w:val="27"/>
          <w:rtl/>
        </w:rPr>
        <w:t xml:space="preserve"> </w:t>
      </w:r>
      <w:r w:rsidRPr="00282AC9">
        <w:rPr>
          <w:rFonts w:hint="cs"/>
          <w:sz w:val="27"/>
          <w:rtl/>
        </w:rPr>
        <w:t>الحس</w:t>
      </w:r>
      <w:r w:rsidR="008B612A" w:rsidRPr="00282AC9">
        <w:rPr>
          <w:rFonts w:hint="cs"/>
          <w:sz w:val="27"/>
          <w:rtl/>
        </w:rPr>
        <w:t>ّ</w:t>
      </w:r>
      <w:r w:rsidRPr="00282AC9">
        <w:rPr>
          <w:rFonts w:hint="cs"/>
          <w:sz w:val="27"/>
          <w:rtl/>
        </w:rPr>
        <w:t>ي</w:t>
      </w:r>
      <w:r w:rsidRPr="00282AC9">
        <w:rPr>
          <w:sz w:val="27"/>
          <w:rtl/>
        </w:rPr>
        <w:t xml:space="preserve"> </w:t>
      </w:r>
      <w:r w:rsidRPr="00282AC9">
        <w:rPr>
          <w:rFonts w:hint="cs"/>
          <w:sz w:val="27"/>
          <w:rtl/>
        </w:rPr>
        <w:t>الملموس</w:t>
      </w:r>
      <w:r w:rsidRPr="00282AC9">
        <w:rPr>
          <w:sz w:val="27"/>
          <w:rtl/>
        </w:rPr>
        <w:t xml:space="preserve"> </w:t>
      </w:r>
      <w:r w:rsidRPr="00282AC9">
        <w:rPr>
          <w:rFonts w:hint="cs"/>
          <w:sz w:val="27"/>
          <w:rtl/>
        </w:rPr>
        <w:t>المرئي</w:t>
      </w:r>
      <w:r w:rsidR="008B612A" w:rsidRPr="00282AC9">
        <w:rPr>
          <w:rFonts w:hint="cs"/>
          <w:sz w:val="27"/>
          <w:rtl/>
        </w:rPr>
        <w:t>ّ</w:t>
      </w:r>
      <w:r w:rsidRPr="00282AC9">
        <w:rPr>
          <w:sz w:val="27"/>
          <w:rtl/>
        </w:rPr>
        <w:t xml:space="preserve"> </w:t>
      </w:r>
      <w:r w:rsidRPr="00282AC9">
        <w:rPr>
          <w:rFonts w:hint="cs"/>
          <w:sz w:val="27"/>
          <w:rtl/>
        </w:rPr>
        <w:t>المسموع</w:t>
      </w:r>
      <w:r w:rsidR="008B612A" w:rsidRPr="00282AC9">
        <w:rPr>
          <w:rFonts w:hint="cs"/>
          <w:sz w:val="27"/>
          <w:rtl/>
        </w:rPr>
        <w:t>.</w:t>
      </w:r>
      <w:r w:rsidRPr="00282AC9">
        <w:rPr>
          <w:rFonts w:hint="cs"/>
          <w:sz w:val="27"/>
          <w:rtl/>
        </w:rPr>
        <w:t xml:space="preserve"> </w:t>
      </w:r>
      <w:r w:rsidR="008B612A" w:rsidRPr="00282AC9">
        <w:rPr>
          <w:rFonts w:hint="cs"/>
          <w:sz w:val="27"/>
          <w:rtl/>
        </w:rPr>
        <w:t>فكما أن</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أمرٌ</w:t>
      </w:r>
      <w:r w:rsidRPr="00282AC9">
        <w:rPr>
          <w:sz w:val="27"/>
          <w:rtl/>
        </w:rPr>
        <w:t xml:space="preserve"> </w:t>
      </w:r>
      <w:r w:rsidRPr="00282AC9">
        <w:rPr>
          <w:rFonts w:hint="cs"/>
          <w:sz w:val="27"/>
          <w:rtl/>
        </w:rPr>
        <w:t>واقعي</w:t>
      </w:r>
      <w:r w:rsidRPr="00282AC9">
        <w:rPr>
          <w:sz w:val="27"/>
          <w:rtl/>
        </w:rPr>
        <w:t xml:space="preserve"> </w:t>
      </w:r>
      <w:r w:rsidRPr="00282AC9">
        <w:rPr>
          <w:rFonts w:hint="cs"/>
          <w:sz w:val="27"/>
          <w:rtl/>
        </w:rPr>
        <w:t>ملموسٌ</w:t>
      </w:r>
      <w:r w:rsidRPr="00282AC9">
        <w:rPr>
          <w:sz w:val="27"/>
          <w:rtl/>
        </w:rPr>
        <w:t xml:space="preserve"> </w:t>
      </w:r>
      <w:r w:rsidRPr="00282AC9">
        <w:rPr>
          <w:rFonts w:hint="cs"/>
          <w:sz w:val="27"/>
          <w:rtl/>
        </w:rPr>
        <w:t>محسوسٌ</w:t>
      </w:r>
      <w:r w:rsidRPr="00282AC9">
        <w:rPr>
          <w:sz w:val="27"/>
          <w:rtl/>
        </w:rPr>
        <w:t xml:space="preserve"> </w:t>
      </w:r>
      <w:r w:rsidRPr="00282AC9">
        <w:rPr>
          <w:rFonts w:hint="cs"/>
          <w:sz w:val="27"/>
          <w:rtl/>
        </w:rPr>
        <w:t>مسموعٌ</w:t>
      </w:r>
      <w:r w:rsidRPr="00282AC9">
        <w:rPr>
          <w:sz w:val="27"/>
          <w:rtl/>
        </w:rPr>
        <w:t xml:space="preserve"> </w:t>
      </w:r>
      <w:r w:rsidRPr="00282AC9">
        <w:rPr>
          <w:rFonts w:hint="cs"/>
          <w:sz w:val="27"/>
          <w:rtl/>
        </w:rPr>
        <w:t>مرئي</w:t>
      </w:r>
      <w:r w:rsidR="008B612A" w:rsidRPr="00282AC9">
        <w:rPr>
          <w:rFonts w:hint="cs"/>
          <w:sz w:val="27"/>
          <w:rtl/>
        </w:rPr>
        <w:t>ّ</w:t>
      </w:r>
      <w:r w:rsidRPr="00282AC9">
        <w:rPr>
          <w:sz w:val="27"/>
          <w:rtl/>
        </w:rPr>
        <w:t xml:space="preserve"> </w:t>
      </w:r>
      <w:r w:rsidRPr="00282AC9">
        <w:rPr>
          <w:rFonts w:hint="cs"/>
          <w:sz w:val="27"/>
          <w:rtl/>
        </w:rPr>
        <w:t>كذلك</w:t>
      </w:r>
      <w:r w:rsidRPr="00282AC9">
        <w:rPr>
          <w:sz w:val="27"/>
          <w:rtl/>
        </w:rPr>
        <w:t xml:space="preserve"> </w:t>
      </w:r>
      <w:r w:rsidRPr="00282AC9">
        <w:rPr>
          <w:rFonts w:hint="cs"/>
          <w:sz w:val="27"/>
          <w:rtl/>
        </w:rPr>
        <w:t>الفتح</w:t>
      </w:r>
      <w:r w:rsidR="008B612A" w:rsidRPr="00282AC9">
        <w:rPr>
          <w:rFonts w:hint="cs"/>
          <w:sz w:val="27"/>
          <w:rtl/>
        </w:rPr>
        <w:t>؛</w:t>
      </w:r>
      <w:r w:rsidRPr="00282AC9">
        <w:rPr>
          <w:sz w:val="27"/>
          <w:rtl/>
        </w:rPr>
        <w:t xml:space="preserve"> </w:t>
      </w:r>
      <w:r w:rsidRPr="00282AC9">
        <w:rPr>
          <w:rFonts w:hint="cs"/>
          <w:sz w:val="27"/>
          <w:rtl/>
        </w:rPr>
        <w:t>فهو</w:t>
      </w:r>
      <w:r w:rsidRPr="00282AC9">
        <w:rPr>
          <w:sz w:val="27"/>
          <w:rtl/>
        </w:rPr>
        <w:t xml:space="preserve"> </w:t>
      </w:r>
      <w:r w:rsidRPr="00282AC9">
        <w:rPr>
          <w:rFonts w:hint="cs"/>
          <w:sz w:val="27"/>
          <w:rtl/>
        </w:rPr>
        <w:t>أعلى</w:t>
      </w:r>
      <w:r w:rsidRPr="00282AC9">
        <w:rPr>
          <w:sz w:val="27"/>
          <w:rtl/>
        </w:rPr>
        <w:t xml:space="preserve"> </w:t>
      </w:r>
      <w:r w:rsidRPr="00282AC9">
        <w:rPr>
          <w:rFonts w:hint="cs"/>
          <w:sz w:val="27"/>
          <w:rtl/>
        </w:rPr>
        <w:t>درجةً</w:t>
      </w:r>
      <w:r w:rsidRPr="00282AC9">
        <w:rPr>
          <w:sz w:val="27"/>
          <w:rtl/>
        </w:rPr>
        <w:t xml:space="preserve"> </w:t>
      </w:r>
      <w:r w:rsidRPr="00282AC9">
        <w:rPr>
          <w:rFonts w:hint="cs"/>
          <w:sz w:val="27"/>
          <w:rtl/>
        </w:rPr>
        <w:t>ورتبةً</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النصر</w:t>
      </w:r>
      <w:r w:rsidRPr="00282AC9">
        <w:rPr>
          <w:sz w:val="27"/>
          <w:rtl/>
        </w:rPr>
        <w:t>.</w:t>
      </w:r>
    </w:p>
    <w:p w:rsidR="00965E08" w:rsidRPr="00282AC9" w:rsidRDefault="00965E08" w:rsidP="003062B7">
      <w:pPr>
        <w:rPr>
          <w:sz w:val="27"/>
          <w:rtl/>
        </w:rPr>
      </w:pPr>
      <w:r w:rsidRPr="00282AC9">
        <w:rPr>
          <w:rFonts w:hint="cs"/>
          <w:sz w:val="27"/>
          <w:rtl/>
        </w:rPr>
        <w:t>وسورة</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واضحةٌ صريحةٌ</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هذا</w:t>
      </w:r>
      <w:r w:rsidRPr="00282AC9">
        <w:rPr>
          <w:sz w:val="27"/>
          <w:rtl/>
        </w:rPr>
        <w:t xml:space="preserve"> </w:t>
      </w:r>
      <w:r w:rsidRPr="00282AC9">
        <w:rPr>
          <w:rFonts w:hint="cs"/>
          <w:sz w:val="27"/>
          <w:rtl/>
        </w:rPr>
        <w:t>المعنى</w:t>
      </w:r>
      <w:r w:rsidR="008B612A" w:rsidRPr="00282AC9">
        <w:rPr>
          <w:rFonts w:hint="cs"/>
          <w:sz w:val="27"/>
          <w:rtl/>
        </w:rPr>
        <w:t xml:space="preserve">؛ </w:t>
      </w:r>
      <w:r w:rsidRPr="00282AC9">
        <w:rPr>
          <w:rFonts w:hint="cs"/>
          <w:sz w:val="27"/>
          <w:rtl/>
        </w:rPr>
        <w:t>إذ</w:t>
      </w:r>
      <w:r w:rsidRPr="00282AC9">
        <w:rPr>
          <w:sz w:val="27"/>
          <w:rtl/>
        </w:rPr>
        <w:t xml:space="preserve"> </w:t>
      </w:r>
      <w:r w:rsidRPr="00282AC9">
        <w:rPr>
          <w:rFonts w:hint="cs"/>
          <w:sz w:val="27"/>
          <w:rtl/>
        </w:rPr>
        <w:t>يقول تعالى</w:t>
      </w:r>
      <w:r w:rsidRPr="00282AC9">
        <w:rPr>
          <w:sz w:val="27"/>
          <w:rtl/>
        </w:rPr>
        <w:t xml:space="preserve">: </w:t>
      </w:r>
      <w:r w:rsidRPr="00282AC9">
        <w:rPr>
          <w:rFonts w:ascii="Mosawi" w:hAnsi="Mosawi" w:cs="Mosawi"/>
          <w:sz w:val="24"/>
          <w:szCs w:val="24"/>
          <w:rtl/>
        </w:rPr>
        <w:t>﴿</w:t>
      </w:r>
      <w:r w:rsidR="008B612A" w:rsidRPr="00282AC9">
        <w:rPr>
          <w:b/>
          <w:bCs/>
          <w:sz w:val="27"/>
          <w:rtl/>
        </w:rPr>
        <w:t xml:space="preserve">إِذَا جَاءَ نَصْرُ اللهِ وَالْفَتْحُ </w:t>
      </w:r>
      <w:r w:rsidR="008B612A" w:rsidRPr="00282AC9">
        <w:rPr>
          <w:rFonts w:hint="cs"/>
          <w:b/>
          <w:bCs/>
          <w:sz w:val="27"/>
          <w:rtl/>
        </w:rPr>
        <w:t>*</w:t>
      </w:r>
      <w:r w:rsidR="008B612A" w:rsidRPr="00282AC9">
        <w:rPr>
          <w:b/>
          <w:bCs/>
          <w:sz w:val="27"/>
          <w:rtl/>
        </w:rPr>
        <w:t xml:space="preserve"> وَرَأَيْتَ النَّاسَ يَدْخُلُونَ فِي دِينِ اللهِ أَفْوَاجاً </w:t>
      </w:r>
      <w:r w:rsidR="008B612A" w:rsidRPr="00282AC9">
        <w:rPr>
          <w:rFonts w:hint="cs"/>
          <w:b/>
          <w:bCs/>
          <w:sz w:val="27"/>
          <w:rtl/>
        </w:rPr>
        <w:t>*</w:t>
      </w:r>
      <w:r w:rsidR="008B612A" w:rsidRPr="00282AC9">
        <w:rPr>
          <w:b/>
          <w:bCs/>
          <w:sz w:val="27"/>
          <w:rtl/>
        </w:rPr>
        <w:t xml:space="preserve"> فَسَبِّحْ بِحَمْدِ رَبِّكَ وَاسْتَغْفِرْهُ إِنَّهُ كَانَ تَوَّاباً</w:t>
      </w:r>
      <w:r w:rsidRPr="00282AC9">
        <w:rPr>
          <w:rFonts w:ascii="Mosawi" w:hAnsi="Mosawi" w:cs="Mosawi"/>
          <w:sz w:val="24"/>
          <w:szCs w:val="24"/>
          <w:rtl/>
        </w:rPr>
        <w:t>﴾</w:t>
      </w:r>
      <w:r w:rsidRPr="00282AC9">
        <w:rPr>
          <w:rFonts w:asciiTheme="minorBidi" w:hAnsiTheme="minorBidi" w:hint="cs"/>
          <w:sz w:val="27"/>
          <w:rtl/>
        </w:rPr>
        <w:t xml:space="preserve"> (النصر: 1 ـ 3)</w:t>
      </w:r>
      <w:r w:rsidRPr="00282AC9">
        <w:rPr>
          <w:sz w:val="27"/>
          <w:rtl/>
        </w:rPr>
        <w:t xml:space="preserve">. </w:t>
      </w:r>
      <w:r w:rsidRPr="00282AC9">
        <w:rPr>
          <w:rFonts w:hint="cs"/>
          <w:sz w:val="27"/>
          <w:rtl/>
        </w:rPr>
        <w:t>فالنصر</w:t>
      </w:r>
      <w:r w:rsidRPr="00282AC9">
        <w:rPr>
          <w:sz w:val="27"/>
          <w:rtl/>
        </w:rPr>
        <w:t xml:space="preserve"> </w:t>
      </w:r>
      <w:r w:rsidRPr="00282AC9">
        <w:rPr>
          <w:rFonts w:hint="cs"/>
          <w:sz w:val="27"/>
          <w:rtl/>
        </w:rPr>
        <w:t>ذ</w:t>
      </w:r>
      <w:r w:rsidR="008B612A" w:rsidRPr="00282AC9">
        <w:rPr>
          <w:rFonts w:hint="cs"/>
          <w:sz w:val="27"/>
          <w:rtl/>
        </w:rPr>
        <w:t>ُ</w:t>
      </w:r>
      <w:r w:rsidRPr="00282AC9">
        <w:rPr>
          <w:rFonts w:hint="cs"/>
          <w:sz w:val="27"/>
          <w:rtl/>
        </w:rPr>
        <w:t>ك</w:t>
      </w:r>
      <w:r w:rsidR="008B612A" w:rsidRPr="00282AC9">
        <w:rPr>
          <w:rFonts w:hint="cs"/>
          <w:sz w:val="27"/>
          <w:rtl/>
        </w:rPr>
        <w:t>ِ</w:t>
      </w:r>
      <w:r w:rsidRPr="00282AC9">
        <w:rPr>
          <w:rFonts w:hint="cs"/>
          <w:sz w:val="27"/>
          <w:rtl/>
        </w:rPr>
        <w:t>ر</w:t>
      </w:r>
      <w:r w:rsidR="008B612A" w:rsidRPr="00282AC9">
        <w:rPr>
          <w:rFonts w:hint="cs"/>
          <w:sz w:val="27"/>
          <w:rtl/>
        </w:rPr>
        <w:t>َ</w:t>
      </w:r>
      <w:r w:rsidRPr="00282AC9">
        <w:rPr>
          <w:sz w:val="27"/>
          <w:rtl/>
        </w:rPr>
        <w:t xml:space="preserve"> </w:t>
      </w:r>
      <w:r w:rsidRPr="00282AC9">
        <w:rPr>
          <w:rFonts w:hint="cs"/>
          <w:sz w:val="27"/>
          <w:rtl/>
        </w:rPr>
        <w:t>قبل</w:t>
      </w:r>
      <w:r w:rsidRPr="00282AC9">
        <w:rPr>
          <w:sz w:val="27"/>
          <w:rtl/>
        </w:rPr>
        <w:t xml:space="preserve"> </w:t>
      </w:r>
      <w:r w:rsidRPr="00282AC9">
        <w:rPr>
          <w:rFonts w:hint="cs"/>
          <w:sz w:val="27"/>
          <w:rtl/>
        </w:rPr>
        <w:t>الفتح</w:t>
      </w:r>
      <w:r w:rsidR="008B612A" w:rsidRPr="00282AC9">
        <w:rPr>
          <w:rFonts w:hint="cs"/>
          <w:sz w:val="27"/>
          <w:rtl/>
        </w:rPr>
        <w:t>.</w:t>
      </w:r>
      <w:r w:rsidRPr="00282AC9">
        <w:rPr>
          <w:sz w:val="27"/>
          <w:rtl/>
        </w:rPr>
        <w:t xml:space="preserve"> </w:t>
      </w:r>
      <w:r w:rsidRPr="00282AC9">
        <w:rPr>
          <w:rFonts w:hint="cs"/>
          <w:sz w:val="27"/>
          <w:rtl/>
        </w:rPr>
        <w:t>وهذا</w:t>
      </w:r>
      <w:r w:rsidRPr="00282AC9">
        <w:rPr>
          <w:sz w:val="27"/>
          <w:rtl/>
        </w:rPr>
        <w:t xml:space="preserve"> </w:t>
      </w:r>
      <w:r w:rsidRPr="00282AC9">
        <w:rPr>
          <w:rFonts w:hint="cs"/>
          <w:sz w:val="27"/>
          <w:rtl/>
        </w:rPr>
        <w:t>الترتيب</w:t>
      </w:r>
      <w:r w:rsidRPr="00282AC9">
        <w:rPr>
          <w:sz w:val="27"/>
          <w:rtl/>
        </w:rPr>
        <w:t xml:space="preserve"> </w:t>
      </w:r>
      <w:r w:rsidRPr="00282AC9">
        <w:rPr>
          <w:rFonts w:hint="cs"/>
          <w:sz w:val="27"/>
          <w:rtl/>
        </w:rPr>
        <w:t>ي</w:t>
      </w:r>
      <w:r w:rsidR="008B612A" w:rsidRPr="00282AC9">
        <w:rPr>
          <w:rFonts w:hint="cs"/>
          <w:sz w:val="27"/>
          <w:rtl/>
        </w:rPr>
        <w:t>ُ</w:t>
      </w:r>
      <w:r w:rsidRPr="00282AC9">
        <w:rPr>
          <w:rFonts w:hint="cs"/>
          <w:sz w:val="27"/>
          <w:rtl/>
        </w:rPr>
        <w:t>ش</w:t>
      </w:r>
      <w:r w:rsidR="008B612A" w:rsidRPr="00282AC9">
        <w:rPr>
          <w:rFonts w:hint="cs"/>
          <w:sz w:val="27"/>
          <w:rtl/>
        </w:rPr>
        <w:t>ْ</w:t>
      </w:r>
      <w:r w:rsidRPr="00282AC9">
        <w:rPr>
          <w:rFonts w:hint="cs"/>
          <w:sz w:val="27"/>
          <w:rtl/>
        </w:rPr>
        <w:t>ع</w:t>
      </w:r>
      <w:r w:rsidR="008B612A" w:rsidRPr="00282AC9">
        <w:rPr>
          <w:rFonts w:hint="cs"/>
          <w:sz w:val="27"/>
          <w:rtl/>
        </w:rPr>
        <w:t>ِ</w:t>
      </w:r>
      <w:r w:rsidRPr="00282AC9">
        <w:rPr>
          <w:rFonts w:hint="cs"/>
          <w:sz w:val="27"/>
          <w:rtl/>
        </w:rPr>
        <w:t>ر</w:t>
      </w:r>
      <w:r w:rsidRPr="00282AC9">
        <w:rPr>
          <w:sz w:val="27"/>
          <w:rtl/>
        </w:rPr>
        <w:t xml:space="preserve"> </w:t>
      </w:r>
      <w:r w:rsidRPr="00282AC9">
        <w:rPr>
          <w:rFonts w:hint="cs"/>
          <w:sz w:val="27"/>
          <w:rtl/>
        </w:rPr>
        <w:t>بأن</w:t>
      </w:r>
      <w:r w:rsidRPr="00282AC9">
        <w:rPr>
          <w:sz w:val="27"/>
          <w:rtl/>
        </w:rPr>
        <w:t xml:space="preserve"> </w:t>
      </w:r>
      <w:r w:rsidRPr="00282AC9">
        <w:rPr>
          <w:rFonts w:hint="cs"/>
          <w:sz w:val="27"/>
          <w:rtl/>
        </w:rPr>
        <w:t>الفتح</w:t>
      </w:r>
      <w:r w:rsidRPr="00282AC9">
        <w:rPr>
          <w:sz w:val="27"/>
          <w:rtl/>
        </w:rPr>
        <w:t xml:space="preserve"> </w:t>
      </w:r>
      <w:r w:rsidRPr="00282AC9">
        <w:rPr>
          <w:rFonts w:hint="cs"/>
          <w:sz w:val="27"/>
          <w:rtl/>
        </w:rPr>
        <w:t>أعلى</w:t>
      </w:r>
      <w:r w:rsidRPr="00282AC9">
        <w:rPr>
          <w:sz w:val="27"/>
          <w:rtl/>
        </w:rPr>
        <w:t xml:space="preserve"> </w:t>
      </w:r>
      <w:r w:rsidRPr="00282AC9">
        <w:rPr>
          <w:rFonts w:hint="cs"/>
          <w:sz w:val="27"/>
          <w:rtl/>
        </w:rPr>
        <w:t>رتبةً</w:t>
      </w:r>
      <w:r w:rsidRPr="00282AC9">
        <w:rPr>
          <w:sz w:val="27"/>
          <w:rtl/>
        </w:rPr>
        <w:t>.</w:t>
      </w:r>
    </w:p>
    <w:p w:rsidR="00965E08" w:rsidRPr="00282AC9" w:rsidRDefault="00527DEE" w:rsidP="003062B7">
      <w:pPr>
        <w:rPr>
          <w:sz w:val="27"/>
          <w:rtl/>
        </w:rPr>
      </w:pPr>
      <w:r w:rsidRPr="00282AC9">
        <w:rPr>
          <w:rFonts w:hint="cs"/>
          <w:sz w:val="27"/>
          <w:rtl/>
        </w:rPr>
        <w:lastRenderedPageBreak/>
        <w:t>مع الإشارة إلى</w:t>
      </w:r>
      <w:r w:rsidR="00965E08" w:rsidRPr="00282AC9">
        <w:rPr>
          <w:sz w:val="27"/>
          <w:rtl/>
        </w:rPr>
        <w:t xml:space="preserve"> </w:t>
      </w:r>
      <w:r w:rsidR="00965E08" w:rsidRPr="00282AC9">
        <w:rPr>
          <w:rFonts w:hint="cs"/>
          <w:sz w:val="27"/>
          <w:rtl/>
        </w:rPr>
        <w:t>أنه</w:t>
      </w:r>
      <w:r w:rsidR="00965E08" w:rsidRPr="00282AC9">
        <w:rPr>
          <w:sz w:val="27"/>
          <w:rtl/>
        </w:rPr>
        <w:t xml:space="preserve"> </w:t>
      </w:r>
      <w:r w:rsidR="00965E08" w:rsidRPr="00282AC9">
        <w:rPr>
          <w:rFonts w:hint="cs"/>
          <w:sz w:val="27"/>
          <w:rtl/>
        </w:rPr>
        <w:t>ليس</w:t>
      </w:r>
      <w:r w:rsidR="00965E08" w:rsidRPr="00282AC9">
        <w:rPr>
          <w:sz w:val="27"/>
          <w:rtl/>
        </w:rPr>
        <w:t xml:space="preserve"> </w:t>
      </w:r>
      <w:r w:rsidRPr="00282AC9">
        <w:rPr>
          <w:rFonts w:hint="cs"/>
          <w:sz w:val="27"/>
          <w:rtl/>
        </w:rPr>
        <w:t>من الضروريّ</w:t>
      </w:r>
      <w:r w:rsidR="00965E08" w:rsidRPr="00282AC9">
        <w:rPr>
          <w:sz w:val="27"/>
          <w:rtl/>
        </w:rPr>
        <w:t xml:space="preserve"> </w:t>
      </w:r>
      <w:r w:rsidR="00965E08" w:rsidRPr="00282AC9">
        <w:rPr>
          <w:rFonts w:hint="cs"/>
          <w:sz w:val="27"/>
          <w:rtl/>
        </w:rPr>
        <w:t>دائماً</w:t>
      </w:r>
      <w:r w:rsidR="00965E08" w:rsidRPr="00282AC9">
        <w:rPr>
          <w:sz w:val="27"/>
          <w:rtl/>
        </w:rPr>
        <w:t xml:space="preserve"> </w:t>
      </w:r>
      <w:r w:rsidR="00965E08" w:rsidRPr="00282AC9">
        <w:rPr>
          <w:rFonts w:hint="cs"/>
          <w:sz w:val="27"/>
          <w:rtl/>
        </w:rPr>
        <w:t>أن</w:t>
      </w:r>
      <w:r w:rsidR="00965E08" w:rsidRPr="00282AC9">
        <w:rPr>
          <w:sz w:val="27"/>
          <w:rtl/>
        </w:rPr>
        <w:t xml:space="preserve"> </w:t>
      </w:r>
      <w:r w:rsidR="00965E08" w:rsidRPr="00282AC9">
        <w:rPr>
          <w:rFonts w:hint="cs"/>
          <w:sz w:val="27"/>
          <w:rtl/>
        </w:rPr>
        <w:t>يكون</w:t>
      </w:r>
      <w:r w:rsidR="00965E08" w:rsidRPr="00282AC9">
        <w:rPr>
          <w:sz w:val="27"/>
          <w:rtl/>
        </w:rPr>
        <w:t xml:space="preserve"> </w:t>
      </w:r>
      <w:r w:rsidRPr="00282AC9">
        <w:rPr>
          <w:rFonts w:hint="cs"/>
          <w:sz w:val="27"/>
          <w:rtl/>
        </w:rPr>
        <w:t xml:space="preserve">في </w:t>
      </w:r>
      <w:r w:rsidR="00965E08" w:rsidRPr="00282AC9">
        <w:rPr>
          <w:rFonts w:hint="cs"/>
          <w:sz w:val="27"/>
          <w:rtl/>
        </w:rPr>
        <w:t>الترتيب</w:t>
      </w:r>
      <w:r w:rsidR="00965E08" w:rsidRPr="00282AC9">
        <w:rPr>
          <w:sz w:val="27"/>
          <w:rtl/>
        </w:rPr>
        <w:t xml:space="preserve"> </w:t>
      </w:r>
      <w:r w:rsidR="00965E08" w:rsidRPr="00282AC9">
        <w:rPr>
          <w:rFonts w:hint="cs"/>
          <w:sz w:val="27"/>
          <w:rtl/>
        </w:rPr>
        <w:t>في</w:t>
      </w:r>
      <w:r w:rsidR="00965E08" w:rsidRPr="00282AC9">
        <w:rPr>
          <w:sz w:val="27"/>
          <w:rtl/>
        </w:rPr>
        <w:t xml:space="preserve"> </w:t>
      </w:r>
      <w:r w:rsidR="00965E08" w:rsidRPr="00282AC9">
        <w:rPr>
          <w:rFonts w:hint="cs"/>
          <w:sz w:val="27"/>
          <w:rtl/>
        </w:rPr>
        <w:t>الذكر</w:t>
      </w:r>
      <w:r w:rsidR="00965E08" w:rsidRPr="00282AC9">
        <w:rPr>
          <w:sz w:val="27"/>
          <w:rtl/>
        </w:rPr>
        <w:t xml:space="preserve"> </w:t>
      </w:r>
      <w:r w:rsidR="00965E08" w:rsidRPr="00282AC9">
        <w:rPr>
          <w:rFonts w:hint="cs"/>
          <w:sz w:val="27"/>
          <w:rtl/>
        </w:rPr>
        <w:t>في</w:t>
      </w:r>
      <w:r w:rsidR="00965E08" w:rsidRPr="00282AC9">
        <w:rPr>
          <w:sz w:val="27"/>
          <w:rtl/>
        </w:rPr>
        <w:t xml:space="preserve"> </w:t>
      </w:r>
      <w:r w:rsidR="00965E08" w:rsidRPr="00282AC9">
        <w:rPr>
          <w:rFonts w:hint="cs"/>
          <w:sz w:val="27"/>
          <w:rtl/>
        </w:rPr>
        <w:t>الكلام</w:t>
      </w:r>
      <w:r w:rsidR="00965E08" w:rsidRPr="00282AC9">
        <w:rPr>
          <w:sz w:val="27"/>
          <w:rtl/>
        </w:rPr>
        <w:t xml:space="preserve"> </w:t>
      </w:r>
      <w:r w:rsidR="00965E08" w:rsidRPr="00282AC9">
        <w:rPr>
          <w:rFonts w:hint="cs"/>
          <w:sz w:val="27"/>
          <w:rtl/>
        </w:rPr>
        <w:t>دلالةٌ</w:t>
      </w:r>
      <w:r w:rsidR="00965E08" w:rsidRPr="00282AC9">
        <w:rPr>
          <w:sz w:val="27"/>
          <w:rtl/>
        </w:rPr>
        <w:t xml:space="preserve"> </w:t>
      </w:r>
      <w:r w:rsidR="00965E08" w:rsidRPr="00282AC9">
        <w:rPr>
          <w:rFonts w:hint="cs"/>
          <w:sz w:val="27"/>
          <w:rtl/>
        </w:rPr>
        <w:t>على</w:t>
      </w:r>
      <w:r w:rsidR="00965E08" w:rsidRPr="00282AC9">
        <w:rPr>
          <w:sz w:val="27"/>
          <w:rtl/>
        </w:rPr>
        <w:t xml:space="preserve"> </w:t>
      </w:r>
      <w:r w:rsidR="00965E08" w:rsidRPr="00282AC9">
        <w:rPr>
          <w:rFonts w:hint="cs"/>
          <w:sz w:val="27"/>
          <w:rtl/>
        </w:rPr>
        <w:t>أن</w:t>
      </w:r>
      <w:r w:rsidR="00965E08" w:rsidRPr="00282AC9">
        <w:rPr>
          <w:sz w:val="27"/>
          <w:rtl/>
        </w:rPr>
        <w:t xml:space="preserve"> </w:t>
      </w:r>
      <w:r w:rsidR="00965E08" w:rsidRPr="00282AC9">
        <w:rPr>
          <w:rFonts w:hint="cs"/>
          <w:sz w:val="27"/>
          <w:rtl/>
        </w:rPr>
        <w:t>الذي</w:t>
      </w:r>
      <w:r w:rsidR="00965E08" w:rsidRPr="00282AC9">
        <w:rPr>
          <w:sz w:val="27"/>
          <w:rtl/>
        </w:rPr>
        <w:t xml:space="preserve"> </w:t>
      </w:r>
      <w:r w:rsidR="00965E08" w:rsidRPr="00282AC9">
        <w:rPr>
          <w:rFonts w:hint="cs"/>
          <w:sz w:val="27"/>
          <w:rtl/>
        </w:rPr>
        <w:t>ذ</w:t>
      </w:r>
      <w:r w:rsidRPr="00282AC9">
        <w:rPr>
          <w:rFonts w:hint="cs"/>
          <w:sz w:val="27"/>
          <w:rtl/>
        </w:rPr>
        <w:t>ُ</w:t>
      </w:r>
      <w:r w:rsidR="00965E08" w:rsidRPr="00282AC9">
        <w:rPr>
          <w:rFonts w:hint="cs"/>
          <w:sz w:val="27"/>
          <w:rtl/>
        </w:rPr>
        <w:t>ك</w:t>
      </w:r>
      <w:r w:rsidRPr="00282AC9">
        <w:rPr>
          <w:rFonts w:hint="cs"/>
          <w:sz w:val="27"/>
          <w:rtl/>
        </w:rPr>
        <w:t>ِ</w:t>
      </w:r>
      <w:r w:rsidR="00965E08" w:rsidRPr="00282AC9">
        <w:rPr>
          <w:rFonts w:hint="cs"/>
          <w:sz w:val="27"/>
          <w:rtl/>
        </w:rPr>
        <w:t>ر</w:t>
      </w:r>
      <w:r w:rsidR="00965E08" w:rsidRPr="00282AC9">
        <w:rPr>
          <w:sz w:val="27"/>
          <w:rtl/>
        </w:rPr>
        <w:t xml:space="preserve"> </w:t>
      </w:r>
      <w:r w:rsidR="00965E08" w:rsidRPr="00282AC9">
        <w:rPr>
          <w:rFonts w:hint="cs"/>
          <w:sz w:val="27"/>
          <w:rtl/>
        </w:rPr>
        <w:t>أو</w:t>
      </w:r>
      <w:r w:rsidRPr="00282AC9">
        <w:rPr>
          <w:rFonts w:hint="cs"/>
          <w:sz w:val="27"/>
          <w:rtl/>
        </w:rPr>
        <w:t>ّ</w:t>
      </w:r>
      <w:r w:rsidR="00965E08" w:rsidRPr="00282AC9">
        <w:rPr>
          <w:rFonts w:hint="cs"/>
          <w:sz w:val="27"/>
          <w:rtl/>
        </w:rPr>
        <w:t>لاً</w:t>
      </w:r>
      <w:r w:rsidR="00965E08" w:rsidRPr="00282AC9">
        <w:rPr>
          <w:sz w:val="27"/>
          <w:rtl/>
        </w:rPr>
        <w:t xml:space="preserve"> </w:t>
      </w:r>
      <w:r w:rsidR="00965E08" w:rsidRPr="00282AC9">
        <w:rPr>
          <w:rFonts w:hint="cs"/>
          <w:sz w:val="27"/>
          <w:rtl/>
        </w:rPr>
        <w:t>هو</w:t>
      </w:r>
      <w:r w:rsidR="00965E08" w:rsidRPr="00282AC9">
        <w:rPr>
          <w:sz w:val="27"/>
          <w:rtl/>
        </w:rPr>
        <w:t xml:space="preserve"> </w:t>
      </w:r>
      <w:r w:rsidR="00965E08" w:rsidRPr="00282AC9">
        <w:rPr>
          <w:rFonts w:hint="cs"/>
          <w:sz w:val="27"/>
          <w:rtl/>
        </w:rPr>
        <w:t>أدنى</w:t>
      </w:r>
      <w:r w:rsidR="00965E08" w:rsidRPr="00282AC9">
        <w:rPr>
          <w:sz w:val="27"/>
          <w:rtl/>
        </w:rPr>
        <w:t xml:space="preserve"> </w:t>
      </w:r>
      <w:r w:rsidR="00965E08" w:rsidRPr="00282AC9">
        <w:rPr>
          <w:rFonts w:hint="cs"/>
          <w:sz w:val="27"/>
          <w:rtl/>
        </w:rPr>
        <w:t>رتبةً</w:t>
      </w:r>
      <w:r w:rsidRPr="00282AC9">
        <w:rPr>
          <w:rFonts w:hint="cs"/>
          <w:sz w:val="27"/>
          <w:rtl/>
        </w:rPr>
        <w:t xml:space="preserve">؛ </w:t>
      </w:r>
      <w:r w:rsidR="00965E08" w:rsidRPr="00282AC9">
        <w:rPr>
          <w:rFonts w:hint="cs"/>
          <w:sz w:val="27"/>
          <w:rtl/>
        </w:rPr>
        <w:t>فقد</w:t>
      </w:r>
      <w:r w:rsidR="00965E08" w:rsidRPr="00282AC9">
        <w:rPr>
          <w:sz w:val="27"/>
          <w:rtl/>
        </w:rPr>
        <w:t xml:space="preserve"> </w:t>
      </w:r>
      <w:r w:rsidR="00965E08" w:rsidRPr="00282AC9">
        <w:rPr>
          <w:rFonts w:hint="cs"/>
          <w:sz w:val="27"/>
          <w:rtl/>
        </w:rPr>
        <w:t>يكون</w:t>
      </w:r>
      <w:r w:rsidR="00965E08" w:rsidRPr="00282AC9">
        <w:rPr>
          <w:sz w:val="27"/>
          <w:rtl/>
        </w:rPr>
        <w:t xml:space="preserve"> </w:t>
      </w:r>
      <w:r w:rsidR="00965E08" w:rsidRPr="00282AC9">
        <w:rPr>
          <w:rFonts w:hint="cs"/>
          <w:sz w:val="27"/>
          <w:rtl/>
        </w:rPr>
        <w:t>بالعكس</w:t>
      </w:r>
      <w:r w:rsidR="00965E08" w:rsidRPr="00282AC9">
        <w:rPr>
          <w:sz w:val="27"/>
          <w:rtl/>
        </w:rPr>
        <w:t xml:space="preserve">. </w:t>
      </w:r>
      <w:r w:rsidRPr="00282AC9">
        <w:rPr>
          <w:rFonts w:hint="cs"/>
          <w:sz w:val="27"/>
          <w:rtl/>
        </w:rPr>
        <w:t>ولكنْ هنا</w:t>
      </w:r>
      <w:r w:rsidR="00965E08" w:rsidRPr="00282AC9">
        <w:rPr>
          <w:sz w:val="27"/>
          <w:rtl/>
        </w:rPr>
        <w:t xml:space="preserve"> </w:t>
      </w:r>
      <w:r w:rsidR="00965E08" w:rsidRPr="00282AC9">
        <w:rPr>
          <w:rFonts w:hint="cs"/>
          <w:sz w:val="27"/>
          <w:rtl/>
        </w:rPr>
        <w:t>إذا</w:t>
      </w:r>
      <w:r w:rsidR="00965E08" w:rsidRPr="00282AC9">
        <w:rPr>
          <w:sz w:val="27"/>
          <w:rtl/>
        </w:rPr>
        <w:t xml:space="preserve"> </w:t>
      </w:r>
      <w:r w:rsidR="00965E08" w:rsidRPr="00282AC9">
        <w:rPr>
          <w:rFonts w:hint="cs"/>
          <w:sz w:val="27"/>
          <w:rtl/>
        </w:rPr>
        <w:t>نظ</w:t>
      </w:r>
      <w:r w:rsidRPr="00282AC9">
        <w:rPr>
          <w:rFonts w:hint="cs"/>
          <w:sz w:val="27"/>
          <w:rtl/>
        </w:rPr>
        <w:t>َ</w:t>
      </w:r>
      <w:r w:rsidR="00965E08" w:rsidRPr="00282AC9">
        <w:rPr>
          <w:rFonts w:hint="cs"/>
          <w:sz w:val="27"/>
          <w:rtl/>
        </w:rPr>
        <w:t>ر</w:t>
      </w:r>
      <w:r w:rsidRPr="00282AC9">
        <w:rPr>
          <w:rFonts w:hint="cs"/>
          <w:sz w:val="27"/>
          <w:rtl/>
        </w:rPr>
        <w:t>ْ</w:t>
      </w:r>
      <w:r w:rsidR="00965E08" w:rsidRPr="00282AC9">
        <w:rPr>
          <w:rFonts w:hint="cs"/>
          <w:sz w:val="27"/>
          <w:rtl/>
        </w:rPr>
        <w:t>نا</w:t>
      </w:r>
      <w:r w:rsidR="00965E08" w:rsidRPr="00282AC9">
        <w:rPr>
          <w:sz w:val="27"/>
          <w:rtl/>
        </w:rPr>
        <w:t xml:space="preserve"> </w:t>
      </w:r>
      <w:r w:rsidR="00965E08" w:rsidRPr="00282AC9">
        <w:rPr>
          <w:rFonts w:hint="cs"/>
          <w:sz w:val="27"/>
          <w:rtl/>
        </w:rPr>
        <w:t>إلى</w:t>
      </w:r>
      <w:r w:rsidR="00965E08" w:rsidRPr="00282AC9">
        <w:rPr>
          <w:sz w:val="27"/>
          <w:rtl/>
        </w:rPr>
        <w:t xml:space="preserve"> </w:t>
      </w:r>
      <w:r w:rsidR="00965E08" w:rsidRPr="00282AC9">
        <w:rPr>
          <w:rFonts w:hint="cs"/>
          <w:sz w:val="27"/>
          <w:rtl/>
        </w:rPr>
        <w:t>بنية</w:t>
      </w:r>
      <w:r w:rsidR="00965E08" w:rsidRPr="00282AC9">
        <w:rPr>
          <w:sz w:val="27"/>
          <w:rtl/>
        </w:rPr>
        <w:t xml:space="preserve"> </w:t>
      </w:r>
      <w:r w:rsidR="00965E08" w:rsidRPr="00282AC9">
        <w:rPr>
          <w:rFonts w:hint="cs"/>
          <w:sz w:val="27"/>
          <w:rtl/>
        </w:rPr>
        <w:t>سورة</w:t>
      </w:r>
      <w:r w:rsidR="00965E08" w:rsidRPr="00282AC9">
        <w:rPr>
          <w:sz w:val="27"/>
          <w:rtl/>
        </w:rPr>
        <w:t xml:space="preserve"> </w:t>
      </w:r>
      <w:r w:rsidR="00965E08" w:rsidRPr="00282AC9">
        <w:rPr>
          <w:rFonts w:hint="cs"/>
          <w:sz w:val="27"/>
          <w:rtl/>
        </w:rPr>
        <w:t>النصر</w:t>
      </w:r>
      <w:r w:rsidR="00965E08" w:rsidRPr="00282AC9">
        <w:rPr>
          <w:sz w:val="27"/>
          <w:rtl/>
        </w:rPr>
        <w:t xml:space="preserve"> </w:t>
      </w:r>
      <w:r w:rsidR="00965E08" w:rsidRPr="00282AC9">
        <w:rPr>
          <w:rFonts w:hint="cs"/>
          <w:sz w:val="27"/>
          <w:rtl/>
        </w:rPr>
        <w:t>بالكامل</w:t>
      </w:r>
      <w:r w:rsidR="00965E08" w:rsidRPr="00282AC9">
        <w:rPr>
          <w:sz w:val="27"/>
          <w:rtl/>
        </w:rPr>
        <w:t xml:space="preserve"> </w:t>
      </w:r>
      <w:r w:rsidR="00965E08" w:rsidRPr="00282AC9">
        <w:rPr>
          <w:rFonts w:hint="cs"/>
          <w:sz w:val="27"/>
          <w:rtl/>
        </w:rPr>
        <w:t>فإن</w:t>
      </w:r>
      <w:r w:rsidRPr="00282AC9">
        <w:rPr>
          <w:rFonts w:hint="cs"/>
          <w:sz w:val="27"/>
          <w:rtl/>
        </w:rPr>
        <w:t>ّ</w:t>
      </w:r>
      <w:r w:rsidR="00965E08" w:rsidRPr="00282AC9">
        <w:rPr>
          <w:sz w:val="27"/>
          <w:rtl/>
        </w:rPr>
        <w:t xml:space="preserve"> </w:t>
      </w:r>
      <w:r w:rsidR="00965E08" w:rsidRPr="00282AC9">
        <w:rPr>
          <w:rFonts w:hint="cs"/>
          <w:sz w:val="27"/>
          <w:rtl/>
        </w:rPr>
        <w:t>هذا</w:t>
      </w:r>
      <w:r w:rsidR="00965E08" w:rsidRPr="00282AC9">
        <w:rPr>
          <w:sz w:val="27"/>
          <w:rtl/>
        </w:rPr>
        <w:t xml:space="preserve"> </w:t>
      </w:r>
      <w:r w:rsidR="00965E08" w:rsidRPr="00282AC9">
        <w:rPr>
          <w:rFonts w:hint="cs"/>
          <w:sz w:val="27"/>
          <w:rtl/>
        </w:rPr>
        <w:t>الترتيب</w:t>
      </w:r>
      <w:r w:rsidR="00965E08" w:rsidRPr="00282AC9">
        <w:rPr>
          <w:sz w:val="27"/>
          <w:rtl/>
        </w:rPr>
        <w:t xml:space="preserve"> </w:t>
      </w:r>
      <w:r w:rsidR="00965E08" w:rsidRPr="00282AC9">
        <w:rPr>
          <w:rFonts w:hint="cs"/>
          <w:sz w:val="27"/>
          <w:rtl/>
        </w:rPr>
        <w:t>ي</w:t>
      </w:r>
      <w:r w:rsidRPr="00282AC9">
        <w:rPr>
          <w:rFonts w:hint="cs"/>
          <w:sz w:val="27"/>
          <w:rtl/>
        </w:rPr>
        <w:t>ُ</w:t>
      </w:r>
      <w:r w:rsidR="00965E08" w:rsidRPr="00282AC9">
        <w:rPr>
          <w:rFonts w:hint="cs"/>
          <w:sz w:val="27"/>
          <w:rtl/>
        </w:rPr>
        <w:t>ش</w:t>
      </w:r>
      <w:r w:rsidRPr="00282AC9">
        <w:rPr>
          <w:rFonts w:hint="cs"/>
          <w:sz w:val="27"/>
          <w:rtl/>
        </w:rPr>
        <w:t>ْ</w:t>
      </w:r>
      <w:r w:rsidR="00965E08" w:rsidRPr="00282AC9">
        <w:rPr>
          <w:rFonts w:hint="cs"/>
          <w:sz w:val="27"/>
          <w:rtl/>
        </w:rPr>
        <w:t>ع</w:t>
      </w:r>
      <w:r w:rsidRPr="00282AC9">
        <w:rPr>
          <w:rFonts w:hint="cs"/>
          <w:sz w:val="27"/>
          <w:rtl/>
        </w:rPr>
        <w:t>ِ</w:t>
      </w:r>
      <w:r w:rsidR="00965E08" w:rsidRPr="00282AC9">
        <w:rPr>
          <w:rFonts w:hint="cs"/>
          <w:sz w:val="27"/>
          <w:rtl/>
        </w:rPr>
        <w:t>ر</w:t>
      </w:r>
      <w:r w:rsidRPr="00282AC9">
        <w:rPr>
          <w:rFonts w:hint="cs"/>
          <w:sz w:val="27"/>
          <w:rtl/>
        </w:rPr>
        <w:t>ُ</w:t>
      </w:r>
      <w:r w:rsidR="00965E08" w:rsidRPr="00282AC9">
        <w:rPr>
          <w:rFonts w:hint="cs"/>
          <w:sz w:val="27"/>
          <w:rtl/>
        </w:rPr>
        <w:t>نا</w:t>
      </w:r>
      <w:r w:rsidR="00965E08" w:rsidRPr="00282AC9">
        <w:rPr>
          <w:sz w:val="27"/>
          <w:rtl/>
        </w:rPr>
        <w:t xml:space="preserve"> </w:t>
      </w:r>
      <w:r w:rsidR="00965E08" w:rsidRPr="00282AC9">
        <w:rPr>
          <w:rFonts w:hint="cs"/>
          <w:sz w:val="27"/>
          <w:rtl/>
        </w:rPr>
        <w:t>بهذه</w:t>
      </w:r>
      <w:r w:rsidR="00965E08" w:rsidRPr="00282AC9">
        <w:rPr>
          <w:sz w:val="27"/>
          <w:rtl/>
        </w:rPr>
        <w:t xml:space="preserve"> </w:t>
      </w:r>
      <w:r w:rsidR="00965E08" w:rsidRPr="00282AC9">
        <w:rPr>
          <w:rFonts w:hint="cs"/>
          <w:sz w:val="27"/>
          <w:rtl/>
        </w:rPr>
        <w:t>الحقيقة</w:t>
      </w:r>
      <w:r w:rsidRPr="00282AC9">
        <w:rPr>
          <w:rFonts w:hint="cs"/>
          <w:sz w:val="27"/>
          <w:rtl/>
        </w:rPr>
        <w:t>، وهي</w:t>
      </w:r>
      <w:r w:rsidR="00965E08" w:rsidRPr="00282AC9">
        <w:rPr>
          <w:sz w:val="27"/>
          <w:rtl/>
        </w:rPr>
        <w:t xml:space="preserve"> </w:t>
      </w:r>
      <w:r w:rsidR="00965E08" w:rsidRPr="00282AC9">
        <w:rPr>
          <w:rFonts w:hint="cs"/>
          <w:sz w:val="27"/>
          <w:rtl/>
        </w:rPr>
        <w:t>أن</w:t>
      </w:r>
      <w:r w:rsidR="00965E08" w:rsidRPr="00282AC9">
        <w:rPr>
          <w:sz w:val="27"/>
          <w:rtl/>
        </w:rPr>
        <w:t xml:space="preserve"> </w:t>
      </w:r>
      <w:r w:rsidR="00965E08" w:rsidRPr="00282AC9">
        <w:rPr>
          <w:rFonts w:hint="cs"/>
          <w:sz w:val="27"/>
          <w:rtl/>
        </w:rPr>
        <w:t>الفتح</w:t>
      </w:r>
      <w:r w:rsidR="00965E08" w:rsidRPr="00282AC9">
        <w:rPr>
          <w:sz w:val="27"/>
          <w:rtl/>
        </w:rPr>
        <w:t xml:space="preserve"> </w:t>
      </w:r>
      <w:r w:rsidR="00965E08" w:rsidRPr="00282AC9">
        <w:rPr>
          <w:rFonts w:hint="cs"/>
          <w:sz w:val="27"/>
          <w:rtl/>
        </w:rPr>
        <w:t>أعلى</w:t>
      </w:r>
      <w:r w:rsidR="00965E08" w:rsidRPr="00282AC9">
        <w:rPr>
          <w:sz w:val="27"/>
          <w:rtl/>
        </w:rPr>
        <w:t xml:space="preserve"> </w:t>
      </w:r>
      <w:r w:rsidR="00965E08" w:rsidRPr="00282AC9">
        <w:rPr>
          <w:rFonts w:hint="cs"/>
          <w:sz w:val="27"/>
          <w:rtl/>
        </w:rPr>
        <w:t>رتبةً</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النصر</w:t>
      </w:r>
      <w:r w:rsidR="00965E08" w:rsidRPr="00282AC9">
        <w:rPr>
          <w:sz w:val="27"/>
          <w:rtl/>
        </w:rPr>
        <w:t xml:space="preserve">. </w:t>
      </w:r>
    </w:p>
    <w:p w:rsidR="00965E08" w:rsidRPr="00282AC9" w:rsidRDefault="00965E08" w:rsidP="003062B7">
      <w:pPr>
        <w:rPr>
          <w:sz w:val="27"/>
          <w:rtl/>
        </w:rPr>
      </w:pPr>
      <w:r w:rsidRPr="00282AC9">
        <w:rPr>
          <w:rFonts w:hint="cs"/>
          <w:sz w:val="27"/>
          <w:rtl/>
        </w:rPr>
        <w:t>وقوله</w:t>
      </w:r>
      <w:r w:rsidRPr="00282AC9">
        <w:rPr>
          <w:sz w:val="27"/>
          <w:rtl/>
        </w:rPr>
        <w:t xml:space="preserve">: </w:t>
      </w:r>
      <w:r w:rsidRPr="00282AC9">
        <w:rPr>
          <w:rFonts w:ascii="Mosawi" w:hAnsi="Mosawi" w:cs="Mosawi"/>
          <w:sz w:val="24"/>
          <w:szCs w:val="24"/>
          <w:rtl/>
        </w:rPr>
        <w:t>﴿</w:t>
      </w:r>
      <w:r w:rsidR="00527DEE" w:rsidRPr="00282AC9">
        <w:rPr>
          <w:b/>
          <w:bCs/>
          <w:sz w:val="27"/>
          <w:rtl/>
        </w:rPr>
        <w:t>وَرَأَيْتَ النَّاسَ يَدْخُلُونَ فِي دِينِ اللهِ أَفْوَاجاً</w:t>
      </w:r>
      <w:r w:rsidRPr="00282AC9">
        <w:rPr>
          <w:rFonts w:ascii="Mosawi" w:hAnsi="Mosawi" w:cs="Mosawi"/>
          <w:sz w:val="24"/>
          <w:szCs w:val="24"/>
          <w:rtl/>
        </w:rPr>
        <w:t>﴾</w:t>
      </w:r>
      <w:r w:rsidRPr="00282AC9">
        <w:rPr>
          <w:sz w:val="27"/>
          <w:rtl/>
        </w:rPr>
        <w:t xml:space="preserve"> </w:t>
      </w:r>
      <w:r w:rsidRPr="00282AC9">
        <w:rPr>
          <w:rFonts w:hint="cs"/>
          <w:sz w:val="27"/>
          <w:rtl/>
        </w:rPr>
        <w:t>يعني</w:t>
      </w:r>
      <w:r w:rsidR="002F6C70" w:rsidRPr="00282AC9">
        <w:rPr>
          <w:rFonts w:hint="cs"/>
          <w:sz w:val="27"/>
          <w:rtl/>
        </w:rPr>
        <w:t>:</w:t>
      </w:r>
      <w:r w:rsidRPr="00282AC9">
        <w:rPr>
          <w:sz w:val="27"/>
          <w:rtl/>
        </w:rPr>
        <w:t xml:space="preserve"> </w:t>
      </w:r>
      <w:r w:rsidR="002F6C70" w:rsidRPr="00282AC9">
        <w:rPr>
          <w:rFonts w:hint="cs"/>
          <w:sz w:val="27"/>
          <w:rtl/>
        </w:rPr>
        <w:t>و</w:t>
      </w:r>
      <w:r w:rsidRPr="00282AC9">
        <w:rPr>
          <w:rFonts w:hint="cs"/>
          <w:sz w:val="27"/>
          <w:rtl/>
        </w:rPr>
        <w:t>أنت</w:t>
      </w:r>
      <w:r w:rsidRPr="00282AC9">
        <w:rPr>
          <w:sz w:val="27"/>
          <w:rtl/>
        </w:rPr>
        <w:t xml:space="preserve"> </w:t>
      </w:r>
      <w:r w:rsidRPr="00282AC9">
        <w:rPr>
          <w:rFonts w:hint="cs"/>
          <w:sz w:val="27"/>
          <w:rtl/>
        </w:rPr>
        <w:t>حي</w:t>
      </w:r>
      <w:r w:rsidR="00527DEE" w:rsidRPr="00282AC9">
        <w:rPr>
          <w:rFonts w:hint="cs"/>
          <w:sz w:val="27"/>
          <w:rtl/>
        </w:rPr>
        <w:t>ٌّ</w:t>
      </w:r>
      <w:r w:rsidRPr="00282AC9">
        <w:rPr>
          <w:sz w:val="27"/>
          <w:rtl/>
        </w:rPr>
        <w:t xml:space="preserve"> </w:t>
      </w:r>
      <w:r w:rsidRPr="00282AC9">
        <w:rPr>
          <w:rFonts w:hint="cs"/>
          <w:sz w:val="27"/>
          <w:rtl/>
        </w:rPr>
        <w:t>ترزق</w:t>
      </w:r>
      <w:r w:rsidRPr="00282AC9">
        <w:rPr>
          <w:sz w:val="27"/>
          <w:rtl/>
        </w:rPr>
        <w:t xml:space="preserve"> </w:t>
      </w:r>
      <w:r w:rsidRPr="00282AC9">
        <w:rPr>
          <w:rFonts w:hint="cs"/>
          <w:sz w:val="27"/>
          <w:rtl/>
        </w:rPr>
        <w:t>رأيت</w:t>
      </w:r>
      <w:r w:rsidRPr="00282AC9">
        <w:rPr>
          <w:sz w:val="27"/>
          <w:rtl/>
        </w:rPr>
        <w:t xml:space="preserve"> </w:t>
      </w:r>
      <w:r w:rsidRPr="00282AC9">
        <w:rPr>
          <w:rFonts w:hint="cs"/>
          <w:sz w:val="27"/>
          <w:rtl/>
        </w:rPr>
        <w:t>الناس</w:t>
      </w:r>
      <w:r w:rsidRPr="00282AC9">
        <w:rPr>
          <w:sz w:val="27"/>
          <w:rtl/>
        </w:rPr>
        <w:t xml:space="preserve"> </w:t>
      </w:r>
      <w:r w:rsidRPr="00282AC9">
        <w:rPr>
          <w:rFonts w:hint="cs"/>
          <w:sz w:val="27"/>
          <w:rtl/>
        </w:rPr>
        <w:t>يدخلون</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دين</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أفواجا</w:t>
      </w:r>
      <w:r w:rsidR="00527DEE" w:rsidRPr="00282AC9">
        <w:rPr>
          <w:rFonts w:hint="cs"/>
          <w:sz w:val="27"/>
          <w:rtl/>
        </w:rPr>
        <w:t>ً.</w:t>
      </w:r>
      <w:r w:rsidRPr="00282AC9">
        <w:rPr>
          <w:rFonts w:hint="cs"/>
          <w:sz w:val="27"/>
          <w:rtl/>
        </w:rPr>
        <w:t xml:space="preserve"> فهناك</w:t>
      </w:r>
      <w:r w:rsidRPr="00282AC9">
        <w:rPr>
          <w:sz w:val="27"/>
          <w:rtl/>
        </w:rPr>
        <w:t xml:space="preserve"> </w:t>
      </w:r>
      <w:r w:rsidRPr="00282AC9">
        <w:rPr>
          <w:rFonts w:hint="cs"/>
          <w:sz w:val="27"/>
          <w:rtl/>
        </w:rPr>
        <w:t>أمرٌ</w:t>
      </w:r>
      <w:r w:rsidRPr="00282AC9">
        <w:rPr>
          <w:sz w:val="27"/>
          <w:rtl/>
        </w:rPr>
        <w:t xml:space="preserve"> </w:t>
      </w:r>
      <w:r w:rsidRPr="00282AC9">
        <w:rPr>
          <w:rFonts w:hint="cs"/>
          <w:sz w:val="27"/>
          <w:rtl/>
        </w:rPr>
        <w:t>محسوسٌ</w:t>
      </w:r>
      <w:r w:rsidRPr="00282AC9">
        <w:rPr>
          <w:sz w:val="27"/>
          <w:rtl/>
        </w:rPr>
        <w:t xml:space="preserve"> </w:t>
      </w:r>
      <w:r w:rsidRPr="00282AC9">
        <w:rPr>
          <w:rFonts w:hint="cs"/>
          <w:sz w:val="27"/>
          <w:rtl/>
        </w:rPr>
        <w:t>ملموسٌ</w:t>
      </w:r>
      <w:r w:rsidRPr="00282AC9">
        <w:rPr>
          <w:sz w:val="27"/>
          <w:rtl/>
        </w:rPr>
        <w:t xml:space="preserve"> </w:t>
      </w:r>
      <w:r w:rsidRPr="00282AC9">
        <w:rPr>
          <w:rFonts w:hint="cs"/>
          <w:sz w:val="27"/>
          <w:rtl/>
        </w:rPr>
        <w:t>مسموعٌ</w:t>
      </w:r>
      <w:r w:rsidRPr="00282AC9">
        <w:rPr>
          <w:sz w:val="27"/>
          <w:rtl/>
        </w:rPr>
        <w:t xml:space="preserve"> </w:t>
      </w:r>
      <w:r w:rsidRPr="00282AC9">
        <w:rPr>
          <w:rFonts w:hint="cs"/>
          <w:sz w:val="27"/>
          <w:rtl/>
        </w:rPr>
        <w:t>مرئيٌ</w:t>
      </w:r>
      <w:r w:rsidRPr="00282AC9">
        <w:rPr>
          <w:sz w:val="27"/>
          <w:rtl/>
        </w:rPr>
        <w:t xml:space="preserve"> </w:t>
      </w:r>
      <w:r w:rsidRPr="00282AC9">
        <w:rPr>
          <w:rFonts w:hint="cs"/>
          <w:sz w:val="27"/>
          <w:rtl/>
        </w:rPr>
        <w:t>متجس</w:t>
      </w:r>
      <w:r w:rsidR="00527DEE" w:rsidRPr="00282AC9">
        <w:rPr>
          <w:rFonts w:hint="cs"/>
          <w:sz w:val="27"/>
          <w:rtl/>
        </w:rPr>
        <w:t>ّ</w:t>
      </w:r>
      <w:r w:rsidRPr="00282AC9">
        <w:rPr>
          <w:rFonts w:hint="cs"/>
          <w:sz w:val="27"/>
          <w:rtl/>
        </w:rPr>
        <w:t>دٌ</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الواقع</w:t>
      </w:r>
      <w:r w:rsidRPr="00282AC9">
        <w:rPr>
          <w:sz w:val="27"/>
          <w:rtl/>
        </w:rPr>
        <w:t xml:space="preserve"> </w:t>
      </w:r>
      <w:r w:rsidRPr="00282AC9">
        <w:rPr>
          <w:rFonts w:hint="cs"/>
          <w:sz w:val="27"/>
          <w:rtl/>
        </w:rPr>
        <w:t>الخارجي،</w:t>
      </w:r>
      <w:r w:rsidRPr="00282AC9">
        <w:rPr>
          <w:sz w:val="27"/>
          <w:rtl/>
        </w:rPr>
        <w:t xml:space="preserve"> </w:t>
      </w:r>
      <w:r w:rsidRPr="00282AC9">
        <w:rPr>
          <w:rFonts w:hint="cs"/>
          <w:sz w:val="27"/>
          <w:rtl/>
        </w:rPr>
        <w:t>والذي</w:t>
      </w:r>
      <w:r w:rsidRPr="00282AC9">
        <w:rPr>
          <w:sz w:val="27"/>
          <w:rtl/>
        </w:rPr>
        <w:t xml:space="preserve"> </w:t>
      </w:r>
      <w:r w:rsidRPr="00282AC9">
        <w:rPr>
          <w:rFonts w:hint="cs"/>
          <w:sz w:val="27"/>
          <w:rtl/>
        </w:rPr>
        <w:t>يترت</w:t>
      </w:r>
      <w:r w:rsidR="00527DEE" w:rsidRPr="00282AC9">
        <w:rPr>
          <w:rFonts w:hint="cs"/>
          <w:sz w:val="27"/>
          <w:rtl/>
        </w:rPr>
        <w:t>َّ</w:t>
      </w:r>
      <w:r w:rsidRPr="00282AC9">
        <w:rPr>
          <w:rFonts w:hint="cs"/>
          <w:sz w:val="27"/>
          <w:rtl/>
        </w:rPr>
        <w:t>ب</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هذا</w:t>
      </w:r>
      <w:r w:rsidRPr="00282AC9">
        <w:rPr>
          <w:sz w:val="27"/>
          <w:rtl/>
        </w:rPr>
        <w:t xml:space="preserve">: </w:t>
      </w:r>
      <w:r w:rsidRPr="00282AC9">
        <w:rPr>
          <w:rFonts w:ascii="Mosawi" w:hAnsi="Mosawi" w:cs="Mosawi"/>
          <w:sz w:val="24"/>
          <w:szCs w:val="24"/>
          <w:rtl/>
        </w:rPr>
        <w:t>﴿</w:t>
      </w:r>
      <w:r w:rsidR="00527DEE" w:rsidRPr="00282AC9">
        <w:rPr>
          <w:b/>
          <w:bCs/>
          <w:sz w:val="27"/>
          <w:rtl/>
        </w:rPr>
        <w:t>فَسَبِّحْ بِحَمْدِ رَبِّكَ وَاسْتَغْفِرْهُ</w:t>
      </w:r>
      <w:r w:rsidRPr="00282AC9">
        <w:rPr>
          <w:rFonts w:ascii="Mosawi" w:hAnsi="Mosawi" w:cs="Mosawi"/>
          <w:sz w:val="24"/>
          <w:szCs w:val="24"/>
          <w:rtl/>
        </w:rPr>
        <w:t>﴾</w:t>
      </w:r>
      <w:r w:rsidRPr="00282AC9">
        <w:rPr>
          <w:rFonts w:hint="cs"/>
          <w:sz w:val="27"/>
          <w:rtl/>
        </w:rPr>
        <w:t>.</w:t>
      </w:r>
      <w:r w:rsidRPr="00282AC9">
        <w:rPr>
          <w:sz w:val="27"/>
          <w:rtl/>
        </w:rPr>
        <w:t xml:space="preserve"> </w:t>
      </w:r>
    </w:p>
    <w:p w:rsidR="00965E08" w:rsidRPr="00282AC9" w:rsidRDefault="00965E08" w:rsidP="003062B7">
      <w:pPr>
        <w:rPr>
          <w:sz w:val="27"/>
          <w:rtl/>
        </w:rPr>
      </w:pPr>
      <w:r w:rsidRPr="00282AC9">
        <w:rPr>
          <w:rFonts w:hint="cs"/>
          <w:sz w:val="27"/>
          <w:rtl/>
        </w:rPr>
        <w:t>فهذه</w:t>
      </w:r>
      <w:r w:rsidRPr="00282AC9">
        <w:rPr>
          <w:sz w:val="27"/>
          <w:rtl/>
        </w:rPr>
        <w:t xml:space="preserve"> </w:t>
      </w:r>
      <w:r w:rsidRPr="00282AC9">
        <w:rPr>
          <w:rFonts w:hint="cs"/>
          <w:sz w:val="27"/>
          <w:rtl/>
        </w:rPr>
        <w:t>عملي</w:t>
      </w:r>
      <w:r w:rsidR="00527DEE" w:rsidRPr="00282AC9">
        <w:rPr>
          <w:rFonts w:hint="cs"/>
          <w:sz w:val="27"/>
          <w:rtl/>
        </w:rPr>
        <w:t>ّ</w:t>
      </w:r>
      <w:r w:rsidRPr="00282AC9">
        <w:rPr>
          <w:rFonts w:hint="cs"/>
          <w:sz w:val="27"/>
          <w:rtl/>
        </w:rPr>
        <w:t>ةٌ</w:t>
      </w:r>
      <w:r w:rsidRPr="00282AC9">
        <w:rPr>
          <w:sz w:val="27"/>
          <w:rtl/>
        </w:rPr>
        <w:t xml:space="preserve"> </w:t>
      </w:r>
      <w:r w:rsidRPr="00282AC9">
        <w:rPr>
          <w:rFonts w:hint="cs"/>
          <w:sz w:val="27"/>
          <w:rtl/>
        </w:rPr>
        <w:t>محسوسةٌ</w:t>
      </w:r>
      <w:r w:rsidRPr="00282AC9">
        <w:rPr>
          <w:sz w:val="27"/>
          <w:rtl/>
        </w:rPr>
        <w:t xml:space="preserve"> </w:t>
      </w:r>
      <w:r w:rsidRPr="00282AC9">
        <w:rPr>
          <w:rFonts w:hint="cs"/>
          <w:sz w:val="27"/>
          <w:rtl/>
        </w:rPr>
        <w:t>ملموسةٌ</w:t>
      </w:r>
      <w:r w:rsidR="00527DEE" w:rsidRPr="00282AC9">
        <w:rPr>
          <w:rFonts w:hint="cs"/>
          <w:sz w:val="27"/>
          <w:rtl/>
        </w:rPr>
        <w:t>،</w:t>
      </w:r>
      <w:r w:rsidRPr="00282AC9">
        <w:rPr>
          <w:sz w:val="27"/>
          <w:rtl/>
        </w:rPr>
        <w:t xml:space="preserve"> </w:t>
      </w:r>
      <w:r w:rsidRPr="00282AC9">
        <w:rPr>
          <w:rFonts w:hint="cs"/>
          <w:sz w:val="27"/>
          <w:rtl/>
        </w:rPr>
        <w:t>يختلط</w:t>
      </w:r>
      <w:r w:rsidRPr="00282AC9">
        <w:rPr>
          <w:sz w:val="27"/>
          <w:rtl/>
        </w:rPr>
        <w:t xml:space="preserve"> </w:t>
      </w:r>
      <w:r w:rsidRPr="00282AC9">
        <w:rPr>
          <w:rFonts w:hint="cs"/>
          <w:sz w:val="27"/>
          <w:rtl/>
        </w:rPr>
        <w:t>فيها</w:t>
      </w:r>
      <w:r w:rsidRPr="00282AC9">
        <w:rPr>
          <w:sz w:val="27"/>
          <w:rtl/>
        </w:rPr>
        <w:t xml:space="preserve"> </w:t>
      </w:r>
      <w:r w:rsidRPr="00282AC9">
        <w:rPr>
          <w:rFonts w:hint="cs"/>
          <w:sz w:val="27"/>
          <w:rtl/>
        </w:rPr>
        <w:t>الجانب</w:t>
      </w:r>
      <w:r w:rsidRPr="00282AC9">
        <w:rPr>
          <w:sz w:val="27"/>
          <w:rtl/>
        </w:rPr>
        <w:t xml:space="preserve"> </w:t>
      </w:r>
      <w:r w:rsidRPr="00282AC9">
        <w:rPr>
          <w:rFonts w:hint="cs"/>
          <w:sz w:val="27"/>
          <w:rtl/>
        </w:rPr>
        <w:t>المعنوي</w:t>
      </w:r>
      <w:r w:rsidRPr="00282AC9">
        <w:rPr>
          <w:sz w:val="27"/>
          <w:rtl/>
        </w:rPr>
        <w:t xml:space="preserve"> </w:t>
      </w:r>
      <w:r w:rsidRPr="00282AC9">
        <w:rPr>
          <w:rFonts w:hint="cs"/>
          <w:sz w:val="27"/>
          <w:rtl/>
        </w:rPr>
        <w:t>والمحسوس</w:t>
      </w:r>
      <w:r w:rsidRPr="00282AC9">
        <w:rPr>
          <w:sz w:val="27"/>
          <w:rtl/>
        </w:rPr>
        <w:t xml:space="preserve">. </w:t>
      </w:r>
      <w:r w:rsidRPr="00282AC9">
        <w:rPr>
          <w:rFonts w:hint="cs"/>
          <w:sz w:val="27"/>
          <w:rtl/>
        </w:rPr>
        <w:t>ومن</w:t>
      </w:r>
      <w:r w:rsidRPr="00282AC9">
        <w:rPr>
          <w:sz w:val="27"/>
          <w:rtl/>
        </w:rPr>
        <w:t xml:space="preserve"> </w:t>
      </w:r>
      <w:r w:rsidRPr="00282AC9">
        <w:rPr>
          <w:rFonts w:hint="cs"/>
          <w:sz w:val="27"/>
          <w:rtl/>
        </w:rPr>
        <w:t>خلال</w:t>
      </w:r>
      <w:r w:rsidRPr="00282AC9">
        <w:rPr>
          <w:sz w:val="27"/>
          <w:rtl/>
        </w:rPr>
        <w:t xml:space="preserve"> </w:t>
      </w:r>
      <w:r w:rsidRPr="00282AC9">
        <w:rPr>
          <w:rFonts w:hint="cs"/>
          <w:sz w:val="27"/>
          <w:rtl/>
        </w:rPr>
        <w:t>كل</w:t>
      </w:r>
      <w:r w:rsidR="00527DEE" w:rsidRPr="00282AC9">
        <w:rPr>
          <w:rFonts w:hint="cs"/>
          <w:sz w:val="27"/>
          <w:rtl/>
        </w:rPr>
        <w:t>ّ</w:t>
      </w:r>
      <w:r w:rsidRPr="00282AC9">
        <w:rPr>
          <w:sz w:val="27"/>
          <w:rtl/>
        </w:rPr>
        <w:t xml:space="preserve"> </w:t>
      </w:r>
      <w:r w:rsidRPr="00282AC9">
        <w:rPr>
          <w:rFonts w:hint="cs"/>
          <w:sz w:val="27"/>
          <w:rtl/>
        </w:rPr>
        <w:t>هذه</w:t>
      </w:r>
      <w:r w:rsidRPr="00282AC9">
        <w:rPr>
          <w:sz w:val="27"/>
          <w:rtl/>
        </w:rPr>
        <w:t xml:space="preserve"> </w:t>
      </w:r>
      <w:r w:rsidRPr="00282AC9">
        <w:rPr>
          <w:rFonts w:hint="cs"/>
          <w:sz w:val="27"/>
          <w:rtl/>
        </w:rPr>
        <w:t>التفاصيل</w:t>
      </w:r>
      <w:r w:rsidRPr="00282AC9">
        <w:rPr>
          <w:sz w:val="27"/>
          <w:rtl/>
        </w:rPr>
        <w:t xml:space="preserve"> </w:t>
      </w:r>
      <w:r w:rsidRPr="00282AC9">
        <w:rPr>
          <w:rFonts w:hint="cs"/>
          <w:sz w:val="27"/>
          <w:rtl/>
        </w:rPr>
        <w:t>فإن</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يكون</w:t>
      </w:r>
      <w:r w:rsidRPr="00282AC9">
        <w:rPr>
          <w:sz w:val="27"/>
          <w:rtl/>
        </w:rPr>
        <w:t xml:space="preserve"> </w:t>
      </w:r>
      <w:r w:rsidRPr="00282AC9">
        <w:rPr>
          <w:rFonts w:hint="cs"/>
          <w:sz w:val="27"/>
          <w:rtl/>
        </w:rPr>
        <w:t>أدنى</w:t>
      </w:r>
      <w:r w:rsidRPr="00282AC9">
        <w:rPr>
          <w:sz w:val="27"/>
          <w:rtl/>
        </w:rPr>
        <w:t xml:space="preserve"> </w:t>
      </w:r>
      <w:r w:rsidRPr="00282AC9">
        <w:rPr>
          <w:rFonts w:hint="cs"/>
          <w:sz w:val="27"/>
          <w:rtl/>
        </w:rPr>
        <w:t>رتبةً</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الفتح</w:t>
      </w:r>
      <w:r w:rsidRPr="00282AC9">
        <w:rPr>
          <w:sz w:val="27"/>
          <w:rtl/>
        </w:rPr>
        <w:t xml:space="preserve"> </w:t>
      </w:r>
      <w:r w:rsidRPr="00282AC9">
        <w:rPr>
          <w:rFonts w:hint="cs"/>
          <w:sz w:val="27"/>
          <w:rtl/>
        </w:rPr>
        <w:t>إذا</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فهمنا</w:t>
      </w:r>
      <w:r w:rsidRPr="00282AC9">
        <w:rPr>
          <w:sz w:val="27"/>
          <w:rtl/>
        </w:rPr>
        <w:t xml:space="preserve"> </w:t>
      </w:r>
      <w:r w:rsidRPr="00282AC9">
        <w:rPr>
          <w:rFonts w:hint="cs"/>
          <w:sz w:val="27"/>
          <w:rtl/>
        </w:rPr>
        <w:t>السورة</w:t>
      </w:r>
      <w:r w:rsidRPr="00282AC9">
        <w:rPr>
          <w:sz w:val="27"/>
          <w:rtl/>
        </w:rPr>
        <w:t xml:space="preserve"> </w:t>
      </w:r>
      <w:r w:rsidRPr="00282AC9">
        <w:rPr>
          <w:rFonts w:hint="cs"/>
          <w:sz w:val="27"/>
          <w:rtl/>
        </w:rPr>
        <w:t>بهذا</w:t>
      </w:r>
      <w:r w:rsidRPr="00282AC9">
        <w:rPr>
          <w:sz w:val="27"/>
          <w:rtl/>
        </w:rPr>
        <w:t xml:space="preserve"> </w:t>
      </w:r>
      <w:r w:rsidRPr="00282AC9">
        <w:rPr>
          <w:rFonts w:hint="cs"/>
          <w:sz w:val="27"/>
          <w:rtl/>
        </w:rPr>
        <w:t>الفهم</w:t>
      </w:r>
      <w:r w:rsidR="00527DEE" w:rsidRPr="00282AC9">
        <w:rPr>
          <w:rFonts w:hint="cs"/>
          <w:sz w:val="27"/>
          <w:rtl/>
        </w:rPr>
        <w:t>،</w:t>
      </w:r>
      <w:r w:rsidRPr="00282AC9">
        <w:rPr>
          <w:sz w:val="27"/>
          <w:rtl/>
        </w:rPr>
        <w:t xml:space="preserve"> </w:t>
      </w:r>
      <w:r w:rsidRPr="00282AC9">
        <w:rPr>
          <w:rFonts w:hint="cs"/>
          <w:sz w:val="27"/>
          <w:rtl/>
        </w:rPr>
        <w:t>وتعاملنا</w:t>
      </w:r>
      <w:r w:rsidRPr="00282AC9">
        <w:rPr>
          <w:sz w:val="27"/>
          <w:rtl/>
        </w:rPr>
        <w:t xml:space="preserve"> </w:t>
      </w:r>
      <w:r w:rsidRPr="00282AC9">
        <w:rPr>
          <w:rFonts w:hint="cs"/>
          <w:sz w:val="27"/>
          <w:rtl/>
        </w:rPr>
        <w:t>معها</w:t>
      </w:r>
      <w:r w:rsidRPr="00282AC9">
        <w:rPr>
          <w:sz w:val="27"/>
          <w:rtl/>
        </w:rPr>
        <w:t xml:space="preserve"> </w:t>
      </w:r>
      <w:r w:rsidRPr="00282AC9">
        <w:rPr>
          <w:rFonts w:hint="cs"/>
          <w:sz w:val="27"/>
          <w:rtl/>
        </w:rPr>
        <w:t>بالطريقة</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تعاملت</w:t>
      </w:r>
      <w:r w:rsidRPr="00282AC9">
        <w:rPr>
          <w:sz w:val="27"/>
          <w:rtl/>
        </w:rPr>
        <w:t xml:space="preserve"> </w:t>
      </w:r>
      <w:r w:rsidRPr="00282AC9">
        <w:rPr>
          <w:rFonts w:hint="cs"/>
          <w:sz w:val="27"/>
          <w:rtl/>
        </w:rPr>
        <w:t>بها</w:t>
      </w:r>
      <w:r w:rsidRPr="00282AC9">
        <w:rPr>
          <w:sz w:val="27"/>
          <w:rtl/>
        </w:rPr>
        <w:t xml:space="preserve"> </w:t>
      </w:r>
      <w:r w:rsidRPr="00282AC9">
        <w:rPr>
          <w:rFonts w:hint="cs"/>
          <w:sz w:val="27"/>
          <w:rtl/>
        </w:rPr>
        <w:t>مع</w:t>
      </w:r>
      <w:r w:rsidRPr="00282AC9">
        <w:rPr>
          <w:sz w:val="27"/>
          <w:rtl/>
        </w:rPr>
        <w:t xml:space="preserve"> </w:t>
      </w:r>
      <w:r w:rsidRPr="00282AC9">
        <w:rPr>
          <w:rFonts w:hint="cs"/>
          <w:sz w:val="27"/>
          <w:rtl/>
        </w:rPr>
        <w:t>السورة</w:t>
      </w:r>
      <w:r w:rsidRPr="00282AC9">
        <w:rPr>
          <w:sz w:val="27"/>
          <w:rtl/>
        </w:rPr>
        <w:t>.</w:t>
      </w:r>
    </w:p>
    <w:p w:rsidR="00965E08" w:rsidRPr="00282AC9" w:rsidRDefault="00965E08" w:rsidP="003062B7">
      <w:pPr>
        <w:rPr>
          <w:sz w:val="27"/>
          <w:rtl/>
        </w:rPr>
      </w:pPr>
      <w:r w:rsidRPr="00282AC9">
        <w:rPr>
          <w:rFonts w:hint="cs"/>
          <w:sz w:val="27"/>
          <w:rtl/>
        </w:rPr>
        <w:t>ويؤي</w:t>
      </w:r>
      <w:r w:rsidR="002F6C70" w:rsidRPr="00282AC9">
        <w:rPr>
          <w:rFonts w:hint="cs"/>
          <w:sz w:val="27"/>
          <w:rtl/>
        </w:rPr>
        <w:t>ِّ</w:t>
      </w:r>
      <w:r w:rsidRPr="00282AC9">
        <w:rPr>
          <w:rFonts w:hint="cs"/>
          <w:sz w:val="27"/>
          <w:rtl/>
        </w:rPr>
        <w:t>د ذلك ما جاء عن</w:t>
      </w:r>
      <w:r w:rsidRPr="00282AC9">
        <w:rPr>
          <w:sz w:val="27"/>
          <w:rtl/>
        </w:rPr>
        <w:t xml:space="preserve"> </w:t>
      </w:r>
      <w:r w:rsidRPr="00282AC9">
        <w:rPr>
          <w:rFonts w:hint="cs"/>
          <w:sz w:val="27"/>
          <w:rtl/>
        </w:rPr>
        <w:t>أمير</w:t>
      </w:r>
      <w:r w:rsidRPr="00282AC9">
        <w:rPr>
          <w:sz w:val="27"/>
          <w:rtl/>
        </w:rPr>
        <w:t xml:space="preserve"> </w:t>
      </w:r>
      <w:r w:rsidRPr="00282AC9">
        <w:rPr>
          <w:rFonts w:hint="cs"/>
          <w:sz w:val="27"/>
          <w:rtl/>
        </w:rPr>
        <w:t>المؤمنين</w:t>
      </w:r>
      <w:r w:rsidR="009A2A04" w:rsidRPr="00282AC9">
        <w:rPr>
          <w:rFonts w:cs="Mosawi"/>
          <w:sz w:val="22"/>
          <w:szCs w:val="22"/>
          <w:rtl/>
        </w:rPr>
        <w:t>×</w:t>
      </w:r>
      <w:r w:rsidRPr="00282AC9">
        <w:rPr>
          <w:rFonts w:hint="cs"/>
          <w:sz w:val="27"/>
          <w:rtl/>
        </w:rPr>
        <w:t xml:space="preserve">: </w:t>
      </w:r>
      <w:r w:rsidRPr="00282AC9">
        <w:rPr>
          <w:rFonts w:hint="eastAsia"/>
          <w:sz w:val="24"/>
          <w:szCs w:val="24"/>
          <w:rtl/>
        </w:rPr>
        <w:t>«</w:t>
      </w:r>
      <w:r w:rsidRPr="00282AC9">
        <w:rPr>
          <w:rFonts w:hint="cs"/>
          <w:sz w:val="27"/>
          <w:rtl/>
        </w:rPr>
        <w:t>و</w:t>
      </w:r>
      <w:r w:rsidR="002F6C70" w:rsidRPr="00282AC9">
        <w:rPr>
          <w:rFonts w:hint="cs"/>
          <w:sz w:val="27"/>
          <w:rtl/>
        </w:rPr>
        <w:t>أم</w:t>
      </w:r>
      <w:r w:rsidRPr="00282AC9">
        <w:rPr>
          <w:rFonts w:hint="cs"/>
          <w:sz w:val="27"/>
          <w:rtl/>
        </w:rPr>
        <w:t>ا</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تأويله</w:t>
      </w:r>
      <w:r w:rsidRPr="00282AC9">
        <w:rPr>
          <w:sz w:val="27"/>
          <w:rtl/>
        </w:rPr>
        <w:t xml:space="preserve"> </w:t>
      </w:r>
      <w:r w:rsidRPr="00282AC9">
        <w:rPr>
          <w:rFonts w:hint="cs"/>
          <w:sz w:val="27"/>
          <w:rtl/>
        </w:rPr>
        <w:t>بعد</w:t>
      </w:r>
      <w:r w:rsidRPr="00282AC9">
        <w:rPr>
          <w:sz w:val="27"/>
          <w:rtl/>
        </w:rPr>
        <w:t xml:space="preserve"> </w:t>
      </w:r>
      <w:r w:rsidRPr="00282AC9">
        <w:rPr>
          <w:rFonts w:hint="cs"/>
          <w:sz w:val="27"/>
          <w:rtl/>
        </w:rPr>
        <w:t>تنزيله</w:t>
      </w:r>
      <w:r w:rsidRPr="00282AC9">
        <w:rPr>
          <w:sz w:val="27"/>
          <w:rtl/>
        </w:rPr>
        <w:t xml:space="preserve"> </w:t>
      </w:r>
      <w:r w:rsidRPr="00282AC9">
        <w:rPr>
          <w:rFonts w:hint="cs"/>
          <w:sz w:val="27"/>
          <w:rtl/>
        </w:rPr>
        <w:t>فالأمور</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حدث</w:t>
      </w:r>
      <w:r w:rsidR="002F6C70" w:rsidRPr="00282AC9">
        <w:rPr>
          <w:rFonts w:hint="cs"/>
          <w:sz w:val="27"/>
          <w:rtl/>
        </w:rPr>
        <w:t>َ</w:t>
      </w:r>
      <w:r w:rsidRPr="00282AC9">
        <w:rPr>
          <w:rFonts w:hint="cs"/>
          <w:sz w:val="27"/>
          <w:rtl/>
        </w:rPr>
        <w:t>ت</w:t>
      </w:r>
      <w:r w:rsidR="002F6C70" w:rsidRPr="00282AC9">
        <w:rPr>
          <w:rFonts w:hint="cs"/>
          <w:sz w:val="27"/>
          <w:rtl/>
        </w:rPr>
        <w:t>ْ</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عصر</w:t>
      </w:r>
      <w:r w:rsidRPr="00282AC9">
        <w:rPr>
          <w:sz w:val="27"/>
          <w:rtl/>
        </w:rPr>
        <w:t xml:space="preserve"> </w:t>
      </w:r>
      <w:r w:rsidRPr="00282AC9">
        <w:rPr>
          <w:rFonts w:hint="cs"/>
          <w:sz w:val="27"/>
          <w:rtl/>
        </w:rPr>
        <w:t>النبي</w:t>
      </w:r>
      <w:r w:rsidR="002F6C70" w:rsidRPr="00282AC9">
        <w:rPr>
          <w:rFonts w:hint="cs"/>
          <w:sz w:val="27"/>
          <w:rtl/>
        </w:rPr>
        <w:t>ّ</w:t>
      </w:r>
      <w:r w:rsidR="009A2A04" w:rsidRPr="00282AC9">
        <w:rPr>
          <w:rFonts w:cs="Mosawi"/>
          <w:sz w:val="22"/>
          <w:szCs w:val="22"/>
          <w:rtl/>
        </w:rPr>
        <w:t>|</w:t>
      </w:r>
      <w:r w:rsidRPr="00282AC9">
        <w:rPr>
          <w:rFonts w:hint="cs"/>
          <w:sz w:val="27"/>
          <w:rtl/>
        </w:rPr>
        <w:t xml:space="preserve"> وبعده من</w:t>
      </w:r>
      <w:r w:rsidRPr="00282AC9">
        <w:rPr>
          <w:sz w:val="27"/>
          <w:rtl/>
        </w:rPr>
        <w:t xml:space="preserve"> </w:t>
      </w:r>
      <w:r w:rsidRPr="00282AC9">
        <w:rPr>
          <w:rFonts w:hint="cs"/>
          <w:sz w:val="27"/>
          <w:rtl/>
        </w:rPr>
        <w:t>غصب</w:t>
      </w:r>
      <w:r w:rsidR="002F6C70" w:rsidRPr="00282AC9">
        <w:rPr>
          <w:rFonts w:hint="cs"/>
          <w:sz w:val="27"/>
          <w:rtl/>
        </w:rPr>
        <w:t>ِ</w:t>
      </w:r>
      <w:r w:rsidRPr="00282AC9">
        <w:rPr>
          <w:sz w:val="27"/>
          <w:rtl/>
        </w:rPr>
        <w:t xml:space="preserve"> </w:t>
      </w:r>
      <w:r w:rsidRPr="00282AC9">
        <w:rPr>
          <w:rFonts w:hint="cs"/>
          <w:sz w:val="27"/>
          <w:rtl/>
        </w:rPr>
        <w:t>آل</w:t>
      </w:r>
      <w:r w:rsidRPr="00282AC9">
        <w:rPr>
          <w:sz w:val="27"/>
          <w:rtl/>
        </w:rPr>
        <w:t xml:space="preserve"> </w:t>
      </w:r>
      <w:r w:rsidRPr="00282AC9">
        <w:rPr>
          <w:rFonts w:hint="cs"/>
          <w:sz w:val="27"/>
          <w:rtl/>
        </w:rPr>
        <w:t>محم</w:t>
      </w:r>
      <w:r w:rsidR="002F6C70" w:rsidRPr="00282AC9">
        <w:rPr>
          <w:rFonts w:hint="cs"/>
          <w:sz w:val="27"/>
          <w:rtl/>
        </w:rPr>
        <w:t>ّ</w:t>
      </w:r>
      <w:r w:rsidRPr="00282AC9">
        <w:rPr>
          <w:rFonts w:hint="cs"/>
          <w:sz w:val="27"/>
          <w:rtl/>
        </w:rPr>
        <w:t>د</w:t>
      </w:r>
      <w:r w:rsidR="002F6C70" w:rsidRPr="00282AC9">
        <w:rPr>
          <w:rFonts w:hint="cs"/>
          <w:sz w:val="27"/>
          <w:rtl/>
        </w:rPr>
        <w:t>ٍ</w:t>
      </w:r>
      <w:r w:rsidRPr="00282AC9">
        <w:rPr>
          <w:sz w:val="27"/>
          <w:rtl/>
        </w:rPr>
        <w:t xml:space="preserve"> </w:t>
      </w:r>
      <w:r w:rsidRPr="00282AC9">
        <w:rPr>
          <w:rFonts w:hint="cs"/>
          <w:sz w:val="27"/>
          <w:rtl/>
        </w:rPr>
        <w:t>حق</w:t>
      </w:r>
      <w:r w:rsidR="002F6C70" w:rsidRPr="00282AC9">
        <w:rPr>
          <w:rFonts w:hint="cs"/>
          <w:sz w:val="27"/>
          <w:rtl/>
        </w:rPr>
        <w:t>َّ</w:t>
      </w:r>
      <w:r w:rsidRPr="00282AC9">
        <w:rPr>
          <w:rFonts w:hint="cs"/>
          <w:sz w:val="27"/>
          <w:rtl/>
        </w:rPr>
        <w:t>هم</w:t>
      </w:r>
      <w:r w:rsidR="002F6C70" w:rsidRPr="00282AC9">
        <w:rPr>
          <w:rFonts w:hint="cs"/>
          <w:sz w:val="27"/>
          <w:rtl/>
        </w:rPr>
        <w:t>،</w:t>
      </w:r>
      <w:r w:rsidRPr="00282AC9">
        <w:rPr>
          <w:sz w:val="27"/>
          <w:rtl/>
        </w:rPr>
        <w:t xml:space="preserve"> </w:t>
      </w:r>
      <w:r w:rsidRPr="00282AC9">
        <w:rPr>
          <w:rFonts w:hint="cs"/>
          <w:sz w:val="27"/>
          <w:rtl/>
        </w:rPr>
        <w:t>وما</w:t>
      </w:r>
      <w:r w:rsidRPr="00282AC9">
        <w:rPr>
          <w:sz w:val="27"/>
          <w:rtl/>
        </w:rPr>
        <w:t xml:space="preserve"> </w:t>
      </w:r>
      <w:r w:rsidRPr="00282AC9">
        <w:rPr>
          <w:rFonts w:hint="cs"/>
          <w:sz w:val="27"/>
          <w:rtl/>
        </w:rPr>
        <w:t>وعدهم</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به</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أعدائهم</w:t>
      </w:r>
      <w:r w:rsidR="002F6C70" w:rsidRPr="00282AC9">
        <w:rPr>
          <w:rFonts w:hint="cs"/>
          <w:sz w:val="27"/>
          <w:rtl/>
        </w:rPr>
        <w:t>،</w:t>
      </w:r>
      <w:r w:rsidRPr="00282AC9">
        <w:rPr>
          <w:sz w:val="27"/>
          <w:rtl/>
        </w:rPr>
        <w:t xml:space="preserve"> </w:t>
      </w:r>
      <w:r w:rsidRPr="00282AC9">
        <w:rPr>
          <w:rFonts w:hint="cs"/>
          <w:sz w:val="27"/>
          <w:rtl/>
        </w:rPr>
        <w:t>وما</w:t>
      </w:r>
      <w:r w:rsidRPr="00282AC9">
        <w:rPr>
          <w:sz w:val="27"/>
          <w:rtl/>
        </w:rPr>
        <w:t xml:space="preserve"> </w:t>
      </w:r>
      <w:r w:rsidR="002F6C70" w:rsidRPr="00282AC9">
        <w:rPr>
          <w:rFonts w:hint="cs"/>
          <w:sz w:val="27"/>
          <w:rtl/>
        </w:rPr>
        <w:t>أ</w:t>
      </w:r>
      <w:r w:rsidRPr="00282AC9">
        <w:rPr>
          <w:rFonts w:hint="cs"/>
          <w:sz w:val="27"/>
          <w:rtl/>
        </w:rPr>
        <w:t>خبر</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به من</w:t>
      </w:r>
      <w:r w:rsidRPr="00282AC9">
        <w:rPr>
          <w:sz w:val="27"/>
          <w:rtl/>
        </w:rPr>
        <w:t xml:space="preserve"> </w:t>
      </w:r>
      <w:r w:rsidR="002F6C70" w:rsidRPr="00282AC9">
        <w:rPr>
          <w:rFonts w:hint="cs"/>
          <w:sz w:val="27"/>
          <w:rtl/>
        </w:rPr>
        <w:t>أ</w:t>
      </w:r>
      <w:r w:rsidRPr="00282AC9">
        <w:rPr>
          <w:rFonts w:hint="cs"/>
          <w:sz w:val="27"/>
          <w:rtl/>
        </w:rPr>
        <w:t>خبار</w:t>
      </w:r>
      <w:r w:rsidRPr="00282AC9">
        <w:rPr>
          <w:sz w:val="27"/>
          <w:rtl/>
        </w:rPr>
        <w:t xml:space="preserve"> </w:t>
      </w:r>
      <w:r w:rsidRPr="00282AC9">
        <w:rPr>
          <w:rFonts w:hint="cs"/>
          <w:sz w:val="27"/>
          <w:rtl/>
        </w:rPr>
        <w:t>القائم</w:t>
      </w:r>
      <w:r w:rsidRPr="00282AC9">
        <w:rPr>
          <w:sz w:val="27"/>
          <w:rtl/>
        </w:rPr>
        <w:t xml:space="preserve"> </w:t>
      </w:r>
      <w:r w:rsidRPr="00282AC9">
        <w:rPr>
          <w:rFonts w:hint="cs"/>
          <w:sz w:val="27"/>
          <w:rtl/>
        </w:rPr>
        <w:t>وخروجه</w:t>
      </w:r>
      <w:r w:rsidR="002F6C70" w:rsidRPr="00282AC9">
        <w:rPr>
          <w:rFonts w:hint="cs"/>
          <w:sz w:val="27"/>
          <w:rtl/>
        </w:rPr>
        <w:t>،</w:t>
      </w:r>
      <w:r w:rsidRPr="00282AC9">
        <w:rPr>
          <w:sz w:val="27"/>
          <w:rtl/>
        </w:rPr>
        <w:t xml:space="preserve"> </w:t>
      </w:r>
      <w:r w:rsidRPr="00282AC9">
        <w:rPr>
          <w:rFonts w:hint="cs"/>
          <w:sz w:val="27"/>
          <w:rtl/>
        </w:rPr>
        <w:t>و</w:t>
      </w:r>
      <w:r w:rsidR="002F6C70" w:rsidRPr="00282AC9">
        <w:rPr>
          <w:rFonts w:hint="cs"/>
          <w:sz w:val="27"/>
          <w:rtl/>
        </w:rPr>
        <w:t>أ</w:t>
      </w:r>
      <w:r w:rsidRPr="00282AC9">
        <w:rPr>
          <w:rFonts w:hint="cs"/>
          <w:sz w:val="27"/>
          <w:rtl/>
        </w:rPr>
        <w:t>خبار</w:t>
      </w:r>
      <w:r w:rsidRPr="00282AC9">
        <w:rPr>
          <w:sz w:val="27"/>
          <w:rtl/>
        </w:rPr>
        <w:t xml:space="preserve"> </w:t>
      </w:r>
      <w:r w:rsidRPr="00282AC9">
        <w:rPr>
          <w:rFonts w:hint="cs"/>
          <w:sz w:val="27"/>
          <w:rtl/>
        </w:rPr>
        <w:t>الر</w:t>
      </w:r>
      <w:r w:rsidR="002F6C70" w:rsidRPr="00282AC9">
        <w:rPr>
          <w:rFonts w:hint="cs"/>
          <w:sz w:val="27"/>
          <w:rtl/>
        </w:rPr>
        <w:t>َّ</w:t>
      </w:r>
      <w:r w:rsidRPr="00282AC9">
        <w:rPr>
          <w:rFonts w:hint="cs"/>
          <w:sz w:val="27"/>
          <w:rtl/>
        </w:rPr>
        <w:t>ج</w:t>
      </w:r>
      <w:r w:rsidR="002F6C70" w:rsidRPr="00282AC9">
        <w:rPr>
          <w:rFonts w:hint="cs"/>
          <w:sz w:val="27"/>
          <w:rtl/>
        </w:rPr>
        <w:t>ْ</w:t>
      </w:r>
      <w:r w:rsidRPr="00282AC9">
        <w:rPr>
          <w:rFonts w:hint="cs"/>
          <w:sz w:val="27"/>
          <w:rtl/>
        </w:rPr>
        <w:t>عة</w:t>
      </w:r>
      <w:r w:rsidRPr="00282AC9">
        <w:rPr>
          <w:sz w:val="27"/>
          <w:rtl/>
        </w:rPr>
        <w:t xml:space="preserve"> </w:t>
      </w:r>
      <w:r w:rsidRPr="00282AC9">
        <w:rPr>
          <w:rFonts w:hint="cs"/>
          <w:sz w:val="27"/>
          <w:rtl/>
        </w:rPr>
        <w:t>والساعة</w:t>
      </w:r>
      <w:r w:rsidR="002F6C70" w:rsidRPr="00282AC9">
        <w:rPr>
          <w:rFonts w:hint="cs"/>
          <w:sz w:val="27"/>
          <w:rtl/>
        </w:rPr>
        <w:t>،</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قوله</w:t>
      </w:r>
      <w:r w:rsidRPr="00282AC9">
        <w:rPr>
          <w:sz w:val="27"/>
          <w:rtl/>
        </w:rPr>
        <w:t xml:space="preserve"> </w:t>
      </w:r>
      <w:r w:rsidRPr="00282AC9">
        <w:rPr>
          <w:rFonts w:ascii="Mosawi" w:hAnsi="Mosawi" w:cs="Mosawi"/>
          <w:sz w:val="24"/>
          <w:szCs w:val="24"/>
          <w:rtl/>
        </w:rPr>
        <w:t>﴿</w:t>
      </w:r>
      <w:r w:rsidR="002F6C70" w:rsidRPr="00282AC9">
        <w:rPr>
          <w:b/>
          <w:bCs/>
          <w:sz w:val="27"/>
          <w:rtl/>
        </w:rPr>
        <w:t>وَلَقَدْ كَتَبْنَا فِي الزَّبُورِ مِنْ بَعْدِ الذِّكْرِ أَنَّ الأَرْضَ يَرِثُهَا عِبَادِي الصَّالِحُونَ</w:t>
      </w:r>
      <w:r w:rsidRPr="00282AC9">
        <w:rPr>
          <w:rFonts w:ascii="Mosawi" w:hAnsi="Mosawi" w:cs="Mosawi"/>
          <w:sz w:val="24"/>
          <w:szCs w:val="24"/>
          <w:rtl/>
        </w:rPr>
        <w:t>﴾</w:t>
      </w:r>
      <w:r w:rsidRPr="00282AC9">
        <w:rPr>
          <w:rFonts w:asciiTheme="minorBidi" w:hAnsiTheme="minorBidi" w:hint="cs"/>
          <w:sz w:val="27"/>
          <w:rtl/>
        </w:rPr>
        <w:t xml:space="preserve"> (المائدة: 6)</w:t>
      </w:r>
      <w:r w:rsidR="002F6C70" w:rsidRPr="00282AC9">
        <w:rPr>
          <w:rFonts w:hint="cs"/>
          <w:sz w:val="27"/>
          <w:rtl/>
        </w:rPr>
        <w:t>؛</w:t>
      </w:r>
      <w:r w:rsidRPr="00282AC9">
        <w:rPr>
          <w:sz w:val="27"/>
          <w:rtl/>
        </w:rPr>
        <w:t xml:space="preserve"> </w:t>
      </w:r>
      <w:r w:rsidRPr="00282AC9">
        <w:rPr>
          <w:rFonts w:hint="cs"/>
          <w:sz w:val="27"/>
          <w:rtl/>
        </w:rPr>
        <w:t>وقوله:</w:t>
      </w:r>
      <w:r w:rsidRPr="00282AC9">
        <w:rPr>
          <w:sz w:val="27"/>
          <w:rtl/>
        </w:rPr>
        <w:t xml:space="preserve"> </w:t>
      </w:r>
      <w:r w:rsidRPr="00282AC9">
        <w:rPr>
          <w:rFonts w:ascii="Mosawi" w:hAnsi="Mosawi" w:cs="Mosawi"/>
          <w:sz w:val="24"/>
          <w:szCs w:val="24"/>
          <w:rtl/>
        </w:rPr>
        <w:t>﴿</w:t>
      </w:r>
      <w:r w:rsidR="002F6C70" w:rsidRPr="00282AC9">
        <w:rPr>
          <w:b/>
          <w:bCs/>
          <w:sz w:val="27"/>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w:t>
      </w:r>
      <w:r w:rsidRPr="00282AC9">
        <w:rPr>
          <w:rFonts w:ascii="Mosawi" w:hAnsi="Mosawi" w:cs="Mosawi"/>
          <w:sz w:val="24"/>
          <w:szCs w:val="24"/>
          <w:rtl/>
        </w:rPr>
        <w:t>﴾</w:t>
      </w:r>
      <w:r w:rsidRPr="00282AC9">
        <w:rPr>
          <w:rFonts w:asciiTheme="minorBidi" w:hAnsiTheme="minorBidi" w:hint="cs"/>
          <w:sz w:val="27"/>
          <w:rtl/>
        </w:rPr>
        <w:t xml:space="preserve"> (النور: 55)</w:t>
      </w:r>
      <w:r w:rsidR="002F6C70" w:rsidRPr="00282AC9">
        <w:rPr>
          <w:rFonts w:hint="cs"/>
          <w:sz w:val="27"/>
          <w:rtl/>
        </w:rPr>
        <w:t xml:space="preserve">، </w:t>
      </w:r>
      <w:r w:rsidRPr="00282AC9">
        <w:rPr>
          <w:rFonts w:hint="cs"/>
          <w:sz w:val="27"/>
          <w:rtl/>
        </w:rPr>
        <w:t>نزلت</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القائم</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آل</w:t>
      </w:r>
      <w:r w:rsidRPr="00282AC9">
        <w:rPr>
          <w:sz w:val="27"/>
          <w:rtl/>
        </w:rPr>
        <w:t xml:space="preserve"> </w:t>
      </w:r>
      <w:r w:rsidRPr="00282AC9">
        <w:rPr>
          <w:rFonts w:hint="cs"/>
          <w:sz w:val="27"/>
          <w:rtl/>
        </w:rPr>
        <w:t>محمد</w:t>
      </w:r>
      <w:r w:rsidR="009A2A04" w:rsidRPr="00282AC9">
        <w:rPr>
          <w:rFonts w:cs="Mosawi"/>
          <w:sz w:val="22"/>
          <w:szCs w:val="22"/>
          <w:rtl/>
        </w:rPr>
        <w:t>|</w:t>
      </w:r>
      <w:r w:rsidRPr="00282AC9">
        <w:rPr>
          <w:rFonts w:hint="cs"/>
          <w:sz w:val="27"/>
          <w:rtl/>
        </w:rPr>
        <w:t xml:space="preserve">، وقوله: </w:t>
      </w:r>
      <w:r w:rsidRPr="00282AC9">
        <w:rPr>
          <w:rFonts w:ascii="Mosawi" w:hAnsi="Mosawi" w:cs="Mosawi"/>
          <w:sz w:val="24"/>
          <w:szCs w:val="24"/>
          <w:rtl/>
        </w:rPr>
        <w:t>﴿</w:t>
      </w:r>
      <w:r w:rsidR="00454CDD" w:rsidRPr="00282AC9">
        <w:rPr>
          <w:b/>
          <w:bCs/>
          <w:sz w:val="27"/>
          <w:rtl/>
        </w:rPr>
        <w:t>وَنُرِيدُ أَنْ نَمُنَّ عَلَى الَّذِينَ اسْتُضْعِفُوا فِي الأَرْضِ وَنَجْعَلَهُمْ أَئِمَّةً وَنَجْعَلَهُمْ الْوَارِثِينَ</w:t>
      </w:r>
      <w:r w:rsidRPr="00282AC9">
        <w:rPr>
          <w:rFonts w:ascii="Mosawi" w:hAnsi="Mosawi" w:cs="Mosawi"/>
          <w:sz w:val="24"/>
          <w:szCs w:val="24"/>
          <w:rtl/>
        </w:rPr>
        <w:t>﴾</w:t>
      </w:r>
      <w:r w:rsidRPr="00282AC9">
        <w:rPr>
          <w:rFonts w:asciiTheme="minorBidi" w:hAnsiTheme="minorBidi" w:hint="cs"/>
          <w:sz w:val="27"/>
          <w:rtl/>
        </w:rPr>
        <w:t xml:space="preserve"> (القصص: 5)</w:t>
      </w:r>
      <w:r w:rsidR="002F6C70" w:rsidRPr="00282AC9">
        <w:rPr>
          <w:rFonts w:hint="cs"/>
          <w:sz w:val="27"/>
          <w:rtl/>
        </w:rPr>
        <w:t>.</w:t>
      </w:r>
      <w:r w:rsidRPr="00282AC9">
        <w:rPr>
          <w:sz w:val="27"/>
          <w:rtl/>
        </w:rPr>
        <w:t xml:space="preserve"> </w:t>
      </w:r>
      <w:r w:rsidRPr="00282AC9">
        <w:rPr>
          <w:rFonts w:hint="eastAsia"/>
          <w:sz w:val="24"/>
          <w:szCs w:val="24"/>
          <w:rtl/>
        </w:rPr>
        <w:t>«</w:t>
      </w:r>
      <w:r w:rsidRPr="00282AC9">
        <w:rPr>
          <w:rFonts w:hint="cs"/>
          <w:sz w:val="27"/>
          <w:rtl/>
        </w:rPr>
        <w:t>ومثل</w:t>
      </w:r>
      <w:r w:rsidR="002F6C70" w:rsidRPr="00282AC9">
        <w:rPr>
          <w:rFonts w:hint="cs"/>
          <w:sz w:val="27"/>
          <w:rtl/>
        </w:rPr>
        <w:t>ُ</w:t>
      </w:r>
      <w:r w:rsidRPr="00282AC9">
        <w:rPr>
          <w:rFonts w:hint="cs"/>
          <w:sz w:val="27"/>
          <w:rtl/>
        </w:rPr>
        <w:t>ه</w:t>
      </w:r>
      <w:r w:rsidRPr="00282AC9">
        <w:rPr>
          <w:sz w:val="27"/>
          <w:rtl/>
        </w:rPr>
        <w:t xml:space="preserve"> </w:t>
      </w:r>
      <w:r w:rsidRPr="00282AC9">
        <w:rPr>
          <w:rFonts w:hint="cs"/>
          <w:sz w:val="27"/>
          <w:rtl/>
        </w:rPr>
        <w:t>كثير</w:t>
      </w:r>
      <w:r w:rsidR="002F6C70" w:rsidRPr="00282AC9">
        <w:rPr>
          <w:rFonts w:hint="cs"/>
          <w:sz w:val="27"/>
          <w:rtl/>
        </w:rPr>
        <w:t>ٌ،</w:t>
      </w:r>
      <w:r w:rsidRPr="00282AC9">
        <w:rPr>
          <w:sz w:val="27"/>
          <w:rtl/>
        </w:rPr>
        <w:t xml:space="preserve"> </w:t>
      </w:r>
      <w:r w:rsidRPr="00282AC9">
        <w:rPr>
          <w:rFonts w:hint="cs"/>
          <w:sz w:val="27"/>
          <w:rtl/>
        </w:rPr>
        <w:t>مم</w:t>
      </w:r>
      <w:r w:rsidR="002F6C70" w:rsidRPr="00282AC9">
        <w:rPr>
          <w:rFonts w:hint="cs"/>
          <w:sz w:val="27"/>
          <w:rtl/>
        </w:rPr>
        <w:t>ّ</w:t>
      </w:r>
      <w:r w:rsidRPr="00282AC9">
        <w:rPr>
          <w:rFonts w:hint="cs"/>
          <w:sz w:val="27"/>
          <w:rtl/>
        </w:rPr>
        <w:t>ا</w:t>
      </w:r>
      <w:r w:rsidRPr="00282AC9">
        <w:rPr>
          <w:sz w:val="27"/>
          <w:rtl/>
        </w:rPr>
        <w:t xml:space="preserve"> </w:t>
      </w:r>
      <w:r w:rsidRPr="00282AC9">
        <w:rPr>
          <w:rFonts w:hint="cs"/>
          <w:sz w:val="27"/>
          <w:rtl/>
        </w:rPr>
        <w:t>تأويله</w:t>
      </w:r>
      <w:r w:rsidRPr="00282AC9">
        <w:rPr>
          <w:sz w:val="27"/>
          <w:rtl/>
        </w:rPr>
        <w:t xml:space="preserve"> </w:t>
      </w:r>
      <w:r w:rsidRPr="00282AC9">
        <w:rPr>
          <w:rFonts w:hint="cs"/>
          <w:sz w:val="27"/>
          <w:rtl/>
        </w:rPr>
        <w:t>بعد</w:t>
      </w:r>
      <w:r w:rsidRPr="00282AC9">
        <w:rPr>
          <w:sz w:val="27"/>
          <w:rtl/>
        </w:rPr>
        <w:t xml:space="preserve"> </w:t>
      </w:r>
      <w:r w:rsidRPr="00282AC9">
        <w:rPr>
          <w:rFonts w:hint="cs"/>
          <w:sz w:val="27"/>
          <w:rtl/>
        </w:rPr>
        <w:t>تنزيله</w:t>
      </w:r>
      <w:r w:rsidRPr="00282AC9">
        <w:rPr>
          <w:rFonts w:hint="eastAsia"/>
          <w:sz w:val="24"/>
          <w:szCs w:val="24"/>
          <w:rtl/>
        </w:rPr>
        <w:t>»</w:t>
      </w:r>
      <w:r w:rsidRPr="00282AC9">
        <w:rPr>
          <w:sz w:val="27"/>
          <w:vertAlign w:val="superscript"/>
          <w:rtl/>
        </w:rPr>
        <w:t>(</w:t>
      </w:r>
      <w:r w:rsidRPr="00282AC9">
        <w:rPr>
          <w:rStyle w:val="af9"/>
          <w:sz w:val="27"/>
          <w:rtl/>
        </w:rPr>
        <w:endnoteReference w:id="776"/>
      </w:r>
      <w:r w:rsidRPr="00282AC9">
        <w:rPr>
          <w:sz w:val="27"/>
          <w:vertAlign w:val="superscript"/>
          <w:rtl/>
        </w:rPr>
        <w:t>)</w:t>
      </w:r>
      <w:r w:rsidRPr="00282AC9">
        <w:rPr>
          <w:rFonts w:hint="cs"/>
          <w:sz w:val="27"/>
          <w:rtl/>
        </w:rPr>
        <w:t>.</w:t>
      </w:r>
    </w:p>
    <w:p w:rsidR="00965E08" w:rsidRPr="00282AC9" w:rsidRDefault="00965E08" w:rsidP="003062B7">
      <w:pPr>
        <w:rPr>
          <w:sz w:val="27"/>
          <w:rtl/>
        </w:rPr>
      </w:pPr>
      <w:r w:rsidRPr="00282AC9">
        <w:rPr>
          <w:rFonts w:hint="cs"/>
          <w:sz w:val="27"/>
          <w:rtl/>
        </w:rPr>
        <w:t>فرسالة</w:t>
      </w:r>
      <w:r w:rsidRPr="00282AC9">
        <w:rPr>
          <w:sz w:val="27"/>
          <w:rtl/>
        </w:rPr>
        <w:t xml:space="preserve"> </w:t>
      </w:r>
      <w:r w:rsidRPr="00282AC9">
        <w:rPr>
          <w:rFonts w:hint="cs"/>
          <w:sz w:val="27"/>
          <w:rtl/>
        </w:rPr>
        <w:t>النبي</w:t>
      </w:r>
      <w:r w:rsidR="00454CDD" w:rsidRPr="00282AC9">
        <w:rPr>
          <w:rFonts w:hint="cs"/>
          <w:sz w:val="27"/>
          <w:rtl/>
        </w:rPr>
        <w:t>ّ</w:t>
      </w:r>
      <w:r w:rsidRPr="00282AC9">
        <w:rPr>
          <w:rFonts w:hint="cs"/>
          <w:sz w:val="27"/>
          <w:rtl/>
        </w:rPr>
        <w:t xml:space="preserve"> الاعظم</w:t>
      </w:r>
      <w:r w:rsidR="009A2A04" w:rsidRPr="00282AC9">
        <w:rPr>
          <w:rFonts w:cs="Mosawi" w:hint="cs"/>
          <w:sz w:val="22"/>
          <w:szCs w:val="22"/>
          <w:rtl/>
        </w:rPr>
        <w:t>|</w:t>
      </w:r>
      <w:r w:rsidRPr="00282AC9">
        <w:rPr>
          <w:sz w:val="27"/>
          <w:rtl/>
        </w:rPr>
        <w:t xml:space="preserve"> </w:t>
      </w:r>
      <w:r w:rsidRPr="00282AC9">
        <w:rPr>
          <w:rFonts w:hint="cs"/>
          <w:sz w:val="27"/>
          <w:rtl/>
        </w:rPr>
        <w:t>هي</w:t>
      </w:r>
      <w:r w:rsidRPr="00282AC9">
        <w:rPr>
          <w:sz w:val="27"/>
          <w:rtl/>
        </w:rPr>
        <w:t xml:space="preserve"> </w:t>
      </w:r>
      <w:r w:rsidRPr="00282AC9">
        <w:rPr>
          <w:rFonts w:hint="cs"/>
          <w:sz w:val="27"/>
          <w:rtl/>
        </w:rPr>
        <w:t>لجميع</w:t>
      </w:r>
      <w:r w:rsidRPr="00282AC9">
        <w:rPr>
          <w:sz w:val="27"/>
          <w:rtl/>
        </w:rPr>
        <w:t xml:space="preserve"> </w:t>
      </w:r>
      <w:r w:rsidRPr="00282AC9">
        <w:rPr>
          <w:rFonts w:hint="cs"/>
          <w:sz w:val="27"/>
          <w:rtl/>
        </w:rPr>
        <w:t>الناس</w:t>
      </w:r>
      <w:r w:rsidRPr="00282AC9">
        <w:rPr>
          <w:sz w:val="27"/>
          <w:rtl/>
        </w:rPr>
        <w:t xml:space="preserve"> </w:t>
      </w:r>
      <w:r w:rsidRPr="00282AC9">
        <w:rPr>
          <w:rFonts w:hint="cs"/>
          <w:sz w:val="27"/>
          <w:rtl/>
        </w:rPr>
        <w:t>كاف</w:t>
      </w:r>
      <w:r w:rsidR="00454CDD" w:rsidRPr="00282AC9">
        <w:rPr>
          <w:rFonts w:hint="cs"/>
          <w:sz w:val="27"/>
          <w:rtl/>
        </w:rPr>
        <w:t>ّ</w:t>
      </w:r>
      <w:r w:rsidRPr="00282AC9">
        <w:rPr>
          <w:rFonts w:hint="cs"/>
          <w:sz w:val="27"/>
          <w:rtl/>
        </w:rPr>
        <w:t>ة</w:t>
      </w:r>
      <w:r w:rsidR="00454CDD" w:rsidRPr="00282AC9">
        <w:rPr>
          <w:rFonts w:hint="cs"/>
          <w:sz w:val="27"/>
          <w:rtl/>
        </w:rPr>
        <w:t>ً</w:t>
      </w:r>
      <w:r w:rsidRPr="00282AC9">
        <w:rPr>
          <w:rFonts w:hint="cs"/>
          <w:sz w:val="27"/>
          <w:rtl/>
        </w:rPr>
        <w:t>،</w:t>
      </w:r>
      <w:r w:rsidRPr="00282AC9">
        <w:rPr>
          <w:sz w:val="27"/>
          <w:rtl/>
        </w:rPr>
        <w:t xml:space="preserve"> </w:t>
      </w:r>
      <w:r w:rsidRPr="00282AC9">
        <w:rPr>
          <w:rFonts w:hint="cs"/>
          <w:sz w:val="27"/>
          <w:rtl/>
        </w:rPr>
        <w:t>وقوله</w:t>
      </w:r>
      <w:r w:rsidRPr="00282AC9">
        <w:rPr>
          <w:sz w:val="27"/>
          <w:rtl/>
        </w:rPr>
        <w:t xml:space="preserve">: </w:t>
      </w:r>
      <w:r w:rsidRPr="00282AC9">
        <w:rPr>
          <w:rFonts w:ascii="Mosawi" w:hAnsi="Mosawi" w:cs="Mosawi"/>
          <w:sz w:val="24"/>
          <w:szCs w:val="24"/>
          <w:rtl/>
        </w:rPr>
        <w:t>﴿</w:t>
      </w:r>
      <w:r w:rsidR="00454CDD" w:rsidRPr="00282AC9">
        <w:rPr>
          <w:b/>
          <w:bCs/>
          <w:sz w:val="27"/>
          <w:rtl/>
        </w:rPr>
        <w:t>وَرَأَيْتَ النَّاسَ يَدْخُلُونَ فِي دِينِ اللهِ أَفْوَاجاً</w:t>
      </w:r>
      <w:r w:rsidRPr="00282AC9">
        <w:rPr>
          <w:rFonts w:ascii="Mosawi" w:hAnsi="Mosawi" w:cs="Mosawi"/>
          <w:sz w:val="24"/>
          <w:szCs w:val="24"/>
          <w:rtl/>
        </w:rPr>
        <w:t>﴾</w:t>
      </w:r>
      <w:r w:rsidRPr="00282AC9">
        <w:rPr>
          <w:sz w:val="27"/>
          <w:rtl/>
        </w:rPr>
        <w:t xml:space="preserve"> </w:t>
      </w:r>
      <w:r w:rsidRPr="00282AC9">
        <w:rPr>
          <w:rFonts w:hint="cs"/>
          <w:sz w:val="27"/>
          <w:rtl/>
        </w:rPr>
        <w:t>يعني</w:t>
      </w:r>
      <w:r w:rsidRPr="00282AC9">
        <w:rPr>
          <w:sz w:val="27"/>
          <w:rtl/>
        </w:rPr>
        <w:t xml:space="preserve"> </w:t>
      </w:r>
      <w:r w:rsidRPr="00282AC9">
        <w:rPr>
          <w:rFonts w:hint="cs"/>
          <w:sz w:val="27"/>
          <w:rtl/>
        </w:rPr>
        <w:t>جميع</w:t>
      </w:r>
      <w:r w:rsidRPr="00282AC9">
        <w:rPr>
          <w:sz w:val="27"/>
          <w:rtl/>
        </w:rPr>
        <w:t xml:space="preserve"> </w:t>
      </w:r>
      <w:r w:rsidRPr="00282AC9">
        <w:rPr>
          <w:rFonts w:hint="cs"/>
          <w:sz w:val="27"/>
          <w:rtl/>
        </w:rPr>
        <w:t>الناس</w:t>
      </w:r>
      <w:r w:rsidRPr="00282AC9">
        <w:rPr>
          <w:sz w:val="27"/>
          <w:rtl/>
        </w:rPr>
        <w:t xml:space="preserve"> </w:t>
      </w:r>
      <w:r w:rsidRPr="00282AC9">
        <w:rPr>
          <w:rFonts w:hint="cs"/>
          <w:sz w:val="27"/>
          <w:rtl/>
        </w:rPr>
        <w:t>يدخلون</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دين</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أفواجاً</w:t>
      </w:r>
      <w:r w:rsidR="00454CDD" w:rsidRPr="00282AC9">
        <w:rPr>
          <w:rFonts w:hint="cs"/>
          <w:sz w:val="27"/>
          <w:rtl/>
        </w:rPr>
        <w:t>،</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دون</w:t>
      </w:r>
      <w:r w:rsidRPr="00282AC9">
        <w:rPr>
          <w:sz w:val="27"/>
          <w:rtl/>
        </w:rPr>
        <w:t xml:space="preserve"> </w:t>
      </w:r>
      <w:r w:rsidRPr="00282AC9">
        <w:rPr>
          <w:rFonts w:hint="cs"/>
          <w:sz w:val="27"/>
          <w:rtl/>
        </w:rPr>
        <w:t>نفاق</w:t>
      </w:r>
      <w:r w:rsidR="00454CDD" w:rsidRPr="00282AC9">
        <w:rPr>
          <w:rFonts w:hint="cs"/>
          <w:sz w:val="27"/>
          <w:rtl/>
        </w:rPr>
        <w:t>ٍ.</w:t>
      </w:r>
      <w:r w:rsidRPr="00282AC9">
        <w:rPr>
          <w:sz w:val="27"/>
          <w:rtl/>
        </w:rPr>
        <w:t xml:space="preserve"> </w:t>
      </w:r>
      <w:r w:rsidRPr="00282AC9">
        <w:rPr>
          <w:rFonts w:hint="cs"/>
          <w:sz w:val="27"/>
          <w:rtl/>
        </w:rPr>
        <w:t>وهذا</w:t>
      </w:r>
      <w:r w:rsidRPr="00282AC9">
        <w:rPr>
          <w:sz w:val="27"/>
          <w:rtl/>
        </w:rPr>
        <w:t xml:space="preserve"> </w:t>
      </w:r>
      <w:r w:rsidRPr="00282AC9">
        <w:rPr>
          <w:rFonts w:hint="cs"/>
          <w:sz w:val="27"/>
          <w:rtl/>
        </w:rPr>
        <w:t>الأمر</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يتحق</w:t>
      </w:r>
      <w:r w:rsidR="00454CDD" w:rsidRPr="00282AC9">
        <w:rPr>
          <w:rFonts w:hint="cs"/>
          <w:sz w:val="27"/>
          <w:rtl/>
        </w:rPr>
        <w:t>َّ</w:t>
      </w:r>
      <w:r w:rsidRPr="00282AC9">
        <w:rPr>
          <w:rFonts w:hint="cs"/>
          <w:sz w:val="27"/>
          <w:rtl/>
        </w:rPr>
        <w:t>ق</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زمان</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hint="cs"/>
          <w:sz w:val="22"/>
          <w:szCs w:val="22"/>
          <w:rtl/>
        </w:rPr>
        <w:t>|</w:t>
      </w:r>
      <w:r w:rsidR="00454CDD" w:rsidRPr="00282AC9">
        <w:rPr>
          <w:rFonts w:hint="cs"/>
          <w:sz w:val="27"/>
          <w:rtl/>
        </w:rPr>
        <w:t>،</w:t>
      </w:r>
      <w:r w:rsidRPr="00282AC9">
        <w:rPr>
          <w:sz w:val="27"/>
          <w:rtl/>
        </w:rPr>
        <w:t xml:space="preserve"> </w:t>
      </w:r>
      <w:r w:rsidRPr="00282AC9">
        <w:rPr>
          <w:rFonts w:hint="cs"/>
          <w:sz w:val="27"/>
          <w:rtl/>
        </w:rPr>
        <w:t>ولا</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الأزمنة</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تل</w:t>
      </w:r>
      <w:r w:rsidR="00454CDD" w:rsidRPr="00282AC9">
        <w:rPr>
          <w:rFonts w:hint="cs"/>
          <w:sz w:val="27"/>
          <w:rtl/>
        </w:rPr>
        <w:t>َ</w:t>
      </w:r>
      <w:r w:rsidRPr="00282AC9">
        <w:rPr>
          <w:rFonts w:hint="cs"/>
          <w:sz w:val="27"/>
          <w:rtl/>
        </w:rPr>
        <w:t>ت</w:t>
      </w:r>
      <w:r w:rsidR="00454CDD" w:rsidRPr="00282AC9">
        <w:rPr>
          <w:rFonts w:hint="cs"/>
          <w:sz w:val="27"/>
          <w:rtl/>
        </w:rPr>
        <w:t>ْ</w:t>
      </w:r>
      <w:r w:rsidRPr="00282AC9">
        <w:rPr>
          <w:sz w:val="27"/>
          <w:rtl/>
        </w:rPr>
        <w:t xml:space="preserve"> </w:t>
      </w:r>
      <w:r w:rsidRPr="00282AC9">
        <w:rPr>
          <w:rFonts w:hint="cs"/>
          <w:sz w:val="27"/>
          <w:rtl/>
        </w:rPr>
        <w:t>زمانه</w:t>
      </w:r>
      <w:r w:rsidRPr="00282AC9">
        <w:rPr>
          <w:sz w:val="27"/>
          <w:rtl/>
        </w:rPr>
        <w:t>.</w:t>
      </w:r>
    </w:p>
    <w:p w:rsidR="00D207D2" w:rsidRPr="00282AC9" w:rsidRDefault="00965E08" w:rsidP="003062B7">
      <w:pPr>
        <w:rPr>
          <w:sz w:val="27"/>
          <w:rtl/>
        </w:rPr>
      </w:pPr>
      <w:r w:rsidRPr="00282AC9">
        <w:rPr>
          <w:rFonts w:hint="cs"/>
          <w:sz w:val="27"/>
          <w:rtl/>
        </w:rPr>
        <w:t>وعن</w:t>
      </w:r>
      <w:r w:rsidRPr="00282AC9">
        <w:rPr>
          <w:sz w:val="27"/>
          <w:rtl/>
        </w:rPr>
        <w:t xml:space="preserve"> </w:t>
      </w:r>
      <w:r w:rsidRPr="00282AC9">
        <w:rPr>
          <w:rFonts w:hint="cs"/>
          <w:sz w:val="27"/>
          <w:rtl/>
        </w:rPr>
        <w:t>محمد</w:t>
      </w:r>
      <w:r w:rsidRPr="00282AC9">
        <w:rPr>
          <w:sz w:val="27"/>
          <w:rtl/>
        </w:rPr>
        <w:t xml:space="preserve"> </w:t>
      </w:r>
      <w:r w:rsidRPr="00282AC9">
        <w:rPr>
          <w:rFonts w:hint="cs"/>
          <w:sz w:val="27"/>
          <w:rtl/>
        </w:rPr>
        <w:t>بن</w:t>
      </w:r>
      <w:r w:rsidRPr="00282AC9">
        <w:rPr>
          <w:sz w:val="27"/>
          <w:rtl/>
        </w:rPr>
        <w:t xml:space="preserve"> </w:t>
      </w:r>
      <w:r w:rsidRPr="00282AC9">
        <w:rPr>
          <w:rFonts w:hint="cs"/>
          <w:sz w:val="27"/>
          <w:rtl/>
        </w:rPr>
        <w:t>عمر</w:t>
      </w:r>
      <w:r w:rsidRPr="00282AC9">
        <w:rPr>
          <w:sz w:val="27"/>
          <w:rtl/>
        </w:rPr>
        <w:t xml:space="preserve"> </w:t>
      </w:r>
      <w:r w:rsidRPr="00282AC9">
        <w:rPr>
          <w:rFonts w:hint="cs"/>
          <w:sz w:val="27"/>
          <w:rtl/>
        </w:rPr>
        <w:t>بن</w:t>
      </w:r>
      <w:r w:rsidRPr="00282AC9">
        <w:rPr>
          <w:sz w:val="27"/>
          <w:rtl/>
        </w:rPr>
        <w:t xml:space="preserve"> </w:t>
      </w:r>
      <w:r w:rsidRPr="00282AC9">
        <w:rPr>
          <w:rFonts w:hint="cs"/>
          <w:sz w:val="27"/>
          <w:rtl/>
        </w:rPr>
        <w:t>علي</w:t>
      </w:r>
      <w:r w:rsidR="00454CDD" w:rsidRPr="00282AC9">
        <w:rPr>
          <w:rFonts w:hint="cs"/>
          <w:sz w:val="27"/>
          <w:rtl/>
        </w:rPr>
        <w:t>ّ</w:t>
      </w:r>
      <w:r w:rsidRPr="00282AC9">
        <w:rPr>
          <w:rFonts w:hint="cs"/>
          <w:sz w:val="27"/>
          <w:rtl/>
        </w:rPr>
        <w:t>،</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أبيه</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جد</w:t>
      </w:r>
      <w:r w:rsidR="00454CDD" w:rsidRPr="00282AC9">
        <w:rPr>
          <w:rFonts w:hint="cs"/>
          <w:sz w:val="27"/>
          <w:rtl/>
        </w:rPr>
        <w:t>ّ</w:t>
      </w:r>
      <w:r w:rsidRPr="00282AC9">
        <w:rPr>
          <w:rFonts w:hint="cs"/>
          <w:sz w:val="27"/>
          <w:rtl/>
        </w:rPr>
        <w:t>ه</w:t>
      </w:r>
      <w:r w:rsidR="009A2A04" w:rsidRPr="00282AC9">
        <w:rPr>
          <w:rFonts w:cs="Mosawi"/>
          <w:sz w:val="22"/>
          <w:szCs w:val="22"/>
          <w:rtl/>
        </w:rPr>
        <w:t>×</w:t>
      </w:r>
      <w:r w:rsidRPr="00282AC9">
        <w:rPr>
          <w:sz w:val="27"/>
          <w:rtl/>
        </w:rPr>
        <w:t xml:space="preserve"> </w:t>
      </w:r>
      <w:r w:rsidRPr="00282AC9">
        <w:rPr>
          <w:rFonts w:hint="cs"/>
          <w:sz w:val="27"/>
          <w:rtl/>
        </w:rPr>
        <w:t xml:space="preserve">قال: </w:t>
      </w:r>
      <w:r w:rsidRPr="00282AC9">
        <w:rPr>
          <w:rFonts w:hint="eastAsia"/>
          <w:sz w:val="24"/>
          <w:szCs w:val="24"/>
          <w:rtl/>
        </w:rPr>
        <w:t>«</w:t>
      </w:r>
      <w:r w:rsidRPr="00282AC9">
        <w:rPr>
          <w:rFonts w:hint="cs"/>
          <w:sz w:val="27"/>
          <w:rtl/>
        </w:rPr>
        <w:t>لم</w:t>
      </w:r>
      <w:r w:rsidR="00454CDD" w:rsidRPr="00282AC9">
        <w:rPr>
          <w:rFonts w:hint="cs"/>
          <w:sz w:val="27"/>
          <w:rtl/>
        </w:rPr>
        <w:t>ّ</w:t>
      </w:r>
      <w:r w:rsidRPr="00282AC9">
        <w:rPr>
          <w:rFonts w:hint="cs"/>
          <w:sz w:val="27"/>
          <w:rtl/>
        </w:rPr>
        <w:t>ا</w:t>
      </w:r>
      <w:r w:rsidRPr="00282AC9">
        <w:rPr>
          <w:sz w:val="27"/>
          <w:rtl/>
        </w:rPr>
        <w:t xml:space="preserve"> </w:t>
      </w:r>
      <w:r w:rsidRPr="00282AC9">
        <w:rPr>
          <w:rFonts w:hint="cs"/>
          <w:sz w:val="27"/>
          <w:rtl/>
        </w:rPr>
        <w:t>نزلت</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النبي</w:t>
      </w:r>
      <w:r w:rsidR="00454CDD" w:rsidRPr="00282AC9">
        <w:rPr>
          <w:rFonts w:hint="cs"/>
          <w:sz w:val="27"/>
          <w:rtl/>
        </w:rPr>
        <w:t>ّ</w:t>
      </w:r>
      <w:r w:rsidR="009A2A04" w:rsidRPr="00282AC9">
        <w:rPr>
          <w:rFonts w:cs="Mosawi" w:hint="cs"/>
          <w:sz w:val="22"/>
          <w:szCs w:val="22"/>
          <w:rtl/>
        </w:rPr>
        <w:t>|</w:t>
      </w:r>
      <w:r w:rsidRPr="00282AC9">
        <w:rPr>
          <w:sz w:val="27"/>
          <w:rtl/>
        </w:rPr>
        <w:t xml:space="preserve">: </w:t>
      </w:r>
      <w:r w:rsidRPr="00282AC9">
        <w:rPr>
          <w:rFonts w:ascii="Mosawi" w:hAnsi="Mosawi" w:cs="Mosawi"/>
          <w:sz w:val="24"/>
          <w:szCs w:val="24"/>
          <w:rtl/>
        </w:rPr>
        <w:t>﴿</w:t>
      </w:r>
      <w:r w:rsidR="00454CDD" w:rsidRPr="00282AC9">
        <w:rPr>
          <w:b/>
          <w:bCs/>
          <w:sz w:val="27"/>
          <w:rtl/>
        </w:rPr>
        <w:t>إِذَا جَاءَ نَصْرُ اللهِ وَالْفَتْحُ</w:t>
      </w:r>
      <w:r w:rsidRPr="00282AC9">
        <w:rPr>
          <w:rFonts w:ascii="Mosawi" w:hAnsi="Mosawi" w:cs="Mosawi"/>
          <w:sz w:val="24"/>
          <w:szCs w:val="24"/>
          <w:rtl/>
        </w:rPr>
        <w:t>﴾</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لي</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علي</w:t>
      </w:r>
      <w:r w:rsidR="00454CDD" w:rsidRPr="00282AC9">
        <w:rPr>
          <w:rFonts w:hint="cs"/>
          <w:sz w:val="27"/>
          <w:rtl/>
        </w:rPr>
        <w:t>ّ،</w:t>
      </w:r>
      <w:r w:rsidRPr="00282AC9">
        <w:rPr>
          <w:sz w:val="27"/>
          <w:rtl/>
        </w:rPr>
        <w:t xml:space="preserve"> </w:t>
      </w:r>
      <w:r w:rsidRPr="00282AC9">
        <w:rPr>
          <w:rFonts w:hint="cs"/>
          <w:sz w:val="27"/>
          <w:rtl/>
        </w:rPr>
        <w:t>إنه</w:t>
      </w:r>
      <w:r w:rsidRPr="00282AC9">
        <w:rPr>
          <w:sz w:val="27"/>
          <w:rtl/>
        </w:rPr>
        <w:t xml:space="preserve"> </w:t>
      </w:r>
      <w:r w:rsidRPr="00282AC9">
        <w:rPr>
          <w:rFonts w:hint="cs"/>
          <w:sz w:val="27"/>
          <w:rtl/>
        </w:rPr>
        <w:t>قد جاء</w:t>
      </w:r>
      <w:r w:rsidRPr="00282AC9">
        <w:rPr>
          <w:sz w:val="27"/>
          <w:rtl/>
        </w:rPr>
        <w:t xml:space="preserve"> </w:t>
      </w:r>
      <w:r w:rsidRPr="00282AC9">
        <w:rPr>
          <w:rFonts w:hint="cs"/>
          <w:sz w:val="27"/>
          <w:rtl/>
        </w:rPr>
        <w:t>نصر</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والفتح</w:t>
      </w:r>
      <w:r w:rsidRPr="00282AC9">
        <w:rPr>
          <w:sz w:val="27"/>
          <w:rtl/>
        </w:rPr>
        <w:t xml:space="preserve">، </w:t>
      </w:r>
      <w:r w:rsidRPr="00282AC9">
        <w:rPr>
          <w:rFonts w:hint="cs"/>
          <w:sz w:val="27"/>
          <w:rtl/>
        </w:rPr>
        <w:t>فإذا</w:t>
      </w:r>
      <w:r w:rsidRPr="00282AC9">
        <w:rPr>
          <w:sz w:val="27"/>
          <w:rtl/>
        </w:rPr>
        <w:t xml:space="preserve"> </w:t>
      </w:r>
      <w:r w:rsidRPr="00282AC9">
        <w:rPr>
          <w:rFonts w:hint="cs"/>
          <w:sz w:val="27"/>
          <w:rtl/>
        </w:rPr>
        <w:t>رأي</w:t>
      </w:r>
      <w:r w:rsidR="00454CDD" w:rsidRPr="00282AC9">
        <w:rPr>
          <w:rFonts w:hint="cs"/>
          <w:sz w:val="27"/>
          <w:rtl/>
        </w:rPr>
        <w:t>ْ</w:t>
      </w:r>
      <w:r w:rsidRPr="00282AC9">
        <w:rPr>
          <w:rFonts w:hint="cs"/>
          <w:sz w:val="27"/>
          <w:rtl/>
        </w:rPr>
        <w:t>ت</w:t>
      </w:r>
      <w:r w:rsidR="00454CDD" w:rsidRPr="00282AC9">
        <w:rPr>
          <w:rFonts w:hint="cs"/>
          <w:sz w:val="27"/>
          <w:rtl/>
        </w:rPr>
        <w:t>َ</w:t>
      </w:r>
      <w:r w:rsidRPr="00282AC9">
        <w:rPr>
          <w:sz w:val="27"/>
          <w:rtl/>
        </w:rPr>
        <w:t xml:space="preserve"> </w:t>
      </w:r>
      <w:r w:rsidRPr="00282AC9">
        <w:rPr>
          <w:rFonts w:hint="cs"/>
          <w:sz w:val="27"/>
          <w:rtl/>
        </w:rPr>
        <w:t>الناس</w:t>
      </w:r>
      <w:r w:rsidRPr="00282AC9">
        <w:rPr>
          <w:sz w:val="27"/>
          <w:rtl/>
        </w:rPr>
        <w:t xml:space="preserve"> </w:t>
      </w:r>
      <w:r w:rsidRPr="00282AC9">
        <w:rPr>
          <w:rFonts w:hint="cs"/>
          <w:sz w:val="27"/>
          <w:rtl/>
        </w:rPr>
        <w:t>يدخلون</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دين</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أفواجا</w:t>
      </w:r>
      <w:r w:rsidR="00454CDD" w:rsidRPr="00282AC9">
        <w:rPr>
          <w:rFonts w:hint="cs"/>
          <w:sz w:val="27"/>
          <w:rtl/>
        </w:rPr>
        <w:t>ً</w:t>
      </w:r>
      <w:r w:rsidRPr="00282AC9">
        <w:rPr>
          <w:sz w:val="27"/>
          <w:rtl/>
        </w:rPr>
        <w:t xml:space="preserve"> </w:t>
      </w:r>
      <w:r w:rsidRPr="00282AC9">
        <w:rPr>
          <w:rFonts w:hint="cs"/>
          <w:sz w:val="27"/>
          <w:rtl/>
        </w:rPr>
        <w:t>فسب</w:t>
      </w:r>
      <w:r w:rsidR="00454CDD" w:rsidRPr="00282AC9">
        <w:rPr>
          <w:rFonts w:hint="cs"/>
          <w:sz w:val="27"/>
          <w:rtl/>
        </w:rPr>
        <w:t>ِّ</w:t>
      </w:r>
      <w:r w:rsidRPr="00282AC9">
        <w:rPr>
          <w:rFonts w:hint="cs"/>
          <w:sz w:val="27"/>
          <w:rtl/>
        </w:rPr>
        <w:t>ح</w:t>
      </w:r>
      <w:r w:rsidRPr="00282AC9">
        <w:rPr>
          <w:sz w:val="27"/>
          <w:rtl/>
        </w:rPr>
        <w:t xml:space="preserve"> </w:t>
      </w:r>
      <w:r w:rsidRPr="00282AC9">
        <w:rPr>
          <w:rFonts w:hint="cs"/>
          <w:sz w:val="27"/>
          <w:rtl/>
        </w:rPr>
        <w:t>بحمد رب</w:t>
      </w:r>
      <w:r w:rsidR="00454CDD" w:rsidRPr="00282AC9">
        <w:rPr>
          <w:rFonts w:hint="cs"/>
          <w:sz w:val="27"/>
          <w:rtl/>
        </w:rPr>
        <w:t>ِّ</w:t>
      </w:r>
      <w:r w:rsidRPr="00282AC9">
        <w:rPr>
          <w:rFonts w:hint="cs"/>
          <w:sz w:val="27"/>
          <w:rtl/>
        </w:rPr>
        <w:t>ك</w:t>
      </w:r>
      <w:r w:rsidRPr="00282AC9">
        <w:rPr>
          <w:sz w:val="27"/>
          <w:rtl/>
        </w:rPr>
        <w:t xml:space="preserve"> </w:t>
      </w:r>
      <w:r w:rsidRPr="00282AC9">
        <w:rPr>
          <w:rFonts w:hint="cs"/>
          <w:sz w:val="27"/>
          <w:rtl/>
        </w:rPr>
        <w:t>واستغف</w:t>
      </w:r>
      <w:r w:rsidR="00454CDD" w:rsidRPr="00282AC9">
        <w:rPr>
          <w:rFonts w:hint="cs"/>
          <w:sz w:val="27"/>
          <w:rtl/>
        </w:rPr>
        <w:t>ِ</w:t>
      </w:r>
      <w:r w:rsidRPr="00282AC9">
        <w:rPr>
          <w:rFonts w:hint="cs"/>
          <w:sz w:val="27"/>
          <w:rtl/>
        </w:rPr>
        <w:t>ر</w:t>
      </w:r>
      <w:r w:rsidR="00454CDD" w:rsidRPr="00282AC9">
        <w:rPr>
          <w:rFonts w:hint="cs"/>
          <w:sz w:val="27"/>
          <w:rtl/>
        </w:rPr>
        <w:t>ْ</w:t>
      </w:r>
      <w:r w:rsidRPr="00282AC9">
        <w:rPr>
          <w:rFonts w:hint="cs"/>
          <w:sz w:val="27"/>
          <w:rtl/>
        </w:rPr>
        <w:t>ه</w:t>
      </w:r>
      <w:r w:rsidRPr="00282AC9">
        <w:rPr>
          <w:sz w:val="27"/>
          <w:rtl/>
        </w:rPr>
        <w:t xml:space="preserve"> </w:t>
      </w:r>
      <w:r w:rsidRPr="00282AC9">
        <w:rPr>
          <w:rFonts w:hint="cs"/>
          <w:sz w:val="27"/>
          <w:rtl/>
        </w:rPr>
        <w:t>إن</w:t>
      </w:r>
      <w:r w:rsidR="00454CDD" w:rsidRPr="00282AC9">
        <w:rPr>
          <w:rFonts w:hint="cs"/>
          <w:sz w:val="27"/>
          <w:rtl/>
        </w:rPr>
        <w:t>ّ</w:t>
      </w:r>
      <w:r w:rsidRPr="00282AC9">
        <w:rPr>
          <w:rFonts w:hint="cs"/>
          <w:sz w:val="27"/>
          <w:rtl/>
        </w:rPr>
        <w:t>ه</w:t>
      </w:r>
      <w:r w:rsidRPr="00282AC9">
        <w:rPr>
          <w:sz w:val="27"/>
          <w:rtl/>
        </w:rPr>
        <w:t xml:space="preserve"> </w:t>
      </w:r>
      <w:r w:rsidRPr="00282AC9">
        <w:rPr>
          <w:rFonts w:hint="cs"/>
          <w:sz w:val="27"/>
          <w:rtl/>
        </w:rPr>
        <w:t>كان</w:t>
      </w:r>
      <w:r w:rsidRPr="00282AC9">
        <w:rPr>
          <w:sz w:val="27"/>
          <w:rtl/>
        </w:rPr>
        <w:t xml:space="preserve"> </w:t>
      </w:r>
      <w:r w:rsidRPr="00282AC9">
        <w:rPr>
          <w:rFonts w:hint="cs"/>
          <w:sz w:val="27"/>
          <w:rtl/>
        </w:rPr>
        <w:t>تو</w:t>
      </w:r>
      <w:r w:rsidR="00454CDD" w:rsidRPr="00282AC9">
        <w:rPr>
          <w:rFonts w:hint="cs"/>
          <w:sz w:val="27"/>
          <w:rtl/>
        </w:rPr>
        <w:t>ّ</w:t>
      </w:r>
      <w:r w:rsidRPr="00282AC9">
        <w:rPr>
          <w:rFonts w:hint="cs"/>
          <w:sz w:val="27"/>
          <w:rtl/>
        </w:rPr>
        <w:t>ابا</w:t>
      </w:r>
      <w:r w:rsidR="00454CDD" w:rsidRPr="00282AC9">
        <w:rPr>
          <w:rFonts w:hint="cs"/>
          <w:sz w:val="27"/>
          <w:rtl/>
        </w:rPr>
        <w:t>ً</w:t>
      </w:r>
      <w:r w:rsidRPr="00282AC9">
        <w:rPr>
          <w:sz w:val="27"/>
          <w:rtl/>
        </w:rPr>
        <w:t>.</w:t>
      </w:r>
      <w:r w:rsidR="00454CDD" w:rsidRPr="00282AC9">
        <w:rPr>
          <w:rFonts w:hint="cs"/>
          <w:sz w:val="27"/>
          <w:rtl/>
        </w:rPr>
        <w:t xml:space="preserve"> </w:t>
      </w:r>
      <w:r w:rsidRPr="00282AC9">
        <w:rPr>
          <w:rFonts w:hint="cs"/>
          <w:sz w:val="27"/>
          <w:rtl/>
        </w:rPr>
        <w:lastRenderedPageBreak/>
        <w:t>يا</w:t>
      </w:r>
      <w:r w:rsidRPr="00282AC9">
        <w:rPr>
          <w:sz w:val="27"/>
          <w:rtl/>
        </w:rPr>
        <w:t xml:space="preserve"> </w:t>
      </w:r>
      <w:r w:rsidRPr="00282AC9">
        <w:rPr>
          <w:rFonts w:hint="cs"/>
          <w:sz w:val="27"/>
          <w:rtl/>
        </w:rPr>
        <w:t>علي</w:t>
      </w:r>
      <w:r w:rsidR="00454CDD" w:rsidRPr="00282AC9">
        <w:rPr>
          <w:rFonts w:hint="cs"/>
          <w:sz w:val="27"/>
          <w:rtl/>
        </w:rPr>
        <w:t>ّ،</w:t>
      </w:r>
      <w:r w:rsidRPr="00282AC9">
        <w:rPr>
          <w:sz w:val="27"/>
          <w:rtl/>
        </w:rPr>
        <w:t xml:space="preserve"> </w:t>
      </w:r>
      <w:r w:rsidRPr="00282AC9">
        <w:rPr>
          <w:rFonts w:hint="cs"/>
          <w:sz w:val="27"/>
          <w:rtl/>
        </w:rPr>
        <w:t>إن</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قد</w:t>
      </w:r>
      <w:r w:rsidRPr="00282AC9">
        <w:rPr>
          <w:sz w:val="27"/>
          <w:rtl/>
        </w:rPr>
        <w:t xml:space="preserve"> </w:t>
      </w:r>
      <w:r w:rsidRPr="00282AC9">
        <w:rPr>
          <w:rFonts w:hint="cs"/>
          <w:sz w:val="27"/>
          <w:rtl/>
        </w:rPr>
        <w:t>كتب</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المؤمنين</w:t>
      </w:r>
      <w:r w:rsidRPr="00282AC9">
        <w:rPr>
          <w:sz w:val="27"/>
          <w:rtl/>
        </w:rPr>
        <w:t xml:space="preserve"> </w:t>
      </w:r>
      <w:r w:rsidRPr="00282AC9">
        <w:rPr>
          <w:rFonts w:hint="cs"/>
          <w:sz w:val="27"/>
          <w:rtl/>
        </w:rPr>
        <w:t>الجهاد</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الفتنة</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بعدي</w:t>
      </w:r>
      <w:r w:rsidR="00454CDD" w:rsidRPr="00282AC9">
        <w:rPr>
          <w:rFonts w:hint="cs"/>
          <w:sz w:val="27"/>
          <w:rtl/>
        </w:rPr>
        <w:t>،</w:t>
      </w:r>
      <w:r w:rsidRPr="00282AC9">
        <w:rPr>
          <w:sz w:val="27"/>
          <w:rtl/>
        </w:rPr>
        <w:t xml:space="preserve"> </w:t>
      </w:r>
      <w:r w:rsidRPr="00282AC9">
        <w:rPr>
          <w:rFonts w:hint="cs"/>
          <w:sz w:val="27"/>
          <w:rtl/>
        </w:rPr>
        <w:t>كما كتب</w:t>
      </w:r>
      <w:r w:rsidRPr="00282AC9">
        <w:rPr>
          <w:sz w:val="27"/>
          <w:rtl/>
        </w:rPr>
        <w:t xml:space="preserve"> </w:t>
      </w:r>
      <w:r w:rsidRPr="00282AC9">
        <w:rPr>
          <w:rFonts w:hint="cs"/>
          <w:sz w:val="27"/>
          <w:rtl/>
        </w:rPr>
        <w:t>عليهم</w:t>
      </w:r>
      <w:r w:rsidRPr="00282AC9">
        <w:rPr>
          <w:sz w:val="27"/>
          <w:rtl/>
        </w:rPr>
        <w:t xml:space="preserve"> </w:t>
      </w:r>
      <w:r w:rsidRPr="00282AC9">
        <w:rPr>
          <w:rFonts w:hint="cs"/>
          <w:sz w:val="27"/>
          <w:rtl/>
        </w:rPr>
        <w:t>جهاد</w:t>
      </w:r>
      <w:r w:rsidRPr="00282AC9">
        <w:rPr>
          <w:sz w:val="27"/>
          <w:rtl/>
        </w:rPr>
        <w:t xml:space="preserve"> </w:t>
      </w:r>
      <w:r w:rsidRPr="00282AC9">
        <w:rPr>
          <w:rFonts w:hint="cs"/>
          <w:sz w:val="27"/>
          <w:rtl/>
        </w:rPr>
        <w:t>المشركين</w:t>
      </w:r>
      <w:r w:rsidRPr="00282AC9">
        <w:rPr>
          <w:sz w:val="27"/>
          <w:rtl/>
        </w:rPr>
        <w:t xml:space="preserve"> </w:t>
      </w:r>
      <w:r w:rsidRPr="00282AC9">
        <w:rPr>
          <w:rFonts w:hint="cs"/>
          <w:sz w:val="27"/>
          <w:rtl/>
        </w:rPr>
        <w:t>معي</w:t>
      </w:r>
      <w:r w:rsidRPr="00282AC9">
        <w:rPr>
          <w:sz w:val="27"/>
          <w:rtl/>
        </w:rPr>
        <w:t xml:space="preserve">، </w:t>
      </w:r>
      <w:r w:rsidRPr="00282AC9">
        <w:rPr>
          <w:rFonts w:hint="cs"/>
          <w:sz w:val="27"/>
          <w:rtl/>
        </w:rPr>
        <w:t>فقلت</w:t>
      </w:r>
      <w:r w:rsidR="00454CDD" w:rsidRPr="00282AC9">
        <w:rPr>
          <w:rFonts w:hint="cs"/>
          <w:sz w:val="27"/>
          <w:rtl/>
        </w:rPr>
        <w:t>ُ</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454CDD" w:rsidRPr="00282AC9">
        <w:rPr>
          <w:rFonts w:hint="cs"/>
          <w:sz w:val="27"/>
          <w:rtl/>
        </w:rPr>
        <w:t>،</w:t>
      </w:r>
      <w:r w:rsidRPr="00282AC9">
        <w:rPr>
          <w:sz w:val="27"/>
          <w:rtl/>
        </w:rPr>
        <w:t xml:space="preserve"> </w:t>
      </w:r>
      <w:r w:rsidRPr="00282AC9">
        <w:rPr>
          <w:rFonts w:hint="cs"/>
          <w:sz w:val="27"/>
          <w:rtl/>
        </w:rPr>
        <w:t>وما</w:t>
      </w:r>
      <w:r w:rsidRPr="00282AC9">
        <w:rPr>
          <w:sz w:val="27"/>
          <w:rtl/>
        </w:rPr>
        <w:t xml:space="preserve"> </w:t>
      </w:r>
      <w:r w:rsidRPr="00282AC9">
        <w:rPr>
          <w:rFonts w:hint="cs"/>
          <w:sz w:val="27"/>
          <w:rtl/>
        </w:rPr>
        <w:t>الفتنة</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ك</w:t>
      </w:r>
      <w:r w:rsidR="00454CDD" w:rsidRPr="00282AC9">
        <w:rPr>
          <w:rFonts w:hint="cs"/>
          <w:sz w:val="27"/>
          <w:rtl/>
        </w:rPr>
        <w:t>ُ</w:t>
      </w:r>
      <w:r w:rsidRPr="00282AC9">
        <w:rPr>
          <w:rFonts w:hint="cs"/>
          <w:sz w:val="27"/>
          <w:rtl/>
        </w:rPr>
        <w:t>ت</w:t>
      </w:r>
      <w:r w:rsidR="00454CDD" w:rsidRPr="00282AC9">
        <w:rPr>
          <w:rFonts w:hint="cs"/>
          <w:sz w:val="27"/>
          <w:rtl/>
        </w:rPr>
        <w:t>ِ</w:t>
      </w:r>
      <w:r w:rsidRPr="00282AC9">
        <w:rPr>
          <w:rFonts w:hint="cs"/>
          <w:sz w:val="27"/>
          <w:rtl/>
        </w:rPr>
        <w:t>ب</w:t>
      </w:r>
      <w:r w:rsidR="00454CDD" w:rsidRPr="00282AC9">
        <w:rPr>
          <w:rFonts w:hint="cs"/>
          <w:sz w:val="27"/>
          <w:rtl/>
        </w:rPr>
        <w:t>َ</w:t>
      </w:r>
      <w:r w:rsidRPr="00282AC9">
        <w:rPr>
          <w:sz w:val="27"/>
          <w:rtl/>
        </w:rPr>
        <w:t xml:space="preserve"> </w:t>
      </w:r>
      <w:r w:rsidRPr="00282AC9">
        <w:rPr>
          <w:rFonts w:hint="cs"/>
          <w:sz w:val="27"/>
          <w:rtl/>
        </w:rPr>
        <w:t>علينا فيها</w:t>
      </w:r>
      <w:r w:rsidRPr="00282AC9">
        <w:rPr>
          <w:sz w:val="27"/>
          <w:rtl/>
        </w:rPr>
        <w:t xml:space="preserve"> </w:t>
      </w:r>
      <w:r w:rsidRPr="00282AC9">
        <w:rPr>
          <w:rFonts w:hint="cs"/>
          <w:sz w:val="27"/>
          <w:rtl/>
        </w:rPr>
        <w:t>الجهاد</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فتنة</w:t>
      </w:r>
      <w:r w:rsidR="00454CDD" w:rsidRPr="00282AC9">
        <w:rPr>
          <w:rFonts w:hint="cs"/>
          <w:sz w:val="27"/>
          <w:rtl/>
        </w:rPr>
        <w:t>ُ</w:t>
      </w:r>
      <w:r w:rsidRPr="00282AC9">
        <w:rPr>
          <w:sz w:val="27"/>
          <w:rtl/>
        </w:rPr>
        <w:t xml:space="preserve"> </w:t>
      </w:r>
      <w:r w:rsidRPr="00282AC9">
        <w:rPr>
          <w:rFonts w:hint="cs"/>
          <w:sz w:val="27"/>
          <w:rtl/>
        </w:rPr>
        <w:t>قوم</w:t>
      </w:r>
      <w:r w:rsidR="00454CDD" w:rsidRPr="00282AC9">
        <w:rPr>
          <w:rFonts w:hint="cs"/>
          <w:sz w:val="27"/>
          <w:rtl/>
        </w:rPr>
        <w:t>ٍ</w:t>
      </w:r>
      <w:r w:rsidRPr="00282AC9">
        <w:rPr>
          <w:sz w:val="27"/>
          <w:rtl/>
        </w:rPr>
        <w:t xml:space="preserve"> </w:t>
      </w:r>
      <w:r w:rsidRPr="00282AC9">
        <w:rPr>
          <w:rFonts w:hint="cs"/>
          <w:sz w:val="27"/>
          <w:rtl/>
        </w:rPr>
        <w:t>يشهدون</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لا</w:t>
      </w:r>
      <w:r w:rsidRPr="00282AC9">
        <w:rPr>
          <w:sz w:val="27"/>
          <w:rtl/>
        </w:rPr>
        <w:t xml:space="preserve"> </w:t>
      </w:r>
      <w:r w:rsidRPr="00282AC9">
        <w:rPr>
          <w:rFonts w:hint="cs"/>
          <w:sz w:val="27"/>
          <w:rtl/>
        </w:rPr>
        <w:t>إله</w:t>
      </w:r>
      <w:r w:rsidRPr="00282AC9">
        <w:rPr>
          <w:sz w:val="27"/>
          <w:rtl/>
        </w:rPr>
        <w:t xml:space="preserve"> </w:t>
      </w:r>
      <w:r w:rsidRPr="00282AC9">
        <w:rPr>
          <w:rFonts w:hint="cs"/>
          <w:sz w:val="27"/>
          <w:rtl/>
        </w:rPr>
        <w:t>إلا</w:t>
      </w:r>
      <w:r w:rsidR="00454CDD" w:rsidRPr="00282AC9">
        <w:rPr>
          <w:rFonts w:hint="cs"/>
          <w:sz w:val="27"/>
          <w:rtl/>
        </w:rPr>
        <w:t>ّ</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و</w:t>
      </w:r>
      <w:r w:rsidR="00454CDD" w:rsidRPr="00282AC9">
        <w:rPr>
          <w:rFonts w:hint="cs"/>
          <w:sz w:val="27"/>
          <w:rtl/>
        </w:rPr>
        <w:t>أ</w:t>
      </w:r>
      <w:r w:rsidRPr="00282AC9">
        <w:rPr>
          <w:rFonts w:hint="cs"/>
          <w:sz w:val="27"/>
          <w:rtl/>
        </w:rPr>
        <w:t>ني</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454CDD" w:rsidRPr="00282AC9">
        <w:rPr>
          <w:rFonts w:hint="cs"/>
          <w:sz w:val="27"/>
          <w:rtl/>
        </w:rPr>
        <w:t>،</w:t>
      </w:r>
      <w:r w:rsidRPr="00282AC9">
        <w:rPr>
          <w:sz w:val="27"/>
          <w:rtl/>
        </w:rPr>
        <w:t xml:space="preserve"> </w:t>
      </w:r>
      <w:r w:rsidRPr="00282AC9">
        <w:rPr>
          <w:rFonts w:hint="cs"/>
          <w:sz w:val="27"/>
          <w:rtl/>
        </w:rPr>
        <w:t>وهم</w:t>
      </w:r>
      <w:r w:rsidRPr="00282AC9">
        <w:rPr>
          <w:sz w:val="27"/>
          <w:rtl/>
        </w:rPr>
        <w:t xml:space="preserve"> </w:t>
      </w:r>
      <w:r w:rsidRPr="00282AC9">
        <w:rPr>
          <w:rFonts w:hint="cs"/>
          <w:sz w:val="27"/>
          <w:rtl/>
        </w:rPr>
        <w:t>مخالفون</w:t>
      </w:r>
      <w:r w:rsidRPr="00282AC9">
        <w:rPr>
          <w:sz w:val="27"/>
          <w:rtl/>
        </w:rPr>
        <w:t xml:space="preserve"> </w:t>
      </w:r>
      <w:r w:rsidRPr="00282AC9">
        <w:rPr>
          <w:rFonts w:hint="cs"/>
          <w:sz w:val="27"/>
          <w:rtl/>
        </w:rPr>
        <w:t>لس</w:t>
      </w:r>
      <w:r w:rsidR="00454CDD" w:rsidRPr="00282AC9">
        <w:rPr>
          <w:rFonts w:hint="cs"/>
          <w:sz w:val="27"/>
          <w:rtl/>
        </w:rPr>
        <w:t>ُ</w:t>
      </w:r>
      <w:r w:rsidRPr="00282AC9">
        <w:rPr>
          <w:rFonts w:hint="cs"/>
          <w:sz w:val="27"/>
          <w:rtl/>
        </w:rPr>
        <w:t>ن</w:t>
      </w:r>
      <w:r w:rsidR="00454CDD" w:rsidRPr="00282AC9">
        <w:rPr>
          <w:rFonts w:hint="cs"/>
          <w:sz w:val="27"/>
          <w:rtl/>
        </w:rPr>
        <w:t>َّ</w:t>
      </w:r>
      <w:r w:rsidRPr="00282AC9">
        <w:rPr>
          <w:rFonts w:hint="cs"/>
          <w:sz w:val="27"/>
          <w:rtl/>
        </w:rPr>
        <w:t>تي</w:t>
      </w:r>
      <w:r w:rsidR="00454CDD" w:rsidRPr="00282AC9">
        <w:rPr>
          <w:rFonts w:hint="cs"/>
          <w:sz w:val="27"/>
          <w:rtl/>
        </w:rPr>
        <w:t>،</w:t>
      </w:r>
      <w:r w:rsidRPr="00282AC9">
        <w:rPr>
          <w:sz w:val="27"/>
          <w:rtl/>
        </w:rPr>
        <w:t xml:space="preserve"> </w:t>
      </w:r>
      <w:r w:rsidRPr="00282AC9">
        <w:rPr>
          <w:rFonts w:hint="cs"/>
          <w:sz w:val="27"/>
          <w:rtl/>
        </w:rPr>
        <w:t>وطاعنون</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ديني</w:t>
      </w:r>
      <w:r w:rsidRPr="00282AC9">
        <w:rPr>
          <w:sz w:val="27"/>
          <w:rtl/>
        </w:rPr>
        <w:t xml:space="preserve">. </w:t>
      </w:r>
      <w:r w:rsidRPr="00282AC9">
        <w:rPr>
          <w:rFonts w:hint="cs"/>
          <w:sz w:val="27"/>
          <w:rtl/>
        </w:rPr>
        <w:t>فقلت</w:t>
      </w:r>
      <w:r w:rsidR="00454CDD" w:rsidRPr="00282AC9">
        <w:rPr>
          <w:rFonts w:hint="cs"/>
          <w:sz w:val="27"/>
          <w:rtl/>
        </w:rPr>
        <w:t>ُ</w:t>
      </w:r>
      <w:r w:rsidRPr="00282AC9">
        <w:rPr>
          <w:sz w:val="27"/>
          <w:rtl/>
        </w:rPr>
        <w:t xml:space="preserve">: </w:t>
      </w:r>
      <w:r w:rsidRPr="00282AC9">
        <w:rPr>
          <w:rFonts w:hint="cs"/>
          <w:sz w:val="27"/>
          <w:rtl/>
        </w:rPr>
        <w:t>فعلام</w:t>
      </w:r>
      <w:r w:rsidR="00454CDD" w:rsidRPr="00282AC9">
        <w:rPr>
          <w:rFonts w:hint="cs"/>
          <w:sz w:val="27"/>
          <w:rtl/>
        </w:rPr>
        <w:t>َ</w:t>
      </w:r>
      <w:r w:rsidRPr="00282AC9">
        <w:rPr>
          <w:sz w:val="27"/>
          <w:rtl/>
        </w:rPr>
        <w:t xml:space="preserve"> </w:t>
      </w:r>
      <w:r w:rsidRPr="00282AC9">
        <w:rPr>
          <w:rFonts w:hint="cs"/>
          <w:sz w:val="27"/>
          <w:rtl/>
        </w:rPr>
        <w:t>نقاتلهم</w:t>
      </w:r>
      <w:r w:rsidR="00454CDD" w:rsidRPr="00282AC9">
        <w:rPr>
          <w:rFonts w:hint="cs"/>
          <w:sz w:val="27"/>
          <w:rtl/>
        </w:rPr>
        <w:t>،</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454CDD" w:rsidRPr="00282AC9">
        <w:rPr>
          <w:rFonts w:hint="cs"/>
          <w:sz w:val="27"/>
          <w:rtl/>
        </w:rPr>
        <w:t>،</w:t>
      </w:r>
      <w:r w:rsidRPr="00282AC9">
        <w:rPr>
          <w:rFonts w:hint="cs"/>
          <w:sz w:val="27"/>
          <w:rtl/>
        </w:rPr>
        <w:t xml:space="preserve"> وهم</w:t>
      </w:r>
      <w:r w:rsidRPr="00282AC9">
        <w:rPr>
          <w:sz w:val="27"/>
          <w:rtl/>
        </w:rPr>
        <w:t xml:space="preserve"> </w:t>
      </w:r>
      <w:r w:rsidRPr="00282AC9">
        <w:rPr>
          <w:rFonts w:hint="cs"/>
          <w:sz w:val="27"/>
          <w:rtl/>
        </w:rPr>
        <w:t>يشهدون</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لا</w:t>
      </w:r>
      <w:r w:rsidRPr="00282AC9">
        <w:rPr>
          <w:sz w:val="27"/>
          <w:rtl/>
        </w:rPr>
        <w:t xml:space="preserve"> </w:t>
      </w:r>
      <w:r w:rsidRPr="00282AC9">
        <w:rPr>
          <w:rFonts w:hint="cs"/>
          <w:sz w:val="27"/>
          <w:rtl/>
        </w:rPr>
        <w:t>إله</w:t>
      </w:r>
      <w:r w:rsidRPr="00282AC9">
        <w:rPr>
          <w:sz w:val="27"/>
          <w:rtl/>
        </w:rPr>
        <w:t xml:space="preserve"> </w:t>
      </w:r>
      <w:r w:rsidRPr="00282AC9">
        <w:rPr>
          <w:rFonts w:hint="cs"/>
          <w:sz w:val="27"/>
          <w:rtl/>
        </w:rPr>
        <w:t>إلا</w:t>
      </w:r>
      <w:r w:rsidR="00454CDD" w:rsidRPr="00282AC9">
        <w:rPr>
          <w:rFonts w:hint="cs"/>
          <w:sz w:val="27"/>
          <w:rtl/>
        </w:rPr>
        <w:t>ّ</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وأنك</w:t>
      </w:r>
      <w:r w:rsidRPr="00282AC9">
        <w:rPr>
          <w:sz w:val="27"/>
          <w:rtl/>
        </w:rPr>
        <w:t xml:space="preserve"> </w:t>
      </w:r>
      <w:r w:rsidRPr="00282AC9">
        <w:rPr>
          <w:rFonts w:hint="cs"/>
          <w:sz w:val="27"/>
          <w:rtl/>
        </w:rPr>
        <w:t>رسول</w:t>
      </w:r>
      <w:r w:rsidR="00454CDD" w:rsidRPr="00282AC9">
        <w:rPr>
          <w:rFonts w:hint="cs"/>
          <w:sz w:val="27"/>
          <w:rtl/>
        </w:rPr>
        <w:t>ُ</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فقال</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إحداثهم</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دينهم</w:t>
      </w:r>
      <w:r w:rsidRPr="00282AC9">
        <w:rPr>
          <w:sz w:val="27"/>
          <w:rtl/>
        </w:rPr>
        <w:t>،</w:t>
      </w:r>
      <w:r w:rsidRPr="00282AC9">
        <w:rPr>
          <w:rFonts w:hint="cs"/>
          <w:sz w:val="27"/>
          <w:rtl/>
        </w:rPr>
        <w:t xml:space="preserve"> وفراقهم</w:t>
      </w:r>
      <w:r w:rsidRPr="00282AC9">
        <w:rPr>
          <w:sz w:val="27"/>
          <w:rtl/>
        </w:rPr>
        <w:t xml:space="preserve"> </w:t>
      </w:r>
      <w:r w:rsidRPr="00282AC9">
        <w:rPr>
          <w:rFonts w:hint="cs"/>
          <w:sz w:val="27"/>
          <w:rtl/>
        </w:rPr>
        <w:t>لأمري</w:t>
      </w:r>
      <w:r w:rsidRPr="00282AC9">
        <w:rPr>
          <w:sz w:val="27"/>
          <w:rtl/>
        </w:rPr>
        <w:t xml:space="preserve">، </w:t>
      </w:r>
      <w:r w:rsidRPr="00282AC9">
        <w:rPr>
          <w:rFonts w:hint="cs"/>
          <w:sz w:val="27"/>
          <w:rtl/>
        </w:rPr>
        <w:t>واستحلالهم</w:t>
      </w:r>
      <w:r w:rsidRPr="00282AC9">
        <w:rPr>
          <w:sz w:val="27"/>
          <w:rtl/>
        </w:rPr>
        <w:t xml:space="preserve"> </w:t>
      </w:r>
      <w:r w:rsidRPr="00282AC9">
        <w:rPr>
          <w:rFonts w:hint="cs"/>
          <w:sz w:val="27"/>
          <w:rtl/>
        </w:rPr>
        <w:t>دماء</w:t>
      </w:r>
      <w:r w:rsidRPr="00282AC9">
        <w:rPr>
          <w:sz w:val="27"/>
          <w:rtl/>
        </w:rPr>
        <w:t xml:space="preserve"> </w:t>
      </w:r>
      <w:r w:rsidRPr="00282AC9">
        <w:rPr>
          <w:rFonts w:hint="cs"/>
          <w:sz w:val="27"/>
          <w:rtl/>
        </w:rPr>
        <w:t>عترتي</w:t>
      </w:r>
      <w:r w:rsidR="00454CDD" w:rsidRPr="00282AC9">
        <w:rPr>
          <w:rFonts w:hint="cs"/>
          <w:sz w:val="27"/>
          <w:rtl/>
        </w:rPr>
        <w:t xml:space="preserve">، </w:t>
      </w:r>
      <w:r w:rsidRPr="00282AC9">
        <w:rPr>
          <w:rFonts w:hint="cs"/>
          <w:sz w:val="27"/>
          <w:rtl/>
        </w:rPr>
        <w:t>قال</w:t>
      </w:r>
      <w:r w:rsidRPr="00282AC9">
        <w:rPr>
          <w:sz w:val="27"/>
          <w:rtl/>
        </w:rPr>
        <w:t xml:space="preserve">: </w:t>
      </w:r>
      <w:r w:rsidRPr="00282AC9">
        <w:rPr>
          <w:rFonts w:hint="cs"/>
          <w:sz w:val="27"/>
          <w:rtl/>
        </w:rPr>
        <w:t>فقلت</w:t>
      </w:r>
      <w:r w:rsidR="00454CDD" w:rsidRPr="00282AC9">
        <w:rPr>
          <w:rFonts w:hint="cs"/>
          <w:sz w:val="27"/>
          <w:rtl/>
        </w:rPr>
        <w:t>ُ</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454CDD" w:rsidRPr="00282AC9">
        <w:rPr>
          <w:rFonts w:hint="cs"/>
          <w:sz w:val="27"/>
          <w:rtl/>
        </w:rPr>
        <w:t>،</w:t>
      </w:r>
      <w:r w:rsidRPr="00282AC9">
        <w:rPr>
          <w:sz w:val="27"/>
          <w:rtl/>
        </w:rPr>
        <w:t xml:space="preserve"> </w:t>
      </w:r>
      <w:r w:rsidRPr="00282AC9">
        <w:rPr>
          <w:rFonts w:hint="cs"/>
          <w:sz w:val="27"/>
          <w:rtl/>
        </w:rPr>
        <w:t>إنك</w:t>
      </w:r>
      <w:r w:rsidRPr="00282AC9">
        <w:rPr>
          <w:sz w:val="27"/>
          <w:rtl/>
        </w:rPr>
        <w:t xml:space="preserve"> </w:t>
      </w:r>
      <w:r w:rsidRPr="00282AC9">
        <w:rPr>
          <w:rFonts w:hint="cs"/>
          <w:sz w:val="27"/>
          <w:rtl/>
        </w:rPr>
        <w:t>كن</w:t>
      </w:r>
      <w:r w:rsidR="00454CDD" w:rsidRPr="00282AC9">
        <w:rPr>
          <w:rFonts w:hint="cs"/>
          <w:sz w:val="27"/>
          <w:rtl/>
        </w:rPr>
        <w:t>ْ</w:t>
      </w:r>
      <w:r w:rsidRPr="00282AC9">
        <w:rPr>
          <w:rFonts w:hint="cs"/>
          <w:sz w:val="27"/>
          <w:rtl/>
        </w:rPr>
        <w:t>ت</w:t>
      </w:r>
      <w:r w:rsidR="00454CDD" w:rsidRPr="00282AC9">
        <w:rPr>
          <w:rFonts w:hint="cs"/>
          <w:sz w:val="27"/>
          <w:rtl/>
        </w:rPr>
        <w:t>َ</w:t>
      </w:r>
      <w:r w:rsidRPr="00282AC9">
        <w:rPr>
          <w:sz w:val="27"/>
          <w:rtl/>
        </w:rPr>
        <w:t xml:space="preserve"> </w:t>
      </w:r>
      <w:r w:rsidRPr="00282AC9">
        <w:rPr>
          <w:rFonts w:hint="cs"/>
          <w:sz w:val="27"/>
          <w:rtl/>
        </w:rPr>
        <w:t>وع</w:t>
      </w:r>
      <w:r w:rsidR="00454CDD" w:rsidRPr="00282AC9">
        <w:rPr>
          <w:rFonts w:hint="cs"/>
          <w:sz w:val="27"/>
          <w:rtl/>
        </w:rPr>
        <w:t>َ</w:t>
      </w:r>
      <w:r w:rsidRPr="00282AC9">
        <w:rPr>
          <w:rFonts w:hint="cs"/>
          <w:sz w:val="27"/>
          <w:rtl/>
        </w:rPr>
        <w:t>د</w:t>
      </w:r>
      <w:r w:rsidR="00454CDD" w:rsidRPr="00282AC9">
        <w:rPr>
          <w:rFonts w:hint="cs"/>
          <w:sz w:val="27"/>
          <w:rtl/>
        </w:rPr>
        <w:t>ْ</w:t>
      </w:r>
      <w:r w:rsidRPr="00282AC9">
        <w:rPr>
          <w:rFonts w:hint="cs"/>
          <w:sz w:val="27"/>
          <w:rtl/>
        </w:rPr>
        <w:t>ت</w:t>
      </w:r>
      <w:r w:rsidR="00454CDD" w:rsidRPr="00282AC9">
        <w:rPr>
          <w:rFonts w:hint="cs"/>
          <w:sz w:val="27"/>
          <w:rtl/>
        </w:rPr>
        <w:t>َ</w:t>
      </w:r>
      <w:r w:rsidRPr="00282AC9">
        <w:rPr>
          <w:rFonts w:hint="cs"/>
          <w:sz w:val="27"/>
          <w:rtl/>
        </w:rPr>
        <w:t>ني</w:t>
      </w:r>
      <w:r w:rsidRPr="00282AC9">
        <w:rPr>
          <w:sz w:val="27"/>
          <w:rtl/>
        </w:rPr>
        <w:t xml:space="preserve"> </w:t>
      </w:r>
      <w:r w:rsidRPr="00282AC9">
        <w:rPr>
          <w:rFonts w:hint="cs"/>
          <w:sz w:val="27"/>
          <w:rtl/>
        </w:rPr>
        <w:t>الشهادة</w:t>
      </w:r>
      <w:r w:rsidRPr="00282AC9">
        <w:rPr>
          <w:sz w:val="27"/>
          <w:rtl/>
        </w:rPr>
        <w:t xml:space="preserve">، </w:t>
      </w:r>
      <w:r w:rsidRPr="00282AC9">
        <w:rPr>
          <w:rFonts w:hint="cs"/>
          <w:sz w:val="27"/>
          <w:rtl/>
        </w:rPr>
        <w:t>فس</w:t>
      </w:r>
      <w:r w:rsidR="00454CDD" w:rsidRPr="00282AC9">
        <w:rPr>
          <w:rFonts w:hint="cs"/>
          <w:sz w:val="27"/>
          <w:rtl/>
        </w:rPr>
        <w:t>َ</w:t>
      </w:r>
      <w:r w:rsidRPr="00282AC9">
        <w:rPr>
          <w:rFonts w:hint="cs"/>
          <w:sz w:val="27"/>
          <w:rtl/>
        </w:rPr>
        <w:t>ل</w:t>
      </w:r>
      <w:r w:rsidR="00454CDD" w:rsidRPr="00282AC9">
        <w:rPr>
          <w:rFonts w:hint="cs"/>
          <w:sz w:val="27"/>
          <w:rtl/>
        </w:rPr>
        <w:t>ْ</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تعالى</w:t>
      </w:r>
      <w:r w:rsidRPr="00282AC9">
        <w:rPr>
          <w:sz w:val="27"/>
          <w:rtl/>
        </w:rPr>
        <w:t xml:space="preserve"> </w:t>
      </w:r>
      <w:r w:rsidRPr="00282AC9">
        <w:rPr>
          <w:rFonts w:hint="cs"/>
          <w:sz w:val="27"/>
          <w:rtl/>
        </w:rPr>
        <w:t>أن يعج</w:t>
      </w:r>
      <w:r w:rsidR="00454CDD" w:rsidRPr="00282AC9">
        <w:rPr>
          <w:rFonts w:hint="cs"/>
          <w:sz w:val="27"/>
          <w:rtl/>
        </w:rPr>
        <w:t>ِّ</w:t>
      </w:r>
      <w:r w:rsidRPr="00282AC9">
        <w:rPr>
          <w:rFonts w:hint="cs"/>
          <w:sz w:val="27"/>
          <w:rtl/>
        </w:rPr>
        <w:t>ل</w:t>
      </w:r>
      <w:r w:rsidR="00454CDD" w:rsidRPr="00282AC9">
        <w:rPr>
          <w:rFonts w:hint="cs"/>
          <w:sz w:val="27"/>
          <w:rtl/>
        </w:rPr>
        <w:t>َ</w:t>
      </w:r>
      <w:r w:rsidRPr="00282AC9">
        <w:rPr>
          <w:rFonts w:hint="cs"/>
          <w:sz w:val="27"/>
          <w:rtl/>
        </w:rPr>
        <w:t>ها</w:t>
      </w:r>
      <w:r w:rsidRPr="00282AC9">
        <w:rPr>
          <w:sz w:val="27"/>
          <w:rtl/>
        </w:rPr>
        <w:t xml:space="preserve"> </w:t>
      </w:r>
      <w:r w:rsidRPr="00282AC9">
        <w:rPr>
          <w:rFonts w:hint="cs"/>
          <w:sz w:val="27"/>
          <w:rtl/>
        </w:rPr>
        <w:t>لي،</w:t>
      </w:r>
      <w:r w:rsidRPr="00282AC9">
        <w:rPr>
          <w:sz w:val="27"/>
          <w:rtl/>
        </w:rPr>
        <w:t xml:space="preserve"> </w:t>
      </w:r>
      <w:r w:rsidRPr="00282AC9">
        <w:rPr>
          <w:rFonts w:hint="cs"/>
          <w:sz w:val="27"/>
          <w:rtl/>
        </w:rPr>
        <w:t>فقال</w:t>
      </w:r>
      <w:r w:rsidRPr="00282AC9">
        <w:rPr>
          <w:sz w:val="27"/>
          <w:rtl/>
        </w:rPr>
        <w:t xml:space="preserve">: </w:t>
      </w:r>
      <w:r w:rsidRPr="00282AC9">
        <w:rPr>
          <w:rFonts w:hint="cs"/>
          <w:sz w:val="27"/>
          <w:rtl/>
        </w:rPr>
        <w:t>أجل</w:t>
      </w:r>
      <w:r w:rsidRPr="00282AC9">
        <w:rPr>
          <w:sz w:val="27"/>
          <w:rtl/>
        </w:rPr>
        <w:t xml:space="preserve">، </w:t>
      </w:r>
      <w:r w:rsidRPr="00282AC9">
        <w:rPr>
          <w:rFonts w:hint="cs"/>
          <w:sz w:val="27"/>
          <w:rtl/>
        </w:rPr>
        <w:t>قد</w:t>
      </w:r>
      <w:r w:rsidRPr="00282AC9">
        <w:rPr>
          <w:sz w:val="27"/>
          <w:rtl/>
        </w:rPr>
        <w:t xml:space="preserve"> </w:t>
      </w:r>
      <w:r w:rsidRPr="00282AC9">
        <w:rPr>
          <w:rFonts w:hint="cs"/>
          <w:sz w:val="27"/>
          <w:rtl/>
        </w:rPr>
        <w:t>كن</w:t>
      </w:r>
      <w:r w:rsidR="00454CDD" w:rsidRPr="00282AC9">
        <w:rPr>
          <w:rFonts w:hint="cs"/>
          <w:sz w:val="27"/>
          <w:rtl/>
        </w:rPr>
        <w:t>ْ</w:t>
      </w:r>
      <w:r w:rsidRPr="00282AC9">
        <w:rPr>
          <w:rFonts w:hint="cs"/>
          <w:sz w:val="27"/>
          <w:rtl/>
        </w:rPr>
        <w:t>ت</w:t>
      </w:r>
      <w:r w:rsidR="00454CDD" w:rsidRPr="00282AC9">
        <w:rPr>
          <w:rFonts w:hint="cs"/>
          <w:sz w:val="27"/>
          <w:rtl/>
        </w:rPr>
        <w:t>ُ</w:t>
      </w:r>
      <w:r w:rsidRPr="00282AC9">
        <w:rPr>
          <w:sz w:val="27"/>
          <w:rtl/>
        </w:rPr>
        <w:t xml:space="preserve"> </w:t>
      </w:r>
      <w:r w:rsidRPr="00282AC9">
        <w:rPr>
          <w:rFonts w:hint="cs"/>
          <w:sz w:val="27"/>
          <w:rtl/>
        </w:rPr>
        <w:t>وع</w:t>
      </w:r>
      <w:r w:rsidR="00454CDD" w:rsidRPr="00282AC9">
        <w:rPr>
          <w:rFonts w:hint="cs"/>
          <w:sz w:val="27"/>
          <w:rtl/>
        </w:rPr>
        <w:t>َ</w:t>
      </w:r>
      <w:r w:rsidRPr="00282AC9">
        <w:rPr>
          <w:rFonts w:hint="cs"/>
          <w:sz w:val="27"/>
          <w:rtl/>
        </w:rPr>
        <w:t>د</w:t>
      </w:r>
      <w:r w:rsidR="00454CDD" w:rsidRPr="00282AC9">
        <w:rPr>
          <w:rFonts w:hint="cs"/>
          <w:sz w:val="27"/>
          <w:rtl/>
        </w:rPr>
        <w:t>ْ</w:t>
      </w:r>
      <w:r w:rsidRPr="00282AC9">
        <w:rPr>
          <w:rFonts w:hint="cs"/>
          <w:sz w:val="27"/>
          <w:rtl/>
        </w:rPr>
        <w:t>ت</w:t>
      </w:r>
      <w:r w:rsidR="00454CDD" w:rsidRPr="00282AC9">
        <w:rPr>
          <w:rFonts w:hint="cs"/>
          <w:sz w:val="27"/>
          <w:rtl/>
        </w:rPr>
        <w:t>ُ</w:t>
      </w:r>
      <w:r w:rsidRPr="00282AC9">
        <w:rPr>
          <w:rFonts w:hint="cs"/>
          <w:sz w:val="27"/>
          <w:rtl/>
        </w:rPr>
        <w:t>ك</w:t>
      </w:r>
      <w:r w:rsidRPr="00282AC9">
        <w:rPr>
          <w:sz w:val="27"/>
          <w:rtl/>
        </w:rPr>
        <w:t xml:space="preserve"> </w:t>
      </w:r>
      <w:r w:rsidRPr="00282AC9">
        <w:rPr>
          <w:rFonts w:hint="cs"/>
          <w:sz w:val="27"/>
          <w:rtl/>
        </w:rPr>
        <w:t>الشهادة</w:t>
      </w:r>
      <w:r w:rsidRPr="00282AC9">
        <w:rPr>
          <w:sz w:val="27"/>
          <w:rtl/>
        </w:rPr>
        <w:t xml:space="preserve">، </w:t>
      </w:r>
      <w:r w:rsidRPr="00282AC9">
        <w:rPr>
          <w:rFonts w:hint="cs"/>
          <w:sz w:val="27"/>
          <w:rtl/>
        </w:rPr>
        <w:t>فكيف</w:t>
      </w:r>
      <w:r w:rsidRPr="00282AC9">
        <w:rPr>
          <w:sz w:val="27"/>
          <w:rtl/>
        </w:rPr>
        <w:t xml:space="preserve"> </w:t>
      </w:r>
      <w:r w:rsidRPr="00282AC9">
        <w:rPr>
          <w:rFonts w:hint="cs"/>
          <w:sz w:val="27"/>
          <w:rtl/>
        </w:rPr>
        <w:t>صبرك</w:t>
      </w:r>
      <w:r w:rsidRPr="00282AC9">
        <w:rPr>
          <w:sz w:val="27"/>
          <w:rtl/>
        </w:rPr>
        <w:t xml:space="preserve"> </w:t>
      </w:r>
      <w:r w:rsidRPr="00282AC9">
        <w:rPr>
          <w:rFonts w:hint="cs"/>
          <w:sz w:val="27"/>
          <w:rtl/>
        </w:rPr>
        <w:t>إذا خضبت</w:t>
      </w:r>
      <w:r w:rsidRPr="00282AC9">
        <w:rPr>
          <w:sz w:val="27"/>
          <w:rtl/>
        </w:rPr>
        <w:t xml:space="preserve"> </w:t>
      </w:r>
      <w:r w:rsidRPr="00282AC9">
        <w:rPr>
          <w:rFonts w:hint="cs"/>
          <w:sz w:val="27"/>
          <w:rtl/>
        </w:rPr>
        <w:t>هذه</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هذا</w:t>
      </w:r>
      <w:r w:rsidR="00454CDD" w:rsidRPr="00282AC9">
        <w:rPr>
          <w:rFonts w:hint="cs"/>
          <w:sz w:val="27"/>
          <w:rtl/>
        </w:rPr>
        <w:t>،</w:t>
      </w:r>
      <w:r w:rsidRPr="00282AC9">
        <w:rPr>
          <w:sz w:val="27"/>
          <w:rtl/>
        </w:rPr>
        <w:t xml:space="preserve"> </w:t>
      </w:r>
      <w:r w:rsidRPr="00282AC9">
        <w:rPr>
          <w:rFonts w:hint="cs"/>
          <w:sz w:val="27"/>
          <w:rtl/>
        </w:rPr>
        <w:t>وأوم</w:t>
      </w:r>
      <w:r w:rsidR="00454CDD" w:rsidRPr="00282AC9">
        <w:rPr>
          <w:rFonts w:hint="cs"/>
          <w:sz w:val="27"/>
          <w:rtl/>
        </w:rPr>
        <w:t>ى</w:t>
      </w:r>
      <w:r w:rsidRPr="00282AC9">
        <w:rPr>
          <w:sz w:val="27"/>
          <w:rtl/>
        </w:rPr>
        <w:t xml:space="preserve"> </w:t>
      </w:r>
      <w:r w:rsidRPr="00282AC9">
        <w:rPr>
          <w:rFonts w:hint="cs"/>
          <w:sz w:val="27"/>
          <w:rtl/>
        </w:rPr>
        <w:t>إلى</w:t>
      </w:r>
      <w:r w:rsidRPr="00282AC9">
        <w:rPr>
          <w:sz w:val="27"/>
          <w:rtl/>
        </w:rPr>
        <w:t xml:space="preserve"> </w:t>
      </w:r>
      <w:r w:rsidRPr="00282AC9">
        <w:rPr>
          <w:rFonts w:hint="cs"/>
          <w:sz w:val="27"/>
          <w:rtl/>
        </w:rPr>
        <w:t>رأسي</w:t>
      </w:r>
      <w:r w:rsidRPr="00282AC9">
        <w:rPr>
          <w:sz w:val="27"/>
          <w:rtl/>
        </w:rPr>
        <w:t xml:space="preserve"> </w:t>
      </w:r>
      <w:r w:rsidRPr="00282AC9">
        <w:rPr>
          <w:rFonts w:hint="cs"/>
          <w:sz w:val="27"/>
          <w:rtl/>
        </w:rPr>
        <w:t>ولحيتي</w:t>
      </w:r>
      <w:r w:rsidRPr="00282AC9">
        <w:rPr>
          <w:sz w:val="27"/>
          <w:rtl/>
        </w:rPr>
        <w:t xml:space="preserve">؟ </w:t>
      </w:r>
      <w:r w:rsidRPr="00282AC9">
        <w:rPr>
          <w:rFonts w:hint="cs"/>
          <w:sz w:val="27"/>
          <w:rtl/>
        </w:rPr>
        <w:t>فقلت</w:t>
      </w:r>
      <w:r w:rsidR="00454CDD" w:rsidRPr="00282AC9">
        <w:rPr>
          <w:rFonts w:hint="cs"/>
          <w:sz w:val="27"/>
          <w:rtl/>
        </w:rPr>
        <w:t>ُ</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454CDD" w:rsidRPr="00282AC9">
        <w:rPr>
          <w:rFonts w:hint="cs"/>
          <w:sz w:val="27"/>
          <w:rtl/>
        </w:rPr>
        <w:t>،</w:t>
      </w:r>
      <w:r w:rsidRPr="00282AC9">
        <w:rPr>
          <w:sz w:val="27"/>
          <w:rtl/>
        </w:rPr>
        <w:t xml:space="preserve"> </w:t>
      </w:r>
      <w:r w:rsidRPr="00282AC9">
        <w:rPr>
          <w:rFonts w:hint="cs"/>
          <w:sz w:val="27"/>
          <w:rtl/>
        </w:rPr>
        <w:t>أما إذا</w:t>
      </w:r>
      <w:r w:rsidRPr="00282AC9">
        <w:rPr>
          <w:sz w:val="27"/>
          <w:rtl/>
        </w:rPr>
        <w:t xml:space="preserve"> </w:t>
      </w:r>
      <w:r w:rsidRPr="00282AC9">
        <w:rPr>
          <w:rFonts w:hint="cs"/>
          <w:sz w:val="27"/>
          <w:rtl/>
        </w:rPr>
        <w:t>بي</w:t>
      </w:r>
      <w:r w:rsidR="00D207D2" w:rsidRPr="00282AC9">
        <w:rPr>
          <w:rFonts w:hint="cs"/>
          <w:sz w:val="27"/>
          <w:rtl/>
        </w:rPr>
        <w:t>َّ</w:t>
      </w:r>
      <w:r w:rsidRPr="00282AC9">
        <w:rPr>
          <w:rFonts w:hint="cs"/>
          <w:sz w:val="27"/>
          <w:rtl/>
        </w:rPr>
        <w:t>نت</w:t>
      </w:r>
      <w:r w:rsidRPr="00282AC9">
        <w:rPr>
          <w:sz w:val="27"/>
          <w:rtl/>
        </w:rPr>
        <w:t xml:space="preserve"> </w:t>
      </w:r>
      <w:r w:rsidRPr="00282AC9">
        <w:rPr>
          <w:rFonts w:hint="cs"/>
          <w:sz w:val="27"/>
          <w:rtl/>
        </w:rPr>
        <w:t>لي</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بي</w:t>
      </w:r>
      <w:r w:rsidR="00D207D2" w:rsidRPr="00282AC9">
        <w:rPr>
          <w:rFonts w:hint="cs"/>
          <w:sz w:val="27"/>
          <w:rtl/>
        </w:rPr>
        <w:t>َّ</w:t>
      </w:r>
      <w:r w:rsidRPr="00282AC9">
        <w:rPr>
          <w:rFonts w:hint="cs"/>
          <w:sz w:val="27"/>
          <w:rtl/>
        </w:rPr>
        <w:t>نت</w:t>
      </w:r>
      <w:r w:rsidRPr="00282AC9">
        <w:rPr>
          <w:sz w:val="27"/>
          <w:rtl/>
        </w:rPr>
        <w:t xml:space="preserve"> </w:t>
      </w:r>
      <w:r w:rsidRPr="00282AC9">
        <w:rPr>
          <w:rFonts w:hint="cs"/>
          <w:sz w:val="27"/>
          <w:rtl/>
        </w:rPr>
        <w:t>فليس</w:t>
      </w:r>
      <w:r w:rsidRPr="00282AC9">
        <w:rPr>
          <w:sz w:val="27"/>
          <w:rtl/>
        </w:rPr>
        <w:t xml:space="preserve"> </w:t>
      </w:r>
      <w:r w:rsidRPr="00282AC9">
        <w:rPr>
          <w:rFonts w:hint="cs"/>
          <w:sz w:val="27"/>
          <w:rtl/>
        </w:rPr>
        <w:t>بموطن</w:t>
      </w:r>
      <w:r w:rsidRPr="00282AC9">
        <w:rPr>
          <w:sz w:val="27"/>
          <w:rtl/>
        </w:rPr>
        <w:t xml:space="preserve"> </w:t>
      </w:r>
      <w:r w:rsidRPr="00282AC9">
        <w:rPr>
          <w:rFonts w:hint="cs"/>
          <w:sz w:val="27"/>
          <w:rtl/>
        </w:rPr>
        <w:t>صبر</w:t>
      </w:r>
      <w:r w:rsidR="00D207D2" w:rsidRPr="00282AC9">
        <w:rPr>
          <w:rFonts w:hint="cs"/>
          <w:sz w:val="27"/>
          <w:rtl/>
        </w:rPr>
        <w:t>ٍ</w:t>
      </w:r>
      <w:r w:rsidRPr="00282AC9">
        <w:rPr>
          <w:sz w:val="27"/>
          <w:rtl/>
        </w:rPr>
        <w:t>، و</w:t>
      </w:r>
      <w:r w:rsidRPr="00282AC9">
        <w:rPr>
          <w:rFonts w:hint="cs"/>
          <w:sz w:val="27"/>
          <w:rtl/>
        </w:rPr>
        <w:t>لكن</w:t>
      </w:r>
      <w:r w:rsidR="00D207D2" w:rsidRPr="00282AC9">
        <w:rPr>
          <w:rFonts w:hint="cs"/>
          <w:sz w:val="27"/>
          <w:rtl/>
        </w:rPr>
        <w:t>ّ</w:t>
      </w:r>
      <w:r w:rsidRPr="00282AC9">
        <w:rPr>
          <w:rFonts w:hint="cs"/>
          <w:sz w:val="27"/>
          <w:rtl/>
        </w:rPr>
        <w:t>ه</w:t>
      </w:r>
      <w:r w:rsidRPr="00282AC9">
        <w:rPr>
          <w:sz w:val="27"/>
          <w:rtl/>
        </w:rPr>
        <w:t xml:space="preserve"> </w:t>
      </w:r>
      <w:r w:rsidRPr="00282AC9">
        <w:rPr>
          <w:rFonts w:hint="cs"/>
          <w:sz w:val="27"/>
          <w:rtl/>
        </w:rPr>
        <w:t>موطن</w:t>
      </w:r>
      <w:r w:rsidRPr="00282AC9">
        <w:rPr>
          <w:sz w:val="27"/>
          <w:rtl/>
        </w:rPr>
        <w:t xml:space="preserve"> </w:t>
      </w:r>
      <w:r w:rsidRPr="00282AC9">
        <w:rPr>
          <w:rFonts w:hint="cs"/>
          <w:sz w:val="27"/>
          <w:rtl/>
        </w:rPr>
        <w:t>بشرى</w:t>
      </w:r>
      <w:r w:rsidRPr="00282AC9">
        <w:rPr>
          <w:sz w:val="27"/>
          <w:rtl/>
        </w:rPr>
        <w:t xml:space="preserve"> </w:t>
      </w:r>
      <w:r w:rsidRPr="00282AC9">
        <w:rPr>
          <w:rFonts w:hint="cs"/>
          <w:sz w:val="27"/>
          <w:rtl/>
        </w:rPr>
        <w:t>وشكر</w:t>
      </w:r>
      <w:r w:rsidR="00D207D2" w:rsidRPr="00282AC9">
        <w:rPr>
          <w:rFonts w:hint="cs"/>
          <w:sz w:val="27"/>
          <w:rtl/>
        </w:rPr>
        <w:t>ٍ</w:t>
      </w:r>
      <w:r w:rsidRPr="00282AC9">
        <w:rPr>
          <w:sz w:val="27"/>
          <w:rtl/>
        </w:rPr>
        <w:t>،</w:t>
      </w:r>
      <w:r w:rsidRPr="00282AC9">
        <w:rPr>
          <w:rFonts w:hint="cs"/>
          <w:sz w:val="27"/>
          <w:rtl/>
        </w:rPr>
        <w:t xml:space="preserve"> فقال</w:t>
      </w:r>
      <w:r w:rsidRPr="00282AC9">
        <w:rPr>
          <w:sz w:val="27"/>
          <w:rtl/>
        </w:rPr>
        <w:t xml:space="preserve">: </w:t>
      </w:r>
      <w:r w:rsidRPr="00282AC9">
        <w:rPr>
          <w:rFonts w:hint="cs"/>
          <w:sz w:val="27"/>
          <w:rtl/>
        </w:rPr>
        <w:t>أجل</w:t>
      </w:r>
      <w:r w:rsidRPr="00282AC9">
        <w:rPr>
          <w:sz w:val="27"/>
          <w:rtl/>
        </w:rPr>
        <w:t xml:space="preserve">، </w:t>
      </w:r>
      <w:r w:rsidRPr="00282AC9">
        <w:rPr>
          <w:rFonts w:hint="cs"/>
          <w:sz w:val="27"/>
          <w:rtl/>
        </w:rPr>
        <w:t>فأع</w:t>
      </w:r>
      <w:r w:rsidR="00D207D2" w:rsidRPr="00282AC9">
        <w:rPr>
          <w:rFonts w:hint="cs"/>
          <w:sz w:val="27"/>
          <w:rtl/>
        </w:rPr>
        <w:t>ِ</w:t>
      </w:r>
      <w:r w:rsidRPr="00282AC9">
        <w:rPr>
          <w:rFonts w:hint="cs"/>
          <w:sz w:val="27"/>
          <w:rtl/>
        </w:rPr>
        <w:t>د</w:t>
      </w:r>
      <w:r w:rsidR="00D207D2" w:rsidRPr="00282AC9">
        <w:rPr>
          <w:rFonts w:hint="cs"/>
          <w:sz w:val="27"/>
          <w:rtl/>
        </w:rPr>
        <w:t>َّ</w:t>
      </w:r>
      <w:r w:rsidRPr="00282AC9">
        <w:rPr>
          <w:sz w:val="27"/>
          <w:rtl/>
        </w:rPr>
        <w:t xml:space="preserve"> </w:t>
      </w:r>
      <w:r w:rsidRPr="00282AC9">
        <w:rPr>
          <w:rFonts w:hint="cs"/>
          <w:sz w:val="27"/>
          <w:rtl/>
        </w:rPr>
        <w:t>للخصومة</w:t>
      </w:r>
      <w:r w:rsidRPr="00282AC9">
        <w:rPr>
          <w:sz w:val="27"/>
          <w:rtl/>
        </w:rPr>
        <w:t xml:space="preserve">، </w:t>
      </w:r>
      <w:r w:rsidRPr="00282AC9">
        <w:rPr>
          <w:rFonts w:hint="cs"/>
          <w:sz w:val="27"/>
          <w:rtl/>
        </w:rPr>
        <w:t>فإنك</w:t>
      </w:r>
      <w:r w:rsidRPr="00282AC9">
        <w:rPr>
          <w:sz w:val="27"/>
          <w:rtl/>
        </w:rPr>
        <w:t xml:space="preserve"> </w:t>
      </w:r>
      <w:r w:rsidRPr="00282AC9">
        <w:rPr>
          <w:rFonts w:hint="cs"/>
          <w:sz w:val="27"/>
          <w:rtl/>
        </w:rPr>
        <w:t>مخاص</w:t>
      </w:r>
      <w:r w:rsidR="00D207D2" w:rsidRPr="00282AC9">
        <w:rPr>
          <w:rFonts w:hint="cs"/>
          <w:sz w:val="27"/>
          <w:rtl/>
        </w:rPr>
        <w:t>ِ</w:t>
      </w:r>
      <w:r w:rsidRPr="00282AC9">
        <w:rPr>
          <w:rFonts w:hint="cs"/>
          <w:sz w:val="27"/>
          <w:rtl/>
        </w:rPr>
        <w:t>م</w:t>
      </w:r>
      <w:r w:rsidR="00D207D2" w:rsidRPr="00282AC9">
        <w:rPr>
          <w:rFonts w:hint="cs"/>
          <w:sz w:val="27"/>
          <w:rtl/>
        </w:rPr>
        <w:t>ٌ</w:t>
      </w:r>
      <w:r w:rsidRPr="00282AC9">
        <w:rPr>
          <w:sz w:val="27"/>
          <w:rtl/>
        </w:rPr>
        <w:t xml:space="preserve"> </w:t>
      </w:r>
      <w:r w:rsidRPr="00282AC9">
        <w:rPr>
          <w:rFonts w:hint="cs"/>
          <w:sz w:val="27"/>
          <w:rtl/>
        </w:rPr>
        <w:t>أمتي</w:t>
      </w:r>
      <w:r w:rsidR="00D207D2" w:rsidRPr="00282AC9">
        <w:rPr>
          <w:rFonts w:hint="cs"/>
          <w:sz w:val="27"/>
          <w:rtl/>
        </w:rPr>
        <w:t>،</w:t>
      </w:r>
      <w:r w:rsidRPr="00282AC9">
        <w:rPr>
          <w:sz w:val="27"/>
          <w:rtl/>
        </w:rPr>
        <w:t xml:space="preserve"> </w:t>
      </w:r>
      <w:r w:rsidRPr="00282AC9">
        <w:rPr>
          <w:rFonts w:hint="cs"/>
          <w:sz w:val="27"/>
          <w:rtl/>
        </w:rPr>
        <w:t>قلت</w:t>
      </w:r>
      <w:r w:rsidR="00D207D2" w:rsidRPr="00282AC9">
        <w:rPr>
          <w:rFonts w:hint="cs"/>
          <w:sz w:val="27"/>
          <w:rtl/>
        </w:rPr>
        <w:t>ُ</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D207D2" w:rsidRPr="00282AC9">
        <w:rPr>
          <w:rFonts w:hint="cs"/>
          <w:sz w:val="27"/>
          <w:rtl/>
        </w:rPr>
        <w:t>،</w:t>
      </w:r>
      <w:r w:rsidRPr="00282AC9">
        <w:rPr>
          <w:sz w:val="27"/>
          <w:rtl/>
        </w:rPr>
        <w:t xml:space="preserve"> </w:t>
      </w:r>
      <w:r w:rsidRPr="00282AC9">
        <w:rPr>
          <w:rFonts w:hint="cs"/>
          <w:sz w:val="27"/>
          <w:rtl/>
        </w:rPr>
        <w:t>أرشدني الف</w:t>
      </w:r>
      <w:r w:rsidR="00D207D2" w:rsidRPr="00282AC9">
        <w:rPr>
          <w:rFonts w:hint="cs"/>
          <w:sz w:val="27"/>
          <w:rtl/>
        </w:rPr>
        <w:t>َ</w:t>
      </w:r>
      <w:r w:rsidRPr="00282AC9">
        <w:rPr>
          <w:rFonts w:hint="cs"/>
          <w:sz w:val="27"/>
          <w:rtl/>
        </w:rPr>
        <w:t>ل</w:t>
      </w:r>
      <w:r w:rsidR="00D207D2" w:rsidRPr="00282AC9">
        <w:rPr>
          <w:rFonts w:hint="cs"/>
          <w:sz w:val="27"/>
          <w:rtl/>
        </w:rPr>
        <w:t>َ</w:t>
      </w:r>
      <w:r w:rsidRPr="00282AC9">
        <w:rPr>
          <w:rFonts w:hint="cs"/>
          <w:sz w:val="27"/>
          <w:rtl/>
        </w:rPr>
        <w:t>ج</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إذا</w:t>
      </w:r>
      <w:r w:rsidRPr="00282AC9">
        <w:rPr>
          <w:sz w:val="27"/>
          <w:rtl/>
        </w:rPr>
        <w:t xml:space="preserve"> </w:t>
      </w:r>
      <w:r w:rsidRPr="00282AC9">
        <w:rPr>
          <w:rFonts w:hint="cs"/>
          <w:sz w:val="27"/>
          <w:rtl/>
        </w:rPr>
        <w:t>رأي</w:t>
      </w:r>
      <w:r w:rsidR="00D207D2" w:rsidRPr="00282AC9">
        <w:rPr>
          <w:rFonts w:hint="cs"/>
          <w:sz w:val="27"/>
          <w:rtl/>
        </w:rPr>
        <w:t>ْ</w:t>
      </w:r>
      <w:r w:rsidRPr="00282AC9">
        <w:rPr>
          <w:rFonts w:hint="cs"/>
          <w:sz w:val="27"/>
          <w:rtl/>
        </w:rPr>
        <w:t>ت</w:t>
      </w:r>
      <w:r w:rsidR="00D207D2" w:rsidRPr="00282AC9">
        <w:rPr>
          <w:rFonts w:hint="cs"/>
          <w:sz w:val="27"/>
          <w:rtl/>
        </w:rPr>
        <w:t>َ</w:t>
      </w:r>
      <w:r w:rsidRPr="00282AC9">
        <w:rPr>
          <w:sz w:val="27"/>
          <w:rtl/>
        </w:rPr>
        <w:t xml:space="preserve"> </w:t>
      </w:r>
      <w:r w:rsidRPr="00282AC9">
        <w:rPr>
          <w:rFonts w:hint="cs"/>
          <w:sz w:val="27"/>
          <w:rtl/>
        </w:rPr>
        <w:t>قوما</w:t>
      </w:r>
      <w:r w:rsidR="00D207D2" w:rsidRPr="00282AC9">
        <w:rPr>
          <w:rFonts w:hint="cs"/>
          <w:sz w:val="27"/>
          <w:rtl/>
        </w:rPr>
        <w:t>ً</w:t>
      </w:r>
      <w:r w:rsidRPr="00282AC9">
        <w:rPr>
          <w:sz w:val="27"/>
          <w:rtl/>
        </w:rPr>
        <w:t xml:space="preserve"> </w:t>
      </w:r>
      <w:r w:rsidRPr="00282AC9">
        <w:rPr>
          <w:rFonts w:hint="cs"/>
          <w:sz w:val="27"/>
          <w:rtl/>
        </w:rPr>
        <w:t>قد</w:t>
      </w:r>
      <w:r w:rsidRPr="00282AC9">
        <w:rPr>
          <w:sz w:val="27"/>
          <w:rtl/>
        </w:rPr>
        <w:t xml:space="preserve"> </w:t>
      </w:r>
      <w:r w:rsidRPr="00282AC9">
        <w:rPr>
          <w:rFonts w:hint="cs"/>
          <w:sz w:val="27"/>
          <w:rtl/>
        </w:rPr>
        <w:t>عدلوا</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الهدى</w:t>
      </w:r>
      <w:r w:rsidRPr="00282AC9">
        <w:rPr>
          <w:sz w:val="27"/>
          <w:rtl/>
        </w:rPr>
        <w:t xml:space="preserve"> </w:t>
      </w:r>
      <w:r w:rsidRPr="00282AC9">
        <w:rPr>
          <w:rFonts w:hint="cs"/>
          <w:sz w:val="27"/>
          <w:rtl/>
        </w:rPr>
        <w:t>إلى</w:t>
      </w:r>
      <w:r w:rsidRPr="00282AC9">
        <w:rPr>
          <w:sz w:val="27"/>
          <w:rtl/>
        </w:rPr>
        <w:t xml:space="preserve"> </w:t>
      </w:r>
      <w:r w:rsidRPr="00282AC9">
        <w:rPr>
          <w:rFonts w:hint="cs"/>
          <w:sz w:val="27"/>
          <w:rtl/>
        </w:rPr>
        <w:t>الضلال</w:t>
      </w:r>
      <w:r w:rsidRPr="00282AC9">
        <w:rPr>
          <w:sz w:val="27"/>
          <w:rtl/>
        </w:rPr>
        <w:t xml:space="preserve"> </w:t>
      </w:r>
      <w:r w:rsidRPr="00282AC9">
        <w:rPr>
          <w:rFonts w:hint="cs"/>
          <w:sz w:val="27"/>
          <w:rtl/>
        </w:rPr>
        <w:t>فخاصمهم</w:t>
      </w:r>
      <w:r w:rsidR="00D207D2" w:rsidRPr="00282AC9">
        <w:rPr>
          <w:rFonts w:hint="cs"/>
          <w:sz w:val="27"/>
          <w:rtl/>
        </w:rPr>
        <w:t>؛</w:t>
      </w:r>
      <w:r w:rsidRPr="00282AC9">
        <w:rPr>
          <w:rFonts w:hint="cs"/>
          <w:sz w:val="27"/>
          <w:rtl/>
        </w:rPr>
        <w:t xml:space="preserve"> فإن</w:t>
      </w:r>
      <w:r w:rsidRPr="00282AC9">
        <w:rPr>
          <w:sz w:val="27"/>
          <w:rtl/>
        </w:rPr>
        <w:t xml:space="preserve"> </w:t>
      </w:r>
      <w:r w:rsidRPr="00282AC9">
        <w:rPr>
          <w:rFonts w:hint="cs"/>
          <w:sz w:val="27"/>
          <w:rtl/>
        </w:rPr>
        <w:t>الهدى</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والضلال</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الشيطان</w:t>
      </w:r>
      <w:r w:rsidRPr="00282AC9">
        <w:rPr>
          <w:sz w:val="27"/>
          <w:rtl/>
        </w:rPr>
        <w:t>.</w:t>
      </w:r>
      <w:r w:rsidR="00D207D2" w:rsidRPr="00282AC9">
        <w:rPr>
          <w:rFonts w:hint="cs"/>
          <w:sz w:val="27"/>
          <w:rtl/>
        </w:rPr>
        <w:t xml:space="preserve"> </w:t>
      </w:r>
      <w:r w:rsidRPr="00282AC9">
        <w:rPr>
          <w:rFonts w:hint="cs"/>
          <w:sz w:val="27"/>
          <w:rtl/>
        </w:rPr>
        <w:t>يا</w:t>
      </w:r>
      <w:r w:rsidRPr="00282AC9">
        <w:rPr>
          <w:sz w:val="27"/>
          <w:rtl/>
        </w:rPr>
        <w:t xml:space="preserve"> </w:t>
      </w:r>
      <w:r w:rsidRPr="00282AC9">
        <w:rPr>
          <w:rFonts w:hint="cs"/>
          <w:sz w:val="27"/>
          <w:rtl/>
        </w:rPr>
        <w:t>علي</w:t>
      </w:r>
      <w:r w:rsidR="00D207D2" w:rsidRPr="00282AC9">
        <w:rPr>
          <w:rFonts w:hint="cs"/>
          <w:sz w:val="27"/>
          <w:rtl/>
        </w:rPr>
        <w:t>ّ،</w:t>
      </w:r>
      <w:r w:rsidRPr="00282AC9">
        <w:rPr>
          <w:sz w:val="27"/>
          <w:rtl/>
        </w:rPr>
        <w:t xml:space="preserve"> </w:t>
      </w:r>
      <w:r w:rsidRPr="00282AC9">
        <w:rPr>
          <w:rFonts w:hint="cs"/>
          <w:sz w:val="27"/>
          <w:rtl/>
        </w:rPr>
        <w:t>إن</w:t>
      </w:r>
      <w:r w:rsidRPr="00282AC9">
        <w:rPr>
          <w:sz w:val="27"/>
          <w:rtl/>
        </w:rPr>
        <w:t xml:space="preserve"> </w:t>
      </w:r>
      <w:r w:rsidRPr="00282AC9">
        <w:rPr>
          <w:rFonts w:hint="cs"/>
          <w:sz w:val="27"/>
          <w:rtl/>
        </w:rPr>
        <w:t>الهدى</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ات</w:t>
      </w:r>
      <w:r w:rsidR="00D207D2" w:rsidRPr="00282AC9">
        <w:rPr>
          <w:rFonts w:hint="cs"/>
          <w:sz w:val="27"/>
          <w:rtl/>
        </w:rPr>
        <w:t>ّ</w:t>
      </w:r>
      <w:r w:rsidRPr="00282AC9">
        <w:rPr>
          <w:rFonts w:hint="cs"/>
          <w:sz w:val="27"/>
          <w:rtl/>
        </w:rPr>
        <w:t>باع</w:t>
      </w:r>
      <w:r w:rsidRPr="00282AC9">
        <w:rPr>
          <w:sz w:val="27"/>
          <w:rtl/>
        </w:rPr>
        <w:t xml:space="preserve"> </w:t>
      </w:r>
      <w:r w:rsidRPr="00282AC9">
        <w:rPr>
          <w:rFonts w:hint="cs"/>
          <w:sz w:val="27"/>
          <w:rtl/>
        </w:rPr>
        <w:t>أمر</w:t>
      </w:r>
      <w:r w:rsidRPr="00282AC9">
        <w:rPr>
          <w:sz w:val="27"/>
          <w:rtl/>
        </w:rPr>
        <w:t xml:space="preserve"> </w:t>
      </w:r>
      <w:r w:rsidRPr="00282AC9">
        <w:rPr>
          <w:rFonts w:hint="cs"/>
          <w:sz w:val="27"/>
          <w:rtl/>
        </w:rPr>
        <w:t>الله</w:t>
      </w:r>
      <w:r w:rsidR="00D207D2" w:rsidRPr="00282AC9">
        <w:rPr>
          <w:rFonts w:hint="cs"/>
          <w:sz w:val="27"/>
          <w:rtl/>
        </w:rPr>
        <w:t>،</w:t>
      </w:r>
      <w:r w:rsidRPr="00282AC9">
        <w:rPr>
          <w:sz w:val="27"/>
          <w:rtl/>
        </w:rPr>
        <w:t xml:space="preserve"> </w:t>
      </w:r>
      <w:r w:rsidRPr="00282AC9">
        <w:rPr>
          <w:rFonts w:hint="cs"/>
          <w:sz w:val="27"/>
          <w:rtl/>
        </w:rPr>
        <w:t>دون</w:t>
      </w:r>
      <w:r w:rsidRPr="00282AC9">
        <w:rPr>
          <w:sz w:val="27"/>
          <w:rtl/>
        </w:rPr>
        <w:t xml:space="preserve"> </w:t>
      </w:r>
      <w:r w:rsidRPr="00282AC9">
        <w:rPr>
          <w:rFonts w:hint="cs"/>
          <w:sz w:val="27"/>
          <w:rtl/>
        </w:rPr>
        <w:t>الهوى</w:t>
      </w:r>
      <w:r w:rsidRPr="00282AC9">
        <w:rPr>
          <w:sz w:val="27"/>
          <w:rtl/>
        </w:rPr>
        <w:t xml:space="preserve"> </w:t>
      </w:r>
      <w:r w:rsidRPr="00282AC9">
        <w:rPr>
          <w:rFonts w:hint="cs"/>
          <w:sz w:val="27"/>
          <w:rtl/>
        </w:rPr>
        <w:t>والرأي</w:t>
      </w:r>
      <w:r w:rsidR="00D207D2" w:rsidRPr="00282AC9">
        <w:rPr>
          <w:rFonts w:hint="cs"/>
          <w:sz w:val="27"/>
          <w:rtl/>
        </w:rPr>
        <w:t>.</w:t>
      </w:r>
      <w:r w:rsidRPr="00282AC9">
        <w:rPr>
          <w:sz w:val="27"/>
          <w:rtl/>
        </w:rPr>
        <w:t xml:space="preserve"> </w:t>
      </w:r>
      <w:r w:rsidRPr="00282AC9">
        <w:rPr>
          <w:rFonts w:hint="cs"/>
          <w:sz w:val="27"/>
          <w:rtl/>
        </w:rPr>
        <w:t>وكأن</w:t>
      </w:r>
      <w:r w:rsidR="00D207D2" w:rsidRPr="00282AC9">
        <w:rPr>
          <w:rFonts w:hint="cs"/>
          <w:sz w:val="27"/>
          <w:rtl/>
        </w:rPr>
        <w:t>ّ</w:t>
      </w:r>
      <w:r w:rsidRPr="00282AC9">
        <w:rPr>
          <w:rFonts w:hint="cs"/>
          <w:sz w:val="27"/>
          <w:rtl/>
        </w:rPr>
        <w:t>ك</w:t>
      </w:r>
      <w:r w:rsidRPr="00282AC9">
        <w:rPr>
          <w:sz w:val="27"/>
          <w:rtl/>
        </w:rPr>
        <w:t xml:space="preserve"> </w:t>
      </w:r>
      <w:r w:rsidRPr="00282AC9">
        <w:rPr>
          <w:rFonts w:hint="cs"/>
          <w:sz w:val="27"/>
          <w:rtl/>
        </w:rPr>
        <w:t>بقوم</w:t>
      </w:r>
      <w:r w:rsidR="00D207D2" w:rsidRPr="00282AC9">
        <w:rPr>
          <w:rFonts w:hint="cs"/>
          <w:sz w:val="27"/>
          <w:rtl/>
        </w:rPr>
        <w:t>ٍ</w:t>
      </w:r>
      <w:r w:rsidRPr="00282AC9">
        <w:rPr>
          <w:rFonts w:hint="cs"/>
          <w:sz w:val="27"/>
          <w:rtl/>
        </w:rPr>
        <w:t xml:space="preserve"> قد</w:t>
      </w:r>
      <w:r w:rsidRPr="00282AC9">
        <w:rPr>
          <w:sz w:val="27"/>
          <w:rtl/>
        </w:rPr>
        <w:t xml:space="preserve"> </w:t>
      </w:r>
      <w:r w:rsidRPr="00282AC9">
        <w:rPr>
          <w:rFonts w:hint="cs"/>
          <w:sz w:val="27"/>
          <w:rtl/>
        </w:rPr>
        <w:t>تأو</w:t>
      </w:r>
      <w:r w:rsidR="00D207D2" w:rsidRPr="00282AC9">
        <w:rPr>
          <w:rFonts w:hint="cs"/>
          <w:sz w:val="27"/>
          <w:rtl/>
        </w:rPr>
        <w:t>َّ</w:t>
      </w:r>
      <w:r w:rsidRPr="00282AC9">
        <w:rPr>
          <w:rFonts w:hint="cs"/>
          <w:sz w:val="27"/>
          <w:rtl/>
        </w:rPr>
        <w:t>لوا</w:t>
      </w:r>
      <w:r w:rsidRPr="00282AC9">
        <w:rPr>
          <w:sz w:val="27"/>
          <w:rtl/>
        </w:rPr>
        <w:t xml:space="preserve"> </w:t>
      </w:r>
      <w:r w:rsidRPr="00282AC9">
        <w:rPr>
          <w:rFonts w:hint="cs"/>
          <w:sz w:val="27"/>
          <w:rtl/>
        </w:rPr>
        <w:t>القرآن</w:t>
      </w:r>
      <w:r w:rsidRPr="00282AC9">
        <w:rPr>
          <w:sz w:val="27"/>
          <w:rtl/>
        </w:rPr>
        <w:t xml:space="preserve">، </w:t>
      </w:r>
      <w:r w:rsidRPr="00282AC9">
        <w:rPr>
          <w:rFonts w:hint="cs"/>
          <w:sz w:val="27"/>
          <w:rtl/>
        </w:rPr>
        <w:t>وأخذوا</w:t>
      </w:r>
      <w:r w:rsidRPr="00282AC9">
        <w:rPr>
          <w:sz w:val="27"/>
          <w:rtl/>
        </w:rPr>
        <w:t xml:space="preserve"> </w:t>
      </w:r>
      <w:r w:rsidRPr="00282AC9">
        <w:rPr>
          <w:rFonts w:hint="cs"/>
          <w:sz w:val="27"/>
          <w:rtl/>
        </w:rPr>
        <w:t>بالشبهات</w:t>
      </w:r>
      <w:r w:rsidRPr="00282AC9">
        <w:rPr>
          <w:sz w:val="27"/>
          <w:rtl/>
        </w:rPr>
        <w:t xml:space="preserve">، </w:t>
      </w:r>
      <w:r w:rsidRPr="00282AC9">
        <w:rPr>
          <w:rFonts w:hint="cs"/>
          <w:sz w:val="27"/>
          <w:rtl/>
        </w:rPr>
        <w:t>واستحل</w:t>
      </w:r>
      <w:r w:rsidR="00D207D2" w:rsidRPr="00282AC9">
        <w:rPr>
          <w:rFonts w:hint="cs"/>
          <w:sz w:val="27"/>
          <w:rtl/>
        </w:rPr>
        <w:t>ّ</w:t>
      </w:r>
      <w:r w:rsidRPr="00282AC9">
        <w:rPr>
          <w:rFonts w:hint="cs"/>
          <w:sz w:val="27"/>
          <w:rtl/>
        </w:rPr>
        <w:t>وا</w:t>
      </w:r>
      <w:r w:rsidRPr="00282AC9">
        <w:rPr>
          <w:sz w:val="27"/>
          <w:rtl/>
        </w:rPr>
        <w:t xml:space="preserve"> </w:t>
      </w:r>
      <w:r w:rsidRPr="00282AC9">
        <w:rPr>
          <w:rFonts w:hint="cs"/>
          <w:sz w:val="27"/>
          <w:rtl/>
        </w:rPr>
        <w:t>الخمر</w:t>
      </w:r>
      <w:r w:rsidRPr="00282AC9">
        <w:rPr>
          <w:sz w:val="27"/>
          <w:rtl/>
        </w:rPr>
        <w:t xml:space="preserve"> </w:t>
      </w:r>
      <w:r w:rsidRPr="00282AC9">
        <w:rPr>
          <w:rFonts w:hint="cs"/>
          <w:sz w:val="27"/>
          <w:rtl/>
        </w:rPr>
        <w:t>بالنبيذ</w:t>
      </w:r>
      <w:r w:rsidRPr="00282AC9">
        <w:rPr>
          <w:sz w:val="27"/>
          <w:rtl/>
        </w:rPr>
        <w:t xml:space="preserve">، </w:t>
      </w:r>
      <w:r w:rsidRPr="00282AC9">
        <w:rPr>
          <w:rFonts w:hint="cs"/>
          <w:sz w:val="27"/>
          <w:rtl/>
        </w:rPr>
        <w:t>والبخس بالزكاة،</w:t>
      </w:r>
      <w:r w:rsidRPr="00282AC9">
        <w:rPr>
          <w:sz w:val="27"/>
          <w:rtl/>
        </w:rPr>
        <w:t xml:space="preserve"> </w:t>
      </w:r>
      <w:r w:rsidRPr="00282AC9">
        <w:rPr>
          <w:rFonts w:hint="cs"/>
          <w:sz w:val="27"/>
          <w:rtl/>
        </w:rPr>
        <w:t>والس</w:t>
      </w:r>
      <w:r w:rsidR="00D207D2" w:rsidRPr="00282AC9">
        <w:rPr>
          <w:rFonts w:hint="cs"/>
          <w:sz w:val="27"/>
          <w:rtl/>
        </w:rPr>
        <w:t>ُّ</w:t>
      </w:r>
      <w:r w:rsidRPr="00282AC9">
        <w:rPr>
          <w:rFonts w:hint="cs"/>
          <w:sz w:val="27"/>
          <w:rtl/>
        </w:rPr>
        <w:t>ح</w:t>
      </w:r>
      <w:r w:rsidR="00D207D2" w:rsidRPr="00282AC9">
        <w:rPr>
          <w:rFonts w:hint="cs"/>
          <w:sz w:val="27"/>
          <w:rtl/>
        </w:rPr>
        <w:t>ْ</w:t>
      </w:r>
      <w:r w:rsidRPr="00282AC9">
        <w:rPr>
          <w:rFonts w:hint="cs"/>
          <w:sz w:val="27"/>
          <w:rtl/>
        </w:rPr>
        <w:t>ت</w:t>
      </w:r>
      <w:r w:rsidRPr="00282AC9">
        <w:rPr>
          <w:sz w:val="27"/>
          <w:rtl/>
        </w:rPr>
        <w:t xml:space="preserve"> </w:t>
      </w:r>
      <w:r w:rsidRPr="00282AC9">
        <w:rPr>
          <w:rFonts w:hint="cs"/>
          <w:sz w:val="27"/>
          <w:rtl/>
        </w:rPr>
        <w:t>بالهدي</w:t>
      </w:r>
      <w:r w:rsidR="00D207D2" w:rsidRPr="00282AC9">
        <w:rPr>
          <w:rFonts w:hint="cs"/>
          <w:sz w:val="27"/>
          <w:rtl/>
        </w:rPr>
        <w:t>ّ</w:t>
      </w:r>
      <w:r w:rsidRPr="00282AC9">
        <w:rPr>
          <w:rFonts w:hint="cs"/>
          <w:sz w:val="27"/>
          <w:rtl/>
        </w:rPr>
        <w:t>ة</w:t>
      </w:r>
      <w:r w:rsidR="00D207D2" w:rsidRPr="00282AC9">
        <w:rPr>
          <w:rFonts w:hint="cs"/>
          <w:sz w:val="27"/>
          <w:rtl/>
        </w:rPr>
        <w:t>،</w:t>
      </w:r>
      <w:r w:rsidRPr="00282AC9">
        <w:rPr>
          <w:sz w:val="27"/>
          <w:rtl/>
        </w:rPr>
        <w:t xml:space="preserve"> </w:t>
      </w:r>
      <w:r w:rsidRPr="00282AC9">
        <w:rPr>
          <w:rFonts w:hint="cs"/>
          <w:sz w:val="27"/>
          <w:rtl/>
        </w:rPr>
        <w:t>قلت</w:t>
      </w:r>
      <w:r w:rsidR="00D207D2" w:rsidRPr="00282AC9">
        <w:rPr>
          <w:rFonts w:hint="cs"/>
          <w:sz w:val="27"/>
          <w:rtl/>
        </w:rPr>
        <w:t>ُ</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D207D2" w:rsidRPr="00282AC9">
        <w:rPr>
          <w:rFonts w:hint="cs"/>
          <w:sz w:val="27"/>
          <w:rtl/>
        </w:rPr>
        <w:t>،</w:t>
      </w:r>
      <w:r w:rsidRPr="00282AC9">
        <w:rPr>
          <w:sz w:val="27"/>
          <w:rtl/>
        </w:rPr>
        <w:t xml:space="preserve"> </w:t>
      </w:r>
      <w:r w:rsidRPr="00282AC9">
        <w:rPr>
          <w:rFonts w:hint="cs"/>
          <w:sz w:val="27"/>
          <w:rtl/>
        </w:rPr>
        <w:t>فما</w:t>
      </w:r>
      <w:r w:rsidRPr="00282AC9">
        <w:rPr>
          <w:sz w:val="27"/>
          <w:rtl/>
        </w:rPr>
        <w:t xml:space="preserve"> </w:t>
      </w:r>
      <w:r w:rsidRPr="00282AC9">
        <w:rPr>
          <w:rFonts w:hint="cs"/>
          <w:sz w:val="27"/>
          <w:rtl/>
        </w:rPr>
        <w:t>هم</w:t>
      </w:r>
      <w:r w:rsidRPr="00282AC9">
        <w:rPr>
          <w:sz w:val="27"/>
          <w:rtl/>
        </w:rPr>
        <w:t xml:space="preserve"> </w:t>
      </w:r>
      <w:r w:rsidRPr="00282AC9">
        <w:rPr>
          <w:rFonts w:hint="cs"/>
          <w:sz w:val="27"/>
          <w:rtl/>
        </w:rPr>
        <w:t>إذا</w:t>
      </w:r>
      <w:r w:rsidRPr="00282AC9">
        <w:rPr>
          <w:sz w:val="27"/>
          <w:rtl/>
        </w:rPr>
        <w:t xml:space="preserve"> </w:t>
      </w:r>
      <w:r w:rsidRPr="00282AC9">
        <w:rPr>
          <w:rFonts w:hint="cs"/>
          <w:sz w:val="27"/>
          <w:rtl/>
        </w:rPr>
        <w:t>فعلوا</w:t>
      </w:r>
      <w:r w:rsidRPr="00282AC9">
        <w:rPr>
          <w:sz w:val="27"/>
          <w:rtl/>
        </w:rPr>
        <w:t xml:space="preserve"> </w:t>
      </w:r>
      <w:r w:rsidRPr="00282AC9">
        <w:rPr>
          <w:rFonts w:hint="cs"/>
          <w:sz w:val="27"/>
          <w:rtl/>
        </w:rPr>
        <w:t>ذلك</w:t>
      </w:r>
      <w:r w:rsidRPr="00282AC9">
        <w:rPr>
          <w:sz w:val="27"/>
          <w:rtl/>
        </w:rPr>
        <w:t xml:space="preserve">، </w:t>
      </w:r>
      <w:r w:rsidRPr="00282AC9">
        <w:rPr>
          <w:rFonts w:hint="cs"/>
          <w:sz w:val="27"/>
          <w:rtl/>
        </w:rPr>
        <w:t>أه</w:t>
      </w:r>
      <w:r w:rsidR="00D207D2" w:rsidRPr="00282AC9">
        <w:rPr>
          <w:rFonts w:hint="cs"/>
          <w:sz w:val="27"/>
          <w:rtl/>
        </w:rPr>
        <w:t>ُ</w:t>
      </w:r>
      <w:r w:rsidRPr="00282AC9">
        <w:rPr>
          <w:rFonts w:hint="cs"/>
          <w:sz w:val="27"/>
          <w:rtl/>
        </w:rPr>
        <w:t>م</w:t>
      </w:r>
      <w:r w:rsidR="00D207D2" w:rsidRPr="00282AC9">
        <w:rPr>
          <w:rFonts w:hint="cs"/>
          <w:sz w:val="27"/>
          <w:rtl/>
        </w:rPr>
        <w:t>ْ</w:t>
      </w:r>
      <w:r w:rsidRPr="00282AC9">
        <w:rPr>
          <w:rFonts w:hint="cs"/>
          <w:sz w:val="27"/>
          <w:rtl/>
        </w:rPr>
        <w:t xml:space="preserve"> أهل</w:t>
      </w:r>
      <w:r w:rsidRPr="00282AC9">
        <w:rPr>
          <w:sz w:val="27"/>
          <w:rtl/>
        </w:rPr>
        <w:t xml:space="preserve"> </w:t>
      </w:r>
      <w:r w:rsidRPr="00282AC9">
        <w:rPr>
          <w:rFonts w:hint="cs"/>
          <w:sz w:val="27"/>
          <w:rtl/>
        </w:rPr>
        <w:t>رد</w:t>
      </w:r>
      <w:r w:rsidR="00D207D2" w:rsidRPr="00282AC9">
        <w:rPr>
          <w:rFonts w:hint="cs"/>
          <w:sz w:val="27"/>
          <w:rtl/>
        </w:rPr>
        <w:t>ّ</w:t>
      </w:r>
      <w:r w:rsidRPr="00282AC9">
        <w:rPr>
          <w:rFonts w:hint="cs"/>
          <w:sz w:val="27"/>
          <w:rtl/>
        </w:rPr>
        <w:t>ة</w:t>
      </w:r>
      <w:r w:rsidR="00D207D2" w:rsidRPr="00282AC9">
        <w:rPr>
          <w:rFonts w:hint="cs"/>
          <w:sz w:val="27"/>
          <w:rtl/>
        </w:rPr>
        <w:t>ٍ</w:t>
      </w:r>
      <w:r w:rsidRPr="00282AC9">
        <w:rPr>
          <w:sz w:val="27"/>
          <w:rtl/>
        </w:rPr>
        <w:t xml:space="preserve"> </w:t>
      </w:r>
      <w:r w:rsidRPr="00282AC9">
        <w:rPr>
          <w:rFonts w:hint="cs"/>
          <w:sz w:val="27"/>
          <w:rtl/>
        </w:rPr>
        <w:t>أم</w:t>
      </w:r>
      <w:r w:rsidRPr="00282AC9">
        <w:rPr>
          <w:sz w:val="27"/>
          <w:rtl/>
        </w:rPr>
        <w:t xml:space="preserve"> </w:t>
      </w:r>
      <w:r w:rsidRPr="00282AC9">
        <w:rPr>
          <w:rFonts w:hint="cs"/>
          <w:sz w:val="27"/>
          <w:rtl/>
        </w:rPr>
        <w:t>أهل</w:t>
      </w:r>
      <w:r w:rsidRPr="00282AC9">
        <w:rPr>
          <w:sz w:val="27"/>
          <w:rtl/>
        </w:rPr>
        <w:t xml:space="preserve"> </w:t>
      </w:r>
      <w:r w:rsidRPr="00282AC9">
        <w:rPr>
          <w:rFonts w:hint="cs"/>
          <w:sz w:val="27"/>
          <w:rtl/>
        </w:rPr>
        <w:t>فتنة</w:t>
      </w:r>
      <w:r w:rsidR="00D207D2" w:rsidRPr="00282AC9">
        <w:rPr>
          <w:rFonts w:hint="cs"/>
          <w:sz w:val="27"/>
          <w:rtl/>
        </w:rPr>
        <w:t>ٍ</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هم</w:t>
      </w:r>
      <w:r w:rsidRPr="00282AC9">
        <w:rPr>
          <w:sz w:val="27"/>
          <w:rtl/>
        </w:rPr>
        <w:t xml:space="preserve"> </w:t>
      </w:r>
      <w:r w:rsidRPr="00282AC9">
        <w:rPr>
          <w:rFonts w:hint="cs"/>
          <w:sz w:val="27"/>
          <w:rtl/>
        </w:rPr>
        <w:t>أهل</w:t>
      </w:r>
      <w:r w:rsidRPr="00282AC9">
        <w:rPr>
          <w:sz w:val="27"/>
          <w:rtl/>
        </w:rPr>
        <w:t xml:space="preserve"> </w:t>
      </w:r>
      <w:r w:rsidRPr="00282AC9">
        <w:rPr>
          <w:rFonts w:hint="cs"/>
          <w:sz w:val="27"/>
          <w:rtl/>
        </w:rPr>
        <w:t>فتنة</w:t>
      </w:r>
      <w:r w:rsidR="00D207D2" w:rsidRPr="00282AC9">
        <w:rPr>
          <w:rFonts w:hint="cs"/>
          <w:sz w:val="27"/>
          <w:rtl/>
        </w:rPr>
        <w:t>ٍ</w:t>
      </w:r>
      <w:r w:rsidRPr="00282AC9">
        <w:rPr>
          <w:sz w:val="27"/>
          <w:rtl/>
        </w:rPr>
        <w:t xml:space="preserve">، </w:t>
      </w:r>
      <w:r w:rsidRPr="00282AC9">
        <w:rPr>
          <w:rFonts w:hint="cs"/>
          <w:sz w:val="27"/>
          <w:rtl/>
        </w:rPr>
        <w:t>يعمهون</w:t>
      </w:r>
      <w:r w:rsidRPr="00282AC9">
        <w:rPr>
          <w:sz w:val="27"/>
          <w:rtl/>
        </w:rPr>
        <w:t xml:space="preserve"> </w:t>
      </w:r>
      <w:r w:rsidRPr="00282AC9">
        <w:rPr>
          <w:rFonts w:hint="cs"/>
          <w:sz w:val="27"/>
          <w:rtl/>
        </w:rPr>
        <w:t>فيها</w:t>
      </w:r>
      <w:r w:rsidRPr="00282AC9">
        <w:rPr>
          <w:sz w:val="27"/>
          <w:rtl/>
        </w:rPr>
        <w:t xml:space="preserve"> </w:t>
      </w:r>
      <w:r w:rsidRPr="00282AC9">
        <w:rPr>
          <w:rFonts w:hint="cs"/>
          <w:sz w:val="27"/>
          <w:rtl/>
        </w:rPr>
        <w:t>إلى</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يدركهم العدل</w:t>
      </w:r>
      <w:r w:rsidRPr="00282AC9">
        <w:rPr>
          <w:sz w:val="27"/>
          <w:rtl/>
        </w:rPr>
        <w:t xml:space="preserve">، </w:t>
      </w:r>
      <w:r w:rsidRPr="00282AC9">
        <w:rPr>
          <w:rFonts w:hint="cs"/>
          <w:sz w:val="27"/>
          <w:rtl/>
        </w:rPr>
        <w:t>فقلت</w:t>
      </w:r>
      <w:r w:rsidR="00D207D2" w:rsidRPr="00282AC9">
        <w:rPr>
          <w:rFonts w:hint="cs"/>
          <w:sz w:val="27"/>
          <w:rtl/>
        </w:rPr>
        <w:t>ُ</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D207D2" w:rsidRPr="00282AC9">
        <w:rPr>
          <w:rFonts w:hint="cs"/>
          <w:sz w:val="27"/>
          <w:rtl/>
        </w:rPr>
        <w:t>،</w:t>
      </w:r>
      <w:r w:rsidRPr="00282AC9">
        <w:rPr>
          <w:sz w:val="27"/>
          <w:rtl/>
        </w:rPr>
        <w:t xml:space="preserve"> </w:t>
      </w:r>
      <w:r w:rsidRPr="00282AC9">
        <w:rPr>
          <w:rFonts w:hint="cs"/>
          <w:sz w:val="27"/>
          <w:rtl/>
        </w:rPr>
        <w:t>العدل</w:t>
      </w:r>
      <w:r w:rsidRPr="00282AC9">
        <w:rPr>
          <w:sz w:val="27"/>
          <w:rtl/>
        </w:rPr>
        <w:t xml:space="preserve"> </w:t>
      </w:r>
      <w:r w:rsidRPr="00282AC9">
        <w:rPr>
          <w:rFonts w:hint="cs"/>
          <w:sz w:val="27"/>
          <w:rtl/>
        </w:rPr>
        <w:t>من</w:t>
      </w:r>
      <w:r w:rsidR="00D207D2" w:rsidRPr="00282AC9">
        <w:rPr>
          <w:rFonts w:hint="cs"/>
          <w:sz w:val="27"/>
          <w:rtl/>
        </w:rPr>
        <w:t>ّ</w:t>
      </w:r>
      <w:r w:rsidRPr="00282AC9">
        <w:rPr>
          <w:rFonts w:hint="cs"/>
          <w:sz w:val="27"/>
          <w:rtl/>
        </w:rPr>
        <w:t>ا</w:t>
      </w:r>
      <w:r w:rsidRPr="00282AC9">
        <w:rPr>
          <w:sz w:val="27"/>
          <w:rtl/>
        </w:rPr>
        <w:t xml:space="preserve"> </w:t>
      </w:r>
      <w:r w:rsidRPr="00282AC9">
        <w:rPr>
          <w:rFonts w:hint="cs"/>
          <w:sz w:val="27"/>
          <w:rtl/>
        </w:rPr>
        <w:t>أم</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غيرنا</w:t>
      </w:r>
      <w:r w:rsidRPr="00282AC9">
        <w:rPr>
          <w:sz w:val="27"/>
          <w:rtl/>
        </w:rPr>
        <w:t xml:space="preserve">؟ </w:t>
      </w:r>
      <w:r w:rsidRPr="00282AC9">
        <w:rPr>
          <w:rFonts w:hint="cs"/>
          <w:sz w:val="27"/>
          <w:rtl/>
        </w:rPr>
        <w:t>فقال</w:t>
      </w:r>
      <w:r w:rsidRPr="00282AC9">
        <w:rPr>
          <w:sz w:val="27"/>
          <w:rtl/>
        </w:rPr>
        <w:t xml:space="preserve">: </w:t>
      </w:r>
      <w:r w:rsidRPr="00282AC9">
        <w:rPr>
          <w:rFonts w:hint="cs"/>
          <w:sz w:val="27"/>
          <w:rtl/>
        </w:rPr>
        <w:t>بل</w:t>
      </w:r>
      <w:r w:rsidRPr="00282AC9">
        <w:rPr>
          <w:sz w:val="27"/>
          <w:rtl/>
        </w:rPr>
        <w:t xml:space="preserve"> </w:t>
      </w:r>
      <w:r w:rsidRPr="00282AC9">
        <w:rPr>
          <w:rFonts w:hint="cs"/>
          <w:sz w:val="27"/>
          <w:rtl/>
        </w:rPr>
        <w:t>من</w:t>
      </w:r>
      <w:r w:rsidR="00D207D2" w:rsidRPr="00282AC9">
        <w:rPr>
          <w:rFonts w:hint="cs"/>
          <w:sz w:val="27"/>
          <w:rtl/>
        </w:rPr>
        <w:t>ّ</w:t>
      </w:r>
      <w:r w:rsidRPr="00282AC9">
        <w:rPr>
          <w:rFonts w:hint="cs"/>
          <w:sz w:val="27"/>
          <w:rtl/>
        </w:rPr>
        <w:t>ا</w:t>
      </w:r>
      <w:r w:rsidRPr="00282AC9">
        <w:rPr>
          <w:sz w:val="27"/>
          <w:rtl/>
        </w:rPr>
        <w:t xml:space="preserve">، </w:t>
      </w:r>
      <w:r w:rsidRPr="00282AC9">
        <w:rPr>
          <w:rFonts w:hint="cs"/>
          <w:sz w:val="27"/>
          <w:rtl/>
        </w:rPr>
        <w:t>بنا</w:t>
      </w:r>
      <w:r w:rsidRPr="00282AC9">
        <w:rPr>
          <w:sz w:val="27"/>
          <w:rtl/>
        </w:rPr>
        <w:t xml:space="preserve"> </w:t>
      </w:r>
      <w:r w:rsidRPr="00282AC9">
        <w:rPr>
          <w:rFonts w:hint="cs"/>
          <w:sz w:val="27"/>
          <w:rtl/>
        </w:rPr>
        <w:t>يفتح</w:t>
      </w:r>
      <w:r w:rsidRPr="00282AC9">
        <w:rPr>
          <w:sz w:val="27"/>
          <w:rtl/>
        </w:rPr>
        <w:t xml:space="preserve"> </w:t>
      </w:r>
      <w:r w:rsidRPr="00282AC9">
        <w:rPr>
          <w:rFonts w:hint="cs"/>
          <w:sz w:val="27"/>
          <w:rtl/>
        </w:rPr>
        <w:t>الله</w:t>
      </w:r>
      <w:r w:rsidRPr="00282AC9">
        <w:rPr>
          <w:sz w:val="27"/>
          <w:rtl/>
        </w:rPr>
        <w:t>،</w:t>
      </w:r>
      <w:r w:rsidRPr="00282AC9">
        <w:rPr>
          <w:rFonts w:hint="cs"/>
          <w:sz w:val="27"/>
          <w:rtl/>
        </w:rPr>
        <w:t xml:space="preserve"> وبنا</w:t>
      </w:r>
      <w:r w:rsidRPr="00282AC9">
        <w:rPr>
          <w:sz w:val="27"/>
          <w:rtl/>
        </w:rPr>
        <w:t xml:space="preserve"> </w:t>
      </w:r>
      <w:r w:rsidRPr="00282AC9">
        <w:rPr>
          <w:rFonts w:hint="cs"/>
          <w:sz w:val="27"/>
          <w:rtl/>
        </w:rPr>
        <w:t>يختم،</w:t>
      </w:r>
      <w:r w:rsidRPr="00282AC9">
        <w:rPr>
          <w:sz w:val="27"/>
          <w:rtl/>
        </w:rPr>
        <w:t xml:space="preserve"> </w:t>
      </w:r>
      <w:r w:rsidRPr="00282AC9">
        <w:rPr>
          <w:rFonts w:hint="cs"/>
          <w:sz w:val="27"/>
          <w:rtl/>
        </w:rPr>
        <w:t>وبنا</w:t>
      </w:r>
      <w:r w:rsidRPr="00282AC9">
        <w:rPr>
          <w:sz w:val="27"/>
          <w:rtl/>
        </w:rPr>
        <w:t xml:space="preserve"> </w:t>
      </w:r>
      <w:r w:rsidRPr="00282AC9">
        <w:rPr>
          <w:rFonts w:hint="cs"/>
          <w:sz w:val="27"/>
          <w:rtl/>
        </w:rPr>
        <w:t>أل</w:t>
      </w:r>
      <w:r w:rsidR="00D207D2" w:rsidRPr="00282AC9">
        <w:rPr>
          <w:rFonts w:hint="cs"/>
          <w:sz w:val="27"/>
          <w:rtl/>
        </w:rPr>
        <w:t>َّ</w:t>
      </w:r>
      <w:r w:rsidRPr="00282AC9">
        <w:rPr>
          <w:rFonts w:hint="cs"/>
          <w:sz w:val="27"/>
          <w:rtl/>
        </w:rPr>
        <w:t>ف</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بين</w:t>
      </w:r>
      <w:r w:rsidRPr="00282AC9">
        <w:rPr>
          <w:sz w:val="27"/>
          <w:rtl/>
        </w:rPr>
        <w:t xml:space="preserve"> </w:t>
      </w:r>
      <w:r w:rsidRPr="00282AC9">
        <w:rPr>
          <w:rFonts w:hint="cs"/>
          <w:sz w:val="27"/>
          <w:rtl/>
        </w:rPr>
        <w:t>القلوب</w:t>
      </w:r>
      <w:r w:rsidRPr="00282AC9">
        <w:rPr>
          <w:sz w:val="27"/>
          <w:rtl/>
        </w:rPr>
        <w:t xml:space="preserve"> </w:t>
      </w:r>
      <w:r w:rsidRPr="00282AC9">
        <w:rPr>
          <w:rFonts w:hint="cs"/>
          <w:sz w:val="27"/>
          <w:rtl/>
        </w:rPr>
        <w:t>بعد</w:t>
      </w:r>
      <w:r w:rsidRPr="00282AC9">
        <w:rPr>
          <w:sz w:val="27"/>
          <w:rtl/>
        </w:rPr>
        <w:t xml:space="preserve"> </w:t>
      </w:r>
      <w:r w:rsidRPr="00282AC9">
        <w:rPr>
          <w:rFonts w:hint="cs"/>
          <w:sz w:val="27"/>
          <w:rtl/>
        </w:rPr>
        <w:t>الشرك</w:t>
      </w:r>
      <w:r w:rsidRPr="00282AC9">
        <w:rPr>
          <w:sz w:val="27"/>
          <w:rtl/>
        </w:rPr>
        <w:t xml:space="preserve">، </w:t>
      </w:r>
      <w:r w:rsidRPr="00282AC9">
        <w:rPr>
          <w:rFonts w:hint="cs"/>
          <w:sz w:val="27"/>
          <w:rtl/>
        </w:rPr>
        <w:t>وبنا</w:t>
      </w:r>
      <w:r w:rsidRPr="00282AC9">
        <w:rPr>
          <w:sz w:val="27"/>
          <w:rtl/>
        </w:rPr>
        <w:t xml:space="preserve"> </w:t>
      </w:r>
      <w:r w:rsidRPr="00282AC9">
        <w:rPr>
          <w:rFonts w:hint="cs"/>
          <w:sz w:val="27"/>
          <w:rtl/>
        </w:rPr>
        <w:t>يؤل</w:t>
      </w:r>
      <w:r w:rsidR="00D207D2" w:rsidRPr="00282AC9">
        <w:rPr>
          <w:rFonts w:hint="cs"/>
          <w:sz w:val="27"/>
          <w:rtl/>
        </w:rPr>
        <w:t>ِّ</w:t>
      </w:r>
      <w:r w:rsidRPr="00282AC9">
        <w:rPr>
          <w:rFonts w:hint="cs"/>
          <w:sz w:val="27"/>
          <w:rtl/>
        </w:rPr>
        <w:t>ف</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بين</w:t>
      </w:r>
      <w:r w:rsidRPr="00282AC9">
        <w:rPr>
          <w:sz w:val="27"/>
          <w:rtl/>
        </w:rPr>
        <w:t xml:space="preserve"> </w:t>
      </w:r>
      <w:r w:rsidRPr="00282AC9">
        <w:rPr>
          <w:rFonts w:hint="cs"/>
          <w:sz w:val="27"/>
          <w:rtl/>
        </w:rPr>
        <w:t>القلوب بعد</w:t>
      </w:r>
      <w:r w:rsidRPr="00282AC9">
        <w:rPr>
          <w:sz w:val="27"/>
          <w:rtl/>
        </w:rPr>
        <w:t xml:space="preserve"> </w:t>
      </w:r>
      <w:r w:rsidRPr="00282AC9">
        <w:rPr>
          <w:rFonts w:hint="cs"/>
          <w:sz w:val="27"/>
          <w:rtl/>
        </w:rPr>
        <w:t>الفتنة</w:t>
      </w:r>
      <w:r w:rsidRPr="00282AC9">
        <w:rPr>
          <w:sz w:val="27"/>
          <w:rtl/>
        </w:rPr>
        <w:t xml:space="preserve">، </w:t>
      </w:r>
      <w:r w:rsidRPr="00282AC9">
        <w:rPr>
          <w:rFonts w:hint="cs"/>
          <w:sz w:val="27"/>
          <w:rtl/>
        </w:rPr>
        <w:t>فقلت</w:t>
      </w:r>
      <w:r w:rsidR="00D207D2" w:rsidRPr="00282AC9">
        <w:rPr>
          <w:rFonts w:hint="cs"/>
          <w:sz w:val="27"/>
          <w:rtl/>
        </w:rPr>
        <w:t>ُ</w:t>
      </w:r>
      <w:r w:rsidRPr="00282AC9">
        <w:rPr>
          <w:sz w:val="27"/>
          <w:rtl/>
        </w:rPr>
        <w:t xml:space="preserve">: </w:t>
      </w:r>
      <w:r w:rsidRPr="00282AC9">
        <w:rPr>
          <w:rFonts w:hint="cs"/>
          <w:sz w:val="27"/>
          <w:rtl/>
        </w:rPr>
        <w:t>الحمد</w:t>
      </w:r>
      <w:r w:rsidRPr="00282AC9">
        <w:rPr>
          <w:sz w:val="27"/>
          <w:rtl/>
        </w:rPr>
        <w:t xml:space="preserve"> </w:t>
      </w:r>
      <w:r w:rsidRPr="00282AC9">
        <w:rPr>
          <w:rFonts w:hint="cs"/>
          <w:sz w:val="27"/>
          <w:rtl/>
        </w:rPr>
        <w:t>لله</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و</w:t>
      </w:r>
      <w:r w:rsidR="00D207D2" w:rsidRPr="00282AC9">
        <w:rPr>
          <w:rFonts w:hint="cs"/>
          <w:sz w:val="27"/>
          <w:rtl/>
        </w:rPr>
        <w:t>َ</w:t>
      </w:r>
      <w:r w:rsidRPr="00282AC9">
        <w:rPr>
          <w:rFonts w:hint="cs"/>
          <w:sz w:val="27"/>
          <w:rtl/>
        </w:rPr>
        <w:t>ه</w:t>
      </w:r>
      <w:r w:rsidR="00D207D2" w:rsidRPr="00282AC9">
        <w:rPr>
          <w:rFonts w:hint="cs"/>
          <w:sz w:val="27"/>
          <w:rtl/>
        </w:rPr>
        <w:t>َ</w:t>
      </w:r>
      <w:r w:rsidRPr="00282AC9">
        <w:rPr>
          <w:rFonts w:hint="cs"/>
          <w:sz w:val="27"/>
          <w:rtl/>
        </w:rPr>
        <w:t>ب</w:t>
      </w:r>
      <w:r w:rsidR="00D207D2" w:rsidRPr="00282AC9">
        <w:rPr>
          <w:rFonts w:hint="cs"/>
          <w:sz w:val="27"/>
          <w:rtl/>
        </w:rPr>
        <w:t>َ</w:t>
      </w:r>
      <w:r w:rsidRPr="00282AC9">
        <w:rPr>
          <w:sz w:val="27"/>
          <w:rtl/>
        </w:rPr>
        <w:t xml:space="preserve"> </w:t>
      </w:r>
      <w:r w:rsidRPr="00282AC9">
        <w:rPr>
          <w:rFonts w:hint="cs"/>
          <w:sz w:val="27"/>
          <w:rtl/>
        </w:rPr>
        <w:t>لنا</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فضله</w:t>
      </w:r>
      <w:r w:rsidRPr="00282AC9">
        <w:rPr>
          <w:rFonts w:hint="eastAsia"/>
          <w:sz w:val="24"/>
          <w:szCs w:val="24"/>
          <w:rtl/>
        </w:rPr>
        <w:t>»</w:t>
      </w:r>
      <w:r w:rsidRPr="00282AC9">
        <w:rPr>
          <w:sz w:val="27"/>
          <w:vertAlign w:val="superscript"/>
          <w:rtl/>
        </w:rPr>
        <w:t>(</w:t>
      </w:r>
      <w:r w:rsidRPr="00282AC9">
        <w:rPr>
          <w:rStyle w:val="af9"/>
          <w:sz w:val="27"/>
          <w:rtl/>
        </w:rPr>
        <w:endnoteReference w:id="777"/>
      </w:r>
      <w:r w:rsidRPr="00282AC9">
        <w:rPr>
          <w:sz w:val="27"/>
          <w:vertAlign w:val="superscript"/>
          <w:rtl/>
        </w:rPr>
        <w:t>)</w:t>
      </w:r>
      <w:r w:rsidRPr="00282AC9">
        <w:rPr>
          <w:sz w:val="27"/>
          <w:rtl/>
        </w:rPr>
        <w:t>.</w:t>
      </w:r>
    </w:p>
    <w:p w:rsidR="00965E08" w:rsidRPr="00282AC9" w:rsidRDefault="00965E08" w:rsidP="003062B7">
      <w:pPr>
        <w:rPr>
          <w:sz w:val="27"/>
          <w:rtl/>
        </w:rPr>
      </w:pPr>
      <w:r w:rsidRPr="00282AC9">
        <w:rPr>
          <w:rFonts w:hint="cs"/>
          <w:sz w:val="27"/>
          <w:rtl/>
        </w:rPr>
        <w:t>فالحديث</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عصر</w:t>
      </w:r>
      <w:r w:rsidRPr="00282AC9">
        <w:rPr>
          <w:sz w:val="27"/>
          <w:rtl/>
        </w:rPr>
        <w:t xml:space="preserve"> </w:t>
      </w:r>
      <w:r w:rsidRPr="00282AC9">
        <w:rPr>
          <w:rFonts w:hint="cs"/>
          <w:sz w:val="27"/>
          <w:rtl/>
        </w:rPr>
        <w:t>ال</w:t>
      </w:r>
      <w:r w:rsidR="00D207D2" w:rsidRPr="00282AC9">
        <w:rPr>
          <w:rFonts w:hint="cs"/>
          <w:sz w:val="27"/>
          <w:rtl/>
        </w:rPr>
        <w:t>إ</w:t>
      </w:r>
      <w:r w:rsidRPr="00282AC9">
        <w:rPr>
          <w:rFonts w:hint="cs"/>
          <w:sz w:val="27"/>
          <w:rtl/>
        </w:rPr>
        <w:t>مام المهدي</w:t>
      </w:r>
      <w:r w:rsidR="00D207D2" w:rsidRPr="00282AC9">
        <w:rPr>
          <w:rFonts w:hint="cs"/>
          <w:sz w:val="27"/>
          <w:rtl/>
        </w:rPr>
        <w:t>ّ</w:t>
      </w:r>
      <w:r w:rsidR="001100B1" w:rsidRPr="00282AC9">
        <w:rPr>
          <w:rFonts w:ascii="Mosawi" w:hAnsi="Mosawi" w:cs="Mosawi" w:hint="cs"/>
          <w:sz w:val="22"/>
          <w:szCs w:val="22"/>
          <w:rtl/>
        </w:rPr>
        <w:t>#</w:t>
      </w:r>
      <w:r w:rsidRPr="00282AC9">
        <w:rPr>
          <w:sz w:val="27"/>
          <w:rtl/>
        </w:rPr>
        <w:t>.</w:t>
      </w:r>
    </w:p>
    <w:p w:rsidR="00965E08" w:rsidRPr="00282AC9" w:rsidRDefault="00965E08" w:rsidP="003062B7">
      <w:pPr>
        <w:rPr>
          <w:sz w:val="27"/>
        </w:rPr>
      </w:pPr>
      <w:r w:rsidRPr="00282AC9">
        <w:rPr>
          <w:rFonts w:hint="cs"/>
          <w:sz w:val="27"/>
          <w:rtl/>
        </w:rPr>
        <w:t>وقال</w:t>
      </w:r>
      <w:r w:rsidR="009A2A04" w:rsidRPr="00282AC9">
        <w:rPr>
          <w:rFonts w:cs="Mosawi" w:hint="cs"/>
          <w:sz w:val="22"/>
          <w:szCs w:val="22"/>
          <w:rtl/>
        </w:rPr>
        <w:t>×</w:t>
      </w:r>
      <w:r w:rsidRPr="00282AC9">
        <w:rPr>
          <w:rFonts w:hint="cs"/>
          <w:sz w:val="27"/>
          <w:rtl/>
        </w:rPr>
        <w:t xml:space="preserve">: </w:t>
      </w:r>
      <w:r w:rsidRPr="00282AC9">
        <w:rPr>
          <w:rFonts w:hint="eastAsia"/>
          <w:sz w:val="24"/>
          <w:szCs w:val="24"/>
          <w:rtl/>
        </w:rPr>
        <w:t>«</w:t>
      </w:r>
      <w:r w:rsidRPr="00282AC9">
        <w:rPr>
          <w:rFonts w:ascii="Mosawi" w:hAnsi="Mosawi" w:cs="Mosawi"/>
          <w:sz w:val="24"/>
          <w:szCs w:val="24"/>
          <w:rtl/>
        </w:rPr>
        <w:t>﴿</w:t>
      </w:r>
      <w:r w:rsidR="00D207D2" w:rsidRPr="00282AC9">
        <w:rPr>
          <w:b/>
          <w:bCs/>
          <w:sz w:val="27"/>
          <w:rtl/>
        </w:rPr>
        <w:t>بِسْمِ اللهِ الرَّحْمَنِ الرَّحِيمِ</w:t>
      </w:r>
      <w:r w:rsidR="00D207D2" w:rsidRPr="00282AC9">
        <w:rPr>
          <w:rFonts w:hint="cs"/>
          <w:b/>
          <w:bCs/>
          <w:sz w:val="27"/>
          <w:rtl/>
        </w:rPr>
        <w:t xml:space="preserve"> * </w:t>
      </w:r>
      <w:r w:rsidR="00D207D2" w:rsidRPr="00282AC9">
        <w:rPr>
          <w:b/>
          <w:bCs/>
          <w:sz w:val="27"/>
          <w:rtl/>
        </w:rPr>
        <w:t>إِذَا جَاءَ نَصْرُ اللهِ وَالْفَتْحُ</w:t>
      </w:r>
      <w:r w:rsidRPr="00282AC9">
        <w:rPr>
          <w:rFonts w:ascii="Mosawi" w:hAnsi="Mosawi" w:cs="Mosawi"/>
          <w:sz w:val="24"/>
          <w:szCs w:val="24"/>
          <w:rtl/>
        </w:rPr>
        <w:t>﴾</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نزلت</w:t>
      </w:r>
      <w:r w:rsidRPr="00282AC9">
        <w:rPr>
          <w:sz w:val="27"/>
          <w:rtl/>
        </w:rPr>
        <w:t xml:space="preserve"> </w:t>
      </w:r>
      <w:r w:rsidRPr="00282AC9">
        <w:rPr>
          <w:rFonts w:hint="cs"/>
          <w:sz w:val="27"/>
          <w:rtl/>
        </w:rPr>
        <w:t>بم</w:t>
      </w:r>
      <w:r w:rsidR="00D207D2" w:rsidRPr="00282AC9">
        <w:rPr>
          <w:rFonts w:hint="cs"/>
          <w:sz w:val="27"/>
          <w:rtl/>
        </w:rPr>
        <w:t>ِ</w:t>
      </w:r>
      <w:r w:rsidRPr="00282AC9">
        <w:rPr>
          <w:rFonts w:hint="cs"/>
          <w:sz w:val="27"/>
          <w:rtl/>
        </w:rPr>
        <w:t>ن</w:t>
      </w:r>
      <w:r w:rsidR="00D207D2" w:rsidRPr="00282AC9">
        <w:rPr>
          <w:rFonts w:hint="cs"/>
          <w:sz w:val="27"/>
          <w:rtl/>
        </w:rPr>
        <w:t>َ</w:t>
      </w:r>
      <w:r w:rsidRPr="00282AC9">
        <w:rPr>
          <w:rFonts w:hint="cs"/>
          <w:sz w:val="27"/>
          <w:rtl/>
        </w:rPr>
        <w:t>ى</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حج</w:t>
      </w:r>
      <w:r w:rsidR="00D207D2" w:rsidRPr="00282AC9">
        <w:rPr>
          <w:rFonts w:hint="cs"/>
          <w:sz w:val="27"/>
          <w:rtl/>
        </w:rPr>
        <w:t>ّ</w:t>
      </w:r>
      <w:r w:rsidRPr="00282AC9">
        <w:rPr>
          <w:rFonts w:hint="cs"/>
          <w:sz w:val="27"/>
          <w:rtl/>
        </w:rPr>
        <w:t>ة</w:t>
      </w:r>
      <w:r w:rsidRPr="00282AC9">
        <w:rPr>
          <w:sz w:val="27"/>
          <w:rtl/>
        </w:rPr>
        <w:t xml:space="preserve"> </w:t>
      </w:r>
      <w:r w:rsidRPr="00282AC9">
        <w:rPr>
          <w:rFonts w:hint="cs"/>
          <w:sz w:val="27"/>
          <w:rtl/>
        </w:rPr>
        <w:t>الوداع</w:t>
      </w:r>
      <w:r w:rsidRPr="00282AC9">
        <w:rPr>
          <w:sz w:val="27"/>
          <w:rtl/>
        </w:rPr>
        <w:t xml:space="preserve"> </w:t>
      </w:r>
      <w:r w:rsidRPr="00282AC9">
        <w:rPr>
          <w:rFonts w:hint="cs"/>
          <w:sz w:val="27"/>
          <w:rtl/>
        </w:rPr>
        <w:t>إذا</w:t>
      </w:r>
      <w:r w:rsidRPr="00282AC9">
        <w:rPr>
          <w:sz w:val="27"/>
          <w:rtl/>
        </w:rPr>
        <w:t xml:space="preserve"> </w:t>
      </w:r>
      <w:r w:rsidRPr="00282AC9">
        <w:rPr>
          <w:rFonts w:hint="cs"/>
          <w:sz w:val="27"/>
          <w:rtl/>
        </w:rPr>
        <w:t>جاء</w:t>
      </w:r>
      <w:r w:rsidRPr="00282AC9">
        <w:rPr>
          <w:sz w:val="27"/>
          <w:rtl/>
        </w:rPr>
        <w:t xml:space="preserve"> </w:t>
      </w:r>
      <w:r w:rsidRPr="00282AC9">
        <w:rPr>
          <w:rFonts w:hint="cs"/>
          <w:sz w:val="27"/>
          <w:rtl/>
        </w:rPr>
        <w:t>نصر</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والفتح</w:t>
      </w:r>
      <w:r w:rsidRPr="00282AC9">
        <w:rPr>
          <w:sz w:val="27"/>
          <w:rtl/>
        </w:rPr>
        <w:t xml:space="preserve">، </w:t>
      </w:r>
      <w:r w:rsidRPr="00282AC9">
        <w:rPr>
          <w:rFonts w:hint="cs"/>
          <w:sz w:val="27"/>
          <w:rtl/>
        </w:rPr>
        <w:t>فلم</w:t>
      </w:r>
      <w:r w:rsidR="00087CE0" w:rsidRPr="00282AC9">
        <w:rPr>
          <w:rFonts w:hint="cs"/>
          <w:sz w:val="27"/>
          <w:rtl/>
        </w:rPr>
        <w:t>ّ</w:t>
      </w:r>
      <w:r w:rsidRPr="00282AC9">
        <w:rPr>
          <w:rFonts w:hint="cs"/>
          <w:sz w:val="27"/>
          <w:rtl/>
        </w:rPr>
        <w:t>ا</w:t>
      </w:r>
      <w:r w:rsidRPr="00282AC9">
        <w:rPr>
          <w:sz w:val="27"/>
          <w:rtl/>
        </w:rPr>
        <w:t xml:space="preserve"> </w:t>
      </w:r>
      <w:r w:rsidRPr="00282AC9">
        <w:rPr>
          <w:rFonts w:hint="cs"/>
          <w:sz w:val="27"/>
          <w:rtl/>
        </w:rPr>
        <w:t>نزلت</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sz w:val="22"/>
          <w:szCs w:val="22"/>
          <w:rtl/>
        </w:rPr>
        <w:t>|</w:t>
      </w:r>
      <w:r w:rsidRPr="00282AC9">
        <w:rPr>
          <w:sz w:val="27"/>
          <w:rtl/>
        </w:rPr>
        <w:t>:</w:t>
      </w:r>
      <w:r w:rsidR="00087CE0" w:rsidRPr="00282AC9">
        <w:rPr>
          <w:rFonts w:hint="cs"/>
          <w:sz w:val="27"/>
          <w:rtl/>
        </w:rPr>
        <w:t xml:space="preserve"> </w:t>
      </w:r>
      <w:r w:rsidRPr="00282AC9">
        <w:rPr>
          <w:rFonts w:hint="cs"/>
          <w:sz w:val="27"/>
          <w:rtl/>
        </w:rPr>
        <w:t>ن</w:t>
      </w:r>
      <w:r w:rsidR="00087CE0" w:rsidRPr="00282AC9">
        <w:rPr>
          <w:rFonts w:hint="cs"/>
          <w:sz w:val="27"/>
          <w:rtl/>
        </w:rPr>
        <w:t>ُ</w:t>
      </w:r>
      <w:r w:rsidRPr="00282AC9">
        <w:rPr>
          <w:rFonts w:hint="cs"/>
          <w:sz w:val="27"/>
          <w:rtl/>
        </w:rPr>
        <w:t>ع</w:t>
      </w:r>
      <w:r w:rsidR="00087CE0" w:rsidRPr="00282AC9">
        <w:rPr>
          <w:rFonts w:hint="cs"/>
          <w:sz w:val="27"/>
          <w:rtl/>
        </w:rPr>
        <w:t>ِ</w:t>
      </w:r>
      <w:r w:rsidRPr="00282AC9">
        <w:rPr>
          <w:rFonts w:hint="cs"/>
          <w:sz w:val="27"/>
          <w:rtl/>
        </w:rPr>
        <w:t>ي</w:t>
      </w:r>
      <w:r w:rsidR="00087CE0" w:rsidRPr="00282AC9">
        <w:rPr>
          <w:rFonts w:hint="cs"/>
          <w:sz w:val="27"/>
          <w:rtl/>
        </w:rPr>
        <w:t>َ</w:t>
      </w:r>
      <w:r w:rsidRPr="00282AC9">
        <w:rPr>
          <w:rFonts w:hint="cs"/>
          <w:sz w:val="27"/>
          <w:rtl/>
        </w:rPr>
        <w:t>ت</w:t>
      </w:r>
      <w:r w:rsidR="00087CE0" w:rsidRPr="00282AC9">
        <w:rPr>
          <w:rFonts w:hint="cs"/>
          <w:sz w:val="27"/>
          <w:rtl/>
        </w:rPr>
        <w:t>ْ</w:t>
      </w:r>
      <w:r w:rsidRPr="00282AC9">
        <w:rPr>
          <w:sz w:val="27"/>
          <w:rtl/>
        </w:rPr>
        <w:t xml:space="preserve"> </w:t>
      </w:r>
      <w:r w:rsidRPr="00282AC9">
        <w:rPr>
          <w:rFonts w:hint="cs"/>
          <w:sz w:val="27"/>
          <w:rtl/>
        </w:rPr>
        <w:t>إلي</w:t>
      </w:r>
      <w:r w:rsidR="00087CE0" w:rsidRPr="00282AC9">
        <w:rPr>
          <w:rFonts w:hint="cs"/>
          <w:sz w:val="27"/>
          <w:rtl/>
        </w:rPr>
        <w:t>َّ</w:t>
      </w:r>
      <w:r w:rsidRPr="00282AC9">
        <w:rPr>
          <w:sz w:val="27"/>
          <w:rtl/>
        </w:rPr>
        <w:t xml:space="preserve"> </w:t>
      </w:r>
      <w:r w:rsidRPr="00282AC9">
        <w:rPr>
          <w:rFonts w:hint="cs"/>
          <w:sz w:val="27"/>
          <w:rtl/>
        </w:rPr>
        <w:t>نفسي</w:t>
      </w:r>
      <w:r w:rsidR="00087CE0" w:rsidRPr="00282AC9">
        <w:rPr>
          <w:rFonts w:hint="cs"/>
          <w:sz w:val="27"/>
          <w:rtl/>
        </w:rPr>
        <w:t>،</w:t>
      </w:r>
      <w:r w:rsidRPr="00282AC9">
        <w:rPr>
          <w:sz w:val="27"/>
          <w:rtl/>
        </w:rPr>
        <w:t xml:space="preserve"> </w:t>
      </w:r>
      <w:r w:rsidRPr="00282AC9">
        <w:rPr>
          <w:rFonts w:hint="cs"/>
          <w:sz w:val="27"/>
          <w:rtl/>
        </w:rPr>
        <w:t>فجاء</w:t>
      </w:r>
      <w:r w:rsidRPr="00282AC9">
        <w:rPr>
          <w:sz w:val="27"/>
          <w:rtl/>
        </w:rPr>
        <w:t xml:space="preserve"> </w:t>
      </w:r>
      <w:r w:rsidRPr="00282AC9">
        <w:rPr>
          <w:rFonts w:hint="cs"/>
          <w:sz w:val="27"/>
          <w:rtl/>
        </w:rPr>
        <w:t>إلى</w:t>
      </w:r>
      <w:r w:rsidRPr="00282AC9">
        <w:rPr>
          <w:sz w:val="27"/>
          <w:rtl/>
        </w:rPr>
        <w:t xml:space="preserve"> </w:t>
      </w:r>
      <w:r w:rsidRPr="00282AC9">
        <w:rPr>
          <w:rFonts w:hint="cs"/>
          <w:sz w:val="27"/>
          <w:rtl/>
        </w:rPr>
        <w:t>مسجد</w:t>
      </w:r>
      <w:r w:rsidRPr="00282AC9">
        <w:rPr>
          <w:sz w:val="27"/>
          <w:rtl/>
        </w:rPr>
        <w:t xml:space="preserve"> </w:t>
      </w:r>
      <w:r w:rsidRPr="00282AC9">
        <w:rPr>
          <w:rFonts w:hint="cs"/>
          <w:sz w:val="27"/>
          <w:rtl/>
        </w:rPr>
        <w:t>الخيف</w:t>
      </w:r>
      <w:r w:rsidR="00087CE0" w:rsidRPr="00282AC9">
        <w:rPr>
          <w:rFonts w:hint="cs"/>
          <w:sz w:val="27"/>
          <w:rtl/>
        </w:rPr>
        <w:t>،</w:t>
      </w:r>
      <w:r w:rsidRPr="00282AC9">
        <w:rPr>
          <w:sz w:val="27"/>
          <w:rtl/>
        </w:rPr>
        <w:t xml:space="preserve"> </w:t>
      </w:r>
      <w:r w:rsidRPr="00282AC9">
        <w:rPr>
          <w:rFonts w:hint="cs"/>
          <w:sz w:val="27"/>
          <w:rtl/>
        </w:rPr>
        <w:t>فجمع</w:t>
      </w:r>
      <w:r w:rsidRPr="00282AC9">
        <w:rPr>
          <w:sz w:val="27"/>
          <w:rtl/>
        </w:rPr>
        <w:t xml:space="preserve"> </w:t>
      </w:r>
      <w:r w:rsidRPr="00282AC9">
        <w:rPr>
          <w:rFonts w:hint="cs"/>
          <w:sz w:val="27"/>
          <w:rtl/>
        </w:rPr>
        <w:t>الناس</w:t>
      </w:r>
      <w:r w:rsidR="00087CE0" w:rsidRPr="00282AC9">
        <w:rPr>
          <w:rFonts w:hint="cs"/>
          <w:sz w:val="27"/>
          <w:rtl/>
        </w:rPr>
        <w:t>،</w:t>
      </w:r>
      <w:r w:rsidRPr="00282AC9">
        <w:rPr>
          <w:sz w:val="27"/>
          <w:rtl/>
        </w:rPr>
        <w:t xml:space="preserve"> </w:t>
      </w:r>
      <w:r w:rsidRPr="00282AC9">
        <w:rPr>
          <w:rFonts w:hint="cs"/>
          <w:sz w:val="27"/>
          <w:rtl/>
        </w:rPr>
        <w:t>ثم</w:t>
      </w:r>
      <w:r w:rsidR="00087CE0" w:rsidRPr="00282AC9">
        <w:rPr>
          <w:rFonts w:hint="cs"/>
          <w:sz w:val="27"/>
          <w:rtl/>
        </w:rPr>
        <w:t>ّ</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نصر</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امر</w:t>
      </w:r>
      <w:r w:rsidR="00087CE0" w:rsidRPr="00282AC9">
        <w:rPr>
          <w:rFonts w:hint="cs"/>
          <w:sz w:val="27"/>
          <w:rtl/>
        </w:rPr>
        <w:t>أً</w:t>
      </w:r>
      <w:r w:rsidRPr="00282AC9">
        <w:rPr>
          <w:sz w:val="27"/>
          <w:rtl/>
        </w:rPr>
        <w:t xml:space="preserve"> </w:t>
      </w:r>
      <w:r w:rsidRPr="00282AC9">
        <w:rPr>
          <w:rFonts w:hint="cs"/>
          <w:sz w:val="27"/>
          <w:rtl/>
        </w:rPr>
        <w:t>سمع مقالتي</w:t>
      </w:r>
      <w:r w:rsidRPr="00282AC9">
        <w:rPr>
          <w:sz w:val="27"/>
          <w:rtl/>
        </w:rPr>
        <w:t xml:space="preserve"> </w:t>
      </w:r>
      <w:r w:rsidRPr="00282AC9">
        <w:rPr>
          <w:rFonts w:hint="cs"/>
          <w:sz w:val="27"/>
          <w:rtl/>
        </w:rPr>
        <w:t>فوعاها</w:t>
      </w:r>
      <w:r w:rsidR="00087CE0" w:rsidRPr="00282AC9">
        <w:rPr>
          <w:rFonts w:hint="cs"/>
          <w:sz w:val="27"/>
          <w:rtl/>
        </w:rPr>
        <w:t>،</w:t>
      </w:r>
      <w:r w:rsidRPr="00282AC9">
        <w:rPr>
          <w:sz w:val="27"/>
          <w:rtl/>
        </w:rPr>
        <w:t xml:space="preserve"> </w:t>
      </w:r>
      <w:r w:rsidRPr="00282AC9">
        <w:rPr>
          <w:rFonts w:hint="cs"/>
          <w:sz w:val="27"/>
          <w:rtl/>
        </w:rPr>
        <w:t>وبل</w:t>
      </w:r>
      <w:r w:rsidR="00087CE0" w:rsidRPr="00282AC9">
        <w:rPr>
          <w:rFonts w:hint="cs"/>
          <w:sz w:val="27"/>
          <w:rtl/>
        </w:rPr>
        <w:t>َّ</w:t>
      </w:r>
      <w:r w:rsidRPr="00282AC9">
        <w:rPr>
          <w:rFonts w:hint="cs"/>
          <w:sz w:val="27"/>
          <w:rtl/>
        </w:rPr>
        <w:t>غها</w:t>
      </w:r>
      <w:r w:rsidRPr="00282AC9">
        <w:rPr>
          <w:sz w:val="27"/>
          <w:rtl/>
        </w:rPr>
        <w:t xml:space="preserve"> </w:t>
      </w:r>
      <w:r w:rsidRPr="00282AC9">
        <w:rPr>
          <w:rFonts w:hint="cs"/>
          <w:sz w:val="27"/>
          <w:rtl/>
        </w:rPr>
        <w:t>م</w:t>
      </w:r>
      <w:r w:rsidR="00087CE0" w:rsidRPr="00282AC9">
        <w:rPr>
          <w:rFonts w:hint="cs"/>
          <w:sz w:val="27"/>
          <w:rtl/>
        </w:rPr>
        <w:t>َ</w:t>
      </w:r>
      <w:r w:rsidRPr="00282AC9">
        <w:rPr>
          <w:rFonts w:hint="cs"/>
          <w:sz w:val="27"/>
          <w:rtl/>
        </w:rPr>
        <w:t>ن</w:t>
      </w:r>
      <w:r w:rsidR="00087CE0" w:rsidRPr="00282AC9">
        <w:rPr>
          <w:rFonts w:hint="cs"/>
          <w:sz w:val="27"/>
          <w:rtl/>
        </w:rPr>
        <w:t>ْ</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يسمعها</w:t>
      </w:r>
      <w:r w:rsidR="00087CE0" w:rsidRPr="00282AC9">
        <w:rPr>
          <w:rFonts w:hint="cs"/>
          <w:sz w:val="27"/>
          <w:rtl/>
        </w:rPr>
        <w:t>؛</w:t>
      </w:r>
      <w:r w:rsidRPr="00282AC9">
        <w:rPr>
          <w:sz w:val="27"/>
          <w:rtl/>
        </w:rPr>
        <w:t xml:space="preserve"> </w:t>
      </w:r>
      <w:r w:rsidRPr="00282AC9">
        <w:rPr>
          <w:rFonts w:hint="cs"/>
          <w:sz w:val="27"/>
          <w:rtl/>
        </w:rPr>
        <w:t>فر</w:t>
      </w:r>
      <w:r w:rsidR="00087CE0" w:rsidRPr="00282AC9">
        <w:rPr>
          <w:rFonts w:hint="cs"/>
          <w:sz w:val="27"/>
          <w:rtl/>
        </w:rPr>
        <w:t>ُ</w:t>
      </w:r>
      <w:r w:rsidRPr="00282AC9">
        <w:rPr>
          <w:rFonts w:hint="cs"/>
          <w:sz w:val="27"/>
          <w:rtl/>
        </w:rPr>
        <w:t>ب</w:t>
      </w:r>
      <w:r w:rsidR="00087CE0" w:rsidRPr="00282AC9">
        <w:rPr>
          <w:rFonts w:hint="cs"/>
          <w:sz w:val="27"/>
          <w:rtl/>
        </w:rPr>
        <w:t>َّ</w:t>
      </w:r>
      <w:r w:rsidRPr="00282AC9">
        <w:rPr>
          <w:sz w:val="27"/>
          <w:rtl/>
        </w:rPr>
        <w:t xml:space="preserve"> </w:t>
      </w:r>
      <w:r w:rsidRPr="00282AC9">
        <w:rPr>
          <w:rFonts w:hint="cs"/>
          <w:sz w:val="27"/>
          <w:rtl/>
        </w:rPr>
        <w:t>حامل</w:t>
      </w:r>
      <w:r w:rsidRPr="00282AC9">
        <w:rPr>
          <w:sz w:val="27"/>
          <w:rtl/>
        </w:rPr>
        <w:t xml:space="preserve"> </w:t>
      </w:r>
      <w:r w:rsidRPr="00282AC9">
        <w:rPr>
          <w:rFonts w:hint="cs"/>
          <w:sz w:val="27"/>
          <w:rtl/>
        </w:rPr>
        <w:t>فقه</w:t>
      </w:r>
      <w:r w:rsidR="00087CE0" w:rsidRPr="00282AC9">
        <w:rPr>
          <w:rFonts w:hint="cs"/>
          <w:sz w:val="27"/>
          <w:rtl/>
        </w:rPr>
        <w:t>ٍ</w:t>
      </w:r>
      <w:r w:rsidRPr="00282AC9">
        <w:rPr>
          <w:sz w:val="27"/>
          <w:rtl/>
        </w:rPr>
        <w:t xml:space="preserve"> </w:t>
      </w:r>
      <w:r w:rsidRPr="00282AC9">
        <w:rPr>
          <w:rFonts w:hint="cs"/>
          <w:sz w:val="27"/>
          <w:rtl/>
        </w:rPr>
        <w:t>غير</w:t>
      </w:r>
      <w:r w:rsidRPr="00282AC9">
        <w:rPr>
          <w:sz w:val="27"/>
          <w:rtl/>
        </w:rPr>
        <w:t xml:space="preserve"> </w:t>
      </w:r>
      <w:r w:rsidRPr="00282AC9">
        <w:rPr>
          <w:rFonts w:hint="cs"/>
          <w:sz w:val="27"/>
          <w:rtl/>
        </w:rPr>
        <w:t>فقيه</w:t>
      </w:r>
      <w:r w:rsidR="00087CE0" w:rsidRPr="00282AC9">
        <w:rPr>
          <w:rFonts w:hint="cs"/>
          <w:sz w:val="27"/>
          <w:rtl/>
        </w:rPr>
        <w:t>ٍ،</w:t>
      </w:r>
      <w:r w:rsidRPr="00282AC9">
        <w:rPr>
          <w:sz w:val="27"/>
          <w:rtl/>
        </w:rPr>
        <w:t xml:space="preserve"> </w:t>
      </w:r>
      <w:r w:rsidRPr="00282AC9">
        <w:rPr>
          <w:rFonts w:hint="cs"/>
          <w:sz w:val="27"/>
          <w:rtl/>
        </w:rPr>
        <w:t>ور</w:t>
      </w:r>
      <w:r w:rsidR="00087CE0" w:rsidRPr="00282AC9">
        <w:rPr>
          <w:rFonts w:hint="cs"/>
          <w:sz w:val="27"/>
          <w:rtl/>
        </w:rPr>
        <w:t>ُ</w:t>
      </w:r>
      <w:r w:rsidRPr="00282AC9">
        <w:rPr>
          <w:rFonts w:hint="cs"/>
          <w:sz w:val="27"/>
          <w:rtl/>
        </w:rPr>
        <w:t>ب</w:t>
      </w:r>
      <w:r w:rsidR="00087CE0" w:rsidRPr="00282AC9">
        <w:rPr>
          <w:rFonts w:hint="cs"/>
          <w:sz w:val="27"/>
          <w:rtl/>
        </w:rPr>
        <w:t>َّ</w:t>
      </w:r>
      <w:r w:rsidRPr="00282AC9">
        <w:rPr>
          <w:sz w:val="27"/>
          <w:rtl/>
        </w:rPr>
        <w:t xml:space="preserve"> </w:t>
      </w:r>
      <w:r w:rsidRPr="00282AC9">
        <w:rPr>
          <w:rFonts w:hint="cs"/>
          <w:sz w:val="27"/>
          <w:rtl/>
        </w:rPr>
        <w:t>حامل</w:t>
      </w:r>
      <w:r w:rsidR="00087CE0" w:rsidRPr="00282AC9">
        <w:rPr>
          <w:rFonts w:hint="cs"/>
          <w:sz w:val="27"/>
          <w:rtl/>
        </w:rPr>
        <w:t>ِ</w:t>
      </w:r>
      <w:r w:rsidRPr="00282AC9">
        <w:rPr>
          <w:sz w:val="27"/>
          <w:rtl/>
        </w:rPr>
        <w:t xml:space="preserve"> </w:t>
      </w:r>
      <w:r w:rsidRPr="00282AC9">
        <w:rPr>
          <w:rFonts w:hint="cs"/>
          <w:sz w:val="27"/>
          <w:rtl/>
        </w:rPr>
        <w:t>فقه</w:t>
      </w:r>
      <w:r w:rsidR="00087CE0" w:rsidRPr="00282AC9">
        <w:rPr>
          <w:rFonts w:hint="cs"/>
          <w:sz w:val="27"/>
          <w:rtl/>
        </w:rPr>
        <w:t>ٍ</w:t>
      </w:r>
      <w:r w:rsidRPr="00282AC9">
        <w:rPr>
          <w:sz w:val="27"/>
          <w:rtl/>
        </w:rPr>
        <w:t xml:space="preserve"> </w:t>
      </w:r>
      <w:r w:rsidRPr="00282AC9">
        <w:rPr>
          <w:rFonts w:hint="cs"/>
          <w:sz w:val="27"/>
          <w:rtl/>
        </w:rPr>
        <w:t>إلى م</w:t>
      </w:r>
      <w:r w:rsidR="00087CE0" w:rsidRPr="00282AC9">
        <w:rPr>
          <w:rFonts w:hint="cs"/>
          <w:sz w:val="27"/>
          <w:rtl/>
        </w:rPr>
        <w:t>َ</w:t>
      </w:r>
      <w:r w:rsidRPr="00282AC9">
        <w:rPr>
          <w:rFonts w:hint="cs"/>
          <w:sz w:val="27"/>
          <w:rtl/>
        </w:rPr>
        <w:t>ن</w:t>
      </w:r>
      <w:r w:rsidR="00087CE0" w:rsidRPr="00282AC9">
        <w:rPr>
          <w:rFonts w:hint="cs"/>
          <w:sz w:val="27"/>
          <w:rtl/>
        </w:rPr>
        <w:t>ْ</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أفقه</w:t>
      </w:r>
      <w:r w:rsidRPr="00282AC9">
        <w:rPr>
          <w:sz w:val="27"/>
          <w:rtl/>
        </w:rPr>
        <w:t xml:space="preserve"> </w:t>
      </w:r>
      <w:r w:rsidRPr="00282AC9">
        <w:rPr>
          <w:rFonts w:hint="cs"/>
          <w:sz w:val="27"/>
          <w:rtl/>
        </w:rPr>
        <w:t>منه</w:t>
      </w:r>
      <w:r w:rsidR="00087CE0" w:rsidRPr="00282AC9">
        <w:rPr>
          <w:rFonts w:hint="cs"/>
          <w:sz w:val="27"/>
          <w:rtl/>
        </w:rPr>
        <w:t>.</w:t>
      </w:r>
      <w:r w:rsidRPr="00282AC9">
        <w:rPr>
          <w:sz w:val="27"/>
          <w:rtl/>
        </w:rPr>
        <w:t xml:space="preserve"> </w:t>
      </w:r>
      <w:r w:rsidRPr="00282AC9">
        <w:rPr>
          <w:rFonts w:hint="cs"/>
          <w:sz w:val="27"/>
          <w:rtl/>
        </w:rPr>
        <w:t>ثلاث</w:t>
      </w:r>
      <w:r w:rsidRPr="00282AC9">
        <w:rPr>
          <w:sz w:val="27"/>
          <w:rtl/>
        </w:rPr>
        <w:t xml:space="preserve"> </w:t>
      </w:r>
      <w:r w:rsidRPr="00282AC9">
        <w:rPr>
          <w:rFonts w:hint="cs"/>
          <w:sz w:val="27"/>
          <w:rtl/>
        </w:rPr>
        <w:t>لا</w:t>
      </w:r>
      <w:r w:rsidRPr="00282AC9">
        <w:rPr>
          <w:sz w:val="27"/>
          <w:rtl/>
        </w:rPr>
        <w:t xml:space="preserve"> </w:t>
      </w:r>
      <w:r w:rsidRPr="00282AC9">
        <w:rPr>
          <w:rFonts w:hint="cs"/>
          <w:sz w:val="27"/>
          <w:rtl/>
        </w:rPr>
        <w:t>يغل</w:t>
      </w:r>
      <w:r w:rsidR="00087CE0" w:rsidRPr="00282AC9">
        <w:rPr>
          <w:rFonts w:hint="cs"/>
          <w:sz w:val="27"/>
          <w:rtl/>
        </w:rPr>
        <w:t>ّ</w:t>
      </w:r>
      <w:r w:rsidRPr="00282AC9">
        <w:rPr>
          <w:sz w:val="27"/>
          <w:rtl/>
        </w:rPr>
        <w:t xml:space="preserve"> </w:t>
      </w:r>
      <w:r w:rsidRPr="00282AC9">
        <w:rPr>
          <w:rFonts w:hint="cs"/>
          <w:sz w:val="27"/>
          <w:rtl/>
        </w:rPr>
        <w:t>عليه</w:t>
      </w:r>
      <w:r w:rsidRPr="00282AC9">
        <w:rPr>
          <w:sz w:val="27"/>
          <w:rtl/>
        </w:rPr>
        <w:t xml:space="preserve"> </w:t>
      </w:r>
      <w:r w:rsidRPr="00282AC9">
        <w:rPr>
          <w:rFonts w:hint="cs"/>
          <w:sz w:val="27"/>
          <w:rtl/>
        </w:rPr>
        <w:t>قلب</w:t>
      </w:r>
      <w:r w:rsidRPr="00282AC9">
        <w:rPr>
          <w:sz w:val="27"/>
          <w:rtl/>
        </w:rPr>
        <w:t xml:space="preserve"> </w:t>
      </w:r>
      <w:r w:rsidRPr="00282AC9">
        <w:rPr>
          <w:rFonts w:hint="cs"/>
          <w:sz w:val="27"/>
          <w:rtl/>
        </w:rPr>
        <w:t>امرئ</w:t>
      </w:r>
      <w:r w:rsidR="00087CE0" w:rsidRPr="00282AC9">
        <w:rPr>
          <w:rFonts w:hint="cs"/>
          <w:sz w:val="27"/>
          <w:rtl/>
        </w:rPr>
        <w:t>ٍ</w:t>
      </w:r>
      <w:r w:rsidRPr="00282AC9">
        <w:rPr>
          <w:sz w:val="27"/>
          <w:rtl/>
        </w:rPr>
        <w:t xml:space="preserve"> </w:t>
      </w:r>
      <w:r w:rsidRPr="00282AC9">
        <w:rPr>
          <w:rFonts w:hint="cs"/>
          <w:sz w:val="27"/>
          <w:rtl/>
        </w:rPr>
        <w:t>مسلم</w:t>
      </w:r>
      <w:r w:rsidR="00087CE0" w:rsidRPr="00282AC9">
        <w:rPr>
          <w:rFonts w:hint="cs"/>
          <w:sz w:val="27"/>
          <w:rtl/>
        </w:rPr>
        <w:t>ٍ،</w:t>
      </w:r>
      <w:r w:rsidRPr="00282AC9">
        <w:rPr>
          <w:sz w:val="27"/>
          <w:rtl/>
        </w:rPr>
        <w:t xml:space="preserve"> </w:t>
      </w:r>
      <w:r w:rsidR="00087CE0" w:rsidRPr="00282AC9">
        <w:rPr>
          <w:rFonts w:hint="cs"/>
          <w:sz w:val="27"/>
          <w:rtl/>
        </w:rPr>
        <w:t>إخلا</w:t>
      </w:r>
      <w:r w:rsidRPr="00282AC9">
        <w:rPr>
          <w:rFonts w:hint="cs"/>
          <w:sz w:val="27"/>
          <w:rtl/>
        </w:rPr>
        <w:t>ص</w:t>
      </w:r>
      <w:r w:rsidRPr="00282AC9">
        <w:rPr>
          <w:sz w:val="27"/>
          <w:rtl/>
        </w:rPr>
        <w:t xml:space="preserve"> </w:t>
      </w:r>
      <w:r w:rsidRPr="00282AC9">
        <w:rPr>
          <w:rFonts w:hint="cs"/>
          <w:sz w:val="27"/>
          <w:rtl/>
        </w:rPr>
        <w:t>العمل</w:t>
      </w:r>
      <w:r w:rsidRPr="00282AC9">
        <w:rPr>
          <w:sz w:val="27"/>
          <w:rtl/>
        </w:rPr>
        <w:t xml:space="preserve"> </w:t>
      </w:r>
      <w:r w:rsidRPr="00282AC9">
        <w:rPr>
          <w:rFonts w:hint="cs"/>
          <w:sz w:val="27"/>
          <w:rtl/>
        </w:rPr>
        <w:t>لله</w:t>
      </w:r>
      <w:r w:rsidR="00087CE0" w:rsidRPr="00282AC9">
        <w:rPr>
          <w:rFonts w:hint="cs"/>
          <w:sz w:val="27"/>
          <w:rtl/>
        </w:rPr>
        <w:t>؛</w:t>
      </w:r>
      <w:r w:rsidRPr="00282AC9">
        <w:rPr>
          <w:sz w:val="27"/>
          <w:rtl/>
        </w:rPr>
        <w:t xml:space="preserve"> </w:t>
      </w:r>
      <w:r w:rsidRPr="00282AC9">
        <w:rPr>
          <w:rFonts w:hint="cs"/>
          <w:sz w:val="27"/>
          <w:rtl/>
        </w:rPr>
        <w:t>والنصيحة ل</w:t>
      </w:r>
      <w:r w:rsidR="00087CE0" w:rsidRPr="00282AC9">
        <w:rPr>
          <w:rFonts w:hint="cs"/>
          <w:sz w:val="27"/>
          <w:rtl/>
        </w:rPr>
        <w:t>أ</w:t>
      </w:r>
      <w:r w:rsidRPr="00282AC9">
        <w:rPr>
          <w:rFonts w:hint="cs"/>
          <w:sz w:val="27"/>
          <w:rtl/>
        </w:rPr>
        <w:t>ئم</w:t>
      </w:r>
      <w:r w:rsidR="00087CE0" w:rsidRPr="00282AC9">
        <w:rPr>
          <w:rFonts w:hint="cs"/>
          <w:sz w:val="27"/>
          <w:rtl/>
        </w:rPr>
        <w:t>ّ</w:t>
      </w:r>
      <w:r w:rsidRPr="00282AC9">
        <w:rPr>
          <w:rFonts w:hint="cs"/>
          <w:sz w:val="27"/>
          <w:rtl/>
        </w:rPr>
        <w:t>ة</w:t>
      </w:r>
      <w:r w:rsidRPr="00282AC9">
        <w:rPr>
          <w:sz w:val="27"/>
          <w:rtl/>
        </w:rPr>
        <w:t xml:space="preserve"> </w:t>
      </w:r>
      <w:r w:rsidRPr="00282AC9">
        <w:rPr>
          <w:rFonts w:hint="cs"/>
          <w:sz w:val="27"/>
          <w:rtl/>
        </w:rPr>
        <w:t>المسلمين</w:t>
      </w:r>
      <w:r w:rsidR="00087CE0" w:rsidRPr="00282AC9">
        <w:rPr>
          <w:rFonts w:hint="cs"/>
          <w:sz w:val="27"/>
          <w:rtl/>
        </w:rPr>
        <w:t>؛</w:t>
      </w:r>
      <w:r w:rsidRPr="00282AC9">
        <w:rPr>
          <w:sz w:val="27"/>
          <w:rtl/>
        </w:rPr>
        <w:t xml:space="preserve"> </w:t>
      </w:r>
      <w:r w:rsidRPr="00282AC9">
        <w:rPr>
          <w:rFonts w:hint="cs"/>
          <w:sz w:val="27"/>
          <w:rtl/>
        </w:rPr>
        <w:t>واللزوم</w:t>
      </w:r>
      <w:r w:rsidRPr="00282AC9">
        <w:rPr>
          <w:sz w:val="27"/>
          <w:rtl/>
        </w:rPr>
        <w:t xml:space="preserve"> </w:t>
      </w:r>
      <w:r w:rsidRPr="00282AC9">
        <w:rPr>
          <w:rFonts w:hint="cs"/>
          <w:sz w:val="27"/>
          <w:rtl/>
        </w:rPr>
        <w:t>لجماعتهم</w:t>
      </w:r>
      <w:r w:rsidR="00087CE0" w:rsidRPr="00282AC9">
        <w:rPr>
          <w:rFonts w:hint="cs"/>
          <w:sz w:val="27"/>
          <w:rtl/>
        </w:rPr>
        <w:t>؛</w:t>
      </w:r>
      <w:r w:rsidRPr="00282AC9">
        <w:rPr>
          <w:sz w:val="27"/>
          <w:rtl/>
        </w:rPr>
        <w:t xml:space="preserve"> </w:t>
      </w:r>
      <w:r w:rsidRPr="00282AC9">
        <w:rPr>
          <w:rFonts w:hint="cs"/>
          <w:sz w:val="27"/>
          <w:rtl/>
        </w:rPr>
        <w:t>ف</w:t>
      </w:r>
      <w:r w:rsidR="00087CE0" w:rsidRPr="00282AC9">
        <w:rPr>
          <w:rFonts w:hint="cs"/>
          <w:sz w:val="27"/>
          <w:rtl/>
        </w:rPr>
        <w:t>إ</w:t>
      </w:r>
      <w:r w:rsidRPr="00282AC9">
        <w:rPr>
          <w:rFonts w:hint="cs"/>
          <w:sz w:val="27"/>
          <w:rtl/>
        </w:rPr>
        <w:t>ن</w:t>
      </w:r>
      <w:r w:rsidRPr="00282AC9">
        <w:rPr>
          <w:sz w:val="27"/>
          <w:rtl/>
        </w:rPr>
        <w:t xml:space="preserve"> </w:t>
      </w:r>
      <w:r w:rsidRPr="00282AC9">
        <w:rPr>
          <w:rFonts w:hint="cs"/>
          <w:sz w:val="27"/>
          <w:rtl/>
        </w:rPr>
        <w:t>دعوتهم</w:t>
      </w:r>
      <w:r w:rsidRPr="00282AC9">
        <w:rPr>
          <w:sz w:val="27"/>
          <w:rtl/>
        </w:rPr>
        <w:t xml:space="preserve"> </w:t>
      </w:r>
      <w:r w:rsidRPr="00282AC9">
        <w:rPr>
          <w:rFonts w:hint="cs"/>
          <w:sz w:val="27"/>
          <w:rtl/>
        </w:rPr>
        <w:t>محيطة</w:t>
      </w:r>
      <w:r w:rsidR="00087CE0" w:rsidRPr="00282AC9">
        <w:rPr>
          <w:rFonts w:hint="cs"/>
          <w:sz w:val="27"/>
          <w:rtl/>
        </w:rPr>
        <w:t>ٌ</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ورائهم</w:t>
      </w:r>
      <w:r w:rsidR="00087CE0" w:rsidRPr="00282AC9">
        <w:rPr>
          <w:rFonts w:hint="cs"/>
          <w:sz w:val="27"/>
          <w:rtl/>
        </w:rPr>
        <w:t>.</w:t>
      </w:r>
      <w:r w:rsidRPr="00282AC9">
        <w:rPr>
          <w:sz w:val="27"/>
          <w:rtl/>
        </w:rPr>
        <w:t xml:space="preserve"> </w:t>
      </w:r>
      <w:r w:rsidRPr="00282AC9">
        <w:rPr>
          <w:rFonts w:hint="cs"/>
          <w:sz w:val="27"/>
          <w:rtl/>
        </w:rPr>
        <w:t>أي</w:t>
      </w:r>
      <w:r w:rsidR="00087CE0" w:rsidRPr="00282AC9">
        <w:rPr>
          <w:rFonts w:hint="cs"/>
          <w:sz w:val="27"/>
          <w:rtl/>
        </w:rPr>
        <w:t>ّ</w:t>
      </w:r>
      <w:r w:rsidRPr="00282AC9">
        <w:rPr>
          <w:rFonts w:hint="cs"/>
          <w:sz w:val="27"/>
          <w:rtl/>
        </w:rPr>
        <w:t>ها</w:t>
      </w:r>
      <w:r w:rsidRPr="00282AC9">
        <w:rPr>
          <w:sz w:val="27"/>
          <w:rtl/>
        </w:rPr>
        <w:t xml:space="preserve"> </w:t>
      </w:r>
      <w:r w:rsidRPr="00282AC9">
        <w:rPr>
          <w:rFonts w:hint="cs"/>
          <w:sz w:val="27"/>
          <w:rtl/>
        </w:rPr>
        <w:t>الناس</w:t>
      </w:r>
      <w:r w:rsidR="00087CE0" w:rsidRPr="00282AC9">
        <w:rPr>
          <w:rFonts w:hint="cs"/>
          <w:sz w:val="27"/>
          <w:rtl/>
        </w:rPr>
        <w:t>،</w:t>
      </w:r>
      <w:r w:rsidRPr="00282AC9">
        <w:rPr>
          <w:sz w:val="27"/>
          <w:rtl/>
        </w:rPr>
        <w:t xml:space="preserve"> </w:t>
      </w:r>
      <w:r w:rsidR="00201D5B" w:rsidRPr="00282AC9">
        <w:rPr>
          <w:rFonts w:hint="cs"/>
          <w:sz w:val="27"/>
          <w:rtl/>
        </w:rPr>
        <w:t>إ</w:t>
      </w:r>
      <w:r w:rsidRPr="00282AC9">
        <w:rPr>
          <w:rFonts w:hint="cs"/>
          <w:sz w:val="27"/>
          <w:rtl/>
        </w:rPr>
        <w:t>ني تارك</w:t>
      </w:r>
      <w:r w:rsidR="00087CE0" w:rsidRPr="00282AC9">
        <w:rPr>
          <w:rFonts w:hint="cs"/>
          <w:sz w:val="27"/>
          <w:rtl/>
        </w:rPr>
        <w:t>ٌ</w:t>
      </w:r>
      <w:r w:rsidRPr="00282AC9">
        <w:rPr>
          <w:sz w:val="27"/>
          <w:rtl/>
        </w:rPr>
        <w:t xml:space="preserve"> </w:t>
      </w:r>
      <w:r w:rsidRPr="00282AC9">
        <w:rPr>
          <w:rFonts w:hint="cs"/>
          <w:sz w:val="27"/>
          <w:rtl/>
        </w:rPr>
        <w:t>فيكم</w:t>
      </w:r>
      <w:r w:rsidRPr="00282AC9">
        <w:rPr>
          <w:sz w:val="27"/>
          <w:rtl/>
        </w:rPr>
        <w:t xml:space="preserve"> </w:t>
      </w:r>
      <w:r w:rsidRPr="00282AC9">
        <w:rPr>
          <w:rFonts w:hint="cs"/>
          <w:sz w:val="27"/>
          <w:rtl/>
        </w:rPr>
        <w:t>ثقلين</w:t>
      </w:r>
      <w:r w:rsidR="00087CE0" w:rsidRPr="00282AC9">
        <w:rPr>
          <w:rFonts w:hint="cs"/>
          <w:sz w:val="27"/>
          <w:rtl/>
        </w:rPr>
        <w:t>،</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إن</w:t>
      </w:r>
      <w:r w:rsidR="00087CE0" w:rsidRPr="00282AC9">
        <w:rPr>
          <w:rFonts w:hint="cs"/>
          <w:sz w:val="27"/>
          <w:rtl/>
        </w:rPr>
        <w:t>ْ</w:t>
      </w:r>
      <w:r w:rsidRPr="00282AC9">
        <w:rPr>
          <w:sz w:val="27"/>
          <w:rtl/>
        </w:rPr>
        <w:t xml:space="preserve"> </w:t>
      </w:r>
      <w:r w:rsidRPr="00282AC9">
        <w:rPr>
          <w:rFonts w:hint="cs"/>
          <w:sz w:val="27"/>
          <w:rtl/>
        </w:rPr>
        <w:t>تمس</w:t>
      </w:r>
      <w:r w:rsidR="00087CE0" w:rsidRPr="00282AC9">
        <w:rPr>
          <w:rFonts w:hint="cs"/>
          <w:sz w:val="27"/>
          <w:rtl/>
        </w:rPr>
        <w:t>َّ</w:t>
      </w:r>
      <w:r w:rsidRPr="00282AC9">
        <w:rPr>
          <w:rFonts w:hint="cs"/>
          <w:sz w:val="27"/>
          <w:rtl/>
        </w:rPr>
        <w:t>ك</w:t>
      </w:r>
      <w:r w:rsidR="00087CE0" w:rsidRPr="00282AC9">
        <w:rPr>
          <w:rFonts w:hint="cs"/>
          <w:sz w:val="27"/>
          <w:rtl/>
        </w:rPr>
        <w:t>ْ</w:t>
      </w:r>
      <w:r w:rsidRPr="00282AC9">
        <w:rPr>
          <w:rFonts w:hint="cs"/>
          <w:sz w:val="27"/>
          <w:rtl/>
        </w:rPr>
        <w:t>ت</w:t>
      </w:r>
      <w:r w:rsidR="00087CE0" w:rsidRPr="00282AC9">
        <w:rPr>
          <w:rFonts w:hint="cs"/>
          <w:sz w:val="27"/>
          <w:rtl/>
        </w:rPr>
        <w:t>ُ</w:t>
      </w:r>
      <w:r w:rsidRPr="00282AC9">
        <w:rPr>
          <w:rFonts w:hint="cs"/>
          <w:sz w:val="27"/>
          <w:rtl/>
        </w:rPr>
        <w:t>م</w:t>
      </w:r>
      <w:r w:rsidRPr="00282AC9">
        <w:rPr>
          <w:sz w:val="27"/>
          <w:rtl/>
        </w:rPr>
        <w:t xml:space="preserve"> </w:t>
      </w:r>
      <w:r w:rsidRPr="00282AC9">
        <w:rPr>
          <w:rFonts w:hint="cs"/>
          <w:sz w:val="27"/>
          <w:rtl/>
        </w:rPr>
        <w:t>بهما</w:t>
      </w:r>
      <w:r w:rsidRPr="00282AC9">
        <w:rPr>
          <w:sz w:val="27"/>
          <w:rtl/>
        </w:rPr>
        <w:t xml:space="preserve"> </w:t>
      </w:r>
      <w:r w:rsidRPr="00282AC9">
        <w:rPr>
          <w:rFonts w:hint="cs"/>
          <w:sz w:val="27"/>
          <w:rtl/>
        </w:rPr>
        <w:t>لن</w:t>
      </w:r>
      <w:r w:rsidRPr="00282AC9">
        <w:rPr>
          <w:sz w:val="27"/>
          <w:rtl/>
        </w:rPr>
        <w:t xml:space="preserve"> </w:t>
      </w:r>
      <w:r w:rsidRPr="00282AC9">
        <w:rPr>
          <w:rFonts w:hint="cs"/>
          <w:sz w:val="27"/>
          <w:rtl/>
        </w:rPr>
        <w:t>تضل</w:t>
      </w:r>
      <w:r w:rsidR="00087CE0" w:rsidRPr="00282AC9">
        <w:rPr>
          <w:rFonts w:hint="cs"/>
          <w:sz w:val="27"/>
          <w:rtl/>
        </w:rPr>
        <w:t>ّ</w:t>
      </w:r>
      <w:r w:rsidRPr="00282AC9">
        <w:rPr>
          <w:rFonts w:hint="cs"/>
          <w:sz w:val="27"/>
          <w:rtl/>
        </w:rPr>
        <w:t>وا</w:t>
      </w:r>
      <w:r w:rsidR="00087CE0" w:rsidRPr="00282AC9">
        <w:rPr>
          <w:rFonts w:hint="cs"/>
          <w:sz w:val="27"/>
          <w:rtl/>
        </w:rPr>
        <w:t>،</w:t>
      </w:r>
      <w:r w:rsidRPr="00282AC9">
        <w:rPr>
          <w:sz w:val="27"/>
          <w:rtl/>
        </w:rPr>
        <w:t xml:space="preserve"> </w:t>
      </w:r>
      <w:r w:rsidRPr="00282AC9">
        <w:rPr>
          <w:rFonts w:hint="cs"/>
          <w:sz w:val="27"/>
          <w:rtl/>
        </w:rPr>
        <w:t>ولن</w:t>
      </w:r>
      <w:r w:rsidRPr="00282AC9">
        <w:rPr>
          <w:sz w:val="27"/>
          <w:rtl/>
        </w:rPr>
        <w:t xml:space="preserve"> </w:t>
      </w:r>
      <w:r w:rsidRPr="00282AC9">
        <w:rPr>
          <w:rFonts w:hint="cs"/>
          <w:sz w:val="27"/>
          <w:rtl/>
        </w:rPr>
        <w:t>تزل</w:t>
      </w:r>
      <w:r w:rsidR="00087CE0" w:rsidRPr="00282AC9">
        <w:rPr>
          <w:rFonts w:hint="cs"/>
          <w:sz w:val="27"/>
          <w:rtl/>
        </w:rPr>
        <w:t>ّ</w:t>
      </w:r>
      <w:r w:rsidRPr="00282AC9">
        <w:rPr>
          <w:rFonts w:hint="cs"/>
          <w:sz w:val="27"/>
          <w:rtl/>
        </w:rPr>
        <w:t>وا</w:t>
      </w:r>
      <w:r w:rsidR="00087CE0" w:rsidRPr="00282AC9">
        <w:rPr>
          <w:rFonts w:hint="cs"/>
          <w:sz w:val="27"/>
          <w:rtl/>
        </w:rPr>
        <w:t>:</w:t>
      </w:r>
      <w:r w:rsidRPr="00282AC9">
        <w:rPr>
          <w:sz w:val="27"/>
          <w:rtl/>
        </w:rPr>
        <w:t xml:space="preserve"> </w:t>
      </w:r>
      <w:r w:rsidRPr="00282AC9">
        <w:rPr>
          <w:rFonts w:hint="cs"/>
          <w:sz w:val="27"/>
          <w:rtl/>
        </w:rPr>
        <w:t>كتاب</w:t>
      </w:r>
      <w:r w:rsidRPr="00282AC9">
        <w:rPr>
          <w:sz w:val="27"/>
          <w:rtl/>
        </w:rPr>
        <w:t xml:space="preserve"> </w:t>
      </w:r>
      <w:r w:rsidRPr="00282AC9">
        <w:rPr>
          <w:rFonts w:hint="cs"/>
          <w:sz w:val="27"/>
          <w:rtl/>
        </w:rPr>
        <w:t>الله</w:t>
      </w:r>
      <w:r w:rsidR="00087CE0" w:rsidRPr="00282AC9">
        <w:rPr>
          <w:rFonts w:hint="cs"/>
          <w:sz w:val="27"/>
          <w:rtl/>
        </w:rPr>
        <w:t>؛</w:t>
      </w:r>
      <w:r w:rsidRPr="00282AC9">
        <w:rPr>
          <w:sz w:val="27"/>
          <w:rtl/>
        </w:rPr>
        <w:t xml:space="preserve"> </w:t>
      </w:r>
      <w:r w:rsidRPr="00282AC9">
        <w:rPr>
          <w:rFonts w:hint="cs"/>
          <w:sz w:val="27"/>
          <w:rtl/>
        </w:rPr>
        <w:t>وعترتي</w:t>
      </w:r>
      <w:r w:rsidRPr="00282AC9">
        <w:rPr>
          <w:sz w:val="27"/>
          <w:rtl/>
        </w:rPr>
        <w:t xml:space="preserve"> </w:t>
      </w:r>
      <w:r w:rsidRPr="00282AC9">
        <w:rPr>
          <w:rFonts w:hint="cs"/>
          <w:sz w:val="27"/>
          <w:rtl/>
        </w:rPr>
        <w:t>أهل</w:t>
      </w:r>
      <w:r w:rsidRPr="00282AC9">
        <w:rPr>
          <w:sz w:val="27"/>
          <w:rtl/>
        </w:rPr>
        <w:t xml:space="preserve"> </w:t>
      </w:r>
      <w:r w:rsidRPr="00282AC9">
        <w:rPr>
          <w:rFonts w:hint="cs"/>
          <w:sz w:val="27"/>
          <w:rtl/>
        </w:rPr>
        <w:t>بيتي</w:t>
      </w:r>
      <w:r w:rsidR="00087CE0" w:rsidRPr="00282AC9">
        <w:rPr>
          <w:rFonts w:hint="cs"/>
          <w:sz w:val="27"/>
          <w:rtl/>
        </w:rPr>
        <w:t>؛</w:t>
      </w:r>
      <w:r w:rsidRPr="00282AC9">
        <w:rPr>
          <w:rFonts w:hint="cs"/>
          <w:sz w:val="27"/>
          <w:rtl/>
        </w:rPr>
        <w:t xml:space="preserve"> فإنه</w:t>
      </w:r>
      <w:r w:rsidRPr="00282AC9">
        <w:rPr>
          <w:sz w:val="27"/>
          <w:rtl/>
        </w:rPr>
        <w:t xml:space="preserve"> </w:t>
      </w:r>
      <w:r w:rsidRPr="00282AC9">
        <w:rPr>
          <w:rFonts w:hint="cs"/>
          <w:sz w:val="27"/>
          <w:rtl/>
        </w:rPr>
        <w:t>قد</w:t>
      </w:r>
      <w:r w:rsidRPr="00282AC9">
        <w:rPr>
          <w:sz w:val="27"/>
          <w:rtl/>
        </w:rPr>
        <w:t xml:space="preserve"> </w:t>
      </w:r>
      <w:r w:rsidRPr="00282AC9">
        <w:rPr>
          <w:rFonts w:hint="cs"/>
          <w:sz w:val="27"/>
          <w:rtl/>
        </w:rPr>
        <w:t>نب</w:t>
      </w:r>
      <w:r w:rsidR="00087CE0" w:rsidRPr="00282AC9">
        <w:rPr>
          <w:rFonts w:hint="cs"/>
          <w:sz w:val="27"/>
          <w:rtl/>
        </w:rPr>
        <w:t>ّ</w:t>
      </w:r>
      <w:r w:rsidRPr="00282AC9">
        <w:rPr>
          <w:rFonts w:hint="cs"/>
          <w:sz w:val="27"/>
          <w:rtl/>
        </w:rPr>
        <w:t>أني</w:t>
      </w:r>
      <w:r w:rsidRPr="00282AC9">
        <w:rPr>
          <w:sz w:val="27"/>
          <w:rtl/>
        </w:rPr>
        <w:t xml:space="preserve"> </w:t>
      </w:r>
      <w:r w:rsidRPr="00282AC9">
        <w:rPr>
          <w:rFonts w:hint="cs"/>
          <w:sz w:val="27"/>
          <w:rtl/>
        </w:rPr>
        <w:t>اللطيف</w:t>
      </w:r>
      <w:r w:rsidRPr="00282AC9">
        <w:rPr>
          <w:sz w:val="27"/>
          <w:rtl/>
        </w:rPr>
        <w:t xml:space="preserve"> </w:t>
      </w:r>
      <w:r w:rsidRPr="00282AC9">
        <w:rPr>
          <w:rFonts w:hint="cs"/>
          <w:sz w:val="27"/>
          <w:rtl/>
        </w:rPr>
        <w:t>الخبير</w:t>
      </w:r>
      <w:r w:rsidRPr="00282AC9">
        <w:rPr>
          <w:sz w:val="27"/>
          <w:rtl/>
        </w:rPr>
        <w:t xml:space="preserve"> </w:t>
      </w:r>
      <w:r w:rsidR="00087CE0" w:rsidRPr="00282AC9">
        <w:rPr>
          <w:rFonts w:hint="cs"/>
          <w:sz w:val="27"/>
          <w:rtl/>
        </w:rPr>
        <w:t>أ</w:t>
      </w:r>
      <w:r w:rsidRPr="00282AC9">
        <w:rPr>
          <w:rFonts w:hint="cs"/>
          <w:sz w:val="27"/>
          <w:rtl/>
        </w:rPr>
        <w:t>نهما</w:t>
      </w:r>
      <w:r w:rsidRPr="00282AC9">
        <w:rPr>
          <w:sz w:val="27"/>
          <w:rtl/>
        </w:rPr>
        <w:t xml:space="preserve"> </w:t>
      </w:r>
      <w:r w:rsidRPr="00282AC9">
        <w:rPr>
          <w:rFonts w:hint="cs"/>
          <w:sz w:val="27"/>
          <w:rtl/>
        </w:rPr>
        <w:t>لن</w:t>
      </w:r>
      <w:r w:rsidRPr="00282AC9">
        <w:rPr>
          <w:sz w:val="27"/>
          <w:rtl/>
        </w:rPr>
        <w:t xml:space="preserve"> </w:t>
      </w:r>
      <w:r w:rsidRPr="00282AC9">
        <w:rPr>
          <w:rFonts w:hint="cs"/>
          <w:sz w:val="27"/>
          <w:rtl/>
        </w:rPr>
        <w:t>يتفر</w:t>
      </w:r>
      <w:r w:rsidR="00087CE0" w:rsidRPr="00282AC9">
        <w:rPr>
          <w:rFonts w:hint="cs"/>
          <w:sz w:val="27"/>
          <w:rtl/>
        </w:rPr>
        <w:t>َّ</w:t>
      </w:r>
      <w:r w:rsidRPr="00282AC9">
        <w:rPr>
          <w:rFonts w:hint="cs"/>
          <w:sz w:val="27"/>
          <w:rtl/>
        </w:rPr>
        <w:t>قا</w:t>
      </w:r>
      <w:r w:rsidRPr="00282AC9">
        <w:rPr>
          <w:sz w:val="27"/>
          <w:rtl/>
        </w:rPr>
        <w:t xml:space="preserve"> </w:t>
      </w:r>
      <w:r w:rsidRPr="00282AC9">
        <w:rPr>
          <w:rFonts w:hint="cs"/>
          <w:sz w:val="27"/>
          <w:rtl/>
        </w:rPr>
        <w:t>حت</w:t>
      </w:r>
      <w:r w:rsidR="00087CE0" w:rsidRPr="00282AC9">
        <w:rPr>
          <w:rFonts w:hint="cs"/>
          <w:sz w:val="27"/>
          <w:rtl/>
        </w:rPr>
        <w:t>ّ</w:t>
      </w:r>
      <w:r w:rsidRPr="00282AC9">
        <w:rPr>
          <w:rFonts w:hint="cs"/>
          <w:sz w:val="27"/>
          <w:rtl/>
        </w:rPr>
        <w:t>ى</w:t>
      </w:r>
      <w:r w:rsidRPr="00282AC9">
        <w:rPr>
          <w:sz w:val="27"/>
          <w:rtl/>
        </w:rPr>
        <w:t xml:space="preserve"> </w:t>
      </w:r>
      <w:r w:rsidRPr="00282AC9">
        <w:rPr>
          <w:rFonts w:hint="cs"/>
          <w:sz w:val="27"/>
          <w:rtl/>
        </w:rPr>
        <w:t>ي</w:t>
      </w:r>
      <w:r w:rsidR="00087CE0" w:rsidRPr="00282AC9">
        <w:rPr>
          <w:rFonts w:hint="cs"/>
          <w:sz w:val="27"/>
          <w:rtl/>
        </w:rPr>
        <w:t>َ</w:t>
      </w:r>
      <w:r w:rsidRPr="00282AC9">
        <w:rPr>
          <w:rFonts w:hint="cs"/>
          <w:sz w:val="27"/>
          <w:rtl/>
        </w:rPr>
        <w:t>ر</w:t>
      </w:r>
      <w:r w:rsidR="00087CE0" w:rsidRPr="00282AC9">
        <w:rPr>
          <w:rFonts w:hint="cs"/>
          <w:sz w:val="27"/>
          <w:rtl/>
        </w:rPr>
        <w:t>ِ</w:t>
      </w:r>
      <w:r w:rsidRPr="00282AC9">
        <w:rPr>
          <w:rFonts w:hint="cs"/>
          <w:sz w:val="27"/>
          <w:rtl/>
        </w:rPr>
        <w:t>د</w:t>
      </w:r>
      <w:r w:rsidR="00087CE0" w:rsidRPr="00282AC9">
        <w:rPr>
          <w:rFonts w:hint="cs"/>
          <w:sz w:val="27"/>
          <w:rtl/>
        </w:rPr>
        <w:t>َ</w:t>
      </w:r>
      <w:r w:rsidRPr="00282AC9">
        <w:rPr>
          <w:rFonts w:hint="cs"/>
          <w:sz w:val="27"/>
          <w:rtl/>
        </w:rPr>
        <w:t>ا</w:t>
      </w:r>
      <w:r w:rsidRPr="00282AC9">
        <w:rPr>
          <w:sz w:val="27"/>
          <w:rtl/>
        </w:rPr>
        <w:t xml:space="preserve"> </w:t>
      </w:r>
      <w:r w:rsidRPr="00282AC9">
        <w:rPr>
          <w:rFonts w:hint="cs"/>
          <w:sz w:val="27"/>
          <w:rtl/>
        </w:rPr>
        <w:t>علي</w:t>
      </w:r>
      <w:r w:rsidR="00087CE0" w:rsidRPr="00282AC9">
        <w:rPr>
          <w:rFonts w:hint="cs"/>
          <w:sz w:val="27"/>
          <w:rtl/>
        </w:rPr>
        <w:t>َّ</w:t>
      </w:r>
      <w:r w:rsidRPr="00282AC9">
        <w:rPr>
          <w:sz w:val="27"/>
          <w:rtl/>
        </w:rPr>
        <w:t xml:space="preserve"> </w:t>
      </w:r>
      <w:r w:rsidRPr="00282AC9">
        <w:rPr>
          <w:rFonts w:hint="cs"/>
          <w:sz w:val="27"/>
          <w:rtl/>
        </w:rPr>
        <w:t>الح</w:t>
      </w:r>
      <w:r w:rsidR="00087CE0" w:rsidRPr="00282AC9">
        <w:rPr>
          <w:rFonts w:hint="cs"/>
          <w:sz w:val="27"/>
          <w:rtl/>
        </w:rPr>
        <w:t>َ</w:t>
      </w:r>
      <w:r w:rsidRPr="00282AC9">
        <w:rPr>
          <w:rFonts w:hint="cs"/>
          <w:sz w:val="27"/>
          <w:rtl/>
        </w:rPr>
        <w:t>و</w:t>
      </w:r>
      <w:r w:rsidR="00087CE0" w:rsidRPr="00282AC9">
        <w:rPr>
          <w:rFonts w:hint="cs"/>
          <w:sz w:val="27"/>
          <w:rtl/>
        </w:rPr>
        <w:t>ْ</w:t>
      </w:r>
      <w:r w:rsidRPr="00282AC9">
        <w:rPr>
          <w:rFonts w:hint="cs"/>
          <w:sz w:val="27"/>
          <w:rtl/>
        </w:rPr>
        <w:t>ض</w:t>
      </w:r>
      <w:r w:rsidRPr="00282AC9">
        <w:rPr>
          <w:sz w:val="27"/>
          <w:rtl/>
        </w:rPr>
        <w:t xml:space="preserve">، </w:t>
      </w:r>
      <w:r w:rsidRPr="00282AC9">
        <w:rPr>
          <w:rFonts w:hint="cs"/>
          <w:sz w:val="27"/>
          <w:rtl/>
        </w:rPr>
        <w:lastRenderedPageBreak/>
        <w:t>كإصبع</w:t>
      </w:r>
      <w:r w:rsidR="00087CE0" w:rsidRPr="00282AC9">
        <w:rPr>
          <w:rFonts w:hint="cs"/>
          <w:sz w:val="27"/>
          <w:rtl/>
        </w:rPr>
        <w:t>َ</w:t>
      </w:r>
      <w:r w:rsidRPr="00282AC9">
        <w:rPr>
          <w:rFonts w:hint="cs"/>
          <w:sz w:val="27"/>
          <w:rtl/>
        </w:rPr>
        <w:t>ي</w:t>
      </w:r>
      <w:r w:rsidR="00201D5B" w:rsidRPr="00282AC9">
        <w:rPr>
          <w:rFonts w:hint="cs"/>
          <w:sz w:val="27"/>
          <w:rtl/>
        </w:rPr>
        <w:t>ّ</w:t>
      </w:r>
      <w:r w:rsidRPr="00282AC9">
        <w:rPr>
          <w:sz w:val="27"/>
          <w:rtl/>
        </w:rPr>
        <w:t xml:space="preserve"> </w:t>
      </w:r>
      <w:r w:rsidRPr="00282AC9">
        <w:rPr>
          <w:rFonts w:hint="cs"/>
          <w:sz w:val="27"/>
          <w:rtl/>
        </w:rPr>
        <w:t>هاتين</w:t>
      </w:r>
      <w:r w:rsidR="00087CE0" w:rsidRPr="00282AC9">
        <w:rPr>
          <w:rFonts w:hint="cs"/>
          <w:sz w:val="27"/>
          <w:rtl/>
        </w:rPr>
        <w:t>،</w:t>
      </w:r>
      <w:r w:rsidRPr="00282AC9">
        <w:rPr>
          <w:rFonts w:hint="cs"/>
          <w:sz w:val="27"/>
          <w:rtl/>
        </w:rPr>
        <w:t xml:space="preserve"> وجمع</w:t>
      </w:r>
      <w:r w:rsidRPr="00282AC9">
        <w:rPr>
          <w:sz w:val="27"/>
          <w:rtl/>
        </w:rPr>
        <w:t xml:space="preserve"> </w:t>
      </w:r>
      <w:r w:rsidRPr="00282AC9">
        <w:rPr>
          <w:rFonts w:hint="cs"/>
          <w:sz w:val="27"/>
          <w:rtl/>
        </w:rPr>
        <w:t>بين</w:t>
      </w:r>
      <w:r w:rsidRPr="00282AC9">
        <w:rPr>
          <w:sz w:val="27"/>
          <w:rtl/>
        </w:rPr>
        <w:t xml:space="preserve"> </w:t>
      </w:r>
      <w:r w:rsidRPr="00282AC9">
        <w:rPr>
          <w:rFonts w:hint="cs"/>
          <w:sz w:val="27"/>
          <w:rtl/>
        </w:rPr>
        <w:t>سب</w:t>
      </w:r>
      <w:r w:rsidR="00201D5B" w:rsidRPr="00282AC9">
        <w:rPr>
          <w:rFonts w:hint="cs"/>
          <w:sz w:val="27"/>
          <w:rtl/>
        </w:rPr>
        <w:t>ّ</w:t>
      </w:r>
      <w:r w:rsidRPr="00282AC9">
        <w:rPr>
          <w:rFonts w:hint="cs"/>
          <w:sz w:val="27"/>
          <w:rtl/>
        </w:rPr>
        <w:t>ابت</w:t>
      </w:r>
      <w:r w:rsidR="00201D5B" w:rsidRPr="00282AC9">
        <w:rPr>
          <w:rFonts w:hint="cs"/>
          <w:sz w:val="27"/>
          <w:rtl/>
        </w:rPr>
        <w:t>َ</w:t>
      </w:r>
      <w:r w:rsidRPr="00282AC9">
        <w:rPr>
          <w:rFonts w:hint="cs"/>
          <w:sz w:val="27"/>
          <w:rtl/>
        </w:rPr>
        <w:t>ي</w:t>
      </w:r>
      <w:r w:rsidR="00201D5B" w:rsidRPr="00282AC9">
        <w:rPr>
          <w:rFonts w:hint="cs"/>
          <w:sz w:val="27"/>
          <w:rtl/>
        </w:rPr>
        <w:t>ْ</w:t>
      </w:r>
      <w:r w:rsidRPr="00282AC9">
        <w:rPr>
          <w:rFonts w:hint="cs"/>
          <w:sz w:val="27"/>
          <w:rtl/>
        </w:rPr>
        <w:t>ه</w:t>
      </w:r>
      <w:r w:rsidR="00087CE0" w:rsidRPr="00282AC9">
        <w:rPr>
          <w:rFonts w:hint="cs"/>
          <w:sz w:val="27"/>
          <w:rtl/>
        </w:rPr>
        <w:t>،</w:t>
      </w:r>
      <w:r w:rsidRPr="00282AC9">
        <w:rPr>
          <w:sz w:val="27"/>
          <w:rtl/>
        </w:rPr>
        <w:t xml:space="preserve"> </w:t>
      </w:r>
      <w:r w:rsidRPr="00282AC9">
        <w:rPr>
          <w:rFonts w:hint="cs"/>
          <w:sz w:val="27"/>
          <w:rtl/>
        </w:rPr>
        <w:t>ولا</w:t>
      </w:r>
      <w:r w:rsidRPr="00282AC9">
        <w:rPr>
          <w:sz w:val="27"/>
          <w:rtl/>
        </w:rPr>
        <w:t xml:space="preserve"> </w:t>
      </w:r>
      <w:r w:rsidRPr="00282AC9">
        <w:rPr>
          <w:rFonts w:hint="cs"/>
          <w:sz w:val="27"/>
          <w:rtl/>
        </w:rPr>
        <w:t>أقول</w:t>
      </w:r>
      <w:r w:rsidR="00087CE0" w:rsidRPr="00282AC9">
        <w:rPr>
          <w:rFonts w:hint="cs"/>
          <w:sz w:val="27"/>
          <w:rtl/>
        </w:rPr>
        <w:t>:</w:t>
      </w:r>
      <w:r w:rsidRPr="00282AC9">
        <w:rPr>
          <w:sz w:val="27"/>
          <w:rtl/>
        </w:rPr>
        <w:t xml:space="preserve"> </w:t>
      </w:r>
      <w:r w:rsidRPr="00282AC9">
        <w:rPr>
          <w:rFonts w:hint="cs"/>
          <w:sz w:val="27"/>
          <w:rtl/>
        </w:rPr>
        <w:t>كهاتين</w:t>
      </w:r>
      <w:r w:rsidR="00087CE0" w:rsidRPr="00282AC9">
        <w:rPr>
          <w:rFonts w:hint="cs"/>
          <w:sz w:val="27"/>
          <w:rtl/>
        </w:rPr>
        <w:t>،</w:t>
      </w:r>
      <w:r w:rsidRPr="00282AC9">
        <w:rPr>
          <w:sz w:val="27"/>
          <w:rtl/>
        </w:rPr>
        <w:t xml:space="preserve"> </w:t>
      </w:r>
      <w:r w:rsidRPr="00282AC9">
        <w:rPr>
          <w:rFonts w:hint="cs"/>
          <w:sz w:val="27"/>
          <w:rtl/>
        </w:rPr>
        <w:t>وجمع</w:t>
      </w:r>
      <w:r w:rsidRPr="00282AC9">
        <w:rPr>
          <w:sz w:val="27"/>
          <w:rtl/>
        </w:rPr>
        <w:t xml:space="preserve"> </w:t>
      </w:r>
      <w:r w:rsidRPr="00282AC9">
        <w:rPr>
          <w:rFonts w:hint="cs"/>
          <w:sz w:val="27"/>
          <w:rtl/>
        </w:rPr>
        <w:t>بين</w:t>
      </w:r>
      <w:r w:rsidRPr="00282AC9">
        <w:rPr>
          <w:sz w:val="27"/>
          <w:rtl/>
        </w:rPr>
        <w:t xml:space="preserve"> </w:t>
      </w:r>
      <w:r w:rsidRPr="00282AC9">
        <w:rPr>
          <w:rFonts w:hint="cs"/>
          <w:sz w:val="27"/>
          <w:rtl/>
        </w:rPr>
        <w:t>سب</w:t>
      </w:r>
      <w:r w:rsidR="00087CE0" w:rsidRPr="00282AC9">
        <w:rPr>
          <w:rFonts w:hint="cs"/>
          <w:sz w:val="27"/>
          <w:rtl/>
        </w:rPr>
        <w:t>ّ</w:t>
      </w:r>
      <w:r w:rsidRPr="00282AC9">
        <w:rPr>
          <w:rFonts w:hint="cs"/>
          <w:sz w:val="27"/>
          <w:rtl/>
        </w:rPr>
        <w:t>ابته</w:t>
      </w:r>
      <w:r w:rsidRPr="00282AC9">
        <w:rPr>
          <w:sz w:val="27"/>
          <w:rtl/>
        </w:rPr>
        <w:t xml:space="preserve"> </w:t>
      </w:r>
      <w:r w:rsidRPr="00282AC9">
        <w:rPr>
          <w:rFonts w:hint="cs"/>
          <w:sz w:val="27"/>
          <w:rtl/>
        </w:rPr>
        <w:t>والوسطى</w:t>
      </w:r>
      <w:r w:rsidR="00087CE0" w:rsidRPr="00282AC9">
        <w:rPr>
          <w:rFonts w:hint="cs"/>
          <w:sz w:val="27"/>
          <w:rtl/>
        </w:rPr>
        <w:t>،</w:t>
      </w:r>
      <w:r w:rsidRPr="00282AC9">
        <w:rPr>
          <w:sz w:val="27"/>
          <w:rtl/>
        </w:rPr>
        <w:t xml:space="preserve"> </w:t>
      </w:r>
      <w:r w:rsidRPr="00282AC9">
        <w:rPr>
          <w:rFonts w:hint="cs"/>
          <w:sz w:val="27"/>
          <w:rtl/>
        </w:rPr>
        <w:t>فيفضل</w:t>
      </w:r>
      <w:r w:rsidRPr="00282AC9">
        <w:rPr>
          <w:sz w:val="27"/>
          <w:rtl/>
        </w:rPr>
        <w:t xml:space="preserve"> </w:t>
      </w:r>
      <w:r w:rsidRPr="00282AC9">
        <w:rPr>
          <w:rFonts w:hint="cs"/>
          <w:sz w:val="27"/>
          <w:rtl/>
        </w:rPr>
        <w:t>هذه على</w:t>
      </w:r>
      <w:r w:rsidRPr="00282AC9">
        <w:rPr>
          <w:sz w:val="27"/>
          <w:rtl/>
        </w:rPr>
        <w:t xml:space="preserve"> </w:t>
      </w:r>
      <w:r w:rsidRPr="00282AC9">
        <w:rPr>
          <w:rFonts w:hint="cs"/>
          <w:sz w:val="27"/>
          <w:rtl/>
        </w:rPr>
        <w:t>هذه</w:t>
      </w:r>
      <w:r w:rsidRPr="00282AC9">
        <w:rPr>
          <w:rFonts w:hint="eastAsia"/>
          <w:sz w:val="24"/>
          <w:szCs w:val="24"/>
          <w:rtl/>
        </w:rPr>
        <w:t>»</w:t>
      </w:r>
      <w:r w:rsidRPr="00282AC9">
        <w:rPr>
          <w:sz w:val="27"/>
          <w:vertAlign w:val="superscript"/>
          <w:rtl/>
        </w:rPr>
        <w:t>(</w:t>
      </w:r>
      <w:r w:rsidRPr="00282AC9">
        <w:rPr>
          <w:rStyle w:val="af9"/>
          <w:sz w:val="27"/>
          <w:rtl/>
        </w:rPr>
        <w:endnoteReference w:id="778"/>
      </w:r>
      <w:r w:rsidRPr="00282AC9">
        <w:rPr>
          <w:sz w:val="27"/>
          <w:vertAlign w:val="superscript"/>
          <w:rtl/>
        </w:rPr>
        <w:t>)</w:t>
      </w:r>
      <w:r w:rsidRPr="00282AC9">
        <w:rPr>
          <w:sz w:val="27"/>
          <w:rtl/>
        </w:rPr>
        <w:t>.</w:t>
      </w:r>
      <w:r w:rsidRPr="00282AC9">
        <w:rPr>
          <w:rFonts w:hint="cs"/>
          <w:sz w:val="27"/>
          <w:rtl/>
        </w:rPr>
        <w:t xml:space="preserve"> </w:t>
      </w:r>
    </w:p>
    <w:p w:rsidR="00965E08" w:rsidRPr="00282AC9" w:rsidRDefault="00965E08" w:rsidP="003062B7">
      <w:pPr>
        <w:rPr>
          <w:sz w:val="27"/>
          <w:rtl/>
        </w:rPr>
      </w:pPr>
      <w:r w:rsidRPr="00282AC9">
        <w:rPr>
          <w:rFonts w:hint="cs"/>
          <w:sz w:val="27"/>
          <w:rtl/>
        </w:rPr>
        <w:t>فالسورة</w:t>
      </w:r>
      <w:r w:rsidRPr="00282AC9">
        <w:rPr>
          <w:sz w:val="27"/>
          <w:rtl/>
        </w:rPr>
        <w:t xml:space="preserve"> </w:t>
      </w:r>
      <w:r w:rsidRPr="00282AC9">
        <w:rPr>
          <w:rFonts w:hint="cs"/>
          <w:sz w:val="27"/>
          <w:rtl/>
        </w:rPr>
        <w:t>نزل</w:t>
      </w:r>
      <w:r w:rsidR="00087CE0" w:rsidRPr="00282AC9">
        <w:rPr>
          <w:rFonts w:hint="cs"/>
          <w:sz w:val="27"/>
          <w:rtl/>
        </w:rPr>
        <w:t>َ</w:t>
      </w:r>
      <w:r w:rsidRPr="00282AC9">
        <w:rPr>
          <w:rFonts w:hint="cs"/>
          <w:sz w:val="27"/>
          <w:rtl/>
        </w:rPr>
        <w:t>ت</w:t>
      </w:r>
      <w:r w:rsidR="00087CE0" w:rsidRPr="00282AC9">
        <w:rPr>
          <w:rFonts w:hint="cs"/>
          <w:sz w:val="27"/>
          <w:rtl/>
        </w:rPr>
        <w:t>ْ</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آخر</w:t>
      </w:r>
      <w:r w:rsidRPr="00282AC9">
        <w:rPr>
          <w:sz w:val="27"/>
          <w:rtl/>
        </w:rPr>
        <w:t xml:space="preserve"> </w:t>
      </w:r>
      <w:r w:rsidRPr="00282AC9">
        <w:rPr>
          <w:rFonts w:hint="cs"/>
          <w:sz w:val="27"/>
          <w:rtl/>
        </w:rPr>
        <w:t>أي</w:t>
      </w:r>
      <w:r w:rsidR="00087CE0" w:rsidRPr="00282AC9">
        <w:rPr>
          <w:rFonts w:hint="cs"/>
          <w:sz w:val="27"/>
          <w:rtl/>
        </w:rPr>
        <w:t>ّ</w:t>
      </w:r>
      <w:r w:rsidRPr="00282AC9">
        <w:rPr>
          <w:rFonts w:hint="cs"/>
          <w:sz w:val="27"/>
          <w:rtl/>
        </w:rPr>
        <w:t>ام</w:t>
      </w:r>
      <w:r w:rsidRPr="00282AC9">
        <w:rPr>
          <w:sz w:val="27"/>
          <w:rtl/>
        </w:rPr>
        <w:t xml:space="preserve"> </w:t>
      </w:r>
      <w:r w:rsidRPr="00282AC9">
        <w:rPr>
          <w:rFonts w:hint="cs"/>
          <w:sz w:val="27"/>
          <w:rtl/>
        </w:rPr>
        <w:t>حياة</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sz w:val="22"/>
          <w:szCs w:val="22"/>
          <w:rtl/>
        </w:rPr>
        <w:t>|</w:t>
      </w:r>
      <w:r w:rsidR="00087CE0" w:rsidRPr="00282AC9">
        <w:rPr>
          <w:rFonts w:hint="cs"/>
          <w:sz w:val="27"/>
          <w:rtl/>
        </w:rPr>
        <w:t>،</w:t>
      </w:r>
      <w:r w:rsidRPr="00282AC9">
        <w:rPr>
          <w:rFonts w:hint="cs"/>
          <w:sz w:val="27"/>
          <w:rtl/>
        </w:rPr>
        <w:t xml:space="preserve"> في</w:t>
      </w:r>
      <w:r w:rsidRPr="00282AC9">
        <w:rPr>
          <w:sz w:val="27"/>
          <w:rtl/>
        </w:rPr>
        <w:t xml:space="preserve"> </w:t>
      </w:r>
      <w:r w:rsidRPr="00282AC9">
        <w:rPr>
          <w:rFonts w:hint="cs"/>
          <w:sz w:val="27"/>
          <w:rtl/>
        </w:rPr>
        <w:t>حج</w:t>
      </w:r>
      <w:r w:rsidR="00087CE0" w:rsidRPr="00282AC9">
        <w:rPr>
          <w:rFonts w:hint="cs"/>
          <w:sz w:val="27"/>
          <w:rtl/>
        </w:rPr>
        <w:t>ّ</w:t>
      </w:r>
      <w:r w:rsidRPr="00282AC9">
        <w:rPr>
          <w:rFonts w:hint="cs"/>
          <w:sz w:val="27"/>
          <w:rtl/>
        </w:rPr>
        <w:t>ة</w:t>
      </w:r>
      <w:r w:rsidRPr="00282AC9">
        <w:rPr>
          <w:sz w:val="27"/>
          <w:rtl/>
        </w:rPr>
        <w:t xml:space="preserve"> </w:t>
      </w:r>
      <w:r w:rsidRPr="00282AC9">
        <w:rPr>
          <w:rFonts w:hint="cs"/>
          <w:sz w:val="27"/>
          <w:rtl/>
        </w:rPr>
        <w:t>الوداع،</w:t>
      </w:r>
      <w:r w:rsidRPr="00282AC9">
        <w:rPr>
          <w:sz w:val="27"/>
          <w:rtl/>
        </w:rPr>
        <w:t xml:space="preserve"> و</w:t>
      </w:r>
      <w:r w:rsidRPr="00282AC9">
        <w:rPr>
          <w:rFonts w:hint="cs"/>
          <w:sz w:val="27"/>
          <w:rtl/>
        </w:rPr>
        <w:t>لم</w:t>
      </w:r>
      <w:r w:rsidRPr="00282AC9">
        <w:rPr>
          <w:sz w:val="27"/>
          <w:rtl/>
        </w:rPr>
        <w:t xml:space="preserve"> </w:t>
      </w:r>
      <w:r w:rsidRPr="00282AC9">
        <w:rPr>
          <w:rFonts w:hint="cs"/>
          <w:sz w:val="27"/>
          <w:rtl/>
        </w:rPr>
        <w:t>يكن</w:t>
      </w:r>
      <w:r w:rsidRPr="00282AC9">
        <w:rPr>
          <w:sz w:val="27"/>
          <w:rtl/>
        </w:rPr>
        <w:t xml:space="preserve"> </w:t>
      </w:r>
      <w:r w:rsidRPr="00282AC9">
        <w:rPr>
          <w:rFonts w:hint="cs"/>
          <w:sz w:val="27"/>
          <w:rtl/>
        </w:rPr>
        <w:t>هناك</w:t>
      </w:r>
      <w:r w:rsidRPr="00282AC9">
        <w:rPr>
          <w:sz w:val="27"/>
          <w:rtl/>
        </w:rPr>
        <w:t xml:space="preserve"> </w:t>
      </w:r>
      <w:r w:rsidR="00087CE0" w:rsidRPr="00282AC9">
        <w:rPr>
          <w:rFonts w:hint="cs"/>
          <w:sz w:val="27"/>
          <w:rtl/>
        </w:rPr>
        <w:t>قتالٌ</w:t>
      </w:r>
      <w:r w:rsidRPr="00282AC9">
        <w:rPr>
          <w:sz w:val="27"/>
          <w:rtl/>
        </w:rPr>
        <w:t xml:space="preserve"> </w:t>
      </w:r>
      <w:r w:rsidRPr="00282AC9">
        <w:rPr>
          <w:rFonts w:hint="cs"/>
          <w:sz w:val="27"/>
          <w:rtl/>
        </w:rPr>
        <w:t>ولا</w:t>
      </w:r>
      <w:r w:rsidRPr="00282AC9">
        <w:rPr>
          <w:sz w:val="27"/>
          <w:rtl/>
        </w:rPr>
        <w:t xml:space="preserve"> </w:t>
      </w:r>
      <w:r w:rsidRPr="00282AC9">
        <w:rPr>
          <w:rFonts w:hint="cs"/>
          <w:sz w:val="27"/>
          <w:rtl/>
        </w:rPr>
        <w:t>حرب</w:t>
      </w:r>
      <w:r w:rsidR="00087CE0" w:rsidRPr="00282AC9">
        <w:rPr>
          <w:rFonts w:hint="cs"/>
          <w:sz w:val="27"/>
          <w:rtl/>
        </w:rPr>
        <w:t>ٌ.</w:t>
      </w:r>
      <w:r w:rsidRPr="00282AC9">
        <w:rPr>
          <w:rFonts w:hint="cs"/>
          <w:sz w:val="27"/>
          <w:rtl/>
        </w:rPr>
        <w:t xml:space="preserve"> </w:t>
      </w:r>
      <w:r w:rsidR="00087CE0" w:rsidRPr="00282AC9">
        <w:rPr>
          <w:rFonts w:hint="cs"/>
          <w:sz w:val="27"/>
          <w:rtl/>
        </w:rPr>
        <w:t>إ</w:t>
      </w:r>
      <w:r w:rsidRPr="00282AC9">
        <w:rPr>
          <w:rFonts w:hint="cs"/>
          <w:sz w:val="27"/>
          <w:rtl/>
        </w:rPr>
        <w:t>ذ</w:t>
      </w:r>
      <w:r w:rsidR="00087CE0" w:rsidRPr="00282AC9">
        <w:rPr>
          <w:rFonts w:hint="cs"/>
          <w:sz w:val="27"/>
          <w:rtl/>
        </w:rPr>
        <w:t>ن</w:t>
      </w:r>
      <w:r w:rsidRPr="00282AC9">
        <w:rPr>
          <w:rFonts w:hint="cs"/>
          <w:sz w:val="27"/>
          <w:rtl/>
        </w:rPr>
        <w:t xml:space="preserve"> فالسورة</w:t>
      </w:r>
      <w:r w:rsidRPr="00282AC9">
        <w:rPr>
          <w:sz w:val="27"/>
          <w:rtl/>
        </w:rPr>
        <w:t xml:space="preserve"> </w:t>
      </w:r>
      <w:r w:rsidRPr="00282AC9">
        <w:rPr>
          <w:rFonts w:hint="cs"/>
          <w:sz w:val="27"/>
          <w:rtl/>
        </w:rPr>
        <w:t>تتحد</w:t>
      </w:r>
      <w:r w:rsidR="00087CE0" w:rsidRPr="00282AC9">
        <w:rPr>
          <w:rFonts w:hint="cs"/>
          <w:sz w:val="27"/>
          <w:rtl/>
        </w:rPr>
        <w:t>َّ</w:t>
      </w:r>
      <w:r w:rsidRPr="00282AC9">
        <w:rPr>
          <w:rFonts w:hint="cs"/>
          <w:sz w:val="27"/>
          <w:rtl/>
        </w:rPr>
        <w:t>ث</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مرحلةٍ</w:t>
      </w:r>
      <w:r w:rsidRPr="00282AC9">
        <w:rPr>
          <w:sz w:val="27"/>
          <w:rtl/>
        </w:rPr>
        <w:t xml:space="preserve"> </w:t>
      </w:r>
      <w:r w:rsidRPr="00282AC9">
        <w:rPr>
          <w:rFonts w:hint="cs"/>
          <w:sz w:val="27"/>
          <w:rtl/>
        </w:rPr>
        <w:t>مستقبلي</w:t>
      </w:r>
      <w:r w:rsidR="00087CE0" w:rsidRPr="00282AC9">
        <w:rPr>
          <w:rFonts w:hint="cs"/>
          <w:sz w:val="27"/>
          <w:rtl/>
        </w:rPr>
        <w:t>ّ</w:t>
      </w:r>
      <w:r w:rsidRPr="00282AC9">
        <w:rPr>
          <w:rFonts w:hint="cs"/>
          <w:sz w:val="27"/>
          <w:rtl/>
        </w:rPr>
        <w:t>ة</w:t>
      </w:r>
      <w:r w:rsidRPr="00282AC9">
        <w:rPr>
          <w:sz w:val="27"/>
          <w:rtl/>
        </w:rPr>
        <w:t>.</w:t>
      </w:r>
    </w:p>
    <w:p w:rsidR="00965E08" w:rsidRPr="00282AC9" w:rsidRDefault="00965E08" w:rsidP="003062B7">
      <w:pPr>
        <w:rPr>
          <w:sz w:val="27"/>
          <w:rtl/>
        </w:rPr>
      </w:pPr>
      <w:r w:rsidRPr="00282AC9">
        <w:rPr>
          <w:rFonts w:hint="cs"/>
          <w:sz w:val="27"/>
          <w:rtl/>
        </w:rPr>
        <w:t>فالناس</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يدخلوا</w:t>
      </w:r>
      <w:r w:rsidRPr="00282AC9">
        <w:rPr>
          <w:sz w:val="27"/>
          <w:rtl/>
        </w:rPr>
        <w:t xml:space="preserve"> </w:t>
      </w:r>
      <w:r w:rsidRPr="00282AC9">
        <w:rPr>
          <w:rFonts w:hint="cs"/>
          <w:sz w:val="27"/>
          <w:rtl/>
        </w:rPr>
        <w:t>جميعاً</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دين</w:t>
      </w:r>
      <w:r w:rsidRPr="00282AC9">
        <w:rPr>
          <w:sz w:val="27"/>
          <w:rtl/>
        </w:rPr>
        <w:t xml:space="preserve"> </w:t>
      </w:r>
      <w:r w:rsidRPr="00282AC9">
        <w:rPr>
          <w:rFonts w:hint="cs"/>
          <w:sz w:val="27"/>
          <w:rtl/>
        </w:rPr>
        <w:t>محم</w:t>
      </w:r>
      <w:r w:rsidR="00087CE0" w:rsidRPr="00282AC9">
        <w:rPr>
          <w:rFonts w:hint="cs"/>
          <w:sz w:val="27"/>
          <w:rtl/>
        </w:rPr>
        <w:t>ّ</w:t>
      </w:r>
      <w:r w:rsidRPr="00282AC9">
        <w:rPr>
          <w:rFonts w:hint="cs"/>
          <w:sz w:val="27"/>
          <w:rtl/>
        </w:rPr>
        <w:t>دٍ</w:t>
      </w:r>
      <w:r w:rsidR="009A2A04" w:rsidRPr="00282AC9">
        <w:rPr>
          <w:rFonts w:cs="Mosawi"/>
          <w:sz w:val="22"/>
          <w:szCs w:val="22"/>
          <w:rtl/>
        </w:rPr>
        <w:t>|</w:t>
      </w:r>
      <w:r w:rsidR="00087CE0" w:rsidRPr="00282AC9">
        <w:rPr>
          <w:rFonts w:hint="cs"/>
          <w:sz w:val="27"/>
          <w:rtl/>
        </w:rPr>
        <w:t>،</w:t>
      </w:r>
      <w:r w:rsidRPr="00282AC9">
        <w:rPr>
          <w:rFonts w:hint="cs"/>
          <w:sz w:val="27"/>
          <w:rtl/>
        </w:rPr>
        <w:t xml:space="preserve"> وهناك</w:t>
      </w:r>
      <w:r w:rsidRPr="00282AC9">
        <w:rPr>
          <w:sz w:val="27"/>
          <w:rtl/>
        </w:rPr>
        <w:t xml:space="preserve"> </w:t>
      </w:r>
      <w:r w:rsidRPr="00282AC9">
        <w:rPr>
          <w:rFonts w:hint="cs"/>
          <w:sz w:val="27"/>
          <w:rtl/>
        </w:rPr>
        <w:t>الكثير</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المنافقين</w:t>
      </w:r>
      <w:r w:rsidR="00087CE0" w:rsidRPr="00282AC9">
        <w:rPr>
          <w:rFonts w:hint="cs"/>
          <w:sz w:val="27"/>
          <w:rtl/>
        </w:rPr>
        <w:t>.</w:t>
      </w:r>
      <w:r w:rsidRPr="00282AC9">
        <w:rPr>
          <w:rFonts w:hint="cs"/>
          <w:sz w:val="27"/>
          <w:rtl/>
        </w:rPr>
        <w:t xml:space="preserve"> ويحد</w:t>
      </w:r>
      <w:r w:rsidR="00087CE0" w:rsidRPr="00282AC9">
        <w:rPr>
          <w:rFonts w:hint="cs"/>
          <w:sz w:val="27"/>
          <w:rtl/>
        </w:rPr>
        <w:t>ِّ</w:t>
      </w:r>
      <w:r w:rsidRPr="00282AC9">
        <w:rPr>
          <w:rFonts w:hint="cs"/>
          <w:sz w:val="27"/>
          <w:rtl/>
        </w:rPr>
        <w:t>ثنا</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هذه</w:t>
      </w:r>
      <w:r w:rsidRPr="00282AC9">
        <w:rPr>
          <w:sz w:val="27"/>
          <w:rtl/>
        </w:rPr>
        <w:t xml:space="preserve"> </w:t>
      </w:r>
      <w:r w:rsidRPr="00282AC9">
        <w:rPr>
          <w:rFonts w:hint="cs"/>
          <w:sz w:val="27"/>
          <w:rtl/>
        </w:rPr>
        <w:t>الحقيقة</w:t>
      </w:r>
      <w:r w:rsidRPr="00282AC9">
        <w:rPr>
          <w:sz w:val="27"/>
          <w:rtl/>
        </w:rPr>
        <w:t xml:space="preserve"> </w:t>
      </w:r>
      <w:r w:rsidRPr="00282AC9">
        <w:rPr>
          <w:rFonts w:hint="cs"/>
          <w:sz w:val="27"/>
          <w:rtl/>
        </w:rPr>
        <w:t>قوله تعالى</w:t>
      </w:r>
      <w:r w:rsidRPr="00282AC9">
        <w:rPr>
          <w:sz w:val="27"/>
          <w:rtl/>
        </w:rPr>
        <w:t xml:space="preserve">: </w:t>
      </w:r>
      <w:r w:rsidRPr="00282AC9">
        <w:rPr>
          <w:rFonts w:ascii="Mosawi" w:hAnsi="Mosawi" w:cs="Mosawi"/>
          <w:sz w:val="24"/>
          <w:szCs w:val="24"/>
          <w:rtl/>
        </w:rPr>
        <w:t>﴿</w:t>
      </w:r>
      <w:r w:rsidR="00087CE0" w:rsidRPr="00282AC9">
        <w:rPr>
          <w:b/>
          <w:bCs/>
          <w:sz w:val="27"/>
          <w:rtl/>
        </w:rPr>
        <w:t>يَا أَيُّهَا الرَّسُولُ بَلِّغْ مَا أُنزِلَ إِلَيْكَ مِنْ رَبِّكَ وَإِنْ لَمْ تَفْعَلْ فَمَا بَلَّغْتَ رِسَالَتَهُ وَاللهُ يَعْصِمُكَ مِنْ النَّاسِ إِنَّ اللهَ لاَ يَهْدِي الْقَوْمَ الْكَافِرِينَ</w:t>
      </w:r>
      <w:r w:rsidRPr="00282AC9">
        <w:rPr>
          <w:rFonts w:ascii="Mosawi" w:hAnsi="Mosawi" w:cs="Mosawi"/>
          <w:sz w:val="24"/>
          <w:szCs w:val="24"/>
          <w:rtl/>
        </w:rPr>
        <w:t>﴾</w:t>
      </w:r>
      <w:r w:rsidRPr="00282AC9">
        <w:rPr>
          <w:rFonts w:asciiTheme="minorBidi" w:hAnsiTheme="minorBidi" w:hint="cs"/>
          <w:sz w:val="27"/>
          <w:rtl/>
        </w:rPr>
        <w:t xml:space="preserve"> (المائدة: 67)</w:t>
      </w:r>
      <w:r w:rsidR="00087CE0" w:rsidRPr="00282AC9">
        <w:rPr>
          <w:rFonts w:hint="cs"/>
          <w:sz w:val="27"/>
          <w:rtl/>
        </w:rPr>
        <w:t>؛</w:t>
      </w:r>
      <w:r w:rsidRPr="00282AC9">
        <w:rPr>
          <w:sz w:val="27"/>
          <w:rtl/>
        </w:rPr>
        <w:t xml:space="preserve"> </w:t>
      </w:r>
      <w:r w:rsidR="00445054" w:rsidRPr="00282AC9">
        <w:rPr>
          <w:rFonts w:hint="cs"/>
          <w:sz w:val="27"/>
          <w:rtl/>
        </w:rPr>
        <w:t xml:space="preserve">وما ذلك إلاّ </w:t>
      </w:r>
      <w:r w:rsidRPr="00282AC9">
        <w:rPr>
          <w:rFonts w:hint="cs"/>
          <w:sz w:val="27"/>
          <w:rtl/>
        </w:rPr>
        <w:t>لكثرة</w:t>
      </w:r>
      <w:r w:rsidRPr="00282AC9">
        <w:rPr>
          <w:sz w:val="27"/>
          <w:rtl/>
        </w:rPr>
        <w:t xml:space="preserve"> </w:t>
      </w:r>
      <w:r w:rsidRPr="00282AC9">
        <w:rPr>
          <w:rFonts w:hint="cs"/>
          <w:sz w:val="27"/>
          <w:rtl/>
        </w:rPr>
        <w:t>المنافقين</w:t>
      </w:r>
      <w:r w:rsidRPr="00282AC9">
        <w:rPr>
          <w:sz w:val="27"/>
          <w:rtl/>
        </w:rPr>
        <w:t>.</w:t>
      </w:r>
      <w:r w:rsidRPr="00282AC9">
        <w:rPr>
          <w:rFonts w:hint="cs"/>
          <w:sz w:val="27"/>
          <w:rtl/>
        </w:rPr>
        <w:t xml:space="preserve"> فالمنافقون</w:t>
      </w:r>
      <w:r w:rsidRPr="00282AC9">
        <w:rPr>
          <w:sz w:val="27"/>
          <w:rtl/>
        </w:rPr>
        <w:t xml:space="preserve"> </w:t>
      </w:r>
      <w:r w:rsidRPr="00282AC9">
        <w:rPr>
          <w:rFonts w:hint="cs"/>
          <w:sz w:val="27"/>
          <w:rtl/>
        </w:rPr>
        <w:t>الك</w:t>
      </w:r>
      <w:r w:rsidR="00445054" w:rsidRPr="00282AC9">
        <w:rPr>
          <w:rFonts w:hint="cs"/>
          <w:sz w:val="27"/>
          <w:rtl/>
        </w:rPr>
        <w:t>ُ</w:t>
      </w:r>
      <w:r w:rsidRPr="00282AC9">
        <w:rPr>
          <w:rFonts w:hint="cs"/>
          <w:sz w:val="27"/>
          <w:rtl/>
        </w:rPr>
        <w:t>ث</w:t>
      </w:r>
      <w:r w:rsidR="00445054" w:rsidRPr="00282AC9">
        <w:rPr>
          <w:rFonts w:hint="cs"/>
          <w:sz w:val="27"/>
          <w:rtl/>
        </w:rPr>
        <w:t>ُ</w:t>
      </w:r>
      <w:r w:rsidRPr="00282AC9">
        <w:rPr>
          <w:rFonts w:hint="cs"/>
          <w:sz w:val="27"/>
          <w:rtl/>
        </w:rPr>
        <w:t>ر</w:t>
      </w:r>
      <w:r w:rsidR="00445054" w:rsidRPr="00282AC9">
        <w:rPr>
          <w:rFonts w:hint="cs"/>
          <w:sz w:val="27"/>
          <w:rtl/>
        </w:rPr>
        <w:t>،</w:t>
      </w:r>
      <w:r w:rsidRPr="00282AC9">
        <w:rPr>
          <w:sz w:val="27"/>
          <w:rtl/>
        </w:rPr>
        <w:t xml:space="preserve"> </w:t>
      </w:r>
      <w:r w:rsidRPr="00282AC9">
        <w:rPr>
          <w:rFonts w:hint="cs"/>
          <w:sz w:val="27"/>
          <w:rtl/>
        </w:rPr>
        <w:t>الذين</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يذعنوا</w:t>
      </w:r>
      <w:r w:rsidRPr="00282AC9">
        <w:rPr>
          <w:sz w:val="27"/>
          <w:rtl/>
        </w:rPr>
        <w:t xml:space="preserve"> </w:t>
      </w:r>
      <w:r w:rsidRPr="00282AC9">
        <w:rPr>
          <w:rFonts w:hint="cs"/>
          <w:sz w:val="27"/>
          <w:rtl/>
        </w:rPr>
        <w:t>لبيعة</w:t>
      </w:r>
      <w:r w:rsidRPr="00282AC9">
        <w:rPr>
          <w:sz w:val="27"/>
          <w:rtl/>
        </w:rPr>
        <w:t xml:space="preserve"> </w:t>
      </w:r>
      <w:r w:rsidRPr="00282AC9">
        <w:rPr>
          <w:rFonts w:hint="cs"/>
          <w:sz w:val="27"/>
          <w:rtl/>
        </w:rPr>
        <w:t>الغدير</w:t>
      </w:r>
      <w:r w:rsidR="00445054" w:rsidRPr="00282AC9">
        <w:rPr>
          <w:rFonts w:hint="cs"/>
          <w:sz w:val="27"/>
          <w:rtl/>
        </w:rPr>
        <w:t>،</w:t>
      </w:r>
      <w:r w:rsidRPr="00282AC9">
        <w:rPr>
          <w:sz w:val="27"/>
          <w:rtl/>
        </w:rPr>
        <w:t xml:space="preserve"> </w:t>
      </w:r>
      <w:r w:rsidRPr="00282AC9">
        <w:rPr>
          <w:rFonts w:hint="cs"/>
          <w:sz w:val="27"/>
          <w:rtl/>
        </w:rPr>
        <w:t>وإنما</w:t>
      </w:r>
      <w:r w:rsidRPr="00282AC9">
        <w:rPr>
          <w:sz w:val="27"/>
          <w:rtl/>
        </w:rPr>
        <w:t xml:space="preserve"> </w:t>
      </w:r>
      <w:r w:rsidRPr="00282AC9">
        <w:rPr>
          <w:rFonts w:hint="cs"/>
          <w:sz w:val="27"/>
          <w:rtl/>
        </w:rPr>
        <w:t>بايعوا</w:t>
      </w:r>
      <w:r w:rsidRPr="00282AC9">
        <w:rPr>
          <w:sz w:val="27"/>
          <w:rtl/>
        </w:rPr>
        <w:t xml:space="preserve"> </w:t>
      </w:r>
      <w:r w:rsidRPr="00282AC9">
        <w:rPr>
          <w:rFonts w:hint="cs"/>
          <w:sz w:val="27"/>
          <w:rtl/>
        </w:rPr>
        <w:t>ظاهراً، وكانوا يخط</w:t>
      </w:r>
      <w:r w:rsidR="00445054" w:rsidRPr="00282AC9">
        <w:rPr>
          <w:rFonts w:hint="cs"/>
          <w:sz w:val="27"/>
          <w:rtl/>
        </w:rPr>
        <w:t>ِّ</w:t>
      </w:r>
      <w:r w:rsidRPr="00282AC9">
        <w:rPr>
          <w:rFonts w:hint="cs"/>
          <w:sz w:val="27"/>
          <w:rtl/>
        </w:rPr>
        <w:t>طون</w:t>
      </w:r>
      <w:r w:rsidRPr="00282AC9">
        <w:rPr>
          <w:sz w:val="27"/>
          <w:rtl/>
        </w:rPr>
        <w:t xml:space="preserve"> </w:t>
      </w:r>
      <w:r w:rsidRPr="00282AC9">
        <w:rPr>
          <w:rFonts w:hint="cs"/>
          <w:sz w:val="27"/>
          <w:rtl/>
        </w:rPr>
        <w:t>لقتل</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hint="cs"/>
          <w:sz w:val="22"/>
          <w:szCs w:val="22"/>
          <w:rtl/>
        </w:rPr>
        <w:t>|</w:t>
      </w:r>
      <w:r w:rsidR="00445054" w:rsidRPr="00282AC9">
        <w:rPr>
          <w:rFonts w:hint="cs"/>
          <w:sz w:val="27"/>
          <w:rtl/>
        </w:rPr>
        <w:t>،</w:t>
      </w:r>
      <w:r w:rsidRPr="00282AC9">
        <w:rPr>
          <w:sz w:val="27"/>
          <w:rtl/>
        </w:rPr>
        <w:t xml:space="preserve"> </w:t>
      </w:r>
      <w:r w:rsidRPr="00282AC9">
        <w:rPr>
          <w:rFonts w:hint="cs"/>
          <w:sz w:val="27"/>
          <w:rtl/>
        </w:rPr>
        <w:t>ولقتل</w:t>
      </w:r>
      <w:r w:rsidRPr="00282AC9">
        <w:rPr>
          <w:sz w:val="27"/>
          <w:rtl/>
        </w:rPr>
        <w:t xml:space="preserve"> </w:t>
      </w:r>
      <w:r w:rsidRPr="00282AC9">
        <w:rPr>
          <w:rFonts w:hint="cs"/>
          <w:sz w:val="27"/>
          <w:rtl/>
        </w:rPr>
        <w:t>علي</w:t>
      </w:r>
      <w:r w:rsidR="00445054" w:rsidRPr="00282AC9">
        <w:rPr>
          <w:rFonts w:hint="cs"/>
          <w:sz w:val="27"/>
          <w:rtl/>
        </w:rPr>
        <w:t>ٍّ</w:t>
      </w:r>
      <w:r w:rsidRPr="00282AC9">
        <w:rPr>
          <w:sz w:val="27"/>
          <w:rtl/>
        </w:rPr>
        <w:t xml:space="preserve"> </w:t>
      </w:r>
      <w:r w:rsidRPr="00282AC9">
        <w:rPr>
          <w:rFonts w:hint="cs"/>
          <w:sz w:val="27"/>
          <w:rtl/>
        </w:rPr>
        <w:t>أمير</w:t>
      </w:r>
      <w:r w:rsidRPr="00282AC9">
        <w:rPr>
          <w:sz w:val="27"/>
          <w:rtl/>
        </w:rPr>
        <w:t xml:space="preserve"> </w:t>
      </w:r>
      <w:r w:rsidRPr="00282AC9">
        <w:rPr>
          <w:rFonts w:hint="cs"/>
          <w:sz w:val="27"/>
          <w:rtl/>
        </w:rPr>
        <w:t>المؤمنين</w:t>
      </w:r>
      <w:r w:rsidR="009A2A04" w:rsidRPr="00282AC9">
        <w:rPr>
          <w:rFonts w:cs="Mosawi" w:hint="cs"/>
          <w:sz w:val="22"/>
          <w:szCs w:val="22"/>
          <w:rtl/>
        </w:rPr>
        <w:t>×</w:t>
      </w:r>
      <w:r w:rsidR="00445054" w:rsidRPr="00282AC9">
        <w:rPr>
          <w:rFonts w:hint="cs"/>
          <w:sz w:val="27"/>
          <w:rtl/>
        </w:rPr>
        <w:t>،</w:t>
      </w:r>
      <w:r w:rsidRPr="00282AC9">
        <w:rPr>
          <w:rFonts w:hint="cs"/>
          <w:sz w:val="27"/>
          <w:rtl/>
        </w:rPr>
        <w:t xml:space="preserve"> كما صر</w:t>
      </w:r>
      <w:r w:rsidR="00445054" w:rsidRPr="00282AC9">
        <w:rPr>
          <w:rFonts w:hint="cs"/>
          <w:sz w:val="27"/>
          <w:rtl/>
        </w:rPr>
        <w:t>َّ</w:t>
      </w:r>
      <w:r w:rsidRPr="00282AC9">
        <w:rPr>
          <w:rFonts w:hint="cs"/>
          <w:sz w:val="27"/>
          <w:rtl/>
        </w:rPr>
        <w:t>ح بذلك القر</w:t>
      </w:r>
      <w:r w:rsidR="00445054" w:rsidRPr="00282AC9">
        <w:rPr>
          <w:rFonts w:hint="cs"/>
          <w:sz w:val="27"/>
          <w:rtl/>
        </w:rPr>
        <w:t>آ</w:t>
      </w:r>
      <w:r w:rsidRPr="00282AC9">
        <w:rPr>
          <w:rFonts w:hint="cs"/>
          <w:sz w:val="27"/>
          <w:rtl/>
        </w:rPr>
        <w:t>ن الكريم</w:t>
      </w:r>
      <w:r w:rsidRPr="00282AC9">
        <w:rPr>
          <w:sz w:val="27"/>
          <w:vertAlign w:val="superscript"/>
          <w:rtl/>
        </w:rPr>
        <w:t>(</w:t>
      </w:r>
      <w:r w:rsidRPr="00282AC9">
        <w:rPr>
          <w:rStyle w:val="af9"/>
          <w:sz w:val="27"/>
          <w:rtl/>
        </w:rPr>
        <w:endnoteReference w:id="779"/>
      </w:r>
      <w:r w:rsidRPr="00282AC9">
        <w:rPr>
          <w:sz w:val="27"/>
          <w:vertAlign w:val="superscript"/>
          <w:rtl/>
        </w:rPr>
        <w:t>)</w:t>
      </w:r>
      <w:r w:rsidR="00445054" w:rsidRPr="00282AC9">
        <w:rPr>
          <w:rFonts w:hint="cs"/>
          <w:sz w:val="27"/>
          <w:rtl/>
        </w:rPr>
        <w:t>،</w:t>
      </w:r>
      <w:r w:rsidRPr="00282AC9">
        <w:rPr>
          <w:sz w:val="27"/>
          <w:rtl/>
        </w:rPr>
        <w:t xml:space="preserve"> </w:t>
      </w:r>
      <w:r w:rsidRPr="00282AC9">
        <w:rPr>
          <w:rFonts w:hint="cs"/>
          <w:sz w:val="27"/>
          <w:rtl/>
        </w:rPr>
        <w:t>والتفاصيل</w:t>
      </w:r>
      <w:r w:rsidRPr="00282AC9">
        <w:rPr>
          <w:sz w:val="27"/>
          <w:rtl/>
        </w:rPr>
        <w:t xml:space="preserve"> </w:t>
      </w:r>
      <w:r w:rsidRPr="00282AC9">
        <w:rPr>
          <w:rFonts w:hint="cs"/>
          <w:sz w:val="27"/>
          <w:rtl/>
        </w:rPr>
        <w:t>ذك</w:t>
      </w:r>
      <w:r w:rsidR="00445054" w:rsidRPr="00282AC9">
        <w:rPr>
          <w:rFonts w:hint="cs"/>
          <w:sz w:val="27"/>
          <w:rtl/>
        </w:rPr>
        <w:t>َ</w:t>
      </w:r>
      <w:r w:rsidRPr="00282AC9">
        <w:rPr>
          <w:rFonts w:hint="cs"/>
          <w:sz w:val="27"/>
          <w:rtl/>
        </w:rPr>
        <w:t>ر</w:t>
      </w:r>
      <w:r w:rsidR="00445054" w:rsidRPr="00282AC9">
        <w:rPr>
          <w:rFonts w:hint="cs"/>
          <w:sz w:val="27"/>
          <w:rtl/>
        </w:rPr>
        <w:t>َ</w:t>
      </w:r>
      <w:r w:rsidRPr="00282AC9">
        <w:rPr>
          <w:rFonts w:hint="cs"/>
          <w:sz w:val="27"/>
          <w:rtl/>
        </w:rPr>
        <w:t>ت</w:t>
      </w:r>
      <w:r w:rsidR="00445054" w:rsidRPr="00282AC9">
        <w:rPr>
          <w:rFonts w:hint="cs"/>
          <w:sz w:val="27"/>
          <w:rtl/>
        </w:rPr>
        <w:t>ْ</w:t>
      </w:r>
      <w:r w:rsidRPr="00282AC9">
        <w:rPr>
          <w:rFonts w:hint="cs"/>
          <w:sz w:val="27"/>
          <w:rtl/>
        </w:rPr>
        <w:t>ها</w:t>
      </w:r>
      <w:r w:rsidRPr="00282AC9">
        <w:rPr>
          <w:sz w:val="27"/>
          <w:rtl/>
        </w:rPr>
        <w:t xml:space="preserve"> </w:t>
      </w:r>
      <w:r w:rsidRPr="00282AC9">
        <w:rPr>
          <w:rFonts w:hint="cs"/>
          <w:sz w:val="27"/>
          <w:rtl/>
        </w:rPr>
        <w:t>لنا</w:t>
      </w:r>
      <w:r w:rsidRPr="00282AC9">
        <w:rPr>
          <w:sz w:val="27"/>
          <w:rtl/>
        </w:rPr>
        <w:t xml:space="preserve"> </w:t>
      </w:r>
      <w:r w:rsidRPr="00282AC9">
        <w:rPr>
          <w:rFonts w:hint="cs"/>
          <w:sz w:val="27"/>
          <w:rtl/>
        </w:rPr>
        <w:t>الروايات</w:t>
      </w:r>
      <w:r w:rsidRPr="00282AC9">
        <w:rPr>
          <w:sz w:val="27"/>
          <w:rtl/>
        </w:rPr>
        <w:t xml:space="preserve"> </w:t>
      </w:r>
      <w:r w:rsidRPr="00282AC9">
        <w:rPr>
          <w:rFonts w:hint="cs"/>
          <w:sz w:val="27"/>
          <w:rtl/>
        </w:rPr>
        <w:t>والأحاديث</w:t>
      </w:r>
      <w:r w:rsidRPr="00282AC9">
        <w:rPr>
          <w:sz w:val="27"/>
          <w:vertAlign w:val="superscript"/>
          <w:rtl/>
        </w:rPr>
        <w:t>(</w:t>
      </w:r>
      <w:r w:rsidRPr="00282AC9">
        <w:rPr>
          <w:rStyle w:val="af9"/>
          <w:sz w:val="27"/>
          <w:rtl/>
        </w:rPr>
        <w:endnoteReference w:id="780"/>
      </w:r>
      <w:r w:rsidRPr="00282AC9">
        <w:rPr>
          <w:sz w:val="27"/>
          <w:vertAlign w:val="superscript"/>
          <w:rtl/>
        </w:rPr>
        <w:t>)</w:t>
      </w:r>
      <w:r w:rsidRPr="00282AC9">
        <w:rPr>
          <w:rFonts w:hint="cs"/>
          <w:sz w:val="27"/>
          <w:rtl/>
        </w:rPr>
        <w:t>.</w:t>
      </w:r>
    </w:p>
    <w:p w:rsidR="00965E08" w:rsidRPr="00282AC9" w:rsidRDefault="00965E08" w:rsidP="003062B7">
      <w:pPr>
        <w:rPr>
          <w:sz w:val="27"/>
          <w:rtl/>
        </w:rPr>
      </w:pPr>
      <w:r w:rsidRPr="00282AC9">
        <w:rPr>
          <w:sz w:val="27"/>
          <w:rtl/>
        </w:rPr>
        <w:t xml:space="preserve"> </w:t>
      </w:r>
      <w:r w:rsidRPr="00282AC9">
        <w:rPr>
          <w:rFonts w:hint="cs"/>
          <w:sz w:val="27"/>
          <w:rtl/>
        </w:rPr>
        <w:t>وأدل</w:t>
      </w:r>
      <w:r w:rsidR="00445054" w:rsidRPr="00282AC9">
        <w:rPr>
          <w:rFonts w:hint="cs"/>
          <w:sz w:val="27"/>
          <w:rtl/>
        </w:rPr>
        <w:t>ّ</w:t>
      </w:r>
      <w:r w:rsidRPr="00282AC9">
        <w:rPr>
          <w:sz w:val="27"/>
          <w:rtl/>
        </w:rPr>
        <w:t xml:space="preserve"> </w:t>
      </w:r>
      <w:r w:rsidRPr="00282AC9">
        <w:rPr>
          <w:rFonts w:hint="cs"/>
          <w:sz w:val="27"/>
          <w:rtl/>
        </w:rPr>
        <w:t>دليلٍ</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ذلك</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حدث</w:t>
      </w:r>
      <w:r w:rsidRPr="00282AC9">
        <w:rPr>
          <w:sz w:val="27"/>
          <w:rtl/>
        </w:rPr>
        <w:t xml:space="preserve"> </w:t>
      </w:r>
      <w:r w:rsidRPr="00282AC9">
        <w:rPr>
          <w:rFonts w:hint="cs"/>
          <w:sz w:val="27"/>
          <w:rtl/>
        </w:rPr>
        <w:t>بعد</w:t>
      </w:r>
      <w:r w:rsidRPr="00282AC9">
        <w:rPr>
          <w:sz w:val="27"/>
          <w:rtl/>
        </w:rPr>
        <w:t xml:space="preserve"> </w:t>
      </w:r>
      <w:r w:rsidRPr="00282AC9">
        <w:rPr>
          <w:rFonts w:hint="cs"/>
          <w:sz w:val="27"/>
          <w:rtl/>
        </w:rPr>
        <w:t>وفاة</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sz w:val="22"/>
          <w:szCs w:val="22"/>
          <w:rtl/>
        </w:rPr>
        <w:t>|</w:t>
      </w:r>
      <w:r w:rsidR="00445054" w:rsidRPr="00282AC9">
        <w:rPr>
          <w:rFonts w:hint="cs"/>
          <w:sz w:val="27"/>
          <w:rtl/>
        </w:rPr>
        <w:t>،</w:t>
      </w:r>
      <w:r w:rsidRPr="00282AC9">
        <w:rPr>
          <w:rFonts w:hint="cs"/>
          <w:sz w:val="27"/>
          <w:rtl/>
        </w:rPr>
        <w:t xml:space="preserve"> وكيف</w:t>
      </w:r>
      <w:r w:rsidRPr="00282AC9">
        <w:rPr>
          <w:sz w:val="27"/>
          <w:rtl/>
        </w:rPr>
        <w:t xml:space="preserve"> </w:t>
      </w:r>
      <w:r w:rsidRPr="00282AC9">
        <w:rPr>
          <w:rFonts w:hint="cs"/>
          <w:sz w:val="27"/>
          <w:rtl/>
        </w:rPr>
        <w:t>خالفت</w:t>
      </w:r>
      <w:r w:rsidRPr="00282AC9">
        <w:rPr>
          <w:sz w:val="27"/>
          <w:rtl/>
        </w:rPr>
        <w:t xml:space="preserve"> </w:t>
      </w:r>
      <w:r w:rsidRPr="00282AC9">
        <w:rPr>
          <w:rFonts w:hint="cs"/>
          <w:sz w:val="27"/>
          <w:rtl/>
        </w:rPr>
        <w:t>الأم</w:t>
      </w:r>
      <w:r w:rsidR="00445054" w:rsidRPr="00282AC9">
        <w:rPr>
          <w:rFonts w:hint="cs"/>
          <w:sz w:val="27"/>
          <w:rtl/>
        </w:rPr>
        <w:t>ّ</w:t>
      </w:r>
      <w:r w:rsidRPr="00282AC9">
        <w:rPr>
          <w:rFonts w:hint="cs"/>
          <w:sz w:val="27"/>
          <w:rtl/>
        </w:rPr>
        <w:t>ة نبي</w:t>
      </w:r>
      <w:r w:rsidR="00445054" w:rsidRPr="00282AC9">
        <w:rPr>
          <w:rFonts w:hint="cs"/>
          <w:sz w:val="27"/>
          <w:rtl/>
        </w:rPr>
        <w:t>َّ</w:t>
      </w:r>
      <w:r w:rsidRPr="00282AC9">
        <w:rPr>
          <w:rFonts w:hint="cs"/>
          <w:sz w:val="27"/>
          <w:rtl/>
        </w:rPr>
        <w:t>ها</w:t>
      </w:r>
      <w:r w:rsidR="00445054" w:rsidRPr="00282AC9">
        <w:rPr>
          <w:rFonts w:hint="cs"/>
          <w:sz w:val="27"/>
          <w:rtl/>
        </w:rPr>
        <w:t>؛</w:t>
      </w:r>
      <w:r w:rsidRPr="00282AC9">
        <w:rPr>
          <w:sz w:val="27"/>
          <w:rtl/>
        </w:rPr>
        <w:t xml:space="preserve"> </w:t>
      </w:r>
      <w:r w:rsidRPr="00282AC9">
        <w:rPr>
          <w:rFonts w:hint="cs"/>
          <w:sz w:val="27"/>
          <w:rtl/>
        </w:rPr>
        <w:t>فإن</w:t>
      </w:r>
      <w:r w:rsidRPr="00282AC9">
        <w:rPr>
          <w:sz w:val="27"/>
          <w:rtl/>
        </w:rPr>
        <w:t xml:space="preserve"> </w:t>
      </w:r>
      <w:r w:rsidRPr="00282AC9">
        <w:rPr>
          <w:rFonts w:hint="cs"/>
          <w:sz w:val="27"/>
          <w:rtl/>
        </w:rPr>
        <w:t>هذا ال</w:t>
      </w:r>
      <w:r w:rsidR="00445054" w:rsidRPr="00282AC9">
        <w:rPr>
          <w:rFonts w:hint="cs"/>
          <w:sz w:val="27"/>
          <w:rtl/>
        </w:rPr>
        <w:t>أ</w:t>
      </w:r>
      <w:r w:rsidRPr="00282AC9">
        <w:rPr>
          <w:rFonts w:hint="cs"/>
          <w:sz w:val="27"/>
          <w:rtl/>
        </w:rPr>
        <w:t>مر</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يكن</w:t>
      </w:r>
      <w:r w:rsidRPr="00282AC9">
        <w:rPr>
          <w:sz w:val="27"/>
          <w:rtl/>
        </w:rPr>
        <w:t xml:space="preserve"> </w:t>
      </w:r>
      <w:r w:rsidRPr="00282AC9">
        <w:rPr>
          <w:rFonts w:hint="cs"/>
          <w:sz w:val="27"/>
          <w:rtl/>
        </w:rPr>
        <w:t>هكذا</w:t>
      </w:r>
      <w:r w:rsidRPr="00282AC9">
        <w:rPr>
          <w:sz w:val="27"/>
          <w:rtl/>
        </w:rPr>
        <w:t xml:space="preserve"> </w:t>
      </w:r>
      <w:r w:rsidRPr="00282AC9">
        <w:rPr>
          <w:rFonts w:hint="cs"/>
          <w:sz w:val="27"/>
          <w:rtl/>
        </w:rPr>
        <w:t>ابتداءً</w:t>
      </w:r>
      <w:r w:rsidRPr="00282AC9">
        <w:rPr>
          <w:sz w:val="27"/>
          <w:rtl/>
        </w:rPr>
        <w:t xml:space="preserve"> </w:t>
      </w:r>
      <w:r w:rsidRPr="00282AC9">
        <w:rPr>
          <w:rFonts w:hint="cs"/>
          <w:sz w:val="27"/>
          <w:rtl/>
        </w:rPr>
        <w:t>بعد</w:t>
      </w:r>
      <w:r w:rsidRPr="00282AC9">
        <w:rPr>
          <w:sz w:val="27"/>
          <w:rtl/>
        </w:rPr>
        <w:t xml:space="preserve"> </w:t>
      </w:r>
      <w:r w:rsidRPr="00282AC9">
        <w:rPr>
          <w:rFonts w:hint="cs"/>
          <w:sz w:val="27"/>
          <w:rtl/>
        </w:rPr>
        <w:t>وفاة</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hint="cs"/>
          <w:sz w:val="22"/>
          <w:szCs w:val="22"/>
          <w:rtl/>
        </w:rPr>
        <w:t>|</w:t>
      </w:r>
      <w:r w:rsidRPr="00282AC9">
        <w:rPr>
          <w:rFonts w:hint="cs"/>
          <w:sz w:val="27"/>
          <w:rtl/>
        </w:rPr>
        <w:t>،</w:t>
      </w:r>
      <w:r w:rsidRPr="00282AC9">
        <w:rPr>
          <w:sz w:val="27"/>
          <w:rtl/>
        </w:rPr>
        <w:t xml:space="preserve"> </w:t>
      </w:r>
      <w:r w:rsidRPr="00282AC9">
        <w:rPr>
          <w:rFonts w:hint="cs"/>
          <w:sz w:val="27"/>
          <w:rtl/>
        </w:rPr>
        <w:t>ب</w:t>
      </w:r>
      <w:r w:rsidR="002F713F" w:rsidRPr="00282AC9">
        <w:rPr>
          <w:rFonts w:hint="cs"/>
          <w:sz w:val="27"/>
          <w:rtl/>
        </w:rPr>
        <w:t>ل</w:t>
      </w:r>
      <w:r w:rsidRPr="00282AC9">
        <w:rPr>
          <w:rFonts w:hint="cs"/>
          <w:sz w:val="27"/>
          <w:rtl/>
        </w:rPr>
        <w:t xml:space="preserve"> كان</w:t>
      </w:r>
      <w:r w:rsidRPr="00282AC9">
        <w:rPr>
          <w:sz w:val="27"/>
          <w:rtl/>
        </w:rPr>
        <w:t xml:space="preserve"> </w:t>
      </w:r>
      <w:r w:rsidRPr="00282AC9">
        <w:rPr>
          <w:rFonts w:hint="cs"/>
          <w:sz w:val="27"/>
          <w:rtl/>
        </w:rPr>
        <w:t>له</w:t>
      </w:r>
      <w:r w:rsidRPr="00282AC9">
        <w:rPr>
          <w:sz w:val="27"/>
          <w:rtl/>
        </w:rPr>
        <w:t xml:space="preserve"> </w:t>
      </w:r>
      <w:r w:rsidRPr="00282AC9">
        <w:rPr>
          <w:rFonts w:hint="cs"/>
          <w:sz w:val="27"/>
          <w:rtl/>
        </w:rPr>
        <w:t>مقد</w:t>
      </w:r>
      <w:r w:rsidR="002F713F" w:rsidRPr="00282AC9">
        <w:rPr>
          <w:rFonts w:hint="cs"/>
          <w:sz w:val="27"/>
          <w:rtl/>
        </w:rPr>
        <w:t>ّ</w:t>
      </w:r>
      <w:r w:rsidRPr="00282AC9">
        <w:rPr>
          <w:rFonts w:hint="cs"/>
          <w:sz w:val="27"/>
          <w:rtl/>
        </w:rPr>
        <w:t>ماتٌ</w:t>
      </w:r>
      <w:r w:rsidRPr="00282AC9">
        <w:rPr>
          <w:sz w:val="27"/>
          <w:rtl/>
        </w:rPr>
        <w:t xml:space="preserve"> </w:t>
      </w:r>
      <w:r w:rsidRPr="00282AC9">
        <w:rPr>
          <w:rFonts w:hint="cs"/>
          <w:sz w:val="27"/>
          <w:rtl/>
        </w:rPr>
        <w:t>كانت</w:t>
      </w:r>
      <w:r w:rsidRPr="00282AC9">
        <w:rPr>
          <w:sz w:val="27"/>
          <w:rtl/>
        </w:rPr>
        <w:t xml:space="preserve"> </w:t>
      </w:r>
      <w:r w:rsidRPr="00282AC9">
        <w:rPr>
          <w:rFonts w:hint="cs"/>
          <w:sz w:val="27"/>
          <w:rtl/>
        </w:rPr>
        <w:t>موجودةً</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أي</w:t>
      </w:r>
      <w:r w:rsidR="002F713F" w:rsidRPr="00282AC9">
        <w:rPr>
          <w:rFonts w:hint="cs"/>
          <w:sz w:val="27"/>
          <w:rtl/>
        </w:rPr>
        <w:t>ّ</w:t>
      </w:r>
      <w:r w:rsidRPr="00282AC9">
        <w:rPr>
          <w:rFonts w:hint="cs"/>
          <w:sz w:val="27"/>
          <w:rtl/>
        </w:rPr>
        <w:t>ام</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sz w:val="22"/>
          <w:szCs w:val="22"/>
          <w:rtl/>
        </w:rPr>
        <w:t>|</w:t>
      </w:r>
      <w:r w:rsidR="002F713F" w:rsidRPr="00282AC9">
        <w:rPr>
          <w:rFonts w:hint="cs"/>
          <w:sz w:val="27"/>
          <w:rtl/>
        </w:rPr>
        <w:t>،</w:t>
      </w:r>
      <w:r w:rsidRPr="00282AC9">
        <w:rPr>
          <w:rFonts w:hint="cs"/>
          <w:sz w:val="27"/>
          <w:rtl/>
        </w:rPr>
        <w:t xml:space="preserve"> وجاء</w:t>
      </w:r>
      <w:r w:rsidRPr="00282AC9">
        <w:rPr>
          <w:sz w:val="27"/>
          <w:rtl/>
        </w:rPr>
        <w:t xml:space="preserve"> </w:t>
      </w:r>
      <w:r w:rsidRPr="00282AC9">
        <w:rPr>
          <w:rFonts w:hint="cs"/>
          <w:sz w:val="27"/>
          <w:rtl/>
        </w:rPr>
        <w:t>هذا</w:t>
      </w:r>
      <w:r w:rsidRPr="00282AC9">
        <w:rPr>
          <w:sz w:val="27"/>
          <w:rtl/>
        </w:rPr>
        <w:t xml:space="preserve"> </w:t>
      </w:r>
      <w:r w:rsidRPr="00282AC9">
        <w:rPr>
          <w:rFonts w:hint="cs"/>
          <w:sz w:val="27"/>
          <w:rtl/>
        </w:rPr>
        <w:t>البرنامج</w:t>
      </w:r>
      <w:r w:rsidRPr="00282AC9">
        <w:rPr>
          <w:sz w:val="27"/>
          <w:rtl/>
        </w:rPr>
        <w:t xml:space="preserve"> </w:t>
      </w:r>
      <w:r w:rsidRPr="00282AC9">
        <w:rPr>
          <w:rFonts w:hint="cs"/>
          <w:sz w:val="27"/>
          <w:rtl/>
        </w:rPr>
        <w:t>تطبيقاً</w:t>
      </w:r>
      <w:r w:rsidRPr="00282AC9">
        <w:rPr>
          <w:sz w:val="27"/>
          <w:rtl/>
        </w:rPr>
        <w:t xml:space="preserve"> </w:t>
      </w:r>
      <w:r w:rsidRPr="00282AC9">
        <w:rPr>
          <w:rFonts w:hint="cs"/>
          <w:sz w:val="27"/>
          <w:rtl/>
        </w:rPr>
        <w:t>لصحيفةٍ</w:t>
      </w:r>
      <w:r w:rsidRPr="00282AC9">
        <w:rPr>
          <w:sz w:val="27"/>
          <w:rtl/>
        </w:rPr>
        <w:t xml:space="preserve"> </w:t>
      </w:r>
      <w:r w:rsidRPr="00282AC9">
        <w:rPr>
          <w:rFonts w:hint="cs"/>
          <w:sz w:val="27"/>
          <w:rtl/>
        </w:rPr>
        <w:t>ك</w:t>
      </w:r>
      <w:r w:rsidR="002F713F" w:rsidRPr="00282AC9">
        <w:rPr>
          <w:rFonts w:hint="cs"/>
          <w:sz w:val="27"/>
          <w:rtl/>
        </w:rPr>
        <w:t>ُ</w:t>
      </w:r>
      <w:r w:rsidRPr="00282AC9">
        <w:rPr>
          <w:rFonts w:hint="cs"/>
          <w:sz w:val="27"/>
          <w:rtl/>
        </w:rPr>
        <w:t>تب</w:t>
      </w:r>
      <w:r w:rsidR="002F713F" w:rsidRPr="00282AC9">
        <w:rPr>
          <w:rFonts w:hint="cs"/>
          <w:sz w:val="27"/>
          <w:rtl/>
        </w:rPr>
        <w:t>َ</w:t>
      </w:r>
      <w:r w:rsidRPr="00282AC9">
        <w:rPr>
          <w:rFonts w:hint="cs"/>
          <w:sz w:val="27"/>
          <w:rtl/>
        </w:rPr>
        <w:t>ت</w:t>
      </w:r>
      <w:r w:rsidR="002F713F" w:rsidRPr="00282AC9">
        <w:rPr>
          <w:rFonts w:hint="cs"/>
          <w:sz w:val="27"/>
          <w:rtl/>
        </w:rPr>
        <w:t>ْ</w:t>
      </w:r>
      <w:r w:rsidRPr="00282AC9">
        <w:rPr>
          <w:sz w:val="27"/>
          <w:rtl/>
        </w:rPr>
        <w:t xml:space="preserve"> </w:t>
      </w:r>
      <w:r w:rsidRPr="00282AC9">
        <w:rPr>
          <w:rFonts w:hint="cs"/>
          <w:sz w:val="27"/>
          <w:rtl/>
        </w:rPr>
        <w:t>أي</w:t>
      </w:r>
      <w:r w:rsidR="002F713F" w:rsidRPr="00282AC9">
        <w:rPr>
          <w:rFonts w:hint="cs"/>
          <w:sz w:val="27"/>
          <w:rtl/>
        </w:rPr>
        <w:t>ّ</w:t>
      </w:r>
      <w:r w:rsidRPr="00282AC9">
        <w:rPr>
          <w:rFonts w:hint="cs"/>
          <w:sz w:val="27"/>
          <w:rtl/>
        </w:rPr>
        <w:t>ام</w:t>
      </w:r>
      <w:r w:rsidRPr="00282AC9">
        <w:rPr>
          <w:sz w:val="27"/>
          <w:rtl/>
        </w:rPr>
        <w:t xml:space="preserve"> </w:t>
      </w:r>
      <w:r w:rsidRPr="00282AC9">
        <w:rPr>
          <w:rFonts w:hint="cs"/>
          <w:sz w:val="27"/>
          <w:rtl/>
        </w:rPr>
        <w:t>النبي</w:t>
      </w:r>
      <w:r w:rsidR="002F713F" w:rsidRPr="00282AC9">
        <w:rPr>
          <w:rFonts w:hint="cs"/>
          <w:sz w:val="27"/>
          <w:rtl/>
        </w:rPr>
        <w:t>ّ</w:t>
      </w:r>
      <w:r w:rsidR="009A2A04" w:rsidRPr="00282AC9">
        <w:rPr>
          <w:rFonts w:cs="Mosawi" w:hint="cs"/>
          <w:sz w:val="22"/>
          <w:szCs w:val="22"/>
          <w:rtl/>
        </w:rPr>
        <w:t>|</w:t>
      </w:r>
      <w:r w:rsidR="002F713F" w:rsidRPr="00282AC9">
        <w:rPr>
          <w:rFonts w:hint="cs"/>
          <w:sz w:val="27"/>
          <w:rtl/>
        </w:rPr>
        <w:t>.</w:t>
      </w:r>
      <w:r w:rsidRPr="00282AC9">
        <w:rPr>
          <w:rFonts w:hint="cs"/>
          <w:sz w:val="27"/>
          <w:rtl/>
        </w:rPr>
        <w:t xml:space="preserve"> فعن أبي</w:t>
      </w:r>
      <w:r w:rsidRPr="00282AC9">
        <w:rPr>
          <w:sz w:val="27"/>
          <w:rtl/>
        </w:rPr>
        <w:t xml:space="preserve"> </w:t>
      </w:r>
      <w:r w:rsidRPr="00282AC9">
        <w:rPr>
          <w:rFonts w:hint="cs"/>
          <w:sz w:val="27"/>
          <w:rtl/>
        </w:rPr>
        <w:t>عبد</w:t>
      </w:r>
      <w:r w:rsidRPr="00282AC9">
        <w:rPr>
          <w:sz w:val="27"/>
          <w:rtl/>
        </w:rPr>
        <w:t xml:space="preserve"> </w:t>
      </w:r>
      <w:r w:rsidRPr="00282AC9">
        <w:rPr>
          <w:rFonts w:hint="cs"/>
          <w:sz w:val="27"/>
          <w:rtl/>
        </w:rPr>
        <w:t>الله</w:t>
      </w:r>
      <w:r w:rsidR="009A2A04" w:rsidRPr="00282AC9">
        <w:rPr>
          <w:rFonts w:cs="Mosawi"/>
          <w:sz w:val="22"/>
          <w:szCs w:val="22"/>
          <w:rtl/>
        </w:rPr>
        <w:t>×</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قول</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عز</w:t>
      </w:r>
      <w:r w:rsidR="002F713F" w:rsidRPr="00282AC9">
        <w:rPr>
          <w:rFonts w:hint="cs"/>
          <w:sz w:val="27"/>
          <w:rtl/>
        </w:rPr>
        <w:t>َّ</w:t>
      </w:r>
      <w:r w:rsidRPr="00282AC9">
        <w:rPr>
          <w:sz w:val="27"/>
          <w:rtl/>
        </w:rPr>
        <w:t xml:space="preserve"> </w:t>
      </w:r>
      <w:r w:rsidRPr="00282AC9">
        <w:rPr>
          <w:rFonts w:hint="cs"/>
          <w:sz w:val="27"/>
          <w:rtl/>
        </w:rPr>
        <w:t>وجل</w:t>
      </w:r>
      <w:r w:rsidR="002F713F" w:rsidRPr="00282AC9">
        <w:rPr>
          <w:rFonts w:hint="cs"/>
          <w:sz w:val="27"/>
          <w:rtl/>
        </w:rPr>
        <w:t>َّ</w:t>
      </w:r>
      <w:r w:rsidRPr="00282AC9">
        <w:rPr>
          <w:sz w:val="27"/>
          <w:rtl/>
        </w:rPr>
        <w:t xml:space="preserve">: </w:t>
      </w:r>
      <w:r w:rsidRPr="00282AC9">
        <w:rPr>
          <w:rFonts w:ascii="Mosawi" w:hAnsi="Mosawi" w:cs="Mosawi"/>
          <w:sz w:val="24"/>
          <w:szCs w:val="24"/>
          <w:rtl/>
        </w:rPr>
        <w:t>﴿</w:t>
      </w:r>
      <w:r w:rsidR="002F713F" w:rsidRPr="00282AC9">
        <w:rPr>
          <w:b/>
          <w:bCs/>
          <w:sz w:val="27"/>
          <w:rtl/>
        </w:rPr>
        <w:t>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282AC9">
        <w:rPr>
          <w:rFonts w:ascii="Mosawi" w:hAnsi="Mosawi" w:cs="Mosawi"/>
          <w:sz w:val="24"/>
          <w:szCs w:val="24"/>
          <w:rtl/>
        </w:rPr>
        <w:t>﴾</w:t>
      </w:r>
      <w:r w:rsidRPr="00282AC9">
        <w:rPr>
          <w:rFonts w:asciiTheme="minorBidi" w:hAnsiTheme="minorBidi" w:hint="cs"/>
          <w:sz w:val="27"/>
          <w:rtl/>
        </w:rPr>
        <w:t xml:space="preserve"> (المجادلة: 7)</w:t>
      </w:r>
      <w:r w:rsidR="002F713F" w:rsidRPr="00282AC9">
        <w:rPr>
          <w:rFonts w:asciiTheme="minorBidi" w:hAnsiTheme="minorBidi" w:hint="cs"/>
          <w:sz w:val="27"/>
          <w:rtl/>
        </w:rPr>
        <w:t>،</w:t>
      </w:r>
      <w:r w:rsidRPr="00282AC9">
        <w:rPr>
          <w:rFonts w:asciiTheme="minorBidi" w:hAnsiTheme="minorBidi" w:hint="cs"/>
          <w:sz w:val="27"/>
          <w:rtl/>
        </w:rPr>
        <w:t xml:space="preserve"> </w:t>
      </w:r>
      <w:r w:rsidRPr="00282AC9">
        <w:rPr>
          <w:rFonts w:hint="cs"/>
          <w:sz w:val="27"/>
          <w:rtl/>
        </w:rPr>
        <w:t>قال</w:t>
      </w:r>
      <w:r w:rsidRPr="00282AC9">
        <w:rPr>
          <w:sz w:val="27"/>
          <w:rtl/>
        </w:rPr>
        <w:t xml:space="preserve">: </w:t>
      </w:r>
      <w:r w:rsidRPr="00282AC9">
        <w:rPr>
          <w:rFonts w:hint="eastAsia"/>
          <w:sz w:val="24"/>
          <w:szCs w:val="24"/>
          <w:rtl/>
        </w:rPr>
        <w:t>«</w:t>
      </w:r>
      <w:r w:rsidRPr="00282AC9">
        <w:rPr>
          <w:rFonts w:hint="cs"/>
          <w:sz w:val="27"/>
          <w:rtl/>
        </w:rPr>
        <w:t>نزلت</w:t>
      </w:r>
      <w:r w:rsidRPr="00282AC9">
        <w:rPr>
          <w:sz w:val="27"/>
          <w:rtl/>
        </w:rPr>
        <w:t xml:space="preserve"> </w:t>
      </w:r>
      <w:r w:rsidRPr="00282AC9">
        <w:rPr>
          <w:rFonts w:hint="cs"/>
          <w:sz w:val="27"/>
          <w:rtl/>
        </w:rPr>
        <w:t>هذه</w:t>
      </w:r>
      <w:r w:rsidRPr="00282AC9">
        <w:rPr>
          <w:sz w:val="27"/>
          <w:rtl/>
        </w:rPr>
        <w:t xml:space="preserve"> </w:t>
      </w:r>
      <w:r w:rsidRPr="00282AC9">
        <w:rPr>
          <w:rFonts w:hint="cs"/>
          <w:sz w:val="27"/>
          <w:rtl/>
        </w:rPr>
        <w:t>الآية</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فلان</w:t>
      </w:r>
      <w:r w:rsidRPr="00282AC9">
        <w:rPr>
          <w:sz w:val="27"/>
          <w:rtl/>
        </w:rPr>
        <w:t xml:space="preserve"> </w:t>
      </w:r>
      <w:r w:rsidRPr="00282AC9">
        <w:rPr>
          <w:rFonts w:hint="cs"/>
          <w:sz w:val="27"/>
          <w:rtl/>
        </w:rPr>
        <w:t>وفلان</w:t>
      </w:r>
      <w:r w:rsidRPr="00282AC9">
        <w:rPr>
          <w:sz w:val="27"/>
          <w:rtl/>
        </w:rPr>
        <w:t xml:space="preserve"> </w:t>
      </w:r>
      <w:r w:rsidRPr="00282AC9">
        <w:rPr>
          <w:rFonts w:hint="cs"/>
          <w:sz w:val="27"/>
          <w:rtl/>
        </w:rPr>
        <w:t>وأبي</w:t>
      </w:r>
      <w:r w:rsidRPr="00282AC9">
        <w:rPr>
          <w:sz w:val="27"/>
          <w:rtl/>
        </w:rPr>
        <w:t xml:space="preserve"> </w:t>
      </w:r>
      <w:r w:rsidRPr="00282AC9">
        <w:rPr>
          <w:rFonts w:hint="cs"/>
          <w:sz w:val="27"/>
          <w:rtl/>
        </w:rPr>
        <w:t>عبيدة</w:t>
      </w:r>
      <w:r w:rsidRPr="00282AC9">
        <w:rPr>
          <w:sz w:val="27"/>
          <w:rtl/>
        </w:rPr>
        <w:t xml:space="preserve"> </w:t>
      </w:r>
      <w:r w:rsidRPr="00282AC9">
        <w:rPr>
          <w:rFonts w:hint="cs"/>
          <w:sz w:val="27"/>
          <w:rtl/>
        </w:rPr>
        <w:t>الجر</w:t>
      </w:r>
      <w:r w:rsidR="002F713F" w:rsidRPr="00282AC9">
        <w:rPr>
          <w:rFonts w:hint="cs"/>
          <w:sz w:val="27"/>
          <w:rtl/>
        </w:rPr>
        <w:t>ّ</w:t>
      </w:r>
      <w:r w:rsidRPr="00282AC9">
        <w:rPr>
          <w:rFonts w:hint="cs"/>
          <w:sz w:val="27"/>
          <w:rtl/>
        </w:rPr>
        <w:t>اح</w:t>
      </w:r>
      <w:r w:rsidRPr="00282AC9">
        <w:rPr>
          <w:sz w:val="27"/>
          <w:rtl/>
        </w:rPr>
        <w:t xml:space="preserve"> و</w:t>
      </w:r>
      <w:r w:rsidRPr="00282AC9">
        <w:rPr>
          <w:rFonts w:hint="cs"/>
          <w:sz w:val="27"/>
          <w:rtl/>
        </w:rPr>
        <w:t>عبد</w:t>
      </w:r>
      <w:r w:rsidRPr="00282AC9">
        <w:rPr>
          <w:sz w:val="27"/>
          <w:rtl/>
        </w:rPr>
        <w:t xml:space="preserve"> </w:t>
      </w:r>
      <w:r w:rsidRPr="00282AC9">
        <w:rPr>
          <w:rFonts w:hint="cs"/>
          <w:sz w:val="27"/>
          <w:rtl/>
        </w:rPr>
        <w:t>الرحمن</w:t>
      </w:r>
      <w:r w:rsidRPr="00282AC9">
        <w:rPr>
          <w:sz w:val="27"/>
          <w:rtl/>
        </w:rPr>
        <w:t xml:space="preserve"> </w:t>
      </w:r>
      <w:r w:rsidRPr="00282AC9">
        <w:rPr>
          <w:rFonts w:hint="cs"/>
          <w:sz w:val="27"/>
          <w:rtl/>
        </w:rPr>
        <w:t>بن</w:t>
      </w:r>
      <w:r w:rsidRPr="00282AC9">
        <w:rPr>
          <w:sz w:val="27"/>
          <w:rtl/>
        </w:rPr>
        <w:t xml:space="preserve"> </w:t>
      </w:r>
      <w:r w:rsidRPr="00282AC9">
        <w:rPr>
          <w:rFonts w:hint="cs"/>
          <w:sz w:val="27"/>
          <w:rtl/>
        </w:rPr>
        <w:t>عوف</w:t>
      </w:r>
      <w:r w:rsidRPr="00282AC9">
        <w:rPr>
          <w:sz w:val="27"/>
          <w:rtl/>
        </w:rPr>
        <w:t xml:space="preserve"> </w:t>
      </w:r>
      <w:r w:rsidRPr="00282AC9">
        <w:rPr>
          <w:rFonts w:hint="cs"/>
          <w:sz w:val="27"/>
          <w:rtl/>
        </w:rPr>
        <w:t>وسالم</w:t>
      </w:r>
      <w:r w:rsidRPr="00282AC9">
        <w:rPr>
          <w:sz w:val="27"/>
          <w:rtl/>
        </w:rPr>
        <w:t xml:space="preserve"> </w:t>
      </w:r>
      <w:r w:rsidRPr="00282AC9">
        <w:rPr>
          <w:rFonts w:hint="cs"/>
          <w:sz w:val="27"/>
          <w:rtl/>
        </w:rPr>
        <w:t>مولى</w:t>
      </w:r>
      <w:r w:rsidRPr="00282AC9">
        <w:rPr>
          <w:sz w:val="27"/>
          <w:rtl/>
        </w:rPr>
        <w:t xml:space="preserve"> </w:t>
      </w:r>
      <w:r w:rsidRPr="00282AC9">
        <w:rPr>
          <w:rFonts w:hint="cs"/>
          <w:sz w:val="27"/>
          <w:rtl/>
        </w:rPr>
        <w:t>أبي</w:t>
      </w:r>
      <w:r w:rsidRPr="00282AC9">
        <w:rPr>
          <w:sz w:val="27"/>
          <w:rtl/>
        </w:rPr>
        <w:t xml:space="preserve"> </w:t>
      </w:r>
      <w:r w:rsidRPr="00282AC9">
        <w:rPr>
          <w:rFonts w:hint="cs"/>
          <w:sz w:val="27"/>
          <w:rtl/>
        </w:rPr>
        <w:t>حذيفة</w:t>
      </w:r>
      <w:r w:rsidRPr="00282AC9">
        <w:rPr>
          <w:sz w:val="27"/>
          <w:rtl/>
        </w:rPr>
        <w:t xml:space="preserve"> </w:t>
      </w:r>
      <w:r w:rsidRPr="00282AC9">
        <w:rPr>
          <w:rFonts w:hint="cs"/>
          <w:sz w:val="27"/>
          <w:rtl/>
        </w:rPr>
        <w:t>والمغيرة</w:t>
      </w:r>
      <w:r w:rsidRPr="00282AC9">
        <w:rPr>
          <w:sz w:val="27"/>
          <w:rtl/>
        </w:rPr>
        <w:t xml:space="preserve"> </w:t>
      </w:r>
      <w:r w:rsidRPr="00282AC9">
        <w:rPr>
          <w:rFonts w:hint="cs"/>
          <w:sz w:val="27"/>
          <w:rtl/>
        </w:rPr>
        <w:t>بن</w:t>
      </w:r>
      <w:r w:rsidRPr="00282AC9">
        <w:rPr>
          <w:sz w:val="27"/>
          <w:rtl/>
        </w:rPr>
        <w:t xml:space="preserve"> </w:t>
      </w:r>
      <w:r w:rsidRPr="00282AC9">
        <w:rPr>
          <w:rFonts w:hint="cs"/>
          <w:sz w:val="27"/>
          <w:rtl/>
        </w:rPr>
        <w:t>شعبة</w:t>
      </w:r>
      <w:r w:rsidR="002F713F" w:rsidRPr="00282AC9">
        <w:rPr>
          <w:rFonts w:hint="cs"/>
          <w:sz w:val="27"/>
          <w:rtl/>
        </w:rPr>
        <w:t>؛</w:t>
      </w:r>
      <w:r w:rsidRPr="00282AC9">
        <w:rPr>
          <w:sz w:val="27"/>
          <w:rtl/>
        </w:rPr>
        <w:t xml:space="preserve"> </w:t>
      </w:r>
      <w:r w:rsidRPr="00282AC9">
        <w:rPr>
          <w:rFonts w:hint="cs"/>
          <w:sz w:val="27"/>
          <w:rtl/>
        </w:rPr>
        <w:t>حيث</w:t>
      </w:r>
      <w:r w:rsidRPr="00282AC9">
        <w:rPr>
          <w:sz w:val="27"/>
          <w:rtl/>
        </w:rPr>
        <w:t xml:space="preserve"> </w:t>
      </w:r>
      <w:r w:rsidRPr="00282AC9">
        <w:rPr>
          <w:rFonts w:hint="cs"/>
          <w:sz w:val="27"/>
          <w:rtl/>
        </w:rPr>
        <w:t>كتبوا</w:t>
      </w:r>
      <w:r w:rsidRPr="00282AC9">
        <w:rPr>
          <w:sz w:val="27"/>
          <w:rtl/>
        </w:rPr>
        <w:t xml:space="preserve"> </w:t>
      </w:r>
      <w:r w:rsidRPr="00282AC9">
        <w:rPr>
          <w:rFonts w:hint="cs"/>
          <w:sz w:val="27"/>
          <w:rtl/>
        </w:rPr>
        <w:t>الكتاب بينهم</w:t>
      </w:r>
      <w:r w:rsidR="002F713F" w:rsidRPr="00282AC9">
        <w:rPr>
          <w:rFonts w:hint="cs"/>
          <w:sz w:val="27"/>
          <w:rtl/>
        </w:rPr>
        <w:t>،</w:t>
      </w:r>
      <w:r w:rsidRPr="00282AC9">
        <w:rPr>
          <w:sz w:val="27"/>
          <w:rtl/>
        </w:rPr>
        <w:t xml:space="preserve"> </w:t>
      </w:r>
      <w:r w:rsidRPr="00282AC9">
        <w:rPr>
          <w:rFonts w:hint="cs"/>
          <w:sz w:val="27"/>
          <w:rtl/>
        </w:rPr>
        <w:t>وتعاهدوا</w:t>
      </w:r>
      <w:r w:rsidRPr="00282AC9">
        <w:rPr>
          <w:sz w:val="27"/>
          <w:rtl/>
        </w:rPr>
        <w:t xml:space="preserve"> </w:t>
      </w:r>
      <w:r w:rsidRPr="00282AC9">
        <w:rPr>
          <w:rFonts w:hint="cs"/>
          <w:sz w:val="27"/>
          <w:rtl/>
        </w:rPr>
        <w:t>وتوافقوا</w:t>
      </w:r>
      <w:r w:rsidRPr="00282AC9">
        <w:rPr>
          <w:sz w:val="27"/>
          <w:rtl/>
        </w:rPr>
        <w:t xml:space="preserve">: </w:t>
      </w:r>
      <w:r w:rsidRPr="00282AC9">
        <w:rPr>
          <w:rFonts w:hint="cs"/>
          <w:sz w:val="27"/>
          <w:rtl/>
        </w:rPr>
        <w:t>لئن</w:t>
      </w:r>
      <w:r w:rsidRPr="00282AC9">
        <w:rPr>
          <w:sz w:val="27"/>
          <w:rtl/>
        </w:rPr>
        <w:t xml:space="preserve"> </w:t>
      </w:r>
      <w:r w:rsidRPr="00282AC9">
        <w:rPr>
          <w:rFonts w:hint="cs"/>
          <w:sz w:val="27"/>
          <w:rtl/>
        </w:rPr>
        <w:t>مضى</w:t>
      </w:r>
      <w:r w:rsidRPr="00282AC9">
        <w:rPr>
          <w:sz w:val="27"/>
          <w:rtl/>
        </w:rPr>
        <w:t xml:space="preserve"> </w:t>
      </w:r>
      <w:r w:rsidRPr="00282AC9">
        <w:rPr>
          <w:rFonts w:hint="cs"/>
          <w:sz w:val="27"/>
          <w:rtl/>
        </w:rPr>
        <w:t>محم</w:t>
      </w:r>
      <w:r w:rsidR="002F713F" w:rsidRPr="00282AC9">
        <w:rPr>
          <w:rFonts w:hint="cs"/>
          <w:sz w:val="27"/>
          <w:rtl/>
        </w:rPr>
        <w:t>ّ</w:t>
      </w:r>
      <w:r w:rsidRPr="00282AC9">
        <w:rPr>
          <w:rFonts w:hint="cs"/>
          <w:sz w:val="27"/>
          <w:rtl/>
        </w:rPr>
        <w:t>د</w:t>
      </w:r>
      <w:r w:rsidR="002F713F" w:rsidRPr="00282AC9">
        <w:rPr>
          <w:rFonts w:hint="cs"/>
          <w:sz w:val="27"/>
          <w:rtl/>
        </w:rPr>
        <w:t>ٌ</w:t>
      </w:r>
      <w:r w:rsidRPr="00282AC9">
        <w:rPr>
          <w:sz w:val="27"/>
          <w:rtl/>
        </w:rPr>
        <w:t xml:space="preserve"> </w:t>
      </w:r>
      <w:r w:rsidRPr="00282AC9">
        <w:rPr>
          <w:rFonts w:hint="cs"/>
          <w:sz w:val="27"/>
          <w:rtl/>
        </w:rPr>
        <w:t>لا</w:t>
      </w:r>
      <w:r w:rsidRPr="00282AC9">
        <w:rPr>
          <w:sz w:val="27"/>
          <w:rtl/>
        </w:rPr>
        <w:t xml:space="preserve"> </w:t>
      </w:r>
      <w:r w:rsidRPr="00282AC9">
        <w:rPr>
          <w:rFonts w:hint="cs"/>
          <w:sz w:val="27"/>
          <w:rtl/>
        </w:rPr>
        <w:t>تكون</w:t>
      </w:r>
      <w:r w:rsidRPr="00282AC9">
        <w:rPr>
          <w:sz w:val="27"/>
          <w:rtl/>
        </w:rPr>
        <w:t xml:space="preserve"> </w:t>
      </w:r>
      <w:r w:rsidRPr="00282AC9">
        <w:rPr>
          <w:rFonts w:hint="cs"/>
          <w:sz w:val="27"/>
          <w:rtl/>
        </w:rPr>
        <w:t>الخلافة</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بني</w:t>
      </w:r>
      <w:r w:rsidRPr="00282AC9">
        <w:rPr>
          <w:sz w:val="27"/>
          <w:rtl/>
        </w:rPr>
        <w:t xml:space="preserve"> </w:t>
      </w:r>
      <w:r w:rsidRPr="00282AC9">
        <w:rPr>
          <w:rFonts w:hint="cs"/>
          <w:sz w:val="27"/>
          <w:rtl/>
        </w:rPr>
        <w:t>هاشم</w:t>
      </w:r>
      <w:r w:rsidR="002F713F" w:rsidRPr="00282AC9">
        <w:rPr>
          <w:rFonts w:hint="cs"/>
          <w:sz w:val="27"/>
          <w:rtl/>
        </w:rPr>
        <w:t>،</w:t>
      </w:r>
      <w:r w:rsidRPr="00282AC9">
        <w:rPr>
          <w:sz w:val="27"/>
          <w:rtl/>
        </w:rPr>
        <w:t xml:space="preserve"> </w:t>
      </w:r>
      <w:r w:rsidRPr="00282AC9">
        <w:rPr>
          <w:rFonts w:hint="cs"/>
          <w:sz w:val="27"/>
          <w:rtl/>
        </w:rPr>
        <w:t>ولا</w:t>
      </w:r>
      <w:r w:rsidRPr="00282AC9">
        <w:rPr>
          <w:sz w:val="27"/>
          <w:rtl/>
        </w:rPr>
        <w:t xml:space="preserve"> </w:t>
      </w:r>
      <w:r w:rsidRPr="00282AC9">
        <w:rPr>
          <w:rFonts w:hint="cs"/>
          <w:sz w:val="27"/>
          <w:rtl/>
        </w:rPr>
        <w:t>النبو</w:t>
      </w:r>
      <w:r w:rsidR="002F713F" w:rsidRPr="00282AC9">
        <w:rPr>
          <w:rFonts w:hint="cs"/>
          <w:sz w:val="27"/>
          <w:rtl/>
        </w:rPr>
        <w:t>ّ</w:t>
      </w:r>
      <w:r w:rsidRPr="00282AC9">
        <w:rPr>
          <w:rFonts w:hint="cs"/>
          <w:sz w:val="27"/>
          <w:rtl/>
        </w:rPr>
        <w:t>ة أبدا</w:t>
      </w:r>
      <w:r w:rsidR="002F713F" w:rsidRPr="00282AC9">
        <w:rPr>
          <w:rFonts w:hint="cs"/>
          <w:sz w:val="27"/>
          <w:rtl/>
        </w:rPr>
        <w:t>ً</w:t>
      </w:r>
      <w:r w:rsidRPr="00282AC9">
        <w:rPr>
          <w:sz w:val="27"/>
          <w:rtl/>
        </w:rPr>
        <w:t xml:space="preserve">، </w:t>
      </w:r>
      <w:r w:rsidRPr="00282AC9">
        <w:rPr>
          <w:rFonts w:hint="cs"/>
          <w:sz w:val="27"/>
          <w:rtl/>
        </w:rPr>
        <w:t>فأنزل</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عز</w:t>
      </w:r>
      <w:r w:rsidR="002F713F" w:rsidRPr="00282AC9">
        <w:rPr>
          <w:rFonts w:hint="cs"/>
          <w:sz w:val="27"/>
          <w:rtl/>
        </w:rPr>
        <w:t>َّ</w:t>
      </w:r>
      <w:r w:rsidRPr="00282AC9">
        <w:rPr>
          <w:sz w:val="27"/>
          <w:rtl/>
        </w:rPr>
        <w:t xml:space="preserve"> </w:t>
      </w:r>
      <w:r w:rsidRPr="00282AC9">
        <w:rPr>
          <w:rFonts w:hint="cs"/>
          <w:sz w:val="27"/>
          <w:rtl/>
        </w:rPr>
        <w:t>وجل</w:t>
      </w:r>
      <w:r w:rsidR="002F713F" w:rsidRPr="00282AC9">
        <w:rPr>
          <w:rFonts w:hint="cs"/>
          <w:sz w:val="27"/>
          <w:rtl/>
        </w:rPr>
        <w:t>َّ</w:t>
      </w:r>
      <w:r w:rsidRPr="00282AC9">
        <w:rPr>
          <w:sz w:val="27"/>
          <w:rtl/>
        </w:rPr>
        <w:t xml:space="preserve"> </w:t>
      </w:r>
      <w:r w:rsidRPr="00282AC9">
        <w:rPr>
          <w:rFonts w:hint="cs"/>
          <w:sz w:val="27"/>
          <w:rtl/>
        </w:rPr>
        <w:t>فيهم</w:t>
      </w:r>
      <w:r w:rsidRPr="00282AC9">
        <w:rPr>
          <w:sz w:val="27"/>
          <w:rtl/>
        </w:rPr>
        <w:t xml:space="preserve"> </w:t>
      </w:r>
      <w:r w:rsidRPr="00282AC9">
        <w:rPr>
          <w:rFonts w:hint="cs"/>
          <w:sz w:val="27"/>
          <w:rtl/>
        </w:rPr>
        <w:t>هذه</w:t>
      </w:r>
      <w:r w:rsidRPr="00282AC9">
        <w:rPr>
          <w:sz w:val="27"/>
          <w:rtl/>
        </w:rPr>
        <w:t xml:space="preserve"> </w:t>
      </w:r>
      <w:r w:rsidRPr="00282AC9">
        <w:rPr>
          <w:rFonts w:hint="cs"/>
          <w:sz w:val="27"/>
          <w:rtl/>
        </w:rPr>
        <w:t>الآية</w:t>
      </w:r>
      <w:r w:rsidR="002F713F" w:rsidRPr="00282AC9">
        <w:rPr>
          <w:rFonts w:hint="cs"/>
          <w:sz w:val="27"/>
          <w:rtl/>
        </w:rPr>
        <w:t>.</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قلت</w:t>
      </w:r>
      <w:r w:rsidR="002F713F" w:rsidRPr="00282AC9">
        <w:rPr>
          <w:rFonts w:hint="cs"/>
          <w:sz w:val="27"/>
          <w:rtl/>
        </w:rPr>
        <w:t>ُ</w:t>
      </w:r>
      <w:r w:rsidRPr="00282AC9">
        <w:rPr>
          <w:sz w:val="27"/>
          <w:rtl/>
        </w:rPr>
        <w:t xml:space="preserve">: </w:t>
      </w:r>
      <w:r w:rsidRPr="00282AC9">
        <w:rPr>
          <w:rFonts w:hint="cs"/>
          <w:sz w:val="27"/>
          <w:rtl/>
        </w:rPr>
        <w:t>قوله</w:t>
      </w:r>
      <w:r w:rsidRPr="00282AC9">
        <w:rPr>
          <w:sz w:val="27"/>
          <w:rtl/>
        </w:rPr>
        <w:t xml:space="preserve"> </w:t>
      </w:r>
      <w:r w:rsidRPr="00282AC9">
        <w:rPr>
          <w:rFonts w:hint="cs"/>
          <w:sz w:val="27"/>
          <w:rtl/>
        </w:rPr>
        <w:t>عز</w:t>
      </w:r>
      <w:r w:rsidR="002F713F" w:rsidRPr="00282AC9">
        <w:rPr>
          <w:rFonts w:hint="cs"/>
          <w:sz w:val="27"/>
          <w:rtl/>
        </w:rPr>
        <w:t>َّ</w:t>
      </w:r>
      <w:r w:rsidRPr="00282AC9">
        <w:rPr>
          <w:sz w:val="27"/>
          <w:rtl/>
        </w:rPr>
        <w:t xml:space="preserve"> </w:t>
      </w:r>
      <w:r w:rsidRPr="00282AC9">
        <w:rPr>
          <w:rFonts w:hint="cs"/>
          <w:sz w:val="27"/>
          <w:rtl/>
        </w:rPr>
        <w:t>وجل</w:t>
      </w:r>
      <w:r w:rsidR="002F713F" w:rsidRPr="00282AC9">
        <w:rPr>
          <w:rFonts w:hint="cs"/>
          <w:sz w:val="27"/>
          <w:rtl/>
        </w:rPr>
        <w:t>َّ</w:t>
      </w:r>
      <w:r w:rsidRPr="00282AC9">
        <w:rPr>
          <w:sz w:val="27"/>
          <w:rtl/>
        </w:rPr>
        <w:t xml:space="preserve">: </w:t>
      </w:r>
      <w:r w:rsidRPr="00282AC9">
        <w:rPr>
          <w:rFonts w:ascii="Mosawi" w:hAnsi="Mosawi" w:cs="Mosawi"/>
          <w:sz w:val="24"/>
          <w:szCs w:val="24"/>
          <w:rtl/>
        </w:rPr>
        <w:t>﴿</w:t>
      </w:r>
      <w:r w:rsidR="002F713F" w:rsidRPr="00282AC9">
        <w:rPr>
          <w:b/>
          <w:bCs/>
          <w:sz w:val="27"/>
          <w:rtl/>
        </w:rPr>
        <w:t xml:space="preserve">أَمْ أَبْرَمُوا أَمْراً فَإِنَّا مُبْرِمُونَ </w:t>
      </w:r>
      <w:r w:rsidR="002F713F" w:rsidRPr="00282AC9">
        <w:rPr>
          <w:rFonts w:hint="cs"/>
          <w:b/>
          <w:bCs/>
          <w:sz w:val="27"/>
          <w:rtl/>
        </w:rPr>
        <w:t>*</w:t>
      </w:r>
      <w:r w:rsidR="002F713F" w:rsidRPr="00282AC9">
        <w:rPr>
          <w:b/>
          <w:bCs/>
          <w:sz w:val="27"/>
          <w:rtl/>
        </w:rPr>
        <w:t xml:space="preserve"> أَمْ يَحْسَبُونَ أَنَّا لاَ نَسْمَعُ سِرَّهُمْ وَنَجْوَاهُمْ بَلَى وَرُسُلُنَا لَدَيْهِمْ يَكْتُبُونَ</w:t>
      </w:r>
      <w:r w:rsidRPr="00282AC9">
        <w:rPr>
          <w:rFonts w:ascii="Mosawi" w:hAnsi="Mosawi" w:cs="Mosawi"/>
          <w:sz w:val="24"/>
          <w:szCs w:val="24"/>
          <w:rtl/>
        </w:rPr>
        <w:t>﴾</w:t>
      </w:r>
      <w:r w:rsidRPr="00282AC9">
        <w:rPr>
          <w:rFonts w:asciiTheme="minorBidi" w:hAnsiTheme="minorBidi"/>
          <w:rtl/>
        </w:rPr>
        <w:t xml:space="preserve"> </w:t>
      </w:r>
      <w:r w:rsidRPr="00282AC9">
        <w:rPr>
          <w:rFonts w:asciiTheme="minorBidi" w:hAnsiTheme="minorBidi" w:hint="cs"/>
          <w:sz w:val="27"/>
          <w:rtl/>
        </w:rPr>
        <w:t>(الزخرف:</w:t>
      </w:r>
      <w:r w:rsidR="002F713F" w:rsidRPr="00282AC9">
        <w:rPr>
          <w:rFonts w:asciiTheme="minorBidi" w:hAnsiTheme="minorBidi" w:hint="cs"/>
          <w:sz w:val="27"/>
          <w:rtl/>
        </w:rPr>
        <w:t xml:space="preserve"> 79 ـ</w:t>
      </w:r>
      <w:r w:rsidRPr="00282AC9">
        <w:rPr>
          <w:rFonts w:asciiTheme="minorBidi" w:hAnsiTheme="minorBidi" w:hint="cs"/>
          <w:sz w:val="27"/>
          <w:rtl/>
        </w:rPr>
        <w:t xml:space="preserve"> 80)</w:t>
      </w:r>
      <w:r w:rsidR="002F713F" w:rsidRPr="00282AC9">
        <w:rPr>
          <w:rFonts w:asciiTheme="minorBidi" w:hAnsiTheme="minorBidi" w:hint="cs"/>
          <w:sz w:val="27"/>
          <w:rtl/>
        </w:rPr>
        <w:t>؟</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وهاتان</w:t>
      </w:r>
      <w:r w:rsidRPr="00282AC9">
        <w:rPr>
          <w:sz w:val="27"/>
          <w:rtl/>
        </w:rPr>
        <w:t xml:space="preserve"> </w:t>
      </w:r>
      <w:r w:rsidRPr="00282AC9">
        <w:rPr>
          <w:rFonts w:hint="cs"/>
          <w:sz w:val="27"/>
          <w:rtl/>
        </w:rPr>
        <w:t>الآيتان</w:t>
      </w:r>
      <w:r w:rsidRPr="00282AC9">
        <w:rPr>
          <w:sz w:val="27"/>
          <w:rtl/>
        </w:rPr>
        <w:t xml:space="preserve"> </w:t>
      </w:r>
      <w:r w:rsidRPr="00282AC9">
        <w:rPr>
          <w:rFonts w:hint="cs"/>
          <w:sz w:val="27"/>
          <w:rtl/>
        </w:rPr>
        <w:t>نزلتا</w:t>
      </w:r>
      <w:r w:rsidRPr="00282AC9">
        <w:rPr>
          <w:sz w:val="27"/>
          <w:rtl/>
        </w:rPr>
        <w:t xml:space="preserve"> </w:t>
      </w:r>
      <w:r w:rsidRPr="00282AC9">
        <w:rPr>
          <w:rFonts w:hint="cs"/>
          <w:sz w:val="27"/>
          <w:rtl/>
        </w:rPr>
        <w:t>فيهم</w:t>
      </w:r>
      <w:r w:rsidRPr="00282AC9">
        <w:rPr>
          <w:sz w:val="27"/>
          <w:rtl/>
        </w:rPr>
        <w:t xml:space="preserve"> </w:t>
      </w:r>
      <w:r w:rsidRPr="00282AC9">
        <w:rPr>
          <w:rFonts w:hint="cs"/>
          <w:sz w:val="27"/>
          <w:rtl/>
        </w:rPr>
        <w:t>ذلك</w:t>
      </w:r>
      <w:r w:rsidRPr="00282AC9">
        <w:rPr>
          <w:sz w:val="27"/>
          <w:rtl/>
        </w:rPr>
        <w:t xml:space="preserve"> </w:t>
      </w:r>
      <w:r w:rsidRPr="00282AC9">
        <w:rPr>
          <w:rFonts w:hint="cs"/>
          <w:sz w:val="27"/>
          <w:rtl/>
        </w:rPr>
        <w:t>اليوم</w:t>
      </w:r>
      <w:r w:rsidR="00CE4742" w:rsidRPr="00282AC9">
        <w:rPr>
          <w:rFonts w:hint="cs"/>
          <w:sz w:val="27"/>
          <w:rtl/>
        </w:rPr>
        <w:t>.</w:t>
      </w:r>
      <w:r w:rsidRPr="00282AC9">
        <w:rPr>
          <w:sz w:val="27"/>
          <w:rtl/>
        </w:rPr>
        <w:t xml:space="preserve"> </w:t>
      </w:r>
      <w:r w:rsidRPr="00282AC9">
        <w:rPr>
          <w:rFonts w:hint="cs"/>
          <w:sz w:val="27"/>
          <w:rtl/>
        </w:rPr>
        <w:t>قال</w:t>
      </w:r>
      <w:r w:rsidRPr="00282AC9">
        <w:rPr>
          <w:sz w:val="27"/>
          <w:rtl/>
        </w:rPr>
        <w:t xml:space="preserve"> </w:t>
      </w:r>
      <w:r w:rsidRPr="00282AC9">
        <w:rPr>
          <w:rFonts w:hint="cs"/>
          <w:sz w:val="27"/>
          <w:rtl/>
        </w:rPr>
        <w:t>أبو</w:t>
      </w:r>
      <w:r w:rsidRPr="00282AC9">
        <w:rPr>
          <w:sz w:val="27"/>
          <w:rtl/>
        </w:rPr>
        <w:t xml:space="preserve"> </w:t>
      </w:r>
      <w:r w:rsidRPr="00282AC9">
        <w:rPr>
          <w:rFonts w:hint="cs"/>
          <w:sz w:val="27"/>
          <w:rtl/>
        </w:rPr>
        <w:t>عبد</w:t>
      </w:r>
      <w:r w:rsidRPr="00282AC9">
        <w:rPr>
          <w:sz w:val="27"/>
          <w:rtl/>
        </w:rPr>
        <w:t xml:space="preserve"> </w:t>
      </w:r>
      <w:r w:rsidRPr="00282AC9">
        <w:rPr>
          <w:rFonts w:hint="cs"/>
          <w:sz w:val="27"/>
          <w:rtl/>
        </w:rPr>
        <w:t>الله</w:t>
      </w:r>
      <w:r w:rsidR="009A2A04" w:rsidRPr="00282AC9">
        <w:rPr>
          <w:rFonts w:cs="Mosawi"/>
          <w:sz w:val="22"/>
          <w:szCs w:val="22"/>
          <w:rtl/>
        </w:rPr>
        <w:t>×</w:t>
      </w:r>
      <w:r w:rsidRPr="00282AC9">
        <w:rPr>
          <w:sz w:val="27"/>
          <w:rtl/>
        </w:rPr>
        <w:t xml:space="preserve">: </w:t>
      </w:r>
      <w:r w:rsidRPr="00282AC9">
        <w:rPr>
          <w:rFonts w:hint="cs"/>
          <w:sz w:val="27"/>
          <w:rtl/>
        </w:rPr>
        <w:t>لعل</w:t>
      </w:r>
      <w:r w:rsidR="00CE4742" w:rsidRPr="00282AC9">
        <w:rPr>
          <w:rFonts w:hint="cs"/>
          <w:sz w:val="27"/>
          <w:rtl/>
        </w:rPr>
        <w:t>ّ</w:t>
      </w:r>
      <w:r w:rsidRPr="00282AC9">
        <w:rPr>
          <w:rFonts w:hint="cs"/>
          <w:sz w:val="27"/>
          <w:rtl/>
        </w:rPr>
        <w:t>ك ترى</w:t>
      </w:r>
      <w:r w:rsidRPr="00282AC9">
        <w:rPr>
          <w:sz w:val="27"/>
          <w:rtl/>
        </w:rPr>
        <w:t xml:space="preserve"> </w:t>
      </w:r>
      <w:r w:rsidRPr="00282AC9">
        <w:rPr>
          <w:rFonts w:hint="cs"/>
          <w:sz w:val="27"/>
          <w:rtl/>
        </w:rPr>
        <w:t>أنه</w:t>
      </w:r>
      <w:r w:rsidRPr="00282AC9">
        <w:rPr>
          <w:sz w:val="27"/>
          <w:rtl/>
        </w:rPr>
        <w:t xml:space="preserve"> </w:t>
      </w:r>
      <w:r w:rsidRPr="00282AC9">
        <w:rPr>
          <w:rFonts w:hint="cs"/>
          <w:sz w:val="27"/>
          <w:rtl/>
        </w:rPr>
        <w:t>كان</w:t>
      </w:r>
      <w:r w:rsidRPr="00282AC9">
        <w:rPr>
          <w:sz w:val="27"/>
          <w:rtl/>
        </w:rPr>
        <w:t xml:space="preserve"> </w:t>
      </w:r>
      <w:r w:rsidRPr="00282AC9">
        <w:rPr>
          <w:rFonts w:hint="cs"/>
          <w:sz w:val="27"/>
          <w:rtl/>
        </w:rPr>
        <w:t>يوم</w:t>
      </w:r>
      <w:r w:rsidR="00CE4742" w:rsidRPr="00282AC9">
        <w:rPr>
          <w:rFonts w:hint="cs"/>
          <w:sz w:val="27"/>
          <w:rtl/>
        </w:rPr>
        <w:t>ٌ</w:t>
      </w:r>
      <w:r w:rsidRPr="00282AC9">
        <w:rPr>
          <w:sz w:val="27"/>
          <w:rtl/>
        </w:rPr>
        <w:t xml:space="preserve"> </w:t>
      </w:r>
      <w:r w:rsidRPr="00282AC9">
        <w:rPr>
          <w:rFonts w:hint="cs"/>
          <w:sz w:val="27"/>
          <w:rtl/>
        </w:rPr>
        <w:t>يشبه</w:t>
      </w:r>
      <w:r w:rsidRPr="00282AC9">
        <w:rPr>
          <w:sz w:val="27"/>
          <w:rtl/>
        </w:rPr>
        <w:t xml:space="preserve"> </w:t>
      </w:r>
      <w:r w:rsidRPr="00282AC9">
        <w:rPr>
          <w:rFonts w:hint="cs"/>
          <w:sz w:val="27"/>
          <w:rtl/>
        </w:rPr>
        <w:t>يوم</w:t>
      </w:r>
      <w:r w:rsidRPr="00282AC9">
        <w:rPr>
          <w:sz w:val="27"/>
          <w:rtl/>
        </w:rPr>
        <w:t xml:space="preserve"> </w:t>
      </w:r>
      <w:r w:rsidRPr="00282AC9">
        <w:rPr>
          <w:rFonts w:hint="cs"/>
          <w:sz w:val="27"/>
          <w:rtl/>
        </w:rPr>
        <w:t>ك</w:t>
      </w:r>
      <w:r w:rsidR="00CE4742" w:rsidRPr="00282AC9">
        <w:rPr>
          <w:rFonts w:hint="cs"/>
          <w:sz w:val="27"/>
          <w:rtl/>
        </w:rPr>
        <w:t>ُ</w:t>
      </w:r>
      <w:r w:rsidRPr="00282AC9">
        <w:rPr>
          <w:rFonts w:hint="cs"/>
          <w:sz w:val="27"/>
          <w:rtl/>
        </w:rPr>
        <w:t>تب</w:t>
      </w:r>
      <w:r w:rsidRPr="00282AC9">
        <w:rPr>
          <w:sz w:val="27"/>
          <w:rtl/>
        </w:rPr>
        <w:t xml:space="preserve"> </w:t>
      </w:r>
      <w:r w:rsidRPr="00282AC9">
        <w:rPr>
          <w:rFonts w:hint="cs"/>
          <w:sz w:val="27"/>
          <w:rtl/>
        </w:rPr>
        <w:t>الكتاب</w:t>
      </w:r>
      <w:r w:rsidR="00CE4742" w:rsidRPr="00282AC9">
        <w:rPr>
          <w:rFonts w:hint="cs"/>
          <w:sz w:val="27"/>
          <w:rtl/>
        </w:rPr>
        <w:t>،</w:t>
      </w:r>
      <w:r w:rsidRPr="00282AC9">
        <w:rPr>
          <w:sz w:val="27"/>
          <w:rtl/>
        </w:rPr>
        <w:t xml:space="preserve"> </w:t>
      </w:r>
      <w:r w:rsidRPr="00282AC9">
        <w:rPr>
          <w:rFonts w:hint="cs"/>
          <w:sz w:val="27"/>
          <w:rtl/>
        </w:rPr>
        <w:t>إلا</w:t>
      </w:r>
      <w:r w:rsidR="00CE4742" w:rsidRPr="00282AC9">
        <w:rPr>
          <w:rFonts w:hint="cs"/>
          <w:sz w:val="27"/>
          <w:rtl/>
        </w:rPr>
        <w:t>ّ</w:t>
      </w:r>
      <w:r w:rsidRPr="00282AC9">
        <w:rPr>
          <w:sz w:val="27"/>
          <w:rtl/>
        </w:rPr>
        <w:t xml:space="preserve"> </w:t>
      </w:r>
      <w:r w:rsidRPr="00282AC9">
        <w:rPr>
          <w:rFonts w:hint="cs"/>
          <w:sz w:val="27"/>
          <w:rtl/>
        </w:rPr>
        <w:t>يوم</w:t>
      </w:r>
      <w:r w:rsidRPr="00282AC9">
        <w:rPr>
          <w:sz w:val="27"/>
          <w:rtl/>
        </w:rPr>
        <w:t xml:space="preserve"> </w:t>
      </w:r>
      <w:r w:rsidRPr="00282AC9">
        <w:rPr>
          <w:rFonts w:hint="cs"/>
          <w:sz w:val="27"/>
          <w:rtl/>
        </w:rPr>
        <w:t>قتل</w:t>
      </w:r>
      <w:r w:rsidRPr="00282AC9">
        <w:rPr>
          <w:sz w:val="27"/>
          <w:rtl/>
        </w:rPr>
        <w:t xml:space="preserve"> </w:t>
      </w:r>
      <w:r w:rsidRPr="00282AC9">
        <w:rPr>
          <w:rFonts w:hint="cs"/>
          <w:sz w:val="27"/>
          <w:rtl/>
        </w:rPr>
        <w:t>الحسين</w:t>
      </w:r>
      <w:r w:rsidR="009A2A04" w:rsidRPr="00282AC9">
        <w:rPr>
          <w:rFonts w:cs="Mosawi"/>
          <w:sz w:val="22"/>
          <w:szCs w:val="22"/>
          <w:rtl/>
        </w:rPr>
        <w:t>×</w:t>
      </w:r>
      <w:r w:rsidR="00CE4742" w:rsidRPr="00282AC9">
        <w:rPr>
          <w:rFonts w:hint="cs"/>
          <w:sz w:val="27"/>
          <w:rtl/>
        </w:rPr>
        <w:t>.</w:t>
      </w:r>
      <w:r w:rsidRPr="00282AC9">
        <w:rPr>
          <w:sz w:val="27"/>
          <w:rtl/>
        </w:rPr>
        <w:t xml:space="preserve"> </w:t>
      </w:r>
      <w:r w:rsidRPr="00282AC9">
        <w:rPr>
          <w:rFonts w:hint="cs"/>
          <w:sz w:val="27"/>
          <w:rtl/>
        </w:rPr>
        <w:t>وهكذا</w:t>
      </w:r>
      <w:r w:rsidRPr="00282AC9">
        <w:rPr>
          <w:sz w:val="27"/>
          <w:rtl/>
        </w:rPr>
        <w:t xml:space="preserve"> </w:t>
      </w:r>
      <w:r w:rsidRPr="00282AC9">
        <w:rPr>
          <w:rFonts w:hint="cs"/>
          <w:sz w:val="27"/>
          <w:rtl/>
        </w:rPr>
        <w:t>كان</w:t>
      </w:r>
      <w:r w:rsidRPr="00282AC9">
        <w:rPr>
          <w:sz w:val="27"/>
          <w:rtl/>
        </w:rPr>
        <w:t xml:space="preserve"> </w:t>
      </w:r>
      <w:r w:rsidRPr="00282AC9">
        <w:rPr>
          <w:rFonts w:hint="cs"/>
          <w:sz w:val="27"/>
          <w:rtl/>
        </w:rPr>
        <w:t>في سابق</w:t>
      </w:r>
      <w:r w:rsidRPr="00282AC9">
        <w:rPr>
          <w:sz w:val="27"/>
          <w:rtl/>
        </w:rPr>
        <w:t xml:space="preserve"> </w:t>
      </w:r>
      <w:r w:rsidRPr="00282AC9">
        <w:rPr>
          <w:rFonts w:hint="cs"/>
          <w:sz w:val="27"/>
          <w:rtl/>
        </w:rPr>
        <w:t>علم</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عز</w:t>
      </w:r>
      <w:r w:rsidR="00CE4742" w:rsidRPr="00282AC9">
        <w:rPr>
          <w:rFonts w:hint="cs"/>
          <w:sz w:val="27"/>
          <w:rtl/>
        </w:rPr>
        <w:t>َّ</w:t>
      </w:r>
      <w:r w:rsidRPr="00282AC9">
        <w:rPr>
          <w:sz w:val="27"/>
          <w:rtl/>
        </w:rPr>
        <w:t xml:space="preserve"> </w:t>
      </w:r>
      <w:r w:rsidRPr="00282AC9">
        <w:rPr>
          <w:rFonts w:hint="cs"/>
          <w:sz w:val="27"/>
          <w:rtl/>
        </w:rPr>
        <w:t>وجل</w:t>
      </w:r>
      <w:r w:rsidR="00CE4742" w:rsidRPr="00282AC9">
        <w:rPr>
          <w:rFonts w:hint="cs"/>
          <w:sz w:val="27"/>
          <w:rtl/>
        </w:rPr>
        <w:t>َّ،</w:t>
      </w:r>
      <w:r w:rsidRPr="00282AC9">
        <w:rPr>
          <w:sz w:val="27"/>
          <w:rtl/>
        </w:rPr>
        <w:t xml:space="preserve"> </w:t>
      </w:r>
      <w:r w:rsidRPr="00282AC9">
        <w:rPr>
          <w:rFonts w:hint="cs"/>
          <w:sz w:val="27"/>
          <w:rtl/>
        </w:rPr>
        <w:t>الذي</w:t>
      </w:r>
      <w:r w:rsidRPr="00282AC9">
        <w:rPr>
          <w:sz w:val="27"/>
          <w:rtl/>
        </w:rPr>
        <w:t xml:space="preserve"> </w:t>
      </w:r>
      <w:r w:rsidRPr="00282AC9">
        <w:rPr>
          <w:rFonts w:hint="cs"/>
          <w:sz w:val="27"/>
          <w:rtl/>
        </w:rPr>
        <w:t>أعلمه</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sz w:val="22"/>
          <w:szCs w:val="22"/>
          <w:rtl/>
        </w:rPr>
        <w:t>|</w:t>
      </w:r>
      <w:r w:rsidR="00CE4742" w:rsidRPr="00282AC9">
        <w:rPr>
          <w:rFonts w:hint="cs"/>
          <w:sz w:val="27"/>
          <w:rtl/>
        </w:rPr>
        <w:t>،</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إذا</w:t>
      </w:r>
      <w:r w:rsidRPr="00282AC9">
        <w:rPr>
          <w:sz w:val="27"/>
          <w:rtl/>
        </w:rPr>
        <w:t xml:space="preserve"> </w:t>
      </w:r>
      <w:r w:rsidRPr="00282AC9">
        <w:rPr>
          <w:rFonts w:hint="cs"/>
          <w:sz w:val="27"/>
          <w:rtl/>
        </w:rPr>
        <w:t>ك</w:t>
      </w:r>
      <w:r w:rsidR="00CE4742" w:rsidRPr="00282AC9">
        <w:rPr>
          <w:rFonts w:hint="cs"/>
          <w:sz w:val="27"/>
          <w:rtl/>
        </w:rPr>
        <w:t>ُ</w:t>
      </w:r>
      <w:r w:rsidRPr="00282AC9">
        <w:rPr>
          <w:rFonts w:hint="cs"/>
          <w:sz w:val="27"/>
          <w:rtl/>
        </w:rPr>
        <w:t>تب</w:t>
      </w:r>
      <w:r w:rsidRPr="00282AC9">
        <w:rPr>
          <w:sz w:val="27"/>
          <w:rtl/>
        </w:rPr>
        <w:t xml:space="preserve"> </w:t>
      </w:r>
      <w:r w:rsidRPr="00282AC9">
        <w:rPr>
          <w:rFonts w:hint="cs"/>
          <w:sz w:val="27"/>
          <w:rtl/>
        </w:rPr>
        <w:t>الكتاب</w:t>
      </w:r>
      <w:r w:rsidRPr="00282AC9">
        <w:rPr>
          <w:sz w:val="27"/>
          <w:rtl/>
        </w:rPr>
        <w:t xml:space="preserve"> </w:t>
      </w:r>
      <w:r w:rsidRPr="00282AC9">
        <w:rPr>
          <w:rFonts w:hint="cs"/>
          <w:sz w:val="27"/>
          <w:rtl/>
        </w:rPr>
        <w:t>قتل</w:t>
      </w:r>
      <w:r w:rsidRPr="00282AC9">
        <w:rPr>
          <w:sz w:val="27"/>
          <w:rtl/>
        </w:rPr>
        <w:t xml:space="preserve"> </w:t>
      </w:r>
      <w:r w:rsidRPr="00282AC9">
        <w:rPr>
          <w:rFonts w:hint="cs"/>
          <w:sz w:val="27"/>
          <w:rtl/>
        </w:rPr>
        <w:t>الحسين</w:t>
      </w:r>
      <w:r w:rsidR="00CE4742" w:rsidRPr="00282AC9">
        <w:rPr>
          <w:rFonts w:hint="cs"/>
          <w:sz w:val="27"/>
          <w:rtl/>
        </w:rPr>
        <w:t>،</w:t>
      </w:r>
      <w:r w:rsidRPr="00282AC9">
        <w:rPr>
          <w:rFonts w:hint="cs"/>
          <w:sz w:val="27"/>
          <w:rtl/>
        </w:rPr>
        <w:t xml:space="preserve"> وخرج</w:t>
      </w:r>
      <w:r w:rsidRPr="00282AC9">
        <w:rPr>
          <w:sz w:val="27"/>
          <w:rtl/>
        </w:rPr>
        <w:t xml:space="preserve"> </w:t>
      </w:r>
      <w:r w:rsidRPr="00282AC9">
        <w:rPr>
          <w:rFonts w:hint="cs"/>
          <w:sz w:val="27"/>
          <w:rtl/>
        </w:rPr>
        <w:t>الم</w:t>
      </w:r>
      <w:r w:rsidR="00CE4742" w:rsidRPr="00282AC9">
        <w:rPr>
          <w:rFonts w:hint="cs"/>
          <w:sz w:val="27"/>
          <w:rtl/>
        </w:rPr>
        <w:t>ُ</w:t>
      </w:r>
      <w:r w:rsidRPr="00282AC9">
        <w:rPr>
          <w:rFonts w:hint="cs"/>
          <w:sz w:val="27"/>
          <w:rtl/>
        </w:rPr>
        <w:t>ل</w:t>
      </w:r>
      <w:r w:rsidR="00CE4742" w:rsidRPr="00282AC9">
        <w:rPr>
          <w:rFonts w:hint="cs"/>
          <w:sz w:val="27"/>
          <w:rtl/>
        </w:rPr>
        <w:t>ْ</w:t>
      </w:r>
      <w:r w:rsidRPr="00282AC9">
        <w:rPr>
          <w:rFonts w:hint="cs"/>
          <w:sz w:val="27"/>
          <w:rtl/>
        </w:rPr>
        <w:t>ك</w:t>
      </w:r>
      <w:r w:rsidR="00CE4742" w:rsidRPr="00282AC9">
        <w:rPr>
          <w:rFonts w:hint="cs"/>
          <w:sz w:val="27"/>
          <w:rtl/>
        </w:rPr>
        <w:t>ُ</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بني</w:t>
      </w:r>
      <w:r w:rsidRPr="00282AC9">
        <w:rPr>
          <w:sz w:val="27"/>
          <w:rtl/>
        </w:rPr>
        <w:t xml:space="preserve"> </w:t>
      </w:r>
      <w:r w:rsidRPr="00282AC9">
        <w:rPr>
          <w:rFonts w:hint="cs"/>
          <w:sz w:val="27"/>
          <w:rtl/>
        </w:rPr>
        <w:t>هاشم</w:t>
      </w:r>
      <w:r w:rsidR="00CE4742" w:rsidRPr="00282AC9">
        <w:rPr>
          <w:rFonts w:hint="cs"/>
          <w:sz w:val="27"/>
          <w:rtl/>
        </w:rPr>
        <w:t>،</w:t>
      </w:r>
      <w:r w:rsidRPr="00282AC9">
        <w:rPr>
          <w:sz w:val="27"/>
          <w:rtl/>
        </w:rPr>
        <w:t xml:space="preserve"> </w:t>
      </w:r>
      <w:r w:rsidRPr="00282AC9">
        <w:rPr>
          <w:rFonts w:hint="cs"/>
          <w:sz w:val="27"/>
          <w:rtl/>
        </w:rPr>
        <w:t>فقد</w:t>
      </w:r>
      <w:r w:rsidRPr="00282AC9">
        <w:rPr>
          <w:sz w:val="27"/>
          <w:rtl/>
        </w:rPr>
        <w:t xml:space="preserve"> </w:t>
      </w:r>
      <w:r w:rsidRPr="00282AC9">
        <w:rPr>
          <w:rFonts w:hint="cs"/>
          <w:sz w:val="27"/>
          <w:rtl/>
        </w:rPr>
        <w:t>كان</w:t>
      </w:r>
      <w:r w:rsidRPr="00282AC9">
        <w:rPr>
          <w:sz w:val="27"/>
          <w:rtl/>
        </w:rPr>
        <w:t xml:space="preserve"> </w:t>
      </w:r>
      <w:r w:rsidRPr="00282AC9">
        <w:rPr>
          <w:rFonts w:hint="cs"/>
          <w:sz w:val="27"/>
          <w:rtl/>
        </w:rPr>
        <w:t>ذلك</w:t>
      </w:r>
      <w:r w:rsidRPr="00282AC9">
        <w:rPr>
          <w:sz w:val="27"/>
          <w:rtl/>
        </w:rPr>
        <w:t xml:space="preserve"> </w:t>
      </w:r>
      <w:r w:rsidRPr="00282AC9">
        <w:rPr>
          <w:rFonts w:hint="cs"/>
          <w:sz w:val="27"/>
          <w:rtl/>
        </w:rPr>
        <w:t>كل</w:t>
      </w:r>
      <w:r w:rsidR="00CE4742" w:rsidRPr="00282AC9">
        <w:rPr>
          <w:rFonts w:hint="cs"/>
          <w:sz w:val="27"/>
          <w:rtl/>
        </w:rPr>
        <w:t>ّ</w:t>
      </w:r>
      <w:r w:rsidRPr="00282AC9">
        <w:rPr>
          <w:rFonts w:hint="cs"/>
          <w:sz w:val="27"/>
          <w:rtl/>
        </w:rPr>
        <w:t>ه</w:t>
      </w:r>
      <w:r w:rsidRPr="00282AC9">
        <w:rPr>
          <w:rFonts w:hint="eastAsia"/>
          <w:sz w:val="24"/>
          <w:szCs w:val="24"/>
          <w:rtl/>
        </w:rPr>
        <w:t>»</w:t>
      </w:r>
      <w:r w:rsidRPr="00282AC9">
        <w:rPr>
          <w:sz w:val="27"/>
          <w:vertAlign w:val="superscript"/>
          <w:rtl/>
        </w:rPr>
        <w:t>(</w:t>
      </w:r>
      <w:r w:rsidRPr="00282AC9">
        <w:rPr>
          <w:rStyle w:val="af9"/>
          <w:sz w:val="27"/>
          <w:rtl/>
        </w:rPr>
        <w:endnoteReference w:id="781"/>
      </w:r>
      <w:r w:rsidRPr="00282AC9">
        <w:rPr>
          <w:sz w:val="27"/>
          <w:vertAlign w:val="superscript"/>
          <w:rtl/>
        </w:rPr>
        <w:t>)</w:t>
      </w:r>
      <w:r w:rsidRPr="00282AC9">
        <w:rPr>
          <w:sz w:val="27"/>
          <w:rtl/>
        </w:rPr>
        <w:t>.</w:t>
      </w:r>
    </w:p>
    <w:p w:rsidR="00965E08" w:rsidRPr="00282AC9" w:rsidRDefault="00965E08" w:rsidP="003062B7">
      <w:pPr>
        <w:rPr>
          <w:sz w:val="27"/>
          <w:rtl/>
        </w:rPr>
      </w:pPr>
      <w:r w:rsidRPr="00282AC9">
        <w:rPr>
          <w:rFonts w:hint="cs"/>
          <w:sz w:val="27"/>
          <w:rtl/>
        </w:rPr>
        <w:lastRenderedPageBreak/>
        <w:t>فنحن</w:t>
      </w:r>
      <w:r w:rsidRPr="00282AC9">
        <w:rPr>
          <w:sz w:val="27"/>
          <w:rtl/>
        </w:rPr>
        <w:t xml:space="preserve"> </w:t>
      </w:r>
      <w:r w:rsidRPr="00282AC9">
        <w:rPr>
          <w:rFonts w:hint="cs"/>
          <w:sz w:val="27"/>
          <w:rtl/>
        </w:rPr>
        <w:t>إذا</w:t>
      </w:r>
      <w:r w:rsidRPr="00282AC9">
        <w:rPr>
          <w:sz w:val="27"/>
          <w:rtl/>
        </w:rPr>
        <w:t xml:space="preserve"> </w:t>
      </w:r>
      <w:r w:rsidRPr="00282AC9">
        <w:rPr>
          <w:rFonts w:hint="cs"/>
          <w:sz w:val="27"/>
          <w:rtl/>
        </w:rPr>
        <w:t>دق</w:t>
      </w:r>
      <w:r w:rsidR="00CE4742" w:rsidRPr="00282AC9">
        <w:rPr>
          <w:rFonts w:hint="cs"/>
          <w:sz w:val="27"/>
          <w:rtl/>
        </w:rPr>
        <w:t>َّ</w:t>
      </w:r>
      <w:r w:rsidRPr="00282AC9">
        <w:rPr>
          <w:rFonts w:hint="cs"/>
          <w:sz w:val="27"/>
          <w:rtl/>
        </w:rPr>
        <w:t>ق</w:t>
      </w:r>
      <w:r w:rsidR="00CE4742" w:rsidRPr="00282AC9">
        <w:rPr>
          <w:rFonts w:hint="cs"/>
          <w:sz w:val="27"/>
          <w:rtl/>
        </w:rPr>
        <w:t>ْ</w:t>
      </w:r>
      <w:r w:rsidRPr="00282AC9">
        <w:rPr>
          <w:rFonts w:hint="cs"/>
          <w:sz w:val="27"/>
          <w:rtl/>
        </w:rPr>
        <w:t>نا</w:t>
      </w:r>
      <w:r w:rsidRPr="00282AC9">
        <w:rPr>
          <w:sz w:val="27"/>
          <w:rtl/>
        </w:rPr>
        <w:t xml:space="preserve"> </w:t>
      </w:r>
      <w:r w:rsidRPr="00282AC9">
        <w:rPr>
          <w:rFonts w:hint="cs"/>
          <w:sz w:val="27"/>
          <w:rtl/>
        </w:rPr>
        <w:t>النظر</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ألفاظ</w:t>
      </w:r>
      <w:r w:rsidRPr="00282AC9">
        <w:rPr>
          <w:sz w:val="27"/>
          <w:rtl/>
        </w:rPr>
        <w:t xml:space="preserve"> </w:t>
      </w:r>
      <w:r w:rsidRPr="00282AC9">
        <w:rPr>
          <w:rFonts w:hint="cs"/>
          <w:sz w:val="27"/>
          <w:rtl/>
        </w:rPr>
        <w:t>السورة</w:t>
      </w:r>
      <w:r w:rsidRPr="00282AC9">
        <w:rPr>
          <w:sz w:val="27"/>
          <w:rtl/>
        </w:rPr>
        <w:t xml:space="preserve"> </w:t>
      </w:r>
      <w:r w:rsidRPr="00282AC9">
        <w:rPr>
          <w:rFonts w:hint="cs"/>
          <w:sz w:val="27"/>
          <w:rtl/>
        </w:rPr>
        <w:t>ـ</w:t>
      </w:r>
      <w:r w:rsidR="00CE4742" w:rsidRPr="00282AC9">
        <w:rPr>
          <w:rFonts w:hint="cs"/>
          <w:sz w:val="27"/>
          <w:rtl/>
        </w:rPr>
        <w:t xml:space="preserve"> </w:t>
      </w:r>
      <w:r w:rsidRPr="00282AC9">
        <w:rPr>
          <w:rFonts w:hint="cs"/>
          <w:sz w:val="27"/>
          <w:rtl/>
        </w:rPr>
        <w:t>حتى</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دون</w:t>
      </w:r>
      <w:r w:rsidRPr="00282AC9">
        <w:rPr>
          <w:sz w:val="27"/>
          <w:rtl/>
        </w:rPr>
        <w:t xml:space="preserve"> </w:t>
      </w:r>
      <w:r w:rsidRPr="00282AC9">
        <w:rPr>
          <w:rFonts w:hint="cs"/>
          <w:sz w:val="27"/>
          <w:rtl/>
        </w:rPr>
        <w:t>الرجوع</w:t>
      </w:r>
      <w:r w:rsidRPr="00282AC9">
        <w:rPr>
          <w:sz w:val="27"/>
          <w:rtl/>
        </w:rPr>
        <w:t xml:space="preserve"> </w:t>
      </w:r>
      <w:r w:rsidRPr="00282AC9">
        <w:rPr>
          <w:rFonts w:hint="cs"/>
          <w:sz w:val="27"/>
          <w:rtl/>
        </w:rPr>
        <w:t>إلى</w:t>
      </w:r>
      <w:r w:rsidRPr="00282AC9">
        <w:rPr>
          <w:sz w:val="27"/>
          <w:rtl/>
        </w:rPr>
        <w:t xml:space="preserve"> </w:t>
      </w:r>
      <w:r w:rsidRPr="00282AC9">
        <w:rPr>
          <w:rFonts w:hint="cs"/>
          <w:sz w:val="27"/>
          <w:rtl/>
        </w:rPr>
        <w:t>الأحاديث</w:t>
      </w:r>
      <w:r w:rsidR="00CE4742" w:rsidRPr="00282AC9">
        <w:rPr>
          <w:rFonts w:hint="cs"/>
          <w:sz w:val="27"/>
          <w:rtl/>
        </w:rPr>
        <w:t xml:space="preserve"> </w:t>
      </w:r>
      <w:r w:rsidRPr="00282AC9">
        <w:rPr>
          <w:rFonts w:hint="cs"/>
          <w:sz w:val="27"/>
          <w:rtl/>
        </w:rPr>
        <w:t>ـ نجد</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السورة</w:t>
      </w:r>
      <w:r w:rsidRPr="00282AC9">
        <w:rPr>
          <w:sz w:val="27"/>
          <w:rtl/>
        </w:rPr>
        <w:t xml:space="preserve"> </w:t>
      </w:r>
      <w:r w:rsidRPr="00282AC9">
        <w:rPr>
          <w:rFonts w:hint="cs"/>
          <w:sz w:val="27"/>
          <w:rtl/>
        </w:rPr>
        <w:t>ليس</w:t>
      </w:r>
      <w:r w:rsidRPr="00282AC9">
        <w:rPr>
          <w:sz w:val="27"/>
          <w:rtl/>
        </w:rPr>
        <w:t xml:space="preserve"> </w:t>
      </w:r>
      <w:r w:rsidRPr="00282AC9">
        <w:rPr>
          <w:rFonts w:hint="cs"/>
          <w:sz w:val="27"/>
          <w:rtl/>
        </w:rPr>
        <w:t>لها</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تطبيقٍ</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أرض</w:t>
      </w:r>
      <w:r w:rsidRPr="00282AC9">
        <w:rPr>
          <w:sz w:val="27"/>
          <w:rtl/>
        </w:rPr>
        <w:t xml:space="preserve"> </w:t>
      </w:r>
      <w:r w:rsidRPr="00282AC9">
        <w:rPr>
          <w:rFonts w:hint="cs"/>
          <w:sz w:val="27"/>
          <w:rtl/>
        </w:rPr>
        <w:t>الواقع</w:t>
      </w:r>
      <w:r w:rsidR="00CE4742" w:rsidRPr="00282AC9">
        <w:rPr>
          <w:rFonts w:hint="cs"/>
          <w:sz w:val="27"/>
          <w:rtl/>
        </w:rPr>
        <w:t>،</w:t>
      </w:r>
      <w:r w:rsidRPr="00282AC9">
        <w:rPr>
          <w:sz w:val="27"/>
          <w:rtl/>
        </w:rPr>
        <w:t xml:space="preserve"> </w:t>
      </w:r>
      <w:r w:rsidRPr="00282AC9">
        <w:rPr>
          <w:rFonts w:hint="cs"/>
          <w:sz w:val="27"/>
          <w:rtl/>
        </w:rPr>
        <w:t>لا</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زمان</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hint="cs"/>
          <w:sz w:val="22"/>
          <w:szCs w:val="22"/>
          <w:rtl/>
        </w:rPr>
        <w:t>|</w:t>
      </w:r>
      <w:r w:rsidR="00CE4742" w:rsidRPr="00282AC9">
        <w:rPr>
          <w:rFonts w:hint="cs"/>
          <w:sz w:val="27"/>
          <w:rtl/>
        </w:rPr>
        <w:t>،</w:t>
      </w:r>
      <w:r w:rsidRPr="00282AC9">
        <w:rPr>
          <w:sz w:val="27"/>
          <w:rtl/>
        </w:rPr>
        <w:t xml:space="preserve"> </w:t>
      </w:r>
      <w:r w:rsidRPr="00282AC9">
        <w:rPr>
          <w:rFonts w:hint="cs"/>
          <w:sz w:val="27"/>
          <w:rtl/>
        </w:rPr>
        <w:t>ولا</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الزمن</w:t>
      </w:r>
      <w:r w:rsidRPr="00282AC9">
        <w:rPr>
          <w:sz w:val="27"/>
          <w:rtl/>
        </w:rPr>
        <w:t xml:space="preserve"> </w:t>
      </w:r>
      <w:r w:rsidRPr="00282AC9">
        <w:rPr>
          <w:rFonts w:hint="cs"/>
          <w:sz w:val="27"/>
          <w:rtl/>
        </w:rPr>
        <w:t>الذي</w:t>
      </w:r>
      <w:r w:rsidRPr="00282AC9">
        <w:rPr>
          <w:sz w:val="27"/>
          <w:rtl/>
        </w:rPr>
        <w:t xml:space="preserve"> </w:t>
      </w:r>
      <w:r w:rsidRPr="00282AC9">
        <w:rPr>
          <w:rFonts w:hint="cs"/>
          <w:sz w:val="27"/>
          <w:rtl/>
        </w:rPr>
        <w:t>جاء</w:t>
      </w:r>
      <w:r w:rsidRPr="00282AC9">
        <w:rPr>
          <w:sz w:val="27"/>
          <w:rtl/>
        </w:rPr>
        <w:t xml:space="preserve"> </w:t>
      </w:r>
      <w:r w:rsidRPr="00282AC9">
        <w:rPr>
          <w:rFonts w:hint="cs"/>
          <w:sz w:val="27"/>
          <w:rtl/>
        </w:rPr>
        <w:t>بعد</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sz w:val="22"/>
          <w:szCs w:val="22"/>
          <w:rtl/>
        </w:rPr>
        <w:t>|</w:t>
      </w:r>
      <w:r w:rsidR="00CE4742" w:rsidRPr="00282AC9">
        <w:rPr>
          <w:rFonts w:hint="cs"/>
          <w:sz w:val="27"/>
          <w:rtl/>
        </w:rPr>
        <w:t>،</w:t>
      </w:r>
      <w:r w:rsidRPr="00282AC9">
        <w:rPr>
          <w:rFonts w:hint="cs"/>
          <w:sz w:val="27"/>
          <w:rtl/>
        </w:rPr>
        <w:t xml:space="preserve"> </w:t>
      </w:r>
      <w:r w:rsidR="00CE4742" w:rsidRPr="00282AC9">
        <w:rPr>
          <w:rFonts w:hint="cs"/>
          <w:sz w:val="27"/>
          <w:rtl/>
        </w:rPr>
        <w:t>و</w:t>
      </w:r>
      <w:r w:rsidRPr="00282AC9">
        <w:rPr>
          <w:rFonts w:hint="cs"/>
          <w:sz w:val="27"/>
          <w:rtl/>
        </w:rPr>
        <w:t>إلى</w:t>
      </w:r>
      <w:r w:rsidRPr="00282AC9">
        <w:rPr>
          <w:sz w:val="27"/>
          <w:rtl/>
        </w:rPr>
        <w:t xml:space="preserve"> </w:t>
      </w:r>
      <w:r w:rsidRPr="00282AC9">
        <w:rPr>
          <w:rFonts w:hint="cs"/>
          <w:sz w:val="27"/>
          <w:rtl/>
        </w:rPr>
        <w:t>يومنا</w:t>
      </w:r>
      <w:r w:rsidRPr="00282AC9">
        <w:rPr>
          <w:sz w:val="27"/>
          <w:rtl/>
        </w:rPr>
        <w:t xml:space="preserve"> </w:t>
      </w:r>
      <w:r w:rsidRPr="00282AC9">
        <w:rPr>
          <w:rFonts w:hint="cs"/>
          <w:sz w:val="27"/>
          <w:rtl/>
        </w:rPr>
        <w:t>هذا</w:t>
      </w:r>
      <w:r w:rsidRPr="00282AC9">
        <w:rPr>
          <w:sz w:val="27"/>
          <w:rtl/>
        </w:rPr>
        <w:t xml:space="preserve">. </w:t>
      </w:r>
      <w:r w:rsidRPr="00282AC9">
        <w:rPr>
          <w:rFonts w:hint="cs"/>
          <w:sz w:val="27"/>
          <w:rtl/>
        </w:rPr>
        <w:t>وليس</w:t>
      </w:r>
      <w:r w:rsidRPr="00282AC9">
        <w:rPr>
          <w:sz w:val="27"/>
          <w:rtl/>
        </w:rPr>
        <w:t xml:space="preserve"> </w:t>
      </w:r>
      <w:r w:rsidRPr="00282AC9">
        <w:rPr>
          <w:rFonts w:hint="cs"/>
          <w:sz w:val="27"/>
          <w:rtl/>
        </w:rPr>
        <w:t>بالإمكان</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يتحق</w:t>
      </w:r>
      <w:r w:rsidR="00CE4742" w:rsidRPr="00282AC9">
        <w:rPr>
          <w:rFonts w:hint="cs"/>
          <w:sz w:val="27"/>
          <w:rtl/>
        </w:rPr>
        <w:t>َّ</w:t>
      </w:r>
      <w:r w:rsidRPr="00282AC9">
        <w:rPr>
          <w:rFonts w:hint="cs"/>
          <w:sz w:val="27"/>
          <w:rtl/>
        </w:rPr>
        <w:t>ق</w:t>
      </w:r>
      <w:r w:rsidRPr="00282AC9">
        <w:rPr>
          <w:sz w:val="27"/>
          <w:rtl/>
        </w:rPr>
        <w:t xml:space="preserve"> </w:t>
      </w:r>
      <w:r w:rsidRPr="00282AC9">
        <w:rPr>
          <w:rFonts w:hint="cs"/>
          <w:sz w:val="27"/>
          <w:rtl/>
        </w:rPr>
        <w:t>هذا</w:t>
      </w:r>
      <w:r w:rsidR="00CE4742" w:rsidRPr="00282AC9">
        <w:rPr>
          <w:rFonts w:hint="cs"/>
          <w:sz w:val="27"/>
          <w:rtl/>
        </w:rPr>
        <w:t>،</w:t>
      </w:r>
      <w:r w:rsidRPr="00282AC9">
        <w:rPr>
          <w:sz w:val="27"/>
          <w:rtl/>
        </w:rPr>
        <w:t xml:space="preserve"> </w:t>
      </w:r>
      <w:r w:rsidRPr="00282AC9">
        <w:rPr>
          <w:rFonts w:hint="cs"/>
          <w:sz w:val="27"/>
          <w:rtl/>
        </w:rPr>
        <w:t>بح</w:t>
      </w:r>
      <w:r w:rsidR="00CE4742" w:rsidRPr="00282AC9">
        <w:rPr>
          <w:rFonts w:hint="cs"/>
          <w:sz w:val="27"/>
          <w:rtl/>
        </w:rPr>
        <w:t>َ</w:t>
      </w:r>
      <w:r w:rsidRPr="00282AC9">
        <w:rPr>
          <w:rFonts w:hint="cs"/>
          <w:sz w:val="27"/>
          <w:rtl/>
        </w:rPr>
        <w:t>س</w:t>
      </w:r>
      <w:r w:rsidR="00CE4742" w:rsidRPr="00282AC9">
        <w:rPr>
          <w:rFonts w:hint="cs"/>
          <w:sz w:val="27"/>
          <w:rtl/>
        </w:rPr>
        <w:t>َ</w:t>
      </w:r>
      <w:r w:rsidRPr="00282AC9">
        <w:rPr>
          <w:rFonts w:hint="cs"/>
          <w:sz w:val="27"/>
          <w:rtl/>
        </w:rPr>
        <w:t>ب</w:t>
      </w:r>
      <w:r w:rsidRPr="00282AC9">
        <w:rPr>
          <w:sz w:val="27"/>
          <w:rtl/>
        </w:rPr>
        <w:t xml:space="preserve"> </w:t>
      </w:r>
      <w:r w:rsidRPr="00282AC9">
        <w:rPr>
          <w:rFonts w:hint="cs"/>
          <w:sz w:val="27"/>
          <w:rtl/>
        </w:rPr>
        <w:t>المعطيات</w:t>
      </w:r>
      <w:r w:rsidRPr="00282AC9">
        <w:rPr>
          <w:sz w:val="27"/>
          <w:rtl/>
        </w:rPr>
        <w:t xml:space="preserve"> </w:t>
      </w:r>
      <w:r w:rsidRPr="00282AC9">
        <w:rPr>
          <w:rFonts w:hint="cs"/>
          <w:sz w:val="27"/>
          <w:rtl/>
        </w:rPr>
        <w:t>الموجودة</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الأرض</w:t>
      </w:r>
      <w:r w:rsidR="00CE4742" w:rsidRPr="00282AC9">
        <w:rPr>
          <w:rFonts w:hint="cs"/>
          <w:sz w:val="27"/>
          <w:rtl/>
        </w:rPr>
        <w:t>،</w:t>
      </w:r>
      <w:r w:rsidRPr="00282AC9">
        <w:rPr>
          <w:sz w:val="27"/>
          <w:rtl/>
        </w:rPr>
        <w:t xml:space="preserve"> </w:t>
      </w:r>
      <w:r w:rsidRPr="00282AC9">
        <w:rPr>
          <w:rFonts w:hint="cs"/>
          <w:sz w:val="27"/>
          <w:rtl/>
        </w:rPr>
        <w:t>إ</w:t>
      </w:r>
      <w:r w:rsidR="00EE6DBA" w:rsidRPr="00282AC9">
        <w:rPr>
          <w:rFonts w:hint="cs"/>
          <w:sz w:val="27"/>
          <w:rtl/>
        </w:rPr>
        <w:t>لا</w:t>
      </w:r>
      <w:r w:rsidR="00CE4742" w:rsidRPr="00282AC9">
        <w:rPr>
          <w:rFonts w:hint="cs"/>
          <w:sz w:val="27"/>
          <w:rtl/>
        </w:rPr>
        <w:t>ّ</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عصر</w:t>
      </w:r>
      <w:r w:rsidRPr="00282AC9">
        <w:rPr>
          <w:sz w:val="27"/>
          <w:rtl/>
        </w:rPr>
        <w:t xml:space="preserve"> </w:t>
      </w:r>
      <w:r w:rsidRPr="00282AC9">
        <w:rPr>
          <w:rFonts w:hint="cs"/>
          <w:sz w:val="27"/>
          <w:rtl/>
        </w:rPr>
        <w:t>ظهور</w:t>
      </w:r>
      <w:r w:rsidRPr="00282AC9">
        <w:rPr>
          <w:sz w:val="27"/>
          <w:rtl/>
        </w:rPr>
        <w:t xml:space="preserve"> </w:t>
      </w:r>
      <w:r w:rsidRPr="00282AC9">
        <w:rPr>
          <w:rFonts w:hint="cs"/>
          <w:sz w:val="27"/>
          <w:rtl/>
        </w:rPr>
        <w:t>الإمام</w:t>
      </w:r>
      <w:r w:rsidRPr="00282AC9">
        <w:rPr>
          <w:sz w:val="27"/>
          <w:rtl/>
        </w:rPr>
        <w:t xml:space="preserve"> </w:t>
      </w:r>
      <w:r w:rsidRPr="00282AC9">
        <w:rPr>
          <w:rFonts w:hint="cs"/>
          <w:sz w:val="27"/>
          <w:rtl/>
        </w:rPr>
        <w:t>المهدي</w:t>
      </w:r>
      <w:r w:rsidR="00CE4742" w:rsidRPr="00282AC9">
        <w:rPr>
          <w:rFonts w:hint="cs"/>
          <w:sz w:val="27"/>
          <w:rtl/>
        </w:rPr>
        <w:t>ّ</w:t>
      </w:r>
      <w:r w:rsidR="001100B1" w:rsidRPr="00282AC9">
        <w:rPr>
          <w:rFonts w:ascii="Mosawi" w:hAnsi="Mosawi" w:cs="Mosawi" w:hint="cs"/>
          <w:sz w:val="22"/>
          <w:szCs w:val="22"/>
          <w:rtl/>
        </w:rPr>
        <w:t>#</w:t>
      </w:r>
      <w:r w:rsidRPr="00282AC9">
        <w:rPr>
          <w:sz w:val="27"/>
          <w:rtl/>
        </w:rPr>
        <w:t xml:space="preserve"> </w:t>
      </w:r>
      <w:r w:rsidRPr="00282AC9">
        <w:rPr>
          <w:rFonts w:hint="cs"/>
          <w:sz w:val="27"/>
          <w:rtl/>
        </w:rPr>
        <w:t>وما</w:t>
      </w:r>
      <w:r w:rsidRPr="00282AC9">
        <w:rPr>
          <w:sz w:val="27"/>
          <w:rtl/>
        </w:rPr>
        <w:t xml:space="preserve"> </w:t>
      </w:r>
      <w:r w:rsidRPr="00282AC9">
        <w:rPr>
          <w:rFonts w:hint="cs"/>
          <w:sz w:val="27"/>
          <w:rtl/>
        </w:rPr>
        <w:t>بعده</w:t>
      </w:r>
      <w:r w:rsidRPr="00282AC9">
        <w:rPr>
          <w:sz w:val="27"/>
          <w:rtl/>
        </w:rPr>
        <w:t>.</w:t>
      </w:r>
    </w:p>
    <w:p w:rsidR="00965E08" w:rsidRPr="00282AC9" w:rsidRDefault="00965E08" w:rsidP="003062B7">
      <w:pPr>
        <w:rPr>
          <w:sz w:val="27"/>
          <w:rtl/>
        </w:rPr>
      </w:pPr>
      <w:r w:rsidRPr="00282AC9">
        <w:rPr>
          <w:rFonts w:hint="cs"/>
          <w:sz w:val="27"/>
          <w:rtl/>
        </w:rPr>
        <w:t>فسورة</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ترتبط</w:t>
      </w:r>
      <w:r w:rsidRPr="00282AC9">
        <w:rPr>
          <w:sz w:val="27"/>
          <w:rtl/>
        </w:rPr>
        <w:t xml:space="preserve"> </w:t>
      </w:r>
      <w:r w:rsidRPr="00282AC9">
        <w:rPr>
          <w:rFonts w:hint="cs"/>
          <w:sz w:val="27"/>
          <w:rtl/>
        </w:rPr>
        <w:t>بعصر</w:t>
      </w:r>
      <w:r w:rsidRPr="00282AC9">
        <w:rPr>
          <w:sz w:val="27"/>
          <w:rtl/>
        </w:rPr>
        <w:t xml:space="preserve"> </w:t>
      </w:r>
      <w:r w:rsidRPr="00282AC9">
        <w:rPr>
          <w:rFonts w:hint="cs"/>
          <w:sz w:val="27"/>
          <w:rtl/>
        </w:rPr>
        <w:t>ظهور ال</w:t>
      </w:r>
      <w:r w:rsidR="00CE4742" w:rsidRPr="00282AC9">
        <w:rPr>
          <w:rFonts w:hint="cs"/>
          <w:sz w:val="27"/>
          <w:rtl/>
        </w:rPr>
        <w:t>إ</w:t>
      </w:r>
      <w:r w:rsidRPr="00282AC9">
        <w:rPr>
          <w:rFonts w:hint="cs"/>
          <w:sz w:val="27"/>
          <w:rtl/>
        </w:rPr>
        <w:t>مام المهدي</w:t>
      </w:r>
      <w:r w:rsidR="00CE4742" w:rsidRPr="00282AC9">
        <w:rPr>
          <w:rFonts w:hint="cs"/>
          <w:sz w:val="27"/>
          <w:rtl/>
        </w:rPr>
        <w:t>ّ</w:t>
      </w:r>
      <w:r w:rsidR="001100B1" w:rsidRPr="00282AC9">
        <w:rPr>
          <w:rFonts w:ascii="Mosawi" w:hAnsi="Mosawi" w:cs="Mosawi" w:hint="cs"/>
          <w:sz w:val="22"/>
          <w:szCs w:val="22"/>
          <w:rtl/>
        </w:rPr>
        <w:t>#</w:t>
      </w:r>
      <w:r w:rsidR="00CE4742" w:rsidRPr="00282AC9">
        <w:rPr>
          <w:rFonts w:hint="cs"/>
          <w:sz w:val="27"/>
          <w:rtl/>
        </w:rPr>
        <w:t>؛</w:t>
      </w:r>
      <w:r w:rsidRPr="00282AC9">
        <w:rPr>
          <w:sz w:val="27"/>
          <w:rtl/>
        </w:rPr>
        <w:t xml:space="preserve"> </w:t>
      </w:r>
      <w:r w:rsidRPr="00282AC9">
        <w:rPr>
          <w:rFonts w:hint="cs"/>
          <w:sz w:val="27"/>
          <w:rtl/>
        </w:rPr>
        <w:t>فهناك سيكون</w:t>
      </w:r>
      <w:r w:rsidRPr="00282AC9">
        <w:rPr>
          <w:sz w:val="27"/>
          <w:rtl/>
        </w:rPr>
        <w:t xml:space="preserve"> </w:t>
      </w:r>
      <w:r w:rsidRPr="00282AC9">
        <w:rPr>
          <w:rFonts w:hint="cs"/>
          <w:sz w:val="27"/>
          <w:rtl/>
        </w:rPr>
        <w:t>الفتح</w:t>
      </w:r>
      <w:r w:rsidRPr="00282AC9">
        <w:rPr>
          <w:sz w:val="27"/>
          <w:rtl/>
        </w:rPr>
        <w:t xml:space="preserve"> </w:t>
      </w:r>
      <w:r w:rsidRPr="00282AC9">
        <w:rPr>
          <w:rFonts w:hint="cs"/>
          <w:sz w:val="27"/>
          <w:rtl/>
        </w:rPr>
        <w:t>الأعظم</w:t>
      </w:r>
      <w:r w:rsidR="00CE4742" w:rsidRPr="00282AC9">
        <w:rPr>
          <w:rFonts w:hint="cs"/>
          <w:sz w:val="27"/>
          <w:rtl/>
        </w:rPr>
        <w:t>،</w:t>
      </w:r>
      <w:r w:rsidRPr="00282AC9">
        <w:rPr>
          <w:sz w:val="27"/>
          <w:rtl/>
        </w:rPr>
        <w:t xml:space="preserve"> </w:t>
      </w:r>
      <w:r w:rsidRPr="00282AC9">
        <w:rPr>
          <w:rFonts w:hint="cs"/>
          <w:sz w:val="27"/>
          <w:rtl/>
        </w:rPr>
        <w:t>سيكون</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الرجعة،</w:t>
      </w:r>
      <w:r w:rsidRPr="00282AC9">
        <w:rPr>
          <w:sz w:val="27"/>
          <w:rtl/>
        </w:rPr>
        <w:t xml:space="preserve"> </w:t>
      </w:r>
      <w:r w:rsidRPr="00282AC9">
        <w:rPr>
          <w:rFonts w:hint="cs"/>
          <w:sz w:val="27"/>
          <w:rtl/>
        </w:rPr>
        <w:t>ولذا</w:t>
      </w:r>
      <w:r w:rsidRPr="00282AC9">
        <w:rPr>
          <w:sz w:val="27"/>
          <w:rtl/>
        </w:rPr>
        <w:t xml:space="preserve"> </w:t>
      </w:r>
      <w:r w:rsidRPr="00282AC9">
        <w:rPr>
          <w:rFonts w:hint="cs"/>
          <w:sz w:val="27"/>
          <w:rtl/>
        </w:rPr>
        <w:t>سيكون</w:t>
      </w:r>
      <w:r w:rsidRPr="00282AC9">
        <w:rPr>
          <w:sz w:val="27"/>
          <w:rtl/>
        </w:rPr>
        <w:t xml:space="preserve"> </w:t>
      </w:r>
      <w:r w:rsidRPr="00282AC9">
        <w:rPr>
          <w:rFonts w:hint="cs"/>
          <w:sz w:val="27"/>
          <w:rtl/>
        </w:rPr>
        <w:t>لقب ال</w:t>
      </w:r>
      <w:r w:rsidR="00CE4742" w:rsidRPr="00282AC9">
        <w:rPr>
          <w:rFonts w:hint="cs"/>
          <w:sz w:val="27"/>
          <w:rtl/>
        </w:rPr>
        <w:t>إ</w:t>
      </w:r>
      <w:r w:rsidRPr="00282AC9">
        <w:rPr>
          <w:rFonts w:hint="cs"/>
          <w:sz w:val="27"/>
          <w:rtl/>
        </w:rPr>
        <w:t>مام الحسين</w:t>
      </w:r>
      <w:r w:rsidR="009A2A04" w:rsidRPr="00282AC9">
        <w:rPr>
          <w:rFonts w:cs="Mosawi" w:hint="cs"/>
          <w:sz w:val="22"/>
          <w:szCs w:val="22"/>
          <w:rtl/>
        </w:rPr>
        <w:t>×</w:t>
      </w:r>
      <w:r w:rsidRPr="00282AC9">
        <w:rPr>
          <w:rFonts w:hint="cs"/>
          <w:sz w:val="27"/>
          <w:rtl/>
        </w:rPr>
        <w:t xml:space="preserve"> </w:t>
      </w:r>
      <w:r w:rsidRPr="00282AC9">
        <w:rPr>
          <w:rFonts w:hint="eastAsia"/>
          <w:sz w:val="24"/>
          <w:szCs w:val="24"/>
          <w:rtl/>
        </w:rPr>
        <w:t>«</w:t>
      </w:r>
      <w:r w:rsidRPr="00282AC9">
        <w:rPr>
          <w:rFonts w:hint="cs"/>
          <w:sz w:val="27"/>
          <w:rtl/>
        </w:rPr>
        <w:t>المنتصر</w:t>
      </w:r>
      <w:r w:rsidRPr="00282AC9">
        <w:rPr>
          <w:rFonts w:hint="eastAsia"/>
          <w:sz w:val="24"/>
          <w:szCs w:val="24"/>
          <w:rtl/>
        </w:rPr>
        <w:t>»</w:t>
      </w:r>
      <w:r w:rsidR="00CE4742" w:rsidRPr="00282AC9">
        <w:rPr>
          <w:rFonts w:hint="cs"/>
          <w:sz w:val="27"/>
          <w:rtl/>
        </w:rPr>
        <w:t>،</w:t>
      </w:r>
      <w:r w:rsidRPr="00282AC9">
        <w:rPr>
          <w:rFonts w:hint="cs"/>
          <w:sz w:val="27"/>
          <w:rtl/>
        </w:rPr>
        <w:t xml:space="preserve"> وهو ما تشير </w:t>
      </w:r>
      <w:r w:rsidR="00CE4742" w:rsidRPr="00282AC9">
        <w:rPr>
          <w:rFonts w:hint="cs"/>
          <w:sz w:val="27"/>
          <w:rtl/>
        </w:rPr>
        <w:t>إ</w:t>
      </w:r>
      <w:r w:rsidRPr="00282AC9">
        <w:rPr>
          <w:rFonts w:hint="cs"/>
          <w:sz w:val="27"/>
          <w:rtl/>
        </w:rPr>
        <w:t>ليه رواية</w:t>
      </w:r>
      <w:r w:rsidRPr="00282AC9">
        <w:rPr>
          <w:sz w:val="27"/>
          <w:rtl/>
        </w:rPr>
        <w:t xml:space="preserve"> </w:t>
      </w:r>
      <w:r w:rsidRPr="00282AC9">
        <w:rPr>
          <w:rFonts w:hint="cs"/>
          <w:sz w:val="27"/>
          <w:rtl/>
        </w:rPr>
        <w:t>جابر</w:t>
      </w:r>
      <w:r w:rsidRPr="00282AC9">
        <w:rPr>
          <w:sz w:val="27"/>
          <w:rtl/>
        </w:rPr>
        <w:t xml:space="preserve"> </w:t>
      </w:r>
      <w:r w:rsidRPr="00282AC9">
        <w:rPr>
          <w:rFonts w:hint="cs"/>
          <w:sz w:val="27"/>
          <w:rtl/>
        </w:rPr>
        <w:t>الجعفي</w:t>
      </w:r>
      <w:r w:rsidRPr="00282AC9">
        <w:rPr>
          <w:sz w:val="27"/>
          <w:rtl/>
        </w:rPr>
        <w:t xml:space="preserve"> </w:t>
      </w:r>
      <w:r w:rsidRPr="00282AC9">
        <w:rPr>
          <w:rFonts w:hint="cs"/>
          <w:sz w:val="27"/>
          <w:rtl/>
        </w:rPr>
        <w:t>قال</w:t>
      </w:r>
      <w:r w:rsidR="00CE4742" w:rsidRPr="00282AC9">
        <w:rPr>
          <w:rFonts w:hint="cs"/>
          <w:sz w:val="27"/>
          <w:rtl/>
        </w:rPr>
        <w:t>:</w:t>
      </w:r>
      <w:r w:rsidRPr="00282AC9">
        <w:rPr>
          <w:sz w:val="27"/>
          <w:rtl/>
        </w:rPr>
        <w:t xml:space="preserve"> </w:t>
      </w:r>
      <w:r w:rsidRPr="00282AC9">
        <w:rPr>
          <w:rFonts w:hint="cs"/>
          <w:sz w:val="27"/>
          <w:rtl/>
        </w:rPr>
        <w:t>سمعت</w:t>
      </w:r>
      <w:r w:rsidR="00CE4742" w:rsidRPr="00282AC9">
        <w:rPr>
          <w:rFonts w:hint="cs"/>
          <w:sz w:val="27"/>
          <w:rtl/>
        </w:rPr>
        <w:t>ُ</w:t>
      </w:r>
      <w:r w:rsidRPr="00282AC9">
        <w:rPr>
          <w:sz w:val="27"/>
          <w:rtl/>
        </w:rPr>
        <w:t xml:space="preserve"> </w:t>
      </w:r>
      <w:r w:rsidRPr="00282AC9">
        <w:rPr>
          <w:rFonts w:hint="cs"/>
          <w:sz w:val="27"/>
          <w:rtl/>
        </w:rPr>
        <w:t>أبا</w:t>
      </w:r>
      <w:r w:rsidRPr="00282AC9">
        <w:rPr>
          <w:sz w:val="27"/>
          <w:rtl/>
        </w:rPr>
        <w:t xml:space="preserve"> </w:t>
      </w:r>
      <w:r w:rsidRPr="00282AC9">
        <w:rPr>
          <w:rFonts w:hint="cs"/>
          <w:sz w:val="27"/>
          <w:rtl/>
        </w:rPr>
        <w:t>جعفر</w:t>
      </w:r>
      <w:r w:rsidR="009A2A04" w:rsidRPr="00282AC9">
        <w:rPr>
          <w:rFonts w:cs="Mosawi"/>
          <w:sz w:val="22"/>
          <w:szCs w:val="22"/>
          <w:rtl/>
        </w:rPr>
        <w:t>×</w:t>
      </w:r>
      <w:r w:rsidRPr="00282AC9">
        <w:rPr>
          <w:sz w:val="27"/>
          <w:rtl/>
        </w:rPr>
        <w:t xml:space="preserve"> </w:t>
      </w:r>
      <w:r w:rsidRPr="00282AC9">
        <w:rPr>
          <w:rFonts w:hint="cs"/>
          <w:sz w:val="27"/>
          <w:rtl/>
        </w:rPr>
        <w:t xml:space="preserve">يقول: </w:t>
      </w:r>
      <w:r w:rsidRPr="00282AC9">
        <w:rPr>
          <w:rFonts w:hint="eastAsia"/>
          <w:sz w:val="24"/>
          <w:szCs w:val="24"/>
          <w:rtl/>
        </w:rPr>
        <w:t>«</w:t>
      </w:r>
      <w:r w:rsidRPr="00282AC9">
        <w:rPr>
          <w:rFonts w:hint="cs"/>
          <w:sz w:val="27"/>
          <w:rtl/>
        </w:rPr>
        <w:t>والله</w:t>
      </w:r>
      <w:r w:rsidR="00CE4742" w:rsidRPr="00282AC9">
        <w:rPr>
          <w:rFonts w:hint="cs"/>
          <w:sz w:val="27"/>
          <w:rtl/>
        </w:rPr>
        <w:t>ِ،</w:t>
      </w:r>
      <w:r w:rsidRPr="00282AC9">
        <w:rPr>
          <w:sz w:val="27"/>
          <w:rtl/>
        </w:rPr>
        <w:t xml:space="preserve"> </w:t>
      </w:r>
      <w:r w:rsidRPr="00282AC9">
        <w:rPr>
          <w:rFonts w:hint="cs"/>
          <w:sz w:val="27"/>
          <w:rtl/>
        </w:rPr>
        <w:t>ليملك</w:t>
      </w:r>
      <w:r w:rsidR="00CE4742" w:rsidRPr="00282AC9">
        <w:rPr>
          <w:rFonts w:hint="cs"/>
          <w:sz w:val="27"/>
          <w:rtl/>
        </w:rPr>
        <w:t>َ</w:t>
      </w:r>
      <w:r w:rsidRPr="00282AC9">
        <w:rPr>
          <w:rFonts w:hint="cs"/>
          <w:sz w:val="27"/>
          <w:rtl/>
        </w:rPr>
        <w:t>ن</w:t>
      </w:r>
      <w:r w:rsidR="00CE4742" w:rsidRPr="00282AC9">
        <w:rPr>
          <w:rFonts w:hint="cs"/>
          <w:sz w:val="27"/>
          <w:rtl/>
        </w:rPr>
        <w:t>َّ</w:t>
      </w:r>
      <w:r w:rsidRPr="00282AC9">
        <w:rPr>
          <w:sz w:val="27"/>
          <w:rtl/>
        </w:rPr>
        <w:t xml:space="preserve"> </w:t>
      </w:r>
      <w:r w:rsidRPr="00282AC9">
        <w:rPr>
          <w:rFonts w:hint="cs"/>
          <w:sz w:val="27"/>
          <w:rtl/>
        </w:rPr>
        <w:t>أهل البيت</w:t>
      </w:r>
      <w:r w:rsidRPr="00282AC9">
        <w:rPr>
          <w:sz w:val="27"/>
          <w:rtl/>
        </w:rPr>
        <w:t xml:space="preserve"> </w:t>
      </w:r>
      <w:r w:rsidRPr="00282AC9">
        <w:rPr>
          <w:rFonts w:hint="cs"/>
          <w:sz w:val="27"/>
          <w:rtl/>
        </w:rPr>
        <w:t>رجل</w:t>
      </w:r>
      <w:r w:rsidR="00CE4742" w:rsidRPr="00282AC9">
        <w:rPr>
          <w:rFonts w:hint="cs"/>
          <w:sz w:val="27"/>
          <w:rtl/>
        </w:rPr>
        <w:t>ٌ</w:t>
      </w:r>
      <w:r w:rsidRPr="00282AC9">
        <w:rPr>
          <w:sz w:val="27"/>
          <w:rtl/>
        </w:rPr>
        <w:t xml:space="preserve"> </w:t>
      </w:r>
      <w:r w:rsidRPr="00282AC9">
        <w:rPr>
          <w:rFonts w:hint="cs"/>
          <w:sz w:val="27"/>
          <w:rtl/>
        </w:rPr>
        <w:t>بعد</w:t>
      </w:r>
      <w:r w:rsidRPr="00282AC9">
        <w:rPr>
          <w:sz w:val="27"/>
          <w:rtl/>
        </w:rPr>
        <w:t xml:space="preserve"> </w:t>
      </w:r>
      <w:r w:rsidRPr="00282AC9">
        <w:rPr>
          <w:rFonts w:hint="cs"/>
          <w:sz w:val="27"/>
          <w:rtl/>
        </w:rPr>
        <w:t>موته</w:t>
      </w:r>
      <w:r w:rsidRPr="00282AC9">
        <w:rPr>
          <w:sz w:val="27"/>
          <w:rtl/>
        </w:rPr>
        <w:t xml:space="preserve"> </w:t>
      </w:r>
      <w:r w:rsidRPr="00282AC9">
        <w:rPr>
          <w:rFonts w:hint="cs"/>
          <w:sz w:val="27"/>
          <w:rtl/>
        </w:rPr>
        <w:t>ثلاثمائة</w:t>
      </w:r>
      <w:r w:rsidRPr="00282AC9">
        <w:rPr>
          <w:sz w:val="27"/>
          <w:rtl/>
        </w:rPr>
        <w:t xml:space="preserve"> </w:t>
      </w:r>
      <w:r w:rsidRPr="00282AC9">
        <w:rPr>
          <w:rFonts w:hint="cs"/>
          <w:sz w:val="27"/>
          <w:rtl/>
        </w:rPr>
        <w:t>سنة</w:t>
      </w:r>
      <w:r w:rsidR="00CE4742" w:rsidRPr="00282AC9">
        <w:rPr>
          <w:rFonts w:hint="cs"/>
          <w:sz w:val="27"/>
          <w:rtl/>
        </w:rPr>
        <w:t>ٍ</w:t>
      </w:r>
      <w:r w:rsidRPr="00282AC9">
        <w:rPr>
          <w:sz w:val="27"/>
          <w:rtl/>
        </w:rPr>
        <w:t xml:space="preserve"> </w:t>
      </w:r>
      <w:r w:rsidRPr="00282AC9">
        <w:rPr>
          <w:rFonts w:hint="cs"/>
          <w:sz w:val="27"/>
          <w:rtl/>
        </w:rPr>
        <w:t>ويزداد</w:t>
      </w:r>
      <w:r w:rsidRPr="00282AC9">
        <w:rPr>
          <w:sz w:val="27"/>
          <w:rtl/>
        </w:rPr>
        <w:t xml:space="preserve"> </w:t>
      </w:r>
      <w:r w:rsidRPr="00282AC9">
        <w:rPr>
          <w:rFonts w:hint="cs"/>
          <w:sz w:val="27"/>
          <w:rtl/>
        </w:rPr>
        <w:t>تسعا</w:t>
      </w:r>
      <w:r w:rsidR="00CE4742" w:rsidRPr="00282AC9">
        <w:rPr>
          <w:rFonts w:hint="cs"/>
          <w:sz w:val="27"/>
          <w:rtl/>
        </w:rPr>
        <w:t>ً،</w:t>
      </w:r>
      <w:r w:rsidRPr="00282AC9">
        <w:rPr>
          <w:sz w:val="27"/>
          <w:rtl/>
        </w:rPr>
        <w:t xml:space="preserve"> </w:t>
      </w:r>
      <w:r w:rsidRPr="00282AC9">
        <w:rPr>
          <w:rFonts w:hint="cs"/>
          <w:sz w:val="27"/>
          <w:rtl/>
        </w:rPr>
        <w:t>قلت</w:t>
      </w:r>
      <w:r w:rsidR="00CE4742" w:rsidRPr="00282AC9">
        <w:rPr>
          <w:rFonts w:hint="cs"/>
          <w:sz w:val="27"/>
          <w:rtl/>
        </w:rPr>
        <w:t>ُ:</w:t>
      </w:r>
      <w:r w:rsidRPr="00282AC9">
        <w:rPr>
          <w:sz w:val="27"/>
          <w:rtl/>
        </w:rPr>
        <w:t xml:space="preserve"> </w:t>
      </w:r>
      <w:r w:rsidRPr="00282AC9">
        <w:rPr>
          <w:rFonts w:hint="cs"/>
          <w:sz w:val="27"/>
          <w:rtl/>
        </w:rPr>
        <w:t>متى</w:t>
      </w:r>
      <w:r w:rsidRPr="00282AC9">
        <w:rPr>
          <w:sz w:val="27"/>
          <w:rtl/>
        </w:rPr>
        <w:t xml:space="preserve"> </w:t>
      </w:r>
      <w:r w:rsidRPr="00282AC9">
        <w:rPr>
          <w:rFonts w:hint="cs"/>
          <w:sz w:val="27"/>
          <w:rtl/>
        </w:rPr>
        <w:t>يكون</w:t>
      </w:r>
      <w:r w:rsidRPr="00282AC9">
        <w:rPr>
          <w:sz w:val="27"/>
          <w:rtl/>
        </w:rPr>
        <w:t xml:space="preserve"> </w:t>
      </w:r>
      <w:r w:rsidRPr="00282AC9">
        <w:rPr>
          <w:rFonts w:hint="cs"/>
          <w:sz w:val="27"/>
          <w:rtl/>
        </w:rPr>
        <w:t>ذلك</w:t>
      </w:r>
      <w:r w:rsidR="00CE4742" w:rsidRPr="00282AC9">
        <w:rPr>
          <w:rFonts w:hint="cs"/>
          <w:sz w:val="27"/>
          <w:rtl/>
        </w:rPr>
        <w:t>؟</w:t>
      </w:r>
      <w:r w:rsidRPr="00282AC9">
        <w:rPr>
          <w:sz w:val="27"/>
          <w:rtl/>
        </w:rPr>
        <w:t xml:space="preserve"> </w:t>
      </w:r>
      <w:r w:rsidRPr="00282AC9">
        <w:rPr>
          <w:rFonts w:hint="cs"/>
          <w:sz w:val="27"/>
          <w:rtl/>
        </w:rPr>
        <w:t>قال</w:t>
      </w:r>
      <w:r w:rsidR="00CE4742" w:rsidRPr="00282AC9">
        <w:rPr>
          <w:rFonts w:hint="cs"/>
          <w:sz w:val="27"/>
          <w:rtl/>
        </w:rPr>
        <w:t>:</w:t>
      </w:r>
      <w:r w:rsidRPr="00282AC9">
        <w:rPr>
          <w:rFonts w:hint="cs"/>
          <w:sz w:val="27"/>
          <w:rtl/>
        </w:rPr>
        <w:t xml:space="preserve"> بعد</w:t>
      </w:r>
      <w:r w:rsidRPr="00282AC9">
        <w:rPr>
          <w:sz w:val="27"/>
          <w:rtl/>
        </w:rPr>
        <w:t xml:space="preserve"> </w:t>
      </w:r>
      <w:r w:rsidRPr="00282AC9">
        <w:rPr>
          <w:rFonts w:hint="cs"/>
          <w:sz w:val="27"/>
          <w:rtl/>
        </w:rPr>
        <w:t>القائم</w:t>
      </w:r>
      <w:r w:rsidR="009A2A04" w:rsidRPr="00282AC9">
        <w:rPr>
          <w:rFonts w:cs="Mosawi"/>
          <w:sz w:val="22"/>
          <w:szCs w:val="22"/>
          <w:rtl/>
        </w:rPr>
        <w:t>×</w:t>
      </w:r>
      <w:r w:rsidR="00CE4742" w:rsidRPr="00282AC9">
        <w:rPr>
          <w:rFonts w:hint="cs"/>
          <w:sz w:val="27"/>
          <w:rtl/>
        </w:rPr>
        <w:t>،</w:t>
      </w:r>
      <w:r w:rsidRPr="00282AC9">
        <w:rPr>
          <w:sz w:val="27"/>
          <w:rtl/>
        </w:rPr>
        <w:t xml:space="preserve"> </w:t>
      </w:r>
      <w:r w:rsidRPr="00282AC9">
        <w:rPr>
          <w:rFonts w:hint="cs"/>
          <w:sz w:val="27"/>
          <w:rtl/>
        </w:rPr>
        <w:t>قلت</w:t>
      </w:r>
      <w:r w:rsidR="00CE4742" w:rsidRPr="00282AC9">
        <w:rPr>
          <w:rFonts w:hint="cs"/>
          <w:sz w:val="27"/>
          <w:rtl/>
        </w:rPr>
        <w:t>ُ:</w:t>
      </w:r>
      <w:r w:rsidRPr="00282AC9">
        <w:rPr>
          <w:sz w:val="27"/>
          <w:rtl/>
        </w:rPr>
        <w:t xml:space="preserve"> </w:t>
      </w:r>
      <w:r w:rsidRPr="00282AC9">
        <w:rPr>
          <w:rFonts w:hint="cs"/>
          <w:sz w:val="27"/>
          <w:rtl/>
        </w:rPr>
        <w:t>وكم</w:t>
      </w:r>
      <w:r w:rsidRPr="00282AC9">
        <w:rPr>
          <w:sz w:val="27"/>
          <w:rtl/>
        </w:rPr>
        <w:t xml:space="preserve"> </w:t>
      </w:r>
      <w:r w:rsidRPr="00282AC9">
        <w:rPr>
          <w:rFonts w:hint="cs"/>
          <w:sz w:val="27"/>
          <w:rtl/>
        </w:rPr>
        <w:t>يقوم</w:t>
      </w:r>
      <w:r w:rsidRPr="00282AC9">
        <w:rPr>
          <w:sz w:val="27"/>
          <w:rtl/>
        </w:rPr>
        <w:t xml:space="preserve"> </w:t>
      </w:r>
      <w:r w:rsidRPr="00282AC9">
        <w:rPr>
          <w:rFonts w:hint="cs"/>
          <w:sz w:val="27"/>
          <w:rtl/>
        </w:rPr>
        <w:t>القائم</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عالمه</w:t>
      </w:r>
      <w:r w:rsidR="00CE4742" w:rsidRPr="00282AC9">
        <w:rPr>
          <w:rFonts w:hint="cs"/>
          <w:sz w:val="27"/>
          <w:rtl/>
        </w:rPr>
        <w:t>؟</w:t>
      </w:r>
      <w:r w:rsidRPr="00282AC9">
        <w:rPr>
          <w:sz w:val="27"/>
          <w:rtl/>
        </w:rPr>
        <w:t xml:space="preserve"> </w:t>
      </w:r>
      <w:r w:rsidRPr="00282AC9">
        <w:rPr>
          <w:rFonts w:hint="cs"/>
          <w:sz w:val="27"/>
          <w:rtl/>
        </w:rPr>
        <w:t>قال</w:t>
      </w:r>
      <w:r w:rsidR="00CE4742" w:rsidRPr="00282AC9">
        <w:rPr>
          <w:rFonts w:hint="cs"/>
          <w:sz w:val="27"/>
          <w:rtl/>
        </w:rPr>
        <w:t>:</w:t>
      </w:r>
      <w:r w:rsidRPr="00282AC9">
        <w:rPr>
          <w:sz w:val="27"/>
          <w:rtl/>
        </w:rPr>
        <w:t xml:space="preserve"> </w:t>
      </w:r>
      <w:r w:rsidRPr="00282AC9">
        <w:rPr>
          <w:rFonts w:hint="cs"/>
          <w:sz w:val="27"/>
          <w:rtl/>
        </w:rPr>
        <w:t>تسع</w:t>
      </w:r>
      <w:r w:rsidRPr="00282AC9">
        <w:rPr>
          <w:sz w:val="27"/>
          <w:rtl/>
        </w:rPr>
        <w:t xml:space="preserve"> </w:t>
      </w:r>
      <w:r w:rsidRPr="00282AC9">
        <w:rPr>
          <w:rFonts w:hint="cs"/>
          <w:sz w:val="27"/>
          <w:rtl/>
        </w:rPr>
        <w:t>عشرة</w:t>
      </w:r>
      <w:r w:rsidRPr="00282AC9">
        <w:rPr>
          <w:sz w:val="27"/>
          <w:rtl/>
        </w:rPr>
        <w:t xml:space="preserve"> </w:t>
      </w:r>
      <w:r w:rsidRPr="00282AC9">
        <w:rPr>
          <w:rFonts w:hint="cs"/>
          <w:sz w:val="27"/>
          <w:rtl/>
        </w:rPr>
        <w:t>سنة</w:t>
      </w:r>
      <w:r w:rsidR="00CE4742" w:rsidRPr="00282AC9">
        <w:rPr>
          <w:rFonts w:hint="cs"/>
          <w:sz w:val="27"/>
          <w:rtl/>
        </w:rPr>
        <w:t>،</w:t>
      </w:r>
      <w:r w:rsidRPr="00282AC9">
        <w:rPr>
          <w:sz w:val="27"/>
          <w:rtl/>
        </w:rPr>
        <w:t xml:space="preserve"> </w:t>
      </w:r>
      <w:r w:rsidRPr="00282AC9">
        <w:rPr>
          <w:rFonts w:hint="cs"/>
          <w:sz w:val="27"/>
          <w:rtl/>
        </w:rPr>
        <w:t>ثم يخرج</w:t>
      </w:r>
      <w:r w:rsidRPr="00282AC9">
        <w:rPr>
          <w:sz w:val="27"/>
          <w:rtl/>
        </w:rPr>
        <w:t xml:space="preserve"> </w:t>
      </w:r>
      <w:r w:rsidRPr="00282AC9">
        <w:rPr>
          <w:rFonts w:hint="cs"/>
          <w:sz w:val="27"/>
          <w:rtl/>
        </w:rPr>
        <w:t>المنتصر</w:t>
      </w:r>
      <w:r w:rsidRPr="00282AC9">
        <w:rPr>
          <w:sz w:val="27"/>
          <w:rtl/>
        </w:rPr>
        <w:t xml:space="preserve"> </w:t>
      </w:r>
      <w:r w:rsidRPr="00282AC9">
        <w:rPr>
          <w:rFonts w:hint="cs"/>
          <w:sz w:val="27"/>
          <w:rtl/>
        </w:rPr>
        <w:t>إلى</w:t>
      </w:r>
      <w:r w:rsidRPr="00282AC9">
        <w:rPr>
          <w:sz w:val="27"/>
          <w:rtl/>
        </w:rPr>
        <w:t xml:space="preserve"> </w:t>
      </w:r>
      <w:r w:rsidRPr="00282AC9">
        <w:rPr>
          <w:rFonts w:hint="cs"/>
          <w:sz w:val="27"/>
          <w:rtl/>
        </w:rPr>
        <w:t>الدنيا</w:t>
      </w:r>
      <w:r w:rsidR="00CE4742" w:rsidRPr="00282AC9">
        <w:rPr>
          <w:rFonts w:hint="cs"/>
          <w:sz w:val="27"/>
          <w:rtl/>
        </w:rPr>
        <w:t>،</w:t>
      </w:r>
      <w:r w:rsidRPr="00282AC9">
        <w:rPr>
          <w:sz w:val="27"/>
          <w:rtl/>
        </w:rPr>
        <w:t xml:space="preserve"> </w:t>
      </w:r>
      <w:r w:rsidRPr="00282AC9">
        <w:rPr>
          <w:rFonts w:hint="cs"/>
          <w:sz w:val="27"/>
          <w:rtl/>
        </w:rPr>
        <w:t>وهو</w:t>
      </w:r>
      <w:r w:rsidRPr="00282AC9">
        <w:rPr>
          <w:sz w:val="27"/>
          <w:rtl/>
        </w:rPr>
        <w:t xml:space="preserve"> </w:t>
      </w:r>
      <w:r w:rsidRPr="00282AC9">
        <w:rPr>
          <w:rFonts w:hint="cs"/>
          <w:sz w:val="27"/>
          <w:rtl/>
        </w:rPr>
        <w:t>الحسين</w:t>
      </w:r>
      <w:r w:rsidR="009A2A04" w:rsidRPr="00282AC9">
        <w:rPr>
          <w:rFonts w:cs="Mosawi"/>
          <w:sz w:val="22"/>
          <w:szCs w:val="22"/>
          <w:rtl/>
        </w:rPr>
        <w:t>×</w:t>
      </w:r>
      <w:r w:rsidR="00CE4742" w:rsidRPr="00282AC9">
        <w:rPr>
          <w:rFonts w:hint="cs"/>
          <w:sz w:val="27"/>
          <w:rtl/>
        </w:rPr>
        <w:t>،</w:t>
      </w:r>
      <w:r w:rsidRPr="00282AC9">
        <w:rPr>
          <w:sz w:val="27"/>
          <w:rtl/>
        </w:rPr>
        <w:t xml:space="preserve"> </w:t>
      </w:r>
      <w:r w:rsidRPr="00282AC9">
        <w:rPr>
          <w:rFonts w:hint="cs"/>
          <w:sz w:val="27"/>
          <w:rtl/>
        </w:rPr>
        <w:t>فيطلب</w:t>
      </w:r>
      <w:r w:rsidRPr="00282AC9">
        <w:rPr>
          <w:sz w:val="27"/>
          <w:rtl/>
        </w:rPr>
        <w:t xml:space="preserve"> </w:t>
      </w:r>
      <w:r w:rsidRPr="00282AC9">
        <w:rPr>
          <w:rFonts w:hint="cs"/>
          <w:sz w:val="27"/>
          <w:rtl/>
        </w:rPr>
        <w:t>بدمه</w:t>
      </w:r>
      <w:r w:rsidRPr="00282AC9">
        <w:rPr>
          <w:sz w:val="27"/>
          <w:rtl/>
        </w:rPr>
        <w:t xml:space="preserve"> </w:t>
      </w:r>
      <w:r w:rsidRPr="00282AC9">
        <w:rPr>
          <w:rFonts w:hint="cs"/>
          <w:sz w:val="27"/>
          <w:rtl/>
        </w:rPr>
        <w:t>ودم أصحابه</w:t>
      </w:r>
      <w:r w:rsidRPr="00282AC9">
        <w:rPr>
          <w:sz w:val="27"/>
          <w:rtl/>
        </w:rPr>
        <w:t>.</w:t>
      </w:r>
      <w:r w:rsidRPr="00282AC9">
        <w:rPr>
          <w:rFonts w:hint="cs"/>
          <w:sz w:val="27"/>
          <w:rtl/>
        </w:rPr>
        <w:t>..</w:t>
      </w:r>
      <w:r w:rsidR="00CE4742" w:rsidRPr="00282AC9">
        <w:rPr>
          <w:rFonts w:hint="cs"/>
          <w:sz w:val="27"/>
          <w:rtl/>
        </w:rPr>
        <w:t xml:space="preserve">، </w:t>
      </w:r>
      <w:r w:rsidRPr="00282AC9">
        <w:rPr>
          <w:rFonts w:hint="cs"/>
          <w:sz w:val="27"/>
          <w:rtl/>
        </w:rPr>
        <w:t>الخبر</w:t>
      </w:r>
      <w:r w:rsidRPr="00282AC9">
        <w:rPr>
          <w:rFonts w:hint="eastAsia"/>
          <w:sz w:val="24"/>
          <w:szCs w:val="24"/>
          <w:rtl/>
        </w:rPr>
        <w:t>»</w:t>
      </w:r>
      <w:r w:rsidRPr="00282AC9">
        <w:rPr>
          <w:sz w:val="27"/>
          <w:vertAlign w:val="superscript"/>
          <w:rtl/>
        </w:rPr>
        <w:t>(</w:t>
      </w:r>
      <w:r w:rsidRPr="00282AC9">
        <w:rPr>
          <w:rStyle w:val="af9"/>
          <w:sz w:val="27"/>
          <w:rtl/>
        </w:rPr>
        <w:endnoteReference w:id="782"/>
      </w:r>
      <w:r w:rsidRPr="00282AC9">
        <w:rPr>
          <w:sz w:val="27"/>
          <w:vertAlign w:val="superscript"/>
          <w:rtl/>
        </w:rPr>
        <w:t>)</w:t>
      </w:r>
      <w:r w:rsidRPr="00282AC9">
        <w:rPr>
          <w:sz w:val="27"/>
          <w:rtl/>
        </w:rPr>
        <w:t>.</w:t>
      </w:r>
      <w:r w:rsidRPr="00282AC9">
        <w:rPr>
          <w:rFonts w:hint="cs"/>
          <w:sz w:val="27"/>
          <w:rtl/>
        </w:rPr>
        <w:t xml:space="preserve"> </w:t>
      </w:r>
    </w:p>
    <w:p w:rsidR="00965E08" w:rsidRPr="00282AC9" w:rsidRDefault="00965E08" w:rsidP="003062B7">
      <w:pPr>
        <w:rPr>
          <w:sz w:val="27"/>
          <w:rtl/>
        </w:rPr>
      </w:pPr>
      <w:r w:rsidRPr="00282AC9">
        <w:rPr>
          <w:rFonts w:hint="cs"/>
          <w:sz w:val="27"/>
          <w:rtl/>
        </w:rPr>
        <w:t>وإلى</w:t>
      </w:r>
      <w:r w:rsidRPr="00282AC9">
        <w:rPr>
          <w:sz w:val="27"/>
          <w:rtl/>
        </w:rPr>
        <w:t xml:space="preserve"> </w:t>
      </w:r>
      <w:r w:rsidRPr="00282AC9">
        <w:rPr>
          <w:rFonts w:hint="cs"/>
          <w:sz w:val="27"/>
          <w:rtl/>
        </w:rPr>
        <w:t>هذا</w:t>
      </w:r>
      <w:r w:rsidRPr="00282AC9">
        <w:rPr>
          <w:sz w:val="27"/>
          <w:rtl/>
        </w:rPr>
        <w:t xml:space="preserve"> </w:t>
      </w:r>
      <w:r w:rsidRPr="00282AC9">
        <w:rPr>
          <w:rFonts w:hint="cs"/>
          <w:sz w:val="27"/>
          <w:rtl/>
        </w:rPr>
        <w:t>ي</w:t>
      </w:r>
      <w:r w:rsidR="00CE4742" w:rsidRPr="00282AC9">
        <w:rPr>
          <w:rFonts w:hint="cs"/>
          <w:sz w:val="27"/>
          <w:rtl/>
        </w:rPr>
        <w:t>ُ</w:t>
      </w:r>
      <w:r w:rsidRPr="00282AC9">
        <w:rPr>
          <w:rFonts w:hint="cs"/>
          <w:sz w:val="27"/>
          <w:rtl/>
        </w:rPr>
        <w:t>شير</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9A2A04" w:rsidRPr="00282AC9">
        <w:rPr>
          <w:rFonts w:cs="Mosawi"/>
          <w:sz w:val="22"/>
          <w:szCs w:val="22"/>
          <w:rtl/>
        </w:rPr>
        <w:t>|</w:t>
      </w:r>
      <w:r w:rsidRPr="00282AC9">
        <w:rPr>
          <w:rFonts w:hint="cs"/>
          <w:sz w:val="27"/>
          <w:rtl/>
        </w:rPr>
        <w:t xml:space="preserve"> في</w:t>
      </w:r>
      <w:r w:rsidRPr="00282AC9">
        <w:rPr>
          <w:sz w:val="27"/>
          <w:rtl/>
        </w:rPr>
        <w:t xml:space="preserve"> </w:t>
      </w:r>
      <w:r w:rsidRPr="00282AC9">
        <w:rPr>
          <w:rFonts w:hint="cs"/>
          <w:sz w:val="27"/>
          <w:rtl/>
        </w:rPr>
        <w:t>كلامه</w:t>
      </w:r>
      <w:r w:rsidRPr="00282AC9">
        <w:rPr>
          <w:sz w:val="27"/>
          <w:rtl/>
        </w:rPr>
        <w:t xml:space="preserve"> </w:t>
      </w:r>
      <w:r w:rsidRPr="00282AC9">
        <w:rPr>
          <w:rFonts w:hint="cs"/>
          <w:sz w:val="27"/>
          <w:rtl/>
        </w:rPr>
        <w:t>لأمير</w:t>
      </w:r>
      <w:r w:rsidRPr="00282AC9">
        <w:rPr>
          <w:sz w:val="27"/>
          <w:rtl/>
        </w:rPr>
        <w:t xml:space="preserve"> </w:t>
      </w:r>
      <w:r w:rsidRPr="00282AC9">
        <w:rPr>
          <w:rFonts w:hint="cs"/>
          <w:sz w:val="27"/>
          <w:rtl/>
        </w:rPr>
        <w:t>المؤمنين</w:t>
      </w:r>
      <w:r w:rsidR="009A2A04" w:rsidRPr="00282AC9">
        <w:rPr>
          <w:rFonts w:cs="Mosawi" w:hint="cs"/>
          <w:sz w:val="22"/>
          <w:szCs w:val="22"/>
          <w:rtl/>
        </w:rPr>
        <w:t>×</w:t>
      </w:r>
      <w:r w:rsidRPr="00282AC9">
        <w:rPr>
          <w:rFonts w:hint="cs"/>
          <w:sz w:val="27"/>
          <w:rtl/>
        </w:rPr>
        <w:t>،</w:t>
      </w:r>
      <w:r w:rsidRPr="00282AC9">
        <w:rPr>
          <w:sz w:val="27"/>
          <w:rtl/>
        </w:rPr>
        <w:t xml:space="preserve"> </w:t>
      </w:r>
      <w:r w:rsidRPr="00282AC9">
        <w:rPr>
          <w:rFonts w:hint="cs"/>
          <w:sz w:val="27"/>
          <w:rtl/>
        </w:rPr>
        <w:t>حين</w:t>
      </w:r>
      <w:r w:rsidRPr="00282AC9">
        <w:rPr>
          <w:sz w:val="27"/>
          <w:rtl/>
        </w:rPr>
        <w:t xml:space="preserve"> </w:t>
      </w:r>
      <w:r w:rsidRPr="00282AC9">
        <w:rPr>
          <w:rFonts w:hint="cs"/>
          <w:sz w:val="27"/>
          <w:rtl/>
        </w:rPr>
        <w:t>سأله</w:t>
      </w:r>
      <w:r w:rsidRPr="00282AC9">
        <w:rPr>
          <w:sz w:val="27"/>
          <w:rtl/>
        </w:rPr>
        <w:t xml:space="preserve"> </w:t>
      </w:r>
      <w:r w:rsidRPr="00282AC9">
        <w:rPr>
          <w:rFonts w:hint="cs"/>
          <w:sz w:val="27"/>
          <w:rtl/>
        </w:rPr>
        <w:t>أمير</w:t>
      </w:r>
      <w:r w:rsidRPr="00282AC9">
        <w:rPr>
          <w:sz w:val="27"/>
          <w:rtl/>
        </w:rPr>
        <w:t xml:space="preserve"> </w:t>
      </w:r>
      <w:r w:rsidRPr="00282AC9">
        <w:rPr>
          <w:rFonts w:hint="cs"/>
          <w:sz w:val="27"/>
          <w:rtl/>
        </w:rPr>
        <w:t>المؤمنين</w:t>
      </w:r>
      <w:r w:rsidR="009A2A04" w:rsidRPr="00282AC9">
        <w:rPr>
          <w:rFonts w:cs="Mosawi" w:hint="cs"/>
          <w:sz w:val="22"/>
          <w:szCs w:val="22"/>
          <w:rtl/>
        </w:rPr>
        <w:t>×</w:t>
      </w:r>
      <w:r w:rsidR="00CE4742" w:rsidRPr="00282AC9">
        <w:rPr>
          <w:rFonts w:hint="cs"/>
          <w:sz w:val="27"/>
          <w:rtl/>
        </w:rPr>
        <w:t>،</w:t>
      </w:r>
      <w:r w:rsidRPr="00282AC9">
        <w:rPr>
          <w:sz w:val="27"/>
          <w:rtl/>
        </w:rPr>
        <w:t xml:space="preserve"> </w:t>
      </w:r>
      <w:r w:rsidRPr="00282AC9">
        <w:rPr>
          <w:rFonts w:hint="eastAsia"/>
          <w:sz w:val="24"/>
          <w:szCs w:val="24"/>
          <w:rtl/>
        </w:rPr>
        <w:t>«</w:t>
      </w:r>
      <w:r w:rsidRPr="00282AC9">
        <w:rPr>
          <w:rFonts w:hint="cs"/>
          <w:sz w:val="27"/>
          <w:rtl/>
        </w:rPr>
        <w:t>فقلت</w:t>
      </w:r>
      <w:r w:rsidR="00CE4742" w:rsidRPr="00282AC9">
        <w:rPr>
          <w:rFonts w:hint="cs"/>
          <w:sz w:val="27"/>
          <w:rtl/>
        </w:rPr>
        <w:t>ُ</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رسول</w:t>
      </w:r>
      <w:r w:rsidRPr="00282AC9">
        <w:rPr>
          <w:sz w:val="27"/>
          <w:rtl/>
        </w:rPr>
        <w:t xml:space="preserve"> </w:t>
      </w:r>
      <w:r w:rsidRPr="00282AC9">
        <w:rPr>
          <w:rFonts w:hint="cs"/>
          <w:sz w:val="27"/>
          <w:rtl/>
        </w:rPr>
        <w:t>الله</w:t>
      </w:r>
      <w:r w:rsidR="00CE4742" w:rsidRPr="00282AC9">
        <w:rPr>
          <w:rFonts w:hint="cs"/>
          <w:sz w:val="27"/>
          <w:rtl/>
        </w:rPr>
        <w:t>،</w:t>
      </w:r>
      <w:r w:rsidRPr="00282AC9">
        <w:rPr>
          <w:sz w:val="27"/>
          <w:rtl/>
        </w:rPr>
        <w:t xml:space="preserve"> </w:t>
      </w:r>
      <w:r w:rsidRPr="00282AC9">
        <w:rPr>
          <w:rFonts w:hint="cs"/>
          <w:sz w:val="27"/>
          <w:rtl/>
        </w:rPr>
        <w:t>العدل</w:t>
      </w:r>
      <w:r w:rsidRPr="00282AC9">
        <w:rPr>
          <w:sz w:val="27"/>
          <w:rtl/>
        </w:rPr>
        <w:t xml:space="preserve"> </w:t>
      </w:r>
      <w:r w:rsidRPr="00282AC9">
        <w:rPr>
          <w:rFonts w:hint="cs"/>
          <w:sz w:val="27"/>
          <w:rtl/>
        </w:rPr>
        <w:t>من</w:t>
      </w:r>
      <w:r w:rsidR="00CE4742" w:rsidRPr="00282AC9">
        <w:rPr>
          <w:rFonts w:hint="cs"/>
          <w:sz w:val="27"/>
          <w:rtl/>
        </w:rPr>
        <w:t>ّ</w:t>
      </w:r>
      <w:r w:rsidRPr="00282AC9">
        <w:rPr>
          <w:rFonts w:hint="cs"/>
          <w:sz w:val="27"/>
          <w:rtl/>
        </w:rPr>
        <w:t>ا</w:t>
      </w:r>
      <w:r w:rsidRPr="00282AC9">
        <w:rPr>
          <w:sz w:val="27"/>
          <w:rtl/>
        </w:rPr>
        <w:t xml:space="preserve"> </w:t>
      </w:r>
      <w:r w:rsidRPr="00282AC9">
        <w:rPr>
          <w:rFonts w:hint="cs"/>
          <w:sz w:val="27"/>
          <w:rtl/>
        </w:rPr>
        <w:t>أم</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غيرنا</w:t>
      </w:r>
      <w:r w:rsidRPr="00282AC9">
        <w:rPr>
          <w:sz w:val="27"/>
          <w:rtl/>
        </w:rPr>
        <w:t xml:space="preserve">؟ </w:t>
      </w:r>
      <w:r w:rsidRPr="00282AC9">
        <w:rPr>
          <w:rFonts w:hint="cs"/>
          <w:sz w:val="27"/>
          <w:rtl/>
        </w:rPr>
        <w:t>فقال</w:t>
      </w:r>
      <w:r w:rsidRPr="00282AC9">
        <w:rPr>
          <w:sz w:val="27"/>
          <w:rtl/>
        </w:rPr>
        <w:t xml:space="preserve">: </w:t>
      </w:r>
      <w:r w:rsidRPr="00282AC9">
        <w:rPr>
          <w:rFonts w:hint="cs"/>
          <w:sz w:val="27"/>
          <w:rtl/>
        </w:rPr>
        <w:t>بل</w:t>
      </w:r>
      <w:r w:rsidRPr="00282AC9">
        <w:rPr>
          <w:sz w:val="27"/>
          <w:rtl/>
        </w:rPr>
        <w:t xml:space="preserve"> </w:t>
      </w:r>
      <w:r w:rsidRPr="00282AC9">
        <w:rPr>
          <w:rFonts w:hint="cs"/>
          <w:sz w:val="27"/>
          <w:rtl/>
        </w:rPr>
        <w:t>من</w:t>
      </w:r>
      <w:r w:rsidR="00CE4742" w:rsidRPr="00282AC9">
        <w:rPr>
          <w:rFonts w:hint="cs"/>
          <w:sz w:val="27"/>
          <w:rtl/>
        </w:rPr>
        <w:t>ّ</w:t>
      </w:r>
      <w:r w:rsidRPr="00282AC9">
        <w:rPr>
          <w:rFonts w:hint="cs"/>
          <w:sz w:val="27"/>
          <w:rtl/>
        </w:rPr>
        <w:t>ا</w:t>
      </w:r>
      <w:r w:rsidRPr="00282AC9">
        <w:rPr>
          <w:sz w:val="27"/>
          <w:rtl/>
        </w:rPr>
        <w:t xml:space="preserve">، </w:t>
      </w:r>
      <w:r w:rsidRPr="00282AC9">
        <w:rPr>
          <w:rFonts w:hint="cs"/>
          <w:sz w:val="27"/>
          <w:rtl/>
        </w:rPr>
        <w:t>بنا</w:t>
      </w:r>
      <w:r w:rsidRPr="00282AC9">
        <w:rPr>
          <w:sz w:val="27"/>
          <w:rtl/>
        </w:rPr>
        <w:t xml:space="preserve"> </w:t>
      </w:r>
      <w:r w:rsidRPr="00282AC9">
        <w:rPr>
          <w:rFonts w:hint="cs"/>
          <w:sz w:val="27"/>
          <w:rtl/>
        </w:rPr>
        <w:t>يفتح</w:t>
      </w:r>
      <w:r w:rsidRPr="00282AC9">
        <w:rPr>
          <w:sz w:val="27"/>
          <w:rtl/>
        </w:rPr>
        <w:t xml:space="preserve"> </w:t>
      </w:r>
      <w:r w:rsidRPr="00282AC9">
        <w:rPr>
          <w:rFonts w:hint="cs"/>
          <w:sz w:val="27"/>
          <w:rtl/>
        </w:rPr>
        <w:t>الله</w:t>
      </w:r>
      <w:r w:rsidRPr="00282AC9">
        <w:rPr>
          <w:sz w:val="27"/>
          <w:rtl/>
        </w:rPr>
        <w:t>،</w:t>
      </w:r>
      <w:r w:rsidRPr="00282AC9">
        <w:rPr>
          <w:rFonts w:hint="cs"/>
          <w:sz w:val="27"/>
          <w:rtl/>
        </w:rPr>
        <w:t xml:space="preserve"> وبنا</w:t>
      </w:r>
      <w:r w:rsidRPr="00282AC9">
        <w:rPr>
          <w:sz w:val="27"/>
          <w:rtl/>
        </w:rPr>
        <w:t xml:space="preserve"> </w:t>
      </w:r>
      <w:r w:rsidRPr="00282AC9">
        <w:rPr>
          <w:rFonts w:hint="cs"/>
          <w:sz w:val="27"/>
          <w:rtl/>
        </w:rPr>
        <w:t>يختم،</w:t>
      </w:r>
      <w:r w:rsidRPr="00282AC9">
        <w:rPr>
          <w:sz w:val="27"/>
          <w:rtl/>
        </w:rPr>
        <w:t xml:space="preserve"> </w:t>
      </w:r>
      <w:r w:rsidRPr="00282AC9">
        <w:rPr>
          <w:rFonts w:hint="cs"/>
          <w:sz w:val="27"/>
          <w:rtl/>
        </w:rPr>
        <w:t>وبنا</w:t>
      </w:r>
      <w:r w:rsidRPr="00282AC9">
        <w:rPr>
          <w:sz w:val="27"/>
          <w:rtl/>
        </w:rPr>
        <w:t xml:space="preserve"> </w:t>
      </w:r>
      <w:r w:rsidRPr="00282AC9">
        <w:rPr>
          <w:rFonts w:hint="cs"/>
          <w:sz w:val="27"/>
          <w:rtl/>
        </w:rPr>
        <w:t>أل</w:t>
      </w:r>
      <w:r w:rsidR="00CE4742" w:rsidRPr="00282AC9">
        <w:rPr>
          <w:rFonts w:hint="cs"/>
          <w:sz w:val="27"/>
          <w:rtl/>
        </w:rPr>
        <w:t>َّ</w:t>
      </w:r>
      <w:r w:rsidRPr="00282AC9">
        <w:rPr>
          <w:rFonts w:hint="cs"/>
          <w:sz w:val="27"/>
          <w:rtl/>
        </w:rPr>
        <w:t>ف</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بين</w:t>
      </w:r>
      <w:r w:rsidRPr="00282AC9">
        <w:rPr>
          <w:sz w:val="27"/>
          <w:rtl/>
        </w:rPr>
        <w:t xml:space="preserve"> </w:t>
      </w:r>
      <w:r w:rsidRPr="00282AC9">
        <w:rPr>
          <w:rFonts w:hint="cs"/>
          <w:sz w:val="27"/>
          <w:rtl/>
        </w:rPr>
        <w:t>القلوب</w:t>
      </w:r>
      <w:r w:rsidRPr="00282AC9">
        <w:rPr>
          <w:sz w:val="27"/>
          <w:rtl/>
        </w:rPr>
        <w:t xml:space="preserve"> </w:t>
      </w:r>
      <w:r w:rsidRPr="00282AC9">
        <w:rPr>
          <w:rFonts w:hint="cs"/>
          <w:sz w:val="27"/>
          <w:rtl/>
        </w:rPr>
        <w:t>بعد</w:t>
      </w:r>
      <w:r w:rsidRPr="00282AC9">
        <w:rPr>
          <w:sz w:val="27"/>
          <w:rtl/>
        </w:rPr>
        <w:t xml:space="preserve"> </w:t>
      </w:r>
      <w:r w:rsidRPr="00282AC9">
        <w:rPr>
          <w:rFonts w:hint="cs"/>
          <w:sz w:val="27"/>
          <w:rtl/>
        </w:rPr>
        <w:t>الشرك</w:t>
      </w:r>
      <w:r w:rsidRPr="00282AC9">
        <w:rPr>
          <w:sz w:val="27"/>
          <w:rtl/>
        </w:rPr>
        <w:t xml:space="preserve">، </w:t>
      </w:r>
      <w:r w:rsidRPr="00282AC9">
        <w:rPr>
          <w:rFonts w:hint="cs"/>
          <w:sz w:val="27"/>
          <w:rtl/>
        </w:rPr>
        <w:t>وبنا</w:t>
      </w:r>
      <w:r w:rsidRPr="00282AC9">
        <w:rPr>
          <w:sz w:val="27"/>
          <w:rtl/>
        </w:rPr>
        <w:t xml:space="preserve"> </w:t>
      </w:r>
      <w:r w:rsidRPr="00282AC9">
        <w:rPr>
          <w:rFonts w:hint="cs"/>
          <w:sz w:val="27"/>
          <w:rtl/>
        </w:rPr>
        <w:t>يؤل</w:t>
      </w:r>
      <w:r w:rsidR="00CE4742" w:rsidRPr="00282AC9">
        <w:rPr>
          <w:rFonts w:hint="cs"/>
          <w:sz w:val="27"/>
          <w:rtl/>
        </w:rPr>
        <w:t>ِّ</w:t>
      </w:r>
      <w:r w:rsidRPr="00282AC9">
        <w:rPr>
          <w:rFonts w:hint="cs"/>
          <w:sz w:val="27"/>
          <w:rtl/>
        </w:rPr>
        <w:t>ف</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بين</w:t>
      </w:r>
      <w:r w:rsidRPr="00282AC9">
        <w:rPr>
          <w:sz w:val="27"/>
          <w:rtl/>
        </w:rPr>
        <w:t xml:space="preserve"> </w:t>
      </w:r>
      <w:r w:rsidRPr="00282AC9">
        <w:rPr>
          <w:rFonts w:hint="cs"/>
          <w:sz w:val="27"/>
          <w:rtl/>
        </w:rPr>
        <w:t>القلوب بعد</w:t>
      </w:r>
      <w:r w:rsidRPr="00282AC9">
        <w:rPr>
          <w:sz w:val="27"/>
          <w:rtl/>
        </w:rPr>
        <w:t xml:space="preserve"> </w:t>
      </w:r>
      <w:r w:rsidRPr="00282AC9">
        <w:rPr>
          <w:rFonts w:hint="cs"/>
          <w:sz w:val="27"/>
          <w:rtl/>
        </w:rPr>
        <w:t>الفتنة</w:t>
      </w:r>
      <w:r w:rsidRPr="00282AC9">
        <w:rPr>
          <w:sz w:val="27"/>
          <w:rtl/>
        </w:rPr>
        <w:t xml:space="preserve">، </w:t>
      </w:r>
      <w:r w:rsidRPr="00282AC9">
        <w:rPr>
          <w:rFonts w:hint="cs"/>
          <w:sz w:val="27"/>
          <w:rtl/>
        </w:rPr>
        <w:t>فقلت</w:t>
      </w:r>
      <w:r w:rsidR="00CE4742" w:rsidRPr="00282AC9">
        <w:rPr>
          <w:rFonts w:hint="cs"/>
          <w:sz w:val="27"/>
          <w:rtl/>
        </w:rPr>
        <w:t>ُ</w:t>
      </w:r>
      <w:r w:rsidRPr="00282AC9">
        <w:rPr>
          <w:sz w:val="27"/>
          <w:rtl/>
        </w:rPr>
        <w:t xml:space="preserve">: </w:t>
      </w:r>
      <w:r w:rsidRPr="00282AC9">
        <w:rPr>
          <w:rFonts w:hint="cs"/>
          <w:sz w:val="27"/>
          <w:rtl/>
        </w:rPr>
        <w:t>الحمد</w:t>
      </w:r>
      <w:r w:rsidRPr="00282AC9">
        <w:rPr>
          <w:sz w:val="27"/>
          <w:rtl/>
        </w:rPr>
        <w:t xml:space="preserve"> </w:t>
      </w:r>
      <w:r w:rsidRPr="00282AC9">
        <w:rPr>
          <w:rFonts w:hint="cs"/>
          <w:sz w:val="27"/>
          <w:rtl/>
        </w:rPr>
        <w:t>لله</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و</w:t>
      </w:r>
      <w:r w:rsidR="00CE4742" w:rsidRPr="00282AC9">
        <w:rPr>
          <w:rFonts w:hint="cs"/>
          <w:sz w:val="27"/>
          <w:rtl/>
        </w:rPr>
        <w:t>َ</w:t>
      </w:r>
      <w:r w:rsidRPr="00282AC9">
        <w:rPr>
          <w:rFonts w:hint="cs"/>
          <w:sz w:val="27"/>
          <w:rtl/>
        </w:rPr>
        <w:t>ه</w:t>
      </w:r>
      <w:r w:rsidR="00CE4742" w:rsidRPr="00282AC9">
        <w:rPr>
          <w:rFonts w:hint="cs"/>
          <w:sz w:val="27"/>
          <w:rtl/>
        </w:rPr>
        <w:t>َ</w:t>
      </w:r>
      <w:r w:rsidRPr="00282AC9">
        <w:rPr>
          <w:rFonts w:hint="cs"/>
          <w:sz w:val="27"/>
          <w:rtl/>
        </w:rPr>
        <w:t>ب</w:t>
      </w:r>
      <w:r w:rsidR="00CE4742" w:rsidRPr="00282AC9">
        <w:rPr>
          <w:rFonts w:hint="cs"/>
          <w:sz w:val="27"/>
          <w:rtl/>
        </w:rPr>
        <w:t>َ</w:t>
      </w:r>
      <w:r w:rsidRPr="00282AC9">
        <w:rPr>
          <w:sz w:val="27"/>
          <w:rtl/>
        </w:rPr>
        <w:t xml:space="preserve"> </w:t>
      </w:r>
      <w:r w:rsidRPr="00282AC9">
        <w:rPr>
          <w:rFonts w:hint="cs"/>
          <w:sz w:val="27"/>
          <w:rtl/>
        </w:rPr>
        <w:t>لنا</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فضله</w:t>
      </w:r>
      <w:r w:rsidRPr="00282AC9">
        <w:rPr>
          <w:rFonts w:hint="eastAsia"/>
          <w:sz w:val="24"/>
          <w:szCs w:val="24"/>
          <w:rtl/>
        </w:rPr>
        <w:t>»</w:t>
      </w:r>
      <w:r w:rsidRPr="00282AC9">
        <w:rPr>
          <w:sz w:val="27"/>
          <w:vertAlign w:val="superscript"/>
          <w:rtl/>
        </w:rPr>
        <w:t>(</w:t>
      </w:r>
      <w:r w:rsidRPr="00282AC9">
        <w:rPr>
          <w:rStyle w:val="af9"/>
          <w:sz w:val="27"/>
          <w:rtl/>
        </w:rPr>
        <w:endnoteReference w:id="783"/>
      </w:r>
      <w:r w:rsidRPr="00282AC9">
        <w:rPr>
          <w:sz w:val="27"/>
          <w:vertAlign w:val="superscript"/>
          <w:rtl/>
        </w:rPr>
        <w:t>)</w:t>
      </w:r>
      <w:r w:rsidRPr="00282AC9">
        <w:rPr>
          <w:sz w:val="27"/>
          <w:rtl/>
        </w:rPr>
        <w:t>.</w:t>
      </w:r>
      <w:r w:rsidRPr="00282AC9">
        <w:rPr>
          <w:rFonts w:hint="eastAsia"/>
          <w:sz w:val="27"/>
          <w:rtl/>
        </w:rPr>
        <w:t xml:space="preserve"> </w:t>
      </w:r>
    </w:p>
    <w:p w:rsidR="00965E08" w:rsidRPr="00282AC9" w:rsidRDefault="00CE4742" w:rsidP="003062B7">
      <w:pPr>
        <w:rPr>
          <w:sz w:val="27"/>
          <w:rtl/>
        </w:rPr>
      </w:pPr>
      <w:r w:rsidRPr="00282AC9">
        <w:rPr>
          <w:rFonts w:hint="cs"/>
          <w:sz w:val="27"/>
          <w:rtl/>
        </w:rPr>
        <w:t>فال</w:t>
      </w:r>
      <w:r w:rsidR="00965E08" w:rsidRPr="00282AC9">
        <w:rPr>
          <w:rFonts w:hint="cs"/>
          <w:sz w:val="27"/>
          <w:rtl/>
        </w:rPr>
        <w:t>ظن</w:t>
      </w:r>
      <w:r w:rsidRPr="00282AC9">
        <w:rPr>
          <w:rFonts w:hint="cs"/>
          <w:sz w:val="27"/>
          <w:rtl/>
        </w:rPr>
        <w:t>ّ</w:t>
      </w:r>
      <w:r w:rsidR="00965E08" w:rsidRPr="00282AC9">
        <w:rPr>
          <w:sz w:val="27"/>
          <w:rtl/>
        </w:rPr>
        <w:t xml:space="preserve"> </w:t>
      </w:r>
      <w:r w:rsidRPr="00282AC9">
        <w:rPr>
          <w:rFonts w:hint="cs"/>
          <w:sz w:val="27"/>
          <w:rtl/>
        </w:rPr>
        <w:t>ب</w:t>
      </w:r>
      <w:r w:rsidR="00965E08" w:rsidRPr="00282AC9">
        <w:rPr>
          <w:rFonts w:hint="cs"/>
          <w:sz w:val="27"/>
          <w:rtl/>
        </w:rPr>
        <w:t>أن</w:t>
      </w:r>
      <w:r w:rsidR="00965E08" w:rsidRPr="00282AC9">
        <w:rPr>
          <w:sz w:val="27"/>
          <w:rtl/>
        </w:rPr>
        <w:t xml:space="preserve"> </w:t>
      </w:r>
      <w:r w:rsidR="00965E08" w:rsidRPr="00282AC9">
        <w:rPr>
          <w:rFonts w:hint="cs"/>
          <w:sz w:val="27"/>
          <w:rtl/>
        </w:rPr>
        <w:t>السورة</w:t>
      </w:r>
      <w:r w:rsidR="00965E08" w:rsidRPr="00282AC9">
        <w:rPr>
          <w:sz w:val="27"/>
          <w:rtl/>
        </w:rPr>
        <w:t xml:space="preserve"> </w:t>
      </w:r>
      <w:r w:rsidR="00965E08" w:rsidRPr="00282AC9">
        <w:rPr>
          <w:rFonts w:hint="cs"/>
          <w:sz w:val="27"/>
          <w:rtl/>
        </w:rPr>
        <w:t>في</w:t>
      </w:r>
      <w:r w:rsidR="00965E08" w:rsidRPr="00282AC9">
        <w:rPr>
          <w:sz w:val="27"/>
          <w:rtl/>
        </w:rPr>
        <w:t xml:space="preserve"> </w:t>
      </w:r>
      <w:r w:rsidR="00965E08" w:rsidRPr="00282AC9">
        <w:rPr>
          <w:rFonts w:hint="cs"/>
          <w:sz w:val="27"/>
          <w:rtl/>
        </w:rPr>
        <w:t>فتح</w:t>
      </w:r>
      <w:r w:rsidR="00965E08" w:rsidRPr="00282AC9">
        <w:rPr>
          <w:sz w:val="27"/>
          <w:rtl/>
        </w:rPr>
        <w:t xml:space="preserve"> </w:t>
      </w:r>
      <w:r w:rsidR="00965E08" w:rsidRPr="00282AC9">
        <w:rPr>
          <w:rFonts w:hint="cs"/>
          <w:sz w:val="27"/>
          <w:rtl/>
        </w:rPr>
        <w:t>مك</w:t>
      </w:r>
      <w:r w:rsidRPr="00282AC9">
        <w:rPr>
          <w:rFonts w:hint="cs"/>
          <w:sz w:val="27"/>
          <w:rtl/>
        </w:rPr>
        <w:t>ّ</w:t>
      </w:r>
      <w:r w:rsidR="00965E08" w:rsidRPr="00282AC9">
        <w:rPr>
          <w:rFonts w:hint="cs"/>
          <w:sz w:val="27"/>
          <w:rtl/>
        </w:rPr>
        <w:t>ة</w:t>
      </w:r>
      <w:r w:rsidR="00965E08" w:rsidRPr="00282AC9">
        <w:rPr>
          <w:sz w:val="27"/>
          <w:rtl/>
        </w:rPr>
        <w:t xml:space="preserve"> </w:t>
      </w:r>
      <w:r w:rsidR="00965E08" w:rsidRPr="00282AC9">
        <w:rPr>
          <w:rFonts w:hint="cs"/>
          <w:sz w:val="27"/>
          <w:rtl/>
        </w:rPr>
        <w:t>ضعيفٌ</w:t>
      </w:r>
      <w:r w:rsidR="00965E08" w:rsidRPr="00282AC9">
        <w:rPr>
          <w:sz w:val="27"/>
          <w:rtl/>
        </w:rPr>
        <w:t xml:space="preserve"> </w:t>
      </w:r>
      <w:r w:rsidR="00965E08" w:rsidRPr="00282AC9">
        <w:rPr>
          <w:rFonts w:hint="cs"/>
          <w:sz w:val="27"/>
          <w:rtl/>
        </w:rPr>
        <w:t>جداً</w:t>
      </w:r>
      <w:r w:rsidR="00965E08" w:rsidRPr="00282AC9">
        <w:rPr>
          <w:sz w:val="27"/>
          <w:rtl/>
        </w:rPr>
        <w:t>.</w:t>
      </w:r>
      <w:r w:rsidR="00965E08" w:rsidRPr="00282AC9">
        <w:rPr>
          <w:rFonts w:hint="cs"/>
          <w:sz w:val="27"/>
          <w:rtl/>
        </w:rPr>
        <w:t xml:space="preserve"> نعم</w:t>
      </w:r>
      <w:r w:rsidRPr="00282AC9">
        <w:rPr>
          <w:rFonts w:hint="cs"/>
          <w:sz w:val="27"/>
          <w:rtl/>
        </w:rPr>
        <w:t>،</w:t>
      </w:r>
      <w:r w:rsidR="00965E08" w:rsidRPr="00282AC9">
        <w:rPr>
          <w:rFonts w:hint="cs"/>
          <w:sz w:val="27"/>
          <w:rtl/>
        </w:rPr>
        <w:t xml:space="preserve"> فتح</w:t>
      </w:r>
      <w:r w:rsidR="00965E08" w:rsidRPr="00282AC9">
        <w:rPr>
          <w:sz w:val="27"/>
          <w:rtl/>
        </w:rPr>
        <w:t xml:space="preserve"> </w:t>
      </w:r>
      <w:r w:rsidR="00965E08" w:rsidRPr="00282AC9">
        <w:rPr>
          <w:rFonts w:hint="cs"/>
          <w:sz w:val="27"/>
          <w:rtl/>
        </w:rPr>
        <w:t>مك</w:t>
      </w:r>
      <w:r w:rsidRPr="00282AC9">
        <w:rPr>
          <w:rFonts w:hint="cs"/>
          <w:sz w:val="27"/>
          <w:rtl/>
        </w:rPr>
        <w:t>ّ</w:t>
      </w:r>
      <w:r w:rsidR="00965E08" w:rsidRPr="00282AC9">
        <w:rPr>
          <w:rFonts w:hint="cs"/>
          <w:sz w:val="27"/>
          <w:rtl/>
        </w:rPr>
        <w:t>ة</w:t>
      </w:r>
      <w:r w:rsidR="00965E08" w:rsidRPr="00282AC9">
        <w:rPr>
          <w:sz w:val="27"/>
          <w:rtl/>
        </w:rPr>
        <w:t xml:space="preserve"> </w:t>
      </w:r>
      <w:r w:rsidR="00965E08" w:rsidRPr="00282AC9">
        <w:rPr>
          <w:rFonts w:hint="cs"/>
          <w:sz w:val="27"/>
          <w:rtl/>
        </w:rPr>
        <w:t>فيه</w:t>
      </w:r>
      <w:r w:rsidR="00965E08" w:rsidRPr="00282AC9">
        <w:rPr>
          <w:sz w:val="27"/>
          <w:rtl/>
        </w:rPr>
        <w:t xml:space="preserve"> </w:t>
      </w:r>
      <w:r w:rsidR="00965E08" w:rsidRPr="00282AC9">
        <w:rPr>
          <w:rFonts w:hint="cs"/>
          <w:sz w:val="27"/>
          <w:rtl/>
        </w:rPr>
        <w:t>دلالةٌ</w:t>
      </w:r>
      <w:r w:rsidR="00965E08" w:rsidRPr="00282AC9">
        <w:rPr>
          <w:sz w:val="27"/>
          <w:rtl/>
        </w:rPr>
        <w:t xml:space="preserve"> </w:t>
      </w:r>
      <w:r w:rsidR="00965E08" w:rsidRPr="00282AC9">
        <w:rPr>
          <w:rFonts w:hint="cs"/>
          <w:sz w:val="27"/>
          <w:rtl/>
        </w:rPr>
        <w:t>سياسيةٌ</w:t>
      </w:r>
      <w:r w:rsidR="00965E08" w:rsidRPr="00282AC9">
        <w:rPr>
          <w:sz w:val="27"/>
          <w:rtl/>
        </w:rPr>
        <w:t xml:space="preserve"> </w:t>
      </w:r>
      <w:r w:rsidR="00965E08" w:rsidRPr="00282AC9">
        <w:rPr>
          <w:rFonts w:hint="cs"/>
          <w:sz w:val="27"/>
          <w:rtl/>
        </w:rPr>
        <w:t>عميقة،</w:t>
      </w:r>
      <w:r w:rsidR="00965E08" w:rsidRPr="00282AC9">
        <w:rPr>
          <w:sz w:val="27"/>
          <w:rtl/>
        </w:rPr>
        <w:t xml:space="preserve"> </w:t>
      </w:r>
      <w:r w:rsidR="00965E08" w:rsidRPr="00282AC9">
        <w:rPr>
          <w:rFonts w:hint="cs"/>
          <w:sz w:val="27"/>
          <w:rtl/>
        </w:rPr>
        <w:t>وفيه</w:t>
      </w:r>
      <w:r w:rsidR="00965E08" w:rsidRPr="00282AC9">
        <w:rPr>
          <w:sz w:val="27"/>
          <w:rtl/>
        </w:rPr>
        <w:t xml:space="preserve"> </w:t>
      </w:r>
      <w:r w:rsidR="00965E08" w:rsidRPr="00282AC9">
        <w:rPr>
          <w:rFonts w:hint="cs"/>
          <w:sz w:val="27"/>
          <w:rtl/>
        </w:rPr>
        <w:t>دلالةٌ</w:t>
      </w:r>
      <w:r w:rsidR="00965E08" w:rsidRPr="00282AC9">
        <w:rPr>
          <w:sz w:val="27"/>
          <w:rtl/>
        </w:rPr>
        <w:t xml:space="preserve"> </w:t>
      </w:r>
      <w:r w:rsidR="00965E08" w:rsidRPr="00282AC9">
        <w:rPr>
          <w:rFonts w:hint="cs"/>
          <w:sz w:val="27"/>
          <w:rtl/>
        </w:rPr>
        <w:t>اجتماعيةٌ</w:t>
      </w:r>
      <w:r w:rsidR="00965E08" w:rsidRPr="00282AC9">
        <w:rPr>
          <w:sz w:val="27"/>
          <w:rtl/>
        </w:rPr>
        <w:t xml:space="preserve"> </w:t>
      </w:r>
      <w:r w:rsidR="00965E08" w:rsidRPr="00282AC9">
        <w:rPr>
          <w:rFonts w:hint="cs"/>
          <w:sz w:val="27"/>
          <w:rtl/>
        </w:rPr>
        <w:t>عظيمةٌ</w:t>
      </w:r>
      <w:r w:rsidR="00965E08" w:rsidRPr="00282AC9">
        <w:rPr>
          <w:sz w:val="27"/>
          <w:rtl/>
        </w:rPr>
        <w:t xml:space="preserve"> </w:t>
      </w:r>
      <w:r w:rsidR="00965E08" w:rsidRPr="00282AC9">
        <w:rPr>
          <w:rFonts w:hint="cs"/>
          <w:sz w:val="27"/>
          <w:rtl/>
        </w:rPr>
        <w:t>في</w:t>
      </w:r>
      <w:r w:rsidR="00965E08" w:rsidRPr="00282AC9">
        <w:rPr>
          <w:sz w:val="27"/>
          <w:rtl/>
        </w:rPr>
        <w:t xml:space="preserve"> </w:t>
      </w:r>
      <w:r w:rsidR="00965E08" w:rsidRPr="00282AC9">
        <w:rPr>
          <w:rFonts w:hint="cs"/>
          <w:sz w:val="27"/>
          <w:rtl/>
        </w:rPr>
        <w:t>وقتها،</w:t>
      </w:r>
      <w:r w:rsidR="00965E08" w:rsidRPr="00282AC9">
        <w:rPr>
          <w:sz w:val="27"/>
          <w:rtl/>
        </w:rPr>
        <w:t xml:space="preserve"> </w:t>
      </w:r>
      <w:r w:rsidR="00965E08" w:rsidRPr="00282AC9">
        <w:rPr>
          <w:rFonts w:hint="cs"/>
          <w:sz w:val="27"/>
          <w:rtl/>
        </w:rPr>
        <w:t>وفيه</w:t>
      </w:r>
      <w:r w:rsidR="00965E08" w:rsidRPr="00282AC9">
        <w:rPr>
          <w:sz w:val="27"/>
          <w:rtl/>
        </w:rPr>
        <w:t xml:space="preserve"> </w:t>
      </w:r>
      <w:r w:rsidR="00965E08" w:rsidRPr="00282AC9">
        <w:rPr>
          <w:rFonts w:hint="cs"/>
          <w:sz w:val="27"/>
          <w:rtl/>
        </w:rPr>
        <w:t>ما</w:t>
      </w:r>
      <w:r w:rsidR="00965E08" w:rsidRPr="00282AC9">
        <w:rPr>
          <w:sz w:val="27"/>
          <w:rtl/>
        </w:rPr>
        <w:t xml:space="preserve"> </w:t>
      </w:r>
      <w:r w:rsidR="00965E08" w:rsidRPr="00282AC9">
        <w:rPr>
          <w:rFonts w:hint="cs"/>
          <w:sz w:val="27"/>
          <w:rtl/>
        </w:rPr>
        <w:t>فيه</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الح</w:t>
      </w:r>
      <w:r w:rsidR="00F4623C" w:rsidRPr="00282AC9">
        <w:rPr>
          <w:rFonts w:hint="cs"/>
          <w:sz w:val="27"/>
          <w:rtl/>
        </w:rPr>
        <w:t>َ</w:t>
      </w:r>
      <w:r w:rsidR="00965E08" w:rsidRPr="00282AC9">
        <w:rPr>
          <w:rFonts w:hint="cs"/>
          <w:sz w:val="27"/>
          <w:rtl/>
        </w:rPr>
        <w:t>ش</w:t>
      </w:r>
      <w:r w:rsidR="00F4623C" w:rsidRPr="00282AC9">
        <w:rPr>
          <w:rFonts w:hint="cs"/>
          <w:sz w:val="27"/>
          <w:rtl/>
        </w:rPr>
        <w:t>ْ</w:t>
      </w:r>
      <w:r w:rsidR="00965E08" w:rsidRPr="00282AC9">
        <w:rPr>
          <w:rFonts w:hint="cs"/>
          <w:sz w:val="27"/>
          <w:rtl/>
        </w:rPr>
        <w:t>د</w:t>
      </w:r>
      <w:r w:rsidR="00965E08" w:rsidRPr="00282AC9">
        <w:rPr>
          <w:sz w:val="27"/>
          <w:rtl/>
        </w:rPr>
        <w:t xml:space="preserve"> </w:t>
      </w:r>
      <w:r w:rsidR="00965E08" w:rsidRPr="00282AC9">
        <w:rPr>
          <w:rFonts w:hint="cs"/>
          <w:sz w:val="27"/>
          <w:rtl/>
        </w:rPr>
        <w:t>الوجداني،</w:t>
      </w:r>
      <w:r w:rsidR="00965E08" w:rsidRPr="00282AC9">
        <w:rPr>
          <w:sz w:val="27"/>
          <w:rtl/>
        </w:rPr>
        <w:t xml:space="preserve"> </w:t>
      </w:r>
      <w:r w:rsidR="00965E08" w:rsidRPr="00282AC9">
        <w:rPr>
          <w:rFonts w:hint="cs"/>
          <w:sz w:val="27"/>
          <w:rtl/>
        </w:rPr>
        <w:t>وفيه</w:t>
      </w:r>
      <w:r w:rsidR="00965E08" w:rsidRPr="00282AC9">
        <w:rPr>
          <w:sz w:val="27"/>
          <w:rtl/>
        </w:rPr>
        <w:t xml:space="preserve"> </w:t>
      </w:r>
      <w:r w:rsidR="00965E08" w:rsidRPr="00282AC9">
        <w:rPr>
          <w:rFonts w:hint="cs"/>
          <w:sz w:val="27"/>
          <w:rtl/>
        </w:rPr>
        <w:t>ما</w:t>
      </w:r>
      <w:r w:rsidR="00965E08" w:rsidRPr="00282AC9">
        <w:rPr>
          <w:sz w:val="27"/>
          <w:rtl/>
        </w:rPr>
        <w:t xml:space="preserve"> </w:t>
      </w:r>
      <w:r w:rsidR="00965E08" w:rsidRPr="00282AC9">
        <w:rPr>
          <w:rFonts w:hint="cs"/>
          <w:sz w:val="27"/>
          <w:rtl/>
        </w:rPr>
        <w:t>فيه</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الواقع</w:t>
      </w:r>
      <w:r w:rsidR="00965E08" w:rsidRPr="00282AC9">
        <w:rPr>
          <w:sz w:val="27"/>
          <w:rtl/>
        </w:rPr>
        <w:t xml:space="preserve"> </w:t>
      </w:r>
      <w:r w:rsidR="00965E08" w:rsidRPr="00282AC9">
        <w:rPr>
          <w:rFonts w:hint="cs"/>
          <w:sz w:val="27"/>
          <w:rtl/>
        </w:rPr>
        <w:t>المعنوي</w:t>
      </w:r>
      <w:r w:rsidR="00F4623C" w:rsidRPr="00282AC9">
        <w:rPr>
          <w:rFonts w:hint="cs"/>
          <w:sz w:val="27"/>
          <w:rtl/>
        </w:rPr>
        <w:t>ّ</w:t>
      </w:r>
      <w:r w:rsidR="00965E08" w:rsidRPr="00282AC9">
        <w:rPr>
          <w:sz w:val="27"/>
          <w:rtl/>
        </w:rPr>
        <w:t xml:space="preserve"> </w:t>
      </w:r>
      <w:r w:rsidR="00965E08" w:rsidRPr="00282AC9">
        <w:rPr>
          <w:rFonts w:hint="cs"/>
          <w:sz w:val="27"/>
          <w:rtl/>
        </w:rPr>
        <w:t>الديني</w:t>
      </w:r>
      <w:r w:rsidR="00F4623C" w:rsidRPr="00282AC9">
        <w:rPr>
          <w:rFonts w:hint="cs"/>
          <w:sz w:val="27"/>
          <w:rtl/>
        </w:rPr>
        <w:t>ّ</w:t>
      </w:r>
      <w:r w:rsidR="00965E08" w:rsidRPr="00282AC9">
        <w:rPr>
          <w:sz w:val="27"/>
          <w:rtl/>
        </w:rPr>
        <w:t xml:space="preserve">. </w:t>
      </w:r>
      <w:r w:rsidR="00965E08" w:rsidRPr="00282AC9">
        <w:rPr>
          <w:rFonts w:hint="cs"/>
          <w:sz w:val="27"/>
          <w:rtl/>
        </w:rPr>
        <w:t>هناك</w:t>
      </w:r>
      <w:r w:rsidR="00965E08" w:rsidRPr="00282AC9">
        <w:rPr>
          <w:sz w:val="27"/>
          <w:rtl/>
        </w:rPr>
        <w:t xml:space="preserve"> </w:t>
      </w:r>
      <w:r w:rsidR="00965E08" w:rsidRPr="00282AC9">
        <w:rPr>
          <w:rFonts w:hint="cs"/>
          <w:sz w:val="27"/>
          <w:rtl/>
        </w:rPr>
        <w:t>مجموعةٌ</w:t>
      </w:r>
      <w:r w:rsidR="00965E08" w:rsidRPr="00282AC9">
        <w:rPr>
          <w:sz w:val="27"/>
          <w:rtl/>
        </w:rPr>
        <w:t xml:space="preserve"> </w:t>
      </w:r>
      <w:r w:rsidR="00965E08" w:rsidRPr="00282AC9">
        <w:rPr>
          <w:rFonts w:hint="cs"/>
          <w:sz w:val="27"/>
          <w:rtl/>
        </w:rPr>
        <w:t>كبيرة</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المعطيات</w:t>
      </w:r>
      <w:r w:rsidR="00965E08" w:rsidRPr="00282AC9">
        <w:rPr>
          <w:sz w:val="27"/>
          <w:rtl/>
        </w:rPr>
        <w:t xml:space="preserve"> </w:t>
      </w:r>
      <w:r w:rsidR="00965E08" w:rsidRPr="00282AC9">
        <w:rPr>
          <w:rFonts w:hint="cs"/>
          <w:sz w:val="27"/>
          <w:rtl/>
        </w:rPr>
        <w:t>تحق</w:t>
      </w:r>
      <w:r w:rsidR="00F4623C" w:rsidRPr="00282AC9">
        <w:rPr>
          <w:rFonts w:hint="cs"/>
          <w:sz w:val="27"/>
          <w:rtl/>
        </w:rPr>
        <w:t>َّ</w:t>
      </w:r>
      <w:r w:rsidR="00965E08" w:rsidRPr="00282AC9">
        <w:rPr>
          <w:rFonts w:hint="cs"/>
          <w:sz w:val="27"/>
          <w:rtl/>
        </w:rPr>
        <w:t>قت</w:t>
      </w:r>
      <w:r w:rsidR="00965E08" w:rsidRPr="00282AC9">
        <w:rPr>
          <w:sz w:val="27"/>
          <w:rtl/>
        </w:rPr>
        <w:t xml:space="preserve"> </w:t>
      </w:r>
      <w:r w:rsidR="00965E08" w:rsidRPr="00282AC9">
        <w:rPr>
          <w:rFonts w:hint="cs"/>
          <w:sz w:val="27"/>
          <w:rtl/>
        </w:rPr>
        <w:t>وترس</w:t>
      </w:r>
      <w:r w:rsidR="00F4623C" w:rsidRPr="00282AC9">
        <w:rPr>
          <w:rFonts w:hint="cs"/>
          <w:sz w:val="27"/>
          <w:rtl/>
        </w:rPr>
        <w:t>َّ</w:t>
      </w:r>
      <w:r w:rsidR="00965E08" w:rsidRPr="00282AC9">
        <w:rPr>
          <w:rFonts w:hint="cs"/>
          <w:sz w:val="27"/>
          <w:rtl/>
        </w:rPr>
        <w:t>خت</w:t>
      </w:r>
      <w:r w:rsidR="00965E08" w:rsidRPr="00282AC9">
        <w:rPr>
          <w:sz w:val="27"/>
          <w:rtl/>
        </w:rPr>
        <w:t xml:space="preserve"> </w:t>
      </w:r>
      <w:r w:rsidR="00965E08" w:rsidRPr="00282AC9">
        <w:rPr>
          <w:rFonts w:hint="cs"/>
          <w:sz w:val="27"/>
          <w:rtl/>
        </w:rPr>
        <w:t>وظهر</w:t>
      </w:r>
      <w:r w:rsidR="00F4623C" w:rsidRPr="00282AC9">
        <w:rPr>
          <w:rFonts w:hint="cs"/>
          <w:sz w:val="27"/>
          <w:rtl/>
        </w:rPr>
        <w:t>َ</w:t>
      </w:r>
      <w:r w:rsidR="00965E08" w:rsidRPr="00282AC9">
        <w:rPr>
          <w:rFonts w:hint="cs"/>
          <w:sz w:val="27"/>
          <w:rtl/>
        </w:rPr>
        <w:t>ت</w:t>
      </w:r>
      <w:r w:rsidR="00F4623C" w:rsidRPr="00282AC9">
        <w:rPr>
          <w:rFonts w:hint="cs"/>
          <w:sz w:val="27"/>
          <w:rtl/>
        </w:rPr>
        <w:t>ْ</w:t>
      </w:r>
      <w:r w:rsidR="00965E08" w:rsidRPr="00282AC9">
        <w:rPr>
          <w:sz w:val="27"/>
          <w:rtl/>
        </w:rPr>
        <w:t xml:space="preserve"> </w:t>
      </w:r>
      <w:r w:rsidR="00965E08" w:rsidRPr="00282AC9">
        <w:rPr>
          <w:rFonts w:hint="cs"/>
          <w:sz w:val="27"/>
          <w:rtl/>
        </w:rPr>
        <w:t>في</w:t>
      </w:r>
      <w:r w:rsidR="00965E08" w:rsidRPr="00282AC9">
        <w:rPr>
          <w:sz w:val="27"/>
          <w:rtl/>
        </w:rPr>
        <w:t xml:space="preserve"> </w:t>
      </w:r>
      <w:r w:rsidR="00965E08" w:rsidRPr="00282AC9">
        <w:rPr>
          <w:rFonts w:hint="cs"/>
          <w:sz w:val="27"/>
          <w:rtl/>
        </w:rPr>
        <w:t>فتح</w:t>
      </w:r>
      <w:r w:rsidR="00965E08" w:rsidRPr="00282AC9">
        <w:rPr>
          <w:sz w:val="27"/>
          <w:rtl/>
        </w:rPr>
        <w:t xml:space="preserve"> </w:t>
      </w:r>
      <w:r w:rsidR="00965E08" w:rsidRPr="00282AC9">
        <w:rPr>
          <w:rFonts w:hint="cs"/>
          <w:sz w:val="27"/>
          <w:rtl/>
        </w:rPr>
        <w:t>مك</w:t>
      </w:r>
      <w:r w:rsidR="00F4623C" w:rsidRPr="00282AC9">
        <w:rPr>
          <w:rFonts w:hint="cs"/>
          <w:sz w:val="27"/>
          <w:rtl/>
        </w:rPr>
        <w:t>ّ</w:t>
      </w:r>
      <w:r w:rsidR="00965E08" w:rsidRPr="00282AC9">
        <w:rPr>
          <w:rFonts w:hint="cs"/>
          <w:sz w:val="27"/>
          <w:rtl/>
        </w:rPr>
        <w:t>ة</w:t>
      </w:r>
      <w:r w:rsidR="00965E08" w:rsidRPr="00282AC9">
        <w:rPr>
          <w:sz w:val="27"/>
          <w:rtl/>
        </w:rPr>
        <w:t xml:space="preserve">. </w:t>
      </w:r>
      <w:r w:rsidR="00965E08" w:rsidRPr="00282AC9">
        <w:rPr>
          <w:rFonts w:hint="cs"/>
          <w:sz w:val="27"/>
          <w:rtl/>
        </w:rPr>
        <w:t>ولكن</w:t>
      </w:r>
      <w:r w:rsidR="00F4623C" w:rsidRPr="00282AC9">
        <w:rPr>
          <w:rFonts w:hint="cs"/>
          <w:sz w:val="27"/>
          <w:rtl/>
        </w:rPr>
        <w:t>ّ</w:t>
      </w:r>
      <w:r w:rsidR="00965E08" w:rsidRPr="00282AC9">
        <w:rPr>
          <w:rFonts w:hint="cs"/>
          <w:sz w:val="27"/>
          <w:rtl/>
        </w:rPr>
        <w:t>ه</w:t>
      </w:r>
      <w:r w:rsidR="00965E08" w:rsidRPr="00282AC9">
        <w:rPr>
          <w:sz w:val="27"/>
          <w:rtl/>
        </w:rPr>
        <w:t xml:space="preserve"> </w:t>
      </w:r>
      <w:r w:rsidR="00965E08" w:rsidRPr="00282AC9">
        <w:rPr>
          <w:rFonts w:hint="cs"/>
          <w:sz w:val="27"/>
          <w:rtl/>
        </w:rPr>
        <w:t>فتحٌ</w:t>
      </w:r>
      <w:r w:rsidR="00965E08" w:rsidRPr="00282AC9">
        <w:rPr>
          <w:sz w:val="27"/>
          <w:rtl/>
        </w:rPr>
        <w:t xml:space="preserve"> </w:t>
      </w:r>
      <w:r w:rsidR="00965E08" w:rsidRPr="00282AC9">
        <w:rPr>
          <w:rFonts w:hint="cs"/>
          <w:sz w:val="27"/>
          <w:rtl/>
        </w:rPr>
        <w:t>محدود</w:t>
      </w:r>
      <w:r w:rsidR="00F4623C" w:rsidRPr="00282AC9">
        <w:rPr>
          <w:rFonts w:hint="cs"/>
          <w:sz w:val="27"/>
          <w:rtl/>
        </w:rPr>
        <w:t>،</w:t>
      </w:r>
      <w:r w:rsidR="00965E08" w:rsidRPr="00282AC9">
        <w:rPr>
          <w:sz w:val="27"/>
          <w:rtl/>
        </w:rPr>
        <w:t xml:space="preserve"> </w:t>
      </w:r>
      <w:r w:rsidR="00965E08" w:rsidRPr="00282AC9">
        <w:rPr>
          <w:rFonts w:hint="cs"/>
          <w:sz w:val="27"/>
          <w:rtl/>
        </w:rPr>
        <w:t>كما</w:t>
      </w:r>
      <w:r w:rsidR="00965E08" w:rsidRPr="00282AC9">
        <w:rPr>
          <w:sz w:val="27"/>
          <w:rtl/>
        </w:rPr>
        <w:t xml:space="preserve"> </w:t>
      </w:r>
      <w:r w:rsidR="00965E08" w:rsidRPr="00282AC9">
        <w:rPr>
          <w:rFonts w:hint="cs"/>
          <w:sz w:val="27"/>
          <w:rtl/>
        </w:rPr>
        <w:t>تشير</w:t>
      </w:r>
      <w:r w:rsidR="00965E08" w:rsidRPr="00282AC9">
        <w:rPr>
          <w:sz w:val="27"/>
          <w:rtl/>
        </w:rPr>
        <w:t xml:space="preserve"> </w:t>
      </w:r>
      <w:r w:rsidR="00965E08" w:rsidRPr="00282AC9">
        <w:rPr>
          <w:rFonts w:hint="cs"/>
          <w:sz w:val="27"/>
          <w:rtl/>
        </w:rPr>
        <w:t>إلى</w:t>
      </w:r>
      <w:r w:rsidR="00965E08" w:rsidRPr="00282AC9">
        <w:rPr>
          <w:sz w:val="27"/>
          <w:rtl/>
        </w:rPr>
        <w:t xml:space="preserve"> </w:t>
      </w:r>
      <w:r w:rsidR="00965E08" w:rsidRPr="00282AC9">
        <w:rPr>
          <w:rFonts w:hint="cs"/>
          <w:sz w:val="27"/>
          <w:rtl/>
        </w:rPr>
        <w:t>ذلك</w:t>
      </w:r>
      <w:r w:rsidR="00965E08" w:rsidRPr="00282AC9">
        <w:rPr>
          <w:sz w:val="27"/>
          <w:rtl/>
        </w:rPr>
        <w:t xml:space="preserve"> </w:t>
      </w:r>
      <w:r w:rsidR="00965E08" w:rsidRPr="00282AC9">
        <w:rPr>
          <w:rFonts w:hint="cs"/>
          <w:sz w:val="27"/>
          <w:rtl/>
        </w:rPr>
        <w:t>جملةٌ</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آيات</w:t>
      </w:r>
      <w:r w:rsidR="00965E08" w:rsidRPr="00282AC9">
        <w:rPr>
          <w:sz w:val="27"/>
          <w:rtl/>
        </w:rPr>
        <w:t xml:space="preserve"> </w:t>
      </w:r>
      <w:r w:rsidR="00965E08" w:rsidRPr="00282AC9">
        <w:rPr>
          <w:rFonts w:hint="cs"/>
          <w:sz w:val="27"/>
          <w:rtl/>
        </w:rPr>
        <w:t>الكتاب</w:t>
      </w:r>
      <w:r w:rsidR="00965E08" w:rsidRPr="00282AC9">
        <w:rPr>
          <w:sz w:val="27"/>
          <w:rtl/>
        </w:rPr>
        <w:t xml:space="preserve"> </w:t>
      </w:r>
      <w:r w:rsidR="00965E08" w:rsidRPr="00282AC9">
        <w:rPr>
          <w:rFonts w:hint="cs"/>
          <w:sz w:val="27"/>
          <w:rtl/>
        </w:rPr>
        <w:t>الكريم</w:t>
      </w:r>
      <w:r w:rsidR="00F4623C" w:rsidRPr="00282AC9">
        <w:rPr>
          <w:rFonts w:hint="cs"/>
          <w:sz w:val="27"/>
          <w:rtl/>
        </w:rPr>
        <w:t>، و</w:t>
      </w:r>
      <w:r w:rsidR="00965E08" w:rsidRPr="00282AC9">
        <w:rPr>
          <w:rFonts w:hint="cs"/>
          <w:sz w:val="27"/>
          <w:rtl/>
        </w:rPr>
        <w:t>على</w:t>
      </w:r>
      <w:r w:rsidR="00965E08" w:rsidRPr="00282AC9">
        <w:rPr>
          <w:sz w:val="27"/>
          <w:rtl/>
        </w:rPr>
        <w:t xml:space="preserve"> </w:t>
      </w:r>
      <w:r w:rsidR="00965E08" w:rsidRPr="00282AC9">
        <w:rPr>
          <w:rFonts w:hint="cs"/>
          <w:sz w:val="27"/>
          <w:rtl/>
        </w:rPr>
        <w:t>سبيل</w:t>
      </w:r>
      <w:r w:rsidR="00965E08" w:rsidRPr="00282AC9">
        <w:rPr>
          <w:sz w:val="27"/>
          <w:rtl/>
        </w:rPr>
        <w:t xml:space="preserve"> </w:t>
      </w:r>
      <w:r w:rsidR="00965E08" w:rsidRPr="00282AC9">
        <w:rPr>
          <w:rFonts w:hint="cs"/>
          <w:sz w:val="27"/>
          <w:rtl/>
        </w:rPr>
        <w:t>المثال</w:t>
      </w:r>
      <w:r w:rsidR="00F4623C" w:rsidRPr="00282AC9">
        <w:rPr>
          <w:rFonts w:hint="cs"/>
          <w:sz w:val="27"/>
          <w:rtl/>
        </w:rPr>
        <w:t>:</w:t>
      </w:r>
      <w:r w:rsidR="00965E08" w:rsidRPr="00282AC9">
        <w:rPr>
          <w:rFonts w:hint="cs"/>
          <w:sz w:val="27"/>
          <w:rtl/>
        </w:rPr>
        <w:t xml:space="preserve"> قوله تعالى</w:t>
      </w:r>
      <w:r w:rsidR="00965E08" w:rsidRPr="00282AC9">
        <w:rPr>
          <w:sz w:val="27"/>
          <w:rtl/>
        </w:rPr>
        <w:t xml:space="preserve">: </w:t>
      </w:r>
      <w:r w:rsidR="00965E08" w:rsidRPr="00282AC9">
        <w:rPr>
          <w:rFonts w:ascii="Mosawi" w:hAnsi="Mosawi" w:cs="Mosawi"/>
          <w:sz w:val="24"/>
          <w:szCs w:val="24"/>
          <w:rtl/>
        </w:rPr>
        <w:t>﴿</w:t>
      </w:r>
      <w:r w:rsidR="00F4623C" w:rsidRPr="00282AC9">
        <w:rPr>
          <w:b/>
          <w:bCs/>
          <w:sz w:val="27"/>
          <w:rtl/>
        </w:rPr>
        <w:t>وَأُخْرَى تُحِبُّونَهَا نَصْرٌ مِنَ اللهِ وَفَتْحٌ قَرِيبٌ</w:t>
      </w:r>
      <w:r w:rsidR="00965E08" w:rsidRPr="00282AC9">
        <w:rPr>
          <w:rFonts w:ascii="Mosawi" w:hAnsi="Mosawi" w:cs="Mosawi"/>
          <w:sz w:val="24"/>
          <w:szCs w:val="24"/>
          <w:rtl/>
        </w:rPr>
        <w:t>﴾</w:t>
      </w:r>
      <w:r w:rsidR="00965E08" w:rsidRPr="00282AC9">
        <w:rPr>
          <w:rFonts w:asciiTheme="minorBidi" w:hAnsiTheme="minorBidi" w:hint="cs"/>
          <w:sz w:val="27"/>
          <w:rtl/>
        </w:rPr>
        <w:t xml:space="preserve"> (الصف: 13)</w:t>
      </w:r>
      <w:r w:rsidR="00965E08" w:rsidRPr="00282AC9">
        <w:rPr>
          <w:rFonts w:hint="cs"/>
          <w:sz w:val="27"/>
          <w:rtl/>
        </w:rPr>
        <w:t>.</w:t>
      </w:r>
    </w:p>
    <w:p w:rsidR="00965E08" w:rsidRPr="00282AC9" w:rsidRDefault="00965E08" w:rsidP="003062B7">
      <w:pPr>
        <w:rPr>
          <w:sz w:val="27"/>
          <w:rtl/>
        </w:rPr>
      </w:pPr>
      <w:r w:rsidRPr="00282AC9">
        <w:rPr>
          <w:rFonts w:hint="cs"/>
          <w:sz w:val="27"/>
          <w:rtl/>
        </w:rPr>
        <w:t>فنلاحظ عد</w:t>
      </w:r>
      <w:r w:rsidR="00F4623C" w:rsidRPr="00282AC9">
        <w:rPr>
          <w:rFonts w:hint="cs"/>
          <w:sz w:val="27"/>
          <w:rtl/>
        </w:rPr>
        <w:t>ّ</w:t>
      </w:r>
      <w:r w:rsidRPr="00282AC9">
        <w:rPr>
          <w:rFonts w:hint="cs"/>
          <w:sz w:val="27"/>
          <w:rtl/>
        </w:rPr>
        <w:t xml:space="preserve">ة </w:t>
      </w:r>
      <w:r w:rsidR="00F4623C" w:rsidRPr="00282AC9">
        <w:rPr>
          <w:rFonts w:hint="cs"/>
          <w:sz w:val="27"/>
          <w:rtl/>
        </w:rPr>
        <w:t>أ</w:t>
      </w:r>
      <w:r w:rsidRPr="00282AC9">
        <w:rPr>
          <w:rFonts w:hint="cs"/>
          <w:sz w:val="27"/>
          <w:rtl/>
        </w:rPr>
        <w:t>مور:</w:t>
      </w:r>
    </w:p>
    <w:p w:rsidR="00965E08" w:rsidRPr="00282AC9" w:rsidRDefault="00F4623C" w:rsidP="003062B7">
      <w:pPr>
        <w:pStyle w:val="afe"/>
        <w:spacing w:after="0" w:line="400" w:lineRule="exact"/>
        <w:ind w:left="0" w:firstLine="567"/>
        <w:contextualSpacing/>
        <w:jc w:val="both"/>
        <w:rPr>
          <w:rFonts w:cs="AL-Mohanad"/>
          <w:sz w:val="27"/>
          <w:szCs w:val="27"/>
          <w:rtl/>
        </w:rPr>
      </w:pPr>
      <w:r w:rsidRPr="00282AC9">
        <w:rPr>
          <w:rFonts w:cs="AL-Mohanad" w:hint="cs"/>
          <w:sz w:val="27"/>
          <w:szCs w:val="27"/>
          <w:rtl/>
        </w:rPr>
        <w:t xml:space="preserve">1ـ </w:t>
      </w:r>
      <w:r w:rsidR="00965E08" w:rsidRPr="00282AC9">
        <w:rPr>
          <w:rFonts w:cs="AL-Mohanad" w:hint="cs"/>
          <w:sz w:val="27"/>
          <w:szCs w:val="27"/>
          <w:rtl/>
        </w:rPr>
        <w:t>هناك</w:t>
      </w:r>
      <w:r w:rsidR="00965E08" w:rsidRPr="00282AC9">
        <w:rPr>
          <w:rFonts w:cs="AL-Mohanad"/>
          <w:sz w:val="27"/>
          <w:szCs w:val="27"/>
          <w:rtl/>
        </w:rPr>
        <w:t xml:space="preserve"> </w:t>
      </w:r>
      <w:r w:rsidR="00965E08" w:rsidRPr="00282AC9">
        <w:rPr>
          <w:rFonts w:cs="AL-Mohanad" w:hint="cs"/>
          <w:sz w:val="27"/>
          <w:szCs w:val="27"/>
          <w:rtl/>
        </w:rPr>
        <w:t>فارقٌ</w:t>
      </w:r>
      <w:r w:rsidR="00965E08" w:rsidRPr="00282AC9">
        <w:rPr>
          <w:rFonts w:cs="AL-Mohanad"/>
          <w:sz w:val="27"/>
          <w:szCs w:val="27"/>
          <w:rtl/>
        </w:rPr>
        <w:t xml:space="preserve"> </w:t>
      </w:r>
      <w:r w:rsidR="00965E08" w:rsidRPr="00282AC9">
        <w:rPr>
          <w:rFonts w:cs="AL-Mohanad" w:hint="cs"/>
          <w:sz w:val="27"/>
          <w:szCs w:val="27"/>
          <w:rtl/>
        </w:rPr>
        <w:t>في</w:t>
      </w:r>
      <w:r w:rsidR="00965E08" w:rsidRPr="00282AC9">
        <w:rPr>
          <w:rFonts w:cs="AL-Mohanad"/>
          <w:sz w:val="27"/>
          <w:szCs w:val="27"/>
          <w:rtl/>
        </w:rPr>
        <w:t xml:space="preserve"> </w:t>
      </w:r>
      <w:r w:rsidR="00965E08" w:rsidRPr="00282AC9">
        <w:rPr>
          <w:rFonts w:cs="AL-Mohanad" w:hint="cs"/>
          <w:sz w:val="27"/>
          <w:szCs w:val="27"/>
          <w:rtl/>
        </w:rPr>
        <w:t>التعبير، وعنايةٌ</w:t>
      </w:r>
      <w:r w:rsidR="00965E08" w:rsidRPr="00282AC9">
        <w:rPr>
          <w:rFonts w:cs="AL-Mohanad"/>
          <w:sz w:val="27"/>
          <w:szCs w:val="27"/>
          <w:rtl/>
        </w:rPr>
        <w:t xml:space="preserve"> </w:t>
      </w:r>
      <w:r w:rsidR="00965E08" w:rsidRPr="00282AC9">
        <w:rPr>
          <w:rFonts w:cs="AL-Mohanad" w:hint="cs"/>
          <w:sz w:val="27"/>
          <w:szCs w:val="27"/>
          <w:rtl/>
        </w:rPr>
        <w:t>بلاغيةٌ</w:t>
      </w:r>
      <w:r w:rsidR="00965E08" w:rsidRPr="00282AC9">
        <w:rPr>
          <w:rFonts w:cs="AL-Mohanad"/>
          <w:sz w:val="27"/>
          <w:szCs w:val="27"/>
          <w:rtl/>
        </w:rPr>
        <w:t xml:space="preserve"> </w:t>
      </w:r>
      <w:r w:rsidR="00965E08" w:rsidRPr="00282AC9">
        <w:rPr>
          <w:rFonts w:cs="AL-Mohanad" w:hint="cs"/>
          <w:sz w:val="27"/>
          <w:szCs w:val="27"/>
          <w:rtl/>
        </w:rPr>
        <w:t>في</w:t>
      </w:r>
      <w:r w:rsidR="00965E08" w:rsidRPr="00282AC9">
        <w:rPr>
          <w:rFonts w:cs="AL-Mohanad"/>
          <w:sz w:val="27"/>
          <w:szCs w:val="27"/>
          <w:rtl/>
        </w:rPr>
        <w:t xml:space="preserve"> </w:t>
      </w:r>
      <w:r w:rsidR="00965E08" w:rsidRPr="00282AC9">
        <w:rPr>
          <w:rFonts w:cs="AL-Mohanad" w:hint="cs"/>
          <w:sz w:val="27"/>
          <w:szCs w:val="27"/>
          <w:rtl/>
        </w:rPr>
        <w:t>التمييز</w:t>
      </w:r>
      <w:r w:rsidR="00965E08" w:rsidRPr="00282AC9">
        <w:rPr>
          <w:rFonts w:cs="AL-Mohanad"/>
          <w:sz w:val="27"/>
          <w:szCs w:val="27"/>
          <w:rtl/>
        </w:rPr>
        <w:t xml:space="preserve"> </w:t>
      </w:r>
      <w:r w:rsidR="00965E08" w:rsidRPr="00282AC9">
        <w:rPr>
          <w:rFonts w:cs="AL-Mohanad" w:hint="cs"/>
          <w:sz w:val="27"/>
          <w:szCs w:val="27"/>
          <w:rtl/>
        </w:rPr>
        <w:t>بين</w:t>
      </w:r>
      <w:r w:rsidR="00965E08" w:rsidRPr="00282AC9">
        <w:rPr>
          <w:rFonts w:cs="AL-Mohanad"/>
          <w:sz w:val="27"/>
          <w:szCs w:val="27"/>
          <w:rtl/>
        </w:rPr>
        <w:t xml:space="preserve"> </w:t>
      </w:r>
      <w:r w:rsidR="00965E08" w:rsidRPr="00282AC9">
        <w:rPr>
          <w:rFonts w:cs="AL-Mohanad" w:hint="cs"/>
          <w:sz w:val="27"/>
          <w:szCs w:val="27"/>
          <w:rtl/>
        </w:rPr>
        <w:t>هذه</w:t>
      </w:r>
      <w:r w:rsidR="00965E08" w:rsidRPr="00282AC9">
        <w:rPr>
          <w:rFonts w:cs="AL-Mohanad"/>
          <w:sz w:val="27"/>
          <w:szCs w:val="27"/>
          <w:rtl/>
        </w:rPr>
        <w:t xml:space="preserve"> </w:t>
      </w:r>
      <w:r w:rsidR="00965E08" w:rsidRPr="00282AC9">
        <w:rPr>
          <w:rFonts w:cs="AL-Mohanad" w:hint="cs"/>
          <w:sz w:val="27"/>
          <w:szCs w:val="27"/>
          <w:rtl/>
        </w:rPr>
        <w:t>الآية</w:t>
      </w:r>
      <w:r w:rsidR="00965E08" w:rsidRPr="00282AC9">
        <w:rPr>
          <w:rFonts w:cs="AL-Mohanad"/>
          <w:sz w:val="27"/>
          <w:szCs w:val="27"/>
          <w:rtl/>
        </w:rPr>
        <w:t xml:space="preserve"> </w:t>
      </w:r>
      <w:r w:rsidR="00965E08" w:rsidRPr="00282AC9">
        <w:rPr>
          <w:rFonts w:cs="AL-Mohanad" w:hint="cs"/>
          <w:sz w:val="27"/>
          <w:szCs w:val="27"/>
          <w:rtl/>
        </w:rPr>
        <w:t>وبين</w:t>
      </w:r>
      <w:r w:rsidR="00965E08" w:rsidRPr="00282AC9">
        <w:rPr>
          <w:rFonts w:cs="AL-Mohanad"/>
          <w:sz w:val="27"/>
          <w:szCs w:val="27"/>
          <w:rtl/>
        </w:rPr>
        <w:t xml:space="preserve"> </w:t>
      </w:r>
      <w:r w:rsidR="00965E08" w:rsidRPr="00282AC9">
        <w:rPr>
          <w:rFonts w:cs="AL-Mohanad" w:hint="cs"/>
          <w:sz w:val="27"/>
          <w:szCs w:val="27"/>
          <w:rtl/>
        </w:rPr>
        <w:t>ما</w:t>
      </w:r>
      <w:r w:rsidR="00965E08" w:rsidRPr="00282AC9">
        <w:rPr>
          <w:rFonts w:cs="AL-Mohanad"/>
          <w:sz w:val="27"/>
          <w:szCs w:val="27"/>
          <w:rtl/>
        </w:rPr>
        <w:t xml:space="preserve"> </w:t>
      </w:r>
      <w:r w:rsidR="00965E08" w:rsidRPr="00282AC9">
        <w:rPr>
          <w:rFonts w:cs="AL-Mohanad" w:hint="cs"/>
          <w:sz w:val="27"/>
          <w:szCs w:val="27"/>
          <w:rtl/>
        </w:rPr>
        <w:t>جاء</w:t>
      </w:r>
      <w:r w:rsidR="00965E08" w:rsidRPr="00282AC9">
        <w:rPr>
          <w:rFonts w:cs="AL-Mohanad"/>
          <w:sz w:val="27"/>
          <w:szCs w:val="27"/>
          <w:rtl/>
        </w:rPr>
        <w:t xml:space="preserve"> </w:t>
      </w:r>
      <w:r w:rsidR="00965E08" w:rsidRPr="00282AC9">
        <w:rPr>
          <w:rFonts w:cs="AL-Mohanad" w:hint="cs"/>
          <w:sz w:val="27"/>
          <w:szCs w:val="27"/>
          <w:rtl/>
        </w:rPr>
        <w:t>في</w:t>
      </w:r>
      <w:r w:rsidR="00965E08" w:rsidRPr="00282AC9">
        <w:rPr>
          <w:rFonts w:cs="AL-Mohanad"/>
          <w:sz w:val="27"/>
          <w:szCs w:val="27"/>
          <w:rtl/>
        </w:rPr>
        <w:t xml:space="preserve"> </w:t>
      </w:r>
      <w:r w:rsidR="00965E08" w:rsidRPr="00282AC9">
        <w:rPr>
          <w:rFonts w:cs="AL-Mohanad" w:hint="cs"/>
          <w:sz w:val="27"/>
          <w:szCs w:val="27"/>
          <w:rtl/>
        </w:rPr>
        <w:t>سورة</w:t>
      </w:r>
      <w:r w:rsidR="00965E08" w:rsidRPr="00282AC9">
        <w:rPr>
          <w:rFonts w:cs="AL-Mohanad"/>
          <w:sz w:val="27"/>
          <w:szCs w:val="27"/>
          <w:rtl/>
        </w:rPr>
        <w:t xml:space="preserve"> </w:t>
      </w:r>
      <w:r w:rsidR="00965E08" w:rsidRPr="00282AC9">
        <w:rPr>
          <w:rFonts w:cs="AL-Mohanad" w:hint="cs"/>
          <w:sz w:val="27"/>
          <w:szCs w:val="27"/>
          <w:rtl/>
        </w:rPr>
        <w:t>النصر</w:t>
      </w:r>
      <w:r w:rsidRPr="00282AC9">
        <w:rPr>
          <w:rFonts w:cs="AL-Mohanad" w:hint="cs"/>
          <w:sz w:val="27"/>
          <w:szCs w:val="27"/>
          <w:rtl/>
        </w:rPr>
        <w:t>؛</w:t>
      </w:r>
      <w:r w:rsidR="00965E08" w:rsidRPr="00282AC9">
        <w:rPr>
          <w:rFonts w:cs="AL-Mohanad" w:hint="cs"/>
          <w:sz w:val="27"/>
          <w:szCs w:val="27"/>
          <w:rtl/>
        </w:rPr>
        <w:t xml:space="preserve"> ففي</w:t>
      </w:r>
      <w:r w:rsidR="00965E08" w:rsidRPr="00282AC9">
        <w:rPr>
          <w:rFonts w:cs="AL-Mohanad"/>
          <w:sz w:val="27"/>
          <w:szCs w:val="27"/>
          <w:rtl/>
        </w:rPr>
        <w:t xml:space="preserve"> </w:t>
      </w:r>
      <w:r w:rsidR="00965E08" w:rsidRPr="00282AC9">
        <w:rPr>
          <w:rFonts w:cs="AL-Mohanad" w:hint="cs"/>
          <w:sz w:val="27"/>
          <w:szCs w:val="27"/>
          <w:rtl/>
        </w:rPr>
        <w:t>هذه</w:t>
      </w:r>
      <w:r w:rsidR="00965E08" w:rsidRPr="00282AC9">
        <w:rPr>
          <w:rFonts w:cs="AL-Mohanad"/>
          <w:sz w:val="27"/>
          <w:szCs w:val="27"/>
          <w:rtl/>
        </w:rPr>
        <w:t xml:space="preserve"> </w:t>
      </w:r>
      <w:r w:rsidR="00965E08" w:rsidRPr="00282AC9">
        <w:rPr>
          <w:rFonts w:cs="AL-Mohanad" w:hint="cs"/>
          <w:sz w:val="27"/>
          <w:szCs w:val="27"/>
          <w:rtl/>
        </w:rPr>
        <w:t>الآية</w:t>
      </w:r>
      <w:r w:rsidR="00965E08" w:rsidRPr="00282AC9">
        <w:rPr>
          <w:rFonts w:cs="AL-Mohanad"/>
          <w:sz w:val="27"/>
          <w:szCs w:val="27"/>
          <w:rtl/>
        </w:rPr>
        <w:t xml:space="preserve"> </w:t>
      </w:r>
      <w:r w:rsidR="00965E08" w:rsidRPr="00282AC9">
        <w:rPr>
          <w:rFonts w:cs="AL-Mohanad" w:hint="cs"/>
          <w:sz w:val="27"/>
          <w:szCs w:val="27"/>
          <w:rtl/>
        </w:rPr>
        <w:t>جاء</w:t>
      </w:r>
      <w:r w:rsidR="00965E08" w:rsidRPr="00282AC9">
        <w:rPr>
          <w:rFonts w:cs="AL-Mohanad"/>
          <w:sz w:val="27"/>
          <w:szCs w:val="27"/>
          <w:rtl/>
        </w:rPr>
        <w:t xml:space="preserve"> </w:t>
      </w:r>
      <w:r w:rsidR="00965E08" w:rsidRPr="00282AC9">
        <w:rPr>
          <w:rFonts w:cs="AL-Mohanad" w:hint="cs"/>
          <w:sz w:val="27"/>
          <w:szCs w:val="27"/>
          <w:rtl/>
        </w:rPr>
        <w:t>هذا</w:t>
      </w:r>
      <w:r w:rsidR="00965E08" w:rsidRPr="00282AC9">
        <w:rPr>
          <w:rFonts w:cs="AL-Mohanad"/>
          <w:sz w:val="27"/>
          <w:szCs w:val="27"/>
          <w:rtl/>
        </w:rPr>
        <w:t xml:space="preserve"> </w:t>
      </w:r>
      <w:r w:rsidR="00965E08" w:rsidRPr="00282AC9">
        <w:rPr>
          <w:rFonts w:cs="AL-Mohanad" w:hint="cs"/>
          <w:sz w:val="27"/>
          <w:szCs w:val="27"/>
          <w:rtl/>
        </w:rPr>
        <w:t>التعبير</w:t>
      </w:r>
      <w:r w:rsidR="00965E08" w:rsidRPr="00282AC9">
        <w:rPr>
          <w:rFonts w:cs="AL-Mohanad"/>
          <w:sz w:val="27"/>
          <w:szCs w:val="27"/>
          <w:rtl/>
        </w:rPr>
        <w:t xml:space="preserve">: </w:t>
      </w:r>
      <w:r w:rsidR="00965E08" w:rsidRPr="00282AC9">
        <w:rPr>
          <w:rFonts w:ascii="Mosawi" w:hAnsi="Mosawi" w:cs="Mosawi"/>
          <w:sz w:val="24"/>
          <w:szCs w:val="24"/>
          <w:rtl/>
        </w:rPr>
        <w:t>﴿</w:t>
      </w:r>
      <w:r w:rsidR="00965E08" w:rsidRPr="00282AC9">
        <w:rPr>
          <w:rFonts w:cs="AL-Mohanad" w:hint="cs"/>
          <w:b/>
          <w:bCs/>
          <w:sz w:val="27"/>
          <w:szCs w:val="27"/>
          <w:rtl/>
        </w:rPr>
        <w:t>ن</w:t>
      </w:r>
      <w:r w:rsidRPr="00282AC9">
        <w:rPr>
          <w:rFonts w:cs="AL-Mohanad" w:hint="cs"/>
          <w:b/>
          <w:bCs/>
          <w:sz w:val="27"/>
          <w:szCs w:val="27"/>
          <w:rtl/>
        </w:rPr>
        <w:t>َ</w:t>
      </w:r>
      <w:r w:rsidR="00965E08" w:rsidRPr="00282AC9">
        <w:rPr>
          <w:rFonts w:cs="AL-Mohanad" w:hint="cs"/>
          <w:b/>
          <w:bCs/>
          <w:sz w:val="27"/>
          <w:szCs w:val="27"/>
          <w:rtl/>
        </w:rPr>
        <w:t>ص</w:t>
      </w:r>
      <w:r w:rsidRPr="00282AC9">
        <w:rPr>
          <w:rFonts w:cs="AL-Mohanad" w:hint="cs"/>
          <w:b/>
          <w:bCs/>
          <w:sz w:val="27"/>
          <w:szCs w:val="27"/>
          <w:rtl/>
        </w:rPr>
        <w:t>ْ</w:t>
      </w:r>
      <w:r w:rsidR="00965E08" w:rsidRPr="00282AC9">
        <w:rPr>
          <w:rFonts w:cs="AL-Mohanad" w:hint="cs"/>
          <w:b/>
          <w:bCs/>
          <w:sz w:val="27"/>
          <w:szCs w:val="27"/>
          <w:rtl/>
        </w:rPr>
        <w:t>رٌ</w:t>
      </w:r>
      <w:r w:rsidR="00965E08" w:rsidRPr="00282AC9">
        <w:rPr>
          <w:rFonts w:cs="AL-Mohanad"/>
          <w:b/>
          <w:bCs/>
          <w:sz w:val="27"/>
          <w:szCs w:val="27"/>
          <w:rtl/>
        </w:rPr>
        <w:t xml:space="preserve"> </w:t>
      </w:r>
      <w:r w:rsidR="00965E08" w:rsidRPr="00282AC9">
        <w:rPr>
          <w:rFonts w:cs="AL-Mohanad" w:hint="cs"/>
          <w:b/>
          <w:bCs/>
          <w:sz w:val="27"/>
          <w:szCs w:val="27"/>
          <w:rtl/>
        </w:rPr>
        <w:t>م</w:t>
      </w:r>
      <w:r w:rsidRPr="00282AC9">
        <w:rPr>
          <w:rFonts w:cs="AL-Mohanad" w:hint="cs"/>
          <w:b/>
          <w:bCs/>
          <w:sz w:val="27"/>
          <w:szCs w:val="27"/>
          <w:rtl/>
        </w:rPr>
        <w:t>ِ</w:t>
      </w:r>
      <w:r w:rsidR="00965E08" w:rsidRPr="00282AC9">
        <w:rPr>
          <w:rFonts w:cs="AL-Mohanad" w:hint="cs"/>
          <w:b/>
          <w:bCs/>
          <w:sz w:val="27"/>
          <w:szCs w:val="27"/>
          <w:rtl/>
        </w:rPr>
        <w:t>ن</w:t>
      </w:r>
      <w:r w:rsidRPr="00282AC9">
        <w:rPr>
          <w:rFonts w:cs="AL-Mohanad" w:hint="cs"/>
          <w:b/>
          <w:bCs/>
          <w:sz w:val="27"/>
          <w:szCs w:val="27"/>
          <w:rtl/>
        </w:rPr>
        <w:t>َ</w:t>
      </w:r>
      <w:r w:rsidR="00965E08" w:rsidRPr="00282AC9">
        <w:rPr>
          <w:rFonts w:cs="AL-Mohanad"/>
          <w:b/>
          <w:bCs/>
          <w:sz w:val="27"/>
          <w:szCs w:val="27"/>
          <w:rtl/>
        </w:rPr>
        <w:t xml:space="preserve"> </w:t>
      </w:r>
      <w:r w:rsidR="00965E08" w:rsidRPr="00282AC9">
        <w:rPr>
          <w:rFonts w:cs="AL-Mohanad" w:hint="cs"/>
          <w:b/>
          <w:bCs/>
          <w:sz w:val="27"/>
          <w:szCs w:val="27"/>
          <w:rtl/>
        </w:rPr>
        <w:t>الله</w:t>
      </w:r>
      <w:r w:rsidRPr="00282AC9">
        <w:rPr>
          <w:rFonts w:cs="AL-Mohanad" w:hint="cs"/>
          <w:b/>
          <w:bCs/>
          <w:sz w:val="27"/>
          <w:szCs w:val="27"/>
          <w:rtl/>
        </w:rPr>
        <w:t>ِ</w:t>
      </w:r>
      <w:r w:rsidR="00965E08" w:rsidRPr="00282AC9">
        <w:rPr>
          <w:rFonts w:ascii="Mosawi" w:hAnsi="Mosawi" w:cs="Mosawi"/>
          <w:sz w:val="24"/>
          <w:szCs w:val="24"/>
          <w:rtl/>
        </w:rPr>
        <w:t>﴾</w:t>
      </w:r>
      <w:r w:rsidRPr="00282AC9">
        <w:rPr>
          <w:rFonts w:cs="AL-Mohanad" w:hint="cs"/>
          <w:sz w:val="27"/>
          <w:szCs w:val="27"/>
          <w:rtl/>
        </w:rPr>
        <w:t>،</w:t>
      </w:r>
      <w:r w:rsidR="00965E08" w:rsidRPr="00282AC9">
        <w:rPr>
          <w:rFonts w:cs="AL-Mohanad"/>
          <w:sz w:val="27"/>
          <w:szCs w:val="27"/>
          <w:rtl/>
        </w:rPr>
        <w:t xml:space="preserve"> </w:t>
      </w:r>
      <w:r w:rsidR="00965E08" w:rsidRPr="00282AC9">
        <w:rPr>
          <w:rFonts w:cs="AL-Mohanad" w:hint="cs"/>
          <w:sz w:val="27"/>
          <w:szCs w:val="27"/>
          <w:rtl/>
        </w:rPr>
        <w:t>يعني</w:t>
      </w:r>
      <w:r w:rsidR="00965E08" w:rsidRPr="00282AC9">
        <w:rPr>
          <w:rFonts w:cs="AL-Mohanad"/>
          <w:sz w:val="27"/>
          <w:szCs w:val="27"/>
          <w:rtl/>
        </w:rPr>
        <w:t xml:space="preserve"> </w:t>
      </w:r>
      <w:r w:rsidR="00965E08" w:rsidRPr="00282AC9">
        <w:rPr>
          <w:rFonts w:cs="AL-Mohanad" w:hint="cs"/>
          <w:sz w:val="27"/>
          <w:szCs w:val="27"/>
          <w:rtl/>
        </w:rPr>
        <w:t>عطاءٌ</w:t>
      </w:r>
      <w:r w:rsidR="00965E08" w:rsidRPr="00282AC9">
        <w:rPr>
          <w:rFonts w:cs="AL-Mohanad"/>
          <w:sz w:val="27"/>
          <w:szCs w:val="27"/>
          <w:rtl/>
        </w:rPr>
        <w:t xml:space="preserve"> </w:t>
      </w:r>
      <w:r w:rsidR="00965E08" w:rsidRPr="00282AC9">
        <w:rPr>
          <w:rFonts w:cs="AL-Mohanad" w:hint="cs"/>
          <w:sz w:val="27"/>
          <w:szCs w:val="27"/>
          <w:rtl/>
        </w:rPr>
        <w:t>من</w:t>
      </w:r>
      <w:r w:rsidR="00965E08" w:rsidRPr="00282AC9">
        <w:rPr>
          <w:rFonts w:cs="AL-Mohanad"/>
          <w:sz w:val="27"/>
          <w:szCs w:val="27"/>
          <w:rtl/>
        </w:rPr>
        <w:t xml:space="preserve"> </w:t>
      </w:r>
      <w:r w:rsidR="00965E08" w:rsidRPr="00282AC9">
        <w:rPr>
          <w:rFonts w:cs="AL-Mohanad" w:hint="cs"/>
          <w:sz w:val="27"/>
          <w:szCs w:val="27"/>
          <w:rtl/>
        </w:rPr>
        <w:t>عطاء</w:t>
      </w:r>
      <w:r w:rsidR="00965E08" w:rsidRPr="00282AC9">
        <w:rPr>
          <w:rFonts w:cs="AL-Mohanad"/>
          <w:sz w:val="27"/>
          <w:szCs w:val="27"/>
          <w:rtl/>
        </w:rPr>
        <w:t xml:space="preserve"> </w:t>
      </w:r>
      <w:r w:rsidR="00965E08" w:rsidRPr="00282AC9">
        <w:rPr>
          <w:rFonts w:cs="AL-Mohanad" w:hint="cs"/>
          <w:sz w:val="27"/>
          <w:szCs w:val="27"/>
          <w:rtl/>
        </w:rPr>
        <w:t>الله</w:t>
      </w:r>
      <w:r w:rsidRPr="00282AC9">
        <w:rPr>
          <w:rFonts w:cs="AL-Mohanad" w:hint="cs"/>
          <w:sz w:val="27"/>
          <w:szCs w:val="27"/>
          <w:rtl/>
        </w:rPr>
        <w:t>؛</w:t>
      </w:r>
      <w:r w:rsidR="00965E08" w:rsidRPr="00282AC9">
        <w:rPr>
          <w:rFonts w:cs="AL-Mohanad" w:hint="cs"/>
          <w:sz w:val="27"/>
          <w:szCs w:val="27"/>
          <w:rtl/>
        </w:rPr>
        <w:t xml:space="preserve"> بينما</w:t>
      </w:r>
      <w:r w:rsidR="00965E08" w:rsidRPr="00282AC9">
        <w:rPr>
          <w:rFonts w:cs="AL-Mohanad"/>
          <w:sz w:val="27"/>
          <w:szCs w:val="27"/>
          <w:rtl/>
        </w:rPr>
        <w:t xml:space="preserve"> </w:t>
      </w:r>
      <w:r w:rsidR="00965E08" w:rsidRPr="00282AC9">
        <w:rPr>
          <w:rFonts w:cs="AL-Mohanad" w:hint="cs"/>
          <w:sz w:val="27"/>
          <w:szCs w:val="27"/>
          <w:rtl/>
        </w:rPr>
        <w:t>في</w:t>
      </w:r>
      <w:r w:rsidR="00965E08" w:rsidRPr="00282AC9">
        <w:rPr>
          <w:rFonts w:cs="AL-Mohanad"/>
          <w:sz w:val="27"/>
          <w:szCs w:val="27"/>
          <w:rtl/>
        </w:rPr>
        <w:t xml:space="preserve"> </w:t>
      </w:r>
      <w:r w:rsidR="00965E08" w:rsidRPr="00282AC9">
        <w:rPr>
          <w:rFonts w:cs="AL-Mohanad" w:hint="cs"/>
          <w:sz w:val="27"/>
          <w:szCs w:val="27"/>
          <w:rtl/>
        </w:rPr>
        <w:t>سورة</w:t>
      </w:r>
      <w:r w:rsidR="00965E08" w:rsidRPr="00282AC9">
        <w:rPr>
          <w:rFonts w:cs="AL-Mohanad"/>
          <w:sz w:val="27"/>
          <w:szCs w:val="27"/>
          <w:rtl/>
        </w:rPr>
        <w:t xml:space="preserve"> </w:t>
      </w:r>
      <w:r w:rsidR="00965E08" w:rsidRPr="00282AC9">
        <w:rPr>
          <w:rFonts w:cs="AL-Mohanad" w:hint="cs"/>
          <w:sz w:val="27"/>
          <w:szCs w:val="27"/>
          <w:rtl/>
        </w:rPr>
        <w:t>النصر</w:t>
      </w:r>
      <w:r w:rsidR="00965E08" w:rsidRPr="00282AC9">
        <w:rPr>
          <w:rFonts w:cs="AL-Mohanad"/>
          <w:sz w:val="27"/>
          <w:szCs w:val="27"/>
          <w:rtl/>
        </w:rPr>
        <w:t xml:space="preserve"> </w:t>
      </w:r>
      <w:r w:rsidR="00965E08" w:rsidRPr="00282AC9">
        <w:rPr>
          <w:rFonts w:cs="AL-Mohanad" w:hint="cs"/>
          <w:sz w:val="27"/>
          <w:szCs w:val="27"/>
          <w:rtl/>
        </w:rPr>
        <w:t>جاءت</w:t>
      </w:r>
      <w:r w:rsidR="00965E08" w:rsidRPr="00282AC9">
        <w:rPr>
          <w:rFonts w:cs="AL-Mohanad"/>
          <w:sz w:val="27"/>
          <w:szCs w:val="27"/>
          <w:rtl/>
        </w:rPr>
        <w:t xml:space="preserve"> </w:t>
      </w:r>
      <w:r w:rsidR="00965E08" w:rsidRPr="00282AC9">
        <w:rPr>
          <w:rFonts w:cs="AL-Mohanad" w:hint="cs"/>
          <w:sz w:val="27"/>
          <w:szCs w:val="27"/>
          <w:rtl/>
        </w:rPr>
        <w:t>هذه</w:t>
      </w:r>
      <w:r w:rsidR="00965E08" w:rsidRPr="00282AC9">
        <w:rPr>
          <w:rFonts w:cs="AL-Mohanad"/>
          <w:sz w:val="27"/>
          <w:szCs w:val="27"/>
          <w:rtl/>
        </w:rPr>
        <w:t xml:space="preserve"> </w:t>
      </w:r>
      <w:r w:rsidR="00965E08" w:rsidRPr="00282AC9">
        <w:rPr>
          <w:rFonts w:cs="AL-Mohanad" w:hint="cs"/>
          <w:sz w:val="27"/>
          <w:szCs w:val="27"/>
          <w:rtl/>
        </w:rPr>
        <w:t>الصيغة</w:t>
      </w:r>
      <w:r w:rsidR="00965E08" w:rsidRPr="00282AC9">
        <w:rPr>
          <w:rFonts w:cs="AL-Mohanad"/>
          <w:sz w:val="27"/>
          <w:szCs w:val="27"/>
          <w:rtl/>
        </w:rPr>
        <w:t xml:space="preserve">: </w:t>
      </w:r>
      <w:r w:rsidR="00965E08" w:rsidRPr="00282AC9">
        <w:rPr>
          <w:rFonts w:ascii="Mosawi" w:hAnsi="Mosawi" w:cs="Mosawi"/>
          <w:sz w:val="24"/>
          <w:szCs w:val="24"/>
          <w:rtl/>
        </w:rPr>
        <w:t>﴿</w:t>
      </w:r>
      <w:r w:rsidR="00965E08" w:rsidRPr="00282AC9">
        <w:rPr>
          <w:rFonts w:cs="AL-Mohanad" w:hint="cs"/>
          <w:b/>
          <w:bCs/>
          <w:sz w:val="27"/>
          <w:szCs w:val="27"/>
          <w:rtl/>
        </w:rPr>
        <w:t>ن</w:t>
      </w:r>
      <w:r w:rsidRPr="00282AC9">
        <w:rPr>
          <w:rFonts w:cs="AL-Mohanad" w:hint="cs"/>
          <w:b/>
          <w:bCs/>
          <w:sz w:val="27"/>
          <w:szCs w:val="27"/>
          <w:rtl/>
        </w:rPr>
        <w:t>َ</w:t>
      </w:r>
      <w:r w:rsidR="00965E08" w:rsidRPr="00282AC9">
        <w:rPr>
          <w:rFonts w:cs="AL-Mohanad" w:hint="cs"/>
          <w:b/>
          <w:bCs/>
          <w:sz w:val="27"/>
          <w:szCs w:val="27"/>
          <w:rtl/>
        </w:rPr>
        <w:t>ص</w:t>
      </w:r>
      <w:r w:rsidRPr="00282AC9">
        <w:rPr>
          <w:rFonts w:cs="AL-Mohanad" w:hint="cs"/>
          <w:b/>
          <w:bCs/>
          <w:sz w:val="27"/>
          <w:szCs w:val="27"/>
          <w:rtl/>
        </w:rPr>
        <w:t>ْ</w:t>
      </w:r>
      <w:r w:rsidR="00965E08" w:rsidRPr="00282AC9">
        <w:rPr>
          <w:rFonts w:cs="AL-Mohanad" w:hint="cs"/>
          <w:b/>
          <w:bCs/>
          <w:sz w:val="27"/>
          <w:szCs w:val="27"/>
          <w:rtl/>
        </w:rPr>
        <w:t>ر</w:t>
      </w:r>
      <w:r w:rsidRPr="00282AC9">
        <w:rPr>
          <w:rFonts w:cs="AL-Mohanad" w:hint="cs"/>
          <w:b/>
          <w:bCs/>
          <w:sz w:val="27"/>
          <w:szCs w:val="27"/>
          <w:rtl/>
        </w:rPr>
        <w:t>ُ</w:t>
      </w:r>
      <w:r w:rsidR="00965E08" w:rsidRPr="00282AC9">
        <w:rPr>
          <w:rFonts w:cs="AL-Mohanad"/>
          <w:b/>
          <w:bCs/>
          <w:sz w:val="27"/>
          <w:szCs w:val="27"/>
          <w:rtl/>
        </w:rPr>
        <w:t xml:space="preserve"> </w:t>
      </w:r>
      <w:r w:rsidR="00965E08" w:rsidRPr="00282AC9">
        <w:rPr>
          <w:rFonts w:cs="AL-Mohanad" w:hint="cs"/>
          <w:b/>
          <w:bCs/>
          <w:sz w:val="27"/>
          <w:szCs w:val="27"/>
          <w:rtl/>
        </w:rPr>
        <w:t>الله</w:t>
      </w:r>
      <w:r w:rsidRPr="00282AC9">
        <w:rPr>
          <w:rFonts w:cs="AL-Mohanad" w:hint="cs"/>
          <w:b/>
          <w:bCs/>
          <w:sz w:val="27"/>
          <w:szCs w:val="27"/>
          <w:rtl/>
        </w:rPr>
        <w:t>ِ</w:t>
      </w:r>
      <w:r w:rsidR="00965E08" w:rsidRPr="00282AC9">
        <w:rPr>
          <w:rFonts w:ascii="Mosawi" w:hAnsi="Mosawi" w:cs="Mosawi"/>
          <w:sz w:val="24"/>
          <w:szCs w:val="24"/>
          <w:rtl/>
        </w:rPr>
        <w:t>﴾</w:t>
      </w:r>
      <w:r w:rsidRPr="00282AC9">
        <w:rPr>
          <w:rFonts w:cs="AL-Mohanad" w:hint="cs"/>
          <w:sz w:val="27"/>
          <w:szCs w:val="27"/>
          <w:rtl/>
        </w:rPr>
        <w:t>،</w:t>
      </w:r>
      <w:r w:rsidR="00965E08" w:rsidRPr="00282AC9">
        <w:rPr>
          <w:rFonts w:cs="AL-Mohanad"/>
          <w:sz w:val="27"/>
          <w:szCs w:val="27"/>
          <w:rtl/>
        </w:rPr>
        <w:t xml:space="preserve"> </w:t>
      </w:r>
      <w:r w:rsidR="00965E08" w:rsidRPr="00282AC9">
        <w:rPr>
          <w:rFonts w:cs="AL-Mohanad" w:hint="cs"/>
          <w:sz w:val="27"/>
          <w:szCs w:val="27"/>
          <w:rtl/>
        </w:rPr>
        <w:t>فالنصر</w:t>
      </w:r>
      <w:r w:rsidR="00965E08" w:rsidRPr="00282AC9">
        <w:rPr>
          <w:rFonts w:cs="AL-Mohanad"/>
          <w:sz w:val="27"/>
          <w:szCs w:val="27"/>
          <w:rtl/>
        </w:rPr>
        <w:t xml:space="preserve"> </w:t>
      </w:r>
      <w:r w:rsidR="00965E08" w:rsidRPr="00282AC9">
        <w:rPr>
          <w:rFonts w:cs="AL-Mohanad" w:hint="cs"/>
          <w:sz w:val="27"/>
          <w:szCs w:val="27"/>
          <w:rtl/>
        </w:rPr>
        <w:t>هنا</w:t>
      </w:r>
      <w:r w:rsidR="00965E08" w:rsidRPr="00282AC9">
        <w:rPr>
          <w:rFonts w:cs="AL-Mohanad"/>
          <w:sz w:val="27"/>
          <w:szCs w:val="27"/>
          <w:rtl/>
        </w:rPr>
        <w:t xml:space="preserve"> </w:t>
      </w:r>
      <w:r w:rsidR="00965E08" w:rsidRPr="00282AC9">
        <w:rPr>
          <w:rFonts w:cs="AL-Mohanad" w:hint="cs"/>
          <w:sz w:val="27"/>
          <w:szCs w:val="27"/>
          <w:rtl/>
        </w:rPr>
        <w:t>بالكامل</w:t>
      </w:r>
      <w:r w:rsidR="00965E08" w:rsidRPr="00282AC9">
        <w:rPr>
          <w:rFonts w:cs="AL-Mohanad"/>
          <w:sz w:val="27"/>
          <w:szCs w:val="27"/>
          <w:rtl/>
        </w:rPr>
        <w:t xml:space="preserve"> </w:t>
      </w:r>
      <w:r w:rsidR="00965E08" w:rsidRPr="00282AC9">
        <w:rPr>
          <w:rFonts w:cs="AL-Mohanad" w:hint="cs"/>
          <w:sz w:val="27"/>
          <w:szCs w:val="27"/>
          <w:rtl/>
        </w:rPr>
        <w:t>منسوبٌ</w:t>
      </w:r>
      <w:r w:rsidR="00965E08" w:rsidRPr="00282AC9">
        <w:rPr>
          <w:rFonts w:cs="AL-Mohanad"/>
          <w:sz w:val="27"/>
          <w:szCs w:val="27"/>
          <w:rtl/>
        </w:rPr>
        <w:t xml:space="preserve"> </w:t>
      </w:r>
      <w:r w:rsidR="00965E08" w:rsidRPr="00282AC9">
        <w:rPr>
          <w:rFonts w:cs="AL-Mohanad" w:hint="cs"/>
          <w:sz w:val="27"/>
          <w:szCs w:val="27"/>
          <w:rtl/>
        </w:rPr>
        <w:t>إلى</w:t>
      </w:r>
      <w:r w:rsidR="00965E08" w:rsidRPr="00282AC9">
        <w:rPr>
          <w:rFonts w:cs="AL-Mohanad"/>
          <w:sz w:val="27"/>
          <w:szCs w:val="27"/>
          <w:rtl/>
        </w:rPr>
        <w:t xml:space="preserve"> </w:t>
      </w:r>
      <w:r w:rsidR="00965E08" w:rsidRPr="00282AC9">
        <w:rPr>
          <w:rFonts w:cs="AL-Mohanad" w:hint="cs"/>
          <w:sz w:val="27"/>
          <w:szCs w:val="27"/>
          <w:rtl/>
        </w:rPr>
        <w:t>الله</w:t>
      </w:r>
      <w:r w:rsidR="00965E08" w:rsidRPr="00282AC9">
        <w:rPr>
          <w:rFonts w:cs="AL-Mohanad"/>
          <w:sz w:val="27"/>
          <w:szCs w:val="27"/>
          <w:rtl/>
        </w:rPr>
        <w:t>.</w:t>
      </w:r>
    </w:p>
    <w:p w:rsidR="00965E08" w:rsidRPr="00282AC9" w:rsidRDefault="00F4623C" w:rsidP="003062B7">
      <w:pPr>
        <w:pStyle w:val="afe"/>
        <w:spacing w:after="0" w:line="400" w:lineRule="exact"/>
        <w:ind w:left="0" w:firstLine="567"/>
        <w:contextualSpacing/>
        <w:jc w:val="both"/>
        <w:rPr>
          <w:rFonts w:cs="AL-Mohanad"/>
          <w:sz w:val="27"/>
          <w:szCs w:val="27"/>
        </w:rPr>
      </w:pPr>
      <w:r w:rsidRPr="00282AC9">
        <w:rPr>
          <w:rFonts w:cs="AL-Mohanad" w:hint="cs"/>
          <w:sz w:val="27"/>
          <w:szCs w:val="27"/>
          <w:rtl/>
        </w:rPr>
        <w:lastRenderedPageBreak/>
        <w:t>2ـ إ</w:t>
      </w:r>
      <w:r w:rsidR="00965E08" w:rsidRPr="00282AC9">
        <w:rPr>
          <w:rFonts w:cs="AL-Mohanad" w:hint="cs"/>
          <w:sz w:val="27"/>
          <w:szCs w:val="27"/>
          <w:rtl/>
        </w:rPr>
        <w:t>ن الفتح في</w:t>
      </w:r>
      <w:r w:rsidR="00965E08" w:rsidRPr="00282AC9">
        <w:rPr>
          <w:rFonts w:cs="AL-Mohanad"/>
          <w:sz w:val="27"/>
          <w:szCs w:val="27"/>
          <w:rtl/>
        </w:rPr>
        <w:t xml:space="preserve"> </w:t>
      </w:r>
      <w:r w:rsidR="00965E08" w:rsidRPr="00282AC9">
        <w:rPr>
          <w:rFonts w:cs="AL-Mohanad" w:hint="cs"/>
          <w:sz w:val="27"/>
          <w:szCs w:val="27"/>
          <w:rtl/>
        </w:rPr>
        <w:t>سورة</w:t>
      </w:r>
      <w:r w:rsidR="00965E08" w:rsidRPr="00282AC9">
        <w:rPr>
          <w:rFonts w:cs="AL-Mohanad"/>
          <w:sz w:val="27"/>
          <w:szCs w:val="27"/>
          <w:rtl/>
        </w:rPr>
        <w:t xml:space="preserve"> </w:t>
      </w:r>
      <w:r w:rsidR="00965E08" w:rsidRPr="00282AC9">
        <w:rPr>
          <w:rFonts w:cs="AL-Mohanad" w:hint="cs"/>
          <w:sz w:val="27"/>
          <w:szCs w:val="27"/>
          <w:rtl/>
        </w:rPr>
        <w:t>الصف</w:t>
      </w:r>
      <w:r w:rsidRPr="00282AC9">
        <w:rPr>
          <w:rFonts w:cs="AL-Mohanad" w:hint="cs"/>
          <w:sz w:val="27"/>
          <w:szCs w:val="27"/>
          <w:rtl/>
        </w:rPr>
        <w:t>ّ</w:t>
      </w:r>
      <w:r w:rsidR="00965E08" w:rsidRPr="00282AC9">
        <w:rPr>
          <w:rFonts w:cs="AL-Mohanad"/>
          <w:sz w:val="27"/>
          <w:szCs w:val="27"/>
          <w:rtl/>
        </w:rPr>
        <w:t xml:space="preserve"> </w:t>
      </w:r>
      <w:r w:rsidR="00965E08" w:rsidRPr="00282AC9">
        <w:rPr>
          <w:rFonts w:cs="AL-Mohanad" w:hint="cs"/>
          <w:sz w:val="27"/>
          <w:szCs w:val="27"/>
          <w:rtl/>
        </w:rPr>
        <w:t>جاء</w:t>
      </w:r>
      <w:r w:rsidRPr="00282AC9">
        <w:rPr>
          <w:rFonts w:cs="AL-Mohanad" w:hint="cs"/>
          <w:sz w:val="27"/>
          <w:szCs w:val="27"/>
          <w:rtl/>
        </w:rPr>
        <w:t>َ</w:t>
      </w:r>
      <w:r w:rsidR="00965E08" w:rsidRPr="00282AC9">
        <w:rPr>
          <w:rFonts w:cs="AL-Mohanad" w:hint="cs"/>
          <w:sz w:val="27"/>
          <w:szCs w:val="27"/>
          <w:rtl/>
        </w:rPr>
        <w:t>ت</w:t>
      </w:r>
      <w:r w:rsidR="00965E08" w:rsidRPr="00282AC9">
        <w:rPr>
          <w:rFonts w:cs="AL-Mohanad"/>
          <w:sz w:val="27"/>
          <w:szCs w:val="27"/>
          <w:rtl/>
        </w:rPr>
        <w:t xml:space="preserve"> </w:t>
      </w:r>
      <w:r w:rsidR="00965E08" w:rsidRPr="00282AC9">
        <w:rPr>
          <w:rFonts w:cs="AL-Mohanad" w:hint="cs"/>
          <w:sz w:val="27"/>
          <w:szCs w:val="27"/>
          <w:rtl/>
        </w:rPr>
        <w:t>منك</w:t>
      </w:r>
      <w:r w:rsidRPr="00282AC9">
        <w:rPr>
          <w:rFonts w:cs="AL-Mohanad" w:hint="cs"/>
          <w:sz w:val="27"/>
          <w:szCs w:val="27"/>
          <w:rtl/>
        </w:rPr>
        <w:t>َّ</w:t>
      </w:r>
      <w:r w:rsidR="00965E08" w:rsidRPr="00282AC9">
        <w:rPr>
          <w:rFonts w:cs="AL-Mohanad" w:hint="cs"/>
          <w:sz w:val="27"/>
          <w:szCs w:val="27"/>
          <w:rtl/>
        </w:rPr>
        <w:t>رة</w:t>
      </w:r>
      <w:r w:rsidRPr="00282AC9">
        <w:rPr>
          <w:rFonts w:cs="AL-Mohanad" w:hint="cs"/>
          <w:sz w:val="27"/>
          <w:szCs w:val="27"/>
          <w:rtl/>
        </w:rPr>
        <w:t>،</w:t>
      </w:r>
      <w:r w:rsidR="00965E08" w:rsidRPr="00282AC9">
        <w:rPr>
          <w:rFonts w:cs="AL-Mohanad"/>
          <w:sz w:val="27"/>
          <w:szCs w:val="27"/>
          <w:rtl/>
        </w:rPr>
        <w:t xml:space="preserve"> </w:t>
      </w:r>
      <w:r w:rsidR="00965E08" w:rsidRPr="00282AC9">
        <w:rPr>
          <w:rFonts w:cs="AL-Mohanad" w:hint="cs"/>
          <w:sz w:val="27"/>
          <w:szCs w:val="27"/>
          <w:rtl/>
        </w:rPr>
        <w:t>من</w:t>
      </w:r>
      <w:r w:rsidR="00965E08" w:rsidRPr="00282AC9">
        <w:rPr>
          <w:rFonts w:cs="AL-Mohanad"/>
          <w:sz w:val="27"/>
          <w:szCs w:val="27"/>
          <w:rtl/>
        </w:rPr>
        <w:t xml:space="preserve"> </w:t>
      </w:r>
      <w:r w:rsidR="00965E08" w:rsidRPr="00282AC9">
        <w:rPr>
          <w:rFonts w:cs="AL-Mohanad" w:hint="cs"/>
          <w:sz w:val="27"/>
          <w:szCs w:val="27"/>
          <w:rtl/>
        </w:rPr>
        <w:t>دون</w:t>
      </w:r>
      <w:r w:rsidR="00965E08" w:rsidRPr="00282AC9">
        <w:rPr>
          <w:rFonts w:cs="AL-Mohanad"/>
          <w:sz w:val="27"/>
          <w:szCs w:val="27"/>
          <w:rtl/>
        </w:rPr>
        <w:t xml:space="preserve"> </w:t>
      </w:r>
      <w:r w:rsidR="00965E08" w:rsidRPr="00282AC9">
        <w:rPr>
          <w:rFonts w:cs="AL-Mohanad" w:hint="cs"/>
          <w:sz w:val="27"/>
          <w:szCs w:val="27"/>
          <w:rtl/>
        </w:rPr>
        <w:t>تعريف</w:t>
      </w:r>
      <w:r w:rsidRPr="00282AC9">
        <w:rPr>
          <w:rFonts w:cs="AL-Mohanad" w:hint="cs"/>
          <w:sz w:val="27"/>
          <w:szCs w:val="27"/>
          <w:rtl/>
        </w:rPr>
        <w:t>ٍ،</w:t>
      </w:r>
      <w:r w:rsidR="00965E08" w:rsidRPr="00282AC9">
        <w:rPr>
          <w:rFonts w:cs="AL-Mohanad"/>
          <w:sz w:val="27"/>
          <w:szCs w:val="27"/>
          <w:rtl/>
        </w:rPr>
        <w:t xml:space="preserve"> </w:t>
      </w:r>
      <w:r w:rsidR="00965E08" w:rsidRPr="00282AC9">
        <w:rPr>
          <w:rFonts w:cs="AL-Mohanad" w:hint="cs"/>
          <w:sz w:val="27"/>
          <w:szCs w:val="27"/>
          <w:rtl/>
        </w:rPr>
        <w:t>ومنو</w:t>
      </w:r>
      <w:r w:rsidRPr="00282AC9">
        <w:rPr>
          <w:rFonts w:cs="AL-Mohanad" w:hint="cs"/>
          <w:sz w:val="27"/>
          <w:szCs w:val="27"/>
          <w:rtl/>
        </w:rPr>
        <w:t>َّ</w:t>
      </w:r>
      <w:r w:rsidR="00965E08" w:rsidRPr="00282AC9">
        <w:rPr>
          <w:rFonts w:cs="AL-Mohanad" w:hint="cs"/>
          <w:sz w:val="27"/>
          <w:szCs w:val="27"/>
          <w:rtl/>
        </w:rPr>
        <w:t>نة،</w:t>
      </w:r>
      <w:r w:rsidR="00965E08" w:rsidRPr="00282AC9">
        <w:rPr>
          <w:rFonts w:cs="AL-Mohanad"/>
          <w:sz w:val="27"/>
          <w:szCs w:val="27"/>
          <w:rtl/>
        </w:rPr>
        <w:t xml:space="preserve"> </w:t>
      </w:r>
      <w:r w:rsidR="00965E08" w:rsidRPr="00282AC9">
        <w:rPr>
          <w:rFonts w:cs="AL-Mohanad" w:hint="cs"/>
          <w:sz w:val="27"/>
          <w:szCs w:val="27"/>
          <w:rtl/>
        </w:rPr>
        <w:t>وموصوفة</w:t>
      </w:r>
      <w:r w:rsidR="00965E08" w:rsidRPr="00282AC9">
        <w:rPr>
          <w:rFonts w:cs="AL-Mohanad"/>
          <w:sz w:val="27"/>
          <w:szCs w:val="27"/>
          <w:rtl/>
        </w:rPr>
        <w:t xml:space="preserve"> </w:t>
      </w:r>
      <w:r w:rsidR="00965E08" w:rsidRPr="00282AC9">
        <w:rPr>
          <w:rFonts w:cs="AL-Mohanad" w:hint="cs"/>
          <w:sz w:val="27"/>
          <w:szCs w:val="27"/>
          <w:rtl/>
        </w:rPr>
        <w:t>بصفة</w:t>
      </w:r>
      <w:r w:rsidR="00965E08" w:rsidRPr="00282AC9">
        <w:rPr>
          <w:rFonts w:cs="AL-Mohanad"/>
          <w:sz w:val="27"/>
          <w:szCs w:val="27"/>
          <w:rtl/>
        </w:rPr>
        <w:t xml:space="preserve"> </w:t>
      </w:r>
      <w:r w:rsidR="00965E08" w:rsidRPr="00282AC9">
        <w:rPr>
          <w:rFonts w:cs="AL-Mohanad" w:hint="cs"/>
          <w:sz w:val="27"/>
          <w:szCs w:val="27"/>
          <w:rtl/>
        </w:rPr>
        <w:t>القرب</w:t>
      </w:r>
      <w:r w:rsidRPr="00282AC9">
        <w:rPr>
          <w:rFonts w:cs="AL-Mohanad" w:hint="cs"/>
          <w:sz w:val="27"/>
          <w:szCs w:val="27"/>
          <w:rtl/>
        </w:rPr>
        <w:t>.</w:t>
      </w:r>
      <w:r w:rsidR="00965E08" w:rsidRPr="00282AC9">
        <w:rPr>
          <w:rFonts w:cs="AL-Mohanad" w:hint="cs"/>
          <w:sz w:val="27"/>
          <w:szCs w:val="27"/>
          <w:rtl/>
        </w:rPr>
        <w:t xml:space="preserve"> وهذا</w:t>
      </w:r>
      <w:r w:rsidR="00965E08" w:rsidRPr="00282AC9">
        <w:rPr>
          <w:rFonts w:cs="AL-Mohanad"/>
          <w:sz w:val="27"/>
          <w:szCs w:val="27"/>
          <w:rtl/>
        </w:rPr>
        <w:t xml:space="preserve"> </w:t>
      </w:r>
      <w:r w:rsidR="00965E08" w:rsidRPr="00282AC9">
        <w:rPr>
          <w:rFonts w:cs="AL-Mohanad" w:hint="cs"/>
          <w:sz w:val="27"/>
          <w:szCs w:val="27"/>
          <w:rtl/>
        </w:rPr>
        <w:t>القرب</w:t>
      </w:r>
      <w:r w:rsidR="00965E08" w:rsidRPr="00282AC9">
        <w:rPr>
          <w:rFonts w:cs="AL-Mohanad"/>
          <w:sz w:val="27"/>
          <w:szCs w:val="27"/>
          <w:rtl/>
        </w:rPr>
        <w:t xml:space="preserve"> </w:t>
      </w:r>
      <w:r w:rsidR="00965E08" w:rsidRPr="00282AC9">
        <w:rPr>
          <w:rFonts w:cs="AL-Mohanad" w:hint="cs"/>
          <w:sz w:val="27"/>
          <w:szCs w:val="27"/>
          <w:rtl/>
        </w:rPr>
        <w:t>قد</w:t>
      </w:r>
      <w:r w:rsidR="00965E08" w:rsidRPr="00282AC9">
        <w:rPr>
          <w:rFonts w:cs="AL-Mohanad"/>
          <w:sz w:val="27"/>
          <w:szCs w:val="27"/>
          <w:rtl/>
        </w:rPr>
        <w:t xml:space="preserve"> </w:t>
      </w:r>
      <w:r w:rsidR="00965E08" w:rsidRPr="00282AC9">
        <w:rPr>
          <w:rFonts w:cs="AL-Mohanad" w:hint="cs"/>
          <w:sz w:val="27"/>
          <w:szCs w:val="27"/>
          <w:rtl/>
        </w:rPr>
        <w:t>يكون</w:t>
      </w:r>
      <w:r w:rsidR="00965E08" w:rsidRPr="00282AC9">
        <w:rPr>
          <w:rFonts w:cs="AL-Mohanad"/>
          <w:sz w:val="27"/>
          <w:szCs w:val="27"/>
          <w:rtl/>
        </w:rPr>
        <w:t xml:space="preserve"> </w:t>
      </w:r>
      <w:r w:rsidR="00965E08" w:rsidRPr="00282AC9">
        <w:rPr>
          <w:rFonts w:cs="AL-Mohanad" w:hint="cs"/>
          <w:sz w:val="27"/>
          <w:szCs w:val="27"/>
          <w:rtl/>
        </w:rPr>
        <w:t>زماني</w:t>
      </w:r>
      <w:r w:rsidRPr="00282AC9">
        <w:rPr>
          <w:rFonts w:cs="AL-Mohanad" w:hint="cs"/>
          <w:sz w:val="27"/>
          <w:szCs w:val="27"/>
          <w:rtl/>
        </w:rPr>
        <w:t>ّ</w:t>
      </w:r>
      <w:r w:rsidR="00965E08" w:rsidRPr="00282AC9">
        <w:rPr>
          <w:rFonts w:cs="AL-Mohanad" w:hint="cs"/>
          <w:sz w:val="27"/>
          <w:szCs w:val="27"/>
          <w:rtl/>
        </w:rPr>
        <w:t>اً</w:t>
      </w:r>
      <w:r w:rsidRPr="00282AC9">
        <w:rPr>
          <w:rFonts w:cs="AL-Mohanad" w:hint="cs"/>
          <w:sz w:val="27"/>
          <w:szCs w:val="27"/>
          <w:rtl/>
        </w:rPr>
        <w:t>؛</w:t>
      </w:r>
      <w:r w:rsidR="00965E08" w:rsidRPr="00282AC9">
        <w:rPr>
          <w:rFonts w:cs="AL-Mohanad"/>
          <w:sz w:val="27"/>
          <w:szCs w:val="27"/>
          <w:rtl/>
        </w:rPr>
        <w:t xml:space="preserve"> </w:t>
      </w:r>
      <w:r w:rsidR="00965E08" w:rsidRPr="00282AC9">
        <w:rPr>
          <w:rFonts w:cs="AL-Mohanad" w:hint="cs"/>
          <w:sz w:val="27"/>
          <w:szCs w:val="27"/>
          <w:rtl/>
        </w:rPr>
        <w:t>قد</w:t>
      </w:r>
      <w:r w:rsidR="00965E08" w:rsidRPr="00282AC9">
        <w:rPr>
          <w:rFonts w:cs="AL-Mohanad"/>
          <w:sz w:val="27"/>
          <w:szCs w:val="27"/>
          <w:rtl/>
        </w:rPr>
        <w:t xml:space="preserve"> </w:t>
      </w:r>
      <w:r w:rsidR="00965E08" w:rsidRPr="00282AC9">
        <w:rPr>
          <w:rFonts w:cs="AL-Mohanad" w:hint="cs"/>
          <w:sz w:val="27"/>
          <w:szCs w:val="27"/>
          <w:rtl/>
        </w:rPr>
        <w:t>يكون</w:t>
      </w:r>
      <w:r w:rsidR="00965E08" w:rsidRPr="00282AC9">
        <w:rPr>
          <w:rFonts w:cs="AL-Mohanad"/>
          <w:sz w:val="27"/>
          <w:szCs w:val="27"/>
          <w:rtl/>
        </w:rPr>
        <w:t xml:space="preserve"> </w:t>
      </w:r>
      <w:r w:rsidR="00965E08" w:rsidRPr="00282AC9">
        <w:rPr>
          <w:rFonts w:cs="AL-Mohanad" w:hint="cs"/>
          <w:sz w:val="27"/>
          <w:szCs w:val="27"/>
          <w:rtl/>
        </w:rPr>
        <w:t>مكاني</w:t>
      </w:r>
      <w:r w:rsidRPr="00282AC9">
        <w:rPr>
          <w:rFonts w:cs="AL-Mohanad" w:hint="cs"/>
          <w:sz w:val="27"/>
          <w:szCs w:val="27"/>
          <w:rtl/>
        </w:rPr>
        <w:t>ّ</w:t>
      </w:r>
      <w:r w:rsidR="00965E08" w:rsidRPr="00282AC9">
        <w:rPr>
          <w:rFonts w:cs="AL-Mohanad" w:hint="cs"/>
          <w:sz w:val="27"/>
          <w:szCs w:val="27"/>
          <w:rtl/>
        </w:rPr>
        <w:t>اً</w:t>
      </w:r>
      <w:r w:rsidR="005278A5" w:rsidRPr="00282AC9">
        <w:rPr>
          <w:rFonts w:cs="AL-Mohanad" w:hint="cs"/>
          <w:sz w:val="27"/>
          <w:szCs w:val="27"/>
          <w:rtl/>
        </w:rPr>
        <w:t>.</w:t>
      </w:r>
      <w:r w:rsidR="00965E08" w:rsidRPr="00282AC9">
        <w:rPr>
          <w:rFonts w:cs="AL-Mohanad"/>
          <w:sz w:val="27"/>
          <w:szCs w:val="27"/>
          <w:rtl/>
        </w:rPr>
        <w:t xml:space="preserve"> </w:t>
      </w:r>
      <w:r w:rsidR="00965E08" w:rsidRPr="00282AC9">
        <w:rPr>
          <w:rFonts w:cs="AL-Mohanad" w:hint="cs"/>
          <w:sz w:val="27"/>
          <w:szCs w:val="27"/>
          <w:rtl/>
        </w:rPr>
        <w:t>قد</w:t>
      </w:r>
      <w:r w:rsidR="00965E08" w:rsidRPr="00282AC9">
        <w:rPr>
          <w:rFonts w:cs="AL-Mohanad"/>
          <w:sz w:val="27"/>
          <w:szCs w:val="27"/>
          <w:rtl/>
        </w:rPr>
        <w:t xml:space="preserve"> </w:t>
      </w:r>
      <w:r w:rsidR="00965E08" w:rsidRPr="00282AC9">
        <w:rPr>
          <w:rFonts w:cs="AL-Mohanad" w:hint="cs"/>
          <w:sz w:val="27"/>
          <w:szCs w:val="27"/>
          <w:rtl/>
        </w:rPr>
        <w:t>يكون</w:t>
      </w:r>
      <w:r w:rsidR="00965E08" w:rsidRPr="00282AC9">
        <w:rPr>
          <w:rFonts w:cs="AL-Mohanad"/>
          <w:sz w:val="27"/>
          <w:szCs w:val="27"/>
          <w:rtl/>
        </w:rPr>
        <w:t xml:space="preserve"> </w:t>
      </w:r>
      <w:r w:rsidR="00965E08" w:rsidRPr="00282AC9">
        <w:rPr>
          <w:rFonts w:cs="AL-Mohanad" w:hint="cs"/>
          <w:sz w:val="27"/>
          <w:szCs w:val="27"/>
          <w:rtl/>
        </w:rPr>
        <w:t>في</w:t>
      </w:r>
      <w:r w:rsidR="00965E08" w:rsidRPr="00282AC9">
        <w:rPr>
          <w:rFonts w:cs="AL-Mohanad"/>
          <w:sz w:val="27"/>
          <w:szCs w:val="27"/>
          <w:rtl/>
        </w:rPr>
        <w:t xml:space="preserve"> </w:t>
      </w:r>
      <w:r w:rsidR="00965E08" w:rsidRPr="00282AC9">
        <w:rPr>
          <w:rFonts w:cs="AL-Mohanad" w:hint="cs"/>
          <w:sz w:val="27"/>
          <w:szCs w:val="27"/>
          <w:rtl/>
        </w:rPr>
        <w:t>ظروفٍ</w:t>
      </w:r>
      <w:r w:rsidR="00965E08" w:rsidRPr="00282AC9">
        <w:rPr>
          <w:rFonts w:cs="AL-Mohanad"/>
          <w:sz w:val="27"/>
          <w:szCs w:val="27"/>
          <w:rtl/>
        </w:rPr>
        <w:t xml:space="preserve"> </w:t>
      </w:r>
      <w:r w:rsidR="00965E08" w:rsidRPr="00282AC9">
        <w:rPr>
          <w:rFonts w:cs="AL-Mohanad" w:hint="cs"/>
          <w:sz w:val="27"/>
          <w:szCs w:val="27"/>
          <w:rtl/>
        </w:rPr>
        <w:t>وملابساتٍ</w:t>
      </w:r>
      <w:r w:rsidR="00965E08" w:rsidRPr="00282AC9">
        <w:rPr>
          <w:rFonts w:cs="AL-Mohanad"/>
          <w:sz w:val="27"/>
          <w:szCs w:val="27"/>
          <w:rtl/>
        </w:rPr>
        <w:t xml:space="preserve"> </w:t>
      </w:r>
      <w:r w:rsidR="00965E08" w:rsidRPr="00282AC9">
        <w:rPr>
          <w:rFonts w:cs="AL-Mohanad" w:hint="cs"/>
          <w:sz w:val="27"/>
          <w:szCs w:val="27"/>
          <w:rtl/>
        </w:rPr>
        <w:t>بسببها</w:t>
      </w:r>
      <w:r w:rsidR="00965E08" w:rsidRPr="00282AC9">
        <w:rPr>
          <w:rFonts w:cs="AL-Mohanad"/>
          <w:sz w:val="27"/>
          <w:szCs w:val="27"/>
          <w:rtl/>
        </w:rPr>
        <w:t xml:space="preserve"> </w:t>
      </w:r>
      <w:r w:rsidR="00965E08" w:rsidRPr="00282AC9">
        <w:rPr>
          <w:rFonts w:cs="AL-Mohanad" w:hint="cs"/>
          <w:sz w:val="27"/>
          <w:szCs w:val="27"/>
          <w:rtl/>
        </w:rPr>
        <w:t>ي</w:t>
      </w:r>
      <w:r w:rsidR="005278A5" w:rsidRPr="00282AC9">
        <w:rPr>
          <w:rFonts w:cs="AL-Mohanad" w:hint="cs"/>
          <w:sz w:val="27"/>
          <w:szCs w:val="27"/>
          <w:rtl/>
        </w:rPr>
        <w:t>ُ</w:t>
      </w:r>
      <w:r w:rsidR="00965E08" w:rsidRPr="00282AC9">
        <w:rPr>
          <w:rFonts w:cs="AL-Mohanad" w:hint="cs"/>
          <w:sz w:val="27"/>
          <w:szCs w:val="27"/>
          <w:rtl/>
        </w:rPr>
        <w:t>وص</w:t>
      </w:r>
      <w:r w:rsidR="005278A5" w:rsidRPr="00282AC9">
        <w:rPr>
          <w:rFonts w:cs="AL-Mohanad" w:hint="cs"/>
          <w:sz w:val="27"/>
          <w:szCs w:val="27"/>
          <w:rtl/>
        </w:rPr>
        <w:t>َ</w:t>
      </w:r>
      <w:r w:rsidR="00965E08" w:rsidRPr="00282AC9">
        <w:rPr>
          <w:rFonts w:cs="AL-Mohanad" w:hint="cs"/>
          <w:sz w:val="27"/>
          <w:szCs w:val="27"/>
          <w:rtl/>
        </w:rPr>
        <w:t>ف</w:t>
      </w:r>
      <w:r w:rsidR="00965E08" w:rsidRPr="00282AC9">
        <w:rPr>
          <w:rFonts w:cs="AL-Mohanad"/>
          <w:sz w:val="27"/>
          <w:szCs w:val="27"/>
          <w:rtl/>
        </w:rPr>
        <w:t xml:space="preserve"> </w:t>
      </w:r>
      <w:r w:rsidR="00965E08" w:rsidRPr="00282AC9">
        <w:rPr>
          <w:rFonts w:cs="AL-Mohanad" w:hint="cs"/>
          <w:sz w:val="27"/>
          <w:szCs w:val="27"/>
          <w:rtl/>
        </w:rPr>
        <w:t>بهذا</w:t>
      </w:r>
      <w:r w:rsidR="00965E08" w:rsidRPr="00282AC9">
        <w:rPr>
          <w:rFonts w:cs="AL-Mohanad"/>
          <w:sz w:val="27"/>
          <w:szCs w:val="27"/>
          <w:rtl/>
        </w:rPr>
        <w:t xml:space="preserve"> </w:t>
      </w:r>
      <w:r w:rsidR="00965E08" w:rsidRPr="00282AC9">
        <w:rPr>
          <w:rFonts w:cs="AL-Mohanad" w:hint="cs"/>
          <w:sz w:val="27"/>
          <w:szCs w:val="27"/>
          <w:rtl/>
        </w:rPr>
        <w:t>الوصف</w:t>
      </w:r>
      <w:r w:rsidR="00965E08" w:rsidRPr="00282AC9">
        <w:rPr>
          <w:rFonts w:cs="AL-Mohanad"/>
          <w:sz w:val="27"/>
          <w:szCs w:val="27"/>
          <w:rtl/>
        </w:rPr>
        <w:t xml:space="preserve">. </w:t>
      </w:r>
    </w:p>
    <w:p w:rsidR="00965E08" w:rsidRPr="00282AC9" w:rsidRDefault="00965E08" w:rsidP="003062B7">
      <w:pPr>
        <w:rPr>
          <w:sz w:val="27"/>
          <w:rtl/>
        </w:rPr>
      </w:pPr>
      <w:r w:rsidRPr="00282AC9">
        <w:rPr>
          <w:rFonts w:hint="cs"/>
          <w:sz w:val="27"/>
          <w:rtl/>
        </w:rPr>
        <w:t>فهناك</w:t>
      </w:r>
      <w:r w:rsidRPr="00282AC9">
        <w:rPr>
          <w:sz w:val="27"/>
          <w:rtl/>
        </w:rPr>
        <w:t xml:space="preserve"> </w:t>
      </w:r>
      <w:r w:rsidRPr="00282AC9">
        <w:rPr>
          <w:rFonts w:hint="cs"/>
          <w:sz w:val="27"/>
          <w:rtl/>
        </w:rPr>
        <w:t>فارقٌ</w:t>
      </w:r>
      <w:r w:rsidRPr="00282AC9">
        <w:rPr>
          <w:sz w:val="27"/>
          <w:rtl/>
        </w:rPr>
        <w:t xml:space="preserve"> </w:t>
      </w:r>
      <w:r w:rsidRPr="00282AC9">
        <w:rPr>
          <w:rFonts w:hint="cs"/>
          <w:sz w:val="27"/>
          <w:rtl/>
        </w:rPr>
        <w:t>كبير</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بين</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جاء</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سورة</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وبين</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جاء</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سورة</w:t>
      </w:r>
      <w:r w:rsidRPr="00282AC9">
        <w:rPr>
          <w:sz w:val="27"/>
          <w:rtl/>
        </w:rPr>
        <w:t xml:space="preserve"> </w:t>
      </w:r>
      <w:r w:rsidRPr="00282AC9">
        <w:rPr>
          <w:rFonts w:hint="cs"/>
          <w:sz w:val="27"/>
          <w:rtl/>
        </w:rPr>
        <w:t>الصف</w:t>
      </w:r>
      <w:r w:rsidR="005278A5" w:rsidRPr="00282AC9">
        <w:rPr>
          <w:rFonts w:hint="cs"/>
          <w:sz w:val="27"/>
          <w:rtl/>
        </w:rPr>
        <w:t>ّ؛</w:t>
      </w:r>
      <w:r w:rsidRPr="00282AC9">
        <w:rPr>
          <w:sz w:val="27"/>
          <w:rtl/>
        </w:rPr>
        <w:t xml:space="preserve"> </w:t>
      </w:r>
      <w:r w:rsidRPr="00282AC9">
        <w:rPr>
          <w:rFonts w:hint="cs"/>
          <w:sz w:val="27"/>
          <w:rtl/>
        </w:rPr>
        <w:t>ففي</w:t>
      </w:r>
      <w:r w:rsidRPr="00282AC9">
        <w:rPr>
          <w:sz w:val="27"/>
          <w:rtl/>
        </w:rPr>
        <w:t xml:space="preserve"> </w:t>
      </w:r>
      <w:r w:rsidRPr="00282AC9">
        <w:rPr>
          <w:rFonts w:hint="cs"/>
          <w:sz w:val="27"/>
          <w:rtl/>
        </w:rPr>
        <w:t>سورة</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هناك</w:t>
      </w:r>
      <w:r w:rsidRPr="00282AC9">
        <w:rPr>
          <w:sz w:val="27"/>
          <w:rtl/>
        </w:rPr>
        <w:t xml:space="preserve"> </w:t>
      </w:r>
      <w:r w:rsidRPr="00282AC9">
        <w:rPr>
          <w:rFonts w:hint="cs"/>
          <w:sz w:val="27"/>
          <w:rtl/>
        </w:rPr>
        <w:t>قضي</w:t>
      </w:r>
      <w:r w:rsidR="005278A5" w:rsidRPr="00282AC9">
        <w:rPr>
          <w:rFonts w:hint="cs"/>
          <w:sz w:val="27"/>
          <w:rtl/>
        </w:rPr>
        <w:t>ّ</w:t>
      </w:r>
      <w:r w:rsidRPr="00282AC9">
        <w:rPr>
          <w:rFonts w:hint="cs"/>
          <w:sz w:val="27"/>
          <w:rtl/>
        </w:rPr>
        <w:t>ةٌ</w:t>
      </w:r>
      <w:r w:rsidRPr="00282AC9">
        <w:rPr>
          <w:sz w:val="27"/>
          <w:rtl/>
        </w:rPr>
        <w:t xml:space="preserve"> </w:t>
      </w:r>
      <w:r w:rsidRPr="00282AC9">
        <w:rPr>
          <w:rFonts w:hint="cs"/>
          <w:sz w:val="27"/>
          <w:rtl/>
        </w:rPr>
        <w:t>عميقةٌ</w:t>
      </w:r>
      <w:r w:rsidRPr="00282AC9">
        <w:rPr>
          <w:sz w:val="27"/>
          <w:rtl/>
        </w:rPr>
        <w:t xml:space="preserve"> </w:t>
      </w:r>
      <w:r w:rsidRPr="00282AC9">
        <w:rPr>
          <w:rFonts w:hint="cs"/>
          <w:sz w:val="27"/>
          <w:rtl/>
        </w:rPr>
        <w:t>واسعةٌ</w:t>
      </w:r>
      <w:r w:rsidRPr="00282AC9">
        <w:rPr>
          <w:sz w:val="27"/>
          <w:rtl/>
        </w:rPr>
        <w:t xml:space="preserve"> </w:t>
      </w:r>
      <w:r w:rsidRPr="00282AC9">
        <w:rPr>
          <w:rFonts w:hint="cs"/>
          <w:sz w:val="27"/>
          <w:rtl/>
        </w:rPr>
        <w:t>قوي</w:t>
      </w:r>
      <w:r w:rsidR="005278A5" w:rsidRPr="00282AC9">
        <w:rPr>
          <w:rFonts w:hint="cs"/>
          <w:sz w:val="27"/>
          <w:rtl/>
        </w:rPr>
        <w:t>ّ</w:t>
      </w:r>
      <w:r w:rsidRPr="00282AC9">
        <w:rPr>
          <w:rFonts w:hint="cs"/>
          <w:sz w:val="27"/>
          <w:rtl/>
        </w:rPr>
        <w:t>ةٌ</w:t>
      </w:r>
      <w:r w:rsidRPr="00282AC9">
        <w:rPr>
          <w:sz w:val="27"/>
          <w:rtl/>
        </w:rPr>
        <w:t xml:space="preserve"> </w:t>
      </w:r>
      <w:r w:rsidRPr="00282AC9">
        <w:rPr>
          <w:rFonts w:hint="cs"/>
          <w:sz w:val="27"/>
          <w:rtl/>
        </w:rPr>
        <w:t>جد</w:t>
      </w:r>
      <w:r w:rsidR="005278A5" w:rsidRPr="00282AC9">
        <w:rPr>
          <w:rFonts w:hint="cs"/>
          <w:sz w:val="27"/>
          <w:rtl/>
        </w:rPr>
        <w:t>ّ</w:t>
      </w:r>
      <w:r w:rsidRPr="00282AC9">
        <w:rPr>
          <w:rFonts w:hint="cs"/>
          <w:sz w:val="27"/>
          <w:rtl/>
        </w:rPr>
        <w:t>اً</w:t>
      </w:r>
      <w:r w:rsidR="005278A5" w:rsidRPr="00282AC9">
        <w:rPr>
          <w:rFonts w:hint="cs"/>
          <w:sz w:val="27"/>
          <w:rtl/>
        </w:rPr>
        <w:t>؛</w:t>
      </w:r>
      <w:r w:rsidRPr="00282AC9">
        <w:rPr>
          <w:sz w:val="27"/>
          <w:rtl/>
        </w:rPr>
        <w:t xml:space="preserve"> </w:t>
      </w:r>
      <w:r w:rsidRPr="00282AC9">
        <w:rPr>
          <w:rFonts w:hint="cs"/>
          <w:sz w:val="27"/>
          <w:rtl/>
        </w:rPr>
        <w:t>أما</w:t>
      </w:r>
      <w:r w:rsidRPr="00282AC9">
        <w:rPr>
          <w:sz w:val="27"/>
          <w:rtl/>
        </w:rPr>
        <w:t xml:space="preserve"> </w:t>
      </w:r>
      <w:r w:rsidRPr="00282AC9">
        <w:rPr>
          <w:rFonts w:hint="cs"/>
          <w:sz w:val="27"/>
          <w:rtl/>
        </w:rPr>
        <w:t>التعبير</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سورة</w:t>
      </w:r>
      <w:r w:rsidRPr="00282AC9">
        <w:rPr>
          <w:sz w:val="27"/>
          <w:rtl/>
        </w:rPr>
        <w:t xml:space="preserve"> </w:t>
      </w:r>
      <w:r w:rsidRPr="00282AC9">
        <w:rPr>
          <w:rFonts w:hint="cs"/>
          <w:sz w:val="27"/>
          <w:rtl/>
        </w:rPr>
        <w:t>الصف</w:t>
      </w:r>
      <w:r w:rsidR="005278A5" w:rsidRPr="00282AC9">
        <w:rPr>
          <w:rFonts w:hint="cs"/>
          <w:sz w:val="27"/>
          <w:rtl/>
        </w:rPr>
        <w:t>ّ</w:t>
      </w:r>
      <w:r w:rsidRPr="00282AC9">
        <w:rPr>
          <w:sz w:val="27"/>
          <w:rtl/>
        </w:rPr>
        <w:t xml:space="preserve"> </w:t>
      </w:r>
      <w:r w:rsidRPr="00282AC9">
        <w:rPr>
          <w:rFonts w:hint="cs"/>
          <w:sz w:val="27"/>
          <w:rtl/>
        </w:rPr>
        <w:t>فهو</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مرتبةٍ</w:t>
      </w:r>
      <w:r w:rsidRPr="00282AC9">
        <w:rPr>
          <w:sz w:val="27"/>
          <w:rtl/>
        </w:rPr>
        <w:t xml:space="preserve"> </w:t>
      </w:r>
      <w:r w:rsidRPr="00282AC9">
        <w:rPr>
          <w:rFonts w:hint="cs"/>
          <w:sz w:val="27"/>
          <w:rtl/>
        </w:rPr>
        <w:t>أدنى</w:t>
      </w:r>
      <w:r w:rsidRPr="00282AC9">
        <w:rPr>
          <w:sz w:val="27"/>
          <w:rtl/>
        </w:rPr>
        <w:t>.</w:t>
      </w:r>
    </w:p>
    <w:p w:rsidR="00965E08" w:rsidRPr="00282AC9" w:rsidRDefault="00965E08" w:rsidP="003062B7">
      <w:pPr>
        <w:rPr>
          <w:sz w:val="27"/>
          <w:rtl/>
        </w:rPr>
      </w:pPr>
      <w:r w:rsidRPr="00282AC9">
        <w:rPr>
          <w:rFonts w:hint="cs"/>
          <w:sz w:val="27"/>
          <w:rtl/>
        </w:rPr>
        <w:t>نعم</w:t>
      </w:r>
      <w:r w:rsidR="005278A5" w:rsidRPr="00282AC9">
        <w:rPr>
          <w:rFonts w:hint="cs"/>
          <w:sz w:val="27"/>
          <w:rtl/>
        </w:rPr>
        <w:t>،</w:t>
      </w:r>
      <w:r w:rsidRPr="00282AC9">
        <w:rPr>
          <w:rFonts w:hint="cs"/>
          <w:sz w:val="27"/>
          <w:rtl/>
        </w:rPr>
        <w:t xml:space="preserve"> يمكننا</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نطب</w:t>
      </w:r>
      <w:r w:rsidR="005278A5" w:rsidRPr="00282AC9">
        <w:rPr>
          <w:rFonts w:hint="cs"/>
          <w:sz w:val="27"/>
          <w:rtl/>
        </w:rPr>
        <w:t>ِّ</w:t>
      </w:r>
      <w:r w:rsidRPr="00282AC9">
        <w:rPr>
          <w:rFonts w:hint="cs"/>
          <w:sz w:val="27"/>
          <w:rtl/>
        </w:rPr>
        <w:t>ق</w:t>
      </w:r>
      <w:r w:rsidRPr="00282AC9">
        <w:rPr>
          <w:sz w:val="27"/>
          <w:rtl/>
        </w:rPr>
        <w:t xml:space="preserve"> </w:t>
      </w:r>
      <w:r w:rsidRPr="00282AC9">
        <w:rPr>
          <w:rFonts w:hint="cs"/>
          <w:sz w:val="27"/>
          <w:rtl/>
        </w:rPr>
        <w:t>الصيغة</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جاء</w:t>
      </w:r>
      <w:r w:rsidR="005278A5" w:rsidRPr="00282AC9">
        <w:rPr>
          <w:rFonts w:hint="cs"/>
          <w:sz w:val="27"/>
          <w:rtl/>
        </w:rPr>
        <w:t>َ</w:t>
      </w:r>
      <w:r w:rsidRPr="00282AC9">
        <w:rPr>
          <w:rFonts w:hint="cs"/>
          <w:sz w:val="27"/>
          <w:rtl/>
        </w:rPr>
        <w:t>ت</w:t>
      </w:r>
      <w:r w:rsidR="005278A5" w:rsidRPr="00282AC9">
        <w:rPr>
          <w:rFonts w:hint="cs"/>
          <w:sz w:val="27"/>
          <w:rtl/>
        </w:rPr>
        <w:t>ْ</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سورة</w:t>
      </w:r>
      <w:r w:rsidRPr="00282AC9">
        <w:rPr>
          <w:sz w:val="27"/>
          <w:rtl/>
        </w:rPr>
        <w:t xml:space="preserve"> </w:t>
      </w:r>
      <w:r w:rsidRPr="00282AC9">
        <w:rPr>
          <w:rFonts w:hint="cs"/>
          <w:sz w:val="27"/>
          <w:rtl/>
        </w:rPr>
        <w:t>الصف</w:t>
      </w:r>
      <w:r w:rsidR="005278A5" w:rsidRPr="00282AC9">
        <w:rPr>
          <w:rFonts w:hint="cs"/>
          <w:sz w:val="27"/>
          <w:rtl/>
        </w:rPr>
        <w:t>ّ</w:t>
      </w:r>
      <w:r w:rsidRPr="00282AC9">
        <w:rPr>
          <w:sz w:val="27"/>
          <w:rtl/>
        </w:rPr>
        <w:t xml:space="preserve">: </w:t>
      </w:r>
      <w:r w:rsidRPr="00282AC9">
        <w:rPr>
          <w:rFonts w:ascii="Mosawi" w:hAnsi="Mosawi" w:cs="Mosawi"/>
          <w:sz w:val="24"/>
          <w:szCs w:val="24"/>
          <w:rtl/>
        </w:rPr>
        <w:t>﴿</w:t>
      </w:r>
      <w:r w:rsidRPr="00282AC9">
        <w:rPr>
          <w:rFonts w:hint="cs"/>
          <w:b/>
          <w:bCs/>
          <w:sz w:val="27"/>
          <w:rtl/>
        </w:rPr>
        <w:t>ن</w:t>
      </w:r>
      <w:r w:rsidR="005278A5" w:rsidRPr="00282AC9">
        <w:rPr>
          <w:rFonts w:hint="cs"/>
          <w:b/>
          <w:bCs/>
          <w:sz w:val="27"/>
          <w:rtl/>
        </w:rPr>
        <w:t>َ</w:t>
      </w:r>
      <w:r w:rsidRPr="00282AC9">
        <w:rPr>
          <w:rFonts w:hint="cs"/>
          <w:b/>
          <w:bCs/>
          <w:sz w:val="27"/>
          <w:rtl/>
        </w:rPr>
        <w:t>ص</w:t>
      </w:r>
      <w:r w:rsidR="005278A5" w:rsidRPr="00282AC9">
        <w:rPr>
          <w:rFonts w:hint="cs"/>
          <w:b/>
          <w:bCs/>
          <w:sz w:val="27"/>
          <w:rtl/>
        </w:rPr>
        <w:t>ْ</w:t>
      </w:r>
      <w:r w:rsidRPr="00282AC9">
        <w:rPr>
          <w:rFonts w:hint="cs"/>
          <w:b/>
          <w:bCs/>
          <w:sz w:val="27"/>
          <w:rtl/>
        </w:rPr>
        <w:t>رٌ</w:t>
      </w:r>
      <w:r w:rsidRPr="00282AC9">
        <w:rPr>
          <w:b/>
          <w:bCs/>
          <w:sz w:val="27"/>
          <w:rtl/>
        </w:rPr>
        <w:t xml:space="preserve"> </w:t>
      </w:r>
      <w:r w:rsidRPr="00282AC9">
        <w:rPr>
          <w:rFonts w:hint="cs"/>
          <w:b/>
          <w:bCs/>
          <w:sz w:val="27"/>
          <w:rtl/>
        </w:rPr>
        <w:t>م</w:t>
      </w:r>
      <w:r w:rsidR="005278A5" w:rsidRPr="00282AC9">
        <w:rPr>
          <w:rFonts w:hint="cs"/>
          <w:b/>
          <w:bCs/>
          <w:sz w:val="27"/>
          <w:rtl/>
        </w:rPr>
        <w:t>ِ</w:t>
      </w:r>
      <w:r w:rsidRPr="00282AC9">
        <w:rPr>
          <w:rFonts w:hint="cs"/>
          <w:b/>
          <w:bCs/>
          <w:sz w:val="27"/>
          <w:rtl/>
        </w:rPr>
        <w:t>ن</w:t>
      </w:r>
      <w:r w:rsidR="005278A5" w:rsidRPr="00282AC9">
        <w:rPr>
          <w:rFonts w:hint="cs"/>
          <w:b/>
          <w:bCs/>
          <w:sz w:val="27"/>
          <w:rtl/>
        </w:rPr>
        <w:t>َ</w:t>
      </w:r>
      <w:r w:rsidRPr="00282AC9">
        <w:rPr>
          <w:b/>
          <w:bCs/>
          <w:sz w:val="27"/>
          <w:rtl/>
        </w:rPr>
        <w:t xml:space="preserve"> </w:t>
      </w:r>
      <w:r w:rsidRPr="00282AC9">
        <w:rPr>
          <w:rFonts w:hint="cs"/>
          <w:b/>
          <w:bCs/>
          <w:sz w:val="27"/>
          <w:rtl/>
        </w:rPr>
        <w:t>الله</w:t>
      </w:r>
      <w:r w:rsidR="005278A5" w:rsidRPr="00282AC9">
        <w:rPr>
          <w:rFonts w:hint="cs"/>
          <w:b/>
          <w:bCs/>
          <w:sz w:val="27"/>
          <w:rtl/>
        </w:rPr>
        <w:t>ِ</w:t>
      </w:r>
      <w:r w:rsidRPr="00282AC9">
        <w:rPr>
          <w:b/>
          <w:bCs/>
          <w:sz w:val="27"/>
          <w:rtl/>
        </w:rPr>
        <w:t xml:space="preserve"> </w:t>
      </w:r>
      <w:r w:rsidRPr="00282AC9">
        <w:rPr>
          <w:rFonts w:hint="cs"/>
          <w:b/>
          <w:bCs/>
          <w:sz w:val="27"/>
          <w:rtl/>
        </w:rPr>
        <w:t>و</w:t>
      </w:r>
      <w:r w:rsidR="005278A5" w:rsidRPr="00282AC9">
        <w:rPr>
          <w:rFonts w:hint="cs"/>
          <w:b/>
          <w:bCs/>
          <w:sz w:val="27"/>
          <w:rtl/>
        </w:rPr>
        <w:t>َ</w:t>
      </w:r>
      <w:r w:rsidRPr="00282AC9">
        <w:rPr>
          <w:rFonts w:hint="cs"/>
          <w:b/>
          <w:bCs/>
          <w:sz w:val="27"/>
          <w:rtl/>
        </w:rPr>
        <w:t>ف</w:t>
      </w:r>
      <w:r w:rsidR="005278A5" w:rsidRPr="00282AC9">
        <w:rPr>
          <w:rFonts w:hint="cs"/>
          <w:b/>
          <w:bCs/>
          <w:sz w:val="27"/>
          <w:rtl/>
        </w:rPr>
        <w:t>َ</w:t>
      </w:r>
      <w:r w:rsidRPr="00282AC9">
        <w:rPr>
          <w:rFonts w:hint="cs"/>
          <w:b/>
          <w:bCs/>
          <w:sz w:val="27"/>
          <w:rtl/>
        </w:rPr>
        <w:t>ت</w:t>
      </w:r>
      <w:r w:rsidR="005278A5" w:rsidRPr="00282AC9">
        <w:rPr>
          <w:rFonts w:hint="cs"/>
          <w:b/>
          <w:bCs/>
          <w:sz w:val="27"/>
          <w:rtl/>
        </w:rPr>
        <w:t>ْ</w:t>
      </w:r>
      <w:r w:rsidRPr="00282AC9">
        <w:rPr>
          <w:rFonts w:hint="cs"/>
          <w:b/>
          <w:bCs/>
          <w:sz w:val="27"/>
          <w:rtl/>
        </w:rPr>
        <w:t>حٌ</w:t>
      </w:r>
      <w:r w:rsidRPr="00282AC9">
        <w:rPr>
          <w:b/>
          <w:bCs/>
          <w:sz w:val="27"/>
          <w:rtl/>
        </w:rPr>
        <w:t xml:space="preserve"> </w:t>
      </w:r>
      <w:r w:rsidRPr="00282AC9">
        <w:rPr>
          <w:rFonts w:hint="cs"/>
          <w:b/>
          <w:bCs/>
          <w:sz w:val="27"/>
          <w:rtl/>
        </w:rPr>
        <w:t>ق</w:t>
      </w:r>
      <w:r w:rsidR="005278A5" w:rsidRPr="00282AC9">
        <w:rPr>
          <w:rFonts w:hint="cs"/>
          <w:b/>
          <w:bCs/>
          <w:sz w:val="27"/>
          <w:rtl/>
        </w:rPr>
        <w:t>َ</w:t>
      </w:r>
      <w:r w:rsidRPr="00282AC9">
        <w:rPr>
          <w:rFonts w:hint="cs"/>
          <w:b/>
          <w:bCs/>
          <w:sz w:val="27"/>
          <w:rtl/>
        </w:rPr>
        <w:t>ر</w:t>
      </w:r>
      <w:r w:rsidR="005278A5" w:rsidRPr="00282AC9">
        <w:rPr>
          <w:rFonts w:hint="cs"/>
          <w:b/>
          <w:bCs/>
          <w:sz w:val="27"/>
          <w:rtl/>
        </w:rPr>
        <w:t>ِ</w:t>
      </w:r>
      <w:r w:rsidRPr="00282AC9">
        <w:rPr>
          <w:rFonts w:hint="cs"/>
          <w:b/>
          <w:bCs/>
          <w:sz w:val="27"/>
          <w:rtl/>
        </w:rPr>
        <w:t>يب</w:t>
      </w:r>
      <w:r w:rsidR="005278A5" w:rsidRPr="00282AC9">
        <w:rPr>
          <w:rFonts w:hint="cs"/>
          <w:b/>
          <w:bCs/>
          <w:sz w:val="27"/>
          <w:rtl/>
        </w:rPr>
        <w:t>ٌ</w:t>
      </w:r>
      <w:r w:rsidRPr="00282AC9">
        <w:rPr>
          <w:rFonts w:ascii="Mosawi" w:hAnsi="Mosawi" w:cs="Mosawi"/>
          <w:sz w:val="24"/>
          <w:szCs w:val="24"/>
          <w:rtl/>
        </w:rPr>
        <w:t>﴾</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زمان</w:t>
      </w:r>
      <w:r w:rsidRPr="00282AC9">
        <w:rPr>
          <w:sz w:val="27"/>
          <w:rtl/>
        </w:rPr>
        <w:t xml:space="preserve"> </w:t>
      </w:r>
      <w:r w:rsidRPr="00282AC9">
        <w:rPr>
          <w:rFonts w:hint="cs"/>
          <w:sz w:val="27"/>
          <w:rtl/>
        </w:rPr>
        <w:t>ظهور</w:t>
      </w:r>
      <w:r w:rsidRPr="00282AC9">
        <w:rPr>
          <w:sz w:val="27"/>
          <w:rtl/>
        </w:rPr>
        <w:t xml:space="preserve"> </w:t>
      </w:r>
      <w:r w:rsidRPr="00282AC9">
        <w:rPr>
          <w:rFonts w:hint="cs"/>
          <w:sz w:val="27"/>
          <w:rtl/>
        </w:rPr>
        <w:t>ال</w:t>
      </w:r>
      <w:r w:rsidR="005278A5" w:rsidRPr="00282AC9">
        <w:rPr>
          <w:rFonts w:hint="cs"/>
          <w:sz w:val="27"/>
          <w:rtl/>
        </w:rPr>
        <w:t>إ</w:t>
      </w:r>
      <w:r w:rsidRPr="00282AC9">
        <w:rPr>
          <w:rFonts w:hint="cs"/>
          <w:sz w:val="27"/>
          <w:rtl/>
        </w:rPr>
        <w:t>مام المهدي</w:t>
      </w:r>
      <w:r w:rsidR="005278A5" w:rsidRPr="00282AC9">
        <w:rPr>
          <w:rFonts w:hint="cs"/>
          <w:sz w:val="27"/>
          <w:rtl/>
        </w:rPr>
        <w:t>ّ</w:t>
      </w:r>
      <w:r w:rsidR="001100B1" w:rsidRPr="00282AC9">
        <w:rPr>
          <w:rFonts w:ascii="Mosawi" w:hAnsi="Mosawi" w:cs="Mosawi" w:hint="cs"/>
          <w:sz w:val="22"/>
          <w:szCs w:val="22"/>
          <w:rtl/>
        </w:rPr>
        <w:t>#</w:t>
      </w:r>
      <w:r w:rsidR="005278A5" w:rsidRPr="00282AC9">
        <w:rPr>
          <w:rFonts w:hint="cs"/>
          <w:sz w:val="27"/>
          <w:rtl/>
        </w:rPr>
        <w:t>؛</w:t>
      </w:r>
      <w:r w:rsidRPr="00282AC9">
        <w:rPr>
          <w:sz w:val="27"/>
          <w:rtl/>
        </w:rPr>
        <w:t xml:space="preserve"> </w:t>
      </w:r>
      <w:r w:rsidRPr="00282AC9">
        <w:rPr>
          <w:rFonts w:hint="cs"/>
          <w:sz w:val="27"/>
          <w:rtl/>
        </w:rPr>
        <w:t>فإن</w:t>
      </w:r>
      <w:r w:rsidRPr="00282AC9">
        <w:rPr>
          <w:sz w:val="27"/>
          <w:rtl/>
        </w:rPr>
        <w:t xml:space="preserve"> </w:t>
      </w:r>
      <w:r w:rsidRPr="00282AC9">
        <w:rPr>
          <w:rFonts w:hint="cs"/>
          <w:sz w:val="27"/>
          <w:rtl/>
        </w:rPr>
        <w:t>ظهور</w:t>
      </w:r>
      <w:r w:rsidRPr="00282AC9">
        <w:rPr>
          <w:sz w:val="27"/>
          <w:rtl/>
        </w:rPr>
        <w:t xml:space="preserve"> </w:t>
      </w:r>
      <w:r w:rsidRPr="00282AC9">
        <w:rPr>
          <w:rFonts w:hint="cs"/>
          <w:sz w:val="27"/>
          <w:rtl/>
        </w:rPr>
        <w:t>الإمام</w:t>
      </w:r>
      <w:r w:rsidRPr="00282AC9">
        <w:rPr>
          <w:sz w:val="27"/>
          <w:rtl/>
        </w:rPr>
        <w:t xml:space="preserve"> </w:t>
      </w:r>
      <w:r w:rsidRPr="00282AC9">
        <w:rPr>
          <w:rFonts w:hint="cs"/>
          <w:sz w:val="27"/>
          <w:rtl/>
        </w:rPr>
        <w:t>قريبٌ</w:t>
      </w:r>
      <w:r w:rsidRPr="00282AC9">
        <w:rPr>
          <w:sz w:val="27"/>
          <w:rtl/>
        </w:rPr>
        <w:t xml:space="preserve"> </w:t>
      </w:r>
      <w:r w:rsidRPr="00282AC9">
        <w:rPr>
          <w:rFonts w:hint="cs"/>
          <w:sz w:val="27"/>
          <w:rtl/>
        </w:rPr>
        <w:t>بمنظار</w:t>
      </w:r>
      <w:r w:rsidRPr="00282AC9">
        <w:rPr>
          <w:sz w:val="27"/>
          <w:rtl/>
        </w:rPr>
        <w:t xml:space="preserve"> </w:t>
      </w:r>
      <w:r w:rsidRPr="00282AC9">
        <w:rPr>
          <w:rFonts w:hint="cs"/>
          <w:sz w:val="27"/>
          <w:rtl/>
        </w:rPr>
        <w:t>أهل البيت</w:t>
      </w:r>
      <w:r w:rsidR="00876ECA" w:rsidRPr="00282AC9">
        <w:rPr>
          <w:rFonts w:cs="Mosawi" w:hint="cs"/>
          <w:sz w:val="22"/>
          <w:szCs w:val="22"/>
          <w:rtl/>
        </w:rPr>
        <w:t>^</w:t>
      </w:r>
      <w:r w:rsidR="005278A5" w:rsidRPr="00282AC9">
        <w:rPr>
          <w:rFonts w:hint="cs"/>
          <w:sz w:val="27"/>
          <w:rtl/>
        </w:rPr>
        <w:t xml:space="preserve">؛ </w:t>
      </w:r>
      <w:r w:rsidRPr="00282AC9">
        <w:rPr>
          <w:rFonts w:hint="cs"/>
          <w:sz w:val="27"/>
          <w:rtl/>
        </w:rPr>
        <w:t>لأننا</w:t>
      </w:r>
      <w:r w:rsidRPr="00282AC9">
        <w:rPr>
          <w:sz w:val="27"/>
          <w:rtl/>
        </w:rPr>
        <w:t xml:space="preserve"> </w:t>
      </w:r>
      <w:r w:rsidRPr="00282AC9">
        <w:rPr>
          <w:rFonts w:hint="cs"/>
          <w:sz w:val="27"/>
          <w:rtl/>
        </w:rPr>
        <w:t>حين</w:t>
      </w:r>
      <w:r w:rsidRPr="00282AC9">
        <w:rPr>
          <w:sz w:val="27"/>
          <w:rtl/>
        </w:rPr>
        <w:t xml:space="preserve"> </w:t>
      </w:r>
      <w:r w:rsidRPr="00282AC9">
        <w:rPr>
          <w:rFonts w:hint="cs"/>
          <w:sz w:val="27"/>
          <w:rtl/>
        </w:rPr>
        <w:t>نتعب</w:t>
      </w:r>
      <w:r w:rsidR="005278A5" w:rsidRPr="00282AC9">
        <w:rPr>
          <w:rFonts w:hint="cs"/>
          <w:sz w:val="27"/>
          <w:rtl/>
        </w:rPr>
        <w:t>َّ</w:t>
      </w:r>
      <w:r w:rsidRPr="00282AC9">
        <w:rPr>
          <w:rFonts w:hint="cs"/>
          <w:sz w:val="27"/>
          <w:rtl/>
        </w:rPr>
        <w:t>د</w:t>
      </w:r>
      <w:r w:rsidRPr="00282AC9">
        <w:rPr>
          <w:sz w:val="27"/>
          <w:rtl/>
        </w:rPr>
        <w:t xml:space="preserve"> </w:t>
      </w:r>
      <w:r w:rsidRPr="00282AC9">
        <w:rPr>
          <w:rFonts w:hint="cs"/>
          <w:sz w:val="27"/>
          <w:rtl/>
        </w:rPr>
        <w:t>بانتظار</w:t>
      </w:r>
      <w:r w:rsidRPr="00282AC9">
        <w:rPr>
          <w:sz w:val="27"/>
          <w:rtl/>
        </w:rPr>
        <w:t xml:space="preserve"> </w:t>
      </w:r>
      <w:r w:rsidRPr="00282AC9">
        <w:rPr>
          <w:rFonts w:hint="cs"/>
          <w:sz w:val="27"/>
          <w:rtl/>
        </w:rPr>
        <w:t>الفرج</w:t>
      </w:r>
      <w:r w:rsidRPr="00282AC9">
        <w:rPr>
          <w:sz w:val="27"/>
          <w:rtl/>
        </w:rPr>
        <w:t xml:space="preserve"> </w:t>
      </w:r>
      <w:r w:rsidRPr="00282AC9">
        <w:rPr>
          <w:rFonts w:hint="cs"/>
          <w:sz w:val="27"/>
          <w:rtl/>
        </w:rPr>
        <w:t>فهذا</w:t>
      </w:r>
      <w:r w:rsidRPr="00282AC9">
        <w:rPr>
          <w:sz w:val="27"/>
          <w:rtl/>
        </w:rPr>
        <w:t xml:space="preserve"> </w:t>
      </w:r>
      <w:r w:rsidRPr="00282AC9">
        <w:rPr>
          <w:rFonts w:hint="cs"/>
          <w:sz w:val="27"/>
          <w:rtl/>
        </w:rPr>
        <w:t>يعني</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الفرج</w:t>
      </w:r>
      <w:r w:rsidRPr="00282AC9">
        <w:rPr>
          <w:sz w:val="27"/>
          <w:rtl/>
        </w:rPr>
        <w:t xml:space="preserve"> </w:t>
      </w:r>
      <w:r w:rsidRPr="00282AC9">
        <w:rPr>
          <w:rFonts w:hint="cs"/>
          <w:sz w:val="27"/>
          <w:rtl/>
        </w:rPr>
        <w:t>قريب</w:t>
      </w:r>
      <w:r w:rsidR="005278A5" w:rsidRPr="00282AC9">
        <w:rPr>
          <w:rFonts w:hint="cs"/>
          <w:sz w:val="27"/>
          <w:rtl/>
        </w:rPr>
        <w:t>ٌ.</w:t>
      </w:r>
      <w:r w:rsidRPr="00282AC9">
        <w:rPr>
          <w:rFonts w:hint="cs"/>
          <w:sz w:val="27"/>
          <w:rtl/>
        </w:rPr>
        <w:t xml:space="preserve"> وهذا</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معنى</w:t>
      </w:r>
      <w:r w:rsidRPr="00282AC9">
        <w:rPr>
          <w:sz w:val="27"/>
          <w:rtl/>
        </w:rPr>
        <w:t xml:space="preserve"> </w:t>
      </w:r>
      <w:r w:rsidRPr="00282AC9">
        <w:rPr>
          <w:rFonts w:hint="cs"/>
          <w:sz w:val="27"/>
          <w:rtl/>
        </w:rPr>
        <w:t>انتظار</w:t>
      </w:r>
      <w:r w:rsidRPr="00282AC9">
        <w:rPr>
          <w:sz w:val="27"/>
          <w:rtl/>
        </w:rPr>
        <w:t xml:space="preserve"> </w:t>
      </w:r>
      <w:r w:rsidRPr="00282AC9">
        <w:rPr>
          <w:rFonts w:hint="cs"/>
          <w:sz w:val="27"/>
          <w:rtl/>
        </w:rPr>
        <w:t>الفرج</w:t>
      </w:r>
      <w:r w:rsidR="005278A5" w:rsidRPr="00282AC9">
        <w:rPr>
          <w:rFonts w:hint="cs"/>
          <w:sz w:val="27"/>
          <w:rtl/>
        </w:rPr>
        <w:t>؛ إ</w:t>
      </w:r>
      <w:r w:rsidRPr="00282AC9">
        <w:rPr>
          <w:rFonts w:hint="cs"/>
          <w:sz w:val="27"/>
          <w:rtl/>
        </w:rPr>
        <w:t>ذ</w:t>
      </w:r>
      <w:r w:rsidRPr="00282AC9">
        <w:rPr>
          <w:sz w:val="27"/>
          <w:rtl/>
        </w:rPr>
        <w:t xml:space="preserve"> </w:t>
      </w:r>
      <w:r w:rsidRPr="00282AC9">
        <w:rPr>
          <w:rFonts w:hint="cs"/>
          <w:sz w:val="27"/>
          <w:rtl/>
        </w:rPr>
        <w:t>ر</w:t>
      </w:r>
      <w:r w:rsidR="005278A5" w:rsidRPr="00282AC9">
        <w:rPr>
          <w:rFonts w:hint="cs"/>
          <w:sz w:val="27"/>
          <w:rtl/>
        </w:rPr>
        <w:t>ُ</w:t>
      </w:r>
      <w:r w:rsidRPr="00282AC9">
        <w:rPr>
          <w:rFonts w:hint="cs"/>
          <w:sz w:val="27"/>
          <w:rtl/>
        </w:rPr>
        <w:t>ب</w:t>
      </w:r>
      <w:r w:rsidR="005278A5" w:rsidRPr="00282AC9">
        <w:rPr>
          <w:rFonts w:hint="cs"/>
          <w:sz w:val="27"/>
          <w:rtl/>
        </w:rPr>
        <w:t>َ</w:t>
      </w:r>
      <w:r w:rsidRPr="00282AC9">
        <w:rPr>
          <w:rFonts w:hint="cs"/>
          <w:sz w:val="27"/>
          <w:rtl/>
        </w:rPr>
        <w:t>ما</w:t>
      </w:r>
      <w:r w:rsidRPr="00282AC9">
        <w:rPr>
          <w:sz w:val="27"/>
          <w:rtl/>
        </w:rPr>
        <w:t xml:space="preserve"> </w:t>
      </w:r>
      <w:r w:rsidRPr="00282AC9">
        <w:rPr>
          <w:rFonts w:hint="cs"/>
          <w:sz w:val="27"/>
          <w:rtl/>
        </w:rPr>
        <w:t>نرى</w:t>
      </w:r>
      <w:r w:rsidRPr="00282AC9">
        <w:rPr>
          <w:sz w:val="27"/>
          <w:rtl/>
        </w:rPr>
        <w:t xml:space="preserve"> </w:t>
      </w:r>
      <w:r w:rsidR="005278A5" w:rsidRPr="00282AC9">
        <w:rPr>
          <w:rFonts w:hint="cs"/>
          <w:sz w:val="27"/>
          <w:rtl/>
        </w:rPr>
        <w:t xml:space="preserve">ـ </w:t>
      </w:r>
      <w:r w:rsidRPr="00282AC9">
        <w:rPr>
          <w:rFonts w:hint="cs"/>
          <w:sz w:val="27"/>
          <w:rtl/>
        </w:rPr>
        <w:t>وجداني</w:t>
      </w:r>
      <w:r w:rsidR="005278A5" w:rsidRPr="00282AC9">
        <w:rPr>
          <w:rFonts w:hint="cs"/>
          <w:sz w:val="27"/>
          <w:rtl/>
        </w:rPr>
        <w:t>ّ</w:t>
      </w:r>
      <w:r w:rsidRPr="00282AC9">
        <w:rPr>
          <w:rFonts w:hint="cs"/>
          <w:sz w:val="27"/>
          <w:rtl/>
        </w:rPr>
        <w:t>اً</w:t>
      </w:r>
      <w:r w:rsidRPr="00282AC9">
        <w:rPr>
          <w:sz w:val="27"/>
          <w:rtl/>
        </w:rPr>
        <w:t xml:space="preserve"> </w:t>
      </w:r>
      <w:r w:rsidRPr="00282AC9">
        <w:rPr>
          <w:rFonts w:hint="cs"/>
          <w:sz w:val="27"/>
          <w:rtl/>
        </w:rPr>
        <w:t>ونفسي</w:t>
      </w:r>
      <w:r w:rsidR="005278A5" w:rsidRPr="00282AC9">
        <w:rPr>
          <w:rFonts w:hint="cs"/>
          <w:sz w:val="27"/>
          <w:rtl/>
        </w:rPr>
        <w:t>ّ</w:t>
      </w:r>
      <w:r w:rsidRPr="00282AC9">
        <w:rPr>
          <w:rFonts w:hint="cs"/>
          <w:sz w:val="27"/>
          <w:rtl/>
        </w:rPr>
        <w:t>اً</w:t>
      </w:r>
      <w:r w:rsidRPr="00282AC9">
        <w:rPr>
          <w:sz w:val="27"/>
          <w:rtl/>
        </w:rPr>
        <w:t xml:space="preserve"> </w:t>
      </w:r>
      <w:r w:rsidR="005278A5" w:rsidRPr="00282AC9">
        <w:rPr>
          <w:rFonts w:hint="cs"/>
          <w:sz w:val="27"/>
          <w:rtl/>
        </w:rPr>
        <w:t xml:space="preserve">ـ </w:t>
      </w:r>
      <w:r w:rsidRPr="00282AC9">
        <w:rPr>
          <w:rFonts w:hint="cs"/>
          <w:sz w:val="27"/>
          <w:rtl/>
        </w:rPr>
        <w:t>أن</w:t>
      </w:r>
      <w:r w:rsidR="005278A5" w:rsidRPr="00282AC9">
        <w:rPr>
          <w:rFonts w:hint="cs"/>
          <w:sz w:val="27"/>
          <w:rtl/>
        </w:rPr>
        <w:t xml:space="preserve"> الفَرَج</w:t>
      </w:r>
      <w:r w:rsidRPr="00282AC9">
        <w:rPr>
          <w:sz w:val="27"/>
          <w:rtl/>
        </w:rPr>
        <w:t xml:space="preserve"> </w:t>
      </w:r>
      <w:r w:rsidRPr="00282AC9">
        <w:rPr>
          <w:rFonts w:hint="cs"/>
          <w:sz w:val="27"/>
          <w:rtl/>
        </w:rPr>
        <w:t>بعيد</w:t>
      </w:r>
      <w:r w:rsidR="005278A5" w:rsidRPr="00282AC9">
        <w:rPr>
          <w:rFonts w:hint="cs"/>
          <w:sz w:val="27"/>
          <w:rtl/>
        </w:rPr>
        <w:t>ٌ</w:t>
      </w:r>
      <w:r w:rsidRPr="00282AC9">
        <w:rPr>
          <w:rFonts w:hint="cs"/>
          <w:sz w:val="27"/>
          <w:rtl/>
        </w:rPr>
        <w:t>،</w:t>
      </w:r>
      <w:r w:rsidRPr="00282AC9">
        <w:rPr>
          <w:sz w:val="27"/>
          <w:rtl/>
        </w:rPr>
        <w:t xml:space="preserve"> </w:t>
      </w:r>
      <w:r w:rsidRPr="00282AC9">
        <w:rPr>
          <w:rFonts w:hint="cs"/>
          <w:sz w:val="27"/>
          <w:rtl/>
        </w:rPr>
        <w:t>ولكن</w:t>
      </w:r>
      <w:r w:rsidR="005278A5" w:rsidRPr="00282AC9">
        <w:rPr>
          <w:rFonts w:hint="cs"/>
          <w:sz w:val="27"/>
          <w:rtl/>
        </w:rPr>
        <w:t>ّ</w:t>
      </w:r>
      <w:r w:rsidRPr="00282AC9">
        <w:rPr>
          <w:sz w:val="27"/>
          <w:rtl/>
        </w:rPr>
        <w:t xml:space="preserve"> </w:t>
      </w:r>
      <w:r w:rsidRPr="00282AC9">
        <w:rPr>
          <w:rFonts w:hint="cs"/>
          <w:sz w:val="27"/>
          <w:rtl/>
        </w:rPr>
        <w:t>القلوب</w:t>
      </w:r>
      <w:r w:rsidRPr="00282AC9">
        <w:rPr>
          <w:sz w:val="27"/>
          <w:rtl/>
        </w:rPr>
        <w:t xml:space="preserve"> </w:t>
      </w:r>
      <w:r w:rsidRPr="00282AC9">
        <w:rPr>
          <w:rFonts w:hint="cs"/>
          <w:sz w:val="27"/>
          <w:rtl/>
        </w:rPr>
        <w:t>المخلصة</w:t>
      </w:r>
      <w:r w:rsidR="005278A5" w:rsidRPr="00282AC9">
        <w:rPr>
          <w:rFonts w:hint="cs"/>
          <w:sz w:val="27"/>
          <w:rtl/>
        </w:rPr>
        <w:t>،</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تكون</w:t>
      </w:r>
      <w:r w:rsidRPr="00282AC9">
        <w:rPr>
          <w:sz w:val="27"/>
          <w:rtl/>
        </w:rPr>
        <w:t xml:space="preserve"> </w:t>
      </w:r>
      <w:r w:rsidRPr="00282AC9">
        <w:rPr>
          <w:rFonts w:hint="cs"/>
          <w:sz w:val="27"/>
          <w:rtl/>
        </w:rPr>
        <w:t>عندها</w:t>
      </w:r>
      <w:r w:rsidRPr="00282AC9">
        <w:rPr>
          <w:sz w:val="27"/>
          <w:rtl/>
        </w:rPr>
        <w:t xml:space="preserve"> </w:t>
      </w:r>
      <w:r w:rsidRPr="00282AC9">
        <w:rPr>
          <w:rFonts w:hint="cs"/>
          <w:sz w:val="27"/>
          <w:rtl/>
        </w:rPr>
        <w:t>الغ</w:t>
      </w:r>
      <w:r w:rsidR="005278A5" w:rsidRPr="00282AC9">
        <w:rPr>
          <w:rFonts w:hint="cs"/>
          <w:sz w:val="27"/>
          <w:rtl/>
        </w:rPr>
        <w:t>َ</w:t>
      </w:r>
      <w:r w:rsidRPr="00282AC9">
        <w:rPr>
          <w:rFonts w:hint="cs"/>
          <w:sz w:val="27"/>
          <w:rtl/>
        </w:rPr>
        <w:t>ي</w:t>
      </w:r>
      <w:r w:rsidR="005278A5" w:rsidRPr="00282AC9">
        <w:rPr>
          <w:rFonts w:hint="cs"/>
          <w:sz w:val="27"/>
          <w:rtl/>
        </w:rPr>
        <w:t>ْ</w:t>
      </w:r>
      <w:r w:rsidRPr="00282AC9">
        <w:rPr>
          <w:rFonts w:hint="cs"/>
          <w:sz w:val="27"/>
          <w:rtl/>
        </w:rPr>
        <w:t>بة</w:t>
      </w:r>
      <w:r w:rsidRPr="00282AC9">
        <w:rPr>
          <w:sz w:val="27"/>
          <w:rtl/>
        </w:rPr>
        <w:t xml:space="preserve"> </w:t>
      </w:r>
      <w:r w:rsidRPr="00282AC9">
        <w:rPr>
          <w:rFonts w:hint="cs"/>
          <w:sz w:val="27"/>
          <w:rtl/>
        </w:rPr>
        <w:t>بمنزلة</w:t>
      </w:r>
      <w:r w:rsidRPr="00282AC9">
        <w:rPr>
          <w:sz w:val="27"/>
          <w:rtl/>
        </w:rPr>
        <w:t xml:space="preserve"> </w:t>
      </w:r>
      <w:r w:rsidRPr="00282AC9">
        <w:rPr>
          <w:rFonts w:hint="cs"/>
          <w:sz w:val="27"/>
          <w:rtl/>
        </w:rPr>
        <w:t>المشاهدة</w:t>
      </w:r>
      <w:r w:rsidR="005278A5" w:rsidRPr="00282AC9">
        <w:rPr>
          <w:rFonts w:hint="cs"/>
          <w:sz w:val="27"/>
          <w:rtl/>
        </w:rPr>
        <w:t>،</w:t>
      </w:r>
      <w:r w:rsidRPr="00282AC9">
        <w:rPr>
          <w:sz w:val="27"/>
          <w:rtl/>
        </w:rPr>
        <w:t xml:space="preserve"> </w:t>
      </w:r>
      <w:r w:rsidRPr="00282AC9">
        <w:rPr>
          <w:rFonts w:hint="cs"/>
          <w:sz w:val="27"/>
          <w:rtl/>
        </w:rPr>
        <w:t>فإنها</w:t>
      </w:r>
      <w:r w:rsidRPr="00282AC9">
        <w:rPr>
          <w:sz w:val="27"/>
          <w:rtl/>
        </w:rPr>
        <w:t xml:space="preserve"> </w:t>
      </w:r>
      <w:r w:rsidRPr="00282AC9">
        <w:rPr>
          <w:rFonts w:hint="cs"/>
          <w:sz w:val="27"/>
          <w:rtl/>
        </w:rPr>
        <w:t>ترى</w:t>
      </w:r>
      <w:r w:rsidRPr="00282AC9">
        <w:rPr>
          <w:sz w:val="27"/>
          <w:rtl/>
        </w:rPr>
        <w:t xml:space="preserve"> </w:t>
      </w:r>
      <w:r w:rsidRPr="00282AC9">
        <w:rPr>
          <w:rFonts w:hint="cs"/>
          <w:sz w:val="27"/>
          <w:rtl/>
        </w:rPr>
        <w:t>الف</w:t>
      </w:r>
      <w:r w:rsidR="005278A5" w:rsidRPr="00282AC9">
        <w:rPr>
          <w:rFonts w:hint="cs"/>
          <w:sz w:val="27"/>
          <w:rtl/>
        </w:rPr>
        <w:t>َ</w:t>
      </w:r>
      <w:r w:rsidRPr="00282AC9">
        <w:rPr>
          <w:rFonts w:hint="cs"/>
          <w:sz w:val="27"/>
          <w:rtl/>
        </w:rPr>
        <w:t>ر</w:t>
      </w:r>
      <w:r w:rsidR="005278A5" w:rsidRPr="00282AC9">
        <w:rPr>
          <w:rFonts w:hint="cs"/>
          <w:sz w:val="27"/>
          <w:rtl/>
        </w:rPr>
        <w:t>َ</w:t>
      </w:r>
      <w:r w:rsidRPr="00282AC9">
        <w:rPr>
          <w:rFonts w:hint="cs"/>
          <w:sz w:val="27"/>
          <w:rtl/>
        </w:rPr>
        <w:t>ج</w:t>
      </w:r>
      <w:r w:rsidRPr="00282AC9">
        <w:rPr>
          <w:sz w:val="27"/>
          <w:rtl/>
        </w:rPr>
        <w:t xml:space="preserve"> </w:t>
      </w:r>
      <w:r w:rsidRPr="00282AC9">
        <w:rPr>
          <w:rFonts w:hint="cs"/>
          <w:sz w:val="27"/>
          <w:rtl/>
        </w:rPr>
        <w:t>قريباً</w:t>
      </w:r>
      <w:r w:rsidR="005278A5" w:rsidRPr="00282AC9">
        <w:rPr>
          <w:rFonts w:hint="cs"/>
          <w:sz w:val="27"/>
          <w:rtl/>
        </w:rPr>
        <w:t>.</w:t>
      </w:r>
      <w:r w:rsidRPr="00282AC9">
        <w:rPr>
          <w:sz w:val="27"/>
          <w:rtl/>
        </w:rPr>
        <w:t xml:space="preserve"> </w:t>
      </w:r>
      <w:r w:rsidRPr="00282AC9">
        <w:rPr>
          <w:rFonts w:hint="cs"/>
          <w:sz w:val="27"/>
          <w:rtl/>
        </w:rPr>
        <w:t>وأعظم</w:t>
      </w:r>
      <w:r w:rsidRPr="00282AC9">
        <w:rPr>
          <w:sz w:val="27"/>
          <w:rtl/>
        </w:rPr>
        <w:t xml:space="preserve"> </w:t>
      </w:r>
      <w:r w:rsidRPr="00282AC9">
        <w:rPr>
          <w:rFonts w:hint="cs"/>
          <w:sz w:val="27"/>
          <w:rtl/>
        </w:rPr>
        <w:t>الف</w:t>
      </w:r>
      <w:r w:rsidR="005278A5" w:rsidRPr="00282AC9">
        <w:rPr>
          <w:rFonts w:hint="cs"/>
          <w:sz w:val="27"/>
          <w:rtl/>
        </w:rPr>
        <w:t>َ</w:t>
      </w:r>
      <w:r w:rsidRPr="00282AC9">
        <w:rPr>
          <w:rFonts w:hint="cs"/>
          <w:sz w:val="27"/>
          <w:rtl/>
        </w:rPr>
        <w:t>ر</w:t>
      </w:r>
      <w:r w:rsidR="005278A5" w:rsidRPr="00282AC9">
        <w:rPr>
          <w:rFonts w:hint="cs"/>
          <w:sz w:val="27"/>
          <w:rtl/>
        </w:rPr>
        <w:t>َ</w:t>
      </w:r>
      <w:r w:rsidRPr="00282AC9">
        <w:rPr>
          <w:rFonts w:hint="cs"/>
          <w:sz w:val="27"/>
          <w:rtl/>
        </w:rPr>
        <w:t>ج</w:t>
      </w:r>
      <w:r w:rsidRPr="00282AC9">
        <w:rPr>
          <w:sz w:val="27"/>
          <w:rtl/>
        </w:rPr>
        <w:t xml:space="preserve"> </w:t>
      </w:r>
      <w:r w:rsidRPr="00282AC9">
        <w:rPr>
          <w:rFonts w:hint="cs"/>
          <w:sz w:val="27"/>
          <w:rtl/>
        </w:rPr>
        <w:t>انتظار</w:t>
      </w:r>
      <w:r w:rsidRPr="00282AC9">
        <w:rPr>
          <w:sz w:val="27"/>
          <w:rtl/>
        </w:rPr>
        <w:t xml:space="preserve"> </w:t>
      </w:r>
      <w:r w:rsidRPr="00282AC9">
        <w:rPr>
          <w:rFonts w:hint="cs"/>
          <w:sz w:val="27"/>
          <w:rtl/>
        </w:rPr>
        <w:t>الف</w:t>
      </w:r>
      <w:r w:rsidR="005278A5" w:rsidRPr="00282AC9">
        <w:rPr>
          <w:rFonts w:hint="cs"/>
          <w:sz w:val="27"/>
          <w:rtl/>
        </w:rPr>
        <w:t>َ</w:t>
      </w:r>
      <w:r w:rsidRPr="00282AC9">
        <w:rPr>
          <w:rFonts w:hint="cs"/>
          <w:sz w:val="27"/>
          <w:rtl/>
        </w:rPr>
        <w:t>ر</w:t>
      </w:r>
      <w:r w:rsidR="005278A5" w:rsidRPr="00282AC9">
        <w:rPr>
          <w:rFonts w:hint="cs"/>
          <w:sz w:val="27"/>
          <w:rtl/>
        </w:rPr>
        <w:t>َ</w:t>
      </w:r>
      <w:r w:rsidRPr="00282AC9">
        <w:rPr>
          <w:rFonts w:hint="cs"/>
          <w:sz w:val="27"/>
          <w:rtl/>
        </w:rPr>
        <w:t>ج</w:t>
      </w:r>
      <w:r w:rsidR="005278A5" w:rsidRPr="00282AC9">
        <w:rPr>
          <w:rFonts w:hint="cs"/>
          <w:sz w:val="27"/>
          <w:rtl/>
        </w:rPr>
        <w:t>؛</w:t>
      </w:r>
      <w:r w:rsidRPr="00282AC9">
        <w:rPr>
          <w:rFonts w:hint="cs"/>
          <w:sz w:val="27"/>
          <w:rtl/>
        </w:rPr>
        <w:t xml:space="preserve"> </w:t>
      </w:r>
      <w:r w:rsidRPr="00282AC9">
        <w:rPr>
          <w:rFonts w:hint="eastAsia"/>
          <w:sz w:val="24"/>
          <w:szCs w:val="24"/>
          <w:rtl/>
        </w:rPr>
        <w:t>«</w:t>
      </w:r>
      <w:r w:rsidRPr="00282AC9">
        <w:rPr>
          <w:rFonts w:hint="cs"/>
          <w:sz w:val="27"/>
          <w:rtl/>
        </w:rPr>
        <w:t>فإن</w:t>
      </w:r>
      <w:r w:rsidRPr="00282AC9">
        <w:rPr>
          <w:sz w:val="27"/>
          <w:rtl/>
        </w:rPr>
        <w:t xml:space="preserve"> </w:t>
      </w:r>
      <w:r w:rsidRPr="00282AC9">
        <w:rPr>
          <w:rFonts w:hint="cs"/>
          <w:sz w:val="27"/>
          <w:rtl/>
        </w:rPr>
        <w:t>النبي</w:t>
      </w:r>
      <w:r w:rsidR="005278A5" w:rsidRPr="00282AC9">
        <w:rPr>
          <w:rFonts w:hint="cs"/>
          <w:sz w:val="27"/>
          <w:rtl/>
        </w:rPr>
        <w:t>ّ</w:t>
      </w:r>
      <w:r w:rsidR="009A2A04" w:rsidRPr="00282AC9">
        <w:rPr>
          <w:rFonts w:cs="Mosawi" w:hint="cs"/>
          <w:sz w:val="22"/>
          <w:szCs w:val="22"/>
          <w:rtl/>
        </w:rPr>
        <w:t>|</w:t>
      </w:r>
      <w:r w:rsidRPr="00282AC9">
        <w:rPr>
          <w:sz w:val="27"/>
          <w:rtl/>
        </w:rPr>
        <w:t xml:space="preserve"> </w:t>
      </w:r>
      <w:r w:rsidRPr="00282AC9">
        <w:rPr>
          <w:rFonts w:hint="cs"/>
          <w:sz w:val="27"/>
          <w:rtl/>
        </w:rPr>
        <w:t>أوصى</w:t>
      </w:r>
      <w:r w:rsidRPr="00282AC9">
        <w:rPr>
          <w:sz w:val="27"/>
          <w:rtl/>
        </w:rPr>
        <w:t xml:space="preserve"> </w:t>
      </w:r>
      <w:r w:rsidRPr="00282AC9">
        <w:rPr>
          <w:rFonts w:hint="cs"/>
          <w:sz w:val="27"/>
          <w:rtl/>
        </w:rPr>
        <w:t>علي</w:t>
      </w:r>
      <w:r w:rsidR="005278A5" w:rsidRPr="00282AC9">
        <w:rPr>
          <w:rFonts w:hint="cs"/>
          <w:sz w:val="27"/>
          <w:rtl/>
        </w:rPr>
        <w:t>ّ</w:t>
      </w:r>
      <w:r w:rsidRPr="00282AC9">
        <w:rPr>
          <w:rFonts w:hint="cs"/>
          <w:sz w:val="27"/>
          <w:rtl/>
        </w:rPr>
        <w:t>اً</w:t>
      </w:r>
      <w:r w:rsidR="009A2A04" w:rsidRPr="00282AC9">
        <w:rPr>
          <w:rFonts w:cs="Mosawi"/>
          <w:sz w:val="22"/>
          <w:szCs w:val="22"/>
          <w:rtl/>
        </w:rPr>
        <w:t>×</w:t>
      </w:r>
      <w:r w:rsidR="005278A5" w:rsidRPr="00282AC9">
        <w:rPr>
          <w:rFonts w:hint="cs"/>
          <w:sz w:val="27"/>
          <w:rtl/>
        </w:rPr>
        <w:t xml:space="preserve">، </w:t>
      </w:r>
      <w:r w:rsidRPr="00282AC9">
        <w:rPr>
          <w:rFonts w:hint="cs"/>
          <w:sz w:val="27"/>
          <w:rtl/>
        </w:rPr>
        <w:t>فقال</w:t>
      </w:r>
      <w:r w:rsidRPr="00282AC9">
        <w:rPr>
          <w:sz w:val="27"/>
          <w:rtl/>
        </w:rPr>
        <w:t xml:space="preserve">: </w:t>
      </w:r>
      <w:r w:rsidRPr="00282AC9">
        <w:rPr>
          <w:rFonts w:hint="cs"/>
          <w:sz w:val="27"/>
          <w:rtl/>
        </w:rPr>
        <w:t>يا</w:t>
      </w:r>
      <w:r w:rsidRPr="00282AC9">
        <w:rPr>
          <w:sz w:val="27"/>
          <w:rtl/>
        </w:rPr>
        <w:t xml:space="preserve"> </w:t>
      </w:r>
      <w:r w:rsidRPr="00282AC9">
        <w:rPr>
          <w:rFonts w:hint="cs"/>
          <w:sz w:val="27"/>
          <w:rtl/>
        </w:rPr>
        <w:t>علي</w:t>
      </w:r>
      <w:r w:rsidR="005278A5" w:rsidRPr="00282AC9">
        <w:rPr>
          <w:rFonts w:hint="cs"/>
          <w:sz w:val="27"/>
          <w:rtl/>
        </w:rPr>
        <w:t>ّ،</w:t>
      </w:r>
      <w:r w:rsidRPr="00282AC9">
        <w:rPr>
          <w:sz w:val="27"/>
          <w:rtl/>
        </w:rPr>
        <w:t xml:space="preserve"> </w:t>
      </w:r>
      <w:r w:rsidRPr="00282AC9">
        <w:rPr>
          <w:rFonts w:hint="cs"/>
          <w:sz w:val="27"/>
          <w:rtl/>
        </w:rPr>
        <w:t>عليك</w:t>
      </w:r>
      <w:r w:rsidRPr="00282AC9">
        <w:rPr>
          <w:sz w:val="27"/>
          <w:rtl/>
        </w:rPr>
        <w:t xml:space="preserve"> </w:t>
      </w:r>
      <w:r w:rsidRPr="00282AC9">
        <w:rPr>
          <w:rFonts w:hint="cs"/>
          <w:sz w:val="27"/>
          <w:rtl/>
        </w:rPr>
        <w:t>بصلاة</w:t>
      </w:r>
      <w:r w:rsidRPr="00282AC9">
        <w:rPr>
          <w:sz w:val="27"/>
          <w:rtl/>
        </w:rPr>
        <w:t xml:space="preserve"> </w:t>
      </w:r>
      <w:r w:rsidRPr="00282AC9">
        <w:rPr>
          <w:rFonts w:hint="cs"/>
          <w:sz w:val="27"/>
          <w:rtl/>
        </w:rPr>
        <w:t>الليل</w:t>
      </w:r>
      <w:r w:rsidRPr="00282AC9">
        <w:rPr>
          <w:sz w:val="27"/>
          <w:rtl/>
        </w:rPr>
        <w:t xml:space="preserve"> (</w:t>
      </w:r>
      <w:r w:rsidRPr="00282AC9">
        <w:rPr>
          <w:rFonts w:hint="cs"/>
          <w:sz w:val="27"/>
          <w:rtl/>
        </w:rPr>
        <w:t>ثلاث مر</w:t>
      </w:r>
      <w:r w:rsidR="005278A5" w:rsidRPr="00282AC9">
        <w:rPr>
          <w:rFonts w:hint="cs"/>
          <w:sz w:val="27"/>
          <w:rtl/>
        </w:rPr>
        <w:t>ّ</w:t>
      </w:r>
      <w:r w:rsidRPr="00282AC9">
        <w:rPr>
          <w:rFonts w:hint="cs"/>
          <w:sz w:val="27"/>
          <w:rtl/>
        </w:rPr>
        <w:t>ات</w:t>
      </w:r>
      <w:r w:rsidRPr="00282AC9">
        <w:rPr>
          <w:sz w:val="27"/>
          <w:rtl/>
        </w:rPr>
        <w:t>)</w:t>
      </w:r>
      <w:r w:rsidR="005278A5" w:rsidRPr="00282AC9">
        <w:rPr>
          <w:rFonts w:hint="cs"/>
          <w:sz w:val="27"/>
          <w:rtl/>
        </w:rPr>
        <w:t>.</w:t>
      </w:r>
      <w:r w:rsidRPr="00282AC9">
        <w:rPr>
          <w:sz w:val="27"/>
          <w:rtl/>
        </w:rPr>
        <w:t xml:space="preserve"> </w:t>
      </w:r>
      <w:r w:rsidRPr="00282AC9">
        <w:rPr>
          <w:rFonts w:hint="cs"/>
          <w:sz w:val="27"/>
          <w:rtl/>
        </w:rPr>
        <w:t>وم</w:t>
      </w:r>
      <w:r w:rsidR="005278A5" w:rsidRPr="00282AC9">
        <w:rPr>
          <w:rFonts w:hint="cs"/>
          <w:sz w:val="27"/>
          <w:rtl/>
        </w:rPr>
        <w:t>َ</w:t>
      </w:r>
      <w:r w:rsidRPr="00282AC9">
        <w:rPr>
          <w:rFonts w:hint="cs"/>
          <w:sz w:val="27"/>
          <w:rtl/>
        </w:rPr>
        <w:t>ن</w:t>
      </w:r>
      <w:r w:rsidR="005278A5" w:rsidRPr="00282AC9">
        <w:rPr>
          <w:rFonts w:hint="cs"/>
          <w:sz w:val="27"/>
          <w:rtl/>
        </w:rPr>
        <w:t>ْ</w:t>
      </w:r>
      <w:r w:rsidRPr="00282AC9">
        <w:rPr>
          <w:sz w:val="27"/>
          <w:rtl/>
        </w:rPr>
        <w:t xml:space="preserve"> </w:t>
      </w:r>
      <w:r w:rsidRPr="00282AC9">
        <w:rPr>
          <w:rFonts w:hint="cs"/>
          <w:sz w:val="27"/>
          <w:rtl/>
        </w:rPr>
        <w:t>استخف</w:t>
      </w:r>
      <w:r w:rsidR="005278A5" w:rsidRPr="00282AC9">
        <w:rPr>
          <w:rFonts w:hint="cs"/>
          <w:sz w:val="27"/>
          <w:rtl/>
        </w:rPr>
        <w:t>ّ</w:t>
      </w:r>
      <w:r w:rsidRPr="00282AC9">
        <w:rPr>
          <w:sz w:val="27"/>
          <w:rtl/>
        </w:rPr>
        <w:t xml:space="preserve"> </w:t>
      </w:r>
      <w:r w:rsidRPr="00282AC9">
        <w:rPr>
          <w:rFonts w:hint="cs"/>
          <w:sz w:val="27"/>
          <w:rtl/>
        </w:rPr>
        <w:t>بصلاة</w:t>
      </w:r>
      <w:r w:rsidRPr="00282AC9">
        <w:rPr>
          <w:sz w:val="27"/>
          <w:rtl/>
        </w:rPr>
        <w:t xml:space="preserve"> </w:t>
      </w:r>
      <w:r w:rsidRPr="00282AC9">
        <w:rPr>
          <w:rFonts w:hint="cs"/>
          <w:sz w:val="27"/>
          <w:rtl/>
        </w:rPr>
        <w:t>الليل</w:t>
      </w:r>
      <w:r w:rsidRPr="00282AC9">
        <w:rPr>
          <w:sz w:val="27"/>
          <w:rtl/>
        </w:rPr>
        <w:t xml:space="preserve"> </w:t>
      </w:r>
      <w:r w:rsidRPr="00282AC9">
        <w:rPr>
          <w:rFonts w:hint="cs"/>
          <w:sz w:val="27"/>
          <w:rtl/>
        </w:rPr>
        <w:t>فليس</w:t>
      </w:r>
      <w:r w:rsidRPr="00282AC9">
        <w:rPr>
          <w:sz w:val="27"/>
          <w:rtl/>
        </w:rPr>
        <w:t xml:space="preserve"> </w:t>
      </w:r>
      <w:r w:rsidRPr="00282AC9">
        <w:rPr>
          <w:rFonts w:hint="cs"/>
          <w:sz w:val="27"/>
          <w:rtl/>
        </w:rPr>
        <w:t>من</w:t>
      </w:r>
      <w:r w:rsidR="005278A5" w:rsidRPr="00282AC9">
        <w:rPr>
          <w:rFonts w:hint="cs"/>
          <w:sz w:val="27"/>
          <w:rtl/>
        </w:rPr>
        <w:t>ّ</w:t>
      </w:r>
      <w:r w:rsidRPr="00282AC9">
        <w:rPr>
          <w:rFonts w:hint="cs"/>
          <w:sz w:val="27"/>
          <w:rtl/>
        </w:rPr>
        <w:t>ا</w:t>
      </w:r>
      <w:r w:rsidR="005278A5" w:rsidRPr="00282AC9">
        <w:rPr>
          <w:rFonts w:hint="cs"/>
          <w:sz w:val="27"/>
          <w:rtl/>
        </w:rPr>
        <w:t>.</w:t>
      </w:r>
      <w:r w:rsidRPr="00282AC9">
        <w:rPr>
          <w:sz w:val="27"/>
          <w:rtl/>
        </w:rPr>
        <w:t xml:space="preserve"> </w:t>
      </w:r>
      <w:r w:rsidRPr="00282AC9">
        <w:rPr>
          <w:rFonts w:hint="cs"/>
          <w:sz w:val="27"/>
          <w:rtl/>
        </w:rPr>
        <w:t>فاعم</w:t>
      </w:r>
      <w:r w:rsidR="005278A5" w:rsidRPr="00282AC9">
        <w:rPr>
          <w:rFonts w:hint="cs"/>
          <w:sz w:val="27"/>
          <w:rtl/>
        </w:rPr>
        <w:t>َ</w:t>
      </w:r>
      <w:r w:rsidRPr="00282AC9">
        <w:rPr>
          <w:rFonts w:hint="cs"/>
          <w:sz w:val="27"/>
          <w:rtl/>
        </w:rPr>
        <w:t>ل</w:t>
      </w:r>
      <w:r w:rsidR="005278A5" w:rsidRPr="00282AC9">
        <w:rPr>
          <w:rFonts w:hint="cs"/>
          <w:sz w:val="27"/>
          <w:rtl/>
        </w:rPr>
        <w:t>ْ</w:t>
      </w:r>
      <w:r w:rsidRPr="00282AC9">
        <w:rPr>
          <w:sz w:val="27"/>
          <w:rtl/>
        </w:rPr>
        <w:t xml:space="preserve"> </w:t>
      </w:r>
      <w:r w:rsidRPr="00282AC9">
        <w:rPr>
          <w:rFonts w:hint="cs"/>
          <w:sz w:val="27"/>
          <w:rtl/>
        </w:rPr>
        <w:t>بوصي</w:t>
      </w:r>
      <w:r w:rsidR="005278A5" w:rsidRPr="00282AC9">
        <w:rPr>
          <w:rFonts w:hint="cs"/>
          <w:sz w:val="27"/>
          <w:rtl/>
        </w:rPr>
        <w:t>ّ</w:t>
      </w:r>
      <w:r w:rsidRPr="00282AC9">
        <w:rPr>
          <w:rFonts w:hint="cs"/>
          <w:sz w:val="27"/>
          <w:rtl/>
        </w:rPr>
        <w:t>تي</w:t>
      </w:r>
      <w:r w:rsidRPr="00282AC9">
        <w:rPr>
          <w:sz w:val="27"/>
          <w:rtl/>
        </w:rPr>
        <w:t xml:space="preserve">، </w:t>
      </w:r>
      <w:r w:rsidRPr="00282AC9">
        <w:rPr>
          <w:rFonts w:hint="cs"/>
          <w:sz w:val="27"/>
          <w:rtl/>
        </w:rPr>
        <w:t>و</w:t>
      </w:r>
      <w:r w:rsidR="00201D5B" w:rsidRPr="00282AC9">
        <w:rPr>
          <w:rFonts w:hint="cs"/>
          <w:sz w:val="27"/>
          <w:rtl/>
        </w:rPr>
        <w:t>َأْ</w:t>
      </w:r>
      <w:r w:rsidRPr="00282AC9">
        <w:rPr>
          <w:rFonts w:hint="cs"/>
          <w:sz w:val="27"/>
          <w:rtl/>
        </w:rPr>
        <w:t>م</w:t>
      </w:r>
      <w:r w:rsidR="00343486" w:rsidRPr="00282AC9">
        <w:rPr>
          <w:rFonts w:hint="cs"/>
          <w:sz w:val="27"/>
          <w:rtl/>
        </w:rPr>
        <w:t>ُ</w:t>
      </w:r>
      <w:r w:rsidRPr="00282AC9">
        <w:rPr>
          <w:rFonts w:hint="cs"/>
          <w:sz w:val="27"/>
          <w:rtl/>
        </w:rPr>
        <w:t>ر</w:t>
      </w:r>
      <w:r w:rsidR="00343486" w:rsidRPr="00282AC9">
        <w:rPr>
          <w:rFonts w:hint="cs"/>
          <w:sz w:val="27"/>
          <w:rtl/>
        </w:rPr>
        <w:t>ْ</w:t>
      </w:r>
      <w:r w:rsidRPr="00282AC9">
        <w:rPr>
          <w:sz w:val="27"/>
          <w:rtl/>
        </w:rPr>
        <w:t xml:space="preserve"> </w:t>
      </w:r>
      <w:r w:rsidRPr="00282AC9">
        <w:rPr>
          <w:rFonts w:hint="cs"/>
          <w:sz w:val="27"/>
          <w:rtl/>
        </w:rPr>
        <w:t>جميع</w:t>
      </w:r>
      <w:r w:rsidRPr="00282AC9">
        <w:rPr>
          <w:sz w:val="27"/>
          <w:rtl/>
        </w:rPr>
        <w:t xml:space="preserve"> </w:t>
      </w:r>
      <w:r w:rsidRPr="00282AC9">
        <w:rPr>
          <w:rFonts w:hint="cs"/>
          <w:sz w:val="27"/>
          <w:rtl/>
        </w:rPr>
        <w:t>شيعتي</w:t>
      </w:r>
      <w:r w:rsidRPr="00282AC9">
        <w:rPr>
          <w:sz w:val="27"/>
          <w:rtl/>
        </w:rPr>
        <w:t xml:space="preserve"> </w:t>
      </w:r>
      <w:r w:rsidRPr="00282AC9">
        <w:rPr>
          <w:rFonts w:hint="cs"/>
          <w:sz w:val="27"/>
          <w:rtl/>
        </w:rPr>
        <w:t>حت</w:t>
      </w:r>
      <w:r w:rsidR="00343486" w:rsidRPr="00282AC9">
        <w:rPr>
          <w:rFonts w:hint="cs"/>
          <w:sz w:val="27"/>
          <w:rtl/>
        </w:rPr>
        <w:t>ّ</w:t>
      </w:r>
      <w:r w:rsidRPr="00282AC9">
        <w:rPr>
          <w:rFonts w:hint="cs"/>
          <w:sz w:val="27"/>
          <w:rtl/>
        </w:rPr>
        <w:t>ى يعملوا</w:t>
      </w:r>
      <w:r w:rsidRPr="00282AC9">
        <w:rPr>
          <w:sz w:val="27"/>
          <w:rtl/>
        </w:rPr>
        <w:t xml:space="preserve"> </w:t>
      </w:r>
      <w:r w:rsidRPr="00282AC9">
        <w:rPr>
          <w:rFonts w:hint="cs"/>
          <w:sz w:val="27"/>
          <w:rtl/>
        </w:rPr>
        <w:t>عليه</w:t>
      </w:r>
      <w:r w:rsidR="00343486" w:rsidRPr="00282AC9">
        <w:rPr>
          <w:rFonts w:hint="cs"/>
          <w:sz w:val="27"/>
          <w:rtl/>
        </w:rPr>
        <w:t>.</w:t>
      </w:r>
      <w:r w:rsidRPr="00282AC9">
        <w:rPr>
          <w:sz w:val="27"/>
          <w:rtl/>
        </w:rPr>
        <w:t xml:space="preserve"> </w:t>
      </w:r>
      <w:r w:rsidRPr="00282AC9">
        <w:rPr>
          <w:rFonts w:hint="cs"/>
          <w:sz w:val="27"/>
          <w:rtl/>
        </w:rPr>
        <w:t>وعليك</w:t>
      </w:r>
      <w:r w:rsidRPr="00282AC9">
        <w:rPr>
          <w:sz w:val="27"/>
          <w:rtl/>
        </w:rPr>
        <w:t xml:space="preserve"> </w:t>
      </w:r>
      <w:r w:rsidRPr="00282AC9">
        <w:rPr>
          <w:rFonts w:hint="cs"/>
          <w:sz w:val="27"/>
          <w:rtl/>
        </w:rPr>
        <w:t>بالصبر</w:t>
      </w:r>
      <w:r w:rsidRPr="00282AC9">
        <w:rPr>
          <w:sz w:val="27"/>
          <w:rtl/>
        </w:rPr>
        <w:t xml:space="preserve"> </w:t>
      </w:r>
      <w:r w:rsidRPr="00282AC9">
        <w:rPr>
          <w:rFonts w:hint="cs"/>
          <w:sz w:val="27"/>
          <w:rtl/>
        </w:rPr>
        <w:t>وانتظار</w:t>
      </w:r>
      <w:r w:rsidRPr="00282AC9">
        <w:rPr>
          <w:sz w:val="27"/>
          <w:rtl/>
        </w:rPr>
        <w:t xml:space="preserve"> </w:t>
      </w:r>
      <w:r w:rsidRPr="00282AC9">
        <w:rPr>
          <w:rFonts w:hint="cs"/>
          <w:sz w:val="27"/>
          <w:rtl/>
        </w:rPr>
        <w:t>الف</w:t>
      </w:r>
      <w:r w:rsidR="00343486" w:rsidRPr="00282AC9">
        <w:rPr>
          <w:rFonts w:hint="cs"/>
          <w:sz w:val="27"/>
          <w:rtl/>
        </w:rPr>
        <w:t>َ</w:t>
      </w:r>
      <w:r w:rsidRPr="00282AC9">
        <w:rPr>
          <w:rFonts w:hint="cs"/>
          <w:sz w:val="27"/>
          <w:rtl/>
        </w:rPr>
        <w:t>ر</w:t>
      </w:r>
      <w:r w:rsidR="00343486" w:rsidRPr="00282AC9">
        <w:rPr>
          <w:rFonts w:hint="cs"/>
          <w:sz w:val="27"/>
          <w:rtl/>
        </w:rPr>
        <w:t>َ</w:t>
      </w:r>
      <w:r w:rsidRPr="00282AC9">
        <w:rPr>
          <w:rFonts w:hint="cs"/>
          <w:sz w:val="27"/>
          <w:rtl/>
        </w:rPr>
        <w:t>ج</w:t>
      </w:r>
      <w:r w:rsidR="00343486" w:rsidRPr="00282AC9">
        <w:rPr>
          <w:rFonts w:hint="cs"/>
          <w:sz w:val="27"/>
          <w:rtl/>
        </w:rPr>
        <w:t>؛</w:t>
      </w:r>
      <w:r w:rsidRPr="00282AC9">
        <w:rPr>
          <w:sz w:val="27"/>
          <w:rtl/>
        </w:rPr>
        <w:t xml:space="preserve"> </w:t>
      </w:r>
      <w:r w:rsidRPr="00282AC9">
        <w:rPr>
          <w:rFonts w:hint="cs"/>
          <w:sz w:val="27"/>
          <w:rtl/>
        </w:rPr>
        <w:t>فإن</w:t>
      </w:r>
      <w:r w:rsidRPr="00282AC9">
        <w:rPr>
          <w:sz w:val="27"/>
          <w:rtl/>
        </w:rPr>
        <w:t xml:space="preserve"> </w:t>
      </w:r>
      <w:r w:rsidRPr="00282AC9">
        <w:rPr>
          <w:rFonts w:hint="cs"/>
          <w:sz w:val="27"/>
          <w:rtl/>
        </w:rPr>
        <w:t>النبي</w:t>
      </w:r>
      <w:r w:rsidR="00343486" w:rsidRPr="00282AC9">
        <w:rPr>
          <w:rFonts w:hint="cs"/>
          <w:sz w:val="27"/>
          <w:rtl/>
        </w:rPr>
        <w:t>ّ</w:t>
      </w:r>
      <w:r w:rsidR="009A2A04" w:rsidRPr="00282AC9">
        <w:rPr>
          <w:rFonts w:cs="Mosawi" w:hint="cs"/>
          <w:sz w:val="22"/>
          <w:szCs w:val="22"/>
          <w:rtl/>
        </w:rPr>
        <w:t>|</w:t>
      </w:r>
      <w:r w:rsidRPr="00282AC9">
        <w:rPr>
          <w:rFonts w:hint="cs"/>
          <w:sz w:val="27"/>
          <w:rtl/>
        </w:rPr>
        <w:t xml:space="preserve"> قال</w:t>
      </w:r>
      <w:r w:rsidRPr="00282AC9">
        <w:rPr>
          <w:sz w:val="27"/>
          <w:rtl/>
        </w:rPr>
        <w:t xml:space="preserve">: </w:t>
      </w:r>
      <w:r w:rsidRPr="00282AC9">
        <w:rPr>
          <w:rFonts w:hint="cs"/>
          <w:sz w:val="27"/>
          <w:rtl/>
        </w:rPr>
        <w:t>أفضل</w:t>
      </w:r>
      <w:r w:rsidRPr="00282AC9">
        <w:rPr>
          <w:sz w:val="27"/>
          <w:rtl/>
        </w:rPr>
        <w:t xml:space="preserve"> </w:t>
      </w:r>
      <w:r w:rsidRPr="00282AC9">
        <w:rPr>
          <w:rFonts w:hint="cs"/>
          <w:sz w:val="27"/>
          <w:rtl/>
        </w:rPr>
        <w:t>أعمال</w:t>
      </w:r>
      <w:r w:rsidRPr="00282AC9">
        <w:rPr>
          <w:sz w:val="27"/>
          <w:rtl/>
        </w:rPr>
        <w:t xml:space="preserve"> </w:t>
      </w:r>
      <w:r w:rsidRPr="00282AC9">
        <w:rPr>
          <w:rFonts w:hint="cs"/>
          <w:sz w:val="27"/>
          <w:rtl/>
        </w:rPr>
        <w:t>أم</w:t>
      </w:r>
      <w:r w:rsidR="00343486" w:rsidRPr="00282AC9">
        <w:rPr>
          <w:rFonts w:hint="cs"/>
          <w:sz w:val="27"/>
          <w:rtl/>
        </w:rPr>
        <w:t>ّ</w:t>
      </w:r>
      <w:r w:rsidRPr="00282AC9">
        <w:rPr>
          <w:rFonts w:hint="cs"/>
          <w:sz w:val="27"/>
          <w:rtl/>
        </w:rPr>
        <w:t>تي</w:t>
      </w:r>
      <w:r w:rsidRPr="00282AC9">
        <w:rPr>
          <w:sz w:val="27"/>
          <w:rtl/>
        </w:rPr>
        <w:t xml:space="preserve"> </w:t>
      </w:r>
      <w:r w:rsidRPr="00282AC9">
        <w:rPr>
          <w:rFonts w:hint="cs"/>
          <w:sz w:val="27"/>
          <w:rtl/>
        </w:rPr>
        <w:t>انتظار</w:t>
      </w:r>
      <w:r w:rsidRPr="00282AC9">
        <w:rPr>
          <w:sz w:val="27"/>
          <w:rtl/>
        </w:rPr>
        <w:t xml:space="preserve"> </w:t>
      </w:r>
      <w:r w:rsidRPr="00282AC9">
        <w:rPr>
          <w:rFonts w:hint="cs"/>
          <w:sz w:val="27"/>
          <w:rtl/>
        </w:rPr>
        <w:t>الف</w:t>
      </w:r>
      <w:r w:rsidR="00343486" w:rsidRPr="00282AC9">
        <w:rPr>
          <w:rFonts w:hint="cs"/>
          <w:sz w:val="27"/>
          <w:rtl/>
        </w:rPr>
        <w:t>َ</w:t>
      </w:r>
      <w:r w:rsidRPr="00282AC9">
        <w:rPr>
          <w:rFonts w:hint="cs"/>
          <w:sz w:val="27"/>
          <w:rtl/>
        </w:rPr>
        <w:t>ر</w:t>
      </w:r>
      <w:r w:rsidR="00343486" w:rsidRPr="00282AC9">
        <w:rPr>
          <w:rFonts w:hint="cs"/>
          <w:sz w:val="27"/>
          <w:rtl/>
        </w:rPr>
        <w:t>َ</w:t>
      </w:r>
      <w:r w:rsidRPr="00282AC9">
        <w:rPr>
          <w:rFonts w:hint="cs"/>
          <w:sz w:val="27"/>
          <w:rtl/>
        </w:rPr>
        <w:t>ج</w:t>
      </w:r>
      <w:r w:rsidRPr="00282AC9">
        <w:rPr>
          <w:sz w:val="27"/>
          <w:rtl/>
        </w:rPr>
        <w:t xml:space="preserve">، </w:t>
      </w:r>
      <w:r w:rsidRPr="00282AC9">
        <w:rPr>
          <w:rFonts w:hint="cs"/>
          <w:sz w:val="27"/>
          <w:rtl/>
        </w:rPr>
        <w:t>ولا</w:t>
      </w:r>
      <w:r w:rsidRPr="00282AC9">
        <w:rPr>
          <w:sz w:val="27"/>
          <w:rtl/>
        </w:rPr>
        <w:t xml:space="preserve"> </w:t>
      </w:r>
      <w:r w:rsidRPr="00282AC9">
        <w:rPr>
          <w:rFonts w:hint="cs"/>
          <w:sz w:val="27"/>
          <w:rtl/>
        </w:rPr>
        <w:t>يزال</w:t>
      </w:r>
      <w:r w:rsidRPr="00282AC9">
        <w:rPr>
          <w:sz w:val="27"/>
          <w:rtl/>
        </w:rPr>
        <w:t xml:space="preserve"> </w:t>
      </w:r>
      <w:r w:rsidRPr="00282AC9">
        <w:rPr>
          <w:rFonts w:hint="cs"/>
          <w:sz w:val="27"/>
          <w:rtl/>
        </w:rPr>
        <w:t>شيعتنا</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حزن</w:t>
      </w:r>
      <w:r w:rsidR="00343486" w:rsidRPr="00282AC9">
        <w:rPr>
          <w:rFonts w:hint="cs"/>
          <w:sz w:val="27"/>
          <w:rtl/>
        </w:rPr>
        <w:t>ٍ</w:t>
      </w:r>
      <w:r w:rsidRPr="00282AC9">
        <w:rPr>
          <w:sz w:val="27"/>
          <w:rtl/>
        </w:rPr>
        <w:t xml:space="preserve"> </w:t>
      </w:r>
      <w:r w:rsidRPr="00282AC9">
        <w:rPr>
          <w:rFonts w:hint="cs"/>
          <w:sz w:val="27"/>
          <w:rtl/>
        </w:rPr>
        <w:t>حت</w:t>
      </w:r>
      <w:r w:rsidR="00343486" w:rsidRPr="00282AC9">
        <w:rPr>
          <w:rFonts w:hint="cs"/>
          <w:sz w:val="27"/>
          <w:rtl/>
        </w:rPr>
        <w:t>ّ</w:t>
      </w:r>
      <w:r w:rsidRPr="00282AC9">
        <w:rPr>
          <w:rFonts w:hint="cs"/>
          <w:sz w:val="27"/>
          <w:rtl/>
        </w:rPr>
        <w:t>ى</w:t>
      </w:r>
      <w:r w:rsidRPr="00282AC9">
        <w:rPr>
          <w:sz w:val="27"/>
          <w:rtl/>
        </w:rPr>
        <w:t xml:space="preserve"> </w:t>
      </w:r>
      <w:r w:rsidRPr="00282AC9">
        <w:rPr>
          <w:rFonts w:hint="cs"/>
          <w:sz w:val="27"/>
          <w:rtl/>
        </w:rPr>
        <w:t>يظهر</w:t>
      </w:r>
      <w:r w:rsidRPr="00282AC9">
        <w:rPr>
          <w:sz w:val="27"/>
          <w:rtl/>
        </w:rPr>
        <w:t xml:space="preserve"> </w:t>
      </w:r>
      <w:r w:rsidRPr="00282AC9">
        <w:rPr>
          <w:rFonts w:hint="cs"/>
          <w:sz w:val="27"/>
          <w:rtl/>
        </w:rPr>
        <w:t>ولدي</w:t>
      </w:r>
      <w:r w:rsidR="00343486" w:rsidRPr="00282AC9">
        <w:rPr>
          <w:rFonts w:hint="cs"/>
          <w:sz w:val="27"/>
          <w:rtl/>
        </w:rPr>
        <w:t>،</w:t>
      </w:r>
      <w:r w:rsidRPr="00282AC9">
        <w:rPr>
          <w:rFonts w:hint="cs"/>
          <w:sz w:val="27"/>
          <w:rtl/>
        </w:rPr>
        <w:t xml:space="preserve"> الذي</w:t>
      </w:r>
      <w:r w:rsidRPr="00282AC9">
        <w:rPr>
          <w:sz w:val="27"/>
          <w:rtl/>
        </w:rPr>
        <w:t xml:space="preserve"> </w:t>
      </w:r>
      <w:r w:rsidRPr="00282AC9">
        <w:rPr>
          <w:rFonts w:hint="cs"/>
          <w:sz w:val="27"/>
          <w:rtl/>
        </w:rPr>
        <w:t>بش</w:t>
      </w:r>
      <w:r w:rsidR="00343486" w:rsidRPr="00282AC9">
        <w:rPr>
          <w:rFonts w:hint="cs"/>
          <w:sz w:val="27"/>
          <w:rtl/>
        </w:rPr>
        <w:t>َّ</w:t>
      </w:r>
      <w:r w:rsidRPr="00282AC9">
        <w:rPr>
          <w:rFonts w:hint="cs"/>
          <w:sz w:val="27"/>
          <w:rtl/>
        </w:rPr>
        <w:t>ر</w:t>
      </w:r>
      <w:r w:rsidRPr="00282AC9">
        <w:rPr>
          <w:sz w:val="27"/>
          <w:rtl/>
        </w:rPr>
        <w:t xml:space="preserve"> </w:t>
      </w:r>
      <w:r w:rsidRPr="00282AC9">
        <w:rPr>
          <w:rFonts w:hint="cs"/>
          <w:sz w:val="27"/>
          <w:rtl/>
        </w:rPr>
        <w:t>به</w:t>
      </w:r>
      <w:r w:rsidRPr="00282AC9">
        <w:rPr>
          <w:sz w:val="27"/>
          <w:rtl/>
        </w:rPr>
        <w:t xml:space="preserve"> </w:t>
      </w:r>
      <w:r w:rsidRPr="00282AC9">
        <w:rPr>
          <w:rFonts w:hint="cs"/>
          <w:sz w:val="27"/>
          <w:rtl/>
        </w:rPr>
        <w:t>النبي</w:t>
      </w:r>
      <w:r w:rsidR="00343486" w:rsidRPr="00282AC9">
        <w:rPr>
          <w:rFonts w:hint="cs"/>
          <w:sz w:val="27"/>
          <w:rtl/>
        </w:rPr>
        <w:t>ّ</w:t>
      </w:r>
      <w:r w:rsidR="009A2A04" w:rsidRPr="00282AC9">
        <w:rPr>
          <w:rFonts w:cs="Mosawi" w:hint="cs"/>
          <w:sz w:val="22"/>
          <w:szCs w:val="22"/>
          <w:rtl/>
        </w:rPr>
        <w:t>|</w:t>
      </w:r>
      <w:r w:rsidRPr="00282AC9">
        <w:rPr>
          <w:sz w:val="27"/>
          <w:rtl/>
        </w:rPr>
        <w:t xml:space="preserve"> </w:t>
      </w:r>
      <w:r w:rsidRPr="00282AC9">
        <w:rPr>
          <w:rFonts w:hint="cs"/>
          <w:sz w:val="27"/>
          <w:rtl/>
        </w:rPr>
        <w:t>أنه</w:t>
      </w:r>
      <w:r w:rsidRPr="00282AC9">
        <w:rPr>
          <w:sz w:val="27"/>
          <w:rtl/>
        </w:rPr>
        <w:t xml:space="preserve"> </w:t>
      </w:r>
      <w:r w:rsidRPr="00282AC9">
        <w:rPr>
          <w:rFonts w:hint="cs"/>
          <w:sz w:val="27"/>
          <w:rtl/>
        </w:rPr>
        <w:t>يملأ</w:t>
      </w:r>
      <w:r w:rsidRPr="00282AC9">
        <w:rPr>
          <w:sz w:val="27"/>
          <w:rtl/>
        </w:rPr>
        <w:t xml:space="preserve"> </w:t>
      </w:r>
      <w:r w:rsidRPr="00282AC9">
        <w:rPr>
          <w:rFonts w:hint="cs"/>
          <w:sz w:val="27"/>
          <w:rtl/>
        </w:rPr>
        <w:t>الأرض</w:t>
      </w:r>
      <w:r w:rsidRPr="00282AC9">
        <w:rPr>
          <w:sz w:val="27"/>
          <w:rtl/>
        </w:rPr>
        <w:t xml:space="preserve"> </w:t>
      </w:r>
      <w:r w:rsidRPr="00282AC9">
        <w:rPr>
          <w:rFonts w:hint="cs"/>
          <w:sz w:val="27"/>
          <w:rtl/>
        </w:rPr>
        <w:t>عدلا</w:t>
      </w:r>
      <w:r w:rsidR="00343486" w:rsidRPr="00282AC9">
        <w:rPr>
          <w:rFonts w:hint="cs"/>
          <w:sz w:val="27"/>
          <w:rtl/>
        </w:rPr>
        <w:t>ً</w:t>
      </w:r>
      <w:r w:rsidRPr="00282AC9">
        <w:rPr>
          <w:sz w:val="27"/>
          <w:rtl/>
        </w:rPr>
        <w:t xml:space="preserve"> </w:t>
      </w:r>
      <w:r w:rsidRPr="00282AC9">
        <w:rPr>
          <w:rFonts w:hint="cs"/>
          <w:sz w:val="27"/>
          <w:rtl/>
        </w:rPr>
        <w:t>وقسطا</w:t>
      </w:r>
      <w:r w:rsidR="00343486" w:rsidRPr="00282AC9">
        <w:rPr>
          <w:rFonts w:hint="cs"/>
          <w:sz w:val="27"/>
          <w:rtl/>
        </w:rPr>
        <w:t>ً</w:t>
      </w:r>
      <w:r w:rsidRPr="00282AC9">
        <w:rPr>
          <w:sz w:val="27"/>
          <w:rtl/>
        </w:rPr>
        <w:t xml:space="preserve">، </w:t>
      </w:r>
      <w:r w:rsidRPr="00282AC9">
        <w:rPr>
          <w:rFonts w:hint="cs"/>
          <w:sz w:val="27"/>
          <w:rtl/>
        </w:rPr>
        <w:t>كما م</w:t>
      </w:r>
      <w:r w:rsidR="00343486" w:rsidRPr="00282AC9">
        <w:rPr>
          <w:rFonts w:hint="cs"/>
          <w:sz w:val="27"/>
          <w:rtl/>
        </w:rPr>
        <w:t>ُ</w:t>
      </w:r>
      <w:r w:rsidRPr="00282AC9">
        <w:rPr>
          <w:rFonts w:hint="cs"/>
          <w:sz w:val="27"/>
          <w:rtl/>
        </w:rPr>
        <w:t>لئ</w:t>
      </w:r>
      <w:r w:rsidR="00343486" w:rsidRPr="00282AC9">
        <w:rPr>
          <w:rFonts w:hint="cs"/>
          <w:sz w:val="27"/>
          <w:rtl/>
        </w:rPr>
        <w:t>َتْ</w:t>
      </w:r>
      <w:r w:rsidRPr="00282AC9">
        <w:rPr>
          <w:sz w:val="27"/>
          <w:rtl/>
        </w:rPr>
        <w:t xml:space="preserve"> </w:t>
      </w:r>
      <w:r w:rsidRPr="00282AC9">
        <w:rPr>
          <w:rFonts w:hint="cs"/>
          <w:sz w:val="27"/>
          <w:rtl/>
        </w:rPr>
        <w:t>ظلما</w:t>
      </w:r>
      <w:r w:rsidR="00343486" w:rsidRPr="00282AC9">
        <w:rPr>
          <w:rFonts w:hint="cs"/>
          <w:sz w:val="27"/>
          <w:rtl/>
        </w:rPr>
        <w:t>ً</w:t>
      </w:r>
      <w:r w:rsidRPr="00282AC9">
        <w:rPr>
          <w:sz w:val="27"/>
          <w:rtl/>
        </w:rPr>
        <w:t xml:space="preserve"> </w:t>
      </w:r>
      <w:r w:rsidRPr="00282AC9">
        <w:rPr>
          <w:rFonts w:hint="cs"/>
          <w:sz w:val="27"/>
          <w:rtl/>
        </w:rPr>
        <w:t>وج</w:t>
      </w:r>
      <w:r w:rsidR="00343486" w:rsidRPr="00282AC9">
        <w:rPr>
          <w:rFonts w:hint="cs"/>
          <w:sz w:val="27"/>
          <w:rtl/>
        </w:rPr>
        <w:t>َ</w:t>
      </w:r>
      <w:r w:rsidRPr="00282AC9">
        <w:rPr>
          <w:rFonts w:hint="cs"/>
          <w:sz w:val="27"/>
          <w:rtl/>
        </w:rPr>
        <w:t>و</w:t>
      </w:r>
      <w:r w:rsidR="00343486" w:rsidRPr="00282AC9">
        <w:rPr>
          <w:rFonts w:hint="cs"/>
          <w:sz w:val="27"/>
          <w:rtl/>
        </w:rPr>
        <w:t>ْ</w:t>
      </w:r>
      <w:r w:rsidRPr="00282AC9">
        <w:rPr>
          <w:rFonts w:hint="cs"/>
          <w:sz w:val="27"/>
          <w:rtl/>
        </w:rPr>
        <w:t>راً</w:t>
      </w:r>
      <w:r w:rsidRPr="00282AC9">
        <w:rPr>
          <w:rFonts w:hint="eastAsia"/>
          <w:sz w:val="24"/>
          <w:szCs w:val="24"/>
          <w:rtl/>
        </w:rPr>
        <w:t>»</w:t>
      </w:r>
      <w:r w:rsidRPr="00282AC9">
        <w:rPr>
          <w:sz w:val="27"/>
          <w:vertAlign w:val="superscript"/>
          <w:rtl/>
        </w:rPr>
        <w:t>(</w:t>
      </w:r>
      <w:r w:rsidRPr="00282AC9">
        <w:rPr>
          <w:rStyle w:val="af9"/>
          <w:sz w:val="27"/>
          <w:rtl/>
        </w:rPr>
        <w:endnoteReference w:id="784"/>
      </w:r>
      <w:r w:rsidRPr="00282AC9">
        <w:rPr>
          <w:sz w:val="27"/>
          <w:vertAlign w:val="superscript"/>
          <w:rtl/>
        </w:rPr>
        <w:t>)</w:t>
      </w:r>
      <w:r w:rsidRPr="00282AC9">
        <w:rPr>
          <w:sz w:val="27"/>
          <w:rtl/>
        </w:rPr>
        <w:t>.</w:t>
      </w:r>
    </w:p>
    <w:p w:rsidR="00965E08" w:rsidRPr="00282AC9" w:rsidRDefault="00965E08" w:rsidP="003062B7">
      <w:pPr>
        <w:rPr>
          <w:b/>
          <w:bCs/>
          <w:sz w:val="27"/>
          <w:rtl/>
        </w:rPr>
      </w:pPr>
      <w:r w:rsidRPr="00282AC9">
        <w:rPr>
          <w:rFonts w:hint="cs"/>
          <w:sz w:val="27"/>
          <w:rtl/>
        </w:rPr>
        <w:t xml:space="preserve">وتشير </w:t>
      </w:r>
      <w:r w:rsidR="00343486" w:rsidRPr="00282AC9">
        <w:rPr>
          <w:rFonts w:hint="cs"/>
          <w:sz w:val="27"/>
          <w:rtl/>
        </w:rPr>
        <w:t>إ</w:t>
      </w:r>
      <w:r w:rsidRPr="00282AC9">
        <w:rPr>
          <w:rFonts w:hint="cs"/>
          <w:sz w:val="27"/>
          <w:rtl/>
        </w:rPr>
        <w:t>لى ذلك رواية أب</w:t>
      </w:r>
      <w:r w:rsidR="00343486" w:rsidRPr="00282AC9">
        <w:rPr>
          <w:rFonts w:hint="cs"/>
          <w:sz w:val="27"/>
          <w:rtl/>
        </w:rPr>
        <w:t>ي</w:t>
      </w:r>
      <w:r w:rsidRPr="00282AC9">
        <w:rPr>
          <w:sz w:val="27"/>
          <w:rtl/>
        </w:rPr>
        <w:t xml:space="preserve"> </w:t>
      </w:r>
      <w:r w:rsidRPr="00282AC9">
        <w:rPr>
          <w:rFonts w:hint="cs"/>
          <w:sz w:val="27"/>
          <w:rtl/>
        </w:rPr>
        <w:t>الجارود</w:t>
      </w:r>
      <w:r w:rsidR="00343486" w:rsidRPr="00282AC9">
        <w:rPr>
          <w:rFonts w:hint="cs"/>
          <w:sz w:val="27"/>
          <w:rtl/>
        </w:rPr>
        <w:t>،</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أبي</w:t>
      </w:r>
      <w:r w:rsidRPr="00282AC9">
        <w:rPr>
          <w:sz w:val="27"/>
          <w:rtl/>
        </w:rPr>
        <w:t xml:space="preserve"> </w:t>
      </w:r>
      <w:r w:rsidRPr="00282AC9">
        <w:rPr>
          <w:rFonts w:hint="cs"/>
          <w:sz w:val="27"/>
          <w:rtl/>
        </w:rPr>
        <w:t>جعفر</w:t>
      </w:r>
      <w:r w:rsidR="009A2A04" w:rsidRPr="00282AC9">
        <w:rPr>
          <w:rFonts w:cs="Mosawi"/>
          <w:sz w:val="22"/>
          <w:szCs w:val="22"/>
          <w:rtl/>
        </w:rPr>
        <w:t>×</w:t>
      </w:r>
      <w:r w:rsidR="00343486" w:rsidRPr="00282AC9">
        <w:rPr>
          <w:rFonts w:hint="cs"/>
          <w:sz w:val="27"/>
          <w:rtl/>
        </w:rPr>
        <w:t>،</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قوله:</w:t>
      </w:r>
      <w:r w:rsidRPr="00282AC9">
        <w:rPr>
          <w:sz w:val="27"/>
          <w:rtl/>
        </w:rPr>
        <w:t xml:space="preserve"> </w:t>
      </w:r>
      <w:r w:rsidRPr="00282AC9">
        <w:rPr>
          <w:rFonts w:ascii="Mosawi" w:hAnsi="Mosawi" w:cs="Mosawi"/>
          <w:sz w:val="24"/>
          <w:szCs w:val="24"/>
          <w:rtl/>
        </w:rPr>
        <w:t>﴿</w:t>
      </w:r>
      <w:r w:rsidR="00265EBA" w:rsidRPr="00282AC9">
        <w:rPr>
          <w:b/>
          <w:bCs/>
          <w:sz w:val="27"/>
          <w:rtl/>
        </w:rPr>
        <w:t>يَا أَيُّهَا الَّذِينَ آَمَنُوا هَلْ أَدُلُّكُمْ عَلَى تِجَارَةٍ تُنجِيكُمْ مِنْ عَذَابٍ أَلِيمٍ</w:t>
      </w:r>
      <w:r w:rsidRPr="00282AC9">
        <w:rPr>
          <w:rFonts w:ascii="Mosawi" w:hAnsi="Mosawi" w:cs="Mosawi"/>
          <w:sz w:val="24"/>
          <w:szCs w:val="24"/>
          <w:rtl/>
        </w:rPr>
        <w:t>﴾</w:t>
      </w:r>
      <w:r w:rsidR="00265EBA" w:rsidRPr="00282AC9">
        <w:rPr>
          <w:rFonts w:hint="cs"/>
          <w:sz w:val="27"/>
          <w:rtl/>
        </w:rPr>
        <w:t>،</w:t>
      </w:r>
      <w:r w:rsidRPr="00282AC9">
        <w:rPr>
          <w:sz w:val="27"/>
          <w:rtl/>
        </w:rPr>
        <w:t xml:space="preserve"> </w:t>
      </w:r>
      <w:r w:rsidRPr="00282AC9">
        <w:rPr>
          <w:rFonts w:hint="cs"/>
          <w:sz w:val="27"/>
          <w:rtl/>
        </w:rPr>
        <w:t>فقالوا</w:t>
      </w:r>
      <w:r w:rsidRPr="00282AC9">
        <w:rPr>
          <w:sz w:val="27"/>
          <w:rtl/>
        </w:rPr>
        <w:t xml:space="preserve">: </w:t>
      </w:r>
      <w:r w:rsidRPr="00282AC9">
        <w:rPr>
          <w:rFonts w:hint="cs"/>
          <w:sz w:val="27"/>
          <w:rtl/>
        </w:rPr>
        <w:t>لو</w:t>
      </w:r>
      <w:r w:rsidRPr="00282AC9">
        <w:rPr>
          <w:sz w:val="27"/>
          <w:rtl/>
        </w:rPr>
        <w:t xml:space="preserve"> </w:t>
      </w:r>
      <w:r w:rsidRPr="00282AC9">
        <w:rPr>
          <w:rFonts w:hint="cs"/>
          <w:sz w:val="27"/>
          <w:rtl/>
        </w:rPr>
        <w:t>نعلم</w:t>
      </w:r>
      <w:r w:rsidRPr="00282AC9">
        <w:rPr>
          <w:sz w:val="27"/>
          <w:rtl/>
        </w:rPr>
        <w:t xml:space="preserve"> </w:t>
      </w:r>
      <w:r w:rsidRPr="00282AC9">
        <w:rPr>
          <w:rFonts w:hint="cs"/>
          <w:sz w:val="27"/>
          <w:rtl/>
        </w:rPr>
        <w:t>ما</w:t>
      </w:r>
      <w:r w:rsidRPr="00282AC9">
        <w:rPr>
          <w:sz w:val="27"/>
          <w:rtl/>
        </w:rPr>
        <w:t xml:space="preserve"> </w:t>
      </w:r>
      <w:r w:rsidRPr="00282AC9">
        <w:rPr>
          <w:rFonts w:hint="cs"/>
          <w:sz w:val="27"/>
          <w:rtl/>
        </w:rPr>
        <w:t>هي</w:t>
      </w:r>
      <w:r w:rsidRPr="00282AC9">
        <w:rPr>
          <w:sz w:val="27"/>
          <w:rtl/>
        </w:rPr>
        <w:t xml:space="preserve"> </w:t>
      </w:r>
      <w:r w:rsidRPr="00282AC9">
        <w:rPr>
          <w:rFonts w:hint="cs"/>
          <w:sz w:val="27"/>
          <w:rtl/>
        </w:rPr>
        <w:t>لبذلنا</w:t>
      </w:r>
      <w:r w:rsidRPr="00282AC9">
        <w:rPr>
          <w:sz w:val="27"/>
          <w:rtl/>
        </w:rPr>
        <w:t xml:space="preserve"> </w:t>
      </w:r>
      <w:r w:rsidRPr="00282AC9">
        <w:rPr>
          <w:rFonts w:hint="cs"/>
          <w:sz w:val="27"/>
          <w:rtl/>
        </w:rPr>
        <w:t>فيها</w:t>
      </w:r>
      <w:r w:rsidRPr="00282AC9">
        <w:rPr>
          <w:sz w:val="27"/>
          <w:rtl/>
        </w:rPr>
        <w:t xml:space="preserve"> </w:t>
      </w:r>
      <w:r w:rsidRPr="00282AC9">
        <w:rPr>
          <w:rFonts w:hint="cs"/>
          <w:sz w:val="27"/>
          <w:rtl/>
        </w:rPr>
        <w:t>الأموال والأنفس</w:t>
      </w:r>
      <w:r w:rsidRPr="00282AC9">
        <w:rPr>
          <w:sz w:val="27"/>
          <w:rtl/>
        </w:rPr>
        <w:t xml:space="preserve"> </w:t>
      </w:r>
      <w:r w:rsidRPr="00282AC9">
        <w:rPr>
          <w:rFonts w:hint="cs"/>
          <w:sz w:val="27"/>
          <w:rtl/>
        </w:rPr>
        <w:t>والأولاد</w:t>
      </w:r>
      <w:r w:rsidR="00265EBA" w:rsidRPr="00282AC9">
        <w:rPr>
          <w:rFonts w:hint="cs"/>
          <w:sz w:val="27"/>
          <w:rtl/>
        </w:rPr>
        <w:t>،</w:t>
      </w:r>
      <w:r w:rsidRPr="00282AC9">
        <w:rPr>
          <w:sz w:val="27"/>
          <w:rtl/>
        </w:rPr>
        <w:t xml:space="preserve"> </w:t>
      </w:r>
      <w:r w:rsidRPr="00282AC9">
        <w:rPr>
          <w:rFonts w:hint="cs"/>
          <w:sz w:val="27"/>
          <w:rtl/>
        </w:rPr>
        <w:t>فقال</w:t>
      </w:r>
      <w:r w:rsidRPr="00282AC9">
        <w:rPr>
          <w:sz w:val="27"/>
          <w:rtl/>
        </w:rPr>
        <w:t xml:space="preserve"> </w:t>
      </w:r>
      <w:r w:rsidRPr="00282AC9">
        <w:rPr>
          <w:rFonts w:hint="cs"/>
          <w:sz w:val="27"/>
          <w:rtl/>
        </w:rPr>
        <w:t>الله</w:t>
      </w:r>
      <w:r w:rsidRPr="00282AC9">
        <w:rPr>
          <w:sz w:val="27"/>
          <w:rtl/>
        </w:rPr>
        <w:t xml:space="preserve">: </w:t>
      </w:r>
      <w:r w:rsidRPr="00282AC9">
        <w:rPr>
          <w:rFonts w:ascii="Mosawi" w:hAnsi="Mosawi" w:cs="Mosawi"/>
          <w:sz w:val="24"/>
          <w:szCs w:val="24"/>
          <w:rtl/>
        </w:rPr>
        <w:t>﴿</w:t>
      </w:r>
      <w:r w:rsidR="00265EBA" w:rsidRPr="00282AC9">
        <w:rPr>
          <w:b/>
          <w:bCs/>
          <w:sz w:val="27"/>
          <w:rtl/>
        </w:rPr>
        <w:t xml:space="preserve">تُؤْمِنُونَ بِاللهِ وَرَسُولِهِ وَتُجَاهِدُونَ فِي سَبِيلِ اللهِ بِأَمْوَالِكُمْ وَأَنفُسِكُمْ ذَلِكُمْ خَيْرٌ لَكُمْ إِنْ كُنتُمْ تَعْلَمُونَ </w:t>
      </w:r>
      <w:r w:rsidR="00265EBA" w:rsidRPr="00282AC9">
        <w:rPr>
          <w:rFonts w:hint="cs"/>
          <w:b/>
          <w:bCs/>
          <w:sz w:val="27"/>
          <w:rtl/>
        </w:rPr>
        <w:t>*</w:t>
      </w:r>
      <w:r w:rsidR="00265EBA" w:rsidRPr="00282AC9">
        <w:rPr>
          <w:b/>
          <w:bCs/>
          <w:sz w:val="27"/>
          <w:rtl/>
        </w:rPr>
        <w:t xml:space="preserve"> يَغْفِرْ لَكُمْ ذُنُوبَكُمْ وَيُدْخِلْكُمْ جَنَّاتٍ تَجْرِي مِنْ تَحْتِهَا الأَنْهَارُ وَمَسَاكِنَ طَيِّبَةً فِي جَنَّاتِ عَدْنٍ ذَلِكَ الْفَوْزُ الْعَظِيمُ </w:t>
      </w:r>
      <w:r w:rsidR="00265EBA" w:rsidRPr="00282AC9">
        <w:rPr>
          <w:rFonts w:hint="cs"/>
          <w:b/>
          <w:bCs/>
          <w:sz w:val="27"/>
          <w:rtl/>
        </w:rPr>
        <w:t>*</w:t>
      </w:r>
      <w:r w:rsidR="00265EBA" w:rsidRPr="00282AC9">
        <w:rPr>
          <w:b/>
          <w:bCs/>
          <w:sz w:val="27"/>
          <w:rtl/>
        </w:rPr>
        <w:t xml:space="preserve"> وَأُخْرَى تُحِبُّونَهَا نَصْرٌ مِنَ اللهِ وَفَتْحٌ قَرِيبٌ</w:t>
      </w:r>
      <w:r w:rsidRPr="00282AC9">
        <w:rPr>
          <w:rFonts w:ascii="Mosawi" w:hAnsi="Mosawi" w:cs="Mosawi"/>
          <w:sz w:val="24"/>
          <w:szCs w:val="24"/>
          <w:rtl/>
        </w:rPr>
        <w:t>﴾</w:t>
      </w:r>
      <w:r w:rsidRPr="00282AC9">
        <w:rPr>
          <w:rFonts w:asciiTheme="minorBidi" w:hAnsiTheme="minorBidi" w:hint="cs"/>
          <w:sz w:val="27"/>
          <w:rtl/>
        </w:rPr>
        <w:t xml:space="preserve"> (الصف</w:t>
      </w:r>
      <w:r w:rsidR="00265EBA" w:rsidRPr="00282AC9">
        <w:rPr>
          <w:rFonts w:asciiTheme="minorBidi" w:hAnsiTheme="minorBidi" w:hint="cs"/>
          <w:sz w:val="27"/>
          <w:rtl/>
        </w:rPr>
        <w:t>ّ</w:t>
      </w:r>
      <w:r w:rsidRPr="00282AC9">
        <w:rPr>
          <w:rFonts w:asciiTheme="minorBidi" w:hAnsiTheme="minorBidi" w:hint="cs"/>
          <w:sz w:val="27"/>
          <w:rtl/>
        </w:rPr>
        <w:t>: 11 ـ 13)</w:t>
      </w:r>
      <w:r w:rsidR="00265EBA" w:rsidRPr="00282AC9">
        <w:rPr>
          <w:rFonts w:asciiTheme="minorBidi" w:hAnsiTheme="minorBidi" w:hint="cs"/>
          <w:sz w:val="27"/>
          <w:rtl/>
        </w:rPr>
        <w:t>،</w:t>
      </w:r>
      <w:r w:rsidRPr="00282AC9">
        <w:rPr>
          <w:sz w:val="27"/>
          <w:rtl/>
        </w:rPr>
        <w:t xml:space="preserve"> </w:t>
      </w:r>
      <w:r w:rsidRPr="00282AC9">
        <w:rPr>
          <w:rFonts w:hint="cs"/>
          <w:sz w:val="27"/>
          <w:rtl/>
        </w:rPr>
        <w:t>يعن</w:t>
      </w:r>
      <w:r w:rsidR="00265EBA" w:rsidRPr="00282AC9">
        <w:rPr>
          <w:rFonts w:hint="cs"/>
          <w:sz w:val="27"/>
          <w:rtl/>
        </w:rPr>
        <w:t>ي</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الدنيا</w:t>
      </w:r>
      <w:r w:rsidRPr="00282AC9">
        <w:rPr>
          <w:sz w:val="27"/>
          <w:rtl/>
        </w:rPr>
        <w:t xml:space="preserve"> </w:t>
      </w:r>
      <w:r w:rsidRPr="00282AC9">
        <w:rPr>
          <w:rFonts w:hint="cs"/>
          <w:sz w:val="27"/>
          <w:rtl/>
        </w:rPr>
        <w:t>بفتح</w:t>
      </w:r>
      <w:r w:rsidRPr="00282AC9">
        <w:rPr>
          <w:sz w:val="27"/>
          <w:rtl/>
        </w:rPr>
        <w:t xml:space="preserve"> </w:t>
      </w:r>
      <w:r w:rsidRPr="00282AC9">
        <w:rPr>
          <w:rFonts w:hint="cs"/>
          <w:sz w:val="27"/>
          <w:rtl/>
        </w:rPr>
        <w:t>القائم</w:t>
      </w:r>
      <w:r w:rsidRPr="00282AC9">
        <w:rPr>
          <w:rFonts w:hint="eastAsia"/>
          <w:sz w:val="24"/>
          <w:szCs w:val="24"/>
          <w:rtl/>
        </w:rPr>
        <w:t>»</w:t>
      </w:r>
      <w:r w:rsidRPr="00282AC9">
        <w:rPr>
          <w:sz w:val="27"/>
          <w:vertAlign w:val="superscript"/>
          <w:rtl/>
        </w:rPr>
        <w:t>(</w:t>
      </w:r>
      <w:r w:rsidRPr="00282AC9">
        <w:rPr>
          <w:rStyle w:val="af9"/>
          <w:sz w:val="27"/>
          <w:rtl/>
        </w:rPr>
        <w:endnoteReference w:id="785"/>
      </w:r>
      <w:r w:rsidRPr="00282AC9">
        <w:rPr>
          <w:sz w:val="27"/>
          <w:vertAlign w:val="superscript"/>
          <w:rtl/>
        </w:rPr>
        <w:t>)</w:t>
      </w:r>
      <w:r w:rsidRPr="00282AC9">
        <w:rPr>
          <w:rFonts w:hint="cs"/>
          <w:sz w:val="27"/>
          <w:rtl/>
        </w:rPr>
        <w:t>.</w:t>
      </w:r>
    </w:p>
    <w:p w:rsidR="00965E08" w:rsidRPr="00282AC9" w:rsidRDefault="00965E08" w:rsidP="003062B7">
      <w:pPr>
        <w:rPr>
          <w:sz w:val="27"/>
          <w:rtl/>
        </w:rPr>
      </w:pPr>
      <w:r w:rsidRPr="00282AC9">
        <w:rPr>
          <w:rFonts w:hint="cs"/>
          <w:sz w:val="27"/>
          <w:rtl/>
        </w:rPr>
        <w:t>فالآية</w:t>
      </w:r>
      <w:r w:rsidRPr="00282AC9">
        <w:rPr>
          <w:sz w:val="27"/>
          <w:rtl/>
        </w:rPr>
        <w:t xml:space="preserve"> </w:t>
      </w:r>
      <w:r w:rsidRPr="00282AC9">
        <w:rPr>
          <w:rFonts w:hint="cs"/>
          <w:sz w:val="27"/>
          <w:rtl/>
        </w:rPr>
        <w:t>تتحد</w:t>
      </w:r>
      <w:r w:rsidR="00265EBA" w:rsidRPr="00282AC9">
        <w:rPr>
          <w:rFonts w:hint="cs"/>
          <w:sz w:val="27"/>
          <w:rtl/>
        </w:rPr>
        <w:t>َّ</w:t>
      </w:r>
      <w:r w:rsidRPr="00282AC9">
        <w:rPr>
          <w:rFonts w:hint="cs"/>
          <w:sz w:val="27"/>
          <w:rtl/>
        </w:rPr>
        <w:t>ث</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نصرٍ</w:t>
      </w:r>
      <w:r w:rsidRPr="00282AC9">
        <w:rPr>
          <w:sz w:val="27"/>
          <w:rtl/>
        </w:rPr>
        <w:t xml:space="preserve"> </w:t>
      </w:r>
      <w:r w:rsidRPr="00282AC9">
        <w:rPr>
          <w:rFonts w:hint="cs"/>
          <w:sz w:val="27"/>
          <w:rtl/>
        </w:rPr>
        <w:t>وفتحٍ</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بنحوٍ</w:t>
      </w:r>
      <w:r w:rsidRPr="00282AC9">
        <w:rPr>
          <w:sz w:val="27"/>
          <w:rtl/>
        </w:rPr>
        <w:t xml:space="preserve"> </w:t>
      </w:r>
      <w:r w:rsidRPr="00282AC9">
        <w:rPr>
          <w:rFonts w:hint="cs"/>
          <w:sz w:val="27"/>
          <w:rtl/>
        </w:rPr>
        <w:t>عام</w:t>
      </w:r>
      <w:r w:rsidR="00265EBA" w:rsidRPr="00282AC9">
        <w:rPr>
          <w:rFonts w:hint="cs"/>
          <w:sz w:val="27"/>
          <w:rtl/>
        </w:rPr>
        <w:t>ّ</w:t>
      </w:r>
      <w:r w:rsidRPr="00282AC9">
        <w:rPr>
          <w:rFonts w:hint="cs"/>
          <w:sz w:val="27"/>
          <w:rtl/>
        </w:rPr>
        <w:t>،</w:t>
      </w:r>
      <w:r w:rsidRPr="00282AC9">
        <w:rPr>
          <w:sz w:val="27"/>
          <w:rtl/>
        </w:rPr>
        <w:t xml:space="preserve"> </w:t>
      </w:r>
      <w:r w:rsidRPr="00282AC9">
        <w:rPr>
          <w:rFonts w:hint="cs"/>
          <w:sz w:val="27"/>
          <w:rtl/>
        </w:rPr>
        <w:t>لا</w:t>
      </w:r>
      <w:r w:rsidRPr="00282AC9">
        <w:rPr>
          <w:sz w:val="27"/>
          <w:rtl/>
        </w:rPr>
        <w:t xml:space="preserve"> </w:t>
      </w:r>
      <w:r w:rsidRPr="00282AC9">
        <w:rPr>
          <w:rFonts w:hint="cs"/>
          <w:sz w:val="27"/>
          <w:rtl/>
        </w:rPr>
        <w:t>بخصوصي</w:t>
      </w:r>
      <w:r w:rsidR="00265EBA" w:rsidRPr="00282AC9">
        <w:rPr>
          <w:rFonts w:hint="cs"/>
          <w:sz w:val="27"/>
          <w:rtl/>
        </w:rPr>
        <w:t>ّ</w:t>
      </w:r>
      <w:r w:rsidRPr="00282AC9">
        <w:rPr>
          <w:rFonts w:hint="cs"/>
          <w:sz w:val="27"/>
          <w:rtl/>
        </w:rPr>
        <w:t>ةٍ</w:t>
      </w:r>
      <w:r w:rsidRPr="00282AC9">
        <w:rPr>
          <w:sz w:val="27"/>
          <w:rtl/>
        </w:rPr>
        <w:t xml:space="preserve"> </w:t>
      </w:r>
      <w:r w:rsidRPr="00282AC9">
        <w:rPr>
          <w:rFonts w:hint="cs"/>
          <w:sz w:val="27"/>
          <w:rtl/>
        </w:rPr>
        <w:t>يتمي</w:t>
      </w:r>
      <w:r w:rsidR="00265EBA" w:rsidRPr="00282AC9">
        <w:rPr>
          <w:rFonts w:hint="cs"/>
          <w:sz w:val="27"/>
          <w:rtl/>
        </w:rPr>
        <w:t>َّ</w:t>
      </w:r>
      <w:r w:rsidRPr="00282AC9">
        <w:rPr>
          <w:rFonts w:hint="cs"/>
          <w:sz w:val="27"/>
          <w:rtl/>
        </w:rPr>
        <w:t>ز</w:t>
      </w:r>
      <w:r w:rsidRPr="00282AC9">
        <w:rPr>
          <w:sz w:val="27"/>
          <w:rtl/>
        </w:rPr>
        <w:t xml:space="preserve"> </w:t>
      </w:r>
      <w:r w:rsidRPr="00282AC9">
        <w:rPr>
          <w:rFonts w:hint="cs"/>
          <w:sz w:val="27"/>
          <w:rtl/>
        </w:rPr>
        <w:t>بها</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والفتح</w:t>
      </w:r>
      <w:r w:rsidR="00265EBA" w:rsidRPr="00282AC9">
        <w:rPr>
          <w:rFonts w:hint="cs"/>
          <w:sz w:val="27"/>
          <w:rtl/>
        </w:rPr>
        <w:t>،</w:t>
      </w:r>
      <w:r w:rsidRPr="00282AC9">
        <w:rPr>
          <w:sz w:val="27"/>
          <w:rtl/>
        </w:rPr>
        <w:t xml:space="preserve"> </w:t>
      </w:r>
      <w:r w:rsidRPr="00282AC9">
        <w:rPr>
          <w:rFonts w:hint="cs"/>
          <w:sz w:val="27"/>
          <w:rtl/>
        </w:rPr>
        <w:t>كالذي</w:t>
      </w:r>
      <w:r w:rsidRPr="00282AC9">
        <w:rPr>
          <w:sz w:val="27"/>
          <w:rtl/>
        </w:rPr>
        <w:t xml:space="preserve"> </w:t>
      </w:r>
      <w:r w:rsidRPr="00282AC9">
        <w:rPr>
          <w:rFonts w:hint="cs"/>
          <w:sz w:val="27"/>
          <w:rtl/>
        </w:rPr>
        <w:t>تحد</w:t>
      </w:r>
      <w:r w:rsidR="00265EBA" w:rsidRPr="00282AC9">
        <w:rPr>
          <w:rFonts w:hint="cs"/>
          <w:sz w:val="27"/>
          <w:rtl/>
        </w:rPr>
        <w:t>َّ</w:t>
      </w:r>
      <w:r w:rsidRPr="00282AC9">
        <w:rPr>
          <w:rFonts w:hint="cs"/>
          <w:sz w:val="27"/>
          <w:rtl/>
        </w:rPr>
        <w:t>ث</w:t>
      </w:r>
      <w:r w:rsidR="00265EBA" w:rsidRPr="00282AC9">
        <w:rPr>
          <w:rFonts w:hint="cs"/>
          <w:sz w:val="27"/>
          <w:rtl/>
        </w:rPr>
        <w:t>َ</w:t>
      </w:r>
      <w:r w:rsidRPr="00282AC9">
        <w:rPr>
          <w:rFonts w:hint="cs"/>
          <w:sz w:val="27"/>
          <w:rtl/>
        </w:rPr>
        <w:t>ت</w:t>
      </w:r>
      <w:r w:rsidR="00265EBA" w:rsidRPr="00282AC9">
        <w:rPr>
          <w:rFonts w:hint="cs"/>
          <w:sz w:val="27"/>
          <w:rtl/>
        </w:rPr>
        <w:t>ْ</w:t>
      </w:r>
      <w:r w:rsidRPr="00282AC9">
        <w:rPr>
          <w:sz w:val="27"/>
          <w:rtl/>
        </w:rPr>
        <w:t xml:space="preserve"> </w:t>
      </w:r>
      <w:r w:rsidRPr="00282AC9">
        <w:rPr>
          <w:rFonts w:hint="cs"/>
          <w:sz w:val="27"/>
          <w:rtl/>
        </w:rPr>
        <w:t>عنه</w:t>
      </w:r>
      <w:r w:rsidRPr="00282AC9">
        <w:rPr>
          <w:sz w:val="27"/>
          <w:rtl/>
        </w:rPr>
        <w:t xml:space="preserve"> </w:t>
      </w:r>
      <w:r w:rsidRPr="00282AC9">
        <w:rPr>
          <w:rFonts w:hint="cs"/>
          <w:sz w:val="27"/>
          <w:rtl/>
        </w:rPr>
        <w:t>سورة</w:t>
      </w:r>
      <w:r w:rsidRPr="00282AC9">
        <w:rPr>
          <w:sz w:val="27"/>
          <w:rtl/>
        </w:rPr>
        <w:t xml:space="preserve"> </w:t>
      </w:r>
      <w:r w:rsidRPr="00282AC9">
        <w:rPr>
          <w:rFonts w:hint="cs"/>
          <w:sz w:val="27"/>
          <w:rtl/>
        </w:rPr>
        <w:t>النصر</w:t>
      </w:r>
      <w:r w:rsidR="00265EBA" w:rsidRPr="00282AC9">
        <w:rPr>
          <w:rFonts w:hint="cs"/>
          <w:sz w:val="27"/>
          <w:rtl/>
        </w:rPr>
        <w:t>.</w:t>
      </w:r>
      <w:r w:rsidRPr="00282AC9">
        <w:rPr>
          <w:sz w:val="27"/>
          <w:rtl/>
        </w:rPr>
        <w:t xml:space="preserve"> </w:t>
      </w:r>
      <w:r w:rsidRPr="00282AC9">
        <w:rPr>
          <w:rFonts w:hint="cs"/>
          <w:sz w:val="27"/>
          <w:rtl/>
        </w:rPr>
        <w:t>فكل</w:t>
      </w:r>
      <w:r w:rsidR="00265EBA" w:rsidRPr="00282AC9">
        <w:rPr>
          <w:rFonts w:hint="cs"/>
          <w:sz w:val="27"/>
          <w:rtl/>
        </w:rPr>
        <w:t>ُّ</w:t>
      </w:r>
      <w:r w:rsidRPr="00282AC9">
        <w:rPr>
          <w:sz w:val="27"/>
          <w:rtl/>
        </w:rPr>
        <w:t xml:space="preserve"> </w:t>
      </w:r>
      <w:r w:rsidRPr="00282AC9">
        <w:rPr>
          <w:rFonts w:hint="cs"/>
          <w:sz w:val="27"/>
          <w:rtl/>
        </w:rPr>
        <w:t>نصرٍ</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وكل</w:t>
      </w:r>
      <w:r w:rsidR="00265EBA" w:rsidRPr="00282AC9">
        <w:rPr>
          <w:rFonts w:hint="cs"/>
          <w:sz w:val="27"/>
          <w:rtl/>
        </w:rPr>
        <w:t>ُّ</w:t>
      </w:r>
      <w:r w:rsidRPr="00282AC9">
        <w:rPr>
          <w:sz w:val="27"/>
          <w:rtl/>
        </w:rPr>
        <w:t xml:space="preserve"> </w:t>
      </w:r>
      <w:r w:rsidRPr="00282AC9">
        <w:rPr>
          <w:rFonts w:hint="cs"/>
          <w:sz w:val="27"/>
          <w:rtl/>
        </w:rPr>
        <w:t>فتحٍ</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الله</w:t>
      </w:r>
      <w:r w:rsidRPr="00282AC9">
        <w:rPr>
          <w:sz w:val="27"/>
          <w:rtl/>
        </w:rPr>
        <w:t>.</w:t>
      </w:r>
    </w:p>
    <w:p w:rsidR="00965E08" w:rsidRPr="00282AC9" w:rsidRDefault="00965E08" w:rsidP="003062B7">
      <w:pPr>
        <w:rPr>
          <w:sz w:val="27"/>
          <w:rtl/>
        </w:rPr>
      </w:pPr>
      <w:r w:rsidRPr="00282AC9">
        <w:rPr>
          <w:rFonts w:hint="cs"/>
          <w:sz w:val="27"/>
          <w:rtl/>
        </w:rPr>
        <w:lastRenderedPageBreak/>
        <w:t>فما</w:t>
      </w:r>
      <w:r w:rsidRPr="00282AC9">
        <w:rPr>
          <w:sz w:val="27"/>
          <w:rtl/>
        </w:rPr>
        <w:t xml:space="preserve"> </w:t>
      </w:r>
      <w:r w:rsidRPr="00282AC9">
        <w:rPr>
          <w:rFonts w:hint="cs"/>
          <w:sz w:val="27"/>
          <w:rtl/>
        </w:rPr>
        <w:t>كان</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بدرٍ</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نصرٌ</w:t>
      </w:r>
      <w:r w:rsidRPr="00282AC9">
        <w:rPr>
          <w:sz w:val="27"/>
          <w:rtl/>
        </w:rPr>
        <w:t xml:space="preserve"> </w:t>
      </w:r>
      <w:r w:rsidRPr="00282AC9">
        <w:rPr>
          <w:rFonts w:hint="cs"/>
          <w:sz w:val="27"/>
          <w:rtl/>
        </w:rPr>
        <w:t>وفتح</w:t>
      </w:r>
      <w:r w:rsidR="00265EBA" w:rsidRPr="00282AC9">
        <w:rPr>
          <w:rFonts w:hint="cs"/>
          <w:sz w:val="27"/>
          <w:rtl/>
        </w:rPr>
        <w:t>ٌ</w:t>
      </w:r>
      <w:r w:rsidRPr="00282AC9">
        <w:rPr>
          <w:rFonts w:hint="cs"/>
          <w:sz w:val="27"/>
          <w:rtl/>
        </w:rPr>
        <w:t>،</w:t>
      </w:r>
      <w:r w:rsidRPr="00282AC9">
        <w:rPr>
          <w:sz w:val="27"/>
          <w:rtl/>
        </w:rPr>
        <w:t xml:space="preserve"> </w:t>
      </w:r>
      <w:r w:rsidRPr="00282AC9">
        <w:rPr>
          <w:rFonts w:hint="cs"/>
          <w:sz w:val="27"/>
          <w:rtl/>
        </w:rPr>
        <w:t>وما</w:t>
      </w:r>
      <w:r w:rsidRPr="00282AC9">
        <w:rPr>
          <w:sz w:val="27"/>
          <w:rtl/>
        </w:rPr>
        <w:t xml:space="preserve"> </w:t>
      </w:r>
      <w:r w:rsidRPr="00282AC9">
        <w:rPr>
          <w:rFonts w:hint="cs"/>
          <w:sz w:val="27"/>
          <w:rtl/>
        </w:rPr>
        <w:t>كان</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خيبر</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نصرٌ</w:t>
      </w:r>
      <w:r w:rsidRPr="00282AC9">
        <w:rPr>
          <w:sz w:val="27"/>
          <w:rtl/>
        </w:rPr>
        <w:t xml:space="preserve"> </w:t>
      </w:r>
      <w:r w:rsidRPr="00282AC9">
        <w:rPr>
          <w:rFonts w:hint="cs"/>
          <w:sz w:val="27"/>
          <w:rtl/>
        </w:rPr>
        <w:t>وفتح</w:t>
      </w:r>
      <w:r w:rsidR="00265EBA" w:rsidRPr="00282AC9">
        <w:rPr>
          <w:rFonts w:hint="cs"/>
          <w:sz w:val="27"/>
          <w:rtl/>
        </w:rPr>
        <w:t>ٌ</w:t>
      </w:r>
      <w:r w:rsidRPr="00282AC9">
        <w:rPr>
          <w:rFonts w:hint="cs"/>
          <w:sz w:val="27"/>
          <w:rtl/>
        </w:rPr>
        <w:t>،</w:t>
      </w:r>
      <w:r w:rsidRPr="00282AC9">
        <w:rPr>
          <w:sz w:val="27"/>
          <w:rtl/>
        </w:rPr>
        <w:t xml:space="preserve"> </w:t>
      </w:r>
      <w:r w:rsidRPr="00282AC9">
        <w:rPr>
          <w:rFonts w:hint="cs"/>
          <w:sz w:val="27"/>
          <w:rtl/>
        </w:rPr>
        <w:t>وما</w:t>
      </w:r>
      <w:r w:rsidRPr="00282AC9">
        <w:rPr>
          <w:sz w:val="27"/>
          <w:rtl/>
        </w:rPr>
        <w:t xml:space="preserve"> </w:t>
      </w:r>
      <w:r w:rsidRPr="00282AC9">
        <w:rPr>
          <w:rFonts w:hint="cs"/>
          <w:sz w:val="27"/>
          <w:rtl/>
        </w:rPr>
        <w:t>كان</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فتح</w:t>
      </w:r>
      <w:r w:rsidRPr="00282AC9">
        <w:rPr>
          <w:sz w:val="27"/>
          <w:rtl/>
        </w:rPr>
        <w:t xml:space="preserve"> </w:t>
      </w:r>
      <w:r w:rsidRPr="00282AC9">
        <w:rPr>
          <w:rFonts w:hint="cs"/>
          <w:sz w:val="27"/>
          <w:rtl/>
        </w:rPr>
        <w:t>مك</w:t>
      </w:r>
      <w:r w:rsidR="00265EBA" w:rsidRPr="00282AC9">
        <w:rPr>
          <w:rFonts w:hint="cs"/>
          <w:sz w:val="27"/>
          <w:rtl/>
        </w:rPr>
        <w:t>ّ</w:t>
      </w:r>
      <w:r w:rsidRPr="00282AC9">
        <w:rPr>
          <w:rFonts w:hint="cs"/>
          <w:sz w:val="27"/>
          <w:rtl/>
        </w:rPr>
        <w:t>ة</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نصرٌ</w:t>
      </w:r>
      <w:r w:rsidRPr="00282AC9">
        <w:rPr>
          <w:sz w:val="27"/>
          <w:rtl/>
        </w:rPr>
        <w:t xml:space="preserve"> </w:t>
      </w:r>
      <w:r w:rsidRPr="00282AC9">
        <w:rPr>
          <w:rFonts w:hint="cs"/>
          <w:sz w:val="27"/>
          <w:rtl/>
        </w:rPr>
        <w:t>وفتح</w:t>
      </w:r>
      <w:r w:rsidR="00265EBA" w:rsidRPr="00282AC9">
        <w:rPr>
          <w:rFonts w:hint="cs"/>
          <w:sz w:val="27"/>
          <w:rtl/>
        </w:rPr>
        <w:t>ٌ</w:t>
      </w:r>
      <w:r w:rsidRPr="00282AC9">
        <w:rPr>
          <w:rFonts w:hint="cs"/>
          <w:sz w:val="27"/>
          <w:rtl/>
        </w:rPr>
        <w:t>،</w:t>
      </w:r>
      <w:r w:rsidRPr="00282AC9">
        <w:rPr>
          <w:sz w:val="27"/>
          <w:rtl/>
        </w:rPr>
        <w:t xml:space="preserve"> </w:t>
      </w:r>
      <w:r w:rsidRPr="00282AC9">
        <w:rPr>
          <w:rFonts w:hint="cs"/>
          <w:sz w:val="27"/>
          <w:rtl/>
        </w:rPr>
        <w:t>ولكن</w:t>
      </w:r>
      <w:r w:rsidR="00265EBA" w:rsidRPr="00282AC9">
        <w:rPr>
          <w:rFonts w:hint="cs"/>
          <w:sz w:val="27"/>
          <w:rtl/>
        </w:rPr>
        <w:t>ْ</w:t>
      </w:r>
      <w:r w:rsidRPr="00282AC9">
        <w:rPr>
          <w:sz w:val="27"/>
          <w:rtl/>
        </w:rPr>
        <w:t xml:space="preserve"> </w:t>
      </w:r>
      <w:r w:rsidRPr="00282AC9">
        <w:rPr>
          <w:rFonts w:hint="cs"/>
          <w:sz w:val="27"/>
          <w:rtl/>
        </w:rPr>
        <w:t>بحيثيات وبلحاظات وبدرجات</w:t>
      </w:r>
      <w:r w:rsidRPr="00282AC9">
        <w:rPr>
          <w:sz w:val="27"/>
          <w:rtl/>
        </w:rPr>
        <w:t xml:space="preserve">. </w:t>
      </w:r>
      <w:r w:rsidRPr="00282AC9">
        <w:rPr>
          <w:rFonts w:hint="cs"/>
          <w:sz w:val="27"/>
          <w:rtl/>
        </w:rPr>
        <w:t>وما</w:t>
      </w:r>
      <w:r w:rsidRPr="00282AC9">
        <w:rPr>
          <w:sz w:val="27"/>
          <w:rtl/>
        </w:rPr>
        <w:t xml:space="preserve"> </w:t>
      </w:r>
      <w:r w:rsidRPr="00282AC9">
        <w:rPr>
          <w:rFonts w:hint="cs"/>
          <w:sz w:val="27"/>
          <w:rtl/>
        </w:rPr>
        <w:t>سيكون</w:t>
      </w:r>
      <w:r w:rsidRPr="00282AC9">
        <w:rPr>
          <w:sz w:val="27"/>
          <w:rtl/>
        </w:rPr>
        <w:t xml:space="preserve"> </w:t>
      </w:r>
      <w:r w:rsidRPr="00282AC9">
        <w:rPr>
          <w:rFonts w:hint="cs"/>
          <w:sz w:val="27"/>
          <w:rtl/>
        </w:rPr>
        <w:t>عند</w:t>
      </w:r>
      <w:r w:rsidRPr="00282AC9">
        <w:rPr>
          <w:sz w:val="27"/>
          <w:rtl/>
        </w:rPr>
        <w:t xml:space="preserve"> </w:t>
      </w:r>
      <w:r w:rsidRPr="00282AC9">
        <w:rPr>
          <w:rFonts w:hint="cs"/>
          <w:sz w:val="27"/>
          <w:rtl/>
        </w:rPr>
        <w:t>ظهور</w:t>
      </w:r>
      <w:r w:rsidRPr="00282AC9">
        <w:rPr>
          <w:sz w:val="27"/>
          <w:rtl/>
        </w:rPr>
        <w:t xml:space="preserve"> </w:t>
      </w:r>
      <w:r w:rsidRPr="00282AC9">
        <w:rPr>
          <w:rFonts w:hint="cs"/>
          <w:sz w:val="27"/>
          <w:rtl/>
        </w:rPr>
        <w:t>الإمام</w:t>
      </w:r>
      <w:r w:rsidRPr="00282AC9">
        <w:rPr>
          <w:sz w:val="27"/>
          <w:rtl/>
        </w:rPr>
        <w:t xml:space="preserve"> </w:t>
      </w:r>
      <w:r w:rsidRPr="00282AC9">
        <w:rPr>
          <w:rFonts w:hint="cs"/>
          <w:sz w:val="27"/>
          <w:rtl/>
        </w:rPr>
        <w:t>المهدي</w:t>
      </w:r>
      <w:r w:rsidR="00265EBA" w:rsidRPr="00282AC9">
        <w:rPr>
          <w:rFonts w:hint="cs"/>
          <w:sz w:val="27"/>
          <w:rtl/>
        </w:rPr>
        <w:t>ّ</w:t>
      </w:r>
      <w:r w:rsidR="001100B1" w:rsidRPr="00282AC9">
        <w:rPr>
          <w:rFonts w:ascii="Mosawi" w:hAnsi="Mosawi" w:cs="Mosawi" w:hint="cs"/>
          <w:sz w:val="22"/>
          <w:szCs w:val="22"/>
          <w:rtl/>
        </w:rPr>
        <w:t>#</w:t>
      </w:r>
      <w:r w:rsidRPr="00282AC9">
        <w:rPr>
          <w:rFonts w:hint="cs"/>
          <w:sz w:val="27"/>
          <w:rtl/>
        </w:rPr>
        <w:t xml:space="preserve"> هو</w:t>
      </w:r>
      <w:r w:rsidRPr="00282AC9">
        <w:rPr>
          <w:sz w:val="27"/>
          <w:rtl/>
        </w:rPr>
        <w:t xml:space="preserve"> </w:t>
      </w:r>
      <w:r w:rsidRPr="00282AC9">
        <w:rPr>
          <w:rFonts w:ascii="Mosawi" w:hAnsi="Mosawi" w:cs="Mosawi"/>
          <w:sz w:val="24"/>
          <w:szCs w:val="24"/>
          <w:rtl/>
        </w:rPr>
        <w:t>﴿</w:t>
      </w:r>
      <w:r w:rsidRPr="00282AC9">
        <w:rPr>
          <w:rFonts w:hint="cs"/>
          <w:b/>
          <w:bCs/>
          <w:sz w:val="27"/>
          <w:rtl/>
        </w:rPr>
        <w:t>ن</w:t>
      </w:r>
      <w:r w:rsidR="00265EBA" w:rsidRPr="00282AC9">
        <w:rPr>
          <w:rFonts w:hint="cs"/>
          <w:b/>
          <w:bCs/>
          <w:sz w:val="27"/>
          <w:rtl/>
        </w:rPr>
        <w:t>َ</w:t>
      </w:r>
      <w:r w:rsidRPr="00282AC9">
        <w:rPr>
          <w:rFonts w:hint="cs"/>
          <w:b/>
          <w:bCs/>
          <w:sz w:val="27"/>
          <w:rtl/>
        </w:rPr>
        <w:t>ص</w:t>
      </w:r>
      <w:r w:rsidR="00265EBA" w:rsidRPr="00282AC9">
        <w:rPr>
          <w:rFonts w:hint="cs"/>
          <w:b/>
          <w:bCs/>
          <w:sz w:val="27"/>
          <w:rtl/>
        </w:rPr>
        <w:t>ْ</w:t>
      </w:r>
      <w:r w:rsidRPr="00282AC9">
        <w:rPr>
          <w:rFonts w:hint="cs"/>
          <w:b/>
          <w:bCs/>
          <w:sz w:val="27"/>
          <w:rtl/>
        </w:rPr>
        <w:t>رٌ</w:t>
      </w:r>
      <w:r w:rsidRPr="00282AC9">
        <w:rPr>
          <w:b/>
          <w:bCs/>
          <w:sz w:val="27"/>
          <w:rtl/>
        </w:rPr>
        <w:t xml:space="preserve"> </w:t>
      </w:r>
      <w:r w:rsidRPr="00282AC9">
        <w:rPr>
          <w:rFonts w:hint="cs"/>
          <w:b/>
          <w:bCs/>
          <w:sz w:val="27"/>
          <w:rtl/>
        </w:rPr>
        <w:t>م</w:t>
      </w:r>
      <w:r w:rsidR="00265EBA" w:rsidRPr="00282AC9">
        <w:rPr>
          <w:rFonts w:hint="cs"/>
          <w:b/>
          <w:bCs/>
          <w:sz w:val="27"/>
          <w:rtl/>
        </w:rPr>
        <w:t>ِ</w:t>
      </w:r>
      <w:r w:rsidRPr="00282AC9">
        <w:rPr>
          <w:rFonts w:hint="cs"/>
          <w:b/>
          <w:bCs/>
          <w:sz w:val="27"/>
          <w:rtl/>
        </w:rPr>
        <w:t>ن</w:t>
      </w:r>
      <w:r w:rsidR="00265EBA" w:rsidRPr="00282AC9">
        <w:rPr>
          <w:rFonts w:hint="cs"/>
          <w:b/>
          <w:bCs/>
          <w:sz w:val="27"/>
          <w:rtl/>
        </w:rPr>
        <w:t>َ</w:t>
      </w:r>
      <w:r w:rsidRPr="00282AC9">
        <w:rPr>
          <w:b/>
          <w:bCs/>
          <w:sz w:val="27"/>
          <w:rtl/>
        </w:rPr>
        <w:t xml:space="preserve"> </w:t>
      </w:r>
      <w:r w:rsidRPr="00282AC9">
        <w:rPr>
          <w:rFonts w:hint="cs"/>
          <w:b/>
          <w:bCs/>
          <w:sz w:val="27"/>
          <w:rtl/>
        </w:rPr>
        <w:t>الله</w:t>
      </w:r>
      <w:r w:rsidR="00265EBA" w:rsidRPr="00282AC9">
        <w:rPr>
          <w:rFonts w:hint="cs"/>
          <w:b/>
          <w:bCs/>
          <w:sz w:val="27"/>
          <w:rtl/>
        </w:rPr>
        <w:t>ِ</w:t>
      </w:r>
      <w:r w:rsidRPr="00282AC9">
        <w:rPr>
          <w:b/>
          <w:bCs/>
          <w:sz w:val="27"/>
          <w:rtl/>
        </w:rPr>
        <w:t xml:space="preserve"> </w:t>
      </w:r>
      <w:r w:rsidRPr="00282AC9">
        <w:rPr>
          <w:rFonts w:hint="cs"/>
          <w:b/>
          <w:bCs/>
          <w:sz w:val="27"/>
          <w:rtl/>
        </w:rPr>
        <w:t>و</w:t>
      </w:r>
      <w:r w:rsidR="00265EBA" w:rsidRPr="00282AC9">
        <w:rPr>
          <w:rFonts w:hint="cs"/>
          <w:b/>
          <w:bCs/>
          <w:sz w:val="27"/>
          <w:rtl/>
        </w:rPr>
        <w:t>َ</w:t>
      </w:r>
      <w:r w:rsidRPr="00282AC9">
        <w:rPr>
          <w:rFonts w:hint="cs"/>
          <w:b/>
          <w:bCs/>
          <w:sz w:val="27"/>
          <w:rtl/>
        </w:rPr>
        <w:t>ف</w:t>
      </w:r>
      <w:r w:rsidR="00265EBA" w:rsidRPr="00282AC9">
        <w:rPr>
          <w:rFonts w:hint="cs"/>
          <w:b/>
          <w:bCs/>
          <w:sz w:val="27"/>
          <w:rtl/>
        </w:rPr>
        <w:t>َ</w:t>
      </w:r>
      <w:r w:rsidRPr="00282AC9">
        <w:rPr>
          <w:rFonts w:hint="cs"/>
          <w:b/>
          <w:bCs/>
          <w:sz w:val="27"/>
          <w:rtl/>
        </w:rPr>
        <w:t>ت</w:t>
      </w:r>
      <w:r w:rsidR="00265EBA" w:rsidRPr="00282AC9">
        <w:rPr>
          <w:rFonts w:hint="cs"/>
          <w:b/>
          <w:bCs/>
          <w:sz w:val="27"/>
          <w:rtl/>
        </w:rPr>
        <w:t>ْ</w:t>
      </w:r>
      <w:r w:rsidRPr="00282AC9">
        <w:rPr>
          <w:rFonts w:hint="cs"/>
          <w:b/>
          <w:bCs/>
          <w:sz w:val="27"/>
          <w:rtl/>
        </w:rPr>
        <w:t>حٌ</w:t>
      </w:r>
      <w:r w:rsidRPr="00282AC9">
        <w:rPr>
          <w:b/>
          <w:bCs/>
          <w:sz w:val="27"/>
          <w:rtl/>
        </w:rPr>
        <w:t xml:space="preserve"> </w:t>
      </w:r>
      <w:r w:rsidRPr="00282AC9">
        <w:rPr>
          <w:rFonts w:hint="cs"/>
          <w:b/>
          <w:bCs/>
          <w:sz w:val="27"/>
          <w:rtl/>
        </w:rPr>
        <w:t>ق</w:t>
      </w:r>
      <w:r w:rsidR="00265EBA" w:rsidRPr="00282AC9">
        <w:rPr>
          <w:rFonts w:hint="cs"/>
          <w:b/>
          <w:bCs/>
          <w:sz w:val="27"/>
          <w:rtl/>
        </w:rPr>
        <w:t>َ</w:t>
      </w:r>
      <w:r w:rsidRPr="00282AC9">
        <w:rPr>
          <w:rFonts w:hint="cs"/>
          <w:b/>
          <w:bCs/>
          <w:sz w:val="27"/>
          <w:rtl/>
        </w:rPr>
        <w:t>ر</w:t>
      </w:r>
      <w:r w:rsidR="00265EBA" w:rsidRPr="00282AC9">
        <w:rPr>
          <w:rFonts w:hint="cs"/>
          <w:b/>
          <w:bCs/>
          <w:sz w:val="27"/>
          <w:rtl/>
        </w:rPr>
        <w:t>ِ</w:t>
      </w:r>
      <w:r w:rsidRPr="00282AC9">
        <w:rPr>
          <w:rFonts w:hint="cs"/>
          <w:b/>
          <w:bCs/>
          <w:sz w:val="27"/>
          <w:rtl/>
        </w:rPr>
        <w:t>يبٌ</w:t>
      </w:r>
      <w:r w:rsidRPr="00282AC9">
        <w:rPr>
          <w:rFonts w:ascii="Mosawi" w:hAnsi="Mosawi" w:cs="Mosawi"/>
          <w:sz w:val="24"/>
          <w:szCs w:val="24"/>
          <w:rtl/>
        </w:rPr>
        <w:t>﴾</w:t>
      </w:r>
      <w:r w:rsidRPr="00282AC9">
        <w:rPr>
          <w:sz w:val="27"/>
          <w:rtl/>
        </w:rPr>
        <w:t xml:space="preserve"> </w:t>
      </w:r>
      <w:r w:rsidRPr="00282AC9">
        <w:rPr>
          <w:rFonts w:hint="cs"/>
          <w:sz w:val="27"/>
          <w:rtl/>
        </w:rPr>
        <w:t>أيضاً،</w:t>
      </w:r>
      <w:r w:rsidRPr="00282AC9">
        <w:rPr>
          <w:sz w:val="27"/>
          <w:rtl/>
        </w:rPr>
        <w:t xml:space="preserve"> </w:t>
      </w:r>
      <w:r w:rsidRPr="00282AC9">
        <w:rPr>
          <w:rFonts w:hint="cs"/>
          <w:sz w:val="27"/>
          <w:rtl/>
        </w:rPr>
        <w:t>ولكن</w:t>
      </w:r>
      <w:r w:rsidR="00265EBA" w:rsidRPr="00282AC9">
        <w:rPr>
          <w:rFonts w:hint="cs"/>
          <w:sz w:val="27"/>
          <w:rtl/>
        </w:rPr>
        <w:t>ْ</w:t>
      </w:r>
      <w:r w:rsidRPr="00282AC9">
        <w:rPr>
          <w:sz w:val="27"/>
          <w:rtl/>
        </w:rPr>
        <w:t xml:space="preserve"> </w:t>
      </w:r>
      <w:r w:rsidRPr="00282AC9">
        <w:rPr>
          <w:rFonts w:hint="cs"/>
          <w:sz w:val="27"/>
          <w:rtl/>
        </w:rPr>
        <w:t>إذا</w:t>
      </w:r>
      <w:r w:rsidRPr="00282AC9">
        <w:rPr>
          <w:sz w:val="27"/>
          <w:rtl/>
        </w:rPr>
        <w:t xml:space="preserve"> </w:t>
      </w:r>
      <w:r w:rsidRPr="00282AC9">
        <w:rPr>
          <w:rFonts w:hint="cs"/>
          <w:sz w:val="27"/>
          <w:rtl/>
        </w:rPr>
        <w:t>تكاملت</w:t>
      </w:r>
      <w:r w:rsidRPr="00282AC9">
        <w:rPr>
          <w:sz w:val="27"/>
          <w:rtl/>
        </w:rPr>
        <w:t xml:space="preserve"> </w:t>
      </w:r>
      <w:r w:rsidRPr="00282AC9">
        <w:rPr>
          <w:rFonts w:hint="cs"/>
          <w:sz w:val="27"/>
          <w:rtl/>
        </w:rPr>
        <w:t>المعاني</w:t>
      </w:r>
      <w:r w:rsidRPr="00282AC9">
        <w:rPr>
          <w:sz w:val="27"/>
          <w:rtl/>
        </w:rPr>
        <w:t xml:space="preserve"> </w:t>
      </w:r>
      <w:r w:rsidRPr="00282AC9">
        <w:rPr>
          <w:rFonts w:hint="cs"/>
          <w:sz w:val="27"/>
          <w:rtl/>
        </w:rPr>
        <w:t>فهناك</w:t>
      </w:r>
      <w:r w:rsidRPr="00282AC9">
        <w:rPr>
          <w:sz w:val="27"/>
          <w:rtl/>
        </w:rPr>
        <w:t xml:space="preserve"> </w:t>
      </w:r>
      <w:r w:rsidRPr="00282AC9">
        <w:rPr>
          <w:rFonts w:hint="cs"/>
          <w:sz w:val="27"/>
          <w:rtl/>
        </w:rPr>
        <w:t>يتكامل</w:t>
      </w:r>
      <w:r w:rsidRPr="00282AC9">
        <w:rPr>
          <w:sz w:val="27"/>
          <w:rtl/>
        </w:rPr>
        <w:t xml:space="preserve"> </w:t>
      </w:r>
      <w:r w:rsidRPr="00282AC9">
        <w:rPr>
          <w:rFonts w:hint="cs"/>
          <w:sz w:val="27"/>
          <w:rtl/>
        </w:rPr>
        <w:t>النصر</w:t>
      </w:r>
      <w:r w:rsidR="00265EBA" w:rsidRPr="00282AC9">
        <w:rPr>
          <w:rFonts w:hint="cs"/>
          <w:sz w:val="27"/>
          <w:rtl/>
        </w:rPr>
        <w:t>،</w:t>
      </w:r>
      <w:r w:rsidRPr="00282AC9">
        <w:rPr>
          <w:sz w:val="27"/>
          <w:rtl/>
        </w:rPr>
        <w:t xml:space="preserve"> </w:t>
      </w:r>
      <w:r w:rsidRPr="00282AC9">
        <w:rPr>
          <w:rFonts w:hint="cs"/>
          <w:sz w:val="27"/>
          <w:rtl/>
        </w:rPr>
        <w:t>ويتكامل</w:t>
      </w:r>
      <w:r w:rsidRPr="00282AC9">
        <w:rPr>
          <w:sz w:val="27"/>
          <w:rtl/>
        </w:rPr>
        <w:t xml:space="preserve"> </w:t>
      </w:r>
      <w:r w:rsidRPr="00282AC9">
        <w:rPr>
          <w:rFonts w:hint="cs"/>
          <w:sz w:val="27"/>
          <w:rtl/>
        </w:rPr>
        <w:t>الفتح</w:t>
      </w:r>
      <w:r w:rsidR="00265EBA" w:rsidRPr="00282AC9">
        <w:rPr>
          <w:rFonts w:hint="cs"/>
          <w:sz w:val="27"/>
          <w:rtl/>
        </w:rPr>
        <w:t>،</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كل</w:t>
      </w:r>
      <w:r w:rsidR="00265EBA" w:rsidRPr="00282AC9">
        <w:rPr>
          <w:rFonts w:hint="cs"/>
          <w:sz w:val="27"/>
          <w:rtl/>
        </w:rPr>
        <w:t>ّ</w:t>
      </w:r>
      <w:r w:rsidRPr="00282AC9">
        <w:rPr>
          <w:sz w:val="27"/>
          <w:rtl/>
        </w:rPr>
        <w:t xml:space="preserve"> </w:t>
      </w:r>
      <w:r w:rsidRPr="00282AC9">
        <w:rPr>
          <w:rFonts w:hint="cs"/>
          <w:sz w:val="27"/>
          <w:rtl/>
        </w:rPr>
        <w:t>مراتبه</w:t>
      </w:r>
      <w:r w:rsidRPr="00282AC9">
        <w:rPr>
          <w:sz w:val="27"/>
          <w:rtl/>
        </w:rPr>
        <w:t xml:space="preserve">. </w:t>
      </w:r>
      <w:r w:rsidRPr="00282AC9">
        <w:rPr>
          <w:rFonts w:hint="cs"/>
          <w:sz w:val="27"/>
          <w:rtl/>
        </w:rPr>
        <w:t>وهذا</w:t>
      </w:r>
      <w:r w:rsidRPr="00282AC9">
        <w:rPr>
          <w:sz w:val="27"/>
          <w:rtl/>
        </w:rPr>
        <w:t xml:space="preserve"> </w:t>
      </w:r>
      <w:r w:rsidRPr="00282AC9">
        <w:rPr>
          <w:rFonts w:hint="cs"/>
          <w:sz w:val="27"/>
          <w:rtl/>
        </w:rPr>
        <w:t>الفتح</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الذي</w:t>
      </w:r>
      <w:r w:rsidRPr="00282AC9">
        <w:rPr>
          <w:sz w:val="27"/>
          <w:rtl/>
        </w:rPr>
        <w:t xml:space="preserve"> </w:t>
      </w:r>
      <w:r w:rsidRPr="00282AC9">
        <w:rPr>
          <w:rFonts w:hint="cs"/>
          <w:sz w:val="27"/>
          <w:rtl/>
        </w:rPr>
        <w:t>يتحد</w:t>
      </w:r>
      <w:r w:rsidR="00265EBA" w:rsidRPr="00282AC9">
        <w:rPr>
          <w:rFonts w:hint="cs"/>
          <w:sz w:val="27"/>
          <w:rtl/>
        </w:rPr>
        <w:t>َّ</w:t>
      </w:r>
      <w:r w:rsidRPr="00282AC9">
        <w:rPr>
          <w:rFonts w:hint="cs"/>
          <w:sz w:val="27"/>
          <w:rtl/>
        </w:rPr>
        <w:t>ث</w:t>
      </w:r>
      <w:r w:rsidRPr="00282AC9">
        <w:rPr>
          <w:sz w:val="27"/>
          <w:rtl/>
        </w:rPr>
        <w:t xml:space="preserve"> </w:t>
      </w:r>
      <w:r w:rsidRPr="00282AC9">
        <w:rPr>
          <w:rFonts w:hint="cs"/>
          <w:sz w:val="27"/>
          <w:rtl/>
        </w:rPr>
        <w:t>عنه</w:t>
      </w:r>
      <w:r w:rsidRPr="00282AC9">
        <w:rPr>
          <w:sz w:val="27"/>
          <w:rtl/>
        </w:rPr>
        <w:t xml:space="preserve"> </w:t>
      </w:r>
      <w:r w:rsidRPr="00282AC9">
        <w:rPr>
          <w:rFonts w:hint="cs"/>
          <w:sz w:val="27"/>
          <w:rtl/>
        </w:rPr>
        <w:t>ال</w:t>
      </w:r>
      <w:r w:rsidR="00265EBA" w:rsidRPr="00282AC9">
        <w:rPr>
          <w:rFonts w:hint="cs"/>
          <w:sz w:val="27"/>
          <w:rtl/>
        </w:rPr>
        <w:t>إ</w:t>
      </w:r>
      <w:r w:rsidRPr="00282AC9">
        <w:rPr>
          <w:rFonts w:hint="cs"/>
          <w:sz w:val="27"/>
          <w:rtl/>
        </w:rPr>
        <w:t>مام الحسين</w:t>
      </w:r>
      <w:r w:rsidR="009A2A04" w:rsidRPr="00282AC9">
        <w:rPr>
          <w:rFonts w:cs="Mosawi" w:hint="cs"/>
          <w:sz w:val="22"/>
          <w:szCs w:val="22"/>
          <w:rtl/>
        </w:rPr>
        <w:t>×</w:t>
      </w:r>
      <w:r w:rsidRPr="00282AC9">
        <w:rPr>
          <w:rFonts w:hint="cs"/>
          <w:sz w:val="27"/>
          <w:rtl/>
        </w:rPr>
        <w:t xml:space="preserve"> حين</w:t>
      </w:r>
      <w:r w:rsidRPr="00282AC9">
        <w:rPr>
          <w:sz w:val="27"/>
          <w:rtl/>
        </w:rPr>
        <w:t xml:space="preserve"> </w:t>
      </w:r>
      <w:r w:rsidRPr="00282AC9">
        <w:rPr>
          <w:rFonts w:hint="cs"/>
          <w:sz w:val="27"/>
          <w:rtl/>
        </w:rPr>
        <w:t>يقول</w:t>
      </w:r>
      <w:r w:rsidRPr="00282AC9">
        <w:rPr>
          <w:sz w:val="27"/>
          <w:rtl/>
        </w:rPr>
        <w:t xml:space="preserve">: </w:t>
      </w:r>
      <w:r w:rsidRPr="00282AC9">
        <w:rPr>
          <w:rFonts w:hint="eastAsia"/>
          <w:sz w:val="24"/>
          <w:szCs w:val="24"/>
          <w:rtl/>
        </w:rPr>
        <w:t>«</w:t>
      </w:r>
      <w:r w:rsidRPr="00282AC9">
        <w:rPr>
          <w:rFonts w:hint="cs"/>
          <w:sz w:val="27"/>
          <w:rtl/>
        </w:rPr>
        <w:t>أما</w:t>
      </w:r>
      <w:r w:rsidRPr="00282AC9">
        <w:rPr>
          <w:sz w:val="27"/>
          <w:rtl/>
        </w:rPr>
        <w:t xml:space="preserve"> </w:t>
      </w:r>
      <w:r w:rsidRPr="00282AC9">
        <w:rPr>
          <w:rFonts w:hint="cs"/>
          <w:sz w:val="27"/>
          <w:rtl/>
        </w:rPr>
        <w:t>بعد</w:t>
      </w:r>
      <w:r w:rsidR="00265EBA" w:rsidRPr="00282AC9">
        <w:rPr>
          <w:rFonts w:hint="cs"/>
          <w:sz w:val="27"/>
          <w:rtl/>
        </w:rPr>
        <w:t>ُ،</w:t>
      </w:r>
      <w:r w:rsidRPr="00282AC9">
        <w:rPr>
          <w:sz w:val="27"/>
          <w:rtl/>
        </w:rPr>
        <w:t xml:space="preserve"> </w:t>
      </w:r>
      <w:r w:rsidRPr="00282AC9">
        <w:rPr>
          <w:rFonts w:hint="cs"/>
          <w:sz w:val="27"/>
          <w:rtl/>
        </w:rPr>
        <w:t>فإن</w:t>
      </w:r>
      <w:r w:rsidR="00265EBA" w:rsidRPr="00282AC9">
        <w:rPr>
          <w:rFonts w:hint="cs"/>
          <w:sz w:val="27"/>
          <w:rtl/>
        </w:rPr>
        <w:t>ّ</w:t>
      </w:r>
      <w:r w:rsidRPr="00282AC9">
        <w:rPr>
          <w:sz w:val="27"/>
          <w:rtl/>
        </w:rPr>
        <w:t xml:space="preserve"> </w:t>
      </w:r>
      <w:r w:rsidRPr="00282AC9">
        <w:rPr>
          <w:rFonts w:hint="cs"/>
          <w:sz w:val="27"/>
          <w:rtl/>
        </w:rPr>
        <w:t>م</w:t>
      </w:r>
      <w:r w:rsidR="00265EBA" w:rsidRPr="00282AC9">
        <w:rPr>
          <w:rFonts w:hint="cs"/>
          <w:sz w:val="27"/>
          <w:rtl/>
        </w:rPr>
        <w:t>َ</w:t>
      </w:r>
      <w:r w:rsidRPr="00282AC9">
        <w:rPr>
          <w:rFonts w:hint="cs"/>
          <w:sz w:val="27"/>
          <w:rtl/>
        </w:rPr>
        <w:t>ن</w:t>
      </w:r>
      <w:r w:rsidR="00265EBA" w:rsidRPr="00282AC9">
        <w:rPr>
          <w:rFonts w:hint="cs"/>
          <w:sz w:val="27"/>
          <w:rtl/>
        </w:rPr>
        <w:t>ْ</w:t>
      </w:r>
      <w:r w:rsidRPr="00282AC9">
        <w:rPr>
          <w:sz w:val="27"/>
          <w:rtl/>
        </w:rPr>
        <w:t xml:space="preserve"> </w:t>
      </w:r>
      <w:r w:rsidRPr="00282AC9">
        <w:rPr>
          <w:rFonts w:hint="cs"/>
          <w:sz w:val="27"/>
          <w:rtl/>
        </w:rPr>
        <w:t>لحق</w:t>
      </w:r>
      <w:r w:rsidRPr="00282AC9">
        <w:rPr>
          <w:sz w:val="27"/>
          <w:rtl/>
        </w:rPr>
        <w:t xml:space="preserve"> </w:t>
      </w:r>
      <w:r w:rsidRPr="00282AC9">
        <w:rPr>
          <w:rFonts w:hint="cs"/>
          <w:sz w:val="27"/>
          <w:rtl/>
        </w:rPr>
        <w:t>بي</w:t>
      </w:r>
      <w:r w:rsidRPr="00282AC9">
        <w:rPr>
          <w:sz w:val="27"/>
          <w:rtl/>
        </w:rPr>
        <w:t xml:space="preserve"> </w:t>
      </w:r>
      <w:r w:rsidRPr="00282AC9">
        <w:rPr>
          <w:rFonts w:hint="cs"/>
          <w:sz w:val="27"/>
          <w:rtl/>
        </w:rPr>
        <w:t>است</w:t>
      </w:r>
      <w:r w:rsidR="00265EBA" w:rsidRPr="00282AC9">
        <w:rPr>
          <w:rFonts w:hint="cs"/>
          <w:sz w:val="27"/>
          <w:rtl/>
        </w:rPr>
        <w:t>ُ</w:t>
      </w:r>
      <w:r w:rsidRPr="00282AC9">
        <w:rPr>
          <w:rFonts w:hint="cs"/>
          <w:sz w:val="27"/>
          <w:rtl/>
        </w:rPr>
        <w:t>شهد،</w:t>
      </w:r>
      <w:r w:rsidRPr="00282AC9">
        <w:rPr>
          <w:sz w:val="27"/>
          <w:rtl/>
        </w:rPr>
        <w:t xml:space="preserve"> </w:t>
      </w:r>
      <w:r w:rsidRPr="00282AC9">
        <w:rPr>
          <w:rFonts w:hint="cs"/>
          <w:sz w:val="27"/>
          <w:rtl/>
        </w:rPr>
        <w:t>وم</w:t>
      </w:r>
      <w:r w:rsidR="00265EBA" w:rsidRPr="00282AC9">
        <w:rPr>
          <w:rFonts w:hint="cs"/>
          <w:sz w:val="27"/>
          <w:rtl/>
        </w:rPr>
        <w:t>َ</w:t>
      </w:r>
      <w:r w:rsidRPr="00282AC9">
        <w:rPr>
          <w:rFonts w:hint="cs"/>
          <w:sz w:val="27"/>
          <w:rtl/>
        </w:rPr>
        <w:t>ن</w:t>
      </w:r>
      <w:r w:rsidR="00265EBA" w:rsidRPr="00282AC9">
        <w:rPr>
          <w:rFonts w:hint="cs"/>
          <w:sz w:val="27"/>
          <w:rtl/>
        </w:rPr>
        <w:t>ْ</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يلحق</w:t>
      </w:r>
      <w:r w:rsidRPr="00282AC9">
        <w:rPr>
          <w:sz w:val="27"/>
          <w:rtl/>
        </w:rPr>
        <w:t xml:space="preserve"> </w:t>
      </w:r>
      <w:r w:rsidRPr="00282AC9">
        <w:rPr>
          <w:rFonts w:hint="cs"/>
          <w:sz w:val="27"/>
          <w:rtl/>
        </w:rPr>
        <w:t>بي</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يدرك</w:t>
      </w:r>
      <w:r w:rsidRPr="00282AC9">
        <w:rPr>
          <w:sz w:val="27"/>
          <w:rtl/>
        </w:rPr>
        <w:t xml:space="preserve"> </w:t>
      </w:r>
      <w:r w:rsidRPr="00282AC9">
        <w:rPr>
          <w:rFonts w:hint="cs"/>
          <w:sz w:val="27"/>
          <w:rtl/>
        </w:rPr>
        <w:t>الفتح</w:t>
      </w:r>
      <w:r w:rsidRPr="00282AC9">
        <w:rPr>
          <w:rFonts w:hint="eastAsia"/>
          <w:sz w:val="24"/>
          <w:szCs w:val="24"/>
          <w:rtl/>
        </w:rPr>
        <w:t>»</w:t>
      </w:r>
      <w:r w:rsidRPr="00282AC9">
        <w:rPr>
          <w:rFonts w:hint="cs"/>
          <w:sz w:val="27"/>
          <w:rtl/>
        </w:rPr>
        <w:t>.</w:t>
      </w:r>
    </w:p>
    <w:p w:rsidR="00965E08" w:rsidRPr="00282AC9" w:rsidRDefault="00965E08" w:rsidP="003062B7">
      <w:pPr>
        <w:rPr>
          <w:sz w:val="27"/>
          <w:rtl/>
        </w:rPr>
      </w:pPr>
      <w:r w:rsidRPr="00282AC9">
        <w:rPr>
          <w:rFonts w:hint="cs"/>
          <w:sz w:val="27"/>
          <w:rtl/>
        </w:rPr>
        <w:t>فليس</w:t>
      </w:r>
      <w:r w:rsidRPr="00282AC9">
        <w:rPr>
          <w:sz w:val="27"/>
          <w:rtl/>
        </w:rPr>
        <w:t xml:space="preserve"> </w:t>
      </w:r>
      <w:r w:rsidRPr="00282AC9">
        <w:rPr>
          <w:rFonts w:hint="cs"/>
          <w:sz w:val="27"/>
          <w:rtl/>
        </w:rPr>
        <w:t>هناك</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نصرٍ</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أرض</w:t>
      </w:r>
      <w:r w:rsidRPr="00282AC9">
        <w:rPr>
          <w:sz w:val="27"/>
          <w:rtl/>
        </w:rPr>
        <w:t xml:space="preserve"> </w:t>
      </w:r>
      <w:r w:rsidRPr="00282AC9">
        <w:rPr>
          <w:rFonts w:hint="cs"/>
          <w:sz w:val="27"/>
          <w:rtl/>
        </w:rPr>
        <w:t>الواقع،</w:t>
      </w:r>
      <w:r w:rsidRPr="00282AC9">
        <w:rPr>
          <w:sz w:val="27"/>
          <w:rtl/>
        </w:rPr>
        <w:t xml:space="preserve"> </w:t>
      </w:r>
      <w:r w:rsidRPr="00282AC9">
        <w:rPr>
          <w:rFonts w:hint="cs"/>
          <w:sz w:val="27"/>
          <w:rtl/>
        </w:rPr>
        <w:t>وإن</w:t>
      </w:r>
      <w:r w:rsidR="00265EBA" w:rsidRPr="00282AC9">
        <w:rPr>
          <w:rFonts w:hint="cs"/>
          <w:sz w:val="27"/>
          <w:rtl/>
        </w:rPr>
        <w:t>ّ</w:t>
      </w:r>
      <w:r w:rsidRPr="00282AC9">
        <w:rPr>
          <w:rFonts w:hint="cs"/>
          <w:sz w:val="27"/>
          <w:rtl/>
        </w:rPr>
        <w:t>ما</w:t>
      </w:r>
      <w:r w:rsidRPr="00282AC9">
        <w:rPr>
          <w:sz w:val="27"/>
          <w:rtl/>
        </w:rPr>
        <w:t xml:space="preserve"> </w:t>
      </w:r>
      <w:r w:rsidRPr="00282AC9">
        <w:rPr>
          <w:rFonts w:hint="cs"/>
          <w:sz w:val="27"/>
          <w:rtl/>
        </w:rPr>
        <w:t>هي</w:t>
      </w:r>
      <w:r w:rsidRPr="00282AC9">
        <w:rPr>
          <w:sz w:val="27"/>
          <w:rtl/>
        </w:rPr>
        <w:t xml:space="preserve"> </w:t>
      </w:r>
      <w:r w:rsidRPr="00282AC9">
        <w:rPr>
          <w:rFonts w:hint="cs"/>
          <w:sz w:val="27"/>
          <w:rtl/>
        </w:rPr>
        <w:t>بداياتٌ</w:t>
      </w:r>
      <w:r w:rsidRPr="00282AC9">
        <w:rPr>
          <w:sz w:val="27"/>
          <w:rtl/>
        </w:rPr>
        <w:t xml:space="preserve"> </w:t>
      </w:r>
      <w:r w:rsidRPr="00282AC9">
        <w:rPr>
          <w:rFonts w:hint="cs"/>
          <w:sz w:val="27"/>
          <w:rtl/>
        </w:rPr>
        <w:t>ومقد</w:t>
      </w:r>
      <w:r w:rsidR="00265EBA" w:rsidRPr="00282AC9">
        <w:rPr>
          <w:rFonts w:hint="cs"/>
          <w:sz w:val="27"/>
          <w:rtl/>
        </w:rPr>
        <w:t>ّ</w:t>
      </w:r>
      <w:r w:rsidRPr="00282AC9">
        <w:rPr>
          <w:rFonts w:hint="cs"/>
          <w:sz w:val="27"/>
          <w:rtl/>
        </w:rPr>
        <w:t>ماتٌ</w:t>
      </w:r>
      <w:r w:rsidRPr="00282AC9">
        <w:rPr>
          <w:sz w:val="27"/>
          <w:rtl/>
        </w:rPr>
        <w:t xml:space="preserve"> </w:t>
      </w:r>
      <w:r w:rsidRPr="00282AC9">
        <w:rPr>
          <w:rFonts w:hint="cs"/>
          <w:sz w:val="27"/>
          <w:rtl/>
        </w:rPr>
        <w:t>لتحقيق</w:t>
      </w:r>
      <w:r w:rsidRPr="00282AC9">
        <w:rPr>
          <w:sz w:val="27"/>
          <w:rtl/>
        </w:rPr>
        <w:t xml:space="preserve"> </w:t>
      </w:r>
      <w:r w:rsidRPr="00282AC9">
        <w:rPr>
          <w:rFonts w:hint="cs"/>
          <w:sz w:val="27"/>
          <w:rtl/>
        </w:rPr>
        <w:t>أهدافٍ</w:t>
      </w:r>
      <w:r w:rsidRPr="00282AC9">
        <w:rPr>
          <w:sz w:val="27"/>
          <w:rtl/>
        </w:rPr>
        <w:t xml:space="preserve"> </w:t>
      </w:r>
      <w:r w:rsidRPr="00282AC9">
        <w:rPr>
          <w:rFonts w:hint="cs"/>
          <w:sz w:val="27"/>
          <w:rtl/>
        </w:rPr>
        <w:t>قريبة</w:t>
      </w:r>
      <w:r w:rsidR="00265EBA" w:rsidRPr="00282AC9">
        <w:rPr>
          <w:rFonts w:hint="cs"/>
          <w:sz w:val="27"/>
          <w:rtl/>
        </w:rPr>
        <w:t>ٍ</w:t>
      </w:r>
      <w:r w:rsidRPr="00282AC9">
        <w:rPr>
          <w:sz w:val="27"/>
          <w:rtl/>
        </w:rPr>
        <w:t xml:space="preserve"> </w:t>
      </w:r>
      <w:r w:rsidRPr="00282AC9">
        <w:rPr>
          <w:rFonts w:hint="cs"/>
          <w:sz w:val="27"/>
          <w:rtl/>
        </w:rPr>
        <w:t>ومتوسط</w:t>
      </w:r>
      <w:r w:rsidR="00265EBA" w:rsidRPr="00282AC9">
        <w:rPr>
          <w:rFonts w:hint="cs"/>
          <w:sz w:val="27"/>
          <w:rtl/>
        </w:rPr>
        <w:t>ةٍ،</w:t>
      </w:r>
      <w:r w:rsidRPr="00282AC9">
        <w:rPr>
          <w:sz w:val="27"/>
          <w:rtl/>
        </w:rPr>
        <w:t xml:space="preserve"> </w:t>
      </w:r>
      <w:r w:rsidRPr="00282AC9">
        <w:rPr>
          <w:rFonts w:hint="cs"/>
          <w:sz w:val="27"/>
          <w:rtl/>
        </w:rPr>
        <w:t>حت</w:t>
      </w:r>
      <w:r w:rsidR="00265EBA" w:rsidRPr="00282AC9">
        <w:rPr>
          <w:rFonts w:hint="cs"/>
          <w:sz w:val="27"/>
          <w:rtl/>
        </w:rPr>
        <w:t>ّ</w:t>
      </w:r>
      <w:r w:rsidRPr="00282AC9">
        <w:rPr>
          <w:rFonts w:hint="cs"/>
          <w:sz w:val="27"/>
          <w:rtl/>
        </w:rPr>
        <w:t>ى</w:t>
      </w:r>
      <w:r w:rsidRPr="00282AC9">
        <w:rPr>
          <w:sz w:val="27"/>
          <w:rtl/>
        </w:rPr>
        <w:t xml:space="preserve"> </w:t>
      </w:r>
      <w:r w:rsidRPr="00282AC9">
        <w:rPr>
          <w:rFonts w:hint="cs"/>
          <w:sz w:val="27"/>
          <w:rtl/>
        </w:rPr>
        <w:t>يتحق</w:t>
      </w:r>
      <w:r w:rsidR="00265EBA" w:rsidRPr="00282AC9">
        <w:rPr>
          <w:rFonts w:hint="cs"/>
          <w:sz w:val="27"/>
          <w:rtl/>
        </w:rPr>
        <w:t>َّ</w:t>
      </w:r>
      <w:r w:rsidRPr="00282AC9">
        <w:rPr>
          <w:rFonts w:hint="cs"/>
          <w:sz w:val="27"/>
          <w:rtl/>
        </w:rPr>
        <w:t>ق</w:t>
      </w:r>
      <w:r w:rsidRPr="00282AC9">
        <w:rPr>
          <w:sz w:val="27"/>
          <w:rtl/>
        </w:rPr>
        <w:t xml:space="preserve"> </w:t>
      </w:r>
      <w:r w:rsidRPr="00282AC9">
        <w:rPr>
          <w:rFonts w:hint="cs"/>
          <w:sz w:val="27"/>
          <w:rtl/>
        </w:rPr>
        <w:t>الهدف</w:t>
      </w:r>
      <w:r w:rsidRPr="00282AC9">
        <w:rPr>
          <w:sz w:val="27"/>
          <w:rtl/>
        </w:rPr>
        <w:t xml:space="preserve"> </w:t>
      </w:r>
      <w:r w:rsidRPr="00282AC9">
        <w:rPr>
          <w:rFonts w:hint="cs"/>
          <w:sz w:val="27"/>
          <w:rtl/>
        </w:rPr>
        <w:t>البعيد</w:t>
      </w:r>
      <w:r w:rsidRPr="00282AC9">
        <w:rPr>
          <w:sz w:val="27"/>
          <w:rtl/>
        </w:rPr>
        <w:t xml:space="preserve"> </w:t>
      </w:r>
      <w:r w:rsidRPr="00282AC9">
        <w:rPr>
          <w:rFonts w:hint="cs"/>
          <w:sz w:val="27"/>
          <w:rtl/>
        </w:rPr>
        <w:t>بنصرٍ</w:t>
      </w:r>
      <w:r w:rsidRPr="00282AC9">
        <w:rPr>
          <w:sz w:val="27"/>
          <w:rtl/>
        </w:rPr>
        <w:t xml:space="preserve"> </w:t>
      </w:r>
      <w:r w:rsidRPr="00282AC9">
        <w:rPr>
          <w:rFonts w:hint="cs"/>
          <w:sz w:val="27"/>
          <w:rtl/>
        </w:rPr>
        <w:t>وفتحٍ</w:t>
      </w:r>
      <w:r w:rsidR="00265EBA" w:rsidRPr="00282AC9">
        <w:rPr>
          <w:rFonts w:hint="cs"/>
          <w:sz w:val="27"/>
          <w:rtl/>
        </w:rPr>
        <w:t>،</w:t>
      </w:r>
      <w:r w:rsidRPr="00282AC9">
        <w:rPr>
          <w:sz w:val="27"/>
          <w:rtl/>
        </w:rPr>
        <w:t xml:space="preserve"> </w:t>
      </w:r>
      <w:r w:rsidRPr="00282AC9">
        <w:rPr>
          <w:rFonts w:hint="cs"/>
          <w:sz w:val="27"/>
          <w:rtl/>
        </w:rPr>
        <w:t>وحت</w:t>
      </w:r>
      <w:r w:rsidR="00265EBA" w:rsidRPr="00282AC9">
        <w:rPr>
          <w:rFonts w:hint="cs"/>
          <w:sz w:val="27"/>
          <w:rtl/>
        </w:rPr>
        <w:t>ّ</w:t>
      </w:r>
      <w:r w:rsidRPr="00282AC9">
        <w:rPr>
          <w:rFonts w:hint="cs"/>
          <w:sz w:val="27"/>
          <w:rtl/>
        </w:rPr>
        <w:t>ى</w:t>
      </w:r>
      <w:r w:rsidRPr="00282AC9">
        <w:rPr>
          <w:sz w:val="27"/>
          <w:rtl/>
        </w:rPr>
        <w:t xml:space="preserve"> </w:t>
      </w:r>
      <w:r w:rsidRPr="00282AC9">
        <w:rPr>
          <w:rFonts w:hint="cs"/>
          <w:sz w:val="27"/>
          <w:rtl/>
        </w:rPr>
        <w:t>تتكامل</w:t>
      </w:r>
      <w:r w:rsidRPr="00282AC9">
        <w:rPr>
          <w:sz w:val="27"/>
          <w:rtl/>
        </w:rPr>
        <w:t xml:space="preserve"> </w:t>
      </w:r>
      <w:r w:rsidRPr="00282AC9">
        <w:rPr>
          <w:rFonts w:hint="cs"/>
          <w:sz w:val="27"/>
          <w:rtl/>
        </w:rPr>
        <w:t>المراحل</w:t>
      </w:r>
      <w:r w:rsidRPr="00282AC9">
        <w:rPr>
          <w:sz w:val="27"/>
          <w:rtl/>
        </w:rPr>
        <w:t xml:space="preserve"> </w:t>
      </w:r>
      <w:r w:rsidRPr="00282AC9">
        <w:rPr>
          <w:rFonts w:hint="cs"/>
          <w:sz w:val="27"/>
          <w:rtl/>
        </w:rPr>
        <w:t>بكل</w:t>
      </w:r>
      <w:r w:rsidR="00265EBA" w:rsidRPr="00282AC9">
        <w:rPr>
          <w:rFonts w:hint="cs"/>
          <w:sz w:val="27"/>
          <w:rtl/>
        </w:rPr>
        <w:t>ّ</w:t>
      </w:r>
      <w:r w:rsidRPr="00282AC9">
        <w:rPr>
          <w:rFonts w:hint="cs"/>
          <w:sz w:val="27"/>
          <w:rtl/>
        </w:rPr>
        <w:t>ها</w:t>
      </w:r>
      <w:r w:rsidRPr="00282AC9">
        <w:rPr>
          <w:sz w:val="27"/>
          <w:rtl/>
        </w:rPr>
        <w:t>.</w:t>
      </w:r>
    </w:p>
    <w:p w:rsidR="00965E08" w:rsidRPr="00282AC9" w:rsidRDefault="00965E08" w:rsidP="003062B7">
      <w:pPr>
        <w:rPr>
          <w:sz w:val="27"/>
          <w:rtl/>
        </w:rPr>
      </w:pPr>
      <w:r w:rsidRPr="00282AC9">
        <w:rPr>
          <w:rFonts w:hint="cs"/>
          <w:sz w:val="27"/>
          <w:rtl/>
        </w:rPr>
        <w:t>7ـ عن</w:t>
      </w:r>
      <w:r w:rsidRPr="00282AC9">
        <w:rPr>
          <w:sz w:val="27"/>
          <w:rtl/>
        </w:rPr>
        <w:t xml:space="preserve"> </w:t>
      </w:r>
      <w:r w:rsidRPr="00282AC9">
        <w:rPr>
          <w:rFonts w:hint="cs"/>
          <w:sz w:val="27"/>
          <w:rtl/>
        </w:rPr>
        <w:t>ميسر</w:t>
      </w:r>
      <w:r w:rsidRPr="00282AC9">
        <w:rPr>
          <w:sz w:val="27"/>
          <w:rtl/>
        </w:rPr>
        <w:t xml:space="preserve"> </w:t>
      </w:r>
      <w:r w:rsidRPr="00282AC9">
        <w:rPr>
          <w:rFonts w:hint="cs"/>
          <w:sz w:val="27"/>
          <w:rtl/>
        </w:rPr>
        <w:t>بن</w:t>
      </w:r>
      <w:r w:rsidRPr="00282AC9">
        <w:rPr>
          <w:sz w:val="27"/>
          <w:rtl/>
        </w:rPr>
        <w:t xml:space="preserve"> </w:t>
      </w:r>
      <w:r w:rsidRPr="00282AC9">
        <w:rPr>
          <w:rFonts w:hint="cs"/>
          <w:sz w:val="27"/>
          <w:rtl/>
        </w:rPr>
        <w:t>عبد</w:t>
      </w:r>
      <w:r w:rsidRPr="00282AC9">
        <w:rPr>
          <w:sz w:val="27"/>
          <w:rtl/>
        </w:rPr>
        <w:t xml:space="preserve"> </w:t>
      </w:r>
      <w:r w:rsidRPr="00282AC9">
        <w:rPr>
          <w:rFonts w:hint="cs"/>
          <w:sz w:val="27"/>
          <w:rtl/>
        </w:rPr>
        <w:t>العزيز</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أبي</w:t>
      </w:r>
      <w:r w:rsidRPr="00282AC9">
        <w:rPr>
          <w:sz w:val="27"/>
          <w:rtl/>
        </w:rPr>
        <w:t xml:space="preserve"> </w:t>
      </w:r>
      <w:r w:rsidRPr="00282AC9">
        <w:rPr>
          <w:rFonts w:hint="cs"/>
          <w:sz w:val="27"/>
          <w:rtl/>
        </w:rPr>
        <w:t>جعفر</w:t>
      </w:r>
      <w:r w:rsidR="009A2A04" w:rsidRPr="00282AC9">
        <w:rPr>
          <w:rFonts w:cs="Mosawi"/>
          <w:sz w:val="22"/>
          <w:szCs w:val="22"/>
          <w:rtl/>
        </w:rPr>
        <w:t>×</w:t>
      </w:r>
      <w:r w:rsidRPr="00282AC9">
        <w:rPr>
          <w:sz w:val="27"/>
          <w:rtl/>
        </w:rPr>
        <w:t xml:space="preserve"> </w:t>
      </w:r>
      <w:r w:rsidRPr="00282AC9">
        <w:rPr>
          <w:rFonts w:hint="cs"/>
          <w:sz w:val="27"/>
          <w:rtl/>
        </w:rPr>
        <w:t>قال</w:t>
      </w:r>
      <w:r w:rsidRPr="00282AC9">
        <w:rPr>
          <w:sz w:val="27"/>
          <w:rtl/>
        </w:rPr>
        <w:t xml:space="preserve">: </w:t>
      </w:r>
      <w:r w:rsidRPr="00282AC9">
        <w:rPr>
          <w:rFonts w:hint="eastAsia"/>
          <w:sz w:val="24"/>
          <w:szCs w:val="24"/>
          <w:rtl/>
        </w:rPr>
        <w:t>«</w:t>
      </w:r>
      <w:r w:rsidRPr="00282AC9">
        <w:rPr>
          <w:rFonts w:hint="cs"/>
          <w:sz w:val="27"/>
          <w:rtl/>
        </w:rPr>
        <w:t>كتب</w:t>
      </w:r>
      <w:r w:rsidRPr="00282AC9">
        <w:rPr>
          <w:sz w:val="27"/>
          <w:rtl/>
        </w:rPr>
        <w:t xml:space="preserve"> </w:t>
      </w:r>
      <w:r w:rsidRPr="00282AC9">
        <w:rPr>
          <w:rFonts w:hint="cs"/>
          <w:sz w:val="27"/>
          <w:rtl/>
        </w:rPr>
        <w:t>الحسين</w:t>
      </w:r>
      <w:r w:rsidRPr="00282AC9">
        <w:rPr>
          <w:sz w:val="27"/>
          <w:rtl/>
        </w:rPr>
        <w:t xml:space="preserve"> </w:t>
      </w:r>
      <w:r w:rsidRPr="00282AC9">
        <w:rPr>
          <w:rFonts w:hint="cs"/>
          <w:sz w:val="27"/>
          <w:rtl/>
        </w:rPr>
        <w:t>بن</w:t>
      </w:r>
      <w:r w:rsidRPr="00282AC9">
        <w:rPr>
          <w:sz w:val="27"/>
          <w:rtl/>
        </w:rPr>
        <w:t xml:space="preserve"> </w:t>
      </w:r>
      <w:r w:rsidRPr="00282AC9">
        <w:rPr>
          <w:rFonts w:hint="cs"/>
          <w:sz w:val="27"/>
          <w:rtl/>
        </w:rPr>
        <w:t>علي</w:t>
      </w:r>
      <w:r w:rsidR="007242BB" w:rsidRPr="00282AC9">
        <w:rPr>
          <w:rFonts w:hint="cs"/>
          <w:sz w:val="27"/>
          <w:rtl/>
        </w:rPr>
        <w:t>ٍّ</w:t>
      </w:r>
      <w:r w:rsidR="009A2A04" w:rsidRPr="00282AC9">
        <w:rPr>
          <w:rFonts w:cs="Mosawi" w:hint="cs"/>
          <w:sz w:val="22"/>
          <w:szCs w:val="22"/>
          <w:rtl/>
        </w:rPr>
        <w:t>’</w:t>
      </w:r>
      <w:r w:rsidRPr="00282AC9">
        <w:rPr>
          <w:sz w:val="27"/>
          <w:rtl/>
        </w:rPr>
        <w:t xml:space="preserve"> </w:t>
      </w:r>
      <w:r w:rsidRPr="00282AC9">
        <w:rPr>
          <w:rFonts w:hint="cs"/>
          <w:sz w:val="27"/>
          <w:rtl/>
        </w:rPr>
        <w:t>إلى</w:t>
      </w:r>
      <w:r w:rsidRPr="00282AC9">
        <w:rPr>
          <w:sz w:val="27"/>
          <w:rtl/>
        </w:rPr>
        <w:t xml:space="preserve"> </w:t>
      </w:r>
      <w:r w:rsidRPr="00282AC9">
        <w:rPr>
          <w:rFonts w:hint="cs"/>
          <w:sz w:val="27"/>
          <w:rtl/>
        </w:rPr>
        <w:t>محمد</w:t>
      </w:r>
      <w:r w:rsidRPr="00282AC9">
        <w:rPr>
          <w:sz w:val="27"/>
          <w:rtl/>
        </w:rPr>
        <w:t xml:space="preserve"> </w:t>
      </w:r>
      <w:r w:rsidRPr="00282AC9">
        <w:rPr>
          <w:rFonts w:hint="cs"/>
          <w:sz w:val="27"/>
          <w:rtl/>
        </w:rPr>
        <w:t>بن</w:t>
      </w:r>
      <w:r w:rsidRPr="00282AC9">
        <w:rPr>
          <w:sz w:val="27"/>
          <w:rtl/>
        </w:rPr>
        <w:t xml:space="preserve"> </w:t>
      </w:r>
      <w:r w:rsidRPr="00282AC9">
        <w:rPr>
          <w:rFonts w:hint="cs"/>
          <w:sz w:val="27"/>
          <w:rtl/>
        </w:rPr>
        <w:t>علي</w:t>
      </w:r>
      <w:r w:rsidR="007242BB" w:rsidRPr="00282AC9">
        <w:rPr>
          <w:rFonts w:hint="cs"/>
          <w:sz w:val="27"/>
          <w:rtl/>
        </w:rPr>
        <w:t>ٍّ</w:t>
      </w:r>
      <w:r w:rsidR="009A2A04" w:rsidRPr="00282AC9">
        <w:rPr>
          <w:rFonts w:cs="Mosawi"/>
          <w:sz w:val="22"/>
          <w:szCs w:val="22"/>
          <w:rtl/>
        </w:rPr>
        <w:t>×</w:t>
      </w:r>
      <w:r w:rsidR="007242BB" w:rsidRPr="00282AC9">
        <w:rPr>
          <w:rFonts w:hint="cs"/>
          <w:sz w:val="27"/>
          <w:rtl/>
        </w:rPr>
        <w:t xml:space="preserve">، </w:t>
      </w:r>
      <w:r w:rsidRPr="00282AC9">
        <w:rPr>
          <w:rFonts w:hint="cs"/>
          <w:sz w:val="27"/>
          <w:rtl/>
        </w:rPr>
        <w:t>من</w:t>
      </w:r>
      <w:r w:rsidRPr="00282AC9">
        <w:rPr>
          <w:sz w:val="27"/>
          <w:rtl/>
        </w:rPr>
        <w:t xml:space="preserve"> </w:t>
      </w:r>
      <w:r w:rsidRPr="00282AC9">
        <w:rPr>
          <w:rFonts w:hint="cs"/>
          <w:sz w:val="27"/>
          <w:rtl/>
        </w:rPr>
        <w:t>كربلاء</w:t>
      </w:r>
      <w:r w:rsidRPr="00282AC9">
        <w:rPr>
          <w:sz w:val="27"/>
          <w:rtl/>
        </w:rPr>
        <w:t>:</w:t>
      </w:r>
      <w:r w:rsidRPr="00282AC9">
        <w:rPr>
          <w:rFonts w:hint="cs"/>
          <w:sz w:val="27"/>
          <w:rtl/>
        </w:rPr>
        <w:t xml:space="preserve"> بسم</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الرحمن</w:t>
      </w:r>
      <w:r w:rsidRPr="00282AC9">
        <w:rPr>
          <w:sz w:val="27"/>
          <w:rtl/>
        </w:rPr>
        <w:t xml:space="preserve"> </w:t>
      </w:r>
      <w:r w:rsidRPr="00282AC9">
        <w:rPr>
          <w:rFonts w:hint="cs"/>
          <w:sz w:val="27"/>
          <w:rtl/>
        </w:rPr>
        <w:t>الرحيم</w:t>
      </w:r>
      <w:r w:rsidR="007242BB" w:rsidRPr="00282AC9">
        <w:rPr>
          <w:rFonts w:hint="cs"/>
          <w:sz w:val="27"/>
          <w:rtl/>
        </w:rPr>
        <w:t>،</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الحسين</w:t>
      </w:r>
      <w:r w:rsidRPr="00282AC9">
        <w:rPr>
          <w:sz w:val="27"/>
          <w:rtl/>
        </w:rPr>
        <w:t xml:space="preserve"> </w:t>
      </w:r>
      <w:r w:rsidRPr="00282AC9">
        <w:rPr>
          <w:rFonts w:hint="cs"/>
          <w:sz w:val="27"/>
          <w:rtl/>
        </w:rPr>
        <w:t>بن</w:t>
      </w:r>
      <w:r w:rsidRPr="00282AC9">
        <w:rPr>
          <w:sz w:val="27"/>
          <w:rtl/>
        </w:rPr>
        <w:t xml:space="preserve"> </w:t>
      </w:r>
      <w:r w:rsidRPr="00282AC9">
        <w:rPr>
          <w:rFonts w:hint="cs"/>
          <w:sz w:val="27"/>
          <w:rtl/>
        </w:rPr>
        <w:t>علي</w:t>
      </w:r>
      <w:r w:rsidR="007242BB" w:rsidRPr="00282AC9">
        <w:rPr>
          <w:rFonts w:hint="cs"/>
          <w:sz w:val="27"/>
          <w:rtl/>
        </w:rPr>
        <w:t>ٍّ</w:t>
      </w:r>
      <w:r w:rsidR="009A2A04" w:rsidRPr="00282AC9">
        <w:rPr>
          <w:rFonts w:cs="Mosawi"/>
          <w:sz w:val="22"/>
          <w:szCs w:val="22"/>
          <w:rtl/>
        </w:rPr>
        <w:t>’</w:t>
      </w:r>
      <w:r w:rsidRPr="00282AC9">
        <w:rPr>
          <w:sz w:val="27"/>
          <w:rtl/>
        </w:rPr>
        <w:t xml:space="preserve"> </w:t>
      </w:r>
      <w:r w:rsidRPr="00282AC9">
        <w:rPr>
          <w:rFonts w:hint="cs"/>
          <w:sz w:val="27"/>
          <w:rtl/>
        </w:rPr>
        <w:t>إلى</w:t>
      </w:r>
      <w:r w:rsidRPr="00282AC9">
        <w:rPr>
          <w:sz w:val="27"/>
          <w:rtl/>
        </w:rPr>
        <w:t xml:space="preserve"> </w:t>
      </w:r>
      <w:r w:rsidRPr="00282AC9">
        <w:rPr>
          <w:rFonts w:hint="cs"/>
          <w:sz w:val="27"/>
          <w:rtl/>
        </w:rPr>
        <w:t>محمد</w:t>
      </w:r>
      <w:r w:rsidRPr="00282AC9">
        <w:rPr>
          <w:sz w:val="27"/>
          <w:rtl/>
        </w:rPr>
        <w:t xml:space="preserve"> </w:t>
      </w:r>
      <w:r w:rsidRPr="00282AC9">
        <w:rPr>
          <w:rFonts w:hint="cs"/>
          <w:sz w:val="27"/>
          <w:rtl/>
        </w:rPr>
        <w:t>بن علي</w:t>
      </w:r>
      <w:r w:rsidR="007242BB" w:rsidRPr="00282AC9">
        <w:rPr>
          <w:rFonts w:hint="cs"/>
          <w:sz w:val="27"/>
          <w:rtl/>
        </w:rPr>
        <w:t>ٍّ</w:t>
      </w:r>
      <w:r w:rsidRPr="00282AC9">
        <w:rPr>
          <w:sz w:val="27"/>
          <w:rtl/>
        </w:rPr>
        <w:t xml:space="preserve"> </w:t>
      </w:r>
      <w:r w:rsidRPr="00282AC9">
        <w:rPr>
          <w:rFonts w:hint="cs"/>
          <w:sz w:val="27"/>
          <w:rtl/>
        </w:rPr>
        <w:t>وم</w:t>
      </w:r>
      <w:r w:rsidR="007242BB" w:rsidRPr="00282AC9">
        <w:rPr>
          <w:rFonts w:hint="cs"/>
          <w:sz w:val="27"/>
          <w:rtl/>
        </w:rPr>
        <w:t>َ</w:t>
      </w:r>
      <w:r w:rsidRPr="00282AC9">
        <w:rPr>
          <w:rFonts w:hint="cs"/>
          <w:sz w:val="27"/>
          <w:rtl/>
        </w:rPr>
        <w:t>ن</w:t>
      </w:r>
      <w:r w:rsidR="007242BB" w:rsidRPr="00282AC9">
        <w:rPr>
          <w:rFonts w:hint="cs"/>
          <w:sz w:val="27"/>
          <w:rtl/>
        </w:rPr>
        <w:t>ْ</w:t>
      </w:r>
      <w:r w:rsidRPr="00282AC9">
        <w:rPr>
          <w:sz w:val="27"/>
          <w:rtl/>
        </w:rPr>
        <w:t xml:space="preserve"> </w:t>
      </w:r>
      <w:r w:rsidRPr="00282AC9">
        <w:rPr>
          <w:rFonts w:hint="cs"/>
          <w:sz w:val="27"/>
          <w:rtl/>
        </w:rPr>
        <w:t>ق</w:t>
      </w:r>
      <w:r w:rsidR="007242BB" w:rsidRPr="00282AC9">
        <w:rPr>
          <w:rFonts w:hint="cs"/>
          <w:sz w:val="27"/>
          <w:rtl/>
        </w:rPr>
        <w:t>ِ</w:t>
      </w:r>
      <w:r w:rsidRPr="00282AC9">
        <w:rPr>
          <w:rFonts w:hint="cs"/>
          <w:sz w:val="27"/>
          <w:rtl/>
        </w:rPr>
        <w:t>ب</w:t>
      </w:r>
      <w:r w:rsidR="007242BB" w:rsidRPr="00282AC9">
        <w:rPr>
          <w:rFonts w:hint="cs"/>
          <w:sz w:val="27"/>
          <w:rtl/>
        </w:rPr>
        <w:t>َ</w:t>
      </w:r>
      <w:r w:rsidRPr="00282AC9">
        <w:rPr>
          <w:rFonts w:hint="cs"/>
          <w:sz w:val="27"/>
          <w:rtl/>
        </w:rPr>
        <w:t>له</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بني</w:t>
      </w:r>
      <w:r w:rsidRPr="00282AC9">
        <w:rPr>
          <w:sz w:val="27"/>
          <w:rtl/>
        </w:rPr>
        <w:t xml:space="preserve"> </w:t>
      </w:r>
      <w:r w:rsidRPr="00282AC9">
        <w:rPr>
          <w:rFonts w:hint="cs"/>
          <w:sz w:val="27"/>
          <w:rtl/>
        </w:rPr>
        <w:t>هاشم</w:t>
      </w:r>
      <w:r w:rsidRPr="00282AC9">
        <w:rPr>
          <w:sz w:val="27"/>
          <w:rtl/>
        </w:rPr>
        <w:t xml:space="preserve">، </w:t>
      </w:r>
      <w:r w:rsidR="007242BB" w:rsidRPr="00282AC9">
        <w:rPr>
          <w:rFonts w:hint="cs"/>
          <w:sz w:val="27"/>
          <w:rtl/>
        </w:rPr>
        <w:t>أ</w:t>
      </w:r>
      <w:r w:rsidRPr="00282AC9">
        <w:rPr>
          <w:rFonts w:hint="cs"/>
          <w:sz w:val="27"/>
          <w:rtl/>
        </w:rPr>
        <w:t>ما</w:t>
      </w:r>
      <w:r w:rsidRPr="00282AC9">
        <w:rPr>
          <w:sz w:val="27"/>
          <w:rtl/>
        </w:rPr>
        <w:t xml:space="preserve"> </w:t>
      </w:r>
      <w:r w:rsidRPr="00282AC9">
        <w:rPr>
          <w:rFonts w:hint="cs"/>
          <w:sz w:val="27"/>
          <w:rtl/>
        </w:rPr>
        <w:t>بعد</w:t>
      </w:r>
      <w:r w:rsidR="007242BB" w:rsidRPr="00282AC9">
        <w:rPr>
          <w:rFonts w:hint="cs"/>
          <w:sz w:val="27"/>
          <w:rtl/>
        </w:rPr>
        <w:t>ُ،</w:t>
      </w:r>
      <w:r w:rsidRPr="00282AC9">
        <w:rPr>
          <w:sz w:val="27"/>
          <w:rtl/>
        </w:rPr>
        <w:t xml:space="preserve"> </w:t>
      </w:r>
      <w:r w:rsidRPr="00282AC9">
        <w:rPr>
          <w:rFonts w:hint="cs"/>
          <w:sz w:val="27"/>
          <w:rtl/>
        </w:rPr>
        <w:t>فكأن</w:t>
      </w:r>
      <w:r w:rsidR="007242BB" w:rsidRPr="00282AC9">
        <w:rPr>
          <w:rFonts w:hint="cs"/>
          <w:sz w:val="27"/>
          <w:rtl/>
        </w:rPr>
        <w:t>َّ</w:t>
      </w:r>
      <w:r w:rsidRPr="00282AC9">
        <w:rPr>
          <w:sz w:val="27"/>
          <w:rtl/>
        </w:rPr>
        <w:t xml:space="preserve"> </w:t>
      </w:r>
      <w:r w:rsidRPr="00282AC9">
        <w:rPr>
          <w:rFonts w:hint="cs"/>
          <w:sz w:val="27"/>
          <w:rtl/>
        </w:rPr>
        <w:t>الدنيا</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تك</w:t>
      </w:r>
      <w:r w:rsidR="007242BB" w:rsidRPr="00282AC9">
        <w:rPr>
          <w:rFonts w:hint="cs"/>
          <w:sz w:val="27"/>
          <w:rtl/>
        </w:rPr>
        <w:t>ُ</w:t>
      </w:r>
      <w:r w:rsidRPr="00282AC9">
        <w:rPr>
          <w:rFonts w:hint="cs"/>
          <w:sz w:val="27"/>
          <w:rtl/>
        </w:rPr>
        <w:t>ن</w:t>
      </w:r>
      <w:r w:rsidR="007242BB" w:rsidRPr="00282AC9">
        <w:rPr>
          <w:rFonts w:hint="cs"/>
          <w:sz w:val="27"/>
          <w:rtl/>
        </w:rPr>
        <w:t>ْ،</w:t>
      </w:r>
      <w:r w:rsidRPr="00282AC9">
        <w:rPr>
          <w:sz w:val="27"/>
          <w:rtl/>
        </w:rPr>
        <w:t xml:space="preserve"> </w:t>
      </w:r>
      <w:r w:rsidRPr="00282AC9">
        <w:rPr>
          <w:rFonts w:hint="cs"/>
          <w:sz w:val="27"/>
          <w:rtl/>
        </w:rPr>
        <w:t>وكأن</w:t>
      </w:r>
      <w:r w:rsidR="007242BB" w:rsidRPr="00282AC9">
        <w:rPr>
          <w:rFonts w:hint="cs"/>
          <w:sz w:val="27"/>
          <w:rtl/>
        </w:rPr>
        <w:t>َّ</w:t>
      </w:r>
      <w:r w:rsidRPr="00282AC9">
        <w:rPr>
          <w:sz w:val="27"/>
          <w:rtl/>
        </w:rPr>
        <w:t xml:space="preserve"> </w:t>
      </w:r>
      <w:r w:rsidRPr="00282AC9">
        <w:rPr>
          <w:rFonts w:hint="cs"/>
          <w:sz w:val="27"/>
          <w:rtl/>
        </w:rPr>
        <w:t>الآخرة لم</w:t>
      </w:r>
      <w:r w:rsidRPr="00282AC9">
        <w:rPr>
          <w:sz w:val="27"/>
          <w:rtl/>
        </w:rPr>
        <w:t xml:space="preserve"> </w:t>
      </w:r>
      <w:r w:rsidRPr="00282AC9">
        <w:rPr>
          <w:rFonts w:hint="cs"/>
          <w:sz w:val="27"/>
          <w:rtl/>
        </w:rPr>
        <w:t>ت</w:t>
      </w:r>
      <w:r w:rsidR="007242BB" w:rsidRPr="00282AC9">
        <w:rPr>
          <w:rFonts w:hint="cs"/>
          <w:sz w:val="27"/>
          <w:rtl/>
        </w:rPr>
        <w:t>َ</w:t>
      </w:r>
      <w:r w:rsidRPr="00282AC9">
        <w:rPr>
          <w:rFonts w:hint="cs"/>
          <w:sz w:val="27"/>
          <w:rtl/>
        </w:rPr>
        <w:t>ز</w:t>
      </w:r>
      <w:r w:rsidR="007242BB" w:rsidRPr="00282AC9">
        <w:rPr>
          <w:rFonts w:hint="cs"/>
          <w:sz w:val="27"/>
          <w:rtl/>
        </w:rPr>
        <w:t>َ</w:t>
      </w:r>
      <w:r w:rsidRPr="00282AC9">
        <w:rPr>
          <w:rFonts w:hint="cs"/>
          <w:sz w:val="27"/>
          <w:rtl/>
        </w:rPr>
        <w:t>ل</w:t>
      </w:r>
      <w:r w:rsidR="007242BB" w:rsidRPr="00282AC9">
        <w:rPr>
          <w:rFonts w:hint="cs"/>
          <w:sz w:val="27"/>
          <w:rtl/>
        </w:rPr>
        <w:t>ْ</w:t>
      </w:r>
      <w:r w:rsidRPr="00282AC9">
        <w:rPr>
          <w:sz w:val="27"/>
          <w:rtl/>
        </w:rPr>
        <w:t xml:space="preserve">، </w:t>
      </w:r>
      <w:r w:rsidRPr="00282AC9">
        <w:rPr>
          <w:rFonts w:hint="cs"/>
          <w:sz w:val="27"/>
          <w:rtl/>
        </w:rPr>
        <w:t>والسلام</w:t>
      </w:r>
      <w:r w:rsidRPr="00282AC9">
        <w:rPr>
          <w:rFonts w:hint="eastAsia"/>
          <w:sz w:val="24"/>
          <w:szCs w:val="24"/>
          <w:rtl/>
        </w:rPr>
        <w:t>»</w:t>
      </w:r>
      <w:r w:rsidRPr="00282AC9">
        <w:rPr>
          <w:sz w:val="27"/>
          <w:vertAlign w:val="superscript"/>
          <w:rtl/>
        </w:rPr>
        <w:t>(</w:t>
      </w:r>
      <w:r w:rsidRPr="00282AC9">
        <w:rPr>
          <w:rStyle w:val="af9"/>
          <w:sz w:val="27"/>
          <w:rtl/>
        </w:rPr>
        <w:endnoteReference w:id="786"/>
      </w:r>
      <w:r w:rsidRPr="00282AC9">
        <w:rPr>
          <w:sz w:val="27"/>
          <w:vertAlign w:val="superscript"/>
          <w:rtl/>
        </w:rPr>
        <w:t>)</w:t>
      </w:r>
      <w:r w:rsidRPr="00282AC9">
        <w:rPr>
          <w:sz w:val="27"/>
          <w:rtl/>
        </w:rPr>
        <w:t>.</w:t>
      </w:r>
    </w:p>
    <w:p w:rsidR="00965E08" w:rsidRPr="00282AC9" w:rsidRDefault="00965E08" w:rsidP="003062B7">
      <w:pPr>
        <w:rPr>
          <w:sz w:val="27"/>
        </w:rPr>
      </w:pPr>
      <w:r w:rsidRPr="00282AC9">
        <w:rPr>
          <w:rFonts w:hint="cs"/>
          <w:sz w:val="27"/>
          <w:rtl/>
        </w:rPr>
        <w:t>الكتاب</w:t>
      </w:r>
      <w:r w:rsidRPr="00282AC9">
        <w:rPr>
          <w:sz w:val="27"/>
          <w:rtl/>
        </w:rPr>
        <w:t xml:space="preserve"> </w:t>
      </w:r>
      <w:r w:rsidRPr="00282AC9">
        <w:rPr>
          <w:rFonts w:hint="cs"/>
          <w:sz w:val="27"/>
          <w:rtl/>
        </w:rPr>
        <w:t>السابق</w:t>
      </w:r>
      <w:r w:rsidRPr="00282AC9">
        <w:rPr>
          <w:sz w:val="27"/>
          <w:rtl/>
        </w:rPr>
        <w:t xml:space="preserve"> </w:t>
      </w:r>
      <w:r w:rsidRPr="00282AC9">
        <w:rPr>
          <w:rFonts w:hint="cs"/>
          <w:sz w:val="27"/>
          <w:rtl/>
        </w:rPr>
        <w:t>كان</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مك</w:t>
      </w:r>
      <w:r w:rsidR="007242BB" w:rsidRPr="00282AC9">
        <w:rPr>
          <w:rFonts w:hint="cs"/>
          <w:sz w:val="27"/>
          <w:rtl/>
        </w:rPr>
        <w:t>ّ</w:t>
      </w:r>
      <w:r w:rsidRPr="00282AC9">
        <w:rPr>
          <w:rFonts w:hint="cs"/>
          <w:sz w:val="27"/>
          <w:rtl/>
        </w:rPr>
        <w:t>ة</w:t>
      </w:r>
      <w:r w:rsidR="007242BB" w:rsidRPr="00282AC9">
        <w:rPr>
          <w:rFonts w:hint="cs"/>
          <w:sz w:val="27"/>
          <w:rtl/>
        </w:rPr>
        <w:t>؛</w:t>
      </w:r>
      <w:r w:rsidRPr="00282AC9">
        <w:rPr>
          <w:rFonts w:hint="cs"/>
          <w:sz w:val="27"/>
          <w:rtl/>
        </w:rPr>
        <w:t xml:space="preserve"> لانها</w:t>
      </w:r>
      <w:r w:rsidRPr="00282AC9">
        <w:rPr>
          <w:sz w:val="27"/>
          <w:rtl/>
        </w:rPr>
        <w:t xml:space="preserve"> </w:t>
      </w:r>
      <w:r w:rsidRPr="00282AC9">
        <w:rPr>
          <w:rFonts w:hint="cs"/>
          <w:sz w:val="27"/>
          <w:rtl/>
        </w:rPr>
        <w:t>تمث</w:t>
      </w:r>
      <w:r w:rsidR="007242BB" w:rsidRPr="00282AC9">
        <w:rPr>
          <w:rFonts w:hint="cs"/>
          <w:sz w:val="27"/>
          <w:rtl/>
        </w:rPr>
        <w:t>ِّ</w:t>
      </w:r>
      <w:r w:rsidRPr="00282AC9">
        <w:rPr>
          <w:rFonts w:hint="cs"/>
          <w:sz w:val="27"/>
          <w:rtl/>
        </w:rPr>
        <w:t>ل</w:t>
      </w:r>
      <w:r w:rsidRPr="00282AC9">
        <w:rPr>
          <w:sz w:val="27"/>
          <w:rtl/>
        </w:rPr>
        <w:t xml:space="preserve"> </w:t>
      </w:r>
      <w:r w:rsidRPr="00282AC9">
        <w:rPr>
          <w:rFonts w:hint="cs"/>
          <w:sz w:val="27"/>
          <w:rtl/>
        </w:rPr>
        <w:t>بداية</w:t>
      </w:r>
      <w:r w:rsidRPr="00282AC9">
        <w:rPr>
          <w:sz w:val="27"/>
          <w:rtl/>
        </w:rPr>
        <w:t xml:space="preserve"> </w:t>
      </w:r>
      <w:r w:rsidRPr="00282AC9">
        <w:rPr>
          <w:rFonts w:hint="cs"/>
          <w:sz w:val="27"/>
          <w:rtl/>
        </w:rPr>
        <w:t>عصر</w:t>
      </w:r>
      <w:r w:rsidRPr="00282AC9">
        <w:rPr>
          <w:sz w:val="27"/>
          <w:rtl/>
        </w:rPr>
        <w:t xml:space="preserve"> </w:t>
      </w:r>
      <w:r w:rsidRPr="00282AC9">
        <w:rPr>
          <w:rFonts w:hint="cs"/>
          <w:sz w:val="27"/>
          <w:rtl/>
        </w:rPr>
        <w:t>ظهور ال</w:t>
      </w:r>
      <w:r w:rsidR="007242BB" w:rsidRPr="00282AC9">
        <w:rPr>
          <w:rFonts w:hint="cs"/>
          <w:sz w:val="27"/>
          <w:rtl/>
        </w:rPr>
        <w:t>إ</w:t>
      </w:r>
      <w:r w:rsidRPr="00282AC9">
        <w:rPr>
          <w:rFonts w:hint="cs"/>
          <w:sz w:val="27"/>
          <w:rtl/>
        </w:rPr>
        <w:t>مام المهدي</w:t>
      </w:r>
      <w:r w:rsidR="007242BB" w:rsidRPr="00282AC9">
        <w:rPr>
          <w:rFonts w:hint="cs"/>
          <w:sz w:val="27"/>
          <w:rtl/>
        </w:rPr>
        <w:t>ّ</w:t>
      </w:r>
      <w:r w:rsidR="001100B1" w:rsidRPr="00282AC9">
        <w:rPr>
          <w:rFonts w:ascii="Mosawi" w:hAnsi="Mosawi" w:cs="Mosawi" w:hint="cs"/>
          <w:sz w:val="22"/>
          <w:szCs w:val="22"/>
          <w:rtl/>
        </w:rPr>
        <w:t>#</w:t>
      </w:r>
      <w:r w:rsidR="007242BB" w:rsidRPr="00282AC9">
        <w:rPr>
          <w:rFonts w:hint="cs"/>
          <w:sz w:val="27"/>
          <w:rtl/>
        </w:rPr>
        <w:t>.</w:t>
      </w:r>
      <w:r w:rsidRPr="00282AC9">
        <w:rPr>
          <w:sz w:val="27"/>
          <w:rtl/>
        </w:rPr>
        <w:t xml:space="preserve"> </w:t>
      </w:r>
      <w:r w:rsidRPr="00282AC9">
        <w:rPr>
          <w:rFonts w:hint="cs"/>
          <w:sz w:val="27"/>
          <w:rtl/>
        </w:rPr>
        <w:t>وكربلاء</w:t>
      </w:r>
      <w:r w:rsidRPr="00282AC9">
        <w:rPr>
          <w:sz w:val="27"/>
          <w:rtl/>
        </w:rPr>
        <w:t xml:space="preserve"> </w:t>
      </w:r>
      <w:r w:rsidRPr="00282AC9">
        <w:rPr>
          <w:rFonts w:hint="cs"/>
          <w:sz w:val="27"/>
          <w:rtl/>
        </w:rPr>
        <w:t>نقطةٌ</w:t>
      </w:r>
      <w:r w:rsidRPr="00282AC9">
        <w:rPr>
          <w:sz w:val="27"/>
          <w:rtl/>
        </w:rPr>
        <w:t xml:space="preserve"> </w:t>
      </w:r>
      <w:r w:rsidRPr="00282AC9">
        <w:rPr>
          <w:rFonts w:hint="cs"/>
          <w:sz w:val="27"/>
          <w:rtl/>
        </w:rPr>
        <w:t>محوريةٌ</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مراحل</w:t>
      </w:r>
      <w:r w:rsidRPr="00282AC9">
        <w:rPr>
          <w:sz w:val="27"/>
          <w:rtl/>
        </w:rPr>
        <w:t xml:space="preserve"> </w:t>
      </w:r>
      <w:r w:rsidRPr="00282AC9">
        <w:rPr>
          <w:rFonts w:hint="cs"/>
          <w:sz w:val="27"/>
          <w:rtl/>
        </w:rPr>
        <w:t>الظهور</w:t>
      </w:r>
      <w:r w:rsidRPr="00282AC9">
        <w:rPr>
          <w:sz w:val="27"/>
          <w:rtl/>
        </w:rPr>
        <w:t>.</w:t>
      </w:r>
      <w:r w:rsidRPr="00282AC9">
        <w:rPr>
          <w:rFonts w:hint="cs"/>
          <w:sz w:val="27"/>
          <w:rtl/>
        </w:rPr>
        <w:t xml:space="preserve"> فهذه</w:t>
      </w:r>
      <w:r w:rsidRPr="00282AC9">
        <w:rPr>
          <w:sz w:val="27"/>
          <w:rtl/>
        </w:rPr>
        <w:t xml:space="preserve"> </w:t>
      </w:r>
      <w:r w:rsidRPr="00282AC9">
        <w:rPr>
          <w:rFonts w:hint="cs"/>
          <w:sz w:val="27"/>
          <w:rtl/>
        </w:rPr>
        <w:t>الكتب</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تكتب</w:t>
      </w:r>
      <w:r w:rsidRPr="00282AC9">
        <w:rPr>
          <w:sz w:val="27"/>
          <w:rtl/>
        </w:rPr>
        <w:t xml:space="preserve"> </w:t>
      </w:r>
      <w:r w:rsidRPr="00282AC9">
        <w:rPr>
          <w:rFonts w:hint="cs"/>
          <w:sz w:val="27"/>
          <w:rtl/>
        </w:rPr>
        <w:t>هكذا</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دون</w:t>
      </w:r>
      <w:r w:rsidRPr="00282AC9">
        <w:rPr>
          <w:sz w:val="27"/>
          <w:rtl/>
        </w:rPr>
        <w:t xml:space="preserve"> </w:t>
      </w:r>
      <w:r w:rsidRPr="00282AC9">
        <w:rPr>
          <w:rFonts w:hint="cs"/>
          <w:sz w:val="27"/>
          <w:rtl/>
        </w:rPr>
        <w:t>دق</w:t>
      </w:r>
      <w:r w:rsidR="007242BB" w:rsidRPr="00282AC9">
        <w:rPr>
          <w:rFonts w:hint="cs"/>
          <w:sz w:val="27"/>
          <w:rtl/>
        </w:rPr>
        <w:t>ّةٍ</w:t>
      </w:r>
      <w:r w:rsidRPr="00282AC9">
        <w:rPr>
          <w:sz w:val="27"/>
          <w:rtl/>
        </w:rPr>
        <w:t xml:space="preserve">. </w:t>
      </w:r>
      <w:r w:rsidRPr="00282AC9">
        <w:rPr>
          <w:rFonts w:hint="cs"/>
          <w:sz w:val="27"/>
          <w:rtl/>
        </w:rPr>
        <w:t>فنحن</w:t>
      </w:r>
      <w:r w:rsidRPr="00282AC9">
        <w:rPr>
          <w:sz w:val="27"/>
          <w:rtl/>
        </w:rPr>
        <w:t xml:space="preserve"> </w:t>
      </w:r>
      <w:r w:rsidRPr="00282AC9">
        <w:rPr>
          <w:rFonts w:hint="cs"/>
          <w:sz w:val="27"/>
          <w:rtl/>
        </w:rPr>
        <w:t>نتحد</w:t>
      </w:r>
      <w:r w:rsidR="007242BB" w:rsidRPr="00282AC9">
        <w:rPr>
          <w:rFonts w:hint="cs"/>
          <w:sz w:val="27"/>
          <w:rtl/>
        </w:rPr>
        <w:t>َّ</w:t>
      </w:r>
      <w:r w:rsidRPr="00282AC9">
        <w:rPr>
          <w:rFonts w:hint="cs"/>
          <w:sz w:val="27"/>
          <w:rtl/>
        </w:rPr>
        <w:t>ث</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ال</w:t>
      </w:r>
      <w:r w:rsidR="007242BB" w:rsidRPr="00282AC9">
        <w:rPr>
          <w:rFonts w:hint="cs"/>
          <w:sz w:val="27"/>
          <w:rtl/>
        </w:rPr>
        <w:t>إ</w:t>
      </w:r>
      <w:r w:rsidRPr="00282AC9">
        <w:rPr>
          <w:rFonts w:hint="cs"/>
          <w:sz w:val="27"/>
          <w:rtl/>
        </w:rPr>
        <w:t>مام الحسين</w:t>
      </w:r>
      <w:r w:rsidR="009A2A04" w:rsidRPr="00282AC9">
        <w:rPr>
          <w:rFonts w:cs="Mosawi" w:hint="cs"/>
          <w:sz w:val="22"/>
          <w:szCs w:val="22"/>
          <w:rtl/>
        </w:rPr>
        <w:t>×</w:t>
      </w:r>
      <w:r w:rsidR="007242BB" w:rsidRPr="00282AC9">
        <w:rPr>
          <w:rFonts w:hint="cs"/>
          <w:sz w:val="27"/>
          <w:rtl/>
        </w:rPr>
        <w:t>،</w:t>
      </w:r>
      <w:r w:rsidRPr="00282AC9">
        <w:rPr>
          <w:rFonts w:hint="cs"/>
          <w:sz w:val="27"/>
          <w:rtl/>
        </w:rPr>
        <w:t xml:space="preserve"> صاحب</w:t>
      </w:r>
      <w:r w:rsidRPr="00282AC9">
        <w:rPr>
          <w:sz w:val="27"/>
          <w:rtl/>
        </w:rPr>
        <w:t xml:space="preserve"> </w:t>
      </w:r>
      <w:r w:rsidRPr="00282AC9">
        <w:rPr>
          <w:rFonts w:hint="cs"/>
          <w:sz w:val="27"/>
          <w:rtl/>
        </w:rPr>
        <w:t>المشروع</w:t>
      </w:r>
      <w:r w:rsidRPr="00282AC9">
        <w:rPr>
          <w:sz w:val="27"/>
          <w:rtl/>
        </w:rPr>
        <w:t xml:space="preserve"> </w:t>
      </w:r>
      <w:r w:rsidRPr="00282AC9">
        <w:rPr>
          <w:rFonts w:hint="cs"/>
          <w:sz w:val="27"/>
          <w:rtl/>
        </w:rPr>
        <w:t>الإلهي</w:t>
      </w:r>
      <w:r w:rsidR="007242BB" w:rsidRPr="00282AC9">
        <w:rPr>
          <w:rFonts w:hint="cs"/>
          <w:sz w:val="27"/>
          <w:rtl/>
        </w:rPr>
        <w:t>ّ</w:t>
      </w:r>
      <w:r w:rsidRPr="00282AC9">
        <w:rPr>
          <w:sz w:val="27"/>
          <w:rtl/>
        </w:rPr>
        <w:t xml:space="preserve"> </w:t>
      </w:r>
      <w:r w:rsidRPr="00282AC9">
        <w:rPr>
          <w:rFonts w:hint="cs"/>
          <w:sz w:val="27"/>
          <w:rtl/>
        </w:rPr>
        <w:t>الأعظم، وعليه ف</w:t>
      </w:r>
      <w:r w:rsidR="007242BB" w:rsidRPr="00282AC9">
        <w:rPr>
          <w:rFonts w:hint="cs"/>
          <w:sz w:val="27"/>
          <w:rtl/>
        </w:rPr>
        <w:t>إ</w:t>
      </w:r>
      <w:r w:rsidRPr="00282AC9">
        <w:rPr>
          <w:rFonts w:hint="cs"/>
          <w:sz w:val="27"/>
          <w:rtl/>
        </w:rPr>
        <w:t>ن</w:t>
      </w:r>
      <w:r w:rsidRPr="00282AC9">
        <w:rPr>
          <w:sz w:val="27"/>
          <w:rtl/>
        </w:rPr>
        <w:t xml:space="preserve"> </w:t>
      </w:r>
      <w:r w:rsidRPr="00282AC9">
        <w:rPr>
          <w:rFonts w:hint="cs"/>
          <w:sz w:val="27"/>
          <w:rtl/>
        </w:rPr>
        <w:t>اختيار</w:t>
      </w:r>
      <w:r w:rsidRPr="00282AC9">
        <w:rPr>
          <w:sz w:val="27"/>
          <w:rtl/>
        </w:rPr>
        <w:t xml:space="preserve"> </w:t>
      </w:r>
      <w:r w:rsidRPr="00282AC9">
        <w:rPr>
          <w:rFonts w:hint="cs"/>
          <w:sz w:val="27"/>
          <w:rtl/>
        </w:rPr>
        <w:t>الأزمنة</w:t>
      </w:r>
      <w:r w:rsidRPr="00282AC9">
        <w:rPr>
          <w:sz w:val="27"/>
          <w:rtl/>
        </w:rPr>
        <w:t xml:space="preserve"> </w:t>
      </w:r>
      <w:r w:rsidRPr="00282AC9">
        <w:rPr>
          <w:rFonts w:hint="cs"/>
          <w:sz w:val="27"/>
          <w:rtl/>
        </w:rPr>
        <w:t>والأمكنة</w:t>
      </w:r>
      <w:r w:rsidRPr="00282AC9">
        <w:rPr>
          <w:sz w:val="27"/>
          <w:rtl/>
        </w:rPr>
        <w:t xml:space="preserve"> </w:t>
      </w:r>
      <w:r w:rsidRPr="00282AC9">
        <w:rPr>
          <w:rFonts w:hint="cs"/>
          <w:sz w:val="27"/>
          <w:rtl/>
        </w:rPr>
        <w:t>لم</w:t>
      </w:r>
      <w:r w:rsidRPr="00282AC9">
        <w:rPr>
          <w:sz w:val="27"/>
          <w:rtl/>
        </w:rPr>
        <w:t xml:space="preserve"> </w:t>
      </w:r>
      <w:r w:rsidRPr="00282AC9">
        <w:rPr>
          <w:rFonts w:hint="cs"/>
          <w:sz w:val="27"/>
          <w:rtl/>
        </w:rPr>
        <w:t>يك</w:t>
      </w:r>
      <w:r w:rsidR="007242BB" w:rsidRPr="00282AC9">
        <w:rPr>
          <w:rFonts w:hint="cs"/>
          <w:sz w:val="27"/>
          <w:rtl/>
        </w:rPr>
        <w:t>ُ</w:t>
      </w:r>
      <w:r w:rsidRPr="00282AC9">
        <w:rPr>
          <w:rFonts w:hint="cs"/>
          <w:sz w:val="27"/>
          <w:rtl/>
        </w:rPr>
        <w:t>ن</w:t>
      </w:r>
      <w:r w:rsidR="007242BB" w:rsidRPr="00282AC9">
        <w:rPr>
          <w:rFonts w:hint="cs"/>
          <w:sz w:val="27"/>
          <w:rtl/>
        </w:rPr>
        <w:t>ْ</w:t>
      </w:r>
      <w:r w:rsidRPr="00282AC9">
        <w:rPr>
          <w:sz w:val="27"/>
          <w:rtl/>
        </w:rPr>
        <w:t xml:space="preserve"> </w:t>
      </w:r>
      <w:r w:rsidRPr="00282AC9">
        <w:rPr>
          <w:rFonts w:hint="cs"/>
          <w:sz w:val="27"/>
          <w:rtl/>
        </w:rPr>
        <w:t>جزافاً.</w:t>
      </w:r>
    </w:p>
    <w:p w:rsidR="00965E08" w:rsidRPr="00282AC9" w:rsidRDefault="00965E08" w:rsidP="003062B7">
      <w:pPr>
        <w:rPr>
          <w:sz w:val="27"/>
        </w:rPr>
      </w:pPr>
      <w:r w:rsidRPr="00282AC9">
        <w:rPr>
          <w:rFonts w:hint="cs"/>
          <w:sz w:val="27"/>
          <w:rtl/>
        </w:rPr>
        <w:t>فال</w:t>
      </w:r>
      <w:r w:rsidR="007242BB" w:rsidRPr="00282AC9">
        <w:rPr>
          <w:rFonts w:hint="cs"/>
          <w:sz w:val="27"/>
          <w:rtl/>
        </w:rPr>
        <w:t>إ</w:t>
      </w:r>
      <w:r w:rsidRPr="00282AC9">
        <w:rPr>
          <w:rFonts w:hint="cs"/>
          <w:sz w:val="27"/>
          <w:rtl/>
        </w:rPr>
        <w:t>مام الحسين</w:t>
      </w:r>
      <w:r w:rsidR="009A2A04" w:rsidRPr="00282AC9">
        <w:rPr>
          <w:rFonts w:cs="Mosawi" w:hint="cs"/>
          <w:sz w:val="22"/>
          <w:szCs w:val="22"/>
          <w:rtl/>
        </w:rPr>
        <w:t>×</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هذا</w:t>
      </w:r>
      <w:r w:rsidRPr="00282AC9">
        <w:rPr>
          <w:sz w:val="27"/>
          <w:rtl/>
        </w:rPr>
        <w:t xml:space="preserve"> </w:t>
      </w:r>
      <w:r w:rsidRPr="00282AC9">
        <w:rPr>
          <w:rFonts w:hint="cs"/>
          <w:sz w:val="27"/>
          <w:rtl/>
        </w:rPr>
        <w:t>المقطع</w:t>
      </w:r>
      <w:r w:rsidRPr="00282AC9">
        <w:rPr>
          <w:sz w:val="27"/>
          <w:rtl/>
        </w:rPr>
        <w:t xml:space="preserve"> </w:t>
      </w:r>
      <w:r w:rsidRPr="00282AC9">
        <w:rPr>
          <w:rFonts w:hint="cs"/>
          <w:sz w:val="27"/>
          <w:rtl/>
        </w:rPr>
        <w:t>الزماني</w:t>
      </w:r>
      <w:r w:rsidRPr="00282AC9">
        <w:rPr>
          <w:sz w:val="27"/>
          <w:rtl/>
        </w:rPr>
        <w:t xml:space="preserve"> </w:t>
      </w:r>
      <w:r w:rsidRPr="00282AC9">
        <w:rPr>
          <w:rFonts w:hint="cs"/>
          <w:sz w:val="27"/>
          <w:rtl/>
        </w:rPr>
        <w:t>يقول</w:t>
      </w:r>
      <w:r w:rsidR="007242BB" w:rsidRPr="00282AC9">
        <w:rPr>
          <w:rFonts w:hint="cs"/>
          <w:sz w:val="27"/>
          <w:rtl/>
        </w:rPr>
        <w:t>:</w:t>
      </w:r>
      <w:r w:rsidRPr="00282AC9">
        <w:rPr>
          <w:rFonts w:hint="cs"/>
          <w:sz w:val="27"/>
          <w:rtl/>
        </w:rPr>
        <w:t xml:space="preserve"> </w:t>
      </w:r>
      <w:r w:rsidR="007242BB" w:rsidRPr="00282AC9">
        <w:rPr>
          <w:rFonts w:hint="cs"/>
          <w:sz w:val="27"/>
          <w:rtl/>
        </w:rPr>
        <w:t>إ</w:t>
      </w:r>
      <w:r w:rsidRPr="00282AC9">
        <w:rPr>
          <w:rFonts w:hint="cs"/>
          <w:sz w:val="27"/>
          <w:rtl/>
        </w:rPr>
        <w:t>ننا لم</w:t>
      </w:r>
      <w:r w:rsidRPr="00282AC9">
        <w:rPr>
          <w:sz w:val="27"/>
          <w:rtl/>
        </w:rPr>
        <w:t xml:space="preserve"> </w:t>
      </w:r>
      <w:r w:rsidRPr="00282AC9">
        <w:rPr>
          <w:rFonts w:hint="cs"/>
          <w:sz w:val="27"/>
          <w:rtl/>
        </w:rPr>
        <w:t>نخط</w:t>
      </w:r>
      <w:r w:rsidR="007242BB" w:rsidRPr="00282AC9">
        <w:rPr>
          <w:rFonts w:hint="cs"/>
          <w:sz w:val="27"/>
          <w:rtl/>
        </w:rPr>
        <w:t>ِّ</w:t>
      </w:r>
      <w:r w:rsidRPr="00282AC9">
        <w:rPr>
          <w:rFonts w:hint="cs"/>
          <w:sz w:val="27"/>
          <w:rtl/>
        </w:rPr>
        <w:t>ط</w:t>
      </w:r>
      <w:r w:rsidRPr="00282AC9">
        <w:rPr>
          <w:sz w:val="27"/>
          <w:rtl/>
        </w:rPr>
        <w:t xml:space="preserve"> </w:t>
      </w:r>
      <w:r w:rsidRPr="00282AC9">
        <w:rPr>
          <w:rFonts w:hint="cs"/>
          <w:sz w:val="27"/>
          <w:rtl/>
        </w:rPr>
        <w:t>لدنيا</w:t>
      </w:r>
      <w:r w:rsidRPr="00282AC9">
        <w:rPr>
          <w:sz w:val="27"/>
          <w:rtl/>
        </w:rPr>
        <w:t xml:space="preserve"> </w:t>
      </w:r>
      <w:r w:rsidRPr="00282AC9">
        <w:rPr>
          <w:rFonts w:hint="cs"/>
          <w:sz w:val="27"/>
          <w:rtl/>
        </w:rPr>
        <w:t>باقية</w:t>
      </w:r>
      <w:r w:rsidR="007242BB" w:rsidRPr="00282AC9">
        <w:rPr>
          <w:rFonts w:hint="cs"/>
          <w:sz w:val="27"/>
          <w:rtl/>
        </w:rPr>
        <w:t>ٍ</w:t>
      </w:r>
      <w:r w:rsidRPr="00282AC9">
        <w:rPr>
          <w:rFonts w:hint="cs"/>
          <w:sz w:val="27"/>
          <w:rtl/>
        </w:rPr>
        <w:t>، فلا</w:t>
      </w:r>
      <w:r w:rsidRPr="00282AC9">
        <w:rPr>
          <w:sz w:val="27"/>
          <w:rtl/>
        </w:rPr>
        <w:t xml:space="preserve"> </w:t>
      </w:r>
      <w:r w:rsidRPr="00282AC9">
        <w:rPr>
          <w:rFonts w:hint="cs"/>
          <w:sz w:val="27"/>
          <w:rtl/>
        </w:rPr>
        <w:t>الواقع</w:t>
      </w:r>
      <w:r w:rsidRPr="00282AC9">
        <w:rPr>
          <w:sz w:val="27"/>
          <w:rtl/>
        </w:rPr>
        <w:t xml:space="preserve"> </w:t>
      </w:r>
      <w:r w:rsidRPr="00282AC9">
        <w:rPr>
          <w:rFonts w:hint="cs"/>
          <w:sz w:val="27"/>
          <w:rtl/>
        </w:rPr>
        <w:t>السياسي،</w:t>
      </w:r>
      <w:r w:rsidRPr="00282AC9">
        <w:rPr>
          <w:sz w:val="27"/>
          <w:rtl/>
        </w:rPr>
        <w:t xml:space="preserve"> </w:t>
      </w:r>
      <w:r w:rsidRPr="00282AC9">
        <w:rPr>
          <w:rFonts w:hint="cs"/>
          <w:sz w:val="27"/>
          <w:rtl/>
        </w:rPr>
        <w:t>ولا ال</w:t>
      </w:r>
      <w:r w:rsidR="007242BB" w:rsidRPr="00282AC9">
        <w:rPr>
          <w:rFonts w:hint="cs"/>
          <w:sz w:val="27"/>
          <w:rtl/>
        </w:rPr>
        <w:t>ا</w:t>
      </w:r>
      <w:r w:rsidRPr="00282AC9">
        <w:rPr>
          <w:rFonts w:hint="cs"/>
          <w:sz w:val="27"/>
          <w:rtl/>
        </w:rPr>
        <w:t>جتماعي،</w:t>
      </w:r>
      <w:r w:rsidRPr="00282AC9">
        <w:rPr>
          <w:sz w:val="27"/>
          <w:rtl/>
        </w:rPr>
        <w:t xml:space="preserve"> </w:t>
      </w:r>
      <w:r w:rsidRPr="00282AC9">
        <w:rPr>
          <w:rFonts w:hint="cs"/>
          <w:sz w:val="27"/>
          <w:rtl/>
        </w:rPr>
        <w:t>ولا الديني</w:t>
      </w:r>
      <w:r w:rsidR="007242BB" w:rsidRPr="00282AC9">
        <w:rPr>
          <w:rFonts w:hint="cs"/>
          <w:sz w:val="27"/>
          <w:rtl/>
        </w:rPr>
        <w:t>،</w:t>
      </w:r>
      <w:r w:rsidRPr="00282AC9">
        <w:rPr>
          <w:rFonts w:hint="cs"/>
          <w:sz w:val="27"/>
          <w:rtl/>
        </w:rPr>
        <w:t xml:space="preserve"> يعين على ذلك</w:t>
      </w:r>
      <w:r w:rsidRPr="00282AC9">
        <w:rPr>
          <w:sz w:val="27"/>
          <w:rtl/>
        </w:rPr>
        <w:t xml:space="preserve">. </w:t>
      </w:r>
      <w:r w:rsidRPr="00282AC9">
        <w:rPr>
          <w:rFonts w:hint="cs"/>
          <w:sz w:val="27"/>
          <w:rtl/>
        </w:rPr>
        <w:t>وعليه</w:t>
      </w:r>
      <w:r w:rsidR="007242BB" w:rsidRPr="00282AC9">
        <w:rPr>
          <w:rFonts w:hint="cs"/>
          <w:sz w:val="27"/>
          <w:rtl/>
        </w:rPr>
        <w:t>،</w:t>
      </w:r>
      <w:r w:rsidRPr="00282AC9">
        <w:rPr>
          <w:rFonts w:hint="cs"/>
          <w:sz w:val="27"/>
          <w:rtl/>
        </w:rPr>
        <w:t xml:space="preserve"> ف</w:t>
      </w:r>
      <w:r w:rsidR="007242BB" w:rsidRPr="00282AC9">
        <w:rPr>
          <w:rFonts w:hint="cs"/>
          <w:sz w:val="27"/>
          <w:rtl/>
        </w:rPr>
        <w:t>إ</w:t>
      </w:r>
      <w:r w:rsidRPr="00282AC9">
        <w:rPr>
          <w:rFonts w:hint="cs"/>
          <w:sz w:val="27"/>
          <w:rtl/>
        </w:rPr>
        <w:t>ن</w:t>
      </w:r>
      <w:r w:rsidR="007242BB" w:rsidRPr="00282AC9">
        <w:rPr>
          <w:rFonts w:hint="cs"/>
          <w:sz w:val="27"/>
          <w:rtl/>
        </w:rPr>
        <w:t>ّ</w:t>
      </w:r>
      <w:r w:rsidRPr="00282AC9">
        <w:rPr>
          <w:rFonts w:hint="cs"/>
          <w:sz w:val="27"/>
          <w:rtl/>
        </w:rPr>
        <w:t xml:space="preserve"> هدفنا هو</w:t>
      </w:r>
      <w:r w:rsidRPr="00282AC9">
        <w:rPr>
          <w:sz w:val="27"/>
          <w:rtl/>
        </w:rPr>
        <w:t xml:space="preserve"> </w:t>
      </w:r>
      <w:r w:rsidRPr="00282AC9">
        <w:rPr>
          <w:rFonts w:hint="cs"/>
          <w:sz w:val="27"/>
          <w:rtl/>
        </w:rPr>
        <w:t>الهدف</w:t>
      </w:r>
      <w:r w:rsidRPr="00282AC9">
        <w:rPr>
          <w:sz w:val="27"/>
          <w:rtl/>
        </w:rPr>
        <w:t xml:space="preserve"> </w:t>
      </w:r>
      <w:r w:rsidRPr="00282AC9">
        <w:rPr>
          <w:rFonts w:hint="cs"/>
          <w:sz w:val="27"/>
          <w:rtl/>
        </w:rPr>
        <w:t>ال</w:t>
      </w:r>
      <w:r w:rsidR="007242BB" w:rsidRPr="00282AC9">
        <w:rPr>
          <w:rFonts w:hint="cs"/>
          <w:sz w:val="27"/>
          <w:rtl/>
        </w:rPr>
        <w:t>أ</w:t>
      </w:r>
      <w:r w:rsidRPr="00282AC9">
        <w:rPr>
          <w:rFonts w:hint="cs"/>
          <w:sz w:val="27"/>
          <w:rtl/>
        </w:rPr>
        <w:t>عظم</w:t>
      </w:r>
      <w:r w:rsidRPr="00282AC9">
        <w:rPr>
          <w:sz w:val="27"/>
          <w:rtl/>
        </w:rPr>
        <w:t xml:space="preserve"> </w:t>
      </w:r>
      <w:r w:rsidRPr="00282AC9">
        <w:rPr>
          <w:rFonts w:hint="cs"/>
          <w:sz w:val="27"/>
          <w:rtl/>
        </w:rPr>
        <w:t>لرسول</w:t>
      </w:r>
      <w:r w:rsidRPr="00282AC9">
        <w:rPr>
          <w:sz w:val="27"/>
          <w:rtl/>
        </w:rPr>
        <w:t xml:space="preserve"> </w:t>
      </w:r>
      <w:r w:rsidRPr="00282AC9">
        <w:rPr>
          <w:rFonts w:hint="cs"/>
          <w:sz w:val="27"/>
          <w:rtl/>
        </w:rPr>
        <w:t>الله</w:t>
      </w:r>
      <w:r w:rsidR="009A2A04" w:rsidRPr="00282AC9">
        <w:rPr>
          <w:rFonts w:cs="Mosawi"/>
          <w:sz w:val="22"/>
          <w:szCs w:val="22"/>
          <w:rtl/>
        </w:rPr>
        <w:t>|</w:t>
      </w:r>
      <w:r w:rsidR="007242BB" w:rsidRPr="00282AC9">
        <w:rPr>
          <w:rFonts w:hint="cs"/>
          <w:sz w:val="27"/>
          <w:rtl/>
        </w:rPr>
        <w:t>،</w:t>
      </w:r>
      <w:r w:rsidRPr="00282AC9">
        <w:rPr>
          <w:rFonts w:hint="cs"/>
          <w:sz w:val="27"/>
          <w:rtl/>
        </w:rPr>
        <w:t xml:space="preserve"> والذي</w:t>
      </w:r>
      <w:r w:rsidRPr="00282AC9">
        <w:rPr>
          <w:sz w:val="27"/>
          <w:rtl/>
        </w:rPr>
        <w:t xml:space="preserve"> </w:t>
      </w:r>
      <w:r w:rsidRPr="00282AC9">
        <w:rPr>
          <w:rFonts w:hint="cs"/>
          <w:sz w:val="27"/>
          <w:rtl/>
        </w:rPr>
        <w:t>يتحق</w:t>
      </w:r>
      <w:r w:rsidR="007242BB" w:rsidRPr="00282AC9">
        <w:rPr>
          <w:rFonts w:hint="cs"/>
          <w:sz w:val="27"/>
          <w:rtl/>
        </w:rPr>
        <w:t>َّ</w:t>
      </w:r>
      <w:r w:rsidRPr="00282AC9">
        <w:rPr>
          <w:rFonts w:hint="cs"/>
          <w:sz w:val="27"/>
          <w:rtl/>
        </w:rPr>
        <w:t>ق</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حصول</w:t>
      </w:r>
      <w:r w:rsidRPr="00282AC9">
        <w:rPr>
          <w:sz w:val="27"/>
          <w:rtl/>
        </w:rPr>
        <w:t xml:space="preserve"> </w:t>
      </w:r>
      <w:r w:rsidRPr="00282AC9">
        <w:rPr>
          <w:rFonts w:hint="cs"/>
          <w:sz w:val="27"/>
          <w:rtl/>
        </w:rPr>
        <w:t>مشروع</w:t>
      </w:r>
      <w:r w:rsidRPr="00282AC9">
        <w:rPr>
          <w:sz w:val="27"/>
          <w:rtl/>
        </w:rPr>
        <w:t xml:space="preserve"> </w:t>
      </w:r>
      <w:r w:rsidRPr="00282AC9">
        <w:rPr>
          <w:rFonts w:hint="cs"/>
          <w:sz w:val="27"/>
          <w:rtl/>
        </w:rPr>
        <w:t>ال</w:t>
      </w:r>
      <w:r w:rsidR="007242BB" w:rsidRPr="00282AC9">
        <w:rPr>
          <w:rFonts w:hint="cs"/>
          <w:sz w:val="27"/>
          <w:rtl/>
        </w:rPr>
        <w:t>إ</w:t>
      </w:r>
      <w:r w:rsidRPr="00282AC9">
        <w:rPr>
          <w:rFonts w:hint="cs"/>
          <w:sz w:val="27"/>
          <w:rtl/>
        </w:rPr>
        <w:t>مام</w:t>
      </w:r>
      <w:r w:rsidRPr="00282AC9">
        <w:rPr>
          <w:sz w:val="27"/>
          <w:rtl/>
        </w:rPr>
        <w:t xml:space="preserve"> </w:t>
      </w:r>
      <w:r w:rsidRPr="00282AC9">
        <w:rPr>
          <w:rFonts w:hint="cs"/>
          <w:sz w:val="27"/>
          <w:rtl/>
        </w:rPr>
        <w:t>المهدي</w:t>
      </w:r>
      <w:r w:rsidR="007242BB" w:rsidRPr="00282AC9">
        <w:rPr>
          <w:rFonts w:hint="cs"/>
          <w:sz w:val="27"/>
          <w:rtl/>
        </w:rPr>
        <w:t>ّ</w:t>
      </w:r>
      <w:r w:rsidR="001100B1" w:rsidRPr="00282AC9">
        <w:rPr>
          <w:rFonts w:ascii="Mosawi" w:hAnsi="Mosawi" w:cs="Mosawi" w:hint="cs"/>
          <w:sz w:val="22"/>
          <w:szCs w:val="22"/>
          <w:rtl/>
        </w:rPr>
        <w:t>#</w:t>
      </w:r>
      <w:r w:rsidRPr="00282AC9">
        <w:rPr>
          <w:rFonts w:hint="cs"/>
          <w:sz w:val="27"/>
          <w:rtl/>
        </w:rPr>
        <w:t xml:space="preserve"> الأعظم</w:t>
      </w:r>
      <w:r w:rsidR="007242BB" w:rsidRPr="00282AC9">
        <w:rPr>
          <w:rFonts w:hint="cs"/>
          <w:sz w:val="27"/>
          <w:rtl/>
        </w:rPr>
        <w:t>،</w:t>
      </w:r>
      <w:r w:rsidRPr="00282AC9">
        <w:rPr>
          <w:sz w:val="27"/>
          <w:rtl/>
        </w:rPr>
        <w:t xml:space="preserve"> </w:t>
      </w:r>
      <w:r w:rsidRPr="00282AC9">
        <w:rPr>
          <w:rFonts w:hint="cs"/>
          <w:sz w:val="27"/>
          <w:rtl/>
        </w:rPr>
        <w:t>و</w:t>
      </w:r>
      <w:r w:rsidR="00674EF5" w:rsidRPr="00282AC9">
        <w:rPr>
          <w:rFonts w:hint="cs"/>
          <w:sz w:val="27"/>
          <w:rtl/>
        </w:rPr>
        <w:t>لا ب</w:t>
      </w:r>
      <w:r w:rsidR="007242BB" w:rsidRPr="00282AC9">
        <w:rPr>
          <w:rFonts w:hint="cs"/>
          <w:sz w:val="27"/>
          <w:rtl/>
        </w:rPr>
        <w:t>ُ</w:t>
      </w:r>
      <w:r w:rsidR="00674EF5" w:rsidRPr="00282AC9">
        <w:rPr>
          <w:rFonts w:hint="cs"/>
          <w:sz w:val="27"/>
          <w:rtl/>
        </w:rPr>
        <w:t>د</w:t>
      </w:r>
      <w:r w:rsidR="007242BB" w:rsidRPr="00282AC9">
        <w:rPr>
          <w:rFonts w:hint="cs"/>
          <w:sz w:val="27"/>
          <w:rtl/>
        </w:rPr>
        <w:t>َّ</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تكون</w:t>
      </w:r>
      <w:r w:rsidRPr="00282AC9">
        <w:rPr>
          <w:sz w:val="27"/>
          <w:rtl/>
        </w:rPr>
        <w:t xml:space="preserve"> </w:t>
      </w:r>
      <w:r w:rsidRPr="00282AC9">
        <w:rPr>
          <w:rFonts w:hint="cs"/>
          <w:sz w:val="27"/>
          <w:rtl/>
        </w:rPr>
        <w:t>لذلك</w:t>
      </w:r>
      <w:r w:rsidRPr="00282AC9">
        <w:rPr>
          <w:sz w:val="27"/>
          <w:rtl/>
        </w:rPr>
        <w:t xml:space="preserve"> </w:t>
      </w:r>
      <w:r w:rsidRPr="00282AC9">
        <w:rPr>
          <w:rFonts w:hint="cs"/>
          <w:sz w:val="27"/>
          <w:rtl/>
        </w:rPr>
        <w:t>مقد</w:t>
      </w:r>
      <w:r w:rsidR="007242BB" w:rsidRPr="00282AC9">
        <w:rPr>
          <w:rFonts w:hint="cs"/>
          <w:sz w:val="27"/>
          <w:rtl/>
        </w:rPr>
        <w:t xml:space="preserve">ّمةٌ، </w:t>
      </w:r>
      <w:r w:rsidRPr="00282AC9">
        <w:rPr>
          <w:rFonts w:hint="cs"/>
          <w:sz w:val="27"/>
          <w:rtl/>
        </w:rPr>
        <w:t>وهي ما</w:t>
      </w:r>
      <w:r w:rsidRPr="00282AC9">
        <w:rPr>
          <w:sz w:val="27"/>
          <w:rtl/>
        </w:rPr>
        <w:t xml:space="preserve"> </w:t>
      </w:r>
      <w:r w:rsidRPr="00282AC9">
        <w:rPr>
          <w:rFonts w:hint="cs"/>
          <w:sz w:val="27"/>
          <w:rtl/>
        </w:rPr>
        <w:t>عب</w:t>
      </w:r>
      <w:r w:rsidR="007242BB" w:rsidRPr="00282AC9">
        <w:rPr>
          <w:rFonts w:hint="cs"/>
          <w:sz w:val="27"/>
          <w:rtl/>
        </w:rPr>
        <w:t>َّ</w:t>
      </w:r>
      <w:r w:rsidRPr="00282AC9">
        <w:rPr>
          <w:rFonts w:hint="cs"/>
          <w:sz w:val="27"/>
          <w:rtl/>
        </w:rPr>
        <w:t>ر</w:t>
      </w:r>
      <w:r w:rsidRPr="00282AC9">
        <w:rPr>
          <w:sz w:val="27"/>
          <w:rtl/>
        </w:rPr>
        <w:t xml:space="preserve"> </w:t>
      </w:r>
      <w:r w:rsidRPr="00282AC9">
        <w:rPr>
          <w:rFonts w:hint="cs"/>
          <w:sz w:val="27"/>
          <w:rtl/>
        </w:rPr>
        <w:t>عنها</w:t>
      </w:r>
      <w:r w:rsidRPr="00282AC9">
        <w:rPr>
          <w:sz w:val="27"/>
          <w:rtl/>
        </w:rPr>
        <w:t xml:space="preserve"> </w:t>
      </w:r>
      <w:r w:rsidRPr="00282AC9">
        <w:rPr>
          <w:rFonts w:hint="cs"/>
          <w:sz w:val="27"/>
          <w:rtl/>
        </w:rPr>
        <w:t>ال</w:t>
      </w:r>
      <w:r w:rsidR="007242BB" w:rsidRPr="00282AC9">
        <w:rPr>
          <w:rFonts w:hint="cs"/>
          <w:sz w:val="27"/>
          <w:rtl/>
        </w:rPr>
        <w:t>إ</w:t>
      </w:r>
      <w:r w:rsidRPr="00282AC9">
        <w:rPr>
          <w:rFonts w:hint="cs"/>
          <w:sz w:val="27"/>
          <w:rtl/>
        </w:rPr>
        <w:t>مام الحسين</w:t>
      </w:r>
      <w:r w:rsidR="009A2A04" w:rsidRPr="00282AC9">
        <w:rPr>
          <w:rFonts w:cs="Mosawi" w:hint="cs"/>
          <w:sz w:val="22"/>
          <w:szCs w:val="22"/>
          <w:rtl/>
        </w:rPr>
        <w:t>×</w:t>
      </w:r>
      <w:r w:rsidRPr="00282AC9">
        <w:rPr>
          <w:rFonts w:hint="cs"/>
          <w:sz w:val="27"/>
          <w:rtl/>
        </w:rPr>
        <w:t xml:space="preserve"> في هذه الرواية</w:t>
      </w:r>
      <w:r w:rsidR="007242BB" w:rsidRPr="00282AC9">
        <w:rPr>
          <w:rFonts w:hint="cs"/>
          <w:sz w:val="27"/>
          <w:rtl/>
        </w:rPr>
        <w:t>،</w:t>
      </w:r>
      <w:r w:rsidRPr="00282AC9">
        <w:rPr>
          <w:sz w:val="27"/>
          <w:rtl/>
        </w:rPr>
        <w:t xml:space="preserve"> </w:t>
      </w:r>
      <w:r w:rsidRPr="00282AC9">
        <w:rPr>
          <w:rFonts w:hint="cs"/>
          <w:sz w:val="27"/>
          <w:rtl/>
        </w:rPr>
        <w:t>فبرنامجه</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برنامج</w:t>
      </w:r>
      <w:r w:rsidRPr="00282AC9">
        <w:rPr>
          <w:sz w:val="27"/>
          <w:rtl/>
        </w:rPr>
        <w:t xml:space="preserve"> </w:t>
      </w:r>
      <w:r w:rsidRPr="00282AC9">
        <w:rPr>
          <w:rFonts w:hint="cs"/>
          <w:sz w:val="27"/>
          <w:rtl/>
        </w:rPr>
        <w:t>الشهادة،</w:t>
      </w:r>
      <w:r w:rsidRPr="00282AC9">
        <w:rPr>
          <w:sz w:val="27"/>
          <w:rtl/>
        </w:rPr>
        <w:t xml:space="preserve"> </w:t>
      </w:r>
      <w:r w:rsidRPr="00282AC9">
        <w:rPr>
          <w:rFonts w:hint="cs"/>
          <w:sz w:val="27"/>
          <w:rtl/>
        </w:rPr>
        <w:t>فهو</w:t>
      </w:r>
      <w:r w:rsidRPr="00282AC9">
        <w:rPr>
          <w:sz w:val="27"/>
          <w:rtl/>
        </w:rPr>
        <w:t xml:space="preserve"> </w:t>
      </w:r>
      <w:r w:rsidRPr="00282AC9">
        <w:rPr>
          <w:rFonts w:hint="cs"/>
          <w:sz w:val="27"/>
          <w:rtl/>
        </w:rPr>
        <w:t>وم</w:t>
      </w:r>
      <w:r w:rsidR="007242BB" w:rsidRPr="00282AC9">
        <w:rPr>
          <w:rFonts w:hint="cs"/>
          <w:sz w:val="27"/>
          <w:rtl/>
        </w:rPr>
        <w:t>َ</w:t>
      </w:r>
      <w:r w:rsidRPr="00282AC9">
        <w:rPr>
          <w:rFonts w:hint="cs"/>
          <w:sz w:val="27"/>
          <w:rtl/>
        </w:rPr>
        <w:t>ن</w:t>
      </w:r>
      <w:r w:rsidR="007242BB" w:rsidRPr="00282AC9">
        <w:rPr>
          <w:rFonts w:hint="cs"/>
          <w:sz w:val="27"/>
          <w:rtl/>
        </w:rPr>
        <w:t>ْ</w:t>
      </w:r>
      <w:r w:rsidRPr="00282AC9">
        <w:rPr>
          <w:sz w:val="27"/>
          <w:rtl/>
        </w:rPr>
        <w:t xml:space="preserve"> </w:t>
      </w:r>
      <w:r w:rsidRPr="00282AC9">
        <w:rPr>
          <w:rFonts w:hint="cs"/>
          <w:sz w:val="27"/>
          <w:rtl/>
        </w:rPr>
        <w:t>لحق</w:t>
      </w:r>
      <w:r w:rsidRPr="00282AC9">
        <w:rPr>
          <w:sz w:val="27"/>
          <w:rtl/>
        </w:rPr>
        <w:t xml:space="preserve"> </w:t>
      </w:r>
      <w:r w:rsidRPr="00282AC9">
        <w:rPr>
          <w:rFonts w:hint="cs"/>
          <w:sz w:val="27"/>
          <w:rtl/>
        </w:rPr>
        <w:t>به</w:t>
      </w:r>
      <w:r w:rsidRPr="00282AC9">
        <w:rPr>
          <w:sz w:val="27"/>
          <w:rtl/>
        </w:rPr>
        <w:t xml:space="preserve"> </w:t>
      </w:r>
      <w:r w:rsidRPr="00282AC9">
        <w:rPr>
          <w:rFonts w:hint="cs"/>
          <w:sz w:val="27"/>
          <w:rtl/>
        </w:rPr>
        <w:t>راحلون</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هذه</w:t>
      </w:r>
      <w:r w:rsidRPr="00282AC9">
        <w:rPr>
          <w:sz w:val="27"/>
          <w:rtl/>
        </w:rPr>
        <w:t xml:space="preserve"> </w:t>
      </w:r>
      <w:r w:rsidRPr="00282AC9">
        <w:rPr>
          <w:rFonts w:hint="cs"/>
          <w:sz w:val="27"/>
          <w:rtl/>
        </w:rPr>
        <w:t>الدنيا</w:t>
      </w:r>
      <w:r w:rsidRPr="00282AC9">
        <w:rPr>
          <w:sz w:val="27"/>
          <w:rtl/>
        </w:rPr>
        <w:t>.</w:t>
      </w:r>
    </w:p>
    <w:p w:rsidR="00965E08" w:rsidRPr="00282AC9" w:rsidRDefault="00965E08" w:rsidP="003062B7">
      <w:pPr>
        <w:rPr>
          <w:sz w:val="27"/>
          <w:rtl/>
        </w:rPr>
      </w:pPr>
      <w:r w:rsidRPr="00282AC9">
        <w:rPr>
          <w:rFonts w:hint="cs"/>
          <w:sz w:val="27"/>
          <w:rtl/>
        </w:rPr>
        <w:t>فنصر</w:t>
      </w:r>
      <w:r w:rsidR="007242BB" w:rsidRPr="00282AC9">
        <w:rPr>
          <w:rFonts w:hint="cs"/>
          <w:sz w:val="27"/>
          <w:rtl/>
        </w:rPr>
        <w:t>ُ</w:t>
      </w:r>
      <w:r w:rsidRPr="00282AC9">
        <w:rPr>
          <w:sz w:val="27"/>
          <w:rtl/>
        </w:rPr>
        <w:t xml:space="preserve"> </w:t>
      </w:r>
      <w:r w:rsidRPr="00282AC9">
        <w:rPr>
          <w:rFonts w:hint="cs"/>
          <w:sz w:val="27"/>
          <w:rtl/>
        </w:rPr>
        <w:t>ال</w:t>
      </w:r>
      <w:r w:rsidR="007242BB" w:rsidRPr="00282AC9">
        <w:rPr>
          <w:rFonts w:hint="cs"/>
          <w:sz w:val="27"/>
          <w:rtl/>
        </w:rPr>
        <w:t>إ</w:t>
      </w:r>
      <w:r w:rsidRPr="00282AC9">
        <w:rPr>
          <w:rFonts w:hint="cs"/>
          <w:sz w:val="27"/>
          <w:rtl/>
        </w:rPr>
        <w:t>مام الحسين</w:t>
      </w:r>
      <w:r w:rsidR="009A2A04" w:rsidRPr="00282AC9">
        <w:rPr>
          <w:rFonts w:cs="Mosawi"/>
          <w:sz w:val="22"/>
          <w:szCs w:val="22"/>
          <w:rtl/>
        </w:rPr>
        <w:t>×</w:t>
      </w:r>
      <w:r w:rsidRPr="00282AC9">
        <w:rPr>
          <w:rFonts w:hint="cs"/>
          <w:sz w:val="27"/>
          <w:rtl/>
        </w:rPr>
        <w:t xml:space="preserve"> لم</w:t>
      </w:r>
      <w:r w:rsidRPr="00282AC9">
        <w:rPr>
          <w:sz w:val="27"/>
          <w:rtl/>
        </w:rPr>
        <w:t xml:space="preserve"> </w:t>
      </w:r>
      <w:r w:rsidRPr="00282AC9">
        <w:rPr>
          <w:rFonts w:hint="cs"/>
          <w:sz w:val="27"/>
          <w:rtl/>
        </w:rPr>
        <w:t>يتحق</w:t>
      </w:r>
      <w:r w:rsidR="007242BB" w:rsidRPr="00282AC9">
        <w:rPr>
          <w:rFonts w:hint="cs"/>
          <w:sz w:val="27"/>
          <w:rtl/>
        </w:rPr>
        <w:t>َّ</w:t>
      </w:r>
      <w:r w:rsidRPr="00282AC9">
        <w:rPr>
          <w:rFonts w:hint="cs"/>
          <w:sz w:val="27"/>
          <w:rtl/>
        </w:rPr>
        <w:t>ق</w:t>
      </w:r>
      <w:r w:rsidRPr="00282AC9">
        <w:rPr>
          <w:sz w:val="27"/>
          <w:rtl/>
        </w:rPr>
        <w:t xml:space="preserve"> </w:t>
      </w:r>
      <w:r w:rsidRPr="00282AC9">
        <w:rPr>
          <w:rFonts w:hint="cs"/>
          <w:sz w:val="27"/>
          <w:rtl/>
        </w:rPr>
        <w:t>إلى</w:t>
      </w:r>
      <w:r w:rsidRPr="00282AC9">
        <w:rPr>
          <w:sz w:val="27"/>
          <w:rtl/>
        </w:rPr>
        <w:t xml:space="preserve"> </w:t>
      </w:r>
      <w:r w:rsidRPr="00282AC9">
        <w:rPr>
          <w:rFonts w:hint="cs"/>
          <w:sz w:val="27"/>
          <w:rtl/>
        </w:rPr>
        <w:t>الآن،</w:t>
      </w:r>
      <w:r w:rsidRPr="00282AC9">
        <w:rPr>
          <w:sz w:val="27"/>
          <w:rtl/>
        </w:rPr>
        <w:t xml:space="preserve"> </w:t>
      </w:r>
      <w:r w:rsidRPr="00282AC9">
        <w:rPr>
          <w:rFonts w:hint="cs"/>
          <w:sz w:val="27"/>
          <w:rtl/>
        </w:rPr>
        <w:t>وإنما</w:t>
      </w:r>
      <w:r w:rsidRPr="00282AC9">
        <w:rPr>
          <w:sz w:val="27"/>
          <w:rtl/>
        </w:rPr>
        <w:t xml:space="preserve"> </w:t>
      </w:r>
      <w:r w:rsidRPr="00282AC9">
        <w:rPr>
          <w:rFonts w:hint="cs"/>
          <w:sz w:val="27"/>
          <w:rtl/>
        </w:rPr>
        <w:t>مشروع</w:t>
      </w:r>
      <w:r w:rsidRPr="00282AC9">
        <w:rPr>
          <w:sz w:val="27"/>
          <w:rtl/>
        </w:rPr>
        <w:t xml:space="preserve"> </w:t>
      </w:r>
      <w:r w:rsidRPr="00282AC9">
        <w:rPr>
          <w:rFonts w:hint="cs"/>
          <w:sz w:val="27"/>
          <w:rtl/>
        </w:rPr>
        <w:t>الحسين</w:t>
      </w:r>
      <w:r w:rsidRPr="00282AC9">
        <w:rPr>
          <w:sz w:val="27"/>
          <w:rtl/>
        </w:rPr>
        <w:t xml:space="preserve"> </w:t>
      </w:r>
      <w:r w:rsidRPr="00282AC9">
        <w:rPr>
          <w:rFonts w:hint="cs"/>
          <w:sz w:val="27"/>
          <w:rtl/>
        </w:rPr>
        <w:t>يتحر</w:t>
      </w:r>
      <w:r w:rsidR="007242BB" w:rsidRPr="00282AC9">
        <w:rPr>
          <w:rFonts w:hint="cs"/>
          <w:sz w:val="27"/>
          <w:rtl/>
        </w:rPr>
        <w:t>َّ</w:t>
      </w:r>
      <w:r w:rsidRPr="00282AC9">
        <w:rPr>
          <w:rFonts w:hint="cs"/>
          <w:sz w:val="27"/>
          <w:rtl/>
        </w:rPr>
        <w:t>ك</w:t>
      </w:r>
      <w:r w:rsidRPr="00282AC9">
        <w:rPr>
          <w:sz w:val="27"/>
          <w:rtl/>
        </w:rPr>
        <w:t xml:space="preserve"> </w:t>
      </w:r>
      <w:r w:rsidRPr="00282AC9">
        <w:rPr>
          <w:rFonts w:hint="cs"/>
          <w:sz w:val="27"/>
          <w:rtl/>
        </w:rPr>
        <w:t>بات</w:t>
      </w:r>
      <w:r w:rsidR="007242BB" w:rsidRPr="00282AC9">
        <w:rPr>
          <w:rFonts w:hint="cs"/>
          <w:sz w:val="27"/>
          <w:rtl/>
        </w:rPr>
        <w:t>ّ</w:t>
      </w:r>
      <w:r w:rsidRPr="00282AC9">
        <w:rPr>
          <w:rFonts w:hint="cs"/>
          <w:sz w:val="27"/>
          <w:rtl/>
        </w:rPr>
        <w:t>جاه</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و</w:t>
      </w:r>
      <w:r w:rsidR="007242BB" w:rsidRPr="00282AC9">
        <w:rPr>
          <w:rFonts w:hint="cs"/>
          <w:sz w:val="27"/>
          <w:rtl/>
        </w:rPr>
        <w:t xml:space="preserve">طلائعُ </w:t>
      </w:r>
      <w:r w:rsidRPr="00282AC9">
        <w:rPr>
          <w:rFonts w:hint="cs"/>
          <w:sz w:val="27"/>
          <w:rtl/>
        </w:rPr>
        <w:t>نصره</w:t>
      </w:r>
      <w:r w:rsidRPr="00282AC9">
        <w:rPr>
          <w:sz w:val="27"/>
          <w:rtl/>
        </w:rPr>
        <w:t xml:space="preserve"> </w:t>
      </w:r>
      <w:r w:rsidRPr="00282AC9">
        <w:rPr>
          <w:rFonts w:hint="cs"/>
          <w:sz w:val="27"/>
          <w:rtl/>
        </w:rPr>
        <w:t>تكون</w:t>
      </w:r>
      <w:r w:rsidRPr="00282AC9">
        <w:rPr>
          <w:sz w:val="27"/>
          <w:rtl/>
        </w:rPr>
        <w:t xml:space="preserve"> </w:t>
      </w:r>
      <w:r w:rsidRPr="00282AC9">
        <w:rPr>
          <w:rFonts w:hint="cs"/>
          <w:sz w:val="27"/>
          <w:rtl/>
        </w:rPr>
        <w:t>عند</w:t>
      </w:r>
      <w:r w:rsidRPr="00282AC9">
        <w:rPr>
          <w:sz w:val="27"/>
          <w:rtl/>
        </w:rPr>
        <w:t xml:space="preserve"> </w:t>
      </w:r>
      <w:r w:rsidRPr="00282AC9">
        <w:rPr>
          <w:rFonts w:hint="cs"/>
          <w:sz w:val="27"/>
          <w:rtl/>
        </w:rPr>
        <w:t>ظهور</w:t>
      </w:r>
      <w:r w:rsidRPr="00282AC9">
        <w:rPr>
          <w:sz w:val="27"/>
          <w:rtl/>
        </w:rPr>
        <w:t xml:space="preserve"> </w:t>
      </w:r>
      <w:r w:rsidRPr="00282AC9">
        <w:rPr>
          <w:rFonts w:hint="cs"/>
          <w:sz w:val="27"/>
          <w:rtl/>
        </w:rPr>
        <w:t>الإمام</w:t>
      </w:r>
      <w:r w:rsidRPr="00282AC9">
        <w:rPr>
          <w:sz w:val="27"/>
          <w:rtl/>
        </w:rPr>
        <w:t xml:space="preserve"> </w:t>
      </w:r>
      <w:r w:rsidRPr="00282AC9">
        <w:rPr>
          <w:rFonts w:hint="cs"/>
          <w:sz w:val="27"/>
          <w:rtl/>
        </w:rPr>
        <w:t>المهدي</w:t>
      </w:r>
      <w:r w:rsidR="007242BB" w:rsidRPr="00282AC9">
        <w:rPr>
          <w:rFonts w:hint="cs"/>
          <w:sz w:val="27"/>
          <w:rtl/>
        </w:rPr>
        <w:t>ّ</w:t>
      </w:r>
      <w:r w:rsidR="001100B1" w:rsidRPr="00282AC9">
        <w:rPr>
          <w:rFonts w:ascii="Mosawi" w:hAnsi="Mosawi" w:cs="Mosawi" w:hint="cs"/>
          <w:sz w:val="22"/>
          <w:szCs w:val="22"/>
          <w:rtl/>
        </w:rPr>
        <w:t>#</w:t>
      </w:r>
      <w:r w:rsidR="007242BB" w:rsidRPr="00282AC9">
        <w:rPr>
          <w:rFonts w:hint="cs"/>
          <w:sz w:val="27"/>
          <w:rtl/>
        </w:rPr>
        <w:t xml:space="preserve">؛ </w:t>
      </w:r>
      <w:r w:rsidRPr="00282AC9">
        <w:rPr>
          <w:rFonts w:hint="cs"/>
          <w:sz w:val="27"/>
          <w:rtl/>
        </w:rPr>
        <w:t>اذ المنتصر</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الذي</w:t>
      </w:r>
      <w:r w:rsidRPr="00282AC9">
        <w:rPr>
          <w:sz w:val="27"/>
          <w:rtl/>
        </w:rPr>
        <w:t xml:space="preserve"> </w:t>
      </w:r>
      <w:r w:rsidRPr="00282AC9">
        <w:rPr>
          <w:rFonts w:hint="cs"/>
          <w:sz w:val="27"/>
          <w:rtl/>
        </w:rPr>
        <w:t>يسترد</w:t>
      </w:r>
      <w:r w:rsidR="007242BB" w:rsidRPr="00282AC9">
        <w:rPr>
          <w:rFonts w:hint="cs"/>
          <w:sz w:val="27"/>
          <w:rtl/>
        </w:rPr>
        <w:t>ّ</w:t>
      </w:r>
      <w:r w:rsidRPr="00282AC9">
        <w:rPr>
          <w:sz w:val="27"/>
          <w:rtl/>
        </w:rPr>
        <w:t xml:space="preserve"> </w:t>
      </w:r>
      <w:r w:rsidRPr="00282AC9">
        <w:rPr>
          <w:rFonts w:hint="cs"/>
          <w:sz w:val="27"/>
          <w:rtl/>
        </w:rPr>
        <w:t>حق</w:t>
      </w:r>
      <w:r w:rsidR="007242BB" w:rsidRPr="00282AC9">
        <w:rPr>
          <w:rFonts w:hint="cs"/>
          <w:sz w:val="27"/>
          <w:rtl/>
        </w:rPr>
        <w:t>َّ</w:t>
      </w:r>
      <w:r w:rsidRPr="00282AC9">
        <w:rPr>
          <w:rFonts w:hint="cs"/>
          <w:sz w:val="27"/>
          <w:rtl/>
        </w:rPr>
        <w:t>ه</w:t>
      </w:r>
      <w:r w:rsidRPr="00282AC9">
        <w:rPr>
          <w:sz w:val="27"/>
          <w:rtl/>
        </w:rPr>
        <w:t xml:space="preserve"> </w:t>
      </w:r>
      <w:r w:rsidRPr="00282AC9">
        <w:rPr>
          <w:rFonts w:hint="cs"/>
          <w:sz w:val="27"/>
          <w:rtl/>
        </w:rPr>
        <w:t>وظلامته</w:t>
      </w:r>
      <w:r w:rsidRPr="00282AC9">
        <w:rPr>
          <w:sz w:val="27"/>
          <w:rtl/>
        </w:rPr>
        <w:t xml:space="preserve">. </w:t>
      </w:r>
      <w:r w:rsidRPr="00282AC9">
        <w:rPr>
          <w:rFonts w:hint="cs"/>
          <w:sz w:val="27"/>
          <w:rtl/>
        </w:rPr>
        <w:t>علماً</w:t>
      </w:r>
      <w:r w:rsidRPr="00282AC9">
        <w:rPr>
          <w:sz w:val="27"/>
          <w:rtl/>
        </w:rPr>
        <w:t xml:space="preserve"> </w:t>
      </w:r>
      <w:r w:rsidRPr="00282AC9">
        <w:rPr>
          <w:rFonts w:hint="cs"/>
          <w:sz w:val="27"/>
          <w:rtl/>
        </w:rPr>
        <w:t>أننا</w:t>
      </w:r>
      <w:r w:rsidRPr="00282AC9">
        <w:rPr>
          <w:sz w:val="27"/>
          <w:rtl/>
        </w:rPr>
        <w:t xml:space="preserve"> </w:t>
      </w:r>
      <w:r w:rsidRPr="00282AC9">
        <w:rPr>
          <w:rFonts w:hint="cs"/>
          <w:sz w:val="27"/>
          <w:rtl/>
        </w:rPr>
        <w:t>هنا</w:t>
      </w:r>
      <w:r w:rsidRPr="00282AC9">
        <w:rPr>
          <w:sz w:val="27"/>
          <w:rtl/>
        </w:rPr>
        <w:t xml:space="preserve"> </w:t>
      </w:r>
      <w:r w:rsidRPr="00282AC9">
        <w:rPr>
          <w:rFonts w:hint="cs"/>
          <w:sz w:val="27"/>
          <w:rtl/>
        </w:rPr>
        <w:t>لا</w:t>
      </w:r>
      <w:r w:rsidRPr="00282AC9">
        <w:rPr>
          <w:sz w:val="27"/>
          <w:rtl/>
        </w:rPr>
        <w:t xml:space="preserve"> </w:t>
      </w:r>
      <w:r w:rsidRPr="00282AC9">
        <w:rPr>
          <w:rFonts w:hint="cs"/>
          <w:sz w:val="27"/>
          <w:rtl/>
        </w:rPr>
        <w:t>نتحد</w:t>
      </w:r>
      <w:r w:rsidR="007242BB" w:rsidRPr="00282AC9">
        <w:rPr>
          <w:rFonts w:hint="cs"/>
          <w:sz w:val="27"/>
          <w:rtl/>
        </w:rPr>
        <w:t>َّ</w:t>
      </w:r>
      <w:r w:rsidRPr="00282AC9">
        <w:rPr>
          <w:rFonts w:hint="cs"/>
          <w:sz w:val="27"/>
          <w:rtl/>
        </w:rPr>
        <w:t>ث</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حق</w:t>
      </w:r>
      <w:r w:rsidR="007242BB" w:rsidRPr="00282AC9">
        <w:rPr>
          <w:rFonts w:hint="cs"/>
          <w:sz w:val="27"/>
          <w:rtl/>
        </w:rPr>
        <w:t>ٍّ</w:t>
      </w:r>
      <w:r w:rsidRPr="00282AC9">
        <w:rPr>
          <w:sz w:val="27"/>
          <w:rtl/>
        </w:rPr>
        <w:t xml:space="preserve"> </w:t>
      </w:r>
      <w:r w:rsidRPr="00282AC9">
        <w:rPr>
          <w:rFonts w:hint="cs"/>
          <w:sz w:val="27"/>
          <w:rtl/>
        </w:rPr>
        <w:t>شخصي</w:t>
      </w:r>
      <w:r w:rsidR="007242BB" w:rsidRPr="00282AC9">
        <w:rPr>
          <w:rFonts w:hint="cs"/>
          <w:sz w:val="27"/>
          <w:rtl/>
        </w:rPr>
        <w:t>ّ،</w:t>
      </w:r>
      <w:r w:rsidRPr="00282AC9">
        <w:rPr>
          <w:sz w:val="27"/>
          <w:rtl/>
        </w:rPr>
        <w:t xml:space="preserve"> </w:t>
      </w:r>
      <w:r w:rsidRPr="00282AC9">
        <w:rPr>
          <w:rFonts w:hint="cs"/>
          <w:sz w:val="27"/>
          <w:rtl/>
        </w:rPr>
        <w:t>رغم</w:t>
      </w:r>
      <w:r w:rsidRPr="00282AC9">
        <w:rPr>
          <w:sz w:val="27"/>
          <w:rtl/>
        </w:rPr>
        <w:t xml:space="preserve"> </w:t>
      </w:r>
      <w:r w:rsidRPr="00282AC9">
        <w:rPr>
          <w:rFonts w:hint="cs"/>
          <w:sz w:val="27"/>
          <w:rtl/>
        </w:rPr>
        <w:t>وجوده</w:t>
      </w:r>
      <w:r w:rsidRPr="00282AC9">
        <w:rPr>
          <w:sz w:val="27"/>
          <w:rtl/>
        </w:rPr>
        <w:t xml:space="preserve">. </w:t>
      </w:r>
      <w:r w:rsidRPr="00282AC9">
        <w:rPr>
          <w:rFonts w:hint="cs"/>
          <w:sz w:val="27"/>
          <w:rtl/>
        </w:rPr>
        <w:t>ولا</w:t>
      </w:r>
      <w:r w:rsidRPr="00282AC9">
        <w:rPr>
          <w:sz w:val="27"/>
          <w:rtl/>
        </w:rPr>
        <w:t xml:space="preserve"> </w:t>
      </w:r>
      <w:r w:rsidRPr="00282AC9">
        <w:rPr>
          <w:rFonts w:hint="cs"/>
          <w:sz w:val="27"/>
          <w:rtl/>
        </w:rPr>
        <w:t>نتحد</w:t>
      </w:r>
      <w:r w:rsidR="007242BB" w:rsidRPr="00282AC9">
        <w:rPr>
          <w:rFonts w:hint="cs"/>
          <w:sz w:val="27"/>
          <w:rtl/>
        </w:rPr>
        <w:t>َّ</w:t>
      </w:r>
      <w:r w:rsidRPr="00282AC9">
        <w:rPr>
          <w:rFonts w:hint="cs"/>
          <w:sz w:val="27"/>
          <w:rtl/>
        </w:rPr>
        <w:t>ث</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ظلامةٍ</w:t>
      </w:r>
      <w:r w:rsidRPr="00282AC9">
        <w:rPr>
          <w:sz w:val="27"/>
          <w:rtl/>
        </w:rPr>
        <w:t xml:space="preserve"> </w:t>
      </w:r>
      <w:r w:rsidRPr="00282AC9">
        <w:rPr>
          <w:rFonts w:hint="cs"/>
          <w:sz w:val="27"/>
          <w:rtl/>
        </w:rPr>
        <w:t>شخصي</w:t>
      </w:r>
      <w:r w:rsidR="007242BB" w:rsidRPr="00282AC9">
        <w:rPr>
          <w:rFonts w:hint="cs"/>
          <w:sz w:val="27"/>
          <w:rtl/>
        </w:rPr>
        <w:t>ّ</w:t>
      </w:r>
      <w:r w:rsidRPr="00282AC9">
        <w:rPr>
          <w:rFonts w:hint="cs"/>
          <w:sz w:val="27"/>
          <w:rtl/>
        </w:rPr>
        <w:t>ةٍ</w:t>
      </w:r>
      <w:r w:rsidR="007242BB" w:rsidRPr="00282AC9">
        <w:rPr>
          <w:rFonts w:hint="cs"/>
          <w:sz w:val="27"/>
          <w:rtl/>
        </w:rPr>
        <w:t>،</w:t>
      </w:r>
      <w:r w:rsidRPr="00282AC9">
        <w:rPr>
          <w:sz w:val="27"/>
          <w:rtl/>
        </w:rPr>
        <w:t xml:space="preserve"> </w:t>
      </w:r>
      <w:r w:rsidRPr="00282AC9">
        <w:rPr>
          <w:rFonts w:hint="cs"/>
          <w:sz w:val="27"/>
          <w:rtl/>
        </w:rPr>
        <w:t>مع</w:t>
      </w:r>
      <w:r w:rsidRPr="00282AC9">
        <w:rPr>
          <w:sz w:val="27"/>
          <w:rtl/>
        </w:rPr>
        <w:t xml:space="preserve"> </w:t>
      </w:r>
      <w:r w:rsidRPr="00282AC9">
        <w:rPr>
          <w:rFonts w:hint="cs"/>
          <w:sz w:val="27"/>
          <w:rtl/>
        </w:rPr>
        <w:t>وجودها</w:t>
      </w:r>
      <w:r w:rsidRPr="00282AC9">
        <w:rPr>
          <w:sz w:val="27"/>
          <w:rtl/>
        </w:rPr>
        <w:t xml:space="preserve">. </w:t>
      </w:r>
      <w:r w:rsidRPr="00282AC9">
        <w:rPr>
          <w:rFonts w:hint="cs"/>
          <w:sz w:val="27"/>
          <w:rtl/>
        </w:rPr>
        <w:t>إننا</w:t>
      </w:r>
      <w:r w:rsidRPr="00282AC9">
        <w:rPr>
          <w:sz w:val="27"/>
          <w:rtl/>
        </w:rPr>
        <w:t xml:space="preserve"> </w:t>
      </w:r>
      <w:r w:rsidRPr="00282AC9">
        <w:rPr>
          <w:rFonts w:hint="cs"/>
          <w:sz w:val="27"/>
          <w:rtl/>
        </w:rPr>
        <w:t>نتحد</w:t>
      </w:r>
      <w:r w:rsidR="007242BB" w:rsidRPr="00282AC9">
        <w:rPr>
          <w:rFonts w:hint="cs"/>
          <w:sz w:val="27"/>
          <w:rtl/>
        </w:rPr>
        <w:t>َّ</w:t>
      </w:r>
      <w:r w:rsidRPr="00282AC9">
        <w:rPr>
          <w:rFonts w:hint="cs"/>
          <w:sz w:val="27"/>
          <w:rtl/>
        </w:rPr>
        <w:t>ث</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مشروع</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الله</w:t>
      </w:r>
      <w:r w:rsidRPr="00282AC9">
        <w:rPr>
          <w:sz w:val="27"/>
          <w:rtl/>
        </w:rPr>
        <w:t xml:space="preserve"> </w:t>
      </w:r>
      <w:r w:rsidRPr="00282AC9">
        <w:rPr>
          <w:rFonts w:hint="cs"/>
          <w:sz w:val="27"/>
          <w:rtl/>
        </w:rPr>
        <w:t>سبحانه</w:t>
      </w:r>
      <w:r w:rsidRPr="00282AC9">
        <w:rPr>
          <w:sz w:val="27"/>
          <w:rtl/>
        </w:rPr>
        <w:t xml:space="preserve"> </w:t>
      </w:r>
      <w:r w:rsidRPr="00282AC9">
        <w:rPr>
          <w:rFonts w:hint="cs"/>
          <w:sz w:val="27"/>
          <w:rtl/>
        </w:rPr>
        <w:lastRenderedPageBreak/>
        <w:t>وتعالى</w:t>
      </w:r>
      <w:r w:rsidRPr="00282AC9">
        <w:rPr>
          <w:sz w:val="27"/>
          <w:rtl/>
        </w:rPr>
        <w:t xml:space="preserve"> </w:t>
      </w:r>
      <w:r w:rsidRPr="00282AC9">
        <w:rPr>
          <w:rFonts w:hint="cs"/>
          <w:sz w:val="27"/>
          <w:rtl/>
        </w:rPr>
        <w:t>له</w:t>
      </w:r>
      <w:r w:rsidRPr="00282AC9">
        <w:rPr>
          <w:sz w:val="27"/>
          <w:rtl/>
        </w:rPr>
        <w:t xml:space="preserve"> </w:t>
      </w:r>
      <w:r w:rsidRPr="00282AC9">
        <w:rPr>
          <w:rFonts w:hint="cs"/>
          <w:sz w:val="27"/>
          <w:rtl/>
        </w:rPr>
        <w:t>مشروع</w:t>
      </w:r>
      <w:r w:rsidR="007242BB" w:rsidRPr="00282AC9">
        <w:rPr>
          <w:rFonts w:hint="cs"/>
          <w:sz w:val="27"/>
          <w:rtl/>
        </w:rPr>
        <w:t>ٌ،</w:t>
      </w:r>
      <w:r w:rsidRPr="00282AC9">
        <w:rPr>
          <w:sz w:val="27"/>
          <w:rtl/>
        </w:rPr>
        <w:t xml:space="preserve"> </w:t>
      </w:r>
      <w:r w:rsidRPr="00282AC9">
        <w:rPr>
          <w:rFonts w:hint="cs"/>
          <w:sz w:val="27"/>
          <w:rtl/>
        </w:rPr>
        <w:t>وهو</w:t>
      </w:r>
      <w:r w:rsidRPr="00282AC9">
        <w:rPr>
          <w:sz w:val="27"/>
          <w:rtl/>
        </w:rPr>
        <w:t xml:space="preserve"> </w:t>
      </w:r>
      <w:r w:rsidRPr="00282AC9">
        <w:rPr>
          <w:rFonts w:hint="cs"/>
          <w:sz w:val="27"/>
          <w:rtl/>
        </w:rPr>
        <w:t>مشروع</w:t>
      </w:r>
      <w:r w:rsidRPr="00282AC9">
        <w:rPr>
          <w:sz w:val="27"/>
          <w:rtl/>
        </w:rPr>
        <w:t xml:space="preserve"> </w:t>
      </w:r>
      <w:r w:rsidRPr="00282AC9">
        <w:rPr>
          <w:rFonts w:hint="cs"/>
          <w:sz w:val="27"/>
          <w:rtl/>
        </w:rPr>
        <w:t>الخلافة</w:t>
      </w:r>
      <w:r w:rsidRPr="00282AC9">
        <w:rPr>
          <w:sz w:val="27"/>
          <w:rtl/>
        </w:rPr>
        <w:t xml:space="preserve"> </w:t>
      </w:r>
      <w:r w:rsidRPr="00282AC9">
        <w:rPr>
          <w:rFonts w:hint="cs"/>
          <w:sz w:val="27"/>
          <w:rtl/>
        </w:rPr>
        <w:t>الإلهي</w:t>
      </w:r>
      <w:r w:rsidR="007242BB" w:rsidRPr="00282AC9">
        <w:rPr>
          <w:rFonts w:hint="cs"/>
          <w:sz w:val="27"/>
          <w:rtl/>
        </w:rPr>
        <w:t>ّ</w:t>
      </w:r>
      <w:r w:rsidRPr="00282AC9">
        <w:rPr>
          <w:rFonts w:hint="cs"/>
          <w:sz w:val="27"/>
          <w:rtl/>
        </w:rPr>
        <w:t>ة</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الأرض</w:t>
      </w:r>
      <w:r w:rsidR="007242BB" w:rsidRPr="00282AC9">
        <w:rPr>
          <w:rFonts w:hint="cs"/>
          <w:sz w:val="27"/>
          <w:rtl/>
        </w:rPr>
        <w:t>.</w:t>
      </w:r>
      <w:r w:rsidRPr="00282AC9">
        <w:rPr>
          <w:sz w:val="27"/>
          <w:rtl/>
        </w:rPr>
        <w:t xml:space="preserve"> </w:t>
      </w:r>
      <w:r w:rsidRPr="00282AC9">
        <w:rPr>
          <w:rFonts w:hint="cs"/>
          <w:sz w:val="27"/>
          <w:rtl/>
        </w:rPr>
        <w:t>وهذا</w:t>
      </w:r>
      <w:r w:rsidRPr="00282AC9">
        <w:rPr>
          <w:sz w:val="27"/>
          <w:rtl/>
        </w:rPr>
        <w:t xml:space="preserve"> </w:t>
      </w:r>
      <w:r w:rsidRPr="00282AC9">
        <w:rPr>
          <w:rFonts w:hint="cs"/>
          <w:sz w:val="27"/>
          <w:rtl/>
        </w:rPr>
        <w:t>المشروع</w:t>
      </w:r>
      <w:r w:rsidRPr="00282AC9">
        <w:rPr>
          <w:sz w:val="27"/>
          <w:rtl/>
        </w:rPr>
        <w:t xml:space="preserve"> </w:t>
      </w:r>
      <w:r w:rsidRPr="00282AC9">
        <w:rPr>
          <w:rFonts w:hint="cs"/>
          <w:sz w:val="27"/>
          <w:rtl/>
        </w:rPr>
        <w:t>أ</w:t>
      </w:r>
      <w:r w:rsidR="007242BB" w:rsidRPr="00282AC9">
        <w:rPr>
          <w:rFonts w:hint="cs"/>
          <w:sz w:val="27"/>
          <w:rtl/>
        </w:rPr>
        <w:t>ُ</w:t>
      </w:r>
      <w:r w:rsidRPr="00282AC9">
        <w:rPr>
          <w:rFonts w:hint="cs"/>
          <w:sz w:val="27"/>
          <w:rtl/>
        </w:rPr>
        <w:t>نيط</w:t>
      </w:r>
      <w:r w:rsidRPr="00282AC9">
        <w:rPr>
          <w:sz w:val="27"/>
          <w:rtl/>
        </w:rPr>
        <w:t xml:space="preserve"> </w:t>
      </w:r>
      <w:r w:rsidRPr="00282AC9">
        <w:rPr>
          <w:rFonts w:hint="cs"/>
          <w:sz w:val="27"/>
          <w:rtl/>
        </w:rPr>
        <w:t>بالإمام</w:t>
      </w:r>
      <w:r w:rsidRPr="00282AC9">
        <w:rPr>
          <w:sz w:val="27"/>
          <w:rtl/>
        </w:rPr>
        <w:t xml:space="preserve"> </w:t>
      </w:r>
      <w:r w:rsidRPr="00282AC9">
        <w:rPr>
          <w:rFonts w:hint="cs"/>
          <w:sz w:val="27"/>
          <w:rtl/>
        </w:rPr>
        <w:t>المهدي</w:t>
      </w:r>
      <w:r w:rsidR="007242BB" w:rsidRPr="00282AC9">
        <w:rPr>
          <w:rFonts w:hint="cs"/>
          <w:sz w:val="27"/>
          <w:rtl/>
        </w:rPr>
        <w:t>ّ</w:t>
      </w:r>
      <w:r w:rsidR="001100B1" w:rsidRPr="00282AC9">
        <w:rPr>
          <w:rFonts w:ascii="Mosawi" w:hAnsi="Mosawi" w:cs="Mosawi" w:hint="cs"/>
          <w:sz w:val="22"/>
          <w:szCs w:val="22"/>
          <w:rtl/>
        </w:rPr>
        <w:t>#</w:t>
      </w:r>
      <w:r w:rsidR="007242BB" w:rsidRPr="00282AC9">
        <w:rPr>
          <w:rFonts w:hint="cs"/>
          <w:sz w:val="27"/>
          <w:rtl/>
        </w:rPr>
        <w:t>،</w:t>
      </w:r>
      <w:r w:rsidRPr="00282AC9">
        <w:rPr>
          <w:sz w:val="27"/>
          <w:rtl/>
        </w:rPr>
        <w:t xml:space="preserve"> </w:t>
      </w:r>
      <w:r w:rsidRPr="00282AC9">
        <w:rPr>
          <w:rFonts w:hint="cs"/>
          <w:sz w:val="27"/>
          <w:rtl/>
        </w:rPr>
        <w:t>بعدما</w:t>
      </w:r>
      <w:r w:rsidRPr="00282AC9">
        <w:rPr>
          <w:sz w:val="27"/>
          <w:rtl/>
        </w:rPr>
        <w:t xml:space="preserve"> </w:t>
      </w:r>
      <w:r w:rsidRPr="00282AC9">
        <w:rPr>
          <w:rFonts w:hint="cs"/>
          <w:sz w:val="27"/>
          <w:rtl/>
        </w:rPr>
        <w:t>انحرفت ال</w:t>
      </w:r>
      <w:r w:rsidR="007242BB" w:rsidRPr="00282AC9">
        <w:rPr>
          <w:rFonts w:hint="cs"/>
          <w:sz w:val="27"/>
          <w:rtl/>
        </w:rPr>
        <w:t>أ</w:t>
      </w:r>
      <w:r w:rsidRPr="00282AC9">
        <w:rPr>
          <w:rFonts w:hint="cs"/>
          <w:sz w:val="27"/>
          <w:rtl/>
        </w:rPr>
        <w:t>م</w:t>
      </w:r>
      <w:r w:rsidR="007242BB" w:rsidRPr="00282AC9">
        <w:rPr>
          <w:rFonts w:hint="cs"/>
          <w:sz w:val="27"/>
          <w:rtl/>
        </w:rPr>
        <w:t>ّ</w:t>
      </w:r>
      <w:r w:rsidRPr="00282AC9">
        <w:rPr>
          <w:rFonts w:hint="cs"/>
          <w:sz w:val="27"/>
          <w:rtl/>
        </w:rPr>
        <w:t>ة</w:t>
      </w:r>
      <w:r w:rsidR="007242BB" w:rsidRPr="00282AC9">
        <w:rPr>
          <w:rFonts w:hint="cs"/>
          <w:sz w:val="27"/>
          <w:rtl/>
        </w:rPr>
        <w:t>،</w:t>
      </w:r>
      <w:r w:rsidRPr="00282AC9">
        <w:rPr>
          <w:sz w:val="27"/>
          <w:rtl/>
        </w:rPr>
        <w:t xml:space="preserve"> </w:t>
      </w:r>
      <w:r w:rsidRPr="00282AC9">
        <w:rPr>
          <w:rFonts w:hint="cs"/>
          <w:sz w:val="27"/>
          <w:rtl/>
        </w:rPr>
        <w:t>فصار</w:t>
      </w:r>
      <w:r w:rsidRPr="00282AC9">
        <w:rPr>
          <w:sz w:val="27"/>
          <w:rtl/>
        </w:rPr>
        <w:t xml:space="preserve"> </w:t>
      </w:r>
      <w:r w:rsidRPr="00282AC9">
        <w:rPr>
          <w:rFonts w:hint="cs"/>
          <w:sz w:val="27"/>
          <w:rtl/>
        </w:rPr>
        <w:t>المشروع</w:t>
      </w:r>
      <w:r w:rsidRPr="00282AC9">
        <w:rPr>
          <w:sz w:val="27"/>
          <w:rtl/>
        </w:rPr>
        <w:t xml:space="preserve"> </w:t>
      </w:r>
      <w:r w:rsidRPr="00282AC9">
        <w:rPr>
          <w:rFonts w:hint="cs"/>
          <w:sz w:val="27"/>
          <w:rtl/>
        </w:rPr>
        <w:t>الأو</w:t>
      </w:r>
      <w:r w:rsidR="007242BB" w:rsidRPr="00282AC9">
        <w:rPr>
          <w:rFonts w:hint="cs"/>
          <w:sz w:val="27"/>
          <w:rtl/>
        </w:rPr>
        <w:t>ّ</w:t>
      </w:r>
      <w:r w:rsidRPr="00282AC9">
        <w:rPr>
          <w:rFonts w:hint="cs"/>
          <w:sz w:val="27"/>
          <w:rtl/>
        </w:rPr>
        <w:t>ل</w:t>
      </w:r>
      <w:r w:rsidRPr="00282AC9">
        <w:rPr>
          <w:sz w:val="27"/>
          <w:rtl/>
        </w:rPr>
        <w:t xml:space="preserve"> </w:t>
      </w:r>
      <w:r w:rsidRPr="00282AC9">
        <w:rPr>
          <w:rFonts w:hint="cs"/>
          <w:sz w:val="27"/>
          <w:rtl/>
        </w:rPr>
        <w:t>والأخير</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مشروع</w:t>
      </w:r>
      <w:r w:rsidRPr="00282AC9">
        <w:rPr>
          <w:sz w:val="27"/>
          <w:rtl/>
        </w:rPr>
        <w:t xml:space="preserve"> </w:t>
      </w:r>
      <w:r w:rsidRPr="00282AC9">
        <w:rPr>
          <w:rFonts w:hint="cs"/>
          <w:sz w:val="27"/>
          <w:rtl/>
        </w:rPr>
        <w:t>ال</w:t>
      </w:r>
      <w:r w:rsidR="007242BB" w:rsidRPr="00282AC9">
        <w:rPr>
          <w:rFonts w:hint="cs"/>
          <w:sz w:val="27"/>
          <w:rtl/>
        </w:rPr>
        <w:t>إ</w:t>
      </w:r>
      <w:r w:rsidRPr="00282AC9">
        <w:rPr>
          <w:rFonts w:hint="cs"/>
          <w:sz w:val="27"/>
          <w:rtl/>
        </w:rPr>
        <w:t>مام المهدي</w:t>
      </w:r>
      <w:r w:rsidR="007242BB" w:rsidRPr="00282AC9">
        <w:rPr>
          <w:rFonts w:hint="cs"/>
          <w:sz w:val="27"/>
          <w:rtl/>
        </w:rPr>
        <w:t>ّ</w:t>
      </w:r>
      <w:r w:rsidR="001100B1" w:rsidRPr="00282AC9">
        <w:rPr>
          <w:rFonts w:ascii="Mosawi" w:hAnsi="Mosawi" w:cs="Mosawi" w:hint="cs"/>
          <w:sz w:val="22"/>
          <w:szCs w:val="22"/>
          <w:rtl/>
        </w:rPr>
        <w:t>#</w:t>
      </w:r>
      <w:r w:rsidR="007242BB" w:rsidRPr="00282AC9">
        <w:rPr>
          <w:rFonts w:hint="cs"/>
          <w:sz w:val="27"/>
          <w:rtl/>
        </w:rPr>
        <w:t>.</w:t>
      </w:r>
      <w:r w:rsidRPr="00282AC9">
        <w:rPr>
          <w:rFonts w:hint="cs"/>
          <w:sz w:val="27"/>
          <w:rtl/>
        </w:rPr>
        <w:t xml:space="preserve"> ولكننا</w:t>
      </w:r>
      <w:r w:rsidRPr="00282AC9">
        <w:rPr>
          <w:sz w:val="27"/>
          <w:rtl/>
        </w:rPr>
        <w:t xml:space="preserve"> </w:t>
      </w:r>
      <w:r w:rsidRPr="00282AC9">
        <w:rPr>
          <w:rFonts w:hint="cs"/>
          <w:sz w:val="27"/>
          <w:rtl/>
        </w:rPr>
        <w:t>لا</w:t>
      </w:r>
      <w:r w:rsidRPr="00282AC9">
        <w:rPr>
          <w:sz w:val="27"/>
          <w:rtl/>
        </w:rPr>
        <w:t xml:space="preserve"> </w:t>
      </w:r>
      <w:r w:rsidRPr="00282AC9">
        <w:rPr>
          <w:rFonts w:hint="cs"/>
          <w:sz w:val="27"/>
          <w:rtl/>
        </w:rPr>
        <w:t>نستطيع</w:t>
      </w:r>
      <w:r w:rsidRPr="00282AC9">
        <w:rPr>
          <w:sz w:val="27"/>
          <w:rtl/>
        </w:rPr>
        <w:t xml:space="preserve"> </w:t>
      </w:r>
      <w:r w:rsidRPr="00282AC9">
        <w:rPr>
          <w:rFonts w:hint="cs"/>
          <w:sz w:val="27"/>
          <w:rtl/>
        </w:rPr>
        <w:t>تحقيقه</w:t>
      </w:r>
      <w:r w:rsidRPr="00282AC9">
        <w:rPr>
          <w:sz w:val="27"/>
          <w:rtl/>
        </w:rPr>
        <w:t xml:space="preserve"> </w:t>
      </w:r>
      <w:r w:rsidRPr="00282AC9">
        <w:rPr>
          <w:rFonts w:hint="cs"/>
          <w:sz w:val="27"/>
          <w:rtl/>
        </w:rPr>
        <w:t>إ</w:t>
      </w:r>
      <w:r w:rsidR="00EE6DBA" w:rsidRPr="00282AC9">
        <w:rPr>
          <w:rFonts w:hint="cs"/>
          <w:sz w:val="27"/>
          <w:rtl/>
        </w:rPr>
        <w:t>لا</w:t>
      </w:r>
      <w:r w:rsidR="007242BB" w:rsidRPr="00282AC9">
        <w:rPr>
          <w:rFonts w:hint="cs"/>
          <w:sz w:val="27"/>
          <w:rtl/>
        </w:rPr>
        <w:t>ّ</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خلال</w:t>
      </w:r>
      <w:r w:rsidRPr="00282AC9">
        <w:rPr>
          <w:sz w:val="27"/>
          <w:rtl/>
        </w:rPr>
        <w:t xml:space="preserve"> </w:t>
      </w:r>
      <w:r w:rsidRPr="00282AC9">
        <w:rPr>
          <w:rFonts w:hint="cs"/>
          <w:sz w:val="27"/>
          <w:rtl/>
        </w:rPr>
        <w:t>هذا</w:t>
      </w:r>
      <w:r w:rsidRPr="00282AC9">
        <w:rPr>
          <w:sz w:val="27"/>
          <w:rtl/>
        </w:rPr>
        <w:t xml:space="preserve"> </w:t>
      </w:r>
      <w:r w:rsidRPr="00282AC9">
        <w:rPr>
          <w:rFonts w:hint="cs"/>
          <w:sz w:val="27"/>
          <w:rtl/>
        </w:rPr>
        <w:t>المشروع</w:t>
      </w:r>
      <w:r w:rsidRPr="00282AC9">
        <w:rPr>
          <w:sz w:val="27"/>
          <w:rtl/>
        </w:rPr>
        <w:t xml:space="preserve"> </w:t>
      </w:r>
      <w:r w:rsidRPr="00282AC9">
        <w:rPr>
          <w:rFonts w:hint="cs"/>
          <w:sz w:val="27"/>
          <w:rtl/>
        </w:rPr>
        <w:t>العملاق</w:t>
      </w:r>
      <w:r w:rsidR="007242BB" w:rsidRPr="00282AC9">
        <w:rPr>
          <w:rFonts w:hint="cs"/>
          <w:sz w:val="27"/>
          <w:rtl/>
        </w:rPr>
        <w:t>،</w:t>
      </w:r>
      <w:r w:rsidRPr="00282AC9">
        <w:rPr>
          <w:sz w:val="27"/>
          <w:rtl/>
        </w:rPr>
        <w:t xml:space="preserve"> </w:t>
      </w:r>
      <w:r w:rsidRPr="00282AC9">
        <w:rPr>
          <w:rFonts w:hint="cs"/>
          <w:sz w:val="27"/>
          <w:rtl/>
        </w:rPr>
        <w:t>وهو</w:t>
      </w:r>
      <w:r w:rsidRPr="00282AC9">
        <w:rPr>
          <w:sz w:val="27"/>
          <w:rtl/>
        </w:rPr>
        <w:t xml:space="preserve"> </w:t>
      </w:r>
      <w:r w:rsidRPr="00282AC9">
        <w:rPr>
          <w:rFonts w:hint="cs"/>
          <w:sz w:val="27"/>
          <w:rtl/>
        </w:rPr>
        <w:t>مشروع</w:t>
      </w:r>
      <w:r w:rsidRPr="00282AC9">
        <w:rPr>
          <w:sz w:val="27"/>
          <w:rtl/>
        </w:rPr>
        <w:t xml:space="preserve"> </w:t>
      </w:r>
      <w:r w:rsidRPr="00282AC9">
        <w:rPr>
          <w:rFonts w:hint="cs"/>
          <w:sz w:val="27"/>
          <w:rtl/>
        </w:rPr>
        <w:t>ال</w:t>
      </w:r>
      <w:r w:rsidR="007242BB" w:rsidRPr="00282AC9">
        <w:rPr>
          <w:rFonts w:hint="cs"/>
          <w:sz w:val="27"/>
          <w:rtl/>
        </w:rPr>
        <w:t>إ</w:t>
      </w:r>
      <w:r w:rsidRPr="00282AC9">
        <w:rPr>
          <w:rFonts w:hint="cs"/>
          <w:sz w:val="27"/>
          <w:rtl/>
        </w:rPr>
        <w:t>مام الحسين</w:t>
      </w:r>
      <w:r w:rsidR="009A2A04" w:rsidRPr="00282AC9">
        <w:rPr>
          <w:rFonts w:cs="Mosawi" w:hint="cs"/>
          <w:sz w:val="22"/>
          <w:szCs w:val="22"/>
          <w:rtl/>
        </w:rPr>
        <w:t>×</w:t>
      </w:r>
      <w:r w:rsidRPr="00282AC9">
        <w:rPr>
          <w:sz w:val="27"/>
          <w:rtl/>
        </w:rPr>
        <w:t xml:space="preserve">. </w:t>
      </w:r>
      <w:r w:rsidRPr="00282AC9">
        <w:rPr>
          <w:rFonts w:hint="cs"/>
          <w:sz w:val="27"/>
          <w:rtl/>
        </w:rPr>
        <w:t>ف</w:t>
      </w:r>
      <w:r w:rsidR="007242BB" w:rsidRPr="00282AC9">
        <w:rPr>
          <w:rFonts w:hint="cs"/>
          <w:sz w:val="27"/>
          <w:rtl/>
        </w:rPr>
        <w:t>م</w:t>
      </w:r>
      <w:r w:rsidRPr="00282AC9">
        <w:rPr>
          <w:rFonts w:hint="cs"/>
          <w:sz w:val="27"/>
          <w:rtl/>
        </w:rPr>
        <w:t>شروع ال</w:t>
      </w:r>
      <w:r w:rsidR="007242BB" w:rsidRPr="00282AC9">
        <w:rPr>
          <w:rFonts w:hint="cs"/>
          <w:sz w:val="27"/>
          <w:rtl/>
        </w:rPr>
        <w:t>إ</w:t>
      </w:r>
      <w:r w:rsidRPr="00282AC9">
        <w:rPr>
          <w:rFonts w:hint="cs"/>
          <w:sz w:val="27"/>
          <w:rtl/>
        </w:rPr>
        <w:t>مام الحسين</w:t>
      </w:r>
      <w:r w:rsidR="009A2A04" w:rsidRPr="00282AC9">
        <w:rPr>
          <w:rFonts w:cs="Mosawi" w:hint="cs"/>
          <w:sz w:val="22"/>
          <w:szCs w:val="22"/>
          <w:rtl/>
        </w:rPr>
        <w:t>×</w:t>
      </w:r>
      <w:r w:rsidRPr="00282AC9">
        <w:rPr>
          <w:rFonts w:hint="cs"/>
          <w:sz w:val="27"/>
          <w:rtl/>
        </w:rPr>
        <w:t xml:space="preserve"> له</w:t>
      </w:r>
      <w:r w:rsidRPr="00282AC9">
        <w:rPr>
          <w:sz w:val="27"/>
          <w:rtl/>
        </w:rPr>
        <w:t xml:space="preserve"> </w:t>
      </w:r>
      <w:r w:rsidRPr="00282AC9">
        <w:rPr>
          <w:rFonts w:hint="cs"/>
          <w:sz w:val="27"/>
          <w:rtl/>
        </w:rPr>
        <w:t>ه</w:t>
      </w:r>
      <w:r w:rsidR="007242BB" w:rsidRPr="00282AC9">
        <w:rPr>
          <w:rFonts w:hint="cs"/>
          <w:sz w:val="27"/>
          <w:rtl/>
        </w:rPr>
        <w:t>َ</w:t>
      </w:r>
      <w:r w:rsidRPr="00282AC9">
        <w:rPr>
          <w:rFonts w:hint="cs"/>
          <w:sz w:val="27"/>
          <w:rtl/>
        </w:rPr>
        <w:t>د</w:t>
      </w:r>
      <w:r w:rsidR="007242BB" w:rsidRPr="00282AC9">
        <w:rPr>
          <w:rFonts w:hint="cs"/>
          <w:sz w:val="27"/>
          <w:rtl/>
        </w:rPr>
        <w:t>َ</w:t>
      </w:r>
      <w:r w:rsidRPr="00282AC9">
        <w:rPr>
          <w:rFonts w:hint="cs"/>
          <w:sz w:val="27"/>
          <w:rtl/>
        </w:rPr>
        <w:t>ف</w:t>
      </w:r>
      <w:r w:rsidR="007242BB" w:rsidRPr="00282AC9">
        <w:rPr>
          <w:rFonts w:hint="cs"/>
          <w:sz w:val="27"/>
          <w:rtl/>
        </w:rPr>
        <w:t>ٌ</w:t>
      </w:r>
      <w:r w:rsidRPr="00282AC9">
        <w:rPr>
          <w:sz w:val="27"/>
          <w:rtl/>
        </w:rPr>
        <w:t xml:space="preserve"> </w:t>
      </w:r>
      <w:r w:rsidRPr="00282AC9">
        <w:rPr>
          <w:rFonts w:hint="cs"/>
          <w:sz w:val="27"/>
          <w:rtl/>
        </w:rPr>
        <w:t>قريب،</w:t>
      </w:r>
      <w:r w:rsidRPr="00282AC9">
        <w:rPr>
          <w:sz w:val="27"/>
          <w:rtl/>
        </w:rPr>
        <w:t xml:space="preserve"> </w:t>
      </w:r>
      <w:r w:rsidRPr="00282AC9">
        <w:rPr>
          <w:rFonts w:hint="cs"/>
          <w:sz w:val="27"/>
          <w:rtl/>
        </w:rPr>
        <w:t>وهدف</w:t>
      </w:r>
      <w:r w:rsidR="007242BB" w:rsidRPr="00282AC9">
        <w:rPr>
          <w:rFonts w:hint="cs"/>
          <w:sz w:val="27"/>
          <w:rtl/>
        </w:rPr>
        <w:t>ٌ</w:t>
      </w:r>
      <w:r w:rsidRPr="00282AC9">
        <w:rPr>
          <w:sz w:val="27"/>
          <w:rtl/>
        </w:rPr>
        <w:t xml:space="preserve"> </w:t>
      </w:r>
      <w:r w:rsidRPr="00282AC9">
        <w:rPr>
          <w:rFonts w:hint="cs"/>
          <w:sz w:val="27"/>
          <w:rtl/>
        </w:rPr>
        <w:t>متوس</w:t>
      </w:r>
      <w:r w:rsidR="007242BB" w:rsidRPr="00282AC9">
        <w:rPr>
          <w:rFonts w:hint="cs"/>
          <w:sz w:val="27"/>
          <w:rtl/>
        </w:rPr>
        <w:t>ِّ</w:t>
      </w:r>
      <w:r w:rsidRPr="00282AC9">
        <w:rPr>
          <w:rFonts w:hint="cs"/>
          <w:sz w:val="27"/>
          <w:rtl/>
        </w:rPr>
        <w:t>ط،</w:t>
      </w:r>
      <w:r w:rsidRPr="00282AC9">
        <w:rPr>
          <w:sz w:val="27"/>
          <w:rtl/>
        </w:rPr>
        <w:t xml:space="preserve"> </w:t>
      </w:r>
      <w:r w:rsidRPr="00282AC9">
        <w:rPr>
          <w:rFonts w:hint="cs"/>
          <w:sz w:val="27"/>
          <w:rtl/>
        </w:rPr>
        <w:t>وهدف</w:t>
      </w:r>
      <w:r w:rsidR="007242BB" w:rsidRPr="00282AC9">
        <w:rPr>
          <w:rFonts w:hint="cs"/>
          <w:sz w:val="27"/>
          <w:rtl/>
        </w:rPr>
        <w:t>ٌ</w:t>
      </w:r>
      <w:r w:rsidRPr="00282AC9">
        <w:rPr>
          <w:sz w:val="27"/>
          <w:rtl/>
        </w:rPr>
        <w:t xml:space="preserve"> </w:t>
      </w:r>
      <w:r w:rsidRPr="00282AC9">
        <w:rPr>
          <w:rFonts w:hint="cs"/>
          <w:sz w:val="27"/>
          <w:rtl/>
        </w:rPr>
        <w:t>بعيد</w:t>
      </w:r>
      <w:r w:rsidRPr="00282AC9">
        <w:rPr>
          <w:sz w:val="27"/>
          <w:rtl/>
        </w:rPr>
        <w:t xml:space="preserve">. </w:t>
      </w:r>
      <w:r w:rsidRPr="00282AC9">
        <w:rPr>
          <w:rFonts w:hint="cs"/>
          <w:sz w:val="27"/>
          <w:rtl/>
        </w:rPr>
        <w:t>والهدف</w:t>
      </w:r>
      <w:r w:rsidR="007242BB" w:rsidRPr="00282AC9">
        <w:rPr>
          <w:rFonts w:hint="cs"/>
          <w:sz w:val="27"/>
          <w:rtl/>
        </w:rPr>
        <w:t>ُ</w:t>
      </w:r>
      <w:r w:rsidRPr="00282AC9">
        <w:rPr>
          <w:sz w:val="27"/>
          <w:rtl/>
        </w:rPr>
        <w:t xml:space="preserve"> </w:t>
      </w:r>
      <w:r w:rsidRPr="00282AC9">
        <w:rPr>
          <w:rFonts w:hint="cs"/>
          <w:sz w:val="27"/>
          <w:rtl/>
        </w:rPr>
        <w:t>البعيد</w:t>
      </w:r>
      <w:r w:rsidRPr="00282AC9">
        <w:rPr>
          <w:sz w:val="27"/>
          <w:rtl/>
        </w:rPr>
        <w:t xml:space="preserve"> </w:t>
      </w:r>
      <w:r w:rsidRPr="00282AC9">
        <w:rPr>
          <w:rFonts w:hint="cs"/>
          <w:sz w:val="27"/>
          <w:rtl/>
        </w:rPr>
        <w:t>هو</w:t>
      </w:r>
      <w:r w:rsidRPr="00282AC9">
        <w:rPr>
          <w:sz w:val="27"/>
          <w:rtl/>
        </w:rPr>
        <w:t xml:space="preserve"> </w:t>
      </w:r>
      <w:r w:rsidRPr="00282AC9">
        <w:rPr>
          <w:rFonts w:hint="cs"/>
          <w:sz w:val="27"/>
          <w:rtl/>
        </w:rPr>
        <w:t>الهدف</w:t>
      </w:r>
      <w:r w:rsidRPr="00282AC9">
        <w:rPr>
          <w:sz w:val="27"/>
          <w:rtl/>
        </w:rPr>
        <w:t xml:space="preserve"> </w:t>
      </w:r>
      <w:r w:rsidRPr="00282AC9">
        <w:rPr>
          <w:rFonts w:hint="cs"/>
          <w:sz w:val="27"/>
          <w:rtl/>
        </w:rPr>
        <w:t>الأصل</w:t>
      </w:r>
      <w:r w:rsidR="007242BB" w:rsidRPr="00282AC9">
        <w:rPr>
          <w:rFonts w:hint="cs"/>
          <w:sz w:val="27"/>
          <w:rtl/>
        </w:rPr>
        <w:t>،</w:t>
      </w:r>
      <w:r w:rsidRPr="00282AC9">
        <w:rPr>
          <w:sz w:val="27"/>
          <w:rtl/>
        </w:rPr>
        <w:t xml:space="preserve"> </w:t>
      </w:r>
      <w:r w:rsidRPr="00282AC9">
        <w:rPr>
          <w:rFonts w:hint="cs"/>
          <w:sz w:val="27"/>
          <w:rtl/>
        </w:rPr>
        <w:t>وهو</w:t>
      </w:r>
      <w:r w:rsidRPr="00282AC9">
        <w:rPr>
          <w:sz w:val="27"/>
          <w:rtl/>
        </w:rPr>
        <w:t xml:space="preserve"> </w:t>
      </w:r>
      <w:r w:rsidRPr="00282AC9">
        <w:rPr>
          <w:rFonts w:hint="cs"/>
          <w:sz w:val="27"/>
          <w:rtl/>
        </w:rPr>
        <w:t>تحقيق</w:t>
      </w:r>
      <w:r w:rsidRPr="00282AC9">
        <w:rPr>
          <w:sz w:val="27"/>
          <w:rtl/>
        </w:rPr>
        <w:t xml:space="preserve"> </w:t>
      </w:r>
      <w:r w:rsidRPr="00282AC9">
        <w:rPr>
          <w:rFonts w:hint="cs"/>
          <w:sz w:val="27"/>
          <w:rtl/>
        </w:rPr>
        <w:t>مشروع</w:t>
      </w:r>
      <w:r w:rsidRPr="00282AC9">
        <w:rPr>
          <w:sz w:val="27"/>
          <w:rtl/>
        </w:rPr>
        <w:t xml:space="preserve"> </w:t>
      </w:r>
      <w:r w:rsidRPr="00282AC9">
        <w:rPr>
          <w:rFonts w:hint="cs"/>
          <w:sz w:val="27"/>
          <w:rtl/>
        </w:rPr>
        <w:t>ال</w:t>
      </w:r>
      <w:r w:rsidR="007242BB" w:rsidRPr="00282AC9">
        <w:rPr>
          <w:rFonts w:hint="cs"/>
          <w:sz w:val="27"/>
          <w:rtl/>
        </w:rPr>
        <w:t>إ</w:t>
      </w:r>
      <w:r w:rsidRPr="00282AC9">
        <w:rPr>
          <w:rFonts w:hint="cs"/>
          <w:sz w:val="27"/>
          <w:rtl/>
        </w:rPr>
        <w:t>مام المهدي</w:t>
      </w:r>
      <w:r w:rsidR="007242BB" w:rsidRPr="00282AC9">
        <w:rPr>
          <w:rFonts w:hint="cs"/>
          <w:sz w:val="27"/>
          <w:rtl/>
        </w:rPr>
        <w:t>ّ</w:t>
      </w:r>
      <w:r w:rsidR="001100B1" w:rsidRPr="00282AC9">
        <w:rPr>
          <w:rFonts w:ascii="Mosawi" w:hAnsi="Mosawi" w:cs="Mosawi" w:hint="cs"/>
          <w:sz w:val="22"/>
          <w:szCs w:val="22"/>
          <w:rtl/>
        </w:rPr>
        <w:t>#</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أرض</w:t>
      </w:r>
      <w:r w:rsidRPr="00282AC9">
        <w:rPr>
          <w:sz w:val="27"/>
          <w:rtl/>
        </w:rPr>
        <w:t xml:space="preserve"> </w:t>
      </w:r>
      <w:r w:rsidRPr="00282AC9">
        <w:rPr>
          <w:rFonts w:hint="cs"/>
          <w:sz w:val="27"/>
          <w:rtl/>
        </w:rPr>
        <w:t>الواقع</w:t>
      </w:r>
      <w:r w:rsidRPr="00282AC9">
        <w:rPr>
          <w:sz w:val="27"/>
          <w:rtl/>
        </w:rPr>
        <w:t>.</w:t>
      </w:r>
    </w:p>
    <w:p w:rsidR="00556C32" w:rsidRPr="00282AC9" w:rsidRDefault="00556C32" w:rsidP="00556C32">
      <w:pPr>
        <w:spacing w:line="420" w:lineRule="exact"/>
        <w:rPr>
          <w:sz w:val="27"/>
          <w:rtl/>
        </w:rPr>
      </w:pPr>
    </w:p>
    <w:p w:rsidR="00965E08" w:rsidRPr="00282AC9" w:rsidRDefault="00470DFC" w:rsidP="007D56C2">
      <w:pPr>
        <w:pStyle w:val="31"/>
        <w:rPr>
          <w:color w:val="auto"/>
          <w:rtl/>
        </w:rPr>
      </w:pPr>
      <w:r w:rsidRPr="00282AC9">
        <w:rPr>
          <w:rFonts w:hint="cs"/>
          <w:color w:val="auto"/>
          <w:rtl/>
        </w:rPr>
        <w:t>خلاصةٌ واستنتاج</w:t>
      </w:r>
    </w:p>
    <w:p w:rsidR="00965E08" w:rsidRPr="00282AC9" w:rsidRDefault="007242BB" w:rsidP="003062B7">
      <w:pPr>
        <w:rPr>
          <w:sz w:val="27"/>
          <w:rtl/>
        </w:rPr>
      </w:pPr>
      <w:r w:rsidRPr="00282AC9">
        <w:rPr>
          <w:rFonts w:hint="cs"/>
          <w:sz w:val="27"/>
          <w:rtl/>
        </w:rPr>
        <w:t>إ</w:t>
      </w:r>
      <w:r w:rsidR="00965E08" w:rsidRPr="00282AC9">
        <w:rPr>
          <w:rFonts w:hint="cs"/>
          <w:sz w:val="27"/>
          <w:rtl/>
        </w:rPr>
        <w:t>ن ما</w:t>
      </w:r>
      <w:r w:rsidR="00965E08" w:rsidRPr="00282AC9">
        <w:rPr>
          <w:sz w:val="27"/>
          <w:rtl/>
        </w:rPr>
        <w:t xml:space="preserve"> </w:t>
      </w:r>
      <w:r w:rsidR="00965E08" w:rsidRPr="00282AC9">
        <w:rPr>
          <w:rFonts w:hint="cs"/>
          <w:sz w:val="27"/>
          <w:rtl/>
        </w:rPr>
        <w:t>يطرح</w:t>
      </w:r>
      <w:r w:rsidR="00965E08" w:rsidRPr="00282AC9">
        <w:rPr>
          <w:sz w:val="27"/>
          <w:rtl/>
        </w:rPr>
        <w:t xml:space="preserve"> </w:t>
      </w:r>
      <w:r w:rsidR="00965E08" w:rsidRPr="00282AC9">
        <w:rPr>
          <w:rFonts w:hint="cs"/>
          <w:sz w:val="27"/>
          <w:rtl/>
        </w:rPr>
        <w:t>في</w:t>
      </w:r>
      <w:r w:rsidR="00965E08" w:rsidRPr="00282AC9">
        <w:rPr>
          <w:sz w:val="27"/>
          <w:rtl/>
        </w:rPr>
        <w:t xml:space="preserve"> </w:t>
      </w:r>
      <w:r w:rsidR="00965E08" w:rsidRPr="00282AC9">
        <w:rPr>
          <w:rFonts w:hint="cs"/>
          <w:sz w:val="27"/>
          <w:rtl/>
        </w:rPr>
        <w:t>أجواء</w:t>
      </w:r>
      <w:r w:rsidR="00965E08" w:rsidRPr="00282AC9">
        <w:rPr>
          <w:sz w:val="27"/>
          <w:rtl/>
        </w:rPr>
        <w:t xml:space="preserve"> </w:t>
      </w:r>
      <w:r w:rsidR="00965E08" w:rsidRPr="00282AC9">
        <w:rPr>
          <w:rFonts w:hint="cs"/>
          <w:sz w:val="27"/>
          <w:rtl/>
        </w:rPr>
        <w:t>الثقافة</w:t>
      </w:r>
      <w:r w:rsidR="00965E08" w:rsidRPr="00282AC9">
        <w:rPr>
          <w:sz w:val="27"/>
          <w:rtl/>
        </w:rPr>
        <w:t xml:space="preserve"> </w:t>
      </w:r>
      <w:r w:rsidR="00965E08" w:rsidRPr="00282AC9">
        <w:rPr>
          <w:rFonts w:hint="cs"/>
          <w:sz w:val="27"/>
          <w:rtl/>
        </w:rPr>
        <w:t>الحسيني</w:t>
      </w:r>
      <w:r w:rsidRPr="00282AC9">
        <w:rPr>
          <w:rFonts w:hint="cs"/>
          <w:sz w:val="27"/>
          <w:rtl/>
        </w:rPr>
        <w:t>ّ</w:t>
      </w:r>
      <w:r w:rsidR="00965E08" w:rsidRPr="00282AC9">
        <w:rPr>
          <w:rFonts w:hint="cs"/>
          <w:sz w:val="27"/>
          <w:rtl/>
        </w:rPr>
        <w:t>ة</w:t>
      </w:r>
      <w:r w:rsidR="00965E08" w:rsidRPr="00282AC9">
        <w:rPr>
          <w:sz w:val="27"/>
          <w:rtl/>
        </w:rPr>
        <w:t xml:space="preserve"> </w:t>
      </w:r>
      <w:r w:rsidR="00965E08" w:rsidRPr="00282AC9">
        <w:rPr>
          <w:rFonts w:hint="cs"/>
          <w:sz w:val="27"/>
          <w:rtl/>
        </w:rPr>
        <w:t>المعاصرة</w:t>
      </w:r>
      <w:r w:rsidRPr="00282AC9">
        <w:rPr>
          <w:rFonts w:hint="cs"/>
          <w:sz w:val="27"/>
          <w:rtl/>
        </w:rPr>
        <w:t>،</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شعار</w:t>
      </w:r>
      <w:r w:rsidR="00965E08" w:rsidRPr="00282AC9">
        <w:rPr>
          <w:sz w:val="27"/>
          <w:rtl/>
        </w:rPr>
        <w:t xml:space="preserve">: </w:t>
      </w:r>
      <w:r w:rsidR="00965E08" w:rsidRPr="00282AC9">
        <w:rPr>
          <w:rFonts w:hint="eastAsia"/>
          <w:sz w:val="24"/>
          <w:szCs w:val="24"/>
          <w:rtl/>
        </w:rPr>
        <w:t>«</w:t>
      </w:r>
      <w:r w:rsidR="00965E08" w:rsidRPr="00282AC9">
        <w:rPr>
          <w:rFonts w:hint="cs"/>
          <w:sz w:val="27"/>
          <w:rtl/>
        </w:rPr>
        <w:t>انتصار</w:t>
      </w:r>
      <w:r w:rsidR="00965E08" w:rsidRPr="00282AC9">
        <w:rPr>
          <w:sz w:val="27"/>
          <w:rtl/>
        </w:rPr>
        <w:t xml:space="preserve"> </w:t>
      </w:r>
      <w:r w:rsidR="00965E08" w:rsidRPr="00282AC9">
        <w:rPr>
          <w:rFonts w:hint="cs"/>
          <w:sz w:val="27"/>
          <w:rtl/>
        </w:rPr>
        <w:t>الدم</w:t>
      </w:r>
      <w:r w:rsidR="00965E08" w:rsidRPr="00282AC9">
        <w:rPr>
          <w:sz w:val="27"/>
          <w:rtl/>
        </w:rPr>
        <w:t xml:space="preserve"> </w:t>
      </w:r>
      <w:r w:rsidR="00965E08" w:rsidRPr="00282AC9">
        <w:rPr>
          <w:rFonts w:hint="cs"/>
          <w:sz w:val="27"/>
          <w:rtl/>
        </w:rPr>
        <w:t>على</w:t>
      </w:r>
      <w:r w:rsidR="00965E08" w:rsidRPr="00282AC9">
        <w:rPr>
          <w:sz w:val="27"/>
          <w:rtl/>
        </w:rPr>
        <w:t xml:space="preserve"> </w:t>
      </w:r>
      <w:r w:rsidR="00965E08" w:rsidRPr="00282AC9">
        <w:rPr>
          <w:rFonts w:hint="cs"/>
          <w:sz w:val="27"/>
          <w:rtl/>
        </w:rPr>
        <w:t>السيف</w:t>
      </w:r>
      <w:r w:rsidR="00965E08" w:rsidRPr="00282AC9">
        <w:rPr>
          <w:rFonts w:hint="eastAsia"/>
          <w:sz w:val="24"/>
          <w:szCs w:val="24"/>
          <w:rtl/>
        </w:rPr>
        <w:t>»</w:t>
      </w:r>
      <w:r w:rsidRPr="00282AC9">
        <w:rPr>
          <w:rFonts w:hint="cs"/>
          <w:sz w:val="27"/>
          <w:rtl/>
        </w:rPr>
        <w:t>؛</w:t>
      </w:r>
      <w:r w:rsidR="00965E08" w:rsidRPr="00282AC9">
        <w:rPr>
          <w:sz w:val="27"/>
          <w:rtl/>
        </w:rPr>
        <w:t xml:space="preserve"> </w:t>
      </w:r>
      <w:r w:rsidR="00965E08" w:rsidRPr="00282AC9">
        <w:rPr>
          <w:rFonts w:hint="cs"/>
          <w:sz w:val="27"/>
          <w:rtl/>
        </w:rPr>
        <w:t>أو</w:t>
      </w:r>
      <w:r w:rsidR="00965E08" w:rsidRPr="00282AC9">
        <w:rPr>
          <w:sz w:val="27"/>
          <w:rtl/>
        </w:rPr>
        <w:t xml:space="preserve"> </w:t>
      </w:r>
      <w:r w:rsidR="00965E08" w:rsidRPr="00282AC9">
        <w:rPr>
          <w:rFonts w:hint="eastAsia"/>
          <w:sz w:val="24"/>
          <w:szCs w:val="24"/>
          <w:rtl/>
        </w:rPr>
        <w:t>«</w:t>
      </w:r>
      <w:r w:rsidR="00965E08" w:rsidRPr="00282AC9">
        <w:rPr>
          <w:rFonts w:hint="cs"/>
          <w:sz w:val="27"/>
          <w:rtl/>
        </w:rPr>
        <w:t>يظلم</w:t>
      </w:r>
      <w:r w:rsidR="00965E08" w:rsidRPr="00282AC9">
        <w:rPr>
          <w:sz w:val="27"/>
          <w:rtl/>
        </w:rPr>
        <w:t xml:space="preserve"> </w:t>
      </w:r>
      <w:r w:rsidR="00965E08" w:rsidRPr="00282AC9">
        <w:rPr>
          <w:rFonts w:hint="cs"/>
          <w:sz w:val="27"/>
          <w:rtl/>
        </w:rPr>
        <w:t>الإنسان</w:t>
      </w:r>
      <w:r w:rsidR="00965E08" w:rsidRPr="00282AC9">
        <w:rPr>
          <w:sz w:val="27"/>
          <w:rtl/>
        </w:rPr>
        <w:t xml:space="preserve"> </w:t>
      </w:r>
      <w:r w:rsidR="00965E08" w:rsidRPr="00282AC9">
        <w:rPr>
          <w:rFonts w:hint="cs"/>
          <w:sz w:val="27"/>
          <w:rtl/>
        </w:rPr>
        <w:t>كي</w:t>
      </w:r>
      <w:r w:rsidR="00965E08" w:rsidRPr="00282AC9">
        <w:rPr>
          <w:sz w:val="27"/>
          <w:rtl/>
        </w:rPr>
        <w:t xml:space="preserve"> </w:t>
      </w:r>
      <w:r w:rsidR="00965E08" w:rsidRPr="00282AC9">
        <w:rPr>
          <w:rFonts w:hint="cs"/>
          <w:sz w:val="27"/>
          <w:rtl/>
        </w:rPr>
        <w:t>ينتصر</w:t>
      </w:r>
      <w:r w:rsidR="00965E08" w:rsidRPr="00282AC9">
        <w:rPr>
          <w:rFonts w:hint="eastAsia"/>
          <w:sz w:val="24"/>
          <w:szCs w:val="24"/>
          <w:rtl/>
        </w:rPr>
        <w:t>»</w:t>
      </w:r>
      <w:r w:rsidRPr="00282AC9">
        <w:rPr>
          <w:rFonts w:hint="cs"/>
          <w:sz w:val="27"/>
          <w:rtl/>
        </w:rPr>
        <w:t xml:space="preserve">، </w:t>
      </w:r>
      <w:r w:rsidR="00965E08" w:rsidRPr="00282AC9">
        <w:rPr>
          <w:rFonts w:hint="cs"/>
          <w:sz w:val="27"/>
          <w:rtl/>
        </w:rPr>
        <w:t>هذا</w:t>
      </w:r>
      <w:r w:rsidR="00965E08" w:rsidRPr="00282AC9">
        <w:rPr>
          <w:sz w:val="27"/>
          <w:rtl/>
        </w:rPr>
        <w:t xml:space="preserve"> </w:t>
      </w:r>
      <w:r w:rsidR="00965E08" w:rsidRPr="00282AC9">
        <w:rPr>
          <w:rFonts w:hint="cs"/>
          <w:sz w:val="27"/>
          <w:rtl/>
        </w:rPr>
        <w:t>الكلام</w:t>
      </w:r>
      <w:r w:rsidR="00965E08" w:rsidRPr="00282AC9">
        <w:rPr>
          <w:sz w:val="27"/>
          <w:rtl/>
        </w:rPr>
        <w:t xml:space="preserve"> </w:t>
      </w:r>
      <w:r w:rsidR="00965E08" w:rsidRPr="00282AC9">
        <w:rPr>
          <w:rFonts w:hint="cs"/>
          <w:sz w:val="27"/>
          <w:rtl/>
        </w:rPr>
        <w:t>إن</w:t>
      </w:r>
      <w:r w:rsidRPr="00282AC9">
        <w:rPr>
          <w:rFonts w:hint="cs"/>
          <w:sz w:val="27"/>
          <w:rtl/>
        </w:rPr>
        <w:t>ْ</w:t>
      </w:r>
      <w:r w:rsidR="00965E08" w:rsidRPr="00282AC9">
        <w:rPr>
          <w:sz w:val="27"/>
          <w:rtl/>
        </w:rPr>
        <w:t xml:space="preserve"> </w:t>
      </w:r>
      <w:r w:rsidR="00965E08" w:rsidRPr="00282AC9">
        <w:rPr>
          <w:rFonts w:hint="cs"/>
          <w:sz w:val="27"/>
          <w:rtl/>
        </w:rPr>
        <w:t>أ</w:t>
      </w:r>
      <w:r w:rsidRPr="00282AC9">
        <w:rPr>
          <w:rFonts w:hint="cs"/>
          <w:sz w:val="27"/>
          <w:rtl/>
        </w:rPr>
        <w:t>ُ</w:t>
      </w:r>
      <w:r w:rsidR="00965E08" w:rsidRPr="00282AC9">
        <w:rPr>
          <w:rFonts w:hint="cs"/>
          <w:sz w:val="27"/>
          <w:rtl/>
        </w:rPr>
        <w:t>ريد</w:t>
      </w:r>
      <w:r w:rsidR="00965E08" w:rsidRPr="00282AC9">
        <w:rPr>
          <w:sz w:val="27"/>
          <w:rtl/>
        </w:rPr>
        <w:t xml:space="preserve"> </w:t>
      </w:r>
      <w:r w:rsidR="00965E08" w:rsidRPr="00282AC9">
        <w:rPr>
          <w:rFonts w:hint="cs"/>
          <w:sz w:val="27"/>
          <w:rtl/>
        </w:rPr>
        <w:t>منه</w:t>
      </w:r>
      <w:r w:rsidR="00965E08" w:rsidRPr="00282AC9">
        <w:rPr>
          <w:sz w:val="27"/>
          <w:rtl/>
        </w:rPr>
        <w:t xml:space="preserve"> </w:t>
      </w:r>
      <w:r w:rsidR="00965E08" w:rsidRPr="00282AC9">
        <w:rPr>
          <w:rFonts w:hint="cs"/>
          <w:sz w:val="27"/>
          <w:rtl/>
        </w:rPr>
        <w:t>المعنى</w:t>
      </w:r>
      <w:r w:rsidR="00965E08" w:rsidRPr="00282AC9">
        <w:rPr>
          <w:sz w:val="27"/>
          <w:rtl/>
        </w:rPr>
        <w:t xml:space="preserve"> </w:t>
      </w:r>
      <w:r w:rsidR="00965E08" w:rsidRPr="00282AC9">
        <w:rPr>
          <w:rFonts w:hint="cs"/>
          <w:sz w:val="27"/>
          <w:rtl/>
        </w:rPr>
        <w:t>الحقيقي</w:t>
      </w:r>
      <w:r w:rsidR="00965E08" w:rsidRPr="00282AC9">
        <w:rPr>
          <w:sz w:val="27"/>
          <w:rtl/>
        </w:rPr>
        <w:t xml:space="preserve"> </w:t>
      </w:r>
      <w:r w:rsidR="00965E08" w:rsidRPr="00282AC9">
        <w:rPr>
          <w:rFonts w:hint="cs"/>
          <w:sz w:val="27"/>
          <w:rtl/>
        </w:rPr>
        <w:t>التام</w:t>
      </w:r>
      <w:r w:rsidRPr="00282AC9">
        <w:rPr>
          <w:rFonts w:hint="cs"/>
          <w:sz w:val="27"/>
          <w:rtl/>
        </w:rPr>
        <w:t>ّ</w:t>
      </w:r>
      <w:r w:rsidR="00965E08" w:rsidRPr="00282AC9">
        <w:rPr>
          <w:sz w:val="27"/>
          <w:rtl/>
        </w:rPr>
        <w:t xml:space="preserve"> </w:t>
      </w:r>
      <w:r w:rsidR="00965E08" w:rsidRPr="00282AC9">
        <w:rPr>
          <w:rFonts w:hint="cs"/>
          <w:sz w:val="27"/>
          <w:rtl/>
        </w:rPr>
        <w:t>الكامل</w:t>
      </w:r>
      <w:r w:rsidR="00965E08" w:rsidRPr="00282AC9">
        <w:rPr>
          <w:sz w:val="27"/>
          <w:rtl/>
        </w:rPr>
        <w:t xml:space="preserve"> </w:t>
      </w:r>
      <w:r w:rsidR="00965E08" w:rsidRPr="00282AC9">
        <w:rPr>
          <w:rFonts w:hint="cs"/>
          <w:sz w:val="27"/>
          <w:rtl/>
        </w:rPr>
        <w:t>فلا</w:t>
      </w:r>
      <w:r w:rsidR="00965E08" w:rsidRPr="00282AC9">
        <w:rPr>
          <w:sz w:val="27"/>
          <w:rtl/>
        </w:rPr>
        <w:t xml:space="preserve"> </w:t>
      </w:r>
      <w:r w:rsidR="00965E08" w:rsidRPr="00282AC9">
        <w:rPr>
          <w:rFonts w:hint="cs"/>
          <w:sz w:val="27"/>
          <w:rtl/>
        </w:rPr>
        <w:t>صح</w:t>
      </w:r>
      <w:r w:rsidRPr="00282AC9">
        <w:rPr>
          <w:rFonts w:hint="cs"/>
          <w:sz w:val="27"/>
          <w:rtl/>
        </w:rPr>
        <w:t>ّ</w:t>
      </w:r>
      <w:r w:rsidR="00965E08" w:rsidRPr="00282AC9">
        <w:rPr>
          <w:rFonts w:hint="cs"/>
          <w:sz w:val="27"/>
          <w:rtl/>
        </w:rPr>
        <w:t>ة</w:t>
      </w:r>
      <w:r w:rsidR="00965E08" w:rsidRPr="00282AC9">
        <w:rPr>
          <w:sz w:val="27"/>
          <w:rtl/>
        </w:rPr>
        <w:t xml:space="preserve"> </w:t>
      </w:r>
      <w:r w:rsidR="00965E08" w:rsidRPr="00282AC9">
        <w:rPr>
          <w:rFonts w:hint="cs"/>
          <w:sz w:val="27"/>
          <w:rtl/>
        </w:rPr>
        <w:t>له</w:t>
      </w:r>
      <w:r w:rsidRPr="00282AC9">
        <w:rPr>
          <w:rFonts w:hint="cs"/>
          <w:sz w:val="27"/>
          <w:rtl/>
        </w:rPr>
        <w:t>،</w:t>
      </w:r>
      <w:r w:rsidR="00965E08" w:rsidRPr="00282AC9">
        <w:rPr>
          <w:sz w:val="27"/>
          <w:rtl/>
        </w:rPr>
        <w:t xml:space="preserve"> </w:t>
      </w:r>
      <w:r w:rsidR="00965E08" w:rsidRPr="00282AC9">
        <w:rPr>
          <w:rFonts w:hint="cs"/>
          <w:sz w:val="27"/>
          <w:rtl/>
        </w:rPr>
        <w:t>لا</w:t>
      </w:r>
      <w:r w:rsidR="00965E08" w:rsidRPr="00282AC9">
        <w:rPr>
          <w:sz w:val="27"/>
          <w:rtl/>
        </w:rPr>
        <w:t xml:space="preserve"> </w:t>
      </w:r>
      <w:r w:rsidR="00965E08" w:rsidRPr="00282AC9">
        <w:rPr>
          <w:rFonts w:hint="cs"/>
          <w:sz w:val="27"/>
          <w:rtl/>
        </w:rPr>
        <w:t>على</w:t>
      </w:r>
      <w:r w:rsidR="00965E08" w:rsidRPr="00282AC9">
        <w:rPr>
          <w:sz w:val="27"/>
          <w:rtl/>
        </w:rPr>
        <w:t xml:space="preserve"> </w:t>
      </w:r>
      <w:r w:rsidR="00965E08" w:rsidRPr="00282AC9">
        <w:rPr>
          <w:rFonts w:hint="cs"/>
          <w:sz w:val="27"/>
          <w:rtl/>
        </w:rPr>
        <w:t>أرض</w:t>
      </w:r>
      <w:r w:rsidR="00965E08" w:rsidRPr="00282AC9">
        <w:rPr>
          <w:sz w:val="27"/>
          <w:rtl/>
        </w:rPr>
        <w:t xml:space="preserve"> </w:t>
      </w:r>
      <w:r w:rsidR="00965E08" w:rsidRPr="00282AC9">
        <w:rPr>
          <w:rFonts w:hint="cs"/>
          <w:sz w:val="27"/>
          <w:rtl/>
        </w:rPr>
        <w:t>الواقع</w:t>
      </w:r>
      <w:r w:rsidRPr="00282AC9">
        <w:rPr>
          <w:rFonts w:hint="cs"/>
          <w:sz w:val="27"/>
          <w:rtl/>
        </w:rPr>
        <w:t>،</w:t>
      </w:r>
      <w:r w:rsidR="00965E08" w:rsidRPr="00282AC9">
        <w:rPr>
          <w:sz w:val="27"/>
          <w:rtl/>
        </w:rPr>
        <w:t xml:space="preserve"> </w:t>
      </w:r>
      <w:r w:rsidR="00965E08" w:rsidRPr="00282AC9">
        <w:rPr>
          <w:rFonts w:hint="cs"/>
          <w:sz w:val="27"/>
          <w:rtl/>
        </w:rPr>
        <w:t>ولا</w:t>
      </w:r>
      <w:r w:rsidR="00965E08" w:rsidRPr="00282AC9">
        <w:rPr>
          <w:sz w:val="27"/>
          <w:rtl/>
        </w:rPr>
        <w:t xml:space="preserve"> </w:t>
      </w:r>
      <w:r w:rsidR="00965E08" w:rsidRPr="00282AC9">
        <w:rPr>
          <w:rFonts w:hint="cs"/>
          <w:sz w:val="27"/>
          <w:rtl/>
        </w:rPr>
        <w:t>يتطابق</w:t>
      </w:r>
      <w:r w:rsidR="00965E08" w:rsidRPr="00282AC9">
        <w:rPr>
          <w:sz w:val="27"/>
          <w:rtl/>
        </w:rPr>
        <w:t xml:space="preserve"> </w:t>
      </w:r>
      <w:r w:rsidR="00965E08" w:rsidRPr="00282AC9">
        <w:rPr>
          <w:rFonts w:hint="cs"/>
          <w:sz w:val="27"/>
          <w:rtl/>
        </w:rPr>
        <w:t>ولا</w:t>
      </w:r>
      <w:r w:rsidR="00965E08" w:rsidRPr="00282AC9">
        <w:rPr>
          <w:sz w:val="27"/>
          <w:rtl/>
        </w:rPr>
        <w:t xml:space="preserve"> </w:t>
      </w:r>
      <w:r w:rsidR="00965E08" w:rsidRPr="00282AC9">
        <w:rPr>
          <w:rFonts w:hint="cs"/>
          <w:sz w:val="27"/>
          <w:rtl/>
        </w:rPr>
        <w:t>يتوافق</w:t>
      </w:r>
      <w:r w:rsidR="00965E08" w:rsidRPr="00282AC9">
        <w:rPr>
          <w:sz w:val="27"/>
          <w:rtl/>
        </w:rPr>
        <w:t xml:space="preserve"> </w:t>
      </w:r>
      <w:r w:rsidR="00965E08" w:rsidRPr="00282AC9">
        <w:rPr>
          <w:rFonts w:hint="cs"/>
          <w:sz w:val="27"/>
          <w:rtl/>
        </w:rPr>
        <w:t>مع</w:t>
      </w:r>
      <w:r w:rsidR="00965E08" w:rsidRPr="00282AC9">
        <w:rPr>
          <w:sz w:val="27"/>
          <w:rtl/>
        </w:rPr>
        <w:t xml:space="preserve"> </w:t>
      </w:r>
      <w:r w:rsidR="00965E08" w:rsidRPr="00282AC9">
        <w:rPr>
          <w:rFonts w:hint="cs"/>
          <w:sz w:val="27"/>
          <w:rtl/>
        </w:rPr>
        <w:t>منطق</w:t>
      </w:r>
      <w:r w:rsidR="00965E08" w:rsidRPr="00282AC9">
        <w:rPr>
          <w:sz w:val="27"/>
          <w:rtl/>
        </w:rPr>
        <w:t xml:space="preserve"> </w:t>
      </w:r>
      <w:r w:rsidR="00965E08" w:rsidRPr="00282AC9">
        <w:rPr>
          <w:rFonts w:hint="cs"/>
          <w:sz w:val="27"/>
          <w:rtl/>
        </w:rPr>
        <w:t>الكتاب</w:t>
      </w:r>
      <w:r w:rsidR="00965E08" w:rsidRPr="00282AC9">
        <w:rPr>
          <w:sz w:val="27"/>
          <w:rtl/>
        </w:rPr>
        <w:t xml:space="preserve"> </w:t>
      </w:r>
      <w:r w:rsidR="00965E08" w:rsidRPr="00282AC9">
        <w:rPr>
          <w:rFonts w:hint="cs"/>
          <w:sz w:val="27"/>
          <w:rtl/>
        </w:rPr>
        <w:t>والعترة</w:t>
      </w:r>
      <w:r w:rsidR="00965E08" w:rsidRPr="00282AC9">
        <w:rPr>
          <w:sz w:val="27"/>
          <w:rtl/>
        </w:rPr>
        <w:t xml:space="preserve"> </w:t>
      </w:r>
      <w:r w:rsidR="00965E08" w:rsidRPr="00282AC9">
        <w:rPr>
          <w:rFonts w:hint="cs"/>
          <w:sz w:val="27"/>
          <w:rtl/>
        </w:rPr>
        <w:t>في</w:t>
      </w:r>
      <w:r w:rsidR="00965E08" w:rsidRPr="00282AC9">
        <w:rPr>
          <w:sz w:val="27"/>
          <w:rtl/>
        </w:rPr>
        <w:t xml:space="preserve"> </w:t>
      </w:r>
      <w:r w:rsidR="00965E08" w:rsidRPr="00282AC9">
        <w:rPr>
          <w:rFonts w:hint="cs"/>
          <w:sz w:val="27"/>
          <w:rtl/>
        </w:rPr>
        <w:t>فهم</w:t>
      </w:r>
      <w:r w:rsidR="00965E08" w:rsidRPr="00282AC9">
        <w:rPr>
          <w:sz w:val="27"/>
          <w:rtl/>
        </w:rPr>
        <w:t xml:space="preserve"> </w:t>
      </w:r>
      <w:r w:rsidR="00965E08" w:rsidRPr="00282AC9">
        <w:rPr>
          <w:rFonts w:hint="cs"/>
          <w:sz w:val="27"/>
          <w:rtl/>
        </w:rPr>
        <w:t>مشروع</w:t>
      </w:r>
      <w:r w:rsidR="00965E08" w:rsidRPr="00282AC9">
        <w:rPr>
          <w:sz w:val="27"/>
          <w:rtl/>
        </w:rPr>
        <w:t xml:space="preserve"> </w:t>
      </w:r>
      <w:r w:rsidR="00965E08" w:rsidRPr="00282AC9">
        <w:rPr>
          <w:rFonts w:hint="cs"/>
          <w:sz w:val="27"/>
          <w:rtl/>
        </w:rPr>
        <w:t>ال</w:t>
      </w:r>
      <w:r w:rsidRPr="00282AC9">
        <w:rPr>
          <w:rFonts w:hint="cs"/>
          <w:sz w:val="27"/>
          <w:rtl/>
        </w:rPr>
        <w:t>إ</w:t>
      </w:r>
      <w:r w:rsidR="00965E08" w:rsidRPr="00282AC9">
        <w:rPr>
          <w:rFonts w:hint="cs"/>
          <w:sz w:val="27"/>
          <w:rtl/>
        </w:rPr>
        <w:t>مام الحسين</w:t>
      </w:r>
      <w:r w:rsidR="009A2A04" w:rsidRPr="00282AC9">
        <w:rPr>
          <w:rFonts w:cs="Mosawi" w:hint="cs"/>
          <w:sz w:val="22"/>
          <w:szCs w:val="22"/>
          <w:rtl/>
        </w:rPr>
        <w:t>×</w:t>
      </w:r>
      <w:r w:rsidR="00965E08" w:rsidRPr="00282AC9">
        <w:rPr>
          <w:sz w:val="27"/>
          <w:rtl/>
        </w:rPr>
        <w:t xml:space="preserve">. </w:t>
      </w:r>
    </w:p>
    <w:p w:rsidR="00965E08" w:rsidRPr="00282AC9" w:rsidRDefault="00965E08" w:rsidP="003062B7">
      <w:pPr>
        <w:rPr>
          <w:sz w:val="27"/>
          <w:rtl/>
        </w:rPr>
      </w:pPr>
      <w:r w:rsidRPr="00282AC9">
        <w:rPr>
          <w:rFonts w:hint="cs"/>
          <w:sz w:val="27"/>
          <w:rtl/>
        </w:rPr>
        <w:t>لكن</w:t>
      </w:r>
      <w:r w:rsidR="007242BB" w:rsidRPr="00282AC9">
        <w:rPr>
          <w:rFonts w:hint="cs"/>
          <w:sz w:val="27"/>
          <w:rtl/>
        </w:rPr>
        <w:t>ْ</w:t>
      </w:r>
      <w:r w:rsidRPr="00282AC9">
        <w:rPr>
          <w:sz w:val="27"/>
          <w:rtl/>
        </w:rPr>
        <w:t xml:space="preserve"> </w:t>
      </w:r>
      <w:r w:rsidRPr="00282AC9">
        <w:rPr>
          <w:rFonts w:hint="cs"/>
          <w:sz w:val="27"/>
          <w:rtl/>
        </w:rPr>
        <w:t>إن</w:t>
      </w:r>
      <w:r w:rsidR="007242BB" w:rsidRPr="00282AC9">
        <w:rPr>
          <w:rFonts w:hint="cs"/>
          <w:sz w:val="27"/>
          <w:rtl/>
        </w:rPr>
        <w:t>ْ</w:t>
      </w:r>
      <w:r w:rsidRPr="00282AC9">
        <w:rPr>
          <w:sz w:val="27"/>
          <w:rtl/>
        </w:rPr>
        <w:t xml:space="preserve"> </w:t>
      </w:r>
      <w:r w:rsidRPr="00282AC9">
        <w:rPr>
          <w:rFonts w:hint="cs"/>
          <w:sz w:val="27"/>
          <w:rtl/>
        </w:rPr>
        <w:t>أ</w:t>
      </w:r>
      <w:r w:rsidR="007242BB" w:rsidRPr="00282AC9">
        <w:rPr>
          <w:rFonts w:hint="cs"/>
          <w:sz w:val="27"/>
          <w:rtl/>
        </w:rPr>
        <w:t>ُ</w:t>
      </w:r>
      <w:r w:rsidRPr="00282AC9">
        <w:rPr>
          <w:rFonts w:hint="cs"/>
          <w:sz w:val="27"/>
          <w:rtl/>
        </w:rPr>
        <w:t>ريد</w:t>
      </w:r>
      <w:r w:rsidRPr="00282AC9">
        <w:rPr>
          <w:sz w:val="27"/>
          <w:rtl/>
        </w:rPr>
        <w:t xml:space="preserve"> </w:t>
      </w:r>
      <w:r w:rsidRPr="00282AC9">
        <w:rPr>
          <w:rFonts w:hint="cs"/>
          <w:sz w:val="27"/>
          <w:rtl/>
        </w:rPr>
        <w:t>من</w:t>
      </w:r>
      <w:r w:rsidRPr="00282AC9">
        <w:rPr>
          <w:sz w:val="27"/>
          <w:rtl/>
        </w:rPr>
        <w:t xml:space="preserve"> </w:t>
      </w:r>
      <w:r w:rsidR="006D07DF" w:rsidRPr="00282AC9">
        <w:rPr>
          <w:rFonts w:hint="cs"/>
          <w:sz w:val="27"/>
          <w:rtl/>
        </w:rPr>
        <w:t>شعار</w:t>
      </w:r>
      <w:r w:rsidRPr="00282AC9">
        <w:rPr>
          <w:sz w:val="27"/>
          <w:rtl/>
        </w:rPr>
        <w:t xml:space="preserve"> </w:t>
      </w:r>
      <w:r w:rsidRPr="00282AC9">
        <w:rPr>
          <w:rFonts w:hint="eastAsia"/>
          <w:sz w:val="24"/>
          <w:szCs w:val="24"/>
          <w:rtl/>
        </w:rPr>
        <w:t>«</w:t>
      </w:r>
      <w:r w:rsidR="006D07DF" w:rsidRPr="00282AC9">
        <w:rPr>
          <w:rFonts w:hint="cs"/>
          <w:sz w:val="27"/>
          <w:rtl/>
        </w:rPr>
        <w:t xml:space="preserve">إن </w:t>
      </w:r>
      <w:r w:rsidRPr="00282AC9">
        <w:rPr>
          <w:rFonts w:hint="cs"/>
          <w:sz w:val="27"/>
          <w:rtl/>
        </w:rPr>
        <w:t>الدم</w:t>
      </w:r>
      <w:r w:rsidRPr="00282AC9">
        <w:rPr>
          <w:sz w:val="27"/>
          <w:rtl/>
        </w:rPr>
        <w:t xml:space="preserve"> </w:t>
      </w:r>
      <w:r w:rsidRPr="00282AC9">
        <w:rPr>
          <w:rFonts w:hint="cs"/>
          <w:sz w:val="27"/>
          <w:rtl/>
        </w:rPr>
        <w:t>ينتصر</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السيف</w:t>
      </w:r>
      <w:r w:rsidRPr="00282AC9">
        <w:rPr>
          <w:rFonts w:hint="eastAsia"/>
          <w:sz w:val="24"/>
          <w:szCs w:val="24"/>
          <w:rtl/>
        </w:rPr>
        <w:t>»</w:t>
      </w:r>
      <w:r w:rsidRPr="00282AC9">
        <w:rPr>
          <w:sz w:val="27"/>
          <w:rtl/>
        </w:rPr>
        <w:t xml:space="preserve"> </w:t>
      </w:r>
      <w:r w:rsidRPr="00282AC9">
        <w:rPr>
          <w:rFonts w:hint="cs"/>
          <w:sz w:val="27"/>
          <w:rtl/>
        </w:rPr>
        <w:t>تحق</w:t>
      </w:r>
      <w:r w:rsidR="006D07DF" w:rsidRPr="00282AC9">
        <w:rPr>
          <w:rFonts w:hint="cs"/>
          <w:sz w:val="27"/>
          <w:rtl/>
        </w:rPr>
        <w:t>ُّ</w:t>
      </w:r>
      <w:r w:rsidRPr="00282AC9">
        <w:rPr>
          <w:rFonts w:hint="cs"/>
          <w:sz w:val="27"/>
          <w:rtl/>
        </w:rPr>
        <w:t>ق</w:t>
      </w:r>
      <w:r w:rsidRPr="00282AC9">
        <w:rPr>
          <w:sz w:val="27"/>
          <w:rtl/>
        </w:rPr>
        <w:t xml:space="preserve"> </w:t>
      </w:r>
      <w:r w:rsidRPr="00282AC9">
        <w:rPr>
          <w:rFonts w:hint="cs"/>
          <w:sz w:val="27"/>
          <w:rtl/>
        </w:rPr>
        <w:t>بعض</w:t>
      </w:r>
      <w:r w:rsidRPr="00282AC9">
        <w:rPr>
          <w:sz w:val="27"/>
          <w:rtl/>
        </w:rPr>
        <w:t xml:space="preserve"> </w:t>
      </w:r>
      <w:r w:rsidRPr="00282AC9">
        <w:rPr>
          <w:rFonts w:hint="cs"/>
          <w:sz w:val="27"/>
          <w:rtl/>
        </w:rPr>
        <w:t>الأهداف،</w:t>
      </w:r>
      <w:r w:rsidRPr="00282AC9">
        <w:rPr>
          <w:sz w:val="27"/>
          <w:rtl/>
        </w:rPr>
        <w:t xml:space="preserve"> </w:t>
      </w:r>
      <w:r w:rsidR="006D07DF" w:rsidRPr="00282AC9">
        <w:rPr>
          <w:rFonts w:hint="cs"/>
          <w:sz w:val="27"/>
          <w:rtl/>
        </w:rPr>
        <w:t>لا</w:t>
      </w:r>
      <w:r w:rsidRPr="00282AC9">
        <w:rPr>
          <w:rFonts w:hint="cs"/>
          <w:sz w:val="27"/>
          <w:rtl/>
        </w:rPr>
        <w:t xml:space="preserve"> كل</w:t>
      </w:r>
      <w:r w:rsidR="006D07DF" w:rsidRPr="00282AC9">
        <w:rPr>
          <w:rFonts w:hint="cs"/>
          <w:sz w:val="27"/>
          <w:rtl/>
        </w:rPr>
        <w:t>ّ</w:t>
      </w:r>
      <w:r w:rsidRPr="00282AC9">
        <w:rPr>
          <w:sz w:val="27"/>
          <w:rtl/>
        </w:rPr>
        <w:t xml:space="preserve"> </w:t>
      </w:r>
      <w:r w:rsidRPr="00282AC9">
        <w:rPr>
          <w:rFonts w:hint="cs"/>
          <w:sz w:val="27"/>
          <w:rtl/>
        </w:rPr>
        <w:t>الأهداف</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لأجلها</w:t>
      </w:r>
      <w:r w:rsidRPr="00282AC9">
        <w:rPr>
          <w:sz w:val="27"/>
          <w:rtl/>
        </w:rPr>
        <w:t xml:space="preserve"> </w:t>
      </w:r>
      <w:r w:rsidRPr="00282AC9">
        <w:rPr>
          <w:rFonts w:hint="cs"/>
          <w:sz w:val="27"/>
          <w:rtl/>
        </w:rPr>
        <w:t>س</w:t>
      </w:r>
      <w:r w:rsidR="006D07DF" w:rsidRPr="00282AC9">
        <w:rPr>
          <w:rFonts w:hint="cs"/>
          <w:sz w:val="27"/>
          <w:rtl/>
        </w:rPr>
        <w:t>ُ</w:t>
      </w:r>
      <w:r w:rsidRPr="00282AC9">
        <w:rPr>
          <w:rFonts w:hint="cs"/>
          <w:sz w:val="27"/>
          <w:rtl/>
        </w:rPr>
        <w:t>فكت</w:t>
      </w:r>
      <w:r w:rsidRPr="00282AC9">
        <w:rPr>
          <w:sz w:val="27"/>
          <w:rtl/>
        </w:rPr>
        <w:t xml:space="preserve"> </w:t>
      </w:r>
      <w:r w:rsidRPr="00282AC9">
        <w:rPr>
          <w:rFonts w:hint="cs"/>
          <w:sz w:val="27"/>
          <w:rtl/>
        </w:rPr>
        <w:t>الدماء</w:t>
      </w:r>
      <w:r w:rsidR="006D07DF" w:rsidRPr="00282AC9">
        <w:rPr>
          <w:rFonts w:hint="cs"/>
          <w:sz w:val="27"/>
          <w:rtl/>
        </w:rPr>
        <w:t>؛</w:t>
      </w:r>
      <w:r w:rsidRPr="00282AC9">
        <w:rPr>
          <w:sz w:val="27"/>
          <w:rtl/>
        </w:rPr>
        <w:t xml:space="preserve"> </w:t>
      </w:r>
      <w:r w:rsidRPr="00282AC9">
        <w:rPr>
          <w:rFonts w:hint="cs"/>
          <w:sz w:val="27"/>
          <w:rtl/>
        </w:rPr>
        <w:t>أو</w:t>
      </w:r>
      <w:r w:rsidRPr="00282AC9">
        <w:rPr>
          <w:sz w:val="27"/>
          <w:rtl/>
        </w:rPr>
        <w:t xml:space="preserve"> </w:t>
      </w:r>
      <w:r w:rsidRPr="00282AC9">
        <w:rPr>
          <w:rFonts w:hint="cs"/>
          <w:sz w:val="27"/>
          <w:rtl/>
        </w:rPr>
        <w:t>أن</w:t>
      </w:r>
      <w:r w:rsidRPr="00282AC9">
        <w:rPr>
          <w:sz w:val="27"/>
          <w:rtl/>
        </w:rPr>
        <w:t xml:space="preserve"> </w:t>
      </w:r>
      <w:r w:rsidRPr="00282AC9">
        <w:rPr>
          <w:rFonts w:hint="cs"/>
          <w:sz w:val="27"/>
          <w:rtl/>
        </w:rPr>
        <w:t>الشخص</w:t>
      </w:r>
      <w:r w:rsidRPr="00282AC9">
        <w:rPr>
          <w:sz w:val="27"/>
          <w:rtl/>
        </w:rPr>
        <w:t xml:space="preserve"> </w:t>
      </w:r>
      <w:r w:rsidRPr="00282AC9">
        <w:rPr>
          <w:rFonts w:hint="cs"/>
          <w:sz w:val="27"/>
          <w:rtl/>
        </w:rPr>
        <w:t>أو</w:t>
      </w:r>
      <w:r w:rsidRPr="00282AC9">
        <w:rPr>
          <w:sz w:val="27"/>
          <w:rtl/>
        </w:rPr>
        <w:t xml:space="preserve"> </w:t>
      </w:r>
      <w:r w:rsidRPr="00282AC9">
        <w:rPr>
          <w:rFonts w:hint="cs"/>
          <w:sz w:val="27"/>
          <w:rtl/>
        </w:rPr>
        <w:t>المجتمع</w:t>
      </w:r>
      <w:r w:rsidRPr="00282AC9">
        <w:rPr>
          <w:sz w:val="27"/>
          <w:rtl/>
        </w:rPr>
        <w:t xml:space="preserve"> </w:t>
      </w:r>
      <w:r w:rsidRPr="00282AC9">
        <w:rPr>
          <w:rFonts w:hint="cs"/>
          <w:sz w:val="27"/>
          <w:rtl/>
        </w:rPr>
        <w:t>حين</w:t>
      </w:r>
      <w:r w:rsidRPr="00282AC9">
        <w:rPr>
          <w:sz w:val="27"/>
          <w:rtl/>
        </w:rPr>
        <w:t xml:space="preserve"> </w:t>
      </w:r>
      <w:r w:rsidRPr="00282AC9">
        <w:rPr>
          <w:rFonts w:hint="cs"/>
          <w:sz w:val="27"/>
          <w:rtl/>
        </w:rPr>
        <w:t>يت</w:t>
      </w:r>
      <w:r w:rsidR="006D07DF" w:rsidRPr="00282AC9">
        <w:rPr>
          <w:rFonts w:hint="cs"/>
          <w:sz w:val="27"/>
          <w:rtl/>
        </w:rPr>
        <w:t>َّ</w:t>
      </w:r>
      <w:r w:rsidRPr="00282AC9">
        <w:rPr>
          <w:rFonts w:hint="cs"/>
          <w:sz w:val="27"/>
          <w:rtl/>
        </w:rPr>
        <w:t>خذ</w:t>
      </w:r>
      <w:r w:rsidRPr="00282AC9">
        <w:rPr>
          <w:sz w:val="27"/>
          <w:rtl/>
        </w:rPr>
        <w:t xml:space="preserve"> </w:t>
      </w:r>
      <w:r w:rsidRPr="00282AC9">
        <w:rPr>
          <w:rFonts w:hint="cs"/>
          <w:sz w:val="27"/>
          <w:rtl/>
        </w:rPr>
        <w:t>المظلومية</w:t>
      </w:r>
      <w:r w:rsidRPr="00282AC9">
        <w:rPr>
          <w:sz w:val="27"/>
          <w:rtl/>
        </w:rPr>
        <w:t xml:space="preserve"> </w:t>
      </w:r>
      <w:r w:rsidRPr="00282AC9">
        <w:rPr>
          <w:rFonts w:hint="cs"/>
          <w:sz w:val="27"/>
          <w:rtl/>
        </w:rPr>
        <w:t>سبيلاً</w:t>
      </w:r>
      <w:r w:rsidRPr="00282AC9">
        <w:rPr>
          <w:sz w:val="27"/>
          <w:rtl/>
        </w:rPr>
        <w:t xml:space="preserve"> </w:t>
      </w:r>
      <w:r w:rsidRPr="00282AC9">
        <w:rPr>
          <w:rFonts w:hint="cs"/>
          <w:sz w:val="27"/>
          <w:rtl/>
        </w:rPr>
        <w:t>لتحقيق</w:t>
      </w:r>
      <w:r w:rsidRPr="00282AC9">
        <w:rPr>
          <w:sz w:val="27"/>
          <w:rtl/>
        </w:rPr>
        <w:t xml:space="preserve"> </w:t>
      </w:r>
      <w:r w:rsidRPr="00282AC9">
        <w:rPr>
          <w:rFonts w:hint="cs"/>
          <w:sz w:val="27"/>
          <w:rtl/>
        </w:rPr>
        <w:t>أهدافه</w:t>
      </w:r>
      <w:r w:rsidRPr="00282AC9">
        <w:rPr>
          <w:sz w:val="27"/>
          <w:rtl/>
        </w:rPr>
        <w:t xml:space="preserve"> </w:t>
      </w:r>
      <w:r w:rsidRPr="00282AC9">
        <w:rPr>
          <w:rFonts w:hint="cs"/>
          <w:sz w:val="27"/>
          <w:rtl/>
        </w:rPr>
        <w:t>فإنه</w:t>
      </w:r>
      <w:r w:rsidRPr="00282AC9">
        <w:rPr>
          <w:sz w:val="27"/>
          <w:rtl/>
        </w:rPr>
        <w:t xml:space="preserve"> </w:t>
      </w:r>
      <w:r w:rsidRPr="00282AC9">
        <w:rPr>
          <w:rFonts w:hint="cs"/>
          <w:sz w:val="27"/>
          <w:rtl/>
        </w:rPr>
        <w:t>سينجح</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بعضها</w:t>
      </w:r>
      <w:r w:rsidRPr="00282AC9">
        <w:rPr>
          <w:sz w:val="27"/>
          <w:rtl/>
        </w:rPr>
        <w:t xml:space="preserve"> </w:t>
      </w:r>
      <w:r w:rsidRPr="00282AC9">
        <w:rPr>
          <w:rFonts w:hint="cs"/>
          <w:sz w:val="27"/>
          <w:rtl/>
        </w:rPr>
        <w:t>أو</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كل</w:t>
      </w:r>
      <w:r w:rsidR="006D07DF" w:rsidRPr="00282AC9">
        <w:rPr>
          <w:rFonts w:hint="cs"/>
          <w:sz w:val="27"/>
          <w:rtl/>
        </w:rPr>
        <w:t>ّ</w:t>
      </w:r>
      <w:r w:rsidRPr="00282AC9">
        <w:rPr>
          <w:rFonts w:hint="cs"/>
          <w:sz w:val="27"/>
          <w:rtl/>
        </w:rPr>
        <w:t>ها</w:t>
      </w:r>
      <w:r w:rsidR="006D07DF" w:rsidRPr="00282AC9">
        <w:rPr>
          <w:rFonts w:hint="cs"/>
          <w:sz w:val="27"/>
          <w:rtl/>
        </w:rPr>
        <w:t>،</w:t>
      </w:r>
      <w:r w:rsidRPr="00282AC9">
        <w:rPr>
          <w:sz w:val="27"/>
          <w:rtl/>
        </w:rPr>
        <w:t xml:space="preserve"> </w:t>
      </w:r>
      <w:r w:rsidRPr="00282AC9">
        <w:rPr>
          <w:rFonts w:hint="cs"/>
          <w:sz w:val="27"/>
          <w:rtl/>
        </w:rPr>
        <w:t>فتتحق</w:t>
      </w:r>
      <w:r w:rsidR="006D07DF" w:rsidRPr="00282AC9">
        <w:rPr>
          <w:rFonts w:hint="cs"/>
          <w:sz w:val="27"/>
          <w:rtl/>
        </w:rPr>
        <w:t>َّ</w:t>
      </w:r>
      <w:r w:rsidRPr="00282AC9">
        <w:rPr>
          <w:rFonts w:hint="cs"/>
          <w:sz w:val="27"/>
          <w:rtl/>
        </w:rPr>
        <w:t>ق</w:t>
      </w:r>
      <w:r w:rsidRPr="00282AC9">
        <w:rPr>
          <w:sz w:val="27"/>
          <w:rtl/>
        </w:rPr>
        <w:t xml:space="preserve"> </w:t>
      </w:r>
      <w:r w:rsidRPr="00282AC9">
        <w:rPr>
          <w:rFonts w:hint="cs"/>
          <w:sz w:val="27"/>
          <w:rtl/>
        </w:rPr>
        <w:t>الأهداف</w:t>
      </w:r>
      <w:r w:rsidRPr="00282AC9">
        <w:rPr>
          <w:sz w:val="27"/>
          <w:rtl/>
        </w:rPr>
        <w:t xml:space="preserve"> </w:t>
      </w:r>
      <w:r w:rsidRPr="00282AC9">
        <w:rPr>
          <w:rFonts w:hint="cs"/>
          <w:sz w:val="27"/>
          <w:rtl/>
        </w:rPr>
        <w:t>بنحوٍ</w:t>
      </w:r>
      <w:r w:rsidRPr="00282AC9">
        <w:rPr>
          <w:sz w:val="27"/>
          <w:rtl/>
        </w:rPr>
        <w:t xml:space="preserve"> </w:t>
      </w:r>
      <w:r w:rsidRPr="00282AC9">
        <w:rPr>
          <w:rFonts w:hint="cs"/>
          <w:sz w:val="27"/>
          <w:rtl/>
        </w:rPr>
        <w:t>جزئي</w:t>
      </w:r>
      <w:r w:rsidR="006D07DF" w:rsidRPr="00282AC9">
        <w:rPr>
          <w:rFonts w:hint="cs"/>
          <w:sz w:val="27"/>
          <w:rtl/>
        </w:rPr>
        <w:t>ّ</w:t>
      </w:r>
      <w:r w:rsidRPr="00282AC9">
        <w:rPr>
          <w:sz w:val="27"/>
          <w:rtl/>
        </w:rPr>
        <w:t xml:space="preserve"> </w:t>
      </w:r>
      <w:r w:rsidRPr="00282AC9">
        <w:rPr>
          <w:rFonts w:hint="cs"/>
          <w:sz w:val="27"/>
          <w:rtl/>
        </w:rPr>
        <w:t>أو</w:t>
      </w:r>
      <w:r w:rsidRPr="00282AC9">
        <w:rPr>
          <w:sz w:val="27"/>
          <w:rtl/>
        </w:rPr>
        <w:t xml:space="preserve"> </w:t>
      </w:r>
      <w:r w:rsidRPr="00282AC9">
        <w:rPr>
          <w:rFonts w:hint="cs"/>
          <w:sz w:val="27"/>
          <w:rtl/>
        </w:rPr>
        <w:t>بنحوٍ</w:t>
      </w:r>
      <w:r w:rsidRPr="00282AC9">
        <w:rPr>
          <w:sz w:val="27"/>
          <w:rtl/>
        </w:rPr>
        <w:t xml:space="preserve"> </w:t>
      </w:r>
      <w:r w:rsidRPr="00282AC9">
        <w:rPr>
          <w:rFonts w:hint="cs"/>
          <w:sz w:val="27"/>
          <w:rtl/>
        </w:rPr>
        <w:t>كل</w:t>
      </w:r>
      <w:r w:rsidR="006D07DF" w:rsidRPr="00282AC9">
        <w:rPr>
          <w:rFonts w:hint="cs"/>
          <w:sz w:val="27"/>
          <w:rtl/>
        </w:rPr>
        <w:t>ِّ</w:t>
      </w:r>
      <w:r w:rsidRPr="00282AC9">
        <w:rPr>
          <w:rFonts w:hint="cs"/>
          <w:sz w:val="27"/>
          <w:rtl/>
        </w:rPr>
        <w:t>ي</w:t>
      </w:r>
      <w:r w:rsidR="006D07DF" w:rsidRPr="00282AC9">
        <w:rPr>
          <w:rFonts w:hint="cs"/>
          <w:sz w:val="27"/>
          <w:rtl/>
        </w:rPr>
        <w:t>،</w:t>
      </w:r>
      <w:r w:rsidRPr="00282AC9">
        <w:rPr>
          <w:sz w:val="27"/>
          <w:rtl/>
        </w:rPr>
        <w:t xml:space="preserve"> </w:t>
      </w:r>
      <w:r w:rsidRPr="00282AC9">
        <w:rPr>
          <w:rFonts w:hint="cs"/>
          <w:sz w:val="27"/>
          <w:rtl/>
        </w:rPr>
        <w:t>ويطلق</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هذا</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والانتصار،</w:t>
      </w:r>
      <w:r w:rsidRPr="00282AC9">
        <w:rPr>
          <w:sz w:val="27"/>
          <w:rtl/>
        </w:rPr>
        <w:t xml:space="preserve"> </w:t>
      </w:r>
      <w:r w:rsidR="00D26C9A" w:rsidRPr="00282AC9">
        <w:rPr>
          <w:rFonts w:hint="cs"/>
          <w:sz w:val="27"/>
          <w:rtl/>
        </w:rPr>
        <w:t>ويكون</w:t>
      </w:r>
      <w:r w:rsidRPr="00282AC9">
        <w:rPr>
          <w:sz w:val="27"/>
          <w:rtl/>
        </w:rPr>
        <w:t xml:space="preserve"> </w:t>
      </w:r>
      <w:r w:rsidRPr="00282AC9">
        <w:rPr>
          <w:rFonts w:hint="cs"/>
          <w:sz w:val="27"/>
          <w:rtl/>
        </w:rPr>
        <w:t>الإطلاق</w:t>
      </w:r>
      <w:r w:rsidRPr="00282AC9">
        <w:rPr>
          <w:sz w:val="27"/>
          <w:rtl/>
        </w:rPr>
        <w:t xml:space="preserve"> </w:t>
      </w:r>
      <w:r w:rsidRPr="00282AC9">
        <w:rPr>
          <w:rFonts w:hint="cs"/>
          <w:sz w:val="27"/>
          <w:rtl/>
        </w:rPr>
        <w:t>مجازي</w:t>
      </w:r>
      <w:r w:rsidR="006D07DF" w:rsidRPr="00282AC9">
        <w:rPr>
          <w:rFonts w:hint="cs"/>
          <w:sz w:val="27"/>
          <w:rtl/>
        </w:rPr>
        <w:t>ّ</w:t>
      </w:r>
      <w:r w:rsidR="00D26C9A" w:rsidRPr="00282AC9">
        <w:rPr>
          <w:rFonts w:hint="cs"/>
          <w:sz w:val="27"/>
          <w:rtl/>
        </w:rPr>
        <w:t>اً</w:t>
      </w:r>
      <w:r w:rsidR="006D07DF" w:rsidRPr="00282AC9">
        <w:rPr>
          <w:rFonts w:hint="cs"/>
          <w:sz w:val="27"/>
          <w:rtl/>
        </w:rPr>
        <w:t>،</w:t>
      </w:r>
      <w:r w:rsidRPr="00282AC9">
        <w:rPr>
          <w:sz w:val="27"/>
          <w:rtl/>
        </w:rPr>
        <w:t xml:space="preserve"> </w:t>
      </w:r>
      <w:r w:rsidR="00D26C9A" w:rsidRPr="00282AC9">
        <w:rPr>
          <w:rFonts w:hint="cs"/>
          <w:sz w:val="27"/>
          <w:rtl/>
        </w:rPr>
        <w:t>ف</w:t>
      </w:r>
      <w:r w:rsidRPr="00282AC9">
        <w:rPr>
          <w:rFonts w:hint="cs"/>
          <w:sz w:val="27"/>
          <w:rtl/>
        </w:rPr>
        <w:t>حينئذٍ</w:t>
      </w:r>
      <w:r w:rsidRPr="00282AC9">
        <w:rPr>
          <w:sz w:val="27"/>
          <w:rtl/>
        </w:rPr>
        <w:t xml:space="preserve"> </w:t>
      </w:r>
      <w:r w:rsidRPr="00282AC9">
        <w:rPr>
          <w:rFonts w:hint="cs"/>
          <w:sz w:val="27"/>
          <w:rtl/>
        </w:rPr>
        <w:t>لا</w:t>
      </w:r>
      <w:r w:rsidRPr="00282AC9">
        <w:rPr>
          <w:sz w:val="27"/>
          <w:rtl/>
        </w:rPr>
        <w:t xml:space="preserve"> </w:t>
      </w:r>
      <w:r w:rsidRPr="00282AC9">
        <w:rPr>
          <w:rFonts w:hint="cs"/>
          <w:sz w:val="27"/>
          <w:rtl/>
        </w:rPr>
        <w:t>إشكال</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الأمر</w:t>
      </w:r>
      <w:r w:rsidRPr="00282AC9">
        <w:rPr>
          <w:sz w:val="27"/>
          <w:rtl/>
        </w:rPr>
        <w:t>.</w:t>
      </w:r>
    </w:p>
    <w:p w:rsidR="00965E08" w:rsidRPr="00282AC9" w:rsidRDefault="00D26C9A" w:rsidP="003062B7">
      <w:pPr>
        <w:rPr>
          <w:sz w:val="27"/>
          <w:rtl/>
        </w:rPr>
      </w:pPr>
      <w:r w:rsidRPr="00282AC9">
        <w:rPr>
          <w:rFonts w:hint="cs"/>
          <w:sz w:val="27"/>
          <w:rtl/>
        </w:rPr>
        <w:t>و</w:t>
      </w:r>
      <w:r w:rsidR="00965E08" w:rsidRPr="00282AC9">
        <w:rPr>
          <w:rFonts w:hint="cs"/>
          <w:sz w:val="27"/>
          <w:rtl/>
        </w:rPr>
        <w:t>تأريخ</w:t>
      </w:r>
      <w:r w:rsidR="00965E08" w:rsidRPr="00282AC9">
        <w:rPr>
          <w:sz w:val="27"/>
          <w:rtl/>
        </w:rPr>
        <w:t xml:space="preserve"> </w:t>
      </w:r>
      <w:r w:rsidR="00965E08" w:rsidRPr="00282AC9">
        <w:rPr>
          <w:rFonts w:hint="cs"/>
          <w:sz w:val="27"/>
          <w:rtl/>
        </w:rPr>
        <w:t>البشرية</w:t>
      </w:r>
      <w:r w:rsidR="00965E08" w:rsidRPr="00282AC9">
        <w:rPr>
          <w:sz w:val="27"/>
          <w:rtl/>
        </w:rPr>
        <w:t xml:space="preserve"> </w:t>
      </w:r>
      <w:r w:rsidR="00965E08" w:rsidRPr="00282AC9">
        <w:rPr>
          <w:rFonts w:hint="cs"/>
          <w:sz w:val="27"/>
          <w:rtl/>
        </w:rPr>
        <w:t>حافلٌ</w:t>
      </w:r>
      <w:r w:rsidR="00965E08" w:rsidRPr="00282AC9">
        <w:rPr>
          <w:sz w:val="27"/>
          <w:rtl/>
        </w:rPr>
        <w:t xml:space="preserve"> </w:t>
      </w:r>
      <w:r w:rsidR="00965E08" w:rsidRPr="00282AC9">
        <w:rPr>
          <w:rFonts w:hint="cs"/>
          <w:sz w:val="27"/>
          <w:rtl/>
        </w:rPr>
        <w:t>بهذه</w:t>
      </w:r>
      <w:r w:rsidR="00965E08" w:rsidRPr="00282AC9">
        <w:rPr>
          <w:sz w:val="27"/>
          <w:rtl/>
        </w:rPr>
        <w:t xml:space="preserve"> </w:t>
      </w:r>
      <w:r w:rsidR="00965E08" w:rsidRPr="00282AC9">
        <w:rPr>
          <w:rFonts w:hint="cs"/>
          <w:sz w:val="27"/>
          <w:rtl/>
        </w:rPr>
        <w:t>الحقيقة</w:t>
      </w:r>
      <w:r w:rsidRPr="00282AC9">
        <w:rPr>
          <w:rFonts w:hint="cs"/>
          <w:sz w:val="27"/>
          <w:rtl/>
        </w:rPr>
        <w:t>،</w:t>
      </w:r>
      <w:r w:rsidR="00965E08" w:rsidRPr="00282AC9">
        <w:rPr>
          <w:sz w:val="27"/>
          <w:rtl/>
        </w:rPr>
        <w:t xml:space="preserve"> </w:t>
      </w:r>
      <w:r w:rsidR="00965E08" w:rsidRPr="00282AC9">
        <w:rPr>
          <w:rFonts w:hint="cs"/>
          <w:sz w:val="27"/>
          <w:rtl/>
        </w:rPr>
        <w:t>قبل</w:t>
      </w:r>
      <w:r w:rsidR="00965E08" w:rsidRPr="00282AC9">
        <w:rPr>
          <w:sz w:val="27"/>
          <w:rtl/>
        </w:rPr>
        <w:t xml:space="preserve"> </w:t>
      </w:r>
      <w:r w:rsidR="00965E08" w:rsidRPr="00282AC9">
        <w:rPr>
          <w:rFonts w:hint="cs"/>
          <w:sz w:val="27"/>
          <w:rtl/>
        </w:rPr>
        <w:t>الإسلام</w:t>
      </w:r>
      <w:r w:rsidR="00965E08" w:rsidRPr="00282AC9">
        <w:rPr>
          <w:sz w:val="27"/>
          <w:rtl/>
        </w:rPr>
        <w:t xml:space="preserve"> </w:t>
      </w:r>
      <w:r w:rsidR="00965E08" w:rsidRPr="00282AC9">
        <w:rPr>
          <w:rFonts w:hint="cs"/>
          <w:sz w:val="27"/>
          <w:rtl/>
        </w:rPr>
        <w:t>وبعد</w:t>
      </w:r>
      <w:r w:rsidR="00965E08" w:rsidRPr="00282AC9">
        <w:rPr>
          <w:sz w:val="27"/>
          <w:rtl/>
        </w:rPr>
        <w:t xml:space="preserve"> </w:t>
      </w:r>
      <w:r w:rsidR="00965E08" w:rsidRPr="00282AC9">
        <w:rPr>
          <w:rFonts w:hint="cs"/>
          <w:sz w:val="27"/>
          <w:rtl/>
        </w:rPr>
        <w:t>الإسلام</w:t>
      </w:r>
      <w:r w:rsidR="00965E08" w:rsidRPr="00282AC9">
        <w:rPr>
          <w:sz w:val="27"/>
          <w:rtl/>
        </w:rPr>
        <w:t xml:space="preserve">. </w:t>
      </w:r>
      <w:r w:rsidR="00965E08" w:rsidRPr="00282AC9">
        <w:rPr>
          <w:rFonts w:hint="cs"/>
          <w:sz w:val="27"/>
          <w:rtl/>
        </w:rPr>
        <w:t>فلطالما</w:t>
      </w:r>
      <w:r w:rsidR="00965E08" w:rsidRPr="00282AC9">
        <w:rPr>
          <w:sz w:val="27"/>
          <w:rtl/>
        </w:rPr>
        <w:t xml:space="preserve"> </w:t>
      </w:r>
      <w:r w:rsidR="00965E08" w:rsidRPr="00282AC9">
        <w:rPr>
          <w:rFonts w:hint="cs"/>
          <w:sz w:val="27"/>
          <w:rtl/>
        </w:rPr>
        <w:t>تسفك</w:t>
      </w:r>
      <w:r w:rsidR="00965E08" w:rsidRPr="00282AC9">
        <w:rPr>
          <w:sz w:val="27"/>
          <w:rtl/>
        </w:rPr>
        <w:t xml:space="preserve"> </w:t>
      </w:r>
      <w:r w:rsidR="00965E08" w:rsidRPr="00282AC9">
        <w:rPr>
          <w:rFonts w:hint="cs"/>
          <w:sz w:val="27"/>
          <w:rtl/>
        </w:rPr>
        <w:t>الدماء</w:t>
      </w:r>
      <w:r w:rsidR="00965E08" w:rsidRPr="00282AC9">
        <w:rPr>
          <w:sz w:val="27"/>
          <w:rtl/>
        </w:rPr>
        <w:t xml:space="preserve"> </w:t>
      </w:r>
      <w:r w:rsidR="00965E08" w:rsidRPr="00282AC9">
        <w:rPr>
          <w:rFonts w:hint="cs"/>
          <w:sz w:val="27"/>
          <w:rtl/>
        </w:rPr>
        <w:t>في</w:t>
      </w:r>
      <w:r w:rsidR="00965E08" w:rsidRPr="00282AC9">
        <w:rPr>
          <w:sz w:val="27"/>
          <w:rtl/>
        </w:rPr>
        <w:t xml:space="preserve"> </w:t>
      </w:r>
      <w:r w:rsidR="00965E08" w:rsidRPr="00282AC9">
        <w:rPr>
          <w:rFonts w:hint="cs"/>
          <w:sz w:val="27"/>
          <w:rtl/>
        </w:rPr>
        <w:t>أي</w:t>
      </w:r>
      <w:r w:rsidRPr="00282AC9">
        <w:rPr>
          <w:rFonts w:hint="cs"/>
          <w:sz w:val="27"/>
          <w:rtl/>
        </w:rPr>
        <w:t>ّ</w:t>
      </w:r>
      <w:r w:rsidR="00965E08" w:rsidRPr="00282AC9">
        <w:rPr>
          <w:sz w:val="27"/>
          <w:rtl/>
        </w:rPr>
        <w:t xml:space="preserve"> </w:t>
      </w:r>
      <w:r w:rsidR="00965E08" w:rsidRPr="00282AC9">
        <w:rPr>
          <w:rFonts w:hint="cs"/>
          <w:sz w:val="27"/>
          <w:rtl/>
        </w:rPr>
        <w:t>اتجاهٍ</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الات</w:t>
      </w:r>
      <w:r w:rsidRPr="00282AC9">
        <w:rPr>
          <w:rFonts w:hint="cs"/>
          <w:sz w:val="27"/>
          <w:rtl/>
        </w:rPr>
        <w:t>ّ</w:t>
      </w:r>
      <w:r w:rsidR="00965E08" w:rsidRPr="00282AC9">
        <w:rPr>
          <w:rFonts w:hint="cs"/>
          <w:sz w:val="27"/>
          <w:rtl/>
        </w:rPr>
        <w:t>جاهات</w:t>
      </w:r>
      <w:r w:rsidRPr="00282AC9">
        <w:rPr>
          <w:rFonts w:hint="cs"/>
          <w:sz w:val="27"/>
          <w:rtl/>
        </w:rPr>
        <w:t>.</w:t>
      </w:r>
      <w:r w:rsidR="00965E08" w:rsidRPr="00282AC9">
        <w:rPr>
          <w:sz w:val="27"/>
          <w:rtl/>
        </w:rPr>
        <w:t xml:space="preserve"> </w:t>
      </w:r>
      <w:r w:rsidR="00965E08" w:rsidRPr="00282AC9">
        <w:rPr>
          <w:rFonts w:hint="cs"/>
          <w:sz w:val="27"/>
          <w:rtl/>
        </w:rPr>
        <w:t>ولطالما</w:t>
      </w:r>
      <w:r w:rsidR="00965E08" w:rsidRPr="00282AC9">
        <w:rPr>
          <w:sz w:val="27"/>
          <w:rtl/>
        </w:rPr>
        <w:t xml:space="preserve"> </w:t>
      </w:r>
      <w:r w:rsidR="00965E08" w:rsidRPr="00282AC9">
        <w:rPr>
          <w:rFonts w:hint="cs"/>
          <w:sz w:val="27"/>
          <w:rtl/>
        </w:rPr>
        <w:t>تكون</w:t>
      </w:r>
      <w:r w:rsidR="00965E08" w:rsidRPr="00282AC9">
        <w:rPr>
          <w:sz w:val="27"/>
          <w:rtl/>
        </w:rPr>
        <w:t xml:space="preserve"> </w:t>
      </w:r>
      <w:r w:rsidR="00965E08" w:rsidRPr="00282AC9">
        <w:rPr>
          <w:rFonts w:hint="cs"/>
          <w:sz w:val="27"/>
          <w:rtl/>
        </w:rPr>
        <w:t>هناك</w:t>
      </w:r>
      <w:r w:rsidR="00965E08" w:rsidRPr="00282AC9">
        <w:rPr>
          <w:sz w:val="27"/>
          <w:rtl/>
        </w:rPr>
        <w:t xml:space="preserve"> </w:t>
      </w:r>
      <w:r w:rsidR="00965E08" w:rsidRPr="00282AC9">
        <w:rPr>
          <w:rFonts w:hint="cs"/>
          <w:sz w:val="27"/>
          <w:rtl/>
        </w:rPr>
        <w:t>مظلومي</w:t>
      </w:r>
      <w:r w:rsidRPr="00282AC9">
        <w:rPr>
          <w:rFonts w:hint="cs"/>
          <w:sz w:val="27"/>
          <w:rtl/>
        </w:rPr>
        <w:t>ّ</w:t>
      </w:r>
      <w:r w:rsidR="00965E08" w:rsidRPr="00282AC9">
        <w:rPr>
          <w:rFonts w:hint="cs"/>
          <w:sz w:val="27"/>
          <w:rtl/>
        </w:rPr>
        <w:t>ات</w:t>
      </w:r>
      <w:r w:rsidRPr="00282AC9">
        <w:rPr>
          <w:rFonts w:hint="cs"/>
          <w:sz w:val="27"/>
          <w:rtl/>
        </w:rPr>
        <w:t xml:space="preserve">ٌ. </w:t>
      </w:r>
      <w:r w:rsidR="00965E08" w:rsidRPr="00282AC9">
        <w:rPr>
          <w:rFonts w:hint="cs"/>
          <w:sz w:val="27"/>
          <w:rtl/>
        </w:rPr>
        <w:t>وبسبب</w:t>
      </w:r>
      <w:r w:rsidR="00965E08" w:rsidRPr="00282AC9">
        <w:rPr>
          <w:sz w:val="27"/>
          <w:rtl/>
        </w:rPr>
        <w:t xml:space="preserve"> </w:t>
      </w:r>
      <w:r w:rsidR="00965E08" w:rsidRPr="00282AC9">
        <w:rPr>
          <w:rFonts w:hint="cs"/>
          <w:sz w:val="27"/>
          <w:rtl/>
        </w:rPr>
        <w:t>تلك</w:t>
      </w:r>
      <w:r w:rsidR="00965E08" w:rsidRPr="00282AC9">
        <w:rPr>
          <w:sz w:val="27"/>
          <w:rtl/>
        </w:rPr>
        <w:t xml:space="preserve"> </w:t>
      </w:r>
      <w:r w:rsidR="00965E08" w:rsidRPr="00282AC9">
        <w:rPr>
          <w:rFonts w:hint="cs"/>
          <w:sz w:val="27"/>
          <w:rtl/>
        </w:rPr>
        <w:t>الدماء</w:t>
      </w:r>
      <w:r w:rsidR="00965E08" w:rsidRPr="00282AC9">
        <w:rPr>
          <w:sz w:val="27"/>
          <w:rtl/>
        </w:rPr>
        <w:t xml:space="preserve"> </w:t>
      </w:r>
      <w:r w:rsidR="00965E08" w:rsidRPr="00282AC9">
        <w:rPr>
          <w:rFonts w:hint="cs"/>
          <w:sz w:val="27"/>
          <w:rtl/>
        </w:rPr>
        <w:t>أو</w:t>
      </w:r>
      <w:r w:rsidR="00965E08" w:rsidRPr="00282AC9">
        <w:rPr>
          <w:sz w:val="27"/>
          <w:rtl/>
        </w:rPr>
        <w:t xml:space="preserve"> </w:t>
      </w:r>
      <w:r w:rsidR="00965E08" w:rsidRPr="00282AC9">
        <w:rPr>
          <w:rFonts w:hint="cs"/>
          <w:sz w:val="27"/>
          <w:rtl/>
        </w:rPr>
        <w:t>بسبب</w:t>
      </w:r>
      <w:r w:rsidR="00965E08" w:rsidRPr="00282AC9">
        <w:rPr>
          <w:sz w:val="27"/>
          <w:rtl/>
        </w:rPr>
        <w:t xml:space="preserve"> </w:t>
      </w:r>
      <w:r w:rsidR="00965E08" w:rsidRPr="00282AC9">
        <w:rPr>
          <w:rFonts w:hint="cs"/>
          <w:sz w:val="27"/>
          <w:rtl/>
        </w:rPr>
        <w:t>تلك</w:t>
      </w:r>
      <w:r w:rsidR="00965E08" w:rsidRPr="00282AC9">
        <w:rPr>
          <w:sz w:val="27"/>
          <w:rtl/>
        </w:rPr>
        <w:t xml:space="preserve"> </w:t>
      </w:r>
      <w:r w:rsidR="00965E08" w:rsidRPr="00282AC9">
        <w:rPr>
          <w:rFonts w:hint="cs"/>
          <w:sz w:val="27"/>
          <w:rtl/>
        </w:rPr>
        <w:t>المظلومي</w:t>
      </w:r>
      <w:r w:rsidRPr="00282AC9">
        <w:rPr>
          <w:rFonts w:hint="cs"/>
          <w:sz w:val="27"/>
          <w:rtl/>
        </w:rPr>
        <w:t>ّ</w:t>
      </w:r>
      <w:r w:rsidR="00965E08" w:rsidRPr="00282AC9">
        <w:rPr>
          <w:rFonts w:hint="cs"/>
          <w:sz w:val="27"/>
          <w:rtl/>
        </w:rPr>
        <w:t>ات</w:t>
      </w:r>
      <w:r w:rsidR="00965E08" w:rsidRPr="00282AC9">
        <w:rPr>
          <w:sz w:val="27"/>
          <w:rtl/>
        </w:rPr>
        <w:t xml:space="preserve"> </w:t>
      </w:r>
      <w:r w:rsidR="00965E08" w:rsidRPr="00282AC9">
        <w:rPr>
          <w:rFonts w:hint="cs"/>
          <w:sz w:val="27"/>
          <w:rtl/>
        </w:rPr>
        <w:t>قد</w:t>
      </w:r>
      <w:r w:rsidR="00965E08" w:rsidRPr="00282AC9">
        <w:rPr>
          <w:sz w:val="27"/>
          <w:rtl/>
        </w:rPr>
        <w:t xml:space="preserve"> </w:t>
      </w:r>
      <w:r w:rsidR="00965E08" w:rsidRPr="00282AC9">
        <w:rPr>
          <w:rFonts w:hint="cs"/>
          <w:sz w:val="27"/>
          <w:rtl/>
        </w:rPr>
        <w:t>تتحق</w:t>
      </w:r>
      <w:r w:rsidRPr="00282AC9">
        <w:rPr>
          <w:rFonts w:hint="cs"/>
          <w:sz w:val="27"/>
          <w:rtl/>
        </w:rPr>
        <w:t>َّ</w:t>
      </w:r>
      <w:r w:rsidR="00965E08" w:rsidRPr="00282AC9">
        <w:rPr>
          <w:rFonts w:hint="cs"/>
          <w:sz w:val="27"/>
          <w:rtl/>
        </w:rPr>
        <w:t>ق</w:t>
      </w:r>
      <w:r w:rsidR="00965E08" w:rsidRPr="00282AC9">
        <w:rPr>
          <w:sz w:val="27"/>
          <w:rtl/>
        </w:rPr>
        <w:t xml:space="preserve"> </w:t>
      </w:r>
      <w:r w:rsidR="00965E08" w:rsidRPr="00282AC9">
        <w:rPr>
          <w:rFonts w:hint="cs"/>
          <w:sz w:val="27"/>
          <w:rtl/>
        </w:rPr>
        <w:t>أهداف</w:t>
      </w:r>
      <w:r w:rsidR="00965E08" w:rsidRPr="00282AC9">
        <w:rPr>
          <w:sz w:val="27"/>
          <w:rtl/>
        </w:rPr>
        <w:t xml:space="preserve"> </w:t>
      </w:r>
      <w:r w:rsidR="00965E08" w:rsidRPr="00282AC9">
        <w:rPr>
          <w:rFonts w:hint="cs"/>
          <w:sz w:val="27"/>
          <w:rtl/>
        </w:rPr>
        <w:t>الذين</w:t>
      </w:r>
      <w:r w:rsidR="00965E08" w:rsidRPr="00282AC9">
        <w:rPr>
          <w:sz w:val="27"/>
          <w:rtl/>
        </w:rPr>
        <w:t xml:space="preserve"> </w:t>
      </w:r>
      <w:r w:rsidR="00965E08" w:rsidRPr="00282AC9">
        <w:rPr>
          <w:rFonts w:hint="cs"/>
          <w:sz w:val="27"/>
          <w:rtl/>
        </w:rPr>
        <w:t>س</w:t>
      </w:r>
      <w:r w:rsidRPr="00282AC9">
        <w:rPr>
          <w:rFonts w:hint="cs"/>
          <w:sz w:val="27"/>
          <w:rtl/>
        </w:rPr>
        <w:t>ُ</w:t>
      </w:r>
      <w:r w:rsidR="00965E08" w:rsidRPr="00282AC9">
        <w:rPr>
          <w:rFonts w:hint="cs"/>
          <w:sz w:val="27"/>
          <w:rtl/>
        </w:rPr>
        <w:t>فك</w:t>
      </w:r>
      <w:r w:rsidRPr="00282AC9">
        <w:rPr>
          <w:rFonts w:hint="cs"/>
          <w:sz w:val="27"/>
          <w:rtl/>
        </w:rPr>
        <w:t>َ</w:t>
      </w:r>
      <w:r w:rsidR="00965E08" w:rsidRPr="00282AC9">
        <w:rPr>
          <w:rFonts w:hint="cs"/>
          <w:sz w:val="27"/>
          <w:rtl/>
        </w:rPr>
        <w:t>ت</w:t>
      </w:r>
      <w:r w:rsidRPr="00282AC9">
        <w:rPr>
          <w:rFonts w:hint="cs"/>
          <w:sz w:val="27"/>
          <w:rtl/>
        </w:rPr>
        <w:t>ْ</w:t>
      </w:r>
      <w:r w:rsidR="00965E08" w:rsidRPr="00282AC9">
        <w:rPr>
          <w:sz w:val="27"/>
          <w:rtl/>
        </w:rPr>
        <w:t xml:space="preserve"> </w:t>
      </w:r>
      <w:r w:rsidR="00965E08" w:rsidRPr="00282AC9">
        <w:rPr>
          <w:rFonts w:hint="cs"/>
          <w:sz w:val="27"/>
          <w:rtl/>
        </w:rPr>
        <w:t>دماؤهم</w:t>
      </w:r>
      <w:r w:rsidRPr="00282AC9">
        <w:rPr>
          <w:rFonts w:hint="cs"/>
          <w:sz w:val="27"/>
          <w:rtl/>
        </w:rPr>
        <w:t>،</w:t>
      </w:r>
      <w:r w:rsidR="00965E08" w:rsidRPr="00282AC9">
        <w:rPr>
          <w:sz w:val="27"/>
          <w:rtl/>
        </w:rPr>
        <w:t xml:space="preserve"> </w:t>
      </w:r>
      <w:r w:rsidR="00965E08" w:rsidRPr="00282AC9">
        <w:rPr>
          <w:rFonts w:hint="cs"/>
          <w:sz w:val="27"/>
          <w:rtl/>
        </w:rPr>
        <w:t>ك</w:t>
      </w:r>
      <w:r w:rsidR="00EE6DBA" w:rsidRPr="00282AC9">
        <w:rPr>
          <w:rFonts w:hint="cs"/>
          <w:sz w:val="27"/>
          <w:rtl/>
        </w:rPr>
        <w:t>لا</w:t>
      </w:r>
      <w:r w:rsidRPr="00282AC9">
        <w:rPr>
          <w:rFonts w:hint="cs"/>
          <w:sz w:val="27"/>
          <w:rtl/>
        </w:rPr>
        <w:t>ًّ</w:t>
      </w:r>
      <w:r w:rsidR="00965E08" w:rsidRPr="00282AC9">
        <w:rPr>
          <w:sz w:val="27"/>
          <w:rtl/>
        </w:rPr>
        <w:t xml:space="preserve"> </w:t>
      </w:r>
      <w:r w:rsidR="00965E08" w:rsidRPr="00282AC9">
        <w:rPr>
          <w:rFonts w:hint="cs"/>
          <w:sz w:val="27"/>
          <w:rtl/>
        </w:rPr>
        <w:t>أو</w:t>
      </w:r>
      <w:r w:rsidR="00965E08" w:rsidRPr="00282AC9">
        <w:rPr>
          <w:sz w:val="27"/>
          <w:rtl/>
        </w:rPr>
        <w:t xml:space="preserve"> </w:t>
      </w:r>
      <w:r w:rsidR="00965E08" w:rsidRPr="00282AC9">
        <w:rPr>
          <w:rFonts w:hint="cs"/>
          <w:sz w:val="27"/>
          <w:rtl/>
        </w:rPr>
        <w:t>جزءاً،</w:t>
      </w:r>
      <w:r w:rsidR="00965E08" w:rsidRPr="00282AC9">
        <w:rPr>
          <w:sz w:val="27"/>
          <w:rtl/>
        </w:rPr>
        <w:t xml:space="preserve"> </w:t>
      </w:r>
      <w:r w:rsidR="00965E08" w:rsidRPr="00282AC9">
        <w:rPr>
          <w:rFonts w:hint="cs"/>
          <w:sz w:val="27"/>
          <w:rtl/>
        </w:rPr>
        <w:t>ولكن</w:t>
      </w:r>
      <w:r w:rsidRPr="00282AC9">
        <w:rPr>
          <w:rFonts w:hint="cs"/>
          <w:sz w:val="27"/>
          <w:rtl/>
        </w:rPr>
        <w:t>ْ</w:t>
      </w:r>
      <w:r w:rsidR="00965E08" w:rsidRPr="00282AC9">
        <w:rPr>
          <w:sz w:val="27"/>
          <w:rtl/>
        </w:rPr>
        <w:t xml:space="preserve"> </w:t>
      </w:r>
      <w:r w:rsidR="00965E08" w:rsidRPr="00282AC9">
        <w:rPr>
          <w:rFonts w:hint="cs"/>
          <w:sz w:val="27"/>
          <w:rtl/>
        </w:rPr>
        <w:t>ق</w:t>
      </w:r>
      <w:r w:rsidRPr="00282AC9">
        <w:rPr>
          <w:rFonts w:hint="cs"/>
          <w:sz w:val="27"/>
          <w:rtl/>
        </w:rPr>
        <w:t>َ</w:t>
      </w:r>
      <w:r w:rsidR="00965E08" w:rsidRPr="00282AC9">
        <w:rPr>
          <w:rFonts w:hint="cs"/>
          <w:sz w:val="27"/>
          <w:rtl/>
        </w:rPr>
        <w:t>ط</w:t>
      </w:r>
      <w:r w:rsidRPr="00282AC9">
        <w:rPr>
          <w:rFonts w:hint="cs"/>
          <w:sz w:val="27"/>
          <w:rtl/>
        </w:rPr>
        <w:t>ْ</w:t>
      </w:r>
      <w:r w:rsidR="00965E08" w:rsidRPr="00282AC9">
        <w:rPr>
          <w:rFonts w:hint="cs"/>
          <w:sz w:val="27"/>
          <w:rtl/>
        </w:rPr>
        <w:t>عاً</w:t>
      </w:r>
      <w:r w:rsidR="00965E08" w:rsidRPr="00282AC9">
        <w:rPr>
          <w:sz w:val="27"/>
          <w:rtl/>
        </w:rPr>
        <w:t xml:space="preserve"> </w:t>
      </w:r>
      <w:r w:rsidR="00965E08" w:rsidRPr="00282AC9">
        <w:rPr>
          <w:rFonts w:hint="cs"/>
          <w:sz w:val="27"/>
          <w:rtl/>
        </w:rPr>
        <w:t>من</w:t>
      </w:r>
      <w:r w:rsidR="00965E08" w:rsidRPr="00282AC9">
        <w:rPr>
          <w:sz w:val="27"/>
          <w:rtl/>
        </w:rPr>
        <w:t xml:space="preserve"> </w:t>
      </w:r>
      <w:r w:rsidR="00965E08" w:rsidRPr="00282AC9">
        <w:rPr>
          <w:rFonts w:hint="cs"/>
          <w:sz w:val="27"/>
          <w:rtl/>
        </w:rPr>
        <w:t>دون</w:t>
      </w:r>
      <w:r w:rsidR="00965E08" w:rsidRPr="00282AC9">
        <w:rPr>
          <w:sz w:val="27"/>
          <w:rtl/>
        </w:rPr>
        <w:t xml:space="preserve"> </w:t>
      </w:r>
      <w:r w:rsidR="00965E08" w:rsidRPr="00282AC9">
        <w:rPr>
          <w:rFonts w:hint="cs"/>
          <w:sz w:val="27"/>
          <w:rtl/>
        </w:rPr>
        <w:t>وجودهم</w:t>
      </w:r>
      <w:r w:rsidR="00965E08" w:rsidRPr="00282AC9">
        <w:rPr>
          <w:sz w:val="27"/>
          <w:rtl/>
        </w:rPr>
        <w:t xml:space="preserve">. </w:t>
      </w:r>
      <w:r w:rsidR="00965E08" w:rsidRPr="00282AC9">
        <w:rPr>
          <w:rFonts w:hint="cs"/>
          <w:sz w:val="27"/>
          <w:rtl/>
        </w:rPr>
        <w:t>ولو</w:t>
      </w:r>
      <w:r w:rsidR="00965E08" w:rsidRPr="00282AC9">
        <w:rPr>
          <w:sz w:val="27"/>
          <w:rtl/>
        </w:rPr>
        <w:t xml:space="preserve"> </w:t>
      </w:r>
      <w:r w:rsidR="00965E08" w:rsidRPr="00282AC9">
        <w:rPr>
          <w:rFonts w:hint="cs"/>
          <w:sz w:val="27"/>
          <w:rtl/>
        </w:rPr>
        <w:t>كانوا</w:t>
      </w:r>
      <w:r w:rsidR="00965E08" w:rsidRPr="00282AC9">
        <w:rPr>
          <w:sz w:val="27"/>
          <w:rtl/>
        </w:rPr>
        <w:t xml:space="preserve"> </w:t>
      </w:r>
      <w:r w:rsidR="00965E08" w:rsidRPr="00282AC9">
        <w:rPr>
          <w:rFonts w:hint="cs"/>
          <w:sz w:val="27"/>
          <w:rtl/>
        </w:rPr>
        <w:t>موجودين</w:t>
      </w:r>
      <w:r w:rsidR="00965E08" w:rsidRPr="00282AC9">
        <w:rPr>
          <w:sz w:val="27"/>
          <w:rtl/>
        </w:rPr>
        <w:t xml:space="preserve"> </w:t>
      </w:r>
      <w:r w:rsidR="00965E08" w:rsidRPr="00282AC9">
        <w:rPr>
          <w:rFonts w:hint="cs"/>
          <w:sz w:val="27"/>
          <w:rtl/>
        </w:rPr>
        <w:t>فإن</w:t>
      </w:r>
      <w:r w:rsidRPr="00282AC9">
        <w:rPr>
          <w:rFonts w:hint="cs"/>
          <w:sz w:val="27"/>
          <w:rtl/>
        </w:rPr>
        <w:t>ّ</w:t>
      </w:r>
      <w:r w:rsidR="00965E08" w:rsidRPr="00282AC9">
        <w:rPr>
          <w:sz w:val="27"/>
          <w:rtl/>
        </w:rPr>
        <w:t xml:space="preserve"> </w:t>
      </w:r>
      <w:r w:rsidR="00965E08" w:rsidRPr="00282AC9">
        <w:rPr>
          <w:rFonts w:hint="cs"/>
          <w:sz w:val="27"/>
          <w:rtl/>
        </w:rPr>
        <w:t>إدارتهم</w:t>
      </w:r>
      <w:r w:rsidR="00965E08" w:rsidRPr="00282AC9">
        <w:rPr>
          <w:sz w:val="27"/>
          <w:rtl/>
        </w:rPr>
        <w:t xml:space="preserve"> </w:t>
      </w:r>
      <w:r w:rsidR="00965E08" w:rsidRPr="00282AC9">
        <w:rPr>
          <w:rFonts w:hint="cs"/>
          <w:sz w:val="27"/>
          <w:rtl/>
        </w:rPr>
        <w:t>لتحقيق</w:t>
      </w:r>
      <w:r w:rsidR="00965E08" w:rsidRPr="00282AC9">
        <w:rPr>
          <w:sz w:val="27"/>
          <w:rtl/>
        </w:rPr>
        <w:t xml:space="preserve"> </w:t>
      </w:r>
      <w:r w:rsidR="00965E08" w:rsidRPr="00282AC9">
        <w:rPr>
          <w:rFonts w:hint="cs"/>
          <w:sz w:val="27"/>
          <w:rtl/>
        </w:rPr>
        <w:t>الأهداف</w:t>
      </w:r>
      <w:r w:rsidR="00965E08" w:rsidRPr="00282AC9">
        <w:rPr>
          <w:sz w:val="27"/>
          <w:rtl/>
        </w:rPr>
        <w:t xml:space="preserve"> </w:t>
      </w:r>
      <w:r w:rsidR="00965E08" w:rsidRPr="00282AC9">
        <w:rPr>
          <w:rFonts w:hint="cs"/>
          <w:sz w:val="27"/>
          <w:rtl/>
        </w:rPr>
        <w:t>ق</w:t>
      </w:r>
      <w:r w:rsidRPr="00282AC9">
        <w:rPr>
          <w:rFonts w:hint="cs"/>
          <w:sz w:val="27"/>
          <w:rtl/>
        </w:rPr>
        <w:t>َ</w:t>
      </w:r>
      <w:r w:rsidR="00965E08" w:rsidRPr="00282AC9">
        <w:rPr>
          <w:rFonts w:hint="cs"/>
          <w:sz w:val="27"/>
          <w:rtl/>
        </w:rPr>
        <w:t>ط</w:t>
      </w:r>
      <w:r w:rsidRPr="00282AC9">
        <w:rPr>
          <w:rFonts w:hint="cs"/>
          <w:sz w:val="27"/>
          <w:rtl/>
        </w:rPr>
        <w:t>ْ</w:t>
      </w:r>
      <w:r w:rsidR="00965E08" w:rsidRPr="00282AC9">
        <w:rPr>
          <w:rFonts w:hint="cs"/>
          <w:sz w:val="27"/>
          <w:rtl/>
        </w:rPr>
        <w:t>عاً</w:t>
      </w:r>
      <w:r w:rsidR="00965E08" w:rsidRPr="00282AC9">
        <w:rPr>
          <w:sz w:val="27"/>
          <w:rtl/>
        </w:rPr>
        <w:t xml:space="preserve"> </w:t>
      </w:r>
      <w:r w:rsidR="00965E08" w:rsidRPr="00282AC9">
        <w:rPr>
          <w:rFonts w:hint="cs"/>
          <w:sz w:val="27"/>
          <w:rtl/>
        </w:rPr>
        <w:t>ستكون</w:t>
      </w:r>
      <w:r w:rsidR="00965E08" w:rsidRPr="00282AC9">
        <w:rPr>
          <w:sz w:val="27"/>
          <w:rtl/>
        </w:rPr>
        <w:t xml:space="preserve"> </w:t>
      </w:r>
      <w:r w:rsidR="00965E08" w:rsidRPr="00282AC9">
        <w:rPr>
          <w:rFonts w:hint="cs"/>
          <w:sz w:val="27"/>
          <w:rtl/>
        </w:rPr>
        <w:t>مختلفةً</w:t>
      </w:r>
      <w:r w:rsidR="00965E08" w:rsidRPr="00282AC9">
        <w:rPr>
          <w:sz w:val="27"/>
          <w:rtl/>
        </w:rPr>
        <w:t xml:space="preserve"> </w:t>
      </w:r>
      <w:r w:rsidR="00965E08" w:rsidRPr="00282AC9">
        <w:rPr>
          <w:rFonts w:hint="cs"/>
          <w:sz w:val="27"/>
          <w:rtl/>
        </w:rPr>
        <w:t>عن</w:t>
      </w:r>
      <w:r w:rsidR="00965E08" w:rsidRPr="00282AC9">
        <w:rPr>
          <w:sz w:val="27"/>
          <w:rtl/>
        </w:rPr>
        <w:t xml:space="preserve"> </w:t>
      </w:r>
      <w:r w:rsidR="00965E08" w:rsidRPr="00282AC9">
        <w:rPr>
          <w:rFonts w:hint="cs"/>
          <w:sz w:val="27"/>
          <w:rtl/>
        </w:rPr>
        <w:t>إدارة</w:t>
      </w:r>
      <w:r w:rsidR="00965E08" w:rsidRPr="00282AC9">
        <w:rPr>
          <w:sz w:val="27"/>
          <w:rtl/>
        </w:rPr>
        <w:t xml:space="preserve"> </w:t>
      </w:r>
      <w:r w:rsidR="00965E08" w:rsidRPr="00282AC9">
        <w:rPr>
          <w:rFonts w:hint="cs"/>
          <w:sz w:val="27"/>
          <w:rtl/>
        </w:rPr>
        <w:t>الذين</w:t>
      </w:r>
      <w:r w:rsidR="00965E08" w:rsidRPr="00282AC9">
        <w:rPr>
          <w:sz w:val="27"/>
          <w:rtl/>
        </w:rPr>
        <w:t xml:space="preserve"> </w:t>
      </w:r>
      <w:r w:rsidR="00965E08" w:rsidRPr="00282AC9">
        <w:rPr>
          <w:rFonts w:hint="cs"/>
          <w:sz w:val="27"/>
          <w:rtl/>
        </w:rPr>
        <w:t>يحق</w:t>
      </w:r>
      <w:r w:rsidRPr="00282AC9">
        <w:rPr>
          <w:rFonts w:hint="cs"/>
          <w:sz w:val="27"/>
          <w:rtl/>
        </w:rPr>
        <w:t>ِّ</w:t>
      </w:r>
      <w:r w:rsidR="00965E08" w:rsidRPr="00282AC9">
        <w:rPr>
          <w:rFonts w:hint="cs"/>
          <w:sz w:val="27"/>
          <w:rtl/>
        </w:rPr>
        <w:t>قون</w:t>
      </w:r>
      <w:r w:rsidR="00965E08" w:rsidRPr="00282AC9">
        <w:rPr>
          <w:sz w:val="27"/>
          <w:rtl/>
        </w:rPr>
        <w:t xml:space="preserve"> </w:t>
      </w:r>
      <w:r w:rsidR="00965E08" w:rsidRPr="00282AC9">
        <w:rPr>
          <w:rFonts w:hint="cs"/>
          <w:sz w:val="27"/>
          <w:rtl/>
        </w:rPr>
        <w:t>الأهداف</w:t>
      </w:r>
      <w:r w:rsidR="00965E08" w:rsidRPr="00282AC9">
        <w:rPr>
          <w:sz w:val="27"/>
          <w:rtl/>
        </w:rPr>
        <w:t xml:space="preserve"> </w:t>
      </w:r>
      <w:r w:rsidR="00965E08" w:rsidRPr="00282AC9">
        <w:rPr>
          <w:rFonts w:hint="cs"/>
          <w:sz w:val="27"/>
          <w:rtl/>
        </w:rPr>
        <w:t>بعد</w:t>
      </w:r>
      <w:r w:rsidR="00965E08" w:rsidRPr="00282AC9">
        <w:rPr>
          <w:sz w:val="27"/>
          <w:rtl/>
        </w:rPr>
        <w:t xml:space="preserve"> </w:t>
      </w:r>
      <w:r w:rsidR="00965E08" w:rsidRPr="00282AC9">
        <w:rPr>
          <w:rFonts w:hint="cs"/>
          <w:sz w:val="27"/>
          <w:rtl/>
        </w:rPr>
        <w:t>ذلك</w:t>
      </w:r>
      <w:r w:rsidRPr="00282AC9">
        <w:rPr>
          <w:rFonts w:hint="cs"/>
          <w:sz w:val="27"/>
          <w:rtl/>
        </w:rPr>
        <w:t>.</w:t>
      </w:r>
      <w:r w:rsidR="00965E08" w:rsidRPr="00282AC9">
        <w:rPr>
          <w:sz w:val="27"/>
          <w:rtl/>
        </w:rPr>
        <w:t xml:space="preserve"> </w:t>
      </w:r>
      <w:r w:rsidR="00965E08" w:rsidRPr="00282AC9">
        <w:rPr>
          <w:rFonts w:hint="cs"/>
          <w:sz w:val="27"/>
          <w:rtl/>
        </w:rPr>
        <w:t>وحينئذٍ</w:t>
      </w:r>
      <w:r w:rsidR="00965E08" w:rsidRPr="00282AC9">
        <w:rPr>
          <w:sz w:val="27"/>
          <w:rtl/>
        </w:rPr>
        <w:t xml:space="preserve"> </w:t>
      </w:r>
      <w:r w:rsidR="00965E08" w:rsidRPr="00282AC9">
        <w:rPr>
          <w:rFonts w:hint="cs"/>
          <w:sz w:val="27"/>
          <w:rtl/>
        </w:rPr>
        <w:t>فإن</w:t>
      </w:r>
      <w:r w:rsidR="00965E08" w:rsidRPr="00282AC9">
        <w:rPr>
          <w:sz w:val="27"/>
          <w:rtl/>
        </w:rPr>
        <w:t xml:space="preserve"> </w:t>
      </w:r>
      <w:r w:rsidR="00965E08" w:rsidRPr="00282AC9">
        <w:rPr>
          <w:rFonts w:hint="cs"/>
          <w:sz w:val="27"/>
          <w:rtl/>
        </w:rPr>
        <w:t>النصر</w:t>
      </w:r>
      <w:r w:rsidR="00965E08" w:rsidRPr="00282AC9">
        <w:rPr>
          <w:sz w:val="27"/>
          <w:rtl/>
        </w:rPr>
        <w:t xml:space="preserve"> </w:t>
      </w:r>
      <w:r w:rsidR="00965E08" w:rsidRPr="00282AC9">
        <w:rPr>
          <w:rFonts w:hint="cs"/>
          <w:sz w:val="27"/>
          <w:rtl/>
        </w:rPr>
        <w:t>بالمعنى</w:t>
      </w:r>
      <w:r w:rsidR="00965E08" w:rsidRPr="00282AC9">
        <w:rPr>
          <w:sz w:val="27"/>
          <w:rtl/>
        </w:rPr>
        <w:t xml:space="preserve"> </w:t>
      </w:r>
      <w:r w:rsidR="00965E08" w:rsidRPr="00282AC9">
        <w:rPr>
          <w:rFonts w:hint="cs"/>
          <w:sz w:val="27"/>
          <w:rtl/>
        </w:rPr>
        <w:t>الحقيقي</w:t>
      </w:r>
      <w:r w:rsidR="00965E08" w:rsidRPr="00282AC9">
        <w:rPr>
          <w:sz w:val="27"/>
          <w:rtl/>
        </w:rPr>
        <w:t xml:space="preserve"> </w:t>
      </w:r>
      <w:r w:rsidR="00965E08" w:rsidRPr="00282AC9">
        <w:rPr>
          <w:rFonts w:hint="cs"/>
          <w:sz w:val="27"/>
          <w:rtl/>
        </w:rPr>
        <w:t>لم</w:t>
      </w:r>
      <w:r w:rsidR="00965E08" w:rsidRPr="00282AC9">
        <w:rPr>
          <w:sz w:val="27"/>
          <w:rtl/>
        </w:rPr>
        <w:t xml:space="preserve"> </w:t>
      </w:r>
      <w:r w:rsidR="00965E08" w:rsidRPr="00282AC9">
        <w:rPr>
          <w:rFonts w:hint="cs"/>
          <w:sz w:val="27"/>
          <w:rtl/>
        </w:rPr>
        <w:t>يتحق</w:t>
      </w:r>
      <w:r w:rsidRPr="00282AC9">
        <w:rPr>
          <w:rFonts w:hint="cs"/>
          <w:sz w:val="27"/>
          <w:rtl/>
        </w:rPr>
        <w:t>َّ</w:t>
      </w:r>
      <w:r w:rsidR="00965E08" w:rsidRPr="00282AC9">
        <w:rPr>
          <w:rFonts w:hint="cs"/>
          <w:sz w:val="27"/>
          <w:rtl/>
        </w:rPr>
        <w:t>ق</w:t>
      </w:r>
      <w:r w:rsidR="00965E08" w:rsidRPr="00282AC9">
        <w:rPr>
          <w:sz w:val="27"/>
          <w:rtl/>
        </w:rPr>
        <w:t xml:space="preserve"> </w:t>
      </w:r>
      <w:r w:rsidR="00965E08" w:rsidRPr="00282AC9">
        <w:rPr>
          <w:rFonts w:hint="cs"/>
          <w:sz w:val="27"/>
          <w:rtl/>
        </w:rPr>
        <w:t>لهم</w:t>
      </w:r>
      <w:r w:rsidR="00965E08" w:rsidRPr="00282AC9">
        <w:rPr>
          <w:sz w:val="27"/>
          <w:rtl/>
        </w:rPr>
        <w:t xml:space="preserve">. </w:t>
      </w:r>
      <w:r w:rsidR="00965E08" w:rsidRPr="00282AC9">
        <w:rPr>
          <w:rFonts w:hint="cs"/>
          <w:sz w:val="27"/>
          <w:rtl/>
        </w:rPr>
        <w:t>وكذلك</w:t>
      </w:r>
      <w:r w:rsidR="00965E08" w:rsidRPr="00282AC9">
        <w:rPr>
          <w:sz w:val="27"/>
          <w:rtl/>
        </w:rPr>
        <w:t xml:space="preserve"> </w:t>
      </w:r>
      <w:r w:rsidR="00965E08" w:rsidRPr="00282AC9">
        <w:rPr>
          <w:rFonts w:hint="cs"/>
          <w:sz w:val="27"/>
          <w:rtl/>
        </w:rPr>
        <w:t>إدارة</w:t>
      </w:r>
      <w:r w:rsidR="00965E08" w:rsidRPr="00282AC9">
        <w:rPr>
          <w:sz w:val="27"/>
          <w:rtl/>
        </w:rPr>
        <w:t xml:space="preserve"> </w:t>
      </w:r>
      <w:r w:rsidR="00965E08" w:rsidRPr="00282AC9">
        <w:rPr>
          <w:rFonts w:hint="cs"/>
          <w:sz w:val="27"/>
          <w:rtl/>
        </w:rPr>
        <w:t>الأهداف</w:t>
      </w:r>
      <w:r w:rsidR="00965E08" w:rsidRPr="00282AC9">
        <w:rPr>
          <w:sz w:val="27"/>
          <w:rtl/>
        </w:rPr>
        <w:t xml:space="preserve"> </w:t>
      </w:r>
      <w:r w:rsidR="00965E08" w:rsidRPr="00282AC9">
        <w:rPr>
          <w:rFonts w:hint="cs"/>
          <w:sz w:val="27"/>
          <w:rtl/>
        </w:rPr>
        <w:t>مثلما</w:t>
      </w:r>
      <w:r w:rsidR="00965E08" w:rsidRPr="00282AC9">
        <w:rPr>
          <w:sz w:val="27"/>
          <w:rtl/>
        </w:rPr>
        <w:t xml:space="preserve"> </w:t>
      </w:r>
      <w:r w:rsidR="00965E08" w:rsidRPr="00282AC9">
        <w:rPr>
          <w:rFonts w:hint="cs"/>
          <w:sz w:val="27"/>
          <w:rtl/>
        </w:rPr>
        <w:t>رسموا</w:t>
      </w:r>
      <w:r w:rsidRPr="00282AC9">
        <w:rPr>
          <w:rFonts w:hint="cs"/>
          <w:sz w:val="27"/>
          <w:rtl/>
        </w:rPr>
        <w:t>،</w:t>
      </w:r>
      <w:r w:rsidR="00965E08" w:rsidRPr="00282AC9">
        <w:rPr>
          <w:sz w:val="27"/>
          <w:rtl/>
        </w:rPr>
        <w:t xml:space="preserve"> </w:t>
      </w:r>
      <w:r w:rsidR="00965E08" w:rsidRPr="00282AC9">
        <w:rPr>
          <w:rFonts w:hint="cs"/>
          <w:sz w:val="27"/>
          <w:rtl/>
        </w:rPr>
        <w:t>ومثلما</w:t>
      </w:r>
      <w:r w:rsidR="00965E08" w:rsidRPr="00282AC9">
        <w:rPr>
          <w:sz w:val="27"/>
          <w:rtl/>
        </w:rPr>
        <w:t xml:space="preserve"> </w:t>
      </w:r>
      <w:r w:rsidR="00965E08" w:rsidRPr="00282AC9">
        <w:rPr>
          <w:rFonts w:hint="cs"/>
          <w:sz w:val="27"/>
          <w:rtl/>
        </w:rPr>
        <w:t>خط</w:t>
      </w:r>
      <w:r w:rsidRPr="00282AC9">
        <w:rPr>
          <w:rFonts w:hint="cs"/>
          <w:sz w:val="27"/>
          <w:rtl/>
        </w:rPr>
        <w:t>َّ</w:t>
      </w:r>
      <w:r w:rsidR="00965E08" w:rsidRPr="00282AC9">
        <w:rPr>
          <w:rFonts w:hint="cs"/>
          <w:sz w:val="27"/>
          <w:rtl/>
        </w:rPr>
        <w:t>طوا</w:t>
      </w:r>
      <w:r w:rsidRPr="00282AC9">
        <w:rPr>
          <w:rFonts w:hint="cs"/>
          <w:sz w:val="27"/>
          <w:rtl/>
        </w:rPr>
        <w:t>،</w:t>
      </w:r>
      <w:r w:rsidR="00965E08" w:rsidRPr="00282AC9">
        <w:rPr>
          <w:sz w:val="27"/>
          <w:rtl/>
        </w:rPr>
        <w:t xml:space="preserve"> </w:t>
      </w:r>
      <w:r w:rsidR="00965E08" w:rsidRPr="00282AC9">
        <w:rPr>
          <w:rFonts w:hint="cs"/>
          <w:sz w:val="27"/>
          <w:rtl/>
        </w:rPr>
        <w:t>لم</w:t>
      </w:r>
      <w:r w:rsidR="00965E08" w:rsidRPr="00282AC9">
        <w:rPr>
          <w:sz w:val="27"/>
          <w:rtl/>
        </w:rPr>
        <w:t xml:space="preserve"> </w:t>
      </w:r>
      <w:r w:rsidR="00965E08" w:rsidRPr="00282AC9">
        <w:rPr>
          <w:rFonts w:hint="cs"/>
          <w:sz w:val="27"/>
          <w:rtl/>
        </w:rPr>
        <w:t>تتحق</w:t>
      </w:r>
      <w:r w:rsidRPr="00282AC9">
        <w:rPr>
          <w:rFonts w:hint="cs"/>
          <w:sz w:val="27"/>
          <w:rtl/>
        </w:rPr>
        <w:t>َّ</w:t>
      </w:r>
      <w:r w:rsidR="00965E08" w:rsidRPr="00282AC9">
        <w:rPr>
          <w:rFonts w:hint="cs"/>
          <w:sz w:val="27"/>
          <w:rtl/>
        </w:rPr>
        <w:t>ق</w:t>
      </w:r>
      <w:r w:rsidR="00965E08" w:rsidRPr="00282AC9">
        <w:rPr>
          <w:sz w:val="27"/>
          <w:rtl/>
        </w:rPr>
        <w:t xml:space="preserve">. </w:t>
      </w:r>
      <w:r w:rsidR="00965E08" w:rsidRPr="00282AC9">
        <w:rPr>
          <w:rFonts w:hint="cs"/>
          <w:sz w:val="27"/>
          <w:rtl/>
        </w:rPr>
        <w:t>هي</w:t>
      </w:r>
      <w:r w:rsidR="00965E08" w:rsidRPr="00282AC9">
        <w:rPr>
          <w:sz w:val="27"/>
          <w:rtl/>
        </w:rPr>
        <w:t xml:space="preserve"> </w:t>
      </w:r>
      <w:r w:rsidR="00965E08" w:rsidRPr="00282AC9">
        <w:rPr>
          <w:rFonts w:hint="cs"/>
          <w:sz w:val="27"/>
          <w:rtl/>
        </w:rPr>
        <w:t>تحق</w:t>
      </w:r>
      <w:r w:rsidRPr="00282AC9">
        <w:rPr>
          <w:rFonts w:hint="cs"/>
          <w:sz w:val="27"/>
          <w:rtl/>
        </w:rPr>
        <w:t>َّ</w:t>
      </w:r>
      <w:r w:rsidR="00965E08" w:rsidRPr="00282AC9">
        <w:rPr>
          <w:rFonts w:hint="cs"/>
          <w:sz w:val="27"/>
          <w:rtl/>
        </w:rPr>
        <w:t>قت</w:t>
      </w:r>
      <w:r w:rsidR="00965E08" w:rsidRPr="00282AC9">
        <w:rPr>
          <w:sz w:val="27"/>
          <w:rtl/>
        </w:rPr>
        <w:t xml:space="preserve"> </w:t>
      </w:r>
      <w:r w:rsidR="00965E08" w:rsidRPr="00282AC9">
        <w:rPr>
          <w:rFonts w:hint="cs"/>
          <w:sz w:val="27"/>
          <w:rtl/>
        </w:rPr>
        <w:t>بنحوٍ</w:t>
      </w:r>
      <w:r w:rsidR="00965E08" w:rsidRPr="00282AC9">
        <w:rPr>
          <w:sz w:val="27"/>
          <w:rtl/>
        </w:rPr>
        <w:t xml:space="preserve"> </w:t>
      </w:r>
      <w:r w:rsidR="00965E08" w:rsidRPr="00282AC9">
        <w:rPr>
          <w:rFonts w:hint="cs"/>
          <w:sz w:val="27"/>
          <w:rtl/>
        </w:rPr>
        <w:t>وبطريقةٍ</w:t>
      </w:r>
      <w:r w:rsidR="00965E08" w:rsidRPr="00282AC9">
        <w:rPr>
          <w:sz w:val="27"/>
          <w:rtl/>
        </w:rPr>
        <w:t xml:space="preserve"> </w:t>
      </w:r>
      <w:r w:rsidR="00965E08" w:rsidRPr="00282AC9">
        <w:rPr>
          <w:rFonts w:hint="cs"/>
          <w:sz w:val="27"/>
          <w:rtl/>
        </w:rPr>
        <w:t>أخرى</w:t>
      </w:r>
      <w:r w:rsidRPr="00282AC9">
        <w:rPr>
          <w:rFonts w:hint="cs"/>
          <w:sz w:val="27"/>
          <w:rtl/>
        </w:rPr>
        <w:t>،</w:t>
      </w:r>
      <w:r w:rsidR="00965E08" w:rsidRPr="00282AC9">
        <w:rPr>
          <w:sz w:val="27"/>
          <w:rtl/>
        </w:rPr>
        <w:t xml:space="preserve"> </w:t>
      </w:r>
      <w:r w:rsidR="00965E08" w:rsidRPr="00282AC9">
        <w:rPr>
          <w:rFonts w:hint="cs"/>
          <w:sz w:val="27"/>
          <w:rtl/>
        </w:rPr>
        <w:t>تنسجم</w:t>
      </w:r>
      <w:r w:rsidR="00965E08" w:rsidRPr="00282AC9">
        <w:rPr>
          <w:sz w:val="27"/>
          <w:rtl/>
        </w:rPr>
        <w:t xml:space="preserve"> </w:t>
      </w:r>
      <w:r w:rsidR="00965E08" w:rsidRPr="00282AC9">
        <w:rPr>
          <w:rFonts w:hint="cs"/>
          <w:sz w:val="27"/>
          <w:rtl/>
        </w:rPr>
        <w:t>مع</w:t>
      </w:r>
      <w:r w:rsidR="00965E08" w:rsidRPr="00282AC9">
        <w:rPr>
          <w:sz w:val="27"/>
          <w:rtl/>
        </w:rPr>
        <w:t xml:space="preserve"> </w:t>
      </w:r>
      <w:r w:rsidR="00965E08" w:rsidRPr="00282AC9">
        <w:rPr>
          <w:rFonts w:hint="cs"/>
          <w:sz w:val="27"/>
          <w:rtl/>
        </w:rPr>
        <w:t>الذي</w:t>
      </w:r>
      <w:r w:rsidR="00965E08" w:rsidRPr="00282AC9">
        <w:rPr>
          <w:sz w:val="27"/>
          <w:rtl/>
        </w:rPr>
        <w:t xml:space="preserve"> </w:t>
      </w:r>
      <w:r w:rsidR="00965E08" w:rsidRPr="00282AC9">
        <w:rPr>
          <w:rFonts w:hint="cs"/>
          <w:sz w:val="27"/>
          <w:rtl/>
        </w:rPr>
        <w:t>كانوا</w:t>
      </w:r>
      <w:r w:rsidR="00965E08" w:rsidRPr="00282AC9">
        <w:rPr>
          <w:sz w:val="27"/>
          <w:rtl/>
        </w:rPr>
        <w:t xml:space="preserve"> </w:t>
      </w:r>
      <w:r w:rsidR="00965E08" w:rsidRPr="00282AC9">
        <w:rPr>
          <w:rFonts w:hint="cs"/>
          <w:sz w:val="27"/>
          <w:rtl/>
        </w:rPr>
        <w:t>يتحد</w:t>
      </w:r>
      <w:r w:rsidRPr="00282AC9">
        <w:rPr>
          <w:rFonts w:hint="cs"/>
          <w:sz w:val="27"/>
          <w:rtl/>
        </w:rPr>
        <w:t>َّ</w:t>
      </w:r>
      <w:r w:rsidR="00965E08" w:rsidRPr="00282AC9">
        <w:rPr>
          <w:rFonts w:hint="cs"/>
          <w:sz w:val="27"/>
          <w:rtl/>
        </w:rPr>
        <w:t>ثون</w:t>
      </w:r>
      <w:r w:rsidR="00965E08" w:rsidRPr="00282AC9">
        <w:rPr>
          <w:sz w:val="27"/>
          <w:rtl/>
        </w:rPr>
        <w:t xml:space="preserve"> </w:t>
      </w:r>
      <w:r w:rsidR="00965E08" w:rsidRPr="00282AC9">
        <w:rPr>
          <w:rFonts w:hint="cs"/>
          <w:sz w:val="27"/>
          <w:rtl/>
        </w:rPr>
        <w:t>عنه</w:t>
      </w:r>
      <w:r w:rsidRPr="00282AC9">
        <w:rPr>
          <w:rFonts w:hint="cs"/>
          <w:sz w:val="27"/>
          <w:rtl/>
        </w:rPr>
        <w:t>،</w:t>
      </w:r>
      <w:r w:rsidR="00965E08" w:rsidRPr="00282AC9">
        <w:rPr>
          <w:sz w:val="27"/>
          <w:rtl/>
        </w:rPr>
        <w:t xml:space="preserve"> </w:t>
      </w:r>
      <w:r w:rsidR="00965E08" w:rsidRPr="00282AC9">
        <w:rPr>
          <w:rFonts w:hint="cs"/>
          <w:sz w:val="27"/>
          <w:rtl/>
        </w:rPr>
        <w:t>أو</w:t>
      </w:r>
      <w:r w:rsidR="00965E08" w:rsidRPr="00282AC9">
        <w:rPr>
          <w:sz w:val="27"/>
          <w:rtl/>
        </w:rPr>
        <w:t xml:space="preserve"> </w:t>
      </w:r>
      <w:r w:rsidR="00965E08" w:rsidRPr="00282AC9">
        <w:rPr>
          <w:rFonts w:hint="cs"/>
          <w:sz w:val="27"/>
          <w:rtl/>
        </w:rPr>
        <w:t>مع</w:t>
      </w:r>
      <w:r w:rsidR="00965E08" w:rsidRPr="00282AC9">
        <w:rPr>
          <w:sz w:val="27"/>
          <w:rtl/>
        </w:rPr>
        <w:t xml:space="preserve"> </w:t>
      </w:r>
      <w:r w:rsidR="00965E08" w:rsidRPr="00282AC9">
        <w:rPr>
          <w:rFonts w:hint="cs"/>
          <w:sz w:val="27"/>
          <w:rtl/>
        </w:rPr>
        <w:t>شعاراتهم</w:t>
      </w:r>
      <w:r w:rsidR="00965E08" w:rsidRPr="00282AC9">
        <w:rPr>
          <w:sz w:val="27"/>
          <w:rtl/>
        </w:rPr>
        <w:t xml:space="preserve"> </w:t>
      </w:r>
      <w:r w:rsidR="00965E08" w:rsidRPr="00282AC9">
        <w:rPr>
          <w:rFonts w:hint="cs"/>
          <w:sz w:val="27"/>
          <w:rtl/>
        </w:rPr>
        <w:t>التي</w:t>
      </w:r>
      <w:r w:rsidR="00965E08" w:rsidRPr="00282AC9">
        <w:rPr>
          <w:sz w:val="27"/>
          <w:rtl/>
        </w:rPr>
        <w:t xml:space="preserve"> </w:t>
      </w:r>
      <w:r w:rsidR="00965E08" w:rsidRPr="00282AC9">
        <w:rPr>
          <w:rFonts w:hint="cs"/>
          <w:sz w:val="27"/>
          <w:rtl/>
        </w:rPr>
        <w:t>رفعوها</w:t>
      </w:r>
      <w:r w:rsidR="00965E08" w:rsidRPr="00282AC9">
        <w:rPr>
          <w:sz w:val="27"/>
          <w:rtl/>
        </w:rPr>
        <w:t xml:space="preserve"> </w:t>
      </w:r>
      <w:r w:rsidR="00965E08" w:rsidRPr="00282AC9">
        <w:rPr>
          <w:rFonts w:hint="cs"/>
          <w:sz w:val="27"/>
          <w:rtl/>
        </w:rPr>
        <w:t>بح</w:t>
      </w:r>
      <w:r w:rsidRPr="00282AC9">
        <w:rPr>
          <w:rFonts w:hint="cs"/>
          <w:sz w:val="27"/>
          <w:rtl/>
        </w:rPr>
        <w:t>َ</w:t>
      </w:r>
      <w:r w:rsidR="00965E08" w:rsidRPr="00282AC9">
        <w:rPr>
          <w:rFonts w:hint="cs"/>
          <w:sz w:val="27"/>
          <w:rtl/>
        </w:rPr>
        <w:t>س</w:t>
      </w:r>
      <w:r w:rsidRPr="00282AC9">
        <w:rPr>
          <w:rFonts w:hint="cs"/>
          <w:sz w:val="27"/>
          <w:rtl/>
        </w:rPr>
        <w:t>َ</w:t>
      </w:r>
      <w:r w:rsidR="00965E08" w:rsidRPr="00282AC9">
        <w:rPr>
          <w:rFonts w:hint="cs"/>
          <w:sz w:val="27"/>
          <w:rtl/>
        </w:rPr>
        <w:t>ب</w:t>
      </w:r>
      <w:r w:rsidR="00965E08" w:rsidRPr="00282AC9">
        <w:rPr>
          <w:sz w:val="27"/>
          <w:rtl/>
        </w:rPr>
        <w:t xml:space="preserve"> </w:t>
      </w:r>
      <w:r w:rsidR="00965E08" w:rsidRPr="00282AC9">
        <w:rPr>
          <w:rFonts w:hint="cs"/>
          <w:sz w:val="27"/>
          <w:rtl/>
        </w:rPr>
        <w:t>ف</w:t>
      </w:r>
      <w:r w:rsidRPr="00282AC9">
        <w:rPr>
          <w:rFonts w:hint="cs"/>
          <w:sz w:val="27"/>
          <w:rtl/>
        </w:rPr>
        <w:t>َ</w:t>
      </w:r>
      <w:r w:rsidR="00965E08" w:rsidRPr="00282AC9">
        <w:rPr>
          <w:rFonts w:hint="cs"/>
          <w:sz w:val="27"/>
          <w:rtl/>
        </w:rPr>
        <w:t>ه</w:t>
      </w:r>
      <w:r w:rsidRPr="00282AC9">
        <w:rPr>
          <w:rFonts w:hint="cs"/>
          <w:sz w:val="27"/>
          <w:rtl/>
        </w:rPr>
        <w:t>ْ</w:t>
      </w:r>
      <w:r w:rsidR="00965E08" w:rsidRPr="00282AC9">
        <w:rPr>
          <w:rFonts w:hint="cs"/>
          <w:sz w:val="27"/>
          <w:rtl/>
        </w:rPr>
        <w:t>م</w:t>
      </w:r>
      <w:r w:rsidR="00965E08" w:rsidRPr="00282AC9">
        <w:rPr>
          <w:sz w:val="27"/>
          <w:rtl/>
        </w:rPr>
        <w:t xml:space="preserve"> </w:t>
      </w:r>
      <w:r w:rsidR="00965E08" w:rsidRPr="00282AC9">
        <w:rPr>
          <w:rFonts w:hint="cs"/>
          <w:sz w:val="27"/>
          <w:rtl/>
        </w:rPr>
        <w:t>الذين</w:t>
      </w:r>
      <w:r w:rsidR="00965E08" w:rsidRPr="00282AC9">
        <w:rPr>
          <w:sz w:val="27"/>
          <w:rtl/>
        </w:rPr>
        <w:t xml:space="preserve"> </w:t>
      </w:r>
      <w:r w:rsidR="00965E08" w:rsidRPr="00282AC9">
        <w:rPr>
          <w:rFonts w:hint="cs"/>
          <w:sz w:val="27"/>
          <w:rtl/>
        </w:rPr>
        <w:t>يحق</w:t>
      </w:r>
      <w:r w:rsidRPr="00282AC9">
        <w:rPr>
          <w:rFonts w:hint="cs"/>
          <w:sz w:val="27"/>
          <w:rtl/>
        </w:rPr>
        <w:t>ِّ</w:t>
      </w:r>
      <w:r w:rsidR="00965E08" w:rsidRPr="00282AC9">
        <w:rPr>
          <w:rFonts w:hint="cs"/>
          <w:sz w:val="27"/>
          <w:rtl/>
        </w:rPr>
        <w:t>قون</w:t>
      </w:r>
      <w:r w:rsidR="00965E08" w:rsidRPr="00282AC9">
        <w:rPr>
          <w:sz w:val="27"/>
          <w:rtl/>
        </w:rPr>
        <w:t xml:space="preserve"> </w:t>
      </w:r>
      <w:r w:rsidR="00965E08" w:rsidRPr="00282AC9">
        <w:rPr>
          <w:rFonts w:hint="cs"/>
          <w:sz w:val="27"/>
          <w:rtl/>
        </w:rPr>
        <w:t>أهدافهم</w:t>
      </w:r>
      <w:r w:rsidR="00965E08" w:rsidRPr="00282AC9">
        <w:rPr>
          <w:sz w:val="27"/>
          <w:rtl/>
        </w:rPr>
        <w:t xml:space="preserve"> </w:t>
      </w:r>
      <w:r w:rsidR="00965E08" w:rsidRPr="00282AC9">
        <w:rPr>
          <w:rFonts w:hint="cs"/>
          <w:sz w:val="27"/>
          <w:rtl/>
        </w:rPr>
        <w:t>على</w:t>
      </w:r>
      <w:r w:rsidR="00965E08" w:rsidRPr="00282AC9">
        <w:rPr>
          <w:sz w:val="27"/>
          <w:rtl/>
        </w:rPr>
        <w:t xml:space="preserve"> </w:t>
      </w:r>
      <w:r w:rsidR="00965E08" w:rsidRPr="00282AC9">
        <w:rPr>
          <w:rFonts w:hint="cs"/>
          <w:sz w:val="27"/>
          <w:rtl/>
        </w:rPr>
        <w:t>أرض</w:t>
      </w:r>
      <w:r w:rsidR="00965E08" w:rsidRPr="00282AC9">
        <w:rPr>
          <w:sz w:val="27"/>
          <w:rtl/>
        </w:rPr>
        <w:t xml:space="preserve"> </w:t>
      </w:r>
      <w:r w:rsidR="00965E08" w:rsidRPr="00282AC9">
        <w:rPr>
          <w:rFonts w:hint="cs"/>
          <w:sz w:val="27"/>
          <w:rtl/>
        </w:rPr>
        <w:t>الواقع</w:t>
      </w:r>
      <w:r w:rsidR="00965E08" w:rsidRPr="00282AC9">
        <w:rPr>
          <w:sz w:val="27"/>
          <w:rtl/>
        </w:rPr>
        <w:t>.</w:t>
      </w:r>
    </w:p>
    <w:p w:rsidR="00965E08" w:rsidRPr="00282AC9" w:rsidRDefault="00965E08" w:rsidP="003062B7">
      <w:pPr>
        <w:rPr>
          <w:sz w:val="27"/>
          <w:rtl/>
        </w:rPr>
      </w:pPr>
      <w:r w:rsidRPr="00282AC9">
        <w:rPr>
          <w:rFonts w:hint="cs"/>
          <w:sz w:val="27"/>
          <w:rtl/>
        </w:rPr>
        <w:t>فهذا</w:t>
      </w:r>
      <w:r w:rsidRPr="00282AC9">
        <w:rPr>
          <w:sz w:val="27"/>
          <w:rtl/>
        </w:rPr>
        <w:t xml:space="preserve"> </w:t>
      </w:r>
      <w:r w:rsidRPr="00282AC9">
        <w:rPr>
          <w:rFonts w:hint="cs"/>
          <w:sz w:val="27"/>
          <w:rtl/>
        </w:rPr>
        <w:t>المضمون</w:t>
      </w:r>
      <w:r w:rsidRPr="00282AC9">
        <w:rPr>
          <w:sz w:val="27"/>
          <w:rtl/>
        </w:rPr>
        <w:t xml:space="preserve"> </w:t>
      </w:r>
      <w:r w:rsidRPr="00282AC9">
        <w:rPr>
          <w:rFonts w:hint="cs"/>
          <w:sz w:val="27"/>
          <w:rtl/>
        </w:rPr>
        <w:t>الموجود</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هذه</w:t>
      </w:r>
      <w:r w:rsidRPr="00282AC9">
        <w:rPr>
          <w:sz w:val="27"/>
          <w:rtl/>
        </w:rPr>
        <w:t xml:space="preserve"> </w:t>
      </w:r>
      <w:r w:rsidRPr="00282AC9">
        <w:rPr>
          <w:rFonts w:hint="cs"/>
          <w:sz w:val="27"/>
          <w:rtl/>
        </w:rPr>
        <w:t>المقولة</w:t>
      </w:r>
      <w:r w:rsidRPr="00282AC9">
        <w:rPr>
          <w:sz w:val="27"/>
          <w:rtl/>
        </w:rPr>
        <w:t xml:space="preserve">: </w:t>
      </w:r>
      <w:r w:rsidRPr="00282AC9">
        <w:rPr>
          <w:rFonts w:hint="eastAsia"/>
          <w:sz w:val="24"/>
          <w:szCs w:val="24"/>
          <w:rtl/>
        </w:rPr>
        <w:t>«</w:t>
      </w:r>
      <w:r w:rsidRPr="00282AC9">
        <w:rPr>
          <w:rFonts w:hint="cs"/>
          <w:sz w:val="27"/>
          <w:rtl/>
        </w:rPr>
        <w:t>انتصار</w:t>
      </w:r>
      <w:r w:rsidRPr="00282AC9">
        <w:rPr>
          <w:sz w:val="27"/>
          <w:rtl/>
        </w:rPr>
        <w:t xml:space="preserve"> </w:t>
      </w:r>
      <w:r w:rsidRPr="00282AC9">
        <w:rPr>
          <w:rFonts w:hint="cs"/>
          <w:sz w:val="27"/>
          <w:rtl/>
        </w:rPr>
        <w:t>الدم</w:t>
      </w:r>
      <w:r w:rsidRPr="00282AC9">
        <w:rPr>
          <w:sz w:val="27"/>
          <w:rtl/>
        </w:rPr>
        <w:t xml:space="preserve"> </w:t>
      </w:r>
      <w:r w:rsidRPr="00282AC9">
        <w:rPr>
          <w:rFonts w:hint="cs"/>
          <w:sz w:val="27"/>
          <w:rtl/>
        </w:rPr>
        <w:t>على</w:t>
      </w:r>
      <w:r w:rsidRPr="00282AC9">
        <w:rPr>
          <w:sz w:val="27"/>
          <w:rtl/>
        </w:rPr>
        <w:t xml:space="preserve"> </w:t>
      </w:r>
      <w:r w:rsidRPr="00282AC9">
        <w:rPr>
          <w:rFonts w:hint="cs"/>
          <w:sz w:val="27"/>
          <w:rtl/>
        </w:rPr>
        <w:t>السيف</w:t>
      </w:r>
      <w:r w:rsidRPr="00282AC9">
        <w:rPr>
          <w:rFonts w:hint="eastAsia"/>
          <w:sz w:val="24"/>
          <w:szCs w:val="24"/>
          <w:rtl/>
        </w:rPr>
        <w:t>»</w:t>
      </w:r>
      <w:r w:rsidRPr="00282AC9">
        <w:rPr>
          <w:sz w:val="27"/>
          <w:rtl/>
        </w:rPr>
        <w:t xml:space="preserve"> </w:t>
      </w:r>
      <w:r w:rsidRPr="00282AC9">
        <w:rPr>
          <w:rFonts w:hint="cs"/>
          <w:sz w:val="27"/>
          <w:rtl/>
        </w:rPr>
        <w:t>إذا</w:t>
      </w:r>
      <w:r w:rsidRPr="00282AC9">
        <w:rPr>
          <w:sz w:val="27"/>
          <w:rtl/>
        </w:rPr>
        <w:t xml:space="preserve"> </w:t>
      </w:r>
      <w:r w:rsidRPr="00282AC9">
        <w:rPr>
          <w:rFonts w:hint="cs"/>
          <w:sz w:val="27"/>
          <w:rtl/>
        </w:rPr>
        <w:t>كان</w:t>
      </w:r>
      <w:r w:rsidRPr="00282AC9">
        <w:rPr>
          <w:sz w:val="27"/>
          <w:rtl/>
        </w:rPr>
        <w:t xml:space="preserve"> </w:t>
      </w:r>
      <w:r w:rsidRPr="00282AC9">
        <w:rPr>
          <w:rFonts w:hint="cs"/>
          <w:sz w:val="27"/>
          <w:rtl/>
        </w:rPr>
        <w:t>المراد</w:t>
      </w:r>
      <w:r w:rsidRPr="00282AC9">
        <w:rPr>
          <w:sz w:val="27"/>
          <w:rtl/>
        </w:rPr>
        <w:t xml:space="preserve"> </w:t>
      </w:r>
      <w:r w:rsidRPr="00282AC9">
        <w:rPr>
          <w:rFonts w:hint="cs"/>
          <w:sz w:val="27"/>
          <w:rtl/>
        </w:rPr>
        <w:lastRenderedPageBreak/>
        <w:t>منه</w:t>
      </w:r>
      <w:r w:rsidRPr="00282AC9">
        <w:rPr>
          <w:sz w:val="27"/>
          <w:rtl/>
        </w:rPr>
        <w:t xml:space="preserve"> </w:t>
      </w:r>
      <w:r w:rsidRPr="00282AC9">
        <w:rPr>
          <w:rFonts w:hint="cs"/>
          <w:sz w:val="27"/>
          <w:rtl/>
        </w:rPr>
        <w:t>هذا</w:t>
      </w:r>
      <w:r w:rsidRPr="00282AC9">
        <w:rPr>
          <w:sz w:val="27"/>
          <w:rtl/>
        </w:rPr>
        <w:t xml:space="preserve"> </w:t>
      </w:r>
      <w:r w:rsidRPr="00282AC9">
        <w:rPr>
          <w:rFonts w:hint="cs"/>
          <w:sz w:val="27"/>
          <w:rtl/>
        </w:rPr>
        <w:t>الفهم</w:t>
      </w:r>
      <w:r w:rsidR="00D26C9A" w:rsidRPr="00282AC9">
        <w:rPr>
          <w:rFonts w:hint="cs"/>
          <w:sz w:val="27"/>
          <w:rtl/>
        </w:rPr>
        <w:t>،</w:t>
      </w:r>
      <w:r w:rsidRPr="00282AC9">
        <w:rPr>
          <w:sz w:val="27"/>
          <w:rtl/>
        </w:rPr>
        <w:t xml:space="preserve"> </w:t>
      </w:r>
      <w:r w:rsidRPr="00282AC9">
        <w:rPr>
          <w:rFonts w:hint="cs"/>
          <w:sz w:val="27"/>
          <w:rtl/>
        </w:rPr>
        <w:t>وهو</w:t>
      </w:r>
      <w:r w:rsidRPr="00282AC9">
        <w:rPr>
          <w:sz w:val="27"/>
          <w:rtl/>
        </w:rPr>
        <w:t xml:space="preserve"> </w:t>
      </w:r>
      <w:r w:rsidRPr="00282AC9">
        <w:rPr>
          <w:rFonts w:hint="cs"/>
          <w:sz w:val="27"/>
          <w:rtl/>
        </w:rPr>
        <w:t>تحقيق</w:t>
      </w:r>
      <w:r w:rsidRPr="00282AC9">
        <w:rPr>
          <w:sz w:val="27"/>
          <w:rtl/>
        </w:rPr>
        <w:t xml:space="preserve"> </w:t>
      </w:r>
      <w:r w:rsidRPr="00282AC9">
        <w:rPr>
          <w:rFonts w:hint="cs"/>
          <w:sz w:val="27"/>
          <w:rtl/>
        </w:rPr>
        <w:t>بعض</w:t>
      </w:r>
      <w:r w:rsidRPr="00282AC9">
        <w:rPr>
          <w:sz w:val="27"/>
          <w:rtl/>
        </w:rPr>
        <w:t xml:space="preserve"> </w:t>
      </w:r>
      <w:r w:rsidRPr="00282AC9">
        <w:rPr>
          <w:rFonts w:hint="cs"/>
          <w:sz w:val="27"/>
          <w:rtl/>
        </w:rPr>
        <w:t>الأهداف</w:t>
      </w:r>
      <w:r w:rsidRPr="00282AC9">
        <w:rPr>
          <w:sz w:val="27"/>
          <w:rtl/>
        </w:rPr>
        <w:t xml:space="preserve"> </w:t>
      </w:r>
      <w:r w:rsidRPr="00282AC9">
        <w:rPr>
          <w:rFonts w:hint="cs"/>
          <w:sz w:val="27"/>
          <w:rtl/>
        </w:rPr>
        <w:t>أو</w:t>
      </w:r>
      <w:r w:rsidRPr="00282AC9">
        <w:rPr>
          <w:sz w:val="27"/>
          <w:rtl/>
        </w:rPr>
        <w:t xml:space="preserve"> </w:t>
      </w:r>
      <w:r w:rsidRPr="00282AC9">
        <w:rPr>
          <w:rFonts w:hint="cs"/>
          <w:sz w:val="27"/>
          <w:rtl/>
        </w:rPr>
        <w:t>كل</w:t>
      </w:r>
      <w:r w:rsidR="00D26C9A" w:rsidRPr="00282AC9">
        <w:rPr>
          <w:rFonts w:hint="cs"/>
          <w:sz w:val="27"/>
          <w:rtl/>
        </w:rPr>
        <w:t>ّ</w:t>
      </w:r>
      <w:r w:rsidRPr="00282AC9">
        <w:rPr>
          <w:sz w:val="27"/>
          <w:rtl/>
        </w:rPr>
        <w:t xml:space="preserve"> </w:t>
      </w:r>
      <w:r w:rsidRPr="00282AC9">
        <w:rPr>
          <w:rFonts w:hint="cs"/>
          <w:sz w:val="27"/>
          <w:rtl/>
        </w:rPr>
        <w:t>الأهداف</w:t>
      </w:r>
      <w:r w:rsidR="00D26C9A" w:rsidRPr="00282AC9">
        <w:rPr>
          <w:rFonts w:hint="cs"/>
          <w:sz w:val="27"/>
          <w:rtl/>
        </w:rPr>
        <w:t>،</w:t>
      </w:r>
      <w:r w:rsidRPr="00282AC9">
        <w:rPr>
          <w:sz w:val="27"/>
          <w:rtl/>
        </w:rPr>
        <w:t xml:space="preserve"> </w:t>
      </w:r>
      <w:r w:rsidRPr="00282AC9">
        <w:rPr>
          <w:rFonts w:hint="cs"/>
          <w:sz w:val="27"/>
          <w:rtl/>
        </w:rPr>
        <w:t>وإطلاق</w:t>
      </w:r>
      <w:r w:rsidRPr="00282AC9">
        <w:rPr>
          <w:sz w:val="27"/>
          <w:rtl/>
        </w:rPr>
        <w:t xml:space="preserve"> </w:t>
      </w:r>
      <w:r w:rsidRPr="00282AC9">
        <w:rPr>
          <w:rFonts w:hint="cs"/>
          <w:sz w:val="27"/>
          <w:rtl/>
        </w:rPr>
        <w:t>النصر</w:t>
      </w:r>
      <w:r w:rsidRPr="00282AC9">
        <w:rPr>
          <w:sz w:val="27"/>
          <w:rtl/>
        </w:rPr>
        <w:t xml:space="preserve"> </w:t>
      </w:r>
      <w:r w:rsidRPr="00282AC9">
        <w:rPr>
          <w:rFonts w:hint="cs"/>
          <w:sz w:val="27"/>
          <w:rtl/>
        </w:rPr>
        <w:t>والانتصار</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هذه</w:t>
      </w:r>
      <w:r w:rsidRPr="00282AC9">
        <w:rPr>
          <w:sz w:val="27"/>
          <w:rtl/>
        </w:rPr>
        <w:t xml:space="preserve"> </w:t>
      </w:r>
      <w:r w:rsidRPr="00282AC9">
        <w:rPr>
          <w:rFonts w:hint="cs"/>
          <w:sz w:val="27"/>
          <w:rtl/>
        </w:rPr>
        <w:t>الحيثية</w:t>
      </w:r>
      <w:r w:rsidRPr="00282AC9">
        <w:rPr>
          <w:sz w:val="27"/>
          <w:rtl/>
        </w:rPr>
        <w:t xml:space="preserve"> </w:t>
      </w:r>
      <w:r w:rsidRPr="00282AC9">
        <w:rPr>
          <w:rFonts w:hint="cs"/>
          <w:sz w:val="27"/>
          <w:rtl/>
        </w:rPr>
        <w:t>المجازي</w:t>
      </w:r>
      <w:r w:rsidR="00D26C9A" w:rsidRPr="00282AC9">
        <w:rPr>
          <w:rFonts w:hint="cs"/>
          <w:sz w:val="27"/>
          <w:rtl/>
        </w:rPr>
        <w:t>ّ</w:t>
      </w:r>
      <w:r w:rsidRPr="00282AC9">
        <w:rPr>
          <w:rFonts w:hint="cs"/>
          <w:sz w:val="27"/>
          <w:rtl/>
        </w:rPr>
        <w:t>ة،</w:t>
      </w:r>
      <w:r w:rsidRPr="00282AC9">
        <w:rPr>
          <w:sz w:val="27"/>
          <w:rtl/>
        </w:rPr>
        <w:t xml:space="preserve"> </w:t>
      </w:r>
      <w:r w:rsidR="00D26C9A" w:rsidRPr="00282AC9">
        <w:rPr>
          <w:rFonts w:hint="cs"/>
          <w:sz w:val="27"/>
          <w:rtl/>
        </w:rPr>
        <w:t>ف</w:t>
      </w:r>
      <w:r w:rsidRPr="00282AC9">
        <w:rPr>
          <w:rFonts w:hint="cs"/>
          <w:sz w:val="27"/>
          <w:rtl/>
        </w:rPr>
        <w:t>لا</w:t>
      </w:r>
      <w:r w:rsidRPr="00282AC9">
        <w:rPr>
          <w:sz w:val="27"/>
          <w:rtl/>
        </w:rPr>
        <w:t xml:space="preserve"> </w:t>
      </w:r>
      <w:r w:rsidRPr="00282AC9">
        <w:rPr>
          <w:rFonts w:hint="cs"/>
          <w:sz w:val="27"/>
          <w:rtl/>
        </w:rPr>
        <w:t>إشكال</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ذلك</w:t>
      </w:r>
      <w:r w:rsidRPr="00282AC9">
        <w:rPr>
          <w:sz w:val="27"/>
          <w:rtl/>
        </w:rPr>
        <w:t xml:space="preserve">. </w:t>
      </w:r>
      <w:r w:rsidR="00D26C9A" w:rsidRPr="00282AC9">
        <w:rPr>
          <w:rFonts w:hint="cs"/>
          <w:sz w:val="27"/>
          <w:rtl/>
        </w:rPr>
        <w:t>و</w:t>
      </w:r>
      <w:r w:rsidRPr="00282AC9">
        <w:rPr>
          <w:rFonts w:hint="cs"/>
          <w:sz w:val="27"/>
          <w:rtl/>
        </w:rPr>
        <w:t>هذا</w:t>
      </w:r>
      <w:r w:rsidRPr="00282AC9">
        <w:rPr>
          <w:sz w:val="27"/>
          <w:rtl/>
        </w:rPr>
        <w:t xml:space="preserve"> </w:t>
      </w:r>
      <w:r w:rsidRPr="00282AC9">
        <w:rPr>
          <w:rFonts w:hint="cs"/>
          <w:sz w:val="27"/>
          <w:rtl/>
        </w:rPr>
        <w:t>الكلام</w:t>
      </w:r>
      <w:r w:rsidRPr="00282AC9">
        <w:rPr>
          <w:sz w:val="27"/>
          <w:rtl/>
        </w:rPr>
        <w:t xml:space="preserve"> </w:t>
      </w:r>
      <w:r w:rsidRPr="00282AC9">
        <w:rPr>
          <w:rFonts w:hint="cs"/>
          <w:sz w:val="27"/>
          <w:rtl/>
        </w:rPr>
        <w:t>يكون</w:t>
      </w:r>
      <w:r w:rsidRPr="00282AC9">
        <w:rPr>
          <w:sz w:val="27"/>
          <w:rtl/>
        </w:rPr>
        <w:t xml:space="preserve"> </w:t>
      </w:r>
      <w:r w:rsidRPr="00282AC9">
        <w:rPr>
          <w:rFonts w:hint="cs"/>
          <w:sz w:val="27"/>
          <w:rtl/>
        </w:rPr>
        <w:t>صحيحاً</w:t>
      </w:r>
      <w:r w:rsidR="00D26C9A" w:rsidRPr="00282AC9">
        <w:rPr>
          <w:rFonts w:hint="cs"/>
          <w:sz w:val="27"/>
          <w:rtl/>
        </w:rPr>
        <w:t>،</w:t>
      </w:r>
      <w:r w:rsidRPr="00282AC9">
        <w:rPr>
          <w:sz w:val="27"/>
          <w:rtl/>
        </w:rPr>
        <w:t xml:space="preserve"> </w:t>
      </w:r>
      <w:r w:rsidRPr="00282AC9">
        <w:rPr>
          <w:rFonts w:hint="cs"/>
          <w:sz w:val="27"/>
          <w:rtl/>
        </w:rPr>
        <w:t>وقد</w:t>
      </w:r>
      <w:r w:rsidRPr="00282AC9">
        <w:rPr>
          <w:sz w:val="27"/>
          <w:rtl/>
        </w:rPr>
        <w:t xml:space="preserve"> </w:t>
      </w:r>
      <w:r w:rsidRPr="00282AC9">
        <w:rPr>
          <w:rFonts w:hint="cs"/>
          <w:sz w:val="27"/>
          <w:rtl/>
        </w:rPr>
        <w:t>يكون</w:t>
      </w:r>
      <w:r w:rsidRPr="00282AC9">
        <w:rPr>
          <w:sz w:val="27"/>
          <w:rtl/>
        </w:rPr>
        <w:t xml:space="preserve"> </w:t>
      </w:r>
      <w:r w:rsidRPr="00282AC9">
        <w:rPr>
          <w:rFonts w:hint="cs"/>
          <w:sz w:val="27"/>
          <w:rtl/>
        </w:rPr>
        <w:t>أيضاً</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جملة</w:t>
      </w:r>
      <w:r w:rsidRPr="00282AC9">
        <w:rPr>
          <w:sz w:val="27"/>
          <w:rtl/>
        </w:rPr>
        <w:t xml:space="preserve"> </w:t>
      </w:r>
      <w:r w:rsidRPr="00282AC9">
        <w:rPr>
          <w:rFonts w:hint="cs"/>
          <w:sz w:val="27"/>
          <w:rtl/>
        </w:rPr>
        <w:t>آثار مشروع</w:t>
      </w:r>
      <w:r w:rsidRPr="00282AC9">
        <w:rPr>
          <w:sz w:val="27"/>
          <w:rtl/>
        </w:rPr>
        <w:t xml:space="preserve"> </w:t>
      </w:r>
      <w:r w:rsidRPr="00282AC9">
        <w:rPr>
          <w:rFonts w:hint="cs"/>
          <w:sz w:val="27"/>
          <w:rtl/>
        </w:rPr>
        <w:t>الإمام</w:t>
      </w:r>
      <w:r w:rsidRPr="00282AC9">
        <w:rPr>
          <w:sz w:val="27"/>
          <w:rtl/>
        </w:rPr>
        <w:t xml:space="preserve"> </w:t>
      </w:r>
      <w:r w:rsidRPr="00282AC9">
        <w:rPr>
          <w:rFonts w:hint="cs"/>
          <w:sz w:val="27"/>
          <w:rtl/>
        </w:rPr>
        <w:t>الحسين</w:t>
      </w:r>
      <w:r w:rsidR="009A2A04" w:rsidRPr="00282AC9">
        <w:rPr>
          <w:rFonts w:cs="Mosawi"/>
          <w:sz w:val="22"/>
          <w:szCs w:val="22"/>
          <w:rtl/>
        </w:rPr>
        <w:t>×</w:t>
      </w:r>
      <w:r w:rsidRPr="00282AC9">
        <w:rPr>
          <w:rFonts w:hint="cs"/>
          <w:sz w:val="27"/>
          <w:rtl/>
        </w:rPr>
        <w:t xml:space="preserve"> على</w:t>
      </w:r>
      <w:r w:rsidRPr="00282AC9">
        <w:rPr>
          <w:sz w:val="27"/>
          <w:rtl/>
        </w:rPr>
        <w:t xml:space="preserve"> </w:t>
      </w:r>
      <w:r w:rsidRPr="00282AC9">
        <w:rPr>
          <w:rFonts w:hint="cs"/>
          <w:sz w:val="27"/>
          <w:rtl/>
        </w:rPr>
        <w:t>الواقع</w:t>
      </w:r>
      <w:r w:rsidRPr="00282AC9">
        <w:rPr>
          <w:sz w:val="27"/>
          <w:rtl/>
        </w:rPr>
        <w:t xml:space="preserve"> </w:t>
      </w:r>
      <w:r w:rsidRPr="00282AC9">
        <w:rPr>
          <w:rFonts w:hint="cs"/>
          <w:sz w:val="27"/>
          <w:rtl/>
        </w:rPr>
        <w:t>الإنساني</w:t>
      </w:r>
      <w:r w:rsidR="00D26C9A" w:rsidRPr="00282AC9">
        <w:rPr>
          <w:rFonts w:hint="cs"/>
          <w:sz w:val="27"/>
          <w:rtl/>
        </w:rPr>
        <w:t>ّ</w:t>
      </w:r>
      <w:r w:rsidRPr="00282AC9">
        <w:rPr>
          <w:sz w:val="27"/>
          <w:rtl/>
        </w:rPr>
        <w:t xml:space="preserve"> </w:t>
      </w:r>
      <w:r w:rsidRPr="00282AC9">
        <w:rPr>
          <w:rFonts w:hint="cs"/>
          <w:sz w:val="27"/>
          <w:rtl/>
        </w:rPr>
        <w:t>بشكلٍ</w:t>
      </w:r>
      <w:r w:rsidRPr="00282AC9">
        <w:rPr>
          <w:sz w:val="27"/>
          <w:rtl/>
        </w:rPr>
        <w:t xml:space="preserve"> </w:t>
      </w:r>
      <w:r w:rsidRPr="00282AC9">
        <w:rPr>
          <w:rFonts w:hint="cs"/>
          <w:sz w:val="27"/>
          <w:rtl/>
        </w:rPr>
        <w:t>عام</w:t>
      </w:r>
      <w:r w:rsidR="00D26C9A" w:rsidRPr="00282AC9">
        <w:rPr>
          <w:rFonts w:hint="cs"/>
          <w:sz w:val="27"/>
          <w:rtl/>
        </w:rPr>
        <w:t>ّ،</w:t>
      </w:r>
      <w:r w:rsidRPr="00282AC9">
        <w:rPr>
          <w:sz w:val="27"/>
          <w:rtl/>
        </w:rPr>
        <w:t xml:space="preserve"> </w:t>
      </w:r>
      <w:r w:rsidRPr="00282AC9">
        <w:rPr>
          <w:rFonts w:hint="cs"/>
          <w:sz w:val="27"/>
          <w:rtl/>
        </w:rPr>
        <w:t>بغض</w:t>
      </w:r>
      <w:r w:rsidR="00D26C9A" w:rsidRPr="00282AC9">
        <w:rPr>
          <w:rFonts w:hint="cs"/>
          <w:sz w:val="27"/>
          <w:rtl/>
        </w:rPr>
        <w:t>ّ</w:t>
      </w:r>
      <w:r w:rsidRPr="00282AC9">
        <w:rPr>
          <w:sz w:val="27"/>
          <w:rtl/>
        </w:rPr>
        <w:t xml:space="preserve"> </w:t>
      </w:r>
      <w:r w:rsidRPr="00282AC9">
        <w:rPr>
          <w:rFonts w:hint="cs"/>
          <w:sz w:val="27"/>
          <w:rtl/>
        </w:rPr>
        <w:t>النظر</w:t>
      </w:r>
      <w:r w:rsidRPr="00282AC9">
        <w:rPr>
          <w:sz w:val="27"/>
          <w:rtl/>
        </w:rPr>
        <w:t xml:space="preserve"> </w:t>
      </w:r>
      <w:r w:rsidRPr="00282AC9">
        <w:rPr>
          <w:rFonts w:hint="cs"/>
          <w:sz w:val="27"/>
          <w:rtl/>
        </w:rPr>
        <w:t>عن</w:t>
      </w:r>
      <w:r w:rsidRPr="00282AC9">
        <w:rPr>
          <w:sz w:val="27"/>
          <w:rtl/>
        </w:rPr>
        <w:t xml:space="preserve"> </w:t>
      </w:r>
      <w:r w:rsidRPr="00282AC9">
        <w:rPr>
          <w:rFonts w:hint="cs"/>
          <w:sz w:val="27"/>
          <w:rtl/>
        </w:rPr>
        <w:t>الانتماء</w:t>
      </w:r>
      <w:r w:rsidRPr="00282AC9">
        <w:rPr>
          <w:sz w:val="27"/>
          <w:rtl/>
        </w:rPr>
        <w:t xml:space="preserve"> </w:t>
      </w:r>
      <w:r w:rsidRPr="00282AC9">
        <w:rPr>
          <w:rFonts w:hint="cs"/>
          <w:sz w:val="27"/>
          <w:rtl/>
        </w:rPr>
        <w:t>الديني</w:t>
      </w:r>
      <w:r w:rsidRPr="00282AC9">
        <w:rPr>
          <w:sz w:val="27"/>
          <w:rtl/>
        </w:rPr>
        <w:t xml:space="preserve"> </w:t>
      </w:r>
      <w:r w:rsidRPr="00282AC9">
        <w:rPr>
          <w:rFonts w:hint="cs"/>
          <w:sz w:val="27"/>
          <w:rtl/>
        </w:rPr>
        <w:t>أو</w:t>
      </w:r>
      <w:r w:rsidRPr="00282AC9">
        <w:rPr>
          <w:sz w:val="27"/>
          <w:rtl/>
        </w:rPr>
        <w:t xml:space="preserve"> </w:t>
      </w:r>
      <w:r w:rsidRPr="00282AC9">
        <w:rPr>
          <w:rFonts w:hint="cs"/>
          <w:sz w:val="27"/>
          <w:rtl/>
        </w:rPr>
        <w:t>القومي</w:t>
      </w:r>
      <w:r w:rsidRPr="00282AC9">
        <w:rPr>
          <w:sz w:val="27"/>
          <w:rtl/>
        </w:rPr>
        <w:t xml:space="preserve"> </w:t>
      </w:r>
      <w:r w:rsidRPr="00282AC9">
        <w:rPr>
          <w:rFonts w:hint="cs"/>
          <w:sz w:val="27"/>
          <w:rtl/>
        </w:rPr>
        <w:t>أو</w:t>
      </w:r>
      <w:r w:rsidRPr="00282AC9">
        <w:rPr>
          <w:sz w:val="27"/>
          <w:rtl/>
        </w:rPr>
        <w:t xml:space="preserve"> </w:t>
      </w:r>
      <w:r w:rsidRPr="00282AC9">
        <w:rPr>
          <w:rFonts w:hint="cs"/>
          <w:sz w:val="27"/>
          <w:rtl/>
        </w:rPr>
        <w:t>الع</w:t>
      </w:r>
      <w:r w:rsidR="00D26C9A" w:rsidRPr="00282AC9">
        <w:rPr>
          <w:rFonts w:hint="cs"/>
          <w:sz w:val="27"/>
          <w:rtl/>
        </w:rPr>
        <w:t>ِ</w:t>
      </w:r>
      <w:r w:rsidRPr="00282AC9">
        <w:rPr>
          <w:rFonts w:hint="cs"/>
          <w:sz w:val="27"/>
          <w:rtl/>
        </w:rPr>
        <w:t>ر</w:t>
      </w:r>
      <w:r w:rsidR="00D26C9A" w:rsidRPr="00282AC9">
        <w:rPr>
          <w:rFonts w:hint="cs"/>
          <w:sz w:val="27"/>
          <w:rtl/>
        </w:rPr>
        <w:t>ْ</w:t>
      </w:r>
      <w:r w:rsidRPr="00282AC9">
        <w:rPr>
          <w:rFonts w:hint="cs"/>
          <w:sz w:val="27"/>
          <w:rtl/>
        </w:rPr>
        <w:t>قي</w:t>
      </w:r>
      <w:r w:rsidR="00A80F6C" w:rsidRPr="00282AC9">
        <w:rPr>
          <w:rFonts w:hint="cs"/>
          <w:sz w:val="27"/>
          <w:rtl/>
        </w:rPr>
        <w:t>،</w:t>
      </w:r>
      <w:r w:rsidRPr="00282AC9">
        <w:rPr>
          <w:sz w:val="27"/>
          <w:rtl/>
        </w:rPr>
        <w:t xml:space="preserve"> </w:t>
      </w:r>
      <w:r w:rsidRPr="00282AC9">
        <w:rPr>
          <w:rFonts w:hint="cs"/>
          <w:sz w:val="27"/>
          <w:rtl/>
        </w:rPr>
        <w:t>أو</w:t>
      </w:r>
      <w:r w:rsidRPr="00282AC9">
        <w:rPr>
          <w:sz w:val="27"/>
          <w:rtl/>
        </w:rPr>
        <w:t xml:space="preserve"> </w:t>
      </w:r>
      <w:r w:rsidRPr="00282AC9">
        <w:rPr>
          <w:rFonts w:hint="cs"/>
          <w:sz w:val="27"/>
          <w:rtl/>
        </w:rPr>
        <w:t>غير</w:t>
      </w:r>
      <w:r w:rsidRPr="00282AC9">
        <w:rPr>
          <w:sz w:val="27"/>
          <w:rtl/>
        </w:rPr>
        <w:t xml:space="preserve"> </w:t>
      </w:r>
      <w:r w:rsidRPr="00282AC9">
        <w:rPr>
          <w:rFonts w:hint="cs"/>
          <w:sz w:val="27"/>
          <w:rtl/>
        </w:rPr>
        <w:t>ذلك</w:t>
      </w:r>
      <w:r w:rsidRPr="00282AC9">
        <w:rPr>
          <w:sz w:val="27"/>
          <w:rtl/>
        </w:rPr>
        <w:t xml:space="preserve"> </w:t>
      </w:r>
      <w:r w:rsidRPr="00282AC9">
        <w:rPr>
          <w:rFonts w:hint="cs"/>
          <w:sz w:val="27"/>
          <w:rtl/>
        </w:rPr>
        <w:t>من</w:t>
      </w:r>
      <w:r w:rsidRPr="00282AC9">
        <w:rPr>
          <w:sz w:val="27"/>
          <w:rtl/>
        </w:rPr>
        <w:t xml:space="preserve"> </w:t>
      </w:r>
      <w:r w:rsidRPr="00282AC9">
        <w:rPr>
          <w:rFonts w:hint="cs"/>
          <w:sz w:val="27"/>
          <w:rtl/>
        </w:rPr>
        <w:t>العناوين</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يختلف</w:t>
      </w:r>
      <w:r w:rsidRPr="00282AC9">
        <w:rPr>
          <w:sz w:val="27"/>
          <w:rtl/>
        </w:rPr>
        <w:t xml:space="preserve"> </w:t>
      </w:r>
      <w:r w:rsidRPr="00282AC9">
        <w:rPr>
          <w:rFonts w:hint="cs"/>
          <w:sz w:val="27"/>
          <w:rtl/>
        </w:rPr>
        <w:t>فيها</w:t>
      </w:r>
      <w:r w:rsidRPr="00282AC9">
        <w:rPr>
          <w:sz w:val="27"/>
          <w:rtl/>
        </w:rPr>
        <w:t xml:space="preserve"> </w:t>
      </w:r>
      <w:r w:rsidRPr="00282AC9">
        <w:rPr>
          <w:rFonts w:hint="cs"/>
          <w:sz w:val="27"/>
          <w:rtl/>
        </w:rPr>
        <w:t>وحولها</w:t>
      </w:r>
      <w:r w:rsidRPr="00282AC9">
        <w:rPr>
          <w:sz w:val="27"/>
          <w:rtl/>
        </w:rPr>
        <w:t xml:space="preserve"> </w:t>
      </w:r>
      <w:r w:rsidRPr="00282AC9">
        <w:rPr>
          <w:rFonts w:hint="cs"/>
          <w:sz w:val="27"/>
          <w:rtl/>
        </w:rPr>
        <w:t>وعليها</w:t>
      </w:r>
      <w:r w:rsidRPr="00282AC9">
        <w:rPr>
          <w:sz w:val="27"/>
          <w:rtl/>
        </w:rPr>
        <w:t xml:space="preserve"> </w:t>
      </w:r>
      <w:r w:rsidRPr="00282AC9">
        <w:rPr>
          <w:rFonts w:hint="cs"/>
          <w:sz w:val="27"/>
          <w:rtl/>
        </w:rPr>
        <w:t>الناس</w:t>
      </w:r>
      <w:r w:rsidRPr="00282AC9">
        <w:rPr>
          <w:sz w:val="27"/>
          <w:rtl/>
        </w:rPr>
        <w:t>.</w:t>
      </w:r>
    </w:p>
    <w:p w:rsidR="00E83C22" w:rsidRPr="00282AC9" w:rsidRDefault="00965E08" w:rsidP="003062B7">
      <w:pPr>
        <w:rPr>
          <w:rtl/>
        </w:rPr>
      </w:pPr>
      <w:r w:rsidRPr="00282AC9">
        <w:rPr>
          <w:rFonts w:hint="cs"/>
          <w:sz w:val="27"/>
          <w:rtl/>
        </w:rPr>
        <w:t>قطعاً</w:t>
      </w:r>
      <w:r w:rsidRPr="00282AC9">
        <w:rPr>
          <w:sz w:val="27"/>
          <w:rtl/>
        </w:rPr>
        <w:t xml:space="preserve"> </w:t>
      </w:r>
      <w:r w:rsidRPr="00282AC9">
        <w:rPr>
          <w:rFonts w:hint="cs"/>
          <w:sz w:val="27"/>
          <w:rtl/>
        </w:rPr>
        <w:t>مشروع</w:t>
      </w:r>
      <w:r w:rsidRPr="00282AC9">
        <w:rPr>
          <w:sz w:val="27"/>
          <w:rtl/>
        </w:rPr>
        <w:t xml:space="preserve"> </w:t>
      </w:r>
      <w:r w:rsidRPr="00282AC9">
        <w:rPr>
          <w:rFonts w:hint="cs"/>
          <w:sz w:val="27"/>
          <w:rtl/>
        </w:rPr>
        <w:t>ال</w:t>
      </w:r>
      <w:r w:rsidR="00A80F6C" w:rsidRPr="00282AC9">
        <w:rPr>
          <w:rFonts w:hint="cs"/>
          <w:sz w:val="27"/>
          <w:rtl/>
        </w:rPr>
        <w:t>إ</w:t>
      </w:r>
      <w:r w:rsidRPr="00282AC9">
        <w:rPr>
          <w:rFonts w:hint="cs"/>
          <w:sz w:val="27"/>
          <w:rtl/>
        </w:rPr>
        <w:t>مام</w:t>
      </w:r>
      <w:r w:rsidRPr="00282AC9">
        <w:rPr>
          <w:sz w:val="27"/>
          <w:rtl/>
        </w:rPr>
        <w:t xml:space="preserve"> </w:t>
      </w:r>
      <w:r w:rsidRPr="00282AC9">
        <w:rPr>
          <w:rFonts w:hint="cs"/>
          <w:sz w:val="27"/>
          <w:rtl/>
        </w:rPr>
        <w:t>الحسين</w:t>
      </w:r>
      <w:r w:rsidR="009A2A04" w:rsidRPr="00282AC9">
        <w:rPr>
          <w:rFonts w:cs="Mosawi"/>
          <w:sz w:val="22"/>
          <w:szCs w:val="22"/>
          <w:rtl/>
        </w:rPr>
        <w:t>×</w:t>
      </w:r>
      <w:r w:rsidRPr="00282AC9">
        <w:rPr>
          <w:rFonts w:hint="cs"/>
          <w:sz w:val="27"/>
          <w:rtl/>
        </w:rPr>
        <w:t xml:space="preserve"> كانت له </w:t>
      </w:r>
      <w:r w:rsidR="00C14EDE">
        <w:rPr>
          <w:rFonts w:hint="cs"/>
          <w:sz w:val="27"/>
          <w:rtl/>
        </w:rPr>
        <w:t xml:space="preserve">العديد </w:t>
      </w:r>
      <w:r w:rsidRPr="00282AC9">
        <w:rPr>
          <w:rFonts w:hint="cs"/>
          <w:sz w:val="27"/>
          <w:rtl/>
        </w:rPr>
        <w:t>من</w:t>
      </w:r>
      <w:r w:rsidRPr="00282AC9">
        <w:rPr>
          <w:sz w:val="27"/>
          <w:rtl/>
        </w:rPr>
        <w:t xml:space="preserve"> </w:t>
      </w:r>
      <w:r w:rsidRPr="00282AC9">
        <w:rPr>
          <w:rFonts w:hint="cs"/>
          <w:sz w:val="27"/>
          <w:rtl/>
        </w:rPr>
        <w:t>الآثار</w:t>
      </w:r>
      <w:r w:rsidRPr="00282AC9">
        <w:rPr>
          <w:sz w:val="27"/>
          <w:rtl/>
        </w:rPr>
        <w:t xml:space="preserve"> </w:t>
      </w:r>
      <w:r w:rsidR="00A80F6C" w:rsidRPr="00282AC9">
        <w:rPr>
          <w:rFonts w:hint="cs"/>
          <w:sz w:val="27"/>
          <w:rtl/>
        </w:rPr>
        <w:t>و</w:t>
      </w:r>
      <w:r w:rsidRPr="00282AC9">
        <w:rPr>
          <w:rFonts w:hint="cs"/>
          <w:sz w:val="27"/>
          <w:rtl/>
        </w:rPr>
        <w:t>التأثير</w:t>
      </w:r>
      <w:r w:rsidR="00A80F6C" w:rsidRPr="00282AC9">
        <w:rPr>
          <w:rFonts w:hint="cs"/>
          <w:sz w:val="27"/>
          <w:rtl/>
        </w:rPr>
        <w:t>ات</w:t>
      </w:r>
      <w:r w:rsidRPr="00282AC9">
        <w:rPr>
          <w:sz w:val="27"/>
          <w:rtl/>
        </w:rPr>
        <w:t xml:space="preserve"> </w:t>
      </w:r>
      <w:r w:rsidR="00A80F6C" w:rsidRPr="00282AC9">
        <w:rPr>
          <w:rFonts w:hint="cs"/>
          <w:sz w:val="27"/>
          <w:rtl/>
        </w:rPr>
        <w:t>و</w:t>
      </w:r>
      <w:r w:rsidRPr="00282AC9">
        <w:rPr>
          <w:rFonts w:hint="cs"/>
          <w:sz w:val="27"/>
          <w:rtl/>
        </w:rPr>
        <w:t>الترددات</w:t>
      </w:r>
      <w:r w:rsidRPr="00282AC9">
        <w:rPr>
          <w:sz w:val="27"/>
          <w:rtl/>
        </w:rPr>
        <w:t xml:space="preserve"> </w:t>
      </w:r>
      <w:r w:rsidRPr="00282AC9">
        <w:rPr>
          <w:rFonts w:hint="cs"/>
          <w:sz w:val="27"/>
          <w:rtl/>
        </w:rPr>
        <w:t>الكبيرة</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سب</w:t>
      </w:r>
      <w:r w:rsidR="00A80F6C" w:rsidRPr="00282AC9">
        <w:rPr>
          <w:rFonts w:hint="cs"/>
          <w:sz w:val="27"/>
          <w:rtl/>
        </w:rPr>
        <w:t>َّ</w:t>
      </w:r>
      <w:r w:rsidRPr="00282AC9">
        <w:rPr>
          <w:rFonts w:hint="cs"/>
          <w:sz w:val="27"/>
          <w:rtl/>
        </w:rPr>
        <w:t>بها</w:t>
      </w:r>
      <w:r w:rsidRPr="00282AC9">
        <w:rPr>
          <w:sz w:val="27"/>
          <w:rtl/>
        </w:rPr>
        <w:t xml:space="preserve">. </w:t>
      </w:r>
      <w:r w:rsidRPr="00282AC9">
        <w:rPr>
          <w:rFonts w:hint="cs"/>
          <w:sz w:val="27"/>
          <w:rtl/>
        </w:rPr>
        <w:t>فهناك</w:t>
      </w:r>
      <w:r w:rsidRPr="00282AC9">
        <w:rPr>
          <w:sz w:val="27"/>
          <w:rtl/>
        </w:rPr>
        <w:t xml:space="preserve"> </w:t>
      </w:r>
      <w:r w:rsidRPr="00282AC9">
        <w:rPr>
          <w:rFonts w:hint="cs"/>
          <w:sz w:val="27"/>
          <w:rtl/>
        </w:rPr>
        <w:t>ترد</w:t>
      </w:r>
      <w:r w:rsidR="00A80F6C" w:rsidRPr="00282AC9">
        <w:rPr>
          <w:rFonts w:hint="cs"/>
          <w:sz w:val="27"/>
          <w:rtl/>
        </w:rPr>
        <w:t>ُّ</w:t>
      </w:r>
      <w:r w:rsidRPr="00282AC9">
        <w:rPr>
          <w:rFonts w:hint="cs"/>
          <w:sz w:val="27"/>
          <w:rtl/>
        </w:rPr>
        <w:t>داتٌ</w:t>
      </w:r>
      <w:r w:rsidRPr="00282AC9">
        <w:rPr>
          <w:sz w:val="27"/>
          <w:rtl/>
        </w:rPr>
        <w:t xml:space="preserve"> </w:t>
      </w:r>
      <w:r w:rsidRPr="00282AC9">
        <w:rPr>
          <w:rFonts w:hint="cs"/>
          <w:sz w:val="27"/>
          <w:rtl/>
        </w:rPr>
        <w:t>و</w:t>
      </w:r>
      <w:r w:rsidR="00A80F6C" w:rsidRPr="00282AC9">
        <w:rPr>
          <w:rFonts w:hint="cs"/>
          <w:sz w:val="27"/>
          <w:rtl/>
        </w:rPr>
        <w:t>ا</w:t>
      </w:r>
      <w:r w:rsidRPr="00282AC9">
        <w:rPr>
          <w:rFonts w:hint="cs"/>
          <w:sz w:val="27"/>
          <w:rtl/>
        </w:rPr>
        <w:t>نعكاساتٌ</w:t>
      </w:r>
      <w:r w:rsidRPr="00282AC9">
        <w:rPr>
          <w:sz w:val="27"/>
          <w:rtl/>
        </w:rPr>
        <w:t xml:space="preserve"> </w:t>
      </w:r>
      <w:r w:rsidRPr="00282AC9">
        <w:rPr>
          <w:rFonts w:hint="cs"/>
          <w:sz w:val="27"/>
          <w:rtl/>
        </w:rPr>
        <w:t>كثيرة</w:t>
      </w:r>
      <w:r w:rsidR="00A80F6C" w:rsidRPr="00282AC9">
        <w:rPr>
          <w:rFonts w:hint="cs"/>
          <w:sz w:val="27"/>
          <w:rtl/>
        </w:rPr>
        <w:t>.</w:t>
      </w:r>
      <w:r w:rsidRPr="00282AC9">
        <w:rPr>
          <w:sz w:val="27"/>
          <w:rtl/>
        </w:rPr>
        <w:t xml:space="preserve"> </w:t>
      </w:r>
      <w:r w:rsidRPr="00282AC9">
        <w:rPr>
          <w:rFonts w:hint="cs"/>
          <w:sz w:val="27"/>
          <w:rtl/>
        </w:rPr>
        <w:t>لكن</w:t>
      </w:r>
      <w:r w:rsidR="00A80F6C" w:rsidRPr="00282AC9">
        <w:rPr>
          <w:rFonts w:hint="cs"/>
          <w:sz w:val="27"/>
          <w:rtl/>
        </w:rPr>
        <w:t>ّ</w:t>
      </w:r>
      <w:r w:rsidRPr="00282AC9">
        <w:rPr>
          <w:sz w:val="27"/>
          <w:rtl/>
        </w:rPr>
        <w:t xml:space="preserve"> </w:t>
      </w:r>
      <w:r w:rsidRPr="00282AC9">
        <w:rPr>
          <w:rFonts w:hint="cs"/>
          <w:sz w:val="27"/>
          <w:rtl/>
        </w:rPr>
        <w:t>هذا</w:t>
      </w:r>
      <w:r w:rsidRPr="00282AC9">
        <w:rPr>
          <w:sz w:val="27"/>
          <w:rtl/>
        </w:rPr>
        <w:t xml:space="preserve"> </w:t>
      </w:r>
      <w:r w:rsidRPr="00282AC9">
        <w:rPr>
          <w:rFonts w:hint="cs"/>
          <w:sz w:val="27"/>
          <w:rtl/>
        </w:rPr>
        <w:t>الكلام</w:t>
      </w:r>
      <w:r w:rsidRPr="00282AC9">
        <w:rPr>
          <w:sz w:val="27"/>
          <w:rtl/>
        </w:rPr>
        <w:t xml:space="preserve"> </w:t>
      </w:r>
      <w:r w:rsidRPr="00282AC9">
        <w:rPr>
          <w:rFonts w:hint="cs"/>
          <w:sz w:val="27"/>
          <w:rtl/>
        </w:rPr>
        <w:t>سيبقى</w:t>
      </w:r>
      <w:r w:rsidRPr="00282AC9">
        <w:rPr>
          <w:sz w:val="27"/>
          <w:rtl/>
        </w:rPr>
        <w:t xml:space="preserve"> </w:t>
      </w:r>
      <w:r w:rsidRPr="00282AC9">
        <w:rPr>
          <w:rFonts w:hint="cs"/>
          <w:sz w:val="27"/>
          <w:rtl/>
        </w:rPr>
        <w:t>في</w:t>
      </w:r>
      <w:r w:rsidRPr="00282AC9">
        <w:rPr>
          <w:sz w:val="27"/>
          <w:rtl/>
        </w:rPr>
        <w:t xml:space="preserve"> </w:t>
      </w:r>
      <w:r w:rsidRPr="00282AC9">
        <w:rPr>
          <w:rFonts w:hint="cs"/>
          <w:sz w:val="27"/>
          <w:rtl/>
        </w:rPr>
        <w:t>الحاشية</w:t>
      </w:r>
      <w:r w:rsidRPr="00282AC9">
        <w:rPr>
          <w:sz w:val="27"/>
          <w:rtl/>
        </w:rPr>
        <w:t xml:space="preserve">. </w:t>
      </w:r>
      <w:r w:rsidRPr="00282AC9">
        <w:rPr>
          <w:rFonts w:hint="cs"/>
          <w:sz w:val="27"/>
          <w:rtl/>
        </w:rPr>
        <w:t>أما</w:t>
      </w:r>
      <w:r w:rsidRPr="00282AC9">
        <w:rPr>
          <w:sz w:val="27"/>
          <w:rtl/>
        </w:rPr>
        <w:t xml:space="preserve"> </w:t>
      </w:r>
      <w:r w:rsidRPr="00282AC9">
        <w:rPr>
          <w:rFonts w:hint="cs"/>
          <w:sz w:val="27"/>
          <w:rtl/>
        </w:rPr>
        <w:t>متن</w:t>
      </w:r>
      <w:r w:rsidRPr="00282AC9">
        <w:rPr>
          <w:sz w:val="27"/>
          <w:rtl/>
        </w:rPr>
        <w:t xml:space="preserve"> </w:t>
      </w:r>
      <w:r w:rsidRPr="00282AC9">
        <w:rPr>
          <w:rFonts w:hint="cs"/>
          <w:sz w:val="27"/>
          <w:rtl/>
        </w:rPr>
        <w:t>الحقيقة</w:t>
      </w:r>
      <w:r w:rsidRPr="00282AC9">
        <w:rPr>
          <w:sz w:val="27"/>
          <w:rtl/>
        </w:rPr>
        <w:t xml:space="preserve"> </w:t>
      </w:r>
      <w:r w:rsidRPr="00282AC9">
        <w:rPr>
          <w:rFonts w:hint="cs"/>
          <w:sz w:val="27"/>
          <w:rtl/>
        </w:rPr>
        <w:t>فهو</w:t>
      </w:r>
      <w:r w:rsidRPr="00282AC9">
        <w:rPr>
          <w:sz w:val="27"/>
          <w:rtl/>
        </w:rPr>
        <w:t xml:space="preserve"> </w:t>
      </w:r>
      <w:r w:rsidRPr="00282AC9">
        <w:rPr>
          <w:rFonts w:hint="cs"/>
          <w:sz w:val="27"/>
          <w:rtl/>
        </w:rPr>
        <w:t>الذي</w:t>
      </w:r>
      <w:r w:rsidRPr="00282AC9">
        <w:rPr>
          <w:sz w:val="27"/>
          <w:rtl/>
        </w:rPr>
        <w:t xml:space="preserve"> </w:t>
      </w:r>
      <w:r w:rsidRPr="00282AC9">
        <w:rPr>
          <w:rFonts w:hint="cs"/>
          <w:sz w:val="27"/>
          <w:rtl/>
        </w:rPr>
        <w:t>ذك</w:t>
      </w:r>
      <w:r w:rsidR="00A80F6C" w:rsidRPr="00282AC9">
        <w:rPr>
          <w:rFonts w:hint="cs"/>
          <w:sz w:val="27"/>
          <w:rtl/>
        </w:rPr>
        <w:t>َ</w:t>
      </w:r>
      <w:r w:rsidRPr="00282AC9">
        <w:rPr>
          <w:rFonts w:hint="cs"/>
          <w:sz w:val="27"/>
          <w:rtl/>
        </w:rPr>
        <w:t>ر</w:t>
      </w:r>
      <w:r w:rsidR="00A80F6C" w:rsidRPr="00282AC9">
        <w:rPr>
          <w:rFonts w:hint="cs"/>
          <w:sz w:val="27"/>
          <w:rtl/>
        </w:rPr>
        <w:t>ْ</w:t>
      </w:r>
      <w:r w:rsidRPr="00282AC9">
        <w:rPr>
          <w:rFonts w:hint="cs"/>
          <w:sz w:val="27"/>
          <w:rtl/>
        </w:rPr>
        <w:t>ناه</w:t>
      </w:r>
      <w:r w:rsidR="00A80F6C" w:rsidRPr="00282AC9">
        <w:rPr>
          <w:rFonts w:hint="cs"/>
          <w:sz w:val="27"/>
          <w:rtl/>
        </w:rPr>
        <w:t>،</w:t>
      </w:r>
      <w:r w:rsidRPr="00282AC9">
        <w:rPr>
          <w:sz w:val="27"/>
          <w:rtl/>
        </w:rPr>
        <w:t xml:space="preserve"> </w:t>
      </w:r>
      <w:r w:rsidRPr="00282AC9">
        <w:rPr>
          <w:rFonts w:hint="cs"/>
          <w:sz w:val="27"/>
          <w:rtl/>
        </w:rPr>
        <w:t>وبي</w:t>
      </w:r>
      <w:r w:rsidR="00A80F6C" w:rsidRPr="00282AC9">
        <w:rPr>
          <w:rFonts w:hint="cs"/>
          <w:sz w:val="27"/>
          <w:rtl/>
        </w:rPr>
        <w:t>َّ</w:t>
      </w:r>
      <w:r w:rsidRPr="00282AC9">
        <w:rPr>
          <w:rFonts w:hint="cs"/>
          <w:sz w:val="27"/>
          <w:rtl/>
        </w:rPr>
        <w:t>نته</w:t>
      </w:r>
      <w:r w:rsidRPr="00282AC9">
        <w:rPr>
          <w:sz w:val="27"/>
          <w:rtl/>
        </w:rPr>
        <w:t xml:space="preserve"> </w:t>
      </w:r>
      <w:r w:rsidRPr="00282AC9">
        <w:rPr>
          <w:rFonts w:hint="cs"/>
          <w:sz w:val="27"/>
          <w:rtl/>
        </w:rPr>
        <w:t>آيات</w:t>
      </w:r>
      <w:r w:rsidRPr="00282AC9">
        <w:rPr>
          <w:sz w:val="27"/>
          <w:rtl/>
        </w:rPr>
        <w:t xml:space="preserve"> </w:t>
      </w:r>
      <w:r w:rsidRPr="00282AC9">
        <w:rPr>
          <w:rFonts w:hint="cs"/>
          <w:sz w:val="27"/>
          <w:rtl/>
        </w:rPr>
        <w:t>القر</w:t>
      </w:r>
      <w:r w:rsidR="00A80F6C" w:rsidRPr="00282AC9">
        <w:rPr>
          <w:rFonts w:hint="cs"/>
          <w:sz w:val="27"/>
          <w:rtl/>
        </w:rPr>
        <w:t>آ</w:t>
      </w:r>
      <w:r w:rsidRPr="00282AC9">
        <w:rPr>
          <w:rFonts w:hint="cs"/>
          <w:sz w:val="27"/>
          <w:rtl/>
        </w:rPr>
        <w:t>ن</w:t>
      </w:r>
      <w:r w:rsidRPr="00282AC9">
        <w:rPr>
          <w:sz w:val="27"/>
          <w:rtl/>
        </w:rPr>
        <w:t xml:space="preserve"> </w:t>
      </w:r>
      <w:r w:rsidRPr="00282AC9">
        <w:rPr>
          <w:rFonts w:hint="cs"/>
          <w:sz w:val="27"/>
          <w:rtl/>
        </w:rPr>
        <w:t>الكريم</w:t>
      </w:r>
      <w:r w:rsidRPr="00282AC9">
        <w:rPr>
          <w:sz w:val="27"/>
          <w:rtl/>
        </w:rPr>
        <w:t xml:space="preserve"> </w:t>
      </w:r>
      <w:r w:rsidRPr="00282AC9">
        <w:rPr>
          <w:rFonts w:hint="cs"/>
          <w:sz w:val="27"/>
          <w:rtl/>
        </w:rPr>
        <w:t>والأحاديث</w:t>
      </w:r>
      <w:r w:rsidRPr="00282AC9">
        <w:rPr>
          <w:sz w:val="27"/>
          <w:rtl/>
        </w:rPr>
        <w:t xml:space="preserve"> </w:t>
      </w:r>
      <w:r w:rsidRPr="00282AC9">
        <w:rPr>
          <w:rFonts w:hint="cs"/>
          <w:sz w:val="27"/>
          <w:rtl/>
        </w:rPr>
        <w:t>الشريفة</w:t>
      </w:r>
      <w:r w:rsidR="00A80F6C" w:rsidRPr="00282AC9">
        <w:rPr>
          <w:rFonts w:hint="cs"/>
          <w:sz w:val="27"/>
          <w:rtl/>
        </w:rPr>
        <w:t>،</w:t>
      </w:r>
      <w:r w:rsidRPr="00282AC9">
        <w:rPr>
          <w:sz w:val="27"/>
          <w:rtl/>
        </w:rPr>
        <w:t xml:space="preserve"> </w:t>
      </w:r>
      <w:r w:rsidRPr="00282AC9">
        <w:rPr>
          <w:rFonts w:hint="cs"/>
          <w:sz w:val="27"/>
          <w:rtl/>
        </w:rPr>
        <w:t>بتلك</w:t>
      </w:r>
      <w:r w:rsidRPr="00282AC9">
        <w:rPr>
          <w:sz w:val="27"/>
          <w:rtl/>
        </w:rPr>
        <w:t xml:space="preserve"> </w:t>
      </w:r>
      <w:r w:rsidRPr="00282AC9">
        <w:rPr>
          <w:rFonts w:hint="cs"/>
          <w:sz w:val="27"/>
          <w:rtl/>
        </w:rPr>
        <w:t>الحقيقة</w:t>
      </w:r>
      <w:r w:rsidRPr="00282AC9">
        <w:rPr>
          <w:sz w:val="27"/>
          <w:rtl/>
        </w:rPr>
        <w:t xml:space="preserve"> </w:t>
      </w:r>
      <w:r w:rsidRPr="00282AC9">
        <w:rPr>
          <w:rFonts w:hint="cs"/>
          <w:sz w:val="27"/>
          <w:rtl/>
        </w:rPr>
        <w:t>الناصعة</w:t>
      </w:r>
      <w:r w:rsidRPr="00282AC9">
        <w:rPr>
          <w:sz w:val="27"/>
          <w:rtl/>
        </w:rPr>
        <w:t xml:space="preserve"> </w:t>
      </w:r>
      <w:r w:rsidRPr="00282AC9">
        <w:rPr>
          <w:rFonts w:hint="cs"/>
          <w:sz w:val="27"/>
          <w:rtl/>
        </w:rPr>
        <w:t>البي</w:t>
      </w:r>
      <w:r w:rsidR="00A80F6C" w:rsidRPr="00282AC9">
        <w:rPr>
          <w:rFonts w:hint="cs"/>
          <w:sz w:val="27"/>
          <w:rtl/>
        </w:rPr>
        <w:t>ِّ</w:t>
      </w:r>
      <w:r w:rsidRPr="00282AC9">
        <w:rPr>
          <w:rFonts w:hint="cs"/>
          <w:sz w:val="27"/>
          <w:rtl/>
        </w:rPr>
        <w:t>نة</w:t>
      </w:r>
      <w:r w:rsidR="00A80F6C" w:rsidRPr="00282AC9">
        <w:rPr>
          <w:rFonts w:hint="cs"/>
          <w:sz w:val="27"/>
          <w:rtl/>
        </w:rPr>
        <w:t>،</w:t>
      </w:r>
      <w:r w:rsidRPr="00282AC9">
        <w:rPr>
          <w:sz w:val="27"/>
          <w:rtl/>
        </w:rPr>
        <w:t xml:space="preserve"> </w:t>
      </w:r>
      <w:r w:rsidRPr="00282AC9">
        <w:rPr>
          <w:rFonts w:hint="cs"/>
          <w:sz w:val="27"/>
          <w:rtl/>
        </w:rPr>
        <w:t>التي</w:t>
      </w:r>
      <w:r w:rsidRPr="00282AC9">
        <w:rPr>
          <w:sz w:val="27"/>
          <w:rtl/>
        </w:rPr>
        <w:t xml:space="preserve"> </w:t>
      </w:r>
      <w:r w:rsidRPr="00282AC9">
        <w:rPr>
          <w:rFonts w:hint="cs"/>
          <w:sz w:val="27"/>
          <w:rtl/>
        </w:rPr>
        <w:t>تقد</w:t>
      </w:r>
      <w:r w:rsidR="00A80F6C" w:rsidRPr="00282AC9">
        <w:rPr>
          <w:rFonts w:hint="cs"/>
          <w:sz w:val="27"/>
          <w:rtl/>
        </w:rPr>
        <w:t>َّ</w:t>
      </w:r>
      <w:r w:rsidRPr="00282AC9">
        <w:rPr>
          <w:rFonts w:hint="cs"/>
          <w:sz w:val="27"/>
          <w:rtl/>
        </w:rPr>
        <w:t>م</w:t>
      </w:r>
      <w:r w:rsidRPr="00282AC9">
        <w:rPr>
          <w:sz w:val="27"/>
          <w:rtl/>
        </w:rPr>
        <w:t xml:space="preserve"> </w:t>
      </w:r>
      <w:r w:rsidRPr="00282AC9">
        <w:rPr>
          <w:rFonts w:hint="cs"/>
          <w:sz w:val="27"/>
          <w:rtl/>
        </w:rPr>
        <w:t>ذ</w:t>
      </w:r>
      <w:r w:rsidR="00A80F6C" w:rsidRPr="00282AC9">
        <w:rPr>
          <w:rFonts w:hint="cs"/>
          <w:sz w:val="27"/>
          <w:rtl/>
        </w:rPr>
        <w:t>ِ</w:t>
      </w:r>
      <w:r w:rsidRPr="00282AC9">
        <w:rPr>
          <w:rFonts w:hint="cs"/>
          <w:sz w:val="27"/>
          <w:rtl/>
        </w:rPr>
        <w:t>ك</w:t>
      </w:r>
      <w:r w:rsidR="00A80F6C" w:rsidRPr="00282AC9">
        <w:rPr>
          <w:rFonts w:hint="cs"/>
          <w:sz w:val="27"/>
          <w:rtl/>
        </w:rPr>
        <w:t>ْ</w:t>
      </w:r>
      <w:r w:rsidRPr="00282AC9">
        <w:rPr>
          <w:rFonts w:hint="cs"/>
          <w:sz w:val="27"/>
          <w:rtl/>
        </w:rPr>
        <w:t>ر</w:t>
      </w:r>
      <w:r w:rsidR="00A80F6C" w:rsidRPr="00282AC9">
        <w:rPr>
          <w:rFonts w:hint="cs"/>
          <w:sz w:val="27"/>
          <w:rtl/>
        </w:rPr>
        <w:t>ُ</w:t>
      </w:r>
      <w:r w:rsidRPr="00282AC9">
        <w:rPr>
          <w:rFonts w:hint="cs"/>
          <w:sz w:val="27"/>
          <w:rtl/>
        </w:rPr>
        <w:t>ها</w:t>
      </w:r>
      <w:r w:rsidRPr="00282AC9">
        <w:rPr>
          <w:sz w:val="27"/>
          <w:rtl/>
        </w:rPr>
        <w:t>.</w:t>
      </w:r>
    </w:p>
    <w:p w:rsidR="00E83C22" w:rsidRPr="00282AC9" w:rsidRDefault="00E83C22" w:rsidP="00484C78">
      <w:pPr>
        <w:spacing w:line="580" w:lineRule="exact"/>
        <w:rPr>
          <w:rtl/>
        </w:rPr>
      </w:pPr>
    </w:p>
    <w:p w:rsidR="00E83C22" w:rsidRPr="00282AC9" w:rsidRDefault="00E83C22" w:rsidP="00484C78">
      <w:pPr>
        <w:spacing w:line="580" w:lineRule="exact"/>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131"/>
          <w:headerReference w:type="default" r:id="rId132"/>
          <w:footerReference w:type="even" r:id="rId133"/>
          <w:footerReference w:type="default" r:id="rId13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135"/>
          <w:headerReference w:type="default" r:id="rId136"/>
          <w:footerReference w:type="even" r:id="rId137"/>
          <w:footerReference w:type="default" r:id="rId138"/>
          <w:headerReference w:type="first" r:id="rId13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91196D">
      <w:pPr>
        <w:spacing w:line="360" w:lineRule="exact"/>
        <w:rPr>
          <w:rtl/>
        </w:rPr>
      </w:pPr>
    </w:p>
    <w:p w:rsidR="00E83C22" w:rsidRPr="00282AC9" w:rsidRDefault="00E83C22" w:rsidP="0091196D">
      <w:pPr>
        <w:spacing w:line="360" w:lineRule="exact"/>
        <w:rPr>
          <w:rtl/>
        </w:rPr>
      </w:pPr>
    </w:p>
    <w:p w:rsidR="00E83C22" w:rsidRPr="00282AC9" w:rsidRDefault="00B4645B" w:rsidP="00B1455E">
      <w:pPr>
        <w:pStyle w:val="11"/>
        <w:spacing w:line="216" w:lineRule="auto"/>
        <w:rPr>
          <w:rtl/>
          <w:lang w:bidi="ar-LB"/>
        </w:rPr>
      </w:pPr>
      <w:bookmarkStart w:id="81" w:name="_Toc87011525"/>
      <w:r w:rsidRPr="00282AC9">
        <w:rPr>
          <w:rtl/>
          <w:lang w:bidi="ar-LB"/>
        </w:rPr>
        <w:t>تعدّ</w:t>
      </w:r>
      <w:r w:rsidR="003C7790" w:rsidRPr="00282AC9">
        <w:rPr>
          <w:rFonts w:hint="cs"/>
          <w:rtl/>
          <w:lang w:bidi="ar-LB"/>
        </w:rPr>
        <w:t>ُ</w:t>
      </w:r>
      <w:r w:rsidRPr="00282AC9">
        <w:rPr>
          <w:rtl/>
          <w:lang w:bidi="ar-LB"/>
        </w:rPr>
        <w:t>د الزوجات في الإسلام بين الر</w:t>
      </w:r>
      <w:r w:rsidR="00B1455E" w:rsidRPr="00282AC9">
        <w:rPr>
          <w:rFonts w:hint="cs"/>
          <w:rtl/>
          <w:lang w:bidi="ar-LB"/>
        </w:rPr>
        <w:t>ا</w:t>
      </w:r>
      <w:r w:rsidRPr="00282AC9">
        <w:rPr>
          <w:rtl/>
          <w:lang w:bidi="ar-LB"/>
        </w:rPr>
        <w:t>جح والمرجوح</w:t>
      </w:r>
      <w:bookmarkEnd w:id="81"/>
    </w:p>
    <w:p w:rsidR="00E83C22" w:rsidRPr="00282AC9" w:rsidRDefault="00B4645B" w:rsidP="00B4645B">
      <w:pPr>
        <w:pStyle w:val="11"/>
        <w:spacing w:line="216" w:lineRule="auto"/>
        <w:rPr>
          <w:sz w:val="26"/>
          <w:szCs w:val="42"/>
          <w:rtl/>
        </w:rPr>
      </w:pPr>
      <w:bookmarkStart w:id="82" w:name="_Toc87011526"/>
      <w:r w:rsidRPr="00282AC9">
        <w:rPr>
          <w:sz w:val="26"/>
          <w:szCs w:val="42"/>
          <w:rtl/>
          <w:lang w:bidi="ar-LB"/>
        </w:rPr>
        <w:t>دراسة</w:t>
      </w:r>
      <w:r w:rsidRPr="00282AC9">
        <w:rPr>
          <w:rFonts w:hint="cs"/>
          <w:sz w:val="26"/>
          <w:szCs w:val="42"/>
          <w:rtl/>
          <w:lang w:bidi="ar-LB"/>
        </w:rPr>
        <w:t>ٌ</w:t>
      </w:r>
      <w:r w:rsidRPr="00282AC9">
        <w:rPr>
          <w:sz w:val="26"/>
          <w:szCs w:val="42"/>
          <w:rtl/>
          <w:lang w:bidi="ar-LB"/>
        </w:rPr>
        <w:t xml:space="preserve"> فقهيّة استدلالي</w:t>
      </w:r>
      <w:r w:rsidR="00A935B6" w:rsidRPr="00282AC9">
        <w:rPr>
          <w:rFonts w:hint="cs"/>
          <w:sz w:val="26"/>
          <w:szCs w:val="42"/>
          <w:rtl/>
          <w:lang w:bidi="ar-LB"/>
        </w:rPr>
        <w:t>ّ</w:t>
      </w:r>
      <w:r w:rsidRPr="00282AC9">
        <w:rPr>
          <w:sz w:val="26"/>
          <w:szCs w:val="42"/>
          <w:rtl/>
          <w:lang w:bidi="ar-LB"/>
        </w:rPr>
        <w:t>ة</w:t>
      </w:r>
      <w:bookmarkEnd w:id="82"/>
    </w:p>
    <w:p w:rsidR="00E83C22" w:rsidRPr="00282AC9" w:rsidRDefault="00E83C22" w:rsidP="0091196D">
      <w:pPr>
        <w:spacing w:line="360" w:lineRule="exact"/>
        <w:rPr>
          <w:rtl/>
        </w:rPr>
      </w:pPr>
    </w:p>
    <w:p w:rsidR="00E83C22" w:rsidRPr="00282AC9" w:rsidRDefault="00C73F02" w:rsidP="00C73F02">
      <w:pPr>
        <w:pStyle w:val="Author"/>
        <w:rPr>
          <w:rtl/>
        </w:rPr>
      </w:pPr>
      <w:bookmarkStart w:id="83" w:name="_Toc87011527"/>
      <w:r w:rsidRPr="00282AC9">
        <w:rPr>
          <w:rFonts w:hint="cs"/>
          <w:rtl/>
          <w:lang w:bidi="ar-LB"/>
        </w:rPr>
        <w:t>الشيخ علي نذر</w:t>
      </w:r>
      <w:r w:rsidR="00527634" w:rsidRPr="00282AC9">
        <w:rPr>
          <w:rFonts w:cs="Taher" w:hint="cs"/>
          <w:vertAlign w:val="superscript"/>
          <w:rtl/>
        </w:rPr>
        <w:t>(</w:t>
      </w:r>
      <w:r w:rsidR="00527634" w:rsidRPr="00282AC9">
        <w:rPr>
          <w:rFonts w:cs="Taher"/>
          <w:vertAlign w:val="superscript"/>
          <w:rtl/>
        </w:rPr>
        <w:footnoteReference w:customMarkFollows="1" w:id="17"/>
        <w:t>*)</w:t>
      </w:r>
      <w:bookmarkEnd w:id="83"/>
    </w:p>
    <w:p w:rsidR="00E83C22" w:rsidRPr="00282AC9" w:rsidRDefault="00E83C22" w:rsidP="0091196D">
      <w:pPr>
        <w:spacing w:line="360" w:lineRule="exact"/>
        <w:rPr>
          <w:rtl/>
        </w:rPr>
      </w:pPr>
    </w:p>
    <w:p w:rsidR="00B4645B" w:rsidRPr="00282AC9" w:rsidRDefault="00B4645B" w:rsidP="00C73F02">
      <w:pPr>
        <w:pStyle w:val="31"/>
        <w:rPr>
          <w:color w:val="auto"/>
          <w:rtl/>
          <w:lang w:bidi="ar-LB"/>
        </w:rPr>
      </w:pPr>
      <w:bookmarkStart w:id="84" w:name="_Toc49871947"/>
      <w:r w:rsidRPr="00282AC9">
        <w:rPr>
          <w:color w:val="auto"/>
          <w:rtl/>
          <w:lang w:bidi="ar-LB"/>
        </w:rPr>
        <w:t>مقد</w:t>
      </w:r>
      <w:r w:rsidRPr="00282AC9">
        <w:rPr>
          <w:rFonts w:hint="cs"/>
          <w:color w:val="auto"/>
          <w:rtl/>
          <w:lang w:bidi="ar-LB"/>
        </w:rPr>
        <w:t>ّ</w:t>
      </w:r>
      <w:r w:rsidRPr="00282AC9">
        <w:rPr>
          <w:color w:val="auto"/>
          <w:rtl/>
          <w:lang w:bidi="ar-LB"/>
        </w:rPr>
        <w:t>مة</w:t>
      </w:r>
      <w:bookmarkEnd w:id="84"/>
      <w:r w:rsidRPr="00282AC9">
        <w:rPr>
          <w:rFonts w:hint="cs"/>
          <w:color w:val="auto"/>
          <w:rtl/>
          <w:lang w:bidi="ar-LB"/>
        </w:rPr>
        <w:t>ٌ</w:t>
      </w:r>
    </w:p>
    <w:p w:rsidR="00B4645B" w:rsidRPr="00282AC9" w:rsidRDefault="00674EF5" w:rsidP="0091196D">
      <w:pPr>
        <w:spacing w:line="390" w:lineRule="exact"/>
        <w:rPr>
          <w:rFonts w:ascii="Simplified Arabic" w:hAnsi="Simplified Arabic"/>
          <w:sz w:val="27"/>
          <w:rtl/>
          <w:lang w:bidi="ar-LB"/>
        </w:rPr>
      </w:pPr>
      <w:r w:rsidRPr="00282AC9">
        <w:rPr>
          <w:rFonts w:ascii="Simplified Arabic" w:hAnsi="Simplified Arabic" w:hint="cs"/>
          <w:sz w:val="27"/>
          <w:rtl/>
          <w:lang w:bidi="ar-LB"/>
        </w:rPr>
        <w:t>لا شَكَّ</w:t>
      </w:r>
      <w:r w:rsidR="00A935B6" w:rsidRPr="00282AC9">
        <w:rPr>
          <w:rFonts w:ascii="Simplified Arabic" w:hAnsi="Simplified Arabic" w:hint="cs"/>
          <w:sz w:val="27"/>
          <w:rtl/>
          <w:lang w:bidi="ar-LB"/>
        </w:rPr>
        <w:t xml:space="preserve"> أن أصل التزويج والزواج مستحبٌّ</w:t>
      </w:r>
      <w:r w:rsidR="00B4645B" w:rsidRPr="00282AC9">
        <w:rPr>
          <w:rFonts w:ascii="Simplified Arabic" w:hAnsi="Simplified Arabic" w:hint="cs"/>
          <w:sz w:val="27"/>
          <w:rtl/>
          <w:lang w:bidi="ar-LB"/>
        </w:rPr>
        <w:t xml:space="preserve"> في الإسلام</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حت</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ى ورد عن رسول الله</w:t>
      </w:r>
      <w:r w:rsidR="009A2A04" w:rsidRPr="00282AC9">
        <w:rPr>
          <w:rFonts w:ascii="Simplified Arabic" w:hAnsi="Simplified Arabic" w:cs="Mosawi" w:hint="cs"/>
          <w:sz w:val="22"/>
          <w:szCs w:val="22"/>
          <w:rtl/>
          <w:lang w:bidi="ar-LB"/>
        </w:rPr>
        <w:t>|</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w:t>
      </w:r>
      <w:r w:rsidR="00A935B6" w:rsidRPr="00282AC9">
        <w:rPr>
          <w:rFonts w:hint="eastAsia"/>
          <w:sz w:val="24"/>
          <w:szCs w:val="24"/>
          <w:rtl/>
        </w:rPr>
        <w:t>«</w:t>
      </w:r>
      <w:r w:rsidR="00B4645B" w:rsidRPr="00282AC9">
        <w:rPr>
          <w:rFonts w:ascii="Simplified Arabic" w:hAnsi="Simplified Arabic" w:hint="cs"/>
          <w:sz w:val="27"/>
          <w:rtl/>
          <w:lang w:bidi="ar-LB"/>
        </w:rPr>
        <w:t>م</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ن</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تزو</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ج فقد أحرز نصف دينه</w:t>
      </w:r>
      <w:r w:rsidR="00A935B6" w:rsidRPr="00282AC9">
        <w:rPr>
          <w:rFonts w:hint="eastAsia"/>
          <w:sz w:val="24"/>
          <w:szCs w:val="24"/>
          <w:rtl/>
        </w:rPr>
        <w:t>»</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وقد وردت العديد من الروايات الحاث</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ة على ذلك</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وهو أمر</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لا خلاف فيه، لا بل إن الإسلام أجاز وأمضى تعد</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د الزوجات</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حيث كان ع</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ر</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فاً موجوداً في جاهلي</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ة ما قبل الإسلام</w:t>
      </w:r>
      <w:r w:rsidR="00A935B6"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وقد قال تعالى: </w:t>
      </w:r>
      <w:r w:rsidR="00B4645B" w:rsidRPr="00282AC9">
        <w:rPr>
          <w:rFonts w:ascii="Mosawi" w:hAnsi="Mosawi" w:cs="Mosawi"/>
          <w:sz w:val="24"/>
          <w:szCs w:val="24"/>
          <w:rtl/>
        </w:rPr>
        <w:t>﴿</w:t>
      </w:r>
      <w:r w:rsidR="00B4645B" w:rsidRPr="00282AC9">
        <w:rPr>
          <w:rFonts w:ascii="Simplified Arabic" w:hAnsi="Simplified Arabic" w:hint="cs"/>
          <w:b/>
          <w:bCs/>
          <w:sz w:val="27"/>
          <w:rtl/>
          <w:lang w:bidi="ar-LB"/>
        </w:rPr>
        <w:t>فَان</w:t>
      </w:r>
      <w:r w:rsidR="00A935B6" w:rsidRPr="00282AC9">
        <w:rPr>
          <w:rFonts w:ascii="Simplified Arabic" w:hAnsi="Simplified Arabic" w:hint="cs"/>
          <w:b/>
          <w:bCs/>
          <w:sz w:val="27"/>
          <w:rtl/>
          <w:lang w:bidi="ar-LB"/>
        </w:rPr>
        <w:t>ْ</w:t>
      </w:r>
      <w:r w:rsidR="00B4645B" w:rsidRPr="00282AC9">
        <w:rPr>
          <w:rFonts w:ascii="Simplified Arabic" w:hAnsi="Simplified Arabic" w:hint="cs"/>
          <w:b/>
          <w:bCs/>
          <w:sz w:val="27"/>
          <w:rtl/>
          <w:lang w:bidi="ar-LB"/>
        </w:rPr>
        <w:t>كِحُوا</w:t>
      </w:r>
      <w:r w:rsidR="00B4645B" w:rsidRPr="00282AC9">
        <w:rPr>
          <w:rFonts w:ascii="Simplified Arabic" w:hAnsi="Simplified Arabic"/>
          <w:b/>
          <w:bCs/>
          <w:sz w:val="27"/>
          <w:rtl/>
          <w:lang w:bidi="ar-LB"/>
        </w:rPr>
        <w:t xml:space="preserve"> </w:t>
      </w:r>
      <w:r w:rsidR="00B4645B" w:rsidRPr="00282AC9">
        <w:rPr>
          <w:rFonts w:ascii="Simplified Arabic" w:hAnsi="Simplified Arabic" w:hint="cs"/>
          <w:b/>
          <w:bCs/>
          <w:sz w:val="27"/>
          <w:rtl/>
          <w:lang w:bidi="ar-LB"/>
        </w:rPr>
        <w:t>مَا</w:t>
      </w:r>
      <w:r w:rsidR="00B4645B" w:rsidRPr="00282AC9">
        <w:rPr>
          <w:rFonts w:ascii="Simplified Arabic" w:hAnsi="Simplified Arabic"/>
          <w:b/>
          <w:bCs/>
          <w:sz w:val="27"/>
          <w:rtl/>
          <w:lang w:bidi="ar-LB"/>
        </w:rPr>
        <w:t xml:space="preserve"> </w:t>
      </w:r>
      <w:r w:rsidR="00B4645B" w:rsidRPr="00282AC9">
        <w:rPr>
          <w:rFonts w:ascii="Simplified Arabic" w:hAnsi="Simplified Arabic" w:hint="cs"/>
          <w:b/>
          <w:bCs/>
          <w:sz w:val="27"/>
          <w:rtl/>
          <w:lang w:bidi="ar-LB"/>
        </w:rPr>
        <w:t>طَابَ</w:t>
      </w:r>
      <w:r w:rsidR="00B4645B" w:rsidRPr="00282AC9">
        <w:rPr>
          <w:rFonts w:ascii="Simplified Arabic" w:hAnsi="Simplified Arabic"/>
          <w:b/>
          <w:bCs/>
          <w:sz w:val="27"/>
          <w:rtl/>
          <w:lang w:bidi="ar-LB"/>
        </w:rPr>
        <w:t xml:space="preserve"> </w:t>
      </w:r>
      <w:r w:rsidR="00B4645B" w:rsidRPr="00282AC9">
        <w:rPr>
          <w:rFonts w:ascii="Simplified Arabic" w:hAnsi="Simplified Arabic" w:hint="cs"/>
          <w:b/>
          <w:bCs/>
          <w:sz w:val="27"/>
          <w:rtl/>
          <w:lang w:bidi="ar-LB"/>
        </w:rPr>
        <w:t>لَكُم</w:t>
      </w:r>
      <w:r w:rsidR="00A935B6"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 xml:space="preserve"> </w:t>
      </w:r>
      <w:r w:rsidR="00A935B6" w:rsidRPr="00282AC9">
        <w:rPr>
          <w:rFonts w:ascii="Simplified Arabic" w:hAnsi="Simplified Arabic" w:hint="cs"/>
          <w:b/>
          <w:bCs/>
          <w:sz w:val="27"/>
          <w:rtl/>
          <w:lang w:bidi="ar-LB"/>
        </w:rPr>
        <w:t>مِ</w:t>
      </w:r>
      <w:r w:rsidR="00B4645B" w:rsidRPr="00282AC9">
        <w:rPr>
          <w:rFonts w:ascii="Simplified Arabic" w:hAnsi="Simplified Arabic" w:hint="cs"/>
          <w:b/>
          <w:bCs/>
          <w:sz w:val="27"/>
          <w:rtl/>
          <w:lang w:bidi="ar-LB"/>
        </w:rPr>
        <w:t>نَ</w:t>
      </w:r>
      <w:r w:rsidR="00B4645B" w:rsidRPr="00282AC9">
        <w:rPr>
          <w:rFonts w:ascii="Simplified Arabic" w:hAnsi="Simplified Arabic"/>
          <w:b/>
          <w:bCs/>
          <w:sz w:val="27"/>
          <w:rtl/>
          <w:lang w:bidi="ar-LB"/>
        </w:rPr>
        <w:t xml:space="preserve"> </w:t>
      </w:r>
      <w:r w:rsidR="00B4645B" w:rsidRPr="00282AC9">
        <w:rPr>
          <w:rFonts w:ascii="Simplified Arabic" w:hAnsi="Simplified Arabic" w:hint="cs"/>
          <w:b/>
          <w:bCs/>
          <w:sz w:val="27"/>
          <w:rtl/>
          <w:lang w:bidi="ar-LB"/>
        </w:rPr>
        <w:t>النِّسَاءِ</w:t>
      </w:r>
      <w:r w:rsidR="00B4645B" w:rsidRPr="00282AC9">
        <w:rPr>
          <w:rFonts w:ascii="Simplified Arabic" w:hAnsi="Simplified Arabic"/>
          <w:b/>
          <w:bCs/>
          <w:sz w:val="27"/>
          <w:rtl/>
          <w:lang w:bidi="ar-LB"/>
        </w:rPr>
        <w:t xml:space="preserve"> </w:t>
      </w:r>
      <w:r w:rsidR="00B4645B" w:rsidRPr="00282AC9">
        <w:rPr>
          <w:rFonts w:ascii="Simplified Arabic" w:hAnsi="Simplified Arabic" w:hint="cs"/>
          <w:b/>
          <w:bCs/>
          <w:sz w:val="27"/>
          <w:rtl/>
          <w:lang w:bidi="ar-LB"/>
        </w:rPr>
        <w:t>مَثْنَى</w:t>
      </w:r>
      <w:r w:rsidR="00B4645B" w:rsidRPr="00282AC9">
        <w:rPr>
          <w:rFonts w:ascii="Simplified Arabic" w:hAnsi="Simplified Arabic"/>
          <w:b/>
          <w:bCs/>
          <w:sz w:val="27"/>
          <w:rtl/>
          <w:lang w:bidi="ar-LB"/>
        </w:rPr>
        <w:t xml:space="preserve"> </w:t>
      </w:r>
      <w:r w:rsidR="00B4645B" w:rsidRPr="00282AC9">
        <w:rPr>
          <w:rFonts w:ascii="Simplified Arabic" w:hAnsi="Simplified Arabic" w:hint="cs"/>
          <w:b/>
          <w:bCs/>
          <w:sz w:val="27"/>
          <w:rtl/>
          <w:lang w:bidi="ar-LB"/>
        </w:rPr>
        <w:t>وَثُ</w:t>
      </w:r>
      <w:r w:rsidR="00A935B6" w:rsidRPr="00282AC9">
        <w:rPr>
          <w:rFonts w:ascii="Simplified Arabic" w:hAnsi="Simplified Arabic" w:hint="cs"/>
          <w:b/>
          <w:bCs/>
          <w:sz w:val="27"/>
          <w:rtl/>
          <w:lang w:bidi="ar-LB"/>
        </w:rPr>
        <w:t>ل</w:t>
      </w:r>
      <w:r w:rsidR="00B4645B" w:rsidRPr="00282AC9">
        <w:rPr>
          <w:rFonts w:ascii="Simplified Arabic" w:hAnsi="Simplified Arabic" w:hint="cs"/>
          <w:b/>
          <w:bCs/>
          <w:sz w:val="27"/>
          <w:rtl/>
          <w:lang w:bidi="ar-LB"/>
        </w:rPr>
        <w:t>ا</w:t>
      </w:r>
      <w:r w:rsidR="00A935B6" w:rsidRPr="00282AC9">
        <w:rPr>
          <w:rFonts w:ascii="Simplified Arabic" w:hAnsi="Simplified Arabic" w:hint="cs"/>
          <w:b/>
          <w:bCs/>
          <w:sz w:val="27"/>
          <w:rtl/>
          <w:lang w:bidi="ar-LB"/>
        </w:rPr>
        <w:t>َ</w:t>
      </w:r>
      <w:r w:rsidR="00B4645B" w:rsidRPr="00282AC9">
        <w:rPr>
          <w:rFonts w:ascii="Simplified Arabic" w:hAnsi="Simplified Arabic" w:hint="cs"/>
          <w:b/>
          <w:bCs/>
          <w:sz w:val="27"/>
          <w:rtl/>
          <w:lang w:bidi="ar-LB"/>
        </w:rPr>
        <w:t>ثَ</w:t>
      </w:r>
      <w:r w:rsidR="00B4645B" w:rsidRPr="00282AC9">
        <w:rPr>
          <w:rFonts w:ascii="Simplified Arabic" w:hAnsi="Simplified Arabic"/>
          <w:b/>
          <w:bCs/>
          <w:sz w:val="27"/>
          <w:rtl/>
          <w:lang w:bidi="ar-LB"/>
        </w:rPr>
        <w:t xml:space="preserve"> </w:t>
      </w:r>
      <w:r w:rsidR="00B4645B" w:rsidRPr="00282AC9">
        <w:rPr>
          <w:rFonts w:ascii="Simplified Arabic" w:hAnsi="Simplified Arabic" w:hint="cs"/>
          <w:b/>
          <w:bCs/>
          <w:sz w:val="27"/>
          <w:rtl/>
          <w:lang w:bidi="ar-LB"/>
        </w:rPr>
        <w:t>وَرُبَاعَ</w:t>
      </w:r>
      <w:r w:rsidR="00B4645B" w:rsidRPr="00282AC9">
        <w:rPr>
          <w:rFonts w:ascii="Mosawi" w:hAnsi="Mosawi" w:cs="Mosawi"/>
          <w:sz w:val="24"/>
          <w:szCs w:val="24"/>
          <w:rtl/>
        </w:rPr>
        <w:t>﴾</w:t>
      </w:r>
      <w:r w:rsidR="00B4645B" w:rsidRPr="00282AC9">
        <w:rPr>
          <w:rFonts w:ascii="Simplified Arabic" w:hAnsi="Simplified Arabic" w:hint="cs"/>
          <w:sz w:val="27"/>
          <w:rtl/>
          <w:lang w:bidi="ar-LB"/>
        </w:rPr>
        <w:t>.</w:t>
      </w:r>
    </w:p>
    <w:p w:rsidR="00B4645B" w:rsidRPr="00282AC9" w:rsidRDefault="00B4645B" w:rsidP="0091196D">
      <w:pPr>
        <w:spacing w:line="390" w:lineRule="exact"/>
        <w:rPr>
          <w:rFonts w:ascii="Simplified Arabic" w:hAnsi="Simplified Arabic"/>
          <w:sz w:val="27"/>
          <w:rtl/>
          <w:lang w:bidi="ar-LB"/>
        </w:rPr>
      </w:pPr>
      <w:r w:rsidRPr="00282AC9">
        <w:rPr>
          <w:rFonts w:ascii="Simplified Arabic" w:hAnsi="Simplified Arabic" w:hint="cs"/>
          <w:sz w:val="27"/>
          <w:rtl/>
          <w:lang w:bidi="ar-LB"/>
        </w:rPr>
        <w:t xml:space="preserve"> إلا</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أنه وقع خلافٌ بين الفقهاء في مرجوحية التعد</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د ورجحانه</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حت</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ى </w:t>
      </w:r>
      <w:r w:rsidRPr="00282AC9">
        <w:rPr>
          <w:rFonts w:ascii="Simplified Arabic" w:hAnsi="Simplified Arabic"/>
          <w:sz w:val="27"/>
          <w:rtl/>
          <w:lang w:bidi="ar-LB"/>
        </w:rPr>
        <w:t>كثر الأخذ والرد</w:t>
      </w:r>
      <w:r w:rsidR="00A935B6" w:rsidRPr="00282AC9">
        <w:rPr>
          <w:rFonts w:ascii="Simplified Arabic" w:hAnsi="Simplified Arabic" w:hint="cs"/>
          <w:sz w:val="27"/>
          <w:rtl/>
          <w:lang w:bidi="ar-LB"/>
        </w:rPr>
        <w:t>ّ</w:t>
      </w:r>
      <w:r w:rsidRPr="00282AC9">
        <w:rPr>
          <w:rFonts w:ascii="Simplified Arabic" w:hAnsi="Simplified Arabic"/>
          <w:sz w:val="27"/>
          <w:rtl/>
          <w:lang w:bidi="ar-LB"/>
        </w:rPr>
        <w:t xml:space="preserve"> في</w:t>
      </w:r>
      <w:r w:rsidRPr="00282AC9">
        <w:rPr>
          <w:rFonts w:ascii="Simplified Arabic" w:hAnsi="Simplified Arabic" w:hint="cs"/>
          <w:sz w:val="27"/>
          <w:rtl/>
          <w:lang w:bidi="ar-LB"/>
        </w:rPr>
        <w:t xml:space="preserve"> ال</w:t>
      </w:r>
      <w:r w:rsidRPr="00282AC9">
        <w:rPr>
          <w:rFonts w:ascii="Simplified Arabic" w:hAnsi="Simplified Arabic"/>
          <w:sz w:val="27"/>
          <w:rtl/>
          <w:lang w:bidi="ar-LB"/>
        </w:rPr>
        <w:t>مسألة</w:t>
      </w:r>
      <w:r w:rsidRPr="00282AC9">
        <w:rPr>
          <w:rFonts w:ascii="Simplified Arabic" w:hAnsi="Simplified Arabic" w:hint="cs"/>
          <w:sz w:val="27"/>
          <w:rtl/>
          <w:lang w:bidi="ar-LB"/>
        </w:rPr>
        <w:t xml:space="preserve"> بعنوان</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ي</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ها</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الأو</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لي</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المستفاد من نفس الدليل</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والثانوي</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المتأث</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ر بالظروف والبيئة المحيطة. </w:t>
      </w:r>
    </w:p>
    <w:p w:rsidR="00B4645B" w:rsidRPr="00282AC9" w:rsidRDefault="00B4645B" w:rsidP="0091196D">
      <w:pPr>
        <w:spacing w:line="390" w:lineRule="exact"/>
        <w:rPr>
          <w:rFonts w:ascii="Simplified Arabic" w:hAnsi="Simplified Arabic"/>
          <w:sz w:val="27"/>
          <w:rtl/>
        </w:rPr>
      </w:pPr>
      <w:r w:rsidRPr="00282AC9">
        <w:rPr>
          <w:rFonts w:ascii="Simplified Arabic" w:hAnsi="Simplified Arabic"/>
          <w:sz w:val="27"/>
          <w:rtl/>
          <w:lang w:bidi="ar-LB"/>
        </w:rPr>
        <w:t>و</w:t>
      </w:r>
      <w:r w:rsidRPr="00282AC9">
        <w:rPr>
          <w:rFonts w:ascii="Simplified Arabic" w:hAnsi="Simplified Arabic" w:hint="cs"/>
          <w:sz w:val="27"/>
          <w:rtl/>
          <w:lang w:bidi="ar-LB"/>
        </w:rPr>
        <w:t>كلامنا في هذا المقال يتناول الحكم الأو</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لي لأصل مسألة تعد</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د الزوجات</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دون ملاحظة العناوين الثانوية</w:t>
      </w:r>
      <w:r w:rsidR="00A935B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التي يمكن أن تطرأ بسبب الظروف والبيئة.</w:t>
      </w:r>
    </w:p>
    <w:p w:rsidR="00B4645B" w:rsidRPr="00282AC9" w:rsidRDefault="00B4645B" w:rsidP="0091196D">
      <w:pPr>
        <w:spacing w:line="390" w:lineRule="exact"/>
        <w:rPr>
          <w:rFonts w:ascii="Simplified Arabic" w:hAnsi="Simplified Arabic"/>
          <w:sz w:val="27"/>
          <w:rtl/>
          <w:lang w:bidi="ar-LB"/>
        </w:rPr>
      </w:pPr>
      <w:r w:rsidRPr="00282AC9">
        <w:rPr>
          <w:rFonts w:ascii="Simplified Arabic" w:hAnsi="Simplified Arabic" w:hint="cs"/>
          <w:sz w:val="27"/>
          <w:rtl/>
          <w:lang w:bidi="ar-LB"/>
        </w:rPr>
        <w:t xml:space="preserve">وللبحث في ذلك </w:t>
      </w:r>
      <w:r w:rsidR="00674EF5" w:rsidRPr="00282AC9">
        <w:rPr>
          <w:rFonts w:ascii="Simplified Arabic" w:hAnsi="Simplified Arabic"/>
          <w:sz w:val="27"/>
          <w:rtl/>
          <w:lang w:bidi="ar-LB"/>
        </w:rPr>
        <w:t>لا بُدَّ</w:t>
      </w:r>
      <w:r w:rsidRPr="00282AC9">
        <w:rPr>
          <w:rFonts w:ascii="Simplified Arabic" w:hAnsi="Simplified Arabic"/>
          <w:sz w:val="27"/>
          <w:rtl/>
          <w:lang w:bidi="ar-LB"/>
        </w:rPr>
        <w:t xml:space="preserve"> من مراجعة التراث الموجود </w:t>
      </w:r>
      <w:r w:rsidRPr="00282AC9">
        <w:rPr>
          <w:rFonts w:ascii="Simplified Arabic" w:hAnsi="Simplified Arabic" w:hint="cs"/>
          <w:sz w:val="27"/>
          <w:rtl/>
          <w:lang w:bidi="ar-LB"/>
        </w:rPr>
        <w:t>في</w:t>
      </w:r>
      <w:r w:rsidRPr="00282AC9">
        <w:rPr>
          <w:rFonts w:ascii="Simplified Arabic" w:hAnsi="Simplified Arabic"/>
          <w:sz w:val="27"/>
          <w:rtl/>
          <w:lang w:bidi="ar-LB"/>
        </w:rPr>
        <w:t xml:space="preserve"> المسألة</w:t>
      </w:r>
      <w:r w:rsidR="00A935B6" w:rsidRPr="00282AC9">
        <w:rPr>
          <w:rFonts w:ascii="Simplified Arabic" w:hAnsi="Simplified Arabic" w:hint="cs"/>
          <w:sz w:val="27"/>
          <w:rtl/>
          <w:lang w:bidi="ar-LB"/>
        </w:rPr>
        <w:t>،</w:t>
      </w:r>
      <w:r w:rsidRPr="00282AC9">
        <w:rPr>
          <w:rFonts w:ascii="Simplified Arabic" w:hAnsi="Simplified Arabic"/>
          <w:sz w:val="27"/>
          <w:rtl/>
          <w:lang w:bidi="ar-LB"/>
        </w:rPr>
        <w:t xml:space="preserve"> من الآيات والروايات</w:t>
      </w:r>
      <w:r w:rsidRPr="00282AC9">
        <w:rPr>
          <w:rFonts w:ascii="Simplified Arabic" w:hAnsi="Simplified Arabic" w:hint="cs"/>
          <w:sz w:val="27"/>
          <w:rtl/>
          <w:lang w:bidi="ar-LB"/>
        </w:rPr>
        <w:t>، مروراً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بالأبحاث المطروحة.</w:t>
      </w:r>
    </w:p>
    <w:p w:rsidR="00B4645B" w:rsidRPr="00282AC9" w:rsidRDefault="00B4645B" w:rsidP="0091196D">
      <w:pPr>
        <w:spacing w:line="390" w:lineRule="exact"/>
        <w:rPr>
          <w:rFonts w:ascii="Simplified Arabic" w:hAnsi="Simplified Arabic"/>
          <w:sz w:val="27"/>
          <w:rtl/>
          <w:lang w:bidi="ar-LB"/>
        </w:rPr>
      </w:pPr>
      <w:r w:rsidRPr="00282AC9">
        <w:rPr>
          <w:rFonts w:ascii="Simplified Arabic" w:hAnsi="Simplified Arabic" w:hint="cs"/>
          <w:sz w:val="27"/>
          <w:rtl/>
          <w:lang w:bidi="ar-LB"/>
        </w:rPr>
        <w:t xml:space="preserve"> </w:t>
      </w:r>
      <w:r w:rsidR="00425157" w:rsidRPr="00282AC9">
        <w:rPr>
          <w:rFonts w:ascii="Simplified Arabic" w:hAnsi="Simplified Arabic" w:hint="cs"/>
          <w:sz w:val="27"/>
          <w:rtl/>
          <w:lang w:bidi="ar-LB"/>
        </w:rPr>
        <w:t>وت</w:t>
      </w:r>
      <w:r w:rsidRPr="00282AC9">
        <w:rPr>
          <w:rFonts w:ascii="Simplified Arabic" w:hAnsi="Simplified Arabic" w:hint="cs"/>
          <w:sz w:val="27"/>
          <w:rtl/>
          <w:lang w:bidi="ar-LB"/>
        </w:rPr>
        <w:t>جدر الإشارة إلى أنه سيتم</w:t>
      </w:r>
      <w:r w:rsidR="00425157" w:rsidRPr="00282AC9">
        <w:rPr>
          <w:rFonts w:ascii="Simplified Arabic" w:hAnsi="Simplified Arabic" w:hint="cs"/>
          <w:sz w:val="27"/>
          <w:rtl/>
          <w:lang w:bidi="ar-LB"/>
        </w:rPr>
        <w:t>ّ</w:t>
      </w:r>
      <w:r w:rsidRPr="00282AC9">
        <w:rPr>
          <w:rFonts w:ascii="Simplified Arabic" w:hAnsi="Simplified Arabic" w:hint="cs"/>
          <w:sz w:val="27"/>
          <w:rtl/>
          <w:lang w:bidi="ar-LB"/>
        </w:rPr>
        <w:t xml:space="preserve"> معالجتها ضمن ال</w:t>
      </w:r>
      <w:r w:rsidRPr="00282AC9">
        <w:rPr>
          <w:rFonts w:ascii="Simplified Arabic" w:hAnsi="Simplified Arabic"/>
          <w:sz w:val="27"/>
          <w:rtl/>
          <w:lang w:bidi="ar-LB"/>
        </w:rPr>
        <w:t>عناوين</w:t>
      </w:r>
      <w:r w:rsidRPr="00282AC9">
        <w:rPr>
          <w:rFonts w:ascii="Simplified Arabic" w:hAnsi="Simplified Arabic" w:hint="cs"/>
          <w:sz w:val="27"/>
          <w:rtl/>
          <w:lang w:bidi="ar-LB"/>
        </w:rPr>
        <w:t xml:space="preserve"> التالية</w:t>
      </w:r>
      <w:r w:rsidRPr="00282AC9">
        <w:rPr>
          <w:rFonts w:ascii="Simplified Arabic" w:hAnsi="Simplified Arabic"/>
          <w:sz w:val="27"/>
          <w:rtl/>
          <w:lang w:bidi="ar-LB"/>
        </w:rPr>
        <w:t xml:space="preserve">: </w:t>
      </w:r>
    </w:p>
    <w:p w:rsidR="00B4645B" w:rsidRPr="00282AC9" w:rsidRDefault="00B4645B" w:rsidP="0091196D">
      <w:pPr>
        <w:pStyle w:val="afe"/>
        <w:spacing w:after="0" w:line="390" w:lineRule="exact"/>
        <w:ind w:left="0" w:firstLine="567"/>
        <w:jc w:val="both"/>
        <w:rPr>
          <w:rFonts w:ascii="Simplified Arabic" w:hAnsi="Simplified Arabic" w:cs="AL-Mohanad"/>
          <w:sz w:val="27"/>
          <w:szCs w:val="27"/>
          <w:lang w:bidi="ar-LB"/>
        </w:rPr>
      </w:pPr>
      <w:r w:rsidRPr="00282AC9">
        <w:rPr>
          <w:rFonts w:ascii="Simplified Arabic" w:hAnsi="Simplified Arabic" w:cs="AL-Mohanad" w:hint="cs"/>
          <w:sz w:val="27"/>
          <w:szCs w:val="27"/>
          <w:rtl/>
          <w:lang w:bidi="ar-LB"/>
        </w:rPr>
        <w:t xml:space="preserve">1ـ </w:t>
      </w:r>
      <w:r w:rsidRPr="00282AC9">
        <w:rPr>
          <w:rFonts w:ascii="Simplified Arabic" w:hAnsi="Simplified Arabic" w:cs="AL-Mohanad"/>
          <w:sz w:val="27"/>
          <w:szCs w:val="27"/>
          <w:rtl/>
          <w:lang w:bidi="ar-LB"/>
        </w:rPr>
        <w:t>ال</w:t>
      </w:r>
      <w:r w:rsidRPr="00282AC9">
        <w:rPr>
          <w:rFonts w:ascii="Simplified Arabic" w:hAnsi="Simplified Arabic" w:cs="AL-Mohanad" w:hint="cs"/>
          <w:sz w:val="27"/>
          <w:szCs w:val="27"/>
          <w:rtl/>
          <w:lang w:bidi="ar-LB"/>
        </w:rPr>
        <w:t>ا</w:t>
      </w:r>
      <w:r w:rsidRPr="00282AC9">
        <w:rPr>
          <w:rFonts w:ascii="Simplified Arabic" w:hAnsi="Simplified Arabic" w:cs="AL-Mohanad"/>
          <w:sz w:val="27"/>
          <w:szCs w:val="27"/>
          <w:rtl/>
          <w:lang w:bidi="ar-LB"/>
        </w:rPr>
        <w:t>ط</w:t>
      </w:r>
      <w:r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لاع على أهم</w:t>
      </w:r>
      <w:r w:rsidR="00425157"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ال</w:t>
      </w:r>
      <w:r w:rsidRPr="00282AC9">
        <w:rPr>
          <w:rFonts w:ascii="Simplified Arabic" w:hAnsi="Simplified Arabic" w:cs="AL-Mohanad" w:hint="cs"/>
          <w:sz w:val="27"/>
          <w:szCs w:val="27"/>
          <w:rtl/>
          <w:lang w:bidi="ar-LB"/>
        </w:rPr>
        <w:t>آ</w:t>
      </w:r>
      <w:r w:rsidRPr="00282AC9">
        <w:rPr>
          <w:rFonts w:ascii="Simplified Arabic" w:hAnsi="Simplified Arabic" w:cs="AL-Mohanad"/>
          <w:sz w:val="27"/>
          <w:szCs w:val="27"/>
          <w:rtl/>
          <w:lang w:bidi="ar-LB"/>
        </w:rPr>
        <w:t>راء الموجودة في المقام</w:t>
      </w:r>
      <w:r w:rsidRPr="00282AC9">
        <w:rPr>
          <w:rFonts w:ascii="Simplified Arabic" w:hAnsi="Simplified Arabic" w:cs="AL-Mohanad" w:hint="cs"/>
          <w:sz w:val="27"/>
          <w:szCs w:val="27"/>
          <w:rtl/>
          <w:lang w:bidi="ar-LB"/>
        </w:rPr>
        <w:t>.</w:t>
      </w:r>
    </w:p>
    <w:p w:rsidR="00B4645B" w:rsidRPr="00282AC9" w:rsidRDefault="00B4645B" w:rsidP="0091196D">
      <w:pPr>
        <w:pStyle w:val="afe"/>
        <w:spacing w:after="0" w:line="390" w:lineRule="exact"/>
        <w:ind w:left="0" w:firstLine="567"/>
        <w:jc w:val="both"/>
        <w:rPr>
          <w:rFonts w:ascii="Simplified Arabic" w:hAnsi="Simplified Arabic" w:cs="AL-Mohanad"/>
          <w:sz w:val="27"/>
          <w:szCs w:val="27"/>
          <w:lang w:bidi="ar-LB"/>
        </w:rPr>
      </w:pPr>
      <w:r w:rsidRPr="00282AC9">
        <w:rPr>
          <w:rFonts w:ascii="Simplified Arabic" w:hAnsi="Simplified Arabic" w:cs="AL-Mohanad" w:hint="cs"/>
          <w:sz w:val="27"/>
          <w:szCs w:val="27"/>
          <w:rtl/>
          <w:lang w:bidi="ar-LB"/>
        </w:rPr>
        <w:t xml:space="preserve">2ـ </w:t>
      </w:r>
      <w:r w:rsidRPr="00282AC9">
        <w:rPr>
          <w:rFonts w:ascii="Simplified Arabic" w:hAnsi="Simplified Arabic" w:cs="AL-Mohanad"/>
          <w:sz w:val="27"/>
          <w:szCs w:val="27"/>
          <w:rtl/>
          <w:lang w:bidi="ar-LB"/>
        </w:rPr>
        <w:t>معالجة الآيات محل</w:t>
      </w:r>
      <w:r w:rsidR="00425157"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الدلالة على التعد</w:t>
      </w:r>
      <w:r w:rsidR="00425157"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د.</w:t>
      </w:r>
    </w:p>
    <w:p w:rsidR="00B4645B" w:rsidRPr="00282AC9" w:rsidRDefault="00B4645B" w:rsidP="0091196D">
      <w:pPr>
        <w:pStyle w:val="afe"/>
        <w:spacing w:after="0" w:line="390" w:lineRule="exact"/>
        <w:ind w:left="0" w:firstLine="567"/>
        <w:jc w:val="both"/>
        <w:rPr>
          <w:rFonts w:ascii="Simplified Arabic" w:hAnsi="Simplified Arabic" w:cs="AL-Mohanad"/>
          <w:sz w:val="27"/>
          <w:szCs w:val="27"/>
          <w:lang w:bidi="ar-LB"/>
        </w:rPr>
      </w:pPr>
      <w:r w:rsidRPr="00282AC9">
        <w:rPr>
          <w:rFonts w:ascii="Simplified Arabic" w:hAnsi="Simplified Arabic" w:cs="AL-Mohanad" w:hint="cs"/>
          <w:sz w:val="27"/>
          <w:szCs w:val="27"/>
          <w:rtl/>
          <w:lang w:bidi="ar-LB"/>
        </w:rPr>
        <w:t xml:space="preserve">3ـ </w:t>
      </w:r>
      <w:r w:rsidRPr="00282AC9">
        <w:rPr>
          <w:rFonts w:ascii="Simplified Arabic" w:hAnsi="Simplified Arabic" w:cs="AL-Mohanad"/>
          <w:sz w:val="27"/>
          <w:szCs w:val="27"/>
          <w:rtl/>
          <w:lang w:bidi="ar-LB"/>
        </w:rPr>
        <w:t>معالجة الروايات محل</w:t>
      </w:r>
      <w:r w:rsidR="00425157"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الدلال</w:t>
      </w:r>
      <w:r w:rsidRPr="00282AC9">
        <w:rPr>
          <w:rFonts w:ascii="Simplified Arabic" w:hAnsi="Simplified Arabic" w:cs="AL-Mohanad" w:hint="cs"/>
          <w:sz w:val="27"/>
          <w:szCs w:val="27"/>
          <w:rtl/>
          <w:lang w:bidi="ar-LB"/>
        </w:rPr>
        <w:t>ة</w:t>
      </w:r>
      <w:r w:rsidRPr="00282AC9">
        <w:rPr>
          <w:rFonts w:ascii="Simplified Arabic" w:hAnsi="Simplified Arabic" w:cs="AL-Mohanad"/>
          <w:sz w:val="27"/>
          <w:szCs w:val="27"/>
          <w:rtl/>
          <w:lang w:bidi="ar-LB"/>
        </w:rPr>
        <w:t xml:space="preserve"> على التعد</w:t>
      </w:r>
      <w:r w:rsidR="00425157"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د.</w:t>
      </w:r>
    </w:p>
    <w:p w:rsidR="00B4645B" w:rsidRPr="00282AC9" w:rsidRDefault="00B4645B" w:rsidP="00FD21EE">
      <w:pPr>
        <w:pStyle w:val="31"/>
        <w:rPr>
          <w:color w:val="auto"/>
          <w:rtl/>
          <w:lang w:bidi="ar-LB"/>
        </w:rPr>
      </w:pPr>
      <w:bookmarkStart w:id="85" w:name="_Toc49871948"/>
      <w:r w:rsidRPr="00282AC9">
        <w:rPr>
          <w:color w:val="auto"/>
          <w:rtl/>
          <w:lang w:bidi="ar-LB"/>
        </w:rPr>
        <w:lastRenderedPageBreak/>
        <w:t>أو</w:t>
      </w:r>
      <w:r w:rsidR="00FD21EE" w:rsidRPr="00282AC9">
        <w:rPr>
          <w:rFonts w:hint="cs"/>
          <w:color w:val="auto"/>
          <w:rtl/>
          <w:lang w:bidi="ar-LB"/>
        </w:rPr>
        <w:t>ّ</w:t>
      </w:r>
      <w:r w:rsidRPr="00282AC9">
        <w:rPr>
          <w:color w:val="auto"/>
          <w:rtl/>
          <w:lang w:bidi="ar-LB"/>
        </w:rPr>
        <w:t>لاً: ال</w:t>
      </w:r>
      <w:r w:rsidRPr="00282AC9">
        <w:rPr>
          <w:rFonts w:hint="cs"/>
          <w:color w:val="auto"/>
          <w:rtl/>
          <w:lang w:bidi="ar-LB"/>
        </w:rPr>
        <w:t>آ</w:t>
      </w:r>
      <w:r w:rsidRPr="00282AC9">
        <w:rPr>
          <w:color w:val="auto"/>
          <w:rtl/>
          <w:lang w:bidi="ar-LB"/>
        </w:rPr>
        <w:t xml:space="preserve">راء </w:t>
      </w:r>
      <w:bookmarkEnd w:id="85"/>
      <w:r w:rsidR="00FD21EE" w:rsidRPr="00282AC9">
        <w:rPr>
          <w:rFonts w:hint="cs"/>
          <w:color w:val="auto"/>
          <w:rtl/>
          <w:lang w:bidi="ar-LB"/>
        </w:rPr>
        <w:t>الفقهيّة</w:t>
      </w:r>
    </w:p>
    <w:p w:rsidR="00B4645B" w:rsidRPr="00282AC9" w:rsidRDefault="00317376" w:rsidP="00C73F02">
      <w:pPr>
        <w:pStyle w:val="31"/>
        <w:rPr>
          <w:color w:val="auto"/>
          <w:lang w:bidi="ar-LB"/>
        </w:rPr>
      </w:pPr>
      <w:bookmarkStart w:id="86" w:name="_Toc49871949"/>
      <w:r w:rsidRPr="00282AC9">
        <w:rPr>
          <w:rFonts w:hint="cs"/>
          <w:color w:val="auto"/>
          <w:rtl/>
          <w:lang w:bidi="ar-LB"/>
        </w:rPr>
        <w:t>1ـ</w:t>
      </w:r>
      <w:r w:rsidR="00B4645B" w:rsidRPr="00282AC9">
        <w:rPr>
          <w:color w:val="auto"/>
          <w:rtl/>
          <w:lang w:bidi="ar-LB"/>
        </w:rPr>
        <w:t xml:space="preserve"> القول بالاستحباب</w:t>
      </w:r>
      <w:bookmarkEnd w:id="86"/>
      <w:r w:rsidR="00B4645B" w:rsidRPr="00282AC9">
        <w:rPr>
          <w:color w:val="auto"/>
          <w:rtl/>
          <w:lang w:bidi="ar-LB"/>
        </w:rPr>
        <w:t xml:space="preserve"> </w:t>
      </w:r>
    </w:p>
    <w:p w:rsidR="00B4645B" w:rsidRPr="00282AC9" w:rsidRDefault="00B4645B" w:rsidP="00DA38E9">
      <w:pPr>
        <w:spacing w:line="386" w:lineRule="exact"/>
        <w:rPr>
          <w:rFonts w:ascii="Simplified Arabic" w:hAnsi="Simplified Arabic"/>
          <w:sz w:val="27"/>
          <w:rtl/>
          <w:lang w:bidi="ar-LB"/>
        </w:rPr>
      </w:pPr>
      <w:r w:rsidRPr="00282AC9">
        <w:rPr>
          <w:rFonts w:ascii="Simplified Arabic" w:hAnsi="Simplified Arabic" w:hint="cs"/>
          <w:sz w:val="27"/>
          <w:rtl/>
        </w:rPr>
        <w:t>ذهب جمع</w:t>
      </w:r>
      <w:r w:rsidR="00425157" w:rsidRPr="00282AC9">
        <w:rPr>
          <w:rFonts w:ascii="Simplified Arabic" w:hAnsi="Simplified Arabic" w:hint="cs"/>
          <w:sz w:val="27"/>
          <w:rtl/>
        </w:rPr>
        <w:t>ٌ</w:t>
      </w:r>
      <w:r w:rsidRPr="00282AC9">
        <w:rPr>
          <w:rFonts w:ascii="Simplified Arabic" w:hAnsi="Simplified Arabic" w:hint="cs"/>
          <w:sz w:val="27"/>
          <w:rtl/>
        </w:rPr>
        <w:t xml:space="preserve"> من الفقهاء</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787"/>
      </w:r>
      <w:r w:rsidRPr="00282AC9">
        <w:rPr>
          <w:rFonts w:ascii="Simplified Arabic" w:hAnsi="Simplified Arabic"/>
          <w:sz w:val="27"/>
          <w:vertAlign w:val="superscript"/>
          <w:rtl/>
        </w:rPr>
        <w:t>)</w:t>
      </w:r>
      <w:r w:rsidR="0035027E" w:rsidRPr="00282AC9">
        <w:rPr>
          <w:rFonts w:ascii="Simplified Arabic" w:hAnsi="Simplified Arabic" w:hint="cs"/>
          <w:sz w:val="27"/>
          <w:rtl/>
        </w:rPr>
        <w:t xml:space="preserve"> ـ</w:t>
      </w:r>
      <w:r w:rsidRPr="00282AC9">
        <w:rPr>
          <w:rFonts w:ascii="Simplified Arabic" w:hAnsi="Simplified Arabic"/>
          <w:sz w:val="27"/>
          <w:rtl/>
        </w:rPr>
        <w:t xml:space="preserve"> </w:t>
      </w:r>
      <w:r w:rsidR="00DA38E9">
        <w:rPr>
          <w:rFonts w:ascii="Simplified Arabic" w:hAnsi="Simplified Arabic" w:hint="cs"/>
          <w:sz w:val="27"/>
          <w:rtl/>
        </w:rPr>
        <w:t>تبعاً ل</w:t>
      </w:r>
      <w:r w:rsidR="006D152C">
        <w:rPr>
          <w:rFonts w:ascii="Simplified Arabic" w:hAnsi="Simplified Arabic" w:hint="cs"/>
          <w:sz w:val="27"/>
          <w:rtl/>
        </w:rPr>
        <w:t>لسيد اليزدي</w:t>
      </w:r>
      <w:r w:rsidR="00425157"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 xml:space="preserve">في كتابه </w:t>
      </w:r>
      <w:r w:rsidR="006D152C" w:rsidRPr="00282AC9">
        <w:rPr>
          <w:rFonts w:ascii="Simplified Arabic" w:hAnsi="Simplified Arabic"/>
          <w:sz w:val="27"/>
          <w:rtl/>
        </w:rPr>
        <w:t>العروة الوثقى</w:t>
      </w:r>
      <w:r w:rsidR="00DA38E9" w:rsidRPr="00282AC9">
        <w:rPr>
          <w:rFonts w:ascii="Simplified Arabic" w:hAnsi="Simplified Arabic"/>
          <w:sz w:val="27"/>
          <w:vertAlign w:val="superscript"/>
          <w:rtl/>
        </w:rPr>
        <w:t>(</w:t>
      </w:r>
      <w:r w:rsidR="00DA38E9" w:rsidRPr="00282AC9">
        <w:rPr>
          <w:rFonts w:ascii="Simplified Arabic" w:hAnsi="Simplified Arabic"/>
          <w:sz w:val="27"/>
          <w:vertAlign w:val="superscript"/>
          <w:rtl/>
        </w:rPr>
        <w:endnoteReference w:id="788"/>
      </w:r>
      <w:r w:rsidR="00DA38E9" w:rsidRPr="00282AC9">
        <w:rPr>
          <w:rFonts w:ascii="Simplified Arabic" w:hAnsi="Simplified Arabic"/>
          <w:sz w:val="27"/>
          <w:vertAlign w:val="superscript"/>
          <w:rtl/>
        </w:rPr>
        <w:t>)</w:t>
      </w:r>
      <w:r w:rsidR="0035027E" w:rsidRPr="00282AC9">
        <w:rPr>
          <w:rFonts w:ascii="Simplified Arabic" w:hAnsi="Simplified Arabic" w:hint="cs"/>
          <w:sz w:val="27"/>
          <w:rtl/>
        </w:rPr>
        <w:t xml:space="preserve"> ـ</w:t>
      </w:r>
      <w:r w:rsidRPr="00282AC9">
        <w:rPr>
          <w:rFonts w:ascii="Simplified Arabic" w:hAnsi="Simplified Arabic" w:hint="cs"/>
          <w:sz w:val="27"/>
          <w:rtl/>
        </w:rPr>
        <w:t xml:space="preserve"> إلى القول بـ </w:t>
      </w:r>
      <w:r w:rsidRPr="00282AC9">
        <w:rPr>
          <w:rFonts w:hint="eastAsia"/>
          <w:sz w:val="24"/>
          <w:szCs w:val="24"/>
          <w:rtl/>
        </w:rPr>
        <w:t>«</w:t>
      </w:r>
      <w:r w:rsidRPr="00282AC9">
        <w:rPr>
          <w:rFonts w:ascii="Simplified Arabic" w:hAnsi="Simplified Arabic"/>
          <w:sz w:val="27"/>
          <w:rtl/>
        </w:rPr>
        <w:t>أن الاستحباب لا يزول بالواحدة</w:t>
      </w:r>
      <w:r w:rsidRPr="00282AC9">
        <w:rPr>
          <w:rFonts w:hint="eastAsia"/>
          <w:sz w:val="24"/>
          <w:szCs w:val="24"/>
          <w:rtl/>
        </w:rPr>
        <w:t>»</w:t>
      </w:r>
      <w:r w:rsidRPr="00282AC9">
        <w:rPr>
          <w:rFonts w:ascii="Simplified Arabic" w:hAnsi="Simplified Arabic" w:hint="cs"/>
          <w:sz w:val="27"/>
          <w:rtl/>
        </w:rPr>
        <w:t>.</w:t>
      </w:r>
      <w:r w:rsidRPr="00282AC9">
        <w:rPr>
          <w:rFonts w:ascii="Simplified Arabic" w:hAnsi="Simplified Arabic"/>
          <w:sz w:val="27"/>
          <w:rtl/>
        </w:rPr>
        <w:t xml:space="preserve"> </w:t>
      </w:r>
    </w:p>
    <w:p w:rsidR="00B4645B" w:rsidRPr="00282AC9" w:rsidRDefault="00B4645B" w:rsidP="00DA4BC5">
      <w:pPr>
        <w:spacing w:line="386" w:lineRule="exact"/>
        <w:rPr>
          <w:rFonts w:ascii="Simplified Arabic" w:hAnsi="Simplified Arabic"/>
          <w:sz w:val="27"/>
          <w:rtl/>
          <w:lang w:bidi="ar-LB"/>
        </w:rPr>
      </w:pPr>
    </w:p>
    <w:p w:rsidR="00B4645B" w:rsidRPr="00282AC9" w:rsidRDefault="00317376" w:rsidP="00C73F02">
      <w:pPr>
        <w:pStyle w:val="31"/>
        <w:rPr>
          <w:b/>
          <w:color w:val="auto"/>
          <w:lang w:bidi="ar-LB"/>
        </w:rPr>
      </w:pPr>
      <w:bookmarkStart w:id="87" w:name="_Toc49871950"/>
      <w:r w:rsidRPr="00282AC9">
        <w:rPr>
          <w:rFonts w:hint="cs"/>
          <w:color w:val="auto"/>
          <w:rtl/>
          <w:lang w:bidi="ar-LB"/>
        </w:rPr>
        <w:t>2ـ</w:t>
      </w:r>
      <w:r w:rsidR="00B4645B" w:rsidRPr="00282AC9">
        <w:rPr>
          <w:color w:val="auto"/>
          <w:rtl/>
          <w:lang w:bidi="ar-LB"/>
        </w:rPr>
        <w:t xml:space="preserve"> القول بالكراهة</w:t>
      </w:r>
      <w:bookmarkEnd w:id="87"/>
    </w:p>
    <w:p w:rsidR="00C9785D" w:rsidRPr="00282AC9" w:rsidRDefault="00B4645B" w:rsidP="00DA4BC5">
      <w:pPr>
        <w:spacing w:line="386" w:lineRule="exact"/>
        <w:rPr>
          <w:rFonts w:ascii="Simplified Arabic" w:hAnsi="Simplified Arabic"/>
          <w:sz w:val="27"/>
          <w:rtl/>
        </w:rPr>
      </w:pPr>
      <w:r w:rsidRPr="00282AC9">
        <w:rPr>
          <w:rFonts w:ascii="Simplified Arabic" w:hAnsi="Simplified Arabic" w:hint="cs"/>
          <w:sz w:val="27"/>
          <w:rtl/>
          <w:lang w:bidi="ar-LB"/>
        </w:rPr>
        <w:t xml:space="preserve">ذهب </w:t>
      </w:r>
      <w:r w:rsidRPr="00282AC9">
        <w:rPr>
          <w:rFonts w:ascii="Simplified Arabic" w:hAnsi="Simplified Arabic"/>
          <w:sz w:val="27"/>
          <w:rtl/>
          <w:lang w:bidi="ar-LB"/>
        </w:rPr>
        <w:t>السيد الخامنئي</w:t>
      </w:r>
      <w:r w:rsidR="00C9785D" w:rsidRPr="00282AC9">
        <w:rPr>
          <w:rFonts w:ascii="Simplified Arabic" w:hAnsi="Simplified Arabic" w:hint="cs"/>
          <w:sz w:val="27"/>
          <w:rtl/>
          <w:lang w:bidi="ar-LB"/>
        </w:rPr>
        <w:t xml:space="preserve"> ـ</w:t>
      </w:r>
      <w:r w:rsidRPr="00282AC9">
        <w:rPr>
          <w:rFonts w:ascii="Simplified Arabic" w:hAnsi="Simplified Arabic" w:hint="cs"/>
          <w:sz w:val="27"/>
          <w:rtl/>
          <w:lang w:bidi="ar-LB"/>
        </w:rPr>
        <w:t xml:space="preserve"> بح</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س</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 xml:space="preserve">ب ما يظهر </w:t>
      </w:r>
      <w:r w:rsidR="00C9785D" w:rsidRPr="00282AC9">
        <w:rPr>
          <w:rFonts w:ascii="Simplified Arabic" w:hAnsi="Simplified Arabic" w:hint="cs"/>
          <w:sz w:val="27"/>
          <w:rtl/>
          <w:lang w:bidi="ar-LB"/>
        </w:rPr>
        <w:t>من استفتاءٍ</w:t>
      </w:r>
      <w:r w:rsidR="00C9785D" w:rsidRPr="00282AC9">
        <w:rPr>
          <w:rFonts w:ascii="Simplified Arabic" w:hAnsi="Simplified Arabic"/>
          <w:sz w:val="27"/>
          <w:rtl/>
          <w:lang w:bidi="ar-LB"/>
        </w:rPr>
        <w:t xml:space="preserve"> </w:t>
      </w:r>
      <w:r w:rsidR="00C9785D" w:rsidRPr="00282AC9">
        <w:rPr>
          <w:rFonts w:ascii="Simplified Arabic" w:hAnsi="Simplified Arabic" w:hint="cs"/>
          <w:sz w:val="27"/>
          <w:rtl/>
          <w:lang w:bidi="ar-LB"/>
        </w:rPr>
        <w:t>له في</w:t>
      </w:r>
      <w:r w:rsidRPr="00282AC9">
        <w:rPr>
          <w:rFonts w:ascii="Simplified Arabic" w:hAnsi="Simplified Arabic" w:hint="cs"/>
          <w:sz w:val="27"/>
          <w:rtl/>
          <w:lang w:bidi="ar-LB"/>
        </w:rPr>
        <w:t xml:space="preserve"> الموقع</w:t>
      </w:r>
      <w:r w:rsidRPr="00282AC9">
        <w:rPr>
          <w:rFonts w:ascii="Simplified Arabic" w:hAnsi="Simplified Arabic"/>
          <w:sz w:val="27"/>
          <w:vertAlign w:val="superscript"/>
          <w:rtl/>
          <w:lang w:bidi="ar-LB"/>
        </w:rPr>
        <w:t>(</w:t>
      </w:r>
      <w:r w:rsidRPr="00282AC9">
        <w:rPr>
          <w:rFonts w:ascii="Simplified Arabic" w:hAnsi="Simplified Arabic"/>
          <w:sz w:val="27"/>
          <w:vertAlign w:val="superscript"/>
          <w:rtl/>
          <w:lang w:bidi="ar-LB"/>
        </w:rPr>
        <w:endnoteReference w:id="789"/>
      </w:r>
      <w:r w:rsidRPr="00282AC9">
        <w:rPr>
          <w:rFonts w:ascii="Simplified Arabic" w:hAnsi="Simplified Arabic"/>
          <w:sz w:val="27"/>
          <w:vertAlign w:val="superscript"/>
          <w:rtl/>
          <w:lang w:bidi="ar-LB"/>
        </w:rPr>
        <w:t>)</w:t>
      </w:r>
      <w:r w:rsidR="00C9785D" w:rsidRPr="00282AC9">
        <w:rPr>
          <w:rFonts w:ascii="Simplified Arabic" w:hAnsi="Simplified Arabic" w:hint="cs"/>
          <w:sz w:val="27"/>
          <w:rtl/>
          <w:lang w:bidi="ar-LB"/>
        </w:rPr>
        <w:t xml:space="preserve"> </w:t>
      </w:r>
      <w:r w:rsidRPr="00282AC9">
        <w:rPr>
          <w:rFonts w:ascii="Simplified Arabic" w:hAnsi="Simplified Arabic" w:hint="cs"/>
          <w:sz w:val="27"/>
          <w:rtl/>
          <w:lang w:bidi="ar-LB"/>
        </w:rPr>
        <w:t>ـ إلى</w:t>
      </w:r>
      <w:r w:rsidRPr="00282AC9">
        <w:rPr>
          <w:rFonts w:ascii="Simplified Arabic" w:hAnsi="Simplified Arabic"/>
          <w:sz w:val="27"/>
          <w:rtl/>
          <w:lang w:bidi="ar-LB"/>
        </w:rPr>
        <w:t xml:space="preserve"> القول بالمرجوحي</w:t>
      </w:r>
      <w:r w:rsidR="00145807" w:rsidRPr="00282AC9">
        <w:rPr>
          <w:rFonts w:ascii="Simplified Arabic" w:hAnsi="Simplified Arabic" w:hint="cs"/>
          <w:sz w:val="27"/>
          <w:rtl/>
          <w:lang w:bidi="ar-LB"/>
        </w:rPr>
        <w:t>ّ</w:t>
      </w:r>
      <w:r w:rsidRPr="00282AC9">
        <w:rPr>
          <w:rFonts w:ascii="Simplified Arabic" w:hAnsi="Simplified Arabic"/>
          <w:sz w:val="27"/>
          <w:rtl/>
          <w:lang w:bidi="ar-LB"/>
        </w:rPr>
        <w:t>ة</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 xml:space="preserve"> في عبارته</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 xml:space="preserve"> </w:t>
      </w:r>
      <w:r w:rsidRPr="00282AC9">
        <w:rPr>
          <w:rFonts w:hint="eastAsia"/>
          <w:sz w:val="24"/>
          <w:szCs w:val="24"/>
          <w:rtl/>
          <w:lang w:bidi="ar-LB"/>
        </w:rPr>
        <w:t>«</w:t>
      </w:r>
      <w:r w:rsidRPr="00282AC9">
        <w:rPr>
          <w:rFonts w:ascii="Simplified Arabic" w:hAnsi="Simplified Arabic"/>
          <w:sz w:val="27"/>
          <w:rtl/>
        </w:rPr>
        <w:t>الله واحد</w:t>
      </w:r>
      <w:r w:rsidR="00145807" w:rsidRPr="00282AC9">
        <w:rPr>
          <w:rFonts w:ascii="Simplified Arabic" w:hAnsi="Simplified Arabic" w:hint="cs"/>
          <w:sz w:val="27"/>
          <w:rtl/>
        </w:rPr>
        <w:t>ٌ،</w:t>
      </w:r>
      <w:r w:rsidRPr="00282AC9">
        <w:rPr>
          <w:rFonts w:ascii="Simplified Arabic" w:hAnsi="Simplified Arabic"/>
          <w:sz w:val="27"/>
          <w:rtl/>
        </w:rPr>
        <w:t xml:space="preserve"> والمحبّة واحدة</w:t>
      </w:r>
      <w:r w:rsidR="00145807" w:rsidRPr="00282AC9">
        <w:rPr>
          <w:rFonts w:ascii="Simplified Arabic" w:hAnsi="Simplified Arabic" w:hint="cs"/>
          <w:sz w:val="27"/>
          <w:rtl/>
        </w:rPr>
        <w:t>ٌ</w:t>
      </w:r>
      <w:r w:rsidRPr="00282AC9">
        <w:rPr>
          <w:rFonts w:ascii="Simplified Arabic" w:hAnsi="Simplified Arabic"/>
          <w:sz w:val="27"/>
          <w:rtl/>
        </w:rPr>
        <w:t xml:space="preserve"> وشريك الحياة واحد</w:t>
      </w:r>
      <w:r w:rsidRPr="00282AC9">
        <w:rPr>
          <w:rFonts w:ascii="Simplified Arabic" w:hAnsi="Simplified Arabic" w:hint="cs"/>
          <w:sz w:val="27"/>
          <w:rtl/>
        </w:rPr>
        <w:t>ٌ</w:t>
      </w:r>
      <w:r w:rsidR="00145807" w:rsidRPr="00282AC9">
        <w:rPr>
          <w:rFonts w:ascii="Simplified Arabic" w:hAnsi="Simplified Arabic" w:hint="cs"/>
          <w:sz w:val="27"/>
          <w:rtl/>
        </w:rPr>
        <w:t>.</w:t>
      </w:r>
    </w:p>
    <w:p w:rsidR="00B4645B" w:rsidRPr="00282AC9" w:rsidRDefault="00B4645B" w:rsidP="00DA4BC5">
      <w:pPr>
        <w:spacing w:line="386" w:lineRule="exact"/>
        <w:rPr>
          <w:rFonts w:ascii="Simplified Arabic" w:hAnsi="Simplified Arabic"/>
          <w:sz w:val="27"/>
          <w:rtl/>
          <w:lang w:bidi="ar-LB"/>
        </w:rPr>
      </w:pPr>
      <w:r w:rsidRPr="00282AC9">
        <w:rPr>
          <w:rFonts w:ascii="Simplified Arabic" w:hAnsi="Simplified Arabic" w:hint="cs"/>
          <w:sz w:val="27"/>
          <w:rtl/>
        </w:rPr>
        <w:t>وقد نُسب</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790"/>
      </w:r>
      <w:r w:rsidRPr="00282AC9">
        <w:rPr>
          <w:rFonts w:ascii="Simplified Arabic" w:hAnsi="Simplified Arabic"/>
          <w:sz w:val="27"/>
          <w:vertAlign w:val="superscript"/>
          <w:rtl/>
        </w:rPr>
        <w:t>)</w:t>
      </w:r>
      <w:r w:rsidRPr="00282AC9">
        <w:rPr>
          <w:rFonts w:ascii="Simplified Arabic" w:hAnsi="Simplified Arabic" w:hint="cs"/>
          <w:sz w:val="27"/>
          <w:rtl/>
        </w:rPr>
        <w:t xml:space="preserve"> </w:t>
      </w:r>
      <w:r w:rsidRPr="00282AC9">
        <w:rPr>
          <w:rFonts w:ascii="Simplified Arabic" w:hAnsi="Simplified Arabic"/>
          <w:sz w:val="27"/>
          <w:rtl/>
        </w:rPr>
        <w:t>إلى الشيخ الطوسي القول بالكراهة، ولم أج</w:t>
      </w:r>
      <w:r w:rsidR="00145807" w:rsidRPr="00282AC9">
        <w:rPr>
          <w:rFonts w:ascii="Simplified Arabic" w:hAnsi="Simplified Arabic" w:hint="cs"/>
          <w:sz w:val="27"/>
          <w:rtl/>
        </w:rPr>
        <w:t>ِ</w:t>
      </w:r>
      <w:r w:rsidRPr="00282AC9">
        <w:rPr>
          <w:rFonts w:ascii="Simplified Arabic" w:hAnsi="Simplified Arabic"/>
          <w:sz w:val="27"/>
          <w:rtl/>
        </w:rPr>
        <w:t>د</w:t>
      </w:r>
      <w:r w:rsidR="00145807" w:rsidRPr="00282AC9">
        <w:rPr>
          <w:rFonts w:ascii="Simplified Arabic" w:hAnsi="Simplified Arabic" w:hint="cs"/>
          <w:sz w:val="27"/>
          <w:rtl/>
        </w:rPr>
        <w:t>ْ</w:t>
      </w:r>
      <w:r w:rsidRPr="00282AC9">
        <w:rPr>
          <w:rFonts w:ascii="Simplified Arabic" w:hAnsi="Simplified Arabic"/>
          <w:sz w:val="27"/>
          <w:rtl/>
        </w:rPr>
        <w:t xml:space="preserve"> لذلك عبارة</w:t>
      </w:r>
      <w:r w:rsidR="00145807" w:rsidRPr="00282AC9">
        <w:rPr>
          <w:rFonts w:ascii="Simplified Arabic" w:hAnsi="Simplified Arabic" w:hint="cs"/>
          <w:sz w:val="27"/>
          <w:rtl/>
        </w:rPr>
        <w:t>ً</w:t>
      </w:r>
      <w:r w:rsidRPr="00282AC9">
        <w:rPr>
          <w:rFonts w:ascii="Simplified Arabic" w:hAnsi="Simplified Arabic"/>
          <w:sz w:val="27"/>
          <w:rtl/>
        </w:rPr>
        <w:t xml:space="preserve"> واضحة</w:t>
      </w:r>
      <w:r w:rsidR="00145807" w:rsidRPr="00282AC9">
        <w:rPr>
          <w:rFonts w:ascii="Simplified Arabic" w:hAnsi="Simplified Arabic" w:hint="cs"/>
          <w:sz w:val="27"/>
          <w:rtl/>
        </w:rPr>
        <w:t>،</w:t>
      </w:r>
      <w:r w:rsidRPr="00282AC9">
        <w:rPr>
          <w:rFonts w:ascii="Simplified Arabic" w:hAnsi="Simplified Arabic"/>
          <w:sz w:val="27"/>
          <w:rtl/>
        </w:rPr>
        <w:t xml:space="preserve"> إنما وجد</w:t>
      </w:r>
      <w:r w:rsidR="00145807" w:rsidRPr="00282AC9">
        <w:rPr>
          <w:rFonts w:ascii="Simplified Arabic" w:hAnsi="Simplified Arabic" w:hint="cs"/>
          <w:sz w:val="27"/>
          <w:rtl/>
        </w:rPr>
        <w:t>ْ</w:t>
      </w:r>
      <w:r w:rsidRPr="00282AC9">
        <w:rPr>
          <w:rFonts w:ascii="Simplified Arabic" w:hAnsi="Simplified Arabic"/>
          <w:sz w:val="27"/>
          <w:rtl/>
        </w:rPr>
        <w:t>ت</w:t>
      </w:r>
      <w:r w:rsidR="00145807" w:rsidRPr="00282AC9">
        <w:rPr>
          <w:rFonts w:ascii="Simplified Arabic" w:hAnsi="Simplified Arabic" w:hint="cs"/>
          <w:sz w:val="27"/>
          <w:rtl/>
        </w:rPr>
        <w:t>ُ</w:t>
      </w:r>
      <w:r w:rsidRPr="00282AC9">
        <w:rPr>
          <w:rFonts w:ascii="Simplified Arabic" w:hAnsi="Simplified Arabic"/>
          <w:sz w:val="27"/>
          <w:rtl/>
        </w:rPr>
        <w:t xml:space="preserve"> قول</w:t>
      </w:r>
      <w:r w:rsidR="00145807" w:rsidRPr="00282AC9">
        <w:rPr>
          <w:rFonts w:ascii="Simplified Arabic" w:hAnsi="Simplified Arabic" w:hint="cs"/>
          <w:sz w:val="27"/>
          <w:rtl/>
        </w:rPr>
        <w:t>اً</w:t>
      </w:r>
      <w:r w:rsidRPr="00282AC9">
        <w:rPr>
          <w:rFonts w:ascii="Simplified Arabic" w:hAnsi="Simplified Arabic"/>
          <w:sz w:val="27"/>
          <w:rtl/>
        </w:rPr>
        <w:t xml:space="preserve"> له باستحباب عدم الزيادة</w:t>
      </w:r>
      <w:r w:rsidR="00145807" w:rsidRPr="00282AC9">
        <w:rPr>
          <w:rFonts w:ascii="Simplified Arabic" w:hAnsi="Simplified Arabic" w:hint="cs"/>
          <w:sz w:val="27"/>
          <w:rtl/>
        </w:rPr>
        <w:t>،</w:t>
      </w:r>
      <w:r w:rsidRPr="00282AC9">
        <w:rPr>
          <w:rFonts w:ascii="Simplified Arabic" w:hAnsi="Simplified Arabic" w:hint="cs"/>
          <w:sz w:val="27"/>
          <w:rtl/>
        </w:rPr>
        <w:t xml:space="preserve"> حيث قال في كتابه المبسوط: </w:t>
      </w:r>
      <w:r w:rsidRPr="00282AC9">
        <w:rPr>
          <w:rFonts w:hint="eastAsia"/>
          <w:sz w:val="24"/>
          <w:szCs w:val="24"/>
          <w:rtl/>
          <w:lang w:bidi="ar-LB"/>
        </w:rPr>
        <w:t>«</w:t>
      </w:r>
      <w:r w:rsidRPr="00282AC9">
        <w:rPr>
          <w:rFonts w:ascii="Simplified Arabic" w:hAnsi="Simplified Arabic" w:hint="cs"/>
          <w:sz w:val="27"/>
          <w:rtl/>
          <w:lang w:bidi="ar-LB"/>
        </w:rPr>
        <w:t>يجوز</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للرجل</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يتزو</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ج</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أربعا</w:t>
      </w:r>
      <w:r w:rsidR="00145807"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خلاف</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والمستحب</w:t>
      </w:r>
      <w:r w:rsidR="00145807"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يقتصر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واحدة</w:t>
      </w:r>
      <w:r w:rsidR="00145807" w:rsidRPr="00282AC9">
        <w:rPr>
          <w:rFonts w:ascii="Simplified Arabic" w:hAnsi="Simplified Arabic" w:hint="cs"/>
          <w:sz w:val="27"/>
          <w:rtl/>
          <w:lang w:bidi="ar-LB"/>
        </w:rPr>
        <w:t>ٍ</w:t>
      </w:r>
      <w:r w:rsidRPr="00282AC9">
        <w:rPr>
          <w:rFonts w:hint="eastAsia"/>
          <w:sz w:val="24"/>
          <w:szCs w:val="24"/>
          <w:rtl/>
        </w:rPr>
        <w:t>»</w:t>
      </w:r>
      <w:r w:rsidRPr="00282AC9">
        <w:rPr>
          <w:rFonts w:ascii="Simplified Arabic" w:hAnsi="Simplified Arabic"/>
          <w:sz w:val="27"/>
          <w:vertAlign w:val="superscript"/>
          <w:rtl/>
          <w:lang w:bidi="ar-LB"/>
        </w:rPr>
        <w:t>(</w:t>
      </w:r>
      <w:r w:rsidRPr="00282AC9">
        <w:rPr>
          <w:rFonts w:ascii="Simplified Arabic" w:hAnsi="Simplified Arabic"/>
          <w:sz w:val="27"/>
          <w:vertAlign w:val="superscript"/>
          <w:rtl/>
          <w:lang w:bidi="ar-LB"/>
        </w:rPr>
        <w:endnoteReference w:id="791"/>
      </w:r>
      <w:r w:rsidRPr="00282AC9">
        <w:rPr>
          <w:rFonts w:ascii="Simplified Arabic" w:hAnsi="Simplified Arabic"/>
          <w:sz w:val="27"/>
          <w:vertAlign w:val="superscript"/>
          <w:rtl/>
          <w:lang w:bidi="ar-LB"/>
        </w:rPr>
        <w:t>)</w:t>
      </w:r>
      <w:r w:rsidRPr="00282AC9">
        <w:rPr>
          <w:rFonts w:ascii="Simplified Arabic" w:hAnsi="Simplified Arabic"/>
          <w:sz w:val="27"/>
          <w:rtl/>
          <w:lang w:bidi="ar-LB"/>
        </w:rPr>
        <w:t xml:space="preserve">. </w:t>
      </w:r>
    </w:p>
    <w:p w:rsidR="00B4645B" w:rsidRPr="00282AC9" w:rsidRDefault="00B4645B" w:rsidP="00DA4BC5">
      <w:pPr>
        <w:spacing w:line="386" w:lineRule="exact"/>
        <w:rPr>
          <w:rFonts w:ascii="Simplified Arabic" w:hAnsi="Simplified Arabic"/>
          <w:sz w:val="27"/>
          <w:rtl/>
          <w:lang w:bidi="ar-LB"/>
        </w:rPr>
      </w:pPr>
      <w:r w:rsidRPr="00282AC9">
        <w:rPr>
          <w:rFonts w:ascii="Simplified Arabic" w:hAnsi="Simplified Arabic" w:hint="cs"/>
          <w:sz w:val="27"/>
          <w:rtl/>
          <w:lang w:bidi="ar-LB"/>
        </w:rPr>
        <w:t xml:space="preserve">نعم، </w:t>
      </w:r>
      <w:r w:rsidRPr="00282AC9">
        <w:rPr>
          <w:rFonts w:ascii="Simplified Arabic" w:hAnsi="Simplified Arabic"/>
          <w:sz w:val="27"/>
          <w:rtl/>
          <w:lang w:bidi="ar-LB"/>
        </w:rPr>
        <w:t>الشيخ الاشتهاردي</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 xml:space="preserve"> في كتابه مدارك العروة</w:t>
      </w:r>
      <w:r w:rsidR="00145807"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رغم انتقاده لتعد</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د الزوجات</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 xml:space="preserve"> </w:t>
      </w:r>
      <w:r w:rsidRPr="00282AC9">
        <w:rPr>
          <w:rFonts w:ascii="Simplified Arabic" w:hAnsi="Simplified Arabic"/>
          <w:sz w:val="27"/>
          <w:rtl/>
          <w:lang w:bidi="ar-LB"/>
        </w:rPr>
        <w:t>ترد</w:t>
      </w:r>
      <w:r w:rsidR="00145807" w:rsidRPr="00282AC9">
        <w:rPr>
          <w:rFonts w:ascii="Simplified Arabic" w:hAnsi="Simplified Arabic" w:hint="cs"/>
          <w:sz w:val="27"/>
          <w:rtl/>
          <w:lang w:bidi="ar-LB"/>
        </w:rPr>
        <w:t>َّ</w:t>
      </w:r>
      <w:r w:rsidRPr="00282AC9">
        <w:rPr>
          <w:rFonts w:ascii="Simplified Arabic" w:hAnsi="Simplified Arabic"/>
          <w:sz w:val="27"/>
          <w:rtl/>
          <w:lang w:bidi="ar-LB"/>
        </w:rPr>
        <w:t>د في القول بالكراهة</w:t>
      </w:r>
      <w:r w:rsidR="00145807" w:rsidRPr="00282AC9">
        <w:rPr>
          <w:rFonts w:ascii="Simplified Arabic" w:hAnsi="Simplified Arabic" w:hint="cs"/>
          <w:sz w:val="27"/>
          <w:rtl/>
          <w:lang w:bidi="ar-LB"/>
        </w:rPr>
        <w:t>،</w:t>
      </w:r>
      <w:r w:rsidRPr="00282AC9">
        <w:rPr>
          <w:rFonts w:ascii="Simplified Arabic" w:hAnsi="Simplified Arabic"/>
          <w:sz w:val="27"/>
          <w:rtl/>
          <w:lang w:bidi="ar-LB"/>
        </w:rPr>
        <w:t xml:space="preserve"> قائلاً</w:t>
      </w:r>
      <w:r w:rsidR="00145807"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hint="eastAsia"/>
          <w:sz w:val="24"/>
          <w:szCs w:val="24"/>
          <w:rtl/>
          <w:lang w:bidi="ar-LB"/>
        </w:rPr>
        <w:t>«</w:t>
      </w:r>
      <w:r w:rsidRPr="00282AC9">
        <w:rPr>
          <w:rFonts w:ascii="Simplified Arabic" w:hAnsi="Simplified Arabic"/>
          <w:sz w:val="27"/>
          <w:rtl/>
          <w:lang w:bidi="ar-LB"/>
        </w:rPr>
        <w:t>يمكن دعوى كراهة التعدّ</w:t>
      </w:r>
      <w:r w:rsidR="00145807" w:rsidRPr="00282AC9">
        <w:rPr>
          <w:rFonts w:ascii="Simplified Arabic" w:hAnsi="Simplified Arabic" w:hint="cs"/>
          <w:sz w:val="27"/>
          <w:rtl/>
          <w:lang w:bidi="ar-LB"/>
        </w:rPr>
        <w:t>ُ</w:t>
      </w:r>
      <w:r w:rsidRPr="00282AC9">
        <w:rPr>
          <w:rFonts w:ascii="Simplified Arabic" w:hAnsi="Simplified Arabic"/>
          <w:sz w:val="27"/>
          <w:rtl/>
          <w:lang w:bidi="ar-LB"/>
        </w:rPr>
        <w:t>د</w:t>
      </w:r>
      <w:r w:rsidRPr="00282AC9">
        <w:rPr>
          <w:rFonts w:hint="eastAsia"/>
          <w:sz w:val="24"/>
          <w:szCs w:val="24"/>
          <w:rtl/>
        </w:rPr>
        <w:t>»</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792"/>
      </w:r>
      <w:r w:rsidRPr="00282AC9">
        <w:rPr>
          <w:rFonts w:ascii="Simplified Arabic" w:hAnsi="Simplified Arabic"/>
          <w:sz w:val="27"/>
          <w:vertAlign w:val="superscript"/>
          <w:rtl/>
          <w:lang w:bidi="ar-LB"/>
        </w:rPr>
        <w:t>)</w:t>
      </w:r>
      <w:r w:rsidRPr="00282AC9">
        <w:rPr>
          <w:rFonts w:ascii="Simplified Arabic" w:hAnsi="Simplified Arabic"/>
          <w:sz w:val="27"/>
          <w:rtl/>
          <w:lang w:bidi="ar-LB"/>
        </w:rPr>
        <w:t>.</w:t>
      </w:r>
    </w:p>
    <w:p w:rsidR="00B4645B" w:rsidRPr="00282AC9" w:rsidRDefault="00B4645B" w:rsidP="00DA4BC5">
      <w:pPr>
        <w:spacing w:line="386" w:lineRule="exact"/>
        <w:rPr>
          <w:rFonts w:ascii="Simplified Arabic" w:hAnsi="Simplified Arabic"/>
          <w:sz w:val="27"/>
          <w:rtl/>
          <w:lang w:bidi="ar-LB"/>
        </w:rPr>
      </w:pPr>
    </w:p>
    <w:p w:rsidR="00B4645B" w:rsidRPr="00282AC9" w:rsidRDefault="00317376" w:rsidP="00145807">
      <w:pPr>
        <w:pStyle w:val="31"/>
        <w:rPr>
          <w:color w:val="auto"/>
          <w:sz w:val="26"/>
        </w:rPr>
      </w:pPr>
      <w:bookmarkStart w:id="88" w:name="_Toc49871951"/>
      <w:r w:rsidRPr="00282AC9">
        <w:rPr>
          <w:rStyle w:val="2Char"/>
          <w:rFonts w:cs="Abz-3 (Yagut)" w:hint="cs"/>
          <w:color w:val="auto"/>
          <w:sz w:val="26"/>
          <w:szCs w:val="26"/>
          <w:rtl/>
        </w:rPr>
        <w:t>3ـ</w:t>
      </w:r>
      <w:r w:rsidR="00B4645B" w:rsidRPr="00282AC9">
        <w:rPr>
          <w:rStyle w:val="2Char"/>
          <w:rFonts w:cs="Abz-3 (Yagut)"/>
          <w:color w:val="auto"/>
          <w:sz w:val="26"/>
          <w:szCs w:val="26"/>
          <w:rtl/>
        </w:rPr>
        <w:t xml:space="preserve"> القول باستحباب عدم الزيادة</w:t>
      </w:r>
      <w:r w:rsidR="00145807" w:rsidRPr="00282AC9">
        <w:rPr>
          <w:rStyle w:val="2Char"/>
          <w:rFonts w:cs="Abz-3 (Yagut)" w:hint="cs"/>
          <w:color w:val="auto"/>
          <w:sz w:val="26"/>
          <w:szCs w:val="26"/>
          <w:rtl/>
        </w:rPr>
        <w:t>،</w:t>
      </w:r>
      <w:r w:rsidR="00B4645B" w:rsidRPr="00282AC9">
        <w:rPr>
          <w:rStyle w:val="2Char"/>
          <w:rFonts w:cs="Abz-3 (Yagut)"/>
          <w:color w:val="auto"/>
          <w:sz w:val="26"/>
          <w:szCs w:val="26"/>
          <w:rtl/>
        </w:rPr>
        <w:t xml:space="preserve"> أو البقاء على واحدة</w:t>
      </w:r>
      <w:bookmarkEnd w:id="88"/>
      <w:r w:rsidR="00145807" w:rsidRPr="00282AC9">
        <w:rPr>
          <w:rStyle w:val="2Char"/>
          <w:rFonts w:cs="Abz-3 (Yagut)" w:hint="cs"/>
          <w:color w:val="auto"/>
          <w:sz w:val="26"/>
          <w:szCs w:val="26"/>
          <w:rtl/>
        </w:rPr>
        <w:t>ٍ</w:t>
      </w:r>
      <w:r w:rsidR="00B4645B" w:rsidRPr="00282AC9">
        <w:rPr>
          <w:rStyle w:val="2Char"/>
          <w:rFonts w:cs="Abz-3 (Yagut)"/>
          <w:color w:val="auto"/>
          <w:sz w:val="26"/>
          <w:szCs w:val="26"/>
          <w:vertAlign w:val="superscript"/>
          <w:rtl/>
        </w:rPr>
        <w:t>(</w:t>
      </w:r>
      <w:r w:rsidR="00B4645B" w:rsidRPr="00282AC9">
        <w:rPr>
          <w:rStyle w:val="af9"/>
          <w:color w:val="auto"/>
          <w:sz w:val="26"/>
          <w:rtl/>
        </w:rPr>
        <w:endnoteReference w:id="793"/>
      </w:r>
      <w:r w:rsidR="00B4645B" w:rsidRPr="00282AC9">
        <w:rPr>
          <w:rStyle w:val="2Char"/>
          <w:rFonts w:cs="Abz-3 (Yagut)"/>
          <w:color w:val="auto"/>
          <w:sz w:val="26"/>
          <w:szCs w:val="26"/>
          <w:vertAlign w:val="superscript"/>
          <w:rtl/>
        </w:rPr>
        <w:t>)</w:t>
      </w:r>
    </w:p>
    <w:p w:rsidR="00B4645B" w:rsidRPr="00282AC9" w:rsidRDefault="00B4645B" w:rsidP="00DA4BC5">
      <w:pPr>
        <w:spacing w:line="386" w:lineRule="exact"/>
        <w:rPr>
          <w:rFonts w:ascii="Simplified Arabic" w:hAnsi="Simplified Arabic"/>
          <w:sz w:val="27"/>
          <w:rtl/>
          <w:lang w:bidi="ar-LB"/>
        </w:rPr>
      </w:pPr>
      <w:r w:rsidRPr="00282AC9">
        <w:rPr>
          <w:rFonts w:ascii="Simplified Arabic" w:hAnsi="Simplified Arabic"/>
          <w:sz w:val="27"/>
          <w:rtl/>
          <w:lang w:bidi="ar-LB"/>
        </w:rPr>
        <w:t xml:space="preserve"> </w:t>
      </w:r>
      <w:r w:rsidRPr="00282AC9">
        <w:rPr>
          <w:rFonts w:ascii="Simplified Arabic" w:hAnsi="Simplified Arabic" w:hint="cs"/>
          <w:sz w:val="27"/>
          <w:rtl/>
          <w:lang w:bidi="ar-LB"/>
        </w:rPr>
        <w:t>ذهب بعض الفقهاء إلى القول باستحباب الاقتصار على واحد</w:t>
      </w:r>
      <w:r w:rsidR="00145807" w:rsidRPr="00282AC9">
        <w:rPr>
          <w:rFonts w:ascii="Simplified Arabic" w:hAnsi="Simplified Arabic" w:hint="cs"/>
          <w:sz w:val="27"/>
          <w:rtl/>
          <w:lang w:bidi="ar-LB"/>
        </w:rPr>
        <w:t>ةٍ،</w:t>
      </w:r>
      <w:r w:rsidRPr="00282AC9">
        <w:rPr>
          <w:rFonts w:ascii="Simplified Arabic" w:hAnsi="Simplified Arabic" w:hint="cs"/>
          <w:sz w:val="27"/>
          <w:rtl/>
          <w:lang w:bidi="ar-LB"/>
        </w:rPr>
        <w:t xml:space="preserve"> كما ذكر</w:t>
      </w:r>
      <w:r w:rsidRPr="00282AC9">
        <w:rPr>
          <w:rFonts w:ascii="Simplified Arabic" w:hAnsi="Simplified Arabic"/>
          <w:sz w:val="27"/>
          <w:rtl/>
          <w:lang w:bidi="ar-LB"/>
        </w:rPr>
        <w:t xml:space="preserve"> الشيخ الطوسي</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794"/>
      </w:r>
      <w:r w:rsidRPr="00282AC9">
        <w:rPr>
          <w:rFonts w:ascii="Simplified Arabic" w:hAnsi="Simplified Arabic"/>
          <w:sz w:val="27"/>
          <w:vertAlign w:val="superscript"/>
          <w:rtl/>
          <w:lang w:bidi="ar-LB"/>
        </w:rPr>
        <w:t>)</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وكذلك القاضي ابن البر</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اج</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795"/>
      </w:r>
      <w:r w:rsidRPr="00282AC9">
        <w:rPr>
          <w:rFonts w:ascii="Simplified Arabic" w:hAnsi="Simplified Arabic"/>
          <w:sz w:val="27"/>
          <w:vertAlign w:val="superscript"/>
          <w:rtl/>
          <w:lang w:bidi="ar-LB"/>
        </w:rPr>
        <w:t>)</w:t>
      </w:r>
      <w:r w:rsidRPr="00282AC9">
        <w:rPr>
          <w:rFonts w:ascii="Simplified Arabic" w:hAnsi="Simplified Arabic" w:hint="cs"/>
          <w:sz w:val="27"/>
          <w:rtl/>
          <w:lang w:bidi="ar-LB"/>
        </w:rPr>
        <w:t xml:space="preserve"> في كتابه المهذ</w:t>
      </w:r>
      <w:r w:rsidR="00145807" w:rsidRPr="00282AC9">
        <w:rPr>
          <w:rFonts w:ascii="Simplified Arabic" w:hAnsi="Simplified Arabic" w:hint="cs"/>
          <w:sz w:val="27"/>
          <w:rtl/>
          <w:lang w:bidi="ar-LB"/>
        </w:rPr>
        <w:t>َّ</w:t>
      </w:r>
      <w:r w:rsidRPr="00282AC9">
        <w:rPr>
          <w:rFonts w:ascii="Simplified Arabic" w:hAnsi="Simplified Arabic" w:hint="cs"/>
          <w:sz w:val="27"/>
          <w:rtl/>
          <w:lang w:bidi="ar-LB"/>
        </w:rPr>
        <w:t>ب.</w:t>
      </w:r>
    </w:p>
    <w:p w:rsidR="00B4645B" w:rsidRPr="00282AC9" w:rsidRDefault="00B4645B" w:rsidP="00DA4BC5">
      <w:pPr>
        <w:spacing w:line="386" w:lineRule="exact"/>
        <w:rPr>
          <w:rFonts w:ascii="Simplified Arabic" w:hAnsi="Simplified Arabic"/>
          <w:sz w:val="27"/>
          <w:rtl/>
          <w:lang w:bidi="ar-LB"/>
        </w:rPr>
      </w:pPr>
    </w:p>
    <w:p w:rsidR="00B4645B" w:rsidRPr="00282AC9" w:rsidRDefault="00317376" w:rsidP="00C73F02">
      <w:pPr>
        <w:pStyle w:val="31"/>
        <w:rPr>
          <w:b/>
          <w:color w:val="auto"/>
        </w:rPr>
      </w:pPr>
      <w:bookmarkStart w:id="89" w:name="_Toc49871952"/>
      <w:r w:rsidRPr="00282AC9">
        <w:rPr>
          <w:rFonts w:hint="cs"/>
          <w:color w:val="auto"/>
          <w:rtl/>
        </w:rPr>
        <w:t>4ـ</w:t>
      </w:r>
      <w:r w:rsidR="00B4645B" w:rsidRPr="00282AC9">
        <w:rPr>
          <w:color w:val="auto"/>
          <w:rtl/>
        </w:rPr>
        <w:t xml:space="preserve"> القول بالإباحة بالمعنى الأخصّ</w:t>
      </w:r>
      <w:bookmarkEnd w:id="89"/>
    </w:p>
    <w:p w:rsidR="00B4645B" w:rsidRPr="00282AC9" w:rsidRDefault="00B4645B" w:rsidP="00DA4BC5">
      <w:pPr>
        <w:spacing w:line="386" w:lineRule="exact"/>
        <w:rPr>
          <w:rFonts w:ascii="Simplified Arabic" w:hAnsi="Simplified Arabic"/>
          <w:sz w:val="27"/>
          <w:rtl/>
        </w:rPr>
      </w:pPr>
      <w:r w:rsidRPr="00282AC9">
        <w:rPr>
          <w:rFonts w:ascii="Simplified Arabic" w:hAnsi="Simplified Arabic" w:hint="cs"/>
          <w:sz w:val="27"/>
          <w:rtl/>
        </w:rPr>
        <w:t>ذهب بعض الفقهاء إلى القول بإباحة التعد</w:t>
      </w:r>
      <w:r w:rsidR="006C0580" w:rsidRPr="00282AC9">
        <w:rPr>
          <w:rFonts w:ascii="Simplified Arabic" w:hAnsi="Simplified Arabic" w:hint="cs"/>
          <w:sz w:val="27"/>
          <w:rtl/>
        </w:rPr>
        <w:t>ُّ</w:t>
      </w:r>
      <w:r w:rsidRPr="00282AC9">
        <w:rPr>
          <w:rFonts w:ascii="Simplified Arabic" w:hAnsi="Simplified Arabic" w:hint="cs"/>
          <w:sz w:val="27"/>
          <w:rtl/>
        </w:rPr>
        <w:t>د</w:t>
      </w:r>
      <w:r w:rsidR="006C0580" w:rsidRPr="00282AC9">
        <w:rPr>
          <w:rFonts w:ascii="Simplified Arabic" w:hAnsi="Simplified Arabic" w:hint="cs"/>
          <w:sz w:val="27"/>
          <w:rtl/>
        </w:rPr>
        <w:t>،</w:t>
      </w:r>
      <w:r w:rsidRPr="00282AC9">
        <w:rPr>
          <w:rFonts w:ascii="Simplified Arabic" w:hAnsi="Simplified Arabic" w:hint="cs"/>
          <w:sz w:val="27"/>
          <w:rtl/>
        </w:rPr>
        <w:t xml:space="preserve"> ومنهم</w:t>
      </w:r>
      <w:r w:rsidR="006C0580" w:rsidRPr="00282AC9">
        <w:rPr>
          <w:rFonts w:ascii="Simplified Arabic" w:hAnsi="Simplified Arabic" w:hint="cs"/>
          <w:sz w:val="27"/>
          <w:rtl/>
        </w:rPr>
        <w:t>:</w:t>
      </w:r>
      <w:r w:rsidRPr="00282AC9">
        <w:rPr>
          <w:rFonts w:ascii="Simplified Arabic" w:hAnsi="Simplified Arabic"/>
          <w:sz w:val="27"/>
          <w:rtl/>
        </w:rPr>
        <w:t xml:space="preserve"> السيد السيستاني</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796"/>
      </w:r>
      <w:r w:rsidRPr="00282AC9">
        <w:rPr>
          <w:rFonts w:ascii="Simplified Arabic" w:hAnsi="Simplified Arabic"/>
          <w:sz w:val="27"/>
          <w:vertAlign w:val="superscript"/>
          <w:rtl/>
        </w:rPr>
        <w:t>)</w:t>
      </w:r>
      <w:r w:rsidR="006C0580"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 xml:space="preserve">حيث اعتبر </w:t>
      </w:r>
      <w:r w:rsidRPr="00282AC9">
        <w:rPr>
          <w:rFonts w:ascii="Simplified Arabic" w:hAnsi="Simplified Arabic"/>
          <w:sz w:val="27"/>
          <w:rtl/>
        </w:rPr>
        <w:t>أنه لم يثبت استحباب تعدّ</w:t>
      </w:r>
      <w:r w:rsidR="006C0580" w:rsidRPr="00282AC9">
        <w:rPr>
          <w:rFonts w:ascii="Simplified Arabic" w:hAnsi="Simplified Arabic" w:hint="cs"/>
          <w:sz w:val="27"/>
          <w:rtl/>
        </w:rPr>
        <w:t>ُ</w:t>
      </w:r>
      <w:r w:rsidRPr="00282AC9">
        <w:rPr>
          <w:rFonts w:ascii="Simplified Arabic" w:hAnsi="Simplified Arabic"/>
          <w:sz w:val="27"/>
          <w:rtl/>
        </w:rPr>
        <w:t>د الزوا</w:t>
      </w:r>
      <w:r w:rsidRPr="00282AC9">
        <w:rPr>
          <w:rFonts w:ascii="Simplified Arabic" w:hAnsi="Simplified Arabic" w:hint="cs"/>
          <w:sz w:val="27"/>
          <w:rtl/>
        </w:rPr>
        <w:t>ج.</w:t>
      </w:r>
    </w:p>
    <w:p w:rsidR="00B4645B" w:rsidRPr="00282AC9" w:rsidRDefault="006C0580" w:rsidP="00DA4BC5">
      <w:pPr>
        <w:spacing w:line="386" w:lineRule="exact"/>
        <w:rPr>
          <w:rFonts w:ascii="Simplified Arabic" w:hAnsi="Simplified Arabic"/>
          <w:sz w:val="27"/>
          <w:rtl/>
        </w:rPr>
      </w:pPr>
      <w:r w:rsidRPr="00282AC9">
        <w:rPr>
          <w:rFonts w:ascii="Simplified Arabic" w:hAnsi="Simplified Arabic" w:hint="cs"/>
          <w:sz w:val="27"/>
          <w:rtl/>
        </w:rPr>
        <w:t xml:space="preserve">وفي </w:t>
      </w:r>
      <w:r w:rsidR="00B4645B" w:rsidRPr="00282AC9">
        <w:rPr>
          <w:rFonts w:ascii="Simplified Arabic" w:hAnsi="Simplified Arabic" w:hint="cs"/>
          <w:sz w:val="27"/>
          <w:rtl/>
        </w:rPr>
        <w:t xml:space="preserve">الخلاصة </w:t>
      </w:r>
      <w:r w:rsidRPr="00282AC9">
        <w:rPr>
          <w:rFonts w:ascii="Simplified Arabic" w:hAnsi="Simplified Arabic" w:hint="cs"/>
          <w:sz w:val="27"/>
          <w:rtl/>
        </w:rPr>
        <w:t>يتّضح</w:t>
      </w:r>
      <w:r w:rsidR="00B4645B" w:rsidRPr="00282AC9">
        <w:rPr>
          <w:rFonts w:ascii="Simplified Arabic" w:hAnsi="Simplified Arabic" w:hint="cs"/>
          <w:sz w:val="27"/>
          <w:rtl/>
        </w:rPr>
        <w:t xml:space="preserve"> وجود </w:t>
      </w:r>
      <w:r w:rsidRPr="00282AC9">
        <w:rPr>
          <w:rFonts w:ascii="Simplified Arabic" w:hAnsi="Simplified Arabic" w:hint="cs"/>
          <w:sz w:val="27"/>
          <w:rtl/>
        </w:rPr>
        <w:t>آ</w:t>
      </w:r>
      <w:r w:rsidR="00B4645B" w:rsidRPr="00282AC9">
        <w:rPr>
          <w:rFonts w:ascii="Simplified Arabic" w:hAnsi="Simplified Arabic" w:hint="cs"/>
          <w:sz w:val="27"/>
          <w:rtl/>
        </w:rPr>
        <w:t>راء عديدة</w:t>
      </w:r>
      <w:r w:rsidRPr="00282AC9">
        <w:rPr>
          <w:rFonts w:ascii="Simplified Arabic" w:hAnsi="Simplified Arabic" w:hint="cs"/>
          <w:sz w:val="27"/>
          <w:rtl/>
        </w:rPr>
        <w:t>،</w:t>
      </w:r>
      <w:r w:rsidR="00B4645B" w:rsidRPr="00282AC9">
        <w:rPr>
          <w:rFonts w:ascii="Simplified Arabic" w:hAnsi="Simplified Arabic" w:hint="cs"/>
          <w:sz w:val="27"/>
          <w:rtl/>
        </w:rPr>
        <w:t xml:space="preserve"> متفاوتة ما بين الكراهة والاستحباب</w:t>
      </w:r>
      <w:r w:rsidRPr="00282AC9">
        <w:rPr>
          <w:rFonts w:ascii="Simplified Arabic" w:hAnsi="Simplified Arabic" w:hint="cs"/>
          <w:sz w:val="27"/>
          <w:rtl/>
        </w:rPr>
        <w:t>،</w:t>
      </w:r>
      <w:r w:rsidR="00B4645B" w:rsidRPr="00282AC9">
        <w:rPr>
          <w:rFonts w:ascii="Simplified Arabic" w:hAnsi="Simplified Arabic" w:hint="cs"/>
          <w:sz w:val="27"/>
          <w:rtl/>
        </w:rPr>
        <w:t xml:space="preserve"> في مسألة تعد</w:t>
      </w:r>
      <w:r w:rsidRPr="00282AC9">
        <w:rPr>
          <w:rFonts w:ascii="Simplified Arabic" w:hAnsi="Simplified Arabic" w:hint="cs"/>
          <w:sz w:val="27"/>
          <w:rtl/>
        </w:rPr>
        <w:t>ُّ</w:t>
      </w:r>
      <w:r w:rsidR="00B4645B" w:rsidRPr="00282AC9">
        <w:rPr>
          <w:rFonts w:ascii="Simplified Arabic" w:hAnsi="Simplified Arabic" w:hint="cs"/>
          <w:sz w:val="27"/>
          <w:rtl/>
        </w:rPr>
        <w:t>د الزوجات</w:t>
      </w:r>
      <w:r w:rsidRPr="00282AC9">
        <w:rPr>
          <w:rFonts w:ascii="Simplified Arabic" w:hAnsi="Simplified Arabic" w:hint="cs"/>
          <w:sz w:val="27"/>
          <w:rtl/>
        </w:rPr>
        <w:t xml:space="preserve">. </w:t>
      </w:r>
      <w:r w:rsidR="00B4645B" w:rsidRPr="00282AC9">
        <w:rPr>
          <w:rFonts w:ascii="Simplified Arabic" w:hAnsi="Simplified Arabic" w:hint="cs"/>
          <w:sz w:val="27"/>
          <w:rtl/>
        </w:rPr>
        <w:t>ولذا يجدر البحث في حقيقة الحكم في المسألة.</w:t>
      </w:r>
    </w:p>
    <w:p w:rsidR="00B4645B" w:rsidRPr="00282AC9" w:rsidRDefault="00B4645B" w:rsidP="00DA4BC5">
      <w:pPr>
        <w:spacing w:line="386" w:lineRule="exact"/>
        <w:rPr>
          <w:rFonts w:ascii="Simplified Arabic" w:hAnsi="Simplified Arabic"/>
          <w:sz w:val="27"/>
          <w:rtl/>
        </w:rPr>
      </w:pPr>
    </w:p>
    <w:p w:rsidR="00B4645B" w:rsidRPr="00282AC9" w:rsidRDefault="00B4645B" w:rsidP="007841B6">
      <w:pPr>
        <w:pStyle w:val="31"/>
        <w:rPr>
          <w:color w:val="auto"/>
          <w:rtl/>
          <w:lang w:bidi="ar-LB"/>
        </w:rPr>
      </w:pPr>
      <w:bookmarkStart w:id="90" w:name="_Toc49871953"/>
      <w:r w:rsidRPr="00282AC9">
        <w:rPr>
          <w:color w:val="auto"/>
          <w:rtl/>
          <w:lang w:bidi="ar-LB"/>
        </w:rPr>
        <w:t xml:space="preserve">ثانياً: </w:t>
      </w:r>
      <w:bookmarkEnd w:id="90"/>
      <w:r w:rsidR="005B6D69" w:rsidRPr="00282AC9">
        <w:rPr>
          <w:rFonts w:hint="cs"/>
          <w:color w:val="auto"/>
          <w:rtl/>
          <w:lang w:bidi="ar-LB"/>
        </w:rPr>
        <w:t>ال</w:t>
      </w:r>
      <w:r w:rsidR="007841B6" w:rsidRPr="00282AC9">
        <w:rPr>
          <w:rFonts w:hint="cs"/>
          <w:color w:val="auto"/>
          <w:rtl/>
          <w:lang w:bidi="ar-LB"/>
        </w:rPr>
        <w:t>آيات</w:t>
      </w:r>
      <w:r w:rsidR="005B6D69" w:rsidRPr="00282AC9">
        <w:rPr>
          <w:rFonts w:hint="cs"/>
          <w:color w:val="auto"/>
          <w:rtl/>
          <w:lang w:bidi="ar-LB"/>
        </w:rPr>
        <w:t xml:space="preserve"> القرآنية ودلالتها</w:t>
      </w:r>
    </w:p>
    <w:p w:rsidR="00B4645B" w:rsidRPr="00282AC9" w:rsidRDefault="00FD21EE" w:rsidP="00C73F02">
      <w:pPr>
        <w:pStyle w:val="31"/>
        <w:rPr>
          <w:b/>
          <w:color w:val="auto"/>
          <w:rtl/>
        </w:rPr>
      </w:pPr>
      <w:r w:rsidRPr="00282AC9">
        <w:rPr>
          <w:rFonts w:hint="cs"/>
          <w:color w:val="auto"/>
          <w:rtl/>
          <w:lang w:bidi="ar-LB"/>
        </w:rPr>
        <w:t xml:space="preserve">1ـ </w:t>
      </w:r>
      <w:r w:rsidR="006C0580" w:rsidRPr="00282AC9">
        <w:rPr>
          <w:rFonts w:ascii="Mosawi" w:hAnsi="Mosawi" w:cs="Mosawi"/>
          <w:color w:val="auto"/>
          <w:sz w:val="26"/>
          <w:rtl/>
        </w:rPr>
        <w:t>﴿</w:t>
      </w:r>
      <w:r w:rsidR="006C0580" w:rsidRPr="00282AC9">
        <w:rPr>
          <w:rFonts w:ascii="Simplified Arabic" w:hAnsi="Simplified Arabic" w:hint="cs"/>
          <w:color w:val="auto"/>
          <w:sz w:val="27"/>
          <w:rtl/>
        </w:rPr>
        <w:t>فَانكِحُوا</w:t>
      </w:r>
      <w:r w:rsidR="006C0580" w:rsidRPr="00282AC9">
        <w:rPr>
          <w:rFonts w:ascii="Simplified Arabic" w:hAnsi="Simplified Arabic"/>
          <w:color w:val="auto"/>
          <w:sz w:val="27"/>
          <w:rtl/>
        </w:rPr>
        <w:t xml:space="preserve"> </w:t>
      </w:r>
      <w:r w:rsidR="006C0580" w:rsidRPr="00282AC9">
        <w:rPr>
          <w:rFonts w:ascii="Simplified Arabic" w:hAnsi="Simplified Arabic" w:hint="cs"/>
          <w:color w:val="auto"/>
          <w:sz w:val="27"/>
          <w:rtl/>
        </w:rPr>
        <w:t>مَا</w:t>
      </w:r>
      <w:r w:rsidR="006C0580" w:rsidRPr="00282AC9">
        <w:rPr>
          <w:rFonts w:ascii="Simplified Arabic" w:hAnsi="Simplified Arabic"/>
          <w:color w:val="auto"/>
          <w:sz w:val="27"/>
          <w:rtl/>
        </w:rPr>
        <w:t xml:space="preserve"> </w:t>
      </w:r>
      <w:r w:rsidR="006C0580" w:rsidRPr="00282AC9">
        <w:rPr>
          <w:rFonts w:ascii="Simplified Arabic" w:hAnsi="Simplified Arabic" w:hint="cs"/>
          <w:color w:val="auto"/>
          <w:sz w:val="27"/>
          <w:rtl/>
        </w:rPr>
        <w:t>طَابَ</w:t>
      </w:r>
      <w:r w:rsidR="006C0580" w:rsidRPr="00282AC9">
        <w:rPr>
          <w:rFonts w:ascii="Simplified Arabic" w:hAnsi="Simplified Arabic"/>
          <w:color w:val="auto"/>
          <w:sz w:val="27"/>
          <w:rtl/>
        </w:rPr>
        <w:t xml:space="preserve"> </w:t>
      </w:r>
      <w:r w:rsidR="006C0580" w:rsidRPr="00282AC9">
        <w:rPr>
          <w:rFonts w:ascii="Simplified Arabic" w:hAnsi="Simplified Arabic" w:hint="cs"/>
          <w:color w:val="auto"/>
          <w:sz w:val="27"/>
          <w:rtl/>
        </w:rPr>
        <w:t>لَكُم</w:t>
      </w:r>
      <w:r w:rsidR="006C0580" w:rsidRPr="00282AC9">
        <w:rPr>
          <w:rFonts w:ascii="Simplified Arabic" w:hAnsi="Simplified Arabic"/>
          <w:color w:val="auto"/>
          <w:sz w:val="27"/>
          <w:rtl/>
        </w:rPr>
        <w:t xml:space="preserve"> </w:t>
      </w:r>
      <w:r w:rsidR="006C0580" w:rsidRPr="00282AC9">
        <w:rPr>
          <w:rFonts w:ascii="Simplified Arabic" w:hAnsi="Simplified Arabic" w:hint="cs"/>
          <w:color w:val="auto"/>
          <w:sz w:val="27"/>
          <w:rtl/>
        </w:rPr>
        <w:t>مِّنَ</w:t>
      </w:r>
      <w:r w:rsidR="006C0580" w:rsidRPr="00282AC9">
        <w:rPr>
          <w:rFonts w:ascii="Simplified Arabic" w:hAnsi="Simplified Arabic"/>
          <w:color w:val="auto"/>
          <w:sz w:val="27"/>
          <w:rtl/>
        </w:rPr>
        <w:t xml:space="preserve"> </w:t>
      </w:r>
      <w:r w:rsidR="006C0580" w:rsidRPr="00282AC9">
        <w:rPr>
          <w:rFonts w:ascii="Simplified Arabic" w:hAnsi="Simplified Arabic" w:hint="cs"/>
          <w:color w:val="auto"/>
          <w:sz w:val="27"/>
          <w:rtl/>
        </w:rPr>
        <w:t>النِّسَاءِ</w:t>
      </w:r>
      <w:r w:rsidR="006C0580" w:rsidRPr="00282AC9">
        <w:rPr>
          <w:rFonts w:ascii="Simplified Arabic" w:hAnsi="Simplified Arabic"/>
          <w:color w:val="auto"/>
          <w:sz w:val="27"/>
          <w:rtl/>
        </w:rPr>
        <w:t xml:space="preserve"> </w:t>
      </w:r>
      <w:r w:rsidR="006C0580" w:rsidRPr="00282AC9">
        <w:rPr>
          <w:rFonts w:ascii="Simplified Arabic" w:hAnsi="Simplified Arabic" w:hint="cs"/>
          <w:color w:val="auto"/>
          <w:sz w:val="27"/>
          <w:rtl/>
        </w:rPr>
        <w:t>مَثْنَى</w:t>
      </w:r>
      <w:r w:rsidR="006C0580" w:rsidRPr="00282AC9">
        <w:rPr>
          <w:rFonts w:ascii="Simplified Arabic" w:hAnsi="Simplified Arabic"/>
          <w:color w:val="auto"/>
          <w:sz w:val="27"/>
          <w:rtl/>
        </w:rPr>
        <w:t xml:space="preserve"> </w:t>
      </w:r>
      <w:r w:rsidR="006C0580" w:rsidRPr="00282AC9">
        <w:rPr>
          <w:rFonts w:ascii="Simplified Arabic" w:hAnsi="Simplified Arabic" w:hint="cs"/>
          <w:color w:val="auto"/>
          <w:sz w:val="27"/>
          <w:rtl/>
        </w:rPr>
        <w:t>وَثُلاَثَ</w:t>
      </w:r>
      <w:r w:rsidR="006C0580" w:rsidRPr="00282AC9">
        <w:rPr>
          <w:rFonts w:ascii="Simplified Arabic" w:hAnsi="Simplified Arabic"/>
          <w:color w:val="auto"/>
          <w:sz w:val="27"/>
          <w:rtl/>
        </w:rPr>
        <w:t xml:space="preserve"> </w:t>
      </w:r>
      <w:r w:rsidR="006C0580" w:rsidRPr="00282AC9">
        <w:rPr>
          <w:rFonts w:ascii="Simplified Arabic" w:hAnsi="Simplified Arabic" w:hint="cs"/>
          <w:color w:val="auto"/>
          <w:sz w:val="27"/>
          <w:rtl/>
        </w:rPr>
        <w:t>وَرُبَاعَ</w:t>
      </w:r>
      <w:r w:rsidR="006C0580" w:rsidRPr="00282AC9">
        <w:rPr>
          <w:rFonts w:ascii="Mosawi" w:hAnsi="Mosawi" w:cs="Mosawi"/>
          <w:color w:val="auto"/>
          <w:sz w:val="26"/>
          <w:rtl/>
        </w:rPr>
        <w:t>﴾</w:t>
      </w:r>
    </w:p>
    <w:p w:rsidR="00B4645B" w:rsidRPr="00282AC9" w:rsidRDefault="00B4645B" w:rsidP="0091196D">
      <w:pPr>
        <w:rPr>
          <w:rFonts w:ascii="Simplified Arabic" w:hAnsi="Simplified Arabic"/>
          <w:sz w:val="27"/>
          <w:rtl/>
        </w:rPr>
      </w:pPr>
      <w:r w:rsidRPr="00282AC9">
        <w:rPr>
          <w:rFonts w:ascii="Mosawi" w:hAnsi="Mosawi" w:cs="Mosawi"/>
          <w:sz w:val="24"/>
          <w:szCs w:val="24"/>
          <w:rtl/>
        </w:rPr>
        <w:t>﴿</w:t>
      </w:r>
      <w:r w:rsidRPr="00282AC9">
        <w:rPr>
          <w:rFonts w:ascii="Simplified Arabic" w:hAnsi="Simplified Arabic"/>
          <w:b/>
          <w:bCs/>
          <w:sz w:val="27"/>
          <w:rtl/>
        </w:rPr>
        <w:t>وَإِنْ خِفْتُمْ أَ</w:t>
      </w:r>
      <w:r w:rsidR="0098453C" w:rsidRPr="00282AC9">
        <w:rPr>
          <w:rFonts w:ascii="Simplified Arabic" w:hAnsi="Simplified Arabic" w:hint="cs"/>
          <w:b/>
          <w:bCs/>
          <w:sz w:val="27"/>
          <w:rtl/>
        </w:rPr>
        <w:t>نْ لاَ</w:t>
      </w:r>
      <w:r w:rsidRPr="00282AC9">
        <w:rPr>
          <w:rFonts w:ascii="Simplified Arabic" w:hAnsi="Simplified Arabic"/>
          <w:b/>
          <w:bCs/>
          <w:sz w:val="27"/>
          <w:rtl/>
        </w:rPr>
        <w:t xml:space="preserve"> تُقْسِطُوا فِي الْيَتَامَى </w:t>
      </w:r>
      <w:r w:rsidRPr="00282AC9">
        <w:rPr>
          <w:rFonts w:ascii="Simplified Arabic" w:hAnsi="Simplified Arabic" w:hint="cs"/>
          <w:b/>
          <w:bCs/>
          <w:sz w:val="27"/>
          <w:rtl/>
        </w:rPr>
        <w:t>فَان</w:t>
      </w:r>
      <w:r w:rsidR="0098453C" w:rsidRPr="00282AC9">
        <w:rPr>
          <w:rFonts w:ascii="Simplified Arabic" w:hAnsi="Simplified Arabic" w:hint="cs"/>
          <w:b/>
          <w:bCs/>
          <w:sz w:val="27"/>
          <w:rtl/>
        </w:rPr>
        <w:t>ْ</w:t>
      </w:r>
      <w:r w:rsidRPr="00282AC9">
        <w:rPr>
          <w:rFonts w:ascii="Simplified Arabic" w:hAnsi="Simplified Arabic" w:hint="cs"/>
          <w:b/>
          <w:bCs/>
          <w:sz w:val="27"/>
          <w:rtl/>
        </w:rPr>
        <w:t>كِحُوا</w:t>
      </w:r>
      <w:r w:rsidRPr="00282AC9">
        <w:rPr>
          <w:rFonts w:ascii="Simplified Arabic" w:hAnsi="Simplified Arabic"/>
          <w:b/>
          <w:bCs/>
          <w:sz w:val="27"/>
          <w:rtl/>
        </w:rPr>
        <w:t xml:space="preserve"> </w:t>
      </w:r>
      <w:r w:rsidRPr="00282AC9">
        <w:rPr>
          <w:rFonts w:ascii="Simplified Arabic" w:hAnsi="Simplified Arabic" w:hint="cs"/>
          <w:b/>
          <w:bCs/>
          <w:sz w:val="27"/>
          <w:rtl/>
        </w:rPr>
        <w:t>مَا</w:t>
      </w:r>
      <w:r w:rsidRPr="00282AC9">
        <w:rPr>
          <w:rFonts w:ascii="Simplified Arabic" w:hAnsi="Simplified Arabic"/>
          <w:b/>
          <w:bCs/>
          <w:sz w:val="27"/>
          <w:rtl/>
        </w:rPr>
        <w:t xml:space="preserve"> </w:t>
      </w:r>
      <w:r w:rsidRPr="00282AC9">
        <w:rPr>
          <w:rFonts w:ascii="Simplified Arabic" w:hAnsi="Simplified Arabic" w:hint="cs"/>
          <w:b/>
          <w:bCs/>
          <w:sz w:val="27"/>
          <w:rtl/>
        </w:rPr>
        <w:t>طَابَ</w:t>
      </w:r>
      <w:r w:rsidRPr="00282AC9">
        <w:rPr>
          <w:rFonts w:ascii="Simplified Arabic" w:hAnsi="Simplified Arabic"/>
          <w:b/>
          <w:bCs/>
          <w:sz w:val="27"/>
          <w:rtl/>
        </w:rPr>
        <w:t xml:space="preserve"> </w:t>
      </w:r>
      <w:r w:rsidRPr="00282AC9">
        <w:rPr>
          <w:rFonts w:ascii="Simplified Arabic" w:hAnsi="Simplified Arabic" w:hint="cs"/>
          <w:b/>
          <w:bCs/>
          <w:sz w:val="27"/>
          <w:rtl/>
        </w:rPr>
        <w:t>لَكُم</w:t>
      </w:r>
      <w:r w:rsidR="0098453C" w:rsidRPr="00282AC9">
        <w:rPr>
          <w:rFonts w:ascii="Simplified Arabic" w:hAnsi="Simplified Arabic" w:hint="cs"/>
          <w:b/>
          <w:bCs/>
          <w:sz w:val="27"/>
          <w:rtl/>
        </w:rPr>
        <w:t>ْ</w:t>
      </w:r>
      <w:r w:rsidRPr="00282AC9">
        <w:rPr>
          <w:rFonts w:ascii="Simplified Arabic" w:hAnsi="Simplified Arabic"/>
          <w:b/>
          <w:bCs/>
          <w:sz w:val="27"/>
          <w:rtl/>
        </w:rPr>
        <w:t xml:space="preserve"> </w:t>
      </w:r>
      <w:r w:rsidR="0098453C" w:rsidRPr="00282AC9">
        <w:rPr>
          <w:rFonts w:ascii="Simplified Arabic" w:hAnsi="Simplified Arabic" w:hint="cs"/>
          <w:b/>
          <w:bCs/>
          <w:sz w:val="27"/>
          <w:rtl/>
        </w:rPr>
        <w:t>مِ</w:t>
      </w:r>
      <w:r w:rsidRPr="00282AC9">
        <w:rPr>
          <w:rFonts w:ascii="Simplified Arabic" w:hAnsi="Simplified Arabic" w:hint="cs"/>
          <w:b/>
          <w:bCs/>
          <w:sz w:val="27"/>
          <w:rtl/>
        </w:rPr>
        <w:t>نَ</w:t>
      </w:r>
      <w:r w:rsidRPr="00282AC9">
        <w:rPr>
          <w:rFonts w:ascii="Simplified Arabic" w:hAnsi="Simplified Arabic"/>
          <w:b/>
          <w:bCs/>
          <w:sz w:val="27"/>
          <w:rtl/>
        </w:rPr>
        <w:t xml:space="preserve"> </w:t>
      </w:r>
      <w:r w:rsidRPr="00282AC9">
        <w:rPr>
          <w:rFonts w:ascii="Simplified Arabic" w:hAnsi="Simplified Arabic" w:hint="cs"/>
          <w:b/>
          <w:bCs/>
          <w:sz w:val="27"/>
          <w:rtl/>
        </w:rPr>
        <w:t>النِّسَاءِ</w:t>
      </w:r>
      <w:r w:rsidRPr="00282AC9">
        <w:rPr>
          <w:rFonts w:ascii="Simplified Arabic" w:hAnsi="Simplified Arabic"/>
          <w:b/>
          <w:bCs/>
          <w:sz w:val="27"/>
          <w:rtl/>
        </w:rPr>
        <w:t xml:space="preserve"> </w:t>
      </w:r>
      <w:r w:rsidRPr="00282AC9">
        <w:rPr>
          <w:rFonts w:ascii="Simplified Arabic" w:hAnsi="Simplified Arabic" w:hint="cs"/>
          <w:b/>
          <w:bCs/>
          <w:sz w:val="27"/>
          <w:rtl/>
        </w:rPr>
        <w:t>مَثْنَى</w:t>
      </w:r>
      <w:r w:rsidRPr="00282AC9">
        <w:rPr>
          <w:rFonts w:ascii="Simplified Arabic" w:hAnsi="Simplified Arabic"/>
          <w:b/>
          <w:bCs/>
          <w:sz w:val="27"/>
          <w:rtl/>
        </w:rPr>
        <w:t xml:space="preserve"> </w:t>
      </w:r>
      <w:r w:rsidR="0098453C" w:rsidRPr="00282AC9">
        <w:rPr>
          <w:rFonts w:ascii="Simplified Arabic" w:hAnsi="Simplified Arabic" w:hint="cs"/>
          <w:b/>
          <w:bCs/>
          <w:sz w:val="27"/>
          <w:rtl/>
        </w:rPr>
        <w:lastRenderedPageBreak/>
        <w:t>وَثُل</w:t>
      </w:r>
      <w:r w:rsidRPr="00282AC9">
        <w:rPr>
          <w:rFonts w:ascii="Simplified Arabic" w:hAnsi="Simplified Arabic" w:hint="cs"/>
          <w:b/>
          <w:bCs/>
          <w:sz w:val="27"/>
          <w:rtl/>
        </w:rPr>
        <w:t>ا</w:t>
      </w:r>
      <w:r w:rsidR="0098453C" w:rsidRPr="00282AC9">
        <w:rPr>
          <w:rFonts w:ascii="Simplified Arabic" w:hAnsi="Simplified Arabic" w:hint="cs"/>
          <w:b/>
          <w:bCs/>
          <w:sz w:val="27"/>
          <w:rtl/>
        </w:rPr>
        <w:t>َ</w:t>
      </w:r>
      <w:r w:rsidRPr="00282AC9">
        <w:rPr>
          <w:rFonts w:ascii="Simplified Arabic" w:hAnsi="Simplified Arabic" w:hint="cs"/>
          <w:b/>
          <w:bCs/>
          <w:sz w:val="27"/>
          <w:rtl/>
        </w:rPr>
        <w:t>ثَ</w:t>
      </w:r>
      <w:r w:rsidRPr="00282AC9">
        <w:rPr>
          <w:rFonts w:ascii="Simplified Arabic" w:hAnsi="Simplified Arabic"/>
          <w:b/>
          <w:bCs/>
          <w:sz w:val="27"/>
          <w:rtl/>
        </w:rPr>
        <w:t xml:space="preserve"> </w:t>
      </w:r>
      <w:r w:rsidRPr="00282AC9">
        <w:rPr>
          <w:rFonts w:ascii="Simplified Arabic" w:hAnsi="Simplified Arabic" w:hint="cs"/>
          <w:b/>
          <w:bCs/>
          <w:sz w:val="27"/>
          <w:rtl/>
        </w:rPr>
        <w:t>وَرُبَاعَ</w:t>
      </w:r>
      <w:r w:rsidRPr="00282AC9">
        <w:rPr>
          <w:rFonts w:ascii="Simplified Arabic" w:hAnsi="Simplified Arabic"/>
          <w:b/>
          <w:bCs/>
          <w:sz w:val="27"/>
          <w:rtl/>
        </w:rPr>
        <w:t xml:space="preserve"> </w:t>
      </w:r>
      <w:r w:rsidRPr="00282AC9">
        <w:rPr>
          <w:rFonts w:ascii="Simplified Arabic" w:hAnsi="Simplified Arabic" w:hint="cs"/>
          <w:b/>
          <w:bCs/>
          <w:sz w:val="27"/>
          <w:rtl/>
        </w:rPr>
        <w:t>فَإِنْ</w:t>
      </w:r>
      <w:r w:rsidRPr="00282AC9">
        <w:rPr>
          <w:rFonts w:ascii="Simplified Arabic" w:hAnsi="Simplified Arabic"/>
          <w:b/>
          <w:bCs/>
          <w:sz w:val="27"/>
          <w:rtl/>
        </w:rPr>
        <w:t xml:space="preserve"> </w:t>
      </w:r>
      <w:r w:rsidRPr="00282AC9">
        <w:rPr>
          <w:rFonts w:ascii="Simplified Arabic" w:hAnsi="Simplified Arabic" w:hint="cs"/>
          <w:b/>
          <w:bCs/>
          <w:sz w:val="27"/>
          <w:rtl/>
        </w:rPr>
        <w:t>خِفْتُمْ</w:t>
      </w:r>
      <w:r w:rsidRPr="00282AC9">
        <w:rPr>
          <w:rFonts w:ascii="Simplified Arabic" w:hAnsi="Simplified Arabic"/>
          <w:b/>
          <w:bCs/>
          <w:sz w:val="27"/>
          <w:rtl/>
        </w:rPr>
        <w:t xml:space="preserve"> </w:t>
      </w:r>
      <w:r w:rsidRPr="00282AC9">
        <w:rPr>
          <w:rFonts w:ascii="Simplified Arabic" w:hAnsi="Simplified Arabic" w:hint="cs"/>
          <w:b/>
          <w:bCs/>
          <w:sz w:val="27"/>
          <w:rtl/>
        </w:rPr>
        <w:t>أَ</w:t>
      </w:r>
      <w:r w:rsidR="0098453C" w:rsidRPr="00282AC9">
        <w:rPr>
          <w:rFonts w:ascii="Simplified Arabic" w:hAnsi="Simplified Arabic" w:hint="cs"/>
          <w:b/>
          <w:bCs/>
          <w:sz w:val="27"/>
          <w:rtl/>
        </w:rPr>
        <w:t>نْ لاَ</w:t>
      </w:r>
      <w:r w:rsidRPr="00282AC9">
        <w:rPr>
          <w:rFonts w:ascii="Simplified Arabic" w:hAnsi="Simplified Arabic"/>
          <w:b/>
          <w:bCs/>
          <w:sz w:val="27"/>
          <w:rtl/>
        </w:rPr>
        <w:t xml:space="preserve"> </w:t>
      </w:r>
      <w:r w:rsidRPr="00282AC9">
        <w:rPr>
          <w:rFonts w:ascii="Simplified Arabic" w:hAnsi="Simplified Arabic" w:hint="cs"/>
          <w:b/>
          <w:bCs/>
          <w:sz w:val="27"/>
          <w:rtl/>
        </w:rPr>
        <w:t>تَعْدِلُوا</w:t>
      </w:r>
      <w:r w:rsidRPr="00282AC9">
        <w:rPr>
          <w:rFonts w:ascii="Simplified Arabic" w:hAnsi="Simplified Arabic"/>
          <w:b/>
          <w:bCs/>
          <w:sz w:val="27"/>
          <w:rtl/>
        </w:rPr>
        <w:t xml:space="preserve"> </w:t>
      </w:r>
      <w:r w:rsidRPr="00282AC9">
        <w:rPr>
          <w:rFonts w:ascii="Simplified Arabic" w:hAnsi="Simplified Arabic" w:hint="cs"/>
          <w:b/>
          <w:bCs/>
          <w:sz w:val="27"/>
          <w:rtl/>
        </w:rPr>
        <w:t>فَوَاحِدَةً</w:t>
      </w:r>
      <w:r w:rsidRPr="00282AC9">
        <w:rPr>
          <w:rFonts w:ascii="Simplified Arabic" w:hAnsi="Simplified Arabic"/>
          <w:b/>
          <w:bCs/>
          <w:sz w:val="27"/>
          <w:rtl/>
        </w:rPr>
        <w:t xml:space="preserve"> </w:t>
      </w:r>
      <w:r w:rsidRPr="00282AC9">
        <w:rPr>
          <w:rFonts w:ascii="Simplified Arabic" w:hAnsi="Simplified Arabic" w:hint="cs"/>
          <w:b/>
          <w:bCs/>
          <w:sz w:val="27"/>
          <w:rtl/>
        </w:rPr>
        <w:t>أَوْ</w:t>
      </w:r>
      <w:r w:rsidRPr="00282AC9">
        <w:rPr>
          <w:rFonts w:ascii="Simplified Arabic" w:hAnsi="Simplified Arabic"/>
          <w:b/>
          <w:bCs/>
          <w:sz w:val="27"/>
          <w:rtl/>
        </w:rPr>
        <w:t xml:space="preserve"> </w:t>
      </w:r>
      <w:r w:rsidRPr="00282AC9">
        <w:rPr>
          <w:rFonts w:ascii="Simplified Arabic" w:hAnsi="Simplified Arabic" w:hint="cs"/>
          <w:b/>
          <w:bCs/>
          <w:sz w:val="27"/>
          <w:rtl/>
        </w:rPr>
        <w:t>مَا</w:t>
      </w:r>
      <w:r w:rsidRPr="00282AC9">
        <w:rPr>
          <w:rFonts w:ascii="Simplified Arabic" w:hAnsi="Simplified Arabic"/>
          <w:b/>
          <w:bCs/>
          <w:sz w:val="27"/>
          <w:rtl/>
        </w:rPr>
        <w:t xml:space="preserve"> </w:t>
      </w:r>
      <w:r w:rsidRPr="00282AC9">
        <w:rPr>
          <w:rFonts w:ascii="Simplified Arabic" w:hAnsi="Simplified Arabic" w:hint="cs"/>
          <w:b/>
          <w:bCs/>
          <w:sz w:val="27"/>
          <w:rtl/>
        </w:rPr>
        <w:t>مَلَكَتْ</w:t>
      </w:r>
      <w:r w:rsidRPr="00282AC9">
        <w:rPr>
          <w:rFonts w:ascii="Simplified Arabic" w:hAnsi="Simplified Arabic"/>
          <w:b/>
          <w:bCs/>
          <w:sz w:val="27"/>
          <w:rtl/>
        </w:rPr>
        <w:t xml:space="preserve"> </w:t>
      </w:r>
      <w:r w:rsidRPr="00282AC9">
        <w:rPr>
          <w:rFonts w:ascii="Simplified Arabic" w:hAnsi="Simplified Arabic" w:hint="cs"/>
          <w:b/>
          <w:bCs/>
          <w:sz w:val="27"/>
          <w:rtl/>
        </w:rPr>
        <w:t>أَيْمَانُكُمْ</w:t>
      </w:r>
      <w:r w:rsidRPr="00282AC9">
        <w:rPr>
          <w:rFonts w:ascii="Simplified Arabic" w:hAnsi="Simplified Arabic"/>
          <w:b/>
          <w:bCs/>
          <w:sz w:val="27"/>
          <w:rtl/>
        </w:rPr>
        <w:t xml:space="preserve"> </w:t>
      </w:r>
      <w:r w:rsidRPr="00282AC9">
        <w:rPr>
          <w:rFonts w:ascii="Simplified Arabic" w:hAnsi="Simplified Arabic" w:hint="cs"/>
          <w:b/>
          <w:bCs/>
          <w:sz w:val="27"/>
          <w:rtl/>
        </w:rPr>
        <w:t>ذَلِكَ</w:t>
      </w:r>
      <w:r w:rsidRPr="00282AC9">
        <w:rPr>
          <w:rFonts w:ascii="Simplified Arabic" w:hAnsi="Simplified Arabic"/>
          <w:b/>
          <w:bCs/>
          <w:sz w:val="27"/>
          <w:rtl/>
        </w:rPr>
        <w:t xml:space="preserve"> </w:t>
      </w:r>
      <w:r w:rsidRPr="00282AC9">
        <w:rPr>
          <w:rFonts w:ascii="Simplified Arabic" w:hAnsi="Simplified Arabic" w:hint="cs"/>
          <w:b/>
          <w:bCs/>
          <w:sz w:val="27"/>
          <w:rtl/>
        </w:rPr>
        <w:t>أَدْنَى</w:t>
      </w:r>
      <w:r w:rsidRPr="00282AC9">
        <w:rPr>
          <w:rFonts w:ascii="Simplified Arabic" w:hAnsi="Simplified Arabic"/>
          <w:b/>
          <w:bCs/>
          <w:sz w:val="27"/>
          <w:rtl/>
        </w:rPr>
        <w:t xml:space="preserve"> </w:t>
      </w:r>
      <w:r w:rsidRPr="00282AC9">
        <w:rPr>
          <w:rFonts w:ascii="Simplified Arabic" w:hAnsi="Simplified Arabic" w:hint="cs"/>
          <w:b/>
          <w:bCs/>
          <w:sz w:val="27"/>
          <w:rtl/>
        </w:rPr>
        <w:t>أَ</w:t>
      </w:r>
      <w:r w:rsidR="0098453C" w:rsidRPr="00282AC9">
        <w:rPr>
          <w:rFonts w:ascii="Simplified Arabic" w:hAnsi="Simplified Arabic" w:hint="cs"/>
          <w:b/>
          <w:bCs/>
          <w:sz w:val="27"/>
          <w:rtl/>
        </w:rPr>
        <w:t>نْ لاَ</w:t>
      </w:r>
      <w:r w:rsidRPr="00282AC9">
        <w:rPr>
          <w:rFonts w:ascii="Simplified Arabic" w:hAnsi="Simplified Arabic"/>
          <w:b/>
          <w:bCs/>
          <w:sz w:val="27"/>
          <w:rtl/>
        </w:rPr>
        <w:t xml:space="preserve"> </w:t>
      </w:r>
      <w:r w:rsidRPr="00282AC9">
        <w:rPr>
          <w:rFonts w:ascii="Simplified Arabic" w:hAnsi="Simplified Arabic" w:hint="cs"/>
          <w:b/>
          <w:bCs/>
          <w:sz w:val="27"/>
          <w:rtl/>
        </w:rPr>
        <w:t>تَعُولُوا</w:t>
      </w:r>
      <w:r w:rsidRPr="00282AC9">
        <w:rPr>
          <w:rFonts w:ascii="Mosawi" w:hAnsi="Mosawi" w:cs="Mosawi"/>
          <w:sz w:val="24"/>
          <w:szCs w:val="24"/>
          <w:rtl/>
        </w:rPr>
        <w:t>﴾</w:t>
      </w:r>
      <w:r w:rsidRPr="00282AC9">
        <w:rPr>
          <w:rFonts w:asciiTheme="minorBidi" w:hAnsiTheme="minorBidi" w:hint="cs"/>
          <w:sz w:val="27"/>
          <w:rtl/>
        </w:rPr>
        <w:t xml:space="preserve"> (النساء: 3)</w:t>
      </w:r>
      <w:r w:rsidR="0098453C" w:rsidRPr="00282AC9">
        <w:rPr>
          <w:rFonts w:ascii="Simplified Arabic" w:hAnsi="Simplified Arabic" w:hint="cs"/>
          <w:sz w:val="27"/>
          <w:rtl/>
        </w:rPr>
        <w:t>.</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وقد يستفاد الوجوب من</w:t>
      </w:r>
      <w:r w:rsidRPr="00282AC9">
        <w:rPr>
          <w:rFonts w:ascii="Simplified Arabic" w:hAnsi="Simplified Arabic"/>
          <w:sz w:val="27"/>
          <w:rtl/>
          <w:lang w:bidi="ar-LB"/>
        </w:rPr>
        <w:t xml:space="preserve"> صيغة الأمر</w:t>
      </w:r>
      <w:r w:rsidRPr="00282AC9">
        <w:rPr>
          <w:rFonts w:ascii="Simplified Arabic" w:hAnsi="Simplified Arabic" w:hint="cs"/>
          <w:sz w:val="27"/>
          <w:rtl/>
          <w:lang w:bidi="ar-LB"/>
        </w:rPr>
        <w:t xml:space="preserve"> في فعل </w:t>
      </w:r>
      <w:r w:rsidRPr="00282AC9">
        <w:rPr>
          <w:rFonts w:hint="eastAsia"/>
          <w:sz w:val="24"/>
          <w:szCs w:val="24"/>
          <w:rtl/>
          <w:lang w:bidi="ar-LB"/>
        </w:rPr>
        <w:t>«</w:t>
      </w:r>
      <w:r w:rsidRPr="00282AC9">
        <w:rPr>
          <w:rFonts w:ascii="Simplified Arabic" w:hAnsi="Simplified Arabic" w:hint="cs"/>
          <w:sz w:val="27"/>
          <w:rtl/>
          <w:lang w:bidi="ar-LB"/>
        </w:rPr>
        <w:t>انكحوا</w:t>
      </w:r>
      <w:r w:rsidRPr="00282AC9">
        <w:rPr>
          <w:rFonts w:hint="eastAsia"/>
          <w:sz w:val="24"/>
          <w:szCs w:val="24"/>
          <w:rtl/>
        </w:rPr>
        <w:t>»</w:t>
      </w:r>
      <w:r w:rsidR="0098453C" w:rsidRPr="00282AC9">
        <w:rPr>
          <w:rFonts w:ascii="Simplified Arabic" w:hAnsi="Simplified Arabic" w:hint="cs"/>
          <w:sz w:val="27"/>
          <w:rtl/>
          <w:lang w:bidi="ar-LB"/>
        </w:rPr>
        <w:t>.</w:t>
      </w:r>
      <w:r w:rsidRPr="00282AC9">
        <w:rPr>
          <w:rFonts w:ascii="Simplified Arabic" w:hAnsi="Simplified Arabic" w:hint="cs"/>
          <w:sz w:val="27"/>
          <w:rtl/>
          <w:lang w:bidi="ar-LB"/>
        </w:rPr>
        <w:t xml:space="preserve"> إلا</w:t>
      </w:r>
      <w:r w:rsidR="0098453C" w:rsidRPr="00282AC9">
        <w:rPr>
          <w:rFonts w:ascii="Simplified Arabic" w:hAnsi="Simplified Arabic" w:hint="cs"/>
          <w:sz w:val="27"/>
          <w:rtl/>
          <w:lang w:bidi="ar-LB"/>
        </w:rPr>
        <w:t>ّ</w:t>
      </w:r>
      <w:r w:rsidRPr="00282AC9">
        <w:rPr>
          <w:rFonts w:ascii="Simplified Arabic" w:hAnsi="Simplified Arabic" w:hint="cs"/>
          <w:sz w:val="27"/>
          <w:rtl/>
          <w:lang w:bidi="ar-LB"/>
        </w:rPr>
        <w:t xml:space="preserve"> أنه</w:t>
      </w:r>
      <w:r w:rsidR="0098453C" w:rsidRPr="00282AC9">
        <w:rPr>
          <w:rFonts w:ascii="Simplified Arabic" w:hAnsi="Simplified Arabic" w:hint="cs"/>
          <w:sz w:val="27"/>
          <w:rtl/>
          <w:lang w:bidi="ar-LB"/>
        </w:rPr>
        <w:t>؛</w:t>
      </w:r>
      <w:r w:rsidRPr="00282AC9">
        <w:rPr>
          <w:rFonts w:ascii="Simplified Arabic" w:hAnsi="Simplified Arabic" w:hint="cs"/>
          <w:sz w:val="27"/>
          <w:rtl/>
          <w:lang w:bidi="ar-LB"/>
        </w:rPr>
        <w:t xml:space="preserve"> بدخولها على قوله</w:t>
      </w:r>
      <w:r w:rsidR="0098453C" w:rsidRPr="00282AC9">
        <w:rPr>
          <w:rFonts w:ascii="Simplified Arabic" w:hAnsi="Simplified Arabic" w:hint="cs"/>
          <w:sz w:val="27"/>
          <w:rtl/>
          <w:lang w:bidi="ar-LB"/>
        </w:rPr>
        <w:t>:</w:t>
      </w:r>
      <w:r w:rsidRPr="00282AC9">
        <w:rPr>
          <w:rFonts w:ascii="Simplified Arabic" w:hAnsi="Simplified Arabic" w:hint="cs"/>
          <w:sz w:val="27"/>
          <w:rtl/>
          <w:lang w:bidi="ar-LB"/>
        </w:rPr>
        <w:t xml:space="preserve"> </w:t>
      </w:r>
      <w:r w:rsidRPr="00282AC9">
        <w:rPr>
          <w:rFonts w:hint="eastAsia"/>
          <w:sz w:val="24"/>
          <w:szCs w:val="24"/>
          <w:rtl/>
          <w:lang w:bidi="ar-LB"/>
        </w:rPr>
        <w:t>«</w:t>
      </w:r>
      <w:r w:rsidRPr="00282AC9">
        <w:rPr>
          <w:rFonts w:ascii="Simplified Arabic" w:hAnsi="Simplified Arabic" w:hint="cs"/>
          <w:sz w:val="27"/>
          <w:rtl/>
          <w:lang w:bidi="ar-LB"/>
        </w:rPr>
        <w:t>ما طاب لكم</w:t>
      </w:r>
      <w:r w:rsidRPr="00282AC9">
        <w:rPr>
          <w:rFonts w:hint="eastAsia"/>
          <w:sz w:val="24"/>
          <w:szCs w:val="24"/>
          <w:rtl/>
        </w:rPr>
        <w:t>»</w:t>
      </w:r>
      <w:r w:rsidR="0098453C" w:rsidRPr="00282AC9">
        <w:rPr>
          <w:rFonts w:ascii="Simplified Arabic" w:hAnsi="Simplified Arabic" w:hint="cs"/>
          <w:sz w:val="27"/>
          <w:rtl/>
          <w:lang w:bidi="ar-LB"/>
        </w:rPr>
        <w:t>،</w:t>
      </w:r>
      <w:r w:rsidRPr="00282AC9">
        <w:rPr>
          <w:rFonts w:ascii="Simplified Arabic" w:hAnsi="Simplified Arabic" w:hint="cs"/>
          <w:sz w:val="27"/>
          <w:rtl/>
          <w:lang w:bidi="ar-LB"/>
        </w:rPr>
        <w:t xml:space="preserve"> يمكن أن يُستفاد </w:t>
      </w:r>
      <w:r w:rsidR="0098453C" w:rsidRPr="00282AC9">
        <w:rPr>
          <w:rFonts w:ascii="Simplified Arabic" w:hAnsi="Simplified Arabic" w:hint="cs"/>
          <w:sz w:val="27"/>
          <w:rtl/>
          <w:lang w:bidi="ar-LB"/>
        </w:rPr>
        <w:t>منها الاستحباب؛</w:t>
      </w:r>
      <w:r w:rsidRPr="00282AC9">
        <w:rPr>
          <w:rFonts w:ascii="Simplified Arabic" w:hAnsi="Simplified Arabic" w:hint="cs"/>
          <w:sz w:val="27"/>
          <w:rtl/>
          <w:lang w:bidi="ar-LB"/>
        </w:rPr>
        <w:t xml:space="preserve"> حيث قال الشيخ الطوسي في خلافه: </w:t>
      </w:r>
      <w:r w:rsidRPr="00282AC9">
        <w:rPr>
          <w:rFonts w:hint="eastAsia"/>
          <w:sz w:val="24"/>
          <w:szCs w:val="24"/>
          <w:rtl/>
          <w:lang w:bidi="ar-LB"/>
        </w:rPr>
        <w:t>«</w:t>
      </w:r>
      <w:r w:rsidRPr="00282AC9">
        <w:rPr>
          <w:rFonts w:ascii="Simplified Arabic" w:hAnsi="Simplified Arabic" w:hint="cs"/>
          <w:sz w:val="27"/>
          <w:rtl/>
          <w:lang w:bidi="ar-LB"/>
        </w:rPr>
        <w:t>فعل</w:t>
      </w:r>
      <w:r w:rsidR="00C9785D" w:rsidRPr="00282AC9">
        <w:rPr>
          <w:rFonts w:ascii="Simplified Arabic" w:hAnsi="Simplified Arabic" w:hint="cs"/>
          <w:sz w:val="27"/>
          <w:rtl/>
          <w:lang w:bidi="ar-LB"/>
        </w:rPr>
        <w:t>َّ</w:t>
      </w:r>
      <w:r w:rsidRPr="00282AC9">
        <w:rPr>
          <w:rFonts w:ascii="Simplified Arabic" w:hAnsi="Simplified Arabic" w:hint="cs"/>
          <w:sz w:val="27"/>
          <w:rtl/>
          <w:lang w:bidi="ar-LB"/>
        </w:rPr>
        <w:t>ق</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النكاح</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باستطابتنا،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وما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هذه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صورته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فهو</w:t>
      </w:r>
      <w:r w:rsidRPr="00282AC9">
        <w:rPr>
          <w:rFonts w:ascii="Simplified Arabic" w:hAnsi="Simplified Arabic"/>
          <w:sz w:val="27"/>
          <w:rtl/>
          <w:lang w:bidi="ar-LB"/>
        </w:rPr>
        <w:t xml:space="preserve"> </w:t>
      </w:r>
      <w:r w:rsidRPr="00282AC9">
        <w:rPr>
          <w:rFonts w:ascii="Simplified Arabic" w:hAnsi="Simplified Arabic" w:hint="cs"/>
          <w:sz w:val="27"/>
          <w:rtl/>
          <w:lang w:bidi="ar-LB"/>
        </w:rPr>
        <w:t>غير واجب</w:t>
      </w:r>
      <w:r w:rsidR="00C9785D" w:rsidRPr="00282AC9">
        <w:rPr>
          <w:rFonts w:ascii="Simplified Arabic" w:hAnsi="Simplified Arabic" w:hint="cs"/>
          <w:sz w:val="27"/>
          <w:rtl/>
          <w:lang w:bidi="ar-LB"/>
        </w:rPr>
        <w:t>ٍ</w:t>
      </w:r>
      <w:r w:rsidRPr="00282AC9">
        <w:rPr>
          <w:rFonts w:hint="eastAsia"/>
          <w:sz w:val="24"/>
          <w:szCs w:val="24"/>
          <w:rtl/>
        </w:rPr>
        <w:t>»</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797"/>
      </w:r>
      <w:r w:rsidRPr="00282AC9">
        <w:rPr>
          <w:rFonts w:ascii="Simplified Arabic" w:hAnsi="Simplified Arabic"/>
          <w:sz w:val="27"/>
          <w:vertAlign w:val="superscript"/>
          <w:rtl/>
          <w:lang w:bidi="ar-LB"/>
        </w:rPr>
        <w:t>)</w:t>
      </w:r>
      <w:r w:rsidR="0098453C" w:rsidRPr="00282AC9">
        <w:rPr>
          <w:rFonts w:ascii="Simplified Arabic" w:hAnsi="Simplified Arabic" w:hint="cs"/>
          <w:sz w:val="27"/>
          <w:rtl/>
          <w:lang w:bidi="ar-LB"/>
        </w:rPr>
        <w:t>.</w:t>
      </w:r>
    </w:p>
    <w:p w:rsidR="00B4645B" w:rsidRPr="00282AC9" w:rsidRDefault="00C0346F" w:rsidP="0091196D">
      <w:pPr>
        <w:rPr>
          <w:rFonts w:ascii="Simplified Arabic" w:hAnsi="Simplified Arabic"/>
          <w:sz w:val="27"/>
          <w:rtl/>
          <w:lang w:bidi="ar-LB"/>
        </w:rPr>
      </w:pPr>
      <w:r w:rsidRPr="00282AC9">
        <w:rPr>
          <w:rFonts w:ascii="Simplified Arabic" w:hAnsi="Simplified Arabic" w:hint="cs"/>
          <w:sz w:val="27"/>
          <w:rtl/>
          <w:lang w:bidi="ar-LB"/>
        </w:rPr>
        <w:t xml:space="preserve">ولعلّه </w:t>
      </w:r>
      <w:r w:rsidR="00B4645B" w:rsidRPr="00282AC9">
        <w:rPr>
          <w:rFonts w:ascii="Simplified Arabic" w:hAnsi="Simplified Arabic" w:hint="cs"/>
          <w:sz w:val="27"/>
          <w:rtl/>
          <w:lang w:bidi="ar-LB"/>
        </w:rPr>
        <w:t>من هنا ذهب صاحب العروة الوثقى وغيره</w:t>
      </w:r>
      <w:r w:rsidR="00B4645B" w:rsidRPr="00282AC9">
        <w:rPr>
          <w:rFonts w:ascii="Simplified Arabic" w:hAnsi="Simplified Arabic"/>
          <w:sz w:val="27"/>
          <w:vertAlign w:val="superscript"/>
          <w:rtl/>
          <w:lang w:bidi="ar-LB"/>
        </w:rPr>
        <w:t>(</w:t>
      </w:r>
      <w:r w:rsidR="00B4645B" w:rsidRPr="00282AC9">
        <w:rPr>
          <w:rStyle w:val="af9"/>
          <w:rFonts w:ascii="Simplified Arabic" w:hAnsi="Simplified Arabic"/>
          <w:sz w:val="27"/>
          <w:rtl/>
          <w:lang w:bidi="ar-LB"/>
        </w:rPr>
        <w:endnoteReference w:id="798"/>
      </w:r>
      <w:r w:rsidR="00B4645B" w:rsidRPr="00282AC9">
        <w:rPr>
          <w:rFonts w:ascii="Simplified Arabic" w:hAnsi="Simplified Arabic"/>
          <w:sz w:val="27"/>
          <w:vertAlign w:val="superscript"/>
          <w:rtl/>
          <w:lang w:bidi="ar-LB"/>
        </w:rPr>
        <w:t>)</w:t>
      </w:r>
      <w:r w:rsidR="00B4645B" w:rsidRPr="00282AC9">
        <w:rPr>
          <w:rFonts w:ascii="Simplified Arabic" w:hAnsi="Simplified Arabic" w:hint="cs"/>
          <w:sz w:val="27"/>
          <w:rtl/>
          <w:lang w:bidi="ar-LB"/>
        </w:rPr>
        <w:t xml:space="preserve"> إلى القول بالاستحباب</w:t>
      </w:r>
      <w:r w:rsidR="0098453C"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حيث ذكر أن </w:t>
      </w:r>
      <w:r w:rsidR="00B4645B" w:rsidRPr="00282AC9">
        <w:rPr>
          <w:rFonts w:hint="eastAsia"/>
          <w:sz w:val="24"/>
          <w:szCs w:val="24"/>
          <w:rtl/>
          <w:lang w:bidi="ar-LB"/>
        </w:rPr>
        <w:t>«</w:t>
      </w:r>
      <w:r w:rsidR="00B4645B" w:rsidRPr="00282AC9">
        <w:rPr>
          <w:rFonts w:ascii="Simplified Arabic" w:hAnsi="Simplified Arabic" w:hint="cs"/>
          <w:sz w:val="27"/>
          <w:rtl/>
          <w:lang w:bidi="ar-LB"/>
        </w:rPr>
        <w:t>الاستحباب</w:t>
      </w:r>
      <w:r w:rsidR="00B4645B" w:rsidRPr="00282AC9">
        <w:rPr>
          <w:rFonts w:ascii="Simplified Arabic" w:hAnsi="Simplified Arabic"/>
          <w:sz w:val="27"/>
          <w:rtl/>
          <w:lang w:bidi="ar-LB"/>
        </w:rPr>
        <w:t xml:space="preserve"> </w:t>
      </w:r>
      <w:r w:rsidR="00B4645B" w:rsidRPr="00282AC9">
        <w:rPr>
          <w:rFonts w:ascii="Simplified Arabic" w:hAnsi="Simplified Arabic" w:hint="cs"/>
          <w:sz w:val="27"/>
          <w:rtl/>
          <w:lang w:bidi="ar-LB"/>
        </w:rPr>
        <w:t>لا</w:t>
      </w:r>
      <w:r w:rsidR="00B4645B" w:rsidRPr="00282AC9">
        <w:rPr>
          <w:rFonts w:ascii="Simplified Arabic" w:hAnsi="Simplified Arabic"/>
          <w:sz w:val="27"/>
          <w:rtl/>
          <w:lang w:bidi="ar-LB"/>
        </w:rPr>
        <w:t xml:space="preserve"> </w:t>
      </w:r>
      <w:r w:rsidR="00B4645B" w:rsidRPr="00282AC9">
        <w:rPr>
          <w:rFonts w:ascii="Simplified Arabic" w:hAnsi="Simplified Arabic" w:hint="cs"/>
          <w:sz w:val="27"/>
          <w:rtl/>
          <w:lang w:bidi="ar-LB"/>
        </w:rPr>
        <w:t>يزول</w:t>
      </w:r>
      <w:r w:rsidR="00B4645B" w:rsidRPr="00282AC9">
        <w:rPr>
          <w:rFonts w:ascii="Simplified Arabic" w:hAnsi="Simplified Arabic"/>
          <w:sz w:val="27"/>
          <w:rtl/>
          <w:lang w:bidi="ar-LB"/>
        </w:rPr>
        <w:t xml:space="preserve"> </w:t>
      </w:r>
      <w:r w:rsidR="00B4645B" w:rsidRPr="00282AC9">
        <w:rPr>
          <w:rFonts w:ascii="Simplified Arabic" w:hAnsi="Simplified Arabic" w:hint="cs"/>
          <w:sz w:val="27"/>
          <w:rtl/>
          <w:lang w:bidi="ar-LB"/>
        </w:rPr>
        <w:t>بالواحدة،</w:t>
      </w:r>
      <w:r w:rsidR="00B4645B" w:rsidRPr="00282AC9">
        <w:rPr>
          <w:rFonts w:ascii="Simplified Arabic" w:hAnsi="Simplified Arabic"/>
          <w:sz w:val="27"/>
          <w:rtl/>
          <w:lang w:bidi="ar-LB"/>
        </w:rPr>
        <w:t xml:space="preserve"> </w:t>
      </w:r>
      <w:r w:rsidR="00B4645B" w:rsidRPr="00282AC9">
        <w:rPr>
          <w:rFonts w:ascii="Simplified Arabic" w:hAnsi="Simplified Arabic" w:hint="cs"/>
          <w:sz w:val="27"/>
          <w:rtl/>
          <w:lang w:bidi="ar-LB"/>
        </w:rPr>
        <w:t>بل</w:t>
      </w:r>
      <w:r w:rsidR="00B4645B" w:rsidRPr="00282AC9">
        <w:rPr>
          <w:rFonts w:ascii="Simplified Arabic" w:hAnsi="Simplified Arabic"/>
          <w:sz w:val="27"/>
          <w:rtl/>
          <w:lang w:bidi="ar-LB"/>
        </w:rPr>
        <w:t xml:space="preserve"> </w:t>
      </w:r>
      <w:r w:rsidR="00B4645B" w:rsidRPr="00282AC9">
        <w:rPr>
          <w:rFonts w:ascii="Simplified Arabic" w:hAnsi="Simplified Arabic" w:hint="cs"/>
          <w:sz w:val="27"/>
          <w:rtl/>
          <w:lang w:bidi="ar-LB"/>
        </w:rPr>
        <w:t>التعد</w:t>
      </w:r>
      <w:r w:rsidRPr="00282AC9">
        <w:rPr>
          <w:rFonts w:ascii="Simplified Arabic" w:hAnsi="Simplified Arabic" w:hint="cs"/>
          <w:sz w:val="27"/>
          <w:rtl/>
          <w:lang w:bidi="ar-LB"/>
        </w:rPr>
        <w:t>ُّ</w:t>
      </w:r>
      <w:r w:rsidR="00B4645B" w:rsidRPr="00282AC9">
        <w:rPr>
          <w:rFonts w:ascii="Simplified Arabic" w:hAnsi="Simplified Arabic" w:hint="cs"/>
          <w:sz w:val="27"/>
          <w:rtl/>
          <w:lang w:bidi="ar-LB"/>
        </w:rPr>
        <w:t>د</w:t>
      </w:r>
      <w:r w:rsidR="00B4645B" w:rsidRPr="00282AC9">
        <w:rPr>
          <w:rFonts w:ascii="Simplified Arabic" w:hAnsi="Simplified Arabic"/>
          <w:sz w:val="27"/>
          <w:rtl/>
          <w:lang w:bidi="ar-LB"/>
        </w:rPr>
        <w:t xml:space="preserve"> </w:t>
      </w:r>
      <w:r w:rsidR="00B4645B" w:rsidRPr="00282AC9">
        <w:rPr>
          <w:rFonts w:ascii="Simplified Arabic" w:hAnsi="Simplified Arabic" w:hint="cs"/>
          <w:sz w:val="27"/>
          <w:rtl/>
          <w:lang w:bidi="ar-LB"/>
        </w:rPr>
        <w:t>مستحب</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w:t>
      </w:r>
      <w:r w:rsidR="00B4645B" w:rsidRPr="00282AC9">
        <w:rPr>
          <w:rFonts w:ascii="Simplified Arabic" w:hAnsi="Simplified Arabic" w:hint="cs"/>
          <w:sz w:val="27"/>
          <w:rtl/>
          <w:lang w:bidi="ar-LB"/>
        </w:rPr>
        <w:t>أيضاً</w:t>
      </w:r>
      <w:r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قال</w:t>
      </w:r>
      <w:r w:rsidR="00B4645B" w:rsidRPr="00282AC9">
        <w:rPr>
          <w:rFonts w:ascii="Simplified Arabic" w:hAnsi="Simplified Arabic"/>
          <w:sz w:val="27"/>
          <w:rtl/>
          <w:lang w:bidi="ar-LB"/>
        </w:rPr>
        <w:t xml:space="preserve"> </w:t>
      </w:r>
      <w:r w:rsidR="00B4645B" w:rsidRPr="00282AC9">
        <w:rPr>
          <w:rFonts w:ascii="Simplified Arabic" w:hAnsi="Simplified Arabic" w:hint="cs"/>
          <w:sz w:val="27"/>
          <w:rtl/>
          <w:lang w:bidi="ar-LB"/>
        </w:rPr>
        <w:t>تعالى</w:t>
      </w:r>
      <w:r w:rsidR="00B4645B" w:rsidRPr="00282AC9">
        <w:rPr>
          <w:rFonts w:ascii="Simplified Arabic" w:hAnsi="Simplified Arabic"/>
          <w:sz w:val="27"/>
          <w:rtl/>
          <w:lang w:bidi="ar-LB"/>
        </w:rPr>
        <w:t xml:space="preserve"> </w:t>
      </w:r>
      <w:r w:rsidR="00B4645B" w:rsidRPr="00282AC9">
        <w:rPr>
          <w:rFonts w:ascii="Mosawi" w:hAnsi="Mosawi" w:cs="Mosawi"/>
          <w:sz w:val="24"/>
          <w:szCs w:val="24"/>
          <w:rtl/>
        </w:rPr>
        <w:t>﴿</w:t>
      </w:r>
      <w:r w:rsidRPr="00282AC9">
        <w:rPr>
          <w:rFonts w:ascii="Simplified Arabic" w:hAnsi="Simplified Arabic" w:hint="cs"/>
          <w:b/>
          <w:bCs/>
          <w:sz w:val="27"/>
          <w:rtl/>
        </w:rPr>
        <w:t>فَانْكِحُوا</w:t>
      </w:r>
      <w:r w:rsidRPr="00282AC9">
        <w:rPr>
          <w:rFonts w:ascii="Simplified Arabic" w:hAnsi="Simplified Arabic"/>
          <w:b/>
          <w:bCs/>
          <w:sz w:val="27"/>
          <w:rtl/>
        </w:rPr>
        <w:t xml:space="preserve"> </w:t>
      </w:r>
      <w:r w:rsidRPr="00282AC9">
        <w:rPr>
          <w:rFonts w:ascii="Simplified Arabic" w:hAnsi="Simplified Arabic" w:hint="cs"/>
          <w:b/>
          <w:bCs/>
          <w:sz w:val="27"/>
          <w:rtl/>
        </w:rPr>
        <w:t>مَا</w:t>
      </w:r>
      <w:r w:rsidRPr="00282AC9">
        <w:rPr>
          <w:rFonts w:ascii="Simplified Arabic" w:hAnsi="Simplified Arabic"/>
          <w:b/>
          <w:bCs/>
          <w:sz w:val="27"/>
          <w:rtl/>
        </w:rPr>
        <w:t xml:space="preserve"> </w:t>
      </w:r>
      <w:r w:rsidRPr="00282AC9">
        <w:rPr>
          <w:rFonts w:ascii="Simplified Arabic" w:hAnsi="Simplified Arabic" w:hint="cs"/>
          <w:b/>
          <w:bCs/>
          <w:sz w:val="27"/>
          <w:rtl/>
        </w:rPr>
        <w:t>طَابَ</w:t>
      </w:r>
      <w:r w:rsidRPr="00282AC9">
        <w:rPr>
          <w:rFonts w:ascii="Simplified Arabic" w:hAnsi="Simplified Arabic"/>
          <w:b/>
          <w:bCs/>
          <w:sz w:val="27"/>
          <w:rtl/>
        </w:rPr>
        <w:t xml:space="preserve"> </w:t>
      </w:r>
      <w:r w:rsidRPr="00282AC9">
        <w:rPr>
          <w:rFonts w:ascii="Simplified Arabic" w:hAnsi="Simplified Arabic" w:hint="cs"/>
          <w:b/>
          <w:bCs/>
          <w:sz w:val="27"/>
          <w:rtl/>
        </w:rPr>
        <w:t>لَكُمْ</w:t>
      </w:r>
      <w:r w:rsidRPr="00282AC9">
        <w:rPr>
          <w:rFonts w:ascii="Simplified Arabic" w:hAnsi="Simplified Arabic"/>
          <w:b/>
          <w:bCs/>
          <w:sz w:val="27"/>
          <w:rtl/>
        </w:rPr>
        <w:t xml:space="preserve"> </w:t>
      </w:r>
      <w:r w:rsidRPr="00282AC9">
        <w:rPr>
          <w:rFonts w:ascii="Simplified Arabic" w:hAnsi="Simplified Arabic" w:hint="cs"/>
          <w:b/>
          <w:bCs/>
          <w:sz w:val="27"/>
          <w:rtl/>
        </w:rPr>
        <w:t>مِنَ</w:t>
      </w:r>
      <w:r w:rsidRPr="00282AC9">
        <w:rPr>
          <w:rFonts w:ascii="Simplified Arabic" w:hAnsi="Simplified Arabic"/>
          <w:b/>
          <w:bCs/>
          <w:sz w:val="27"/>
          <w:rtl/>
        </w:rPr>
        <w:t xml:space="preserve"> </w:t>
      </w:r>
      <w:r w:rsidRPr="00282AC9">
        <w:rPr>
          <w:rFonts w:ascii="Simplified Arabic" w:hAnsi="Simplified Arabic" w:hint="cs"/>
          <w:b/>
          <w:bCs/>
          <w:sz w:val="27"/>
          <w:rtl/>
        </w:rPr>
        <w:t>النِّسَاءِ</w:t>
      </w:r>
      <w:r w:rsidRPr="00282AC9">
        <w:rPr>
          <w:rFonts w:ascii="Simplified Arabic" w:hAnsi="Simplified Arabic"/>
          <w:b/>
          <w:bCs/>
          <w:sz w:val="27"/>
          <w:rtl/>
        </w:rPr>
        <w:t xml:space="preserve"> </w:t>
      </w:r>
      <w:r w:rsidRPr="00282AC9">
        <w:rPr>
          <w:rFonts w:ascii="Simplified Arabic" w:hAnsi="Simplified Arabic" w:hint="cs"/>
          <w:b/>
          <w:bCs/>
          <w:sz w:val="27"/>
          <w:rtl/>
        </w:rPr>
        <w:t>مَثْنَى</w:t>
      </w:r>
      <w:r w:rsidRPr="00282AC9">
        <w:rPr>
          <w:rFonts w:ascii="Simplified Arabic" w:hAnsi="Simplified Arabic"/>
          <w:b/>
          <w:bCs/>
          <w:sz w:val="27"/>
          <w:rtl/>
        </w:rPr>
        <w:t xml:space="preserve"> </w:t>
      </w:r>
      <w:r w:rsidRPr="00282AC9">
        <w:rPr>
          <w:rFonts w:ascii="Simplified Arabic" w:hAnsi="Simplified Arabic" w:hint="cs"/>
          <w:b/>
          <w:bCs/>
          <w:sz w:val="27"/>
          <w:rtl/>
        </w:rPr>
        <w:t>وَثُلاَثَ</w:t>
      </w:r>
      <w:r w:rsidRPr="00282AC9">
        <w:rPr>
          <w:rFonts w:ascii="Simplified Arabic" w:hAnsi="Simplified Arabic"/>
          <w:b/>
          <w:bCs/>
          <w:sz w:val="27"/>
          <w:rtl/>
        </w:rPr>
        <w:t xml:space="preserve"> </w:t>
      </w:r>
      <w:r w:rsidRPr="00282AC9">
        <w:rPr>
          <w:rFonts w:ascii="Simplified Arabic" w:hAnsi="Simplified Arabic" w:hint="cs"/>
          <w:b/>
          <w:bCs/>
          <w:sz w:val="27"/>
          <w:rtl/>
        </w:rPr>
        <w:t>وَرُبَاعَ</w:t>
      </w:r>
      <w:r w:rsidR="00B4645B" w:rsidRPr="00282AC9">
        <w:rPr>
          <w:rFonts w:ascii="Mosawi" w:hAnsi="Mosawi" w:cs="Mosawi"/>
          <w:sz w:val="24"/>
          <w:szCs w:val="24"/>
          <w:rtl/>
        </w:rPr>
        <w:t>﴾</w:t>
      </w:r>
      <w:r w:rsidR="00B4645B" w:rsidRPr="00282AC9">
        <w:rPr>
          <w:rFonts w:hint="eastAsia"/>
          <w:sz w:val="24"/>
          <w:szCs w:val="24"/>
          <w:rtl/>
        </w:rPr>
        <w:t>»</w:t>
      </w:r>
      <w:r w:rsidR="00B4645B" w:rsidRPr="00282AC9">
        <w:rPr>
          <w:rFonts w:ascii="Simplified Arabic" w:hAnsi="Simplified Arabic"/>
          <w:sz w:val="27"/>
          <w:vertAlign w:val="superscript"/>
          <w:rtl/>
          <w:lang w:bidi="ar-LB"/>
        </w:rPr>
        <w:t>(</w:t>
      </w:r>
      <w:r w:rsidR="00B4645B" w:rsidRPr="00282AC9">
        <w:rPr>
          <w:rStyle w:val="af9"/>
          <w:rFonts w:ascii="Simplified Arabic" w:hAnsi="Simplified Arabic"/>
          <w:sz w:val="27"/>
          <w:rtl/>
          <w:lang w:bidi="ar-LB"/>
        </w:rPr>
        <w:endnoteReference w:id="799"/>
      </w:r>
      <w:r w:rsidR="00B4645B" w:rsidRPr="00282AC9">
        <w:rPr>
          <w:rFonts w:ascii="Simplified Arabic" w:hAnsi="Simplified Arabic"/>
          <w:sz w:val="27"/>
          <w:vertAlign w:val="superscript"/>
          <w:rtl/>
          <w:lang w:bidi="ar-LB"/>
        </w:rPr>
        <w:t>)</w:t>
      </w:r>
      <w:r w:rsidR="00B4645B" w:rsidRPr="00282AC9">
        <w:rPr>
          <w:rFonts w:ascii="Simplified Arabic" w:hAnsi="Simplified Arabic" w:hint="cs"/>
          <w:sz w:val="27"/>
          <w:rtl/>
          <w:lang w:bidi="ar-LB"/>
        </w:rPr>
        <w:t>.</w:t>
      </w:r>
    </w:p>
    <w:p w:rsidR="00DA4BC5" w:rsidRPr="00282AC9" w:rsidRDefault="00DA4BC5" w:rsidP="00DA4BC5">
      <w:pPr>
        <w:spacing w:line="420" w:lineRule="exact"/>
        <w:rPr>
          <w:sz w:val="27"/>
          <w:rtl/>
        </w:rPr>
      </w:pPr>
      <w:bookmarkStart w:id="91" w:name="_Toc49871955"/>
    </w:p>
    <w:p w:rsidR="00B4645B" w:rsidRPr="00282AC9" w:rsidRDefault="00B4645B" w:rsidP="00C73F02">
      <w:pPr>
        <w:pStyle w:val="31"/>
        <w:rPr>
          <w:b/>
          <w:color w:val="auto"/>
          <w:rtl/>
          <w:lang w:bidi="ar-LB"/>
        </w:rPr>
      </w:pPr>
      <w:r w:rsidRPr="00282AC9">
        <w:rPr>
          <w:color w:val="auto"/>
          <w:rtl/>
          <w:lang w:bidi="ar-LB"/>
        </w:rPr>
        <w:t>التحقيق</w:t>
      </w:r>
      <w:bookmarkEnd w:id="91"/>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إن ال</w:t>
      </w:r>
      <w:r w:rsidR="00C0346F" w:rsidRPr="00282AC9">
        <w:rPr>
          <w:rFonts w:ascii="Simplified Arabic" w:hAnsi="Simplified Arabic" w:hint="cs"/>
          <w:sz w:val="27"/>
          <w:rtl/>
          <w:lang w:bidi="ar-LB"/>
        </w:rPr>
        <w:t>آ</w:t>
      </w:r>
      <w:r w:rsidRPr="00282AC9">
        <w:rPr>
          <w:rFonts w:ascii="Simplified Arabic" w:hAnsi="Simplified Arabic"/>
          <w:sz w:val="27"/>
          <w:rtl/>
          <w:lang w:bidi="ar-LB"/>
        </w:rPr>
        <w:t xml:space="preserve">ية ليست في مقام الترغيب إلى </w:t>
      </w:r>
      <w:r w:rsidRPr="00282AC9">
        <w:rPr>
          <w:rFonts w:ascii="Simplified Arabic" w:hAnsi="Simplified Arabic" w:hint="cs"/>
          <w:sz w:val="27"/>
          <w:rtl/>
          <w:lang w:bidi="ar-LB"/>
        </w:rPr>
        <w:t>الزواج المتعد</w:t>
      </w:r>
      <w:r w:rsidR="00C0346F" w:rsidRPr="00282AC9">
        <w:rPr>
          <w:rFonts w:ascii="Simplified Arabic" w:hAnsi="Simplified Arabic" w:hint="cs"/>
          <w:sz w:val="27"/>
          <w:rtl/>
          <w:lang w:bidi="ar-LB"/>
        </w:rPr>
        <w:t>ِّ</w:t>
      </w:r>
      <w:r w:rsidRPr="00282AC9">
        <w:rPr>
          <w:rFonts w:ascii="Simplified Arabic" w:hAnsi="Simplified Arabic" w:hint="cs"/>
          <w:sz w:val="27"/>
          <w:rtl/>
          <w:lang w:bidi="ar-LB"/>
        </w:rPr>
        <w:t>د</w:t>
      </w:r>
      <w:r w:rsidRPr="00282AC9">
        <w:rPr>
          <w:rFonts w:ascii="Simplified Arabic" w:hAnsi="Simplified Arabic"/>
          <w:sz w:val="27"/>
          <w:rtl/>
          <w:lang w:bidi="ar-LB"/>
        </w:rPr>
        <w:t>، بل في مقام</w:t>
      </w:r>
      <w:r w:rsidR="00C0346F" w:rsidRPr="00282AC9">
        <w:rPr>
          <w:rFonts w:ascii="Simplified Arabic" w:hAnsi="Simplified Arabic" w:hint="cs"/>
          <w:sz w:val="27"/>
          <w:rtl/>
          <w:lang w:bidi="ar-LB"/>
        </w:rPr>
        <w:t>ٍ</w:t>
      </w:r>
      <w:r w:rsidRPr="00282AC9">
        <w:rPr>
          <w:rFonts w:ascii="Simplified Arabic" w:hAnsi="Simplified Arabic"/>
          <w:sz w:val="27"/>
          <w:rtl/>
          <w:lang w:bidi="ar-LB"/>
        </w:rPr>
        <w:t xml:space="preserve"> آخر</w:t>
      </w:r>
      <w:r w:rsidR="00C0346F" w:rsidRPr="00282AC9">
        <w:rPr>
          <w:rFonts w:ascii="Simplified Arabic" w:hAnsi="Simplified Arabic" w:hint="cs"/>
          <w:sz w:val="27"/>
          <w:rtl/>
          <w:lang w:bidi="ar-LB"/>
        </w:rPr>
        <w:t>،</w:t>
      </w:r>
      <w:r w:rsidRPr="00282AC9">
        <w:rPr>
          <w:rFonts w:ascii="Simplified Arabic" w:hAnsi="Simplified Arabic" w:hint="cs"/>
          <w:sz w:val="27"/>
          <w:rtl/>
          <w:lang w:bidi="ar-LB"/>
        </w:rPr>
        <w:t xml:space="preserve"> كما يشير السيد الخوئي</w:t>
      </w:r>
      <w:r w:rsidR="00C0346F" w:rsidRPr="00282AC9">
        <w:rPr>
          <w:rFonts w:ascii="Simplified Arabic" w:hAnsi="Simplified Arabic" w:hint="cs"/>
          <w:sz w:val="27"/>
          <w:rtl/>
          <w:lang w:bidi="ar-LB"/>
        </w:rPr>
        <w:t>،</w:t>
      </w:r>
      <w:r w:rsidRPr="00282AC9">
        <w:rPr>
          <w:rFonts w:ascii="Simplified Arabic" w:hAnsi="Simplified Arabic" w:hint="cs"/>
          <w:sz w:val="27"/>
          <w:rtl/>
          <w:lang w:bidi="ar-LB"/>
        </w:rPr>
        <w:t xml:space="preserve"> حيث يقول في كتابه العروة الوثقى: </w:t>
      </w:r>
      <w:r w:rsidRPr="00282AC9">
        <w:rPr>
          <w:rFonts w:hint="eastAsia"/>
          <w:sz w:val="24"/>
          <w:szCs w:val="24"/>
          <w:rtl/>
          <w:lang w:bidi="ar-LB"/>
        </w:rPr>
        <w:t>«</w:t>
      </w:r>
      <w:r w:rsidRPr="00282AC9">
        <w:rPr>
          <w:rFonts w:ascii="Simplified Arabic" w:hAnsi="Simplified Arabic" w:hint="cs"/>
          <w:sz w:val="27"/>
          <w:rtl/>
          <w:lang w:bidi="ar-LB"/>
        </w:rPr>
        <w:t>تكفّ</w:t>
      </w:r>
      <w:r w:rsidR="00C0346F" w:rsidRPr="00282AC9">
        <w:rPr>
          <w:rFonts w:ascii="Simplified Arabic" w:hAnsi="Simplified Arabic" w:hint="cs"/>
          <w:sz w:val="27"/>
          <w:rtl/>
          <w:lang w:bidi="ar-LB"/>
        </w:rPr>
        <w:t>َ</w:t>
      </w:r>
      <w:r w:rsidRPr="00282AC9">
        <w:rPr>
          <w:rFonts w:ascii="Simplified Arabic" w:hAnsi="Simplified Arabic" w:hint="cs"/>
          <w:sz w:val="27"/>
          <w:rtl/>
          <w:lang w:bidi="ar-LB"/>
        </w:rPr>
        <w:t>لت</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الآية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الكريمة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بيان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الحد</w:t>
      </w:r>
      <w:r w:rsidR="00C0346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للحكم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بالإباحة</w:t>
      </w:r>
      <w:r w:rsidRPr="00282AC9">
        <w:rPr>
          <w:rFonts w:hint="eastAsia"/>
          <w:sz w:val="24"/>
          <w:szCs w:val="24"/>
          <w:rtl/>
        </w:rPr>
        <w:t>»</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800"/>
      </w:r>
      <w:r w:rsidRPr="00282AC9">
        <w:rPr>
          <w:rFonts w:ascii="Simplified Arabic" w:hAnsi="Simplified Arabic"/>
          <w:sz w:val="27"/>
          <w:vertAlign w:val="superscript"/>
          <w:rtl/>
          <w:lang w:bidi="ar-LB"/>
        </w:rPr>
        <w:t>)</w:t>
      </w:r>
      <w:r w:rsidR="00C0346F" w:rsidRPr="00282AC9">
        <w:rPr>
          <w:rFonts w:ascii="Simplified Arabic" w:hAnsi="Simplified Arabic" w:hint="cs"/>
          <w:sz w:val="27"/>
          <w:rtl/>
          <w:lang w:bidi="ar-LB"/>
        </w:rPr>
        <w:t>،</w:t>
      </w:r>
      <w:r w:rsidRPr="00282AC9">
        <w:rPr>
          <w:rFonts w:ascii="Simplified Arabic" w:hAnsi="Simplified Arabic"/>
          <w:sz w:val="27"/>
          <w:rtl/>
          <w:lang w:bidi="ar-LB"/>
        </w:rPr>
        <w:t xml:space="preserve"> و</w:t>
      </w:r>
      <w:r w:rsidR="00674EF5" w:rsidRPr="00282AC9">
        <w:rPr>
          <w:rFonts w:ascii="Simplified Arabic" w:hAnsi="Simplified Arabic"/>
          <w:sz w:val="27"/>
          <w:rtl/>
          <w:lang w:bidi="ar-LB"/>
        </w:rPr>
        <w:t>لا سيَّما</w:t>
      </w:r>
      <w:r w:rsidR="00C0346F" w:rsidRPr="00282AC9">
        <w:rPr>
          <w:rFonts w:ascii="Simplified Arabic" w:hAnsi="Simplified Arabic"/>
          <w:sz w:val="27"/>
          <w:rtl/>
          <w:lang w:bidi="ar-LB"/>
        </w:rPr>
        <w:t xml:space="preserve"> إذا لوحظ صدرها</w:t>
      </w:r>
      <w:r w:rsidR="00C0346F" w:rsidRPr="00282AC9">
        <w:rPr>
          <w:rFonts w:ascii="Simplified Arabic" w:hAnsi="Simplified Arabic" w:hint="cs"/>
          <w:sz w:val="27"/>
          <w:rtl/>
          <w:lang w:bidi="ar-LB"/>
        </w:rPr>
        <w:t xml:space="preserve">، وهو </w:t>
      </w:r>
      <w:r w:rsidRPr="00282AC9">
        <w:rPr>
          <w:rFonts w:ascii="Simplified Arabic" w:hAnsi="Simplified Arabic"/>
          <w:sz w:val="27"/>
          <w:rtl/>
          <w:lang w:bidi="ar-LB"/>
        </w:rPr>
        <w:t xml:space="preserve">قوله تعالى: </w:t>
      </w:r>
      <w:r w:rsidRPr="00282AC9">
        <w:rPr>
          <w:rFonts w:ascii="Mosawi" w:hAnsi="Mosawi" w:cs="Mosawi"/>
          <w:sz w:val="24"/>
          <w:szCs w:val="24"/>
          <w:rtl/>
        </w:rPr>
        <w:t>﴿</w:t>
      </w:r>
      <w:r w:rsidRPr="00282AC9">
        <w:rPr>
          <w:rFonts w:ascii="Simplified Arabic" w:hAnsi="Simplified Arabic"/>
          <w:b/>
          <w:bCs/>
          <w:sz w:val="27"/>
          <w:rtl/>
          <w:lang w:bidi="ar-LB"/>
        </w:rPr>
        <w:t>و</w:t>
      </w:r>
      <w:r w:rsidR="00C0346F" w:rsidRPr="00282AC9">
        <w:rPr>
          <w:rFonts w:ascii="Simplified Arabic" w:hAnsi="Simplified Arabic" w:hint="cs"/>
          <w:b/>
          <w:bCs/>
          <w:sz w:val="27"/>
          <w:rtl/>
          <w:lang w:bidi="ar-LB"/>
        </w:rPr>
        <w:t>َ</w:t>
      </w:r>
      <w:r w:rsidRPr="00282AC9">
        <w:rPr>
          <w:rFonts w:ascii="Simplified Arabic" w:hAnsi="Simplified Arabic"/>
          <w:b/>
          <w:bCs/>
          <w:sz w:val="27"/>
          <w:rtl/>
          <w:lang w:bidi="ar-LB"/>
        </w:rPr>
        <w:t>إِنْ خِفْتُمْ أَ</w:t>
      </w:r>
      <w:r w:rsidR="00C0346F" w:rsidRPr="00282AC9">
        <w:rPr>
          <w:rFonts w:ascii="Simplified Arabic" w:hAnsi="Simplified Arabic" w:hint="cs"/>
          <w:b/>
          <w:bCs/>
          <w:sz w:val="27"/>
          <w:rtl/>
          <w:lang w:bidi="ar-LB"/>
        </w:rPr>
        <w:t>نْ لاَ</w:t>
      </w:r>
      <w:r w:rsidRPr="00282AC9">
        <w:rPr>
          <w:rFonts w:ascii="Simplified Arabic" w:hAnsi="Simplified Arabic"/>
          <w:b/>
          <w:bCs/>
          <w:sz w:val="27"/>
          <w:rtl/>
          <w:lang w:bidi="ar-LB"/>
        </w:rPr>
        <w:t xml:space="preserve"> تُقْسِطُوا فِي الْيَت</w:t>
      </w:r>
      <w:r w:rsidR="00C0346F" w:rsidRPr="00282AC9">
        <w:rPr>
          <w:rFonts w:ascii="Simplified Arabic" w:hAnsi="Simplified Arabic" w:hint="cs"/>
          <w:b/>
          <w:bCs/>
          <w:sz w:val="27"/>
          <w:rtl/>
          <w:lang w:bidi="ar-LB"/>
        </w:rPr>
        <w:t>َ</w:t>
      </w:r>
      <w:r w:rsidRPr="00282AC9">
        <w:rPr>
          <w:rFonts w:ascii="Simplified Arabic" w:hAnsi="Simplified Arabic"/>
          <w:b/>
          <w:bCs/>
          <w:sz w:val="27"/>
          <w:rtl/>
          <w:lang w:bidi="ar-LB"/>
        </w:rPr>
        <w:t>ام</w:t>
      </w:r>
      <w:r w:rsidR="00C0346F" w:rsidRPr="00282AC9">
        <w:rPr>
          <w:rFonts w:ascii="Simplified Arabic" w:hAnsi="Simplified Arabic" w:hint="cs"/>
          <w:b/>
          <w:bCs/>
          <w:sz w:val="27"/>
          <w:rtl/>
          <w:lang w:bidi="ar-LB"/>
        </w:rPr>
        <w:t>َ</w:t>
      </w:r>
      <w:r w:rsidRPr="00282AC9">
        <w:rPr>
          <w:rFonts w:ascii="Simplified Arabic" w:hAnsi="Simplified Arabic"/>
          <w:b/>
          <w:bCs/>
          <w:sz w:val="27"/>
          <w:rtl/>
          <w:lang w:bidi="ar-LB"/>
        </w:rPr>
        <w:t>ى فَانْكِحُوا ما ط</w:t>
      </w:r>
      <w:r w:rsidR="00C0346F" w:rsidRPr="00282AC9">
        <w:rPr>
          <w:rFonts w:ascii="Simplified Arabic" w:hAnsi="Simplified Arabic" w:hint="cs"/>
          <w:b/>
          <w:bCs/>
          <w:sz w:val="27"/>
          <w:rtl/>
          <w:lang w:bidi="ar-LB"/>
        </w:rPr>
        <w:t>َ</w:t>
      </w:r>
      <w:r w:rsidRPr="00282AC9">
        <w:rPr>
          <w:rFonts w:ascii="Simplified Arabic" w:hAnsi="Simplified Arabic"/>
          <w:b/>
          <w:bCs/>
          <w:sz w:val="27"/>
          <w:rtl/>
          <w:lang w:bidi="ar-LB"/>
        </w:rPr>
        <w:t>ابَ</w:t>
      </w:r>
      <w:r w:rsidR="00C0346F" w:rsidRPr="00282AC9">
        <w:rPr>
          <w:rFonts w:ascii="Simplified Arabic" w:hAnsi="Simplified Arabic" w:hint="cs"/>
          <w:b/>
          <w:bCs/>
          <w:sz w:val="27"/>
          <w:rtl/>
          <w:lang w:bidi="ar-LB"/>
        </w:rPr>
        <w:t>...</w:t>
      </w:r>
      <w:r w:rsidRPr="00282AC9">
        <w:rPr>
          <w:rFonts w:ascii="Mosawi" w:hAnsi="Mosawi" w:cs="Mosawi"/>
          <w:sz w:val="24"/>
          <w:szCs w:val="24"/>
          <w:rtl/>
        </w:rPr>
        <w:t>﴾</w:t>
      </w:r>
      <w:r w:rsidRPr="00282AC9">
        <w:rPr>
          <w:rFonts w:ascii="Simplified Arabic" w:hAnsi="Simplified Arabic" w:hint="cs"/>
          <w:sz w:val="27"/>
          <w:rtl/>
          <w:lang w:bidi="ar-LB"/>
        </w:rPr>
        <w:t>، و</w:t>
      </w:r>
      <w:r w:rsidRPr="00282AC9">
        <w:rPr>
          <w:rFonts w:ascii="Simplified Arabic" w:hAnsi="Simplified Arabic"/>
          <w:sz w:val="27"/>
          <w:rtl/>
          <w:lang w:bidi="ar-LB"/>
        </w:rPr>
        <w:t>المعنى حينئذ</w:t>
      </w:r>
      <w:r w:rsidR="00C0346F" w:rsidRPr="00282AC9">
        <w:rPr>
          <w:rFonts w:ascii="Simplified Arabic" w:hAnsi="Simplified Arabic" w:hint="cs"/>
          <w:sz w:val="27"/>
          <w:rtl/>
          <w:lang w:bidi="ar-LB"/>
        </w:rPr>
        <w:t>ٍ:</w:t>
      </w:r>
      <w:r w:rsidRPr="00282AC9">
        <w:rPr>
          <w:rFonts w:ascii="Simplified Arabic" w:hAnsi="Simplified Arabic"/>
          <w:sz w:val="27"/>
          <w:rtl/>
          <w:lang w:bidi="ar-LB"/>
        </w:rPr>
        <w:t xml:space="preserve"> إن</w:t>
      </w:r>
      <w:r w:rsidR="00C0346F" w:rsidRPr="00282AC9">
        <w:rPr>
          <w:rFonts w:ascii="Simplified Arabic" w:hAnsi="Simplified Arabic" w:hint="cs"/>
          <w:sz w:val="27"/>
          <w:rtl/>
          <w:lang w:bidi="ar-LB"/>
        </w:rPr>
        <w:t>ْ</w:t>
      </w:r>
      <w:r w:rsidRPr="00282AC9">
        <w:rPr>
          <w:rFonts w:ascii="Simplified Arabic" w:hAnsi="Simplified Arabic"/>
          <w:sz w:val="27"/>
          <w:rtl/>
          <w:lang w:bidi="ar-LB"/>
        </w:rPr>
        <w:t xml:space="preserve"> خفتم أن لا تعدلوا في يتامى النساء إذا تزو</w:t>
      </w:r>
      <w:r w:rsidR="00C0346F" w:rsidRPr="00282AC9">
        <w:rPr>
          <w:rFonts w:ascii="Simplified Arabic" w:hAnsi="Simplified Arabic" w:hint="cs"/>
          <w:sz w:val="27"/>
          <w:rtl/>
          <w:lang w:bidi="ar-LB"/>
        </w:rPr>
        <w:t>َّ</w:t>
      </w:r>
      <w:r w:rsidRPr="00282AC9">
        <w:rPr>
          <w:rFonts w:ascii="Simplified Arabic" w:hAnsi="Simplified Arabic"/>
          <w:sz w:val="27"/>
          <w:rtl/>
          <w:lang w:bidi="ar-LB"/>
        </w:rPr>
        <w:t>جتم بهن</w:t>
      </w:r>
      <w:r w:rsidR="00C0346F" w:rsidRPr="00282AC9">
        <w:rPr>
          <w:rFonts w:ascii="Simplified Arabic" w:hAnsi="Simplified Arabic" w:hint="cs"/>
          <w:sz w:val="27"/>
          <w:rtl/>
          <w:lang w:bidi="ar-LB"/>
        </w:rPr>
        <w:t>ّ،</w:t>
      </w:r>
      <w:r w:rsidRPr="00282AC9">
        <w:rPr>
          <w:rFonts w:ascii="Simplified Arabic" w:hAnsi="Simplified Arabic"/>
          <w:sz w:val="27"/>
          <w:rtl/>
          <w:lang w:bidi="ar-LB"/>
        </w:rPr>
        <w:t xml:space="preserve"> فانكحوا ما طاب لكم من</w:t>
      </w:r>
      <w:r w:rsidRPr="00282AC9">
        <w:rPr>
          <w:rFonts w:ascii="Simplified Arabic" w:hAnsi="Simplified Arabic" w:hint="cs"/>
          <w:sz w:val="27"/>
          <w:rtl/>
          <w:lang w:bidi="ar-LB"/>
        </w:rPr>
        <w:t xml:space="preserve"> غيرهن</w:t>
      </w:r>
      <w:r w:rsidR="00C0346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 xml:space="preserve">من </w:t>
      </w:r>
      <w:r w:rsidRPr="00282AC9">
        <w:rPr>
          <w:rFonts w:ascii="Simplified Arabic" w:hAnsi="Simplified Arabic"/>
          <w:sz w:val="27"/>
          <w:rtl/>
          <w:lang w:bidi="ar-LB"/>
        </w:rPr>
        <w:t>النساء</w:t>
      </w:r>
      <w:r w:rsidRPr="00282AC9">
        <w:rPr>
          <w:rFonts w:ascii="Simplified Arabic" w:hAnsi="Simplified Arabic" w:hint="cs"/>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وقد ذكر الشيخ الجواهري في كتابه جواهر الكلام: نعم</w:t>
      </w:r>
      <w:r w:rsidR="00C161D4"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وقع</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غير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واحد</w:t>
      </w:r>
      <w:r w:rsidR="00C161D4"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الاستدلال</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عليه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بقوله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تعالى</w:t>
      </w:r>
      <w:r w:rsidR="00C161D4" w:rsidRPr="00282AC9">
        <w:rPr>
          <w:rFonts w:ascii="Simplified Arabic" w:hAnsi="Simplified Arabic" w:hint="cs"/>
          <w:sz w:val="27"/>
          <w:rtl/>
          <w:lang w:bidi="ar-LB"/>
        </w:rPr>
        <w:t>:</w:t>
      </w:r>
      <w:r w:rsidRPr="00282AC9">
        <w:rPr>
          <w:rFonts w:ascii="Simplified Arabic" w:hAnsi="Simplified Arabic" w:hint="cs"/>
          <w:sz w:val="27"/>
          <w:rtl/>
          <w:lang w:bidi="ar-LB"/>
        </w:rPr>
        <w:t xml:space="preserve"> </w:t>
      </w:r>
      <w:r w:rsidRPr="00282AC9">
        <w:rPr>
          <w:rFonts w:ascii="Mosawi" w:hAnsi="Mosawi" w:cs="Mosawi"/>
          <w:sz w:val="24"/>
          <w:szCs w:val="24"/>
          <w:rtl/>
        </w:rPr>
        <w:t>﴿</w:t>
      </w:r>
      <w:r w:rsidR="00C161D4" w:rsidRPr="00282AC9">
        <w:rPr>
          <w:rFonts w:ascii="Simplified Arabic" w:hAnsi="Simplified Arabic"/>
          <w:b/>
          <w:bCs/>
          <w:sz w:val="27"/>
          <w:rtl/>
        </w:rPr>
        <w:t>وَإِنْ خِفْتُمْ أَ</w:t>
      </w:r>
      <w:r w:rsidR="00C161D4" w:rsidRPr="00282AC9">
        <w:rPr>
          <w:rFonts w:ascii="Simplified Arabic" w:hAnsi="Simplified Arabic" w:hint="cs"/>
          <w:b/>
          <w:bCs/>
          <w:sz w:val="27"/>
          <w:rtl/>
        </w:rPr>
        <w:t>نْ لاَ</w:t>
      </w:r>
      <w:r w:rsidR="00C161D4" w:rsidRPr="00282AC9">
        <w:rPr>
          <w:rFonts w:ascii="Simplified Arabic" w:hAnsi="Simplified Arabic"/>
          <w:b/>
          <w:bCs/>
          <w:sz w:val="27"/>
          <w:rtl/>
        </w:rPr>
        <w:t xml:space="preserve"> تُقْسِطُوا فِي الْيَتَامَى </w:t>
      </w:r>
      <w:r w:rsidR="00C161D4" w:rsidRPr="00282AC9">
        <w:rPr>
          <w:rFonts w:ascii="Simplified Arabic" w:hAnsi="Simplified Arabic" w:hint="cs"/>
          <w:b/>
          <w:bCs/>
          <w:sz w:val="27"/>
          <w:rtl/>
        </w:rPr>
        <w:t>فَانْكِحُوا</w:t>
      </w:r>
      <w:r w:rsidR="00C161D4" w:rsidRPr="00282AC9">
        <w:rPr>
          <w:rFonts w:ascii="Simplified Arabic" w:hAnsi="Simplified Arabic"/>
          <w:b/>
          <w:bCs/>
          <w:sz w:val="27"/>
          <w:rtl/>
        </w:rPr>
        <w:t xml:space="preserve"> </w:t>
      </w:r>
      <w:r w:rsidR="00C161D4" w:rsidRPr="00282AC9">
        <w:rPr>
          <w:rFonts w:ascii="Simplified Arabic" w:hAnsi="Simplified Arabic" w:hint="cs"/>
          <w:b/>
          <w:bCs/>
          <w:sz w:val="27"/>
          <w:rtl/>
        </w:rPr>
        <w:t>مَا</w:t>
      </w:r>
      <w:r w:rsidR="00C161D4" w:rsidRPr="00282AC9">
        <w:rPr>
          <w:rFonts w:ascii="Simplified Arabic" w:hAnsi="Simplified Arabic"/>
          <w:b/>
          <w:bCs/>
          <w:sz w:val="27"/>
          <w:rtl/>
        </w:rPr>
        <w:t xml:space="preserve"> </w:t>
      </w:r>
      <w:r w:rsidR="00C161D4" w:rsidRPr="00282AC9">
        <w:rPr>
          <w:rFonts w:ascii="Simplified Arabic" w:hAnsi="Simplified Arabic" w:hint="cs"/>
          <w:b/>
          <w:bCs/>
          <w:sz w:val="27"/>
          <w:rtl/>
        </w:rPr>
        <w:t>طَابَ</w:t>
      </w:r>
      <w:r w:rsidR="00C161D4" w:rsidRPr="00282AC9">
        <w:rPr>
          <w:rFonts w:ascii="Simplified Arabic" w:hAnsi="Simplified Arabic"/>
          <w:b/>
          <w:bCs/>
          <w:sz w:val="27"/>
          <w:rtl/>
        </w:rPr>
        <w:t xml:space="preserve"> </w:t>
      </w:r>
      <w:r w:rsidR="00C161D4" w:rsidRPr="00282AC9">
        <w:rPr>
          <w:rFonts w:ascii="Simplified Arabic" w:hAnsi="Simplified Arabic" w:hint="cs"/>
          <w:b/>
          <w:bCs/>
          <w:sz w:val="27"/>
          <w:rtl/>
        </w:rPr>
        <w:t>لَكُمْ</w:t>
      </w:r>
      <w:r w:rsidR="00C161D4" w:rsidRPr="00282AC9">
        <w:rPr>
          <w:rFonts w:ascii="Simplified Arabic" w:hAnsi="Simplified Arabic"/>
          <w:b/>
          <w:bCs/>
          <w:sz w:val="27"/>
          <w:rtl/>
        </w:rPr>
        <w:t xml:space="preserve"> </w:t>
      </w:r>
      <w:r w:rsidR="00C161D4" w:rsidRPr="00282AC9">
        <w:rPr>
          <w:rFonts w:ascii="Simplified Arabic" w:hAnsi="Simplified Arabic" w:hint="cs"/>
          <w:b/>
          <w:bCs/>
          <w:sz w:val="27"/>
          <w:rtl/>
        </w:rPr>
        <w:t>مِنَ</w:t>
      </w:r>
      <w:r w:rsidR="00C161D4" w:rsidRPr="00282AC9">
        <w:rPr>
          <w:rFonts w:ascii="Simplified Arabic" w:hAnsi="Simplified Arabic"/>
          <w:b/>
          <w:bCs/>
          <w:sz w:val="27"/>
          <w:rtl/>
        </w:rPr>
        <w:t xml:space="preserve"> </w:t>
      </w:r>
      <w:r w:rsidR="00C161D4" w:rsidRPr="00282AC9">
        <w:rPr>
          <w:rFonts w:ascii="Simplified Arabic" w:hAnsi="Simplified Arabic" w:hint="cs"/>
          <w:b/>
          <w:bCs/>
          <w:sz w:val="27"/>
          <w:rtl/>
        </w:rPr>
        <w:t>النِّسَاءِ</w:t>
      </w:r>
      <w:r w:rsidR="00C161D4" w:rsidRPr="00282AC9">
        <w:rPr>
          <w:rFonts w:ascii="Simplified Arabic" w:hAnsi="Simplified Arabic"/>
          <w:b/>
          <w:bCs/>
          <w:sz w:val="27"/>
          <w:rtl/>
        </w:rPr>
        <w:t xml:space="preserve"> </w:t>
      </w:r>
      <w:r w:rsidR="00C161D4" w:rsidRPr="00282AC9">
        <w:rPr>
          <w:rFonts w:ascii="Simplified Arabic" w:hAnsi="Simplified Arabic" w:hint="cs"/>
          <w:b/>
          <w:bCs/>
          <w:sz w:val="27"/>
          <w:rtl/>
        </w:rPr>
        <w:t>مَثْنَى</w:t>
      </w:r>
      <w:r w:rsidR="00C161D4" w:rsidRPr="00282AC9">
        <w:rPr>
          <w:rFonts w:ascii="Simplified Arabic" w:hAnsi="Simplified Arabic"/>
          <w:b/>
          <w:bCs/>
          <w:sz w:val="27"/>
          <w:rtl/>
        </w:rPr>
        <w:t xml:space="preserve"> </w:t>
      </w:r>
      <w:r w:rsidR="00C161D4" w:rsidRPr="00282AC9">
        <w:rPr>
          <w:rFonts w:ascii="Simplified Arabic" w:hAnsi="Simplified Arabic" w:hint="cs"/>
          <w:b/>
          <w:bCs/>
          <w:sz w:val="27"/>
          <w:rtl/>
        </w:rPr>
        <w:t>وَثُلاَثَ</w:t>
      </w:r>
      <w:r w:rsidR="00C161D4" w:rsidRPr="00282AC9">
        <w:rPr>
          <w:rFonts w:ascii="Simplified Arabic" w:hAnsi="Simplified Arabic"/>
          <w:b/>
          <w:bCs/>
          <w:sz w:val="27"/>
          <w:rtl/>
        </w:rPr>
        <w:t xml:space="preserve"> </w:t>
      </w:r>
      <w:r w:rsidR="00C161D4" w:rsidRPr="00282AC9">
        <w:rPr>
          <w:rFonts w:ascii="Simplified Arabic" w:hAnsi="Simplified Arabic" w:hint="cs"/>
          <w:b/>
          <w:bCs/>
          <w:sz w:val="27"/>
          <w:rtl/>
        </w:rPr>
        <w:t>وَرُبَاعَ</w:t>
      </w:r>
      <w:r w:rsidRPr="00282AC9">
        <w:rPr>
          <w:rFonts w:ascii="Mosawi" w:hAnsi="Mosawi" w:cs="Mosawi"/>
          <w:sz w:val="24"/>
          <w:szCs w:val="24"/>
          <w:rtl/>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باعتبار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اشتماله على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الأمر،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والذي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أقرب</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المجازات</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معناه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الحقيقي،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بعد</w:t>
      </w:r>
      <w:r w:rsidRPr="00282AC9">
        <w:rPr>
          <w:rFonts w:ascii="Simplified Arabic" w:hAnsi="Simplified Arabic"/>
          <w:sz w:val="27"/>
          <w:rtl/>
          <w:lang w:bidi="ar-LB"/>
        </w:rPr>
        <w:t xml:space="preserve"> </w:t>
      </w:r>
      <w:r w:rsidRPr="00282AC9">
        <w:rPr>
          <w:rFonts w:ascii="Simplified Arabic" w:hAnsi="Simplified Arabic" w:hint="cs"/>
          <w:sz w:val="27"/>
          <w:rtl/>
          <w:lang w:bidi="ar-LB"/>
        </w:rPr>
        <w:t>تعذ</w:t>
      </w:r>
      <w:r w:rsidR="00C161D4" w:rsidRPr="00282AC9">
        <w:rPr>
          <w:rFonts w:ascii="Simplified Arabic" w:hAnsi="Simplified Arabic" w:hint="cs"/>
          <w:sz w:val="27"/>
          <w:rtl/>
          <w:lang w:bidi="ar-LB"/>
        </w:rPr>
        <w:t>ُّ</w:t>
      </w:r>
      <w:r w:rsidRPr="00282AC9">
        <w:rPr>
          <w:rFonts w:ascii="Simplified Arabic" w:hAnsi="Simplified Arabic" w:hint="cs"/>
          <w:sz w:val="27"/>
          <w:rtl/>
          <w:lang w:bidi="ar-LB"/>
        </w:rPr>
        <w:t>ره،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الن</w:t>
      </w:r>
      <w:r w:rsidR="00C161D4" w:rsidRPr="00282AC9">
        <w:rPr>
          <w:rFonts w:ascii="Simplified Arabic" w:hAnsi="Simplified Arabic" w:hint="cs"/>
          <w:sz w:val="27"/>
          <w:rtl/>
          <w:lang w:bidi="ar-LB"/>
        </w:rPr>
        <w:t>َّ</w:t>
      </w:r>
      <w:r w:rsidRPr="00282AC9">
        <w:rPr>
          <w:rFonts w:ascii="Simplified Arabic" w:hAnsi="Simplified Arabic" w:hint="cs"/>
          <w:sz w:val="27"/>
          <w:rtl/>
          <w:lang w:bidi="ar-LB"/>
        </w:rPr>
        <w:t>د</w:t>
      </w:r>
      <w:r w:rsidR="00C161D4" w:rsidRPr="00282AC9">
        <w:rPr>
          <w:rFonts w:ascii="Simplified Arabic" w:hAnsi="Simplified Arabic" w:hint="cs"/>
          <w:sz w:val="27"/>
          <w:rtl/>
          <w:lang w:bidi="ar-LB"/>
        </w:rPr>
        <w:t>ْ</w:t>
      </w:r>
      <w:r w:rsidRPr="00282AC9">
        <w:rPr>
          <w:rFonts w:ascii="Simplified Arabic" w:hAnsi="Simplified Arabic" w:hint="cs"/>
          <w:sz w:val="27"/>
          <w:rtl/>
          <w:lang w:bidi="ar-LB"/>
        </w:rPr>
        <w:t>ب</w:t>
      </w:r>
      <w:r w:rsidR="00AE1050"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وهو</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يخلو</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 نظر</w:t>
      </w:r>
      <w:r w:rsidR="00AE1050" w:rsidRPr="00282AC9">
        <w:rPr>
          <w:rFonts w:ascii="Simplified Arabic" w:hAnsi="Simplified Arabic" w:hint="cs"/>
          <w:sz w:val="27"/>
          <w:rtl/>
          <w:lang w:bidi="ar-LB"/>
        </w:rPr>
        <w:t>ٍ</w:t>
      </w:r>
      <w:r w:rsidR="00C161D4" w:rsidRPr="00282AC9">
        <w:rPr>
          <w:rFonts w:ascii="Simplified Arabic" w:hAnsi="Simplified Arabic" w:hint="cs"/>
          <w:sz w:val="27"/>
          <w:rtl/>
          <w:lang w:bidi="ar-LB"/>
        </w:rPr>
        <w:t>؛</w:t>
      </w:r>
      <w:r w:rsidRPr="00282AC9">
        <w:rPr>
          <w:rFonts w:ascii="Simplified Arabic" w:hAnsi="Simplified Arabic" w:hint="cs"/>
          <w:sz w:val="27"/>
          <w:rtl/>
          <w:lang w:bidi="ar-LB"/>
        </w:rPr>
        <w:t xml:space="preserve"> ضرورة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عدم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استفادة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أكثر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الإباحة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منه</w:t>
      </w:r>
      <w:r w:rsidR="00AE1050"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باعتبار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تعليقه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خوف</w:t>
      </w:r>
      <w:r w:rsidRPr="00282AC9">
        <w:rPr>
          <w:rFonts w:ascii="Simplified Arabic" w:hAnsi="Simplified Arabic"/>
          <w:sz w:val="27"/>
          <w:rtl/>
          <w:lang w:bidi="ar-LB"/>
        </w:rPr>
        <w:t xml:space="preserve"> </w:t>
      </w:r>
      <w:r w:rsidRPr="00282AC9">
        <w:rPr>
          <w:rFonts w:ascii="Simplified Arabic" w:hAnsi="Simplified Arabic" w:hint="cs"/>
          <w:sz w:val="27"/>
          <w:rtl/>
          <w:lang w:bidi="ar-LB"/>
        </w:rPr>
        <w:t>ترك القسط</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والعدل</w:t>
      </w:r>
      <w:r w:rsidR="00AE1050"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المشعر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بكون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الأمر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لانتفائه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المأمور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وسلامته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عنه</w:t>
      </w:r>
      <w:r w:rsidR="00AE1050"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وذلك قرينة</w:t>
      </w:r>
      <w:r w:rsidR="00AE1050"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واضحة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إرادة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الرخصة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منه</w:t>
      </w:r>
      <w:r w:rsidR="00AE1050"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غير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التفات</w:t>
      </w:r>
      <w:r w:rsidR="00AE1050"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الوجوب</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والندب</w:t>
      </w:r>
      <w:r w:rsidR="00AE1050"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والمعنى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حينئذ</w:t>
      </w:r>
      <w:r w:rsidR="00AE1050"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إن</w:t>
      </w:r>
      <w:r w:rsidR="00AE1050"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خفتم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تعدلوا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يتامى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النساء</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إذا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تزو</w:t>
      </w:r>
      <w:r w:rsidR="00AE1050" w:rsidRPr="00282AC9">
        <w:rPr>
          <w:rFonts w:ascii="Simplified Arabic" w:hAnsi="Simplified Arabic" w:hint="cs"/>
          <w:sz w:val="27"/>
          <w:rtl/>
          <w:lang w:bidi="ar-LB"/>
        </w:rPr>
        <w:t>َّ</w:t>
      </w:r>
      <w:r w:rsidRPr="00282AC9">
        <w:rPr>
          <w:rFonts w:ascii="Simplified Arabic" w:hAnsi="Simplified Arabic" w:hint="cs"/>
          <w:sz w:val="27"/>
          <w:rtl/>
          <w:lang w:bidi="ar-LB"/>
        </w:rPr>
        <w:t>جتم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بهن</w:t>
      </w:r>
      <w:r w:rsidR="00AE1050"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فانكحوا ما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طاب</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لكم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النساء</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غيرهن</w:t>
      </w:r>
      <w:r w:rsidR="00DA5C16" w:rsidRPr="00282AC9">
        <w:rPr>
          <w:rFonts w:ascii="Simplified Arabic" w:hAnsi="Simplified Arabic" w:hint="cs"/>
          <w:sz w:val="27"/>
          <w:rtl/>
          <w:lang w:bidi="ar-LB"/>
        </w:rPr>
        <w:t xml:space="preserve">ّ؛ </w:t>
      </w:r>
      <w:r w:rsidRPr="00282AC9">
        <w:rPr>
          <w:rFonts w:ascii="Simplified Arabic" w:hAnsi="Simplified Arabic" w:hint="cs"/>
          <w:sz w:val="27"/>
          <w:rtl/>
          <w:lang w:bidi="ar-LB"/>
        </w:rPr>
        <w:t>فإنهم</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كما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قيل</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كانوا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يتزو</w:t>
      </w:r>
      <w:r w:rsidR="00DA5C16" w:rsidRPr="00282AC9">
        <w:rPr>
          <w:rFonts w:ascii="Simplified Arabic" w:hAnsi="Simplified Arabic" w:hint="cs"/>
          <w:sz w:val="27"/>
          <w:rtl/>
          <w:lang w:bidi="ar-LB"/>
        </w:rPr>
        <w:t>َّ</w:t>
      </w:r>
      <w:r w:rsidRPr="00282AC9">
        <w:rPr>
          <w:rFonts w:ascii="Simplified Arabic" w:hAnsi="Simplified Arabic" w:hint="cs"/>
          <w:sz w:val="27"/>
          <w:rtl/>
          <w:lang w:bidi="ar-LB"/>
        </w:rPr>
        <w:t>جون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اليتامى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اللاتي في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حجورهم</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طمعا</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المال</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أو</w:t>
      </w:r>
      <w:r w:rsidRPr="00282AC9">
        <w:rPr>
          <w:rFonts w:ascii="Simplified Arabic" w:hAnsi="Simplified Arabic"/>
          <w:sz w:val="27"/>
          <w:rtl/>
          <w:lang w:bidi="ar-LB"/>
        </w:rPr>
        <w:t xml:space="preserve"> </w:t>
      </w:r>
      <w:r w:rsidRPr="00282AC9">
        <w:rPr>
          <w:rFonts w:ascii="Simplified Arabic" w:hAnsi="Simplified Arabic" w:hint="cs"/>
          <w:sz w:val="27"/>
          <w:rtl/>
          <w:lang w:bidi="ar-LB"/>
        </w:rPr>
        <w:t>رغبة</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الجمال،</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فيجتمع</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عند</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الواحد</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منهم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منهن</w:t>
      </w:r>
      <w:r w:rsidR="00DA5C16" w:rsidRPr="00282AC9">
        <w:rPr>
          <w:rFonts w:ascii="Simplified Arabic" w:hAnsi="Simplified Arabic" w:hint="cs"/>
          <w:sz w:val="27"/>
          <w:rtl/>
          <w:lang w:bidi="ar-LB"/>
        </w:rPr>
        <w:t>ّ</w:t>
      </w:r>
      <w:r w:rsidRPr="00282AC9">
        <w:rPr>
          <w:rFonts w:ascii="Simplified Arabic" w:hAnsi="Simplified Arabic" w:hint="cs"/>
          <w:sz w:val="27"/>
          <w:rtl/>
          <w:lang w:bidi="ar-LB"/>
        </w:rPr>
        <w:t xml:space="preserve"> ما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يقدر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القيام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بحق</w:t>
      </w:r>
      <w:r w:rsidR="00DA5C16" w:rsidRPr="00282AC9">
        <w:rPr>
          <w:rFonts w:ascii="Simplified Arabic" w:hAnsi="Simplified Arabic" w:hint="cs"/>
          <w:sz w:val="27"/>
          <w:rtl/>
          <w:lang w:bidi="ar-LB"/>
        </w:rPr>
        <w:t>ِّ</w:t>
      </w:r>
      <w:r w:rsidRPr="00282AC9">
        <w:rPr>
          <w:rFonts w:ascii="Simplified Arabic" w:hAnsi="Simplified Arabic" w:hint="cs"/>
          <w:sz w:val="27"/>
          <w:rtl/>
          <w:lang w:bidi="ar-LB"/>
        </w:rPr>
        <w:t>ه</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أو</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إن</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خفتم</w:t>
      </w:r>
      <w:r w:rsidRPr="00282AC9">
        <w:rPr>
          <w:rFonts w:ascii="Simplified Arabic" w:hAnsi="Simplified Arabic"/>
          <w:sz w:val="27"/>
          <w:rtl/>
          <w:lang w:bidi="ar-LB"/>
        </w:rPr>
        <w:t xml:space="preserve"> </w:t>
      </w:r>
      <w:r w:rsidRPr="00282AC9">
        <w:rPr>
          <w:rFonts w:ascii="Simplified Arabic" w:hAnsi="Simplified Arabic" w:hint="cs"/>
          <w:sz w:val="27"/>
          <w:rtl/>
          <w:lang w:bidi="ar-LB"/>
        </w:rPr>
        <w:lastRenderedPageBreak/>
        <w:t>أن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تجوروا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w:t>
      </w:r>
      <w:r w:rsidR="00DA5C16" w:rsidRPr="00282AC9">
        <w:rPr>
          <w:rFonts w:ascii="Simplified Arabic" w:hAnsi="Simplified Arabic" w:hint="cs"/>
          <w:sz w:val="27"/>
          <w:rtl/>
          <w:lang w:bidi="ar-LB"/>
        </w:rPr>
        <w:t>َ</w:t>
      </w:r>
      <w:r w:rsidRPr="00282AC9">
        <w:rPr>
          <w:rFonts w:ascii="Simplified Arabic" w:hAnsi="Simplified Arabic" w:hint="cs"/>
          <w:sz w:val="27"/>
          <w:rtl/>
          <w:lang w:bidi="ar-LB"/>
        </w:rPr>
        <w:t>ن</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لكم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الولاية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عليهم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 يتامى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النساء</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بأخذ</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أموالهن</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وصرفها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مؤن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تزويجكم</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فانكحوا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طاب</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لكم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 النساء</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مثنى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وثلاث</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ورباع،</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تزيدوا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حت</w:t>
      </w:r>
      <w:r w:rsidR="00DA5C16" w:rsidRPr="00282AC9">
        <w:rPr>
          <w:rFonts w:ascii="Simplified Arabic" w:hAnsi="Simplified Arabic" w:hint="cs"/>
          <w:sz w:val="27"/>
          <w:rtl/>
          <w:lang w:bidi="ar-LB"/>
        </w:rPr>
        <w:t>ّ</w:t>
      </w:r>
      <w:r w:rsidRPr="00282AC9">
        <w:rPr>
          <w:rFonts w:ascii="Simplified Arabic" w:hAnsi="Simplified Arabic" w:hint="cs"/>
          <w:sz w:val="27"/>
          <w:rtl/>
          <w:lang w:bidi="ar-LB"/>
        </w:rPr>
        <w:t>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يحوجكم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ذلك</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فقد</w:t>
      </w:r>
      <w:r w:rsidRPr="00282AC9">
        <w:rPr>
          <w:rFonts w:ascii="Simplified Arabic" w:hAnsi="Simplified Arabic"/>
          <w:sz w:val="27"/>
          <w:rtl/>
          <w:lang w:bidi="ar-LB"/>
        </w:rPr>
        <w:t xml:space="preserve"> </w:t>
      </w:r>
      <w:r w:rsidRPr="00282AC9">
        <w:rPr>
          <w:rFonts w:ascii="Simplified Arabic" w:hAnsi="Simplified Arabic" w:hint="cs"/>
          <w:sz w:val="27"/>
          <w:rtl/>
          <w:lang w:bidi="ar-LB"/>
        </w:rPr>
        <w:t>قيل</w:t>
      </w:r>
      <w:r w:rsidRPr="00282AC9">
        <w:rPr>
          <w:rFonts w:ascii="Simplified Arabic" w:hAnsi="Simplified Arabic"/>
          <w:sz w:val="27"/>
          <w:rtl/>
          <w:lang w:bidi="ar-LB"/>
        </w:rPr>
        <w:t>: إن الرجل من قريش كان يتزو</w:t>
      </w:r>
      <w:r w:rsidR="00DA5C16" w:rsidRPr="00282AC9">
        <w:rPr>
          <w:rFonts w:ascii="Simplified Arabic" w:hAnsi="Simplified Arabic" w:hint="cs"/>
          <w:sz w:val="27"/>
          <w:rtl/>
          <w:lang w:bidi="ar-LB"/>
        </w:rPr>
        <w:t>َّ</w:t>
      </w:r>
      <w:r w:rsidRPr="00282AC9">
        <w:rPr>
          <w:rFonts w:ascii="Simplified Arabic" w:hAnsi="Simplified Arabic"/>
          <w:sz w:val="27"/>
          <w:rtl/>
          <w:lang w:bidi="ar-LB"/>
        </w:rPr>
        <w:t>ج العشر من النساء وأكثر، فإذا أعدم تناول من أموال اليتامى المول</w:t>
      </w:r>
      <w:r w:rsidR="00DA5C16" w:rsidRPr="00282AC9">
        <w:rPr>
          <w:rFonts w:ascii="Simplified Arabic" w:hAnsi="Simplified Arabic" w:hint="cs"/>
          <w:sz w:val="27"/>
          <w:rtl/>
          <w:lang w:bidi="ar-LB"/>
        </w:rPr>
        <w:t>ّ</w:t>
      </w:r>
      <w:r w:rsidRPr="00282AC9">
        <w:rPr>
          <w:rFonts w:ascii="Simplified Arabic" w:hAnsi="Simplified Arabic"/>
          <w:sz w:val="27"/>
          <w:rtl/>
          <w:lang w:bidi="ar-LB"/>
        </w:rPr>
        <w:t>ى عليهم، فنزل</w:t>
      </w:r>
      <w:r w:rsidR="00DA5C16" w:rsidRPr="00282AC9">
        <w:rPr>
          <w:rFonts w:ascii="Simplified Arabic" w:hAnsi="Simplified Arabic" w:hint="cs"/>
          <w:sz w:val="27"/>
          <w:rtl/>
          <w:lang w:bidi="ar-LB"/>
        </w:rPr>
        <w:t>َ</w:t>
      </w:r>
      <w:r w:rsidRPr="00282AC9">
        <w:rPr>
          <w:rFonts w:ascii="Simplified Arabic" w:hAnsi="Simplified Arabic"/>
          <w:sz w:val="27"/>
          <w:rtl/>
          <w:lang w:bidi="ar-LB"/>
        </w:rPr>
        <w:t>ت</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هذه الآية</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أو غير ذلك مم</w:t>
      </w:r>
      <w:r w:rsidR="00DA5C16" w:rsidRPr="00282AC9">
        <w:rPr>
          <w:rFonts w:ascii="Simplified Arabic" w:hAnsi="Simplified Arabic" w:hint="cs"/>
          <w:sz w:val="27"/>
          <w:rtl/>
          <w:lang w:bidi="ar-LB"/>
        </w:rPr>
        <w:t>ّ</w:t>
      </w:r>
      <w:r w:rsidRPr="00282AC9">
        <w:rPr>
          <w:rFonts w:ascii="Simplified Arabic" w:hAnsi="Simplified Arabic"/>
          <w:sz w:val="27"/>
          <w:rtl/>
          <w:lang w:bidi="ar-LB"/>
        </w:rPr>
        <w:t>ا قيل في الآية</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مم</w:t>
      </w:r>
      <w:r w:rsidR="00DA5C16" w:rsidRPr="00282AC9">
        <w:rPr>
          <w:rFonts w:ascii="Simplified Arabic" w:hAnsi="Simplified Arabic" w:hint="cs"/>
          <w:sz w:val="27"/>
          <w:rtl/>
          <w:lang w:bidi="ar-LB"/>
        </w:rPr>
        <w:t>ّ</w:t>
      </w:r>
      <w:r w:rsidRPr="00282AC9">
        <w:rPr>
          <w:rFonts w:ascii="Simplified Arabic" w:hAnsi="Simplified Arabic"/>
          <w:sz w:val="27"/>
          <w:rtl/>
          <w:lang w:bidi="ar-LB"/>
        </w:rPr>
        <w:t>ا هو مشترك في</w:t>
      </w:r>
      <w:r w:rsidR="00DA5C16" w:rsidRPr="00282AC9">
        <w:rPr>
          <w:rFonts w:ascii="Simplified Arabic" w:hAnsi="Simplified Arabic" w:hint="cs"/>
          <w:sz w:val="27"/>
          <w:rtl/>
          <w:lang w:bidi="ar-LB"/>
        </w:rPr>
        <w:t xml:space="preserve"> </w:t>
      </w:r>
      <w:r w:rsidRPr="00282AC9">
        <w:rPr>
          <w:rFonts w:ascii="Simplified Arabic" w:hAnsi="Simplified Arabic"/>
          <w:sz w:val="27"/>
          <w:rtl/>
          <w:lang w:bidi="ar-LB"/>
        </w:rPr>
        <w:t>ما ذكرناه</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من عدم الالتفات فيه إلى الوجوب والندب، وأنه لا ي</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راد منه سوى الرخصة والإباحة، نحو قول القائل: </w:t>
      </w:r>
      <w:r w:rsidRPr="00282AC9">
        <w:rPr>
          <w:rFonts w:hint="eastAsia"/>
          <w:sz w:val="24"/>
          <w:szCs w:val="24"/>
          <w:rtl/>
          <w:lang w:bidi="ar-LB"/>
        </w:rPr>
        <w:t>«</w:t>
      </w:r>
      <w:r w:rsidRPr="00282AC9">
        <w:rPr>
          <w:rFonts w:ascii="Simplified Arabic" w:hAnsi="Simplified Arabic"/>
          <w:sz w:val="27"/>
          <w:rtl/>
          <w:lang w:bidi="ar-LB"/>
        </w:rPr>
        <w:t>إن</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خف</w:t>
      </w:r>
      <w:r w:rsidR="00DA5C16" w:rsidRPr="00282AC9">
        <w:rPr>
          <w:rFonts w:ascii="Simplified Arabic" w:hAnsi="Simplified Arabic" w:hint="cs"/>
          <w:sz w:val="27"/>
          <w:rtl/>
          <w:lang w:bidi="ar-LB"/>
        </w:rPr>
        <w:t>ْ</w:t>
      </w:r>
      <w:r w:rsidRPr="00282AC9">
        <w:rPr>
          <w:rFonts w:ascii="Simplified Arabic" w:hAnsi="Simplified Arabic"/>
          <w:sz w:val="27"/>
          <w:rtl/>
          <w:lang w:bidi="ar-LB"/>
        </w:rPr>
        <w:t>ت</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من ضرر هذا الطعام فك</w:t>
      </w:r>
      <w:r w:rsidR="00DA5C16" w:rsidRPr="00282AC9">
        <w:rPr>
          <w:rFonts w:ascii="Simplified Arabic" w:hAnsi="Simplified Arabic" w:hint="cs"/>
          <w:sz w:val="27"/>
          <w:rtl/>
          <w:lang w:bidi="ar-LB"/>
        </w:rPr>
        <w:t>ُ</w:t>
      </w:r>
      <w:r w:rsidRPr="00282AC9">
        <w:rPr>
          <w:rFonts w:ascii="Simplified Arabic" w:hAnsi="Simplified Arabic"/>
          <w:sz w:val="27"/>
          <w:rtl/>
          <w:lang w:bidi="ar-LB"/>
        </w:rPr>
        <w:t>ل</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من ذلك</w:t>
      </w:r>
      <w:r w:rsidRPr="00282AC9">
        <w:rPr>
          <w:rFonts w:hint="eastAsia"/>
          <w:sz w:val="24"/>
          <w:szCs w:val="24"/>
          <w:rtl/>
        </w:rPr>
        <w:t>»</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فإن المفهوم أن الطعام المأمور به خال</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00DA5C16" w:rsidRPr="00282AC9">
        <w:rPr>
          <w:rFonts w:ascii="Simplified Arabic" w:hAnsi="Simplified Arabic" w:hint="cs"/>
          <w:sz w:val="27"/>
          <w:rtl/>
          <w:lang w:bidi="ar-LB"/>
        </w:rPr>
        <w:t>م</w:t>
      </w:r>
      <w:r w:rsidRPr="00282AC9">
        <w:rPr>
          <w:rFonts w:ascii="Simplified Arabic" w:hAnsi="Simplified Arabic"/>
          <w:sz w:val="27"/>
          <w:rtl/>
          <w:lang w:bidi="ar-LB"/>
        </w:rPr>
        <w:t>ن الض</w:t>
      </w:r>
      <w:r w:rsidR="00DA5C16" w:rsidRPr="00282AC9">
        <w:rPr>
          <w:rFonts w:ascii="Simplified Arabic" w:hAnsi="Simplified Arabic" w:hint="cs"/>
          <w:sz w:val="27"/>
          <w:rtl/>
          <w:lang w:bidi="ar-LB"/>
        </w:rPr>
        <w:t>َّ</w:t>
      </w:r>
      <w:r w:rsidRPr="00282AC9">
        <w:rPr>
          <w:rFonts w:ascii="Simplified Arabic" w:hAnsi="Simplified Arabic"/>
          <w:sz w:val="27"/>
          <w:rtl/>
          <w:lang w:bidi="ar-LB"/>
        </w:rPr>
        <w:t>ر</w:t>
      </w:r>
      <w:r w:rsidR="00DA5C16" w:rsidRPr="00282AC9">
        <w:rPr>
          <w:rFonts w:ascii="Simplified Arabic" w:hAnsi="Simplified Arabic" w:hint="cs"/>
          <w:sz w:val="27"/>
          <w:rtl/>
          <w:lang w:bidi="ar-LB"/>
        </w:rPr>
        <w:t>َ</w:t>
      </w:r>
      <w:r w:rsidRPr="00282AC9">
        <w:rPr>
          <w:rFonts w:ascii="Simplified Arabic" w:hAnsi="Simplified Arabic"/>
          <w:sz w:val="27"/>
          <w:rtl/>
          <w:lang w:bidi="ar-LB"/>
        </w:rPr>
        <w:t>ر مرخ</w:t>
      </w:r>
      <w:r w:rsidR="00DA5C16" w:rsidRPr="00282AC9">
        <w:rPr>
          <w:rFonts w:ascii="Simplified Arabic" w:hAnsi="Simplified Arabic" w:hint="cs"/>
          <w:sz w:val="27"/>
          <w:rtl/>
          <w:lang w:bidi="ar-LB"/>
        </w:rPr>
        <w:t>َّ</w:t>
      </w:r>
      <w:r w:rsidRPr="00282AC9">
        <w:rPr>
          <w:rFonts w:ascii="Simplified Arabic" w:hAnsi="Simplified Arabic"/>
          <w:sz w:val="27"/>
          <w:rtl/>
          <w:lang w:bidi="ar-LB"/>
        </w:rPr>
        <w:t>ص</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في أكله، وأما أن أكله مطلوب</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ومراد</w:t>
      </w:r>
      <w:r w:rsidR="00DA5C16" w:rsidRPr="00282AC9">
        <w:rPr>
          <w:rFonts w:ascii="Simplified Arabic" w:hAnsi="Simplified Arabic" w:hint="cs"/>
          <w:sz w:val="27"/>
          <w:rtl/>
          <w:lang w:bidi="ar-LB"/>
        </w:rPr>
        <w:t>ٌ</w:t>
      </w:r>
      <w:r w:rsidRPr="00282AC9">
        <w:rPr>
          <w:rFonts w:ascii="Simplified Arabic" w:hAnsi="Simplified Arabic"/>
          <w:sz w:val="27"/>
          <w:rtl/>
          <w:lang w:bidi="ar-LB"/>
        </w:rPr>
        <w:t xml:space="preserve"> فلا ي</w:t>
      </w:r>
      <w:r w:rsidR="00DA5C16" w:rsidRPr="00282AC9">
        <w:rPr>
          <w:rFonts w:ascii="Simplified Arabic" w:hAnsi="Simplified Arabic" w:hint="cs"/>
          <w:sz w:val="27"/>
          <w:rtl/>
          <w:lang w:bidi="ar-LB"/>
        </w:rPr>
        <w:t>ُ</w:t>
      </w:r>
      <w:r w:rsidRPr="00282AC9">
        <w:rPr>
          <w:rFonts w:ascii="Simplified Arabic" w:hAnsi="Simplified Arabic"/>
          <w:sz w:val="27"/>
          <w:rtl/>
          <w:lang w:bidi="ar-LB"/>
        </w:rPr>
        <w:t>ف</w:t>
      </w:r>
      <w:r w:rsidR="00DA5C16" w:rsidRPr="00282AC9">
        <w:rPr>
          <w:rFonts w:ascii="Simplified Arabic" w:hAnsi="Simplified Arabic" w:hint="cs"/>
          <w:sz w:val="27"/>
          <w:rtl/>
          <w:lang w:bidi="ar-LB"/>
        </w:rPr>
        <w:t>ْ</w:t>
      </w:r>
      <w:r w:rsidRPr="00282AC9">
        <w:rPr>
          <w:rFonts w:ascii="Simplified Arabic" w:hAnsi="Simplified Arabic"/>
          <w:sz w:val="27"/>
          <w:rtl/>
          <w:lang w:bidi="ar-LB"/>
        </w:rPr>
        <w:t>ه</w:t>
      </w:r>
      <w:r w:rsidR="00DA5C16" w:rsidRPr="00282AC9">
        <w:rPr>
          <w:rFonts w:ascii="Simplified Arabic" w:hAnsi="Simplified Arabic" w:hint="cs"/>
          <w:sz w:val="27"/>
          <w:rtl/>
          <w:lang w:bidi="ar-LB"/>
        </w:rPr>
        <w:t>َ</w:t>
      </w:r>
      <w:r w:rsidRPr="00282AC9">
        <w:rPr>
          <w:rFonts w:ascii="Simplified Arabic" w:hAnsi="Simplified Arabic"/>
          <w:sz w:val="27"/>
          <w:rtl/>
          <w:lang w:bidi="ar-LB"/>
        </w:rPr>
        <w:t>م منه</w:t>
      </w:r>
      <w:r w:rsidRPr="00282AC9">
        <w:rPr>
          <w:rFonts w:hint="eastAsia"/>
          <w:sz w:val="24"/>
          <w:szCs w:val="24"/>
          <w:rtl/>
        </w:rPr>
        <w:t>»</w:t>
      </w:r>
      <w:r w:rsidRPr="00282AC9">
        <w:rPr>
          <w:rStyle w:val="af9"/>
          <w:rFonts w:ascii="Simplified Arabic" w:hAnsi="Simplified Arabic"/>
          <w:sz w:val="27"/>
          <w:rtl/>
          <w:lang w:bidi="ar-LB"/>
        </w:rPr>
        <w:t>(</w:t>
      </w:r>
      <w:r w:rsidRPr="00282AC9">
        <w:rPr>
          <w:rStyle w:val="af9"/>
          <w:rFonts w:ascii="Simplified Arabic" w:hAnsi="Simplified Arabic"/>
          <w:sz w:val="27"/>
          <w:rtl/>
          <w:lang w:bidi="ar-LB"/>
        </w:rPr>
        <w:endnoteReference w:id="801"/>
      </w:r>
      <w:r w:rsidRPr="00282AC9">
        <w:rPr>
          <w:rStyle w:val="af9"/>
          <w:rFonts w:ascii="Simplified Arabic" w:hAnsi="Simplified Arabic"/>
          <w:sz w:val="27"/>
          <w:rtl/>
          <w:lang w:bidi="ar-LB"/>
        </w:rPr>
        <w:t>)</w:t>
      </w:r>
      <w:r w:rsidRPr="00282AC9">
        <w:rPr>
          <w:rFonts w:ascii="Simplified Arabic" w:hAnsi="Simplified Arabic" w:hint="cs"/>
          <w:sz w:val="27"/>
          <w:rtl/>
          <w:lang w:bidi="ar-LB"/>
        </w:rPr>
        <w:t>.</w:t>
      </w:r>
      <w:r w:rsidRPr="00282AC9">
        <w:rPr>
          <w:rStyle w:val="af9"/>
          <w:rFonts w:ascii="Simplified Arabic" w:hAnsi="Simplified Arabic"/>
          <w:sz w:val="27"/>
          <w:rtl/>
          <w:lang w:bidi="ar-LB"/>
        </w:rPr>
        <w:t xml:space="preserve"> </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ثم</w:t>
      </w:r>
      <w:r w:rsidR="00DA5C16" w:rsidRPr="00282AC9">
        <w:rPr>
          <w:rFonts w:ascii="Simplified Arabic" w:hAnsi="Simplified Arabic" w:hint="cs"/>
          <w:sz w:val="27"/>
          <w:rtl/>
          <w:lang w:bidi="ar-LB"/>
        </w:rPr>
        <w:t>ّ</w:t>
      </w:r>
      <w:r w:rsidRPr="00282AC9">
        <w:rPr>
          <w:rFonts w:ascii="Simplified Arabic" w:hAnsi="Simplified Arabic" w:hint="cs"/>
          <w:sz w:val="27"/>
          <w:rtl/>
          <w:lang w:bidi="ar-LB"/>
        </w:rPr>
        <w:t xml:space="preserve"> يكمل الشيخ الجواهري</w:t>
      </w:r>
      <w:r w:rsidR="00DA5C16" w:rsidRPr="00282AC9">
        <w:rPr>
          <w:rFonts w:ascii="Simplified Arabic" w:hAnsi="Simplified Arabic" w:hint="cs"/>
          <w:sz w:val="27"/>
          <w:rtl/>
          <w:lang w:bidi="ar-LB"/>
        </w:rPr>
        <w:t>؛</w:t>
      </w:r>
      <w:r w:rsidRPr="00282AC9">
        <w:rPr>
          <w:rFonts w:ascii="Simplified Arabic" w:hAnsi="Simplified Arabic" w:hint="cs"/>
          <w:sz w:val="27"/>
          <w:rtl/>
          <w:lang w:bidi="ar-LB"/>
        </w:rPr>
        <w:t xml:space="preserve"> ليشير إلى </w:t>
      </w:r>
      <w:r w:rsidR="00317376" w:rsidRPr="00282AC9">
        <w:rPr>
          <w:rFonts w:ascii="Simplified Arabic" w:hAnsi="Simplified Arabic" w:hint="cs"/>
          <w:sz w:val="27"/>
          <w:rtl/>
          <w:lang w:bidi="ar-LB"/>
        </w:rPr>
        <w:t>أمرٍ آخر</w:t>
      </w:r>
      <w:r w:rsidRPr="00282AC9">
        <w:rPr>
          <w:rFonts w:ascii="Simplified Arabic" w:hAnsi="Simplified Arabic" w:hint="cs"/>
          <w:sz w:val="27"/>
          <w:rtl/>
          <w:lang w:bidi="ar-LB"/>
        </w:rPr>
        <w:t xml:space="preserve"> في ال</w:t>
      </w:r>
      <w:r w:rsidR="00DA5C16" w:rsidRPr="00282AC9">
        <w:rPr>
          <w:rFonts w:ascii="Simplified Arabic" w:hAnsi="Simplified Arabic" w:hint="cs"/>
          <w:sz w:val="27"/>
          <w:rtl/>
          <w:lang w:bidi="ar-LB"/>
        </w:rPr>
        <w:t>آ</w:t>
      </w:r>
      <w:r w:rsidRPr="00282AC9">
        <w:rPr>
          <w:rFonts w:ascii="Simplified Arabic" w:hAnsi="Simplified Arabic" w:hint="cs"/>
          <w:sz w:val="27"/>
          <w:rtl/>
          <w:lang w:bidi="ar-LB"/>
        </w:rPr>
        <w:t xml:space="preserve">ية </w:t>
      </w:r>
      <w:r w:rsidR="00317376" w:rsidRPr="00282AC9">
        <w:rPr>
          <w:rFonts w:ascii="Simplified Arabic" w:hAnsi="Simplified Arabic" w:hint="cs"/>
          <w:sz w:val="27"/>
          <w:rtl/>
          <w:lang w:bidi="ar-LB"/>
        </w:rPr>
        <w:t>ي</w:t>
      </w:r>
      <w:r w:rsidRPr="00282AC9">
        <w:rPr>
          <w:rFonts w:ascii="Simplified Arabic" w:hAnsi="Simplified Arabic" w:hint="cs"/>
          <w:sz w:val="27"/>
          <w:rtl/>
          <w:lang w:bidi="ar-LB"/>
        </w:rPr>
        <w:t>ؤي</w:t>
      </w:r>
      <w:r w:rsidR="00DA5C16" w:rsidRPr="00282AC9">
        <w:rPr>
          <w:rFonts w:ascii="Simplified Arabic" w:hAnsi="Simplified Arabic" w:hint="cs"/>
          <w:sz w:val="27"/>
          <w:rtl/>
          <w:lang w:bidi="ar-LB"/>
        </w:rPr>
        <w:t>ِّ</w:t>
      </w:r>
      <w:r w:rsidRPr="00282AC9">
        <w:rPr>
          <w:rFonts w:ascii="Simplified Arabic" w:hAnsi="Simplified Arabic" w:hint="cs"/>
          <w:sz w:val="27"/>
          <w:rtl/>
          <w:lang w:bidi="ar-LB"/>
        </w:rPr>
        <w:t>د ما ذكره:</w:t>
      </w:r>
      <w:r w:rsidRPr="00282AC9">
        <w:rPr>
          <w:rFonts w:ascii="Simplified Arabic" w:hAnsi="Simplified Arabic"/>
          <w:sz w:val="27"/>
          <w:rtl/>
          <w:lang w:bidi="ar-LB"/>
        </w:rPr>
        <w:t xml:space="preserve"> </w:t>
      </w:r>
      <w:r w:rsidRPr="00282AC9">
        <w:rPr>
          <w:rFonts w:hint="eastAsia"/>
          <w:sz w:val="24"/>
          <w:szCs w:val="24"/>
          <w:rtl/>
          <w:lang w:bidi="ar-LB"/>
        </w:rPr>
        <w:t>«</w:t>
      </w:r>
      <w:r w:rsidRPr="00282AC9">
        <w:rPr>
          <w:rFonts w:ascii="Simplified Arabic" w:hAnsi="Simplified Arabic"/>
          <w:sz w:val="27"/>
          <w:rtl/>
          <w:lang w:bidi="ar-LB"/>
        </w:rPr>
        <w:t>على أن المفهوم من الآية المنع عم</w:t>
      </w:r>
      <w:r w:rsidR="00317376" w:rsidRPr="00282AC9">
        <w:rPr>
          <w:rFonts w:ascii="Simplified Arabic" w:hAnsi="Simplified Arabic" w:hint="cs"/>
          <w:sz w:val="27"/>
          <w:rtl/>
          <w:lang w:bidi="ar-LB"/>
        </w:rPr>
        <w:t>ّ</w:t>
      </w:r>
      <w:r w:rsidRPr="00282AC9">
        <w:rPr>
          <w:rFonts w:ascii="Simplified Arabic" w:hAnsi="Simplified Arabic"/>
          <w:sz w:val="27"/>
          <w:rtl/>
          <w:lang w:bidi="ar-LB"/>
        </w:rPr>
        <w:t>ا زاد على الأربع</w:t>
      </w:r>
      <w:r w:rsidRPr="00282AC9">
        <w:rPr>
          <w:rFonts w:ascii="Simplified Arabic" w:hAnsi="Simplified Arabic" w:hint="cs"/>
          <w:sz w:val="27"/>
          <w:rtl/>
          <w:lang w:bidi="ar-LB"/>
        </w:rPr>
        <w:t>،</w:t>
      </w:r>
      <w:r w:rsidRPr="00282AC9">
        <w:rPr>
          <w:rFonts w:ascii="Simplified Arabic" w:hAnsi="Simplified Arabic"/>
          <w:sz w:val="27"/>
          <w:rtl/>
          <w:lang w:bidi="ar-LB"/>
        </w:rPr>
        <w:t xml:space="preserve"> ومن ثم</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استدل</w:t>
      </w:r>
      <w:r w:rsidR="00317376" w:rsidRPr="00282AC9">
        <w:rPr>
          <w:rFonts w:ascii="Simplified Arabic" w:hAnsi="Simplified Arabic" w:hint="cs"/>
          <w:sz w:val="27"/>
          <w:rtl/>
          <w:lang w:bidi="ar-LB"/>
        </w:rPr>
        <w:t>ّ</w:t>
      </w:r>
      <w:r w:rsidRPr="00282AC9">
        <w:rPr>
          <w:rFonts w:ascii="Simplified Arabic" w:hAnsi="Simplified Arabic"/>
          <w:sz w:val="27"/>
          <w:rtl/>
          <w:lang w:bidi="ar-LB"/>
        </w:rPr>
        <w:t>وا بها على ح</w:t>
      </w:r>
      <w:r w:rsidR="00317376" w:rsidRPr="00282AC9">
        <w:rPr>
          <w:rFonts w:ascii="Simplified Arabic" w:hAnsi="Simplified Arabic" w:hint="cs"/>
          <w:sz w:val="27"/>
          <w:rtl/>
          <w:lang w:bidi="ar-LB"/>
        </w:rPr>
        <w:t>َ</w:t>
      </w:r>
      <w:r w:rsidRPr="00282AC9">
        <w:rPr>
          <w:rFonts w:ascii="Simplified Arabic" w:hAnsi="Simplified Arabic"/>
          <w:sz w:val="27"/>
          <w:rtl/>
          <w:lang w:bidi="ar-LB"/>
        </w:rPr>
        <w:t>ص</w:t>
      </w:r>
      <w:r w:rsidR="00317376" w:rsidRPr="00282AC9">
        <w:rPr>
          <w:rFonts w:ascii="Simplified Arabic" w:hAnsi="Simplified Arabic" w:hint="cs"/>
          <w:sz w:val="27"/>
          <w:rtl/>
          <w:lang w:bidi="ar-LB"/>
        </w:rPr>
        <w:t>ْ</w:t>
      </w:r>
      <w:r w:rsidRPr="00282AC9">
        <w:rPr>
          <w:rFonts w:ascii="Simplified Arabic" w:hAnsi="Simplified Arabic"/>
          <w:sz w:val="27"/>
          <w:rtl/>
          <w:lang w:bidi="ar-LB"/>
        </w:rPr>
        <w:t>ر الجواز في ذلك، بل أمر النبي</w:t>
      </w:r>
      <w:r w:rsidR="00317376" w:rsidRPr="00282AC9">
        <w:rPr>
          <w:rFonts w:ascii="Simplified Arabic" w:hAnsi="Simplified Arabic" w:hint="cs"/>
          <w:sz w:val="27"/>
          <w:rtl/>
          <w:lang w:bidi="ar-LB"/>
        </w:rPr>
        <w:t>ّ</w:t>
      </w:r>
      <w:r w:rsidR="009A2A04" w:rsidRPr="00282AC9">
        <w:rPr>
          <w:rFonts w:ascii="Simplified Arabic" w:hAnsi="Simplified Arabic" w:cs="Mosawi"/>
          <w:sz w:val="22"/>
          <w:szCs w:val="22"/>
          <w:rtl/>
          <w:lang w:bidi="ar-LB"/>
        </w:rPr>
        <w:t>|</w:t>
      </w:r>
      <w:r w:rsidRPr="00282AC9">
        <w:rPr>
          <w:rFonts w:ascii="Simplified Arabic" w:hAnsi="Simplified Arabic"/>
          <w:sz w:val="27"/>
          <w:rtl/>
          <w:lang w:bidi="ar-LB"/>
        </w:rPr>
        <w:t xml:space="preserve"> عند نزولها م</w:t>
      </w:r>
      <w:r w:rsidR="00317376" w:rsidRPr="00282AC9">
        <w:rPr>
          <w:rFonts w:ascii="Simplified Arabic" w:hAnsi="Simplified Arabic" w:hint="cs"/>
          <w:sz w:val="27"/>
          <w:rtl/>
          <w:lang w:bidi="ar-LB"/>
        </w:rPr>
        <w:t>َ</w:t>
      </w:r>
      <w:r w:rsidRPr="00282AC9">
        <w:rPr>
          <w:rFonts w:ascii="Simplified Arabic" w:hAnsi="Simplified Arabic"/>
          <w:sz w:val="27"/>
          <w:rtl/>
          <w:lang w:bidi="ar-LB"/>
        </w:rPr>
        <w:t>ن</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كان عنده أزيد من أربع بإمساك الأربع وتسريح البواقي</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وذلك إنما يصح لو كان الأمر للإباحة</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فإن مفهوم العدد حينئذ</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يقتضي تحريم الزيادة</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بخلاف ما لو كان الأمر للندب</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فإنه يقتضي حينئذ</w:t>
      </w:r>
      <w:r w:rsidRPr="00282AC9">
        <w:rPr>
          <w:rFonts w:ascii="Simplified Arabic" w:hAnsi="Simplified Arabic" w:hint="cs"/>
          <w:sz w:val="27"/>
          <w:rtl/>
          <w:lang w:bidi="ar-LB"/>
        </w:rPr>
        <w:t>ٍ</w:t>
      </w:r>
      <w:r w:rsidRPr="00282AC9">
        <w:rPr>
          <w:rFonts w:ascii="Simplified Arabic" w:hAnsi="Simplified Arabic"/>
          <w:sz w:val="27"/>
          <w:rtl/>
          <w:lang w:bidi="ar-LB"/>
        </w:rPr>
        <w:t xml:space="preserve"> عدم استحبابها، وهو أعم</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من تحريمها</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والأمر سهل</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بعد تعد</w:t>
      </w:r>
      <w:r w:rsidR="00317376" w:rsidRPr="00282AC9">
        <w:rPr>
          <w:rFonts w:ascii="Simplified Arabic" w:hAnsi="Simplified Arabic" w:hint="cs"/>
          <w:sz w:val="27"/>
          <w:rtl/>
          <w:lang w:bidi="ar-LB"/>
        </w:rPr>
        <w:t>ُّ</w:t>
      </w:r>
      <w:r w:rsidRPr="00282AC9">
        <w:rPr>
          <w:rFonts w:ascii="Simplified Arabic" w:hAnsi="Simplified Arabic"/>
          <w:sz w:val="27"/>
          <w:rtl/>
          <w:lang w:bidi="ar-LB"/>
        </w:rPr>
        <w:t>د الأدل</w:t>
      </w:r>
      <w:r w:rsidR="00317376" w:rsidRPr="00282AC9">
        <w:rPr>
          <w:rFonts w:ascii="Simplified Arabic" w:hAnsi="Simplified Arabic" w:hint="cs"/>
          <w:sz w:val="27"/>
          <w:rtl/>
          <w:lang w:bidi="ar-LB"/>
        </w:rPr>
        <w:t>ّ</w:t>
      </w:r>
      <w:r w:rsidRPr="00282AC9">
        <w:rPr>
          <w:rFonts w:ascii="Simplified Arabic" w:hAnsi="Simplified Arabic"/>
          <w:sz w:val="27"/>
          <w:rtl/>
          <w:lang w:bidi="ar-LB"/>
        </w:rPr>
        <w:t>ة على المطلوب</w:t>
      </w:r>
      <w:r w:rsidRPr="00282AC9">
        <w:rPr>
          <w:rFonts w:hint="eastAsia"/>
          <w:sz w:val="24"/>
          <w:szCs w:val="24"/>
          <w:rtl/>
        </w:rPr>
        <w:t>»</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802"/>
      </w:r>
      <w:r w:rsidRPr="00282AC9">
        <w:rPr>
          <w:rFonts w:ascii="Simplified Arabic" w:hAnsi="Simplified Arabic"/>
          <w:sz w:val="27"/>
          <w:vertAlign w:val="superscript"/>
          <w:rtl/>
          <w:lang w:bidi="ar-LB"/>
        </w:rPr>
        <w:t>)</w:t>
      </w:r>
      <w:r w:rsidRPr="00282AC9">
        <w:rPr>
          <w:rFonts w:ascii="Simplified Arabic" w:hAnsi="Simplified Arabic" w:hint="cs"/>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وهذا البيان</w:t>
      </w:r>
      <w:r w:rsidR="0031737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رغم تعقيده</w:t>
      </w:r>
      <w:r w:rsidR="00317376" w:rsidRPr="00282AC9">
        <w:rPr>
          <w:rFonts w:ascii="Simplified Arabic" w:hAnsi="Simplified Arabic" w:hint="cs"/>
          <w:sz w:val="27"/>
          <w:rtl/>
          <w:lang w:bidi="ar-LB"/>
        </w:rPr>
        <w:t>،</w:t>
      </w:r>
      <w:r w:rsidRPr="00282AC9">
        <w:rPr>
          <w:rFonts w:ascii="Simplified Arabic" w:hAnsi="Simplified Arabic" w:hint="cs"/>
          <w:sz w:val="27"/>
          <w:rtl/>
          <w:lang w:bidi="ar-LB"/>
        </w:rPr>
        <w:t xml:space="preserve"> كافٍ للقول بأن الآية لا تفيد سوى إباحة التعد</w:t>
      </w:r>
      <w:r w:rsidR="00317376" w:rsidRPr="00282AC9">
        <w:rPr>
          <w:rFonts w:ascii="Simplified Arabic" w:hAnsi="Simplified Arabic" w:hint="cs"/>
          <w:sz w:val="27"/>
          <w:rtl/>
          <w:lang w:bidi="ar-LB"/>
        </w:rPr>
        <w:t>ُّ</w:t>
      </w:r>
      <w:r w:rsidRPr="00282AC9">
        <w:rPr>
          <w:rFonts w:ascii="Simplified Arabic" w:hAnsi="Simplified Arabic" w:hint="cs"/>
          <w:sz w:val="27"/>
          <w:rtl/>
          <w:lang w:bidi="ar-LB"/>
        </w:rPr>
        <w:t>د</w:t>
      </w:r>
      <w:r w:rsidR="00317376"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وهي تشير إلى العدد المسموح به من الزوجات.</w:t>
      </w:r>
    </w:p>
    <w:p w:rsidR="00B4645B" w:rsidRPr="00282AC9" w:rsidRDefault="00B4645B" w:rsidP="00DA4BC5">
      <w:pPr>
        <w:spacing w:line="430" w:lineRule="exact"/>
        <w:rPr>
          <w:rFonts w:ascii="Simplified Arabic" w:hAnsi="Simplified Arabic"/>
          <w:sz w:val="27"/>
          <w:rtl/>
          <w:lang w:bidi="ar-LB"/>
        </w:rPr>
      </w:pPr>
    </w:p>
    <w:p w:rsidR="00B4645B" w:rsidRPr="00282AC9" w:rsidRDefault="00B4645B" w:rsidP="007841B6">
      <w:pPr>
        <w:pStyle w:val="31"/>
        <w:rPr>
          <w:color w:val="auto"/>
          <w:rtl/>
          <w:lang w:bidi="ar-LB"/>
        </w:rPr>
      </w:pPr>
      <w:bookmarkStart w:id="92" w:name="_Toc49871956"/>
      <w:r w:rsidRPr="00282AC9">
        <w:rPr>
          <w:color w:val="auto"/>
          <w:rtl/>
          <w:lang w:bidi="ar-LB"/>
        </w:rPr>
        <w:t>ثالثاً: الروايات</w:t>
      </w:r>
      <w:bookmarkEnd w:id="92"/>
      <w:r w:rsidR="007841B6" w:rsidRPr="00282AC9">
        <w:rPr>
          <w:rFonts w:hint="cs"/>
          <w:color w:val="auto"/>
          <w:rtl/>
          <w:lang w:bidi="ar-LB"/>
        </w:rPr>
        <w:t xml:space="preserve"> ودلالتها، بين القبول والرفض</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يمكن الاستفادة من روايات</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عديدة في المقام</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وسنعمد إلى تصنيفها</w:t>
      </w:r>
      <w:r w:rsidR="00317376" w:rsidRPr="00282AC9">
        <w:rPr>
          <w:rFonts w:ascii="Simplified Arabic" w:hAnsi="Simplified Arabic" w:hint="cs"/>
          <w:sz w:val="27"/>
          <w:rtl/>
          <w:lang w:bidi="ar-LB"/>
        </w:rPr>
        <w:t>؛</w:t>
      </w:r>
      <w:r w:rsidRPr="00282AC9">
        <w:rPr>
          <w:rFonts w:ascii="Simplified Arabic" w:hAnsi="Simplified Arabic"/>
          <w:sz w:val="27"/>
          <w:rtl/>
          <w:lang w:bidi="ar-LB"/>
        </w:rPr>
        <w:t xml:space="preserve"> من أجل تسهيل عملية التحقيق فيها</w:t>
      </w:r>
      <w:r w:rsidRPr="00282AC9">
        <w:rPr>
          <w:rFonts w:ascii="Simplified Arabic" w:hAnsi="Simplified Arabic" w:hint="cs"/>
          <w:sz w:val="27"/>
          <w:rtl/>
          <w:lang w:bidi="ar-LB"/>
        </w:rPr>
        <w:t>.</w:t>
      </w:r>
    </w:p>
    <w:p w:rsidR="00C73F02" w:rsidRPr="00282AC9" w:rsidRDefault="00C73F02" w:rsidP="00DA4BC5">
      <w:pPr>
        <w:spacing w:line="420" w:lineRule="exact"/>
        <w:rPr>
          <w:rFonts w:ascii="Simplified Arabic" w:hAnsi="Simplified Arabic"/>
          <w:sz w:val="27"/>
          <w:rtl/>
          <w:lang w:bidi="ar-LB"/>
        </w:rPr>
      </w:pPr>
    </w:p>
    <w:p w:rsidR="00B4645B" w:rsidRPr="00282AC9" w:rsidRDefault="00317376" w:rsidP="00C73F02">
      <w:pPr>
        <w:pStyle w:val="31"/>
        <w:rPr>
          <w:color w:val="auto"/>
          <w:rtl/>
        </w:rPr>
      </w:pPr>
      <w:bookmarkStart w:id="93" w:name="_Toc49871960"/>
      <w:r w:rsidRPr="00282AC9">
        <w:rPr>
          <w:rFonts w:hint="cs"/>
          <w:color w:val="auto"/>
          <w:rtl/>
        </w:rPr>
        <w:t xml:space="preserve">1ـ </w:t>
      </w:r>
      <w:r w:rsidR="00B4645B" w:rsidRPr="00282AC9">
        <w:rPr>
          <w:color w:val="auto"/>
          <w:rtl/>
        </w:rPr>
        <w:t xml:space="preserve">روايات </w:t>
      </w:r>
      <w:r w:rsidR="00F6024C" w:rsidRPr="00282AC9">
        <w:rPr>
          <w:rFonts w:hint="cs"/>
          <w:color w:val="auto"/>
          <w:rtl/>
        </w:rPr>
        <w:t xml:space="preserve">الحثّ على </w:t>
      </w:r>
      <w:r w:rsidR="00B4645B" w:rsidRPr="00282AC9">
        <w:rPr>
          <w:color w:val="auto"/>
          <w:rtl/>
        </w:rPr>
        <w:t>حب</w:t>
      </w:r>
      <w:r w:rsidRPr="00282AC9">
        <w:rPr>
          <w:rFonts w:hint="cs"/>
          <w:color w:val="auto"/>
          <w:rtl/>
        </w:rPr>
        <w:t>ّ</w:t>
      </w:r>
      <w:r w:rsidR="00B4645B" w:rsidRPr="00282AC9">
        <w:rPr>
          <w:color w:val="auto"/>
          <w:rtl/>
        </w:rPr>
        <w:t xml:space="preserve"> النساء</w:t>
      </w:r>
      <w:bookmarkEnd w:id="93"/>
    </w:p>
    <w:p w:rsidR="00B4645B" w:rsidRPr="00282AC9" w:rsidRDefault="00F6024C" w:rsidP="0091196D">
      <w:pPr>
        <w:rPr>
          <w:lang w:bidi="ar-LB"/>
        </w:rPr>
      </w:pPr>
      <w:r w:rsidRPr="00282AC9">
        <w:rPr>
          <w:rFonts w:hint="cs"/>
          <w:rtl/>
          <w:lang w:bidi="ar-LB"/>
        </w:rPr>
        <w:t>وهي عديدةٌ</w:t>
      </w:r>
      <w:r w:rsidR="006F2573" w:rsidRPr="00282AC9">
        <w:rPr>
          <w:rFonts w:hint="cs"/>
          <w:rtl/>
          <w:lang w:bidi="ar-LB"/>
        </w:rPr>
        <w:t>،</w:t>
      </w:r>
      <w:r w:rsidR="00B4645B" w:rsidRPr="00282AC9">
        <w:rPr>
          <w:rtl/>
          <w:lang w:bidi="ar-LB"/>
        </w:rPr>
        <w:t xml:space="preserve"> </w:t>
      </w:r>
      <w:r w:rsidR="006F2573" w:rsidRPr="00282AC9">
        <w:rPr>
          <w:rFonts w:hint="cs"/>
          <w:rtl/>
          <w:lang w:bidi="ar-LB"/>
        </w:rPr>
        <w:t>ومنها</w:t>
      </w:r>
      <w:r w:rsidR="00B4645B" w:rsidRPr="00282AC9">
        <w:rPr>
          <w:rtl/>
          <w:lang w:bidi="ar-LB"/>
        </w:rPr>
        <w:t>:</w:t>
      </w:r>
    </w:p>
    <w:p w:rsidR="00B4645B" w:rsidRPr="00282AC9" w:rsidRDefault="00B4645B" w:rsidP="0091196D">
      <w:pPr>
        <w:rPr>
          <w:rtl/>
          <w:lang w:bidi="ar-LB"/>
        </w:rPr>
      </w:pPr>
      <w:r w:rsidRPr="00282AC9">
        <w:rPr>
          <w:rFonts w:hint="cs"/>
          <w:rtl/>
          <w:lang w:bidi="ar-LB"/>
        </w:rPr>
        <w:t>1ـ خبر</w:t>
      </w:r>
      <w:r w:rsidRPr="00282AC9">
        <w:rPr>
          <w:rtl/>
          <w:lang w:bidi="ar-LB"/>
        </w:rPr>
        <w:t xml:space="preserve"> إسحاق بن عم</w:t>
      </w:r>
      <w:r w:rsidR="006F2573" w:rsidRPr="00282AC9">
        <w:rPr>
          <w:rFonts w:hint="cs"/>
          <w:rtl/>
          <w:lang w:bidi="ar-LB"/>
        </w:rPr>
        <w:t>ّ</w:t>
      </w:r>
      <w:r w:rsidRPr="00282AC9">
        <w:rPr>
          <w:rtl/>
          <w:lang w:bidi="ar-LB"/>
        </w:rPr>
        <w:t>ار قال: قال أبو عبد الله</w:t>
      </w:r>
      <w:r w:rsidR="009A2A04" w:rsidRPr="00282AC9">
        <w:rPr>
          <w:rFonts w:cs="Mosawi"/>
          <w:sz w:val="22"/>
          <w:szCs w:val="22"/>
          <w:rtl/>
          <w:lang w:bidi="ar-LB"/>
        </w:rPr>
        <w:t>×</w:t>
      </w:r>
      <w:r w:rsidRPr="00282AC9">
        <w:rPr>
          <w:rtl/>
          <w:lang w:bidi="ar-LB"/>
        </w:rPr>
        <w:t xml:space="preserve">: </w:t>
      </w:r>
      <w:r w:rsidR="006F2573" w:rsidRPr="00282AC9">
        <w:rPr>
          <w:rFonts w:hint="eastAsia"/>
          <w:sz w:val="24"/>
          <w:szCs w:val="24"/>
          <w:rtl/>
        </w:rPr>
        <w:t>«</w:t>
      </w:r>
      <w:r w:rsidRPr="00282AC9">
        <w:rPr>
          <w:rtl/>
          <w:lang w:bidi="ar-LB"/>
        </w:rPr>
        <w:t>من أخلاق الأنبياء صل</w:t>
      </w:r>
      <w:r w:rsidRPr="00282AC9">
        <w:rPr>
          <w:rFonts w:hint="cs"/>
          <w:rtl/>
          <w:lang w:bidi="ar-LB"/>
        </w:rPr>
        <w:t>ّ</w:t>
      </w:r>
      <w:r w:rsidRPr="00282AC9">
        <w:rPr>
          <w:rtl/>
          <w:lang w:bidi="ar-LB"/>
        </w:rPr>
        <w:t>ى الله عليهم حب</w:t>
      </w:r>
      <w:r w:rsidR="006F2573" w:rsidRPr="00282AC9">
        <w:rPr>
          <w:rFonts w:hint="cs"/>
          <w:rtl/>
          <w:lang w:bidi="ar-LB"/>
        </w:rPr>
        <w:t>ّ</w:t>
      </w:r>
      <w:r w:rsidRPr="00282AC9">
        <w:rPr>
          <w:rtl/>
          <w:lang w:bidi="ar-LB"/>
        </w:rPr>
        <w:t xml:space="preserve"> النساء</w:t>
      </w:r>
      <w:r w:rsidR="006F2573" w:rsidRPr="00282AC9">
        <w:rPr>
          <w:rFonts w:hint="eastAsia"/>
          <w:sz w:val="24"/>
          <w:szCs w:val="24"/>
          <w:rtl/>
        </w:rPr>
        <w:t>»</w:t>
      </w:r>
      <w:r w:rsidR="006F2573" w:rsidRPr="00282AC9">
        <w:rPr>
          <w:vertAlign w:val="superscript"/>
          <w:rtl/>
          <w:lang w:bidi="ar-LB"/>
        </w:rPr>
        <w:t>(</w:t>
      </w:r>
      <w:r w:rsidR="006F2573" w:rsidRPr="00282AC9">
        <w:rPr>
          <w:vertAlign w:val="superscript"/>
          <w:rtl/>
          <w:lang w:bidi="ar-LB"/>
        </w:rPr>
        <w:endnoteReference w:id="803"/>
      </w:r>
      <w:r w:rsidR="006F2573" w:rsidRPr="00282AC9">
        <w:rPr>
          <w:vertAlign w:val="superscript"/>
          <w:rtl/>
          <w:lang w:bidi="ar-LB"/>
        </w:rPr>
        <w:t>)</w:t>
      </w:r>
      <w:r w:rsidRPr="00282AC9">
        <w:rPr>
          <w:rtl/>
          <w:lang w:bidi="ar-LB"/>
        </w:rPr>
        <w:t>.</w:t>
      </w:r>
      <w:r w:rsidRPr="00282AC9">
        <w:rPr>
          <w:vertAlign w:val="superscript"/>
          <w:rtl/>
          <w:lang w:bidi="ar-LB"/>
        </w:rPr>
        <w:t xml:space="preserve"> </w:t>
      </w:r>
    </w:p>
    <w:p w:rsidR="00B4645B" w:rsidRPr="00282AC9" w:rsidRDefault="00B4645B" w:rsidP="0091196D">
      <w:pPr>
        <w:rPr>
          <w:rtl/>
          <w:lang w:bidi="ar-LB"/>
        </w:rPr>
      </w:pPr>
      <w:r w:rsidRPr="00282AC9">
        <w:rPr>
          <w:rFonts w:hint="cs"/>
          <w:rtl/>
          <w:lang w:bidi="ar-LB"/>
        </w:rPr>
        <w:t>2ـ خبر</w:t>
      </w:r>
      <w:r w:rsidRPr="00282AC9">
        <w:rPr>
          <w:rtl/>
          <w:lang w:bidi="ar-LB"/>
        </w:rPr>
        <w:t xml:space="preserve"> عمر بن يزيد، عن أبي عبد الله</w:t>
      </w:r>
      <w:r w:rsidR="009A2A04" w:rsidRPr="00282AC9">
        <w:rPr>
          <w:rFonts w:cs="Mosawi"/>
          <w:sz w:val="22"/>
          <w:szCs w:val="22"/>
          <w:rtl/>
          <w:lang w:bidi="ar-LB"/>
        </w:rPr>
        <w:t>×</w:t>
      </w:r>
      <w:r w:rsidRPr="00282AC9">
        <w:rPr>
          <w:rtl/>
          <w:lang w:bidi="ar-LB"/>
        </w:rPr>
        <w:t xml:space="preserve"> قال: </w:t>
      </w:r>
      <w:r w:rsidR="006F2573" w:rsidRPr="00282AC9">
        <w:rPr>
          <w:rFonts w:hint="eastAsia"/>
          <w:sz w:val="24"/>
          <w:szCs w:val="24"/>
          <w:rtl/>
        </w:rPr>
        <w:t>«</w:t>
      </w:r>
      <w:r w:rsidRPr="00282AC9">
        <w:rPr>
          <w:rtl/>
          <w:lang w:bidi="ar-LB"/>
        </w:rPr>
        <w:t>ما أظن</w:t>
      </w:r>
      <w:r w:rsidR="006F2573" w:rsidRPr="00282AC9">
        <w:rPr>
          <w:rFonts w:hint="cs"/>
          <w:rtl/>
          <w:lang w:bidi="ar-LB"/>
        </w:rPr>
        <w:t>ّ</w:t>
      </w:r>
      <w:r w:rsidRPr="00282AC9">
        <w:rPr>
          <w:rtl/>
          <w:lang w:bidi="ar-LB"/>
        </w:rPr>
        <w:t xml:space="preserve"> رجلا</w:t>
      </w:r>
      <w:r w:rsidR="006F2573" w:rsidRPr="00282AC9">
        <w:rPr>
          <w:rFonts w:hint="cs"/>
          <w:rtl/>
          <w:lang w:bidi="ar-LB"/>
        </w:rPr>
        <w:t>ً</w:t>
      </w:r>
      <w:r w:rsidRPr="00282AC9">
        <w:rPr>
          <w:rtl/>
          <w:lang w:bidi="ar-LB"/>
        </w:rPr>
        <w:t xml:space="preserve"> يزداد في ال</w:t>
      </w:r>
      <w:r w:rsidR="006F2573" w:rsidRPr="00282AC9">
        <w:rPr>
          <w:rFonts w:hint="cs"/>
          <w:rtl/>
          <w:lang w:bidi="ar-LB"/>
        </w:rPr>
        <w:t>إ</w:t>
      </w:r>
      <w:r w:rsidRPr="00282AC9">
        <w:rPr>
          <w:rtl/>
          <w:lang w:bidi="ar-LB"/>
        </w:rPr>
        <w:t xml:space="preserve">يمان </w:t>
      </w:r>
      <w:r w:rsidRPr="00282AC9">
        <w:rPr>
          <w:rtl/>
          <w:lang w:bidi="ar-LB"/>
        </w:rPr>
        <w:lastRenderedPageBreak/>
        <w:t>خيرا</w:t>
      </w:r>
      <w:r w:rsidR="006F2573" w:rsidRPr="00282AC9">
        <w:rPr>
          <w:rFonts w:hint="cs"/>
          <w:rtl/>
          <w:lang w:bidi="ar-LB"/>
        </w:rPr>
        <w:t>ً</w:t>
      </w:r>
      <w:r w:rsidRPr="00282AC9">
        <w:rPr>
          <w:rtl/>
          <w:lang w:bidi="ar-LB"/>
        </w:rPr>
        <w:t xml:space="preserve"> إلا</w:t>
      </w:r>
      <w:r w:rsidR="006F2573" w:rsidRPr="00282AC9">
        <w:rPr>
          <w:rFonts w:hint="cs"/>
          <w:rtl/>
          <w:lang w:bidi="ar-LB"/>
        </w:rPr>
        <w:t>ّ</w:t>
      </w:r>
      <w:r w:rsidRPr="00282AC9">
        <w:rPr>
          <w:rtl/>
          <w:lang w:bidi="ar-LB"/>
        </w:rPr>
        <w:t xml:space="preserve"> ازداد حب</w:t>
      </w:r>
      <w:r w:rsidR="006F2573" w:rsidRPr="00282AC9">
        <w:rPr>
          <w:rFonts w:hint="cs"/>
          <w:rtl/>
          <w:lang w:bidi="ar-LB"/>
        </w:rPr>
        <w:t>ّ</w:t>
      </w:r>
      <w:r w:rsidRPr="00282AC9">
        <w:rPr>
          <w:rtl/>
          <w:lang w:bidi="ar-LB"/>
        </w:rPr>
        <w:t>ا</w:t>
      </w:r>
      <w:r w:rsidR="006F2573" w:rsidRPr="00282AC9">
        <w:rPr>
          <w:rFonts w:hint="cs"/>
          <w:rtl/>
          <w:lang w:bidi="ar-LB"/>
        </w:rPr>
        <w:t>ً</w:t>
      </w:r>
      <w:r w:rsidRPr="00282AC9">
        <w:rPr>
          <w:rtl/>
          <w:lang w:bidi="ar-LB"/>
        </w:rPr>
        <w:t xml:space="preserve"> للنساء</w:t>
      </w:r>
      <w:r w:rsidR="006F2573" w:rsidRPr="00282AC9">
        <w:rPr>
          <w:rFonts w:hint="eastAsia"/>
          <w:sz w:val="24"/>
          <w:szCs w:val="24"/>
          <w:rtl/>
        </w:rPr>
        <w:t>»</w:t>
      </w:r>
      <w:r w:rsidR="006F2573" w:rsidRPr="00282AC9">
        <w:rPr>
          <w:vertAlign w:val="superscript"/>
          <w:rtl/>
          <w:lang w:bidi="ar-LB"/>
        </w:rPr>
        <w:t>(</w:t>
      </w:r>
      <w:r w:rsidR="006F2573" w:rsidRPr="00282AC9">
        <w:rPr>
          <w:vertAlign w:val="superscript"/>
          <w:rtl/>
          <w:lang w:bidi="ar-LB"/>
        </w:rPr>
        <w:endnoteReference w:id="804"/>
      </w:r>
      <w:r w:rsidR="006F2573" w:rsidRPr="00282AC9">
        <w:rPr>
          <w:vertAlign w:val="superscript"/>
          <w:rtl/>
          <w:lang w:bidi="ar-LB"/>
        </w:rPr>
        <w:t>)</w:t>
      </w:r>
      <w:r w:rsidRPr="00282AC9">
        <w:rPr>
          <w:rtl/>
          <w:lang w:bidi="ar-LB"/>
        </w:rPr>
        <w:t>.</w:t>
      </w:r>
      <w:r w:rsidRPr="00282AC9">
        <w:rPr>
          <w:vertAlign w:val="superscript"/>
          <w:rtl/>
          <w:lang w:bidi="ar-LB"/>
        </w:rPr>
        <w:t xml:space="preserve"> </w:t>
      </w:r>
    </w:p>
    <w:p w:rsidR="00B4645B" w:rsidRPr="00282AC9" w:rsidRDefault="00B4645B" w:rsidP="0091196D">
      <w:pPr>
        <w:rPr>
          <w:lang w:bidi="ar-LB"/>
        </w:rPr>
      </w:pPr>
      <w:r w:rsidRPr="00282AC9">
        <w:rPr>
          <w:rFonts w:hint="cs"/>
          <w:rtl/>
          <w:lang w:bidi="ar-LB"/>
        </w:rPr>
        <w:t>3ـ خبر</w:t>
      </w:r>
      <w:r w:rsidRPr="00282AC9">
        <w:rPr>
          <w:rtl/>
          <w:lang w:bidi="ar-LB"/>
        </w:rPr>
        <w:t xml:space="preserve"> سكين النخعي</w:t>
      </w:r>
      <w:r w:rsidR="006F2573" w:rsidRPr="00282AC9">
        <w:rPr>
          <w:rFonts w:hint="cs"/>
          <w:rtl/>
          <w:lang w:bidi="ar-LB"/>
        </w:rPr>
        <w:t>،</w:t>
      </w:r>
      <w:r w:rsidRPr="00282AC9">
        <w:rPr>
          <w:rtl/>
          <w:lang w:bidi="ar-LB"/>
        </w:rPr>
        <w:t xml:space="preserve"> وكان تعب</w:t>
      </w:r>
      <w:r w:rsidR="006F2573" w:rsidRPr="00282AC9">
        <w:rPr>
          <w:rFonts w:hint="cs"/>
          <w:rtl/>
          <w:lang w:bidi="ar-LB"/>
        </w:rPr>
        <w:t>َّ</w:t>
      </w:r>
      <w:r w:rsidRPr="00282AC9">
        <w:rPr>
          <w:rtl/>
          <w:lang w:bidi="ar-LB"/>
        </w:rPr>
        <w:t>د وترك النساء والطيب والطعام</w:t>
      </w:r>
      <w:r w:rsidR="006F2573" w:rsidRPr="00282AC9">
        <w:rPr>
          <w:rFonts w:hint="cs"/>
          <w:rtl/>
          <w:lang w:bidi="ar-LB"/>
        </w:rPr>
        <w:t>،</w:t>
      </w:r>
      <w:r w:rsidRPr="00282AC9">
        <w:rPr>
          <w:rtl/>
          <w:lang w:bidi="ar-LB"/>
        </w:rPr>
        <w:t xml:space="preserve"> فكتب إلى أبي عبد الله</w:t>
      </w:r>
      <w:r w:rsidR="009A2A04" w:rsidRPr="00282AC9">
        <w:rPr>
          <w:rFonts w:cs="Mosawi"/>
          <w:sz w:val="22"/>
          <w:szCs w:val="22"/>
          <w:rtl/>
          <w:lang w:bidi="ar-LB"/>
        </w:rPr>
        <w:t>×</w:t>
      </w:r>
      <w:r w:rsidRPr="00282AC9">
        <w:rPr>
          <w:rtl/>
          <w:lang w:bidi="ar-LB"/>
        </w:rPr>
        <w:t xml:space="preserve"> يسأله عن ذلك</w:t>
      </w:r>
      <w:r w:rsidR="006F2573" w:rsidRPr="00282AC9">
        <w:rPr>
          <w:rFonts w:hint="cs"/>
          <w:rtl/>
          <w:lang w:bidi="ar-LB"/>
        </w:rPr>
        <w:t>؟</w:t>
      </w:r>
      <w:r w:rsidRPr="00282AC9">
        <w:rPr>
          <w:rtl/>
          <w:lang w:bidi="ar-LB"/>
        </w:rPr>
        <w:t xml:space="preserve"> فكتب إليه: </w:t>
      </w:r>
      <w:r w:rsidR="006F2573" w:rsidRPr="00282AC9">
        <w:rPr>
          <w:rFonts w:hint="eastAsia"/>
          <w:sz w:val="24"/>
          <w:szCs w:val="24"/>
          <w:rtl/>
        </w:rPr>
        <w:t>«</w:t>
      </w:r>
      <w:r w:rsidRPr="00282AC9">
        <w:rPr>
          <w:rtl/>
          <w:lang w:bidi="ar-LB"/>
        </w:rPr>
        <w:t>أما قولك في النساء فقد علم</w:t>
      </w:r>
      <w:r w:rsidR="006F2573" w:rsidRPr="00282AC9">
        <w:rPr>
          <w:rFonts w:hint="cs"/>
          <w:rtl/>
          <w:lang w:bidi="ar-LB"/>
        </w:rPr>
        <w:t>ْ</w:t>
      </w:r>
      <w:r w:rsidRPr="00282AC9">
        <w:rPr>
          <w:rtl/>
          <w:lang w:bidi="ar-LB"/>
        </w:rPr>
        <w:t>ت</w:t>
      </w:r>
      <w:r w:rsidR="006F2573" w:rsidRPr="00282AC9">
        <w:rPr>
          <w:rFonts w:hint="cs"/>
          <w:rtl/>
          <w:lang w:bidi="ar-LB"/>
        </w:rPr>
        <w:t>َ</w:t>
      </w:r>
      <w:r w:rsidRPr="00282AC9">
        <w:rPr>
          <w:rtl/>
          <w:lang w:bidi="ar-LB"/>
        </w:rPr>
        <w:t xml:space="preserve"> ما كان لرسول الله</w:t>
      </w:r>
      <w:r w:rsidR="009A2A04" w:rsidRPr="00282AC9">
        <w:rPr>
          <w:rFonts w:cs="Mosawi"/>
          <w:sz w:val="22"/>
          <w:szCs w:val="22"/>
          <w:rtl/>
          <w:lang w:bidi="ar-LB"/>
        </w:rPr>
        <w:t>|</w:t>
      </w:r>
      <w:r w:rsidRPr="00282AC9">
        <w:rPr>
          <w:rtl/>
          <w:lang w:bidi="ar-LB"/>
        </w:rPr>
        <w:t xml:space="preserve"> من النساء</w:t>
      </w:r>
      <w:r w:rsidR="006F2573" w:rsidRPr="00282AC9">
        <w:rPr>
          <w:rFonts w:hint="cs"/>
          <w:rtl/>
          <w:lang w:bidi="ar-LB"/>
        </w:rPr>
        <w:t>؛</w:t>
      </w:r>
      <w:r w:rsidRPr="00282AC9">
        <w:rPr>
          <w:rtl/>
          <w:lang w:bidi="ar-LB"/>
        </w:rPr>
        <w:t xml:space="preserve"> وأما قولك في الطعام فكان رسول الله</w:t>
      </w:r>
      <w:r w:rsidR="009A2A04" w:rsidRPr="00282AC9">
        <w:rPr>
          <w:rFonts w:cs="Mosawi"/>
          <w:sz w:val="22"/>
          <w:szCs w:val="22"/>
          <w:rtl/>
          <w:lang w:bidi="ar-LB"/>
        </w:rPr>
        <w:t>|</w:t>
      </w:r>
      <w:r w:rsidRPr="00282AC9">
        <w:rPr>
          <w:rtl/>
          <w:lang w:bidi="ar-LB"/>
        </w:rPr>
        <w:t xml:space="preserve"> يأكل اللحم والعسل</w:t>
      </w:r>
      <w:r w:rsidR="006F2573" w:rsidRPr="00282AC9">
        <w:rPr>
          <w:rFonts w:hint="eastAsia"/>
          <w:sz w:val="24"/>
          <w:szCs w:val="24"/>
          <w:rtl/>
        </w:rPr>
        <w:t>»</w:t>
      </w:r>
      <w:r w:rsidR="006F2573" w:rsidRPr="00282AC9">
        <w:rPr>
          <w:vertAlign w:val="superscript"/>
          <w:rtl/>
          <w:lang w:bidi="ar-LB"/>
        </w:rPr>
        <w:t>(</w:t>
      </w:r>
      <w:r w:rsidR="006F2573" w:rsidRPr="00282AC9">
        <w:rPr>
          <w:vertAlign w:val="superscript"/>
          <w:rtl/>
          <w:lang w:bidi="ar-LB"/>
        </w:rPr>
        <w:endnoteReference w:id="805"/>
      </w:r>
      <w:r w:rsidR="006F2573" w:rsidRPr="00282AC9">
        <w:rPr>
          <w:vertAlign w:val="superscript"/>
          <w:rtl/>
          <w:lang w:bidi="ar-LB"/>
        </w:rPr>
        <w:t>)</w:t>
      </w:r>
      <w:r w:rsidRPr="00282AC9">
        <w:rPr>
          <w:rtl/>
          <w:lang w:bidi="ar-LB"/>
        </w:rPr>
        <w:t>.</w:t>
      </w:r>
      <w:r w:rsidRPr="00282AC9">
        <w:rPr>
          <w:vertAlign w:val="superscript"/>
          <w:rtl/>
          <w:lang w:bidi="ar-LB"/>
        </w:rPr>
        <w:t xml:space="preserve"> </w:t>
      </w:r>
    </w:p>
    <w:p w:rsidR="00B4645B" w:rsidRPr="00282AC9" w:rsidRDefault="005D3045" w:rsidP="0091196D">
      <w:pPr>
        <w:rPr>
          <w:rtl/>
          <w:lang w:bidi="ar-LB"/>
        </w:rPr>
      </w:pPr>
      <w:r w:rsidRPr="00282AC9">
        <w:rPr>
          <w:rFonts w:hint="cs"/>
          <w:rtl/>
          <w:lang w:bidi="ar-LB"/>
        </w:rPr>
        <w:t>4</w:t>
      </w:r>
      <w:r w:rsidR="00B4645B" w:rsidRPr="00282AC9">
        <w:rPr>
          <w:rFonts w:hint="cs"/>
          <w:rtl/>
          <w:lang w:bidi="ar-LB"/>
        </w:rPr>
        <w:t>ـ خبر</w:t>
      </w:r>
      <w:r w:rsidR="00B4645B" w:rsidRPr="00282AC9">
        <w:rPr>
          <w:rtl/>
          <w:lang w:bidi="ar-LB"/>
        </w:rPr>
        <w:t xml:space="preserve"> حفص بن البختري، عن أبي عبد الله</w:t>
      </w:r>
      <w:r w:rsidR="009A2A04" w:rsidRPr="00282AC9">
        <w:rPr>
          <w:rFonts w:cs="Mosawi"/>
          <w:sz w:val="22"/>
          <w:szCs w:val="22"/>
          <w:rtl/>
          <w:lang w:bidi="ar-LB"/>
        </w:rPr>
        <w:t>×</w:t>
      </w:r>
      <w:r w:rsidR="00B4645B" w:rsidRPr="00282AC9">
        <w:rPr>
          <w:rtl/>
          <w:lang w:bidi="ar-LB"/>
        </w:rPr>
        <w:t xml:space="preserve"> قال: قال رسول الله</w:t>
      </w:r>
      <w:r w:rsidR="009A2A04" w:rsidRPr="00282AC9">
        <w:rPr>
          <w:rFonts w:cs="Mosawi"/>
          <w:sz w:val="22"/>
          <w:szCs w:val="22"/>
          <w:rtl/>
          <w:lang w:bidi="ar-LB"/>
        </w:rPr>
        <w:t>|</w:t>
      </w:r>
      <w:r w:rsidR="00B4645B" w:rsidRPr="00282AC9">
        <w:rPr>
          <w:rtl/>
          <w:lang w:bidi="ar-LB"/>
        </w:rPr>
        <w:t xml:space="preserve">: </w:t>
      </w:r>
      <w:r w:rsidR="007E2BBF" w:rsidRPr="00282AC9">
        <w:rPr>
          <w:rFonts w:hint="eastAsia"/>
          <w:sz w:val="24"/>
          <w:szCs w:val="24"/>
          <w:rtl/>
        </w:rPr>
        <w:t>«</w:t>
      </w:r>
      <w:r w:rsidR="00B4645B" w:rsidRPr="00282AC9">
        <w:rPr>
          <w:rtl/>
          <w:lang w:bidi="ar-LB"/>
        </w:rPr>
        <w:t>ما أحب</w:t>
      </w:r>
      <w:r w:rsidR="007E2BBF" w:rsidRPr="00282AC9">
        <w:rPr>
          <w:rFonts w:hint="cs"/>
          <w:rtl/>
          <w:lang w:bidi="ar-LB"/>
        </w:rPr>
        <w:t>ّ</w:t>
      </w:r>
      <w:r w:rsidR="00B4645B" w:rsidRPr="00282AC9">
        <w:rPr>
          <w:rtl/>
          <w:lang w:bidi="ar-LB"/>
        </w:rPr>
        <w:t xml:space="preserve"> من دنياكم إلا</w:t>
      </w:r>
      <w:r w:rsidR="007E2BBF" w:rsidRPr="00282AC9">
        <w:rPr>
          <w:rFonts w:hint="cs"/>
          <w:rtl/>
          <w:lang w:bidi="ar-LB"/>
        </w:rPr>
        <w:t>ّ</w:t>
      </w:r>
      <w:r w:rsidR="00B4645B" w:rsidRPr="00282AC9">
        <w:rPr>
          <w:rtl/>
          <w:lang w:bidi="ar-LB"/>
        </w:rPr>
        <w:t xml:space="preserve"> النساء والط</w:t>
      </w:r>
      <w:r w:rsidR="007E2BBF" w:rsidRPr="00282AC9">
        <w:rPr>
          <w:rFonts w:hint="cs"/>
          <w:rtl/>
          <w:lang w:bidi="ar-LB"/>
        </w:rPr>
        <w:t>ِّ</w:t>
      </w:r>
      <w:r w:rsidR="00B4645B" w:rsidRPr="00282AC9">
        <w:rPr>
          <w:rtl/>
          <w:lang w:bidi="ar-LB"/>
        </w:rPr>
        <w:t>يب</w:t>
      </w:r>
      <w:r w:rsidR="007E2BBF" w:rsidRPr="00282AC9">
        <w:rPr>
          <w:rFonts w:hint="eastAsia"/>
          <w:sz w:val="24"/>
          <w:szCs w:val="24"/>
          <w:rtl/>
        </w:rPr>
        <w:t>»</w:t>
      </w:r>
      <w:r w:rsidR="007E2BBF" w:rsidRPr="00282AC9">
        <w:rPr>
          <w:vertAlign w:val="superscript"/>
          <w:rtl/>
          <w:lang w:bidi="ar-LB"/>
        </w:rPr>
        <w:t>(</w:t>
      </w:r>
      <w:r w:rsidR="007E2BBF" w:rsidRPr="00282AC9">
        <w:rPr>
          <w:vertAlign w:val="superscript"/>
          <w:rtl/>
          <w:lang w:bidi="ar-LB"/>
        </w:rPr>
        <w:endnoteReference w:id="806"/>
      </w:r>
      <w:r w:rsidR="007E2BBF" w:rsidRPr="00282AC9">
        <w:rPr>
          <w:vertAlign w:val="superscript"/>
          <w:rtl/>
          <w:lang w:bidi="ar-LB"/>
        </w:rPr>
        <w:t>)</w:t>
      </w:r>
      <w:r w:rsidR="00B4645B" w:rsidRPr="00282AC9">
        <w:rPr>
          <w:rtl/>
          <w:lang w:bidi="ar-LB"/>
        </w:rPr>
        <w:t>.</w:t>
      </w:r>
      <w:r w:rsidR="00B4645B" w:rsidRPr="00282AC9">
        <w:rPr>
          <w:vertAlign w:val="superscript"/>
          <w:rtl/>
          <w:lang w:bidi="ar-LB"/>
        </w:rPr>
        <w:t xml:space="preserve"> </w:t>
      </w:r>
    </w:p>
    <w:p w:rsidR="00B4645B" w:rsidRPr="00282AC9" w:rsidRDefault="005D3045" w:rsidP="0091196D">
      <w:pPr>
        <w:rPr>
          <w:lang w:bidi="ar-LB"/>
        </w:rPr>
      </w:pPr>
      <w:r w:rsidRPr="00282AC9">
        <w:rPr>
          <w:rFonts w:hint="cs"/>
          <w:rtl/>
          <w:lang w:bidi="ar-LB"/>
        </w:rPr>
        <w:t>5</w:t>
      </w:r>
      <w:r w:rsidR="00B4645B" w:rsidRPr="00282AC9">
        <w:rPr>
          <w:rFonts w:hint="cs"/>
          <w:rtl/>
          <w:lang w:bidi="ar-LB"/>
        </w:rPr>
        <w:t xml:space="preserve">ـ </w:t>
      </w:r>
      <w:r w:rsidR="00B4645B" w:rsidRPr="00282AC9">
        <w:rPr>
          <w:rtl/>
          <w:lang w:bidi="ar-LB"/>
        </w:rPr>
        <w:t>محمد بن أبي عمير، عن بك</w:t>
      </w:r>
      <w:r w:rsidR="007E2BBF" w:rsidRPr="00282AC9">
        <w:rPr>
          <w:rFonts w:hint="cs"/>
          <w:rtl/>
          <w:lang w:bidi="ar-LB"/>
        </w:rPr>
        <w:t>ّ</w:t>
      </w:r>
      <w:r w:rsidR="00B4645B" w:rsidRPr="00282AC9">
        <w:rPr>
          <w:rtl/>
          <w:lang w:bidi="ar-LB"/>
        </w:rPr>
        <w:t>ار بن كردم وغير واحد</w:t>
      </w:r>
      <w:r w:rsidR="007E2BBF" w:rsidRPr="00282AC9">
        <w:rPr>
          <w:rFonts w:hint="cs"/>
          <w:rtl/>
          <w:lang w:bidi="ar-LB"/>
        </w:rPr>
        <w:t>ٍ</w:t>
      </w:r>
      <w:r w:rsidR="00B4645B" w:rsidRPr="00282AC9">
        <w:rPr>
          <w:rtl/>
          <w:lang w:bidi="ar-LB"/>
        </w:rPr>
        <w:t>، عن أبي عبد الله</w:t>
      </w:r>
      <w:r w:rsidR="009A2A04" w:rsidRPr="00282AC9">
        <w:rPr>
          <w:rFonts w:cs="Mosawi"/>
          <w:sz w:val="22"/>
          <w:szCs w:val="22"/>
          <w:rtl/>
          <w:lang w:bidi="ar-LB"/>
        </w:rPr>
        <w:t>×</w:t>
      </w:r>
      <w:r w:rsidR="00B4645B" w:rsidRPr="00282AC9">
        <w:rPr>
          <w:rtl/>
          <w:lang w:bidi="ar-LB"/>
        </w:rPr>
        <w:t xml:space="preserve"> قال: قال رسول الله</w:t>
      </w:r>
      <w:r w:rsidR="009A2A04" w:rsidRPr="00282AC9">
        <w:rPr>
          <w:rFonts w:cs="Mosawi"/>
          <w:sz w:val="22"/>
          <w:szCs w:val="22"/>
          <w:rtl/>
          <w:lang w:bidi="ar-LB"/>
        </w:rPr>
        <w:t>|</w:t>
      </w:r>
      <w:r w:rsidR="00B4645B" w:rsidRPr="00282AC9">
        <w:rPr>
          <w:rtl/>
          <w:lang w:bidi="ar-LB"/>
        </w:rPr>
        <w:t xml:space="preserve">: </w:t>
      </w:r>
      <w:r w:rsidR="007E2BBF" w:rsidRPr="00282AC9">
        <w:rPr>
          <w:rFonts w:hint="eastAsia"/>
          <w:sz w:val="24"/>
          <w:szCs w:val="24"/>
          <w:rtl/>
        </w:rPr>
        <w:t>«</w:t>
      </w:r>
      <w:r w:rsidR="00B4645B" w:rsidRPr="00282AC9">
        <w:rPr>
          <w:rtl/>
          <w:lang w:bidi="ar-LB"/>
        </w:rPr>
        <w:t>جعل قر</w:t>
      </w:r>
      <w:r w:rsidR="007E2BBF" w:rsidRPr="00282AC9">
        <w:rPr>
          <w:rFonts w:hint="cs"/>
          <w:rtl/>
          <w:lang w:bidi="ar-LB"/>
        </w:rPr>
        <w:t>ّ</w:t>
      </w:r>
      <w:r w:rsidR="00B4645B" w:rsidRPr="00282AC9">
        <w:rPr>
          <w:rtl/>
          <w:lang w:bidi="ar-LB"/>
        </w:rPr>
        <w:t>ة عيني في الصلاة</w:t>
      </w:r>
      <w:r w:rsidR="007E2BBF" w:rsidRPr="00282AC9">
        <w:rPr>
          <w:rFonts w:hint="cs"/>
          <w:rtl/>
          <w:lang w:bidi="ar-LB"/>
        </w:rPr>
        <w:t>،</w:t>
      </w:r>
      <w:r w:rsidR="00B4645B" w:rsidRPr="00282AC9">
        <w:rPr>
          <w:rtl/>
          <w:lang w:bidi="ar-LB"/>
        </w:rPr>
        <w:t xml:space="preserve"> ولذ</w:t>
      </w:r>
      <w:r w:rsidR="007E2BBF" w:rsidRPr="00282AC9">
        <w:rPr>
          <w:rFonts w:hint="cs"/>
          <w:rtl/>
          <w:lang w:bidi="ar-LB"/>
        </w:rPr>
        <w:t>ّ</w:t>
      </w:r>
      <w:r w:rsidR="00B4645B" w:rsidRPr="00282AC9">
        <w:rPr>
          <w:rtl/>
          <w:lang w:bidi="ar-LB"/>
        </w:rPr>
        <w:t>تي في النساء</w:t>
      </w:r>
      <w:r w:rsidR="007E2BBF" w:rsidRPr="00282AC9">
        <w:rPr>
          <w:rFonts w:hint="eastAsia"/>
          <w:sz w:val="24"/>
          <w:szCs w:val="24"/>
          <w:rtl/>
        </w:rPr>
        <w:t>»</w:t>
      </w:r>
      <w:r w:rsidR="007E2BBF" w:rsidRPr="00282AC9">
        <w:rPr>
          <w:vertAlign w:val="superscript"/>
          <w:rtl/>
          <w:lang w:bidi="ar-LB"/>
        </w:rPr>
        <w:t>(</w:t>
      </w:r>
      <w:r w:rsidR="007E2BBF" w:rsidRPr="00282AC9">
        <w:rPr>
          <w:vertAlign w:val="superscript"/>
          <w:rtl/>
          <w:lang w:bidi="ar-LB"/>
        </w:rPr>
        <w:endnoteReference w:id="807"/>
      </w:r>
      <w:r w:rsidR="007E2BBF" w:rsidRPr="00282AC9">
        <w:rPr>
          <w:vertAlign w:val="superscript"/>
          <w:rtl/>
          <w:lang w:bidi="ar-LB"/>
        </w:rPr>
        <w:t>)</w:t>
      </w:r>
      <w:r w:rsidR="00B4645B" w:rsidRPr="00282AC9">
        <w:rPr>
          <w:rtl/>
          <w:lang w:bidi="ar-LB"/>
        </w:rPr>
        <w:t>.</w:t>
      </w:r>
      <w:r w:rsidR="00B4645B" w:rsidRPr="00282AC9">
        <w:rPr>
          <w:vertAlign w:val="superscript"/>
          <w:rtl/>
          <w:lang w:bidi="ar-LB"/>
        </w:rPr>
        <w:t xml:space="preserve"> </w:t>
      </w:r>
    </w:p>
    <w:p w:rsidR="00B4645B" w:rsidRPr="00282AC9" w:rsidRDefault="005D3045" w:rsidP="0091196D">
      <w:pPr>
        <w:rPr>
          <w:lang w:bidi="ar-LB"/>
        </w:rPr>
      </w:pPr>
      <w:r w:rsidRPr="00282AC9">
        <w:rPr>
          <w:rFonts w:hint="cs"/>
          <w:rtl/>
          <w:lang w:bidi="ar-LB"/>
        </w:rPr>
        <w:t>6</w:t>
      </w:r>
      <w:r w:rsidR="00B4645B" w:rsidRPr="00282AC9">
        <w:rPr>
          <w:rFonts w:hint="cs"/>
          <w:rtl/>
          <w:lang w:bidi="ar-LB"/>
        </w:rPr>
        <w:t xml:space="preserve">ـ </w:t>
      </w:r>
      <w:r w:rsidR="00B4645B" w:rsidRPr="00282AC9">
        <w:rPr>
          <w:rtl/>
          <w:lang w:bidi="ar-LB"/>
        </w:rPr>
        <w:t>علي</w:t>
      </w:r>
      <w:r w:rsidR="007E2BBF" w:rsidRPr="00282AC9">
        <w:rPr>
          <w:rFonts w:hint="cs"/>
          <w:rtl/>
          <w:lang w:bidi="ar-LB"/>
        </w:rPr>
        <w:t>ّ</w:t>
      </w:r>
      <w:r w:rsidR="00B4645B" w:rsidRPr="00282AC9">
        <w:rPr>
          <w:rtl/>
          <w:lang w:bidi="ar-LB"/>
        </w:rPr>
        <w:t xml:space="preserve"> بن حسان، عن بعض أصحابنا قال: س</w:t>
      </w:r>
      <w:r w:rsidR="007E2BBF" w:rsidRPr="00282AC9">
        <w:rPr>
          <w:rFonts w:hint="cs"/>
          <w:rtl/>
          <w:lang w:bidi="ar-LB"/>
        </w:rPr>
        <w:t>َ</w:t>
      </w:r>
      <w:r w:rsidR="00B4645B" w:rsidRPr="00282AC9">
        <w:rPr>
          <w:rtl/>
          <w:lang w:bidi="ar-LB"/>
        </w:rPr>
        <w:t>أ</w:t>
      </w:r>
      <w:r w:rsidR="007E2BBF" w:rsidRPr="00282AC9">
        <w:rPr>
          <w:rFonts w:hint="cs"/>
          <w:rtl/>
          <w:lang w:bidi="ar-LB"/>
        </w:rPr>
        <w:t>َ</w:t>
      </w:r>
      <w:r w:rsidR="00B4645B" w:rsidRPr="00282AC9">
        <w:rPr>
          <w:rtl/>
          <w:lang w:bidi="ar-LB"/>
        </w:rPr>
        <w:t>ل</w:t>
      </w:r>
      <w:r w:rsidR="007E2BBF" w:rsidRPr="00282AC9">
        <w:rPr>
          <w:rFonts w:hint="cs"/>
          <w:rtl/>
          <w:lang w:bidi="ar-LB"/>
        </w:rPr>
        <w:t>َ</w:t>
      </w:r>
      <w:r w:rsidR="00B4645B" w:rsidRPr="00282AC9">
        <w:rPr>
          <w:rtl/>
          <w:lang w:bidi="ar-LB"/>
        </w:rPr>
        <w:t>نا أبو عبد الله</w:t>
      </w:r>
      <w:r w:rsidR="009A2A04" w:rsidRPr="00282AC9">
        <w:rPr>
          <w:rFonts w:cs="Mosawi"/>
          <w:sz w:val="22"/>
          <w:szCs w:val="22"/>
          <w:rtl/>
          <w:lang w:bidi="ar-LB"/>
        </w:rPr>
        <w:t>×</w:t>
      </w:r>
      <w:r w:rsidR="007E2BBF" w:rsidRPr="00282AC9">
        <w:rPr>
          <w:rFonts w:hint="cs"/>
          <w:rtl/>
          <w:lang w:bidi="ar-LB"/>
        </w:rPr>
        <w:t>:</w:t>
      </w:r>
      <w:r w:rsidR="00B4645B" w:rsidRPr="00282AC9">
        <w:rPr>
          <w:rtl/>
          <w:lang w:bidi="ar-LB"/>
        </w:rPr>
        <w:t xml:space="preserve"> أي</w:t>
      </w:r>
      <w:r w:rsidR="007E2BBF" w:rsidRPr="00282AC9">
        <w:rPr>
          <w:rFonts w:hint="cs"/>
          <w:rtl/>
          <w:lang w:bidi="ar-LB"/>
        </w:rPr>
        <w:t>ّ</w:t>
      </w:r>
      <w:r w:rsidR="00B4645B" w:rsidRPr="00282AC9">
        <w:rPr>
          <w:rtl/>
          <w:lang w:bidi="ar-LB"/>
        </w:rPr>
        <w:t xml:space="preserve"> الأشياء ألذ</w:t>
      </w:r>
      <w:r w:rsidR="007E2BBF" w:rsidRPr="00282AC9">
        <w:rPr>
          <w:rFonts w:hint="cs"/>
          <w:rtl/>
          <w:lang w:bidi="ar-LB"/>
        </w:rPr>
        <w:t>ّ</w:t>
      </w:r>
      <w:r w:rsidR="00B4645B" w:rsidRPr="00282AC9">
        <w:rPr>
          <w:rtl/>
          <w:lang w:bidi="ar-LB"/>
        </w:rPr>
        <w:t>؟ قال: فقلنا غير ش</w:t>
      </w:r>
      <w:r w:rsidR="007E2BBF" w:rsidRPr="00282AC9">
        <w:rPr>
          <w:rFonts w:hint="cs"/>
          <w:rtl/>
          <w:lang w:bidi="ar-LB"/>
        </w:rPr>
        <w:t>يءٍ</w:t>
      </w:r>
      <w:r w:rsidR="00B4645B" w:rsidRPr="00282AC9">
        <w:rPr>
          <w:rtl/>
          <w:lang w:bidi="ar-LB"/>
        </w:rPr>
        <w:t>، فقال هو</w:t>
      </w:r>
      <w:r w:rsidR="009A2A04" w:rsidRPr="00282AC9">
        <w:rPr>
          <w:rFonts w:cs="Mosawi"/>
          <w:sz w:val="22"/>
          <w:szCs w:val="22"/>
          <w:rtl/>
          <w:lang w:bidi="ar-LB"/>
        </w:rPr>
        <w:t>×</w:t>
      </w:r>
      <w:r w:rsidR="00B4645B" w:rsidRPr="00282AC9">
        <w:rPr>
          <w:rtl/>
          <w:lang w:bidi="ar-LB"/>
        </w:rPr>
        <w:t xml:space="preserve">: </w:t>
      </w:r>
      <w:r w:rsidR="007E2BBF" w:rsidRPr="00282AC9">
        <w:rPr>
          <w:rFonts w:hint="eastAsia"/>
          <w:sz w:val="24"/>
          <w:szCs w:val="24"/>
          <w:rtl/>
        </w:rPr>
        <w:t>«</w:t>
      </w:r>
      <w:r w:rsidR="00B4645B" w:rsidRPr="00282AC9">
        <w:rPr>
          <w:rtl/>
          <w:lang w:bidi="ar-LB"/>
        </w:rPr>
        <w:t>ألذ</w:t>
      </w:r>
      <w:r w:rsidR="007E2BBF" w:rsidRPr="00282AC9">
        <w:rPr>
          <w:rFonts w:hint="cs"/>
          <w:rtl/>
          <w:lang w:bidi="ar-LB"/>
        </w:rPr>
        <w:t>ّ</w:t>
      </w:r>
      <w:r w:rsidR="00B4645B" w:rsidRPr="00282AC9">
        <w:rPr>
          <w:rtl/>
          <w:lang w:bidi="ar-LB"/>
        </w:rPr>
        <w:t xml:space="preserve"> الأشياء مباضعة النساء</w:t>
      </w:r>
      <w:r w:rsidR="007E2BBF" w:rsidRPr="00282AC9">
        <w:rPr>
          <w:rFonts w:hint="eastAsia"/>
          <w:sz w:val="24"/>
          <w:szCs w:val="24"/>
          <w:rtl/>
        </w:rPr>
        <w:t>»</w:t>
      </w:r>
      <w:r w:rsidR="00B4645B" w:rsidRPr="00282AC9">
        <w:rPr>
          <w:vertAlign w:val="superscript"/>
          <w:rtl/>
          <w:lang w:bidi="ar-LB"/>
        </w:rPr>
        <w:t>(</w:t>
      </w:r>
      <w:r w:rsidR="00B4645B" w:rsidRPr="00282AC9">
        <w:rPr>
          <w:vertAlign w:val="superscript"/>
          <w:rtl/>
          <w:lang w:bidi="ar-LB"/>
        </w:rPr>
        <w:endnoteReference w:id="808"/>
      </w:r>
      <w:r w:rsidR="00B4645B" w:rsidRPr="00282AC9">
        <w:rPr>
          <w:vertAlign w:val="superscript"/>
          <w:rtl/>
          <w:lang w:bidi="ar-LB"/>
        </w:rPr>
        <w:t>)</w:t>
      </w:r>
      <w:r w:rsidR="00B4645B" w:rsidRPr="00282AC9">
        <w:rPr>
          <w:rtl/>
          <w:lang w:bidi="ar-LB"/>
        </w:rPr>
        <w:t>.</w:t>
      </w:r>
    </w:p>
    <w:p w:rsidR="00B4645B" w:rsidRPr="00282AC9" w:rsidRDefault="005D3045" w:rsidP="0091196D">
      <w:pPr>
        <w:rPr>
          <w:lang w:bidi="ar-LB"/>
        </w:rPr>
      </w:pPr>
      <w:r w:rsidRPr="00282AC9">
        <w:rPr>
          <w:rFonts w:hint="cs"/>
          <w:rtl/>
          <w:lang w:bidi="ar-LB"/>
        </w:rPr>
        <w:t>7</w:t>
      </w:r>
      <w:r w:rsidR="00B4645B" w:rsidRPr="00282AC9">
        <w:rPr>
          <w:rFonts w:hint="cs"/>
          <w:rtl/>
          <w:lang w:bidi="ar-LB"/>
        </w:rPr>
        <w:t>ـ خبر</w:t>
      </w:r>
      <w:r w:rsidR="00B4645B" w:rsidRPr="00282AC9">
        <w:rPr>
          <w:rtl/>
          <w:lang w:bidi="ar-LB"/>
        </w:rPr>
        <w:t xml:space="preserve"> عمر بن يزيد، عن أبي عبد الله</w:t>
      </w:r>
      <w:r w:rsidR="009A2A04" w:rsidRPr="00282AC9">
        <w:rPr>
          <w:rFonts w:cs="Mosawi"/>
          <w:sz w:val="22"/>
          <w:szCs w:val="22"/>
          <w:rtl/>
          <w:lang w:bidi="ar-LB"/>
        </w:rPr>
        <w:t>×</w:t>
      </w:r>
      <w:r w:rsidR="00B4645B" w:rsidRPr="00282AC9">
        <w:rPr>
          <w:rtl/>
          <w:lang w:bidi="ar-LB"/>
        </w:rPr>
        <w:t xml:space="preserve"> قال: قال رسول الله</w:t>
      </w:r>
      <w:r w:rsidR="009A2A04" w:rsidRPr="00282AC9">
        <w:rPr>
          <w:rFonts w:cs="Mosawi"/>
          <w:sz w:val="22"/>
          <w:szCs w:val="22"/>
          <w:rtl/>
          <w:lang w:bidi="ar-LB"/>
        </w:rPr>
        <w:t>|</w:t>
      </w:r>
      <w:r w:rsidR="00B4645B" w:rsidRPr="00282AC9">
        <w:rPr>
          <w:rtl/>
          <w:lang w:bidi="ar-LB"/>
        </w:rPr>
        <w:t xml:space="preserve">: </w:t>
      </w:r>
      <w:r w:rsidR="007E2BBF" w:rsidRPr="00282AC9">
        <w:rPr>
          <w:rFonts w:hint="eastAsia"/>
          <w:sz w:val="24"/>
          <w:szCs w:val="24"/>
          <w:rtl/>
        </w:rPr>
        <w:t>«</w:t>
      </w:r>
      <w:r w:rsidR="00B4645B" w:rsidRPr="00282AC9">
        <w:rPr>
          <w:rtl/>
          <w:lang w:bidi="ar-LB"/>
        </w:rPr>
        <w:t>جعل قر</w:t>
      </w:r>
      <w:r w:rsidR="007E2BBF" w:rsidRPr="00282AC9">
        <w:rPr>
          <w:rFonts w:hint="cs"/>
          <w:rtl/>
          <w:lang w:bidi="ar-LB"/>
        </w:rPr>
        <w:t>ّ</w:t>
      </w:r>
      <w:r w:rsidR="00B4645B" w:rsidRPr="00282AC9">
        <w:rPr>
          <w:rtl/>
          <w:lang w:bidi="ar-LB"/>
        </w:rPr>
        <w:t>ة عيني في الصلاة</w:t>
      </w:r>
      <w:r w:rsidR="007E2BBF" w:rsidRPr="00282AC9">
        <w:rPr>
          <w:rFonts w:hint="cs"/>
          <w:rtl/>
          <w:lang w:bidi="ar-LB"/>
        </w:rPr>
        <w:t>،</w:t>
      </w:r>
      <w:r w:rsidR="00B4645B" w:rsidRPr="00282AC9">
        <w:rPr>
          <w:rtl/>
          <w:lang w:bidi="ar-LB"/>
        </w:rPr>
        <w:t xml:space="preserve"> ولذ</w:t>
      </w:r>
      <w:r w:rsidR="007E2BBF" w:rsidRPr="00282AC9">
        <w:rPr>
          <w:rFonts w:hint="cs"/>
          <w:rtl/>
          <w:lang w:bidi="ar-LB"/>
        </w:rPr>
        <w:t>ّ</w:t>
      </w:r>
      <w:r w:rsidR="00B4645B" w:rsidRPr="00282AC9">
        <w:rPr>
          <w:rtl/>
          <w:lang w:bidi="ar-LB"/>
        </w:rPr>
        <w:t>تي في الدنيا النساء</w:t>
      </w:r>
      <w:r w:rsidR="007E2BBF" w:rsidRPr="00282AC9">
        <w:rPr>
          <w:rFonts w:hint="cs"/>
          <w:rtl/>
          <w:lang w:bidi="ar-LB"/>
        </w:rPr>
        <w:t>،</w:t>
      </w:r>
      <w:r w:rsidR="00B4645B" w:rsidRPr="00282AC9">
        <w:rPr>
          <w:rtl/>
          <w:lang w:bidi="ar-LB"/>
        </w:rPr>
        <w:t xml:space="preserve"> وريحانت</w:t>
      </w:r>
      <w:r w:rsidR="007E2BBF" w:rsidRPr="00282AC9">
        <w:rPr>
          <w:rFonts w:hint="cs"/>
          <w:rtl/>
          <w:lang w:bidi="ar-LB"/>
        </w:rPr>
        <w:t>َ</w:t>
      </w:r>
      <w:r w:rsidR="00B4645B" w:rsidRPr="00282AC9">
        <w:rPr>
          <w:rtl/>
          <w:lang w:bidi="ar-LB"/>
        </w:rPr>
        <w:t>ي</w:t>
      </w:r>
      <w:r w:rsidR="007E2BBF" w:rsidRPr="00282AC9">
        <w:rPr>
          <w:rFonts w:hint="cs"/>
          <w:rtl/>
          <w:lang w:bidi="ar-LB"/>
        </w:rPr>
        <w:t>ّ</w:t>
      </w:r>
      <w:r w:rsidR="00B4645B" w:rsidRPr="00282AC9">
        <w:rPr>
          <w:rtl/>
          <w:lang w:bidi="ar-LB"/>
        </w:rPr>
        <w:t xml:space="preserve"> الحسن والحسين</w:t>
      </w:r>
      <w:r w:rsidR="007E2BBF" w:rsidRPr="00282AC9">
        <w:rPr>
          <w:rFonts w:hint="eastAsia"/>
          <w:sz w:val="24"/>
          <w:szCs w:val="24"/>
          <w:rtl/>
        </w:rPr>
        <w:t>»</w:t>
      </w:r>
      <w:r w:rsidR="007E2BBF" w:rsidRPr="00282AC9">
        <w:rPr>
          <w:vertAlign w:val="superscript"/>
          <w:rtl/>
          <w:lang w:bidi="ar-LB"/>
        </w:rPr>
        <w:t>(</w:t>
      </w:r>
      <w:r w:rsidR="007E2BBF" w:rsidRPr="00282AC9">
        <w:rPr>
          <w:vertAlign w:val="superscript"/>
          <w:rtl/>
          <w:lang w:bidi="ar-LB"/>
        </w:rPr>
        <w:endnoteReference w:id="809"/>
      </w:r>
      <w:r w:rsidR="007E2BBF" w:rsidRPr="00282AC9">
        <w:rPr>
          <w:vertAlign w:val="superscript"/>
          <w:rtl/>
          <w:lang w:bidi="ar-LB"/>
        </w:rPr>
        <w:t>)</w:t>
      </w:r>
      <w:r w:rsidR="00B4645B" w:rsidRPr="00282AC9">
        <w:rPr>
          <w:rtl/>
          <w:lang w:bidi="ar-LB"/>
        </w:rPr>
        <w:t>.</w:t>
      </w:r>
      <w:r w:rsidR="00B4645B" w:rsidRPr="00282AC9">
        <w:rPr>
          <w:vertAlign w:val="superscript"/>
          <w:rtl/>
          <w:lang w:bidi="ar-LB"/>
        </w:rPr>
        <w:t xml:space="preserve"> </w:t>
      </w:r>
    </w:p>
    <w:p w:rsidR="00B4645B" w:rsidRPr="00282AC9" w:rsidRDefault="005D3045" w:rsidP="0091196D">
      <w:pPr>
        <w:rPr>
          <w:rtl/>
          <w:lang w:bidi="ar-LB"/>
        </w:rPr>
      </w:pPr>
      <w:r w:rsidRPr="00282AC9">
        <w:rPr>
          <w:rFonts w:hint="cs"/>
          <w:rtl/>
          <w:lang w:bidi="ar-LB"/>
        </w:rPr>
        <w:t>8</w:t>
      </w:r>
      <w:r w:rsidR="00B4645B" w:rsidRPr="00282AC9">
        <w:rPr>
          <w:rFonts w:hint="cs"/>
          <w:rtl/>
          <w:lang w:bidi="ar-LB"/>
        </w:rPr>
        <w:t>ـ خبر</w:t>
      </w:r>
      <w:r w:rsidR="00B4645B" w:rsidRPr="00282AC9">
        <w:rPr>
          <w:rtl/>
          <w:lang w:bidi="ar-LB"/>
        </w:rPr>
        <w:t xml:space="preserve"> جميل بن در</w:t>
      </w:r>
      <w:r w:rsidR="007F206D" w:rsidRPr="00282AC9">
        <w:rPr>
          <w:rFonts w:hint="cs"/>
          <w:rtl/>
          <w:lang w:bidi="ar-LB"/>
        </w:rPr>
        <w:t>ّ</w:t>
      </w:r>
      <w:r w:rsidR="00B4645B" w:rsidRPr="00282AC9">
        <w:rPr>
          <w:rtl/>
          <w:lang w:bidi="ar-LB"/>
        </w:rPr>
        <w:t>اج قال: قال أبو عبد الله</w:t>
      </w:r>
      <w:r w:rsidR="009A2A04" w:rsidRPr="00282AC9">
        <w:rPr>
          <w:rFonts w:cs="Mosawi"/>
          <w:sz w:val="22"/>
          <w:szCs w:val="22"/>
          <w:rtl/>
          <w:lang w:bidi="ar-LB"/>
        </w:rPr>
        <w:t>×</w:t>
      </w:r>
      <w:r w:rsidR="00B4645B" w:rsidRPr="00282AC9">
        <w:rPr>
          <w:rtl/>
          <w:lang w:bidi="ar-LB"/>
        </w:rPr>
        <w:t xml:space="preserve">: </w:t>
      </w:r>
      <w:r w:rsidR="007E2BBF" w:rsidRPr="00282AC9">
        <w:rPr>
          <w:rFonts w:hint="eastAsia"/>
          <w:sz w:val="24"/>
          <w:szCs w:val="24"/>
          <w:rtl/>
        </w:rPr>
        <w:t>«</w:t>
      </w:r>
      <w:r w:rsidR="00B4645B" w:rsidRPr="00282AC9">
        <w:rPr>
          <w:rtl/>
          <w:lang w:bidi="ar-LB"/>
        </w:rPr>
        <w:t>ما تلذ</w:t>
      </w:r>
      <w:r w:rsidR="007E2BBF" w:rsidRPr="00282AC9">
        <w:rPr>
          <w:rFonts w:hint="cs"/>
          <w:rtl/>
          <w:lang w:bidi="ar-LB"/>
        </w:rPr>
        <w:t>َّ</w:t>
      </w:r>
      <w:r w:rsidR="00B4645B" w:rsidRPr="00282AC9">
        <w:rPr>
          <w:rtl/>
          <w:lang w:bidi="ar-LB"/>
        </w:rPr>
        <w:t>ذ الناس في الدنيا والآخرة بلذ</w:t>
      </w:r>
      <w:r w:rsidR="007E2BBF" w:rsidRPr="00282AC9">
        <w:rPr>
          <w:rFonts w:hint="cs"/>
          <w:rtl/>
          <w:lang w:bidi="ar-LB"/>
        </w:rPr>
        <w:t>ّ</w:t>
      </w:r>
      <w:r w:rsidR="00B4645B" w:rsidRPr="00282AC9">
        <w:rPr>
          <w:rtl/>
          <w:lang w:bidi="ar-LB"/>
        </w:rPr>
        <w:t>ة</w:t>
      </w:r>
      <w:r w:rsidR="007E2BBF" w:rsidRPr="00282AC9">
        <w:rPr>
          <w:rFonts w:hint="cs"/>
          <w:rtl/>
          <w:lang w:bidi="ar-LB"/>
        </w:rPr>
        <w:t>ٍ</w:t>
      </w:r>
      <w:r w:rsidR="00B4645B" w:rsidRPr="00282AC9">
        <w:rPr>
          <w:rtl/>
          <w:lang w:bidi="ar-LB"/>
        </w:rPr>
        <w:t xml:space="preserve"> أكثر لهم من لذ</w:t>
      </w:r>
      <w:r w:rsidR="007E2BBF" w:rsidRPr="00282AC9">
        <w:rPr>
          <w:rFonts w:hint="cs"/>
          <w:rtl/>
          <w:lang w:bidi="ar-LB"/>
        </w:rPr>
        <w:t>ّ</w:t>
      </w:r>
      <w:r w:rsidR="00B4645B" w:rsidRPr="00282AC9">
        <w:rPr>
          <w:rtl/>
          <w:lang w:bidi="ar-LB"/>
        </w:rPr>
        <w:t>ة النساء</w:t>
      </w:r>
      <w:r w:rsidR="007E2BBF" w:rsidRPr="00282AC9">
        <w:rPr>
          <w:rFonts w:hint="cs"/>
          <w:rtl/>
          <w:lang w:bidi="ar-LB"/>
        </w:rPr>
        <w:t>،</w:t>
      </w:r>
      <w:r w:rsidR="00B4645B" w:rsidRPr="00282AC9">
        <w:rPr>
          <w:rtl/>
          <w:lang w:bidi="ar-LB"/>
        </w:rPr>
        <w:t xml:space="preserve"> وهو قول الله عز</w:t>
      </w:r>
      <w:r w:rsidR="007E2BBF" w:rsidRPr="00282AC9">
        <w:rPr>
          <w:rFonts w:hint="cs"/>
          <w:rtl/>
          <w:lang w:bidi="ar-LB"/>
        </w:rPr>
        <w:t>َّ</w:t>
      </w:r>
      <w:r w:rsidR="00B4645B" w:rsidRPr="00282AC9">
        <w:rPr>
          <w:rtl/>
          <w:lang w:bidi="ar-LB"/>
        </w:rPr>
        <w:t xml:space="preserve"> وجل</w:t>
      </w:r>
      <w:r w:rsidR="007E2BBF" w:rsidRPr="00282AC9">
        <w:rPr>
          <w:rFonts w:hint="cs"/>
          <w:rtl/>
          <w:lang w:bidi="ar-LB"/>
        </w:rPr>
        <w:t>َّ</w:t>
      </w:r>
      <w:r w:rsidR="00B4645B" w:rsidRPr="00282AC9">
        <w:rPr>
          <w:rtl/>
          <w:lang w:bidi="ar-LB"/>
        </w:rPr>
        <w:t xml:space="preserve">: </w:t>
      </w:r>
      <w:r w:rsidR="00B4645B" w:rsidRPr="00282AC9">
        <w:rPr>
          <w:rFonts w:ascii="Mosawi" w:hAnsi="Mosawi" w:cs="Mosawi"/>
          <w:sz w:val="24"/>
          <w:szCs w:val="24"/>
          <w:rtl/>
        </w:rPr>
        <w:t>﴿</w:t>
      </w:r>
      <w:r w:rsidR="00B4645B" w:rsidRPr="00282AC9">
        <w:rPr>
          <w:b/>
          <w:bCs/>
          <w:rtl/>
          <w:lang w:bidi="ar-LB"/>
        </w:rPr>
        <w:t>ز</w:t>
      </w:r>
      <w:r w:rsidR="007E2BBF" w:rsidRPr="00282AC9">
        <w:rPr>
          <w:rFonts w:hint="cs"/>
          <w:b/>
          <w:bCs/>
          <w:rtl/>
          <w:lang w:bidi="ar-LB"/>
        </w:rPr>
        <w:t>ُ</w:t>
      </w:r>
      <w:r w:rsidR="00B4645B" w:rsidRPr="00282AC9">
        <w:rPr>
          <w:b/>
          <w:bCs/>
          <w:rtl/>
          <w:lang w:bidi="ar-LB"/>
        </w:rPr>
        <w:t>ي</w:t>
      </w:r>
      <w:r w:rsidR="007E2BBF" w:rsidRPr="00282AC9">
        <w:rPr>
          <w:rFonts w:hint="cs"/>
          <w:b/>
          <w:bCs/>
          <w:rtl/>
          <w:lang w:bidi="ar-LB"/>
        </w:rPr>
        <w:t>ِّ</w:t>
      </w:r>
      <w:r w:rsidR="00B4645B" w:rsidRPr="00282AC9">
        <w:rPr>
          <w:b/>
          <w:bCs/>
          <w:rtl/>
          <w:lang w:bidi="ar-LB"/>
        </w:rPr>
        <w:t>ن ل</w:t>
      </w:r>
      <w:r w:rsidR="007E2BBF" w:rsidRPr="00282AC9">
        <w:rPr>
          <w:rFonts w:hint="cs"/>
          <w:b/>
          <w:bCs/>
          <w:rtl/>
          <w:lang w:bidi="ar-LB"/>
        </w:rPr>
        <w:t>ِ</w:t>
      </w:r>
      <w:r w:rsidR="00B4645B" w:rsidRPr="00282AC9">
        <w:rPr>
          <w:b/>
          <w:bCs/>
          <w:rtl/>
          <w:lang w:bidi="ar-LB"/>
        </w:rPr>
        <w:t>لن</w:t>
      </w:r>
      <w:r w:rsidR="007E2BBF" w:rsidRPr="00282AC9">
        <w:rPr>
          <w:rFonts w:hint="cs"/>
          <w:b/>
          <w:bCs/>
          <w:rtl/>
          <w:lang w:bidi="ar-LB"/>
        </w:rPr>
        <w:t>َّ</w:t>
      </w:r>
      <w:r w:rsidR="00B4645B" w:rsidRPr="00282AC9">
        <w:rPr>
          <w:b/>
          <w:bCs/>
          <w:rtl/>
          <w:lang w:bidi="ar-LB"/>
        </w:rPr>
        <w:t>اس</w:t>
      </w:r>
      <w:r w:rsidR="007E2BBF" w:rsidRPr="00282AC9">
        <w:rPr>
          <w:rFonts w:hint="cs"/>
          <w:b/>
          <w:bCs/>
          <w:rtl/>
          <w:lang w:bidi="ar-LB"/>
        </w:rPr>
        <w:t>ِ</w:t>
      </w:r>
      <w:r w:rsidR="00B4645B" w:rsidRPr="00282AC9">
        <w:rPr>
          <w:b/>
          <w:bCs/>
          <w:rtl/>
          <w:lang w:bidi="ar-LB"/>
        </w:rPr>
        <w:t xml:space="preserve"> ح</w:t>
      </w:r>
      <w:r w:rsidR="007E2BBF" w:rsidRPr="00282AC9">
        <w:rPr>
          <w:rFonts w:hint="cs"/>
          <w:b/>
          <w:bCs/>
          <w:rtl/>
          <w:lang w:bidi="ar-LB"/>
        </w:rPr>
        <w:t>ُ</w:t>
      </w:r>
      <w:r w:rsidR="00B4645B" w:rsidRPr="00282AC9">
        <w:rPr>
          <w:b/>
          <w:bCs/>
          <w:rtl/>
          <w:lang w:bidi="ar-LB"/>
        </w:rPr>
        <w:t>ب</w:t>
      </w:r>
      <w:r w:rsidR="007E2BBF" w:rsidRPr="00282AC9">
        <w:rPr>
          <w:rFonts w:hint="cs"/>
          <w:b/>
          <w:bCs/>
          <w:rtl/>
          <w:lang w:bidi="ar-LB"/>
        </w:rPr>
        <w:t>ُّ</w:t>
      </w:r>
      <w:r w:rsidR="00B4645B" w:rsidRPr="00282AC9">
        <w:rPr>
          <w:b/>
          <w:bCs/>
          <w:rtl/>
          <w:lang w:bidi="ar-LB"/>
        </w:rPr>
        <w:t xml:space="preserve"> الش</w:t>
      </w:r>
      <w:r w:rsidR="007E2BBF" w:rsidRPr="00282AC9">
        <w:rPr>
          <w:rFonts w:hint="cs"/>
          <w:b/>
          <w:bCs/>
          <w:rtl/>
          <w:lang w:bidi="ar-LB"/>
        </w:rPr>
        <w:t>َّ</w:t>
      </w:r>
      <w:r w:rsidR="00B4645B" w:rsidRPr="00282AC9">
        <w:rPr>
          <w:b/>
          <w:bCs/>
          <w:rtl/>
          <w:lang w:bidi="ar-LB"/>
        </w:rPr>
        <w:t>ه</w:t>
      </w:r>
      <w:r w:rsidR="007E2BBF" w:rsidRPr="00282AC9">
        <w:rPr>
          <w:rFonts w:hint="cs"/>
          <w:b/>
          <w:bCs/>
          <w:rtl/>
          <w:lang w:bidi="ar-LB"/>
        </w:rPr>
        <w:t>َ</w:t>
      </w:r>
      <w:r w:rsidR="00B4645B" w:rsidRPr="00282AC9">
        <w:rPr>
          <w:b/>
          <w:bCs/>
          <w:rtl/>
          <w:lang w:bidi="ar-LB"/>
        </w:rPr>
        <w:t>و</w:t>
      </w:r>
      <w:r w:rsidR="007E2BBF" w:rsidRPr="00282AC9">
        <w:rPr>
          <w:rFonts w:hint="cs"/>
          <w:b/>
          <w:bCs/>
          <w:rtl/>
          <w:lang w:bidi="ar-LB"/>
        </w:rPr>
        <w:t>َ</w:t>
      </w:r>
      <w:r w:rsidR="00B4645B" w:rsidRPr="00282AC9">
        <w:rPr>
          <w:b/>
          <w:bCs/>
          <w:rtl/>
          <w:lang w:bidi="ar-LB"/>
        </w:rPr>
        <w:t>ات</w:t>
      </w:r>
      <w:r w:rsidR="007E2BBF" w:rsidRPr="00282AC9">
        <w:rPr>
          <w:rFonts w:hint="cs"/>
          <w:b/>
          <w:bCs/>
          <w:rtl/>
          <w:lang w:bidi="ar-LB"/>
        </w:rPr>
        <w:t>ِ</w:t>
      </w:r>
      <w:r w:rsidR="00B4645B" w:rsidRPr="00282AC9">
        <w:rPr>
          <w:b/>
          <w:bCs/>
          <w:rtl/>
          <w:lang w:bidi="ar-LB"/>
        </w:rPr>
        <w:t xml:space="preserve"> م</w:t>
      </w:r>
      <w:r w:rsidR="007E2BBF" w:rsidRPr="00282AC9">
        <w:rPr>
          <w:rFonts w:hint="cs"/>
          <w:b/>
          <w:bCs/>
          <w:rtl/>
          <w:lang w:bidi="ar-LB"/>
        </w:rPr>
        <w:t>ِ</w:t>
      </w:r>
      <w:r w:rsidR="00B4645B" w:rsidRPr="00282AC9">
        <w:rPr>
          <w:b/>
          <w:bCs/>
          <w:rtl/>
          <w:lang w:bidi="ar-LB"/>
        </w:rPr>
        <w:t>ن</w:t>
      </w:r>
      <w:r w:rsidR="007E2BBF" w:rsidRPr="00282AC9">
        <w:rPr>
          <w:rFonts w:hint="cs"/>
          <w:b/>
          <w:bCs/>
          <w:rtl/>
          <w:lang w:bidi="ar-LB"/>
        </w:rPr>
        <w:t>َ</w:t>
      </w:r>
      <w:r w:rsidR="00B4645B" w:rsidRPr="00282AC9">
        <w:rPr>
          <w:b/>
          <w:bCs/>
          <w:rtl/>
          <w:lang w:bidi="ar-LB"/>
        </w:rPr>
        <w:t xml:space="preserve"> الن</w:t>
      </w:r>
      <w:r w:rsidR="007E2BBF" w:rsidRPr="00282AC9">
        <w:rPr>
          <w:rFonts w:hint="cs"/>
          <w:b/>
          <w:bCs/>
          <w:rtl/>
          <w:lang w:bidi="ar-LB"/>
        </w:rPr>
        <w:t>ِّ</w:t>
      </w:r>
      <w:r w:rsidR="00B4645B" w:rsidRPr="00282AC9">
        <w:rPr>
          <w:b/>
          <w:bCs/>
          <w:rtl/>
          <w:lang w:bidi="ar-LB"/>
        </w:rPr>
        <w:t>س</w:t>
      </w:r>
      <w:r w:rsidR="007E2BBF" w:rsidRPr="00282AC9">
        <w:rPr>
          <w:rFonts w:hint="cs"/>
          <w:b/>
          <w:bCs/>
          <w:rtl/>
          <w:lang w:bidi="ar-LB"/>
        </w:rPr>
        <w:t>َ</w:t>
      </w:r>
      <w:r w:rsidR="00B4645B" w:rsidRPr="00282AC9">
        <w:rPr>
          <w:b/>
          <w:bCs/>
          <w:rtl/>
          <w:lang w:bidi="ar-LB"/>
        </w:rPr>
        <w:t>اء</w:t>
      </w:r>
      <w:r w:rsidR="007E2BBF" w:rsidRPr="00282AC9">
        <w:rPr>
          <w:rFonts w:hint="cs"/>
          <w:b/>
          <w:bCs/>
          <w:rtl/>
          <w:lang w:bidi="ar-LB"/>
        </w:rPr>
        <w:t>ِ</w:t>
      </w:r>
      <w:r w:rsidR="00B4645B" w:rsidRPr="00282AC9">
        <w:rPr>
          <w:b/>
          <w:bCs/>
          <w:rtl/>
          <w:lang w:bidi="ar-LB"/>
        </w:rPr>
        <w:t xml:space="preserve"> و</w:t>
      </w:r>
      <w:r w:rsidR="007E2BBF" w:rsidRPr="00282AC9">
        <w:rPr>
          <w:rFonts w:hint="cs"/>
          <w:b/>
          <w:bCs/>
          <w:rtl/>
          <w:lang w:bidi="ar-LB"/>
        </w:rPr>
        <w:t>َ</w:t>
      </w:r>
      <w:r w:rsidR="00B4645B" w:rsidRPr="00282AC9">
        <w:rPr>
          <w:b/>
          <w:bCs/>
          <w:rtl/>
          <w:lang w:bidi="ar-LB"/>
        </w:rPr>
        <w:t>ال</w:t>
      </w:r>
      <w:r w:rsidR="007E2BBF" w:rsidRPr="00282AC9">
        <w:rPr>
          <w:rFonts w:hint="cs"/>
          <w:b/>
          <w:bCs/>
          <w:rtl/>
          <w:lang w:bidi="ar-LB"/>
        </w:rPr>
        <w:t>ْ</w:t>
      </w:r>
      <w:r w:rsidR="00B4645B" w:rsidRPr="00282AC9">
        <w:rPr>
          <w:b/>
          <w:bCs/>
          <w:rtl/>
          <w:lang w:bidi="ar-LB"/>
        </w:rPr>
        <w:t>ب</w:t>
      </w:r>
      <w:r w:rsidR="007E2BBF" w:rsidRPr="00282AC9">
        <w:rPr>
          <w:rFonts w:hint="cs"/>
          <w:b/>
          <w:bCs/>
          <w:rtl/>
          <w:lang w:bidi="ar-LB"/>
        </w:rPr>
        <w:t>َ</w:t>
      </w:r>
      <w:r w:rsidR="00B4645B" w:rsidRPr="00282AC9">
        <w:rPr>
          <w:b/>
          <w:bCs/>
          <w:rtl/>
          <w:lang w:bidi="ar-LB"/>
        </w:rPr>
        <w:t>ن</w:t>
      </w:r>
      <w:r w:rsidR="007E2BBF" w:rsidRPr="00282AC9">
        <w:rPr>
          <w:rFonts w:hint="cs"/>
          <w:b/>
          <w:bCs/>
          <w:rtl/>
          <w:lang w:bidi="ar-LB"/>
        </w:rPr>
        <w:t>ِ</w:t>
      </w:r>
      <w:r w:rsidR="00B4645B" w:rsidRPr="00282AC9">
        <w:rPr>
          <w:b/>
          <w:bCs/>
          <w:rtl/>
          <w:lang w:bidi="ar-LB"/>
        </w:rPr>
        <w:t>ين</w:t>
      </w:r>
      <w:r w:rsidR="00170B86" w:rsidRPr="00282AC9">
        <w:rPr>
          <w:rFonts w:hint="cs"/>
          <w:rtl/>
          <w:lang w:bidi="ar-LB"/>
        </w:rPr>
        <w:t>...</w:t>
      </w:r>
      <w:r w:rsidR="00B4645B" w:rsidRPr="00282AC9">
        <w:rPr>
          <w:rtl/>
          <w:lang w:bidi="ar-LB"/>
        </w:rPr>
        <w:t>إلى آخر الآية</w:t>
      </w:r>
      <w:r w:rsidR="00B4645B" w:rsidRPr="00282AC9">
        <w:rPr>
          <w:rFonts w:ascii="Mosawi" w:hAnsi="Mosawi" w:cs="Mosawi"/>
          <w:sz w:val="24"/>
          <w:szCs w:val="24"/>
          <w:rtl/>
        </w:rPr>
        <w:t>﴾</w:t>
      </w:r>
      <w:r w:rsidR="00170B86" w:rsidRPr="00282AC9">
        <w:rPr>
          <w:rFonts w:hint="cs"/>
          <w:rtl/>
          <w:lang w:bidi="ar-LB"/>
        </w:rPr>
        <w:t>،</w:t>
      </w:r>
      <w:r w:rsidR="00B4645B" w:rsidRPr="00282AC9">
        <w:rPr>
          <w:rtl/>
          <w:lang w:bidi="ar-LB"/>
        </w:rPr>
        <w:t xml:space="preserve"> ثم</w:t>
      </w:r>
      <w:r w:rsidR="00170B86" w:rsidRPr="00282AC9">
        <w:rPr>
          <w:rFonts w:hint="cs"/>
          <w:rtl/>
          <w:lang w:bidi="ar-LB"/>
        </w:rPr>
        <w:t>ّ</w:t>
      </w:r>
      <w:r w:rsidR="00B4645B" w:rsidRPr="00282AC9">
        <w:rPr>
          <w:rtl/>
          <w:lang w:bidi="ar-LB"/>
        </w:rPr>
        <w:t xml:space="preserve"> قال: وإن أهل الجن</w:t>
      </w:r>
      <w:r w:rsidR="00170B86" w:rsidRPr="00282AC9">
        <w:rPr>
          <w:rFonts w:hint="cs"/>
          <w:rtl/>
          <w:lang w:bidi="ar-LB"/>
        </w:rPr>
        <w:t>ّ</w:t>
      </w:r>
      <w:r w:rsidR="00B4645B" w:rsidRPr="00282AC9">
        <w:rPr>
          <w:rtl/>
          <w:lang w:bidi="ar-LB"/>
        </w:rPr>
        <w:t>ة ما يتلذ</w:t>
      </w:r>
      <w:r w:rsidR="00170B86" w:rsidRPr="00282AC9">
        <w:rPr>
          <w:rFonts w:hint="cs"/>
          <w:rtl/>
          <w:lang w:bidi="ar-LB"/>
        </w:rPr>
        <w:t>َّ</w:t>
      </w:r>
      <w:r w:rsidR="00B4645B" w:rsidRPr="00282AC9">
        <w:rPr>
          <w:rtl/>
          <w:lang w:bidi="ar-LB"/>
        </w:rPr>
        <w:t>ذون بش</w:t>
      </w:r>
      <w:r w:rsidR="00B4645B" w:rsidRPr="00282AC9">
        <w:rPr>
          <w:rFonts w:hint="cs"/>
          <w:rtl/>
          <w:lang w:bidi="ar-LB"/>
        </w:rPr>
        <w:t>يءٍ</w:t>
      </w:r>
      <w:r w:rsidR="00B4645B" w:rsidRPr="00282AC9">
        <w:rPr>
          <w:rtl/>
          <w:lang w:bidi="ar-LB"/>
        </w:rPr>
        <w:t xml:space="preserve"> من الجن</w:t>
      </w:r>
      <w:r w:rsidR="00170B86" w:rsidRPr="00282AC9">
        <w:rPr>
          <w:rFonts w:hint="cs"/>
          <w:rtl/>
          <w:lang w:bidi="ar-LB"/>
        </w:rPr>
        <w:t>ّ</w:t>
      </w:r>
      <w:r w:rsidR="00B4645B" w:rsidRPr="00282AC9">
        <w:rPr>
          <w:rtl/>
          <w:lang w:bidi="ar-LB"/>
        </w:rPr>
        <w:t>ة أشهى عندهم من النكاح</w:t>
      </w:r>
      <w:r w:rsidR="00170B86" w:rsidRPr="00282AC9">
        <w:rPr>
          <w:rFonts w:hint="cs"/>
          <w:rtl/>
          <w:lang w:bidi="ar-LB"/>
        </w:rPr>
        <w:t>،</w:t>
      </w:r>
      <w:r w:rsidR="00B4645B" w:rsidRPr="00282AC9">
        <w:rPr>
          <w:rtl/>
          <w:lang w:bidi="ar-LB"/>
        </w:rPr>
        <w:t xml:space="preserve"> لا طعام</w:t>
      </w:r>
      <w:r w:rsidR="00170B86" w:rsidRPr="00282AC9">
        <w:rPr>
          <w:rFonts w:hint="cs"/>
          <w:rtl/>
          <w:lang w:bidi="ar-LB"/>
        </w:rPr>
        <w:t>،</w:t>
      </w:r>
      <w:r w:rsidR="00B4645B" w:rsidRPr="00282AC9">
        <w:rPr>
          <w:rtl/>
          <w:lang w:bidi="ar-LB"/>
        </w:rPr>
        <w:t xml:space="preserve"> ولا شراب</w:t>
      </w:r>
      <w:r w:rsidR="00170B86" w:rsidRPr="00282AC9">
        <w:rPr>
          <w:rFonts w:hint="eastAsia"/>
          <w:sz w:val="24"/>
          <w:szCs w:val="24"/>
          <w:rtl/>
        </w:rPr>
        <w:t>»</w:t>
      </w:r>
      <w:r w:rsidR="007F206D" w:rsidRPr="00282AC9">
        <w:rPr>
          <w:vertAlign w:val="superscript"/>
          <w:rtl/>
          <w:lang w:bidi="ar-LB"/>
        </w:rPr>
        <w:t>(</w:t>
      </w:r>
      <w:r w:rsidR="007F206D" w:rsidRPr="00282AC9">
        <w:rPr>
          <w:vertAlign w:val="superscript"/>
          <w:rtl/>
          <w:lang w:bidi="ar-LB"/>
        </w:rPr>
        <w:endnoteReference w:id="810"/>
      </w:r>
      <w:r w:rsidR="007F206D" w:rsidRPr="00282AC9">
        <w:rPr>
          <w:vertAlign w:val="superscript"/>
          <w:rtl/>
          <w:lang w:bidi="ar-LB"/>
        </w:rPr>
        <w:t>)</w:t>
      </w:r>
      <w:r w:rsidR="007F206D" w:rsidRPr="00282AC9">
        <w:rPr>
          <w:rFonts w:hint="cs"/>
          <w:rtl/>
          <w:lang w:bidi="ar-LB"/>
        </w:rPr>
        <w:t>.</w:t>
      </w:r>
    </w:p>
    <w:p w:rsidR="00B4645B" w:rsidRPr="00282AC9" w:rsidRDefault="00B4645B" w:rsidP="00DA4BC5">
      <w:pPr>
        <w:pStyle w:val="afe"/>
        <w:spacing w:after="0" w:line="420" w:lineRule="exact"/>
        <w:ind w:left="567" w:firstLine="567"/>
        <w:jc w:val="both"/>
        <w:rPr>
          <w:rFonts w:ascii="Simplified Arabic" w:hAnsi="Simplified Arabic" w:cs="AL-Mohanad"/>
          <w:sz w:val="27"/>
          <w:szCs w:val="27"/>
          <w:lang w:bidi="ar-LB"/>
        </w:rPr>
      </w:pPr>
    </w:p>
    <w:p w:rsidR="00B4645B" w:rsidRPr="00282AC9" w:rsidRDefault="00B4645B" w:rsidP="00170B86">
      <w:pPr>
        <w:pStyle w:val="31"/>
        <w:rPr>
          <w:color w:val="auto"/>
          <w:rtl/>
          <w:lang w:bidi="ar-LB"/>
        </w:rPr>
      </w:pPr>
      <w:r w:rsidRPr="00282AC9">
        <w:rPr>
          <w:color w:val="auto"/>
          <w:rtl/>
          <w:lang w:bidi="ar-LB"/>
        </w:rPr>
        <w:t>تقريب الاستدلال بالروايات</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يمكن أن يُقال بإمكانية الاستفادة من</w:t>
      </w:r>
      <w:r w:rsidRPr="00282AC9">
        <w:rPr>
          <w:rFonts w:ascii="Simplified Arabic" w:hAnsi="Simplified Arabic"/>
          <w:sz w:val="27"/>
          <w:rtl/>
          <w:lang w:bidi="ar-LB"/>
        </w:rPr>
        <w:t xml:space="preserve"> كلمة </w:t>
      </w:r>
      <w:r w:rsidRPr="00282AC9">
        <w:rPr>
          <w:rFonts w:hint="eastAsia"/>
          <w:sz w:val="24"/>
          <w:szCs w:val="24"/>
          <w:rtl/>
          <w:lang w:bidi="ar-LB"/>
        </w:rPr>
        <w:t>«</w:t>
      </w:r>
      <w:r w:rsidRPr="00282AC9">
        <w:rPr>
          <w:rFonts w:ascii="Simplified Arabic" w:hAnsi="Simplified Arabic"/>
          <w:sz w:val="27"/>
          <w:rtl/>
          <w:lang w:bidi="ar-LB"/>
        </w:rPr>
        <w:t>النساء</w:t>
      </w:r>
      <w:r w:rsidRPr="00282AC9">
        <w:rPr>
          <w:rFonts w:hint="eastAsia"/>
          <w:sz w:val="24"/>
          <w:szCs w:val="24"/>
          <w:rtl/>
        </w:rPr>
        <w:t>»</w:t>
      </w:r>
      <w:r w:rsidRPr="00282AC9">
        <w:rPr>
          <w:rFonts w:ascii="Simplified Arabic" w:hAnsi="Simplified Arabic" w:hint="cs"/>
          <w:sz w:val="27"/>
          <w:rtl/>
          <w:lang w:bidi="ar-LB"/>
        </w:rPr>
        <w:t xml:space="preserve"> الواردة في الروايات</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 xml:space="preserve"> للدلالة على</w:t>
      </w:r>
      <w:r w:rsidRPr="00282AC9">
        <w:rPr>
          <w:rFonts w:ascii="Simplified Arabic" w:hAnsi="Simplified Arabic"/>
          <w:sz w:val="27"/>
          <w:rtl/>
          <w:lang w:bidi="ar-LB"/>
        </w:rPr>
        <w:t xml:space="preserve"> الجمع </w:t>
      </w:r>
      <w:r w:rsidRPr="00282AC9">
        <w:rPr>
          <w:rFonts w:ascii="Simplified Arabic" w:hAnsi="Simplified Arabic" w:hint="cs"/>
          <w:sz w:val="27"/>
          <w:rtl/>
          <w:lang w:bidi="ar-LB"/>
        </w:rPr>
        <w:t xml:space="preserve">والكثرة </w:t>
      </w:r>
      <w:r w:rsidRPr="00282AC9">
        <w:rPr>
          <w:rFonts w:ascii="Simplified Arabic" w:hAnsi="Simplified Arabic"/>
          <w:sz w:val="27"/>
          <w:rtl/>
          <w:lang w:bidi="ar-LB"/>
        </w:rPr>
        <w:t>الع</w:t>
      </w:r>
      <w:r w:rsidR="00170B86" w:rsidRPr="00282AC9">
        <w:rPr>
          <w:rFonts w:ascii="Simplified Arabic" w:hAnsi="Simplified Arabic" w:hint="cs"/>
          <w:sz w:val="27"/>
          <w:rtl/>
          <w:lang w:bidi="ar-LB"/>
        </w:rPr>
        <w:t>َ</w:t>
      </w:r>
      <w:r w:rsidRPr="00282AC9">
        <w:rPr>
          <w:rFonts w:ascii="Simplified Arabic" w:hAnsi="Simplified Arabic"/>
          <w:sz w:val="27"/>
          <w:rtl/>
          <w:lang w:bidi="ar-LB"/>
        </w:rPr>
        <w:t>د</w:t>
      </w:r>
      <w:r w:rsidR="00170B86" w:rsidRPr="00282AC9">
        <w:rPr>
          <w:rFonts w:ascii="Simplified Arabic" w:hAnsi="Simplified Arabic" w:hint="cs"/>
          <w:sz w:val="27"/>
          <w:rtl/>
          <w:lang w:bidi="ar-LB"/>
        </w:rPr>
        <w:t>َ</w:t>
      </w:r>
      <w:r w:rsidRPr="00282AC9">
        <w:rPr>
          <w:rFonts w:ascii="Simplified Arabic" w:hAnsi="Simplified Arabic"/>
          <w:sz w:val="27"/>
          <w:rtl/>
          <w:lang w:bidi="ar-LB"/>
        </w:rPr>
        <w:t>دي</w:t>
      </w:r>
      <w:r w:rsidRPr="00282AC9">
        <w:rPr>
          <w:rFonts w:ascii="Simplified Arabic" w:hAnsi="Simplified Arabic" w:hint="cs"/>
          <w:sz w:val="27"/>
          <w:rtl/>
          <w:lang w:bidi="ar-LB"/>
        </w:rPr>
        <w:t>ة،</w:t>
      </w:r>
      <w:r w:rsidRPr="00282AC9">
        <w:rPr>
          <w:rFonts w:ascii="Simplified Arabic" w:hAnsi="Simplified Arabic"/>
          <w:sz w:val="27"/>
          <w:rtl/>
          <w:lang w:bidi="ar-LB"/>
        </w:rPr>
        <w:t xml:space="preserve"> فتكون إشارة</w:t>
      </w:r>
      <w:r w:rsidR="00170B86" w:rsidRPr="00282AC9">
        <w:rPr>
          <w:rFonts w:ascii="Simplified Arabic" w:hAnsi="Simplified Arabic" w:hint="cs"/>
          <w:sz w:val="27"/>
          <w:rtl/>
          <w:lang w:bidi="ar-LB"/>
        </w:rPr>
        <w:t>ً</w:t>
      </w:r>
      <w:r w:rsidRPr="00282AC9">
        <w:rPr>
          <w:rFonts w:ascii="Simplified Arabic" w:hAnsi="Simplified Arabic"/>
          <w:sz w:val="27"/>
          <w:rtl/>
          <w:lang w:bidi="ar-LB"/>
        </w:rPr>
        <w:t xml:space="preserve"> إلى محبوبي</w:t>
      </w:r>
      <w:r w:rsidR="00170B86" w:rsidRPr="00282AC9">
        <w:rPr>
          <w:rFonts w:ascii="Simplified Arabic" w:hAnsi="Simplified Arabic" w:hint="cs"/>
          <w:sz w:val="27"/>
          <w:rtl/>
          <w:lang w:bidi="ar-LB"/>
        </w:rPr>
        <w:t>ّ</w:t>
      </w:r>
      <w:r w:rsidRPr="00282AC9">
        <w:rPr>
          <w:rFonts w:ascii="Simplified Arabic" w:hAnsi="Simplified Arabic"/>
          <w:sz w:val="27"/>
          <w:rtl/>
          <w:lang w:bidi="ar-LB"/>
        </w:rPr>
        <w:t>ة كثرة النساء.</w:t>
      </w:r>
    </w:p>
    <w:p w:rsidR="00B4645B" w:rsidRPr="00282AC9" w:rsidRDefault="00B4645B" w:rsidP="00DA4BC5">
      <w:pPr>
        <w:spacing w:line="430" w:lineRule="exact"/>
        <w:rPr>
          <w:rFonts w:ascii="Simplified Arabic" w:hAnsi="Simplified Arabic"/>
          <w:sz w:val="27"/>
          <w:lang w:bidi="ar-LB"/>
        </w:rPr>
      </w:pPr>
    </w:p>
    <w:p w:rsidR="00B4645B" w:rsidRPr="00282AC9" w:rsidRDefault="00B4645B" w:rsidP="00C73F02">
      <w:pPr>
        <w:pStyle w:val="31"/>
        <w:rPr>
          <w:color w:val="auto"/>
          <w:rtl/>
          <w:lang w:bidi="ar-LB"/>
        </w:rPr>
      </w:pPr>
      <w:r w:rsidRPr="00282AC9">
        <w:rPr>
          <w:color w:val="auto"/>
          <w:rtl/>
        </w:rPr>
        <w:t>مناقشة</w:t>
      </w:r>
      <w:r w:rsidRPr="00282AC9">
        <w:rPr>
          <w:rFonts w:hint="cs"/>
          <w:color w:val="auto"/>
          <w:rtl/>
          <w:lang w:bidi="ar-LB"/>
        </w:rPr>
        <w:t>ٌ</w:t>
      </w:r>
      <w:r w:rsidR="00F6024C" w:rsidRPr="00282AC9">
        <w:rPr>
          <w:rFonts w:hint="cs"/>
          <w:color w:val="auto"/>
          <w:rtl/>
          <w:lang w:bidi="ar-LB"/>
        </w:rPr>
        <w:t xml:space="preserve"> وردّ</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ي</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ستخدم الجمع في اللغة العربية أحياناً لاستفادة الجنس، ويُع</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ر</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ف ذلك من سياق استخدام اللفظ</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والذي يظهر هنا أن المقصود هو جنس النساء، لا جمعهن</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وهو محل</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ات</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فاق لدى الفقهاء</w:t>
      </w:r>
      <w:r w:rsidR="00170B8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 xml:space="preserve">وبالتالي لا يمكن الاستفادة من الروايات في المقام، فلا داعي </w:t>
      </w:r>
      <w:r w:rsidRPr="00282AC9">
        <w:rPr>
          <w:rFonts w:ascii="Simplified Arabic" w:hAnsi="Simplified Arabic" w:hint="cs"/>
          <w:sz w:val="27"/>
          <w:rtl/>
          <w:lang w:bidi="ar-LB"/>
        </w:rPr>
        <w:lastRenderedPageBreak/>
        <w:t xml:space="preserve">للبحث </w:t>
      </w:r>
      <w:r w:rsidR="00170B86" w:rsidRPr="00282AC9">
        <w:rPr>
          <w:rFonts w:ascii="Simplified Arabic" w:hAnsi="Simplified Arabic" w:hint="cs"/>
          <w:sz w:val="27"/>
          <w:rtl/>
          <w:lang w:bidi="ar-LB"/>
        </w:rPr>
        <w:t xml:space="preserve">في </w:t>
      </w:r>
      <w:r w:rsidRPr="00282AC9">
        <w:rPr>
          <w:rFonts w:ascii="Simplified Arabic" w:hAnsi="Simplified Arabic" w:hint="cs"/>
          <w:sz w:val="27"/>
          <w:rtl/>
          <w:lang w:bidi="ar-LB"/>
        </w:rPr>
        <w:t>سندها.</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ولعل</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 xml:space="preserve">ه </w:t>
      </w:r>
      <w:r w:rsidR="00170B86" w:rsidRPr="00282AC9">
        <w:rPr>
          <w:rFonts w:ascii="Simplified Arabic" w:hAnsi="Simplified Arabic" w:hint="cs"/>
          <w:sz w:val="27"/>
          <w:rtl/>
          <w:lang w:bidi="ar-LB"/>
        </w:rPr>
        <w:t>ل</w:t>
      </w:r>
      <w:r w:rsidRPr="00282AC9">
        <w:rPr>
          <w:rFonts w:ascii="Simplified Arabic" w:hAnsi="Simplified Arabic" w:hint="cs"/>
          <w:sz w:val="27"/>
          <w:rtl/>
          <w:lang w:bidi="ar-LB"/>
        </w:rPr>
        <w:t xml:space="preserve">ذلك </w:t>
      </w:r>
      <w:r w:rsidR="00170B86" w:rsidRPr="00282AC9">
        <w:rPr>
          <w:rFonts w:ascii="Simplified Arabic" w:hAnsi="Simplified Arabic" w:hint="cs"/>
          <w:sz w:val="27"/>
          <w:rtl/>
          <w:lang w:bidi="ar-LB"/>
        </w:rPr>
        <w:t>قال</w:t>
      </w:r>
      <w:r w:rsidRPr="00282AC9">
        <w:rPr>
          <w:rFonts w:ascii="Simplified Arabic" w:hAnsi="Simplified Arabic"/>
          <w:sz w:val="27"/>
          <w:rtl/>
          <w:lang w:bidi="ar-LB"/>
        </w:rPr>
        <w:t xml:space="preserve"> الشيخ الاشتهاردي</w:t>
      </w:r>
      <w:r w:rsidR="00170B8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 كتابه مدارك العروة</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 xml:space="preserve"> تعليقاً على استفادة بعض الفقهاء التعد</w:t>
      </w:r>
      <w:r w:rsidR="00170B86" w:rsidRPr="00282AC9">
        <w:rPr>
          <w:rFonts w:ascii="Simplified Arabic" w:hAnsi="Simplified Arabic" w:hint="cs"/>
          <w:sz w:val="27"/>
          <w:rtl/>
          <w:lang w:bidi="ar-LB"/>
        </w:rPr>
        <w:t>ُّ</w:t>
      </w:r>
      <w:r w:rsidRPr="00282AC9">
        <w:rPr>
          <w:rFonts w:ascii="Simplified Arabic" w:hAnsi="Simplified Arabic" w:hint="cs"/>
          <w:sz w:val="27"/>
          <w:rtl/>
          <w:lang w:bidi="ar-LB"/>
        </w:rPr>
        <w:t>د من الروايات</w:t>
      </w:r>
      <w:r w:rsidR="00170B86"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hint="eastAsia"/>
          <w:sz w:val="24"/>
          <w:szCs w:val="24"/>
          <w:rtl/>
          <w:lang w:bidi="ar-LB"/>
        </w:rPr>
        <w:t>«</w:t>
      </w:r>
      <w:r w:rsidRPr="00282AC9">
        <w:rPr>
          <w:rFonts w:ascii="Simplified Arabic" w:hAnsi="Simplified Arabic"/>
          <w:sz w:val="27"/>
          <w:rtl/>
          <w:lang w:bidi="ar-LB"/>
        </w:rPr>
        <w:t>وأما استحبابه فلم أعثر على خبر</w:t>
      </w:r>
      <w:r w:rsidR="00170B86" w:rsidRPr="00282AC9">
        <w:rPr>
          <w:rFonts w:ascii="Simplified Arabic" w:hAnsi="Simplified Arabic" w:hint="cs"/>
          <w:sz w:val="27"/>
          <w:rtl/>
          <w:lang w:bidi="ar-LB"/>
        </w:rPr>
        <w:t>ٍ</w:t>
      </w:r>
      <w:r w:rsidRPr="00282AC9">
        <w:rPr>
          <w:rFonts w:ascii="Simplified Arabic" w:hAnsi="Simplified Arabic"/>
          <w:sz w:val="27"/>
          <w:rtl/>
          <w:lang w:bidi="ar-LB"/>
        </w:rPr>
        <w:t xml:space="preserve"> يدلّ عليه، وإن</w:t>
      </w:r>
      <w:r w:rsidR="00170B86" w:rsidRPr="00282AC9">
        <w:rPr>
          <w:rFonts w:ascii="Simplified Arabic" w:hAnsi="Simplified Arabic" w:hint="cs"/>
          <w:sz w:val="27"/>
          <w:rtl/>
          <w:lang w:bidi="ar-LB"/>
        </w:rPr>
        <w:t>ْ</w:t>
      </w:r>
      <w:r w:rsidRPr="00282AC9">
        <w:rPr>
          <w:rFonts w:ascii="Simplified Arabic" w:hAnsi="Simplified Arabic"/>
          <w:sz w:val="27"/>
          <w:rtl/>
          <w:lang w:bidi="ar-LB"/>
        </w:rPr>
        <w:t xml:space="preserve"> عنون في الوسائل </w:t>
      </w:r>
      <w:r w:rsidRPr="00282AC9">
        <w:rPr>
          <w:rFonts w:hint="eastAsia"/>
          <w:sz w:val="24"/>
          <w:szCs w:val="24"/>
          <w:rtl/>
          <w:lang w:bidi="ar-LB"/>
        </w:rPr>
        <w:t>«</w:t>
      </w:r>
      <w:r w:rsidRPr="00282AC9">
        <w:rPr>
          <w:rFonts w:ascii="Simplified Arabic" w:hAnsi="Simplified Arabic"/>
          <w:sz w:val="27"/>
          <w:rtl/>
          <w:lang w:bidi="ar-LB"/>
        </w:rPr>
        <w:t>باب كثرة استحباب الزوجات والمنكوحات وكثرة إتيانهنّ بغير إفراط</w:t>
      </w:r>
      <w:r w:rsidR="00283511" w:rsidRPr="00282AC9">
        <w:rPr>
          <w:rFonts w:ascii="Simplified Arabic" w:hAnsi="Simplified Arabic" w:hint="cs"/>
          <w:sz w:val="27"/>
          <w:rtl/>
          <w:lang w:bidi="ar-LB"/>
        </w:rPr>
        <w:t>ٍ</w:t>
      </w:r>
      <w:r w:rsidRPr="00282AC9">
        <w:rPr>
          <w:rFonts w:hint="eastAsia"/>
          <w:sz w:val="24"/>
          <w:szCs w:val="24"/>
          <w:rtl/>
        </w:rPr>
        <w:t>»</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وأورد فيه اثن</w:t>
      </w:r>
      <w:r w:rsidR="00283511" w:rsidRPr="00282AC9">
        <w:rPr>
          <w:rFonts w:ascii="Simplified Arabic" w:hAnsi="Simplified Arabic" w:hint="cs"/>
          <w:sz w:val="27"/>
          <w:rtl/>
          <w:lang w:bidi="ar-LB"/>
        </w:rPr>
        <w:t>ي</w:t>
      </w:r>
      <w:r w:rsidRPr="00282AC9">
        <w:rPr>
          <w:rFonts w:ascii="Simplified Arabic" w:hAnsi="Simplified Arabic"/>
          <w:sz w:val="27"/>
          <w:rtl/>
          <w:lang w:bidi="ar-LB"/>
        </w:rPr>
        <w:t xml:space="preserve"> عشر حديثا</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لا دلالة لواحد</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منها على أو</w:t>
      </w:r>
      <w:r w:rsidR="00283511" w:rsidRPr="00282AC9">
        <w:rPr>
          <w:rFonts w:ascii="Simplified Arabic" w:hAnsi="Simplified Arabic" w:hint="cs"/>
          <w:sz w:val="27"/>
          <w:rtl/>
          <w:lang w:bidi="ar-LB"/>
        </w:rPr>
        <w:t>ّ</w:t>
      </w:r>
      <w:r w:rsidRPr="00282AC9">
        <w:rPr>
          <w:rFonts w:ascii="Simplified Arabic" w:hAnsi="Simplified Arabic"/>
          <w:sz w:val="27"/>
          <w:rtl/>
          <w:lang w:bidi="ar-LB"/>
        </w:rPr>
        <w:t>ل عنوان الباب</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أي كثرة استحباب الزوجات</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نعم</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كثير</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منها دالّ</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على العنوان الثاني</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أي الإتيان</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مع ما يعارضها</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وتعدّ</w:t>
      </w:r>
      <w:r w:rsidR="00283511" w:rsidRPr="00282AC9">
        <w:rPr>
          <w:rFonts w:ascii="Simplified Arabic" w:hAnsi="Simplified Arabic" w:hint="cs"/>
          <w:sz w:val="27"/>
          <w:rtl/>
          <w:lang w:bidi="ar-LB"/>
        </w:rPr>
        <w:t>ُ</w:t>
      </w:r>
      <w:r w:rsidRPr="00282AC9">
        <w:rPr>
          <w:rFonts w:ascii="Simplified Arabic" w:hAnsi="Simplified Arabic"/>
          <w:sz w:val="27"/>
          <w:rtl/>
          <w:lang w:bidi="ar-LB"/>
        </w:rPr>
        <w:t>د زوجات وسري</w:t>
      </w:r>
      <w:r w:rsidR="00283511" w:rsidRPr="00282AC9">
        <w:rPr>
          <w:rFonts w:ascii="Simplified Arabic" w:hAnsi="Simplified Arabic" w:hint="cs"/>
          <w:sz w:val="27"/>
          <w:rtl/>
          <w:lang w:bidi="ar-LB"/>
        </w:rPr>
        <w:t>ّ</w:t>
      </w:r>
      <w:r w:rsidRPr="00282AC9">
        <w:rPr>
          <w:rFonts w:ascii="Simplified Arabic" w:hAnsi="Simplified Arabic"/>
          <w:sz w:val="27"/>
          <w:rtl/>
          <w:lang w:bidi="ar-LB"/>
        </w:rPr>
        <w:t>ات سليمان بن دا</w:t>
      </w:r>
      <w:r w:rsidR="00283511" w:rsidRPr="00282AC9">
        <w:rPr>
          <w:rFonts w:ascii="Simplified Arabic" w:hAnsi="Simplified Arabic" w:hint="cs"/>
          <w:sz w:val="27"/>
          <w:rtl/>
          <w:lang w:bidi="ar-LB"/>
        </w:rPr>
        <w:t>و</w:t>
      </w:r>
      <w:r w:rsidRPr="00282AC9">
        <w:rPr>
          <w:rFonts w:ascii="Simplified Arabic" w:hAnsi="Simplified Arabic"/>
          <w:sz w:val="27"/>
          <w:rtl/>
          <w:lang w:bidi="ar-LB"/>
        </w:rPr>
        <w:t>ود وتعدّ</w:t>
      </w:r>
      <w:r w:rsidR="00283511" w:rsidRPr="00282AC9">
        <w:rPr>
          <w:rFonts w:ascii="Simplified Arabic" w:hAnsi="Simplified Arabic" w:hint="cs"/>
          <w:sz w:val="27"/>
          <w:rtl/>
          <w:lang w:bidi="ar-LB"/>
        </w:rPr>
        <w:t>ُ</w:t>
      </w:r>
      <w:r w:rsidRPr="00282AC9">
        <w:rPr>
          <w:rFonts w:ascii="Simplified Arabic" w:hAnsi="Simplified Arabic"/>
          <w:sz w:val="27"/>
          <w:rtl/>
          <w:lang w:bidi="ar-LB"/>
        </w:rPr>
        <w:t>د زوجات النبي</w:t>
      </w:r>
      <w:r w:rsidR="00283511" w:rsidRPr="00282AC9">
        <w:rPr>
          <w:rFonts w:ascii="Simplified Arabic" w:hAnsi="Simplified Arabic" w:hint="cs"/>
          <w:sz w:val="27"/>
          <w:rtl/>
          <w:lang w:bidi="ar-LB"/>
        </w:rPr>
        <w:t>ّ</w:t>
      </w:r>
      <w:r w:rsidR="009A2A04" w:rsidRPr="00282AC9">
        <w:rPr>
          <w:rFonts w:ascii="Simplified Arabic" w:hAnsi="Simplified Arabic" w:cs="Mosawi"/>
          <w:sz w:val="22"/>
          <w:szCs w:val="22"/>
          <w:rtl/>
          <w:lang w:bidi="ar-LB"/>
        </w:rPr>
        <w:t>|</w:t>
      </w:r>
      <w:r w:rsidRPr="00282AC9">
        <w:rPr>
          <w:rFonts w:ascii="Simplified Arabic" w:hAnsi="Simplified Arabic"/>
          <w:sz w:val="27"/>
          <w:rtl/>
          <w:lang w:bidi="ar-LB"/>
        </w:rPr>
        <w:t xml:space="preserve"> غير</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دال</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على استحبابها</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كما لا يخفى، فراج</w:t>
      </w:r>
      <w:r w:rsidR="00283511" w:rsidRPr="00282AC9">
        <w:rPr>
          <w:rFonts w:ascii="Simplified Arabic" w:hAnsi="Simplified Arabic" w:hint="cs"/>
          <w:sz w:val="27"/>
          <w:rtl/>
          <w:lang w:bidi="ar-LB"/>
        </w:rPr>
        <w:t>ِ</w:t>
      </w:r>
      <w:r w:rsidRPr="00282AC9">
        <w:rPr>
          <w:rFonts w:ascii="Simplified Arabic" w:hAnsi="Simplified Arabic"/>
          <w:sz w:val="27"/>
          <w:rtl/>
          <w:lang w:bidi="ar-LB"/>
        </w:rPr>
        <w:t>ع</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ج 14</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ص 179</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باب 140</w:t>
      </w:r>
      <w:r w:rsidRPr="00282AC9">
        <w:rPr>
          <w:rFonts w:hint="eastAsia"/>
          <w:sz w:val="24"/>
          <w:szCs w:val="24"/>
          <w:rtl/>
        </w:rPr>
        <w:t>»</w:t>
      </w:r>
      <w:r w:rsidRPr="00282AC9">
        <w:rPr>
          <w:rFonts w:ascii="Simplified Arabic" w:hAnsi="Simplified Arabic"/>
          <w:sz w:val="27"/>
          <w:vertAlign w:val="superscript"/>
          <w:rtl/>
          <w:lang w:bidi="ar-LB"/>
        </w:rPr>
        <w:t>(</w:t>
      </w:r>
      <w:r w:rsidRPr="00282AC9">
        <w:rPr>
          <w:rFonts w:ascii="Simplified Arabic" w:hAnsi="Simplified Arabic"/>
          <w:sz w:val="27"/>
          <w:vertAlign w:val="superscript"/>
          <w:rtl/>
          <w:lang w:bidi="ar-LB"/>
        </w:rPr>
        <w:endnoteReference w:id="811"/>
      </w:r>
      <w:r w:rsidRPr="00282AC9">
        <w:rPr>
          <w:rFonts w:ascii="Simplified Arabic" w:hAnsi="Simplified Arabic"/>
          <w:sz w:val="27"/>
          <w:vertAlign w:val="superscript"/>
          <w:rtl/>
          <w:lang w:bidi="ar-LB"/>
        </w:rPr>
        <w:t>)</w:t>
      </w:r>
      <w:r w:rsidRPr="00282AC9">
        <w:rPr>
          <w:rFonts w:ascii="Simplified Arabic" w:hAnsi="Simplified Arabic"/>
          <w:sz w:val="27"/>
          <w:rtl/>
          <w:lang w:bidi="ar-LB"/>
        </w:rPr>
        <w:t xml:space="preserve">. </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إلا</w:t>
      </w:r>
      <w:r w:rsidR="00283511" w:rsidRPr="00282AC9">
        <w:rPr>
          <w:rFonts w:ascii="Simplified Arabic" w:hAnsi="Simplified Arabic" w:hint="cs"/>
          <w:sz w:val="27"/>
          <w:rtl/>
          <w:lang w:bidi="ar-LB"/>
        </w:rPr>
        <w:t>ّ</w:t>
      </w:r>
      <w:r w:rsidRPr="00282AC9">
        <w:rPr>
          <w:rFonts w:ascii="Simplified Arabic" w:hAnsi="Simplified Arabic" w:hint="cs"/>
          <w:sz w:val="27"/>
          <w:rtl/>
          <w:lang w:bidi="ar-LB"/>
        </w:rPr>
        <w:t xml:space="preserve"> أن هذا الكلام لا يمكن أخذه على إطلاقه</w:t>
      </w:r>
      <w:r w:rsidR="00283511"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وسيبين ذلك.</w:t>
      </w:r>
    </w:p>
    <w:p w:rsidR="00DA4BC5" w:rsidRPr="00282AC9" w:rsidRDefault="00DA4BC5" w:rsidP="00DA4BC5">
      <w:pPr>
        <w:spacing w:line="420" w:lineRule="exact"/>
        <w:rPr>
          <w:sz w:val="27"/>
          <w:rtl/>
        </w:rPr>
      </w:pPr>
      <w:bookmarkStart w:id="94" w:name="_Toc49871961"/>
    </w:p>
    <w:p w:rsidR="00B4645B" w:rsidRPr="00282AC9" w:rsidRDefault="00317376" w:rsidP="00C73F02">
      <w:pPr>
        <w:pStyle w:val="31"/>
        <w:rPr>
          <w:b/>
          <w:color w:val="auto"/>
          <w:rtl/>
          <w:lang w:bidi="ar-LB"/>
        </w:rPr>
      </w:pPr>
      <w:r w:rsidRPr="00282AC9">
        <w:rPr>
          <w:rFonts w:hint="cs"/>
          <w:color w:val="auto"/>
          <w:rtl/>
          <w:lang w:bidi="ar-LB"/>
        </w:rPr>
        <w:t xml:space="preserve">2ـ </w:t>
      </w:r>
      <w:r w:rsidR="00B4645B" w:rsidRPr="00282AC9">
        <w:rPr>
          <w:color w:val="auto"/>
          <w:rtl/>
          <w:lang w:bidi="ar-LB"/>
        </w:rPr>
        <w:t>روايات كثرة الطروقة</w:t>
      </w:r>
      <w:bookmarkEnd w:id="94"/>
    </w:p>
    <w:p w:rsidR="00F6024C" w:rsidRPr="00282AC9" w:rsidRDefault="00B4645B" w:rsidP="0091196D">
      <w:pPr>
        <w:rPr>
          <w:rFonts w:ascii="Simplified Arabic" w:hAnsi="Simplified Arabic"/>
          <w:sz w:val="27"/>
          <w:rtl/>
        </w:rPr>
      </w:pPr>
      <w:r w:rsidRPr="00282AC9">
        <w:rPr>
          <w:rFonts w:ascii="Simplified Arabic" w:hAnsi="Simplified Arabic" w:hint="cs"/>
          <w:sz w:val="27"/>
          <w:rtl/>
          <w:lang w:bidi="ar-LB"/>
        </w:rPr>
        <w:t>1ـ رواية</w:t>
      </w:r>
      <w:r w:rsidRPr="00282AC9">
        <w:rPr>
          <w:rFonts w:ascii="Simplified Arabic" w:hAnsi="Simplified Arabic"/>
          <w:sz w:val="27"/>
          <w:rtl/>
          <w:lang w:bidi="ar-LB"/>
        </w:rPr>
        <w:t xml:space="preserve"> معمر بن خلاد قال: سمعت</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علي</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بن موسى الرضا</w:t>
      </w:r>
      <w:r w:rsidR="009A2A04" w:rsidRPr="00282AC9">
        <w:rPr>
          <w:rFonts w:ascii="Simplified Arabic" w:hAnsi="Simplified Arabic" w:cs="Mosawi"/>
          <w:sz w:val="22"/>
          <w:szCs w:val="22"/>
          <w:rtl/>
          <w:lang w:bidi="ar-LB"/>
        </w:rPr>
        <w:t>×</w:t>
      </w:r>
      <w:r w:rsidRPr="00282AC9">
        <w:rPr>
          <w:rFonts w:ascii="Simplified Arabic" w:hAnsi="Simplified Arabic"/>
          <w:sz w:val="27"/>
          <w:rtl/>
          <w:lang w:bidi="ar-LB"/>
        </w:rPr>
        <w:t xml:space="preserve"> يقول: </w:t>
      </w:r>
      <w:r w:rsidR="00283511" w:rsidRPr="00282AC9">
        <w:rPr>
          <w:rFonts w:hint="eastAsia"/>
          <w:sz w:val="24"/>
          <w:szCs w:val="24"/>
          <w:rtl/>
        </w:rPr>
        <w:t>«</w:t>
      </w:r>
      <w:r w:rsidRPr="00282AC9">
        <w:rPr>
          <w:rFonts w:ascii="Simplified Arabic" w:hAnsi="Simplified Arabic"/>
          <w:sz w:val="27"/>
          <w:rtl/>
          <w:lang w:bidi="ar-LB"/>
        </w:rPr>
        <w:t>ثلاث من سنن المرسلين: العطر</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وأخذ الشعر</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وكثرة الطروقة</w:t>
      </w:r>
      <w:r w:rsidR="00283511" w:rsidRPr="00282AC9">
        <w:rPr>
          <w:rFonts w:hint="eastAsia"/>
          <w:sz w:val="24"/>
          <w:szCs w:val="24"/>
          <w:rtl/>
        </w:rPr>
        <w:t>»</w:t>
      </w:r>
      <w:r w:rsidR="00283511" w:rsidRPr="00282AC9">
        <w:rPr>
          <w:rFonts w:ascii="Simplified Arabic" w:hAnsi="Simplified Arabic"/>
          <w:sz w:val="27"/>
          <w:vertAlign w:val="superscript"/>
          <w:rtl/>
          <w:lang w:bidi="ar-LB"/>
        </w:rPr>
        <w:t>(</w:t>
      </w:r>
      <w:r w:rsidR="00283511" w:rsidRPr="00282AC9">
        <w:rPr>
          <w:rFonts w:ascii="Simplified Arabic" w:hAnsi="Simplified Arabic"/>
          <w:sz w:val="27"/>
          <w:vertAlign w:val="superscript"/>
          <w:rtl/>
          <w:lang w:bidi="ar-LB"/>
        </w:rPr>
        <w:endnoteReference w:id="812"/>
      </w:r>
      <w:r w:rsidR="00283511" w:rsidRPr="00282AC9">
        <w:rPr>
          <w:rFonts w:ascii="Simplified Arabic" w:hAnsi="Simplified Arabic"/>
          <w:sz w:val="27"/>
          <w:vertAlign w:val="superscript"/>
          <w:rtl/>
          <w:lang w:bidi="ar-LB"/>
        </w:rPr>
        <w:t>)</w:t>
      </w:r>
      <w:r w:rsidRPr="00282AC9">
        <w:rPr>
          <w:rFonts w:ascii="Simplified Arabic" w:hAnsi="Simplified Arabic"/>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ورواه الصدوق</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بإسناده عن معمر بن خلاد</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إلا أنه قال: </w:t>
      </w:r>
      <w:r w:rsidR="00283511" w:rsidRPr="00282AC9">
        <w:rPr>
          <w:rFonts w:hint="eastAsia"/>
          <w:sz w:val="24"/>
          <w:szCs w:val="24"/>
          <w:rtl/>
        </w:rPr>
        <w:t>«</w:t>
      </w:r>
      <w:r w:rsidRPr="00282AC9">
        <w:rPr>
          <w:rFonts w:ascii="Simplified Arabic" w:hAnsi="Simplified Arabic"/>
          <w:sz w:val="27"/>
          <w:rtl/>
          <w:lang w:bidi="ar-LB"/>
        </w:rPr>
        <w:t>إحفاء الشعر</w:t>
      </w:r>
      <w:r w:rsidR="00283511" w:rsidRPr="00282AC9">
        <w:rPr>
          <w:rFonts w:hint="eastAsia"/>
          <w:sz w:val="24"/>
          <w:szCs w:val="24"/>
          <w:rtl/>
        </w:rPr>
        <w:t>»</w:t>
      </w:r>
      <w:r w:rsidR="00283511" w:rsidRPr="00282AC9">
        <w:rPr>
          <w:rFonts w:ascii="Simplified Arabic" w:hAnsi="Simplified Arabic"/>
          <w:sz w:val="27"/>
          <w:vertAlign w:val="superscript"/>
          <w:rtl/>
          <w:lang w:bidi="ar-LB"/>
        </w:rPr>
        <w:t>(</w:t>
      </w:r>
      <w:r w:rsidR="00283511" w:rsidRPr="00282AC9">
        <w:rPr>
          <w:rFonts w:ascii="Simplified Arabic" w:hAnsi="Simplified Arabic"/>
          <w:sz w:val="27"/>
          <w:vertAlign w:val="superscript"/>
          <w:rtl/>
          <w:lang w:bidi="ar-LB"/>
        </w:rPr>
        <w:endnoteReference w:id="813"/>
      </w:r>
      <w:r w:rsidR="00283511" w:rsidRPr="00282AC9">
        <w:rPr>
          <w:rFonts w:ascii="Simplified Arabic" w:hAnsi="Simplified Arabic"/>
          <w:sz w:val="27"/>
          <w:vertAlign w:val="superscript"/>
          <w:rtl/>
          <w:lang w:bidi="ar-LB"/>
        </w:rPr>
        <w:t>)</w:t>
      </w:r>
      <w:r w:rsidRPr="00282AC9">
        <w:rPr>
          <w:rFonts w:ascii="Simplified Arabic" w:hAnsi="Simplified Arabic"/>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 xml:space="preserve">2ـ خبر </w:t>
      </w:r>
      <w:r w:rsidRPr="00282AC9">
        <w:rPr>
          <w:rFonts w:ascii="Simplified Arabic" w:hAnsi="Simplified Arabic"/>
          <w:sz w:val="27"/>
          <w:rtl/>
          <w:lang w:bidi="ar-LB"/>
        </w:rPr>
        <w:t>محمد بن علي</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بن الحسين قال: قال الصادق</w:t>
      </w:r>
      <w:r w:rsidR="009A2A04" w:rsidRPr="00282AC9">
        <w:rPr>
          <w:rFonts w:ascii="Simplified Arabic" w:hAnsi="Simplified Arabic" w:cs="Mosawi"/>
          <w:sz w:val="22"/>
          <w:szCs w:val="22"/>
          <w:rtl/>
          <w:lang w:bidi="ar-LB"/>
        </w:rPr>
        <w:t>×</w:t>
      </w:r>
      <w:r w:rsidR="00283511"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00283511" w:rsidRPr="00282AC9">
        <w:rPr>
          <w:rFonts w:hint="eastAsia"/>
          <w:sz w:val="24"/>
          <w:szCs w:val="24"/>
          <w:rtl/>
        </w:rPr>
        <w:t>«</w:t>
      </w:r>
      <w:r w:rsidRPr="00282AC9">
        <w:rPr>
          <w:rFonts w:ascii="Simplified Arabic" w:hAnsi="Simplified Arabic"/>
          <w:sz w:val="27"/>
          <w:rtl/>
          <w:lang w:bidi="ar-LB"/>
        </w:rPr>
        <w:t>تعل</w:t>
      </w:r>
      <w:r w:rsidR="00283511" w:rsidRPr="00282AC9">
        <w:rPr>
          <w:rFonts w:ascii="Simplified Arabic" w:hAnsi="Simplified Arabic" w:hint="cs"/>
          <w:sz w:val="27"/>
          <w:rtl/>
          <w:lang w:bidi="ar-LB"/>
        </w:rPr>
        <w:t>َّ</w:t>
      </w:r>
      <w:r w:rsidRPr="00282AC9">
        <w:rPr>
          <w:rFonts w:ascii="Simplified Arabic" w:hAnsi="Simplified Arabic"/>
          <w:sz w:val="27"/>
          <w:rtl/>
          <w:lang w:bidi="ar-LB"/>
        </w:rPr>
        <w:t>موا من الديك خمس خصال: محافظته على أوقات الصلوات، والغيرة، والسخاء، والشجاعة، وكثرة الطروقة</w:t>
      </w:r>
      <w:r w:rsidR="00283511" w:rsidRPr="00282AC9">
        <w:rPr>
          <w:rFonts w:hint="eastAsia"/>
          <w:sz w:val="24"/>
          <w:szCs w:val="24"/>
          <w:rtl/>
        </w:rPr>
        <w:t>»</w:t>
      </w:r>
      <w:r w:rsidR="00283511" w:rsidRPr="00282AC9">
        <w:rPr>
          <w:rFonts w:ascii="Simplified Arabic" w:hAnsi="Simplified Arabic"/>
          <w:sz w:val="27"/>
          <w:vertAlign w:val="superscript"/>
          <w:rtl/>
          <w:lang w:bidi="ar-LB"/>
        </w:rPr>
        <w:t>(</w:t>
      </w:r>
      <w:r w:rsidR="00283511" w:rsidRPr="00282AC9">
        <w:rPr>
          <w:rFonts w:ascii="Simplified Arabic" w:hAnsi="Simplified Arabic"/>
          <w:sz w:val="27"/>
          <w:vertAlign w:val="superscript"/>
          <w:rtl/>
          <w:lang w:bidi="ar-LB"/>
        </w:rPr>
        <w:endnoteReference w:id="814"/>
      </w:r>
      <w:r w:rsidR="00283511" w:rsidRPr="00282AC9">
        <w:rPr>
          <w:rFonts w:ascii="Simplified Arabic" w:hAnsi="Simplified Arabic"/>
          <w:sz w:val="27"/>
          <w:vertAlign w:val="superscript"/>
          <w:rtl/>
          <w:lang w:bidi="ar-LB"/>
        </w:rPr>
        <w:t>)</w:t>
      </w:r>
      <w:r w:rsidRPr="00282AC9">
        <w:rPr>
          <w:rFonts w:ascii="Simplified Arabic" w:hAnsi="Simplified Arabic"/>
          <w:sz w:val="27"/>
          <w:rtl/>
          <w:lang w:bidi="ar-LB"/>
        </w:rPr>
        <w:t>.</w:t>
      </w:r>
    </w:p>
    <w:p w:rsidR="00B4645B" w:rsidRPr="00282AC9" w:rsidRDefault="00B4645B" w:rsidP="0091196D">
      <w:pPr>
        <w:rPr>
          <w:rFonts w:ascii="Simplified Arabic" w:hAnsi="Simplified Arabic"/>
          <w:sz w:val="27"/>
          <w:lang w:bidi="ar-LB"/>
        </w:rPr>
      </w:pPr>
      <w:r w:rsidRPr="00282AC9">
        <w:rPr>
          <w:rFonts w:ascii="Simplified Arabic" w:hAnsi="Simplified Arabic" w:hint="cs"/>
          <w:sz w:val="27"/>
          <w:rtl/>
          <w:lang w:bidi="ar-LB"/>
        </w:rPr>
        <w:t>3ـ خبر</w:t>
      </w:r>
      <w:r w:rsidRPr="00282AC9">
        <w:rPr>
          <w:rFonts w:ascii="Simplified Arabic" w:hAnsi="Simplified Arabic"/>
          <w:sz w:val="27"/>
          <w:rtl/>
          <w:lang w:bidi="ar-LB"/>
        </w:rPr>
        <w:t xml:space="preserve"> أبي شعيب المحاملي، عن أبي الحسن</w:t>
      </w:r>
      <w:r w:rsidR="009A2A04" w:rsidRPr="00282AC9">
        <w:rPr>
          <w:rFonts w:ascii="Simplified Arabic" w:hAnsi="Simplified Arabic" w:cs="Mosawi"/>
          <w:sz w:val="22"/>
          <w:szCs w:val="22"/>
          <w:rtl/>
          <w:lang w:bidi="ar-LB"/>
        </w:rPr>
        <w:t>×</w:t>
      </w:r>
      <w:r w:rsidRPr="00282AC9">
        <w:rPr>
          <w:rFonts w:ascii="Simplified Arabic" w:hAnsi="Simplified Arabic"/>
          <w:sz w:val="27"/>
          <w:rtl/>
          <w:lang w:bidi="ar-LB"/>
        </w:rPr>
        <w:t xml:space="preserve"> قال</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005A7DE7" w:rsidRPr="00282AC9">
        <w:rPr>
          <w:rFonts w:hint="eastAsia"/>
          <w:sz w:val="24"/>
          <w:szCs w:val="24"/>
          <w:rtl/>
        </w:rPr>
        <w:t>«</w:t>
      </w:r>
      <w:r w:rsidRPr="00282AC9">
        <w:rPr>
          <w:rFonts w:ascii="Simplified Arabic" w:hAnsi="Simplified Arabic"/>
          <w:sz w:val="27"/>
          <w:rtl/>
          <w:lang w:bidi="ar-LB"/>
        </w:rPr>
        <w:t>في الديك خمس خصال من خصال الأنبياء:</w:t>
      </w:r>
      <w:r w:rsidR="005A7DE7" w:rsidRPr="00282AC9">
        <w:rPr>
          <w:rFonts w:ascii="Simplified Arabic" w:hAnsi="Simplified Arabic"/>
          <w:sz w:val="27"/>
          <w:rtl/>
          <w:lang w:bidi="ar-LB"/>
        </w:rPr>
        <w:t xml:space="preserve"> السخاء</w:t>
      </w:r>
      <w:r w:rsidRPr="00282AC9">
        <w:rPr>
          <w:rFonts w:ascii="Simplified Arabic" w:hAnsi="Simplified Arabic"/>
          <w:sz w:val="27"/>
          <w:rtl/>
          <w:lang w:bidi="ar-LB"/>
        </w:rPr>
        <w:t>، والقناعة، والمعرفة بأوقات الصلاة، وكثرة الطروقة، والغيرة</w:t>
      </w:r>
      <w:r w:rsidR="005A7DE7" w:rsidRPr="00282AC9">
        <w:rPr>
          <w:rFonts w:hint="eastAsia"/>
          <w:sz w:val="24"/>
          <w:szCs w:val="24"/>
          <w:rtl/>
        </w:rPr>
        <w:t>»</w:t>
      </w:r>
      <w:r w:rsidR="005A7DE7" w:rsidRPr="00282AC9">
        <w:rPr>
          <w:rFonts w:ascii="Simplified Arabic" w:hAnsi="Simplified Arabic"/>
          <w:sz w:val="27"/>
          <w:vertAlign w:val="superscript"/>
          <w:rtl/>
          <w:lang w:bidi="ar-LB"/>
        </w:rPr>
        <w:t>(</w:t>
      </w:r>
      <w:r w:rsidR="005A7DE7" w:rsidRPr="00282AC9">
        <w:rPr>
          <w:rFonts w:ascii="Simplified Arabic" w:hAnsi="Simplified Arabic"/>
          <w:sz w:val="27"/>
          <w:vertAlign w:val="superscript"/>
          <w:rtl/>
          <w:lang w:bidi="ar-LB"/>
        </w:rPr>
        <w:endnoteReference w:id="815"/>
      </w:r>
      <w:r w:rsidR="005A7DE7" w:rsidRPr="00282AC9">
        <w:rPr>
          <w:rFonts w:ascii="Simplified Arabic" w:hAnsi="Simplified Arabic"/>
          <w:sz w:val="27"/>
          <w:vertAlign w:val="superscript"/>
          <w:rtl/>
          <w:lang w:bidi="ar-LB"/>
        </w:rPr>
        <w:t>)</w:t>
      </w:r>
      <w:r w:rsidRPr="00282AC9">
        <w:rPr>
          <w:rFonts w:ascii="Simplified Arabic" w:hAnsi="Simplified Arabic"/>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 xml:space="preserve">4ـ </w:t>
      </w:r>
      <w:r w:rsidRPr="00282AC9">
        <w:rPr>
          <w:rFonts w:ascii="Simplified Arabic" w:hAnsi="Simplified Arabic"/>
          <w:sz w:val="27"/>
          <w:rtl/>
          <w:lang w:bidi="ar-LB"/>
        </w:rPr>
        <w:t>وف</w:t>
      </w:r>
      <w:r w:rsidR="005A7DE7" w:rsidRPr="00282AC9">
        <w:rPr>
          <w:rFonts w:ascii="Simplified Arabic" w:hAnsi="Simplified Arabic" w:hint="cs"/>
          <w:sz w:val="27"/>
          <w:rtl/>
          <w:lang w:bidi="ar-LB"/>
        </w:rPr>
        <w:t>ي</w:t>
      </w:r>
      <w:r w:rsidRPr="00282AC9">
        <w:rPr>
          <w:rFonts w:ascii="Simplified Arabic" w:hAnsi="Simplified Arabic"/>
          <w:sz w:val="27"/>
          <w:rtl/>
          <w:lang w:bidi="ar-LB"/>
        </w:rPr>
        <w:t xml:space="preserve"> (الخصال) </w:t>
      </w:r>
      <w:r w:rsidR="005A7DE7" w:rsidRPr="00282AC9">
        <w:rPr>
          <w:rFonts w:ascii="Simplified Arabic" w:hAnsi="Simplified Arabic" w:hint="cs"/>
          <w:sz w:val="27"/>
          <w:rtl/>
          <w:lang w:bidi="ar-LB"/>
        </w:rPr>
        <w:t>و</w:t>
      </w:r>
      <w:r w:rsidRPr="00282AC9">
        <w:rPr>
          <w:rFonts w:ascii="Simplified Arabic" w:hAnsi="Simplified Arabic"/>
          <w:sz w:val="27"/>
          <w:rtl/>
          <w:lang w:bidi="ar-LB"/>
        </w:rPr>
        <w:t>(عيون الأخبار): عن أبيه، عن أحمد بن إدريس، عن أحمد بن أحمد بن يحيى، عن إبراهيم بن حمويه، عن محمد بن عيسى قال: قال الرضا</w:t>
      </w:r>
      <w:r w:rsidR="009A2A04" w:rsidRPr="00282AC9">
        <w:rPr>
          <w:rFonts w:ascii="Simplified Arabic" w:hAnsi="Simplified Arabic" w:cs="Mosawi"/>
          <w:sz w:val="22"/>
          <w:szCs w:val="22"/>
          <w:rtl/>
          <w:lang w:bidi="ar-LB"/>
        </w:rPr>
        <w:t>×</w:t>
      </w:r>
      <w:r w:rsidRPr="00282AC9">
        <w:rPr>
          <w:rFonts w:ascii="Simplified Arabic" w:hAnsi="Simplified Arabic"/>
          <w:sz w:val="27"/>
          <w:rtl/>
          <w:lang w:bidi="ar-LB"/>
        </w:rPr>
        <w:t xml:space="preserve">: </w:t>
      </w:r>
      <w:r w:rsidR="005A7DE7" w:rsidRPr="00282AC9">
        <w:rPr>
          <w:rFonts w:hint="eastAsia"/>
          <w:sz w:val="24"/>
          <w:szCs w:val="24"/>
          <w:rtl/>
        </w:rPr>
        <w:t>«</w:t>
      </w:r>
      <w:r w:rsidRPr="00282AC9">
        <w:rPr>
          <w:rFonts w:ascii="Simplified Arabic" w:hAnsi="Simplified Arabic"/>
          <w:sz w:val="27"/>
          <w:rtl/>
          <w:lang w:bidi="ar-LB"/>
        </w:rPr>
        <w:t>في الديك الأبيض خمس خصال من خصال الأنبياء</w:t>
      </w:r>
      <w:r w:rsidR="00876ECA" w:rsidRPr="00282AC9">
        <w:rPr>
          <w:rFonts w:cs="Mosawi" w:hint="cs"/>
          <w:sz w:val="22"/>
          <w:szCs w:val="22"/>
          <w:rtl/>
        </w:rPr>
        <w:t>^</w:t>
      </w:r>
      <w:r w:rsidRPr="00282AC9">
        <w:rPr>
          <w:rFonts w:ascii="Simplified Arabic" w:hAnsi="Simplified Arabic"/>
          <w:sz w:val="27"/>
          <w:rtl/>
          <w:lang w:bidi="ar-LB"/>
        </w:rPr>
        <w:t>: معرفته بأوقات الصلاة، والغيرة، والسخاء، والشجاعة، وكثرة الطروقة</w:t>
      </w:r>
      <w:r w:rsidR="005A7DE7" w:rsidRPr="00282AC9">
        <w:rPr>
          <w:rFonts w:hint="eastAsia"/>
          <w:sz w:val="24"/>
          <w:szCs w:val="24"/>
          <w:rtl/>
        </w:rPr>
        <w:t>»</w:t>
      </w:r>
      <w:r w:rsidR="005A7DE7" w:rsidRPr="00282AC9">
        <w:rPr>
          <w:rFonts w:ascii="Simplified Arabic" w:hAnsi="Simplified Arabic"/>
          <w:sz w:val="27"/>
          <w:vertAlign w:val="superscript"/>
          <w:rtl/>
          <w:lang w:bidi="ar-LB"/>
        </w:rPr>
        <w:t>(</w:t>
      </w:r>
      <w:r w:rsidR="005A7DE7" w:rsidRPr="00282AC9">
        <w:rPr>
          <w:rFonts w:ascii="Simplified Arabic" w:hAnsi="Simplified Arabic"/>
          <w:sz w:val="27"/>
          <w:vertAlign w:val="superscript"/>
          <w:rtl/>
          <w:lang w:bidi="ar-LB"/>
        </w:rPr>
        <w:endnoteReference w:id="816"/>
      </w:r>
      <w:r w:rsidR="005A7DE7" w:rsidRPr="00282AC9">
        <w:rPr>
          <w:rFonts w:ascii="Simplified Arabic" w:hAnsi="Simplified Arabic"/>
          <w:sz w:val="27"/>
          <w:vertAlign w:val="superscript"/>
          <w:rtl/>
          <w:lang w:bidi="ar-LB"/>
        </w:rPr>
        <w:t>)</w:t>
      </w:r>
      <w:r w:rsidRPr="00282AC9">
        <w:rPr>
          <w:rFonts w:ascii="Simplified Arabic" w:hAnsi="Simplified Arabic"/>
          <w:sz w:val="27"/>
          <w:rtl/>
          <w:lang w:bidi="ar-LB"/>
        </w:rPr>
        <w:t>.</w:t>
      </w:r>
    </w:p>
    <w:p w:rsidR="006D2DEC"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5ـ خبر</w:t>
      </w:r>
      <w:r w:rsidRPr="00282AC9">
        <w:rPr>
          <w:rFonts w:ascii="Simplified Arabic" w:hAnsi="Simplified Arabic"/>
          <w:sz w:val="27"/>
          <w:rtl/>
          <w:lang w:bidi="ar-LB"/>
        </w:rPr>
        <w:t xml:space="preserve"> الحسن بن الجهم قال: رأيت</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أبا الحسن</w:t>
      </w:r>
      <w:r w:rsidR="009A2A04" w:rsidRPr="00282AC9">
        <w:rPr>
          <w:rFonts w:ascii="Simplified Arabic" w:hAnsi="Simplified Arabic" w:cs="Mosawi"/>
          <w:sz w:val="22"/>
          <w:szCs w:val="22"/>
          <w:rtl/>
          <w:lang w:bidi="ar-LB"/>
        </w:rPr>
        <w:t>×</w:t>
      </w:r>
      <w:r w:rsidRPr="00282AC9">
        <w:rPr>
          <w:rFonts w:ascii="Simplified Arabic" w:hAnsi="Simplified Arabic"/>
          <w:sz w:val="27"/>
          <w:rtl/>
          <w:lang w:bidi="ar-LB"/>
        </w:rPr>
        <w:t xml:space="preserve"> اختضب، فقلت</w:t>
      </w:r>
      <w:r w:rsidR="005A7DE7" w:rsidRPr="00282AC9">
        <w:rPr>
          <w:rFonts w:ascii="Simplified Arabic" w:hAnsi="Simplified Arabic" w:hint="cs"/>
          <w:sz w:val="27"/>
          <w:rtl/>
          <w:lang w:bidi="ar-LB"/>
        </w:rPr>
        <w:t>ُ</w:t>
      </w:r>
      <w:r w:rsidRPr="00282AC9">
        <w:rPr>
          <w:rFonts w:ascii="Simplified Arabic" w:hAnsi="Simplified Arabic"/>
          <w:sz w:val="27"/>
          <w:rtl/>
          <w:lang w:bidi="ar-LB"/>
        </w:rPr>
        <w:t>: ج</w:t>
      </w:r>
      <w:r w:rsidR="005A7DE7" w:rsidRPr="00282AC9">
        <w:rPr>
          <w:rFonts w:ascii="Simplified Arabic" w:hAnsi="Simplified Arabic" w:hint="cs"/>
          <w:sz w:val="27"/>
          <w:rtl/>
          <w:lang w:bidi="ar-LB"/>
        </w:rPr>
        <w:t>ُ</w:t>
      </w:r>
      <w:r w:rsidRPr="00282AC9">
        <w:rPr>
          <w:rFonts w:ascii="Simplified Arabic" w:hAnsi="Simplified Arabic"/>
          <w:sz w:val="27"/>
          <w:rtl/>
          <w:lang w:bidi="ar-LB"/>
        </w:rPr>
        <w:t>علت</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sz w:val="27"/>
          <w:rtl/>
          <w:lang w:bidi="ar-LB"/>
        </w:rPr>
        <w:lastRenderedPageBreak/>
        <w:t>فداك</w:t>
      </w:r>
      <w:r w:rsidR="005D3045" w:rsidRPr="00282AC9">
        <w:rPr>
          <w:rFonts w:ascii="Simplified Arabic" w:hAnsi="Simplified Arabic" w:hint="cs"/>
          <w:sz w:val="27"/>
          <w:rtl/>
          <w:lang w:bidi="ar-LB"/>
        </w:rPr>
        <w:t>،</w:t>
      </w:r>
      <w:r w:rsidRPr="00282AC9">
        <w:rPr>
          <w:rFonts w:ascii="Simplified Arabic" w:hAnsi="Simplified Arabic"/>
          <w:sz w:val="27"/>
          <w:rtl/>
          <w:lang w:bidi="ar-LB"/>
        </w:rPr>
        <w:t xml:space="preserve"> اختضب</w:t>
      </w:r>
      <w:r w:rsidR="005A7DE7" w:rsidRPr="00282AC9">
        <w:rPr>
          <w:rFonts w:ascii="Simplified Arabic" w:hAnsi="Simplified Arabic" w:hint="cs"/>
          <w:sz w:val="27"/>
          <w:rtl/>
          <w:lang w:bidi="ar-LB"/>
        </w:rPr>
        <w:t>ْ</w:t>
      </w:r>
      <w:r w:rsidRPr="00282AC9">
        <w:rPr>
          <w:rFonts w:ascii="Simplified Arabic" w:hAnsi="Simplified Arabic"/>
          <w:sz w:val="27"/>
          <w:rtl/>
          <w:lang w:bidi="ar-LB"/>
        </w:rPr>
        <w:t>ت</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فقال: </w:t>
      </w:r>
      <w:r w:rsidR="005A7DE7" w:rsidRPr="00282AC9">
        <w:rPr>
          <w:rFonts w:hint="eastAsia"/>
          <w:sz w:val="24"/>
          <w:szCs w:val="24"/>
          <w:rtl/>
        </w:rPr>
        <w:t>«</w:t>
      </w:r>
      <w:r w:rsidRPr="00282AC9">
        <w:rPr>
          <w:rFonts w:ascii="Simplified Arabic" w:hAnsi="Simplified Arabic"/>
          <w:sz w:val="27"/>
          <w:rtl/>
          <w:lang w:bidi="ar-LB"/>
        </w:rPr>
        <w:t>نعم</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إن التهيئة مما يزيد في عف</w:t>
      </w:r>
      <w:r w:rsidR="005A7DE7" w:rsidRPr="00282AC9">
        <w:rPr>
          <w:rFonts w:ascii="Simplified Arabic" w:hAnsi="Simplified Arabic" w:hint="cs"/>
          <w:sz w:val="27"/>
          <w:rtl/>
          <w:lang w:bidi="ar-LB"/>
        </w:rPr>
        <w:t>ّ</w:t>
      </w:r>
      <w:r w:rsidRPr="00282AC9">
        <w:rPr>
          <w:rFonts w:ascii="Simplified Arabic" w:hAnsi="Simplified Arabic"/>
          <w:sz w:val="27"/>
          <w:rtl/>
          <w:lang w:bidi="ar-LB"/>
        </w:rPr>
        <w:t>ة النساء</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ولقد ترك النساء العف</w:t>
      </w:r>
      <w:r w:rsidR="005A7DE7" w:rsidRPr="00282AC9">
        <w:rPr>
          <w:rFonts w:ascii="Simplified Arabic" w:hAnsi="Simplified Arabic" w:hint="cs"/>
          <w:sz w:val="27"/>
          <w:rtl/>
          <w:lang w:bidi="ar-LB"/>
        </w:rPr>
        <w:t>ّ</w:t>
      </w:r>
      <w:r w:rsidRPr="00282AC9">
        <w:rPr>
          <w:rFonts w:ascii="Simplified Arabic" w:hAnsi="Simplified Arabic"/>
          <w:sz w:val="27"/>
          <w:rtl/>
          <w:lang w:bidi="ar-LB"/>
        </w:rPr>
        <w:t>ة بترك أزواجهن</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التهيئة</w:t>
      </w:r>
      <w:r w:rsidR="005A7DE7" w:rsidRPr="00282AC9">
        <w:rPr>
          <w:rFonts w:hint="eastAsia"/>
          <w:sz w:val="24"/>
          <w:szCs w:val="24"/>
          <w:rtl/>
        </w:rPr>
        <w:t>»</w:t>
      </w:r>
      <w:r w:rsidRPr="00282AC9">
        <w:rPr>
          <w:rFonts w:ascii="Simplified Arabic" w:hAnsi="Simplified Arabic"/>
          <w:sz w:val="27"/>
          <w:rtl/>
          <w:lang w:bidi="ar-LB"/>
        </w:rPr>
        <w:t>، ثم</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قال: </w:t>
      </w:r>
      <w:r w:rsidR="005A7DE7" w:rsidRPr="00282AC9">
        <w:rPr>
          <w:rFonts w:hint="eastAsia"/>
          <w:sz w:val="24"/>
          <w:szCs w:val="24"/>
          <w:rtl/>
        </w:rPr>
        <w:t>«</w:t>
      </w:r>
      <w:r w:rsidRPr="00282AC9">
        <w:rPr>
          <w:rFonts w:ascii="Simplified Arabic" w:hAnsi="Simplified Arabic"/>
          <w:sz w:val="27"/>
          <w:rtl/>
          <w:lang w:bidi="ar-LB"/>
        </w:rPr>
        <w:t>أيسر</w:t>
      </w:r>
      <w:r w:rsidR="005A7DE7" w:rsidRPr="00282AC9">
        <w:rPr>
          <w:rFonts w:ascii="Simplified Arabic" w:hAnsi="Simplified Arabic" w:hint="cs"/>
          <w:sz w:val="27"/>
          <w:rtl/>
          <w:lang w:bidi="ar-LB"/>
        </w:rPr>
        <w:t>ّ</w:t>
      </w:r>
      <w:r w:rsidRPr="00282AC9">
        <w:rPr>
          <w:rFonts w:ascii="Simplified Arabic" w:hAnsi="Simplified Arabic"/>
          <w:sz w:val="27"/>
          <w:rtl/>
          <w:lang w:bidi="ar-LB"/>
        </w:rPr>
        <w:t>ك أن تراها على ما تراك عليه إذا كنت على غير تهيئة</w:t>
      </w:r>
      <w:r w:rsidR="005A7DE7" w:rsidRPr="00282AC9">
        <w:rPr>
          <w:rFonts w:ascii="Simplified Arabic" w:hAnsi="Simplified Arabic" w:hint="cs"/>
          <w:sz w:val="27"/>
          <w:rtl/>
          <w:lang w:bidi="ar-LB"/>
        </w:rPr>
        <w:t>ٍ</w:t>
      </w:r>
      <w:r w:rsidRPr="00282AC9">
        <w:rPr>
          <w:rFonts w:ascii="Simplified Arabic" w:hAnsi="Simplified Arabic"/>
          <w:sz w:val="27"/>
          <w:rtl/>
          <w:lang w:bidi="ar-LB"/>
        </w:rPr>
        <w:t>؟</w:t>
      </w:r>
      <w:r w:rsidR="005A7DE7" w:rsidRPr="00282AC9">
        <w:rPr>
          <w:rFonts w:hint="eastAsia"/>
          <w:sz w:val="24"/>
          <w:szCs w:val="24"/>
          <w:rtl/>
        </w:rPr>
        <w:t>»</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قلت</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لا، قال: </w:t>
      </w:r>
      <w:r w:rsidR="005A7DE7" w:rsidRPr="00282AC9">
        <w:rPr>
          <w:rFonts w:hint="eastAsia"/>
          <w:sz w:val="24"/>
          <w:szCs w:val="24"/>
          <w:rtl/>
        </w:rPr>
        <w:t>«</w:t>
      </w:r>
      <w:r w:rsidRPr="00282AC9">
        <w:rPr>
          <w:rFonts w:ascii="Simplified Arabic" w:hAnsi="Simplified Arabic"/>
          <w:sz w:val="27"/>
          <w:rtl/>
          <w:lang w:bidi="ar-LB"/>
        </w:rPr>
        <w:t>فهو ذاك</w:t>
      </w:r>
      <w:r w:rsidR="005A7DE7" w:rsidRPr="00282AC9">
        <w:rPr>
          <w:rFonts w:hint="eastAsia"/>
          <w:sz w:val="24"/>
          <w:szCs w:val="24"/>
          <w:rtl/>
        </w:rPr>
        <w:t>»</w:t>
      </w:r>
      <w:r w:rsidRPr="00282AC9">
        <w:rPr>
          <w:rFonts w:ascii="Simplified Arabic" w:hAnsi="Simplified Arabic"/>
          <w:sz w:val="27"/>
          <w:rtl/>
          <w:lang w:bidi="ar-LB"/>
        </w:rPr>
        <w:t>، ثم</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قال: </w:t>
      </w:r>
      <w:r w:rsidR="005A7DE7" w:rsidRPr="00282AC9">
        <w:rPr>
          <w:rFonts w:hint="eastAsia"/>
          <w:sz w:val="24"/>
          <w:szCs w:val="24"/>
          <w:rtl/>
        </w:rPr>
        <w:t>«</w:t>
      </w:r>
      <w:r w:rsidRPr="00282AC9">
        <w:rPr>
          <w:rFonts w:ascii="Simplified Arabic" w:hAnsi="Simplified Arabic"/>
          <w:sz w:val="27"/>
          <w:rtl/>
          <w:lang w:bidi="ar-LB"/>
        </w:rPr>
        <w:t>من أخلاق الأنبياء التنظ</w:t>
      </w:r>
      <w:r w:rsidR="00640B20" w:rsidRPr="00282AC9">
        <w:rPr>
          <w:rFonts w:ascii="Simplified Arabic" w:hAnsi="Simplified Arabic" w:hint="cs"/>
          <w:sz w:val="27"/>
          <w:rtl/>
          <w:lang w:bidi="ar-LB"/>
        </w:rPr>
        <w:t>ُّ</w:t>
      </w:r>
      <w:r w:rsidRPr="00282AC9">
        <w:rPr>
          <w:rFonts w:ascii="Simplified Arabic" w:hAnsi="Simplified Arabic"/>
          <w:sz w:val="27"/>
          <w:rtl/>
          <w:lang w:bidi="ar-LB"/>
        </w:rPr>
        <w:t>ف والتطي</w:t>
      </w:r>
      <w:r w:rsidR="00640B20" w:rsidRPr="00282AC9">
        <w:rPr>
          <w:rFonts w:ascii="Simplified Arabic" w:hAnsi="Simplified Arabic" w:hint="cs"/>
          <w:sz w:val="27"/>
          <w:rtl/>
          <w:lang w:bidi="ar-LB"/>
        </w:rPr>
        <w:t>ُّ</w:t>
      </w:r>
      <w:r w:rsidRPr="00282AC9">
        <w:rPr>
          <w:rFonts w:ascii="Simplified Arabic" w:hAnsi="Simplified Arabic"/>
          <w:sz w:val="27"/>
          <w:rtl/>
          <w:lang w:bidi="ar-LB"/>
        </w:rPr>
        <w:t>ب وحلق الشعر وكثرة الطروقة</w:t>
      </w:r>
      <w:r w:rsidR="005D3045" w:rsidRPr="00282AC9">
        <w:rPr>
          <w:rFonts w:ascii="Simplified Arabic" w:hAnsi="Simplified Arabic" w:hint="cs"/>
          <w:sz w:val="27"/>
          <w:rtl/>
          <w:lang w:bidi="ar-LB"/>
        </w:rPr>
        <w:t>...</w:t>
      </w:r>
      <w:r w:rsidRPr="00282AC9">
        <w:rPr>
          <w:rFonts w:ascii="Simplified Arabic" w:hAnsi="Simplified Arabic"/>
          <w:sz w:val="27"/>
          <w:rtl/>
          <w:lang w:bidi="ar-LB"/>
        </w:rPr>
        <w:t>، الحديث</w:t>
      </w:r>
      <w:r w:rsidR="005A7DE7" w:rsidRPr="00282AC9">
        <w:rPr>
          <w:rFonts w:hint="eastAsia"/>
          <w:sz w:val="24"/>
          <w:szCs w:val="24"/>
          <w:rtl/>
        </w:rPr>
        <w:t>»</w:t>
      </w:r>
      <w:r w:rsidRPr="00282AC9">
        <w:rPr>
          <w:rFonts w:ascii="Simplified Arabic" w:hAnsi="Simplified Arabic"/>
          <w:sz w:val="27"/>
          <w:rtl/>
          <w:lang w:bidi="ar-LB"/>
        </w:rPr>
        <w:t>.</w:t>
      </w:r>
    </w:p>
    <w:p w:rsidR="00B4645B" w:rsidRPr="00282AC9" w:rsidRDefault="00B4645B" w:rsidP="0091196D">
      <w:pPr>
        <w:rPr>
          <w:rFonts w:ascii="Simplified Arabic" w:hAnsi="Simplified Arabic"/>
          <w:sz w:val="27"/>
          <w:lang w:bidi="ar-LB"/>
        </w:rPr>
      </w:pPr>
      <w:r w:rsidRPr="00282AC9">
        <w:rPr>
          <w:rFonts w:ascii="Simplified Arabic" w:hAnsi="Simplified Arabic"/>
          <w:sz w:val="27"/>
          <w:rtl/>
          <w:lang w:bidi="ar-LB"/>
        </w:rPr>
        <w:t>أقول: وتقد</w:t>
      </w:r>
      <w:r w:rsidR="005A7DE7" w:rsidRPr="00282AC9">
        <w:rPr>
          <w:rFonts w:ascii="Simplified Arabic" w:hAnsi="Simplified Arabic" w:hint="cs"/>
          <w:sz w:val="27"/>
          <w:rtl/>
          <w:lang w:bidi="ar-LB"/>
        </w:rPr>
        <w:t>ّ</w:t>
      </w:r>
      <w:r w:rsidRPr="00282AC9">
        <w:rPr>
          <w:rFonts w:ascii="Simplified Arabic" w:hAnsi="Simplified Arabic"/>
          <w:sz w:val="27"/>
          <w:rtl/>
          <w:lang w:bidi="ar-LB"/>
        </w:rPr>
        <w:t>م ما يدل</w:t>
      </w:r>
      <w:r w:rsidR="005A7DE7" w:rsidRPr="00282AC9">
        <w:rPr>
          <w:rFonts w:ascii="Simplified Arabic" w:hAnsi="Simplified Arabic" w:hint="cs"/>
          <w:sz w:val="27"/>
          <w:rtl/>
          <w:lang w:bidi="ar-LB"/>
        </w:rPr>
        <w:t>ّ</w:t>
      </w:r>
      <w:r w:rsidRPr="00282AC9">
        <w:rPr>
          <w:rFonts w:ascii="Simplified Arabic" w:hAnsi="Simplified Arabic"/>
          <w:sz w:val="27"/>
          <w:rtl/>
          <w:lang w:bidi="ar-LB"/>
        </w:rPr>
        <w:t xml:space="preserve"> على ذلك هنا وفي الطهارة</w:t>
      </w:r>
      <w:r w:rsidRPr="00282AC9">
        <w:rPr>
          <w:rFonts w:ascii="Simplified Arabic" w:hAnsi="Simplified Arabic"/>
          <w:sz w:val="27"/>
          <w:vertAlign w:val="superscript"/>
          <w:rtl/>
          <w:lang w:bidi="ar-LB"/>
        </w:rPr>
        <w:t>(</w:t>
      </w:r>
      <w:r w:rsidRPr="00282AC9">
        <w:rPr>
          <w:rFonts w:ascii="Simplified Arabic" w:hAnsi="Simplified Arabic"/>
          <w:sz w:val="27"/>
          <w:vertAlign w:val="superscript"/>
          <w:rtl/>
          <w:lang w:bidi="ar-LB"/>
        </w:rPr>
        <w:endnoteReference w:id="817"/>
      </w:r>
      <w:r w:rsidRPr="00282AC9">
        <w:rPr>
          <w:rFonts w:ascii="Simplified Arabic" w:hAnsi="Simplified Arabic"/>
          <w:sz w:val="27"/>
          <w:vertAlign w:val="superscript"/>
          <w:rtl/>
          <w:lang w:bidi="ar-LB"/>
        </w:rPr>
        <w:t>)</w:t>
      </w:r>
      <w:r w:rsidRPr="00282AC9">
        <w:rPr>
          <w:rFonts w:ascii="Simplified Arabic" w:hAnsi="Simplified Arabic"/>
          <w:sz w:val="27"/>
          <w:rtl/>
          <w:lang w:bidi="ar-LB"/>
        </w:rPr>
        <w:t>.</w:t>
      </w:r>
    </w:p>
    <w:p w:rsidR="00B4645B" w:rsidRPr="00282AC9" w:rsidRDefault="00B4645B" w:rsidP="00DA4BC5">
      <w:pPr>
        <w:spacing w:line="420" w:lineRule="exact"/>
        <w:rPr>
          <w:rFonts w:ascii="Simplified Arabic" w:hAnsi="Simplified Arabic"/>
          <w:sz w:val="27"/>
          <w:lang w:bidi="ar-LB"/>
        </w:rPr>
      </w:pPr>
    </w:p>
    <w:p w:rsidR="00B4645B" w:rsidRPr="00282AC9" w:rsidRDefault="00C73F02" w:rsidP="00C73F02">
      <w:pPr>
        <w:pStyle w:val="31"/>
        <w:rPr>
          <w:b/>
          <w:i/>
          <w:iCs/>
          <w:color w:val="auto"/>
          <w:rtl/>
          <w:lang w:bidi="ar-LB"/>
        </w:rPr>
      </w:pPr>
      <w:r w:rsidRPr="00282AC9">
        <w:rPr>
          <w:color w:val="auto"/>
          <w:rtl/>
          <w:lang w:bidi="ar-LB"/>
        </w:rPr>
        <w:t>مناقشة سند الروايات</w:t>
      </w:r>
      <w:r w:rsidR="0090160F" w:rsidRPr="00282AC9">
        <w:rPr>
          <w:rFonts w:hint="cs"/>
          <w:color w:val="auto"/>
          <w:rtl/>
          <w:lang w:bidi="ar-LB"/>
        </w:rPr>
        <w:t>،</w:t>
      </w:r>
      <w:r w:rsidRPr="00282AC9">
        <w:rPr>
          <w:color w:val="auto"/>
          <w:rtl/>
          <w:lang w:bidi="ar-LB"/>
        </w:rPr>
        <w:t xml:space="preserve"> ودلالاتها</w:t>
      </w:r>
    </w:p>
    <w:p w:rsidR="00B4645B" w:rsidRPr="00282AC9" w:rsidRDefault="00B4645B" w:rsidP="00DA4BC5">
      <w:pPr>
        <w:spacing w:line="410" w:lineRule="exact"/>
        <w:rPr>
          <w:rFonts w:ascii="Simplified Arabic" w:hAnsi="Simplified Arabic"/>
          <w:sz w:val="27"/>
          <w:rtl/>
          <w:lang w:bidi="ar-LB"/>
        </w:rPr>
      </w:pPr>
      <w:r w:rsidRPr="00282AC9">
        <w:rPr>
          <w:rFonts w:ascii="Simplified Arabic" w:hAnsi="Simplified Arabic"/>
          <w:sz w:val="27"/>
          <w:rtl/>
          <w:lang w:bidi="ar-LB"/>
        </w:rPr>
        <w:t>الرواية الأولى صحيح</w:t>
      </w:r>
      <w:r w:rsidR="0090160F" w:rsidRPr="00282AC9">
        <w:rPr>
          <w:rFonts w:ascii="Simplified Arabic" w:hAnsi="Simplified Arabic" w:hint="cs"/>
          <w:sz w:val="27"/>
          <w:rtl/>
          <w:lang w:bidi="ar-LB"/>
        </w:rPr>
        <w:t>ة.</w:t>
      </w:r>
      <w:r w:rsidRPr="00282AC9">
        <w:rPr>
          <w:rFonts w:ascii="Simplified Arabic" w:hAnsi="Simplified Arabic"/>
          <w:sz w:val="27"/>
          <w:rtl/>
          <w:lang w:bidi="ar-LB"/>
        </w:rPr>
        <w:t xml:space="preserve"> ويمكن استفادة الاستحباب من خلال عبارة</w:t>
      </w:r>
      <w:r w:rsidR="0090160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hint="eastAsia"/>
          <w:sz w:val="24"/>
          <w:szCs w:val="24"/>
          <w:rtl/>
          <w:lang w:bidi="ar-LB"/>
        </w:rPr>
        <w:t>«</w:t>
      </w:r>
      <w:r w:rsidRPr="00282AC9">
        <w:rPr>
          <w:rFonts w:ascii="Simplified Arabic" w:hAnsi="Simplified Arabic"/>
          <w:sz w:val="27"/>
          <w:rtl/>
          <w:lang w:bidi="ar-LB"/>
        </w:rPr>
        <w:t>من سنن المرسلين</w:t>
      </w:r>
      <w:r w:rsidRPr="00282AC9">
        <w:rPr>
          <w:rFonts w:hint="eastAsia"/>
          <w:sz w:val="24"/>
          <w:szCs w:val="24"/>
          <w:rtl/>
        </w:rPr>
        <w:t>»</w:t>
      </w:r>
      <w:r w:rsidRPr="00282AC9">
        <w:rPr>
          <w:rFonts w:ascii="Simplified Arabic" w:hAnsi="Simplified Arabic"/>
          <w:sz w:val="27"/>
          <w:rtl/>
          <w:lang w:bidi="ar-LB"/>
        </w:rPr>
        <w:t>.</w:t>
      </w:r>
    </w:p>
    <w:p w:rsidR="00B4645B" w:rsidRPr="00282AC9" w:rsidRDefault="002D71A3" w:rsidP="0091196D">
      <w:pPr>
        <w:rPr>
          <w:rFonts w:ascii="Simplified Arabic" w:hAnsi="Simplified Arabic"/>
          <w:sz w:val="27"/>
          <w:rtl/>
          <w:lang w:bidi="ar-LB"/>
        </w:rPr>
      </w:pPr>
      <w:r w:rsidRPr="00282AC9">
        <w:rPr>
          <w:rFonts w:ascii="Simplified Arabic" w:hAnsi="Simplified Arabic" w:hint="cs"/>
          <w:sz w:val="27"/>
          <w:rtl/>
          <w:lang w:bidi="ar-LB"/>
        </w:rPr>
        <w:t>و</w:t>
      </w:r>
      <w:r w:rsidR="00B4645B" w:rsidRPr="00282AC9">
        <w:rPr>
          <w:rFonts w:ascii="Simplified Arabic" w:hAnsi="Simplified Arabic"/>
          <w:sz w:val="27"/>
          <w:rtl/>
          <w:lang w:bidi="ar-LB"/>
        </w:rPr>
        <w:t>الرواية الثانية</w:t>
      </w:r>
      <w:r w:rsidR="0090160F" w:rsidRPr="00282AC9">
        <w:rPr>
          <w:rFonts w:ascii="Simplified Arabic" w:hAnsi="Simplified Arabic" w:hint="cs"/>
          <w:sz w:val="27"/>
          <w:rtl/>
          <w:lang w:bidi="ar-LB"/>
        </w:rPr>
        <w:t xml:space="preserve"> </w:t>
      </w:r>
      <w:r w:rsidR="00B4645B" w:rsidRPr="00282AC9">
        <w:rPr>
          <w:rFonts w:ascii="Simplified Arabic" w:hAnsi="Simplified Arabic"/>
          <w:sz w:val="27"/>
          <w:rtl/>
          <w:lang w:bidi="ar-LB"/>
        </w:rPr>
        <w:t>هي من مراسيل الصدوق</w:t>
      </w:r>
      <w:r w:rsidR="0090160F"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فعلى م</w:t>
      </w:r>
      <w:r w:rsidR="0090160F" w:rsidRPr="00282AC9">
        <w:rPr>
          <w:rFonts w:ascii="Simplified Arabic" w:hAnsi="Simplified Arabic" w:hint="cs"/>
          <w:sz w:val="27"/>
          <w:rtl/>
          <w:lang w:bidi="ar-LB"/>
        </w:rPr>
        <w:t>ب</w:t>
      </w:r>
      <w:r w:rsidR="00B4645B" w:rsidRPr="00282AC9">
        <w:rPr>
          <w:rFonts w:ascii="Simplified Arabic" w:hAnsi="Simplified Arabic" w:hint="cs"/>
          <w:sz w:val="27"/>
          <w:rtl/>
          <w:lang w:bidi="ar-LB"/>
        </w:rPr>
        <w:t>نى م</w:t>
      </w:r>
      <w:r w:rsidR="0090160F" w:rsidRPr="00282AC9">
        <w:rPr>
          <w:rFonts w:ascii="Simplified Arabic" w:hAnsi="Simplified Arabic" w:hint="cs"/>
          <w:sz w:val="27"/>
          <w:rtl/>
          <w:lang w:bidi="ar-LB"/>
        </w:rPr>
        <w:t>َ</w:t>
      </w:r>
      <w:r w:rsidR="00B4645B" w:rsidRPr="00282AC9">
        <w:rPr>
          <w:rFonts w:ascii="Simplified Arabic" w:hAnsi="Simplified Arabic" w:hint="cs"/>
          <w:sz w:val="27"/>
          <w:rtl/>
          <w:lang w:bidi="ar-LB"/>
        </w:rPr>
        <w:t>ن</w:t>
      </w:r>
      <w:r w:rsidR="0090160F"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وثّ</w:t>
      </w:r>
      <w:r w:rsidR="0090160F" w:rsidRPr="00282AC9">
        <w:rPr>
          <w:rFonts w:ascii="Simplified Arabic" w:hAnsi="Simplified Arabic" w:hint="cs"/>
          <w:sz w:val="27"/>
          <w:rtl/>
          <w:lang w:bidi="ar-LB"/>
        </w:rPr>
        <w:t>َ</w:t>
      </w:r>
      <w:r w:rsidR="00B4645B" w:rsidRPr="00282AC9">
        <w:rPr>
          <w:rFonts w:ascii="Simplified Arabic" w:hAnsi="Simplified Arabic" w:hint="cs"/>
          <w:sz w:val="27"/>
          <w:rtl/>
          <w:lang w:bidi="ar-LB"/>
        </w:rPr>
        <w:t>ق</w:t>
      </w:r>
      <w:r w:rsidR="00B4645B" w:rsidRPr="00282AC9">
        <w:rPr>
          <w:rFonts w:ascii="Simplified Arabic" w:hAnsi="Simplified Arabic"/>
          <w:sz w:val="27"/>
          <w:rtl/>
          <w:lang w:bidi="ar-LB"/>
        </w:rPr>
        <w:t xml:space="preserve"> مراسيل الصدوق</w:t>
      </w:r>
      <w:r w:rsidR="0090160F" w:rsidRPr="00282AC9">
        <w:rPr>
          <w:rFonts w:ascii="Simplified Arabic" w:hAnsi="Simplified Arabic" w:hint="cs"/>
          <w:sz w:val="27"/>
          <w:rtl/>
          <w:lang w:bidi="ar-LB"/>
        </w:rPr>
        <w:t xml:space="preserve">، </w:t>
      </w:r>
      <w:r w:rsidR="00B4645B" w:rsidRPr="00282AC9">
        <w:rPr>
          <w:rFonts w:ascii="Simplified Arabic" w:hAnsi="Simplified Arabic" w:hint="cs"/>
          <w:sz w:val="27"/>
          <w:rtl/>
          <w:lang w:bidi="ar-LB"/>
        </w:rPr>
        <w:t xml:space="preserve">كما </w:t>
      </w:r>
      <w:r w:rsidR="0090160F" w:rsidRPr="00282AC9">
        <w:rPr>
          <w:rFonts w:ascii="Simplified Arabic" w:hAnsi="Simplified Arabic" w:hint="cs"/>
          <w:sz w:val="27"/>
          <w:rtl/>
          <w:lang w:bidi="ar-LB"/>
        </w:rPr>
        <w:t xml:space="preserve">هو رأي </w:t>
      </w:r>
      <w:r w:rsidR="00B4645B" w:rsidRPr="00282AC9">
        <w:rPr>
          <w:rFonts w:ascii="Simplified Arabic" w:hAnsi="Simplified Arabic" w:hint="cs"/>
          <w:sz w:val="27"/>
          <w:rtl/>
          <w:lang w:bidi="ar-LB"/>
        </w:rPr>
        <w:t>السيد الخميني</w:t>
      </w:r>
      <w:r w:rsidR="0090160F"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w:t>
      </w:r>
      <w:r w:rsidR="0090160F" w:rsidRPr="00282AC9">
        <w:rPr>
          <w:rFonts w:ascii="Simplified Arabic" w:hAnsi="Simplified Arabic"/>
          <w:sz w:val="27"/>
          <w:rtl/>
          <w:lang w:bidi="ar-LB"/>
        </w:rPr>
        <w:t xml:space="preserve">تكون </w:t>
      </w:r>
      <w:r w:rsidR="00B4645B" w:rsidRPr="00282AC9">
        <w:rPr>
          <w:rFonts w:ascii="Simplified Arabic" w:hAnsi="Simplified Arabic"/>
          <w:sz w:val="27"/>
          <w:rtl/>
          <w:lang w:bidi="ar-LB"/>
        </w:rPr>
        <w:t>الرواية صحيحة</w:t>
      </w:r>
      <w:r w:rsidR="0090160F"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وحينها ي</w:t>
      </w:r>
      <w:r w:rsidR="0090160F" w:rsidRPr="00282AC9">
        <w:rPr>
          <w:rFonts w:ascii="Simplified Arabic" w:hAnsi="Simplified Arabic" w:hint="cs"/>
          <w:sz w:val="27"/>
          <w:rtl/>
          <w:lang w:bidi="ar-LB"/>
        </w:rPr>
        <w:t>ُ</w:t>
      </w:r>
      <w:r w:rsidR="00B4645B" w:rsidRPr="00282AC9">
        <w:rPr>
          <w:rFonts w:ascii="Simplified Arabic" w:hAnsi="Simplified Arabic"/>
          <w:sz w:val="27"/>
          <w:rtl/>
          <w:lang w:bidi="ar-LB"/>
        </w:rPr>
        <w:t>ستفاد ال</w:t>
      </w:r>
      <w:r w:rsidR="00B4645B" w:rsidRPr="00282AC9">
        <w:rPr>
          <w:rFonts w:ascii="Simplified Arabic" w:hAnsi="Simplified Arabic" w:hint="cs"/>
          <w:sz w:val="27"/>
          <w:rtl/>
          <w:lang w:bidi="ar-LB"/>
        </w:rPr>
        <w:t>ا</w:t>
      </w:r>
      <w:r w:rsidR="00B4645B" w:rsidRPr="00282AC9">
        <w:rPr>
          <w:rFonts w:ascii="Simplified Arabic" w:hAnsi="Simplified Arabic"/>
          <w:sz w:val="27"/>
          <w:rtl/>
          <w:lang w:bidi="ar-LB"/>
        </w:rPr>
        <w:t xml:space="preserve">ستحباب منها بصيغة الأمر </w:t>
      </w:r>
      <w:r w:rsidR="00B4645B" w:rsidRPr="00282AC9">
        <w:rPr>
          <w:rFonts w:ascii="Simplified Arabic" w:hAnsi="Simplified Arabic" w:hint="cs"/>
          <w:sz w:val="27"/>
          <w:rtl/>
          <w:lang w:bidi="ar-LB"/>
        </w:rPr>
        <w:t xml:space="preserve">في فعل </w:t>
      </w:r>
      <w:r w:rsidR="0090160F" w:rsidRPr="00282AC9">
        <w:rPr>
          <w:rFonts w:hint="eastAsia"/>
          <w:sz w:val="24"/>
          <w:szCs w:val="24"/>
          <w:rtl/>
        </w:rPr>
        <w:t>«</w:t>
      </w:r>
      <w:r w:rsidR="00B4645B" w:rsidRPr="00282AC9">
        <w:rPr>
          <w:rFonts w:ascii="Simplified Arabic" w:hAnsi="Simplified Arabic" w:hint="cs"/>
          <w:sz w:val="27"/>
          <w:rtl/>
          <w:lang w:bidi="ar-LB"/>
        </w:rPr>
        <w:t>تعل</w:t>
      </w:r>
      <w:r w:rsidR="0090160F" w:rsidRPr="00282AC9">
        <w:rPr>
          <w:rFonts w:ascii="Simplified Arabic" w:hAnsi="Simplified Arabic" w:hint="cs"/>
          <w:sz w:val="27"/>
          <w:rtl/>
          <w:lang w:bidi="ar-LB"/>
        </w:rPr>
        <w:t>َّ</w:t>
      </w:r>
      <w:r w:rsidR="00B4645B" w:rsidRPr="00282AC9">
        <w:rPr>
          <w:rFonts w:ascii="Simplified Arabic" w:hAnsi="Simplified Arabic" w:hint="cs"/>
          <w:sz w:val="27"/>
          <w:rtl/>
          <w:lang w:bidi="ar-LB"/>
        </w:rPr>
        <w:t>موا</w:t>
      </w:r>
      <w:r w:rsidR="0090160F" w:rsidRPr="00282AC9">
        <w:rPr>
          <w:rFonts w:hint="eastAsia"/>
          <w:sz w:val="24"/>
          <w:szCs w:val="24"/>
          <w:rtl/>
        </w:rPr>
        <w:t>»</w:t>
      </w:r>
      <w:r w:rsidR="00B4645B" w:rsidRPr="00282AC9">
        <w:rPr>
          <w:rFonts w:ascii="Simplified Arabic" w:hAnsi="Simplified Arabic" w:hint="cs"/>
          <w:sz w:val="27"/>
          <w:rtl/>
          <w:lang w:bidi="ar-LB"/>
        </w:rPr>
        <w:t>.</w:t>
      </w:r>
    </w:p>
    <w:p w:rsidR="00B4645B" w:rsidRPr="00282AC9" w:rsidRDefault="0090160F" w:rsidP="0091196D">
      <w:pPr>
        <w:rPr>
          <w:rFonts w:ascii="Simplified Arabic" w:hAnsi="Simplified Arabic"/>
          <w:sz w:val="27"/>
          <w:rtl/>
          <w:lang w:bidi="ar-LB"/>
        </w:rPr>
      </w:pPr>
      <w:r w:rsidRPr="00282AC9">
        <w:rPr>
          <w:rFonts w:ascii="Simplified Arabic" w:hAnsi="Simplified Arabic" w:hint="cs"/>
          <w:sz w:val="27"/>
          <w:rtl/>
          <w:lang w:bidi="ar-LB"/>
        </w:rPr>
        <w:t>و</w:t>
      </w:r>
      <w:r w:rsidR="00B4645B" w:rsidRPr="00282AC9">
        <w:rPr>
          <w:rFonts w:ascii="Simplified Arabic" w:hAnsi="Simplified Arabic"/>
          <w:sz w:val="27"/>
          <w:rtl/>
          <w:lang w:bidi="ar-LB"/>
        </w:rPr>
        <w:t>الرواي</w:t>
      </w:r>
      <w:r w:rsidRPr="00282AC9">
        <w:rPr>
          <w:rFonts w:ascii="Simplified Arabic" w:hAnsi="Simplified Arabic" w:hint="cs"/>
          <w:sz w:val="27"/>
          <w:rtl/>
          <w:lang w:bidi="ar-LB"/>
        </w:rPr>
        <w:t>تان</w:t>
      </w:r>
      <w:r w:rsidR="00B4645B" w:rsidRPr="00282AC9">
        <w:rPr>
          <w:rFonts w:ascii="Simplified Arabic" w:hAnsi="Simplified Arabic"/>
          <w:sz w:val="27"/>
          <w:rtl/>
          <w:lang w:bidi="ar-LB"/>
        </w:rPr>
        <w:t xml:space="preserve"> الثالثة والرابعة </w:t>
      </w:r>
      <w:r w:rsidRPr="00282AC9">
        <w:rPr>
          <w:rFonts w:ascii="Simplified Arabic" w:hAnsi="Simplified Arabic" w:hint="cs"/>
          <w:sz w:val="27"/>
          <w:rtl/>
          <w:lang w:bidi="ar-LB"/>
        </w:rPr>
        <w:t>ب</w:t>
      </w:r>
      <w:r w:rsidR="00B4645B" w:rsidRPr="00282AC9">
        <w:rPr>
          <w:rFonts w:ascii="Simplified Arabic" w:hAnsi="Simplified Arabic"/>
          <w:sz w:val="27"/>
          <w:rtl/>
          <w:lang w:bidi="ar-LB"/>
        </w:rPr>
        <w:t>نفس المضمون</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والسند </w:t>
      </w:r>
      <w:r w:rsidR="00B4645B" w:rsidRPr="00282AC9">
        <w:rPr>
          <w:rFonts w:ascii="Simplified Arabic" w:hAnsi="Simplified Arabic" w:hint="cs"/>
          <w:sz w:val="27"/>
          <w:rtl/>
          <w:lang w:bidi="ar-LB"/>
        </w:rPr>
        <w:t>في الثالثة صحيح</w:t>
      </w:r>
      <w:r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w:t>
      </w:r>
      <w:r w:rsidRPr="00282AC9">
        <w:rPr>
          <w:rFonts w:ascii="Simplified Arabic" w:hAnsi="Simplified Arabic" w:hint="cs"/>
          <w:sz w:val="27"/>
          <w:rtl/>
          <w:lang w:bidi="ar-LB"/>
        </w:rPr>
        <w:t>عند مَ</w:t>
      </w:r>
      <w:r w:rsidR="00B4645B" w:rsidRPr="00282AC9">
        <w:rPr>
          <w:rFonts w:ascii="Simplified Arabic" w:hAnsi="Simplified Arabic" w:hint="cs"/>
          <w:sz w:val="27"/>
          <w:rtl/>
          <w:lang w:bidi="ar-LB"/>
        </w:rPr>
        <w:t>ن</w:t>
      </w:r>
      <w:r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قال بتصحيح الع</w:t>
      </w:r>
      <w:r w:rsidRPr="00282AC9">
        <w:rPr>
          <w:rFonts w:ascii="Simplified Arabic" w:hAnsi="Simplified Arabic" w:hint="cs"/>
          <w:sz w:val="27"/>
          <w:rtl/>
          <w:lang w:bidi="ar-LB"/>
        </w:rPr>
        <w:t>ِ</w:t>
      </w:r>
      <w:r w:rsidR="00B4645B" w:rsidRPr="00282AC9">
        <w:rPr>
          <w:rFonts w:ascii="Simplified Arabic" w:hAnsi="Simplified Arabic" w:hint="cs"/>
          <w:sz w:val="27"/>
          <w:rtl/>
          <w:lang w:bidi="ar-LB"/>
        </w:rPr>
        <w:t>د</w:t>
      </w:r>
      <w:r w:rsidRPr="00282AC9">
        <w:rPr>
          <w:rFonts w:ascii="Simplified Arabic" w:hAnsi="Simplified Arabic" w:hint="cs"/>
          <w:sz w:val="27"/>
          <w:rtl/>
          <w:lang w:bidi="ar-LB"/>
        </w:rPr>
        <w:t>َ</w:t>
      </w:r>
      <w:r w:rsidR="00B4645B" w:rsidRPr="00282AC9">
        <w:rPr>
          <w:rFonts w:ascii="Simplified Arabic" w:hAnsi="Simplified Arabic" w:hint="cs"/>
          <w:sz w:val="27"/>
          <w:rtl/>
          <w:lang w:bidi="ar-LB"/>
        </w:rPr>
        <w:t>د</w:t>
      </w:r>
      <w:r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وأما </w:t>
      </w:r>
      <w:r w:rsidR="00B4645B" w:rsidRPr="00282AC9">
        <w:rPr>
          <w:rFonts w:ascii="Simplified Arabic" w:hAnsi="Simplified Arabic"/>
          <w:sz w:val="27"/>
          <w:rtl/>
          <w:lang w:bidi="ar-LB"/>
        </w:rPr>
        <w:t>في ال</w:t>
      </w:r>
      <w:r w:rsidR="00B4645B" w:rsidRPr="00282AC9">
        <w:rPr>
          <w:rFonts w:ascii="Simplified Arabic" w:hAnsi="Simplified Arabic" w:hint="cs"/>
          <w:sz w:val="27"/>
          <w:rtl/>
          <w:lang w:bidi="ar-LB"/>
        </w:rPr>
        <w:t>رابعة فالسند صحيح</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w:t>
      </w:r>
      <w:r w:rsidR="002D71A3" w:rsidRPr="00282AC9">
        <w:rPr>
          <w:rFonts w:ascii="Simplified Arabic" w:hAnsi="Simplified Arabic" w:hint="cs"/>
          <w:sz w:val="27"/>
          <w:rtl/>
          <w:lang w:bidi="ar-LB"/>
        </w:rPr>
        <w:t>عند مَ</w:t>
      </w:r>
      <w:r w:rsidR="00B4645B" w:rsidRPr="00282AC9">
        <w:rPr>
          <w:rFonts w:ascii="Simplified Arabic" w:hAnsi="Simplified Arabic" w:hint="cs"/>
          <w:sz w:val="27"/>
          <w:rtl/>
          <w:lang w:bidi="ar-LB"/>
        </w:rPr>
        <w:t>ن</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قال بصح</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ة قاعدة </w:t>
      </w:r>
      <w:r w:rsidR="00B4645B" w:rsidRPr="00282AC9">
        <w:rPr>
          <w:rFonts w:hint="eastAsia"/>
          <w:sz w:val="24"/>
          <w:szCs w:val="24"/>
          <w:rtl/>
          <w:lang w:bidi="ar-LB"/>
        </w:rPr>
        <w:t>«</w:t>
      </w:r>
      <w:r w:rsidR="002D71A3" w:rsidRPr="00282AC9">
        <w:rPr>
          <w:rFonts w:ascii="Simplified Arabic" w:hAnsi="Simplified Arabic" w:hint="cs"/>
          <w:sz w:val="27"/>
          <w:rtl/>
          <w:lang w:bidi="ar-LB"/>
        </w:rPr>
        <w:t>إ</w:t>
      </w:r>
      <w:r w:rsidR="00B4645B" w:rsidRPr="00282AC9">
        <w:rPr>
          <w:rFonts w:ascii="Simplified Arabic" w:hAnsi="Simplified Arabic" w:hint="cs"/>
          <w:sz w:val="27"/>
          <w:rtl/>
          <w:lang w:bidi="ar-LB"/>
        </w:rPr>
        <w:t>ن كل</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م</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ن</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لم يست</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ث</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ن</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ه محمد بن أحمد بن يحيى ثقة</w:t>
      </w:r>
      <w:r w:rsidR="00B4645B" w:rsidRPr="00282AC9">
        <w:rPr>
          <w:rFonts w:hint="eastAsia"/>
          <w:sz w:val="24"/>
          <w:szCs w:val="24"/>
          <w:rtl/>
        </w:rPr>
        <w:t>»</w:t>
      </w:r>
      <w:r w:rsidR="00B4645B" w:rsidRPr="00282AC9">
        <w:rPr>
          <w:rFonts w:ascii="Simplified Arabic" w:hAnsi="Simplified Arabic" w:hint="cs"/>
          <w:sz w:val="27"/>
          <w:rtl/>
          <w:lang w:bidi="ar-LB"/>
        </w:rPr>
        <w:t xml:space="preserve">، فيكون </w:t>
      </w:r>
      <w:r w:rsidR="00B4645B" w:rsidRPr="00282AC9">
        <w:rPr>
          <w:rFonts w:hint="eastAsia"/>
          <w:sz w:val="24"/>
          <w:szCs w:val="24"/>
          <w:rtl/>
          <w:lang w:bidi="ar-LB"/>
        </w:rPr>
        <w:t>«</w:t>
      </w:r>
      <w:r w:rsidR="00B4645B" w:rsidRPr="00282AC9">
        <w:rPr>
          <w:rFonts w:ascii="Simplified Arabic" w:hAnsi="Simplified Arabic"/>
          <w:sz w:val="27"/>
          <w:rtl/>
          <w:lang w:bidi="ar-LB"/>
        </w:rPr>
        <w:t>إبراهيم بن حمويه</w:t>
      </w:r>
      <w:r w:rsidR="00B4645B" w:rsidRPr="00282AC9">
        <w:rPr>
          <w:rFonts w:hint="eastAsia"/>
          <w:sz w:val="24"/>
          <w:szCs w:val="24"/>
          <w:rtl/>
        </w:rPr>
        <w:t>»</w:t>
      </w:r>
      <w:r w:rsidR="00B4645B" w:rsidRPr="00282AC9">
        <w:rPr>
          <w:rFonts w:ascii="Simplified Arabic" w:hAnsi="Simplified Arabic" w:hint="cs"/>
          <w:sz w:val="27"/>
          <w:rtl/>
          <w:lang w:bidi="ar-LB"/>
        </w:rPr>
        <w:t xml:space="preserve"> ثقة</w:t>
      </w:r>
      <w:r w:rsidR="002D71A3" w:rsidRPr="00282AC9">
        <w:rPr>
          <w:rFonts w:ascii="Simplified Arabic" w:hAnsi="Simplified Arabic" w:hint="cs"/>
          <w:sz w:val="27"/>
          <w:rtl/>
          <w:lang w:bidi="ar-LB"/>
        </w:rPr>
        <w:t>ً</w:t>
      </w:r>
      <w:r w:rsidR="00B4645B" w:rsidRPr="00282AC9">
        <w:rPr>
          <w:rFonts w:ascii="Simplified Arabic" w:hAnsi="Simplified Arabic" w:hint="cs"/>
          <w:sz w:val="27"/>
          <w:rtl/>
          <w:lang w:bidi="ar-LB"/>
        </w:rPr>
        <w:t>.</w:t>
      </w:r>
    </w:p>
    <w:p w:rsidR="00B4645B" w:rsidRPr="00282AC9" w:rsidRDefault="002D71A3" w:rsidP="0091196D">
      <w:pPr>
        <w:rPr>
          <w:rFonts w:ascii="Simplified Arabic" w:hAnsi="Simplified Arabic"/>
          <w:sz w:val="27"/>
          <w:rtl/>
          <w:lang w:bidi="ar-LB"/>
        </w:rPr>
      </w:pPr>
      <w:r w:rsidRPr="00282AC9">
        <w:rPr>
          <w:rFonts w:ascii="Simplified Arabic" w:hAnsi="Simplified Arabic" w:hint="cs"/>
          <w:sz w:val="27"/>
          <w:rtl/>
          <w:lang w:bidi="ar-LB"/>
        </w:rPr>
        <w:t>و</w:t>
      </w:r>
      <w:r w:rsidR="00B4645B" w:rsidRPr="00282AC9">
        <w:rPr>
          <w:rFonts w:ascii="Simplified Arabic" w:hAnsi="Simplified Arabic"/>
          <w:sz w:val="27"/>
          <w:rtl/>
          <w:lang w:bidi="ar-LB"/>
        </w:rPr>
        <w:t>الرواية الخامسة تدل</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على المطلوب</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مع القول بصح</w:t>
      </w:r>
      <w:r w:rsidRPr="00282AC9">
        <w:rPr>
          <w:rFonts w:ascii="Simplified Arabic" w:hAnsi="Simplified Arabic" w:hint="cs"/>
          <w:sz w:val="27"/>
          <w:rtl/>
          <w:lang w:bidi="ar-LB"/>
        </w:rPr>
        <w:t>ّ</w:t>
      </w:r>
      <w:r w:rsidR="00B4645B" w:rsidRPr="00282AC9">
        <w:rPr>
          <w:rFonts w:ascii="Simplified Arabic" w:hAnsi="Simplified Arabic"/>
          <w:sz w:val="27"/>
          <w:rtl/>
          <w:lang w:bidi="ar-LB"/>
        </w:rPr>
        <w:t>ة الع</w:t>
      </w:r>
      <w:r w:rsidRPr="00282AC9">
        <w:rPr>
          <w:rFonts w:ascii="Simplified Arabic" w:hAnsi="Simplified Arabic" w:hint="cs"/>
          <w:sz w:val="27"/>
          <w:rtl/>
          <w:lang w:bidi="ar-LB"/>
        </w:rPr>
        <w:t>ِ</w:t>
      </w:r>
      <w:r w:rsidRPr="00282AC9">
        <w:rPr>
          <w:rFonts w:ascii="Simplified Arabic" w:hAnsi="Simplified Arabic"/>
          <w:sz w:val="27"/>
          <w:rtl/>
          <w:lang w:bidi="ar-LB"/>
        </w:rPr>
        <w:t>د</w:t>
      </w:r>
      <w:r w:rsidRPr="00282AC9">
        <w:rPr>
          <w:rFonts w:ascii="Simplified Arabic" w:hAnsi="Simplified Arabic" w:hint="cs"/>
          <w:sz w:val="27"/>
          <w:rtl/>
          <w:lang w:bidi="ar-LB"/>
        </w:rPr>
        <w:t>َ</w:t>
      </w:r>
      <w:r w:rsidR="00B4645B" w:rsidRPr="00282AC9">
        <w:rPr>
          <w:rFonts w:ascii="Simplified Arabic" w:hAnsi="Simplified Arabic"/>
          <w:sz w:val="27"/>
          <w:rtl/>
          <w:lang w:bidi="ar-LB"/>
        </w:rPr>
        <w:t>د.</w:t>
      </w:r>
    </w:p>
    <w:p w:rsidR="00B4645B" w:rsidRPr="00282AC9" w:rsidRDefault="002D71A3" w:rsidP="00DA4BC5">
      <w:pPr>
        <w:spacing w:line="410" w:lineRule="exact"/>
        <w:rPr>
          <w:rFonts w:ascii="Simplified Arabic" w:hAnsi="Simplified Arabic"/>
          <w:sz w:val="27"/>
          <w:rtl/>
          <w:lang w:bidi="ar-LB"/>
        </w:rPr>
      </w:pPr>
      <w:r w:rsidRPr="00282AC9">
        <w:rPr>
          <w:rFonts w:ascii="Simplified Arabic" w:hAnsi="Simplified Arabic" w:hint="cs"/>
          <w:sz w:val="27"/>
          <w:rtl/>
          <w:lang w:bidi="ar-LB"/>
        </w:rPr>
        <w:t>و</w:t>
      </w:r>
      <w:r w:rsidRPr="00282AC9">
        <w:rPr>
          <w:rFonts w:ascii="Simplified Arabic" w:hAnsi="Simplified Arabic"/>
          <w:sz w:val="27"/>
          <w:rtl/>
          <w:lang w:bidi="ar-LB"/>
        </w:rPr>
        <w:t xml:space="preserve">إلى هنا </w:t>
      </w:r>
      <w:r w:rsidRPr="00282AC9">
        <w:rPr>
          <w:rFonts w:ascii="Simplified Arabic" w:hAnsi="Simplified Arabic" w:hint="cs"/>
          <w:sz w:val="27"/>
          <w:rtl/>
          <w:lang w:bidi="ar-LB"/>
        </w:rPr>
        <w:t>ف</w:t>
      </w:r>
      <w:r w:rsidR="00B4645B" w:rsidRPr="00282AC9">
        <w:rPr>
          <w:rFonts w:ascii="Simplified Arabic" w:hAnsi="Simplified Arabic"/>
          <w:sz w:val="27"/>
          <w:rtl/>
          <w:lang w:bidi="ar-LB"/>
        </w:rPr>
        <w:t>ال</w:t>
      </w:r>
      <w:r w:rsidR="00B4645B" w:rsidRPr="00282AC9">
        <w:rPr>
          <w:rFonts w:ascii="Simplified Arabic" w:hAnsi="Simplified Arabic" w:hint="cs"/>
          <w:sz w:val="27"/>
          <w:rtl/>
          <w:lang w:bidi="ar-LB"/>
        </w:rPr>
        <w:t>نتيجة</w:t>
      </w:r>
      <w:r w:rsidR="00B4645B" w:rsidRPr="00282AC9">
        <w:rPr>
          <w:rFonts w:ascii="Simplified Arabic" w:hAnsi="Simplified Arabic"/>
          <w:sz w:val="27"/>
          <w:rtl/>
          <w:lang w:bidi="ar-LB"/>
        </w:rPr>
        <w:t xml:space="preserve"> من هذه الرو</w:t>
      </w:r>
      <w:r w:rsidR="00B4645B" w:rsidRPr="00282AC9">
        <w:rPr>
          <w:rFonts w:ascii="Simplified Arabic" w:hAnsi="Simplified Arabic" w:hint="cs"/>
          <w:sz w:val="27"/>
          <w:rtl/>
          <w:lang w:bidi="ar-LB"/>
        </w:rPr>
        <w:t>ا</w:t>
      </w:r>
      <w:r w:rsidR="00B4645B" w:rsidRPr="00282AC9">
        <w:rPr>
          <w:rFonts w:ascii="Simplified Arabic" w:hAnsi="Simplified Arabic"/>
          <w:sz w:val="27"/>
          <w:rtl/>
          <w:lang w:bidi="ar-LB"/>
        </w:rPr>
        <w:t xml:space="preserve">يات </w:t>
      </w:r>
      <w:r w:rsidRPr="00282AC9">
        <w:rPr>
          <w:rFonts w:ascii="Simplified Arabic" w:hAnsi="Simplified Arabic" w:hint="cs"/>
          <w:sz w:val="27"/>
          <w:rtl/>
          <w:lang w:bidi="ar-LB"/>
        </w:rPr>
        <w:t xml:space="preserve">هو </w:t>
      </w:r>
      <w:r w:rsidR="00B4645B" w:rsidRPr="00282AC9">
        <w:rPr>
          <w:rFonts w:ascii="Simplified Arabic" w:hAnsi="Simplified Arabic"/>
          <w:sz w:val="27"/>
          <w:rtl/>
          <w:lang w:bidi="ar-LB"/>
        </w:rPr>
        <w:t>استحباب كثرة الطروقة</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برواية</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صحيحة</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وأخرى مختلفٍ بها</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w:t>
      </w:r>
      <w:r w:rsidRPr="00282AC9">
        <w:rPr>
          <w:rFonts w:ascii="Simplified Arabic" w:hAnsi="Simplified Arabic" w:hint="cs"/>
          <w:sz w:val="27"/>
          <w:rtl/>
          <w:lang w:bidi="ar-LB"/>
        </w:rPr>
        <w:t>و</w:t>
      </w:r>
      <w:r w:rsidR="00B4645B" w:rsidRPr="00282AC9">
        <w:rPr>
          <w:rFonts w:ascii="Simplified Arabic" w:hAnsi="Simplified Arabic"/>
          <w:sz w:val="27"/>
          <w:rtl/>
          <w:lang w:bidi="ar-LB"/>
        </w:rPr>
        <w:t>يمكن تصحيحها وفق بعض المباني.</w:t>
      </w:r>
    </w:p>
    <w:p w:rsidR="00B4645B" w:rsidRPr="00282AC9" w:rsidRDefault="00B4645B" w:rsidP="00DA4BC5">
      <w:pPr>
        <w:spacing w:line="420" w:lineRule="exact"/>
        <w:rPr>
          <w:rFonts w:ascii="Simplified Arabic" w:hAnsi="Simplified Arabic"/>
          <w:sz w:val="27"/>
        </w:rPr>
      </w:pPr>
    </w:p>
    <w:p w:rsidR="00B4645B" w:rsidRPr="00282AC9" w:rsidRDefault="00B4645B" w:rsidP="00C73F02">
      <w:pPr>
        <w:pStyle w:val="31"/>
        <w:rPr>
          <w:b/>
          <w:i/>
          <w:iCs/>
          <w:color w:val="auto"/>
          <w:rtl/>
          <w:lang w:bidi="ar-LB"/>
        </w:rPr>
      </w:pPr>
      <w:r w:rsidRPr="00282AC9">
        <w:rPr>
          <w:color w:val="auto"/>
          <w:rtl/>
          <w:lang w:bidi="ar-LB"/>
        </w:rPr>
        <w:t>معنى الطروقة</w:t>
      </w:r>
    </w:p>
    <w:p w:rsidR="008D33A6" w:rsidRPr="00282AC9" w:rsidRDefault="00B4645B" w:rsidP="008D33A6">
      <w:pPr>
        <w:pStyle w:val="31"/>
        <w:rPr>
          <w:color w:val="auto"/>
          <w:rtl/>
          <w:lang w:bidi="ar-LB"/>
        </w:rPr>
      </w:pPr>
      <w:r w:rsidRPr="00282AC9">
        <w:rPr>
          <w:color w:val="auto"/>
          <w:rtl/>
          <w:lang w:bidi="ar-LB"/>
        </w:rPr>
        <w:t xml:space="preserve"> </w:t>
      </w:r>
      <w:r w:rsidR="006D2DEC" w:rsidRPr="00282AC9">
        <w:rPr>
          <w:rFonts w:hint="cs"/>
          <w:color w:val="auto"/>
          <w:rtl/>
          <w:lang w:bidi="ar-LB"/>
        </w:rPr>
        <w:t xml:space="preserve">أـ في </w:t>
      </w:r>
      <w:r w:rsidR="008D33A6" w:rsidRPr="00282AC9">
        <w:rPr>
          <w:rFonts w:hint="cs"/>
          <w:color w:val="auto"/>
          <w:rtl/>
          <w:lang w:bidi="ar-LB"/>
        </w:rPr>
        <w:t>لسان الفقهاء</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يظهر وجود اختلاف</w:t>
      </w:r>
      <w:r w:rsidR="0043602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006D2DEC" w:rsidRPr="00282AC9">
        <w:rPr>
          <w:rFonts w:ascii="Simplified Arabic" w:hAnsi="Simplified Arabic" w:hint="cs"/>
          <w:sz w:val="27"/>
          <w:rtl/>
          <w:lang w:bidi="ar-LB"/>
        </w:rPr>
        <w:t>بين الفقهاء في</w:t>
      </w:r>
      <w:r w:rsidRPr="00282AC9">
        <w:rPr>
          <w:rFonts w:ascii="Simplified Arabic" w:hAnsi="Simplified Arabic"/>
          <w:sz w:val="27"/>
          <w:rtl/>
          <w:lang w:bidi="ar-LB"/>
        </w:rPr>
        <w:t xml:space="preserve"> معنى كلمة الطروقة</w:t>
      </w:r>
      <w:r w:rsidR="006D2DEC" w:rsidRPr="00282AC9">
        <w:rPr>
          <w:rFonts w:ascii="Simplified Arabic" w:hAnsi="Simplified Arabic" w:hint="cs"/>
          <w:sz w:val="27"/>
          <w:rtl/>
          <w:lang w:bidi="ar-LB"/>
        </w:rPr>
        <w:t>، وممّا ذكروه من المعاني:</w:t>
      </w:r>
    </w:p>
    <w:p w:rsidR="00B4645B" w:rsidRPr="00282AC9" w:rsidRDefault="00B4645B" w:rsidP="0091196D">
      <w:pPr>
        <w:pStyle w:val="afe"/>
        <w:spacing w:after="0" w:line="400" w:lineRule="exact"/>
        <w:ind w:left="0" w:firstLine="567"/>
        <w:jc w:val="both"/>
        <w:rPr>
          <w:rFonts w:ascii="Simplified Arabic" w:hAnsi="Simplified Arabic" w:cs="AL-Mohanad"/>
          <w:sz w:val="27"/>
          <w:szCs w:val="27"/>
          <w:lang w:bidi="ar-LB"/>
        </w:rPr>
      </w:pPr>
      <w:r w:rsidRPr="00282AC9">
        <w:rPr>
          <w:rFonts w:ascii="Simplified Arabic" w:hAnsi="Simplified Arabic" w:cs="AL-Mohanad" w:hint="cs"/>
          <w:b/>
          <w:bCs/>
          <w:sz w:val="27"/>
          <w:szCs w:val="27"/>
          <w:rtl/>
          <w:lang w:bidi="ar-LB"/>
        </w:rPr>
        <w:t xml:space="preserve">1ـ </w:t>
      </w:r>
      <w:r w:rsidRPr="00282AC9">
        <w:rPr>
          <w:rFonts w:ascii="Simplified Arabic" w:hAnsi="Simplified Arabic" w:cs="AL-Mohanad"/>
          <w:b/>
          <w:bCs/>
          <w:sz w:val="27"/>
          <w:szCs w:val="27"/>
          <w:rtl/>
          <w:lang w:bidi="ar-LB"/>
        </w:rPr>
        <w:t>كثرة النكاح</w:t>
      </w:r>
      <w:r w:rsidRPr="00282AC9">
        <w:rPr>
          <w:rFonts w:ascii="Simplified Arabic" w:hAnsi="Simplified Arabic" w:cs="AL-Mohanad"/>
          <w:sz w:val="27"/>
          <w:szCs w:val="27"/>
          <w:rtl/>
          <w:lang w:bidi="ar-LB"/>
        </w:rPr>
        <w:t xml:space="preserve">: </w:t>
      </w:r>
      <w:r w:rsidR="0043602F" w:rsidRPr="00282AC9">
        <w:rPr>
          <w:rFonts w:ascii="Simplified Arabic" w:hAnsi="Simplified Arabic" w:cs="AL-Mohanad" w:hint="cs"/>
          <w:sz w:val="27"/>
          <w:szCs w:val="27"/>
          <w:rtl/>
          <w:lang w:bidi="ar-LB"/>
        </w:rPr>
        <w:t>وهو ما</w:t>
      </w:r>
      <w:r w:rsidRPr="00282AC9">
        <w:rPr>
          <w:rFonts w:ascii="Simplified Arabic" w:hAnsi="Simplified Arabic" w:cs="AL-Mohanad"/>
          <w:sz w:val="27"/>
          <w:szCs w:val="27"/>
          <w:rtl/>
          <w:lang w:bidi="ar-LB"/>
        </w:rPr>
        <w:t xml:space="preserve"> ذهب </w:t>
      </w:r>
      <w:r w:rsidR="0043602F" w:rsidRPr="00282AC9">
        <w:rPr>
          <w:rFonts w:ascii="Simplified Arabic" w:hAnsi="Simplified Arabic" w:cs="AL-Mohanad" w:hint="cs"/>
          <w:sz w:val="27"/>
          <w:szCs w:val="27"/>
          <w:rtl/>
          <w:lang w:bidi="ar-LB"/>
        </w:rPr>
        <w:t xml:space="preserve">إليه </w:t>
      </w:r>
      <w:r w:rsidRPr="00282AC9">
        <w:rPr>
          <w:rFonts w:ascii="Simplified Arabic" w:hAnsi="Simplified Arabic" w:cs="AL-Mohanad"/>
          <w:sz w:val="27"/>
          <w:szCs w:val="27"/>
          <w:rtl/>
          <w:lang w:bidi="ar-LB"/>
        </w:rPr>
        <w:t>عدد</w:t>
      </w:r>
      <w:r w:rsidR="0043602F"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من الفقهاء</w:t>
      </w:r>
      <w:r w:rsidRPr="00282AC9">
        <w:rPr>
          <w:rFonts w:ascii="Simplified Arabic" w:hAnsi="Simplified Arabic" w:cs="AL-Mohanad"/>
          <w:sz w:val="27"/>
          <w:szCs w:val="27"/>
          <w:vertAlign w:val="superscript"/>
          <w:rtl/>
          <w:lang w:bidi="ar-LB"/>
        </w:rPr>
        <w:t>(</w:t>
      </w:r>
      <w:r w:rsidRPr="00282AC9">
        <w:rPr>
          <w:rFonts w:ascii="Simplified Arabic" w:hAnsi="Simplified Arabic" w:cs="AL-Mohanad"/>
          <w:sz w:val="27"/>
          <w:szCs w:val="27"/>
          <w:vertAlign w:val="superscript"/>
          <w:rtl/>
          <w:lang w:bidi="ar-LB"/>
        </w:rPr>
        <w:endnoteReference w:id="818"/>
      </w:r>
      <w:r w:rsidRPr="00282AC9">
        <w:rPr>
          <w:rFonts w:ascii="Simplified Arabic" w:hAnsi="Simplified Arabic" w:cs="AL-Mohanad"/>
          <w:sz w:val="27"/>
          <w:szCs w:val="27"/>
          <w:vertAlign w:val="superscript"/>
          <w:rtl/>
          <w:lang w:bidi="ar-LB"/>
        </w:rPr>
        <w:t>)</w:t>
      </w:r>
      <w:r w:rsidR="0043602F"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مثل</w:t>
      </w:r>
      <w:r w:rsidR="0043602F"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الشيخ محمد تقي المجلسي</w:t>
      </w:r>
      <w:r w:rsidR="0043602F" w:rsidRPr="00282AC9">
        <w:rPr>
          <w:rFonts w:ascii="Simplified Arabic" w:hAnsi="Simplified Arabic" w:cs="AL-Mohanad" w:hint="cs"/>
          <w:sz w:val="27"/>
          <w:szCs w:val="27"/>
          <w:rtl/>
          <w:lang w:bidi="ar-LB"/>
        </w:rPr>
        <w:t>،</w:t>
      </w:r>
      <w:r w:rsidRPr="00282AC9">
        <w:rPr>
          <w:rFonts w:ascii="Simplified Arabic" w:hAnsi="Simplified Arabic" w:cs="AL-Mohanad" w:hint="cs"/>
          <w:sz w:val="27"/>
          <w:szCs w:val="27"/>
          <w:rtl/>
          <w:lang w:bidi="ar-LB"/>
        </w:rPr>
        <w:t xml:space="preserve"> حيث </w:t>
      </w:r>
      <w:r w:rsidR="0043602F" w:rsidRPr="00282AC9">
        <w:rPr>
          <w:rFonts w:ascii="Simplified Arabic" w:hAnsi="Simplified Arabic" w:cs="AL-Mohanad" w:hint="cs"/>
          <w:sz w:val="27"/>
          <w:szCs w:val="27"/>
          <w:rtl/>
          <w:lang w:bidi="ar-LB"/>
        </w:rPr>
        <w:t>قال،</w:t>
      </w:r>
      <w:r w:rsidRPr="00282AC9">
        <w:rPr>
          <w:rFonts w:ascii="Simplified Arabic" w:hAnsi="Simplified Arabic" w:cs="AL-Mohanad" w:hint="cs"/>
          <w:sz w:val="27"/>
          <w:szCs w:val="27"/>
          <w:rtl/>
          <w:lang w:bidi="ar-LB"/>
        </w:rPr>
        <w:t xml:space="preserve"> في كتابه روضة المتقين في شرح م</w:t>
      </w:r>
      <w:r w:rsidR="0043602F" w:rsidRPr="00282AC9">
        <w:rPr>
          <w:rFonts w:ascii="Simplified Arabic" w:hAnsi="Simplified Arabic" w:cs="AL-Mohanad" w:hint="cs"/>
          <w:sz w:val="27"/>
          <w:szCs w:val="27"/>
          <w:rtl/>
          <w:lang w:bidi="ar-LB"/>
        </w:rPr>
        <w:t>َ</w:t>
      </w:r>
      <w:r w:rsidRPr="00282AC9">
        <w:rPr>
          <w:rFonts w:ascii="Simplified Arabic" w:hAnsi="Simplified Arabic" w:cs="AL-Mohanad" w:hint="cs"/>
          <w:sz w:val="27"/>
          <w:szCs w:val="27"/>
          <w:rtl/>
          <w:lang w:bidi="ar-LB"/>
        </w:rPr>
        <w:t>ن</w:t>
      </w:r>
      <w:r w:rsidR="0043602F" w:rsidRPr="00282AC9">
        <w:rPr>
          <w:rFonts w:ascii="Simplified Arabic" w:hAnsi="Simplified Arabic" w:cs="AL-Mohanad" w:hint="cs"/>
          <w:sz w:val="27"/>
          <w:szCs w:val="27"/>
          <w:rtl/>
          <w:lang w:bidi="ar-LB"/>
        </w:rPr>
        <w:t>ْ</w:t>
      </w:r>
      <w:r w:rsidRPr="00282AC9">
        <w:rPr>
          <w:rFonts w:ascii="Simplified Arabic" w:hAnsi="Simplified Arabic" w:cs="AL-Mohanad" w:hint="cs"/>
          <w:sz w:val="27"/>
          <w:szCs w:val="27"/>
          <w:rtl/>
          <w:lang w:bidi="ar-LB"/>
        </w:rPr>
        <w:t xml:space="preserve"> لا يحضره الفقيه: </w:t>
      </w:r>
      <w:r w:rsidRPr="00282AC9">
        <w:rPr>
          <w:rFonts w:ascii="Simplified Arabic" w:hAnsi="Simplified Arabic" w:cs="AL-Mohanad"/>
          <w:sz w:val="24"/>
          <w:szCs w:val="24"/>
          <w:rtl/>
          <w:lang w:bidi="ar-LB"/>
        </w:rPr>
        <w:t>«</w:t>
      </w:r>
      <w:r w:rsidRPr="00282AC9">
        <w:rPr>
          <w:rFonts w:ascii="Simplified Arabic" w:hAnsi="Simplified Arabic" w:cs="AL-Mohanad" w:hint="cs"/>
          <w:sz w:val="27"/>
          <w:szCs w:val="27"/>
          <w:rtl/>
          <w:lang w:bidi="ar-LB"/>
        </w:rPr>
        <w:t>وكثرة</w:t>
      </w:r>
      <w:r w:rsidRPr="00282AC9">
        <w:rPr>
          <w:rFonts w:ascii="Simplified Arabic" w:hAnsi="Simplified Arabic" w:cs="AL-Mohanad"/>
          <w:sz w:val="27"/>
          <w:szCs w:val="27"/>
          <w:rtl/>
          <w:lang w:bidi="ar-LB"/>
        </w:rPr>
        <w:t xml:space="preserve"> </w:t>
      </w:r>
      <w:r w:rsidRPr="00282AC9">
        <w:rPr>
          <w:rFonts w:ascii="Simplified Arabic" w:hAnsi="Simplified Arabic" w:cs="AL-Mohanad" w:hint="cs"/>
          <w:sz w:val="27"/>
          <w:szCs w:val="27"/>
          <w:rtl/>
          <w:lang w:bidi="ar-LB"/>
        </w:rPr>
        <w:t>الطروقة</w:t>
      </w:r>
      <w:r w:rsidRPr="00282AC9">
        <w:rPr>
          <w:rFonts w:ascii="Simplified Arabic" w:hAnsi="Simplified Arabic" w:cs="AL-Mohanad"/>
          <w:sz w:val="27"/>
          <w:szCs w:val="27"/>
          <w:rtl/>
          <w:lang w:bidi="ar-LB"/>
        </w:rPr>
        <w:t xml:space="preserve"> </w:t>
      </w:r>
      <w:r w:rsidRPr="00282AC9">
        <w:rPr>
          <w:rFonts w:ascii="Simplified Arabic" w:hAnsi="Simplified Arabic" w:cs="AL-Mohanad" w:hint="cs"/>
          <w:sz w:val="27"/>
          <w:szCs w:val="27"/>
          <w:rtl/>
          <w:lang w:bidi="ar-LB"/>
        </w:rPr>
        <w:t>أي</w:t>
      </w:r>
      <w:r w:rsidRPr="00282AC9">
        <w:rPr>
          <w:rFonts w:ascii="Simplified Arabic" w:hAnsi="Simplified Arabic" w:cs="AL-Mohanad"/>
          <w:sz w:val="27"/>
          <w:szCs w:val="27"/>
          <w:rtl/>
          <w:lang w:bidi="ar-LB"/>
        </w:rPr>
        <w:t xml:space="preserve"> </w:t>
      </w:r>
      <w:r w:rsidRPr="00282AC9">
        <w:rPr>
          <w:rFonts w:ascii="Simplified Arabic" w:hAnsi="Simplified Arabic" w:cs="AL-Mohanad" w:hint="cs"/>
          <w:sz w:val="27"/>
          <w:szCs w:val="27"/>
          <w:rtl/>
          <w:lang w:bidi="ar-LB"/>
        </w:rPr>
        <w:t>الجماع</w:t>
      </w:r>
      <w:r w:rsidRPr="00282AC9">
        <w:rPr>
          <w:rFonts w:cs="AL-Mohanad" w:hint="eastAsia"/>
          <w:sz w:val="24"/>
          <w:szCs w:val="24"/>
          <w:rtl/>
        </w:rPr>
        <w:t>»</w:t>
      </w:r>
      <w:r w:rsidRPr="00282AC9">
        <w:rPr>
          <w:rFonts w:ascii="Simplified Arabic" w:hAnsi="Simplified Arabic" w:cs="AL-Mohanad"/>
          <w:sz w:val="27"/>
          <w:szCs w:val="27"/>
          <w:vertAlign w:val="superscript"/>
          <w:rtl/>
          <w:lang w:bidi="ar-LB"/>
        </w:rPr>
        <w:t>(</w:t>
      </w:r>
      <w:r w:rsidRPr="00282AC9">
        <w:rPr>
          <w:rFonts w:ascii="Simplified Arabic" w:hAnsi="Simplified Arabic" w:cs="AL-Mohanad"/>
          <w:sz w:val="27"/>
          <w:szCs w:val="27"/>
          <w:vertAlign w:val="superscript"/>
          <w:rtl/>
          <w:lang w:bidi="ar-LB"/>
        </w:rPr>
        <w:endnoteReference w:id="819"/>
      </w:r>
      <w:r w:rsidRPr="00282AC9">
        <w:rPr>
          <w:rFonts w:ascii="Simplified Arabic" w:hAnsi="Simplified Arabic" w:cs="AL-Mohanad"/>
          <w:sz w:val="27"/>
          <w:szCs w:val="27"/>
          <w:vertAlign w:val="superscript"/>
          <w:rtl/>
          <w:lang w:bidi="ar-LB"/>
        </w:rPr>
        <w:t>)</w:t>
      </w:r>
      <w:r w:rsidR="0043602F" w:rsidRPr="00282AC9">
        <w:rPr>
          <w:rFonts w:ascii="Simplified Arabic" w:hAnsi="Simplified Arabic" w:cs="AL-Mohanad" w:hint="cs"/>
          <w:sz w:val="27"/>
          <w:szCs w:val="27"/>
          <w:rtl/>
          <w:lang w:bidi="ar-LB"/>
        </w:rPr>
        <w:t>.</w:t>
      </w:r>
    </w:p>
    <w:p w:rsidR="00B4645B" w:rsidRPr="00282AC9" w:rsidRDefault="00B4645B" w:rsidP="0091196D">
      <w:pPr>
        <w:pStyle w:val="afe"/>
        <w:spacing w:after="0" w:line="400" w:lineRule="exact"/>
        <w:ind w:left="0" w:firstLine="567"/>
        <w:jc w:val="both"/>
        <w:rPr>
          <w:rFonts w:ascii="Simplified Arabic" w:hAnsi="Simplified Arabic" w:cs="AL-Mohanad"/>
          <w:sz w:val="27"/>
          <w:szCs w:val="27"/>
          <w:lang w:bidi="ar-LB"/>
        </w:rPr>
      </w:pPr>
      <w:r w:rsidRPr="00282AC9">
        <w:rPr>
          <w:rFonts w:ascii="Simplified Arabic" w:hAnsi="Simplified Arabic" w:cs="AL-Mohanad" w:hint="cs"/>
          <w:b/>
          <w:bCs/>
          <w:sz w:val="27"/>
          <w:szCs w:val="27"/>
          <w:rtl/>
          <w:lang w:bidi="ar-LB"/>
        </w:rPr>
        <w:lastRenderedPageBreak/>
        <w:t xml:space="preserve">2ـ </w:t>
      </w:r>
      <w:r w:rsidRPr="00282AC9">
        <w:rPr>
          <w:rFonts w:ascii="Simplified Arabic" w:hAnsi="Simplified Arabic" w:cs="AL-Mohanad"/>
          <w:b/>
          <w:bCs/>
          <w:sz w:val="27"/>
          <w:szCs w:val="27"/>
          <w:rtl/>
          <w:lang w:bidi="ar-LB"/>
        </w:rPr>
        <w:t>الحوامل</w:t>
      </w:r>
      <w:r w:rsidRPr="00282AC9">
        <w:rPr>
          <w:rFonts w:ascii="Simplified Arabic" w:hAnsi="Simplified Arabic" w:cs="AL-Mohanad"/>
          <w:sz w:val="27"/>
          <w:szCs w:val="27"/>
          <w:rtl/>
          <w:lang w:bidi="ar-LB"/>
        </w:rPr>
        <w:t xml:space="preserve">: </w:t>
      </w:r>
      <w:r w:rsidR="0043602F" w:rsidRPr="00282AC9">
        <w:rPr>
          <w:rFonts w:ascii="Simplified Arabic" w:hAnsi="Simplified Arabic" w:cs="AL-Mohanad" w:hint="cs"/>
          <w:sz w:val="27"/>
          <w:szCs w:val="27"/>
          <w:rtl/>
          <w:lang w:bidi="ar-LB"/>
        </w:rPr>
        <w:t>وهو ما</w:t>
      </w:r>
      <w:r w:rsidRPr="00282AC9">
        <w:rPr>
          <w:rFonts w:ascii="Simplified Arabic" w:hAnsi="Simplified Arabic" w:cs="AL-Mohanad"/>
          <w:sz w:val="27"/>
          <w:szCs w:val="27"/>
          <w:rtl/>
          <w:lang w:bidi="ar-LB"/>
        </w:rPr>
        <w:t xml:space="preserve"> ذهب </w:t>
      </w:r>
      <w:r w:rsidR="0043602F" w:rsidRPr="00282AC9">
        <w:rPr>
          <w:rFonts w:ascii="Simplified Arabic" w:hAnsi="Simplified Arabic" w:cs="AL-Mohanad" w:hint="cs"/>
          <w:sz w:val="27"/>
          <w:szCs w:val="27"/>
          <w:rtl/>
          <w:lang w:bidi="ar-LB"/>
        </w:rPr>
        <w:t xml:space="preserve">إليه </w:t>
      </w:r>
      <w:r w:rsidRPr="00282AC9">
        <w:rPr>
          <w:rFonts w:ascii="Simplified Arabic" w:hAnsi="Simplified Arabic" w:cs="AL-Mohanad"/>
          <w:sz w:val="27"/>
          <w:szCs w:val="27"/>
          <w:rtl/>
          <w:lang w:bidi="ar-LB"/>
        </w:rPr>
        <w:t>الشهيد الثاني</w:t>
      </w:r>
      <w:r w:rsidR="0043602F" w:rsidRPr="00282AC9">
        <w:rPr>
          <w:rFonts w:ascii="Simplified Arabic" w:hAnsi="Simplified Arabic" w:cs="AL-Mohanad" w:hint="cs"/>
          <w:sz w:val="27"/>
          <w:szCs w:val="27"/>
          <w:rtl/>
          <w:lang w:bidi="ar-LB"/>
        </w:rPr>
        <w:t>،</w:t>
      </w:r>
      <w:r w:rsidRPr="00282AC9">
        <w:rPr>
          <w:rFonts w:ascii="Simplified Arabic" w:hAnsi="Simplified Arabic" w:cs="AL-Mohanad" w:hint="cs"/>
          <w:sz w:val="27"/>
          <w:szCs w:val="27"/>
          <w:rtl/>
          <w:lang w:bidi="ar-LB"/>
        </w:rPr>
        <w:t xml:space="preserve"> في كتابه حاشية المخ</w:t>
      </w:r>
      <w:r w:rsidR="0043602F" w:rsidRPr="00282AC9">
        <w:rPr>
          <w:rFonts w:ascii="Simplified Arabic" w:hAnsi="Simplified Arabic" w:cs="AL-Mohanad" w:hint="cs"/>
          <w:sz w:val="27"/>
          <w:szCs w:val="27"/>
          <w:rtl/>
          <w:lang w:bidi="ar-LB"/>
        </w:rPr>
        <w:t>ت</w:t>
      </w:r>
      <w:r w:rsidRPr="00282AC9">
        <w:rPr>
          <w:rFonts w:ascii="Simplified Arabic" w:hAnsi="Simplified Arabic" w:cs="AL-Mohanad" w:hint="cs"/>
          <w:sz w:val="27"/>
          <w:szCs w:val="27"/>
          <w:rtl/>
          <w:lang w:bidi="ar-LB"/>
        </w:rPr>
        <w:t>صر النافع</w:t>
      </w:r>
      <w:r w:rsidR="009D0278" w:rsidRPr="00282AC9">
        <w:rPr>
          <w:rFonts w:ascii="Simplified Arabic" w:hAnsi="Simplified Arabic" w:cs="AL-Mohanad" w:hint="cs"/>
          <w:sz w:val="27"/>
          <w:szCs w:val="27"/>
          <w:rtl/>
          <w:lang w:bidi="ar-LB"/>
        </w:rPr>
        <w:t>، حيث قال</w:t>
      </w:r>
      <w:r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w:t>
      </w:r>
      <w:r w:rsidRPr="00282AC9">
        <w:rPr>
          <w:rFonts w:cs="AL-Mohanad" w:hint="eastAsia"/>
          <w:sz w:val="24"/>
          <w:szCs w:val="24"/>
          <w:rtl/>
          <w:lang w:bidi="ar-LB"/>
        </w:rPr>
        <w:t>«</w:t>
      </w:r>
      <w:r w:rsidRPr="00282AC9">
        <w:rPr>
          <w:rFonts w:ascii="Simplified Arabic" w:hAnsi="Simplified Arabic" w:cs="AL-Mohanad"/>
          <w:sz w:val="27"/>
          <w:szCs w:val="27"/>
          <w:rtl/>
          <w:lang w:bidi="ar-LB"/>
        </w:rPr>
        <w:t>طَرُوقَة الفَحْل أي حوامل</w:t>
      </w:r>
      <w:r w:rsidRPr="00282AC9">
        <w:rPr>
          <w:rFonts w:cs="AL-Mohanad" w:hint="eastAsia"/>
          <w:sz w:val="24"/>
          <w:szCs w:val="24"/>
          <w:rtl/>
        </w:rPr>
        <w:t>»</w:t>
      </w:r>
      <w:r w:rsidRPr="00282AC9">
        <w:rPr>
          <w:rFonts w:ascii="Simplified Arabic" w:hAnsi="Simplified Arabic" w:cs="AL-Mohanad"/>
          <w:sz w:val="27"/>
          <w:szCs w:val="27"/>
          <w:vertAlign w:val="superscript"/>
          <w:rtl/>
          <w:lang w:bidi="ar-LB"/>
        </w:rPr>
        <w:t>(</w:t>
      </w:r>
      <w:r w:rsidRPr="00282AC9">
        <w:rPr>
          <w:rStyle w:val="af9"/>
          <w:rFonts w:ascii="Simplified Arabic" w:hAnsi="Simplified Arabic" w:cs="AL-Mohanad"/>
          <w:sz w:val="27"/>
          <w:szCs w:val="27"/>
          <w:rtl/>
          <w:lang w:bidi="ar-LB"/>
        </w:rPr>
        <w:endnoteReference w:id="820"/>
      </w:r>
      <w:r w:rsidRPr="00282AC9">
        <w:rPr>
          <w:rFonts w:ascii="Simplified Arabic" w:hAnsi="Simplified Arabic" w:cs="AL-Mohanad"/>
          <w:sz w:val="27"/>
          <w:szCs w:val="27"/>
          <w:vertAlign w:val="superscript"/>
          <w:rtl/>
          <w:lang w:bidi="ar-LB"/>
        </w:rPr>
        <w:t>)</w:t>
      </w:r>
      <w:r w:rsidRPr="00282AC9">
        <w:rPr>
          <w:rFonts w:ascii="Simplified Arabic" w:hAnsi="Simplified Arabic" w:cs="AL-Mohanad"/>
          <w:sz w:val="27"/>
          <w:szCs w:val="27"/>
          <w:rtl/>
          <w:lang w:bidi="ar-LB"/>
        </w:rPr>
        <w:t>.</w:t>
      </w:r>
    </w:p>
    <w:p w:rsidR="00B4645B" w:rsidRPr="00282AC9" w:rsidRDefault="00B4645B" w:rsidP="0091196D">
      <w:pPr>
        <w:pStyle w:val="afe"/>
        <w:spacing w:after="0" w:line="400" w:lineRule="exact"/>
        <w:ind w:left="0" w:firstLine="567"/>
        <w:jc w:val="both"/>
        <w:rPr>
          <w:rFonts w:ascii="Simplified Arabic" w:hAnsi="Simplified Arabic" w:cs="AL-Mohanad"/>
          <w:sz w:val="27"/>
          <w:szCs w:val="27"/>
          <w:lang w:bidi="ar-LB"/>
        </w:rPr>
      </w:pPr>
      <w:r w:rsidRPr="00282AC9">
        <w:rPr>
          <w:rFonts w:ascii="Simplified Arabic" w:hAnsi="Simplified Arabic" w:cs="AL-Mohanad" w:hint="cs"/>
          <w:b/>
          <w:bCs/>
          <w:sz w:val="27"/>
          <w:szCs w:val="27"/>
          <w:rtl/>
          <w:lang w:bidi="ar-LB"/>
        </w:rPr>
        <w:t xml:space="preserve">3ـ </w:t>
      </w:r>
      <w:r w:rsidRPr="00282AC9">
        <w:rPr>
          <w:rFonts w:ascii="Simplified Arabic" w:hAnsi="Simplified Arabic" w:cs="AL-Mohanad"/>
          <w:b/>
          <w:bCs/>
          <w:sz w:val="27"/>
          <w:szCs w:val="27"/>
          <w:rtl/>
          <w:lang w:bidi="ar-LB"/>
        </w:rPr>
        <w:t>البالغة ضراب الفحل</w:t>
      </w:r>
      <w:r w:rsidR="009D0278" w:rsidRPr="00282AC9">
        <w:rPr>
          <w:rFonts w:ascii="Simplified Arabic" w:hAnsi="Simplified Arabic" w:cs="AL-Mohanad" w:hint="cs"/>
          <w:b/>
          <w:bCs/>
          <w:sz w:val="27"/>
          <w:szCs w:val="27"/>
          <w:rtl/>
          <w:lang w:bidi="ar-LB"/>
        </w:rPr>
        <w:t>،</w:t>
      </w:r>
      <w:r w:rsidRPr="00282AC9">
        <w:rPr>
          <w:rFonts w:ascii="Simplified Arabic" w:hAnsi="Simplified Arabic" w:cs="AL-Mohanad"/>
          <w:b/>
          <w:bCs/>
          <w:sz w:val="27"/>
          <w:szCs w:val="27"/>
          <w:rtl/>
          <w:lang w:bidi="ar-LB"/>
        </w:rPr>
        <w:t xml:space="preserve"> أي الزوجة بالنسبة إلى الرجل</w:t>
      </w:r>
      <w:r w:rsidRPr="00282AC9">
        <w:rPr>
          <w:rFonts w:ascii="Simplified Arabic" w:hAnsi="Simplified Arabic" w:cs="AL-Mohanad"/>
          <w:sz w:val="27"/>
          <w:szCs w:val="27"/>
          <w:vertAlign w:val="superscript"/>
          <w:rtl/>
          <w:lang w:bidi="ar-LB"/>
        </w:rPr>
        <w:t>(</w:t>
      </w:r>
      <w:r w:rsidRPr="00282AC9">
        <w:rPr>
          <w:rStyle w:val="af9"/>
          <w:rFonts w:ascii="Simplified Arabic" w:hAnsi="Simplified Arabic" w:cs="AL-Mohanad"/>
          <w:sz w:val="27"/>
          <w:szCs w:val="27"/>
          <w:rtl/>
          <w:lang w:bidi="ar-LB"/>
        </w:rPr>
        <w:endnoteReference w:id="821"/>
      </w:r>
      <w:r w:rsidRPr="00282AC9">
        <w:rPr>
          <w:rFonts w:ascii="Simplified Arabic" w:hAnsi="Simplified Arabic" w:cs="AL-Mohanad"/>
          <w:sz w:val="27"/>
          <w:szCs w:val="27"/>
          <w:vertAlign w:val="superscript"/>
          <w:rtl/>
          <w:lang w:bidi="ar-LB"/>
        </w:rPr>
        <w:t>)</w:t>
      </w:r>
      <w:r w:rsidR="009D0278" w:rsidRPr="00282AC9">
        <w:rPr>
          <w:rFonts w:ascii="Simplified Arabic" w:hAnsi="Simplified Arabic" w:cs="AL-Mohanad" w:hint="cs"/>
          <w:sz w:val="27"/>
          <w:szCs w:val="27"/>
          <w:rtl/>
          <w:lang w:bidi="ar-LB"/>
        </w:rPr>
        <w:t>،</w:t>
      </w:r>
      <w:r w:rsidRPr="00282AC9">
        <w:rPr>
          <w:rFonts w:ascii="Simplified Arabic" w:hAnsi="Simplified Arabic" w:cs="AL-Mohanad" w:hint="cs"/>
          <w:sz w:val="27"/>
          <w:szCs w:val="27"/>
          <w:rtl/>
          <w:lang w:bidi="ar-LB"/>
        </w:rPr>
        <w:t xml:space="preserve"> حيث </w:t>
      </w:r>
      <w:r w:rsidR="009D0278" w:rsidRPr="00282AC9">
        <w:rPr>
          <w:rFonts w:ascii="Simplified Arabic" w:hAnsi="Simplified Arabic" w:cs="AL-Mohanad" w:hint="cs"/>
          <w:sz w:val="27"/>
          <w:szCs w:val="27"/>
          <w:rtl/>
          <w:lang w:bidi="ar-LB"/>
        </w:rPr>
        <w:t>قال</w:t>
      </w:r>
      <w:r w:rsidRPr="00282AC9">
        <w:rPr>
          <w:rFonts w:ascii="Simplified Arabic" w:hAnsi="Simplified Arabic" w:cs="AL-Mohanad" w:hint="cs"/>
          <w:sz w:val="27"/>
          <w:szCs w:val="27"/>
          <w:rtl/>
          <w:lang w:bidi="ar-LB"/>
        </w:rPr>
        <w:t xml:space="preserve"> ابن فهد الحل</w:t>
      </w:r>
      <w:r w:rsidR="009D0278" w:rsidRPr="00282AC9">
        <w:rPr>
          <w:rFonts w:ascii="Simplified Arabic" w:hAnsi="Simplified Arabic" w:cs="AL-Mohanad" w:hint="cs"/>
          <w:sz w:val="27"/>
          <w:szCs w:val="27"/>
          <w:rtl/>
          <w:lang w:bidi="ar-LB"/>
        </w:rPr>
        <w:t>ّ</w:t>
      </w:r>
      <w:r w:rsidRPr="00282AC9">
        <w:rPr>
          <w:rFonts w:ascii="Simplified Arabic" w:hAnsi="Simplified Arabic" w:cs="AL-Mohanad" w:hint="cs"/>
          <w:sz w:val="27"/>
          <w:szCs w:val="27"/>
          <w:rtl/>
          <w:lang w:bidi="ar-LB"/>
        </w:rPr>
        <w:t>ي</w:t>
      </w:r>
      <w:r w:rsidR="009D0278" w:rsidRPr="00282AC9">
        <w:rPr>
          <w:rFonts w:ascii="Simplified Arabic" w:hAnsi="Simplified Arabic" w:cs="AL-Mohanad" w:hint="cs"/>
          <w:sz w:val="27"/>
          <w:szCs w:val="27"/>
          <w:rtl/>
          <w:lang w:bidi="ar-LB"/>
        </w:rPr>
        <w:t>،</w:t>
      </w:r>
      <w:r w:rsidRPr="00282AC9">
        <w:rPr>
          <w:rFonts w:ascii="Simplified Arabic" w:hAnsi="Simplified Arabic" w:cs="AL-Mohanad" w:hint="cs"/>
          <w:sz w:val="27"/>
          <w:szCs w:val="27"/>
          <w:rtl/>
          <w:lang w:bidi="ar-LB"/>
        </w:rPr>
        <w:t xml:space="preserve"> في كتابه المهذ</w:t>
      </w:r>
      <w:r w:rsidR="009D0278" w:rsidRPr="00282AC9">
        <w:rPr>
          <w:rFonts w:ascii="Simplified Arabic" w:hAnsi="Simplified Arabic" w:cs="AL-Mohanad" w:hint="cs"/>
          <w:sz w:val="27"/>
          <w:szCs w:val="27"/>
          <w:rtl/>
          <w:lang w:bidi="ar-LB"/>
        </w:rPr>
        <w:t>َّ</w:t>
      </w:r>
      <w:r w:rsidRPr="00282AC9">
        <w:rPr>
          <w:rFonts w:ascii="Simplified Arabic" w:hAnsi="Simplified Arabic" w:cs="AL-Mohanad" w:hint="cs"/>
          <w:sz w:val="27"/>
          <w:szCs w:val="27"/>
          <w:rtl/>
          <w:lang w:bidi="ar-LB"/>
        </w:rPr>
        <w:t>ب البارع</w:t>
      </w:r>
      <w:r w:rsidR="009D0278"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w:t>
      </w:r>
      <w:r w:rsidRPr="00282AC9">
        <w:rPr>
          <w:rFonts w:cs="AL-Mohanad" w:hint="eastAsia"/>
          <w:sz w:val="24"/>
          <w:szCs w:val="24"/>
          <w:rtl/>
          <w:lang w:bidi="ar-LB"/>
        </w:rPr>
        <w:t>«</w:t>
      </w:r>
      <w:r w:rsidRPr="00282AC9">
        <w:rPr>
          <w:rFonts w:ascii="Simplified Arabic" w:hAnsi="Simplified Arabic" w:cs="AL-Mohanad"/>
          <w:sz w:val="27"/>
          <w:szCs w:val="27"/>
          <w:rtl/>
          <w:lang w:bidi="ar-LB"/>
        </w:rPr>
        <w:t>والطروقة</w:t>
      </w:r>
      <w:r w:rsidR="009D0278"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الزوجة</w:t>
      </w:r>
      <w:r w:rsidR="009D0278"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وكل</w:t>
      </w:r>
      <w:r w:rsidR="009D0278"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امرأة</w:t>
      </w:r>
      <w:r w:rsidR="009D0278"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طروقة زوجها</w:t>
      </w:r>
      <w:r w:rsidR="009D0278"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وكل</w:t>
      </w:r>
      <w:r w:rsidR="009D0278"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ناقة</w:t>
      </w:r>
      <w:r w:rsidR="009D0278" w:rsidRPr="00282AC9">
        <w:rPr>
          <w:rFonts w:ascii="Simplified Arabic" w:hAnsi="Simplified Arabic" w:cs="AL-Mohanad" w:hint="cs"/>
          <w:sz w:val="27"/>
          <w:szCs w:val="27"/>
          <w:rtl/>
          <w:lang w:bidi="ar-LB"/>
        </w:rPr>
        <w:t>ٍ</w:t>
      </w:r>
      <w:r w:rsidRPr="00282AC9">
        <w:rPr>
          <w:rFonts w:ascii="Simplified Arabic" w:hAnsi="Simplified Arabic" w:cs="AL-Mohanad"/>
          <w:sz w:val="27"/>
          <w:szCs w:val="27"/>
          <w:rtl/>
          <w:lang w:bidi="ar-LB"/>
        </w:rPr>
        <w:t xml:space="preserve"> طروقة فحلها</w:t>
      </w:r>
      <w:r w:rsidRPr="00282AC9">
        <w:rPr>
          <w:rFonts w:cs="AL-Mohanad" w:hint="eastAsia"/>
          <w:sz w:val="24"/>
          <w:szCs w:val="24"/>
          <w:rtl/>
        </w:rPr>
        <w:t>»</w:t>
      </w:r>
      <w:r w:rsidRPr="00282AC9">
        <w:rPr>
          <w:rFonts w:ascii="Simplified Arabic" w:hAnsi="Simplified Arabic" w:cs="AL-Mohanad"/>
          <w:sz w:val="27"/>
          <w:szCs w:val="27"/>
          <w:vertAlign w:val="superscript"/>
          <w:rtl/>
          <w:lang w:bidi="ar-LB"/>
        </w:rPr>
        <w:t>(</w:t>
      </w:r>
      <w:r w:rsidRPr="00282AC9">
        <w:rPr>
          <w:rFonts w:ascii="Simplified Arabic" w:hAnsi="Simplified Arabic" w:cs="AL-Mohanad"/>
          <w:sz w:val="27"/>
          <w:szCs w:val="27"/>
          <w:vertAlign w:val="superscript"/>
          <w:rtl/>
          <w:lang w:bidi="ar-LB"/>
        </w:rPr>
        <w:endnoteReference w:id="822"/>
      </w:r>
      <w:r w:rsidRPr="00282AC9">
        <w:rPr>
          <w:rFonts w:ascii="Simplified Arabic" w:hAnsi="Simplified Arabic" w:cs="AL-Mohanad"/>
          <w:sz w:val="27"/>
          <w:szCs w:val="27"/>
          <w:vertAlign w:val="superscript"/>
          <w:rtl/>
          <w:lang w:bidi="ar-LB"/>
        </w:rPr>
        <w:t>)</w:t>
      </w:r>
      <w:r w:rsidRPr="00282AC9">
        <w:rPr>
          <w:rFonts w:ascii="Simplified Arabic" w:hAnsi="Simplified Arabic" w:cs="AL-Mohanad"/>
          <w:sz w:val="27"/>
          <w:szCs w:val="27"/>
          <w:rtl/>
          <w:lang w:bidi="ar-LB"/>
        </w:rPr>
        <w:t>.</w:t>
      </w:r>
    </w:p>
    <w:p w:rsidR="009D0278"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ومنهم م</w:t>
      </w:r>
      <w:r w:rsidR="009D0278" w:rsidRPr="00282AC9">
        <w:rPr>
          <w:rFonts w:ascii="Simplified Arabic" w:hAnsi="Simplified Arabic" w:hint="cs"/>
          <w:sz w:val="27"/>
          <w:rtl/>
          <w:lang w:bidi="ar-LB"/>
        </w:rPr>
        <w:t>َ</w:t>
      </w:r>
      <w:r w:rsidRPr="00282AC9">
        <w:rPr>
          <w:rFonts w:ascii="Simplified Arabic" w:hAnsi="Simplified Arabic"/>
          <w:sz w:val="27"/>
          <w:rtl/>
          <w:lang w:bidi="ar-LB"/>
        </w:rPr>
        <w:t>ن</w:t>
      </w:r>
      <w:r w:rsidR="009D0278" w:rsidRPr="00282AC9">
        <w:rPr>
          <w:rFonts w:ascii="Simplified Arabic" w:hAnsi="Simplified Arabic" w:hint="cs"/>
          <w:sz w:val="27"/>
          <w:rtl/>
          <w:lang w:bidi="ar-LB"/>
        </w:rPr>
        <w:t>ْ</w:t>
      </w:r>
      <w:r w:rsidRPr="00282AC9">
        <w:rPr>
          <w:rFonts w:ascii="Simplified Arabic" w:hAnsi="Simplified Arabic"/>
          <w:sz w:val="27"/>
          <w:rtl/>
          <w:lang w:bidi="ar-LB"/>
        </w:rPr>
        <w:t xml:space="preserve"> ذهب إلى أن الط</w:t>
      </w:r>
      <w:r w:rsidR="009D0278" w:rsidRPr="00282AC9">
        <w:rPr>
          <w:rFonts w:ascii="Simplified Arabic" w:hAnsi="Simplified Arabic" w:hint="cs"/>
          <w:sz w:val="27"/>
          <w:rtl/>
          <w:lang w:bidi="ar-LB"/>
        </w:rPr>
        <w:t>ُّ</w:t>
      </w:r>
      <w:r w:rsidRPr="00282AC9">
        <w:rPr>
          <w:rFonts w:ascii="Simplified Arabic" w:hAnsi="Simplified Arabic"/>
          <w:sz w:val="27"/>
          <w:rtl/>
          <w:lang w:bidi="ar-LB"/>
        </w:rPr>
        <w:t>ر</w:t>
      </w:r>
      <w:r w:rsidR="009D0278" w:rsidRPr="00282AC9">
        <w:rPr>
          <w:rFonts w:ascii="Simplified Arabic" w:hAnsi="Simplified Arabic" w:hint="cs"/>
          <w:sz w:val="27"/>
          <w:rtl/>
          <w:lang w:bidi="ar-LB"/>
        </w:rPr>
        <w:t>ُ</w:t>
      </w:r>
      <w:r w:rsidRPr="00282AC9">
        <w:rPr>
          <w:rFonts w:ascii="Simplified Arabic" w:hAnsi="Simplified Arabic"/>
          <w:sz w:val="27"/>
          <w:rtl/>
          <w:lang w:bidi="ar-LB"/>
        </w:rPr>
        <w:t>وقة</w:t>
      </w:r>
      <w:r w:rsidRPr="00282AC9">
        <w:rPr>
          <w:rFonts w:ascii="Simplified Arabic" w:hAnsi="Simplified Arabic" w:hint="cs"/>
          <w:sz w:val="27"/>
          <w:rtl/>
          <w:lang w:bidi="ar-LB"/>
        </w:rPr>
        <w:t>،</w:t>
      </w:r>
      <w:r w:rsidRPr="00282AC9">
        <w:rPr>
          <w:rFonts w:ascii="Simplified Arabic" w:hAnsi="Simplified Arabic"/>
          <w:sz w:val="27"/>
          <w:rtl/>
          <w:lang w:bidi="ar-LB"/>
        </w:rPr>
        <w:t xml:space="preserve"> بالضم</w:t>
      </w:r>
      <w:r w:rsidR="009D0278" w:rsidRPr="00282AC9">
        <w:rPr>
          <w:rFonts w:ascii="Simplified Arabic" w:hAnsi="Simplified Arabic" w:hint="cs"/>
          <w:sz w:val="27"/>
          <w:rtl/>
          <w:lang w:bidi="ar-LB"/>
        </w:rPr>
        <w:t>ّ</w:t>
      </w:r>
      <w:r w:rsidRPr="00282AC9">
        <w:rPr>
          <w:rFonts w:ascii="Simplified Arabic" w:hAnsi="Simplified Arabic" w:hint="cs"/>
          <w:sz w:val="27"/>
          <w:rtl/>
          <w:lang w:bidi="ar-LB"/>
        </w:rPr>
        <w:t>،</w:t>
      </w:r>
      <w:r w:rsidRPr="00282AC9">
        <w:rPr>
          <w:rFonts w:ascii="Simplified Arabic" w:hAnsi="Simplified Arabic"/>
          <w:sz w:val="27"/>
          <w:rtl/>
          <w:lang w:bidi="ar-LB"/>
        </w:rPr>
        <w:t xml:space="preserve"> معناها أن يعلو</w:t>
      </w:r>
      <w:r w:rsidR="009D0278" w:rsidRPr="00282AC9">
        <w:rPr>
          <w:rFonts w:ascii="Simplified Arabic" w:hAnsi="Simplified Arabic"/>
          <w:sz w:val="27"/>
          <w:rtl/>
          <w:lang w:bidi="ar-LB"/>
        </w:rPr>
        <w:t xml:space="preserve"> الفحل أنثاه</w:t>
      </w:r>
      <w:r w:rsidR="009D0278" w:rsidRPr="00282AC9">
        <w:rPr>
          <w:rFonts w:ascii="Simplified Arabic" w:hAnsi="Simplified Arabic" w:hint="cs"/>
          <w:sz w:val="27"/>
          <w:rtl/>
          <w:lang w:bidi="ar-LB"/>
        </w:rPr>
        <w:t>؛</w:t>
      </w:r>
      <w:r w:rsidR="009D0278" w:rsidRPr="00282AC9">
        <w:rPr>
          <w:rFonts w:ascii="Simplified Arabic" w:hAnsi="Simplified Arabic"/>
          <w:sz w:val="27"/>
          <w:rtl/>
          <w:lang w:bidi="ar-LB"/>
        </w:rPr>
        <w:t xml:space="preserve"> وبالفتح</w:t>
      </w:r>
      <w:r w:rsidR="009D0278" w:rsidRPr="00282AC9">
        <w:rPr>
          <w:rFonts w:ascii="Simplified Arabic" w:hAnsi="Simplified Arabic" w:hint="cs"/>
          <w:sz w:val="27"/>
          <w:rtl/>
          <w:lang w:bidi="ar-LB"/>
        </w:rPr>
        <w:t xml:space="preserve"> (الطَّروقة): </w:t>
      </w:r>
      <w:r w:rsidRPr="00282AC9">
        <w:rPr>
          <w:rFonts w:ascii="Simplified Arabic" w:hAnsi="Simplified Arabic"/>
          <w:sz w:val="27"/>
          <w:rtl/>
          <w:lang w:bidi="ar-LB"/>
        </w:rPr>
        <w:t>أنثاه</w:t>
      </w:r>
      <w:r w:rsidR="009D0278" w:rsidRPr="00282AC9">
        <w:rPr>
          <w:rFonts w:ascii="Simplified Arabic" w:hAnsi="Simplified Arabic"/>
          <w:sz w:val="27"/>
          <w:vertAlign w:val="superscript"/>
          <w:rtl/>
          <w:lang w:bidi="ar-LB"/>
        </w:rPr>
        <w:t>(</w:t>
      </w:r>
      <w:r w:rsidR="009D0278" w:rsidRPr="00282AC9">
        <w:rPr>
          <w:rStyle w:val="af9"/>
          <w:rFonts w:ascii="Simplified Arabic" w:hAnsi="Simplified Arabic"/>
          <w:sz w:val="27"/>
          <w:rtl/>
          <w:lang w:bidi="ar-LB"/>
        </w:rPr>
        <w:endnoteReference w:id="823"/>
      </w:r>
      <w:r w:rsidR="009D0278" w:rsidRPr="00282AC9">
        <w:rPr>
          <w:rFonts w:ascii="Simplified Arabic" w:hAnsi="Simplified Arabic"/>
          <w:sz w:val="27"/>
          <w:vertAlign w:val="superscript"/>
          <w:rtl/>
          <w:lang w:bidi="ar-LB"/>
        </w:rPr>
        <w:t>)</w:t>
      </w:r>
      <w:r w:rsidRPr="00282AC9">
        <w:rPr>
          <w:rFonts w:ascii="Simplified Arabic" w:hAnsi="Simplified Arabic"/>
          <w:sz w:val="27"/>
          <w:rtl/>
          <w:lang w:bidi="ar-LB"/>
        </w:rPr>
        <w:t>.</w:t>
      </w:r>
    </w:p>
    <w:p w:rsidR="00B4645B" w:rsidRPr="00282AC9" w:rsidRDefault="00B4645B" w:rsidP="0091196D">
      <w:pPr>
        <w:rPr>
          <w:rFonts w:ascii="Simplified Arabic" w:hAnsi="Simplified Arabic"/>
          <w:sz w:val="27"/>
          <w:lang w:bidi="ar-LB"/>
        </w:rPr>
      </w:pPr>
      <w:r w:rsidRPr="00282AC9">
        <w:rPr>
          <w:rFonts w:ascii="Simplified Arabic" w:hAnsi="Simplified Arabic"/>
          <w:sz w:val="27"/>
          <w:rtl/>
          <w:lang w:bidi="ar-LB"/>
        </w:rPr>
        <w:t>إلا</w:t>
      </w:r>
      <w:r w:rsidR="009D0278" w:rsidRPr="00282AC9">
        <w:rPr>
          <w:rFonts w:ascii="Simplified Arabic" w:hAnsi="Simplified Arabic" w:hint="cs"/>
          <w:sz w:val="27"/>
          <w:rtl/>
          <w:lang w:bidi="ar-LB"/>
        </w:rPr>
        <w:t>ّ</w:t>
      </w:r>
      <w:r w:rsidRPr="00282AC9">
        <w:rPr>
          <w:rFonts w:ascii="Simplified Arabic" w:hAnsi="Simplified Arabic"/>
          <w:sz w:val="27"/>
          <w:rtl/>
          <w:lang w:bidi="ar-LB"/>
        </w:rPr>
        <w:t xml:space="preserve"> أن هذا التفصيل ليس له أساس</w:t>
      </w:r>
      <w:r w:rsidR="009D0278" w:rsidRPr="00282AC9">
        <w:rPr>
          <w:rFonts w:ascii="Simplified Arabic" w:hAnsi="Simplified Arabic" w:hint="cs"/>
          <w:sz w:val="27"/>
          <w:rtl/>
          <w:lang w:bidi="ar-LB"/>
        </w:rPr>
        <w:t>ٌ</w:t>
      </w:r>
      <w:r w:rsidRPr="00282AC9">
        <w:rPr>
          <w:rFonts w:ascii="Simplified Arabic" w:hAnsi="Simplified Arabic"/>
          <w:sz w:val="27"/>
          <w:rtl/>
          <w:lang w:bidi="ar-LB"/>
        </w:rPr>
        <w:t xml:space="preserve"> في المعاجم</w:t>
      </w:r>
      <w:r w:rsidR="009D0278" w:rsidRPr="00282AC9">
        <w:rPr>
          <w:rFonts w:ascii="Simplified Arabic" w:hAnsi="Simplified Arabic" w:hint="cs"/>
          <w:sz w:val="27"/>
          <w:rtl/>
          <w:lang w:bidi="ar-LB"/>
        </w:rPr>
        <w:t>،</w:t>
      </w:r>
      <w:r w:rsidRPr="00282AC9">
        <w:rPr>
          <w:rFonts w:ascii="Simplified Arabic" w:hAnsi="Simplified Arabic"/>
          <w:sz w:val="27"/>
          <w:rtl/>
          <w:lang w:bidi="ar-LB"/>
        </w:rPr>
        <w:t xml:space="preserve"> كما سيبين. </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وترد</w:t>
      </w:r>
      <w:r w:rsidR="009D0278" w:rsidRPr="00282AC9">
        <w:rPr>
          <w:rFonts w:ascii="Simplified Arabic" w:hAnsi="Simplified Arabic" w:hint="cs"/>
          <w:sz w:val="27"/>
          <w:rtl/>
          <w:lang w:bidi="ar-LB"/>
        </w:rPr>
        <w:t>َّ</w:t>
      </w:r>
      <w:r w:rsidRPr="00282AC9">
        <w:rPr>
          <w:rFonts w:ascii="Simplified Arabic" w:hAnsi="Simplified Arabic"/>
          <w:sz w:val="27"/>
          <w:rtl/>
          <w:lang w:bidi="ar-LB"/>
        </w:rPr>
        <w:t>د بعض الفقهاء ما بين البالغة ضراب الفحل</w:t>
      </w:r>
      <w:r w:rsidR="009D0278" w:rsidRPr="00282AC9">
        <w:rPr>
          <w:rFonts w:ascii="Simplified Arabic" w:hAnsi="Simplified Arabic" w:hint="cs"/>
          <w:sz w:val="27"/>
          <w:rtl/>
          <w:lang w:bidi="ar-LB"/>
        </w:rPr>
        <w:t>؛</w:t>
      </w:r>
      <w:r w:rsidRPr="00282AC9">
        <w:rPr>
          <w:rFonts w:ascii="Simplified Arabic" w:hAnsi="Simplified Arabic"/>
          <w:sz w:val="27"/>
          <w:rtl/>
          <w:lang w:bidi="ar-LB"/>
        </w:rPr>
        <w:t xml:space="preserve"> أو ما طرقها الفحل فحمل</w:t>
      </w:r>
      <w:r w:rsidR="00441932" w:rsidRPr="00282AC9">
        <w:rPr>
          <w:rFonts w:ascii="Simplified Arabic" w:hAnsi="Simplified Arabic" w:hint="cs"/>
          <w:sz w:val="27"/>
          <w:rtl/>
          <w:lang w:bidi="ar-LB"/>
        </w:rPr>
        <w:t>َ</w:t>
      </w:r>
      <w:r w:rsidRPr="00282AC9">
        <w:rPr>
          <w:rFonts w:ascii="Simplified Arabic" w:hAnsi="Simplified Arabic"/>
          <w:sz w:val="27"/>
          <w:rtl/>
          <w:lang w:bidi="ar-LB"/>
        </w:rPr>
        <w:t>ت</w:t>
      </w:r>
      <w:r w:rsidR="00441932" w:rsidRPr="00282AC9">
        <w:rPr>
          <w:rFonts w:ascii="Simplified Arabic" w:hAnsi="Simplified Arabic" w:hint="cs"/>
          <w:sz w:val="27"/>
          <w:rtl/>
          <w:lang w:bidi="ar-LB"/>
        </w:rPr>
        <w:t>ْ</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824"/>
      </w:r>
      <w:r w:rsidRPr="00282AC9">
        <w:rPr>
          <w:rFonts w:ascii="Simplified Arabic" w:hAnsi="Simplified Arabic"/>
          <w:sz w:val="27"/>
          <w:vertAlign w:val="superscript"/>
          <w:rtl/>
          <w:lang w:bidi="ar-LB"/>
        </w:rPr>
        <w:t>)</w:t>
      </w:r>
      <w:r w:rsidR="009D0278" w:rsidRPr="00282AC9">
        <w:rPr>
          <w:rFonts w:ascii="Simplified Arabic" w:hAnsi="Simplified Arabic" w:hint="cs"/>
          <w:sz w:val="27"/>
          <w:rtl/>
          <w:lang w:bidi="ar-LB"/>
        </w:rPr>
        <w:t>،</w:t>
      </w:r>
      <w:r w:rsidRPr="00282AC9">
        <w:rPr>
          <w:rFonts w:ascii="Simplified Arabic" w:hAnsi="Simplified Arabic"/>
          <w:sz w:val="27"/>
          <w:rtl/>
          <w:lang w:bidi="ar-LB"/>
        </w:rPr>
        <w:t xml:space="preserve"> كما ذهب الإمام الخميني والسيد عبد الأعلى السبزواري وغيرهما</w:t>
      </w:r>
      <w:r w:rsidR="00441932" w:rsidRPr="00282AC9">
        <w:rPr>
          <w:rFonts w:ascii="Simplified Arabic" w:hAnsi="Simplified Arabic" w:hint="cs"/>
          <w:sz w:val="27"/>
          <w:rtl/>
          <w:lang w:bidi="ar-LB"/>
        </w:rPr>
        <w:t>؛</w:t>
      </w:r>
      <w:r w:rsidRPr="00282AC9">
        <w:rPr>
          <w:rFonts w:ascii="Simplified Arabic" w:hAnsi="Simplified Arabic" w:hint="cs"/>
          <w:sz w:val="27"/>
          <w:rtl/>
          <w:lang w:bidi="ar-LB"/>
        </w:rPr>
        <w:t xml:space="preserve"> حيث ذكر السيد الإمام</w:t>
      </w:r>
      <w:r w:rsidR="00441932" w:rsidRPr="00282AC9">
        <w:rPr>
          <w:rFonts w:ascii="Simplified Arabic" w:hAnsi="Simplified Arabic" w:hint="cs"/>
          <w:sz w:val="27"/>
          <w:rtl/>
          <w:lang w:bidi="ar-LB"/>
        </w:rPr>
        <w:t>،</w:t>
      </w:r>
      <w:r w:rsidRPr="00282AC9">
        <w:rPr>
          <w:rFonts w:ascii="Simplified Arabic" w:hAnsi="Simplified Arabic" w:hint="cs"/>
          <w:sz w:val="27"/>
          <w:rtl/>
          <w:lang w:bidi="ar-LB"/>
        </w:rPr>
        <w:t xml:space="preserve"> في كتابه تحرير الوسيل</w:t>
      </w:r>
      <w:r w:rsidR="00441932" w:rsidRPr="00282AC9">
        <w:rPr>
          <w:rFonts w:ascii="Simplified Arabic" w:hAnsi="Simplified Arabic" w:hint="cs"/>
          <w:sz w:val="27"/>
          <w:rtl/>
          <w:lang w:bidi="ar-LB"/>
        </w:rPr>
        <w:t>ة</w:t>
      </w:r>
      <w:r w:rsidRPr="00282AC9">
        <w:rPr>
          <w:rFonts w:ascii="Simplified Arabic" w:hAnsi="Simplified Arabic" w:hint="cs"/>
          <w:sz w:val="27"/>
          <w:rtl/>
          <w:lang w:bidi="ar-LB"/>
        </w:rPr>
        <w:t xml:space="preserve">: </w:t>
      </w:r>
      <w:r w:rsidRPr="00282AC9">
        <w:rPr>
          <w:rFonts w:hint="eastAsia"/>
          <w:sz w:val="24"/>
          <w:szCs w:val="24"/>
          <w:rtl/>
          <w:lang w:bidi="ar-LB"/>
        </w:rPr>
        <w:t>«</w:t>
      </w:r>
      <w:r w:rsidRPr="00282AC9">
        <w:rPr>
          <w:rFonts w:ascii="Simplified Arabic" w:hAnsi="Simplified Arabic" w:hint="cs"/>
          <w:sz w:val="27"/>
          <w:rtl/>
          <w:lang w:bidi="ar-LB"/>
        </w:rPr>
        <w:t>طروقة أي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البالغة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ضراب</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الفحل</w:t>
      </w:r>
      <w:r w:rsidR="00441932"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أو</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طرقها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الفحل</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فحمل</w:t>
      </w:r>
      <w:r w:rsidR="00441932" w:rsidRPr="00282AC9">
        <w:rPr>
          <w:rFonts w:ascii="Simplified Arabic" w:hAnsi="Simplified Arabic" w:hint="cs"/>
          <w:sz w:val="27"/>
          <w:rtl/>
          <w:lang w:bidi="ar-LB"/>
        </w:rPr>
        <w:t>َ</w:t>
      </w:r>
      <w:r w:rsidRPr="00282AC9">
        <w:rPr>
          <w:rFonts w:ascii="Simplified Arabic" w:hAnsi="Simplified Arabic" w:hint="cs"/>
          <w:sz w:val="27"/>
          <w:rtl/>
          <w:lang w:bidi="ar-LB"/>
        </w:rPr>
        <w:t>ت</w:t>
      </w:r>
      <w:r w:rsidR="00441932" w:rsidRPr="00282AC9">
        <w:rPr>
          <w:rFonts w:ascii="Simplified Arabic" w:hAnsi="Simplified Arabic" w:hint="cs"/>
          <w:sz w:val="27"/>
          <w:rtl/>
          <w:lang w:bidi="ar-LB"/>
        </w:rPr>
        <w:t>ْ</w:t>
      </w:r>
      <w:r w:rsidRPr="00282AC9">
        <w:rPr>
          <w:rFonts w:hint="eastAsia"/>
          <w:sz w:val="24"/>
          <w:szCs w:val="24"/>
          <w:rtl/>
        </w:rPr>
        <w:t>»</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825"/>
      </w:r>
      <w:r w:rsidRPr="00282AC9">
        <w:rPr>
          <w:rFonts w:ascii="Simplified Arabic" w:hAnsi="Simplified Arabic"/>
          <w:sz w:val="27"/>
          <w:vertAlign w:val="superscript"/>
          <w:rtl/>
          <w:lang w:bidi="ar-LB"/>
        </w:rPr>
        <w:t>)</w:t>
      </w:r>
      <w:r w:rsidRPr="00282AC9">
        <w:rPr>
          <w:rFonts w:ascii="Simplified Arabic" w:hAnsi="Simplified Arabic" w:hint="cs"/>
          <w:sz w:val="27"/>
          <w:rtl/>
          <w:lang w:bidi="ar-LB"/>
        </w:rPr>
        <w:t>.</w:t>
      </w:r>
    </w:p>
    <w:p w:rsidR="00DA4BC5" w:rsidRPr="00282AC9" w:rsidRDefault="00DA4BC5" w:rsidP="00DA4BC5">
      <w:pPr>
        <w:spacing w:line="420" w:lineRule="exact"/>
        <w:rPr>
          <w:sz w:val="27"/>
          <w:rtl/>
        </w:rPr>
      </w:pPr>
    </w:p>
    <w:p w:rsidR="00B4645B" w:rsidRPr="00282AC9" w:rsidRDefault="008D33A6" w:rsidP="008D33A6">
      <w:pPr>
        <w:pStyle w:val="31"/>
        <w:rPr>
          <w:b/>
          <w:i/>
          <w:iCs/>
          <w:color w:val="auto"/>
          <w:rtl/>
          <w:lang w:bidi="ar-LB"/>
        </w:rPr>
      </w:pPr>
      <w:r w:rsidRPr="00282AC9">
        <w:rPr>
          <w:rFonts w:hint="cs"/>
          <w:color w:val="auto"/>
          <w:rtl/>
          <w:lang w:bidi="ar-LB"/>
        </w:rPr>
        <w:t xml:space="preserve">ب ـ في كتب </w:t>
      </w:r>
      <w:r w:rsidR="00C06BE6" w:rsidRPr="00282AC9">
        <w:rPr>
          <w:rFonts w:hint="cs"/>
          <w:color w:val="auto"/>
          <w:rtl/>
          <w:lang w:bidi="ar-LB"/>
        </w:rPr>
        <w:t>الل</w:t>
      </w:r>
      <w:r w:rsidR="00B4645B" w:rsidRPr="00282AC9">
        <w:rPr>
          <w:rFonts w:hint="cs"/>
          <w:color w:val="auto"/>
          <w:rtl/>
          <w:lang w:bidi="ar-LB"/>
        </w:rPr>
        <w:t>غ</w:t>
      </w:r>
      <w:r w:rsidRPr="00282AC9">
        <w:rPr>
          <w:rFonts w:hint="cs"/>
          <w:color w:val="auto"/>
          <w:rtl/>
          <w:lang w:bidi="ar-LB"/>
        </w:rPr>
        <w:t>ة</w:t>
      </w:r>
    </w:p>
    <w:p w:rsidR="00B4645B" w:rsidRPr="00282AC9" w:rsidRDefault="00425851" w:rsidP="0091196D">
      <w:pPr>
        <w:rPr>
          <w:rFonts w:cs="Abz-3 (Yagut)"/>
          <w:szCs w:val="26"/>
          <w:rtl/>
          <w:lang w:bidi="ar-LB"/>
        </w:rPr>
      </w:pPr>
      <w:r w:rsidRPr="00282AC9">
        <w:rPr>
          <w:rFonts w:hint="cs"/>
          <w:rtl/>
          <w:lang w:bidi="ar-LB"/>
        </w:rPr>
        <w:t xml:space="preserve">1ـ </w:t>
      </w:r>
      <w:r w:rsidR="00441932" w:rsidRPr="00282AC9">
        <w:rPr>
          <w:rFonts w:hint="cs"/>
          <w:rtl/>
          <w:lang w:bidi="ar-LB"/>
        </w:rPr>
        <w:t xml:space="preserve">قال الراغب الإصفهاني، في </w:t>
      </w:r>
      <w:r w:rsidR="007E3B32" w:rsidRPr="00282AC9">
        <w:rPr>
          <w:rtl/>
          <w:lang w:bidi="ar-LB"/>
        </w:rPr>
        <w:t>المفردات في غريب القرآن</w:t>
      </w:r>
      <w:r w:rsidR="005D3045" w:rsidRPr="00282AC9">
        <w:rPr>
          <w:rFonts w:hint="cs"/>
          <w:rtl/>
          <w:lang w:bidi="ar-LB"/>
        </w:rPr>
        <w:t xml:space="preserve">: </w:t>
      </w:r>
      <w:r w:rsidR="00B4645B" w:rsidRPr="00282AC9">
        <w:rPr>
          <w:rtl/>
          <w:lang w:bidi="ar-LB"/>
        </w:rPr>
        <w:t>وباعتبا</w:t>
      </w:r>
      <w:r w:rsidR="00441932" w:rsidRPr="00282AC9">
        <w:rPr>
          <w:rtl/>
          <w:lang w:bidi="ar-LB"/>
        </w:rPr>
        <w:t>ر الضرب قيل: طَرَقَ الفحلُ الن</w:t>
      </w:r>
      <w:r w:rsidR="00B4645B" w:rsidRPr="00282AC9">
        <w:rPr>
          <w:rtl/>
          <w:lang w:bidi="ar-LB"/>
        </w:rPr>
        <w:t>اقةَ، وأَطْرَقْتُهَا، واسْتَطْرَقْتُ فلاناً فحل</w:t>
      </w:r>
      <w:r w:rsidR="006D28AF" w:rsidRPr="00282AC9">
        <w:rPr>
          <w:rtl/>
          <w:lang w:bidi="ar-LB"/>
        </w:rPr>
        <w:t>اً</w:t>
      </w:r>
      <w:r w:rsidR="00B4645B" w:rsidRPr="00282AC9">
        <w:rPr>
          <w:rtl/>
          <w:lang w:bidi="ar-LB"/>
        </w:rPr>
        <w:t>، </w:t>
      </w:r>
      <w:r w:rsidR="00441932" w:rsidRPr="00282AC9">
        <w:rPr>
          <w:rtl/>
          <w:lang w:bidi="ar-LB"/>
        </w:rPr>
        <w:t>كقول</w:t>
      </w:r>
      <w:r w:rsidR="00441932" w:rsidRPr="00282AC9">
        <w:rPr>
          <w:rFonts w:hint="cs"/>
          <w:rtl/>
          <w:lang w:bidi="ar-LB"/>
        </w:rPr>
        <w:t xml:space="preserve">ك: </w:t>
      </w:r>
      <w:r w:rsidR="00B4645B" w:rsidRPr="00282AC9">
        <w:rPr>
          <w:rtl/>
          <w:lang w:bidi="ar-LB"/>
        </w:rPr>
        <w:t>ضربها الفحل، وأضربتها، واستضربته فحلا</w:t>
      </w:r>
      <w:r w:rsidR="00441932" w:rsidRPr="00282AC9">
        <w:rPr>
          <w:rFonts w:hint="cs"/>
          <w:rtl/>
          <w:lang w:bidi="ar-LB"/>
        </w:rPr>
        <w:t>ً</w:t>
      </w:r>
      <w:r w:rsidR="00B4645B" w:rsidRPr="00282AC9">
        <w:rPr>
          <w:rtl/>
          <w:lang w:bidi="ar-LB"/>
        </w:rPr>
        <w:t>.</w:t>
      </w:r>
      <w:r w:rsidR="00441932" w:rsidRPr="00282AC9">
        <w:rPr>
          <w:rFonts w:hint="cs"/>
          <w:rtl/>
          <w:lang w:bidi="ar-LB"/>
        </w:rPr>
        <w:t xml:space="preserve"> </w:t>
      </w:r>
      <w:r w:rsidR="00B4645B" w:rsidRPr="00282AC9">
        <w:rPr>
          <w:rtl/>
          <w:lang w:bidi="ar-LB"/>
        </w:rPr>
        <w:t>ويقال للنّاقة</w:t>
      </w:r>
      <w:r w:rsidR="00441932" w:rsidRPr="00282AC9">
        <w:rPr>
          <w:rFonts w:hint="cs"/>
          <w:rtl/>
          <w:lang w:bidi="ar-LB"/>
        </w:rPr>
        <w:t xml:space="preserve">: </w:t>
      </w:r>
      <w:r w:rsidR="00B4645B" w:rsidRPr="00282AC9">
        <w:rPr>
          <w:rtl/>
          <w:lang w:bidi="ar-LB"/>
        </w:rPr>
        <w:t>طَرُوقَةٌ، وك</w:t>
      </w:r>
      <w:r w:rsidR="00441932" w:rsidRPr="00282AC9">
        <w:rPr>
          <w:rFonts w:hint="cs"/>
          <w:rtl/>
          <w:lang w:bidi="ar-LB"/>
        </w:rPr>
        <w:t>ُ</w:t>
      </w:r>
      <w:r w:rsidR="00B4645B" w:rsidRPr="00282AC9">
        <w:rPr>
          <w:rtl/>
          <w:lang w:bidi="ar-LB"/>
        </w:rPr>
        <w:t>نّ</w:t>
      </w:r>
      <w:r w:rsidR="00441932" w:rsidRPr="00282AC9">
        <w:rPr>
          <w:rFonts w:hint="cs"/>
          <w:rtl/>
          <w:lang w:bidi="ar-LB"/>
        </w:rPr>
        <w:t>ِ</w:t>
      </w:r>
      <w:r w:rsidR="00B4645B" w:rsidRPr="00282AC9">
        <w:rPr>
          <w:rtl/>
          <w:lang w:bidi="ar-LB"/>
        </w:rPr>
        <w:t>ي بالطَّرُوقَةِ عن المرأة</w:t>
      </w:r>
      <w:r w:rsidR="00B4645B" w:rsidRPr="00282AC9">
        <w:rPr>
          <w:vertAlign w:val="superscript"/>
          <w:rtl/>
          <w:lang w:bidi="ar-LB"/>
        </w:rPr>
        <w:t>(</w:t>
      </w:r>
      <w:r w:rsidR="00B4645B" w:rsidRPr="00282AC9">
        <w:rPr>
          <w:vertAlign w:val="superscript"/>
          <w:rtl/>
          <w:lang w:bidi="ar-LB"/>
        </w:rPr>
        <w:endnoteReference w:id="826"/>
      </w:r>
      <w:r w:rsidR="00B4645B" w:rsidRPr="00282AC9">
        <w:rPr>
          <w:vertAlign w:val="superscript"/>
          <w:rtl/>
          <w:lang w:bidi="ar-LB"/>
        </w:rPr>
        <w:t>)</w:t>
      </w:r>
      <w:r w:rsidR="00B4645B" w:rsidRPr="00282AC9">
        <w:rPr>
          <w:rFonts w:asciiTheme="majorBidi" w:hAnsiTheme="majorBidi" w:hint="cs"/>
          <w:rtl/>
          <w:lang w:bidi="ar-LB"/>
        </w:rPr>
        <w:t>.</w:t>
      </w:r>
    </w:p>
    <w:p w:rsidR="00B4645B" w:rsidRPr="00282AC9" w:rsidRDefault="00B4645B" w:rsidP="0091196D">
      <w:pPr>
        <w:rPr>
          <w:rtl/>
          <w:lang w:bidi="ar-LB"/>
        </w:rPr>
      </w:pPr>
      <w:r w:rsidRPr="00282AC9">
        <w:rPr>
          <w:rFonts w:hint="cs"/>
          <w:rtl/>
          <w:lang w:bidi="ar-LB"/>
        </w:rPr>
        <w:t xml:space="preserve">2ـ </w:t>
      </w:r>
      <w:r w:rsidR="00425851" w:rsidRPr="00282AC9">
        <w:rPr>
          <w:rFonts w:hint="cs"/>
          <w:rtl/>
          <w:lang w:bidi="ar-LB"/>
        </w:rPr>
        <w:t>وقال الجوهري، في</w:t>
      </w:r>
      <w:r w:rsidRPr="00282AC9">
        <w:rPr>
          <w:rtl/>
          <w:lang w:bidi="ar-LB"/>
        </w:rPr>
        <w:t xml:space="preserve"> الصحاح:</w:t>
      </w:r>
      <w:r w:rsidR="00425851" w:rsidRPr="00282AC9">
        <w:rPr>
          <w:rFonts w:hint="cs"/>
          <w:rtl/>
          <w:lang w:bidi="ar-LB"/>
        </w:rPr>
        <w:t xml:space="preserve"> </w:t>
      </w:r>
      <w:r w:rsidRPr="00282AC9">
        <w:rPr>
          <w:rtl/>
          <w:lang w:bidi="ar-LB"/>
        </w:rPr>
        <w:t>وطروقة الفحل: أنثاه. ي</w:t>
      </w:r>
      <w:r w:rsidR="00425851" w:rsidRPr="00282AC9">
        <w:rPr>
          <w:rFonts w:hint="cs"/>
          <w:rtl/>
          <w:lang w:bidi="ar-LB"/>
        </w:rPr>
        <w:t>ُ</w:t>
      </w:r>
      <w:r w:rsidRPr="00282AC9">
        <w:rPr>
          <w:rtl/>
          <w:lang w:bidi="ar-LB"/>
        </w:rPr>
        <w:t>قال: ناقةٌ طروقة الفحل للتي بلغت أن يضربها الفحل</w:t>
      </w:r>
      <w:r w:rsidRPr="00282AC9">
        <w:rPr>
          <w:vertAlign w:val="superscript"/>
          <w:rtl/>
          <w:lang w:bidi="ar-LB"/>
        </w:rPr>
        <w:t>(</w:t>
      </w:r>
      <w:r w:rsidRPr="00282AC9">
        <w:rPr>
          <w:vertAlign w:val="superscript"/>
          <w:rtl/>
          <w:lang w:bidi="ar-LB"/>
        </w:rPr>
        <w:endnoteReference w:id="827"/>
      </w:r>
      <w:r w:rsidRPr="00282AC9">
        <w:rPr>
          <w:vertAlign w:val="superscript"/>
          <w:rtl/>
          <w:lang w:bidi="ar-LB"/>
        </w:rPr>
        <w:t>)</w:t>
      </w:r>
      <w:r w:rsidRPr="00282AC9">
        <w:rPr>
          <w:rtl/>
          <w:lang w:bidi="ar-LB"/>
        </w:rPr>
        <w:t>.</w:t>
      </w:r>
    </w:p>
    <w:p w:rsidR="00B4645B" w:rsidRPr="00282AC9" w:rsidRDefault="00B4645B" w:rsidP="0091196D">
      <w:pPr>
        <w:rPr>
          <w:rtl/>
          <w:lang w:bidi="ar-LB"/>
        </w:rPr>
      </w:pPr>
      <w:r w:rsidRPr="00282AC9">
        <w:rPr>
          <w:rFonts w:hint="cs"/>
          <w:rtl/>
          <w:lang w:bidi="ar-LB"/>
        </w:rPr>
        <w:t xml:space="preserve">3ـ </w:t>
      </w:r>
      <w:r w:rsidR="00425851" w:rsidRPr="00282AC9">
        <w:rPr>
          <w:rFonts w:hint="cs"/>
          <w:rtl/>
          <w:lang w:bidi="ar-LB"/>
        </w:rPr>
        <w:t>وقال الخليل في</w:t>
      </w:r>
      <w:r w:rsidRPr="00282AC9">
        <w:rPr>
          <w:rtl/>
          <w:lang w:bidi="ar-LB"/>
        </w:rPr>
        <w:t xml:space="preserve"> العين:</w:t>
      </w:r>
      <w:r w:rsidR="00425851" w:rsidRPr="00282AC9">
        <w:rPr>
          <w:rFonts w:hint="cs"/>
          <w:rtl/>
          <w:lang w:bidi="ar-LB"/>
        </w:rPr>
        <w:t xml:space="preserve"> </w:t>
      </w:r>
      <w:r w:rsidRPr="00282AC9">
        <w:rPr>
          <w:rtl/>
          <w:lang w:bidi="ar-LB"/>
        </w:rPr>
        <w:t>وكل</w:t>
      </w:r>
      <w:r w:rsidR="00425851" w:rsidRPr="00282AC9">
        <w:rPr>
          <w:rFonts w:hint="cs"/>
          <w:rtl/>
          <w:lang w:bidi="ar-LB"/>
        </w:rPr>
        <w:t>ّ</w:t>
      </w:r>
      <w:r w:rsidRPr="00282AC9">
        <w:rPr>
          <w:rtl/>
          <w:lang w:bidi="ar-LB"/>
        </w:rPr>
        <w:t xml:space="preserve"> امرأة</w:t>
      </w:r>
      <w:r w:rsidR="00425851" w:rsidRPr="00282AC9">
        <w:rPr>
          <w:rFonts w:hint="cs"/>
          <w:rtl/>
          <w:lang w:bidi="ar-LB"/>
        </w:rPr>
        <w:t>ٍ</w:t>
      </w:r>
      <w:r w:rsidRPr="00282AC9">
        <w:rPr>
          <w:rtl/>
          <w:lang w:bidi="ar-LB"/>
        </w:rPr>
        <w:t xml:space="preserve"> طروقة زوجها</w:t>
      </w:r>
      <w:r w:rsidR="00425851" w:rsidRPr="00282AC9">
        <w:rPr>
          <w:rFonts w:hint="cs"/>
          <w:rtl/>
          <w:lang w:bidi="ar-LB"/>
        </w:rPr>
        <w:t>.</w:t>
      </w:r>
      <w:r w:rsidRPr="00282AC9">
        <w:rPr>
          <w:rtl/>
          <w:lang w:bidi="ar-LB"/>
        </w:rPr>
        <w:t xml:space="preserve"> وي</w:t>
      </w:r>
      <w:r w:rsidR="00425851" w:rsidRPr="00282AC9">
        <w:rPr>
          <w:rFonts w:hint="cs"/>
          <w:rtl/>
          <w:lang w:bidi="ar-LB"/>
        </w:rPr>
        <w:t>ُ</w:t>
      </w:r>
      <w:r w:rsidRPr="00282AC9">
        <w:rPr>
          <w:rtl/>
          <w:lang w:bidi="ar-LB"/>
        </w:rPr>
        <w:t>قال للمتزو</w:t>
      </w:r>
      <w:r w:rsidR="00425851" w:rsidRPr="00282AC9">
        <w:rPr>
          <w:rFonts w:hint="cs"/>
          <w:rtl/>
          <w:lang w:bidi="ar-LB"/>
        </w:rPr>
        <w:t>ِّ</w:t>
      </w:r>
      <w:r w:rsidRPr="00282AC9">
        <w:rPr>
          <w:rtl/>
          <w:lang w:bidi="ar-LB"/>
        </w:rPr>
        <w:t>ج: كيف طروقتك</w:t>
      </w:r>
      <w:r w:rsidR="00425851" w:rsidRPr="00282AC9">
        <w:rPr>
          <w:rFonts w:hint="cs"/>
          <w:rtl/>
          <w:lang w:bidi="ar-LB"/>
        </w:rPr>
        <w:t xml:space="preserve">؟ </w:t>
      </w:r>
      <w:r w:rsidRPr="00282AC9">
        <w:rPr>
          <w:rtl/>
          <w:lang w:bidi="ar-LB"/>
        </w:rPr>
        <w:t>وكل</w:t>
      </w:r>
      <w:r w:rsidR="00425851" w:rsidRPr="00282AC9">
        <w:rPr>
          <w:rFonts w:hint="cs"/>
          <w:rtl/>
          <w:lang w:bidi="ar-LB"/>
        </w:rPr>
        <w:t>ّ</w:t>
      </w:r>
      <w:r w:rsidRPr="00282AC9">
        <w:rPr>
          <w:rtl/>
          <w:lang w:bidi="ar-LB"/>
        </w:rPr>
        <w:t xml:space="preserve"> ناقة</w:t>
      </w:r>
      <w:r w:rsidR="00425851" w:rsidRPr="00282AC9">
        <w:rPr>
          <w:rFonts w:hint="cs"/>
          <w:rtl/>
          <w:lang w:bidi="ar-LB"/>
        </w:rPr>
        <w:t>ٍ</w:t>
      </w:r>
      <w:r w:rsidRPr="00282AC9">
        <w:rPr>
          <w:rtl/>
          <w:lang w:bidi="ar-LB"/>
        </w:rPr>
        <w:t xml:space="preserve"> طروقة فحلها، نعت لها من غير فعل</w:t>
      </w:r>
      <w:r w:rsidR="00425851" w:rsidRPr="00282AC9">
        <w:rPr>
          <w:rFonts w:hint="cs"/>
          <w:rtl/>
          <w:lang w:bidi="ar-LB"/>
        </w:rPr>
        <w:t>ٍ</w:t>
      </w:r>
      <w:r w:rsidRPr="00282AC9">
        <w:rPr>
          <w:rtl/>
          <w:lang w:bidi="ar-LB"/>
        </w:rPr>
        <w:t>.</w:t>
      </w:r>
      <w:r w:rsidR="00425851" w:rsidRPr="00282AC9">
        <w:rPr>
          <w:rFonts w:hint="cs"/>
          <w:rtl/>
          <w:lang w:bidi="ar-LB"/>
        </w:rPr>
        <w:t xml:space="preserve"> </w:t>
      </w:r>
      <w:r w:rsidRPr="00282AC9">
        <w:rPr>
          <w:rtl/>
          <w:lang w:bidi="ar-LB"/>
        </w:rPr>
        <w:t>والعالي من الكلام أن الطروقة للقلوص التي بلغت الضراب، والتي يرب بها الفحل فيختارها من الشول فهي طروقته</w:t>
      </w:r>
      <w:r w:rsidR="00425851" w:rsidRPr="00282AC9">
        <w:rPr>
          <w:vertAlign w:val="superscript"/>
          <w:rtl/>
          <w:lang w:bidi="ar-LB"/>
        </w:rPr>
        <w:t>(</w:t>
      </w:r>
      <w:r w:rsidR="00425851" w:rsidRPr="00282AC9">
        <w:rPr>
          <w:vertAlign w:val="superscript"/>
          <w:rtl/>
          <w:lang w:bidi="ar-LB"/>
        </w:rPr>
        <w:endnoteReference w:id="828"/>
      </w:r>
      <w:r w:rsidR="00425851" w:rsidRPr="00282AC9">
        <w:rPr>
          <w:vertAlign w:val="superscript"/>
          <w:rtl/>
          <w:lang w:bidi="ar-LB"/>
        </w:rPr>
        <w:t>)</w:t>
      </w:r>
      <w:r w:rsidRPr="00282AC9">
        <w:rPr>
          <w:rtl/>
          <w:lang w:bidi="ar-LB"/>
        </w:rPr>
        <w:t>.</w:t>
      </w:r>
    </w:p>
    <w:p w:rsidR="00B4645B" w:rsidRPr="00282AC9" w:rsidRDefault="00B4645B" w:rsidP="0091196D">
      <w:pPr>
        <w:rPr>
          <w:rtl/>
          <w:lang w:bidi="ar-LB"/>
        </w:rPr>
      </w:pPr>
      <w:r w:rsidRPr="00282AC9">
        <w:rPr>
          <w:rFonts w:hint="cs"/>
          <w:rtl/>
          <w:lang w:bidi="ar-LB"/>
        </w:rPr>
        <w:t xml:space="preserve">4ـ </w:t>
      </w:r>
      <w:r w:rsidR="002F4D13" w:rsidRPr="00282AC9">
        <w:rPr>
          <w:rFonts w:hint="cs"/>
          <w:rtl/>
          <w:lang w:bidi="ar-LB"/>
        </w:rPr>
        <w:t>وقال الفيروزآبادي في</w:t>
      </w:r>
      <w:r w:rsidRPr="00282AC9">
        <w:rPr>
          <w:rtl/>
          <w:lang w:bidi="ar-LB"/>
        </w:rPr>
        <w:t xml:space="preserve"> القاموس المحيط:</w:t>
      </w:r>
      <w:r w:rsidR="002F4D13" w:rsidRPr="00282AC9">
        <w:rPr>
          <w:rFonts w:hint="cs"/>
          <w:rtl/>
          <w:lang w:bidi="ar-LB"/>
        </w:rPr>
        <w:t xml:space="preserve"> </w:t>
      </w:r>
      <w:r w:rsidRPr="00282AC9">
        <w:rPr>
          <w:rtl/>
          <w:lang w:bidi="ar-LB"/>
        </w:rPr>
        <w:t>وناقة طروقة الفحل: بلغ</w:t>
      </w:r>
      <w:r w:rsidR="002F4D13" w:rsidRPr="00282AC9">
        <w:rPr>
          <w:rFonts w:hint="cs"/>
          <w:rtl/>
          <w:lang w:bidi="ar-LB"/>
        </w:rPr>
        <w:t>َ</w:t>
      </w:r>
      <w:r w:rsidRPr="00282AC9">
        <w:rPr>
          <w:rtl/>
          <w:lang w:bidi="ar-LB"/>
        </w:rPr>
        <w:t>ت</w:t>
      </w:r>
      <w:r w:rsidR="002F4D13" w:rsidRPr="00282AC9">
        <w:rPr>
          <w:rFonts w:hint="cs"/>
          <w:rtl/>
          <w:lang w:bidi="ar-LB"/>
        </w:rPr>
        <w:t>ْ</w:t>
      </w:r>
      <w:r w:rsidRPr="00282AC9">
        <w:rPr>
          <w:rtl/>
          <w:lang w:bidi="ar-LB"/>
        </w:rPr>
        <w:t xml:space="preserve"> أن يضربها الفحل</w:t>
      </w:r>
      <w:r w:rsidR="002F4D13" w:rsidRPr="00282AC9">
        <w:rPr>
          <w:rFonts w:hint="cs"/>
          <w:rtl/>
          <w:lang w:bidi="ar-LB"/>
        </w:rPr>
        <w:t>.</w:t>
      </w:r>
      <w:r w:rsidRPr="00282AC9">
        <w:rPr>
          <w:rtl/>
          <w:lang w:bidi="ar-LB"/>
        </w:rPr>
        <w:t xml:space="preserve"> وكذا المرأة</w:t>
      </w:r>
      <w:r w:rsidRPr="00282AC9">
        <w:rPr>
          <w:vertAlign w:val="superscript"/>
          <w:rtl/>
          <w:lang w:bidi="ar-LB"/>
        </w:rPr>
        <w:t>(</w:t>
      </w:r>
      <w:r w:rsidRPr="00282AC9">
        <w:rPr>
          <w:vertAlign w:val="superscript"/>
          <w:rtl/>
          <w:lang w:bidi="ar-LB"/>
        </w:rPr>
        <w:endnoteReference w:id="829"/>
      </w:r>
      <w:r w:rsidRPr="00282AC9">
        <w:rPr>
          <w:vertAlign w:val="superscript"/>
          <w:rtl/>
          <w:lang w:bidi="ar-LB"/>
        </w:rPr>
        <w:t>)</w:t>
      </w:r>
      <w:r w:rsidRPr="00282AC9">
        <w:rPr>
          <w:rtl/>
          <w:lang w:bidi="ar-LB"/>
        </w:rPr>
        <w:t>.</w:t>
      </w:r>
    </w:p>
    <w:p w:rsidR="00B4645B" w:rsidRPr="00282AC9" w:rsidRDefault="00B4645B" w:rsidP="0091196D">
      <w:pPr>
        <w:rPr>
          <w:rtl/>
          <w:lang w:bidi="ar-LB"/>
        </w:rPr>
      </w:pPr>
      <w:r w:rsidRPr="00282AC9">
        <w:rPr>
          <w:rFonts w:hint="cs"/>
          <w:rtl/>
          <w:lang w:bidi="ar-LB"/>
        </w:rPr>
        <w:t xml:space="preserve">5ـ </w:t>
      </w:r>
      <w:r w:rsidR="002F4D13" w:rsidRPr="00282AC9">
        <w:rPr>
          <w:rFonts w:hint="cs"/>
          <w:rtl/>
          <w:lang w:bidi="ar-LB"/>
        </w:rPr>
        <w:t>وقال ابن فارس في</w:t>
      </w:r>
      <w:r w:rsidR="002F4D13" w:rsidRPr="00282AC9">
        <w:rPr>
          <w:rtl/>
          <w:lang w:bidi="ar-LB"/>
        </w:rPr>
        <w:t xml:space="preserve"> مقاييس اللغة:</w:t>
      </w:r>
      <w:r w:rsidR="002F4D13" w:rsidRPr="00282AC9">
        <w:rPr>
          <w:rFonts w:hint="cs"/>
          <w:rtl/>
          <w:lang w:bidi="ar-LB"/>
        </w:rPr>
        <w:t xml:space="preserve"> </w:t>
      </w:r>
      <w:r w:rsidRPr="00282AC9">
        <w:rPr>
          <w:rtl/>
          <w:lang w:bidi="ar-LB"/>
        </w:rPr>
        <w:t>وطَروقة الفَحل: أُنثاه</w:t>
      </w:r>
      <w:r w:rsidRPr="00282AC9">
        <w:rPr>
          <w:vertAlign w:val="superscript"/>
          <w:rtl/>
          <w:lang w:bidi="ar-LB"/>
        </w:rPr>
        <w:t>(</w:t>
      </w:r>
      <w:r w:rsidRPr="00282AC9">
        <w:rPr>
          <w:vertAlign w:val="superscript"/>
          <w:rtl/>
          <w:lang w:bidi="ar-LB"/>
        </w:rPr>
        <w:endnoteReference w:id="830"/>
      </w:r>
      <w:r w:rsidRPr="00282AC9">
        <w:rPr>
          <w:vertAlign w:val="superscript"/>
          <w:rtl/>
          <w:lang w:bidi="ar-LB"/>
        </w:rPr>
        <w:t>)</w:t>
      </w:r>
      <w:r w:rsidR="002F4D13" w:rsidRPr="00282AC9">
        <w:rPr>
          <w:rFonts w:hint="cs"/>
          <w:rtl/>
          <w:lang w:bidi="ar-LB"/>
        </w:rPr>
        <w:t>.</w:t>
      </w:r>
    </w:p>
    <w:p w:rsidR="008D33A6" w:rsidRPr="00282AC9" w:rsidRDefault="008D33A6" w:rsidP="008D33A6">
      <w:pPr>
        <w:pStyle w:val="31"/>
        <w:rPr>
          <w:color w:val="auto"/>
          <w:rtl/>
          <w:lang w:bidi="ar-LB"/>
        </w:rPr>
      </w:pPr>
      <w:r w:rsidRPr="00282AC9">
        <w:rPr>
          <w:rFonts w:hint="cs"/>
          <w:color w:val="auto"/>
          <w:rtl/>
          <w:lang w:bidi="ar-LB"/>
        </w:rPr>
        <w:lastRenderedPageBreak/>
        <w:t>ج ـ زبدة المقال</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والذي يستظهر</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بح</w:t>
      </w:r>
      <w:r w:rsidR="002F4D13" w:rsidRPr="00282AC9">
        <w:rPr>
          <w:rFonts w:ascii="Simplified Arabic" w:hAnsi="Simplified Arabic" w:hint="cs"/>
          <w:sz w:val="27"/>
          <w:rtl/>
          <w:lang w:bidi="ar-LB"/>
        </w:rPr>
        <w:t>َ</w:t>
      </w:r>
      <w:r w:rsidRPr="00282AC9">
        <w:rPr>
          <w:rFonts w:ascii="Simplified Arabic" w:hAnsi="Simplified Arabic"/>
          <w:sz w:val="27"/>
          <w:rtl/>
          <w:lang w:bidi="ar-LB"/>
        </w:rPr>
        <w:t>س</w:t>
      </w:r>
      <w:r w:rsidR="002F4D13" w:rsidRPr="00282AC9">
        <w:rPr>
          <w:rFonts w:ascii="Simplified Arabic" w:hAnsi="Simplified Arabic" w:hint="cs"/>
          <w:sz w:val="27"/>
          <w:rtl/>
          <w:lang w:bidi="ar-LB"/>
        </w:rPr>
        <w:t>َ</w:t>
      </w:r>
      <w:r w:rsidRPr="00282AC9">
        <w:rPr>
          <w:rFonts w:ascii="Simplified Arabic" w:hAnsi="Simplified Arabic"/>
          <w:sz w:val="27"/>
          <w:rtl/>
          <w:lang w:bidi="ar-LB"/>
        </w:rPr>
        <w:t>ب المعاجم</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وسياق استخدام العرب </w:t>
      </w:r>
      <w:r w:rsidRPr="00282AC9">
        <w:rPr>
          <w:rFonts w:ascii="Simplified Arabic" w:hAnsi="Simplified Arabic" w:hint="cs"/>
          <w:sz w:val="27"/>
          <w:rtl/>
          <w:lang w:bidi="ar-LB"/>
        </w:rPr>
        <w:t>ل</w:t>
      </w:r>
      <w:r w:rsidRPr="00282AC9">
        <w:rPr>
          <w:rFonts w:ascii="Simplified Arabic" w:hAnsi="Simplified Arabic"/>
          <w:sz w:val="27"/>
          <w:rtl/>
          <w:lang w:bidi="ar-LB"/>
        </w:rPr>
        <w:t xml:space="preserve">كلمة </w:t>
      </w:r>
      <w:r w:rsidRPr="00282AC9">
        <w:rPr>
          <w:rFonts w:hint="eastAsia"/>
          <w:sz w:val="24"/>
          <w:szCs w:val="24"/>
          <w:rtl/>
          <w:lang w:bidi="ar-LB"/>
        </w:rPr>
        <w:t>«</w:t>
      </w:r>
      <w:r w:rsidRPr="00282AC9">
        <w:rPr>
          <w:rFonts w:ascii="Simplified Arabic" w:hAnsi="Simplified Arabic"/>
          <w:sz w:val="27"/>
          <w:rtl/>
          <w:lang w:bidi="ar-LB"/>
        </w:rPr>
        <w:t>الطروقة</w:t>
      </w:r>
      <w:r w:rsidRPr="00282AC9">
        <w:rPr>
          <w:rFonts w:hint="eastAsia"/>
          <w:sz w:val="24"/>
          <w:szCs w:val="24"/>
          <w:rtl/>
        </w:rPr>
        <w:t>»</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أنها تعني المرأة</w:t>
      </w:r>
      <w:r w:rsidRPr="00282AC9">
        <w:rPr>
          <w:rFonts w:ascii="Simplified Arabic" w:hAnsi="Simplified Arabic" w:hint="cs"/>
          <w:sz w:val="27"/>
          <w:rtl/>
          <w:lang w:bidi="ar-LB"/>
        </w:rPr>
        <w:t xml:space="preserve"> البالغة</w:t>
      </w:r>
      <w:r w:rsidR="002F4D13" w:rsidRPr="00282AC9">
        <w:rPr>
          <w:rFonts w:ascii="Simplified Arabic" w:hAnsi="Simplified Arabic" w:hint="cs"/>
          <w:sz w:val="27"/>
          <w:rtl/>
          <w:lang w:bidi="ar-LB"/>
        </w:rPr>
        <w:t>،</w:t>
      </w:r>
      <w:r w:rsidRPr="00282AC9">
        <w:rPr>
          <w:rFonts w:ascii="Simplified Arabic" w:hAnsi="Simplified Arabic" w:hint="cs"/>
          <w:sz w:val="27"/>
          <w:rtl/>
          <w:lang w:bidi="ar-LB"/>
        </w:rPr>
        <w:t xml:space="preserve"> القادرة على النكاح</w:t>
      </w:r>
      <w:r w:rsidR="00640B20"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وذلك</w:t>
      </w:r>
      <w:r w:rsidRPr="00282AC9">
        <w:rPr>
          <w:rFonts w:ascii="Simplified Arabic" w:hAnsi="Simplified Arabic"/>
          <w:sz w:val="27"/>
          <w:rtl/>
          <w:lang w:bidi="ar-LB"/>
        </w:rPr>
        <w:t xml:space="preserve"> كنايةً أو لفظاً منقولاً عن طروقة الفحل</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التي هي أنثاه البالغة حد</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الضراب</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وحد</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الضراب القادرة على النكاح</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على ما يظهر من استخدام المصطلح في أنثى الفحل</w:t>
      </w:r>
      <w:r w:rsidR="002F4D13"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وبذلك يرج</w:t>
      </w:r>
      <w:r w:rsidR="002F4D13" w:rsidRPr="00282AC9">
        <w:rPr>
          <w:rFonts w:ascii="Simplified Arabic" w:hAnsi="Simplified Arabic" w:hint="cs"/>
          <w:sz w:val="27"/>
          <w:rtl/>
          <w:lang w:bidi="ar-LB"/>
        </w:rPr>
        <w:t>ّ</w:t>
      </w:r>
      <w:r w:rsidRPr="00282AC9">
        <w:rPr>
          <w:rFonts w:ascii="Simplified Arabic" w:hAnsi="Simplified Arabic" w:hint="cs"/>
          <w:sz w:val="27"/>
          <w:rtl/>
          <w:lang w:bidi="ar-LB"/>
        </w:rPr>
        <w:t>ح القول الثالث.</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 xml:space="preserve">ويمكن الاستشهاد على المراد برواية </w:t>
      </w:r>
      <w:r w:rsidR="002F4D13" w:rsidRPr="00282AC9">
        <w:rPr>
          <w:rFonts w:ascii="Simplified Arabic" w:hAnsi="Simplified Arabic" w:hint="cs"/>
          <w:sz w:val="27"/>
          <w:rtl/>
          <w:lang w:bidi="ar-LB"/>
        </w:rPr>
        <w:t>ال</w:t>
      </w:r>
      <w:r w:rsidRPr="00282AC9">
        <w:rPr>
          <w:rFonts w:ascii="Simplified Arabic" w:hAnsi="Simplified Arabic"/>
          <w:sz w:val="27"/>
          <w:rtl/>
          <w:lang w:bidi="ar-LB"/>
        </w:rPr>
        <w:t>حسن بن الجهم</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على مبنى م</w:t>
      </w:r>
      <w:r w:rsidR="002F4D13" w:rsidRPr="00282AC9">
        <w:rPr>
          <w:rFonts w:ascii="Simplified Arabic" w:hAnsi="Simplified Arabic" w:hint="cs"/>
          <w:sz w:val="27"/>
          <w:rtl/>
          <w:lang w:bidi="ar-LB"/>
        </w:rPr>
        <w:t>َ</w:t>
      </w:r>
      <w:r w:rsidRPr="00282AC9">
        <w:rPr>
          <w:rFonts w:ascii="Simplified Arabic" w:hAnsi="Simplified Arabic" w:hint="cs"/>
          <w:sz w:val="27"/>
          <w:rtl/>
          <w:lang w:bidi="ar-LB"/>
        </w:rPr>
        <w:t>ن</w:t>
      </w:r>
      <w:r w:rsidR="002F4D13" w:rsidRPr="00282AC9">
        <w:rPr>
          <w:rFonts w:ascii="Simplified Arabic" w:hAnsi="Simplified Arabic" w:hint="cs"/>
          <w:sz w:val="27"/>
          <w:rtl/>
          <w:lang w:bidi="ar-LB"/>
        </w:rPr>
        <w:t>ْ</w:t>
      </w:r>
      <w:r w:rsidRPr="00282AC9">
        <w:rPr>
          <w:rFonts w:ascii="Simplified Arabic" w:hAnsi="Simplified Arabic" w:hint="cs"/>
          <w:sz w:val="27"/>
          <w:rtl/>
          <w:lang w:bidi="ar-LB"/>
        </w:rPr>
        <w:t xml:space="preserve"> قال</w:t>
      </w:r>
      <w:r w:rsidRPr="00282AC9">
        <w:rPr>
          <w:rFonts w:ascii="Simplified Arabic" w:hAnsi="Simplified Arabic"/>
          <w:sz w:val="27"/>
          <w:rtl/>
          <w:lang w:bidi="ar-LB"/>
        </w:rPr>
        <w:t xml:space="preserve"> بصح</w:t>
      </w:r>
      <w:r w:rsidR="002F4D13" w:rsidRPr="00282AC9">
        <w:rPr>
          <w:rFonts w:ascii="Simplified Arabic" w:hAnsi="Simplified Arabic" w:hint="cs"/>
          <w:sz w:val="27"/>
          <w:rtl/>
          <w:lang w:bidi="ar-LB"/>
        </w:rPr>
        <w:t>ّ</w:t>
      </w:r>
      <w:r w:rsidRPr="00282AC9">
        <w:rPr>
          <w:rFonts w:ascii="Simplified Arabic" w:hAnsi="Simplified Arabic"/>
          <w:sz w:val="27"/>
          <w:rtl/>
          <w:lang w:bidi="ar-LB"/>
        </w:rPr>
        <w:t>ة الع</w:t>
      </w:r>
      <w:r w:rsidR="002F4D13" w:rsidRPr="00282AC9">
        <w:rPr>
          <w:rFonts w:ascii="Simplified Arabic" w:hAnsi="Simplified Arabic" w:hint="cs"/>
          <w:sz w:val="27"/>
          <w:rtl/>
          <w:lang w:bidi="ar-LB"/>
        </w:rPr>
        <w:t>ِ</w:t>
      </w:r>
      <w:r w:rsidRPr="00282AC9">
        <w:rPr>
          <w:rFonts w:ascii="Simplified Arabic" w:hAnsi="Simplified Arabic"/>
          <w:sz w:val="27"/>
          <w:rtl/>
          <w:lang w:bidi="ar-LB"/>
        </w:rPr>
        <w:t>د</w:t>
      </w:r>
      <w:r w:rsidR="002F4D13" w:rsidRPr="00282AC9">
        <w:rPr>
          <w:rFonts w:ascii="Simplified Arabic" w:hAnsi="Simplified Arabic" w:hint="cs"/>
          <w:sz w:val="27"/>
          <w:rtl/>
          <w:lang w:bidi="ar-LB"/>
        </w:rPr>
        <w:t>َ</w:t>
      </w:r>
      <w:r w:rsidRPr="00282AC9">
        <w:rPr>
          <w:rFonts w:ascii="Simplified Arabic" w:hAnsi="Simplified Arabic"/>
          <w:sz w:val="27"/>
          <w:rtl/>
          <w:lang w:bidi="ar-LB"/>
        </w:rPr>
        <w:t>د</w:t>
      </w:r>
      <w:r w:rsidR="002F4D13" w:rsidRPr="00282AC9">
        <w:rPr>
          <w:rFonts w:ascii="Simplified Arabic" w:hAnsi="Simplified Arabic" w:hint="cs"/>
          <w:sz w:val="27"/>
          <w:rtl/>
          <w:lang w:bidi="ar-LB"/>
        </w:rPr>
        <w:t>،</w:t>
      </w:r>
      <w:r w:rsidRPr="00282AC9">
        <w:rPr>
          <w:rFonts w:ascii="Simplified Arabic" w:hAnsi="Simplified Arabic" w:hint="cs"/>
          <w:sz w:val="27"/>
          <w:rtl/>
          <w:lang w:bidi="ar-LB"/>
        </w:rPr>
        <w:t xml:space="preserve"> حيث</w:t>
      </w:r>
      <w:r w:rsidRPr="00282AC9">
        <w:rPr>
          <w:rFonts w:ascii="Simplified Arabic" w:hAnsi="Simplified Arabic"/>
          <w:sz w:val="27"/>
          <w:rtl/>
          <w:lang w:bidi="ar-LB"/>
        </w:rPr>
        <w:t xml:space="preserve"> </w:t>
      </w:r>
      <w:r w:rsidRPr="00282AC9">
        <w:rPr>
          <w:rFonts w:ascii="Simplified Arabic" w:hAnsi="Simplified Arabic" w:hint="cs"/>
          <w:sz w:val="27"/>
          <w:rtl/>
          <w:lang w:bidi="ar-LB"/>
        </w:rPr>
        <w:t>ذكر أن</w:t>
      </w:r>
      <w:r w:rsidRPr="00282AC9">
        <w:rPr>
          <w:rFonts w:ascii="Simplified Arabic" w:hAnsi="Simplified Arabic"/>
          <w:sz w:val="27"/>
          <w:rtl/>
          <w:lang w:bidi="ar-LB"/>
        </w:rPr>
        <w:t xml:space="preserve"> </w:t>
      </w:r>
      <w:r w:rsidRPr="00282AC9">
        <w:rPr>
          <w:rFonts w:ascii="Simplified Arabic" w:hAnsi="Simplified Arabic"/>
          <w:sz w:val="24"/>
          <w:szCs w:val="24"/>
          <w:rtl/>
          <w:lang w:bidi="ar-LB"/>
        </w:rPr>
        <w:t>«</w:t>
      </w:r>
      <w:r w:rsidRPr="00282AC9">
        <w:rPr>
          <w:rFonts w:ascii="Simplified Arabic" w:hAnsi="Simplified Arabic"/>
          <w:sz w:val="27"/>
          <w:rtl/>
          <w:lang w:bidi="ar-LB"/>
        </w:rPr>
        <w:t>من أخلاق الأنبياء</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التنظيف والتطي</w:t>
      </w:r>
      <w:r w:rsidR="002F4D13" w:rsidRPr="00282AC9">
        <w:rPr>
          <w:rFonts w:ascii="Simplified Arabic" w:hAnsi="Simplified Arabic" w:hint="cs"/>
          <w:sz w:val="27"/>
          <w:rtl/>
          <w:lang w:bidi="ar-LB"/>
        </w:rPr>
        <w:t>ّ</w:t>
      </w:r>
      <w:r w:rsidRPr="00282AC9">
        <w:rPr>
          <w:rFonts w:ascii="Simplified Arabic" w:hAnsi="Simplified Arabic"/>
          <w:sz w:val="27"/>
          <w:rtl/>
          <w:lang w:bidi="ar-LB"/>
        </w:rPr>
        <w:t>ب وحلق الشعر وكثرة الطروقة</w:t>
      </w:r>
      <w:r w:rsidRPr="00282AC9">
        <w:rPr>
          <w:rFonts w:ascii="Simplified Arabic" w:hAnsi="Simplified Arabic"/>
          <w:sz w:val="24"/>
          <w:szCs w:val="24"/>
          <w:rtl/>
          <w:lang w:bidi="ar-LB"/>
        </w:rPr>
        <w:t>»</w:t>
      </w:r>
      <w:r w:rsidRPr="00282AC9">
        <w:rPr>
          <w:rFonts w:ascii="Simplified Arabic" w:hAnsi="Simplified Arabic"/>
          <w:sz w:val="27"/>
          <w:rtl/>
          <w:lang w:bidi="ar-LB"/>
        </w:rPr>
        <w:t>، ثم</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قال </w:t>
      </w:r>
      <w:r w:rsidRPr="00282AC9">
        <w:rPr>
          <w:rFonts w:ascii="Simplified Arabic" w:hAnsi="Simplified Arabic"/>
          <w:sz w:val="24"/>
          <w:szCs w:val="24"/>
          <w:rtl/>
          <w:lang w:bidi="ar-LB"/>
        </w:rPr>
        <w:t>«</w:t>
      </w:r>
      <w:r w:rsidRPr="00282AC9">
        <w:rPr>
          <w:rFonts w:ascii="Simplified Arabic" w:hAnsi="Simplified Arabic"/>
          <w:sz w:val="27"/>
          <w:rtl/>
          <w:lang w:bidi="ar-LB"/>
        </w:rPr>
        <w:t>كان لسليمان بن دا</w:t>
      </w:r>
      <w:r w:rsidR="002F4D13" w:rsidRPr="00282AC9">
        <w:rPr>
          <w:rFonts w:ascii="Simplified Arabic" w:hAnsi="Simplified Arabic" w:hint="cs"/>
          <w:sz w:val="27"/>
          <w:rtl/>
          <w:lang w:bidi="ar-LB"/>
        </w:rPr>
        <w:t>و</w:t>
      </w:r>
      <w:r w:rsidRPr="00282AC9">
        <w:rPr>
          <w:rFonts w:ascii="Simplified Arabic" w:hAnsi="Simplified Arabic"/>
          <w:sz w:val="27"/>
          <w:rtl/>
          <w:lang w:bidi="ar-LB"/>
        </w:rPr>
        <w:t>ود ألف امرأة</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في قصر واحد</w:t>
      </w:r>
      <w:r w:rsidR="00640B20" w:rsidRPr="00282AC9">
        <w:rPr>
          <w:rFonts w:ascii="Simplified Arabic" w:hAnsi="Simplified Arabic" w:hint="cs"/>
          <w:sz w:val="27"/>
          <w:rtl/>
          <w:lang w:bidi="ar-LB"/>
        </w:rPr>
        <w:t>؛</w:t>
      </w:r>
      <w:r w:rsidRPr="00282AC9">
        <w:rPr>
          <w:rFonts w:ascii="Simplified Arabic" w:hAnsi="Simplified Arabic"/>
          <w:sz w:val="27"/>
          <w:rtl/>
          <w:lang w:bidi="ar-LB"/>
        </w:rPr>
        <w:t xml:space="preserve"> ثلاثمائة مهيرة</w:t>
      </w:r>
      <w:r w:rsidR="00640B20" w:rsidRPr="00282AC9">
        <w:rPr>
          <w:rFonts w:ascii="Simplified Arabic" w:hAnsi="Simplified Arabic" w:hint="cs"/>
          <w:sz w:val="27"/>
          <w:rtl/>
          <w:lang w:bidi="ar-LB"/>
        </w:rPr>
        <w:t>؛</w:t>
      </w:r>
      <w:r w:rsidRPr="00282AC9">
        <w:rPr>
          <w:rFonts w:ascii="Simplified Arabic" w:hAnsi="Simplified Arabic"/>
          <w:sz w:val="27"/>
          <w:rtl/>
          <w:lang w:bidi="ar-LB"/>
        </w:rPr>
        <w:t xml:space="preserve"> وسبعمائة سري</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ة، وكان رسول </w:t>
      </w:r>
      <w:r w:rsidR="00C06BE6" w:rsidRPr="00282AC9">
        <w:rPr>
          <w:rFonts w:ascii="Simplified Arabic" w:hAnsi="Simplified Arabic"/>
          <w:sz w:val="27"/>
          <w:rtl/>
          <w:lang w:bidi="ar-LB"/>
        </w:rPr>
        <w:t>الل</w:t>
      </w:r>
      <w:r w:rsidRPr="00282AC9">
        <w:rPr>
          <w:rFonts w:ascii="Simplified Arabic" w:hAnsi="Simplified Arabic"/>
          <w:sz w:val="27"/>
          <w:rtl/>
          <w:lang w:bidi="ar-LB"/>
        </w:rPr>
        <w:t>ه</w:t>
      </w:r>
      <w:r w:rsidR="009A2A04" w:rsidRPr="00282AC9">
        <w:rPr>
          <w:rFonts w:ascii="Simplified Arabic" w:hAnsi="Simplified Arabic" w:cs="Mosawi"/>
          <w:sz w:val="22"/>
          <w:szCs w:val="22"/>
          <w:rtl/>
          <w:lang w:bidi="ar-LB"/>
        </w:rPr>
        <w:t>|</w:t>
      </w:r>
      <w:r w:rsidRPr="00282AC9">
        <w:rPr>
          <w:rFonts w:ascii="Simplified Arabic" w:hAnsi="Simplified Arabic"/>
          <w:sz w:val="27"/>
          <w:rtl/>
          <w:lang w:bidi="ar-LB"/>
        </w:rPr>
        <w:t xml:space="preserve"> له بضع أربعين رجلا</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وكان عنده تسع نسوة</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وكان يطوف عليهن</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في كل</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يوم</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وليلة</w:t>
      </w:r>
      <w:r w:rsidRPr="00282AC9">
        <w:rPr>
          <w:rFonts w:ascii="Simplified Arabic" w:hAnsi="Simplified Arabic"/>
          <w:sz w:val="24"/>
          <w:szCs w:val="24"/>
          <w:rtl/>
          <w:lang w:bidi="ar-LB"/>
        </w:rPr>
        <w:t>»</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831"/>
      </w:r>
      <w:r w:rsidRPr="00282AC9">
        <w:rPr>
          <w:rFonts w:ascii="Simplified Arabic" w:hAnsi="Simplified Arabic"/>
          <w:sz w:val="27"/>
          <w:vertAlign w:val="superscript"/>
          <w:rtl/>
          <w:lang w:bidi="ar-LB"/>
        </w:rPr>
        <w:t>)</w:t>
      </w:r>
      <w:r w:rsidRPr="00282AC9">
        <w:rPr>
          <w:rFonts w:ascii="Simplified Arabic" w:hAnsi="Simplified Arabic"/>
          <w:sz w:val="27"/>
          <w:rtl/>
          <w:lang w:bidi="ar-LB"/>
        </w:rPr>
        <w:t xml:space="preserve">. </w:t>
      </w:r>
    </w:p>
    <w:p w:rsidR="00B4645B" w:rsidRPr="00282AC9" w:rsidRDefault="00B4645B" w:rsidP="00DA4BC5">
      <w:pPr>
        <w:spacing w:line="410" w:lineRule="exact"/>
        <w:rPr>
          <w:rFonts w:ascii="Simplified Arabic" w:hAnsi="Simplified Arabic"/>
          <w:sz w:val="27"/>
          <w:rtl/>
          <w:lang w:bidi="ar-LB"/>
        </w:rPr>
      </w:pPr>
      <w:r w:rsidRPr="00282AC9">
        <w:rPr>
          <w:rFonts w:ascii="Simplified Arabic" w:hAnsi="Simplified Arabic"/>
          <w:sz w:val="27"/>
          <w:rtl/>
          <w:lang w:bidi="ar-LB"/>
        </w:rPr>
        <w:t>ومحل</w:t>
      </w:r>
      <w:r w:rsidR="002F4D13" w:rsidRPr="00282AC9">
        <w:rPr>
          <w:rFonts w:ascii="Simplified Arabic" w:hAnsi="Simplified Arabic" w:hint="cs"/>
          <w:sz w:val="27"/>
          <w:rtl/>
          <w:lang w:bidi="ar-LB"/>
        </w:rPr>
        <w:t>ّ</w:t>
      </w:r>
      <w:r w:rsidRPr="00282AC9">
        <w:rPr>
          <w:rFonts w:ascii="Simplified Arabic" w:hAnsi="Simplified Arabic"/>
          <w:sz w:val="27"/>
          <w:rtl/>
          <w:lang w:bidi="ar-LB"/>
        </w:rPr>
        <w:t xml:space="preserve"> الشاهد فيها هو ذكره لنساء سليمان</w:t>
      </w:r>
      <w:r w:rsidR="009A2A04" w:rsidRPr="00282AC9">
        <w:rPr>
          <w:rFonts w:ascii="Simplified Arabic" w:hAnsi="Simplified Arabic" w:cs="Mosawi" w:hint="cs"/>
          <w:sz w:val="22"/>
          <w:szCs w:val="22"/>
          <w:rtl/>
          <w:lang w:bidi="ar-LB"/>
        </w:rPr>
        <w:t>×</w:t>
      </w:r>
      <w:r w:rsidRPr="00282AC9">
        <w:rPr>
          <w:rFonts w:ascii="Simplified Arabic" w:hAnsi="Simplified Arabic"/>
          <w:sz w:val="27"/>
          <w:rtl/>
          <w:lang w:bidi="ar-LB"/>
        </w:rPr>
        <w:t xml:space="preserve"> ونساء رسو</w:t>
      </w:r>
      <w:r w:rsidRPr="00282AC9">
        <w:rPr>
          <w:rFonts w:ascii="Simplified Arabic" w:hAnsi="Simplified Arabic" w:hint="cs"/>
          <w:sz w:val="27"/>
          <w:rtl/>
          <w:lang w:bidi="ar-LB"/>
        </w:rPr>
        <w:t xml:space="preserve">ل </w:t>
      </w:r>
      <w:r w:rsidRPr="00282AC9">
        <w:rPr>
          <w:rFonts w:ascii="Simplified Arabic" w:hAnsi="Simplified Arabic"/>
          <w:sz w:val="27"/>
          <w:rtl/>
          <w:lang w:bidi="ar-LB"/>
        </w:rPr>
        <w:t>الله</w:t>
      </w:r>
      <w:r w:rsidR="009A2A04" w:rsidRPr="00282AC9">
        <w:rPr>
          <w:rFonts w:ascii="Simplified Arabic" w:hAnsi="Simplified Arabic" w:cs="Mosawi" w:hint="cs"/>
          <w:sz w:val="22"/>
          <w:szCs w:val="22"/>
          <w:rtl/>
          <w:lang w:bidi="ar-LB"/>
        </w:rPr>
        <w:t>|</w:t>
      </w:r>
      <w:r w:rsidR="005F7837" w:rsidRPr="00282AC9">
        <w:rPr>
          <w:rFonts w:ascii="Simplified Arabic" w:hAnsi="Simplified Arabic" w:hint="cs"/>
          <w:sz w:val="27"/>
          <w:rtl/>
          <w:lang w:bidi="ar-LB"/>
        </w:rPr>
        <w:t>،</w:t>
      </w:r>
      <w:r w:rsidRPr="00282AC9">
        <w:rPr>
          <w:rFonts w:ascii="Simplified Arabic" w:hAnsi="Simplified Arabic"/>
          <w:sz w:val="27"/>
          <w:rtl/>
          <w:lang w:bidi="ar-LB"/>
        </w:rPr>
        <w:t xml:space="preserve"> بعد أن ذكر كون كثرة الطروقة من أخلاق الأنبياء.</w:t>
      </w:r>
    </w:p>
    <w:p w:rsidR="00DA4BC5" w:rsidRPr="00282AC9" w:rsidRDefault="00DA4BC5" w:rsidP="00DD42F0">
      <w:pPr>
        <w:spacing w:line="410" w:lineRule="exact"/>
        <w:rPr>
          <w:sz w:val="27"/>
          <w:rtl/>
        </w:rPr>
      </w:pPr>
    </w:p>
    <w:p w:rsidR="00B4645B" w:rsidRPr="00282AC9" w:rsidRDefault="008D33A6" w:rsidP="0097653E">
      <w:pPr>
        <w:pStyle w:val="31"/>
        <w:rPr>
          <w:color w:val="auto"/>
          <w:rtl/>
          <w:lang w:bidi="ar-LB"/>
        </w:rPr>
      </w:pPr>
      <w:r w:rsidRPr="00282AC9">
        <w:rPr>
          <w:rFonts w:hint="cs"/>
          <w:color w:val="auto"/>
          <w:rtl/>
          <w:lang w:bidi="ar-LB"/>
        </w:rPr>
        <w:t xml:space="preserve">د ـ </w:t>
      </w:r>
      <w:r w:rsidR="0097653E" w:rsidRPr="00282AC9">
        <w:rPr>
          <w:rFonts w:hint="cs"/>
          <w:color w:val="auto"/>
          <w:rtl/>
          <w:lang w:bidi="ar-LB"/>
        </w:rPr>
        <w:t>هل تختلف</w:t>
      </w:r>
      <w:r w:rsidR="00B4645B" w:rsidRPr="00282AC9">
        <w:rPr>
          <w:rFonts w:hint="cs"/>
          <w:color w:val="auto"/>
          <w:rtl/>
          <w:lang w:bidi="ar-LB"/>
        </w:rPr>
        <w:t xml:space="preserve"> الطروقة </w:t>
      </w:r>
      <w:r w:rsidR="0097653E" w:rsidRPr="00282AC9">
        <w:rPr>
          <w:rFonts w:hint="cs"/>
          <w:color w:val="auto"/>
          <w:rtl/>
          <w:lang w:bidi="ar-LB"/>
        </w:rPr>
        <w:t xml:space="preserve">عن </w:t>
      </w:r>
      <w:r w:rsidR="00B4645B" w:rsidRPr="00282AC9">
        <w:rPr>
          <w:rFonts w:hint="cs"/>
          <w:color w:val="auto"/>
          <w:rtl/>
          <w:lang w:bidi="ar-LB"/>
        </w:rPr>
        <w:t>المتمت</w:t>
      </w:r>
      <w:r w:rsidR="005F7837" w:rsidRPr="00282AC9">
        <w:rPr>
          <w:rFonts w:hint="cs"/>
          <w:color w:val="auto"/>
          <w:rtl/>
          <w:lang w:bidi="ar-LB"/>
        </w:rPr>
        <w:t>َّ</w:t>
      </w:r>
      <w:r w:rsidR="00B4645B" w:rsidRPr="00282AC9">
        <w:rPr>
          <w:rFonts w:hint="cs"/>
          <w:color w:val="auto"/>
          <w:rtl/>
          <w:lang w:bidi="ar-LB"/>
        </w:rPr>
        <w:t>ع بها</w:t>
      </w:r>
      <w:r w:rsidR="0097653E" w:rsidRPr="00282AC9">
        <w:rPr>
          <w:rFonts w:hint="cs"/>
          <w:color w:val="auto"/>
          <w:rtl/>
          <w:lang w:bidi="ar-LB"/>
        </w:rPr>
        <w:t>؟</w:t>
      </w:r>
    </w:p>
    <w:p w:rsidR="00B4645B" w:rsidRPr="00282AC9" w:rsidRDefault="0097653E" w:rsidP="0091196D">
      <w:pPr>
        <w:rPr>
          <w:rFonts w:ascii="Simplified Arabic" w:hAnsi="Simplified Arabic"/>
          <w:sz w:val="27"/>
          <w:rtl/>
          <w:lang w:bidi="ar-LB"/>
        </w:rPr>
      </w:pPr>
      <w:r w:rsidRPr="00282AC9">
        <w:rPr>
          <w:rFonts w:ascii="Simplified Arabic" w:hAnsi="Simplified Arabic" w:hint="cs"/>
          <w:sz w:val="27"/>
          <w:rtl/>
          <w:lang w:bidi="ar-LB"/>
        </w:rPr>
        <w:t xml:space="preserve">روى </w:t>
      </w:r>
      <w:r w:rsidR="00B4645B" w:rsidRPr="00282AC9">
        <w:rPr>
          <w:rFonts w:ascii="Simplified Arabic" w:hAnsi="Simplified Arabic"/>
          <w:sz w:val="27"/>
          <w:rtl/>
          <w:lang w:bidi="ar-LB"/>
        </w:rPr>
        <w:t>محمد بن محمد بن النعمان المفيد</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في (رسالة المتعة)</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عن جعفر بن محمد بن قولويه، عن سعد بن عبد الله، عن أحمد بن محمد، عن ابن أشيم، عن مروان بن مسلم، عن إسماعيل بن الفضل الهاشمي قال: قال لي أبو عبد الله</w:t>
      </w:r>
      <w:r w:rsidR="009A2A04" w:rsidRPr="00282AC9">
        <w:rPr>
          <w:rFonts w:ascii="Simplified Arabic" w:hAnsi="Simplified Arabic" w:cs="Mosawi" w:hint="cs"/>
          <w:sz w:val="22"/>
          <w:szCs w:val="22"/>
          <w:rtl/>
          <w:lang w:bidi="ar-LB"/>
        </w:rPr>
        <w:t>×</w:t>
      </w:r>
      <w:r w:rsidR="00B4645B" w:rsidRPr="00282AC9">
        <w:rPr>
          <w:rFonts w:ascii="Simplified Arabic" w:hAnsi="Simplified Arabic"/>
          <w:sz w:val="27"/>
          <w:rtl/>
          <w:lang w:bidi="ar-LB"/>
        </w:rPr>
        <w:t xml:space="preserve">: </w:t>
      </w:r>
      <w:r w:rsidR="005F7837" w:rsidRPr="00282AC9">
        <w:rPr>
          <w:rFonts w:ascii="Simplified Arabic" w:hAnsi="Simplified Arabic"/>
          <w:sz w:val="24"/>
          <w:szCs w:val="24"/>
          <w:rtl/>
          <w:lang w:bidi="ar-LB"/>
        </w:rPr>
        <w:t>«</w:t>
      </w:r>
      <w:r w:rsidR="00B4645B" w:rsidRPr="00282AC9">
        <w:rPr>
          <w:rFonts w:ascii="Simplified Arabic" w:hAnsi="Simplified Arabic"/>
          <w:sz w:val="27"/>
          <w:rtl/>
          <w:lang w:bidi="ar-LB"/>
        </w:rPr>
        <w:t>تمت</w:t>
      </w:r>
      <w:r w:rsidR="005F7837" w:rsidRPr="00282AC9">
        <w:rPr>
          <w:rFonts w:ascii="Simplified Arabic" w:hAnsi="Simplified Arabic" w:hint="cs"/>
          <w:sz w:val="27"/>
          <w:rtl/>
          <w:lang w:bidi="ar-LB"/>
        </w:rPr>
        <w:t>ّ</w:t>
      </w:r>
      <w:r w:rsidR="005F7837" w:rsidRPr="00282AC9">
        <w:rPr>
          <w:rFonts w:ascii="Simplified Arabic" w:hAnsi="Simplified Arabic"/>
          <w:sz w:val="27"/>
          <w:rtl/>
          <w:lang w:bidi="ar-LB"/>
        </w:rPr>
        <w:t>ع</w:t>
      </w:r>
      <w:r w:rsidRPr="00282AC9">
        <w:rPr>
          <w:rFonts w:ascii="Simplified Arabic" w:hAnsi="Simplified Arabic" w:hint="cs"/>
          <w:sz w:val="27"/>
          <w:rtl/>
          <w:lang w:bidi="ar-LB"/>
        </w:rPr>
        <w:t>ْ</w:t>
      </w:r>
      <w:r w:rsidR="005F7837" w:rsidRPr="00282AC9">
        <w:rPr>
          <w:rFonts w:ascii="Simplified Arabic" w:hAnsi="Simplified Arabic"/>
          <w:sz w:val="27"/>
          <w:rtl/>
          <w:lang w:bidi="ar-LB"/>
        </w:rPr>
        <w:t>ت</w:t>
      </w:r>
      <w:r w:rsidRPr="00282AC9">
        <w:rPr>
          <w:rFonts w:ascii="Simplified Arabic" w:hAnsi="Simplified Arabic" w:hint="cs"/>
          <w:sz w:val="27"/>
          <w:rtl/>
          <w:lang w:bidi="ar-LB"/>
        </w:rPr>
        <w:t>َ</w:t>
      </w:r>
      <w:r w:rsidR="005F7837" w:rsidRPr="00282AC9">
        <w:rPr>
          <w:rFonts w:ascii="Simplified Arabic" w:hAnsi="Simplified Arabic"/>
          <w:sz w:val="27"/>
          <w:rtl/>
          <w:lang w:bidi="ar-LB"/>
        </w:rPr>
        <w:t xml:space="preserve"> من</w:t>
      </w:r>
      <w:r w:rsidR="005F7837" w:rsidRPr="00282AC9">
        <w:rPr>
          <w:rFonts w:ascii="Simplified Arabic" w:hAnsi="Simplified Arabic" w:hint="cs"/>
          <w:sz w:val="27"/>
          <w:rtl/>
          <w:lang w:bidi="ar-LB"/>
        </w:rPr>
        <w:t xml:space="preserve">ذ </w:t>
      </w:r>
      <w:r w:rsidR="00B4645B" w:rsidRPr="00282AC9">
        <w:rPr>
          <w:rFonts w:ascii="Simplified Arabic" w:hAnsi="Simplified Arabic"/>
          <w:sz w:val="27"/>
          <w:rtl/>
          <w:lang w:bidi="ar-LB"/>
        </w:rPr>
        <w:t>خرج</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ت</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من أهلك؟</w:t>
      </w:r>
      <w:r w:rsidR="005F7837" w:rsidRPr="00282AC9">
        <w:rPr>
          <w:rFonts w:hint="eastAsia"/>
          <w:sz w:val="24"/>
          <w:szCs w:val="24"/>
          <w:rtl/>
        </w:rPr>
        <w:t>»</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فقلت</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 لكثرة م</w:t>
      </w:r>
      <w:r w:rsidRPr="00282AC9">
        <w:rPr>
          <w:rFonts w:ascii="Simplified Arabic" w:hAnsi="Simplified Arabic" w:hint="cs"/>
          <w:sz w:val="27"/>
          <w:rtl/>
          <w:lang w:bidi="ar-LB"/>
        </w:rPr>
        <w:t>َ</w:t>
      </w:r>
      <w:r w:rsidR="00B4645B" w:rsidRPr="00282AC9">
        <w:rPr>
          <w:rFonts w:ascii="Simplified Arabic" w:hAnsi="Simplified Arabic"/>
          <w:sz w:val="27"/>
          <w:rtl/>
          <w:lang w:bidi="ar-LB"/>
        </w:rPr>
        <w:t>ن</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معي من الطروقة أغناني الله عنها، قال: </w:t>
      </w:r>
      <w:r w:rsidR="005F7837" w:rsidRPr="00282AC9">
        <w:rPr>
          <w:rFonts w:hint="eastAsia"/>
          <w:sz w:val="24"/>
          <w:szCs w:val="24"/>
          <w:rtl/>
        </w:rPr>
        <w:t>«</w:t>
      </w:r>
      <w:r w:rsidR="00B4645B" w:rsidRPr="00282AC9">
        <w:rPr>
          <w:rFonts w:ascii="Simplified Arabic" w:hAnsi="Simplified Arabic"/>
          <w:sz w:val="27"/>
          <w:rtl/>
          <w:lang w:bidi="ar-LB"/>
        </w:rPr>
        <w:t>وإن</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كن</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ت</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مستغنيا</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فإني أحب</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أن تحيي س</w:t>
      </w:r>
      <w:r w:rsidR="005F7837" w:rsidRPr="00282AC9">
        <w:rPr>
          <w:rFonts w:ascii="Simplified Arabic" w:hAnsi="Simplified Arabic" w:hint="cs"/>
          <w:sz w:val="27"/>
          <w:rtl/>
          <w:lang w:bidi="ar-LB"/>
        </w:rPr>
        <w:t>ُ</w:t>
      </w:r>
      <w:r w:rsidR="00B4645B" w:rsidRPr="00282AC9">
        <w:rPr>
          <w:rFonts w:ascii="Simplified Arabic" w:hAnsi="Simplified Arabic"/>
          <w:sz w:val="27"/>
          <w:rtl/>
          <w:lang w:bidi="ar-LB"/>
        </w:rPr>
        <w:t>ن</w:t>
      </w:r>
      <w:r w:rsidR="005F7837" w:rsidRPr="00282AC9">
        <w:rPr>
          <w:rFonts w:ascii="Simplified Arabic" w:hAnsi="Simplified Arabic" w:hint="cs"/>
          <w:sz w:val="27"/>
          <w:rtl/>
          <w:lang w:bidi="ar-LB"/>
        </w:rPr>
        <w:t>ّ</w:t>
      </w:r>
      <w:r w:rsidRPr="00282AC9">
        <w:rPr>
          <w:rFonts w:ascii="Simplified Arabic" w:hAnsi="Simplified Arabic" w:hint="cs"/>
          <w:sz w:val="27"/>
          <w:rtl/>
          <w:lang w:bidi="ar-LB"/>
        </w:rPr>
        <w:t>َ</w:t>
      </w:r>
      <w:r w:rsidR="00B4645B" w:rsidRPr="00282AC9">
        <w:rPr>
          <w:rFonts w:ascii="Simplified Arabic" w:hAnsi="Simplified Arabic"/>
          <w:sz w:val="27"/>
          <w:rtl/>
          <w:lang w:bidi="ar-LB"/>
        </w:rPr>
        <w:t>ة رسول الله</w:t>
      </w:r>
      <w:r w:rsidR="009A2A04" w:rsidRPr="00282AC9">
        <w:rPr>
          <w:rFonts w:ascii="Simplified Arabic" w:hAnsi="Simplified Arabic" w:cs="Mosawi"/>
          <w:sz w:val="22"/>
          <w:szCs w:val="22"/>
          <w:rtl/>
          <w:lang w:bidi="ar-LB"/>
        </w:rPr>
        <w:t>|</w:t>
      </w:r>
      <w:r w:rsidR="005F7837" w:rsidRPr="00282AC9">
        <w:rPr>
          <w:rFonts w:hint="eastAsia"/>
          <w:sz w:val="24"/>
          <w:szCs w:val="24"/>
          <w:rtl/>
        </w:rPr>
        <w:t>»</w:t>
      </w:r>
      <w:r w:rsidR="00B4645B" w:rsidRPr="00282AC9">
        <w:rPr>
          <w:rFonts w:ascii="Simplified Arabic" w:hAnsi="Simplified Arabic"/>
          <w:sz w:val="27"/>
          <w:vertAlign w:val="superscript"/>
          <w:rtl/>
          <w:lang w:bidi="ar-LB"/>
        </w:rPr>
        <w:t>(</w:t>
      </w:r>
      <w:r w:rsidR="00B4645B" w:rsidRPr="00282AC9">
        <w:rPr>
          <w:rFonts w:ascii="Simplified Arabic" w:hAnsi="Simplified Arabic"/>
          <w:sz w:val="27"/>
          <w:vertAlign w:val="superscript"/>
          <w:rtl/>
          <w:lang w:bidi="ar-LB"/>
        </w:rPr>
        <w:endnoteReference w:id="832"/>
      </w:r>
      <w:r w:rsidR="00B4645B" w:rsidRPr="00282AC9">
        <w:rPr>
          <w:rFonts w:ascii="Simplified Arabic" w:hAnsi="Simplified Arabic"/>
          <w:sz w:val="27"/>
          <w:vertAlign w:val="superscript"/>
          <w:rtl/>
          <w:lang w:bidi="ar-LB"/>
        </w:rPr>
        <w:t>)</w:t>
      </w:r>
      <w:r w:rsidR="00B4645B" w:rsidRPr="00282AC9">
        <w:rPr>
          <w:rFonts w:ascii="Simplified Arabic" w:hAnsi="Simplified Arabic"/>
          <w:sz w:val="27"/>
          <w:rtl/>
          <w:lang w:bidi="ar-LB"/>
        </w:rPr>
        <w:t xml:space="preserve">. </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 xml:space="preserve">فالذي يظهر من متن الرواية </w:t>
      </w:r>
      <w:r w:rsidR="005F7837" w:rsidRPr="00282AC9">
        <w:rPr>
          <w:rFonts w:ascii="Simplified Arabic" w:hAnsi="Simplified Arabic" w:hint="cs"/>
          <w:sz w:val="27"/>
          <w:rtl/>
          <w:lang w:bidi="ar-LB"/>
        </w:rPr>
        <w:t xml:space="preserve">ـ </w:t>
      </w:r>
      <w:r w:rsidR="005F7837" w:rsidRPr="00282AC9">
        <w:rPr>
          <w:rFonts w:ascii="Simplified Arabic" w:hAnsi="Simplified Arabic"/>
          <w:sz w:val="27"/>
          <w:rtl/>
          <w:lang w:bidi="ar-LB"/>
        </w:rPr>
        <w:t>إذا ما تم</w:t>
      </w:r>
      <w:r w:rsidR="005F7837" w:rsidRPr="00282AC9">
        <w:rPr>
          <w:rFonts w:ascii="Simplified Arabic" w:hAnsi="Simplified Arabic" w:hint="cs"/>
          <w:sz w:val="27"/>
          <w:rtl/>
          <w:lang w:bidi="ar-LB"/>
        </w:rPr>
        <w:t>ّ</w:t>
      </w:r>
      <w:r w:rsidR="005F7837" w:rsidRPr="00282AC9">
        <w:rPr>
          <w:rFonts w:ascii="Simplified Arabic" w:hAnsi="Simplified Arabic"/>
          <w:sz w:val="27"/>
          <w:rtl/>
          <w:lang w:bidi="ar-LB"/>
        </w:rPr>
        <w:t xml:space="preserve"> التسليم بصح</w:t>
      </w:r>
      <w:r w:rsidR="005F7837" w:rsidRPr="00282AC9">
        <w:rPr>
          <w:rFonts w:ascii="Simplified Arabic" w:hAnsi="Simplified Arabic" w:hint="cs"/>
          <w:sz w:val="27"/>
          <w:rtl/>
          <w:lang w:bidi="ar-LB"/>
        </w:rPr>
        <w:t>ّ</w:t>
      </w:r>
      <w:r w:rsidR="005F7837" w:rsidRPr="00282AC9">
        <w:rPr>
          <w:rFonts w:ascii="Simplified Arabic" w:hAnsi="Simplified Arabic"/>
          <w:sz w:val="27"/>
          <w:rtl/>
          <w:lang w:bidi="ar-LB"/>
        </w:rPr>
        <w:t xml:space="preserve">ة </w:t>
      </w:r>
      <w:r w:rsidR="005F7837" w:rsidRPr="00282AC9">
        <w:rPr>
          <w:rFonts w:ascii="Simplified Arabic" w:hAnsi="Simplified Arabic" w:hint="cs"/>
          <w:sz w:val="27"/>
          <w:rtl/>
          <w:lang w:bidi="ar-LB"/>
        </w:rPr>
        <w:t>ال</w:t>
      </w:r>
      <w:r w:rsidR="005F7837" w:rsidRPr="00282AC9">
        <w:rPr>
          <w:rFonts w:ascii="Simplified Arabic" w:hAnsi="Simplified Arabic"/>
          <w:sz w:val="27"/>
          <w:rtl/>
          <w:lang w:bidi="ar-LB"/>
        </w:rPr>
        <w:t>رواية</w:t>
      </w:r>
      <w:r w:rsidR="005F7837" w:rsidRPr="00282AC9">
        <w:rPr>
          <w:rFonts w:ascii="Simplified Arabic" w:hAnsi="Simplified Arabic" w:hint="cs"/>
          <w:sz w:val="27"/>
          <w:rtl/>
          <w:lang w:bidi="ar-LB"/>
        </w:rPr>
        <w:t xml:space="preserve">؛ حيث إن </w:t>
      </w:r>
      <w:r w:rsidR="005F7837" w:rsidRPr="00282AC9">
        <w:rPr>
          <w:rFonts w:ascii="Simplified Arabic" w:hAnsi="Simplified Arabic"/>
          <w:sz w:val="27"/>
          <w:rtl/>
          <w:lang w:bidi="ar-LB"/>
        </w:rPr>
        <w:t>ابن أشيم مجهول الحال</w:t>
      </w:r>
      <w:r w:rsidR="005F7837" w:rsidRPr="00282AC9">
        <w:rPr>
          <w:rFonts w:ascii="Simplified Arabic" w:hAnsi="Simplified Arabic" w:hint="cs"/>
          <w:sz w:val="27"/>
          <w:rtl/>
          <w:lang w:bidi="ar-LB"/>
        </w:rPr>
        <w:t xml:space="preserve"> فيها ـ </w:t>
      </w:r>
      <w:r w:rsidRPr="00282AC9">
        <w:rPr>
          <w:rFonts w:ascii="Simplified Arabic" w:hAnsi="Simplified Arabic"/>
          <w:sz w:val="27"/>
          <w:rtl/>
          <w:lang w:bidi="ar-LB"/>
        </w:rPr>
        <w:t>تمييزهم في ذلك الزمان بين التمت</w:t>
      </w:r>
      <w:r w:rsidR="005F7837" w:rsidRPr="00282AC9">
        <w:rPr>
          <w:rFonts w:ascii="Simplified Arabic" w:hAnsi="Simplified Arabic" w:hint="cs"/>
          <w:sz w:val="27"/>
          <w:rtl/>
          <w:lang w:bidi="ar-LB"/>
        </w:rPr>
        <w:t>ُّ</w:t>
      </w:r>
      <w:r w:rsidRPr="00282AC9">
        <w:rPr>
          <w:rFonts w:ascii="Simplified Arabic" w:hAnsi="Simplified Arabic"/>
          <w:sz w:val="27"/>
          <w:rtl/>
          <w:lang w:bidi="ar-LB"/>
        </w:rPr>
        <w:t>ع والطروقة</w:t>
      </w:r>
      <w:r w:rsidRPr="00282AC9">
        <w:rPr>
          <w:rFonts w:ascii="Simplified Arabic" w:hAnsi="Simplified Arabic"/>
          <w:sz w:val="27"/>
          <w:vertAlign w:val="superscript"/>
          <w:rtl/>
          <w:lang w:bidi="ar-LB"/>
        </w:rPr>
        <w:t>(</w:t>
      </w:r>
      <w:r w:rsidRPr="00282AC9">
        <w:rPr>
          <w:rStyle w:val="af9"/>
          <w:rFonts w:ascii="Simplified Arabic" w:hAnsi="Simplified Arabic"/>
          <w:sz w:val="27"/>
          <w:rtl/>
          <w:lang w:bidi="ar-LB"/>
        </w:rPr>
        <w:endnoteReference w:id="833"/>
      </w:r>
      <w:r w:rsidRPr="00282AC9">
        <w:rPr>
          <w:rFonts w:ascii="Simplified Arabic" w:hAnsi="Simplified Arabic"/>
          <w:sz w:val="27"/>
          <w:vertAlign w:val="superscript"/>
          <w:rtl/>
          <w:lang w:bidi="ar-LB"/>
        </w:rPr>
        <w:t>)</w:t>
      </w:r>
      <w:r w:rsidRPr="00282AC9">
        <w:rPr>
          <w:rFonts w:ascii="Simplified Arabic" w:hAnsi="Simplified Arabic" w:hint="cs"/>
          <w:sz w:val="27"/>
          <w:rtl/>
          <w:lang w:bidi="ar-LB"/>
        </w:rPr>
        <w:t>.</w:t>
      </w:r>
    </w:p>
    <w:p w:rsidR="00B4645B" w:rsidRPr="00282AC9" w:rsidRDefault="00A57CC3" w:rsidP="00DD42F0">
      <w:pPr>
        <w:spacing w:line="410" w:lineRule="exact"/>
        <w:rPr>
          <w:rFonts w:ascii="Simplified Arabic" w:hAnsi="Simplified Arabic"/>
          <w:sz w:val="27"/>
          <w:rtl/>
          <w:lang w:bidi="ar-LB"/>
        </w:rPr>
      </w:pPr>
      <w:r w:rsidRPr="00282AC9">
        <w:rPr>
          <w:rFonts w:ascii="Simplified Arabic" w:hAnsi="Simplified Arabic" w:hint="cs"/>
          <w:sz w:val="27"/>
          <w:rtl/>
          <w:lang w:bidi="ar-LB"/>
        </w:rPr>
        <w:t>لكنْ</w:t>
      </w:r>
      <w:r w:rsidR="00B4645B" w:rsidRPr="00282AC9">
        <w:rPr>
          <w:rFonts w:ascii="Simplified Arabic" w:hAnsi="Simplified Arabic" w:hint="cs"/>
          <w:sz w:val="27"/>
          <w:rtl/>
          <w:lang w:bidi="ar-LB"/>
        </w:rPr>
        <w:t xml:space="preserve"> يُمكن القول</w:t>
      </w:r>
      <w:r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w:t>
      </w:r>
      <w:r w:rsidRPr="00282AC9">
        <w:rPr>
          <w:rFonts w:ascii="Simplified Arabic" w:hAnsi="Simplified Arabic" w:hint="cs"/>
          <w:sz w:val="27"/>
          <w:rtl/>
          <w:lang w:bidi="ar-LB"/>
        </w:rPr>
        <w:t>إ</w:t>
      </w:r>
      <w:r w:rsidR="00B4645B" w:rsidRPr="00282AC9">
        <w:rPr>
          <w:rFonts w:ascii="Simplified Arabic" w:hAnsi="Simplified Arabic" w:hint="cs"/>
          <w:sz w:val="27"/>
          <w:rtl/>
          <w:lang w:bidi="ar-LB"/>
        </w:rPr>
        <w:t>نه لا مفهوم للجمل الوصفية</w:t>
      </w:r>
      <w:r w:rsidRPr="00282AC9">
        <w:rPr>
          <w:rFonts w:ascii="Simplified Arabic" w:hAnsi="Simplified Arabic" w:hint="cs"/>
          <w:sz w:val="27"/>
          <w:rtl/>
          <w:lang w:bidi="ar-LB"/>
        </w:rPr>
        <w:t>،</w:t>
      </w:r>
      <w:r w:rsidR="00B4645B" w:rsidRPr="00282AC9">
        <w:rPr>
          <w:rFonts w:ascii="Simplified Arabic" w:hAnsi="Simplified Arabic" w:hint="cs"/>
          <w:sz w:val="27"/>
          <w:rtl/>
          <w:lang w:bidi="ar-LB"/>
        </w:rPr>
        <w:t xml:space="preserve"> وبالتالي لا يُستفاد منها ما ذُكر</w:t>
      </w:r>
      <w:r w:rsidRPr="00282AC9">
        <w:rPr>
          <w:rFonts w:ascii="Simplified Arabic" w:hAnsi="Simplified Arabic" w:hint="cs"/>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هذا خلاصة</w:t>
      </w:r>
      <w:r w:rsidR="00A57CC3" w:rsidRPr="00282AC9">
        <w:rPr>
          <w:rFonts w:ascii="Simplified Arabic" w:hAnsi="Simplified Arabic" w:hint="cs"/>
          <w:sz w:val="27"/>
          <w:rtl/>
          <w:lang w:bidi="ar-LB"/>
        </w:rPr>
        <w:t>ُ</w:t>
      </w:r>
      <w:r w:rsidRPr="00282AC9">
        <w:rPr>
          <w:rFonts w:ascii="Simplified Arabic" w:hAnsi="Simplified Arabic"/>
          <w:sz w:val="27"/>
          <w:rtl/>
          <w:lang w:bidi="ar-LB"/>
        </w:rPr>
        <w:t xml:space="preserve"> ما يمكن أن يُقال في معنى الطروقة</w:t>
      </w:r>
      <w:r w:rsidRPr="00282AC9">
        <w:rPr>
          <w:rFonts w:ascii="Simplified Arabic" w:hAnsi="Simplified Arabic" w:hint="cs"/>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 xml:space="preserve"> والغريب أنه رغم التفات بعض الفقهاء إلى معنى الطروقة لم يستفيدوا منها في الاستدلال على تعد</w:t>
      </w:r>
      <w:r w:rsidR="00A57CC3" w:rsidRPr="00282AC9">
        <w:rPr>
          <w:rFonts w:ascii="Simplified Arabic" w:hAnsi="Simplified Arabic" w:hint="cs"/>
          <w:sz w:val="27"/>
          <w:rtl/>
          <w:lang w:bidi="ar-LB"/>
        </w:rPr>
        <w:t>ُّ</w:t>
      </w:r>
      <w:r w:rsidRPr="00282AC9">
        <w:rPr>
          <w:rFonts w:ascii="Simplified Arabic" w:hAnsi="Simplified Arabic"/>
          <w:sz w:val="27"/>
          <w:rtl/>
          <w:lang w:bidi="ar-LB"/>
        </w:rPr>
        <w:t>د الزوجات أو النساء المنكوحات.</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lastRenderedPageBreak/>
        <w:t>وخلاصة</w:t>
      </w:r>
      <w:r w:rsidR="00A57CC3" w:rsidRPr="00282AC9">
        <w:rPr>
          <w:rFonts w:ascii="Simplified Arabic" w:hAnsi="Simplified Arabic" w:hint="cs"/>
          <w:sz w:val="27"/>
          <w:rtl/>
          <w:lang w:bidi="ar-LB"/>
        </w:rPr>
        <w:t>ُ</w:t>
      </w:r>
      <w:r w:rsidRPr="00282AC9">
        <w:rPr>
          <w:rFonts w:ascii="Simplified Arabic" w:hAnsi="Simplified Arabic" w:hint="cs"/>
          <w:sz w:val="27"/>
          <w:rtl/>
          <w:lang w:bidi="ar-LB"/>
        </w:rPr>
        <w:t xml:space="preserve"> ما يمكن </w:t>
      </w:r>
      <w:r w:rsidR="0050245E" w:rsidRPr="00282AC9">
        <w:rPr>
          <w:rFonts w:ascii="Simplified Arabic" w:hAnsi="Simplified Arabic" w:hint="cs"/>
          <w:sz w:val="27"/>
          <w:rtl/>
          <w:lang w:bidi="ar-LB"/>
        </w:rPr>
        <w:t>قوله</w:t>
      </w:r>
      <w:r w:rsidRPr="00282AC9">
        <w:rPr>
          <w:rFonts w:ascii="Simplified Arabic" w:hAnsi="Simplified Arabic" w:hint="cs"/>
          <w:sz w:val="27"/>
          <w:rtl/>
          <w:lang w:bidi="ar-LB"/>
        </w:rPr>
        <w:t xml:space="preserve"> في هذا العنوان</w:t>
      </w:r>
      <w:r w:rsidR="00A57CC3" w:rsidRPr="00282AC9">
        <w:rPr>
          <w:rFonts w:ascii="Simplified Arabic" w:hAnsi="Simplified Arabic" w:hint="cs"/>
          <w:sz w:val="27"/>
          <w:rtl/>
          <w:lang w:bidi="ar-LB"/>
        </w:rPr>
        <w:t>:</w:t>
      </w:r>
      <w:r w:rsidRPr="00282AC9">
        <w:rPr>
          <w:rFonts w:ascii="Simplified Arabic" w:hAnsi="Simplified Arabic" w:hint="cs"/>
          <w:sz w:val="27"/>
          <w:rtl/>
          <w:lang w:bidi="ar-LB"/>
        </w:rPr>
        <w:t xml:space="preserve"> </w:t>
      </w:r>
      <w:r w:rsidR="00A57CC3" w:rsidRPr="00282AC9">
        <w:rPr>
          <w:rFonts w:ascii="Simplified Arabic" w:hAnsi="Simplified Arabic" w:hint="cs"/>
          <w:sz w:val="27"/>
          <w:rtl/>
          <w:lang w:bidi="ar-LB"/>
        </w:rPr>
        <w:t>إ</w:t>
      </w:r>
      <w:r w:rsidRPr="00282AC9">
        <w:rPr>
          <w:rFonts w:ascii="Simplified Arabic" w:hAnsi="Simplified Arabic" w:hint="cs"/>
          <w:sz w:val="27"/>
          <w:rtl/>
          <w:lang w:bidi="ar-LB"/>
        </w:rPr>
        <w:t>ن الروايات الواردة تفيد استحباب كثرة الطروقة</w:t>
      </w:r>
      <w:r w:rsidR="00A57CC3" w:rsidRPr="00282AC9">
        <w:rPr>
          <w:rFonts w:ascii="Simplified Arabic" w:hAnsi="Simplified Arabic" w:hint="cs"/>
          <w:sz w:val="27"/>
          <w:rtl/>
          <w:lang w:bidi="ar-LB"/>
        </w:rPr>
        <w:t>،</w:t>
      </w:r>
      <w:r w:rsidRPr="00282AC9">
        <w:rPr>
          <w:rFonts w:ascii="Simplified Arabic" w:hAnsi="Simplified Arabic" w:hint="cs"/>
          <w:sz w:val="27"/>
          <w:rtl/>
          <w:lang w:bidi="ar-LB"/>
        </w:rPr>
        <w:t xml:space="preserve"> بغض</w:t>
      </w:r>
      <w:r w:rsidR="00A57CC3" w:rsidRPr="00282AC9">
        <w:rPr>
          <w:rFonts w:ascii="Simplified Arabic" w:hAnsi="Simplified Arabic" w:hint="cs"/>
          <w:sz w:val="27"/>
          <w:rtl/>
          <w:lang w:bidi="ar-LB"/>
        </w:rPr>
        <w:t>ّ</w:t>
      </w:r>
      <w:r w:rsidRPr="00282AC9">
        <w:rPr>
          <w:rFonts w:ascii="Simplified Arabic" w:hAnsi="Simplified Arabic" w:hint="cs"/>
          <w:sz w:val="27"/>
          <w:rtl/>
          <w:lang w:bidi="ar-LB"/>
        </w:rPr>
        <w:t xml:space="preserve"> النظر عن الطريق الشرعي</w:t>
      </w:r>
      <w:r w:rsidR="00A57CC3" w:rsidRPr="00282AC9">
        <w:rPr>
          <w:rFonts w:ascii="Simplified Arabic" w:hAnsi="Simplified Arabic" w:hint="cs"/>
          <w:sz w:val="27"/>
          <w:rtl/>
          <w:lang w:bidi="ar-LB"/>
        </w:rPr>
        <w:t>ّ</w:t>
      </w:r>
      <w:r w:rsidRPr="00282AC9">
        <w:rPr>
          <w:rFonts w:ascii="Simplified Arabic" w:hAnsi="Simplified Arabic" w:hint="cs"/>
          <w:sz w:val="27"/>
          <w:rtl/>
          <w:lang w:bidi="ar-LB"/>
        </w:rPr>
        <w:t xml:space="preserve"> إلى ذلك.</w:t>
      </w:r>
    </w:p>
    <w:p w:rsidR="0091196D" w:rsidRPr="00282AC9" w:rsidRDefault="0091196D" w:rsidP="00DD42F0">
      <w:pPr>
        <w:spacing w:line="430" w:lineRule="exact"/>
        <w:rPr>
          <w:rFonts w:ascii="Simplified Arabic" w:hAnsi="Simplified Arabic"/>
          <w:sz w:val="27"/>
          <w:rtl/>
          <w:lang w:bidi="ar-LB"/>
        </w:rPr>
      </w:pPr>
    </w:p>
    <w:p w:rsidR="00B4645B" w:rsidRPr="00282AC9" w:rsidRDefault="006F2573" w:rsidP="0050245E">
      <w:pPr>
        <w:pStyle w:val="31"/>
        <w:rPr>
          <w:rFonts w:eastAsiaTheme="majorEastAsia"/>
          <w:color w:val="auto"/>
          <w:rtl/>
          <w:lang w:bidi="ar-LB"/>
        </w:rPr>
      </w:pPr>
      <w:bookmarkStart w:id="95" w:name="_Toc49871959"/>
      <w:r w:rsidRPr="00282AC9">
        <w:rPr>
          <w:rFonts w:eastAsiaTheme="majorEastAsia" w:hint="cs"/>
          <w:color w:val="auto"/>
          <w:rtl/>
          <w:lang w:bidi="ar-LB"/>
        </w:rPr>
        <w:t xml:space="preserve">3ـ </w:t>
      </w:r>
      <w:r w:rsidR="00B4645B" w:rsidRPr="00282AC9">
        <w:rPr>
          <w:rFonts w:eastAsiaTheme="majorEastAsia"/>
          <w:color w:val="auto"/>
          <w:rtl/>
          <w:lang w:bidi="ar-LB"/>
        </w:rPr>
        <w:t>رواية نفي ال</w:t>
      </w:r>
      <w:r w:rsidR="0050245E" w:rsidRPr="00282AC9">
        <w:rPr>
          <w:rFonts w:eastAsiaTheme="majorEastAsia" w:hint="cs"/>
          <w:color w:val="auto"/>
          <w:rtl/>
          <w:lang w:bidi="ar-LB"/>
        </w:rPr>
        <w:t>إ</w:t>
      </w:r>
      <w:r w:rsidR="00B4645B" w:rsidRPr="00282AC9">
        <w:rPr>
          <w:rFonts w:eastAsiaTheme="majorEastAsia"/>
          <w:color w:val="auto"/>
          <w:rtl/>
          <w:lang w:bidi="ar-LB"/>
        </w:rPr>
        <w:t>سراف في التعدّ</w:t>
      </w:r>
      <w:r w:rsidR="00A57CC3" w:rsidRPr="00282AC9">
        <w:rPr>
          <w:rFonts w:eastAsiaTheme="majorEastAsia" w:hint="cs"/>
          <w:color w:val="auto"/>
          <w:rtl/>
          <w:lang w:bidi="ar-LB"/>
        </w:rPr>
        <w:t>ُ</w:t>
      </w:r>
      <w:r w:rsidR="00B4645B" w:rsidRPr="00282AC9">
        <w:rPr>
          <w:rFonts w:eastAsiaTheme="majorEastAsia"/>
          <w:color w:val="auto"/>
          <w:rtl/>
          <w:lang w:bidi="ar-LB"/>
        </w:rPr>
        <w:t>د</w:t>
      </w:r>
      <w:bookmarkEnd w:id="95"/>
    </w:p>
    <w:p w:rsidR="00B4645B" w:rsidRPr="00282AC9" w:rsidRDefault="00A57CC3" w:rsidP="0091196D">
      <w:pPr>
        <w:rPr>
          <w:rFonts w:ascii="Simplified Arabic" w:hAnsi="Simplified Arabic"/>
          <w:sz w:val="27"/>
          <w:rtl/>
          <w:lang w:bidi="ar-LB"/>
        </w:rPr>
      </w:pPr>
      <w:r w:rsidRPr="00282AC9">
        <w:rPr>
          <w:rFonts w:ascii="Simplified Arabic" w:hAnsi="Simplified Arabic" w:hint="cs"/>
          <w:sz w:val="27"/>
          <w:rtl/>
          <w:lang w:bidi="ar-LB"/>
        </w:rPr>
        <w:t xml:space="preserve">وهي </w:t>
      </w:r>
      <w:r w:rsidR="00B4645B" w:rsidRPr="00282AC9">
        <w:rPr>
          <w:rFonts w:ascii="Simplified Arabic" w:hAnsi="Simplified Arabic"/>
          <w:sz w:val="27"/>
          <w:rtl/>
          <w:lang w:bidi="ar-LB"/>
        </w:rPr>
        <w:t>خبر يونس بن عبد الرحمن</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عمّ</w:t>
      </w:r>
      <w:r w:rsidRPr="00282AC9">
        <w:rPr>
          <w:rFonts w:ascii="Simplified Arabic" w:hAnsi="Simplified Arabic" w:hint="cs"/>
          <w:sz w:val="27"/>
          <w:rtl/>
          <w:lang w:bidi="ar-LB"/>
        </w:rPr>
        <w:t>َ</w:t>
      </w:r>
      <w:r w:rsidR="00B4645B" w:rsidRPr="00282AC9">
        <w:rPr>
          <w:rFonts w:ascii="Simplified Arabic" w:hAnsi="Simplified Arabic"/>
          <w:sz w:val="27"/>
          <w:rtl/>
          <w:lang w:bidi="ar-LB"/>
        </w:rPr>
        <w:t>ن</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أخبره، عن أبي عبد الله</w:t>
      </w:r>
      <w:r w:rsidR="009A2A04" w:rsidRPr="00282AC9">
        <w:rPr>
          <w:rFonts w:ascii="Simplified Arabic" w:hAnsi="Simplified Arabic" w:cs="Mosawi"/>
          <w:sz w:val="22"/>
          <w:szCs w:val="22"/>
          <w:rtl/>
          <w:lang w:bidi="ar-LB"/>
        </w:rPr>
        <w:t>×</w:t>
      </w:r>
      <w:r w:rsidR="00B4645B" w:rsidRPr="00282AC9">
        <w:rPr>
          <w:rFonts w:ascii="Simplified Arabic" w:hAnsi="Simplified Arabic"/>
          <w:sz w:val="27"/>
          <w:rtl/>
          <w:lang w:bidi="ar-LB"/>
        </w:rPr>
        <w:t xml:space="preserve"> قال: </w:t>
      </w:r>
      <w:r w:rsidRPr="00282AC9">
        <w:rPr>
          <w:rFonts w:hint="eastAsia"/>
          <w:sz w:val="24"/>
          <w:szCs w:val="24"/>
          <w:rtl/>
        </w:rPr>
        <w:t>«</w:t>
      </w:r>
      <w:r w:rsidR="00B4645B" w:rsidRPr="00282AC9">
        <w:rPr>
          <w:rFonts w:ascii="Simplified Arabic" w:hAnsi="Simplified Arabic"/>
          <w:sz w:val="27"/>
          <w:rtl/>
          <w:lang w:bidi="ar-LB"/>
        </w:rPr>
        <w:t>في كل</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شيء</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إسراف</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إ</w:t>
      </w:r>
      <w:r w:rsidR="00EE6DBA" w:rsidRPr="00282AC9">
        <w:rPr>
          <w:rFonts w:ascii="Simplified Arabic" w:hAnsi="Simplified Arabic"/>
          <w:sz w:val="27"/>
          <w:rtl/>
          <w:lang w:bidi="ar-LB"/>
        </w:rPr>
        <w:t>لاّ</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في النساء</w:t>
      </w:r>
      <w:r w:rsidRPr="00282AC9">
        <w:rPr>
          <w:rFonts w:hint="eastAsia"/>
          <w:sz w:val="24"/>
          <w:szCs w:val="24"/>
          <w:rtl/>
        </w:rPr>
        <w:t>»</w:t>
      </w:r>
      <w:r w:rsidR="00B4645B" w:rsidRPr="00282AC9">
        <w:rPr>
          <w:rFonts w:ascii="Simplified Arabic" w:hAnsi="Simplified Arabic"/>
          <w:sz w:val="27"/>
          <w:vertAlign w:val="superscript"/>
          <w:rtl/>
          <w:lang w:bidi="ar-LB"/>
        </w:rPr>
        <w:t>(</w:t>
      </w:r>
      <w:r w:rsidR="00B4645B" w:rsidRPr="00282AC9">
        <w:rPr>
          <w:rFonts w:ascii="Simplified Arabic" w:hAnsi="Simplified Arabic"/>
          <w:sz w:val="27"/>
          <w:vertAlign w:val="superscript"/>
          <w:rtl/>
          <w:lang w:bidi="ar-LB"/>
        </w:rPr>
        <w:endnoteReference w:id="834"/>
      </w:r>
      <w:r w:rsidR="00B4645B" w:rsidRPr="00282AC9">
        <w:rPr>
          <w:rFonts w:ascii="Simplified Arabic" w:hAnsi="Simplified Arabic"/>
          <w:sz w:val="27"/>
          <w:vertAlign w:val="superscript"/>
          <w:rtl/>
          <w:lang w:bidi="ar-LB"/>
        </w:rPr>
        <w:t>)</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قال </w:t>
      </w:r>
      <w:r w:rsidR="00C06BE6" w:rsidRPr="00282AC9">
        <w:rPr>
          <w:rFonts w:ascii="Simplified Arabic" w:hAnsi="Simplified Arabic"/>
          <w:sz w:val="27"/>
          <w:rtl/>
          <w:lang w:bidi="ar-LB"/>
        </w:rPr>
        <w:t>الل</w:t>
      </w:r>
      <w:r w:rsidR="00B4645B" w:rsidRPr="00282AC9">
        <w:rPr>
          <w:rFonts w:ascii="Simplified Arabic" w:hAnsi="Simplified Arabic"/>
          <w:sz w:val="27"/>
          <w:rtl/>
          <w:lang w:bidi="ar-LB"/>
        </w:rPr>
        <w:t xml:space="preserve">ه: </w:t>
      </w:r>
      <w:r w:rsidR="00B4645B" w:rsidRPr="00282AC9">
        <w:rPr>
          <w:rFonts w:ascii="Mosawi" w:hAnsi="Mosawi" w:cs="Mosawi"/>
          <w:sz w:val="24"/>
          <w:szCs w:val="24"/>
          <w:rtl/>
        </w:rPr>
        <w:t>﴿</w:t>
      </w:r>
      <w:r w:rsidR="00B4645B" w:rsidRPr="00282AC9">
        <w:rPr>
          <w:rFonts w:ascii="Simplified Arabic" w:hAnsi="Simplified Arabic"/>
          <w:b/>
          <w:bCs/>
          <w:sz w:val="27"/>
          <w:rtl/>
          <w:lang w:bidi="ar-LB"/>
        </w:rPr>
        <w:t>فَانْكِحُوا م</w:t>
      </w:r>
      <w:r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ا ط</w:t>
      </w:r>
      <w:r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ابَ لَكُمْ مِنَ النِّس</w:t>
      </w:r>
      <w:r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اءِ مَثْن</w:t>
      </w:r>
      <w:r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ى و</w:t>
      </w:r>
      <w:r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ثُلا</w:t>
      </w:r>
      <w:r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ثَ و</w:t>
      </w:r>
      <w:r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رُب</w:t>
      </w:r>
      <w:r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اعَ</w:t>
      </w:r>
      <w:r w:rsidR="00B4645B" w:rsidRPr="00282AC9">
        <w:rPr>
          <w:rFonts w:ascii="Mosawi" w:hAnsi="Mosawi" w:cs="Mosawi"/>
          <w:sz w:val="24"/>
          <w:szCs w:val="24"/>
          <w:rtl/>
        </w:rPr>
        <w:t>﴾</w:t>
      </w:r>
      <w:r w:rsidR="00B4645B" w:rsidRPr="00282AC9">
        <w:rPr>
          <w:rFonts w:asciiTheme="minorBidi" w:hAnsiTheme="minorBidi"/>
          <w:sz w:val="27"/>
          <w:rtl/>
        </w:rPr>
        <w:t xml:space="preserve"> </w:t>
      </w:r>
      <w:r w:rsidR="00B4645B" w:rsidRPr="00282AC9">
        <w:rPr>
          <w:rFonts w:asciiTheme="minorBidi" w:hAnsiTheme="minorBidi" w:hint="cs"/>
          <w:sz w:val="27"/>
          <w:rtl/>
        </w:rPr>
        <w:t>(النساء: 3)</w:t>
      </w:r>
      <w:r w:rsidR="00BA3D0F" w:rsidRPr="00282AC9">
        <w:rPr>
          <w:rFonts w:ascii="Simplified Arabic" w:hAnsi="Simplified Arabic" w:hint="cs"/>
          <w:sz w:val="27"/>
          <w:rtl/>
        </w:rPr>
        <w:t>؛</w:t>
      </w:r>
      <w:r w:rsidR="00B4645B" w:rsidRPr="00282AC9">
        <w:rPr>
          <w:rFonts w:ascii="Simplified Arabic" w:hAnsi="Simplified Arabic"/>
          <w:sz w:val="27"/>
          <w:rtl/>
        </w:rPr>
        <w:t xml:space="preserve"> وقال: </w:t>
      </w:r>
      <w:r w:rsidR="00B4645B" w:rsidRPr="00282AC9">
        <w:rPr>
          <w:rFonts w:ascii="Mosawi" w:hAnsi="Mosawi" w:cs="Mosawi"/>
          <w:sz w:val="24"/>
          <w:szCs w:val="24"/>
          <w:rtl/>
        </w:rPr>
        <w:t>﴿</w:t>
      </w:r>
      <w:r w:rsidR="00B4645B" w:rsidRPr="00282AC9">
        <w:rPr>
          <w:rFonts w:ascii="Simplified Arabic" w:hAnsi="Simplified Arabic"/>
          <w:b/>
          <w:bCs/>
          <w:sz w:val="27"/>
          <w:rtl/>
          <w:lang w:bidi="ar-LB"/>
        </w:rPr>
        <w:t>و</w:t>
      </w:r>
      <w:r w:rsidR="00BA3D0F"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أُحِلَّ لَكُمْ م</w:t>
      </w:r>
      <w:r w:rsidR="00BA3D0F"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ا وَر</w:t>
      </w:r>
      <w:r w:rsidR="00BA3D0F"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اءَ ذ</w:t>
      </w:r>
      <w:r w:rsidR="00BA3D0F" w:rsidRPr="00282AC9">
        <w:rPr>
          <w:rFonts w:ascii="Simplified Arabic" w:hAnsi="Simplified Arabic" w:hint="cs"/>
          <w:b/>
          <w:bCs/>
          <w:sz w:val="27"/>
          <w:rtl/>
          <w:lang w:bidi="ar-LB"/>
        </w:rPr>
        <w:t>َ</w:t>
      </w:r>
      <w:r w:rsidR="00B4645B" w:rsidRPr="00282AC9">
        <w:rPr>
          <w:rFonts w:ascii="Simplified Arabic" w:hAnsi="Simplified Arabic"/>
          <w:b/>
          <w:bCs/>
          <w:sz w:val="27"/>
          <w:rtl/>
          <w:lang w:bidi="ar-LB"/>
        </w:rPr>
        <w:t>لِكُمْ</w:t>
      </w:r>
      <w:r w:rsidR="00B4645B" w:rsidRPr="00282AC9">
        <w:rPr>
          <w:rFonts w:ascii="Mosawi" w:hAnsi="Mosawi" w:cs="Mosawi"/>
          <w:sz w:val="24"/>
          <w:szCs w:val="24"/>
          <w:rtl/>
        </w:rPr>
        <w:t>﴾</w:t>
      </w:r>
      <w:r w:rsidR="00B4645B" w:rsidRPr="00282AC9">
        <w:rPr>
          <w:rFonts w:asciiTheme="minorBidi" w:hAnsiTheme="minorBidi" w:hint="cs"/>
          <w:sz w:val="27"/>
          <w:rtl/>
        </w:rPr>
        <w:t xml:space="preserve"> (النساء: 24).</w:t>
      </w:r>
    </w:p>
    <w:p w:rsidR="00B4645B" w:rsidRPr="00282AC9" w:rsidRDefault="00B4645B" w:rsidP="00DD42F0">
      <w:pPr>
        <w:spacing w:line="430" w:lineRule="exact"/>
        <w:rPr>
          <w:rFonts w:ascii="Simplified Arabic" w:hAnsi="Simplified Arabic"/>
          <w:sz w:val="27"/>
          <w:rtl/>
          <w:lang w:bidi="ar-LB"/>
        </w:rPr>
      </w:pPr>
    </w:p>
    <w:p w:rsidR="00B4645B" w:rsidRPr="00282AC9" w:rsidRDefault="0050245E" w:rsidP="0050245E">
      <w:pPr>
        <w:pStyle w:val="31"/>
        <w:rPr>
          <w:color w:val="auto"/>
          <w:rtl/>
          <w:lang w:bidi="ar-LB"/>
        </w:rPr>
      </w:pPr>
      <w:r w:rsidRPr="00282AC9">
        <w:rPr>
          <w:color w:val="auto"/>
          <w:rtl/>
          <w:lang w:bidi="ar-LB"/>
        </w:rPr>
        <w:t>تقريب الاستدلال</w:t>
      </w:r>
    </w:p>
    <w:p w:rsidR="00B4645B" w:rsidRPr="00282AC9" w:rsidRDefault="00BA3D0F" w:rsidP="0091196D">
      <w:pPr>
        <w:rPr>
          <w:rFonts w:ascii="Simplified Arabic" w:hAnsi="Simplified Arabic"/>
          <w:sz w:val="27"/>
          <w:rtl/>
          <w:lang w:bidi="ar-LB"/>
        </w:rPr>
      </w:pPr>
      <w:r w:rsidRPr="00282AC9">
        <w:rPr>
          <w:rFonts w:ascii="Simplified Arabic" w:hAnsi="Simplified Arabic"/>
          <w:sz w:val="27"/>
          <w:rtl/>
          <w:lang w:bidi="ar-LB"/>
        </w:rPr>
        <w:t xml:space="preserve">تشير </w:t>
      </w:r>
      <w:r w:rsidR="00B4645B" w:rsidRPr="00282AC9">
        <w:rPr>
          <w:rFonts w:ascii="Simplified Arabic" w:hAnsi="Simplified Arabic"/>
          <w:sz w:val="27"/>
          <w:rtl/>
          <w:lang w:bidi="ar-LB"/>
        </w:rPr>
        <w:t>الرواية إلى أنه لا يوجد إسراف</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في النساء</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والإسراف هو التبذير</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وقد ورد مثل هذا التعبير في الط</w:t>
      </w:r>
      <w:r w:rsidRPr="00282AC9">
        <w:rPr>
          <w:rFonts w:ascii="Simplified Arabic" w:hAnsi="Simplified Arabic" w:hint="cs"/>
          <w:sz w:val="27"/>
          <w:rtl/>
          <w:lang w:bidi="ar-LB"/>
        </w:rPr>
        <w:t>ِّ</w:t>
      </w:r>
      <w:r w:rsidR="00B4645B" w:rsidRPr="00282AC9">
        <w:rPr>
          <w:rFonts w:ascii="Simplified Arabic" w:hAnsi="Simplified Arabic"/>
          <w:sz w:val="27"/>
          <w:rtl/>
          <w:lang w:bidi="ar-LB"/>
        </w:rPr>
        <w:t>يب</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w:t>
      </w:r>
      <w:r w:rsidR="00B4645B" w:rsidRPr="00282AC9">
        <w:rPr>
          <w:rFonts w:hint="eastAsia"/>
          <w:sz w:val="24"/>
          <w:szCs w:val="24"/>
          <w:rtl/>
          <w:lang w:bidi="ar-LB"/>
        </w:rPr>
        <w:t>«</w:t>
      </w:r>
      <w:r w:rsidR="00B4645B" w:rsidRPr="00282AC9">
        <w:rPr>
          <w:rFonts w:ascii="Simplified Arabic" w:hAnsi="Simplified Arabic"/>
          <w:sz w:val="27"/>
          <w:rtl/>
        </w:rPr>
        <w:t>لا إسراف في الطيب</w:t>
      </w:r>
      <w:r w:rsidR="00B4645B" w:rsidRPr="00282AC9">
        <w:rPr>
          <w:rFonts w:hint="eastAsia"/>
          <w:sz w:val="24"/>
          <w:szCs w:val="24"/>
          <w:rtl/>
        </w:rPr>
        <w:t>»</w:t>
      </w:r>
      <w:r w:rsidRPr="00282AC9">
        <w:rPr>
          <w:rFonts w:ascii="Simplified Arabic" w:hAnsi="Simplified Arabic"/>
          <w:sz w:val="27"/>
          <w:vertAlign w:val="superscript"/>
          <w:rtl/>
          <w:lang w:bidi="ar-LB"/>
        </w:rPr>
        <w:t>(</w:t>
      </w:r>
      <w:r w:rsidRPr="00282AC9">
        <w:rPr>
          <w:rFonts w:ascii="Simplified Arabic" w:hAnsi="Simplified Arabic"/>
          <w:sz w:val="27"/>
          <w:vertAlign w:val="superscript"/>
          <w:rtl/>
          <w:lang w:bidi="ar-LB"/>
        </w:rPr>
        <w:endnoteReference w:id="835"/>
      </w:r>
      <w:r w:rsidRPr="00282AC9">
        <w:rPr>
          <w:rFonts w:ascii="Simplified Arabic" w:hAnsi="Simplified Arabic"/>
          <w:sz w:val="27"/>
          <w:vertAlign w:val="superscript"/>
          <w:rtl/>
          <w:lang w:bidi="ar-LB"/>
        </w:rPr>
        <w:t>)</w:t>
      </w:r>
      <w:r w:rsidRPr="00282AC9">
        <w:rPr>
          <w:rFonts w:ascii="Simplified Arabic" w:hAnsi="Simplified Arabic" w:hint="cs"/>
          <w:sz w:val="27"/>
          <w:rtl/>
          <w:lang w:bidi="ar-LB"/>
        </w:rPr>
        <w:t xml:space="preserve">. </w:t>
      </w:r>
      <w:r w:rsidR="00B4645B" w:rsidRPr="00282AC9">
        <w:rPr>
          <w:rFonts w:ascii="Simplified Arabic" w:hAnsi="Simplified Arabic"/>
          <w:sz w:val="27"/>
          <w:rtl/>
          <w:lang w:bidi="ar-LB"/>
        </w:rPr>
        <w:t xml:space="preserve">وقد استخدمه الفقهاء </w:t>
      </w:r>
      <w:r w:rsidR="00B4645B" w:rsidRPr="00282AC9">
        <w:rPr>
          <w:rFonts w:hint="eastAsia"/>
          <w:sz w:val="24"/>
          <w:szCs w:val="24"/>
          <w:rtl/>
          <w:lang w:bidi="ar-LB"/>
        </w:rPr>
        <w:t>«</w:t>
      </w:r>
      <w:r w:rsidR="00B4645B" w:rsidRPr="00282AC9">
        <w:rPr>
          <w:rFonts w:ascii="Simplified Arabic" w:hAnsi="Simplified Arabic"/>
          <w:sz w:val="27"/>
          <w:rtl/>
          <w:lang w:bidi="ar-LB"/>
        </w:rPr>
        <w:t>لا إسراف في الإسراج</w:t>
      </w:r>
      <w:r w:rsidR="00B4645B" w:rsidRPr="00282AC9">
        <w:rPr>
          <w:rFonts w:hint="eastAsia"/>
          <w:sz w:val="24"/>
          <w:szCs w:val="24"/>
          <w:rtl/>
        </w:rPr>
        <w:t>»</w:t>
      </w:r>
      <w:r w:rsidRPr="00282AC9">
        <w:rPr>
          <w:rFonts w:ascii="Simplified Arabic" w:hAnsi="Simplified Arabic" w:hint="cs"/>
          <w:sz w:val="27"/>
          <w:rtl/>
          <w:lang w:bidi="ar-LB"/>
        </w:rPr>
        <w:t>،</w:t>
      </w:r>
      <w:r w:rsidR="00B4645B" w:rsidRPr="00282AC9">
        <w:rPr>
          <w:rFonts w:ascii="Simplified Arabic" w:hAnsi="Simplified Arabic"/>
          <w:sz w:val="27"/>
          <w:rtl/>
          <w:lang w:bidi="ar-LB"/>
        </w:rPr>
        <w:t xml:space="preserve"> </w:t>
      </w:r>
      <w:r w:rsidR="00B4645B" w:rsidRPr="00282AC9">
        <w:rPr>
          <w:rFonts w:hint="eastAsia"/>
          <w:sz w:val="24"/>
          <w:szCs w:val="24"/>
          <w:rtl/>
          <w:lang w:bidi="ar-LB"/>
        </w:rPr>
        <w:t>«</w:t>
      </w:r>
      <w:r w:rsidR="00B4645B" w:rsidRPr="00282AC9">
        <w:rPr>
          <w:rFonts w:ascii="Simplified Arabic" w:hAnsi="Simplified Arabic"/>
          <w:sz w:val="27"/>
          <w:rtl/>
          <w:lang w:bidi="ar-LB"/>
        </w:rPr>
        <w:t>ولا إسراف في الفرش</w:t>
      </w:r>
      <w:r w:rsidR="00B4645B" w:rsidRPr="00282AC9">
        <w:rPr>
          <w:rFonts w:hint="eastAsia"/>
          <w:sz w:val="24"/>
          <w:szCs w:val="24"/>
          <w:rtl/>
        </w:rPr>
        <w:t>»</w:t>
      </w:r>
      <w:r w:rsidR="00B4645B" w:rsidRPr="00282AC9">
        <w:rPr>
          <w:rFonts w:ascii="Simplified Arabic" w:hAnsi="Simplified Arabic"/>
          <w:sz w:val="27"/>
          <w:rtl/>
          <w:lang w:bidi="ar-LB"/>
        </w:rPr>
        <w:t>... والمراد أن الإكثار في هذه الأمور مطلوب</w:t>
      </w:r>
      <w:r w:rsidRPr="00282AC9">
        <w:rPr>
          <w:rFonts w:ascii="Simplified Arabic" w:hAnsi="Simplified Arabic" w:hint="cs"/>
          <w:sz w:val="27"/>
          <w:rtl/>
          <w:lang w:bidi="ar-LB"/>
        </w:rPr>
        <w:t>ٌ</w:t>
      </w:r>
      <w:r w:rsidR="00B4645B" w:rsidRPr="00282AC9">
        <w:rPr>
          <w:rFonts w:ascii="Simplified Arabic" w:hAnsi="Simplified Arabic"/>
          <w:sz w:val="27"/>
          <w:vertAlign w:val="superscript"/>
          <w:rtl/>
          <w:lang w:bidi="ar-LB"/>
        </w:rPr>
        <w:t xml:space="preserve"> </w:t>
      </w:r>
      <w:r w:rsidR="00B4645B" w:rsidRPr="00282AC9">
        <w:rPr>
          <w:rFonts w:ascii="Simplified Arabic" w:hAnsi="Simplified Arabic"/>
          <w:sz w:val="27"/>
          <w:rtl/>
          <w:lang w:bidi="ar-LB"/>
        </w:rPr>
        <w:t>ومرغوب</w:t>
      </w:r>
      <w:r w:rsidRPr="00282AC9">
        <w:rPr>
          <w:rFonts w:ascii="Simplified Arabic" w:hAnsi="Simplified Arabic" w:hint="cs"/>
          <w:sz w:val="27"/>
          <w:rtl/>
          <w:lang w:bidi="ar-LB"/>
        </w:rPr>
        <w:t>ٌ</w:t>
      </w:r>
      <w:r w:rsidR="00B4645B" w:rsidRPr="00282AC9">
        <w:rPr>
          <w:rFonts w:ascii="Simplified Arabic" w:hAnsi="Simplified Arabic"/>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ومن هنا ي</w:t>
      </w:r>
      <w:r w:rsidR="00BA3D0F" w:rsidRPr="00282AC9">
        <w:rPr>
          <w:rFonts w:ascii="Simplified Arabic" w:hAnsi="Simplified Arabic" w:hint="cs"/>
          <w:sz w:val="27"/>
          <w:rtl/>
          <w:lang w:bidi="ar-LB"/>
        </w:rPr>
        <w:t>ُ</w:t>
      </w:r>
      <w:r w:rsidRPr="00282AC9">
        <w:rPr>
          <w:rFonts w:ascii="Simplified Arabic" w:hAnsi="Simplified Arabic"/>
          <w:sz w:val="27"/>
          <w:rtl/>
          <w:lang w:bidi="ar-LB"/>
        </w:rPr>
        <w:t>ستفاد أن الإكثار من النساء محب</w:t>
      </w:r>
      <w:r w:rsidR="00BA3D0F" w:rsidRPr="00282AC9">
        <w:rPr>
          <w:rFonts w:ascii="Simplified Arabic" w:hAnsi="Simplified Arabic" w:hint="cs"/>
          <w:sz w:val="27"/>
          <w:rtl/>
          <w:lang w:bidi="ar-LB"/>
        </w:rPr>
        <w:t>َّ</w:t>
      </w:r>
      <w:r w:rsidRPr="00282AC9">
        <w:rPr>
          <w:rFonts w:ascii="Simplified Arabic" w:hAnsi="Simplified Arabic"/>
          <w:sz w:val="27"/>
          <w:rtl/>
          <w:lang w:bidi="ar-LB"/>
        </w:rPr>
        <w:t>ب</w:t>
      </w:r>
      <w:r w:rsidR="00BA3D0F" w:rsidRPr="00282AC9">
        <w:rPr>
          <w:rFonts w:ascii="Simplified Arabic" w:hAnsi="Simplified Arabic" w:hint="cs"/>
          <w:sz w:val="27"/>
          <w:rtl/>
          <w:lang w:bidi="ar-LB"/>
        </w:rPr>
        <w:t>ٌ</w:t>
      </w:r>
      <w:r w:rsidRPr="00282AC9">
        <w:rPr>
          <w:rFonts w:ascii="Simplified Arabic" w:hAnsi="Simplified Arabic"/>
          <w:sz w:val="27"/>
          <w:rtl/>
          <w:lang w:bidi="ar-LB"/>
        </w:rPr>
        <w:t>.</w:t>
      </w:r>
    </w:p>
    <w:p w:rsidR="00B4645B" w:rsidRPr="00282AC9" w:rsidRDefault="00B4645B" w:rsidP="00DD42F0">
      <w:pPr>
        <w:spacing w:line="420" w:lineRule="exact"/>
        <w:rPr>
          <w:rFonts w:ascii="Simplified Arabic" w:hAnsi="Simplified Arabic"/>
          <w:sz w:val="27"/>
          <w:rtl/>
          <w:lang w:bidi="ar-LB"/>
        </w:rPr>
      </w:pPr>
    </w:p>
    <w:p w:rsidR="00B4645B" w:rsidRPr="00282AC9" w:rsidRDefault="00B4645B" w:rsidP="00BA3D0F">
      <w:pPr>
        <w:pStyle w:val="31"/>
        <w:rPr>
          <w:color w:val="auto"/>
          <w:lang w:bidi="ar-LB"/>
        </w:rPr>
      </w:pPr>
      <w:r w:rsidRPr="00282AC9">
        <w:rPr>
          <w:color w:val="auto"/>
          <w:rtl/>
          <w:lang w:bidi="ar-LB"/>
        </w:rPr>
        <w:t>إشكال</w:t>
      </w:r>
      <w:r w:rsidRPr="00282AC9">
        <w:rPr>
          <w:rFonts w:hint="cs"/>
          <w:color w:val="auto"/>
          <w:rtl/>
          <w:lang w:bidi="ar-LB"/>
        </w:rPr>
        <w:t>ات الشيخ ال</w:t>
      </w:r>
      <w:r w:rsidR="00BA3D0F" w:rsidRPr="00282AC9">
        <w:rPr>
          <w:rFonts w:hint="cs"/>
          <w:color w:val="auto"/>
          <w:rtl/>
          <w:lang w:bidi="ar-LB"/>
        </w:rPr>
        <w:t>إ</w:t>
      </w:r>
      <w:r w:rsidRPr="00282AC9">
        <w:rPr>
          <w:rFonts w:hint="cs"/>
          <w:color w:val="auto"/>
          <w:rtl/>
          <w:lang w:bidi="ar-LB"/>
        </w:rPr>
        <w:t>شتهاردي</w:t>
      </w:r>
      <w:r w:rsidR="009E7915" w:rsidRPr="00282AC9">
        <w:rPr>
          <w:rFonts w:hint="cs"/>
          <w:color w:val="auto"/>
          <w:rtl/>
          <w:lang w:bidi="ar-LB"/>
        </w:rPr>
        <w:t>، وجوابها</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يذكر الشيخ ال</w:t>
      </w:r>
      <w:r w:rsidR="00BA3D0F" w:rsidRPr="00282AC9">
        <w:rPr>
          <w:rFonts w:ascii="Simplified Arabic" w:hAnsi="Simplified Arabic" w:hint="cs"/>
          <w:sz w:val="27"/>
          <w:rtl/>
          <w:lang w:bidi="ar-LB"/>
        </w:rPr>
        <w:t>إ</w:t>
      </w:r>
      <w:r w:rsidRPr="00282AC9">
        <w:rPr>
          <w:rFonts w:ascii="Simplified Arabic" w:hAnsi="Simplified Arabic" w:hint="cs"/>
          <w:sz w:val="27"/>
          <w:rtl/>
          <w:lang w:bidi="ar-LB"/>
        </w:rPr>
        <w:t>شتهاردي</w:t>
      </w:r>
      <w:r w:rsidR="00BA3D0F" w:rsidRPr="00282AC9">
        <w:rPr>
          <w:rFonts w:ascii="Simplified Arabic" w:hAnsi="Simplified Arabic" w:hint="cs"/>
          <w:sz w:val="27"/>
          <w:rtl/>
          <w:lang w:bidi="ar-LB"/>
        </w:rPr>
        <w:t>،</w:t>
      </w:r>
      <w:r w:rsidRPr="00282AC9">
        <w:rPr>
          <w:rFonts w:ascii="Simplified Arabic" w:hAnsi="Simplified Arabic" w:hint="cs"/>
          <w:sz w:val="27"/>
          <w:rtl/>
          <w:lang w:bidi="ar-LB"/>
        </w:rPr>
        <w:t xml:space="preserve"> في كتابه مدارك العروة</w:t>
      </w:r>
      <w:r w:rsidR="00BA3D0F" w:rsidRPr="00282AC9">
        <w:rPr>
          <w:rFonts w:ascii="Simplified Arabic" w:hAnsi="Simplified Arabic" w:hint="cs"/>
          <w:sz w:val="27"/>
          <w:rtl/>
          <w:lang w:bidi="ar-LB"/>
        </w:rPr>
        <w:t>،</w:t>
      </w:r>
      <w:r w:rsidRPr="00282AC9">
        <w:rPr>
          <w:rFonts w:ascii="Simplified Arabic" w:hAnsi="Simplified Arabic" w:hint="cs"/>
          <w:sz w:val="27"/>
          <w:rtl/>
          <w:lang w:bidi="ar-LB"/>
        </w:rPr>
        <w:t xml:space="preserve"> إشكالات</w:t>
      </w:r>
      <w:r w:rsidR="00BA3D0F" w:rsidRPr="00282AC9">
        <w:rPr>
          <w:rFonts w:ascii="Simplified Arabic" w:hAnsi="Simplified Arabic" w:hint="cs"/>
          <w:sz w:val="27"/>
          <w:rtl/>
          <w:lang w:bidi="ar-LB"/>
        </w:rPr>
        <w:t>ٍ</w:t>
      </w:r>
      <w:r w:rsidRPr="00282AC9">
        <w:rPr>
          <w:rFonts w:ascii="Simplified Arabic" w:hAnsi="Simplified Arabic" w:hint="cs"/>
          <w:sz w:val="27"/>
          <w:rtl/>
          <w:lang w:bidi="ar-LB"/>
        </w:rPr>
        <w:t xml:space="preserve"> عديد</w:t>
      </w:r>
      <w:r w:rsidR="00BA3D0F" w:rsidRPr="00282AC9">
        <w:rPr>
          <w:rFonts w:ascii="Simplified Arabic" w:hAnsi="Simplified Arabic" w:hint="cs"/>
          <w:sz w:val="27"/>
          <w:rtl/>
          <w:lang w:bidi="ar-LB"/>
        </w:rPr>
        <w:t>ةً</w:t>
      </w:r>
      <w:r w:rsidRPr="00282AC9">
        <w:rPr>
          <w:rFonts w:ascii="Simplified Arabic" w:hAnsi="Simplified Arabic" w:hint="cs"/>
          <w:sz w:val="27"/>
          <w:rtl/>
          <w:lang w:bidi="ar-LB"/>
        </w:rPr>
        <w:t xml:space="preserve">: </w:t>
      </w:r>
      <w:r w:rsidRPr="00282AC9">
        <w:rPr>
          <w:rFonts w:hint="eastAsia"/>
          <w:sz w:val="24"/>
          <w:szCs w:val="24"/>
          <w:rtl/>
          <w:lang w:bidi="ar-LB"/>
        </w:rPr>
        <w:t>«</w:t>
      </w:r>
      <w:r w:rsidR="0050245E" w:rsidRPr="00282AC9">
        <w:rPr>
          <w:rFonts w:ascii="Simplified Arabic" w:hAnsi="Simplified Arabic" w:hint="cs"/>
          <w:sz w:val="27"/>
          <w:rtl/>
          <w:lang w:bidi="ar-LB"/>
        </w:rPr>
        <w:t>ففيه:</w:t>
      </w:r>
      <w:r w:rsidRPr="00282AC9">
        <w:rPr>
          <w:rFonts w:ascii="Simplified Arabic" w:hAnsi="Simplified Arabic"/>
          <w:sz w:val="27"/>
          <w:rtl/>
          <w:lang w:bidi="ar-LB"/>
        </w:rPr>
        <w:t xml:space="preserve"> </w:t>
      </w:r>
      <w:r w:rsidRPr="00282AC9">
        <w:rPr>
          <w:rFonts w:ascii="Simplified Arabic" w:hAnsi="Simplified Arabic" w:hint="cs"/>
          <w:b/>
          <w:bCs/>
          <w:sz w:val="27"/>
          <w:rtl/>
          <w:lang w:bidi="ar-LB"/>
        </w:rPr>
        <w:t>أوّلا</w:t>
      </w:r>
      <w:r w:rsidR="00BA3D0F" w:rsidRPr="00282AC9">
        <w:rPr>
          <w:rFonts w:ascii="Simplified Arabic" w:hAnsi="Simplified Arabic" w:hint="cs"/>
          <w:b/>
          <w:bCs/>
          <w:sz w:val="27"/>
          <w:rtl/>
          <w:lang w:bidi="ar-LB"/>
        </w:rPr>
        <w:t>ً</w:t>
      </w:r>
      <w:r w:rsidR="00BA3D0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ضعف</w:t>
      </w:r>
      <w:r w:rsidRPr="00282AC9">
        <w:rPr>
          <w:rFonts w:ascii="Simplified Arabic" w:hAnsi="Simplified Arabic"/>
          <w:sz w:val="27"/>
          <w:rtl/>
          <w:lang w:bidi="ar-LB"/>
        </w:rPr>
        <w:t xml:space="preserve"> </w:t>
      </w:r>
      <w:r w:rsidRPr="00282AC9">
        <w:rPr>
          <w:rFonts w:ascii="Simplified Arabic" w:hAnsi="Simplified Arabic" w:hint="cs"/>
          <w:sz w:val="27"/>
          <w:rtl/>
          <w:lang w:bidi="ar-LB"/>
        </w:rPr>
        <w:t>سنده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وجوه</w:t>
      </w:r>
      <w:r w:rsidR="00BA3D0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b/>
          <w:bCs/>
          <w:sz w:val="27"/>
          <w:rtl/>
          <w:lang w:bidi="ar-LB"/>
        </w:rPr>
        <w:t>وثانيا</w:t>
      </w:r>
      <w:r w:rsidR="00BA3D0F" w:rsidRPr="00282AC9">
        <w:rPr>
          <w:rFonts w:ascii="Simplified Arabic" w:hAnsi="Simplified Arabic" w:hint="cs"/>
          <w:b/>
          <w:bCs/>
          <w:sz w:val="27"/>
          <w:rtl/>
          <w:lang w:bidi="ar-LB"/>
        </w:rPr>
        <w:t>ً</w:t>
      </w:r>
      <w:r w:rsidR="00BA3D0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كونه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ح</w:t>
      </w:r>
      <w:r w:rsidR="00BA3D0F" w:rsidRPr="00282AC9">
        <w:rPr>
          <w:rFonts w:ascii="Simplified Arabic" w:hAnsi="Simplified Arabic" w:hint="cs"/>
          <w:sz w:val="27"/>
          <w:rtl/>
          <w:lang w:bidi="ar-LB"/>
        </w:rPr>
        <w:t>َ</w:t>
      </w:r>
      <w:r w:rsidRPr="00282AC9">
        <w:rPr>
          <w:rFonts w:ascii="Simplified Arabic" w:hAnsi="Simplified Arabic" w:hint="cs"/>
          <w:sz w:val="27"/>
          <w:rtl/>
          <w:lang w:bidi="ar-LB"/>
        </w:rPr>
        <w:t>ص</w:t>
      </w:r>
      <w:r w:rsidR="00BA3D0F" w:rsidRPr="00282AC9">
        <w:rPr>
          <w:rFonts w:ascii="Simplified Arabic" w:hAnsi="Simplified Arabic" w:hint="cs"/>
          <w:sz w:val="27"/>
          <w:rtl/>
          <w:lang w:bidi="ar-LB"/>
        </w:rPr>
        <w:t>ْ</w:t>
      </w:r>
      <w:r w:rsidRPr="00282AC9">
        <w:rPr>
          <w:rFonts w:ascii="Simplified Arabic" w:hAnsi="Simplified Arabic" w:hint="cs"/>
          <w:sz w:val="27"/>
          <w:rtl/>
          <w:lang w:bidi="ar-LB"/>
        </w:rPr>
        <w:t>را</w:t>
      </w:r>
      <w:r w:rsidR="00BA3D0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إضافيّا</w:t>
      </w:r>
      <w:r w:rsidR="00BA3D0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b/>
          <w:bCs/>
          <w:sz w:val="27"/>
          <w:rtl/>
          <w:lang w:bidi="ar-LB"/>
        </w:rPr>
        <w:t>وثالثا</w:t>
      </w:r>
      <w:r w:rsidR="00BA3D0F" w:rsidRPr="00282AC9">
        <w:rPr>
          <w:rFonts w:ascii="Simplified Arabic" w:hAnsi="Simplified Arabic" w:hint="cs"/>
          <w:b/>
          <w:bCs/>
          <w:sz w:val="27"/>
          <w:rtl/>
          <w:lang w:bidi="ar-LB"/>
        </w:rPr>
        <w:t>ً</w:t>
      </w:r>
      <w:r w:rsidR="00BA3D0F"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إمكان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حمله</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على</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الجواز</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مقابل</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عدم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الجواز</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فتأمّ</w:t>
      </w:r>
      <w:r w:rsidR="009E7915" w:rsidRPr="00282AC9">
        <w:rPr>
          <w:rFonts w:ascii="Simplified Arabic" w:hAnsi="Simplified Arabic" w:hint="cs"/>
          <w:sz w:val="27"/>
          <w:rtl/>
          <w:lang w:bidi="ar-LB"/>
        </w:rPr>
        <w:t>َ</w:t>
      </w:r>
      <w:r w:rsidRPr="00282AC9">
        <w:rPr>
          <w:rFonts w:ascii="Simplified Arabic" w:hAnsi="Simplified Arabic" w:hint="cs"/>
          <w:sz w:val="27"/>
          <w:rtl/>
          <w:lang w:bidi="ar-LB"/>
        </w:rPr>
        <w:t>ل</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فيكون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المعنى</w:t>
      </w:r>
      <w:r w:rsidRPr="00282AC9">
        <w:rPr>
          <w:rFonts w:ascii="Simplified Arabic" w:hAnsi="Simplified Arabic"/>
          <w:sz w:val="27"/>
          <w:rtl/>
          <w:lang w:bidi="ar-LB"/>
        </w:rPr>
        <w:t xml:space="preserve"> </w:t>
      </w:r>
      <w:r w:rsidR="009E7915" w:rsidRPr="00282AC9">
        <w:rPr>
          <w:rFonts w:ascii="Simplified Arabic" w:hAnsi="Simplified Arabic" w:hint="cs"/>
          <w:sz w:val="27"/>
          <w:rtl/>
          <w:lang w:bidi="ar-LB"/>
        </w:rPr>
        <w:t>أ</w:t>
      </w:r>
      <w:r w:rsidRPr="00282AC9">
        <w:rPr>
          <w:rFonts w:ascii="Simplified Arabic" w:hAnsi="Simplified Arabic" w:hint="cs"/>
          <w:sz w:val="27"/>
          <w:rtl/>
          <w:lang w:bidi="ar-LB"/>
        </w:rPr>
        <w:t>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الإسراف</w:t>
      </w:r>
      <w:r w:rsidRPr="00282AC9">
        <w:rPr>
          <w:rFonts w:ascii="Simplified Arabic" w:hAnsi="Simplified Arabic"/>
          <w:sz w:val="27"/>
          <w:rtl/>
          <w:lang w:bidi="ar-LB"/>
        </w:rPr>
        <w:t xml:space="preserve"> </w:t>
      </w:r>
      <w:r w:rsidRPr="00282AC9">
        <w:rPr>
          <w:rFonts w:ascii="Simplified Arabic" w:hAnsi="Simplified Arabic" w:hint="cs"/>
          <w:sz w:val="27"/>
          <w:rtl/>
          <w:lang w:bidi="ar-LB"/>
        </w:rPr>
        <w:t>حرام</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كلّ</w:t>
      </w:r>
      <w:r w:rsidRPr="00282AC9">
        <w:rPr>
          <w:rFonts w:ascii="Simplified Arabic" w:hAnsi="Simplified Arabic"/>
          <w:sz w:val="27"/>
          <w:rtl/>
          <w:lang w:bidi="ar-LB"/>
        </w:rPr>
        <w:t xml:space="preserve"> </w:t>
      </w:r>
      <w:r w:rsidRPr="00282AC9">
        <w:rPr>
          <w:rFonts w:ascii="Simplified Arabic" w:hAnsi="Simplified Arabic" w:hint="cs"/>
          <w:sz w:val="27"/>
          <w:rtl/>
          <w:lang w:bidi="ar-LB"/>
        </w:rPr>
        <w:t>شيء</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w:t>
      </w:r>
      <w:r w:rsidR="00EE6DBA" w:rsidRPr="00282AC9">
        <w:rPr>
          <w:rFonts w:ascii="Simplified Arabic" w:hAnsi="Simplified Arabic" w:hint="cs"/>
          <w:sz w:val="27"/>
          <w:rtl/>
          <w:lang w:bidi="ar-LB"/>
        </w:rPr>
        <w:t>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في</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النكاح</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فلا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حرمة</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ومن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المعلوم</w:t>
      </w:r>
      <w:r w:rsidRPr="00282AC9">
        <w:rPr>
          <w:rFonts w:ascii="Simplified Arabic" w:hAnsi="Simplified Arabic"/>
          <w:sz w:val="27"/>
          <w:rtl/>
          <w:lang w:bidi="ar-LB"/>
        </w:rPr>
        <w:t xml:space="preserve"> </w:t>
      </w:r>
      <w:r w:rsidR="009E7915" w:rsidRPr="00282AC9">
        <w:rPr>
          <w:rFonts w:ascii="Simplified Arabic" w:hAnsi="Simplified Arabic" w:hint="cs"/>
          <w:sz w:val="27"/>
          <w:rtl/>
          <w:lang w:bidi="ar-LB"/>
        </w:rPr>
        <w:t>أ</w:t>
      </w:r>
      <w:r w:rsidRPr="00282AC9">
        <w:rPr>
          <w:rFonts w:ascii="Simplified Arabic" w:hAnsi="Simplified Arabic" w:hint="cs"/>
          <w:sz w:val="27"/>
          <w:rtl/>
          <w:lang w:bidi="ar-LB"/>
        </w:rPr>
        <w:t>نّ</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عدم</w:t>
      </w:r>
      <w:r w:rsidRPr="00282AC9">
        <w:rPr>
          <w:rFonts w:ascii="Simplified Arabic" w:hAnsi="Simplified Arabic"/>
          <w:sz w:val="27"/>
          <w:rtl/>
          <w:lang w:bidi="ar-LB"/>
        </w:rPr>
        <w:t xml:space="preserve"> </w:t>
      </w:r>
      <w:r w:rsidRPr="00282AC9">
        <w:rPr>
          <w:rFonts w:ascii="Simplified Arabic" w:hAnsi="Simplified Arabic" w:hint="cs"/>
          <w:sz w:val="27"/>
          <w:rtl/>
          <w:lang w:bidi="ar-LB"/>
        </w:rPr>
        <w:t>الحرمة</w:t>
      </w:r>
      <w:r w:rsidRPr="00282AC9">
        <w:rPr>
          <w:rFonts w:ascii="Simplified Arabic" w:hAnsi="Simplified Arabic"/>
          <w:sz w:val="27"/>
          <w:rtl/>
          <w:lang w:bidi="ar-LB"/>
        </w:rPr>
        <w:t xml:space="preserve"> </w:t>
      </w:r>
      <w:r w:rsidRPr="00282AC9">
        <w:rPr>
          <w:rFonts w:ascii="Simplified Arabic" w:hAnsi="Simplified Arabic" w:hint="cs"/>
          <w:sz w:val="27"/>
          <w:rtl/>
          <w:lang w:bidi="ar-LB"/>
        </w:rPr>
        <w:t>غير</w:t>
      </w:r>
      <w:r w:rsidRPr="00282AC9">
        <w:rPr>
          <w:rFonts w:ascii="Simplified Arabic" w:hAnsi="Simplified Arabic"/>
          <w:sz w:val="27"/>
          <w:rtl/>
          <w:lang w:bidi="ar-LB"/>
        </w:rPr>
        <w:t xml:space="preserve"> </w:t>
      </w:r>
      <w:r w:rsidRPr="00282AC9">
        <w:rPr>
          <w:rFonts w:ascii="Simplified Arabic" w:hAnsi="Simplified Arabic" w:hint="cs"/>
          <w:sz w:val="27"/>
          <w:rtl/>
          <w:lang w:bidi="ar-LB"/>
        </w:rPr>
        <w:t>ملازمة</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للاستحباب</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عقلا</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شرعا</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ولا</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عادة</w:t>
      </w:r>
      <w:r w:rsidR="009E7915" w:rsidRPr="00282AC9">
        <w:rPr>
          <w:rFonts w:ascii="Simplified Arabic" w:hAnsi="Simplified Arabic" w:hint="cs"/>
          <w:sz w:val="27"/>
          <w:rtl/>
          <w:lang w:bidi="ar-LB"/>
        </w:rPr>
        <w:t>ً</w:t>
      </w:r>
      <w:r w:rsidRPr="00282AC9">
        <w:rPr>
          <w:rFonts w:hint="eastAsia"/>
          <w:sz w:val="24"/>
          <w:szCs w:val="24"/>
          <w:rtl/>
        </w:rPr>
        <w:t>»</w:t>
      </w:r>
      <w:r w:rsidRPr="00282AC9">
        <w:rPr>
          <w:rFonts w:ascii="Simplified Arabic" w:hAnsi="Simplified Arabic"/>
          <w:sz w:val="27"/>
          <w:vertAlign w:val="superscript"/>
          <w:rtl/>
          <w:lang w:bidi="ar-LB"/>
        </w:rPr>
        <w:t>(</w:t>
      </w:r>
      <w:r w:rsidRPr="00282AC9">
        <w:rPr>
          <w:rFonts w:ascii="Simplified Arabic" w:hAnsi="Simplified Arabic"/>
          <w:sz w:val="27"/>
          <w:vertAlign w:val="superscript"/>
          <w:rtl/>
          <w:lang w:bidi="ar-LB"/>
        </w:rPr>
        <w:endnoteReference w:id="836"/>
      </w:r>
      <w:r w:rsidRPr="00282AC9">
        <w:rPr>
          <w:rFonts w:ascii="Simplified Arabic" w:hAnsi="Simplified Arabic"/>
          <w:sz w:val="27"/>
          <w:vertAlign w:val="superscript"/>
          <w:rtl/>
          <w:lang w:bidi="ar-LB"/>
        </w:rPr>
        <w:t>)</w:t>
      </w:r>
      <w:r w:rsidRPr="00282AC9">
        <w:rPr>
          <w:rFonts w:ascii="Simplified Arabic" w:hAnsi="Simplified Arabic"/>
          <w:sz w:val="27"/>
          <w:rtl/>
          <w:lang w:bidi="ar-LB"/>
        </w:rPr>
        <w:t>.</w:t>
      </w:r>
    </w:p>
    <w:p w:rsidR="009E7915" w:rsidRPr="00282AC9" w:rsidRDefault="009E7915" w:rsidP="0091196D">
      <w:pPr>
        <w:rPr>
          <w:rFonts w:ascii="Simplified Arabic" w:hAnsi="Simplified Arabic"/>
          <w:sz w:val="27"/>
          <w:rtl/>
          <w:lang w:bidi="ar-LB"/>
        </w:rPr>
      </w:pPr>
      <w:r w:rsidRPr="00282AC9">
        <w:rPr>
          <w:rFonts w:ascii="Simplified Arabic" w:hAnsi="Simplified Arabic" w:hint="cs"/>
          <w:b/>
          <w:bCs/>
          <w:sz w:val="27"/>
          <w:rtl/>
          <w:lang w:bidi="ar-LB"/>
        </w:rPr>
        <w:t>و</w:t>
      </w:r>
      <w:r w:rsidRPr="00282AC9">
        <w:rPr>
          <w:rFonts w:ascii="Simplified Arabic" w:hAnsi="Simplified Arabic"/>
          <w:b/>
          <w:bCs/>
          <w:sz w:val="27"/>
          <w:rtl/>
          <w:lang w:bidi="ar-LB"/>
        </w:rPr>
        <w:t>الجواب</w:t>
      </w:r>
      <w:r w:rsidRPr="00282AC9">
        <w:rPr>
          <w:rFonts w:ascii="Simplified Arabic" w:hAnsi="Simplified Arabic"/>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hint="cs"/>
          <w:b/>
          <w:bCs/>
          <w:sz w:val="27"/>
          <w:rtl/>
          <w:lang w:bidi="ar-LB"/>
        </w:rPr>
        <w:t>أو</w:t>
      </w:r>
      <w:r w:rsidR="009E7915" w:rsidRPr="00282AC9">
        <w:rPr>
          <w:rFonts w:ascii="Simplified Arabic" w:hAnsi="Simplified Arabic" w:hint="cs"/>
          <w:b/>
          <w:bCs/>
          <w:sz w:val="27"/>
          <w:rtl/>
          <w:lang w:bidi="ar-LB"/>
        </w:rPr>
        <w:t>ّ</w:t>
      </w:r>
      <w:r w:rsidRPr="00282AC9">
        <w:rPr>
          <w:rFonts w:ascii="Simplified Arabic" w:hAnsi="Simplified Arabic" w:hint="cs"/>
          <w:b/>
          <w:bCs/>
          <w:sz w:val="27"/>
          <w:rtl/>
          <w:lang w:bidi="ar-LB"/>
        </w:rPr>
        <w:t>لاً</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إن</w:t>
      </w:r>
      <w:r w:rsidRPr="00282AC9">
        <w:rPr>
          <w:rFonts w:ascii="Simplified Arabic" w:hAnsi="Simplified Arabic"/>
          <w:sz w:val="27"/>
          <w:rtl/>
          <w:lang w:bidi="ar-LB"/>
        </w:rPr>
        <w:t xml:space="preserve"> سند الرواية</w:t>
      </w:r>
      <w:r w:rsidRPr="00282AC9">
        <w:rPr>
          <w:rFonts w:ascii="Simplified Arabic" w:hAnsi="Simplified Arabic" w:hint="cs"/>
          <w:sz w:val="27"/>
          <w:rtl/>
          <w:lang w:bidi="ar-LB"/>
        </w:rPr>
        <w:t xml:space="preserve"> ضعيف</w:t>
      </w:r>
      <w:r w:rsidR="009E7915" w:rsidRPr="00282AC9">
        <w:rPr>
          <w:rFonts w:ascii="Simplified Arabic" w:hAnsi="Simplified Arabic" w:hint="cs"/>
          <w:sz w:val="27"/>
          <w:rtl/>
          <w:lang w:bidi="ar-LB"/>
        </w:rPr>
        <w:t xml:space="preserve">ٌ؛ </w:t>
      </w:r>
      <w:r w:rsidRPr="00282AC9">
        <w:rPr>
          <w:rFonts w:ascii="Simplified Arabic" w:hAnsi="Simplified Arabic"/>
          <w:sz w:val="27"/>
          <w:rtl/>
          <w:lang w:bidi="ar-LB"/>
        </w:rPr>
        <w:t>بسبب إرسالها</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إلا</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على مبنى م</w:t>
      </w:r>
      <w:r w:rsidR="009E7915" w:rsidRPr="00282AC9">
        <w:rPr>
          <w:rFonts w:ascii="Simplified Arabic" w:hAnsi="Simplified Arabic" w:hint="cs"/>
          <w:sz w:val="27"/>
          <w:rtl/>
          <w:lang w:bidi="ar-LB"/>
        </w:rPr>
        <w:t>َ</w:t>
      </w:r>
      <w:r w:rsidRPr="00282AC9">
        <w:rPr>
          <w:rFonts w:ascii="Simplified Arabic" w:hAnsi="Simplified Arabic"/>
          <w:sz w:val="27"/>
          <w:rtl/>
          <w:lang w:bidi="ar-LB"/>
        </w:rPr>
        <w:t>ن</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صح</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ح </w:t>
      </w:r>
      <w:r w:rsidRPr="00282AC9">
        <w:rPr>
          <w:rFonts w:ascii="Simplified Arabic" w:hAnsi="Simplified Arabic" w:hint="cs"/>
          <w:sz w:val="27"/>
          <w:rtl/>
          <w:lang w:bidi="ar-LB"/>
        </w:rPr>
        <w:t>ال</w:t>
      </w:r>
      <w:r w:rsidRPr="00282AC9">
        <w:rPr>
          <w:rFonts w:ascii="Simplified Arabic" w:hAnsi="Simplified Arabic"/>
          <w:sz w:val="27"/>
          <w:rtl/>
          <w:lang w:bidi="ar-LB"/>
        </w:rPr>
        <w:t>روايات الواردة في تفسير العياشي.</w:t>
      </w:r>
    </w:p>
    <w:p w:rsidR="00B4645B" w:rsidRPr="00282AC9" w:rsidRDefault="00B4645B" w:rsidP="0091196D">
      <w:pPr>
        <w:rPr>
          <w:rFonts w:ascii="Simplified Arabic" w:hAnsi="Simplified Arabic"/>
          <w:sz w:val="27"/>
          <w:rtl/>
          <w:lang w:bidi="ar-LB"/>
        </w:rPr>
      </w:pPr>
      <w:r w:rsidRPr="00282AC9">
        <w:rPr>
          <w:rFonts w:ascii="Simplified Arabic" w:hAnsi="Simplified Arabic" w:hint="cs"/>
          <w:b/>
          <w:bCs/>
          <w:sz w:val="27"/>
          <w:rtl/>
          <w:lang w:bidi="ar-LB"/>
        </w:rPr>
        <w:t>ثانياً</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حيث لا قرينة على ذلك يبقى الح</w:t>
      </w:r>
      <w:r w:rsidR="009E7915" w:rsidRPr="00282AC9">
        <w:rPr>
          <w:rFonts w:ascii="Simplified Arabic" w:hAnsi="Simplified Arabic" w:hint="cs"/>
          <w:sz w:val="27"/>
          <w:rtl/>
          <w:lang w:bidi="ar-LB"/>
        </w:rPr>
        <w:t>َ</w:t>
      </w:r>
      <w:r w:rsidRPr="00282AC9">
        <w:rPr>
          <w:rFonts w:ascii="Simplified Arabic" w:hAnsi="Simplified Arabic"/>
          <w:sz w:val="27"/>
          <w:rtl/>
          <w:lang w:bidi="ar-LB"/>
        </w:rPr>
        <w:t>ص</w:t>
      </w:r>
      <w:r w:rsidR="009E7915" w:rsidRPr="00282AC9">
        <w:rPr>
          <w:rFonts w:ascii="Simplified Arabic" w:hAnsi="Simplified Arabic" w:hint="cs"/>
          <w:sz w:val="27"/>
          <w:rtl/>
          <w:lang w:bidi="ar-LB"/>
        </w:rPr>
        <w:t>ْ</w:t>
      </w:r>
      <w:r w:rsidRPr="00282AC9">
        <w:rPr>
          <w:rFonts w:ascii="Simplified Arabic" w:hAnsi="Simplified Arabic"/>
          <w:sz w:val="27"/>
          <w:rtl/>
          <w:lang w:bidi="ar-LB"/>
        </w:rPr>
        <w:t>ر حقيقي</w:t>
      </w:r>
      <w:r w:rsidR="009E7915" w:rsidRPr="00282AC9">
        <w:rPr>
          <w:rFonts w:ascii="Simplified Arabic" w:hAnsi="Simplified Arabic" w:hint="cs"/>
          <w:sz w:val="27"/>
          <w:rtl/>
          <w:lang w:bidi="ar-LB"/>
        </w:rPr>
        <w:t>ّ</w:t>
      </w:r>
      <w:r w:rsidRPr="00282AC9">
        <w:rPr>
          <w:rFonts w:ascii="Simplified Arabic" w:hAnsi="Simplified Arabic"/>
          <w:sz w:val="27"/>
          <w:rtl/>
          <w:lang w:bidi="ar-LB"/>
        </w:rPr>
        <w:t>اً</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لأن الأصل فيه كونه حقيقي</w:t>
      </w:r>
      <w:r w:rsidR="009E7915" w:rsidRPr="00282AC9">
        <w:rPr>
          <w:rFonts w:ascii="Simplified Arabic" w:hAnsi="Simplified Arabic" w:hint="cs"/>
          <w:sz w:val="27"/>
          <w:rtl/>
          <w:lang w:bidi="ar-LB"/>
        </w:rPr>
        <w:t>ّ</w:t>
      </w:r>
      <w:r w:rsidRPr="00282AC9">
        <w:rPr>
          <w:rFonts w:ascii="Simplified Arabic" w:hAnsi="Simplified Arabic"/>
          <w:sz w:val="27"/>
          <w:rtl/>
          <w:lang w:bidi="ar-LB"/>
        </w:rPr>
        <w:t>اً حين الشك</w:t>
      </w:r>
      <w:r w:rsidR="009E7915" w:rsidRPr="00282AC9">
        <w:rPr>
          <w:rFonts w:ascii="Simplified Arabic" w:hAnsi="Simplified Arabic" w:hint="cs"/>
          <w:sz w:val="27"/>
          <w:rtl/>
          <w:lang w:bidi="ar-LB"/>
        </w:rPr>
        <w:t>ّ</w:t>
      </w:r>
      <w:r w:rsidRPr="00282AC9">
        <w:rPr>
          <w:rFonts w:ascii="Simplified Arabic" w:hAnsi="Simplified Arabic"/>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lastRenderedPageBreak/>
        <w:t xml:space="preserve"> </w:t>
      </w:r>
      <w:r w:rsidRPr="00282AC9">
        <w:rPr>
          <w:rFonts w:ascii="Simplified Arabic" w:hAnsi="Simplified Arabic" w:hint="cs"/>
          <w:b/>
          <w:bCs/>
          <w:sz w:val="27"/>
          <w:rtl/>
          <w:lang w:bidi="ar-LB"/>
        </w:rPr>
        <w:t>ثالثاً</w:t>
      </w:r>
      <w:r w:rsidR="009E7915" w:rsidRPr="00282AC9">
        <w:rPr>
          <w:rFonts w:ascii="Simplified Arabic" w:hAnsi="Simplified Arabic" w:hint="cs"/>
          <w:sz w:val="27"/>
          <w:rtl/>
          <w:lang w:bidi="ar-LB"/>
        </w:rPr>
        <w:t>:</w:t>
      </w:r>
      <w:r w:rsidRPr="00282AC9">
        <w:rPr>
          <w:rFonts w:ascii="Simplified Arabic" w:hAnsi="Simplified Arabic" w:hint="cs"/>
          <w:sz w:val="27"/>
          <w:rtl/>
          <w:lang w:bidi="ar-LB"/>
        </w:rPr>
        <w:t xml:space="preserve"> إ</w:t>
      </w:r>
      <w:r w:rsidRPr="00282AC9">
        <w:rPr>
          <w:rFonts w:ascii="Simplified Arabic" w:hAnsi="Simplified Arabic"/>
          <w:sz w:val="27"/>
          <w:rtl/>
          <w:lang w:bidi="ar-LB"/>
        </w:rPr>
        <w:t xml:space="preserve">نّ </w:t>
      </w:r>
      <w:r w:rsidRPr="00282AC9">
        <w:rPr>
          <w:rFonts w:ascii="Simplified Arabic" w:hAnsi="Simplified Arabic" w:hint="cs"/>
          <w:sz w:val="27"/>
          <w:rtl/>
          <w:lang w:bidi="ar-LB"/>
        </w:rPr>
        <w:t>ال</w:t>
      </w:r>
      <w:r w:rsidRPr="00282AC9">
        <w:rPr>
          <w:rFonts w:ascii="Simplified Arabic" w:hAnsi="Simplified Arabic"/>
          <w:sz w:val="27"/>
          <w:rtl/>
          <w:lang w:bidi="ar-LB"/>
        </w:rPr>
        <w:t xml:space="preserve">تحليل </w:t>
      </w:r>
      <w:r w:rsidRPr="00282AC9">
        <w:rPr>
          <w:rFonts w:ascii="Simplified Arabic" w:hAnsi="Simplified Arabic" w:hint="cs"/>
          <w:sz w:val="27"/>
          <w:rtl/>
          <w:lang w:bidi="ar-LB"/>
        </w:rPr>
        <w:t>الذي قد</w:t>
      </w:r>
      <w:r w:rsidR="009E7915" w:rsidRPr="00282AC9">
        <w:rPr>
          <w:rFonts w:ascii="Simplified Arabic" w:hAnsi="Simplified Arabic" w:hint="cs"/>
          <w:sz w:val="27"/>
          <w:rtl/>
          <w:lang w:bidi="ar-LB"/>
        </w:rPr>
        <w:t>َّ</w:t>
      </w:r>
      <w:r w:rsidRPr="00282AC9">
        <w:rPr>
          <w:rFonts w:ascii="Simplified Arabic" w:hAnsi="Simplified Arabic" w:hint="cs"/>
          <w:sz w:val="27"/>
          <w:rtl/>
          <w:lang w:bidi="ar-LB"/>
        </w:rPr>
        <w:t xml:space="preserve">مه </w:t>
      </w:r>
      <w:r w:rsidRPr="00282AC9">
        <w:rPr>
          <w:rFonts w:ascii="Simplified Arabic" w:hAnsi="Simplified Arabic"/>
          <w:sz w:val="27"/>
          <w:rtl/>
          <w:lang w:bidi="ar-LB"/>
        </w:rPr>
        <w:t>الشيخ ال</w:t>
      </w:r>
      <w:r w:rsidR="009E7915" w:rsidRPr="00282AC9">
        <w:rPr>
          <w:rFonts w:ascii="Simplified Arabic" w:hAnsi="Simplified Arabic" w:hint="cs"/>
          <w:sz w:val="27"/>
          <w:rtl/>
          <w:lang w:bidi="ar-LB"/>
        </w:rPr>
        <w:t>إ</w:t>
      </w:r>
      <w:r w:rsidRPr="00282AC9">
        <w:rPr>
          <w:rFonts w:ascii="Simplified Arabic" w:hAnsi="Simplified Arabic"/>
          <w:sz w:val="27"/>
          <w:rtl/>
          <w:lang w:bidi="ar-LB"/>
        </w:rPr>
        <w:t>شتهاردي غير ع</w:t>
      </w:r>
      <w:r w:rsidR="009E7915" w:rsidRPr="00282AC9">
        <w:rPr>
          <w:rFonts w:ascii="Simplified Arabic" w:hAnsi="Simplified Arabic" w:hint="cs"/>
          <w:sz w:val="27"/>
          <w:rtl/>
          <w:lang w:bidi="ar-LB"/>
        </w:rPr>
        <w:t>ُ</w:t>
      </w:r>
      <w:r w:rsidRPr="00282AC9">
        <w:rPr>
          <w:rFonts w:ascii="Simplified Arabic" w:hAnsi="Simplified Arabic"/>
          <w:sz w:val="27"/>
          <w:rtl/>
          <w:lang w:bidi="ar-LB"/>
        </w:rPr>
        <w:t>ر</w:t>
      </w:r>
      <w:r w:rsidR="009E7915" w:rsidRPr="00282AC9">
        <w:rPr>
          <w:rFonts w:ascii="Simplified Arabic" w:hAnsi="Simplified Arabic" w:hint="cs"/>
          <w:sz w:val="27"/>
          <w:rtl/>
          <w:lang w:bidi="ar-LB"/>
        </w:rPr>
        <w:t>ْ</w:t>
      </w:r>
      <w:r w:rsidRPr="00282AC9">
        <w:rPr>
          <w:rFonts w:ascii="Simplified Arabic" w:hAnsi="Simplified Arabic"/>
          <w:sz w:val="27"/>
          <w:rtl/>
          <w:lang w:bidi="ar-LB"/>
        </w:rPr>
        <w:t>في</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بل هو د</w:t>
      </w:r>
      <w:r w:rsidR="009E7915" w:rsidRPr="00282AC9">
        <w:rPr>
          <w:rFonts w:ascii="Simplified Arabic" w:hAnsi="Simplified Arabic" w:hint="cs"/>
          <w:sz w:val="27"/>
          <w:rtl/>
          <w:lang w:bidi="ar-LB"/>
        </w:rPr>
        <w:t>ِ</w:t>
      </w:r>
      <w:r w:rsidRPr="00282AC9">
        <w:rPr>
          <w:rFonts w:ascii="Simplified Arabic" w:hAnsi="Simplified Arabic"/>
          <w:sz w:val="27"/>
          <w:rtl/>
          <w:lang w:bidi="ar-LB"/>
        </w:rPr>
        <w:t>قّ</w:t>
      </w:r>
      <w:r w:rsidR="009E7915" w:rsidRPr="00282AC9">
        <w:rPr>
          <w:rFonts w:ascii="Simplified Arabic" w:hAnsi="Simplified Arabic" w:hint="cs"/>
          <w:sz w:val="27"/>
          <w:rtl/>
          <w:lang w:bidi="ar-LB"/>
        </w:rPr>
        <w:t>ِ</w:t>
      </w:r>
      <w:r w:rsidRPr="00282AC9">
        <w:rPr>
          <w:rFonts w:ascii="Simplified Arabic" w:hAnsi="Simplified Arabic"/>
          <w:sz w:val="27"/>
          <w:rtl/>
          <w:lang w:bidi="ar-LB"/>
        </w:rPr>
        <w:t>ي</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فمثلا</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عندما نقول</w:t>
      </w:r>
      <w:r w:rsidRPr="00282AC9">
        <w:rPr>
          <w:rFonts w:ascii="Simplified Arabic" w:hAnsi="Simplified Arabic"/>
          <w:sz w:val="27"/>
          <w:rtl/>
          <w:lang w:bidi="ar-LB"/>
        </w:rPr>
        <w:t xml:space="preserve">: لا </w:t>
      </w:r>
      <w:r w:rsidR="009E7915" w:rsidRPr="00282AC9">
        <w:rPr>
          <w:rFonts w:ascii="Simplified Arabic" w:hAnsi="Simplified Arabic" w:hint="cs"/>
          <w:sz w:val="27"/>
          <w:rtl/>
          <w:lang w:bidi="ar-LB"/>
        </w:rPr>
        <w:t>إ</w:t>
      </w:r>
      <w:r w:rsidRPr="00282AC9">
        <w:rPr>
          <w:rFonts w:ascii="Simplified Arabic" w:hAnsi="Simplified Arabic"/>
          <w:sz w:val="27"/>
          <w:rtl/>
          <w:lang w:bidi="ar-LB"/>
        </w:rPr>
        <w:t xml:space="preserve">سراف في </w:t>
      </w:r>
      <w:r w:rsidR="009E7915" w:rsidRPr="00282AC9">
        <w:rPr>
          <w:rFonts w:ascii="Simplified Arabic" w:hAnsi="Simplified Arabic" w:hint="cs"/>
          <w:sz w:val="27"/>
          <w:rtl/>
          <w:lang w:bidi="ar-LB"/>
        </w:rPr>
        <w:t>إ</w:t>
      </w:r>
      <w:r w:rsidRPr="00282AC9">
        <w:rPr>
          <w:rFonts w:ascii="Simplified Arabic" w:hAnsi="Simplified Arabic"/>
          <w:sz w:val="27"/>
          <w:rtl/>
          <w:lang w:bidi="ar-LB"/>
        </w:rPr>
        <w:t>طعام الضيف</w:t>
      </w:r>
      <w:r w:rsidR="009E7915" w:rsidRPr="00282AC9">
        <w:rPr>
          <w:rFonts w:ascii="Simplified Arabic" w:hAnsi="Simplified Arabic" w:hint="cs"/>
          <w:sz w:val="27"/>
          <w:rtl/>
          <w:lang w:bidi="ar-LB"/>
        </w:rPr>
        <w:t xml:space="preserve"> يفهم </w:t>
      </w:r>
      <w:r w:rsidRPr="00282AC9">
        <w:rPr>
          <w:rFonts w:ascii="Simplified Arabic" w:hAnsi="Simplified Arabic"/>
          <w:sz w:val="27"/>
          <w:rtl/>
          <w:lang w:bidi="ar-LB"/>
        </w:rPr>
        <w:t>الع</w:t>
      </w:r>
      <w:r w:rsidR="009E7915" w:rsidRPr="00282AC9">
        <w:rPr>
          <w:rFonts w:ascii="Simplified Arabic" w:hAnsi="Simplified Arabic" w:hint="cs"/>
          <w:sz w:val="27"/>
          <w:rtl/>
          <w:lang w:bidi="ar-LB"/>
        </w:rPr>
        <w:t>ُ</w:t>
      </w:r>
      <w:r w:rsidRPr="00282AC9">
        <w:rPr>
          <w:rFonts w:ascii="Simplified Arabic" w:hAnsi="Simplified Arabic"/>
          <w:sz w:val="27"/>
          <w:rtl/>
          <w:lang w:bidi="ar-LB"/>
        </w:rPr>
        <w:t>ر</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ف </w:t>
      </w:r>
      <w:r w:rsidRPr="00282AC9">
        <w:rPr>
          <w:rFonts w:ascii="Simplified Arabic" w:hAnsi="Simplified Arabic" w:hint="cs"/>
          <w:sz w:val="27"/>
          <w:rtl/>
          <w:lang w:bidi="ar-LB"/>
        </w:rPr>
        <w:t xml:space="preserve">حينها </w:t>
      </w:r>
      <w:r w:rsidR="009E7915" w:rsidRPr="00282AC9">
        <w:rPr>
          <w:rFonts w:ascii="Simplified Arabic" w:hAnsi="Simplified Arabic" w:hint="cs"/>
          <w:sz w:val="27"/>
          <w:rtl/>
          <w:lang w:bidi="ar-LB"/>
        </w:rPr>
        <w:t>أ</w:t>
      </w:r>
      <w:r w:rsidRPr="00282AC9">
        <w:rPr>
          <w:rFonts w:ascii="Simplified Arabic" w:hAnsi="Simplified Arabic"/>
          <w:sz w:val="27"/>
          <w:rtl/>
          <w:lang w:bidi="ar-LB"/>
        </w:rPr>
        <w:t>ن</w:t>
      </w:r>
      <w:r w:rsidRPr="00282AC9">
        <w:rPr>
          <w:rFonts w:ascii="Simplified Arabic" w:hAnsi="Simplified Arabic" w:hint="cs"/>
          <w:sz w:val="27"/>
          <w:rtl/>
          <w:lang w:bidi="ar-LB"/>
        </w:rPr>
        <w:t>ن</w:t>
      </w:r>
      <w:r w:rsidR="009E7915" w:rsidRPr="00282AC9">
        <w:rPr>
          <w:rFonts w:ascii="Simplified Arabic" w:hAnsi="Simplified Arabic" w:hint="cs"/>
          <w:sz w:val="27"/>
          <w:rtl/>
          <w:lang w:bidi="ar-LB"/>
        </w:rPr>
        <w:t>ي</w:t>
      </w:r>
      <w:r w:rsidRPr="00282AC9">
        <w:rPr>
          <w:rFonts w:ascii="Simplified Arabic" w:hAnsi="Simplified Arabic"/>
          <w:sz w:val="27"/>
          <w:rtl/>
          <w:lang w:bidi="ar-LB"/>
        </w:rPr>
        <w:t xml:space="preserve"> مهتمّ</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ب</w:t>
      </w:r>
      <w:r w:rsidR="009E7915" w:rsidRPr="00282AC9">
        <w:rPr>
          <w:rFonts w:ascii="Simplified Arabic" w:hAnsi="Simplified Arabic" w:hint="cs"/>
          <w:sz w:val="27"/>
          <w:rtl/>
          <w:lang w:bidi="ar-LB"/>
        </w:rPr>
        <w:t>إ</w:t>
      </w:r>
      <w:r w:rsidRPr="00282AC9">
        <w:rPr>
          <w:rFonts w:ascii="Simplified Arabic" w:hAnsi="Simplified Arabic"/>
          <w:sz w:val="27"/>
          <w:rtl/>
          <w:lang w:bidi="ar-LB"/>
        </w:rPr>
        <w:t>طعام الضيف اهتماما</w:t>
      </w:r>
      <w:r w:rsidRPr="00282AC9">
        <w:rPr>
          <w:rFonts w:ascii="Simplified Arabic" w:hAnsi="Simplified Arabic" w:hint="cs"/>
          <w:sz w:val="27"/>
          <w:rtl/>
          <w:lang w:bidi="ar-LB"/>
        </w:rPr>
        <w:t>ً</w:t>
      </w:r>
      <w:r w:rsidRPr="00282AC9">
        <w:rPr>
          <w:rFonts w:ascii="Simplified Arabic" w:hAnsi="Simplified Arabic"/>
          <w:sz w:val="27"/>
          <w:rtl/>
          <w:lang w:bidi="ar-LB"/>
        </w:rPr>
        <w:t xml:space="preserve"> كبيرا</w:t>
      </w:r>
      <w:r w:rsidRPr="00282AC9">
        <w:rPr>
          <w:rFonts w:ascii="Simplified Arabic" w:hAnsi="Simplified Arabic" w:hint="cs"/>
          <w:sz w:val="27"/>
          <w:rtl/>
          <w:lang w:bidi="ar-LB"/>
        </w:rPr>
        <w:t>ً</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وأحثّ عليه</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لدرجة </w:t>
      </w:r>
      <w:r w:rsidR="009E7915" w:rsidRPr="00282AC9">
        <w:rPr>
          <w:rFonts w:ascii="Simplified Arabic" w:hAnsi="Simplified Arabic" w:hint="cs"/>
          <w:sz w:val="27"/>
          <w:rtl/>
          <w:lang w:bidi="ar-LB"/>
        </w:rPr>
        <w:t>أ</w:t>
      </w:r>
      <w:r w:rsidRPr="00282AC9">
        <w:rPr>
          <w:rFonts w:ascii="Simplified Arabic" w:hAnsi="Simplified Arabic"/>
          <w:sz w:val="27"/>
          <w:rtl/>
          <w:lang w:bidi="ar-LB"/>
        </w:rPr>
        <w:t xml:space="preserve">نّ ما </w:t>
      </w:r>
      <w:r w:rsidR="009E7915" w:rsidRPr="00282AC9">
        <w:rPr>
          <w:rFonts w:ascii="Simplified Arabic" w:hAnsi="Simplified Arabic" w:hint="cs"/>
          <w:sz w:val="27"/>
          <w:rtl/>
          <w:lang w:bidi="ar-LB"/>
        </w:rPr>
        <w:t>أ</w:t>
      </w:r>
      <w:r w:rsidRPr="00282AC9">
        <w:rPr>
          <w:rFonts w:ascii="Simplified Arabic" w:hAnsi="Simplified Arabic"/>
          <w:sz w:val="27"/>
          <w:rtl/>
          <w:lang w:bidi="ar-LB"/>
        </w:rPr>
        <w:t>حرّ</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مه </w:t>
      </w:r>
      <w:r w:rsidR="009E7915" w:rsidRPr="00282AC9">
        <w:rPr>
          <w:rFonts w:ascii="Simplified Arabic" w:hAnsi="Simplified Arabic" w:hint="cs"/>
          <w:sz w:val="27"/>
          <w:rtl/>
          <w:lang w:bidi="ar-LB"/>
        </w:rPr>
        <w:t xml:space="preserve">ـ </w:t>
      </w:r>
      <w:r w:rsidRPr="00282AC9">
        <w:rPr>
          <w:rFonts w:ascii="Simplified Arabic" w:hAnsi="Simplified Arabic"/>
          <w:sz w:val="27"/>
          <w:rtl/>
          <w:lang w:bidi="ar-LB"/>
        </w:rPr>
        <w:t>وهو ال</w:t>
      </w:r>
      <w:r w:rsidR="009E7915" w:rsidRPr="00282AC9">
        <w:rPr>
          <w:rFonts w:ascii="Simplified Arabic" w:hAnsi="Simplified Arabic" w:hint="cs"/>
          <w:sz w:val="27"/>
          <w:rtl/>
          <w:lang w:bidi="ar-LB"/>
        </w:rPr>
        <w:t>إ</w:t>
      </w:r>
      <w:r w:rsidRPr="00282AC9">
        <w:rPr>
          <w:rFonts w:ascii="Simplified Arabic" w:hAnsi="Simplified Arabic"/>
          <w:sz w:val="27"/>
          <w:rtl/>
          <w:lang w:bidi="ar-LB"/>
        </w:rPr>
        <w:t xml:space="preserve">سراف </w:t>
      </w:r>
      <w:r w:rsidR="009E7915" w:rsidRPr="00282AC9">
        <w:rPr>
          <w:rFonts w:ascii="Simplified Arabic" w:hAnsi="Simplified Arabic" w:hint="cs"/>
          <w:sz w:val="27"/>
          <w:rtl/>
          <w:lang w:bidi="ar-LB"/>
        </w:rPr>
        <w:t>ـ أ</w:t>
      </w:r>
      <w:r w:rsidRPr="00282AC9">
        <w:rPr>
          <w:rFonts w:ascii="Simplified Arabic" w:hAnsi="Simplified Arabic"/>
          <w:sz w:val="27"/>
          <w:rtl/>
          <w:lang w:bidi="ar-LB"/>
        </w:rPr>
        <w:t>راه معه حلالاً</w:t>
      </w:r>
      <w:r w:rsidR="00E03BF6" w:rsidRPr="00282AC9">
        <w:rPr>
          <w:rFonts w:ascii="Simplified Arabic" w:hAnsi="Simplified Arabic" w:hint="cs"/>
          <w:sz w:val="27"/>
          <w:rtl/>
          <w:lang w:bidi="ar-LB"/>
        </w:rPr>
        <w:t xml:space="preserve">. </w:t>
      </w:r>
      <w:r w:rsidRPr="00282AC9">
        <w:rPr>
          <w:rFonts w:ascii="Simplified Arabic" w:hAnsi="Simplified Arabic"/>
          <w:sz w:val="27"/>
          <w:rtl/>
          <w:lang w:bidi="ar-LB"/>
        </w:rPr>
        <w:t>وقد ورد مثل هذا التعبير في الط</w:t>
      </w:r>
      <w:r w:rsidR="009E7915" w:rsidRPr="00282AC9">
        <w:rPr>
          <w:rFonts w:ascii="Simplified Arabic" w:hAnsi="Simplified Arabic" w:hint="cs"/>
          <w:sz w:val="27"/>
          <w:rtl/>
          <w:lang w:bidi="ar-LB"/>
        </w:rPr>
        <w:t>ِّ</w:t>
      </w:r>
      <w:r w:rsidRPr="00282AC9">
        <w:rPr>
          <w:rFonts w:ascii="Simplified Arabic" w:hAnsi="Simplified Arabic"/>
          <w:sz w:val="27"/>
          <w:rtl/>
          <w:lang w:bidi="ar-LB"/>
        </w:rPr>
        <w:t>يب</w:t>
      </w:r>
      <w:r w:rsidR="009E7915"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sz w:val="24"/>
          <w:szCs w:val="24"/>
          <w:rtl/>
          <w:lang w:bidi="ar-LB"/>
        </w:rPr>
        <w:t>«</w:t>
      </w:r>
      <w:r w:rsidRPr="00282AC9">
        <w:rPr>
          <w:rFonts w:ascii="Simplified Arabic" w:hAnsi="Simplified Arabic"/>
          <w:sz w:val="27"/>
          <w:rtl/>
        </w:rPr>
        <w:t>لا إسراف في الط</w:t>
      </w:r>
      <w:r w:rsidR="009E7915" w:rsidRPr="00282AC9">
        <w:rPr>
          <w:rFonts w:ascii="Simplified Arabic" w:hAnsi="Simplified Arabic" w:hint="cs"/>
          <w:sz w:val="27"/>
          <w:rtl/>
        </w:rPr>
        <w:t>ِّ</w:t>
      </w:r>
      <w:r w:rsidRPr="00282AC9">
        <w:rPr>
          <w:rFonts w:ascii="Simplified Arabic" w:hAnsi="Simplified Arabic"/>
          <w:sz w:val="27"/>
          <w:rtl/>
        </w:rPr>
        <w:t>يب</w:t>
      </w:r>
      <w:r w:rsidRPr="00282AC9">
        <w:rPr>
          <w:rFonts w:hint="eastAsia"/>
          <w:sz w:val="24"/>
          <w:szCs w:val="24"/>
          <w:rtl/>
        </w:rPr>
        <w:t>»</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837"/>
      </w:r>
      <w:r w:rsidRPr="00282AC9">
        <w:rPr>
          <w:rFonts w:ascii="Simplified Arabic" w:hAnsi="Simplified Arabic"/>
          <w:sz w:val="27"/>
          <w:vertAlign w:val="superscript"/>
          <w:rtl/>
        </w:rPr>
        <w:t>)</w:t>
      </w:r>
      <w:r w:rsidR="009E7915" w:rsidRPr="00282AC9">
        <w:rPr>
          <w:rFonts w:ascii="Simplified Arabic" w:hAnsi="Simplified Arabic" w:hint="cs"/>
          <w:sz w:val="27"/>
          <w:rtl/>
        </w:rPr>
        <w:t>،</w:t>
      </w:r>
      <w:r w:rsidRPr="00282AC9">
        <w:rPr>
          <w:rFonts w:ascii="Simplified Arabic" w:hAnsi="Simplified Arabic" w:hint="cs"/>
          <w:sz w:val="27"/>
          <w:rtl/>
        </w:rPr>
        <w:t xml:space="preserve"> </w:t>
      </w:r>
      <w:r w:rsidRPr="00282AC9">
        <w:rPr>
          <w:rFonts w:ascii="Simplified Arabic" w:hAnsi="Simplified Arabic"/>
          <w:sz w:val="27"/>
          <w:rtl/>
        </w:rPr>
        <w:t>والمراد هو أن نفس الإكثار في هذه الأمور مطلوب</w:t>
      </w:r>
      <w:r w:rsidR="009E7915" w:rsidRPr="00282AC9">
        <w:rPr>
          <w:rFonts w:ascii="Simplified Arabic" w:hAnsi="Simplified Arabic" w:hint="cs"/>
          <w:sz w:val="27"/>
          <w:rtl/>
        </w:rPr>
        <w:t>ٌ</w:t>
      </w:r>
      <w:r w:rsidRPr="00282AC9">
        <w:rPr>
          <w:rFonts w:ascii="Simplified Arabic" w:hAnsi="Simplified Arabic"/>
          <w:sz w:val="27"/>
          <w:rtl/>
        </w:rPr>
        <w:t>، والتجاوز عن الحد</w:t>
      </w:r>
      <w:r w:rsidR="009E7915" w:rsidRPr="00282AC9">
        <w:rPr>
          <w:rFonts w:ascii="Simplified Arabic" w:hAnsi="Simplified Arabic" w:hint="cs"/>
          <w:sz w:val="27"/>
          <w:rtl/>
        </w:rPr>
        <w:t>ّ</w:t>
      </w:r>
      <w:r w:rsidRPr="00282AC9">
        <w:rPr>
          <w:rFonts w:ascii="Simplified Arabic" w:hAnsi="Simplified Arabic"/>
          <w:sz w:val="27"/>
          <w:rtl/>
        </w:rPr>
        <w:t xml:space="preserve"> في الجملة فيها معفو</w:t>
      </w:r>
      <w:r w:rsidR="009E7915"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كما أفاد</w:t>
      </w:r>
      <w:r w:rsidRPr="00282AC9">
        <w:rPr>
          <w:rFonts w:ascii="Simplified Arabic" w:hAnsi="Simplified Arabic"/>
          <w:sz w:val="27"/>
          <w:rtl/>
        </w:rPr>
        <w:t xml:space="preserve"> المحق</w:t>
      </w:r>
      <w:r w:rsidR="009E7915" w:rsidRPr="00282AC9">
        <w:rPr>
          <w:rFonts w:ascii="Simplified Arabic" w:hAnsi="Simplified Arabic" w:hint="cs"/>
          <w:sz w:val="27"/>
          <w:rtl/>
        </w:rPr>
        <w:t>ِّ</w:t>
      </w:r>
      <w:r w:rsidRPr="00282AC9">
        <w:rPr>
          <w:rFonts w:ascii="Simplified Arabic" w:hAnsi="Simplified Arabic"/>
          <w:sz w:val="27"/>
          <w:rtl/>
        </w:rPr>
        <w:t>ق النراقي</w:t>
      </w:r>
      <w:r w:rsidR="009E7915" w:rsidRPr="00282AC9">
        <w:rPr>
          <w:rFonts w:ascii="Simplified Arabic" w:hAnsi="Simplified Arabic" w:hint="cs"/>
          <w:sz w:val="27"/>
          <w:rtl/>
        </w:rPr>
        <w:t>،</w:t>
      </w:r>
      <w:r w:rsidRPr="00282AC9">
        <w:rPr>
          <w:rFonts w:ascii="Simplified Arabic" w:hAnsi="Simplified Arabic" w:hint="cs"/>
          <w:sz w:val="27"/>
          <w:rtl/>
        </w:rPr>
        <w:t xml:space="preserve"> في كتابه عوائد الأيام</w:t>
      </w:r>
      <w:r w:rsidRPr="00282AC9">
        <w:rPr>
          <w:rFonts w:ascii="Simplified Arabic" w:hAnsi="Simplified Arabic"/>
          <w:sz w:val="27"/>
          <w:rtl/>
        </w:rPr>
        <w:t xml:space="preserve"> وغيره</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838"/>
      </w:r>
      <w:r w:rsidRPr="00282AC9">
        <w:rPr>
          <w:rFonts w:ascii="Simplified Arabic" w:hAnsi="Simplified Arabic"/>
          <w:sz w:val="27"/>
          <w:vertAlign w:val="superscript"/>
          <w:rtl/>
        </w:rPr>
        <w:t>)</w:t>
      </w:r>
      <w:r w:rsidRPr="00282AC9">
        <w:rPr>
          <w:rFonts w:ascii="Simplified Arabic" w:hAnsi="Simplified Arabic" w:hint="cs"/>
          <w:sz w:val="27"/>
          <w:rtl/>
        </w:rPr>
        <w:t>.</w:t>
      </w:r>
    </w:p>
    <w:p w:rsidR="00F14EF9" w:rsidRPr="00282AC9" w:rsidRDefault="00F14EF9" w:rsidP="00DD42F0">
      <w:pPr>
        <w:spacing w:line="420" w:lineRule="exact"/>
        <w:rPr>
          <w:rFonts w:ascii="Simplified Arabic" w:hAnsi="Simplified Arabic"/>
          <w:sz w:val="27"/>
          <w:rtl/>
          <w:lang w:bidi="ar-LB"/>
        </w:rPr>
      </w:pPr>
    </w:p>
    <w:p w:rsidR="00F14EF9" w:rsidRPr="00282AC9" w:rsidRDefault="00F14EF9" w:rsidP="00F14EF9">
      <w:pPr>
        <w:pStyle w:val="31"/>
        <w:rPr>
          <w:color w:val="auto"/>
          <w:rtl/>
          <w:lang w:bidi="ar-LB"/>
        </w:rPr>
      </w:pPr>
      <w:bookmarkStart w:id="96" w:name="_Toc49871962"/>
      <w:r w:rsidRPr="00282AC9">
        <w:rPr>
          <w:rFonts w:hint="cs"/>
          <w:color w:val="auto"/>
          <w:rtl/>
          <w:lang w:bidi="ar-LB"/>
        </w:rPr>
        <w:t>4ـ رواية الأمر بالتزويج ثلاثاً</w:t>
      </w:r>
    </w:p>
    <w:p w:rsidR="00B4645B" w:rsidRPr="00282AC9" w:rsidRDefault="00F14EF9" w:rsidP="0091196D">
      <w:pPr>
        <w:rPr>
          <w:b/>
          <w:bCs/>
          <w:rtl/>
          <w:lang w:bidi="ar-LB"/>
        </w:rPr>
      </w:pPr>
      <w:r w:rsidRPr="00282AC9">
        <w:rPr>
          <w:rFonts w:hint="cs"/>
          <w:rtl/>
          <w:lang w:bidi="ar-LB"/>
        </w:rPr>
        <w:t xml:space="preserve">وهي </w:t>
      </w:r>
      <w:r w:rsidR="00B4645B" w:rsidRPr="00282AC9">
        <w:rPr>
          <w:rtl/>
          <w:lang w:bidi="ar-LB"/>
        </w:rPr>
        <w:t>خبر إسحاق بن عم</w:t>
      </w:r>
      <w:r w:rsidRPr="00282AC9">
        <w:rPr>
          <w:rFonts w:hint="cs"/>
          <w:rtl/>
          <w:lang w:bidi="ar-LB"/>
        </w:rPr>
        <w:t>ّ</w:t>
      </w:r>
      <w:r w:rsidR="00B4645B" w:rsidRPr="00282AC9">
        <w:rPr>
          <w:rtl/>
          <w:lang w:bidi="ar-LB"/>
        </w:rPr>
        <w:t>ار</w:t>
      </w:r>
      <w:bookmarkEnd w:id="96"/>
      <w:r w:rsidR="00B4645B" w:rsidRPr="00282AC9">
        <w:rPr>
          <w:rFonts w:hint="cs"/>
          <w:rtl/>
          <w:lang w:bidi="ar-LB"/>
        </w:rPr>
        <w:t xml:space="preserve"> </w:t>
      </w:r>
      <w:r w:rsidR="00B4645B" w:rsidRPr="00282AC9">
        <w:rPr>
          <w:rtl/>
          <w:lang w:bidi="ar-LB"/>
        </w:rPr>
        <w:t>قال: قلت</w:t>
      </w:r>
      <w:r w:rsidRPr="00282AC9">
        <w:rPr>
          <w:rFonts w:hint="cs"/>
          <w:rtl/>
          <w:lang w:bidi="ar-LB"/>
        </w:rPr>
        <w:t>ُ</w:t>
      </w:r>
      <w:r w:rsidR="00B4645B" w:rsidRPr="00282AC9">
        <w:rPr>
          <w:rtl/>
          <w:lang w:bidi="ar-LB"/>
        </w:rPr>
        <w:t xml:space="preserve"> لأبي عبد الله</w:t>
      </w:r>
      <w:r w:rsidR="009A2A04" w:rsidRPr="00282AC9">
        <w:rPr>
          <w:rFonts w:cs="Mosawi"/>
          <w:sz w:val="22"/>
          <w:szCs w:val="22"/>
          <w:rtl/>
          <w:lang w:bidi="ar-LB"/>
        </w:rPr>
        <w:t>×</w:t>
      </w:r>
      <w:r w:rsidR="00B4645B" w:rsidRPr="00282AC9">
        <w:rPr>
          <w:rtl/>
          <w:lang w:bidi="ar-LB"/>
        </w:rPr>
        <w:t xml:space="preserve">: </w:t>
      </w:r>
      <w:r w:rsidRPr="00282AC9">
        <w:rPr>
          <w:rFonts w:hint="eastAsia"/>
          <w:sz w:val="24"/>
          <w:szCs w:val="24"/>
          <w:rtl/>
          <w:lang w:bidi="ar-LB"/>
        </w:rPr>
        <w:t>«</w:t>
      </w:r>
      <w:r w:rsidR="00B4645B" w:rsidRPr="00282AC9">
        <w:rPr>
          <w:rtl/>
          <w:lang w:bidi="ar-LB"/>
        </w:rPr>
        <w:t>الحديث الذي يرويه الناس حق</w:t>
      </w:r>
      <w:r w:rsidRPr="00282AC9">
        <w:rPr>
          <w:rFonts w:hint="cs"/>
          <w:rtl/>
          <w:lang w:bidi="ar-LB"/>
        </w:rPr>
        <w:t>ٌّ،</w:t>
      </w:r>
      <w:r w:rsidR="00B4645B" w:rsidRPr="00282AC9">
        <w:rPr>
          <w:rtl/>
          <w:lang w:bidi="ar-LB"/>
        </w:rPr>
        <w:t xml:space="preserve"> أن رجلا</w:t>
      </w:r>
      <w:r w:rsidRPr="00282AC9">
        <w:rPr>
          <w:rFonts w:hint="cs"/>
          <w:rtl/>
          <w:lang w:bidi="ar-LB"/>
        </w:rPr>
        <w:t>ً</w:t>
      </w:r>
      <w:r w:rsidR="00B4645B" w:rsidRPr="00282AC9">
        <w:rPr>
          <w:rtl/>
          <w:lang w:bidi="ar-LB"/>
        </w:rPr>
        <w:t xml:space="preserve"> أتى النبي</w:t>
      </w:r>
      <w:r w:rsidRPr="00282AC9">
        <w:rPr>
          <w:rFonts w:hint="cs"/>
          <w:rtl/>
          <w:lang w:bidi="ar-LB"/>
        </w:rPr>
        <w:t>ّ</w:t>
      </w:r>
      <w:r w:rsidR="009A2A04" w:rsidRPr="00282AC9">
        <w:rPr>
          <w:rFonts w:cs="Mosawi"/>
          <w:sz w:val="22"/>
          <w:szCs w:val="22"/>
          <w:rtl/>
          <w:lang w:bidi="ar-LB"/>
        </w:rPr>
        <w:t>|</w:t>
      </w:r>
      <w:r w:rsidR="00B4645B" w:rsidRPr="00282AC9">
        <w:rPr>
          <w:rtl/>
          <w:lang w:bidi="ar-LB"/>
        </w:rPr>
        <w:t xml:space="preserve"> فشكا إليه الحاجة</w:t>
      </w:r>
      <w:r w:rsidRPr="00282AC9">
        <w:rPr>
          <w:rFonts w:hint="cs"/>
          <w:rtl/>
          <w:lang w:bidi="ar-LB"/>
        </w:rPr>
        <w:t>،</w:t>
      </w:r>
      <w:r w:rsidR="00B4645B" w:rsidRPr="00282AC9">
        <w:rPr>
          <w:rtl/>
          <w:lang w:bidi="ar-LB"/>
        </w:rPr>
        <w:t xml:space="preserve"> فأمره بالتزويج</w:t>
      </w:r>
      <w:r w:rsidRPr="00282AC9">
        <w:rPr>
          <w:rFonts w:hint="cs"/>
          <w:rtl/>
          <w:lang w:bidi="ar-LB"/>
        </w:rPr>
        <w:t>،</w:t>
      </w:r>
      <w:r w:rsidR="00B4645B" w:rsidRPr="00282AC9">
        <w:rPr>
          <w:rtl/>
          <w:lang w:bidi="ar-LB"/>
        </w:rPr>
        <w:t xml:space="preserve"> ففعل، ثم</w:t>
      </w:r>
      <w:r w:rsidRPr="00282AC9">
        <w:rPr>
          <w:rFonts w:hint="cs"/>
          <w:rtl/>
          <w:lang w:bidi="ar-LB"/>
        </w:rPr>
        <w:t>ّ</w:t>
      </w:r>
      <w:r w:rsidR="00B4645B" w:rsidRPr="00282AC9">
        <w:rPr>
          <w:rtl/>
          <w:lang w:bidi="ar-LB"/>
        </w:rPr>
        <w:t xml:space="preserve"> أتاه فشكا إليه الحاجة</w:t>
      </w:r>
      <w:r w:rsidRPr="00282AC9">
        <w:rPr>
          <w:rFonts w:hint="cs"/>
          <w:rtl/>
          <w:lang w:bidi="ar-LB"/>
        </w:rPr>
        <w:t>،</w:t>
      </w:r>
      <w:r w:rsidR="00B4645B" w:rsidRPr="00282AC9">
        <w:rPr>
          <w:rtl/>
          <w:lang w:bidi="ar-LB"/>
        </w:rPr>
        <w:t xml:space="preserve"> فأمره بالتزويج</w:t>
      </w:r>
      <w:r w:rsidR="0050245E" w:rsidRPr="00282AC9">
        <w:rPr>
          <w:rFonts w:hint="cs"/>
          <w:rtl/>
          <w:lang w:bidi="ar-LB"/>
        </w:rPr>
        <w:t xml:space="preserve">، </w:t>
      </w:r>
      <w:r w:rsidR="00B4645B" w:rsidRPr="00282AC9">
        <w:rPr>
          <w:rtl/>
          <w:lang w:bidi="ar-LB"/>
        </w:rPr>
        <w:t>حت</w:t>
      </w:r>
      <w:r w:rsidRPr="00282AC9">
        <w:rPr>
          <w:rFonts w:hint="cs"/>
          <w:rtl/>
          <w:lang w:bidi="ar-LB"/>
        </w:rPr>
        <w:t>ّ</w:t>
      </w:r>
      <w:r w:rsidR="00B4645B" w:rsidRPr="00282AC9">
        <w:rPr>
          <w:rtl/>
          <w:lang w:bidi="ar-LB"/>
        </w:rPr>
        <w:t>ى أمره ثلاث مر</w:t>
      </w:r>
      <w:r w:rsidRPr="00282AC9">
        <w:rPr>
          <w:rFonts w:hint="cs"/>
          <w:rtl/>
          <w:lang w:bidi="ar-LB"/>
        </w:rPr>
        <w:t>ّ</w:t>
      </w:r>
      <w:r w:rsidR="00B4645B" w:rsidRPr="00282AC9">
        <w:rPr>
          <w:rtl/>
          <w:lang w:bidi="ar-LB"/>
        </w:rPr>
        <w:t>ات؟ فقال أبو عبد الله</w:t>
      </w:r>
      <w:r w:rsidR="009A2A04" w:rsidRPr="00282AC9">
        <w:rPr>
          <w:rFonts w:cs="Mosawi"/>
          <w:sz w:val="22"/>
          <w:szCs w:val="22"/>
          <w:rtl/>
          <w:lang w:bidi="ar-LB"/>
        </w:rPr>
        <w:t>×</w:t>
      </w:r>
      <w:r w:rsidR="00B4645B" w:rsidRPr="00282AC9">
        <w:rPr>
          <w:rtl/>
          <w:lang w:bidi="ar-LB"/>
        </w:rPr>
        <w:t>: [نعم]</w:t>
      </w:r>
      <w:r w:rsidRPr="00282AC9">
        <w:rPr>
          <w:rFonts w:hint="cs"/>
          <w:rtl/>
          <w:lang w:bidi="ar-LB"/>
        </w:rPr>
        <w:t>،</w:t>
      </w:r>
      <w:r w:rsidR="00B4645B" w:rsidRPr="00282AC9">
        <w:rPr>
          <w:rtl/>
          <w:lang w:bidi="ar-LB"/>
        </w:rPr>
        <w:t xml:space="preserve"> هو حق</w:t>
      </w:r>
      <w:r w:rsidRPr="00282AC9">
        <w:rPr>
          <w:rFonts w:hint="cs"/>
          <w:rtl/>
          <w:lang w:bidi="ar-LB"/>
        </w:rPr>
        <w:t>ٌّ</w:t>
      </w:r>
      <w:r w:rsidR="00B4645B" w:rsidRPr="00282AC9">
        <w:rPr>
          <w:rtl/>
          <w:lang w:bidi="ar-LB"/>
        </w:rPr>
        <w:t>، ثم</w:t>
      </w:r>
      <w:r w:rsidRPr="00282AC9">
        <w:rPr>
          <w:rFonts w:hint="cs"/>
          <w:rtl/>
          <w:lang w:bidi="ar-LB"/>
        </w:rPr>
        <w:t>ّ</w:t>
      </w:r>
      <w:r w:rsidR="00B4645B" w:rsidRPr="00282AC9">
        <w:rPr>
          <w:rtl/>
          <w:lang w:bidi="ar-LB"/>
        </w:rPr>
        <w:t xml:space="preserve"> قال: الرزق مع النساء والعيال</w:t>
      </w:r>
      <w:r w:rsidR="00B4645B" w:rsidRPr="00282AC9">
        <w:rPr>
          <w:rFonts w:hint="eastAsia"/>
          <w:sz w:val="24"/>
          <w:szCs w:val="24"/>
          <w:rtl/>
        </w:rPr>
        <w:t>»</w:t>
      </w:r>
      <w:r w:rsidR="00B4645B" w:rsidRPr="00282AC9">
        <w:rPr>
          <w:vertAlign w:val="superscript"/>
          <w:rtl/>
          <w:lang w:bidi="ar-LB"/>
        </w:rPr>
        <w:t>(</w:t>
      </w:r>
      <w:r w:rsidR="00B4645B" w:rsidRPr="00282AC9">
        <w:rPr>
          <w:rStyle w:val="af9"/>
          <w:rFonts w:ascii="Simplified Arabic" w:hAnsi="Simplified Arabic"/>
          <w:sz w:val="27"/>
          <w:rtl/>
          <w:lang w:bidi="ar-LB"/>
        </w:rPr>
        <w:endnoteReference w:id="839"/>
      </w:r>
      <w:r w:rsidR="00B4645B" w:rsidRPr="00282AC9">
        <w:rPr>
          <w:vertAlign w:val="superscript"/>
          <w:rtl/>
          <w:lang w:bidi="ar-LB"/>
        </w:rPr>
        <w:t>)</w:t>
      </w:r>
      <w:r w:rsidR="00B4645B" w:rsidRPr="00282AC9">
        <w:rPr>
          <w:rtl/>
          <w:lang w:bidi="ar-LB"/>
        </w:rPr>
        <w:t>.</w:t>
      </w:r>
    </w:p>
    <w:p w:rsidR="0050245E" w:rsidRPr="00282AC9" w:rsidRDefault="0050245E" w:rsidP="00DD42F0">
      <w:pPr>
        <w:spacing w:line="430" w:lineRule="exact"/>
        <w:rPr>
          <w:b/>
          <w:bCs/>
          <w:rtl/>
          <w:lang w:bidi="ar-LB"/>
        </w:rPr>
      </w:pPr>
    </w:p>
    <w:p w:rsidR="0050245E" w:rsidRPr="00282AC9" w:rsidRDefault="0050245E" w:rsidP="0050245E">
      <w:pPr>
        <w:pStyle w:val="31"/>
        <w:rPr>
          <w:color w:val="auto"/>
          <w:rtl/>
          <w:lang w:bidi="ar-LB"/>
        </w:rPr>
      </w:pPr>
      <w:r w:rsidRPr="00282AC9">
        <w:rPr>
          <w:rFonts w:hint="cs"/>
          <w:color w:val="auto"/>
          <w:rtl/>
          <w:lang w:bidi="ar-LB"/>
        </w:rPr>
        <w:t>نقاشٌ في السند والمتن</w:t>
      </w:r>
    </w:p>
    <w:p w:rsidR="00B4645B" w:rsidRPr="00282AC9" w:rsidRDefault="00F14EF9" w:rsidP="0091196D">
      <w:pPr>
        <w:rPr>
          <w:rtl/>
          <w:lang w:bidi="ar-LB"/>
        </w:rPr>
      </w:pPr>
      <w:r w:rsidRPr="00282AC9">
        <w:rPr>
          <w:rFonts w:hint="cs"/>
          <w:rtl/>
          <w:lang w:bidi="ar-LB"/>
        </w:rPr>
        <w:t>و</w:t>
      </w:r>
      <w:r w:rsidR="00B4645B" w:rsidRPr="00282AC9">
        <w:rPr>
          <w:rtl/>
          <w:lang w:bidi="ar-LB"/>
        </w:rPr>
        <w:t xml:space="preserve">هذه الرواية </w:t>
      </w:r>
      <w:r w:rsidR="00822272" w:rsidRPr="00282AC9">
        <w:rPr>
          <w:rFonts w:hint="cs"/>
          <w:rtl/>
          <w:lang w:bidi="ar-LB"/>
        </w:rPr>
        <w:t>ت</w:t>
      </w:r>
      <w:r w:rsidR="00B4645B" w:rsidRPr="00282AC9">
        <w:rPr>
          <w:rtl/>
          <w:lang w:bidi="ar-LB"/>
        </w:rPr>
        <w:t xml:space="preserve">شوبها </w:t>
      </w:r>
      <w:r w:rsidR="00822272" w:rsidRPr="00282AC9">
        <w:rPr>
          <w:rFonts w:hint="cs"/>
          <w:rtl/>
          <w:lang w:bidi="ar-LB"/>
        </w:rPr>
        <w:t>عدّة م</w:t>
      </w:r>
      <w:r w:rsidR="00B4645B" w:rsidRPr="00282AC9">
        <w:rPr>
          <w:rtl/>
          <w:lang w:bidi="ar-LB"/>
        </w:rPr>
        <w:t>شاكل س</w:t>
      </w:r>
      <w:r w:rsidR="00822272" w:rsidRPr="00282AC9">
        <w:rPr>
          <w:rFonts w:hint="cs"/>
          <w:rtl/>
          <w:lang w:bidi="ar-LB"/>
        </w:rPr>
        <w:t>َ</w:t>
      </w:r>
      <w:r w:rsidR="00B4645B" w:rsidRPr="00282AC9">
        <w:rPr>
          <w:rtl/>
          <w:lang w:bidi="ar-LB"/>
        </w:rPr>
        <w:t>ن</w:t>
      </w:r>
      <w:r w:rsidR="00822272" w:rsidRPr="00282AC9">
        <w:rPr>
          <w:rFonts w:hint="cs"/>
          <w:rtl/>
          <w:lang w:bidi="ar-LB"/>
        </w:rPr>
        <w:t>َ</w:t>
      </w:r>
      <w:r w:rsidR="00B4645B" w:rsidRPr="00282AC9">
        <w:rPr>
          <w:rtl/>
          <w:lang w:bidi="ar-LB"/>
        </w:rPr>
        <w:t>دي</w:t>
      </w:r>
      <w:r w:rsidR="00822272" w:rsidRPr="00282AC9">
        <w:rPr>
          <w:rFonts w:hint="cs"/>
          <w:rtl/>
          <w:lang w:bidi="ar-LB"/>
        </w:rPr>
        <w:t>ّ</w:t>
      </w:r>
      <w:r w:rsidR="00B4645B" w:rsidRPr="00282AC9">
        <w:rPr>
          <w:rtl/>
          <w:lang w:bidi="ar-LB"/>
        </w:rPr>
        <w:t>ة:</w:t>
      </w:r>
    </w:p>
    <w:p w:rsidR="00B4645B" w:rsidRPr="00282AC9" w:rsidRDefault="00B4645B" w:rsidP="0091196D">
      <w:pPr>
        <w:rPr>
          <w:rFonts w:ascii="Simplified Arabic" w:hAnsi="Simplified Arabic"/>
          <w:sz w:val="27"/>
          <w:rtl/>
          <w:lang w:bidi="ar-LB"/>
        </w:rPr>
      </w:pPr>
      <w:r w:rsidRPr="00282AC9">
        <w:rPr>
          <w:rFonts w:ascii="Simplified Arabic" w:hAnsi="Simplified Arabic"/>
          <w:b/>
          <w:bCs/>
          <w:sz w:val="27"/>
          <w:rtl/>
          <w:lang w:bidi="ar-LB"/>
        </w:rPr>
        <w:t>أو</w:t>
      </w:r>
      <w:r w:rsidR="00822272" w:rsidRPr="00282AC9">
        <w:rPr>
          <w:rFonts w:ascii="Simplified Arabic" w:hAnsi="Simplified Arabic" w:hint="cs"/>
          <w:b/>
          <w:bCs/>
          <w:sz w:val="27"/>
          <w:rtl/>
          <w:lang w:bidi="ar-LB"/>
        </w:rPr>
        <w:t>ّ</w:t>
      </w:r>
      <w:r w:rsidRPr="00282AC9">
        <w:rPr>
          <w:rFonts w:ascii="Simplified Arabic" w:hAnsi="Simplified Arabic"/>
          <w:b/>
          <w:bCs/>
          <w:sz w:val="27"/>
          <w:rtl/>
          <w:lang w:bidi="ar-LB"/>
        </w:rPr>
        <w:t>لا</w:t>
      </w:r>
      <w:r w:rsidRPr="00282AC9">
        <w:rPr>
          <w:rFonts w:ascii="Simplified Arabic" w:hAnsi="Simplified Arabic" w:hint="cs"/>
          <w:b/>
          <w:bCs/>
          <w:sz w:val="27"/>
          <w:rtl/>
          <w:lang w:bidi="ar-LB"/>
        </w:rPr>
        <w:t>ً</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الاختلاف في مسألة الع</w:t>
      </w:r>
      <w:r w:rsidR="00822272" w:rsidRPr="00282AC9">
        <w:rPr>
          <w:rFonts w:ascii="Simplified Arabic" w:hAnsi="Simplified Arabic" w:hint="cs"/>
          <w:sz w:val="27"/>
          <w:rtl/>
          <w:lang w:bidi="ar-LB"/>
        </w:rPr>
        <w:t>ِ</w:t>
      </w:r>
      <w:r w:rsidR="00822272" w:rsidRPr="00282AC9">
        <w:rPr>
          <w:rFonts w:ascii="Simplified Arabic" w:hAnsi="Simplified Arabic"/>
          <w:sz w:val="27"/>
          <w:rtl/>
          <w:lang w:bidi="ar-LB"/>
        </w:rPr>
        <w:t>د</w:t>
      </w:r>
      <w:r w:rsidR="00822272" w:rsidRPr="00282AC9">
        <w:rPr>
          <w:rFonts w:ascii="Simplified Arabic" w:hAnsi="Simplified Arabic" w:hint="cs"/>
          <w:sz w:val="27"/>
          <w:rtl/>
          <w:lang w:bidi="ar-LB"/>
        </w:rPr>
        <w:t>َ</w:t>
      </w:r>
      <w:r w:rsidRPr="00282AC9">
        <w:rPr>
          <w:rFonts w:ascii="Simplified Arabic" w:hAnsi="Simplified Arabic"/>
          <w:sz w:val="27"/>
          <w:rtl/>
          <w:lang w:bidi="ar-LB"/>
        </w:rPr>
        <w:t>د.</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 xml:space="preserve"> </w:t>
      </w:r>
      <w:r w:rsidRPr="00282AC9">
        <w:rPr>
          <w:rFonts w:ascii="Simplified Arabic" w:hAnsi="Simplified Arabic"/>
          <w:b/>
          <w:bCs/>
          <w:sz w:val="27"/>
          <w:rtl/>
          <w:lang w:bidi="ar-LB"/>
        </w:rPr>
        <w:t>ثانياً</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هي ضعيفة</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بأبي عبد الله الجاموراني</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والحسن بن علي</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بن أبي حمزة.</w:t>
      </w:r>
    </w:p>
    <w:p w:rsidR="00B4645B" w:rsidRPr="00282AC9" w:rsidRDefault="00B4645B" w:rsidP="0091196D">
      <w:pPr>
        <w:rPr>
          <w:rFonts w:ascii="Simplified Arabic" w:hAnsi="Simplified Arabic"/>
          <w:sz w:val="27"/>
          <w:rtl/>
          <w:lang w:bidi="ar-LB"/>
        </w:rPr>
      </w:pPr>
      <w:r w:rsidRPr="00282AC9">
        <w:rPr>
          <w:rFonts w:ascii="Simplified Arabic" w:hAnsi="Simplified Arabic"/>
          <w:sz w:val="27"/>
          <w:rtl/>
          <w:lang w:bidi="ar-LB"/>
        </w:rPr>
        <w:t xml:space="preserve"> كما أن متنها لا يفيدنا في المقام</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لأنها لا تدلّ على مطلق الاستحباب</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بل مقي</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دة بم</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ن</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 xml:space="preserve"> له ع</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و</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زٌ</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فالغني صاحب الرزق</w:t>
      </w:r>
      <w:r w:rsidRPr="00282AC9">
        <w:rPr>
          <w:rFonts w:ascii="Simplified Arabic" w:hAnsi="Simplified Arabic" w:hint="cs"/>
          <w:sz w:val="27"/>
          <w:rtl/>
          <w:lang w:bidi="ar-LB"/>
        </w:rPr>
        <w:t xml:space="preserve"> والقنوع وغيرهم </w:t>
      </w:r>
      <w:r w:rsidRPr="00282AC9">
        <w:rPr>
          <w:rFonts w:ascii="Simplified Arabic" w:hAnsi="Simplified Arabic"/>
          <w:sz w:val="27"/>
          <w:rtl/>
          <w:lang w:bidi="ar-LB"/>
        </w:rPr>
        <w:t xml:space="preserve">لا تشمله </w:t>
      </w:r>
      <w:r w:rsidRPr="00282AC9">
        <w:rPr>
          <w:rFonts w:ascii="Simplified Arabic" w:hAnsi="Simplified Arabic" w:hint="cs"/>
          <w:sz w:val="27"/>
          <w:rtl/>
          <w:lang w:bidi="ar-LB"/>
        </w:rPr>
        <w:t>الرواية الواردة</w:t>
      </w:r>
      <w:r w:rsidRPr="00282AC9">
        <w:rPr>
          <w:rFonts w:ascii="Simplified Arabic" w:hAnsi="Simplified Arabic"/>
          <w:sz w:val="27"/>
          <w:rtl/>
          <w:lang w:bidi="ar-LB"/>
        </w:rPr>
        <w:t>.</w:t>
      </w:r>
    </w:p>
    <w:p w:rsidR="00B4645B" w:rsidRPr="00282AC9" w:rsidRDefault="00B4645B" w:rsidP="00DD42F0">
      <w:pPr>
        <w:spacing w:line="430" w:lineRule="exact"/>
        <w:rPr>
          <w:rtl/>
          <w:lang w:bidi="ar-LB"/>
        </w:rPr>
      </w:pPr>
      <w:bookmarkStart w:id="97" w:name="_Toc49871963"/>
    </w:p>
    <w:p w:rsidR="00B4645B" w:rsidRPr="00282AC9" w:rsidRDefault="00B4645B" w:rsidP="007E3B32">
      <w:pPr>
        <w:pStyle w:val="31"/>
        <w:rPr>
          <w:color w:val="auto"/>
          <w:rtl/>
          <w:lang w:bidi="ar-LB"/>
        </w:rPr>
      </w:pPr>
      <w:r w:rsidRPr="00282AC9">
        <w:rPr>
          <w:color w:val="auto"/>
          <w:rtl/>
          <w:lang w:bidi="ar-LB"/>
        </w:rPr>
        <w:t>خاتمة</w:t>
      </w:r>
      <w:bookmarkEnd w:id="97"/>
      <w:r w:rsidRPr="00282AC9">
        <w:rPr>
          <w:rFonts w:hint="cs"/>
          <w:color w:val="auto"/>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بحثنا في هذا المقال رجحان ومرجوحي</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ة تعد</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د الزوجات في الإسلام</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 xml:space="preserve"> </w:t>
      </w:r>
      <w:r w:rsidRPr="00282AC9">
        <w:rPr>
          <w:rFonts w:ascii="Simplified Arabic" w:hAnsi="Simplified Arabic"/>
          <w:sz w:val="27"/>
          <w:rtl/>
          <w:lang w:bidi="ar-LB"/>
        </w:rPr>
        <w:t xml:space="preserve">وقد </w:t>
      </w:r>
      <w:r w:rsidRPr="00282AC9">
        <w:rPr>
          <w:rFonts w:ascii="Simplified Arabic" w:hAnsi="Simplified Arabic" w:hint="cs"/>
          <w:sz w:val="27"/>
          <w:rtl/>
          <w:lang w:bidi="ar-LB"/>
        </w:rPr>
        <w:t>توص</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 xml:space="preserve">لنا في ختام البحث </w:t>
      </w:r>
      <w:r w:rsidR="00E03BF6" w:rsidRPr="00282AC9">
        <w:rPr>
          <w:rFonts w:ascii="Simplified Arabic" w:hAnsi="Simplified Arabic" w:hint="cs"/>
          <w:sz w:val="27"/>
          <w:rtl/>
          <w:lang w:bidi="ar-LB"/>
        </w:rPr>
        <w:t>إ</w:t>
      </w:r>
      <w:r w:rsidRPr="00282AC9">
        <w:rPr>
          <w:rFonts w:ascii="Simplified Arabic" w:hAnsi="Simplified Arabic" w:hint="cs"/>
          <w:sz w:val="27"/>
          <w:rtl/>
          <w:lang w:bidi="ar-LB"/>
        </w:rPr>
        <w:t>لى استحبابي</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ة التعد</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د</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 xml:space="preserve"> وذلك اعتماداً على طريقين</w:t>
      </w:r>
      <w:r w:rsidRPr="00282AC9">
        <w:rPr>
          <w:rFonts w:ascii="Simplified Arabic" w:hAnsi="Simplified Arabic"/>
          <w:sz w:val="27"/>
          <w:rtl/>
          <w:lang w:bidi="ar-LB"/>
        </w:rPr>
        <w:t>:</w:t>
      </w:r>
    </w:p>
    <w:p w:rsidR="00B4645B" w:rsidRPr="00282AC9" w:rsidRDefault="00B4645B" w:rsidP="0091196D">
      <w:pPr>
        <w:rPr>
          <w:rFonts w:ascii="Simplified Arabic" w:hAnsi="Simplified Arabic"/>
          <w:sz w:val="27"/>
          <w:rtl/>
          <w:lang w:bidi="ar-LB"/>
        </w:rPr>
      </w:pPr>
      <w:r w:rsidRPr="00282AC9">
        <w:rPr>
          <w:rFonts w:ascii="Simplified Arabic" w:hAnsi="Simplified Arabic"/>
          <w:b/>
          <w:bCs/>
          <w:sz w:val="27"/>
          <w:rtl/>
          <w:lang w:bidi="ar-LB"/>
        </w:rPr>
        <w:t>الأو</w:t>
      </w:r>
      <w:r w:rsidR="00822272" w:rsidRPr="00282AC9">
        <w:rPr>
          <w:rFonts w:ascii="Simplified Arabic" w:hAnsi="Simplified Arabic" w:hint="cs"/>
          <w:b/>
          <w:bCs/>
          <w:sz w:val="27"/>
          <w:rtl/>
          <w:lang w:bidi="ar-LB"/>
        </w:rPr>
        <w:t>ّ</w:t>
      </w:r>
      <w:r w:rsidRPr="00282AC9">
        <w:rPr>
          <w:rFonts w:ascii="Simplified Arabic" w:hAnsi="Simplified Arabic"/>
          <w:b/>
          <w:bCs/>
          <w:sz w:val="27"/>
          <w:rtl/>
          <w:lang w:bidi="ar-LB"/>
        </w:rPr>
        <w:t>ل</w:t>
      </w:r>
      <w:r w:rsidRPr="00282AC9">
        <w:rPr>
          <w:rFonts w:ascii="Simplified Arabic" w:hAnsi="Simplified Arabic"/>
          <w:sz w:val="27"/>
          <w:rtl/>
          <w:lang w:bidi="ar-LB"/>
        </w:rPr>
        <w:t>: روايات استحباب كثرة الطروقة، بعد أن نق</w:t>
      </w:r>
      <w:r w:rsidR="00822272" w:rsidRPr="00282AC9">
        <w:rPr>
          <w:rFonts w:ascii="Simplified Arabic" w:hAnsi="Simplified Arabic" w:hint="cs"/>
          <w:sz w:val="27"/>
          <w:rtl/>
          <w:lang w:bidi="ar-LB"/>
        </w:rPr>
        <w:t>َّ</w:t>
      </w:r>
      <w:r w:rsidRPr="00282AC9">
        <w:rPr>
          <w:rFonts w:ascii="Simplified Arabic" w:hAnsi="Simplified Arabic"/>
          <w:sz w:val="27"/>
          <w:rtl/>
          <w:lang w:bidi="ar-LB"/>
        </w:rPr>
        <w:t>حنا معنى الطروقة</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وناق</w:t>
      </w:r>
      <w:r w:rsidR="00822272" w:rsidRPr="00282AC9">
        <w:rPr>
          <w:rFonts w:ascii="Simplified Arabic" w:hAnsi="Simplified Arabic" w:hint="cs"/>
          <w:sz w:val="27"/>
          <w:rtl/>
          <w:lang w:bidi="ar-LB"/>
        </w:rPr>
        <w:t>َ</w:t>
      </w:r>
      <w:r w:rsidRPr="00282AC9">
        <w:rPr>
          <w:rFonts w:ascii="Simplified Arabic" w:hAnsi="Simplified Arabic"/>
          <w:sz w:val="27"/>
          <w:rtl/>
          <w:lang w:bidi="ar-LB"/>
        </w:rPr>
        <w:t>ش</w:t>
      </w:r>
      <w:r w:rsidR="00822272" w:rsidRPr="00282AC9">
        <w:rPr>
          <w:rFonts w:ascii="Simplified Arabic" w:hAnsi="Simplified Arabic" w:hint="cs"/>
          <w:sz w:val="27"/>
          <w:rtl/>
          <w:lang w:bidi="ar-LB"/>
        </w:rPr>
        <w:t>ْ</w:t>
      </w:r>
      <w:r w:rsidRPr="00282AC9">
        <w:rPr>
          <w:rFonts w:ascii="Simplified Arabic" w:hAnsi="Simplified Arabic"/>
          <w:sz w:val="27"/>
          <w:rtl/>
          <w:lang w:bidi="ar-LB"/>
        </w:rPr>
        <w:t>نا الروايات الواردة في استحبابها.</w:t>
      </w:r>
    </w:p>
    <w:p w:rsidR="00B4645B" w:rsidRPr="00282AC9" w:rsidRDefault="00B4645B" w:rsidP="0091196D">
      <w:pPr>
        <w:rPr>
          <w:rFonts w:ascii="Simplified Arabic" w:hAnsi="Simplified Arabic"/>
          <w:sz w:val="27"/>
          <w:rtl/>
          <w:lang w:bidi="ar-LB"/>
        </w:rPr>
      </w:pPr>
      <w:r w:rsidRPr="00282AC9">
        <w:rPr>
          <w:rFonts w:ascii="Simplified Arabic" w:hAnsi="Simplified Arabic"/>
          <w:b/>
          <w:bCs/>
          <w:sz w:val="27"/>
          <w:rtl/>
          <w:lang w:bidi="ar-LB"/>
        </w:rPr>
        <w:t>الثاني</w:t>
      </w:r>
      <w:r w:rsidRPr="00282AC9">
        <w:rPr>
          <w:rFonts w:ascii="Simplified Arabic" w:hAnsi="Simplified Arabic"/>
          <w:sz w:val="27"/>
          <w:rtl/>
          <w:lang w:bidi="ar-LB"/>
        </w:rPr>
        <w:t>: الرواية الواردة في نفي الإسراف</w:t>
      </w:r>
      <w:r w:rsidR="00822272" w:rsidRPr="00282AC9">
        <w:rPr>
          <w:rFonts w:ascii="Simplified Arabic" w:hAnsi="Simplified Arabic" w:hint="cs"/>
          <w:sz w:val="27"/>
          <w:rtl/>
          <w:lang w:bidi="ar-LB"/>
        </w:rPr>
        <w:t>،</w:t>
      </w:r>
      <w:r w:rsidRPr="00282AC9">
        <w:rPr>
          <w:rFonts w:ascii="Simplified Arabic" w:hAnsi="Simplified Arabic"/>
          <w:sz w:val="27"/>
          <w:rtl/>
          <w:lang w:bidi="ar-LB"/>
        </w:rPr>
        <w:t xml:space="preserve"> </w:t>
      </w:r>
      <w:r w:rsidRPr="00282AC9">
        <w:rPr>
          <w:rFonts w:ascii="Simplified Arabic" w:hAnsi="Simplified Arabic" w:hint="cs"/>
          <w:sz w:val="27"/>
          <w:rtl/>
          <w:lang w:bidi="ar-LB"/>
        </w:rPr>
        <w:t xml:space="preserve">والتي يمكن أن يُستفاد منها وفق </w:t>
      </w:r>
      <w:r w:rsidRPr="00282AC9">
        <w:rPr>
          <w:rFonts w:ascii="Simplified Arabic" w:hAnsi="Simplified Arabic" w:hint="cs"/>
          <w:sz w:val="27"/>
          <w:rtl/>
          <w:lang w:bidi="ar-LB"/>
        </w:rPr>
        <w:lastRenderedPageBreak/>
        <w:t>بعض المباني السندي</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ة</w:t>
      </w:r>
      <w:r w:rsidRPr="00282AC9">
        <w:rPr>
          <w:rFonts w:ascii="Simplified Arabic" w:hAnsi="Simplified Arabic"/>
          <w:sz w:val="27"/>
          <w:rtl/>
          <w:lang w:bidi="ar-LB"/>
        </w:rPr>
        <w:t>.</w:t>
      </w:r>
    </w:p>
    <w:p w:rsidR="00822272" w:rsidRPr="00282AC9" w:rsidRDefault="00B4645B" w:rsidP="0091196D">
      <w:pPr>
        <w:rPr>
          <w:rFonts w:ascii="Simplified Arabic" w:hAnsi="Simplified Arabic"/>
          <w:sz w:val="27"/>
          <w:rtl/>
          <w:lang w:bidi="ar-LB"/>
        </w:rPr>
      </w:pPr>
      <w:r w:rsidRPr="00282AC9">
        <w:rPr>
          <w:rFonts w:ascii="Simplified Arabic" w:hAnsi="Simplified Arabic" w:hint="cs"/>
          <w:sz w:val="27"/>
          <w:rtl/>
          <w:lang w:bidi="ar-LB"/>
        </w:rPr>
        <w:t>ويشير بعض الباحثين إلى أنه يمكن استفادة استحباب التعد</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د من إطلاق</w:t>
      </w:r>
      <w:r w:rsidRPr="00282AC9">
        <w:rPr>
          <w:rFonts w:ascii="Simplified Arabic" w:hAnsi="Simplified Arabic"/>
          <w:sz w:val="27"/>
          <w:rtl/>
          <w:lang w:bidi="ar-LB"/>
        </w:rPr>
        <w:t xml:space="preserve"> اس</w:t>
      </w:r>
      <w:r w:rsidRPr="00282AC9">
        <w:rPr>
          <w:rFonts w:ascii="Simplified Arabic" w:hAnsi="Simplified Arabic" w:hint="cs"/>
          <w:sz w:val="27"/>
          <w:rtl/>
          <w:lang w:bidi="ar-LB"/>
        </w:rPr>
        <w:t>ت</w:t>
      </w:r>
      <w:r w:rsidRPr="00282AC9">
        <w:rPr>
          <w:rFonts w:ascii="Simplified Arabic" w:hAnsi="Simplified Arabic"/>
          <w:sz w:val="27"/>
          <w:rtl/>
          <w:lang w:bidi="ar-LB"/>
        </w:rPr>
        <w:t>حباب أصل الزواج</w:t>
      </w:r>
      <w:r w:rsidR="00822272" w:rsidRPr="00282AC9">
        <w:rPr>
          <w:rFonts w:ascii="Simplified Arabic" w:hAnsi="Simplified Arabic" w:hint="cs"/>
          <w:sz w:val="27"/>
          <w:rtl/>
          <w:lang w:bidi="ar-LB"/>
        </w:rPr>
        <w:t>.</w:t>
      </w:r>
    </w:p>
    <w:p w:rsidR="00E83C22" w:rsidRPr="00282AC9" w:rsidRDefault="00B4645B" w:rsidP="0091196D">
      <w:pPr>
        <w:rPr>
          <w:rtl/>
          <w:lang w:bidi="ar-LB"/>
        </w:rPr>
      </w:pPr>
      <w:r w:rsidRPr="00282AC9">
        <w:rPr>
          <w:rFonts w:ascii="Simplified Arabic" w:hAnsi="Simplified Arabic" w:hint="cs"/>
          <w:sz w:val="27"/>
          <w:rtl/>
          <w:lang w:bidi="ar-LB"/>
        </w:rPr>
        <w:t>لكن</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 xml:space="preserve"> يجدر السؤال ق</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ب</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لاً</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 xml:space="preserve"> </w:t>
      </w:r>
      <w:r w:rsidRPr="00282AC9">
        <w:rPr>
          <w:rFonts w:ascii="Simplified Arabic" w:hAnsi="Simplified Arabic"/>
          <w:sz w:val="27"/>
          <w:rtl/>
          <w:lang w:bidi="ar-LB"/>
        </w:rPr>
        <w:t>هل هي في مقام بيان عدد الزوجات (وهو من شروط انعقاد ال</w:t>
      </w:r>
      <w:r w:rsidR="00822272" w:rsidRPr="00282AC9">
        <w:rPr>
          <w:rFonts w:ascii="Simplified Arabic" w:hAnsi="Simplified Arabic" w:hint="cs"/>
          <w:sz w:val="27"/>
          <w:rtl/>
          <w:lang w:bidi="ar-LB"/>
        </w:rPr>
        <w:t>إ</w:t>
      </w:r>
      <w:r w:rsidRPr="00282AC9">
        <w:rPr>
          <w:rFonts w:ascii="Simplified Arabic" w:hAnsi="Simplified Arabic"/>
          <w:sz w:val="27"/>
          <w:rtl/>
          <w:lang w:bidi="ar-LB"/>
        </w:rPr>
        <w:t xml:space="preserve">طلاق) </w:t>
      </w:r>
      <w:r w:rsidR="00822272" w:rsidRPr="00282AC9">
        <w:rPr>
          <w:rFonts w:ascii="Simplified Arabic" w:hAnsi="Simplified Arabic" w:hint="cs"/>
          <w:sz w:val="27"/>
          <w:rtl/>
          <w:lang w:bidi="ar-LB"/>
        </w:rPr>
        <w:t>أ</w:t>
      </w:r>
      <w:r w:rsidRPr="00282AC9">
        <w:rPr>
          <w:rFonts w:ascii="Simplified Arabic" w:hAnsi="Simplified Arabic"/>
          <w:sz w:val="27"/>
          <w:rtl/>
          <w:lang w:bidi="ar-LB"/>
        </w:rPr>
        <w:t xml:space="preserve">و هي في مقام بيان </w:t>
      </w:r>
      <w:r w:rsidR="00822272" w:rsidRPr="00282AC9">
        <w:rPr>
          <w:rFonts w:ascii="Simplified Arabic" w:hAnsi="Simplified Arabic" w:hint="cs"/>
          <w:sz w:val="27"/>
          <w:rtl/>
          <w:lang w:bidi="ar-LB"/>
        </w:rPr>
        <w:t>أ</w:t>
      </w:r>
      <w:r w:rsidRPr="00282AC9">
        <w:rPr>
          <w:rFonts w:ascii="Simplified Arabic" w:hAnsi="Simplified Arabic"/>
          <w:sz w:val="27"/>
          <w:rtl/>
          <w:lang w:bidi="ar-LB"/>
        </w:rPr>
        <w:t xml:space="preserve">صل الزواج في مقابل عدمه؟ </w:t>
      </w:r>
      <w:r w:rsidRPr="00282AC9">
        <w:rPr>
          <w:rFonts w:ascii="Simplified Arabic" w:hAnsi="Simplified Arabic" w:hint="cs"/>
          <w:sz w:val="27"/>
          <w:rtl/>
          <w:lang w:bidi="ar-LB"/>
        </w:rPr>
        <w:t>وهو بحث</w:t>
      </w:r>
      <w:r w:rsidR="00822272" w:rsidRPr="00282AC9">
        <w:rPr>
          <w:rFonts w:ascii="Simplified Arabic" w:hAnsi="Simplified Arabic" w:hint="cs"/>
          <w:sz w:val="27"/>
          <w:rtl/>
          <w:lang w:bidi="ar-LB"/>
        </w:rPr>
        <w:t>ٌ</w:t>
      </w:r>
      <w:r w:rsidRPr="00282AC9">
        <w:rPr>
          <w:rFonts w:ascii="Simplified Arabic" w:hAnsi="Simplified Arabic" w:hint="cs"/>
          <w:sz w:val="27"/>
          <w:rtl/>
          <w:lang w:bidi="ar-LB"/>
        </w:rPr>
        <w:t xml:space="preserve"> يحتاج مقالاً </w:t>
      </w:r>
      <w:r w:rsidR="00822272" w:rsidRPr="00282AC9">
        <w:rPr>
          <w:rFonts w:ascii="Simplified Arabic" w:hAnsi="Simplified Arabic" w:hint="cs"/>
          <w:sz w:val="27"/>
          <w:rtl/>
          <w:lang w:bidi="ar-LB"/>
        </w:rPr>
        <w:t>آ</w:t>
      </w:r>
      <w:r w:rsidRPr="00282AC9">
        <w:rPr>
          <w:rFonts w:ascii="Simplified Arabic" w:hAnsi="Simplified Arabic" w:hint="cs"/>
          <w:sz w:val="27"/>
          <w:rtl/>
          <w:lang w:bidi="ar-LB"/>
        </w:rPr>
        <w:t>خر.</w:t>
      </w:r>
    </w:p>
    <w:p w:rsidR="00E83C22" w:rsidRPr="00282AC9" w:rsidRDefault="00E83C22" w:rsidP="00DD42F0">
      <w:pPr>
        <w:spacing w:line="510" w:lineRule="exact"/>
        <w:rPr>
          <w:rtl/>
        </w:rPr>
      </w:pPr>
    </w:p>
    <w:p w:rsidR="00E83C22" w:rsidRPr="00282AC9" w:rsidRDefault="00E83C22" w:rsidP="00DD42F0">
      <w:pPr>
        <w:spacing w:line="520" w:lineRule="exact"/>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140"/>
          <w:headerReference w:type="default" r:id="rId141"/>
          <w:footerReference w:type="even" r:id="rId142"/>
          <w:footerReference w:type="default" r:id="rId14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144"/>
          <w:headerReference w:type="default" r:id="rId145"/>
          <w:footerReference w:type="even" r:id="rId146"/>
          <w:footerReference w:type="default" r:id="rId147"/>
          <w:headerReference w:type="first" r:id="rId14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1D1A88">
      <w:pPr>
        <w:rPr>
          <w:rtl/>
        </w:rPr>
      </w:pPr>
    </w:p>
    <w:p w:rsidR="00E83C22" w:rsidRPr="00282AC9" w:rsidRDefault="00E83C22" w:rsidP="001D1A88">
      <w:pPr>
        <w:spacing w:line="380" w:lineRule="exact"/>
        <w:rPr>
          <w:rtl/>
        </w:rPr>
      </w:pPr>
    </w:p>
    <w:p w:rsidR="00E83C22" w:rsidRPr="00282AC9" w:rsidRDefault="00FF3E04" w:rsidP="00AD6E36">
      <w:pPr>
        <w:pStyle w:val="11"/>
        <w:spacing w:line="216" w:lineRule="auto"/>
        <w:rPr>
          <w:rtl/>
        </w:rPr>
      </w:pPr>
      <w:bookmarkStart w:id="98" w:name="_Toc87011528"/>
      <w:r w:rsidRPr="00282AC9">
        <w:rPr>
          <w:rFonts w:hint="cs"/>
          <w:rtl/>
        </w:rPr>
        <w:t xml:space="preserve">التوقيفيّة في </w:t>
      </w:r>
      <w:r w:rsidR="00AD6E36" w:rsidRPr="00282AC9">
        <w:rPr>
          <w:rFonts w:hint="cs"/>
          <w:rtl/>
        </w:rPr>
        <w:t>ترتيب الآيات القرآني</w:t>
      </w:r>
      <w:r w:rsidR="000D787F" w:rsidRPr="00282AC9">
        <w:rPr>
          <w:rFonts w:hint="cs"/>
          <w:rtl/>
        </w:rPr>
        <w:t>ّ</w:t>
      </w:r>
      <w:r w:rsidR="00AD6E36" w:rsidRPr="00282AC9">
        <w:rPr>
          <w:rFonts w:hint="cs"/>
          <w:rtl/>
        </w:rPr>
        <w:t>ة</w:t>
      </w:r>
      <w:bookmarkEnd w:id="98"/>
    </w:p>
    <w:p w:rsidR="00E83C22" w:rsidRPr="00282AC9" w:rsidRDefault="00B962AA" w:rsidP="00FF3E04">
      <w:pPr>
        <w:pStyle w:val="11"/>
        <w:spacing w:line="216" w:lineRule="auto"/>
        <w:rPr>
          <w:sz w:val="26"/>
          <w:szCs w:val="42"/>
          <w:rtl/>
        </w:rPr>
      </w:pPr>
      <w:bookmarkStart w:id="99" w:name="_Toc87011529"/>
      <w:r w:rsidRPr="00282AC9">
        <w:rPr>
          <w:rFonts w:hint="cs"/>
          <w:sz w:val="26"/>
          <w:szCs w:val="42"/>
          <w:rtl/>
        </w:rPr>
        <w:t>قراءةٌ نقديّة في نظريّة</w:t>
      </w:r>
      <w:r w:rsidR="00AD6E36" w:rsidRPr="00282AC9">
        <w:rPr>
          <w:rFonts w:hint="cs"/>
          <w:sz w:val="26"/>
          <w:szCs w:val="42"/>
          <w:rtl/>
        </w:rPr>
        <w:t xml:space="preserve"> الطباطبائي</w:t>
      </w:r>
      <w:bookmarkEnd w:id="99"/>
    </w:p>
    <w:p w:rsidR="00E83C22" w:rsidRPr="00282AC9" w:rsidRDefault="00E83C22" w:rsidP="001D1A88">
      <w:pPr>
        <w:spacing w:line="380" w:lineRule="exact"/>
        <w:rPr>
          <w:rtl/>
        </w:rPr>
      </w:pPr>
    </w:p>
    <w:p w:rsidR="00E83C22" w:rsidRPr="00282AC9" w:rsidRDefault="0083372D" w:rsidP="0083372D">
      <w:pPr>
        <w:pStyle w:val="Author"/>
        <w:rPr>
          <w:rtl/>
        </w:rPr>
      </w:pPr>
      <w:bookmarkStart w:id="100" w:name="_Toc87011530"/>
      <w:r w:rsidRPr="00282AC9">
        <w:rPr>
          <w:rFonts w:hint="cs"/>
          <w:rtl/>
        </w:rPr>
        <w:t>الشيخ عيسى محسني</w:t>
      </w:r>
      <w:r w:rsidR="00527634" w:rsidRPr="00282AC9">
        <w:rPr>
          <w:rFonts w:cs="Taher" w:hint="cs"/>
          <w:vertAlign w:val="superscript"/>
          <w:rtl/>
        </w:rPr>
        <w:t>(</w:t>
      </w:r>
      <w:r w:rsidR="00527634" w:rsidRPr="00282AC9">
        <w:rPr>
          <w:rFonts w:cs="Taher"/>
          <w:vertAlign w:val="superscript"/>
          <w:rtl/>
        </w:rPr>
        <w:footnoteReference w:customMarkFollows="1" w:id="18"/>
        <w:t>*)</w:t>
      </w:r>
      <w:bookmarkEnd w:id="100"/>
    </w:p>
    <w:p w:rsidR="00954A9E" w:rsidRPr="00282AC9" w:rsidRDefault="00954A9E" w:rsidP="004A11F5">
      <w:pPr>
        <w:pStyle w:val="Author"/>
        <w:rPr>
          <w:rtl/>
        </w:rPr>
      </w:pPr>
      <w:bookmarkStart w:id="101" w:name="_Toc87011531"/>
      <w:r w:rsidRPr="00282AC9">
        <w:rPr>
          <w:rFonts w:hint="cs"/>
          <w:rtl/>
        </w:rPr>
        <w:t xml:space="preserve">د. </w:t>
      </w:r>
      <w:r w:rsidRPr="00282AC9">
        <w:rPr>
          <w:rtl/>
        </w:rPr>
        <w:t xml:space="preserve">الشيخ محمد هادي </w:t>
      </w:r>
      <w:r w:rsidR="002F3ED9" w:rsidRPr="00282AC9">
        <w:rPr>
          <w:rFonts w:hint="cs"/>
          <w:rtl/>
        </w:rPr>
        <w:t>ال</w:t>
      </w:r>
      <w:r w:rsidRPr="00282AC9">
        <w:rPr>
          <w:rtl/>
        </w:rPr>
        <w:t>منصوري</w:t>
      </w:r>
      <w:r w:rsidRPr="00282AC9">
        <w:rPr>
          <w:rFonts w:cs="Taher" w:hint="cs"/>
          <w:vertAlign w:val="superscript"/>
          <w:rtl/>
        </w:rPr>
        <w:t>(*</w:t>
      </w:r>
      <w:r w:rsidRPr="00282AC9">
        <w:rPr>
          <w:rFonts w:cs="Taher"/>
          <w:vertAlign w:val="superscript"/>
          <w:rtl/>
        </w:rPr>
        <w:footnoteReference w:customMarkFollows="1" w:id="19"/>
        <w:t>*)</w:t>
      </w:r>
      <w:bookmarkEnd w:id="101"/>
    </w:p>
    <w:p w:rsidR="00954A9E" w:rsidRPr="00282AC9" w:rsidRDefault="00954A9E" w:rsidP="001D1A88">
      <w:pPr>
        <w:spacing w:line="380" w:lineRule="exact"/>
        <w:rPr>
          <w:rtl/>
        </w:rPr>
      </w:pPr>
      <w:bookmarkStart w:id="102" w:name="_Hlk53210673"/>
    </w:p>
    <w:p w:rsidR="00AD6E36" w:rsidRPr="00282AC9" w:rsidRDefault="00AD6E36" w:rsidP="00954A9E">
      <w:pPr>
        <w:pStyle w:val="31"/>
        <w:rPr>
          <w:color w:val="auto"/>
          <w:rtl/>
        </w:rPr>
      </w:pPr>
      <w:r w:rsidRPr="00282AC9">
        <w:rPr>
          <w:rFonts w:hint="cs"/>
          <w:color w:val="auto"/>
          <w:rtl/>
        </w:rPr>
        <w:t>مقدمةٌ</w:t>
      </w:r>
    </w:p>
    <w:p w:rsidR="00AD6E36" w:rsidRPr="00282AC9" w:rsidRDefault="00AD6E36" w:rsidP="001D1A88">
      <w:pPr>
        <w:rPr>
          <w:rFonts w:ascii="Sakkal Majalla" w:hAnsi="Sakkal Majalla"/>
          <w:sz w:val="27"/>
          <w:rtl/>
        </w:rPr>
      </w:pPr>
      <w:r w:rsidRPr="00282AC9">
        <w:rPr>
          <w:rFonts w:ascii="Sakkal Majalla" w:hAnsi="Sakkal Majalla" w:hint="cs"/>
          <w:sz w:val="27"/>
          <w:rtl/>
        </w:rPr>
        <w:t>إنّ من الواقع الذي لا</w:t>
      </w:r>
      <w:r w:rsidR="00F5766E" w:rsidRPr="00282AC9">
        <w:rPr>
          <w:rFonts w:ascii="Sakkal Majalla" w:hAnsi="Sakkal Majalla" w:hint="cs"/>
          <w:sz w:val="27"/>
          <w:rtl/>
        </w:rPr>
        <w:t xml:space="preserve"> </w:t>
      </w:r>
      <w:r w:rsidRPr="00282AC9">
        <w:rPr>
          <w:rFonts w:ascii="Sakkal Majalla" w:hAnsi="Sakkal Majalla" w:hint="cs"/>
          <w:sz w:val="27"/>
          <w:rtl/>
        </w:rPr>
        <w:t>غبار عل</w:t>
      </w:r>
      <w:r w:rsidRPr="00282AC9">
        <w:rPr>
          <w:rFonts w:ascii="Times New Roman" w:hAnsi="Times New Roman" w:hint="cs"/>
          <w:sz w:val="27"/>
          <w:rtl/>
        </w:rPr>
        <w:t>ي</w:t>
      </w:r>
      <w:r w:rsidRPr="00282AC9">
        <w:rPr>
          <w:rFonts w:ascii="Sakkal Majalla" w:hAnsi="Sakkal Majalla" w:hint="cs"/>
          <w:sz w:val="27"/>
          <w:rtl/>
        </w:rPr>
        <w:t xml:space="preserve">ه </w:t>
      </w:r>
      <w:r w:rsidR="00F5766E" w:rsidRPr="00282AC9">
        <w:rPr>
          <w:rFonts w:ascii="Sakkal Majalla" w:hAnsi="Sakkal Majalla" w:hint="cs"/>
          <w:sz w:val="27"/>
          <w:rtl/>
        </w:rPr>
        <w:t>ا</w:t>
      </w:r>
      <w:r w:rsidRPr="00282AC9">
        <w:rPr>
          <w:rFonts w:ascii="Sakkal Majalla" w:hAnsi="Sakkal Majalla" w:hint="cs"/>
          <w:sz w:val="27"/>
          <w:rtl/>
        </w:rPr>
        <w:t>هتمام</w:t>
      </w:r>
      <w:r w:rsidR="00F5766E" w:rsidRPr="00282AC9">
        <w:rPr>
          <w:rFonts w:ascii="Sakkal Majalla" w:hAnsi="Sakkal Majalla" w:hint="cs"/>
          <w:sz w:val="27"/>
          <w:rtl/>
        </w:rPr>
        <w:t>َ</w:t>
      </w:r>
      <w:r w:rsidRPr="00282AC9">
        <w:rPr>
          <w:rFonts w:ascii="Sakkal Majalla" w:hAnsi="Sakkal Majalla" w:hint="cs"/>
          <w:sz w:val="27"/>
          <w:rtl/>
        </w:rPr>
        <w:t xml:space="preserve"> المسلم</w:t>
      </w:r>
      <w:r w:rsidRPr="00282AC9">
        <w:rPr>
          <w:rFonts w:ascii="Times New Roman" w:hAnsi="Times New Roman" w:hint="cs"/>
          <w:sz w:val="27"/>
          <w:rtl/>
        </w:rPr>
        <w:t>ي</w:t>
      </w:r>
      <w:r w:rsidRPr="00282AC9">
        <w:rPr>
          <w:rFonts w:ascii="Sakkal Majalla" w:hAnsi="Sakkal Majalla" w:hint="cs"/>
          <w:sz w:val="27"/>
          <w:rtl/>
        </w:rPr>
        <w:t>ن بالقرآن الكر</w:t>
      </w:r>
      <w:r w:rsidRPr="00282AC9">
        <w:rPr>
          <w:rFonts w:ascii="Times New Roman" w:hAnsi="Times New Roman" w:hint="cs"/>
          <w:sz w:val="27"/>
          <w:rtl/>
        </w:rPr>
        <w:t>ي</w:t>
      </w:r>
      <w:r w:rsidRPr="00282AC9">
        <w:rPr>
          <w:rFonts w:ascii="Sakkal Majalla" w:hAnsi="Sakkal Majalla" w:hint="cs"/>
          <w:sz w:val="27"/>
          <w:rtl/>
        </w:rPr>
        <w:t>م</w:t>
      </w:r>
      <w:r w:rsidR="00F5766E" w:rsidRPr="00282AC9">
        <w:rPr>
          <w:rFonts w:ascii="Sakkal Majalla" w:hAnsi="Sakkal Majalla" w:hint="cs"/>
          <w:sz w:val="27"/>
          <w:rtl/>
        </w:rPr>
        <w:t>،</w:t>
      </w:r>
      <w:r w:rsidRPr="00282AC9">
        <w:rPr>
          <w:rFonts w:ascii="Sakkal Majalla" w:hAnsi="Sakkal Majalla" w:hint="cs"/>
          <w:sz w:val="27"/>
          <w:rtl/>
        </w:rPr>
        <w:t xml:space="preserve"> تدو</w:t>
      </w:r>
      <w:r w:rsidRPr="00282AC9">
        <w:rPr>
          <w:rFonts w:ascii="Times New Roman" w:hAnsi="Times New Roman" w:hint="cs"/>
          <w:sz w:val="27"/>
          <w:rtl/>
        </w:rPr>
        <w:t>ي</w:t>
      </w:r>
      <w:r w:rsidRPr="00282AC9">
        <w:rPr>
          <w:rFonts w:ascii="Sakkal Majalla" w:hAnsi="Sakkal Majalla" w:hint="cs"/>
          <w:sz w:val="27"/>
          <w:rtl/>
        </w:rPr>
        <w:t xml:space="preserve">ناً وقراءةً وحفظاً </w:t>
      </w:r>
      <w:r w:rsidR="00F5766E" w:rsidRPr="00282AC9">
        <w:rPr>
          <w:rFonts w:ascii="Sakkal Majalla" w:hAnsi="Sakkal Majalla" w:hint="cs"/>
          <w:sz w:val="27"/>
          <w:rtl/>
        </w:rPr>
        <w:t>في</w:t>
      </w:r>
      <w:r w:rsidRPr="00282AC9">
        <w:rPr>
          <w:rFonts w:ascii="Sakkal Majalla" w:hAnsi="Sakkal Majalla" w:hint="cs"/>
          <w:sz w:val="27"/>
          <w:rtl/>
        </w:rPr>
        <w:t xml:space="preserve"> الصدور، </w:t>
      </w:r>
      <w:r w:rsidR="00F5766E" w:rsidRPr="00282AC9">
        <w:rPr>
          <w:rFonts w:ascii="Sakkal Majalla" w:hAnsi="Sakkal Majalla" w:hint="cs"/>
          <w:sz w:val="27"/>
          <w:rtl/>
        </w:rPr>
        <w:t>و</w:t>
      </w:r>
      <w:r w:rsidRPr="00282AC9">
        <w:rPr>
          <w:rFonts w:ascii="Sakkal Majalla" w:hAnsi="Sakkal Majalla" w:hint="cs"/>
          <w:sz w:val="27"/>
          <w:rtl/>
        </w:rPr>
        <w:t>بحثاً وتحل</w:t>
      </w:r>
      <w:r w:rsidRPr="00282AC9">
        <w:rPr>
          <w:rFonts w:ascii="Times New Roman" w:hAnsi="Times New Roman" w:hint="cs"/>
          <w:sz w:val="27"/>
          <w:rtl/>
        </w:rPr>
        <w:t>ي</w:t>
      </w:r>
      <w:r w:rsidRPr="00282AC9">
        <w:rPr>
          <w:rFonts w:ascii="Sakkal Majalla" w:hAnsi="Sakkal Majalla" w:hint="cs"/>
          <w:sz w:val="27"/>
          <w:rtl/>
        </w:rPr>
        <w:t xml:space="preserve">لاً، </w:t>
      </w:r>
      <w:r w:rsidR="00F5766E" w:rsidRPr="00282AC9">
        <w:rPr>
          <w:rFonts w:ascii="Sakkal Majalla" w:hAnsi="Sakkal Majalla" w:hint="cs"/>
          <w:sz w:val="27"/>
          <w:rtl/>
        </w:rPr>
        <w:t>و</w:t>
      </w:r>
      <w:r w:rsidRPr="00282AC9">
        <w:rPr>
          <w:rFonts w:ascii="Sakkal Majalla" w:hAnsi="Sakkal Majalla" w:hint="cs"/>
          <w:sz w:val="27"/>
          <w:rtl/>
        </w:rPr>
        <w:t>تعلّ</w:t>
      </w:r>
      <w:r w:rsidR="00F5766E" w:rsidRPr="00282AC9">
        <w:rPr>
          <w:rFonts w:ascii="Sakkal Majalla" w:hAnsi="Sakkal Majalla" w:hint="cs"/>
          <w:sz w:val="27"/>
          <w:rtl/>
        </w:rPr>
        <w:t>ُ</w:t>
      </w:r>
      <w:r w:rsidRPr="00282AC9">
        <w:rPr>
          <w:rFonts w:ascii="Sakkal Majalla" w:hAnsi="Sakkal Majalla" w:hint="cs"/>
          <w:sz w:val="27"/>
          <w:rtl/>
        </w:rPr>
        <w:t>ماً وتعل</w:t>
      </w:r>
      <w:r w:rsidRPr="00282AC9">
        <w:rPr>
          <w:rFonts w:ascii="Times New Roman" w:hAnsi="Times New Roman" w:hint="cs"/>
          <w:sz w:val="27"/>
          <w:rtl/>
        </w:rPr>
        <w:t>ي</w:t>
      </w:r>
      <w:r w:rsidRPr="00282AC9">
        <w:rPr>
          <w:rFonts w:ascii="Sakkal Majalla" w:hAnsi="Sakkal Majalla" w:hint="cs"/>
          <w:sz w:val="27"/>
          <w:rtl/>
        </w:rPr>
        <w:t>ماً، فهو كتاب الله سبحانه وتعال</w:t>
      </w:r>
      <w:r w:rsidR="00F5766E" w:rsidRPr="00282AC9">
        <w:rPr>
          <w:rFonts w:ascii="Times New Roman" w:hAnsi="Times New Roman" w:hint="cs"/>
          <w:sz w:val="27"/>
          <w:rtl/>
        </w:rPr>
        <w:t>ى</w:t>
      </w:r>
      <w:r w:rsidR="00F5766E" w:rsidRPr="00282AC9">
        <w:rPr>
          <w:rFonts w:ascii="Sakkal Majalla" w:hAnsi="Sakkal Majalla" w:hint="cs"/>
          <w:sz w:val="27"/>
          <w:rtl/>
        </w:rPr>
        <w:t>،</w:t>
      </w:r>
      <w:r w:rsidRPr="00282AC9">
        <w:rPr>
          <w:rFonts w:ascii="Sakkal Majalla" w:hAnsi="Sakkal Majalla" w:hint="cs"/>
          <w:sz w:val="27"/>
          <w:rtl/>
        </w:rPr>
        <w:t xml:space="preserve"> الذي لا</w:t>
      </w:r>
      <w:r w:rsidR="00F5766E" w:rsidRPr="00282AC9">
        <w:rPr>
          <w:rFonts w:ascii="Sakkal Majalla" w:hAnsi="Sakkal Majalla" w:hint="cs"/>
          <w:sz w:val="27"/>
          <w:rtl/>
        </w:rPr>
        <w:t xml:space="preserve"> </w:t>
      </w:r>
      <w:r w:rsidRPr="00282AC9">
        <w:rPr>
          <w:rFonts w:ascii="Times New Roman" w:hAnsi="Times New Roman" w:hint="cs"/>
          <w:sz w:val="27"/>
          <w:rtl/>
        </w:rPr>
        <w:t>ي</w:t>
      </w:r>
      <w:r w:rsidRPr="00282AC9">
        <w:rPr>
          <w:rFonts w:ascii="Sakkal Majalla" w:hAnsi="Sakkal Majalla" w:hint="cs"/>
          <w:sz w:val="27"/>
          <w:rtl/>
        </w:rPr>
        <w:t>أت</w:t>
      </w:r>
      <w:r w:rsidRPr="00282AC9">
        <w:rPr>
          <w:rFonts w:ascii="Times New Roman" w:hAnsi="Times New Roman" w:hint="cs"/>
          <w:sz w:val="27"/>
          <w:rtl/>
        </w:rPr>
        <w:t>ي</w:t>
      </w:r>
      <w:r w:rsidRPr="00282AC9">
        <w:rPr>
          <w:rFonts w:ascii="Sakkal Majalla" w:hAnsi="Sakkal Majalla" w:hint="cs"/>
          <w:sz w:val="27"/>
          <w:rtl/>
        </w:rPr>
        <w:t>ه الباطل من ب</w:t>
      </w:r>
      <w:r w:rsidRPr="00282AC9">
        <w:rPr>
          <w:rFonts w:ascii="Times New Roman" w:hAnsi="Times New Roman" w:hint="cs"/>
          <w:sz w:val="27"/>
          <w:rtl/>
        </w:rPr>
        <w:t>ي</w:t>
      </w:r>
      <w:r w:rsidRPr="00282AC9">
        <w:rPr>
          <w:rFonts w:ascii="Sakkal Majalla" w:hAnsi="Sakkal Majalla" w:hint="cs"/>
          <w:sz w:val="27"/>
          <w:rtl/>
        </w:rPr>
        <w:t xml:space="preserve">ن </w:t>
      </w:r>
      <w:r w:rsidRPr="00282AC9">
        <w:rPr>
          <w:rFonts w:ascii="Times New Roman" w:hAnsi="Times New Roman" w:hint="cs"/>
          <w:sz w:val="27"/>
          <w:rtl/>
        </w:rPr>
        <w:t>ي</w:t>
      </w:r>
      <w:r w:rsidRPr="00282AC9">
        <w:rPr>
          <w:rFonts w:ascii="Sakkal Majalla" w:hAnsi="Sakkal Majalla" w:hint="cs"/>
          <w:sz w:val="27"/>
          <w:rtl/>
        </w:rPr>
        <w:t>د</w:t>
      </w:r>
      <w:r w:rsidRPr="00282AC9">
        <w:rPr>
          <w:rFonts w:ascii="Times New Roman" w:hAnsi="Times New Roman" w:hint="cs"/>
          <w:sz w:val="27"/>
          <w:rtl/>
        </w:rPr>
        <w:t>ي</w:t>
      </w:r>
      <w:r w:rsidRPr="00282AC9">
        <w:rPr>
          <w:rFonts w:ascii="Sakkal Majalla" w:hAnsi="Sakkal Majalla" w:hint="cs"/>
          <w:sz w:val="27"/>
          <w:rtl/>
        </w:rPr>
        <w:t>ه ولا من خلفه</w:t>
      </w:r>
      <w:r w:rsidR="00F5766E" w:rsidRPr="00282AC9">
        <w:rPr>
          <w:rFonts w:ascii="Sakkal Majalla" w:hAnsi="Sakkal Majalla" w:hint="cs"/>
          <w:sz w:val="27"/>
          <w:rtl/>
        </w:rPr>
        <w:t>،</w:t>
      </w:r>
      <w:r w:rsidRPr="00282AC9">
        <w:rPr>
          <w:rFonts w:ascii="Sakkal Majalla" w:hAnsi="Sakkal Majalla" w:hint="cs"/>
          <w:sz w:val="27"/>
          <w:rtl/>
        </w:rPr>
        <w:t xml:space="preserve"> وقد تكفّل الله سبحانه وتعال</w:t>
      </w:r>
      <w:r w:rsidR="00F5766E" w:rsidRPr="00282AC9">
        <w:rPr>
          <w:rFonts w:ascii="Times New Roman" w:hAnsi="Times New Roman" w:hint="cs"/>
          <w:sz w:val="27"/>
          <w:rtl/>
        </w:rPr>
        <w:t>ى</w:t>
      </w:r>
      <w:r w:rsidRPr="00282AC9">
        <w:rPr>
          <w:rFonts w:ascii="Sakkal Majalla" w:hAnsi="Sakkal Majalla" w:hint="cs"/>
          <w:sz w:val="27"/>
          <w:rtl/>
        </w:rPr>
        <w:t xml:space="preserve"> بذلك</w:t>
      </w:r>
      <w:r w:rsidR="00F5766E" w:rsidRPr="00282AC9">
        <w:rPr>
          <w:rFonts w:ascii="Sakkal Majalla" w:hAnsi="Sakkal Majalla" w:hint="cs"/>
          <w:sz w:val="27"/>
          <w:rtl/>
        </w:rPr>
        <w:t>، حيث قال</w:t>
      </w:r>
      <w:r w:rsidRPr="00282AC9">
        <w:rPr>
          <w:rFonts w:ascii="Sakkal Majalla" w:hAnsi="Sakkal Majalla" w:hint="cs"/>
          <w:sz w:val="27"/>
          <w:rtl/>
        </w:rPr>
        <w:t xml:space="preserve">: </w:t>
      </w:r>
      <w:r w:rsidRPr="00282AC9">
        <w:rPr>
          <w:rFonts w:ascii="Mosawi" w:hAnsi="Mosawi" w:cs="Mosawi"/>
          <w:sz w:val="24"/>
          <w:szCs w:val="24"/>
          <w:rtl/>
        </w:rPr>
        <w:t>﴿</w:t>
      </w:r>
      <w:r w:rsidRPr="00282AC9">
        <w:rPr>
          <w:rFonts w:ascii="Sakkal Majalla" w:hAnsi="Sakkal Majalla" w:hint="cs"/>
          <w:b/>
          <w:bCs/>
          <w:sz w:val="27"/>
          <w:rtl/>
        </w:rPr>
        <w:t>إِنَّا</w:t>
      </w:r>
      <w:r w:rsidRPr="00282AC9">
        <w:rPr>
          <w:rFonts w:ascii="Sakkal Majalla" w:hAnsi="Sakkal Majalla"/>
          <w:b/>
          <w:bCs/>
          <w:sz w:val="27"/>
          <w:rtl/>
        </w:rPr>
        <w:t xml:space="preserve"> </w:t>
      </w:r>
      <w:r w:rsidRPr="00282AC9">
        <w:rPr>
          <w:rFonts w:ascii="Sakkal Majalla" w:hAnsi="Sakkal Majalla" w:hint="cs"/>
          <w:b/>
          <w:bCs/>
          <w:sz w:val="27"/>
          <w:rtl/>
        </w:rPr>
        <w:t>نَحْنُ</w:t>
      </w:r>
      <w:r w:rsidRPr="00282AC9">
        <w:rPr>
          <w:rFonts w:ascii="Sakkal Majalla" w:hAnsi="Sakkal Majalla"/>
          <w:b/>
          <w:bCs/>
          <w:sz w:val="27"/>
          <w:rtl/>
        </w:rPr>
        <w:t xml:space="preserve"> </w:t>
      </w:r>
      <w:r w:rsidRPr="00282AC9">
        <w:rPr>
          <w:rFonts w:ascii="Sakkal Majalla" w:hAnsi="Sakkal Majalla" w:hint="cs"/>
          <w:b/>
          <w:bCs/>
          <w:sz w:val="27"/>
          <w:rtl/>
        </w:rPr>
        <w:t>نَزَّلْنَا</w:t>
      </w:r>
      <w:r w:rsidRPr="00282AC9">
        <w:rPr>
          <w:rFonts w:ascii="Sakkal Majalla" w:hAnsi="Sakkal Majalla"/>
          <w:b/>
          <w:bCs/>
          <w:sz w:val="27"/>
          <w:rtl/>
        </w:rPr>
        <w:t xml:space="preserve"> </w:t>
      </w:r>
      <w:r w:rsidRPr="00282AC9">
        <w:rPr>
          <w:rFonts w:ascii="Sakkal Majalla" w:hAnsi="Sakkal Majalla" w:hint="cs"/>
          <w:b/>
          <w:bCs/>
          <w:sz w:val="27"/>
          <w:rtl/>
        </w:rPr>
        <w:t>الذِّكْرَ</w:t>
      </w:r>
      <w:r w:rsidRPr="00282AC9">
        <w:rPr>
          <w:rFonts w:ascii="Sakkal Majalla" w:hAnsi="Sakkal Majalla"/>
          <w:b/>
          <w:bCs/>
          <w:sz w:val="27"/>
          <w:rtl/>
        </w:rPr>
        <w:t xml:space="preserve"> و</w:t>
      </w:r>
      <w:r w:rsidRPr="00282AC9">
        <w:rPr>
          <w:rFonts w:ascii="Sakkal Majalla" w:hAnsi="Sakkal Majalla" w:hint="cs"/>
          <w:b/>
          <w:bCs/>
          <w:sz w:val="27"/>
          <w:rtl/>
        </w:rPr>
        <w:t>إِنَّا</w:t>
      </w:r>
      <w:r w:rsidRPr="00282AC9">
        <w:rPr>
          <w:rFonts w:ascii="Sakkal Majalla" w:hAnsi="Sakkal Majalla"/>
          <w:b/>
          <w:bCs/>
          <w:sz w:val="27"/>
          <w:rtl/>
        </w:rPr>
        <w:t xml:space="preserve"> </w:t>
      </w:r>
      <w:r w:rsidRPr="00282AC9">
        <w:rPr>
          <w:rFonts w:ascii="Sakkal Majalla" w:hAnsi="Sakkal Majalla" w:hint="cs"/>
          <w:b/>
          <w:bCs/>
          <w:sz w:val="27"/>
          <w:rtl/>
        </w:rPr>
        <w:t>لَهُ</w:t>
      </w:r>
      <w:r w:rsidRPr="00282AC9">
        <w:rPr>
          <w:rFonts w:ascii="Sakkal Majalla" w:hAnsi="Sakkal Majalla"/>
          <w:b/>
          <w:bCs/>
          <w:sz w:val="27"/>
          <w:rtl/>
        </w:rPr>
        <w:t xml:space="preserve"> </w:t>
      </w:r>
      <w:r w:rsidRPr="00282AC9">
        <w:rPr>
          <w:rFonts w:ascii="Sakkal Majalla" w:hAnsi="Sakkal Majalla" w:hint="cs"/>
          <w:b/>
          <w:bCs/>
          <w:sz w:val="27"/>
          <w:rtl/>
        </w:rPr>
        <w:t>لَحافِظُون</w:t>
      </w:r>
      <w:r w:rsidRPr="00282AC9">
        <w:rPr>
          <w:rFonts w:ascii="Mosawi" w:hAnsi="Mosawi" w:cs="Mosawi"/>
          <w:sz w:val="24"/>
          <w:szCs w:val="24"/>
          <w:rtl/>
        </w:rPr>
        <w:t>﴾</w:t>
      </w:r>
      <w:r w:rsidRPr="00282AC9">
        <w:rPr>
          <w:rFonts w:ascii="Sakkal Majalla" w:hAnsi="Sakkal Majalla" w:hint="cs"/>
          <w:sz w:val="27"/>
          <w:rtl/>
        </w:rPr>
        <w:t xml:space="preserve"> (الحجر: 9)</w:t>
      </w:r>
      <w:r w:rsidR="00F5766E" w:rsidRPr="00282AC9">
        <w:rPr>
          <w:rFonts w:ascii="Sakkal Majalla" w:hAnsi="Sakkal Majalla" w:hint="cs"/>
          <w:sz w:val="27"/>
          <w:rtl/>
        </w:rPr>
        <w:t>،</w:t>
      </w:r>
      <w:r w:rsidRPr="00282AC9">
        <w:rPr>
          <w:rFonts w:ascii="Sakkal Majalla" w:hAnsi="Sakkal Majalla" w:hint="cs"/>
          <w:sz w:val="27"/>
          <w:rtl/>
        </w:rPr>
        <w:t xml:space="preserve"> وهو ذكر وهد</w:t>
      </w:r>
      <w:r w:rsidR="00F5766E" w:rsidRPr="00282AC9">
        <w:rPr>
          <w:rFonts w:ascii="Times New Roman" w:hAnsi="Times New Roman" w:hint="cs"/>
          <w:sz w:val="27"/>
          <w:rtl/>
        </w:rPr>
        <w:t>ى</w:t>
      </w:r>
      <w:r w:rsidRPr="00282AC9">
        <w:rPr>
          <w:rFonts w:ascii="Sakkal Majalla" w:hAnsi="Sakkal Majalla" w:hint="cs"/>
          <w:sz w:val="27"/>
          <w:rtl/>
        </w:rPr>
        <w:t xml:space="preserve"> ونور، فم</w:t>
      </w:r>
      <w:r w:rsidR="00F5766E" w:rsidRPr="00282AC9">
        <w:rPr>
          <w:rFonts w:ascii="Sakkal Majalla" w:hAnsi="Sakkal Majalla" w:hint="cs"/>
          <w:sz w:val="27"/>
          <w:rtl/>
        </w:rPr>
        <w:t>َ</w:t>
      </w:r>
      <w:r w:rsidRPr="00282AC9">
        <w:rPr>
          <w:rFonts w:ascii="Sakkal Majalla" w:hAnsi="Sakkal Majalla" w:hint="cs"/>
          <w:sz w:val="27"/>
          <w:rtl/>
        </w:rPr>
        <w:t>ن</w:t>
      </w:r>
      <w:r w:rsidR="00F5766E" w:rsidRPr="00282AC9">
        <w:rPr>
          <w:rFonts w:ascii="Sakkal Majalla" w:hAnsi="Sakkal Majalla" w:hint="cs"/>
          <w:sz w:val="27"/>
          <w:rtl/>
        </w:rPr>
        <w:t>ْ</w:t>
      </w:r>
      <w:r w:rsidRPr="00282AC9">
        <w:rPr>
          <w:rFonts w:ascii="Sakkal Majalla" w:hAnsi="Sakkal Majalla" w:hint="cs"/>
          <w:sz w:val="27"/>
          <w:rtl/>
        </w:rPr>
        <w:t xml:space="preserve"> تمسك به وبع</w:t>
      </w:r>
      <w:r w:rsidR="00F5766E" w:rsidRPr="00282AC9">
        <w:rPr>
          <w:rFonts w:ascii="Sakkal Majalla" w:hAnsi="Sakkal Majalla" w:hint="cs"/>
          <w:sz w:val="27"/>
          <w:rtl/>
        </w:rPr>
        <w:t>ِ</w:t>
      </w:r>
      <w:r w:rsidRPr="00282AC9">
        <w:rPr>
          <w:rFonts w:ascii="Sakkal Majalla" w:hAnsi="Sakkal Majalla" w:hint="cs"/>
          <w:sz w:val="27"/>
          <w:rtl/>
        </w:rPr>
        <w:t>د</w:t>
      </w:r>
      <w:r w:rsidR="00F5766E" w:rsidRPr="00282AC9">
        <w:rPr>
          <w:rFonts w:ascii="Sakkal Majalla" w:hAnsi="Sakkal Majalla" w:hint="cs"/>
          <w:sz w:val="27"/>
          <w:rtl/>
        </w:rPr>
        <w:t>ْ</w:t>
      </w:r>
      <w:r w:rsidRPr="00282AC9">
        <w:rPr>
          <w:rFonts w:ascii="Sakkal Majalla" w:hAnsi="Sakkal Majalla" w:hint="cs"/>
          <w:sz w:val="27"/>
          <w:rtl/>
        </w:rPr>
        <w:t>له آل محمد</w:t>
      </w:r>
      <w:r w:rsidR="009A2A04" w:rsidRPr="00282AC9">
        <w:rPr>
          <w:rFonts w:ascii="Sakkal Majalla" w:hAnsi="Sakkal Majalla" w:cs="Mosawi" w:hint="cs"/>
          <w:sz w:val="22"/>
          <w:szCs w:val="22"/>
          <w:rtl/>
        </w:rPr>
        <w:t>|</w:t>
      </w:r>
      <w:r w:rsidRPr="00282AC9">
        <w:rPr>
          <w:rFonts w:ascii="Sakkal Majalla" w:hAnsi="Sakkal Majalla" w:hint="cs"/>
          <w:sz w:val="27"/>
          <w:rtl/>
        </w:rPr>
        <w:t xml:space="preserve"> لن </w:t>
      </w:r>
      <w:r w:rsidRPr="00282AC9">
        <w:rPr>
          <w:rFonts w:ascii="Times New Roman" w:hAnsi="Times New Roman" w:hint="cs"/>
          <w:sz w:val="27"/>
          <w:rtl/>
        </w:rPr>
        <w:t>ي</w:t>
      </w:r>
      <w:r w:rsidRPr="00282AC9">
        <w:rPr>
          <w:rFonts w:ascii="Sakkal Majalla" w:hAnsi="Sakkal Majalla" w:hint="cs"/>
          <w:sz w:val="27"/>
          <w:rtl/>
        </w:rPr>
        <w:t>ضلّ أبداً.</w:t>
      </w:r>
    </w:p>
    <w:p w:rsidR="00F5766E" w:rsidRPr="00282AC9" w:rsidRDefault="00AD6E36" w:rsidP="001D1A88">
      <w:pPr>
        <w:rPr>
          <w:rFonts w:ascii="Sakkal Majalla" w:hAnsi="Sakkal Majalla"/>
          <w:sz w:val="27"/>
          <w:rtl/>
        </w:rPr>
      </w:pPr>
      <w:r w:rsidRPr="00282AC9">
        <w:rPr>
          <w:rFonts w:ascii="Sakkal Majalla" w:hAnsi="Sakkal Majalla" w:hint="cs"/>
          <w:sz w:val="27"/>
          <w:rtl/>
        </w:rPr>
        <w:t xml:space="preserve">ومن هذا المنطلق </w:t>
      </w:r>
      <w:r w:rsidRPr="00282AC9">
        <w:rPr>
          <w:rFonts w:ascii="Times New Roman" w:hAnsi="Times New Roman" w:hint="cs"/>
          <w:sz w:val="27"/>
          <w:rtl/>
        </w:rPr>
        <w:t>ي</w:t>
      </w:r>
      <w:r w:rsidRPr="00282AC9">
        <w:rPr>
          <w:rFonts w:ascii="Sakkal Majalla" w:hAnsi="Sakkal Majalla" w:hint="cs"/>
          <w:sz w:val="27"/>
          <w:rtl/>
        </w:rPr>
        <w:t>أتي بحثنا في هذه المسألة القر</w:t>
      </w:r>
      <w:r w:rsidR="00F5766E" w:rsidRPr="00282AC9">
        <w:rPr>
          <w:rFonts w:ascii="Sakkal Majalla" w:hAnsi="Sakkal Majalla" w:hint="cs"/>
          <w:sz w:val="27"/>
          <w:rtl/>
        </w:rPr>
        <w:t>آ</w:t>
      </w:r>
      <w:r w:rsidRPr="00282AC9">
        <w:rPr>
          <w:rFonts w:ascii="Sakkal Majalla" w:hAnsi="Sakkal Majalla" w:hint="cs"/>
          <w:sz w:val="27"/>
          <w:rtl/>
        </w:rPr>
        <w:t>ن</w:t>
      </w:r>
      <w:r w:rsidRPr="00282AC9">
        <w:rPr>
          <w:rFonts w:ascii="Times New Roman" w:hAnsi="Times New Roman" w:hint="cs"/>
          <w:sz w:val="27"/>
          <w:rtl/>
        </w:rPr>
        <w:t>ي</w:t>
      </w:r>
      <w:r w:rsidRPr="00282AC9">
        <w:rPr>
          <w:rFonts w:ascii="Sakkal Majalla" w:hAnsi="Sakkal Majalla" w:hint="cs"/>
          <w:sz w:val="27"/>
          <w:rtl/>
        </w:rPr>
        <w:t>ة، وهي توق</w:t>
      </w:r>
      <w:r w:rsidRPr="00282AC9">
        <w:rPr>
          <w:rFonts w:ascii="Times New Roman" w:hAnsi="Times New Roman" w:hint="cs"/>
          <w:sz w:val="27"/>
          <w:rtl/>
        </w:rPr>
        <w:t>ي</w:t>
      </w:r>
      <w:r w:rsidRPr="00282AC9">
        <w:rPr>
          <w:rFonts w:ascii="Sakkal Majalla" w:hAnsi="Sakkal Majalla" w:hint="cs"/>
          <w:sz w:val="27"/>
          <w:rtl/>
        </w:rPr>
        <w:t>ف</w:t>
      </w:r>
      <w:r w:rsidRPr="00282AC9">
        <w:rPr>
          <w:rFonts w:ascii="Times New Roman" w:hAnsi="Times New Roman" w:hint="cs"/>
          <w:sz w:val="27"/>
          <w:rtl/>
        </w:rPr>
        <w:t>ي</w:t>
      </w:r>
      <w:r w:rsidRPr="00282AC9">
        <w:rPr>
          <w:rFonts w:ascii="Sakkal Majalla" w:hAnsi="Sakkal Majalla" w:hint="cs"/>
          <w:sz w:val="27"/>
          <w:rtl/>
        </w:rPr>
        <w:t>ة ترت</w:t>
      </w:r>
      <w:r w:rsidRPr="00282AC9">
        <w:rPr>
          <w:rFonts w:ascii="Times New Roman" w:hAnsi="Times New Roman" w:hint="cs"/>
          <w:sz w:val="27"/>
          <w:rtl/>
        </w:rPr>
        <w:t>ي</w:t>
      </w:r>
      <w:r w:rsidRPr="00282AC9">
        <w:rPr>
          <w:rFonts w:ascii="Sakkal Majalla" w:hAnsi="Sakkal Majalla" w:hint="cs"/>
          <w:sz w:val="27"/>
          <w:rtl/>
        </w:rPr>
        <w:t>ب الآ</w:t>
      </w:r>
      <w:r w:rsidRPr="00282AC9">
        <w:rPr>
          <w:rFonts w:ascii="Times New Roman" w:hAnsi="Times New Roman" w:hint="cs"/>
          <w:sz w:val="27"/>
          <w:rtl/>
        </w:rPr>
        <w:t>ي</w:t>
      </w:r>
      <w:r w:rsidRPr="00282AC9">
        <w:rPr>
          <w:rFonts w:ascii="Sakkal Majalla" w:hAnsi="Sakkal Majalla" w:hint="cs"/>
          <w:sz w:val="27"/>
          <w:rtl/>
        </w:rPr>
        <w:t>ات الكر</w:t>
      </w:r>
      <w:r w:rsidRPr="00282AC9">
        <w:rPr>
          <w:rFonts w:ascii="Times New Roman" w:hAnsi="Times New Roman" w:hint="cs"/>
          <w:sz w:val="27"/>
          <w:rtl/>
        </w:rPr>
        <w:t>ي</w:t>
      </w:r>
      <w:r w:rsidRPr="00282AC9">
        <w:rPr>
          <w:rFonts w:ascii="Sakkal Majalla" w:hAnsi="Sakkal Majalla" w:hint="cs"/>
          <w:sz w:val="27"/>
          <w:rtl/>
        </w:rPr>
        <w:t>مة أو عدم توق</w:t>
      </w:r>
      <w:r w:rsidRPr="00282AC9">
        <w:rPr>
          <w:rFonts w:ascii="Times New Roman" w:hAnsi="Times New Roman" w:hint="cs"/>
          <w:sz w:val="27"/>
          <w:rtl/>
        </w:rPr>
        <w:t>ي</w:t>
      </w:r>
      <w:r w:rsidRPr="00282AC9">
        <w:rPr>
          <w:rFonts w:ascii="Sakkal Majalla" w:hAnsi="Sakkal Majalla" w:hint="cs"/>
          <w:sz w:val="27"/>
          <w:rtl/>
        </w:rPr>
        <w:t>ف</w:t>
      </w:r>
      <w:r w:rsidRPr="00282AC9">
        <w:rPr>
          <w:rFonts w:ascii="Times New Roman" w:hAnsi="Times New Roman" w:hint="cs"/>
          <w:sz w:val="27"/>
          <w:rtl/>
        </w:rPr>
        <w:t>ي</w:t>
      </w:r>
      <w:r w:rsidR="00F5766E" w:rsidRPr="00282AC9">
        <w:rPr>
          <w:rFonts w:ascii="Times New Roman" w:hAnsi="Times New Roman" w:hint="cs"/>
          <w:sz w:val="27"/>
          <w:rtl/>
        </w:rPr>
        <w:t>ّ</w:t>
      </w:r>
      <w:r w:rsidRPr="00282AC9">
        <w:rPr>
          <w:rFonts w:ascii="Sakkal Majalla" w:hAnsi="Sakkal Majalla" w:hint="cs"/>
          <w:sz w:val="27"/>
          <w:rtl/>
        </w:rPr>
        <w:t>تها</w:t>
      </w:r>
      <w:r w:rsidR="00F5766E" w:rsidRPr="00282AC9">
        <w:rPr>
          <w:rFonts w:ascii="Sakkal Majalla" w:hAnsi="Sakkal Majalla" w:hint="cs"/>
          <w:sz w:val="27"/>
          <w:rtl/>
        </w:rPr>
        <w:t>.</w:t>
      </w:r>
    </w:p>
    <w:p w:rsidR="00FD6C76" w:rsidRPr="00282AC9" w:rsidRDefault="00AD6E36" w:rsidP="001D1A88">
      <w:pPr>
        <w:rPr>
          <w:rFonts w:ascii="Sakkal Majalla" w:hAnsi="Sakkal Majalla"/>
          <w:sz w:val="27"/>
          <w:rtl/>
        </w:rPr>
      </w:pPr>
      <w:r w:rsidRPr="00282AC9">
        <w:rPr>
          <w:rFonts w:ascii="Sakkal Majalla" w:hAnsi="Sakkal Majalla" w:hint="cs"/>
          <w:sz w:val="27"/>
          <w:rtl/>
        </w:rPr>
        <w:t>والمعروف ب</w:t>
      </w:r>
      <w:r w:rsidRPr="00282AC9">
        <w:rPr>
          <w:rFonts w:ascii="Times New Roman" w:hAnsi="Times New Roman" w:hint="cs"/>
          <w:sz w:val="27"/>
          <w:rtl/>
        </w:rPr>
        <w:t>ي</w:t>
      </w:r>
      <w:r w:rsidRPr="00282AC9">
        <w:rPr>
          <w:rFonts w:ascii="Sakkal Majalla" w:hAnsi="Sakkal Majalla" w:hint="cs"/>
          <w:sz w:val="27"/>
          <w:rtl/>
        </w:rPr>
        <w:t>ن المحد</w:t>
      </w:r>
      <w:r w:rsidR="00F5766E" w:rsidRPr="00282AC9">
        <w:rPr>
          <w:rFonts w:ascii="Sakkal Majalla" w:hAnsi="Sakkal Majalla" w:hint="cs"/>
          <w:sz w:val="27"/>
          <w:rtl/>
        </w:rPr>
        <w:t>ِّ</w:t>
      </w:r>
      <w:r w:rsidRPr="00282AC9">
        <w:rPr>
          <w:rFonts w:ascii="Sakkal Majalla" w:hAnsi="Sakkal Majalla" w:hint="cs"/>
          <w:sz w:val="27"/>
          <w:rtl/>
        </w:rPr>
        <w:t>ث</w:t>
      </w:r>
      <w:r w:rsidRPr="00282AC9">
        <w:rPr>
          <w:rFonts w:ascii="Times New Roman" w:hAnsi="Times New Roman" w:hint="cs"/>
          <w:sz w:val="27"/>
          <w:rtl/>
        </w:rPr>
        <w:t>ي</w:t>
      </w:r>
      <w:r w:rsidRPr="00282AC9">
        <w:rPr>
          <w:rFonts w:ascii="Sakkal Majalla" w:hAnsi="Sakkal Majalla" w:hint="cs"/>
          <w:sz w:val="27"/>
          <w:rtl/>
        </w:rPr>
        <w:t>ن والمفس</w:t>
      </w:r>
      <w:r w:rsidR="00F5766E" w:rsidRPr="00282AC9">
        <w:rPr>
          <w:rFonts w:ascii="Sakkal Majalla" w:hAnsi="Sakkal Majalla" w:hint="cs"/>
          <w:sz w:val="27"/>
          <w:rtl/>
        </w:rPr>
        <w:t>ِّ</w:t>
      </w:r>
      <w:r w:rsidRPr="00282AC9">
        <w:rPr>
          <w:rFonts w:ascii="Sakkal Majalla" w:hAnsi="Sakkal Majalla" w:hint="cs"/>
          <w:sz w:val="27"/>
          <w:rtl/>
        </w:rPr>
        <w:t>ر</w:t>
      </w:r>
      <w:r w:rsidRPr="00282AC9">
        <w:rPr>
          <w:rFonts w:ascii="Times New Roman" w:hAnsi="Times New Roman" w:hint="cs"/>
          <w:sz w:val="27"/>
          <w:rtl/>
        </w:rPr>
        <w:t>ي</w:t>
      </w:r>
      <w:r w:rsidRPr="00282AC9">
        <w:rPr>
          <w:rFonts w:ascii="Sakkal Majalla" w:hAnsi="Sakkal Majalla" w:hint="cs"/>
          <w:sz w:val="27"/>
          <w:rtl/>
        </w:rPr>
        <w:t>ن الإمام</w:t>
      </w:r>
      <w:r w:rsidRPr="00282AC9">
        <w:rPr>
          <w:rFonts w:ascii="Times New Roman" w:hAnsi="Times New Roman" w:hint="cs"/>
          <w:sz w:val="27"/>
          <w:rtl/>
        </w:rPr>
        <w:t>ي</w:t>
      </w:r>
      <w:r w:rsidR="00F5766E" w:rsidRPr="00282AC9">
        <w:rPr>
          <w:rFonts w:ascii="Sakkal Majalla" w:hAnsi="Sakkal Majalla" w:hint="cs"/>
          <w:sz w:val="27"/>
          <w:rtl/>
        </w:rPr>
        <w:t>ّ</w:t>
      </w:r>
      <w:r w:rsidRPr="00282AC9">
        <w:rPr>
          <w:rFonts w:ascii="Sakkal Majalla" w:hAnsi="Sakkal Majalla" w:hint="cs"/>
          <w:sz w:val="27"/>
          <w:rtl/>
        </w:rPr>
        <w:t>ة</w:t>
      </w:r>
      <w:r w:rsidR="00F5766E" w:rsidRPr="00282AC9">
        <w:rPr>
          <w:rFonts w:ascii="Sakkal Majalla" w:hAnsi="Sakkal Majalla" w:hint="cs"/>
          <w:sz w:val="27"/>
          <w:rtl/>
        </w:rPr>
        <w:t>،</w:t>
      </w:r>
      <w:r w:rsidRPr="00282AC9">
        <w:rPr>
          <w:rFonts w:ascii="Sakkal Majalla" w:hAnsi="Sakkal Majalla" w:hint="cs"/>
          <w:sz w:val="27"/>
          <w:rtl/>
        </w:rPr>
        <w:t xml:space="preserve"> كالش</w:t>
      </w:r>
      <w:r w:rsidRPr="00282AC9">
        <w:rPr>
          <w:rFonts w:ascii="Times New Roman" w:hAnsi="Times New Roman" w:hint="cs"/>
          <w:sz w:val="27"/>
          <w:rtl/>
        </w:rPr>
        <w:t>ي</w:t>
      </w:r>
      <w:r w:rsidRPr="00282AC9">
        <w:rPr>
          <w:rFonts w:ascii="Sakkal Majalla" w:hAnsi="Sakkal Majalla" w:hint="cs"/>
          <w:sz w:val="27"/>
          <w:rtl/>
        </w:rPr>
        <w:t>خ الصدوق والس</w:t>
      </w:r>
      <w:r w:rsidRPr="00282AC9">
        <w:rPr>
          <w:rFonts w:ascii="Times New Roman" w:hAnsi="Times New Roman" w:hint="cs"/>
          <w:sz w:val="27"/>
          <w:rtl/>
        </w:rPr>
        <w:t>ي</w:t>
      </w:r>
      <w:r w:rsidRPr="00282AC9">
        <w:rPr>
          <w:rFonts w:ascii="Sakkal Majalla" w:hAnsi="Sakkal Majalla" w:hint="cs"/>
          <w:sz w:val="27"/>
          <w:rtl/>
        </w:rPr>
        <w:t>د المرتض</w:t>
      </w:r>
      <w:r w:rsidR="00F5766E" w:rsidRPr="00282AC9">
        <w:rPr>
          <w:rFonts w:ascii="Times New Roman" w:hAnsi="Times New Roman" w:hint="cs"/>
          <w:sz w:val="27"/>
          <w:rtl/>
        </w:rPr>
        <w:t>ى</w:t>
      </w:r>
      <w:r w:rsidRPr="00282AC9">
        <w:rPr>
          <w:rFonts w:ascii="Sakkal Majalla" w:hAnsi="Sakkal Majalla" w:hint="cs"/>
          <w:sz w:val="27"/>
          <w:rtl/>
        </w:rPr>
        <w:t xml:space="preserve"> والش</w:t>
      </w:r>
      <w:r w:rsidRPr="00282AC9">
        <w:rPr>
          <w:rFonts w:ascii="Times New Roman" w:hAnsi="Times New Roman" w:hint="cs"/>
          <w:sz w:val="27"/>
          <w:rtl/>
        </w:rPr>
        <w:t>ي</w:t>
      </w:r>
      <w:r w:rsidRPr="00282AC9">
        <w:rPr>
          <w:rFonts w:ascii="Sakkal Majalla" w:hAnsi="Sakkal Majalla" w:hint="cs"/>
          <w:sz w:val="27"/>
          <w:rtl/>
        </w:rPr>
        <w:t>خ الطوسي والش</w:t>
      </w:r>
      <w:r w:rsidRPr="00282AC9">
        <w:rPr>
          <w:rFonts w:ascii="Times New Roman" w:hAnsi="Times New Roman" w:hint="cs"/>
          <w:sz w:val="27"/>
          <w:rtl/>
        </w:rPr>
        <w:t>ي</w:t>
      </w:r>
      <w:r w:rsidRPr="00282AC9">
        <w:rPr>
          <w:rFonts w:ascii="Sakkal Majalla" w:hAnsi="Sakkal Majalla" w:hint="cs"/>
          <w:sz w:val="27"/>
          <w:rtl/>
        </w:rPr>
        <w:t>خ الطبرسي والس</w:t>
      </w:r>
      <w:r w:rsidRPr="00282AC9">
        <w:rPr>
          <w:rFonts w:ascii="Times New Roman" w:hAnsi="Times New Roman" w:hint="cs"/>
          <w:sz w:val="27"/>
          <w:rtl/>
        </w:rPr>
        <w:t>ي</w:t>
      </w:r>
      <w:r w:rsidRPr="00282AC9">
        <w:rPr>
          <w:rFonts w:ascii="Sakkal Majalla" w:hAnsi="Sakkal Majalla" w:hint="cs"/>
          <w:sz w:val="27"/>
          <w:rtl/>
        </w:rPr>
        <w:t xml:space="preserve">د </w:t>
      </w:r>
      <w:r w:rsidR="00F5766E" w:rsidRPr="00282AC9">
        <w:rPr>
          <w:rFonts w:ascii="Sakkal Majalla" w:hAnsi="Sakkal Majalla" w:hint="cs"/>
          <w:sz w:val="27"/>
          <w:rtl/>
        </w:rPr>
        <w:t>ا</w:t>
      </w:r>
      <w:r w:rsidRPr="00282AC9">
        <w:rPr>
          <w:rFonts w:ascii="Sakkal Majalla" w:hAnsi="Sakkal Majalla" w:hint="cs"/>
          <w:sz w:val="27"/>
          <w:rtl/>
        </w:rPr>
        <w:t>بن طاووس والس</w:t>
      </w:r>
      <w:r w:rsidRPr="00282AC9">
        <w:rPr>
          <w:rFonts w:ascii="Times New Roman" w:hAnsi="Times New Roman" w:hint="cs"/>
          <w:sz w:val="27"/>
          <w:rtl/>
        </w:rPr>
        <w:t>ي</w:t>
      </w:r>
      <w:r w:rsidRPr="00282AC9">
        <w:rPr>
          <w:rFonts w:ascii="Sakkal Majalla" w:hAnsi="Sakkal Majalla" w:hint="cs"/>
          <w:sz w:val="27"/>
          <w:rtl/>
        </w:rPr>
        <w:t>د الخوئ</w:t>
      </w:r>
      <w:r w:rsidRPr="00282AC9">
        <w:rPr>
          <w:rFonts w:ascii="Times New Roman" w:hAnsi="Times New Roman" w:hint="cs"/>
          <w:sz w:val="27"/>
          <w:rtl/>
        </w:rPr>
        <w:t>ي</w:t>
      </w:r>
      <w:r w:rsidR="00F5766E" w:rsidRPr="00282AC9">
        <w:rPr>
          <w:rFonts w:ascii="Sakkal Majalla" w:hAnsi="Sakkal Majalla" w:hint="cs"/>
          <w:sz w:val="27"/>
          <w:rtl/>
        </w:rPr>
        <w:t>،</w:t>
      </w:r>
      <w:r w:rsidRPr="00282AC9">
        <w:rPr>
          <w:rFonts w:ascii="Sakkal Majalla" w:hAnsi="Sakkal Majalla" w:hint="cs"/>
          <w:sz w:val="27"/>
          <w:rtl/>
        </w:rPr>
        <w:t xml:space="preserve"> </w:t>
      </w:r>
      <w:r w:rsidR="00F5766E" w:rsidRPr="00282AC9">
        <w:rPr>
          <w:rFonts w:ascii="Sakkal Majalla" w:hAnsi="Sakkal Majalla" w:hint="cs"/>
          <w:sz w:val="27"/>
          <w:rtl/>
        </w:rPr>
        <w:t>أ</w:t>
      </w:r>
      <w:r w:rsidRPr="00282AC9">
        <w:rPr>
          <w:rFonts w:ascii="Sakkal Majalla" w:hAnsi="Sakkal Majalla"/>
          <w:sz w:val="27"/>
          <w:rtl/>
        </w:rPr>
        <w:t>نّ ترت</w:t>
      </w:r>
      <w:r w:rsidRPr="00282AC9">
        <w:rPr>
          <w:rFonts w:ascii="Times New Roman" w:hAnsi="Times New Roman" w:hint="cs"/>
          <w:sz w:val="27"/>
          <w:rtl/>
        </w:rPr>
        <w:t>ي</w:t>
      </w:r>
      <w:r w:rsidRPr="00282AC9">
        <w:rPr>
          <w:rFonts w:ascii="Sakkal Majalla" w:hAnsi="Sakkal Majalla" w:hint="cs"/>
          <w:sz w:val="27"/>
          <w:rtl/>
        </w:rPr>
        <w:t>ب</w:t>
      </w:r>
      <w:r w:rsidRPr="00282AC9">
        <w:rPr>
          <w:rFonts w:ascii="Sakkal Majalla" w:hAnsi="Sakkal Majalla"/>
          <w:sz w:val="27"/>
          <w:rtl/>
        </w:rPr>
        <w:t xml:space="preserve"> </w:t>
      </w:r>
      <w:r w:rsidRPr="00282AC9">
        <w:rPr>
          <w:rFonts w:ascii="Sakkal Majalla" w:hAnsi="Sakkal Majalla" w:hint="cs"/>
          <w:sz w:val="27"/>
          <w:rtl/>
        </w:rPr>
        <w:t>الآ</w:t>
      </w:r>
      <w:r w:rsidRPr="00282AC9">
        <w:rPr>
          <w:rFonts w:ascii="Times New Roman" w:hAnsi="Times New Roman" w:hint="cs"/>
          <w:sz w:val="27"/>
          <w:rtl/>
        </w:rPr>
        <w:t>ي</w:t>
      </w:r>
      <w:r w:rsidRPr="00282AC9">
        <w:rPr>
          <w:rFonts w:ascii="Sakkal Majalla" w:hAnsi="Sakkal Majalla" w:hint="cs"/>
          <w:sz w:val="27"/>
          <w:rtl/>
        </w:rPr>
        <w:t>ات</w:t>
      </w:r>
      <w:r w:rsidRPr="00282AC9">
        <w:rPr>
          <w:rFonts w:ascii="Sakkal Majalla" w:hAnsi="Sakkal Majalla"/>
          <w:sz w:val="27"/>
          <w:rtl/>
        </w:rPr>
        <w:t xml:space="preserve"> </w:t>
      </w:r>
      <w:r w:rsidRPr="00282AC9">
        <w:rPr>
          <w:rFonts w:ascii="Sakkal Majalla" w:hAnsi="Sakkal Majalla" w:hint="cs"/>
          <w:sz w:val="27"/>
          <w:rtl/>
        </w:rPr>
        <w:t>توق</w:t>
      </w:r>
      <w:r w:rsidRPr="00282AC9">
        <w:rPr>
          <w:rFonts w:ascii="Times New Roman" w:hAnsi="Times New Roman" w:hint="cs"/>
          <w:sz w:val="27"/>
          <w:rtl/>
        </w:rPr>
        <w:t>ي</w:t>
      </w:r>
      <w:r w:rsidRPr="00282AC9">
        <w:rPr>
          <w:rFonts w:ascii="Sakkal Majalla" w:hAnsi="Sakkal Majalla" w:hint="cs"/>
          <w:sz w:val="27"/>
          <w:rtl/>
        </w:rPr>
        <w:t>في</w:t>
      </w:r>
      <w:r w:rsidR="00F5766E" w:rsidRPr="00282AC9">
        <w:rPr>
          <w:rFonts w:ascii="Sakkal Majalla" w:hAnsi="Sakkal Majalla" w:hint="cs"/>
          <w:sz w:val="27"/>
          <w:rtl/>
        </w:rPr>
        <w:t>ٌّ</w:t>
      </w:r>
      <w:r w:rsidRPr="00282AC9">
        <w:rPr>
          <w:rFonts w:ascii="Sakkal Majalla" w:hAnsi="Sakkal Majalla" w:hint="cs"/>
          <w:sz w:val="27"/>
          <w:rtl/>
        </w:rPr>
        <w:t>،</w:t>
      </w:r>
      <w:r w:rsidRPr="00282AC9">
        <w:rPr>
          <w:rFonts w:ascii="Sakkal Majalla" w:hAnsi="Sakkal Majalla"/>
          <w:sz w:val="27"/>
          <w:rtl/>
        </w:rPr>
        <w:t xml:space="preserve"> قام به النب</w:t>
      </w:r>
      <w:r w:rsidRPr="00282AC9">
        <w:rPr>
          <w:rFonts w:ascii="Sakkal Majalla" w:hAnsi="Sakkal Majalla" w:hint="cs"/>
          <w:sz w:val="27"/>
          <w:rtl/>
        </w:rPr>
        <w:t>ي</w:t>
      </w:r>
      <w:r w:rsidR="00F5766E" w:rsidRPr="00282AC9">
        <w:rPr>
          <w:rFonts w:ascii="Sakkal Majalla" w:hAnsi="Sakkal Majalla" w:hint="cs"/>
          <w:sz w:val="27"/>
          <w:rtl/>
        </w:rPr>
        <w:t>ّ</w:t>
      </w:r>
      <w:r w:rsidR="009A2A04" w:rsidRPr="00282AC9">
        <w:rPr>
          <w:rFonts w:ascii="Sakkal Majalla" w:hAnsi="Sakkal Majalla" w:cs="Mosawi"/>
          <w:sz w:val="22"/>
          <w:szCs w:val="22"/>
          <w:rtl/>
        </w:rPr>
        <w:t>|</w:t>
      </w:r>
      <w:r w:rsidR="00F5766E" w:rsidRPr="00282AC9">
        <w:rPr>
          <w:rFonts w:ascii="Sakkal Majalla" w:hAnsi="Sakkal Majalla" w:hint="cs"/>
          <w:sz w:val="27"/>
          <w:rtl/>
        </w:rPr>
        <w:t>،</w:t>
      </w:r>
      <w:r w:rsidRPr="00282AC9">
        <w:rPr>
          <w:rFonts w:ascii="Sakkal Majalla" w:hAnsi="Sakkal Majalla"/>
          <w:sz w:val="27"/>
          <w:rtl/>
        </w:rPr>
        <w:t xml:space="preserve"> بأمر</w:t>
      </w:r>
      <w:r w:rsidR="00F5766E" w:rsidRPr="00282AC9">
        <w:rPr>
          <w:rFonts w:ascii="Sakkal Majalla" w:hAnsi="Sakkal Majalla" w:hint="cs"/>
          <w:sz w:val="27"/>
          <w:rtl/>
        </w:rPr>
        <w:t>ٍ</w:t>
      </w:r>
      <w:r w:rsidRPr="00282AC9">
        <w:rPr>
          <w:rFonts w:ascii="Sakkal Majalla" w:hAnsi="Sakkal Majalla"/>
          <w:sz w:val="27"/>
          <w:rtl/>
        </w:rPr>
        <w:t xml:space="preserve"> وتوج</w:t>
      </w:r>
      <w:r w:rsidRPr="00282AC9">
        <w:rPr>
          <w:rFonts w:ascii="Times New Roman" w:hAnsi="Times New Roman" w:hint="cs"/>
          <w:sz w:val="27"/>
          <w:rtl/>
        </w:rPr>
        <w:t>ي</w:t>
      </w:r>
      <w:r w:rsidRPr="00282AC9">
        <w:rPr>
          <w:rFonts w:ascii="Sakkal Majalla" w:hAnsi="Sakkal Majalla" w:hint="cs"/>
          <w:sz w:val="27"/>
          <w:rtl/>
        </w:rPr>
        <w:t>ه</w:t>
      </w:r>
      <w:r w:rsidR="00F5766E" w:rsidRPr="00282AC9">
        <w:rPr>
          <w:rFonts w:ascii="Sakkal Majalla" w:hAnsi="Sakkal Majalla" w:hint="cs"/>
          <w:sz w:val="27"/>
          <w:rtl/>
        </w:rPr>
        <w:t>ٍ</w:t>
      </w:r>
      <w:r w:rsidRPr="00282AC9">
        <w:rPr>
          <w:rFonts w:ascii="Sakkal Majalla" w:hAnsi="Sakkal Majalla"/>
          <w:sz w:val="27"/>
          <w:rtl/>
        </w:rPr>
        <w:t xml:space="preserve"> </w:t>
      </w:r>
      <w:r w:rsidRPr="00282AC9">
        <w:rPr>
          <w:rFonts w:ascii="Sakkal Majalla" w:hAnsi="Sakkal Majalla" w:hint="cs"/>
          <w:sz w:val="27"/>
          <w:rtl/>
        </w:rPr>
        <w:t>من</w:t>
      </w:r>
      <w:r w:rsidRPr="00282AC9">
        <w:rPr>
          <w:rFonts w:ascii="Sakkal Majalla" w:hAnsi="Sakkal Majalla"/>
          <w:sz w:val="27"/>
          <w:rtl/>
        </w:rPr>
        <w:t xml:space="preserve"> </w:t>
      </w:r>
      <w:r w:rsidRPr="00282AC9">
        <w:rPr>
          <w:rFonts w:ascii="Sakkal Majalla" w:hAnsi="Sakkal Majalla" w:hint="cs"/>
          <w:sz w:val="27"/>
          <w:rtl/>
        </w:rPr>
        <w:t>الله</w:t>
      </w:r>
      <w:r w:rsidRPr="00282AC9">
        <w:rPr>
          <w:rFonts w:ascii="Sakkal Majalla" w:hAnsi="Sakkal Majalla"/>
          <w:sz w:val="27"/>
          <w:rtl/>
        </w:rPr>
        <w:t xml:space="preserve"> </w:t>
      </w:r>
      <w:r w:rsidRPr="00282AC9">
        <w:rPr>
          <w:rFonts w:ascii="Sakkal Majalla" w:hAnsi="Sakkal Majalla" w:hint="cs"/>
          <w:sz w:val="27"/>
          <w:rtl/>
        </w:rPr>
        <w:t>تعال</w:t>
      </w:r>
      <w:r w:rsidR="00F5766E" w:rsidRPr="00282AC9">
        <w:rPr>
          <w:rFonts w:ascii="Times New Roman" w:hAnsi="Times New Roman" w:hint="cs"/>
          <w:sz w:val="27"/>
          <w:rtl/>
        </w:rPr>
        <w:t>ى</w:t>
      </w:r>
      <w:r w:rsidRPr="00282AC9">
        <w:rPr>
          <w:rFonts w:ascii="Sakkal Majalla" w:hAnsi="Sakkal Majalla" w:hint="cs"/>
          <w:sz w:val="27"/>
          <w:rtl/>
        </w:rPr>
        <w:t>،</w:t>
      </w:r>
      <w:r w:rsidRPr="00282AC9">
        <w:rPr>
          <w:rFonts w:ascii="Sakkal Majalla" w:hAnsi="Sakkal Majalla"/>
          <w:sz w:val="27"/>
          <w:rtl/>
        </w:rPr>
        <w:t xml:space="preserve"> فبق</w:t>
      </w:r>
      <w:r w:rsidRPr="00282AC9">
        <w:rPr>
          <w:rFonts w:ascii="Sakkal Majalla" w:hAnsi="Sakkal Majalla" w:hint="cs"/>
          <w:sz w:val="27"/>
          <w:rtl/>
        </w:rPr>
        <w:t>ي</w:t>
      </w:r>
      <w:r w:rsidRPr="00282AC9">
        <w:rPr>
          <w:rFonts w:ascii="Sakkal Majalla" w:hAnsi="Sakkal Majalla"/>
          <w:sz w:val="27"/>
          <w:rtl/>
        </w:rPr>
        <w:t xml:space="preserve"> ذل</w:t>
      </w:r>
      <w:r w:rsidRPr="00282AC9">
        <w:rPr>
          <w:rFonts w:ascii="Sakkal Majalla" w:hAnsi="Sakkal Majalla" w:hint="cs"/>
          <w:sz w:val="27"/>
          <w:rtl/>
        </w:rPr>
        <w:t xml:space="preserve">ك </w:t>
      </w:r>
      <w:r w:rsidRPr="00282AC9">
        <w:rPr>
          <w:rFonts w:ascii="Sakkal Majalla" w:hAnsi="Sakkal Majalla"/>
          <w:sz w:val="27"/>
          <w:rtl/>
        </w:rPr>
        <w:t>الترت</w:t>
      </w:r>
      <w:r w:rsidRPr="00282AC9">
        <w:rPr>
          <w:rFonts w:ascii="Times New Roman" w:hAnsi="Times New Roman" w:hint="cs"/>
          <w:sz w:val="27"/>
          <w:rtl/>
        </w:rPr>
        <w:t>ي</w:t>
      </w:r>
      <w:r w:rsidRPr="00282AC9">
        <w:rPr>
          <w:rFonts w:ascii="Sakkal Majalla" w:hAnsi="Sakkal Majalla" w:hint="cs"/>
          <w:sz w:val="27"/>
          <w:rtl/>
        </w:rPr>
        <w:t>ب</w:t>
      </w:r>
      <w:r w:rsidR="00FD6C76" w:rsidRPr="00282AC9">
        <w:rPr>
          <w:rFonts w:ascii="Sakkal Majalla" w:hAnsi="Sakkal Majalla" w:hint="cs"/>
          <w:sz w:val="27"/>
          <w:rtl/>
        </w:rPr>
        <w:t>،</w:t>
      </w:r>
      <w:r w:rsidRPr="00282AC9">
        <w:rPr>
          <w:rFonts w:ascii="Sakkal Majalla" w:hAnsi="Sakkal Majalla"/>
          <w:sz w:val="27"/>
          <w:rtl/>
        </w:rPr>
        <w:t xml:space="preserve"> و</w:t>
      </w:r>
      <w:r w:rsidR="00FD6C76" w:rsidRPr="00282AC9">
        <w:rPr>
          <w:rFonts w:ascii="Sakkal Majalla" w:hAnsi="Sakkal Majalla"/>
          <w:sz w:val="27"/>
          <w:rtl/>
        </w:rPr>
        <w:t>تداول</w:t>
      </w:r>
      <w:r w:rsidR="00FD6C76" w:rsidRPr="00282AC9">
        <w:rPr>
          <w:rFonts w:ascii="Sakkal Majalla" w:hAnsi="Sakkal Majalla" w:hint="cs"/>
          <w:sz w:val="27"/>
          <w:rtl/>
        </w:rPr>
        <w:t xml:space="preserve">ته </w:t>
      </w:r>
      <w:r w:rsidRPr="00282AC9">
        <w:rPr>
          <w:rFonts w:ascii="Sakkal Majalla" w:hAnsi="Sakkal Majalla" w:hint="cs"/>
          <w:sz w:val="27"/>
          <w:rtl/>
        </w:rPr>
        <w:t>الأ</w:t>
      </w:r>
      <w:r w:rsidRPr="00282AC9">
        <w:rPr>
          <w:rFonts w:ascii="Sakkal Majalla" w:hAnsi="Sakkal Majalla"/>
          <w:sz w:val="27"/>
          <w:rtl/>
        </w:rPr>
        <w:t>ج</w:t>
      </w:r>
      <w:r w:rsidRPr="00282AC9">
        <w:rPr>
          <w:rFonts w:ascii="Times New Roman" w:hAnsi="Times New Roman" w:hint="cs"/>
          <w:sz w:val="27"/>
          <w:rtl/>
        </w:rPr>
        <w:t>ي</w:t>
      </w:r>
      <w:r w:rsidRPr="00282AC9">
        <w:rPr>
          <w:rFonts w:ascii="Sakkal Majalla" w:hAnsi="Sakkal Majalla" w:hint="cs"/>
          <w:sz w:val="27"/>
          <w:rtl/>
        </w:rPr>
        <w:t>ال</w:t>
      </w:r>
      <w:r w:rsidRPr="00282AC9">
        <w:rPr>
          <w:rFonts w:ascii="Sakkal Majalla" w:hAnsi="Sakkal Majalla"/>
          <w:sz w:val="27"/>
          <w:rtl/>
        </w:rPr>
        <w:t xml:space="preserve"> </w:t>
      </w:r>
      <w:r w:rsidRPr="00282AC9">
        <w:rPr>
          <w:rFonts w:ascii="Sakkal Majalla" w:hAnsi="Sakkal Majalla" w:hint="cs"/>
          <w:sz w:val="27"/>
          <w:rtl/>
        </w:rPr>
        <w:t>المت</w:t>
      </w:r>
      <w:r w:rsidR="00FD6C76" w:rsidRPr="00282AC9">
        <w:rPr>
          <w:rFonts w:ascii="Sakkal Majalla" w:hAnsi="Sakkal Majalla" w:hint="cs"/>
          <w:sz w:val="27"/>
          <w:rtl/>
        </w:rPr>
        <w:t>عاقبة،</w:t>
      </w:r>
      <w:r w:rsidRPr="00282AC9">
        <w:rPr>
          <w:rFonts w:ascii="Sakkal Majalla" w:hAnsi="Sakkal Majalla"/>
          <w:sz w:val="27"/>
          <w:rtl/>
        </w:rPr>
        <w:t xml:space="preserve"> إلى </w:t>
      </w:r>
      <w:r w:rsidRPr="00282AC9">
        <w:rPr>
          <w:rFonts w:ascii="Sakkal Majalla" w:hAnsi="Sakkal Majalla" w:hint="cs"/>
          <w:sz w:val="27"/>
          <w:rtl/>
        </w:rPr>
        <w:t>أ</w:t>
      </w:r>
      <w:r w:rsidRPr="00282AC9">
        <w:rPr>
          <w:rFonts w:ascii="Sakkal Majalla" w:hAnsi="Sakkal Majalla"/>
          <w:sz w:val="27"/>
          <w:rtl/>
        </w:rPr>
        <w:t xml:space="preserve">ن وصل </w:t>
      </w:r>
      <w:r w:rsidRPr="00282AC9">
        <w:rPr>
          <w:rFonts w:ascii="Sakkal Majalla" w:hAnsi="Sakkal Majalla" w:hint="cs"/>
          <w:sz w:val="27"/>
          <w:rtl/>
        </w:rPr>
        <w:t>إ</w:t>
      </w:r>
      <w:r w:rsidRPr="00282AC9">
        <w:rPr>
          <w:rFonts w:ascii="Sakkal Majalla" w:hAnsi="Sakkal Majalla"/>
          <w:sz w:val="27"/>
          <w:rtl/>
        </w:rPr>
        <w:t>ل</w:t>
      </w:r>
      <w:r w:rsidRPr="00282AC9">
        <w:rPr>
          <w:rFonts w:ascii="Times New Roman" w:hAnsi="Times New Roman" w:hint="cs"/>
          <w:sz w:val="27"/>
          <w:rtl/>
        </w:rPr>
        <w:t>ي</w:t>
      </w:r>
      <w:r w:rsidRPr="00282AC9">
        <w:rPr>
          <w:rFonts w:ascii="Sakkal Majalla" w:hAnsi="Sakkal Majalla" w:hint="cs"/>
          <w:sz w:val="27"/>
          <w:rtl/>
        </w:rPr>
        <w:t>نا</w:t>
      </w:r>
      <w:r w:rsidR="00FD6C76" w:rsidRPr="00282AC9">
        <w:rPr>
          <w:rFonts w:ascii="Sakkal Majalla" w:hAnsi="Sakkal Majalla" w:hint="cs"/>
          <w:sz w:val="27"/>
          <w:rtl/>
        </w:rPr>
        <w:t>.</w:t>
      </w:r>
      <w:r w:rsidRPr="00282AC9">
        <w:rPr>
          <w:rFonts w:ascii="Sakkal Majalla" w:hAnsi="Sakkal Majalla"/>
          <w:sz w:val="27"/>
          <w:rtl/>
        </w:rPr>
        <w:t xml:space="preserve"> و</w:t>
      </w:r>
      <w:r w:rsidRPr="00282AC9">
        <w:rPr>
          <w:rFonts w:ascii="Sakkal Majalla" w:hAnsi="Sakkal Majalla" w:hint="cs"/>
          <w:sz w:val="27"/>
          <w:rtl/>
        </w:rPr>
        <w:t>كانت</w:t>
      </w:r>
      <w:r w:rsidRPr="00282AC9">
        <w:rPr>
          <w:rFonts w:ascii="Sakkal Majalla" w:hAnsi="Sakkal Majalla"/>
          <w:sz w:val="27"/>
          <w:rtl/>
        </w:rPr>
        <w:t xml:space="preserve"> </w:t>
      </w:r>
      <w:r w:rsidRPr="00282AC9">
        <w:rPr>
          <w:rFonts w:ascii="Sakkal Majalla" w:hAnsi="Sakkal Majalla" w:hint="cs"/>
          <w:sz w:val="27"/>
          <w:rtl/>
        </w:rPr>
        <w:t>الآ</w:t>
      </w:r>
      <w:r w:rsidRPr="00282AC9">
        <w:rPr>
          <w:rFonts w:ascii="Times New Roman" w:hAnsi="Times New Roman" w:hint="cs"/>
          <w:sz w:val="27"/>
          <w:rtl/>
        </w:rPr>
        <w:t>ي</w:t>
      </w:r>
      <w:r w:rsidRPr="00282AC9">
        <w:rPr>
          <w:rFonts w:ascii="Sakkal Majalla" w:hAnsi="Sakkal Majalla" w:hint="cs"/>
          <w:sz w:val="27"/>
          <w:rtl/>
        </w:rPr>
        <w:t>ات</w:t>
      </w:r>
      <w:r w:rsidRPr="00282AC9">
        <w:rPr>
          <w:rFonts w:ascii="Sakkal Majalla" w:hAnsi="Sakkal Majalla"/>
          <w:sz w:val="27"/>
          <w:rtl/>
        </w:rPr>
        <w:t xml:space="preserve"> و</w:t>
      </w:r>
      <w:r w:rsidRPr="00282AC9">
        <w:rPr>
          <w:rFonts w:ascii="Sakkal Majalla" w:hAnsi="Sakkal Majalla" w:hint="cs"/>
          <w:sz w:val="27"/>
          <w:rtl/>
        </w:rPr>
        <w:t>لا</w:t>
      </w:r>
      <w:r w:rsidR="00FD6C76" w:rsidRPr="00282AC9">
        <w:rPr>
          <w:rFonts w:ascii="Sakkal Majalla" w:hAnsi="Sakkal Majalla" w:hint="cs"/>
          <w:sz w:val="27"/>
          <w:rtl/>
        </w:rPr>
        <w:t xml:space="preserve"> </w:t>
      </w:r>
      <w:r w:rsidRPr="00282AC9">
        <w:rPr>
          <w:rFonts w:ascii="Sakkal Majalla" w:hAnsi="Sakkal Majalla" w:hint="cs"/>
          <w:sz w:val="27"/>
          <w:rtl/>
        </w:rPr>
        <w:t>زالت</w:t>
      </w:r>
      <w:r w:rsidRPr="00282AC9">
        <w:rPr>
          <w:rFonts w:ascii="Sakkal Majalla" w:hAnsi="Sakkal Majalla"/>
          <w:sz w:val="27"/>
          <w:rtl/>
        </w:rPr>
        <w:t xml:space="preserve"> </w:t>
      </w:r>
      <w:r w:rsidRPr="00282AC9">
        <w:rPr>
          <w:rFonts w:ascii="Sakkal Majalla" w:hAnsi="Sakkal Majalla" w:hint="cs"/>
          <w:sz w:val="27"/>
          <w:rtl/>
        </w:rPr>
        <w:t>تط</w:t>
      </w:r>
      <w:r w:rsidRPr="00282AC9">
        <w:rPr>
          <w:rFonts w:ascii="Sakkal Majalla" w:hAnsi="Sakkal Majalla"/>
          <w:sz w:val="27"/>
          <w:rtl/>
        </w:rPr>
        <w:t>بع وتستنسخ بالترت</w:t>
      </w:r>
      <w:r w:rsidRPr="00282AC9">
        <w:rPr>
          <w:rFonts w:ascii="Times New Roman" w:hAnsi="Times New Roman" w:hint="cs"/>
          <w:sz w:val="27"/>
          <w:rtl/>
        </w:rPr>
        <w:t>ي</w:t>
      </w:r>
      <w:r w:rsidRPr="00282AC9">
        <w:rPr>
          <w:rFonts w:ascii="Sakkal Majalla" w:hAnsi="Sakkal Majalla" w:hint="cs"/>
          <w:sz w:val="27"/>
          <w:rtl/>
        </w:rPr>
        <w:t>ب</w:t>
      </w:r>
      <w:r w:rsidRPr="00282AC9">
        <w:rPr>
          <w:rFonts w:ascii="Sakkal Majalla" w:hAnsi="Sakkal Majalla"/>
          <w:sz w:val="27"/>
          <w:rtl/>
        </w:rPr>
        <w:t xml:space="preserve"> </w:t>
      </w:r>
      <w:r w:rsidRPr="00282AC9">
        <w:rPr>
          <w:rFonts w:ascii="Sakkal Majalla" w:hAnsi="Sakkal Majalla" w:hint="cs"/>
          <w:sz w:val="27"/>
          <w:rtl/>
        </w:rPr>
        <w:t>الذ</w:t>
      </w:r>
      <w:r w:rsidRPr="00282AC9">
        <w:rPr>
          <w:rFonts w:ascii="Times New Roman" w:hAnsi="Times New Roman" w:hint="cs"/>
          <w:sz w:val="27"/>
          <w:rtl/>
        </w:rPr>
        <w:t>ي</w:t>
      </w:r>
      <w:r w:rsidRPr="00282AC9">
        <w:rPr>
          <w:rFonts w:ascii="Sakkal Majalla" w:hAnsi="Sakkal Majalla"/>
          <w:sz w:val="27"/>
          <w:rtl/>
        </w:rPr>
        <w:t xml:space="preserve"> </w:t>
      </w:r>
      <w:r w:rsidRPr="00282AC9">
        <w:rPr>
          <w:rFonts w:ascii="Sakkal Majalla" w:hAnsi="Sakkal Majalla" w:hint="cs"/>
          <w:sz w:val="27"/>
          <w:rtl/>
        </w:rPr>
        <w:t>رتّبه</w:t>
      </w:r>
      <w:r w:rsidRPr="00282AC9">
        <w:rPr>
          <w:rFonts w:ascii="Sakkal Majalla" w:hAnsi="Sakkal Majalla"/>
          <w:sz w:val="27"/>
          <w:rtl/>
        </w:rPr>
        <w:t xml:space="preserve"> </w:t>
      </w:r>
      <w:r w:rsidRPr="00282AC9">
        <w:rPr>
          <w:rFonts w:ascii="Sakkal Majalla" w:hAnsi="Sakkal Majalla" w:hint="cs"/>
          <w:sz w:val="27"/>
          <w:rtl/>
        </w:rPr>
        <w:t>النبي</w:t>
      </w:r>
      <w:r w:rsidR="00FD6C76" w:rsidRPr="00282AC9">
        <w:rPr>
          <w:rFonts w:ascii="Sakkal Majalla" w:hAnsi="Sakkal Majalla" w:hint="cs"/>
          <w:sz w:val="27"/>
          <w:rtl/>
        </w:rPr>
        <w:t>ّ</w:t>
      </w:r>
      <w:r w:rsidR="009A2A04" w:rsidRPr="00282AC9">
        <w:rPr>
          <w:rFonts w:ascii="Sakkal Majalla" w:hAnsi="Sakkal Majalla" w:cs="Mosawi"/>
          <w:sz w:val="22"/>
          <w:szCs w:val="22"/>
          <w:rtl/>
        </w:rPr>
        <w:t>|</w:t>
      </w:r>
      <w:r w:rsidR="00FD6C76" w:rsidRPr="00282AC9">
        <w:rPr>
          <w:rFonts w:ascii="Sakkal Majalla" w:hAnsi="Sakkal Majalla" w:hint="cs"/>
          <w:sz w:val="27"/>
          <w:rtl/>
        </w:rPr>
        <w:t>،</w:t>
      </w:r>
      <w:r w:rsidRPr="00282AC9">
        <w:rPr>
          <w:rFonts w:ascii="Sakkal Majalla" w:hAnsi="Sakkal Majalla"/>
          <w:sz w:val="27"/>
          <w:rtl/>
        </w:rPr>
        <w:t xml:space="preserve"> و</w:t>
      </w:r>
      <w:r w:rsidRPr="00282AC9">
        <w:rPr>
          <w:rFonts w:ascii="Sakkal Majalla" w:hAnsi="Sakkal Majalla" w:hint="cs"/>
          <w:sz w:val="27"/>
          <w:rtl/>
        </w:rPr>
        <w:t>لم</w:t>
      </w:r>
      <w:r w:rsidRPr="00282AC9">
        <w:rPr>
          <w:rFonts w:ascii="Sakkal Majalla" w:hAnsi="Sakkal Majalla"/>
          <w:sz w:val="27"/>
          <w:rtl/>
        </w:rPr>
        <w:t xml:space="preserve"> </w:t>
      </w:r>
      <w:r w:rsidRPr="00282AC9">
        <w:rPr>
          <w:rFonts w:ascii="Times New Roman" w:hAnsi="Times New Roman" w:hint="cs"/>
          <w:sz w:val="27"/>
          <w:rtl/>
        </w:rPr>
        <w:t>ي</w:t>
      </w:r>
      <w:r w:rsidRPr="00282AC9">
        <w:rPr>
          <w:rFonts w:ascii="Sakkal Majalla" w:hAnsi="Sakkal Majalla" w:hint="cs"/>
          <w:sz w:val="27"/>
          <w:rtl/>
        </w:rPr>
        <w:t>تدخّ</w:t>
      </w:r>
      <w:r w:rsidRPr="00282AC9">
        <w:rPr>
          <w:rFonts w:ascii="Sakkal Majalla" w:hAnsi="Sakkal Majalla"/>
          <w:sz w:val="27"/>
          <w:rtl/>
        </w:rPr>
        <w:t>ل أحد</w:t>
      </w:r>
      <w:r w:rsidR="00FD6C76" w:rsidRPr="00282AC9">
        <w:rPr>
          <w:rFonts w:ascii="Sakkal Majalla" w:hAnsi="Sakkal Majalla" w:hint="cs"/>
          <w:sz w:val="27"/>
          <w:rtl/>
        </w:rPr>
        <w:t>ٌ</w:t>
      </w:r>
      <w:r w:rsidRPr="00282AC9">
        <w:rPr>
          <w:rFonts w:ascii="Sakkal Majalla" w:hAnsi="Sakkal Majalla"/>
          <w:sz w:val="27"/>
          <w:rtl/>
        </w:rPr>
        <w:t xml:space="preserve"> من ال</w:t>
      </w:r>
      <w:r w:rsidRPr="00282AC9">
        <w:rPr>
          <w:rFonts w:ascii="Sakkal Majalla" w:hAnsi="Sakkal Majalla" w:hint="cs"/>
          <w:sz w:val="27"/>
          <w:rtl/>
        </w:rPr>
        <w:t>أ</w:t>
      </w:r>
      <w:r w:rsidRPr="00282AC9">
        <w:rPr>
          <w:rFonts w:ascii="Sakkal Majalla" w:hAnsi="Sakkal Majalla"/>
          <w:sz w:val="27"/>
          <w:rtl/>
        </w:rPr>
        <w:t>صحاب ف</w:t>
      </w:r>
      <w:r w:rsidRPr="00282AC9">
        <w:rPr>
          <w:rFonts w:ascii="Sakkal Majalla" w:hAnsi="Sakkal Majalla" w:hint="cs"/>
          <w:sz w:val="27"/>
          <w:rtl/>
        </w:rPr>
        <w:t>ي</w:t>
      </w:r>
      <w:r w:rsidRPr="00282AC9">
        <w:rPr>
          <w:rFonts w:ascii="Sakkal Majalla" w:hAnsi="Sakkal Majalla"/>
          <w:sz w:val="27"/>
          <w:rtl/>
        </w:rPr>
        <w:t xml:space="preserve"> ذل</w:t>
      </w:r>
      <w:r w:rsidR="00FD6C76" w:rsidRPr="00282AC9">
        <w:rPr>
          <w:rFonts w:ascii="Sakkal Majalla" w:hAnsi="Sakkal Majalla" w:hint="cs"/>
          <w:sz w:val="27"/>
          <w:rtl/>
        </w:rPr>
        <w:t>ك.</w:t>
      </w:r>
    </w:p>
    <w:p w:rsidR="00AD6E36" w:rsidRPr="00282AC9" w:rsidRDefault="00AD6E36" w:rsidP="001D1A88">
      <w:pPr>
        <w:rPr>
          <w:rFonts w:ascii="Sakkal Majalla" w:hAnsi="Sakkal Majalla"/>
          <w:sz w:val="27"/>
          <w:rtl/>
        </w:rPr>
      </w:pPr>
      <w:r w:rsidRPr="00282AC9">
        <w:rPr>
          <w:rFonts w:ascii="Sakkal Majalla" w:hAnsi="Sakkal Majalla"/>
          <w:sz w:val="27"/>
          <w:rtl/>
        </w:rPr>
        <w:lastRenderedPageBreak/>
        <w:t>قال الس</w:t>
      </w:r>
      <w:r w:rsidRPr="00282AC9">
        <w:rPr>
          <w:rFonts w:ascii="Times New Roman" w:hAnsi="Times New Roman" w:hint="cs"/>
          <w:sz w:val="27"/>
          <w:rtl/>
        </w:rPr>
        <w:t>ي</w:t>
      </w:r>
      <w:r w:rsidRPr="00282AC9">
        <w:rPr>
          <w:rFonts w:ascii="Sakkal Majalla" w:hAnsi="Sakkal Majalla" w:hint="cs"/>
          <w:sz w:val="27"/>
          <w:rtl/>
        </w:rPr>
        <w:t>د</w:t>
      </w:r>
      <w:r w:rsidRPr="00282AC9">
        <w:rPr>
          <w:rFonts w:ascii="Sakkal Majalla" w:hAnsi="Sakkal Majalla"/>
          <w:sz w:val="27"/>
          <w:rtl/>
        </w:rPr>
        <w:t xml:space="preserve"> </w:t>
      </w:r>
      <w:r w:rsidRPr="00282AC9">
        <w:rPr>
          <w:rFonts w:ascii="Sakkal Majalla" w:hAnsi="Sakkal Majalla" w:hint="cs"/>
          <w:sz w:val="27"/>
          <w:rtl/>
        </w:rPr>
        <w:t>المرتض</w:t>
      </w:r>
      <w:r w:rsidR="00FD6C76" w:rsidRPr="00282AC9">
        <w:rPr>
          <w:rFonts w:ascii="Times New Roman" w:hAnsi="Times New Roman" w:hint="cs"/>
          <w:sz w:val="27"/>
          <w:rtl/>
        </w:rPr>
        <w:t>ى</w:t>
      </w:r>
      <w:r w:rsidRPr="00282AC9">
        <w:rPr>
          <w:rFonts w:ascii="Sakkal Majalla" w:hAnsi="Sakkal Majalla"/>
          <w:sz w:val="27"/>
          <w:rtl/>
        </w:rPr>
        <w:t xml:space="preserve"> </w:t>
      </w:r>
      <w:r w:rsidRPr="00282AC9">
        <w:rPr>
          <w:rFonts w:ascii="Sakkal Majalla" w:hAnsi="Sakkal Majalla" w:hint="cs"/>
          <w:sz w:val="27"/>
          <w:rtl/>
        </w:rPr>
        <w:t>في</w:t>
      </w:r>
      <w:r w:rsidRPr="00282AC9">
        <w:rPr>
          <w:rFonts w:ascii="Sakkal Majalla" w:hAnsi="Sakkal Majalla"/>
          <w:sz w:val="27"/>
          <w:rtl/>
        </w:rPr>
        <w:t xml:space="preserve"> الذخ</w:t>
      </w:r>
      <w:r w:rsidRPr="00282AC9">
        <w:rPr>
          <w:rFonts w:ascii="Times New Roman" w:hAnsi="Times New Roman" w:hint="cs"/>
          <w:sz w:val="27"/>
          <w:rtl/>
        </w:rPr>
        <w:t>ي</w:t>
      </w:r>
      <w:r w:rsidRPr="00282AC9">
        <w:rPr>
          <w:rFonts w:ascii="Sakkal Majalla" w:hAnsi="Sakkal Majalla" w:hint="cs"/>
          <w:sz w:val="27"/>
          <w:rtl/>
        </w:rPr>
        <w:t>رة</w:t>
      </w:r>
      <w:r w:rsidRPr="00282AC9">
        <w:rPr>
          <w:rFonts w:ascii="Sakkal Majalla" w:hAnsi="Sakkal Majalla"/>
          <w:sz w:val="27"/>
          <w:rtl/>
        </w:rPr>
        <w:t xml:space="preserve">: </w:t>
      </w:r>
      <w:r w:rsidRPr="00282AC9">
        <w:rPr>
          <w:rFonts w:hint="eastAsia"/>
          <w:sz w:val="24"/>
          <w:szCs w:val="24"/>
          <w:rtl/>
        </w:rPr>
        <w:t>«</w:t>
      </w:r>
      <w:r w:rsidRPr="00282AC9">
        <w:rPr>
          <w:rFonts w:ascii="Sakkal Majalla" w:hAnsi="Sakkal Majalla" w:hint="cs"/>
          <w:sz w:val="27"/>
          <w:rtl/>
        </w:rPr>
        <w:t>إ</w:t>
      </w:r>
      <w:r w:rsidRPr="00282AC9">
        <w:rPr>
          <w:rFonts w:ascii="Sakkal Majalla" w:hAnsi="Sakkal Majalla"/>
          <w:sz w:val="27"/>
          <w:rtl/>
        </w:rPr>
        <w:t>نّ القر</w:t>
      </w:r>
      <w:r w:rsidRPr="00282AC9">
        <w:rPr>
          <w:rFonts w:ascii="Sakkal Majalla" w:hAnsi="Sakkal Majalla" w:hint="cs"/>
          <w:sz w:val="27"/>
          <w:rtl/>
        </w:rPr>
        <w:t>آ</w:t>
      </w:r>
      <w:r w:rsidRPr="00282AC9">
        <w:rPr>
          <w:rFonts w:ascii="Sakkal Majalla" w:hAnsi="Sakkal Majalla"/>
          <w:sz w:val="27"/>
          <w:rtl/>
        </w:rPr>
        <w:t>ن كان عل</w:t>
      </w:r>
      <w:r w:rsidR="00FD6C76" w:rsidRPr="00282AC9">
        <w:rPr>
          <w:rFonts w:ascii="Times New Roman" w:hAnsi="Times New Roman" w:hint="cs"/>
          <w:sz w:val="27"/>
          <w:rtl/>
        </w:rPr>
        <w:t>ى</w:t>
      </w:r>
      <w:r w:rsidRPr="00282AC9">
        <w:rPr>
          <w:rFonts w:ascii="Sakkal Majalla" w:hAnsi="Sakkal Majalla"/>
          <w:sz w:val="27"/>
          <w:rtl/>
        </w:rPr>
        <w:t xml:space="preserve"> </w:t>
      </w:r>
      <w:r w:rsidRPr="00282AC9">
        <w:rPr>
          <w:rFonts w:ascii="Sakkal Majalla" w:hAnsi="Sakkal Majalla" w:hint="cs"/>
          <w:sz w:val="27"/>
          <w:rtl/>
        </w:rPr>
        <w:t>عهد</w:t>
      </w:r>
      <w:r w:rsidRPr="00282AC9">
        <w:rPr>
          <w:rFonts w:ascii="Sakkal Majalla" w:hAnsi="Sakkal Majalla"/>
          <w:sz w:val="27"/>
          <w:rtl/>
        </w:rPr>
        <w:t xml:space="preserve"> </w:t>
      </w:r>
      <w:r w:rsidRPr="00282AC9">
        <w:rPr>
          <w:rFonts w:ascii="Sakkal Majalla" w:hAnsi="Sakkal Majalla" w:hint="cs"/>
          <w:sz w:val="27"/>
          <w:rtl/>
        </w:rPr>
        <w:t>النبي</w:t>
      </w:r>
      <w:r w:rsidR="00FD6C76" w:rsidRPr="00282AC9">
        <w:rPr>
          <w:rFonts w:ascii="Sakkal Majalla" w:hAnsi="Sakkal Majalla" w:hint="cs"/>
          <w:sz w:val="27"/>
          <w:rtl/>
        </w:rPr>
        <w:t>ّ</w:t>
      </w:r>
      <w:r w:rsidR="009A2A04" w:rsidRPr="00282AC9">
        <w:rPr>
          <w:rFonts w:ascii="Sakkal Majalla" w:hAnsi="Sakkal Majalla" w:cs="Mosawi"/>
          <w:sz w:val="22"/>
          <w:szCs w:val="22"/>
          <w:rtl/>
        </w:rPr>
        <w:t>|</w:t>
      </w:r>
      <w:r w:rsidRPr="00282AC9">
        <w:rPr>
          <w:rFonts w:ascii="Sakkal Majalla" w:hAnsi="Sakkal Majalla"/>
          <w:sz w:val="27"/>
          <w:rtl/>
        </w:rPr>
        <w:t xml:space="preserve"> </w:t>
      </w:r>
      <w:r w:rsidRPr="00282AC9">
        <w:rPr>
          <w:rFonts w:ascii="Sakkal Majalla" w:hAnsi="Sakkal Majalla" w:hint="cs"/>
          <w:sz w:val="27"/>
          <w:rtl/>
        </w:rPr>
        <w:t>مجموعاً</w:t>
      </w:r>
      <w:r w:rsidRPr="00282AC9">
        <w:rPr>
          <w:rFonts w:ascii="Sakkal Majalla" w:hAnsi="Sakkal Majalla"/>
          <w:sz w:val="27"/>
          <w:rtl/>
        </w:rPr>
        <w:t xml:space="preserve"> </w:t>
      </w:r>
      <w:r w:rsidRPr="00282AC9">
        <w:rPr>
          <w:rFonts w:ascii="Sakkal Majalla" w:hAnsi="Sakkal Majalla" w:hint="cs"/>
          <w:sz w:val="27"/>
          <w:rtl/>
        </w:rPr>
        <w:t>مؤل</w:t>
      </w:r>
      <w:r w:rsidR="00FD6C76" w:rsidRPr="00282AC9">
        <w:rPr>
          <w:rFonts w:ascii="Sakkal Majalla" w:hAnsi="Sakkal Majalla" w:hint="cs"/>
          <w:sz w:val="27"/>
          <w:rtl/>
        </w:rPr>
        <w:t>َّ</w:t>
      </w:r>
      <w:r w:rsidRPr="00282AC9">
        <w:rPr>
          <w:rFonts w:ascii="Sakkal Majalla" w:hAnsi="Sakkal Majalla" w:hint="cs"/>
          <w:sz w:val="27"/>
          <w:rtl/>
        </w:rPr>
        <w:t>فاً</w:t>
      </w:r>
      <w:r w:rsidRPr="00282AC9">
        <w:rPr>
          <w:rFonts w:ascii="Sakkal Majalla" w:hAnsi="Sakkal Majalla"/>
          <w:sz w:val="27"/>
          <w:rtl/>
        </w:rPr>
        <w:t xml:space="preserve"> </w:t>
      </w:r>
      <w:r w:rsidRPr="00282AC9">
        <w:rPr>
          <w:rFonts w:ascii="Sakkal Majalla" w:hAnsi="Sakkal Majalla" w:hint="cs"/>
          <w:sz w:val="27"/>
          <w:rtl/>
        </w:rPr>
        <w:t>عل</w:t>
      </w:r>
      <w:r w:rsidR="00FD6C76" w:rsidRPr="00282AC9">
        <w:rPr>
          <w:rFonts w:ascii="Times New Roman" w:hAnsi="Times New Roman" w:hint="cs"/>
          <w:sz w:val="27"/>
          <w:rtl/>
        </w:rPr>
        <w:t>ى</w:t>
      </w:r>
      <w:r w:rsidRPr="00282AC9">
        <w:rPr>
          <w:rFonts w:ascii="Sakkal Majalla" w:hAnsi="Sakkal Majalla"/>
          <w:sz w:val="27"/>
          <w:rtl/>
        </w:rPr>
        <w:t xml:space="preserve"> </w:t>
      </w:r>
      <w:r w:rsidRPr="00282AC9">
        <w:rPr>
          <w:rFonts w:ascii="Sakkal Majalla" w:hAnsi="Sakkal Majalla" w:hint="cs"/>
          <w:sz w:val="27"/>
          <w:rtl/>
        </w:rPr>
        <w:t>ما</w:t>
      </w:r>
      <w:r w:rsidRPr="00282AC9">
        <w:rPr>
          <w:rFonts w:ascii="Sakkal Majalla" w:hAnsi="Sakkal Majalla"/>
          <w:sz w:val="27"/>
          <w:rtl/>
        </w:rPr>
        <w:t xml:space="preserve"> </w:t>
      </w:r>
      <w:r w:rsidRPr="00282AC9">
        <w:rPr>
          <w:rFonts w:ascii="Sakkal Majalla" w:hAnsi="Sakkal Majalla" w:hint="cs"/>
          <w:sz w:val="27"/>
          <w:rtl/>
        </w:rPr>
        <w:t>هو</w:t>
      </w:r>
      <w:r w:rsidRPr="00282AC9">
        <w:rPr>
          <w:rFonts w:ascii="Sakkal Majalla" w:hAnsi="Sakkal Majalla"/>
          <w:sz w:val="27"/>
          <w:rtl/>
        </w:rPr>
        <w:t xml:space="preserve"> </w:t>
      </w:r>
      <w:r w:rsidRPr="00282AC9">
        <w:rPr>
          <w:rFonts w:ascii="Sakkal Majalla" w:hAnsi="Sakkal Majalla" w:hint="cs"/>
          <w:sz w:val="27"/>
          <w:rtl/>
        </w:rPr>
        <w:t>عل</w:t>
      </w:r>
      <w:r w:rsidRPr="00282AC9">
        <w:rPr>
          <w:rFonts w:ascii="Times New Roman" w:hAnsi="Times New Roman" w:hint="cs"/>
          <w:sz w:val="27"/>
          <w:rtl/>
        </w:rPr>
        <w:t>ي</w:t>
      </w:r>
      <w:r w:rsidRPr="00282AC9">
        <w:rPr>
          <w:rFonts w:ascii="Sakkal Majalla" w:hAnsi="Sakkal Majalla" w:hint="cs"/>
          <w:sz w:val="27"/>
          <w:rtl/>
        </w:rPr>
        <w:t>ه</w:t>
      </w:r>
      <w:r w:rsidRPr="00282AC9">
        <w:rPr>
          <w:rFonts w:ascii="Sakkal Majalla" w:hAnsi="Sakkal Majalla"/>
          <w:sz w:val="27"/>
          <w:rtl/>
        </w:rPr>
        <w:t>... و</w:t>
      </w:r>
      <w:r w:rsidRPr="00282AC9">
        <w:rPr>
          <w:rFonts w:ascii="Sakkal Majalla" w:hAnsi="Sakkal Majalla" w:hint="cs"/>
          <w:sz w:val="27"/>
          <w:rtl/>
        </w:rPr>
        <w:t>إ</w:t>
      </w:r>
      <w:r w:rsidRPr="00282AC9">
        <w:rPr>
          <w:rFonts w:ascii="Sakkal Majalla" w:hAnsi="Sakkal Majalla"/>
          <w:sz w:val="27"/>
          <w:rtl/>
        </w:rPr>
        <w:t>نّ م</w:t>
      </w:r>
      <w:r w:rsidR="00FD6C76" w:rsidRPr="00282AC9">
        <w:rPr>
          <w:rFonts w:ascii="Sakkal Majalla" w:hAnsi="Sakkal Majalla" w:hint="cs"/>
          <w:sz w:val="27"/>
          <w:rtl/>
        </w:rPr>
        <w:t>َ</w:t>
      </w:r>
      <w:r w:rsidRPr="00282AC9">
        <w:rPr>
          <w:rFonts w:ascii="Sakkal Majalla" w:hAnsi="Sakkal Majalla"/>
          <w:sz w:val="27"/>
          <w:rtl/>
        </w:rPr>
        <w:t>ن</w:t>
      </w:r>
      <w:r w:rsidR="00FD6C76" w:rsidRPr="00282AC9">
        <w:rPr>
          <w:rFonts w:ascii="Sakkal Majalla" w:hAnsi="Sakkal Majalla" w:hint="cs"/>
          <w:sz w:val="27"/>
          <w:rtl/>
        </w:rPr>
        <w:t>ْ</w:t>
      </w:r>
      <w:r w:rsidRPr="00282AC9">
        <w:rPr>
          <w:rFonts w:ascii="Sakkal Majalla" w:hAnsi="Sakkal Majalla"/>
          <w:sz w:val="27"/>
          <w:rtl/>
        </w:rPr>
        <w:t xml:space="preserve"> </w:t>
      </w:r>
      <w:r w:rsidRPr="00282AC9">
        <w:rPr>
          <w:rFonts w:ascii="Times New Roman" w:hAnsi="Times New Roman" w:hint="cs"/>
          <w:sz w:val="27"/>
          <w:rtl/>
        </w:rPr>
        <w:t>ي</w:t>
      </w:r>
      <w:r w:rsidRPr="00282AC9">
        <w:rPr>
          <w:rFonts w:ascii="Sakkal Majalla" w:hAnsi="Sakkal Majalla" w:hint="cs"/>
          <w:sz w:val="27"/>
          <w:rtl/>
        </w:rPr>
        <w:t>خالف</w:t>
      </w:r>
      <w:r w:rsidRPr="00282AC9">
        <w:rPr>
          <w:rFonts w:ascii="Sakkal Majalla" w:hAnsi="Sakkal Majalla"/>
          <w:sz w:val="27"/>
          <w:rtl/>
        </w:rPr>
        <w:t xml:space="preserve"> </w:t>
      </w:r>
      <w:r w:rsidRPr="00282AC9">
        <w:rPr>
          <w:rFonts w:ascii="Sakkal Majalla" w:hAnsi="Sakkal Majalla" w:hint="cs"/>
          <w:sz w:val="27"/>
          <w:rtl/>
        </w:rPr>
        <w:t>هذا</w:t>
      </w:r>
      <w:r w:rsidRPr="00282AC9">
        <w:rPr>
          <w:rFonts w:ascii="Sakkal Majalla" w:hAnsi="Sakkal Majalla"/>
          <w:sz w:val="27"/>
          <w:rtl/>
        </w:rPr>
        <w:t xml:space="preserve"> </w:t>
      </w:r>
      <w:r w:rsidRPr="00282AC9">
        <w:rPr>
          <w:rFonts w:ascii="Sakkal Majalla" w:hAnsi="Sakkal Majalla" w:hint="cs"/>
          <w:sz w:val="27"/>
          <w:rtl/>
        </w:rPr>
        <w:t>الباب</w:t>
      </w:r>
      <w:r w:rsidRPr="00282AC9">
        <w:rPr>
          <w:rFonts w:ascii="Sakkal Majalla" w:hAnsi="Sakkal Majalla"/>
          <w:sz w:val="27"/>
          <w:rtl/>
        </w:rPr>
        <w:t xml:space="preserve"> </w:t>
      </w:r>
      <w:r w:rsidRPr="00282AC9">
        <w:rPr>
          <w:rFonts w:ascii="Sakkal Majalla" w:hAnsi="Sakkal Majalla" w:hint="cs"/>
          <w:sz w:val="27"/>
          <w:rtl/>
        </w:rPr>
        <w:t>من</w:t>
      </w:r>
      <w:r w:rsidRPr="00282AC9">
        <w:rPr>
          <w:rFonts w:ascii="Sakkal Majalla" w:hAnsi="Sakkal Majalla"/>
          <w:sz w:val="27"/>
          <w:rtl/>
        </w:rPr>
        <w:t xml:space="preserve"> </w:t>
      </w:r>
      <w:r w:rsidRPr="00282AC9">
        <w:rPr>
          <w:rFonts w:ascii="Sakkal Majalla" w:hAnsi="Sakkal Majalla" w:hint="cs"/>
          <w:sz w:val="27"/>
          <w:rtl/>
        </w:rPr>
        <w:t>الإ</w:t>
      </w:r>
      <w:r w:rsidRPr="00282AC9">
        <w:rPr>
          <w:rFonts w:ascii="Sakkal Majalla" w:hAnsi="Sakkal Majalla"/>
          <w:sz w:val="27"/>
          <w:rtl/>
        </w:rPr>
        <w:t>مام</w:t>
      </w:r>
      <w:r w:rsidRPr="00282AC9">
        <w:rPr>
          <w:rFonts w:ascii="Times New Roman" w:hAnsi="Times New Roman" w:hint="cs"/>
          <w:sz w:val="27"/>
          <w:rtl/>
        </w:rPr>
        <w:t>ي</w:t>
      </w:r>
      <w:r w:rsidRPr="00282AC9">
        <w:rPr>
          <w:rFonts w:ascii="Sakkal Majalla" w:hAnsi="Sakkal Majalla" w:hint="cs"/>
          <w:sz w:val="27"/>
          <w:rtl/>
        </w:rPr>
        <w:t>ة</w:t>
      </w:r>
      <w:r w:rsidRPr="00282AC9">
        <w:rPr>
          <w:rFonts w:ascii="Sakkal Majalla" w:hAnsi="Sakkal Majalla"/>
          <w:sz w:val="27"/>
          <w:rtl/>
        </w:rPr>
        <w:t xml:space="preserve"> و</w:t>
      </w:r>
      <w:r w:rsidRPr="00282AC9">
        <w:rPr>
          <w:rFonts w:ascii="Sakkal Majalla" w:hAnsi="Sakkal Majalla" w:hint="cs"/>
          <w:sz w:val="27"/>
          <w:rtl/>
        </w:rPr>
        <w:t>الح</w:t>
      </w:r>
      <w:r w:rsidR="00FD6C76" w:rsidRPr="00282AC9">
        <w:rPr>
          <w:rFonts w:ascii="Sakkal Majalla" w:hAnsi="Sakkal Majalla" w:hint="cs"/>
          <w:sz w:val="27"/>
          <w:rtl/>
        </w:rPr>
        <w:t>َ</w:t>
      </w:r>
      <w:r w:rsidRPr="00282AC9">
        <w:rPr>
          <w:rFonts w:ascii="Sakkal Majalla" w:hAnsi="Sakkal Majalla" w:hint="cs"/>
          <w:sz w:val="27"/>
          <w:rtl/>
        </w:rPr>
        <w:t>ش</w:t>
      </w:r>
      <w:r w:rsidR="00FD6C76" w:rsidRPr="00282AC9">
        <w:rPr>
          <w:rFonts w:ascii="Sakkal Majalla" w:hAnsi="Sakkal Majalla" w:hint="cs"/>
          <w:sz w:val="27"/>
          <w:rtl/>
        </w:rPr>
        <w:t>ْ</w:t>
      </w:r>
      <w:r w:rsidRPr="00282AC9">
        <w:rPr>
          <w:rFonts w:ascii="Sakkal Majalla" w:hAnsi="Sakkal Majalla" w:hint="cs"/>
          <w:sz w:val="27"/>
          <w:rtl/>
        </w:rPr>
        <w:t>و</w:t>
      </w:r>
      <w:r w:rsidRPr="00282AC9">
        <w:rPr>
          <w:rFonts w:ascii="Times New Roman" w:hAnsi="Times New Roman" w:hint="cs"/>
          <w:sz w:val="27"/>
          <w:rtl/>
        </w:rPr>
        <w:t>ي</w:t>
      </w:r>
      <w:r w:rsidRPr="00282AC9">
        <w:rPr>
          <w:rFonts w:ascii="Sakkal Majalla" w:hAnsi="Sakkal Majalla" w:hint="cs"/>
          <w:sz w:val="27"/>
          <w:rtl/>
        </w:rPr>
        <w:t>ة</w:t>
      </w:r>
      <w:r w:rsidRPr="00282AC9">
        <w:rPr>
          <w:rFonts w:ascii="Sakkal Majalla" w:hAnsi="Sakkal Majalla"/>
          <w:sz w:val="27"/>
          <w:rtl/>
        </w:rPr>
        <w:t xml:space="preserve"> </w:t>
      </w:r>
      <w:r w:rsidRPr="00282AC9">
        <w:rPr>
          <w:rFonts w:ascii="Sakkal Majalla" w:hAnsi="Sakkal Majalla" w:hint="cs"/>
          <w:sz w:val="27"/>
          <w:rtl/>
        </w:rPr>
        <w:t>لا</w:t>
      </w:r>
      <w:r w:rsidR="00FD6C76" w:rsidRPr="00282AC9">
        <w:rPr>
          <w:rFonts w:ascii="Times New Roman" w:hAnsi="Times New Roman" w:hint="cs"/>
          <w:sz w:val="27"/>
          <w:rtl/>
        </w:rPr>
        <w:t xml:space="preserve"> </w:t>
      </w:r>
      <w:r w:rsidRPr="00282AC9">
        <w:rPr>
          <w:rFonts w:ascii="Times New Roman" w:hAnsi="Times New Roman" w:hint="cs"/>
          <w:sz w:val="27"/>
          <w:rtl/>
        </w:rPr>
        <w:t>ي</w:t>
      </w:r>
      <w:r w:rsidR="00FD6C76" w:rsidRPr="00282AC9">
        <w:rPr>
          <w:rFonts w:ascii="Times New Roman" w:hAnsi="Times New Roman" w:hint="cs"/>
          <w:sz w:val="27"/>
          <w:rtl/>
        </w:rPr>
        <w:t>ُ</w:t>
      </w:r>
      <w:r w:rsidRPr="00282AC9">
        <w:rPr>
          <w:rFonts w:ascii="Sakkal Majalla" w:hAnsi="Sakkal Majalla" w:hint="cs"/>
          <w:sz w:val="27"/>
          <w:rtl/>
        </w:rPr>
        <w:t>ع</w:t>
      </w:r>
      <w:r w:rsidRPr="00282AC9">
        <w:rPr>
          <w:rFonts w:ascii="Sakkal Majalla" w:hAnsi="Sakkal Majalla"/>
          <w:sz w:val="27"/>
          <w:rtl/>
        </w:rPr>
        <w:t>ت</w:t>
      </w:r>
      <w:r w:rsidR="00FD6C76" w:rsidRPr="00282AC9">
        <w:rPr>
          <w:rFonts w:ascii="Sakkal Majalla" w:hAnsi="Sakkal Majalla" w:hint="cs"/>
          <w:sz w:val="27"/>
          <w:rtl/>
        </w:rPr>
        <w:t>َ</w:t>
      </w:r>
      <w:r w:rsidRPr="00282AC9">
        <w:rPr>
          <w:rFonts w:ascii="Sakkal Majalla" w:hAnsi="Sakkal Majalla"/>
          <w:sz w:val="27"/>
          <w:rtl/>
        </w:rPr>
        <w:t>د</w:t>
      </w:r>
      <w:r w:rsidR="00FD6C76" w:rsidRPr="00282AC9">
        <w:rPr>
          <w:rFonts w:ascii="Sakkal Majalla" w:hAnsi="Sakkal Majalla" w:hint="cs"/>
          <w:sz w:val="27"/>
          <w:rtl/>
        </w:rPr>
        <w:t>ّ</w:t>
      </w:r>
      <w:r w:rsidRPr="00282AC9">
        <w:rPr>
          <w:rFonts w:ascii="Sakkal Majalla" w:hAnsi="Sakkal Majalla"/>
          <w:sz w:val="27"/>
          <w:rtl/>
        </w:rPr>
        <w:t xml:space="preserve"> بخلافهم</w:t>
      </w:r>
      <w:r w:rsidRPr="00282AC9">
        <w:rPr>
          <w:rFonts w:hint="eastAsia"/>
          <w:sz w:val="24"/>
          <w:szCs w:val="24"/>
          <w:rtl/>
        </w:rPr>
        <w:t>»</w:t>
      </w:r>
      <w:r w:rsidRPr="00282AC9">
        <w:rPr>
          <w:rFonts w:ascii="Sakkal Majalla" w:hAnsi="Sakkal Majalla"/>
          <w:sz w:val="27"/>
          <w:vertAlign w:val="superscript"/>
          <w:rtl/>
        </w:rPr>
        <w:t>(</w:t>
      </w:r>
      <w:r w:rsidRPr="00282AC9">
        <w:rPr>
          <w:rStyle w:val="af9"/>
          <w:rFonts w:ascii="Sakkal Majalla" w:hAnsi="Sakkal Majalla"/>
          <w:sz w:val="27"/>
          <w:rtl/>
        </w:rPr>
        <w:endnoteReference w:id="840"/>
      </w:r>
      <w:r w:rsidRPr="00282AC9">
        <w:rPr>
          <w:rFonts w:ascii="Sakkal Majalla" w:hAnsi="Sakkal Majalla"/>
          <w:sz w:val="27"/>
          <w:vertAlign w:val="superscript"/>
          <w:rtl/>
        </w:rPr>
        <w:t>)</w:t>
      </w:r>
      <w:r w:rsidRPr="00282AC9">
        <w:rPr>
          <w:rFonts w:ascii="Sakkal Majalla" w:hAnsi="Sakkal Majalla"/>
          <w:sz w:val="27"/>
          <w:rtl/>
        </w:rPr>
        <w:t>.</w:t>
      </w:r>
    </w:p>
    <w:p w:rsidR="00AD6E36" w:rsidRPr="00282AC9" w:rsidRDefault="00AD6E36" w:rsidP="001D1A88">
      <w:pPr>
        <w:rPr>
          <w:rFonts w:ascii="Sakkal Majalla" w:hAnsi="Sakkal Majalla"/>
          <w:sz w:val="27"/>
          <w:rtl/>
        </w:rPr>
      </w:pPr>
      <w:r w:rsidRPr="00282AC9">
        <w:rPr>
          <w:rFonts w:ascii="Sakkal Majalla" w:hAnsi="Sakkal Majalla"/>
          <w:sz w:val="27"/>
          <w:rtl/>
        </w:rPr>
        <w:t>وصرّ</w:t>
      </w:r>
      <w:r w:rsidR="00FD6C76" w:rsidRPr="00282AC9">
        <w:rPr>
          <w:rFonts w:ascii="Sakkal Majalla" w:hAnsi="Sakkal Majalla" w:hint="cs"/>
          <w:sz w:val="27"/>
          <w:rtl/>
        </w:rPr>
        <w:t>َ</w:t>
      </w:r>
      <w:r w:rsidRPr="00282AC9">
        <w:rPr>
          <w:rFonts w:ascii="Sakkal Majalla" w:hAnsi="Sakkal Majalla"/>
          <w:sz w:val="27"/>
          <w:rtl/>
        </w:rPr>
        <w:t>ح الزركش</w:t>
      </w:r>
      <w:r w:rsidRPr="00282AC9">
        <w:rPr>
          <w:rFonts w:ascii="Sakkal Majalla" w:hAnsi="Sakkal Majalla" w:hint="cs"/>
          <w:sz w:val="27"/>
          <w:rtl/>
        </w:rPr>
        <w:t>ي</w:t>
      </w:r>
      <w:r w:rsidRPr="00282AC9">
        <w:rPr>
          <w:rFonts w:ascii="Sakkal Majalla" w:hAnsi="Sakkal Majalla"/>
          <w:sz w:val="27"/>
          <w:rtl/>
        </w:rPr>
        <w:t xml:space="preserve"> والس</w:t>
      </w:r>
      <w:r w:rsidRPr="00282AC9">
        <w:rPr>
          <w:rFonts w:ascii="Times New Roman" w:hAnsi="Times New Roman" w:hint="cs"/>
          <w:sz w:val="27"/>
          <w:rtl/>
        </w:rPr>
        <w:t>ي</w:t>
      </w:r>
      <w:r w:rsidRPr="00282AC9">
        <w:rPr>
          <w:rFonts w:ascii="Sakkal Majalla" w:hAnsi="Sakkal Majalla" w:hint="cs"/>
          <w:sz w:val="27"/>
          <w:rtl/>
        </w:rPr>
        <w:t>وطي</w:t>
      </w:r>
      <w:r w:rsidR="00FD6C76" w:rsidRPr="00282AC9">
        <w:rPr>
          <w:rFonts w:ascii="Sakkal Majalla" w:hAnsi="Sakkal Majalla" w:hint="cs"/>
          <w:sz w:val="27"/>
          <w:rtl/>
        </w:rPr>
        <w:t>،</w:t>
      </w:r>
      <w:r w:rsidRPr="00282AC9">
        <w:rPr>
          <w:rFonts w:ascii="Sakkal Majalla" w:hAnsi="Sakkal Majalla"/>
          <w:sz w:val="27"/>
          <w:rtl/>
        </w:rPr>
        <w:t xml:space="preserve"> من العام</w:t>
      </w:r>
      <w:r w:rsidR="00FD6C76" w:rsidRPr="00282AC9">
        <w:rPr>
          <w:rFonts w:ascii="Sakkal Majalla" w:hAnsi="Sakkal Majalla" w:hint="cs"/>
          <w:sz w:val="27"/>
          <w:rtl/>
        </w:rPr>
        <w:t>ّ</w:t>
      </w:r>
      <w:r w:rsidRPr="00282AC9">
        <w:rPr>
          <w:rFonts w:ascii="Sakkal Majalla" w:hAnsi="Sakkal Majalla"/>
          <w:sz w:val="27"/>
          <w:rtl/>
        </w:rPr>
        <w:t>ة</w:t>
      </w:r>
      <w:r w:rsidR="00FD6C76" w:rsidRPr="00282AC9">
        <w:rPr>
          <w:rFonts w:ascii="Sakkal Majalla" w:hAnsi="Sakkal Majalla" w:hint="cs"/>
          <w:sz w:val="27"/>
          <w:rtl/>
        </w:rPr>
        <w:t>،</w:t>
      </w:r>
      <w:r w:rsidRPr="00282AC9">
        <w:rPr>
          <w:rFonts w:ascii="Sakkal Majalla" w:hAnsi="Sakkal Majalla"/>
          <w:sz w:val="27"/>
          <w:rtl/>
        </w:rPr>
        <w:t xml:space="preserve"> بعدم وجود الخلاف ف</w:t>
      </w:r>
      <w:r w:rsidRPr="00282AC9">
        <w:rPr>
          <w:rFonts w:ascii="Sakkal Majalla" w:hAnsi="Sakkal Majalla" w:hint="cs"/>
          <w:sz w:val="27"/>
          <w:rtl/>
        </w:rPr>
        <w:t>ي</w:t>
      </w:r>
      <w:r w:rsidRPr="00282AC9">
        <w:rPr>
          <w:rFonts w:ascii="Sakkal Majalla" w:hAnsi="Sakkal Majalla"/>
          <w:sz w:val="27"/>
          <w:rtl/>
        </w:rPr>
        <w:t xml:space="preserve"> ذل</w:t>
      </w:r>
      <w:r w:rsidRPr="00282AC9">
        <w:rPr>
          <w:rFonts w:ascii="Sakkal Majalla" w:hAnsi="Sakkal Majalla" w:hint="cs"/>
          <w:sz w:val="27"/>
          <w:rtl/>
        </w:rPr>
        <w:t>ك.</w:t>
      </w:r>
      <w:r w:rsidRPr="00282AC9">
        <w:rPr>
          <w:rFonts w:ascii="Sakkal Majalla" w:hAnsi="Sakkal Majalla"/>
          <w:sz w:val="27"/>
          <w:rtl/>
        </w:rPr>
        <w:t xml:space="preserve"> قال</w:t>
      </w:r>
      <w:r w:rsidRPr="00282AC9">
        <w:rPr>
          <w:rFonts w:ascii="Sakkal Majalla" w:hAnsi="Sakkal Majalla" w:hint="cs"/>
          <w:sz w:val="27"/>
          <w:rtl/>
        </w:rPr>
        <w:t xml:space="preserve"> الس</w:t>
      </w:r>
      <w:r w:rsidRPr="00282AC9">
        <w:rPr>
          <w:rFonts w:ascii="Times New Roman" w:hAnsi="Times New Roman" w:hint="cs"/>
          <w:sz w:val="27"/>
          <w:rtl/>
        </w:rPr>
        <w:t>ي</w:t>
      </w:r>
      <w:r w:rsidRPr="00282AC9">
        <w:rPr>
          <w:rFonts w:ascii="Sakkal Majalla" w:hAnsi="Sakkal Majalla" w:hint="cs"/>
          <w:sz w:val="27"/>
          <w:rtl/>
        </w:rPr>
        <w:t>وطي</w:t>
      </w:r>
      <w:r w:rsidRPr="00282AC9">
        <w:rPr>
          <w:rFonts w:ascii="Sakkal Majalla" w:hAnsi="Sakkal Majalla"/>
          <w:sz w:val="27"/>
          <w:rtl/>
        </w:rPr>
        <w:t xml:space="preserve"> ف</w:t>
      </w:r>
      <w:r w:rsidRPr="00282AC9">
        <w:rPr>
          <w:rFonts w:ascii="Sakkal Majalla" w:hAnsi="Sakkal Majalla" w:hint="cs"/>
          <w:sz w:val="27"/>
          <w:rtl/>
        </w:rPr>
        <w:t>ي</w:t>
      </w:r>
      <w:r w:rsidRPr="00282AC9">
        <w:rPr>
          <w:rFonts w:ascii="Sakkal Majalla" w:hAnsi="Sakkal Majalla"/>
          <w:sz w:val="27"/>
          <w:rtl/>
        </w:rPr>
        <w:t xml:space="preserve"> ال</w:t>
      </w:r>
      <w:r w:rsidRPr="00282AC9">
        <w:rPr>
          <w:rFonts w:ascii="Sakkal Majalla" w:hAnsi="Sakkal Majalla" w:hint="cs"/>
          <w:sz w:val="27"/>
          <w:rtl/>
        </w:rPr>
        <w:t>إ</w:t>
      </w:r>
      <w:r w:rsidRPr="00282AC9">
        <w:rPr>
          <w:rFonts w:ascii="Sakkal Majalla" w:hAnsi="Sakkal Majalla"/>
          <w:sz w:val="27"/>
          <w:rtl/>
        </w:rPr>
        <w:t xml:space="preserve">تقان: </w:t>
      </w:r>
      <w:r w:rsidRPr="00282AC9">
        <w:rPr>
          <w:rFonts w:hint="eastAsia"/>
          <w:sz w:val="24"/>
          <w:szCs w:val="24"/>
          <w:rtl/>
        </w:rPr>
        <w:t>«</w:t>
      </w:r>
      <w:r w:rsidRPr="00282AC9">
        <w:rPr>
          <w:rFonts w:ascii="Sakkal Majalla" w:hAnsi="Sakkal Majalla"/>
          <w:sz w:val="27"/>
          <w:rtl/>
        </w:rPr>
        <w:t>ال</w:t>
      </w:r>
      <w:r w:rsidRPr="00282AC9">
        <w:rPr>
          <w:rFonts w:ascii="Sakkal Majalla" w:hAnsi="Sakkal Majalla" w:hint="cs"/>
          <w:sz w:val="27"/>
          <w:rtl/>
        </w:rPr>
        <w:t>إ</w:t>
      </w:r>
      <w:r w:rsidRPr="00282AC9">
        <w:rPr>
          <w:rFonts w:ascii="Sakkal Majalla" w:hAnsi="Sakkal Majalla"/>
          <w:sz w:val="27"/>
          <w:rtl/>
        </w:rPr>
        <w:t>جماع والنصوص المترادفة عل</w:t>
      </w:r>
      <w:r w:rsidR="00FD6C76" w:rsidRPr="00282AC9">
        <w:rPr>
          <w:rFonts w:ascii="Times New Roman" w:hAnsi="Times New Roman" w:hint="cs"/>
          <w:sz w:val="27"/>
          <w:rtl/>
        </w:rPr>
        <w:t>ى</w:t>
      </w:r>
      <w:r w:rsidRPr="00282AC9">
        <w:rPr>
          <w:rFonts w:ascii="Sakkal Majalla" w:hAnsi="Sakkal Majalla"/>
          <w:sz w:val="27"/>
          <w:rtl/>
        </w:rPr>
        <w:t xml:space="preserve"> </w:t>
      </w:r>
      <w:r w:rsidRPr="00282AC9">
        <w:rPr>
          <w:rFonts w:ascii="Sakkal Majalla" w:hAnsi="Sakkal Majalla" w:hint="cs"/>
          <w:sz w:val="27"/>
          <w:rtl/>
        </w:rPr>
        <w:t>أ</w:t>
      </w:r>
      <w:r w:rsidRPr="00282AC9">
        <w:rPr>
          <w:rFonts w:ascii="Sakkal Majalla" w:hAnsi="Sakkal Majalla"/>
          <w:sz w:val="27"/>
          <w:rtl/>
        </w:rPr>
        <w:t>نّ ترت</w:t>
      </w:r>
      <w:r w:rsidRPr="00282AC9">
        <w:rPr>
          <w:rFonts w:ascii="Times New Roman" w:hAnsi="Times New Roman" w:hint="cs"/>
          <w:sz w:val="27"/>
          <w:rtl/>
        </w:rPr>
        <w:t>ي</w:t>
      </w:r>
      <w:r w:rsidRPr="00282AC9">
        <w:rPr>
          <w:rFonts w:ascii="Sakkal Majalla" w:hAnsi="Sakkal Majalla" w:hint="cs"/>
          <w:sz w:val="27"/>
          <w:rtl/>
        </w:rPr>
        <w:t>ب</w:t>
      </w:r>
      <w:r w:rsidRPr="00282AC9">
        <w:rPr>
          <w:rFonts w:ascii="Sakkal Majalla" w:hAnsi="Sakkal Majalla"/>
          <w:sz w:val="27"/>
          <w:rtl/>
        </w:rPr>
        <w:t xml:space="preserve"> </w:t>
      </w:r>
      <w:r w:rsidRPr="00282AC9">
        <w:rPr>
          <w:rFonts w:ascii="Sakkal Majalla" w:hAnsi="Sakkal Majalla" w:hint="cs"/>
          <w:sz w:val="27"/>
          <w:rtl/>
        </w:rPr>
        <w:t>الآ</w:t>
      </w:r>
      <w:r w:rsidRPr="00282AC9">
        <w:rPr>
          <w:rFonts w:ascii="Times New Roman" w:hAnsi="Times New Roman" w:hint="cs"/>
          <w:sz w:val="27"/>
          <w:rtl/>
        </w:rPr>
        <w:t>ي</w:t>
      </w:r>
      <w:r w:rsidRPr="00282AC9">
        <w:rPr>
          <w:rFonts w:ascii="Sakkal Majalla" w:hAnsi="Sakkal Majalla" w:hint="cs"/>
          <w:sz w:val="27"/>
          <w:rtl/>
        </w:rPr>
        <w:t>ات</w:t>
      </w:r>
      <w:r w:rsidRPr="00282AC9">
        <w:rPr>
          <w:rFonts w:ascii="Sakkal Majalla" w:hAnsi="Sakkal Majalla"/>
          <w:sz w:val="27"/>
          <w:rtl/>
        </w:rPr>
        <w:t xml:space="preserve"> </w:t>
      </w:r>
      <w:r w:rsidRPr="00282AC9">
        <w:rPr>
          <w:rFonts w:ascii="Sakkal Majalla" w:hAnsi="Sakkal Majalla" w:hint="cs"/>
          <w:sz w:val="27"/>
          <w:rtl/>
        </w:rPr>
        <w:t>توق</w:t>
      </w:r>
      <w:r w:rsidRPr="00282AC9">
        <w:rPr>
          <w:rFonts w:ascii="Times New Roman" w:hAnsi="Times New Roman" w:hint="cs"/>
          <w:sz w:val="27"/>
          <w:rtl/>
        </w:rPr>
        <w:t>ي</w:t>
      </w:r>
      <w:r w:rsidRPr="00282AC9">
        <w:rPr>
          <w:rFonts w:ascii="Sakkal Majalla" w:hAnsi="Sakkal Majalla" w:hint="cs"/>
          <w:sz w:val="27"/>
          <w:rtl/>
        </w:rPr>
        <w:t>في</w:t>
      </w:r>
      <w:r w:rsidR="00FD6C76" w:rsidRPr="00282AC9">
        <w:rPr>
          <w:rFonts w:ascii="Sakkal Majalla" w:hAnsi="Sakkal Majalla" w:hint="cs"/>
          <w:sz w:val="27"/>
          <w:rtl/>
        </w:rPr>
        <w:t>ٌّ،</w:t>
      </w:r>
      <w:r w:rsidRPr="00282AC9">
        <w:rPr>
          <w:rFonts w:ascii="Sakkal Majalla" w:hAnsi="Sakkal Majalla"/>
          <w:sz w:val="27"/>
          <w:rtl/>
        </w:rPr>
        <w:t xml:space="preserve"> لا شبهة ف</w:t>
      </w:r>
      <w:r w:rsidRPr="00282AC9">
        <w:rPr>
          <w:rFonts w:ascii="Sakkal Majalla" w:hAnsi="Sakkal Majalla" w:hint="cs"/>
          <w:sz w:val="27"/>
          <w:rtl/>
        </w:rPr>
        <w:t>ي</w:t>
      </w:r>
      <w:r w:rsidRPr="00282AC9">
        <w:rPr>
          <w:rFonts w:ascii="Sakkal Majalla" w:hAnsi="Sakkal Majalla"/>
          <w:sz w:val="27"/>
          <w:rtl/>
        </w:rPr>
        <w:t xml:space="preserve"> ذل</w:t>
      </w:r>
      <w:r w:rsidRPr="00282AC9">
        <w:rPr>
          <w:rFonts w:ascii="Sakkal Majalla" w:hAnsi="Sakkal Majalla" w:hint="cs"/>
          <w:sz w:val="27"/>
          <w:rtl/>
        </w:rPr>
        <w:t>ك</w:t>
      </w:r>
      <w:r w:rsidRPr="00282AC9">
        <w:rPr>
          <w:rFonts w:hint="eastAsia"/>
          <w:sz w:val="24"/>
          <w:szCs w:val="24"/>
          <w:rtl/>
        </w:rPr>
        <w:t>»</w:t>
      </w:r>
      <w:r w:rsidRPr="00282AC9">
        <w:rPr>
          <w:rFonts w:ascii="Sakkal Majalla" w:hAnsi="Sakkal Majalla"/>
          <w:sz w:val="27"/>
          <w:vertAlign w:val="superscript"/>
          <w:rtl/>
        </w:rPr>
        <w:t>(</w:t>
      </w:r>
      <w:r w:rsidRPr="00282AC9">
        <w:rPr>
          <w:rStyle w:val="af9"/>
          <w:rFonts w:ascii="Sakkal Majalla" w:hAnsi="Sakkal Majalla"/>
          <w:sz w:val="27"/>
          <w:rtl/>
        </w:rPr>
        <w:endnoteReference w:id="841"/>
      </w:r>
      <w:r w:rsidRPr="00282AC9">
        <w:rPr>
          <w:rFonts w:ascii="Sakkal Majalla" w:hAnsi="Sakkal Majalla"/>
          <w:sz w:val="27"/>
          <w:vertAlign w:val="superscript"/>
          <w:rtl/>
        </w:rPr>
        <w:t>)</w:t>
      </w:r>
      <w:r w:rsidR="00FD6C76" w:rsidRPr="00282AC9">
        <w:rPr>
          <w:rFonts w:ascii="Sakkal Majalla" w:hAnsi="Sakkal Majalla" w:hint="cs"/>
          <w:sz w:val="27"/>
          <w:rtl/>
        </w:rPr>
        <w:t>.</w:t>
      </w:r>
    </w:p>
    <w:p w:rsidR="000017A6" w:rsidRPr="00282AC9" w:rsidRDefault="00AD6E36" w:rsidP="001D1A88">
      <w:pPr>
        <w:rPr>
          <w:rFonts w:ascii="Sakkal Majalla" w:hAnsi="Sakkal Majalla"/>
          <w:sz w:val="27"/>
          <w:rtl/>
        </w:rPr>
      </w:pPr>
      <w:r w:rsidRPr="00282AC9">
        <w:rPr>
          <w:rFonts w:ascii="Sakkal Majalla" w:hAnsi="Sakkal Majalla" w:hint="cs"/>
          <w:sz w:val="27"/>
          <w:rtl/>
        </w:rPr>
        <w:t>وخالف في ذلك العلا</w:t>
      </w:r>
      <w:r w:rsidR="00FD6C76" w:rsidRPr="00282AC9">
        <w:rPr>
          <w:rFonts w:ascii="Sakkal Majalla" w:hAnsi="Sakkal Majalla" w:hint="cs"/>
          <w:sz w:val="27"/>
          <w:rtl/>
        </w:rPr>
        <w:t>ّ</w:t>
      </w:r>
      <w:r w:rsidRPr="00282AC9">
        <w:rPr>
          <w:rFonts w:ascii="Sakkal Majalla" w:hAnsi="Sakkal Majalla" w:hint="cs"/>
          <w:sz w:val="27"/>
          <w:rtl/>
        </w:rPr>
        <w:t>مة الطباطبائ</w:t>
      </w:r>
      <w:r w:rsidRPr="00282AC9">
        <w:rPr>
          <w:rFonts w:ascii="Times New Roman" w:hAnsi="Times New Roman" w:hint="cs"/>
          <w:sz w:val="27"/>
          <w:rtl/>
        </w:rPr>
        <w:t>ي</w:t>
      </w:r>
      <w:r w:rsidRPr="00282AC9">
        <w:rPr>
          <w:rFonts w:ascii="Sakkal Majalla" w:hAnsi="Sakkal Majalla" w:hint="cs"/>
          <w:sz w:val="27"/>
          <w:rtl/>
        </w:rPr>
        <w:t xml:space="preserve"> ـ </w:t>
      </w:r>
      <w:r w:rsidR="00FD6C76" w:rsidRPr="00282AC9">
        <w:rPr>
          <w:rFonts w:ascii="Sakkal Majalla" w:hAnsi="Sakkal Majalla" w:hint="cs"/>
          <w:sz w:val="27"/>
          <w:rtl/>
        </w:rPr>
        <w:t>و</w:t>
      </w:r>
      <w:r w:rsidRPr="00282AC9">
        <w:rPr>
          <w:rFonts w:ascii="Sakkal Majalla" w:hAnsi="Sakkal Majalla" w:hint="cs"/>
          <w:sz w:val="27"/>
          <w:rtl/>
        </w:rPr>
        <w:t>بعض م</w:t>
      </w:r>
      <w:r w:rsidR="00FD6C76" w:rsidRPr="00282AC9">
        <w:rPr>
          <w:rFonts w:ascii="Sakkal Majalla" w:hAnsi="Sakkal Majalla" w:hint="cs"/>
          <w:sz w:val="27"/>
          <w:rtl/>
        </w:rPr>
        <w:t>َ</w:t>
      </w:r>
      <w:r w:rsidRPr="00282AC9">
        <w:rPr>
          <w:rFonts w:ascii="Sakkal Majalla" w:hAnsi="Sakkal Majalla" w:hint="cs"/>
          <w:sz w:val="27"/>
          <w:rtl/>
        </w:rPr>
        <w:t>ن</w:t>
      </w:r>
      <w:r w:rsidR="00FD6C76" w:rsidRPr="00282AC9">
        <w:rPr>
          <w:rFonts w:ascii="Sakkal Majalla" w:hAnsi="Sakkal Majalla" w:hint="cs"/>
          <w:sz w:val="27"/>
          <w:rtl/>
        </w:rPr>
        <w:t>ْ</w:t>
      </w:r>
      <w:r w:rsidRPr="00282AC9">
        <w:rPr>
          <w:rFonts w:ascii="Sakkal Majalla" w:hAnsi="Sakkal Majalla" w:hint="cs"/>
          <w:sz w:val="27"/>
          <w:rtl/>
        </w:rPr>
        <w:t xml:space="preserve"> سبقه</w:t>
      </w:r>
      <w:r w:rsidR="00FD6C76" w:rsidRPr="00282AC9">
        <w:rPr>
          <w:rFonts w:ascii="Sakkal Majalla" w:hAnsi="Sakkal Majalla" w:hint="cs"/>
          <w:sz w:val="27"/>
          <w:rtl/>
        </w:rPr>
        <w:t>،</w:t>
      </w:r>
      <w:r w:rsidRPr="00282AC9">
        <w:rPr>
          <w:rFonts w:ascii="Sakkal Majalla" w:hAnsi="Sakkal Majalla" w:hint="cs"/>
          <w:sz w:val="27"/>
          <w:rtl/>
        </w:rPr>
        <w:t xml:space="preserve"> كعلي</w:t>
      </w:r>
      <w:r w:rsidR="00FD6C76" w:rsidRPr="00282AC9">
        <w:rPr>
          <w:rFonts w:ascii="Sakkal Majalla" w:hAnsi="Sakkal Majalla" w:hint="cs"/>
          <w:sz w:val="27"/>
          <w:rtl/>
        </w:rPr>
        <w:t>ّ</w:t>
      </w:r>
      <w:r w:rsidRPr="00282AC9">
        <w:rPr>
          <w:rFonts w:ascii="Sakkal Majalla" w:hAnsi="Sakkal Majalla" w:hint="cs"/>
          <w:sz w:val="27"/>
          <w:rtl/>
        </w:rPr>
        <w:t xml:space="preserve"> بن </w:t>
      </w:r>
      <w:r w:rsidR="00745B88" w:rsidRPr="00282AC9">
        <w:rPr>
          <w:rFonts w:ascii="Sakkal Majalla" w:hAnsi="Sakkal Majalla" w:hint="cs"/>
          <w:sz w:val="27"/>
          <w:rtl/>
        </w:rPr>
        <w:t>إ</w:t>
      </w:r>
      <w:r w:rsidRPr="00282AC9">
        <w:rPr>
          <w:rFonts w:ascii="Sakkal Majalla" w:hAnsi="Sakkal Majalla" w:hint="cs"/>
          <w:sz w:val="27"/>
          <w:rtl/>
        </w:rPr>
        <w:t>براه</w:t>
      </w:r>
      <w:r w:rsidRPr="00282AC9">
        <w:rPr>
          <w:rFonts w:ascii="Times New Roman" w:hAnsi="Times New Roman" w:hint="cs"/>
          <w:sz w:val="27"/>
          <w:rtl/>
        </w:rPr>
        <w:t>ي</w:t>
      </w:r>
      <w:r w:rsidRPr="00282AC9">
        <w:rPr>
          <w:rFonts w:ascii="Sakkal Majalla" w:hAnsi="Sakkal Majalla" w:hint="cs"/>
          <w:sz w:val="27"/>
          <w:rtl/>
        </w:rPr>
        <w:t>م القم</w:t>
      </w:r>
      <w:r w:rsidR="00FD6C76" w:rsidRPr="00282AC9">
        <w:rPr>
          <w:rFonts w:ascii="Sakkal Majalla" w:hAnsi="Sakkal Majalla" w:hint="cs"/>
          <w:sz w:val="27"/>
          <w:rtl/>
        </w:rPr>
        <w:t>ّ</w:t>
      </w:r>
      <w:r w:rsidRPr="00282AC9">
        <w:rPr>
          <w:rFonts w:ascii="Sakkal Majalla" w:hAnsi="Sakkal Majalla" w:hint="cs"/>
          <w:sz w:val="27"/>
          <w:rtl/>
        </w:rPr>
        <w:t>ي والف</w:t>
      </w:r>
      <w:r w:rsidRPr="00282AC9">
        <w:rPr>
          <w:rFonts w:ascii="Times New Roman" w:hAnsi="Times New Roman" w:hint="cs"/>
          <w:sz w:val="27"/>
          <w:rtl/>
        </w:rPr>
        <w:t>ي</w:t>
      </w:r>
      <w:r w:rsidRPr="00282AC9">
        <w:rPr>
          <w:rFonts w:ascii="Sakkal Majalla" w:hAnsi="Sakkal Majalla" w:hint="cs"/>
          <w:sz w:val="27"/>
          <w:rtl/>
        </w:rPr>
        <w:t>ض الكاشاني والمحد</w:t>
      </w:r>
      <w:r w:rsidR="00FD6C76" w:rsidRPr="00282AC9">
        <w:rPr>
          <w:rFonts w:ascii="Sakkal Majalla" w:hAnsi="Sakkal Majalla" w:hint="cs"/>
          <w:sz w:val="27"/>
          <w:rtl/>
        </w:rPr>
        <w:t>ِّ</w:t>
      </w:r>
      <w:r w:rsidRPr="00282AC9">
        <w:rPr>
          <w:rFonts w:ascii="Sakkal Majalla" w:hAnsi="Sakkal Majalla" w:hint="cs"/>
          <w:sz w:val="27"/>
          <w:rtl/>
        </w:rPr>
        <w:t xml:space="preserve">ث البحراني ـ  فذهب إلى </w:t>
      </w:r>
      <w:r w:rsidRPr="00282AC9">
        <w:rPr>
          <w:rFonts w:ascii="Sakkal Majalla" w:hAnsi="Sakkal Majalla"/>
          <w:sz w:val="27"/>
          <w:rtl/>
        </w:rPr>
        <w:t>عدم توق</w:t>
      </w:r>
      <w:r w:rsidRPr="00282AC9">
        <w:rPr>
          <w:rFonts w:ascii="Times New Roman" w:hAnsi="Times New Roman" w:hint="cs"/>
          <w:sz w:val="27"/>
          <w:rtl/>
        </w:rPr>
        <w:t>ي</w:t>
      </w:r>
      <w:r w:rsidRPr="00282AC9">
        <w:rPr>
          <w:rFonts w:ascii="Sakkal Majalla" w:hAnsi="Sakkal Majalla" w:hint="cs"/>
          <w:sz w:val="27"/>
          <w:rtl/>
        </w:rPr>
        <w:t>ف</w:t>
      </w:r>
      <w:r w:rsidRPr="00282AC9">
        <w:rPr>
          <w:rFonts w:ascii="Times New Roman" w:hAnsi="Times New Roman" w:hint="cs"/>
          <w:sz w:val="27"/>
          <w:rtl/>
        </w:rPr>
        <w:t>ي</w:t>
      </w:r>
      <w:r w:rsidR="00FD6C76" w:rsidRPr="00282AC9">
        <w:rPr>
          <w:rFonts w:ascii="Sakkal Majalla" w:hAnsi="Sakkal Majalla" w:hint="cs"/>
          <w:sz w:val="27"/>
          <w:rtl/>
        </w:rPr>
        <w:t>ّ</w:t>
      </w:r>
      <w:r w:rsidRPr="00282AC9">
        <w:rPr>
          <w:rFonts w:ascii="Sakkal Majalla" w:hAnsi="Sakkal Majalla" w:hint="cs"/>
          <w:sz w:val="27"/>
          <w:rtl/>
        </w:rPr>
        <w:t>ة</w:t>
      </w:r>
      <w:r w:rsidRPr="00282AC9">
        <w:rPr>
          <w:rFonts w:ascii="Sakkal Majalla" w:hAnsi="Sakkal Majalla"/>
          <w:sz w:val="27"/>
          <w:rtl/>
        </w:rPr>
        <w:t xml:space="preserve"> </w:t>
      </w:r>
      <w:r w:rsidRPr="00282AC9">
        <w:rPr>
          <w:rFonts w:ascii="Sakkal Majalla" w:hAnsi="Sakkal Majalla" w:hint="cs"/>
          <w:sz w:val="27"/>
          <w:rtl/>
        </w:rPr>
        <w:t>ترت</w:t>
      </w:r>
      <w:r w:rsidRPr="00282AC9">
        <w:rPr>
          <w:rFonts w:ascii="Times New Roman" w:hAnsi="Times New Roman" w:hint="cs"/>
          <w:sz w:val="27"/>
          <w:rtl/>
        </w:rPr>
        <w:t>ي</w:t>
      </w:r>
      <w:r w:rsidRPr="00282AC9">
        <w:rPr>
          <w:rFonts w:ascii="Sakkal Majalla" w:hAnsi="Sakkal Majalla" w:hint="cs"/>
          <w:sz w:val="27"/>
          <w:rtl/>
        </w:rPr>
        <w:t>ب</w:t>
      </w:r>
      <w:r w:rsidRPr="00282AC9">
        <w:rPr>
          <w:rFonts w:ascii="Sakkal Majalla" w:hAnsi="Sakkal Majalla"/>
          <w:sz w:val="27"/>
          <w:rtl/>
        </w:rPr>
        <w:t xml:space="preserve"> </w:t>
      </w:r>
      <w:r w:rsidRPr="00282AC9">
        <w:rPr>
          <w:rFonts w:ascii="Sakkal Majalla" w:hAnsi="Sakkal Majalla" w:hint="cs"/>
          <w:sz w:val="27"/>
          <w:rtl/>
        </w:rPr>
        <w:t>الآ</w:t>
      </w:r>
      <w:r w:rsidRPr="00282AC9">
        <w:rPr>
          <w:rFonts w:ascii="Times New Roman" w:hAnsi="Times New Roman" w:hint="cs"/>
          <w:sz w:val="27"/>
          <w:rtl/>
        </w:rPr>
        <w:t>ي</w:t>
      </w:r>
      <w:r w:rsidRPr="00282AC9">
        <w:rPr>
          <w:rFonts w:ascii="Sakkal Majalla" w:hAnsi="Sakkal Majalla" w:hint="cs"/>
          <w:sz w:val="27"/>
          <w:rtl/>
        </w:rPr>
        <w:t>ات،</w:t>
      </w:r>
      <w:r w:rsidRPr="00282AC9">
        <w:rPr>
          <w:rFonts w:ascii="Sakkal Majalla" w:hAnsi="Sakkal Majalla"/>
          <w:sz w:val="27"/>
          <w:rtl/>
        </w:rPr>
        <w:t xml:space="preserve"> </w:t>
      </w:r>
      <w:r w:rsidR="00FD6C76" w:rsidRPr="00282AC9">
        <w:rPr>
          <w:rFonts w:ascii="Sakkal Majalla" w:hAnsi="Sakkal Majalla" w:hint="cs"/>
          <w:sz w:val="27"/>
          <w:rtl/>
        </w:rPr>
        <w:t>و</w:t>
      </w:r>
      <w:r w:rsidRPr="00282AC9">
        <w:rPr>
          <w:rFonts w:ascii="Sakkal Majalla" w:hAnsi="Sakkal Majalla"/>
          <w:sz w:val="27"/>
          <w:rtl/>
        </w:rPr>
        <w:t>قا</w:t>
      </w:r>
      <w:r w:rsidRPr="00282AC9">
        <w:rPr>
          <w:rFonts w:ascii="Sakkal Majalla" w:hAnsi="Sakkal Majalla" w:hint="cs"/>
          <w:sz w:val="27"/>
          <w:rtl/>
        </w:rPr>
        <w:t>ل</w:t>
      </w:r>
      <w:r w:rsidR="009A2A04" w:rsidRPr="00282AC9">
        <w:rPr>
          <w:rFonts w:ascii="Sakkal Majalla" w:hAnsi="Sakkal Majalla" w:cs="Mosawi" w:hint="cs"/>
          <w:sz w:val="22"/>
          <w:szCs w:val="22"/>
          <w:rtl/>
        </w:rPr>
        <w:t>&amp;</w:t>
      </w:r>
      <w:r w:rsidRPr="00282AC9">
        <w:rPr>
          <w:rFonts w:ascii="Sakkal Majalla" w:hAnsi="Sakkal Majalla"/>
          <w:sz w:val="27"/>
          <w:rtl/>
        </w:rPr>
        <w:t xml:space="preserve">: </w:t>
      </w:r>
      <w:r w:rsidRPr="00282AC9">
        <w:rPr>
          <w:rFonts w:hint="eastAsia"/>
          <w:sz w:val="24"/>
          <w:szCs w:val="24"/>
          <w:rtl/>
        </w:rPr>
        <w:t>«</w:t>
      </w:r>
      <w:r w:rsidR="00FD6C76" w:rsidRPr="00282AC9">
        <w:rPr>
          <w:rFonts w:ascii="Sakkal Majalla" w:hAnsi="Sakkal Majalla" w:hint="cs"/>
          <w:sz w:val="27"/>
          <w:rtl/>
        </w:rPr>
        <w:t>إ</w:t>
      </w:r>
      <w:r w:rsidRPr="00282AC9">
        <w:rPr>
          <w:rFonts w:ascii="Sakkal Majalla" w:hAnsi="Sakkal Majalla"/>
          <w:sz w:val="27"/>
          <w:rtl/>
        </w:rPr>
        <w:t>نّ وقوع بعض الآ</w:t>
      </w:r>
      <w:r w:rsidRPr="00282AC9">
        <w:rPr>
          <w:rFonts w:ascii="Times New Roman" w:hAnsi="Times New Roman" w:hint="cs"/>
          <w:sz w:val="27"/>
          <w:rtl/>
        </w:rPr>
        <w:t>ي</w:t>
      </w:r>
      <w:r w:rsidRPr="00282AC9">
        <w:rPr>
          <w:rFonts w:ascii="Sakkal Majalla" w:hAnsi="Sakkal Majalla" w:hint="cs"/>
          <w:sz w:val="27"/>
          <w:rtl/>
        </w:rPr>
        <w:t>ات</w:t>
      </w:r>
      <w:r w:rsidRPr="00282AC9">
        <w:rPr>
          <w:rFonts w:ascii="Sakkal Majalla" w:hAnsi="Sakkal Majalla"/>
          <w:sz w:val="27"/>
          <w:rtl/>
        </w:rPr>
        <w:t xml:space="preserve"> </w:t>
      </w:r>
      <w:r w:rsidRPr="00282AC9">
        <w:rPr>
          <w:rFonts w:ascii="Sakkal Majalla" w:hAnsi="Sakkal Majalla" w:hint="cs"/>
          <w:sz w:val="27"/>
          <w:rtl/>
        </w:rPr>
        <w:t>القرآن</w:t>
      </w:r>
      <w:r w:rsidRPr="00282AC9">
        <w:rPr>
          <w:rFonts w:ascii="Times New Roman" w:hAnsi="Times New Roman" w:hint="cs"/>
          <w:sz w:val="27"/>
          <w:rtl/>
        </w:rPr>
        <w:t>ي</w:t>
      </w:r>
      <w:r w:rsidRPr="00282AC9">
        <w:rPr>
          <w:rFonts w:ascii="Sakkal Majalla" w:hAnsi="Sakkal Majalla" w:hint="cs"/>
          <w:sz w:val="27"/>
          <w:rtl/>
        </w:rPr>
        <w:t>ة</w:t>
      </w:r>
      <w:r w:rsidRPr="00282AC9">
        <w:rPr>
          <w:rFonts w:ascii="Sakkal Majalla" w:hAnsi="Sakkal Majalla"/>
          <w:sz w:val="27"/>
          <w:rtl/>
        </w:rPr>
        <w:t xml:space="preserve"> </w:t>
      </w:r>
      <w:r w:rsidRPr="00282AC9">
        <w:rPr>
          <w:rFonts w:ascii="Sakkal Majalla" w:hAnsi="Sakkal Majalla" w:hint="cs"/>
          <w:sz w:val="27"/>
          <w:rtl/>
        </w:rPr>
        <w:t>الت</w:t>
      </w:r>
      <w:r w:rsidRPr="00282AC9">
        <w:rPr>
          <w:rFonts w:ascii="Times New Roman" w:hAnsi="Times New Roman" w:hint="cs"/>
          <w:sz w:val="27"/>
          <w:rtl/>
        </w:rPr>
        <w:t>ي</w:t>
      </w:r>
      <w:r w:rsidRPr="00282AC9">
        <w:rPr>
          <w:rFonts w:ascii="Sakkal Majalla" w:hAnsi="Sakkal Majalla"/>
          <w:sz w:val="27"/>
          <w:rtl/>
        </w:rPr>
        <w:t xml:space="preserve"> </w:t>
      </w:r>
      <w:r w:rsidRPr="00282AC9">
        <w:rPr>
          <w:rFonts w:ascii="Sakkal Majalla" w:hAnsi="Sakkal Majalla" w:hint="cs"/>
          <w:sz w:val="27"/>
          <w:rtl/>
        </w:rPr>
        <w:t>نزلت</w:t>
      </w:r>
      <w:r w:rsidRPr="00282AC9">
        <w:rPr>
          <w:rFonts w:ascii="Sakkal Majalla" w:hAnsi="Sakkal Majalla"/>
          <w:sz w:val="27"/>
          <w:rtl/>
        </w:rPr>
        <w:t xml:space="preserve"> </w:t>
      </w:r>
      <w:r w:rsidRPr="00282AC9">
        <w:rPr>
          <w:rFonts w:ascii="Sakkal Majalla" w:hAnsi="Sakkal Majalla" w:hint="cs"/>
          <w:sz w:val="27"/>
          <w:rtl/>
        </w:rPr>
        <w:t>متفر</w:t>
      </w:r>
      <w:r w:rsidR="00FD6C76" w:rsidRPr="00282AC9">
        <w:rPr>
          <w:rFonts w:ascii="Sakkal Majalla" w:hAnsi="Sakkal Majalla" w:hint="cs"/>
          <w:sz w:val="27"/>
          <w:rtl/>
        </w:rPr>
        <w:t>ّ</w:t>
      </w:r>
      <w:r w:rsidRPr="00282AC9">
        <w:rPr>
          <w:rFonts w:ascii="Sakkal Majalla" w:hAnsi="Sakkal Majalla" w:hint="cs"/>
          <w:sz w:val="27"/>
          <w:rtl/>
        </w:rPr>
        <w:t>قة</w:t>
      </w:r>
      <w:r w:rsidRPr="00282AC9">
        <w:rPr>
          <w:rFonts w:ascii="Sakkal Majalla" w:hAnsi="Sakkal Majalla"/>
          <w:sz w:val="27"/>
          <w:rtl/>
        </w:rPr>
        <w:t xml:space="preserve"> </w:t>
      </w:r>
      <w:r w:rsidRPr="00282AC9">
        <w:rPr>
          <w:rFonts w:ascii="Sakkal Majalla" w:hAnsi="Sakkal Majalla" w:hint="cs"/>
          <w:sz w:val="27"/>
          <w:rtl/>
        </w:rPr>
        <w:t>موقعها</w:t>
      </w:r>
      <w:r w:rsidRPr="00282AC9">
        <w:rPr>
          <w:rFonts w:ascii="Sakkal Majalla" w:hAnsi="Sakkal Majalla"/>
          <w:sz w:val="27"/>
          <w:rtl/>
        </w:rPr>
        <w:t xml:space="preserve"> </w:t>
      </w:r>
      <w:r w:rsidRPr="00282AC9">
        <w:rPr>
          <w:rFonts w:ascii="Sakkal Majalla" w:hAnsi="Sakkal Majalla" w:hint="cs"/>
          <w:sz w:val="27"/>
          <w:rtl/>
        </w:rPr>
        <w:t>الذ</w:t>
      </w:r>
      <w:r w:rsidRPr="00282AC9">
        <w:rPr>
          <w:rFonts w:ascii="Times New Roman" w:hAnsi="Times New Roman" w:hint="cs"/>
          <w:sz w:val="27"/>
          <w:rtl/>
        </w:rPr>
        <w:t>ي</w:t>
      </w:r>
      <w:r w:rsidRPr="00282AC9">
        <w:rPr>
          <w:rFonts w:ascii="Sakkal Majalla" w:hAnsi="Sakkal Majalla"/>
          <w:sz w:val="27"/>
          <w:rtl/>
        </w:rPr>
        <w:t xml:space="preserve"> </w:t>
      </w:r>
      <w:r w:rsidRPr="00282AC9">
        <w:rPr>
          <w:rFonts w:ascii="Sakkal Majalla" w:hAnsi="Sakkal Majalla" w:hint="cs"/>
          <w:sz w:val="27"/>
          <w:rtl/>
        </w:rPr>
        <w:t>ه</w:t>
      </w:r>
      <w:r w:rsidRPr="00282AC9">
        <w:rPr>
          <w:rFonts w:ascii="Times New Roman" w:hAnsi="Times New Roman" w:hint="cs"/>
          <w:sz w:val="27"/>
          <w:rtl/>
        </w:rPr>
        <w:t>ي</w:t>
      </w:r>
      <w:r w:rsidRPr="00282AC9">
        <w:rPr>
          <w:rFonts w:ascii="Sakkal Majalla" w:hAnsi="Sakkal Majalla"/>
          <w:sz w:val="27"/>
          <w:rtl/>
        </w:rPr>
        <w:t xml:space="preserve"> </w:t>
      </w:r>
      <w:r w:rsidRPr="00282AC9">
        <w:rPr>
          <w:rFonts w:ascii="Sakkal Majalla" w:hAnsi="Sakkal Majalla" w:hint="cs"/>
          <w:sz w:val="27"/>
          <w:rtl/>
        </w:rPr>
        <w:t>ف</w:t>
      </w:r>
      <w:r w:rsidRPr="00282AC9">
        <w:rPr>
          <w:rFonts w:ascii="Times New Roman" w:hAnsi="Times New Roman" w:hint="cs"/>
          <w:sz w:val="27"/>
          <w:rtl/>
        </w:rPr>
        <w:t>ي</w:t>
      </w:r>
      <w:r w:rsidRPr="00282AC9">
        <w:rPr>
          <w:rFonts w:ascii="Sakkal Majalla" w:hAnsi="Sakkal Majalla" w:hint="cs"/>
          <w:sz w:val="27"/>
          <w:rtl/>
        </w:rPr>
        <w:t>ه</w:t>
      </w:r>
      <w:r w:rsidRPr="00282AC9">
        <w:rPr>
          <w:rFonts w:ascii="Sakkal Majalla" w:hAnsi="Sakkal Majalla"/>
          <w:sz w:val="27"/>
          <w:rtl/>
        </w:rPr>
        <w:t xml:space="preserve"> </w:t>
      </w:r>
      <w:r w:rsidRPr="00282AC9">
        <w:rPr>
          <w:rFonts w:ascii="Sakkal Majalla" w:hAnsi="Sakkal Majalla" w:hint="cs"/>
          <w:sz w:val="27"/>
          <w:rtl/>
        </w:rPr>
        <w:t>الآن</w:t>
      </w:r>
      <w:r w:rsidRPr="00282AC9">
        <w:rPr>
          <w:rFonts w:ascii="Sakkal Majalla" w:hAnsi="Sakkal Majalla"/>
          <w:sz w:val="27"/>
          <w:rtl/>
        </w:rPr>
        <w:t xml:space="preserve"> </w:t>
      </w:r>
      <w:r w:rsidRPr="00282AC9">
        <w:rPr>
          <w:rFonts w:ascii="Sakkal Majalla" w:hAnsi="Sakkal Majalla" w:hint="cs"/>
          <w:sz w:val="27"/>
          <w:rtl/>
        </w:rPr>
        <w:t>لم</w:t>
      </w:r>
      <w:r w:rsidRPr="00282AC9">
        <w:rPr>
          <w:rFonts w:ascii="Sakkal Majalla" w:hAnsi="Sakkal Majalla"/>
          <w:sz w:val="27"/>
          <w:rtl/>
        </w:rPr>
        <w:t xml:space="preserve"> </w:t>
      </w:r>
      <w:r w:rsidRPr="00282AC9">
        <w:rPr>
          <w:rFonts w:ascii="Times New Roman" w:hAnsi="Times New Roman" w:hint="cs"/>
          <w:sz w:val="27"/>
          <w:rtl/>
        </w:rPr>
        <w:t>ي</w:t>
      </w:r>
      <w:r w:rsidR="00FD6C76" w:rsidRPr="00282AC9">
        <w:rPr>
          <w:rFonts w:ascii="Sakkal Majalla" w:hAnsi="Sakkal Majalla" w:hint="cs"/>
          <w:sz w:val="27"/>
          <w:rtl/>
        </w:rPr>
        <w:t>َخْ</w:t>
      </w:r>
      <w:r w:rsidRPr="00282AC9">
        <w:rPr>
          <w:rFonts w:ascii="Sakkal Majalla" w:hAnsi="Sakkal Majalla" w:hint="cs"/>
          <w:sz w:val="27"/>
          <w:rtl/>
        </w:rPr>
        <w:t>ل</w:t>
      </w:r>
      <w:r w:rsidR="00FD6C76" w:rsidRPr="00282AC9">
        <w:rPr>
          <w:rFonts w:ascii="Sakkal Majalla" w:hAnsi="Sakkal Majalla" w:hint="cs"/>
          <w:sz w:val="27"/>
          <w:rtl/>
        </w:rPr>
        <w:t>ُ</w:t>
      </w:r>
      <w:r w:rsidRPr="00282AC9">
        <w:rPr>
          <w:rFonts w:ascii="Sakkal Majalla" w:hAnsi="Sakkal Majalla"/>
          <w:sz w:val="27"/>
          <w:rtl/>
        </w:rPr>
        <w:t xml:space="preserve"> </w:t>
      </w:r>
      <w:r w:rsidRPr="00282AC9">
        <w:rPr>
          <w:rFonts w:ascii="Sakkal Majalla" w:hAnsi="Sakkal Majalla" w:hint="cs"/>
          <w:sz w:val="27"/>
          <w:rtl/>
        </w:rPr>
        <w:t>عن</w:t>
      </w:r>
      <w:r w:rsidRPr="00282AC9">
        <w:rPr>
          <w:rFonts w:ascii="Sakkal Majalla" w:hAnsi="Sakkal Majalla"/>
          <w:sz w:val="27"/>
          <w:rtl/>
        </w:rPr>
        <w:t xml:space="preserve"> </w:t>
      </w:r>
      <w:r w:rsidRPr="00282AC9">
        <w:rPr>
          <w:rFonts w:ascii="Sakkal Majalla" w:hAnsi="Sakkal Majalla" w:hint="cs"/>
          <w:sz w:val="27"/>
          <w:rtl/>
        </w:rPr>
        <w:t>مداخلة</w:t>
      </w:r>
      <w:r w:rsidR="00FD6C76" w:rsidRPr="00282AC9">
        <w:rPr>
          <w:rFonts w:ascii="Sakkal Majalla" w:hAnsi="Sakkal Majalla" w:hint="cs"/>
          <w:sz w:val="27"/>
          <w:rtl/>
        </w:rPr>
        <w:t>ٍ</w:t>
      </w:r>
      <w:r w:rsidRPr="00282AC9">
        <w:rPr>
          <w:rFonts w:ascii="Sakkal Majalla" w:hAnsi="Sakkal Majalla"/>
          <w:sz w:val="27"/>
          <w:rtl/>
        </w:rPr>
        <w:t xml:space="preserve"> </w:t>
      </w:r>
      <w:r w:rsidRPr="00282AC9">
        <w:rPr>
          <w:rFonts w:ascii="Sakkal Majalla" w:hAnsi="Sakkal Majalla" w:hint="cs"/>
          <w:sz w:val="27"/>
          <w:rtl/>
        </w:rPr>
        <w:t>من</w:t>
      </w:r>
      <w:r w:rsidRPr="00282AC9">
        <w:rPr>
          <w:rFonts w:ascii="Sakkal Majalla" w:hAnsi="Sakkal Majalla"/>
          <w:sz w:val="27"/>
          <w:rtl/>
        </w:rPr>
        <w:t xml:space="preserve"> </w:t>
      </w:r>
      <w:r w:rsidRPr="00282AC9">
        <w:rPr>
          <w:rFonts w:ascii="Sakkal Majalla" w:hAnsi="Sakkal Majalla" w:hint="cs"/>
          <w:sz w:val="27"/>
          <w:rtl/>
        </w:rPr>
        <w:t>الصحابة</w:t>
      </w:r>
      <w:r w:rsidRPr="00282AC9">
        <w:rPr>
          <w:rFonts w:ascii="Sakkal Majalla" w:hAnsi="Sakkal Majalla"/>
          <w:sz w:val="27"/>
          <w:rtl/>
        </w:rPr>
        <w:t xml:space="preserve"> </w:t>
      </w:r>
      <w:r w:rsidRPr="00282AC9">
        <w:rPr>
          <w:rFonts w:ascii="Sakkal Majalla" w:hAnsi="Sakkal Majalla" w:hint="cs"/>
          <w:sz w:val="27"/>
          <w:rtl/>
        </w:rPr>
        <w:t>بال</w:t>
      </w:r>
      <w:r w:rsidR="00FD6C76" w:rsidRPr="00282AC9">
        <w:rPr>
          <w:rFonts w:ascii="Sakkal Majalla" w:hAnsi="Sakkal Majalla" w:hint="cs"/>
          <w:sz w:val="27"/>
          <w:rtl/>
        </w:rPr>
        <w:t>ا</w:t>
      </w:r>
      <w:r w:rsidRPr="00282AC9">
        <w:rPr>
          <w:rFonts w:ascii="Sakkal Majalla" w:hAnsi="Sakkal Majalla"/>
          <w:sz w:val="27"/>
          <w:rtl/>
        </w:rPr>
        <w:t>جتهاد</w:t>
      </w:r>
      <w:r w:rsidR="00FD6C76" w:rsidRPr="00282AC9">
        <w:rPr>
          <w:rFonts w:ascii="Sakkal Majalla" w:hAnsi="Sakkal Majalla" w:hint="cs"/>
          <w:sz w:val="27"/>
          <w:rtl/>
        </w:rPr>
        <w:t>،</w:t>
      </w:r>
      <w:r w:rsidRPr="00282AC9">
        <w:rPr>
          <w:rFonts w:ascii="Sakkal Majalla" w:hAnsi="Sakkal Majalla"/>
          <w:sz w:val="27"/>
          <w:rtl/>
        </w:rPr>
        <w:t xml:space="preserve"> كما هو ظاهر روا</w:t>
      </w:r>
      <w:r w:rsidRPr="00282AC9">
        <w:rPr>
          <w:rFonts w:ascii="Times New Roman" w:hAnsi="Times New Roman" w:hint="cs"/>
          <w:sz w:val="27"/>
          <w:rtl/>
        </w:rPr>
        <w:t>ي</w:t>
      </w:r>
      <w:r w:rsidRPr="00282AC9">
        <w:rPr>
          <w:rFonts w:ascii="Sakkal Majalla" w:hAnsi="Sakkal Majalla" w:hint="cs"/>
          <w:sz w:val="27"/>
          <w:rtl/>
        </w:rPr>
        <w:t>ات</w:t>
      </w:r>
      <w:r w:rsidRPr="00282AC9">
        <w:rPr>
          <w:rFonts w:ascii="Sakkal Majalla" w:hAnsi="Sakkal Majalla"/>
          <w:sz w:val="27"/>
          <w:rtl/>
        </w:rPr>
        <w:t xml:space="preserve"> </w:t>
      </w:r>
      <w:r w:rsidRPr="00282AC9">
        <w:rPr>
          <w:rFonts w:ascii="Sakkal Majalla" w:hAnsi="Sakkal Majalla" w:hint="cs"/>
          <w:sz w:val="27"/>
          <w:rtl/>
        </w:rPr>
        <w:t>الجمع</w:t>
      </w:r>
      <w:r w:rsidRPr="00282AC9">
        <w:rPr>
          <w:rFonts w:ascii="Sakkal Majalla" w:hAnsi="Sakkal Majalla"/>
          <w:sz w:val="27"/>
          <w:rtl/>
        </w:rPr>
        <w:t xml:space="preserve"> </w:t>
      </w:r>
      <w:r w:rsidRPr="00282AC9">
        <w:rPr>
          <w:rFonts w:ascii="Sakkal Majalla" w:hAnsi="Sakkal Majalla" w:hint="cs"/>
          <w:sz w:val="27"/>
          <w:rtl/>
        </w:rPr>
        <w:t>الأ</w:t>
      </w:r>
      <w:r w:rsidRPr="00282AC9">
        <w:rPr>
          <w:rFonts w:ascii="Sakkal Majalla" w:hAnsi="Sakkal Majalla"/>
          <w:sz w:val="27"/>
          <w:rtl/>
        </w:rPr>
        <w:t>و</w:t>
      </w:r>
      <w:r w:rsidR="00FD6C76" w:rsidRPr="00282AC9">
        <w:rPr>
          <w:rFonts w:ascii="Sakkal Majalla" w:hAnsi="Sakkal Majalla" w:hint="cs"/>
          <w:sz w:val="27"/>
          <w:rtl/>
        </w:rPr>
        <w:t>ّ</w:t>
      </w:r>
      <w:r w:rsidRPr="00282AC9">
        <w:rPr>
          <w:rFonts w:ascii="Sakkal Majalla" w:hAnsi="Sakkal Majalla"/>
          <w:sz w:val="27"/>
          <w:rtl/>
        </w:rPr>
        <w:t>ل</w:t>
      </w:r>
      <w:r w:rsidR="00FD6C76" w:rsidRPr="00282AC9">
        <w:rPr>
          <w:rFonts w:ascii="Sakkal Majalla" w:hAnsi="Sakkal Majalla" w:hint="cs"/>
          <w:sz w:val="27"/>
          <w:rtl/>
        </w:rPr>
        <w:t>،</w:t>
      </w:r>
      <w:r w:rsidRPr="00282AC9">
        <w:rPr>
          <w:rFonts w:ascii="Sakkal Majalla" w:hAnsi="Sakkal Majalla"/>
          <w:sz w:val="27"/>
          <w:rtl/>
        </w:rPr>
        <w:t xml:space="preserve"> وقد تقد</w:t>
      </w:r>
      <w:r w:rsidR="00FD6C76" w:rsidRPr="00282AC9">
        <w:rPr>
          <w:rFonts w:ascii="Sakkal Majalla" w:hAnsi="Sakkal Majalla" w:hint="cs"/>
          <w:sz w:val="27"/>
          <w:rtl/>
        </w:rPr>
        <w:t>َّ</w:t>
      </w:r>
      <w:r w:rsidRPr="00282AC9">
        <w:rPr>
          <w:rFonts w:ascii="Sakkal Majalla" w:hAnsi="Sakkal Majalla"/>
          <w:sz w:val="27"/>
          <w:rtl/>
        </w:rPr>
        <w:t>م</w:t>
      </w:r>
      <w:r w:rsidR="00FD6C76" w:rsidRPr="00282AC9">
        <w:rPr>
          <w:rFonts w:ascii="Sakkal Majalla" w:hAnsi="Sakkal Majalla" w:hint="cs"/>
          <w:sz w:val="27"/>
          <w:rtl/>
        </w:rPr>
        <w:t>َ</w:t>
      </w:r>
      <w:r w:rsidRPr="00282AC9">
        <w:rPr>
          <w:rFonts w:ascii="Sakkal Majalla" w:hAnsi="Sakkal Majalla"/>
          <w:sz w:val="27"/>
          <w:rtl/>
        </w:rPr>
        <w:t>ت</w:t>
      </w:r>
      <w:r w:rsidR="00FD6C76" w:rsidRPr="00282AC9">
        <w:rPr>
          <w:rFonts w:ascii="Sakkal Majalla" w:hAnsi="Sakkal Majalla" w:hint="cs"/>
          <w:sz w:val="27"/>
          <w:rtl/>
        </w:rPr>
        <w:t>ْ</w:t>
      </w:r>
      <w:r w:rsidRPr="00282AC9">
        <w:rPr>
          <w:rFonts w:hint="eastAsia"/>
          <w:sz w:val="24"/>
          <w:szCs w:val="24"/>
          <w:rtl/>
        </w:rPr>
        <w:t>»</w:t>
      </w:r>
      <w:r w:rsidRPr="00282AC9">
        <w:rPr>
          <w:rFonts w:ascii="Sakkal Majalla" w:hAnsi="Sakkal Majalla"/>
          <w:sz w:val="27"/>
          <w:vertAlign w:val="superscript"/>
          <w:rtl/>
        </w:rPr>
        <w:t>(</w:t>
      </w:r>
      <w:r w:rsidRPr="00282AC9">
        <w:rPr>
          <w:rStyle w:val="af9"/>
          <w:rFonts w:ascii="Sakkal Majalla" w:hAnsi="Sakkal Majalla"/>
          <w:sz w:val="27"/>
          <w:rtl/>
        </w:rPr>
        <w:endnoteReference w:id="842"/>
      </w:r>
      <w:r w:rsidRPr="00282AC9">
        <w:rPr>
          <w:rFonts w:ascii="Sakkal Majalla" w:hAnsi="Sakkal Majalla"/>
          <w:sz w:val="27"/>
          <w:vertAlign w:val="superscript"/>
          <w:rtl/>
        </w:rPr>
        <w:t>)</w:t>
      </w:r>
      <w:r w:rsidR="00FD6C76" w:rsidRPr="00282AC9">
        <w:rPr>
          <w:rFonts w:ascii="Sakkal Majalla" w:hAnsi="Sakkal Majalla" w:hint="cs"/>
          <w:sz w:val="27"/>
          <w:rtl/>
        </w:rPr>
        <w:t>.</w:t>
      </w:r>
      <w:r w:rsidRPr="00282AC9">
        <w:rPr>
          <w:rFonts w:ascii="Sakkal Majalla" w:hAnsi="Sakkal Majalla"/>
          <w:sz w:val="27"/>
          <w:rtl/>
        </w:rPr>
        <w:t xml:space="preserve"> وقد أصرّ ف</w:t>
      </w:r>
      <w:r w:rsidRPr="00282AC9">
        <w:rPr>
          <w:rFonts w:ascii="Sakkal Majalla" w:hAnsi="Sakkal Majalla" w:hint="cs"/>
          <w:sz w:val="27"/>
          <w:rtl/>
        </w:rPr>
        <w:t>ي</w:t>
      </w:r>
      <w:r w:rsidRPr="00282AC9">
        <w:rPr>
          <w:rFonts w:ascii="Sakkal Majalla" w:hAnsi="Sakkal Majalla"/>
          <w:sz w:val="27"/>
          <w:rtl/>
        </w:rPr>
        <w:t xml:space="preserve"> تفس</w:t>
      </w:r>
      <w:r w:rsidRPr="00282AC9">
        <w:rPr>
          <w:rFonts w:ascii="Times New Roman" w:hAnsi="Times New Roman" w:hint="cs"/>
          <w:sz w:val="27"/>
          <w:rtl/>
        </w:rPr>
        <w:t>ي</w:t>
      </w:r>
      <w:r w:rsidRPr="00282AC9">
        <w:rPr>
          <w:rFonts w:ascii="Sakkal Majalla" w:hAnsi="Sakkal Majalla" w:hint="cs"/>
          <w:sz w:val="27"/>
          <w:rtl/>
        </w:rPr>
        <w:t>ره</w:t>
      </w:r>
      <w:r w:rsidRPr="00282AC9">
        <w:rPr>
          <w:rFonts w:ascii="Sakkal Majalla" w:hAnsi="Sakkal Majalla"/>
          <w:sz w:val="27"/>
          <w:rtl/>
        </w:rPr>
        <w:t xml:space="preserve"> </w:t>
      </w:r>
      <w:r w:rsidRPr="00282AC9">
        <w:rPr>
          <w:rFonts w:ascii="Sakkal Majalla" w:hAnsi="Sakkal Majalla" w:hint="cs"/>
          <w:sz w:val="27"/>
          <w:rtl/>
        </w:rPr>
        <w:t>عل</w:t>
      </w:r>
      <w:r w:rsidR="00FD6C76" w:rsidRPr="00282AC9">
        <w:rPr>
          <w:rFonts w:ascii="Times New Roman" w:hAnsi="Times New Roman" w:hint="cs"/>
          <w:sz w:val="27"/>
          <w:rtl/>
        </w:rPr>
        <w:t>ى</w:t>
      </w:r>
      <w:r w:rsidRPr="00282AC9">
        <w:rPr>
          <w:rFonts w:ascii="Sakkal Majalla" w:hAnsi="Sakkal Majalla"/>
          <w:sz w:val="27"/>
          <w:rtl/>
        </w:rPr>
        <w:t xml:space="preserve"> </w:t>
      </w:r>
      <w:r w:rsidRPr="00282AC9">
        <w:rPr>
          <w:rFonts w:ascii="Sakkal Majalla" w:hAnsi="Sakkal Majalla" w:hint="cs"/>
          <w:sz w:val="27"/>
          <w:rtl/>
        </w:rPr>
        <w:t>هذا</w:t>
      </w:r>
      <w:r w:rsidRPr="00282AC9">
        <w:rPr>
          <w:rFonts w:ascii="Sakkal Majalla" w:hAnsi="Sakkal Majalla"/>
          <w:sz w:val="27"/>
          <w:rtl/>
        </w:rPr>
        <w:t xml:space="preserve"> </w:t>
      </w:r>
      <w:r w:rsidRPr="00282AC9">
        <w:rPr>
          <w:rFonts w:ascii="Sakkal Majalla" w:hAnsi="Sakkal Majalla" w:hint="cs"/>
          <w:sz w:val="27"/>
          <w:rtl/>
        </w:rPr>
        <w:t>القول</w:t>
      </w:r>
      <w:r w:rsidR="00FD6C76" w:rsidRPr="00282AC9">
        <w:rPr>
          <w:rFonts w:ascii="Sakkal Majalla" w:hAnsi="Sakkal Majalla" w:hint="cs"/>
          <w:sz w:val="27"/>
          <w:rtl/>
        </w:rPr>
        <w:t>،</w:t>
      </w:r>
      <w:r w:rsidRPr="00282AC9">
        <w:rPr>
          <w:rFonts w:ascii="Sakkal Majalla" w:hAnsi="Sakkal Majalla"/>
          <w:sz w:val="27"/>
          <w:rtl/>
        </w:rPr>
        <w:t xml:space="preserve"> واستدل</w:t>
      </w:r>
      <w:r w:rsidR="00FD6C76" w:rsidRPr="00282AC9">
        <w:rPr>
          <w:rFonts w:ascii="Sakkal Majalla" w:hAnsi="Sakkal Majalla" w:hint="cs"/>
          <w:sz w:val="27"/>
          <w:rtl/>
        </w:rPr>
        <w:t>ّ</w:t>
      </w:r>
      <w:r w:rsidRPr="00282AC9">
        <w:rPr>
          <w:rFonts w:ascii="Sakkal Majalla" w:hAnsi="Sakkal Majalla"/>
          <w:sz w:val="27"/>
          <w:rtl/>
        </w:rPr>
        <w:t xml:space="preserve"> عل</w:t>
      </w:r>
      <w:r w:rsidR="00FD6C76" w:rsidRPr="00282AC9">
        <w:rPr>
          <w:rFonts w:ascii="Times New Roman" w:hAnsi="Times New Roman" w:hint="cs"/>
          <w:sz w:val="27"/>
          <w:rtl/>
        </w:rPr>
        <w:t>ى</w:t>
      </w:r>
      <w:r w:rsidRPr="00282AC9">
        <w:rPr>
          <w:rFonts w:ascii="Sakkal Majalla" w:hAnsi="Sakkal Majalla"/>
          <w:sz w:val="27"/>
          <w:rtl/>
        </w:rPr>
        <w:t xml:space="preserve"> </w:t>
      </w:r>
      <w:r w:rsidRPr="00282AC9">
        <w:rPr>
          <w:rFonts w:ascii="Sakkal Majalla" w:hAnsi="Sakkal Majalla" w:hint="cs"/>
          <w:sz w:val="27"/>
          <w:rtl/>
        </w:rPr>
        <w:t>تضع</w:t>
      </w:r>
      <w:r w:rsidRPr="00282AC9">
        <w:rPr>
          <w:rFonts w:ascii="Times New Roman" w:hAnsi="Times New Roman" w:hint="cs"/>
          <w:sz w:val="27"/>
          <w:rtl/>
        </w:rPr>
        <w:t>ي</w:t>
      </w:r>
      <w:r w:rsidRPr="00282AC9">
        <w:rPr>
          <w:rFonts w:ascii="Sakkal Majalla" w:hAnsi="Sakkal Majalla" w:hint="cs"/>
          <w:sz w:val="27"/>
          <w:rtl/>
        </w:rPr>
        <w:t>ف</w:t>
      </w:r>
      <w:r w:rsidRPr="00282AC9">
        <w:rPr>
          <w:rFonts w:ascii="Sakkal Majalla" w:hAnsi="Sakkal Majalla"/>
          <w:sz w:val="27"/>
          <w:rtl/>
        </w:rPr>
        <w:t xml:space="preserve"> </w:t>
      </w:r>
      <w:r w:rsidRPr="00282AC9">
        <w:rPr>
          <w:rFonts w:ascii="Sakkal Majalla" w:hAnsi="Sakkal Majalla" w:hint="cs"/>
          <w:sz w:val="27"/>
          <w:rtl/>
        </w:rPr>
        <w:t>القول</w:t>
      </w:r>
      <w:r w:rsidRPr="00282AC9">
        <w:rPr>
          <w:rFonts w:ascii="Sakkal Majalla" w:hAnsi="Sakkal Majalla"/>
          <w:sz w:val="27"/>
          <w:rtl/>
        </w:rPr>
        <w:t xml:space="preserve"> الآخر بال</w:t>
      </w:r>
      <w:r w:rsidR="00FD6C76" w:rsidRPr="00282AC9">
        <w:rPr>
          <w:rFonts w:ascii="Sakkal Majalla" w:hAnsi="Sakkal Majalla" w:hint="cs"/>
          <w:sz w:val="27"/>
          <w:rtl/>
        </w:rPr>
        <w:t>أ</w:t>
      </w:r>
      <w:r w:rsidRPr="00282AC9">
        <w:rPr>
          <w:rFonts w:ascii="Sakkal Majalla" w:hAnsi="Sakkal Majalla"/>
          <w:sz w:val="27"/>
          <w:rtl/>
        </w:rPr>
        <w:t>دلة والشواهد الروائ</w:t>
      </w:r>
      <w:r w:rsidRPr="00282AC9">
        <w:rPr>
          <w:rFonts w:ascii="Times New Roman" w:hAnsi="Times New Roman" w:hint="cs"/>
          <w:sz w:val="27"/>
          <w:rtl/>
        </w:rPr>
        <w:t>ي</w:t>
      </w:r>
      <w:r w:rsidRPr="00282AC9">
        <w:rPr>
          <w:rFonts w:ascii="Sakkal Majalla" w:hAnsi="Sakkal Majalla" w:hint="cs"/>
          <w:sz w:val="27"/>
          <w:rtl/>
        </w:rPr>
        <w:t>ة</w:t>
      </w:r>
      <w:r w:rsidRPr="00282AC9">
        <w:rPr>
          <w:rFonts w:ascii="Sakkal Majalla" w:hAnsi="Sakkal Majalla"/>
          <w:sz w:val="27"/>
          <w:rtl/>
        </w:rPr>
        <w:t xml:space="preserve"> و</w:t>
      </w:r>
      <w:r w:rsidRPr="00282AC9">
        <w:rPr>
          <w:rFonts w:ascii="Sakkal Majalla" w:hAnsi="Sakkal Majalla" w:hint="cs"/>
          <w:sz w:val="27"/>
          <w:rtl/>
        </w:rPr>
        <w:t>التار</w:t>
      </w:r>
      <w:r w:rsidRPr="00282AC9">
        <w:rPr>
          <w:rFonts w:ascii="Times New Roman" w:hAnsi="Times New Roman" w:hint="cs"/>
          <w:sz w:val="27"/>
          <w:rtl/>
        </w:rPr>
        <w:t>ي</w:t>
      </w:r>
      <w:r w:rsidRPr="00282AC9">
        <w:rPr>
          <w:rFonts w:ascii="Sakkal Majalla" w:hAnsi="Sakkal Majalla" w:hint="cs"/>
          <w:sz w:val="27"/>
          <w:rtl/>
        </w:rPr>
        <w:t>خ</w:t>
      </w:r>
      <w:r w:rsidRPr="00282AC9">
        <w:rPr>
          <w:rFonts w:ascii="Times New Roman" w:hAnsi="Times New Roman" w:hint="cs"/>
          <w:sz w:val="27"/>
          <w:rtl/>
        </w:rPr>
        <w:t>ي</w:t>
      </w:r>
      <w:r w:rsidRPr="00282AC9">
        <w:rPr>
          <w:rFonts w:ascii="Sakkal Majalla" w:hAnsi="Sakkal Majalla" w:hint="cs"/>
          <w:sz w:val="27"/>
          <w:rtl/>
        </w:rPr>
        <w:t>ة</w:t>
      </w:r>
      <w:r w:rsidRPr="00282AC9">
        <w:rPr>
          <w:rFonts w:ascii="Sakkal Majalla" w:hAnsi="Sakkal Majalla"/>
          <w:sz w:val="27"/>
          <w:rtl/>
        </w:rPr>
        <w:t>.</w:t>
      </w:r>
    </w:p>
    <w:p w:rsidR="000017A6" w:rsidRPr="00282AC9" w:rsidRDefault="00AD6E36" w:rsidP="001D1A88">
      <w:pPr>
        <w:rPr>
          <w:rFonts w:ascii="Sakkal Majalla" w:hAnsi="Sakkal Majalla"/>
          <w:sz w:val="27"/>
          <w:rtl/>
        </w:rPr>
      </w:pPr>
      <w:r w:rsidRPr="00282AC9">
        <w:rPr>
          <w:rFonts w:ascii="Sakkal Majalla" w:hAnsi="Sakkal Majalla"/>
          <w:sz w:val="27"/>
          <w:rtl/>
        </w:rPr>
        <w:t>و</w:t>
      </w:r>
      <w:r w:rsidRPr="00282AC9">
        <w:rPr>
          <w:rFonts w:ascii="Sakkal Majalla" w:hAnsi="Sakkal Majalla" w:hint="cs"/>
          <w:sz w:val="27"/>
          <w:rtl/>
        </w:rPr>
        <w:t>ما</w:t>
      </w:r>
      <w:r w:rsidRPr="00282AC9">
        <w:rPr>
          <w:rFonts w:ascii="Sakkal Majalla" w:hAnsi="Sakkal Majalla"/>
          <w:sz w:val="27"/>
          <w:rtl/>
        </w:rPr>
        <w:t xml:space="preserve"> </w:t>
      </w:r>
      <w:r w:rsidRPr="00282AC9">
        <w:rPr>
          <w:rFonts w:ascii="Sakkal Majalla" w:hAnsi="Sakkal Majalla" w:hint="cs"/>
          <w:sz w:val="27"/>
          <w:rtl/>
        </w:rPr>
        <w:t>نر</w:t>
      </w:r>
      <w:r w:rsidRPr="00282AC9">
        <w:rPr>
          <w:rFonts w:ascii="Times New Roman" w:hAnsi="Times New Roman" w:hint="cs"/>
          <w:sz w:val="27"/>
          <w:rtl/>
        </w:rPr>
        <w:t>ي</w:t>
      </w:r>
      <w:r w:rsidRPr="00282AC9">
        <w:rPr>
          <w:rFonts w:ascii="Sakkal Majalla" w:hAnsi="Sakkal Majalla" w:hint="cs"/>
          <w:sz w:val="27"/>
          <w:rtl/>
        </w:rPr>
        <w:t>ده</w:t>
      </w:r>
      <w:r w:rsidRPr="00282AC9">
        <w:rPr>
          <w:rFonts w:ascii="Sakkal Majalla" w:hAnsi="Sakkal Majalla"/>
          <w:sz w:val="27"/>
          <w:rtl/>
        </w:rPr>
        <w:t xml:space="preserve"> </w:t>
      </w:r>
      <w:r w:rsidRPr="00282AC9">
        <w:rPr>
          <w:rFonts w:ascii="Sakkal Majalla" w:hAnsi="Sakkal Majalla" w:hint="cs"/>
          <w:sz w:val="27"/>
          <w:rtl/>
        </w:rPr>
        <w:t>في</w:t>
      </w:r>
      <w:r w:rsidRPr="00282AC9">
        <w:rPr>
          <w:rFonts w:ascii="Sakkal Majalla" w:hAnsi="Sakkal Majalla"/>
          <w:sz w:val="27"/>
          <w:rtl/>
        </w:rPr>
        <w:t xml:space="preserve"> هذا المقال هو استعراض ومناقشة </w:t>
      </w:r>
      <w:r w:rsidRPr="00282AC9">
        <w:rPr>
          <w:rFonts w:ascii="Sakkal Majalla" w:hAnsi="Sakkal Majalla" w:hint="cs"/>
          <w:sz w:val="27"/>
          <w:rtl/>
        </w:rPr>
        <w:t>ما استدلّ به العلا</w:t>
      </w:r>
      <w:r w:rsidR="000017A6" w:rsidRPr="00282AC9">
        <w:rPr>
          <w:rFonts w:ascii="Sakkal Majalla" w:hAnsi="Sakkal Majalla" w:hint="cs"/>
          <w:sz w:val="27"/>
          <w:rtl/>
        </w:rPr>
        <w:t>ّ</w:t>
      </w:r>
      <w:r w:rsidRPr="00282AC9">
        <w:rPr>
          <w:rFonts w:ascii="Sakkal Majalla" w:hAnsi="Sakkal Majalla" w:hint="cs"/>
          <w:sz w:val="27"/>
          <w:rtl/>
        </w:rPr>
        <w:t>مة عل</w:t>
      </w:r>
      <w:r w:rsidRPr="00282AC9">
        <w:rPr>
          <w:rFonts w:ascii="Times New Roman" w:hAnsi="Times New Roman" w:hint="cs"/>
          <w:sz w:val="27"/>
          <w:rtl/>
        </w:rPr>
        <w:t>ى</w:t>
      </w:r>
      <w:r w:rsidRPr="00282AC9">
        <w:rPr>
          <w:rFonts w:ascii="Sakkal Majalla" w:hAnsi="Sakkal Majalla" w:hint="cs"/>
          <w:sz w:val="27"/>
          <w:rtl/>
        </w:rPr>
        <w:t xml:space="preserve"> </w:t>
      </w:r>
      <w:r w:rsidRPr="00282AC9">
        <w:rPr>
          <w:rFonts w:ascii="Sakkal Majalla" w:hAnsi="Sakkal Majalla"/>
          <w:sz w:val="27"/>
          <w:rtl/>
        </w:rPr>
        <w:t>عدم توق</w:t>
      </w:r>
      <w:r w:rsidRPr="00282AC9">
        <w:rPr>
          <w:rFonts w:ascii="Times New Roman" w:hAnsi="Times New Roman" w:hint="cs"/>
          <w:sz w:val="27"/>
          <w:rtl/>
        </w:rPr>
        <w:t>ي</w:t>
      </w:r>
      <w:r w:rsidRPr="00282AC9">
        <w:rPr>
          <w:rFonts w:ascii="Sakkal Majalla" w:hAnsi="Sakkal Majalla" w:hint="cs"/>
          <w:sz w:val="27"/>
          <w:rtl/>
        </w:rPr>
        <w:t>ف</w:t>
      </w:r>
      <w:r w:rsidRPr="00282AC9">
        <w:rPr>
          <w:rFonts w:ascii="Times New Roman" w:hAnsi="Times New Roman" w:hint="cs"/>
          <w:sz w:val="27"/>
          <w:rtl/>
        </w:rPr>
        <w:t>ي</w:t>
      </w:r>
      <w:r w:rsidRPr="00282AC9">
        <w:rPr>
          <w:rFonts w:ascii="Sakkal Majalla" w:hAnsi="Sakkal Majalla" w:hint="cs"/>
          <w:sz w:val="27"/>
          <w:rtl/>
        </w:rPr>
        <w:t>ة</w:t>
      </w:r>
      <w:r w:rsidRPr="00282AC9">
        <w:rPr>
          <w:rFonts w:ascii="Sakkal Majalla" w:hAnsi="Sakkal Majalla"/>
          <w:sz w:val="27"/>
          <w:rtl/>
        </w:rPr>
        <w:t xml:space="preserve"> </w:t>
      </w:r>
      <w:r w:rsidRPr="00282AC9">
        <w:rPr>
          <w:rFonts w:ascii="Sakkal Majalla" w:hAnsi="Sakkal Majalla" w:hint="cs"/>
          <w:sz w:val="27"/>
          <w:rtl/>
        </w:rPr>
        <w:t>ترت</w:t>
      </w:r>
      <w:r w:rsidRPr="00282AC9">
        <w:rPr>
          <w:rFonts w:ascii="Times New Roman" w:hAnsi="Times New Roman" w:hint="cs"/>
          <w:sz w:val="27"/>
          <w:rtl/>
        </w:rPr>
        <w:t>ي</w:t>
      </w:r>
      <w:r w:rsidRPr="00282AC9">
        <w:rPr>
          <w:rFonts w:ascii="Sakkal Majalla" w:hAnsi="Sakkal Majalla" w:hint="cs"/>
          <w:sz w:val="27"/>
          <w:rtl/>
        </w:rPr>
        <w:t>ب</w:t>
      </w:r>
      <w:r w:rsidRPr="00282AC9">
        <w:rPr>
          <w:rFonts w:ascii="Sakkal Majalla" w:hAnsi="Sakkal Majalla"/>
          <w:sz w:val="27"/>
          <w:rtl/>
        </w:rPr>
        <w:t xml:space="preserve"> </w:t>
      </w:r>
      <w:r w:rsidRPr="00282AC9">
        <w:rPr>
          <w:rFonts w:ascii="Sakkal Majalla" w:hAnsi="Sakkal Majalla" w:hint="cs"/>
          <w:sz w:val="27"/>
          <w:rtl/>
        </w:rPr>
        <w:t>الآ</w:t>
      </w:r>
      <w:r w:rsidRPr="00282AC9">
        <w:rPr>
          <w:rFonts w:ascii="Times New Roman" w:hAnsi="Times New Roman" w:hint="cs"/>
          <w:sz w:val="27"/>
          <w:rtl/>
        </w:rPr>
        <w:t>ي</w:t>
      </w:r>
      <w:r w:rsidRPr="00282AC9">
        <w:rPr>
          <w:rFonts w:ascii="Sakkal Majalla" w:hAnsi="Sakkal Majalla" w:hint="cs"/>
          <w:sz w:val="27"/>
          <w:rtl/>
        </w:rPr>
        <w:t>ات</w:t>
      </w:r>
      <w:r w:rsidRPr="00282AC9">
        <w:rPr>
          <w:rFonts w:ascii="Sakkal Majalla" w:hAnsi="Sakkal Majalla"/>
          <w:sz w:val="27"/>
          <w:rtl/>
        </w:rPr>
        <w:t xml:space="preserve"> </w:t>
      </w:r>
      <w:r w:rsidRPr="00282AC9">
        <w:rPr>
          <w:rFonts w:ascii="Sakkal Majalla" w:hAnsi="Sakkal Majalla" w:hint="cs"/>
          <w:sz w:val="27"/>
          <w:rtl/>
        </w:rPr>
        <w:t>القرآن</w:t>
      </w:r>
      <w:r w:rsidRPr="00282AC9">
        <w:rPr>
          <w:rFonts w:ascii="Times New Roman" w:hAnsi="Times New Roman" w:hint="cs"/>
          <w:sz w:val="27"/>
          <w:rtl/>
        </w:rPr>
        <w:t>ي</w:t>
      </w:r>
      <w:r w:rsidRPr="00282AC9">
        <w:rPr>
          <w:rFonts w:ascii="Sakkal Majalla" w:hAnsi="Sakkal Majalla" w:hint="cs"/>
          <w:sz w:val="27"/>
          <w:rtl/>
        </w:rPr>
        <w:t>ة</w:t>
      </w:r>
      <w:r w:rsidRPr="00282AC9">
        <w:rPr>
          <w:rFonts w:ascii="Sakkal Majalla" w:hAnsi="Sakkal Majalla"/>
          <w:sz w:val="27"/>
          <w:rtl/>
        </w:rPr>
        <w:t xml:space="preserve"> </w:t>
      </w:r>
      <w:r w:rsidR="000017A6" w:rsidRPr="00282AC9">
        <w:rPr>
          <w:rFonts w:ascii="Sakkal Majalla" w:hAnsi="Sakkal Majalla" w:hint="cs"/>
          <w:sz w:val="27"/>
          <w:rtl/>
        </w:rPr>
        <w:t>أ</w:t>
      </w:r>
      <w:r w:rsidRPr="00282AC9">
        <w:rPr>
          <w:rFonts w:ascii="Sakkal Majalla" w:hAnsi="Sakkal Majalla"/>
          <w:sz w:val="27"/>
          <w:rtl/>
        </w:rPr>
        <w:t>و</w:t>
      </w:r>
      <w:r w:rsidR="000017A6" w:rsidRPr="00282AC9">
        <w:rPr>
          <w:rFonts w:ascii="Sakkal Majalla" w:hAnsi="Sakkal Majalla" w:hint="cs"/>
          <w:sz w:val="27"/>
          <w:rtl/>
        </w:rPr>
        <w:t>ّ</w:t>
      </w:r>
      <w:r w:rsidRPr="00282AC9">
        <w:rPr>
          <w:rFonts w:ascii="Sakkal Majalla" w:hAnsi="Sakkal Majalla"/>
          <w:sz w:val="27"/>
          <w:rtl/>
        </w:rPr>
        <w:t>لاً</w:t>
      </w:r>
      <w:r w:rsidR="000017A6" w:rsidRPr="00282AC9">
        <w:rPr>
          <w:rFonts w:ascii="Sakkal Majalla" w:hAnsi="Sakkal Majalla" w:hint="cs"/>
          <w:sz w:val="27"/>
          <w:rtl/>
        </w:rPr>
        <w:t>؛</w:t>
      </w:r>
      <w:r w:rsidRPr="00282AC9">
        <w:rPr>
          <w:rFonts w:ascii="Sakkal Majalla" w:hAnsi="Sakkal Majalla" w:hint="cs"/>
          <w:sz w:val="27"/>
          <w:rtl/>
        </w:rPr>
        <w:t xml:space="preserve"> و</w:t>
      </w:r>
      <w:r w:rsidRPr="00282AC9">
        <w:rPr>
          <w:rFonts w:ascii="Sakkal Majalla" w:hAnsi="Sakkal Majalla"/>
          <w:sz w:val="27"/>
          <w:rtl/>
        </w:rPr>
        <w:t>ذكر ال</w:t>
      </w:r>
      <w:r w:rsidR="000017A6" w:rsidRPr="00282AC9">
        <w:rPr>
          <w:rFonts w:ascii="Sakkal Majalla" w:hAnsi="Sakkal Majalla" w:hint="cs"/>
          <w:sz w:val="27"/>
          <w:rtl/>
        </w:rPr>
        <w:t>أ</w:t>
      </w:r>
      <w:r w:rsidRPr="00282AC9">
        <w:rPr>
          <w:rFonts w:ascii="Sakkal Majalla" w:hAnsi="Sakkal Majalla"/>
          <w:sz w:val="27"/>
          <w:rtl/>
        </w:rPr>
        <w:t>دل</w:t>
      </w:r>
      <w:r w:rsidR="000017A6" w:rsidRPr="00282AC9">
        <w:rPr>
          <w:rFonts w:ascii="Sakkal Majalla" w:hAnsi="Sakkal Majalla" w:hint="cs"/>
          <w:sz w:val="27"/>
          <w:rtl/>
        </w:rPr>
        <w:t>ّ</w:t>
      </w:r>
      <w:r w:rsidRPr="00282AC9">
        <w:rPr>
          <w:rFonts w:ascii="Sakkal Majalla" w:hAnsi="Sakkal Majalla"/>
          <w:sz w:val="27"/>
          <w:rtl/>
        </w:rPr>
        <w:t>ة الت</w:t>
      </w:r>
      <w:r w:rsidRPr="00282AC9">
        <w:rPr>
          <w:rFonts w:ascii="Sakkal Majalla" w:hAnsi="Sakkal Majalla" w:hint="cs"/>
          <w:sz w:val="27"/>
          <w:rtl/>
        </w:rPr>
        <w:t>ي</w:t>
      </w:r>
      <w:r w:rsidRPr="00282AC9">
        <w:rPr>
          <w:rFonts w:ascii="Sakkal Majalla" w:hAnsi="Sakkal Majalla"/>
          <w:sz w:val="27"/>
          <w:rtl/>
        </w:rPr>
        <w:t xml:space="preserve"> </w:t>
      </w:r>
      <w:r w:rsidRPr="00282AC9">
        <w:rPr>
          <w:rFonts w:ascii="Times New Roman" w:hAnsi="Times New Roman" w:hint="cs"/>
          <w:sz w:val="27"/>
          <w:rtl/>
        </w:rPr>
        <w:t>ي</w:t>
      </w:r>
      <w:r w:rsidRPr="00282AC9">
        <w:rPr>
          <w:rFonts w:ascii="Sakkal Majalla" w:hAnsi="Sakkal Majalla" w:hint="cs"/>
          <w:sz w:val="27"/>
          <w:rtl/>
        </w:rPr>
        <w:t>مكن</w:t>
      </w:r>
      <w:r w:rsidRPr="00282AC9">
        <w:rPr>
          <w:rFonts w:ascii="Sakkal Majalla" w:hAnsi="Sakkal Majalla"/>
          <w:sz w:val="27"/>
          <w:rtl/>
        </w:rPr>
        <w:t xml:space="preserve"> </w:t>
      </w:r>
      <w:r w:rsidRPr="00282AC9">
        <w:rPr>
          <w:rFonts w:ascii="Sakkal Majalla" w:hAnsi="Sakkal Majalla" w:hint="cs"/>
          <w:sz w:val="27"/>
          <w:rtl/>
        </w:rPr>
        <w:t>أ</w:t>
      </w:r>
      <w:r w:rsidRPr="00282AC9">
        <w:rPr>
          <w:rFonts w:ascii="Sakkal Majalla" w:hAnsi="Sakkal Majalla"/>
          <w:sz w:val="27"/>
          <w:rtl/>
        </w:rPr>
        <w:t xml:space="preserve">ن </w:t>
      </w:r>
      <w:r w:rsidRPr="00282AC9">
        <w:rPr>
          <w:rFonts w:ascii="Times New Roman" w:hAnsi="Times New Roman" w:hint="cs"/>
          <w:sz w:val="27"/>
          <w:rtl/>
        </w:rPr>
        <w:t>ي</w:t>
      </w:r>
      <w:r w:rsidRPr="00282AC9">
        <w:rPr>
          <w:rFonts w:ascii="Sakkal Majalla" w:hAnsi="Sakkal Majalla" w:hint="cs"/>
          <w:sz w:val="27"/>
          <w:rtl/>
        </w:rPr>
        <w:t>ستدل</w:t>
      </w:r>
      <w:r w:rsidR="000017A6" w:rsidRPr="00282AC9">
        <w:rPr>
          <w:rFonts w:ascii="Sakkal Majalla" w:hAnsi="Sakkal Majalla" w:hint="cs"/>
          <w:sz w:val="27"/>
          <w:rtl/>
        </w:rPr>
        <w:t>ّ</w:t>
      </w:r>
      <w:r w:rsidRPr="00282AC9">
        <w:rPr>
          <w:rFonts w:ascii="Sakkal Majalla" w:hAnsi="Sakkal Majalla"/>
          <w:sz w:val="27"/>
          <w:rtl/>
        </w:rPr>
        <w:t xml:space="preserve"> </w:t>
      </w:r>
      <w:r w:rsidRPr="00282AC9">
        <w:rPr>
          <w:rFonts w:ascii="Sakkal Majalla" w:hAnsi="Sakkal Majalla" w:hint="cs"/>
          <w:sz w:val="27"/>
          <w:rtl/>
        </w:rPr>
        <w:t>بها</w:t>
      </w:r>
      <w:r w:rsidRPr="00282AC9">
        <w:rPr>
          <w:rFonts w:ascii="Sakkal Majalla" w:hAnsi="Sakkal Majalla"/>
          <w:sz w:val="27"/>
          <w:rtl/>
        </w:rPr>
        <w:t xml:space="preserve"> </w:t>
      </w:r>
      <w:r w:rsidRPr="00282AC9">
        <w:rPr>
          <w:rFonts w:ascii="Sakkal Majalla" w:hAnsi="Sakkal Majalla" w:hint="cs"/>
          <w:sz w:val="27"/>
          <w:rtl/>
        </w:rPr>
        <w:t>عل</w:t>
      </w:r>
      <w:r w:rsidR="000017A6" w:rsidRPr="00282AC9">
        <w:rPr>
          <w:rFonts w:ascii="Times New Roman" w:hAnsi="Times New Roman" w:hint="cs"/>
          <w:sz w:val="27"/>
          <w:rtl/>
        </w:rPr>
        <w:t>ى</w:t>
      </w:r>
      <w:r w:rsidRPr="00282AC9">
        <w:rPr>
          <w:rFonts w:ascii="Sakkal Majalla" w:hAnsi="Sakkal Majalla"/>
          <w:sz w:val="27"/>
          <w:rtl/>
        </w:rPr>
        <w:t xml:space="preserve"> توق</w:t>
      </w:r>
      <w:r w:rsidRPr="00282AC9">
        <w:rPr>
          <w:rFonts w:ascii="Times New Roman" w:hAnsi="Times New Roman" w:hint="cs"/>
          <w:sz w:val="27"/>
          <w:rtl/>
        </w:rPr>
        <w:t>ي</w:t>
      </w:r>
      <w:r w:rsidRPr="00282AC9">
        <w:rPr>
          <w:rFonts w:ascii="Sakkal Majalla" w:hAnsi="Sakkal Majalla" w:hint="cs"/>
          <w:sz w:val="27"/>
          <w:rtl/>
        </w:rPr>
        <w:t>ف</w:t>
      </w:r>
      <w:r w:rsidRPr="00282AC9">
        <w:rPr>
          <w:rFonts w:ascii="Times New Roman" w:hAnsi="Times New Roman" w:hint="cs"/>
          <w:sz w:val="27"/>
          <w:rtl/>
        </w:rPr>
        <w:t>ي</w:t>
      </w:r>
      <w:r w:rsidRPr="00282AC9">
        <w:rPr>
          <w:rFonts w:ascii="Sakkal Majalla" w:hAnsi="Sakkal Majalla" w:hint="cs"/>
          <w:sz w:val="27"/>
          <w:rtl/>
        </w:rPr>
        <w:t>ة</w:t>
      </w:r>
      <w:r w:rsidRPr="00282AC9">
        <w:rPr>
          <w:rFonts w:ascii="Sakkal Majalla" w:hAnsi="Sakkal Majalla"/>
          <w:sz w:val="27"/>
          <w:rtl/>
        </w:rPr>
        <w:t xml:space="preserve"> </w:t>
      </w:r>
      <w:r w:rsidRPr="00282AC9">
        <w:rPr>
          <w:rFonts w:ascii="Sakkal Majalla" w:hAnsi="Sakkal Majalla" w:hint="cs"/>
          <w:sz w:val="27"/>
          <w:rtl/>
        </w:rPr>
        <w:t>ترت</w:t>
      </w:r>
      <w:r w:rsidRPr="00282AC9">
        <w:rPr>
          <w:rFonts w:ascii="Times New Roman" w:hAnsi="Times New Roman" w:hint="cs"/>
          <w:sz w:val="27"/>
          <w:rtl/>
        </w:rPr>
        <w:t>ي</w:t>
      </w:r>
      <w:r w:rsidRPr="00282AC9">
        <w:rPr>
          <w:rFonts w:ascii="Sakkal Majalla" w:hAnsi="Sakkal Majalla" w:hint="cs"/>
          <w:sz w:val="27"/>
          <w:rtl/>
        </w:rPr>
        <w:t>ب</w:t>
      </w:r>
      <w:r w:rsidRPr="00282AC9">
        <w:rPr>
          <w:rFonts w:ascii="Sakkal Majalla" w:hAnsi="Sakkal Majalla"/>
          <w:sz w:val="27"/>
          <w:rtl/>
        </w:rPr>
        <w:t xml:space="preserve"> </w:t>
      </w:r>
      <w:r w:rsidRPr="00282AC9">
        <w:rPr>
          <w:rFonts w:ascii="Sakkal Majalla" w:hAnsi="Sakkal Majalla" w:hint="cs"/>
          <w:sz w:val="27"/>
          <w:rtl/>
        </w:rPr>
        <w:t>الآ</w:t>
      </w:r>
      <w:r w:rsidRPr="00282AC9">
        <w:rPr>
          <w:rFonts w:ascii="Times New Roman" w:hAnsi="Times New Roman" w:hint="cs"/>
          <w:sz w:val="27"/>
          <w:rtl/>
        </w:rPr>
        <w:t>ي</w:t>
      </w:r>
      <w:r w:rsidRPr="00282AC9">
        <w:rPr>
          <w:rFonts w:ascii="Sakkal Majalla" w:hAnsi="Sakkal Majalla" w:hint="cs"/>
          <w:sz w:val="27"/>
          <w:rtl/>
        </w:rPr>
        <w:t>ات</w:t>
      </w:r>
      <w:r w:rsidRPr="00282AC9">
        <w:rPr>
          <w:rFonts w:ascii="Sakkal Majalla" w:hAnsi="Sakkal Majalla"/>
          <w:sz w:val="27"/>
          <w:rtl/>
        </w:rPr>
        <w:t xml:space="preserve"> </w:t>
      </w:r>
      <w:r w:rsidRPr="00282AC9">
        <w:rPr>
          <w:rFonts w:ascii="Sakkal Majalla" w:hAnsi="Sakkal Majalla" w:hint="cs"/>
          <w:sz w:val="27"/>
          <w:rtl/>
        </w:rPr>
        <w:t>القرآن</w:t>
      </w:r>
      <w:r w:rsidRPr="00282AC9">
        <w:rPr>
          <w:rFonts w:ascii="Times New Roman" w:hAnsi="Times New Roman" w:hint="cs"/>
          <w:sz w:val="27"/>
          <w:rtl/>
        </w:rPr>
        <w:t>ي</w:t>
      </w:r>
      <w:r w:rsidRPr="00282AC9">
        <w:rPr>
          <w:rFonts w:ascii="Sakkal Majalla" w:hAnsi="Sakkal Majalla" w:hint="cs"/>
          <w:sz w:val="27"/>
          <w:rtl/>
        </w:rPr>
        <w:t>ة</w:t>
      </w:r>
      <w:r w:rsidRPr="00282AC9">
        <w:rPr>
          <w:rFonts w:ascii="Sakkal Majalla" w:hAnsi="Sakkal Majalla"/>
          <w:sz w:val="27"/>
          <w:rtl/>
        </w:rPr>
        <w:t xml:space="preserve"> ثان</w:t>
      </w:r>
      <w:r w:rsidRPr="00282AC9">
        <w:rPr>
          <w:rFonts w:ascii="Times New Roman" w:hAnsi="Times New Roman" w:hint="cs"/>
          <w:sz w:val="27"/>
          <w:rtl/>
        </w:rPr>
        <w:t>ي</w:t>
      </w:r>
      <w:r w:rsidRPr="00282AC9">
        <w:rPr>
          <w:rFonts w:ascii="Sakkal Majalla" w:hAnsi="Sakkal Majalla" w:hint="cs"/>
          <w:sz w:val="27"/>
          <w:rtl/>
        </w:rPr>
        <w:t>اً</w:t>
      </w:r>
      <w:r w:rsidRPr="00282AC9">
        <w:rPr>
          <w:rFonts w:ascii="Sakkal Majalla" w:hAnsi="Sakkal Majalla"/>
          <w:sz w:val="27"/>
          <w:rtl/>
        </w:rPr>
        <w:t>.</w:t>
      </w:r>
    </w:p>
    <w:p w:rsidR="00AD6E36" w:rsidRPr="00282AC9" w:rsidRDefault="00AD6E36" w:rsidP="001D1A88">
      <w:pPr>
        <w:spacing w:line="410" w:lineRule="exact"/>
        <w:rPr>
          <w:rFonts w:ascii="Sakkal Majalla" w:hAnsi="Sakkal Majalla"/>
          <w:sz w:val="27"/>
          <w:rtl/>
        </w:rPr>
      </w:pPr>
      <w:r w:rsidRPr="00282AC9">
        <w:rPr>
          <w:rFonts w:ascii="Sakkal Majalla" w:hAnsi="Sakkal Majalla"/>
          <w:sz w:val="27"/>
          <w:rtl/>
        </w:rPr>
        <w:t>وعل</w:t>
      </w:r>
      <w:r w:rsidR="000017A6" w:rsidRPr="00282AC9">
        <w:rPr>
          <w:rFonts w:ascii="Times New Roman" w:hAnsi="Times New Roman" w:hint="cs"/>
          <w:sz w:val="27"/>
          <w:rtl/>
        </w:rPr>
        <w:t>ى</w:t>
      </w:r>
      <w:r w:rsidRPr="00282AC9">
        <w:rPr>
          <w:rFonts w:ascii="Sakkal Majalla" w:hAnsi="Sakkal Majalla"/>
          <w:sz w:val="27"/>
          <w:rtl/>
        </w:rPr>
        <w:t xml:space="preserve"> </w:t>
      </w:r>
      <w:r w:rsidRPr="00282AC9">
        <w:rPr>
          <w:rFonts w:ascii="Sakkal Majalla" w:hAnsi="Sakkal Majalla" w:hint="cs"/>
          <w:sz w:val="27"/>
          <w:rtl/>
        </w:rPr>
        <w:t>هذا</w:t>
      </w:r>
      <w:r w:rsidRPr="00282AC9">
        <w:rPr>
          <w:rFonts w:ascii="Sakkal Majalla" w:hAnsi="Sakkal Majalla"/>
          <w:sz w:val="27"/>
          <w:rtl/>
        </w:rPr>
        <w:t xml:space="preserve"> </w:t>
      </w:r>
      <w:r w:rsidRPr="00282AC9">
        <w:rPr>
          <w:rFonts w:ascii="Sakkal Majalla" w:hAnsi="Sakkal Majalla" w:hint="cs"/>
          <w:sz w:val="27"/>
          <w:rtl/>
        </w:rPr>
        <w:t>تكون</w:t>
      </w:r>
      <w:r w:rsidRPr="00282AC9">
        <w:rPr>
          <w:rFonts w:ascii="Sakkal Majalla" w:hAnsi="Sakkal Majalla"/>
          <w:sz w:val="27"/>
          <w:rtl/>
        </w:rPr>
        <w:t xml:space="preserve"> دراستنا لهذا الموضوع ف</w:t>
      </w:r>
      <w:r w:rsidRPr="00282AC9">
        <w:rPr>
          <w:rFonts w:ascii="Sakkal Majalla" w:hAnsi="Sakkal Majalla" w:hint="cs"/>
          <w:sz w:val="27"/>
          <w:rtl/>
        </w:rPr>
        <w:t>ي</w:t>
      </w:r>
      <w:r w:rsidRPr="00282AC9">
        <w:rPr>
          <w:rFonts w:ascii="Sakkal Majalla" w:hAnsi="Sakkal Majalla"/>
          <w:sz w:val="27"/>
          <w:rtl/>
        </w:rPr>
        <w:t xml:space="preserve"> محور</w:t>
      </w:r>
      <w:r w:rsidR="000017A6" w:rsidRPr="00282AC9">
        <w:rPr>
          <w:rFonts w:ascii="Times New Roman" w:hAnsi="Times New Roman" w:hint="cs"/>
          <w:sz w:val="27"/>
          <w:rtl/>
        </w:rPr>
        <w:t>َ</w:t>
      </w:r>
      <w:r w:rsidRPr="00282AC9">
        <w:rPr>
          <w:rFonts w:ascii="Times New Roman" w:hAnsi="Times New Roman" w:hint="cs"/>
          <w:sz w:val="27"/>
          <w:rtl/>
        </w:rPr>
        <w:t>ي</w:t>
      </w:r>
      <w:r w:rsidR="000017A6" w:rsidRPr="00282AC9">
        <w:rPr>
          <w:rFonts w:ascii="Sakkal Majalla" w:hAnsi="Sakkal Majalla" w:hint="cs"/>
          <w:sz w:val="27"/>
          <w:rtl/>
        </w:rPr>
        <w:t>ْ</w:t>
      </w:r>
      <w:r w:rsidRPr="00282AC9">
        <w:rPr>
          <w:rFonts w:ascii="Sakkal Majalla" w:hAnsi="Sakkal Majalla" w:hint="cs"/>
          <w:sz w:val="27"/>
          <w:rtl/>
        </w:rPr>
        <w:t>ن</w:t>
      </w:r>
      <w:r w:rsidR="000017A6" w:rsidRPr="00282AC9">
        <w:rPr>
          <w:rFonts w:ascii="Sakkal Majalla" w:hAnsi="Sakkal Majalla" w:hint="cs"/>
          <w:sz w:val="27"/>
          <w:rtl/>
        </w:rPr>
        <w:t>:</w:t>
      </w:r>
    </w:p>
    <w:p w:rsidR="001D1A88" w:rsidRPr="00282AC9" w:rsidRDefault="001D1A88" w:rsidP="001D1A88">
      <w:pPr>
        <w:spacing w:line="420" w:lineRule="exact"/>
        <w:rPr>
          <w:sz w:val="27"/>
          <w:rtl/>
        </w:rPr>
      </w:pPr>
    </w:p>
    <w:p w:rsidR="00AD6E36" w:rsidRPr="00282AC9" w:rsidRDefault="00AD6E36" w:rsidP="008E529A">
      <w:pPr>
        <w:pStyle w:val="31"/>
        <w:rPr>
          <w:color w:val="auto"/>
          <w:rtl/>
        </w:rPr>
      </w:pPr>
      <w:r w:rsidRPr="00282AC9">
        <w:rPr>
          <w:color w:val="auto"/>
          <w:rtl/>
        </w:rPr>
        <w:t>المحور ال</w:t>
      </w:r>
      <w:r w:rsidRPr="00282AC9">
        <w:rPr>
          <w:rFonts w:hint="cs"/>
          <w:color w:val="auto"/>
          <w:rtl/>
        </w:rPr>
        <w:t>أ</w:t>
      </w:r>
      <w:r w:rsidRPr="00282AC9">
        <w:rPr>
          <w:color w:val="auto"/>
          <w:rtl/>
        </w:rPr>
        <w:t>و</w:t>
      </w:r>
      <w:r w:rsidRPr="00282AC9">
        <w:rPr>
          <w:rFonts w:hint="cs"/>
          <w:color w:val="auto"/>
          <w:rtl/>
        </w:rPr>
        <w:t>ّ</w:t>
      </w:r>
      <w:r w:rsidRPr="00282AC9">
        <w:rPr>
          <w:color w:val="auto"/>
          <w:rtl/>
        </w:rPr>
        <w:t xml:space="preserve">ل: </w:t>
      </w:r>
      <w:r w:rsidRPr="00282AC9">
        <w:rPr>
          <w:rFonts w:hint="cs"/>
          <w:color w:val="auto"/>
          <w:rtl/>
        </w:rPr>
        <w:t>عدم التوق</w:t>
      </w:r>
      <w:r w:rsidRPr="00282AC9">
        <w:rPr>
          <w:rFonts w:ascii="Times New Roman" w:hAnsi="Times New Roman" w:hint="cs"/>
          <w:color w:val="auto"/>
          <w:rtl/>
        </w:rPr>
        <w:t>ي</w:t>
      </w:r>
      <w:r w:rsidRPr="00282AC9">
        <w:rPr>
          <w:rFonts w:hint="cs"/>
          <w:color w:val="auto"/>
          <w:rtl/>
        </w:rPr>
        <w:t>ف</w:t>
      </w:r>
      <w:r w:rsidRPr="00282AC9">
        <w:rPr>
          <w:rFonts w:ascii="Times New Roman" w:hAnsi="Times New Roman" w:hint="cs"/>
          <w:color w:val="auto"/>
          <w:rtl/>
        </w:rPr>
        <w:t>ي</w:t>
      </w:r>
      <w:r w:rsidR="00DC57D5" w:rsidRPr="00282AC9">
        <w:rPr>
          <w:rFonts w:hint="cs"/>
          <w:color w:val="auto"/>
          <w:rtl/>
        </w:rPr>
        <w:t>ّ</w:t>
      </w:r>
      <w:r w:rsidRPr="00282AC9">
        <w:rPr>
          <w:rFonts w:hint="cs"/>
          <w:color w:val="auto"/>
          <w:rtl/>
        </w:rPr>
        <w:t>ة</w:t>
      </w:r>
      <w:r w:rsidR="000017A6" w:rsidRPr="00282AC9">
        <w:rPr>
          <w:rFonts w:hint="cs"/>
          <w:color w:val="auto"/>
          <w:rtl/>
        </w:rPr>
        <w:t>،</w:t>
      </w:r>
      <w:r w:rsidRPr="00282AC9">
        <w:rPr>
          <w:rFonts w:hint="cs"/>
          <w:color w:val="auto"/>
          <w:rtl/>
        </w:rPr>
        <w:t xml:space="preserve"> </w:t>
      </w:r>
      <w:r w:rsidR="008E529A" w:rsidRPr="00282AC9">
        <w:rPr>
          <w:rFonts w:hint="cs"/>
          <w:color w:val="auto"/>
          <w:rtl/>
        </w:rPr>
        <w:t xml:space="preserve">الأدلّة </w:t>
      </w:r>
      <w:r w:rsidRPr="00282AC9">
        <w:rPr>
          <w:rFonts w:hint="cs"/>
          <w:color w:val="auto"/>
          <w:rtl/>
        </w:rPr>
        <w:t>و</w:t>
      </w:r>
      <w:r w:rsidR="008E529A" w:rsidRPr="00282AC9">
        <w:rPr>
          <w:rFonts w:hint="cs"/>
          <w:color w:val="auto"/>
          <w:rtl/>
        </w:rPr>
        <w:t>الم</w:t>
      </w:r>
      <w:r w:rsidRPr="00282AC9">
        <w:rPr>
          <w:rFonts w:hint="cs"/>
          <w:color w:val="auto"/>
          <w:rtl/>
        </w:rPr>
        <w:t>ناقش</w:t>
      </w:r>
      <w:r w:rsidR="008E529A" w:rsidRPr="00282AC9">
        <w:rPr>
          <w:rFonts w:hint="cs"/>
          <w:color w:val="auto"/>
          <w:rtl/>
        </w:rPr>
        <w:t>ات</w:t>
      </w:r>
    </w:p>
    <w:p w:rsidR="00AD6E36" w:rsidRPr="00282AC9" w:rsidRDefault="000017A6" w:rsidP="008E529A">
      <w:pPr>
        <w:pStyle w:val="31"/>
        <w:rPr>
          <w:color w:val="auto"/>
          <w:rtl/>
        </w:rPr>
      </w:pPr>
      <w:r w:rsidRPr="00282AC9">
        <w:rPr>
          <w:rFonts w:hint="cs"/>
          <w:color w:val="auto"/>
          <w:rtl/>
        </w:rPr>
        <w:t xml:space="preserve">الدليل </w:t>
      </w:r>
      <w:r w:rsidR="00AD6E36" w:rsidRPr="00282AC9">
        <w:rPr>
          <w:color w:val="auto"/>
          <w:rtl/>
        </w:rPr>
        <w:t>ال</w:t>
      </w:r>
      <w:r w:rsidR="00AD6E36" w:rsidRPr="00282AC9">
        <w:rPr>
          <w:rFonts w:hint="cs"/>
          <w:color w:val="auto"/>
          <w:rtl/>
        </w:rPr>
        <w:t>أ</w:t>
      </w:r>
      <w:r w:rsidR="00AD6E36" w:rsidRPr="00282AC9">
        <w:rPr>
          <w:color w:val="auto"/>
          <w:rtl/>
        </w:rPr>
        <w:t>و</w:t>
      </w:r>
      <w:r w:rsidRPr="00282AC9">
        <w:rPr>
          <w:rFonts w:hint="cs"/>
          <w:color w:val="auto"/>
          <w:rtl/>
        </w:rPr>
        <w:t>ّ</w:t>
      </w:r>
      <w:r w:rsidR="00AD6E36" w:rsidRPr="00282AC9">
        <w:rPr>
          <w:color w:val="auto"/>
          <w:rtl/>
        </w:rPr>
        <w:t>ل: الروا</w:t>
      </w:r>
      <w:r w:rsidR="00AD6E36" w:rsidRPr="00282AC9">
        <w:rPr>
          <w:rFonts w:ascii="Times New Roman" w:hAnsi="Times New Roman" w:hint="cs"/>
          <w:color w:val="auto"/>
          <w:rtl/>
        </w:rPr>
        <w:t>ي</w:t>
      </w:r>
      <w:r w:rsidR="00AD6E36" w:rsidRPr="00282AC9">
        <w:rPr>
          <w:rFonts w:hint="cs"/>
          <w:color w:val="auto"/>
          <w:rtl/>
        </w:rPr>
        <w:t>ات</w:t>
      </w:r>
      <w:r w:rsidR="00AD6E36" w:rsidRPr="00282AC9">
        <w:rPr>
          <w:color w:val="auto"/>
          <w:rtl/>
        </w:rPr>
        <w:t xml:space="preserve"> </w:t>
      </w:r>
    </w:p>
    <w:p w:rsidR="00AD6E36" w:rsidRPr="00282AC9" w:rsidRDefault="00AD6E36" w:rsidP="001D1A88">
      <w:pPr>
        <w:pStyle w:val="afc"/>
        <w:spacing w:line="410" w:lineRule="exact"/>
        <w:rPr>
          <w:rFonts w:cs="AL-Mohanad"/>
          <w:sz w:val="27"/>
          <w:szCs w:val="27"/>
          <w:rtl/>
        </w:rPr>
      </w:pPr>
      <w:r w:rsidRPr="00282AC9">
        <w:rPr>
          <w:rFonts w:ascii="Sakkal Majalla" w:hAnsi="Sakkal Majalla" w:cs="AL-Mohanad"/>
          <w:sz w:val="27"/>
          <w:szCs w:val="27"/>
          <w:rtl/>
        </w:rPr>
        <w:t>استدل</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 xml:space="preserve"> العلا</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مة الطباطبائ</w:t>
      </w:r>
      <w:r w:rsidRPr="00282AC9">
        <w:rPr>
          <w:rFonts w:cs="AL-Mohanad" w:hint="cs"/>
          <w:sz w:val="27"/>
          <w:szCs w:val="27"/>
          <w:rtl/>
        </w:rPr>
        <w:t>ي</w:t>
      </w:r>
      <w:r w:rsidR="000017A6" w:rsidRPr="00282AC9">
        <w:rPr>
          <w:rFonts w:ascii="Sakkal Majalla" w:hAnsi="Sakkal Majalla" w:cs="AL-Mohanad"/>
          <w:sz w:val="27"/>
          <w:szCs w:val="27"/>
          <w:vertAlign w:val="superscript"/>
          <w:rtl/>
        </w:rPr>
        <w:t>(</w:t>
      </w:r>
      <w:r w:rsidR="000017A6" w:rsidRPr="00282AC9">
        <w:rPr>
          <w:rFonts w:ascii="Sakkal Majalla" w:hAnsi="Sakkal Majalla" w:cs="AL-Mohanad"/>
          <w:sz w:val="27"/>
          <w:szCs w:val="27"/>
          <w:vertAlign w:val="superscript"/>
          <w:rtl/>
        </w:rPr>
        <w:endnoteReference w:id="843"/>
      </w:r>
      <w:r w:rsidR="000017A6" w:rsidRPr="00282AC9">
        <w:rPr>
          <w:rFonts w:ascii="Sakkal Majalla" w:hAnsi="Sakkal Majalla" w:cs="AL-Mohanad"/>
          <w:sz w:val="27"/>
          <w:szCs w:val="27"/>
          <w:vertAlign w:val="superscript"/>
          <w:rtl/>
        </w:rPr>
        <w:t>)</w:t>
      </w:r>
      <w:r w:rsidR="000017A6"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بثلاث طوائف من الروا</w:t>
      </w:r>
      <w:r w:rsidRPr="00282AC9">
        <w:rPr>
          <w:rFonts w:cs="AL-Mohanad" w:hint="cs"/>
          <w:sz w:val="27"/>
          <w:szCs w:val="27"/>
          <w:rtl/>
        </w:rPr>
        <w:t>ي</w:t>
      </w:r>
      <w:r w:rsidRPr="00282AC9">
        <w:rPr>
          <w:rFonts w:ascii="Sakkal Majalla" w:hAnsi="Sakkal Majalla" w:cs="AL-Mohanad" w:hint="cs"/>
          <w:sz w:val="27"/>
          <w:szCs w:val="27"/>
          <w:rtl/>
        </w:rPr>
        <w:t>ات</w:t>
      </w:r>
      <w:r w:rsidR="000017A6"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ل</w:t>
      </w:r>
      <w:r w:rsidR="000017A6" w:rsidRPr="00282AC9">
        <w:rPr>
          <w:rFonts w:ascii="Sakkal Majalla" w:hAnsi="Sakkal Majalla" w:cs="AL-Mohanad" w:hint="cs"/>
          <w:sz w:val="27"/>
          <w:szCs w:val="27"/>
          <w:rtl/>
        </w:rPr>
        <w:t>إ</w:t>
      </w:r>
      <w:r w:rsidRPr="00282AC9">
        <w:rPr>
          <w:rFonts w:ascii="Sakkal Majalla" w:hAnsi="Sakkal Majalla" w:cs="AL-Mohanad" w:hint="cs"/>
          <w:sz w:val="27"/>
          <w:szCs w:val="27"/>
          <w:rtl/>
        </w:rPr>
        <w:t>ثبات عدم توق</w:t>
      </w:r>
      <w:r w:rsidRPr="00282AC9">
        <w:rPr>
          <w:rFonts w:cs="AL-Mohanad" w:hint="cs"/>
          <w:sz w:val="27"/>
          <w:szCs w:val="27"/>
          <w:rtl/>
        </w:rPr>
        <w:t>ي</w:t>
      </w:r>
      <w:r w:rsidRPr="00282AC9">
        <w:rPr>
          <w:rFonts w:ascii="Sakkal Majalla" w:hAnsi="Sakkal Majalla" w:cs="AL-Mohanad" w:hint="cs"/>
          <w:sz w:val="27"/>
          <w:szCs w:val="27"/>
          <w:rtl/>
        </w:rPr>
        <w:t>ف</w:t>
      </w:r>
      <w:r w:rsidRPr="00282AC9">
        <w:rPr>
          <w:rFonts w:cs="AL-Mohanad" w:hint="cs"/>
          <w:sz w:val="27"/>
          <w:szCs w:val="27"/>
          <w:rtl/>
        </w:rPr>
        <w:t>ي</w:t>
      </w:r>
      <w:r w:rsidRPr="00282AC9">
        <w:rPr>
          <w:rFonts w:ascii="Sakkal Majalla" w:hAnsi="Sakkal Majalla" w:cs="AL-Mohanad" w:hint="cs"/>
          <w:sz w:val="27"/>
          <w:szCs w:val="27"/>
          <w:rtl/>
        </w:rPr>
        <w:t>ة</w:t>
      </w:r>
      <w:r w:rsidR="00DC57D5"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الآ</w:t>
      </w:r>
      <w:r w:rsidRPr="00282AC9">
        <w:rPr>
          <w:rFonts w:cs="AL-Mohanad" w:hint="cs"/>
          <w:sz w:val="27"/>
          <w:szCs w:val="27"/>
          <w:rtl/>
        </w:rPr>
        <w:t>ي</w:t>
      </w:r>
      <w:r w:rsidRPr="00282AC9">
        <w:rPr>
          <w:rFonts w:ascii="Sakkal Majalla" w:hAnsi="Sakkal Majalla" w:cs="AL-Mohanad" w:hint="cs"/>
          <w:sz w:val="27"/>
          <w:szCs w:val="27"/>
          <w:rtl/>
        </w:rPr>
        <w:t>ات القر</w:t>
      </w:r>
      <w:r w:rsidR="000017A6"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Pr="00282AC9">
        <w:rPr>
          <w:rFonts w:cs="AL-Mohanad" w:hint="cs"/>
          <w:sz w:val="27"/>
          <w:szCs w:val="27"/>
          <w:rtl/>
        </w:rPr>
        <w:t>ي</w:t>
      </w:r>
      <w:r w:rsidRPr="00282AC9">
        <w:rPr>
          <w:rFonts w:ascii="Sakkal Majalla" w:hAnsi="Sakkal Majalla" w:cs="AL-Mohanad" w:hint="cs"/>
          <w:sz w:val="27"/>
          <w:szCs w:val="27"/>
          <w:rtl/>
        </w:rPr>
        <w:t>ة</w:t>
      </w:r>
      <w:r w:rsidR="000017A6"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وه</w:t>
      </w:r>
      <w:r w:rsidRPr="00282AC9">
        <w:rPr>
          <w:rFonts w:cs="AL-Mohanad" w:hint="cs"/>
          <w:sz w:val="27"/>
          <w:szCs w:val="27"/>
          <w:rtl/>
        </w:rPr>
        <w:t>ي</w:t>
      </w:r>
      <w:r w:rsidRPr="00282AC9">
        <w:rPr>
          <w:rFonts w:ascii="Sakkal Majalla" w:hAnsi="Sakkal Majalla" w:cs="AL-Mohanad" w:hint="cs"/>
          <w:sz w:val="27"/>
          <w:szCs w:val="27"/>
          <w:rtl/>
        </w:rPr>
        <w:t>:</w:t>
      </w:r>
    </w:p>
    <w:p w:rsidR="001D1A88" w:rsidRPr="00282AC9" w:rsidRDefault="001D1A88" w:rsidP="001D1A88">
      <w:pPr>
        <w:spacing w:line="420" w:lineRule="exact"/>
        <w:rPr>
          <w:sz w:val="27"/>
          <w:rtl/>
        </w:rPr>
      </w:pPr>
    </w:p>
    <w:p w:rsidR="00AD6E36" w:rsidRPr="00282AC9" w:rsidRDefault="00EC3694" w:rsidP="000017A6">
      <w:pPr>
        <w:pStyle w:val="31"/>
        <w:rPr>
          <w:color w:val="auto"/>
        </w:rPr>
      </w:pPr>
      <w:r w:rsidRPr="00282AC9">
        <w:rPr>
          <w:rFonts w:hint="cs"/>
          <w:color w:val="auto"/>
          <w:rtl/>
        </w:rPr>
        <w:t>1ـ</w:t>
      </w:r>
      <w:r w:rsidR="00AD6E36" w:rsidRPr="00282AC9">
        <w:rPr>
          <w:rFonts w:hint="cs"/>
          <w:color w:val="auto"/>
          <w:rtl/>
        </w:rPr>
        <w:t xml:space="preserve"> </w:t>
      </w:r>
      <w:r w:rsidR="00AD6E36" w:rsidRPr="00282AC9">
        <w:rPr>
          <w:color w:val="auto"/>
          <w:rtl/>
        </w:rPr>
        <w:t>روا</w:t>
      </w:r>
      <w:r w:rsidR="00AD6E36" w:rsidRPr="00282AC9">
        <w:rPr>
          <w:rFonts w:ascii="Times New Roman" w:hAnsi="Times New Roman" w:hint="cs"/>
          <w:color w:val="auto"/>
          <w:rtl/>
        </w:rPr>
        <w:t>ي</w:t>
      </w:r>
      <w:r w:rsidR="00AD6E36" w:rsidRPr="00282AC9">
        <w:rPr>
          <w:rFonts w:hint="cs"/>
          <w:color w:val="auto"/>
          <w:rtl/>
        </w:rPr>
        <w:t>ات</w:t>
      </w:r>
      <w:r w:rsidR="00AD6E36" w:rsidRPr="00282AC9">
        <w:rPr>
          <w:color w:val="auto"/>
          <w:rtl/>
        </w:rPr>
        <w:t xml:space="preserve"> </w:t>
      </w:r>
      <w:r w:rsidR="00AD6E36" w:rsidRPr="00282AC9">
        <w:rPr>
          <w:rFonts w:hint="cs"/>
          <w:color w:val="auto"/>
          <w:rtl/>
        </w:rPr>
        <w:t>جمع</w:t>
      </w:r>
      <w:r w:rsidR="00AD6E36" w:rsidRPr="00282AC9">
        <w:rPr>
          <w:color w:val="auto"/>
          <w:rtl/>
        </w:rPr>
        <w:t xml:space="preserve"> القرآن</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 قال: جاء </w:t>
      </w:r>
      <w:r w:rsidRPr="00282AC9">
        <w:rPr>
          <w:rFonts w:ascii="Sakkal Majalla" w:hAnsi="Sakkal Majalla" w:cs="AL-Mohanad"/>
          <w:sz w:val="27"/>
          <w:szCs w:val="27"/>
          <w:rtl/>
        </w:rPr>
        <w:t>في تاريخ اليعقوبي: قال عمر بن الخط</w:t>
      </w:r>
      <w:r w:rsidR="00745B88" w:rsidRPr="00282AC9">
        <w:rPr>
          <w:rFonts w:ascii="Sakkal Majalla" w:hAnsi="Sakkal Majalla" w:cs="AL-Mohanad" w:hint="cs"/>
          <w:sz w:val="27"/>
          <w:szCs w:val="27"/>
          <w:rtl/>
        </w:rPr>
        <w:t>ّ</w:t>
      </w:r>
      <w:r w:rsidRPr="00282AC9">
        <w:rPr>
          <w:rFonts w:ascii="Sakkal Majalla" w:hAnsi="Sakkal Majalla" w:cs="AL-Mohanad"/>
          <w:sz w:val="27"/>
          <w:szCs w:val="27"/>
          <w:rtl/>
        </w:rPr>
        <w:t>اب لأب</w:t>
      </w:r>
      <w:r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بكر: يا خليفة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 xml:space="preserve"> إن ح</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م</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لة القرآن قد ق</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تل‏ أكثرهم‏ يوم اليمامة</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فلو جمع</w:t>
      </w:r>
      <w:r w:rsidR="00745B88" w:rsidRPr="00282AC9">
        <w:rPr>
          <w:rFonts w:ascii="Sakkal Majalla" w:hAnsi="Sakkal Majalla" w:cs="AL-Mohanad" w:hint="cs"/>
          <w:sz w:val="27"/>
          <w:szCs w:val="27"/>
          <w:rtl/>
        </w:rPr>
        <w:t>ْ</w:t>
      </w:r>
      <w:r w:rsidRPr="00282AC9">
        <w:rPr>
          <w:rFonts w:ascii="Sakkal Majalla" w:hAnsi="Sakkal Majalla" w:cs="AL-Mohanad"/>
          <w:sz w:val="27"/>
          <w:szCs w:val="27"/>
          <w:rtl/>
        </w:rPr>
        <w:t>ت</w:t>
      </w:r>
      <w:r w:rsidR="00745B88" w:rsidRPr="00282AC9">
        <w:rPr>
          <w:rFonts w:ascii="Sakkal Majalla" w:hAnsi="Sakkal Majalla" w:cs="AL-Mohanad" w:hint="cs"/>
          <w:sz w:val="27"/>
          <w:szCs w:val="27"/>
          <w:rtl/>
        </w:rPr>
        <w:t>َ</w:t>
      </w:r>
      <w:r w:rsidRPr="00282AC9">
        <w:rPr>
          <w:rFonts w:ascii="Sakkal Majalla" w:hAnsi="Sakkal Majalla" w:cs="AL-Mohanad"/>
          <w:sz w:val="27"/>
          <w:szCs w:val="27"/>
          <w:rtl/>
        </w:rPr>
        <w:t xml:space="preserve"> القرآن</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فإني أخاف عليه أن يذهب ح</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م</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 xml:space="preserve">لته، فقال له </w:t>
      </w:r>
      <w:r w:rsidR="000017A6" w:rsidRPr="00282AC9">
        <w:rPr>
          <w:rFonts w:ascii="Sakkal Majalla" w:hAnsi="Sakkal Majalla" w:cs="AL-Mohanad" w:hint="cs"/>
          <w:sz w:val="27"/>
          <w:szCs w:val="27"/>
          <w:rtl/>
        </w:rPr>
        <w:t>أب</w:t>
      </w:r>
      <w:r w:rsidRPr="00282AC9">
        <w:rPr>
          <w:rFonts w:ascii="Sakkal Majalla" w:hAnsi="Sakkal Majalla" w:cs="AL-Mohanad"/>
          <w:sz w:val="27"/>
          <w:szCs w:val="27"/>
          <w:rtl/>
        </w:rPr>
        <w:t xml:space="preserve">و بكر: أفعل ما لم يفعله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فلم ي</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ز</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ل</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به </w:t>
      </w:r>
      <w:r w:rsidRPr="00282AC9">
        <w:rPr>
          <w:rFonts w:ascii="Sakkal Majalla" w:hAnsi="Sakkal Majalla" w:cs="AL-Mohanad"/>
          <w:sz w:val="27"/>
          <w:szCs w:val="27"/>
          <w:rtl/>
        </w:rPr>
        <w:lastRenderedPageBreak/>
        <w:t>عمر حت</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ى جمعه وكتبه في صحف</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 وكان مفرّ</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قا</w:t>
      </w:r>
      <w:r w:rsidR="000017A6"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 الجريد وغيرها</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44"/>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w:t>
      </w:r>
    </w:p>
    <w:p w:rsidR="00AD6E36" w:rsidRPr="00282AC9" w:rsidRDefault="00AD6E36" w:rsidP="001D1A88">
      <w:pPr>
        <w:pStyle w:val="afc"/>
        <w:spacing w:line="416" w:lineRule="exact"/>
        <w:rPr>
          <w:rFonts w:ascii="Traditional Arabic" w:hAnsi="Traditional Arabic" w:cs="AL-Mohanad"/>
          <w:sz w:val="27"/>
          <w:szCs w:val="27"/>
          <w:rtl/>
        </w:rPr>
      </w:pPr>
      <w:r w:rsidRPr="00282AC9">
        <w:rPr>
          <w:rFonts w:ascii="Sakkal Majalla" w:hAnsi="Sakkal Majalla" w:cs="AL-Mohanad" w:hint="cs"/>
          <w:sz w:val="27"/>
          <w:szCs w:val="27"/>
          <w:rtl/>
        </w:rPr>
        <w:t>و</w:t>
      </w:r>
      <w:r w:rsidRPr="00282AC9">
        <w:rPr>
          <w:rFonts w:ascii="Sakkal Majalla" w:hAnsi="Sakkal Majalla" w:cs="AL-Mohanad"/>
          <w:sz w:val="27"/>
          <w:szCs w:val="27"/>
          <w:rtl/>
        </w:rPr>
        <w:t>في تاريخ أبي الفداء: وقتل في قتال مسيلمة جماعة</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القرّاء</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المهاجرين والأنصار</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ولما رأى </w:t>
      </w:r>
      <w:r w:rsidR="00EF7951" w:rsidRPr="00282AC9">
        <w:rPr>
          <w:rFonts w:ascii="Sakkal Majalla" w:hAnsi="Sakkal Majalla" w:cs="AL-Mohanad" w:hint="cs"/>
          <w:sz w:val="27"/>
          <w:szCs w:val="27"/>
          <w:rtl/>
        </w:rPr>
        <w:t>أ</w:t>
      </w:r>
      <w:r w:rsidRPr="00282AC9">
        <w:rPr>
          <w:rFonts w:ascii="Sakkal Majalla" w:hAnsi="Sakkal Majalla" w:cs="AL-Mohanad"/>
          <w:sz w:val="27"/>
          <w:szCs w:val="27"/>
          <w:rtl/>
        </w:rPr>
        <w:t>بو بكر كثرة م</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ن</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ق</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ت</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ل أمر بجمع القرآن من أفواه الرجال وجريد النخل والجلود، وترك ذلك المكتوب عند حفصة بنت عمر</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زوج النبي</w:t>
      </w:r>
      <w:r w:rsidR="00EF7951" w:rsidRPr="00282AC9">
        <w:rPr>
          <w:rFonts w:ascii="Sakkal Majalla" w:hAnsi="Sakkal Majalla" w:cs="AL-Mohanad" w:hint="cs"/>
          <w:sz w:val="27"/>
          <w:szCs w:val="27"/>
          <w:rtl/>
        </w:rPr>
        <w:t>ّ</w:t>
      </w:r>
      <w:r w:rsidR="00A9773B" w:rsidRPr="00282AC9">
        <w:rPr>
          <w:rFonts w:ascii="Mosawi" w:hAnsi="Mosawi" w:cs="Mosawi"/>
          <w:sz w:val="22"/>
          <w:szCs w:val="22"/>
          <w:rtl/>
        </w:rPr>
        <w:t>ﷺ</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انتهى</w:t>
      </w:r>
      <w:r w:rsidRPr="00282AC9">
        <w:rPr>
          <w:rFonts w:ascii="Sakkal Majalla" w:hAnsi="Sakkal Majalla" w:cs="AL-Mohanad"/>
          <w:sz w:val="27"/>
          <w:szCs w:val="27"/>
          <w:vertAlign w:val="superscript"/>
          <w:rtl/>
        </w:rPr>
        <w:t>(</w:t>
      </w:r>
      <w:r w:rsidRPr="00282AC9">
        <w:rPr>
          <w:rStyle w:val="af9"/>
          <w:rFonts w:ascii="Traditional Arabic" w:hAnsi="Traditional Arabic" w:cs="AL-Mohanad"/>
          <w:sz w:val="27"/>
          <w:szCs w:val="27"/>
          <w:rtl/>
        </w:rPr>
        <w:endnoteReference w:id="845"/>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w:t>
      </w:r>
      <w:r w:rsidRPr="00282AC9">
        <w:rPr>
          <w:rFonts w:ascii="Traditional Arabic" w:hAnsi="Traditional Arabic" w:cs="AL-Mohanad" w:hint="cs"/>
          <w:sz w:val="27"/>
          <w:szCs w:val="27"/>
          <w:rtl/>
        </w:rPr>
        <w:t xml:space="preserve"> </w:t>
      </w:r>
    </w:p>
    <w:p w:rsidR="00AD6E36" w:rsidRPr="00282AC9" w:rsidRDefault="00AD6E36" w:rsidP="001D1A88">
      <w:pPr>
        <w:pStyle w:val="afc"/>
        <w:spacing w:line="416" w:lineRule="exact"/>
        <w:rPr>
          <w:rFonts w:ascii="Sakkal Majalla" w:hAnsi="Sakkal Majalla" w:cs="AL-Mohanad"/>
          <w:sz w:val="27"/>
          <w:szCs w:val="27"/>
          <w:rtl/>
        </w:rPr>
      </w:pPr>
      <w:r w:rsidRPr="00282AC9">
        <w:rPr>
          <w:rFonts w:ascii="Sakkal Majalla" w:hAnsi="Sakkal Majalla" w:cs="AL-Mohanad" w:hint="cs"/>
          <w:sz w:val="27"/>
          <w:szCs w:val="27"/>
          <w:rtl/>
        </w:rPr>
        <w:t>و</w:t>
      </w:r>
      <w:r w:rsidRPr="00282AC9">
        <w:rPr>
          <w:rFonts w:ascii="Sakkal Majalla" w:hAnsi="Sakkal Majalla" w:cs="AL-Mohanad"/>
          <w:sz w:val="27"/>
          <w:szCs w:val="27"/>
          <w:rtl/>
        </w:rPr>
        <w:t>عن ابن أبي دا</w:t>
      </w:r>
      <w:r w:rsidR="00EF7951" w:rsidRPr="00282AC9">
        <w:rPr>
          <w:rFonts w:ascii="Sakkal Majalla" w:hAnsi="Sakkal Majalla" w:cs="AL-Mohanad" w:hint="cs"/>
          <w:sz w:val="27"/>
          <w:szCs w:val="27"/>
          <w:rtl/>
        </w:rPr>
        <w:t>و</w:t>
      </w:r>
      <w:r w:rsidRPr="00282AC9">
        <w:rPr>
          <w:rFonts w:ascii="Sakkal Majalla" w:hAnsi="Sakkal Majalla" w:cs="AL-Mohanad"/>
          <w:sz w:val="27"/>
          <w:szCs w:val="27"/>
          <w:rtl/>
        </w:rPr>
        <w:t>ود</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طريق يحيى بن عبد الرحمن بن حاطب</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قال: </w:t>
      </w:r>
      <w:r w:rsidRPr="00282AC9">
        <w:rPr>
          <w:rFonts w:ascii="Sakkal Majalla" w:hAnsi="Sakkal Majalla" w:cs="AL-Mohanad"/>
          <w:rtl/>
        </w:rPr>
        <w:t>«</w:t>
      </w:r>
      <w:r w:rsidRPr="00282AC9">
        <w:rPr>
          <w:rFonts w:ascii="Sakkal Majalla" w:hAnsi="Sakkal Majalla" w:cs="AL-Mohanad"/>
          <w:sz w:val="27"/>
          <w:szCs w:val="27"/>
          <w:rtl/>
        </w:rPr>
        <w:t>قدم عمر فقال:</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م</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ن</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كان تلق</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ى من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w:t>
      </w:r>
      <w:r w:rsidR="00A9773B" w:rsidRPr="00282AC9">
        <w:rPr>
          <w:rFonts w:ascii="Mosawi" w:hAnsi="Mosawi" w:cs="Mosawi"/>
          <w:sz w:val="22"/>
          <w:szCs w:val="22"/>
          <w:rtl/>
        </w:rPr>
        <w:t>ﷺ</w:t>
      </w:r>
      <w:r w:rsidRPr="00282AC9">
        <w:rPr>
          <w:rFonts w:ascii="Sakkal Majalla" w:hAnsi="Sakkal Majalla" w:cs="AL-Mohanad"/>
          <w:sz w:val="27"/>
          <w:szCs w:val="27"/>
          <w:rtl/>
        </w:rPr>
        <w:t xml:space="preserve"> شيئا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القرآن فليأ</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ت</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به</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وكانوا يكتبون ذلك في الصحف والألواح والعسب</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وكان لا يقبل من أحد</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شيئا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حت</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ى يشهد شهيدان</w:t>
      </w:r>
      <w:r w:rsidRPr="00282AC9">
        <w:rPr>
          <w:rFonts w:ascii="Sakkal Majalla" w:hAnsi="Sakkal Majalla" w:cs="AL-Mohanad"/>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46"/>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w:t>
      </w:r>
    </w:p>
    <w:p w:rsidR="00AD6E36" w:rsidRPr="00282AC9" w:rsidRDefault="00AD6E36" w:rsidP="001D1A88">
      <w:pPr>
        <w:pStyle w:val="afc"/>
        <w:spacing w:line="416" w:lineRule="exact"/>
        <w:rPr>
          <w:rFonts w:ascii="Sakkal Majalla" w:hAnsi="Sakkal Majalla" w:cs="AL-Mohanad"/>
          <w:sz w:val="27"/>
          <w:szCs w:val="27"/>
          <w:rtl/>
        </w:rPr>
      </w:pPr>
      <w:r w:rsidRPr="00282AC9">
        <w:rPr>
          <w:rFonts w:ascii="Sakkal Majalla" w:hAnsi="Sakkal Majalla" w:cs="AL-Mohanad"/>
          <w:sz w:val="27"/>
          <w:szCs w:val="27"/>
          <w:rtl/>
        </w:rPr>
        <w:t xml:space="preserve">وعنه </w:t>
      </w:r>
      <w:r w:rsidRPr="00282AC9">
        <w:rPr>
          <w:rFonts w:ascii="Sakkal Majalla" w:hAnsi="Sakkal Majalla" w:cs="AL-Mohanad" w:hint="cs"/>
          <w:sz w:val="27"/>
          <w:szCs w:val="27"/>
          <w:rtl/>
        </w:rPr>
        <w:t>أ</w:t>
      </w:r>
      <w:r w:rsidRPr="00282AC9">
        <w:rPr>
          <w:rFonts w:ascii="Sakkal Majalla" w:hAnsi="Sakkal Majalla" w:cs="AL-Mohanad"/>
          <w:sz w:val="27"/>
          <w:szCs w:val="27"/>
          <w:rtl/>
        </w:rPr>
        <w:t>يضا</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طريق هشام بن عروة</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عن </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بيه ـ  وفي الطريق </w:t>
      </w:r>
      <w:r w:rsidR="00EF7951" w:rsidRPr="00282AC9">
        <w:rPr>
          <w:rFonts w:ascii="Sakkal Majalla" w:hAnsi="Sakkal Majalla" w:cs="AL-Mohanad" w:hint="cs"/>
          <w:sz w:val="27"/>
          <w:szCs w:val="27"/>
          <w:rtl/>
        </w:rPr>
        <w:t>ا</w:t>
      </w:r>
      <w:r w:rsidRPr="00282AC9">
        <w:rPr>
          <w:rFonts w:ascii="Sakkal Majalla" w:hAnsi="Sakkal Majalla" w:cs="AL-Mohanad"/>
          <w:sz w:val="27"/>
          <w:szCs w:val="27"/>
          <w:rtl/>
        </w:rPr>
        <w:t>نقطاع</w:t>
      </w:r>
      <w:r w:rsidR="00EF7951" w:rsidRPr="00282AC9">
        <w:rPr>
          <w:rFonts w:ascii="Sakkal Majalla" w:hAnsi="Sakkal Majalla" w:cs="AL-Mohanad" w:hint="cs"/>
          <w:sz w:val="27"/>
          <w:szCs w:val="27"/>
          <w:rtl/>
        </w:rPr>
        <w:t>ٌ</w:t>
      </w:r>
      <w:r w:rsidR="00EF7951" w:rsidRPr="00282AC9">
        <w:rPr>
          <w:rFonts w:ascii="Sakkal Majalla" w:hAnsi="Sakkal Majalla" w:cs="AL-Mohanad"/>
          <w:sz w:val="27"/>
          <w:szCs w:val="27"/>
          <w:rtl/>
        </w:rPr>
        <w:t xml:space="preserve"> ـ</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أن أبا بكر</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bookmarkStart w:id="103" w:name="_Hlk33221863"/>
      <w:r w:rsidRPr="00282AC9">
        <w:rPr>
          <w:rFonts w:ascii="Sakkal Majalla" w:hAnsi="Sakkal Majalla" w:cs="AL-Mohanad"/>
          <w:sz w:val="27"/>
          <w:szCs w:val="27"/>
          <w:rtl/>
        </w:rPr>
        <w:t xml:space="preserve">قال لعمر ولزيد: </w:t>
      </w:r>
      <w:r w:rsidRPr="00282AC9">
        <w:rPr>
          <w:rFonts w:ascii="Sakkal Majalla" w:hAnsi="Sakkal Majalla" w:cs="AL-Mohanad"/>
          <w:rtl/>
        </w:rPr>
        <w:t>«</w:t>
      </w:r>
      <w:r w:rsidR="00EF7951" w:rsidRPr="00282AC9">
        <w:rPr>
          <w:rFonts w:ascii="Sakkal Majalla" w:hAnsi="Sakkal Majalla" w:cs="AL-Mohanad" w:hint="cs"/>
          <w:sz w:val="27"/>
          <w:szCs w:val="27"/>
          <w:rtl/>
        </w:rPr>
        <w:t>ا</w:t>
      </w:r>
      <w:r w:rsidRPr="00282AC9">
        <w:rPr>
          <w:rFonts w:ascii="Sakkal Majalla" w:hAnsi="Sakkal Majalla" w:cs="AL-Mohanad"/>
          <w:sz w:val="27"/>
          <w:szCs w:val="27"/>
          <w:rtl/>
        </w:rPr>
        <w:t>قعدوا على باب المسجد فم</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ن</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جاءكما بشاهد</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ي</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ن على شي‏ء</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كتاب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فاكتبا</w:t>
      </w:r>
      <w:r w:rsidRPr="00282AC9">
        <w:rPr>
          <w:rFonts w:ascii="Sakkal Majalla" w:hAnsi="Sakkal Majalla" w:cs="AL-Mohanad" w:hint="cs"/>
          <w:sz w:val="27"/>
          <w:szCs w:val="27"/>
          <w:rtl/>
        </w:rPr>
        <w:t>ه</w:t>
      </w:r>
      <w:r w:rsidR="00EF7951" w:rsidRPr="00282AC9">
        <w:rPr>
          <w:rFonts w:ascii="Sakkal Majalla" w:hAnsi="Sakkal Majalla" w:cs="AL-Mohanad"/>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47"/>
      </w:r>
      <w:r w:rsidRPr="00282AC9">
        <w:rPr>
          <w:rFonts w:ascii="Sakkal Majalla" w:hAnsi="Sakkal Majalla" w:cs="AL-Mohanad"/>
          <w:sz w:val="27"/>
          <w:szCs w:val="27"/>
          <w:vertAlign w:val="superscript"/>
          <w:rtl/>
        </w:rPr>
        <w:t>)</w:t>
      </w:r>
      <w:r w:rsidR="00EF7951" w:rsidRPr="00282AC9">
        <w:rPr>
          <w:rFonts w:ascii="Sakkal Majalla" w:hAnsi="Sakkal Majalla" w:cs="AL-Mohanad" w:hint="cs"/>
          <w:sz w:val="27"/>
          <w:szCs w:val="27"/>
          <w:rtl/>
        </w:rPr>
        <w:t>.</w:t>
      </w:r>
    </w:p>
    <w:bookmarkEnd w:id="103"/>
    <w:p w:rsidR="00AD6E36" w:rsidRPr="00282AC9" w:rsidRDefault="00AD6E36" w:rsidP="001D1A88">
      <w:pPr>
        <w:pStyle w:val="afc"/>
        <w:spacing w:line="416" w:lineRule="exact"/>
        <w:rPr>
          <w:rFonts w:ascii="Sakkal Majalla" w:hAnsi="Sakkal Majalla" w:cs="AL-Mohanad"/>
          <w:sz w:val="27"/>
          <w:szCs w:val="27"/>
          <w:rtl/>
        </w:rPr>
      </w:pPr>
      <w:r w:rsidRPr="00282AC9">
        <w:rPr>
          <w:rFonts w:ascii="Sakkal Majalla" w:hAnsi="Sakkal Majalla" w:cs="AL-Mohanad"/>
          <w:sz w:val="27"/>
          <w:szCs w:val="27"/>
          <w:rtl/>
        </w:rPr>
        <w:t>وفي الإتقان عن ابن أشتة</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 المصاحف</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عن الليث بن سعد قال: </w:t>
      </w:r>
      <w:bookmarkStart w:id="104" w:name="_Hlk33221982"/>
      <w:r w:rsidRPr="00282AC9">
        <w:rPr>
          <w:rFonts w:ascii="Sakkal Majalla" w:hAnsi="Sakkal Majalla" w:cs="AL-Mohanad"/>
          <w:rtl/>
        </w:rPr>
        <w:t>«</w:t>
      </w:r>
      <w:r w:rsidRPr="00282AC9">
        <w:rPr>
          <w:rFonts w:ascii="Sakkal Majalla" w:hAnsi="Sakkal Majalla" w:cs="AL-Mohanad"/>
          <w:sz w:val="27"/>
          <w:szCs w:val="27"/>
          <w:rtl/>
        </w:rPr>
        <w:t>أو</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ل م</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ن</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جمع القرآن </w:t>
      </w:r>
      <w:r w:rsidRPr="00282AC9">
        <w:rPr>
          <w:rFonts w:ascii="Sakkal Majalla" w:hAnsi="Sakkal Majalla" w:cs="AL-Mohanad" w:hint="cs"/>
          <w:sz w:val="27"/>
          <w:szCs w:val="27"/>
          <w:rtl/>
        </w:rPr>
        <w:t>أ</w:t>
      </w:r>
      <w:r w:rsidRPr="00282AC9">
        <w:rPr>
          <w:rFonts w:ascii="Sakkal Majalla" w:hAnsi="Sakkal Majalla" w:cs="AL-Mohanad"/>
          <w:sz w:val="27"/>
          <w:szCs w:val="27"/>
          <w:rtl/>
        </w:rPr>
        <w:t>بو</w:t>
      </w:r>
      <w:r w:rsidR="00EF7951" w:rsidRPr="00282AC9">
        <w:rPr>
          <w:rFonts w:ascii="Sakkal Majalla" w:hAnsi="Sakkal Majalla" w:cs="AL-Mohanad" w:hint="cs"/>
          <w:sz w:val="27"/>
          <w:szCs w:val="27"/>
          <w:rtl/>
        </w:rPr>
        <w:t xml:space="preserve"> </w:t>
      </w:r>
      <w:r w:rsidRPr="00282AC9">
        <w:rPr>
          <w:rFonts w:ascii="Sakkal Majalla" w:hAnsi="Sakkal Majalla" w:cs="AL-Mohanad"/>
          <w:sz w:val="27"/>
          <w:szCs w:val="27"/>
          <w:rtl/>
        </w:rPr>
        <w:t>بكر</w:t>
      </w:r>
      <w:r w:rsidR="00EF7951" w:rsidRPr="00282AC9">
        <w:rPr>
          <w:rFonts w:ascii="Sakkal Majalla" w:hAnsi="Sakkal Majalla" w:cs="AL-Mohanad" w:hint="cs"/>
          <w:sz w:val="27"/>
          <w:szCs w:val="27"/>
          <w:rtl/>
        </w:rPr>
        <w:t xml:space="preserve">، </w:t>
      </w:r>
      <w:r w:rsidRPr="00282AC9">
        <w:rPr>
          <w:rFonts w:ascii="Sakkal Majalla" w:hAnsi="Sakkal Majalla" w:cs="AL-Mohanad"/>
          <w:sz w:val="27"/>
          <w:szCs w:val="27"/>
          <w:rtl/>
        </w:rPr>
        <w:t>وكتبه زيد</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وكان الناس يأتون زيد بن ثابت فكان لا يكتب آية</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إلا</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بشاهد</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ي</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عدل</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وإن آخر سورة براءة لم يوجد إلا</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مع أبي خزيمة بن زيد بن ثابت فقال: </w:t>
      </w:r>
      <w:r w:rsidR="00EF7951" w:rsidRPr="00282AC9">
        <w:rPr>
          <w:rFonts w:ascii="Sakkal Majalla" w:hAnsi="Sakkal Majalla" w:cs="AL-Mohanad" w:hint="cs"/>
          <w:sz w:val="27"/>
          <w:szCs w:val="27"/>
          <w:rtl/>
        </w:rPr>
        <w:t>ا</w:t>
      </w:r>
      <w:r w:rsidRPr="00282AC9">
        <w:rPr>
          <w:rFonts w:ascii="Sakkal Majalla" w:hAnsi="Sakkal Majalla" w:cs="AL-Mohanad"/>
          <w:sz w:val="27"/>
          <w:szCs w:val="27"/>
          <w:rtl/>
        </w:rPr>
        <w:t>كتبوها</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فإن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w:t>
      </w:r>
      <w:r w:rsidR="00A9773B" w:rsidRPr="00282AC9">
        <w:rPr>
          <w:rFonts w:ascii="Mosawi" w:hAnsi="Mosawi" w:cs="Mosawi"/>
          <w:sz w:val="22"/>
          <w:szCs w:val="22"/>
          <w:rtl/>
        </w:rPr>
        <w:t>ﷺ</w:t>
      </w:r>
      <w:r w:rsidRPr="00282AC9">
        <w:rPr>
          <w:rFonts w:ascii="Sakkal Majalla" w:hAnsi="Sakkal Majalla" w:cs="AL-Mohanad"/>
          <w:sz w:val="27"/>
          <w:szCs w:val="27"/>
          <w:rtl/>
        </w:rPr>
        <w:t xml:space="preserve"> جعل شهادته بشهادة رجلين</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فكتب</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وإن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عمر أتى بآية الرجم فلم يكتبها</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لأنه كان وحده</w:t>
      </w:r>
      <w:r w:rsidRPr="00282AC9">
        <w:rPr>
          <w:rFonts w:ascii="Sakkal Majalla" w:hAnsi="Sakkal Majalla" w:cs="AL-Mohanad"/>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48"/>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w:t>
      </w:r>
      <w:bookmarkEnd w:id="104"/>
    </w:p>
    <w:p w:rsidR="00AD6E36" w:rsidRPr="00282AC9" w:rsidRDefault="00AD6E36" w:rsidP="001D1A88">
      <w:pPr>
        <w:pStyle w:val="afc"/>
        <w:spacing w:line="416" w:lineRule="exact"/>
        <w:rPr>
          <w:rFonts w:ascii="Sakkal Majalla" w:hAnsi="Sakkal Majalla" w:cs="AL-Mohanad"/>
          <w:sz w:val="27"/>
          <w:szCs w:val="27"/>
          <w:rtl/>
        </w:rPr>
      </w:pPr>
      <w:r w:rsidRPr="00282AC9">
        <w:rPr>
          <w:rFonts w:ascii="Sakkal Majalla" w:hAnsi="Sakkal Majalla" w:cs="AL-Mohanad"/>
          <w:sz w:val="27"/>
          <w:szCs w:val="27"/>
          <w:rtl/>
        </w:rPr>
        <w:t xml:space="preserve">وعن </w:t>
      </w:r>
      <w:r w:rsidR="00EF7951" w:rsidRPr="00282AC9">
        <w:rPr>
          <w:rFonts w:ascii="Sakkal Majalla" w:hAnsi="Sakkal Majalla" w:cs="AL-Mohanad" w:hint="cs"/>
          <w:sz w:val="27"/>
          <w:szCs w:val="27"/>
          <w:rtl/>
        </w:rPr>
        <w:t>ا</w:t>
      </w:r>
      <w:r w:rsidRPr="00282AC9">
        <w:rPr>
          <w:rFonts w:ascii="Sakkal Majalla" w:hAnsi="Sakkal Majalla" w:cs="AL-Mohanad"/>
          <w:sz w:val="27"/>
          <w:szCs w:val="27"/>
          <w:rtl/>
        </w:rPr>
        <w:t>بن أبي داو</w:t>
      </w:r>
      <w:r w:rsidR="00EF7951" w:rsidRPr="00282AC9">
        <w:rPr>
          <w:rFonts w:ascii="Sakkal Majalla" w:hAnsi="Sakkal Majalla" w:cs="AL-Mohanad" w:hint="cs"/>
          <w:sz w:val="27"/>
          <w:szCs w:val="27"/>
          <w:rtl/>
        </w:rPr>
        <w:t>و</w:t>
      </w:r>
      <w:r w:rsidRPr="00282AC9">
        <w:rPr>
          <w:rFonts w:ascii="Sakkal Majalla" w:hAnsi="Sakkal Majalla" w:cs="AL-Mohanad"/>
          <w:sz w:val="27"/>
          <w:szCs w:val="27"/>
          <w:rtl/>
        </w:rPr>
        <w:t>د</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 المصاحف</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طريق محمد بن إسحاق</w:t>
      </w:r>
      <w:r w:rsidR="00EF7951"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عن يحيى بن عبّاد بن عبد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بن الزبير</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عن </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بيه قال: </w:t>
      </w:r>
      <w:r w:rsidRPr="00282AC9">
        <w:rPr>
          <w:rFonts w:ascii="Sakkal Majalla" w:hAnsi="Sakkal Majalla" w:cs="AL-Mohanad"/>
          <w:rtl/>
        </w:rPr>
        <w:t>«</w:t>
      </w:r>
      <w:r w:rsidRPr="00282AC9">
        <w:rPr>
          <w:rFonts w:ascii="Sakkal Majalla" w:hAnsi="Sakkal Majalla" w:cs="AL-Mohanad"/>
          <w:sz w:val="27"/>
          <w:szCs w:val="27"/>
          <w:rtl/>
        </w:rPr>
        <w:t>أتاني الحارث بن خزيمة بهاتين الآيتين من آخر سورة براءة، فقال: أشهد أن</w:t>
      </w:r>
      <w:r w:rsidRPr="00282AC9">
        <w:rPr>
          <w:rFonts w:ascii="Sakkal Majalla" w:hAnsi="Sakkal Majalla" w:cs="AL-Mohanad" w:hint="cs"/>
          <w:sz w:val="27"/>
          <w:szCs w:val="27"/>
          <w:rtl/>
        </w:rPr>
        <w:t>ّ</w:t>
      </w:r>
      <w:r w:rsidRPr="00282AC9">
        <w:rPr>
          <w:rFonts w:ascii="Sakkal Majalla" w:hAnsi="Sakkal Majalla" w:cs="AL-Mohanad"/>
          <w:sz w:val="27"/>
          <w:szCs w:val="27"/>
          <w:rtl/>
        </w:rPr>
        <w:t>ي سمعت</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هما من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w:t>
      </w:r>
      <w:r w:rsidR="00A9773B" w:rsidRPr="00282AC9">
        <w:rPr>
          <w:rFonts w:ascii="Mosawi" w:hAnsi="Mosawi" w:cs="Mosawi"/>
          <w:sz w:val="22"/>
          <w:szCs w:val="22"/>
          <w:rtl/>
        </w:rPr>
        <w:t>ﷺ</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ووع</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ي</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تهما، فقال عمر</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وأنا أشهد لقد سمعت</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هما</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 ثم</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 قال: لو كانت ثلاث آيات لجعلت</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ها سورة</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على ح</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د</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ة</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فانظروا آخر سورة</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القرآن ف</w:t>
      </w:r>
      <w:r w:rsidRPr="00282AC9">
        <w:rPr>
          <w:rFonts w:ascii="Sakkal Majalla" w:hAnsi="Sakkal Majalla" w:cs="AL-Mohanad" w:hint="cs"/>
          <w:sz w:val="27"/>
          <w:szCs w:val="27"/>
          <w:rtl/>
        </w:rPr>
        <w:t>أ</w:t>
      </w:r>
      <w:r w:rsidRPr="00282AC9">
        <w:rPr>
          <w:rFonts w:ascii="Sakkal Majalla" w:hAnsi="Sakkal Majalla" w:cs="AL-Mohanad"/>
          <w:sz w:val="27"/>
          <w:szCs w:val="27"/>
          <w:rtl/>
        </w:rPr>
        <w:t>لحقوها في آخرها</w:t>
      </w:r>
      <w:r w:rsidR="00833D92" w:rsidRPr="00282AC9">
        <w:rPr>
          <w:rFonts w:ascii="Sakkal Majalla" w:hAnsi="Sakkal Majalla" w:cs="AL-Mohanad"/>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49"/>
      </w:r>
      <w:r w:rsidRPr="00282AC9">
        <w:rPr>
          <w:rFonts w:ascii="Sakkal Majalla" w:hAnsi="Sakkal Majalla" w:cs="AL-Mohanad"/>
          <w:sz w:val="27"/>
          <w:szCs w:val="27"/>
          <w:vertAlign w:val="superscript"/>
          <w:rtl/>
        </w:rPr>
        <w:t>)</w:t>
      </w:r>
      <w:r w:rsidR="00833D92" w:rsidRPr="00282AC9">
        <w:rPr>
          <w:rFonts w:ascii="Sakkal Majalla" w:hAnsi="Sakkal Majalla" w:cs="AL-Mohanad" w:hint="cs"/>
          <w:sz w:val="27"/>
          <w:szCs w:val="27"/>
          <w:rtl/>
        </w:rPr>
        <w:t>.</w:t>
      </w:r>
    </w:p>
    <w:p w:rsidR="00833D92" w:rsidRPr="00282AC9" w:rsidRDefault="00AD6E36" w:rsidP="00EF541F">
      <w:pPr>
        <w:pStyle w:val="afc"/>
        <w:spacing w:line="420" w:lineRule="exact"/>
        <w:rPr>
          <w:rFonts w:ascii="Sakkal Majalla" w:hAnsi="Sakkal Majalla" w:cs="AL-Mohanad"/>
          <w:sz w:val="27"/>
          <w:szCs w:val="27"/>
          <w:rtl/>
        </w:rPr>
      </w:pPr>
      <w:r w:rsidRPr="00282AC9">
        <w:rPr>
          <w:rFonts w:ascii="Sakkal Majalla" w:hAnsi="Sakkal Majalla" w:cs="AL-Mohanad" w:hint="cs"/>
          <w:sz w:val="27"/>
          <w:szCs w:val="27"/>
          <w:rtl/>
        </w:rPr>
        <w:t>وغ</w:t>
      </w:r>
      <w:r w:rsidRPr="00282AC9">
        <w:rPr>
          <w:rFonts w:cs="AL-Mohanad" w:hint="cs"/>
          <w:sz w:val="27"/>
          <w:szCs w:val="27"/>
          <w:rtl/>
        </w:rPr>
        <w:t>ي</w:t>
      </w:r>
      <w:r w:rsidRPr="00282AC9">
        <w:rPr>
          <w:rFonts w:ascii="Sakkal Majalla" w:hAnsi="Sakkal Majalla" w:cs="AL-Mohanad" w:hint="cs"/>
          <w:sz w:val="27"/>
          <w:szCs w:val="27"/>
          <w:rtl/>
        </w:rPr>
        <w:t>رها من الروا</w:t>
      </w:r>
      <w:r w:rsidRPr="00282AC9">
        <w:rPr>
          <w:rFonts w:cs="AL-Mohanad" w:hint="cs"/>
          <w:sz w:val="27"/>
          <w:szCs w:val="27"/>
          <w:rtl/>
        </w:rPr>
        <w:t>ي</w:t>
      </w:r>
      <w:r w:rsidRPr="00282AC9">
        <w:rPr>
          <w:rFonts w:ascii="Sakkal Majalla" w:hAnsi="Sakkal Majalla" w:cs="AL-Mohanad" w:hint="cs"/>
          <w:sz w:val="27"/>
          <w:szCs w:val="27"/>
          <w:rtl/>
        </w:rPr>
        <w:t>ات</w:t>
      </w:r>
      <w:r w:rsidR="00833D92"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التي سم</w:t>
      </w:r>
      <w:r w:rsidR="00833D92" w:rsidRPr="00282AC9">
        <w:rPr>
          <w:rFonts w:ascii="Sakkal Majalla" w:hAnsi="Sakkal Majalla" w:cs="AL-Mohanad" w:hint="cs"/>
          <w:sz w:val="27"/>
          <w:szCs w:val="27"/>
          <w:rtl/>
        </w:rPr>
        <w:t>ّ</w:t>
      </w:r>
      <w:r w:rsidRPr="00282AC9">
        <w:rPr>
          <w:rFonts w:ascii="Sakkal Majalla" w:hAnsi="Sakkal Majalla" w:cs="AL-Mohanad" w:hint="cs"/>
          <w:sz w:val="27"/>
          <w:szCs w:val="27"/>
          <w:rtl/>
        </w:rPr>
        <w:t>اها العلامة بروا</w:t>
      </w:r>
      <w:r w:rsidRPr="00282AC9">
        <w:rPr>
          <w:rFonts w:cs="AL-Mohanad" w:hint="cs"/>
          <w:sz w:val="27"/>
          <w:szCs w:val="27"/>
          <w:rtl/>
        </w:rPr>
        <w:t>ي</w:t>
      </w:r>
      <w:r w:rsidRPr="00282AC9">
        <w:rPr>
          <w:rFonts w:ascii="Sakkal Majalla" w:hAnsi="Sakkal Majalla" w:cs="AL-Mohanad" w:hint="cs"/>
          <w:sz w:val="27"/>
          <w:szCs w:val="27"/>
          <w:rtl/>
        </w:rPr>
        <w:t>ات الجمع الأو</w:t>
      </w:r>
      <w:r w:rsidR="00833D92" w:rsidRPr="00282AC9">
        <w:rPr>
          <w:rFonts w:ascii="Sakkal Majalla" w:hAnsi="Sakkal Majalla" w:cs="AL-Mohanad" w:hint="cs"/>
          <w:sz w:val="27"/>
          <w:szCs w:val="27"/>
          <w:rtl/>
        </w:rPr>
        <w:t>ّ</w:t>
      </w:r>
      <w:r w:rsidRPr="00282AC9">
        <w:rPr>
          <w:rFonts w:ascii="Sakkal Majalla" w:hAnsi="Sakkal Majalla" w:cs="AL-Mohanad" w:hint="cs"/>
          <w:sz w:val="27"/>
          <w:szCs w:val="27"/>
          <w:rtl/>
        </w:rPr>
        <w:t>ل</w:t>
      </w:r>
      <w:r w:rsidR="00833D92" w:rsidRPr="00282AC9">
        <w:rPr>
          <w:rFonts w:ascii="Sakkal Majalla" w:hAnsi="Sakkal Majalla" w:cs="AL-Mohanad" w:hint="cs"/>
          <w:sz w:val="27"/>
          <w:szCs w:val="27"/>
          <w:rtl/>
        </w:rPr>
        <w:t>.</w:t>
      </w:r>
    </w:p>
    <w:p w:rsidR="00833D92" w:rsidRPr="00282AC9" w:rsidRDefault="00AD6E36" w:rsidP="00EF541F">
      <w:pPr>
        <w:pStyle w:val="afc"/>
        <w:spacing w:line="420" w:lineRule="exact"/>
        <w:rPr>
          <w:rFonts w:ascii="Sakkal Majalla" w:hAnsi="Sakkal Majalla" w:cs="AL-Mohanad"/>
          <w:sz w:val="27"/>
          <w:szCs w:val="27"/>
          <w:rtl/>
        </w:rPr>
      </w:pPr>
      <w:r w:rsidRPr="00282AC9">
        <w:rPr>
          <w:rFonts w:ascii="Sakkal Majalla" w:hAnsi="Sakkal Majalla" w:cs="AL-Mohanad" w:hint="cs"/>
          <w:sz w:val="27"/>
          <w:szCs w:val="27"/>
          <w:rtl/>
        </w:rPr>
        <w:t>وه</w:t>
      </w:r>
      <w:r w:rsidRPr="00282AC9">
        <w:rPr>
          <w:rFonts w:cs="AL-Mohanad" w:hint="cs"/>
          <w:sz w:val="27"/>
          <w:szCs w:val="27"/>
          <w:rtl/>
        </w:rPr>
        <w:t>ي</w:t>
      </w:r>
      <w:r w:rsidRPr="00282AC9">
        <w:rPr>
          <w:rFonts w:ascii="Sakkal Majalla" w:hAnsi="Sakkal Majalla" w:cs="AL-Mohanad" w:hint="cs"/>
          <w:sz w:val="27"/>
          <w:szCs w:val="27"/>
          <w:rtl/>
        </w:rPr>
        <w:t xml:space="preserve"> صر</w:t>
      </w:r>
      <w:r w:rsidRPr="00282AC9">
        <w:rPr>
          <w:rFonts w:cs="AL-Mohanad" w:hint="cs"/>
          <w:sz w:val="27"/>
          <w:szCs w:val="27"/>
          <w:rtl/>
        </w:rPr>
        <w:t>ي</w:t>
      </w:r>
      <w:r w:rsidRPr="00282AC9">
        <w:rPr>
          <w:rFonts w:ascii="Sakkal Majalla" w:hAnsi="Sakkal Majalla" w:cs="AL-Mohanad" w:hint="cs"/>
          <w:sz w:val="27"/>
          <w:szCs w:val="27"/>
          <w:rtl/>
        </w:rPr>
        <w:t>حة</w:t>
      </w:r>
      <w:r w:rsidR="00833D92"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في أنّ جمع القرآن كان في زمن الصحابة</w:t>
      </w:r>
      <w:r w:rsidR="00833D92"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ولذلك </w:t>
      </w:r>
      <w:r w:rsidR="00833D92" w:rsidRPr="00282AC9">
        <w:rPr>
          <w:rFonts w:ascii="Sakkal Majalla" w:hAnsi="Sakkal Majalla" w:cs="AL-Mohanad" w:hint="cs"/>
          <w:sz w:val="27"/>
          <w:szCs w:val="27"/>
          <w:rtl/>
        </w:rPr>
        <w:t>ا</w:t>
      </w:r>
      <w:r w:rsidRPr="00282AC9">
        <w:rPr>
          <w:rFonts w:ascii="Sakkal Majalla" w:hAnsi="Sakkal Majalla" w:cs="AL-Mohanad" w:hint="cs"/>
          <w:sz w:val="27"/>
          <w:szCs w:val="27"/>
          <w:rtl/>
        </w:rPr>
        <w:t>ستدل</w:t>
      </w:r>
      <w:r w:rsidR="00833D92"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بها عل</w:t>
      </w:r>
      <w:r w:rsidR="00833D92" w:rsidRPr="00282AC9">
        <w:rPr>
          <w:rFonts w:cs="AL-Mohanad" w:hint="cs"/>
          <w:sz w:val="27"/>
          <w:szCs w:val="27"/>
          <w:rtl/>
        </w:rPr>
        <w:t>ى</w:t>
      </w:r>
      <w:r w:rsidRPr="00282AC9">
        <w:rPr>
          <w:rFonts w:ascii="Sakkal Majalla" w:hAnsi="Sakkal Majalla" w:cs="AL-Mohanad" w:hint="cs"/>
          <w:sz w:val="27"/>
          <w:szCs w:val="27"/>
          <w:rtl/>
        </w:rPr>
        <w:t xml:space="preserve"> عدم توق</w:t>
      </w:r>
      <w:r w:rsidRPr="00282AC9">
        <w:rPr>
          <w:rFonts w:cs="AL-Mohanad" w:hint="cs"/>
          <w:sz w:val="27"/>
          <w:szCs w:val="27"/>
          <w:rtl/>
        </w:rPr>
        <w:t>ي</w:t>
      </w:r>
      <w:r w:rsidRPr="00282AC9">
        <w:rPr>
          <w:rFonts w:ascii="Sakkal Majalla" w:hAnsi="Sakkal Majalla" w:cs="AL-Mohanad" w:hint="cs"/>
          <w:sz w:val="27"/>
          <w:szCs w:val="27"/>
          <w:rtl/>
        </w:rPr>
        <w:t>ف</w:t>
      </w:r>
      <w:r w:rsidRPr="00282AC9">
        <w:rPr>
          <w:rFonts w:cs="AL-Mohanad" w:hint="cs"/>
          <w:sz w:val="27"/>
          <w:szCs w:val="27"/>
          <w:rtl/>
        </w:rPr>
        <w:t>ي</w:t>
      </w:r>
      <w:r w:rsidR="00833D92" w:rsidRPr="00282AC9">
        <w:rPr>
          <w:rFonts w:cs="AL-Mohanad" w:hint="cs"/>
          <w:sz w:val="27"/>
          <w:szCs w:val="27"/>
          <w:rtl/>
        </w:rPr>
        <w:t>ّ</w:t>
      </w:r>
      <w:r w:rsidRPr="00282AC9">
        <w:rPr>
          <w:rFonts w:ascii="Sakkal Majalla" w:hAnsi="Sakkal Majalla" w:cs="AL-Mohanad" w:hint="cs"/>
          <w:sz w:val="27"/>
          <w:szCs w:val="27"/>
          <w:rtl/>
        </w:rPr>
        <w:t>ة ترت</w:t>
      </w:r>
      <w:r w:rsidRPr="00282AC9">
        <w:rPr>
          <w:rFonts w:cs="AL-Mohanad" w:hint="cs"/>
          <w:sz w:val="27"/>
          <w:szCs w:val="27"/>
          <w:rtl/>
        </w:rPr>
        <w:t>ي</w:t>
      </w:r>
      <w:r w:rsidRPr="00282AC9">
        <w:rPr>
          <w:rFonts w:ascii="Sakkal Majalla" w:hAnsi="Sakkal Majalla" w:cs="AL-Mohanad" w:hint="cs"/>
          <w:sz w:val="27"/>
          <w:szCs w:val="27"/>
          <w:rtl/>
        </w:rPr>
        <w:t>ب آ</w:t>
      </w:r>
      <w:r w:rsidRPr="00282AC9">
        <w:rPr>
          <w:rFonts w:cs="AL-Mohanad" w:hint="cs"/>
          <w:sz w:val="27"/>
          <w:szCs w:val="27"/>
          <w:rtl/>
        </w:rPr>
        <w:t>ي</w:t>
      </w:r>
      <w:r w:rsidRPr="00282AC9">
        <w:rPr>
          <w:rFonts w:ascii="Sakkal Majalla" w:hAnsi="Sakkal Majalla" w:cs="AL-Mohanad" w:hint="cs"/>
          <w:sz w:val="27"/>
          <w:szCs w:val="27"/>
          <w:rtl/>
        </w:rPr>
        <w:t>ات القرآن</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50"/>
      </w:r>
      <w:r w:rsidRPr="00282AC9">
        <w:rPr>
          <w:rFonts w:ascii="Sakkal Majalla" w:hAnsi="Sakkal Majalla" w:cs="AL-Mohanad"/>
          <w:sz w:val="27"/>
          <w:szCs w:val="27"/>
          <w:vertAlign w:val="superscript"/>
          <w:rtl/>
        </w:rPr>
        <w:t>)</w:t>
      </w:r>
      <w:r w:rsidR="00833D92" w:rsidRPr="00282AC9">
        <w:rPr>
          <w:rFonts w:ascii="Sakkal Majalla" w:hAnsi="Sakkal Majalla" w:cs="AL-Mohanad" w:hint="cs"/>
          <w:sz w:val="27"/>
          <w:szCs w:val="27"/>
          <w:rtl/>
        </w:rPr>
        <w:t>.</w:t>
      </w:r>
    </w:p>
    <w:p w:rsidR="00AD6E36" w:rsidRPr="00282AC9" w:rsidRDefault="00833D92" w:rsidP="00EF541F">
      <w:pPr>
        <w:pStyle w:val="afc"/>
        <w:spacing w:line="420" w:lineRule="exact"/>
        <w:rPr>
          <w:rFonts w:ascii="Sakkal Majalla" w:hAnsi="Sakkal Majalla" w:cs="AL-Mohanad"/>
          <w:sz w:val="27"/>
          <w:szCs w:val="27"/>
          <w:rtl/>
        </w:rPr>
      </w:pPr>
      <w:r w:rsidRPr="00282AC9">
        <w:rPr>
          <w:rFonts w:ascii="Sakkal Majalla" w:hAnsi="Sakkal Majalla" w:cs="AL-Mohanad" w:hint="cs"/>
          <w:sz w:val="27"/>
          <w:szCs w:val="27"/>
          <w:rtl/>
        </w:rPr>
        <w:t>و</w:t>
      </w:r>
      <w:r w:rsidR="00AD6E36" w:rsidRPr="00282AC9">
        <w:rPr>
          <w:rFonts w:ascii="Sakkal Majalla" w:hAnsi="Sakkal Majalla" w:cs="AL-Mohanad" w:hint="cs"/>
          <w:sz w:val="27"/>
          <w:szCs w:val="27"/>
          <w:rtl/>
        </w:rPr>
        <w:t>سنذكر الملاحظات الت</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 ت</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ر</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د</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عل</w:t>
      </w:r>
      <w:r w:rsidRPr="00282AC9">
        <w:rPr>
          <w:rFonts w:cs="AL-Mohanad" w:hint="cs"/>
          <w:sz w:val="27"/>
          <w:szCs w:val="27"/>
          <w:rtl/>
        </w:rPr>
        <w:t>ى</w:t>
      </w:r>
      <w:r w:rsidR="00AD6E36" w:rsidRPr="00282AC9">
        <w:rPr>
          <w:rFonts w:ascii="Sakkal Majalla" w:hAnsi="Sakkal Majalla" w:cs="AL-Mohanad" w:hint="cs"/>
          <w:sz w:val="27"/>
          <w:szCs w:val="27"/>
          <w:rtl/>
        </w:rPr>
        <w:t xml:space="preserve"> هذه الروا</w:t>
      </w:r>
      <w:r w:rsidR="00AD6E36" w:rsidRPr="00282AC9">
        <w:rPr>
          <w:rFonts w:cs="AL-Mohanad" w:hint="cs"/>
          <w:sz w:val="27"/>
          <w:szCs w:val="27"/>
          <w:rtl/>
        </w:rPr>
        <w:t>ي</w:t>
      </w:r>
      <w:r w:rsidR="00AD6E36" w:rsidRPr="00282AC9">
        <w:rPr>
          <w:rFonts w:ascii="Sakkal Majalla" w:hAnsi="Sakkal Majalla" w:cs="AL-Mohanad" w:hint="cs"/>
          <w:sz w:val="27"/>
          <w:szCs w:val="27"/>
          <w:rtl/>
        </w:rPr>
        <w:t>ات والاستد</w:t>
      </w:r>
      <w:r w:rsidRPr="00282AC9">
        <w:rPr>
          <w:rFonts w:ascii="Sakkal Majalla" w:hAnsi="Sakkal Majalla" w:cs="AL-Mohanad" w:hint="cs"/>
          <w:sz w:val="27"/>
          <w:szCs w:val="27"/>
          <w:rtl/>
        </w:rPr>
        <w:t>ل</w:t>
      </w:r>
      <w:r w:rsidR="00AD6E36" w:rsidRPr="00282AC9">
        <w:rPr>
          <w:rFonts w:ascii="Sakkal Majalla" w:hAnsi="Sakkal Majalla" w:cs="AL-Mohanad" w:hint="cs"/>
          <w:sz w:val="27"/>
          <w:szCs w:val="27"/>
          <w:rtl/>
        </w:rPr>
        <w:t>ال بها ف</w:t>
      </w:r>
      <w:r w:rsidR="00AD6E36" w:rsidRPr="00282AC9">
        <w:rPr>
          <w:rFonts w:cs="AL-Mohanad" w:hint="cs"/>
          <w:sz w:val="27"/>
          <w:szCs w:val="27"/>
          <w:rtl/>
        </w:rPr>
        <w:t>ي</w:t>
      </w:r>
      <w:r w:rsidR="00AD6E36" w:rsidRPr="00282AC9">
        <w:rPr>
          <w:rFonts w:ascii="Sakkal Majalla" w:hAnsi="Sakkal Majalla" w:cs="AL-Mohanad" w:hint="cs"/>
          <w:sz w:val="27"/>
          <w:szCs w:val="27"/>
          <w:rtl/>
        </w:rPr>
        <w:t>ما بعد.</w:t>
      </w:r>
    </w:p>
    <w:p w:rsidR="00F939B0" w:rsidRPr="00282AC9" w:rsidRDefault="00F939B0" w:rsidP="00F939B0">
      <w:pPr>
        <w:pStyle w:val="31"/>
        <w:rPr>
          <w:color w:val="auto"/>
          <w:rtl/>
        </w:rPr>
      </w:pPr>
      <w:r w:rsidRPr="00282AC9">
        <w:rPr>
          <w:rFonts w:hint="cs"/>
          <w:color w:val="auto"/>
          <w:rtl/>
        </w:rPr>
        <w:lastRenderedPageBreak/>
        <w:t>مناقشةٌ وردّ</w:t>
      </w:r>
    </w:p>
    <w:p w:rsidR="00376D03" w:rsidRPr="00282AC9" w:rsidRDefault="00F939B0" w:rsidP="00376D03">
      <w:pPr>
        <w:pStyle w:val="31"/>
        <w:rPr>
          <w:color w:val="auto"/>
          <w:rtl/>
        </w:rPr>
      </w:pPr>
      <w:r w:rsidRPr="00282AC9">
        <w:rPr>
          <w:rFonts w:hint="cs"/>
          <w:color w:val="auto"/>
          <w:rtl/>
        </w:rPr>
        <w:t xml:space="preserve">أـ </w:t>
      </w:r>
      <w:r w:rsidR="00376D03" w:rsidRPr="00282AC9">
        <w:rPr>
          <w:rFonts w:hint="cs"/>
          <w:color w:val="auto"/>
          <w:rtl/>
        </w:rPr>
        <w:t>الضعف السنديّ</w:t>
      </w:r>
    </w:p>
    <w:p w:rsidR="00F939B0" w:rsidRPr="00282AC9" w:rsidRDefault="00F939B0" w:rsidP="00EF541F">
      <w:pPr>
        <w:pStyle w:val="afe"/>
        <w:widowControl w:val="0"/>
        <w:spacing w:after="0" w:line="420" w:lineRule="exact"/>
        <w:ind w:left="0" w:firstLine="567"/>
        <w:jc w:val="both"/>
        <w:rPr>
          <w:rFonts w:ascii="Sakkal Majalla" w:hAnsi="Sakkal Majalla" w:cs="AL-Mohanad"/>
          <w:sz w:val="27"/>
          <w:szCs w:val="27"/>
          <w:rtl/>
        </w:rPr>
      </w:pPr>
      <w:r w:rsidRPr="00282AC9">
        <w:rPr>
          <w:rFonts w:ascii="Sakkal Majalla" w:hAnsi="Sakkal Majalla" w:cs="AL-Mohanad" w:hint="cs"/>
          <w:sz w:val="27"/>
          <w:szCs w:val="27"/>
          <w:rtl/>
        </w:rPr>
        <w:t>إنّ هذه الطائفة من الروا</w:t>
      </w:r>
      <w:r w:rsidRPr="00282AC9">
        <w:rPr>
          <w:rFonts w:ascii="Times New Roman" w:hAnsi="Times New Roman" w:cs="AL-Mohanad" w:hint="cs"/>
          <w:sz w:val="27"/>
          <w:szCs w:val="27"/>
          <w:rtl/>
        </w:rPr>
        <w:t>ي</w:t>
      </w:r>
      <w:r w:rsidRPr="00282AC9">
        <w:rPr>
          <w:rFonts w:ascii="Sakkal Majalla" w:hAnsi="Sakkal Majalla" w:cs="AL-Mohanad" w:hint="cs"/>
          <w:sz w:val="27"/>
          <w:szCs w:val="27"/>
          <w:rtl/>
        </w:rPr>
        <w:t>ات غ</w:t>
      </w:r>
      <w:r w:rsidRPr="00282AC9">
        <w:rPr>
          <w:rFonts w:ascii="Times New Roman" w:hAnsi="Times New Roman" w:cs="AL-Mohanad" w:hint="cs"/>
          <w:sz w:val="27"/>
          <w:szCs w:val="27"/>
          <w:rtl/>
        </w:rPr>
        <w:t>ي</w:t>
      </w:r>
      <w:r w:rsidRPr="00282AC9">
        <w:rPr>
          <w:rFonts w:ascii="Sakkal Majalla" w:hAnsi="Sakkal Majalla" w:cs="AL-Mohanad" w:hint="cs"/>
          <w:sz w:val="27"/>
          <w:szCs w:val="27"/>
          <w:rtl/>
        </w:rPr>
        <w:t>ر تامّةٍ سنداً؛ ولا تف</w:t>
      </w:r>
      <w:r w:rsidRPr="00282AC9">
        <w:rPr>
          <w:rFonts w:ascii="Times New Roman" w:hAnsi="Times New Roman" w:cs="AL-Mohanad" w:hint="cs"/>
          <w:sz w:val="27"/>
          <w:szCs w:val="27"/>
          <w:rtl/>
        </w:rPr>
        <w:t>ي</w:t>
      </w:r>
      <w:r w:rsidRPr="00282AC9">
        <w:rPr>
          <w:rFonts w:ascii="Sakkal Majalla" w:hAnsi="Sakkal Majalla" w:cs="AL-Mohanad" w:hint="cs"/>
          <w:sz w:val="27"/>
          <w:szCs w:val="27"/>
          <w:rtl/>
        </w:rPr>
        <w:t xml:space="preserve">د علماً؛ إذ </w:t>
      </w:r>
      <w:r w:rsidR="00745B88" w:rsidRPr="00282AC9">
        <w:rPr>
          <w:rFonts w:ascii="Sakkal Majalla" w:hAnsi="Sakkal Majalla" w:cs="AL-Mohanad" w:hint="cs"/>
          <w:sz w:val="27"/>
          <w:szCs w:val="27"/>
          <w:rtl/>
        </w:rPr>
        <w:t>إنها</w:t>
      </w:r>
      <w:r w:rsidRPr="00282AC9">
        <w:rPr>
          <w:rFonts w:ascii="Sakkal Majalla" w:hAnsi="Sakkal Majalla" w:cs="AL-Mohanad" w:hint="cs"/>
          <w:sz w:val="27"/>
          <w:szCs w:val="27"/>
          <w:rtl/>
        </w:rPr>
        <w:t xml:space="preserve"> ل</w:t>
      </w:r>
      <w:r w:rsidRPr="00282AC9">
        <w:rPr>
          <w:rFonts w:ascii="Times New Roman" w:hAnsi="Times New Roman" w:cs="AL-Mohanad" w:hint="cs"/>
          <w:sz w:val="27"/>
          <w:szCs w:val="27"/>
          <w:rtl/>
        </w:rPr>
        <w:t>ي</w:t>
      </w:r>
      <w:r w:rsidRPr="00282AC9">
        <w:rPr>
          <w:rFonts w:ascii="Sakkal Majalla" w:hAnsi="Sakkal Majalla" w:cs="AL-Mohanad" w:hint="cs"/>
          <w:sz w:val="27"/>
          <w:szCs w:val="27"/>
          <w:rtl/>
        </w:rPr>
        <w:t>ست متواترة</w:t>
      </w:r>
      <w:r w:rsidR="00745B88" w:rsidRPr="00282AC9">
        <w:rPr>
          <w:rFonts w:ascii="Sakkal Majalla" w:hAnsi="Sakkal Majalla" w:cs="AL-Mohanad" w:hint="cs"/>
          <w:sz w:val="27"/>
          <w:szCs w:val="27"/>
          <w:rtl/>
        </w:rPr>
        <w:t>ً</w:t>
      </w:r>
      <w:r w:rsidRPr="00282AC9">
        <w:rPr>
          <w:rFonts w:ascii="Sakkal Majalla" w:hAnsi="Sakkal Majalla" w:cs="AL-Mohanad" w:hint="cs"/>
          <w:sz w:val="27"/>
          <w:szCs w:val="27"/>
          <w:rtl/>
        </w:rPr>
        <w:t>، لا لفظاً ولا معن</w:t>
      </w:r>
      <w:r w:rsidRPr="00282AC9">
        <w:rPr>
          <w:rFonts w:ascii="Times New Roman" w:hAnsi="Times New Roman" w:cs="AL-Mohanad" w:hint="cs"/>
          <w:sz w:val="27"/>
          <w:szCs w:val="27"/>
          <w:rtl/>
        </w:rPr>
        <w:t>ى،</w:t>
      </w:r>
      <w:r w:rsidRPr="00282AC9">
        <w:rPr>
          <w:rFonts w:ascii="Sakkal Majalla" w:hAnsi="Sakkal Majalla" w:cs="AL-Mohanad" w:hint="cs"/>
          <w:sz w:val="27"/>
          <w:szCs w:val="27"/>
          <w:rtl/>
        </w:rPr>
        <w:t xml:space="preserve"> بل هي </w:t>
      </w:r>
      <w:r w:rsidR="00745B88" w:rsidRPr="00282AC9">
        <w:rPr>
          <w:rFonts w:ascii="Sakkal Majalla" w:hAnsi="Sakkal Majalla" w:cs="AL-Mohanad" w:hint="cs"/>
          <w:sz w:val="27"/>
          <w:szCs w:val="27"/>
          <w:rtl/>
        </w:rPr>
        <w:t>أ</w:t>
      </w:r>
      <w:r w:rsidRPr="00282AC9">
        <w:rPr>
          <w:rFonts w:ascii="Sakkal Majalla" w:hAnsi="Sakkal Majalla" w:cs="AL-Mohanad" w:hint="cs"/>
          <w:sz w:val="27"/>
          <w:szCs w:val="27"/>
          <w:rtl/>
        </w:rPr>
        <w:t>خبار آحاد</w:t>
      </w:r>
      <w:r w:rsidR="00745B88" w:rsidRPr="00282AC9">
        <w:rPr>
          <w:rFonts w:ascii="Sakkal Majalla" w:hAnsi="Sakkal Majalla" w:cs="AL-Mohanad" w:hint="cs"/>
          <w:sz w:val="27"/>
          <w:szCs w:val="27"/>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51"/>
      </w:r>
      <w:r w:rsidRPr="00282AC9">
        <w:rPr>
          <w:rFonts w:ascii="Sakkal Majalla" w:hAnsi="Sakkal Majalla" w:cs="AL-Mohanad"/>
          <w:sz w:val="27"/>
          <w:szCs w:val="27"/>
          <w:vertAlign w:val="superscript"/>
          <w:rtl/>
        </w:rPr>
        <w:t>)</w:t>
      </w:r>
      <w:r w:rsidR="00376D03" w:rsidRPr="00282AC9">
        <w:rPr>
          <w:rFonts w:ascii="Sakkal Majalla" w:hAnsi="Sakkal Majalla" w:cs="AL-Mohanad" w:hint="cs"/>
          <w:sz w:val="27"/>
          <w:szCs w:val="27"/>
          <w:rtl/>
        </w:rPr>
        <w:t>.</w:t>
      </w:r>
    </w:p>
    <w:p w:rsidR="00EF541F" w:rsidRPr="00282AC9" w:rsidRDefault="00EF541F" w:rsidP="00EF541F">
      <w:pPr>
        <w:spacing w:line="420" w:lineRule="exact"/>
        <w:rPr>
          <w:sz w:val="27"/>
          <w:rtl/>
        </w:rPr>
      </w:pPr>
    </w:p>
    <w:p w:rsidR="00376D03" w:rsidRPr="00282AC9" w:rsidRDefault="00F939B0" w:rsidP="00376D03">
      <w:pPr>
        <w:pStyle w:val="31"/>
        <w:rPr>
          <w:color w:val="auto"/>
          <w:rtl/>
        </w:rPr>
      </w:pPr>
      <w:r w:rsidRPr="00282AC9">
        <w:rPr>
          <w:rFonts w:hint="cs"/>
          <w:color w:val="auto"/>
          <w:rtl/>
        </w:rPr>
        <w:t xml:space="preserve">ب ـ </w:t>
      </w:r>
      <w:r w:rsidR="00376D03" w:rsidRPr="00282AC9">
        <w:rPr>
          <w:rFonts w:hint="cs"/>
          <w:color w:val="auto"/>
          <w:rtl/>
        </w:rPr>
        <w:t>التناقض الداخلي</w:t>
      </w:r>
    </w:p>
    <w:p w:rsidR="00F939B0" w:rsidRPr="00282AC9" w:rsidRDefault="00376D03" w:rsidP="00EF541F">
      <w:pPr>
        <w:pStyle w:val="afc"/>
        <w:spacing w:line="420" w:lineRule="exact"/>
        <w:rPr>
          <w:rFonts w:ascii="Sakkal Majalla" w:hAnsi="Sakkal Majalla" w:cs="AL-Mohanad"/>
          <w:sz w:val="27"/>
          <w:szCs w:val="27"/>
          <w:rtl/>
        </w:rPr>
      </w:pPr>
      <w:r w:rsidRPr="00282AC9">
        <w:rPr>
          <w:rFonts w:ascii="Sakkal Majalla" w:hAnsi="Sakkal Majalla" w:cs="AL-Mohanad" w:hint="cs"/>
          <w:sz w:val="27"/>
          <w:szCs w:val="27"/>
          <w:rtl/>
        </w:rPr>
        <w:t>ف</w:t>
      </w:r>
      <w:r w:rsidR="00F939B0" w:rsidRPr="00282AC9">
        <w:rPr>
          <w:rFonts w:ascii="Sakkal Majalla" w:hAnsi="Sakkal Majalla" w:cs="AL-Mohanad" w:hint="cs"/>
          <w:sz w:val="27"/>
          <w:szCs w:val="27"/>
          <w:rtl/>
        </w:rPr>
        <w:t>إنّها من ح</w:t>
      </w:r>
      <w:r w:rsidR="00F939B0" w:rsidRPr="00282AC9">
        <w:rPr>
          <w:rFonts w:cs="AL-Mohanad" w:hint="cs"/>
          <w:sz w:val="27"/>
          <w:szCs w:val="27"/>
          <w:rtl/>
        </w:rPr>
        <w:t>ي</w:t>
      </w:r>
      <w:r w:rsidR="00F939B0" w:rsidRPr="00282AC9">
        <w:rPr>
          <w:rFonts w:ascii="Sakkal Majalla" w:hAnsi="Sakkal Majalla" w:cs="AL-Mohanad" w:hint="cs"/>
          <w:sz w:val="27"/>
          <w:szCs w:val="27"/>
          <w:rtl/>
        </w:rPr>
        <w:t>ث المتن أخبارٌ متناقضة، لا</w:t>
      </w:r>
      <w:r w:rsidR="00864287" w:rsidRPr="00282AC9">
        <w:rPr>
          <w:rFonts w:cs="AL-Mohanad" w:hint="cs"/>
          <w:sz w:val="27"/>
          <w:szCs w:val="27"/>
          <w:rtl/>
        </w:rPr>
        <w:t xml:space="preserve"> </w:t>
      </w:r>
      <w:r w:rsidR="00F939B0" w:rsidRPr="00282AC9">
        <w:rPr>
          <w:rFonts w:cs="AL-Mohanad" w:hint="cs"/>
          <w:sz w:val="27"/>
          <w:szCs w:val="27"/>
          <w:rtl/>
        </w:rPr>
        <w:t>ي</w:t>
      </w:r>
      <w:r w:rsidR="00F939B0" w:rsidRPr="00282AC9">
        <w:rPr>
          <w:rFonts w:ascii="Sakkal Majalla" w:hAnsi="Sakkal Majalla" w:cs="AL-Mohanad" w:hint="cs"/>
          <w:sz w:val="27"/>
          <w:szCs w:val="27"/>
          <w:rtl/>
        </w:rPr>
        <w:t>مكن الاعتماد عل</w:t>
      </w:r>
      <w:r w:rsidR="00F939B0" w:rsidRPr="00282AC9">
        <w:rPr>
          <w:rFonts w:cs="AL-Mohanad" w:hint="cs"/>
          <w:sz w:val="27"/>
          <w:szCs w:val="27"/>
          <w:rtl/>
        </w:rPr>
        <w:t>ي</w:t>
      </w:r>
      <w:r w:rsidR="00F939B0" w:rsidRPr="00282AC9">
        <w:rPr>
          <w:rFonts w:ascii="Sakkal Majalla" w:hAnsi="Sakkal Majalla" w:cs="AL-Mohanad" w:hint="cs"/>
          <w:sz w:val="27"/>
          <w:szCs w:val="27"/>
          <w:rtl/>
        </w:rPr>
        <w:t>ها</w:t>
      </w:r>
      <w:r w:rsidR="00864287" w:rsidRPr="00282AC9">
        <w:rPr>
          <w:rFonts w:ascii="Sakkal Majalla" w:hAnsi="Sakkal Majalla"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فبعضها ظاهرة في أنّ الجمع كان في زمن عثمان، </w:t>
      </w:r>
      <w:r w:rsidRPr="00282AC9">
        <w:rPr>
          <w:rFonts w:ascii="Sakkal Majalla" w:hAnsi="Sakkal Majalla" w:cs="AL-Mohanad"/>
          <w:sz w:val="27"/>
          <w:szCs w:val="27"/>
          <w:rtl/>
        </w:rPr>
        <w:t>كروا</w:t>
      </w:r>
      <w:r w:rsidRPr="00282AC9">
        <w:rPr>
          <w:rFonts w:cs="AL-Mohanad" w:hint="cs"/>
          <w:sz w:val="27"/>
          <w:szCs w:val="27"/>
          <w:rtl/>
        </w:rPr>
        <w:t>ي</w:t>
      </w:r>
      <w:r w:rsidRPr="00282AC9">
        <w:rPr>
          <w:rFonts w:ascii="Sakkal Majalla" w:hAnsi="Sakkal Majalla" w:cs="AL-Mohanad" w:hint="cs"/>
          <w:sz w:val="27"/>
          <w:szCs w:val="27"/>
          <w:rtl/>
        </w:rPr>
        <w:t>ة ا</w:t>
      </w:r>
      <w:r w:rsidRPr="00282AC9">
        <w:rPr>
          <w:rFonts w:ascii="Sakkal Majalla" w:hAnsi="Sakkal Majalla" w:cs="AL-Mohanad"/>
          <w:sz w:val="27"/>
          <w:szCs w:val="27"/>
          <w:rtl/>
        </w:rPr>
        <w:t>بن شهاب أن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أنس بن مالك حد</w:t>
      </w:r>
      <w:r w:rsidRPr="00282AC9">
        <w:rPr>
          <w:rFonts w:ascii="Sakkal Majalla" w:hAnsi="Sakkal Majalla" w:cs="AL-Mohanad" w:hint="cs"/>
          <w:sz w:val="27"/>
          <w:szCs w:val="27"/>
          <w:rtl/>
        </w:rPr>
        <w:t>َّ</w:t>
      </w:r>
      <w:r w:rsidRPr="00282AC9">
        <w:rPr>
          <w:rFonts w:ascii="Sakkal Majalla" w:hAnsi="Sakkal Majalla" w:cs="AL-Mohanad"/>
          <w:sz w:val="27"/>
          <w:szCs w:val="27"/>
          <w:rtl/>
        </w:rPr>
        <w:t>ثه</w:t>
      </w:r>
      <w:r w:rsidR="00864287" w:rsidRPr="00282AC9">
        <w:rPr>
          <w:rFonts w:ascii="Sakkal Majalla" w:hAnsi="Sakkal Majalla" w:cs="AL-Mohanad" w:hint="cs"/>
          <w:sz w:val="27"/>
          <w:szCs w:val="27"/>
          <w:rtl/>
        </w:rPr>
        <w:t xml:space="preserve"> فقال:</w:t>
      </w:r>
      <w:r w:rsidRPr="00282AC9">
        <w:rPr>
          <w:rFonts w:ascii="Sakkal Majalla" w:hAnsi="Sakkal Majalla" w:cs="AL-Mohanad" w:hint="cs"/>
          <w:sz w:val="27"/>
          <w:szCs w:val="27"/>
          <w:rtl/>
        </w:rPr>
        <w:t xml:space="preserve"> </w:t>
      </w:r>
      <w:r w:rsidR="00864287" w:rsidRPr="00282AC9">
        <w:rPr>
          <w:rFonts w:ascii="Sakkal Majalla" w:hAnsi="Sakkal Majalla" w:cs="AL-Mohanad" w:hint="cs"/>
          <w:sz w:val="27"/>
          <w:szCs w:val="27"/>
          <w:rtl/>
        </w:rPr>
        <w:t>إنّ</w:t>
      </w:r>
      <w:r w:rsidRPr="00282AC9">
        <w:rPr>
          <w:rFonts w:ascii="Sakkal Majalla" w:hAnsi="Sakkal Majalla" w:cs="AL-Mohanad"/>
          <w:sz w:val="27"/>
          <w:szCs w:val="27"/>
          <w:rtl/>
        </w:rPr>
        <w:t xml:space="preserve"> حذيفة بن اليمان قدم على عثمان، وكان يغازي أهل الشام في فتح أرمينية وأذربيجان مع أهل العراق</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فزع حذيفة </w:t>
      </w:r>
      <w:r w:rsidRPr="00282AC9">
        <w:rPr>
          <w:rFonts w:ascii="Sakkal Majalla" w:hAnsi="Sakkal Majalla" w:cs="AL-Mohanad" w:hint="cs"/>
          <w:sz w:val="27"/>
          <w:szCs w:val="27"/>
          <w:rtl/>
        </w:rPr>
        <w:t>ا</w:t>
      </w:r>
      <w:r w:rsidRPr="00282AC9">
        <w:rPr>
          <w:rFonts w:ascii="Sakkal Majalla" w:hAnsi="Sakkal Majalla" w:cs="AL-Mohanad"/>
          <w:sz w:val="27"/>
          <w:szCs w:val="27"/>
          <w:rtl/>
        </w:rPr>
        <w:t>ختلافهم في القراءة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فقال حذيفة لعثمان:</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يا أمير المؤمنين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أدرك هذه الأمة قبل أن يختلفوا في الكتاب اختلاف اليهود والنصارى، فأرسل عثمان إلى حفصة أن أرسلي إلينا بالصحف ننسخها في المصاحف، ثم</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نرد</w:t>
      </w:r>
      <w:r w:rsidRPr="00282AC9">
        <w:rPr>
          <w:rFonts w:ascii="Sakkal Majalla" w:hAnsi="Sakkal Majalla" w:cs="AL-Mohanad" w:hint="cs"/>
          <w:sz w:val="27"/>
          <w:szCs w:val="27"/>
          <w:rtl/>
        </w:rPr>
        <w:t>ّ</w:t>
      </w:r>
      <w:r w:rsidRPr="00282AC9">
        <w:rPr>
          <w:rFonts w:ascii="Sakkal Majalla" w:hAnsi="Sakkal Majalla" w:cs="AL-Mohanad"/>
          <w:sz w:val="27"/>
          <w:szCs w:val="27"/>
          <w:rtl/>
        </w:rPr>
        <w:t>ها إليك، فأرسل</w:t>
      </w:r>
      <w:r w:rsidR="00864287" w:rsidRPr="00282AC9">
        <w:rPr>
          <w:rFonts w:ascii="Sakkal Majalla" w:hAnsi="Sakkal Majalla" w:cs="AL-Mohanad" w:hint="cs"/>
          <w:sz w:val="27"/>
          <w:szCs w:val="27"/>
          <w:rtl/>
        </w:rPr>
        <w:t>َ</w:t>
      </w:r>
      <w:r w:rsidRPr="00282AC9">
        <w:rPr>
          <w:rFonts w:ascii="Sakkal Majalla" w:hAnsi="Sakkal Majalla" w:cs="AL-Mohanad"/>
          <w:sz w:val="27"/>
          <w:szCs w:val="27"/>
          <w:rtl/>
        </w:rPr>
        <w:t>ت</w:t>
      </w:r>
      <w:r w:rsidR="00864287"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بها حفصة إلى عثمان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فأمر زيد بن ثابت، وعبد الله بن الزبير، وسعيد بن العاص، وعبد الرحمن بن الحرث بن هشام، فنسخوها في المصاحف، وقال عثمان للرهط القرشيين الثلاثة: إذا </w:t>
      </w:r>
      <w:r w:rsidRPr="00282AC9">
        <w:rPr>
          <w:rFonts w:ascii="Sakkal Majalla" w:hAnsi="Sakkal Majalla" w:cs="AL-Mohanad" w:hint="cs"/>
          <w:sz w:val="27"/>
          <w:szCs w:val="27"/>
          <w:rtl/>
        </w:rPr>
        <w:t>ا</w:t>
      </w:r>
      <w:r w:rsidRPr="00282AC9">
        <w:rPr>
          <w:rFonts w:ascii="Sakkal Majalla" w:hAnsi="Sakkal Majalla" w:cs="AL-Mohanad"/>
          <w:sz w:val="27"/>
          <w:szCs w:val="27"/>
          <w:rtl/>
        </w:rPr>
        <w:t>ختلفتم أنتم وزيد بن ثابت في ش</w:t>
      </w:r>
      <w:r w:rsidRPr="00282AC9">
        <w:rPr>
          <w:rFonts w:ascii="Sakkal Majalla" w:hAnsi="Sakkal Majalla" w:cs="AL-Mohanad" w:hint="cs"/>
          <w:sz w:val="27"/>
          <w:szCs w:val="27"/>
          <w:rtl/>
        </w:rPr>
        <w:t>يءٍ</w:t>
      </w:r>
      <w:r w:rsidRPr="00282AC9">
        <w:rPr>
          <w:rFonts w:ascii="Sakkal Majalla" w:hAnsi="Sakkal Majalla" w:cs="AL-Mohanad"/>
          <w:sz w:val="27"/>
          <w:szCs w:val="27"/>
          <w:rtl/>
        </w:rPr>
        <w:t xml:space="preserve"> من القرآن ف</w:t>
      </w:r>
      <w:r w:rsidRPr="00282AC9">
        <w:rPr>
          <w:rFonts w:ascii="Sakkal Majalla" w:hAnsi="Sakkal Majalla" w:cs="AL-Mohanad" w:hint="cs"/>
          <w:sz w:val="27"/>
          <w:szCs w:val="27"/>
          <w:rtl/>
        </w:rPr>
        <w:t>ا</w:t>
      </w:r>
      <w:r w:rsidRPr="00282AC9">
        <w:rPr>
          <w:rFonts w:ascii="Sakkal Majalla" w:hAnsi="Sakkal Majalla" w:cs="AL-Mohanad"/>
          <w:sz w:val="27"/>
          <w:szCs w:val="27"/>
          <w:rtl/>
        </w:rPr>
        <w:t>كتبوه بلسان قريش</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فإنما نزل بلسانهم، ففعلوا حت</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ى إذا نسخوا الصحف في المصاحف ردّ عثمان الصحف </w:t>
      </w:r>
      <w:r w:rsidRPr="00282AC9">
        <w:rPr>
          <w:rFonts w:ascii="Sakkal Majalla" w:hAnsi="Sakkal Majalla" w:cs="AL-Mohanad" w:hint="cs"/>
          <w:sz w:val="27"/>
          <w:szCs w:val="27"/>
          <w:rtl/>
        </w:rPr>
        <w:t>إ</w:t>
      </w:r>
      <w:r w:rsidRPr="00282AC9">
        <w:rPr>
          <w:rFonts w:ascii="Sakkal Majalla" w:hAnsi="Sakkal Majalla" w:cs="AL-Mohanad"/>
          <w:sz w:val="27"/>
          <w:szCs w:val="27"/>
          <w:rtl/>
        </w:rPr>
        <w:t>لى حفصة، فأرسل إلى كل</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أفق</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بمصحف مم</w:t>
      </w:r>
      <w:r w:rsidRPr="00282AC9">
        <w:rPr>
          <w:rFonts w:ascii="Sakkal Majalla" w:hAnsi="Sakkal Majalla" w:cs="AL-Mohanad" w:hint="cs"/>
          <w:sz w:val="27"/>
          <w:szCs w:val="27"/>
          <w:rtl/>
        </w:rPr>
        <w:t>ّ</w:t>
      </w:r>
      <w:r w:rsidRPr="00282AC9">
        <w:rPr>
          <w:rFonts w:ascii="Sakkal Majalla" w:hAnsi="Sakkal Majalla" w:cs="AL-Mohanad"/>
          <w:sz w:val="27"/>
          <w:szCs w:val="27"/>
          <w:rtl/>
        </w:rPr>
        <w:t>ا نسخوا، وأمر بما سواه من القرآن في كل</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صحيفة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أو مصحف</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أن يحرق</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52"/>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وبعضها الآخر صر</w:t>
      </w:r>
      <w:r w:rsidRPr="00282AC9">
        <w:rPr>
          <w:rFonts w:cs="AL-Mohanad" w:hint="cs"/>
          <w:sz w:val="27"/>
          <w:szCs w:val="27"/>
          <w:rtl/>
        </w:rPr>
        <w:t>ي</w:t>
      </w:r>
      <w:r w:rsidRPr="00282AC9">
        <w:rPr>
          <w:rFonts w:ascii="Sakkal Majalla" w:hAnsi="Sakkal Majalla" w:cs="AL-Mohanad" w:hint="cs"/>
          <w:sz w:val="27"/>
          <w:szCs w:val="27"/>
          <w:rtl/>
        </w:rPr>
        <w:t>حةٌ في أنّه حصل في عهد أب</w:t>
      </w:r>
      <w:r w:rsidRPr="00282AC9">
        <w:rPr>
          <w:rFonts w:cs="AL-Mohanad" w:hint="cs"/>
          <w:sz w:val="27"/>
          <w:szCs w:val="27"/>
          <w:rtl/>
        </w:rPr>
        <w:t>ي</w:t>
      </w:r>
      <w:r w:rsidRPr="00282AC9">
        <w:rPr>
          <w:rFonts w:ascii="Sakkal Majalla" w:hAnsi="Sakkal Majalla" w:cs="AL-Mohanad" w:hint="cs"/>
          <w:sz w:val="27"/>
          <w:szCs w:val="27"/>
          <w:rtl/>
        </w:rPr>
        <w:t xml:space="preserve"> بكر، بعدما أشار إل</w:t>
      </w:r>
      <w:r w:rsidRPr="00282AC9">
        <w:rPr>
          <w:rFonts w:cs="AL-Mohanad" w:hint="cs"/>
          <w:sz w:val="27"/>
          <w:szCs w:val="27"/>
          <w:rtl/>
        </w:rPr>
        <w:t>ي</w:t>
      </w:r>
      <w:r w:rsidRPr="00282AC9">
        <w:rPr>
          <w:rFonts w:ascii="Sakkal Majalla" w:hAnsi="Sakkal Majalla" w:cs="AL-Mohanad" w:hint="cs"/>
          <w:sz w:val="27"/>
          <w:szCs w:val="27"/>
          <w:rtl/>
        </w:rPr>
        <w:t>ه عمر بن الخطّاب من قتل كث</w:t>
      </w:r>
      <w:r w:rsidRPr="00282AC9">
        <w:rPr>
          <w:rFonts w:cs="AL-Mohanad" w:hint="cs"/>
          <w:sz w:val="27"/>
          <w:szCs w:val="27"/>
          <w:rtl/>
        </w:rPr>
        <w:t>ي</w:t>
      </w:r>
      <w:r w:rsidRPr="00282AC9">
        <w:rPr>
          <w:rFonts w:ascii="Sakkal Majalla" w:hAnsi="Sakkal Majalla" w:cs="AL-Mohanad" w:hint="cs"/>
          <w:sz w:val="27"/>
          <w:szCs w:val="27"/>
          <w:rtl/>
        </w:rPr>
        <w:t xml:space="preserve">رٍ من القرّاء وحَمَلة القرآن </w:t>
      </w:r>
      <w:r w:rsidRPr="00282AC9">
        <w:rPr>
          <w:rFonts w:cs="AL-Mohanad" w:hint="cs"/>
          <w:sz w:val="27"/>
          <w:szCs w:val="27"/>
          <w:rtl/>
        </w:rPr>
        <w:t>ي</w:t>
      </w:r>
      <w:r w:rsidRPr="00282AC9">
        <w:rPr>
          <w:rFonts w:ascii="Sakkal Majalla" w:hAnsi="Sakkal Majalla" w:cs="AL-Mohanad" w:hint="cs"/>
          <w:sz w:val="27"/>
          <w:szCs w:val="27"/>
          <w:rtl/>
        </w:rPr>
        <w:t>وم ال</w:t>
      </w:r>
      <w:r w:rsidRPr="00282AC9">
        <w:rPr>
          <w:rFonts w:cs="AL-Mohanad" w:hint="cs"/>
          <w:sz w:val="27"/>
          <w:szCs w:val="27"/>
          <w:rtl/>
        </w:rPr>
        <w:t>ي</w:t>
      </w:r>
      <w:r w:rsidRPr="00282AC9">
        <w:rPr>
          <w:rFonts w:ascii="Sakkal Majalla" w:hAnsi="Sakkal Majalla" w:cs="AL-Mohanad" w:hint="cs"/>
          <w:sz w:val="27"/>
          <w:szCs w:val="27"/>
          <w:rtl/>
        </w:rPr>
        <w:t xml:space="preserve">مامة. وقد مرّ ذكر بعض تلك الأخبار. </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وبعضها ذكر</w:t>
      </w:r>
      <w:r w:rsidR="00864287" w:rsidRPr="00282AC9">
        <w:rPr>
          <w:rFonts w:ascii="Sakkal Majalla" w:hAnsi="Sakkal Majalla" w:cs="AL-Mohanad" w:hint="cs"/>
          <w:sz w:val="27"/>
          <w:szCs w:val="27"/>
          <w:rtl/>
        </w:rPr>
        <w:t>َ</w:t>
      </w:r>
      <w:r w:rsidRPr="00282AC9">
        <w:rPr>
          <w:rFonts w:ascii="Sakkal Majalla" w:hAnsi="Sakkal Majalla" w:cs="AL-Mohanad" w:hint="cs"/>
          <w:sz w:val="27"/>
          <w:szCs w:val="27"/>
          <w:rtl/>
        </w:rPr>
        <w:t>ت</w:t>
      </w:r>
      <w:r w:rsidR="0086428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أنّه حصل ذلك في زمن عمر بن الخط</w:t>
      </w:r>
      <w:r w:rsidR="00864287" w:rsidRPr="00282AC9">
        <w:rPr>
          <w:rFonts w:ascii="Sakkal Majalla" w:hAnsi="Sakkal Majalla" w:cs="AL-Mohanad" w:hint="cs"/>
          <w:sz w:val="27"/>
          <w:szCs w:val="27"/>
          <w:rtl/>
        </w:rPr>
        <w:t>ّ</w:t>
      </w:r>
      <w:r w:rsidRPr="00282AC9">
        <w:rPr>
          <w:rFonts w:ascii="Sakkal Majalla" w:hAnsi="Sakkal Majalla" w:cs="AL-Mohanad" w:hint="cs"/>
          <w:sz w:val="27"/>
          <w:szCs w:val="27"/>
          <w:rtl/>
        </w:rPr>
        <w:t>اب، فقد كتب مصاحف أربعة، فأرسل واحداً إلى البصرة والثان</w:t>
      </w:r>
      <w:r w:rsidRPr="00282AC9">
        <w:rPr>
          <w:rFonts w:cs="AL-Mohanad" w:hint="cs"/>
          <w:sz w:val="27"/>
          <w:szCs w:val="27"/>
          <w:rtl/>
        </w:rPr>
        <w:t>ي</w:t>
      </w:r>
      <w:r w:rsidRPr="00282AC9">
        <w:rPr>
          <w:rFonts w:ascii="Sakkal Majalla" w:hAnsi="Sakkal Majalla" w:cs="AL-Mohanad" w:hint="cs"/>
          <w:sz w:val="27"/>
          <w:szCs w:val="27"/>
          <w:rtl/>
        </w:rPr>
        <w:t xml:space="preserve"> إلى الشام والثالث إلى الكوفة والرابع إلى الحجاز. وقد جاء عن أب</w:t>
      </w:r>
      <w:r w:rsidRPr="00282AC9">
        <w:rPr>
          <w:rFonts w:cs="AL-Mohanad" w:hint="cs"/>
          <w:sz w:val="27"/>
          <w:szCs w:val="27"/>
          <w:rtl/>
        </w:rPr>
        <w:t>ي</w:t>
      </w:r>
      <w:r w:rsidRPr="00282AC9">
        <w:rPr>
          <w:rFonts w:ascii="Sakkal Majalla" w:hAnsi="Sakkal Majalla" w:cs="AL-Mohanad" w:hint="cs"/>
          <w:sz w:val="27"/>
          <w:szCs w:val="27"/>
          <w:rtl/>
        </w:rPr>
        <w:t xml:space="preserve"> إسحاق، عن بعض الصحابة قال:</w:t>
      </w:r>
      <w:r w:rsidRPr="00282AC9">
        <w:rPr>
          <w:rFonts w:ascii="Traditional Arabic" w:hAnsi="Traditional Arabic" w:cs="AL-Mohanad" w:hint="cs"/>
          <w:sz w:val="27"/>
          <w:szCs w:val="27"/>
          <w:rtl/>
        </w:rPr>
        <w:t xml:space="preserve"> </w:t>
      </w:r>
      <w:r w:rsidRPr="00282AC9">
        <w:rPr>
          <w:rFonts w:ascii="Sakkal Majalla" w:hAnsi="Sakkal Majalla" w:cs="AL-Mohanad"/>
          <w:sz w:val="27"/>
          <w:szCs w:val="27"/>
          <w:rtl/>
        </w:rPr>
        <w:t>لما جمع عمر بن الخط</w:t>
      </w:r>
      <w:r w:rsidRPr="00282AC9">
        <w:rPr>
          <w:rFonts w:ascii="Sakkal Majalla" w:hAnsi="Sakkal Majalla" w:cs="AL-Mohanad" w:hint="cs"/>
          <w:sz w:val="27"/>
          <w:szCs w:val="27"/>
          <w:rtl/>
        </w:rPr>
        <w:t>ّ</w:t>
      </w:r>
      <w:r w:rsidRPr="00282AC9">
        <w:rPr>
          <w:rFonts w:ascii="Sakkal Majalla" w:hAnsi="Sakkal Majalla" w:cs="AL-Mohanad"/>
          <w:sz w:val="27"/>
          <w:szCs w:val="27"/>
          <w:rtl/>
        </w:rPr>
        <w:t>اب المصحف سأل: م</w:t>
      </w:r>
      <w:r w:rsidRPr="00282AC9">
        <w:rPr>
          <w:rFonts w:ascii="Sakkal Majalla" w:hAnsi="Sakkal Majalla" w:cs="AL-Mohanad" w:hint="cs"/>
          <w:sz w:val="27"/>
          <w:szCs w:val="27"/>
          <w:rtl/>
        </w:rPr>
        <w:t>َ</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أعرب الناس؟ قيل: سعيد بن العاص</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فقال: م</w:t>
      </w:r>
      <w:r w:rsidRPr="00282AC9">
        <w:rPr>
          <w:rFonts w:ascii="Sakkal Majalla" w:hAnsi="Sakkal Majalla" w:cs="AL-Mohanad" w:hint="cs"/>
          <w:sz w:val="27"/>
          <w:szCs w:val="27"/>
          <w:rtl/>
        </w:rPr>
        <w:t>َ</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أكتب الناس؟ فقيل: زيد بن ثابت</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قال: فلي</w:t>
      </w:r>
      <w:r w:rsidRPr="00282AC9">
        <w:rPr>
          <w:rFonts w:ascii="Sakkal Majalla" w:hAnsi="Sakkal Majalla" w:cs="AL-Mohanad" w:hint="cs"/>
          <w:sz w:val="27"/>
          <w:szCs w:val="27"/>
          <w:rtl/>
        </w:rPr>
        <w:t>ُ</w:t>
      </w:r>
      <w:r w:rsidRPr="00282AC9">
        <w:rPr>
          <w:rFonts w:ascii="Sakkal Majalla" w:hAnsi="Sakkal Majalla" w:cs="AL-Mohanad"/>
          <w:sz w:val="27"/>
          <w:szCs w:val="27"/>
          <w:rtl/>
        </w:rPr>
        <w:t>م</w:t>
      </w:r>
      <w:r w:rsidRPr="00282AC9">
        <w:rPr>
          <w:rFonts w:ascii="Sakkal Majalla" w:hAnsi="Sakkal Majalla" w:cs="AL-Mohanad" w:hint="cs"/>
          <w:sz w:val="27"/>
          <w:szCs w:val="27"/>
          <w:rtl/>
        </w:rPr>
        <w:t>ْ</w:t>
      </w:r>
      <w:r w:rsidRPr="00282AC9">
        <w:rPr>
          <w:rFonts w:ascii="Sakkal Majalla" w:hAnsi="Sakkal Majalla" w:cs="AL-Mohanad"/>
          <w:sz w:val="27"/>
          <w:szCs w:val="27"/>
          <w:rtl/>
        </w:rPr>
        <w:t>ل</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سعيد</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وليكتب زيد</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فكتبوا مصاحف أربعة، </w:t>
      </w:r>
      <w:r w:rsidRPr="00282AC9">
        <w:rPr>
          <w:rFonts w:ascii="Sakkal Majalla" w:hAnsi="Sakkal Majalla" w:cs="AL-Mohanad"/>
          <w:sz w:val="27"/>
          <w:szCs w:val="27"/>
          <w:rtl/>
        </w:rPr>
        <w:lastRenderedPageBreak/>
        <w:t>فأنفذ مصحفا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منها إلى الكوفة، ومصحفا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إلى البصرة، ومصحفا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إلى الشام، ومصحفا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إلى الحجاز</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53"/>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F939B0" w:rsidRPr="00282AC9" w:rsidRDefault="00F939B0" w:rsidP="001D1A88">
      <w:pPr>
        <w:rPr>
          <w:rFonts w:ascii="Sakkal Majalla" w:hAnsi="Sakkal Majalla"/>
          <w:sz w:val="27"/>
          <w:rtl/>
        </w:rPr>
      </w:pPr>
      <w:r w:rsidRPr="00282AC9">
        <w:rPr>
          <w:rFonts w:ascii="Sakkal Majalla" w:hAnsi="Sakkal Majalla" w:hint="cs"/>
          <w:sz w:val="27"/>
          <w:rtl/>
        </w:rPr>
        <w:t>وعل</w:t>
      </w:r>
      <w:r w:rsidRPr="00282AC9">
        <w:rPr>
          <w:rFonts w:ascii="Times New Roman" w:hAnsi="Times New Roman" w:hint="cs"/>
          <w:sz w:val="27"/>
          <w:rtl/>
        </w:rPr>
        <w:t>ى</w:t>
      </w:r>
      <w:r w:rsidRPr="00282AC9">
        <w:rPr>
          <w:rFonts w:ascii="Sakkal Majalla" w:hAnsi="Sakkal Majalla" w:hint="cs"/>
          <w:sz w:val="27"/>
          <w:rtl/>
        </w:rPr>
        <w:t xml:space="preserve"> هذا الأساس لا </w:t>
      </w:r>
      <w:r w:rsidRPr="00282AC9">
        <w:rPr>
          <w:rFonts w:ascii="Times New Roman" w:hAnsi="Times New Roman" w:hint="cs"/>
          <w:sz w:val="27"/>
          <w:rtl/>
        </w:rPr>
        <w:t>ي</w:t>
      </w:r>
      <w:r w:rsidRPr="00282AC9">
        <w:rPr>
          <w:rFonts w:ascii="Sakkal Majalla" w:hAnsi="Sakkal Majalla" w:hint="cs"/>
          <w:sz w:val="27"/>
          <w:rtl/>
        </w:rPr>
        <w:t>مكن الاعتماد والأخذ بهذه الروا</w:t>
      </w:r>
      <w:r w:rsidRPr="00282AC9">
        <w:rPr>
          <w:rFonts w:ascii="Times New Roman" w:hAnsi="Times New Roman" w:hint="cs"/>
          <w:sz w:val="27"/>
          <w:rtl/>
        </w:rPr>
        <w:t>ي</w:t>
      </w:r>
      <w:r w:rsidRPr="00282AC9">
        <w:rPr>
          <w:rFonts w:ascii="Sakkal Majalla" w:hAnsi="Sakkal Majalla" w:hint="cs"/>
          <w:sz w:val="27"/>
          <w:rtl/>
        </w:rPr>
        <w:t>ات؛ فإنّ التعارض القائم ب</w:t>
      </w:r>
      <w:r w:rsidRPr="00282AC9">
        <w:rPr>
          <w:rFonts w:ascii="Times New Roman" w:hAnsi="Times New Roman" w:hint="cs"/>
          <w:sz w:val="27"/>
          <w:rtl/>
        </w:rPr>
        <w:t>ي</w:t>
      </w:r>
      <w:r w:rsidRPr="00282AC9">
        <w:rPr>
          <w:rFonts w:ascii="Sakkal Majalla" w:hAnsi="Sakkal Majalla" w:hint="cs"/>
          <w:sz w:val="27"/>
          <w:rtl/>
        </w:rPr>
        <w:t xml:space="preserve">نها </w:t>
      </w:r>
      <w:r w:rsidRPr="00282AC9">
        <w:rPr>
          <w:rFonts w:ascii="Times New Roman" w:hAnsi="Times New Roman" w:hint="cs"/>
          <w:sz w:val="27"/>
          <w:rtl/>
        </w:rPr>
        <w:t>ي</w:t>
      </w:r>
      <w:r w:rsidRPr="00282AC9">
        <w:rPr>
          <w:rFonts w:ascii="Sakkal Majalla" w:hAnsi="Sakkal Majalla" w:hint="cs"/>
          <w:sz w:val="27"/>
          <w:rtl/>
        </w:rPr>
        <w:t>سقطها عن الاعتبار والاحتجاج بها</w:t>
      </w:r>
      <w:r w:rsidRPr="00282AC9">
        <w:rPr>
          <w:rFonts w:ascii="Sakkal Majalla" w:hAnsi="Sakkal Majalla"/>
          <w:sz w:val="27"/>
          <w:vertAlign w:val="superscript"/>
          <w:rtl/>
        </w:rPr>
        <w:t>(</w:t>
      </w:r>
      <w:r w:rsidRPr="00282AC9">
        <w:rPr>
          <w:rStyle w:val="af9"/>
          <w:rFonts w:ascii="Sakkal Majalla" w:hAnsi="Sakkal Majalla"/>
          <w:sz w:val="27"/>
          <w:rtl/>
        </w:rPr>
        <w:endnoteReference w:id="854"/>
      </w:r>
      <w:r w:rsidRPr="00282AC9">
        <w:rPr>
          <w:rFonts w:ascii="Sakkal Majalla" w:hAnsi="Sakkal Majalla"/>
          <w:sz w:val="27"/>
          <w:vertAlign w:val="superscript"/>
          <w:rtl/>
        </w:rPr>
        <w:t>)</w:t>
      </w:r>
      <w:r w:rsidRPr="00282AC9">
        <w:rPr>
          <w:rFonts w:ascii="Sakkal Majalla" w:hAnsi="Sakkal Majalla" w:hint="cs"/>
          <w:sz w:val="27"/>
          <w:rtl/>
        </w:rPr>
        <w:t>.</w:t>
      </w:r>
    </w:p>
    <w:p w:rsidR="00EF541F" w:rsidRPr="00282AC9" w:rsidRDefault="00EF541F" w:rsidP="00EF541F">
      <w:pPr>
        <w:spacing w:line="420" w:lineRule="exact"/>
        <w:rPr>
          <w:sz w:val="27"/>
          <w:rtl/>
        </w:rPr>
      </w:pPr>
    </w:p>
    <w:p w:rsidR="00376D03" w:rsidRPr="00282AC9" w:rsidRDefault="00F939B0" w:rsidP="00376D03">
      <w:pPr>
        <w:pStyle w:val="31"/>
        <w:rPr>
          <w:color w:val="auto"/>
          <w:rtl/>
        </w:rPr>
      </w:pPr>
      <w:r w:rsidRPr="00282AC9">
        <w:rPr>
          <w:rFonts w:hint="cs"/>
          <w:color w:val="auto"/>
          <w:rtl/>
        </w:rPr>
        <w:t>ج ـ</w:t>
      </w:r>
      <w:r w:rsidRPr="00282AC9">
        <w:rPr>
          <w:rFonts w:hint="cs"/>
          <w:b/>
          <w:color w:val="auto"/>
          <w:rtl/>
        </w:rPr>
        <w:t xml:space="preserve"> </w:t>
      </w:r>
      <w:r w:rsidR="00376D03" w:rsidRPr="00282AC9">
        <w:rPr>
          <w:rFonts w:hint="cs"/>
          <w:color w:val="auto"/>
          <w:rtl/>
        </w:rPr>
        <w:t>وجود المعارِ</w:t>
      </w:r>
      <w:r w:rsidRPr="00282AC9">
        <w:rPr>
          <w:rFonts w:hint="cs"/>
          <w:color w:val="auto"/>
          <w:rtl/>
        </w:rPr>
        <w:t>ض</w:t>
      </w:r>
    </w:p>
    <w:p w:rsidR="00F939B0" w:rsidRPr="00282AC9" w:rsidRDefault="00F939B0" w:rsidP="001D1A88">
      <w:pPr>
        <w:rPr>
          <w:rFonts w:ascii="Sakkal Majalla" w:hAnsi="Sakkal Majalla"/>
          <w:sz w:val="27"/>
          <w:rtl/>
        </w:rPr>
      </w:pPr>
      <w:r w:rsidRPr="00282AC9">
        <w:rPr>
          <w:rFonts w:ascii="Sakkal Majalla" w:hAnsi="Sakkal Majalla" w:hint="cs"/>
          <w:sz w:val="27"/>
          <w:rtl/>
        </w:rPr>
        <w:t>وهو ما جاء عن أهل ب</w:t>
      </w:r>
      <w:r w:rsidRPr="00282AC9">
        <w:rPr>
          <w:rFonts w:ascii="Times New Roman" w:hAnsi="Times New Roman" w:hint="cs"/>
          <w:sz w:val="27"/>
          <w:rtl/>
        </w:rPr>
        <w:t>ي</w:t>
      </w:r>
      <w:r w:rsidRPr="00282AC9">
        <w:rPr>
          <w:rFonts w:ascii="Sakkal Majalla" w:hAnsi="Sakkal Majalla" w:hint="cs"/>
          <w:sz w:val="27"/>
          <w:rtl/>
        </w:rPr>
        <w:t>ت العصمة</w:t>
      </w:r>
      <w:r w:rsidR="00876ECA" w:rsidRPr="00282AC9">
        <w:rPr>
          <w:rFonts w:cs="Mosawi" w:hint="cs"/>
          <w:sz w:val="22"/>
          <w:szCs w:val="22"/>
          <w:rtl/>
        </w:rPr>
        <w:t>^</w:t>
      </w:r>
      <w:r w:rsidRPr="00282AC9">
        <w:rPr>
          <w:rFonts w:ascii="Sakkal Majalla" w:hAnsi="Sakkal Majalla" w:hint="cs"/>
          <w:sz w:val="27"/>
          <w:rtl/>
        </w:rPr>
        <w:t>، بل الروا</w:t>
      </w:r>
      <w:r w:rsidRPr="00282AC9">
        <w:rPr>
          <w:rFonts w:ascii="Times New Roman" w:hAnsi="Times New Roman" w:hint="cs"/>
          <w:sz w:val="27"/>
          <w:rtl/>
        </w:rPr>
        <w:t>ي</w:t>
      </w:r>
      <w:r w:rsidRPr="00282AC9">
        <w:rPr>
          <w:rFonts w:ascii="Sakkal Majalla" w:hAnsi="Sakkal Majalla" w:hint="cs"/>
          <w:sz w:val="27"/>
          <w:rtl/>
        </w:rPr>
        <w:t>ات المستف</w:t>
      </w:r>
      <w:r w:rsidRPr="00282AC9">
        <w:rPr>
          <w:rFonts w:ascii="Times New Roman" w:hAnsi="Times New Roman" w:hint="cs"/>
          <w:sz w:val="27"/>
          <w:rtl/>
        </w:rPr>
        <w:t>ي</w:t>
      </w:r>
      <w:r w:rsidRPr="00282AC9">
        <w:rPr>
          <w:rFonts w:ascii="Sakkal Majalla" w:hAnsi="Sakkal Majalla" w:hint="cs"/>
          <w:sz w:val="27"/>
          <w:rtl/>
        </w:rPr>
        <w:t>ضة الأخر</w:t>
      </w:r>
      <w:r w:rsidRPr="00282AC9">
        <w:rPr>
          <w:rFonts w:ascii="Times New Roman" w:hAnsi="Times New Roman" w:hint="cs"/>
          <w:sz w:val="27"/>
          <w:rtl/>
        </w:rPr>
        <w:t>ى،</w:t>
      </w:r>
      <w:r w:rsidRPr="00282AC9">
        <w:rPr>
          <w:rFonts w:ascii="Sakkal Majalla" w:hAnsi="Sakkal Majalla" w:hint="cs"/>
          <w:sz w:val="27"/>
          <w:rtl/>
        </w:rPr>
        <w:t xml:space="preserve"> التي وردت عن طر</w:t>
      </w:r>
      <w:r w:rsidRPr="00282AC9">
        <w:rPr>
          <w:rFonts w:ascii="Times New Roman" w:hAnsi="Times New Roman" w:hint="cs"/>
          <w:sz w:val="27"/>
          <w:rtl/>
        </w:rPr>
        <w:t>ي</w:t>
      </w:r>
      <w:r w:rsidRPr="00282AC9">
        <w:rPr>
          <w:rFonts w:ascii="Sakkal Majalla" w:hAnsi="Sakkal Majalla" w:hint="cs"/>
          <w:sz w:val="27"/>
          <w:rtl/>
        </w:rPr>
        <w:t>ق العامّة، تؤكِّد أنّ القرآن كُتب ف</w:t>
      </w:r>
      <w:r w:rsidRPr="00282AC9">
        <w:rPr>
          <w:rFonts w:ascii="Times New Roman" w:hAnsi="Times New Roman" w:hint="cs"/>
          <w:sz w:val="27"/>
          <w:rtl/>
        </w:rPr>
        <w:t>ي</w:t>
      </w:r>
      <w:r w:rsidRPr="00282AC9">
        <w:rPr>
          <w:rFonts w:ascii="Sakkal Majalla" w:hAnsi="Sakkal Majalla" w:hint="cs"/>
          <w:sz w:val="27"/>
          <w:rtl/>
        </w:rPr>
        <w:t xml:space="preserve"> عهد النبيّ</w:t>
      </w:r>
      <w:r w:rsidR="009A2A04" w:rsidRPr="00282AC9">
        <w:rPr>
          <w:rFonts w:ascii="Sakkal Majalla" w:hAnsi="Sakkal Majalla" w:cs="Mosawi" w:hint="cs"/>
          <w:sz w:val="22"/>
          <w:szCs w:val="22"/>
          <w:rtl/>
        </w:rPr>
        <w:t>|</w:t>
      </w:r>
      <w:r w:rsidRPr="00282AC9">
        <w:rPr>
          <w:rFonts w:ascii="Sakkal Majalla" w:hAnsi="Sakkal Majalla" w:hint="cs"/>
          <w:sz w:val="27"/>
          <w:rtl/>
        </w:rPr>
        <w:t>، ومنها:</w:t>
      </w:r>
    </w:p>
    <w:p w:rsidR="00F939B0" w:rsidRPr="00282AC9" w:rsidRDefault="00F939B0" w:rsidP="001D1A88">
      <w:pPr>
        <w:rPr>
          <w:rFonts w:ascii="Sakkal Majalla" w:hAnsi="Sakkal Majalla"/>
          <w:sz w:val="27"/>
          <w:rtl/>
        </w:rPr>
      </w:pPr>
      <w:r w:rsidRPr="00282AC9">
        <w:rPr>
          <w:rFonts w:ascii="Sakkal Majalla" w:hAnsi="Sakkal Majalla" w:hint="cs"/>
          <w:sz w:val="27"/>
          <w:rtl/>
        </w:rPr>
        <w:t>1ـ ما رواه عل</w:t>
      </w:r>
      <w:r w:rsidRPr="00282AC9">
        <w:rPr>
          <w:rFonts w:ascii="Times New Roman" w:hAnsi="Times New Roman" w:hint="cs"/>
          <w:sz w:val="27"/>
          <w:rtl/>
        </w:rPr>
        <w:t>يّ</w:t>
      </w:r>
      <w:r w:rsidRPr="00282AC9">
        <w:rPr>
          <w:rFonts w:ascii="Sakkal Majalla" w:hAnsi="Sakkal Majalla" w:hint="cs"/>
          <w:sz w:val="27"/>
          <w:rtl/>
        </w:rPr>
        <w:t xml:space="preserve"> بن إبراه</w:t>
      </w:r>
      <w:r w:rsidRPr="00282AC9">
        <w:rPr>
          <w:rFonts w:ascii="Times New Roman" w:hAnsi="Times New Roman" w:hint="cs"/>
          <w:sz w:val="27"/>
          <w:rtl/>
        </w:rPr>
        <w:t>ي</w:t>
      </w:r>
      <w:r w:rsidRPr="00282AC9">
        <w:rPr>
          <w:rFonts w:ascii="Sakkal Majalla" w:hAnsi="Sakkal Majalla" w:hint="cs"/>
          <w:sz w:val="27"/>
          <w:rtl/>
        </w:rPr>
        <w:t>م، بسنده إلى أب</w:t>
      </w:r>
      <w:r w:rsidRPr="00282AC9">
        <w:rPr>
          <w:rFonts w:ascii="Times New Roman" w:hAnsi="Times New Roman" w:hint="cs"/>
          <w:sz w:val="27"/>
          <w:rtl/>
        </w:rPr>
        <w:t>ي</w:t>
      </w:r>
      <w:r w:rsidRPr="00282AC9">
        <w:rPr>
          <w:rFonts w:ascii="Sakkal Majalla" w:hAnsi="Sakkal Majalla" w:hint="cs"/>
          <w:sz w:val="27"/>
          <w:rtl/>
        </w:rPr>
        <w:t xml:space="preserve"> بكر الحضرمي، عن أب</w:t>
      </w:r>
      <w:r w:rsidRPr="00282AC9">
        <w:rPr>
          <w:rFonts w:ascii="Times New Roman" w:hAnsi="Times New Roman" w:hint="cs"/>
          <w:sz w:val="27"/>
          <w:rtl/>
        </w:rPr>
        <w:t>ي</w:t>
      </w:r>
      <w:r w:rsidRPr="00282AC9">
        <w:rPr>
          <w:rFonts w:ascii="Sakkal Majalla" w:hAnsi="Sakkal Majalla" w:hint="cs"/>
          <w:sz w:val="27"/>
          <w:rtl/>
        </w:rPr>
        <w:t xml:space="preserve"> عبد الله</w:t>
      </w:r>
      <w:r w:rsidR="009A2A04" w:rsidRPr="00282AC9">
        <w:rPr>
          <w:rFonts w:ascii="Sakkal Majalla" w:hAnsi="Sakkal Majalla" w:cs="Mosawi" w:hint="cs"/>
          <w:sz w:val="22"/>
          <w:szCs w:val="22"/>
          <w:rtl/>
        </w:rPr>
        <w:t>×</w:t>
      </w:r>
      <w:r w:rsidRPr="00282AC9">
        <w:rPr>
          <w:rFonts w:ascii="Sakkal Majalla" w:hAnsi="Sakkal Majalla" w:hint="cs"/>
          <w:sz w:val="27"/>
          <w:rtl/>
        </w:rPr>
        <w:t xml:space="preserve"> قال: إنّ </w:t>
      </w:r>
      <w:r w:rsidRPr="00282AC9">
        <w:rPr>
          <w:rFonts w:ascii="Sakkal Majalla" w:hAnsi="Sakkal Majalla"/>
          <w:sz w:val="27"/>
          <w:rtl/>
        </w:rPr>
        <w:t>رسول الله</w:t>
      </w:r>
      <w:r w:rsidR="009A2A04" w:rsidRPr="00282AC9">
        <w:rPr>
          <w:rFonts w:ascii="Sakkal Majalla" w:hAnsi="Sakkal Majalla" w:cs="Mosawi"/>
          <w:sz w:val="22"/>
          <w:szCs w:val="22"/>
          <w:rtl/>
        </w:rPr>
        <w:t>|</w:t>
      </w:r>
      <w:r w:rsidRPr="00282AC9">
        <w:rPr>
          <w:rFonts w:ascii="Sakkal Majalla" w:hAnsi="Sakkal Majalla"/>
          <w:sz w:val="27"/>
          <w:rtl/>
        </w:rPr>
        <w:t xml:space="preserve"> قال لعلي</w:t>
      </w:r>
      <w:r w:rsidRPr="00282AC9">
        <w:rPr>
          <w:rFonts w:ascii="Sakkal Majalla" w:hAnsi="Sakkal Majalla" w:hint="cs"/>
          <w:sz w:val="27"/>
          <w:rtl/>
        </w:rPr>
        <w:t>ٍّ</w:t>
      </w:r>
      <w:r w:rsidR="009A2A04" w:rsidRPr="00282AC9">
        <w:rPr>
          <w:rFonts w:ascii="Sakkal Majalla" w:hAnsi="Sakkal Majalla" w:cs="Mosawi"/>
          <w:sz w:val="22"/>
          <w:szCs w:val="22"/>
          <w:rtl/>
        </w:rPr>
        <w:t>×</w:t>
      </w:r>
      <w:r w:rsidRPr="00282AC9">
        <w:rPr>
          <w:rFonts w:ascii="Sakkal Majalla" w:hAnsi="Sakkal Majalla"/>
          <w:sz w:val="27"/>
          <w:rtl/>
        </w:rPr>
        <w:t>: القرآن خلف‏ فراشي‏ في الصحف والحرير والقراطيس، فخذوه و</w:t>
      </w:r>
      <w:r w:rsidRPr="00282AC9">
        <w:rPr>
          <w:rFonts w:ascii="Sakkal Majalla" w:hAnsi="Sakkal Majalla" w:hint="cs"/>
          <w:sz w:val="27"/>
          <w:rtl/>
        </w:rPr>
        <w:t>ا</w:t>
      </w:r>
      <w:r w:rsidRPr="00282AC9">
        <w:rPr>
          <w:rFonts w:ascii="Sakkal Majalla" w:hAnsi="Sakkal Majalla"/>
          <w:sz w:val="27"/>
          <w:rtl/>
        </w:rPr>
        <w:t>جمعوه</w:t>
      </w:r>
      <w:r w:rsidRPr="00282AC9">
        <w:rPr>
          <w:rFonts w:ascii="Sakkal Majalla" w:hAnsi="Sakkal Majalla" w:hint="cs"/>
          <w:sz w:val="27"/>
          <w:rtl/>
        </w:rPr>
        <w:t>،</w:t>
      </w:r>
      <w:r w:rsidRPr="00282AC9">
        <w:rPr>
          <w:rFonts w:ascii="Sakkal Majalla" w:hAnsi="Sakkal Majalla"/>
          <w:sz w:val="27"/>
          <w:rtl/>
        </w:rPr>
        <w:t xml:space="preserve"> ولا تضيّ</w:t>
      </w:r>
      <w:r w:rsidRPr="00282AC9">
        <w:rPr>
          <w:rFonts w:ascii="Sakkal Majalla" w:hAnsi="Sakkal Majalla" w:hint="cs"/>
          <w:sz w:val="27"/>
          <w:rtl/>
        </w:rPr>
        <w:t>ِ</w:t>
      </w:r>
      <w:r w:rsidRPr="00282AC9">
        <w:rPr>
          <w:rFonts w:ascii="Sakkal Majalla" w:hAnsi="Sakkal Majalla"/>
          <w:sz w:val="27"/>
          <w:rtl/>
        </w:rPr>
        <w:t>عوه كما ضيّ</w:t>
      </w:r>
      <w:r w:rsidRPr="00282AC9">
        <w:rPr>
          <w:rFonts w:ascii="Sakkal Majalla" w:hAnsi="Sakkal Majalla" w:hint="cs"/>
          <w:sz w:val="27"/>
          <w:rtl/>
        </w:rPr>
        <w:t>َ</w:t>
      </w:r>
      <w:r w:rsidRPr="00282AC9">
        <w:rPr>
          <w:rFonts w:ascii="Sakkal Majalla" w:hAnsi="Sakkal Majalla"/>
          <w:sz w:val="27"/>
          <w:rtl/>
        </w:rPr>
        <w:t>ع اليهود التوراة</w:t>
      </w:r>
      <w:r w:rsidRPr="00282AC9">
        <w:rPr>
          <w:rFonts w:ascii="Sakkal Majalla" w:hAnsi="Sakkal Majalla"/>
          <w:sz w:val="24"/>
          <w:szCs w:val="24"/>
          <w:rtl/>
        </w:rPr>
        <w:t>»</w:t>
      </w:r>
      <w:r w:rsidRPr="00282AC9">
        <w:rPr>
          <w:rFonts w:ascii="Sakkal Majalla" w:hAnsi="Sakkal Majalla"/>
          <w:sz w:val="27"/>
          <w:vertAlign w:val="superscript"/>
          <w:rtl/>
        </w:rPr>
        <w:t>(</w:t>
      </w:r>
      <w:r w:rsidRPr="00282AC9">
        <w:rPr>
          <w:rStyle w:val="af9"/>
          <w:rFonts w:ascii="Sakkal Majalla" w:hAnsi="Sakkal Majalla"/>
          <w:sz w:val="27"/>
          <w:rtl/>
        </w:rPr>
        <w:endnoteReference w:id="855"/>
      </w:r>
      <w:r w:rsidRPr="00282AC9">
        <w:rPr>
          <w:rFonts w:ascii="Sakkal Majalla" w:hAnsi="Sakkal Majalla"/>
          <w:sz w:val="27"/>
          <w:vertAlign w:val="superscript"/>
          <w:rtl/>
        </w:rPr>
        <w:t>)</w:t>
      </w:r>
      <w:r w:rsidRPr="00282AC9">
        <w:rPr>
          <w:rFonts w:ascii="Sakkal Majalla" w:hAnsi="Sakkal Majalla" w:hint="cs"/>
          <w:sz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2ـ ما رواه أبو رافع، من</w:t>
      </w:r>
      <w:r w:rsidRPr="00282AC9">
        <w:rPr>
          <w:rFonts w:ascii="Sakkal Majalla" w:hAnsi="Sakkal Majalla" w:cs="AL-Mohanad"/>
          <w:sz w:val="27"/>
          <w:szCs w:val="27"/>
          <w:rtl/>
        </w:rPr>
        <w:t xml:space="preserve"> أنّ النبيّ</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 xml:space="preserve">ـ </w:t>
      </w:r>
      <w:r w:rsidRPr="00282AC9">
        <w:rPr>
          <w:rFonts w:ascii="Sakkal Majalla" w:hAnsi="Sakkal Majalla" w:cs="AL-Mohanad"/>
          <w:sz w:val="27"/>
          <w:szCs w:val="27"/>
          <w:rtl/>
        </w:rPr>
        <w:t>في مرضه الذي توفي فيه ـ قال  لعلي</w:t>
      </w:r>
      <w:r w:rsidRPr="00282AC9">
        <w:rPr>
          <w:rFonts w:ascii="Sakkal Majalla" w:hAnsi="Sakkal Majalla" w:cs="AL-Mohanad" w:hint="cs"/>
          <w:sz w:val="27"/>
          <w:szCs w:val="27"/>
          <w:rtl/>
        </w:rPr>
        <w:t>ٍّ</w:t>
      </w:r>
      <w:r w:rsidRPr="00282AC9">
        <w:rPr>
          <w:rFonts w:ascii="Sakkal Majalla" w:hAnsi="Sakkal Majalla" w:cs="AL-Mohanad"/>
          <w:sz w:val="27"/>
          <w:szCs w:val="27"/>
          <w:rtl/>
        </w:rPr>
        <w:t>: يا عليّ</w:t>
      </w:r>
      <w:r w:rsidRPr="00282AC9">
        <w:rPr>
          <w:rFonts w:ascii="Sakkal Majalla" w:hAnsi="Sakkal Majalla" w:cs="AL-Mohanad" w:hint="cs"/>
          <w:sz w:val="27"/>
          <w:szCs w:val="27"/>
          <w:rtl/>
        </w:rPr>
        <w:t>،</w:t>
      </w:r>
      <w:r w:rsidRPr="00282AC9">
        <w:rPr>
          <w:rFonts w:ascii="Sakkal Majalla" w:hAnsi="Sakkal Majalla" w:cs="AL-Mohanad"/>
          <w:sz w:val="27"/>
          <w:szCs w:val="27"/>
          <w:rtl/>
        </w:rPr>
        <w:t>‏ هذا كتاب‏ الله‏ خ</w:t>
      </w:r>
      <w:r w:rsidRPr="00282AC9">
        <w:rPr>
          <w:rFonts w:ascii="Sakkal Majalla" w:hAnsi="Sakkal Majalla" w:cs="AL-Mohanad" w:hint="cs"/>
          <w:sz w:val="27"/>
          <w:szCs w:val="27"/>
          <w:rtl/>
        </w:rPr>
        <w:t>ُ</w:t>
      </w:r>
      <w:r w:rsidRPr="00282AC9">
        <w:rPr>
          <w:rFonts w:ascii="Sakkal Majalla" w:hAnsi="Sakkal Majalla" w:cs="AL-Mohanad"/>
          <w:sz w:val="27"/>
          <w:szCs w:val="27"/>
          <w:rtl/>
        </w:rPr>
        <w:t>ذ</w:t>
      </w:r>
      <w:r w:rsidRPr="00282AC9">
        <w:rPr>
          <w:rFonts w:ascii="Sakkal Majalla" w:hAnsi="Sakkal Majalla" w:cs="AL-Mohanad" w:hint="cs"/>
          <w:sz w:val="27"/>
          <w:szCs w:val="27"/>
          <w:rtl/>
        </w:rPr>
        <w:t>ْ</w:t>
      </w:r>
      <w:r w:rsidRPr="00282AC9">
        <w:rPr>
          <w:rFonts w:ascii="Sakkal Majalla" w:hAnsi="Sakkal Majalla" w:cs="AL-Mohanad"/>
          <w:sz w:val="27"/>
          <w:szCs w:val="27"/>
          <w:rtl/>
        </w:rPr>
        <w:t>ه إليك، فجمعه علي</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 ثوب</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ومضى </w:t>
      </w:r>
      <w:r w:rsidRPr="00282AC9">
        <w:rPr>
          <w:rFonts w:ascii="Sakkal Majalla" w:hAnsi="Sakkal Majalla" w:cs="AL-Mohanad" w:hint="cs"/>
          <w:sz w:val="27"/>
          <w:szCs w:val="27"/>
          <w:rtl/>
        </w:rPr>
        <w:t>إ</w:t>
      </w:r>
      <w:r w:rsidRPr="00282AC9">
        <w:rPr>
          <w:rFonts w:ascii="Sakkal Majalla" w:hAnsi="Sakkal Majalla" w:cs="AL-Mohanad"/>
          <w:sz w:val="27"/>
          <w:szCs w:val="27"/>
          <w:rtl/>
        </w:rPr>
        <w:t>لى منزله</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فلمّا قبض النبيّ</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جلس عليّ</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فأل</w:t>
      </w:r>
      <w:r w:rsidRPr="00282AC9">
        <w:rPr>
          <w:rFonts w:ascii="Sakkal Majalla" w:hAnsi="Sakkal Majalla" w:cs="AL-Mohanad" w:hint="cs"/>
          <w:sz w:val="27"/>
          <w:szCs w:val="27"/>
          <w:rtl/>
        </w:rPr>
        <w:t>َّ</w:t>
      </w:r>
      <w:r w:rsidRPr="00282AC9">
        <w:rPr>
          <w:rFonts w:ascii="Sakkal Majalla" w:hAnsi="Sakkal Majalla" w:cs="AL-Mohanad"/>
          <w:sz w:val="27"/>
          <w:szCs w:val="27"/>
          <w:rtl/>
        </w:rPr>
        <w:t>ف</w:t>
      </w:r>
      <w:r w:rsidRPr="00282AC9">
        <w:rPr>
          <w:rFonts w:ascii="Sakkal Majalla" w:hAnsi="Sakkal Majalla" w:cs="AL-Mohanad" w:hint="cs"/>
          <w:sz w:val="27"/>
          <w:szCs w:val="27"/>
          <w:rtl/>
        </w:rPr>
        <w:t>َ</w:t>
      </w:r>
      <w:r w:rsidRPr="00282AC9">
        <w:rPr>
          <w:rFonts w:ascii="Sakkal Majalla" w:hAnsi="Sakkal Majalla" w:cs="AL-Mohanad"/>
          <w:sz w:val="27"/>
          <w:szCs w:val="27"/>
          <w:rtl/>
        </w:rPr>
        <w:t>ه كما أنزل الله، وكان به عالما</w:t>
      </w:r>
      <w:r w:rsidRPr="00282AC9">
        <w:rPr>
          <w:rFonts w:ascii="Sakkal Majalla" w:hAnsi="Sakkal Majalla" w:cs="AL-Mohanad" w:hint="cs"/>
          <w:sz w:val="27"/>
          <w:szCs w:val="27"/>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56"/>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3ـ</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ما رواه</w:t>
      </w:r>
      <w:r w:rsidRPr="00282AC9">
        <w:rPr>
          <w:rFonts w:ascii="Sakkal Majalla" w:hAnsi="Sakkal Majalla" w:cs="AL-Mohanad"/>
          <w:sz w:val="27"/>
          <w:szCs w:val="27"/>
          <w:rtl/>
        </w:rPr>
        <w:t xml:space="preserve"> زيد بن ثابت قال: </w:t>
      </w:r>
      <w:r w:rsidRPr="00282AC9">
        <w:rPr>
          <w:rFonts w:ascii="Sakkal Majalla" w:hAnsi="Sakkal Majalla" w:cs="AL-Mohanad"/>
          <w:rtl/>
        </w:rPr>
        <w:t>«</w:t>
      </w:r>
      <w:r w:rsidRPr="00282AC9">
        <w:rPr>
          <w:rFonts w:ascii="Sakkal Majalla" w:hAnsi="Sakkal Majalla" w:cs="AL-Mohanad"/>
          <w:sz w:val="27"/>
          <w:szCs w:val="27"/>
          <w:rtl/>
        </w:rPr>
        <w:t>كن</w:t>
      </w:r>
      <w:r w:rsidRPr="00282AC9">
        <w:rPr>
          <w:rFonts w:ascii="Sakkal Majalla" w:hAnsi="Sakkal Majalla" w:cs="AL-Mohanad" w:hint="cs"/>
          <w:sz w:val="27"/>
          <w:szCs w:val="27"/>
          <w:rtl/>
        </w:rPr>
        <w:t>ّ</w:t>
      </w:r>
      <w:r w:rsidRPr="00282AC9">
        <w:rPr>
          <w:rFonts w:ascii="Sakkal Majalla" w:hAnsi="Sakkal Majalla" w:cs="AL-Mohanad"/>
          <w:sz w:val="27"/>
          <w:szCs w:val="27"/>
          <w:rtl/>
        </w:rPr>
        <w:t>ا عند رسول‏ الله‏</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نؤل</w:t>
      </w:r>
      <w:r w:rsidRPr="00282AC9">
        <w:rPr>
          <w:rFonts w:ascii="Sakkal Majalla" w:hAnsi="Sakkal Majalla" w:cs="AL-Mohanad" w:hint="cs"/>
          <w:sz w:val="27"/>
          <w:szCs w:val="27"/>
          <w:rtl/>
        </w:rPr>
        <w:t>ِّ</w:t>
      </w:r>
      <w:r w:rsidRPr="00282AC9">
        <w:rPr>
          <w:rFonts w:ascii="Sakkal Majalla" w:hAnsi="Sakkal Majalla" w:cs="AL-Mohanad"/>
          <w:sz w:val="27"/>
          <w:szCs w:val="27"/>
          <w:rtl/>
        </w:rPr>
        <w:t>ف القرآن من الرقاع</w:t>
      </w:r>
      <w:r w:rsidRPr="00282AC9">
        <w:rPr>
          <w:rFonts w:ascii="Sakkal Majalla" w:hAnsi="Sakkal Majalla" w:cs="AL-Mohanad"/>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57"/>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sz w:val="27"/>
          <w:szCs w:val="27"/>
          <w:rtl/>
        </w:rPr>
        <w:t xml:space="preserve">قال الحاكم: </w:t>
      </w:r>
      <w:r w:rsidRPr="00282AC9">
        <w:rPr>
          <w:rFonts w:ascii="Sakkal Majalla" w:hAnsi="Sakkal Majalla" w:cs="AL-Mohanad"/>
          <w:rtl/>
        </w:rPr>
        <w:t>«</w:t>
      </w:r>
      <w:r w:rsidRPr="00282AC9">
        <w:rPr>
          <w:rFonts w:ascii="Sakkal Majalla" w:hAnsi="Sakkal Majalla" w:cs="AL-Mohanad"/>
          <w:sz w:val="27"/>
          <w:szCs w:val="27"/>
          <w:rtl/>
        </w:rPr>
        <w:t>هذا حديث</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صحيح على شرط الشيخين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ولم يخر</w:t>
      </w:r>
      <w:r w:rsidRPr="00282AC9">
        <w:rPr>
          <w:rFonts w:ascii="Sakkal Majalla" w:hAnsi="Sakkal Majalla" w:cs="AL-Mohanad" w:hint="cs"/>
          <w:sz w:val="27"/>
          <w:szCs w:val="27"/>
          <w:rtl/>
        </w:rPr>
        <w:t>ِّ</w:t>
      </w:r>
      <w:r w:rsidRPr="00282AC9">
        <w:rPr>
          <w:rFonts w:ascii="Sakkal Majalla" w:hAnsi="Sakkal Majalla" w:cs="AL-Mohanad"/>
          <w:sz w:val="27"/>
          <w:szCs w:val="27"/>
          <w:rtl/>
        </w:rPr>
        <w:t>جاه</w:t>
      </w:r>
      <w:r w:rsidRPr="00282AC9">
        <w:rPr>
          <w:rFonts w:ascii="Sakkal Majalla" w:hAnsi="Sakkal Majalla" w:cs="AL-Mohanad"/>
          <w:rtl/>
        </w:rPr>
        <w:t>»</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والرقاع جمع رقعة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ف</w:t>
      </w:r>
      <w:r w:rsidRPr="00282AC9">
        <w:rPr>
          <w:rFonts w:ascii="Sakkal Majalla" w:hAnsi="Sakkal Majalla" w:cs="AL-Mohanad"/>
          <w:sz w:val="27"/>
          <w:szCs w:val="27"/>
          <w:rtl/>
        </w:rPr>
        <w:t>قد تكون من جلد</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أو ورق</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أو كاغذ</w:t>
      </w:r>
      <w:r w:rsidRPr="00282AC9">
        <w:rPr>
          <w:rFonts w:ascii="Sakkal Majalla" w:hAnsi="Sakkal Majalla" w:cs="AL-Mohanad" w:hint="cs"/>
          <w:sz w:val="27"/>
          <w:szCs w:val="27"/>
          <w:rtl/>
        </w:rPr>
        <w:t>ٍ، وه</w:t>
      </w:r>
      <w:r w:rsidRPr="00282AC9">
        <w:rPr>
          <w:rFonts w:cs="AL-Mohanad" w:hint="cs"/>
          <w:sz w:val="27"/>
          <w:szCs w:val="27"/>
          <w:rtl/>
        </w:rPr>
        <w:t>ي</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تشعرنا ب</w:t>
      </w:r>
      <w:r w:rsidRPr="00282AC9">
        <w:rPr>
          <w:rFonts w:ascii="Sakkal Majalla" w:hAnsi="Sakkal Majalla" w:cs="AL-Mohanad" w:hint="cs"/>
          <w:sz w:val="27"/>
          <w:szCs w:val="27"/>
          <w:rtl/>
        </w:rPr>
        <w:t xml:space="preserve">وجود </w:t>
      </w:r>
      <w:r w:rsidRPr="00282AC9">
        <w:rPr>
          <w:rFonts w:ascii="Sakkal Majalla" w:hAnsi="Sakkal Majalla" w:cs="AL-Mohanad"/>
          <w:sz w:val="27"/>
          <w:szCs w:val="27"/>
          <w:rtl/>
        </w:rPr>
        <w:t>نوع</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 xml:space="preserve">من </w:t>
      </w:r>
      <w:r w:rsidRPr="00282AC9">
        <w:rPr>
          <w:rFonts w:ascii="Sakkal Majalla" w:hAnsi="Sakkal Majalla" w:cs="AL-Mohanad"/>
          <w:sz w:val="27"/>
          <w:szCs w:val="27"/>
          <w:rtl/>
        </w:rPr>
        <w:t>أدوات الكتابة المتيس</w:t>
      </w:r>
      <w:r w:rsidRPr="00282AC9">
        <w:rPr>
          <w:rFonts w:ascii="Sakkal Majalla" w:hAnsi="Sakkal Majalla" w:cs="AL-Mohanad" w:hint="cs"/>
          <w:sz w:val="27"/>
          <w:szCs w:val="27"/>
          <w:rtl/>
        </w:rPr>
        <w:t>ِّ</w:t>
      </w:r>
      <w:r w:rsidRPr="00282AC9">
        <w:rPr>
          <w:rFonts w:ascii="Sakkal Majalla" w:hAnsi="Sakkal Majalla" w:cs="AL-Mohanad"/>
          <w:sz w:val="27"/>
          <w:szCs w:val="27"/>
          <w:rtl/>
        </w:rPr>
        <w:t>رة لكت</w:t>
      </w:r>
      <w:r w:rsidRPr="00282AC9">
        <w:rPr>
          <w:rFonts w:ascii="Sakkal Majalla" w:hAnsi="Sakkal Majalla" w:cs="AL-Mohanad" w:hint="cs"/>
          <w:sz w:val="27"/>
          <w:szCs w:val="27"/>
          <w:rtl/>
        </w:rPr>
        <w:t>ّ</w:t>
      </w:r>
      <w:r w:rsidRPr="00282AC9">
        <w:rPr>
          <w:rFonts w:ascii="Sakkal Majalla" w:hAnsi="Sakkal Majalla" w:cs="AL-Mohanad"/>
          <w:sz w:val="27"/>
          <w:szCs w:val="27"/>
          <w:rtl/>
        </w:rPr>
        <w:t>اب الو</w:t>
      </w:r>
      <w:r w:rsidRPr="00282AC9">
        <w:rPr>
          <w:rFonts w:ascii="Sakkal Majalla" w:hAnsi="Sakkal Majalla" w:cs="AL-Mohanad" w:hint="cs"/>
          <w:sz w:val="27"/>
          <w:szCs w:val="27"/>
          <w:rtl/>
        </w:rPr>
        <w:t>َ</w:t>
      </w:r>
      <w:r w:rsidRPr="00282AC9">
        <w:rPr>
          <w:rFonts w:ascii="Sakkal Majalla" w:hAnsi="Sakkal Majalla" w:cs="AL-Mohanad"/>
          <w:sz w:val="27"/>
          <w:szCs w:val="27"/>
          <w:rtl/>
        </w:rPr>
        <w:t>ح</w:t>
      </w:r>
      <w:r w:rsidRPr="00282AC9">
        <w:rPr>
          <w:rFonts w:ascii="Sakkal Majalla" w:hAnsi="Sakkal Majalla" w:cs="AL-Mohanad" w:hint="cs"/>
          <w:sz w:val="27"/>
          <w:szCs w:val="27"/>
          <w:rtl/>
        </w:rPr>
        <w:t>ْ</w:t>
      </w:r>
      <w:r w:rsidRPr="00282AC9">
        <w:rPr>
          <w:rFonts w:ascii="Sakkal Majalla" w:hAnsi="Sakkal Majalla" w:cs="AL-Mohanad"/>
          <w:sz w:val="27"/>
          <w:szCs w:val="27"/>
          <w:rtl/>
        </w:rPr>
        <w:t>ي عند رسول الله</w:t>
      </w:r>
      <w:r w:rsidR="009A2A04" w:rsidRPr="00282AC9">
        <w:rPr>
          <w:rFonts w:ascii="Sakkal Majalla" w:hAnsi="Sakkal Majalla" w:cs="Mosawi"/>
          <w:sz w:val="22"/>
          <w:szCs w:val="22"/>
          <w:rtl/>
        </w:rPr>
        <w:t>|</w:t>
      </w:r>
      <w:r w:rsidRPr="00282AC9">
        <w:rPr>
          <w:rFonts w:ascii="Sakkal Majalla" w:hAnsi="Sakkal Majalla" w:cs="AL-Mohanad" w:hint="cs"/>
          <w:sz w:val="27"/>
          <w:szCs w:val="27"/>
          <w:rtl/>
        </w:rPr>
        <w:t>، ومعن</w:t>
      </w:r>
      <w:r w:rsidRPr="00282AC9">
        <w:rPr>
          <w:rFonts w:cs="AL-Mohanad" w:hint="cs"/>
          <w:sz w:val="27"/>
          <w:szCs w:val="27"/>
          <w:rtl/>
        </w:rPr>
        <w:t>ى</w:t>
      </w:r>
      <w:r w:rsidRPr="00282AC9">
        <w:rPr>
          <w:rFonts w:ascii="Sakkal Majalla" w:hAnsi="Sakkal Majalla" w:cs="AL-Mohanad" w:hint="cs"/>
          <w:sz w:val="27"/>
          <w:szCs w:val="27"/>
          <w:rtl/>
        </w:rPr>
        <w:t xml:space="preserve"> ذلك أنّ </w:t>
      </w:r>
      <w:r w:rsidRPr="00282AC9">
        <w:rPr>
          <w:rFonts w:ascii="Sakkal Majalla" w:hAnsi="Sakkal Majalla" w:cs="AL-Mohanad"/>
          <w:sz w:val="27"/>
          <w:szCs w:val="27"/>
          <w:rtl/>
        </w:rPr>
        <w:t xml:space="preserve">ترتيب الآيات </w:t>
      </w:r>
      <w:r w:rsidRPr="00282AC9">
        <w:rPr>
          <w:rFonts w:ascii="Sakkal Majalla" w:hAnsi="Sakkal Majalla" w:cs="AL-Mohanad" w:hint="cs"/>
          <w:sz w:val="27"/>
          <w:szCs w:val="27"/>
          <w:rtl/>
        </w:rPr>
        <w:t xml:space="preserve">كان </w:t>
      </w:r>
      <w:r w:rsidRPr="00282AC9">
        <w:rPr>
          <w:rFonts w:ascii="Sakkal Majalla" w:hAnsi="Sakkal Majalla" w:cs="AL-Mohanad"/>
          <w:sz w:val="27"/>
          <w:szCs w:val="27"/>
          <w:rtl/>
        </w:rPr>
        <w:t>وفق إشارة النبي</w:t>
      </w:r>
      <w:r w:rsidRPr="00282AC9">
        <w:rPr>
          <w:rFonts w:ascii="Sakkal Majalla" w:hAnsi="Sakkal Majalla" w:cs="AL-Mohanad" w:hint="cs"/>
          <w:sz w:val="27"/>
          <w:szCs w:val="27"/>
          <w:rtl/>
        </w:rPr>
        <w:t>ّ</w:t>
      </w:r>
      <w:r w:rsidR="009A2A04" w:rsidRPr="00282AC9">
        <w:rPr>
          <w:rFonts w:ascii="Sakkal Majalla" w:hAnsi="Sakkal Majalla" w:cs="Mosawi"/>
          <w:sz w:val="22"/>
          <w:szCs w:val="22"/>
          <w:rtl/>
        </w:rPr>
        <w:t>|</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وبإرشاد</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أمين الو</w:t>
      </w:r>
      <w:r w:rsidRPr="00282AC9">
        <w:rPr>
          <w:rFonts w:ascii="Sakkal Majalla" w:hAnsi="Sakkal Majalla" w:cs="AL-Mohanad" w:hint="cs"/>
          <w:sz w:val="27"/>
          <w:szCs w:val="27"/>
          <w:rtl/>
        </w:rPr>
        <w:t>َ</w:t>
      </w:r>
      <w:r w:rsidRPr="00282AC9">
        <w:rPr>
          <w:rFonts w:ascii="Sakkal Majalla" w:hAnsi="Sakkal Majalla" w:cs="AL-Mohanad"/>
          <w:sz w:val="27"/>
          <w:szCs w:val="27"/>
          <w:rtl/>
        </w:rPr>
        <w:t>ح</w:t>
      </w:r>
      <w:r w:rsidRPr="00282AC9">
        <w:rPr>
          <w:rFonts w:ascii="Sakkal Majalla" w:hAnsi="Sakkal Majalla" w:cs="AL-Mohanad" w:hint="cs"/>
          <w:sz w:val="27"/>
          <w:szCs w:val="27"/>
          <w:rtl/>
        </w:rPr>
        <w:t>ْ</w:t>
      </w:r>
      <w:r w:rsidRPr="00282AC9">
        <w:rPr>
          <w:rFonts w:ascii="Sakkal Majalla" w:hAnsi="Sakkal Majalla" w:cs="AL-Mohanad"/>
          <w:sz w:val="27"/>
          <w:szCs w:val="27"/>
          <w:rtl/>
        </w:rPr>
        <w:t>ي جبريل</w:t>
      </w:r>
      <w:r w:rsidR="009A2A04" w:rsidRPr="00282AC9">
        <w:rPr>
          <w:rFonts w:ascii="Sakkal Majalla" w:hAnsi="Sakkal Majalla" w:cs="Mosawi"/>
          <w:sz w:val="22"/>
          <w:szCs w:val="22"/>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58"/>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4ـ ما رُوي عن ابن عبّاس</w:t>
      </w:r>
      <w:r w:rsidRPr="00282AC9">
        <w:rPr>
          <w:rFonts w:ascii="Traditional Arabic" w:hAnsi="Traditional Arabic" w:cs="AL-Mohanad" w:hint="cs"/>
          <w:sz w:val="27"/>
          <w:szCs w:val="27"/>
          <w:rtl/>
        </w:rPr>
        <w:t xml:space="preserve">، </w:t>
      </w:r>
      <w:r w:rsidRPr="00282AC9">
        <w:rPr>
          <w:rFonts w:ascii="Sakkal Majalla" w:hAnsi="Sakkal Majalla" w:cs="AL-Mohanad"/>
          <w:sz w:val="27"/>
          <w:szCs w:val="27"/>
          <w:rtl/>
        </w:rPr>
        <w:t xml:space="preserve">من </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ن الرجل المسلم كان يأتي بالورق </w:t>
      </w:r>
      <w:r w:rsidRPr="00282AC9">
        <w:rPr>
          <w:rFonts w:ascii="Sakkal Majalla" w:hAnsi="Sakkal Majalla" w:cs="AL-Mohanad" w:hint="cs"/>
          <w:sz w:val="27"/>
          <w:szCs w:val="27"/>
          <w:rtl/>
        </w:rPr>
        <w:t>إ</w:t>
      </w:r>
      <w:r w:rsidRPr="00282AC9">
        <w:rPr>
          <w:rFonts w:ascii="Sakkal Majalla" w:hAnsi="Sakkal Majalla" w:cs="AL-Mohanad"/>
          <w:sz w:val="27"/>
          <w:szCs w:val="27"/>
          <w:rtl/>
        </w:rPr>
        <w:t>لى النبي</w:t>
      </w:r>
      <w:r w:rsidRPr="00282AC9">
        <w:rPr>
          <w:rFonts w:ascii="Sakkal Majalla" w:hAnsi="Sakkal Majalla" w:cs="AL-Mohanad" w:hint="cs"/>
          <w:sz w:val="27"/>
          <w:szCs w:val="27"/>
          <w:rtl/>
        </w:rPr>
        <w:t>ّ</w:t>
      </w:r>
      <w:r w:rsidR="009A2A04" w:rsidRPr="00282AC9">
        <w:rPr>
          <w:rFonts w:ascii="Sakkal Majalla" w:hAnsi="Sakkal Majalla" w:cs="Mosawi"/>
          <w:sz w:val="22"/>
          <w:szCs w:val="22"/>
          <w:rtl/>
        </w:rPr>
        <w:t>|</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فيأمر النبي</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الصحابة فينسخوا له القرآن</w:t>
      </w:r>
      <w:r w:rsidRPr="00282AC9">
        <w:rPr>
          <w:rFonts w:ascii="Sakkal Majalla" w:hAnsi="Sakkal Majalla" w:cs="AL-Mohanad" w:hint="cs"/>
          <w:sz w:val="27"/>
          <w:szCs w:val="27"/>
          <w:rtl/>
        </w:rPr>
        <w:t>.</w:t>
      </w:r>
      <w:r w:rsidRPr="00282AC9">
        <w:rPr>
          <w:rFonts w:ascii="Sakkal Majalla" w:hAnsi="Sakkal Majalla" w:cs="AL-Mohanad"/>
          <w:sz w:val="27"/>
          <w:szCs w:val="27"/>
          <w:rtl/>
        </w:rPr>
        <w:t>‏</w:t>
      </w:r>
      <w:r w:rsidRPr="00282AC9">
        <w:rPr>
          <w:rFonts w:ascii="Sakkal Majalla" w:hAnsi="Sakkal Majalla" w:cs="AL-Mohanad" w:hint="cs"/>
          <w:sz w:val="27"/>
          <w:szCs w:val="27"/>
          <w:rtl/>
        </w:rPr>
        <w:t xml:space="preserve"> فعن </w:t>
      </w:r>
      <w:r w:rsidRPr="00282AC9">
        <w:rPr>
          <w:rFonts w:ascii="Sakkal Majalla" w:hAnsi="Sakkal Majalla" w:cs="AL-Mohanad"/>
          <w:sz w:val="27"/>
          <w:szCs w:val="27"/>
          <w:rtl/>
        </w:rPr>
        <w:t>جعفر بن محمد بن علي</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عن أبيه</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عن علي</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بن الحسين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عن </w:t>
      </w:r>
      <w:r w:rsidRPr="00282AC9">
        <w:rPr>
          <w:rFonts w:ascii="Sakkal Majalla" w:hAnsi="Sakkal Majalla" w:cs="AL-Mohanad" w:hint="cs"/>
          <w:sz w:val="27"/>
          <w:szCs w:val="27"/>
          <w:rtl/>
        </w:rPr>
        <w:t>ا</w:t>
      </w:r>
      <w:r w:rsidRPr="00282AC9">
        <w:rPr>
          <w:rFonts w:ascii="Sakkal Majalla" w:hAnsi="Sakkal Majalla" w:cs="AL-Mohanad"/>
          <w:sz w:val="27"/>
          <w:szCs w:val="27"/>
          <w:rtl/>
        </w:rPr>
        <w:t>بن عب</w:t>
      </w:r>
      <w:r w:rsidRPr="00282AC9">
        <w:rPr>
          <w:rFonts w:ascii="Sakkal Majalla" w:hAnsi="Sakkal Majalla" w:cs="AL-Mohanad" w:hint="cs"/>
          <w:sz w:val="27"/>
          <w:szCs w:val="27"/>
          <w:rtl/>
        </w:rPr>
        <w:t>ّ</w:t>
      </w:r>
      <w:r w:rsidRPr="00282AC9">
        <w:rPr>
          <w:rFonts w:ascii="Sakkal Majalla" w:hAnsi="Sakkal Majalla" w:cs="AL-Mohanad"/>
          <w:sz w:val="27"/>
          <w:szCs w:val="27"/>
          <w:rtl/>
        </w:rPr>
        <w:t>اس قال</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كانت المصاحف لا</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ت</w:t>
      </w:r>
      <w:r w:rsidRPr="00282AC9">
        <w:rPr>
          <w:rFonts w:ascii="Sakkal Majalla" w:hAnsi="Sakkal Majalla" w:cs="AL-Mohanad" w:hint="cs"/>
          <w:sz w:val="27"/>
          <w:szCs w:val="27"/>
          <w:rtl/>
        </w:rPr>
        <w:t>ُ</w:t>
      </w:r>
      <w:r w:rsidRPr="00282AC9">
        <w:rPr>
          <w:rFonts w:ascii="Sakkal Majalla" w:hAnsi="Sakkal Majalla" w:cs="AL-Mohanad"/>
          <w:sz w:val="27"/>
          <w:szCs w:val="27"/>
          <w:rtl/>
        </w:rPr>
        <w:t>باع، كان الرجل يأتي بورقه عند النبي</w:t>
      </w:r>
      <w:r w:rsidRPr="00282AC9">
        <w:rPr>
          <w:rFonts w:ascii="Sakkal Majalla" w:hAnsi="Sakkal Majalla" w:cs="AL-Mohanad" w:hint="cs"/>
          <w:sz w:val="27"/>
          <w:szCs w:val="27"/>
          <w:rtl/>
        </w:rPr>
        <w:t>ّ</w:t>
      </w:r>
      <w:r w:rsidR="00A9773B" w:rsidRPr="00282AC9">
        <w:rPr>
          <w:rFonts w:ascii="Mosawi" w:hAnsi="Mosawi" w:cs="Mosawi"/>
          <w:sz w:val="22"/>
          <w:szCs w:val="22"/>
          <w:rtl/>
        </w:rPr>
        <w:t>ﷺ</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فيقوم الرجل</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فيحتسب</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فيكتب، ثم</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يقوم آخر فيكتب، حت</w:t>
      </w:r>
      <w:r w:rsidRPr="00282AC9">
        <w:rPr>
          <w:rFonts w:ascii="Sakkal Majalla" w:hAnsi="Sakkal Majalla" w:cs="AL-Mohanad" w:hint="cs"/>
          <w:sz w:val="27"/>
          <w:szCs w:val="27"/>
          <w:rtl/>
        </w:rPr>
        <w:t>ّ</w:t>
      </w:r>
      <w:r w:rsidRPr="00282AC9">
        <w:rPr>
          <w:rFonts w:ascii="Sakkal Majalla" w:hAnsi="Sakkal Majalla" w:cs="AL-Mohanad"/>
          <w:sz w:val="27"/>
          <w:szCs w:val="27"/>
          <w:rtl/>
        </w:rPr>
        <w:t>ى يفرغ من المصحف‏</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59"/>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F939B0" w:rsidRPr="00282AC9" w:rsidRDefault="00F939B0" w:rsidP="001D1A88">
      <w:pPr>
        <w:pStyle w:val="afc"/>
        <w:rPr>
          <w:rFonts w:cs="AL-Mohanad"/>
          <w:sz w:val="27"/>
          <w:szCs w:val="27"/>
          <w:rtl/>
        </w:rPr>
      </w:pPr>
      <w:r w:rsidRPr="00282AC9">
        <w:rPr>
          <w:rFonts w:ascii="Sakkal Majalla" w:hAnsi="Sakkal Majalla" w:cs="AL-Mohanad" w:hint="cs"/>
          <w:sz w:val="27"/>
          <w:szCs w:val="27"/>
          <w:rtl/>
        </w:rPr>
        <w:t xml:space="preserve">5ـ </w:t>
      </w:r>
      <w:r w:rsidRPr="00282AC9">
        <w:rPr>
          <w:rFonts w:ascii="Sakkal Majalla" w:hAnsi="Sakkal Majalla" w:cs="AL-Mohanad"/>
          <w:sz w:val="27"/>
          <w:szCs w:val="27"/>
          <w:rtl/>
        </w:rPr>
        <w:t xml:space="preserve">ما </w:t>
      </w:r>
      <w:r w:rsidRPr="00282AC9">
        <w:rPr>
          <w:rFonts w:ascii="Sakkal Majalla" w:hAnsi="Sakkal Majalla" w:cs="AL-Mohanad" w:hint="cs"/>
          <w:sz w:val="27"/>
          <w:szCs w:val="27"/>
          <w:rtl/>
        </w:rPr>
        <w:t xml:space="preserve">رُوي </w:t>
      </w:r>
      <w:r w:rsidRPr="00282AC9">
        <w:rPr>
          <w:rFonts w:ascii="Sakkal Majalla" w:hAnsi="Sakkal Majalla" w:cs="AL-Mohanad"/>
          <w:sz w:val="27"/>
          <w:szCs w:val="27"/>
          <w:rtl/>
        </w:rPr>
        <w:t>عن ز</w:t>
      </w:r>
      <w:r w:rsidRPr="00282AC9">
        <w:rPr>
          <w:rFonts w:cs="AL-Mohanad" w:hint="cs"/>
          <w:sz w:val="27"/>
          <w:szCs w:val="27"/>
          <w:rtl/>
        </w:rPr>
        <w:t>ي</w:t>
      </w:r>
      <w:r w:rsidRPr="00282AC9">
        <w:rPr>
          <w:rFonts w:ascii="Sakkal Majalla" w:hAnsi="Sakkal Majalla" w:cs="AL-Mohanad" w:hint="cs"/>
          <w:sz w:val="27"/>
          <w:szCs w:val="27"/>
          <w:rtl/>
        </w:rPr>
        <w:t>د</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بن</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ثابت</w:t>
      </w:r>
      <w:r w:rsidRPr="00282AC9">
        <w:rPr>
          <w:rFonts w:ascii="Sakkal Majalla" w:hAnsi="Sakkal Majalla" w:cs="AL-Mohanad"/>
          <w:sz w:val="27"/>
          <w:szCs w:val="27"/>
          <w:rtl/>
        </w:rPr>
        <w:t xml:space="preserve"> أنه قال: كنت</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أكتب الو</w:t>
      </w:r>
      <w:r w:rsidRPr="00282AC9">
        <w:rPr>
          <w:rFonts w:ascii="Sakkal Majalla" w:hAnsi="Sakkal Majalla" w:cs="AL-Mohanad" w:hint="cs"/>
          <w:sz w:val="27"/>
          <w:szCs w:val="27"/>
          <w:rtl/>
        </w:rPr>
        <w:t>َ</w:t>
      </w:r>
      <w:r w:rsidRPr="00282AC9">
        <w:rPr>
          <w:rFonts w:ascii="Sakkal Majalla" w:hAnsi="Sakkal Majalla" w:cs="AL-Mohanad"/>
          <w:sz w:val="27"/>
          <w:szCs w:val="27"/>
          <w:rtl/>
        </w:rPr>
        <w:t>ح</w:t>
      </w:r>
      <w:r w:rsidRPr="00282AC9">
        <w:rPr>
          <w:rFonts w:ascii="Sakkal Majalla" w:hAnsi="Sakkal Majalla" w:cs="AL-Mohanad" w:hint="cs"/>
          <w:sz w:val="27"/>
          <w:szCs w:val="27"/>
          <w:rtl/>
        </w:rPr>
        <w:t>ْ</w:t>
      </w:r>
      <w:r w:rsidRPr="00282AC9">
        <w:rPr>
          <w:rFonts w:ascii="Sakkal Majalla" w:hAnsi="Sakkal Majalla" w:cs="AL-Mohanad"/>
          <w:sz w:val="27"/>
          <w:szCs w:val="27"/>
          <w:rtl/>
        </w:rPr>
        <w:t>ي عند رسول الله</w:t>
      </w:r>
      <w:r w:rsidR="00A9773B" w:rsidRPr="00282AC9">
        <w:rPr>
          <w:rFonts w:ascii="Mosawi" w:hAnsi="Mosawi" w:cs="Mosawi"/>
          <w:sz w:val="22"/>
          <w:szCs w:val="22"/>
          <w:rtl/>
        </w:rPr>
        <w:t>ﷺ</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sz w:val="27"/>
          <w:szCs w:val="27"/>
          <w:rtl/>
        </w:rPr>
        <w:lastRenderedPageBreak/>
        <w:t>وهو يملي علي</w:t>
      </w:r>
      <w:r w:rsidRPr="00282AC9">
        <w:rPr>
          <w:rFonts w:ascii="Sakkal Majalla" w:hAnsi="Sakkal Majalla" w:cs="AL-Mohanad" w:hint="cs"/>
          <w:sz w:val="27"/>
          <w:szCs w:val="27"/>
          <w:rtl/>
        </w:rPr>
        <w:t>َّ</w:t>
      </w:r>
      <w:r w:rsidRPr="00282AC9">
        <w:rPr>
          <w:rFonts w:ascii="Sakkal Majalla" w:hAnsi="Sakkal Majalla" w:cs="AL-Mohanad"/>
          <w:sz w:val="27"/>
          <w:szCs w:val="27"/>
          <w:rtl/>
        </w:rPr>
        <w:t>.</w:t>
      </w:r>
      <w:r w:rsidRPr="00282AC9">
        <w:rPr>
          <w:rFonts w:ascii="Sakkal Majalla" w:hAnsi="Sakkal Majalla" w:cs="AL-Mohanad" w:hint="cs"/>
          <w:sz w:val="27"/>
          <w:szCs w:val="27"/>
          <w:rtl/>
        </w:rPr>
        <w:t>.</w:t>
      </w:r>
      <w:r w:rsidRPr="00282AC9">
        <w:rPr>
          <w:rFonts w:ascii="Sakkal Majalla" w:hAnsi="Sakkal Majalla" w:cs="AL-Mohanad"/>
          <w:sz w:val="27"/>
          <w:szCs w:val="27"/>
          <w:rtl/>
        </w:rPr>
        <w:t>. فإذا فرغ</w:t>
      </w:r>
      <w:r w:rsidRPr="00282AC9">
        <w:rPr>
          <w:rFonts w:ascii="Sakkal Majalla" w:hAnsi="Sakkal Majalla" w:cs="AL-Mohanad" w:hint="cs"/>
          <w:sz w:val="27"/>
          <w:szCs w:val="27"/>
          <w:rtl/>
        </w:rPr>
        <w:t>ْ</w:t>
      </w:r>
      <w:r w:rsidRPr="00282AC9">
        <w:rPr>
          <w:rFonts w:ascii="Sakkal Majalla" w:hAnsi="Sakkal Majalla" w:cs="AL-Mohanad"/>
          <w:sz w:val="27"/>
          <w:szCs w:val="27"/>
          <w:rtl/>
        </w:rPr>
        <w:t>ت</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قال: اقرأ</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فأقرأه</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فإذا كان فيه سقط أقامه</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ثم</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أخرج به إلى الناس</w:t>
      </w:r>
      <w:r w:rsidRPr="00282AC9">
        <w:rPr>
          <w:rFonts w:ascii="Sakkal Majalla" w:hAnsi="Sakkal Majalla" w:cs="AL-Mohanad"/>
          <w:sz w:val="27"/>
          <w:szCs w:val="27"/>
          <w:vertAlign w:val="superscript"/>
          <w:rtl/>
        </w:rPr>
        <w:t>(</w:t>
      </w:r>
      <w:r w:rsidRPr="00282AC9">
        <w:rPr>
          <w:rStyle w:val="af9"/>
          <w:rFonts w:ascii="Traditional Arabic" w:hAnsi="Traditional Arabic" w:cs="AL-Mohanad"/>
          <w:sz w:val="27"/>
          <w:szCs w:val="27"/>
          <w:rtl/>
        </w:rPr>
        <w:endnoteReference w:id="860"/>
      </w:r>
      <w:r w:rsidRPr="00282AC9">
        <w:rPr>
          <w:rFonts w:ascii="Sakkal Majalla" w:hAnsi="Sakkal Majalla" w:cs="AL-Mohanad"/>
          <w:sz w:val="27"/>
          <w:szCs w:val="27"/>
          <w:vertAlign w:val="superscript"/>
          <w:rtl/>
        </w:rPr>
        <w:t>)</w:t>
      </w:r>
      <w:r w:rsidRPr="00282AC9">
        <w:rPr>
          <w:rFonts w:ascii="Traditional Arabic" w:hAnsi="Traditional Arabic"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sz w:val="27"/>
          <w:szCs w:val="27"/>
          <w:rtl/>
        </w:rPr>
        <w:t>وف</w:t>
      </w:r>
      <w:r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هذه الروا</w:t>
      </w:r>
      <w:r w:rsidRPr="00282AC9">
        <w:rPr>
          <w:rFonts w:cs="AL-Mohanad" w:hint="cs"/>
          <w:sz w:val="27"/>
          <w:szCs w:val="27"/>
          <w:rtl/>
        </w:rPr>
        <w:t>ي</w:t>
      </w:r>
      <w:r w:rsidRPr="00282AC9">
        <w:rPr>
          <w:rFonts w:ascii="Sakkal Majalla" w:hAnsi="Sakkal Majalla" w:cs="AL-Mohanad" w:hint="cs"/>
          <w:sz w:val="27"/>
          <w:szCs w:val="27"/>
          <w:rtl/>
        </w:rPr>
        <w:t>ات</w:t>
      </w:r>
      <w:r w:rsidRPr="00282AC9">
        <w:rPr>
          <w:rFonts w:ascii="Sakkal Majalla" w:hAnsi="Sakkal Majalla" w:cs="AL-Mohanad"/>
          <w:sz w:val="27"/>
          <w:szCs w:val="27"/>
          <w:rtl/>
        </w:rPr>
        <w:t xml:space="preserve"> و</w:t>
      </w:r>
      <w:r w:rsidRPr="00282AC9">
        <w:rPr>
          <w:rFonts w:ascii="Sakkal Majalla" w:hAnsi="Sakkal Majalla" w:cs="AL-Mohanad" w:hint="cs"/>
          <w:sz w:val="27"/>
          <w:szCs w:val="27"/>
          <w:rtl/>
        </w:rPr>
        <w:t>نحوها</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دلالةٌ واضحة عل</w:t>
      </w:r>
      <w:r w:rsidRPr="00282AC9">
        <w:rPr>
          <w:rFonts w:cs="AL-Mohanad" w:hint="cs"/>
          <w:sz w:val="27"/>
          <w:szCs w:val="27"/>
          <w:rtl/>
        </w:rPr>
        <w:t>ى</w:t>
      </w:r>
      <w:r w:rsidRPr="00282AC9">
        <w:rPr>
          <w:rFonts w:ascii="Sakkal Majalla" w:hAnsi="Sakkal Majalla" w:cs="AL-Mohanad" w:hint="cs"/>
          <w:sz w:val="27"/>
          <w:szCs w:val="27"/>
          <w:rtl/>
        </w:rPr>
        <w:t xml:space="preserve"> أنّ كتابة القرآن كانت قد تمَّت في عهد النب</w:t>
      </w:r>
      <w:r w:rsidRPr="00282AC9">
        <w:rPr>
          <w:rFonts w:cs="AL-Mohanad" w:hint="cs"/>
          <w:sz w:val="27"/>
          <w:szCs w:val="27"/>
          <w:rtl/>
        </w:rPr>
        <w:t>ي</w:t>
      </w:r>
      <w:r w:rsidRPr="00282AC9">
        <w:rPr>
          <w:rFonts w:ascii="Sakkal Majalla" w:hAnsi="Sakkal Majalla" w:cs="AL-Mohanad" w:hint="cs"/>
          <w:sz w:val="27"/>
          <w:szCs w:val="27"/>
          <w:rtl/>
        </w:rPr>
        <w:t>ّ الأكرم، وأنّه</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قد أمر عليّاً</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بجمع السور والآ</w:t>
      </w:r>
      <w:r w:rsidRPr="00282AC9">
        <w:rPr>
          <w:rFonts w:cs="AL-Mohanad" w:hint="cs"/>
          <w:sz w:val="27"/>
          <w:szCs w:val="27"/>
          <w:rtl/>
        </w:rPr>
        <w:t>ي</w:t>
      </w:r>
      <w:r w:rsidRPr="00282AC9">
        <w:rPr>
          <w:rFonts w:ascii="Sakkal Majalla" w:hAnsi="Sakkal Majalla" w:cs="AL-Mohanad" w:hint="cs"/>
          <w:sz w:val="27"/>
          <w:szCs w:val="27"/>
          <w:rtl/>
        </w:rPr>
        <w:t>ات التي كتبت عل</w:t>
      </w:r>
      <w:r w:rsidRPr="00282AC9">
        <w:rPr>
          <w:rFonts w:cs="AL-Mohanad" w:hint="cs"/>
          <w:sz w:val="27"/>
          <w:szCs w:val="27"/>
          <w:rtl/>
        </w:rPr>
        <w:t>ى</w:t>
      </w:r>
      <w:r w:rsidRPr="00282AC9">
        <w:rPr>
          <w:rFonts w:ascii="Sakkal Majalla" w:hAnsi="Sakkal Majalla" w:cs="AL-Mohanad" w:hint="cs"/>
          <w:sz w:val="27"/>
          <w:szCs w:val="27"/>
          <w:rtl/>
        </w:rPr>
        <w:t xml:space="preserve"> الحر</w:t>
      </w:r>
      <w:r w:rsidRPr="00282AC9">
        <w:rPr>
          <w:rFonts w:cs="AL-Mohanad" w:hint="cs"/>
          <w:sz w:val="27"/>
          <w:szCs w:val="27"/>
          <w:rtl/>
        </w:rPr>
        <w:t>ي</w:t>
      </w:r>
      <w:r w:rsidRPr="00282AC9">
        <w:rPr>
          <w:rFonts w:ascii="Sakkal Majalla" w:hAnsi="Sakkal Majalla" w:cs="AL-Mohanad" w:hint="cs"/>
          <w:sz w:val="27"/>
          <w:szCs w:val="27"/>
          <w:rtl/>
        </w:rPr>
        <w:t>ر والخشب والقراط</w:t>
      </w:r>
      <w:r w:rsidRPr="00282AC9">
        <w:rPr>
          <w:rFonts w:cs="AL-Mohanad" w:hint="cs"/>
          <w:sz w:val="27"/>
          <w:szCs w:val="27"/>
          <w:rtl/>
        </w:rPr>
        <w:t>ي</w:t>
      </w:r>
      <w:r w:rsidRPr="00282AC9">
        <w:rPr>
          <w:rFonts w:ascii="Sakkal Majalla" w:hAnsi="Sakkal Majalla" w:cs="AL-Mohanad" w:hint="cs"/>
          <w:sz w:val="27"/>
          <w:szCs w:val="27"/>
          <w:rtl/>
        </w:rPr>
        <w:t>س في مصحفٍ واحد.</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نعم، رُبَما </w:t>
      </w:r>
      <w:r w:rsidRPr="00282AC9">
        <w:rPr>
          <w:rFonts w:cs="AL-Mohanad" w:hint="cs"/>
          <w:sz w:val="27"/>
          <w:szCs w:val="27"/>
          <w:rtl/>
        </w:rPr>
        <w:t>ي</w:t>
      </w:r>
      <w:r w:rsidRPr="00282AC9">
        <w:rPr>
          <w:rFonts w:ascii="Sakkal Majalla" w:hAnsi="Sakkal Majalla" w:cs="AL-Mohanad" w:hint="cs"/>
          <w:sz w:val="27"/>
          <w:szCs w:val="27"/>
          <w:rtl/>
        </w:rPr>
        <w:t>قال: إنّه وإنْ كان جمع القرآن الذ</w:t>
      </w:r>
      <w:r w:rsidRPr="00282AC9">
        <w:rPr>
          <w:rFonts w:cs="AL-Mohanad" w:hint="cs"/>
          <w:sz w:val="27"/>
          <w:szCs w:val="27"/>
          <w:rtl/>
        </w:rPr>
        <w:t>ي</w:t>
      </w:r>
      <w:r w:rsidRPr="00282AC9">
        <w:rPr>
          <w:rFonts w:ascii="Sakkal Majalla" w:hAnsi="Sakkal Majalla" w:cs="AL-Mohanad" w:hint="cs"/>
          <w:sz w:val="27"/>
          <w:szCs w:val="27"/>
          <w:rtl/>
        </w:rPr>
        <w:t xml:space="preserve"> قام به عليٌّ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كان حَسْب ترت</w:t>
      </w:r>
      <w:r w:rsidRPr="00282AC9">
        <w:rPr>
          <w:rFonts w:cs="AL-Mohanad" w:hint="cs"/>
          <w:sz w:val="27"/>
          <w:szCs w:val="27"/>
          <w:rtl/>
        </w:rPr>
        <w:t>ي</w:t>
      </w:r>
      <w:r w:rsidRPr="00282AC9">
        <w:rPr>
          <w:rFonts w:ascii="Sakkal Majalla" w:hAnsi="Sakkal Majalla" w:cs="AL-Mohanad" w:hint="cs"/>
          <w:sz w:val="27"/>
          <w:szCs w:val="27"/>
          <w:rtl/>
        </w:rPr>
        <w:t>ب نزول الآ</w:t>
      </w:r>
      <w:r w:rsidRPr="00282AC9">
        <w:rPr>
          <w:rFonts w:cs="AL-Mohanad" w:hint="cs"/>
          <w:sz w:val="27"/>
          <w:szCs w:val="27"/>
          <w:rtl/>
        </w:rPr>
        <w:t>ي</w:t>
      </w:r>
      <w:r w:rsidRPr="00282AC9">
        <w:rPr>
          <w:rFonts w:ascii="Sakkal Majalla" w:hAnsi="Sakkal Majalla" w:cs="AL-Mohanad" w:hint="cs"/>
          <w:sz w:val="27"/>
          <w:szCs w:val="27"/>
          <w:rtl/>
        </w:rPr>
        <w:t xml:space="preserve">ات، ممّا </w:t>
      </w:r>
      <w:r w:rsidRPr="00282AC9">
        <w:rPr>
          <w:rFonts w:cs="AL-Mohanad" w:hint="cs"/>
          <w:sz w:val="27"/>
          <w:szCs w:val="27"/>
          <w:rtl/>
        </w:rPr>
        <w:t>ي</w:t>
      </w:r>
      <w:r w:rsidRPr="00282AC9">
        <w:rPr>
          <w:rFonts w:ascii="Sakkal Majalla" w:hAnsi="Sakkal Majalla" w:cs="AL-Mohanad" w:hint="cs"/>
          <w:sz w:val="27"/>
          <w:szCs w:val="27"/>
          <w:rtl/>
        </w:rPr>
        <w:t>عني أنّ القرآن الذي كُتب في زمن النبيّ أ</w:t>
      </w:r>
      <w:r w:rsidRPr="00282AC9">
        <w:rPr>
          <w:rFonts w:cs="AL-Mohanad" w:hint="cs"/>
          <w:sz w:val="27"/>
          <w:szCs w:val="27"/>
          <w:rtl/>
        </w:rPr>
        <w:t>ي</w:t>
      </w:r>
      <w:r w:rsidRPr="00282AC9">
        <w:rPr>
          <w:rFonts w:ascii="Sakkal Majalla" w:hAnsi="Sakkal Majalla" w:cs="AL-Mohanad" w:hint="cs"/>
          <w:sz w:val="27"/>
          <w:szCs w:val="27"/>
          <w:rtl/>
        </w:rPr>
        <w:t>ضاً كان حَسْب ترت</w:t>
      </w:r>
      <w:r w:rsidRPr="00282AC9">
        <w:rPr>
          <w:rFonts w:cs="AL-Mohanad" w:hint="cs"/>
          <w:sz w:val="27"/>
          <w:szCs w:val="27"/>
          <w:rtl/>
        </w:rPr>
        <w:t>ي</w:t>
      </w:r>
      <w:r w:rsidRPr="00282AC9">
        <w:rPr>
          <w:rFonts w:ascii="Sakkal Majalla" w:hAnsi="Sakkal Majalla" w:cs="AL-Mohanad" w:hint="cs"/>
          <w:sz w:val="27"/>
          <w:szCs w:val="27"/>
          <w:rtl/>
        </w:rPr>
        <w:t xml:space="preserve">ب النزول؛ لأنّ عليّاً لا </w:t>
      </w:r>
      <w:r w:rsidRPr="00282AC9">
        <w:rPr>
          <w:rFonts w:cs="AL-Mohanad" w:hint="cs"/>
          <w:sz w:val="27"/>
          <w:szCs w:val="27"/>
          <w:rtl/>
        </w:rPr>
        <w:t>ي</w:t>
      </w:r>
      <w:r w:rsidRPr="00282AC9">
        <w:rPr>
          <w:rFonts w:ascii="Sakkal Majalla" w:hAnsi="Sakkal Majalla" w:cs="AL-Mohanad" w:hint="cs"/>
          <w:sz w:val="27"/>
          <w:szCs w:val="27"/>
          <w:rtl/>
        </w:rPr>
        <w:t>خالف ما كتبه النب</w:t>
      </w:r>
      <w:r w:rsidRPr="00282AC9">
        <w:rPr>
          <w:rFonts w:cs="AL-Mohanad" w:hint="cs"/>
          <w:sz w:val="27"/>
          <w:szCs w:val="27"/>
          <w:rtl/>
        </w:rPr>
        <w:t>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إلاَّ أنّ هذا مجرّد احتمالٍ لا دل</w:t>
      </w:r>
      <w:r w:rsidRPr="00282AC9">
        <w:rPr>
          <w:rFonts w:cs="AL-Mohanad" w:hint="cs"/>
          <w:sz w:val="27"/>
          <w:szCs w:val="27"/>
          <w:rtl/>
        </w:rPr>
        <w:t>ي</w:t>
      </w:r>
      <w:r w:rsidRPr="00282AC9">
        <w:rPr>
          <w:rFonts w:ascii="Sakkal Majalla" w:hAnsi="Sakkal Majalla" w:cs="AL-Mohanad" w:hint="cs"/>
          <w:sz w:val="27"/>
          <w:szCs w:val="27"/>
          <w:rtl/>
        </w:rPr>
        <w:t>ل عل</w:t>
      </w:r>
      <w:r w:rsidRPr="00282AC9">
        <w:rPr>
          <w:rFonts w:cs="AL-Mohanad" w:hint="cs"/>
          <w:sz w:val="27"/>
          <w:szCs w:val="27"/>
          <w:rtl/>
        </w:rPr>
        <w:t>ي</w:t>
      </w:r>
      <w:r w:rsidRPr="00282AC9">
        <w:rPr>
          <w:rFonts w:ascii="Sakkal Majalla" w:hAnsi="Sakkal Majalla" w:cs="AL-Mohanad" w:hint="cs"/>
          <w:sz w:val="27"/>
          <w:szCs w:val="27"/>
          <w:rtl/>
        </w:rPr>
        <w:t>ه. وس</w:t>
      </w:r>
      <w:r w:rsidRPr="00282AC9">
        <w:rPr>
          <w:rFonts w:cs="AL-Mohanad" w:hint="cs"/>
          <w:sz w:val="27"/>
          <w:szCs w:val="27"/>
          <w:rtl/>
        </w:rPr>
        <w:t>ي</w:t>
      </w:r>
      <w:r w:rsidRPr="00282AC9">
        <w:rPr>
          <w:rFonts w:ascii="Sakkal Majalla" w:hAnsi="Sakkal Majalla" w:cs="AL-Mohanad" w:hint="cs"/>
          <w:sz w:val="27"/>
          <w:szCs w:val="27"/>
          <w:rtl/>
        </w:rPr>
        <w:t>أت</w:t>
      </w:r>
      <w:r w:rsidRPr="00282AC9">
        <w:rPr>
          <w:rFonts w:cs="AL-Mohanad" w:hint="cs"/>
          <w:sz w:val="27"/>
          <w:szCs w:val="27"/>
          <w:rtl/>
        </w:rPr>
        <w:t>ي</w:t>
      </w:r>
      <w:r w:rsidRPr="00282AC9">
        <w:rPr>
          <w:rFonts w:ascii="Sakkal Majalla" w:hAnsi="Sakkal Majalla" w:cs="AL-Mohanad" w:hint="cs"/>
          <w:sz w:val="27"/>
          <w:szCs w:val="27"/>
          <w:rtl/>
        </w:rPr>
        <w:t xml:space="preserve"> أنّ ترت</w:t>
      </w:r>
      <w:r w:rsidRPr="00282AC9">
        <w:rPr>
          <w:rFonts w:cs="AL-Mohanad" w:hint="cs"/>
          <w:sz w:val="27"/>
          <w:szCs w:val="27"/>
          <w:rtl/>
        </w:rPr>
        <w:t>ي</w:t>
      </w:r>
      <w:r w:rsidRPr="00282AC9">
        <w:rPr>
          <w:rFonts w:ascii="Sakkal Majalla" w:hAnsi="Sakkal Majalla" w:cs="AL-Mohanad" w:hint="cs"/>
          <w:sz w:val="27"/>
          <w:szCs w:val="27"/>
          <w:rtl/>
        </w:rPr>
        <w:t>ب القرآن الذي كتبه عليٌّ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لا </w:t>
      </w:r>
      <w:r w:rsidRPr="00282AC9">
        <w:rPr>
          <w:rFonts w:cs="AL-Mohanad" w:hint="cs"/>
          <w:sz w:val="27"/>
          <w:szCs w:val="27"/>
          <w:rtl/>
        </w:rPr>
        <w:t>ي</w:t>
      </w:r>
      <w:r w:rsidRPr="00282AC9">
        <w:rPr>
          <w:rFonts w:ascii="Sakkal Majalla" w:hAnsi="Sakkal Majalla" w:cs="AL-Mohanad" w:hint="cs"/>
          <w:sz w:val="27"/>
          <w:szCs w:val="27"/>
          <w:rtl/>
        </w:rPr>
        <w:t>ختلف عن القرآن الموجود ف</w:t>
      </w:r>
      <w:r w:rsidRPr="00282AC9">
        <w:rPr>
          <w:rFonts w:cs="AL-Mohanad" w:hint="cs"/>
          <w:sz w:val="27"/>
          <w:szCs w:val="27"/>
          <w:rtl/>
        </w:rPr>
        <w:t>ي</w:t>
      </w:r>
      <w:r w:rsidRPr="00282AC9">
        <w:rPr>
          <w:rFonts w:ascii="Sakkal Majalla" w:hAnsi="Sakkal Majalla" w:cs="AL-Mohanad" w:hint="cs"/>
          <w:sz w:val="27"/>
          <w:szCs w:val="27"/>
          <w:rtl/>
        </w:rPr>
        <w:t>ما ب</w:t>
      </w:r>
      <w:r w:rsidRPr="00282AC9">
        <w:rPr>
          <w:rFonts w:cs="AL-Mohanad" w:hint="cs"/>
          <w:sz w:val="27"/>
          <w:szCs w:val="27"/>
          <w:rtl/>
        </w:rPr>
        <w:t>ي</w:t>
      </w:r>
      <w:r w:rsidRPr="00282AC9">
        <w:rPr>
          <w:rFonts w:ascii="Sakkal Majalla" w:hAnsi="Sakkal Majalla" w:cs="AL-Mohanad" w:hint="cs"/>
          <w:sz w:val="27"/>
          <w:szCs w:val="27"/>
          <w:rtl/>
        </w:rPr>
        <w:t>ننا.</w:t>
      </w:r>
    </w:p>
    <w:p w:rsidR="00EF541F" w:rsidRPr="00282AC9" w:rsidRDefault="00EF541F" w:rsidP="00EF541F">
      <w:pPr>
        <w:spacing w:line="420" w:lineRule="exact"/>
        <w:rPr>
          <w:sz w:val="27"/>
          <w:rtl/>
        </w:rPr>
      </w:pPr>
    </w:p>
    <w:p w:rsidR="00376D03" w:rsidRPr="00282AC9" w:rsidRDefault="00F939B0" w:rsidP="00376D03">
      <w:pPr>
        <w:pStyle w:val="31"/>
        <w:rPr>
          <w:color w:val="auto"/>
          <w:rtl/>
        </w:rPr>
      </w:pPr>
      <w:r w:rsidRPr="00282AC9">
        <w:rPr>
          <w:rFonts w:hint="cs"/>
          <w:color w:val="auto"/>
          <w:rtl/>
        </w:rPr>
        <w:t>د ـ</w:t>
      </w:r>
      <w:r w:rsidRPr="00282AC9">
        <w:rPr>
          <w:rFonts w:hint="cs"/>
          <w:b/>
          <w:color w:val="auto"/>
          <w:rtl/>
        </w:rPr>
        <w:t xml:space="preserve"> </w:t>
      </w:r>
      <w:r w:rsidR="00376D03" w:rsidRPr="00282AC9">
        <w:rPr>
          <w:rFonts w:hint="cs"/>
          <w:color w:val="auto"/>
          <w:rtl/>
        </w:rPr>
        <w:t>(جمع القرآن) في معانيه المختلفة</w:t>
      </w:r>
    </w:p>
    <w:p w:rsidR="00F939B0" w:rsidRPr="00282AC9" w:rsidRDefault="00F939B0" w:rsidP="001D1A88">
      <w:pPr>
        <w:pStyle w:val="afc"/>
        <w:rPr>
          <w:rFonts w:ascii="Sakkal Majalla" w:hAnsi="Sakkal Majalla" w:cs="AL-Mohanad"/>
          <w:b/>
          <w:bCs/>
          <w:sz w:val="27"/>
          <w:szCs w:val="27"/>
          <w:rtl/>
        </w:rPr>
      </w:pPr>
      <w:r w:rsidRPr="00282AC9">
        <w:rPr>
          <w:rFonts w:ascii="Sakkal Majalla" w:hAnsi="Sakkal Majalla" w:cs="AL-Mohanad" w:hint="cs"/>
          <w:sz w:val="27"/>
          <w:szCs w:val="27"/>
          <w:rtl/>
        </w:rPr>
        <w:t xml:space="preserve">إنّ مصطلح جمع القرآن </w:t>
      </w:r>
      <w:r w:rsidRPr="00282AC9">
        <w:rPr>
          <w:rFonts w:cs="AL-Mohanad" w:hint="cs"/>
          <w:sz w:val="27"/>
          <w:szCs w:val="27"/>
          <w:rtl/>
        </w:rPr>
        <w:t>ي</w:t>
      </w:r>
      <w:r w:rsidRPr="00282AC9">
        <w:rPr>
          <w:rFonts w:ascii="Sakkal Majalla" w:hAnsi="Sakkal Majalla" w:cs="AL-Mohanad" w:hint="cs"/>
          <w:sz w:val="27"/>
          <w:szCs w:val="27"/>
          <w:rtl/>
        </w:rPr>
        <w:t>طلق عل</w:t>
      </w:r>
      <w:r w:rsidRPr="00282AC9">
        <w:rPr>
          <w:rFonts w:cs="AL-Mohanad" w:hint="cs"/>
          <w:sz w:val="27"/>
          <w:szCs w:val="27"/>
          <w:rtl/>
        </w:rPr>
        <w:t>ى</w:t>
      </w:r>
      <w:r w:rsidRPr="00282AC9">
        <w:rPr>
          <w:rFonts w:ascii="Sakkal Majalla" w:hAnsi="Sakkal Majalla" w:cs="AL-Mohanad" w:hint="cs"/>
          <w:sz w:val="27"/>
          <w:szCs w:val="27"/>
          <w:rtl/>
        </w:rPr>
        <w:t xml:space="preserve"> معانٍ أربعة:</w:t>
      </w:r>
    </w:p>
    <w:p w:rsidR="00F939B0" w:rsidRPr="00282AC9" w:rsidRDefault="00F939B0" w:rsidP="001D1A88">
      <w:pPr>
        <w:pStyle w:val="afc"/>
        <w:rPr>
          <w:rFonts w:ascii="Sakkal Majalla" w:hAnsi="Sakkal Majalla" w:cs="AL-Mohanad"/>
          <w:b/>
          <w:bCs/>
          <w:sz w:val="27"/>
          <w:szCs w:val="27"/>
          <w:rtl/>
        </w:rPr>
      </w:pPr>
      <w:r w:rsidRPr="00282AC9">
        <w:rPr>
          <w:rFonts w:ascii="Sakkal Majalla" w:hAnsi="Sakkal Majalla" w:cs="AL-Mohanad" w:hint="cs"/>
          <w:sz w:val="27"/>
          <w:szCs w:val="27"/>
          <w:rtl/>
        </w:rPr>
        <w:t xml:space="preserve">1ـ </w:t>
      </w:r>
      <w:r w:rsidRPr="00282AC9">
        <w:rPr>
          <w:rFonts w:cs="AL-Mohanad" w:hint="cs"/>
          <w:sz w:val="27"/>
          <w:szCs w:val="27"/>
          <w:rtl/>
        </w:rPr>
        <w:t>يُ</w:t>
      </w:r>
      <w:r w:rsidRPr="00282AC9">
        <w:rPr>
          <w:rFonts w:ascii="Sakkal Majalla" w:hAnsi="Sakkal Majalla" w:cs="AL-Mohanad" w:hint="cs"/>
          <w:sz w:val="27"/>
          <w:szCs w:val="27"/>
          <w:rtl/>
        </w:rPr>
        <w:t>راد به جمعه في صدور المسلم</w:t>
      </w:r>
      <w:r w:rsidRPr="00282AC9">
        <w:rPr>
          <w:rFonts w:cs="AL-Mohanad" w:hint="cs"/>
          <w:sz w:val="27"/>
          <w:szCs w:val="27"/>
          <w:rtl/>
        </w:rPr>
        <w:t>ي</w:t>
      </w:r>
      <w:r w:rsidRPr="00282AC9">
        <w:rPr>
          <w:rFonts w:ascii="Sakkal Majalla" w:hAnsi="Sakkal Majalla" w:cs="AL-Mohanad" w:hint="cs"/>
          <w:sz w:val="27"/>
          <w:szCs w:val="27"/>
          <w:rtl/>
        </w:rPr>
        <w:t>ن، بمعن</w:t>
      </w:r>
      <w:r w:rsidRPr="00282AC9">
        <w:rPr>
          <w:rFonts w:cs="AL-Mohanad" w:hint="cs"/>
          <w:sz w:val="27"/>
          <w:szCs w:val="27"/>
          <w:rtl/>
        </w:rPr>
        <w:t>ى</w:t>
      </w:r>
      <w:r w:rsidRPr="00282AC9">
        <w:rPr>
          <w:rFonts w:ascii="Sakkal Majalla" w:hAnsi="Sakkal Majalla" w:cs="AL-Mohanad" w:hint="cs"/>
          <w:sz w:val="27"/>
          <w:szCs w:val="27"/>
          <w:rtl/>
        </w:rPr>
        <w:t xml:space="preserve"> حفظهم له.</w:t>
      </w:r>
      <w:r w:rsidRPr="00282AC9">
        <w:rPr>
          <w:rFonts w:ascii="Sakkal Majalla" w:hAnsi="Sakkal Majalla" w:cs="AL-Mohanad" w:hint="cs"/>
          <w:b/>
          <w:bCs/>
          <w:sz w:val="27"/>
          <w:szCs w:val="27"/>
          <w:rtl/>
        </w:rPr>
        <w:t xml:space="preserve"> </w:t>
      </w:r>
    </w:p>
    <w:p w:rsidR="00F939B0" w:rsidRPr="00282AC9" w:rsidRDefault="00F939B0" w:rsidP="001D1A88">
      <w:pPr>
        <w:pStyle w:val="afc"/>
        <w:rPr>
          <w:rFonts w:ascii="Sakkal Majalla" w:hAnsi="Sakkal Majalla" w:cs="AL-Mohanad"/>
          <w:sz w:val="27"/>
          <w:szCs w:val="27"/>
        </w:rPr>
      </w:pPr>
      <w:r w:rsidRPr="00282AC9">
        <w:rPr>
          <w:rFonts w:ascii="Sakkal Majalla" w:hAnsi="Sakkal Majalla" w:cs="AL-Mohanad" w:hint="cs"/>
          <w:sz w:val="27"/>
          <w:szCs w:val="27"/>
          <w:rtl/>
        </w:rPr>
        <w:t>2</w:t>
      </w:r>
      <w:r w:rsidRPr="00282AC9">
        <w:rPr>
          <w:rFonts w:ascii="Sakkal Majalla" w:hAnsi="Sakkal Majalla" w:cs="AL-Mohanad" w:hint="cs"/>
          <w:b/>
          <w:bCs/>
          <w:sz w:val="27"/>
          <w:szCs w:val="27"/>
          <w:rtl/>
        </w:rPr>
        <w:t>ـ</w:t>
      </w:r>
      <w:r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ُراد به مطلق كتابتهم له، سواء كان المكتوب عل</w:t>
      </w:r>
      <w:r w:rsidRPr="00282AC9">
        <w:rPr>
          <w:rFonts w:cs="AL-Mohanad" w:hint="cs"/>
          <w:sz w:val="27"/>
          <w:szCs w:val="27"/>
          <w:rtl/>
        </w:rPr>
        <w:t>ي</w:t>
      </w:r>
      <w:r w:rsidRPr="00282AC9">
        <w:rPr>
          <w:rFonts w:ascii="Sakkal Majalla" w:hAnsi="Sakkal Majalla" w:cs="AL-Mohanad" w:hint="cs"/>
          <w:sz w:val="27"/>
          <w:szCs w:val="27"/>
          <w:rtl/>
        </w:rPr>
        <w:t>ه مصحفاً محاطاً بدفّت</w:t>
      </w:r>
      <w:r w:rsidRPr="00282AC9">
        <w:rPr>
          <w:rFonts w:cs="AL-Mohanad" w:hint="cs"/>
          <w:sz w:val="27"/>
          <w:szCs w:val="27"/>
          <w:rtl/>
        </w:rPr>
        <w:t>ي</w:t>
      </w:r>
      <w:r w:rsidRPr="00282AC9">
        <w:rPr>
          <w:rFonts w:ascii="Sakkal Majalla" w:hAnsi="Sakkal Majalla" w:cs="AL-Mohanad" w:hint="cs"/>
          <w:sz w:val="27"/>
          <w:szCs w:val="27"/>
          <w:rtl/>
        </w:rPr>
        <w:t>ن أو جلداً أو خشباً أو غ</w:t>
      </w:r>
      <w:r w:rsidRPr="00282AC9">
        <w:rPr>
          <w:rFonts w:cs="AL-Mohanad" w:hint="cs"/>
          <w:sz w:val="27"/>
          <w:szCs w:val="27"/>
          <w:rtl/>
        </w:rPr>
        <w:t>ي</w:t>
      </w:r>
      <w:r w:rsidRPr="00282AC9">
        <w:rPr>
          <w:rFonts w:ascii="Sakkal Majalla" w:hAnsi="Sakkal Majalla" w:cs="AL-Mohanad" w:hint="cs"/>
          <w:sz w:val="27"/>
          <w:szCs w:val="27"/>
          <w:rtl/>
        </w:rPr>
        <w:t xml:space="preserve">ر ذلك. </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3ـ </w:t>
      </w:r>
      <w:r w:rsidRPr="00282AC9">
        <w:rPr>
          <w:rFonts w:cs="AL-Mohanad" w:hint="cs"/>
          <w:sz w:val="27"/>
          <w:szCs w:val="27"/>
          <w:rtl/>
        </w:rPr>
        <w:t>ي</w:t>
      </w:r>
      <w:r w:rsidRPr="00282AC9">
        <w:rPr>
          <w:rFonts w:ascii="Sakkal Majalla" w:hAnsi="Sakkal Majalla" w:cs="AL-Mohanad" w:hint="cs"/>
          <w:sz w:val="27"/>
          <w:szCs w:val="27"/>
          <w:rtl/>
        </w:rPr>
        <w:t xml:space="preserve">ُراد به جمعه ضمن مصحفٍ واحد. </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4ـ المقصود بجمع القرآن توح</w:t>
      </w:r>
      <w:r w:rsidRPr="00282AC9">
        <w:rPr>
          <w:rFonts w:cs="AL-Mohanad" w:hint="cs"/>
          <w:sz w:val="27"/>
          <w:szCs w:val="27"/>
          <w:rtl/>
        </w:rPr>
        <w:t>ي</w:t>
      </w:r>
      <w:r w:rsidRPr="00282AC9">
        <w:rPr>
          <w:rFonts w:ascii="Sakkal Majalla" w:hAnsi="Sakkal Majalla" w:cs="AL-Mohanad" w:hint="cs"/>
          <w:sz w:val="27"/>
          <w:szCs w:val="27"/>
          <w:rtl/>
        </w:rPr>
        <w:t>د المصاحف، وجعل تلك المصاحف المتعدِّدة في مصحفٍ واحد</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61"/>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وعل</w:t>
      </w:r>
      <w:r w:rsidRPr="00282AC9">
        <w:rPr>
          <w:rFonts w:cs="AL-Mohanad" w:hint="cs"/>
          <w:sz w:val="27"/>
          <w:szCs w:val="27"/>
          <w:rtl/>
        </w:rPr>
        <w:t>ى</w:t>
      </w:r>
      <w:r w:rsidRPr="00282AC9">
        <w:rPr>
          <w:rFonts w:ascii="Sakkal Majalla" w:hAnsi="Sakkal Majalla" w:cs="AL-Mohanad" w:hint="cs"/>
          <w:sz w:val="27"/>
          <w:szCs w:val="27"/>
          <w:rtl/>
        </w:rPr>
        <w:t xml:space="preserve"> هذا الأساس، لو قبلنا صدور تلك الروا</w:t>
      </w:r>
      <w:r w:rsidRPr="00282AC9">
        <w:rPr>
          <w:rFonts w:cs="AL-Mohanad" w:hint="cs"/>
          <w:sz w:val="27"/>
          <w:szCs w:val="27"/>
          <w:rtl/>
        </w:rPr>
        <w:t>ي</w:t>
      </w:r>
      <w:r w:rsidRPr="00282AC9">
        <w:rPr>
          <w:rFonts w:ascii="Sakkal Majalla" w:hAnsi="Sakkal Majalla" w:cs="AL-Mohanad" w:hint="cs"/>
          <w:sz w:val="27"/>
          <w:szCs w:val="27"/>
          <w:rtl/>
        </w:rPr>
        <w:t>ات التي استند إل</w:t>
      </w:r>
      <w:r w:rsidRPr="00282AC9">
        <w:rPr>
          <w:rFonts w:cs="AL-Mohanad" w:hint="cs"/>
          <w:sz w:val="27"/>
          <w:szCs w:val="27"/>
          <w:rtl/>
        </w:rPr>
        <w:t>ي</w:t>
      </w:r>
      <w:r w:rsidRPr="00282AC9">
        <w:rPr>
          <w:rFonts w:ascii="Sakkal Majalla" w:hAnsi="Sakkal Majalla" w:cs="AL-Mohanad" w:hint="cs"/>
          <w:sz w:val="27"/>
          <w:szCs w:val="27"/>
          <w:rtl/>
        </w:rPr>
        <w:t>ها العلاّمة للقول بعدم توق</w:t>
      </w:r>
      <w:r w:rsidRPr="00282AC9">
        <w:rPr>
          <w:rFonts w:cs="AL-Mohanad" w:hint="cs"/>
          <w:sz w:val="27"/>
          <w:szCs w:val="27"/>
          <w:rtl/>
        </w:rPr>
        <w:t>ي</w:t>
      </w:r>
      <w:r w:rsidRPr="00282AC9">
        <w:rPr>
          <w:rFonts w:ascii="Sakkal Majalla" w:hAnsi="Sakkal Majalla" w:cs="AL-Mohanad" w:hint="cs"/>
          <w:sz w:val="27"/>
          <w:szCs w:val="27"/>
          <w:rtl/>
        </w:rPr>
        <w:t>ف</w:t>
      </w:r>
      <w:r w:rsidRPr="00282AC9">
        <w:rPr>
          <w:rFonts w:cs="AL-Mohanad" w:hint="cs"/>
          <w:sz w:val="27"/>
          <w:szCs w:val="27"/>
          <w:rtl/>
        </w:rPr>
        <w:t>ي</w:t>
      </w:r>
      <w:r w:rsidRPr="00282AC9">
        <w:rPr>
          <w:rFonts w:ascii="Sakkal Majalla" w:hAnsi="Sakkal Majalla" w:cs="AL-Mohanad" w:hint="cs"/>
          <w:sz w:val="27"/>
          <w:szCs w:val="27"/>
          <w:rtl/>
        </w:rPr>
        <w:t>ة ترت</w:t>
      </w:r>
      <w:r w:rsidRPr="00282AC9">
        <w:rPr>
          <w:rFonts w:cs="AL-Mohanad" w:hint="cs"/>
          <w:sz w:val="27"/>
          <w:szCs w:val="27"/>
          <w:rtl/>
        </w:rPr>
        <w:t>ي</w:t>
      </w:r>
      <w:r w:rsidRPr="00282AC9">
        <w:rPr>
          <w:rFonts w:ascii="Sakkal Majalla" w:hAnsi="Sakkal Majalla" w:cs="AL-Mohanad" w:hint="cs"/>
          <w:sz w:val="27"/>
          <w:szCs w:val="27"/>
          <w:rtl/>
        </w:rPr>
        <w:t>ب الآ</w:t>
      </w:r>
      <w:r w:rsidRPr="00282AC9">
        <w:rPr>
          <w:rFonts w:cs="AL-Mohanad" w:hint="cs"/>
          <w:sz w:val="27"/>
          <w:szCs w:val="27"/>
          <w:rtl/>
        </w:rPr>
        <w:t>ي</w:t>
      </w:r>
      <w:r w:rsidRPr="00282AC9">
        <w:rPr>
          <w:rFonts w:ascii="Sakkal Majalla" w:hAnsi="Sakkal Majalla" w:cs="AL-Mohanad" w:hint="cs"/>
          <w:sz w:val="27"/>
          <w:szCs w:val="27"/>
          <w:rtl/>
        </w:rPr>
        <w:t>ات فهي لا تنافي القول بتدو</w:t>
      </w:r>
      <w:r w:rsidRPr="00282AC9">
        <w:rPr>
          <w:rFonts w:cs="AL-Mohanad" w:hint="cs"/>
          <w:sz w:val="27"/>
          <w:szCs w:val="27"/>
          <w:rtl/>
        </w:rPr>
        <w:t>ي</w:t>
      </w:r>
      <w:r w:rsidRPr="00282AC9">
        <w:rPr>
          <w:rFonts w:ascii="Sakkal Majalla" w:hAnsi="Sakkal Majalla" w:cs="AL-Mohanad" w:hint="cs"/>
          <w:sz w:val="27"/>
          <w:szCs w:val="27"/>
          <w:rtl/>
        </w:rPr>
        <w:t>ن القرآن في عهد النبيّ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لأننا لا نر</w:t>
      </w:r>
      <w:r w:rsidRPr="00282AC9">
        <w:rPr>
          <w:rFonts w:cs="AL-Mohanad" w:hint="cs"/>
          <w:sz w:val="27"/>
          <w:szCs w:val="27"/>
          <w:rtl/>
        </w:rPr>
        <w:t>ي</w:t>
      </w:r>
      <w:r w:rsidRPr="00282AC9">
        <w:rPr>
          <w:rFonts w:ascii="Sakkal Majalla" w:hAnsi="Sakkal Majalla" w:cs="AL-Mohanad" w:hint="cs"/>
          <w:sz w:val="27"/>
          <w:szCs w:val="27"/>
          <w:rtl/>
        </w:rPr>
        <w:t>د بجمع القرآن في زمن النبيّ إلاّ كتابته وتدو</w:t>
      </w:r>
      <w:r w:rsidRPr="00282AC9">
        <w:rPr>
          <w:rFonts w:cs="AL-Mohanad" w:hint="cs"/>
          <w:sz w:val="27"/>
          <w:szCs w:val="27"/>
          <w:rtl/>
        </w:rPr>
        <w:t>ي</w:t>
      </w:r>
      <w:r w:rsidRPr="00282AC9">
        <w:rPr>
          <w:rFonts w:ascii="Sakkal Majalla" w:hAnsi="Sakkal Majalla" w:cs="AL-Mohanad" w:hint="cs"/>
          <w:sz w:val="27"/>
          <w:szCs w:val="27"/>
          <w:rtl/>
        </w:rPr>
        <w:t>نه عل</w:t>
      </w:r>
      <w:r w:rsidRPr="00282AC9">
        <w:rPr>
          <w:rFonts w:cs="AL-Mohanad" w:hint="cs"/>
          <w:sz w:val="27"/>
          <w:szCs w:val="27"/>
          <w:rtl/>
        </w:rPr>
        <w:t>ى</w:t>
      </w:r>
      <w:r w:rsidRPr="00282AC9">
        <w:rPr>
          <w:rFonts w:ascii="Sakkal Majalla" w:hAnsi="Sakkal Majalla" w:cs="AL-Mohanad" w:hint="cs"/>
          <w:sz w:val="27"/>
          <w:szCs w:val="27"/>
          <w:rtl/>
        </w:rPr>
        <w:t xml:space="preserve"> الأخشاب والقراط</w:t>
      </w:r>
      <w:r w:rsidRPr="00282AC9">
        <w:rPr>
          <w:rFonts w:cs="AL-Mohanad" w:hint="cs"/>
          <w:sz w:val="27"/>
          <w:szCs w:val="27"/>
          <w:rtl/>
        </w:rPr>
        <w:t>ي</w:t>
      </w:r>
      <w:r w:rsidRPr="00282AC9">
        <w:rPr>
          <w:rFonts w:ascii="Sakkal Majalla" w:hAnsi="Sakkal Majalla" w:cs="AL-Mohanad" w:hint="cs"/>
          <w:sz w:val="27"/>
          <w:szCs w:val="27"/>
          <w:rtl/>
        </w:rPr>
        <w:t>س والجلود وغ</w:t>
      </w:r>
      <w:r w:rsidRPr="00282AC9">
        <w:rPr>
          <w:rFonts w:cs="AL-Mohanad" w:hint="cs"/>
          <w:sz w:val="27"/>
          <w:szCs w:val="27"/>
          <w:rtl/>
        </w:rPr>
        <w:t>ي</w:t>
      </w:r>
      <w:r w:rsidRPr="00282AC9">
        <w:rPr>
          <w:rFonts w:ascii="Sakkal Majalla" w:hAnsi="Sakkal Majalla" w:cs="AL-Mohanad" w:hint="cs"/>
          <w:sz w:val="27"/>
          <w:szCs w:val="27"/>
          <w:rtl/>
        </w:rPr>
        <w:t>رها، ونر</w:t>
      </w:r>
      <w:r w:rsidRPr="00282AC9">
        <w:rPr>
          <w:rFonts w:cs="AL-Mohanad" w:hint="cs"/>
          <w:sz w:val="27"/>
          <w:szCs w:val="27"/>
          <w:rtl/>
        </w:rPr>
        <w:t>ي</w:t>
      </w:r>
      <w:r w:rsidRPr="00282AC9">
        <w:rPr>
          <w:rFonts w:ascii="Sakkal Majalla" w:hAnsi="Sakkal Majalla" w:cs="AL-Mohanad" w:hint="cs"/>
          <w:sz w:val="27"/>
          <w:szCs w:val="27"/>
          <w:rtl/>
        </w:rPr>
        <w:t>د بجمعه في زمن الخلفاء جعل تلك الآ</w:t>
      </w:r>
      <w:r w:rsidRPr="00282AC9">
        <w:rPr>
          <w:rFonts w:cs="AL-Mohanad" w:hint="cs"/>
          <w:sz w:val="27"/>
          <w:szCs w:val="27"/>
          <w:rtl/>
        </w:rPr>
        <w:t>ي</w:t>
      </w:r>
      <w:r w:rsidRPr="00282AC9">
        <w:rPr>
          <w:rFonts w:ascii="Sakkal Majalla" w:hAnsi="Sakkal Majalla" w:cs="AL-Mohanad" w:hint="cs"/>
          <w:sz w:val="27"/>
          <w:szCs w:val="27"/>
          <w:rtl/>
        </w:rPr>
        <w:t>ات والسور المكتوبة عل</w:t>
      </w:r>
      <w:r w:rsidRPr="00282AC9">
        <w:rPr>
          <w:rFonts w:cs="AL-Mohanad" w:hint="cs"/>
          <w:sz w:val="27"/>
          <w:szCs w:val="27"/>
          <w:rtl/>
        </w:rPr>
        <w:t>ى</w:t>
      </w:r>
      <w:r w:rsidRPr="00282AC9">
        <w:rPr>
          <w:rFonts w:ascii="Sakkal Majalla" w:hAnsi="Sakkal Majalla" w:cs="AL-Mohanad" w:hint="cs"/>
          <w:sz w:val="27"/>
          <w:szCs w:val="27"/>
          <w:rtl/>
        </w:rPr>
        <w:t xml:space="preserve"> الأخشاب والقراط</w:t>
      </w:r>
      <w:r w:rsidRPr="00282AC9">
        <w:rPr>
          <w:rFonts w:cs="AL-Mohanad" w:hint="cs"/>
          <w:sz w:val="27"/>
          <w:szCs w:val="27"/>
          <w:rtl/>
        </w:rPr>
        <w:t>ي</w:t>
      </w:r>
      <w:r w:rsidRPr="00282AC9">
        <w:rPr>
          <w:rFonts w:ascii="Sakkal Majalla" w:hAnsi="Sakkal Majalla" w:cs="AL-Mohanad" w:hint="cs"/>
          <w:sz w:val="27"/>
          <w:szCs w:val="27"/>
          <w:rtl/>
        </w:rPr>
        <w:t>س والجلود في مصحفٍ محفوفٍ بدفّت</w:t>
      </w:r>
      <w:r w:rsidRPr="00282AC9">
        <w:rPr>
          <w:rFonts w:cs="AL-Mohanad" w:hint="cs"/>
          <w:sz w:val="27"/>
          <w:szCs w:val="27"/>
          <w:rtl/>
        </w:rPr>
        <w:t>ي</w:t>
      </w:r>
      <w:r w:rsidRPr="00282AC9">
        <w:rPr>
          <w:rFonts w:ascii="Sakkal Majalla" w:hAnsi="Sakkal Majalla" w:cs="AL-Mohanad" w:hint="cs"/>
          <w:sz w:val="27"/>
          <w:szCs w:val="27"/>
          <w:rtl/>
        </w:rPr>
        <w:t>ن، كما حصل في زمن أب</w:t>
      </w:r>
      <w:r w:rsidRPr="00282AC9">
        <w:rPr>
          <w:rFonts w:cs="AL-Mohanad" w:hint="cs"/>
          <w:sz w:val="27"/>
          <w:szCs w:val="27"/>
          <w:rtl/>
        </w:rPr>
        <w:t>ي</w:t>
      </w:r>
      <w:r w:rsidRPr="00282AC9">
        <w:rPr>
          <w:rFonts w:ascii="Sakkal Majalla" w:hAnsi="Sakkal Majalla" w:cs="AL-Mohanad" w:hint="cs"/>
          <w:sz w:val="27"/>
          <w:szCs w:val="27"/>
          <w:rtl/>
        </w:rPr>
        <w:t xml:space="preserve"> بكر؛ أو توح</w:t>
      </w:r>
      <w:r w:rsidRPr="00282AC9">
        <w:rPr>
          <w:rFonts w:cs="AL-Mohanad" w:hint="cs"/>
          <w:sz w:val="27"/>
          <w:szCs w:val="27"/>
          <w:rtl/>
        </w:rPr>
        <w:t>ي</w:t>
      </w:r>
      <w:r w:rsidRPr="00282AC9">
        <w:rPr>
          <w:rFonts w:ascii="Sakkal Majalla" w:hAnsi="Sakkal Majalla" w:cs="AL-Mohanad" w:hint="cs"/>
          <w:sz w:val="27"/>
          <w:szCs w:val="27"/>
          <w:rtl/>
        </w:rPr>
        <w:t>د المصاحف المتعدِّدة، كما حصل في زمن عثمان، فقد قام بتوح</w:t>
      </w:r>
      <w:r w:rsidRPr="00282AC9">
        <w:rPr>
          <w:rFonts w:cs="AL-Mohanad" w:hint="cs"/>
          <w:sz w:val="27"/>
          <w:szCs w:val="27"/>
          <w:rtl/>
        </w:rPr>
        <w:t>ي</w:t>
      </w:r>
      <w:r w:rsidRPr="00282AC9">
        <w:rPr>
          <w:rFonts w:ascii="Sakkal Majalla" w:hAnsi="Sakkal Majalla" w:cs="AL-Mohanad" w:hint="cs"/>
          <w:sz w:val="27"/>
          <w:szCs w:val="27"/>
          <w:rtl/>
        </w:rPr>
        <w:t>د المصاحف، وجَمَع الناس عل</w:t>
      </w:r>
      <w:r w:rsidRPr="00282AC9">
        <w:rPr>
          <w:rFonts w:cs="AL-Mohanad" w:hint="cs"/>
          <w:sz w:val="27"/>
          <w:szCs w:val="27"/>
          <w:rtl/>
        </w:rPr>
        <w:t>ى</w:t>
      </w:r>
      <w:r w:rsidRPr="00282AC9">
        <w:rPr>
          <w:rFonts w:ascii="Sakkal Majalla" w:hAnsi="Sakkal Majalla" w:cs="AL-Mohanad" w:hint="cs"/>
          <w:sz w:val="27"/>
          <w:szCs w:val="27"/>
          <w:rtl/>
        </w:rPr>
        <w:t xml:space="preserve"> قراءةٍ واحدةٍ، وهي القراءة المشهورة التي تلقّوها عن </w:t>
      </w:r>
      <w:r w:rsidRPr="00282AC9">
        <w:rPr>
          <w:rFonts w:ascii="Sakkal Majalla" w:hAnsi="Sakkal Majalla" w:cs="AL-Mohanad" w:hint="cs"/>
          <w:sz w:val="27"/>
          <w:szCs w:val="27"/>
          <w:rtl/>
        </w:rPr>
        <w:lastRenderedPageBreak/>
        <w:t>النبيّ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ومنع القراءات الأخر</w:t>
      </w:r>
      <w:r w:rsidRPr="00282AC9">
        <w:rPr>
          <w:rFonts w:cs="AL-Mohanad" w:hint="cs"/>
          <w:sz w:val="27"/>
          <w:szCs w:val="27"/>
          <w:rtl/>
        </w:rPr>
        <w:t>ى؛</w:t>
      </w:r>
      <w:r w:rsidRPr="00282AC9">
        <w:rPr>
          <w:rFonts w:ascii="Sakkal Majalla" w:hAnsi="Sakkal Majalla" w:cs="AL-Mohanad" w:hint="cs"/>
          <w:sz w:val="27"/>
          <w:szCs w:val="27"/>
          <w:rtl/>
        </w:rPr>
        <w:t xml:space="preserve"> ك</w:t>
      </w:r>
      <w:r w:rsidRPr="00282AC9">
        <w:rPr>
          <w:rFonts w:cs="AL-Mohanad" w:hint="cs"/>
          <w:sz w:val="27"/>
          <w:szCs w:val="27"/>
          <w:rtl/>
        </w:rPr>
        <w:t>ي</w:t>
      </w:r>
      <w:r w:rsidRPr="00282AC9">
        <w:rPr>
          <w:rFonts w:ascii="Sakkal Majalla" w:hAnsi="Sakkal Majalla" w:cs="AL-Mohanad" w:hint="cs"/>
          <w:sz w:val="27"/>
          <w:szCs w:val="27"/>
          <w:rtl/>
        </w:rPr>
        <w:t xml:space="preserve"> لا تؤدّي إلى الاختلاف ب</w:t>
      </w:r>
      <w:r w:rsidRPr="00282AC9">
        <w:rPr>
          <w:rFonts w:cs="AL-Mohanad" w:hint="cs"/>
          <w:sz w:val="27"/>
          <w:szCs w:val="27"/>
          <w:rtl/>
        </w:rPr>
        <w:t>ي</w:t>
      </w:r>
      <w:r w:rsidRPr="00282AC9">
        <w:rPr>
          <w:rFonts w:ascii="Sakkal Majalla" w:hAnsi="Sakkal Majalla" w:cs="AL-Mohanad" w:hint="cs"/>
          <w:sz w:val="27"/>
          <w:szCs w:val="27"/>
          <w:rtl/>
        </w:rPr>
        <w:t>ن المسلم</w:t>
      </w:r>
      <w:r w:rsidRPr="00282AC9">
        <w:rPr>
          <w:rFonts w:cs="AL-Mohanad" w:hint="cs"/>
          <w:sz w:val="27"/>
          <w:szCs w:val="27"/>
          <w:rtl/>
        </w:rPr>
        <w:t>ي</w:t>
      </w:r>
      <w:r w:rsidRPr="00282AC9">
        <w:rPr>
          <w:rFonts w:ascii="Sakkal Majalla" w:hAnsi="Sakkal Majalla" w:cs="AL-Mohanad" w:hint="cs"/>
          <w:sz w:val="27"/>
          <w:szCs w:val="27"/>
          <w:rtl/>
        </w:rPr>
        <w:t>ن، وتمز</w:t>
      </w:r>
      <w:r w:rsidRPr="00282AC9">
        <w:rPr>
          <w:rFonts w:cs="AL-Mohanad" w:hint="cs"/>
          <w:sz w:val="27"/>
          <w:szCs w:val="27"/>
          <w:rtl/>
        </w:rPr>
        <w:t>ي</w:t>
      </w:r>
      <w:r w:rsidRPr="00282AC9">
        <w:rPr>
          <w:rFonts w:ascii="Sakkal Majalla" w:hAnsi="Sakkal Majalla" w:cs="AL-Mohanad" w:hint="cs"/>
          <w:sz w:val="27"/>
          <w:szCs w:val="27"/>
          <w:rtl/>
        </w:rPr>
        <w:t>ق صفوفهم، وتفر</w:t>
      </w:r>
      <w:r w:rsidRPr="00282AC9">
        <w:rPr>
          <w:rFonts w:cs="AL-Mohanad" w:hint="cs"/>
          <w:sz w:val="27"/>
          <w:szCs w:val="27"/>
          <w:rtl/>
        </w:rPr>
        <w:t>ي</w:t>
      </w:r>
      <w:r w:rsidRPr="00282AC9">
        <w:rPr>
          <w:rFonts w:ascii="Sakkal Majalla" w:hAnsi="Sakkal Majalla" w:cs="AL-Mohanad" w:hint="cs"/>
          <w:sz w:val="27"/>
          <w:szCs w:val="27"/>
          <w:rtl/>
        </w:rPr>
        <w:t>ق وحدتهم. وهذا غ</w:t>
      </w:r>
      <w:r w:rsidRPr="00282AC9">
        <w:rPr>
          <w:rFonts w:cs="AL-Mohanad" w:hint="cs"/>
          <w:sz w:val="27"/>
          <w:szCs w:val="27"/>
          <w:rtl/>
        </w:rPr>
        <w:t>ي</w:t>
      </w:r>
      <w:r w:rsidRPr="00282AC9">
        <w:rPr>
          <w:rFonts w:ascii="Sakkal Majalla" w:hAnsi="Sakkal Majalla" w:cs="AL-Mohanad" w:hint="cs"/>
          <w:sz w:val="27"/>
          <w:szCs w:val="27"/>
          <w:rtl/>
        </w:rPr>
        <w:t xml:space="preserve">ر ما </w:t>
      </w:r>
      <w:r w:rsidRPr="00282AC9">
        <w:rPr>
          <w:rFonts w:cs="AL-Mohanad" w:hint="cs"/>
          <w:sz w:val="27"/>
          <w:szCs w:val="27"/>
          <w:rtl/>
        </w:rPr>
        <w:t>ي</w:t>
      </w:r>
      <w:r w:rsidRPr="00282AC9">
        <w:rPr>
          <w:rFonts w:ascii="Sakkal Majalla" w:hAnsi="Sakkal Majalla" w:cs="AL-Mohanad" w:hint="cs"/>
          <w:sz w:val="27"/>
          <w:szCs w:val="27"/>
          <w:rtl/>
        </w:rPr>
        <w:t>دَّع</w:t>
      </w:r>
      <w:r w:rsidRPr="00282AC9">
        <w:rPr>
          <w:rFonts w:cs="AL-Mohanad" w:hint="cs"/>
          <w:sz w:val="27"/>
          <w:szCs w:val="27"/>
          <w:rtl/>
        </w:rPr>
        <w:t>ي</w:t>
      </w:r>
      <w:r w:rsidRPr="00282AC9">
        <w:rPr>
          <w:rFonts w:ascii="Sakkal Majalla" w:hAnsi="Sakkal Majalla" w:cs="AL-Mohanad" w:hint="cs"/>
          <w:sz w:val="27"/>
          <w:szCs w:val="27"/>
          <w:rtl/>
        </w:rPr>
        <w:t xml:space="preserve">ه القائلون بجمع القرآن في عهد الخلفاء، فإنّهم </w:t>
      </w:r>
      <w:r w:rsidRPr="00282AC9">
        <w:rPr>
          <w:rFonts w:cs="AL-Mohanad" w:hint="cs"/>
          <w:sz w:val="27"/>
          <w:szCs w:val="27"/>
          <w:rtl/>
        </w:rPr>
        <w:t>ي</w:t>
      </w:r>
      <w:r w:rsidRPr="00282AC9">
        <w:rPr>
          <w:rFonts w:ascii="Sakkal Majalla" w:hAnsi="Sakkal Majalla" w:cs="AL-Mohanad" w:hint="cs"/>
          <w:sz w:val="27"/>
          <w:szCs w:val="27"/>
          <w:rtl/>
        </w:rPr>
        <w:t xml:space="preserve">عتقدون أنّ القرآن كُتِبَ في عهد الصحابة، ولم </w:t>
      </w:r>
      <w:r w:rsidRPr="00282AC9">
        <w:rPr>
          <w:rFonts w:cs="AL-Mohanad" w:hint="cs"/>
          <w:sz w:val="27"/>
          <w:szCs w:val="27"/>
          <w:rtl/>
        </w:rPr>
        <w:t>ي</w:t>
      </w:r>
      <w:r w:rsidRPr="00282AC9">
        <w:rPr>
          <w:rFonts w:ascii="Sakkal Majalla" w:hAnsi="Sakkal Majalla" w:cs="AL-Mohanad" w:hint="cs"/>
          <w:sz w:val="27"/>
          <w:szCs w:val="27"/>
          <w:rtl/>
        </w:rPr>
        <w:t>كن مكتوباً من قَبْلُ؛ استناداً إلى هذه الروا</w:t>
      </w:r>
      <w:r w:rsidRPr="00282AC9">
        <w:rPr>
          <w:rFonts w:cs="AL-Mohanad" w:hint="cs"/>
          <w:sz w:val="27"/>
          <w:szCs w:val="27"/>
          <w:rtl/>
        </w:rPr>
        <w:t>ي</w:t>
      </w:r>
      <w:r w:rsidRPr="00282AC9">
        <w:rPr>
          <w:rFonts w:ascii="Sakkal Majalla" w:hAnsi="Sakkal Majalla" w:cs="AL-Mohanad" w:hint="cs"/>
          <w:sz w:val="27"/>
          <w:szCs w:val="27"/>
          <w:rtl/>
        </w:rPr>
        <w:t>ات. وقد ظهر ممّا ب</w:t>
      </w:r>
      <w:r w:rsidRPr="00282AC9">
        <w:rPr>
          <w:rFonts w:cs="AL-Mohanad" w:hint="cs"/>
          <w:sz w:val="27"/>
          <w:szCs w:val="27"/>
          <w:rtl/>
        </w:rPr>
        <w:t>يَّ</w:t>
      </w:r>
      <w:r w:rsidRPr="00282AC9">
        <w:rPr>
          <w:rFonts w:ascii="Sakkal Majalla" w:hAnsi="Sakkal Majalla" w:cs="AL-Mohanad" w:hint="cs"/>
          <w:sz w:val="27"/>
          <w:szCs w:val="27"/>
          <w:rtl/>
        </w:rPr>
        <w:t>ن</w:t>
      </w:r>
      <w:r w:rsidR="00864287" w:rsidRPr="00282AC9">
        <w:rPr>
          <w:rFonts w:ascii="Sakkal Majalla" w:hAnsi="Sakkal Majalla" w:cs="AL-Mohanad" w:hint="cs"/>
          <w:sz w:val="27"/>
          <w:szCs w:val="27"/>
          <w:rtl/>
        </w:rPr>
        <w:t>ّ</w:t>
      </w:r>
      <w:r w:rsidRPr="00282AC9">
        <w:rPr>
          <w:rFonts w:ascii="Sakkal Majalla" w:hAnsi="Sakkal Majalla" w:cs="AL-Mohanad" w:hint="cs"/>
          <w:sz w:val="27"/>
          <w:szCs w:val="27"/>
          <w:rtl/>
        </w:rPr>
        <w:t>ا أنّ ما قام به عثمان هو توح</w:t>
      </w:r>
      <w:r w:rsidRPr="00282AC9">
        <w:rPr>
          <w:rFonts w:cs="AL-Mohanad" w:hint="cs"/>
          <w:sz w:val="27"/>
          <w:szCs w:val="27"/>
          <w:rtl/>
        </w:rPr>
        <w:t>ي</w:t>
      </w:r>
      <w:r w:rsidRPr="00282AC9">
        <w:rPr>
          <w:rFonts w:ascii="Sakkal Majalla" w:hAnsi="Sakkal Majalla" w:cs="AL-Mohanad" w:hint="cs"/>
          <w:sz w:val="27"/>
          <w:szCs w:val="27"/>
          <w:rtl/>
        </w:rPr>
        <w:t xml:space="preserve">د القراءة والمصاحف التي كانت مكتوبةً آنذاك، فلا </w:t>
      </w:r>
      <w:r w:rsidRPr="00282AC9">
        <w:rPr>
          <w:rFonts w:cs="AL-Mohanad" w:hint="cs"/>
          <w:sz w:val="27"/>
          <w:szCs w:val="27"/>
          <w:rtl/>
        </w:rPr>
        <w:t>ي</w:t>
      </w:r>
      <w:r w:rsidRPr="00282AC9">
        <w:rPr>
          <w:rFonts w:ascii="Sakkal Majalla" w:hAnsi="Sakkal Majalla" w:cs="AL-Mohanad" w:hint="cs"/>
          <w:sz w:val="27"/>
          <w:szCs w:val="27"/>
          <w:rtl/>
        </w:rPr>
        <w:t>صح</w:t>
      </w:r>
      <w:r w:rsidR="0086428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الاستدلال بهذه الروا</w:t>
      </w:r>
      <w:r w:rsidRPr="00282AC9">
        <w:rPr>
          <w:rFonts w:cs="AL-Mohanad" w:hint="cs"/>
          <w:sz w:val="27"/>
          <w:szCs w:val="27"/>
          <w:rtl/>
        </w:rPr>
        <w:t>ي</w:t>
      </w:r>
      <w:r w:rsidRPr="00282AC9">
        <w:rPr>
          <w:rFonts w:ascii="Sakkal Majalla" w:hAnsi="Sakkal Majalla" w:cs="AL-Mohanad" w:hint="cs"/>
          <w:sz w:val="27"/>
          <w:szCs w:val="27"/>
          <w:rtl/>
        </w:rPr>
        <w:t>ات لرأ</w:t>
      </w:r>
      <w:r w:rsidRPr="00282AC9">
        <w:rPr>
          <w:rFonts w:cs="AL-Mohanad" w:hint="cs"/>
          <w:sz w:val="27"/>
          <w:szCs w:val="27"/>
          <w:rtl/>
        </w:rPr>
        <w:t>ي</w:t>
      </w:r>
      <w:r w:rsidRPr="00282AC9">
        <w:rPr>
          <w:rFonts w:ascii="Sakkal Majalla" w:hAnsi="Sakkal Majalla" w:cs="AL-Mohanad" w:hint="cs"/>
          <w:sz w:val="27"/>
          <w:szCs w:val="27"/>
          <w:rtl/>
        </w:rPr>
        <w:t xml:space="preserve"> العلاّمة.</w:t>
      </w:r>
    </w:p>
    <w:p w:rsidR="00EF541F" w:rsidRPr="00282AC9" w:rsidRDefault="00EF541F" w:rsidP="00EF541F">
      <w:pPr>
        <w:spacing w:line="420" w:lineRule="exact"/>
        <w:rPr>
          <w:sz w:val="27"/>
          <w:rtl/>
        </w:rPr>
      </w:pPr>
    </w:p>
    <w:p w:rsidR="00024534" w:rsidRPr="00282AC9" w:rsidRDefault="00F939B0" w:rsidP="00024534">
      <w:pPr>
        <w:pStyle w:val="31"/>
        <w:rPr>
          <w:color w:val="auto"/>
          <w:rtl/>
        </w:rPr>
      </w:pPr>
      <w:r w:rsidRPr="00282AC9">
        <w:rPr>
          <w:rFonts w:hint="cs"/>
          <w:color w:val="auto"/>
          <w:rtl/>
        </w:rPr>
        <w:t xml:space="preserve">هـ ـ </w:t>
      </w:r>
      <w:r w:rsidR="00024534" w:rsidRPr="00282AC9">
        <w:rPr>
          <w:rFonts w:hint="cs"/>
          <w:color w:val="auto"/>
          <w:rtl/>
        </w:rPr>
        <w:t>شوائب جمع القرآن</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ورد في بعض تلك الأخبار أنّ كث</w:t>
      </w:r>
      <w:r w:rsidRPr="00282AC9">
        <w:rPr>
          <w:rFonts w:cs="AL-Mohanad" w:hint="cs"/>
          <w:sz w:val="27"/>
          <w:szCs w:val="27"/>
          <w:rtl/>
        </w:rPr>
        <w:t>ي</w:t>
      </w:r>
      <w:r w:rsidRPr="00282AC9">
        <w:rPr>
          <w:rFonts w:ascii="Sakkal Majalla" w:hAnsi="Sakkal Majalla" w:cs="AL-Mohanad" w:hint="cs"/>
          <w:sz w:val="27"/>
          <w:szCs w:val="27"/>
          <w:rtl/>
        </w:rPr>
        <w:t>راً من الآ</w:t>
      </w:r>
      <w:r w:rsidRPr="00282AC9">
        <w:rPr>
          <w:rFonts w:cs="AL-Mohanad" w:hint="cs"/>
          <w:sz w:val="27"/>
          <w:szCs w:val="27"/>
          <w:rtl/>
        </w:rPr>
        <w:t>ي</w:t>
      </w:r>
      <w:r w:rsidRPr="00282AC9">
        <w:rPr>
          <w:rFonts w:ascii="Sakkal Majalla" w:hAnsi="Sakkal Majalla" w:cs="AL-Mohanad" w:hint="cs"/>
          <w:sz w:val="27"/>
          <w:szCs w:val="27"/>
          <w:rtl/>
        </w:rPr>
        <w:t>ات القرآن</w:t>
      </w:r>
      <w:r w:rsidRPr="00282AC9">
        <w:rPr>
          <w:rFonts w:cs="AL-Mohanad" w:hint="cs"/>
          <w:sz w:val="27"/>
          <w:szCs w:val="27"/>
          <w:rtl/>
        </w:rPr>
        <w:t>ي</w:t>
      </w:r>
      <w:r w:rsidRPr="00282AC9">
        <w:rPr>
          <w:rFonts w:ascii="Sakkal Majalla" w:hAnsi="Sakkal Majalla" w:cs="AL-Mohanad" w:hint="cs"/>
          <w:sz w:val="27"/>
          <w:szCs w:val="27"/>
          <w:rtl/>
        </w:rPr>
        <w:t>ة قد تمّ جمعها وكتابتها بشهادة شاهدَ</w:t>
      </w:r>
      <w:r w:rsidRPr="00282AC9">
        <w:rPr>
          <w:rFonts w:cs="AL-Mohanad" w:hint="cs"/>
          <w:sz w:val="27"/>
          <w:szCs w:val="27"/>
          <w:rtl/>
        </w:rPr>
        <w:t>ي</w:t>
      </w:r>
      <w:r w:rsidRPr="00282AC9">
        <w:rPr>
          <w:rFonts w:ascii="Sakkal Majalla" w:hAnsi="Sakkal Majalla" w:cs="AL-Mohanad" w:hint="cs"/>
          <w:sz w:val="27"/>
          <w:szCs w:val="27"/>
          <w:rtl/>
        </w:rPr>
        <w:t xml:space="preserve">ْن، بل بشاهدٍ واحدٍ، ولم </w:t>
      </w:r>
      <w:r w:rsidRPr="00282AC9">
        <w:rPr>
          <w:rFonts w:cs="AL-Mohanad" w:hint="cs"/>
          <w:sz w:val="27"/>
          <w:szCs w:val="27"/>
          <w:rtl/>
        </w:rPr>
        <w:t>ي</w:t>
      </w:r>
      <w:r w:rsidRPr="00282AC9">
        <w:rPr>
          <w:rFonts w:ascii="Sakkal Majalla" w:hAnsi="Sakkal Majalla" w:cs="AL-Mohanad" w:hint="cs"/>
          <w:sz w:val="27"/>
          <w:szCs w:val="27"/>
          <w:rtl/>
        </w:rPr>
        <w:t>حصل اتّفاقٌ عل</w:t>
      </w:r>
      <w:r w:rsidRPr="00282AC9">
        <w:rPr>
          <w:rFonts w:cs="AL-Mohanad" w:hint="cs"/>
          <w:sz w:val="27"/>
          <w:szCs w:val="27"/>
          <w:rtl/>
        </w:rPr>
        <w:t>ى</w:t>
      </w:r>
      <w:r w:rsidRPr="00282AC9">
        <w:rPr>
          <w:rFonts w:ascii="Sakkal Majalla" w:hAnsi="Sakkal Majalla" w:cs="AL-Mohanad" w:hint="cs"/>
          <w:sz w:val="27"/>
          <w:szCs w:val="27"/>
          <w:rtl/>
        </w:rPr>
        <w:t xml:space="preserve"> أنّ تلك الآ</w:t>
      </w:r>
      <w:r w:rsidRPr="00282AC9">
        <w:rPr>
          <w:rFonts w:cs="AL-Mohanad" w:hint="cs"/>
          <w:sz w:val="27"/>
          <w:szCs w:val="27"/>
          <w:rtl/>
        </w:rPr>
        <w:t>ي</w:t>
      </w:r>
      <w:r w:rsidRPr="00282AC9">
        <w:rPr>
          <w:rFonts w:ascii="Sakkal Majalla" w:hAnsi="Sakkal Majalla" w:cs="AL-Mohanad" w:hint="cs"/>
          <w:sz w:val="27"/>
          <w:szCs w:val="27"/>
          <w:rtl/>
        </w:rPr>
        <w:t>ات من القرآن، وقد مرَّ ذِكْرُها، ومنها: إنّ أبا بكر</w:t>
      </w:r>
      <w:r w:rsidRPr="00282AC9">
        <w:rPr>
          <w:rFonts w:ascii="Sakkal Majalla" w:hAnsi="Sakkal Majalla" w:cs="AL-Mohanad"/>
          <w:sz w:val="27"/>
          <w:szCs w:val="27"/>
          <w:rtl/>
        </w:rPr>
        <w:t xml:space="preserve"> قال لعمر ولزيد: </w:t>
      </w:r>
      <w:r w:rsidRPr="00282AC9">
        <w:rPr>
          <w:rFonts w:ascii="Sakkal Majalla" w:hAnsi="Sakkal Majalla" w:cs="AL-Mohanad"/>
          <w:rtl/>
        </w:rPr>
        <w:t>«</w:t>
      </w:r>
      <w:r w:rsidRPr="00282AC9">
        <w:rPr>
          <w:rFonts w:ascii="Sakkal Majalla" w:hAnsi="Sakkal Majalla" w:cs="AL-Mohanad" w:hint="cs"/>
          <w:sz w:val="27"/>
          <w:szCs w:val="27"/>
          <w:rtl/>
        </w:rPr>
        <w:t>ا</w:t>
      </w:r>
      <w:r w:rsidRPr="00282AC9">
        <w:rPr>
          <w:rFonts w:ascii="Sakkal Majalla" w:hAnsi="Sakkal Majalla" w:cs="AL-Mohanad"/>
          <w:sz w:val="27"/>
          <w:szCs w:val="27"/>
          <w:rtl/>
        </w:rPr>
        <w:t>قعدوا على باب المسجد فم</w:t>
      </w:r>
      <w:r w:rsidRPr="00282AC9">
        <w:rPr>
          <w:rFonts w:ascii="Sakkal Majalla" w:hAnsi="Sakkal Majalla" w:cs="AL-Mohanad" w:hint="cs"/>
          <w:sz w:val="27"/>
          <w:szCs w:val="27"/>
          <w:rtl/>
        </w:rPr>
        <w:t>َ</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جاءكما بشاهد</w:t>
      </w:r>
      <w:r w:rsidRPr="00282AC9">
        <w:rPr>
          <w:rFonts w:ascii="Sakkal Majalla" w:hAnsi="Sakkal Majalla" w:cs="AL-Mohanad" w:hint="cs"/>
          <w:sz w:val="27"/>
          <w:szCs w:val="27"/>
          <w:rtl/>
        </w:rPr>
        <w:t>َ</w:t>
      </w:r>
      <w:r w:rsidRPr="00282AC9">
        <w:rPr>
          <w:rFonts w:ascii="Sakkal Majalla" w:hAnsi="Sakkal Majalla" w:cs="AL-Mohanad"/>
          <w:sz w:val="27"/>
          <w:szCs w:val="27"/>
          <w:rtl/>
        </w:rPr>
        <w:t>ي</w:t>
      </w:r>
      <w:r w:rsidRPr="00282AC9">
        <w:rPr>
          <w:rFonts w:ascii="Sakkal Majalla" w:hAnsi="Sakkal Majalla" w:cs="AL-Mohanad" w:hint="cs"/>
          <w:sz w:val="27"/>
          <w:szCs w:val="27"/>
          <w:rtl/>
        </w:rPr>
        <w:t>ْ</w:t>
      </w:r>
      <w:r w:rsidRPr="00282AC9">
        <w:rPr>
          <w:rFonts w:ascii="Sakkal Majalla" w:hAnsi="Sakkal Majalla" w:cs="AL-Mohanad"/>
          <w:sz w:val="27"/>
          <w:szCs w:val="27"/>
          <w:rtl/>
        </w:rPr>
        <w:t>ن على شي‏ء</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كتاب الله فاكتبا</w:t>
      </w:r>
      <w:r w:rsidRPr="00282AC9">
        <w:rPr>
          <w:rFonts w:ascii="Sakkal Majalla" w:hAnsi="Sakkal Majalla" w:cs="AL-Mohanad" w:hint="cs"/>
          <w:sz w:val="27"/>
          <w:szCs w:val="27"/>
          <w:rtl/>
        </w:rPr>
        <w:t>ه</w:t>
      </w:r>
      <w:r w:rsidRPr="00282AC9">
        <w:rPr>
          <w:rFonts w:ascii="Sakkal Majalla" w:hAnsi="Sakkal Majalla" w:cs="AL-Mohanad" w:hint="cs"/>
          <w:rtl/>
        </w:rPr>
        <w:t>»</w:t>
      </w:r>
      <w:r w:rsidRPr="00282AC9">
        <w:rPr>
          <w:rFonts w:ascii="Sakkal Majalla" w:hAnsi="Sakkal Majalla" w:cs="AL-Mohanad" w:hint="cs"/>
          <w:sz w:val="27"/>
          <w:szCs w:val="27"/>
          <w:rtl/>
        </w:rPr>
        <w:t>؛ وأ</w:t>
      </w:r>
      <w:r w:rsidRPr="00282AC9">
        <w:rPr>
          <w:rFonts w:cs="AL-Mohanad" w:hint="cs"/>
          <w:sz w:val="27"/>
          <w:szCs w:val="27"/>
          <w:rtl/>
        </w:rPr>
        <w:t>ي</w:t>
      </w:r>
      <w:r w:rsidRPr="00282AC9">
        <w:rPr>
          <w:rFonts w:ascii="Sakkal Majalla" w:hAnsi="Sakkal Majalla" w:cs="AL-Mohanad" w:hint="cs"/>
          <w:sz w:val="27"/>
          <w:szCs w:val="27"/>
          <w:rtl/>
        </w:rPr>
        <w:t>ضاً حد</w:t>
      </w:r>
      <w:r w:rsidRPr="00282AC9">
        <w:rPr>
          <w:rFonts w:cs="AL-Mohanad" w:hint="cs"/>
          <w:sz w:val="27"/>
          <w:szCs w:val="27"/>
          <w:rtl/>
        </w:rPr>
        <w:t>ي</w:t>
      </w:r>
      <w:r w:rsidRPr="00282AC9">
        <w:rPr>
          <w:rFonts w:ascii="Sakkal Majalla" w:hAnsi="Sakkal Majalla" w:cs="AL-Mohanad" w:hint="cs"/>
          <w:sz w:val="27"/>
          <w:szCs w:val="27"/>
          <w:rtl/>
        </w:rPr>
        <w:t>ث ل</w:t>
      </w:r>
      <w:r w:rsidRPr="00282AC9">
        <w:rPr>
          <w:rFonts w:cs="AL-Mohanad" w:hint="cs"/>
          <w:sz w:val="27"/>
          <w:szCs w:val="27"/>
          <w:rtl/>
        </w:rPr>
        <w:t>ي</w:t>
      </w:r>
      <w:r w:rsidRPr="00282AC9">
        <w:rPr>
          <w:rFonts w:ascii="Sakkal Majalla" w:hAnsi="Sakkal Majalla" w:cs="AL-Mohanad" w:hint="cs"/>
          <w:sz w:val="27"/>
          <w:szCs w:val="27"/>
          <w:rtl/>
        </w:rPr>
        <w:t>ث بن سعد، ح</w:t>
      </w:r>
      <w:r w:rsidRPr="00282AC9">
        <w:rPr>
          <w:rFonts w:cs="AL-Mohanad" w:hint="cs"/>
          <w:sz w:val="27"/>
          <w:szCs w:val="27"/>
          <w:rtl/>
        </w:rPr>
        <w:t>ي</w:t>
      </w:r>
      <w:r w:rsidRPr="00282AC9">
        <w:rPr>
          <w:rFonts w:ascii="Sakkal Majalla" w:hAnsi="Sakkal Majalla" w:cs="AL-Mohanad" w:hint="cs"/>
          <w:sz w:val="27"/>
          <w:szCs w:val="27"/>
          <w:rtl/>
        </w:rPr>
        <w:t xml:space="preserve">ث قال: </w:t>
      </w:r>
      <w:r w:rsidRPr="00282AC9">
        <w:rPr>
          <w:rFonts w:ascii="Sakkal Majalla" w:hAnsi="Sakkal Majalla" w:cs="AL-Mohanad"/>
          <w:rtl/>
        </w:rPr>
        <w:t>«</w:t>
      </w:r>
      <w:r w:rsidRPr="00282AC9">
        <w:rPr>
          <w:rFonts w:ascii="Sakkal Majalla" w:hAnsi="Sakkal Majalla" w:cs="AL-Mohanad"/>
          <w:sz w:val="27"/>
          <w:szCs w:val="27"/>
          <w:rtl/>
        </w:rPr>
        <w:t>أو</w:t>
      </w:r>
      <w:r w:rsidRPr="00282AC9">
        <w:rPr>
          <w:rFonts w:ascii="Sakkal Majalla" w:hAnsi="Sakkal Majalla" w:cs="AL-Mohanad" w:hint="cs"/>
          <w:sz w:val="27"/>
          <w:szCs w:val="27"/>
          <w:rtl/>
        </w:rPr>
        <w:t>ّ</w:t>
      </w:r>
      <w:r w:rsidRPr="00282AC9">
        <w:rPr>
          <w:rFonts w:ascii="Sakkal Majalla" w:hAnsi="Sakkal Majalla" w:cs="AL-Mohanad"/>
          <w:sz w:val="27"/>
          <w:szCs w:val="27"/>
          <w:rtl/>
        </w:rPr>
        <w:t>ل م</w:t>
      </w:r>
      <w:r w:rsidRPr="00282AC9">
        <w:rPr>
          <w:rFonts w:ascii="Sakkal Majalla" w:hAnsi="Sakkal Majalla" w:cs="AL-Mohanad" w:hint="cs"/>
          <w:sz w:val="27"/>
          <w:szCs w:val="27"/>
          <w:rtl/>
        </w:rPr>
        <w:t>َ</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جمع القرآن </w:t>
      </w:r>
      <w:r w:rsidRPr="00282AC9">
        <w:rPr>
          <w:rFonts w:ascii="Sakkal Majalla" w:hAnsi="Sakkal Majalla" w:cs="AL-Mohanad" w:hint="cs"/>
          <w:sz w:val="27"/>
          <w:szCs w:val="27"/>
          <w:rtl/>
        </w:rPr>
        <w:t>أ</w:t>
      </w:r>
      <w:r w:rsidRPr="00282AC9">
        <w:rPr>
          <w:rFonts w:ascii="Sakkal Majalla" w:hAnsi="Sakkal Majalla" w:cs="AL-Mohanad"/>
          <w:sz w:val="27"/>
          <w:szCs w:val="27"/>
          <w:rtl/>
        </w:rPr>
        <w:t>بو</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بكر</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وكتبه زيد، وكان الناس يأتون زيد بن ثابت</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فكان لا يكتب آية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إلا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بشاهد</w:t>
      </w:r>
      <w:r w:rsidRPr="00282AC9">
        <w:rPr>
          <w:rFonts w:ascii="Sakkal Majalla" w:hAnsi="Sakkal Majalla" w:cs="AL-Mohanad" w:hint="cs"/>
          <w:sz w:val="27"/>
          <w:szCs w:val="27"/>
          <w:rtl/>
        </w:rPr>
        <w:t>َ</w:t>
      </w:r>
      <w:r w:rsidRPr="00282AC9">
        <w:rPr>
          <w:rFonts w:ascii="Sakkal Majalla" w:hAnsi="Sakkal Majalla" w:cs="AL-Mohanad"/>
          <w:sz w:val="27"/>
          <w:szCs w:val="27"/>
          <w:rtl/>
        </w:rPr>
        <w:t>ي</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w:t>
      </w:r>
      <w:r w:rsidRPr="00282AC9">
        <w:rPr>
          <w:rFonts w:ascii="Sakkal Majalla" w:hAnsi="Sakkal Majalla" w:cs="AL-Mohanad" w:hint="cs"/>
          <w:sz w:val="27"/>
          <w:szCs w:val="27"/>
          <w:rtl/>
        </w:rPr>
        <w:t>َ</w:t>
      </w:r>
      <w:r w:rsidRPr="00282AC9">
        <w:rPr>
          <w:rFonts w:ascii="Sakkal Majalla" w:hAnsi="Sakkal Majalla" w:cs="AL-Mohanad"/>
          <w:sz w:val="27"/>
          <w:szCs w:val="27"/>
          <w:rtl/>
        </w:rPr>
        <w:t>د</w:t>
      </w:r>
      <w:r w:rsidRPr="00282AC9">
        <w:rPr>
          <w:rFonts w:ascii="Sakkal Majalla" w:hAnsi="Sakkal Majalla" w:cs="AL-Mohanad" w:hint="cs"/>
          <w:sz w:val="27"/>
          <w:szCs w:val="27"/>
          <w:rtl/>
        </w:rPr>
        <w:t>ْ</w:t>
      </w:r>
      <w:r w:rsidRPr="00282AC9">
        <w:rPr>
          <w:rFonts w:ascii="Sakkal Majalla" w:hAnsi="Sakkal Majalla" w:cs="AL-Mohanad"/>
          <w:sz w:val="27"/>
          <w:szCs w:val="27"/>
          <w:rtl/>
        </w:rPr>
        <w:t>ل</w:t>
      </w:r>
      <w:r w:rsidRPr="00282AC9">
        <w:rPr>
          <w:rFonts w:ascii="Sakkal Majalla" w:hAnsi="Sakkal Majalla" w:cs="AL-Mohanad" w:hint="cs"/>
          <w:sz w:val="27"/>
          <w:szCs w:val="27"/>
          <w:rtl/>
        </w:rPr>
        <w:t>ٍ</w:t>
      </w:r>
      <w:r w:rsidRPr="00282AC9">
        <w:rPr>
          <w:rFonts w:ascii="Sakkal Majalla" w:hAnsi="Sakkal Majalla" w:cs="AL-Mohanad"/>
          <w:sz w:val="27"/>
          <w:szCs w:val="27"/>
          <w:rtl/>
        </w:rPr>
        <w:t>، وإن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آخر سورة براءة لم يوجد إلا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مع أبي خزيمة بن زيد بن ثابت</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فقال: </w:t>
      </w:r>
      <w:r w:rsidRPr="00282AC9">
        <w:rPr>
          <w:rFonts w:ascii="Sakkal Majalla" w:hAnsi="Sakkal Majalla" w:cs="AL-Mohanad" w:hint="cs"/>
          <w:sz w:val="27"/>
          <w:szCs w:val="27"/>
          <w:rtl/>
        </w:rPr>
        <w:t>ا</w:t>
      </w:r>
      <w:r w:rsidRPr="00282AC9">
        <w:rPr>
          <w:rFonts w:ascii="Sakkal Majalla" w:hAnsi="Sakkal Majalla" w:cs="AL-Mohanad"/>
          <w:sz w:val="27"/>
          <w:szCs w:val="27"/>
          <w:rtl/>
        </w:rPr>
        <w:t>كتبوها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فإن رسول الله</w:t>
      </w:r>
      <w:r w:rsidR="00A9773B" w:rsidRPr="00282AC9">
        <w:rPr>
          <w:rFonts w:ascii="Mosawi" w:hAnsi="Mosawi" w:cs="Mosawi"/>
          <w:sz w:val="22"/>
          <w:szCs w:val="22"/>
          <w:rtl/>
        </w:rPr>
        <w:t>ﷺ</w:t>
      </w:r>
      <w:r w:rsidRPr="00282AC9">
        <w:rPr>
          <w:rFonts w:ascii="Sakkal Majalla" w:hAnsi="Sakkal Majalla" w:cs="AL-Mohanad"/>
          <w:sz w:val="27"/>
          <w:szCs w:val="27"/>
          <w:rtl/>
        </w:rPr>
        <w:t xml:space="preserve"> جعل شهادته بشهادة رجلين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فكتب، وإن عمر أتى بآية الرجم فلم يكتبها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لأنه كان وحده</w:t>
      </w:r>
      <w:r w:rsidRPr="00282AC9">
        <w:rPr>
          <w:rFonts w:ascii="Sakkal Majalla" w:hAnsi="Sakkal Majalla" w:cs="AL-Mohanad"/>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62"/>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فنر</w:t>
      </w:r>
      <w:r w:rsidRPr="00282AC9">
        <w:rPr>
          <w:rFonts w:cs="AL-Mohanad" w:hint="cs"/>
          <w:sz w:val="27"/>
          <w:szCs w:val="27"/>
          <w:rtl/>
        </w:rPr>
        <w:t>ي</w:t>
      </w:r>
      <w:r w:rsidRPr="00282AC9">
        <w:rPr>
          <w:rFonts w:ascii="Sakkal Majalla" w:hAnsi="Sakkal Majalla" w:cs="AL-Mohanad" w:hint="cs"/>
          <w:sz w:val="27"/>
          <w:szCs w:val="27"/>
          <w:rtl/>
        </w:rPr>
        <w:t xml:space="preserve"> في هات</w:t>
      </w:r>
      <w:r w:rsidRPr="00282AC9">
        <w:rPr>
          <w:rFonts w:cs="AL-Mohanad" w:hint="cs"/>
          <w:sz w:val="27"/>
          <w:szCs w:val="27"/>
          <w:rtl/>
        </w:rPr>
        <w:t>ي</w:t>
      </w:r>
      <w:r w:rsidRPr="00282AC9">
        <w:rPr>
          <w:rFonts w:ascii="Sakkal Majalla" w:hAnsi="Sakkal Majalla" w:cs="AL-Mohanad" w:hint="cs"/>
          <w:sz w:val="27"/>
          <w:szCs w:val="27"/>
          <w:rtl/>
        </w:rPr>
        <w:t>ن الروا</w:t>
      </w:r>
      <w:r w:rsidRPr="00282AC9">
        <w:rPr>
          <w:rFonts w:cs="AL-Mohanad" w:hint="cs"/>
          <w:sz w:val="27"/>
          <w:szCs w:val="27"/>
          <w:rtl/>
        </w:rPr>
        <w:t>ي</w:t>
      </w:r>
      <w:r w:rsidRPr="00282AC9">
        <w:rPr>
          <w:rFonts w:ascii="Sakkal Majalla" w:hAnsi="Sakkal Majalla" w:cs="AL-Mohanad" w:hint="cs"/>
          <w:sz w:val="27"/>
          <w:szCs w:val="27"/>
          <w:rtl/>
        </w:rPr>
        <w:t>ت</w:t>
      </w:r>
      <w:r w:rsidRPr="00282AC9">
        <w:rPr>
          <w:rFonts w:cs="AL-Mohanad" w:hint="cs"/>
          <w:sz w:val="27"/>
          <w:szCs w:val="27"/>
          <w:rtl/>
        </w:rPr>
        <w:t>ي</w:t>
      </w:r>
      <w:r w:rsidRPr="00282AC9">
        <w:rPr>
          <w:rFonts w:ascii="Sakkal Majalla" w:hAnsi="Sakkal Majalla" w:cs="AL-Mohanad" w:hint="cs"/>
          <w:sz w:val="27"/>
          <w:szCs w:val="27"/>
          <w:rtl/>
        </w:rPr>
        <w:t>ن أنّ أكثر الآ</w:t>
      </w:r>
      <w:r w:rsidRPr="00282AC9">
        <w:rPr>
          <w:rFonts w:cs="AL-Mohanad" w:hint="cs"/>
          <w:sz w:val="27"/>
          <w:szCs w:val="27"/>
          <w:rtl/>
        </w:rPr>
        <w:t>ي</w:t>
      </w:r>
      <w:r w:rsidRPr="00282AC9">
        <w:rPr>
          <w:rFonts w:ascii="Sakkal Majalla" w:hAnsi="Sakkal Majalla" w:cs="AL-Mohanad" w:hint="cs"/>
          <w:sz w:val="27"/>
          <w:szCs w:val="27"/>
          <w:rtl/>
        </w:rPr>
        <w:t>ات الكر</w:t>
      </w:r>
      <w:r w:rsidRPr="00282AC9">
        <w:rPr>
          <w:rFonts w:cs="AL-Mohanad" w:hint="cs"/>
          <w:sz w:val="27"/>
          <w:szCs w:val="27"/>
          <w:rtl/>
        </w:rPr>
        <w:t>ي</w:t>
      </w:r>
      <w:r w:rsidRPr="00282AC9">
        <w:rPr>
          <w:rFonts w:ascii="Sakkal Majalla" w:hAnsi="Sakkal Majalla" w:cs="AL-Mohanad" w:hint="cs"/>
          <w:sz w:val="27"/>
          <w:szCs w:val="27"/>
          <w:rtl/>
        </w:rPr>
        <w:t>مة، بل جم</w:t>
      </w:r>
      <w:r w:rsidRPr="00282AC9">
        <w:rPr>
          <w:rFonts w:cs="AL-Mohanad" w:hint="cs"/>
          <w:sz w:val="27"/>
          <w:szCs w:val="27"/>
          <w:rtl/>
        </w:rPr>
        <w:t>ي</w:t>
      </w:r>
      <w:r w:rsidRPr="00282AC9">
        <w:rPr>
          <w:rFonts w:ascii="Sakkal Majalla" w:hAnsi="Sakkal Majalla" w:cs="AL-Mohanad" w:hint="cs"/>
          <w:sz w:val="27"/>
          <w:szCs w:val="27"/>
          <w:rtl/>
        </w:rPr>
        <w:t>عها، عل</w:t>
      </w:r>
      <w:r w:rsidRPr="00282AC9">
        <w:rPr>
          <w:rFonts w:cs="AL-Mohanad" w:hint="cs"/>
          <w:sz w:val="27"/>
          <w:szCs w:val="27"/>
          <w:rtl/>
        </w:rPr>
        <w:t>ى</w:t>
      </w:r>
      <w:r w:rsidRPr="00282AC9">
        <w:rPr>
          <w:rFonts w:ascii="Sakkal Majalla" w:hAnsi="Sakkal Majalla" w:cs="AL-Mohanad" w:hint="cs"/>
          <w:sz w:val="27"/>
          <w:szCs w:val="27"/>
          <w:rtl/>
        </w:rPr>
        <w:t xml:space="preserve"> حدّ تعب</w:t>
      </w:r>
      <w:r w:rsidRPr="00282AC9">
        <w:rPr>
          <w:rFonts w:cs="AL-Mohanad" w:hint="cs"/>
          <w:sz w:val="27"/>
          <w:szCs w:val="27"/>
          <w:rtl/>
        </w:rPr>
        <w:t>ي</w:t>
      </w:r>
      <w:r w:rsidRPr="00282AC9">
        <w:rPr>
          <w:rFonts w:ascii="Sakkal Majalla" w:hAnsi="Sakkal Majalla" w:cs="AL-Mohanad" w:hint="cs"/>
          <w:sz w:val="27"/>
          <w:szCs w:val="27"/>
          <w:rtl/>
        </w:rPr>
        <w:t>ر الروا</w:t>
      </w:r>
      <w:r w:rsidRPr="00282AC9">
        <w:rPr>
          <w:rFonts w:cs="AL-Mohanad" w:hint="cs"/>
          <w:sz w:val="27"/>
          <w:szCs w:val="27"/>
          <w:rtl/>
        </w:rPr>
        <w:t>ي</w:t>
      </w:r>
      <w:r w:rsidRPr="00282AC9">
        <w:rPr>
          <w:rFonts w:ascii="Sakkal Majalla" w:hAnsi="Sakkal Majalla" w:cs="AL-Mohanad" w:hint="cs"/>
          <w:sz w:val="27"/>
          <w:szCs w:val="27"/>
          <w:rtl/>
        </w:rPr>
        <w:t>ة الثان</w:t>
      </w:r>
      <w:r w:rsidRPr="00282AC9">
        <w:rPr>
          <w:rFonts w:cs="AL-Mohanad" w:hint="cs"/>
          <w:sz w:val="27"/>
          <w:szCs w:val="27"/>
          <w:rtl/>
        </w:rPr>
        <w:t>ي</w:t>
      </w:r>
      <w:r w:rsidRPr="00282AC9">
        <w:rPr>
          <w:rFonts w:ascii="Sakkal Majalla" w:hAnsi="Sakkal Majalla" w:cs="AL-Mohanad" w:hint="cs"/>
          <w:sz w:val="27"/>
          <w:szCs w:val="27"/>
          <w:rtl/>
        </w:rPr>
        <w:t>ة، ثبتت في القرآن بشاهدَ</w:t>
      </w:r>
      <w:r w:rsidRPr="00282AC9">
        <w:rPr>
          <w:rFonts w:cs="AL-Mohanad" w:hint="cs"/>
          <w:sz w:val="27"/>
          <w:szCs w:val="27"/>
          <w:rtl/>
        </w:rPr>
        <w:t>يْ</w:t>
      </w:r>
      <w:r w:rsidRPr="00282AC9">
        <w:rPr>
          <w:rFonts w:ascii="Sakkal Majalla" w:hAnsi="Sakkal Majalla" w:cs="AL-Mohanad" w:hint="cs"/>
          <w:sz w:val="27"/>
          <w:szCs w:val="27"/>
          <w:rtl/>
        </w:rPr>
        <w:t xml:space="preserve">ن، بل بشاهدٍ واحد. ولازم ذلك أنّ القرآن لم </w:t>
      </w:r>
      <w:r w:rsidRPr="00282AC9">
        <w:rPr>
          <w:rFonts w:cs="AL-Mohanad" w:hint="cs"/>
          <w:sz w:val="27"/>
          <w:szCs w:val="27"/>
          <w:rtl/>
        </w:rPr>
        <w:t>ي</w:t>
      </w:r>
      <w:r w:rsidRPr="00282AC9">
        <w:rPr>
          <w:rFonts w:ascii="Sakkal Majalla" w:hAnsi="Sakkal Majalla" w:cs="AL-Mohanad" w:hint="cs"/>
          <w:sz w:val="27"/>
          <w:szCs w:val="27"/>
          <w:rtl/>
        </w:rPr>
        <w:t>صل إل</w:t>
      </w:r>
      <w:r w:rsidRPr="00282AC9">
        <w:rPr>
          <w:rFonts w:cs="AL-Mohanad" w:hint="cs"/>
          <w:sz w:val="27"/>
          <w:szCs w:val="27"/>
          <w:rtl/>
        </w:rPr>
        <w:t>ي</w:t>
      </w:r>
      <w:r w:rsidRPr="00282AC9">
        <w:rPr>
          <w:rFonts w:ascii="Sakkal Majalla" w:hAnsi="Sakkal Majalla" w:cs="AL-Mohanad" w:hint="cs"/>
          <w:sz w:val="27"/>
          <w:szCs w:val="27"/>
          <w:rtl/>
        </w:rPr>
        <w:t>نا بالتواتر، وإنّما وصل إل</w:t>
      </w:r>
      <w:r w:rsidRPr="00282AC9">
        <w:rPr>
          <w:rFonts w:cs="AL-Mohanad" w:hint="cs"/>
          <w:sz w:val="27"/>
          <w:szCs w:val="27"/>
          <w:rtl/>
        </w:rPr>
        <w:t>ي</w:t>
      </w:r>
      <w:r w:rsidRPr="00282AC9">
        <w:rPr>
          <w:rFonts w:ascii="Sakkal Majalla" w:hAnsi="Sakkal Majalla" w:cs="AL-Mohanad" w:hint="cs"/>
          <w:sz w:val="27"/>
          <w:szCs w:val="27"/>
          <w:rtl/>
        </w:rPr>
        <w:t>نا بخبر الواحد؛ أو الب</w:t>
      </w:r>
      <w:r w:rsidRPr="00282AC9">
        <w:rPr>
          <w:rFonts w:cs="AL-Mohanad" w:hint="cs"/>
          <w:sz w:val="27"/>
          <w:szCs w:val="27"/>
          <w:rtl/>
        </w:rPr>
        <w:t>يِّ</w:t>
      </w:r>
      <w:r w:rsidRPr="00282AC9">
        <w:rPr>
          <w:rFonts w:ascii="Sakkal Majalla" w:hAnsi="Sakkal Majalla" w:cs="AL-Mohanad" w:hint="cs"/>
          <w:sz w:val="27"/>
          <w:szCs w:val="27"/>
          <w:rtl/>
        </w:rPr>
        <w:t>نة، التي لا تفضل كث</w:t>
      </w:r>
      <w:r w:rsidRPr="00282AC9">
        <w:rPr>
          <w:rFonts w:cs="AL-Mohanad" w:hint="cs"/>
          <w:sz w:val="27"/>
          <w:szCs w:val="27"/>
          <w:rtl/>
        </w:rPr>
        <w:t>ي</w:t>
      </w:r>
      <w:r w:rsidRPr="00282AC9">
        <w:rPr>
          <w:rFonts w:ascii="Sakkal Majalla" w:hAnsi="Sakkal Majalla" w:cs="AL-Mohanad" w:hint="cs"/>
          <w:sz w:val="27"/>
          <w:szCs w:val="27"/>
          <w:rtl/>
        </w:rPr>
        <w:t>راً عن خبر الواحد. وفي هذا مخالفةٌ لإجماع المسلم</w:t>
      </w:r>
      <w:r w:rsidRPr="00282AC9">
        <w:rPr>
          <w:rFonts w:cs="AL-Mohanad" w:hint="cs"/>
          <w:sz w:val="27"/>
          <w:szCs w:val="27"/>
          <w:rtl/>
        </w:rPr>
        <w:t>ي</w:t>
      </w:r>
      <w:r w:rsidRPr="00282AC9">
        <w:rPr>
          <w:rFonts w:ascii="Sakkal Majalla" w:hAnsi="Sakkal Majalla" w:cs="AL-Mohanad" w:hint="cs"/>
          <w:sz w:val="27"/>
          <w:szCs w:val="27"/>
          <w:rtl/>
        </w:rPr>
        <w:t>ن على أنّ القرآن الكر</w:t>
      </w:r>
      <w:r w:rsidRPr="00282AC9">
        <w:rPr>
          <w:rFonts w:cs="AL-Mohanad" w:hint="cs"/>
          <w:sz w:val="27"/>
          <w:szCs w:val="27"/>
          <w:rtl/>
        </w:rPr>
        <w:t>ي</w:t>
      </w:r>
      <w:r w:rsidRPr="00282AC9">
        <w:rPr>
          <w:rFonts w:ascii="Sakkal Majalla" w:hAnsi="Sakkal Majalla" w:cs="AL-Mohanad" w:hint="cs"/>
          <w:sz w:val="27"/>
          <w:szCs w:val="27"/>
          <w:rtl/>
        </w:rPr>
        <w:t>م لا طر</w:t>
      </w:r>
      <w:r w:rsidRPr="00282AC9">
        <w:rPr>
          <w:rFonts w:cs="AL-Mohanad" w:hint="cs"/>
          <w:sz w:val="27"/>
          <w:szCs w:val="27"/>
          <w:rtl/>
        </w:rPr>
        <w:t>ي</w:t>
      </w:r>
      <w:r w:rsidRPr="00282AC9">
        <w:rPr>
          <w:rFonts w:ascii="Sakkal Majalla" w:hAnsi="Sakkal Majalla" w:cs="AL-Mohanad" w:hint="cs"/>
          <w:sz w:val="27"/>
          <w:szCs w:val="27"/>
          <w:rtl/>
        </w:rPr>
        <w:t>ق لإثباته إلاّ بالتواتر. ولستُ أدري ك</w:t>
      </w:r>
      <w:r w:rsidRPr="00282AC9">
        <w:rPr>
          <w:rFonts w:cs="AL-Mohanad" w:hint="cs"/>
          <w:sz w:val="27"/>
          <w:szCs w:val="27"/>
          <w:rtl/>
        </w:rPr>
        <w:t>ي</w:t>
      </w:r>
      <w:r w:rsidRPr="00282AC9">
        <w:rPr>
          <w:rFonts w:ascii="Sakkal Majalla" w:hAnsi="Sakkal Majalla" w:cs="AL-Mohanad" w:hint="cs"/>
          <w:sz w:val="27"/>
          <w:szCs w:val="27"/>
          <w:rtl/>
        </w:rPr>
        <w:t xml:space="preserve">ف </w:t>
      </w:r>
      <w:r w:rsidRPr="00282AC9">
        <w:rPr>
          <w:rFonts w:cs="AL-Mohanad" w:hint="cs"/>
          <w:sz w:val="27"/>
          <w:szCs w:val="27"/>
          <w:rtl/>
        </w:rPr>
        <w:t>ي</w:t>
      </w:r>
      <w:r w:rsidRPr="00282AC9">
        <w:rPr>
          <w:rFonts w:ascii="Sakkal Majalla" w:hAnsi="Sakkal Majalla" w:cs="AL-Mohanad" w:hint="cs"/>
          <w:sz w:val="27"/>
          <w:szCs w:val="27"/>
          <w:rtl/>
        </w:rPr>
        <w:t>عتمد عل</w:t>
      </w:r>
      <w:r w:rsidRPr="00282AC9">
        <w:rPr>
          <w:rFonts w:cs="AL-Mohanad" w:hint="cs"/>
          <w:sz w:val="27"/>
          <w:szCs w:val="27"/>
          <w:rtl/>
        </w:rPr>
        <w:t>ى</w:t>
      </w:r>
      <w:r w:rsidRPr="00282AC9">
        <w:rPr>
          <w:rFonts w:ascii="Sakkal Majalla" w:hAnsi="Sakkal Majalla" w:cs="AL-Mohanad" w:hint="cs"/>
          <w:sz w:val="27"/>
          <w:szCs w:val="27"/>
          <w:rtl/>
        </w:rPr>
        <w:t xml:space="preserve"> هذه الروا</w:t>
      </w:r>
      <w:r w:rsidRPr="00282AC9">
        <w:rPr>
          <w:rFonts w:cs="AL-Mohanad" w:hint="cs"/>
          <w:sz w:val="27"/>
          <w:szCs w:val="27"/>
          <w:rtl/>
        </w:rPr>
        <w:t>ي</w:t>
      </w:r>
      <w:r w:rsidRPr="00282AC9">
        <w:rPr>
          <w:rFonts w:ascii="Sakkal Majalla" w:hAnsi="Sakkal Majalla" w:cs="AL-Mohanad" w:hint="cs"/>
          <w:sz w:val="27"/>
          <w:szCs w:val="27"/>
          <w:rtl/>
        </w:rPr>
        <w:t xml:space="preserve">ات مَنْ </w:t>
      </w:r>
      <w:r w:rsidRPr="00282AC9">
        <w:rPr>
          <w:rFonts w:cs="AL-Mohanad" w:hint="cs"/>
          <w:sz w:val="27"/>
          <w:szCs w:val="27"/>
          <w:rtl/>
        </w:rPr>
        <w:t>ي</w:t>
      </w:r>
      <w:r w:rsidRPr="00282AC9">
        <w:rPr>
          <w:rFonts w:ascii="Sakkal Majalla" w:hAnsi="Sakkal Majalla" w:cs="AL-Mohanad" w:hint="cs"/>
          <w:sz w:val="27"/>
          <w:szCs w:val="27"/>
          <w:rtl/>
        </w:rPr>
        <w:t>عتقد بأنّ القرآن وصل إل</w:t>
      </w:r>
      <w:r w:rsidRPr="00282AC9">
        <w:rPr>
          <w:rFonts w:cs="AL-Mohanad" w:hint="cs"/>
          <w:sz w:val="27"/>
          <w:szCs w:val="27"/>
          <w:rtl/>
        </w:rPr>
        <w:t>ي</w:t>
      </w:r>
      <w:r w:rsidRPr="00282AC9">
        <w:rPr>
          <w:rFonts w:ascii="Sakkal Majalla" w:hAnsi="Sakkal Majalla" w:cs="AL-Mohanad" w:hint="cs"/>
          <w:sz w:val="27"/>
          <w:szCs w:val="27"/>
          <w:rtl/>
        </w:rPr>
        <w:t xml:space="preserve">نا بالتواتر؟! ألا </w:t>
      </w:r>
      <w:r w:rsidRPr="00282AC9">
        <w:rPr>
          <w:rFonts w:cs="AL-Mohanad" w:hint="cs"/>
          <w:sz w:val="27"/>
          <w:szCs w:val="27"/>
          <w:rtl/>
        </w:rPr>
        <w:t>ي</w:t>
      </w:r>
      <w:r w:rsidRPr="00282AC9">
        <w:rPr>
          <w:rFonts w:ascii="Sakkal Majalla" w:hAnsi="Sakkal Majalla" w:cs="AL-Mohanad" w:hint="cs"/>
          <w:sz w:val="27"/>
          <w:szCs w:val="27"/>
          <w:rtl/>
        </w:rPr>
        <w:t>لزمنا القول بتواتر القرآن أن نلقي بهذه الروا</w:t>
      </w:r>
      <w:r w:rsidRPr="00282AC9">
        <w:rPr>
          <w:rFonts w:cs="AL-Mohanad" w:hint="cs"/>
          <w:sz w:val="27"/>
          <w:szCs w:val="27"/>
          <w:rtl/>
        </w:rPr>
        <w:t>ي</w:t>
      </w:r>
      <w:r w:rsidRPr="00282AC9">
        <w:rPr>
          <w:rFonts w:ascii="Sakkal Majalla" w:hAnsi="Sakkal Majalla" w:cs="AL-Mohanad" w:hint="cs"/>
          <w:sz w:val="27"/>
          <w:szCs w:val="27"/>
          <w:rtl/>
        </w:rPr>
        <w:t xml:space="preserve">ات، ونقطع </w:t>
      </w:r>
      <w:r w:rsidRPr="00282AC9">
        <w:rPr>
          <w:rFonts w:cs="AL-Mohanad" w:hint="cs"/>
          <w:sz w:val="27"/>
          <w:szCs w:val="27"/>
          <w:rtl/>
        </w:rPr>
        <w:t>ب</w:t>
      </w:r>
      <w:r w:rsidRPr="00282AC9">
        <w:rPr>
          <w:rFonts w:ascii="Sakkal Majalla" w:hAnsi="Sakkal Majalla" w:cs="AL-Mohanad" w:hint="cs"/>
          <w:sz w:val="27"/>
          <w:szCs w:val="27"/>
          <w:rtl/>
        </w:rPr>
        <w:t>كذبها؟</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63"/>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أضِفْ إلى ذلك أنّ الإت</w:t>
      </w:r>
      <w:r w:rsidRPr="00282AC9">
        <w:rPr>
          <w:rFonts w:cs="AL-Mohanad" w:hint="cs"/>
          <w:sz w:val="27"/>
          <w:szCs w:val="27"/>
          <w:rtl/>
        </w:rPr>
        <w:t>ي</w:t>
      </w:r>
      <w:r w:rsidRPr="00282AC9">
        <w:rPr>
          <w:rFonts w:ascii="Sakkal Majalla" w:hAnsi="Sakkal Majalla" w:cs="AL-Mohanad" w:hint="cs"/>
          <w:sz w:val="27"/>
          <w:szCs w:val="27"/>
          <w:rtl/>
        </w:rPr>
        <w:t>ان بشاهد</w:t>
      </w:r>
      <w:r w:rsidRPr="00282AC9">
        <w:rPr>
          <w:rFonts w:cs="AL-Mohanad" w:hint="cs"/>
          <w:sz w:val="27"/>
          <w:szCs w:val="27"/>
          <w:rtl/>
        </w:rPr>
        <w:t>َي</w:t>
      </w:r>
      <w:r w:rsidRPr="00282AC9">
        <w:rPr>
          <w:rFonts w:ascii="Sakkal Majalla" w:hAnsi="Sakkal Majalla" w:cs="AL-Mohanad" w:hint="cs"/>
          <w:sz w:val="27"/>
          <w:szCs w:val="27"/>
          <w:rtl/>
        </w:rPr>
        <w:t>ْن لا</w:t>
      </w:r>
      <w:r w:rsidRPr="00282AC9">
        <w:rPr>
          <w:rFonts w:cs="AL-Mohanad" w:hint="cs"/>
          <w:sz w:val="27"/>
          <w:szCs w:val="27"/>
          <w:rtl/>
        </w:rPr>
        <w:t xml:space="preserve"> ي</w:t>
      </w:r>
      <w:r w:rsidRPr="00282AC9">
        <w:rPr>
          <w:rFonts w:ascii="Sakkal Majalla" w:hAnsi="Sakkal Majalla" w:cs="AL-Mohanad" w:hint="cs"/>
          <w:sz w:val="27"/>
          <w:szCs w:val="27"/>
          <w:rtl/>
        </w:rPr>
        <w:t>ُعَدّ أمراً صعباً للدسّاس</w:t>
      </w:r>
      <w:r w:rsidRPr="00282AC9">
        <w:rPr>
          <w:rFonts w:cs="AL-Mohanad" w:hint="cs"/>
          <w:sz w:val="27"/>
          <w:szCs w:val="27"/>
          <w:rtl/>
        </w:rPr>
        <w:t>ي</w:t>
      </w:r>
      <w:r w:rsidRPr="00282AC9">
        <w:rPr>
          <w:rFonts w:ascii="Sakkal Majalla" w:hAnsi="Sakkal Majalla" w:cs="AL-Mohanad" w:hint="cs"/>
          <w:sz w:val="27"/>
          <w:szCs w:val="27"/>
          <w:rtl/>
        </w:rPr>
        <w:t>ن والمنافق</w:t>
      </w:r>
      <w:r w:rsidRPr="00282AC9">
        <w:rPr>
          <w:rFonts w:cs="AL-Mohanad" w:hint="cs"/>
          <w:sz w:val="27"/>
          <w:szCs w:val="27"/>
          <w:rtl/>
        </w:rPr>
        <w:t>ي</w:t>
      </w:r>
      <w:r w:rsidRPr="00282AC9">
        <w:rPr>
          <w:rFonts w:ascii="Sakkal Majalla" w:hAnsi="Sakkal Majalla" w:cs="AL-Mohanad" w:hint="cs"/>
          <w:sz w:val="27"/>
          <w:szCs w:val="27"/>
          <w:rtl/>
        </w:rPr>
        <w:t>ن الذ</w:t>
      </w:r>
      <w:r w:rsidRPr="00282AC9">
        <w:rPr>
          <w:rFonts w:cs="AL-Mohanad" w:hint="cs"/>
          <w:sz w:val="27"/>
          <w:szCs w:val="27"/>
          <w:rtl/>
        </w:rPr>
        <w:t>ي</w:t>
      </w:r>
      <w:r w:rsidRPr="00282AC9">
        <w:rPr>
          <w:rFonts w:ascii="Sakkal Majalla" w:hAnsi="Sakkal Majalla" w:cs="AL-Mohanad" w:hint="cs"/>
          <w:sz w:val="27"/>
          <w:szCs w:val="27"/>
          <w:rtl/>
        </w:rPr>
        <w:t xml:space="preserve">ن </w:t>
      </w:r>
      <w:r w:rsidRPr="00282AC9">
        <w:rPr>
          <w:rFonts w:cs="AL-Mohanad" w:hint="cs"/>
          <w:sz w:val="27"/>
          <w:szCs w:val="27"/>
          <w:rtl/>
        </w:rPr>
        <w:t>ي</w:t>
      </w:r>
      <w:r w:rsidRPr="00282AC9">
        <w:rPr>
          <w:rFonts w:ascii="Sakkal Majalla" w:hAnsi="Sakkal Majalla" w:cs="AL-Mohanad" w:hint="cs"/>
          <w:sz w:val="27"/>
          <w:szCs w:val="27"/>
          <w:rtl/>
        </w:rPr>
        <w:t>تربَّصون بالإسلام كلّ ح</w:t>
      </w:r>
      <w:r w:rsidRPr="00282AC9">
        <w:rPr>
          <w:rFonts w:cs="AL-Mohanad" w:hint="cs"/>
          <w:sz w:val="27"/>
          <w:szCs w:val="27"/>
          <w:rtl/>
        </w:rPr>
        <w:t>ي</w:t>
      </w:r>
      <w:r w:rsidRPr="00282AC9">
        <w:rPr>
          <w:rFonts w:ascii="Sakkal Majalla" w:hAnsi="Sakkal Majalla" w:cs="AL-Mohanad" w:hint="cs"/>
          <w:sz w:val="27"/>
          <w:szCs w:val="27"/>
          <w:rtl/>
        </w:rPr>
        <w:t>نٍ، و</w:t>
      </w:r>
      <w:r w:rsidRPr="00282AC9">
        <w:rPr>
          <w:rFonts w:cs="AL-Mohanad" w:hint="cs"/>
          <w:sz w:val="27"/>
          <w:szCs w:val="27"/>
          <w:rtl/>
        </w:rPr>
        <w:t>ي</w:t>
      </w:r>
      <w:r w:rsidRPr="00282AC9">
        <w:rPr>
          <w:rFonts w:ascii="Sakkal Majalla" w:hAnsi="Sakkal Majalla" w:cs="AL-Mohanad" w:hint="cs"/>
          <w:sz w:val="27"/>
          <w:szCs w:val="27"/>
          <w:rtl/>
        </w:rPr>
        <w:t>ر</w:t>
      </w:r>
      <w:r w:rsidRPr="00282AC9">
        <w:rPr>
          <w:rFonts w:cs="AL-Mohanad" w:hint="cs"/>
          <w:sz w:val="27"/>
          <w:szCs w:val="27"/>
          <w:rtl/>
        </w:rPr>
        <w:t>ي</w:t>
      </w:r>
      <w:r w:rsidRPr="00282AC9">
        <w:rPr>
          <w:rFonts w:ascii="Sakkal Majalla" w:hAnsi="Sakkal Majalla" w:cs="AL-Mohanad" w:hint="cs"/>
          <w:sz w:val="27"/>
          <w:szCs w:val="27"/>
          <w:rtl/>
        </w:rPr>
        <w:t>دون هدمه والقضاء عل</w:t>
      </w:r>
      <w:r w:rsidRPr="00282AC9">
        <w:rPr>
          <w:rFonts w:cs="AL-Mohanad" w:hint="cs"/>
          <w:sz w:val="27"/>
          <w:szCs w:val="27"/>
          <w:rtl/>
        </w:rPr>
        <w:t>ي</w:t>
      </w:r>
      <w:r w:rsidRPr="00282AC9">
        <w:rPr>
          <w:rFonts w:ascii="Sakkal Majalla" w:hAnsi="Sakkal Majalla" w:cs="AL-Mohanad" w:hint="cs"/>
          <w:sz w:val="27"/>
          <w:szCs w:val="27"/>
          <w:rtl/>
        </w:rPr>
        <w:t>ه، بل هو ف</w:t>
      </w:r>
      <w:r w:rsidRPr="00282AC9">
        <w:rPr>
          <w:rFonts w:cs="AL-Mohanad" w:hint="cs"/>
          <w:sz w:val="27"/>
          <w:szCs w:val="27"/>
          <w:rtl/>
        </w:rPr>
        <w:t>ي</w:t>
      </w:r>
      <w:r w:rsidRPr="00282AC9">
        <w:rPr>
          <w:rFonts w:ascii="Sakkal Majalla" w:hAnsi="Sakkal Majalla" w:cs="AL-Mohanad" w:hint="cs"/>
          <w:sz w:val="27"/>
          <w:szCs w:val="27"/>
          <w:rtl/>
        </w:rPr>
        <w:t xml:space="preserve"> غا</w:t>
      </w:r>
      <w:r w:rsidRPr="00282AC9">
        <w:rPr>
          <w:rFonts w:cs="AL-Mohanad" w:hint="cs"/>
          <w:sz w:val="27"/>
          <w:szCs w:val="27"/>
          <w:rtl/>
        </w:rPr>
        <w:t>ي</w:t>
      </w:r>
      <w:r w:rsidRPr="00282AC9">
        <w:rPr>
          <w:rFonts w:ascii="Sakkal Majalla" w:hAnsi="Sakkal Majalla" w:cs="AL-Mohanad" w:hint="cs"/>
          <w:sz w:val="27"/>
          <w:szCs w:val="27"/>
          <w:rtl/>
        </w:rPr>
        <w:t>ة السهولة لهم؛ وقد كذبوا عل</w:t>
      </w:r>
      <w:r w:rsidRPr="00282AC9">
        <w:rPr>
          <w:rFonts w:cs="AL-Mohanad" w:hint="cs"/>
          <w:sz w:val="27"/>
          <w:szCs w:val="27"/>
          <w:rtl/>
        </w:rPr>
        <w:t>ى</w:t>
      </w:r>
      <w:r w:rsidRPr="00282AC9">
        <w:rPr>
          <w:rFonts w:ascii="Sakkal Majalla" w:hAnsi="Sakkal Majalla" w:cs="AL-Mohanad" w:hint="cs"/>
          <w:sz w:val="27"/>
          <w:szCs w:val="27"/>
          <w:rtl/>
        </w:rPr>
        <w:t xml:space="preserve"> رسول الله</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ف</w:t>
      </w:r>
      <w:r w:rsidRPr="00282AC9">
        <w:rPr>
          <w:rFonts w:cs="AL-Mohanad" w:hint="cs"/>
          <w:sz w:val="27"/>
          <w:szCs w:val="27"/>
          <w:rtl/>
        </w:rPr>
        <w:t>ي</w:t>
      </w:r>
      <w:r w:rsidRPr="00282AC9">
        <w:rPr>
          <w:rFonts w:ascii="Sakkal Majalla" w:hAnsi="Sakkal Majalla" w:cs="AL-Mohanad" w:hint="cs"/>
          <w:sz w:val="27"/>
          <w:szCs w:val="27"/>
          <w:rtl/>
        </w:rPr>
        <w:t xml:space="preserve"> ح</w:t>
      </w:r>
      <w:r w:rsidRPr="00282AC9">
        <w:rPr>
          <w:rFonts w:cs="AL-Mohanad" w:hint="cs"/>
          <w:sz w:val="27"/>
          <w:szCs w:val="27"/>
          <w:rtl/>
        </w:rPr>
        <w:t>ي</w:t>
      </w:r>
      <w:r w:rsidRPr="00282AC9">
        <w:rPr>
          <w:rFonts w:ascii="Sakkal Majalla" w:hAnsi="Sakkal Majalla" w:cs="AL-Mohanad" w:hint="cs"/>
          <w:sz w:val="27"/>
          <w:szCs w:val="27"/>
          <w:rtl/>
        </w:rPr>
        <w:t>اته، حتّى قام وقال:</w:t>
      </w:r>
      <w:r w:rsidRPr="00282AC9">
        <w:rPr>
          <w:rFonts w:ascii="Traditional Arabic" w:hAnsi="Traditional Arabic" w:cs="AL-Mohanad" w:hint="cs"/>
          <w:sz w:val="27"/>
          <w:szCs w:val="27"/>
          <w:rtl/>
        </w:rPr>
        <w:t xml:space="preserve"> </w:t>
      </w:r>
      <w:r w:rsidRPr="00282AC9">
        <w:rPr>
          <w:rFonts w:ascii="Sakkal Majalla" w:hAnsi="Sakkal Majalla" w:cs="AL-Mohanad"/>
          <w:sz w:val="27"/>
          <w:szCs w:val="27"/>
          <w:rtl/>
        </w:rPr>
        <w:t>كثر</w:t>
      </w:r>
      <w:r w:rsidRPr="00282AC9">
        <w:rPr>
          <w:rFonts w:ascii="Sakkal Majalla" w:hAnsi="Sakkal Majalla" w:cs="AL-Mohanad" w:hint="cs"/>
          <w:sz w:val="27"/>
          <w:szCs w:val="27"/>
          <w:rtl/>
        </w:rPr>
        <w:t>َ</w:t>
      </w:r>
      <w:r w:rsidRPr="00282AC9">
        <w:rPr>
          <w:rFonts w:ascii="Sakkal Majalla" w:hAnsi="Sakkal Majalla" w:cs="AL-Mohanad"/>
          <w:sz w:val="27"/>
          <w:szCs w:val="27"/>
          <w:rtl/>
        </w:rPr>
        <w:t>ت</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عل</w:t>
      </w:r>
      <w:r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w:t>
      </w:r>
      <w:r w:rsidRPr="00282AC9">
        <w:rPr>
          <w:rFonts w:ascii="Sakkal Majalla" w:hAnsi="Sakkal Majalla" w:cs="AL-Mohanad"/>
          <w:sz w:val="27"/>
          <w:szCs w:val="27"/>
          <w:rtl/>
        </w:rPr>
        <w:lastRenderedPageBreak/>
        <w:t>الكذّابة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وستكثر</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فم</w:t>
      </w:r>
      <w:r w:rsidRPr="00282AC9">
        <w:rPr>
          <w:rFonts w:ascii="Sakkal Majalla" w:hAnsi="Sakkal Majalla" w:cs="AL-Mohanad" w:hint="cs"/>
          <w:sz w:val="27"/>
          <w:szCs w:val="27"/>
          <w:rtl/>
        </w:rPr>
        <w:t>َ</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كذب عل</w:t>
      </w:r>
      <w:r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متعم</w:t>
      </w:r>
      <w:r w:rsidRPr="00282AC9">
        <w:rPr>
          <w:rFonts w:ascii="Sakkal Majalla" w:hAnsi="Sakkal Majalla" w:cs="AL-Mohanad" w:hint="cs"/>
          <w:sz w:val="27"/>
          <w:szCs w:val="27"/>
          <w:rtl/>
        </w:rPr>
        <w:t>ّ</w:t>
      </w:r>
      <w:r w:rsidRPr="00282AC9">
        <w:rPr>
          <w:rFonts w:ascii="Sakkal Majalla" w:hAnsi="Sakkal Majalla" w:cs="AL-Mohanad"/>
          <w:sz w:val="27"/>
          <w:szCs w:val="27"/>
          <w:rtl/>
        </w:rPr>
        <w:t>دا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فليتبوّ</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 مقعده‏ من‏ النار</w:t>
      </w:r>
      <w:r w:rsidRPr="00282AC9">
        <w:rPr>
          <w:rFonts w:ascii="Sakkal Majalla" w:hAnsi="Sakkal Majalla" w:cs="AL-Mohanad" w:hint="cs"/>
          <w:sz w:val="27"/>
          <w:szCs w:val="27"/>
          <w:rtl/>
        </w:rPr>
        <w:t>.</w:t>
      </w:r>
    </w:p>
    <w:p w:rsidR="00F939B0" w:rsidRPr="00282AC9" w:rsidRDefault="00F939B0" w:rsidP="001D1A88">
      <w:pPr>
        <w:pStyle w:val="af6"/>
        <w:spacing w:line="400" w:lineRule="exact"/>
        <w:rPr>
          <w:rFonts w:ascii="Sakkal Majalla" w:hAnsi="Sakkal Majalla"/>
          <w:sz w:val="27"/>
          <w:szCs w:val="27"/>
          <w:rtl/>
        </w:rPr>
      </w:pPr>
      <w:r w:rsidRPr="00282AC9">
        <w:rPr>
          <w:rFonts w:ascii="Sakkal Majalla" w:hAnsi="Sakkal Majalla" w:hint="cs"/>
          <w:sz w:val="27"/>
          <w:szCs w:val="27"/>
          <w:rtl/>
        </w:rPr>
        <w:t>فإذا كان في ح</w:t>
      </w:r>
      <w:r w:rsidRPr="00282AC9">
        <w:rPr>
          <w:rFonts w:ascii="Times New Roman" w:hAnsi="Times New Roman" w:hint="cs"/>
          <w:sz w:val="27"/>
          <w:szCs w:val="27"/>
          <w:rtl/>
        </w:rPr>
        <w:t>ي</w:t>
      </w:r>
      <w:r w:rsidRPr="00282AC9">
        <w:rPr>
          <w:rFonts w:ascii="Sakkal Majalla" w:hAnsi="Sakkal Majalla" w:hint="cs"/>
          <w:sz w:val="27"/>
          <w:szCs w:val="27"/>
          <w:rtl/>
        </w:rPr>
        <w:t xml:space="preserve">اته هكذا </w:t>
      </w:r>
      <w:r w:rsidRPr="00282AC9">
        <w:rPr>
          <w:rFonts w:ascii="Times New Roman" w:hAnsi="Times New Roman" w:hint="cs"/>
          <w:sz w:val="27"/>
          <w:szCs w:val="27"/>
          <w:rtl/>
        </w:rPr>
        <w:t>ي</w:t>
      </w:r>
      <w:r w:rsidR="00024534" w:rsidRPr="00282AC9">
        <w:rPr>
          <w:rFonts w:ascii="Sakkal Majalla" w:hAnsi="Sakkal Majalla" w:hint="cs"/>
          <w:sz w:val="27"/>
          <w:szCs w:val="27"/>
          <w:rtl/>
        </w:rPr>
        <w:t>ُ</w:t>
      </w:r>
      <w:r w:rsidRPr="00282AC9">
        <w:rPr>
          <w:rFonts w:ascii="Sakkal Majalla" w:hAnsi="Sakkal Majalla" w:hint="cs"/>
          <w:sz w:val="27"/>
          <w:szCs w:val="27"/>
          <w:rtl/>
        </w:rPr>
        <w:t>ك</w:t>
      </w:r>
      <w:r w:rsidR="00024534" w:rsidRPr="00282AC9">
        <w:rPr>
          <w:rFonts w:ascii="Sakkal Majalla" w:hAnsi="Sakkal Majalla" w:hint="cs"/>
          <w:sz w:val="27"/>
          <w:szCs w:val="27"/>
          <w:rtl/>
        </w:rPr>
        <w:t>ْ</w:t>
      </w:r>
      <w:r w:rsidRPr="00282AC9">
        <w:rPr>
          <w:rFonts w:ascii="Sakkal Majalla" w:hAnsi="Sakkal Majalla" w:hint="cs"/>
          <w:sz w:val="27"/>
          <w:szCs w:val="27"/>
          <w:rtl/>
        </w:rPr>
        <w:t>ذ</w:t>
      </w:r>
      <w:r w:rsidR="00024534" w:rsidRPr="00282AC9">
        <w:rPr>
          <w:rFonts w:ascii="Sakkal Majalla" w:hAnsi="Sakkal Majalla" w:hint="cs"/>
          <w:sz w:val="27"/>
          <w:szCs w:val="27"/>
          <w:rtl/>
        </w:rPr>
        <w:t>َ</w:t>
      </w:r>
      <w:r w:rsidRPr="00282AC9">
        <w:rPr>
          <w:rFonts w:ascii="Sakkal Majalla" w:hAnsi="Sakkal Majalla" w:hint="cs"/>
          <w:sz w:val="27"/>
          <w:szCs w:val="27"/>
          <w:rtl/>
        </w:rPr>
        <w:t>ب عل</w:t>
      </w:r>
      <w:r w:rsidRPr="00282AC9">
        <w:rPr>
          <w:rFonts w:ascii="Times New Roman" w:hAnsi="Times New Roman" w:hint="cs"/>
          <w:sz w:val="27"/>
          <w:szCs w:val="27"/>
          <w:rtl/>
        </w:rPr>
        <w:t>ي</w:t>
      </w:r>
      <w:r w:rsidRPr="00282AC9">
        <w:rPr>
          <w:rFonts w:ascii="Sakkal Majalla" w:hAnsi="Sakkal Majalla" w:hint="cs"/>
          <w:sz w:val="27"/>
          <w:szCs w:val="27"/>
          <w:rtl/>
        </w:rPr>
        <w:t>ه</w:t>
      </w:r>
      <w:r w:rsidR="009A2A04" w:rsidRPr="00282AC9">
        <w:rPr>
          <w:rFonts w:ascii="Sakkal Majalla" w:hAnsi="Sakkal Majalla" w:cs="Mosawi" w:hint="cs"/>
          <w:sz w:val="22"/>
          <w:szCs w:val="22"/>
          <w:rtl/>
        </w:rPr>
        <w:t>|</w:t>
      </w:r>
      <w:r w:rsidRPr="00282AC9">
        <w:rPr>
          <w:rFonts w:ascii="Sakkal Majalla" w:hAnsi="Sakkal Majalla" w:hint="cs"/>
          <w:sz w:val="27"/>
          <w:szCs w:val="27"/>
          <w:rtl/>
        </w:rPr>
        <w:t xml:space="preserve"> فما بالك بالكذب عل</w:t>
      </w:r>
      <w:r w:rsidRPr="00282AC9">
        <w:rPr>
          <w:rFonts w:ascii="Times New Roman" w:hAnsi="Times New Roman" w:hint="cs"/>
          <w:sz w:val="27"/>
          <w:szCs w:val="27"/>
          <w:rtl/>
        </w:rPr>
        <w:t>ي</w:t>
      </w:r>
      <w:r w:rsidRPr="00282AC9">
        <w:rPr>
          <w:rFonts w:ascii="Sakkal Majalla" w:hAnsi="Sakkal Majalla" w:hint="cs"/>
          <w:sz w:val="27"/>
          <w:szCs w:val="27"/>
          <w:rtl/>
        </w:rPr>
        <w:t xml:space="preserve">ه بعد </w:t>
      </w:r>
      <w:r w:rsidR="00864287" w:rsidRPr="00282AC9">
        <w:rPr>
          <w:rFonts w:ascii="Sakkal Majalla" w:hAnsi="Sakkal Majalla" w:hint="cs"/>
          <w:sz w:val="27"/>
          <w:szCs w:val="27"/>
          <w:rtl/>
        </w:rPr>
        <w:t>وف</w:t>
      </w:r>
      <w:r w:rsidRPr="00282AC9">
        <w:rPr>
          <w:rFonts w:ascii="Sakkal Majalla" w:hAnsi="Sakkal Majalla" w:hint="cs"/>
          <w:sz w:val="27"/>
          <w:szCs w:val="27"/>
          <w:rtl/>
        </w:rPr>
        <w:t>اته، خصوصاً ف</w:t>
      </w:r>
      <w:r w:rsidRPr="00282AC9">
        <w:rPr>
          <w:rFonts w:ascii="Times New Roman" w:hAnsi="Times New Roman" w:hint="cs"/>
          <w:sz w:val="27"/>
          <w:szCs w:val="27"/>
          <w:rtl/>
        </w:rPr>
        <w:t>ي</w:t>
      </w:r>
      <w:r w:rsidRPr="00282AC9">
        <w:rPr>
          <w:rFonts w:ascii="Sakkal Majalla" w:hAnsi="Sakkal Majalla" w:hint="cs"/>
          <w:sz w:val="27"/>
          <w:szCs w:val="27"/>
          <w:rtl/>
        </w:rPr>
        <w:t xml:space="preserve"> ما </w:t>
      </w:r>
      <w:r w:rsidRPr="00282AC9">
        <w:rPr>
          <w:rFonts w:ascii="Times New Roman" w:hAnsi="Times New Roman" w:hint="cs"/>
          <w:sz w:val="27"/>
          <w:szCs w:val="27"/>
          <w:rtl/>
        </w:rPr>
        <w:t>ي</w:t>
      </w:r>
      <w:r w:rsidRPr="00282AC9">
        <w:rPr>
          <w:rFonts w:ascii="Sakkal Majalla" w:hAnsi="Sakkal Majalla" w:hint="cs"/>
          <w:sz w:val="27"/>
          <w:szCs w:val="27"/>
          <w:rtl/>
        </w:rPr>
        <w:t xml:space="preserve">تعلَّق بالقرآن، الذي </w:t>
      </w:r>
      <w:r w:rsidRPr="00282AC9">
        <w:rPr>
          <w:rFonts w:ascii="Times New Roman" w:hAnsi="Times New Roman" w:hint="cs"/>
          <w:sz w:val="27"/>
          <w:szCs w:val="27"/>
          <w:rtl/>
        </w:rPr>
        <w:t>ي</w:t>
      </w:r>
      <w:r w:rsidRPr="00282AC9">
        <w:rPr>
          <w:rFonts w:ascii="Sakkal Majalla" w:hAnsi="Sakkal Majalla" w:hint="cs"/>
          <w:sz w:val="27"/>
          <w:szCs w:val="27"/>
          <w:rtl/>
        </w:rPr>
        <w:t>عتبر المصدر الأوّل والثقل الأكبر في الإسلام!</w:t>
      </w:r>
    </w:p>
    <w:p w:rsidR="00F939B0" w:rsidRPr="00282AC9" w:rsidRDefault="00F939B0" w:rsidP="001D1A88">
      <w:pPr>
        <w:pStyle w:val="af6"/>
        <w:spacing w:line="400" w:lineRule="exact"/>
        <w:rPr>
          <w:rFonts w:ascii="Sakkal Majalla" w:hAnsi="Sakkal Majalla"/>
          <w:sz w:val="27"/>
          <w:szCs w:val="27"/>
          <w:rtl/>
        </w:rPr>
      </w:pPr>
      <w:r w:rsidRPr="00282AC9">
        <w:rPr>
          <w:rFonts w:ascii="Sakkal Majalla" w:hAnsi="Sakkal Majalla" w:hint="cs"/>
          <w:sz w:val="27"/>
          <w:szCs w:val="27"/>
          <w:rtl/>
        </w:rPr>
        <w:t xml:space="preserve">وهل </w:t>
      </w:r>
      <w:r w:rsidRPr="00282AC9">
        <w:rPr>
          <w:rFonts w:ascii="Times New Roman" w:hAnsi="Times New Roman" w:hint="cs"/>
          <w:sz w:val="27"/>
          <w:szCs w:val="27"/>
          <w:rtl/>
        </w:rPr>
        <w:t>ي</w:t>
      </w:r>
      <w:r w:rsidRPr="00282AC9">
        <w:rPr>
          <w:rFonts w:ascii="Sakkal Majalla" w:hAnsi="Sakkal Majalla" w:hint="cs"/>
          <w:sz w:val="27"/>
          <w:szCs w:val="27"/>
          <w:rtl/>
        </w:rPr>
        <w:t xml:space="preserve">عقل أن </w:t>
      </w:r>
      <w:r w:rsidRPr="00282AC9">
        <w:rPr>
          <w:rFonts w:ascii="Times New Roman" w:hAnsi="Times New Roman" w:hint="cs"/>
          <w:sz w:val="27"/>
          <w:szCs w:val="27"/>
          <w:rtl/>
        </w:rPr>
        <w:t>ي</w:t>
      </w:r>
      <w:r w:rsidRPr="00282AC9">
        <w:rPr>
          <w:rFonts w:ascii="Sakkal Majalla" w:hAnsi="Sakkal Majalla" w:hint="cs"/>
          <w:sz w:val="27"/>
          <w:szCs w:val="27"/>
          <w:rtl/>
        </w:rPr>
        <w:t xml:space="preserve">كون كلام الله، ذلك الوَحْي الإلهي الذي لا </w:t>
      </w:r>
      <w:r w:rsidRPr="00282AC9">
        <w:rPr>
          <w:rFonts w:ascii="Times New Roman" w:hAnsi="Times New Roman" w:hint="cs"/>
          <w:sz w:val="27"/>
          <w:szCs w:val="27"/>
          <w:rtl/>
        </w:rPr>
        <w:t>ي</w:t>
      </w:r>
      <w:r w:rsidRPr="00282AC9">
        <w:rPr>
          <w:rFonts w:ascii="Sakkal Majalla" w:hAnsi="Sakkal Majalla" w:hint="cs"/>
          <w:sz w:val="27"/>
          <w:szCs w:val="27"/>
          <w:rtl/>
        </w:rPr>
        <w:t>أت</w:t>
      </w:r>
      <w:r w:rsidRPr="00282AC9">
        <w:rPr>
          <w:rFonts w:ascii="Times New Roman" w:hAnsi="Times New Roman" w:hint="cs"/>
          <w:sz w:val="27"/>
          <w:szCs w:val="27"/>
          <w:rtl/>
        </w:rPr>
        <w:t>ي</w:t>
      </w:r>
      <w:r w:rsidRPr="00282AC9">
        <w:rPr>
          <w:rFonts w:ascii="Sakkal Majalla" w:hAnsi="Sakkal Majalla" w:hint="cs"/>
          <w:sz w:val="27"/>
          <w:szCs w:val="27"/>
          <w:rtl/>
        </w:rPr>
        <w:t>ه الباطل من ب</w:t>
      </w:r>
      <w:r w:rsidRPr="00282AC9">
        <w:rPr>
          <w:rFonts w:ascii="Times New Roman" w:hAnsi="Times New Roman" w:hint="cs"/>
          <w:sz w:val="27"/>
          <w:szCs w:val="27"/>
          <w:rtl/>
        </w:rPr>
        <w:t>ي</w:t>
      </w:r>
      <w:r w:rsidRPr="00282AC9">
        <w:rPr>
          <w:rFonts w:ascii="Sakkal Majalla" w:hAnsi="Sakkal Majalla" w:hint="cs"/>
          <w:sz w:val="27"/>
          <w:szCs w:val="27"/>
          <w:rtl/>
        </w:rPr>
        <w:t xml:space="preserve">ن </w:t>
      </w:r>
      <w:r w:rsidRPr="00282AC9">
        <w:rPr>
          <w:rFonts w:ascii="Times New Roman" w:hAnsi="Times New Roman" w:hint="cs"/>
          <w:sz w:val="27"/>
          <w:szCs w:val="27"/>
          <w:rtl/>
        </w:rPr>
        <w:t>ي</w:t>
      </w:r>
      <w:r w:rsidRPr="00282AC9">
        <w:rPr>
          <w:rFonts w:ascii="Sakkal Majalla" w:hAnsi="Sakkal Majalla" w:hint="cs"/>
          <w:sz w:val="27"/>
          <w:szCs w:val="27"/>
          <w:rtl/>
        </w:rPr>
        <w:t>د</w:t>
      </w:r>
      <w:r w:rsidRPr="00282AC9">
        <w:rPr>
          <w:rFonts w:ascii="Times New Roman" w:hAnsi="Times New Roman" w:hint="cs"/>
          <w:sz w:val="27"/>
          <w:szCs w:val="27"/>
          <w:rtl/>
        </w:rPr>
        <w:t>ي</w:t>
      </w:r>
      <w:r w:rsidRPr="00282AC9">
        <w:rPr>
          <w:rFonts w:ascii="Sakkal Majalla" w:hAnsi="Sakkal Majalla" w:hint="cs"/>
          <w:sz w:val="27"/>
          <w:szCs w:val="27"/>
          <w:rtl/>
        </w:rPr>
        <w:t xml:space="preserve">ه ولا من خلفه، أن </w:t>
      </w:r>
      <w:r w:rsidRPr="00282AC9">
        <w:rPr>
          <w:rFonts w:ascii="Times New Roman" w:hAnsi="Times New Roman" w:hint="cs"/>
          <w:sz w:val="27"/>
          <w:szCs w:val="27"/>
          <w:rtl/>
        </w:rPr>
        <w:t>ي</w:t>
      </w:r>
      <w:r w:rsidRPr="00282AC9">
        <w:rPr>
          <w:rFonts w:ascii="Sakkal Majalla" w:hAnsi="Sakkal Majalla" w:hint="cs"/>
          <w:sz w:val="27"/>
          <w:szCs w:val="27"/>
          <w:rtl/>
        </w:rPr>
        <w:t>كون قد جُمع بشهادة شاهدَ</w:t>
      </w:r>
      <w:r w:rsidRPr="00282AC9">
        <w:rPr>
          <w:rFonts w:ascii="Times New Roman" w:hAnsi="Times New Roman" w:hint="cs"/>
          <w:sz w:val="27"/>
          <w:szCs w:val="27"/>
          <w:rtl/>
        </w:rPr>
        <w:t>ي</w:t>
      </w:r>
      <w:r w:rsidRPr="00282AC9">
        <w:rPr>
          <w:rFonts w:ascii="Sakkal Majalla" w:hAnsi="Sakkal Majalla" w:hint="cs"/>
          <w:sz w:val="27"/>
          <w:szCs w:val="27"/>
          <w:rtl/>
        </w:rPr>
        <w:t>ْن من الأعراب، وتقبل شهادتهم ف</w:t>
      </w:r>
      <w:r w:rsidRPr="00282AC9">
        <w:rPr>
          <w:rFonts w:ascii="Times New Roman" w:hAnsi="Times New Roman" w:hint="cs"/>
          <w:sz w:val="27"/>
          <w:szCs w:val="27"/>
          <w:rtl/>
        </w:rPr>
        <w:t>ي</w:t>
      </w:r>
      <w:r w:rsidRPr="00282AC9">
        <w:rPr>
          <w:rFonts w:ascii="Sakkal Majalla" w:hAnsi="Sakkal Majalla" w:hint="cs"/>
          <w:sz w:val="27"/>
          <w:szCs w:val="27"/>
          <w:rtl/>
        </w:rPr>
        <w:t>ه، حتّى لو كانوا عل</w:t>
      </w:r>
      <w:r w:rsidRPr="00282AC9">
        <w:rPr>
          <w:rFonts w:ascii="Times New Roman" w:hAnsi="Times New Roman" w:hint="cs"/>
          <w:sz w:val="27"/>
          <w:szCs w:val="27"/>
          <w:rtl/>
        </w:rPr>
        <w:t>ى</w:t>
      </w:r>
      <w:r w:rsidRPr="00282AC9">
        <w:rPr>
          <w:rFonts w:ascii="Sakkal Majalla" w:hAnsi="Sakkal Majalla" w:hint="cs"/>
          <w:sz w:val="27"/>
          <w:szCs w:val="27"/>
          <w:rtl/>
        </w:rPr>
        <w:t xml:space="preserve"> ظاهر الإسلام؟!</w:t>
      </w:r>
    </w:p>
    <w:p w:rsidR="00F939B0" w:rsidRPr="00282AC9" w:rsidRDefault="00F939B0" w:rsidP="001D1A88">
      <w:pPr>
        <w:pStyle w:val="af6"/>
        <w:spacing w:line="400" w:lineRule="exact"/>
        <w:rPr>
          <w:rFonts w:ascii="Sakkal Majalla" w:hAnsi="Sakkal Majalla"/>
          <w:sz w:val="27"/>
          <w:szCs w:val="27"/>
          <w:rtl/>
        </w:rPr>
      </w:pPr>
      <w:r w:rsidRPr="00282AC9">
        <w:rPr>
          <w:rFonts w:ascii="Sakkal Majalla" w:hAnsi="Sakkal Majalla" w:hint="cs"/>
          <w:sz w:val="27"/>
          <w:szCs w:val="27"/>
          <w:rtl/>
        </w:rPr>
        <w:t>ولنفترض أنّ هناك آ</w:t>
      </w:r>
      <w:r w:rsidRPr="00282AC9">
        <w:rPr>
          <w:rFonts w:ascii="Times New Roman" w:hAnsi="Times New Roman" w:hint="cs"/>
          <w:sz w:val="27"/>
          <w:szCs w:val="27"/>
          <w:rtl/>
        </w:rPr>
        <w:t>ي</w:t>
      </w:r>
      <w:r w:rsidRPr="00282AC9">
        <w:rPr>
          <w:rFonts w:ascii="Sakkal Majalla" w:hAnsi="Sakkal Majalla" w:hint="cs"/>
          <w:sz w:val="27"/>
          <w:szCs w:val="27"/>
          <w:rtl/>
        </w:rPr>
        <w:t>ات نزلَتْ عل</w:t>
      </w:r>
      <w:r w:rsidRPr="00282AC9">
        <w:rPr>
          <w:rFonts w:ascii="Times New Roman" w:hAnsi="Times New Roman" w:hint="cs"/>
          <w:sz w:val="27"/>
          <w:szCs w:val="27"/>
          <w:rtl/>
        </w:rPr>
        <w:t>ى</w:t>
      </w:r>
      <w:r w:rsidRPr="00282AC9">
        <w:rPr>
          <w:rFonts w:ascii="Sakkal Majalla" w:hAnsi="Sakkal Majalla" w:hint="cs"/>
          <w:sz w:val="27"/>
          <w:szCs w:val="27"/>
          <w:rtl/>
        </w:rPr>
        <w:t xml:space="preserve"> النبيّ</w:t>
      </w:r>
      <w:r w:rsidR="009A2A04" w:rsidRPr="00282AC9">
        <w:rPr>
          <w:rFonts w:ascii="Sakkal Majalla" w:hAnsi="Sakkal Majalla" w:cs="Mosawi" w:hint="cs"/>
          <w:sz w:val="22"/>
          <w:szCs w:val="22"/>
          <w:rtl/>
        </w:rPr>
        <w:t>|</w:t>
      </w:r>
      <w:r w:rsidRPr="00282AC9">
        <w:rPr>
          <w:rFonts w:ascii="Sakkal Majalla" w:hAnsi="Sakkal Majalla" w:hint="cs"/>
          <w:sz w:val="27"/>
          <w:szCs w:val="27"/>
          <w:rtl/>
        </w:rPr>
        <w:t>، وقد قرأها عل</w:t>
      </w:r>
      <w:r w:rsidRPr="00282AC9">
        <w:rPr>
          <w:rFonts w:ascii="Times New Roman" w:hAnsi="Times New Roman" w:hint="cs"/>
          <w:sz w:val="27"/>
          <w:szCs w:val="27"/>
          <w:rtl/>
        </w:rPr>
        <w:t>ى</w:t>
      </w:r>
      <w:r w:rsidRPr="00282AC9">
        <w:rPr>
          <w:rFonts w:ascii="Sakkal Majalla" w:hAnsi="Sakkal Majalla" w:hint="cs"/>
          <w:sz w:val="27"/>
          <w:szCs w:val="27"/>
          <w:rtl/>
        </w:rPr>
        <w:t xml:space="preserve"> عددٍ ممَّنْ كان حوله، ولكنْ عندما قام الخلفاء بجمع القرآن لم </w:t>
      </w:r>
      <w:r w:rsidRPr="00282AC9">
        <w:rPr>
          <w:rFonts w:ascii="Times New Roman" w:hAnsi="Times New Roman" w:hint="cs"/>
          <w:sz w:val="27"/>
          <w:szCs w:val="27"/>
          <w:rtl/>
        </w:rPr>
        <w:t>ي</w:t>
      </w:r>
      <w:r w:rsidRPr="00282AC9">
        <w:rPr>
          <w:rFonts w:ascii="Sakkal Majalla" w:hAnsi="Sakkal Majalla" w:hint="cs"/>
          <w:sz w:val="27"/>
          <w:szCs w:val="27"/>
          <w:rtl/>
        </w:rPr>
        <w:t>أتِ أحدٌ من أولئك بتلك الآ</w:t>
      </w:r>
      <w:r w:rsidRPr="00282AC9">
        <w:rPr>
          <w:rFonts w:ascii="Times New Roman" w:hAnsi="Times New Roman" w:hint="cs"/>
          <w:sz w:val="27"/>
          <w:szCs w:val="27"/>
          <w:rtl/>
        </w:rPr>
        <w:t>ي</w:t>
      </w:r>
      <w:r w:rsidRPr="00282AC9">
        <w:rPr>
          <w:rFonts w:ascii="Sakkal Majalla" w:hAnsi="Sakkal Majalla" w:hint="cs"/>
          <w:sz w:val="27"/>
          <w:szCs w:val="27"/>
          <w:rtl/>
        </w:rPr>
        <w:t xml:space="preserve">ات، أو جاء بها ولم </w:t>
      </w:r>
      <w:r w:rsidRPr="00282AC9">
        <w:rPr>
          <w:rFonts w:ascii="Times New Roman" w:hAnsi="Times New Roman" w:hint="cs"/>
          <w:sz w:val="27"/>
          <w:szCs w:val="27"/>
          <w:rtl/>
        </w:rPr>
        <w:t>ي</w:t>
      </w:r>
      <w:r w:rsidRPr="00282AC9">
        <w:rPr>
          <w:rFonts w:ascii="Sakkal Majalla" w:hAnsi="Sakkal Majalla" w:hint="cs"/>
          <w:sz w:val="27"/>
          <w:szCs w:val="27"/>
          <w:rtl/>
        </w:rPr>
        <w:t>أتِ بشاهدَ</w:t>
      </w:r>
      <w:r w:rsidRPr="00282AC9">
        <w:rPr>
          <w:rFonts w:ascii="Times New Roman" w:hAnsi="Times New Roman" w:hint="cs"/>
          <w:sz w:val="27"/>
          <w:szCs w:val="27"/>
          <w:rtl/>
        </w:rPr>
        <w:t>ي</w:t>
      </w:r>
      <w:r w:rsidRPr="00282AC9">
        <w:rPr>
          <w:rFonts w:ascii="Sakkal Majalla" w:hAnsi="Sakkal Majalla" w:hint="cs"/>
          <w:sz w:val="27"/>
          <w:szCs w:val="27"/>
          <w:rtl/>
        </w:rPr>
        <w:t>ن، فهل من الممكن أن نقول: إنّ تلك الآ</w:t>
      </w:r>
      <w:r w:rsidRPr="00282AC9">
        <w:rPr>
          <w:rFonts w:ascii="Times New Roman" w:hAnsi="Times New Roman" w:hint="cs"/>
          <w:sz w:val="27"/>
          <w:szCs w:val="27"/>
          <w:rtl/>
        </w:rPr>
        <w:t>ي</w:t>
      </w:r>
      <w:r w:rsidRPr="00282AC9">
        <w:rPr>
          <w:rFonts w:ascii="Sakkal Majalla" w:hAnsi="Sakkal Majalla" w:hint="cs"/>
          <w:sz w:val="27"/>
          <w:szCs w:val="27"/>
          <w:rtl/>
        </w:rPr>
        <w:t xml:space="preserve">ات تلفَتْ، ولا نعلم منها شيء؟! ألا </w:t>
      </w:r>
      <w:r w:rsidRPr="00282AC9">
        <w:rPr>
          <w:rFonts w:ascii="Times New Roman" w:hAnsi="Times New Roman" w:hint="cs"/>
          <w:sz w:val="27"/>
          <w:szCs w:val="27"/>
          <w:rtl/>
        </w:rPr>
        <w:t>ي</w:t>
      </w:r>
      <w:r w:rsidRPr="00282AC9">
        <w:rPr>
          <w:rFonts w:ascii="Sakkal Majalla" w:hAnsi="Sakkal Majalla" w:hint="cs"/>
          <w:sz w:val="27"/>
          <w:szCs w:val="27"/>
          <w:rtl/>
        </w:rPr>
        <w:t>عتبر ذلك مخالفةً صر</w:t>
      </w:r>
      <w:r w:rsidRPr="00282AC9">
        <w:rPr>
          <w:rFonts w:ascii="Times New Roman" w:hAnsi="Times New Roman" w:hint="cs"/>
          <w:sz w:val="27"/>
          <w:szCs w:val="27"/>
          <w:rtl/>
        </w:rPr>
        <w:t>ي</w:t>
      </w:r>
      <w:r w:rsidRPr="00282AC9">
        <w:rPr>
          <w:rFonts w:ascii="Sakkal Majalla" w:hAnsi="Sakkal Majalla" w:hint="cs"/>
          <w:sz w:val="27"/>
          <w:szCs w:val="27"/>
          <w:rtl/>
        </w:rPr>
        <w:t xml:space="preserve">حة لقوله تعالى: </w:t>
      </w:r>
      <w:r w:rsidRPr="00282AC9">
        <w:rPr>
          <w:rFonts w:ascii="Mosawi" w:hAnsi="Mosawi" w:cs="Mosawi"/>
          <w:sz w:val="24"/>
          <w:szCs w:val="24"/>
          <w:rtl/>
        </w:rPr>
        <w:t>﴿</w:t>
      </w:r>
      <w:r w:rsidRPr="00282AC9">
        <w:rPr>
          <w:rFonts w:ascii="Sakkal Majalla" w:hAnsi="Sakkal Majalla"/>
          <w:b/>
          <w:bCs/>
          <w:sz w:val="27"/>
          <w:szCs w:val="27"/>
          <w:rtl/>
        </w:rPr>
        <w:t>إِنَّا نَحْنُ‏ نَزَّلْنَا الذِّكْرَ و</w:t>
      </w:r>
      <w:r w:rsidRPr="00282AC9">
        <w:rPr>
          <w:rFonts w:ascii="Sakkal Majalla" w:hAnsi="Sakkal Majalla" w:hint="cs"/>
          <w:b/>
          <w:bCs/>
          <w:sz w:val="27"/>
          <w:szCs w:val="27"/>
          <w:rtl/>
        </w:rPr>
        <w:t>َ</w:t>
      </w:r>
      <w:r w:rsidRPr="00282AC9">
        <w:rPr>
          <w:rFonts w:ascii="Sakkal Majalla" w:hAnsi="Sakkal Majalla"/>
          <w:b/>
          <w:bCs/>
          <w:sz w:val="27"/>
          <w:szCs w:val="27"/>
          <w:rtl/>
        </w:rPr>
        <w:t>إِنَّا لَهُ لَح</w:t>
      </w:r>
      <w:r w:rsidRPr="00282AC9">
        <w:rPr>
          <w:rFonts w:ascii="Sakkal Majalla" w:hAnsi="Sakkal Majalla" w:hint="cs"/>
          <w:b/>
          <w:bCs/>
          <w:sz w:val="27"/>
          <w:szCs w:val="27"/>
          <w:rtl/>
        </w:rPr>
        <w:t>َ</w:t>
      </w:r>
      <w:r w:rsidRPr="00282AC9">
        <w:rPr>
          <w:rFonts w:ascii="Sakkal Majalla" w:hAnsi="Sakkal Majalla"/>
          <w:b/>
          <w:bCs/>
          <w:sz w:val="27"/>
          <w:szCs w:val="27"/>
          <w:rtl/>
        </w:rPr>
        <w:t>افِظُون</w:t>
      </w:r>
      <w:r w:rsidRPr="00282AC9">
        <w:rPr>
          <w:rFonts w:ascii="Sakkal Majalla" w:hAnsi="Sakkal Majalla" w:hint="cs"/>
          <w:b/>
          <w:bCs/>
          <w:sz w:val="27"/>
          <w:szCs w:val="27"/>
          <w:rtl/>
        </w:rPr>
        <w:t>َ</w:t>
      </w:r>
      <w:r w:rsidRPr="00282AC9">
        <w:rPr>
          <w:rFonts w:ascii="Mosawi" w:hAnsi="Mosawi" w:cs="Mosawi"/>
          <w:sz w:val="24"/>
          <w:szCs w:val="24"/>
          <w:rtl/>
        </w:rPr>
        <w:t>﴾</w:t>
      </w:r>
      <w:r w:rsidRPr="00282AC9">
        <w:rPr>
          <w:rFonts w:ascii="Sakkal Majalla" w:hAnsi="Sakkal Majalla" w:hint="cs"/>
          <w:sz w:val="27"/>
          <w:szCs w:val="27"/>
          <w:rtl/>
        </w:rPr>
        <w:t xml:space="preserve"> (الحجر: 9).</w:t>
      </w:r>
      <w:r w:rsidRPr="00282AC9">
        <w:rPr>
          <w:rFonts w:ascii="Sakkal Majalla" w:hAnsi="Sakkal Majalla"/>
          <w:sz w:val="27"/>
          <w:szCs w:val="27"/>
          <w:rtl/>
        </w:rPr>
        <w:t xml:space="preserve"> </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وبالتالي لا نبالغ إنْ قلنا: إنّ فكرة جمع القرآن في عهد الخلفاء تؤدّي بنا إلى القول بتحر</w:t>
      </w:r>
      <w:r w:rsidRPr="00282AC9">
        <w:rPr>
          <w:rFonts w:cs="AL-Mohanad" w:hint="cs"/>
          <w:sz w:val="27"/>
          <w:szCs w:val="27"/>
          <w:rtl/>
        </w:rPr>
        <w:t>ي</w:t>
      </w:r>
      <w:r w:rsidRPr="00282AC9">
        <w:rPr>
          <w:rFonts w:ascii="Sakkal Majalla" w:hAnsi="Sakkal Majalla" w:cs="AL-Mohanad" w:hint="cs"/>
          <w:sz w:val="27"/>
          <w:szCs w:val="27"/>
          <w:rtl/>
        </w:rPr>
        <w:t>ف القرآن، كما ظهر ممّا تقدَّم.</w:t>
      </w:r>
    </w:p>
    <w:p w:rsidR="00EF541F" w:rsidRPr="00282AC9" w:rsidRDefault="00EF541F" w:rsidP="00EF541F">
      <w:pPr>
        <w:spacing w:line="420" w:lineRule="exact"/>
        <w:rPr>
          <w:sz w:val="27"/>
          <w:rtl/>
        </w:rPr>
      </w:pPr>
    </w:p>
    <w:p w:rsidR="00024534" w:rsidRPr="00282AC9" w:rsidRDefault="00F939B0" w:rsidP="00024534">
      <w:pPr>
        <w:pStyle w:val="31"/>
        <w:rPr>
          <w:color w:val="auto"/>
          <w:rtl/>
        </w:rPr>
      </w:pPr>
      <w:r w:rsidRPr="00282AC9">
        <w:rPr>
          <w:rFonts w:hint="cs"/>
          <w:color w:val="auto"/>
          <w:rtl/>
        </w:rPr>
        <w:t>و ـ</w:t>
      </w:r>
      <w:r w:rsidRPr="00282AC9">
        <w:rPr>
          <w:rFonts w:hint="cs"/>
          <w:b/>
          <w:color w:val="auto"/>
          <w:rtl/>
        </w:rPr>
        <w:t xml:space="preserve"> </w:t>
      </w:r>
      <w:r w:rsidR="00024534" w:rsidRPr="00282AC9">
        <w:rPr>
          <w:rFonts w:hint="cs"/>
          <w:color w:val="auto"/>
          <w:rtl/>
        </w:rPr>
        <w:t>التوقيفية مقتضى الإعجاز</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قد ثبت في محلِّه أنّ القران معجزةٌ إله</w:t>
      </w:r>
      <w:r w:rsidRPr="00282AC9">
        <w:rPr>
          <w:rFonts w:cs="AL-Mohanad" w:hint="cs"/>
          <w:sz w:val="27"/>
          <w:szCs w:val="27"/>
          <w:rtl/>
        </w:rPr>
        <w:t>ي</w:t>
      </w:r>
      <w:r w:rsidRPr="00282AC9">
        <w:rPr>
          <w:rFonts w:ascii="Sakkal Majalla" w:hAnsi="Sakkal Majalla" w:cs="AL-Mohanad" w:hint="cs"/>
          <w:sz w:val="27"/>
          <w:szCs w:val="27"/>
          <w:rtl/>
        </w:rPr>
        <w:t>ة، وقد تبلور ذلك الإعجاز في ترت</w:t>
      </w:r>
      <w:r w:rsidRPr="00282AC9">
        <w:rPr>
          <w:rFonts w:cs="AL-Mohanad" w:hint="cs"/>
          <w:sz w:val="27"/>
          <w:szCs w:val="27"/>
          <w:rtl/>
        </w:rPr>
        <w:t>ي</w:t>
      </w:r>
      <w:r w:rsidRPr="00282AC9">
        <w:rPr>
          <w:rFonts w:ascii="Sakkal Majalla" w:hAnsi="Sakkal Majalla" w:cs="AL-Mohanad" w:hint="cs"/>
          <w:sz w:val="27"/>
          <w:szCs w:val="27"/>
          <w:rtl/>
        </w:rPr>
        <w:t>ب ونسج آ</w:t>
      </w:r>
      <w:r w:rsidRPr="00282AC9">
        <w:rPr>
          <w:rFonts w:cs="AL-Mohanad" w:hint="cs"/>
          <w:sz w:val="27"/>
          <w:szCs w:val="27"/>
          <w:rtl/>
        </w:rPr>
        <w:t>ي</w:t>
      </w:r>
      <w:r w:rsidRPr="00282AC9">
        <w:rPr>
          <w:rFonts w:ascii="Sakkal Majalla" w:hAnsi="Sakkal Majalla" w:cs="AL-Mohanad" w:hint="cs"/>
          <w:sz w:val="27"/>
          <w:szCs w:val="27"/>
          <w:rtl/>
        </w:rPr>
        <w:t>اته بعضها مع بعضٍ، وعل</w:t>
      </w:r>
      <w:r w:rsidRPr="00282AC9">
        <w:rPr>
          <w:rFonts w:cs="AL-Mohanad" w:hint="cs"/>
          <w:sz w:val="27"/>
          <w:szCs w:val="27"/>
          <w:rtl/>
        </w:rPr>
        <w:t>ي</w:t>
      </w:r>
      <w:r w:rsidRPr="00282AC9">
        <w:rPr>
          <w:rFonts w:ascii="Sakkal Majalla" w:hAnsi="Sakkal Majalla" w:cs="AL-Mohanad" w:hint="cs"/>
          <w:sz w:val="27"/>
          <w:szCs w:val="27"/>
          <w:rtl/>
        </w:rPr>
        <w:t xml:space="preserve">ه لا بُدَّ أن </w:t>
      </w:r>
      <w:r w:rsidRPr="00282AC9">
        <w:rPr>
          <w:rFonts w:cs="AL-Mohanad" w:hint="cs"/>
          <w:sz w:val="27"/>
          <w:szCs w:val="27"/>
          <w:rtl/>
        </w:rPr>
        <w:t>ي</w:t>
      </w:r>
      <w:r w:rsidRPr="00282AC9">
        <w:rPr>
          <w:rFonts w:ascii="Sakkal Majalla" w:hAnsi="Sakkal Majalla" w:cs="AL-Mohanad" w:hint="cs"/>
          <w:sz w:val="27"/>
          <w:szCs w:val="27"/>
          <w:rtl/>
        </w:rPr>
        <w:t>كون ترت</w:t>
      </w:r>
      <w:r w:rsidRPr="00282AC9">
        <w:rPr>
          <w:rFonts w:cs="AL-Mohanad" w:hint="cs"/>
          <w:sz w:val="27"/>
          <w:szCs w:val="27"/>
          <w:rtl/>
        </w:rPr>
        <w:t>ي</w:t>
      </w:r>
      <w:r w:rsidRPr="00282AC9">
        <w:rPr>
          <w:rFonts w:ascii="Sakkal Majalla" w:hAnsi="Sakkal Majalla" w:cs="AL-Mohanad" w:hint="cs"/>
          <w:sz w:val="27"/>
          <w:szCs w:val="27"/>
          <w:rtl/>
        </w:rPr>
        <w:t>ب ونظم آ</w:t>
      </w:r>
      <w:r w:rsidRPr="00282AC9">
        <w:rPr>
          <w:rFonts w:cs="AL-Mohanad" w:hint="cs"/>
          <w:sz w:val="27"/>
          <w:szCs w:val="27"/>
          <w:rtl/>
        </w:rPr>
        <w:t>ي</w:t>
      </w:r>
      <w:r w:rsidRPr="00282AC9">
        <w:rPr>
          <w:rFonts w:ascii="Sakkal Majalla" w:hAnsi="Sakkal Majalla" w:cs="AL-Mohanad" w:hint="cs"/>
          <w:sz w:val="27"/>
          <w:szCs w:val="27"/>
          <w:rtl/>
        </w:rPr>
        <w:t>اته توق</w:t>
      </w:r>
      <w:r w:rsidRPr="00282AC9">
        <w:rPr>
          <w:rFonts w:cs="AL-Mohanad" w:hint="cs"/>
          <w:sz w:val="27"/>
          <w:szCs w:val="27"/>
          <w:rtl/>
        </w:rPr>
        <w:t>ي</w:t>
      </w:r>
      <w:r w:rsidRPr="00282AC9">
        <w:rPr>
          <w:rFonts w:ascii="Sakkal Majalla" w:hAnsi="Sakkal Majalla" w:cs="AL-Mohanad" w:hint="cs"/>
          <w:sz w:val="27"/>
          <w:szCs w:val="27"/>
          <w:rtl/>
        </w:rPr>
        <w:t xml:space="preserve">فيّاً صادراً من الله تعالى، حتّى </w:t>
      </w:r>
      <w:r w:rsidRPr="00282AC9">
        <w:rPr>
          <w:rFonts w:cs="AL-Mohanad" w:hint="cs"/>
          <w:sz w:val="27"/>
          <w:szCs w:val="27"/>
          <w:rtl/>
        </w:rPr>
        <w:t>ي</w:t>
      </w:r>
      <w:r w:rsidRPr="00282AC9">
        <w:rPr>
          <w:rFonts w:ascii="Sakkal Majalla" w:hAnsi="Sakkal Majalla" w:cs="AL-Mohanad" w:hint="cs"/>
          <w:sz w:val="27"/>
          <w:szCs w:val="27"/>
          <w:rtl/>
        </w:rPr>
        <w:t>ثبت أنّه معجزةٌ. أمّا إذا قلنا: إنّ ترت</w:t>
      </w:r>
      <w:r w:rsidRPr="00282AC9">
        <w:rPr>
          <w:rFonts w:cs="AL-Mohanad" w:hint="cs"/>
          <w:sz w:val="27"/>
          <w:szCs w:val="27"/>
          <w:rtl/>
        </w:rPr>
        <w:t>ي</w:t>
      </w:r>
      <w:r w:rsidRPr="00282AC9">
        <w:rPr>
          <w:rFonts w:ascii="Sakkal Majalla" w:hAnsi="Sakkal Majalla" w:cs="AL-Mohanad" w:hint="cs"/>
          <w:sz w:val="27"/>
          <w:szCs w:val="27"/>
          <w:rtl/>
        </w:rPr>
        <w:t>ب الآ</w:t>
      </w:r>
      <w:r w:rsidRPr="00282AC9">
        <w:rPr>
          <w:rFonts w:cs="AL-Mohanad" w:hint="cs"/>
          <w:sz w:val="27"/>
          <w:szCs w:val="27"/>
          <w:rtl/>
        </w:rPr>
        <w:t>ي</w:t>
      </w:r>
      <w:r w:rsidRPr="00282AC9">
        <w:rPr>
          <w:rFonts w:ascii="Sakkal Majalla" w:hAnsi="Sakkal Majalla" w:cs="AL-Mohanad" w:hint="cs"/>
          <w:sz w:val="27"/>
          <w:szCs w:val="27"/>
          <w:rtl/>
        </w:rPr>
        <w:t xml:space="preserve">ات كان باجتهادٍ من الصحابة، كما قال العلاّمة الطباطبائي، فلا </w:t>
      </w:r>
      <w:r w:rsidRPr="00282AC9">
        <w:rPr>
          <w:rFonts w:cs="AL-Mohanad" w:hint="cs"/>
          <w:sz w:val="27"/>
          <w:szCs w:val="27"/>
          <w:rtl/>
        </w:rPr>
        <w:t>ي</w:t>
      </w:r>
      <w:r w:rsidRPr="00282AC9">
        <w:rPr>
          <w:rFonts w:ascii="Sakkal Majalla" w:hAnsi="Sakkal Majalla" w:cs="AL-Mohanad" w:hint="cs"/>
          <w:sz w:val="27"/>
          <w:szCs w:val="27"/>
          <w:rtl/>
        </w:rPr>
        <w:t>بق</w:t>
      </w:r>
      <w:r w:rsidRPr="00282AC9">
        <w:rPr>
          <w:rFonts w:cs="AL-Mohanad" w:hint="cs"/>
          <w:sz w:val="27"/>
          <w:szCs w:val="27"/>
          <w:rtl/>
        </w:rPr>
        <w:t>ى</w:t>
      </w:r>
      <w:r w:rsidRPr="00282AC9">
        <w:rPr>
          <w:rFonts w:ascii="Sakkal Majalla" w:hAnsi="Sakkal Majalla" w:cs="AL-Mohanad" w:hint="cs"/>
          <w:sz w:val="27"/>
          <w:szCs w:val="27"/>
          <w:rtl/>
        </w:rPr>
        <w:t xml:space="preserve"> للقرآن شيءٌ من الإعجاز؛ لأنّ المعجزة أمرٌ خارجٌ عن طاقة وقدرة البشر العادي. </w:t>
      </w:r>
    </w:p>
    <w:p w:rsidR="00EF541F" w:rsidRPr="00282AC9" w:rsidRDefault="00EF541F" w:rsidP="00EF541F">
      <w:pPr>
        <w:spacing w:line="420" w:lineRule="exact"/>
        <w:rPr>
          <w:sz w:val="27"/>
          <w:rtl/>
        </w:rPr>
      </w:pPr>
    </w:p>
    <w:p w:rsidR="00760D07" w:rsidRPr="00282AC9" w:rsidRDefault="00F939B0" w:rsidP="00760D07">
      <w:pPr>
        <w:pStyle w:val="31"/>
        <w:rPr>
          <w:color w:val="auto"/>
          <w:rtl/>
        </w:rPr>
      </w:pPr>
      <w:r w:rsidRPr="00282AC9">
        <w:rPr>
          <w:rFonts w:hint="cs"/>
          <w:color w:val="auto"/>
          <w:rtl/>
        </w:rPr>
        <w:t>ز ـ</w:t>
      </w:r>
      <w:r w:rsidRPr="00282AC9">
        <w:rPr>
          <w:rFonts w:hint="cs"/>
          <w:b/>
          <w:color w:val="auto"/>
          <w:rtl/>
        </w:rPr>
        <w:t xml:space="preserve"> </w:t>
      </w:r>
      <w:r w:rsidR="00760D07" w:rsidRPr="00282AC9">
        <w:rPr>
          <w:rFonts w:hint="cs"/>
          <w:color w:val="auto"/>
          <w:rtl/>
        </w:rPr>
        <w:t>كتابة الصحابة للقرآن، وعرضه عى النبيّ</w:t>
      </w:r>
      <w:r w:rsidR="009A2A04" w:rsidRPr="00282AC9">
        <w:rPr>
          <w:rFonts w:cs="Mosawi" w:hint="cs"/>
          <w:color w:val="auto"/>
          <w:sz w:val="23"/>
          <w:szCs w:val="23"/>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من الأمور الثابتة تار</w:t>
      </w:r>
      <w:r w:rsidRPr="00282AC9">
        <w:rPr>
          <w:rFonts w:cs="AL-Mohanad" w:hint="cs"/>
          <w:sz w:val="27"/>
          <w:szCs w:val="27"/>
          <w:rtl/>
        </w:rPr>
        <w:t>ي</w:t>
      </w:r>
      <w:r w:rsidRPr="00282AC9">
        <w:rPr>
          <w:rFonts w:ascii="Sakkal Majalla" w:hAnsi="Sakkal Majalla" w:cs="AL-Mohanad" w:hint="cs"/>
          <w:sz w:val="27"/>
          <w:szCs w:val="27"/>
          <w:rtl/>
        </w:rPr>
        <w:t>خ</w:t>
      </w:r>
      <w:r w:rsidRPr="00282AC9">
        <w:rPr>
          <w:rFonts w:cs="AL-Mohanad" w:hint="cs"/>
          <w:sz w:val="27"/>
          <w:szCs w:val="27"/>
          <w:rtl/>
        </w:rPr>
        <w:t>ي</w:t>
      </w:r>
      <w:r w:rsidRPr="00282AC9">
        <w:rPr>
          <w:rFonts w:ascii="Sakkal Majalla" w:hAnsi="Sakkal Majalla" w:cs="AL-Mohanad" w:hint="cs"/>
          <w:sz w:val="27"/>
          <w:szCs w:val="27"/>
          <w:rtl/>
        </w:rPr>
        <w:t xml:space="preserve">اً أنّ هناك عدداً من الصحابة كانوا </w:t>
      </w:r>
      <w:r w:rsidRPr="00282AC9">
        <w:rPr>
          <w:rFonts w:cs="AL-Mohanad" w:hint="cs"/>
          <w:sz w:val="27"/>
          <w:szCs w:val="27"/>
          <w:rtl/>
        </w:rPr>
        <w:t>ي</w:t>
      </w:r>
      <w:r w:rsidRPr="00282AC9">
        <w:rPr>
          <w:rFonts w:ascii="Sakkal Majalla" w:hAnsi="Sakkal Majalla" w:cs="AL-Mohanad" w:hint="cs"/>
          <w:sz w:val="27"/>
          <w:szCs w:val="27"/>
          <w:rtl/>
        </w:rPr>
        <w:t xml:space="preserve">مارسون الكتابة، حتّى عُرفوا بـ (كُتّاب الوَحْي). وممّا </w:t>
      </w:r>
      <w:r w:rsidRPr="00282AC9">
        <w:rPr>
          <w:rFonts w:cs="AL-Mohanad" w:hint="cs"/>
          <w:sz w:val="27"/>
          <w:szCs w:val="27"/>
          <w:rtl/>
        </w:rPr>
        <w:t>ي</w:t>
      </w:r>
      <w:r w:rsidRPr="00282AC9">
        <w:rPr>
          <w:rFonts w:ascii="Sakkal Majalla" w:hAnsi="Sakkal Majalla" w:cs="AL-Mohanad" w:hint="cs"/>
          <w:sz w:val="27"/>
          <w:szCs w:val="27"/>
          <w:rtl/>
        </w:rPr>
        <w:t>ؤ</w:t>
      </w:r>
      <w:r w:rsidRPr="00282AC9">
        <w:rPr>
          <w:rFonts w:cs="AL-Mohanad" w:hint="cs"/>
          <w:sz w:val="27"/>
          <w:szCs w:val="27"/>
          <w:rtl/>
        </w:rPr>
        <w:t>ي</w:t>
      </w:r>
      <w:r w:rsidRPr="00282AC9">
        <w:rPr>
          <w:rFonts w:ascii="Sakkal Majalla" w:hAnsi="Sakkal Majalla" w:cs="AL-Mohanad" w:hint="cs"/>
          <w:sz w:val="27"/>
          <w:szCs w:val="27"/>
          <w:rtl/>
        </w:rPr>
        <w:t>ِّد ذلك روا</w:t>
      </w:r>
      <w:r w:rsidRPr="00282AC9">
        <w:rPr>
          <w:rFonts w:cs="AL-Mohanad" w:hint="cs"/>
          <w:sz w:val="27"/>
          <w:szCs w:val="27"/>
          <w:rtl/>
        </w:rPr>
        <w:t>ي</w:t>
      </w:r>
      <w:r w:rsidRPr="00282AC9">
        <w:rPr>
          <w:rFonts w:ascii="Sakkal Majalla" w:hAnsi="Sakkal Majalla" w:cs="AL-Mohanad" w:hint="cs"/>
          <w:sz w:val="27"/>
          <w:szCs w:val="27"/>
          <w:rtl/>
        </w:rPr>
        <w:t>ات جمع القرآن، ومنها:</w:t>
      </w:r>
    </w:p>
    <w:p w:rsidR="00F939B0" w:rsidRPr="00282AC9" w:rsidRDefault="00F939B0" w:rsidP="001D1A88">
      <w:pPr>
        <w:pStyle w:val="afc"/>
        <w:rPr>
          <w:rFonts w:ascii="Traditional Arabic" w:hAnsi="Traditional Arabic" w:cs="AL-Mohanad"/>
          <w:sz w:val="27"/>
          <w:szCs w:val="27"/>
          <w:rtl/>
        </w:rPr>
      </w:pPr>
      <w:r w:rsidRPr="00282AC9">
        <w:rPr>
          <w:rFonts w:ascii="Sakkal Majalla" w:hAnsi="Sakkal Majalla" w:cs="AL-Mohanad" w:hint="cs"/>
          <w:sz w:val="27"/>
          <w:szCs w:val="27"/>
          <w:rtl/>
        </w:rPr>
        <w:t xml:space="preserve">1ـ ما رُوي من أنّه </w:t>
      </w:r>
      <w:r w:rsidRPr="00282AC9">
        <w:rPr>
          <w:rFonts w:ascii="Sakkal Majalla" w:hAnsi="Sakkal Majalla" w:cs="AL-Mohanad"/>
          <w:sz w:val="27"/>
          <w:szCs w:val="27"/>
          <w:rtl/>
        </w:rPr>
        <w:t>جمع القرآن على عهد رسول الله</w:t>
      </w:r>
      <w:r w:rsidR="00A9773B" w:rsidRPr="00282AC9">
        <w:rPr>
          <w:rFonts w:ascii="Mosawi" w:hAnsi="Mosawi" w:cs="Mosawi"/>
          <w:sz w:val="22"/>
          <w:szCs w:val="22"/>
          <w:rtl/>
        </w:rPr>
        <w:t>ﷺ</w:t>
      </w:r>
      <w:r w:rsidRPr="00282AC9">
        <w:rPr>
          <w:rFonts w:ascii="Sakkal Majalla" w:hAnsi="Sakkal Majalla" w:cs="AL-Mohanad"/>
          <w:sz w:val="27"/>
          <w:szCs w:val="27"/>
          <w:rtl/>
        </w:rPr>
        <w:t xml:space="preserve"> خمسة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الأنصار: معاذ </w:t>
      </w:r>
      <w:r w:rsidRPr="00282AC9">
        <w:rPr>
          <w:rFonts w:ascii="Sakkal Majalla" w:hAnsi="Sakkal Majalla" w:cs="AL-Mohanad"/>
          <w:sz w:val="27"/>
          <w:szCs w:val="27"/>
          <w:rtl/>
        </w:rPr>
        <w:lastRenderedPageBreak/>
        <w:t>بن‏ جبل‏، وعبادة بن الصامت، وأبيّ بن كعب، وأبو الدرداء، وأبو أيّوب الأنصاريّ</w:t>
      </w:r>
      <w:r w:rsidRPr="00282AC9">
        <w:rPr>
          <w:rFonts w:ascii="Sakkal Majalla" w:hAnsi="Sakkal Majalla" w:cs="AL-Mohanad"/>
          <w:sz w:val="27"/>
          <w:szCs w:val="27"/>
          <w:vertAlign w:val="superscript"/>
          <w:rtl/>
        </w:rPr>
        <w:t>(</w:t>
      </w:r>
      <w:r w:rsidRPr="00282AC9">
        <w:rPr>
          <w:rStyle w:val="af9"/>
          <w:rFonts w:ascii="Traditional Arabic" w:hAnsi="Traditional Arabic" w:cs="AL-Mohanad"/>
          <w:sz w:val="27"/>
          <w:szCs w:val="27"/>
          <w:rtl/>
        </w:rPr>
        <w:endnoteReference w:id="864"/>
      </w:r>
      <w:r w:rsidRPr="00282AC9">
        <w:rPr>
          <w:rFonts w:ascii="Sakkal Majalla" w:hAnsi="Sakkal Majalla" w:cs="AL-Mohanad"/>
          <w:sz w:val="27"/>
          <w:szCs w:val="27"/>
          <w:vertAlign w:val="superscript"/>
          <w:rtl/>
        </w:rPr>
        <w:t>)</w:t>
      </w:r>
      <w:r w:rsidRPr="00282AC9">
        <w:rPr>
          <w:rFonts w:ascii="Traditional Arabic" w:hAnsi="Traditional Arabic"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2ـ </w:t>
      </w:r>
      <w:r w:rsidRPr="00282AC9">
        <w:rPr>
          <w:rFonts w:ascii="Sakkal Majalla" w:hAnsi="Sakkal Majalla" w:cs="AL-Mohanad"/>
          <w:sz w:val="27"/>
          <w:szCs w:val="27"/>
          <w:rtl/>
        </w:rPr>
        <w:t>روا</w:t>
      </w:r>
      <w:r w:rsidRPr="00282AC9">
        <w:rPr>
          <w:rFonts w:cs="AL-Mohanad" w:hint="cs"/>
          <w:sz w:val="27"/>
          <w:szCs w:val="27"/>
          <w:rtl/>
        </w:rPr>
        <w:t>ي</w:t>
      </w:r>
      <w:r w:rsidRPr="00282AC9">
        <w:rPr>
          <w:rFonts w:ascii="Sakkal Majalla" w:hAnsi="Sakkal Majalla" w:cs="AL-Mohanad" w:hint="cs"/>
          <w:sz w:val="27"/>
          <w:szCs w:val="27"/>
          <w:rtl/>
        </w:rPr>
        <w:t>ة</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عبد</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الله</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بن</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عمر</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قال</w:t>
      </w:r>
      <w:r w:rsidRPr="00282AC9">
        <w:rPr>
          <w:rFonts w:ascii="Sakkal Majalla" w:hAnsi="Sakkal Majalla" w:cs="AL-Mohanad"/>
          <w:sz w:val="27"/>
          <w:szCs w:val="27"/>
          <w:rtl/>
        </w:rPr>
        <w:t>: و</w:t>
      </w:r>
      <w:r w:rsidRPr="00282AC9">
        <w:rPr>
          <w:rFonts w:ascii="Sakkal Majalla" w:hAnsi="Sakkal Majalla" w:cs="AL-Mohanad" w:hint="cs"/>
          <w:sz w:val="27"/>
          <w:szCs w:val="27"/>
          <w:rtl/>
        </w:rPr>
        <w:t>جمعتُ</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القرآن،</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فقرأتُ</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به</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كلَّ</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ليلةٍ،</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فبلغ‏</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النبيّ‏</w:t>
      </w:r>
      <w:r w:rsidR="00A9773B" w:rsidRPr="00282AC9">
        <w:rPr>
          <w:rFonts w:ascii="Mosawi" w:hAnsi="Mosawi" w:cs="Mosawi"/>
          <w:sz w:val="22"/>
          <w:szCs w:val="22"/>
          <w:rtl/>
        </w:rPr>
        <w:t>ﷺ</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فقال</w:t>
      </w:r>
      <w:r w:rsidRPr="00282AC9">
        <w:rPr>
          <w:rFonts w:ascii="Sakkal Majalla" w:hAnsi="Sakkal Majalla" w:cs="AL-Mohanad"/>
          <w:sz w:val="27"/>
          <w:szCs w:val="27"/>
          <w:rtl/>
        </w:rPr>
        <w:t xml:space="preserve">: </w:t>
      </w:r>
      <w:r w:rsidRPr="00282AC9">
        <w:rPr>
          <w:rFonts w:ascii="Sakkal Majalla" w:hAnsi="Sakkal Majalla" w:cs="AL-Mohanad" w:hint="cs"/>
          <w:rtl/>
        </w:rPr>
        <w:t>«</w:t>
      </w:r>
      <w:r w:rsidRPr="00282AC9">
        <w:rPr>
          <w:rFonts w:ascii="Sakkal Majalla" w:hAnsi="Sakkal Majalla" w:cs="AL-Mohanad" w:hint="cs"/>
          <w:sz w:val="27"/>
          <w:szCs w:val="27"/>
          <w:rtl/>
        </w:rPr>
        <w:t>اقرأه</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في</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شهرٍ</w:t>
      </w:r>
      <w:r w:rsidRPr="00282AC9">
        <w:rPr>
          <w:rFonts w:ascii="Sakkal Majalla" w:hAnsi="Sakkal Majalla" w:cs="AL-Mohanad" w:hint="cs"/>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65"/>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 xml:space="preserve">. </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وغ</w:t>
      </w:r>
      <w:r w:rsidRPr="00282AC9">
        <w:rPr>
          <w:rFonts w:cs="AL-Mohanad" w:hint="cs"/>
          <w:sz w:val="27"/>
          <w:szCs w:val="27"/>
          <w:rtl/>
        </w:rPr>
        <w:t>ي</w:t>
      </w:r>
      <w:r w:rsidRPr="00282AC9">
        <w:rPr>
          <w:rFonts w:ascii="Sakkal Majalla" w:hAnsi="Sakkal Majalla" w:cs="AL-Mohanad" w:hint="cs"/>
          <w:sz w:val="27"/>
          <w:szCs w:val="27"/>
          <w:rtl/>
        </w:rPr>
        <w:t>رها من الروا</w:t>
      </w:r>
      <w:r w:rsidRPr="00282AC9">
        <w:rPr>
          <w:rFonts w:cs="AL-Mohanad" w:hint="cs"/>
          <w:sz w:val="27"/>
          <w:szCs w:val="27"/>
          <w:rtl/>
        </w:rPr>
        <w:t>ي</w:t>
      </w:r>
      <w:r w:rsidRPr="00282AC9">
        <w:rPr>
          <w:rFonts w:ascii="Sakkal Majalla" w:hAnsi="Sakkal Majalla" w:cs="AL-Mohanad" w:hint="cs"/>
          <w:sz w:val="27"/>
          <w:szCs w:val="27"/>
          <w:rtl/>
        </w:rPr>
        <w:t>ات.</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وتفس</w:t>
      </w:r>
      <w:r w:rsidRPr="00282AC9">
        <w:rPr>
          <w:rFonts w:cs="AL-Mohanad" w:hint="cs"/>
          <w:sz w:val="27"/>
          <w:szCs w:val="27"/>
          <w:rtl/>
        </w:rPr>
        <w:t>ي</w:t>
      </w:r>
      <w:r w:rsidRPr="00282AC9">
        <w:rPr>
          <w:rFonts w:ascii="Sakkal Majalla" w:hAnsi="Sakkal Majalla" w:cs="AL-Mohanad" w:hint="cs"/>
          <w:sz w:val="27"/>
          <w:szCs w:val="27"/>
          <w:rtl/>
        </w:rPr>
        <w:t>ر جمع القرآن في هذه الروا</w:t>
      </w:r>
      <w:r w:rsidRPr="00282AC9">
        <w:rPr>
          <w:rFonts w:cs="AL-Mohanad" w:hint="cs"/>
          <w:sz w:val="27"/>
          <w:szCs w:val="27"/>
          <w:rtl/>
        </w:rPr>
        <w:t>ي</w:t>
      </w:r>
      <w:r w:rsidRPr="00282AC9">
        <w:rPr>
          <w:rFonts w:ascii="Sakkal Majalla" w:hAnsi="Sakkal Majalla" w:cs="AL-Mohanad" w:hint="cs"/>
          <w:sz w:val="27"/>
          <w:szCs w:val="27"/>
          <w:rtl/>
        </w:rPr>
        <w:t>ات بحفظه بع</w:t>
      </w:r>
      <w:r w:rsidRPr="00282AC9">
        <w:rPr>
          <w:rFonts w:cs="AL-Mohanad" w:hint="cs"/>
          <w:sz w:val="27"/>
          <w:szCs w:val="27"/>
          <w:rtl/>
        </w:rPr>
        <w:t>ي</w:t>
      </w:r>
      <w:r w:rsidRPr="00282AC9">
        <w:rPr>
          <w:rFonts w:ascii="Sakkal Majalla" w:hAnsi="Sakkal Majalla" w:cs="AL-Mohanad" w:hint="cs"/>
          <w:sz w:val="27"/>
          <w:szCs w:val="27"/>
          <w:rtl/>
        </w:rPr>
        <w:t>دٌ جدّاً؛ إذ ك</w:t>
      </w:r>
      <w:r w:rsidRPr="00282AC9">
        <w:rPr>
          <w:rFonts w:cs="AL-Mohanad" w:hint="cs"/>
          <w:sz w:val="27"/>
          <w:szCs w:val="27"/>
          <w:rtl/>
        </w:rPr>
        <w:t>ي</w:t>
      </w:r>
      <w:r w:rsidRPr="00282AC9">
        <w:rPr>
          <w:rFonts w:ascii="Sakkal Majalla" w:hAnsi="Sakkal Majalla" w:cs="AL-Mohanad" w:hint="cs"/>
          <w:sz w:val="27"/>
          <w:szCs w:val="27"/>
          <w:rtl/>
        </w:rPr>
        <w:t xml:space="preserve">ف </w:t>
      </w:r>
      <w:r w:rsidRPr="00282AC9">
        <w:rPr>
          <w:rFonts w:cs="AL-Mohanad" w:hint="cs"/>
          <w:sz w:val="27"/>
          <w:szCs w:val="27"/>
          <w:rtl/>
        </w:rPr>
        <w:t>ي</w:t>
      </w:r>
      <w:r w:rsidRPr="00282AC9">
        <w:rPr>
          <w:rFonts w:ascii="Sakkal Majalla" w:hAnsi="Sakkal Majalla" w:cs="AL-Mohanad" w:hint="cs"/>
          <w:sz w:val="27"/>
          <w:szCs w:val="27"/>
          <w:rtl/>
        </w:rPr>
        <w:t xml:space="preserve">مكن أن </w:t>
      </w:r>
      <w:r w:rsidRPr="00282AC9">
        <w:rPr>
          <w:rFonts w:cs="AL-Mohanad" w:hint="cs"/>
          <w:sz w:val="27"/>
          <w:szCs w:val="27"/>
          <w:rtl/>
        </w:rPr>
        <w:t>ي</w:t>
      </w:r>
      <w:r w:rsidRPr="00282AC9">
        <w:rPr>
          <w:rFonts w:ascii="Sakkal Majalla" w:hAnsi="Sakkal Majalla" w:cs="AL-Mohanad" w:hint="cs"/>
          <w:sz w:val="27"/>
          <w:szCs w:val="27"/>
          <w:rtl/>
        </w:rPr>
        <w:t xml:space="preserve">كون عدد الحفّاظ بهذا المقدار المحدود، وقد كان المسلمون </w:t>
      </w:r>
      <w:r w:rsidRPr="00282AC9">
        <w:rPr>
          <w:rFonts w:cs="AL-Mohanad" w:hint="cs"/>
          <w:sz w:val="27"/>
          <w:szCs w:val="27"/>
          <w:rtl/>
        </w:rPr>
        <w:t>ي</w:t>
      </w:r>
      <w:r w:rsidRPr="00282AC9">
        <w:rPr>
          <w:rFonts w:ascii="Sakkal Majalla" w:hAnsi="Sakkal Majalla" w:cs="AL-Mohanad" w:hint="cs"/>
          <w:sz w:val="27"/>
          <w:szCs w:val="27"/>
          <w:rtl/>
        </w:rPr>
        <w:t>هتمّون بشأن القرآن وحفظه حتّى عدّوا بأكثر من أربعمائة رجلٍ، كما ف</w:t>
      </w:r>
      <w:r w:rsidRPr="00282AC9">
        <w:rPr>
          <w:rFonts w:cs="AL-Mohanad" w:hint="cs"/>
          <w:sz w:val="27"/>
          <w:szCs w:val="27"/>
          <w:rtl/>
        </w:rPr>
        <w:t>ي</w:t>
      </w:r>
      <w:r w:rsidRPr="00282AC9">
        <w:rPr>
          <w:rFonts w:ascii="Sakkal Majalla" w:hAnsi="Sakkal Majalla" w:cs="AL-Mohanad" w:hint="cs"/>
          <w:sz w:val="27"/>
          <w:szCs w:val="27"/>
          <w:rtl/>
        </w:rPr>
        <w:t xml:space="preserve"> روا</w:t>
      </w:r>
      <w:r w:rsidRPr="00282AC9">
        <w:rPr>
          <w:rFonts w:cs="AL-Mohanad" w:hint="cs"/>
          <w:sz w:val="27"/>
          <w:szCs w:val="27"/>
          <w:rtl/>
        </w:rPr>
        <w:t>ي</w:t>
      </w:r>
      <w:r w:rsidRPr="00282AC9">
        <w:rPr>
          <w:rFonts w:ascii="Sakkal Majalla" w:hAnsi="Sakkal Majalla" w:cs="AL-Mohanad" w:hint="cs"/>
          <w:sz w:val="27"/>
          <w:szCs w:val="27"/>
          <w:rtl/>
        </w:rPr>
        <w:t>ة ابن س</w:t>
      </w:r>
      <w:r w:rsidRPr="00282AC9">
        <w:rPr>
          <w:rFonts w:cs="AL-Mohanad" w:hint="cs"/>
          <w:sz w:val="27"/>
          <w:szCs w:val="27"/>
          <w:rtl/>
        </w:rPr>
        <w:t>ي</w:t>
      </w:r>
      <w:r w:rsidRPr="00282AC9">
        <w:rPr>
          <w:rFonts w:ascii="Sakkal Majalla" w:hAnsi="Sakkal Majalla" w:cs="AL-Mohanad" w:hint="cs"/>
          <w:sz w:val="27"/>
          <w:szCs w:val="27"/>
          <w:rtl/>
        </w:rPr>
        <w:t>ر</w:t>
      </w:r>
      <w:r w:rsidRPr="00282AC9">
        <w:rPr>
          <w:rFonts w:cs="AL-Mohanad" w:hint="cs"/>
          <w:sz w:val="27"/>
          <w:szCs w:val="27"/>
          <w:rtl/>
        </w:rPr>
        <w:t>ي</w:t>
      </w:r>
      <w:r w:rsidRPr="00282AC9">
        <w:rPr>
          <w:rFonts w:ascii="Sakkal Majalla" w:hAnsi="Sakkal Majalla" w:cs="AL-Mohanad" w:hint="cs"/>
          <w:sz w:val="27"/>
          <w:szCs w:val="27"/>
          <w:rtl/>
        </w:rPr>
        <w:t xml:space="preserve">ن، عن الزهري قال: </w:t>
      </w:r>
      <w:r w:rsidRPr="00282AC9">
        <w:rPr>
          <w:rFonts w:ascii="Sakkal Majalla" w:hAnsi="Sakkal Majalla" w:cs="AL-Mohanad"/>
          <w:rtl/>
        </w:rPr>
        <w:t>«</w:t>
      </w:r>
      <w:r w:rsidRPr="00282AC9">
        <w:rPr>
          <w:rFonts w:ascii="Sakkal Majalla" w:hAnsi="Sakkal Majalla" w:cs="AL-Mohanad"/>
          <w:sz w:val="27"/>
          <w:szCs w:val="27"/>
          <w:rtl/>
        </w:rPr>
        <w:t>لم</w:t>
      </w:r>
      <w:r w:rsidRPr="00282AC9">
        <w:rPr>
          <w:rFonts w:ascii="Sakkal Majalla" w:hAnsi="Sakkal Majalla" w:cs="AL-Mohanad" w:hint="cs"/>
          <w:sz w:val="27"/>
          <w:szCs w:val="27"/>
          <w:rtl/>
        </w:rPr>
        <w:t>ّ</w:t>
      </w:r>
      <w:r w:rsidRPr="00282AC9">
        <w:rPr>
          <w:rFonts w:ascii="Sakkal Majalla" w:hAnsi="Sakkal Majalla" w:cs="AL-Mohanad"/>
          <w:sz w:val="27"/>
          <w:szCs w:val="27"/>
          <w:rtl/>
        </w:rPr>
        <w:t>ا أسرع‏ القتل‏ في قر</w:t>
      </w:r>
      <w:r w:rsidRPr="00282AC9">
        <w:rPr>
          <w:rFonts w:ascii="Sakkal Majalla" w:hAnsi="Sakkal Majalla" w:cs="AL-Mohanad" w:hint="cs"/>
          <w:sz w:val="27"/>
          <w:szCs w:val="27"/>
          <w:rtl/>
        </w:rPr>
        <w:t>ّ</w:t>
      </w:r>
      <w:r w:rsidRPr="00282AC9">
        <w:rPr>
          <w:rFonts w:ascii="Sakkal Majalla" w:hAnsi="Sakkal Majalla" w:cs="AL-Mohanad"/>
          <w:sz w:val="27"/>
          <w:szCs w:val="27"/>
          <w:rtl/>
        </w:rPr>
        <w:t>اء القرآن يوم اليمامة، قتل منهم يومئذ</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أ</w:t>
      </w:r>
      <w:r w:rsidRPr="00282AC9">
        <w:rPr>
          <w:rFonts w:ascii="Sakkal Majalla" w:hAnsi="Sakkal Majalla" w:cs="AL-Mohanad"/>
          <w:sz w:val="27"/>
          <w:szCs w:val="27"/>
          <w:rtl/>
        </w:rPr>
        <w:t>ربعمائة رجل</w:t>
      </w:r>
      <w:r w:rsidRPr="00282AC9">
        <w:rPr>
          <w:rFonts w:ascii="Sakkal Majalla" w:hAnsi="Sakkal Majalla" w:cs="AL-Mohanad" w:hint="cs"/>
          <w:sz w:val="27"/>
          <w:szCs w:val="27"/>
          <w:rtl/>
        </w:rPr>
        <w:t>ٍ</w:t>
      </w:r>
      <w:r w:rsidRPr="00282AC9">
        <w:rPr>
          <w:rFonts w:ascii="Sakkal Majalla" w:hAnsi="Sakkal Majalla" w:cs="AL-Mohanad"/>
          <w:sz w:val="27"/>
          <w:szCs w:val="27"/>
          <w:rtl/>
        </w:rPr>
        <w:t>‏</w:t>
      </w:r>
      <w:r w:rsidRPr="00282AC9">
        <w:rPr>
          <w:rFonts w:ascii="Sakkal Majalla" w:hAnsi="Sakkal Majalla" w:cs="AL-Mohanad" w:hint="cs"/>
          <w:sz w:val="27"/>
          <w:szCs w:val="27"/>
          <w:rtl/>
        </w:rPr>
        <w:t>...</w:t>
      </w:r>
      <w:r w:rsidRPr="00282AC9">
        <w:rPr>
          <w:rFonts w:ascii="Sakkal Majalla" w:hAnsi="Sakkal Majalla" w:cs="AL-Mohanad" w:hint="cs"/>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66"/>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 وقد قُتل منهم في عهد رسول الله</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في بئر معونة سبعون رجلاً</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67"/>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وعل</w:t>
      </w:r>
      <w:r w:rsidRPr="00282AC9">
        <w:rPr>
          <w:rFonts w:cs="AL-Mohanad" w:hint="cs"/>
          <w:sz w:val="27"/>
          <w:szCs w:val="27"/>
          <w:rtl/>
        </w:rPr>
        <w:t>ي</w:t>
      </w:r>
      <w:r w:rsidRPr="00282AC9">
        <w:rPr>
          <w:rFonts w:ascii="Sakkal Majalla" w:hAnsi="Sakkal Majalla" w:cs="AL-Mohanad" w:hint="cs"/>
          <w:sz w:val="27"/>
          <w:szCs w:val="27"/>
          <w:rtl/>
        </w:rPr>
        <w:t xml:space="preserve">ه فلا </w:t>
      </w:r>
      <w:r w:rsidRPr="00282AC9">
        <w:rPr>
          <w:rFonts w:cs="AL-Mohanad" w:hint="cs"/>
          <w:sz w:val="27"/>
          <w:szCs w:val="27"/>
          <w:rtl/>
        </w:rPr>
        <w:t>ي</w:t>
      </w:r>
      <w:r w:rsidRPr="00282AC9">
        <w:rPr>
          <w:rFonts w:ascii="Sakkal Majalla" w:hAnsi="Sakkal Majalla" w:cs="AL-Mohanad" w:hint="cs"/>
          <w:sz w:val="27"/>
          <w:szCs w:val="27"/>
          <w:rtl/>
        </w:rPr>
        <w:t xml:space="preserve">عقل أن </w:t>
      </w:r>
      <w:r w:rsidRPr="00282AC9">
        <w:rPr>
          <w:rFonts w:cs="AL-Mohanad" w:hint="cs"/>
          <w:sz w:val="27"/>
          <w:szCs w:val="27"/>
          <w:rtl/>
        </w:rPr>
        <w:t>ي</w:t>
      </w:r>
      <w:r w:rsidRPr="00282AC9">
        <w:rPr>
          <w:rFonts w:ascii="Sakkal Majalla" w:hAnsi="Sakkal Majalla" w:cs="AL-Mohanad" w:hint="cs"/>
          <w:sz w:val="27"/>
          <w:szCs w:val="27"/>
          <w:rtl/>
        </w:rPr>
        <w:t>كون عدد الحفّاظ بهذا العدد المحدود، الذ</w:t>
      </w:r>
      <w:r w:rsidRPr="00282AC9">
        <w:rPr>
          <w:rFonts w:cs="AL-Mohanad" w:hint="cs"/>
          <w:sz w:val="27"/>
          <w:szCs w:val="27"/>
          <w:rtl/>
        </w:rPr>
        <w:t>ي</w:t>
      </w:r>
      <w:r w:rsidRPr="00282AC9">
        <w:rPr>
          <w:rFonts w:ascii="Sakkal Majalla" w:hAnsi="Sakkal Majalla" w:cs="AL-Mohanad" w:hint="cs"/>
          <w:sz w:val="27"/>
          <w:szCs w:val="27"/>
          <w:rtl/>
        </w:rPr>
        <w:t xml:space="preserve"> لا </w:t>
      </w:r>
      <w:r w:rsidRPr="00282AC9">
        <w:rPr>
          <w:rFonts w:cs="AL-Mohanad" w:hint="cs"/>
          <w:sz w:val="27"/>
          <w:szCs w:val="27"/>
          <w:rtl/>
        </w:rPr>
        <w:t>ي</w:t>
      </w:r>
      <w:r w:rsidRPr="00282AC9">
        <w:rPr>
          <w:rFonts w:ascii="Sakkal Majalla" w:hAnsi="Sakkal Majalla" w:cs="AL-Mohanad" w:hint="cs"/>
          <w:sz w:val="27"/>
          <w:szCs w:val="27"/>
          <w:rtl/>
        </w:rPr>
        <w:t>تجاوز عدد الأصابع.</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أضِف إلى ذلك أنّ عدداً من الصحابة كانوا </w:t>
      </w:r>
      <w:r w:rsidRPr="00282AC9">
        <w:rPr>
          <w:rFonts w:cs="AL-Mohanad" w:hint="cs"/>
          <w:sz w:val="27"/>
          <w:szCs w:val="27"/>
          <w:rtl/>
        </w:rPr>
        <w:t>ي</w:t>
      </w:r>
      <w:r w:rsidRPr="00282AC9">
        <w:rPr>
          <w:rFonts w:ascii="Sakkal Majalla" w:hAnsi="Sakkal Majalla" w:cs="AL-Mohanad" w:hint="cs"/>
          <w:sz w:val="27"/>
          <w:szCs w:val="27"/>
          <w:rtl/>
        </w:rPr>
        <w:t>عرضون ما كتبوه من الآ</w:t>
      </w:r>
      <w:r w:rsidRPr="00282AC9">
        <w:rPr>
          <w:rFonts w:cs="AL-Mohanad" w:hint="cs"/>
          <w:sz w:val="27"/>
          <w:szCs w:val="27"/>
          <w:rtl/>
        </w:rPr>
        <w:t>ي</w:t>
      </w:r>
      <w:r w:rsidRPr="00282AC9">
        <w:rPr>
          <w:rFonts w:ascii="Sakkal Majalla" w:hAnsi="Sakkal Majalla" w:cs="AL-Mohanad" w:hint="cs"/>
          <w:sz w:val="27"/>
          <w:szCs w:val="27"/>
          <w:rtl/>
        </w:rPr>
        <w:t>ات القرآن</w:t>
      </w:r>
      <w:r w:rsidRPr="00282AC9">
        <w:rPr>
          <w:rFonts w:cs="AL-Mohanad" w:hint="cs"/>
          <w:sz w:val="27"/>
          <w:szCs w:val="27"/>
          <w:rtl/>
        </w:rPr>
        <w:t>ي</w:t>
      </w:r>
      <w:r w:rsidRPr="00282AC9">
        <w:rPr>
          <w:rFonts w:ascii="Sakkal Majalla" w:hAnsi="Sakkal Majalla" w:cs="AL-Mohanad" w:hint="cs"/>
          <w:sz w:val="27"/>
          <w:szCs w:val="27"/>
          <w:rtl/>
        </w:rPr>
        <w:t>ة عل</w:t>
      </w:r>
      <w:r w:rsidRPr="00282AC9">
        <w:rPr>
          <w:rFonts w:cs="AL-Mohanad" w:hint="cs"/>
          <w:sz w:val="27"/>
          <w:szCs w:val="27"/>
          <w:rtl/>
        </w:rPr>
        <w:t>ى</w:t>
      </w:r>
      <w:r w:rsidRPr="00282AC9">
        <w:rPr>
          <w:rFonts w:ascii="Sakkal Majalla" w:hAnsi="Sakkal Majalla" w:cs="AL-Mohanad" w:hint="cs"/>
          <w:sz w:val="27"/>
          <w:szCs w:val="27"/>
          <w:rtl/>
        </w:rPr>
        <w:t xml:space="preserve"> النبيّ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حتّى </w:t>
      </w:r>
      <w:r w:rsidRPr="00282AC9">
        <w:rPr>
          <w:rFonts w:cs="AL-Mohanad" w:hint="cs"/>
          <w:sz w:val="27"/>
          <w:szCs w:val="27"/>
          <w:rtl/>
        </w:rPr>
        <w:t>ي</w:t>
      </w:r>
      <w:r w:rsidRPr="00282AC9">
        <w:rPr>
          <w:rFonts w:ascii="Sakkal Majalla" w:hAnsi="Sakkal Majalla" w:cs="AL-Mohanad" w:hint="cs"/>
          <w:sz w:val="27"/>
          <w:szCs w:val="27"/>
          <w:rtl/>
        </w:rPr>
        <w:t>تأكَّدوا من صحّة ما كتبوه، وتزول عندهم الأخطاء التي قد نشأت من الاستنساخ. وقد وردَتْ أخبارٌ في ذلك، منها:</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ما نقله الراغب الإصفهاني عن أُب</w:t>
      </w:r>
      <w:r w:rsidRPr="00282AC9">
        <w:rPr>
          <w:rFonts w:cs="AL-Mohanad" w:hint="cs"/>
          <w:sz w:val="27"/>
          <w:szCs w:val="27"/>
          <w:rtl/>
        </w:rPr>
        <w:t>يّ</w:t>
      </w:r>
      <w:r w:rsidRPr="00282AC9">
        <w:rPr>
          <w:rFonts w:ascii="Sakkal Majalla" w:hAnsi="Sakkal Majalla" w:cs="AL-Mohanad" w:hint="cs"/>
          <w:sz w:val="27"/>
          <w:szCs w:val="27"/>
          <w:rtl/>
        </w:rPr>
        <w:t xml:space="preserve"> بن كعب قال: إنّه أخذ الناس بقراءته؛ لكونه كان آخر مَنْ </w:t>
      </w:r>
      <w:r w:rsidRPr="00282AC9">
        <w:rPr>
          <w:rFonts w:cs="AL-Mohanad" w:hint="cs"/>
          <w:sz w:val="27"/>
          <w:szCs w:val="27"/>
          <w:rtl/>
        </w:rPr>
        <w:t>ي</w:t>
      </w:r>
      <w:r w:rsidRPr="00282AC9">
        <w:rPr>
          <w:rFonts w:ascii="Sakkal Majalla" w:hAnsi="Sakkal Majalla" w:cs="AL-Mohanad" w:hint="cs"/>
          <w:sz w:val="27"/>
          <w:szCs w:val="27"/>
          <w:rtl/>
        </w:rPr>
        <w:t>قرأ عل</w:t>
      </w:r>
      <w:r w:rsidRPr="00282AC9">
        <w:rPr>
          <w:rFonts w:cs="AL-Mohanad" w:hint="cs"/>
          <w:sz w:val="27"/>
          <w:szCs w:val="27"/>
          <w:rtl/>
        </w:rPr>
        <w:t>ى</w:t>
      </w:r>
      <w:r w:rsidRPr="00282AC9">
        <w:rPr>
          <w:rFonts w:ascii="Sakkal Majalla" w:hAnsi="Sakkal Majalla" w:cs="AL-Mohanad" w:hint="cs"/>
          <w:sz w:val="27"/>
          <w:szCs w:val="27"/>
          <w:rtl/>
        </w:rPr>
        <w:t xml:space="preserve"> رسول الله</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68"/>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F939B0" w:rsidRPr="00282AC9" w:rsidRDefault="00F939B0" w:rsidP="001D1A88">
      <w:pPr>
        <w:pStyle w:val="afc"/>
        <w:rPr>
          <w:rFonts w:ascii="Sakkal Majalla" w:hAnsi="Sakkal Majalla" w:cs="AL-Mohanad"/>
          <w:sz w:val="27"/>
          <w:szCs w:val="27"/>
          <w:rtl/>
        </w:rPr>
      </w:pPr>
      <w:r w:rsidRPr="00282AC9">
        <w:rPr>
          <w:rFonts w:ascii="Sakkal Majalla" w:hAnsi="Sakkal Majalla" w:cs="AL-Mohanad" w:hint="cs"/>
          <w:sz w:val="27"/>
          <w:szCs w:val="27"/>
          <w:rtl/>
        </w:rPr>
        <w:t>قال الذهبي: إ</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الذين‏ عرضوا القرآن على النب</w:t>
      </w:r>
      <w:r w:rsidRPr="00282AC9">
        <w:rPr>
          <w:rFonts w:ascii="Sakkal Majalla" w:hAnsi="Sakkal Majalla" w:cs="AL-Mohanad" w:hint="cs"/>
          <w:sz w:val="27"/>
          <w:szCs w:val="27"/>
          <w:rtl/>
        </w:rPr>
        <w:t>يّ</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سبعة</w:t>
      </w:r>
      <w:r w:rsidRPr="00282AC9">
        <w:rPr>
          <w:rFonts w:ascii="Sakkal Majalla" w:hAnsi="Sakkal Majalla" w:cs="AL-Mohanad" w:hint="cs"/>
          <w:sz w:val="27"/>
          <w:szCs w:val="27"/>
          <w:rtl/>
        </w:rPr>
        <w:t>ٌ</w:t>
      </w:r>
      <w:r w:rsidRPr="00282AC9">
        <w:rPr>
          <w:rFonts w:ascii="Sakkal Majalla" w:hAnsi="Sakkal Majalla" w:cs="AL-Mohanad"/>
          <w:sz w:val="27"/>
          <w:szCs w:val="27"/>
          <w:rtl/>
        </w:rPr>
        <w:t>: عثمان بن عف</w:t>
      </w:r>
      <w:r w:rsidRPr="00282AC9">
        <w:rPr>
          <w:rFonts w:ascii="Sakkal Majalla" w:hAnsi="Sakkal Majalla" w:cs="AL-Mohanad" w:hint="cs"/>
          <w:sz w:val="27"/>
          <w:szCs w:val="27"/>
          <w:rtl/>
        </w:rPr>
        <w:t>ّ</w:t>
      </w:r>
      <w:r w:rsidRPr="00282AC9">
        <w:rPr>
          <w:rFonts w:ascii="Sakkal Majalla" w:hAnsi="Sakkal Majalla" w:cs="AL-Mohanad"/>
          <w:sz w:val="27"/>
          <w:szCs w:val="27"/>
          <w:rtl/>
        </w:rPr>
        <w:t>ان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وعل</w:t>
      </w:r>
      <w:r w:rsidRPr="00282AC9">
        <w:rPr>
          <w:rFonts w:ascii="Sakkal Majalla" w:hAnsi="Sakkal Majalla" w:cs="AL-Mohanad" w:hint="cs"/>
          <w:sz w:val="27"/>
          <w:szCs w:val="27"/>
          <w:rtl/>
        </w:rPr>
        <w:t>يّ</w:t>
      </w:r>
      <w:r w:rsidR="009A2A04" w:rsidRPr="00282AC9">
        <w:rPr>
          <w:rFonts w:ascii="Sakkal Majalla" w:hAnsi="Sakkal Majalla" w:cs="Mosawi"/>
          <w:sz w:val="22"/>
          <w:szCs w:val="22"/>
          <w:rtl/>
        </w:rPr>
        <w:t>×</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وأب</w:t>
      </w:r>
      <w:r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و</w:t>
      </w:r>
      <w:r w:rsidRPr="00282AC9">
        <w:rPr>
          <w:rFonts w:ascii="Sakkal Majalla" w:hAnsi="Sakkal Majalla" w:cs="AL-Mohanad" w:hint="cs"/>
          <w:sz w:val="27"/>
          <w:szCs w:val="27"/>
          <w:rtl/>
        </w:rPr>
        <w:t>ا</w:t>
      </w:r>
      <w:r w:rsidRPr="00282AC9">
        <w:rPr>
          <w:rFonts w:ascii="Sakkal Majalla" w:hAnsi="Sakkal Majalla" w:cs="AL-Mohanad"/>
          <w:sz w:val="27"/>
          <w:szCs w:val="27"/>
          <w:rtl/>
        </w:rPr>
        <w:t>بن مسعود</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وزيد</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w:t>
      </w:r>
      <w:r w:rsidRPr="00282AC9">
        <w:rPr>
          <w:rFonts w:ascii="Sakkal Majalla" w:hAnsi="Sakkal Majalla" w:cs="AL-Mohanad" w:hint="cs"/>
          <w:sz w:val="27"/>
          <w:szCs w:val="27"/>
          <w:rtl/>
        </w:rPr>
        <w:t>أ</w:t>
      </w:r>
      <w:r w:rsidRPr="00282AC9">
        <w:rPr>
          <w:rFonts w:ascii="Sakkal Majalla" w:hAnsi="Sakkal Majalla" w:cs="AL-Mohanad"/>
          <w:sz w:val="27"/>
          <w:szCs w:val="27"/>
          <w:rtl/>
        </w:rPr>
        <w:t>بو موسى</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w:t>
      </w:r>
      <w:r w:rsidRPr="00282AC9">
        <w:rPr>
          <w:rFonts w:ascii="Sakkal Majalla" w:hAnsi="Sakkal Majalla" w:cs="AL-Mohanad" w:hint="cs"/>
          <w:sz w:val="27"/>
          <w:szCs w:val="27"/>
          <w:rtl/>
        </w:rPr>
        <w:t>أ</w:t>
      </w:r>
      <w:r w:rsidRPr="00282AC9">
        <w:rPr>
          <w:rFonts w:ascii="Sakkal Majalla" w:hAnsi="Sakkal Majalla" w:cs="AL-Mohanad"/>
          <w:sz w:val="27"/>
          <w:szCs w:val="27"/>
          <w:rtl/>
        </w:rPr>
        <w:t>بو الدرداء</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69"/>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EF541F" w:rsidRPr="00282AC9" w:rsidRDefault="00EF541F" w:rsidP="00EF541F">
      <w:pPr>
        <w:spacing w:line="420" w:lineRule="exact"/>
        <w:rPr>
          <w:sz w:val="27"/>
          <w:rtl/>
        </w:rPr>
      </w:pPr>
    </w:p>
    <w:p w:rsidR="00AD6E36" w:rsidRPr="00282AC9" w:rsidRDefault="00EC3694" w:rsidP="00954A9E">
      <w:pPr>
        <w:pStyle w:val="31"/>
        <w:rPr>
          <w:color w:val="auto"/>
        </w:rPr>
      </w:pPr>
      <w:r w:rsidRPr="00282AC9">
        <w:rPr>
          <w:rFonts w:hint="cs"/>
          <w:color w:val="auto"/>
          <w:rtl/>
        </w:rPr>
        <w:t>2ـ</w:t>
      </w:r>
      <w:r w:rsidR="00AD6E36" w:rsidRPr="00282AC9">
        <w:rPr>
          <w:rFonts w:hint="cs"/>
          <w:color w:val="auto"/>
          <w:rtl/>
        </w:rPr>
        <w:t xml:space="preserve"> </w:t>
      </w:r>
      <w:r w:rsidR="00AD6E36" w:rsidRPr="00282AC9">
        <w:rPr>
          <w:color w:val="auto"/>
          <w:rtl/>
        </w:rPr>
        <w:t>روا</w:t>
      </w:r>
      <w:r w:rsidR="00AD6E36" w:rsidRPr="00282AC9">
        <w:rPr>
          <w:rFonts w:ascii="Times New Roman" w:hAnsi="Times New Roman" w:hint="cs"/>
          <w:color w:val="auto"/>
          <w:rtl/>
        </w:rPr>
        <w:t>ي</w:t>
      </w:r>
      <w:r w:rsidR="00AD6E36" w:rsidRPr="00282AC9">
        <w:rPr>
          <w:rFonts w:hint="cs"/>
          <w:color w:val="auto"/>
          <w:rtl/>
        </w:rPr>
        <w:t>ات</w:t>
      </w:r>
      <w:r w:rsidR="00AD6E36" w:rsidRPr="00282AC9">
        <w:rPr>
          <w:color w:val="auto"/>
          <w:rtl/>
        </w:rPr>
        <w:t xml:space="preserve"> </w:t>
      </w:r>
      <w:r w:rsidR="00AD6E36" w:rsidRPr="00282AC9">
        <w:rPr>
          <w:rFonts w:hint="cs"/>
          <w:color w:val="auto"/>
          <w:rtl/>
        </w:rPr>
        <w:t>انقضاء</w:t>
      </w:r>
      <w:r w:rsidR="00AD6E36" w:rsidRPr="00282AC9">
        <w:rPr>
          <w:color w:val="auto"/>
          <w:rtl/>
        </w:rPr>
        <w:t xml:space="preserve"> </w:t>
      </w:r>
      <w:r w:rsidR="00AD6E36" w:rsidRPr="00282AC9">
        <w:rPr>
          <w:rFonts w:hint="cs"/>
          <w:color w:val="auto"/>
          <w:rtl/>
        </w:rPr>
        <w:t>الس</w:t>
      </w:r>
      <w:r w:rsidRPr="00282AC9">
        <w:rPr>
          <w:rFonts w:hint="cs"/>
          <w:color w:val="auto"/>
          <w:rtl/>
        </w:rPr>
        <w:t>ُّ</w:t>
      </w:r>
      <w:r w:rsidR="00AD6E36" w:rsidRPr="00282AC9">
        <w:rPr>
          <w:rFonts w:hint="cs"/>
          <w:color w:val="auto"/>
          <w:rtl/>
        </w:rPr>
        <w:t>و</w:t>
      </w:r>
      <w:r w:rsidRPr="00282AC9">
        <w:rPr>
          <w:rFonts w:hint="cs"/>
          <w:color w:val="auto"/>
          <w:rtl/>
        </w:rPr>
        <w:t>َ</w:t>
      </w:r>
      <w:r w:rsidR="00AD6E36" w:rsidRPr="00282AC9">
        <w:rPr>
          <w:rFonts w:hint="cs"/>
          <w:color w:val="auto"/>
          <w:rtl/>
        </w:rPr>
        <w:t>ر</w:t>
      </w:r>
      <w:r w:rsidR="00AD6E36" w:rsidRPr="00282AC9">
        <w:rPr>
          <w:color w:val="auto"/>
          <w:rtl/>
        </w:rPr>
        <w:t xml:space="preserve"> </w:t>
      </w:r>
      <w:r w:rsidR="00AD6E36" w:rsidRPr="00282AC9">
        <w:rPr>
          <w:rFonts w:hint="cs"/>
          <w:color w:val="auto"/>
          <w:rtl/>
        </w:rPr>
        <w:t>بالبسملة</w:t>
      </w:r>
      <w:r w:rsidR="00AD6E36" w:rsidRPr="00282AC9">
        <w:rPr>
          <w:color w:val="auto"/>
          <w:rtl/>
        </w:rPr>
        <w:t xml:space="preserve"> </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sz w:val="27"/>
          <w:szCs w:val="27"/>
          <w:rtl/>
        </w:rPr>
        <w:t xml:space="preserve">عن </w:t>
      </w:r>
      <w:r w:rsidR="00833D92" w:rsidRPr="00282AC9">
        <w:rPr>
          <w:rFonts w:ascii="Sakkal Majalla" w:hAnsi="Sakkal Majalla" w:cs="AL-Mohanad" w:hint="cs"/>
          <w:sz w:val="27"/>
          <w:szCs w:val="27"/>
          <w:rtl/>
        </w:rPr>
        <w:t>ا</w:t>
      </w:r>
      <w:r w:rsidRPr="00282AC9">
        <w:rPr>
          <w:rFonts w:ascii="Sakkal Majalla" w:hAnsi="Sakkal Majalla" w:cs="AL-Mohanad"/>
          <w:sz w:val="27"/>
          <w:szCs w:val="27"/>
          <w:rtl/>
        </w:rPr>
        <w:t xml:space="preserve">بن عبّاس قال: كان المسلمون لا يعلمون </w:t>
      </w:r>
      <w:r w:rsidR="00833D92" w:rsidRPr="00282AC9">
        <w:rPr>
          <w:rFonts w:ascii="Sakkal Majalla" w:hAnsi="Sakkal Majalla" w:cs="AL-Mohanad" w:hint="cs"/>
          <w:sz w:val="27"/>
          <w:szCs w:val="27"/>
          <w:rtl/>
        </w:rPr>
        <w:t>ا</w:t>
      </w:r>
      <w:r w:rsidRPr="00282AC9">
        <w:rPr>
          <w:rFonts w:ascii="Sakkal Majalla" w:hAnsi="Sakkal Majalla" w:cs="AL-Mohanad"/>
          <w:sz w:val="27"/>
          <w:szCs w:val="27"/>
          <w:rtl/>
        </w:rPr>
        <w:t>نقضاء السورة حت</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ى تنزل‏ </w:t>
      </w:r>
      <w:r w:rsidRPr="00282AC9">
        <w:rPr>
          <w:rFonts w:ascii="Sakkal Majalla" w:hAnsi="Sakkal Majalla" w:cs="AL-Mohanad"/>
          <w:rtl/>
        </w:rPr>
        <w:t>«</w:t>
      </w:r>
      <w:r w:rsidRPr="00282AC9">
        <w:rPr>
          <w:rFonts w:ascii="Sakkal Majalla" w:hAnsi="Sakkal Majalla" w:cs="AL-Mohanad"/>
          <w:sz w:val="27"/>
          <w:szCs w:val="27"/>
          <w:rtl/>
        </w:rPr>
        <w:t xml:space="preserve">بسم‏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الرحمن الرحيم</w:t>
      </w:r>
      <w:r w:rsidRPr="00282AC9">
        <w:rPr>
          <w:rFonts w:ascii="Sakkal Majalla" w:hAnsi="Sakkal Majalla" w:cs="AL-Mohanad"/>
          <w:rtl/>
        </w:rPr>
        <w:t>»</w:t>
      </w:r>
      <w:r w:rsidRPr="00282AC9">
        <w:rPr>
          <w:rFonts w:ascii="Sakkal Majalla" w:hAnsi="Sakkal Majalla" w:cs="AL-Mohanad"/>
          <w:sz w:val="27"/>
          <w:szCs w:val="27"/>
          <w:rtl/>
        </w:rPr>
        <w:t xml:space="preserve">، فإذا نزلت </w:t>
      </w:r>
      <w:r w:rsidRPr="00282AC9">
        <w:rPr>
          <w:rFonts w:ascii="Sakkal Majalla" w:hAnsi="Sakkal Majalla" w:cs="AL-Mohanad"/>
          <w:rtl/>
        </w:rPr>
        <w:t>«</w:t>
      </w:r>
      <w:r w:rsidRPr="00282AC9">
        <w:rPr>
          <w:rFonts w:ascii="Sakkal Majalla" w:hAnsi="Sakkal Majalla" w:cs="AL-Mohanad"/>
          <w:sz w:val="27"/>
          <w:szCs w:val="27"/>
          <w:rtl/>
        </w:rPr>
        <w:t xml:space="preserve">بسم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الرحمن الرحيم</w:t>
      </w:r>
      <w:r w:rsidRPr="00282AC9">
        <w:rPr>
          <w:rFonts w:ascii="Sakkal Majalla" w:hAnsi="Sakkal Majalla" w:cs="AL-Mohanad"/>
          <w:rtl/>
        </w:rPr>
        <w:t>»</w:t>
      </w:r>
      <w:r w:rsidRPr="00282AC9">
        <w:rPr>
          <w:rFonts w:ascii="Sakkal Majalla" w:hAnsi="Sakkal Majalla" w:cs="AL-Mohanad"/>
          <w:sz w:val="27"/>
          <w:szCs w:val="27"/>
          <w:rtl/>
        </w:rPr>
        <w:t xml:space="preserve"> علموا أنّ السورة قد </w:t>
      </w:r>
      <w:r w:rsidR="00833D92" w:rsidRPr="00282AC9">
        <w:rPr>
          <w:rFonts w:ascii="Sakkal Majalla" w:hAnsi="Sakkal Majalla" w:cs="AL-Mohanad" w:hint="cs"/>
          <w:sz w:val="27"/>
          <w:szCs w:val="27"/>
          <w:rtl/>
        </w:rPr>
        <w:t>ا</w:t>
      </w:r>
      <w:r w:rsidRPr="00282AC9">
        <w:rPr>
          <w:rFonts w:ascii="Sakkal Majalla" w:hAnsi="Sakkal Majalla" w:cs="AL-Mohanad"/>
          <w:sz w:val="27"/>
          <w:szCs w:val="27"/>
          <w:rtl/>
        </w:rPr>
        <w:t>نقضت. قال الحاكم: هذا الحديث صحيح</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على شرط الشيخين‏</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70"/>
      </w:r>
      <w:r w:rsidRPr="00282AC9">
        <w:rPr>
          <w:rFonts w:ascii="Sakkal Majalla" w:hAnsi="Sakkal Majalla" w:cs="AL-Mohanad"/>
          <w:sz w:val="27"/>
          <w:szCs w:val="27"/>
          <w:vertAlign w:val="superscript"/>
          <w:rtl/>
        </w:rPr>
        <w:t>)</w:t>
      </w:r>
      <w:r w:rsidR="00833D92"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sz w:val="27"/>
          <w:szCs w:val="27"/>
          <w:rtl/>
        </w:rPr>
        <w:t>ر</w:t>
      </w:r>
      <w:r w:rsidR="00833D92" w:rsidRPr="00282AC9">
        <w:rPr>
          <w:rFonts w:ascii="Sakkal Majalla" w:hAnsi="Sakkal Majalla" w:cs="AL-Mohanad" w:hint="cs"/>
          <w:sz w:val="27"/>
          <w:szCs w:val="27"/>
          <w:rtl/>
        </w:rPr>
        <w:t>ُ</w:t>
      </w:r>
      <w:r w:rsidRPr="00282AC9">
        <w:rPr>
          <w:rFonts w:ascii="Sakkal Majalla" w:hAnsi="Sakkal Majalla" w:cs="AL-Mohanad"/>
          <w:sz w:val="27"/>
          <w:szCs w:val="27"/>
          <w:rtl/>
        </w:rPr>
        <w:t xml:space="preserve">وي عن ابن عباس رضي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عنه أن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ه قال: </w:t>
      </w:r>
      <w:r w:rsidRPr="00282AC9">
        <w:rPr>
          <w:rFonts w:ascii="Sakkal Majalla" w:hAnsi="Sakkal Majalla" w:cs="AL-Mohanad"/>
          <w:rtl/>
        </w:rPr>
        <w:t>«</w:t>
      </w:r>
      <w:r w:rsidRPr="00282AC9">
        <w:rPr>
          <w:rFonts w:ascii="Sakkal Majalla" w:hAnsi="Sakkal Majalla" w:cs="AL-Mohanad"/>
          <w:sz w:val="27"/>
          <w:szCs w:val="27"/>
          <w:rtl/>
        </w:rPr>
        <w:t>كان النبيّ</w:t>
      </w:r>
      <w:r w:rsidR="00A9773B" w:rsidRPr="00282AC9">
        <w:rPr>
          <w:rFonts w:ascii="Mosawi" w:hAnsi="Mosawi" w:cs="Mosawi"/>
          <w:sz w:val="22"/>
          <w:szCs w:val="22"/>
          <w:rtl/>
        </w:rPr>
        <w:t>ﷺ</w:t>
      </w:r>
      <w:r w:rsidRPr="00282AC9">
        <w:rPr>
          <w:rFonts w:ascii="Sakkal Majalla" w:hAnsi="Sakkal Majalla" w:cs="AL-Mohanad"/>
          <w:sz w:val="27"/>
          <w:szCs w:val="27"/>
          <w:rtl/>
        </w:rPr>
        <w:t xml:space="preserve"> لا يعرف خاتمة السورة حت</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ى تنزل‏ </w:t>
      </w:r>
      <w:r w:rsidRPr="00282AC9">
        <w:rPr>
          <w:rFonts w:ascii="Sakkal Majalla" w:hAnsi="Sakkal Majalla" w:cs="AL-Mohanad"/>
          <w:rtl/>
        </w:rPr>
        <w:t>«</w:t>
      </w:r>
      <w:r w:rsidRPr="00282AC9">
        <w:rPr>
          <w:rFonts w:ascii="Sakkal Majalla" w:hAnsi="Sakkal Majalla" w:cs="AL-Mohanad"/>
          <w:sz w:val="27"/>
          <w:szCs w:val="27"/>
          <w:rtl/>
        </w:rPr>
        <w:t xml:space="preserve">بسم‏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الرحمن الرحيم</w:t>
      </w:r>
      <w:r w:rsidRPr="00282AC9">
        <w:rPr>
          <w:rFonts w:ascii="Sakkal Majalla" w:hAnsi="Sakkal Majalla" w:cs="AL-Mohanad"/>
          <w:rtl/>
        </w:rPr>
        <w:t>»</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فإذا نزلت </w:t>
      </w:r>
      <w:r w:rsidRPr="00282AC9">
        <w:rPr>
          <w:rFonts w:ascii="Sakkal Majalla" w:hAnsi="Sakkal Majalla" w:cs="AL-Mohanad"/>
          <w:rtl/>
        </w:rPr>
        <w:t>«</w:t>
      </w:r>
      <w:r w:rsidRPr="00282AC9">
        <w:rPr>
          <w:rFonts w:ascii="Sakkal Majalla" w:hAnsi="Sakkal Majalla" w:cs="AL-Mohanad"/>
          <w:sz w:val="27"/>
          <w:szCs w:val="27"/>
          <w:rtl/>
        </w:rPr>
        <w:t xml:space="preserve">بسم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الرحمن الرحيم</w:t>
      </w:r>
      <w:r w:rsidRPr="00282AC9">
        <w:rPr>
          <w:rFonts w:ascii="Sakkal Majalla" w:hAnsi="Sakkal Majalla" w:cs="AL-Mohanad"/>
          <w:rtl/>
        </w:rPr>
        <w:t>»</w:t>
      </w:r>
      <w:r w:rsidRPr="00282AC9">
        <w:rPr>
          <w:rFonts w:ascii="Sakkal Majalla" w:hAnsi="Sakkal Majalla" w:cs="AL-Mohanad"/>
          <w:sz w:val="27"/>
          <w:szCs w:val="27"/>
          <w:rtl/>
        </w:rPr>
        <w:t xml:space="preserve"> عرف أن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السورة قد خ</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ت</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م</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ت</w:t>
      </w:r>
      <w:r w:rsidR="00F4477A" w:rsidRPr="00282AC9">
        <w:rPr>
          <w:rFonts w:ascii="Sakkal Majalla" w:hAnsi="Sakkal Majalla" w:cs="AL-Mohanad" w:hint="cs"/>
          <w:sz w:val="27"/>
          <w:szCs w:val="27"/>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71"/>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AD6E36" w:rsidRPr="00282AC9" w:rsidRDefault="00F4477A" w:rsidP="001D1A88">
      <w:pPr>
        <w:pStyle w:val="afc"/>
        <w:rPr>
          <w:rFonts w:ascii="Sakkal Majalla" w:hAnsi="Sakkal Majalla" w:cs="AL-Mohanad"/>
          <w:sz w:val="27"/>
          <w:szCs w:val="27"/>
          <w:rtl/>
        </w:rPr>
      </w:pPr>
      <w:r w:rsidRPr="00282AC9">
        <w:rPr>
          <w:rFonts w:ascii="Sakkal Majalla" w:hAnsi="Sakkal Majalla" w:cs="AL-Mohanad"/>
          <w:sz w:val="27"/>
          <w:szCs w:val="27"/>
          <w:rtl/>
        </w:rPr>
        <w:lastRenderedPageBreak/>
        <w:t>قال سعيد بن جبير: في عهد النبيّ</w:t>
      </w:r>
      <w:r w:rsidR="009A2A04" w:rsidRPr="00282AC9">
        <w:rPr>
          <w:rFonts w:ascii="Sakkal Majalla" w:hAnsi="Sakkal Majalla" w:cs="Mosawi"/>
          <w:sz w:val="22"/>
          <w:szCs w:val="22"/>
          <w:rtl/>
        </w:rPr>
        <w:t>|</w:t>
      </w:r>
      <w:r w:rsidR="00AD6E36" w:rsidRPr="00282AC9">
        <w:rPr>
          <w:rFonts w:ascii="Sakkal Majalla" w:hAnsi="Sakkal Majalla" w:cs="AL-Mohanad"/>
          <w:sz w:val="27"/>
          <w:szCs w:val="27"/>
          <w:rtl/>
        </w:rPr>
        <w:t xml:space="preserve"> كانوا لا يعرفون </w:t>
      </w:r>
      <w:r w:rsidRPr="00282AC9">
        <w:rPr>
          <w:rFonts w:ascii="Sakkal Majalla" w:hAnsi="Sakkal Majalla" w:cs="AL-Mohanad" w:hint="cs"/>
          <w:sz w:val="27"/>
          <w:szCs w:val="27"/>
          <w:rtl/>
        </w:rPr>
        <w:t>ا</w:t>
      </w:r>
      <w:r w:rsidR="00AD6E36" w:rsidRPr="00282AC9">
        <w:rPr>
          <w:rFonts w:ascii="Sakkal Majalla" w:hAnsi="Sakkal Majalla" w:cs="AL-Mohanad"/>
          <w:sz w:val="27"/>
          <w:szCs w:val="27"/>
          <w:rtl/>
        </w:rPr>
        <w:t xml:space="preserve">نقضاء السورة حتّى‏ تنزل‏: </w:t>
      </w:r>
      <w:r w:rsidRPr="00282AC9">
        <w:rPr>
          <w:rFonts w:ascii="Sakkal Majalla" w:hAnsi="Sakkal Majalla" w:cs="AL-Mohanad"/>
          <w:rtl/>
        </w:rPr>
        <w:t>«</w:t>
      </w:r>
      <w:r w:rsidR="00AD6E36" w:rsidRPr="00282AC9">
        <w:rPr>
          <w:rFonts w:ascii="Sakkal Majalla" w:hAnsi="Sakkal Majalla" w:cs="AL-Mohanad"/>
          <w:sz w:val="27"/>
          <w:szCs w:val="27"/>
          <w:rtl/>
        </w:rPr>
        <w:t xml:space="preserve">بِسْمِ‏ </w:t>
      </w:r>
      <w:r w:rsidR="00C06BE6" w:rsidRPr="00282AC9">
        <w:rPr>
          <w:rFonts w:ascii="Sakkal Majalla" w:hAnsi="Sakkal Majalla" w:cs="AL-Mohanad"/>
          <w:sz w:val="27"/>
          <w:szCs w:val="27"/>
          <w:rtl/>
        </w:rPr>
        <w:t>الل</w:t>
      </w:r>
      <w:r w:rsidR="00AD6E36" w:rsidRPr="00282AC9">
        <w:rPr>
          <w:rFonts w:ascii="Sakkal Majalla" w:hAnsi="Sakkal Majalla" w:cs="AL-Mohanad"/>
          <w:sz w:val="27"/>
          <w:szCs w:val="27"/>
          <w:rtl/>
        </w:rPr>
        <w:t>هِ الرَّحْم</w:t>
      </w:r>
      <w:r w:rsidRPr="00282AC9">
        <w:rPr>
          <w:rFonts w:ascii="Sakkal Majalla" w:hAnsi="Sakkal Majalla" w:cs="AL-Mohanad" w:hint="cs"/>
          <w:sz w:val="27"/>
          <w:szCs w:val="27"/>
          <w:rtl/>
        </w:rPr>
        <w:t>َ</w:t>
      </w:r>
      <w:r w:rsidR="00AD6E36" w:rsidRPr="00282AC9">
        <w:rPr>
          <w:rFonts w:ascii="Sakkal Majalla" w:hAnsi="Sakkal Majalla" w:cs="AL-Mohanad"/>
          <w:sz w:val="27"/>
          <w:szCs w:val="27"/>
          <w:rtl/>
        </w:rPr>
        <w:t>نِ الرَّحِيمِ‏</w:t>
      </w:r>
      <w:r w:rsidRPr="00282AC9">
        <w:rPr>
          <w:rFonts w:ascii="Sakkal Majalla" w:hAnsi="Sakkal Majalla" w:cs="AL-Mohanad"/>
          <w:rtl/>
        </w:rPr>
        <w:t>»</w:t>
      </w:r>
      <w:r w:rsidR="00AD6E36" w:rsidRPr="00282AC9">
        <w:rPr>
          <w:rFonts w:ascii="Sakkal Majalla" w:hAnsi="Sakkal Majalla" w:cs="AL-Mohanad"/>
          <w:sz w:val="27"/>
          <w:szCs w:val="27"/>
          <w:rtl/>
        </w:rPr>
        <w:t>، فإذا نزلت علموا أن</w:t>
      </w:r>
      <w:r w:rsidRPr="00282AC9">
        <w:rPr>
          <w:rFonts w:ascii="Sakkal Majalla" w:hAnsi="Sakkal Majalla" w:cs="AL-Mohanad" w:hint="cs"/>
          <w:sz w:val="27"/>
          <w:szCs w:val="27"/>
          <w:rtl/>
        </w:rPr>
        <w:t>ْ</w:t>
      </w:r>
      <w:r w:rsidR="00AD6E36" w:rsidRPr="00282AC9">
        <w:rPr>
          <w:rFonts w:ascii="Sakkal Majalla" w:hAnsi="Sakkal Majalla" w:cs="AL-Mohanad"/>
          <w:sz w:val="27"/>
          <w:szCs w:val="27"/>
          <w:rtl/>
        </w:rPr>
        <w:t xml:space="preserve"> قد </w:t>
      </w:r>
      <w:r w:rsidRPr="00282AC9">
        <w:rPr>
          <w:rFonts w:ascii="Sakkal Majalla" w:hAnsi="Sakkal Majalla" w:cs="AL-Mohanad" w:hint="cs"/>
          <w:sz w:val="27"/>
          <w:szCs w:val="27"/>
          <w:rtl/>
        </w:rPr>
        <w:t>ا</w:t>
      </w:r>
      <w:r w:rsidR="00AD6E36" w:rsidRPr="00282AC9">
        <w:rPr>
          <w:rFonts w:ascii="Sakkal Majalla" w:hAnsi="Sakkal Majalla" w:cs="AL-Mohanad"/>
          <w:sz w:val="27"/>
          <w:szCs w:val="27"/>
          <w:rtl/>
        </w:rPr>
        <w:t>نقضت السورة</w:t>
      </w:r>
      <w:r w:rsidRPr="00282AC9">
        <w:rPr>
          <w:rFonts w:ascii="Sakkal Majalla" w:hAnsi="Sakkal Majalla" w:cs="AL-Mohanad" w:hint="cs"/>
          <w:sz w:val="27"/>
          <w:szCs w:val="27"/>
          <w:rtl/>
        </w:rPr>
        <w:t>،</w:t>
      </w:r>
      <w:r w:rsidR="00AD6E36" w:rsidRPr="00282AC9">
        <w:rPr>
          <w:rFonts w:ascii="Sakkal Majalla" w:hAnsi="Sakkal Majalla" w:cs="AL-Mohanad"/>
          <w:sz w:val="27"/>
          <w:szCs w:val="27"/>
          <w:rtl/>
        </w:rPr>
        <w:t xml:space="preserve"> ونزلت </w:t>
      </w:r>
      <w:r w:rsidRPr="00282AC9">
        <w:rPr>
          <w:rFonts w:ascii="Sakkal Majalla" w:hAnsi="Sakkal Majalla" w:cs="AL-Mohanad" w:hint="cs"/>
          <w:sz w:val="27"/>
          <w:szCs w:val="27"/>
          <w:rtl/>
        </w:rPr>
        <w:t>أ</w:t>
      </w:r>
      <w:r w:rsidR="00AD6E36" w:rsidRPr="00282AC9">
        <w:rPr>
          <w:rFonts w:ascii="Sakkal Majalla" w:hAnsi="Sakkal Majalla" w:cs="AL-Mohanad"/>
          <w:sz w:val="27"/>
          <w:szCs w:val="27"/>
          <w:rtl/>
        </w:rPr>
        <w:t>خرى‏</w:t>
      </w:r>
      <w:r w:rsidR="00AD6E36" w:rsidRPr="00282AC9">
        <w:rPr>
          <w:rFonts w:ascii="Sakkal Majalla" w:hAnsi="Sakkal Majalla" w:cs="AL-Mohanad"/>
          <w:sz w:val="27"/>
          <w:szCs w:val="27"/>
          <w:vertAlign w:val="superscript"/>
          <w:rtl/>
        </w:rPr>
        <w:t>(</w:t>
      </w:r>
      <w:r w:rsidR="00AD6E36" w:rsidRPr="00282AC9">
        <w:rPr>
          <w:rStyle w:val="af9"/>
          <w:rFonts w:ascii="Sakkal Majalla" w:hAnsi="Sakkal Majalla" w:cs="AL-Mohanad"/>
          <w:sz w:val="27"/>
          <w:szCs w:val="27"/>
          <w:rtl/>
        </w:rPr>
        <w:endnoteReference w:id="872"/>
      </w:r>
      <w:r w:rsidR="00AD6E36" w:rsidRPr="00282AC9">
        <w:rPr>
          <w:rFonts w:ascii="Sakkal Majalla" w:hAnsi="Sakkal Majalla" w:cs="AL-Mohanad"/>
          <w:sz w:val="27"/>
          <w:szCs w:val="27"/>
          <w:vertAlign w:val="superscript"/>
          <w:rtl/>
        </w:rPr>
        <w:t>)</w:t>
      </w:r>
      <w:r w:rsidR="00AD6E36"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وغ</w:t>
      </w:r>
      <w:r w:rsidRPr="00282AC9">
        <w:rPr>
          <w:rFonts w:cs="AL-Mohanad" w:hint="cs"/>
          <w:sz w:val="27"/>
          <w:szCs w:val="27"/>
          <w:rtl/>
        </w:rPr>
        <w:t>ي</w:t>
      </w:r>
      <w:r w:rsidRPr="00282AC9">
        <w:rPr>
          <w:rFonts w:ascii="Sakkal Majalla" w:hAnsi="Sakkal Majalla" w:cs="AL-Mohanad" w:hint="cs"/>
          <w:sz w:val="27"/>
          <w:szCs w:val="27"/>
          <w:rtl/>
        </w:rPr>
        <w:t>رها من الروا</w:t>
      </w:r>
      <w:r w:rsidRPr="00282AC9">
        <w:rPr>
          <w:rFonts w:cs="AL-Mohanad" w:hint="cs"/>
          <w:sz w:val="27"/>
          <w:szCs w:val="27"/>
          <w:rtl/>
        </w:rPr>
        <w:t>ي</w:t>
      </w:r>
      <w:r w:rsidRPr="00282AC9">
        <w:rPr>
          <w:rFonts w:ascii="Sakkal Majalla" w:hAnsi="Sakkal Majalla" w:cs="AL-Mohanad" w:hint="cs"/>
          <w:sz w:val="27"/>
          <w:szCs w:val="27"/>
          <w:rtl/>
        </w:rPr>
        <w:t>ات</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التي تدلّ عل</w:t>
      </w:r>
      <w:r w:rsidR="00F4477A" w:rsidRPr="00282AC9">
        <w:rPr>
          <w:rFonts w:cs="AL-Mohanad" w:hint="cs"/>
          <w:sz w:val="27"/>
          <w:szCs w:val="27"/>
          <w:rtl/>
        </w:rPr>
        <w:t>ى</w:t>
      </w:r>
      <w:r w:rsidRPr="00282AC9">
        <w:rPr>
          <w:rFonts w:ascii="Sakkal Majalla" w:hAnsi="Sakkal Majalla" w:cs="AL-Mohanad" w:hint="cs"/>
          <w:sz w:val="27"/>
          <w:szCs w:val="27"/>
          <w:rtl/>
        </w:rPr>
        <w:t xml:space="preserve"> ترت</w:t>
      </w:r>
      <w:r w:rsidRPr="00282AC9">
        <w:rPr>
          <w:rFonts w:cs="AL-Mohanad" w:hint="cs"/>
          <w:sz w:val="27"/>
          <w:szCs w:val="27"/>
          <w:rtl/>
        </w:rPr>
        <w:t>ي</w:t>
      </w:r>
      <w:r w:rsidRPr="00282AC9">
        <w:rPr>
          <w:rFonts w:ascii="Sakkal Majalla" w:hAnsi="Sakkal Majalla" w:cs="AL-Mohanad" w:hint="cs"/>
          <w:sz w:val="27"/>
          <w:szCs w:val="27"/>
          <w:rtl/>
        </w:rPr>
        <w:t>ب الآ</w:t>
      </w:r>
      <w:r w:rsidRPr="00282AC9">
        <w:rPr>
          <w:rFonts w:cs="AL-Mohanad" w:hint="cs"/>
          <w:sz w:val="27"/>
          <w:szCs w:val="27"/>
          <w:rtl/>
        </w:rPr>
        <w:t>ي</w:t>
      </w:r>
      <w:r w:rsidRPr="00282AC9">
        <w:rPr>
          <w:rFonts w:ascii="Sakkal Majalla" w:hAnsi="Sakkal Majalla" w:cs="AL-Mohanad" w:hint="cs"/>
          <w:sz w:val="27"/>
          <w:szCs w:val="27"/>
          <w:rtl/>
        </w:rPr>
        <w:t>ات ح</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ب النزول ف</w:t>
      </w:r>
      <w:r w:rsidRPr="00282AC9">
        <w:rPr>
          <w:rFonts w:cs="AL-Mohanad" w:hint="cs"/>
          <w:sz w:val="27"/>
          <w:szCs w:val="27"/>
          <w:rtl/>
        </w:rPr>
        <w:t>ي</w:t>
      </w:r>
      <w:r w:rsidRPr="00282AC9">
        <w:rPr>
          <w:rFonts w:ascii="Sakkal Majalla" w:hAnsi="Sakkal Majalla" w:cs="AL-Mohanad" w:hint="cs"/>
          <w:sz w:val="27"/>
          <w:szCs w:val="27"/>
          <w:rtl/>
        </w:rPr>
        <w:t xml:space="preserve"> زمن النبي</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وهو </w:t>
      </w:r>
      <w:r w:rsidRPr="00282AC9">
        <w:rPr>
          <w:rFonts w:cs="AL-Mohanad" w:hint="cs"/>
          <w:sz w:val="27"/>
          <w:szCs w:val="27"/>
          <w:rtl/>
        </w:rPr>
        <w:t>ي</w:t>
      </w:r>
      <w:r w:rsidRPr="00282AC9">
        <w:rPr>
          <w:rFonts w:ascii="Sakkal Majalla" w:hAnsi="Sakkal Majalla" w:cs="AL-Mohanad" w:hint="cs"/>
          <w:sz w:val="27"/>
          <w:szCs w:val="27"/>
          <w:rtl/>
        </w:rPr>
        <w:t>قتضي أن تكون الآ</w:t>
      </w:r>
      <w:r w:rsidRPr="00282AC9">
        <w:rPr>
          <w:rFonts w:cs="AL-Mohanad" w:hint="cs"/>
          <w:sz w:val="27"/>
          <w:szCs w:val="27"/>
          <w:rtl/>
        </w:rPr>
        <w:t>ي</w:t>
      </w:r>
      <w:r w:rsidRPr="00282AC9">
        <w:rPr>
          <w:rFonts w:ascii="Sakkal Majalla" w:hAnsi="Sakkal Majalla" w:cs="AL-Mohanad" w:hint="cs"/>
          <w:sz w:val="27"/>
          <w:szCs w:val="27"/>
          <w:rtl/>
        </w:rPr>
        <w:t>ات المك</w:t>
      </w:r>
      <w:r w:rsidR="00F4477A" w:rsidRPr="00282AC9">
        <w:rPr>
          <w:rFonts w:ascii="Sakkal Majalla" w:hAnsi="Sakkal Majalla" w:cs="AL-Mohanad" w:hint="cs"/>
          <w:sz w:val="27"/>
          <w:szCs w:val="27"/>
          <w:rtl/>
        </w:rPr>
        <w:t>ّ</w:t>
      </w:r>
      <w:r w:rsidRPr="00282AC9">
        <w:rPr>
          <w:rFonts w:cs="AL-Mohanad" w:hint="cs"/>
          <w:sz w:val="27"/>
          <w:szCs w:val="27"/>
          <w:rtl/>
        </w:rPr>
        <w:t>ي</w:t>
      </w:r>
      <w:r w:rsidRPr="00282AC9">
        <w:rPr>
          <w:rFonts w:ascii="Sakkal Majalla" w:hAnsi="Sakkal Majalla" w:cs="AL-Mohanad" w:hint="cs"/>
          <w:sz w:val="27"/>
          <w:szCs w:val="27"/>
          <w:rtl/>
        </w:rPr>
        <w:t>ة د</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وّ</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ن</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ت</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في السور المك</w:t>
      </w:r>
      <w:r w:rsidR="00F4477A" w:rsidRPr="00282AC9">
        <w:rPr>
          <w:rFonts w:ascii="Sakkal Majalla" w:hAnsi="Sakkal Majalla" w:cs="AL-Mohanad" w:hint="cs"/>
          <w:sz w:val="27"/>
          <w:szCs w:val="27"/>
          <w:rtl/>
        </w:rPr>
        <w:t>ّ</w:t>
      </w:r>
      <w:r w:rsidRPr="00282AC9">
        <w:rPr>
          <w:rFonts w:cs="AL-Mohanad" w:hint="cs"/>
          <w:sz w:val="27"/>
          <w:szCs w:val="27"/>
          <w:rtl/>
        </w:rPr>
        <w:t>ي</w:t>
      </w:r>
      <w:r w:rsidRPr="00282AC9">
        <w:rPr>
          <w:rFonts w:ascii="Sakkal Majalla" w:hAnsi="Sakkal Majalla" w:cs="AL-Mohanad" w:hint="cs"/>
          <w:sz w:val="27"/>
          <w:szCs w:val="27"/>
          <w:rtl/>
        </w:rPr>
        <w:t>ة</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والآ</w:t>
      </w:r>
      <w:r w:rsidRPr="00282AC9">
        <w:rPr>
          <w:rFonts w:cs="AL-Mohanad" w:hint="cs"/>
          <w:sz w:val="27"/>
          <w:szCs w:val="27"/>
          <w:rtl/>
        </w:rPr>
        <w:t>ي</w:t>
      </w:r>
      <w:r w:rsidRPr="00282AC9">
        <w:rPr>
          <w:rFonts w:ascii="Sakkal Majalla" w:hAnsi="Sakkal Majalla" w:cs="AL-Mohanad" w:hint="cs"/>
          <w:sz w:val="27"/>
          <w:szCs w:val="27"/>
          <w:rtl/>
        </w:rPr>
        <w:t>ات المدن</w:t>
      </w:r>
      <w:r w:rsidRPr="00282AC9">
        <w:rPr>
          <w:rFonts w:cs="AL-Mohanad" w:hint="cs"/>
          <w:sz w:val="27"/>
          <w:szCs w:val="27"/>
          <w:rtl/>
        </w:rPr>
        <w:t>ي</w:t>
      </w:r>
      <w:r w:rsidRPr="00282AC9">
        <w:rPr>
          <w:rFonts w:ascii="Sakkal Majalla" w:hAnsi="Sakkal Majalla" w:cs="AL-Mohanad" w:hint="cs"/>
          <w:sz w:val="27"/>
          <w:szCs w:val="27"/>
          <w:rtl/>
        </w:rPr>
        <w:t>ة في السور المدن</w:t>
      </w:r>
      <w:r w:rsidRPr="00282AC9">
        <w:rPr>
          <w:rFonts w:cs="AL-Mohanad" w:hint="cs"/>
          <w:sz w:val="27"/>
          <w:szCs w:val="27"/>
          <w:rtl/>
        </w:rPr>
        <w:t>ي</w:t>
      </w:r>
      <w:r w:rsidRPr="00282AC9">
        <w:rPr>
          <w:rFonts w:ascii="Sakkal Majalla" w:hAnsi="Sakkal Majalla" w:cs="AL-Mohanad" w:hint="cs"/>
          <w:sz w:val="27"/>
          <w:szCs w:val="27"/>
          <w:rtl/>
        </w:rPr>
        <w:t>ة</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ولكن</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ما نراه ف</w:t>
      </w:r>
      <w:r w:rsidRPr="00282AC9">
        <w:rPr>
          <w:rFonts w:cs="AL-Mohanad" w:hint="cs"/>
          <w:sz w:val="27"/>
          <w:szCs w:val="27"/>
          <w:rtl/>
        </w:rPr>
        <w:t>ي</w:t>
      </w:r>
      <w:r w:rsidRPr="00282AC9">
        <w:rPr>
          <w:rFonts w:ascii="Sakkal Majalla" w:hAnsi="Sakkal Majalla" w:cs="AL-Mohanad" w:hint="cs"/>
          <w:sz w:val="27"/>
          <w:szCs w:val="27"/>
          <w:rtl/>
        </w:rPr>
        <w:t xml:space="preserve"> المصحف الذي ب</w:t>
      </w:r>
      <w:r w:rsidRPr="00282AC9">
        <w:rPr>
          <w:rFonts w:cs="AL-Mohanad" w:hint="cs"/>
          <w:sz w:val="27"/>
          <w:szCs w:val="27"/>
          <w:rtl/>
        </w:rPr>
        <w:t>ي</w:t>
      </w:r>
      <w:r w:rsidRPr="00282AC9">
        <w:rPr>
          <w:rFonts w:ascii="Sakkal Majalla" w:hAnsi="Sakkal Majalla" w:cs="AL-Mohanad" w:hint="cs"/>
          <w:sz w:val="27"/>
          <w:szCs w:val="27"/>
          <w:rtl/>
        </w:rPr>
        <w:t>ن أ</w:t>
      </w:r>
      <w:r w:rsidRPr="00282AC9">
        <w:rPr>
          <w:rFonts w:cs="AL-Mohanad" w:hint="cs"/>
          <w:sz w:val="27"/>
          <w:szCs w:val="27"/>
          <w:rtl/>
        </w:rPr>
        <w:t>ي</w:t>
      </w:r>
      <w:r w:rsidRPr="00282AC9">
        <w:rPr>
          <w:rFonts w:ascii="Sakkal Majalla" w:hAnsi="Sakkal Majalla" w:cs="AL-Mohanad" w:hint="cs"/>
          <w:sz w:val="27"/>
          <w:szCs w:val="27"/>
          <w:rtl/>
        </w:rPr>
        <w:t>د</w:t>
      </w:r>
      <w:r w:rsidRPr="00282AC9">
        <w:rPr>
          <w:rFonts w:cs="AL-Mohanad" w:hint="cs"/>
          <w:sz w:val="27"/>
          <w:szCs w:val="27"/>
          <w:rtl/>
        </w:rPr>
        <w:t>ي</w:t>
      </w:r>
      <w:r w:rsidRPr="00282AC9">
        <w:rPr>
          <w:rFonts w:ascii="Sakkal Majalla" w:hAnsi="Sakkal Majalla" w:cs="AL-Mohanad" w:hint="cs"/>
          <w:sz w:val="27"/>
          <w:szCs w:val="27"/>
          <w:rtl/>
        </w:rPr>
        <w:t>نا خلاف</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ذلك</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ح</w:t>
      </w:r>
      <w:r w:rsidRPr="00282AC9">
        <w:rPr>
          <w:rFonts w:cs="AL-Mohanad" w:hint="cs"/>
          <w:sz w:val="27"/>
          <w:szCs w:val="27"/>
          <w:rtl/>
        </w:rPr>
        <w:t>ي</w:t>
      </w:r>
      <w:r w:rsidRPr="00282AC9">
        <w:rPr>
          <w:rFonts w:ascii="Sakkal Majalla" w:hAnsi="Sakkal Majalla" w:cs="AL-Mohanad" w:hint="cs"/>
          <w:sz w:val="27"/>
          <w:szCs w:val="27"/>
          <w:rtl/>
        </w:rPr>
        <w:t>ث توجد آ</w:t>
      </w:r>
      <w:r w:rsidRPr="00282AC9">
        <w:rPr>
          <w:rFonts w:cs="AL-Mohanad" w:hint="cs"/>
          <w:sz w:val="27"/>
          <w:szCs w:val="27"/>
          <w:rtl/>
        </w:rPr>
        <w:t>ي</w:t>
      </w:r>
      <w:r w:rsidRPr="00282AC9">
        <w:rPr>
          <w:rFonts w:ascii="Sakkal Majalla" w:hAnsi="Sakkal Majalla" w:cs="AL-Mohanad" w:hint="cs"/>
          <w:sz w:val="27"/>
          <w:szCs w:val="27"/>
          <w:rtl/>
        </w:rPr>
        <w:t>ات</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مك</w:t>
      </w:r>
      <w:r w:rsidR="00F4477A" w:rsidRPr="00282AC9">
        <w:rPr>
          <w:rFonts w:ascii="Sakkal Majalla" w:hAnsi="Sakkal Majalla" w:cs="AL-Mohanad" w:hint="cs"/>
          <w:sz w:val="27"/>
          <w:szCs w:val="27"/>
          <w:rtl/>
        </w:rPr>
        <w:t>ّ</w:t>
      </w:r>
      <w:r w:rsidRPr="00282AC9">
        <w:rPr>
          <w:rFonts w:cs="AL-Mohanad" w:hint="cs"/>
          <w:sz w:val="27"/>
          <w:szCs w:val="27"/>
          <w:rtl/>
        </w:rPr>
        <w:t>ي</w:t>
      </w:r>
      <w:r w:rsidRPr="00282AC9">
        <w:rPr>
          <w:rFonts w:ascii="Sakkal Majalla" w:hAnsi="Sakkal Majalla" w:cs="AL-Mohanad" w:hint="cs"/>
          <w:sz w:val="27"/>
          <w:szCs w:val="27"/>
          <w:rtl/>
        </w:rPr>
        <w:t>ة ف</w:t>
      </w:r>
      <w:r w:rsidRPr="00282AC9">
        <w:rPr>
          <w:rFonts w:cs="AL-Mohanad" w:hint="cs"/>
          <w:sz w:val="27"/>
          <w:szCs w:val="27"/>
          <w:rtl/>
        </w:rPr>
        <w:t>ي</w:t>
      </w:r>
      <w:r w:rsidRPr="00282AC9">
        <w:rPr>
          <w:rFonts w:ascii="Sakkal Majalla" w:hAnsi="Sakkal Majalla" w:cs="AL-Mohanad" w:hint="cs"/>
          <w:sz w:val="27"/>
          <w:szCs w:val="27"/>
          <w:rtl/>
        </w:rPr>
        <w:t xml:space="preserve"> سور م</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د</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ن</w:t>
      </w:r>
      <w:r w:rsidRPr="00282AC9">
        <w:rPr>
          <w:rFonts w:cs="AL-Mohanad" w:hint="cs"/>
          <w:sz w:val="27"/>
          <w:szCs w:val="27"/>
          <w:rtl/>
        </w:rPr>
        <w:t>ي</w:t>
      </w:r>
      <w:r w:rsidRPr="00282AC9">
        <w:rPr>
          <w:rFonts w:ascii="Sakkal Majalla" w:hAnsi="Sakkal Majalla" w:cs="AL-Mohanad" w:hint="cs"/>
          <w:sz w:val="27"/>
          <w:szCs w:val="27"/>
          <w:rtl/>
        </w:rPr>
        <w:t>ة</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أو آ</w:t>
      </w:r>
      <w:r w:rsidRPr="00282AC9">
        <w:rPr>
          <w:rFonts w:cs="AL-Mohanad" w:hint="cs"/>
          <w:sz w:val="27"/>
          <w:szCs w:val="27"/>
          <w:rtl/>
        </w:rPr>
        <w:t>ي</w:t>
      </w:r>
      <w:r w:rsidRPr="00282AC9">
        <w:rPr>
          <w:rFonts w:ascii="Sakkal Majalla" w:hAnsi="Sakkal Majalla" w:cs="AL-Mohanad" w:hint="cs"/>
          <w:sz w:val="27"/>
          <w:szCs w:val="27"/>
          <w:rtl/>
        </w:rPr>
        <w:t>ات مدن</w:t>
      </w:r>
      <w:r w:rsidRPr="00282AC9">
        <w:rPr>
          <w:rFonts w:cs="AL-Mohanad" w:hint="cs"/>
          <w:sz w:val="27"/>
          <w:szCs w:val="27"/>
          <w:rtl/>
        </w:rPr>
        <w:t>ي</w:t>
      </w:r>
      <w:r w:rsidRPr="00282AC9">
        <w:rPr>
          <w:rFonts w:ascii="Sakkal Majalla" w:hAnsi="Sakkal Majalla" w:cs="AL-Mohanad" w:hint="cs"/>
          <w:sz w:val="27"/>
          <w:szCs w:val="27"/>
          <w:rtl/>
        </w:rPr>
        <w:t>ة ف</w:t>
      </w:r>
      <w:r w:rsidRPr="00282AC9">
        <w:rPr>
          <w:rFonts w:cs="AL-Mohanad" w:hint="cs"/>
          <w:sz w:val="27"/>
          <w:szCs w:val="27"/>
          <w:rtl/>
        </w:rPr>
        <w:t>ي</w:t>
      </w:r>
      <w:r w:rsidRPr="00282AC9">
        <w:rPr>
          <w:rFonts w:ascii="Sakkal Majalla" w:hAnsi="Sakkal Majalla" w:cs="AL-Mohanad" w:hint="cs"/>
          <w:sz w:val="27"/>
          <w:szCs w:val="27"/>
          <w:rtl/>
        </w:rPr>
        <w:t xml:space="preserve"> سور مك</w:t>
      </w:r>
      <w:r w:rsidR="00F4477A" w:rsidRPr="00282AC9">
        <w:rPr>
          <w:rFonts w:cs="AL-Mohanad" w:hint="cs"/>
          <w:sz w:val="27"/>
          <w:szCs w:val="27"/>
          <w:rtl/>
        </w:rPr>
        <w:t>ّ</w:t>
      </w:r>
      <w:r w:rsidRPr="00282AC9">
        <w:rPr>
          <w:rFonts w:cs="AL-Mohanad" w:hint="cs"/>
          <w:sz w:val="27"/>
          <w:szCs w:val="27"/>
          <w:rtl/>
        </w:rPr>
        <w:t>ي</w:t>
      </w:r>
      <w:r w:rsidRPr="00282AC9">
        <w:rPr>
          <w:rFonts w:ascii="Sakkal Majalla" w:hAnsi="Sakkal Majalla" w:cs="AL-Mohanad" w:hint="cs"/>
          <w:sz w:val="27"/>
          <w:szCs w:val="27"/>
          <w:rtl/>
        </w:rPr>
        <w:t>ة</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وهكذا نلاحظ آ</w:t>
      </w:r>
      <w:r w:rsidRPr="00282AC9">
        <w:rPr>
          <w:rFonts w:cs="AL-Mohanad" w:hint="cs"/>
          <w:sz w:val="27"/>
          <w:szCs w:val="27"/>
          <w:rtl/>
        </w:rPr>
        <w:t>ي</w:t>
      </w:r>
      <w:r w:rsidRPr="00282AC9">
        <w:rPr>
          <w:rFonts w:ascii="Sakkal Majalla" w:hAnsi="Sakkal Majalla" w:cs="AL-Mohanad" w:hint="cs"/>
          <w:sz w:val="27"/>
          <w:szCs w:val="27"/>
          <w:rtl/>
        </w:rPr>
        <w:t>ات</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نازلة</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في </w:t>
      </w:r>
      <w:r w:rsidRPr="00282AC9">
        <w:rPr>
          <w:rFonts w:ascii="Sakkal Majalla" w:hAnsi="Sakkal Majalla" w:cs="AL-Mohanad"/>
          <w:sz w:val="27"/>
          <w:szCs w:val="27"/>
          <w:rtl/>
        </w:rPr>
        <w:t>أواخر عهد النبي</w:t>
      </w:r>
      <w:r w:rsidR="00F4477A" w:rsidRPr="00282AC9">
        <w:rPr>
          <w:rFonts w:ascii="Sakkal Majalla" w:hAnsi="Sakkal Majalla" w:cs="AL-Mohanad" w:hint="cs"/>
          <w:sz w:val="27"/>
          <w:szCs w:val="27"/>
          <w:rtl/>
        </w:rPr>
        <w:t>ّ</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وهي واقعة</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 سور</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نازلة</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 أوائل </w:t>
      </w:r>
      <w:r w:rsidRPr="00282AC9">
        <w:rPr>
          <w:rFonts w:ascii="Sakkal Majalla" w:hAnsi="Sakkal Majalla" w:cs="AL-Mohanad" w:hint="cs"/>
          <w:sz w:val="27"/>
          <w:szCs w:val="27"/>
          <w:rtl/>
        </w:rPr>
        <w:t xml:space="preserve">الهجرة، ممّا </w:t>
      </w:r>
      <w:r w:rsidRPr="00282AC9">
        <w:rPr>
          <w:rFonts w:cs="AL-Mohanad" w:hint="cs"/>
          <w:sz w:val="27"/>
          <w:szCs w:val="27"/>
          <w:rtl/>
        </w:rPr>
        <w:t>ي</w:t>
      </w:r>
      <w:r w:rsidRPr="00282AC9">
        <w:rPr>
          <w:rFonts w:ascii="Sakkal Majalla" w:hAnsi="Sakkal Majalla" w:cs="AL-Mohanad" w:hint="cs"/>
          <w:sz w:val="27"/>
          <w:szCs w:val="27"/>
          <w:rtl/>
        </w:rPr>
        <w:t>دل</w:t>
      </w:r>
      <w:r w:rsidR="00F4477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عل</w:t>
      </w:r>
      <w:r w:rsidR="00F4477A" w:rsidRPr="00282AC9">
        <w:rPr>
          <w:rFonts w:cs="AL-Mohanad" w:hint="cs"/>
          <w:sz w:val="27"/>
          <w:szCs w:val="27"/>
          <w:rtl/>
        </w:rPr>
        <w:t>ى</w:t>
      </w:r>
      <w:r w:rsidRPr="00282AC9">
        <w:rPr>
          <w:rFonts w:ascii="Sakkal Majalla" w:hAnsi="Sakkal Majalla" w:cs="AL-Mohanad" w:hint="cs"/>
          <w:sz w:val="27"/>
          <w:szCs w:val="27"/>
          <w:rtl/>
        </w:rPr>
        <w:t xml:space="preserve"> أنّ القران الموجود عندنا غ</w:t>
      </w:r>
      <w:r w:rsidRPr="00282AC9">
        <w:rPr>
          <w:rFonts w:cs="AL-Mohanad" w:hint="cs"/>
          <w:sz w:val="27"/>
          <w:szCs w:val="27"/>
          <w:rtl/>
        </w:rPr>
        <w:t>ي</w:t>
      </w:r>
      <w:r w:rsidRPr="00282AC9">
        <w:rPr>
          <w:rFonts w:ascii="Sakkal Majalla" w:hAnsi="Sakkal Majalla" w:cs="AL-Mohanad" w:hint="cs"/>
          <w:sz w:val="27"/>
          <w:szCs w:val="27"/>
          <w:rtl/>
        </w:rPr>
        <w:t>ر ما كان ف</w:t>
      </w:r>
      <w:r w:rsidRPr="00282AC9">
        <w:rPr>
          <w:rFonts w:cs="AL-Mohanad" w:hint="cs"/>
          <w:sz w:val="27"/>
          <w:szCs w:val="27"/>
          <w:rtl/>
        </w:rPr>
        <w:t>ي</w:t>
      </w:r>
      <w:r w:rsidRPr="00282AC9">
        <w:rPr>
          <w:rFonts w:ascii="Sakkal Majalla" w:hAnsi="Sakkal Majalla" w:cs="AL-Mohanad" w:hint="cs"/>
          <w:sz w:val="27"/>
          <w:szCs w:val="27"/>
          <w:rtl/>
        </w:rPr>
        <w:t xml:space="preserve"> عهد النب</w:t>
      </w:r>
      <w:r w:rsidRPr="00282AC9">
        <w:rPr>
          <w:rFonts w:cs="AL-Mohanad" w:hint="cs"/>
          <w:sz w:val="27"/>
          <w:szCs w:val="27"/>
          <w:rtl/>
        </w:rPr>
        <w:t>ي</w:t>
      </w:r>
      <w:r w:rsidR="00F4477A" w:rsidRPr="00282AC9">
        <w:rPr>
          <w:rFonts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w:t>
      </w:r>
    </w:p>
    <w:p w:rsidR="00EF541F" w:rsidRPr="00282AC9" w:rsidRDefault="00EF541F" w:rsidP="00EF541F">
      <w:pPr>
        <w:spacing w:line="420" w:lineRule="exact"/>
        <w:rPr>
          <w:sz w:val="27"/>
          <w:rtl/>
        </w:rPr>
      </w:pPr>
    </w:p>
    <w:p w:rsidR="00760D07" w:rsidRPr="00282AC9" w:rsidRDefault="00760D07" w:rsidP="00760D07">
      <w:pPr>
        <w:pStyle w:val="31"/>
        <w:rPr>
          <w:color w:val="auto"/>
          <w:rtl/>
        </w:rPr>
      </w:pPr>
      <w:r w:rsidRPr="00282AC9">
        <w:rPr>
          <w:rFonts w:hint="cs"/>
          <w:color w:val="auto"/>
          <w:rtl/>
        </w:rPr>
        <w:t xml:space="preserve">اعتراضٌ وإشكال </w:t>
      </w:r>
    </w:p>
    <w:p w:rsidR="00760D07" w:rsidRPr="00282AC9" w:rsidRDefault="00760D07" w:rsidP="001D1A88">
      <w:pPr>
        <w:pStyle w:val="afc"/>
        <w:rPr>
          <w:rFonts w:ascii="Sakkal Majalla" w:hAnsi="Sakkal Majalla" w:cs="AL-Mohanad"/>
          <w:sz w:val="27"/>
          <w:szCs w:val="27"/>
          <w:rtl/>
        </w:rPr>
      </w:pPr>
      <w:r w:rsidRPr="00282AC9">
        <w:rPr>
          <w:rFonts w:ascii="Sakkal Majalla" w:hAnsi="Sakkal Majalla" w:cs="AL-Mohanad" w:hint="cs"/>
          <w:b/>
          <w:bCs/>
          <w:sz w:val="27"/>
          <w:szCs w:val="27"/>
          <w:rtl/>
        </w:rPr>
        <w:t>أوّلاً:</w:t>
      </w:r>
      <w:r w:rsidRPr="00282AC9">
        <w:rPr>
          <w:rFonts w:ascii="Sakkal Majalla" w:hAnsi="Sakkal Majalla" w:cs="AL-Mohanad" w:hint="cs"/>
          <w:sz w:val="27"/>
          <w:szCs w:val="27"/>
          <w:rtl/>
        </w:rPr>
        <w:t xml:space="preserve"> إنّ هذه الروا</w:t>
      </w:r>
      <w:r w:rsidRPr="00282AC9">
        <w:rPr>
          <w:rFonts w:cs="AL-Mohanad" w:hint="cs"/>
          <w:sz w:val="27"/>
          <w:szCs w:val="27"/>
          <w:rtl/>
        </w:rPr>
        <w:t>ي</w:t>
      </w:r>
      <w:r w:rsidRPr="00282AC9">
        <w:rPr>
          <w:rFonts w:ascii="Sakkal Majalla" w:hAnsi="Sakkal Majalla" w:cs="AL-Mohanad" w:hint="cs"/>
          <w:sz w:val="27"/>
          <w:szCs w:val="27"/>
          <w:rtl/>
        </w:rPr>
        <w:t xml:space="preserve">ات قد ذكرت الابتداء والانتهاء البدويّ للسور، وأنّ السورة </w:t>
      </w:r>
      <w:r w:rsidRPr="00282AC9">
        <w:rPr>
          <w:rFonts w:cs="AL-Mohanad" w:hint="cs"/>
          <w:sz w:val="27"/>
          <w:szCs w:val="27"/>
          <w:rtl/>
        </w:rPr>
        <w:t>ي</w:t>
      </w:r>
      <w:r w:rsidRPr="00282AC9">
        <w:rPr>
          <w:rFonts w:ascii="Sakkal Majalla" w:hAnsi="Sakkal Majalla" w:cs="AL-Mohanad" w:hint="cs"/>
          <w:sz w:val="27"/>
          <w:szCs w:val="27"/>
          <w:rtl/>
        </w:rPr>
        <w:t xml:space="preserve">جب أن تختتم بالبسملة، كما </w:t>
      </w:r>
      <w:r w:rsidRPr="00282AC9">
        <w:rPr>
          <w:rFonts w:cs="AL-Mohanad" w:hint="cs"/>
          <w:sz w:val="27"/>
          <w:szCs w:val="27"/>
          <w:rtl/>
        </w:rPr>
        <w:t>ي</w:t>
      </w:r>
      <w:r w:rsidRPr="00282AC9">
        <w:rPr>
          <w:rFonts w:ascii="Sakkal Majalla" w:hAnsi="Sakkal Majalla" w:cs="AL-Mohanad" w:hint="cs"/>
          <w:sz w:val="27"/>
          <w:szCs w:val="27"/>
          <w:rtl/>
        </w:rPr>
        <w:t>جب أن تبدأ بالبسملة. ولم تمنع من ضمّ آ</w:t>
      </w:r>
      <w:r w:rsidRPr="00282AC9">
        <w:rPr>
          <w:rFonts w:cs="AL-Mohanad" w:hint="cs"/>
          <w:sz w:val="27"/>
          <w:szCs w:val="27"/>
          <w:rtl/>
        </w:rPr>
        <w:t>ي</w:t>
      </w:r>
      <w:r w:rsidRPr="00282AC9">
        <w:rPr>
          <w:rFonts w:ascii="Sakkal Majalla" w:hAnsi="Sakkal Majalla" w:cs="AL-Mohanad" w:hint="cs"/>
          <w:sz w:val="27"/>
          <w:szCs w:val="27"/>
          <w:rtl/>
        </w:rPr>
        <w:t>ةٍ أو آ</w:t>
      </w:r>
      <w:r w:rsidRPr="00282AC9">
        <w:rPr>
          <w:rFonts w:cs="AL-Mohanad" w:hint="cs"/>
          <w:sz w:val="27"/>
          <w:szCs w:val="27"/>
          <w:rtl/>
        </w:rPr>
        <w:t>ي</w:t>
      </w:r>
      <w:r w:rsidRPr="00282AC9">
        <w:rPr>
          <w:rFonts w:ascii="Sakkal Majalla" w:hAnsi="Sakkal Majalla" w:cs="AL-Mohanad" w:hint="cs"/>
          <w:sz w:val="27"/>
          <w:szCs w:val="27"/>
          <w:rtl/>
        </w:rPr>
        <w:t xml:space="preserve">ات </w:t>
      </w:r>
      <w:r w:rsidRPr="00282AC9">
        <w:rPr>
          <w:rFonts w:cs="AL-Mohanad" w:hint="cs"/>
          <w:sz w:val="27"/>
          <w:szCs w:val="27"/>
          <w:rtl/>
        </w:rPr>
        <w:t>ي</w:t>
      </w:r>
      <w:r w:rsidRPr="00282AC9">
        <w:rPr>
          <w:rFonts w:ascii="Sakkal Majalla" w:hAnsi="Sakkal Majalla" w:cs="AL-Mohanad" w:hint="cs"/>
          <w:sz w:val="27"/>
          <w:szCs w:val="27"/>
          <w:rtl/>
        </w:rPr>
        <w:t>قوم بها رسول الله</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إلى آ</w:t>
      </w:r>
      <w:r w:rsidRPr="00282AC9">
        <w:rPr>
          <w:rFonts w:cs="AL-Mohanad" w:hint="cs"/>
          <w:sz w:val="27"/>
          <w:szCs w:val="27"/>
          <w:rtl/>
        </w:rPr>
        <w:t>ي</w:t>
      </w:r>
      <w:r w:rsidRPr="00282AC9">
        <w:rPr>
          <w:rFonts w:ascii="Sakkal Majalla" w:hAnsi="Sakkal Majalla" w:cs="AL-Mohanad" w:hint="cs"/>
          <w:sz w:val="27"/>
          <w:szCs w:val="27"/>
          <w:rtl/>
        </w:rPr>
        <w:t>ات سورةٍ مكتملة. وقد جاء في عددٍ من الروا</w:t>
      </w:r>
      <w:r w:rsidRPr="00282AC9">
        <w:rPr>
          <w:rFonts w:cs="AL-Mohanad" w:hint="cs"/>
          <w:sz w:val="27"/>
          <w:szCs w:val="27"/>
          <w:rtl/>
        </w:rPr>
        <w:t>ي</w:t>
      </w:r>
      <w:r w:rsidRPr="00282AC9">
        <w:rPr>
          <w:rFonts w:ascii="Sakkal Majalla" w:hAnsi="Sakkal Majalla" w:cs="AL-Mohanad" w:hint="cs"/>
          <w:sz w:val="27"/>
          <w:szCs w:val="27"/>
          <w:rtl/>
        </w:rPr>
        <w:t>ات أنّ النبيّ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كان </w:t>
      </w:r>
      <w:r w:rsidRPr="00282AC9">
        <w:rPr>
          <w:rFonts w:cs="AL-Mohanad" w:hint="cs"/>
          <w:sz w:val="27"/>
          <w:szCs w:val="27"/>
          <w:rtl/>
        </w:rPr>
        <w:t>ي</w:t>
      </w:r>
      <w:r w:rsidRPr="00282AC9">
        <w:rPr>
          <w:rFonts w:ascii="Sakkal Majalla" w:hAnsi="Sakkal Majalla" w:cs="AL-Mohanad" w:hint="cs"/>
          <w:sz w:val="27"/>
          <w:szCs w:val="27"/>
          <w:rtl/>
        </w:rPr>
        <w:t xml:space="preserve">أمر بعض الصحابة أن </w:t>
      </w:r>
      <w:r w:rsidRPr="00282AC9">
        <w:rPr>
          <w:rFonts w:cs="AL-Mohanad" w:hint="cs"/>
          <w:sz w:val="27"/>
          <w:szCs w:val="27"/>
          <w:rtl/>
        </w:rPr>
        <w:t>ي</w:t>
      </w:r>
      <w:r w:rsidRPr="00282AC9">
        <w:rPr>
          <w:rFonts w:ascii="Sakkal Majalla" w:hAnsi="Sakkal Majalla" w:cs="AL-Mohanad" w:hint="cs"/>
          <w:sz w:val="27"/>
          <w:szCs w:val="27"/>
          <w:rtl/>
        </w:rPr>
        <w:t>ضع الآ</w:t>
      </w:r>
      <w:r w:rsidRPr="00282AC9">
        <w:rPr>
          <w:rFonts w:cs="AL-Mohanad" w:hint="cs"/>
          <w:sz w:val="27"/>
          <w:szCs w:val="27"/>
          <w:rtl/>
        </w:rPr>
        <w:t>ي</w:t>
      </w:r>
      <w:r w:rsidRPr="00282AC9">
        <w:rPr>
          <w:rFonts w:ascii="Sakkal Majalla" w:hAnsi="Sakkal Majalla" w:cs="AL-Mohanad" w:hint="cs"/>
          <w:sz w:val="27"/>
          <w:szCs w:val="27"/>
          <w:rtl/>
        </w:rPr>
        <w:t>ات التي كانت تنزل عل</w:t>
      </w:r>
      <w:r w:rsidRPr="00282AC9">
        <w:rPr>
          <w:rFonts w:cs="AL-Mohanad" w:hint="cs"/>
          <w:sz w:val="27"/>
          <w:szCs w:val="27"/>
          <w:rtl/>
        </w:rPr>
        <w:t>ي</w:t>
      </w:r>
      <w:r w:rsidRPr="00282AC9">
        <w:rPr>
          <w:rFonts w:ascii="Sakkal Majalla" w:hAnsi="Sakkal Majalla" w:cs="AL-Mohanad" w:hint="cs"/>
          <w:sz w:val="27"/>
          <w:szCs w:val="27"/>
          <w:rtl/>
        </w:rPr>
        <w:t>ه متأخِّراً في سور قد انتهت واختتمت كتابتها:</w:t>
      </w:r>
    </w:p>
    <w:p w:rsidR="00760D07" w:rsidRPr="00282AC9" w:rsidRDefault="00760D07" w:rsidP="001D1A88">
      <w:pPr>
        <w:pStyle w:val="afc"/>
        <w:rPr>
          <w:rFonts w:ascii="Sakkal Majalla" w:hAnsi="Sakkal Majalla" w:cs="AL-Mohanad"/>
          <w:sz w:val="27"/>
          <w:szCs w:val="27"/>
          <w:rtl/>
        </w:rPr>
      </w:pPr>
      <w:r w:rsidRPr="00282AC9">
        <w:rPr>
          <w:rFonts w:ascii="Sakkal Majalla" w:hAnsi="Sakkal Majalla" w:cs="AL-Mohanad" w:hint="cs"/>
          <w:sz w:val="27"/>
          <w:szCs w:val="27"/>
          <w:rtl/>
        </w:rPr>
        <w:t>فقد رُوي عن ابن عبّاس، عن</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 xml:space="preserve">عثمان </w:t>
      </w:r>
      <w:r w:rsidRPr="00282AC9">
        <w:rPr>
          <w:rFonts w:ascii="Sakkal Majalla" w:hAnsi="Sakkal Majalla" w:cs="AL-Mohanad"/>
          <w:sz w:val="27"/>
          <w:szCs w:val="27"/>
          <w:rtl/>
        </w:rPr>
        <w:t>أنّه قال:</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إن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رسول الله</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كان مم</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ا يأتي عليه الزمان </w:t>
      </w:r>
      <w:r w:rsidR="00C37942" w:rsidRPr="00282AC9">
        <w:rPr>
          <w:rFonts w:ascii="Sakkal Majalla" w:hAnsi="Sakkal Majalla" w:cs="AL-Mohanad" w:hint="cs"/>
          <w:sz w:val="27"/>
          <w:szCs w:val="27"/>
          <w:rtl/>
        </w:rPr>
        <w:t>وهو ت</w:t>
      </w:r>
      <w:r w:rsidRPr="00282AC9">
        <w:rPr>
          <w:rFonts w:ascii="Sakkal Majalla" w:hAnsi="Sakkal Majalla" w:cs="AL-Mohanad"/>
          <w:sz w:val="27"/>
          <w:szCs w:val="27"/>
          <w:rtl/>
        </w:rPr>
        <w:t>نزل عليه السور ذوات الع</w:t>
      </w:r>
      <w:r w:rsidRPr="00282AC9">
        <w:rPr>
          <w:rFonts w:ascii="Sakkal Majalla" w:hAnsi="Sakkal Majalla" w:cs="AL-Mohanad" w:hint="cs"/>
          <w:sz w:val="27"/>
          <w:szCs w:val="27"/>
          <w:rtl/>
        </w:rPr>
        <w:t>َ</w:t>
      </w:r>
      <w:r w:rsidRPr="00282AC9">
        <w:rPr>
          <w:rFonts w:ascii="Sakkal Majalla" w:hAnsi="Sakkal Majalla" w:cs="AL-Mohanad"/>
          <w:sz w:val="27"/>
          <w:szCs w:val="27"/>
          <w:rtl/>
        </w:rPr>
        <w:t>د</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د، </w:t>
      </w:r>
      <w:r w:rsidR="00C37942" w:rsidRPr="00282AC9">
        <w:rPr>
          <w:rFonts w:ascii="Sakkal Majalla" w:hAnsi="Sakkal Majalla" w:cs="AL-Mohanad" w:hint="cs"/>
          <w:sz w:val="27"/>
          <w:szCs w:val="27"/>
          <w:rtl/>
        </w:rPr>
        <w:t>ف</w:t>
      </w:r>
      <w:r w:rsidRPr="00282AC9">
        <w:rPr>
          <w:rFonts w:ascii="Sakkal Majalla" w:hAnsi="Sakkal Majalla" w:cs="AL-Mohanad"/>
          <w:sz w:val="27"/>
          <w:szCs w:val="27"/>
          <w:rtl/>
        </w:rPr>
        <w:t xml:space="preserve">كان‏ إذا أنزل‏ عليه‏ الشي‏ء </w:t>
      </w:r>
      <w:r w:rsidR="00C463E1" w:rsidRPr="00282AC9">
        <w:rPr>
          <w:rFonts w:ascii="Sakkal Majalla" w:hAnsi="Sakkal Majalla" w:cs="AL-Mohanad" w:hint="cs"/>
          <w:sz w:val="27"/>
          <w:szCs w:val="27"/>
          <w:rtl/>
        </w:rPr>
        <w:t>دعا</w:t>
      </w:r>
      <w:r w:rsidRPr="00282AC9">
        <w:rPr>
          <w:rFonts w:ascii="Sakkal Majalla" w:hAnsi="Sakkal Majalla" w:cs="AL-Mohanad"/>
          <w:sz w:val="27"/>
          <w:szCs w:val="27"/>
          <w:rtl/>
        </w:rPr>
        <w:t xml:space="preserve"> بعض م</w:t>
      </w:r>
      <w:r w:rsidRPr="00282AC9">
        <w:rPr>
          <w:rFonts w:ascii="Sakkal Majalla" w:hAnsi="Sakkal Majalla" w:cs="AL-Mohanad" w:hint="cs"/>
          <w:sz w:val="27"/>
          <w:szCs w:val="27"/>
          <w:rtl/>
        </w:rPr>
        <w:t>َ</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00C463E1" w:rsidRPr="00282AC9">
        <w:rPr>
          <w:rFonts w:ascii="Sakkal Majalla" w:hAnsi="Sakkal Majalla" w:cs="AL-Mohanad"/>
          <w:sz w:val="27"/>
          <w:szCs w:val="27"/>
          <w:rtl/>
        </w:rPr>
        <w:t xml:space="preserve"> يكتب</w:t>
      </w:r>
      <w:r w:rsidRPr="00282AC9">
        <w:rPr>
          <w:rFonts w:ascii="Sakkal Majalla" w:hAnsi="Sakkal Majalla" w:cs="AL-Mohanad"/>
          <w:sz w:val="27"/>
          <w:szCs w:val="27"/>
          <w:rtl/>
        </w:rPr>
        <w:t xml:space="preserve">، </w:t>
      </w:r>
      <w:r w:rsidR="00C463E1" w:rsidRPr="00282AC9">
        <w:rPr>
          <w:rFonts w:ascii="Sakkal Majalla" w:hAnsi="Sakkal Majalla" w:cs="AL-Mohanad" w:hint="cs"/>
          <w:sz w:val="27"/>
          <w:szCs w:val="27"/>
          <w:rtl/>
        </w:rPr>
        <w:t>ف</w:t>
      </w:r>
      <w:r w:rsidRPr="00282AC9">
        <w:rPr>
          <w:rFonts w:ascii="Sakkal Majalla" w:hAnsi="Sakkal Majalla" w:cs="AL-Mohanad"/>
          <w:sz w:val="27"/>
          <w:szCs w:val="27"/>
          <w:rtl/>
        </w:rPr>
        <w:t xml:space="preserve">يقول: ضعوا </w:t>
      </w:r>
      <w:r w:rsidR="00C463E1" w:rsidRPr="00282AC9">
        <w:rPr>
          <w:rFonts w:ascii="Sakkal Majalla" w:hAnsi="Sakkal Majalla" w:cs="AL-Mohanad" w:hint="cs"/>
          <w:sz w:val="27"/>
          <w:szCs w:val="27"/>
          <w:rtl/>
        </w:rPr>
        <w:t>هؤلاء الآيات</w:t>
      </w:r>
      <w:r w:rsidRPr="00282AC9">
        <w:rPr>
          <w:rFonts w:ascii="Sakkal Majalla" w:hAnsi="Sakkal Majalla" w:cs="AL-Mohanad"/>
          <w:sz w:val="27"/>
          <w:szCs w:val="27"/>
          <w:rtl/>
        </w:rPr>
        <w:t xml:space="preserve"> في السورة التي يذكر فيها كذا وكذا، </w:t>
      </w:r>
      <w:r w:rsidR="00BC4C18" w:rsidRPr="00282AC9">
        <w:rPr>
          <w:rFonts w:ascii="Sakkal Majalla" w:hAnsi="Sakkal Majalla" w:cs="AL-Mohanad" w:hint="cs"/>
          <w:sz w:val="27"/>
          <w:szCs w:val="27"/>
          <w:rtl/>
        </w:rPr>
        <w:t>ف</w:t>
      </w:r>
      <w:r w:rsidR="00C463E1" w:rsidRPr="00282AC9">
        <w:rPr>
          <w:rFonts w:ascii="Sakkal Majalla" w:hAnsi="Sakkal Majalla" w:cs="AL-Mohanad" w:hint="cs"/>
          <w:sz w:val="27"/>
          <w:szCs w:val="27"/>
          <w:rtl/>
        </w:rPr>
        <w:t xml:space="preserve">إذا </w:t>
      </w:r>
      <w:r w:rsidRPr="00282AC9">
        <w:rPr>
          <w:rFonts w:ascii="Sakkal Majalla" w:hAnsi="Sakkal Majalla" w:cs="AL-Mohanad"/>
          <w:sz w:val="27"/>
          <w:szCs w:val="27"/>
          <w:rtl/>
        </w:rPr>
        <w:t>نزل</w:t>
      </w:r>
      <w:r w:rsidR="00C463E1" w:rsidRPr="00282AC9">
        <w:rPr>
          <w:rFonts w:ascii="Sakkal Majalla" w:hAnsi="Sakkal Majalla" w:cs="AL-Mohanad" w:hint="cs"/>
          <w:sz w:val="27"/>
          <w:szCs w:val="27"/>
          <w:rtl/>
        </w:rPr>
        <w:t>ت</w:t>
      </w:r>
      <w:r w:rsidRPr="00282AC9">
        <w:rPr>
          <w:rFonts w:ascii="Sakkal Majalla" w:hAnsi="Sakkal Majalla" w:cs="AL-Mohanad"/>
          <w:sz w:val="27"/>
          <w:szCs w:val="27"/>
          <w:rtl/>
        </w:rPr>
        <w:t xml:space="preserve"> عليه الآي</w:t>
      </w:r>
      <w:r w:rsidR="00C463E1" w:rsidRPr="00282AC9">
        <w:rPr>
          <w:rFonts w:ascii="Sakkal Majalla" w:hAnsi="Sakkal Majalla" w:cs="AL-Mohanad" w:hint="cs"/>
          <w:sz w:val="27"/>
          <w:szCs w:val="27"/>
          <w:rtl/>
        </w:rPr>
        <w:t>ة</w:t>
      </w:r>
      <w:r w:rsidRPr="00282AC9">
        <w:rPr>
          <w:rFonts w:ascii="Sakkal Majalla" w:hAnsi="Sakkal Majalla" w:cs="AL-Mohanad"/>
          <w:sz w:val="27"/>
          <w:szCs w:val="27"/>
          <w:rtl/>
        </w:rPr>
        <w:t xml:space="preserve"> فيقول: ضعوا هذه الآي</w:t>
      </w:r>
      <w:r w:rsidR="00C463E1" w:rsidRPr="00282AC9">
        <w:rPr>
          <w:rFonts w:ascii="Sakkal Majalla" w:hAnsi="Sakkal Majalla" w:cs="AL-Mohanad" w:hint="cs"/>
          <w:sz w:val="27"/>
          <w:szCs w:val="27"/>
          <w:rtl/>
        </w:rPr>
        <w:t>ة</w:t>
      </w:r>
      <w:r w:rsidRPr="00282AC9">
        <w:rPr>
          <w:rFonts w:ascii="Sakkal Majalla" w:hAnsi="Sakkal Majalla" w:cs="AL-Mohanad"/>
          <w:sz w:val="27"/>
          <w:szCs w:val="27"/>
          <w:rtl/>
        </w:rPr>
        <w:t xml:space="preserve"> في </w:t>
      </w:r>
      <w:r w:rsidR="00BC4C18" w:rsidRPr="00282AC9">
        <w:rPr>
          <w:rFonts w:ascii="Sakkal Majalla" w:hAnsi="Sakkal Majalla" w:cs="AL-Mohanad"/>
          <w:sz w:val="27"/>
          <w:szCs w:val="27"/>
          <w:rtl/>
        </w:rPr>
        <w:t>السورة التي يذكر فيها كذا وكذا</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73"/>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760D07" w:rsidRPr="00282AC9" w:rsidRDefault="00760D07" w:rsidP="001D1A88">
      <w:pPr>
        <w:pStyle w:val="afc"/>
        <w:rPr>
          <w:rFonts w:ascii="Sakkal Majalla" w:hAnsi="Sakkal Majalla" w:cs="AL-Mohanad"/>
          <w:sz w:val="27"/>
          <w:szCs w:val="27"/>
          <w:rtl/>
        </w:rPr>
      </w:pPr>
      <w:r w:rsidRPr="00282AC9">
        <w:rPr>
          <w:rFonts w:ascii="Sakkal Majalla" w:hAnsi="Sakkal Majalla" w:cs="AL-Mohanad"/>
          <w:sz w:val="27"/>
          <w:szCs w:val="27"/>
          <w:rtl/>
        </w:rPr>
        <w:t>وفي لفظ</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آخر قال: كان النبي</w:t>
      </w:r>
      <w:r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مم</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ا </w:t>
      </w:r>
      <w:r w:rsidR="00BC4C18" w:rsidRPr="00282AC9">
        <w:rPr>
          <w:rFonts w:ascii="Sakkal Majalla" w:hAnsi="Sakkal Majalla" w:cs="AL-Mohanad" w:hint="cs"/>
          <w:sz w:val="27"/>
          <w:szCs w:val="27"/>
          <w:rtl/>
        </w:rPr>
        <w:t>ت</w:t>
      </w:r>
      <w:r w:rsidRPr="00282AC9">
        <w:rPr>
          <w:rFonts w:ascii="Sakkal Majalla" w:hAnsi="Sakkal Majalla" w:cs="AL-Mohanad"/>
          <w:sz w:val="27"/>
          <w:szCs w:val="27"/>
          <w:rtl/>
        </w:rPr>
        <w:t>نزل عليه الآيات</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فيدعو بعض م</w:t>
      </w:r>
      <w:r w:rsidRPr="00282AC9">
        <w:rPr>
          <w:rFonts w:ascii="Sakkal Majalla" w:hAnsi="Sakkal Majalla" w:cs="AL-Mohanad" w:hint="cs"/>
          <w:sz w:val="27"/>
          <w:szCs w:val="27"/>
          <w:rtl/>
        </w:rPr>
        <w:t>َ</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كان يكتب له</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ويقول له</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rtl/>
        </w:rPr>
        <w:t>«</w:t>
      </w:r>
      <w:r w:rsidRPr="00282AC9">
        <w:rPr>
          <w:rFonts w:ascii="Sakkal Majalla" w:hAnsi="Sakkal Majalla" w:cs="AL-Mohanad"/>
          <w:sz w:val="27"/>
          <w:szCs w:val="27"/>
          <w:rtl/>
        </w:rPr>
        <w:t>ضع هذه الآية في السورة التي يذكر فيها كذا وكذا</w:t>
      </w:r>
      <w:r w:rsidRPr="00282AC9">
        <w:rPr>
          <w:rFonts w:ascii="Sakkal Majalla" w:hAnsi="Sakkal Majalla" w:cs="AL-Mohanad"/>
          <w:rtl/>
        </w:rPr>
        <w:t>»</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وتنزل عليه الآية والآيتان فيقول مثل ذلك‏</w:t>
      </w:r>
      <w:r w:rsidRPr="00282AC9">
        <w:rPr>
          <w:rFonts w:ascii="Sakkal Majalla" w:hAnsi="Sakkal Majalla" w:cs="AL-Mohanad" w:hint="cs"/>
          <w:sz w:val="27"/>
          <w:szCs w:val="27"/>
          <w:rtl/>
        </w:rPr>
        <w:t>.</w:t>
      </w:r>
    </w:p>
    <w:p w:rsidR="00760D07" w:rsidRPr="00282AC9" w:rsidRDefault="00760D07" w:rsidP="001D1A88">
      <w:pPr>
        <w:pStyle w:val="afc"/>
        <w:rPr>
          <w:rFonts w:ascii="Sakkal Majalla" w:hAnsi="Sakkal Majalla" w:cs="AL-Mohanad"/>
          <w:sz w:val="27"/>
          <w:szCs w:val="27"/>
          <w:rtl/>
        </w:rPr>
      </w:pPr>
      <w:r w:rsidRPr="00282AC9">
        <w:rPr>
          <w:rFonts w:ascii="Sakkal Majalla" w:hAnsi="Sakkal Majalla" w:cs="AL-Mohanad" w:hint="cs"/>
          <w:sz w:val="27"/>
          <w:szCs w:val="27"/>
          <w:rtl/>
        </w:rPr>
        <w:t>والروا</w:t>
      </w:r>
      <w:r w:rsidRPr="00282AC9">
        <w:rPr>
          <w:rFonts w:cs="AL-Mohanad" w:hint="cs"/>
          <w:sz w:val="27"/>
          <w:szCs w:val="27"/>
          <w:rtl/>
        </w:rPr>
        <w:t>ي</w:t>
      </w:r>
      <w:r w:rsidRPr="00282AC9">
        <w:rPr>
          <w:rFonts w:ascii="Sakkal Majalla" w:hAnsi="Sakkal Majalla" w:cs="AL-Mohanad" w:hint="cs"/>
          <w:sz w:val="27"/>
          <w:szCs w:val="27"/>
          <w:rtl/>
        </w:rPr>
        <w:t>ة صح</w:t>
      </w:r>
      <w:r w:rsidRPr="00282AC9">
        <w:rPr>
          <w:rFonts w:cs="AL-Mohanad" w:hint="cs"/>
          <w:sz w:val="27"/>
          <w:szCs w:val="27"/>
          <w:rtl/>
        </w:rPr>
        <w:t>ي</w:t>
      </w:r>
      <w:r w:rsidRPr="00282AC9">
        <w:rPr>
          <w:rFonts w:ascii="Sakkal Majalla" w:hAnsi="Sakkal Majalla" w:cs="AL-Mohanad" w:hint="cs"/>
          <w:sz w:val="27"/>
          <w:szCs w:val="27"/>
          <w:rtl/>
        </w:rPr>
        <w:t>حةٌ، كما صرَّح الحاكم الن</w:t>
      </w:r>
      <w:r w:rsidRPr="00282AC9">
        <w:rPr>
          <w:rFonts w:cs="AL-Mohanad" w:hint="cs"/>
          <w:sz w:val="27"/>
          <w:szCs w:val="27"/>
          <w:rtl/>
        </w:rPr>
        <w:t>ي</w:t>
      </w:r>
      <w:r w:rsidRPr="00282AC9">
        <w:rPr>
          <w:rFonts w:ascii="Sakkal Majalla" w:hAnsi="Sakkal Majalla" w:cs="AL-Mohanad" w:hint="cs"/>
          <w:sz w:val="27"/>
          <w:szCs w:val="27"/>
          <w:rtl/>
        </w:rPr>
        <w:t>سابور</w:t>
      </w:r>
      <w:r w:rsidRPr="00282AC9">
        <w:rPr>
          <w:rFonts w:cs="AL-Mohanad" w:hint="cs"/>
          <w:sz w:val="27"/>
          <w:szCs w:val="27"/>
          <w:rtl/>
        </w:rPr>
        <w:t>ي</w:t>
      </w:r>
      <w:r w:rsidRPr="00282AC9">
        <w:rPr>
          <w:rFonts w:cs="AL-Mohanad"/>
          <w:sz w:val="27"/>
          <w:szCs w:val="27"/>
          <w:vertAlign w:val="superscript"/>
          <w:rtl/>
        </w:rPr>
        <w:t>(</w:t>
      </w:r>
      <w:r w:rsidRPr="00282AC9">
        <w:rPr>
          <w:rStyle w:val="af9"/>
          <w:rFonts w:ascii="Sakkal Majalla" w:hAnsi="Sakkal Majalla" w:cs="AL-Mohanad"/>
          <w:sz w:val="27"/>
          <w:szCs w:val="27"/>
          <w:rtl/>
        </w:rPr>
        <w:endnoteReference w:id="874"/>
      </w:r>
      <w:r w:rsidRPr="00282AC9">
        <w:rPr>
          <w:rFonts w:cs="AL-Mohanad"/>
          <w:sz w:val="27"/>
          <w:szCs w:val="27"/>
          <w:vertAlign w:val="superscript"/>
          <w:rtl/>
        </w:rPr>
        <w:t>)</w:t>
      </w:r>
      <w:r w:rsidRPr="00282AC9">
        <w:rPr>
          <w:rFonts w:ascii="Sakkal Majalla" w:hAnsi="Sakkal Majalla" w:cs="AL-Mohanad" w:hint="cs"/>
          <w:sz w:val="27"/>
          <w:szCs w:val="27"/>
          <w:rtl/>
        </w:rPr>
        <w:t>.</w:t>
      </w:r>
    </w:p>
    <w:p w:rsidR="00760D07" w:rsidRPr="00282AC9" w:rsidRDefault="00760D07" w:rsidP="001D1A88">
      <w:pPr>
        <w:pStyle w:val="afc"/>
        <w:rPr>
          <w:rFonts w:ascii="Sakkal Majalla" w:hAnsi="Sakkal Majalla" w:cs="AL-Mohanad"/>
          <w:sz w:val="27"/>
          <w:szCs w:val="27"/>
          <w:rtl/>
        </w:rPr>
      </w:pPr>
      <w:r w:rsidRPr="00282AC9">
        <w:rPr>
          <w:rFonts w:ascii="Sakkal Majalla" w:hAnsi="Sakkal Majalla" w:cs="AL-Mohanad" w:hint="cs"/>
          <w:sz w:val="27"/>
          <w:szCs w:val="27"/>
          <w:rtl/>
        </w:rPr>
        <w:t>وهذه الروا</w:t>
      </w:r>
      <w:r w:rsidRPr="00282AC9">
        <w:rPr>
          <w:rFonts w:cs="AL-Mohanad" w:hint="cs"/>
          <w:sz w:val="27"/>
          <w:szCs w:val="27"/>
          <w:rtl/>
        </w:rPr>
        <w:t>ي</w:t>
      </w:r>
      <w:r w:rsidRPr="00282AC9">
        <w:rPr>
          <w:rFonts w:ascii="Sakkal Majalla" w:hAnsi="Sakkal Majalla" w:cs="AL-Mohanad" w:hint="cs"/>
          <w:sz w:val="27"/>
          <w:szCs w:val="27"/>
          <w:rtl/>
        </w:rPr>
        <w:t>ات وغ</w:t>
      </w:r>
      <w:r w:rsidRPr="00282AC9">
        <w:rPr>
          <w:rFonts w:cs="AL-Mohanad" w:hint="cs"/>
          <w:sz w:val="27"/>
          <w:szCs w:val="27"/>
          <w:rtl/>
        </w:rPr>
        <w:t>ي</w:t>
      </w:r>
      <w:r w:rsidRPr="00282AC9">
        <w:rPr>
          <w:rFonts w:ascii="Sakkal Majalla" w:hAnsi="Sakkal Majalla" w:cs="AL-Mohanad" w:hint="cs"/>
          <w:sz w:val="27"/>
          <w:szCs w:val="27"/>
          <w:rtl/>
        </w:rPr>
        <w:t>رها تدلّ عل</w:t>
      </w:r>
      <w:r w:rsidRPr="00282AC9">
        <w:rPr>
          <w:rFonts w:cs="AL-Mohanad" w:hint="cs"/>
          <w:sz w:val="27"/>
          <w:szCs w:val="27"/>
          <w:rtl/>
        </w:rPr>
        <w:t>ى</w:t>
      </w:r>
      <w:r w:rsidRPr="00282AC9">
        <w:rPr>
          <w:rFonts w:ascii="Sakkal Majalla" w:hAnsi="Sakkal Majalla" w:cs="AL-Mohanad" w:hint="cs"/>
          <w:sz w:val="27"/>
          <w:szCs w:val="27"/>
          <w:rtl/>
        </w:rPr>
        <w:t xml:space="preserve"> أنّ النب</w:t>
      </w:r>
      <w:r w:rsidRPr="00282AC9">
        <w:rPr>
          <w:rFonts w:cs="AL-Mohanad" w:hint="cs"/>
          <w:sz w:val="27"/>
          <w:szCs w:val="27"/>
          <w:rtl/>
        </w:rPr>
        <w:t>ي</w:t>
      </w:r>
      <w:r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دائماً كان </w:t>
      </w:r>
      <w:r w:rsidRPr="00282AC9">
        <w:rPr>
          <w:rFonts w:cs="AL-Mohanad" w:hint="cs"/>
          <w:sz w:val="27"/>
          <w:szCs w:val="27"/>
          <w:rtl/>
        </w:rPr>
        <w:t>ي</w:t>
      </w:r>
      <w:r w:rsidRPr="00282AC9">
        <w:rPr>
          <w:rFonts w:ascii="Sakkal Majalla" w:hAnsi="Sakkal Majalla" w:cs="AL-Mohanad" w:hint="cs"/>
          <w:sz w:val="27"/>
          <w:szCs w:val="27"/>
          <w:rtl/>
        </w:rPr>
        <w:t>أمر بإضافة آ</w:t>
      </w:r>
      <w:r w:rsidRPr="00282AC9">
        <w:rPr>
          <w:rFonts w:cs="AL-Mohanad" w:hint="cs"/>
          <w:sz w:val="27"/>
          <w:szCs w:val="27"/>
          <w:rtl/>
        </w:rPr>
        <w:t>ي</w:t>
      </w:r>
      <w:r w:rsidRPr="00282AC9">
        <w:rPr>
          <w:rFonts w:ascii="Sakkal Majalla" w:hAnsi="Sakkal Majalla" w:cs="AL-Mohanad" w:hint="cs"/>
          <w:sz w:val="27"/>
          <w:szCs w:val="27"/>
          <w:rtl/>
        </w:rPr>
        <w:t>اتٍ في سورٍ قد انقض</w:t>
      </w:r>
      <w:r w:rsidRPr="00282AC9">
        <w:rPr>
          <w:rFonts w:cs="AL-Mohanad" w:hint="cs"/>
          <w:sz w:val="27"/>
          <w:szCs w:val="27"/>
          <w:rtl/>
        </w:rPr>
        <w:t>ي</w:t>
      </w:r>
      <w:r w:rsidRPr="00282AC9">
        <w:rPr>
          <w:rFonts w:ascii="Sakkal Majalla" w:hAnsi="Sakkal Majalla" w:cs="AL-Mohanad" w:hint="cs"/>
          <w:sz w:val="27"/>
          <w:szCs w:val="27"/>
          <w:rtl/>
        </w:rPr>
        <w:t xml:space="preserve"> تدو</w:t>
      </w:r>
      <w:r w:rsidRPr="00282AC9">
        <w:rPr>
          <w:rFonts w:cs="AL-Mohanad" w:hint="cs"/>
          <w:sz w:val="27"/>
          <w:szCs w:val="27"/>
          <w:rtl/>
        </w:rPr>
        <w:t>ي</w:t>
      </w:r>
      <w:r w:rsidRPr="00282AC9">
        <w:rPr>
          <w:rFonts w:ascii="Sakkal Majalla" w:hAnsi="Sakkal Majalla" w:cs="AL-Mohanad" w:hint="cs"/>
          <w:sz w:val="27"/>
          <w:szCs w:val="27"/>
          <w:rtl/>
        </w:rPr>
        <w:t xml:space="preserve">نها حَسْب الظاهر. ومن ذلك </w:t>
      </w:r>
      <w:r w:rsidRPr="00282AC9">
        <w:rPr>
          <w:rFonts w:cs="AL-Mohanad" w:hint="cs"/>
          <w:sz w:val="27"/>
          <w:szCs w:val="27"/>
          <w:rtl/>
        </w:rPr>
        <w:t>ي</w:t>
      </w:r>
      <w:r w:rsidRPr="00282AC9">
        <w:rPr>
          <w:rFonts w:ascii="Sakkal Majalla" w:hAnsi="Sakkal Majalla" w:cs="AL-Mohanad" w:hint="cs"/>
          <w:sz w:val="27"/>
          <w:szCs w:val="27"/>
          <w:rtl/>
        </w:rPr>
        <w:t xml:space="preserve">تّضح لنا عدم صحّة قول العلاّمة </w:t>
      </w:r>
      <w:r w:rsidRPr="00282AC9">
        <w:rPr>
          <w:rFonts w:ascii="Sakkal Majalla" w:hAnsi="Sakkal Majalla" w:cs="AL-Mohanad" w:hint="cs"/>
          <w:sz w:val="27"/>
          <w:szCs w:val="27"/>
          <w:rtl/>
        </w:rPr>
        <w:lastRenderedPageBreak/>
        <w:t>الطباطبائي، ح</w:t>
      </w:r>
      <w:r w:rsidRPr="00282AC9">
        <w:rPr>
          <w:rFonts w:cs="AL-Mohanad" w:hint="cs"/>
          <w:sz w:val="27"/>
          <w:szCs w:val="27"/>
          <w:rtl/>
        </w:rPr>
        <w:t>ي</w:t>
      </w:r>
      <w:r w:rsidRPr="00282AC9">
        <w:rPr>
          <w:rFonts w:ascii="Sakkal Majalla" w:hAnsi="Sakkal Majalla" w:cs="AL-Mohanad" w:hint="cs"/>
          <w:sz w:val="27"/>
          <w:szCs w:val="27"/>
          <w:rtl/>
        </w:rPr>
        <w:t>ث ذهب إلى أنّ روا</w:t>
      </w:r>
      <w:r w:rsidRPr="00282AC9">
        <w:rPr>
          <w:rFonts w:cs="AL-Mohanad" w:hint="cs"/>
          <w:sz w:val="27"/>
          <w:szCs w:val="27"/>
          <w:rtl/>
        </w:rPr>
        <w:t>ي</w:t>
      </w:r>
      <w:r w:rsidRPr="00282AC9">
        <w:rPr>
          <w:rFonts w:ascii="Sakkal Majalla" w:hAnsi="Sakkal Majalla" w:cs="AL-Mohanad" w:hint="cs"/>
          <w:sz w:val="27"/>
          <w:szCs w:val="27"/>
          <w:rtl/>
        </w:rPr>
        <w:t>ات البسملة تدلّ عل</w:t>
      </w:r>
      <w:r w:rsidRPr="00282AC9">
        <w:rPr>
          <w:rFonts w:cs="AL-Mohanad" w:hint="cs"/>
          <w:sz w:val="27"/>
          <w:szCs w:val="27"/>
          <w:rtl/>
        </w:rPr>
        <w:t>ى</w:t>
      </w:r>
      <w:r w:rsidRPr="00282AC9">
        <w:rPr>
          <w:rFonts w:ascii="Sakkal Majalla" w:hAnsi="Sakkal Majalla" w:cs="AL-Mohanad" w:hint="cs"/>
          <w:sz w:val="27"/>
          <w:szCs w:val="27"/>
          <w:rtl/>
        </w:rPr>
        <w:t xml:space="preserve"> ترت</w:t>
      </w:r>
      <w:r w:rsidRPr="00282AC9">
        <w:rPr>
          <w:rFonts w:cs="AL-Mohanad" w:hint="cs"/>
          <w:sz w:val="27"/>
          <w:szCs w:val="27"/>
          <w:rtl/>
        </w:rPr>
        <w:t>ي</w:t>
      </w:r>
      <w:r w:rsidRPr="00282AC9">
        <w:rPr>
          <w:rFonts w:ascii="Sakkal Majalla" w:hAnsi="Sakkal Majalla" w:cs="AL-Mohanad" w:hint="cs"/>
          <w:sz w:val="27"/>
          <w:szCs w:val="27"/>
          <w:rtl/>
        </w:rPr>
        <w:t>ب الآ</w:t>
      </w:r>
      <w:r w:rsidRPr="00282AC9">
        <w:rPr>
          <w:rFonts w:cs="AL-Mohanad" w:hint="cs"/>
          <w:sz w:val="27"/>
          <w:szCs w:val="27"/>
          <w:rtl/>
        </w:rPr>
        <w:t>ي</w:t>
      </w:r>
      <w:r w:rsidRPr="00282AC9">
        <w:rPr>
          <w:rFonts w:ascii="Sakkal Majalla" w:hAnsi="Sakkal Majalla" w:cs="AL-Mohanad" w:hint="cs"/>
          <w:sz w:val="27"/>
          <w:szCs w:val="27"/>
          <w:rtl/>
        </w:rPr>
        <w:t>ات حَسْب النزول في زمن النبيّ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خلافاً لما نراه في المصحف الذي ب</w:t>
      </w:r>
      <w:r w:rsidRPr="00282AC9">
        <w:rPr>
          <w:rFonts w:cs="AL-Mohanad" w:hint="cs"/>
          <w:sz w:val="27"/>
          <w:szCs w:val="27"/>
          <w:rtl/>
        </w:rPr>
        <w:t>ي</w:t>
      </w:r>
      <w:r w:rsidRPr="00282AC9">
        <w:rPr>
          <w:rFonts w:ascii="Sakkal Majalla" w:hAnsi="Sakkal Majalla" w:cs="AL-Mohanad" w:hint="cs"/>
          <w:sz w:val="27"/>
          <w:szCs w:val="27"/>
          <w:rtl/>
        </w:rPr>
        <w:t>ن أ</w:t>
      </w:r>
      <w:r w:rsidRPr="00282AC9">
        <w:rPr>
          <w:rFonts w:cs="AL-Mohanad" w:hint="cs"/>
          <w:sz w:val="27"/>
          <w:szCs w:val="27"/>
          <w:rtl/>
        </w:rPr>
        <w:t>ي</w:t>
      </w:r>
      <w:r w:rsidRPr="00282AC9">
        <w:rPr>
          <w:rFonts w:ascii="Sakkal Majalla" w:hAnsi="Sakkal Majalla" w:cs="AL-Mohanad" w:hint="cs"/>
          <w:sz w:val="27"/>
          <w:szCs w:val="27"/>
          <w:rtl/>
        </w:rPr>
        <w:t>د</w:t>
      </w:r>
      <w:r w:rsidRPr="00282AC9">
        <w:rPr>
          <w:rFonts w:cs="AL-Mohanad" w:hint="cs"/>
          <w:sz w:val="27"/>
          <w:szCs w:val="27"/>
          <w:rtl/>
        </w:rPr>
        <w:t>ي</w:t>
      </w:r>
      <w:r w:rsidRPr="00282AC9">
        <w:rPr>
          <w:rFonts w:ascii="Sakkal Majalla" w:hAnsi="Sakkal Majalla" w:cs="AL-Mohanad" w:hint="cs"/>
          <w:sz w:val="27"/>
          <w:szCs w:val="27"/>
          <w:rtl/>
        </w:rPr>
        <w:t>نا، من وجود آ</w:t>
      </w:r>
      <w:r w:rsidRPr="00282AC9">
        <w:rPr>
          <w:rFonts w:cs="AL-Mohanad" w:hint="cs"/>
          <w:sz w:val="27"/>
          <w:szCs w:val="27"/>
          <w:rtl/>
        </w:rPr>
        <w:t>ي</w:t>
      </w:r>
      <w:r w:rsidRPr="00282AC9">
        <w:rPr>
          <w:rFonts w:ascii="Sakkal Majalla" w:hAnsi="Sakkal Majalla" w:cs="AL-Mohanad" w:hint="cs"/>
          <w:sz w:val="27"/>
          <w:szCs w:val="27"/>
          <w:rtl/>
        </w:rPr>
        <w:t>ات مكّ</w:t>
      </w:r>
      <w:r w:rsidRPr="00282AC9">
        <w:rPr>
          <w:rFonts w:cs="AL-Mohanad" w:hint="cs"/>
          <w:sz w:val="27"/>
          <w:szCs w:val="27"/>
          <w:rtl/>
        </w:rPr>
        <w:t>ي</w:t>
      </w:r>
      <w:r w:rsidRPr="00282AC9">
        <w:rPr>
          <w:rFonts w:ascii="Sakkal Majalla" w:hAnsi="Sakkal Majalla" w:cs="AL-Mohanad" w:hint="cs"/>
          <w:sz w:val="27"/>
          <w:szCs w:val="27"/>
          <w:rtl/>
        </w:rPr>
        <w:t>ة في سور مدن</w:t>
      </w:r>
      <w:r w:rsidRPr="00282AC9">
        <w:rPr>
          <w:rFonts w:cs="AL-Mohanad" w:hint="cs"/>
          <w:sz w:val="27"/>
          <w:szCs w:val="27"/>
          <w:rtl/>
        </w:rPr>
        <w:t>ي</w:t>
      </w:r>
      <w:r w:rsidRPr="00282AC9">
        <w:rPr>
          <w:rFonts w:ascii="Sakkal Majalla" w:hAnsi="Sakkal Majalla" w:cs="AL-Mohanad" w:hint="cs"/>
          <w:sz w:val="27"/>
          <w:szCs w:val="27"/>
          <w:rtl/>
        </w:rPr>
        <w:t>ة، أو آ</w:t>
      </w:r>
      <w:r w:rsidRPr="00282AC9">
        <w:rPr>
          <w:rFonts w:cs="AL-Mohanad" w:hint="cs"/>
          <w:sz w:val="27"/>
          <w:szCs w:val="27"/>
          <w:rtl/>
        </w:rPr>
        <w:t>ي</w:t>
      </w:r>
      <w:r w:rsidRPr="00282AC9">
        <w:rPr>
          <w:rFonts w:ascii="Sakkal Majalla" w:hAnsi="Sakkal Majalla" w:cs="AL-Mohanad" w:hint="cs"/>
          <w:sz w:val="27"/>
          <w:szCs w:val="27"/>
          <w:rtl/>
        </w:rPr>
        <w:t>ات مدن</w:t>
      </w:r>
      <w:r w:rsidRPr="00282AC9">
        <w:rPr>
          <w:rFonts w:cs="AL-Mohanad" w:hint="cs"/>
          <w:sz w:val="27"/>
          <w:szCs w:val="27"/>
          <w:rtl/>
        </w:rPr>
        <w:t>ي</w:t>
      </w:r>
      <w:r w:rsidRPr="00282AC9">
        <w:rPr>
          <w:rFonts w:ascii="Sakkal Majalla" w:hAnsi="Sakkal Majalla" w:cs="AL-Mohanad" w:hint="cs"/>
          <w:sz w:val="27"/>
          <w:szCs w:val="27"/>
          <w:rtl/>
        </w:rPr>
        <w:t>ة في سور مكّ</w:t>
      </w:r>
      <w:r w:rsidRPr="00282AC9">
        <w:rPr>
          <w:rFonts w:cs="AL-Mohanad" w:hint="cs"/>
          <w:sz w:val="27"/>
          <w:szCs w:val="27"/>
          <w:rtl/>
        </w:rPr>
        <w:t>ي</w:t>
      </w:r>
      <w:r w:rsidRPr="00282AC9">
        <w:rPr>
          <w:rFonts w:ascii="Sakkal Majalla" w:hAnsi="Sakkal Majalla" w:cs="AL-Mohanad" w:hint="cs"/>
          <w:sz w:val="27"/>
          <w:szCs w:val="27"/>
          <w:rtl/>
        </w:rPr>
        <w:t>ة، أو وجود آ</w:t>
      </w:r>
      <w:r w:rsidRPr="00282AC9">
        <w:rPr>
          <w:rFonts w:cs="AL-Mohanad" w:hint="cs"/>
          <w:sz w:val="27"/>
          <w:szCs w:val="27"/>
          <w:rtl/>
        </w:rPr>
        <w:t>ي</w:t>
      </w:r>
      <w:r w:rsidRPr="00282AC9">
        <w:rPr>
          <w:rFonts w:ascii="Sakkal Majalla" w:hAnsi="Sakkal Majalla" w:cs="AL-Mohanad" w:hint="cs"/>
          <w:sz w:val="27"/>
          <w:szCs w:val="27"/>
          <w:rtl/>
        </w:rPr>
        <w:t xml:space="preserve">ات نازلة في </w:t>
      </w:r>
      <w:r w:rsidRPr="00282AC9">
        <w:rPr>
          <w:rFonts w:ascii="Sakkal Majalla" w:hAnsi="Sakkal Majalla" w:cs="AL-Mohanad"/>
          <w:sz w:val="27"/>
          <w:szCs w:val="27"/>
          <w:rtl/>
        </w:rPr>
        <w:t>أواخر عهد النبي</w:t>
      </w:r>
      <w:r w:rsidRPr="00282AC9">
        <w:rPr>
          <w:rFonts w:ascii="Sakkal Majalla" w:hAnsi="Sakkal Majalla" w:cs="AL-Mohanad" w:hint="cs"/>
          <w:sz w:val="27"/>
          <w:szCs w:val="27"/>
          <w:rtl/>
        </w:rPr>
        <w:t>ّ</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وهي واقعة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 سور نازلة في أوائل </w:t>
      </w:r>
      <w:r w:rsidRPr="00282AC9">
        <w:rPr>
          <w:rFonts w:ascii="Sakkal Majalla" w:hAnsi="Sakkal Majalla" w:cs="AL-Mohanad" w:hint="cs"/>
          <w:sz w:val="27"/>
          <w:szCs w:val="27"/>
          <w:rtl/>
        </w:rPr>
        <w:t xml:space="preserve">الهجرة، ممّا </w:t>
      </w:r>
      <w:r w:rsidRPr="00282AC9">
        <w:rPr>
          <w:rFonts w:cs="AL-Mohanad" w:hint="cs"/>
          <w:sz w:val="27"/>
          <w:szCs w:val="27"/>
          <w:rtl/>
        </w:rPr>
        <w:t>ي</w:t>
      </w:r>
      <w:r w:rsidRPr="00282AC9">
        <w:rPr>
          <w:rFonts w:ascii="Sakkal Majalla" w:hAnsi="Sakkal Majalla" w:cs="AL-Mohanad" w:hint="cs"/>
          <w:sz w:val="27"/>
          <w:szCs w:val="27"/>
          <w:rtl/>
        </w:rPr>
        <w:t>دلّ عل</w:t>
      </w:r>
      <w:r w:rsidRPr="00282AC9">
        <w:rPr>
          <w:rFonts w:cs="AL-Mohanad" w:hint="cs"/>
          <w:sz w:val="27"/>
          <w:szCs w:val="27"/>
          <w:rtl/>
        </w:rPr>
        <w:t>ى</w:t>
      </w:r>
      <w:r w:rsidRPr="00282AC9">
        <w:rPr>
          <w:rFonts w:ascii="Sakkal Majalla" w:hAnsi="Sakkal Majalla" w:cs="AL-Mohanad" w:hint="cs"/>
          <w:sz w:val="27"/>
          <w:szCs w:val="27"/>
          <w:rtl/>
        </w:rPr>
        <w:t xml:space="preserve"> أنّ القرآن الموجود عندنا غ</w:t>
      </w:r>
      <w:r w:rsidRPr="00282AC9">
        <w:rPr>
          <w:rFonts w:cs="AL-Mohanad" w:hint="cs"/>
          <w:sz w:val="27"/>
          <w:szCs w:val="27"/>
          <w:rtl/>
        </w:rPr>
        <w:t>ي</w:t>
      </w:r>
      <w:r w:rsidRPr="00282AC9">
        <w:rPr>
          <w:rFonts w:ascii="Sakkal Majalla" w:hAnsi="Sakkal Majalla" w:cs="AL-Mohanad" w:hint="cs"/>
          <w:sz w:val="27"/>
          <w:szCs w:val="27"/>
          <w:rtl/>
        </w:rPr>
        <w:t>ر الذي كان في عهد النبيّ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فإنّ جم</w:t>
      </w:r>
      <w:r w:rsidRPr="00282AC9">
        <w:rPr>
          <w:rFonts w:cs="AL-Mohanad" w:hint="cs"/>
          <w:sz w:val="27"/>
          <w:szCs w:val="27"/>
          <w:rtl/>
        </w:rPr>
        <w:t>ي</w:t>
      </w:r>
      <w:r w:rsidRPr="00282AC9">
        <w:rPr>
          <w:rFonts w:ascii="Sakkal Majalla" w:hAnsi="Sakkal Majalla" w:cs="AL-Mohanad" w:hint="cs"/>
          <w:sz w:val="27"/>
          <w:szCs w:val="27"/>
          <w:rtl/>
        </w:rPr>
        <w:t>ع ذلك لا</w:t>
      </w:r>
      <w:r w:rsidRPr="00282AC9">
        <w:rPr>
          <w:rFonts w:cs="AL-Mohanad" w:hint="cs"/>
          <w:sz w:val="27"/>
          <w:szCs w:val="27"/>
          <w:rtl/>
        </w:rPr>
        <w:t xml:space="preserve"> ي</w:t>
      </w:r>
      <w:r w:rsidRPr="00282AC9">
        <w:rPr>
          <w:rFonts w:ascii="Sakkal Majalla" w:hAnsi="Sakkal Majalla" w:cs="AL-Mohanad" w:hint="cs"/>
          <w:sz w:val="27"/>
          <w:szCs w:val="27"/>
          <w:rtl/>
        </w:rPr>
        <w:t>عارض قولنا بأنّ الآ</w:t>
      </w:r>
      <w:r w:rsidRPr="00282AC9">
        <w:rPr>
          <w:rFonts w:cs="AL-Mohanad" w:hint="cs"/>
          <w:sz w:val="27"/>
          <w:szCs w:val="27"/>
          <w:rtl/>
        </w:rPr>
        <w:t>ي</w:t>
      </w:r>
      <w:r w:rsidRPr="00282AC9">
        <w:rPr>
          <w:rFonts w:ascii="Sakkal Majalla" w:hAnsi="Sakkal Majalla" w:cs="AL-Mohanad" w:hint="cs"/>
          <w:sz w:val="27"/>
          <w:szCs w:val="27"/>
          <w:rtl/>
        </w:rPr>
        <w:t xml:space="preserve">ات </w:t>
      </w:r>
      <w:r w:rsidRPr="00282AC9">
        <w:rPr>
          <w:rFonts w:ascii="Sakkal Majalla" w:hAnsi="Sakkal Majalla" w:cs="AL-Mohanad"/>
          <w:sz w:val="27"/>
          <w:szCs w:val="27"/>
          <w:rtl/>
        </w:rPr>
        <w:t>المك</w:t>
      </w:r>
      <w:r w:rsidRPr="00282AC9">
        <w:rPr>
          <w:rFonts w:ascii="Sakkal Majalla" w:hAnsi="Sakkal Majalla" w:cs="AL-Mohanad" w:hint="cs"/>
          <w:sz w:val="27"/>
          <w:szCs w:val="27"/>
          <w:rtl/>
        </w:rPr>
        <w:t>ّ</w:t>
      </w:r>
      <w:r w:rsidRPr="00282AC9">
        <w:rPr>
          <w:rFonts w:cs="AL-Mohanad" w:hint="cs"/>
          <w:sz w:val="27"/>
          <w:szCs w:val="27"/>
          <w:rtl/>
        </w:rPr>
        <w:t>ي</w:t>
      </w:r>
      <w:r w:rsidRPr="00282AC9">
        <w:rPr>
          <w:rFonts w:ascii="Sakkal Majalla" w:hAnsi="Sakkal Majalla" w:cs="AL-Mohanad" w:hint="cs"/>
          <w:sz w:val="27"/>
          <w:szCs w:val="27"/>
          <w:rtl/>
        </w:rPr>
        <w:t>ة</w:t>
      </w:r>
      <w:r w:rsidRPr="00282AC9">
        <w:rPr>
          <w:rFonts w:ascii="Sakkal Majalla" w:hAnsi="Sakkal Majalla" w:cs="AL-Mohanad"/>
          <w:sz w:val="27"/>
          <w:szCs w:val="27"/>
          <w:rtl/>
        </w:rPr>
        <w:t xml:space="preserve"> و</w:t>
      </w:r>
      <w:r w:rsidRPr="00282AC9">
        <w:rPr>
          <w:rFonts w:ascii="Sakkal Majalla" w:hAnsi="Sakkal Majalla" w:cs="AL-Mohanad" w:hint="cs"/>
          <w:sz w:val="27"/>
          <w:szCs w:val="27"/>
          <w:rtl/>
        </w:rPr>
        <w:t>المدن</w:t>
      </w:r>
      <w:r w:rsidRPr="00282AC9">
        <w:rPr>
          <w:rFonts w:cs="AL-Mohanad" w:hint="cs"/>
          <w:sz w:val="27"/>
          <w:szCs w:val="27"/>
          <w:rtl/>
        </w:rPr>
        <w:t>ي</w:t>
      </w:r>
      <w:r w:rsidRPr="00282AC9">
        <w:rPr>
          <w:rFonts w:ascii="Sakkal Majalla" w:hAnsi="Sakkal Majalla" w:cs="AL-Mohanad" w:hint="cs"/>
          <w:sz w:val="27"/>
          <w:szCs w:val="27"/>
          <w:rtl/>
        </w:rPr>
        <w:t>ة</w:t>
      </w:r>
      <w:r w:rsidRPr="00282AC9">
        <w:rPr>
          <w:rFonts w:cs="AL-Mohanad" w:hint="cs"/>
          <w:sz w:val="27"/>
          <w:szCs w:val="27"/>
          <w:rtl/>
        </w:rPr>
        <w:t xml:space="preserve"> </w:t>
      </w:r>
      <w:r w:rsidRPr="00282AC9">
        <w:rPr>
          <w:rFonts w:ascii="Sakkal Majalla" w:hAnsi="Sakkal Majalla" w:cs="AL-Mohanad"/>
          <w:sz w:val="27"/>
          <w:szCs w:val="27"/>
          <w:rtl/>
        </w:rPr>
        <w:t>الم</w:t>
      </w:r>
      <w:r w:rsidRPr="00282AC9">
        <w:rPr>
          <w:rFonts w:ascii="Sakkal Majalla" w:hAnsi="Sakkal Majalla" w:cs="AL-Mohanad" w:hint="cs"/>
          <w:sz w:val="27"/>
          <w:szCs w:val="27"/>
          <w:rtl/>
        </w:rPr>
        <w:t>تداخلة إنّما حصلَتْ بأمرٍ من رسول الله</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w:t>
      </w:r>
    </w:p>
    <w:p w:rsidR="00760D07" w:rsidRPr="00282AC9" w:rsidRDefault="00760D07" w:rsidP="001D1A88">
      <w:pPr>
        <w:pStyle w:val="afc"/>
        <w:rPr>
          <w:rFonts w:ascii="Sakkal Majalla" w:hAnsi="Sakkal Majalla" w:cs="AL-Mohanad"/>
          <w:sz w:val="27"/>
          <w:szCs w:val="27"/>
          <w:rtl/>
        </w:rPr>
      </w:pPr>
      <w:r w:rsidRPr="00282AC9">
        <w:rPr>
          <w:rFonts w:ascii="Sakkal Majalla" w:hAnsi="Sakkal Majalla" w:cs="AL-Mohanad" w:hint="cs"/>
          <w:sz w:val="27"/>
          <w:szCs w:val="27"/>
          <w:rtl/>
        </w:rPr>
        <w:t>كما أنّها تنقض قول العلاّمة؛ فإنّه بعدما نقل روا</w:t>
      </w:r>
      <w:r w:rsidRPr="00282AC9">
        <w:rPr>
          <w:rFonts w:cs="AL-Mohanad" w:hint="cs"/>
          <w:sz w:val="27"/>
          <w:szCs w:val="27"/>
          <w:rtl/>
        </w:rPr>
        <w:t>ي</w:t>
      </w:r>
      <w:r w:rsidRPr="00282AC9">
        <w:rPr>
          <w:rFonts w:ascii="Sakkal Majalla" w:hAnsi="Sakkal Majalla" w:cs="AL-Mohanad" w:hint="cs"/>
          <w:sz w:val="27"/>
          <w:szCs w:val="27"/>
          <w:rtl/>
        </w:rPr>
        <w:t>ة عثمان بن أب</w:t>
      </w:r>
      <w:r w:rsidRPr="00282AC9">
        <w:rPr>
          <w:rFonts w:cs="AL-Mohanad" w:hint="cs"/>
          <w:sz w:val="27"/>
          <w:szCs w:val="27"/>
          <w:rtl/>
        </w:rPr>
        <w:t>ي</w:t>
      </w:r>
      <w:r w:rsidRPr="00282AC9">
        <w:rPr>
          <w:rFonts w:ascii="Sakkal Majalla" w:hAnsi="Sakkal Majalla" w:cs="AL-Mohanad" w:hint="cs"/>
          <w:sz w:val="27"/>
          <w:szCs w:val="27"/>
          <w:rtl/>
        </w:rPr>
        <w:t xml:space="preserve"> العاص، الدالّة عل</w:t>
      </w:r>
      <w:r w:rsidRPr="00282AC9">
        <w:rPr>
          <w:rFonts w:cs="AL-Mohanad" w:hint="cs"/>
          <w:sz w:val="27"/>
          <w:szCs w:val="27"/>
          <w:rtl/>
        </w:rPr>
        <w:t>ى</w:t>
      </w:r>
      <w:r w:rsidRPr="00282AC9">
        <w:rPr>
          <w:rFonts w:ascii="Sakkal Majalla" w:hAnsi="Sakkal Majalla" w:cs="AL-Mohanad" w:hint="cs"/>
          <w:sz w:val="27"/>
          <w:szCs w:val="27"/>
          <w:rtl/>
        </w:rPr>
        <w:t xml:space="preserve"> وضع الرسول قوله تعالى: </w:t>
      </w:r>
      <w:r w:rsidRPr="00282AC9">
        <w:rPr>
          <w:rFonts w:ascii="Mosawi" w:hAnsi="Mosawi" w:cs="Mosawi"/>
          <w:rtl/>
        </w:rPr>
        <w:t>﴿</w:t>
      </w:r>
      <w:r w:rsidRPr="00282AC9">
        <w:rPr>
          <w:rFonts w:ascii="Sakkal Majalla" w:hAnsi="Sakkal Majalla" w:cs="AL-Mohanad"/>
          <w:b/>
          <w:bCs/>
          <w:sz w:val="27"/>
          <w:szCs w:val="27"/>
          <w:rtl/>
        </w:rPr>
        <w:t>إِنَ‏ اللهَ‏ يَأْمُرُ بِالْعَدْلِ و</w:t>
      </w:r>
      <w:r w:rsidRPr="00282AC9">
        <w:rPr>
          <w:rFonts w:ascii="Sakkal Majalla" w:hAnsi="Sakkal Majalla" w:cs="AL-Mohanad" w:hint="cs"/>
          <w:b/>
          <w:bCs/>
          <w:sz w:val="27"/>
          <w:szCs w:val="27"/>
          <w:rtl/>
        </w:rPr>
        <w:t>َ</w:t>
      </w:r>
      <w:r w:rsidRPr="00282AC9">
        <w:rPr>
          <w:rFonts w:ascii="Sakkal Majalla" w:hAnsi="Sakkal Majalla" w:cs="AL-Mohanad"/>
          <w:b/>
          <w:bCs/>
          <w:sz w:val="27"/>
          <w:szCs w:val="27"/>
          <w:rtl/>
        </w:rPr>
        <w:t>الإِحْس</w:t>
      </w:r>
      <w:r w:rsidRPr="00282AC9">
        <w:rPr>
          <w:rFonts w:ascii="Sakkal Majalla" w:hAnsi="Sakkal Majalla" w:cs="AL-Mohanad" w:hint="cs"/>
          <w:b/>
          <w:bCs/>
          <w:sz w:val="27"/>
          <w:szCs w:val="27"/>
          <w:rtl/>
        </w:rPr>
        <w:t>َ</w:t>
      </w:r>
      <w:r w:rsidRPr="00282AC9">
        <w:rPr>
          <w:rFonts w:ascii="Sakkal Majalla" w:hAnsi="Sakkal Majalla" w:cs="AL-Mohanad"/>
          <w:b/>
          <w:bCs/>
          <w:sz w:val="27"/>
          <w:szCs w:val="27"/>
          <w:rtl/>
        </w:rPr>
        <w:t>ان</w:t>
      </w:r>
      <w:r w:rsidRPr="00282AC9">
        <w:rPr>
          <w:rFonts w:ascii="Sakkal Majalla" w:hAnsi="Sakkal Majalla" w:cs="AL-Mohanad" w:hint="cs"/>
          <w:b/>
          <w:bCs/>
          <w:sz w:val="27"/>
          <w:szCs w:val="27"/>
          <w:rtl/>
        </w:rPr>
        <w:t>ِ</w:t>
      </w:r>
      <w:r w:rsidRPr="00282AC9">
        <w:rPr>
          <w:rFonts w:ascii="Sakkal Majalla" w:hAnsi="Sakkal Majalla" w:cs="AL-Mohanad"/>
          <w:sz w:val="27"/>
          <w:szCs w:val="27"/>
          <w:rtl/>
        </w:rPr>
        <w:t>‏</w:t>
      </w:r>
      <w:r w:rsidRPr="00282AC9">
        <w:rPr>
          <w:rFonts w:ascii="Mosawi" w:hAnsi="Mosawi" w:cs="Mosawi"/>
          <w:rtl/>
        </w:rPr>
        <w:t>﴾</w:t>
      </w:r>
      <w:r w:rsidRPr="00282AC9">
        <w:rPr>
          <w:rFonts w:ascii="Sakkal Majalla" w:hAnsi="Sakkal Majalla" w:cs="AL-Mohanad"/>
          <w:sz w:val="27"/>
          <w:szCs w:val="27"/>
          <w:rtl/>
        </w:rPr>
        <w:t xml:space="preserve"> ف</w:t>
      </w:r>
      <w:r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موضع</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مغا</w:t>
      </w:r>
      <w:r w:rsidRPr="00282AC9">
        <w:rPr>
          <w:rFonts w:cs="AL-Mohanad" w:hint="cs"/>
          <w:sz w:val="27"/>
          <w:szCs w:val="27"/>
          <w:rtl/>
        </w:rPr>
        <w:t>ي</w:t>
      </w:r>
      <w:r w:rsidRPr="00282AC9">
        <w:rPr>
          <w:rFonts w:ascii="Sakkal Majalla" w:hAnsi="Sakkal Majalla" w:cs="AL-Mohanad" w:hint="cs"/>
          <w:sz w:val="27"/>
          <w:szCs w:val="27"/>
          <w:rtl/>
        </w:rPr>
        <w:t>ر لترت</w:t>
      </w:r>
      <w:r w:rsidRPr="00282AC9">
        <w:rPr>
          <w:rFonts w:cs="AL-Mohanad" w:hint="cs"/>
          <w:sz w:val="27"/>
          <w:szCs w:val="27"/>
          <w:rtl/>
        </w:rPr>
        <w:t>ي</w:t>
      </w:r>
      <w:r w:rsidRPr="00282AC9">
        <w:rPr>
          <w:rFonts w:ascii="Sakkal Majalla" w:hAnsi="Sakkal Majalla" w:cs="AL-Mohanad" w:hint="cs"/>
          <w:sz w:val="27"/>
          <w:szCs w:val="27"/>
          <w:rtl/>
        </w:rPr>
        <w:t>ب نزولها، قال:</w:t>
      </w:r>
      <w:r w:rsidRPr="00282AC9">
        <w:rPr>
          <w:rFonts w:ascii="Traditional Arabic" w:hAnsi="Traditional Arabic" w:cs="AL-Mohanad" w:hint="cs"/>
          <w:sz w:val="27"/>
          <w:szCs w:val="27"/>
          <w:rtl/>
        </w:rPr>
        <w:t xml:space="preserve"> </w:t>
      </w:r>
      <w:r w:rsidRPr="00282AC9">
        <w:rPr>
          <w:rFonts w:ascii="Sakkal Majalla" w:hAnsi="Sakkal Majalla" w:cs="AL-Mohanad"/>
          <w:sz w:val="27"/>
          <w:szCs w:val="27"/>
          <w:rtl/>
        </w:rPr>
        <w:t xml:space="preserve">لا تدلّ </w:t>
      </w:r>
      <w:r w:rsidRPr="00282AC9">
        <w:rPr>
          <w:rFonts w:ascii="Sakkal Majalla" w:hAnsi="Sakkal Majalla" w:cs="AL-Mohanad" w:hint="cs"/>
          <w:sz w:val="27"/>
          <w:szCs w:val="27"/>
          <w:rtl/>
        </w:rPr>
        <w:t>هذه الروا</w:t>
      </w:r>
      <w:r w:rsidRPr="00282AC9">
        <w:rPr>
          <w:rFonts w:cs="AL-Mohanad" w:hint="cs"/>
          <w:sz w:val="27"/>
          <w:szCs w:val="27"/>
          <w:rtl/>
        </w:rPr>
        <w:t>ي</w:t>
      </w:r>
      <w:r w:rsidRPr="00282AC9">
        <w:rPr>
          <w:rFonts w:ascii="Sakkal Majalla" w:hAnsi="Sakkal Majalla" w:cs="AL-Mohanad" w:hint="cs"/>
          <w:sz w:val="27"/>
          <w:szCs w:val="27"/>
          <w:rtl/>
        </w:rPr>
        <w:t xml:space="preserve">ة </w:t>
      </w:r>
      <w:r w:rsidRPr="00282AC9">
        <w:rPr>
          <w:rFonts w:ascii="Sakkal Majalla" w:hAnsi="Sakkal Majalla" w:cs="AL-Mohanad"/>
          <w:sz w:val="27"/>
          <w:szCs w:val="27"/>
          <w:rtl/>
        </w:rPr>
        <w:t>على أزيد من فعله</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في بعض الآيات في الجملة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لا بالجملة</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75"/>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 فإنّ الروا</w:t>
      </w:r>
      <w:r w:rsidRPr="00282AC9">
        <w:rPr>
          <w:rFonts w:cs="AL-Mohanad" w:hint="cs"/>
          <w:sz w:val="27"/>
          <w:szCs w:val="27"/>
          <w:rtl/>
        </w:rPr>
        <w:t>ي</w:t>
      </w:r>
      <w:r w:rsidRPr="00282AC9">
        <w:rPr>
          <w:rFonts w:ascii="Sakkal Majalla" w:hAnsi="Sakkal Majalla" w:cs="AL-Mohanad" w:hint="cs"/>
          <w:sz w:val="27"/>
          <w:szCs w:val="27"/>
          <w:rtl/>
        </w:rPr>
        <w:t>ات التي مرَّ ذِكْرُها صر</w:t>
      </w:r>
      <w:r w:rsidRPr="00282AC9">
        <w:rPr>
          <w:rFonts w:cs="AL-Mohanad" w:hint="cs"/>
          <w:sz w:val="27"/>
          <w:szCs w:val="27"/>
          <w:rtl/>
        </w:rPr>
        <w:t>ي</w:t>
      </w:r>
      <w:r w:rsidRPr="00282AC9">
        <w:rPr>
          <w:rFonts w:ascii="Sakkal Majalla" w:hAnsi="Sakkal Majalla" w:cs="AL-Mohanad" w:hint="cs"/>
          <w:sz w:val="27"/>
          <w:szCs w:val="27"/>
          <w:rtl/>
        </w:rPr>
        <w:t>حةٌ في أنّ النبيّ</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كث</w:t>
      </w:r>
      <w:r w:rsidRPr="00282AC9">
        <w:rPr>
          <w:rFonts w:cs="AL-Mohanad" w:hint="cs"/>
          <w:sz w:val="27"/>
          <w:szCs w:val="27"/>
          <w:rtl/>
        </w:rPr>
        <w:t>ي</w:t>
      </w:r>
      <w:r w:rsidRPr="00282AC9">
        <w:rPr>
          <w:rFonts w:ascii="Sakkal Majalla" w:hAnsi="Sakkal Majalla" w:cs="AL-Mohanad" w:hint="cs"/>
          <w:sz w:val="27"/>
          <w:szCs w:val="27"/>
          <w:rtl/>
        </w:rPr>
        <w:t xml:space="preserve">راً ما كان </w:t>
      </w:r>
      <w:r w:rsidRPr="00282AC9">
        <w:rPr>
          <w:rFonts w:cs="AL-Mohanad" w:hint="cs"/>
          <w:sz w:val="27"/>
          <w:szCs w:val="27"/>
          <w:rtl/>
        </w:rPr>
        <w:t>ي</w:t>
      </w:r>
      <w:r w:rsidRPr="00282AC9">
        <w:rPr>
          <w:rFonts w:ascii="Sakkal Majalla" w:hAnsi="Sakkal Majalla" w:cs="AL-Mohanad" w:hint="cs"/>
          <w:sz w:val="27"/>
          <w:szCs w:val="27"/>
          <w:rtl/>
        </w:rPr>
        <w:t>أمر بوضع آ</w:t>
      </w:r>
      <w:r w:rsidRPr="00282AC9">
        <w:rPr>
          <w:rFonts w:cs="AL-Mohanad" w:hint="cs"/>
          <w:sz w:val="27"/>
          <w:szCs w:val="27"/>
          <w:rtl/>
        </w:rPr>
        <w:t>ي</w:t>
      </w:r>
      <w:r w:rsidRPr="00282AC9">
        <w:rPr>
          <w:rFonts w:ascii="Sakkal Majalla" w:hAnsi="Sakkal Majalla" w:cs="AL-Mohanad" w:hint="cs"/>
          <w:sz w:val="27"/>
          <w:szCs w:val="27"/>
          <w:rtl/>
        </w:rPr>
        <w:t>ةٍ، بل آ</w:t>
      </w:r>
      <w:r w:rsidRPr="00282AC9">
        <w:rPr>
          <w:rFonts w:cs="AL-Mohanad" w:hint="cs"/>
          <w:sz w:val="27"/>
          <w:szCs w:val="27"/>
          <w:rtl/>
        </w:rPr>
        <w:t>ي</w:t>
      </w:r>
      <w:r w:rsidRPr="00282AC9">
        <w:rPr>
          <w:rFonts w:ascii="Sakkal Majalla" w:hAnsi="Sakkal Majalla" w:cs="AL-Mohanad" w:hint="cs"/>
          <w:sz w:val="27"/>
          <w:szCs w:val="27"/>
          <w:rtl/>
        </w:rPr>
        <w:t xml:space="preserve">اتٍ، بل سورٍ بكاملها، في موضعٍ </w:t>
      </w:r>
      <w:r w:rsidRPr="00282AC9">
        <w:rPr>
          <w:rFonts w:cs="AL-Mohanad" w:hint="cs"/>
          <w:sz w:val="27"/>
          <w:szCs w:val="27"/>
          <w:rtl/>
        </w:rPr>
        <w:t>ي</w:t>
      </w:r>
      <w:r w:rsidRPr="00282AC9">
        <w:rPr>
          <w:rFonts w:ascii="Sakkal Majalla" w:hAnsi="Sakkal Majalla" w:cs="AL-Mohanad" w:hint="cs"/>
          <w:sz w:val="27"/>
          <w:szCs w:val="27"/>
          <w:rtl/>
        </w:rPr>
        <w:t>غا</w:t>
      </w:r>
      <w:r w:rsidRPr="00282AC9">
        <w:rPr>
          <w:rFonts w:cs="AL-Mohanad" w:hint="cs"/>
          <w:sz w:val="27"/>
          <w:szCs w:val="27"/>
          <w:rtl/>
        </w:rPr>
        <w:t>ي</w:t>
      </w:r>
      <w:r w:rsidRPr="00282AC9">
        <w:rPr>
          <w:rFonts w:ascii="Sakkal Majalla" w:hAnsi="Sakkal Majalla" w:cs="AL-Mohanad" w:hint="cs"/>
          <w:sz w:val="27"/>
          <w:szCs w:val="27"/>
          <w:rtl/>
        </w:rPr>
        <w:t>ر الموضع الذي نزلت ف</w:t>
      </w:r>
      <w:r w:rsidRPr="00282AC9">
        <w:rPr>
          <w:rFonts w:cs="AL-Mohanad" w:hint="cs"/>
          <w:sz w:val="27"/>
          <w:szCs w:val="27"/>
          <w:rtl/>
        </w:rPr>
        <w:t>ي</w:t>
      </w:r>
      <w:r w:rsidRPr="00282AC9">
        <w:rPr>
          <w:rFonts w:ascii="Sakkal Majalla" w:hAnsi="Sakkal Majalla" w:cs="AL-Mohanad" w:hint="cs"/>
          <w:sz w:val="27"/>
          <w:szCs w:val="27"/>
          <w:rtl/>
        </w:rPr>
        <w:t>ه تلك الآ</w:t>
      </w:r>
      <w:r w:rsidRPr="00282AC9">
        <w:rPr>
          <w:rFonts w:cs="AL-Mohanad" w:hint="cs"/>
          <w:sz w:val="27"/>
          <w:szCs w:val="27"/>
          <w:rtl/>
        </w:rPr>
        <w:t>ي</w:t>
      </w:r>
      <w:r w:rsidRPr="00282AC9">
        <w:rPr>
          <w:rFonts w:ascii="Sakkal Majalla" w:hAnsi="Sakkal Majalla" w:cs="AL-Mohanad" w:hint="cs"/>
          <w:sz w:val="27"/>
          <w:szCs w:val="27"/>
          <w:rtl/>
        </w:rPr>
        <w:t>ة أو الآ</w:t>
      </w:r>
      <w:r w:rsidRPr="00282AC9">
        <w:rPr>
          <w:rFonts w:cs="AL-Mohanad" w:hint="cs"/>
          <w:sz w:val="27"/>
          <w:szCs w:val="27"/>
          <w:rtl/>
        </w:rPr>
        <w:t>ي</w:t>
      </w:r>
      <w:r w:rsidRPr="00282AC9">
        <w:rPr>
          <w:rFonts w:ascii="Sakkal Majalla" w:hAnsi="Sakkal Majalla" w:cs="AL-Mohanad" w:hint="cs"/>
          <w:sz w:val="27"/>
          <w:szCs w:val="27"/>
          <w:rtl/>
        </w:rPr>
        <w:t>ات.</w:t>
      </w:r>
    </w:p>
    <w:p w:rsidR="00760D07" w:rsidRPr="00282AC9" w:rsidRDefault="00760D07" w:rsidP="001D1A88">
      <w:pPr>
        <w:pStyle w:val="afc"/>
        <w:rPr>
          <w:rFonts w:ascii="Sakkal Majalla" w:hAnsi="Sakkal Majalla" w:cs="AL-Mohanad"/>
          <w:sz w:val="27"/>
          <w:szCs w:val="27"/>
          <w:rtl/>
        </w:rPr>
      </w:pPr>
      <w:r w:rsidRPr="00282AC9">
        <w:rPr>
          <w:rFonts w:cs="AL-Mohanad" w:hint="cs"/>
          <w:sz w:val="27"/>
          <w:szCs w:val="27"/>
          <w:rtl/>
        </w:rPr>
        <w:t>ي</w:t>
      </w:r>
      <w:r w:rsidRPr="00282AC9">
        <w:rPr>
          <w:rFonts w:ascii="Sakkal Majalla" w:hAnsi="Sakkal Majalla" w:cs="AL-Mohanad" w:hint="cs"/>
          <w:sz w:val="27"/>
          <w:szCs w:val="27"/>
          <w:rtl/>
        </w:rPr>
        <w:t>قول القرطبي:</w:t>
      </w:r>
      <w:r w:rsidRPr="00282AC9">
        <w:rPr>
          <w:rFonts w:ascii="Traditional Arabic" w:hAnsi="Traditional Arabic" w:cs="AL-Mohanad" w:hint="cs"/>
          <w:sz w:val="27"/>
          <w:szCs w:val="27"/>
          <w:rtl/>
        </w:rPr>
        <w:t xml:space="preserve"> </w:t>
      </w:r>
      <w:r w:rsidRPr="00282AC9">
        <w:rPr>
          <w:rFonts w:ascii="Sakkal Majalla" w:hAnsi="Sakkal Majalla" w:cs="AL-Mohanad"/>
          <w:sz w:val="27"/>
          <w:szCs w:val="27"/>
          <w:rtl/>
        </w:rPr>
        <w:t>ذكر أبو بكر الأنباري</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 كتاب الرد</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الله تعالى أنزل القرآن جملة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إلى سماء الدنيا، ثم‏</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فرّق‏ على‏ النبي</w:t>
      </w:r>
      <w:r w:rsidRPr="00282AC9">
        <w:rPr>
          <w:rFonts w:ascii="Sakkal Majalla" w:hAnsi="Sakkal Majalla" w:cs="AL-Mohanad" w:hint="cs"/>
          <w:sz w:val="27"/>
          <w:szCs w:val="27"/>
          <w:rtl/>
        </w:rPr>
        <w:t>ّ</w:t>
      </w:r>
      <w:r w:rsidRPr="00282AC9">
        <w:rPr>
          <w:rFonts w:ascii="Sakkal Majalla" w:hAnsi="Sakkal Majalla" w:cs="AL-Mohanad"/>
          <w:sz w:val="27"/>
          <w:szCs w:val="27"/>
          <w:rtl/>
        </w:rPr>
        <w:t>‏</w:t>
      </w:r>
      <w:r w:rsidR="00A9773B" w:rsidRPr="00282AC9">
        <w:rPr>
          <w:rFonts w:ascii="Mosawi" w:hAnsi="Mosawi" w:cs="Mosawi"/>
          <w:sz w:val="22"/>
          <w:szCs w:val="22"/>
          <w:rtl/>
        </w:rPr>
        <w:t>ﷺ</w:t>
      </w:r>
      <w:r w:rsidRPr="00282AC9">
        <w:rPr>
          <w:rFonts w:ascii="Sakkal Majalla" w:hAnsi="Sakkal Majalla" w:cs="AL-Mohanad"/>
          <w:sz w:val="27"/>
          <w:szCs w:val="27"/>
          <w:rtl/>
        </w:rPr>
        <w:t xml:space="preserve"> في عشرين سنة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وكانت السورة تنزل في أمر</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يحدث، والآية جوابا</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لمستخبر</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يسأل، يوقف جبريل رسول الله</w:t>
      </w:r>
      <w:r w:rsidR="00A9773B" w:rsidRPr="00282AC9">
        <w:rPr>
          <w:rFonts w:ascii="Mosawi" w:hAnsi="Mosawi" w:cs="Mosawi"/>
          <w:sz w:val="22"/>
          <w:szCs w:val="22"/>
          <w:rtl/>
        </w:rPr>
        <w:t>ﷺ</w:t>
      </w:r>
      <w:r w:rsidRPr="00282AC9">
        <w:rPr>
          <w:rFonts w:ascii="Sakkal Majalla" w:hAnsi="Sakkal Majalla" w:cs="AL-Mohanad"/>
          <w:sz w:val="27"/>
          <w:szCs w:val="27"/>
          <w:rtl/>
        </w:rPr>
        <w:t xml:space="preserve"> على موضع السورة والآية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w:t>
      </w:r>
      <w:r w:rsidRPr="00282AC9">
        <w:rPr>
          <w:rFonts w:ascii="Sakkal Majalla" w:hAnsi="Sakkal Majalla" w:cs="AL-Mohanad" w:hint="cs"/>
          <w:sz w:val="27"/>
          <w:szCs w:val="27"/>
          <w:rtl/>
        </w:rPr>
        <w:t>ا</w:t>
      </w:r>
      <w:r w:rsidRPr="00282AC9">
        <w:rPr>
          <w:rFonts w:ascii="Sakkal Majalla" w:hAnsi="Sakkal Majalla" w:cs="AL-Mohanad"/>
          <w:sz w:val="27"/>
          <w:szCs w:val="27"/>
          <w:rtl/>
        </w:rPr>
        <w:t>تّساق السور ك</w:t>
      </w:r>
      <w:r w:rsidRPr="00282AC9">
        <w:rPr>
          <w:rFonts w:ascii="Sakkal Majalla" w:hAnsi="Sakkal Majalla" w:cs="AL-Mohanad" w:hint="cs"/>
          <w:sz w:val="27"/>
          <w:szCs w:val="27"/>
          <w:rtl/>
        </w:rPr>
        <w:t>ا</w:t>
      </w:r>
      <w:r w:rsidRPr="00282AC9">
        <w:rPr>
          <w:rFonts w:ascii="Sakkal Majalla" w:hAnsi="Sakkal Majalla" w:cs="AL-Mohanad"/>
          <w:sz w:val="27"/>
          <w:szCs w:val="27"/>
          <w:rtl/>
        </w:rPr>
        <w:t>تّساق الآيات والحروف، فكلّه عن محمد خاتم النبي</w:t>
      </w:r>
      <w:r w:rsidRPr="00282AC9">
        <w:rPr>
          <w:rFonts w:ascii="Sakkal Majalla" w:hAnsi="Sakkal Majalla" w:cs="AL-Mohanad" w:hint="cs"/>
          <w:sz w:val="27"/>
          <w:szCs w:val="27"/>
          <w:rtl/>
        </w:rPr>
        <w:t>ّ</w:t>
      </w:r>
      <w:r w:rsidRPr="00282AC9">
        <w:rPr>
          <w:rFonts w:ascii="Sakkal Majalla" w:hAnsi="Sakkal Majalla" w:cs="AL-Mohanad"/>
          <w:sz w:val="27"/>
          <w:szCs w:val="27"/>
          <w:rtl/>
        </w:rPr>
        <w:t>ين</w:t>
      </w:r>
      <w:r w:rsidR="009A2A04" w:rsidRPr="00282AC9">
        <w:rPr>
          <w:rFonts w:ascii="Sakkal Majalla" w:hAnsi="Sakkal Majalla" w:cs="Mosawi"/>
          <w:sz w:val="22"/>
          <w:szCs w:val="22"/>
          <w:rtl/>
        </w:rPr>
        <w:t>×</w:t>
      </w:r>
      <w:r w:rsidRPr="00282AC9">
        <w:rPr>
          <w:rFonts w:ascii="Sakkal Majalla" w:hAnsi="Sakkal Majalla" w:cs="AL-Mohanad"/>
          <w:sz w:val="27"/>
          <w:szCs w:val="27"/>
          <w:rtl/>
        </w:rPr>
        <w:t>، عن رب</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العالمين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فم</w:t>
      </w:r>
      <w:r w:rsidRPr="00282AC9">
        <w:rPr>
          <w:rFonts w:ascii="Sakkal Majalla" w:hAnsi="Sakkal Majalla" w:cs="AL-Mohanad" w:hint="cs"/>
          <w:sz w:val="27"/>
          <w:szCs w:val="27"/>
          <w:rtl/>
        </w:rPr>
        <w:t>َ</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أخ</w:t>
      </w:r>
      <w:r w:rsidRPr="00282AC9">
        <w:rPr>
          <w:rFonts w:ascii="Sakkal Majalla" w:hAnsi="Sakkal Majalla" w:cs="AL-Mohanad" w:hint="cs"/>
          <w:sz w:val="27"/>
          <w:szCs w:val="27"/>
          <w:rtl/>
        </w:rPr>
        <w:t>َّ</w:t>
      </w:r>
      <w:r w:rsidRPr="00282AC9">
        <w:rPr>
          <w:rFonts w:ascii="Sakkal Majalla" w:hAnsi="Sakkal Majalla" w:cs="AL-Mohanad"/>
          <w:sz w:val="27"/>
          <w:szCs w:val="27"/>
          <w:rtl/>
        </w:rPr>
        <w:t>ر سورة</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مقدّ</w:t>
      </w:r>
      <w:r w:rsidRPr="00282AC9">
        <w:rPr>
          <w:rFonts w:ascii="Sakkal Majalla" w:hAnsi="Sakkal Majalla" w:cs="AL-Mohanad" w:hint="cs"/>
          <w:sz w:val="27"/>
          <w:szCs w:val="27"/>
          <w:rtl/>
        </w:rPr>
        <w:t>َ</w:t>
      </w:r>
      <w:r w:rsidRPr="00282AC9">
        <w:rPr>
          <w:rFonts w:ascii="Sakkal Majalla" w:hAnsi="Sakkal Majalla" w:cs="AL-Mohanad"/>
          <w:sz w:val="27"/>
          <w:szCs w:val="27"/>
          <w:rtl/>
        </w:rPr>
        <w:t>مة أو قدّ</w:t>
      </w:r>
      <w:r w:rsidRPr="00282AC9">
        <w:rPr>
          <w:rFonts w:ascii="Sakkal Majalla" w:hAnsi="Sakkal Majalla" w:cs="AL-Mohanad" w:hint="cs"/>
          <w:sz w:val="27"/>
          <w:szCs w:val="27"/>
          <w:rtl/>
        </w:rPr>
        <w:t>َ</w:t>
      </w:r>
      <w:r w:rsidRPr="00282AC9">
        <w:rPr>
          <w:rFonts w:ascii="Sakkal Majalla" w:hAnsi="Sakkal Majalla" w:cs="AL-Mohanad"/>
          <w:sz w:val="27"/>
          <w:szCs w:val="27"/>
          <w:rtl/>
        </w:rPr>
        <w:t>م أخرى مؤخ</w:t>
      </w:r>
      <w:r w:rsidRPr="00282AC9">
        <w:rPr>
          <w:rFonts w:ascii="Sakkal Majalla" w:hAnsi="Sakkal Majalla" w:cs="AL-Mohanad" w:hint="cs"/>
          <w:sz w:val="27"/>
          <w:szCs w:val="27"/>
          <w:rtl/>
        </w:rPr>
        <w:t>َّ</w:t>
      </w:r>
      <w:r w:rsidRPr="00282AC9">
        <w:rPr>
          <w:rFonts w:ascii="Sakkal Majalla" w:hAnsi="Sakkal Majalla" w:cs="AL-Mohanad"/>
          <w:sz w:val="27"/>
          <w:szCs w:val="27"/>
          <w:rtl/>
        </w:rPr>
        <w:t>رة فهو كم</w:t>
      </w:r>
      <w:r w:rsidRPr="00282AC9">
        <w:rPr>
          <w:rFonts w:ascii="Sakkal Majalla" w:hAnsi="Sakkal Majalla" w:cs="AL-Mohanad" w:hint="cs"/>
          <w:sz w:val="27"/>
          <w:szCs w:val="27"/>
          <w:rtl/>
        </w:rPr>
        <w:t>َ</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أفسد نظم الآيات، وغيّ</w:t>
      </w:r>
      <w:r w:rsidRPr="00282AC9">
        <w:rPr>
          <w:rFonts w:ascii="Sakkal Majalla" w:hAnsi="Sakkal Majalla" w:cs="AL-Mohanad" w:hint="cs"/>
          <w:sz w:val="27"/>
          <w:szCs w:val="27"/>
          <w:rtl/>
        </w:rPr>
        <w:t>َ</w:t>
      </w:r>
      <w:r w:rsidRPr="00282AC9">
        <w:rPr>
          <w:rFonts w:ascii="Sakkal Majalla" w:hAnsi="Sakkal Majalla" w:cs="AL-Mohanad"/>
          <w:sz w:val="27"/>
          <w:szCs w:val="27"/>
          <w:rtl/>
        </w:rPr>
        <w:t>ر الحروف والكلمات</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76"/>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760D07" w:rsidRPr="00282AC9" w:rsidRDefault="00760D07" w:rsidP="001D1A88">
      <w:pPr>
        <w:pStyle w:val="afc"/>
        <w:rPr>
          <w:rFonts w:ascii="Sakkal Majalla" w:hAnsi="Sakkal Majalla" w:cs="AL-Mohanad"/>
          <w:sz w:val="27"/>
          <w:szCs w:val="27"/>
          <w:rtl/>
        </w:rPr>
      </w:pPr>
      <w:r w:rsidRPr="00282AC9">
        <w:rPr>
          <w:rFonts w:ascii="Sakkal Majalla" w:hAnsi="Sakkal Majalla" w:cs="AL-Mohanad" w:hint="cs"/>
          <w:sz w:val="27"/>
          <w:szCs w:val="27"/>
          <w:rtl/>
        </w:rPr>
        <w:t>كما أنّ إصرار أئمّة أهل الب</w:t>
      </w:r>
      <w:r w:rsidRPr="00282AC9">
        <w:rPr>
          <w:rFonts w:cs="AL-Mohanad" w:hint="cs"/>
          <w:sz w:val="27"/>
          <w:szCs w:val="27"/>
          <w:rtl/>
        </w:rPr>
        <w:t>ي</w:t>
      </w:r>
      <w:r w:rsidRPr="00282AC9">
        <w:rPr>
          <w:rFonts w:ascii="Sakkal Majalla" w:hAnsi="Sakkal Majalla" w:cs="AL-Mohanad" w:hint="cs"/>
          <w:sz w:val="27"/>
          <w:szCs w:val="27"/>
          <w:rtl/>
        </w:rPr>
        <w:t>ت</w:t>
      </w:r>
      <w:r w:rsidR="00876ECA" w:rsidRPr="00282AC9">
        <w:rPr>
          <w:rFonts w:cs="Mosawi" w:hint="cs"/>
          <w:sz w:val="22"/>
          <w:szCs w:val="22"/>
          <w:rtl/>
        </w:rPr>
        <w:t>^</w:t>
      </w:r>
      <w:r w:rsidRPr="00282AC9">
        <w:rPr>
          <w:rFonts w:ascii="Sakkal Majalla" w:hAnsi="Sakkal Majalla" w:cs="AL-Mohanad" w:hint="cs"/>
          <w:sz w:val="27"/>
          <w:szCs w:val="27"/>
          <w:rtl/>
        </w:rPr>
        <w:t xml:space="preserve"> عل</w:t>
      </w:r>
      <w:r w:rsidRPr="00282AC9">
        <w:rPr>
          <w:rFonts w:cs="AL-Mohanad" w:hint="cs"/>
          <w:sz w:val="27"/>
          <w:szCs w:val="27"/>
          <w:rtl/>
        </w:rPr>
        <w:t>ى</w:t>
      </w:r>
      <w:r w:rsidRPr="00282AC9">
        <w:rPr>
          <w:rFonts w:ascii="Sakkal Majalla" w:hAnsi="Sakkal Majalla" w:cs="AL-Mohanad" w:hint="cs"/>
          <w:sz w:val="27"/>
          <w:szCs w:val="27"/>
          <w:rtl/>
        </w:rPr>
        <w:t xml:space="preserve"> صحّة جم</w:t>
      </w:r>
      <w:r w:rsidRPr="00282AC9">
        <w:rPr>
          <w:rFonts w:cs="AL-Mohanad" w:hint="cs"/>
          <w:sz w:val="27"/>
          <w:szCs w:val="27"/>
          <w:rtl/>
        </w:rPr>
        <w:t>ي</w:t>
      </w:r>
      <w:r w:rsidRPr="00282AC9">
        <w:rPr>
          <w:rFonts w:ascii="Sakkal Majalla" w:hAnsi="Sakkal Majalla" w:cs="AL-Mohanad" w:hint="cs"/>
          <w:sz w:val="27"/>
          <w:szCs w:val="27"/>
          <w:rtl/>
        </w:rPr>
        <w:t>ع ما في هذا القرآن، وأنّه من الله، نزل به عل</w:t>
      </w:r>
      <w:r w:rsidRPr="00282AC9">
        <w:rPr>
          <w:rFonts w:cs="AL-Mohanad" w:hint="cs"/>
          <w:sz w:val="27"/>
          <w:szCs w:val="27"/>
          <w:rtl/>
        </w:rPr>
        <w:t>ى</w:t>
      </w:r>
      <w:r w:rsidRPr="00282AC9">
        <w:rPr>
          <w:rFonts w:ascii="Sakkal Majalla" w:hAnsi="Sakkal Majalla" w:cs="AL-Mohanad" w:hint="cs"/>
          <w:sz w:val="27"/>
          <w:szCs w:val="27"/>
          <w:rtl/>
        </w:rPr>
        <w:t xml:space="preserve"> رسوله</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 xml:space="preserve">وحي </w:t>
      </w:r>
      <w:r w:rsidR="007F3B20" w:rsidRPr="00282AC9">
        <w:rPr>
          <w:rFonts w:ascii="Sakkal Majalla" w:hAnsi="Sakkal Majalla" w:cs="AL-Mohanad" w:hint="cs"/>
          <w:sz w:val="27"/>
          <w:szCs w:val="27"/>
          <w:rtl/>
        </w:rPr>
        <w:t>ب</w:t>
      </w:r>
      <w:r w:rsidRPr="00282AC9">
        <w:rPr>
          <w:rFonts w:ascii="Sakkal Majalla" w:hAnsi="Sakkal Majalla" w:cs="AL-Mohanad" w:hint="cs"/>
          <w:sz w:val="27"/>
          <w:szCs w:val="27"/>
          <w:rtl/>
        </w:rPr>
        <w:t>أنّ الترت</w:t>
      </w:r>
      <w:r w:rsidRPr="00282AC9">
        <w:rPr>
          <w:rFonts w:cs="AL-Mohanad" w:hint="cs"/>
          <w:sz w:val="27"/>
          <w:szCs w:val="27"/>
          <w:rtl/>
        </w:rPr>
        <w:t>ي</w:t>
      </w:r>
      <w:r w:rsidRPr="00282AC9">
        <w:rPr>
          <w:rFonts w:ascii="Sakkal Majalla" w:hAnsi="Sakkal Majalla" w:cs="AL-Mohanad" w:hint="cs"/>
          <w:sz w:val="27"/>
          <w:szCs w:val="27"/>
          <w:rtl/>
        </w:rPr>
        <w:t>ب الموجود في هذا القرآن من النبيّ الأكرم</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ولم </w:t>
      </w:r>
      <w:r w:rsidRPr="00282AC9">
        <w:rPr>
          <w:rFonts w:cs="AL-Mohanad" w:hint="cs"/>
          <w:sz w:val="27"/>
          <w:szCs w:val="27"/>
          <w:rtl/>
        </w:rPr>
        <w:t>ي</w:t>
      </w:r>
      <w:r w:rsidRPr="00282AC9">
        <w:rPr>
          <w:rFonts w:ascii="Sakkal Majalla" w:hAnsi="Sakkal Majalla" w:cs="AL-Mohanad" w:hint="cs"/>
          <w:sz w:val="27"/>
          <w:szCs w:val="27"/>
          <w:rtl/>
        </w:rPr>
        <w:t>تدخل ف</w:t>
      </w:r>
      <w:r w:rsidRPr="00282AC9">
        <w:rPr>
          <w:rFonts w:cs="AL-Mohanad" w:hint="cs"/>
          <w:sz w:val="27"/>
          <w:szCs w:val="27"/>
          <w:rtl/>
        </w:rPr>
        <w:t>ي</w:t>
      </w:r>
      <w:r w:rsidRPr="00282AC9">
        <w:rPr>
          <w:rFonts w:ascii="Sakkal Majalla" w:hAnsi="Sakkal Majalla" w:cs="AL-Mohanad" w:hint="cs"/>
          <w:sz w:val="27"/>
          <w:szCs w:val="27"/>
          <w:rtl/>
        </w:rPr>
        <w:t>ه أحدٌ وإلاّ لاختلَّ نظم الآ</w:t>
      </w:r>
      <w:r w:rsidRPr="00282AC9">
        <w:rPr>
          <w:rFonts w:cs="AL-Mohanad" w:hint="cs"/>
          <w:sz w:val="27"/>
          <w:szCs w:val="27"/>
          <w:rtl/>
        </w:rPr>
        <w:t>ي</w:t>
      </w:r>
      <w:r w:rsidRPr="00282AC9">
        <w:rPr>
          <w:rFonts w:ascii="Sakkal Majalla" w:hAnsi="Sakkal Majalla" w:cs="AL-Mohanad" w:hint="cs"/>
          <w:sz w:val="27"/>
          <w:szCs w:val="27"/>
          <w:rtl/>
        </w:rPr>
        <w:t xml:space="preserve">ات، وبه </w:t>
      </w:r>
      <w:r w:rsidRPr="00282AC9">
        <w:rPr>
          <w:rFonts w:cs="AL-Mohanad" w:hint="cs"/>
          <w:sz w:val="27"/>
          <w:szCs w:val="27"/>
          <w:rtl/>
        </w:rPr>
        <w:t>ي</w:t>
      </w:r>
      <w:r w:rsidRPr="00282AC9">
        <w:rPr>
          <w:rFonts w:ascii="Sakkal Majalla" w:hAnsi="Sakkal Majalla" w:cs="AL-Mohanad" w:hint="cs"/>
          <w:sz w:val="27"/>
          <w:szCs w:val="27"/>
          <w:rtl/>
        </w:rPr>
        <w:t>ختلّ الس</w:t>
      </w:r>
      <w:r w:rsidRPr="00282AC9">
        <w:rPr>
          <w:rFonts w:cs="AL-Mohanad" w:hint="cs"/>
          <w:sz w:val="27"/>
          <w:szCs w:val="27"/>
          <w:rtl/>
        </w:rPr>
        <w:t>ي</w:t>
      </w:r>
      <w:r w:rsidRPr="00282AC9">
        <w:rPr>
          <w:rFonts w:ascii="Sakkal Majalla" w:hAnsi="Sakkal Majalla" w:cs="AL-Mohanad" w:hint="cs"/>
          <w:sz w:val="27"/>
          <w:szCs w:val="27"/>
          <w:rtl/>
        </w:rPr>
        <w:t>اق القرآني، الذي دلّت عل</w:t>
      </w:r>
      <w:r w:rsidRPr="00282AC9">
        <w:rPr>
          <w:rFonts w:cs="AL-Mohanad" w:hint="cs"/>
          <w:sz w:val="27"/>
          <w:szCs w:val="27"/>
          <w:rtl/>
        </w:rPr>
        <w:t>ي</w:t>
      </w:r>
      <w:r w:rsidRPr="00282AC9">
        <w:rPr>
          <w:rFonts w:ascii="Sakkal Majalla" w:hAnsi="Sakkal Majalla" w:cs="AL-Mohanad" w:hint="cs"/>
          <w:sz w:val="27"/>
          <w:szCs w:val="27"/>
          <w:rtl/>
        </w:rPr>
        <w:t>ه الآ</w:t>
      </w:r>
      <w:r w:rsidRPr="00282AC9">
        <w:rPr>
          <w:rFonts w:cs="AL-Mohanad" w:hint="cs"/>
          <w:sz w:val="27"/>
          <w:szCs w:val="27"/>
          <w:rtl/>
        </w:rPr>
        <w:t>ي</w:t>
      </w:r>
      <w:r w:rsidRPr="00282AC9">
        <w:rPr>
          <w:rFonts w:ascii="Sakkal Majalla" w:hAnsi="Sakkal Majalla" w:cs="AL-Mohanad" w:hint="cs"/>
          <w:sz w:val="27"/>
          <w:szCs w:val="27"/>
          <w:rtl/>
        </w:rPr>
        <w:t>ات. وسنأتي بمز</w:t>
      </w:r>
      <w:r w:rsidRPr="00282AC9">
        <w:rPr>
          <w:rFonts w:cs="AL-Mohanad" w:hint="cs"/>
          <w:sz w:val="27"/>
          <w:szCs w:val="27"/>
          <w:rtl/>
        </w:rPr>
        <w:t>ي</w:t>
      </w:r>
      <w:r w:rsidRPr="00282AC9">
        <w:rPr>
          <w:rFonts w:ascii="Sakkal Majalla" w:hAnsi="Sakkal Majalla" w:cs="AL-Mohanad" w:hint="cs"/>
          <w:sz w:val="27"/>
          <w:szCs w:val="27"/>
          <w:rtl/>
        </w:rPr>
        <w:t>د توض</w:t>
      </w:r>
      <w:r w:rsidRPr="00282AC9">
        <w:rPr>
          <w:rFonts w:cs="AL-Mohanad" w:hint="cs"/>
          <w:sz w:val="27"/>
          <w:szCs w:val="27"/>
          <w:rtl/>
        </w:rPr>
        <w:t>ي</w:t>
      </w:r>
      <w:r w:rsidRPr="00282AC9">
        <w:rPr>
          <w:rFonts w:ascii="Sakkal Majalla" w:hAnsi="Sakkal Majalla" w:cs="AL-Mohanad" w:hint="cs"/>
          <w:sz w:val="27"/>
          <w:szCs w:val="27"/>
          <w:rtl/>
        </w:rPr>
        <w:t>حٍ لذلك في ذكر أدلّة توق</w:t>
      </w:r>
      <w:r w:rsidRPr="00282AC9">
        <w:rPr>
          <w:rFonts w:cs="AL-Mohanad" w:hint="cs"/>
          <w:sz w:val="27"/>
          <w:szCs w:val="27"/>
          <w:rtl/>
        </w:rPr>
        <w:t>ي</w:t>
      </w:r>
      <w:r w:rsidRPr="00282AC9">
        <w:rPr>
          <w:rFonts w:ascii="Sakkal Majalla" w:hAnsi="Sakkal Majalla" w:cs="AL-Mohanad" w:hint="cs"/>
          <w:sz w:val="27"/>
          <w:szCs w:val="27"/>
          <w:rtl/>
        </w:rPr>
        <w:t>ف</w:t>
      </w:r>
      <w:r w:rsidRPr="00282AC9">
        <w:rPr>
          <w:rFonts w:cs="AL-Mohanad" w:hint="cs"/>
          <w:sz w:val="27"/>
          <w:szCs w:val="27"/>
          <w:rtl/>
        </w:rPr>
        <w:t>ي</w:t>
      </w:r>
      <w:r w:rsidRPr="00282AC9">
        <w:rPr>
          <w:rFonts w:ascii="Sakkal Majalla" w:hAnsi="Sakkal Majalla" w:cs="AL-Mohanad" w:hint="cs"/>
          <w:sz w:val="27"/>
          <w:szCs w:val="27"/>
          <w:rtl/>
        </w:rPr>
        <w:t>ة ترت</w:t>
      </w:r>
      <w:r w:rsidRPr="00282AC9">
        <w:rPr>
          <w:rFonts w:cs="AL-Mohanad" w:hint="cs"/>
          <w:sz w:val="27"/>
          <w:szCs w:val="27"/>
          <w:rtl/>
        </w:rPr>
        <w:t>ي</w:t>
      </w:r>
      <w:r w:rsidRPr="00282AC9">
        <w:rPr>
          <w:rFonts w:ascii="Sakkal Majalla" w:hAnsi="Sakkal Majalla" w:cs="AL-Mohanad" w:hint="cs"/>
          <w:sz w:val="27"/>
          <w:szCs w:val="27"/>
          <w:rtl/>
        </w:rPr>
        <w:t>ب الآ</w:t>
      </w:r>
      <w:r w:rsidRPr="00282AC9">
        <w:rPr>
          <w:rFonts w:cs="AL-Mohanad" w:hint="cs"/>
          <w:sz w:val="27"/>
          <w:szCs w:val="27"/>
          <w:rtl/>
        </w:rPr>
        <w:t>ي</w:t>
      </w:r>
      <w:r w:rsidRPr="00282AC9">
        <w:rPr>
          <w:rFonts w:ascii="Sakkal Majalla" w:hAnsi="Sakkal Majalla" w:cs="AL-Mohanad" w:hint="cs"/>
          <w:sz w:val="27"/>
          <w:szCs w:val="27"/>
          <w:rtl/>
        </w:rPr>
        <w:t xml:space="preserve">ات. </w:t>
      </w:r>
    </w:p>
    <w:p w:rsidR="00760D07" w:rsidRPr="00282AC9" w:rsidRDefault="00760D07" w:rsidP="001D1A88">
      <w:pPr>
        <w:pStyle w:val="afc"/>
        <w:rPr>
          <w:rFonts w:ascii="Sakkal Majalla" w:hAnsi="Sakkal Majalla" w:cs="AL-Mohanad"/>
          <w:sz w:val="27"/>
          <w:szCs w:val="27"/>
          <w:rtl/>
        </w:rPr>
      </w:pPr>
      <w:r w:rsidRPr="00282AC9">
        <w:rPr>
          <w:rFonts w:ascii="Sakkal Majalla" w:hAnsi="Sakkal Majalla" w:cs="AL-Mohanad" w:hint="cs"/>
          <w:b/>
          <w:bCs/>
          <w:sz w:val="27"/>
          <w:szCs w:val="27"/>
          <w:rtl/>
        </w:rPr>
        <w:t>ثان</w:t>
      </w:r>
      <w:r w:rsidRPr="00282AC9">
        <w:rPr>
          <w:rFonts w:cs="AL-Mohanad" w:hint="cs"/>
          <w:b/>
          <w:bCs/>
          <w:sz w:val="27"/>
          <w:szCs w:val="27"/>
          <w:rtl/>
        </w:rPr>
        <w:t>ي</w:t>
      </w:r>
      <w:r w:rsidRPr="00282AC9">
        <w:rPr>
          <w:rFonts w:ascii="Sakkal Majalla" w:hAnsi="Sakkal Majalla" w:cs="AL-Mohanad" w:hint="cs"/>
          <w:b/>
          <w:bCs/>
          <w:sz w:val="27"/>
          <w:szCs w:val="27"/>
          <w:rtl/>
        </w:rPr>
        <w:t>اً:</w:t>
      </w:r>
      <w:r w:rsidRPr="00282AC9">
        <w:rPr>
          <w:rFonts w:ascii="Sakkal Majalla" w:hAnsi="Sakkal Majalla" w:cs="AL-Mohanad" w:hint="cs"/>
          <w:sz w:val="27"/>
          <w:szCs w:val="27"/>
          <w:rtl/>
        </w:rPr>
        <w:t xml:space="preserve"> ورد عن ابن عبّاس أنّه قال: كان القرآن </w:t>
      </w:r>
      <w:r w:rsidRPr="00282AC9">
        <w:rPr>
          <w:rFonts w:cs="AL-Mohanad" w:hint="cs"/>
          <w:sz w:val="27"/>
          <w:szCs w:val="27"/>
          <w:rtl/>
        </w:rPr>
        <w:t>ي</w:t>
      </w:r>
      <w:r w:rsidRPr="00282AC9">
        <w:rPr>
          <w:rFonts w:ascii="Sakkal Majalla" w:hAnsi="Sakkal Majalla" w:cs="AL-Mohanad" w:hint="cs"/>
          <w:sz w:val="27"/>
          <w:szCs w:val="27"/>
          <w:rtl/>
        </w:rPr>
        <w:t>نزل مفرَّقاً، لا</w:t>
      </w:r>
      <w:r w:rsidRPr="00282AC9">
        <w:rPr>
          <w:rFonts w:cs="AL-Mohanad" w:hint="cs"/>
          <w:sz w:val="27"/>
          <w:szCs w:val="27"/>
          <w:rtl/>
        </w:rPr>
        <w:t xml:space="preserve"> ي</w:t>
      </w:r>
      <w:r w:rsidRPr="00282AC9">
        <w:rPr>
          <w:rFonts w:ascii="Sakkal Majalla" w:hAnsi="Sakkal Majalla" w:cs="AL-Mohanad" w:hint="cs"/>
          <w:sz w:val="27"/>
          <w:szCs w:val="27"/>
          <w:rtl/>
        </w:rPr>
        <w:t>نزل سورة سورة. فما نزل أوّلها بمكّة أثبتناها بمكّة، وإنْ كان تمامها بالمد</w:t>
      </w:r>
      <w:r w:rsidRPr="00282AC9">
        <w:rPr>
          <w:rFonts w:cs="AL-Mohanad" w:hint="cs"/>
          <w:sz w:val="27"/>
          <w:szCs w:val="27"/>
          <w:rtl/>
        </w:rPr>
        <w:t>ي</w:t>
      </w:r>
      <w:r w:rsidRPr="00282AC9">
        <w:rPr>
          <w:rFonts w:ascii="Sakkal Majalla" w:hAnsi="Sakkal Majalla" w:cs="AL-Mohanad" w:hint="cs"/>
          <w:sz w:val="27"/>
          <w:szCs w:val="27"/>
          <w:rtl/>
        </w:rPr>
        <w:t>نة؛ وكذلك ما نزل بالمد</w:t>
      </w:r>
      <w:r w:rsidRPr="00282AC9">
        <w:rPr>
          <w:rFonts w:cs="AL-Mohanad" w:hint="cs"/>
          <w:sz w:val="27"/>
          <w:szCs w:val="27"/>
          <w:rtl/>
        </w:rPr>
        <w:t>ي</w:t>
      </w:r>
      <w:r w:rsidRPr="00282AC9">
        <w:rPr>
          <w:rFonts w:ascii="Sakkal Majalla" w:hAnsi="Sakkal Majalla" w:cs="AL-Mohanad" w:hint="cs"/>
          <w:sz w:val="27"/>
          <w:szCs w:val="27"/>
          <w:rtl/>
        </w:rPr>
        <w:t xml:space="preserve">نة؛ وأنّه كان </w:t>
      </w:r>
      <w:r w:rsidRPr="00282AC9">
        <w:rPr>
          <w:rFonts w:cs="AL-Mohanad" w:hint="cs"/>
          <w:sz w:val="27"/>
          <w:szCs w:val="27"/>
          <w:rtl/>
        </w:rPr>
        <w:t>ي</w:t>
      </w:r>
      <w:r w:rsidRPr="00282AC9">
        <w:rPr>
          <w:rFonts w:ascii="Sakkal Majalla" w:hAnsi="Sakkal Majalla" w:cs="AL-Mohanad" w:hint="cs"/>
          <w:sz w:val="27"/>
          <w:szCs w:val="27"/>
          <w:rtl/>
        </w:rPr>
        <w:t>عرف فصل ما ب</w:t>
      </w:r>
      <w:r w:rsidRPr="00282AC9">
        <w:rPr>
          <w:rFonts w:cs="AL-Mohanad" w:hint="cs"/>
          <w:sz w:val="27"/>
          <w:szCs w:val="27"/>
          <w:rtl/>
        </w:rPr>
        <w:t>ي</w:t>
      </w:r>
      <w:r w:rsidRPr="00282AC9">
        <w:rPr>
          <w:rFonts w:ascii="Sakkal Majalla" w:hAnsi="Sakkal Majalla" w:cs="AL-Mohanad" w:hint="cs"/>
          <w:sz w:val="27"/>
          <w:szCs w:val="27"/>
          <w:rtl/>
        </w:rPr>
        <w:t xml:space="preserve">ن السورة والسورة إذا نزل بسم الله الرحمان </w:t>
      </w:r>
      <w:r w:rsidRPr="00282AC9">
        <w:rPr>
          <w:rFonts w:ascii="Sakkal Majalla" w:hAnsi="Sakkal Majalla" w:cs="AL-Mohanad" w:hint="cs"/>
          <w:sz w:val="27"/>
          <w:szCs w:val="27"/>
          <w:rtl/>
        </w:rPr>
        <w:lastRenderedPageBreak/>
        <w:t>الرح</w:t>
      </w:r>
      <w:r w:rsidRPr="00282AC9">
        <w:rPr>
          <w:rFonts w:cs="AL-Mohanad" w:hint="cs"/>
          <w:sz w:val="27"/>
          <w:szCs w:val="27"/>
          <w:rtl/>
        </w:rPr>
        <w:t>ي</w:t>
      </w:r>
      <w:r w:rsidRPr="00282AC9">
        <w:rPr>
          <w:rFonts w:ascii="Sakkal Majalla" w:hAnsi="Sakkal Majalla" w:cs="AL-Mohanad" w:hint="cs"/>
          <w:sz w:val="27"/>
          <w:szCs w:val="27"/>
          <w:rtl/>
        </w:rPr>
        <w:t>م، ف</w:t>
      </w:r>
      <w:r w:rsidRPr="00282AC9">
        <w:rPr>
          <w:rFonts w:cs="AL-Mohanad" w:hint="cs"/>
          <w:sz w:val="27"/>
          <w:szCs w:val="27"/>
          <w:rtl/>
        </w:rPr>
        <w:t>ي</w:t>
      </w:r>
      <w:r w:rsidRPr="00282AC9">
        <w:rPr>
          <w:rFonts w:ascii="Sakkal Majalla" w:hAnsi="Sakkal Majalla" w:cs="AL-Mohanad" w:hint="cs"/>
          <w:sz w:val="27"/>
          <w:szCs w:val="27"/>
          <w:rtl/>
        </w:rPr>
        <w:t>علمون أنّ الأولى قد انقضت، وابتد</w:t>
      </w:r>
      <w:r w:rsidRPr="00282AC9">
        <w:rPr>
          <w:rFonts w:cs="AL-Mohanad" w:hint="cs"/>
          <w:sz w:val="27"/>
          <w:szCs w:val="27"/>
          <w:rtl/>
        </w:rPr>
        <w:t>أت</w:t>
      </w:r>
      <w:r w:rsidRPr="00282AC9">
        <w:rPr>
          <w:rFonts w:ascii="Sakkal Majalla" w:hAnsi="Sakkal Majalla" w:cs="AL-Mohanad" w:hint="cs"/>
          <w:sz w:val="27"/>
          <w:szCs w:val="27"/>
          <w:rtl/>
        </w:rPr>
        <w:t xml:space="preserve"> سورةٌ أخر</w:t>
      </w:r>
      <w:r w:rsidRPr="00282AC9">
        <w:rPr>
          <w:rFonts w:cs="AL-Mohanad" w:hint="cs"/>
          <w:sz w:val="27"/>
          <w:szCs w:val="27"/>
          <w:rtl/>
        </w:rPr>
        <w:t>ى</w:t>
      </w:r>
      <w:r w:rsidRPr="00282AC9">
        <w:rPr>
          <w:rFonts w:cs="AL-Mohanad"/>
          <w:sz w:val="27"/>
          <w:szCs w:val="27"/>
          <w:vertAlign w:val="superscript"/>
          <w:rtl/>
        </w:rPr>
        <w:t>(</w:t>
      </w:r>
      <w:r w:rsidRPr="00282AC9">
        <w:rPr>
          <w:rStyle w:val="af9"/>
          <w:rFonts w:ascii="Sakkal Majalla" w:hAnsi="Sakkal Majalla" w:cs="AL-Mohanad"/>
          <w:sz w:val="27"/>
          <w:szCs w:val="27"/>
          <w:rtl/>
        </w:rPr>
        <w:endnoteReference w:id="877"/>
      </w:r>
      <w:r w:rsidRPr="00282AC9">
        <w:rPr>
          <w:rFonts w:cs="AL-Mohanad"/>
          <w:sz w:val="27"/>
          <w:szCs w:val="27"/>
          <w:vertAlign w:val="superscript"/>
          <w:rtl/>
        </w:rPr>
        <w:t>)</w:t>
      </w:r>
      <w:r w:rsidRPr="00282AC9">
        <w:rPr>
          <w:rFonts w:ascii="Sakkal Majalla" w:hAnsi="Sakkal Majalla" w:cs="AL-Mohanad" w:hint="cs"/>
          <w:sz w:val="27"/>
          <w:szCs w:val="27"/>
          <w:rtl/>
        </w:rPr>
        <w:t xml:space="preserve">. </w:t>
      </w:r>
    </w:p>
    <w:p w:rsidR="00760D07" w:rsidRPr="00282AC9" w:rsidRDefault="00760D07" w:rsidP="001D1A88">
      <w:pPr>
        <w:pStyle w:val="afc"/>
        <w:rPr>
          <w:rFonts w:ascii="Sakkal Majalla" w:hAnsi="Sakkal Majalla" w:cs="AL-Mohanad"/>
          <w:sz w:val="27"/>
          <w:szCs w:val="27"/>
          <w:rtl/>
        </w:rPr>
      </w:pPr>
      <w:r w:rsidRPr="00282AC9">
        <w:rPr>
          <w:rFonts w:cs="AL-Mohanad" w:hint="cs"/>
          <w:sz w:val="27"/>
          <w:szCs w:val="27"/>
          <w:rtl/>
        </w:rPr>
        <w:t>ي</w:t>
      </w:r>
      <w:r w:rsidRPr="00282AC9">
        <w:rPr>
          <w:rFonts w:ascii="Sakkal Majalla" w:hAnsi="Sakkal Majalla" w:cs="AL-Mohanad" w:hint="cs"/>
          <w:sz w:val="27"/>
          <w:szCs w:val="27"/>
          <w:rtl/>
        </w:rPr>
        <w:t>ظهر من هذه الروا</w:t>
      </w:r>
      <w:r w:rsidRPr="00282AC9">
        <w:rPr>
          <w:rFonts w:cs="AL-Mohanad" w:hint="cs"/>
          <w:sz w:val="27"/>
          <w:szCs w:val="27"/>
          <w:rtl/>
        </w:rPr>
        <w:t>ي</w:t>
      </w:r>
      <w:r w:rsidRPr="00282AC9">
        <w:rPr>
          <w:rFonts w:ascii="Sakkal Majalla" w:hAnsi="Sakkal Majalla" w:cs="AL-Mohanad" w:hint="cs"/>
          <w:sz w:val="27"/>
          <w:szCs w:val="27"/>
          <w:rtl/>
        </w:rPr>
        <w:t xml:space="preserve">ة أنّه لا </w:t>
      </w:r>
      <w:r w:rsidRPr="00282AC9">
        <w:rPr>
          <w:rFonts w:cs="AL-Mohanad" w:hint="cs"/>
          <w:sz w:val="27"/>
          <w:szCs w:val="27"/>
          <w:rtl/>
        </w:rPr>
        <w:t>ي</w:t>
      </w:r>
      <w:r w:rsidRPr="00282AC9">
        <w:rPr>
          <w:rFonts w:ascii="Sakkal Majalla" w:hAnsi="Sakkal Majalla" w:cs="AL-Mohanad" w:hint="cs"/>
          <w:sz w:val="27"/>
          <w:szCs w:val="27"/>
          <w:rtl/>
        </w:rPr>
        <w:t>شترط في تسم</w:t>
      </w:r>
      <w:r w:rsidRPr="00282AC9">
        <w:rPr>
          <w:rFonts w:cs="AL-Mohanad" w:hint="cs"/>
          <w:sz w:val="27"/>
          <w:szCs w:val="27"/>
          <w:rtl/>
        </w:rPr>
        <w:t>ي</w:t>
      </w:r>
      <w:r w:rsidRPr="00282AC9">
        <w:rPr>
          <w:rFonts w:ascii="Sakkal Majalla" w:hAnsi="Sakkal Majalla" w:cs="AL-Mohanad" w:hint="cs"/>
          <w:sz w:val="27"/>
          <w:szCs w:val="27"/>
          <w:rtl/>
        </w:rPr>
        <w:t>ة السور بالمكّ</w:t>
      </w:r>
      <w:r w:rsidRPr="00282AC9">
        <w:rPr>
          <w:rFonts w:cs="AL-Mohanad" w:hint="cs"/>
          <w:sz w:val="27"/>
          <w:szCs w:val="27"/>
          <w:rtl/>
        </w:rPr>
        <w:t>ي</w:t>
      </w:r>
      <w:r w:rsidRPr="00282AC9">
        <w:rPr>
          <w:rFonts w:ascii="Sakkal Majalla" w:hAnsi="Sakkal Majalla" w:cs="AL-Mohanad" w:hint="cs"/>
          <w:sz w:val="27"/>
          <w:szCs w:val="27"/>
          <w:rtl/>
        </w:rPr>
        <w:t>ة أن تكون جم</w:t>
      </w:r>
      <w:r w:rsidRPr="00282AC9">
        <w:rPr>
          <w:rFonts w:cs="AL-Mohanad" w:hint="cs"/>
          <w:sz w:val="27"/>
          <w:szCs w:val="27"/>
          <w:rtl/>
        </w:rPr>
        <w:t>ي</w:t>
      </w:r>
      <w:r w:rsidRPr="00282AC9">
        <w:rPr>
          <w:rFonts w:ascii="Sakkal Majalla" w:hAnsi="Sakkal Majalla" w:cs="AL-Mohanad" w:hint="cs"/>
          <w:sz w:val="27"/>
          <w:szCs w:val="27"/>
          <w:rtl/>
        </w:rPr>
        <w:t>ع آ</w:t>
      </w:r>
      <w:r w:rsidRPr="00282AC9">
        <w:rPr>
          <w:rFonts w:cs="AL-Mohanad" w:hint="cs"/>
          <w:sz w:val="27"/>
          <w:szCs w:val="27"/>
          <w:rtl/>
        </w:rPr>
        <w:t>ي</w:t>
      </w:r>
      <w:r w:rsidRPr="00282AC9">
        <w:rPr>
          <w:rFonts w:ascii="Sakkal Majalla" w:hAnsi="Sakkal Majalla" w:cs="AL-Mohanad" w:hint="cs"/>
          <w:sz w:val="27"/>
          <w:szCs w:val="27"/>
          <w:rtl/>
        </w:rPr>
        <w:t>ات السورة أو أكثرها مكّ</w:t>
      </w:r>
      <w:r w:rsidRPr="00282AC9">
        <w:rPr>
          <w:rFonts w:cs="AL-Mohanad" w:hint="cs"/>
          <w:sz w:val="27"/>
          <w:szCs w:val="27"/>
          <w:rtl/>
        </w:rPr>
        <w:t>ي</w:t>
      </w:r>
      <w:r w:rsidRPr="00282AC9">
        <w:rPr>
          <w:rFonts w:ascii="Sakkal Majalla" w:hAnsi="Sakkal Majalla" w:cs="AL-Mohanad" w:hint="cs"/>
          <w:sz w:val="27"/>
          <w:szCs w:val="27"/>
          <w:rtl/>
        </w:rPr>
        <w:t xml:space="preserve">ة، كما لا </w:t>
      </w:r>
      <w:r w:rsidRPr="00282AC9">
        <w:rPr>
          <w:rFonts w:cs="AL-Mohanad" w:hint="cs"/>
          <w:sz w:val="27"/>
          <w:szCs w:val="27"/>
          <w:rtl/>
        </w:rPr>
        <w:t>ي</w:t>
      </w:r>
      <w:r w:rsidRPr="00282AC9">
        <w:rPr>
          <w:rFonts w:ascii="Sakkal Majalla" w:hAnsi="Sakkal Majalla" w:cs="AL-Mohanad" w:hint="cs"/>
          <w:sz w:val="27"/>
          <w:szCs w:val="27"/>
          <w:rtl/>
        </w:rPr>
        <w:t>شترط أن تكون جم</w:t>
      </w:r>
      <w:r w:rsidRPr="00282AC9">
        <w:rPr>
          <w:rFonts w:cs="AL-Mohanad" w:hint="cs"/>
          <w:sz w:val="27"/>
          <w:szCs w:val="27"/>
          <w:rtl/>
        </w:rPr>
        <w:t>ي</w:t>
      </w:r>
      <w:r w:rsidRPr="00282AC9">
        <w:rPr>
          <w:rFonts w:ascii="Sakkal Majalla" w:hAnsi="Sakkal Majalla" w:cs="AL-Mohanad" w:hint="cs"/>
          <w:sz w:val="27"/>
          <w:szCs w:val="27"/>
          <w:rtl/>
        </w:rPr>
        <w:t>ع أو أغلب آ</w:t>
      </w:r>
      <w:r w:rsidRPr="00282AC9">
        <w:rPr>
          <w:rFonts w:cs="AL-Mohanad" w:hint="cs"/>
          <w:sz w:val="27"/>
          <w:szCs w:val="27"/>
          <w:rtl/>
        </w:rPr>
        <w:t>ي</w:t>
      </w:r>
      <w:r w:rsidRPr="00282AC9">
        <w:rPr>
          <w:rFonts w:ascii="Sakkal Majalla" w:hAnsi="Sakkal Majalla" w:cs="AL-Mohanad" w:hint="cs"/>
          <w:sz w:val="27"/>
          <w:szCs w:val="27"/>
          <w:rtl/>
        </w:rPr>
        <w:t>ات السورة مدن</w:t>
      </w:r>
      <w:r w:rsidRPr="00282AC9">
        <w:rPr>
          <w:rFonts w:cs="AL-Mohanad" w:hint="cs"/>
          <w:sz w:val="27"/>
          <w:szCs w:val="27"/>
          <w:rtl/>
        </w:rPr>
        <w:t>ي</w:t>
      </w:r>
      <w:r w:rsidRPr="00282AC9">
        <w:rPr>
          <w:rFonts w:ascii="Sakkal Majalla" w:hAnsi="Sakkal Majalla" w:cs="AL-Mohanad" w:hint="cs"/>
          <w:sz w:val="27"/>
          <w:szCs w:val="27"/>
          <w:rtl/>
        </w:rPr>
        <w:t xml:space="preserve">ة حتّى </w:t>
      </w:r>
      <w:r w:rsidRPr="00282AC9">
        <w:rPr>
          <w:rFonts w:cs="AL-Mohanad" w:hint="cs"/>
          <w:sz w:val="27"/>
          <w:szCs w:val="27"/>
          <w:rtl/>
        </w:rPr>
        <w:t>ي</w:t>
      </w:r>
      <w:r w:rsidRPr="00282AC9">
        <w:rPr>
          <w:rFonts w:ascii="Sakkal Majalla" w:hAnsi="Sakkal Majalla" w:cs="AL-Mohanad" w:hint="cs"/>
          <w:sz w:val="27"/>
          <w:szCs w:val="27"/>
          <w:rtl/>
        </w:rPr>
        <w:t>قال لها: سورة مدن</w:t>
      </w:r>
      <w:r w:rsidRPr="00282AC9">
        <w:rPr>
          <w:rFonts w:cs="AL-Mohanad" w:hint="cs"/>
          <w:sz w:val="27"/>
          <w:szCs w:val="27"/>
          <w:rtl/>
        </w:rPr>
        <w:t>ي</w:t>
      </w:r>
      <w:r w:rsidRPr="00282AC9">
        <w:rPr>
          <w:rFonts w:ascii="Sakkal Majalla" w:hAnsi="Sakkal Majalla" w:cs="AL-Mohanad" w:hint="cs"/>
          <w:sz w:val="27"/>
          <w:szCs w:val="27"/>
          <w:rtl/>
        </w:rPr>
        <w:t xml:space="preserve">ة، بل </w:t>
      </w:r>
      <w:r w:rsidRPr="00282AC9">
        <w:rPr>
          <w:rFonts w:cs="AL-Mohanad" w:hint="cs"/>
          <w:sz w:val="27"/>
          <w:szCs w:val="27"/>
          <w:rtl/>
        </w:rPr>
        <w:t>ي</w:t>
      </w:r>
      <w:r w:rsidRPr="00282AC9">
        <w:rPr>
          <w:rFonts w:ascii="Sakkal Majalla" w:hAnsi="Sakkal Majalla" w:cs="AL-Mohanad" w:hint="cs"/>
          <w:sz w:val="27"/>
          <w:szCs w:val="27"/>
          <w:rtl/>
        </w:rPr>
        <w:t>نظر إلى الآ</w:t>
      </w:r>
      <w:r w:rsidRPr="00282AC9">
        <w:rPr>
          <w:rFonts w:cs="AL-Mohanad" w:hint="cs"/>
          <w:sz w:val="27"/>
          <w:szCs w:val="27"/>
          <w:rtl/>
        </w:rPr>
        <w:t>ي</w:t>
      </w:r>
      <w:r w:rsidRPr="00282AC9">
        <w:rPr>
          <w:rFonts w:ascii="Sakkal Majalla" w:hAnsi="Sakkal Majalla" w:cs="AL-Mohanad" w:hint="cs"/>
          <w:sz w:val="27"/>
          <w:szCs w:val="27"/>
          <w:rtl/>
        </w:rPr>
        <w:t>ات الأول</w:t>
      </w:r>
      <w:r w:rsidRPr="00282AC9">
        <w:rPr>
          <w:rFonts w:cs="AL-Mohanad" w:hint="cs"/>
          <w:sz w:val="27"/>
          <w:szCs w:val="27"/>
          <w:rtl/>
        </w:rPr>
        <w:t>ى</w:t>
      </w:r>
      <w:r w:rsidRPr="00282AC9">
        <w:rPr>
          <w:rFonts w:ascii="Sakkal Majalla" w:hAnsi="Sakkal Majalla" w:cs="AL-Mohanad" w:hint="cs"/>
          <w:sz w:val="27"/>
          <w:szCs w:val="27"/>
          <w:rtl/>
        </w:rPr>
        <w:t xml:space="preserve"> من تلك السورة، فإذا كانت تلك الآ</w:t>
      </w:r>
      <w:r w:rsidRPr="00282AC9">
        <w:rPr>
          <w:rFonts w:cs="AL-Mohanad" w:hint="cs"/>
          <w:sz w:val="27"/>
          <w:szCs w:val="27"/>
          <w:rtl/>
        </w:rPr>
        <w:t>ي</w:t>
      </w:r>
      <w:r w:rsidRPr="00282AC9">
        <w:rPr>
          <w:rFonts w:ascii="Sakkal Majalla" w:hAnsi="Sakkal Majalla" w:cs="AL-Mohanad" w:hint="cs"/>
          <w:sz w:val="27"/>
          <w:szCs w:val="27"/>
          <w:rtl/>
        </w:rPr>
        <w:t>ات نازلة في مكّة تسمّى السورة مكّ</w:t>
      </w:r>
      <w:r w:rsidRPr="00282AC9">
        <w:rPr>
          <w:rFonts w:cs="AL-Mohanad" w:hint="cs"/>
          <w:sz w:val="27"/>
          <w:szCs w:val="27"/>
          <w:rtl/>
        </w:rPr>
        <w:t>ي</w:t>
      </w:r>
      <w:r w:rsidRPr="00282AC9">
        <w:rPr>
          <w:rFonts w:ascii="Sakkal Majalla" w:hAnsi="Sakkal Majalla" w:cs="AL-Mohanad" w:hint="cs"/>
          <w:sz w:val="27"/>
          <w:szCs w:val="27"/>
          <w:rtl/>
        </w:rPr>
        <w:t>ة، وإن نزلت سائر آ</w:t>
      </w:r>
      <w:r w:rsidRPr="00282AC9">
        <w:rPr>
          <w:rFonts w:cs="AL-Mohanad" w:hint="cs"/>
          <w:sz w:val="27"/>
          <w:szCs w:val="27"/>
          <w:rtl/>
        </w:rPr>
        <w:t>ي</w:t>
      </w:r>
      <w:r w:rsidRPr="00282AC9">
        <w:rPr>
          <w:rFonts w:ascii="Sakkal Majalla" w:hAnsi="Sakkal Majalla" w:cs="AL-Mohanad" w:hint="cs"/>
          <w:sz w:val="27"/>
          <w:szCs w:val="27"/>
          <w:rtl/>
        </w:rPr>
        <w:t>اتها في المد</w:t>
      </w:r>
      <w:r w:rsidRPr="00282AC9">
        <w:rPr>
          <w:rFonts w:cs="AL-Mohanad" w:hint="cs"/>
          <w:sz w:val="27"/>
          <w:szCs w:val="27"/>
          <w:rtl/>
        </w:rPr>
        <w:t>ي</w:t>
      </w:r>
      <w:r w:rsidRPr="00282AC9">
        <w:rPr>
          <w:rFonts w:ascii="Sakkal Majalla" w:hAnsi="Sakkal Majalla" w:cs="AL-Mohanad" w:hint="cs"/>
          <w:sz w:val="27"/>
          <w:szCs w:val="27"/>
          <w:rtl/>
        </w:rPr>
        <w:t>نة؛ وهكذا بالنسبة إلى السور المدن</w:t>
      </w:r>
      <w:r w:rsidRPr="00282AC9">
        <w:rPr>
          <w:rFonts w:cs="AL-Mohanad" w:hint="cs"/>
          <w:sz w:val="27"/>
          <w:szCs w:val="27"/>
          <w:rtl/>
        </w:rPr>
        <w:t>ي</w:t>
      </w:r>
      <w:r w:rsidRPr="00282AC9">
        <w:rPr>
          <w:rFonts w:ascii="Sakkal Majalla" w:hAnsi="Sakkal Majalla" w:cs="AL-Mohanad" w:hint="cs"/>
          <w:sz w:val="27"/>
          <w:szCs w:val="27"/>
          <w:rtl/>
        </w:rPr>
        <w:t xml:space="preserve">ة، فإنّه </w:t>
      </w:r>
      <w:r w:rsidRPr="00282AC9">
        <w:rPr>
          <w:rFonts w:cs="AL-Mohanad" w:hint="cs"/>
          <w:sz w:val="27"/>
          <w:szCs w:val="27"/>
          <w:rtl/>
        </w:rPr>
        <w:t>ي</w:t>
      </w:r>
      <w:r w:rsidRPr="00282AC9">
        <w:rPr>
          <w:rFonts w:ascii="Sakkal Majalla" w:hAnsi="Sakkal Majalla" w:cs="AL-Mohanad" w:hint="cs"/>
          <w:sz w:val="27"/>
          <w:szCs w:val="27"/>
          <w:rtl/>
        </w:rPr>
        <w:t>كفي في تسم</w:t>
      </w:r>
      <w:r w:rsidRPr="00282AC9">
        <w:rPr>
          <w:rFonts w:cs="AL-Mohanad" w:hint="cs"/>
          <w:sz w:val="27"/>
          <w:szCs w:val="27"/>
          <w:rtl/>
        </w:rPr>
        <w:t>ي</w:t>
      </w:r>
      <w:r w:rsidRPr="00282AC9">
        <w:rPr>
          <w:rFonts w:ascii="Sakkal Majalla" w:hAnsi="Sakkal Majalla" w:cs="AL-Mohanad" w:hint="cs"/>
          <w:sz w:val="27"/>
          <w:szCs w:val="27"/>
          <w:rtl/>
        </w:rPr>
        <w:t>تها بالمدن</w:t>
      </w:r>
      <w:r w:rsidRPr="00282AC9">
        <w:rPr>
          <w:rFonts w:cs="AL-Mohanad" w:hint="cs"/>
          <w:sz w:val="27"/>
          <w:szCs w:val="27"/>
          <w:rtl/>
        </w:rPr>
        <w:t>ي</w:t>
      </w:r>
      <w:r w:rsidRPr="00282AC9">
        <w:rPr>
          <w:rFonts w:ascii="Sakkal Majalla" w:hAnsi="Sakkal Majalla" w:cs="AL-Mohanad" w:hint="cs"/>
          <w:sz w:val="27"/>
          <w:szCs w:val="27"/>
          <w:rtl/>
        </w:rPr>
        <w:t>ة أن تكون آ</w:t>
      </w:r>
      <w:r w:rsidRPr="00282AC9">
        <w:rPr>
          <w:rFonts w:cs="AL-Mohanad" w:hint="cs"/>
          <w:sz w:val="27"/>
          <w:szCs w:val="27"/>
          <w:rtl/>
        </w:rPr>
        <w:t>ي</w:t>
      </w:r>
      <w:r w:rsidRPr="00282AC9">
        <w:rPr>
          <w:rFonts w:ascii="Sakkal Majalla" w:hAnsi="Sakkal Majalla" w:cs="AL-Mohanad" w:hint="cs"/>
          <w:sz w:val="27"/>
          <w:szCs w:val="27"/>
          <w:rtl/>
        </w:rPr>
        <w:t>اتها الأول</w:t>
      </w:r>
      <w:r w:rsidRPr="00282AC9">
        <w:rPr>
          <w:rFonts w:cs="AL-Mohanad" w:hint="cs"/>
          <w:sz w:val="27"/>
          <w:szCs w:val="27"/>
          <w:rtl/>
        </w:rPr>
        <w:t>ى</w:t>
      </w:r>
      <w:r w:rsidRPr="00282AC9">
        <w:rPr>
          <w:rFonts w:ascii="Sakkal Majalla" w:hAnsi="Sakkal Majalla" w:cs="AL-Mohanad" w:hint="cs"/>
          <w:sz w:val="27"/>
          <w:szCs w:val="27"/>
          <w:rtl/>
        </w:rPr>
        <w:t xml:space="preserve"> نازلةً في المد</w:t>
      </w:r>
      <w:r w:rsidRPr="00282AC9">
        <w:rPr>
          <w:rFonts w:cs="AL-Mohanad" w:hint="cs"/>
          <w:sz w:val="27"/>
          <w:szCs w:val="27"/>
          <w:rtl/>
        </w:rPr>
        <w:t>ي</w:t>
      </w:r>
      <w:r w:rsidRPr="00282AC9">
        <w:rPr>
          <w:rFonts w:ascii="Sakkal Majalla" w:hAnsi="Sakkal Majalla" w:cs="AL-Mohanad" w:hint="cs"/>
          <w:sz w:val="27"/>
          <w:szCs w:val="27"/>
          <w:rtl/>
        </w:rPr>
        <w:t>نة.</w:t>
      </w:r>
    </w:p>
    <w:p w:rsidR="00760D07" w:rsidRPr="00282AC9" w:rsidRDefault="00760D07" w:rsidP="001D1A88">
      <w:pPr>
        <w:pStyle w:val="afc"/>
        <w:rPr>
          <w:rFonts w:ascii="Sakkal Majalla" w:hAnsi="Sakkal Majalla" w:cs="AL-Mohanad"/>
          <w:sz w:val="27"/>
          <w:szCs w:val="27"/>
          <w:rtl/>
        </w:rPr>
      </w:pPr>
      <w:r w:rsidRPr="00282AC9">
        <w:rPr>
          <w:rFonts w:ascii="Sakkal Majalla" w:hAnsi="Sakkal Majalla" w:cs="AL-Mohanad" w:hint="cs"/>
          <w:sz w:val="27"/>
          <w:szCs w:val="27"/>
          <w:rtl/>
        </w:rPr>
        <w:t>وعل</w:t>
      </w:r>
      <w:r w:rsidRPr="00282AC9">
        <w:rPr>
          <w:rFonts w:cs="AL-Mohanad" w:hint="cs"/>
          <w:sz w:val="27"/>
          <w:szCs w:val="27"/>
          <w:rtl/>
        </w:rPr>
        <w:t>ى</w:t>
      </w:r>
      <w:r w:rsidRPr="00282AC9">
        <w:rPr>
          <w:rFonts w:ascii="Sakkal Majalla" w:hAnsi="Sakkal Majalla" w:cs="AL-Mohanad" w:hint="cs"/>
          <w:sz w:val="27"/>
          <w:szCs w:val="27"/>
          <w:rtl/>
        </w:rPr>
        <w:t xml:space="preserve"> هذا الأساس، لا </w:t>
      </w:r>
      <w:r w:rsidRPr="00282AC9">
        <w:rPr>
          <w:rFonts w:cs="AL-Mohanad" w:hint="cs"/>
          <w:sz w:val="27"/>
          <w:szCs w:val="27"/>
          <w:rtl/>
        </w:rPr>
        <w:t>ي</w:t>
      </w:r>
      <w:r w:rsidRPr="00282AC9">
        <w:rPr>
          <w:rFonts w:ascii="Sakkal Majalla" w:hAnsi="Sakkal Majalla" w:cs="AL-Mohanad" w:hint="cs"/>
          <w:sz w:val="27"/>
          <w:szCs w:val="27"/>
          <w:rtl/>
        </w:rPr>
        <w:t>صحّ ما استدلّ به العلاّمة الطباطبائي لعدم توق</w:t>
      </w:r>
      <w:r w:rsidRPr="00282AC9">
        <w:rPr>
          <w:rFonts w:cs="AL-Mohanad" w:hint="cs"/>
          <w:sz w:val="27"/>
          <w:szCs w:val="27"/>
          <w:rtl/>
        </w:rPr>
        <w:t>ي</w:t>
      </w:r>
      <w:r w:rsidRPr="00282AC9">
        <w:rPr>
          <w:rFonts w:ascii="Sakkal Majalla" w:hAnsi="Sakkal Majalla" w:cs="AL-Mohanad" w:hint="cs"/>
          <w:sz w:val="27"/>
          <w:szCs w:val="27"/>
          <w:rtl/>
        </w:rPr>
        <w:t>ف</w:t>
      </w:r>
      <w:r w:rsidRPr="00282AC9">
        <w:rPr>
          <w:rFonts w:cs="AL-Mohanad" w:hint="cs"/>
          <w:sz w:val="27"/>
          <w:szCs w:val="27"/>
          <w:rtl/>
        </w:rPr>
        <w:t>ي</w:t>
      </w:r>
      <w:r w:rsidRPr="00282AC9">
        <w:rPr>
          <w:rFonts w:ascii="Sakkal Majalla" w:hAnsi="Sakkal Majalla" w:cs="AL-Mohanad" w:hint="cs"/>
          <w:sz w:val="27"/>
          <w:szCs w:val="27"/>
          <w:rtl/>
        </w:rPr>
        <w:t>ة ترت</w:t>
      </w:r>
      <w:r w:rsidRPr="00282AC9">
        <w:rPr>
          <w:rFonts w:cs="AL-Mohanad" w:hint="cs"/>
          <w:sz w:val="27"/>
          <w:szCs w:val="27"/>
          <w:rtl/>
        </w:rPr>
        <w:t>ي</w:t>
      </w:r>
      <w:r w:rsidRPr="00282AC9">
        <w:rPr>
          <w:rFonts w:ascii="Sakkal Majalla" w:hAnsi="Sakkal Majalla" w:cs="AL-Mohanad" w:hint="cs"/>
          <w:sz w:val="27"/>
          <w:szCs w:val="27"/>
          <w:rtl/>
        </w:rPr>
        <w:t>ب الآ</w:t>
      </w:r>
      <w:r w:rsidRPr="00282AC9">
        <w:rPr>
          <w:rFonts w:cs="AL-Mohanad" w:hint="cs"/>
          <w:sz w:val="27"/>
          <w:szCs w:val="27"/>
          <w:rtl/>
        </w:rPr>
        <w:t>ي</w:t>
      </w:r>
      <w:r w:rsidRPr="00282AC9">
        <w:rPr>
          <w:rFonts w:ascii="Sakkal Majalla" w:hAnsi="Sakkal Majalla" w:cs="AL-Mohanad" w:hint="cs"/>
          <w:sz w:val="27"/>
          <w:szCs w:val="27"/>
          <w:rtl/>
        </w:rPr>
        <w:t>ات من وجود آ</w:t>
      </w:r>
      <w:r w:rsidRPr="00282AC9">
        <w:rPr>
          <w:rFonts w:cs="AL-Mohanad" w:hint="cs"/>
          <w:sz w:val="27"/>
          <w:szCs w:val="27"/>
          <w:rtl/>
        </w:rPr>
        <w:t>ي</w:t>
      </w:r>
      <w:r w:rsidRPr="00282AC9">
        <w:rPr>
          <w:rFonts w:ascii="Sakkal Majalla" w:hAnsi="Sakkal Majalla" w:cs="AL-Mohanad" w:hint="cs"/>
          <w:sz w:val="27"/>
          <w:szCs w:val="27"/>
          <w:rtl/>
        </w:rPr>
        <w:t>اتٍ كث</w:t>
      </w:r>
      <w:r w:rsidRPr="00282AC9">
        <w:rPr>
          <w:rFonts w:cs="AL-Mohanad" w:hint="cs"/>
          <w:sz w:val="27"/>
          <w:szCs w:val="27"/>
          <w:rtl/>
        </w:rPr>
        <w:t>ي</w:t>
      </w:r>
      <w:r w:rsidRPr="00282AC9">
        <w:rPr>
          <w:rFonts w:ascii="Sakkal Majalla" w:hAnsi="Sakkal Majalla" w:cs="AL-Mohanad" w:hint="cs"/>
          <w:sz w:val="27"/>
          <w:szCs w:val="27"/>
          <w:rtl/>
        </w:rPr>
        <w:t>رة في سور مدن</w:t>
      </w:r>
      <w:r w:rsidRPr="00282AC9">
        <w:rPr>
          <w:rFonts w:cs="AL-Mohanad" w:hint="cs"/>
          <w:sz w:val="27"/>
          <w:szCs w:val="27"/>
          <w:rtl/>
        </w:rPr>
        <w:t>ي</w:t>
      </w:r>
      <w:r w:rsidRPr="00282AC9">
        <w:rPr>
          <w:rFonts w:ascii="Sakkal Majalla" w:hAnsi="Sakkal Majalla" w:cs="AL-Mohanad" w:hint="cs"/>
          <w:sz w:val="27"/>
          <w:szCs w:val="27"/>
          <w:rtl/>
        </w:rPr>
        <w:t>ة قد نزلت بمكّة، أو وجود آ</w:t>
      </w:r>
      <w:r w:rsidRPr="00282AC9">
        <w:rPr>
          <w:rFonts w:cs="AL-Mohanad" w:hint="cs"/>
          <w:sz w:val="27"/>
          <w:szCs w:val="27"/>
          <w:rtl/>
        </w:rPr>
        <w:t>ي</w:t>
      </w:r>
      <w:r w:rsidRPr="00282AC9">
        <w:rPr>
          <w:rFonts w:ascii="Sakkal Majalla" w:hAnsi="Sakkal Majalla" w:cs="AL-Mohanad" w:hint="cs"/>
          <w:sz w:val="27"/>
          <w:szCs w:val="27"/>
          <w:rtl/>
        </w:rPr>
        <w:t>ات في سور مكّ</w:t>
      </w:r>
      <w:r w:rsidRPr="00282AC9">
        <w:rPr>
          <w:rFonts w:cs="AL-Mohanad" w:hint="cs"/>
          <w:sz w:val="27"/>
          <w:szCs w:val="27"/>
          <w:rtl/>
        </w:rPr>
        <w:t>ي</w:t>
      </w:r>
      <w:r w:rsidRPr="00282AC9">
        <w:rPr>
          <w:rFonts w:ascii="Sakkal Majalla" w:hAnsi="Sakkal Majalla" w:cs="AL-Mohanad" w:hint="cs"/>
          <w:sz w:val="27"/>
          <w:szCs w:val="27"/>
          <w:rtl/>
        </w:rPr>
        <w:t>ة قد نزلت في المد</w:t>
      </w:r>
      <w:r w:rsidRPr="00282AC9">
        <w:rPr>
          <w:rFonts w:cs="AL-Mohanad" w:hint="cs"/>
          <w:sz w:val="27"/>
          <w:szCs w:val="27"/>
          <w:rtl/>
        </w:rPr>
        <w:t>ي</w:t>
      </w:r>
      <w:r w:rsidRPr="00282AC9">
        <w:rPr>
          <w:rFonts w:ascii="Sakkal Majalla" w:hAnsi="Sakkal Majalla" w:cs="AL-Mohanad" w:hint="cs"/>
          <w:sz w:val="27"/>
          <w:szCs w:val="27"/>
          <w:rtl/>
        </w:rPr>
        <w:t>نة؛ إذ من المحتمل (كما جاء في الروا</w:t>
      </w:r>
      <w:r w:rsidRPr="00282AC9">
        <w:rPr>
          <w:rFonts w:cs="AL-Mohanad" w:hint="cs"/>
          <w:sz w:val="27"/>
          <w:szCs w:val="27"/>
          <w:rtl/>
        </w:rPr>
        <w:t>ي</w:t>
      </w:r>
      <w:r w:rsidRPr="00282AC9">
        <w:rPr>
          <w:rFonts w:ascii="Sakkal Majalla" w:hAnsi="Sakkal Majalla" w:cs="AL-Mohanad" w:hint="cs"/>
          <w:sz w:val="27"/>
          <w:szCs w:val="27"/>
          <w:rtl/>
        </w:rPr>
        <w:t>ة) أن تسم</w:t>
      </w:r>
      <w:r w:rsidRPr="00282AC9">
        <w:rPr>
          <w:rFonts w:cs="AL-Mohanad" w:hint="cs"/>
          <w:sz w:val="27"/>
          <w:szCs w:val="27"/>
          <w:rtl/>
        </w:rPr>
        <w:t>ّى</w:t>
      </w:r>
      <w:r w:rsidRPr="00282AC9">
        <w:rPr>
          <w:rFonts w:ascii="Sakkal Majalla" w:hAnsi="Sakkal Majalla" w:cs="AL-Mohanad" w:hint="cs"/>
          <w:sz w:val="27"/>
          <w:szCs w:val="27"/>
          <w:rtl/>
        </w:rPr>
        <w:t xml:space="preserve"> السورة مكّ</w:t>
      </w:r>
      <w:r w:rsidRPr="00282AC9">
        <w:rPr>
          <w:rFonts w:cs="AL-Mohanad" w:hint="cs"/>
          <w:sz w:val="27"/>
          <w:szCs w:val="27"/>
          <w:rtl/>
        </w:rPr>
        <w:t>ي</w:t>
      </w:r>
      <w:r w:rsidRPr="00282AC9">
        <w:rPr>
          <w:rFonts w:ascii="Sakkal Majalla" w:hAnsi="Sakkal Majalla" w:cs="AL-Mohanad" w:hint="cs"/>
          <w:sz w:val="27"/>
          <w:szCs w:val="27"/>
          <w:rtl/>
        </w:rPr>
        <w:t>ة وقد اجتمعت ف</w:t>
      </w:r>
      <w:r w:rsidRPr="00282AC9">
        <w:rPr>
          <w:rFonts w:cs="AL-Mohanad" w:hint="cs"/>
          <w:sz w:val="27"/>
          <w:szCs w:val="27"/>
          <w:rtl/>
        </w:rPr>
        <w:t>ي</w:t>
      </w:r>
      <w:r w:rsidRPr="00282AC9">
        <w:rPr>
          <w:rFonts w:ascii="Sakkal Majalla" w:hAnsi="Sakkal Majalla" w:cs="AL-Mohanad" w:hint="cs"/>
          <w:sz w:val="27"/>
          <w:szCs w:val="27"/>
          <w:rtl/>
        </w:rPr>
        <w:t>ها آ</w:t>
      </w:r>
      <w:r w:rsidRPr="00282AC9">
        <w:rPr>
          <w:rFonts w:cs="AL-Mohanad" w:hint="cs"/>
          <w:sz w:val="27"/>
          <w:szCs w:val="27"/>
          <w:rtl/>
        </w:rPr>
        <w:t>ي</w:t>
      </w:r>
      <w:r w:rsidRPr="00282AC9">
        <w:rPr>
          <w:rFonts w:ascii="Sakkal Majalla" w:hAnsi="Sakkal Majalla" w:cs="AL-Mohanad" w:hint="cs"/>
          <w:sz w:val="27"/>
          <w:szCs w:val="27"/>
          <w:rtl/>
        </w:rPr>
        <w:t>اتٌ مدن</w:t>
      </w:r>
      <w:r w:rsidRPr="00282AC9">
        <w:rPr>
          <w:rFonts w:cs="AL-Mohanad" w:hint="cs"/>
          <w:sz w:val="27"/>
          <w:szCs w:val="27"/>
          <w:rtl/>
        </w:rPr>
        <w:t>ي</w:t>
      </w:r>
      <w:r w:rsidRPr="00282AC9">
        <w:rPr>
          <w:rFonts w:ascii="Sakkal Majalla" w:hAnsi="Sakkal Majalla" w:cs="AL-Mohanad" w:hint="cs"/>
          <w:sz w:val="27"/>
          <w:szCs w:val="27"/>
          <w:rtl/>
        </w:rPr>
        <w:t>ة أ</w:t>
      </w:r>
      <w:r w:rsidRPr="00282AC9">
        <w:rPr>
          <w:rFonts w:cs="AL-Mohanad" w:hint="cs"/>
          <w:sz w:val="27"/>
          <w:szCs w:val="27"/>
          <w:rtl/>
        </w:rPr>
        <w:t>ي</w:t>
      </w:r>
      <w:r w:rsidRPr="00282AC9">
        <w:rPr>
          <w:rFonts w:ascii="Sakkal Majalla" w:hAnsi="Sakkal Majalla" w:cs="AL-Mohanad" w:hint="cs"/>
          <w:sz w:val="27"/>
          <w:szCs w:val="27"/>
          <w:rtl/>
        </w:rPr>
        <w:t>ضاً، أو مدن</w:t>
      </w:r>
      <w:r w:rsidRPr="00282AC9">
        <w:rPr>
          <w:rFonts w:cs="AL-Mohanad" w:hint="cs"/>
          <w:sz w:val="27"/>
          <w:szCs w:val="27"/>
          <w:rtl/>
        </w:rPr>
        <w:t>ي</w:t>
      </w:r>
      <w:r w:rsidRPr="00282AC9">
        <w:rPr>
          <w:rFonts w:ascii="Sakkal Majalla" w:hAnsi="Sakkal Majalla" w:cs="AL-Mohanad" w:hint="cs"/>
          <w:sz w:val="27"/>
          <w:szCs w:val="27"/>
          <w:rtl/>
        </w:rPr>
        <w:t>ة وقد اجتمعت ف</w:t>
      </w:r>
      <w:r w:rsidRPr="00282AC9">
        <w:rPr>
          <w:rFonts w:cs="AL-Mohanad" w:hint="cs"/>
          <w:sz w:val="27"/>
          <w:szCs w:val="27"/>
          <w:rtl/>
        </w:rPr>
        <w:t>ي</w:t>
      </w:r>
      <w:r w:rsidRPr="00282AC9">
        <w:rPr>
          <w:rFonts w:ascii="Sakkal Majalla" w:hAnsi="Sakkal Majalla" w:cs="AL-Mohanad" w:hint="cs"/>
          <w:sz w:val="27"/>
          <w:szCs w:val="27"/>
          <w:rtl/>
        </w:rPr>
        <w:t>ها آ</w:t>
      </w:r>
      <w:r w:rsidRPr="00282AC9">
        <w:rPr>
          <w:rFonts w:cs="AL-Mohanad" w:hint="cs"/>
          <w:sz w:val="27"/>
          <w:szCs w:val="27"/>
          <w:rtl/>
        </w:rPr>
        <w:t>ي</w:t>
      </w:r>
      <w:r w:rsidRPr="00282AC9">
        <w:rPr>
          <w:rFonts w:ascii="Sakkal Majalla" w:hAnsi="Sakkal Majalla" w:cs="AL-Mohanad" w:hint="cs"/>
          <w:sz w:val="27"/>
          <w:szCs w:val="27"/>
          <w:rtl/>
        </w:rPr>
        <w:t>ات نزلت في مكّة.</w:t>
      </w:r>
    </w:p>
    <w:p w:rsidR="00EF541F" w:rsidRPr="00282AC9" w:rsidRDefault="00EF541F" w:rsidP="00EF541F">
      <w:pPr>
        <w:spacing w:line="410" w:lineRule="exact"/>
        <w:rPr>
          <w:sz w:val="27"/>
          <w:rtl/>
        </w:rPr>
      </w:pPr>
    </w:p>
    <w:p w:rsidR="00AD6E36" w:rsidRPr="00282AC9" w:rsidRDefault="00EC3694" w:rsidP="00F4477A">
      <w:pPr>
        <w:pStyle w:val="31"/>
        <w:rPr>
          <w:rFonts w:ascii="Traditional Arabic" w:hAnsi="Traditional Arabic"/>
          <w:color w:val="auto"/>
          <w:rtl/>
        </w:rPr>
      </w:pPr>
      <w:r w:rsidRPr="00282AC9">
        <w:rPr>
          <w:rFonts w:hint="cs"/>
          <w:color w:val="auto"/>
          <w:rtl/>
        </w:rPr>
        <w:t>3ـ</w:t>
      </w:r>
      <w:r w:rsidR="00AD6E36" w:rsidRPr="00282AC9">
        <w:rPr>
          <w:rFonts w:hint="cs"/>
          <w:color w:val="auto"/>
          <w:rtl/>
        </w:rPr>
        <w:t xml:space="preserve"> روايات مصحف ال</w:t>
      </w:r>
      <w:r w:rsidR="00F4477A" w:rsidRPr="00282AC9">
        <w:rPr>
          <w:rFonts w:hint="cs"/>
          <w:color w:val="auto"/>
          <w:rtl/>
        </w:rPr>
        <w:t>إ</w:t>
      </w:r>
      <w:r w:rsidR="00AD6E36" w:rsidRPr="00282AC9">
        <w:rPr>
          <w:rFonts w:hint="cs"/>
          <w:color w:val="auto"/>
          <w:rtl/>
        </w:rPr>
        <w:t>مام علي</w:t>
      </w:r>
      <w:r w:rsidR="00F4477A" w:rsidRPr="00282AC9">
        <w:rPr>
          <w:rFonts w:hint="cs"/>
          <w:color w:val="auto"/>
          <w:rtl/>
        </w:rPr>
        <w:t>ّ</w:t>
      </w:r>
      <w:r w:rsidR="009A2A04" w:rsidRPr="00282AC9">
        <w:rPr>
          <w:rFonts w:cs="Mosawi" w:hint="cs"/>
          <w:color w:val="auto"/>
          <w:sz w:val="23"/>
          <w:szCs w:val="23"/>
          <w:rtl/>
        </w:rPr>
        <w:t>×</w:t>
      </w:r>
    </w:p>
    <w:p w:rsidR="00AD6E36" w:rsidRPr="00282AC9" w:rsidRDefault="00AD6E36" w:rsidP="001D1A88">
      <w:pPr>
        <w:pStyle w:val="afc"/>
        <w:rPr>
          <w:rFonts w:ascii="Sakkal Majalla" w:hAnsi="Sakkal Majalla" w:cs="AL-Mohanad"/>
          <w:b/>
          <w:bCs/>
          <w:sz w:val="27"/>
          <w:szCs w:val="27"/>
          <w:rtl/>
        </w:rPr>
      </w:pPr>
      <w:r w:rsidRPr="00282AC9">
        <w:rPr>
          <w:rFonts w:ascii="Sakkal Majalla" w:hAnsi="Sakkal Majalla" w:cs="AL-Mohanad"/>
          <w:sz w:val="27"/>
          <w:szCs w:val="27"/>
          <w:rtl/>
        </w:rPr>
        <w:t>رو</w:t>
      </w:r>
      <w:r w:rsidR="00F4477A" w:rsidRPr="00282AC9">
        <w:rPr>
          <w:rFonts w:ascii="Sakkal Majalla" w:hAnsi="Sakkal Majalla" w:cs="AL-Mohanad" w:hint="cs"/>
          <w:sz w:val="27"/>
          <w:szCs w:val="27"/>
          <w:rtl/>
        </w:rPr>
        <w:t>ى</w:t>
      </w:r>
      <w:r w:rsidRPr="00282AC9">
        <w:rPr>
          <w:rFonts w:ascii="Sakkal Majalla" w:hAnsi="Sakkal Majalla" w:cs="AL-Mohanad"/>
          <w:sz w:val="27"/>
          <w:szCs w:val="27"/>
          <w:rtl/>
        </w:rPr>
        <w:t xml:space="preserve"> س</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ل</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ي</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م بن قيس الهلالي</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عن سلمان الفارسي رضوان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 xml:space="preserve">ه عليه قال: لمّا رأى </w:t>
      </w:r>
      <w:r w:rsidR="00F4477A" w:rsidRPr="00282AC9">
        <w:rPr>
          <w:rFonts w:ascii="Sakkal Majalla" w:hAnsi="Sakkal Majalla" w:cs="AL-Mohanad" w:hint="cs"/>
          <w:sz w:val="27"/>
          <w:szCs w:val="27"/>
          <w:rtl/>
        </w:rPr>
        <w:t>أ</w:t>
      </w:r>
      <w:r w:rsidRPr="00282AC9">
        <w:rPr>
          <w:rFonts w:ascii="Sakkal Majalla" w:hAnsi="Sakkal Majalla" w:cs="AL-Mohanad"/>
          <w:sz w:val="27"/>
          <w:szCs w:val="27"/>
          <w:rtl/>
        </w:rPr>
        <w:t xml:space="preserve">مير المؤمنين صلوات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 xml:space="preserve">ه عليه </w:t>
      </w:r>
      <w:bookmarkStart w:id="105" w:name="_Hlk36852386"/>
      <w:r w:rsidRPr="00282AC9">
        <w:rPr>
          <w:rFonts w:ascii="Sakkal Majalla" w:hAnsi="Sakkal Majalla" w:cs="AL-Mohanad"/>
          <w:sz w:val="27"/>
          <w:szCs w:val="27"/>
          <w:rtl/>
        </w:rPr>
        <w:t>غدر الناس به لزم بيته</w:t>
      </w:r>
      <w:bookmarkEnd w:id="105"/>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وأقبل على القرآن يؤلّ</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فه ويجمعه</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78"/>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r w:rsidRPr="00282AC9">
        <w:rPr>
          <w:rFonts w:ascii="Sakkal Majalla" w:hAnsi="Sakkal Majalla" w:cs="AL-Mohanad" w:hint="cs"/>
          <w:b/>
          <w:bCs/>
          <w:sz w:val="27"/>
          <w:szCs w:val="27"/>
          <w:rtl/>
        </w:rPr>
        <w:t xml:space="preserve"> </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w:t>
      </w:r>
      <w:r w:rsidRPr="00282AC9">
        <w:rPr>
          <w:rFonts w:ascii="Sakkal Majalla" w:hAnsi="Sakkal Majalla" w:cs="AL-Mohanad"/>
          <w:sz w:val="27"/>
          <w:szCs w:val="27"/>
          <w:rtl/>
        </w:rPr>
        <w:t>رو</w:t>
      </w:r>
      <w:r w:rsidR="00F4477A" w:rsidRPr="00282AC9">
        <w:rPr>
          <w:rFonts w:ascii="Sakkal Majalla" w:hAnsi="Sakkal Majalla" w:cs="AL-Mohanad" w:hint="cs"/>
          <w:sz w:val="27"/>
          <w:szCs w:val="27"/>
          <w:rtl/>
        </w:rPr>
        <w:t>ى</w:t>
      </w:r>
      <w:r w:rsidRPr="00282AC9">
        <w:rPr>
          <w:rFonts w:ascii="Sakkal Majalla" w:hAnsi="Sakkal Majalla" w:cs="AL-Mohanad"/>
          <w:sz w:val="27"/>
          <w:szCs w:val="27"/>
          <w:rtl/>
        </w:rPr>
        <w:t xml:space="preserve"> عنه</w:t>
      </w:r>
      <w:r w:rsidR="009A2A04" w:rsidRPr="00282AC9">
        <w:rPr>
          <w:rFonts w:ascii="Sakkal Majalla" w:hAnsi="Sakkal Majalla" w:cs="Mosawi"/>
          <w:sz w:val="22"/>
          <w:szCs w:val="22"/>
          <w:rtl/>
        </w:rPr>
        <w:t>×</w:t>
      </w:r>
      <w:r w:rsidR="007F3B20" w:rsidRPr="00282AC9">
        <w:rPr>
          <w:rFonts w:ascii="Sakkal Majalla" w:hAnsi="Sakkal Majalla" w:cs="AL-Mohanad" w:hint="cs"/>
          <w:sz w:val="27"/>
          <w:szCs w:val="27"/>
          <w:rtl/>
        </w:rPr>
        <w:t>،</w:t>
      </w:r>
      <w:r w:rsidR="00F4477A" w:rsidRPr="00282AC9">
        <w:rPr>
          <w:rFonts w:ascii="Sakkal Majalla" w:hAnsi="Sakkal Majalla" w:cs="AL-Mohanad" w:hint="cs"/>
          <w:sz w:val="27"/>
          <w:szCs w:val="27"/>
          <w:rtl/>
        </w:rPr>
        <w:t xml:space="preserve"> </w:t>
      </w:r>
      <w:r w:rsidRPr="00282AC9">
        <w:rPr>
          <w:rFonts w:ascii="Sakkal Majalla" w:hAnsi="Sakkal Majalla" w:cs="AL-Mohanad"/>
          <w:sz w:val="27"/>
          <w:szCs w:val="27"/>
          <w:rtl/>
        </w:rPr>
        <w:t>قال: آلى على نفسه أن لا يضع رداءه على عاتقه</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إ</w:t>
      </w:r>
      <w:r w:rsidR="00EE6DBA" w:rsidRPr="00282AC9">
        <w:rPr>
          <w:rFonts w:ascii="Sakkal Majalla" w:hAnsi="Sakkal Majalla" w:cs="AL-Mohanad"/>
          <w:sz w:val="27"/>
          <w:szCs w:val="27"/>
          <w:rtl/>
        </w:rPr>
        <w:t>لاّ</w:t>
      </w:r>
      <w:r w:rsidRPr="00282AC9">
        <w:rPr>
          <w:rFonts w:ascii="Sakkal Majalla" w:hAnsi="Sakkal Majalla" w:cs="AL-Mohanad"/>
          <w:sz w:val="27"/>
          <w:szCs w:val="27"/>
          <w:rtl/>
        </w:rPr>
        <w:t xml:space="preserve"> للصلاة</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حت</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ى يؤلّ</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ف القرآن ويجمعه، ف</w:t>
      </w:r>
      <w:r w:rsidR="00F4477A" w:rsidRPr="00282AC9">
        <w:rPr>
          <w:rFonts w:ascii="Sakkal Majalla" w:hAnsi="Sakkal Majalla" w:cs="AL-Mohanad" w:hint="cs"/>
          <w:sz w:val="27"/>
          <w:szCs w:val="27"/>
          <w:rtl/>
        </w:rPr>
        <w:t>ا</w:t>
      </w:r>
      <w:r w:rsidRPr="00282AC9">
        <w:rPr>
          <w:rFonts w:ascii="Sakkal Majalla" w:hAnsi="Sakkal Majalla" w:cs="AL-Mohanad"/>
          <w:sz w:val="27"/>
          <w:szCs w:val="27"/>
          <w:rtl/>
        </w:rPr>
        <w:t>نقطع عنهم مد</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ة</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إ</w:t>
      </w:r>
      <w:r w:rsidRPr="00282AC9">
        <w:rPr>
          <w:rFonts w:ascii="Sakkal Majalla" w:hAnsi="Sakkal Majalla" w:cs="AL-Mohanad"/>
          <w:sz w:val="27"/>
          <w:szCs w:val="27"/>
          <w:rtl/>
        </w:rPr>
        <w:t>لى أن جمعه</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79"/>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w:t>
      </w:r>
      <w:r w:rsidRPr="00282AC9">
        <w:rPr>
          <w:rFonts w:ascii="Sakkal Majalla" w:hAnsi="Sakkal Majalla" w:cs="AL-Mohanad"/>
          <w:sz w:val="27"/>
          <w:szCs w:val="27"/>
          <w:rtl/>
        </w:rPr>
        <w:t xml:space="preserve">قال </w:t>
      </w:r>
      <w:r w:rsidR="00F4477A" w:rsidRPr="00282AC9">
        <w:rPr>
          <w:rFonts w:ascii="Sakkal Majalla" w:hAnsi="Sakkal Majalla" w:cs="AL-Mohanad" w:hint="cs"/>
          <w:sz w:val="27"/>
          <w:szCs w:val="27"/>
          <w:rtl/>
        </w:rPr>
        <w:t>ا</w:t>
      </w:r>
      <w:r w:rsidRPr="00282AC9">
        <w:rPr>
          <w:rFonts w:ascii="Sakkal Majalla" w:hAnsi="Sakkal Majalla" w:cs="AL-Mohanad"/>
          <w:sz w:val="27"/>
          <w:szCs w:val="27"/>
          <w:rtl/>
        </w:rPr>
        <w:t>بن النديم ـ  بسند</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يذكره ـ : إنّ علي</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ا</w:t>
      </w:r>
      <w:r w:rsidR="00F4477A" w:rsidRPr="00282AC9">
        <w:rPr>
          <w:rFonts w:ascii="Sakkal Majalla" w:hAnsi="Sakkal Majalla" w:cs="AL-Mohanad" w:hint="cs"/>
          <w:sz w:val="27"/>
          <w:szCs w:val="27"/>
          <w:rtl/>
        </w:rPr>
        <w:t>ً</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رأى من الناس ط</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ي</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رة</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عند وفاة النبيّ</w:t>
      </w:r>
      <w:r w:rsidR="009A2A04" w:rsidRPr="00282AC9">
        <w:rPr>
          <w:rFonts w:ascii="Sakkal Majalla" w:hAnsi="Sakkal Majalla" w:cs="Mosawi"/>
          <w:sz w:val="22"/>
          <w:szCs w:val="22"/>
          <w:rtl/>
        </w:rPr>
        <w:t>|</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فأقسم أن لا يضع رداءه حت</w:t>
      </w:r>
      <w:r w:rsidR="00F4477A" w:rsidRPr="00282AC9">
        <w:rPr>
          <w:rFonts w:ascii="Sakkal Majalla" w:hAnsi="Sakkal Majalla" w:cs="AL-Mohanad" w:hint="cs"/>
          <w:sz w:val="27"/>
          <w:szCs w:val="27"/>
          <w:rtl/>
        </w:rPr>
        <w:t>ّ</w:t>
      </w:r>
      <w:r w:rsidRPr="00282AC9">
        <w:rPr>
          <w:rFonts w:ascii="Sakkal Majalla" w:hAnsi="Sakkal Majalla" w:cs="AL-Mohanad"/>
          <w:sz w:val="27"/>
          <w:szCs w:val="27"/>
          <w:rtl/>
        </w:rPr>
        <w:t>ى يجمع القرآن</w:t>
      </w:r>
      <w:r w:rsidR="00F4477A" w:rsidRPr="00282AC9">
        <w:rPr>
          <w:rFonts w:ascii="Sakkal Majalla" w:hAnsi="Sakkal Majalla" w:cs="AL-Mohanad" w:hint="cs"/>
          <w:sz w:val="27"/>
          <w:szCs w:val="27"/>
          <w:rtl/>
        </w:rPr>
        <w:t xml:space="preserve">، </w:t>
      </w:r>
      <w:r w:rsidRPr="00282AC9">
        <w:rPr>
          <w:rFonts w:ascii="Sakkal Majalla" w:hAnsi="Sakkal Majalla" w:cs="AL-Mohanad"/>
          <w:sz w:val="27"/>
          <w:szCs w:val="27"/>
          <w:rtl/>
        </w:rPr>
        <w:t>فجلس في بيته ثلاثة أي</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ام‏ حت</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ى جمع القرآن</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80"/>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w:t>
      </w:r>
    </w:p>
    <w:p w:rsidR="00AD6E36" w:rsidRPr="00282AC9" w:rsidRDefault="00AD6E36" w:rsidP="001D1A88">
      <w:pPr>
        <w:pStyle w:val="afc"/>
        <w:rPr>
          <w:rFonts w:ascii="Sakkal Majalla" w:hAnsi="Sakkal Majalla" w:cs="AL-Mohanad"/>
          <w:sz w:val="27"/>
          <w:szCs w:val="27"/>
        </w:rPr>
      </w:pPr>
      <w:r w:rsidRPr="00282AC9">
        <w:rPr>
          <w:rFonts w:ascii="Sakkal Majalla" w:hAnsi="Sakkal Majalla" w:cs="AL-Mohanad"/>
          <w:sz w:val="27"/>
          <w:szCs w:val="27"/>
          <w:rtl/>
        </w:rPr>
        <w:t>وعن الإمام الباقر</w:t>
      </w:r>
      <w:r w:rsidR="009A2A04" w:rsidRPr="00282AC9">
        <w:rPr>
          <w:rFonts w:ascii="Sakkal Majalla" w:hAnsi="Sakkal Majalla" w:cs="Mosawi"/>
          <w:sz w:val="22"/>
          <w:szCs w:val="22"/>
          <w:rtl/>
        </w:rPr>
        <w:t>×</w:t>
      </w:r>
      <w:r w:rsidR="00456EE8" w:rsidRPr="00282AC9">
        <w:rPr>
          <w:rFonts w:ascii="Sakkal Majalla" w:hAnsi="Sakkal Majalla" w:cs="AL-Mohanad" w:hint="cs"/>
          <w:sz w:val="27"/>
          <w:szCs w:val="27"/>
          <w:rtl/>
        </w:rPr>
        <w:t xml:space="preserve"> </w:t>
      </w:r>
      <w:r w:rsidRPr="00282AC9">
        <w:rPr>
          <w:rFonts w:ascii="Sakkal Majalla" w:hAnsi="Sakkal Majalla" w:cs="AL-Mohanad"/>
          <w:sz w:val="27"/>
          <w:szCs w:val="27"/>
          <w:rtl/>
        </w:rPr>
        <w:t>قال: ما من أحد</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الناس يقول</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00456EE8" w:rsidRPr="00282AC9">
        <w:rPr>
          <w:rFonts w:ascii="Sakkal Majalla" w:hAnsi="Sakkal Majalla" w:cs="AL-Mohanad" w:hint="cs"/>
          <w:sz w:val="27"/>
          <w:szCs w:val="27"/>
          <w:rtl/>
        </w:rPr>
        <w:t>إ</w:t>
      </w:r>
      <w:r w:rsidRPr="00282AC9">
        <w:rPr>
          <w:rFonts w:ascii="Sakkal Majalla" w:hAnsi="Sakkal Majalla" w:cs="AL-Mohanad"/>
          <w:sz w:val="27"/>
          <w:szCs w:val="27"/>
          <w:rtl/>
        </w:rPr>
        <w:t xml:space="preserve">نّه جمع القرآن كلّه كما أنزل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إ</w:t>
      </w:r>
      <w:r w:rsidR="00EE6DBA" w:rsidRPr="00282AC9">
        <w:rPr>
          <w:rFonts w:ascii="Sakkal Majalla" w:hAnsi="Sakkal Majalla" w:cs="AL-Mohanad"/>
          <w:sz w:val="27"/>
          <w:szCs w:val="27"/>
          <w:rtl/>
        </w:rPr>
        <w:t>لاّ</w:t>
      </w:r>
      <w:r w:rsidRPr="00282AC9">
        <w:rPr>
          <w:rFonts w:ascii="Sakkal Majalla" w:hAnsi="Sakkal Majalla" w:cs="AL-Mohanad"/>
          <w:sz w:val="27"/>
          <w:szCs w:val="27"/>
          <w:rtl/>
        </w:rPr>
        <w:t xml:space="preserve"> كذّاب</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وما جمعه وما حفظه كما أنزل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إ</w:t>
      </w:r>
      <w:r w:rsidR="00EE6DBA" w:rsidRPr="00282AC9">
        <w:rPr>
          <w:rFonts w:ascii="Sakkal Majalla" w:hAnsi="Sakkal Majalla" w:cs="AL-Mohanad"/>
          <w:sz w:val="27"/>
          <w:szCs w:val="27"/>
          <w:rtl/>
        </w:rPr>
        <w:t>لاّ</w:t>
      </w:r>
      <w:r w:rsidRPr="00282AC9">
        <w:rPr>
          <w:rFonts w:ascii="Sakkal Majalla" w:hAnsi="Sakkal Majalla" w:cs="AL-Mohanad"/>
          <w:sz w:val="27"/>
          <w:szCs w:val="27"/>
          <w:rtl/>
        </w:rPr>
        <w:t xml:space="preserve"> علي</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بن أبي طالب‏</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81"/>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 xml:space="preserve">. </w:t>
      </w:r>
    </w:p>
    <w:p w:rsidR="00456EE8"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وعنه</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قال</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ما نزلت آية</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على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إ</w:t>
      </w:r>
      <w:r w:rsidR="00EE6DBA" w:rsidRPr="00282AC9">
        <w:rPr>
          <w:rFonts w:ascii="Sakkal Majalla" w:hAnsi="Sakkal Majalla" w:cs="AL-Mohanad"/>
          <w:sz w:val="27"/>
          <w:szCs w:val="27"/>
          <w:rtl/>
        </w:rPr>
        <w:t>لاّ</w:t>
      </w:r>
      <w:r w:rsidRPr="00282AC9">
        <w:rPr>
          <w:rFonts w:ascii="Sakkal Majalla" w:hAnsi="Sakkal Majalla" w:cs="AL-Mohanad"/>
          <w:sz w:val="27"/>
          <w:szCs w:val="27"/>
          <w:rtl/>
        </w:rPr>
        <w:t xml:space="preserve"> أقرأنيها وأملاها عليّ</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lastRenderedPageBreak/>
        <w:t>فأكتبها بخطّي. وعلّ</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مني تأويلها وتفسيرها</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وناسخها ومنسوخها</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ومحكمها ومتشابهها</w:t>
      </w:r>
      <w:r w:rsidR="00456EE8" w:rsidRPr="00282AC9">
        <w:rPr>
          <w:rFonts w:ascii="Sakkal Majalla" w:hAnsi="Sakkal Majalla" w:cs="AL-Mohanad" w:hint="cs"/>
          <w:sz w:val="27"/>
          <w:szCs w:val="27"/>
          <w:rtl/>
        </w:rPr>
        <w:t xml:space="preserve">، </w:t>
      </w:r>
      <w:r w:rsidRPr="00282AC9">
        <w:rPr>
          <w:rFonts w:ascii="Sakkal Majalla" w:hAnsi="Sakkal Majalla" w:cs="AL-Mohanad"/>
          <w:sz w:val="27"/>
          <w:szCs w:val="27"/>
          <w:rtl/>
        </w:rPr>
        <w:t xml:space="preserve">ودعا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لي أن يعلّ</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مني فهمها وحفظها</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فما نسيت</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آية</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كتاب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ولا علما</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أملاه عليّ</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فكتبته</w:t>
      </w:r>
      <w:r w:rsidR="00456E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منذ دعا لي ما دعا</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82"/>
      </w:r>
      <w:r w:rsidRPr="00282AC9">
        <w:rPr>
          <w:rFonts w:ascii="Sakkal Majalla" w:hAnsi="Sakkal Majalla" w:cs="AL-Mohanad"/>
          <w:sz w:val="27"/>
          <w:szCs w:val="27"/>
          <w:vertAlign w:val="superscript"/>
          <w:rtl/>
        </w:rPr>
        <w:t>)</w:t>
      </w:r>
      <w:r w:rsidR="00456EE8" w:rsidRPr="00282AC9">
        <w:rPr>
          <w:rFonts w:ascii="Sakkal Majalla" w:hAnsi="Sakkal Majalla" w:cs="AL-Mohanad" w:hint="cs"/>
          <w:sz w:val="27"/>
          <w:szCs w:val="27"/>
          <w:rtl/>
        </w:rPr>
        <w:t>.</w:t>
      </w:r>
    </w:p>
    <w:p w:rsidR="00AD6E36" w:rsidRPr="00282AC9" w:rsidRDefault="00456EE8" w:rsidP="001D1A88">
      <w:pPr>
        <w:pStyle w:val="afc"/>
        <w:rPr>
          <w:rFonts w:ascii="Sakkal Majalla" w:hAnsi="Sakkal Majalla" w:cs="AL-Mohanad"/>
          <w:sz w:val="27"/>
          <w:szCs w:val="27"/>
          <w:rtl/>
        </w:rPr>
      </w:pPr>
      <w:r w:rsidRPr="00282AC9">
        <w:rPr>
          <w:rFonts w:ascii="Sakkal Majalla" w:hAnsi="Sakkal Majalla" w:cs="AL-Mohanad" w:hint="cs"/>
          <w:sz w:val="27"/>
          <w:szCs w:val="27"/>
          <w:rtl/>
        </w:rPr>
        <w:t>وتقريب الاستدلال</w:t>
      </w:r>
      <w:r w:rsidR="00376F6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إ</w:t>
      </w:r>
      <w:r w:rsidR="00AD6E36" w:rsidRPr="00282AC9">
        <w:rPr>
          <w:rFonts w:ascii="Sakkal Majalla" w:hAnsi="Sakkal Majalla" w:cs="AL-Mohanad" w:hint="cs"/>
          <w:sz w:val="27"/>
          <w:szCs w:val="27"/>
          <w:rtl/>
        </w:rPr>
        <w:t>نّ جمع القر</w:t>
      </w:r>
      <w:r w:rsidRPr="00282AC9">
        <w:rPr>
          <w:rFonts w:ascii="Sakkal Majalla" w:hAnsi="Sakkal Majalla" w:cs="AL-Mohanad" w:hint="cs"/>
          <w:sz w:val="27"/>
          <w:szCs w:val="27"/>
          <w:rtl/>
        </w:rPr>
        <w:t>آ</w:t>
      </w:r>
      <w:r w:rsidR="00AD6E36" w:rsidRPr="00282AC9">
        <w:rPr>
          <w:rFonts w:ascii="Sakkal Majalla" w:hAnsi="Sakkal Majalla" w:cs="AL-Mohanad" w:hint="cs"/>
          <w:sz w:val="27"/>
          <w:szCs w:val="27"/>
          <w:rtl/>
        </w:rPr>
        <w:t>ن عقب موت النبي</w:t>
      </w:r>
      <w:r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AD6E36" w:rsidRPr="00282AC9">
        <w:rPr>
          <w:rFonts w:ascii="Sakkal Majalla" w:hAnsi="Sakkal Majalla" w:cs="AL-Mohanad" w:hint="cs"/>
          <w:sz w:val="27"/>
          <w:szCs w:val="27"/>
          <w:rtl/>
        </w:rPr>
        <w:t xml:space="preserve"> عل</w:t>
      </w:r>
      <w:r w:rsidRPr="00282AC9">
        <w:rPr>
          <w:rFonts w:cs="AL-Mohanad" w:hint="cs"/>
          <w:sz w:val="27"/>
          <w:szCs w:val="27"/>
          <w:rtl/>
        </w:rPr>
        <w:t>ى</w:t>
      </w:r>
      <w:r w:rsidR="00AD6E36" w:rsidRPr="00282AC9">
        <w:rPr>
          <w:rFonts w:ascii="Sakkal Majalla" w:hAnsi="Sakkal Majalla" w:cs="AL-Mohanad" w:hint="cs"/>
          <w:sz w:val="27"/>
          <w:szCs w:val="27"/>
          <w:rtl/>
        </w:rPr>
        <w:t xml:space="preserve"> ترت</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ب النزول </w:t>
      </w:r>
      <w:r w:rsidR="00AD6E36" w:rsidRPr="00282AC9">
        <w:rPr>
          <w:rFonts w:cs="AL-Mohanad" w:hint="cs"/>
          <w:sz w:val="27"/>
          <w:szCs w:val="27"/>
          <w:rtl/>
        </w:rPr>
        <w:t>ي</w:t>
      </w:r>
      <w:r w:rsidR="00AD6E36" w:rsidRPr="00282AC9">
        <w:rPr>
          <w:rFonts w:ascii="Sakkal Majalla" w:hAnsi="Sakkal Majalla" w:cs="AL-Mohanad" w:hint="cs"/>
          <w:sz w:val="27"/>
          <w:szCs w:val="27"/>
          <w:rtl/>
        </w:rPr>
        <w:t>دّل عل</w:t>
      </w:r>
      <w:r w:rsidRPr="00282AC9">
        <w:rPr>
          <w:rFonts w:cs="AL-Mohanad" w:hint="cs"/>
          <w:sz w:val="27"/>
          <w:szCs w:val="27"/>
          <w:rtl/>
        </w:rPr>
        <w:t>ى</w:t>
      </w:r>
      <w:r w:rsidR="00AD6E36" w:rsidRPr="00282AC9">
        <w:rPr>
          <w:rFonts w:ascii="Sakkal Majalla" w:hAnsi="Sakkal Majalla" w:cs="AL-Mohanad" w:hint="cs"/>
          <w:sz w:val="27"/>
          <w:szCs w:val="27"/>
          <w:rtl/>
        </w:rPr>
        <w:t xml:space="preserve"> أنّ ال</w:t>
      </w:r>
      <w:r w:rsidRPr="00282AC9">
        <w:rPr>
          <w:rFonts w:ascii="Sakkal Majalla" w:hAnsi="Sakkal Majalla" w:cs="AL-Mohanad" w:hint="cs"/>
          <w:sz w:val="27"/>
          <w:szCs w:val="27"/>
          <w:rtl/>
        </w:rPr>
        <w:t>إ</w:t>
      </w:r>
      <w:r w:rsidR="00AD6E36" w:rsidRPr="00282AC9">
        <w:rPr>
          <w:rFonts w:ascii="Sakkal Majalla" w:hAnsi="Sakkal Majalla" w:cs="AL-Mohanad" w:hint="cs"/>
          <w:sz w:val="27"/>
          <w:szCs w:val="27"/>
          <w:rtl/>
        </w:rPr>
        <w:t>مام</w:t>
      </w:r>
      <w:r w:rsidR="009A2A04" w:rsidRPr="00282AC9">
        <w:rPr>
          <w:rFonts w:ascii="Sakkal Majalla" w:hAnsi="Sakkal Majalla" w:cs="Mosawi" w:hint="cs"/>
          <w:sz w:val="22"/>
          <w:szCs w:val="22"/>
          <w:rtl/>
        </w:rPr>
        <w:t>×</w:t>
      </w:r>
      <w:r w:rsidR="00AD6E36" w:rsidRPr="00282AC9">
        <w:rPr>
          <w:rFonts w:ascii="Sakkal Majalla" w:hAnsi="Sakkal Majalla" w:cs="AL-Mohanad" w:hint="cs"/>
          <w:sz w:val="27"/>
          <w:szCs w:val="27"/>
          <w:rtl/>
        </w:rPr>
        <w:t xml:space="preserve"> لم </w:t>
      </w:r>
      <w:r w:rsidR="00AD6E36" w:rsidRPr="00282AC9">
        <w:rPr>
          <w:rFonts w:cs="AL-Mohanad" w:hint="cs"/>
          <w:sz w:val="27"/>
          <w:szCs w:val="27"/>
          <w:rtl/>
        </w:rPr>
        <w:t>ي</w:t>
      </w:r>
      <w:r w:rsidR="00AD6E36" w:rsidRPr="00282AC9">
        <w:rPr>
          <w:rFonts w:ascii="Sakkal Majalla" w:hAnsi="Sakkal Majalla" w:cs="AL-Mohanad" w:hint="cs"/>
          <w:sz w:val="27"/>
          <w:szCs w:val="27"/>
          <w:rtl/>
        </w:rPr>
        <w:t>رض</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بالجمع والترت</w:t>
      </w:r>
      <w:r w:rsidR="00AD6E36" w:rsidRPr="00282AC9">
        <w:rPr>
          <w:rFonts w:cs="AL-Mohanad" w:hint="cs"/>
          <w:sz w:val="27"/>
          <w:szCs w:val="27"/>
          <w:rtl/>
        </w:rPr>
        <w:t>ي</w:t>
      </w:r>
      <w:r w:rsidR="00AD6E36" w:rsidRPr="00282AC9">
        <w:rPr>
          <w:rFonts w:ascii="Sakkal Majalla" w:hAnsi="Sakkal Majalla" w:cs="AL-Mohanad" w:hint="cs"/>
          <w:sz w:val="27"/>
          <w:szCs w:val="27"/>
          <w:rtl/>
        </w:rPr>
        <w:t>ب الموجود في هذا القرآن، فلو كان ترت</w:t>
      </w:r>
      <w:r w:rsidR="00AD6E36" w:rsidRPr="00282AC9">
        <w:rPr>
          <w:rFonts w:cs="AL-Mohanad" w:hint="cs"/>
          <w:sz w:val="27"/>
          <w:szCs w:val="27"/>
          <w:rtl/>
        </w:rPr>
        <w:t>ي</w:t>
      </w:r>
      <w:r w:rsidR="00AD6E36" w:rsidRPr="00282AC9">
        <w:rPr>
          <w:rFonts w:ascii="Sakkal Majalla" w:hAnsi="Sakkal Majalla" w:cs="AL-Mohanad" w:hint="cs"/>
          <w:sz w:val="27"/>
          <w:szCs w:val="27"/>
          <w:rtl/>
        </w:rPr>
        <w:t>ب آ</w:t>
      </w:r>
      <w:r w:rsidR="00AD6E36" w:rsidRPr="00282AC9">
        <w:rPr>
          <w:rFonts w:cs="AL-Mohanad" w:hint="cs"/>
          <w:sz w:val="27"/>
          <w:szCs w:val="27"/>
          <w:rtl/>
        </w:rPr>
        <w:t>ي</w:t>
      </w:r>
      <w:r w:rsidR="00AD6E36" w:rsidRPr="00282AC9">
        <w:rPr>
          <w:rFonts w:ascii="Sakkal Majalla" w:hAnsi="Sakkal Majalla" w:cs="AL-Mohanad" w:hint="cs"/>
          <w:sz w:val="27"/>
          <w:szCs w:val="27"/>
          <w:rtl/>
        </w:rPr>
        <w:t>ات القرآن بأمر</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من النبي</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لما خالف ال</w:t>
      </w:r>
      <w:r w:rsidRPr="00282AC9">
        <w:rPr>
          <w:rFonts w:ascii="Sakkal Majalla" w:hAnsi="Sakkal Majalla" w:cs="AL-Mohanad" w:hint="cs"/>
          <w:sz w:val="27"/>
          <w:szCs w:val="27"/>
          <w:rtl/>
        </w:rPr>
        <w:t>إ</w:t>
      </w:r>
      <w:r w:rsidR="00AD6E36" w:rsidRPr="00282AC9">
        <w:rPr>
          <w:rFonts w:ascii="Sakkal Majalla" w:hAnsi="Sakkal Majalla" w:cs="AL-Mohanad" w:hint="cs"/>
          <w:sz w:val="27"/>
          <w:szCs w:val="27"/>
          <w:rtl/>
        </w:rPr>
        <w:t>مام هذا الترت</w:t>
      </w:r>
      <w:r w:rsidR="00AD6E36" w:rsidRPr="00282AC9">
        <w:rPr>
          <w:rFonts w:cs="AL-Mohanad" w:hint="cs"/>
          <w:sz w:val="27"/>
          <w:szCs w:val="27"/>
          <w:rtl/>
        </w:rPr>
        <w:t>ي</w:t>
      </w:r>
      <w:r w:rsidR="00AD6E36" w:rsidRPr="00282AC9">
        <w:rPr>
          <w:rFonts w:ascii="Sakkal Majalla" w:hAnsi="Sakkal Majalla" w:cs="AL-Mohanad" w:hint="cs"/>
          <w:sz w:val="27"/>
          <w:szCs w:val="27"/>
          <w:rtl/>
        </w:rPr>
        <w:t>ب.</w:t>
      </w:r>
    </w:p>
    <w:p w:rsidR="00AD6E36" w:rsidRPr="00282AC9" w:rsidRDefault="00456EE8" w:rsidP="001D1A88">
      <w:pPr>
        <w:pStyle w:val="afc"/>
        <w:rPr>
          <w:rFonts w:ascii="Sakkal Majalla" w:hAnsi="Sakkal Majalla" w:cs="AL-Mohanad"/>
          <w:sz w:val="27"/>
          <w:szCs w:val="27"/>
          <w:rtl/>
        </w:rPr>
      </w:pPr>
      <w:r w:rsidRPr="00282AC9">
        <w:rPr>
          <w:rFonts w:ascii="Sakkal Majalla" w:hAnsi="Sakkal Majalla" w:cs="AL-Mohanad" w:hint="cs"/>
          <w:sz w:val="27"/>
          <w:szCs w:val="27"/>
          <w:rtl/>
        </w:rPr>
        <w:t>و</w:t>
      </w:r>
      <w:r w:rsidR="00AD6E36" w:rsidRPr="00282AC9">
        <w:rPr>
          <w:rFonts w:ascii="Sakkal Majalla" w:hAnsi="Sakkal Majalla" w:cs="AL-Mohanad"/>
          <w:sz w:val="27"/>
          <w:szCs w:val="27"/>
          <w:rtl/>
        </w:rPr>
        <w:t>ضمّ</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هذه</w:t>
      </w:r>
      <w:r w:rsidR="00AD6E36" w:rsidRPr="00282AC9">
        <w:rPr>
          <w:rFonts w:ascii="Sakkal Majalla" w:hAnsi="Sakkal Majalla" w:cs="AL-Mohanad"/>
          <w:sz w:val="27"/>
          <w:szCs w:val="27"/>
          <w:rtl/>
        </w:rPr>
        <w:t xml:space="preserve"> الط</w:t>
      </w:r>
      <w:r w:rsidR="00AD6E36" w:rsidRPr="00282AC9">
        <w:rPr>
          <w:rFonts w:ascii="Sakkal Majalla" w:hAnsi="Sakkal Majalla" w:cs="AL-Mohanad" w:hint="cs"/>
          <w:sz w:val="27"/>
          <w:szCs w:val="27"/>
          <w:rtl/>
        </w:rPr>
        <w:t>وائف الثلاثة</w:t>
      </w:r>
      <w:r w:rsidR="00AD6E36" w:rsidRPr="00282AC9">
        <w:rPr>
          <w:rFonts w:ascii="Sakkal Majalla" w:hAnsi="Sakkal Majalla" w:cs="AL-Mohanad"/>
          <w:sz w:val="27"/>
          <w:szCs w:val="27"/>
          <w:rtl/>
        </w:rPr>
        <w:t xml:space="preserve"> من الروا</w:t>
      </w:r>
      <w:r w:rsidR="00AD6E36" w:rsidRPr="00282AC9">
        <w:rPr>
          <w:rFonts w:cs="AL-Mohanad" w:hint="cs"/>
          <w:sz w:val="27"/>
          <w:szCs w:val="27"/>
          <w:rtl/>
        </w:rPr>
        <w:t>ي</w:t>
      </w:r>
      <w:r w:rsidR="00AD6E36" w:rsidRPr="00282AC9">
        <w:rPr>
          <w:rFonts w:ascii="Sakkal Majalla" w:hAnsi="Sakkal Majalla" w:cs="AL-Mohanad" w:hint="cs"/>
          <w:sz w:val="27"/>
          <w:szCs w:val="27"/>
          <w:rtl/>
        </w:rPr>
        <w:t>ات إلى بعضها</w:t>
      </w:r>
      <w:r w:rsidR="00AD6E36" w:rsidRPr="00282AC9">
        <w:rPr>
          <w:rFonts w:ascii="Sakkal Majalla" w:hAnsi="Sakkal Majalla" w:cs="AL-Mohanad"/>
          <w:sz w:val="27"/>
          <w:szCs w:val="27"/>
          <w:rtl/>
        </w:rPr>
        <w:t xml:space="preserve"> </w:t>
      </w:r>
      <w:r w:rsidR="00AD6E36" w:rsidRPr="00282AC9">
        <w:rPr>
          <w:rFonts w:cs="AL-Mohanad" w:hint="cs"/>
          <w:sz w:val="27"/>
          <w:szCs w:val="27"/>
          <w:rtl/>
        </w:rPr>
        <w:t>ي</w:t>
      </w:r>
      <w:r w:rsidR="00AD6E36" w:rsidRPr="00282AC9">
        <w:rPr>
          <w:rFonts w:ascii="Sakkal Majalla" w:hAnsi="Sakkal Majalla" w:cs="AL-Mohanad" w:hint="cs"/>
          <w:sz w:val="27"/>
          <w:szCs w:val="27"/>
          <w:rtl/>
        </w:rPr>
        <w:t>دلّ عل</w:t>
      </w:r>
      <w:r w:rsidR="00376F6C" w:rsidRPr="00282AC9">
        <w:rPr>
          <w:rFonts w:cs="AL-Mohanad" w:hint="cs"/>
          <w:sz w:val="27"/>
          <w:szCs w:val="27"/>
          <w:rtl/>
        </w:rPr>
        <w:t>ى</w:t>
      </w:r>
      <w:r w:rsidR="00AD6E36" w:rsidRPr="00282AC9">
        <w:rPr>
          <w:rFonts w:ascii="Sakkal Majalla" w:hAnsi="Sakkal Majalla" w:cs="AL-Mohanad" w:hint="cs"/>
          <w:sz w:val="27"/>
          <w:szCs w:val="27"/>
          <w:rtl/>
        </w:rPr>
        <w:t xml:space="preserve"> أ</w:t>
      </w:r>
      <w:r w:rsidR="00AD6E36" w:rsidRPr="00282AC9">
        <w:rPr>
          <w:rFonts w:ascii="Sakkal Majalla" w:hAnsi="Sakkal Majalla" w:cs="AL-Mohanad"/>
          <w:sz w:val="27"/>
          <w:szCs w:val="27"/>
          <w:rtl/>
        </w:rPr>
        <w:t>نّ الآ</w:t>
      </w:r>
      <w:r w:rsidR="00AD6E36" w:rsidRPr="00282AC9">
        <w:rPr>
          <w:rFonts w:cs="AL-Mohanad" w:hint="cs"/>
          <w:sz w:val="27"/>
          <w:szCs w:val="27"/>
          <w:rtl/>
        </w:rPr>
        <w:t>ي</w:t>
      </w:r>
      <w:r w:rsidR="00AD6E36" w:rsidRPr="00282AC9">
        <w:rPr>
          <w:rFonts w:ascii="Sakkal Majalla" w:hAnsi="Sakkal Majalla" w:cs="AL-Mohanad" w:hint="cs"/>
          <w:sz w:val="27"/>
          <w:szCs w:val="27"/>
          <w:rtl/>
        </w:rPr>
        <w:t>ات</w:t>
      </w:r>
      <w:r w:rsidR="00AD6E36" w:rsidRPr="00282AC9">
        <w:rPr>
          <w:rFonts w:ascii="Sakkal Majalla" w:hAnsi="Sakkal Majalla" w:cs="AL-Mohanad"/>
          <w:sz w:val="27"/>
          <w:szCs w:val="27"/>
          <w:rtl/>
        </w:rPr>
        <w:t xml:space="preserve"> </w:t>
      </w:r>
      <w:r w:rsidR="00AD6E36" w:rsidRPr="00282AC9">
        <w:rPr>
          <w:rFonts w:ascii="Sakkal Majalla" w:hAnsi="Sakkal Majalla" w:cs="AL-Mohanad" w:hint="cs"/>
          <w:sz w:val="27"/>
          <w:szCs w:val="27"/>
          <w:rtl/>
        </w:rPr>
        <w:t>القر</w:t>
      </w:r>
      <w:r w:rsidR="00376F6C" w:rsidRPr="00282AC9">
        <w:rPr>
          <w:rFonts w:ascii="Sakkal Majalla" w:hAnsi="Sakkal Majalla" w:cs="AL-Mohanad" w:hint="cs"/>
          <w:sz w:val="27"/>
          <w:szCs w:val="27"/>
          <w:rtl/>
        </w:rPr>
        <w:t>آ</w:t>
      </w:r>
      <w:r w:rsidR="00AD6E36" w:rsidRPr="00282AC9">
        <w:rPr>
          <w:rFonts w:ascii="Sakkal Majalla" w:hAnsi="Sakkal Majalla" w:cs="AL-Mohanad" w:hint="cs"/>
          <w:sz w:val="27"/>
          <w:szCs w:val="27"/>
          <w:rtl/>
        </w:rPr>
        <w:t>ن</w:t>
      </w:r>
      <w:r w:rsidR="00AD6E36" w:rsidRPr="00282AC9">
        <w:rPr>
          <w:rFonts w:cs="AL-Mohanad" w:hint="cs"/>
          <w:sz w:val="27"/>
          <w:szCs w:val="27"/>
          <w:rtl/>
        </w:rPr>
        <w:t>ي</w:t>
      </w:r>
      <w:r w:rsidR="00AD6E36" w:rsidRPr="00282AC9">
        <w:rPr>
          <w:rFonts w:ascii="Sakkal Majalla" w:hAnsi="Sakkal Majalla" w:cs="AL-Mohanad" w:hint="cs"/>
          <w:sz w:val="27"/>
          <w:szCs w:val="27"/>
          <w:rtl/>
        </w:rPr>
        <w:t>ة</w:t>
      </w:r>
      <w:r w:rsidR="00AD6E36" w:rsidRPr="00282AC9">
        <w:rPr>
          <w:rFonts w:ascii="Sakkal Majalla" w:hAnsi="Sakkal Majalla" w:cs="AL-Mohanad"/>
          <w:sz w:val="27"/>
          <w:szCs w:val="27"/>
          <w:rtl/>
        </w:rPr>
        <w:t xml:space="preserve"> ف</w:t>
      </w:r>
      <w:r w:rsidR="00AD6E36" w:rsidRPr="00282AC9">
        <w:rPr>
          <w:rFonts w:ascii="Sakkal Majalla" w:hAnsi="Sakkal Majalla" w:cs="AL-Mohanad" w:hint="cs"/>
          <w:sz w:val="27"/>
          <w:szCs w:val="27"/>
          <w:rtl/>
        </w:rPr>
        <w:t>ي</w:t>
      </w:r>
      <w:r w:rsidR="00AD6E36" w:rsidRPr="00282AC9">
        <w:rPr>
          <w:rFonts w:ascii="Sakkal Majalla" w:hAnsi="Sakkal Majalla" w:cs="AL-Mohanad"/>
          <w:sz w:val="27"/>
          <w:szCs w:val="27"/>
          <w:rtl/>
        </w:rPr>
        <w:t xml:space="preserve"> عهد النب</w:t>
      </w:r>
      <w:r w:rsidR="00AD6E36" w:rsidRPr="00282AC9">
        <w:rPr>
          <w:rFonts w:ascii="Sakkal Majalla" w:hAnsi="Sakkal Majalla" w:cs="AL-Mohanad" w:hint="cs"/>
          <w:sz w:val="27"/>
          <w:szCs w:val="27"/>
          <w:rtl/>
        </w:rPr>
        <w:t>ي</w:t>
      </w:r>
      <w:r w:rsidR="00376F6C" w:rsidRPr="00282AC9">
        <w:rPr>
          <w:rFonts w:ascii="Sakkal Majalla" w:hAnsi="Sakkal Majalla" w:cs="AL-Mohanad" w:hint="cs"/>
          <w:sz w:val="27"/>
          <w:szCs w:val="27"/>
          <w:rtl/>
        </w:rPr>
        <w:t>ّ</w:t>
      </w:r>
      <w:r w:rsidR="00AD6E36" w:rsidRPr="00282AC9">
        <w:rPr>
          <w:rFonts w:ascii="Sakkal Majalla" w:hAnsi="Sakkal Majalla" w:cs="AL-Mohanad"/>
          <w:sz w:val="27"/>
          <w:szCs w:val="27"/>
          <w:rtl/>
        </w:rPr>
        <w:t xml:space="preserve"> كانت مرتبة</w:t>
      </w:r>
      <w:r w:rsidR="00376F6C" w:rsidRPr="00282AC9">
        <w:rPr>
          <w:rFonts w:ascii="Sakkal Majalla" w:hAnsi="Sakkal Majalla" w:cs="AL-Mohanad" w:hint="cs"/>
          <w:sz w:val="27"/>
          <w:szCs w:val="27"/>
          <w:rtl/>
        </w:rPr>
        <w:t>ً</w:t>
      </w:r>
      <w:r w:rsidR="00AD6E36" w:rsidRPr="00282AC9">
        <w:rPr>
          <w:rFonts w:ascii="Sakkal Majalla" w:hAnsi="Sakkal Majalla" w:cs="AL-Mohanad"/>
          <w:sz w:val="27"/>
          <w:szCs w:val="27"/>
          <w:rtl/>
        </w:rPr>
        <w:t xml:space="preserve"> بح</w:t>
      </w:r>
      <w:r w:rsidR="00376F6C" w:rsidRPr="00282AC9">
        <w:rPr>
          <w:rFonts w:ascii="Sakkal Majalla" w:hAnsi="Sakkal Majalla" w:cs="AL-Mohanad" w:hint="cs"/>
          <w:sz w:val="27"/>
          <w:szCs w:val="27"/>
          <w:rtl/>
        </w:rPr>
        <w:t>َ</w:t>
      </w:r>
      <w:r w:rsidR="00AD6E36" w:rsidRPr="00282AC9">
        <w:rPr>
          <w:rFonts w:ascii="Sakkal Majalla" w:hAnsi="Sakkal Majalla" w:cs="AL-Mohanad"/>
          <w:sz w:val="27"/>
          <w:szCs w:val="27"/>
          <w:rtl/>
        </w:rPr>
        <w:t>س</w:t>
      </w:r>
      <w:r w:rsidR="00376F6C" w:rsidRPr="00282AC9">
        <w:rPr>
          <w:rFonts w:ascii="Sakkal Majalla" w:hAnsi="Sakkal Majalla" w:cs="AL-Mohanad" w:hint="cs"/>
          <w:sz w:val="27"/>
          <w:szCs w:val="27"/>
          <w:rtl/>
        </w:rPr>
        <w:t>َ</w:t>
      </w:r>
      <w:r w:rsidR="00AD6E36" w:rsidRPr="00282AC9">
        <w:rPr>
          <w:rFonts w:ascii="Sakkal Majalla" w:hAnsi="Sakkal Majalla" w:cs="AL-Mohanad"/>
          <w:sz w:val="27"/>
          <w:szCs w:val="27"/>
          <w:rtl/>
        </w:rPr>
        <w:t>ب ترت</w:t>
      </w:r>
      <w:r w:rsidR="00AD6E36" w:rsidRPr="00282AC9">
        <w:rPr>
          <w:rFonts w:cs="AL-Mohanad" w:hint="cs"/>
          <w:sz w:val="27"/>
          <w:szCs w:val="27"/>
          <w:rtl/>
        </w:rPr>
        <w:t>ي</w:t>
      </w:r>
      <w:r w:rsidR="00AD6E36" w:rsidRPr="00282AC9">
        <w:rPr>
          <w:rFonts w:ascii="Sakkal Majalla" w:hAnsi="Sakkal Majalla" w:cs="AL-Mohanad" w:hint="cs"/>
          <w:sz w:val="27"/>
          <w:szCs w:val="27"/>
          <w:rtl/>
        </w:rPr>
        <w:t>ب</w:t>
      </w:r>
      <w:r w:rsidR="00AD6E36" w:rsidRPr="00282AC9">
        <w:rPr>
          <w:rFonts w:ascii="Sakkal Majalla" w:hAnsi="Sakkal Majalla" w:cs="AL-Mohanad"/>
          <w:sz w:val="27"/>
          <w:szCs w:val="27"/>
          <w:rtl/>
        </w:rPr>
        <w:t xml:space="preserve"> النزول</w:t>
      </w:r>
      <w:r w:rsidR="00376F6C" w:rsidRPr="00282AC9">
        <w:rPr>
          <w:rFonts w:ascii="Sakkal Majalla" w:hAnsi="Sakkal Majalla" w:cs="AL-Mohanad" w:hint="cs"/>
          <w:sz w:val="27"/>
          <w:szCs w:val="27"/>
          <w:rtl/>
        </w:rPr>
        <w:t>،</w:t>
      </w:r>
      <w:r w:rsidR="00AD6E36" w:rsidRPr="00282AC9">
        <w:rPr>
          <w:rFonts w:ascii="Sakkal Majalla" w:hAnsi="Sakkal Majalla" w:cs="AL-Mohanad"/>
          <w:sz w:val="27"/>
          <w:szCs w:val="27"/>
          <w:rtl/>
        </w:rPr>
        <w:t xml:space="preserve"> فكانت المك</w:t>
      </w:r>
      <w:r w:rsidR="00376F6C" w:rsidRPr="00282AC9">
        <w:rPr>
          <w:rFonts w:ascii="Sakkal Majalla" w:hAnsi="Sakkal Majalla" w:cs="AL-Mohanad" w:hint="cs"/>
          <w:sz w:val="27"/>
          <w:szCs w:val="27"/>
          <w:rtl/>
        </w:rPr>
        <w:t>ّ</w:t>
      </w:r>
      <w:r w:rsidR="00AD6E36" w:rsidRPr="00282AC9">
        <w:rPr>
          <w:rFonts w:cs="AL-Mohanad" w:hint="cs"/>
          <w:sz w:val="27"/>
          <w:szCs w:val="27"/>
          <w:rtl/>
        </w:rPr>
        <w:t>ي</w:t>
      </w:r>
      <w:r w:rsidR="00AD6E36" w:rsidRPr="00282AC9">
        <w:rPr>
          <w:rFonts w:ascii="Sakkal Majalla" w:hAnsi="Sakkal Majalla" w:cs="AL-Mohanad" w:hint="cs"/>
          <w:sz w:val="27"/>
          <w:szCs w:val="27"/>
          <w:rtl/>
        </w:rPr>
        <w:t>ات</w:t>
      </w:r>
      <w:r w:rsidR="00AD6E36" w:rsidRPr="00282AC9">
        <w:rPr>
          <w:rFonts w:ascii="Sakkal Majalla" w:hAnsi="Sakkal Majalla" w:cs="AL-Mohanad"/>
          <w:sz w:val="27"/>
          <w:szCs w:val="27"/>
          <w:rtl/>
        </w:rPr>
        <w:t xml:space="preserve"> </w:t>
      </w:r>
      <w:r w:rsidR="00AD6E36" w:rsidRPr="00282AC9">
        <w:rPr>
          <w:rFonts w:ascii="Sakkal Majalla" w:hAnsi="Sakkal Majalla" w:cs="AL-Mohanad" w:hint="cs"/>
          <w:sz w:val="27"/>
          <w:szCs w:val="27"/>
          <w:rtl/>
        </w:rPr>
        <w:t>في</w:t>
      </w:r>
      <w:r w:rsidR="00AD6E36" w:rsidRPr="00282AC9">
        <w:rPr>
          <w:rFonts w:ascii="Sakkal Majalla" w:hAnsi="Sakkal Majalla" w:cs="AL-Mohanad"/>
          <w:sz w:val="27"/>
          <w:szCs w:val="27"/>
          <w:rtl/>
        </w:rPr>
        <w:t xml:space="preserve"> السور المك</w:t>
      </w:r>
      <w:r w:rsidR="00376F6C" w:rsidRPr="00282AC9">
        <w:rPr>
          <w:rFonts w:ascii="Sakkal Majalla" w:hAnsi="Sakkal Majalla" w:cs="AL-Mohanad" w:hint="cs"/>
          <w:sz w:val="27"/>
          <w:szCs w:val="27"/>
          <w:rtl/>
        </w:rPr>
        <w:t>ّ</w:t>
      </w:r>
      <w:r w:rsidR="00AD6E36" w:rsidRPr="00282AC9">
        <w:rPr>
          <w:rFonts w:cs="AL-Mohanad" w:hint="cs"/>
          <w:sz w:val="27"/>
          <w:szCs w:val="27"/>
          <w:rtl/>
        </w:rPr>
        <w:t>ي</w:t>
      </w:r>
      <w:r w:rsidR="00AD6E36" w:rsidRPr="00282AC9">
        <w:rPr>
          <w:rFonts w:ascii="Sakkal Majalla" w:hAnsi="Sakkal Majalla" w:cs="AL-Mohanad" w:hint="cs"/>
          <w:sz w:val="27"/>
          <w:szCs w:val="27"/>
          <w:rtl/>
        </w:rPr>
        <w:t>ة</w:t>
      </w:r>
      <w:r w:rsidR="00376F6C" w:rsidRPr="00282AC9">
        <w:rPr>
          <w:rFonts w:ascii="Sakkal Majalla" w:hAnsi="Sakkal Majalla" w:cs="AL-Mohanad" w:hint="cs"/>
          <w:sz w:val="27"/>
          <w:szCs w:val="27"/>
          <w:rtl/>
        </w:rPr>
        <w:t>،</w:t>
      </w:r>
      <w:r w:rsidR="00AD6E36" w:rsidRPr="00282AC9">
        <w:rPr>
          <w:rFonts w:ascii="Sakkal Majalla" w:hAnsi="Sakkal Majalla" w:cs="AL-Mohanad"/>
          <w:sz w:val="27"/>
          <w:szCs w:val="27"/>
          <w:rtl/>
        </w:rPr>
        <w:t xml:space="preserve"> و</w:t>
      </w:r>
      <w:r w:rsidR="00AD6E36" w:rsidRPr="00282AC9">
        <w:rPr>
          <w:rFonts w:ascii="Sakkal Majalla" w:hAnsi="Sakkal Majalla" w:cs="AL-Mohanad" w:hint="cs"/>
          <w:sz w:val="27"/>
          <w:szCs w:val="27"/>
          <w:rtl/>
        </w:rPr>
        <w:t>المدن</w:t>
      </w:r>
      <w:r w:rsidR="00AD6E36" w:rsidRPr="00282AC9">
        <w:rPr>
          <w:rFonts w:cs="AL-Mohanad" w:hint="cs"/>
          <w:sz w:val="27"/>
          <w:szCs w:val="27"/>
          <w:rtl/>
        </w:rPr>
        <w:t>ي</w:t>
      </w:r>
      <w:r w:rsidR="00AD6E36" w:rsidRPr="00282AC9">
        <w:rPr>
          <w:rFonts w:ascii="Sakkal Majalla" w:hAnsi="Sakkal Majalla" w:cs="AL-Mohanad" w:hint="cs"/>
          <w:sz w:val="27"/>
          <w:szCs w:val="27"/>
          <w:rtl/>
        </w:rPr>
        <w:t>ات</w:t>
      </w:r>
      <w:r w:rsidR="00AD6E36" w:rsidRPr="00282AC9">
        <w:rPr>
          <w:rFonts w:ascii="Sakkal Majalla" w:hAnsi="Sakkal Majalla" w:cs="AL-Mohanad"/>
          <w:sz w:val="27"/>
          <w:szCs w:val="27"/>
          <w:rtl/>
        </w:rPr>
        <w:t xml:space="preserve"> </w:t>
      </w:r>
      <w:r w:rsidR="00AD6E36" w:rsidRPr="00282AC9">
        <w:rPr>
          <w:rFonts w:ascii="Sakkal Majalla" w:hAnsi="Sakkal Majalla" w:cs="AL-Mohanad" w:hint="cs"/>
          <w:sz w:val="27"/>
          <w:szCs w:val="27"/>
          <w:rtl/>
        </w:rPr>
        <w:t>في</w:t>
      </w:r>
      <w:r w:rsidR="00AD6E36" w:rsidRPr="00282AC9">
        <w:rPr>
          <w:rFonts w:ascii="Sakkal Majalla" w:hAnsi="Sakkal Majalla" w:cs="AL-Mohanad"/>
          <w:sz w:val="27"/>
          <w:szCs w:val="27"/>
          <w:rtl/>
        </w:rPr>
        <w:t xml:space="preserve"> السور المدن</w:t>
      </w:r>
      <w:r w:rsidR="00AD6E36" w:rsidRPr="00282AC9">
        <w:rPr>
          <w:rFonts w:cs="AL-Mohanad" w:hint="cs"/>
          <w:sz w:val="27"/>
          <w:szCs w:val="27"/>
          <w:rtl/>
        </w:rPr>
        <w:t>ي</w:t>
      </w:r>
      <w:r w:rsidR="00AD6E36" w:rsidRPr="00282AC9">
        <w:rPr>
          <w:rFonts w:ascii="Sakkal Majalla" w:hAnsi="Sakkal Majalla" w:cs="AL-Mohanad" w:hint="cs"/>
          <w:sz w:val="27"/>
          <w:szCs w:val="27"/>
          <w:rtl/>
        </w:rPr>
        <w:t>ة</w:t>
      </w:r>
      <w:r w:rsidR="00AD6E36" w:rsidRPr="00282AC9">
        <w:rPr>
          <w:rFonts w:ascii="Sakkal Majalla" w:hAnsi="Sakkal Majalla" w:cs="AL-Mohanad"/>
          <w:sz w:val="27"/>
          <w:szCs w:val="27"/>
          <w:rtl/>
        </w:rPr>
        <w:t>.</w:t>
      </w:r>
      <w:r w:rsidR="00AD6E36" w:rsidRPr="00282AC9">
        <w:rPr>
          <w:rFonts w:ascii="Sakkal Majalla" w:hAnsi="Sakkal Majalla" w:cs="AL-Mohanad" w:hint="cs"/>
          <w:sz w:val="27"/>
          <w:szCs w:val="27"/>
          <w:rtl/>
        </w:rPr>
        <w:t xml:space="preserve"> خلافاً لما نراه في القرآن الذ</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 ب</w:t>
      </w:r>
      <w:r w:rsidR="00AD6E36" w:rsidRPr="00282AC9">
        <w:rPr>
          <w:rFonts w:cs="AL-Mohanad" w:hint="cs"/>
          <w:sz w:val="27"/>
          <w:szCs w:val="27"/>
          <w:rtl/>
        </w:rPr>
        <w:t>ي</w:t>
      </w:r>
      <w:r w:rsidR="00AD6E36" w:rsidRPr="00282AC9">
        <w:rPr>
          <w:rFonts w:ascii="Sakkal Majalla" w:hAnsi="Sakkal Majalla" w:cs="AL-Mohanad" w:hint="cs"/>
          <w:sz w:val="27"/>
          <w:szCs w:val="27"/>
          <w:rtl/>
        </w:rPr>
        <w:t>ن أ</w:t>
      </w:r>
      <w:r w:rsidR="00AD6E36" w:rsidRPr="00282AC9">
        <w:rPr>
          <w:rFonts w:cs="AL-Mohanad" w:hint="cs"/>
          <w:sz w:val="27"/>
          <w:szCs w:val="27"/>
          <w:rtl/>
        </w:rPr>
        <w:t>ي</w:t>
      </w:r>
      <w:r w:rsidR="00AD6E36" w:rsidRPr="00282AC9">
        <w:rPr>
          <w:rFonts w:ascii="Sakkal Majalla" w:hAnsi="Sakkal Majalla" w:cs="AL-Mohanad" w:hint="cs"/>
          <w:sz w:val="27"/>
          <w:szCs w:val="27"/>
          <w:rtl/>
        </w:rPr>
        <w:t>د</w:t>
      </w:r>
      <w:r w:rsidR="00AD6E36" w:rsidRPr="00282AC9">
        <w:rPr>
          <w:rFonts w:cs="AL-Mohanad" w:hint="cs"/>
          <w:sz w:val="27"/>
          <w:szCs w:val="27"/>
          <w:rtl/>
        </w:rPr>
        <w:t>ي</w:t>
      </w:r>
      <w:r w:rsidR="00AD6E36" w:rsidRPr="00282AC9">
        <w:rPr>
          <w:rFonts w:ascii="Sakkal Majalla" w:hAnsi="Sakkal Majalla" w:cs="AL-Mohanad" w:hint="cs"/>
          <w:sz w:val="27"/>
          <w:szCs w:val="27"/>
          <w:rtl/>
        </w:rPr>
        <w:t>نا</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من وجود آ</w:t>
      </w:r>
      <w:r w:rsidR="00AD6E36" w:rsidRPr="00282AC9">
        <w:rPr>
          <w:rFonts w:cs="AL-Mohanad" w:hint="cs"/>
          <w:sz w:val="27"/>
          <w:szCs w:val="27"/>
          <w:rtl/>
        </w:rPr>
        <w:t>ي</w:t>
      </w:r>
      <w:r w:rsidR="00AD6E36" w:rsidRPr="00282AC9">
        <w:rPr>
          <w:rFonts w:ascii="Sakkal Majalla" w:hAnsi="Sakkal Majalla" w:cs="AL-Mohanad" w:hint="cs"/>
          <w:sz w:val="27"/>
          <w:szCs w:val="27"/>
          <w:rtl/>
        </w:rPr>
        <w:t>ات مدن</w:t>
      </w:r>
      <w:r w:rsidR="00AD6E36" w:rsidRPr="00282AC9">
        <w:rPr>
          <w:rFonts w:cs="AL-Mohanad" w:hint="cs"/>
          <w:sz w:val="27"/>
          <w:szCs w:val="27"/>
          <w:rtl/>
        </w:rPr>
        <w:t>ي</w:t>
      </w:r>
      <w:r w:rsidR="00AD6E36" w:rsidRPr="00282AC9">
        <w:rPr>
          <w:rFonts w:ascii="Sakkal Majalla" w:hAnsi="Sakkal Majalla" w:cs="AL-Mohanad" w:hint="cs"/>
          <w:sz w:val="27"/>
          <w:szCs w:val="27"/>
          <w:rtl/>
        </w:rPr>
        <w:t>ة وضعت في سور مك</w:t>
      </w:r>
      <w:r w:rsidR="00376F6C" w:rsidRPr="00282AC9">
        <w:rPr>
          <w:rFonts w:ascii="Sakkal Majalla" w:hAnsi="Sakkal Majalla" w:cs="AL-Mohanad" w:hint="cs"/>
          <w:sz w:val="27"/>
          <w:szCs w:val="27"/>
          <w:rtl/>
        </w:rPr>
        <w:t>ّ</w:t>
      </w:r>
      <w:r w:rsidR="00AD6E36" w:rsidRPr="00282AC9">
        <w:rPr>
          <w:rFonts w:cs="AL-Mohanad" w:hint="cs"/>
          <w:sz w:val="27"/>
          <w:szCs w:val="27"/>
          <w:rtl/>
        </w:rPr>
        <w:t>ي</w:t>
      </w:r>
      <w:r w:rsidR="00AD6E36" w:rsidRPr="00282AC9">
        <w:rPr>
          <w:rFonts w:ascii="Sakkal Majalla" w:hAnsi="Sakkal Majalla" w:cs="AL-Mohanad" w:hint="cs"/>
          <w:sz w:val="27"/>
          <w:szCs w:val="27"/>
          <w:rtl/>
        </w:rPr>
        <w:t>ة</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ووجود آ</w:t>
      </w:r>
      <w:r w:rsidR="00AD6E36" w:rsidRPr="00282AC9">
        <w:rPr>
          <w:rFonts w:cs="AL-Mohanad" w:hint="cs"/>
          <w:sz w:val="27"/>
          <w:szCs w:val="27"/>
          <w:rtl/>
        </w:rPr>
        <w:t>ي</w:t>
      </w:r>
      <w:r w:rsidR="00AD6E36" w:rsidRPr="00282AC9">
        <w:rPr>
          <w:rFonts w:ascii="Sakkal Majalla" w:hAnsi="Sakkal Majalla" w:cs="AL-Mohanad" w:hint="cs"/>
          <w:sz w:val="27"/>
          <w:szCs w:val="27"/>
          <w:rtl/>
        </w:rPr>
        <w:t>ات مك</w:t>
      </w:r>
      <w:r w:rsidR="00376F6C" w:rsidRPr="00282AC9">
        <w:rPr>
          <w:rFonts w:ascii="Sakkal Majalla" w:hAnsi="Sakkal Majalla" w:cs="AL-Mohanad" w:hint="cs"/>
          <w:sz w:val="27"/>
          <w:szCs w:val="27"/>
          <w:rtl/>
        </w:rPr>
        <w:t>ّ</w:t>
      </w:r>
      <w:r w:rsidR="00AD6E36" w:rsidRPr="00282AC9">
        <w:rPr>
          <w:rFonts w:cs="AL-Mohanad" w:hint="cs"/>
          <w:sz w:val="27"/>
          <w:szCs w:val="27"/>
          <w:rtl/>
        </w:rPr>
        <w:t>ي</w:t>
      </w:r>
      <w:r w:rsidR="00AD6E36" w:rsidRPr="00282AC9">
        <w:rPr>
          <w:rFonts w:ascii="Sakkal Majalla" w:hAnsi="Sakkal Majalla" w:cs="AL-Mohanad" w:hint="cs"/>
          <w:sz w:val="27"/>
          <w:szCs w:val="27"/>
          <w:rtl/>
        </w:rPr>
        <w:t>ة وضعت في سور مدن</w:t>
      </w:r>
      <w:r w:rsidR="00AD6E36" w:rsidRPr="00282AC9">
        <w:rPr>
          <w:rFonts w:cs="AL-Mohanad" w:hint="cs"/>
          <w:sz w:val="27"/>
          <w:szCs w:val="27"/>
          <w:rtl/>
        </w:rPr>
        <w:t>ي</w:t>
      </w:r>
      <w:r w:rsidR="00AD6E36" w:rsidRPr="00282AC9">
        <w:rPr>
          <w:rFonts w:ascii="Sakkal Majalla" w:hAnsi="Sakkal Majalla" w:cs="AL-Mohanad" w:hint="cs"/>
          <w:sz w:val="27"/>
          <w:szCs w:val="27"/>
          <w:rtl/>
        </w:rPr>
        <w:t>ة</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أو كون آ</w:t>
      </w:r>
      <w:r w:rsidR="00AD6E36" w:rsidRPr="00282AC9">
        <w:rPr>
          <w:rFonts w:cs="AL-Mohanad" w:hint="cs"/>
          <w:sz w:val="27"/>
          <w:szCs w:val="27"/>
          <w:rtl/>
        </w:rPr>
        <w:t>ي</w:t>
      </w:r>
      <w:r w:rsidR="00AD6E36" w:rsidRPr="00282AC9">
        <w:rPr>
          <w:rFonts w:ascii="Sakkal Majalla" w:hAnsi="Sakkal Majalla" w:cs="AL-Mohanad" w:hint="cs"/>
          <w:sz w:val="27"/>
          <w:szCs w:val="27"/>
          <w:rtl/>
        </w:rPr>
        <w:t>ات نازلة في أواخر عهد النبي</w:t>
      </w:r>
      <w:r w:rsidR="009A2A04" w:rsidRPr="00282AC9">
        <w:rPr>
          <w:rFonts w:ascii="Sakkal Majalla" w:hAnsi="Sakkal Majalla" w:cs="Mosawi" w:hint="cs"/>
          <w:sz w:val="22"/>
          <w:szCs w:val="22"/>
          <w:rtl/>
        </w:rPr>
        <w:t>|</w:t>
      </w:r>
      <w:r w:rsidR="00AD6E36" w:rsidRPr="00282AC9">
        <w:rPr>
          <w:rFonts w:ascii="Sakkal Majalla" w:hAnsi="Sakkal Majalla" w:cs="AL-Mohanad" w:hint="cs"/>
          <w:sz w:val="27"/>
          <w:szCs w:val="27"/>
          <w:rtl/>
        </w:rPr>
        <w:t xml:space="preserve"> واقعة</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ف</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 سور نازلة ف</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 </w:t>
      </w:r>
      <w:r w:rsidR="00376F6C" w:rsidRPr="00282AC9">
        <w:rPr>
          <w:rFonts w:ascii="Sakkal Majalla" w:hAnsi="Sakkal Majalla" w:cs="AL-Mohanad" w:hint="cs"/>
          <w:sz w:val="27"/>
          <w:szCs w:val="27"/>
          <w:rtl/>
        </w:rPr>
        <w:t>أ</w:t>
      </w:r>
      <w:r w:rsidR="00AD6E36" w:rsidRPr="00282AC9">
        <w:rPr>
          <w:rFonts w:ascii="Sakkal Majalla" w:hAnsi="Sakkal Majalla" w:cs="AL-Mohanad" w:hint="cs"/>
          <w:sz w:val="27"/>
          <w:szCs w:val="27"/>
          <w:rtl/>
        </w:rPr>
        <w:t>وائل الهجرة</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كآ</w:t>
      </w:r>
      <w:r w:rsidR="00AD6E36" w:rsidRPr="00282AC9">
        <w:rPr>
          <w:rFonts w:cs="AL-Mohanad" w:hint="cs"/>
          <w:sz w:val="27"/>
          <w:szCs w:val="27"/>
          <w:rtl/>
        </w:rPr>
        <w:t>ي</w:t>
      </w:r>
      <w:r w:rsidR="00AD6E36" w:rsidRPr="00282AC9">
        <w:rPr>
          <w:rFonts w:ascii="Sakkal Majalla" w:hAnsi="Sakkal Majalla" w:cs="AL-Mohanad" w:hint="cs"/>
          <w:sz w:val="27"/>
          <w:szCs w:val="27"/>
          <w:rtl/>
        </w:rPr>
        <w:t>ات الر</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با</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الت</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 ت</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ع</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د</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من آخر ما نزل عل</w:t>
      </w:r>
      <w:r w:rsidR="00376F6C" w:rsidRPr="00282AC9">
        <w:rPr>
          <w:rFonts w:cs="AL-Mohanad" w:hint="cs"/>
          <w:sz w:val="27"/>
          <w:szCs w:val="27"/>
          <w:rtl/>
        </w:rPr>
        <w:t>ى</w:t>
      </w:r>
      <w:r w:rsidR="00AD6E36" w:rsidRPr="00282AC9">
        <w:rPr>
          <w:rFonts w:ascii="Sakkal Majalla" w:hAnsi="Sakkal Majalla" w:cs="AL-Mohanad" w:hint="cs"/>
          <w:sz w:val="27"/>
          <w:szCs w:val="27"/>
          <w:rtl/>
        </w:rPr>
        <w:t xml:space="preserve"> النب</w:t>
      </w:r>
      <w:r w:rsidR="00AD6E36" w:rsidRPr="00282AC9">
        <w:rPr>
          <w:rFonts w:cs="AL-Mohanad" w:hint="cs"/>
          <w:sz w:val="27"/>
          <w:szCs w:val="27"/>
          <w:rtl/>
        </w:rPr>
        <w:t>ي</w:t>
      </w:r>
      <w:r w:rsidR="009A2A04" w:rsidRPr="00282AC9">
        <w:rPr>
          <w:rFonts w:ascii="Sakkal Majalla" w:hAnsi="Sakkal Majalla" w:cs="Mosawi" w:hint="cs"/>
          <w:sz w:val="22"/>
          <w:szCs w:val="22"/>
          <w:rtl/>
        </w:rPr>
        <w:t>|</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وهي واقعة</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في سورة البقرة</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وغ</w:t>
      </w:r>
      <w:r w:rsidR="00AD6E36" w:rsidRPr="00282AC9">
        <w:rPr>
          <w:rFonts w:cs="AL-Mohanad" w:hint="cs"/>
          <w:sz w:val="27"/>
          <w:szCs w:val="27"/>
          <w:rtl/>
        </w:rPr>
        <w:t>ي</w:t>
      </w:r>
      <w:r w:rsidR="00AD6E36" w:rsidRPr="00282AC9">
        <w:rPr>
          <w:rFonts w:ascii="Sakkal Majalla" w:hAnsi="Sakkal Majalla" w:cs="AL-Mohanad" w:hint="cs"/>
          <w:sz w:val="27"/>
          <w:szCs w:val="27"/>
          <w:rtl/>
        </w:rPr>
        <w:t>رها من الآ</w:t>
      </w:r>
      <w:r w:rsidR="00AD6E36" w:rsidRPr="00282AC9">
        <w:rPr>
          <w:rFonts w:cs="AL-Mohanad" w:hint="cs"/>
          <w:sz w:val="27"/>
          <w:szCs w:val="27"/>
          <w:rtl/>
        </w:rPr>
        <w:t>ي</w:t>
      </w:r>
      <w:r w:rsidR="00AD6E36" w:rsidRPr="00282AC9">
        <w:rPr>
          <w:rFonts w:ascii="Sakkal Majalla" w:hAnsi="Sakkal Majalla" w:cs="AL-Mohanad" w:hint="cs"/>
          <w:sz w:val="27"/>
          <w:szCs w:val="27"/>
          <w:rtl/>
        </w:rPr>
        <w:t>ات. فكل</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ذلك </w:t>
      </w:r>
      <w:r w:rsidR="00AD6E36" w:rsidRPr="00282AC9">
        <w:rPr>
          <w:rFonts w:cs="AL-Mohanad" w:hint="cs"/>
          <w:sz w:val="27"/>
          <w:szCs w:val="27"/>
          <w:rtl/>
        </w:rPr>
        <w:t>ي</w:t>
      </w:r>
      <w:r w:rsidR="00AD6E36" w:rsidRPr="00282AC9">
        <w:rPr>
          <w:rFonts w:ascii="Sakkal Majalla" w:hAnsi="Sakkal Majalla" w:cs="AL-Mohanad" w:hint="cs"/>
          <w:sz w:val="27"/>
          <w:szCs w:val="27"/>
          <w:rtl/>
        </w:rPr>
        <w:t>ورث الج</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ز</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م لنا أنّ ترت</w:t>
      </w:r>
      <w:r w:rsidR="00AD6E36" w:rsidRPr="00282AC9">
        <w:rPr>
          <w:rFonts w:cs="AL-Mohanad" w:hint="cs"/>
          <w:sz w:val="27"/>
          <w:szCs w:val="27"/>
          <w:rtl/>
        </w:rPr>
        <w:t>ي</w:t>
      </w:r>
      <w:r w:rsidR="00AD6E36" w:rsidRPr="00282AC9">
        <w:rPr>
          <w:rFonts w:ascii="Sakkal Majalla" w:hAnsi="Sakkal Majalla" w:cs="AL-Mohanad" w:hint="cs"/>
          <w:sz w:val="27"/>
          <w:szCs w:val="27"/>
          <w:rtl/>
        </w:rPr>
        <w:t>ب بعض الآ</w:t>
      </w:r>
      <w:r w:rsidR="00AD6E36" w:rsidRPr="00282AC9">
        <w:rPr>
          <w:rFonts w:cs="AL-Mohanad" w:hint="cs"/>
          <w:sz w:val="27"/>
          <w:szCs w:val="27"/>
          <w:rtl/>
        </w:rPr>
        <w:t>ي</w:t>
      </w:r>
      <w:r w:rsidR="00AD6E36" w:rsidRPr="00282AC9">
        <w:rPr>
          <w:rFonts w:ascii="Sakkal Majalla" w:hAnsi="Sakkal Majalla" w:cs="AL-Mohanad" w:hint="cs"/>
          <w:sz w:val="27"/>
          <w:szCs w:val="27"/>
          <w:rtl/>
        </w:rPr>
        <w:t>ات القر</w:t>
      </w:r>
      <w:r w:rsidR="00376F6C" w:rsidRPr="00282AC9">
        <w:rPr>
          <w:rFonts w:ascii="Sakkal Majalla" w:hAnsi="Sakkal Majalla" w:cs="AL-Mohanad" w:hint="cs"/>
          <w:sz w:val="27"/>
          <w:szCs w:val="27"/>
          <w:rtl/>
        </w:rPr>
        <w:t>آ</w:t>
      </w:r>
      <w:r w:rsidR="00AD6E36" w:rsidRPr="00282AC9">
        <w:rPr>
          <w:rFonts w:ascii="Sakkal Majalla" w:hAnsi="Sakkal Majalla" w:cs="AL-Mohanad" w:hint="cs"/>
          <w:sz w:val="27"/>
          <w:szCs w:val="27"/>
          <w:rtl/>
        </w:rPr>
        <w:t>ن</w:t>
      </w:r>
      <w:r w:rsidR="00AD6E36" w:rsidRPr="00282AC9">
        <w:rPr>
          <w:rFonts w:cs="AL-Mohanad" w:hint="cs"/>
          <w:sz w:val="27"/>
          <w:szCs w:val="27"/>
          <w:rtl/>
        </w:rPr>
        <w:t>ي</w:t>
      </w:r>
      <w:r w:rsidR="00AD6E36" w:rsidRPr="00282AC9">
        <w:rPr>
          <w:rFonts w:ascii="Sakkal Majalla" w:hAnsi="Sakkal Majalla" w:cs="AL-Mohanad" w:hint="cs"/>
          <w:sz w:val="27"/>
          <w:szCs w:val="27"/>
          <w:rtl/>
        </w:rPr>
        <w:t>ة عل</w:t>
      </w:r>
      <w:r w:rsidR="00376F6C" w:rsidRPr="00282AC9">
        <w:rPr>
          <w:rFonts w:cs="AL-Mohanad" w:hint="cs"/>
          <w:sz w:val="27"/>
          <w:szCs w:val="27"/>
          <w:rtl/>
        </w:rPr>
        <w:t>ى</w:t>
      </w:r>
      <w:r w:rsidR="00AD6E36" w:rsidRPr="00282AC9">
        <w:rPr>
          <w:rFonts w:ascii="Sakkal Majalla" w:hAnsi="Sakkal Majalla" w:cs="AL-Mohanad" w:hint="cs"/>
          <w:sz w:val="27"/>
          <w:szCs w:val="27"/>
          <w:rtl/>
        </w:rPr>
        <w:t xml:space="preserve"> ما هو عل</w:t>
      </w:r>
      <w:r w:rsidR="00AD6E36" w:rsidRPr="00282AC9">
        <w:rPr>
          <w:rFonts w:cs="AL-Mohanad" w:hint="cs"/>
          <w:sz w:val="27"/>
          <w:szCs w:val="27"/>
          <w:rtl/>
        </w:rPr>
        <w:t>ي</w:t>
      </w:r>
      <w:r w:rsidR="00AD6E36" w:rsidRPr="00282AC9">
        <w:rPr>
          <w:rFonts w:ascii="Sakkal Majalla" w:hAnsi="Sakkal Majalla" w:cs="AL-Mohanad" w:hint="cs"/>
          <w:sz w:val="27"/>
          <w:szCs w:val="27"/>
          <w:rtl/>
        </w:rPr>
        <w:t>ه الآن ل</w:t>
      </w:r>
      <w:r w:rsidR="00AD6E36" w:rsidRPr="00282AC9">
        <w:rPr>
          <w:rFonts w:cs="AL-Mohanad" w:hint="cs"/>
          <w:sz w:val="27"/>
          <w:szCs w:val="27"/>
          <w:rtl/>
        </w:rPr>
        <w:t>ي</w:t>
      </w:r>
      <w:r w:rsidR="00AD6E36" w:rsidRPr="00282AC9">
        <w:rPr>
          <w:rFonts w:ascii="Sakkal Majalla" w:hAnsi="Sakkal Majalla" w:cs="AL-Mohanad" w:hint="cs"/>
          <w:sz w:val="27"/>
          <w:szCs w:val="27"/>
          <w:rtl/>
        </w:rPr>
        <w:t>س إ</w:t>
      </w:r>
      <w:r w:rsidR="00EE6DBA" w:rsidRPr="00282AC9">
        <w:rPr>
          <w:rFonts w:ascii="Sakkal Majalla" w:hAnsi="Sakkal Majalla" w:cs="AL-Mohanad" w:hint="cs"/>
          <w:sz w:val="27"/>
          <w:szCs w:val="27"/>
          <w:rtl/>
        </w:rPr>
        <w:t>لاّ</w:t>
      </w:r>
      <w:r w:rsidR="00AD6E36" w:rsidRPr="00282AC9">
        <w:rPr>
          <w:rFonts w:ascii="Sakkal Majalla" w:hAnsi="Sakkal Majalla" w:cs="AL-Mohanad" w:hint="cs"/>
          <w:sz w:val="27"/>
          <w:szCs w:val="27"/>
          <w:rtl/>
        </w:rPr>
        <w:t xml:space="preserve"> ب</w:t>
      </w:r>
      <w:r w:rsidR="00376F6C" w:rsidRPr="00282AC9">
        <w:rPr>
          <w:rFonts w:ascii="Sakkal Majalla" w:hAnsi="Sakkal Majalla" w:cs="AL-Mohanad" w:hint="cs"/>
          <w:sz w:val="27"/>
          <w:szCs w:val="27"/>
          <w:rtl/>
        </w:rPr>
        <w:t>ا</w:t>
      </w:r>
      <w:r w:rsidR="00AD6E36" w:rsidRPr="00282AC9">
        <w:rPr>
          <w:rFonts w:ascii="Sakkal Majalla" w:hAnsi="Sakkal Majalla" w:cs="AL-Mohanad" w:hint="cs"/>
          <w:sz w:val="27"/>
          <w:szCs w:val="27"/>
          <w:rtl/>
        </w:rPr>
        <w:t>جتهاد</w:t>
      </w:r>
      <w:r w:rsidR="00376F6C"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من الصحابة</w:t>
      </w:r>
      <w:r w:rsidR="00AD6E36" w:rsidRPr="00282AC9">
        <w:rPr>
          <w:rFonts w:ascii="Sakkal Majalla" w:hAnsi="Sakkal Majalla" w:cs="AL-Mohanad"/>
          <w:sz w:val="27"/>
          <w:szCs w:val="27"/>
          <w:vertAlign w:val="superscript"/>
          <w:rtl/>
        </w:rPr>
        <w:t>(</w:t>
      </w:r>
      <w:r w:rsidR="00AD6E36" w:rsidRPr="00282AC9">
        <w:rPr>
          <w:rStyle w:val="af9"/>
          <w:rFonts w:ascii="Sakkal Majalla" w:hAnsi="Sakkal Majalla" w:cs="AL-Mohanad"/>
          <w:sz w:val="27"/>
          <w:szCs w:val="27"/>
          <w:rtl/>
        </w:rPr>
        <w:endnoteReference w:id="883"/>
      </w:r>
      <w:r w:rsidR="00AD6E36" w:rsidRPr="00282AC9">
        <w:rPr>
          <w:rFonts w:ascii="Sakkal Majalla" w:hAnsi="Sakkal Majalla" w:cs="AL-Mohanad"/>
          <w:sz w:val="27"/>
          <w:szCs w:val="27"/>
          <w:vertAlign w:val="superscript"/>
          <w:rtl/>
        </w:rPr>
        <w:t>)</w:t>
      </w:r>
      <w:r w:rsidR="00376F6C" w:rsidRPr="00282AC9">
        <w:rPr>
          <w:rFonts w:ascii="Sakkal Majalla" w:hAnsi="Sakkal Majalla" w:cs="AL-Mohanad" w:hint="cs"/>
          <w:sz w:val="27"/>
          <w:szCs w:val="27"/>
          <w:rtl/>
        </w:rPr>
        <w:t>.</w:t>
      </w:r>
    </w:p>
    <w:p w:rsidR="00EF541F" w:rsidRPr="00282AC9" w:rsidRDefault="00EF541F" w:rsidP="00EF541F">
      <w:pPr>
        <w:spacing w:line="420" w:lineRule="exact"/>
        <w:rPr>
          <w:sz w:val="27"/>
          <w:rtl/>
        </w:rPr>
      </w:pPr>
    </w:p>
    <w:p w:rsidR="00AD6E36" w:rsidRPr="00282AC9" w:rsidRDefault="001A2D88" w:rsidP="001A2D88">
      <w:pPr>
        <w:pStyle w:val="31"/>
        <w:rPr>
          <w:color w:val="auto"/>
          <w:rtl/>
        </w:rPr>
      </w:pPr>
      <w:r w:rsidRPr="00282AC9">
        <w:rPr>
          <w:rFonts w:hint="cs"/>
          <w:color w:val="auto"/>
          <w:rtl/>
        </w:rPr>
        <w:t>تساؤلات</w:t>
      </w:r>
      <w:r w:rsidR="004E518E" w:rsidRPr="00282AC9">
        <w:rPr>
          <w:rFonts w:hint="cs"/>
          <w:color w:val="auto"/>
          <w:rtl/>
        </w:rPr>
        <w:t>ٌ مشروعة</w:t>
      </w:r>
    </w:p>
    <w:p w:rsidR="00AD6E36" w:rsidRPr="00282AC9" w:rsidRDefault="00EB1044" w:rsidP="001D1A88">
      <w:pPr>
        <w:pStyle w:val="afc"/>
        <w:rPr>
          <w:rFonts w:ascii="Sakkal Majalla" w:hAnsi="Sakkal Majalla" w:cs="AL-Mohanad"/>
          <w:sz w:val="27"/>
          <w:szCs w:val="27"/>
          <w:rtl/>
        </w:rPr>
      </w:pPr>
      <w:r w:rsidRPr="00282AC9">
        <w:rPr>
          <w:rFonts w:ascii="Sakkal Majalla" w:hAnsi="Sakkal Majalla" w:cs="AL-Mohanad" w:hint="cs"/>
          <w:sz w:val="27"/>
          <w:szCs w:val="27"/>
          <w:rtl/>
        </w:rPr>
        <w:t>و</w:t>
      </w:r>
      <w:r w:rsidR="00AD6E36" w:rsidRPr="00282AC9">
        <w:rPr>
          <w:rFonts w:ascii="Sakkal Majalla" w:hAnsi="Sakkal Majalla" w:cs="AL-Mohanad" w:hint="cs"/>
          <w:sz w:val="27"/>
          <w:szCs w:val="27"/>
          <w:rtl/>
        </w:rPr>
        <w:t xml:space="preserve">ممّا </w:t>
      </w:r>
      <w:r w:rsidRPr="00282AC9">
        <w:rPr>
          <w:rFonts w:ascii="Sakkal Majalla" w:hAnsi="Sakkal Majalla" w:cs="AL-Mohanad" w:hint="cs"/>
          <w:sz w:val="27"/>
          <w:szCs w:val="27"/>
          <w:rtl/>
        </w:rPr>
        <w:t>ا</w:t>
      </w:r>
      <w:r w:rsidR="00AD6E36" w:rsidRPr="00282AC9">
        <w:rPr>
          <w:rFonts w:ascii="Sakkal Majalla" w:hAnsi="Sakkal Majalla" w:cs="AL-Mohanad" w:hint="cs"/>
          <w:sz w:val="27"/>
          <w:szCs w:val="27"/>
          <w:rtl/>
        </w:rPr>
        <w:t>ستدل</w:t>
      </w:r>
      <w:r w:rsidR="00FE0BB0"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به العلا</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مة</w:t>
      </w:r>
      <w:r w:rsidRPr="00282AC9">
        <w:rPr>
          <w:rFonts w:ascii="Sakkal Majalla" w:hAnsi="Sakkal Majalla" w:cs="AL-Mohanad" w:hint="cs"/>
          <w:sz w:val="27"/>
          <w:szCs w:val="27"/>
          <w:rtl/>
        </w:rPr>
        <w:t xml:space="preserve"> الطباطبائي</w:t>
      </w:r>
      <w:r w:rsidR="00AD6E36" w:rsidRPr="00282AC9">
        <w:rPr>
          <w:rFonts w:ascii="Sakkal Majalla" w:hAnsi="Sakkal Majalla" w:cs="AL-Mohanad" w:hint="cs"/>
          <w:sz w:val="27"/>
          <w:szCs w:val="27"/>
          <w:rtl/>
        </w:rPr>
        <w:t xml:space="preserve"> عل</w:t>
      </w:r>
      <w:r w:rsidRPr="00282AC9">
        <w:rPr>
          <w:rFonts w:cs="AL-Mohanad" w:hint="cs"/>
          <w:sz w:val="27"/>
          <w:szCs w:val="27"/>
          <w:rtl/>
        </w:rPr>
        <w:t>ى</w:t>
      </w:r>
      <w:r w:rsidR="00AD6E36" w:rsidRPr="00282AC9">
        <w:rPr>
          <w:rFonts w:ascii="Sakkal Majalla" w:hAnsi="Sakkal Majalla" w:cs="AL-Mohanad" w:hint="cs"/>
          <w:sz w:val="27"/>
          <w:szCs w:val="27"/>
          <w:rtl/>
        </w:rPr>
        <w:t xml:space="preserve"> وجود التعارض ب</w:t>
      </w:r>
      <w:r w:rsidR="00AD6E36" w:rsidRPr="00282AC9">
        <w:rPr>
          <w:rFonts w:cs="AL-Mohanad" w:hint="cs"/>
          <w:sz w:val="27"/>
          <w:szCs w:val="27"/>
          <w:rtl/>
        </w:rPr>
        <w:t>ي</w:t>
      </w:r>
      <w:r w:rsidR="00AD6E36" w:rsidRPr="00282AC9">
        <w:rPr>
          <w:rFonts w:ascii="Sakkal Majalla" w:hAnsi="Sakkal Majalla" w:cs="AL-Mohanad" w:hint="cs"/>
          <w:sz w:val="27"/>
          <w:szCs w:val="27"/>
          <w:rtl/>
        </w:rPr>
        <w:t>ن المصحف العثمان</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 الموجود ب</w:t>
      </w:r>
      <w:r w:rsidR="00AD6E36" w:rsidRPr="00282AC9">
        <w:rPr>
          <w:rFonts w:cs="AL-Mohanad" w:hint="cs"/>
          <w:sz w:val="27"/>
          <w:szCs w:val="27"/>
          <w:rtl/>
        </w:rPr>
        <w:t>ي</w:t>
      </w:r>
      <w:r w:rsidR="00AD6E36" w:rsidRPr="00282AC9">
        <w:rPr>
          <w:rFonts w:ascii="Sakkal Majalla" w:hAnsi="Sakkal Majalla" w:cs="AL-Mohanad" w:hint="cs"/>
          <w:sz w:val="27"/>
          <w:szCs w:val="27"/>
          <w:rtl/>
        </w:rPr>
        <w:t>ن أ</w:t>
      </w:r>
      <w:r w:rsidR="00AD6E36" w:rsidRPr="00282AC9">
        <w:rPr>
          <w:rFonts w:cs="AL-Mohanad" w:hint="cs"/>
          <w:sz w:val="27"/>
          <w:szCs w:val="27"/>
          <w:rtl/>
        </w:rPr>
        <w:t>ي</w:t>
      </w:r>
      <w:r w:rsidR="00AD6E36" w:rsidRPr="00282AC9">
        <w:rPr>
          <w:rFonts w:ascii="Sakkal Majalla" w:hAnsi="Sakkal Majalla" w:cs="AL-Mohanad" w:hint="cs"/>
          <w:sz w:val="27"/>
          <w:szCs w:val="27"/>
          <w:rtl/>
        </w:rPr>
        <w:t>د</w:t>
      </w:r>
      <w:r w:rsidR="00AD6E36" w:rsidRPr="00282AC9">
        <w:rPr>
          <w:rFonts w:cs="AL-Mohanad" w:hint="cs"/>
          <w:sz w:val="27"/>
          <w:szCs w:val="27"/>
          <w:rtl/>
        </w:rPr>
        <w:t>ي</w:t>
      </w:r>
      <w:r w:rsidR="00AD6E36" w:rsidRPr="00282AC9">
        <w:rPr>
          <w:rFonts w:ascii="Sakkal Majalla" w:hAnsi="Sakkal Majalla" w:cs="AL-Mohanad" w:hint="cs"/>
          <w:sz w:val="27"/>
          <w:szCs w:val="27"/>
          <w:rtl/>
        </w:rPr>
        <w:t>نا والمصحف الذي قام النبي</w:t>
      </w:r>
      <w:r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AD6E36" w:rsidRPr="00282AC9">
        <w:rPr>
          <w:rFonts w:ascii="Sakkal Majalla" w:hAnsi="Sakkal Majalla" w:cs="AL-Mohanad" w:hint="cs"/>
          <w:sz w:val="27"/>
          <w:szCs w:val="27"/>
          <w:rtl/>
        </w:rPr>
        <w:t xml:space="preserve"> بجمعه وترت</w:t>
      </w:r>
      <w:r w:rsidR="00AD6E36" w:rsidRPr="00282AC9">
        <w:rPr>
          <w:rFonts w:cs="AL-Mohanad" w:hint="cs"/>
          <w:sz w:val="27"/>
          <w:szCs w:val="27"/>
          <w:rtl/>
        </w:rPr>
        <w:t>ي</w:t>
      </w:r>
      <w:r w:rsidR="00AD6E36" w:rsidRPr="00282AC9">
        <w:rPr>
          <w:rFonts w:ascii="Sakkal Majalla" w:hAnsi="Sakkal Majalla" w:cs="AL-Mohanad" w:hint="cs"/>
          <w:sz w:val="27"/>
          <w:szCs w:val="27"/>
          <w:rtl/>
        </w:rPr>
        <w:t>به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ومنه إلى القول بعدم توق</w:t>
      </w:r>
      <w:r w:rsidR="00AD6E36" w:rsidRPr="00282AC9">
        <w:rPr>
          <w:rFonts w:cs="AL-Mohanad" w:hint="cs"/>
          <w:sz w:val="27"/>
          <w:szCs w:val="27"/>
          <w:rtl/>
        </w:rPr>
        <w:t>ي</w:t>
      </w:r>
      <w:r w:rsidR="00AD6E36" w:rsidRPr="00282AC9">
        <w:rPr>
          <w:rFonts w:ascii="Sakkal Majalla" w:hAnsi="Sakkal Majalla" w:cs="AL-Mohanad" w:hint="cs"/>
          <w:sz w:val="27"/>
          <w:szCs w:val="27"/>
          <w:rtl/>
        </w:rPr>
        <w:t>ف</w:t>
      </w:r>
      <w:r w:rsidR="00AD6E36" w:rsidRPr="00282AC9">
        <w:rPr>
          <w:rFonts w:cs="AL-Mohanad" w:hint="cs"/>
          <w:sz w:val="27"/>
          <w:szCs w:val="27"/>
          <w:rtl/>
        </w:rPr>
        <w:t>ي</w:t>
      </w:r>
      <w:r w:rsidR="00AD6E36" w:rsidRPr="00282AC9">
        <w:rPr>
          <w:rFonts w:ascii="Sakkal Majalla" w:hAnsi="Sakkal Majalla" w:cs="AL-Mohanad" w:hint="cs"/>
          <w:sz w:val="27"/>
          <w:szCs w:val="27"/>
          <w:rtl/>
        </w:rPr>
        <w:t>ة ترت</w:t>
      </w:r>
      <w:r w:rsidR="00AD6E36" w:rsidRPr="00282AC9">
        <w:rPr>
          <w:rFonts w:cs="AL-Mohanad" w:hint="cs"/>
          <w:sz w:val="27"/>
          <w:szCs w:val="27"/>
          <w:rtl/>
        </w:rPr>
        <w:t>ي</w:t>
      </w:r>
      <w:r w:rsidR="00AD6E36" w:rsidRPr="00282AC9">
        <w:rPr>
          <w:rFonts w:ascii="Sakkal Majalla" w:hAnsi="Sakkal Majalla" w:cs="AL-Mohanad" w:hint="cs"/>
          <w:sz w:val="27"/>
          <w:szCs w:val="27"/>
          <w:rtl/>
        </w:rPr>
        <w:t>ب آ</w:t>
      </w:r>
      <w:r w:rsidR="00AD6E36" w:rsidRPr="00282AC9">
        <w:rPr>
          <w:rFonts w:cs="AL-Mohanad" w:hint="cs"/>
          <w:sz w:val="27"/>
          <w:szCs w:val="27"/>
          <w:rtl/>
        </w:rPr>
        <w:t>ي</w:t>
      </w:r>
      <w:r w:rsidR="00AD6E36" w:rsidRPr="00282AC9">
        <w:rPr>
          <w:rFonts w:ascii="Sakkal Majalla" w:hAnsi="Sakkal Majalla" w:cs="AL-Mohanad" w:hint="cs"/>
          <w:sz w:val="27"/>
          <w:szCs w:val="27"/>
          <w:rtl/>
        </w:rPr>
        <w:t>ات القرآن الكر</w:t>
      </w:r>
      <w:r w:rsidR="00AD6E36" w:rsidRPr="00282AC9">
        <w:rPr>
          <w:rFonts w:cs="AL-Mohanad" w:hint="cs"/>
          <w:sz w:val="27"/>
          <w:szCs w:val="27"/>
          <w:rtl/>
        </w:rPr>
        <w:t>ي</w:t>
      </w:r>
      <w:r w:rsidR="00AD6E36" w:rsidRPr="00282AC9">
        <w:rPr>
          <w:rFonts w:ascii="Sakkal Majalla" w:hAnsi="Sakkal Majalla" w:cs="AL-Mohanad" w:hint="cs"/>
          <w:sz w:val="27"/>
          <w:szCs w:val="27"/>
          <w:rtl/>
        </w:rPr>
        <w:t>م</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هو المصحف المعروف ب</w:t>
      </w:r>
      <w:r w:rsidRPr="00282AC9">
        <w:rPr>
          <w:rFonts w:ascii="Sakkal Majalla" w:hAnsi="Sakkal Majalla" w:cs="AL-Mohanad" w:hint="cs"/>
          <w:sz w:val="27"/>
          <w:szCs w:val="27"/>
          <w:rtl/>
        </w:rPr>
        <w:t>ـ (</w:t>
      </w:r>
      <w:r w:rsidR="00AD6E36" w:rsidRPr="00282AC9">
        <w:rPr>
          <w:rFonts w:ascii="Sakkal Majalla" w:hAnsi="Sakkal Majalla" w:cs="AL-Mohanad" w:hint="cs"/>
          <w:sz w:val="27"/>
          <w:szCs w:val="27"/>
          <w:rtl/>
        </w:rPr>
        <w:t>مصحف علي</w:t>
      </w:r>
      <w:r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فقد ورد عن طر</w:t>
      </w:r>
      <w:r w:rsidR="00AD6E36" w:rsidRPr="00282AC9">
        <w:rPr>
          <w:rFonts w:cs="AL-Mohanad" w:hint="cs"/>
          <w:sz w:val="27"/>
          <w:szCs w:val="27"/>
          <w:rtl/>
        </w:rPr>
        <w:t>ي</w:t>
      </w:r>
      <w:r w:rsidR="00AD6E36" w:rsidRPr="00282AC9">
        <w:rPr>
          <w:rFonts w:ascii="Sakkal Majalla" w:hAnsi="Sakkal Majalla" w:cs="AL-Mohanad" w:hint="cs"/>
          <w:sz w:val="27"/>
          <w:szCs w:val="27"/>
          <w:rtl/>
        </w:rPr>
        <w:t>ق الخاص</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ة والعام</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ة </w:t>
      </w:r>
      <w:r w:rsidRPr="00282AC9">
        <w:rPr>
          <w:rFonts w:ascii="Sakkal Majalla" w:hAnsi="Sakkal Majalla" w:cs="AL-Mohanad" w:hint="cs"/>
          <w:sz w:val="27"/>
          <w:szCs w:val="27"/>
          <w:rtl/>
        </w:rPr>
        <w:t>أ</w:t>
      </w:r>
      <w:r w:rsidR="00AD6E36" w:rsidRPr="00282AC9">
        <w:rPr>
          <w:rFonts w:ascii="Sakkal Majalla" w:hAnsi="Sakkal Majalla" w:cs="AL-Mohanad" w:hint="cs"/>
          <w:sz w:val="27"/>
          <w:szCs w:val="27"/>
          <w:rtl/>
        </w:rPr>
        <w:t>نّ عل</w:t>
      </w:r>
      <w:r w:rsidR="00AD6E36" w:rsidRPr="00282AC9">
        <w:rPr>
          <w:rFonts w:cs="AL-Mohanad" w:hint="cs"/>
          <w:sz w:val="27"/>
          <w:szCs w:val="27"/>
          <w:rtl/>
        </w:rPr>
        <w:t>ي</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اً</w:t>
      </w:r>
      <w:r w:rsidR="009A2A04" w:rsidRPr="00282AC9">
        <w:rPr>
          <w:rFonts w:ascii="Sakkal Majalla" w:hAnsi="Sakkal Majalla" w:cs="Mosawi" w:hint="cs"/>
          <w:sz w:val="22"/>
          <w:szCs w:val="22"/>
          <w:rtl/>
        </w:rPr>
        <w:t>×</w:t>
      </w:r>
      <w:r w:rsidR="00AD6E36" w:rsidRPr="00282AC9">
        <w:rPr>
          <w:rFonts w:ascii="Sakkal Majalla" w:hAnsi="Sakkal Majalla" w:cs="AL-Mohanad" w:hint="cs"/>
          <w:sz w:val="27"/>
          <w:szCs w:val="27"/>
          <w:rtl/>
        </w:rPr>
        <w:t xml:space="preserve"> جمع القر</w:t>
      </w:r>
      <w:r w:rsidRPr="00282AC9">
        <w:rPr>
          <w:rFonts w:ascii="Sakkal Majalla" w:hAnsi="Sakkal Majalla" w:cs="AL-Mohanad" w:hint="cs"/>
          <w:sz w:val="27"/>
          <w:szCs w:val="27"/>
          <w:rtl/>
        </w:rPr>
        <w:t>آ</w:t>
      </w:r>
      <w:r w:rsidR="00AD6E36" w:rsidRPr="00282AC9">
        <w:rPr>
          <w:rFonts w:ascii="Sakkal Majalla" w:hAnsi="Sakkal Majalla" w:cs="AL-Mohanad" w:hint="cs"/>
          <w:sz w:val="27"/>
          <w:szCs w:val="27"/>
          <w:rtl/>
        </w:rPr>
        <w:t>ن عل</w:t>
      </w:r>
      <w:r w:rsidRPr="00282AC9">
        <w:rPr>
          <w:rFonts w:cs="AL-Mohanad" w:hint="cs"/>
          <w:sz w:val="27"/>
          <w:szCs w:val="27"/>
          <w:rtl/>
        </w:rPr>
        <w:t>ى</w:t>
      </w:r>
      <w:r w:rsidR="00AD6E36" w:rsidRPr="00282AC9">
        <w:rPr>
          <w:rFonts w:ascii="Sakkal Majalla" w:hAnsi="Sakkal Majalla" w:cs="AL-Mohanad" w:hint="cs"/>
          <w:sz w:val="27"/>
          <w:szCs w:val="27"/>
          <w:rtl/>
        </w:rPr>
        <w:t xml:space="preserve"> ترت</w:t>
      </w:r>
      <w:r w:rsidR="00AD6E36" w:rsidRPr="00282AC9">
        <w:rPr>
          <w:rFonts w:cs="AL-Mohanad" w:hint="cs"/>
          <w:sz w:val="27"/>
          <w:szCs w:val="27"/>
          <w:rtl/>
        </w:rPr>
        <w:t>ي</w:t>
      </w:r>
      <w:r w:rsidR="00AD6E36" w:rsidRPr="00282AC9">
        <w:rPr>
          <w:rFonts w:ascii="Sakkal Majalla" w:hAnsi="Sakkal Majalla" w:cs="AL-Mohanad" w:hint="cs"/>
          <w:sz w:val="27"/>
          <w:szCs w:val="27"/>
          <w:rtl/>
        </w:rPr>
        <w:t>ب النزول عقب النبي</w:t>
      </w:r>
      <w:r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وهو </w:t>
      </w:r>
      <w:r w:rsidR="00AD6E36" w:rsidRPr="00282AC9">
        <w:rPr>
          <w:rFonts w:cs="AL-Mohanad" w:hint="cs"/>
          <w:sz w:val="27"/>
          <w:szCs w:val="27"/>
          <w:rtl/>
        </w:rPr>
        <w:t>ي</w:t>
      </w:r>
      <w:r w:rsidR="00AD6E36" w:rsidRPr="00282AC9">
        <w:rPr>
          <w:rFonts w:ascii="Sakkal Majalla" w:hAnsi="Sakkal Majalla" w:cs="AL-Mohanad" w:hint="cs"/>
          <w:sz w:val="27"/>
          <w:szCs w:val="27"/>
          <w:rtl/>
        </w:rPr>
        <w:t>ختلف عن ترت</w:t>
      </w:r>
      <w:r w:rsidR="00AD6E36" w:rsidRPr="00282AC9">
        <w:rPr>
          <w:rFonts w:cs="AL-Mohanad" w:hint="cs"/>
          <w:sz w:val="27"/>
          <w:szCs w:val="27"/>
          <w:rtl/>
        </w:rPr>
        <w:t>ي</w:t>
      </w:r>
      <w:r w:rsidR="00AD6E36" w:rsidRPr="00282AC9">
        <w:rPr>
          <w:rFonts w:ascii="Sakkal Majalla" w:hAnsi="Sakkal Majalla" w:cs="AL-Mohanad" w:hint="cs"/>
          <w:sz w:val="27"/>
          <w:szCs w:val="27"/>
          <w:rtl/>
        </w:rPr>
        <w:t>ب الآ</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ات الموجودة في المصحف العثماني. ممّا </w:t>
      </w:r>
      <w:r w:rsidR="00AD6E36" w:rsidRPr="00282AC9">
        <w:rPr>
          <w:rFonts w:cs="AL-Mohanad" w:hint="cs"/>
          <w:sz w:val="27"/>
          <w:szCs w:val="27"/>
          <w:rtl/>
        </w:rPr>
        <w:t>ي</w:t>
      </w:r>
      <w:r w:rsidR="00AD6E36" w:rsidRPr="00282AC9">
        <w:rPr>
          <w:rFonts w:ascii="Sakkal Majalla" w:hAnsi="Sakkal Majalla" w:cs="AL-Mohanad" w:hint="cs"/>
          <w:sz w:val="27"/>
          <w:szCs w:val="27"/>
          <w:rtl/>
        </w:rPr>
        <w:t>ؤ</w:t>
      </w:r>
      <w:r w:rsidR="00AD6E36" w:rsidRPr="00282AC9">
        <w:rPr>
          <w:rFonts w:cs="AL-Mohanad" w:hint="cs"/>
          <w:sz w:val="27"/>
          <w:szCs w:val="27"/>
          <w:rtl/>
        </w:rPr>
        <w:t>ي</w:t>
      </w:r>
      <w:r w:rsidR="0094514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د أنّ الترت</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ب الموجود في هذا المصحف لم </w:t>
      </w:r>
      <w:r w:rsidR="00AD6E36" w:rsidRPr="00282AC9">
        <w:rPr>
          <w:rFonts w:cs="AL-Mohanad" w:hint="cs"/>
          <w:sz w:val="27"/>
          <w:szCs w:val="27"/>
          <w:rtl/>
        </w:rPr>
        <w:t>ي</w:t>
      </w:r>
      <w:r w:rsidR="00AD6E36" w:rsidRPr="00282AC9">
        <w:rPr>
          <w:rFonts w:ascii="Sakkal Majalla" w:hAnsi="Sakkal Majalla" w:cs="AL-Mohanad" w:hint="cs"/>
          <w:sz w:val="27"/>
          <w:szCs w:val="27"/>
          <w:rtl/>
        </w:rPr>
        <w:t>كن بأمر</w:t>
      </w:r>
      <w:r w:rsidR="0094514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من النبي</w:t>
      </w:r>
      <w:r w:rsidR="00945145"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94514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وإنّما كان برأ</w:t>
      </w:r>
      <w:r w:rsidR="00AD6E36" w:rsidRPr="00282AC9">
        <w:rPr>
          <w:rFonts w:cs="AL-Mohanad" w:hint="cs"/>
          <w:sz w:val="27"/>
          <w:szCs w:val="27"/>
          <w:rtl/>
        </w:rPr>
        <w:t>ي</w:t>
      </w:r>
      <w:r w:rsidR="0094514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w:t>
      </w:r>
      <w:r w:rsidR="00945145" w:rsidRPr="00282AC9">
        <w:rPr>
          <w:rFonts w:ascii="Sakkal Majalla" w:hAnsi="Sakkal Majalla" w:cs="AL-Mohanad" w:hint="cs"/>
          <w:sz w:val="27"/>
          <w:szCs w:val="27"/>
          <w:rtl/>
        </w:rPr>
        <w:t>ا</w:t>
      </w:r>
      <w:r w:rsidR="00AD6E36" w:rsidRPr="00282AC9">
        <w:rPr>
          <w:rFonts w:ascii="Sakkal Majalla" w:hAnsi="Sakkal Majalla" w:cs="AL-Mohanad" w:hint="cs"/>
          <w:sz w:val="27"/>
          <w:szCs w:val="27"/>
          <w:rtl/>
        </w:rPr>
        <w:t>جتهاد من الصحابة.</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نعم</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ممّا لا</w:t>
      </w:r>
      <w:r w:rsidR="00945145"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ش</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ك</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w:t>
      </w:r>
      <w:r w:rsidRPr="00282AC9">
        <w:rPr>
          <w:rFonts w:cs="AL-Mohanad" w:hint="cs"/>
          <w:sz w:val="27"/>
          <w:szCs w:val="27"/>
          <w:rtl/>
        </w:rPr>
        <w:t>ي</w:t>
      </w:r>
      <w:r w:rsidRPr="00282AC9">
        <w:rPr>
          <w:rFonts w:ascii="Sakkal Majalla" w:hAnsi="Sakkal Majalla" w:cs="AL-Mohanad" w:hint="cs"/>
          <w:sz w:val="27"/>
          <w:szCs w:val="27"/>
          <w:rtl/>
        </w:rPr>
        <w:t xml:space="preserve">ه أنّ الإمام </w:t>
      </w:r>
      <w:r w:rsidR="00945145" w:rsidRPr="00282AC9">
        <w:rPr>
          <w:rFonts w:ascii="Sakkal Majalla" w:hAnsi="Sakkal Majalla" w:cs="AL-Mohanad" w:hint="cs"/>
          <w:sz w:val="27"/>
          <w:szCs w:val="27"/>
          <w:rtl/>
        </w:rPr>
        <w:t>أ</w:t>
      </w:r>
      <w:r w:rsidRPr="00282AC9">
        <w:rPr>
          <w:rFonts w:ascii="Sakkal Majalla" w:hAnsi="Sakkal Majalla" w:cs="AL-Mohanad" w:hint="cs"/>
          <w:sz w:val="27"/>
          <w:szCs w:val="27"/>
          <w:rtl/>
        </w:rPr>
        <w:t>م</w:t>
      </w:r>
      <w:r w:rsidRPr="00282AC9">
        <w:rPr>
          <w:rFonts w:cs="AL-Mohanad" w:hint="cs"/>
          <w:sz w:val="27"/>
          <w:szCs w:val="27"/>
          <w:rtl/>
        </w:rPr>
        <w:t>ي</w:t>
      </w:r>
      <w:r w:rsidRPr="00282AC9">
        <w:rPr>
          <w:rFonts w:ascii="Sakkal Majalla" w:hAnsi="Sakkal Majalla" w:cs="AL-Mohanad" w:hint="cs"/>
          <w:sz w:val="27"/>
          <w:szCs w:val="27"/>
          <w:rtl/>
        </w:rPr>
        <w:t>ر</w:t>
      </w:r>
      <w:r w:rsidR="00945145"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المؤم</w:t>
      </w:r>
      <w:r w:rsidR="00945145" w:rsidRPr="00282AC9">
        <w:rPr>
          <w:rFonts w:ascii="Sakkal Majalla" w:hAnsi="Sakkal Majalla" w:cs="AL-Mohanad" w:hint="cs"/>
          <w:sz w:val="27"/>
          <w:szCs w:val="27"/>
          <w:rtl/>
        </w:rPr>
        <w:t>ن</w:t>
      </w:r>
      <w:r w:rsidRPr="00282AC9">
        <w:rPr>
          <w:rFonts w:cs="AL-Mohanad" w:hint="cs"/>
          <w:sz w:val="27"/>
          <w:szCs w:val="27"/>
          <w:rtl/>
        </w:rPr>
        <w:t>ي</w:t>
      </w:r>
      <w:r w:rsidRPr="00282AC9">
        <w:rPr>
          <w:rFonts w:ascii="Sakkal Majalla" w:hAnsi="Sakkal Majalla" w:cs="AL-Mohanad" w:hint="cs"/>
          <w:sz w:val="27"/>
          <w:szCs w:val="27"/>
          <w:rtl/>
        </w:rPr>
        <w:t>ن</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كان من أو</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ل الأصحاب الذ</w:t>
      </w:r>
      <w:r w:rsidRPr="00282AC9">
        <w:rPr>
          <w:rFonts w:cs="AL-Mohanad" w:hint="cs"/>
          <w:sz w:val="27"/>
          <w:szCs w:val="27"/>
          <w:rtl/>
        </w:rPr>
        <w:t>ي</w:t>
      </w:r>
      <w:r w:rsidRPr="00282AC9">
        <w:rPr>
          <w:rFonts w:ascii="Sakkal Majalla" w:hAnsi="Sakkal Majalla" w:cs="AL-Mohanad" w:hint="cs"/>
          <w:sz w:val="27"/>
          <w:szCs w:val="27"/>
          <w:rtl/>
        </w:rPr>
        <w:t>ن جمعوا القر</w:t>
      </w:r>
      <w:r w:rsidR="00945145"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وقد ثبت متواتراً أنّه كان له مصحف</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سم</w:t>
      </w:r>
      <w:r w:rsidR="00945145" w:rsidRPr="00282AC9">
        <w:rPr>
          <w:rFonts w:cs="AL-Mohanad" w:hint="cs"/>
          <w:sz w:val="27"/>
          <w:szCs w:val="27"/>
          <w:rtl/>
        </w:rPr>
        <w:t>ّى</w:t>
      </w:r>
      <w:r w:rsidRPr="00282AC9">
        <w:rPr>
          <w:rFonts w:ascii="Sakkal Majalla" w:hAnsi="Sakkal Majalla" w:cs="AL-Mohanad" w:hint="cs"/>
          <w:sz w:val="27"/>
          <w:szCs w:val="27"/>
          <w:rtl/>
        </w:rPr>
        <w:t xml:space="preserve"> ب</w:t>
      </w:r>
      <w:r w:rsidR="00945145" w:rsidRPr="00282AC9">
        <w:rPr>
          <w:rFonts w:ascii="Sakkal Majalla" w:hAnsi="Sakkal Majalla" w:cs="AL-Mohanad" w:hint="cs"/>
          <w:sz w:val="27"/>
          <w:szCs w:val="27"/>
          <w:rtl/>
        </w:rPr>
        <w:t>ـ (</w:t>
      </w:r>
      <w:r w:rsidRPr="00282AC9">
        <w:rPr>
          <w:rFonts w:ascii="Sakkal Majalla" w:hAnsi="Sakkal Majalla" w:cs="AL-Mohanad" w:hint="cs"/>
          <w:sz w:val="27"/>
          <w:szCs w:val="27"/>
          <w:rtl/>
        </w:rPr>
        <w:t>مصحف علي</w:t>
      </w:r>
      <w:r w:rsidR="00945145"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ولكن</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هل هذا المصحف ك</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تب بعد وفا</w:t>
      </w:r>
      <w:r w:rsidR="00945145" w:rsidRPr="00282AC9">
        <w:rPr>
          <w:rFonts w:ascii="Sakkal Majalla" w:hAnsi="Sakkal Majalla" w:cs="AL-Mohanad" w:hint="cs"/>
          <w:sz w:val="27"/>
          <w:szCs w:val="27"/>
          <w:rtl/>
        </w:rPr>
        <w:t>ة</w:t>
      </w:r>
      <w:r w:rsidRPr="00282AC9">
        <w:rPr>
          <w:rFonts w:ascii="Sakkal Majalla" w:hAnsi="Sakkal Majalla" w:cs="AL-Mohanad" w:hint="cs"/>
          <w:sz w:val="27"/>
          <w:szCs w:val="27"/>
          <w:rtl/>
        </w:rPr>
        <w:t xml:space="preserve"> النبي</w:t>
      </w:r>
      <w:r w:rsidR="00945145"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وهل ترت</w:t>
      </w:r>
      <w:r w:rsidRPr="00282AC9">
        <w:rPr>
          <w:rFonts w:cs="AL-Mohanad" w:hint="cs"/>
          <w:sz w:val="27"/>
          <w:szCs w:val="27"/>
          <w:rtl/>
        </w:rPr>
        <w:t>ي</w:t>
      </w:r>
      <w:r w:rsidRPr="00282AC9">
        <w:rPr>
          <w:rFonts w:ascii="Sakkal Majalla" w:hAnsi="Sakkal Majalla" w:cs="AL-Mohanad" w:hint="cs"/>
          <w:sz w:val="27"/>
          <w:szCs w:val="27"/>
          <w:rtl/>
        </w:rPr>
        <w:t>ب آ</w:t>
      </w:r>
      <w:r w:rsidRPr="00282AC9">
        <w:rPr>
          <w:rFonts w:cs="AL-Mohanad" w:hint="cs"/>
          <w:sz w:val="27"/>
          <w:szCs w:val="27"/>
          <w:rtl/>
        </w:rPr>
        <w:t>ي</w:t>
      </w:r>
      <w:r w:rsidRPr="00282AC9">
        <w:rPr>
          <w:rFonts w:ascii="Sakkal Majalla" w:hAnsi="Sakkal Majalla" w:cs="AL-Mohanad" w:hint="cs"/>
          <w:sz w:val="27"/>
          <w:szCs w:val="27"/>
          <w:rtl/>
        </w:rPr>
        <w:t xml:space="preserve">اته </w:t>
      </w:r>
      <w:r w:rsidRPr="00282AC9">
        <w:rPr>
          <w:rFonts w:cs="AL-Mohanad" w:hint="cs"/>
          <w:sz w:val="27"/>
          <w:szCs w:val="27"/>
          <w:rtl/>
        </w:rPr>
        <w:t>ي</w:t>
      </w:r>
      <w:r w:rsidRPr="00282AC9">
        <w:rPr>
          <w:rFonts w:ascii="Sakkal Majalla" w:hAnsi="Sakkal Majalla" w:cs="AL-Mohanad" w:hint="cs"/>
          <w:sz w:val="27"/>
          <w:szCs w:val="27"/>
          <w:rtl/>
        </w:rPr>
        <w:t xml:space="preserve">ختلف عن </w:t>
      </w:r>
      <w:r w:rsidRPr="00282AC9">
        <w:rPr>
          <w:rFonts w:ascii="Sakkal Majalla" w:hAnsi="Sakkal Majalla" w:cs="AL-Mohanad" w:hint="cs"/>
          <w:sz w:val="27"/>
          <w:szCs w:val="27"/>
          <w:rtl/>
        </w:rPr>
        <w:lastRenderedPageBreak/>
        <w:t>ترت</w:t>
      </w:r>
      <w:r w:rsidRPr="00282AC9">
        <w:rPr>
          <w:rFonts w:cs="AL-Mohanad" w:hint="cs"/>
          <w:sz w:val="27"/>
          <w:szCs w:val="27"/>
          <w:rtl/>
        </w:rPr>
        <w:t>ي</w:t>
      </w:r>
      <w:r w:rsidRPr="00282AC9">
        <w:rPr>
          <w:rFonts w:ascii="Sakkal Majalla" w:hAnsi="Sakkal Majalla" w:cs="AL-Mohanad" w:hint="cs"/>
          <w:sz w:val="27"/>
          <w:szCs w:val="27"/>
          <w:rtl/>
        </w:rPr>
        <w:t>ب آ</w:t>
      </w:r>
      <w:r w:rsidRPr="00282AC9">
        <w:rPr>
          <w:rFonts w:cs="AL-Mohanad" w:hint="cs"/>
          <w:sz w:val="27"/>
          <w:szCs w:val="27"/>
          <w:rtl/>
        </w:rPr>
        <w:t>ي</w:t>
      </w:r>
      <w:r w:rsidRPr="00282AC9">
        <w:rPr>
          <w:rFonts w:ascii="Sakkal Majalla" w:hAnsi="Sakkal Majalla" w:cs="AL-Mohanad" w:hint="cs"/>
          <w:sz w:val="27"/>
          <w:szCs w:val="27"/>
          <w:rtl/>
        </w:rPr>
        <w:t>ات المصحف العثماني؟ وبعبارة</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00945145" w:rsidRPr="00282AC9">
        <w:rPr>
          <w:rFonts w:ascii="Sakkal Majalla" w:hAnsi="Sakkal Majalla" w:cs="AL-Mohanad" w:hint="cs"/>
          <w:sz w:val="27"/>
          <w:szCs w:val="27"/>
          <w:rtl/>
        </w:rPr>
        <w:t>أ</w:t>
      </w:r>
      <w:r w:rsidRPr="00282AC9">
        <w:rPr>
          <w:rFonts w:ascii="Sakkal Majalla" w:hAnsi="Sakkal Majalla" w:cs="AL-Mohanad" w:hint="cs"/>
          <w:sz w:val="27"/>
          <w:szCs w:val="27"/>
          <w:rtl/>
        </w:rPr>
        <w:t>خر</w:t>
      </w:r>
      <w:r w:rsidR="00945145" w:rsidRPr="00282AC9">
        <w:rPr>
          <w:rFonts w:cs="AL-Mohanad" w:hint="cs"/>
          <w:sz w:val="27"/>
          <w:szCs w:val="27"/>
          <w:rtl/>
        </w:rPr>
        <w:t>ى:</w:t>
      </w:r>
      <w:r w:rsidRPr="00282AC9">
        <w:rPr>
          <w:rFonts w:ascii="Sakkal Majalla" w:hAnsi="Sakkal Majalla" w:cs="AL-Mohanad" w:hint="cs"/>
          <w:sz w:val="27"/>
          <w:szCs w:val="27"/>
          <w:rtl/>
        </w:rPr>
        <w:t xml:space="preserve"> هل جمع الإمام آ</w:t>
      </w:r>
      <w:r w:rsidRPr="00282AC9">
        <w:rPr>
          <w:rFonts w:cs="AL-Mohanad" w:hint="cs"/>
          <w:sz w:val="27"/>
          <w:szCs w:val="27"/>
          <w:rtl/>
        </w:rPr>
        <w:t>ي</w:t>
      </w:r>
      <w:r w:rsidRPr="00282AC9">
        <w:rPr>
          <w:rFonts w:ascii="Sakkal Majalla" w:hAnsi="Sakkal Majalla" w:cs="AL-Mohanad" w:hint="cs"/>
          <w:sz w:val="27"/>
          <w:szCs w:val="27"/>
          <w:rtl/>
        </w:rPr>
        <w:t>ات هذا المصحف ح</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ب ترت</w:t>
      </w:r>
      <w:r w:rsidRPr="00282AC9">
        <w:rPr>
          <w:rFonts w:cs="AL-Mohanad" w:hint="cs"/>
          <w:sz w:val="27"/>
          <w:szCs w:val="27"/>
          <w:rtl/>
        </w:rPr>
        <w:t>ي</w:t>
      </w:r>
      <w:r w:rsidRPr="00282AC9">
        <w:rPr>
          <w:rFonts w:ascii="Sakkal Majalla" w:hAnsi="Sakkal Majalla" w:cs="AL-Mohanad" w:hint="cs"/>
          <w:sz w:val="27"/>
          <w:szCs w:val="27"/>
          <w:rtl/>
        </w:rPr>
        <w:t>ب نزول الآ</w:t>
      </w:r>
      <w:r w:rsidRPr="00282AC9">
        <w:rPr>
          <w:rFonts w:cs="AL-Mohanad" w:hint="cs"/>
          <w:sz w:val="27"/>
          <w:szCs w:val="27"/>
          <w:rtl/>
        </w:rPr>
        <w:t>ي</w:t>
      </w:r>
      <w:r w:rsidRPr="00282AC9">
        <w:rPr>
          <w:rFonts w:ascii="Sakkal Majalla" w:hAnsi="Sakkal Majalla" w:cs="AL-Mohanad" w:hint="cs"/>
          <w:sz w:val="27"/>
          <w:szCs w:val="27"/>
          <w:rtl/>
        </w:rPr>
        <w:t xml:space="preserve">ات؟ وما الذي </w:t>
      </w:r>
      <w:r w:rsidRPr="00282AC9">
        <w:rPr>
          <w:rFonts w:cs="AL-Mohanad" w:hint="cs"/>
          <w:sz w:val="27"/>
          <w:szCs w:val="27"/>
          <w:rtl/>
        </w:rPr>
        <w:t>ي</w:t>
      </w:r>
      <w:r w:rsidRPr="00282AC9">
        <w:rPr>
          <w:rFonts w:ascii="Sakkal Majalla" w:hAnsi="Sakkal Majalla" w:cs="AL-Mohanad" w:hint="cs"/>
          <w:sz w:val="27"/>
          <w:szCs w:val="27"/>
          <w:rtl/>
        </w:rPr>
        <w:t>م</w:t>
      </w:r>
      <w:r w:rsidRPr="00282AC9">
        <w:rPr>
          <w:rFonts w:cs="AL-Mohanad" w:hint="cs"/>
          <w:sz w:val="27"/>
          <w:szCs w:val="27"/>
          <w:rtl/>
        </w:rPr>
        <w:t>ي</w:t>
      </w:r>
      <w:r w:rsidR="00945145" w:rsidRPr="00282AC9">
        <w:rPr>
          <w:rFonts w:cs="AL-Mohanad" w:hint="cs"/>
          <w:sz w:val="27"/>
          <w:szCs w:val="27"/>
          <w:rtl/>
        </w:rPr>
        <w:t>ِّ</w:t>
      </w:r>
      <w:r w:rsidRPr="00282AC9">
        <w:rPr>
          <w:rFonts w:ascii="Sakkal Majalla" w:hAnsi="Sakkal Majalla" w:cs="AL-Mohanad" w:hint="cs"/>
          <w:sz w:val="27"/>
          <w:szCs w:val="27"/>
          <w:rtl/>
        </w:rPr>
        <w:t>ز هذا المصحف عن المصحف العثماني المتداول ب</w:t>
      </w:r>
      <w:r w:rsidRPr="00282AC9">
        <w:rPr>
          <w:rFonts w:cs="AL-Mohanad" w:hint="cs"/>
          <w:sz w:val="27"/>
          <w:szCs w:val="27"/>
          <w:rtl/>
        </w:rPr>
        <w:t>ي</w:t>
      </w:r>
      <w:r w:rsidRPr="00282AC9">
        <w:rPr>
          <w:rFonts w:ascii="Sakkal Majalla" w:hAnsi="Sakkal Majalla" w:cs="AL-Mohanad" w:hint="cs"/>
          <w:sz w:val="27"/>
          <w:szCs w:val="27"/>
          <w:rtl/>
        </w:rPr>
        <w:t>ننا؟</w:t>
      </w:r>
    </w:p>
    <w:p w:rsidR="00945145"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المشهور ب</w:t>
      </w:r>
      <w:r w:rsidRPr="00282AC9">
        <w:rPr>
          <w:rFonts w:cs="AL-Mohanad" w:hint="cs"/>
          <w:sz w:val="27"/>
          <w:szCs w:val="27"/>
          <w:rtl/>
        </w:rPr>
        <w:t>ي</w:t>
      </w:r>
      <w:r w:rsidRPr="00282AC9">
        <w:rPr>
          <w:rFonts w:ascii="Sakkal Majalla" w:hAnsi="Sakkal Majalla" w:cs="AL-Mohanad" w:hint="cs"/>
          <w:sz w:val="27"/>
          <w:szCs w:val="27"/>
          <w:rtl/>
        </w:rPr>
        <w:t>ن المؤر</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خ</w:t>
      </w:r>
      <w:r w:rsidRPr="00282AC9">
        <w:rPr>
          <w:rFonts w:cs="AL-Mohanad" w:hint="cs"/>
          <w:sz w:val="27"/>
          <w:szCs w:val="27"/>
          <w:rtl/>
        </w:rPr>
        <w:t>ي</w:t>
      </w:r>
      <w:r w:rsidRPr="00282AC9">
        <w:rPr>
          <w:rFonts w:ascii="Sakkal Majalla" w:hAnsi="Sakkal Majalla" w:cs="AL-Mohanad" w:hint="cs"/>
          <w:sz w:val="27"/>
          <w:szCs w:val="27"/>
          <w:rtl/>
        </w:rPr>
        <w:t>ن أنّ الإمام علي</w:t>
      </w:r>
      <w:r w:rsidR="00945145" w:rsidRPr="00282AC9">
        <w:rPr>
          <w:rFonts w:ascii="Sakkal Majalla" w:hAnsi="Sakkal Majalla" w:cs="AL-Mohanad" w:hint="cs"/>
          <w:sz w:val="27"/>
          <w:szCs w:val="27"/>
          <w:rtl/>
        </w:rPr>
        <w:t>ّاً</w:t>
      </w:r>
      <w:r w:rsidR="009A2A04" w:rsidRPr="00282AC9">
        <w:rPr>
          <w:rFonts w:ascii="Sakkal Majalla" w:hAnsi="Sakkal Majalla" w:cs="Mosawi" w:hint="cs"/>
          <w:sz w:val="22"/>
          <w:szCs w:val="22"/>
          <w:rtl/>
        </w:rPr>
        <w:t>×</w:t>
      </w:r>
      <w:r w:rsidR="00945145" w:rsidRPr="00282AC9">
        <w:rPr>
          <w:rFonts w:ascii="Sakkal Majalla" w:hAnsi="Sakkal Majalla" w:cs="AL-Mohanad" w:hint="cs"/>
          <w:sz w:val="27"/>
          <w:szCs w:val="27"/>
          <w:rtl/>
        </w:rPr>
        <w:t>، بعد</w:t>
      </w:r>
      <w:r w:rsidRPr="00282AC9">
        <w:rPr>
          <w:rFonts w:ascii="Sakkal Majalla" w:hAnsi="Sakkal Majalla" w:cs="AL-Mohanad" w:hint="cs"/>
          <w:sz w:val="27"/>
          <w:szCs w:val="27"/>
          <w:rtl/>
        </w:rPr>
        <w:t>ما توفي النبي</w:t>
      </w:r>
      <w:r w:rsidR="00945145"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w:t>
      </w:r>
      <w:r w:rsidR="00945145" w:rsidRPr="00282AC9">
        <w:rPr>
          <w:rFonts w:ascii="Sakkal Majalla" w:hAnsi="Sakkal Majalla" w:cs="AL-Mohanad" w:hint="cs"/>
          <w:sz w:val="27"/>
          <w:szCs w:val="27"/>
          <w:rtl/>
        </w:rPr>
        <w:t>بعد</w:t>
      </w:r>
      <w:r w:rsidRPr="00282AC9">
        <w:rPr>
          <w:rFonts w:ascii="Sakkal Majalla" w:hAnsi="Sakkal Majalla" w:cs="AL-Mohanad" w:hint="cs"/>
          <w:sz w:val="27"/>
          <w:szCs w:val="27"/>
          <w:rtl/>
        </w:rPr>
        <w:t>ما</w:t>
      </w:r>
      <w:r w:rsidR="00945145"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أبعدوه عن الخلافة</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جلس في داره</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ولم </w:t>
      </w:r>
      <w:r w:rsidRPr="00282AC9">
        <w:rPr>
          <w:rFonts w:cs="AL-Mohanad" w:hint="cs"/>
          <w:sz w:val="27"/>
          <w:szCs w:val="27"/>
          <w:rtl/>
        </w:rPr>
        <w:t>ي</w:t>
      </w:r>
      <w:r w:rsidRPr="00282AC9">
        <w:rPr>
          <w:rFonts w:ascii="Sakkal Majalla" w:hAnsi="Sakkal Majalla" w:cs="AL-Mohanad" w:hint="cs"/>
          <w:sz w:val="27"/>
          <w:szCs w:val="27"/>
          <w:rtl/>
        </w:rPr>
        <w:t>خرج منها حت</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ى جمع القر</w:t>
      </w:r>
      <w:r w:rsidR="00945145"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00945145" w:rsidRPr="00282AC9">
        <w:rPr>
          <w:rFonts w:ascii="Sakkal Majalla" w:hAnsi="Sakkal Majalla" w:cs="AL-Mohanad" w:hint="cs"/>
          <w:sz w:val="27"/>
          <w:szCs w:val="27"/>
          <w:rtl/>
        </w:rPr>
        <w:t>.</w:t>
      </w:r>
    </w:p>
    <w:p w:rsidR="00AD6E36" w:rsidRPr="00282AC9" w:rsidRDefault="00AD6E36" w:rsidP="001D1A88">
      <w:pPr>
        <w:pStyle w:val="afc"/>
        <w:rPr>
          <w:rFonts w:ascii="Traditional Arabic" w:hAnsi="Traditional Arabic" w:cs="AL-Mohanad"/>
          <w:sz w:val="27"/>
          <w:szCs w:val="27"/>
          <w:rtl/>
        </w:rPr>
      </w:pPr>
      <w:r w:rsidRPr="00282AC9">
        <w:rPr>
          <w:rFonts w:cs="AL-Mohanad" w:hint="cs"/>
          <w:sz w:val="27"/>
          <w:szCs w:val="27"/>
          <w:rtl/>
        </w:rPr>
        <w:t>ي</w:t>
      </w:r>
      <w:r w:rsidR="00945145" w:rsidRPr="00282AC9">
        <w:rPr>
          <w:rFonts w:ascii="Sakkal Majalla" w:hAnsi="Sakkal Majalla" w:cs="AL-Mohanad" w:hint="cs"/>
          <w:sz w:val="27"/>
          <w:szCs w:val="27"/>
          <w:rtl/>
        </w:rPr>
        <w:t>قول ابن شهر</w:t>
      </w:r>
      <w:r w:rsidRPr="00282AC9">
        <w:rPr>
          <w:rFonts w:ascii="Sakkal Majalla" w:hAnsi="Sakkal Majalla" w:cs="AL-Mohanad" w:hint="cs"/>
          <w:sz w:val="27"/>
          <w:szCs w:val="27"/>
          <w:rtl/>
        </w:rPr>
        <w:t>آشوب:</w:t>
      </w:r>
      <w:r w:rsidRPr="00282AC9">
        <w:rPr>
          <w:rFonts w:ascii="Traditional Arabic" w:hAnsi="Traditional Arabic" w:cs="AL-Mohanad" w:hint="cs"/>
          <w:sz w:val="27"/>
          <w:szCs w:val="27"/>
          <w:rtl/>
        </w:rPr>
        <w:t xml:space="preserve"> </w:t>
      </w:r>
      <w:r w:rsidR="00945145" w:rsidRPr="00282AC9">
        <w:rPr>
          <w:rFonts w:ascii="Sakkal Majalla" w:hAnsi="Sakkal Majalla" w:cs="AL-Mohanad" w:hint="cs"/>
          <w:sz w:val="27"/>
          <w:szCs w:val="27"/>
          <w:rtl/>
        </w:rPr>
        <w:t>إ</w:t>
      </w:r>
      <w:r w:rsidRPr="00282AC9">
        <w:rPr>
          <w:rFonts w:ascii="Sakkal Majalla" w:hAnsi="Sakkal Majalla" w:cs="AL-Mohanad"/>
          <w:sz w:val="27"/>
          <w:szCs w:val="27"/>
          <w:rtl/>
        </w:rPr>
        <w:t>نّه</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آلى على نفسه أن‏ لا يضع‏ رداءه على عاتقه</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 xml:space="preserve"> إ</w:t>
      </w:r>
      <w:r w:rsidR="00EE6DBA" w:rsidRPr="00282AC9">
        <w:rPr>
          <w:rFonts w:ascii="Sakkal Majalla" w:hAnsi="Sakkal Majalla" w:cs="AL-Mohanad"/>
          <w:sz w:val="27"/>
          <w:szCs w:val="27"/>
          <w:rtl/>
        </w:rPr>
        <w:t>لاّ</w:t>
      </w:r>
      <w:r w:rsidRPr="00282AC9">
        <w:rPr>
          <w:rFonts w:ascii="Sakkal Majalla" w:hAnsi="Sakkal Majalla" w:cs="AL-Mohanad"/>
          <w:sz w:val="27"/>
          <w:szCs w:val="27"/>
          <w:rtl/>
        </w:rPr>
        <w:t xml:space="preserve"> للصلاة</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 xml:space="preserve"> حت</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ى يؤلّ</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ف القرآن ويجمعه، فانقطع عنهم مد</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ة</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إ</w:t>
      </w:r>
      <w:r w:rsidRPr="00282AC9">
        <w:rPr>
          <w:rFonts w:ascii="Sakkal Majalla" w:hAnsi="Sakkal Majalla" w:cs="AL-Mohanad"/>
          <w:sz w:val="27"/>
          <w:szCs w:val="27"/>
          <w:rtl/>
        </w:rPr>
        <w:t>لى أن جمعه‏</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84"/>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r w:rsidRPr="00282AC9">
        <w:rPr>
          <w:rFonts w:ascii="Traditional Arabic" w:hAnsi="Traditional Arabic" w:cs="AL-Mohanad" w:hint="cs"/>
          <w:sz w:val="27"/>
          <w:szCs w:val="27"/>
          <w:rtl/>
        </w:rPr>
        <w:t xml:space="preserve"> </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w:t>
      </w:r>
      <w:r w:rsidRPr="00282AC9">
        <w:rPr>
          <w:rFonts w:ascii="Sakkal Majalla" w:hAnsi="Sakkal Majalla" w:cs="AL-Mohanad"/>
          <w:sz w:val="27"/>
          <w:szCs w:val="27"/>
          <w:rtl/>
        </w:rPr>
        <w:t xml:space="preserve">قال </w:t>
      </w:r>
      <w:r w:rsidRPr="00282AC9">
        <w:rPr>
          <w:rFonts w:ascii="Sakkal Majalla" w:hAnsi="Sakkal Majalla" w:cs="AL-Mohanad" w:hint="cs"/>
          <w:sz w:val="27"/>
          <w:szCs w:val="27"/>
          <w:rtl/>
        </w:rPr>
        <w:t>ا</w:t>
      </w:r>
      <w:r w:rsidRPr="00282AC9">
        <w:rPr>
          <w:rFonts w:ascii="Sakkal Majalla" w:hAnsi="Sakkal Majalla" w:cs="AL-Mohanad"/>
          <w:sz w:val="27"/>
          <w:szCs w:val="27"/>
          <w:rtl/>
        </w:rPr>
        <w:t>بن النديم ـ  بسند</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 xml:space="preserve"> يذكره ـ : إنّ علي</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ا</w:t>
      </w:r>
      <w:r w:rsidR="00945145" w:rsidRPr="00282AC9">
        <w:rPr>
          <w:rFonts w:ascii="Sakkal Majalla" w:hAnsi="Sakkal Majalla" w:cs="AL-Mohanad" w:hint="cs"/>
          <w:sz w:val="27"/>
          <w:szCs w:val="27"/>
          <w:rtl/>
        </w:rPr>
        <w:t>ً</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رأى من الناس طيرة عند وفاة النبيّ</w:t>
      </w:r>
      <w:r w:rsidR="009A2A04" w:rsidRPr="00282AC9">
        <w:rPr>
          <w:rFonts w:ascii="Sakkal Majalla" w:hAnsi="Sakkal Majalla" w:cs="Mosawi"/>
          <w:sz w:val="22"/>
          <w:szCs w:val="22"/>
          <w:rtl/>
        </w:rPr>
        <w:t>|</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فأقسم أن‏ لا يضع‏ رداءه حت</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ى يجمع القرآن</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فجلس في بيته ثلاثة أيام‏ حت</w:t>
      </w:r>
      <w:r w:rsidR="00945145" w:rsidRPr="00282AC9">
        <w:rPr>
          <w:rFonts w:ascii="Sakkal Majalla" w:hAnsi="Sakkal Majalla" w:cs="AL-Mohanad" w:hint="cs"/>
          <w:sz w:val="27"/>
          <w:szCs w:val="27"/>
          <w:rtl/>
        </w:rPr>
        <w:t>ّ</w:t>
      </w:r>
      <w:r w:rsidRPr="00282AC9">
        <w:rPr>
          <w:rFonts w:ascii="Sakkal Majalla" w:hAnsi="Sakkal Majalla" w:cs="AL-Mohanad"/>
          <w:sz w:val="27"/>
          <w:szCs w:val="27"/>
          <w:rtl/>
        </w:rPr>
        <w:t>ى جمع القرآن</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85"/>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w:t>
      </w:r>
      <w:r w:rsidRPr="00282AC9">
        <w:rPr>
          <w:rFonts w:ascii="Sakkal Majalla" w:hAnsi="Sakkal Majalla" w:cs="AL-Mohanad" w:hint="cs"/>
          <w:sz w:val="27"/>
          <w:szCs w:val="27"/>
          <w:rtl/>
        </w:rPr>
        <w:t xml:space="preserve"> </w:t>
      </w:r>
    </w:p>
    <w:p w:rsidR="00942EFD"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هذا هو المعروف ب</w:t>
      </w:r>
      <w:r w:rsidRPr="00282AC9">
        <w:rPr>
          <w:rFonts w:cs="AL-Mohanad" w:hint="cs"/>
          <w:sz w:val="27"/>
          <w:szCs w:val="27"/>
          <w:rtl/>
        </w:rPr>
        <w:t>ي</w:t>
      </w:r>
      <w:r w:rsidRPr="00282AC9">
        <w:rPr>
          <w:rFonts w:ascii="Sakkal Majalla" w:hAnsi="Sakkal Majalla" w:cs="AL-Mohanad" w:hint="cs"/>
          <w:sz w:val="27"/>
          <w:szCs w:val="27"/>
          <w:rtl/>
        </w:rPr>
        <w:t>ن العلماء</w:t>
      </w:r>
      <w:r w:rsidR="0094514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إ</w:t>
      </w:r>
      <w:r w:rsidR="00EE6DBA" w:rsidRPr="00282AC9">
        <w:rPr>
          <w:rFonts w:ascii="Sakkal Majalla" w:hAnsi="Sakkal Majalla" w:cs="AL-Mohanad" w:hint="cs"/>
          <w:sz w:val="27"/>
          <w:szCs w:val="27"/>
          <w:rtl/>
        </w:rPr>
        <w:t>لاّ</w:t>
      </w:r>
      <w:r w:rsidRPr="00282AC9">
        <w:rPr>
          <w:rFonts w:ascii="Sakkal Majalla" w:hAnsi="Sakkal Majalla" w:cs="AL-Mohanad" w:hint="cs"/>
          <w:sz w:val="27"/>
          <w:szCs w:val="27"/>
          <w:rtl/>
        </w:rPr>
        <w:t xml:space="preserve"> أنّ البحث والتحق</w:t>
      </w:r>
      <w:r w:rsidRPr="00282AC9">
        <w:rPr>
          <w:rFonts w:cs="AL-Mohanad" w:hint="cs"/>
          <w:sz w:val="27"/>
          <w:szCs w:val="27"/>
          <w:rtl/>
        </w:rPr>
        <w:t>ي</w:t>
      </w:r>
      <w:r w:rsidRPr="00282AC9">
        <w:rPr>
          <w:rFonts w:ascii="Sakkal Majalla" w:hAnsi="Sakkal Majalla" w:cs="AL-Mohanad" w:hint="cs"/>
          <w:sz w:val="27"/>
          <w:szCs w:val="27"/>
          <w:rtl/>
        </w:rPr>
        <w:t xml:space="preserve">ق </w:t>
      </w:r>
      <w:r w:rsidRPr="00282AC9">
        <w:rPr>
          <w:rFonts w:cs="AL-Mohanad" w:hint="cs"/>
          <w:sz w:val="27"/>
          <w:szCs w:val="27"/>
          <w:rtl/>
        </w:rPr>
        <w:t>ي</w:t>
      </w:r>
      <w:r w:rsidRPr="00282AC9">
        <w:rPr>
          <w:rFonts w:ascii="Sakkal Majalla" w:hAnsi="Sakkal Majalla" w:cs="AL-Mohanad" w:hint="cs"/>
          <w:sz w:val="27"/>
          <w:szCs w:val="27"/>
          <w:rtl/>
        </w:rPr>
        <w:t>ورث عندنا الشك</w:t>
      </w:r>
      <w:r w:rsidR="00942EFD"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في كث</w:t>
      </w:r>
      <w:r w:rsidRPr="00282AC9">
        <w:rPr>
          <w:rFonts w:cs="AL-Mohanad" w:hint="cs"/>
          <w:sz w:val="27"/>
          <w:szCs w:val="27"/>
          <w:rtl/>
        </w:rPr>
        <w:t>ي</w:t>
      </w:r>
      <w:r w:rsidRPr="00282AC9">
        <w:rPr>
          <w:rFonts w:ascii="Sakkal Majalla" w:hAnsi="Sakkal Majalla" w:cs="AL-Mohanad" w:hint="cs"/>
          <w:sz w:val="27"/>
          <w:szCs w:val="27"/>
          <w:rtl/>
        </w:rPr>
        <w:t>ر</w:t>
      </w:r>
      <w:r w:rsidR="00942EFD"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من هذه الروا</w:t>
      </w:r>
      <w:r w:rsidRPr="00282AC9">
        <w:rPr>
          <w:rFonts w:cs="AL-Mohanad" w:hint="cs"/>
          <w:sz w:val="27"/>
          <w:szCs w:val="27"/>
          <w:rtl/>
        </w:rPr>
        <w:t>ي</w:t>
      </w:r>
      <w:r w:rsidRPr="00282AC9">
        <w:rPr>
          <w:rFonts w:ascii="Sakkal Majalla" w:hAnsi="Sakkal Majalla" w:cs="AL-Mohanad" w:hint="cs"/>
          <w:sz w:val="27"/>
          <w:szCs w:val="27"/>
          <w:rtl/>
        </w:rPr>
        <w:t>ات</w:t>
      </w:r>
      <w:r w:rsidR="00942EFD"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00942EFD" w:rsidRPr="00282AC9">
        <w:rPr>
          <w:rFonts w:ascii="Sakkal Majalla" w:hAnsi="Sakkal Majalla" w:cs="AL-Mohanad" w:hint="cs"/>
          <w:sz w:val="27"/>
          <w:szCs w:val="27"/>
          <w:rtl/>
        </w:rPr>
        <w:t>إ</w:t>
      </w:r>
      <w:r w:rsidRPr="00282AC9">
        <w:rPr>
          <w:rFonts w:ascii="Sakkal Majalla" w:hAnsi="Sakkal Majalla" w:cs="AL-Mohanad" w:hint="cs"/>
          <w:sz w:val="27"/>
          <w:szCs w:val="27"/>
          <w:rtl/>
        </w:rPr>
        <w:t>ذ ك</w:t>
      </w:r>
      <w:r w:rsidRPr="00282AC9">
        <w:rPr>
          <w:rFonts w:cs="AL-Mohanad" w:hint="cs"/>
          <w:sz w:val="27"/>
          <w:szCs w:val="27"/>
          <w:rtl/>
        </w:rPr>
        <w:t>ي</w:t>
      </w:r>
      <w:r w:rsidRPr="00282AC9">
        <w:rPr>
          <w:rFonts w:ascii="Sakkal Majalla" w:hAnsi="Sakkal Majalla" w:cs="AL-Mohanad" w:hint="cs"/>
          <w:sz w:val="27"/>
          <w:szCs w:val="27"/>
          <w:rtl/>
        </w:rPr>
        <w:t xml:space="preserve">ف </w:t>
      </w:r>
      <w:r w:rsidRPr="00282AC9">
        <w:rPr>
          <w:rFonts w:cs="AL-Mohanad" w:hint="cs"/>
          <w:sz w:val="27"/>
          <w:szCs w:val="27"/>
          <w:rtl/>
        </w:rPr>
        <w:t>ي</w:t>
      </w:r>
      <w:r w:rsidRPr="00282AC9">
        <w:rPr>
          <w:rFonts w:ascii="Sakkal Majalla" w:hAnsi="Sakkal Majalla" w:cs="AL-Mohanad" w:hint="cs"/>
          <w:sz w:val="27"/>
          <w:szCs w:val="27"/>
          <w:rtl/>
        </w:rPr>
        <w:t>قوم الإمام</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بجمع القر</w:t>
      </w:r>
      <w:r w:rsidR="00942EFD" w:rsidRPr="00282AC9">
        <w:rPr>
          <w:rFonts w:ascii="Sakkal Majalla" w:hAnsi="Sakkal Majalla" w:cs="AL-Mohanad" w:hint="cs"/>
          <w:sz w:val="27"/>
          <w:szCs w:val="27"/>
          <w:rtl/>
        </w:rPr>
        <w:t>آ</w:t>
      </w:r>
      <w:r w:rsidRPr="00282AC9">
        <w:rPr>
          <w:rFonts w:ascii="Sakkal Majalla" w:hAnsi="Sakkal Majalla" w:cs="AL-Mohanad" w:hint="cs"/>
          <w:sz w:val="27"/>
          <w:szCs w:val="27"/>
          <w:rtl/>
        </w:rPr>
        <w:t>ن بعد وفاة النبي</w:t>
      </w:r>
      <w:r w:rsidR="00942EFD"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942EFD"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وهو الذي كان ملازماً للنبي</w:t>
      </w:r>
      <w:r w:rsidR="00942EFD"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942EFD"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w:t>
      </w:r>
      <w:r w:rsidRPr="00282AC9">
        <w:rPr>
          <w:rFonts w:cs="AL-Mohanad" w:hint="cs"/>
          <w:sz w:val="27"/>
          <w:szCs w:val="27"/>
          <w:rtl/>
        </w:rPr>
        <w:t>ي</w:t>
      </w:r>
      <w:r w:rsidRPr="00282AC9">
        <w:rPr>
          <w:rFonts w:ascii="Sakkal Majalla" w:hAnsi="Sakkal Majalla" w:cs="AL-Mohanad" w:hint="cs"/>
          <w:sz w:val="27"/>
          <w:szCs w:val="27"/>
          <w:rtl/>
        </w:rPr>
        <w:t>كتب جم</w:t>
      </w:r>
      <w:r w:rsidRPr="00282AC9">
        <w:rPr>
          <w:rFonts w:cs="AL-Mohanad" w:hint="cs"/>
          <w:sz w:val="27"/>
          <w:szCs w:val="27"/>
          <w:rtl/>
        </w:rPr>
        <w:t>ي</w:t>
      </w:r>
      <w:r w:rsidRPr="00282AC9">
        <w:rPr>
          <w:rFonts w:ascii="Sakkal Majalla" w:hAnsi="Sakkal Majalla" w:cs="AL-Mohanad" w:hint="cs"/>
          <w:sz w:val="27"/>
          <w:szCs w:val="27"/>
          <w:rtl/>
        </w:rPr>
        <w:t>ع الآ</w:t>
      </w:r>
      <w:r w:rsidRPr="00282AC9">
        <w:rPr>
          <w:rFonts w:cs="AL-Mohanad" w:hint="cs"/>
          <w:sz w:val="27"/>
          <w:szCs w:val="27"/>
          <w:rtl/>
        </w:rPr>
        <w:t>ي</w:t>
      </w:r>
      <w:r w:rsidRPr="00282AC9">
        <w:rPr>
          <w:rFonts w:ascii="Sakkal Majalla" w:hAnsi="Sakkal Majalla" w:cs="AL-Mohanad" w:hint="cs"/>
          <w:sz w:val="27"/>
          <w:szCs w:val="27"/>
          <w:rtl/>
        </w:rPr>
        <w:t>ات النازلة عل</w:t>
      </w:r>
      <w:r w:rsidRPr="00282AC9">
        <w:rPr>
          <w:rFonts w:cs="AL-Mohanad" w:hint="cs"/>
          <w:sz w:val="27"/>
          <w:szCs w:val="27"/>
          <w:rtl/>
        </w:rPr>
        <w:t>ي</w:t>
      </w:r>
      <w:r w:rsidRPr="00282AC9">
        <w:rPr>
          <w:rFonts w:ascii="Sakkal Majalla" w:hAnsi="Sakkal Majalla" w:cs="AL-Mohanad" w:hint="cs"/>
          <w:sz w:val="27"/>
          <w:szCs w:val="27"/>
          <w:rtl/>
        </w:rPr>
        <w:t>ه</w:t>
      </w:r>
      <w:r w:rsidR="009A2A04" w:rsidRPr="00282AC9">
        <w:rPr>
          <w:rFonts w:ascii="Sakkal Majalla" w:hAnsi="Sakkal Majalla" w:cs="Mosawi" w:hint="cs"/>
          <w:sz w:val="22"/>
          <w:szCs w:val="22"/>
          <w:rtl/>
        </w:rPr>
        <w:t>|</w:t>
      </w:r>
      <w:r w:rsidR="00942EFD"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مع تأو</w:t>
      </w:r>
      <w:r w:rsidRPr="00282AC9">
        <w:rPr>
          <w:rFonts w:cs="AL-Mohanad" w:hint="cs"/>
          <w:sz w:val="27"/>
          <w:szCs w:val="27"/>
          <w:rtl/>
        </w:rPr>
        <w:t>ي</w:t>
      </w:r>
      <w:r w:rsidRPr="00282AC9">
        <w:rPr>
          <w:rFonts w:ascii="Sakkal Majalla" w:hAnsi="Sakkal Majalla" w:cs="AL-Mohanad" w:hint="cs"/>
          <w:sz w:val="27"/>
          <w:szCs w:val="27"/>
          <w:rtl/>
        </w:rPr>
        <w:t>لها وتفس</w:t>
      </w:r>
      <w:r w:rsidRPr="00282AC9">
        <w:rPr>
          <w:rFonts w:cs="AL-Mohanad" w:hint="cs"/>
          <w:sz w:val="27"/>
          <w:szCs w:val="27"/>
          <w:rtl/>
        </w:rPr>
        <w:t>ي</w:t>
      </w:r>
      <w:r w:rsidRPr="00282AC9">
        <w:rPr>
          <w:rFonts w:ascii="Sakkal Majalla" w:hAnsi="Sakkal Majalla" w:cs="AL-Mohanad" w:hint="cs"/>
          <w:sz w:val="27"/>
          <w:szCs w:val="27"/>
          <w:rtl/>
        </w:rPr>
        <w:t>رها</w:t>
      </w:r>
      <w:r w:rsidR="00942EFD"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وب</w:t>
      </w:r>
      <w:r w:rsidRPr="00282AC9">
        <w:rPr>
          <w:rFonts w:cs="AL-Mohanad" w:hint="cs"/>
          <w:sz w:val="27"/>
          <w:szCs w:val="27"/>
          <w:rtl/>
        </w:rPr>
        <w:t>ي</w:t>
      </w:r>
      <w:r w:rsidRPr="00282AC9">
        <w:rPr>
          <w:rFonts w:ascii="Sakkal Majalla" w:hAnsi="Sakkal Majalla" w:cs="AL-Mohanad" w:hint="cs"/>
          <w:sz w:val="27"/>
          <w:szCs w:val="27"/>
          <w:rtl/>
        </w:rPr>
        <w:t>ان ناسخها ومنسوخها</w:t>
      </w:r>
      <w:r w:rsidR="00942EFD"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وغ</w:t>
      </w:r>
      <w:r w:rsidRPr="00282AC9">
        <w:rPr>
          <w:rFonts w:cs="AL-Mohanad" w:hint="cs"/>
          <w:sz w:val="27"/>
          <w:szCs w:val="27"/>
          <w:rtl/>
        </w:rPr>
        <w:t>ي</w:t>
      </w:r>
      <w:r w:rsidRPr="00282AC9">
        <w:rPr>
          <w:rFonts w:ascii="Sakkal Majalla" w:hAnsi="Sakkal Majalla" w:cs="AL-Mohanad" w:hint="cs"/>
          <w:sz w:val="27"/>
          <w:szCs w:val="27"/>
          <w:rtl/>
        </w:rPr>
        <w:t>ر ذلك؟</w:t>
      </w:r>
      <w:r w:rsidR="00942EFD"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Pr>
      </w:pPr>
      <w:r w:rsidRPr="00282AC9">
        <w:rPr>
          <w:rFonts w:ascii="Sakkal Majalla" w:hAnsi="Sakkal Majalla" w:cs="AL-Mohanad" w:hint="cs"/>
          <w:sz w:val="27"/>
          <w:szCs w:val="27"/>
          <w:rtl/>
        </w:rPr>
        <w:t>وك</w:t>
      </w:r>
      <w:r w:rsidRPr="00282AC9">
        <w:rPr>
          <w:rFonts w:cs="AL-Mohanad" w:hint="cs"/>
          <w:sz w:val="27"/>
          <w:szCs w:val="27"/>
          <w:rtl/>
        </w:rPr>
        <w:t>ي</w:t>
      </w:r>
      <w:r w:rsidRPr="00282AC9">
        <w:rPr>
          <w:rFonts w:ascii="Sakkal Majalla" w:hAnsi="Sakkal Majalla" w:cs="AL-Mohanad" w:hint="cs"/>
          <w:sz w:val="27"/>
          <w:szCs w:val="27"/>
          <w:rtl/>
        </w:rPr>
        <w:t>ف جمع القرآن بعد النبي</w:t>
      </w:r>
      <w:r w:rsidR="00942EFD"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وقد ورد عنه</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أنّه قال: </w:t>
      </w:r>
      <w:r w:rsidR="00942EFD" w:rsidRPr="00282AC9">
        <w:rPr>
          <w:rFonts w:ascii="Sakkal Majalla" w:hAnsi="Sakkal Majalla" w:cs="AL-Mohanad"/>
          <w:sz w:val="27"/>
          <w:szCs w:val="27"/>
          <w:rtl/>
        </w:rPr>
        <w:t>فما نز</w:t>
      </w:r>
      <w:r w:rsidRPr="00282AC9">
        <w:rPr>
          <w:rFonts w:ascii="Sakkal Majalla" w:hAnsi="Sakkal Majalla" w:cs="AL-Mohanad"/>
          <w:sz w:val="27"/>
          <w:szCs w:val="27"/>
          <w:rtl/>
        </w:rPr>
        <w:t>ل</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ت</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على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آية</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القرآن </w:t>
      </w:r>
      <w:r w:rsidRPr="00282AC9">
        <w:rPr>
          <w:rFonts w:ascii="Sakkal Majalla" w:hAnsi="Sakkal Majalla" w:cs="AL-Mohanad" w:hint="cs"/>
          <w:sz w:val="27"/>
          <w:szCs w:val="27"/>
          <w:rtl/>
        </w:rPr>
        <w:t>إ</w:t>
      </w:r>
      <w:r w:rsidR="00EE6DBA" w:rsidRPr="00282AC9">
        <w:rPr>
          <w:rFonts w:ascii="Sakkal Majalla" w:hAnsi="Sakkal Majalla" w:cs="AL-Mohanad"/>
          <w:sz w:val="27"/>
          <w:szCs w:val="27"/>
          <w:rtl/>
        </w:rPr>
        <w:t>لاّ</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أ</w:t>
      </w:r>
      <w:r w:rsidRPr="00282AC9">
        <w:rPr>
          <w:rFonts w:ascii="Sakkal Majalla" w:hAnsi="Sakkal Majalla" w:cs="AL-Mohanad"/>
          <w:sz w:val="27"/>
          <w:szCs w:val="27"/>
          <w:rtl/>
        </w:rPr>
        <w:t>قرأنيها</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w:t>
      </w:r>
      <w:r w:rsidRPr="00282AC9">
        <w:rPr>
          <w:rFonts w:ascii="Sakkal Majalla" w:hAnsi="Sakkal Majalla" w:cs="AL-Mohanad" w:hint="cs"/>
          <w:sz w:val="27"/>
          <w:szCs w:val="27"/>
          <w:rtl/>
        </w:rPr>
        <w:t>أ</w:t>
      </w:r>
      <w:r w:rsidRPr="00282AC9">
        <w:rPr>
          <w:rFonts w:ascii="Sakkal Majalla" w:hAnsi="Sakkal Majalla" w:cs="AL-Mohanad"/>
          <w:sz w:val="27"/>
          <w:szCs w:val="27"/>
          <w:rtl/>
        </w:rPr>
        <w:t>ملاها عل</w:t>
      </w:r>
      <w:r w:rsidR="00942EFD"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فكتبت</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ها بخطّ</w:t>
      </w:r>
      <w:r w:rsidR="00942EFD"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وعلّمن</w:t>
      </w:r>
      <w:r w:rsidR="00942EFD"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تأويلها وتفسيرها</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وناسخها ومنسوخها</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ومحكمها ومتشابهها</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وخاصّها وعامّها</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ودعا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 xml:space="preserve">ه </w:t>
      </w:r>
      <w:r w:rsidRPr="00282AC9">
        <w:rPr>
          <w:rFonts w:ascii="Sakkal Majalla" w:hAnsi="Sakkal Majalla" w:cs="AL-Mohanad" w:hint="cs"/>
          <w:sz w:val="27"/>
          <w:szCs w:val="27"/>
          <w:rtl/>
        </w:rPr>
        <w:t>أ</w:t>
      </w:r>
      <w:r w:rsidRPr="00282AC9">
        <w:rPr>
          <w:rFonts w:ascii="Sakkal Majalla" w:hAnsi="Sakkal Majalla" w:cs="AL-Mohanad"/>
          <w:sz w:val="27"/>
          <w:szCs w:val="27"/>
          <w:rtl/>
        </w:rPr>
        <w:t>ن يعطين</w:t>
      </w:r>
      <w:r w:rsidR="00942EFD"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فهمها وحفظها</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فما نسيت آية</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كتاب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ولا علما</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أ</w:t>
      </w:r>
      <w:r w:rsidRPr="00282AC9">
        <w:rPr>
          <w:rFonts w:ascii="Sakkal Majalla" w:hAnsi="Sakkal Majalla" w:cs="AL-Mohanad"/>
          <w:sz w:val="27"/>
          <w:szCs w:val="27"/>
          <w:rtl/>
        </w:rPr>
        <w:t>ملاه‏ عل</w:t>
      </w:r>
      <w:r w:rsidR="00942EFD" w:rsidRPr="00282AC9">
        <w:rPr>
          <w:rFonts w:ascii="Sakkal Majalla" w:hAnsi="Sakkal Majalla" w:cs="AL-Mohanad" w:hint="cs"/>
          <w:sz w:val="27"/>
          <w:szCs w:val="27"/>
          <w:rtl/>
        </w:rPr>
        <w:t>يَّ</w:t>
      </w:r>
      <w:r w:rsidRPr="00282AC9">
        <w:rPr>
          <w:rFonts w:ascii="Sakkal Majalla" w:hAnsi="Sakkal Majalla" w:cs="AL-Mohanad"/>
          <w:sz w:val="27"/>
          <w:szCs w:val="27"/>
          <w:rtl/>
        </w:rPr>
        <w:t>‏ وكتبت</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ه</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منذ دعا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ل</w:t>
      </w:r>
      <w:r w:rsidR="00942EFD"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بما دعا</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86"/>
      </w:r>
      <w:r w:rsidRPr="00282AC9">
        <w:rPr>
          <w:rFonts w:ascii="Sakkal Majalla" w:hAnsi="Sakkal Majalla" w:cs="AL-Mohanad"/>
          <w:sz w:val="27"/>
          <w:szCs w:val="27"/>
          <w:vertAlign w:val="superscript"/>
          <w:rtl/>
        </w:rPr>
        <w:t>)</w:t>
      </w:r>
      <w:r w:rsidR="00942EFD"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sz w:val="27"/>
          <w:szCs w:val="27"/>
          <w:rtl/>
        </w:rPr>
        <w:t>وف</w:t>
      </w:r>
      <w:r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w:t>
      </w:r>
      <w:r w:rsidR="00942EFD" w:rsidRPr="00282AC9">
        <w:rPr>
          <w:rFonts w:ascii="Sakkal Majalla" w:hAnsi="Sakkal Majalla" w:cs="AL-Mohanad" w:hint="cs"/>
          <w:sz w:val="27"/>
          <w:szCs w:val="27"/>
          <w:rtl/>
        </w:rPr>
        <w:t>ا</w:t>
      </w:r>
      <w:r w:rsidRPr="00282AC9">
        <w:rPr>
          <w:rFonts w:ascii="Sakkal Majalla" w:hAnsi="Sakkal Majalla" w:cs="AL-Mohanad"/>
          <w:sz w:val="27"/>
          <w:szCs w:val="27"/>
          <w:rtl/>
        </w:rPr>
        <w:t>حتجاجه عل</w:t>
      </w:r>
      <w:r w:rsidR="00942EFD" w:rsidRPr="00282AC9">
        <w:rPr>
          <w:rFonts w:cs="AL-Mohanad" w:hint="cs"/>
          <w:sz w:val="27"/>
          <w:szCs w:val="27"/>
          <w:rtl/>
        </w:rPr>
        <w:t>ى</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جماعة</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من</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الأ</w:t>
      </w:r>
      <w:r w:rsidRPr="00282AC9">
        <w:rPr>
          <w:rFonts w:ascii="Sakkal Majalla" w:hAnsi="Sakkal Majalla" w:cs="AL-Mohanad"/>
          <w:sz w:val="27"/>
          <w:szCs w:val="27"/>
          <w:rtl/>
        </w:rPr>
        <w:t>نصار والمهاجر</w:t>
      </w:r>
      <w:r w:rsidRPr="00282AC9">
        <w:rPr>
          <w:rFonts w:cs="AL-Mohanad" w:hint="cs"/>
          <w:sz w:val="27"/>
          <w:szCs w:val="27"/>
          <w:rtl/>
        </w:rPr>
        <w:t>ي</w:t>
      </w:r>
      <w:r w:rsidRPr="00282AC9">
        <w:rPr>
          <w:rFonts w:ascii="Sakkal Majalla" w:hAnsi="Sakkal Majalla" w:cs="AL-Mohanad" w:hint="cs"/>
          <w:sz w:val="27"/>
          <w:szCs w:val="27"/>
          <w:rtl/>
        </w:rPr>
        <w:t>ن</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قال</w:t>
      </w:r>
      <w:r w:rsidRPr="00282AC9">
        <w:rPr>
          <w:rFonts w:ascii="Sakkal Majalla" w:hAnsi="Sakkal Majalla" w:cs="AL-Mohanad"/>
          <w:sz w:val="27"/>
          <w:szCs w:val="27"/>
          <w:rtl/>
        </w:rPr>
        <w:t>: يا طلحة</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bookmarkStart w:id="106" w:name="_Hlk33416477"/>
      <w:r w:rsidRPr="00282AC9">
        <w:rPr>
          <w:rFonts w:ascii="Sakkal Majalla" w:hAnsi="Sakkal Majalla" w:cs="AL-Mohanad" w:hint="cs"/>
          <w:sz w:val="27"/>
          <w:szCs w:val="27"/>
          <w:rtl/>
        </w:rPr>
        <w:t>إ</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كل آية </w:t>
      </w:r>
      <w:r w:rsidR="00942EFD" w:rsidRPr="00282AC9">
        <w:rPr>
          <w:rFonts w:ascii="Sakkal Majalla" w:hAnsi="Sakkal Majalla" w:cs="AL-Mohanad" w:hint="cs"/>
          <w:sz w:val="27"/>
          <w:szCs w:val="27"/>
          <w:rtl/>
        </w:rPr>
        <w:t>أ</w:t>
      </w:r>
      <w:r w:rsidRPr="00282AC9">
        <w:rPr>
          <w:rFonts w:ascii="Sakkal Majalla" w:hAnsi="Sakkal Majalla" w:cs="AL-Mohanad"/>
          <w:sz w:val="27"/>
          <w:szCs w:val="27"/>
          <w:rtl/>
        </w:rPr>
        <w:t xml:space="preserve">نزلها </w:t>
      </w:r>
      <w:r w:rsidR="00C06BE6" w:rsidRPr="00282AC9">
        <w:rPr>
          <w:rFonts w:ascii="Sakkal Majalla" w:hAnsi="Sakkal Majalla" w:cs="AL-Mohanad"/>
          <w:sz w:val="27"/>
          <w:szCs w:val="27"/>
          <w:rtl/>
        </w:rPr>
        <w:t>الل</w:t>
      </w:r>
      <w:r w:rsidR="00942EFD" w:rsidRPr="00282AC9">
        <w:rPr>
          <w:rFonts w:ascii="Sakkal Majalla" w:hAnsi="Sakkal Majalla" w:cs="AL-Mohanad"/>
          <w:sz w:val="27"/>
          <w:szCs w:val="27"/>
          <w:rtl/>
        </w:rPr>
        <w:t>ه‏ تعالى‏ على‏ محم</w:t>
      </w:r>
      <w:r w:rsidRPr="00282AC9">
        <w:rPr>
          <w:rFonts w:ascii="Sakkal Majalla" w:hAnsi="Sakkal Majalla" w:cs="AL-Mohanad"/>
          <w:sz w:val="27"/>
          <w:szCs w:val="27"/>
          <w:rtl/>
        </w:rPr>
        <w:t>د</w:t>
      </w:r>
      <w:r w:rsidR="00942EFD" w:rsidRPr="00282AC9">
        <w:rPr>
          <w:rFonts w:ascii="Sakkal Majalla" w:hAnsi="Sakkal Majalla" w:cs="AL-Mohanad" w:hint="cs"/>
          <w:sz w:val="27"/>
          <w:szCs w:val="27"/>
          <w:rtl/>
        </w:rPr>
        <w:t>ٍ</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عند</w:t>
      </w:r>
      <w:r w:rsidRPr="00282AC9">
        <w:rPr>
          <w:rFonts w:ascii="Sakkal Majalla" w:hAnsi="Sakkal Majalla" w:cs="AL-Mohanad" w:hint="cs"/>
          <w:sz w:val="27"/>
          <w:szCs w:val="27"/>
          <w:rtl/>
        </w:rPr>
        <w:t>ي</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w:t>
      </w:r>
      <w:r w:rsidR="00942EFD" w:rsidRPr="00282AC9">
        <w:rPr>
          <w:rFonts w:ascii="Sakkal Majalla" w:hAnsi="Sakkal Majalla" w:cs="AL-Mohanad" w:hint="cs"/>
          <w:sz w:val="27"/>
          <w:szCs w:val="27"/>
          <w:rtl/>
        </w:rPr>
        <w:t>إ</w:t>
      </w:r>
      <w:r w:rsidRPr="00282AC9">
        <w:rPr>
          <w:rFonts w:ascii="Sakkal Majalla" w:hAnsi="Sakkal Majalla" w:cs="AL-Mohanad"/>
          <w:sz w:val="27"/>
          <w:szCs w:val="27"/>
          <w:rtl/>
        </w:rPr>
        <w:t xml:space="preserve">ملاء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وخطّ يد</w:t>
      </w:r>
      <w:bookmarkEnd w:id="106"/>
      <w:r w:rsidR="00942EFD" w:rsidRPr="00282AC9">
        <w:rPr>
          <w:rFonts w:ascii="Sakkal Majalla" w:hAnsi="Sakkal Majalla" w:cs="AL-Mohanad" w:hint="cs"/>
          <w:sz w:val="27"/>
          <w:szCs w:val="27"/>
          <w:rtl/>
        </w:rPr>
        <w:t>ي</w:t>
      </w:r>
      <w:r w:rsidRPr="00282AC9">
        <w:rPr>
          <w:rFonts w:ascii="Sakkal Majalla" w:hAnsi="Sakkal Majalla" w:cs="AL-Mohanad"/>
          <w:sz w:val="27"/>
          <w:szCs w:val="27"/>
          <w:rtl/>
        </w:rPr>
        <w:t>، وتأويل كل</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آية </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نزلها </w:t>
      </w:r>
      <w:r w:rsidR="00C06BE6" w:rsidRPr="00282AC9">
        <w:rPr>
          <w:rFonts w:ascii="Sakkal Majalla" w:hAnsi="Sakkal Majalla" w:cs="AL-Mohanad"/>
          <w:sz w:val="27"/>
          <w:szCs w:val="27"/>
          <w:rtl/>
        </w:rPr>
        <w:t>الل</w:t>
      </w:r>
      <w:r w:rsidR="00942EFD" w:rsidRPr="00282AC9">
        <w:rPr>
          <w:rFonts w:ascii="Sakkal Majalla" w:hAnsi="Sakkal Majalla" w:cs="AL-Mohanad"/>
          <w:sz w:val="27"/>
          <w:szCs w:val="27"/>
          <w:rtl/>
        </w:rPr>
        <w:t>ه‏ تعالى‏ على‏ محم</w:t>
      </w:r>
      <w:r w:rsidRPr="00282AC9">
        <w:rPr>
          <w:rFonts w:ascii="Sakkal Majalla" w:hAnsi="Sakkal Majalla" w:cs="AL-Mohanad"/>
          <w:sz w:val="27"/>
          <w:szCs w:val="27"/>
          <w:rtl/>
        </w:rPr>
        <w:t>د</w:t>
      </w:r>
      <w:r w:rsidR="00942EFD" w:rsidRPr="00282AC9">
        <w:rPr>
          <w:rFonts w:ascii="Sakkal Majalla" w:hAnsi="Sakkal Majalla" w:cs="AL-Mohanad" w:hint="cs"/>
          <w:sz w:val="27"/>
          <w:szCs w:val="27"/>
          <w:rtl/>
        </w:rPr>
        <w:t>ٍ</w:t>
      </w:r>
      <w:r w:rsidR="009A2A04" w:rsidRPr="00282AC9">
        <w:rPr>
          <w:rFonts w:ascii="Sakkal Majalla" w:hAnsi="Sakkal Majalla" w:cs="Mosawi"/>
          <w:sz w:val="22"/>
          <w:szCs w:val="22"/>
          <w:rtl/>
        </w:rPr>
        <w:t>|</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وكل</w:t>
      </w:r>
      <w:r w:rsidR="007F3B20" w:rsidRPr="00282AC9">
        <w:rPr>
          <w:rFonts w:ascii="Sakkal Majalla" w:hAnsi="Sakkal Majalla" w:cs="AL-Mohanad" w:hint="cs"/>
          <w:sz w:val="27"/>
          <w:szCs w:val="27"/>
          <w:rtl/>
        </w:rPr>
        <w:t>ّ</w:t>
      </w:r>
      <w:r w:rsidR="007F3B20" w:rsidRPr="00282AC9">
        <w:rPr>
          <w:rFonts w:ascii="Sakkal Majalla" w:hAnsi="Sakkal Majalla" w:cs="AL-Mohanad"/>
          <w:sz w:val="27"/>
          <w:szCs w:val="27"/>
          <w:rtl/>
        </w:rPr>
        <w:t xml:space="preserve"> حلا</w:t>
      </w:r>
      <w:r w:rsidR="007F3B20" w:rsidRPr="00282AC9">
        <w:rPr>
          <w:rFonts w:ascii="Sakkal Majalla" w:hAnsi="Sakkal Majalla" w:cs="AL-Mohanad" w:hint="cs"/>
          <w:sz w:val="27"/>
          <w:szCs w:val="27"/>
          <w:rtl/>
        </w:rPr>
        <w:t>لٍ</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أ</w:t>
      </w:r>
      <w:r w:rsidRPr="00282AC9">
        <w:rPr>
          <w:rFonts w:ascii="Sakkal Majalla" w:hAnsi="Sakkal Majalla" w:cs="AL-Mohanad"/>
          <w:sz w:val="27"/>
          <w:szCs w:val="27"/>
          <w:rtl/>
        </w:rPr>
        <w:t>و حرام</w:t>
      </w:r>
      <w:r w:rsidR="007F3B20"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أ</w:t>
      </w:r>
      <w:r w:rsidRPr="00282AC9">
        <w:rPr>
          <w:rFonts w:ascii="Sakkal Majalla" w:hAnsi="Sakkal Majalla" w:cs="AL-Mohanad"/>
          <w:sz w:val="27"/>
          <w:szCs w:val="27"/>
          <w:rtl/>
        </w:rPr>
        <w:t>و حدّ</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أ</w:t>
      </w:r>
      <w:r w:rsidRPr="00282AC9">
        <w:rPr>
          <w:rFonts w:ascii="Sakkal Majalla" w:hAnsi="Sakkal Majalla" w:cs="AL-Mohanad"/>
          <w:sz w:val="27"/>
          <w:szCs w:val="27"/>
          <w:rtl/>
        </w:rPr>
        <w:t>و حكم</w:t>
      </w:r>
      <w:r w:rsidR="007F3B20"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أ</w:t>
      </w:r>
      <w:r w:rsidRPr="00282AC9">
        <w:rPr>
          <w:rFonts w:ascii="Sakkal Majalla" w:hAnsi="Sakkal Majalla" w:cs="AL-Mohanad"/>
          <w:sz w:val="27"/>
          <w:szCs w:val="27"/>
          <w:rtl/>
        </w:rPr>
        <w:t>و شي‏ء</w:t>
      </w:r>
      <w:r w:rsidR="00942EFD" w:rsidRPr="00282AC9">
        <w:rPr>
          <w:rFonts w:ascii="Sakkal Majalla" w:hAnsi="Sakkal Majalla" w:cs="AL-Mohanad" w:hint="cs"/>
          <w:sz w:val="27"/>
          <w:szCs w:val="27"/>
          <w:rtl/>
        </w:rPr>
        <w:t>ٍ</w:t>
      </w:r>
      <w:r w:rsidRPr="00282AC9">
        <w:rPr>
          <w:rFonts w:ascii="Sakkal Majalla" w:hAnsi="Sakkal Majalla" w:cs="AL-Mohanad"/>
          <w:sz w:val="27"/>
          <w:szCs w:val="27"/>
          <w:rtl/>
        </w:rPr>
        <w:t xml:space="preserve"> تحتاج </w:t>
      </w:r>
      <w:r w:rsidRPr="00282AC9">
        <w:rPr>
          <w:rFonts w:ascii="Sakkal Majalla" w:hAnsi="Sakkal Majalla" w:cs="AL-Mohanad" w:hint="cs"/>
          <w:sz w:val="27"/>
          <w:szCs w:val="27"/>
          <w:rtl/>
        </w:rPr>
        <w:t>إ</w:t>
      </w:r>
      <w:r w:rsidR="00942EFD" w:rsidRPr="00282AC9">
        <w:rPr>
          <w:rFonts w:ascii="Sakkal Majalla" w:hAnsi="Sakkal Majalla" w:cs="AL-Mohanad" w:hint="cs"/>
          <w:sz w:val="27"/>
          <w:szCs w:val="27"/>
          <w:rtl/>
        </w:rPr>
        <w:t>ل</w:t>
      </w:r>
      <w:r w:rsidRPr="00282AC9">
        <w:rPr>
          <w:rFonts w:ascii="Sakkal Majalla" w:hAnsi="Sakkal Majalla" w:cs="AL-Mohanad"/>
          <w:sz w:val="27"/>
          <w:szCs w:val="27"/>
          <w:rtl/>
        </w:rPr>
        <w:t>يه ال</w:t>
      </w:r>
      <w:r w:rsidR="007F3B20" w:rsidRPr="00282AC9">
        <w:rPr>
          <w:rFonts w:ascii="Sakkal Majalla" w:hAnsi="Sakkal Majalla" w:cs="AL-Mohanad" w:hint="cs"/>
          <w:sz w:val="27"/>
          <w:szCs w:val="27"/>
          <w:rtl/>
        </w:rPr>
        <w:t>أ</w:t>
      </w:r>
      <w:r w:rsidR="007F3B20" w:rsidRPr="00282AC9">
        <w:rPr>
          <w:rFonts w:ascii="Sakkal Majalla" w:hAnsi="Sakkal Majalla" w:cs="AL-Mohanad"/>
          <w:sz w:val="27"/>
          <w:szCs w:val="27"/>
          <w:rtl/>
        </w:rPr>
        <w:t>م</w:t>
      </w:r>
      <w:r w:rsidR="007F3B20" w:rsidRPr="00282AC9">
        <w:rPr>
          <w:rFonts w:ascii="Sakkal Majalla" w:hAnsi="Sakkal Majalla" w:cs="AL-Mohanad" w:hint="cs"/>
          <w:sz w:val="27"/>
          <w:szCs w:val="27"/>
          <w:rtl/>
        </w:rPr>
        <w:t>ّ</w:t>
      </w:r>
      <w:r w:rsidRPr="00282AC9">
        <w:rPr>
          <w:rFonts w:ascii="Sakkal Majalla" w:hAnsi="Sakkal Majalla" w:cs="AL-Mohanad"/>
          <w:sz w:val="27"/>
          <w:szCs w:val="27"/>
          <w:rtl/>
        </w:rPr>
        <w:t xml:space="preserve">ة </w:t>
      </w:r>
      <w:r w:rsidRPr="00282AC9">
        <w:rPr>
          <w:rFonts w:ascii="Sakkal Majalla" w:hAnsi="Sakkal Majalla" w:cs="AL-Mohanad" w:hint="cs"/>
          <w:sz w:val="27"/>
          <w:szCs w:val="27"/>
          <w:rtl/>
        </w:rPr>
        <w:t>إ</w:t>
      </w:r>
      <w:r w:rsidRPr="00282AC9">
        <w:rPr>
          <w:rFonts w:ascii="Sakkal Majalla" w:hAnsi="Sakkal Majalla" w:cs="AL-Mohanad"/>
          <w:sz w:val="27"/>
          <w:szCs w:val="27"/>
          <w:rtl/>
        </w:rPr>
        <w:t>لى يوم القيامة، فهو عن</w:t>
      </w:r>
      <w:r w:rsidRPr="00282AC9">
        <w:rPr>
          <w:rFonts w:ascii="Sakkal Majalla" w:hAnsi="Sakkal Majalla" w:cs="AL-Mohanad" w:hint="cs"/>
          <w:sz w:val="27"/>
          <w:szCs w:val="27"/>
          <w:rtl/>
        </w:rPr>
        <w:t>دي</w:t>
      </w:r>
      <w:r w:rsidRPr="00282AC9">
        <w:rPr>
          <w:rFonts w:ascii="Sakkal Majalla" w:hAnsi="Sakkal Majalla" w:cs="AL-Mohanad"/>
          <w:sz w:val="27"/>
          <w:szCs w:val="27"/>
          <w:rtl/>
        </w:rPr>
        <w:t xml:space="preserve"> مكتوب</w:t>
      </w:r>
      <w:r w:rsidR="00D01BF3"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w:t>
      </w:r>
      <w:r w:rsidRPr="00282AC9">
        <w:rPr>
          <w:rFonts w:ascii="Sakkal Majalla" w:hAnsi="Sakkal Majalla" w:cs="AL-Mohanad" w:hint="cs"/>
          <w:sz w:val="27"/>
          <w:szCs w:val="27"/>
          <w:rtl/>
        </w:rPr>
        <w:t>إ</w:t>
      </w:r>
      <w:r w:rsidRPr="00282AC9">
        <w:rPr>
          <w:rFonts w:ascii="Sakkal Majalla" w:hAnsi="Sakkal Majalla" w:cs="AL-Mohanad"/>
          <w:sz w:val="27"/>
          <w:szCs w:val="27"/>
          <w:rtl/>
        </w:rPr>
        <w:t xml:space="preserve">ملاء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وخط</w:t>
      </w:r>
      <w:r w:rsidR="00D01BF3" w:rsidRPr="00282AC9">
        <w:rPr>
          <w:rFonts w:ascii="Sakkal Majalla" w:hAnsi="Sakkal Majalla" w:cs="AL-Mohanad" w:hint="cs"/>
          <w:sz w:val="27"/>
          <w:szCs w:val="27"/>
          <w:rtl/>
        </w:rPr>
        <w:t>ّ</w:t>
      </w:r>
      <w:r w:rsidRPr="00282AC9">
        <w:rPr>
          <w:rFonts w:ascii="Sakkal Majalla" w:hAnsi="Sakkal Majalla" w:cs="AL-Mohanad"/>
          <w:sz w:val="27"/>
          <w:szCs w:val="27"/>
          <w:rtl/>
        </w:rPr>
        <w:t xml:space="preserve"> يد</w:t>
      </w:r>
      <w:r w:rsidRPr="00282AC9">
        <w:rPr>
          <w:rFonts w:ascii="Sakkal Majalla" w:hAnsi="Sakkal Majalla" w:cs="AL-Mohanad" w:hint="cs"/>
          <w:sz w:val="27"/>
          <w:szCs w:val="27"/>
          <w:rtl/>
        </w:rPr>
        <w:t>ي</w:t>
      </w:r>
      <w:r w:rsidRPr="00282AC9">
        <w:rPr>
          <w:rFonts w:ascii="Sakkal Majalla" w:hAnsi="Sakkal Majalla" w:cs="AL-Mohanad"/>
          <w:sz w:val="27"/>
          <w:szCs w:val="27"/>
          <w:rtl/>
        </w:rPr>
        <w:t>، حت</w:t>
      </w:r>
      <w:r w:rsidR="00D01BF3" w:rsidRPr="00282AC9">
        <w:rPr>
          <w:rFonts w:ascii="Sakkal Majalla" w:hAnsi="Sakkal Majalla" w:cs="AL-Mohanad" w:hint="cs"/>
          <w:sz w:val="27"/>
          <w:szCs w:val="27"/>
          <w:rtl/>
        </w:rPr>
        <w:t>ّ</w:t>
      </w:r>
      <w:r w:rsidRPr="00282AC9">
        <w:rPr>
          <w:rFonts w:ascii="Sakkal Majalla" w:hAnsi="Sakkal Majalla" w:cs="AL-Mohanad"/>
          <w:sz w:val="27"/>
          <w:szCs w:val="27"/>
          <w:rtl/>
        </w:rPr>
        <w:t xml:space="preserve">ى </w:t>
      </w:r>
      <w:r w:rsidRPr="00282AC9">
        <w:rPr>
          <w:rFonts w:ascii="Sakkal Majalla" w:hAnsi="Sakkal Majalla" w:cs="AL-Mohanad" w:hint="cs"/>
          <w:sz w:val="27"/>
          <w:szCs w:val="27"/>
          <w:rtl/>
        </w:rPr>
        <w:t>أ</w:t>
      </w:r>
      <w:r w:rsidRPr="00282AC9">
        <w:rPr>
          <w:rFonts w:ascii="Sakkal Majalla" w:hAnsi="Sakkal Majalla" w:cs="AL-Mohanad"/>
          <w:sz w:val="27"/>
          <w:szCs w:val="27"/>
          <w:rtl/>
        </w:rPr>
        <w:t>رش الخدش</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87"/>
      </w:r>
      <w:r w:rsidRPr="00282AC9">
        <w:rPr>
          <w:rFonts w:ascii="Sakkal Majalla" w:hAnsi="Sakkal Majalla" w:cs="AL-Mohanad"/>
          <w:sz w:val="27"/>
          <w:szCs w:val="27"/>
          <w:vertAlign w:val="superscript"/>
          <w:rtl/>
        </w:rPr>
        <w:t>)</w:t>
      </w:r>
      <w:r w:rsidRPr="00282AC9">
        <w:rPr>
          <w:rFonts w:ascii="Traditional Arabic" w:hAnsi="Traditional Arabic" w:cs="AL-Mohanad" w:hint="cs"/>
          <w:sz w:val="27"/>
          <w:szCs w:val="27"/>
          <w:rtl/>
        </w:rPr>
        <w:t>.</w:t>
      </w:r>
    </w:p>
    <w:p w:rsidR="00D01BF3"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إ</w:t>
      </w:r>
      <w:r w:rsidRPr="00282AC9">
        <w:rPr>
          <w:rFonts w:ascii="Sakkal Majalla" w:hAnsi="Sakkal Majalla" w:cs="AL-Mohanad"/>
          <w:sz w:val="27"/>
          <w:szCs w:val="27"/>
          <w:rtl/>
        </w:rPr>
        <w:t>نّ هذه الروا</w:t>
      </w:r>
      <w:r w:rsidRPr="00282AC9">
        <w:rPr>
          <w:rFonts w:cs="AL-Mohanad" w:hint="cs"/>
          <w:sz w:val="27"/>
          <w:szCs w:val="27"/>
          <w:rtl/>
        </w:rPr>
        <w:t>ي</w:t>
      </w:r>
      <w:r w:rsidRPr="00282AC9">
        <w:rPr>
          <w:rFonts w:ascii="Sakkal Majalla" w:hAnsi="Sakkal Majalla" w:cs="AL-Mohanad" w:hint="cs"/>
          <w:sz w:val="27"/>
          <w:szCs w:val="27"/>
          <w:rtl/>
        </w:rPr>
        <w:t>ات</w:t>
      </w:r>
      <w:r w:rsidRPr="00282AC9">
        <w:rPr>
          <w:rFonts w:ascii="Sakkal Majalla" w:hAnsi="Sakkal Majalla" w:cs="AL-Mohanad"/>
          <w:sz w:val="27"/>
          <w:szCs w:val="27"/>
          <w:rtl/>
        </w:rPr>
        <w:t xml:space="preserve"> تب</w:t>
      </w:r>
      <w:r w:rsidRPr="00282AC9">
        <w:rPr>
          <w:rFonts w:cs="AL-Mohanad" w:hint="cs"/>
          <w:sz w:val="27"/>
          <w:szCs w:val="27"/>
          <w:rtl/>
        </w:rPr>
        <w:t>ي</w:t>
      </w:r>
      <w:r w:rsidRPr="00282AC9">
        <w:rPr>
          <w:rFonts w:ascii="Sakkal Majalla" w:hAnsi="Sakkal Majalla" w:cs="AL-Mohanad" w:hint="cs"/>
          <w:sz w:val="27"/>
          <w:szCs w:val="27"/>
          <w:rtl/>
        </w:rPr>
        <w:t>ن</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بشكل</w:t>
      </w:r>
      <w:r w:rsidR="00D01BF3"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واضح أنّ جمع الإمام</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للآ</w:t>
      </w:r>
      <w:r w:rsidRPr="00282AC9">
        <w:rPr>
          <w:rFonts w:cs="AL-Mohanad" w:hint="cs"/>
          <w:sz w:val="27"/>
          <w:szCs w:val="27"/>
          <w:rtl/>
        </w:rPr>
        <w:t>ي</w:t>
      </w:r>
      <w:r w:rsidRPr="00282AC9">
        <w:rPr>
          <w:rFonts w:ascii="Sakkal Majalla" w:hAnsi="Sakkal Majalla" w:cs="AL-Mohanad" w:hint="cs"/>
          <w:sz w:val="27"/>
          <w:szCs w:val="27"/>
          <w:rtl/>
        </w:rPr>
        <w:t>ات كان بإملاء</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من رسول الله</w:t>
      </w:r>
      <w:r w:rsidR="009A2A04" w:rsidRPr="00282AC9">
        <w:rPr>
          <w:rFonts w:ascii="Sakkal Majalla" w:hAnsi="Sakkal Majalla" w:cs="Mosawi" w:hint="cs"/>
          <w:sz w:val="22"/>
          <w:szCs w:val="22"/>
          <w:rtl/>
        </w:rPr>
        <w:t>|</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ومعن</w:t>
      </w:r>
      <w:r w:rsidR="00D01BF3" w:rsidRPr="00282AC9">
        <w:rPr>
          <w:rFonts w:ascii="Sakkal Majalla" w:hAnsi="Sakkal Majalla" w:cs="AL-Mohanad" w:hint="cs"/>
          <w:sz w:val="27"/>
          <w:szCs w:val="27"/>
          <w:rtl/>
        </w:rPr>
        <w:t>ى</w:t>
      </w:r>
      <w:r w:rsidRPr="00282AC9">
        <w:rPr>
          <w:rFonts w:ascii="Sakkal Majalla" w:hAnsi="Sakkal Majalla" w:cs="AL-Mohanad" w:hint="cs"/>
          <w:sz w:val="27"/>
          <w:szCs w:val="27"/>
          <w:rtl/>
        </w:rPr>
        <w:t xml:space="preserve"> ذلك أنّ الإمام</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كان قد جمع القر</w:t>
      </w:r>
      <w:r w:rsidR="00D01BF3" w:rsidRPr="00282AC9">
        <w:rPr>
          <w:rFonts w:ascii="Sakkal Majalla" w:hAnsi="Sakkal Majalla" w:cs="AL-Mohanad" w:hint="cs"/>
          <w:sz w:val="27"/>
          <w:szCs w:val="27"/>
          <w:rtl/>
        </w:rPr>
        <w:t>آ</w:t>
      </w:r>
      <w:r w:rsidRPr="00282AC9">
        <w:rPr>
          <w:rFonts w:ascii="Sakkal Majalla" w:hAnsi="Sakkal Majalla" w:cs="AL-Mohanad" w:hint="cs"/>
          <w:sz w:val="27"/>
          <w:szCs w:val="27"/>
          <w:rtl/>
        </w:rPr>
        <w:t>ن في ح</w:t>
      </w:r>
      <w:r w:rsidRPr="00282AC9">
        <w:rPr>
          <w:rFonts w:cs="AL-Mohanad" w:hint="cs"/>
          <w:sz w:val="27"/>
          <w:szCs w:val="27"/>
          <w:rtl/>
        </w:rPr>
        <w:t>ي</w:t>
      </w:r>
      <w:r w:rsidRPr="00282AC9">
        <w:rPr>
          <w:rFonts w:ascii="Sakkal Majalla" w:hAnsi="Sakkal Majalla" w:cs="AL-Mohanad" w:hint="cs"/>
          <w:sz w:val="27"/>
          <w:szCs w:val="27"/>
          <w:rtl/>
        </w:rPr>
        <w:t>اة النب</w:t>
      </w:r>
      <w:r w:rsidRPr="00282AC9">
        <w:rPr>
          <w:rFonts w:cs="AL-Mohanad" w:hint="cs"/>
          <w:sz w:val="27"/>
          <w:szCs w:val="27"/>
          <w:rtl/>
        </w:rPr>
        <w:t>ي</w:t>
      </w:r>
      <w:r w:rsidR="00D01BF3" w:rsidRPr="00282AC9">
        <w:rPr>
          <w:rFonts w:cs="AL-Mohanad" w:hint="cs"/>
          <w:sz w:val="27"/>
          <w:szCs w:val="27"/>
          <w:rtl/>
        </w:rPr>
        <w:t>ّ</w:t>
      </w:r>
      <w:r w:rsidR="009A2A04" w:rsidRPr="00282AC9">
        <w:rPr>
          <w:rFonts w:ascii="Sakkal Majalla" w:hAnsi="Sakkal Majalla" w:cs="Mosawi" w:hint="cs"/>
          <w:sz w:val="22"/>
          <w:szCs w:val="22"/>
          <w:rtl/>
        </w:rPr>
        <w:t>|</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lastRenderedPageBreak/>
        <w:t>خصوصاً إذا تأم</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لنا في هذه الفقرة من قوله</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w:t>
      </w:r>
      <w:r w:rsidRPr="00282AC9">
        <w:rPr>
          <w:rFonts w:cs="AL-Mohanad" w:hint="eastAsia"/>
          <w:rtl/>
        </w:rPr>
        <w:t>«</w:t>
      </w:r>
      <w:r w:rsidRPr="00282AC9">
        <w:rPr>
          <w:rFonts w:ascii="Sakkal Majalla" w:hAnsi="Sakkal Majalla" w:cs="AL-Mohanad" w:hint="cs"/>
          <w:sz w:val="27"/>
          <w:szCs w:val="27"/>
          <w:rtl/>
        </w:rPr>
        <w:t>إ</w:t>
      </w:r>
      <w:r w:rsidRPr="00282AC9">
        <w:rPr>
          <w:rFonts w:ascii="Sakkal Majalla" w:hAnsi="Sakkal Majalla" w:cs="AL-Mohanad"/>
          <w:sz w:val="27"/>
          <w:szCs w:val="27"/>
          <w:rtl/>
        </w:rPr>
        <w:t>ن</w:t>
      </w:r>
      <w:r w:rsidRPr="00282AC9">
        <w:rPr>
          <w:rFonts w:ascii="Sakkal Majalla" w:hAnsi="Sakkal Majalla" w:cs="AL-Mohanad" w:hint="cs"/>
          <w:sz w:val="27"/>
          <w:szCs w:val="27"/>
          <w:rtl/>
        </w:rPr>
        <w:t>ّ</w:t>
      </w:r>
      <w:r w:rsidRPr="00282AC9">
        <w:rPr>
          <w:rFonts w:ascii="Sakkal Majalla" w:hAnsi="Sakkal Majalla" w:cs="AL-Mohanad"/>
          <w:sz w:val="27"/>
          <w:szCs w:val="27"/>
          <w:rtl/>
        </w:rPr>
        <w:t xml:space="preserve"> كل</w:t>
      </w:r>
      <w:r w:rsidR="00D01BF3" w:rsidRPr="00282AC9">
        <w:rPr>
          <w:rFonts w:ascii="Sakkal Majalla" w:hAnsi="Sakkal Majalla" w:cs="AL-Mohanad" w:hint="cs"/>
          <w:sz w:val="27"/>
          <w:szCs w:val="27"/>
          <w:rtl/>
        </w:rPr>
        <w:t>ّ</w:t>
      </w:r>
      <w:r w:rsidRPr="00282AC9">
        <w:rPr>
          <w:rFonts w:ascii="Sakkal Majalla" w:hAnsi="Sakkal Majalla" w:cs="AL-Mohanad"/>
          <w:sz w:val="27"/>
          <w:szCs w:val="27"/>
          <w:rtl/>
        </w:rPr>
        <w:t xml:space="preserve"> آية</w:t>
      </w:r>
      <w:r w:rsidR="00D01BF3"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نزلها </w:t>
      </w:r>
      <w:r w:rsidR="00C06BE6" w:rsidRPr="00282AC9">
        <w:rPr>
          <w:rFonts w:ascii="Sakkal Majalla" w:hAnsi="Sakkal Majalla" w:cs="AL-Mohanad"/>
          <w:sz w:val="27"/>
          <w:szCs w:val="27"/>
          <w:rtl/>
        </w:rPr>
        <w:t>الل</w:t>
      </w:r>
      <w:r w:rsidR="00D01BF3" w:rsidRPr="00282AC9">
        <w:rPr>
          <w:rFonts w:ascii="Sakkal Majalla" w:hAnsi="Sakkal Majalla" w:cs="AL-Mohanad"/>
          <w:sz w:val="27"/>
          <w:szCs w:val="27"/>
          <w:rtl/>
        </w:rPr>
        <w:t>ه‏ تعالى‏ على‏ محم</w:t>
      </w:r>
      <w:r w:rsidRPr="00282AC9">
        <w:rPr>
          <w:rFonts w:ascii="Sakkal Majalla" w:hAnsi="Sakkal Majalla" w:cs="AL-Mohanad"/>
          <w:sz w:val="27"/>
          <w:szCs w:val="27"/>
          <w:rtl/>
        </w:rPr>
        <w:t>د</w:t>
      </w:r>
      <w:r w:rsidR="00D01BF3" w:rsidRPr="00282AC9">
        <w:rPr>
          <w:rFonts w:ascii="Sakkal Majalla" w:hAnsi="Sakkal Majalla" w:cs="AL-Mohanad" w:hint="cs"/>
          <w:sz w:val="27"/>
          <w:szCs w:val="27"/>
          <w:rtl/>
        </w:rPr>
        <w:t>ٍ</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عند</w:t>
      </w:r>
      <w:r w:rsidRPr="00282AC9">
        <w:rPr>
          <w:rFonts w:ascii="Sakkal Majalla" w:hAnsi="Sakkal Majalla" w:cs="AL-Mohanad" w:hint="cs"/>
          <w:sz w:val="27"/>
          <w:szCs w:val="27"/>
          <w:rtl/>
        </w:rPr>
        <w:t>ي</w:t>
      </w:r>
      <w:r w:rsidR="00D01BF3"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w:t>
      </w:r>
      <w:r w:rsidRPr="00282AC9">
        <w:rPr>
          <w:rFonts w:ascii="Sakkal Majalla" w:hAnsi="Sakkal Majalla" w:cs="AL-Mohanad" w:hint="cs"/>
          <w:sz w:val="27"/>
          <w:szCs w:val="27"/>
          <w:rtl/>
        </w:rPr>
        <w:t>إ</w:t>
      </w:r>
      <w:r w:rsidRPr="00282AC9">
        <w:rPr>
          <w:rFonts w:ascii="Sakkal Majalla" w:hAnsi="Sakkal Majalla" w:cs="AL-Mohanad"/>
          <w:sz w:val="27"/>
          <w:szCs w:val="27"/>
          <w:rtl/>
        </w:rPr>
        <w:t xml:space="preserve">ملاء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 وخطّ يد</w:t>
      </w:r>
      <w:r w:rsidRPr="00282AC9">
        <w:rPr>
          <w:rFonts w:ascii="Sakkal Majalla" w:hAnsi="Sakkal Majalla" w:cs="AL-Mohanad" w:hint="cs"/>
          <w:sz w:val="27"/>
          <w:szCs w:val="27"/>
          <w:rtl/>
        </w:rPr>
        <w:t>ي</w:t>
      </w:r>
      <w:r w:rsidRPr="00282AC9">
        <w:rPr>
          <w:rFonts w:cs="AL-Mohanad" w:hint="eastAsia"/>
          <w:rtl/>
        </w:rPr>
        <w:t>»</w:t>
      </w:r>
      <w:r w:rsidR="00D01BF3" w:rsidRPr="00282AC9">
        <w:rPr>
          <w:rFonts w:ascii="Sakkal Majalla" w:hAnsi="Sakkal Majalla" w:cs="AL-Mohanad" w:hint="cs"/>
          <w:sz w:val="27"/>
          <w:szCs w:val="27"/>
          <w:rtl/>
        </w:rPr>
        <w:t>.</w:t>
      </w:r>
    </w:p>
    <w:p w:rsidR="00D01BF3"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ومع هذا</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ك</w:t>
      </w:r>
      <w:r w:rsidRPr="00282AC9">
        <w:rPr>
          <w:rFonts w:cs="AL-Mohanad" w:hint="cs"/>
          <w:sz w:val="27"/>
          <w:szCs w:val="27"/>
          <w:rtl/>
        </w:rPr>
        <w:t>ي</w:t>
      </w:r>
      <w:r w:rsidRPr="00282AC9">
        <w:rPr>
          <w:rFonts w:ascii="Sakkal Majalla" w:hAnsi="Sakkal Majalla" w:cs="AL-Mohanad" w:hint="cs"/>
          <w:sz w:val="27"/>
          <w:szCs w:val="27"/>
          <w:rtl/>
        </w:rPr>
        <w:t xml:space="preserve">ف </w:t>
      </w:r>
      <w:r w:rsidRPr="00282AC9">
        <w:rPr>
          <w:rFonts w:cs="AL-Mohanad" w:hint="cs"/>
          <w:sz w:val="27"/>
          <w:szCs w:val="27"/>
          <w:rtl/>
        </w:rPr>
        <w:t>ي</w:t>
      </w:r>
      <w:r w:rsidR="00D01BF3" w:rsidRPr="00282AC9">
        <w:rPr>
          <w:rFonts w:cs="AL-Mohanad" w:hint="cs"/>
          <w:sz w:val="27"/>
          <w:szCs w:val="27"/>
          <w:rtl/>
        </w:rPr>
        <w:t>ُ</w:t>
      </w:r>
      <w:r w:rsidRPr="00282AC9">
        <w:rPr>
          <w:rFonts w:ascii="Sakkal Majalla" w:hAnsi="Sakkal Majalla" w:cs="AL-Mohanad" w:hint="cs"/>
          <w:sz w:val="27"/>
          <w:szCs w:val="27"/>
          <w:rtl/>
        </w:rPr>
        <w:t>قال</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كتب القر</w:t>
      </w:r>
      <w:r w:rsidR="00D01BF3" w:rsidRPr="00282AC9">
        <w:rPr>
          <w:rFonts w:ascii="Sakkal Majalla" w:hAnsi="Sakkal Majalla" w:cs="AL-Mohanad" w:hint="cs"/>
          <w:sz w:val="27"/>
          <w:szCs w:val="27"/>
          <w:rtl/>
        </w:rPr>
        <w:t>آ</w:t>
      </w:r>
      <w:r w:rsidRPr="00282AC9">
        <w:rPr>
          <w:rFonts w:ascii="Sakkal Majalla" w:hAnsi="Sakkal Majalla" w:cs="AL-Mohanad" w:hint="cs"/>
          <w:sz w:val="27"/>
          <w:szCs w:val="27"/>
          <w:rtl/>
        </w:rPr>
        <w:t>ن بعد وفاة النبي</w:t>
      </w:r>
      <w:r w:rsidR="00D01BF3"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D01BF3" w:rsidRPr="00282AC9">
        <w:rPr>
          <w:rFonts w:ascii="Sakkal Majalla" w:hAnsi="Sakkal Majalla" w:cs="AL-Mohanad" w:hint="cs"/>
          <w:sz w:val="27"/>
          <w:szCs w:val="27"/>
          <w:rtl/>
        </w:rPr>
        <w:t>؟!</w:t>
      </w:r>
    </w:p>
    <w:p w:rsidR="00C1161C" w:rsidRPr="00282AC9" w:rsidRDefault="00D01BF3" w:rsidP="001D1A88">
      <w:pPr>
        <w:pStyle w:val="afc"/>
        <w:rPr>
          <w:rFonts w:ascii="Sakkal Majalla" w:hAnsi="Sakkal Majalla" w:cs="AL-Mohanad"/>
          <w:sz w:val="27"/>
          <w:szCs w:val="27"/>
          <w:rtl/>
        </w:rPr>
      </w:pPr>
      <w:r w:rsidRPr="00282AC9">
        <w:rPr>
          <w:rFonts w:ascii="Sakkal Majalla" w:hAnsi="Sakkal Majalla" w:cs="AL-Mohanad" w:hint="cs"/>
          <w:sz w:val="27"/>
          <w:szCs w:val="27"/>
          <w:rtl/>
        </w:rPr>
        <w:t>و</w:t>
      </w:r>
      <w:r w:rsidR="00AD6E36" w:rsidRPr="00282AC9">
        <w:rPr>
          <w:rFonts w:ascii="Sakkal Majalla" w:hAnsi="Sakkal Majalla" w:cs="AL-Mohanad" w:hint="cs"/>
          <w:sz w:val="27"/>
          <w:szCs w:val="27"/>
          <w:rtl/>
        </w:rPr>
        <w:t>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ب</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أنّ الإمام</w:t>
      </w:r>
      <w:r w:rsidR="009A2A04" w:rsidRPr="00282AC9">
        <w:rPr>
          <w:rFonts w:ascii="Sakkal Majalla" w:hAnsi="Sakkal Majalla" w:cs="Mosawi" w:hint="cs"/>
          <w:sz w:val="22"/>
          <w:szCs w:val="22"/>
          <w:rtl/>
        </w:rPr>
        <w:t>×</w:t>
      </w:r>
      <w:r w:rsidR="00AD6E36" w:rsidRPr="00282AC9">
        <w:rPr>
          <w:rFonts w:ascii="Sakkal Majalla" w:hAnsi="Sakkal Majalla" w:cs="AL-Mohanad" w:hint="cs"/>
          <w:sz w:val="27"/>
          <w:szCs w:val="27"/>
          <w:rtl/>
        </w:rPr>
        <w:t xml:space="preserve"> كتب القر</w:t>
      </w:r>
      <w:r w:rsidRPr="00282AC9">
        <w:rPr>
          <w:rFonts w:ascii="Sakkal Majalla" w:hAnsi="Sakkal Majalla" w:cs="AL-Mohanad" w:hint="cs"/>
          <w:sz w:val="27"/>
          <w:szCs w:val="27"/>
          <w:rtl/>
        </w:rPr>
        <w:t>آ</w:t>
      </w:r>
      <w:r w:rsidR="00AD6E36" w:rsidRPr="00282AC9">
        <w:rPr>
          <w:rFonts w:ascii="Sakkal Majalla" w:hAnsi="Sakkal Majalla" w:cs="AL-Mohanad" w:hint="cs"/>
          <w:sz w:val="27"/>
          <w:szCs w:val="27"/>
          <w:rtl/>
        </w:rPr>
        <w:t>ن للمر</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ة ال</w:t>
      </w:r>
      <w:r w:rsidRPr="00282AC9">
        <w:rPr>
          <w:rFonts w:ascii="Sakkal Majalla" w:hAnsi="Sakkal Majalla" w:cs="AL-Mohanad" w:hint="cs"/>
          <w:sz w:val="27"/>
          <w:szCs w:val="27"/>
          <w:rtl/>
        </w:rPr>
        <w:t>أ</w:t>
      </w:r>
      <w:r w:rsidR="00AD6E36" w:rsidRPr="00282AC9">
        <w:rPr>
          <w:rFonts w:ascii="Sakkal Majalla" w:hAnsi="Sakkal Majalla" w:cs="AL-Mohanad" w:hint="cs"/>
          <w:sz w:val="27"/>
          <w:szCs w:val="27"/>
          <w:rtl/>
        </w:rPr>
        <w:t>خ</w:t>
      </w:r>
      <w:r w:rsidR="007F3B20" w:rsidRPr="00282AC9">
        <w:rPr>
          <w:rFonts w:ascii="Sakkal Majalla" w:hAnsi="Sakkal Majalla" w:cs="AL-Mohanad" w:hint="cs"/>
          <w:sz w:val="27"/>
          <w:szCs w:val="27"/>
          <w:rtl/>
        </w:rPr>
        <w:t>يرة</w:t>
      </w:r>
      <w:r w:rsidR="00AD6E36" w:rsidRPr="00282AC9">
        <w:rPr>
          <w:rFonts w:ascii="Sakkal Majalla" w:hAnsi="Sakkal Majalla" w:cs="AL-Mohanad" w:hint="cs"/>
          <w:sz w:val="27"/>
          <w:szCs w:val="27"/>
          <w:rtl/>
        </w:rPr>
        <w:t xml:space="preserve"> بعد وفاة النبي</w:t>
      </w:r>
      <w:r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فما هي الفائدة من هذه الكتابة</w:t>
      </w:r>
      <w:r w:rsidRPr="00282AC9">
        <w:rPr>
          <w:rFonts w:ascii="Sakkal Majalla" w:hAnsi="Sakkal Majalla" w:cs="AL-Mohanad" w:hint="cs"/>
          <w:sz w:val="27"/>
          <w:szCs w:val="27"/>
          <w:rtl/>
        </w:rPr>
        <w:t>، بعد</w:t>
      </w:r>
      <w:r w:rsidR="00AD6E36" w:rsidRPr="00282AC9">
        <w:rPr>
          <w:rFonts w:ascii="Sakkal Majalla" w:hAnsi="Sakkal Majalla" w:cs="AL-Mohanad" w:hint="cs"/>
          <w:sz w:val="27"/>
          <w:szCs w:val="27"/>
          <w:rtl/>
        </w:rPr>
        <w:t>ما كان قد ك</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ت</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ب</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ه من ق</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ب</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ل</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وأساساً هل </w:t>
      </w:r>
      <w:r w:rsidRPr="00282AC9">
        <w:rPr>
          <w:rFonts w:cs="AL-Mohanad" w:hint="cs"/>
          <w:sz w:val="27"/>
          <w:szCs w:val="27"/>
          <w:rtl/>
        </w:rPr>
        <w:t>ي</w:t>
      </w:r>
      <w:r w:rsidRPr="00282AC9">
        <w:rPr>
          <w:rFonts w:ascii="Sakkal Majalla" w:hAnsi="Sakkal Majalla" w:cs="AL-Mohanad" w:hint="cs"/>
          <w:sz w:val="27"/>
          <w:szCs w:val="27"/>
          <w:rtl/>
        </w:rPr>
        <w:t>مكن للإمام</w:t>
      </w:r>
      <w:r w:rsidR="009A2A04" w:rsidRPr="00282AC9">
        <w:rPr>
          <w:rFonts w:ascii="Sakkal Majalla" w:hAnsi="Sakkal Majalla" w:cs="Mosawi" w:hint="cs"/>
          <w:sz w:val="22"/>
          <w:szCs w:val="22"/>
          <w:rtl/>
        </w:rPr>
        <w:t>×</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بح</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ب الظرف الطب</w:t>
      </w:r>
      <w:r w:rsidRPr="00282AC9">
        <w:rPr>
          <w:rFonts w:cs="AL-Mohanad" w:hint="cs"/>
          <w:sz w:val="27"/>
          <w:szCs w:val="27"/>
          <w:rtl/>
        </w:rPr>
        <w:t>ي</w:t>
      </w:r>
      <w:r w:rsidRPr="00282AC9">
        <w:rPr>
          <w:rFonts w:ascii="Sakkal Majalla" w:hAnsi="Sakkal Majalla" w:cs="AL-Mohanad" w:hint="cs"/>
          <w:sz w:val="27"/>
          <w:szCs w:val="27"/>
          <w:rtl/>
        </w:rPr>
        <w:t>عي</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أن </w:t>
      </w:r>
      <w:r w:rsidRPr="00282AC9">
        <w:rPr>
          <w:rFonts w:cs="AL-Mohanad" w:hint="cs"/>
          <w:sz w:val="27"/>
          <w:szCs w:val="27"/>
          <w:rtl/>
        </w:rPr>
        <w:t>ي</w:t>
      </w:r>
      <w:r w:rsidRPr="00282AC9">
        <w:rPr>
          <w:rFonts w:ascii="Sakkal Majalla" w:hAnsi="Sakkal Majalla" w:cs="AL-Mohanad" w:hint="cs"/>
          <w:sz w:val="27"/>
          <w:szCs w:val="27"/>
          <w:rtl/>
        </w:rPr>
        <w:t>كتب القر</w:t>
      </w:r>
      <w:r w:rsidR="00D01BF3"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مع تفس</w:t>
      </w:r>
      <w:r w:rsidRPr="00282AC9">
        <w:rPr>
          <w:rFonts w:cs="AL-Mohanad" w:hint="cs"/>
          <w:sz w:val="27"/>
          <w:szCs w:val="27"/>
          <w:rtl/>
        </w:rPr>
        <w:t>ي</w:t>
      </w:r>
      <w:r w:rsidRPr="00282AC9">
        <w:rPr>
          <w:rFonts w:ascii="Sakkal Majalla" w:hAnsi="Sakkal Majalla" w:cs="AL-Mohanad" w:hint="cs"/>
          <w:sz w:val="27"/>
          <w:szCs w:val="27"/>
          <w:rtl/>
        </w:rPr>
        <w:t>ره وتأو</w:t>
      </w:r>
      <w:r w:rsidRPr="00282AC9">
        <w:rPr>
          <w:rFonts w:cs="AL-Mohanad" w:hint="cs"/>
          <w:sz w:val="27"/>
          <w:szCs w:val="27"/>
          <w:rtl/>
        </w:rPr>
        <w:t>ي</w:t>
      </w:r>
      <w:r w:rsidRPr="00282AC9">
        <w:rPr>
          <w:rFonts w:ascii="Sakkal Majalla" w:hAnsi="Sakkal Majalla" w:cs="AL-Mohanad" w:hint="cs"/>
          <w:sz w:val="27"/>
          <w:szCs w:val="27"/>
          <w:rtl/>
        </w:rPr>
        <w:t>له</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وب</w:t>
      </w:r>
      <w:r w:rsidRPr="00282AC9">
        <w:rPr>
          <w:rFonts w:cs="AL-Mohanad" w:hint="cs"/>
          <w:sz w:val="27"/>
          <w:szCs w:val="27"/>
          <w:rtl/>
        </w:rPr>
        <w:t>ي</w:t>
      </w:r>
      <w:r w:rsidRPr="00282AC9">
        <w:rPr>
          <w:rFonts w:ascii="Sakkal Majalla" w:hAnsi="Sakkal Majalla" w:cs="AL-Mohanad" w:hint="cs"/>
          <w:sz w:val="27"/>
          <w:szCs w:val="27"/>
          <w:rtl/>
        </w:rPr>
        <w:t>ان ناسخه ومنسوخه</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ومحكمه ومتشابهه</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في أ</w:t>
      </w:r>
      <w:r w:rsidRPr="00282AC9">
        <w:rPr>
          <w:rFonts w:cs="AL-Mohanad" w:hint="cs"/>
          <w:sz w:val="27"/>
          <w:szCs w:val="27"/>
          <w:rtl/>
        </w:rPr>
        <w:t>ي</w:t>
      </w:r>
      <w:r w:rsidRPr="00282AC9">
        <w:rPr>
          <w:rFonts w:ascii="Sakkal Majalla" w:hAnsi="Sakkal Majalla" w:cs="AL-Mohanad" w:hint="cs"/>
          <w:sz w:val="27"/>
          <w:szCs w:val="27"/>
          <w:rtl/>
        </w:rPr>
        <w:t>ام</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قل</w:t>
      </w:r>
      <w:r w:rsidRPr="00282AC9">
        <w:rPr>
          <w:rFonts w:cs="AL-Mohanad" w:hint="cs"/>
          <w:sz w:val="27"/>
          <w:szCs w:val="27"/>
          <w:rtl/>
        </w:rPr>
        <w:t>ي</w:t>
      </w:r>
      <w:r w:rsidRPr="00282AC9">
        <w:rPr>
          <w:rFonts w:ascii="Sakkal Majalla" w:hAnsi="Sakkal Majalla" w:cs="AL-Mohanad" w:hint="cs"/>
          <w:sz w:val="27"/>
          <w:szCs w:val="27"/>
          <w:rtl/>
        </w:rPr>
        <w:t>لة لا</w:t>
      </w:r>
      <w:r w:rsidR="00D01BF3"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 xml:space="preserve">تتجاوز الثلاثة؟! </w:t>
      </w:r>
    </w:p>
    <w:p w:rsidR="00AD6E36" w:rsidRPr="00282AC9" w:rsidRDefault="00AD6E36" w:rsidP="001D1A88">
      <w:pPr>
        <w:pStyle w:val="afc"/>
        <w:rPr>
          <w:rFonts w:ascii="Sakkal Majalla" w:hAnsi="Sakkal Majalla" w:cs="AL-Mohanad"/>
          <w:sz w:val="27"/>
          <w:szCs w:val="27"/>
        </w:rPr>
      </w:pPr>
      <w:r w:rsidRPr="00282AC9">
        <w:rPr>
          <w:rFonts w:ascii="Sakkal Majalla" w:hAnsi="Sakkal Majalla" w:cs="AL-Mohanad" w:hint="cs"/>
          <w:sz w:val="27"/>
          <w:szCs w:val="27"/>
          <w:rtl/>
        </w:rPr>
        <w:t xml:space="preserve">ومن هنا </w:t>
      </w:r>
      <w:r w:rsidRPr="00282AC9">
        <w:rPr>
          <w:rFonts w:cs="AL-Mohanad" w:hint="cs"/>
          <w:sz w:val="27"/>
          <w:szCs w:val="27"/>
          <w:rtl/>
        </w:rPr>
        <w:t>ي</w:t>
      </w:r>
      <w:r w:rsidRPr="00282AC9">
        <w:rPr>
          <w:rFonts w:ascii="Sakkal Majalla" w:hAnsi="Sakkal Majalla" w:cs="AL-Mohanad" w:hint="cs"/>
          <w:sz w:val="27"/>
          <w:szCs w:val="27"/>
          <w:rtl/>
        </w:rPr>
        <w:t>ت</w:t>
      </w:r>
      <w:r w:rsidR="00D01BF3" w:rsidRPr="00282AC9">
        <w:rPr>
          <w:rFonts w:ascii="Sakkal Majalla" w:hAnsi="Sakkal Majalla" w:cs="AL-Mohanad" w:hint="cs"/>
          <w:sz w:val="27"/>
          <w:szCs w:val="27"/>
          <w:rtl/>
        </w:rPr>
        <w:t>ّ</w:t>
      </w:r>
      <w:r w:rsidRPr="00282AC9">
        <w:rPr>
          <w:rFonts w:ascii="Sakkal Majalla" w:hAnsi="Sakkal Majalla" w:cs="AL-Mohanad" w:hint="cs"/>
          <w:sz w:val="27"/>
          <w:szCs w:val="27"/>
          <w:rtl/>
        </w:rPr>
        <w:t>ضح لنا أنّ المصحف الذ</w:t>
      </w:r>
      <w:r w:rsidRPr="00282AC9">
        <w:rPr>
          <w:rFonts w:cs="AL-Mohanad" w:hint="cs"/>
          <w:sz w:val="27"/>
          <w:szCs w:val="27"/>
          <w:rtl/>
        </w:rPr>
        <w:t>ي</w:t>
      </w:r>
      <w:r w:rsidRPr="00282AC9">
        <w:rPr>
          <w:rFonts w:ascii="Sakkal Majalla" w:hAnsi="Sakkal Majalla" w:cs="AL-Mohanad" w:hint="cs"/>
          <w:sz w:val="27"/>
          <w:szCs w:val="27"/>
          <w:rtl/>
        </w:rPr>
        <w:t xml:space="preserve"> كتبه كان قد كتبه في ح</w:t>
      </w:r>
      <w:r w:rsidRPr="00282AC9">
        <w:rPr>
          <w:rFonts w:cs="AL-Mohanad" w:hint="cs"/>
          <w:sz w:val="27"/>
          <w:szCs w:val="27"/>
          <w:rtl/>
        </w:rPr>
        <w:t>ي</w:t>
      </w:r>
      <w:r w:rsidRPr="00282AC9">
        <w:rPr>
          <w:rFonts w:ascii="Sakkal Majalla" w:hAnsi="Sakkal Majalla" w:cs="AL-Mohanad" w:hint="cs"/>
          <w:sz w:val="27"/>
          <w:szCs w:val="27"/>
          <w:rtl/>
        </w:rPr>
        <w:t>اة النبي</w:t>
      </w:r>
      <w:r w:rsidR="00C1161C"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كغ</w:t>
      </w:r>
      <w:r w:rsidRPr="00282AC9">
        <w:rPr>
          <w:rFonts w:cs="AL-Mohanad" w:hint="cs"/>
          <w:sz w:val="27"/>
          <w:szCs w:val="27"/>
          <w:rtl/>
        </w:rPr>
        <w:t>ي</w:t>
      </w:r>
      <w:r w:rsidRPr="00282AC9">
        <w:rPr>
          <w:rFonts w:ascii="Sakkal Majalla" w:hAnsi="Sakkal Majalla" w:cs="AL-Mohanad" w:hint="cs"/>
          <w:sz w:val="27"/>
          <w:szCs w:val="27"/>
          <w:rtl/>
        </w:rPr>
        <w:t>ره من المصاحف التي ك</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تب</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ت</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في زمن النبي</w:t>
      </w:r>
      <w:r w:rsidR="00C1161C"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عل</w:t>
      </w:r>
      <w:r w:rsidR="00C1161C" w:rsidRPr="00282AC9">
        <w:rPr>
          <w:rFonts w:cs="AL-Mohanad" w:hint="cs"/>
          <w:sz w:val="27"/>
          <w:szCs w:val="27"/>
          <w:rtl/>
        </w:rPr>
        <w:t>ى</w:t>
      </w:r>
      <w:r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د بعض الصحابة</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مثل</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00C1161C" w:rsidRPr="00282AC9">
        <w:rPr>
          <w:rFonts w:ascii="Sakkal Majalla" w:hAnsi="Sakkal Majalla" w:cs="AL-Mohanad" w:hint="cs"/>
          <w:sz w:val="27"/>
          <w:szCs w:val="27"/>
          <w:rtl/>
        </w:rPr>
        <w:t>ا</w:t>
      </w:r>
      <w:r w:rsidRPr="00282AC9">
        <w:rPr>
          <w:rFonts w:ascii="Sakkal Majalla" w:hAnsi="Sakkal Majalla" w:cs="AL-Mohanad" w:hint="cs"/>
          <w:sz w:val="27"/>
          <w:szCs w:val="27"/>
          <w:rtl/>
        </w:rPr>
        <w:t>بن مسعود</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00F734DE" w:rsidRPr="00282AC9">
        <w:rPr>
          <w:rFonts w:ascii="Sakkal Majalla" w:hAnsi="Sakkal Majalla" w:cs="AL-Mohanad" w:hint="cs"/>
          <w:sz w:val="27"/>
          <w:szCs w:val="27"/>
          <w:rtl/>
        </w:rPr>
        <w:t>وأُب</w:t>
      </w:r>
      <w:r w:rsidR="00F734DE" w:rsidRPr="00282AC9">
        <w:rPr>
          <w:rFonts w:cs="AL-Mohanad" w:hint="cs"/>
          <w:sz w:val="27"/>
          <w:szCs w:val="27"/>
          <w:rtl/>
        </w:rPr>
        <w:t>يّ</w:t>
      </w:r>
      <w:r w:rsidR="00F734DE" w:rsidRPr="00282AC9">
        <w:rPr>
          <w:rFonts w:ascii="Sakkal Majalla" w:hAnsi="Sakkal Majalla" w:cs="AL-Mohanad" w:hint="cs"/>
          <w:sz w:val="27"/>
          <w:szCs w:val="27"/>
          <w:rtl/>
        </w:rPr>
        <w:t xml:space="preserve"> بن كعب</w:t>
      </w:r>
      <w:r w:rsidR="00C1161C" w:rsidRPr="00282AC9">
        <w:rPr>
          <w:rFonts w:cs="AL-Mohanad" w:hint="cs"/>
          <w:sz w:val="27"/>
          <w:szCs w:val="27"/>
          <w:rtl/>
        </w:rPr>
        <w:t>؛</w:t>
      </w:r>
      <w:r w:rsidRPr="00282AC9">
        <w:rPr>
          <w:rFonts w:ascii="Sakkal Majalla" w:hAnsi="Sakkal Majalla" w:cs="AL-Mohanad" w:hint="cs"/>
          <w:sz w:val="27"/>
          <w:szCs w:val="27"/>
          <w:rtl/>
        </w:rPr>
        <w:t xml:space="preserve"> وغ</w:t>
      </w:r>
      <w:r w:rsidRPr="00282AC9">
        <w:rPr>
          <w:rFonts w:cs="AL-Mohanad" w:hint="cs"/>
          <w:sz w:val="27"/>
          <w:szCs w:val="27"/>
          <w:rtl/>
        </w:rPr>
        <w:t>ي</w:t>
      </w:r>
      <w:r w:rsidRPr="00282AC9">
        <w:rPr>
          <w:rFonts w:ascii="Sakkal Majalla" w:hAnsi="Sakkal Majalla" w:cs="AL-Mohanad" w:hint="cs"/>
          <w:sz w:val="27"/>
          <w:szCs w:val="27"/>
          <w:rtl/>
        </w:rPr>
        <w:t>رهم</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مع هذا الفارق</w:t>
      </w:r>
      <w:r w:rsidR="00C1161C" w:rsidRPr="00282AC9">
        <w:rPr>
          <w:rFonts w:ascii="Sakkal Majalla" w:hAnsi="Sakkal Majalla" w:cs="AL-Mohanad" w:hint="cs"/>
          <w:sz w:val="27"/>
          <w:szCs w:val="27"/>
          <w:rtl/>
        </w:rPr>
        <w:t>، وهو</w:t>
      </w:r>
      <w:r w:rsidRPr="00282AC9">
        <w:rPr>
          <w:rFonts w:ascii="Sakkal Majalla" w:hAnsi="Sakkal Majalla" w:cs="AL-Mohanad" w:hint="cs"/>
          <w:sz w:val="27"/>
          <w:szCs w:val="27"/>
          <w:rtl/>
        </w:rPr>
        <w:t xml:space="preserve"> أنّ مصحف الإمام</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تضمّ</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ن شرح الآ</w:t>
      </w:r>
      <w:r w:rsidRPr="00282AC9">
        <w:rPr>
          <w:rFonts w:cs="AL-Mohanad" w:hint="cs"/>
          <w:sz w:val="27"/>
          <w:szCs w:val="27"/>
          <w:rtl/>
        </w:rPr>
        <w:t>ي</w:t>
      </w:r>
      <w:r w:rsidRPr="00282AC9">
        <w:rPr>
          <w:rFonts w:ascii="Sakkal Majalla" w:hAnsi="Sakkal Majalla" w:cs="AL-Mohanad" w:hint="cs"/>
          <w:sz w:val="27"/>
          <w:szCs w:val="27"/>
          <w:rtl/>
        </w:rPr>
        <w:t>ات وتأو</w:t>
      </w:r>
      <w:r w:rsidRPr="00282AC9">
        <w:rPr>
          <w:rFonts w:cs="AL-Mohanad" w:hint="cs"/>
          <w:sz w:val="27"/>
          <w:szCs w:val="27"/>
          <w:rtl/>
        </w:rPr>
        <w:t>ي</w:t>
      </w:r>
      <w:r w:rsidRPr="00282AC9">
        <w:rPr>
          <w:rFonts w:ascii="Sakkal Majalla" w:hAnsi="Sakkal Majalla" w:cs="AL-Mohanad" w:hint="cs"/>
          <w:sz w:val="27"/>
          <w:szCs w:val="27"/>
          <w:rtl/>
        </w:rPr>
        <w:t>لها</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وب</w:t>
      </w:r>
      <w:r w:rsidRPr="00282AC9">
        <w:rPr>
          <w:rFonts w:cs="AL-Mohanad" w:hint="cs"/>
          <w:sz w:val="27"/>
          <w:szCs w:val="27"/>
          <w:rtl/>
        </w:rPr>
        <w:t>ي</w:t>
      </w:r>
      <w:r w:rsidRPr="00282AC9">
        <w:rPr>
          <w:rFonts w:ascii="Sakkal Majalla" w:hAnsi="Sakkal Majalla" w:cs="AL-Mohanad" w:hint="cs"/>
          <w:sz w:val="27"/>
          <w:szCs w:val="27"/>
          <w:rtl/>
        </w:rPr>
        <w:t>ان ناسخها ومنسوخها</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ومحكمها ومتشابهها</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أمّا غ</w:t>
      </w:r>
      <w:r w:rsidRPr="00282AC9">
        <w:rPr>
          <w:rFonts w:cs="AL-Mohanad" w:hint="cs"/>
          <w:sz w:val="27"/>
          <w:szCs w:val="27"/>
          <w:rtl/>
        </w:rPr>
        <w:t>ي</w:t>
      </w:r>
      <w:r w:rsidRPr="00282AC9">
        <w:rPr>
          <w:rFonts w:ascii="Sakkal Majalla" w:hAnsi="Sakkal Majalla" w:cs="AL-Mohanad" w:hint="cs"/>
          <w:sz w:val="27"/>
          <w:szCs w:val="27"/>
          <w:rtl/>
        </w:rPr>
        <w:t>ره من المصاحف فلا تحتو</w:t>
      </w:r>
      <w:r w:rsidRPr="00282AC9">
        <w:rPr>
          <w:rFonts w:cs="AL-Mohanad" w:hint="cs"/>
          <w:sz w:val="27"/>
          <w:szCs w:val="27"/>
          <w:rtl/>
        </w:rPr>
        <w:t>ي</w:t>
      </w:r>
      <w:r w:rsidRPr="00282AC9">
        <w:rPr>
          <w:rFonts w:ascii="Sakkal Majalla" w:hAnsi="Sakkal Majalla" w:cs="AL-Mohanad" w:hint="cs"/>
          <w:sz w:val="27"/>
          <w:szCs w:val="27"/>
          <w:rtl/>
        </w:rPr>
        <w:t xml:space="preserve"> إ</w:t>
      </w:r>
      <w:r w:rsidR="00EE6DBA" w:rsidRPr="00282AC9">
        <w:rPr>
          <w:rFonts w:ascii="Sakkal Majalla" w:hAnsi="Sakkal Majalla" w:cs="AL-Mohanad" w:hint="cs"/>
          <w:sz w:val="27"/>
          <w:szCs w:val="27"/>
          <w:rtl/>
        </w:rPr>
        <w:t>لاّ</w:t>
      </w:r>
      <w:r w:rsidRPr="00282AC9">
        <w:rPr>
          <w:rFonts w:ascii="Sakkal Majalla" w:hAnsi="Sakkal Majalla" w:cs="AL-Mohanad" w:hint="cs"/>
          <w:sz w:val="27"/>
          <w:szCs w:val="27"/>
          <w:rtl/>
        </w:rPr>
        <w:t xml:space="preserve"> الآ</w:t>
      </w:r>
      <w:r w:rsidRPr="00282AC9">
        <w:rPr>
          <w:rFonts w:cs="AL-Mohanad" w:hint="cs"/>
          <w:sz w:val="27"/>
          <w:szCs w:val="27"/>
          <w:rtl/>
        </w:rPr>
        <w:t>ي</w:t>
      </w:r>
      <w:r w:rsidRPr="00282AC9">
        <w:rPr>
          <w:rFonts w:ascii="Sakkal Majalla" w:hAnsi="Sakkal Majalla" w:cs="AL-Mohanad" w:hint="cs"/>
          <w:sz w:val="27"/>
          <w:szCs w:val="27"/>
          <w:rtl/>
        </w:rPr>
        <w:t xml:space="preserve">ات </w:t>
      </w:r>
      <w:r w:rsidR="00C1161C" w:rsidRPr="00282AC9">
        <w:rPr>
          <w:rFonts w:ascii="Sakkal Majalla" w:hAnsi="Sakkal Majalla" w:cs="AL-Mohanad" w:hint="cs"/>
          <w:sz w:val="27"/>
          <w:szCs w:val="27"/>
          <w:rtl/>
        </w:rPr>
        <w:t>الإل</w:t>
      </w:r>
      <w:r w:rsidRPr="00282AC9">
        <w:rPr>
          <w:rFonts w:ascii="Sakkal Majalla" w:hAnsi="Sakkal Majalla" w:cs="AL-Mohanad" w:hint="cs"/>
          <w:sz w:val="27"/>
          <w:szCs w:val="27"/>
          <w:rtl/>
        </w:rPr>
        <w:t>ه</w:t>
      </w:r>
      <w:r w:rsidRPr="00282AC9">
        <w:rPr>
          <w:rFonts w:cs="AL-Mohanad" w:hint="cs"/>
          <w:sz w:val="27"/>
          <w:szCs w:val="27"/>
          <w:rtl/>
        </w:rPr>
        <w:t>ي</w:t>
      </w:r>
      <w:r w:rsidRPr="00282AC9">
        <w:rPr>
          <w:rFonts w:ascii="Sakkal Majalla" w:hAnsi="Sakkal Majalla" w:cs="AL-Mohanad" w:hint="cs"/>
          <w:sz w:val="27"/>
          <w:szCs w:val="27"/>
          <w:rtl/>
        </w:rPr>
        <w:t>ة.</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أمّا الروا</w:t>
      </w:r>
      <w:r w:rsidRPr="00282AC9">
        <w:rPr>
          <w:rFonts w:cs="AL-Mohanad" w:hint="cs"/>
          <w:sz w:val="27"/>
          <w:szCs w:val="27"/>
          <w:rtl/>
        </w:rPr>
        <w:t>ي</w:t>
      </w:r>
      <w:r w:rsidRPr="00282AC9">
        <w:rPr>
          <w:rFonts w:ascii="Sakkal Majalla" w:hAnsi="Sakkal Majalla" w:cs="AL-Mohanad" w:hint="cs"/>
          <w:sz w:val="27"/>
          <w:szCs w:val="27"/>
          <w:rtl/>
        </w:rPr>
        <w:t>ات التي ذكرت أنّ الإمام</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تصدّ</w:t>
      </w:r>
      <w:r w:rsidR="00C1161C" w:rsidRPr="00282AC9">
        <w:rPr>
          <w:rFonts w:cs="AL-Mohanad" w:hint="cs"/>
          <w:sz w:val="27"/>
          <w:szCs w:val="27"/>
          <w:rtl/>
        </w:rPr>
        <w:t>ى</w:t>
      </w:r>
      <w:r w:rsidRPr="00282AC9">
        <w:rPr>
          <w:rFonts w:ascii="Sakkal Majalla" w:hAnsi="Sakkal Majalla" w:cs="AL-Mohanad" w:hint="cs"/>
          <w:sz w:val="27"/>
          <w:szCs w:val="27"/>
          <w:rtl/>
        </w:rPr>
        <w:t xml:space="preserve"> لجمع القر</w:t>
      </w:r>
      <w:r w:rsidR="00C1161C" w:rsidRPr="00282AC9">
        <w:rPr>
          <w:rFonts w:ascii="Sakkal Majalla" w:hAnsi="Sakkal Majalla" w:cs="AL-Mohanad" w:hint="cs"/>
          <w:sz w:val="27"/>
          <w:szCs w:val="27"/>
          <w:rtl/>
        </w:rPr>
        <w:t>آ</w:t>
      </w:r>
      <w:r w:rsidRPr="00282AC9">
        <w:rPr>
          <w:rFonts w:ascii="Sakkal Majalla" w:hAnsi="Sakkal Majalla" w:cs="AL-Mohanad" w:hint="cs"/>
          <w:sz w:val="27"/>
          <w:szCs w:val="27"/>
          <w:rtl/>
        </w:rPr>
        <w:t>ن بعد وفاة النبي</w:t>
      </w:r>
      <w:r w:rsidR="00C1161C"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فهي روا</w:t>
      </w:r>
      <w:r w:rsidRPr="00282AC9">
        <w:rPr>
          <w:rFonts w:cs="AL-Mohanad" w:hint="cs"/>
          <w:sz w:val="27"/>
          <w:szCs w:val="27"/>
          <w:rtl/>
        </w:rPr>
        <w:t>ي</w:t>
      </w:r>
      <w:r w:rsidRPr="00282AC9">
        <w:rPr>
          <w:rFonts w:ascii="Sakkal Majalla" w:hAnsi="Sakkal Majalla" w:cs="AL-Mohanad" w:hint="cs"/>
          <w:sz w:val="27"/>
          <w:szCs w:val="27"/>
          <w:rtl/>
        </w:rPr>
        <w:t>ات لا</w:t>
      </w:r>
      <w:r w:rsidR="00C1161C" w:rsidRPr="00282AC9">
        <w:rPr>
          <w:rFonts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مكن قبولها</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بل القرائن والشواهد دال</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ة</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عل</w:t>
      </w:r>
      <w:r w:rsidR="00C1161C" w:rsidRPr="00282AC9">
        <w:rPr>
          <w:rFonts w:cs="AL-Mohanad" w:hint="cs"/>
          <w:sz w:val="27"/>
          <w:szCs w:val="27"/>
          <w:rtl/>
        </w:rPr>
        <w:t>ى</w:t>
      </w:r>
      <w:r w:rsidRPr="00282AC9">
        <w:rPr>
          <w:rFonts w:ascii="Sakkal Majalla" w:hAnsi="Sakkal Majalla" w:cs="AL-Mohanad" w:hint="cs"/>
          <w:sz w:val="27"/>
          <w:szCs w:val="27"/>
          <w:rtl/>
        </w:rPr>
        <w:t xml:space="preserve"> أنّها روا</w:t>
      </w:r>
      <w:r w:rsidRPr="00282AC9">
        <w:rPr>
          <w:rFonts w:cs="AL-Mohanad" w:hint="cs"/>
          <w:sz w:val="27"/>
          <w:szCs w:val="27"/>
          <w:rtl/>
        </w:rPr>
        <w:t>ي</w:t>
      </w:r>
      <w:r w:rsidRPr="00282AC9">
        <w:rPr>
          <w:rFonts w:ascii="Sakkal Majalla" w:hAnsi="Sakkal Majalla" w:cs="AL-Mohanad" w:hint="cs"/>
          <w:sz w:val="27"/>
          <w:szCs w:val="27"/>
          <w:rtl/>
        </w:rPr>
        <w:t>ات</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موضوعة</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قام الوضّاعون بوضعها</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ل</w:t>
      </w:r>
      <w:r w:rsidRPr="00282AC9">
        <w:rPr>
          <w:rFonts w:cs="AL-Mohanad" w:hint="cs"/>
          <w:sz w:val="27"/>
          <w:szCs w:val="27"/>
          <w:rtl/>
        </w:rPr>
        <w:t>ي</w:t>
      </w:r>
      <w:r w:rsidRPr="00282AC9">
        <w:rPr>
          <w:rFonts w:ascii="Sakkal Majalla" w:hAnsi="Sakkal Majalla" w:cs="AL-Mohanad" w:hint="cs"/>
          <w:sz w:val="27"/>
          <w:szCs w:val="27"/>
          <w:rtl/>
        </w:rPr>
        <w:t>شو</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هوا موقف الإمام المعار</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ض للسلطة</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ول</w:t>
      </w:r>
      <w:r w:rsidRPr="00282AC9">
        <w:rPr>
          <w:rFonts w:cs="AL-Mohanad" w:hint="cs"/>
          <w:sz w:val="27"/>
          <w:szCs w:val="27"/>
          <w:rtl/>
        </w:rPr>
        <w:t>ي</w:t>
      </w:r>
      <w:r w:rsidRPr="00282AC9">
        <w:rPr>
          <w:rFonts w:ascii="Sakkal Majalla" w:hAnsi="Sakkal Majalla" w:cs="AL-Mohanad" w:hint="cs"/>
          <w:sz w:val="27"/>
          <w:szCs w:val="27"/>
          <w:rtl/>
        </w:rPr>
        <w:t>ظهروا للناس أنّ سبب غ</w:t>
      </w:r>
      <w:r w:rsidRPr="00282AC9">
        <w:rPr>
          <w:rFonts w:cs="AL-Mohanad" w:hint="cs"/>
          <w:sz w:val="27"/>
          <w:szCs w:val="27"/>
          <w:rtl/>
        </w:rPr>
        <w:t>ي</w:t>
      </w:r>
      <w:r w:rsidRPr="00282AC9">
        <w:rPr>
          <w:rFonts w:ascii="Sakkal Majalla" w:hAnsi="Sakkal Majalla" w:cs="AL-Mohanad" w:hint="cs"/>
          <w:sz w:val="27"/>
          <w:szCs w:val="27"/>
          <w:rtl/>
        </w:rPr>
        <w:t>اب الإمام عن الساحة</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وعدم تواجده ومساندته للسلطة الحاكمة</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كان ل</w:t>
      </w:r>
      <w:r w:rsidR="00C1161C" w:rsidRPr="00282AC9">
        <w:rPr>
          <w:rFonts w:ascii="Sakkal Majalla" w:hAnsi="Sakkal Majalla" w:cs="AL-Mohanad" w:hint="cs"/>
          <w:sz w:val="27"/>
          <w:szCs w:val="27"/>
          <w:rtl/>
        </w:rPr>
        <w:t>ا</w:t>
      </w:r>
      <w:r w:rsidRPr="00282AC9">
        <w:rPr>
          <w:rFonts w:ascii="Sakkal Majalla" w:hAnsi="Sakkal Majalla" w:cs="AL-Mohanad" w:hint="cs"/>
          <w:sz w:val="27"/>
          <w:szCs w:val="27"/>
          <w:rtl/>
        </w:rPr>
        <w:t>نشغاله بجمع وتأل</w:t>
      </w:r>
      <w:r w:rsidRPr="00282AC9">
        <w:rPr>
          <w:rFonts w:cs="AL-Mohanad" w:hint="cs"/>
          <w:sz w:val="27"/>
          <w:szCs w:val="27"/>
          <w:rtl/>
        </w:rPr>
        <w:t>ي</w:t>
      </w:r>
      <w:r w:rsidRPr="00282AC9">
        <w:rPr>
          <w:rFonts w:ascii="Sakkal Majalla" w:hAnsi="Sakkal Majalla" w:cs="AL-Mohanad" w:hint="cs"/>
          <w:sz w:val="27"/>
          <w:szCs w:val="27"/>
          <w:rtl/>
        </w:rPr>
        <w:t>ف القر</w:t>
      </w:r>
      <w:r w:rsidR="00C1161C"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لا كما </w:t>
      </w:r>
      <w:r w:rsidRPr="00282AC9">
        <w:rPr>
          <w:rFonts w:cs="AL-Mohanad" w:hint="cs"/>
          <w:sz w:val="27"/>
          <w:szCs w:val="27"/>
          <w:rtl/>
        </w:rPr>
        <w:t>ي</w:t>
      </w:r>
      <w:r w:rsidRPr="00282AC9">
        <w:rPr>
          <w:rFonts w:ascii="Sakkal Majalla" w:hAnsi="Sakkal Majalla" w:cs="AL-Mohanad" w:hint="cs"/>
          <w:sz w:val="27"/>
          <w:szCs w:val="27"/>
          <w:rtl/>
        </w:rPr>
        <w:t>زعم الش</w:t>
      </w:r>
      <w:r w:rsidRPr="00282AC9">
        <w:rPr>
          <w:rFonts w:cs="AL-Mohanad" w:hint="cs"/>
          <w:sz w:val="27"/>
          <w:szCs w:val="27"/>
          <w:rtl/>
        </w:rPr>
        <w:t>ي</w:t>
      </w:r>
      <w:r w:rsidRPr="00282AC9">
        <w:rPr>
          <w:rFonts w:ascii="Sakkal Majalla" w:hAnsi="Sakkal Majalla" w:cs="AL-Mohanad" w:hint="cs"/>
          <w:sz w:val="27"/>
          <w:szCs w:val="27"/>
          <w:rtl/>
        </w:rPr>
        <w:t>عة</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00C1161C" w:rsidRPr="00282AC9">
        <w:rPr>
          <w:rFonts w:ascii="Sakkal Majalla" w:hAnsi="Sakkal Majalla" w:cs="AL-Mohanad" w:hint="cs"/>
          <w:sz w:val="27"/>
          <w:szCs w:val="27"/>
          <w:rtl/>
        </w:rPr>
        <w:t>أ</w:t>
      </w:r>
      <w:r w:rsidRPr="00282AC9">
        <w:rPr>
          <w:rFonts w:ascii="Sakkal Majalla" w:hAnsi="Sakkal Majalla" w:cs="AL-Mohanad" w:hint="cs"/>
          <w:sz w:val="27"/>
          <w:szCs w:val="27"/>
          <w:rtl/>
        </w:rPr>
        <w:t>نّ ذلك كان لرفض الإمام وعدم قبوله لخلافة الخلفاء</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وقد تنبّ</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ه إلى ذلك الس</w:t>
      </w:r>
      <w:r w:rsidRPr="00282AC9">
        <w:rPr>
          <w:rFonts w:cs="AL-Mohanad" w:hint="cs"/>
          <w:sz w:val="27"/>
          <w:szCs w:val="27"/>
          <w:rtl/>
        </w:rPr>
        <w:t>ي</w:t>
      </w:r>
      <w:r w:rsidRPr="00282AC9">
        <w:rPr>
          <w:rFonts w:ascii="Sakkal Majalla" w:hAnsi="Sakkal Majalla" w:cs="AL-Mohanad" w:hint="cs"/>
          <w:sz w:val="27"/>
          <w:szCs w:val="27"/>
          <w:rtl/>
        </w:rPr>
        <w:t>د البروجرد</w:t>
      </w:r>
      <w:r w:rsidRPr="00282AC9">
        <w:rPr>
          <w:rFonts w:cs="AL-Mohanad" w:hint="cs"/>
          <w:sz w:val="27"/>
          <w:szCs w:val="27"/>
          <w:rtl/>
        </w:rPr>
        <w:t>ي</w:t>
      </w:r>
      <w:r w:rsidRPr="00282AC9">
        <w:rPr>
          <w:rFonts w:ascii="Sakkal Majalla" w:hAnsi="Sakkal Majalla" w:cs="AL-Mohanad" w:hint="cs"/>
          <w:sz w:val="27"/>
          <w:szCs w:val="27"/>
          <w:rtl/>
        </w:rPr>
        <w:t xml:space="preserve"> في تقر</w:t>
      </w:r>
      <w:r w:rsidRPr="00282AC9">
        <w:rPr>
          <w:rFonts w:cs="AL-Mohanad" w:hint="cs"/>
          <w:sz w:val="27"/>
          <w:szCs w:val="27"/>
          <w:rtl/>
        </w:rPr>
        <w:t>ي</w:t>
      </w:r>
      <w:r w:rsidRPr="00282AC9">
        <w:rPr>
          <w:rFonts w:ascii="Sakkal Majalla" w:hAnsi="Sakkal Majalla" w:cs="AL-Mohanad" w:hint="cs"/>
          <w:sz w:val="27"/>
          <w:szCs w:val="27"/>
          <w:rtl/>
        </w:rPr>
        <w:t>ر أبحاثه ال</w:t>
      </w:r>
      <w:r w:rsidR="00C1161C" w:rsidRPr="00282AC9">
        <w:rPr>
          <w:rFonts w:ascii="Sakkal Majalla" w:hAnsi="Sakkal Majalla" w:cs="AL-Mohanad" w:hint="cs"/>
          <w:sz w:val="27"/>
          <w:szCs w:val="27"/>
          <w:rtl/>
        </w:rPr>
        <w:t>أ</w:t>
      </w:r>
      <w:r w:rsidRPr="00282AC9">
        <w:rPr>
          <w:rFonts w:ascii="Sakkal Majalla" w:hAnsi="Sakkal Majalla" w:cs="AL-Mohanad" w:hint="cs"/>
          <w:sz w:val="27"/>
          <w:szCs w:val="27"/>
          <w:rtl/>
        </w:rPr>
        <w:t>صول</w:t>
      </w:r>
      <w:r w:rsidRPr="00282AC9">
        <w:rPr>
          <w:rFonts w:cs="AL-Mohanad" w:hint="cs"/>
          <w:sz w:val="27"/>
          <w:szCs w:val="27"/>
          <w:rtl/>
        </w:rPr>
        <w:t>ي</w:t>
      </w:r>
      <w:r w:rsidRPr="00282AC9">
        <w:rPr>
          <w:rFonts w:ascii="Sakkal Majalla" w:hAnsi="Sakkal Majalla" w:cs="AL-Mohanad" w:hint="cs"/>
          <w:sz w:val="27"/>
          <w:szCs w:val="27"/>
          <w:rtl/>
        </w:rPr>
        <w:t>ة</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88"/>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ثم</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ك</w:t>
      </w:r>
      <w:r w:rsidRPr="00282AC9">
        <w:rPr>
          <w:rFonts w:cs="AL-Mohanad" w:hint="cs"/>
          <w:sz w:val="27"/>
          <w:szCs w:val="27"/>
          <w:rtl/>
        </w:rPr>
        <w:t>ي</w:t>
      </w:r>
      <w:r w:rsidRPr="00282AC9">
        <w:rPr>
          <w:rFonts w:ascii="Sakkal Majalla" w:hAnsi="Sakkal Majalla" w:cs="AL-Mohanad" w:hint="cs"/>
          <w:sz w:val="27"/>
          <w:szCs w:val="27"/>
          <w:rtl/>
        </w:rPr>
        <w:t xml:space="preserve">ف </w:t>
      </w:r>
      <w:r w:rsidR="00C1161C" w:rsidRPr="00282AC9">
        <w:rPr>
          <w:rFonts w:ascii="Sakkal Majalla" w:hAnsi="Sakkal Majalla" w:cs="AL-Mohanad" w:hint="cs"/>
          <w:sz w:val="27"/>
          <w:szCs w:val="27"/>
          <w:rtl/>
        </w:rPr>
        <w:t>ا</w:t>
      </w:r>
      <w:r w:rsidRPr="00282AC9">
        <w:rPr>
          <w:rFonts w:ascii="Sakkal Majalla" w:hAnsi="Sakkal Majalla" w:cs="AL-Mohanad" w:hint="cs"/>
          <w:sz w:val="27"/>
          <w:szCs w:val="27"/>
          <w:rtl/>
        </w:rPr>
        <w:t>ختصّت كتابة الآ</w:t>
      </w:r>
      <w:r w:rsidRPr="00282AC9">
        <w:rPr>
          <w:rFonts w:cs="AL-Mohanad" w:hint="cs"/>
          <w:sz w:val="27"/>
          <w:szCs w:val="27"/>
          <w:rtl/>
        </w:rPr>
        <w:t>ي</w:t>
      </w:r>
      <w:r w:rsidRPr="00282AC9">
        <w:rPr>
          <w:rFonts w:ascii="Sakkal Majalla" w:hAnsi="Sakkal Majalla" w:cs="AL-Mohanad" w:hint="cs"/>
          <w:sz w:val="27"/>
          <w:szCs w:val="27"/>
          <w:rtl/>
        </w:rPr>
        <w:t>ات ح</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ب نزولها بالإمام عل</w:t>
      </w:r>
      <w:r w:rsidRPr="00282AC9">
        <w:rPr>
          <w:rFonts w:cs="AL-Mohanad" w:hint="cs"/>
          <w:sz w:val="27"/>
          <w:szCs w:val="27"/>
          <w:rtl/>
        </w:rPr>
        <w:t>ي</w:t>
      </w:r>
      <w:r w:rsidR="00C1161C" w:rsidRPr="00282AC9">
        <w:rPr>
          <w:rFonts w:cs="AL-Mohanad" w:hint="cs"/>
          <w:sz w:val="27"/>
          <w:szCs w:val="27"/>
          <w:rtl/>
        </w:rPr>
        <w:t>ّ</w:t>
      </w:r>
      <w:r w:rsidR="009A2A04" w:rsidRPr="00282AC9">
        <w:rPr>
          <w:rFonts w:ascii="Sakkal Majalla" w:hAnsi="Sakkal Majalla" w:cs="Mosawi" w:hint="cs"/>
          <w:sz w:val="22"/>
          <w:szCs w:val="22"/>
          <w:rtl/>
        </w:rPr>
        <w:t>×</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مع أنّ عدد</w:t>
      </w:r>
      <w:r w:rsidR="00C1161C" w:rsidRPr="00282AC9">
        <w:rPr>
          <w:rFonts w:ascii="Sakkal Majalla" w:hAnsi="Sakkal Majalla" w:cs="AL-Mohanad" w:hint="cs"/>
          <w:sz w:val="27"/>
          <w:szCs w:val="27"/>
          <w:rtl/>
        </w:rPr>
        <w:t>اً</w:t>
      </w:r>
      <w:r w:rsidRPr="00282AC9">
        <w:rPr>
          <w:rFonts w:ascii="Sakkal Majalla" w:hAnsi="Sakkal Majalla" w:cs="AL-Mohanad" w:hint="cs"/>
          <w:sz w:val="27"/>
          <w:szCs w:val="27"/>
          <w:rtl/>
        </w:rPr>
        <w:t xml:space="preserve"> كب</w:t>
      </w:r>
      <w:r w:rsidRPr="00282AC9">
        <w:rPr>
          <w:rFonts w:cs="AL-Mohanad" w:hint="cs"/>
          <w:sz w:val="27"/>
          <w:szCs w:val="27"/>
          <w:rtl/>
        </w:rPr>
        <w:t>ي</w:t>
      </w:r>
      <w:r w:rsidRPr="00282AC9">
        <w:rPr>
          <w:rFonts w:ascii="Sakkal Majalla" w:hAnsi="Sakkal Majalla" w:cs="AL-Mohanad" w:hint="cs"/>
          <w:sz w:val="27"/>
          <w:szCs w:val="27"/>
          <w:rtl/>
        </w:rPr>
        <w:t>ر</w:t>
      </w:r>
      <w:r w:rsidR="00C1161C" w:rsidRPr="00282AC9">
        <w:rPr>
          <w:rFonts w:ascii="Sakkal Majalla" w:hAnsi="Sakkal Majalla" w:cs="AL-Mohanad" w:hint="cs"/>
          <w:sz w:val="27"/>
          <w:szCs w:val="27"/>
          <w:rtl/>
        </w:rPr>
        <w:t>اً</w:t>
      </w:r>
      <w:r w:rsidRPr="00282AC9">
        <w:rPr>
          <w:rFonts w:ascii="Sakkal Majalla" w:hAnsi="Sakkal Majalla" w:cs="AL-Mohanad" w:hint="cs"/>
          <w:sz w:val="27"/>
          <w:szCs w:val="27"/>
          <w:rtl/>
        </w:rPr>
        <w:t xml:space="preserve"> من ك</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تّاب الو</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ح</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ي كتبوا الآ</w:t>
      </w:r>
      <w:r w:rsidRPr="00282AC9">
        <w:rPr>
          <w:rFonts w:cs="AL-Mohanad" w:hint="cs"/>
          <w:sz w:val="27"/>
          <w:szCs w:val="27"/>
          <w:rtl/>
        </w:rPr>
        <w:t>ي</w:t>
      </w:r>
      <w:r w:rsidRPr="00282AC9">
        <w:rPr>
          <w:rFonts w:ascii="Sakkal Majalla" w:hAnsi="Sakkal Majalla" w:cs="AL-Mohanad" w:hint="cs"/>
          <w:sz w:val="27"/>
          <w:szCs w:val="27"/>
          <w:rtl/>
        </w:rPr>
        <w:t>ات القر</w:t>
      </w:r>
      <w:r w:rsidR="00C1161C"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Pr="00282AC9">
        <w:rPr>
          <w:rFonts w:cs="AL-Mohanad" w:hint="cs"/>
          <w:sz w:val="27"/>
          <w:szCs w:val="27"/>
          <w:rtl/>
        </w:rPr>
        <w:t>ي</w:t>
      </w:r>
      <w:r w:rsidRPr="00282AC9">
        <w:rPr>
          <w:rFonts w:ascii="Sakkal Majalla" w:hAnsi="Sakkal Majalla" w:cs="AL-Mohanad" w:hint="cs"/>
          <w:sz w:val="27"/>
          <w:szCs w:val="27"/>
          <w:rtl/>
        </w:rPr>
        <w:t>ة ح</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ب ما سمعوه من الرسول</w:t>
      </w:r>
      <w:r w:rsidR="00C1161C"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وطبقاً لما أملاه عل</w:t>
      </w:r>
      <w:r w:rsidRPr="00282AC9">
        <w:rPr>
          <w:rFonts w:cs="AL-Mohanad" w:hint="cs"/>
          <w:sz w:val="27"/>
          <w:szCs w:val="27"/>
          <w:rtl/>
        </w:rPr>
        <w:t>ي</w:t>
      </w:r>
      <w:r w:rsidRPr="00282AC9">
        <w:rPr>
          <w:rFonts w:ascii="Sakkal Majalla" w:hAnsi="Sakkal Majalla" w:cs="AL-Mohanad" w:hint="cs"/>
          <w:sz w:val="27"/>
          <w:szCs w:val="27"/>
          <w:rtl/>
        </w:rPr>
        <w:t>هم</w:t>
      </w:r>
      <w:r w:rsidR="001A2D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فكل</w:t>
      </w:r>
      <w:r w:rsidR="00C1161C" w:rsidRPr="00282AC9">
        <w:rPr>
          <w:rFonts w:ascii="Sakkal Majalla" w:hAnsi="Sakkal Majalla" w:cs="AL-Mohanad" w:hint="cs"/>
          <w:sz w:val="27"/>
          <w:szCs w:val="27"/>
          <w:rtl/>
        </w:rPr>
        <w:t>ّ</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ما كانت تنزل آ</w:t>
      </w:r>
      <w:r w:rsidRPr="00282AC9">
        <w:rPr>
          <w:rFonts w:cs="AL-Mohanad" w:hint="cs"/>
          <w:sz w:val="27"/>
          <w:szCs w:val="27"/>
          <w:rtl/>
        </w:rPr>
        <w:t>ي</w:t>
      </w:r>
      <w:r w:rsidRPr="00282AC9">
        <w:rPr>
          <w:rFonts w:ascii="Sakkal Majalla" w:hAnsi="Sakkal Majalla" w:cs="AL-Mohanad" w:hint="cs"/>
          <w:sz w:val="27"/>
          <w:szCs w:val="27"/>
          <w:rtl/>
        </w:rPr>
        <w:t>ة عل</w:t>
      </w:r>
      <w:r w:rsidR="00FA0507" w:rsidRPr="00282AC9">
        <w:rPr>
          <w:rFonts w:cs="AL-Mohanad" w:hint="cs"/>
          <w:sz w:val="27"/>
          <w:szCs w:val="27"/>
          <w:rtl/>
        </w:rPr>
        <w:t>ى</w:t>
      </w:r>
      <w:r w:rsidRPr="00282AC9">
        <w:rPr>
          <w:rFonts w:ascii="Sakkal Majalla" w:hAnsi="Sakkal Majalla" w:cs="AL-Mohanad" w:hint="cs"/>
          <w:sz w:val="27"/>
          <w:szCs w:val="27"/>
          <w:rtl/>
        </w:rPr>
        <w:t xml:space="preserve"> النبي</w:t>
      </w:r>
      <w:r w:rsidR="00FA0507"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كان </w:t>
      </w:r>
      <w:r w:rsidRPr="00282AC9">
        <w:rPr>
          <w:rFonts w:cs="AL-Mohanad" w:hint="cs"/>
          <w:sz w:val="27"/>
          <w:szCs w:val="27"/>
          <w:rtl/>
        </w:rPr>
        <w:t>ي</w:t>
      </w:r>
      <w:r w:rsidRPr="00282AC9">
        <w:rPr>
          <w:rFonts w:ascii="Sakkal Majalla" w:hAnsi="Sakkal Majalla" w:cs="AL-Mohanad" w:hint="cs"/>
          <w:sz w:val="27"/>
          <w:szCs w:val="27"/>
          <w:rtl/>
        </w:rPr>
        <w:t>دعو أحد أصحابه الذ</w:t>
      </w:r>
      <w:r w:rsidRPr="00282AC9">
        <w:rPr>
          <w:rFonts w:cs="AL-Mohanad" w:hint="cs"/>
          <w:sz w:val="27"/>
          <w:szCs w:val="27"/>
          <w:rtl/>
        </w:rPr>
        <w:t>ي</w:t>
      </w:r>
      <w:r w:rsidRPr="00282AC9">
        <w:rPr>
          <w:rFonts w:ascii="Sakkal Majalla" w:hAnsi="Sakkal Majalla" w:cs="AL-Mohanad" w:hint="cs"/>
          <w:sz w:val="27"/>
          <w:szCs w:val="27"/>
          <w:rtl/>
        </w:rPr>
        <w:t xml:space="preserve">ن </w:t>
      </w:r>
      <w:r w:rsidRPr="00282AC9">
        <w:rPr>
          <w:rFonts w:cs="AL-Mohanad" w:hint="cs"/>
          <w:sz w:val="27"/>
          <w:szCs w:val="27"/>
          <w:rtl/>
        </w:rPr>
        <w:t>ي</w:t>
      </w:r>
      <w:r w:rsidRPr="00282AC9">
        <w:rPr>
          <w:rFonts w:ascii="Sakkal Majalla" w:hAnsi="Sakkal Majalla" w:cs="AL-Mohanad" w:hint="cs"/>
          <w:sz w:val="27"/>
          <w:szCs w:val="27"/>
          <w:rtl/>
        </w:rPr>
        <w:t>مارسون الكتابة</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ثم</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أمره بكتابة ما نزل عل</w:t>
      </w:r>
      <w:r w:rsidRPr="00282AC9">
        <w:rPr>
          <w:rFonts w:cs="AL-Mohanad" w:hint="cs"/>
          <w:sz w:val="27"/>
          <w:szCs w:val="27"/>
          <w:rtl/>
        </w:rPr>
        <w:t>ي</w:t>
      </w:r>
      <w:r w:rsidRPr="00282AC9">
        <w:rPr>
          <w:rFonts w:ascii="Sakkal Majalla" w:hAnsi="Sakkal Majalla" w:cs="AL-Mohanad" w:hint="cs"/>
          <w:sz w:val="27"/>
          <w:szCs w:val="27"/>
          <w:rtl/>
        </w:rPr>
        <w:t>ه من الآ</w:t>
      </w:r>
      <w:r w:rsidRPr="00282AC9">
        <w:rPr>
          <w:rFonts w:cs="AL-Mohanad" w:hint="cs"/>
          <w:sz w:val="27"/>
          <w:szCs w:val="27"/>
          <w:rtl/>
        </w:rPr>
        <w:t>ي</w:t>
      </w:r>
      <w:r w:rsidRPr="00282AC9">
        <w:rPr>
          <w:rFonts w:ascii="Sakkal Majalla" w:hAnsi="Sakkal Majalla" w:cs="AL-Mohanad" w:hint="cs"/>
          <w:sz w:val="27"/>
          <w:szCs w:val="27"/>
          <w:rtl/>
        </w:rPr>
        <w:t>ات</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وقد تقد</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م ذكر بعض تلك الأخبار.</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ومن هنا </w:t>
      </w:r>
      <w:r w:rsidRPr="00282AC9">
        <w:rPr>
          <w:rFonts w:cs="AL-Mohanad" w:hint="cs"/>
          <w:sz w:val="27"/>
          <w:szCs w:val="27"/>
          <w:rtl/>
        </w:rPr>
        <w:t>ي</w:t>
      </w:r>
      <w:r w:rsidRPr="00282AC9">
        <w:rPr>
          <w:rFonts w:ascii="Sakkal Majalla" w:hAnsi="Sakkal Majalla" w:cs="AL-Mohanad" w:hint="cs"/>
          <w:sz w:val="27"/>
          <w:szCs w:val="27"/>
          <w:rtl/>
        </w:rPr>
        <w:t>ت</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ضح لنا معن</w:t>
      </w:r>
      <w:r w:rsidR="00FA0507" w:rsidRPr="00282AC9">
        <w:rPr>
          <w:rFonts w:cs="AL-Mohanad" w:hint="cs"/>
          <w:sz w:val="27"/>
          <w:szCs w:val="27"/>
          <w:rtl/>
        </w:rPr>
        <w:t>ى</w:t>
      </w:r>
      <w:r w:rsidRPr="00282AC9">
        <w:rPr>
          <w:rFonts w:ascii="Sakkal Majalla" w:hAnsi="Sakkal Majalla" w:cs="AL-Mohanad" w:hint="cs"/>
          <w:sz w:val="27"/>
          <w:szCs w:val="27"/>
          <w:rtl/>
        </w:rPr>
        <w:t xml:space="preserve"> الحد</w:t>
      </w:r>
      <w:r w:rsidRPr="00282AC9">
        <w:rPr>
          <w:rFonts w:cs="AL-Mohanad" w:hint="cs"/>
          <w:sz w:val="27"/>
          <w:szCs w:val="27"/>
          <w:rtl/>
        </w:rPr>
        <w:t>ي</w:t>
      </w:r>
      <w:r w:rsidRPr="00282AC9">
        <w:rPr>
          <w:rFonts w:ascii="Sakkal Majalla" w:hAnsi="Sakkal Majalla" w:cs="AL-Mohanad" w:hint="cs"/>
          <w:sz w:val="27"/>
          <w:szCs w:val="27"/>
          <w:rtl/>
        </w:rPr>
        <w:t>ث المروي</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عن الإمام الباقر</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 xml:space="preserve">ما </w:t>
      </w:r>
      <w:r w:rsidR="00FA0507" w:rsidRPr="00282AC9">
        <w:rPr>
          <w:rFonts w:ascii="Sakkal Majalla" w:hAnsi="Sakkal Majalla" w:cs="AL-Mohanad" w:hint="cs"/>
          <w:sz w:val="27"/>
          <w:szCs w:val="27"/>
          <w:rtl/>
        </w:rPr>
        <w:t>ا</w:t>
      </w:r>
      <w:r w:rsidRPr="00282AC9">
        <w:rPr>
          <w:rFonts w:ascii="Sakkal Majalla" w:hAnsi="Sakkal Majalla" w:cs="AL-Mohanad"/>
          <w:sz w:val="27"/>
          <w:szCs w:val="27"/>
          <w:rtl/>
        </w:rPr>
        <w:t>دّ</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عى </w:t>
      </w:r>
      <w:r w:rsidRPr="00282AC9">
        <w:rPr>
          <w:rFonts w:ascii="Sakkal Majalla" w:hAnsi="Sakkal Majalla" w:cs="AL-Mohanad" w:hint="cs"/>
          <w:sz w:val="27"/>
          <w:szCs w:val="27"/>
          <w:rtl/>
        </w:rPr>
        <w:t>أ</w:t>
      </w:r>
      <w:r w:rsidRPr="00282AC9">
        <w:rPr>
          <w:rFonts w:ascii="Sakkal Majalla" w:hAnsi="Sakkal Majalla" w:cs="AL-Mohanad"/>
          <w:sz w:val="27"/>
          <w:szCs w:val="27"/>
          <w:rtl/>
        </w:rPr>
        <w:t>حد</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 من </w:t>
      </w:r>
      <w:r w:rsidRPr="00282AC9">
        <w:rPr>
          <w:rFonts w:ascii="Sakkal Majalla" w:hAnsi="Sakkal Majalla" w:cs="AL-Mohanad"/>
          <w:sz w:val="27"/>
          <w:szCs w:val="27"/>
          <w:rtl/>
        </w:rPr>
        <w:lastRenderedPageBreak/>
        <w:t xml:space="preserve">النّاس </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نّه جمع القرآن كلّه كما </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نزل‏ </w:t>
      </w:r>
      <w:r w:rsidRPr="00282AC9">
        <w:rPr>
          <w:rFonts w:ascii="Sakkal Majalla" w:hAnsi="Sakkal Majalla" w:cs="AL-Mohanad" w:hint="cs"/>
          <w:sz w:val="27"/>
          <w:szCs w:val="27"/>
          <w:rtl/>
        </w:rPr>
        <w:t>إ</w:t>
      </w:r>
      <w:r w:rsidR="00EE6DBA" w:rsidRPr="00282AC9">
        <w:rPr>
          <w:rFonts w:ascii="Sakkal Majalla" w:hAnsi="Sakkal Majalla" w:cs="AL-Mohanad"/>
          <w:sz w:val="27"/>
          <w:szCs w:val="27"/>
          <w:rtl/>
        </w:rPr>
        <w:t>لاّ</w:t>
      </w:r>
      <w:r w:rsidRPr="00282AC9">
        <w:rPr>
          <w:rFonts w:ascii="Sakkal Majalla" w:hAnsi="Sakkal Majalla" w:cs="AL-Mohanad"/>
          <w:sz w:val="27"/>
          <w:szCs w:val="27"/>
          <w:rtl/>
        </w:rPr>
        <w:t xml:space="preserve"> كذّاب</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وما جمعه وحفظه كما نزّ</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له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 xml:space="preserve">ه تعالى </w:t>
      </w:r>
      <w:r w:rsidRPr="00282AC9">
        <w:rPr>
          <w:rFonts w:ascii="Sakkal Majalla" w:hAnsi="Sakkal Majalla" w:cs="AL-Mohanad" w:hint="cs"/>
          <w:sz w:val="27"/>
          <w:szCs w:val="27"/>
          <w:rtl/>
        </w:rPr>
        <w:t>إ</w:t>
      </w:r>
      <w:r w:rsidR="00EE6DBA" w:rsidRPr="00282AC9">
        <w:rPr>
          <w:rFonts w:ascii="Sakkal Majalla" w:hAnsi="Sakkal Majalla" w:cs="AL-Mohanad"/>
          <w:sz w:val="27"/>
          <w:szCs w:val="27"/>
          <w:rtl/>
        </w:rPr>
        <w:t>لاّ</w:t>
      </w:r>
      <w:r w:rsidRPr="00282AC9">
        <w:rPr>
          <w:rFonts w:ascii="Sakkal Majalla" w:hAnsi="Sakkal Majalla" w:cs="AL-Mohanad"/>
          <w:sz w:val="27"/>
          <w:szCs w:val="27"/>
          <w:rtl/>
        </w:rPr>
        <w:t xml:space="preserve"> عل</w:t>
      </w:r>
      <w:r w:rsidRPr="00282AC9">
        <w:rPr>
          <w:rFonts w:ascii="Sakkal Majalla" w:hAnsi="Sakkal Majalla" w:cs="AL-Mohanad" w:hint="cs"/>
          <w:sz w:val="27"/>
          <w:szCs w:val="27"/>
          <w:rtl/>
        </w:rPr>
        <w:t>ي</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 بن </w:t>
      </w:r>
      <w:r w:rsidRPr="00282AC9">
        <w:rPr>
          <w:rFonts w:ascii="Sakkal Majalla" w:hAnsi="Sakkal Majalla" w:cs="AL-Mohanad" w:hint="cs"/>
          <w:sz w:val="27"/>
          <w:szCs w:val="27"/>
          <w:rtl/>
        </w:rPr>
        <w:t>أ</w:t>
      </w:r>
      <w:r w:rsidRPr="00282AC9">
        <w:rPr>
          <w:rFonts w:ascii="Sakkal Majalla" w:hAnsi="Sakkal Majalla" w:cs="AL-Mohanad"/>
          <w:sz w:val="27"/>
          <w:szCs w:val="27"/>
          <w:rtl/>
        </w:rPr>
        <w:t>ب</w:t>
      </w:r>
      <w:r w:rsidR="00F734DE" w:rsidRPr="00282AC9">
        <w:rPr>
          <w:rFonts w:ascii="Sakkal Majalla" w:hAnsi="Sakkal Majalla" w:cs="AL-Mohanad" w:hint="cs"/>
          <w:sz w:val="27"/>
          <w:szCs w:val="27"/>
          <w:rtl/>
        </w:rPr>
        <w:t>ي</w:t>
      </w:r>
      <w:r w:rsidRPr="00282AC9">
        <w:rPr>
          <w:rFonts w:ascii="Sakkal Majalla" w:hAnsi="Sakkal Majalla" w:cs="AL-Mohanad"/>
          <w:sz w:val="27"/>
          <w:szCs w:val="27"/>
          <w:rtl/>
        </w:rPr>
        <w:t xml:space="preserve"> طالب وال</w:t>
      </w:r>
      <w:r w:rsidRPr="00282AC9">
        <w:rPr>
          <w:rFonts w:ascii="Sakkal Majalla" w:hAnsi="Sakkal Majalla" w:cs="AL-Mohanad" w:hint="cs"/>
          <w:sz w:val="27"/>
          <w:szCs w:val="27"/>
          <w:rtl/>
        </w:rPr>
        <w:t>أ</w:t>
      </w:r>
      <w:r w:rsidRPr="00282AC9">
        <w:rPr>
          <w:rFonts w:ascii="Sakkal Majalla" w:hAnsi="Sakkal Majalla" w:cs="AL-Mohanad"/>
          <w:sz w:val="27"/>
          <w:szCs w:val="27"/>
          <w:rtl/>
        </w:rPr>
        <w:t>ئمّة</w:t>
      </w:r>
      <w:r w:rsidR="00F734DE" w:rsidRPr="00282AC9">
        <w:rPr>
          <w:rFonts w:cs="Mosawi" w:hint="cs"/>
          <w:sz w:val="22"/>
          <w:szCs w:val="22"/>
          <w:rtl/>
        </w:rPr>
        <w:t>^</w:t>
      </w:r>
      <w:r w:rsidRPr="00282AC9">
        <w:rPr>
          <w:rFonts w:ascii="Sakkal Majalla" w:hAnsi="Sakkal Majalla" w:cs="AL-Mohanad"/>
          <w:sz w:val="27"/>
          <w:szCs w:val="27"/>
          <w:rtl/>
        </w:rPr>
        <w:t xml:space="preserve"> من بعده</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89"/>
      </w:r>
      <w:r w:rsidRPr="00282AC9">
        <w:rPr>
          <w:rFonts w:ascii="Sakkal Majalla" w:hAnsi="Sakkal Majalla" w:cs="AL-Mohanad"/>
          <w:sz w:val="27"/>
          <w:szCs w:val="27"/>
          <w:vertAlign w:val="superscript"/>
          <w:rtl/>
        </w:rPr>
        <w:t>)</w:t>
      </w:r>
      <w:r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فإنّ ما أراده الإمام في هذا الروا</w:t>
      </w:r>
      <w:r w:rsidRPr="00282AC9">
        <w:rPr>
          <w:rFonts w:cs="AL-Mohanad" w:hint="cs"/>
          <w:sz w:val="27"/>
          <w:szCs w:val="27"/>
          <w:rtl/>
        </w:rPr>
        <w:t>ي</w:t>
      </w:r>
      <w:r w:rsidRPr="00282AC9">
        <w:rPr>
          <w:rFonts w:ascii="Sakkal Majalla" w:hAnsi="Sakkal Majalla" w:cs="AL-Mohanad" w:hint="cs"/>
          <w:sz w:val="27"/>
          <w:szCs w:val="27"/>
          <w:rtl/>
        </w:rPr>
        <w:t xml:space="preserve">ة لم </w:t>
      </w:r>
      <w:r w:rsidRPr="00282AC9">
        <w:rPr>
          <w:rFonts w:cs="AL-Mohanad" w:hint="cs"/>
          <w:sz w:val="27"/>
          <w:szCs w:val="27"/>
          <w:rtl/>
        </w:rPr>
        <w:t>ي</w:t>
      </w:r>
      <w:r w:rsidRPr="00282AC9">
        <w:rPr>
          <w:rFonts w:ascii="Sakkal Majalla" w:hAnsi="Sakkal Majalla" w:cs="AL-Mohanad" w:hint="cs"/>
          <w:sz w:val="27"/>
          <w:szCs w:val="27"/>
          <w:rtl/>
        </w:rPr>
        <w:t>كن جمع القر</w:t>
      </w:r>
      <w:r w:rsidR="00FA0507" w:rsidRPr="00282AC9">
        <w:rPr>
          <w:rFonts w:ascii="Sakkal Majalla" w:hAnsi="Sakkal Majalla" w:cs="AL-Mohanad" w:hint="cs"/>
          <w:sz w:val="27"/>
          <w:szCs w:val="27"/>
          <w:rtl/>
        </w:rPr>
        <w:t>آ</w:t>
      </w:r>
      <w:r w:rsidRPr="00282AC9">
        <w:rPr>
          <w:rFonts w:ascii="Sakkal Majalla" w:hAnsi="Sakkal Majalla" w:cs="AL-Mohanad" w:hint="cs"/>
          <w:sz w:val="27"/>
          <w:szCs w:val="27"/>
          <w:rtl/>
        </w:rPr>
        <w:t>ن ح</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ب نزول الآ</w:t>
      </w:r>
      <w:r w:rsidRPr="00282AC9">
        <w:rPr>
          <w:rFonts w:cs="AL-Mohanad" w:hint="cs"/>
          <w:sz w:val="27"/>
          <w:szCs w:val="27"/>
          <w:rtl/>
        </w:rPr>
        <w:t>ي</w:t>
      </w:r>
      <w:r w:rsidRPr="00282AC9">
        <w:rPr>
          <w:rFonts w:ascii="Sakkal Majalla" w:hAnsi="Sakkal Majalla" w:cs="AL-Mohanad" w:hint="cs"/>
          <w:sz w:val="27"/>
          <w:szCs w:val="27"/>
          <w:rtl/>
        </w:rPr>
        <w:t>ات؛ إذ ما من صحابي</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جمع القر</w:t>
      </w:r>
      <w:r w:rsidR="00FA0507" w:rsidRPr="00282AC9">
        <w:rPr>
          <w:rFonts w:ascii="Sakkal Majalla" w:hAnsi="Sakkal Majalla" w:cs="AL-Mohanad" w:hint="cs"/>
          <w:sz w:val="27"/>
          <w:szCs w:val="27"/>
          <w:rtl/>
        </w:rPr>
        <w:t>آ</w:t>
      </w:r>
      <w:r w:rsidRPr="00282AC9">
        <w:rPr>
          <w:rFonts w:ascii="Sakkal Majalla" w:hAnsi="Sakkal Majalla" w:cs="AL-Mohanad" w:hint="cs"/>
          <w:sz w:val="27"/>
          <w:szCs w:val="27"/>
          <w:rtl/>
        </w:rPr>
        <w:t>ن إ</w:t>
      </w:r>
      <w:r w:rsidR="00EE6DBA" w:rsidRPr="00282AC9">
        <w:rPr>
          <w:rFonts w:ascii="Sakkal Majalla" w:hAnsi="Sakkal Majalla" w:cs="AL-Mohanad" w:hint="cs"/>
          <w:sz w:val="27"/>
          <w:szCs w:val="27"/>
          <w:rtl/>
        </w:rPr>
        <w:t>لاّ</w:t>
      </w:r>
      <w:r w:rsidRPr="00282AC9">
        <w:rPr>
          <w:rFonts w:ascii="Sakkal Majalla" w:hAnsi="Sakkal Majalla" w:cs="AL-Mohanad" w:hint="cs"/>
          <w:sz w:val="27"/>
          <w:szCs w:val="27"/>
          <w:rtl/>
        </w:rPr>
        <w:t xml:space="preserve"> وكان جمعه ح</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ب نزول الآ</w:t>
      </w:r>
      <w:r w:rsidRPr="00282AC9">
        <w:rPr>
          <w:rFonts w:cs="AL-Mohanad" w:hint="cs"/>
          <w:sz w:val="27"/>
          <w:szCs w:val="27"/>
          <w:rtl/>
        </w:rPr>
        <w:t>ي</w:t>
      </w:r>
      <w:r w:rsidRPr="00282AC9">
        <w:rPr>
          <w:rFonts w:ascii="Sakkal Majalla" w:hAnsi="Sakkal Majalla" w:cs="AL-Mohanad" w:hint="cs"/>
          <w:sz w:val="27"/>
          <w:szCs w:val="27"/>
          <w:rtl/>
        </w:rPr>
        <w:t>ات</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فإنّ الصحابة لم </w:t>
      </w:r>
      <w:r w:rsidRPr="00282AC9">
        <w:rPr>
          <w:rFonts w:cs="AL-Mohanad" w:hint="cs"/>
          <w:sz w:val="27"/>
          <w:szCs w:val="27"/>
          <w:rtl/>
        </w:rPr>
        <w:t>ي</w:t>
      </w:r>
      <w:r w:rsidRPr="00282AC9">
        <w:rPr>
          <w:rFonts w:ascii="Sakkal Majalla" w:hAnsi="Sakkal Majalla" w:cs="AL-Mohanad" w:hint="cs"/>
          <w:sz w:val="27"/>
          <w:szCs w:val="27"/>
          <w:rtl/>
        </w:rPr>
        <w:t>كتبوا ش</w:t>
      </w:r>
      <w:r w:rsidRPr="00282AC9">
        <w:rPr>
          <w:rFonts w:cs="AL-Mohanad" w:hint="cs"/>
          <w:sz w:val="27"/>
          <w:szCs w:val="27"/>
          <w:rtl/>
        </w:rPr>
        <w:t>ي</w:t>
      </w:r>
      <w:r w:rsidRPr="00282AC9">
        <w:rPr>
          <w:rFonts w:ascii="Sakkal Majalla" w:hAnsi="Sakkal Majalla" w:cs="AL-Mohanad" w:hint="cs"/>
          <w:sz w:val="27"/>
          <w:szCs w:val="27"/>
          <w:rtl/>
        </w:rPr>
        <w:t>ئاً من الآ</w:t>
      </w:r>
      <w:r w:rsidRPr="00282AC9">
        <w:rPr>
          <w:rFonts w:cs="AL-Mohanad" w:hint="cs"/>
          <w:sz w:val="27"/>
          <w:szCs w:val="27"/>
          <w:rtl/>
        </w:rPr>
        <w:t>ي</w:t>
      </w:r>
      <w:r w:rsidRPr="00282AC9">
        <w:rPr>
          <w:rFonts w:ascii="Sakkal Majalla" w:hAnsi="Sakkal Majalla" w:cs="AL-Mohanad" w:hint="cs"/>
          <w:sz w:val="27"/>
          <w:szCs w:val="27"/>
          <w:rtl/>
        </w:rPr>
        <w:t>ات إ</w:t>
      </w:r>
      <w:r w:rsidR="00EE6DBA" w:rsidRPr="00282AC9">
        <w:rPr>
          <w:rFonts w:ascii="Sakkal Majalla" w:hAnsi="Sakkal Majalla" w:cs="AL-Mohanad" w:hint="cs"/>
          <w:sz w:val="27"/>
          <w:szCs w:val="27"/>
          <w:rtl/>
        </w:rPr>
        <w:t>لاّ</w:t>
      </w:r>
      <w:r w:rsidRPr="00282AC9">
        <w:rPr>
          <w:rFonts w:ascii="Sakkal Majalla" w:hAnsi="Sakkal Majalla" w:cs="AL-Mohanad" w:hint="cs"/>
          <w:sz w:val="27"/>
          <w:szCs w:val="27"/>
          <w:rtl/>
        </w:rPr>
        <w:t xml:space="preserve"> بعد سماعها من النبي</w:t>
      </w:r>
      <w:r w:rsidR="00FA0507"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فقد كان </w:t>
      </w:r>
      <w:r w:rsidRPr="00282AC9">
        <w:rPr>
          <w:rFonts w:cs="AL-Mohanad" w:hint="cs"/>
          <w:sz w:val="27"/>
          <w:szCs w:val="27"/>
          <w:rtl/>
        </w:rPr>
        <w:t>ي</w:t>
      </w:r>
      <w:r w:rsidRPr="00282AC9">
        <w:rPr>
          <w:rFonts w:ascii="Sakkal Majalla" w:hAnsi="Sakkal Majalla" w:cs="AL-Mohanad" w:hint="cs"/>
          <w:sz w:val="27"/>
          <w:szCs w:val="27"/>
          <w:rtl/>
        </w:rPr>
        <w:t>ملي عل</w:t>
      </w:r>
      <w:r w:rsidRPr="00282AC9">
        <w:rPr>
          <w:rFonts w:cs="AL-Mohanad" w:hint="cs"/>
          <w:sz w:val="27"/>
          <w:szCs w:val="27"/>
          <w:rtl/>
        </w:rPr>
        <w:t>ي</w:t>
      </w:r>
      <w:r w:rsidRPr="00282AC9">
        <w:rPr>
          <w:rFonts w:ascii="Sakkal Majalla" w:hAnsi="Sakkal Majalla" w:cs="AL-Mohanad" w:hint="cs"/>
          <w:sz w:val="27"/>
          <w:szCs w:val="27"/>
          <w:rtl/>
        </w:rPr>
        <w:t xml:space="preserve">هم ما </w:t>
      </w:r>
      <w:r w:rsidRPr="00282AC9">
        <w:rPr>
          <w:rFonts w:cs="AL-Mohanad" w:hint="cs"/>
          <w:sz w:val="27"/>
          <w:szCs w:val="27"/>
          <w:rtl/>
        </w:rPr>
        <w:t>ي</w:t>
      </w:r>
      <w:r w:rsidRPr="00282AC9">
        <w:rPr>
          <w:rFonts w:ascii="Sakkal Majalla" w:hAnsi="Sakkal Majalla" w:cs="AL-Mohanad" w:hint="cs"/>
          <w:sz w:val="27"/>
          <w:szCs w:val="27"/>
          <w:rtl/>
        </w:rPr>
        <w:t>نزل عل</w:t>
      </w:r>
      <w:r w:rsidRPr="00282AC9">
        <w:rPr>
          <w:rFonts w:cs="AL-Mohanad" w:hint="cs"/>
          <w:sz w:val="27"/>
          <w:szCs w:val="27"/>
          <w:rtl/>
        </w:rPr>
        <w:t>ي</w:t>
      </w:r>
      <w:r w:rsidRPr="00282AC9">
        <w:rPr>
          <w:rFonts w:ascii="Sakkal Majalla" w:hAnsi="Sakkal Majalla" w:cs="AL-Mohanad" w:hint="cs"/>
          <w:sz w:val="27"/>
          <w:szCs w:val="27"/>
          <w:rtl/>
        </w:rPr>
        <w:t>ه من الآ</w:t>
      </w:r>
      <w:r w:rsidRPr="00282AC9">
        <w:rPr>
          <w:rFonts w:cs="AL-Mohanad" w:hint="cs"/>
          <w:sz w:val="27"/>
          <w:szCs w:val="27"/>
          <w:rtl/>
        </w:rPr>
        <w:t>ي</w:t>
      </w:r>
      <w:r w:rsidRPr="00282AC9">
        <w:rPr>
          <w:rFonts w:ascii="Sakkal Majalla" w:hAnsi="Sakkal Majalla" w:cs="AL-Mohanad" w:hint="cs"/>
          <w:sz w:val="27"/>
          <w:szCs w:val="27"/>
          <w:rtl/>
        </w:rPr>
        <w:t>ات</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وإنّما أراد</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كتابة الآ</w:t>
      </w:r>
      <w:r w:rsidRPr="00282AC9">
        <w:rPr>
          <w:rFonts w:cs="AL-Mohanad" w:hint="cs"/>
          <w:sz w:val="27"/>
          <w:szCs w:val="27"/>
          <w:rtl/>
        </w:rPr>
        <w:t>ي</w:t>
      </w:r>
      <w:r w:rsidRPr="00282AC9">
        <w:rPr>
          <w:rFonts w:ascii="Sakkal Majalla" w:hAnsi="Sakkal Majalla" w:cs="AL-Mohanad" w:hint="cs"/>
          <w:sz w:val="27"/>
          <w:szCs w:val="27"/>
          <w:rtl/>
        </w:rPr>
        <w:t>ات مع ما لها من تفس</w:t>
      </w:r>
      <w:r w:rsidRPr="00282AC9">
        <w:rPr>
          <w:rFonts w:cs="AL-Mohanad" w:hint="cs"/>
          <w:sz w:val="27"/>
          <w:szCs w:val="27"/>
          <w:rtl/>
        </w:rPr>
        <w:t>ي</w:t>
      </w:r>
      <w:r w:rsidRPr="00282AC9">
        <w:rPr>
          <w:rFonts w:ascii="Sakkal Majalla" w:hAnsi="Sakkal Majalla" w:cs="AL-Mohanad" w:hint="cs"/>
          <w:sz w:val="27"/>
          <w:szCs w:val="27"/>
          <w:rtl/>
        </w:rPr>
        <w:t>ر</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وتأو</w:t>
      </w:r>
      <w:r w:rsidRPr="00282AC9">
        <w:rPr>
          <w:rFonts w:cs="AL-Mohanad" w:hint="cs"/>
          <w:sz w:val="27"/>
          <w:szCs w:val="27"/>
          <w:rtl/>
        </w:rPr>
        <w:t>ي</w:t>
      </w:r>
      <w:r w:rsidRPr="00282AC9">
        <w:rPr>
          <w:rFonts w:ascii="Sakkal Majalla" w:hAnsi="Sakkal Majalla" w:cs="AL-Mohanad" w:hint="cs"/>
          <w:sz w:val="27"/>
          <w:szCs w:val="27"/>
          <w:rtl/>
        </w:rPr>
        <w:t>ل</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ومحكم ومتشابه</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وناسخ ومنسوخ</w:t>
      </w:r>
      <w:r w:rsidR="00FA0507"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 xml:space="preserve">وما </w:t>
      </w:r>
      <w:r w:rsidRPr="00282AC9">
        <w:rPr>
          <w:rFonts w:cs="AL-Mohanad" w:hint="cs"/>
          <w:sz w:val="27"/>
          <w:szCs w:val="27"/>
          <w:rtl/>
        </w:rPr>
        <w:t>ي</w:t>
      </w:r>
      <w:r w:rsidRPr="00282AC9">
        <w:rPr>
          <w:rFonts w:ascii="Sakkal Majalla" w:hAnsi="Sakkal Majalla" w:cs="AL-Mohanad" w:hint="cs"/>
          <w:sz w:val="27"/>
          <w:szCs w:val="27"/>
          <w:rtl/>
        </w:rPr>
        <w:t>هدف إل</w:t>
      </w:r>
      <w:r w:rsidRPr="00282AC9">
        <w:rPr>
          <w:rFonts w:cs="AL-Mohanad" w:hint="cs"/>
          <w:sz w:val="27"/>
          <w:szCs w:val="27"/>
          <w:rtl/>
        </w:rPr>
        <w:t>ي</w:t>
      </w:r>
      <w:r w:rsidRPr="00282AC9">
        <w:rPr>
          <w:rFonts w:ascii="Sakkal Majalla" w:hAnsi="Sakkal Majalla" w:cs="AL-Mohanad" w:hint="cs"/>
          <w:sz w:val="27"/>
          <w:szCs w:val="27"/>
          <w:rtl/>
        </w:rPr>
        <w:t>ه من تعال</w:t>
      </w:r>
      <w:r w:rsidRPr="00282AC9">
        <w:rPr>
          <w:rFonts w:cs="AL-Mohanad" w:hint="cs"/>
          <w:sz w:val="27"/>
          <w:szCs w:val="27"/>
          <w:rtl/>
        </w:rPr>
        <w:t>ي</w:t>
      </w:r>
      <w:r w:rsidRPr="00282AC9">
        <w:rPr>
          <w:rFonts w:ascii="Sakkal Majalla" w:hAnsi="Sakkal Majalla" w:cs="AL-Mohanad" w:hint="cs"/>
          <w:sz w:val="27"/>
          <w:szCs w:val="27"/>
          <w:rtl/>
        </w:rPr>
        <w:t>م وأغراض</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وغ</w:t>
      </w:r>
      <w:r w:rsidRPr="00282AC9">
        <w:rPr>
          <w:rFonts w:cs="AL-Mohanad" w:hint="cs"/>
          <w:sz w:val="27"/>
          <w:szCs w:val="27"/>
          <w:rtl/>
        </w:rPr>
        <w:t>ي</w:t>
      </w:r>
      <w:r w:rsidRPr="00282AC9">
        <w:rPr>
          <w:rFonts w:ascii="Sakkal Majalla" w:hAnsi="Sakkal Majalla" w:cs="AL-Mohanad" w:hint="cs"/>
          <w:sz w:val="27"/>
          <w:szCs w:val="27"/>
          <w:rtl/>
        </w:rPr>
        <w:t>ر ذلك</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ولذلك ورد في الروا</w:t>
      </w:r>
      <w:r w:rsidRPr="00282AC9">
        <w:rPr>
          <w:rFonts w:cs="AL-Mohanad" w:hint="cs"/>
          <w:sz w:val="27"/>
          <w:szCs w:val="27"/>
          <w:rtl/>
        </w:rPr>
        <w:t>ي</w:t>
      </w:r>
      <w:r w:rsidRPr="00282AC9">
        <w:rPr>
          <w:rFonts w:ascii="Sakkal Majalla" w:hAnsi="Sakkal Majalla" w:cs="AL-Mohanad" w:hint="cs"/>
          <w:sz w:val="27"/>
          <w:szCs w:val="27"/>
          <w:rtl/>
        </w:rPr>
        <w:t>ات أنّ طول مصحف الإمام علي</w:t>
      </w:r>
      <w:r w:rsidR="00FA0507"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سبعون ذراعاً</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قال الإمام الصادق</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w:t>
      </w:r>
      <w:r w:rsidRPr="00282AC9">
        <w:rPr>
          <w:rFonts w:cs="AL-Mohanad" w:hint="eastAsia"/>
          <w:rtl/>
        </w:rPr>
        <w:t>«</w:t>
      </w:r>
      <w:r w:rsidRPr="00282AC9">
        <w:rPr>
          <w:rFonts w:ascii="Sakkal Majalla" w:hAnsi="Sakkal Majalla" w:cs="AL-Mohanad"/>
          <w:sz w:val="27"/>
          <w:szCs w:val="27"/>
          <w:rtl/>
        </w:rPr>
        <w:t>إنَّ عِنْدَنَا صَحِيفَةً طُولُهَا سَبْعُونَ ذِرَاعاً</w:t>
      </w:r>
      <w:r w:rsidR="00FA0507" w:rsidRPr="00282AC9">
        <w:rPr>
          <w:rFonts w:ascii="Sakkal Majalla" w:hAnsi="Sakkal Majalla" w:cs="AL-Mohanad" w:hint="cs"/>
          <w:sz w:val="27"/>
          <w:szCs w:val="27"/>
          <w:rtl/>
        </w:rPr>
        <w:t>،</w:t>
      </w:r>
      <w:r w:rsidR="00FA0507" w:rsidRPr="00282AC9">
        <w:rPr>
          <w:rFonts w:ascii="Sakkal Majalla" w:hAnsi="Sakkal Majalla" w:cs="AL-Mohanad"/>
          <w:sz w:val="27"/>
          <w:szCs w:val="27"/>
          <w:rtl/>
        </w:rPr>
        <w:t xml:space="preserve"> إِمْل</w:t>
      </w:r>
      <w:r w:rsidRPr="00282AC9">
        <w:rPr>
          <w:rFonts w:ascii="Sakkal Majalla" w:hAnsi="Sakkal Majalla" w:cs="AL-Mohanad"/>
          <w:sz w:val="27"/>
          <w:szCs w:val="27"/>
          <w:rtl/>
        </w:rPr>
        <w:t xml:space="preserve">اءُ رَسُولِ </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w:t>
      </w:r>
      <w:r w:rsidR="009A2A04" w:rsidRPr="00282AC9">
        <w:rPr>
          <w:rFonts w:ascii="Sakkal Majalla" w:hAnsi="Sakkal Majalla" w:cs="Mosawi" w:hint="cs"/>
          <w:sz w:val="22"/>
          <w:szCs w:val="22"/>
          <w:rtl/>
        </w:rPr>
        <w:t>|</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وخَطَّهُ عَلِيٌّ بِيَدِهِ</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وإِنَّ فِيهَا لَجَمِيعَ مَا يَحْتَاجُ إِلَيْهِ النَّاسُ</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 حَتَّى أَرْشُ الْخَدْشِ</w:t>
      </w:r>
      <w:r w:rsidRPr="00282AC9">
        <w:rPr>
          <w:rFonts w:cs="AL-Mohanad" w:hint="eastAsia"/>
          <w:rtl/>
        </w:rPr>
        <w:t>»</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90"/>
      </w:r>
      <w:r w:rsidRPr="00282AC9">
        <w:rPr>
          <w:rFonts w:ascii="Sakkal Majalla" w:hAnsi="Sakkal Majalla" w:cs="AL-Mohanad"/>
          <w:sz w:val="27"/>
          <w:szCs w:val="27"/>
          <w:vertAlign w:val="superscript"/>
          <w:rtl/>
        </w:rPr>
        <w:t>)</w:t>
      </w:r>
      <w:r w:rsidRPr="00282AC9">
        <w:rPr>
          <w:rFonts w:ascii="Sakkal Majalla" w:hAnsi="Sakkal Majalla" w:cs="AL-Mohanad"/>
          <w:sz w:val="27"/>
          <w:szCs w:val="27"/>
          <w:rtl/>
        </w:rPr>
        <w:t xml:space="preserve">. </w:t>
      </w:r>
      <w:r w:rsidR="00FA0507" w:rsidRPr="00282AC9">
        <w:rPr>
          <w:rFonts w:ascii="Sakkal Majalla" w:hAnsi="Sakkal Majalla" w:cs="AL-Mohanad" w:hint="cs"/>
          <w:sz w:val="27"/>
          <w:szCs w:val="27"/>
          <w:rtl/>
        </w:rPr>
        <w:t>و</w:t>
      </w:r>
      <w:r w:rsidRPr="00282AC9">
        <w:rPr>
          <w:rFonts w:ascii="Sakkal Majalla" w:hAnsi="Sakkal Majalla" w:cs="AL-Mohanad" w:hint="cs"/>
          <w:sz w:val="27"/>
          <w:szCs w:val="27"/>
          <w:rtl/>
        </w:rPr>
        <w:t>إ</w:t>
      </w:r>
      <w:r w:rsidRPr="00282AC9">
        <w:rPr>
          <w:rFonts w:ascii="Sakkal Majalla" w:hAnsi="Sakkal Majalla" w:cs="AL-Mohanad"/>
          <w:sz w:val="27"/>
          <w:szCs w:val="27"/>
          <w:rtl/>
        </w:rPr>
        <w:t>نّما صار</w:t>
      </w:r>
      <w:r w:rsidR="00FA0507" w:rsidRPr="00282AC9">
        <w:rPr>
          <w:rFonts w:ascii="Sakkal Majalla" w:hAnsi="Sakkal Majalla" w:cs="AL-Mohanad" w:hint="cs"/>
          <w:sz w:val="27"/>
          <w:szCs w:val="27"/>
          <w:rtl/>
        </w:rPr>
        <w:t xml:space="preserve"> </w:t>
      </w:r>
      <w:r w:rsidRPr="00282AC9">
        <w:rPr>
          <w:rFonts w:ascii="Sakkal Majalla" w:hAnsi="Sakkal Majalla" w:cs="AL-Mohanad"/>
          <w:sz w:val="27"/>
          <w:szCs w:val="27"/>
          <w:rtl/>
        </w:rPr>
        <w:t xml:space="preserve">المصحف سبعون ذراعاً لما </w:t>
      </w:r>
      <w:r w:rsidRPr="00282AC9">
        <w:rPr>
          <w:rFonts w:cs="AL-Mohanad" w:hint="cs"/>
          <w:sz w:val="27"/>
          <w:szCs w:val="27"/>
          <w:rtl/>
        </w:rPr>
        <w:t>ي</w:t>
      </w:r>
      <w:r w:rsidRPr="00282AC9">
        <w:rPr>
          <w:rFonts w:ascii="Sakkal Majalla" w:hAnsi="Sakkal Majalla" w:cs="AL-Mohanad" w:hint="cs"/>
          <w:sz w:val="27"/>
          <w:szCs w:val="27"/>
          <w:rtl/>
        </w:rPr>
        <w:t>حتوي</w:t>
      </w:r>
      <w:r w:rsidRPr="00282AC9">
        <w:rPr>
          <w:rFonts w:ascii="Sakkal Majalla" w:hAnsi="Sakkal Majalla" w:cs="AL-Mohanad"/>
          <w:sz w:val="27"/>
          <w:szCs w:val="27"/>
          <w:rtl/>
        </w:rPr>
        <w:t xml:space="preserve"> من تفس</w:t>
      </w:r>
      <w:r w:rsidRPr="00282AC9">
        <w:rPr>
          <w:rFonts w:cs="AL-Mohanad" w:hint="cs"/>
          <w:sz w:val="27"/>
          <w:szCs w:val="27"/>
          <w:rtl/>
        </w:rPr>
        <w:t>ي</w:t>
      </w:r>
      <w:r w:rsidRPr="00282AC9">
        <w:rPr>
          <w:rFonts w:ascii="Sakkal Majalla" w:hAnsi="Sakkal Majalla" w:cs="AL-Mohanad" w:hint="cs"/>
          <w:sz w:val="27"/>
          <w:szCs w:val="27"/>
          <w:rtl/>
        </w:rPr>
        <w:t>ر</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w:t>
      </w:r>
      <w:r w:rsidRPr="00282AC9">
        <w:rPr>
          <w:rFonts w:ascii="Sakkal Majalla" w:hAnsi="Sakkal Majalla" w:cs="AL-Mohanad" w:hint="cs"/>
          <w:sz w:val="27"/>
          <w:szCs w:val="27"/>
          <w:rtl/>
        </w:rPr>
        <w:t>تاو</w:t>
      </w:r>
      <w:r w:rsidRPr="00282AC9">
        <w:rPr>
          <w:rFonts w:cs="AL-Mohanad" w:hint="cs"/>
          <w:sz w:val="27"/>
          <w:szCs w:val="27"/>
          <w:rtl/>
        </w:rPr>
        <w:t>ي</w:t>
      </w:r>
      <w:r w:rsidRPr="00282AC9">
        <w:rPr>
          <w:rFonts w:ascii="Sakkal Majalla" w:hAnsi="Sakkal Majalla" w:cs="AL-Mohanad" w:hint="cs"/>
          <w:sz w:val="27"/>
          <w:szCs w:val="27"/>
          <w:rtl/>
        </w:rPr>
        <w:t>ل</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w:t>
      </w:r>
      <w:r w:rsidRPr="00282AC9">
        <w:rPr>
          <w:rFonts w:ascii="Sakkal Majalla" w:hAnsi="Sakkal Majalla" w:cs="AL-Mohanad" w:hint="cs"/>
          <w:sz w:val="27"/>
          <w:szCs w:val="27"/>
          <w:rtl/>
        </w:rPr>
        <w:t>تعال</w:t>
      </w:r>
      <w:r w:rsidRPr="00282AC9">
        <w:rPr>
          <w:rFonts w:cs="AL-Mohanad" w:hint="cs"/>
          <w:sz w:val="27"/>
          <w:szCs w:val="27"/>
          <w:rtl/>
        </w:rPr>
        <w:t>ي</w:t>
      </w:r>
      <w:r w:rsidRPr="00282AC9">
        <w:rPr>
          <w:rFonts w:ascii="Sakkal Majalla" w:hAnsi="Sakkal Majalla" w:cs="AL-Mohanad" w:hint="cs"/>
          <w:sz w:val="27"/>
          <w:szCs w:val="27"/>
          <w:rtl/>
        </w:rPr>
        <w:t>م</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لم</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ت</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ذ</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ك</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ر</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في</w:t>
      </w:r>
      <w:r w:rsidRPr="00282AC9">
        <w:rPr>
          <w:rFonts w:ascii="Sakkal Majalla" w:hAnsi="Sakkal Majalla" w:cs="AL-Mohanad"/>
          <w:sz w:val="27"/>
          <w:szCs w:val="27"/>
          <w:rtl/>
        </w:rPr>
        <w:t xml:space="preserve"> ظاهر ال</w:t>
      </w:r>
      <w:r w:rsidRPr="00282AC9">
        <w:rPr>
          <w:rFonts w:ascii="Sakkal Majalla" w:hAnsi="Sakkal Majalla" w:cs="AL-Mohanad" w:hint="cs"/>
          <w:sz w:val="27"/>
          <w:szCs w:val="27"/>
          <w:rtl/>
        </w:rPr>
        <w:t>آ</w:t>
      </w:r>
      <w:r w:rsidRPr="00282AC9">
        <w:rPr>
          <w:rFonts w:cs="AL-Mohanad" w:hint="cs"/>
          <w:sz w:val="27"/>
          <w:szCs w:val="27"/>
          <w:rtl/>
        </w:rPr>
        <w:t>ي</w:t>
      </w:r>
      <w:r w:rsidRPr="00282AC9">
        <w:rPr>
          <w:rFonts w:ascii="Sakkal Majalla" w:hAnsi="Sakkal Majalla" w:cs="AL-Mohanad" w:hint="cs"/>
          <w:sz w:val="27"/>
          <w:szCs w:val="27"/>
          <w:rtl/>
        </w:rPr>
        <w:t>ات</w:t>
      </w:r>
      <w:r w:rsidR="00FA0507"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وعل</w:t>
      </w:r>
      <w:r w:rsidRPr="00282AC9">
        <w:rPr>
          <w:rFonts w:cs="AL-Mohanad" w:hint="cs"/>
          <w:sz w:val="27"/>
          <w:szCs w:val="27"/>
          <w:rtl/>
        </w:rPr>
        <w:t>ي</w:t>
      </w:r>
      <w:r w:rsidRPr="00282AC9">
        <w:rPr>
          <w:rFonts w:ascii="Sakkal Majalla" w:hAnsi="Sakkal Majalla" w:cs="AL-Mohanad" w:hint="cs"/>
          <w:sz w:val="27"/>
          <w:szCs w:val="27"/>
          <w:rtl/>
        </w:rPr>
        <w:t>ه</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فما ذهب إل</w:t>
      </w:r>
      <w:r w:rsidRPr="00282AC9">
        <w:rPr>
          <w:rFonts w:cs="AL-Mohanad" w:hint="cs"/>
          <w:sz w:val="27"/>
          <w:szCs w:val="27"/>
          <w:rtl/>
        </w:rPr>
        <w:t>ي</w:t>
      </w:r>
      <w:r w:rsidRPr="00282AC9">
        <w:rPr>
          <w:rFonts w:ascii="Sakkal Majalla" w:hAnsi="Sakkal Majalla" w:cs="AL-Mohanad" w:hint="cs"/>
          <w:sz w:val="27"/>
          <w:szCs w:val="27"/>
          <w:rtl/>
        </w:rPr>
        <w:t>ه أكثر الكتّاب والمحق</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ق</w:t>
      </w:r>
      <w:r w:rsidRPr="00282AC9">
        <w:rPr>
          <w:rFonts w:cs="AL-Mohanad" w:hint="cs"/>
          <w:sz w:val="27"/>
          <w:szCs w:val="27"/>
          <w:rtl/>
        </w:rPr>
        <w:t>ي</w:t>
      </w:r>
      <w:r w:rsidRPr="00282AC9">
        <w:rPr>
          <w:rFonts w:ascii="Sakkal Majalla" w:hAnsi="Sakkal Majalla" w:cs="AL-Mohanad" w:hint="cs"/>
          <w:sz w:val="27"/>
          <w:szCs w:val="27"/>
          <w:rtl/>
        </w:rPr>
        <w:t>ن</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من أنّ الإمام</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جمع ودوّ</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ن الآ</w:t>
      </w:r>
      <w:r w:rsidRPr="00282AC9">
        <w:rPr>
          <w:rFonts w:cs="AL-Mohanad" w:hint="cs"/>
          <w:sz w:val="27"/>
          <w:szCs w:val="27"/>
          <w:rtl/>
        </w:rPr>
        <w:t>ي</w:t>
      </w:r>
      <w:r w:rsidRPr="00282AC9">
        <w:rPr>
          <w:rFonts w:ascii="Sakkal Majalla" w:hAnsi="Sakkal Majalla" w:cs="AL-Mohanad" w:hint="cs"/>
          <w:sz w:val="27"/>
          <w:szCs w:val="27"/>
          <w:rtl/>
        </w:rPr>
        <w:t>ات القرآن</w:t>
      </w:r>
      <w:r w:rsidRPr="00282AC9">
        <w:rPr>
          <w:rFonts w:cs="AL-Mohanad" w:hint="cs"/>
          <w:sz w:val="27"/>
          <w:szCs w:val="27"/>
          <w:rtl/>
        </w:rPr>
        <w:t>ي</w:t>
      </w:r>
      <w:r w:rsidRPr="00282AC9">
        <w:rPr>
          <w:rFonts w:ascii="Sakkal Majalla" w:hAnsi="Sakkal Majalla" w:cs="AL-Mohanad" w:hint="cs"/>
          <w:sz w:val="27"/>
          <w:szCs w:val="27"/>
          <w:rtl/>
        </w:rPr>
        <w:t>ة ح</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ب ترت</w:t>
      </w:r>
      <w:r w:rsidRPr="00282AC9">
        <w:rPr>
          <w:rFonts w:cs="AL-Mohanad" w:hint="cs"/>
          <w:sz w:val="27"/>
          <w:szCs w:val="27"/>
          <w:rtl/>
        </w:rPr>
        <w:t>ي</w:t>
      </w:r>
      <w:r w:rsidRPr="00282AC9">
        <w:rPr>
          <w:rFonts w:ascii="Sakkal Majalla" w:hAnsi="Sakkal Majalla" w:cs="AL-Mohanad" w:hint="cs"/>
          <w:sz w:val="27"/>
          <w:szCs w:val="27"/>
          <w:rtl/>
        </w:rPr>
        <w:t>ب نزولها</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غ</w:t>
      </w:r>
      <w:r w:rsidRPr="00282AC9">
        <w:rPr>
          <w:rFonts w:cs="AL-Mohanad" w:hint="cs"/>
          <w:sz w:val="27"/>
          <w:szCs w:val="27"/>
          <w:rtl/>
        </w:rPr>
        <w:t>ي</w:t>
      </w:r>
      <w:r w:rsidRPr="00282AC9">
        <w:rPr>
          <w:rFonts w:ascii="Sakkal Majalla" w:hAnsi="Sakkal Majalla" w:cs="AL-Mohanad" w:hint="cs"/>
          <w:sz w:val="27"/>
          <w:szCs w:val="27"/>
          <w:rtl/>
        </w:rPr>
        <w:t>ر</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صح</w:t>
      </w:r>
      <w:r w:rsidRPr="00282AC9">
        <w:rPr>
          <w:rFonts w:cs="AL-Mohanad" w:hint="cs"/>
          <w:sz w:val="27"/>
          <w:szCs w:val="27"/>
          <w:rtl/>
        </w:rPr>
        <w:t>ي</w:t>
      </w:r>
      <w:r w:rsidRPr="00282AC9">
        <w:rPr>
          <w:rFonts w:ascii="Sakkal Majalla" w:hAnsi="Sakkal Majalla" w:cs="AL-Mohanad" w:hint="cs"/>
          <w:sz w:val="27"/>
          <w:szCs w:val="27"/>
          <w:rtl/>
        </w:rPr>
        <w:t>ح</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لأنّ ذلك لا </w:t>
      </w:r>
      <w:r w:rsidRPr="00282AC9">
        <w:rPr>
          <w:rFonts w:cs="AL-Mohanad" w:hint="cs"/>
          <w:sz w:val="27"/>
          <w:szCs w:val="27"/>
          <w:rtl/>
        </w:rPr>
        <w:t>ي</w:t>
      </w:r>
      <w:r w:rsidR="00FA0507" w:rsidRPr="00282AC9">
        <w:rPr>
          <w:rFonts w:cs="AL-Mohanad" w:hint="cs"/>
          <w:sz w:val="27"/>
          <w:szCs w:val="27"/>
          <w:rtl/>
        </w:rPr>
        <w:t>ُ</w:t>
      </w:r>
      <w:r w:rsidRPr="00282AC9">
        <w:rPr>
          <w:rFonts w:ascii="Sakkal Majalla" w:hAnsi="Sakkal Majalla" w:cs="AL-Mohanad" w:hint="cs"/>
          <w:sz w:val="27"/>
          <w:szCs w:val="27"/>
          <w:rtl/>
        </w:rPr>
        <w:t>ع</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دّ من مختص</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ات مصحف الإمام علي</w:t>
      </w:r>
      <w:r w:rsidR="00FA0507"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بل ما </w:t>
      </w:r>
      <w:r w:rsidR="00FA0507" w:rsidRPr="00282AC9">
        <w:rPr>
          <w:rFonts w:ascii="Sakkal Majalla" w:hAnsi="Sakkal Majalla" w:cs="AL-Mohanad" w:hint="cs"/>
          <w:sz w:val="27"/>
          <w:szCs w:val="27"/>
          <w:rtl/>
        </w:rPr>
        <w:t>ا</w:t>
      </w:r>
      <w:r w:rsidRPr="00282AC9">
        <w:rPr>
          <w:rFonts w:ascii="Sakkal Majalla" w:hAnsi="Sakkal Majalla" w:cs="AL-Mohanad" w:hint="cs"/>
          <w:sz w:val="27"/>
          <w:szCs w:val="27"/>
          <w:rtl/>
        </w:rPr>
        <w:t>ختصّ به الإمام</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كما قلنا</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هو معرفة تفس</w:t>
      </w:r>
      <w:r w:rsidRPr="00282AC9">
        <w:rPr>
          <w:rFonts w:cs="AL-Mohanad" w:hint="cs"/>
          <w:sz w:val="27"/>
          <w:szCs w:val="27"/>
          <w:rtl/>
        </w:rPr>
        <w:t>ي</w:t>
      </w:r>
      <w:r w:rsidRPr="00282AC9">
        <w:rPr>
          <w:rFonts w:ascii="Sakkal Majalla" w:hAnsi="Sakkal Majalla" w:cs="AL-Mohanad" w:hint="cs"/>
          <w:sz w:val="27"/>
          <w:szCs w:val="27"/>
          <w:rtl/>
        </w:rPr>
        <w:t>ر وتأو</w:t>
      </w:r>
      <w:r w:rsidRPr="00282AC9">
        <w:rPr>
          <w:rFonts w:cs="AL-Mohanad" w:hint="cs"/>
          <w:sz w:val="27"/>
          <w:szCs w:val="27"/>
          <w:rtl/>
        </w:rPr>
        <w:t>ي</w:t>
      </w:r>
      <w:r w:rsidRPr="00282AC9">
        <w:rPr>
          <w:rFonts w:ascii="Sakkal Majalla" w:hAnsi="Sakkal Majalla" w:cs="AL-Mohanad" w:hint="cs"/>
          <w:sz w:val="27"/>
          <w:szCs w:val="27"/>
          <w:rtl/>
        </w:rPr>
        <w:t>ل الآ</w:t>
      </w:r>
      <w:r w:rsidRPr="00282AC9">
        <w:rPr>
          <w:rFonts w:cs="AL-Mohanad" w:hint="cs"/>
          <w:sz w:val="27"/>
          <w:szCs w:val="27"/>
          <w:rtl/>
        </w:rPr>
        <w:t>ي</w:t>
      </w:r>
      <w:r w:rsidRPr="00282AC9">
        <w:rPr>
          <w:rFonts w:ascii="Sakkal Majalla" w:hAnsi="Sakkal Majalla" w:cs="AL-Mohanad" w:hint="cs"/>
          <w:sz w:val="27"/>
          <w:szCs w:val="27"/>
          <w:rtl/>
        </w:rPr>
        <w:t>ات</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وتم</w:t>
      </w:r>
      <w:r w:rsidRPr="00282AC9">
        <w:rPr>
          <w:rFonts w:cs="AL-Mohanad" w:hint="cs"/>
          <w:sz w:val="27"/>
          <w:szCs w:val="27"/>
          <w:rtl/>
        </w:rPr>
        <w:t>يي</w:t>
      </w:r>
      <w:r w:rsidRPr="00282AC9">
        <w:rPr>
          <w:rFonts w:ascii="Sakkal Majalla" w:hAnsi="Sakkal Majalla" w:cs="AL-Mohanad" w:hint="cs"/>
          <w:sz w:val="27"/>
          <w:szCs w:val="27"/>
          <w:rtl/>
        </w:rPr>
        <w:t>ز محكماتها عن متشابهاتها</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وناسخها عن منسوخها، العلم الذ</w:t>
      </w:r>
      <w:r w:rsidRPr="00282AC9">
        <w:rPr>
          <w:rFonts w:cs="AL-Mohanad" w:hint="cs"/>
          <w:sz w:val="27"/>
          <w:szCs w:val="27"/>
          <w:rtl/>
        </w:rPr>
        <w:t>ي</w:t>
      </w:r>
      <w:r w:rsidRPr="00282AC9">
        <w:rPr>
          <w:rFonts w:ascii="Sakkal Majalla" w:hAnsi="Sakkal Majalla" w:cs="AL-Mohanad" w:hint="cs"/>
          <w:sz w:val="27"/>
          <w:szCs w:val="27"/>
          <w:rtl/>
        </w:rPr>
        <w:t xml:space="preserve"> خصّ</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به النبي</w:t>
      </w:r>
      <w:r w:rsidR="00FA0507"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عل</w:t>
      </w:r>
      <w:r w:rsidRPr="00282AC9">
        <w:rPr>
          <w:rFonts w:cs="AL-Mohanad" w:hint="cs"/>
          <w:sz w:val="27"/>
          <w:szCs w:val="27"/>
          <w:rtl/>
        </w:rPr>
        <w:t>ي</w:t>
      </w:r>
      <w:r w:rsidR="00FA0507" w:rsidRPr="00282AC9">
        <w:rPr>
          <w:rFonts w:cs="AL-Mohanad" w:hint="cs"/>
          <w:sz w:val="27"/>
          <w:szCs w:val="27"/>
          <w:rtl/>
        </w:rPr>
        <w:t>ّ</w:t>
      </w:r>
      <w:r w:rsidRPr="00282AC9">
        <w:rPr>
          <w:rFonts w:ascii="Sakkal Majalla" w:hAnsi="Sakkal Majalla" w:cs="AL-Mohanad" w:hint="cs"/>
          <w:sz w:val="27"/>
          <w:szCs w:val="27"/>
          <w:rtl/>
        </w:rPr>
        <w:t>اً</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ولم </w:t>
      </w:r>
      <w:r w:rsidRPr="00282AC9">
        <w:rPr>
          <w:rFonts w:cs="AL-Mohanad" w:hint="cs"/>
          <w:sz w:val="27"/>
          <w:szCs w:val="27"/>
          <w:rtl/>
        </w:rPr>
        <w:t>ي</w:t>
      </w:r>
      <w:r w:rsidRPr="00282AC9">
        <w:rPr>
          <w:rFonts w:ascii="Sakkal Majalla" w:hAnsi="Sakkal Majalla" w:cs="AL-Mohanad" w:hint="cs"/>
          <w:sz w:val="27"/>
          <w:szCs w:val="27"/>
          <w:rtl/>
        </w:rPr>
        <w:t>علّ</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م</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ه لأحد</w:t>
      </w:r>
      <w:r w:rsidR="00FA050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من أصحابه. </w:t>
      </w:r>
    </w:p>
    <w:p w:rsidR="00AD6E36" w:rsidRPr="00282AC9" w:rsidRDefault="00D21988" w:rsidP="001D1A88">
      <w:pPr>
        <w:pStyle w:val="afc"/>
        <w:rPr>
          <w:rFonts w:ascii="Sakkal Majalla" w:hAnsi="Sakkal Majalla" w:cs="AL-Mohanad"/>
          <w:sz w:val="27"/>
          <w:szCs w:val="27"/>
          <w:rtl/>
        </w:rPr>
      </w:pPr>
      <w:r w:rsidRPr="00282AC9">
        <w:rPr>
          <w:rFonts w:ascii="Sakkal Majalla" w:hAnsi="Sakkal Majalla" w:cs="AL-Mohanad" w:hint="cs"/>
          <w:sz w:val="27"/>
          <w:szCs w:val="27"/>
          <w:rtl/>
        </w:rPr>
        <w:t>و</w:t>
      </w:r>
      <w:r w:rsidR="00AD6E36" w:rsidRPr="00282AC9">
        <w:rPr>
          <w:rFonts w:ascii="Sakkal Majalla" w:hAnsi="Sakkal Majalla" w:cs="AL-Mohanad" w:hint="cs"/>
          <w:sz w:val="27"/>
          <w:szCs w:val="27"/>
          <w:rtl/>
        </w:rPr>
        <w:t>أمّا قولهم</w:t>
      </w:r>
      <w:r w:rsidR="00FA0507"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إنّ ترت</w:t>
      </w:r>
      <w:r w:rsidR="00AD6E36" w:rsidRPr="00282AC9">
        <w:rPr>
          <w:rFonts w:cs="AL-Mohanad" w:hint="cs"/>
          <w:sz w:val="27"/>
          <w:szCs w:val="27"/>
          <w:rtl/>
        </w:rPr>
        <w:t>ي</w:t>
      </w:r>
      <w:r w:rsidR="00AD6E36" w:rsidRPr="00282AC9">
        <w:rPr>
          <w:rFonts w:ascii="Sakkal Majalla" w:hAnsi="Sakkal Majalla" w:cs="AL-Mohanad" w:hint="cs"/>
          <w:sz w:val="27"/>
          <w:szCs w:val="27"/>
          <w:rtl/>
        </w:rPr>
        <w:t>ب آ</w:t>
      </w:r>
      <w:r w:rsidR="00AD6E36" w:rsidRPr="00282AC9">
        <w:rPr>
          <w:rFonts w:cs="AL-Mohanad" w:hint="cs"/>
          <w:sz w:val="27"/>
          <w:szCs w:val="27"/>
          <w:rtl/>
        </w:rPr>
        <w:t>ي</w:t>
      </w:r>
      <w:r w:rsidR="00AD6E36" w:rsidRPr="00282AC9">
        <w:rPr>
          <w:rFonts w:ascii="Sakkal Majalla" w:hAnsi="Sakkal Majalla" w:cs="AL-Mohanad" w:hint="cs"/>
          <w:sz w:val="27"/>
          <w:szCs w:val="27"/>
          <w:rtl/>
        </w:rPr>
        <w:t>ات مصحف الإمام</w:t>
      </w:r>
      <w:r w:rsidR="009A2A04" w:rsidRPr="00282AC9">
        <w:rPr>
          <w:rFonts w:ascii="Sakkal Majalla" w:hAnsi="Sakkal Majalla" w:cs="Mosawi" w:hint="cs"/>
          <w:sz w:val="22"/>
          <w:szCs w:val="22"/>
          <w:rtl/>
        </w:rPr>
        <w:t>×</w:t>
      </w:r>
      <w:r w:rsidR="00AD6E36"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ي</w:t>
      </w:r>
      <w:r w:rsidR="00AD6E36" w:rsidRPr="00282AC9">
        <w:rPr>
          <w:rFonts w:ascii="Sakkal Majalla" w:hAnsi="Sakkal Majalla" w:cs="AL-Mohanad" w:hint="cs"/>
          <w:sz w:val="27"/>
          <w:szCs w:val="27"/>
          <w:rtl/>
        </w:rPr>
        <w:t>ختلف عن ترت</w:t>
      </w:r>
      <w:r w:rsidR="00AD6E36" w:rsidRPr="00282AC9">
        <w:rPr>
          <w:rFonts w:cs="AL-Mohanad" w:hint="cs"/>
          <w:sz w:val="27"/>
          <w:szCs w:val="27"/>
          <w:rtl/>
        </w:rPr>
        <w:t>ي</w:t>
      </w:r>
      <w:r w:rsidR="00AD6E36" w:rsidRPr="00282AC9">
        <w:rPr>
          <w:rFonts w:ascii="Sakkal Majalla" w:hAnsi="Sakkal Majalla" w:cs="AL-Mohanad" w:hint="cs"/>
          <w:sz w:val="27"/>
          <w:szCs w:val="27"/>
          <w:rtl/>
        </w:rPr>
        <w:t>ب آ</w:t>
      </w:r>
      <w:r w:rsidR="00AD6E36" w:rsidRPr="00282AC9">
        <w:rPr>
          <w:rFonts w:cs="AL-Mohanad" w:hint="cs"/>
          <w:sz w:val="27"/>
          <w:szCs w:val="27"/>
          <w:rtl/>
        </w:rPr>
        <w:t>ي</w:t>
      </w:r>
      <w:r w:rsidR="00AD6E36" w:rsidRPr="00282AC9">
        <w:rPr>
          <w:rFonts w:ascii="Sakkal Majalla" w:hAnsi="Sakkal Majalla" w:cs="AL-Mohanad" w:hint="cs"/>
          <w:sz w:val="27"/>
          <w:szCs w:val="27"/>
          <w:rtl/>
        </w:rPr>
        <w:t>ات المصحف العثمان</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 فهو كلام</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غ</w:t>
      </w:r>
      <w:r w:rsidR="00AD6E36" w:rsidRPr="00282AC9">
        <w:rPr>
          <w:rFonts w:cs="AL-Mohanad" w:hint="cs"/>
          <w:sz w:val="27"/>
          <w:szCs w:val="27"/>
          <w:rtl/>
        </w:rPr>
        <w:t>ي</w:t>
      </w:r>
      <w:r w:rsidR="00AD6E36" w:rsidRPr="00282AC9">
        <w:rPr>
          <w:rFonts w:ascii="Sakkal Majalla" w:hAnsi="Sakkal Majalla" w:cs="AL-Mohanad" w:hint="cs"/>
          <w:sz w:val="27"/>
          <w:szCs w:val="27"/>
          <w:rtl/>
        </w:rPr>
        <w:t>ر دق</w:t>
      </w:r>
      <w:r w:rsidR="00AD6E36" w:rsidRPr="00282AC9">
        <w:rPr>
          <w:rFonts w:cs="AL-Mohanad" w:hint="cs"/>
          <w:sz w:val="27"/>
          <w:szCs w:val="27"/>
          <w:rtl/>
        </w:rPr>
        <w:t>ي</w:t>
      </w:r>
      <w:r w:rsidR="00AD6E36" w:rsidRPr="00282AC9">
        <w:rPr>
          <w:rFonts w:ascii="Sakkal Majalla" w:hAnsi="Sakkal Majalla" w:cs="AL-Mohanad" w:hint="cs"/>
          <w:sz w:val="27"/>
          <w:szCs w:val="27"/>
          <w:rtl/>
        </w:rPr>
        <w:t>ق</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إذ من الواضح </w:t>
      </w:r>
      <w:r w:rsidRPr="00282AC9">
        <w:rPr>
          <w:rFonts w:ascii="Sakkal Majalla" w:hAnsi="Sakkal Majalla" w:cs="AL-Mohanad" w:hint="cs"/>
          <w:sz w:val="27"/>
          <w:szCs w:val="27"/>
          <w:rtl/>
        </w:rPr>
        <w:t xml:space="preserve">أنه </w:t>
      </w:r>
      <w:r w:rsidR="00AD6E36" w:rsidRPr="00282AC9">
        <w:rPr>
          <w:rFonts w:ascii="Sakkal Majalla" w:hAnsi="Sakkal Majalla" w:cs="AL-Mohanad" w:hint="cs"/>
          <w:sz w:val="27"/>
          <w:szCs w:val="27"/>
          <w:rtl/>
        </w:rPr>
        <w:t xml:space="preserve">لم </w:t>
      </w:r>
      <w:r w:rsidR="00AD6E36" w:rsidRPr="00282AC9">
        <w:rPr>
          <w:rFonts w:cs="AL-Mohanad" w:hint="cs"/>
          <w:sz w:val="27"/>
          <w:szCs w:val="27"/>
          <w:rtl/>
        </w:rPr>
        <w:t>ي</w:t>
      </w:r>
      <w:r w:rsidR="00AD6E36" w:rsidRPr="00282AC9">
        <w:rPr>
          <w:rFonts w:ascii="Sakkal Majalla" w:hAnsi="Sakkal Majalla" w:cs="AL-Mohanad" w:hint="cs"/>
          <w:sz w:val="27"/>
          <w:szCs w:val="27"/>
          <w:rtl/>
        </w:rPr>
        <w:t>عتمد عل</w:t>
      </w:r>
      <w:r w:rsidRPr="00282AC9">
        <w:rPr>
          <w:rFonts w:cs="AL-Mohanad" w:hint="cs"/>
          <w:sz w:val="27"/>
          <w:szCs w:val="27"/>
          <w:rtl/>
        </w:rPr>
        <w:t>ى</w:t>
      </w:r>
      <w:r w:rsidR="00AD6E36" w:rsidRPr="00282AC9">
        <w:rPr>
          <w:rFonts w:ascii="Sakkal Majalla" w:hAnsi="Sakkal Majalla" w:cs="AL-Mohanad" w:hint="cs"/>
          <w:sz w:val="27"/>
          <w:szCs w:val="27"/>
          <w:rtl/>
        </w:rPr>
        <w:t xml:space="preserve"> دراسة مصحف الإمام</w:t>
      </w:r>
      <w:r w:rsidR="009A2A04" w:rsidRPr="00282AC9">
        <w:rPr>
          <w:rFonts w:ascii="Sakkal Majalla" w:hAnsi="Sakkal Majalla" w:cs="Mosawi" w:hint="cs"/>
          <w:sz w:val="22"/>
          <w:szCs w:val="22"/>
          <w:rtl/>
        </w:rPr>
        <w:t>×</w:t>
      </w:r>
      <w:r w:rsidR="00AD6E36" w:rsidRPr="00282AC9">
        <w:rPr>
          <w:rFonts w:ascii="Sakkal Majalla" w:hAnsi="Sakkal Majalla" w:cs="AL-Mohanad" w:hint="cs"/>
          <w:sz w:val="27"/>
          <w:szCs w:val="27"/>
          <w:rtl/>
        </w:rPr>
        <w:t xml:space="preserve"> مباشرة</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لأنّه لم </w:t>
      </w:r>
      <w:r w:rsidR="00AD6E36" w:rsidRPr="00282AC9">
        <w:rPr>
          <w:rFonts w:cs="AL-Mohanad" w:hint="cs"/>
          <w:sz w:val="27"/>
          <w:szCs w:val="27"/>
          <w:rtl/>
        </w:rPr>
        <w:t>ي</w:t>
      </w:r>
      <w:r w:rsidR="00AD6E36" w:rsidRPr="00282AC9">
        <w:rPr>
          <w:rFonts w:ascii="Sakkal Majalla" w:hAnsi="Sakkal Majalla" w:cs="AL-Mohanad" w:hint="cs"/>
          <w:sz w:val="27"/>
          <w:szCs w:val="27"/>
          <w:rtl/>
        </w:rPr>
        <w:t>ص</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ل</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إل</w:t>
      </w:r>
      <w:r w:rsidR="00AD6E36" w:rsidRPr="00282AC9">
        <w:rPr>
          <w:rFonts w:cs="AL-Mohanad" w:hint="cs"/>
          <w:sz w:val="27"/>
          <w:szCs w:val="27"/>
          <w:rtl/>
        </w:rPr>
        <w:t>ي</w:t>
      </w:r>
      <w:r w:rsidR="00AD6E36" w:rsidRPr="00282AC9">
        <w:rPr>
          <w:rFonts w:ascii="Sakkal Majalla" w:hAnsi="Sakkal Majalla" w:cs="AL-Mohanad" w:hint="cs"/>
          <w:sz w:val="27"/>
          <w:szCs w:val="27"/>
          <w:rtl/>
        </w:rPr>
        <w:t>نا</w:t>
      </w:r>
      <w:r w:rsidRPr="00282AC9">
        <w:rPr>
          <w:rFonts w:ascii="Sakkal Majalla" w:hAnsi="Sakkal Majalla" w:cs="AL-Mohanad" w:hint="cs"/>
          <w:sz w:val="27"/>
          <w:szCs w:val="27"/>
          <w:rtl/>
        </w:rPr>
        <w:t>؛ فإنّ الإمام بعد</w:t>
      </w:r>
      <w:r w:rsidR="00AD6E36" w:rsidRPr="00282AC9">
        <w:rPr>
          <w:rFonts w:ascii="Sakkal Majalla" w:hAnsi="Sakkal Majalla" w:cs="AL-Mohanad" w:hint="cs"/>
          <w:sz w:val="27"/>
          <w:szCs w:val="27"/>
          <w:rtl/>
        </w:rPr>
        <w:t>ما خرج بالمصحف إلى القوم أنكروا عل</w:t>
      </w:r>
      <w:r w:rsidR="00AD6E36" w:rsidRPr="00282AC9">
        <w:rPr>
          <w:rFonts w:cs="AL-Mohanad" w:hint="cs"/>
          <w:sz w:val="27"/>
          <w:szCs w:val="27"/>
          <w:rtl/>
        </w:rPr>
        <w:t>ي</w:t>
      </w:r>
      <w:r w:rsidR="00AD6E36" w:rsidRPr="00282AC9">
        <w:rPr>
          <w:rFonts w:ascii="Sakkal Majalla" w:hAnsi="Sakkal Majalla" w:cs="AL-Mohanad" w:hint="cs"/>
          <w:sz w:val="27"/>
          <w:szCs w:val="27"/>
          <w:rtl/>
        </w:rPr>
        <w:t>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وقالوا له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إ</w:t>
      </w:r>
      <w:r w:rsidR="00AD6E36" w:rsidRPr="00282AC9">
        <w:rPr>
          <w:rFonts w:ascii="Sakkal Majalla" w:hAnsi="Sakkal Majalla" w:cs="AL-Mohanad" w:hint="cs"/>
          <w:sz w:val="27"/>
          <w:szCs w:val="27"/>
          <w:rtl/>
        </w:rPr>
        <w:t xml:space="preserve">ن </w:t>
      </w:r>
      <w:r w:rsidR="00AD6E36" w:rsidRPr="00282AC9">
        <w:rPr>
          <w:rFonts w:cs="AL-Mohanad" w:hint="cs"/>
          <w:sz w:val="27"/>
          <w:szCs w:val="27"/>
          <w:rtl/>
        </w:rPr>
        <w:t>ي</w:t>
      </w:r>
      <w:r w:rsidR="00AD6E36" w:rsidRPr="00282AC9">
        <w:rPr>
          <w:rFonts w:ascii="Sakkal Majalla" w:hAnsi="Sakkal Majalla" w:cs="AL-Mohanad" w:hint="cs"/>
          <w:sz w:val="27"/>
          <w:szCs w:val="27"/>
          <w:rtl/>
        </w:rPr>
        <w:t>كن عندك قر</w:t>
      </w:r>
      <w:r w:rsidRPr="00282AC9">
        <w:rPr>
          <w:rFonts w:ascii="Sakkal Majalla" w:hAnsi="Sakkal Majalla" w:cs="AL-Mohanad" w:hint="cs"/>
          <w:sz w:val="27"/>
          <w:szCs w:val="27"/>
          <w:rtl/>
        </w:rPr>
        <w:t>آ</w:t>
      </w:r>
      <w:r w:rsidR="00AD6E36" w:rsidRPr="00282AC9">
        <w:rPr>
          <w:rFonts w:ascii="Sakkal Majalla" w:hAnsi="Sakkal Majalla" w:cs="AL-Mohanad" w:hint="cs"/>
          <w:sz w:val="27"/>
          <w:szCs w:val="27"/>
          <w:rtl/>
        </w:rPr>
        <w:t>ن فعندنا مثله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فلا حاجة لنا ف</w:t>
      </w:r>
      <w:r w:rsidR="00AD6E36" w:rsidRPr="00282AC9">
        <w:rPr>
          <w:rFonts w:cs="AL-Mohanad" w:hint="cs"/>
          <w:sz w:val="27"/>
          <w:szCs w:val="27"/>
          <w:rtl/>
        </w:rPr>
        <w:t>ي</w:t>
      </w:r>
      <w:r w:rsidR="00AD6E36" w:rsidRPr="00282AC9">
        <w:rPr>
          <w:rFonts w:ascii="Sakkal Majalla" w:hAnsi="Sakkal Majalla" w:cs="AL-Mohanad" w:hint="cs"/>
          <w:sz w:val="27"/>
          <w:szCs w:val="27"/>
          <w:rtl/>
        </w:rPr>
        <w:t>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فقال لهم: </w:t>
      </w:r>
      <w:r w:rsidR="006D28AF" w:rsidRPr="00282AC9">
        <w:rPr>
          <w:rFonts w:ascii="Sakkal Majalla" w:hAnsi="Sakkal Majalla" w:cs="AL-Mohanad" w:hint="cs"/>
          <w:sz w:val="27"/>
          <w:szCs w:val="27"/>
          <w:rtl/>
        </w:rPr>
        <w:t>إذن</w:t>
      </w:r>
      <w:r w:rsidR="00AD6E36" w:rsidRPr="00282AC9">
        <w:rPr>
          <w:rFonts w:ascii="Sakkal Majalla" w:hAnsi="Sakkal Majalla" w:cs="AL-Mohanad" w:hint="cs"/>
          <w:sz w:val="27"/>
          <w:szCs w:val="27"/>
          <w:rtl/>
        </w:rPr>
        <w:t xml:space="preserve"> لن </w:t>
      </w:r>
      <w:r w:rsidR="00AD6E36" w:rsidRPr="00282AC9">
        <w:rPr>
          <w:rFonts w:cs="AL-Mohanad" w:hint="cs"/>
          <w:sz w:val="27"/>
          <w:szCs w:val="27"/>
          <w:rtl/>
        </w:rPr>
        <w:t>ي</w:t>
      </w:r>
      <w:r w:rsidR="00AD6E36" w:rsidRPr="00282AC9">
        <w:rPr>
          <w:rFonts w:ascii="Sakkal Majalla" w:hAnsi="Sakkal Majalla" w:cs="AL-Mohanad" w:hint="cs"/>
          <w:sz w:val="27"/>
          <w:szCs w:val="27"/>
          <w:rtl/>
        </w:rPr>
        <w:t>راه أحد</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بعد هذا</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حتى </w:t>
      </w:r>
      <w:r w:rsidR="00AD6E36" w:rsidRPr="00282AC9">
        <w:rPr>
          <w:rFonts w:cs="AL-Mohanad" w:hint="cs"/>
          <w:sz w:val="27"/>
          <w:szCs w:val="27"/>
          <w:rtl/>
        </w:rPr>
        <w:t>ي</w:t>
      </w:r>
      <w:r w:rsidR="00AD6E36" w:rsidRPr="00282AC9">
        <w:rPr>
          <w:rFonts w:ascii="Sakkal Majalla" w:hAnsi="Sakkal Majalla" w:cs="AL-Mohanad" w:hint="cs"/>
          <w:sz w:val="27"/>
          <w:szCs w:val="27"/>
          <w:rtl/>
        </w:rPr>
        <w:t>ظهر ولد</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 القائم</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ف</w:t>
      </w:r>
      <w:r w:rsidR="00AD6E36" w:rsidRPr="00282AC9">
        <w:rPr>
          <w:rFonts w:cs="AL-Mohanad" w:hint="cs"/>
          <w:sz w:val="27"/>
          <w:szCs w:val="27"/>
          <w:rtl/>
        </w:rPr>
        <w:t>ي</w:t>
      </w:r>
      <w:r w:rsidR="00AD6E36" w:rsidRPr="00282AC9">
        <w:rPr>
          <w:rFonts w:ascii="Sakkal Majalla" w:hAnsi="Sakkal Majalla" w:cs="AL-Mohanad" w:hint="cs"/>
          <w:sz w:val="27"/>
          <w:szCs w:val="27"/>
          <w:rtl/>
        </w:rPr>
        <w:t>حمل الناس عل</w:t>
      </w:r>
      <w:r w:rsidRPr="00282AC9">
        <w:rPr>
          <w:rFonts w:cs="AL-Mohanad" w:hint="cs"/>
          <w:sz w:val="27"/>
          <w:szCs w:val="27"/>
          <w:rtl/>
        </w:rPr>
        <w:t>ى</w:t>
      </w:r>
      <w:r w:rsidR="00AD6E36" w:rsidRPr="00282AC9">
        <w:rPr>
          <w:rFonts w:ascii="Sakkal Majalla" w:hAnsi="Sakkal Majalla" w:cs="AL-Mohanad" w:hint="cs"/>
          <w:sz w:val="27"/>
          <w:szCs w:val="27"/>
          <w:rtl/>
        </w:rPr>
        <w:t xml:space="preserve"> تلاوته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والعمل بأحكامه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w:t>
      </w:r>
      <w:r w:rsidR="00AD6E36" w:rsidRPr="00282AC9">
        <w:rPr>
          <w:rFonts w:cs="AL-Mohanad" w:hint="cs"/>
          <w:sz w:val="27"/>
          <w:szCs w:val="27"/>
          <w:rtl/>
        </w:rPr>
        <w:t>ي</w:t>
      </w:r>
      <w:r w:rsidR="00AD6E36" w:rsidRPr="00282AC9">
        <w:rPr>
          <w:rFonts w:ascii="Sakkal Majalla" w:hAnsi="Sakkal Majalla" w:cs="AL-Mohanad" w:hint="cs"/>
          <w:sz w:val="27"/>
          <w:szCs w:val="27"/>
          <w:rtl/>
        </w:rPr>
        <w:t>رفع الله هذا المصحف إلى السماء</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ثم</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عاد به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ولم </w:t>
      </w:r>
      <w:r w:rsidR="00AD6E36" w:rsidRPr="00282AC9">
        <w:rPr>
          <w:rFonts w:cs="AL-Mohanad" w:hint="cs"/>
          <w:sz w:val="27"/>
          <w:szCs w:val="27"/>
          <w:rtl/>
        </w:rPr>
        <w:t>ي</w:t>
      </w:r>
      <w:r w:rsidR="00AD6E36" w:rsidRPr="00282AC9">
        <w:rPr>
          <w:rFonts w:ascii="Sakkal Majalla" w:hAnsi="Sakkal Majalla" w:cs="AL-Mohanad" w:hint="cs"/>
          <w:sz w:val="27"/>
          <w:szCs w:val="27"/>
          <w:rtl/>
        </w:rPr>
        <w:t>ظهره لأحد</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حت</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ى توارثه أئم</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ة أهل الب</w:t>
      </w:r>
      <w:r w:rsidR="00AD6E36" w:rsidRPr="00282AC9">
        <w:rPr>
          <w:rFonts w:cs="AL-Mohanad" w:hint="cs"/>
          <w:sz w:val="27"/>
          <w:szCs w:val="27"/>
          <w:rtl/>
        </w:rPr>
        <w:t>ي</w:t>
      </w:r>
      <w:r w:rsidR="00AD6E36" w:rsidRPr="00282AC9">
        <w:rPr>
          <w:rFonts w:ascii="Sakkal Majalla" w:hAnsi="Sakkal Majalla" w:cs="AL-Mohanad" w:hint="cs"/>
          <w:sz w:val="27"/>
          <w:szCs w:val="27"/>
          <w:rtl/>
        </w:rPr>
        <w:t>ت واحداً تلو الآخر</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إلى أن وصل إلى الإمام الحج</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ة بن الحسن</w:t>
      </w:r>
      <w:r w:rsidR="001100B1" w:rsidRPr="00282AC9">
        <w:rPr>
          <w:rFonts w:ascii="Mosawi" w:hAnsi="Mosawi" w:cs="Mosawi" w:hint="cs"/>
          <w:sz w:val="22"/>
          <w:szCs w:val="22"/>
          <w:rtl/>
        </w:rPr>
        <w:t>#</w:t>
      </w:r>
      <w:r w:rsidR="00AD6E36" w:rsidRPr="00282AC9">
        <w:rPr>
          <w:rFonts w:ascii="Sakkal Majalla" w:hAnsi="Sakkal Majalla" w:cs="AL-Mohanad" w:hint="cs"/>
          <w:sz w:val="27"/>
          <w:szCs w:val="27"/>
          <w:rtl/>
        </w:rPr>
        <w:t xml:space="preserve">. </w:t>
      </w:r>
    </w:p>
    <w:p w:rsidR="00D21988"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وإنّما ذهبوا إلى ذلك</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لما فهموه من الأخبار والروا</w:t>
      </w:r>
      <w:r w:rsidRPr="00282AC9">
        <w:rPr>
          <w:rFonts w:cs="AL-Mohanad" w:hint="cs"/>
          <w:sz w:val="27"/>
          <w:szCs w:val="27"/>
          <w:rtl/>
        </w:rPr>
        <w:t>ي</w:t>
      </w:r>
      <w:r w:rsidRPr="00282AC9">
        <w:rPr>
          <w:rFonts w:ascii="Sakkal Majalla" w:hAnsi="Sakkal Majalla" w:cs="AL-Mohanad" w:hint="cs"/>
          <w:sz w:val="27"/>
          <w:szCs w:val="27"/>
          <w:rtl/>
        </w:rPr>
        <w:t>ات التي وصف</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ت</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هذا المصحف الشر</w:t>
      </w:r>
      <w:r w:rsidRPr="00282AC9">
        <w:rPr>
          <w:rFonts w:cs="AL-Mohanad" w:hint="cs"/>
          <w:sz w:val="27"/>
          <w:szCs w:val="27"/>
          <w:rtl/>
        </w:rPr>
        <w:t>ي</w:t>
      </w:r>
      <w:r w:rsidRPr="00282AC9">
        <w:rPr>
          <w:rFonts w:ascii="Sakkal Majalla" w:hAnsi="Sakkal Majalla" w:cs="AL-Mohanad" w:hint="cs"/>
          <w:sz w:val="27"/>
          <w:szCs w:val="27"/>
          <w:rtl/>
        </w:rPr>
        <w:t>ف بأنّه مكتوب</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ح</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ب ما أنزله الله</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أو كما أُنزل عل</w:t>
      </w:r>
      <w:r w:rsidR="00D21988" w:rsidRPr="00282AC9">
        <w:rPr>
          <w:rFonts w:cs="AL-Mohanad" w:hint="cs"/>
          <w:sz w:val="27"/>
          <w:szCs w:val="27"/>
          <w:rtl/>
        </w:rPr>
        <w:t>ى</w:t>
      </w:r>
      <w:r w:rsidRPr="00282AC9">
        <w:rPr>
          <w:rFonts w:ascii="Sakkal Majalla" w:hAnsi="Sakkal Majalla" w:cs="AL-Mohanad" w:hint="cs"/>
          <w:sz w:val="27"/>
          <w:szCs w:val="27"/>
          <w:rtl/>
        </w:rPr>
        <w:t xml:space="preserve"> النبي</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كروا</w:t>
      </w:r>
      <w:r w:rsidRPr="00282AC9">
        <w:rPr>
          <w:rFonts w:cs="AL-Mohanad" w:hint="cs"/>
          <w:sz w:val="27"/>
          <w:szCs w:val="27"/>
          <w:rtl/>
        </w:rPr>
        <w:t>ي</w:t>
      </w:r>
      <w:r w:rsidRPr="00282AC9">
        <w:rPr>
          <w:rFonts w:ascii="Sakkal Majalla" w:hAnsi="Sakkal Majalla" w:cs="AL-Mohanad" w:hint="cs"/>
          <w:sz w:val="27"/>
          <w:szCs w:val="27"/>
          <w:rtl/>
        </w:rPr>
        <w:t>ة ال</w:t>
      </w:r>
      <w:r w:rsidR="00D21988" w:rsidRPr="00282AC9">
        <w:rPr>
          <w:rFonts w:ascii="Sakkal Majalla" w:hAnsi="Sakkal Majalla" w:cs="AL-Mohanad" w:hint="cs"/>
          <w:sz w:val="27"/>
          <w:szCs w:val="27"/>
          <w:rtl/>
        </w:rPr>
        <w:t>إ</w:t>
      </w:r>
      <w:r w:rsidRPr="00282AC9">
        <w:rPr>
          <w:rFonts w:ascii="Sakkal Majalla" w:hAnsi="Sakkal Majalla" w:cs="AL-Mohanad" w:hint="cs"/>
          <w:sz w:val="27"/>
          <w:szCs w:val="27"/>
          <w:rtl/>
        </w:rPr>
        <w:t xml:space="preserve">مام </w:t>
      </w:r>
      <w:r w:rsidRPr="00282AC9">
        <w:rPr>
          <w:rFonts w:ascii="Sakkal Majalla" w:hAnsi="Sakkal Majalla" w:cs="AL-Mohanad" w:hint="cs"/>
          <w:sz w:val="27"/>
          <w:szCs w:val="27"/>
          <w:rtl/>
        </w:rPr>
        <w:lastRenderedPageBreak/>
        <w:t>الصادق</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قال:</w:t>
      </w:r>
      <w:r w:rsidRPr="00282AC9">
        <w:rPr>
          <w:rFonts w:ascii="Traditional Arabic" w:hAnsi="Traditional Arabic" w:cs="AL-Mohanad" w:hint="cs"/>
          <w:sz w:val="27"/>
          <w:szCs w:val="27"/>
          <w:rtl/>
        </w:rPr>
        <w:t xml:space="preserve"> </w:t>
      </w:r>
      <w:r w:rsidRPr="00282AC9">
        <w:rPr>
          <w:rFonts w:ascii="Sakkal Majalla" w:hAnsi="Sakkal Majalla" w:cs="AL-Mohanad"/>
          <w:sz w:val="27"/>
          <w:szCs w:val="27"/>
          <w:rtl/>
        </w:rPr>
        <w:t>أما و</w:t>
      </w:r>
      <w:r w:rsidR="00C06BE6" w:rsidRPr="00282AC9">
        <w:rPr>
          <w:rFonts w:ascii="Sakkal Majalla" w:hAnsi="Sakkal Majalla" w:cs="AL-Mohanad"/>
          <w:sz w:val="27"/>
          <w:szCs w:val="27"/>
          <w:rtl/>
        </w:rPr>
        <w:t>الل</w:t>
      </w:r>
      <w:r w:rsidRPr="00282AC9">
        <w:rPr>
          <w:rFonts w:ascii="Sakkal Majalla" w:hAnsi="Sakkal Majalla" w:cs="AL-Mohanad"/>
          <w:sz w:val="27"/>
          <w:szCs w:val="27"/>
          <w:rtl/>
        </w:rPr>
        <w:t>ه</w:t>
      </w:r>
      <w:r w:rsidR="00D2198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لو ق</w:t>
      </w:r>
      <w:r w:rsidR="00D21988" w:rsidRPr="00282AC9">
        <w:rPr>
          <w:rFonts w:ascii="Sakkal Majalla" w:hAnsi="Sakkal Majalla" w:cs="AL-Mohanad" w:hint="cs"/>
          <w:sz w:val="27"/>
          <w:szCs w:val="27"/>
          <w:rtl/>
        </w:rPr>
        <w:t>ُ</w:t>
      </w:r>
      <w:r w:rsidRPr="00282AC9">
        <w:rPr>
          <w:rFonts w:ascii="Sakkal Majalla" w:hAnsi="Sakkal Majalla" w:cs="AL-Mohanad"/>
          <w:sz w:val="27"/>
          <w:szCs w:val="27"/>
          <w:rtl/>
        </w:rPr>
        <w:t>رئ القرآن كما أُنزل لألفيتمونا فيه مسمَّين</w:t>
      </w:r>
      <w:r w:rsidR="00D21988" w:rsidRPr="00282AC9">
        <w:rPr>
          <w:rFonts w:ascii="Sakkal Majalla" w:hAnsi="Sakkal Majalla" w:cs="AL-Mohanad" w:hint="cs"/>
          <w:sz w:val="27"/>
          <w:szCs w:val="27"/>
          <w:rtl/>
        </w:rPr>
        <w:t>،</w:t>
      </w:r>
      <w:r w:rsidRPr="00282AC9">
        <w:rPr>
          <w:rFonts w:ascii="Sakkal Majalla" w:hAnsi="Sakkal Majalla" w:cs="AL-Mohanad"/>
          <w:sz w:val="27"/>
          <w:szCs w:val="27"/>
          <w:rtl/>
        </w:rPr>
        <w:t>‏ كما س</w:t>
      </w:r>
      <w:r w:rsidR="00D21988" w:rsidRPr="00282AC9">
        <w:rPr>
          <w:rFonts w:ascii="Sakkal Majalla" w:hAnsi="Sakkal Majalla" w:cs="AL-Mohanad" w:hint="cs"/>
          <w:sz w:val="27"/>
          <w:szCs w:val="27"/>
          <w:rtl/>
        </w:rPr>
        <w:t>ُ</w:t>
      </w:r>
      <w:r w:rsidRPr="00282AC9">
        <w:rPr>
          <w:rFonts w:ascii="Sakkal Majalla" w:hAnsi="Sakkal Majalla" w:cs="AL-Mohanad"/>
          <w:sz w:val="27"/>
          <w:szCs w:val="27"/>
          <w:rtl/>
        </w:rPr>
        <w:t>مّ</w:t>
      </w:r>
      <w:r w:rsidR="00D21988" w:rsidRPr="00282AC9">
        <w:rPr>
          <w:rFonts w:ascii="Sakkal Majalla" w:hAnsi="Sakkal Majalla" w:cs="AL-Mohanad" w:hint="cs"/>
          <w:sz w:val="27"/>
          <w:szCs w:val="27"/>
          <w:rtl/>
        </w:rPr>
        <w:t>ِ</w:t>
      </w:r>
      <w:r w:rsidRPr="00282AC9">
        <w:rPr>
          <w:rFonts w:ascii="Sakkal Majalla" w:hAnsi="Sakkal Majalla" w:cs="AL-Mohanad"/>
          <w:sz w:val="27"/>
          <w:szCs w:val="27"/>
          <w:rtl/>
        </w:rPr>
        <w:t>ي‏ م</w:t>
      </w:r>
      <w:r w:rsidR="00D21988" w:rsidRPr="00282AC9">
        <w:rPr>
          <w:rFonts w:ascii="Sakkal Majalla" w:hAnsi="Sakkal Majalla" w:cs="AL-Mohanad" w:hint="cs"/>
          <w:sz w:val="27"/>
          <w:szCs w:val="27"/>
          <w:rtl/>
        </w:rPr>
        <w:t>َ</w:t>
      </w:r>
      <w:r w:rsidRPr="00282AC9">
        <w:rPr>
          <w:rFonts w:ascii="Sakkal Majalla" w:hAnsi="Sakkal Majalla" w:cs="AL-Mohanad"/>
          <w:sz w:val="27"/>
          <w:szCs w:val="27"/>
          <w:rtl/>
        </w:rPr>
        <w:t>ن</w:t>
      </w:r>
      <w:r w:rsidR="00D2198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كان قبلنا</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91"/>
      </w:r>
      <w:r w:rsidRPr="00282AC9">
        <w:rPr>
          <w:rFonts w:ascii="Sakkal Majalla" w:hAnsi="Sakkal Majalla" w:cs="AL-Mohanad"/>
          <w:sz w:val="27"/>
          <w:szCs w:val="27"/>
          <w:vertAlign w:val="superscript"/>
          <w:rtl/>
        </w:rPr>
        <w:t>)</w:t>
      </w:r>
      <w:r w:rsidR="00D21988" w:rsidRPr="00282AC9">
        <w:rPr>
          <w:rFonts w:ascii="Sakkal Majalla" w:hAnsi="Sakkal Majalla" w:cs="AL-Mohanad" w:hint="cs"/>
          <w:sz w:val="27"/>
          <w:szCs w:val="27"/>
          <w:rtl/>
        </w:rPr>
        <w:t>.</w:t>
      </w:r>
    </w:p>
    <w:p w:rsidR="00BA0BE8"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إ</w:t>
      </w:r>
      <w:r w:rsidR="00EE6DBA" w:rsidRPr="00282AC9">
        <w:rPr>
          <w:rFonts w:ascii="Sakkal Majalla" w:hAnsi="Sakkal Majalla" w:cs="AL-Mohanad" w:hint="cs"/>
          <w:sz w:val="27"/>
          <w:szCs w:val="27"/>
          <w:rtl/>
        </w:rPr>
        <w:t>لاّ</w:t>
      </w:r>
      <w:r w:rsidRPr="00282AC9">
        <w:rPr>
          <w:rFonts w:ascii="Sakkal Majalla" w:hAnsi="Sakkal Majalla" w:cs="AL-Mohanad" w:hint="cs"/>
          <w:sz w:val="27"/>
          <w:szCs w:val="27"/>
          <w:rtl/>
        </w:rPr>
        <w:t xml:space="preserve"> أنّ هذا الفهم والتفس</w:t>
      </w:r>
      <w:r w:rsidRPr="00282AC9">
        <w:rPr>
          <w:rFonts w:cs="AL-Mohanad" w:hint="cs"/>
          <w:sz w:val="27"/>
          <w:szCs w:val="27"/>
          <w:rtl/>
        </w:rPr>
        <w:t>ي</w:t>
      </w:r>
      <w:r w:rsidRPr="00282AC9">
        <w:rPr>
          <w:rFonts w:ascii="Sakkal Majalla" w:hAnsi="Sakkal Majalla" w:cs="AL-Mohanad" w:hint="cs"/>
          <w:sz w:val="27"/>
          <w:szCs w:val="27"/>
          <w:rtl/>
        </w:rPr>
        <w:t>ر غ</w:t>
      </w:r>
      <w:r w:rsidRPr="00282AC9">
        <w:rPr>
          <w:rFonts w:cs="AL-Mohanad" w:hint="cs"/>
          <w:sz w:val="27"/>
          <w:szCs w:val="27"/>
          <w:rtl/>
        </w:rPr>
        <w:t>ي</w:t>
      </w:r>
      <w:r w:rsidRPr="00282AC9">
        <w:rPr>
          <w:rFonts w:ascii="Sakkal Majalla" w:hAnsi="Sakkal Majalla" w:cs="AL-Mohanad" w:hint="cs"/>
          <w:sz w:val="27"/>
          <w:szCs w:val="27"/>
          <w:rtl/>
        </w:rPr>
        <w:t>ر تام</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بل المراد أنّ ذكر أسماء الأئم</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ة لم </w:t>
      </w:r>
      <w:r w:rsidRPr="00282AC9">
        <w:rPr>
          <w:rFonts w:cs="AL-Mohanad" w:hint="cs"/>
          <w:sz w:val="27"/>
          <w:szCs w:val="27"/>
          <w:rtl/>
        </w:rPr>
        <w:t>ي</w:t>
      </w:r>
      <w:r w:rsidRPr="00282AC9">
        <w:rPr>
          <w:rFonts w:ascii="Sakkal Majalla" w:hAnsi="Sakkal Majalla" w:cs="AL-Mohanad" w:hint="cs"/>
          <w:sz w:val="27"/>
          <w:szCs w:val="27"/>
          <w:rtl/>
        </w:rPr>
        <w:t xml:space="preserve">كن في </w:t>
      </w:r>
      <w:r w:rsidR="00D21988" w:rsidRPr="00282AC9">
        <w:rPr>
          <w:rFonts w:ascii="Sakkal Majalla" w:hAnsi="Sakkal Majalla" w:cs="AL-Mohanad" w:hint="cs"/>
          <w:sz w:val="27"/>
          <w:szCs w:val="27"/>
          <w:rtl/>
        </w:rPr>
        <w:t>أ</w:t>
      </w:r>
      <w:r w:rsidRPr="00282AC9">
        <w:rPr>
          <w:rFonts w:ascii="Sakkal Majalla" w:hAnsi="Sakkal Majalla" w:cs="AL-Mohanad" w:hint="cs"/>
          <w:sz w:val="27"/>
          <w:szCs w:val="27"/>
          <w:rtl/>
        </w:rPr>
        <w:t>لفاظ الآ</w:t>
      </w:r>
      <w:r w:rsidRPr="00282AC9">
        <w:rPr>
          <w:rFonts w:cs="AL-Mohanad" w:hint="cs"/>
          <w:sz w:val="27"/>
          <w:szCs w:val="27"/>
          <w:rtl/>
        </w:rPr>
        <w:t>ي</w:t>
      </w:r>
      <w:r w:rsidRPr="00282AC9">
        <w:rPr>
          <w:rFonts w:ascii="Sakkal Majalla" w:hAnsi="Sakkal Majalla" w:cs="AL-Mohanad" w:hint="cs"/>
          <w:sz w:val="27"/>
          <w:szCs w:val="27"/>
          <w:rtl/>
        </w:rPr>
        <w:t>ات</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وإنّما هي مذكورة</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ما وراء السطور</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وفي باطن الآ</w:t>
      </w:r>
      <w:r w:rsidRPr="00282AC9">
        <w:rPr>
          <w:rFonts w:cs="AL-Mohanad" w:hint="cs"/>
          <w:sz w:val="27"/>
          <w:szCs w:val="27"/>
          <w:rtl/>
        </w:rPr>
        <w:t>ي</w:t>
      </w:r>
      <w:r w:rsidRPr="00282AC9">
        <w:rPr>
          <w:rFonts w:ascii="Sakkal Majalla" w:hAnsi="Sakkal Majalla" w:cs="AL-Mohanad" w:hint="cs"/>
          <w:sz w:val="27"/>
          <w:szCs w:val="27"/>
          <w:rtl/>
        </w:rPr>
        <w:t>ات</w:t>
      </w:r>
      <w:r w:rsidR="00D2198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وهذا ما أراده ال</w:t>
      </w:r>
      <w:r w:rsidR="00D21988" w:rsidRPr="00282AC9">
        <w:rPr>
          <w:rFonts w:ascii="Sakkal Majalla" w:hAnsi="Sakkal Majalla" w:cs="AL-Mohanad" w:hint="cs"/>
          <w:sz w:val="27"/>
          <w:szCs w:val="27"/>
          <w:rtl/>
        </w:rPr>
        <w:t>إ</w:t>
      </w:r>
      <w:r w:rsidRPr="00282AC9">
        <w:rPr>
          <w:rFonts w:ascii="Sakkal Majalla" w:hAnsi="Sakkal Majalla" w:cs="AL-Mohanad" w:hint="cs"/>
          <w:sz w:val="27"/>
          <w:szCs w:val="27"/>
          <w:rtl/>
        </w:rPr>
        <w:t>مام.</w:t>
      </w:r>
    </w:p>
    <w:p w:rsidR="00BA0BE8"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وقد ورد أنّ ثلث القرآن نزل ف</w:t>
      </w:r>
      <w:r w:rsidRPr="00282AC9">
        <w:rPr>
          <w:rFonts w:cs="AL-Mohanad" w:hint="cs"/>
          <w:sz w:val="27"/>
          <w:szCs w:val="27"/>
          <w:rtl/>
        </w:rPr>
        <w:t>ي</w:t>
      </w:r>
      <w:r w:rsidRPr="00282AC9">
        <w:rPr>
          <w:rFonts w:ascii="Sakkal Majalla" w:hAnsi="Sakkal Majalla" w:cs="AL-Mohanad" w:hint="cs"/>
          <w:sz w:val="27"/>
          <w:szCs w:val="27"/>
          <w:rtl/>
        </w:rPr>
        <w:t>هم</w:t>
      </w:r>
      <w:r w:rsidR="00BA0BE8" w:rsidRPr="00282AC9">
        <w:rPr>
          <w:rFonts w:ascii="Sakkal Majalla" w:hAnsi="Sakkal Majalla" w:cs="AL-Mohanad" w:hint="cs"/>
          <w:sz w:val="27"/>
          <w:szCs w:val="27"/>
          <w:rtl/>
        </w:rPr>
        <w:t>؛</w:t>
      </w:r>
      <w:r w:rsidRPr="00282AC9">
        <w:rPr>
          <w:rFonts w:ascii="Traditional Arabic" w:hAnsi="Traditional Arabic" w:cs="AL-Mohanad" w:hint="cs"/>
          <w:sz w:val="27"/>
          <w:szCs w:val="27"/>
          <w:rtl/>
        </w:rPr>
        <w:t xml:space="preserve"> </w:t>
      </w:r>
      <w:r w:rsidR="00BA0BE8" w:rsidRPr="00282AC9">
        <w:rPr>
          <w:rFonts w:ascii="Traditional Arabic" w:hAnsi="Traditional Arabic" w:cs="AL-Mohanad" w:hint="cs"/>
          <w:sz w:val="27"/>
          <w:szCs w:val="27"/>
          <w:rtl/>
        </w:rPr>
        <w:t xml:space="preserve">حيث </w:t>
      </w:r>
      <w:r w:rsidRPr="00282AC9">
        <w:rPr>
          <w:rFonts w:ascii="Traditional Arabic" w:hAnsi="Traditional Arabic" w:cs="AL-Mohanad" w:hint="cs"/>
          <w:sz w:val="27"/>
          <w:szCs w:val="27"/>
          <w:rtl/>
        </w:rPr>
        <w:t>ر</w:t>
      </w:r>
      <w:r w:rsidR="00BA0BE8" w:rsidRPr="00282AC9">
        <w:rPr>
          <w:rFonts w:ascii="Sakkal Majalla" w:hAnsi="Sakkal Majalla" w:cs="AL-Mohanad" w:hint="cs"/>
          <w:sz w:val="27"/>
          <w:szCs w:val="27"/>
          <w:rtl/>
        </w:rPr>
        <w:t>ُ</w:t>
      </w:r>
      <w:r w:rsidRPr="00282AC9">
        <w:rPr>
          <w:rFonts w:ascii="Sakkal Majalla" w:hAnsi="Sakkal Majalla" w:cs="AL-Mohanad"/>
          <w:sz w:val="27"/>
          <w:szCs w:val="27"/>
          <w:rtl/>
        </w:rPr>
        <w:t>و</w:t>
      </w:r>
      <w:r w:rsidRPr="00282AC9">
        <w:rPr>
          <w:rFonts w:ascii="Sakkal Majalla" w:hAnsi="Sakkal Majalla" w:cs="AL-Mohanad" w:hint="cs"/>
          <w:sz w:val="27"/>
          <w:szCs w:val="27"/>
          <w:rtl/>
        </w:rPr>
        <w:t xml:space="preserve">ي </w:t>
      </w:r>
      <w:r w:rsidRPr="00282AC9">
        <w:rPr>
          <w:rFonts w:ascii="Sakkal Majalla" w:hAnsi="Sakkal Majalla" w:cs="AL-Mohanad"/>
          <w:sz w:val="27"/>
          <w:szCs w:val="27"/>
          <w:rtl/>
        </w:rPr>
        <w:t xml:space="preserve">عن الأصبغ بن نباتة </w:t>
      </w:r>
      <w:r w:rsidR="00BA0BE8" w:rsidRPr="00282AC9">
        <w:rPr>
          <w:rFonts w:ascii="Sakkal Majalla" w:hAnsi="Sakkal Majalla" w:cs="AL-Mohanad" w:hint="cs"/>
          <w:sz w:val="27"/>
          <w:szCs w:val="27"/>
          <w:rtl/>
        </w:rPr>
        <w:t xml:space="preserve">أنه </w:t>
      </w:r>
      <w:r w:rsidRPr="00282AC9">
        <w:rPr>
          <w:rFonts w:ascii="Sakkal Majalla" w:hAnsi="Sakkal Majalla" w:cs="AL-Mohanad"/>
          <w:sz w:val="27"/>
          <w:szCs w:val="27"/>
          <w:rtl/>
        </w:rPr>
        <w:t>قال: سمعت</w:t>
      </w:r>
      <w:r w:rsidR="00BA0B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أمير المؤمنين</w:t>
      </w:r>
      <w:r w:rsidR="009A2A04" w:rsidRPr="00282AC9">
        <w:rPr>
          <w:rFonts w:ascii="Sakkal Majalla" w:hAnsi="Sakkal Majalla" w:cs="Mosawi"/>
          <w:sz w:val="22"/>
          <w:szCs w:val="22"/>
          <w:rtl/>
        </w:rPr>
        <w:t>×</w:t>
      </w:r>
      <w:r w:rsidRPr="00282AC9">
        <w:rPr>
          <w:rFonts w:ascii="Sakkal Majalla" w:hAnsi="Sakkal Majalla" w:cs="AL-Mohanad"/>
          <w:sz w:val="27"/>
          <w:szCs w:val="27"/>
          <w:rtl/>
        </w:rPr>
        <w:t xml:space="preserve"> يقول:</w:t>
      </w:r>
      <w:r w:rsidRPr="00282AC9">
        <w:rPr>
          <w:rFonts w:ascii="Sakkal Majalla" w:hAnsi="Sakkal Majalla" w:cs="AL-Mohanad" w:hint="cs"/>
          <w:sz w:val="27"/>
          <w:szCs w:val="27"/>
          <w:rtl/>
        </w:rPr>
        <w:t xml:space="preserve"> </w:t>
      </w:r>
      <w:r w:rsidRPr="00282AC9">
        <w:rPr>
          <w:rFonts w:ascii="Sakkal Majalla" w:hAnsi="Sakkal Majalla" w:cs="AL-Mohanad"/>
          <w:sz w:val="27"/>
          <w:szCs w:val="27"/>
          <w:rtl/>
        </w:rPr>
        <w:t>نزل القرآن أثلاثا</w:t>
      </w:r>
      <w:r w:rsidR="00BA0BE8" w:rsidRPr="00282AC9">
        <w:rPr>
          <w:rFonts w:ascii="Sakkal Majalla" w:hAnsi="Sakkal Majalla" w:cs="AL-Mohanad" w:hint="cs"/>
          <w:sz w:val="27"/>
          <w:szCs w:val="27"/>
          <w:rtl/>
        </w:rPr>
        <w:t xml:space="preserve">ً: </w:t>
      </w:r>
      <w:r w:rsidRPr="00282AC9">
        <w:rPr>
          <w:rFonts w:ascii="Sakkal Majalla" w:hAnsi="Sakkal Majalla" w:cs="AL-Mohanad"/>
          <w:sz w:val="27"/>
          <w:szCs w:val="27"/>
          <w:rtl/>
        </w:rPr>
        <w:t>ثلث</w:t>
      </w:r>
      <w:r w:rsidR="00BA0B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فينا وفي عدو</w:t>
      </w:r>
      <w:r w:rsidR="00BA0BE8" w:rsidRPr="00282AC9">
        <w:rPr>
          <w:rFonts w:ascii="Sakkal Majalla" w:hAnsi="Sakkal Majalla" w:cs="AL-Mohanad" w:hint="cs"/>
          <w:sz w:val="27"/>
          <w:szCs w:val="27"/>
          <w:rtl/>
        </w:rPr>
        <w:t>ّ</w:t>
      </w:r>
      <w:r w:rsidRPr="00282AC9">
        <w:rPr>
          <w:rFonts w:ascii="Sakkal Majalla" w:hAnsi="Sakkal Majalla" w:cs="AL-Mohanad"/>
          <w:sz w:val="27"/>
          <w:szCs w:val="27"/>
          <w:rtl/>
        </w:rPr>
        <w:t>نا، وثلث</w:t>
      </w:r>
      <w:r w:rsidR="00BA0B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سنن وأمثال، وثلث</w:t>
      </w:r>
      <w:r w:rsidR="00BA0BE8" w:rsidRPr="00282AC9">
        <w:rPr>
          <w:rFonts w:ascii="Sakkal Majalla" w:hAnsi="Sakkal Majalla" w:cs="AL-Mohanad" w:hint="cs"/>
          <w:sz w:val="27"/>
          <w:szCs w:val="27"/>
          <w:rtl/>
        </w:rPr>
        <w:t>ٌ</w:t>
      </w:r>
      <w:r w:rsidRPr="00282AC9">
        <w:rPr>
          <w:rFonts w:ascii="Sakkal Majalla" w:hAnsi="Sakkal Majalla" w:cs="AL-Mohanad"/>
          <w:sz w:val="27"/>
          <w:szCs w:val="27"/>
          <w:rtl/>
        </w:rPr>
        <w:t xml:space="preserve"> فرائض وأحكام</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92"/>
      </w:r>
      <w:r w:rsidRPr="00282AC9">
        <w:rPr>
          <w:rFonts w:ascii="Sakkal Majalla" w:hAnsi="Sakkal Majalla" w:cs="AL-Mohanad"/>
          <w:sz w:val="27"/>
          <w:szCs w:val="27"/>
          <w:vertAlign w:val="superscript"/>
          <w:rtl/>
        </w:rPr>
        <w:t>)</w:t>
      </w:r>
      <w:r w:rsidR="00BA0BE8"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فلا</w:t>
      </w:r>
      <w:r w:rsidR="00BA0BE8"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معن</w:t>
      </w:r>
      <w:r w:rsidR="00BA0BE8" w:rsidRPr="00282AC9">
        <w:rPr>
          <w:rFonts w:cs="AL-Mohanad" w:hint="cs"/>
          <w:sz w:val="27"/>
          <w:szCs w:val="27"/>
          <w:rtl/>
        </w:rPr>
        <w:t>ى</w:t>
      </w:r>
      <w:r w:rsidRPr="00282AC9">
        <w:rPr>
          <w:rFonts w:ascii="Sakkal Majalla" w:hAnsi="Sakkal Majalla" w:cs="AL-Mohanad" w:hint="cs"/>
          <w:sz w:val="27"/>
          <w:szCs w:val="27"/>
          <w:rtl/>
        </w:rPr>
        <w:t xml:space="preserve"> </w:t>
      </w:r>
      <w:r w:rsidR="00BA0BE8" w:rsidRPr="00282AC9">
        <w:rPr>
          <w:rFonts w:ascii="Sakkal Majalla" w:hAnsi="Sakkal Majalla" w:cs="AL-Mohanad" w:hint="cs"/>
          <w:sz w:val="27"/>
          <w:szCs w:val="27"/>
          <w:rtl/>
        </w:rPr>
        <w:t>ل</w:t>
      </w:r>
      <w:r w:rsidRPr="00282AC9">
        <w:rPr>
          <w:rFonts w:ascii="Sakkal Majalla" w:hAnsi="Sakkal Majalla" w:cs="AL-Mohanad" w:hint="cs"/>
          <w:sz w:val="27"/>
          <w:szCs w:val="27"/>
          <w:rtl/>
        </w:rPr>
        <w:t xml:space="preserve">أن </w:t>
      </w:r>
      <w:r w:rsidRPr="00282AC9">
        <w:rPr>
          <w:rFonts w:cs="AL-Mohanad" w:hint="cs"/>
          <w:sz w:val="27"/>
          <w:szCs w:val="27"/>
          <w:rtl/>
        </w:rPr>
        <w:t>ي</w:t>
      </w:r>
      <w:r w:rsidRPr="00282AC9">
        <w:rPr>
          <w:rFonts w:ascii="Sakkal Majalla" w:hAnsi="Sakkal Majalla" w:cs="AL-Mohanad" w:hint="cs"/>
          <w:sz w:val="27"/>
          <w:szCs w:val="27"/>
          <w:rtl/>
        </w:rPr>
        <w:t>كون هذا العدد الكب</w:t>
      </w:r>
      <w:r w:rsidRPr="00282AC9">
        <w:rPr>
          <w:rFonts w:cs="AL-Mohanad" w:hint="cs"/>
          <w:sz w:val="27"/>
          <w:szCs w:val="27"/>
          <w:rtl/>
        </w:rPr>
        <w:t>ي</w:t>
      </w:r>
      <w:r w:rsidRPr="00282AC9">
        <w:rPr>
          <w:rFonts w:ascii="Sakkal Majalla" w:hAnsi="Sakkal Majalla" w:cs="AL-Mohanad" w:hint="cs"/>
          <w:sz w:val="27"/>
          <w:szCs w:val="27"/>
          <w:rtl/>
        </w:rPr>
        <w:t>ر من الآ</w:t>
      </w:r>
      <w:r w:rsidRPr="00282AC9">
        <w:rPr>
          <w:rFonts w:cs="AL-Mohanad" w:hint="cs"/>
          <w:sz w:val="27"/>
          <w:szCs w:val="27"/>
          <w:rtl/>
        </w:rPr>
        <w:t>ي</w:t>
      </w:r>
      <w:r w:rsidRPr="00282AC9">
        <w:rPr>
          <w:rFonts w:ascii="Sakkal Majalla" w:hAnsi="Sakkal Majalla" w:cs="AL-Mohanad" w:hint="cs"/>
          <w:sz w:val="27"/>
          <w:szCs w:val="27"/>
          <w:rtl/>
        </w:rPr>
        <w:t>ات قد صر</w:t>
      </w:r>
      <w:r w:rsidR="00BA0BE8" w:rsidRPr="00282AC9">
        <w:rPr>
          <w:rFonts w:ascii="Sakkal Majalla" w:hAnsi="Sakkal Majalla" w:cs="AL-Mohanad" w:hint="cs"/>
          <w:sz w:val="27"/>
          <w:szCs w:val="27"/>
          <w:rtl/>
        </w:rPr>
        <w:t>ّ</w:t>
      </w:r>
      <w:r w:rsidRPr="00282AC9">
        <w:rPr>
          <w:rFonts w:ascii="Sakkal Majalla" w:hAnsi="Sakkal Majalla" w:cs="AL-Mohanad" w:hint="cs"/>
          <w:sz w:val="27"/>
          <w:szCs w:val="27"/>
          <w:rtl/>
        </w:rPr>
        <w:t>ح بأسماء الأئم</w:t>
      </w:r>
      <w:r w:rsidR="00BA0BE8" w:rsidRPr="00282AC9">
        <w:rPr>
          <w:rFonts w:ascii="Sakkal Majalla" w:hAnsi="Sakkal Majalla" w:cs="AL-Mohanad" w:hint="cs"/>
          <w:sz w:val="27"/>
          <w:szCs w:val="27"/>
          <w:rtl/>
        </w:rPr>
        <w:t>ّ</w:t>
      </w:r>
      <w:r w:rsidRPr="00282AC9">
        <w:rPr>
          <w:rFonts w:ascii="Sakkal Majalla" w:hAnsi="Sakkal Majalla" w:cs="AL-Mohanad" w:hint="cs"/>
          <w:sz w:val="27"/>
          <w:szCs w:val="27"/>
          <w:rtl/>
        </w:rPr>
        <w:t>ة</w:t>
      </w:r>
      <w:r w:rsidR="00876ECA" w:rsidRPr="00282AC9">
        <w:rPr>
          <w:rFonts w:cs="Mosawi" w:hint="cs"/>
          <w:sz w:val="22"/>
          <w:szCs w:val="22"/>
          <w:rtl/>
        </w:rPr>
        <w:t>^</w:t>
      </w:r>
      <w:r w:rsidR="00BA0BE8" w:rsidRPr="00282AC9">
        <w:rPr>
          <w:rFonts w:ascii="Sakkal Majalla" w:hAnsi="Sakkal Majalla" w:cs="AL-Mohanad" w:hint="cs"/>
          <w:sz w:val="27"/>
          <w:szCs w:val="27"/>
          <w:rtl/>
        </w:rPr>
        <w:t>!</w:t>
      </w:r>
    </w:p>
    <w:p w:rsidR="00BA0BE8"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وعل</w:t>
      </w:r>
      <w:r w:rsidRPr="00282AC9">
        <w:rPr>
          <w:rFonts w:cs="AL-Mohanad" w:hint="cs"/>
          <w:sz w:val="27"/>
          <w:szCs w:val="27"/>
          <w:rtl/>
        </w:rPr>
        <w:t>ي</w:t>
      </w:r>
      <w:r w:rsidRPr="00282AC9">
        <w:rPr>
          <w:rFonts w:ascii="Sakkal Majalla" w:hAnsi="Sakkal Majalla" w:cs="AL-Mohanad" w:hint="cs"/>
          <w:sz w:val="27"/>
          <w:szCs w:val="27"/>
          <w:rtl/>
        </w:rPr>
        <w:t>ه</w:t>
      </w:r>
      <w:r w:rsidR="00BA0BE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تب</w:t>
      </w:r>
      <w:r w:rsidRPr="00282AC9">
        <w:rPr>
          <w:rFonts w:cs="AL-Mohanad" w:hint="cs"/>
          <w:sz w:val="27"/>
          <w:szCs w:val="27"/>
          <w:rtl/>
        </w:rPr>
        <w:t>ي</w:t>
      </w:r>
      <w:r w:rsidRPr="00282AC9">
        <w:rPr>
          <w:rFonts w:ascii="Sakkal Majalla" w:hAnsi="Sakkal Majalla" w:cs="AL-Mohanad" w:hint="cs"/>
          <w:sz w:val="27"/>
          <w:szCs w:val="27"/>
          <w:rtl/>
        </w:rPr>
        <w:t>ن أنّ مقصود الإمام أنّه نزل في شأنهم ومقاماتهم</w:t>
      </w:r>
      <w:r w:rsidR="00BA0BE8"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لا في ذكر أسمائهم</w:t>
      </w:r>
      <w:r w:rsidR="00BA0BE8"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وهكذا في الحد</w:t>
      </w:r>
      <w:r w:rsidRPr="00282AC9">
        <w:rPr>
          <w:rFonts w:cs="AL-Mohanad" w:hint="cs"/>
          <w:sz w:val="27"/>
          <w:szCs w:val="27"/>
          <w:rtl/>
        </w:rPr>
        <w:t>ي</w:t>
      </w:r>
      <w:r w:rsidRPr="00282AC9">
        <w:rPr>
          <w:rFonts w:ascii="Sakkal Majalla" w:hAnsi="Sakkal Majalla" w:cs="AL-Mohanad" w:hint="cs"/>
          <w:sz w:val="27"/>
          <w:szCs w:val="27"/>
          <w:rtl/>
        </w:rPr>
        <w:t>ث المذكور</w:t>
      </w:r>
      <w:r w:rsidR="00BA0BE8"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آنفاً</w:t>
      </w:r>
      <w:r w:rsidR="00BA0BE8" w:rsidRPr="00282AC9">
        <w:rPr>
          <w:rFonts w:ascii="Sakkal Majalla" w:hAnsi="Sakkal Majalla" w:cs="AL-Mohanad" w:hint="cs"/>
          <w:sz w:val="27"/>
          <w:szCs w:val="27"/>
          <w:rtl/>
        </w:rPr>
        <w:t xml:space="preserve">: </w:t>
      </w:r>
      <w:r w:rsidRPr="00282AC9">
        <w:rPr>
          <w:rFonts w:cs="AL-Mohanad" w:hint="eastAsia"/>
          <w:rtl/>
        </w:rPr>
        <w:t>«</w:t>
      </w:r>
      <w:r w:rsidRPr="00282AC9">
        <w:rPr>
          <w:rFonts w:ascii="Sakkal Majalla" w:hAnsi="Sakkal Majalla" w:cs="AL-Mohanad" w:hint="cs"/>
          <w:sz w:val="27"/>
          <w:szCs w:val="27"/>
          <w:rtl/>
        </w:rPr>
        <w:t>لو قرئ القر</w:t>
      </w:r>
      <w:r w:rsidR="00BA0BE8" w:rsidRPr="00282AC9">
        <w:rPr>
          <w:rFonts w:ascii="Sakkal Majalla" w:hAnsi="Sakkal Majalla" w:cs="AL-Mohanad" w:hint="cs"/>
          <w:sz w:val="27"/>
          <w:szCs w:val="27"/>
          <w:rtl/>
        </w:rPr>
        <w:t>آ</w:t>
      </w:r>
      <w:r w:rsidRPr="00282AC9">
        <w:rPr>
          <w:rFonts w:ascii="Sakkal Majalla" w:hAnsi="Sakkal Majalla" w:cs="AL-Mohanad" w:hint="cs"/>
          <w:sz w:val="27"/>
          <w:szCs w:val="27"/>
          <w:rtl/>
        </w:rPr>
        <w:t>ن كما أُنزل</w:t>
      </w:r>
      <w:r w:rsidRPr="00282AC9">
        <w:rPr>
          <w:rFonts w:cs="AL-Mohanad" w:hint="eastAsia"/>
          <w:rtl/>
        </w:rPr>
        <w:t>»</w:t>
      </w:r>
      <w:r w:rsidR="000E00E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عني لو قر</w:t>
      </w:r>
      <w:r w:rsidR="00BA0BE8" w:rsidRPr="00282AC9">
        <w:rPr>
          <w:rFonts w:ascii="Sakkal Majalla" w:hAnsi="Sakkal Majalla" w:cs="AL-Mohanad" w:hint="cs"/>
          <w:sz w:val="27"/>
          <w:szCs w:val="27"/>
          <w:rtl/>
        </w:rPr>
        <w:t>ئ</w:t>
      </w:r>
      <w:r w:rsidRPr="00282AC9">
        <w:rPr>
          <w:rFonts w:ascii="Sakkal Majalla" w:hAnsi="Sakkal Majalla" w:cs="AL-Mohanad" w:hint="cs"/>
          <w:sz w:val="27"/>
          <w:szCs w:val="27"/>
          <w:rtl/>
        </w:rPr>
        <w:t xml:space="preserve"> بتفس</w:t>
      </w:r>
      <w:r w:rsidRPr="00282AC9">
        <w:rPr>
          <w:rFonts w:cs="AL-Mohanad" w:hint="cs"/>
          <w:sz w:val="27"/>
          <w:szCs w:val="27"/>
          <w:rtl/>
        </w:rPr>
        <w:t>ي</w:t>
      </w:r>
      <w:r w:rsidRPr="00282AC9">
        <w:rPr>
          <w:rFonts w:ascii="Sakkal Majalla" w:hAnsi="Sakkal Majalla" w:cs="AL-Mohanad" w:hint="cs"/>
          <w:sz w:val="27"/>
          <w:szCs w:val="27"/>
          <w:rtl/>
        </w:rPr>
        <w:t>ره وبما تحتو</w:t>
      </w:r>
      <w:r w:rsidRPr="00282AC9">
        <w:rPr>
          <w:rFonts w:cs="AL-Mohanad" w:hint="cs"/>
          <w:sz w:val="27"/>
          <w:szCs w:val="27"/>
          <w:rtl/>
        </w:rPr>
        <w:t>ي</w:t>
      </w:r>
      <w:r w:rsidRPr="00282AC9">
        <w:rPr>
          <w:rFonts w:ascii="Sakkal Majalla" w:hAnsi="Sakkal Majalla" w:cs="AL-Mohanad" w:hint="cs"/>
          <w:sz w:val="27"/>
          <w:szCs w:val="27"/>
          <w:rtl/>
        </w:rPr>
        <w:t>ه الآ</w:t>
      </w:r>
      <w:r w:rsidRPr="00282AC9">
        <w:rPr>
          <w:rFonts w:cs="AL-Mohanad" w:hint="cs"/>
          <w:sz w:val="27"/>
          <w:szCs w:val="27"/>
          <w:rtl/>
        </w:rPr>
        <w:t>ي</w:t>
      </w:r>
      <w:r w:rsidRPr="00282AC9">
        <w:rPr>
          <w:rFonts w:ascii="Sakkal Majalla" w:hAnsi="Sakkal Majalla" w:cs="AL-Mohanad" w:hint="cs"/>
          <w:sz w:val="27"/>
          <w:szCs w:val="27"/>
          <w:rtl/>
        </w:rPr>
        <w:t>ات من معن</w:t>
      </w:r>
      <w:r w:rsidR="000E00E7" w:rsidRPr="00282AC9">
        <w:rPr>
          <w:rFonts w:ascii="Sakkal Majalla" w:hAnsi="Sakkal Majalla" w:cs="AL-Mohanad" w:hint="cs"/>
          <w:sz w:val="27"/>
          <w:szCs w:val="27"/>
          <w:rtl/>
        </w:rPr>
        <w:t>ىً</w:t>
      </w:r>
      <w:r w:rsidRPr="00282AC9">
        <w:rPr>
          <w:rFonts w:ascii="Sakkal Majalla" w:hAnsi="Sakkal Majalla" w:cs="AL-Mohanad" w:hint="cs"/>
          <w:sz w:val="27"/>
          <w:szCs w:val="27"/>
          <w:rtl/>
        </w:rPr>
        <w:t xml:space="preserve"> في داخلها لوجدتمونا مذكور</w:t>
      </w:r>
      <w:r w:rsidRPr="00282AC9">
        <w:rPr>
          <w:rFonts w:cs="AL-Mohanad" w:hint="cs"/>
          <w:sz w:val="27"/>
          <w:szCs w:val="27"/>
          <w:rtl/>
        </w:rPr>
        <w:t>ي</w:t>
      </w:r>
      <w:r w:rsidRPr="00282AC9">
        <w:rPr>
          <w:rFonts w:ascii="Sakkal Majalla" w:hAnsi="Sakkal Majalla" w:cs="AL-Mohanad" w:hint="cs"/>
          <w:sz w:val="27"/>
          <w:szCs w:val="27"/>
          <w:rtl/>
        </w:rPr>
        <w:t>ن في القر</w:t>
      </w:r>
      <w:r w:rsidR="000E00E7"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000E00E7"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لأنّ ثلث القر</w:t>
      </w:r>
      <w:r w:rsidR="000E00E7" w:rsidRPr="00282AC9">
        <w:rPr>
          <w:rFonts w:ascii="Sakkal Majalla" w:hAnsi="Sakkal Majalla" w:cs="AL-Mohanad" w:hint="cs"/>
          <w:sz w:val="27"/>
          <w:szCs w:val="27"/>
          <w:rtl/>
        </w:rPr>
        <w:t>آ</w:t>
      </w:r>
      <w:r w:rsidRPr="00282AC9">
        <w:rPr>
          <w:rFonts w:ascii="Sakkal Majalla" w:hAnsi="Sakkal Majalla" w:cs="AL-Mohanad" w:hint="cs"/>
          <w:sz w:val="27"/>
          <w:szCs w:val="27"/>
          <w:rtl/>
        </w:rPr>
        <w:t>ن نزل ف</w:t>
      </w:r>
      <w:r w:rsidRPr="00282AC9">
        <w:rPr>
          <w:rFonts w:cs="AL-Mohanad" w:hint="cs"/>
          <w:sz w:val="27"/>
          <w:szCs w:val="27"/>
          <w:rtl/>
        </w:rPr>
        <w:t>ي</w:t>
      </w:r>
      <w:r w:rsidRPr="00282AC9">
        <w:rPr>
          <w:rFonts w:ascii="Sakkal Majalla" w:hAnsi="Sakkal Majalla" w:cs="AL-Mohanad" w:hint="cs"/>
          <w:sz w:val="27"/>
          <w:szCs w:val="27"/>
          <w:rtl/>
        </w:rPr>
        <w:t>نا.</w:t>
      </w:r>
    </w:p>
    <w:p w:rsidR="00AD6E36" w:rsidRPr="00282AC9" w:rsidRDefault="004E518E"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كانت </w:t>
      </w:r>
      <w:r w:rsidR="00AD6E36" w:rsidRPr="00282AC9">
        <w:rPr>
          <w:rFonts w:ascii="Sakkal Majalla" w:hAnsi="Sakkal Majalla" w:cs="AL-Mohanad" w:hint="cs"/>
          <w:sz w:val="27"/>
          <w:szCs w:val="27"/>
          <w:rtl/>
        </w:rPr>
        <w:t>هذه أهمّ الأدل</w:t>
      </w:r>
      <w:r w:rsidR="000E00E7"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ة التي استند إل</w:t>
      </w:r>
      <w:r w:rsidR="00AD6E36" w:rsidRPr="00282AC9">
        <w:rPr>
          <w:rFonts w:cs="AL-Mohanad" w:hint="cs"/>
          <w:sz w:val="27"/>
          <w:szCs w:val="27"/>
          <w:rtl/>
        </w:rPr>
        <w:t>ي</w:t>
      </w:r>
      <w:r w:rsidR="00AD6E36" w:rsidRPr="00282AC9">
        <w:rPr>
          <w:rFonts w:ascii="Sakkal Majalla" w:hAnsi="Sakkal Majalla" w:cs="AL-Mohanad" w:hint="cs"/>
          <w:sz w:val="27"/>
          <w:szCs w:val="27"/>
          <w:rtl/>
        </w:rPr>
        <w:t>ها العلا</w:t>
      </w:r>
      <w:r w:rsidR="000E00E7"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مة</w:t>
      </w:r>
      <w:r w:rsidR="000E00E7" w:rsidRPr="00282AC9">
        <w:rPr>
          <w:rFonts w:ascii="Sakkal Majalla" w:hAnsi="Sakkal Majalla" w:cs="AL-Mohanad" w:hint="cs"/>
          <w:sz w:val="27"/>
          <w:szCs w:val="27"/>
          <w:rtl/>
        </w:rPr>
        <w:t xml:space="preserve"> الطباطبائي</w:t>
      </w:r>
      <w:r w:rsidR="00AD6E36" w:rsidRPr="00282AC9">
        <w:rPr>
          <w:rFonts w:ascii="Sakkal Majalla" w:hAnsi="Sakkal Majalla" w:cs="AL-Mohanad" w:hint="cs"/>
          <w:sz w:val="27"/>
          <w:szCs w:val="27"/>
          <w:rtl/>
        </w:rPr>
        <w:t xml:space="preserve"> عل</w:t>
      </w:r>
      <w:r w:rsidR="00AD6E36" w:rsidRPr="00282AC9">
        <w:rPr>
          <w:rFonts w:cs="AL-Mohanad" w:hint="cs"/>
          <w:sz w:val="27"/>
          <w:szCs w:val="27"/>
          <w:rtl/>
        </w:rPr>
        <w:t>ى</w:t>
      </w:r>
      <w:r w:rsidR="00AD6E36" w:rsidRPr="00282AC9">
        <w:rPr>
          <w:rFonts w:ascii="Sakkal Majalla" w:hAnsi="Sakkal Majalla" w:cs="AL-Mohanad" w:hint="cs"/>
          <w:sz w:val="27"/>
          <w:szCs w:val="27"/>
          <w:rtl/>
        </w:rPr>
        <w:t xml:space="preserve"> عدم توق</w:t>
      </w:r>
      <w:r w:rsidR="00AD6E36" w:rsidRPr="00282AC9">
        <w:rPr>
          <w:rFonts w:cs="AL-Mohanad" w:hint="cs"/>
          <w:sz w:val="27"/>
          <w:szCs w:val="27"/>
          <w:rtl/>
        </w:rPr>
        <w:t>ي</w:t>
      </w:r>
      <w:r w:rsidR="00AD6E36" w:rsidRPr="00282AC9">
        <w:rPr>
          <w:rFonts w:ascii="Sakkal Majalla" w:hAnsi="Sakkal Majalla" w:cs="AL-Mohanad" w:hint="cs"/>
          <w:sz w:val="27"/>
          <w:szCs w:val="27"/>
          <w:rtl/>
        </w:rPr>
        <w:t>ف</w:t>
      </w:r>
      <w:r w:rsidR="00AD6E36" w:rsidRPr="00282AC9">
        <w:rPr>
          <w:rFonts w:cs="AL-Mohanad" w:hint="cs"/>
          <w:sz w:val="27"/>
          <w:szCs w:val="27"/>
          <w:rtl/>
        </w:rPr>
        <w:t>ي</w:t>
      </w:r>
      <w:r w:rsidR="00AD6E36" w:rsidRPr="00282AC9">
        <w:rPr>
          <w:rFonts w:ascii="Sakkal Majalla" w:hAnsi="Sakkal Majalla" w:cs="AL-Mohanad" w:hint="cs"/>
          <w:sz w:val="27"/>
          <w:szCs w:val="27"/>
          <w:rtl/>
        </w:rPr>
        <w:t>ة ترت</w:t>
      </w:r>
      <w:r w:rsidR="00AD6E36" w:rsidRPr="00282AC9">
        <w:rPr>
          <w:rFonts w:cs="AL-Mohanad" w:hint="cs"/>
          <w:sz w:val="27"/>
          <w:szCs w:val="27"/>
          <w:rtl/>
        </w:rPr>
        <w:t>ي</w:t>
      </w:r>
      <w:r w:rsidR="00AD6E36" w:rsidRPr="00282AC9">
        <w:rPr>
          <w:rFonts w:ascii="Sakkal Majalla" w:hAnsi="Sakkal Majalla" w:cs="AL-Mohanad" w:hint="cs"/>
          <w:sz w:val="27"/>
          <w:szCs w:val="27"/>
          <w:rtl/>
        </w:rPr>
        <w:t>ب الآ</w:t>
      </w:r>
      <w:r w:rsidR="00AD6E36" w:rsidRPr="00282AC9">
        <w:rPr>
          <w:rFonts w:cs="AL-Mohanad" w:hint="cs"/>
          <w:sz w:val="27"/>
          <w:szCs w:val="27"/>
          <w:rtl/>
        </w:rPr>
        <w:t>ي</w:t>
      </w:r>
      <w:r w:rsidR="00AD6E36" w:rsidRPr="00282AC9">
        <w:rPr>
          <w:rFonts w:ascii="Sakkal Majalla" w:hAnsi="Sakkal Majalla" w:cs="AL-Mohanad" w:hint="cs"/>
          <w:sz w:val="27"/>
          <w:szCs w:val="27"/>
          <w:rtl/>
        </w:rPr>
        <w:t>ات، وقد رأ</w:t>
      </w:r>
      <w:r w:rsidR="00AD6E36" w:rsidRPr="00282AC9">
        <w:rPr>
          <w:rFonts w:cs="AL-Mohanad" w:hint="cs"/>
          <w:sz w:val="27"/>
          <w:szCs w:val="27"/>
          <w:rtl/>
        </w:rPr>
        <w:t>ي</w:t>
      </w:r>
      <w:r w:rsidR="000E00E7"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ت</w:t>
      </w:r>
      <w:r w:rsidR="000E00E7"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أنّها غ</w:t>
      </w:r>
      <w:r w:rsidR="00AD6E36" w:rsidRPr="00282AC9">
        <w:rPr>
          <w:rFonts w:cs="AL-Mohanad" w:hint="cs"/>
          <w:sz w:val="27"/>
          <w:szCs w:val="27"/>
          <w:rtl/>
        </w:rPr>
        <w:t>ي</w:t>
      </w:r>
      <w:r w:rsidR="00AD6E36" w:rsidRPr="00282AC9">
        <w:rPr>
          <w:rFonts w:ascii="Sakkal Majalla" w:hAnsi="Sakkal Majalla" w:cs="AL-Mohanad" w:hint="cs"/>
          <w:sz w:val="27"/>
          <w:szCs w:val="27"/>
          <w:rtl/>
        </w:rPr>
        <w:t>ر صامدة</w:t>
      </w:r>
      <w:r w:rsidR="000E00E7"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أمام النقد.</w:t>
      </w:r>
    </w:p>
    <w:p w:rsidR="00EF541F" w:rsidRPr="00282AC9" w:rsidRDefault="00EF541F" w:rsidP="00EF541F">
      <w:pPr>
        <w:spacing w:line="410" w:lineRule="exact"/>
        <w:rPr>
          <w:sz w:val="27"/>
          <w:rtl/>
        </w:rPr>
      </w:pPr>
    </w:p>
    <w:p w:rsidR="00AD6E36" w:rsidRPr="00282AC9" w:rsidRDefault="00AD6E36" w:rsidP="006144E4">
      <w:pPr>
        <w:pStyle w:val="31"/>
        <w:rPr>
          <w:color w:val="auto"/>
          <w:rtl/>
        </w:rPr>
      </w:pPr>
      <w:r w:rsidRPr="00282AC9">
        <w:rPr>
          <w:rFonts w:hint="cs"/>
          <w:color w:val="auto"/>
          <w:rtl/>
        </w:rPr>
        <w:t xml:space="preserve">المحور الثاني: </w:t>
      </w:r>
      <w:r w:rsidR="004E518E" w:rsidRPr="00282AC9">
        <w:rPr>
          <w:rFonts w:hint="cs"/>
          <w:color w:val="auto"/>
          <w:rtl/>
        </w:rPr>
        <w:t>ال</w:t>
      </w:r>
      <w:r w:rsidRPr="00282AC9">
        <w:rPr>
          <w:rFonts w:hint="cs"/>
          <w:color w:val="auto"/>
          <w:rtl/>
        </w:rPr>
        <w:t xml:space="preserve">توقيفية </w:t>
      </w:r>
      <w:r w:rsidR="006144E4" w:rsidRPr="00282AC9">
        <w:rPr>
          <w:rFonts w:hint="cs"/>
          <w:color w:val="auto"/>
          <w:rtl/>
        </w:rPr>
        <w:t>بالدليل والبرهان</w:t>
      </w:r>
    </w:p>
    <w:p w:rsidR="00AD6E36" w:rsidRPr="00282AC9" w:rsidRDefault="00AD6E36" w:rsidP="00EF541F">
      <w:pPr>
        <w:pStyle w:val="afc"/>
        <w:spacing w:line="420" w:lineRule="exact"/>
        <w:rPr>
          <w:rFonts w:ascii="Sakkal Majalla" w:hAnsi="Sakkal Majalla" w:cs="AL-Mohanad"/>
          <w:sz w:val="27"/>
          <w:szCs w:val="27"/>
          <w:rtl/>
        </w:rPr>
      </w:pPr>
      <w:r w:rsidRPr="00282AC9">
        <w:rPr>
          <w:rFonts w:ascii="Sakkal Majalla" w:hAnsi="Sakkal Majalla" w:cs="AL-Mohanad" w:hint="cs"/>
          <w:sz w:val="27"/>
          <w:szCs w:val="27"/>
          <w:rtl/>
        </w:rPr>
        <w:t>استدلّ المشهور عل</w:t>
      </w:r>
      <w:r w:rsidR="000E00E7" w:rsidRPr="00282AC9">
        <w:rPr>
          <w:rFonts w:cs="AL-Mohanad" w:hint="cs"/>
          <w:sz w:val="27"/>
          <w:szCs w:val="27"/>
          <w:rtl/>
        </w:rPr>
        <w:t>ى</w:t>
      </w:r>
      <w:r w:rsidRPr="00282AC9">
        <w:rPr>
          <w:rFonts w:ascii="Sakkal Majalla" w:hAnsi="Sakkal Majalla" w:cs="AL-Mohanad" w:hint="cs"/>
          <w:sz w:val="27"/>
          <w:szCs w:val="27"/>
          <w:rtl/>
        </w:rPr>
        <w:t xml:space="preserve"> توق</w:t>
      </w:r>
      <w:r w:rsidRPr="00282AC9">
        <w:rPr>
          <w:rFonts w:cs="AL-Mohanad" w:hint="cs"/>
          <w:sz w:val="27"/>
          <w:szCs w:val="27"/>
          <w:rtl/>
        </w:rPr>
        <w:t>ي</w:t>
      </w:r>
      <w:r w:rsidRPr="00282AC9">
        <w:rPr>
          <w:rFonts w:ascii="Sakkal Majalla" w:hAnsi="Sakkal Majalla" w:cs="AL-Mohanad" w:hint="cs"/>
          <w:sz w:val="27"/>
          <w:szCs w:val="27"/>
          <w:rtl/>
        </w:rPr>
        <w:t>ف</w:t>
      </w:r>
      <w:r w:rsidRPr="00282AC9">
        <w:rPr>
          <w:rFonts w:cs="AL-Mohanad" w:hint="cs"/>
          <w:sz w:val="27"/>
          <w:szCs w:val="27"/>
          <w:rtl/>
        </w:rPr>
        <w:t>ي</w:t>
      </w:r>
      <w:r w:rsidRPr="00282AC9">
        <w:rPr>
          <w:rFonts w:ascii="Sakkal Majalla" w:hAnsi="Sakkal Majalla" w:cs="AL-Mohanad" w:hint="cs"/>
          <w:sz w:val="27"/>
          <w:szCs w:val="27"/>
          <w:rtl/>
        </w:rPr>
        <w:t>ة ترت</w:t>
      </w:r>
      <w:r w:rsidRPr="00282AC9">
        <w:rPr>
          <w:rFonts w:cs="AL-Mohanad" w:hint="cs"/>
          <w:sz w:val="27"/>
          <w:szCs w:val="27"/>
          <w:rtl/>
        </w:rPr>
        <w:t>ي</w:t>
      </w:r>
      <w:r w:rsidRPr="00282AC9">
        <w:rPr>
          <w:rFonts w:ascii="Sakkal Majalla" w:hAnsi="Sakkal Majalla" w:cs="AL-Mohanad" w:hint="cs"/>
          <w:sz w:val="27"/>
          <w:szCs w:val="27"/>
          <w:rtl/>
        </w:rPr>
        <w:t>ب الآ</w:t>
      </w:r>
      <w:r w:rsidRPr="00282AC9">
        <w:rPr>
          <w:rFonts w:cs="AL-Mohanad" w:hint="cs"/>
          <w:sz w:val="27"/>
          <w:szCs w:val="27"/>
          <w:rtl/>
        </w:rPr>
        <w:t>ي</w:t>
      </w:r>
      <w:r w:rsidRPr="00282AC9">
        <w:rPr>
          <w:rFonts w:ascii="Sakkal Majalla" w:hAnsi="Sakkal Majalla" w:cs="AL-Mohanad" w:hint="cs"/>
          <w:sz w:val="27"/>
          <w:szCs w:val="27"/>
          <w:rtl/>
        </w:rPr>
        <w:t>ات القرآن</w:t>
      </w:r>
      <w:r w:rsidRPr="00282AC9">
        <w:rPr>
          <w:rFonts w:cs="AL-Mohanad" w:hint="cs"/>
          <w:sz w:val="27"/>
          <w:szCs w:val="27"/>
          <w:rtl/>
        </w:rPr>
        <w:t>ي</w:t>
      </w:r>
      <w:r w:rsidRPr="00282AC9">
        <w:rPr>
          <w:rFonts w:ascii="Sakkal Majalla" w:hAnsi="Sakkal Majalla" w:cs="AL-Mohanad" w:hint="cs"/>
          <w:sz w:val="27"/>
          <w:szCs w:val="27"/>
          <w:rtl/>
        </w:rPr>
        <w:t>ة بعد</w:t>
      </w:r>
      <w:r w:rsidR="000E00E7" w:rsidRPr="00282AC9">
        <w:rPr>
          <w:rFonts w:ascii="Sakkal Majalla" w:hAnsi="Sakkal Majalla" w:cs="AL-Mohanad" w:hint="cs"/>
          <w:sz w:val="27"/>
          <w:szCs w:val="27"/>
          <w:rtl/>
        </w:rPr>
        <w:t>ّ</w:t>
      </w:r>
      <w:r w:rsidRPr="00282AC9">
        <w:rPr>
          <w:rFonts w:ascii="Sakkal Majalla" w:hAnsi="Sakkal Majalla" w:cs="AL-Mohanad" w:hint="cs"/>
          <w:sz w:val="27"/>
          <w:szCs w:val="27"/>
          <w:rtl/>
        </w:rPr>
        <w:t>ة أدلّة</w:t>
      </w:r>
      <w:r w:rsidR="000E00E7" w:rsidRPr="00282AC9">
        <w:rPr>
          <w:rFonts w:ascii="Sakkal Majalla" w:hAnsi="Sakkal Majalla" w:cs="AL-Mohanad" w:hint="cs"/>
          <w:sz w:val="27"/>
          <w:szCs w:val="27"/>
          <w:rtl/>
        </w:rPr>
        <w:t>ٍ</w:t>
      </w:r>
      <w:r w:rsidRPr="00282AC9">
        <w:rPr>
          <w:rFonts w:ascii="Sakkal Majalla" w:hAnsi="Sakkal Majalla" w:cs="AL-Mohanad" w:hint="cs"/>
          <w:sz w:val="27"/>
          <w:szCs w:val="27"/>
          <w:rtl/>
        </w:rPr>
        <w:t>، نش</w:t>
      </w:r>
      <w:r w:rsidRPr="00282AC9">
        <w:rPr>
          <w:rFonts w:cs="AL-Mohanad" w:hint="cs"/>
          <w:sz w:val="27"/>
          <w:szCs w:val="27"/>
          <w:rtl/>
        </w:rPr>
        <w:t>ي</w:t>
      </w:r>
      <w:r w:rsidRPr="00282AC9">
        <w:rPr>
          <w:rFonts w:ascii="Sakkal Majalla" w:hAnsi="Sakkal Majalla" w:cs="AL-Mohanad" w:hint="cs"/>
          <w:sz w:val="27"/>
          <w:szCs w:val="27"/>
          <w:rtl/>
        </w:rPr>
        <w:t>ر إلى بعضها:</w:t>
      </w:r>
    </w:p>
    <w:p w:rsidR="00EF541F" w:rsidRPr="00282AC9" w:rsidRDefault="00EF541F" w:rsidP="00EF541F">
      <w:pPr>
        <w:spacing w:line="420" w:lineRule="exact"/>
        <w:rPr>
          <w:sz w:val="27"/>
          <w:rtl/>
        </w:rPr>
      </w:pPr>
    </w:p>
    <w:p w:rsidR="00AD6E36" w:rsidRPr="00282AC9" w:rsidRDefault="00AD6E36" w:rsidP="006144E4">
      <w:pPr>
        <w:pStyle w:val="31"/>
        <w:rPr>
          <w:color w:val="auto"/>
          <w:rtl/>
        </w:rPr>
      </w:pPr>
      <w:r w:rsidRPr="00282AC9">
        <w:rPr>
          <w:rFonts w:hint="cs"/>
          <w:color w:val="auto"/>
          <w:rtl/>
        </w:rPr>
        <w:t>ال</w:t>
      </w:r>
      <w:r w:rsidR="000E00E7" w:rsidRPr="00282AC9">
        <w:rPr>
          <w:rFonts w:hint="cs"/>
          <w:color w:val="auto"/>
          <w:rtl/>
        </w:rPr>
        <w:t>أ</w:t>
      </w:r>
      <w:r w:rsidRPr="00282AC9">
        <w:rPr>
          <w:rFonts w:hint="cs"/>
          <w:color w:val="auto"/>
          <w:rtl/>
        </w:rPr>
        <w:t>و</w:t>
      </w:r>
      <w:r w:rsidR="000E00E7" w:rsidRPr="00282AC9">
        <w:rPr>
          <w:rFonts w:hint="cs"/>
          <w:color w:val="auto"/>
          <w:rtl/>
        </w:rPr>
        <w:t>ّ</w:t>
      </w:r>
      <w:r w:rsidRPr="00282AC9">
        <w:rPr>
          <w:rFonts w:hint="cs"/>
          <w:color w:val="auto"/>
          <w:rtl/>
        </w:rPr>
        <w:t>ل: تأكيد القرآن عل</w:t>
      </w:r>
      <w:r w:rsidR="000E00E7" w:rsidRPr="00282AC9">
        <w:rPr>
          <w:rFonts w:hint="cs"/>
          <w:color w:val="auto"/>
          <w:rtl/>
        </w:rPr>
        <w:t>ى</w:t>
      </w:r>
      <w:r w:rsidRPr="00282AC9">
        <w:rPr>
          <w:rFonts w:hint="cs"/>
          <w:color w:val="auto"/>
          <w:rtl/>
        </w:rPr>
        <w:t xml:space="preserve"> توقيفية ترتيب الآيات</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لقد صرّ</w:t>
      </w:r>
      <w:r w:rsidR="000E00E7" w:rsidRPr="00282AC9">
        <w:rPr>
          <w:rFonts w:ascii="Sakkal Majalla" w:hAnsi="Sakkal Majalla" w:cs="AL-Mohanad" w:hint="cs"/>
          <w:sz w:val="27"/>
          <w:szCs w:val="27"/>
          <w:rtl/>
        </w:rPr>
        <w:t>َ</w:t>
      </w:r>
      <w:r w:rsidRPr="00282AC9">
        <w:rPr>
          <w:rFonts w:ascii="Sakkal Majalla" w:hAnsi="Sakkal Majalla" w:cs="AL-Mohanad" w:hint="cs"/>
          <w:sz w:val="27"/>
          <w:szCs w:val="27"/>
          <w:rtl/>
        </w:rPr>
        <w:t>ح القرآن الكر</w:t>
      </w:r>
      <w:r w:rsidRPr="00282AC9">
        <w:rPr>
          <w:rFonts w:cs="AL-Mohanad" w:hint="cs"/>
          <w:sz w:val="27"/>
          <w:szCs w:val="27"/>
          <w:rtl/>
        </w:rPr>
        <w:t>ي</w:t>
      </w:r>
      <w:r w:rsidRPr="00282AC9">
        <w:rPr>
          <w:rFonts w:ascii="Sakkal Majalla" w:hAnsi="Sakkal Majalla" w:cs="AL-Mohanad" w:hint="cs"/>
          <w:sz w:val="27"/>
          <w:szCs w:val="27"/>
          <w:rtl/>
        </w:rPr>
        <w:t>م في عشرات الآ</w:t>
      </w:r>
      <w:r w:rsidRPr="00282AC9">
        <w:rPr>
          <w:rFonts w:cs="AL-Mohanad" w:hint="cs"/>
          <w:sz w:val="27"/>
          <w:szCs w:val="27"/>
          <w:rtl/>
        </w:rPr>
        <w:t>ي</w:t>
      </w:r>
      <w:r w:rsidRPr="00282AC9">
        <w:rPr>
          <w:rFonts w:ascii="Sakkal Majalla" w:hAnsi="Sakkal Majalla" w:cs="AL-Mohanad" w:hint="cs"/>
          <w:sz w:val="27"/>
          <w:szCs w:val="27"/>
          <w:rtl/>
        </w:rPr>
        <w:t>ات أنّ جم</w:t>
      </w:r>
      <w:r w:rsidRPr="00282AC9">
        <w:rPr>
          <w:rFonts w:cs="AL-Mohanad" w:hint="cs"/>
          <w:sz w:val="27"/>
          <w:szCs w:val="27"/>
          <w:rtl/>
        </w:rPr>
        <w:t>ي</w:t>
      </w:r>
      <w:r w:rsidRPr="00282AC9">
        <w:rPr>
          <w:rFonts w:ascii="Sakkal Majalla" w:hAnsi="Sakkal Majalla" w:cs="AL-Mohanad" w:hint="cs"/>
          <w:sz w:val="27"/>
          <w:szCs w:val="27"/>
          <w:rtl/>
        </w:rPr>
        <w:t>ع كلماته وآ</w:t>
      </w:r>
      <w:r w:rsidRPr="00282AC9">
        <w:rPr>
          <w:rFonts w:cs="AL-Mohanad" w:hint="cs"/>
          <w:sz w:val="27"/>
          <w:szCs w:val="27"/>
          <w:rtl/>
        </w:rPr>
        <w:t>ي</w:t>
      </w:r>
      <w:r w:rsidRPr="00282AC9">
        <w:rPr>
          <w:rFonts w:ascii="Sakkal Majalla" w:hAnsi="Sakkal Majalla" w:cs="AL-Mohanad" w:hint="cs"/>
          <w:sz w:val="27"/>
          <w:szCs w:val="27"/>
          <w:rtl/>
        </w:rPr>
        <w:t>اته</w:t>
      </w:r>
      <w:r w:rsidR="00881761"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مع ما تحتوي من نظم</w:t>
      </w:r>
      <w:r w:rsidR="00881761"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وترت</w:t>
      </w:r>
      <w:r w:rsidRPr="00282AC9">
        <w:rPr>
          <w:rFonts w:cs="AL-Mohanad" w:hint="cs"/>
          <w:sz w:val="27"/>
          <w:szCs w:val="27"/>
          <w:rtl/>
        </w:rPr>
        <w:t>ي</w:t>
      </w:r>
      <w:r w:rsidRPr="00282AC9">
        <w:rPr>
          <w:rFonts w:ascii="Sakkal Majalla" w:hAnsi="Sakkal Majalla" w:cs="AL-Mohanad" w:hint="cs"/>
          <w:sz w:val="27"/>
          <w:szCs w:val="27"/>
          <w:rtl/>
        </w:rPr>
        <w:t>ب ف</w:t>
      </w:r>
      <w:r w:rsidRPr="00282AC9">
        <w:rPr>
          <w:rFonts w:cs="AL-Mohanad" w:hint="cs"/>
          <w:sz w:val="27"/>
          <w:szCs w:val="27"/>
          <w:rtl/>
        </w:rPr>
        <w:t>ي</w:t>
      </w:r>
      <w:r w:rsidRPr="00282AC9">
        <w:rPr>
          <w:rFonts w:ascii="Sakkal Majalla" w:hAnsi="Sakkal Majalla" w:cs="AL-Mohanad" w:hint="cs"/>
          <w:sz w:val="27"/>
          <w:szCs w:val="27"/>
          <w:rtl/>
        </w:rPr>
        <w:t>ما ب</w:t>
      </w:r>
      <w:r w:rsidRPr="00282AC9">
        <w:rPr>
          <w:rFonts w:cs="AL-Mohanad" w:hint="cs"/>
          <w:sz w:val="27"/>
          <w:szCs w:val="27"/>
          <w:rtl/>
        </w:rPr>
        <w:t>ي</w:t>
      </w:r>
      <w:r w:rsidRPr="00282AC9">
        <w:rPr>
          <w:rFonts w:ascii="Sakkal Majalla" w:hAnsi="Sakkal Majalla" w:cs="AL-Mohanad" w:hint="cs"/>
          <w:sz w:val="27"/>
          <w:szCs w:val="27"/>
          <w:rtl/>
        </w:rPr>
        <w:t>نها</w:t>
      </w:r>
      <w:r w:rsidR="00881761"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هي من الله سبحانه</w:t>
      </w:r>
      <w:r w:rsidR="00881761"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ومن تلك الآ</w:t>
      </w:r>
      <w:r w:rsidRPr="00282AC9">
        <w:rPr>
          <w:rFonts w:cs="AL-Mohanad" w:hint="cs"/>
          <w:sz w:val="27"/>
          <w:szCs w:val="27"/>
          <w:rtl/>
        </w:rPr>
        <w:t>ي</w:t>
      </w:r>
      <w:r w:rsidRPr="00282AC9">
        <w:rPr>
          <w:rFonts w:ascii="Sakkal Majalla" w:hAnsi="Sakkal Majalla" w:cs="AL-Mohanad" w:hint="cs"/>
          <w:sz w:val="27"/>
          <w:szCs w:val="27"/>
          <w:rtl/>
        </w:rPr>
        <w:t>ات</w:t>
      </w:r>
      <w:r w:rsidR="00881761"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قوله تعال</w:t>
      </w:r>
      <w:r w:rsidR="00881761" w:rsidRPr="00282AC9">
        <w:rPr>
          <w:rFonts w:cs="AL-Mohanad" w:hint="cs"/>
          <w:sz w:val="27"/>
          <w:szCs w:val="27"/>
          <w:rtl/>
        </w:rPr>
        <w:t>ى</w:t>
      </w:r>
      <w:r w:rsidRPr="00282AC9">
        <w:rPr>
          <w:rFonts w:ascii="Sakkal Majalla" w:hAnsi="Sakkal Majalla" w:cs="AL-Mohanad" w:hint="cs"/>
          <w:sz w:val="27"/>
          <w:szCs w:val="27"/>
          <w:rtl/>
        </w:rPr>
        <w:t xml:space="preserve">: </w:t>
      </w:r>
      <w:r w:rsidRPr="00282AC9">
        <w:rPr>
          <w:rFonts w:ascii="Mosawi" w:hAnsi="Mosawi" w:cs="Mosawi"/>
          <w:rtl/>
        </w:rPr>
        <w:t>﴿</w:t>
      </w:r>
      <w:r w:rsidRPr="00282AC9">
        <w:rPr>
          <w:rFonts w:ascii="Sakkal Majalla" w:hAnsi="Sakkal Majalla" w:cs="AL-Mohanad"/>
          <w:b/>
          <w:bCs/>
          <w:sz w:val="27"/>
          <w:szCs w:val="27"/>
          <w:rtl/>
        </w:rPr>
        <w:t>قَدْ ج</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 xml:space="preserve">اءَكُمْ‏ مِنَ‏ </w:t>
      </w:r>
      <w:r w:rsidR="00C06BE6" w:rsidRPr="00282AC9">
        <w:rPr>
          <w:rFonts w:ascii="Sakkal Majalla" w:hAnsi="Sakkal Majalla" w:cs="AL-Mohanad"/>
          <w:b/>
          <w:bCs/>
          <w:sz w:val="27"/>
          <w:szCs w:val="27"/>
          <w:rtl/>
        </w:rPr>
        <w:t>الل</w:t>
      </w:r>
      <w:r w:rsidRPr="00282AC9">
        <w:rPr>
          <w:rFonts w:ascii="Sakkal Majalla" w:hAnsi="Sakkal Majalla" w:cs="AL-Mohanad"/>
          <w:b/>
          <w:bCs/>
          <w:sz w:val="27"/>
          <w:szCs w:val="27"/>
          <w:rtl/>
        </w:rPr>
        <w:t>هِ‏ نُورٌ و</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كِت</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ابٌ مُب</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ينٌ</w:t>
      </w:r>
      <w:r w:rsidRPr="00282AC9">
        <w:rPr>
          <w:rFonts w:ascii="Mosawi" w:hAnsi="Mosawi" w:cs="Mosawi"/>
          <w:rtl/>
        </w:rPr>
        <w:t>﴾</w:t>
      </w:r>
      <w:r w:rsidRPr="00282AC9">
        <w:rPr>
          <w:rFonts w:ascii="Sakkal Majalla" w:eastAsiaTheme="minorHAnsi" w:hAnsi="Sakkal Majalla" w:cs="AL-Mohanad" w:hint="cs"/>
          <w:sz w:val="27"/>
          <w:szCs w:val="27"/>
          <w:rtl/>
        </w:rPr>
        <w:t xml:space="preserve"> (المائدة: 15)</w:t>
      </w:r>
      <w:r w:rsidR="00881761"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وق</w:t>
      </w:r>
      <w:r w:rsidR="00881761" w:rsidRPr="00282AC9">
        <w:rPr>
          <w:rFonts w:ascii="Sakkal Majalla" w:hAnsi="Sakkal Majalla" w:cs="AL-Mohanad" w:hint="cs"/>
          <w:sz w:val="27"/>
          <w:szCs w:val="27"/>
          <w:rtl/>
        </w:rPr>
        <w:t>وله</w:t>
      </w:r>
      <w:r w:rsidRPr="00282AC9">
        <w:rPr>
          <w:rFonts w:ascii="Sakkal Majalla" w:hAnsi="Sakkal Majalla" w:cs="AL-Mohanad" w:hint="cs"/>
          <w:sz w:val="27"/>
          <w:szCs w:val="27"/>
          <w:rtl/>
        </w:rPr>
        <w:t xml:space="preserve"> تعالى</w:t>
      </w:r>
      <w:r w:rsidR="00881761"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ascii="Mosawi" w:hAnsi="Mosawi" w:cs="Mosawi"/>
          <w:rtl/>
        </w:rPr>
        <w:t>﴿</w:t>
      </w:r>
      <w:r w:rsidRPr="00282AC9">
        <w:rPr>
          <w:rFonts w:ascii="Sakkal Majalla" w:hAnsi="Sakkal Majalla" w:cs="AL-Mohanad"/>
          <w:b/>
          <w:bCs/>
          <w:sz w:val="27"/>
          <w:szCs w:val="27"/>
          <w:rtl/>
        </w:rPr>
        <w:t>إِنَّا نَحْنُ‏ نَزَّلْن</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ا عَلَيْكَ‏ الْقُرْآنَ تَنْز</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يلاً</w:t>
      </w:r>
      <w:r w:rsidRPr="00282AC9">
        <w:rPr>
          <w:rFonts w:ascii="Mosawi" w:hAnsi="Mosawi" w:cs="Mosawi"/>
          <w:rtl/>
        </w:rPr>
        <w:t>﴾</w:t>
      </w:r>
      <w:r w:rsidRPr="00282AC9">
        <w:rPr>
          <w:rFonts w:ascii="Sakkal Majalla" w:eastAsiaTheme="minorHAnsi" w:hAnsi="Sakkal Majalla" w:cs="AL-Mohanad" w:hint="cs"/>
          <w:sz w:val="27"/>
          <w:szCs w:val="27"/>
          <w:rtl/>
        </w:rPr>
        <w:t xml:space="preserve"> (الإنسان: 23)</w:t>
      </w:r>
      <w:r w:rsidR="00881761" w:rsidRPr="00282AC9">
        <w:rPr>
          <w:rFonts w:ascii="Sakkal Majalla" w:eastAsiaTheme="minorHAnsi" w:hAnsi="Sakkal Majalla" w:cs="AL-Mohanad" w:hint="cs"/>
          <w:sz w:val="27"/>
          <w:szCs w:val="27"/>
          <w:rtl/>
        </w:rPr>
        <w:t>؛</w:t>
      </w:r>
      <w:r w:rsidRPr="00282AC9">
        <w:rPr>
          <w:rFonts w:ascii="Sakkal Majalla" w:hAnsi="Sakkal Majalla" w:cs="AL-Mohanad" w:hint="cs"/>
          <w:sz w:val="27"/>
          <w:szCs w:val="27"/>
          <w:rtl/>
        </w:rPr>
        <w:t xml:space="preserve"> وق</w:t>
      </w:r>
      <w:r w:rsidR="00881761" w:rsidRPr="00282AC9">
        <w:rPr>
          <w:rFonts w:ascii="Sakkal Majalla" w:hAnsi="Sakkal Majalla" w:cs="AL-Mohanad" w:hint="cs"/>
          <w:sz w:val="27"/>
          <w:szCs w:val="27"/>
          <w:rtl/>
        </w:rPr>
        <w:t>وله</w:t>
      </w:r>
      <w:r w:rsidRPr="00282AC9">
        <w:rPr>
          <w:rFonts w:ascii="Sakkal Majalla" w:hAnsi="Sakkal Majalla" w:cs="AL-Mohanad" w:hint="cs"/>
          <w:sz w:val="27"/>
          <w:szCs w:val="27"/>
          <w:rtl/>
        </w:rPr>
        <w:t xml:space="preserve"> تعالى</w:t>
      </w:r>
      <w:r w:rsidR="00881761"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ascii="Mosawi" w:hAnsi="Mosawi" w:cs="Mosawi"/>
          <w:rtl/>
        </w:rPr>
        <w:t>﴿</w:t>
      </w:r>
      <w:r w:rsidRPr="00282AC9">
        <w:rPr>
          <w:rFonts w:ascii="Sakkal Majalla" w:hAnsi="Sakkal Majalla" w:cs="AL-Mohanad"/>
          <w:b/>
          <w:bCs/>
          <w:sz w:val="27"/>
          <w:szCs w:val="27"/>
          <w:rtl/>
        </w:rPr>
        <w:t>وَإِنَّكَ‏ لَتُلَقَّى‏ الْقُرْآنَ مِنْ لَدُنْ حَك</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يمٍ</w:t>
      </w:r>
      <w:r w:rsidRPr="00282AC9">
        <w:rPr>
          <w:rFonts w:ascii="Sakkal Majalla" w:hAnsi="Sakkal Majalla" w:cs="AL-Mohanad" w:hint="cs"/>
          <w:b/>
          <w:bCs/>
          <w:sz w:val="27"/>
          <w:szCs w:val="27"/>
          <w:rtl/>
        </w:rPr>
        <w:t xml:space="preserve"> </w:t>
      </w:r>
      <w:r w:rsidRPr="00282AC9">
        <w:rPr>
          <w:rFonts w:ascii="Sakkal Majalla" w:hAnsi="Sakkal Majalla" w:cs="AL-Mohanad"/>
          <w:b/>
          <w:bCs/>
          <w:sz w:val="27"/>
          <w:szCs w:val="27"/>
          <w:rtl/>
        </w:rPr>
        <w:t>عَل</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يمٍ</w:t>
      </w:r>
      <w:r w:rsidRPr="00282AC9">
        <w:rPr>
          <w:rFonts w:ascii="Mosawi" w:hAnsi="Mosawi" w:cs="Mosawi"/>
          <w:rtl/>
        </w:rPr>
        <w:t>﴾</w:t>
      </w:r>
      <w:r w:rsidRPr="00282AC9">
        <w:rPr>
          <w:rFonts w:ascii="Sakkal Majalla" w:eastAsiaTheme="minorHAnsi" w:hAnsi="Sakkal Majalla" w:cs="AL-Mohanad" w:hint="cs"/>
          <w:sz w:val="27"/>
          <w:szCs w:val="27"/>
          <w:rtl/>
        </w:rPr>
        <w:t xml:space="preserve"> (النمل: 6)</w:t>
      </w:r>
      <w:r w:rsidR="00881761"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وق</w:t>
      </w:r>
      <w:r w:rsidR="00881761" w:rsidRPr="00282AC9">
        <w:rPr>
          <w:rFonts w:ascii="Sakkal Majalla" w:hAnsi="Sakkal Majalla" w:cs="AL-Mohanad" w:hint="cs"/>
          <w:sz w:val="27"/>
          <w:szCs w:val="27"/>
          <w:rtl/>
        </w:rPr>
        <w:t>وله</w:t>
      </w:r>
      <w:r w:rsidRPr="00282AC9">
        <w:rPr>
          <w:rFonts w:ascii="Sakkal Majalla" w:hAnsi="Sakkal Majalla" w:cs="AL-Mohanad" w:hint="cs"/>
          <w:sz w:val="27"/>
          <w:szCs w:val="27"/>
          <w:rtl/>
        </w:rPr>
        <w:t xml:space="preserve"> تعالى</w:t>
      </w:r>
      <w:r w:rsidR="00881761"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ascii="Mosawi" w:hAnsi="Mosawi" w:cs="Mosawi"/>
          <w:rtl/>
        </w:rPr>
        <w:t>﴿</w:t>
      </w:r>
      <w:r w:rsidRPr="00282AC9">
        <w:rPr>
          <w:rFonts w:ascii="Sakkal Majalla" w:hAnsi="Sakkal Majalla" w:cs="AL-Mohanad"/>
          <w:b/>
          <w:bCs/>
          <w:sz w:val="27"/>
          <w:szCs w:val="27"/>
          <w:rtl/>
        </w:rPr>
        <w:t>وَنَزَّلْن</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ا عَلَيْكَ‏ الْكِت</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ابَ‏ تِبْي</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اناً لِكُلِّ شَيْ‏ءٍ و</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 xml:space="preserve">هُدىً </w:t>
      </w:r>
      <w:r w:rsidRPr="00282AC9">
        <w:rPr>
          <w:rFonts w:ascii="Sakkal Majalla" w:hAnsi="Sakkal Majalla" w:cs="AL-Mohanad"/>
          <w:b/>
          <w:bCs/>
          <w:sz w:val="27"/>
          <w:szCs w:val="27"/>
          <w:rtl/>
        </w:rPr>
        <w:lastRenderedPageBreak/>
        <w:t>و</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رَحْمَةً و</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بُشْر</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ى‏ لِلْمُسْلِم</w:t>
      </w:r>
      <w:r w:rsidR="00881761" w:rsidRPr="00282AC9">
        <w:rPr>
          <w:rFonts w:ascii="Sakkal Majalla" w:hAnsi="Sakkal Majalla" w:cs="AL-Mohanad" w:hint="cs"/>
          <w:b/>
          <w:bCs/>
          <w:sz w:val="27"/>
          <w:szCs w:val="27"/>
          <w:rtl/>
        </w:rPr>
        <w:t>ِ</w:t>
      </w:r>
      <w:r w:rsidRPr="00282AC9">
        <w:rPr>
          <w:rFonts w:ascii="Sakkal Majalla" w:hAnsi="Sakkal Majalla" w:cs="AL-Mohanad"/>
          <w:b/>
          <w:bCs/>
          <w:sz w:val="27"/>
          <w:szCs w:val="27"/>
          <w:rtl/>
        </w:rPr>
        <w:t>ينَ</w:t>
      </w:r>
      <w:r w:rsidRPr="00282AC9">
        <w:rPr>
          <w:rFonts w:ascii="Mosawi" w:hAnsi="Mosawi" w:cs="Mosawi"/>
          <w:rtl/>
        </w:rPr>
        <w:t>﴾</w:t>
      </w:r>
      <w:r w:rsidRPr="00282AC9">
        <w:rPr>
          <w:rFonts w:ascii="Sakkal Majalla" w:eastAsiaTheme="minorHAnsi" w:hAnsi="Sakkal Majalla" w:cs="AL-Mohanad" w:hint="cs"/>
          <w:sz w:val="27"/>
          <w:szCs w:val="27"/>
          <w:rtl/>
        </w:rPr>
        <w:t xml:space="preserve"> (النحل: 89).</w:t>
      </w:r>
      <w:r w:rsidRPr="00282AC9">
        <w:rPr>
          <w:rFonts w:ascii="Sakkal Majalla" w:hAnsi="Sakkal Majalla" w:cs="AL-Mohanad"/>
          <w:sz w:val="27"/>
          <w:szCs w:val="27"/>
          <w:rtl/>
        </w:rPr>
        <w:t xml:space="preserve"> </w:t>
      </w:r>
    </w:p>
    <w:p w:rsidR="00AD6E36" w:rsidRPr="00282AC9" w:rsidRDefault="00881761" w:rsidP="001D1A88">
      <w:pPr>
        <w:pStyle w:val="afc"/>
        <w:rPr>
          <w:rFonts w:ascii="Sakkal Majalla" w:hAnsi="Sakkal Majalla" w:cs="AL-Mohanad"/>
          <w:sz w:val="27"/>
          <w:szCs w:val="27"/>
          <w:rtl/>
        </w:rPr>
      </w:pPr>
      <w:r w:rsidRPr="00282AC9">
        <w:rPr>
          <w:rFonts w:ascii="Sakkal Majalla" w:hAnsi="Sakkal Majalla" w:cs="AL-Mohanad" w:hint="cs"/>
          <w:sz w:val="27"/>
          <w:szCs w:val="27"/>
          <w:rtl/>
        </w:rPr>
        <w:t>و</w:t>
      </w:r>
      <w:r w:rsidR="00AD6E36" w:rsidRPr="00282AC9">
        <w:rPr>
          <w:rFonts w:ascii="Sakkal Majalla" w:hAnsi="Sakkal Majalla" w:cs="AL-Mohanad" w:hint="cs"/>
          <w:sz w:val="27"/>
          <w:szCs w:val="27"/>
          <w:rtl/>
        </w:rPr>
        <w:t>هذه الآ</w:t>
      </w:r>
      <w:r w:rsidR="00AD6E36" w:rsidRPr="00282AC9">
        <w:rPr>
          <w:rFonts w:cs="AL-Mohanad" w:hint="cs"/>
          <w:sz w:val="27"/>
          <w:szCs w:val="27"/>
          <w:rtl/>
        </w:rPr>
        <w:t>ي</w:t>
      </w:r>
      <w:r w:rsidR="00AD6E36" w:rsidRPr="00282AC9">
        <w:rPr>
          <w:rFonts w:ascii="Sakkal Majalla" w:hAnsi="Sakkal Majalla" w:cs="AL-Mohanad" w:hint="cs"/>
          <w:sz w:val="27"/>
          <w:szCs w:val="27"/>
          <w:rtl/>
        </w:rPr>
        <w:t>ات صر</w:t>
      </w:r>
      <w:r w:rsidR="00AD6E36" w:rsidRPr="00282AC9">
        <w:rPr>
          <w:rFonts w:cs="AL-Mohanad" w:hint="cs"/>
          <w:sz w:val="27"/>
          <w:szCs w:val="27"/>
          <w:rtl/>
        </w:rPr>
        <w:t>ي</w:t>
      </w:r>
      <w:r w:rsidR="00AD6E36" w:rsidRPr="00282AC9">
        <w:rPr>
          <w:rFonts w:ascii="Sakkal Majalla" w:hAnsi="Sakkal Majalla" w:cs="AL-Mohanad" w:hint="cs"/>
          <w:sz w:val="27"/>
          <w:szCs w:val="27"/>
          <w:rtl/>
        </w:rPr>
        <w:t>حة</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في أنّ هذا الكتاب منسوب</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إلى الله تعالى</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وأنّه نزل من عنده سبحانه</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ونحن نعلم أنّه لا</w:t>
      </w:r>
      <w:r w:rsidRPr="00282AC9">
        <w:rPr>
          <w:rFonts w:ascii="Sakkal Majalla" w:hAnsi="Sakkal Majalla" w:cs="AL-Mohanad" w:hint="cs"/>
          <w:sz w:val="27"/>
          <w:szCs w:val="27"/>
          <w:rtl/>
        </w:rPr>
        <w:t xml:space="preserve"> </w:t>
      </w:r>
      <w:r w:rsidR="00AD6E36" w:rsidRPr="00282AC9">
        <w:rPr>
          <w:rFonts w:ascii="Sakkal Majalla" w:hAnsi="Sakkal Majalla" w:cs="AL-Mohanad" w:hint="cs"/>
          <w:sz w:val="27"/>
          <w:szCs w:val="27"/>
          <w:rtl/>
        </w:rPr>
        <w:t>تصح</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نسبة كتاب</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إلى أحد</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إ</w:t>
      </w:r>
      <w:r w:rsidR="00EE6DBA" w:rsidRPr="00282AC9">
        <w:rPr>
          <w:rFonts w:ascii="Sakkal Majalla" w:hAnsi="Sakkal Majalla" w:cs="AL-Mohanad" w:hint="cs"/>
          <w:sz w:val="27"/>
          <w:szCs w:val="27"/>
          <w:rtl/>
        </w:rPr>
        <w:t>لاّ</w:t>
      </w:r>
      <w:r w:rsidR="00AD6E36" w:rsidRPr="00282AC9">
        <w:rPr>
          <w:rFonts w:ascii="Sakkal Majalla" w:hAnsi="Sakkal Majalla" w:cs="AL-Mohanad" w:hint="cs"/>
          <w:sz w:val="27"/>
          <w:szCs w:val="27"/>
          <w:rtl/>
        </w:rPr>
        <w:t xml:space="preserve"> إذا ثبت أنّ </w:t>
      </w:r>
      <w:r w:rsidRPr="00282AC9">
        <w:rPr>
          <w:rFonts w:ascii="Sakkal Majalla" w:hAnsi="Sakkal Majalla" w:cs="AL-Mohanad" w:hint="cs"/>
          <w:sz w:val="27"/>
          <w:szCs w:val="27"/>
          <w:rtl/>
        </w:rPr>
        <w:t>أ</w:t>
      </w:r>
      <w:r w:rsidR="00AD6E36" w:rsidRPr="00282AC9">
        <w:rPr>
          <w:rFonts w:ascii="Sakkal Majalla" w:hAnsi="Sakkal Majalla" w:cs="AL-Mohanad" w:hint="cs"/>
          <w:sz w:val="27"/>
          <w:szCs w:val="27"/>
          <w:rtl/>
        </w:rPr>
        <w:t>لفاظ الكتاب وعباراته المنسجمة ف</w:t>
      </w:r>
      <w:r w:rsidR="00AD6E36" w:rsidRPr="00282AC9">
        <w:rPr>
          <w:rFonts w:cs="AL-Mohanad" w:hint="cs"/>
          <w:sz w:val="27"/>
          <w:szCs w:val="27"/>
          <w:rtl/>
        </w:rPr>
        <w:t>ي</w:t>
      </w:r>
      <w:r w:rsidR="00AD6E36" w:rsidRPr="00282AC9">
        <w:rPr>
          <w:rFonts w:ascii="Sakkal Majalla" w:hAnsi="Sakkal Majalla" w:cs="AL-Mohanad" w:hint="cs"/>
          <w:sz w:val="27"/>
          <w:szCs w:val="27"/>
          <w:rtl/>
        </w:rPr>
        <w:t>ما ب</w:t>
      </w:r>
      <w:r w:rsidR="00AD6E36" w:rsidRPr="00282AC9">
        <w:rPr>
          <w:rFonts w:cs="AL-Mohanad" w:hint="cs"/>
          <w:sz w:val="27"/>
          <w:szCs w:val="27"/>
          <w:rtl/>
        </w:rPr>
        <w:t>ي</w:t>
      </w:r>
      <w:r w:rsidR="00AD6E36" w:rsidRPr="00282AC9">
        <w:rPr>
          <w:rFonts w:ascii="Sakkal Majalla" w:hAnsi="Sakkal Majalla" w:cs="AL-Mohanad" w:hint="cs"/>
          <w:sz w:val="27"/>
          <w:szCs w:val="27"/>
          <w:rtl/>
        </w:rPr>
        <w:t>نها منه. وهكذا بالنسبة إلى هذا الكتاب السماوي</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لا تصح</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نسبته إلى الله تعالى إ</w:t>
      </w:r>
      <w:r w:rsidR="00EE6DBA" w:rsidRPr="00282AC9">
        <w:rPr>
          <w:rFonts w:ascii="Sakkal Majalla" w:hAnsi="Sakkal Majalla" w:cs="AL-Mohanad" w:hint="cs"/>
          <w:sz w:val="27"/>
          <w:szCs w:val="27"/>
          <w:rtl/>
        </w:rPr>
        <w:t>لاّ</w:t>
      </w:r>
      <w:r w:rsidR="00AD6E36" w:rsidRPr="00282AC9">
        <w:rPr>
          <w:rFonts w:ascii="Sakkal Majalla" w:hAnsi="Sakkal Majalla" w:cs="AL-Mohanad" w:hint="cs"/>
          <w:sz w:val="27"/>
          <w:szCs w:val="27"/>
          <w:rtl/>
        </w:rPr>
        <w:t xml:space="preserve"> إذا كانت جم</w:t>
      </w:r>
      <w:r w:rsidR="00AD6E36" w:rsidRPr="00282AC9">
        <w:rPr>
          <w:rFonts w:cs="AL-Mohanad" w:hint="cs"/>
          <w:sz w:val="27"/>
          <w:szCs w:val="27"/>
          <w:rtl/>
        </w:rPr>
        <w:t>ي</w:t>
      </w:r>
      <w:r w:rsidR="00AD6E36" w:rsidRPr="00282AC9">
        <w:rPr>
          <w:rFonts w:ascii="Sakkal Majalla" w:hAnsi="Sakkal Majalla" w:cs="AL-Mohanad" w:hint="cs"/>
          <w:sz w:val="27"/>
          <w:szCs w:val="27"/>
          <w:rtl/>
        </w:rPr>
        <w:t xml:space="preserve">ع </w:t>
      </w:r>
      <w:r w:rsidRPr="00282AC9">
        <w:rPr>
          <w:rFonts w:ascii="Sakkal Majalla" w:hAnsi="Sakkal Majalla" w:cs="AL-Mohanad" w:hint="cs"/>
          <w:sz w:val="27"/>
          <w:szCs w:val="27"/>
          <w:rtl/>
        </w:rPr>
        <w:t>أ</w:t>
      </w:r>
      <w:r w:rsidR="00AD6E36" w:rsidRPr="00282AC9">
        <w:rPr>
          <w:rFonts w:ascii="Sakkal Majalla" w:hAnsi="Sakkal Majalla" w:cs="AL-Mohanad" w:hint="cs"/>
          <w:sz w:val="27"/>
          <w:szCs w:val="27"/>
          <w:rtl/>
        </w:rPr>
        <w:t>لفاظه وآ</w:t>
      </w:r>
      <w:r w:rsidR="00AD6E36" w:rsidRPr="00282AC9">
        <w:rPr>
          <w:rFonts w:cs="AL-Mohanad" w:hint="cs"/>
          <w:sz w:val="27"/>
          <w:szCs w:val="27"/>
          <w:rtl/>
        </w:rPr>
        <w:t>ي</w:t>
      </w:r>
      <w:r w:rsidR="00AD6E36" w:rsidRPr="00282AC9">
        <w:rPr>
          <w:rFonts w:ascii="Sakkal Majalla" w:hAnsi="Sakkal Majalla" w:cs="AL-Mohanad" w:hint="cs"/>
          <w:sz w:val="27"/>
          <w:szCs w:val="27"/>
          <w:rtl/>
        </w:rPr>
        <w:t>اته والترت</w:t>
      </w:r>
      <w:r w:rsidR="00AD6E36" w:rsidRPr="00282AC9">
        <w:rPr>
          <w:rFonts w:cs="AL-Mohanad" w:hint="cs"/>
          <w:sz w:val="27"/>
          <w:szCs w:val="27"/>
          <w:rtl/>
        </w:rPr>
        <w:t>ي</w:t>
      </w:r>
      <w:r w:rsidR="00AD6E36" w:rsidRPr="00282AC9">
        <w:rPr>
          <w:rFonts w:ascii="Sakkal Majalla" w:hAnsi="Sakkal Majalla" w:cs="AL-Mohanad" w:hint="cs"/>
          <w:sz w:val="27"/>
          <w:szCs w:val="27"/>
          <w:rtl/>
        </w:rPr>
        <w:t>ب القائم ب</w:t>
      </w:r>
      <w:r w:rsidR="00AD6E36" w:rsidRPr="00282AC9">
        <w:rPr>
          <w:rFonts w:cs="AL-Mohanad" w:hint="cs"/>
          <w:sz w:val="27"/>
          <w:szCs w:val="27"/>
          <w:rtl/>
        </w:rPr>
        <w:t>ي</w:t>
      </w:r>
      <w:r w:rsidR="00AD6E36" w:rsidRPr="00282AC9">
        <w:rPr>
          <w:rFonts w:ascii="Sakkal Majalla" w:hAnsi="Sakkal Majalla" w:cs="AL-Mohanad" w:hint="cs"/>
          <w:sz w:val="27"/>
          <w:szCs w:val="27"/>
          <w:rtl/>
        </w:rPr>
        <w:t>نها من الله تعالى</w:t>
      </w:r>
      <w:r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وقد أثبت القرآن الكر</w:t>
      </w:r>
      <w:r w:rsidR="00AD6E36" w:rsidRPr="00282AC9">
        <w:rPr>
          <w:rFonts w:cs="AL-Mohanad" w:hint="cs"/>
          <w:sz w:val="27"/>
          <w:szCs w:val="27"/>
          <w:rtl/>
        </w:rPr>
        <w:t>ي</w:t>
      </w:r>
      <w:r w:rsidR="00AD6E36" w:rsidRPr="00282AC9">
        <w:rPr>
          <w:rFonts w:ascii="Sakkal Majalla" w:hAnsi="Sakkal Majalla" w:cs="AL-Mohanad" w:hint="cs"/>
          <w:sz w:val="27"/>
          <w:szCs w:val="27"/>
          <w:rtl/>
        </w:rPr>
        <w:t>م ذلك في قوله تعالى</w:t>
      </w:r>
      <w:r w:rsidR="00A82AB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w:t>
      </w:r>
      <w:r w:rsidR="00AD6E36" w:rsidRPr="00282AC9">
        <w:rPr>
          <w:rFonts w:ascii="Mosawi" w:hAnsi="Mosawi" w:cs="Mosawi"/>
          <w:rtl/>
        </w:rPr>
        <w:t>﴿</w:t>
      </w:r>
      <w:r w:rsidR="00AD6E36" w:rsidRPr="00282AC9">
        <w:rPr>
          <w:rFonts w:ascii="Sakkal Majalla" w:hAnsi="Sakkal Majalla" w:cs="AL-Mohanad"/>
          <w:b/>
          <w:bCs/>
          <w:sz w:val="27"/>
          <w:szCs w:val="27"/>
          <w:rtl/>
        </w:rPr>
        <w:t>وَق</w:t>
      </w:r>
      <w:r w:rsidR="00AD6E36" w:rsidRPr="00282AC9">
        <w:rPr>
          <w:rFonts w:ascii="Sakkal Majalla" w:hAnsi="Sakkal Majalla" w:cs="AL-Mohanad" w:hint="cs"/>
          <w:b/>
          <w:bCs/>
          <w:sz w:val="27"/>
          <w:szCs w:val="27"/>
          <w:rtl/>
        </w:rPr>
        <w:t>َ</w:t>
      </w:r>
      <w:r w:rsidR="00AD6E36" w:rsidRPr="00282AC9">
        <w:rPr>
          <w:rFonts w:ascii="Sakkal Majalla" w:hAnsi="Sakkal Majalla" w:cs="AL-Mohanad"/>
          <w:b/>
          <w:bCs/>
          <w:sz w:val="27"/>
          <w:szCs w:val="27"/>
          <w:rtl/>
        </w:rPr>
        <w:t>الَ الَّذ</w:t>
      </w:r>
      <w:r w:rsidR="00A82AB5" w:rsidRPr="00282AC9">
        <w:rPr>
          <w:rFonts w:ascii="Sakkal Majalla" w:hAnsi="Sakkal Majalla" w:cs="AL-Mohanad" w:hint="cs"/>
          <w:b/>
          <w:bCs/>
          <w:sz w:val="27"/>
          <w:szCs w:val="27"/>
          <w:rtl/>
        </w:rPr>
        <w:t>ِ</w:t>
      </w:r>
      <w:r w:rsidR="00A82AB5" w:rsidRPr="00282AC9">
        <w:rPr>
          <w:rFonts w:ascii="Sakkal Majalla" w:hAnsi="Sakkal Majalla" w:cs="AL-Mohanad"/>
          <w:b/>
          <w:bCs/>
          <w:sz w:val="27"/>
          <w:szCs w:val="27"/>
          <w:rtl/>
        </w:rPr>
        <w:t>ينَ كَفَرُوا لَوْ</w:t>
      </w:r>
      <w:r w:rsidR="00AD6E36" w:rsidRPr="00282AC9">
        <w:rPr>
          <w:rFonts w:ascii="Sakkal Majalla" w:hAnsi="Sakkal Majalla" w:cs="AL-Mohanad"/>
          <w:b/>
          <w:bCs/>
          <w:sz w:val="27"/>
          <w:szCs w:val="27"/>
          <w:rtl/>
        </w:rPr>
        <w:t>لا</w:t>
      </w:r>
      <w:r w:rsidR="00A82AB5" w:rsidRPr="00282AC9">
        <w:rPr>
          <w:rFonts w:ascii="Sakkal Majalla" w:hAnsi="Sakkal Majalla" w:cs="AL-Mohanad" w:hint="cs"/>
          <w:b/>
          <w:bCs/>
          <w:sz w:val="27"/>
          <w:szCs w:val="27"/>
          <w:rtl/>
        </w:rPr>
        <w:t>َ</w:t>
      </w:r>
      <w:r w:rsidR="00AD6E36" w:rsidRPr="00282AC9">
        <w:rPr>
          <w:rFonts w:ascii="Sakkal Majalla" w:hAnsi="Sakkal Majalla" w:cs="AL-Mohanad"/>
          <w:b/>
          <w:bCs/>
          <w:sz w:val="27"/>
          <w:szCs w:val="27"/>
          <w:rtl/>
        </w:rPr>
        <w:t xml:space="preserve"> نُزِّلَ عَلَيْهِ الْقُرْآنُ جُمْلَةً و</w:t>
      </w:r>
      <w:r w:rsidR="00A82AB5" w:rsidRPr="00282AC9">
        <w:rPr>
          <w:rFonts w:ascii="Sakkal Majalla" w:hAnsi="Sakkal Majalla" w:cs="AL-Mohanad" w:hint="cs"/>
          <w:b/>
          <w:bCs/>
          <w:sz w:val="27"/>
          <w:szCs w:val="27"/>
          <w:rtl/>
        </w:rPr>
        <w:t>َ</w:t>
      </w:r>
      <w:r w:rsidR="00AD6E36" w:rsidRPr="00282AC9">
        <w:rPr>
          <w:rFonts w:ascii="Sakkal Majalla" w:hAnsi="Sakkal Majalla" w:cs="AL-Mohanad"/>
          <w:b/>
          <w:bCs/>
          <w:sz w:val="27"/>
          <w:szCs w:val="27"/>
          <w:rtl/>
        </w:rPr>
        <w:t>احِدَةً كَذ</w:t>
      </w:r>
      <w:r w:rsidR="00A82AB5" w:rsidRPr="00282AC9">
        <w:rPr>
          <w:rFonts w:ascii="Sakkal Majalla" w:hAnsi="Sakkal Majalla" w:cs="AL-Mohanad" w:hint="cs"/>
          <w:b/>
          <w:bCs/>
          <w:sz w:val="27"/>
          <w:szCs w:val="27"/>
          <w:rtl/>
        </w:rPr>
        <w:t>َ</w:t>
      </w:r>
      <w:r w:rsidR="00AD6E36" w:rsidRPr="00282AC9">
        <w:rPr>
          <w:rFonts w:ascii="Sakkal Majalla" w:hAnsi="Sakkal Majalla" w:cs="AL-Mohanad"/>
          <w:b/>
          <w:bCs/>
          <w:sz w:val="27"/>
          <w:szCs w:val="27"/>
          <w:rtl/>
        </w:rPr>
        <w:t>لِكَ لِنُثَبِّتَ بِهِ فُؤ</w:t>
      </w:r>
      <w:r w:rsidR="00A82AB5" w:rsidRPr="00282AC9">
        <w:rPr>
          <w:rFonts w:ascii="Sakkal Majalla" w:hAnsi="Sakkal Majalla" w:cs="AL-Mohanad" w:hint="cs"/>
          <w:b/>
          <w:bCs/>
          <w:sz w:val="27"/>
          <w:szCs w:val="27"/>
          <w:rtl/>
        </w:rPr>
        <w:t>َ</w:t>
      </w:r>
      <w:r w:rsidR="00AD6E36" w:rsidRPr="00282AC9">
        <w:rPr>
          <w:rFonts w:ascii="Sakkal Majalla" w:hAnsi="Sakkal Majalla" w:cs="AL-Mohanad"/>
          <w:b/>
          <w:bCs/>
          <w:sz w:val="27"/>
          <w:szCs w:val="27"/>
          <w:rtl/>
        </w:rPr>
        <w:t>ادَكَ و</w:t>
      </w:r>
      <w:r w:rsidR="00A82AB5" w:rsidRPr="00282AC9">
        <w:rPr>
          <w:rFonts w:ascii="Sakkal Majalla" w:hAnsi="Sakkal Majalla" w:cs="AL-Mohanad" w:hint="cs"/>
          <w:b/>
          <w:bCs/>
          <w:sz w:val="27"/>
          <w:szCs w:val="27"/>
          <w:rtl/>
        </w:rPr>
        <w:t>َ</w:t>
      </w:r>
      <w:r w:rsidR="00AD6E36" w:rsidRPr="00282AC9">
        <w:rPr>
          <w:rFonts w:ascii="Sakkal Majalla" w:hAnsi="Sakkal Majalla" w:cs="AL-Mohanad"/>
          <w:b/>
          <w:bCs/>
          <w:sz w:val="27"/>
          <w:szCs w:val="27"/>
          <w:rtl/>
        </w:rPr>
        <w:t>رَتَّلْن</w:t>
      </w:r>
      <w:r w:rsidR="00A82AB5" w:rsidRPr="00282AC9">
        <w:rPr>
          <w:rFonts w:ascii="Sakkal Majalla" w:hAnsi="Sakkal Majalla" w:cs="AL-Mohanad" w:hint="cs"/>
          <w:b/>
          <w:bCs/>
          <w:sz w:val="27"/>
          <w:szCs w:val="27"/>
          <w:rtl/>
        </w:rPr>
        <w:t>َ</w:t>
      </w:r>
      <w:r w:rsidR="00AD6E36" w:rsidRPr="00282AC9">
        <w:rPr>
          <w:rFonts w:ascii="Sakkal Majalla" w:hAnsi="Sakkal Majalla" w:cs="AL-Mohanad"/>
          <w:b/>
          <w:bCs/>
          <w:sz w:val="27"/>
          <w:szCs w:val="27"/>
          <w:rtl/>
        </w:rPr>
        <w:t>اهُ‏ تَرْت</w:t>
      </w:r>
      <w:r w:rsidR="00A82AB5" w:rsidRPr="00282AC9">
        <w:rPr>
          <w:rFonts w:ascii="Sakkal Majalla" w:hAnsi="Sakkal Majalla" w:cs="AL-Mohanad" w:hint="cs"/>
          <w:b/>
          <w:bCs/>
          <w:sz w:val="27"/>
          <w:szCs w:val="27"/>
          <w:rtl/>
        </w:rPr>
        <w:t>ِ</w:t>
      </w:r>
      <w:r w:rsidR="00AD6E36" w:rsidRPr="00282AC9">
        <w:rPr>
          <w:rFonts w:ascii="Sakkal Majalla" w:hAnsi="Sakkal Majalla" w:cs="AL-Mohanad"/>
          <w:b/>
          <w:bCs/>
          <w:sz w:val="27"/>
          <w:szCs w:val="27"/>
          <w:rtl/>
        </w:rPr>
        <w:t>يلا</w:t>
      </w:r>
      <w:r w:rsidR="00AD6E36" w:rsidRPr="00282AC9">
        <w:rPr>
          <w:rFonts w:ascii="Sakkal Majalla" w:hAnsi="Sakkal Majalla" w:cs="AL-Mohanad" w:hint="cs"/>
          <w:b/>
          <w:bCs/>
          <w:sz w:val="27"/>
          <w:szCs w:val="27"/>
          <w:rtl/>
        </w:rPr>
        <w:t>ً</w:t>
      </w:r>
      <w:r w:rsidR="00AD6E36" w:rsidRPr="00282AC9">
        <w:rPr>
          <w:rFonts w:ascii="Mosawi" w:hAnsi="Mosawi" w:cs="Mosawi"/>
          <w:rtl/>
        </w:rPr>
        <w:t>﴾</w:t>
      </w:r>
      <w:r w:rsidR="00AD6E36" w:rsidRPr="00282AC9">
        <w:rPr>
          <w:rFonts w:ascii="Sakkal Majalla" w:hAnsi="Sakkal Majalla" w:cs="AL-Mohanad" w:hint="cs"/>
          <w:sz w:val="27"/>
          <w:szCs w:val="27"/>
          <w:rtl/>
        </w:rPr>
        <w:t xml:space="preserve"> (الفرقان: </w:t>
      </w:r>
      <w:r w:rsidR="00AD6E36" w:rsidRPr="00282AC9">
        <w:rPr>
          <w:rFonts w:ascii="Sakkal Majalla" w:eastAsiaTheme="minorHAnsi" w:hAnsi="Sakkal Majalla" w:cs="AL-Mohanad" w:hint="cs"/>
          <w:sz w:val="27"/>
          <w:szCs w:val="27"/>
          <w:rtl/>
        </w:rPr>
        <w:t>32</w:t>
      </w:r>
      <w:r w:rsidR="00AD6E36" w:rsidRPr="00282AC9">
        <w:rPr>
          <w:rFonts w:ascii="Sakkal Majalla" w:hAnsi="Sakkal Majalla" w:cs="AL-Mohanad" w:hint="cs"/>
          <w:sz w:val="27"/>
          <w:szCs w:val="27"/>
          <w:rtl/>
        </w:rPr>
        <w:t>)</w:t>
      </w:r>
      <w:r w:rsidR="00A82AB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والترت</w:t>
      </w:r>
      <w:r w:rsidR="00AD6E36" w:rsidRPr="00282AC9">
        <w:rPr>
          <w:rFonts w:cs="AL-Mohanad" w:hint="cs"/>
          <w:sz w:val="27"/>
          <w:szCs w:val="27"/>
          <w:rtl/>
        </w:rPr>
        <w:t>ي</w:t>
      </w:r>
      <w:r w:rsidR="00AD6E36" w:rsidRPr="00282AC9">
        <w:rPr>
          <w:rFonts w:ascii="Sakkal Majalla" w:hAnsi="Sakkal Majalla" w:cs="AL-Mohanad" w:hint="cs"/>
          <w:sz w:val="27"/>
          <w:szCs w:val="27"/>
          <w:rtl/>
        </w:rPr>
        <w:t>ل بمعن</w:t>
      </w:r>
      <w:r w:rsidR="00A82AB5" w:rsidRPr="00282AC9">
        <w:rPr>
          <w:rFonts w:cs="AL-Mohanad" w:hint="cs"/>
          <w:sz w:val="27"/>
          <w:szCs w:val="27"/>
          <w:rtl/>
        </w:rPr>
        <w:t>ى</w:t>
      </w:r>
      <w:r w:rsidR="00AD6E36" w:rsidRPr="00282AC9">
        <w:rPr>
          <w:rFonts w:ascii="Sakkal Majalla" w:hAnsi="Sakkal Majalla" w:cs="AL-Mohanad" w:hint="cs"/>
          <w:sz w:val="27"/>
          <w:szCs w:val="27"/>
          <w:rtl/>
        </w:rPr>
        <w:t xml:space="preserve"> التنس</w:t>
      </w:r>
      <w:r w:rsidR="00AD6E36" w:rsidRPr="00282AC9">
        <w:rPr>
          <w:rFonts w:cs="AL-Mohanad" w:hint="cs"/>
          <w:sz w:val="27"/>
          <w:szCs w:val="27"/>
          <w:rtl/>
        </w:rPr>
        <w:t>ي</w:t>
      </w:r>
      <w:r w:rsidR="00AD6E36" w:rsidRPr="00282AC9">
        <w:rPr>
          <w:rFonts w:ascii="Sakkal Majalla" w:hAnsi="Sakkal Majalla" w:cs="AL-Mohanad" w:hint="cs"/>
          <w:sz w:val="27"/>
          <w:szCs w:val="27"/>
          <w:rtl/>
        </w:rPr>
        <w:t>ق والتنض</w:t>
      </w:r>
      <w:r w:rsidR="00A82AB5" w:rsidRPr="00282AC9">
        <w:rPr>
          <w:rFonts w:ascii="Sakkal Majalla" w:hAnsi="Sakkal Majalla" w:cs="AL-Mohanad" w:hint="cs"/>
          <w:sz w:val="27"/>
          <w:szCs w:val="27"/>
          <w:rtl/>
        </w:rPr>
        <w:t>ي</w:t>
      </w:r>
      <w:r w:rsidR="00AD6E36" w:rsidRPr="00282AC9">
        <w:rPr>
          <w:rFonts w:ascii="Sakkal Majalla" w:hAnsi="Sakkal Majalla" w:cs="AL-Mohanad" w:hint="cs"/>
          <w:sz w:val="27"/>
          <w:szCs w:val="27"/>
          <w:rtl/>
        </w:rPr>
        <w:t>د</w:t>
      </w:r>
      <w:r w:rsidR="00A82AB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 xml:space="preserve"> </w:t>
      </w:r>
      <w:r w:rsidR="00AD6E36" w:rsidRPr="00282AC9">
        <w:rPr>
          <w:rFonts w:cs="AL-Mohanad" w:hint="cs"/>
          <w:sz w:val="27"/>
          <w:szCs w:val="27"/>
          <w:rtl/>
        </w:rPr>
        <w:t>ي</w:t>
      </w:r>
      <w:r w:rsidR="00AD6E36" w:rsidRPr="00282AC9">
        <w:rPr>
          <w:rFonts w:ascii="Sakkal Majalla" w:hAnsi="Sakkal Majalla" w:cs="AL-Mohanad" w:hint="cs"/>
          <w:sz w:val="27"/>
          <w:szCs w:val="27"/>
          <w:rtl/>
        </w:rPr>
        <w:t>قول العلا</w:t>
      </w:r>
      <w:r w:rsidR="00A82AB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مة المصطفو</w:t>
      </w:r>
      <w:r w:rsidR="00AD6E36" w:rsidRPr="00282AC9">
        <w:rPr>
          <w:rFonts w:cs="AL-Mohanad" w:hint="cs"/>
          <w:sz w:val="27"/>
          <w:szCs w:val="27"/>
          <w:rtl/>
        </w:rPr>
        <w:t>ي</w:t>
      </w:r>
      <w:r w:rsidR="00AD6E36" w:rsidRPr="00282AC9">
        <w:rPr>
          <w:rFonts w:ascii="Sakkal Majalla" w:hAnsi="Sakkal Majalla" w:cs="AL-Mohanad" w:hint="cs"/>
          <w:sz w:val="27"/>
          <w:szCs w:val="27"/>
          <w:rtl/>
        </w:rPr>
        <w:t>: رتّ</w:t>
      </w:r>
      <w:r w:rsidR="00A82AB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ل الكلام أي إذا أحسن تأل</w:t>
      </w:r>
      <w:r w:rsidR="00AD6E36" w:rsidRPr="00282AC9">
        <w:rPr>
          <w:rFonts w:cs="AL-Mohanad" w:hint="cs"/>
          <w:sz w:val="27"/>
          <w:szCs w:val="27"/>
          <w:rtl/>
        </w:rPr>
        <w:t>ي</w:t>
      </w:r>
      <w:r w:rsidR="00AD6E36" w:rsidRPr="00282AC9">
        <w:rPr>
          <w:rFonts w:ascii="Sakkal Majalla" w:hAnsi="Sakkal Majalla" w:cs="AL-Mohanad" w:hint="cs"/>
          <w:sz w:val="27"/>
          <w:szCs w:val="27"/>
          <w:rtl/>
        </w:rPr>
        <w:t>فه وتنس</w:t>
      </w:r>
      <w:r w:rsidR="00AD6E36" w:rsidRPr="00282AC9">
        <w:rPr>
          <w:rFonts w:cs="AL-Mohanad" w:hint="cs"/>
          <w:sz w:val="27"/>
          <w:szCs w:val="27"/>
          <w:rtl/>
        </w:rPr>
        <w:t>ي</w:t>
      </w:r>
      <w:r w:rsidR="00AD6E36" w:rsidRPr="00282AC9">
        <w:rPr>
          <w:rFonts w:ascii="Sakkal Majalla" w:hAnsi="Sakkal Majalla" w:cs="AL-Mohanad" w:hint="cs"/>
          <w:sz w:val="27"/>
          <w:szCs w:val="27"/>
          <w:rtl/>
        </w:rPr>
        <w:t>قه وأبانه ونظّ</w:t>
      </w:r>
      <w:r w:rsidR="00A82AB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مه</w:t>
      </w:r>
      <w:r w:rsidR="00AD6E36" w:rsidRPr="00282AC9">
        <w:rPr>
          <w:rFonts w:ascii="Sakkal Majalla" w:hAnsi="Sakkal Majalla" w:cs="AL-Mohanad"/>
          <w:sz w:val="27"/>
          <w:szCs w:val="27"/>
          <w:vertAlign w:val="superscript"/>
          <w:rtl/>
        </w:rPr>
        <w:t>(</w:t>
      </w:r>
      <w:r w:rsidR="00AD6E36" w:rsidRPr="00282AC9">
        <w:rPr>
          <w:rStyle w:val="af9"/>
          <w:rFonts w:ascii="Sakkal Majalla" w:hAnsi="Sakkal Majalla" w:cs="AL-Mohanad"/>
          <w:sz w:val="27"/>
          <w:szCs w:val="27"/>
          <w:rtl/>
        </w:rPr>
        <w:endnoteReference w:id="893"/>
      </w:r>
      <w:r w:rsidR="00AD6E36" w:rsidRPr="00282AC9">
        <w:rPr>
          <w:rFonts w:ascii="Sakkal Majalla" w:hAnsi="Sakkal Majalla" w:cs="AL-Mohanad"/>
          <w:sz w:val="27"/>
          <w:szCs w:val="27"/>
          <w:vertAlign w:val="superscript"/>
          <w:rtl/>
        </w:rPr>
        <w:t>)</w:t>
      </w:r>
      <w:r w:rsidR="00AD6E36" w:rsidRPr="00282AC9">
        <w:rPr>
          <w:rFonts w:ascii="Sakkal Majalla" w:hAnsi="Sakkal Majalla" w:cs="AL-Mohanad" w:hint="cs"/>
          <w:sz w:val="27"/>
          <w:szCs w:val="27"/>
          <w:rtl/>
        </w:rPr>
        <w:t>. و</w:t>
      </w:r>
      <w:r w:rsidR="00AD6E36" w:rsidRPr="00282AC9">
        <w:rPr>
          <w:rFonts w:cs="AL-Mohanad" w:hint="cs"/>
          <w:sz w:val="27"/>
          <w:szCs w:val="27"/>
          <w:rtl/>
        </w:rPr>
        <w:t>ي</w:t>
      </w:r>
      <w:r w:rsidR="00AD6E36" w:rsidRPr="00282AC9">
        <w:rPr>
          <w:rFonts w:ascii="Sakkal Majalla" w:hAnsi="Sakkal Majalla" w:cs="AL-Mohanad" w:hint="cs"/>
          <w:sz w:val="27"/>
          <w:szCs w:val="27"/>
          <w:rtl/>
        </w:rPr>
        <w:t>قول الزمخشري: رتّ</w:t>
      </w:r>
      <w:r w:rsidR="00A82AB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ل القر</w:t>
      </w:r>
      <w:r w:rsidR="00A82AB5" w:rsidRPr="00282AC9">
        <w:rPr>
          <w:rFonts w:ascii="Sakkal Majalla" w:hAnsi="Sakkal Majalla" w:cs="AL-Mohanad" w:hint="cs"/>
          <w:sz w:val="27"/>
          <w:szCs w:val="27"/>
          <w:rtl/>
        </w:rPr>
        <w:t>آ</w:t>
      </w:r>
      <w:r w:rsidR="00AD6E36" w:rsidRPr="00282AC9">
        <w:rPr>
          <w:rFonts w:ascii="Sakkal Majalla" w:hAnsi="Sakkal Majalla" w:cs="AL-Mohanad" w:hint="cs"/>
          <w:sz w:val="27"/>
          <w:szCs w:val="27"/>
          <w:rtl/>
        </w:rPr>
        <w:t>ن ترت</w:t>
      </w:r>
      <w:r w:rsidR="00AD6E36" w:rsidRPr="00282AC9">
        <w:rPr>
          <w:rFonts w:cs="AL-Mohanad" w:hint="cs"/>
          <w:sz w:val="27"/>
          <w:szCs w:val="27"/>
          <w:rtl/>
        </w:rPr>
        <w:t>ي</w:t>
      </w:r>
      <w:r w:rsidR="00AD6E36" w:rsidRPr="00282AC9">
        <w:rPr>
          <w:rFonts w:ascii="Sakkal Majalla" w:hAnsi="Sakkal Majalla" w:cs="AL-Mohanad" w:hint="cs"/>
          <w:sz w:val="27"/>
          <w:szCs w:val="27"/>
          <w:rtl/>
        </w:rPr>
        <w:t>لاً: إذا ترسّ</w:t>
      </w:r>
      <w:r w:rsidR="00A82AB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ل في تلاوته وأحسن تآل</w:t>
      </w:r>
      <w:r w:rsidR="00AD6E36" w:rsidRPr="00282AC9">
        <w:rPr>
          <w:rFonts w:cs="AL-Mohanad" w:hint="cs"/>
          <w:sz w:val="27"/>
          <w:szCs w:val="27"/>
          <w:rtl/>
        </w:rPr>
        <w:t>ي</w:t>
      </w:r>
      <w:r w:rsidR="00AD6E36" w:rsidRPr="00282AC9">
        <w:rPr>
          <w:rFonts w:ascii="Sakkal Majalla" w:hAnsi="Sakkal Majalla" w:cs="AL-Mohanad" w:hint="cs"/>
          <w:sz w:val="27"/>
          <w:szCs w:val="27"/>
          <w:rtl/>
        </w:rPr>
        <w:t>ف حروفه</w:t>
      </w:r>
      <w:r w:rsidR="00AD6E36" w:rsidRPr="00282AC9">
        <w:rPr>
          <w:rFonts w:ascii="Sakkal Majalla" w:hAnsi="Sakkal Majalla" w:cs="AL-Mohanad"/>
          <w:sz w:val="27"/>
          <w:szCs w:val="27"/>
          <w:vertAlign w:val="superscript"/>
          <w:rtl/>
        </w:rPr>
        <w:t>(</w:t>
      </w:r>
      <w:r w:rsidR="00AD6E36" w:rsidRPr="00282AC9">
        <w:rPr>
          <w:rStyle w:val="af9"/>
          <w:rFonts w:ascii="Sakkal Majalla" w:hAnsi="Sakkal Majalla" w:cs="AL-Mohanad"/>
          <w:sz w:val="27"/>
          <w:szCs w:val="27"/>
          <w:rtl/>
        </w:rPr>
        <w:endnoteReference w:id="894"/>
      </w:r>
      <w:r w:rsidR="00AD6E36" w:rsidRPr="00282AC9">
        <w:rPr>
          <w:rFonts w:ascii="Sakkal Majalla" w:hAnsi="Sakkal Majalla" w:cs="AL-Mohanad"/>
          <w:sz w:val="27"/>
          <w:szCs w:val="27"/>
          <w:vertAlign w:val="superscript"/>
          <w:rtl/>
        </w:rPr>
        <w:t>)</w:t>
      </w:r>
      <w:r w:rsidR="00AD6E36" w:rsidRPr="00282AC9">
        <w:rPr>
          <w:rFonts w:ascii="Sakkal Majalla" w:hAnsi="Sakkal Majalla" w:cs="AL-Mohanad" w:hint="cs"/>
          <w:sz w:val="27"/>
          <w:szCs w:val="27"/>
          <w:rtl/>
        </w:rPr>
        <w:t xml:space="preserve">. وبذلك </w:t>
      </w:r>
      <w:r w:rsidR="00AD6E36" w:rsidRPr="00282AC9">
        <w:rPr>
          <w:rFonts w:cs="AL-Mohanad" w:hint="cs"/>
          <w:sz w:val="27"/>
          <w:szCs w:val="27"/>
          <w:rtl/>
        </w:rPr>
        <w:t>ي</w:t>
      </w:r>
      <w:r w:rsidR="00AD6E36" w:rsidRPr="00282AC9">
        <w:rPr>
          <w:rFonts w:ascii="Sakkal Majalla" w:hAnsi="Sakkal Majalla" w:cs="AL-Mohanad" w:hint="cs"/>
          <w:sz w:val="27"/>
          <w:szCs w:val="27"/>
          <w:rtl/>
        </w:rPr>
        <w:t>تّ</w:t>
      </w:r>
      <w:r w:rsidR="00A82AB5" w:rsidRPr="00282AC9">
        <w:rPr>
          <w:rFonts w:ascii="Sakkal Majalla" w:hAnsi="Sakkal Majalla" w:cs="AL-Mohanad" w:hint="cs"/>
          <w:sz w:val="27"/>
          <w:szCs w:val="27"/>
          <w:rtl/>
        </w:rPr>
        <w:t>َ</w:t>
      </w:r>
      <w:r w:rsidR="00AD6E36" w:rsidRPr="00282AC9">
        <w:rPr>
          <w:rFonts w:ascii="Sakkal Majalla" w:hAnsi="Sakkal Majalla" w:cs="AL-Mohanad" w:hint="cs"/>
          <w:sz w:val="27"/>
          <w:szCs w:val="27"/>
          <w:rtl/>
        </w:rPr>
        <w:t>ضح أنّ ترت</w:t>
      </w:r>
      <w:r w:rsidR="00AD6E36" w:rsidRPr="00282AC9">
        <w:rPr>
          <w:rFonts w:cs="AL-Mohanad" w:hint="cs"/>
          <w:sz w:val="27"/>
          <w:szCs w:val="27"/>
          <w:rtl/>
        </w:rPr>
        <w:t>ي</w:t>
      </w:r>
      <w:r w:rsidR="00AD6E36" w:rsidRPr="00282AC9">
        <w:rPr>
          <w:rFonts w:ascii="Sakkal Majalla" w:hAnsi="Sakkal Majalla" w:cs="AL-Mohanad" w:hint="cs"/>
          <w:sz w:val="27"/>
          <w:szCs w:val="27"/>
          <w:rtl/>
        </w:rPr>
        <w:t>ب آ</w:t>
      </w:r>
      <w:r w:rsidR="00AD6E36" w:rsidRPr="00282AC9">
        <w:rPr>
          <w:rFonts w:cs="AL-Mohanad" w:hint="cs"/>
          <w:sz w:val="27"/>
          <w:szCs w:val="27"/>
          <w:rtl/>
        </w:rPr>
        <w:t>ي</w:t>
      </w:r>
      <w:r w:rsidR="00AD6E36" w:rsidRPr="00282AC9">
        <w:rPr>
          <w:rFonts w:ascii="Sakkal Majalla" w:hAnsi="Sakkal Majalla" w:cs="AL-Mohanad" w:hint="cs"/>
          <w:sz w:val="27"/>
          <w:szCs w:val="27"/>
          <w:rtl/>
        </w:rPr>
        <w:t>ات القرآن الكر</w:t>
      </w:r>
      <w:r w:rsidR="00AD6E36" w:rsidRPr="00282AC9">
        <w:rPr>
          <w:rFonts w:cs="AL-Mohanad" w:hint="cs"/>
          <w:sz w:val="27"/>
          <w:szCs w:val="27"/>
          <w:rtl/>
        </w:rPr>
        <w:t>ي</w:t>
      </w:r>
      <w:r w:rsidR="00AD6E36" w:rsidRPr="00282AC9">
        <w:rPr>
          <w:rFonts w:ascii="Sakkal Majalla" w:hAnsi="Sakkal Majalla" w:cs="AL-Mohanad" w:hint="cs"/>
          <w:sz w:val="27"/>
          <w:szCs w:val="27"/>
          <w:rtl/>
        </w:rPr>
        <w:t>م وتأل</w:t>
      </w:r>
      <w:r w:rsidR="00AD6E36" w:rsidRPr="00282AC9">
        <w:rPr>
          <w:rFonts w:cs="AL-Mohanad" w:hint="cs"/>
          <w:sz w:val="27"/>
          <w:szCs w:val="27"/>
          <w:rtl/>
        </w:rPr>
        <w:t>ي</w:t>
      </w:r>
      <w:r w:rsidR="00AD6E36" w:rsidRPr="00282AC9">
        <w:rPr>
          <w:rFonts w:ascii="Sakkal Majalla" w:hAnsi="Sakkal Majalla" w:cs="AL-Mohanad" w:hint="cs"/>
          <w:sz w:val="27"/>
          <w:szCs w:val="27"/>
          <w:rtl/>
        </w:rPr>
        <w:t>فها من الله تعال</w:t>
      </w:r>
      <w:r w:rsidR="00A82AB5" w:rsidRPr="00282AC9">
        <w:rPr>
          <w:rFonts w:cs="AL-Mohanad" w:hint="cs"/>
          <w:sz w:val="27"/>
          <w:szCs w:val="27"/>
          <w:rtl/>
        </w:rPr>
        <w:t>ى</w:t>
      </w:r>
      <w:r w:rsidR="00AD6E36" w:rsidRPr="00282AC9">
        <w:rPr>
          <w:rFonts w:ascii="Sakkal Majalla" w:hAnsi="Sakkal Majalla" w:cs="AL-Mohanad" w:hint="cs"/>
          <w:sz w:val="27"/>
          <w:szCs w:val="27"/>
          <w:rtl/>
        </w:rPr>
        <w:t xml:space="preserve">. </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وفي هذه الآ</w:t>
      </w:r>
      <w:r w:rsidRPr="00282AC9">
        <w:rPr>
          <w:rFonts w:cs="AL-Mohanad" w:hint="cs"/>
          <w:sz w:val="27"/>
          <w:szCs w:val="27"/>
          <w:rtl/>
        </w:rPr>
        <w:t>ي</w:t>
      </w:r>
      <w:r w:rsidRPr="00282AC9">
        <w:rPr>
          <w:rFonts w:ascii="Sakkal Majalla" w:hAnsi="Sakkal Majalla" w:cs="AL-Mohanad" w:hint="cs"/>
          <w:sz w:val="27"/>
          <w:szCs w:val="27"/>
          <w:rtl/>
        </w:rPr>
        <w:t>ات أ</w:t>
      </w:r>
      <w:r w:rsidRPr="00282AC9">
        <w:rPr>
          <w:rFonts w:cs="AL-Mohanad" w:hint="cs"/>
          <w:sz w:val="27"/>
          <w:szCs w:val="27"/>
          <w:rtl/>
        </w:rPr>
        <w:t>ي</w:t>
      </w:r>
      <w:r w:rsidRPr="00282AC9">
        <w:rPr>
          <w:rFonts w:ascii="Sakkal Majalla" w:hAnsi="Sakkal Majalla" w:cs="AL-Mohanad" w:hint="cs"/>
          <w:sz w:val="27"/>
          <w:szCs w:val="27"/>
          <w:rtl/>
        </w:rPr>
        <w:t>ضاً ردّ</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عل</w:t>
      </w:r>
      <w:r w:rsidR="008C68B9" w:rsidRPr="00282AC9">
        <w:rPr>
          <w:rFonts w:cs="AL-Mohanad" w:hint="cs"/>
          <w:sz w:val="27"/>
          <w:szCs w:val="27"/>
          <w:rtl/>
        </w:rPr>
        <w:t>ى</w:t>
      </w:r>
      <w:r w:rsidRPr="00282AC9">
        <w:rPr>
          <w:rFonts w:ascii="Sakkal Majalla" w:hAnsi="Sakkal Majalla" w:cs="AL-Mohanad" w:hint="cs"/>
          <w:sz w:val="27"/>
          <w:szCs w:val="27"/>
          <w:rtl/>
        </w:rPr>
        <w:t xml:space="preserve"> بعض الروا</w:t>
      </w:r>
      <w:r w:rsidRPr="00282AC9">
        <w:rPr>
          <w:rFonts w:cs="AL-Mohanad" w:hint="cs"/>
          <w:sz w:val="27"/>
          <w:szCs w:val="27"/>
          <w:rtl/>
        </w:rPr>
        <w:t>ي</w:t>
      </w:r>
      <w:r w:rsidRPr="00282AC9">
        <w:rPr>
          <w:rFonts w:ascii="Sakkal Majalla" w:hAnsi="Sakkal Majalla" w:cs="AL-Mohanad" w:hint="cs"/>
          <w:sz w:val="27"/>
          <w:szCs w:val="27"/>
          <w:rtl/>
        </w:rPr>
        <w:t xml:space="preserve">ات التي </w:t>
      </w:r>
      <w:r w:rsidR="008C68B9" w:rsidRPr="00282AC9">
        <w:rPr>
          <w:rFonts w:ascii="Sakkal Majalla" w:hAnsi="Sakkal Majalla" w:cs="AL-Mohanad" w:hint="cs"/>
          <w:sz w:val="27"/>
          <w:szCs w:val="27"/>
          <w:rtl/>
        </w:rPr>
        <w:t>ا</w:t>
      </w:r>
      <w:r w:rsidRPr="00282AC9">
        <w:rPr>
          <w:rFonts w:ascii="Sakkal Majalla" w:hAnsi="Sakkal Majalla" w:cs="AL-Mohanad" w:hint="cs"/>
          <w:sz w:val="27"/>
          <w:szCs w:val="27"/>
          <w:rtl/>
        </w:rPr>
        <w:t>ستند إل</w:t>
      </w:r>
      <w:r w:rsidRPr="00282AC9">
        <w:rPr>
          <w:rFonts w:cs="AL-Mohanad" w:hint="cs"/>
          <w:sz w:val="27"/>
          <w:szCs w:val="27"/>
          <w:rtl/>
        </w:rPr>
        <w:t>ي</w:t>
      </w:r>
      <w:r w:rsidRPr="00282AC9">
        <w:rPr>
          <w:rFonts w:ascii="Sakkal Majalla" w:hAnsi="Sakkal Majalla" w:cs="AL-Mohanad" w:hint="cs"/>
          <w:sz w:val="27"/>
          <w:szCs w:val="27"/>
          <w:rtl/>
        </w:rPr>
        <w:t>ها العلا</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مة</w:t>
      </w:r>
      <w:r w:rsidR="008C68B9" w:rsidRPr="00282AC9">
        <w:rPr>
          <w:rFonts w:ascii="Sakkal Majalla" w:hAnsi="Sakkal Majalla" w:cs="AL-Mohanad" w:hint="cs"/>
          <w:sz w:val="27"/>
          <w:szCs w:val="27"/>
          <w:rtl/>
        </w:rPr>
        <w:t xml:space="preserve"> الطباطبائي،</w:t>
      </w:r>
      <w:r w:rsidRPr="00282AC9">
        <w:rPr>
          <w:rFonts w:ascii="Sakkal Majalla" w:hAnsi="Sakkal Majalla" w:cs="AL-Mohanad" w:hint="cs"/>
          <w:sz w:val="27"/>
          <w:szCs w:val="27"/>
          <w:rtl/>
        </w:rPr>
        <w:t xml:space="preserve"> كروا</w:t>
      </w:r>
      <w:r w:rsidRPr="00282AC9">
        <w:rPr>
          <w:rFonts w:cs="AL-Mohanad" w:hint="cs"/>
          <w:sz w:val="27"/>
          <w:szCs w:val="27"/>
          <w:rtl/>
        </w:rPr>
        <w:t>ي</w:t>
      </w:r>
      <w:r w:rsidRPr="00282AC9">
        <w:rPr>
          <w:rFonts w:ascii="Sakkal Majalla" w:hAnsi="Sakkal Majalla" w:cs="AL-Mohanad" w:hint="cs"/>
          <w:sz w:val="27"/>
          <w:szCs w:val="27"/>
          <w:rtl/>
        </w:rPr>
        <w:t>ة ز</w:t>
      </w:r>
      <w:r w:rsidRPr="00282AC9">
        <w:rPr>
          <w:rFonts w:cs="AL-Mohanad" w:hint="cs"/>
          <w:sz w:val="27"/>
          <w:szCs w:val="27"/>
          <w:rtl/>
        </w:rPr>
        <w:t>ي</w:t>
      </w:r>
      <w:r w:rsidRPr="00282AC9">
        <w:rPr>
          <w:rFonts w:ascii="Sakkal Majalla" w:hAnsi="Sakkal Majalla" w:cs="AL-Mohanad" w:hint="cs"/>
          <w:sz w:val="27"/>
          <w:szCs w:val="27"/>
          <w:rtl/>
        </w:rPr>
        <w:t>د بن ثابت قال: قبض النبي</w:t>
      </w:r>
      <w:r w:rsidR="008C68B9"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ولم </w:t>
      </w:r>
      <w:r w:rsidRPr="00282AC9">
        <w:rPr>
          <w:rFonts w:cs="AL-Mohanad" w:hint="cs"/>
          <w:sz w:val="27"/>
          <w:szCs w:val="27"/>
          <w:rtl/>
        </w:rPr>
        <w:t>ي</w:t>
      </w:r>
      <w:r w:rsidRPr="00282AC9">
        <w:rPr>
          <w:rFonts w:ascii="Sakkal Majalla" w:hAnsi="Sakkal Majalla" w:cs="AL-Mohanad" w:hint="cs"/>
          <w:sz w:val="27"/>
          <w:szCs w:val="27"/>
          <w:rtl/>
        </w:rPr>
        <w:t>كن القر</w:t>
      </w:r>
      <w:r w:rsidR="008C68B9" w:rsidRPr="00282AC9">
        <w:rPr>
          <w:rFonts w:ascii="Sakkal Majalla" w:hAnsi="Sakkal Majalla" w:cs="AL-Mohanad" w:hint="cs"/>
          <w:sz w:val="27"/>
          <w:szCs w:val="27"/>
          <w:rtl/>
        </w:rPr>
        <w:t>آن</w:t>
      </w:r>
      <w:r w:rsidRPr="00282AC9">
        <w:rPr>
          <w:rFonts w:ascii="Sakkal Majalla" w:hAnsi="Sakkal Majalla" w:cs="AL-Mohanad" w:hint="cs"/>
          <w:sz w:val="27"/>
          <w:szCs w:val="27"/>
          <w:rtl/>
        </w:rPr>
        <w:t xml:space="preserve"> ج</w:t>
      </w:r>
      <w:r w:rsidR="00F734DE" w:rsidRPr="00282AC9">
        <w:rPr>
          <w:rFonts w:ascii="Sakkal Majalla" w:hAnsi="Sakkal Majalla" w:cs="AL-Mohanad" w:hint="cs"/>
          <w:sz w:val="27"/>
          <w:szCs w:val="27"/>
          <w:rtl/>
        </w:rPr>
        <w:t>ُ</w:t>
      </w:r>
      <w:r w:rsidRPr="00282AC9">
        <w:rPr>
          <w:rFonts w:ascii="Sakkal Majalla" w:hAnsi="Sakkal Majalla" w:cs="AL-Mohanad" w:hint="cs"/>
          <w:sz w:val="27"/>
          <w:szCs w:val="27"/>
          <w:rtl/>
        </w:rPr>
        <w:t>مع في شيء</w:t>
      </w:r>
      <w:r w:rsidR="008C68B9"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فإنّ عدم جمع القر</w:t>
      </w:r>
      <w:r w:rsidR="008C68B9" w:rsidRPr="00282AC9">
        <w:rPr>
          <w:rFonts w:ascii="Sakkal Majalla" w:hAnsi="Sakkal Majalla" w:cs="AL-Mohanad" w:hint="cs"/>
          <w:sz w:val="27"/>
          <w:szCs w:val="27"/>
          <w:rtl/>
        </w:rPr>
        <w:t>آ</w:t>
      </w:r>
      <w:r w:rsidRPr="00282AC9">
        <w:rPr>
          <w:rFonts w:ascii="Sakkal Majalla" w:hAnsi="Sakkal Majalla" w:cs="AL-Mohanad" w:hint="cs"/>
          <w:sz w:val="27"/>
          <w:szCs w:val="27"/>
          <w:rtl/>
        </w:rPr>
        <w:t>ن لا</w:t>
      </w:r>
      <w:r w:rsidR="008C68B9"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نسجم مع تعاب</w:t>
      </w:r>
      <w:r w:rsidRPr="00282AC9">
        <w:rPr>
          <w:rFonts w:cs="AL-Mohanad" w:hint="cs"/>
          <w:sz w:val="27"/>
          <w:szCs w:val="27"/>
          <w:rtl/>
        </w:rPr>
        <w:t>ي</w:t>
      </w:r>
      <w:r w:rsidRPr="00282AC9">
        <w:rPr>
          <w:rFonts w:ascii="Sakkal Majalla" w:hAnsi="Sakkal Majalla" w:cs="AL-Mohanad" w:hint="cs"/>
          <w:sz w:val="27"/>
          <w:szCs w:val="27"/>
          <w:rtl/>
        </w:rPr>
        <w:t>ر الآ</w:t>
      </w:r>
      <w:r w:rsidRPr="00282AC9">
        <w:rPr>
          <w:rFonts w:cs="AL-Mohanad" w:hint="cs"/>
          <w:sz w:val="27"/>
          <w:szCs w:val="27"/>
          <w:rtl/>
        </w:rPr>
        <w:t>ي</w:t>
      </w:r>
      <w:r w:rsidRPr="00282AC9">
        <w:rPr>
          <w:rFonts w:ascii="Sakkal Majalla" w:hAnsi="Sakkal Majalla" w:cs="AL-Mohanad" w:hint="cs"/>
          <w:sz w:val="27"/>
          <w:szCs w:val="27"/>
          <w:rtl/>
        </w:rPr>
        <w:t>ات التي عبّ</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ر</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ت</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عن القرآن بالكتاب؛ فإنّ التعب</w:t>
      </w:r>
      <w:r w:rsidRPr="00282AC9">
        <w:rPr>
          <w:rFonts w:cs="AL-Mohanad" w:hint="cs"/>
          <w:sz w:val="27"/>
          <w:szCs w:val="27"/>
          <w:rtl/>
        </w:rPr>
        <w:t>ي</w:t>
      </w:r>
      <w:r w:rsidRPr="00282AC9">
        <w:rPr>
          <w:rFonts w:ascii="Sakkal Majalla" w:hAnsi="Sakkal Majalla" w:cs="AL-Mohanad" w:hint="cs"/>
          <w:sz w:val="27"/>
          <w:szCs w:val="27"/>
          <w:rtl/>
        </w:rPr>
        <w:t>ر بالكتاب لا</w:t>
      </w:r>
      <w:r w:rsidR="008C68B9" w:rsidRPr="00282AC9">
        <w:rPr>
          <w:rFonts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طلق عل</w:t>
      </w:r>
      <w:r w:rsidR="008C68B9" w:rsidRPr="00282AC9">
        <w:rPr>
          <w:rFonts w:cs="AL-Mohanad" w:hint="cs"/>
          <w:sz w:val="27"/>
          <w:szCs w:val="27"/>
          <w:rtl/>
        </w:rPr>
        <w:t>ى</w:t>
      </w:r>
      <w:r w:rsidRPr="00282AC9">
        <w:rPr>
          <w:rFonts w:ascii="Sakkal Majalla" w:hAnsi="Sakkal Majalla" w:cs="AL-Mohanad" w:hint="cs"/>
          <w:sz w:val="27"/>
          <w:szCs w:val="27"/>
          <w:rtl/>
        </w:rPr>
        <w:t xml:space="preserve"> آ</w:t>
      </w:r>
      <w:r w:rsidRPr="00282AC9">
        <w:rPr>
          <w:rFonts w:cs="AL-Mohanad" w:hint="cs"/>
          <w:sz w:val="27"/>
          <w:szCs w:val="27"/>
          <w:rtl/>
        </w:rPr>
        <w:t>ي</w:t>
      </w:r>
      <w:r w:rsidRPr="00282AC9">
        <w:rPr>
          <w:rFonts w:ascii="Sakkal Majalla" w:hAnsi="Sakkal Majalla" w:cs="AL-Mohanad" w:hint="cs"/>
          <w:sz w:val="27"/>
          <w:szCs w:val="27"/>
          <w:rtl/>
        </w:rPr>
        <w:t>ات</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وجمل</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متناثرة عل</w:t>
      </w:r>
      <w:r w:rsidR="008C68B9" w:rsidRPr="00282AC9">
        <w:rPr>
          <w:rFonts w:cs="AL-Mohanad" w:hint="cs"/>
          <w:sz w:val="27"/>
          <w:szCs w:val="27"/>
          <w:rtl/>
        </w:rPr>
        <w:t>ى</w:t>
      </w:r>
      <w:r w:rsidRPr="00282AC9">
        <w:rPr>
          <w:rFonts w:ascii="Sakkal Majalla" w:hAnsi="Sakkal Majalla" w:cs="AL-Mohanad" w:hint="cs"/>
          <w:sz w:val="27"/>
          <w:szCs w:val="27"/>
          <w:rtl/>
        </w:rPr>
        <w:t xml:space="preserve"> خشب</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وعسب</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وقراط</w:t>
      </w:r>
      <w:r w:rsidRPr="00282AC9">
        <w:rPr>
          <w:rFonts w:cs="AL-Mohanad" w:hint="cs"/>
          <w:sz w:val="27"/>
          <w:szCs w:val="27"/>
          <w:rtl/>
        </w:rPr>
        <w:t>ي</w:t>
      </w:r>
      <w:r w:rsidRPr="00282AC9">
        <w:rPr>
          <w:rFonts w:ascii="Sakkal Majalla" w:hAnsi="Sakkal Majalla" w:cs="AL-Mohanad" w:hint="cs"/>
          <w:sz w:val="27"/>
          <w:szCs w:val="27"/>
          <w:rtl/>
        </w:rPr>
        <w:t>س وغ</w:t>
      </w:r>
      <w:r w:rsidRPr="00282AC9">
        <w:rPr>
          <w:rFonts w:cs="AL-Mohanad" w:hint="cs"/>
          <w:sz w:val="27"/>
          <w:szCs w:val="27"/>
          <w:rtl/>
        </w:rPr>
        <w:t>ي</w:t>
      </w:r>
      <w:r w:rsidR="00F734DE" w:rsidRPr="00282AC9">
        <w:rPr>
          <w:rFonts w:ascii="Sakkal Majalla" w:hAnsi="Sakkal Majalla" w:cs="AL-Mohanad" w:hint="cs"/>
          <w:sz w:val="27"/>
          <w:szCs w:val="27"/>
          <w:rtl/>
        </w:rPr>
        <w:t>رها.</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أض</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ف</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إلى ذلك أنّنا نجد التناقض الواضح في كلام</w:t>
      </w:r>
      <w:r w:rsidR="008C68B9" w:rsidRPr="00282AC9">
        <w:rPr>
          <w:rFonts w:ascii="Sakkal Majalla" w:hAnsi="Sakkal Majalla" w:cs="AL-Mohanad" w:hint="cs"/>
          <w:sz w:val="27"/>
          <w:szCs w:val="27"/>
          <w:rtl/>
        </w:rPr>
        <w:t xml:space="preserve"> العلاّمة؛</w:t>
      </w:r>
      <w:r w:rsidRPr="00282AC9">
        <w:rPr>
          <w:rFonts w:ascii="Sakkal Majalla" w:hAnsi="Sakkal Majalla" w:cs="AL-Mohanad" w:hint="cs"/>
          <w:sz w:val="27"/>
          <w:szCs w:val="27"/>
          <w:rtl/>
        </w:rPr>
        <w:t xml:space="preserve"> فهو من جهة</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ذكر أنّ الآ</w:t>
      </w:r>
      <w:r w:rsidRPr="00282AC9">
        <w:rPr>
          <w:rFonts w:cs="AL-Mohanad" w:hint="cs"/>
          <w:sz w:val="27"/>
          <w:szCs w:val="27"/>
          <w:rtl/>
        </w:rPr>
        <w:t>ي</w:t>
      </w:r>
      <w:r w:rsidRPr="00282AC9">
        <w:rPr>
          <w:rFonts w:ascii="Sakkal Majalla" w:hAnsi="Sakkal Majalla" w:cs="AL-Mohanad" w:hint="cs"/>
          <w:sz w:val="27"/>
          <w:szCs w:val="27"/>
          <w:rtl/>
        </w:rPr>
        <w:t>ات كانت مرت</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بة</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عند النبي</w:t>
      </w:r>
      <w:r w:rsidR="008C68B9"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بح</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ب نزولها</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فكانت المك</w:t>
      </w:r>
      <w:r w:rsidR="008C68B9" w:rsidRPr="00282AC9">
        <w:rPr>
          <w:rFonts w:ascii="Sakkal Majalla" w:hAnsi="Sakkal Majalla" w:cs="AL-Mohanad" w:hint="cs"/>
          <w:sz w:val="27"/>
          <w:szCs w:val="27"/>
          <w:rtl/>
        </w:rPr>
        <w:t>ّ</w:t>
      </w:r>
      <w:r w:rsidRPr="00282AC9">
        <w:rPr>
          <w:rFonts w:cs="AL-Mohanad" w:hint="cs"/>
          <w:sz w:val="27"/>
          <w:szCs w:val="27"/>
          <w:rtl/>
        </w:rPr>
        <w:t>ي</w:t>
      </w:r>
      <w:r w:rsidRPr="00282AC9">
        <w:rPr>
          <w:rFonts w:ascii="Sakkal Majalla" w:hAnsi="Sakkal Majalla" w:cs="AL-Mohanad" w:hint="cs"/>
          <w:sz w:val="27"/>
          <w:szCs w:val="27"/>
          <w:rtl/>
        </w:rPr>
        <w:t>ات في السور المك</w:t>
      </w:r>
      <w:r w:rsidR="008C68B9" w:rsidRPr="00282AC9">
        <w:rPr>
          <w:rFonts w:ascii="Sakkal Majalla" w:hAnsi="Sakkal Majalla" w:cs="AL-Mohanad" w:hint="cs"/>
          <w:sz w:val="27"/>
          <w:szCs w:val="27"/>
          <w:rtl/>
        </w:rPr>
        <w:t>ّ</w:t>
      </w:r>
      <w:r w:rsidRPr="00282AC9">
        <w:rPr>
          <w:rFonts w:cs="AL-Mohanad" w:hint="cs"/>
          <w:sz w:val="27"/>
          <w:szCs w:val="27"/>
          <w:rtl/>
        </w:rPr>
        <w:t>ي</w:t>
      </w:r>
      <w:r w:rsidRPr="00282AC9">
        <w:rPr>
          <w:rFonts w:ascii="Sakkal Majalla" w:hAnsi="Sakkal Majalla" w:cs="AL-Mohanad" w:hint="cs"/>
          <w:sz w:val="27"/>
          <w:szCs w:val="27"/>
          <w:rtl/>
        </w:rPr>
        <w:t>ة والمدن</w:t>
      </w:r>
      <w:r w:rsidRPr="00282AC9">
        <w:rPr>
          <w:rFonts w:cs="AL-Mohanad" w:hint="cs"/>
          <w:sz w:val="27"/>
          <w:szCs w:val="27"/>
          <w:rtl/>
        </w:rPr>
        <w:t>ي</w:t>
      </w:r>
      <w:r w:rsidRPr="00282AC9">
        <w:rPr>
          <w:rFonts w:ascii="Sakkal Majalla" w:hAnsi="Sakkal Majalla" w:cs="AL-Mohanad" w:hint="cs"/>
          <w:sz w:val="27"/>
          <w:szCs w:val="27"/>
          <w:rtl/>
        </w:rPr>
        <w:t>ات في السور المدن</w:t>
      </w:r>
      <w:r w:rsidRPr="00282AC9">
        <w:rPr>
          <w:rFonts w:cs="AL-Mohanad" w:hint="cs"/>
          <w:sz w:val="27"/>
          <w:szCs w:val="27"/>
          <w:rtl/>
        </w:rPr>
        <w:t>ي</w:t>
      </w:r>
      <w:r w:rsidR="008C68B9" w:rsidRPr="00282AC9">
        <w:rPr>
          <w:rFonts w:cs="AL-Mohanad" w:hint="cs"/>
          <w:sz w:val="27"/>
          <w:szCs w:val="27"/>
          <w:rtl/>
        </w:rPr>
        <w:t>ّ</w:t>
      </w:r>
      <w:r w:rsidRPr="00282AC9">
        <w:rPr>
          <w:rFonts w:ascii="Sakkal Majalla" w:hAnsi="Sakkal Majalla" w:cs="AL-Mohanad" w:hint="cs"/>
          <w:sz w:val="27"/>
          <w:szCs w:val="27"/>
          <w:rtl/>
        </w:rPr>
        <w:t>ة</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ومن جهة</w:t>
      </w:r>
      <w:r w:rsidR="008C68B9" w:rsidRPr="00282AC9">
        <w:rPr>
          <w:rFonts w:ascii="Sakkal Majalla" w:hAnsi="Sakkal Majalla" w:cs="AL-Mohanad" w:hint="cs"/>
          <w:sz w:val="27"/>
          <w:szCs w:val="27"/>
          <w:rtl/>
        </w:rPr>
        <w:t>ٍ</w:t>
      </w:r>
      <w:r w:rsidR="00F734DE" w:rsidRPr="00282AC9">
        <w:rPr>
          <w:rFonts w:ascii="Sakkal Majalla" w:hAnsi="Sakkal Majalla" w:cs="AL-Mohanad" w:hint="cs"/>
          <w:sz w:val="27"/>
          <w:szCs w:val="27"/>
          <w:rtl/>
        </w:rPr>
        <w:t xml:space="preserve"> أ</w:t>
      </w:r>
      <w:r w:rsidRPr="00282AC9">
        <w:rPr>
          <w:rFonts w:ascii="Sakkal Majalla" w:hAnsi="Sakkal Majalla" w:cs="AL-Mohanad" w:hint="cs"/>
          <w:sz w:val="27"/>
          <w:szCs w:val="27"/>
          <w:rtl/>
        </w:rPr>
        <w:t>خر</w:t>
      </w:r>
      <w:r w:rsidR="008C68B9" w:rsidRPr="00282AC9">
        <w:rPr>
          <w:rFonts w:cs="AL-Mohanad" w:hint="cs"/>
          <w:sz w:val="27"/>
          <w:szCs w:val="27"/>
          <w:rtl/>
        </w:rPr>
        <w:t>ى</w:t>
      </w:r>
      <w:r w:rsidRPr="00282AC9">
        <w:rPr>
          <w:rFonts w:ascii="Sakkal Majalla" w:hAnsi="Sakkal Majalla" w:cs="AL-Mohanad" w:hint="cs"/>
          <w:sz w:val="27"/>
          <w:szCs w:val="27"/>
          <w:rtl/>
        </w:rPr>
        <w:t xml:space="preserve"> نر</w:t>
      </w:r>
      <w:r w:rsidR="008C68B9" w:rsidRPr="00282AC9">
        <w:rPr>
          <w:rFonts w:cs="AL-Mohanad" w:hint="cs"/>
          <w:sz w:val="27"/>
          <w:szCs w:val="27"/>
          <w:rtl/>
        </w:rPr>
        <w:t>ى</w:t>
      </w:r>
      <w:r w:rsidRPr="00282AC9">
        <w:rPr>
          <w:rFonts w:ascii="Sakkal Majalla" w:hAnsi="Sakkal Majalla" w:cs="AL-Mohanad" w:hint="cs"/>
          <w:sz w:val="27"/>
          <w:szCs w:val="27"/>
          <w:rtl/>
        </w:rPr>
        <w:t xml:space="preserve"> أنّه </w:t>
      </w:r>
      <w:r w:rsidRPr="00282AC9">
        <w:rPr>
          <w:rFonts w:cs="AL-Mohanad" w:hint="cs"/>
          <w:sz w:val="27"/>
          <w:szCs w:val="27"/>
          <w:rtl/>
        </w:rPr>
        <w:t>ي</w:t>
      </w:r>
      <w:r w:rsidRPr="00282AC9">
        <w:rPr>
          <w:rFonts w:ascii="Sakkal Majalla" w:hAnsi="Sakkal Majalla" w:cs="AL-Mohanad" w:hint="cs"/>
          <w:sz w:val="27"/>
          <w:szCs w:val="27"/>
          <w:rtl/>
        </w:rPr>
        <w:t>ستند إلى روا</w:t>
      </w:r>
      <w:r w:rsidRPr="00282AC9">
        <w:rPr>
          <w:rFonts w:cs="AL-Mohanad" w:hint="cs"/>
          <w:sz w:val="27"/>
          <w:szCs w:val="27"/>
          <w:rtl/>
        </w:rPr>
        <w:t>ي</w:t>
      </w:r>
      <w:r w:rsidRPr="00282AC9">
        <w:rPr>
          <w:rFonts w:ascii="Sakkal Majalla" w:hAnsi="Sakkal Majalla" w:cs="AL-Mohanad" w:hint="cs"/>
          <w:sz w:val="27"/>
          <w:szCs w:val="27"/>
          <w:rtl/>
        </w:rPr>
        <w:t>ات</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وأخبار صر</w:t>
      </w:r>
      <w:r w:rsidRPr="00282AC9">
        <w:rPr>
          <w:rFonts w:cs="AL-Mohanad" w:hint="cs"/>
          <w:sz w:val="27"/>
          <w:szCs w:val="27"/>
          <w:rtl/>
        </w:rPr>
        <w:t>ي</w:t>
      </w:r>
      <w:r w:rsidRPr="00282AC9">
        <w:rPr>
          <w:rFonts w:ascii="Sakkal Majalla" w:hAnsi="Sakkal Majalla" w:cs="AL-Mohanad" w:hint="cs"/>
          <w:sz w:val="27"/>
          <w:szCs w:val="27"/>
          <w:rtl/>
        </w:rPr>
        <w:t>حة في أنّ القر</w:t>
      </w:r>
      <w:r w:rsidR="008C68B9" w:rsidRPr="00282AC9">
        <w:rPr>
          <w:rFonts w:ascii="Sakkal Majalla" w:hAnsi="Sakkal Majalla" w:cs="AL-Mohanad" w:hint="cs"/>
          <w:sz w:val="27"/>
          <w:szCs w:val="27"/>
          <w:rtl/>
        </w:rPr>
        <w:t>آ</w:t>
      </w:r>
      <w:r w:rsidRPr="00282AC9">
        <w:rPr>
          <w:rFonts w:ascii="Sakkal Majalla" w:hAnsi="Sakkal Majalla" w:cs="AL-Mohanad" w:hint="cs"/>
          <w:sz w:val="27"/>
          <w:szCs w:val="27"/>
          <w:rtl/>
        </w:rPr>
        <w:t xml:space="preserve">ن لم </w:t>
      </w:r>
      <w:r w:rsidRPr="00282AC9">
        <w:rPr>
          <w:rFonts w:cs="AL-Mohanad" w:hint="cs"/>
          <w:sz w:val="27"/>
          <w:szCs w:val="27"/>
          <w:rtl/>
        </w:rPr>
        <w:t>ي</w:t>
      </w:r>
      <w:r w:rsidRPr="00282AC9">
        <w:rPr>
          <w:rFonts w:ascii="Sakkal Majalla" w:hAnsi="Sakkal Majalla" w:cs="AL-Mohanad" w:hint="cs"/>
          <w:sz w:val="27"/>
          <w:szCs w:val="27"/>
          <w:rtl/>
        </w:rPr>
        <w:t>جمع في عهد النبي</w:t>
      </w:r>
      <w:r w:rsidR="008C68B9"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فك</w:t>
      </w:r>
      <w:r w:rsidRPr="00282AC9">
        <w:rPr>
          <w:rFonts w:cs="AL-Mohanad" w:hint="cs"/>
          <w:sz w:val="27"/>
          <w:szCs w:val="27"/>
          <w:rtl/>
        </w:rPr>
        <w:t>ي</w:t>
      </w:r>
      <w:r w:rsidRPr="00282AC9">
        <w:rPr>
          <w:rFonts w:ascii="Sakkal Majalla" w:hAnsi="Sakkal Majalla" w:cs="AL-Mohanad" w:hint="cs"/>
          <w:sz w:val="27"/>
          <w:szCs w:val="27"/>
          <w:rtl/>
        </w:rPr>
        <w:t xml:space="preserve">ف </w:t>
      </w:r>
      <w:r w:rsidRPr="00282AC9">
        <w:rPr>
          <w:rFonts w:cs="AL-Mohanad" w:hint="cs"/>
          <w:sz w:val="27"/>
          <w:szCs w:val="27"/>
          <w:rtl/>
        </w:rPr>
        <w:t>ي</w:t>
      </w:r>
      <w:r w:rsidRPr="00282AC9">
        <w:rPr>
          <w:rFonts w:ascii="Sakkal Majalla" w:hAnsi="Sakkal Majalla" w:cs="AL-Mohanad" w:hint="cs"/>
          <w:sz w:val="27"/>
          <w:szCs w:val="27"/>
          <w:rtl/>
        </w:rPr>
        <w:t>كون ترت</w:t>
      </w:r>
      <w:r w:rsidRPr="00282AC9">
        <w:rPr>
          <w:rFonts w:cs="AL-Mohanad" w:hint="cs"/>
          <w:sz w:val="27"/>
          <w:szCs w:val="27"/>
          <w:rtl/>
        </w:rPr>
        <w:t>ي</w:t>
      </w:r>
      <w:r w:rsidRPr="00282AC9">
        <w:rPr>
          <w:rFonts w:ascii="Sakkal Majalla" w:hAnsi="Sakkal Majalla" w:cs="AL-Mohanad" w:hint="cs"/>
          <w:sz w:val="27"/>
          <w:szCs w:val="27"/>
          <w:rtl/>
        </w:rPr>
        <w:t>ب الآ</w:t>
      </w:r>
      <w:r w:rsidRPr="00282AC9">
        <w:rPr>
          <w:rFonts w:cs="AL-Mohanad" w:hint="cs"/>
          <w:sz w:val="27"/>
          <w:szCs w:val="27"/>
          <w:rtl/>
        </w:rPr>
        <w:t>ي</w:t>
      </w:r>
      <w:r w:rsidRPr="00282AC9">
        <w:rPr>
          <w:rFonts w:ascii="Sakkal Majalla" w:hAnsi="Sakkal Majalla" w:cs="AL-Mohanad" w:hint="cs"/>
          <w:sz w:val="27"/>
          <w:szCs w:val="27"/>
          <w:rtl/>
        </w:rPr>
        <w:t>ات ح</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س</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ب النزول وهي لم ت</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ج</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م</w:t>
      </w:r>
      <w:r w:rsidR="008C68B9" w:rsidRPr="00282AC9">
        <w:rPr>
          <w:rFonts w:ascii="Sakkal Majalla" w:hAnsi="Sakkal Majalla" w:cs="AL-Mohanad" w:hint="cs"/>
          <w:sz w:val="27"/>
          <w:szCs w:val="27"/>
          <w:rtl/>
        </w:rPr>
        <w:t>َ</w:t>
      </w:r>
      <w:r w:rsidRPr="00282AC9">
        <w:rPr>
          <w:rFonts w:ascii="Sakkal Majalla" w:hAnsi="Sakkal Majalla" w:cs="AL-Mohanad" w:hint="cs"/>
          <w:sz w:val="27"/>
          <w:szCs w:val="27"/>
          <w:rtl/>
        </w:rPr>
        <w:t>ع بعد؟!</w:t>
      </w:r>
    </w:p>
    <w:p w:rsidR="00EF541F" w:rsidRPr="00282AC9" w:rsidRDefault="00EF541F" w:rsidP="00EF541F">
      <w:pPr>
        <w:spacing w:line="420" w:lineRule="exact"/>
        <w:rPr>
          <w:sz w:val="27"/>
          <w:rtl/>
        </w:rPr>
      </w:pPr>
    </w:p>
    <w:p w:rsidR="00AD6E36" w:rsidRPr="00282AC9" w:rsidRDefault="00AD6E36" w:rsidP="008C68B9">
      <w:pPr>
        <w:pStyle w:val="31"/>
        <w:rPr>
          <w:color w:val="auto"/>
          <w:rtl/>
        </w:rPr>
      </w:pPr>
      <w:r w:rsidRPr="00282AC9">
        <w:rPr>
          <w:rFonts w:hint="cs"/>
          <w:color w:val="auto"/>
          <w:rtl/>
        </w:rPr>
        <w:t xml:space="preserve">الثاني: </w:t>
      </w:r>
      <w:r w:rsidR="008C68B9" w:rsidRPr="00282AC9">
        <w:rPr>
          <w:rFonts w:hint="cs"/>
          <w:color w:val="auto"/>
          <w:rtl/>
        </w:rPr>
        <w:t>إ</w:t>
      </w:r>
      <w:r w:rsidRPr="00282AC9">
        <w:rPr>
          <w:rFonts w:hint="cs"/>
          <w:color w:val="auto"/>
          <w:rtl/>
        </w:rPr>
        <w:t>طلاق لفظ السورة في الآيات</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لقد جاء في </w:t>
      </w:r>
      <w:r w:rsidR="00CF29E5" w:rsidRPr="00282AC9">
        <w:rPr>
          <w:rFonts w:ascii="Sakkal Majalla" w:hAnsi="Sakkal Majalla" w:cs="AL-Mohanad" w:hint="cs"/>
          <w:sz w:val="27"/>
          <w:szCs w:val="27"/>
          <w:rtl/>
        </w:rPr>
        <w:t xml:space="preserve">عدّةٍ من </w:t>
      </w:r>
      <w:r w:rsidRPr="00282AC9">
        <w:rPr>
          <w:rFonts w:ascii="Sakkal Majalla" w:hAnsi="Sakkal Majalla" w:cs="AL-Mohanad" w:hint="cs"/>
          <w:sz w:val="27"/>
          <w:szCs w:val="27"/>
          <w:rtl/>
        </w:rPr>
        <w:t>الآ</w:t>
      </w:r>
      <w:r w:rsidRPr="00282AC9">
        <w:rPr>
          <w:rFonts w:cs="AL-Mohanad" w:hint="cs"/>
          <w:sz w:val="27"/>
          <w:szCs w:val="27"/>
          <w:rtl/>
        </w:rPr>
        <w:t>ي</w:t>
      </w:r>
      <w:r w:rsidRPr="00282AC9">
        <w:rPr>
          <w:rFonts w:ascii="Sakkal Majalla" w:hAnsi="Sakkal Majalla" w:cs="AL-Mohanad" w:hint="cs"/>
          <w:sz w:val="27"/>
          <w:szCs w:val="27"/>
          <w:rtl/>
        </w:rPr>
        <w:t>ات القر</w:t>
      </w:r>
      <w:r w:rsidR="008C68B9"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Pr="00282AC9">
        <w:rPr>
          <w:rFonts w:cs="AL-Mohanad" w:hint="cs"/>
          <w:sz w:val="27"/>
          <w:szCs w:val="27"/>
          <w:rtl/>
        </w:rPr>
        <w:t>ي</w:t>
      </w:r>
      <w:r w:rsidRPr="00282AC9">
        <w:rPr>
          <w:rFonts w:ascii="Sakkal Majalla" w:hAnsi="Sakkal Majalla" w:cs="AL-Mohanad" w:hint="cs"/>
          <w:sz w:val="27"/>
          <w:szCs w:val="27"/>
          <w:rtl/>
        </w:rPr>
        <w:t>ة التعب</w:t>
      </w:r>
      <w:r w:rsidRPr="00282AC9">
        <w:rPr>
          <w:rFonts w:cs="AL-Mohanad" w:hint="cs"/>
          <w:sz w:val="27"/>
          <w:szCs w:val="27"/>
          <w:rtl/>
        </w:rPr>
        <w:t>ي</w:t>
      </w:r>
      <w:r w:rsidRPr="00282AC9">
        <w:rPr>
          <w:rFonts w:ascii="Sakkal Majalla" w:hAnsi="Sakkal Majalla" w:cs="AL-Mohanad" w:hint="cs"/>
          <w:sz w:val="27"/>
          <w:szCs w:val="27"/>
          <w:rtl/>
        </w:rPr>
        <w:t>ر بالسورة والسور، قال تعالى</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ascii="Mosawi" w:hAnsi="Mosawi" w:cs="Mosawi"/>
          <w:rtl/>
        </w:rPr>
        <w:t>﴿</w:t>
      </w:r>
      <w:r w:rsidRPr="00282AC9">
        <w:rPr>
          <w:rFonts w:ascii="Sakkal Majalla" w:hAnsi="Sakkal Majalla" w:cs="AL-Mohanad"/>
          <w:b/>
          <w:bCs/>
          <w:sz w:val="27"/>
          <w:szCs w:val="27"/>
          <w:rtl/>
        </w:rPr>
        <w:t>أَمْ يَقُولُونَ افْتَر</w:t>
      </w:r>
      <w:r w:rsidR="00CF29E5" w:rsidRPr="00282AC9">
        <w:rPr>
          <w:rFonts w:ascii="Sakkal Majalla" w:hAnsi="Sakkal Majalla" w:cs="AL-Mohanad" w:hint="cs"/>
          <w:b/>
          <w:bCs/>
          <w:sz w:val="27"/>
          <w:szCs w:val="27"/>
          <w:rtl/>
        </w:rPr>
        <w:t>َ</w:t>
      </w:r>
      <w:r w:rsidRPr="00282AC9">
        <w:rPr>
          <w:rFonts w:ascii="Sakkal Majalla" w:hAnsi="Sakkal Majalla" w:cs="AL-Mohanad"/>
          <w:b/>
          <w:bCs/>
          <w:sz w:val="27"/>
          <w:szCs w:val="27"/>
          <w:rtl/>
        </w:rPr>
        <w:t>اهُ قُلْ فَأْتُوا بِسُورَةٍ مِثْلِهِ و</w:t>
      </w:r>
      <w:r w:rsidR="00CF29E5" w:rsidRPr="00282AC9">
        <w:rPr>
          <w:rFonts w:ascii="Sakkal Majalla" w:hAnsi="Sakkal Majalla" w:cs="AL-Mohanad" w:hint="cs"/>
          <w:b/>
          <w:bCs/>
          <w:sz w:val="27"/>
          <w:szCs w:val="27"/>
          <w:rtl/>
        </w:rPr>
        <w:t>َ</w:t>
      </w:r>
      <w:r w:rsidRPr="00282AC9">
        <w:rPr>
          <w:rFonts w:ascii="Sakkal Majalla" w:hAnsi="Sakkal Majalla" w:cs="AL-Mohanad"/>
          <w:b/>
          <w:bCs/>
          <w:sz w:val="27"/>
          <w:szCs w:val="27"/>
          <w:rtl/>
        </w:rPr>
        <w:t xml:space="preserve">ادْعُوا مَنِ اسْتَطَعْتُمْ مِنْ دُونِ </w:t>
      </w:r>
      <w:r w:rsidR="00C06BE6" w:rsidRPr="00282AC9">
        <w:rPr>
          <w:rFonts w:ascii="Sakkal Majalla" w:hAnsi="Sakkal Majalla" w:cs="AL-Mohanad"/>
          <w:b/>
          <w:bCs/>
          <w:sz w:val="27"/>
          <w:szCs w:val="27"/>
          <w:rtl/>
        </w:rPr>
        <w:t>الل</w:t>
      </w:r>
      <w:r w:rsidRPr="00282AC9">
        <w:rPr>
          <w:rFonts w:ascii="Sakkal Majalla" w:hAnsi="Sakkal Majalla" w:cs="AL-Mohanad"/>
          <w:b/>
          <w:bCs/>
          <w:sz w:val="27"/>
          <w:szCs w:val="27"/>
          <w:rtl/>
        </w:rPr>
        <w:t>هِ إِنْ كُنْتُمْ ص</w:t>
      </w:r>
      <w:r w:rsidR="00CF29E5" w:rsidRPr="00282AC9">
        <w:rPr>
          <w:rFonts w:ascii="Sakkal Majalla" w:hAnsi="Sakkal Majalla" w:cs="AL-Mohanad" w:hint="cs"/>
          <w:b/>
          <w:bCs/>
          <w:sz w:val="27"/>
          <w:szCs w:val="27"/>
          <w:rtl/>
        </w:rPr>
        <w:t>َ</w:t>
      </w:r>
      <w:r w:rsidRPr="00282AC9">
        <w:rPr>
          <w:rFonts w:ascii="Sakkal Majalla" w:hAnsi="Sakkal Majalla" w:cs="AL-Mohanad"/>
          <w:b/>
          <w:bCs/>
          <w:sz w:val="27"/>
          <w:szCs w:val="27"/>
          <w:rtl/>
        </w:rPr>
        <w:t>ادِقِين</w:t>
      </w:r>
      <w:r w:rsidR="00CF29E5" w:rsidRPr="00282AC9">
        <w:rPr>
          <w:rFonts w:ascii="Sakkal Majalla" w:hAnsi="Sakkal Majalla" w:cs="AL-Mohanad" w:hint="cs"/>
          <w:b/>
          <w:bCs/>
          <w:sz w:val="27"/>
          <w:szCs w:val="27"/>
          <w:rtl/>
        </w:rPr>
        <w:t>َ</w:t>
      </w:r>
      <w:r w:rsidRPr="00282AC9">
        <w:rPr>
          <w:rFonts w:ascii="Sakkal Majalla" w:hAnsi="Sakkal Majalla" w:cs="AL-Mohanad"/>
          <w:sz w:val="27"/>
          <w:szCs w:val="27"/>
          <w:rtl/>
        </w:rPr>
        <w:t>‏</w:t>
      </w:r>
      <w:r w:rsidR="00CF29E5" w:rsidRPr="00282AC9">
        <w:rPr>
          <w:rFonts w:ascii="Sakkal Majalla" w:hAnsi="Sakkal Majalla" w:cs="AL-Mohanad" w:hint="cs"/>
          <w:sz w:val="27"/>
          <w:szCs w:val="27"/>
          <w:rtl/>
        </w:rPr>
        <w:t>َ</w:t>
      </w:r>
      <w:r w:rsidRPr="00282AC9">
        <w:rPr>
          <w:rFonts w:ascii="Mosawi" w:hAnsi="Mosawi" w:cs="Mosawi"/>
          <w:rtl/>
        </w:rPr>
        <w:t>﴾</w:t>
      </w:r>
      <w:r w:rsidRPr="00282AC9">
        <w:rPr>
          <w:rFonts w:ascii="Sakkal Majalla" w:eastAsiaTheme="minorHAnsi" w:hAnsi="Sakkal Majalla" w:cs="AL-Mohanad" w:hint="cs"/>
          <w:sz w:val="27"/>
          <w:szCs w:val="27"/>
          <w:rtl/>
        </w:rPr>
        <w:t xml:space="preserve"> (يونس: 38)</w:t>
      </w:r>
      <w:r w:rsidR="00CF29E5" w:rsidRPr="00282AC9">
        <w:rPr>
          <w:rFonts w:cs="AL-Mohanad" w:hint="cs"/>
          <w:sz w:val="27"/>
          <w:szCs w:val="27"/>
          <w:rtl/>
        </w:rPr>
        <w:t>،</w:t>
      </w:r>
      <w:r w:rsidRPr="00282AC9">
        <w:rPr>
          <w:rFonts w:cs="AL-Mohanad" w:hint="cs"/>
          <w:sz w:val="27"/>
          <w:szCs w:val="27"/>
          <w:rtl/>
        </w:rPr>
        <w:t xml:space="preserve"> و</w:t>
      </w:r>
      <w:r w:rsidRPr="00282AC9">
        <w:rPr>
          <w:rFonts w:ascii="Sakkal Majalla" w:hAnsi="Sakkal Majalla" w:cs="AL-Mohanad"/>
          <w:sz w:val="27"/>
          <w:szCs w:val="27"/>
          <w:rtl/>
        </w:rPr>
        <w:t>قال سبحانه</w:t>
      </w:r>
      <w:r w:rsidR="00CF29E5"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Mosawi" w:hAnsi="Mosawi" w:cs="Mosawi"/>
          <w:rtl/>
        </w:rPr>
        <w:t>﴿</w:t>
      </w:r>
      <w:r w:rsidRPr="00282AC9">
        <w:rPr>
          <w:rFonts w:ascii="Sakkal Majalla" w:hAnsi="Sakkal Majalla" w:cs="AL-Mohanad"/>
          <w:b/>
          <w:bCs/>
          <w:sz w:val="27"/>
          <w:szCs w:val="27"/>
          <w:rtl/>
        </w:rPr>
        <w:t>أَمْ يَقُولُونَ افْتَر</w:t>
      </w:r>
      <w:r w:rsidR="00CF29E5" w:rsidRPr="00282AC9">
        <w:rPr>
          <w:rFonts w:ascii="Sakkal Majalla" w:hAnsi="Sakkal Majalla" w:cs="AL-Mohanad" w:hint="cs"/>
          <w:b/>
          <w:bCs/>
          <w:sz w:val="27"/>
          <w:szCs w:val="27"/>
          <w:rtl/>
        </w:rPr>
        <w:t>َ</w:t>
      </w:r>
      <w:r w:rsidRPr="00282AC9">
        <w:rPr>
          <w:rFonts w:ascii="Sakkal Majalla" w:hAnsi="Sakkal Majalla" w:cs="AL-Mohanad"/>
          <w:b/>
          <w:bCs/>
          <w:sz w:val="27"/>
          <w:szCs w:val="27"/>
          <w:rtl/>
        </w:rPr>
        <w:t xml:space="preserve">اهُ قُلْ فَأْتُوا بِعَشْرِ سُوَرٍ مِثْلِهِ </w:t>
      </w:r>
      <w:r w:rsidRPr="00282AC9">
        <w:rPr>
          <w:rFonts w:ascii="Sakkal Majalla" w:hAnsi="Sakkal Majalla" w:cs="AL-Mohanad"/>
          <w:b/>
          <w:bCs/>
          <w:sz w:val="27"/>
          <w:szCs w:val="27"/>
          <w:rtl/>
        </w:rPr>
        <w:lastRenderedPageBreak/>
        <w:t>مُفْتَرَي</w:t>
      </w:r>
      <w:r w:rsidR="00CF29E5" w:rsidRPr="00282AC9">
        <w:rPr>
          <w:rFonts w:ascii="Sakkal Majalla" w:hAnsi="Sakkal Majalla" w:cs="AL-Mohanad" w:hint="cs"/>
          <w:b/>
          <w:bCs/>
          <w:sz w:val="27"/>
          <w:szCs w:val="27"/>
          <w:rtl/>
        </w:rPr>
        <w:t>َ</w:t>
      </w:r>
      <w:r w:rsidRPr="00282AC9">
        <w:rPr>
          <w:rFonts w:ascii="Sakkal Majalla" w:hAnsi="Sakkal Majalla" w:cs="AL-Mohanad"/>
          <w:b/>
          <w:bCs/>
          <w:sz w:val="27"/>
          <w:szCs w:val="27"/>
          <w:rtl/>
        </w:rPr>
        <w:t>اتٍ و</w:t>
      </w:r>
      <w:r w:rsidR="00CF29E5" w:rsidRPr="00282AC9">
        <w:rPr>
          <w:rFonts w:ascii="Sakkal Majalla" w:hAnsi="Sakkal Majalla" w:cs="AL-Mohanad" w:hint="cs"/>
          <w:b/>
          <w:bCs/>
          <w:sz w:val="27"/>
          <w:szCs w:val="27"/>
          <w:rtl/>
        </w:rPr>
        <w:t>َ</w:t>
      </w:r>
      <w:r w:rsidRPr="00282AC9">
        <w:rPr>
          <w:rFonts w:ascii="Sakkal Majalla" w:hAnsi="Sakkal Majalla" w:cs="AL-Mohanad"/>
          <w:b/>
          <w:bCs/>
          <w:sz w:val="27"/>
          <w:szCs w:val="27"/>
          <w:rtl/>
        </w:rPr>
        <w:t xml:space="preserve">ادْعُوا مَنِ اسْتَطَعْتُمْ مِنْ دُونِ </w:t>
      </w:r>
      <w:r w:rsidR="00C06BE6" w:rsidRPr="00282AC9">
        <w:rPr>
          <w:rFonts w:ascii="Sakkal Majalla" w:hAnsi="Sakkal Majalla" w:cs="AL-Mohanad"/>
          <w:b/>
          <w:bCs/>
          <w:sz w:val="27"/>
          <w:szCs w:val="27"/>
          <w:rtl/>
        </w:rPr>
        <w:t>الل</w:t>
      </w:r>
      <w:r w:rsidRPr="00282AC9">
        <w:rPr>
          <w:rFonts w:ascii="Sakkal Majalla" w:hAnsi="Sakkal Majalla" w:cs="AL-Mohanad"/>
          <w:b/>
          <w:bCs/>
          <w:sz w:val="27"/>
          <w:szCs w:val="27"/>
          <w:rtl/>
        </w:rPr>
        <w:t>هِ إِنْ كُنْتُمْ ص</w:t>
      </w:r>
      <w:r w:rsidR="00CF29E5" w:rsidRPr="00282AC9">
        <w:rPr>
          <w:rFonts w:ascii="Sakkal Majalla" w:hAnsi="Sakkal Majalla" w:cs="AL-Mohanad" w:hint="cs"/>
          <w:b/>
          <w:bCs/>
          <w:sz w:val="27"/>
          <w:szCs w:val="27"/>
          <w:rtl/>
        </w:rPr>
        <w:t>َ</w:t>
      </w:r>
      <w:r w:rsidRPr="00282AC9">
        <w:rPr>
          <w:rFonts w:ascii="Sakkal Majalla" w:hAnsi="Sakkal Majalla" w:cs="AL-Mohanad"/>
          <w:b/>
          <w:bCs/>
          <w:sz w:val="27"/>
          <w:szCs w:val="27"/>
          <w:rtl/>
        </w:rPr>
        <w:t>ادِقِين</w:t>
      </w:r>
      <w:r w:rsidR="00CF29E5" w:rsidRPr="00282AC9">
        <w:rPr>
          <w:rFonts w:ascii="Sakkal Majalla" w:hAnsi="Sakkal Majalla" w:cs="AL-Mohanad" w:hint="cs"/>
          <w:b/>
          <w:bCs/>
          <w:sz w:val="27"/>
          <w:szCs w:val="27"/>
          <w:rtl/>
        </w:rPr>
        <w:t>َ</w:t>
      </w:r>
      <w:r w:rsidRPr="00282AC9">
        <w:rPr>
          <w:rFonts w:ascii="Sakkal Majalla" w:hAnsi="Sakkal Majalla" w:cs="AL-Mohanad"/>
          <w:sz w:val="27"/>
          <w:szCs w:val="27"/>
          <w:rtl/>
        </w:rPr>
        <w:t>‏</w:t>
      </w:r>
      <w:r w:rsidRPr="00282AC9">
        <w:rPr>
          <w:rFonts w:ascii="Mosawi" w:hAnsi="Mosawi" w:cs="Mosawi"/>
          <w:rtl/>
        </w:rPr>
        <w:t>﴾</w:t>
      </w:r>
      <w:r w:rsidRPr="00282AC9">
        <w:rPr>
          <w:rFonts w:ascii="Sakkal Majalla" w:eastAsiaTheme="minorHAnsi" w:hAnsi="Sakkal Majalla" w:cs="AL-Mohanad" w:hint="cs"/>
          <w:sz w:val="27"/>
          <w:szCs w:val="27"/>
          <w:rtl/>
        </w:rPr>
        <w:t xml:space="preserve"> (هود: 13).</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فقد تحد</w:t>
      </w:r>
      <w:r w:rsidR="00CF29E5" w:rsidRPr="00282AC9">
        <w:rPr>
          <w:rFonts w:cs="AL-Mohanad" w:hint="cs"/>
          <w:sz w:val="27"/>
          <w:szCs w:val="27"/>
          <w:rtl/>
        </w:rPr>
        <w:t>ّى</w:t>
      </w:r>
      <w:r w:rsidRPr="00282AC9">
        <w:rPr>
          <w:rFonts w:ascii="Sakkal Majalla" w:hAnsi="Sakkal Majalla" w:cs="AL-Mohanad" w:hint="cs"/>
          <w:sz w:val="27"/>
          <w:szCs w:val="27"/>
          <w:rtl/>
        </w:rPr>
        <w:t xml:space="preserve"> الله سبحانه الكف</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ار والمشرك</w:t>
      </w:r>
      <w:r w:rsidRPr="00282AC9">
        <w:rPr>
          <w:rFonts w:cs="AL-Mohanad" w:hint="cs"/>
          <w:sz w:val="27"/>
          <w:szCs w:val="27"/>
          <w:rtl/>
        </w:rPr>
        <w:t>ي</w:t>
      </w:r>
      <w:r w:rsidRPr="00282AC9">
        <w:rPr>
          <w:rFonts w:ascii="Sakkal Majalla" w:hAnsi="Sakkal Majalla" w:cs="AL-Mohanad" w:hint="cs"/>
          <w:sz w:val="27"/>
          <w:szCs w:val="27"/>
          <w:rtl/>
        </w:rPr>
        <w:t xml:space="preserve">ن أن </w:t>
      </w:r>
      <w:r w:rsidRPr="00282AC9">
        <w:rPr>
          <w:rFonts w:cs="AL-Mohanad" w:hint="cs"/>
          <w:sz w:val="27"/>
          <w:szCs w:val="27"/>
          <w:rtl/>
        </w:rPr>
        <w:t>ي</w:t>
      </w:r>
      <w:r w:rsidR="00CF29E5" w:rsidRPr="00282AC9">
        <w:rPr>
          <w:rFonts w:ascii="Sakkal Majalla" w:hAnsi="Sakkal Majalla" w:cs="AL-Mohanad" w:hint="cs"/>
          <w:sz w:val="27"/>
          <w:szCs w:val="27"/>
          <w:rtl/>
        </w:rPr>
        <w:t>أ</w:t>
      </w:r>
      <w:r w:rsidRPr="00282AC9">
        <w:rPr>
          <w:rFonts w:ascii="Sakkal Majalla" w:hAnsi="Sakkal Majalla" w:cs="AL-Mohanad" w:hint="cs"/>
          <w:sz w:val="27"/>
          <w:szCs w:val="27"/>
          <w:rtl/>
        </w:rPr>
        <w:t>توا بعشر سور</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أو بسورة</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مثل سور القر</w:t>
      </w:r>
      <w:r w:rsidR="00CF29E5" w:rsidRPr="00282AC9">
        <w:rPr>
          <w:rFonts w:ascii="Sakkal Majalla" w:hAnsi="Sakkal Majalla" w:cs="AL-Mohanad" w:hint="cs"/>
          <w:sz w:val="27"/>
          <w:szCs w:val="27"/>
          <w:rtl/>
        </w:rPr>
        <w:t>آ</w:t>
      </w:r>
      <w:r w:rsidRPr="00282AC9">
        <w:rPr>
          <w:rFonts w:ascii="Sakkal Majalla" w:hAnsi="Sakkal Majalla" w:cs="AL-Mohanad" w:hint="cs"/>
          <w:sz w:val="27"/>
          <w:szCs w:val="27"/>
          <w:rtl/>
        </w:rPr>
        <w:t>ن، ول</w:t>
      </w:r>
      <w:r w:rsidRPr="00282AC9">
        <w:rPr>
          <w:rFonts w:cs="AL-Mohanad" w:hint="cs"/>
          <w:sz w:val="27"/>
          <w:szCs w:val="27"/>
          <w:rtl/>
        </w:rPr>
        <w:t>ي</w:t>
      </w:r>
      <w:r w:rsidRPr="00282AC9">
        <w:rPr>
          <w:rFonts w:ascii="Sakkal Majalla" w:hAnsi="Sakkal Majalla" w:cs="AL-Mohanad" w:hint="cs"/>
          <w:sz w:val="27"/>
          <w:szCs w:val="27"/>
          <w:rtl/>
        </w:rPr>
        <w:t>دعوا و</w:t>
      </w:r>
      <w:r w:rsidRPr="00282AC9">
        <w:rPr>
          <w:rFonts w:cs="AL-Mohanad" w:hint="cs"/>
          <w:sz w:val="27"/>
          <w:szCs w:val="27"/>
          <w:rtl/>
        </w:rPr>
        <w:t>ي</w:t>
      </w:r>
      <w:r w:rsidRPr="00282AC9">
        <w:rPr>
          <w:rFonts w:ascii="Sakkal Majalla" w:hAnsi="Sakkal Majalla" w:cs="AL-Mohanad" w:hint="cs"/>
          <w:sz w:val="27"/>
          <w:szCs w:val="27"/>
          <w:rtl/>
        </w:rPr>
        <w:t>ستع</w:t>
      </w:r>
      <w:r w:rsidRPr="00282AC9">
        <w:rPr>
          <w:rFonts w:cs="AL-Mohanad" w:hint="cs"/>
          <w:sz w:val="27"/>
          <w:szCs w:val="27"/>
          <w:rtl/>
        </w:rPr>
        <w:t>ي</w:t>
      </w:r>
      <w:r w:rsidRPr="00282AC9">
        <w:rPr>
          <w:rFonts w:ascii="Sakkal Majalla" w:hAnsi="Sakkal Majalla" w:cs="AL-Mohanad" w:hint="cs"/>
          <w:sz w:val="27"/>
          <w:szCs w:val="27"/>
          <w:rtl/>
        </w:rPr>
        <w:t>نوا بم</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ن</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ر</w:t>
      </w:r>
      <w:r w:rsidRPr="00282AC9">
        <w:rPr>
          <w:rFonts w:cs="AL-Mohanad" w:hint="cs"/>
          <w:sz w:val="27"/>
          <w:szCs w:val="27"/>
          <w:rtl/>
        </w:rPr>
        <w:t>ي</w:t>
      </w:r>
      <w:r w:rsidRPr="00282AC9">
        <w:rPr>
          <w:rFonts w:ascii="Sakkal Majalla" w:hAnsi="Sakkal Majalla" w:cs="AL-Mohanad" w:hint="cs"/>
          <w:sz w:val="27"/>
          <w:szCs w:val="27"/>
          <w:rtl/>
        </w:rPr>
        <w:t>دون، ولكن</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فل</w:t>
      </w:r>
      <w:r w:rsidRPr="00282AC9">
        <w:rPr>
          <w:rFonts w:cs="AL-Mohanad" w:hint="cs"/>
          <w:sz w:val="27"/>
          <w:szCs w:val="27"/>
          <w:rtl/>
        </w:rPr>
        <w:t>ي</w:t>
      </w:r>
      <w:r w:rsidRPr="00282AC9">
        <w:rPr>
          <w:rFonts w:ascii="Sakkal Majalla" w:hAnsi="Sakkal Majalla" w:cs="AL-Mohanad" w:hint="cs"/>
          <w:sz w:val="27"/>
          <w:szCs w:val="27"/>
          <w:rtl/>
        </w:rPr>
        <w:t xml:space="preserve">علموا </w:t>
      </w:r>
      <w:r w:rsidR="00CF29E5" w:rsidRPr="00282AC9">
        <w:rPr>
          <w:rFonts w:ascii="Sakkal Majalla" w:hAnsi="Sakkal Majalla" w:cs="AL-Mohanad" w:hint="cs"/>
          <w:sz w:val="27"/>
          <w:szCs w:val="27"/>
          <w:rtl/>
        </w:rPr>
        <w:t>أ</w:t>
      </w:r>
      <w:r w:rsidRPr="00282AC9">
        <w:rPr>
          <w:rFonts w:ascii="Sakkal Majalla" w:hAnsi="Sakkal Majalla" w:cs="AL-Mohanad" w:hint="cs"/>
          <w:sz w:val="27"/>
          <w:szCs w:val="27"/>
          <w:rtl/>
        </w:rPr>
        <w:t xml:space="preserve">نّهم لا </w:t>
      </w:r>
      <w:r w:rsidRPr="00282AC9">
        <w:rPr>
          <w:rFonts w:cs="AL-Mohanad" w:hint="cs"/>
          <w:sz w:val="27"/>
          <w:szCs w:val="27"/>
          <w:rtl/>
        </w:rPr>
        <w:t>ي</w:t>
      </w:r>
      <w:r w:rsidRPr="00282AC9">
        <w:rPr>
          <w:rFonts w:ascii="Sakkal Majalla" w:hAnsi="Sakkal Majalla" w:cs="AL-Mohanad" w:hint="cs"/>
          <w:sz w:val="27"/>
          <w:szCs w:val="27"/>
          <w:rtl/>
        </w:rPr>
        <w:t>ستط</w:t>
      </w:r>
      <w:r w:rsidRPr="00282AC9">
        <w:rPr>
          <w:rFonts w:cs="AL-Mohanad" w:hint="cs"/>
          <w:sz w:val="27"/>
          <w:szCs w:val="27"/>
          <w:rtl/>
        </w:rPr>
        <w:t>ي</w:t>
      </w:r>
      <w:r w:rsidRPr="00282AC9">
        <w:rPr>
          <w:rFonts w:ascii="Sakkal Majalla" w:hAnsi="Sakkal Majalla" w:cs="AL-Mohanad" w:hint="cs"/>
          <w:sz w:val="27"/>
          <w:szCs w:val="27"/>
          <w:rtl/>
        </w:rPr>
        <w:t xml:space="preserve">عون أن </w:t>
      </w:r>
      <w:r w:rsidRPr="00282AC9">
        <w:rPr>
          <w:rFonts w:cs="AL-Mohanad" w:hint="cs"/>
          <w:sz w:val="27"/>
          <w:szCs w:val="27"/>
          <w:rtl/>
        </w:rPr>
        <w:t>ي</w:t>
      </w:r>
      <w:r w:rsidRPr="00282AC9">
        <w:rPr>
          <w:rFonts w:ascii="Sakkal Majalla" w:hAnsi="Sakkal Majalla" w:cs="AL-Mohanad" w:hint="cs"/>
          <w:sz w:val="27"/>
          <w:szCs w:val="27"/>
          <w:rtl/>
        </w:rPr>
        <w:t>أتوا بسورة</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مثل سور القرآن</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ولو كان بعضهم لبعض</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ظه</w:t>
      </w:r>
      <w:r w:rsidRPr="00282AC9">
        <w:rPr>
          <w:rFonts w:cs="AL-Mohanad" w:hint="cs"/>
          <w:sz w:val="27"/>
          <w:szCs w:val="27"/>
          <w:rtl/>
        </w:rPr>
        <w:t>ي</w:t>
      </w:r>
      <w:r w:rsidRPr="00282AC9">
        <w:rPr>
          <w:rFonts w:ascii="Sakkal Majalla" w:hAnsi="Sakkal Majalla" w:cs="AL-Mohanad" w:hint="cs"/>
          <w:sz w:val="27"/>
          <w:szCs w:val="27"/>
          <w:rtl/>
        </w:rPr>
        <w:t>را</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ول</w:t>
      </w:r>
      <w:r w:rsidRPr="00282AC9">
        <w:rPr>
          <w:rFonts w:cs="AL-Mohanad" w:hint="cs"/>
          <w:sz w:val="27"/>
          <w:szCs w:val="27"/>
          <w:rtl/>
        </w:rPr>
        <w:t>ي</w:t>
      </w:r>
      <w:r w:rsidRPr="00282AC9">
        <w:rPr>
          <w:rFonts w:ascii="Sakkal Majalla" w:hAnsi="Sakkal Majalla" w:cs="AL-Mohanad" w:hint="cs"/>
          <w:sz w:val="27"/>
          <w:szCs w:val="27"/>
          <w:rtl/>
        </w:rPr>
        <w:t>س معن</w:t>
      </w:r>
      <w:r w:rsidR="00CF29E5" w:rsidRPr="00282AC9">
        <w:rPr>
          <w:rFonts w:cs="AL-Mohanad" w:hint="cs"/>
          <w:sz w:val="27"/>
          <w:szCs w:val="27"/>
          <w:rtl/>
        </w:rPr>
        <w:t>ى</w:t>
      </w:r>
      <w:r w:rsidRPr="00282AC9">
        <w:rPr>
          <w:rFonts w:ascii="Sakkal Majalla" w:hAnsi="Sakkal Majalla" w:cs="AL-Mohanad" w:hint="cs"/>
          <w:sz w:val="27"/>
          <w:szCs w:val="27"/>
          <w:rtl/>
        </w:rPr>
        <w:t xml:space="preserve"> السورة في هذه الآ</w:t>
      </w:r>
      <w:r w:rsidRPr="00282AC9">
        <w:rPr>
          <w:rFonts w:cs="AL-Mohanad" w:hint="cs"/>
          <w:sz w:val="27"/>
          <w:szCs w:val="27"/>
          <w:rtl/>
        </w:rPr>
        <w:t>ي</w:t>
      </w:r>
      <w:r w:rsidRPr="00282AC9">
        <w:rPr>
          <w:rFonts w:ascii="Sakkal Majalla" w:hAnsi="Sakkal Majalla" w:cs="AL-Mohanad" w:hint="cs"/>
          <w:sz w:val="27"/>
          <w:szCs w:val="27"/>
          <w:rtl/>
        </w:rPr>
        <w:t>ات مجر</w:t>
      </w:r>
      <w:r w:rsidR="00CF29E5" w:rsidRPr="00282AC9">
        <w:rPr>
          <w:rFonts w:ascii="Sakkal Majalla" w:hAnsi="Sakkal Majalla" w:cs="AL-Mohanad" w:hint="cs"/>
          <w:sz w:val="27"/>
          <w:szCs w:val="27"/>
          <w:rtl/>
        </w:rPr>
        <w:t>ّ</w:t>
      </w:r>
      <w:r w:rsidRPr="00282AC9">
        <w:rPr>
          <w:rFonts w:ascii="Sakkal Majalla" w:hAnsi="Sakkal Majalla" w:cs="AL-Mohanad" w:hint="cs"/>
          <w:sz w:val="27"/>
          <w:szCs w:val="27"/>
          <w:rtl/>
        </w:rPr>
        <w:t>د الحروف والكلمات والآ</w:t>
      </w:r>
      <w:r w:rsidRPr="00282AC9">
        <w:rPr>
          <w:rFonts w:cs="AL-Mohanad" w:hint="cs"/>
          <w:sz w:val="27"/>
          <w:szCs w:val="27"/>
          <w:rtl/>
        </w:rPr>
        <w:t>ي</w:t>
      </w:r>
      <w:r w:rsidRPr="00282AC9">
        <w:rPr>
          <w:rFonts w:ascii="Sakkal Majalla" w:hAnsi="Sakkal Majalla" w:cs="AL-Mohanad" w:hint="cs"/>
          <w:sz w:val="27"/>
          <w:szCs w:val="27"/>
          <w:rtl/>
        </w:rPr>
        <w:t>ات المتناثرة في القر</w:t>
      </w:r>
      <w:r w:rsidR="00CF29E5"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00CF29E5"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 xml:space="preserve">وإنّما المراد من السورة هو ما </w:t>
      </w:r>
      <w:r w:rsidRPr="00282AC9">
        <w:rPr>
          <w:rFonts w:cs="AL-Mohanad" w:hint="cs"/>
          <w:sz w:val="27"/>
          <w:szCs w:val="27"/>
          <w:rtl/>
        </w:rPr>
        <w:t>ي</w:t>
      </w:r>
      <w:r w:rsidRPr="00282AC9">
        <w:rPr>
          <w:rFonts w:ascii="Sakkal Majalla" w:hAnsi="Sakkal Majalla" w:cs="AL-Mohanad" w:hint="cs"/>
          <w:sz w:val="27"/>
          <w:szCs w:val="27"/>
          <w:rtl/>
        </w:rPr>
        <w:t>فهمه الجم</w:t>
      </w:r>
      <w:r w:rsidRPr="00282AC9">
        <w:rPr>
          <w:rFonts w:cs="AL-Mohanad" w:hint="cs"/>
          <w:sz w:val="27"/>
          <w:szCs w:val="27"/>
          <w:rtl/>
        </w:rPr>
        <w:t>ي</w:t>
      </w:r>
      <w:r w:rsidRPr="00282AC9">
        <w:rPr>
          <w:rFonts w:ascii="Sakkal Majalla" w:hAnsi="Sakkal Majalla" w:cs="AL-Mohanad" w:hint="cs"/>
          <w:sz w:val="27"/>
          <w:szCs w:val="27"/>
          <w:rtl/>
        </w:rPr>
        <w:t>ع عند سماعهم</w:t>
      </w:r>
      <w:r w:rsidR="007F0460"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t>(سورة قر</w:t>
      </w:r>
      <w:r w:rsidR="007F0460"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Pr="00282AC9">
        <w:rPr>
          <w:rFonts w:cs="AL-Mohanad" w:hint="cs"/>
          <w:sz w:val="27"/>
          <w:szCs w:val="27"/>
          <w:rtl/>
        </w:rPr>
        <w:t>ي</w:t>
      </w:r>
      <w:r w:rsidRPr="00282AC9">
        <w:rPr>
          <w:rFonts w:ascii="Sakkal Majalla" w:hAnsi="Sakkal Majalla" w:cs="AL-Mohanad" w:hint="cs"/>
          <w:sz w:val="27"/>
          <w:szCs w:val="27"/>
          <w:rtl/>
        </w:rPr>
        <w:t>ة)</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وهي الطائفة من الآ</w:t>
      </w:r>
      <w:r w:rsidRPr="00282AC9">
        <w:rPr>
          <w:rFonts w:cs="AL-Mohanad" w:hint="cs"/>
          <w:sz w:val="27"/>
          <w:szCs w:val="27"/>
          <w:rtl/>
        </w:rPr>
        <w:t>ي</w:t>
      </w:r>
      <w:r w:rsidRPr="00282AC9">
        <w:rPr>
          <w:rFonts w:ascii="Sakkal Majalla" w:hAnsi="Sakkal Majalla" w:cs="AL-Mohanad" w:hint="cs"/>
          <w:sz w:val="27"/>
          <w:szCs w:val="27"/>
          <w:rtl/>
        </w:rPr>
        <w:t>ات الكر</w:t>
      </w:r>
      <w:r w:rsidRPr="00282AC9">
        <w:rPr>
          <w:rFonts w:cs="AL-Mohanad" w:hint="cs"/>
          <w:sz w:val="27"/>
          <w:szCs w:val="27"/>
          <w:rtl/>
        </w:rPr>
        <w:t>ي</w:t>
      </w:r>
      <w:r w:rsidRPr="00282AC9">
        <w:rPr>
          <w:rFonts w:ascii="Sakkal Majalla" w:hAnsi="Sakkal Majalla" w:cs="AL-Mohanad" w:hint="cs"/>
          <w:sz w:val="27"/>
          <w:szCs w:val="27"/>
          <w:rtl/>
        </w:rPr>
        <w:t>مة المحاطة ببسملت</w:t>
      </w:r>
      <w:r w:rsidRPr="00282AC9">
        <w:rPr>
          <w:rFonts w:cs="AL-Mohanad" w:hint="cs"/>
          <w:sz w:val="27"/>
          <w:szCs w:val="27"/>
          <w:rtl/>
        </w:rPr>
        <w:t>ي</w:t>
      </w:r>
      <w:r w:rsidRPr="00282AC9">
        <w:rPr>
          <w:rFonts w:ascii="Sakkal Majalla" w:hAnsi="Sakkal Majalla" w:cs="AL-Mohanad" w:hint="cs"/>
          <w:sz w:val="27"/>
          <w:szCs w:val="27"/>
          <w:rtl/>
        </w:rPr>
        <w:t>ن، س</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م</w:t>
      </w:r>
      <w:r w:rsidR="007F0460" w:rsidRPr="00282AC9">
        <w:rPr>
          <w:rFonts w:ascii="Sakkal Majalla" w:hAnsi="Sakkal Majalla" w:cs="AL-Mohanad" w:hint="cs"/>
          <w:sz w:val="27"/>
          <w:szCs w:val="27"/>
          <w:rtl/>
        </w:rPr>
        <w:t>ِّ</w:t>
      </w:r>
      <w:r w:rsidRPr="00282AC9">
        <w:rPr>
          <w:rFonts w:cs="AL-Mohanad" w:hint="cs"/>
          <w:sz w:val="27"/>
          <w:szCs w:val="27"/>
          <w:rtl/>
        </w:rPr>
        <w:t>ي</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ت</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بذلك تشب</w:t>
      </w:r>
      <w:r w:rsidRPr="00282AC9">
        <w:rPr>
          <w:rFonts w:cs="AL-Mohanad" w:hint="cs"/>
          <w:sz w:val="27"/>
          <w:szCs w:val="27"/>
          <w:rtl/>
        </w:rPr>
        <w:t>ي</w:t>
      </w:r>
      <w:r w:rsidRPr="00282AC9">
        <w:rPr>
          <w:rFonts w:ascii="Sakkal Majalla" w:hAnsi="Sakkal Majalla" w:cs="AL-Mohanad" w:hint="cs"/>
          <w:sz w:val="27"/>
          <w:szCs w:val="27"/>
          <w:rtl/>
        </w:rPr>
        <w:t>هاً لها بسُور المد</w:t>
      </w:r>
      <w:r w:rsidRPr="00282AC9">
        <w:rPr>
          <w:rFonts w:cs="AL-Mohanad" w:hint="cs"/>
          <w:sz w:val="27"/>
          <w:szCs w:val="27"/>
          <w:rtl/>
        </w:rPr>
        <w:t>ي</w:t>
      </w:r>
      <w:r w:rsidRPr="00282AC9">
        <w:rPr>
          <w:rFonts w:ascii="Sakkal Majalla" w:hAnsi="Sakkal Majalla" w:cs="AL-Mohanad" w:hint="cs"/>
          <w:sz w:val="27"/>
          <w:szCs w:val="27"/>
          <w:rtl/>
        </w:rPr>
        <w:t>نة</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وهو البناء المح</w:t>
      </w:r>
      <w:r w:rsidRPr="00282AC9">
        <w:rPr>
          <w:rFonts w:cs="AL-Mohanad" w:hint="cs"/>
          <w:sz w:val="27"/>
          <w:szCs w:val="27"/>
          <w:rtl/>
        </w:rPr>
        <w:t>ي</w:t>
      </w:r>
      <w:r w:rsidRPr="00282AC9">
        <w:rPr>
          <w:rFonts w:ascii="Sakkal Majalla" w:hAnsi="Sakkal Majalla" w:cs="AL-Mohanad" w:hint="cs"/>
          <w:sz w:val="27"/>
          <w:szCs w:val="27"/>
          <w:rtl/>
        </w:rPr>
        <w:t>ط بها</w:t>
      </w:r>
      <w:r w:rsidRPr="00282AC9">
        <w:rPr>
          <w:rFonts w:ascii="Sakkal Majalla" w:hAnsi="Sakkal Majalla" w:cs="AL-Mohanad"/>
          <w:sz w:val="27"/>
          <w:szCs w:val="27"/>
          <w:vertAlign w:val="superscript"/>
          <w:rtl/>
        </w:rPr>
        <w:t>(</w:t>
      </w:r>
      <w:r w:rsidRPr="00282AC9">
        <w:rPr>
          <w:rStyle w:val="af9"/>
          <w:rFonts w:ascii="Sakkal Majalla" w:hAnsi="Sakkal Majalla" w:cs="AL-Mohanad"/>
          <w:sz w:val="27"/>
          <w:szCs w:val="27"/>
          <w:rtl/>
        </w:rPr>
        <w:endnoteReference w:id="895"/>
      </w:r>
      <w:r w:rsidRPr="00282AC9">
        <w:rPr>
          <w:rFonts w:ascii="Sakkal Majalla" w:hAnsi="Sakkal Majalla" w:cs="AL-Mohanad"/>
          <w:sz w:val="27"/>
          <w:szCs w:val="27"/>
          <w:vertAlign w:val="superscript"/>
          <w:rtl/>
        </w:rPr>
        <w:t>)</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فإنّ الترت</w:t>
      </w:r>
      <w:r w:rsidRPr="00282AC9">
        <w:rPr>
          <w:rFonts w:cs="AL-Mohanad" w:hint="cs"/>
          <w:sz w:val="27"/>
          <w:szCs w:val="27"/>
          <w:rtl/>
        </w:rPr>
        <w:t>ي</w:t>
      </w:r>
      <w:r w:rsidRPr="00282AC9">
        <w:rPr>
          <w:rFonts w:ascii="Sakkal Majalla" w:hAnsi="Sakkal Majalla" w:cs="AL-Mohanad" w:hint="cs"/>
          <w:sz w:val="27"/>
          <w:szCs w:val="27"/>
          <w:rtl/>
        </w:rPr>
        <w:t>ب والتنس</w:t>
      </w:r>
      <w:r w:rsidRPr="00282AC9">
        <w:rPr>
          <w:rFonts w:cs="AL-Mohanad" w:hint="cs"/>
          <w:sz w:val="27"/>
          <w:szCs w:val="27"/>
          <w:rtl/>
        </w:rPr>
        <w:t>ي</w:t>
      </w:r>
      <w:r w:rsidRPr="00282AC9">
        <w:rPr>
          <w:rFonts w:ascii="Sakkal Majalla" w:hAnsi="Sakkal Majalla" w:cs="AL-Mohanad" w:hint="cs"/>
          <w:sz w:val="27"/>
          <w:szCs w:val="27"/>
          <w:rtl/>
        </w:rPr>
        <w:t>ق الرائع ب</w:t>
      </w:r>
      <w:r w:rsidRPr="00282AC9">
        <w:rPr>
          <w:rFonts w:cs="AL-Mohanad" w:hint="cs"/>
          <w:sz w:val="27"/>
          <w:szCs w:val="27"/>
          <w:rtl/>
        </w:rPr>
        <w:t>ي</w:t>
      </w:r>
      <w:r w:rsidRPr="00282AC9">
        <w:rPr>
          <w:rFonts w:ascii="Sakkal Majalla" w:hAnsi="Sakkal Majalla" w:cs="AL-Mohanad" w:hint="cs"/>
          <w:sz w:val="27"/>
          <w:szCs w:val="27"/>
          <w:rtl/>
        </w:rPr>
        <w:t>ن آ</w:t>
      </w:r>
      <w:r w:rsidRPr="00282AC9">
        <w:rPr>
          <w:rFonts w:cs="AL-Mohanad" w:hint="cs"/>
          <w:sz w:val="27"/>
          <w:szCs w:val="27"/>
          <w:rtl/>
        </w:rPr>
        <w:t>ي</w:t>
      </w:r>
      <w:r w:rsidRPr="00282AC9">
        <w:rPr>
          <w:rFonts w:ascii="Sakkal Majalla" w:hAnsi="Sakkal Majalla" w:cs="AL-Mohanad" w:hint="cs"/>
          <w:sz w:val="27"/>
          <w:szCs w:val="27"/>
          <w:rtl/>
        </w:rPr>
        <w:t>ات سور القر</w:t>
      </w:r>
      <w:r w:rsidR="007F0460" w:rsidRPr="00282AC9">
        <w:rPr>
          <w:rFonts w:ascii="Sakkal Majalla" w:hAnsi="Sakkal Majalla" w:cs="AL-Mohanad" w:hint="cs"/>
          <w:sz w:val="27"/>
          <w:szCs w:val="27"/>
          <w:rtl/>
        </w:rPr>
        <w:t>آ</w:t>
      </w:r>
      <w:r w:rsidRPr="00282AC9">
        <w:rPr>
          <w:rFonts w:ascii="Sakkal Majalla" w:hAnsi="Sakkal Majalla" w:cs="AL-Mohanad" w:hint="cs"/>
          <w:sz w:val="27"/>
          <w:szCs w:val="27"/>
          <w:rtl/>
        </w:rPr>
        <w:t xml:space="preserve">ن هو الذي جعل الله تعالى </w:t>
      </w:r>
      <w:r w:rsidRPr="00282AC9">
        <w:rPr>
          <w:rFonts w:cs="AL-Mohanad" w:hint="cs"/>
          <w:sz w:val="27"/>
          <w:szCs w:val="27"/>
          <w:rtl/>
        </w:rPr>
        <w:t>ي</w:t>
      </w:r>
      <w:r w:rsidRPr="00282AC9">
        <w:rPr>
          <w:rFonts w:ascii="Sakkal Majalla" w:hAnsi="Sakkal Majalla" w:cs="AL-Mohanad" w:hint="cs"/>
          <w:sz w:val="27"/>
          <w:szCs w:val="27"/>
          <w:rtl/>
        </w:rPr>
        <w:t>تحد</w:t>
      </w:r>
      <w:r w:rsidR="007F0460" w:rsidRPr="00282AC9">
        <w:rPr>
          <w:rFonts w:ascii="Sakkal Majalla" w:hAnsi="Sakkal Majalla" w:cs="AL-Mohanad" w:hint="cs"/>
          <w:sz w:val="27"/>
          <w:szCs w:val="27"/>
          <w:rtl/>
        </w:rPr>
        <w:t>ّ</w:t>
      </w:r>
      <w:r w:rsidR="007F0460" w:rsidRPr="00282AC9">
        <w:rPr>
          <w:rFonts w:cs="AL-Mohanad" w:hint="cs"/>
          <w:sz w:val="27"/>
          <w:szCs w:val="27"/>
          <w:rtl/>
        </w:rPr>
        <w:t>ى</w:t>
      </w:r>
      <w:r w:rsidRPr="00282AC9">
        <w:rPr>
          <w:rFonts w:ascii="Sakkal Majalla" w:hAnsi="Sakkal Majalla" w:cs="AL-Mohanad" w:hint="cs"/>
          <w:sz w:val="27"/>
          <w:szCs w:val="27"/>
          <w:rtl/>
        </w:rPr>
        <w:t xml:space="preserve"> المشرك</w:t>
      </w:r>
      <w:r w:rsidRPr="00282AC9">
        <w:rPr>
          <w:rFonts w:cs="AL-Mohanad" w:hint="cs"/>
          <w:sz w:val="27"/>
          <w:szCs w:val="27"/>
          <w:rtl/>
        </w:rPr>
        <w:t>ي</w:t>
      </w:r>
      <w:r w:rsidRPr="00282AC9">
        <w:rPr>
          <w:rFonts w:ascii="Sakkal Majalla" w:hAnsi="Sakkal Majalla" w:cs="AL-Mohanad" w:hint="cs"/>
          <w:sz w:val="27"/>
          <w:szCs w:val="27"/>
          <w:rtl/>
        </w:rPr>
        <w:t xml:space="preserve">ن </w:t>
      </w:r>
      <w:r w:rsidR="007F0460" w:rsidRPr="00282AC9">
        <w:rPr>
          <w:rFonts w:ascii="Sakkal Majalla" w:hAnsi="Sakkal Majalla" w:cs="AL-Mohanad" w:hint="cs"/>
          <w:sz w:val="27"/>
          <w:szCs w:val="27"/>
          <w:rtl/>
        </w:rPr>
        <w:t>ب</w:t>
      </w:r>
      <w:r w:rsidRPr="00282AC9">
        <w:rPr>
          <w:rFonts w:ascii="Sakkal Majalla" w:hAnsi="Sakkal Majalla" w:cs="AL-Mohanad" w:hint="cs"/>
          <w:sz w:val="27"/>
          <w:szCs w:val="27"/>
          <w:rtl/>
        </w:rPr>
        <w:t xml:space="preserve">أن </w:t>
      </w:r>
      <w:r w:rsidRPr="00282AC9">
        <w:rPr>
          <w:rFonts w:cs="AL-Mohanad" w:hint="cs"/>
          <w:sz w:val="27"/>
          <w:szCs w:val="27"/>
          <w:rtl/>
        </w:rPr>
        <w:t>ي</w:t>
      </w:r>
      <w:r w:rsidRPr="00282AC9">
        <w:rPr>
          <w:rFonts w:ascii="Sakkal Majalla" w:hAnsi="Sakkal Majalla" w:cs="AL-Mohanad" w:hint="cs"/>
          <w:sz w:val="27"/>
          <w:szCs w:val="27"/>
          <w:rtl/>
        </w:rPr>
        <w:t>أتوا بسورة</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w:t>
      </w:r>
    </w:p>
    <w:p w:rsidR="00AD6E36" w:rsidRPr="00282AC9" w:rsidRDefault="00AD6E36" w:rsidP="001D1A88">
      <w:pPr>
        <w:pStyle w:val="afc"/>
        <w:rPr>
          <w:rFonts w:cs="AL-Mohanad"/>
          <w:sz w:val="27"/>
          <w:szCs w:val="27"/>
          <w:rtl/>
        </w:rPr>
      </w:pPr>
      <w:r w:rsidRPr="00282AC9">
        <w:rPr>
          <w:rFonts w:ascii="Sakkal Majalla" w:hAnsi="Sakkal Majalla" w:cs="AL-Mohanad" w:hint="cs"/>
          <w:sz w:val="27"/>
          <w:szCs w:val="27"/>
          <w:rtl/>
        </w:rPr>
        <w:t>إذن المقصود بالسورة والسور في هذه الآ</w:t>
      </w:r>
      <w:r w:rsidRPr="00282AC9">
        <w:rPr>
          <w:rFonts w:cs="AL-Mohanad" w:hint="cs"/>
          <w:sz w:val="27"/>
          <w:szCs w:val="27"/>
          <w:rtl/>
        </w:rPr>
        <w:t>ي</w:t>
      </w:r>
      <w:r w:rsidRPr="00282AC9">
        <w:rPr>
          <w:rFonts w:ascii="Sakkal Majalla" w:hAnsi="Sakkal Majalla" w:cs="AL-Mohanad" w:hint="cs"/>
          <w:sz w:val="27"/>
          <w:szCs w:val="27"/>
          <w:rtl/>
        </w:rPr>
        <w:t>ات هي السور التي في القر</w:t>
      </w:r>
      <w:r w:rsidR="007F0460" w:rsidRPr="00282AC9">
        <w:rPr>
          <w:rFonts w:ascii="Sakkal Majalla" w:hAnsi="Sakkal Majalla" w:cs="AL-Mohanad" w:hint="cs"/>
          <w:sz w:val="27"/>
          <w:szCs w:val="27"/>
          <w:rtl/>
        </w:rPr>
        <w:t>آ</w:t>
      </w:r>
      <w:r w:rsidRPr="00282AC9">
        <w:rPr>
          <w:rFonts w:ascii="Sakkal Majalla" w:hAnsi="Sakkal Majalla" w:cs="AL-Mohanad" w:hint="cs"/>
          <w:sz w:val="27"/>
          <w:szCs w:val="27"/>
          <w:rtl/>
        </w:rPr>
        <w:t>ن</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سواء كانت تلك السورة من السور الطوال أو من السور القص</w:t>
      </w:r>
      <w:r w:rsidRPr="00282AC9">
        <w:rPr>
          <w:rFonts w:cs="AL-Mohanad" w:hint="cs"/>
          <w:sz w:val="27"/>
          <w:szCs w:val="27"/>
          <w:rtl/>
        </w:rPr>
        <w:t>ي</w:t>
      </w:r>
      <w:r w:rsidRPr="00282AC9">
        <w:rPr>
          <w:rFonts w:ascii="Sakkal Majalla" w:hAnsi="Sakkal Majalla" w:cs="AL-Mohanad" w:hint="cs"/>
          <w:sz w:val="27"/>
          <w:szCs w:val="27"/>
          <w:rtl/>
        </w:rPr>
        <w:t>رة، ول</w:t>
      </w:r>
      <w:r w:rsidRPr="00282AC9">
        <w:rPr>
          <w:rFonts w:cs="AL-Mohanad" w:hint="cs"/>
          <w:sz w:val="27"/>
          <w:szCs w:val="27"/>
          <w:rtl/>
        </w:rPr>
        <w:t>ي</w:t>
      </w:r>
      <w:r w:rsidRPr="00282AC9">
        <w:rPr>
          <w:rFonts w:ascii="Sakkal Majalla" w:hAnsi="Sakkal Majalla" w:cs="AL-Mohanad" w:hint="cs"/>
          <w:sz w:val="27"/>
          <w:szCs w:val="27"/>
          <w:rtl/>
        </w:rPr>
        <w:t>س المراد بها هو مجرد آ</w:t>
      </w:r>
      <w:r w:rsidRPr="00282AC9">
        <w:rPr>
          <w:rFonts w:cs="AL-Mohanad" w:hint="cs"/>
          <w:sz w:val="27"/>
          <w:szCs w:val="27"/>
          <w:rtl/>
        </w:rPr>
        <w:t>ي</w:t>
      </w:r>
      <w:r w:rsidRPr="00282AC9">
        <w:rPr>
          <w:rFonts w:ascii="Sakkal Majalla" w:hAnsi="Sakkal Majalla" w:cs="AL-Mohanad" w:hint="cs"/>
          <w:sz w:val="27"/>
          <w:szCs w:val="27"/>
          <w:rtl/>
        </w:rPr>
        <w:t>ات أو كلمات القرآن</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وإ</w:t>
      </w:r>
      <w:r w:rsidR="00EE6DBA" w:rsidRPr="00282AC9">
        <w:rPr>
          <w:rFonts w:ascii="Sakkal Majalla" w:hAnsi="Sakkal Majalla" w:cs="AL-Mohanad" w:hint="cs"/>
          <w:sz w:val="27"/>
          <w:szCs w:val="27"/>
          <w:rtl/>
        </w:rPr>
        <w:t>لاّ</w:t>
      </w:r>
      <w:r w:rsidRPr="00282AC9">
        <w:rPr>
          <w:rFonts w:ascii="Sakkal Majalla" w:hAnsi="Sakkal Majalla" w:cs="AL-Mohanad" w:hint="cs"/>
          <w:sz w:val="27"/>
          <w:szCs w:val="27"/>
          <w:rtl/>
        </w:rPr>
        <w:t xml:space="preserve"> لعبّ</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ر عنها بالآ</w:t>
      </w:r>
      <w:r w:rsidRPr="00282AC9">
        <w:rPr>
          <w:rFonts w:cs="AL-Mohanad" w:hint="cs"/>
          <w:sz w:val="27"/>
          <w:szCs w:val="27"/>
          <w:rtl/>
        </w:rPr>
        <w:t>ي</w:t>
      </w:r>
      <w:r w:rsidRPr="00282AC9">
        <w:rPr>
          <w:rFonts w:ascii="Sakkal Majalla" w:hAnsi="Sakkal Majalla" w:cs="AL-Mohanad" w:hint="cs"/>
          <w:sz w:val="27"/>
          <w:szCs w:val="27"/>
          <w:rtl/>
        </w:rPr>
        <w:t>ة أو الآ</w:t>
      </w:r>
      <w:r w:rsidRPr="00282AC9">
        <w:rPr>
          <w:rFonts w:cs="AL-Mohanad" w:hint="cs"/>
          <w:sz w:val="27"/>
          <w:szCs w:val="27"/>
          <w:rtl/>
        </w:rPr>
        <w:t>ي</w:t>
      </w:r>
      <w:r w:rsidRPr="00282AC9">
        <w:rPr>
          <w:rFonts w:ascii="Sakkal Majalla" w:hAnsi="Sakkal Majalla" w:cs="AL-Mohanad" w:hint="cs"/>
          <w:sz w:val="27"/>
          <w:szCs w:val="27"/>
          <w:rtl/>
        </w:rPr>
        <w:t>ات</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كما عبّ</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ر في </w:t>
      </w:r>
      <w:r w:rsidR="007F0460" w:rsidRPr="00282AC9">
        <w:rPr>
          <w:rFonts w:ascii="Sakkal Majalla" w:hAnsi="Sakkal Majalla" w:cs="AL-Mohanad" w:hint="cs"/>
          <w:sz w:val="27"/>
          <w:szCs w:val="27"/>
          <w:rtl/>
        </w:rPr>
        <w:t>قوله</w:t>
      </w:r>
      <w:r w:rsidRPr="00282AC9">
        <w:rPr>
          <w:rFonts w:ascii="Sakkal Majalla" w:hAnsi="Sakkal Majalla" w:cs="AL-Mohanad" w:hint="cs"/>
          <w:sz w:val="27"/>
          <w:szCs w:val="27"/>
          <w:rtl/>
        </w:rPr>
        <w:t xml:space="preserve"> تعالى</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ascii="Mosawi" w:hAnsi="Mosawi" w:cs="Mosawi"/>
          <w:rtl/>
        </w:rPr>
        <w:t>﴿</w:t>
      </w:r>
      <w:r w:rsidRPr="00282AC9">
        <w:rPr>
          <w:rFonts w:ascii="Sakkal Majalla" w:hAnsi="Sakkal Majalla" w:cs="AL-Mohanad"/>
          <w:b/>
          <w:bCs/>
          <w:sz w:val="27"/>
          <w:szCs w:val="27"/>
          <w:rtl/>
        </w:rPr>
        <w:t>أَمْ يَقُولُونَ تَقَوَّلَهُ بَلْ لا</w:t>
      </w:r>
      <w:r w:rsidR="007F0460" w:rsidRPr="00282AC9">
        <w:rPr>
          <w:rFonts w:ascii="Sakkal Majalla" w:hAnsi="Sakkal Majalla" w:cs="AL-Mohanad" w:hint="cs"/>
          <w:b/>
          <w:bCs/>
          <w:sz w:val="27"/>
          <w:szCs w:val="27"/>
          <w:rtl/>
        </w:rPr>
        <w:t>َ</w:t>
      </w:r>
      <w:r w:rsidRPr="00282AC9">
        <w:rPr>
          <w:rFonts w:ascii="Sakkal Majalla" w:hAnsi="Sakkal Majalla" w:cs="AL-Mohanad"/>
          <w:b/>
          <w:bCs/>
          <w:sz w:val="27"/>
          <w:szCs w:val="27"/>
          <w:rtl/>
        </w:rPr>
        <w:t xml:space="preserve"> يُؤْمِنُونَ فَلْيَأْتُوا بِحَدِيثٍ مِثْلِهِ إِنْ</w:t>
      </w:r>
      <w:r w:rsidRPr="00282AC9">
        <w:rPr>
          <w:rFonts w:ascii="Sakkal Majalla" w:hAnsi="Sakkal Majalla" w:cs="AL-Mohanad" w:hint="cs"/>
          <w:b/>
          <w:bCs/>
          <w:sz w:val="27"/>
          <w:szCs w:val="27"/>
          <w:rtl/>
        </w:rPr>
        <w:t xml:space="preserve"> </w:t>
      </w:r>
      <w:r w:rsidRPr="00282AC9">
        <w:rPr>
          <w:rFonts w:ascii="Sakkal Majalla" w:hAnsi="Sakkal Majalla" w:cs="AL-Mohanad"/>
          <w:b/>
          <w:bCs/>
          <w:sz w:val="27"/>
          <w:szCs w:val="27"/>
          <w:rtl/>
        </w:rPr>
        <w:t>ك</w:t>
      </w:r>
      <w:r w:rsidR="007F0460" w:rsidRPr="00282AC9">
        <w:rPr>
          <w:rFonts w:ascii="Sakkal Majalla" w:hAnsi="Sakkal Majalla" w:cs="AL-Mohanad" w:hint="cs"/>
          <w:b/>
          <w:bCs/>
          <w:sz w:val="27"/>
          <w:szCs w:val="27"/>
          <w:rtl/>
        </w:rPr>
        <w:t>َ</w:t>
      </w:r>
      <w:r w:rsidRPr="00282AC9">
        <w:rPr>
          <w:rFonts w:ascii="Sakkal Majalla" w:hAnsi="Sakkal Majalla" w:cs="AL-Mohanad"/>
          <w:b/>
          <w:bCs/>
          <w:sz w:val="27"/>
          <w:szCs w:val="27"/>
          <w:rtl/>
        </w:rPr>
        <w:t>انُو</w:t>
      </w:r>
      <w:r w:rsidRPr="00282AC9">
        <w:rPr>
          <w:rFonts w:ascii="Sakkal Majalla" w:hAnsi="Sakkal Majalla" w:cs="AL-Mohanad" w:hint="cs"/>
          <w:b/>
          <w:bCs/>
          <w:sz w:val="27"/>
          <w:szCs w:val="27"/>
          <w:rtl/>
        </w:rPr>
        <w:t xml:space="preserve">ا </w:t>
      </w:r>
      <w:r w:rsidRPr="00282AC9">
        <w:rPr>
          <w:rFonts w:ascii="Sakkal Majalla" w:hAnsi="Sakkal Majalla" w:cs="AL-Mohanad"/>
          <w:b/>
          <w:bCs/>
          <w:sz w:val="27"/>
          <w:szCs w:val="27"/>
          <w:rtl/>
        </w:rPr>
        <w:t>ص</w:t>
      </w:r>
      <w:r w:rsidR="007F0460" w:rsidRPr="00282AC9">
        <w:rPr>
          <w:rFonts w:ascii="Sakkal Majalla" w:hAnsi="Sakkal Majalla" w:cs="AL-Mohanad" w:hint="cs"/>
          <w:b/>
          <w:bCs/>
          <w:sz w:val="27"/>
          <w:szCs w:val="27"/>
          <w:rtl/>
        </w:rPr>
        <w:t>َ</w:t>
      </w:r>
      <w:r w:rsidRPr="00282AC9">
        <w:rPr>
          <w:rFonts w:ascii="Sakkal Majalla" w:hAnsi="Sakkal Majalla" w:cs="AL-Mohanad"/>
          <w:b/>
          <w:bCs/>
          <w:sz w:val="27"/>
          <w:szCs w:val="27"/>
          <w:rtl/>
        </w:rPr>
        <w:t>ادِقِين</w:t>
      </w:r>
      <w:r w:rsidR="007F0460" w:rsidRPr="00282AC9">
        <w:rPr>
          <w:rFonts w:ascii="Sakkal Majalla" w:hAnsi="Sakkal Majalla" w:cs="AL-Mohanad" w:hint="cs"/>
          <w:b/>
          <w:bCs/>
          <w:sz w:val="27"/>
          <w:szCs w:val="27"/>
          <w:rtl/>
        </w:rPr>
        <w:t>َ</w:t>
      </w:r>
      <w:r w:rsidRPr="00282AC9">
        <w:rPr>
          <w:rFonts w:ascii="Mosawi" w:hAnsi="Mosawi" w:cs="Mosawi"/>
          <w:rtl/>
        </w:rPr>
        <w:t>﴾</w:t>
      </w:r>
      <w:r w:rsidRPr="00282AC9">
        <w:rPr>
          <w:rFonts w:ascii="Sakkal Majalla" w:eastAsiaTheme="minorHAnsi" w:hAnsi="Sakkal Majalla" w:cs="AL-Mohanad" w:hint="cs"/>
          <w:sz w:val="27"/>
          <w:szCs w:val="27"/>
          <w:rtl/>
        </w:rPr>
        <w:t xml:space="preserve"> (الطور: 34)</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إ</w:t>
      </w:r>
      <w:r w:rsidRPr="00282AC9">
        <w:rPr>
          <w:rFonts w:ascii="Sakkal Majalla" w:hAnsi="Sakkal Majalla" w:cs="AL-Mohanad"/>
          <w:sz w:val="27"/>
          <w:szCs w:val="27"/>
          <w:rtl/>
        </w:rPr>
        <w:t>ذن المقصود من سورة</w:t>
      </w:r>
      <w:r w:rsidR="007F0460"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واحدة </w:t>
      </w:r>
      <w:r w:rsidRPr="00282AC9">
        <w:rPr>
          <w:rFonts w:ascii="Sakkal Majalla" w:hAnsi="Sakkal Majalla" w:cs="AL-Mohanad" w:hint="cs"/>
          <w:sz w:val="27"/>
          <w:szCs w:val="27"/>
          <w:rtl/>
        </w:rPr>
        <w:t>أ</w:t>
      </w:r>
      <w:r w:rsidRPr="00282AC9">
        <w:rPr>
          <w:rFonts w:ascii="Sakkal Majalla" w:hAnsi="Sakkal Majalla" w:cs="AL-Mohanad"/>
          <w:sz w:val="27"/>
          <w:szCs w:val="27"/>
          <w:rtl/>
        </w:rPr>
        <w:t>و عشر سور</w:t>
      </w:r>
      <w:r w:rsidR="007F0460"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هي</w:t>
      </w:r>
      <w:r w:rsidRPr="00282AC9">
        <w:rPr>
          <w:rFonts w:ascii="Sakkal Majalla" w:hAnsi="Sakkal Majalla" w:cs="AL-Mohanad"/>
          <w:sz w:val="27"/>
          <w:szCs w:val="27"/>
          <w:rtl/>
        </w:rPr>
        <w:t xml:space="preserve"> السور القرآن</w:t>
      </w:r>
      <w:r w:rsidRPr="00282AC9">
        <w:rPr>
          <w:rFonts w:cs="AL-Mohanad" w:hint="cs"/>
          <w:sz w:val="27"/>
          <w:szCs w:val="27"/>
          <w:rtl/>
        </w:rPr>
        <w:t>ي</w:t>
      </w:r>
      <w:r w:rsidRPr="00282AC9">
        <w:rPr>
          <w:rFonts w:ascii="Sakkal Majalla" w:hAnsi="Sakkal Majalla" w:cs="AL-Mohanad" w:hint="cs"/>
          <w:sz w:val="27"/>
          <w:szCs w:val="27"/>
          <w:rtl/>
        </w:rPr>
        <w:t>ة</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التي</w:t>
      </w:r>
      <w:r w:rsidRPr="00282AC9">
        <w:rPr>
          <w:rFonts w:ascii="Sakkal Majalla" w:hAnsi="Sakkal Majalla" w:cs="AL-Mohanad"/>
          <w:sz w:val="27"/>
          <w:szCs w:val="27"/>
          <w:rtl/>
        </w:rPr>
        <w:t xml:space="preserve"> لا</w:t>
      </w:r>
      <w:r w:rsidR="007F0460" w:rsidRPr="00282AC9">
        <w:rPr>
          <w:rFonts w:cs="AL-Mohanad" w:hint="cs"/>
          <w:sz w:val="27"/>
          <w:szCs w:val="27"/>
          <w:rtl/>
        </w:rPr>
        <w:t xml:space="preserve"> </w:t>
      </w:r>
      <w:r w:rsidRPr="00282AC9">
        <w:rPr>
          <w:rFonts w:cs="AL-Mohanad" w:hint="cs"/>
          <w:sz w:val="27"/>
          <w:szCs w:val="27"/>
          <w:rtl/>
        </w:rPr>
        <w:t>ي</w:t>
      </w:r>
      <w:r w:rsidRPr="00282AC9">
        <w:rPr>
          <w:rFonts w:ascii="Sakkal Majalla" w:hAnsi="Sakkal Majalla" w:cs="AL-Mohanad" w:hint="cs"/>
          <w:sz w:val="27"/>
          <w:szCs w:val="27"/>
          <w:rtl/>
        </w:rPr>
        <w:t>ستط</w:t>
      </w:r>
      <w:r w:rsidRPr="00282AC9">
        <w:rPr>
          <w:rFonts w:cs="AL-Mohanad" w:hint="cs"/>
          <w:sz w:val="27"/>
          <w:szCs w:val="27"/>
          <w:rtl/>
        </w:rPr>
        <w:t>ي</w:t>
      </w:r>
      <w:r w:rsidRPr="00282AC9">
        <w:rPr>
          <w:rFonts w:ascii="Sakkal Majalla" w:hAnsi="Sakkal Majalla" w:cs="AL-Mohanad" w:hint="cs"/>
          <w:sz w:val="27"/>
          <w:szCs w:val="27"/>
          <w:rtl/>
        </w:rPr>
        <w:t>ع</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أ</w:t>
      </w:r>
      <w:r w:rsidRPr="00282AC9">
        <w:rPr>
          <w:rFonts w:ascii="Sakkal Majalla" w:hAnsi="Sakkal Majalla" w:cs="AL-Mohanad"/>
          <w:sz w:val="27"/>
          <w:szCs w:val="27"/>
          <w:rtl/>
        </w:rPr>
        <w:t xml:space="preserve">ن </w:t>
      </w:r>
      <w:r w:rsidRPr="00282AC9">
        <w:rPr>
          <w:rFonts w:cs="AL-Mohanad" w:hint="cs"/>
          <w:sz w:val="27"/>
          <w:szCs w:val="27"/>
          <w:rtl/>
        </w:rPr>
        <w:t>ي</w:t>
      </w:r>
      <w:r w:rsidRPr="00282AC9">
        <w:rPr>
          <w:rFonts w:ascii="Sakkal Majalla" w:hAnsi="Sakkal Majalla" w:cs="AL-Mohanad" w:hint="cs"/>
          <w:sz w:val="27"/>
          <w:szCs w:val="27"/>
          <w:rtl/>
        </w:rPr>
        <w:t>أتي</w:t>
      </w:r>
      <w:r w:rsidRPr="00282AC9">
        <w:rPr>
          <w:rFonts w:ascii="Sakkal Majalla" w:hAnsi="Sakkal Majalla" w:cs="AL-Mohanad"/>
          <w:sz w:val="27"/>
          <w:szCs w:val="27"/>
          <w:rtl/>
        </w:rPr>
        <w:t xml:space="preserve"> بمثلها </w:t>
      </w:r>
      <w:r w:rsidRPr="00282AC9">
        <w:rPr>
          <w:rFonts w:ascii="Sakkal Majalla" w:hAnsi="Sakkal Majalla" w:cs="AL-Mohanad" w:hint="cs"/>
          <w:sz w:val="27"/>
          <w:szCs w:val="27"/>
          <w:rtl/>
        </w:rPr>
        <w:t>أ</w:t>
      </w:r>
      <w:r w:rsidRPr="00282AC9">
        <w:rPr>
          <w:rFonts w:ascii="Sakkal Majalla" w:hAnsi="Sakkal Majalla" w:cs="AL-Mohanad"/>
          <w:sz w:val="27"/>
          <w:szCs w:val="27"/>
          <w:rtl/>
        </w:rPr>
        <w:t>حد</w:t>
      </w:r>
      <w:r w:rsidR="007F0460"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إ</w:t>
      </w:r>
      <w:r w:rsidR="00EE6DBA" w:rsidRPr="00282AC9">
        <w:rPr>
          <w:rFonts w:ascii="Sakkal Majalla" w:hAnsi="Sakkal Majalla" w:cs="AL-Mohanad"/>
          <w:sz w:val="27"/>
          <w:szCs w:val="27"/>
          <w:rtl/>
        </w:rPr>
        <w:t>لاّ</w:t>
      </w:r>
      <w:r w:rsidRPr="00282AC9">
        <w:rPr>
          <w:rFonts w:ascii="Sakkal Majalla" w:hAnsi="Sakkal Majalla" w:cs="AL-Mohanad"/>
          <w:sz w:val="27"/>
          <w:szCs w:val="27"/>
          <w:rtl/>
        </w:rPr>
        <w:t xml:space="preserve"> الله تعالى</w:t>
      </w:r>
      <w:r w:rsidR="007F0460"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w:t>
      </w:r>
      <w:r w:rsidRPr="00282AC9">
        <w:rPr>
          <w:rFonts w:ascii="Sakkal Majalla" w:hAnsi="Sakkal Majalla" w:cs="AL-Mohanad" w:hint="cs"/>
          <w:sz w:val="27"/>
          <w:szCs w:val="27"/>
          <w:rtl/>
        </w:rPr>
        <w:t>عل</w:t>
      </w:r>
      <w:r w:rsidRPr="00282AC9">
        <w:rPr>
          <w:rFonts w:cs="AL-Mohanad" w:hint="cs"/>
          <w:sz w:val="27"/>
          <w:szCs w:val="27"/>
          <w:rtl/>
        </w:rPr>
        <w:t>ي</w:t>
      </w:r>
      <w:r w:rsidRPr="00282AC9">
        <w:rPr>
          <w:rFonts w:ascii="Sakkal Majalla" w:hAnsi="Sakkal Majalla" w:cs="AL-Mohanad" w:hint="cs"/>
          <w:sz w:val="27"/>
          <w:szCs w:val="27"/>
          <w:rtl/>
        </w:rPr>
        <w:t>ه</w:t>
      </w:r>
      <w:r w:rsidR="007F0460"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فك</w:t>
      </w:r>
      <w:r w:rsidRPr="00282AC9">
        <w:rPr>
          <w:rFonts w:cs="AL-Mohanad" w:hint="cs"/>
          <w:sz w:val="27"/>
          <w:szCs w:val="27"/>
          <w:rtl/>
        </w:rPr>
        <w:t>ي</w:t>
      </w:r>
      <w:r w:rsidRPr="00282AC9">
        <w:rPr>
          <w:rFonts w:ascii="Sakkal Majalla" w:hAnsi="Sakkal Majalla" w:cs="AL-Mohanad" w:hint="cs"/>
          <w:sz w:val="27"/>
          <w:szCs w:val="27"/>
          <w:rtl/>
        </w:rPr>
        <w:t>ف</w:t>
      </w:r>
      <w:r w:rsidRPr="00282AC9">
        <w:rPr>
          <w:rFonts w:ascii="Sakkal Majalla" w:hAnsi="Sakkal Majalla" w:cs="AL-Mohanad"/>
          <w:sz w:val="27"/>
          <w:szCs w:val="27"/>
          <w:rtl/>
        </w:rPr>
        <w:t xml:space="preserve"> </w:t>
      </w:r>
      <w:r w:rsidRPr="00282AC9">
        <w:rPr>
          <w:rFonts w:cs="AL-Mohanad" w:hint="cs"/>
          <w:sz w:val="27"/>
          <w:szCs w:val="27"/>
          <w:rtl/>
        </w:rPr>
        <w:t>ي</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قال</w:t>
      </w:r>
      <w:r w:rsidR="007F0460" w:rsidRPr="00282AC9">
        <w:rPr>
          <w:rFonts w:ascii="Sakkal Majalla" w:hAnsi="Sakkal Majalla" w:cs="AL-Mohanad" w:hint="cs"/>
          <w:sz w:val="27"/>
          <w:szCs w:val="27"/>
          <w:rtl/>
        </w:rPr>
        <w:t>:</w:t>
      </w:r>
      <w:r w:rsidRPr="00282AC9">
        <w:rPr>
          <w:rFonts w:ascii="Sakkal Majalla" w:hAnsi="Sakkal Majalla" w:cs="AL-Mohanad"/>
          <w:sz w:val="27"/>
          <w:szCs w:val="27"/>
          <w:rtl/>
        </w:rPr>
        <w:t xml:space="preserve"> </w:t>
      </w:r>
      <w:r w:rsidR="007F0460" w:rsidRPr="00282AC9">
        <w:rPr>
          <w:rFonts w:ascii="Sakkal Majalla" w:hAnsi="Sakkal Majalla" w:cs="AL-Mohanad" w:hint="cs"/>
          <w:sz w:val="27"/>
          <w:szCs w:val="27"/>
          <w:rtl/>
        </w:rPr>
        <w:t>إ</w:t>
      </w:r>
      <w:r w:rsidRPr="00282AC9">
        <w:rPr>
          <w:rFonts w:ascii="Sakkal Majalla" w:hAnsi="Sakkal Majalla" w:cs="AL-Mohanad"/>
          <w:sz w:val="27"/>
          <w:szCs w:val="27"/>
          <w:rtl/>
        </w:rPr>
        <w:t>نّ ترت</w:t>
      </w:r>
      <w:r w:rsidRPr="00282AC9">
        <w:rPr>
          <w:rFonts w:cs="AL-Mohanad" w:hint="cs"/>
          <w:sz w:val="27"/>
          <w:szCs w:val="27"/>
          <w:rtl/>
        </w:rPr>
        <w:t>ي</w:t>
      </w:r>
      <w:r w:rsidRPr="00282AC9">
        <w:rPr>
          <w:rFonts w:ascii="Sakkal Majalla" w:hAnsi="Sakkal Majalla" w:cs="AL-Mohanad" w:hint="cs"/>
          <w:sz w:val="27"/>
          <w:szCs w:val="27"/>
          <w:rtl/>
        </w:rPr>
        <w:t>ب</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آ</w:t>
      </w:r>
      <w:r w:rsidRPr="00282AC9">
        <w:rPr>
          <w:rFonts w:cs="AL-Mohanad" w:hint="cs"/>
          <w:sz w:val="27"/>
          <w:szCs w:val="27"/>
          <w:rtl/>
        </w:rPr>
        <w:t>ي</w:t>
      </w:r>
      <w:r w:rsidRPr="00282AC9">
        <w:rPr>
          <w:rFonts w:ascii="Sakkal Majalla" w:hAnsi="Sakkal Majalla" w:cs="AL-Mohanad" w:hint="cs"/>
          <w:sz w:val="27"/>
          <w:szCs w:val="27"/>
          <w:rtl/>
        </w:rPr>
        <w:t>ات</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السور</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القرآن</w:t>
      </w:r>
      <w:r w:rsidRPr="00282AC9">
        <w:rPr>
          <w:rFonts w:cs="AL-Mohanad" w:hint="cs"/>
          <w:sz w:val="27"/>
          <w:szCs w:val="27"/>
          <w:rtl/>
        </w:rPr>
        <w:t>ي</w:t>
      </w:r>
      <w:r w:rsidRPr="00282AC9">
        <w:rPr>
          <w:rFonts w:ascii="Sakkal Majalla" w:hAnsi="Sakkal Majalla" w:cs="AL-Mohanad" w:hint="cs"/>
          <w:sz w:val="27"/>
          <w:szCs w:val="27"/>
          <w:rtl/>
        </w:rPr>
        <w:t>ة</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كان</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ب</w:t>
      </w:r>
      <w:r w:rsidR="007F0460" w:rsidRPr="00282AC9">
        <w:rPr>
          <w:rFonts w:ascii="Sakkal Majalla" w:hAnsi="Sakkal Majalla" w:cs="AL-Mohanad" w:hint="cs"/>
          <w:sz w:val="27"/>
          <w:szCs w:val="27"/>
          <w:rtl/>
        </w:rPr>
        <w:t>ا</w:t>
      </w:r>
      <w:r w:rsidRPr="00282AC9">
        <w:rPr>
          <w:rFonts w:ascii="Sakkal Majalla" w:hAnsi="Sakkal Majalla" w:cs="AL-Mohanad"/>
          <w:sz w:val="27"/>
          <w:szCs w:val="27"/>
          <w:rtl/>
        </w:rPr>
        <w:t>جتها</w:t>
      </w:r>
      <w:r w:rsidR="007F0460" w:rsidRPr="00282AC9">
        <w:rPr>
          <w:rFonts w:ascii="Sakkal Majalla" w:hAnsi="Sakkal Majalla" w:cs="AL-Mohanad" w:hint="cs"/>
          <w:sz w:val="27"/>
          <w:szCs w:val="27"/>
          <w:rtl/>
        </w:rPr>
        <w:t>دٍ</w:t>
      </w:r>
      <w:r w:rsidRPr="00282AC9">
        <w:rPr>
          <w:rFonts w:ascii="Sakkal Majalla" w:hAnsi="Sakkal Majalla" w:cs="AL-Mohanad"/>
          <w:sz w:val="27"/>
          <w:szCs w:val="27"/>
          <w:rtl/>
        </w:rPr>
        <w:t xml:space="preserve"> من الصحابة</w:t>
      </w:r>
      <w:r w:rsidR="007F0460" w:rsidRPr="00282AC9">
        <w:rPr>
          <w:rFonts w:ascii="Sakkal Majalla" w:hAnsi="Sakkal Majalla" w:cs="AL-Mohanad" w:hint="cs"/>
          <w:sz w:val="27"/>
          <w:szCs w:val="27"/>
          <w:rtl/>
        </w:rPr>
        <w:t>،</w:t>
      </w:r>
      <w:r w:rsidRPr="00282AC9">
        <w:rPr>
          <w:rFonts w:ascii="Sakkal Majalla" w:hAnsi="Sakkal Majalla" w:cs="AL-Mohanad"/>
          <w:sz w:val="27"/>
          <w:szCs w:val="27"/>
          <w:rtl/>
        </w:rPr>
        <w:t xml:space="preserve"> وهم الذ</w:t>
      </w:r>
      <w:r w:rsidRPr="00282AC9">
        <w:rPr>
          <w:rFonts w:cs="AL-Mohanad" w:hint="cs"/>
          <w:sz w:val="27"/>
          <w:szCs w:val="27"/>
          <w:rtl/>
        </w:rPr>
        <w:t>ي</w:t>
      </w:r>
      <w:r w:rsidRPr="00282AC9">
        <w:rPr>
          <w:rFonts w:ascii="Sakkal Majalla" w:hAnsi="Sakkal Majalla" w:cs="AL-Mohanad" w:hint="cs"/>
          <w:sz w:val="27"/>
          <w:szCs w:val="27"/>
          <w:rtl/>
        </w:rPr>
        <w:t>ن</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جمعوا</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الآ</w:t>
      </w:r>
      <w:r w:rsidRPr="00282AC9">
        <w:rPr>
          <w:rFonts w:cs="AL-Mohanad" w:hint="cs"/>
          <w:sz w:val="27"/>
          <w:szCs w:val="27"/>
          <w:rtl/>
        </w:rPr>
        <w:t>ي</w:t>
      </w:r>
      <w:r w:rsidRPr="00282AC9">
        <w:rPr>
          <w:rFonts w:ascii="Sakkal Majalla" w:hAnsi="Sakkal Majalla" w:cs="AL-Mohanad" w:hint="cs"/>
          <w:sz w:val="27"/>
          <w:szCs w:val="27"/>
          <w:rtl/>
        </w:rPr>
        <w:t>ات</w:t>
      </w:r>
      <w:r w:rsidRPr="00282AC9">
        <w:rPr>
          <w:rFonts w:ascii="Sakkal Majalla" w:hAnsi="Sakkal Majalla" w:cs="AL-Mohanad"/>
          <w:sz w:val="27"/>
          <w:szCs w:val="27"/>
          <w:rtl/>
        </w:rPr>
        <w:t xml:space="preserve"> </w:t>
      </w:r>
      <w:r w:rsidRPr="00282AC9">
        <w:rPr>
          <w:rFonts w:ascii="Sakkal Majalla" w:hAnsi="Sakkal Majalla" w:cs="AL-Mohanad" w:hint="cs"/>
          <w:sz w:val="27"/>
          <w:szCs w:val="27"/>
          <w:rtl/>
        </w:rPr>
        <w:t>المتناثرة في موضع</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واحد</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وصنعوا منها سورة</w:t>
      </w:r>
      <w:r w:rsidR="007F0460" w:rsidRPr="00282AC9">
        <w:rPr>
          <w:rFonts w:ascii="Sakkal Majalla" w:hAnsi="Sakkal Majalla" w:cs="AL-Mohanad" w:hint="cs"/>
          <w:sz w:val="27"/>
          <w:szCs w:val="27"/>
          <w:rtl/>
        </w:rPr>
        <w:t>ً؟</w:t>
      </w:r>
      <w:r w:rsidRPr="00282AC9">
        <w:rPr>
          <w:rFonts w:ascii="Sakkal Majalla" w:hAnsi="Sakkal Majalla" w:cs="AL-Mohanad" w:hint="cs"/>
          <w:sz w:val="27"/>
          <w:szCs w:val="27"/>
          <w:rtl/>
        </w:rPr>
        <w:t>! أل</w:t>
      </w:r>
      <w:r w:rsidRPr="00282AC9">
        <w:rPr>
          <w:rFonts w:cs="AL-Mohanad" w:hint="cs"/>
          <w:sz w:val="27"/>
          <w:szCs w:val="27"/>
          <w:rtl/>
        </w:rPr>
        <w:t>ي</w:t>
      </w:r>
      <w:r w:rsidRPr="00282AC9">
        <w:rPr>
          <w:rFonts w:ascii="Sakkal Majalla" w:hAnsi="Sakkal Majalla" w:cs="AL-Mohanad" w:hint="cs"/>
          <w:sz w:val="27"/>
          <w:szCs w:val="27"/>
          <w:rtl/>
        </w:rPr>
        <w:t xml:space="preserve">س هذا </w:t>
      </w:r>
      <w:r w:rsidRPr="00282AC9">
        <w:rPr>
          <w:rFonts w:cs="AL-Mohanad" w:hint="cs"/>
          <w:sz w:val="27"/>
          <w:szCs w:val="27"/>
          <w:rtl/>
        </w:rPr>
        <w:t>ي</w:t>
      </w:r>
      <w:r w:rsidRPr="00282AC9">
        <w:rPr>
          <w:rFonts w:ascii="Sakkal Majalla" w:hAnsi="Sakkal Majalla" w:cs="AL-Mohanad" w:hint="cs"/>
          <w:sz w:val="27"/>
          <w:szCs w:val="27"/>
          <w:rtl/>
        </w:rPr>
        <w:t xml:space="preserve">خالف قوله تعالى </w:t>
      </w:r>
      <w:r w:rsidRPr="00282AC9">
        <w:rPr>
          <w:rFonts w:ascii="Mosawi" w:hAnsi="Mosawi" w:cs="Mosawi"/>
          <w:rtl/>
        </w:rPr>
        <w:t>﴿</w:t>
      </w:r>
      <w:r w:rsidRPr="00282AC9">
        <w:rPr>
          <w:rFonts w:ascii="Sakkal Majalla" w:hAnsi="Sakkal Majalla" w:cs="AL-Mohanad"/>
          <w:b/>
          <w:bCs/>
          <w:sz w:val="27"/>
          <w:szCs w:val="27"/>
          <w:rtl/>
        </w:rPr>
        <w:t>أَمْ يَقُولُونَ افْتَر</w:t>
      </w:r>
      <w:r w:rsidR="007F0460" w:rsidRPr="00282AC9">
        <w:rPr>
          <w:rFonts w:ascii="Sakkal Majalla" w:hAnsi="Sakkal Majalla" w:cs="AL-Mohanad" w:hint="cs"/>
          <w:b/>
          <w:bCs/>
          <w:sz w:val="27"/>
          <w:szCs w:val="27"/>
          <w:rtl/>
        </w:rPr>
        <w:t>َ</w:t>
      </w:r>
      <w:r w:rsidRPr="00282AC9">
        <w:rPr>
          <w:rFonts w:ascii="Sakkal Majalla" w:hAnsi="Sakkal Majalla" w:cs="AL-Mohanad"/>
          <w:b/>
          <w:bCs/>
          <w:sz w:val="27"/>
          <w:szCs w:val="27"/>
          <w:rtl/>
        </w:rPr>
        <w:t>اهُ قُلْ فَأْتُوا بِسُورَةٍ مِثْلِهِ و</w:t>
      </w:r>
      <w:r w:rsidR="00BC7B8A" w:rsidRPr="00282AC9">
        <w:rPr>
          <w:rFonts w:ascii="Sakkal Majalla" w:hAnsi="Sakkal Majalla" w:cs="AL-Mohanad" w:hint="cs"/>
          <w:b/>
          <w:bCs/>
          <w:sz w:val="27"/>
          <w:szCs w:val="27"/>
          <w:rtl/>
        </w:rPr>
        <w:t>َ</w:t>
      </w:r>
      <w:r w:rsidRPr="00282AC9">
        <w:rPr>
          <w:rFonts w:ascii="Sakkal Majalla" w:hAnsi="Sakkal Majalla" w:cs="AL-Mohanad"/>
          <w:b/>
          <w:bCs/>
          <w:sz w:val="27"/>
          <w:szCs w:val="27"/>
          <w:rtl/>
        </w:rPr>
        <w:t xml:space="preserve">ادْعُوا مَنِ اسْتَطَعْتُمْ مِنْ دُونِ </w:t>
      </w:r>
      <w:r w:rsidR="00C06BE6" w:rsidRPr="00282AC9">
        <w:rPr>
          <w:rFonts w:ascii="Sakkal Majalla" w:hAnsi="Sakkal Majalla" w:cs="AL-Mohanad"/>
          <w:b/>
          <w:bCs/>
          <w:sz w:val="27"/>
          <w:szCs w:val="27"/>
          <w:rtl/>
        </w:rPr>
        <w:t>الل</w:t>
      </w:r>
      <w:r w:rsidRPr="00282AC9">
        <w:rPr>
          <w:rFonts w:ascii="Sakkal Majalla" w:hAnsi="Sakkal Majalla" w:cs="AL-Mohanad"/>
          <w:b/>
          <w:bCs/>
          <w:sz w:val="27"/>
          <w:szCs w:val="27"/>
          <w:rtl/>
        </w:rPr>
        <w:t>هِ إِنْ كُنْتُمْ ص</w:t>
      </w:r>
      <w:r w:rsidR="00BC7B8A" w:rsidRPr="00282AC9">
        <w:rPr>
          <w:rFonts w:ascii="Sakkal Majalla" w:hAnsi="Sakkal Majalla" w:cs="AL-Mohanad" w:hint="cs"/>
          <w:b/>
          <w:bCs/>
          <w:sz w:val="27"/>
          <w:szCs w:val="27"/>
          <w:rtl/>
        </w:rPr>
        <w:t>َ</w:t>
      </w:r>
      <w:r w:rsidRPr="00282AC9">
        <w:rPr>
          <w:rFonts w:ascii="Sakkal Majalla" w:hAnsi="Sakkal Majalla" w:cs="AL-Mohanad"/>
          <w:b/>
          <w:bCs/>
          <w:sz w:val="27"/>
          <w:szCs w:val="27"/>
          <w:rtl/>
        </w:rPr>
        <w:t>ادِقِينَ</w:t>
      </w:r>
      <w:r w:rsidRPr="00282AC9">
        <w:rPr>
          <w:rFonts w:ascii="Mosawi" w:hAnsi="Mosawi" w:cs="Mosawi"/>
          <w:rtl/>
        </w:rPr>
        <w:t>﴾</w:t>
      </w:r>
      <w:r w:rsidRPr="00282AC9">
        <w:rPr>
          <w:rFonts w:ascii="Sakkal Majalla" w:eastAsiaTheme="minorHAnsi" w:hAnsi="Sakkal Majalla" w:cs="AL-Mohanad" w:hint="cs"/>
          <w:sz w:val="27"/>
          <w:szCs w:val="27"/>
          <w:rtl/>
        </w:rPr>
        <w:t xml:space="preserve"> (يونس: 38).</w:t>
      </w:r>
      <w:r w:rsidRPr="00282AC9">
        <w:rPr>
          <w:rFonts w:ascii="Sakkal Majalla" w:hAnsi="Sakkal Majalla" w:cs="AL-Mohanad" w:hint="cs"/>
          <w:sz w:val="27"/>
          <w:szCs w:val="27"/>
          <w:rtl/>
        </w:rPr>
        <w:t xml:space="preserve"> </w:t>
      </w:r>
    </w:p>
    <w:p w:rsidR="00EF541F" w:rsidRPr="00282AC9" w:rsidRDefault="00EF541F" w:rsidP="00EF541F">
      <w:pPr>
        <w:spacing w:line="420" w:lineRule="exact"/>
        <w:rPr>
          <w:sz w:val="27"/>
          <w:rtl/>
        </w:rPr>
      </w:pPr>
    </w:p>
    <w:p w:rsidR="00AD6E36" w:rsidRPr="00282AC9" w:rsidRDefault="00AD6E36" w:rsidP="00774A16">
      <w:pPr>
        <w:pStyle w:val="31"/>
        <w:rPr>
          <w:color w:val="auto"/>
          <w:rtl/>
        </w:rPr>
      </w:pPr>
      <w:r w:rsidRPr="00282AC9">
        <w:rPr>
          <w:rFonts w:hint="cs"/>
          <w:color w:val="auto"/>
          <w:rtl/>
        </w:rPr>
        <w:t>النتيجة</w:t>
      </w:r>
    </w:p>
    <w:p w:rsidR="00BC7B8A"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وبهذه الدراسة المختصرة </w:t>
      </w:r>
      <w:r w:rsidRPr="00282AC9">
        <w:rPr>
          <w:rFonts w:cs="AL-Mohanad" w:hint="cs"/>
          <w:sz w:val="27"/>
          <w:szCs w:val="27"/>
          <w:rtl/>
        </w:rPr>
        <w:t>ي</w:t>
      </w:r>
      <w:r w:rsidRPr="00282AC9">
        <w:rPr>
          <w:rFonts w:ascii="Sakkal Majalla" w:hAnsi="Sakkal Majalla" w:cs="AL-Mohanad" w:hint="cs"/>
          <w:sz w:val="27"/>
          <w:szCs w:val="27"/>
          <w:rtl/>
        </w:rPr>
        <w:t>تّ</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ضح لنا أنّ ما </w:t>
      </w:r>
      <w:r w:rsidR="00BC7B8A" w:rsidRPr="00282AC9">
        <w:rPr>
          <w:rFonts w:ascii="Sakkal Majalla" w:hAnsi="Sakkal Majalla" w:cs="AL-Mohanad" w:hint="cs"/>
          <w:sz w:val="27"/>
          <w:szCs w:val="27"/>
          <w:rtl/>
        </w:rPr>
        <w:t>ا</w:t>
      </w:r>
      <w:r w:rsidRPr="00282AC9">
        <w:rPr>
          <w:rFonts w:ascii="Sakkal Majalla" w:hAnsi="Sakkal Majalla" w:cs="AL-Mohanad" w:hint="cs"/>
          <w:sz w:val="27"/>
          <w:szCs w:val="27"/>
          <w:rtl/>
        </w:rPr>
        <w:t>ستدل</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به العلا</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مة من الروا</w:t>
      </w:r>
      <w:r w:rsidRPr="00282AC9">
        <w:rPr>
          <w:rFonts w:cs="AL-Mohanad" w:hint="cs"/>
          <w:sz w:val="27"/>
          <w:szCs w:val="27"/>
          <w:rtl/>
        </w:rPr>
        <w:t>ي</w:t>
      </w:r>
      <w:r w:rsidRPr="00282AC9">
        <w:rPr>
          <w:rFonts w:ascii="Sakkal Majalla" w:hAnsi="Sakkal Majalla" w:cs="AL-Mohanad" w:hint="cs"/>
          <w:sz w:val="27"/>
          <w:szCs w:val="27"/>
          <w:rtl/>
        </w:rPr>
        <w:t>ات غ</w:t>
      </w:r>
      <w:r w:rsidRPr="00282AC9">
        <w:rPr>
          <w:rFonts w:cs="AL-Mohanad" w:hint="cs"/>
          <w:sz w:val="27"/>
          <w:szCs w:val="27"/>
          <w:rtl/>
        </w:rPr>
        <w:t>ي</w:t>
      </w:r>
      <w:r w:rsidRPr="00282AC9">
        <w:rPr>
          <w:rFonts w:ascii="Sakkal Majalla" w:hAnsi="Sakkal Majalla" w:cs="AL-Mohanad" w:hint="cs"/>
          <w:sz w:val="27"/>
          <w:szCs w:val="27"/>
          <w:rtl/>
        </w:rPr>
        <w:t>ر</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تام</w:t>
      </w:r>
      <w:r w:rsidR="00BC7B8A" w:rsidRPr="00282AC9">
        <w:rPr>
          <w:rFonts w:ascii="Sakkal Majalla" w:hAnsi="Sakkal Majalla" w:cs="AL-Mohanad" w:hint="cs"/>
          <w:sz w:val="27"/>
          <w:szCs w:val="27"/>
          <w:rtl/>
        </w:rPr>
        <w:t>ٍّ:</w:t>
      </w:r>
    </w:p>
    <w:p w:rsidR="00BC7B8A"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فأمّا روا</w:t>
      </w:r>
      <w:r w:rsidRPr="00282AC9">
        <w:rPr>
          <w:rFonts w:cs="AL-Mohanad" w:hint="cs"/>
          <w:sz w:val="27"/>
          <w:szCs w:val="27"/>
          <w:rtl/>
        </w:rPr>
        <w:t>ي</w:t>
      </w:r>
      <w:r w:rsidRPr="00282AC9">
        <w:rPr>
          <w:rFonts w:ascii="Sakkal Majalla" w:hAnsi="Sakkal Majalla" w:cs="AL-Mohanad" w:hint="cs"/>
          <w:sz w:val="27"/>
          <w:szCs w:val="27"/>
          <w:rtl/>
        </w:rPr>
        <w:t>ات الجمع الأو</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ل فهي</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مع إرسالها وتناقضها، تعارض مسألة إعجاز القرآن</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كما أنّها تعارض أ</w:t>
      </w:r>
      <w:r w:rsidRPr="00282AC9">
        <w:rPr>
          <w:rFonts w:cs="AL-Mohanad" w:hint="cs"/>
          <w:sz w:val="27"/>
          <w:szCs w:val="27"/>
          <w:rtl/>
        </w:rPr>
        <w:t>ي</w:t>
      </w:r>
      <w:r w:rsidRPr="00282AC9">
        <w:rPr>
          <w:rFonts w:ascii="Sakkal Majalla" w:hAnsi="Sakkal Majalla" w:cs="AL-Mohanad" w:hint="cs"/>
          <w:sz w:val="27"/>
          <w:szCs w:val="27"/>
          <w:rtl/>
        </w:rPr>
        <w:t>ضاً الروا</w:t>
      </w:r>
      <w:r w:rsidRPr="00282AC9">
        <w:rPr>
          <w:rFonts w:cs="AL-Mohanad" w:hint="cs"/>
          <w:sz w:val="27"/>
          <w:szCs w:val="27"/>
          <w:rtl/>
        </w:rPr>
        <w:t>ي</w:t>
      </w:r>
      <w:r w:rsidRPr="00282AC9">
        <w:rPr>
          <w:rFonts w:ascii="Sakkal Majalla" w:hAnsi="Sakkal Majalla" w:cs="AL-Mohanad" w:hint="cs"/>
          <w:sz w:val="27"/>
          <w:szCs w:val="27"/>
          <w:rtl/>
        </w:rPr>
        <w:t>ات المتواترة المرو</w:t>
      </w:r>
      <w:r w:rsidRPr="00282AC9">
        <w:rPr>
          <w:rFonts w:cs="AL-Mohanad" w:hint="cs"/>
          <w:sz w:val="27"/>
          <w:szCs w:val="27"/>
          <w:rtl/>
        </w:rPr>
        <w:t>ي</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ة عن أهل الب</w:t>
      </w:r>
      <w:r w:rsidRPr="00282AC9">
        <w:rPr>
          <w:rFonts w:cs="AL-Mohanad" w:hint="cs"/>
          <w:sz w:val="27"/>
          <w:szCs w:val="27"/>
          <w:rtl/>
        </w:rPr>
        <w:t>ي</w:t>
      </w:r>
      <w:r w:rsidRPr="00282AC9">
        <w:rPr>
          <w:rFonts w:ascii="Sakkal Majalla" w:hAnsi="Sakkal Majalla" w:cs="AL-Mohanad" w:hint="cs"/>
          <w:sz w:val="27"/>
          <w:szCs w:val="27"/>
          <w:rtl/>
        </w:rPr>
        <w:t>ت</w:t>
      </w:r>
      <w:r w:rsidR="00876ECA" w:rsidRPr="00282AC9">
        <w:rPr>
          <w:rFonts w:cs="Mosawi" w:hint="cs"/>
          <w:sz w:val="22"/>
          <w:szCs w:val="22"/>
          <w:rtl/>
        </w:rPr>
        <w:t>^</w:t>
      </w:r>
      <w:r w:rsidRPr="00282AC9">
        <w:rPr>
          <w:rFonts w:ascii="Sakkal Majalla" w:hAnsi="Sakkal Majalla" w:cs="AL-Mohanad" w:hint="cs"/>
          <w:sz w:val="27"/>
          <w:szCs w:val="27"/>
          <w:rtl/>
        </w:rPr>
        <w:t xml:space="preserve"> </w:t>
      </w:r>
      <w:r w:rsidR="00BC7B8A" w:rsidRPr="00282AC9">
        <w:rPr>
          <w:rFonts w:ascii="Sakkal Majalla" w:hAnsi="Sakkal Majalla" w:cs="AL-Mohanad" w:hint="cs"/>
          <w:sz w:val="27"/>
          <w:szCs w:val="27"/>
          <w:rtl/>
        </w:rPr>
        <w:t>في</w:t>
      </w:r>
      <w:r w:rsidRPr="00282AC9">
        <w:rPr>
          <w:rFonts w:ascii="Sakkal Majalla" w:hAnsi="Sakkal Majalla" w:cs="AL-Mohanad" w:hint="cs"/>
          <w:sz w:val="27"/>
          <w:szCs w:val="27"/>
          <w:rtl/>
        </w:rPr>
        <w:t xml:space="preserve"> أنّ القرآن جمع في زمن النبي</w:t>
      </w:r>
      <w:r w:rsidR="00BC7B8A"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w:t>
      </w:r>
    </w:p>
    <w:p w:rsidR="00BC7B8A"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وأمّا روا</w:t>
      </w:r>
      <w:r w:rsidRPr="00282AC9">
        <w:rPr>
          <w:rFonts w:cs="AL-Mohanad" w:hint="cs"/>
          <w:sz w:val="27"/>
          <w:szCs w:val="27"/>
          <w:rtl/>
        </w:rPr>
        <w:t>ي</w:t>
      </w:r>
      <w:r w:rsidRPr="00282AC9">
        <w:rPr>
          <w:rFonts w:ascii="Sakkal Majalla" w:hAnsi="Sakkal Majalla" w:cs="AL-Mohanad" w:hint="cs"/>
          <w:sz w:val="27"/>
          <w:szCs w:val="27"/>
          <w:rtl/>
        </w:rPr>
        <w:t>ات البسملة فهي</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بال</w:t>
      </w:r>
      <w:r w:rsidR="00BC7B8A" w:rsidRPr="00282AC9">
        <w:rPr>
          <w:rFonts w:ascii="Sakkal Majalla" w:hAnsi="Sakkal Majalla" w:cs="AL-Mohanad" w:hint="cs"/>
          <w:sz w:val="27"/>
          <w:szCs w:val="27"/>
          <w:rtl/>
        </w:rPr>
        <w:t>إ</w:t>
      </w:r>
      <w:r w:rsidRPr="00282AC9">
        <w:rPr>
          <w:rFonts w:ascii="Sakkal Majalla" w:hAnsi="Sakkal Majalla" w:cs="AL-Mohanad" w:hint="cs"/>
          <w:sz w:val="27"/>
          <w:szCs w:val="27"/>
          <w:rtl/>
        </w:rPr>
        <w:t xml:space="preserve">ضافة إلى </w:t>
      </w:r>
      <w:r w:rsidR="00BC7B8A" w:rsidRPr="00282AC9">
        <w:rPr>
          <w:rFonts w:ascii="Sakkal Majalla" w:hAnsi="Sakkal Majalla" w:cs="AL-Mohanad" w:hint="cs"/>
          <w:sz w:val="27"/>
          <w:szCs w:val="27"/>
          <w:rtl/>
        </w:rPr>
        <w:t>ت</w:t>
      </w:r>
      <w:r w:rsidRPr="00282AC9">
        <w:rPr>
          <w:rFonts w:ascii="Sakkal Majalla" w:hAnsi="Sakkal Majalla" w:cs="AL-Mohanad" w:hint="cs"/>
          <w:sz w:val="27"/>
          <w:szCs w:val="27"/>
          <w:rtl/>
        </w:rPr>
        <w:t>عارضها مع روا</w:t>
      </w:r>
      <w:r w:rsidRPr="00282AC9">
        <w:rPr>
          <w:rFonts w:cs="AL-Mohanad" w:hint="cs"/>
          <w:sz w:val="27"/>
          <w:szCs w:val="27"/>
          <w:rtl/>
        </w:rPr>
        <w:t>ي</w:t>
      </w:r>
      <w:r w:rsidRPr="00282AC9">
        <w:rPr>
          <w:rFonts w:ascii="Sakkal Majalla" w:hAnsi="Sakkal Majalla" w:cs="AL-Mohanad" w:hint="cs"/>
          <w:sz w:val="27"/>
          <w:szCs w:val="27"/>
          <w:rtl/>
        </w:rPr>
        <w:t xml:space="preserve">ات </w:t>
      </w:r>
      <w:r w:rsidR="00BC7B8A" w:rsidRPr="00282AC9">
        <w:rPr>
          <w:rFonts w:ascii="Sakkal Majalla" w:hAnsi="Sakkal Majalla" w:cs="AL-Mohanad" w:hint="cs"/>
          <w:sz w:val="27"/>
          <w:szCs w:val="27"/>
          <w:rtl/>
        </w:rPr>
        <w:t>أ</w:t>
      </w:r>
      <w:r w:rsidRPr="00282AC9">
        <w:rPr>
          <w:rFonts w:ascii="Sakkal Majalla" w:hAnsi="Sakkal Majalla" w:cs="AL-Mohanad" w:hint="cs"/>
          <w:sz w:val="27"/>
          <w:szCs w:val="27"/>
          <w:rtl/>
        </w:rPr>
        <w:t>خر</w:t>
      </w:r>
      <w:r w:rsidR="00BC7B8A" w:rsidRPr="00282AC9">
        <w:rPr>
          <w:rFonts w:cs="AL-Mohanad" w:hint="cs"/>
          <w:sz w:val="27"/>
          <w:szCs w:val="27"/>
          <w:rtl/>
        </w:rPr>
        <w:t>ى</w:t>
      </w:r>
      <w:r w:rsidRPr="00282AC9">
        <w:rPr>
          <w:rFonts w:ascii="Sakkal Majalla" w:hAnsi="Sakkal Majalla" w:cs="AL-Mohanad" w:hint="cs"/>
          <w:sz w:val="27"/>
          <w:szCs w:val="27"/>
          <w:rtl/>
        </w:rPr>
        <w:t>، فإنّها ذكرت ال</w:t>
      </w:r>
      <w:r w:rsidR="00BC7B8A" w:rsidRPr="00282AC9">
        <w:rPr>
          <w:rFonts w:ascii="Sakkal Majalla" w:hAnsi="Sakkal Majalla" w:cs="AL-Mohanad" w:hint="cs"/>
          <w:sz w:val="27"/>
          <w:szCs w:val="27"/>
          <w:rtl/>
        </w:rPr>
        <w:t>ا</w:t>
      </w:r>
      <w:r w:rsidRPr="00282AC9">
        <w:rPr>
          <w:rFonts w:ascii="Sakkal Majalla" w:hAnsi="Sakkal Majalla" w:cs="AL-Mohanad" w:hint="cs"/>
          <w:sz w:val="27"/>
          <w:szCs w:val="27"/>
          <w:rtl/>
        </w:rPr>
        <w:t>بتداء وال</w:t>
      </w:r>
      <w:r w:rsidR="00BC7B8A" w:rsidRPr="00282AC9">
        <w:rPr>
          <w:rFonts w:ascii="Sakkal Majalla" w:hAnsi="Sakkal Majalla" w:cs="AL-Mohanad" w:hint="cs"/>
          <w:sz w:val="27"/>
          <w:szCs w:val="27"/>
          <w:rtl/>
        </w:rPr>
        <w:t>ا</w:t>
      </w:r>
      <w:r w:rsidRPr="00282AC9">
        <w:rPr>
          <w:rFonts w:ascii="Sakkal Majalla" w:hAnsi="Sakkal Majalla" w:cs="AL-Mohanad" w:hint="cs"/>
          <w:sz w:val="27"/>
          <w:szCs w:val="27"/>
          <w:rtl/>
        </w:rPr>
        <w:t>نتهاء الب</w:t>
      </w:r>
      <w:r w:rsidR="00DC72FB" w:rsidRPr="00282AC9">
        <w:rPr>
          <w:rFonts w:ascii="Sakkal Majalla" w:hAnsi="Sakkal Majalla" w:cs="AL-Mohanad" w:hint="cs"/>
          <w:sz w:val="27"/>
          <w:szCs w:val="27"/>
          <w:rtl/>
        </w:rPr>
        <w:t>َ</w:t>
      </w:r>
      <w:r w:rsidRPr="00282AC9">
        <w:rPr>
          <w:rFonts w:ascii="Sakkal Majalla" w:hAnsi="Sakkal Majalla" w:cs="AL-Mohanad" w:hint="cs"/>
          <w:sz w:val="27"/>
          <w:szCs w:val="27"/>
          <w:rtl/>
        </w:rPr>
        <w:t>د</w:t>
      </w:r>
      <w:r w:rsidR="00DC72FB" w:rsidRPr="00282AC9">
        <w:rPr>
          <w:rFonts w:ascii="Sakkal Majalla" w:hAnsi="Sakkal Majalla" w:cs="AL-Mohanad" w:hint="cs"/>
          <w:sz w:val="27"/>
          <w:szCs w:val="27"/>
          <w:rtl/>
        </w:rPr>
        <w:t>ْ</w:t>
      </w:r>
      <w:r w:rsidRPr="00282AC9">
        <w:rPr>
          <w:rFonts w:ascii="Sakkal Majalla" w:hAnsi="Sakkal Majalla" w:cs="AL-Mohanad" w:hint="cs"/>
          <w:sz w:val="27"/>
          <w:szCs w:val="27"/>
          <w:rtl/>
        </w:rPr>
        <w:t>و</w:t>
      </w:r>
      <w:r w:rsidRPr="00282AC9">
        <w:rPr>
          <w:rFonts w:cs="AL-Mohanad" w:hint="cs"/>
          <w:sz w:val="27"/>
          <w:szCs w:val="27"/>
          <w:rtl/>
        </w:rPr>
        <w:t>ي</w:t>
      </w:r>
      <w:r w:rsidR="00DC72FB"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للسور</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وأنّ السورة </w:t>
      </w:r>
      <w:r w:rsidRPr="00282AC9">
        <w:rPr>
          <w:rFonts w:cs="AL-Mohanad" w:hint="cs"/>
          <w:sz w:val="27"/>
          <w:szCs w:val="27"/>
          <w:rtl/>
        </w:rPr>
        <w:t>ي</w:t>
      </w:r>
      <w:r w:rsidRPr="00282AC9">
        <w:rPr>
          <w:rFonts w:ascii="Sakkal Majalla" w:hAnsi="Sakkal Majalla" w:cs="AL-Mohanad" w:hint="cs"/>
          <w:sz w:val="27"/>
          <w:szCs w:val="27"/>
          <w:rtl/>
        </w:rPr>
        <w:t>جب أن تبدأ وتنتهي بالبسملة</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Pr="00282AC9">
        <w:rPr>
          <w:rFonts w:ascii="Sakkal Majalla" w:hAnsi="Sakkal Majalla" w:cs="AL-Mohanad" w:hint="cs"/>
          <w:sz w:val="27"/>
          <w:szCs w:val="27"/>
          <w:rtl/>
        </w:rPr>
        <w:lastRenderedPageBreak/>
        <w:t>ولم تمنع من ضمّ آ</w:t>
      </w:r>
      <w:r w:rsidRPr="00282AC9">
        <w:rPr>
          <w:rFonts w:cs="AL-Mohanad" w:hint="cs"/>
          <w:sz w:val="27"/>
          <w:szCs w:val="27"/>
          <w:rtl/>
        </w:rPr>
        <w:t>ي</w:t>
      </w:r>
      <w:r w:rsidRPr="00282AC9">
        <w:rPr>
          <w:rFonts w:ascii="Sakkal Majalla" w:hAnsi="Sakkal Majalla" w:cs="AL-Mohanad" w:hint="cs"/>
          <w:sz w:val="27"/>
          <w:szCs w:val="27"/>
          <w:rtl/>
        </w:rPr>
        <w:t>ات</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w:t>
      </w:r>
      <w:r w:rsidR="00BC7B8A" w:rsidRPr="00282AC9">
        <w:rPr>
          <w:rFonts w:ascii="Sakkal Majalla" w:hAnsi="Sakkal Majalla" w:cs="AL-Mohanad" w:hint="cs"/>
          <w:sz w:val="27"/>
          <w:szCs w:val="27"/>
          <w:rtl/>
        </w:rPr>
        <w:t>أ</w:t>
      </w:r>
      <w:r w:rsidRPr="00282AC9">
        <w:rPr>
          <w:rFonts w:ascii="Sakkal Majalla" w:hAnsi="Sakkal Majalla" w:cs="AL-Mohanad" w:hint="cs"/>
          <w:sz w:val="27"/>
          <w:szCs w:val="27"/>
          <w:rtl/>
        </w:rPr>
        <w:t>خر</w:t>
      </w:r>
      <w:r w:rsidR="00BC7B8A" w:rsidRPr="00282AC9">
        <w:rPr>
          <w:rFonts w:cs="AL-Mohanad" w:hint="cs"/>
          <w:sz w:val="27"/>
          <w:szCs w:val="27"/>
          <w:rtl/>
        </w:rPr>
        <w:t>ى</w:t>
      </w:r>
      <w:r w:rsidRPr="00282AC9">
        <w:rPr>
          <w:rFonts w:ascii="Sakkal Majalla" w:hAnsi="Sakkal Majalla" w:cs="AL-Mohanad" w:hint="cs"/>
          <w:sz w:val="27"/>
          <w:szCs w:val="27"/>
          <w:rtl/>
        </w:rPr>
        <w:t xml:space="preserve"> إلى السور المكتملة بالبسملت</w:t>
      </w:r>
      <w:r w:rsidRPr="00282AC9">
        <w:rPr>
          <w:rFonts w:cs="AL-Mohanad" w:hint="cs"/>
          <w:sz w:val="27"/>
          <w:szCs w:val="27"/>
          <w:rtl/>
        </w:rPr>
        <w:t>ي</w:t>
      </w:r>
      <w:r w:rsidRPr="00282AC9">
        <w:rPr>
          <w:rFonts w:ascii="Sakkal Majalla" w:hAnsi="Sakkal Majalla" w:cs="AL-Mohanad" w:hint="cs"/>
          <w:sz w:val="27"/>
          <w:szCs w:val="27"/>
          <w:rtl/>
        </w:rPr>
        <w:t>ن</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وقد نصّ في بعض الأخبار عل</w:t>
      </w:r>
      <w:r w:rsidR="00BC7B8A" w:rsidRPr="00282AC9">
        <w:rPr>
          <w:rFonts w:cs="AL-Mohanad" w:hint="cs"/>
          <w:sz w:val="27"/>
          <w:szCs w:val="27"/>
          <w:rtl/>
        </w:rPr>
        <w:t>ى</w:t>
      </w:r>
      <w:r w:rsidRPr="00282AC9">
        <w:rPr>
          <w:rFonts w:ascii="Sakkal Majalla" w:hAnsi="Sakkal Majalla" w:cs="AL-Mohanad" w:hint="cs"/>
          <w:sz w:val="27"/>
          <w:szCs w:val="27"/>
          <w:rtl/>
        </w:rPr>
        <w:t xml:space="preserve"> ذلك.</w:t>
      </w:r>
    </w:p>
    <w:p w:rsidR="00BC7B8A"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وأمّا روا</w:t>
      </w:r>
      <w:r w:rsidRPr="00282AC9">
        <w:rPr>
          <w:rFonts w:cs="AL-Mohanad" w:hint="cs"/>
          <w:sz w:val="27"/>
          <w:szCs w:val="27"/>
          <w:rtl/>
        </w:rPr>
        <w:t>ي</w:t>
      </w:r>
      <w:r w:rsidRPr="00282AC9">
        <w:rPr>
          <w:rFonts w:ascii="Sakkal Majalla" w:hAnsi="Sakkal Majalla" w:cs="AL-Mohanad" w:hint="cs"/>
          <w:sz w:val="27"/>
          <w:szCs w:val="27"/>
          <w:rtl/>
        </w:rPr>
        <w:t>ات مصحف علي</w:t>
      </w:r>
      <w:r w:rsidR="00BC7B8A"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Pr="00282AC9">
        <w:rPr>
          <w:rFonts w:ascii="Sakkal Majalla" w:hAnsi="Sakkal Majalla" w:cs="AL-Mohanad" w:hint="cs"/>
          <w:sz w:val="27"/>
          <w:szCs w:val="27"/>
          <w:rtl/>
        </w:rPr>
        <w:t xml:space="preserve"> فهي</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وإن</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دلّ</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ت</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عل</w:t>
      </w:r>
      <w:r w:rsidR="00BC7B8A" w:rsidRPr="00282AC9">
        <w:rPr>
          <w:rFonts w:cs="AL-Mohanad" w:hint="cs"/>
          <w:sz w:val="27"/>
          <w:szCs w:val="27"/>
          <w:rtl/>
        </w:rPr>
        <w:t>ى</w:t>
      </w:r>
      <w:r w:rsidRPr="00282AC9">
        <w:rPr>
          <w:rFonts w:ascii="Sakkal Majalla" w:hAnsi="Sakkal Majalla" w:cs="AL-Mohanad" w:hint="cs"/>
          <w:sz w:val="27"/>
          <w:szCs w:val="27"/>
          <w:rtl/>
        </w:rPr>
        <w:t xml:space="preserve"> أنّ الإمام كان له مصحف</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إ</w:t>
      </w:r>
      <w:r w:rsidR="00EE6DBA" w:rsidRPr="00282AC9">
        <w:rPr>
          <w:rFonts w:ascii="Sakkal Majalla" w:hAnsi="Sakkal Majalla" w:cs="AL-Mohanad" w:hint="cs"/>
          <w:sz w:val="27"/>
          <w:szCs w:val="27"/>
          <w:rtl/>
        </w:rPr>
        <w:t>لاّ</w:t>
      </w:r>
      <w:r w:rsidRPr="00282AC9">
        <w:rPr>
          <w:rFonts w:ascii="Sakkal Majalla" w:hAnsi="Sakkal Majalla" w:cs="AL-Mohanad" w:hint="cs"/>
          <w:sz w:val="27"/>
          <w:szCs w:val="27"/>
          <w:rtl/>
        </w:rPr>
        <w:t xml:space="preserve"> أنّ ذلك المصحف لا </w:t>
      </w:r>
      <w:r w:rsidRPr="00282AC9">
        <w:rPr>
          <w:rFonts w:cs="AL-Mohanad" w:hint="cs"/>
          <w:sz w:val="27"/>
          <w:szCs w:val="27"/>
          <w:rtl/>
        </w:rPr>
        <w:t>ي</w:t>
      </w:r>
      <w:r w:rsidRPr="00282AC9">
        <w:rPr>
          <w:rFonts w:ascii="Sakkal Majalla" w:hAnsi="Sakkal Majalla" w:cs="AL-Mohanad" w:hint="cs"/>
          <w:sz w:val="27"/>
          <w:szCs w:val="27"/>
          <w:rtl/>
        </w:rPr>
        <w:t>ختلف عن المصحف الذي كتبه في زمن النبي</w:t>
      </w:r>
      <w:r w:rsidR="00BC7B8A" w:rsidRPr="00282AC9">
        <w:rPr>
          <w:rFonts w:ascii="Sakkal Majalla" w:hAnsi="Sakkal Majalla" w:cs="AL-Mohanad" w:hint="cs"/>
          <w:sz w:val="27"/>
          <w:szCs w:val="27"/>
          <w:rtl/>
        </w:rPr>
        <w:t>ّ</w:t>
      </w:r>
      <w:r w:rsidR="009A2A04" w:rsidRPr="00282AC9">
        <w:rPr>
          <w:rFonts w:ascii="Sakkal Majalla" w:hAnsi="Sakkal Majalla" w:cs="Mosawi" w:hint="cs"/>
          <w:sz w:val="22"/>
          <w:szCs w:val="22"/>
          <w:rtl/>
        </w:rPr>
        <w:t>|</w:t>
      </w:r>
      <w:r w:rsidR="00BC7B8A"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والذي </w:t>
      </w:r>
      <w:r w:rsidR="00DC72FB" w:rsidRPr="00282AC9">
        <w:rPr>
          <w:rFonts w:ascii="Sakkal Majalla" w:hAnsi="Sakkal Majalla" w:cs="AL-Mohanad" w:hint="cs"/>
          <w:sz w:val="27"/>
          <w:szCs w:val="27"/>
          <w:rtl/>
        </w:rPr>
        <w:t>ت</w:t>
      </w:r>
      <w:r w:rsidRPr="00282AC9">
        <w:rPr>
          <w:rFonts w:ascii="Sakkal Majalla" w:hAnsi="Sakkal Majalla" w:cs="AL-Mohanad" w:hint="cs"/>
          <w:sz w:val="27"/>
          <w:szCs w:val="27"/>
          <w:rtl/>
        </w:rPr>
        <w:t>توارثه ال</w:t>
      </w:r>
      <w:r w:rsidR="00DC72FB" w:rsidRPr="00282AC9">
        <w:rPr>
          <w:rFonts w:ascii="Sakkal Majalla" w:hAnsi="Sakkal Majalla" w:cs="AL-Mohanad" w:hint="cs"/>
          <w:sz w:val="27"/>
          <w:szCs w:val="27"/>
          <w:rtl/>
        </w:rPr>
        <w:t>أ</w:t>
      </w:r>
      <w:r w:rsidRPr="00282AC9">
        <w:rPr>
          <w:rFonts w:ascii="Sakkal Majalla" w:hAnsi="Sakkal Majalla" w:cs="AL-Mohanad" w:hint="cs"/>
          <w:sz w:val="27"/>
          <w:szCs w:val="27"/>
          <w:rtl/>
        </w:rPr>
        <w:t>ج</w:t>
      </w:r>
      <w:r w:rsidRPr="00282AC9">
        <w:rPr>
          <w:rFonts w:cs="AL-Mohanad" w:hint="cs"/>
          <w:sz w:val="27"/>
          <w:szCs w:val="27"/>
          <w:rtl/>
        </w:rPr>
        <w:t>ي</w:t>
      </w:r>
      <w:r w:rsidRPr="00282AC9">
        <w:rPr>
          <w:rFonts w:ascii="Sakkal Majalla" w:hAnsi="Sakkal Majalla" w:cs="AL-Mohanad" w:hint="cs"/>
          <w:sz w:val="27"/>
          <w:szCs w:val="27"/>
          <w:rtl/>
        </w:rPr>
        <w:t xml:space="preserve">ال إلى </w:t>
      </w:r>
      <w:r w:rsidRPr="00282AC9">
        <w:rPr>
          <w:rFonts w:cs="AL-Mohanad" w:hint="cs"/>
          <w:sz w:val="27"/>
          <w:szCs w:val="27"/>
          <w:rtl/>
        </w:rPr>
        <w:t>ي</w:t>
      </w:r>
      <w:r w:rsidRPr="00282AC9">
        <w:rPr>
          <w:rFonts w:ascii="Sakkal Majalla" w:hAnsi="Sakkal Majalla" w:cs="AL-Mohanad" w:hint="cs"/>
          <w:sz w:val="27"/>
          <w:szCs w:val="27"/>
          <w:rtl/>
        </w:rPr>
        <w:t>ومنا هذا.</w:t>
      </w:r>
    </w:p>
    <w:p w:rsidR="00983729"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 xml:space="preserve">كما </w:t>
      </w:r>
      <w:r w:rsidR="00BC7B8A" w:rsidRPr="00282AC9">
        <w:rPr>
          <w:rFonts w:ascii="Sakkal Majalla" w:hAnsi="Sakkal Majalla" w:cs="AL-Mohanad" w:hint="cs"/>
          <w:sz w:val="27"/>
          <w:szCs w:val="27"/>
          <w:rtl/>
        </w:rPr>
        <w:t>ا</w:t>
      </w:r>
      <w:r w:rsidRPr="00282AC9">
        <w:rPr>
          <w:rFonts w:ascii="Sakkal Majalla" w:hAnsi="Sakkal Majalla" w:cs="AL-Mohanad" w:hint="cs"/>
          <w:sz w:val="27"/>
          <w:szCs w:val="27"/>
          <w:rtl/>
        </w:rPr>
        <w:t>تّضح لنا في المحور الثاني</w:t>
      </w:r>
      <w:r w:rsidR="0098372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من خلال بعض الآ</w:t>
      </w:r>
      <w:r w:rsidRPr="00282AC9">
        <w:rPr>
          <w:rFonts w:cs="AL-Mohanad" w:hint="cs"/>
          <w:sz w:val="27"/>
          <w:szCs w:val="27"/>
          <w:rtl/>
        </w:rPr>
        <w:t>ي</w:t>
      </w:r>
      <w:r w:rsidRPr="00282AC9">
        <w:rPr>
          <w:rFonts w:ascii="Sakkal Majalla" w:hAnsi="Sakkal Majalla" w:cs="AL-Mohanad" w:hint="cs"/>
          <w:sz w:val="27"/>
          <w:szCs w:val="27"/>
          <w:rtl/>
        </w:rPr>
        <w:t>ات الكر</w:t>
      </w:r>
      <w:r w:rsidRPr="00282AC9">
        <w:rPr>
          <w:rFonts w:cs="AL-Mohanad" w:hint="cs"/>
          <w:sz w:val="27"/>
          <w:szCs w:val="27"/>
          <w:rtl/>
        </w:rPr>
        <w:t>ي</w:t>
      </w:r>
      <w:r w:rsidRPr="00282AC9">
        <w:rPr>
          <w:rFonts w:ascii="Sakkal Majalla" w:hAnsi="Sakkal Majalla" w:cs="AL-Mohanad" w:hint="cs"/>
          <w:sz w:val="27"/>
          <w:szCs w:val="27"/>
          <w:rtl/>
        </w:rPr>
        <w:t>مة</w:t>
      </w:r>
      <w:r w:rsidR="0098372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أنّ الترت</w:t>
      </w:r>
      <w:r w:rsidRPr="00282AC9">
        <w:rPr>
          <w:rFonts w:cs="AL-Mohanad" w:hint="cs"/>
          <w:sz w:val="27"/>
          <w:szCs w:val="27"/>
          <w:rtl/>
        </w:rPr>
        <w:t>ي</w:t>
      </w:r>
      <w:r w:rsidRPr="00282AC9">
        <w:rPr>
          <w:rFonts w:ascii="Sakkal Majalla" w:hAnsi="Sakkal Majalla" w:cs="AL-Mohanad" w:hint="cs"/>
          <w:sz w:val="27"/>
          <w:szCs w:val="27"/>
          <w:rtl/>
        </w:rPr>
        <w:t>ب القائم ب</w:t>
      </w:r>
      <w:r w:rsidRPr="00282AC9">
        <w:rPr>
          <w:rFonts w:cs="AL-Mohanad" w:hint="cs"/>
          <w:sz w:val="27"/>
          <w:szCs w:val="27"/>
          <w:rtl/>
        </w:rPr>
        <w:t>ي</w:t>
      </w:r>
      <w:r w:rsidRPr="00282AC9">
        <w:rPr>
          <w:rFonts w:ascii="Sakkal Majalla" w:hAnsi="Sakkal Majalla" w:cs="AL-Mohanad" w:hint="cs"/>
          <w:sz w:val="27"/>
          <w:szCs w:val="27"/>
          <w:rtl/>
        </w:rPr>
        <w:t>ن الآ</w:t>
      </w:r>
      <w:r w:rsidRPr="00282AC9">
        <w:rPr>
          <w:rFonts w:cs="AL-Mohanad" w:hint="cs"/>
          <w:sz w:val="27"/>
          <w:szCs w:val="27"/>
          <w:rtl/>
        </w:rPr>
        <w:t>ي</w:t>
      </w:r>
      <w:r w:rsidRPr="00282AC9">
        <w:rPr>
          <w:rFonts w:ascii="Sakkal Majalla" w:hAnsi="Sakkal Majalla" w:cs="AL-Mohanad" w:hint="cs"/>
          <w:sz w:val="27"/>
          <w:szCs w:val="27"/>
          <w:rtl/>
        </w:rPr>
        <w:t>ات القرآن</w:t>
      </w:r>
      <w:r w:rsidRPr="00282AC9">
        <w:rPr>
          <w:rFonts w:cs="AL-Mohanad" w:hint="cs"/>
          <w:sz w:val="27"/>
          <w:szCs w:val="27"/>
          <w:rtl/>
        </w:rPr>
        <w:t>ي</w:t>
      </w:r>
      <w:r w:rsidRPr="00282AC9">
        <w:rPr>
          <w:rFonts w:ascii="Sakkal Majalla" w:hAnsi="Sakkal Majalla" w:cs="AL-Mohanad" w:hint="cs"/>
          <w:sz w:val="27"/>
          <w:szCs w:val="27"/>
          <w:rtl/>
        </w:rPr>
        <w:t>ة من الله تعال</w:t>
      </w:r>
      <w:r w:rsidR="00983729" w:rsidRPr="00282AC9">
        <w:rPr>
          <w:rFonts w:cs="AL-Mohanad" w:hint="cs"/>
          <w:sz w:val="27"/>
          <w:szCs w:val="27"/>
          <w:rtl/>
        </w:rPr>
        <w:t>ى</w:t>
      </w:r>
      <w:r w:rsidR="00983729" w:rsidRPr="00282AC9">
        <w:rPr>
          <w:rFonts w:ascii="Sakkal Majalla" w:hAnsi="Sakkal Majalla" w:cs="AL-Mohanad" w:hint="cs"/>
          <w:sz w:val="27"/>
          <w:szCs w:val="27"/>
          <w:rtl/>
        </w:rPr>
        <w:t>.</w:t>
      </w:r>
    </w:p>
    <w:p w:rsidR="00AD6E36" w:rsidRPr="00282AC9" w:rsidRDefault="00AD6E36" w:rsidP="001D1A88">
      <w:pPr>
        <w:pStyle w:val="afc"/>
        <w:rPr>
          <w:rFonts w:ascii="Sakkal Majalla" w:hAnsi="Sakkal Majalla" w:cs="AL-Mohanad"/>
          <w:sz w:val="27"/>
          <w:szCs w:val="27"/>
          <w:rtl/>
        </w:rPr>
      </w:pPr>
      <w:r w:rsidRPr="00282AC9">
        <w:rPr>
          <w:rFonts w:ascii="Sakkal Majalla" w:hAnsi="Sakkal Majalla" w:cs="AL-Mohanad" w:hint="cs"/>
          <w:sz w:val="27"/>
          <w:szCs w:val="27"/>
          <w:rtl/>
        </w:rPr>
        <w:t>وبذلك تت</w:t>
      </w:r>
      <w:r w:rsidR="00983729" w:rsidRPr="00282AC9">
        <w:rPr>
          <w:rFonts w:ascii="Sakkal Majalla" w:hAnsi="Sakkal Majalla" w:cs="AL-Mohanad" w:hint="cs"/>
          <w:sz w:val="27"/>
          <w:szCs w:val="27"/>
          <w:rtl/>
        </w:rPr>
        <w:t>ّ</w:t>
      </w:r>
      <w:r w:rsidRPr="00282AC9">
        <w:rPr>
          <w:rFonts w:ascii="Sakkal Majalla" w:hAnsi="Sakkal Majalla" w:cs="AL-Mohanad" w:hint="cs"/>
          <w:sz w:val="27"/>
          <w:szCs w:val="27"/>
          <w:rtl/>
        </w:rPr>
        <w:t>ضح لنا نت</w:t>
      </w:r>
      <w:r w:rsidRPr="00282AC9">
        <w:rPr>
          <w:rFonts w:cs="AL-Mohanad" w:hint="cs"/>
          <w:sz w:val="27"/>
          <w:szCs w:val="27"/>
          <w:rtl/>
        </w:rPr>
        <w:t>ي</w:t>
      </w:r>
      <w:r w:rsidRPr="00282AC9">
        <w:rPr>
          <w:rFonts w:ascii="Sakkal Majalla" w:hAnsi="Sakkal Majalla" w:cs="AL-Mohanad" w:hint="cs"/>
          <w:sz w:val="27"/>
          <w:szCs w:val="27"/>
          <w:rtl/>
        </w:rPr>
        <w:t>جة البحث</w:t>
      </w:r>
      <w:r w:rsidR="00983729" w:rsidRPr="00282AC9">
        <w:rPr>
          <w:rFonts w:ascii="Sakkal Majalla" w:hAnsi="Sakkal Majalla" w:cs="AL-Mohanad" w:hint="cs"/>
          <w:sz w:val="27"/>
          <w:szCs w:val="27"/>
          <w:rtl/>
        </w:rPr>
        <w:t>،</w:t>
      </w:r>
      <w:r w:rsidRPr="00282AC9">
        <w:rPr>
          <w:rFonts w:ascii="Sakkal Majalla" w:hAnsi="Sakkal Majalla" w:cs="AL-Mohanad" w:hint="cs"/>
          <w:sz w:val="27"/>
          <w:szCs w:val="27"/>
          <w:rtl/>
        </w:rPr>
        <w:t xml:space="preserve"> و</w:t>
      </w:r>
      <w:r w:rsidR="00983729" w:rsidRPr="00282AC9">
        <w:rPr>
          <w:rFonts w:ascii="Sakkal Majalla" w:hAnsi="Sakkal Majalla" w:cs="AL-Mohanad" w:hint="cs"/>
          <w:sz w:val="27"/>
          <w:szCs w:val="27"/>
          <w:rtl/>
        </w:rPr>
        <w:t>هي أ</w:t>
      </w:r>
      <w:r w:rsidRPr="00282AC9">
        <w:rPr>
          <w:rFonts w:ascii="Sakkal Majalla" w:hAnsi="Sakkal Majalla" w:cs="AL-Mohanad" w:hint="cs"/>
          <w:sz w:val="27"/>
          <w:szCs w:val="27"/>
          <w:rtl/>
        </w:rPr>
        <w:t>نّ الصح</w:t>
      </w:r>
      <w:r w:rsidRPr="00282AC9">
        <w:rPr>
          <w:rFonts w:cs="AL-Mohanad" w:hint="cs"/>
          <w:sz w:val="27"/>
          <w:szCs w:val="27"/>
          <w:rtl/>
        </w:rPr>
        <w:t>ي</w:t>
      </w:r>
      <w:r w:rsidRPr="00282AC9">
        <w:rPr>
          <w:rFonts w:ascii="Sakkal Majalla" w:hAnsi="Sakkal Majalla" w:cs="AL-Mohanad" w:hint="cs"/>
          <w:sz w:val="27"/>
          <w:szCs w:val="27"/>
          <w:rtl/>
        </w:rPr>
        <w:t>ح هو توق</w:t>
      </w:r>
      <w:r w:rsidRPr="00282AC9">
        <w:rPr>
          <w:rFonts w:cs="AL-Mohanad" w:hint="cs"/>
          <w:sz w:val="27"/>
          <w:szCs w:val="27"/>
          <w:rtl/>
        </w:rPr>
        <w:t>ي</w:t>
      </w:r>
      <w:r w:rsidRPr="00282AC9">
        <w:rPr>
          <w:rFonts w:ascii="Sakkal Majalla" w:hAnsi="Sakkal Majalla" w:cs="AL-Mohanad" w:hint="cs"/>
          <w:sz w:val="27"/>
          <w:szCs w:val="27"/>
          <w:rtl/>
        </w:rPr>
        <w:t>ف</w:t>
      </w:r>
      <w:r w:rsidRPr="00282AC9">
        <w:rPr>
          <w:rFonts w:cs="AL-Mohanad" w:hint="cs"/>
          <w:sz w:val="27"/>
          <w:szCs w:val="27"/>
          <w:rtl/>
        </w:rPr>
        <w:t>ي</w:t>
      </w:r>
      <w:r w:rsidRPr="00282AC9">
        <w:rPr>
          <w:rFonts w:ascii="Sakkal Majalla" w:hAnsi="Sakkal Majalla" w:cs="AL-Mohanad" w:hint="cs"/>
          <w:sz w:val="27"/>
          <w:szCs w:val="27"/>
          <w:rtl/>
        </w:rPr>
        <w:t>ة ترت</w:t>
      </w:r>
      <w:r w:rsidRPr="00282AC9">
        <w:rPr>
          <w:rFonts w:cs="AL-Mohanad" w:hint="cs"/>
          <w:sz w:val="27"/>
          <w:szCs w:val="27"/>
          <w:rtl/>
        </w:rPr>
        <w:t>ي</w:t>
      </w:r>
      <w:r w:rsidRPr="00282AC9">
        <w:rPr>
          <w:rFonts w:ascii="Sakkal Majalla" w:hAnsi="Sakkal Majalla" w:cs="AL-Mohanad" w:hint="cs"/>
          <w:sz w:val="27"/>
          <w:szCs w:val="27"/>
          <w:rtl/>
        </w:rPr>
        <w:t>ب الآ</w:t>
      </w:r>
      <w:r w:rsidRPr="00282AC9">
        <w:rPr>
          <w:rFonts w:cs="AL-Mohanad" w:hint="cs"/>
          <w:sz w:val="27"/>
          <w:szCs w:val="27"/>
          <w:rtl/>
        </w:rPr>
        <w:t>ي</w:t>
      </w:r>
      <w:r w:rsidRPr="00282AC9">
        <w:rPr>
          <w:rFonts w:ascii="Sakkal Majalla" w:hAnsi="Sakkal Majalla" w:cs="AL-Mohanad" w:hint="cs"/>
          <w:sz w:val="27"/>
          <w:szCs w:val="27"/>
          <w:rtl/>
        </w:rPr>
        <w:t>ات القرآن</w:t>
      </w:r>
      <w:r w:rsidRPr="00282AC9">
        <w:rPr>
          <w:rFonts w:cs="AL-Mohanad" w:hint="cs"/>
          <w:sz w:val="27"/>
          <w:szCs w:val="27"/>
          <w:rtl/>
        </w:rPr>
        <w:t>ي</w:t>
      </w:r>
      <w:r w:rsidRPr="00282AC9">
        <w:rPr>
          <w:rFonts w:ascii="Sakkal Majalla" w:hAnsi="Sakkal Majalla" w:cs="AL-Mohanad" w:hint="cs"/>
          <w:sz w:val="27"/>
          <w:szCs w:val="27"/>
          <w:rtl/>
        </w:rPr>
        <w:t>ة.</w:t>
      </w:r>
    </w:p>
    <w:p w:rsidR="00DC72FB" w:rsidRPr="00282AC9" w:rsidRDefault="00DC72FB" w:rsidP="00EF541F">
      <w:pPr>
        <w:pStyle w:val="afc"/>
        <w:spacing w:line="520" w:lineRule="exact"/>
        <w:rPr>
          <w:rFonts w:ascii="Sakkal Majalla" w:hAnsi="Sakkal Majalla" w:cs="AL-Mohanad"/>
          <w:sz w:val="27"/>
          <w:szCs w:val="27"/>
          <w:rtl/>
        </w:rPr>
      </w:pPr>
    </w:p>
    <w:p w:rsidR="00DC72FB" w:rsidRPr="00282AC9" w:rsidRDefault="00DC72FB" w:rsidP="00EF541F">
      <w:pPr>
        <w:pStyle w:val="afc"/>
        <w:spacing w:line="500" w:lineRule="exact"/>
        <w:rPr>
          <w:rFonts w:ascii="Sakkal Majalla" w:hAnsi="Sakkal Majalla" w:cs="AL-Mohanad"/>
          <w:sz w:val="27"/>
          <w:szCs w:val="27"/>
          <w:rtl/>
        </w:rPr>
      </w:pPr>
    </w:p>
    <w:bookmarkEnd w:id="102"/>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149"/>
          <w:headerReference w:type="default" r:id="rId150"/>
          <w:footerReference w:type="even" r:id="rId151"/>
          <w:footerReference w:type="default" r:id="rId15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153"/>
          <w:headerReference w:type="default" r:id="rId154"/>
          <w:footerReference w:type="even" r:id="rId155"/>
          <w:footerReference w:type="default" r:id="rId156"/>
          <w:headerReference w:type="first" r:id="rId15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47E7C">
      <w:pPr>
        <w:ind w:left="567" w:firstLine="0"/>
        <w:rPr>
          <w:rtl/>
        </w:rPr>
      </w:pPr>
    </w:p>
    <w:p w:rsidR="00E83C22" w:rsidRPr="00282AC9" w:rsidRDefault="00E83C22" w:rsidP="00D47E7C">
      <w:pPr>
        <w:ind w:left="567" w:firstLine="0"/>
        <w:rPr>
          <w:rtl/>
        </w:rPr>
      </w:pPr>
    </w:p>
    <w:p w:rsidR="00E83C22" w:rsidRPr="00282AC9" w:rsidRDefault="00DA7DA3" w:rsidP="00DA7DA3">
      <w:pPr>
        <w:pStyle w:val="11"/>
        <w:spacing w:line="216" w:lineRule="auto"/>
        <w:rPr>
          <w:rtl/>
        </w:rPr>
      </w:pPr>
      <w:bookmarkStart w:id="107" w:name="_Toc87011532"/>
      <w:r w:rsidRPr="00282AC9">
        <w:rPr>
          <w:rFonts w:hint="cs"/>
          <w:rtl/>
        </w:rPr>
        <w:t>الحضور العلميّ والتربويّ</w:t>
      </w:r>
      <w:r w:rsidR="00BA175C" w:rsidRPr="00282AC9">
        <w:rPr>
          <w:rtl/>
        </w:rPr>
        <w:t xml:space="preserve"> </w:t>
      </w:r>
      <w:r w:rsidRPr="00282AC9">
        <w:rPr>
          <w:rFonts w:hint="cs"/>
          <w:rtl/>
        </w:rPr>
        <w:t>ل</w:t>
      </w:r>
      <w:r w:rsidR="00BA175C" w:rsidRPr="00282AC9">
        <w:rPr>
          <w:rtl/>
        </w:rPr>
        <w:t>لإمام</w:t>
      </w:r>
      <w:r w:rsidR="00BA175C" w:rsidRPr="00282AC9">
        <w:rPr>
          <w:rFonts w:hint="cs"/>
          <w:rtl/>
        </w:rPr>
        <w:t xml:space="preserve"> </w:t>
      </w:r>
      <w:r w:rsidR="00BC4117" w:rsidRPr="00282AC9">
        <w:rPr>
          <w:rFonts w:hint="cs"/>
          <w:rtl/>
        </w:rPr>
        <w:t>ا</w:t>
      </w:r>
      <w:r w:rsidR="00BA175C" w:rsidRPr="00282AC9">
        <w:rPr>
          <w:rtl/>
        </w:rPr>
        <w:t>لرضا</w:t>
      </w:r>
      <w:r w:rsidR="009A2A04" w:rsidRPr="00282AC9">
        <w:rPr>
          <w:rFonts w:cs="Mosawi"/>
          <w:sz w:val="34"/>
          <w:szCs w:val="34"/>
          <w:rtl/>
        </w:rPr>
        <w:t>×</w:t>
      </w:r>
      <w:bookmarkEnd w:id="107"/>
    </w:p>
    <w:p w:rsidR="00E83C22" w:rsidRPr="00282AC9" w:rsidRDefault="00BA175C" w:rsidP="00BA175C">
      <w:pPr>
        <w:pStyle w:val="11"/>
        <w:spacing w:line="216" w:lineRule="auto"/>
        <w:rPr>
          <w:sz w:val="26"/>
          <w:szCs w:val="42"/>
          <w:rtl/>
        </w:rPr>
      </w:pPr>
      <w:bookmarkStart w:id="108" w:name="_Toc87011533"/>
      <w:r w:rsidRPr="00282AC9">
        <w:rPr>
          <w:rFonts w:hint="cs"/>
          <w:sz w:val="26"/>
          <w:szCs w:val="42"/>
          <w:rtl/>
        </w:rPr>
        <w:t>مقاربة</w:t>
      </w:r>
      <w:r w:rsidR="007E5857" w:rsidRPr="00282AC9">
        <w:rPr>
          <w:rFonts w:hint="cs"/>
          <w:sz w:val="26"/>
          <w:szCs w:val="42"/>
          <w:rtl/>
        </w:rPr>
        <w:t>ٌ</w:t>
      </w:r>
      <w:r w:rsidRPr="00282AC9">
        <w:rPr>
          <w:rFonts w:hint="cs"/>
          <w:sz w:val="26"/>
          <w:szCs w:val="42"/>
          <w:rtl/>
        </w:rPr>
        <w:t xml:space="preserve"> فكري</w:t>
      </w:r>
      <w:r w:rsidR="007E5857" w:rsidRPr="00282AC9">
        <w:rPr>
          <w:rFonts w:hint="cs"/>
          <w:sz w:val="26"/>
          <w:szCs w:val="42"/>
          <w:rtl/>
        </w:rPr>
        <w:t>ّ</w:t>
      </w:r>
      <w:r w:rsidRPr="00282AC9">
        <w:rPr>
          <w:rFonts w:hint="cs"/>
          <w:sz w:val="26"/>
          <w:szCs w:val="42"/>
          <w:rtl/>
        </w:rPr>
        <w:t>ة في التاريخ والمعاصرة</w:t>
      </w:r>
      <w:bookmarkEnd w:id="108"/>
    </w:p>
    <w:p w:rsidR="00E83C22" w:rsidRPr="00282AC9" w:rsidRDefault="00E83C22" w:rsidP="00D47E7C">
      <w:pPr>
        <w:ind w:left="567" w:firstLine="0"/>
        <w:rPr>
          <w:rtl/>
        </w:rPr>
      </w:pPr>
    </w:p>
    <w:p w:rsidR="00E83C22" w:rsidRPr="00282AC9" w:rsidRDefault="00BA175C" w:rsidP="00BA175C">
      <w:pPr>
        <w:pStyle w:val="Author"/>
        <w:rPr>
          <w:rtl/>
        </w:rPr>
      </w:pPr>
      <w:bookmarkStart w:id="109" w:name="_Toc87011534"/>
      <w:r w:rsidRPr="00282AC9">
        <w:rPr>
          <w:rFonts w:hint="cs"/>
          <w:rtl/>
        </w:rPr>
        <w:t xml:space="preserve">أ. </w:t>
      </w:r>
      <w:r w:rsidRPr="00282AC9">
        <w:rPr>
          <w:rtl/>
        </w:rPr>
        <w:t>نبيل علي صالح</w:t>
      </w:r>
      <w:r w:rsidR="00527634" w:rsidRPr="00282AC9">
        <w:rPr>
          <w:rFonts w:cs="Taher" w:hint="cs"/>
          <w:vertAlign w:val="superscript"/>
          <w:rtl/>
        </w:rPr>
        <w:t>(</w:t>
      </w:r>
      <w:r w:rsidR="00527634" w:rsidRPr="00282AC9">
        <w:rPr>
          <w:rFonts w:cs="Taher"/>
          <w:vertAlign w:val="superscript"/>
          <w:rtl/>
        </w:rPr>
        <w:footnoteReference w:customMarkFollows="1" w:id="20"/>
        <w:t>*)</w:t>
      </w:r>
      <w:bookmarkEnd w:id="109"/>
    </w:p>
    <w:p w:rsidR="00E83C22" w:rsidRPr="00282AC9" w:rsidRDefault="00E83C22" w:rsidP="00D47E7C">
      <w:pPr>
        <w:ind w:left="567" w:firstLine="0"/>
        <w:rPr>
          <w:rtl/>
        </w:rPr>
      </w:pP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hint="cs"/>
          <w:bCs w:val="0"/>
          <w:color w:val="auto"/>
          <w:sz w:val="27"/>
          <w:szCs w:val="27"/>
          <w:rtl/>
        </w:rPr>
        <w:t xml:space="preserve">نحتاجُ دائماً إلى إعادة </w:t>
      </w:r>
      <w:r w:rsidRPr="00282AC9">
        <w:rPr>
          <w:rFonts w:ascii="Simplified Arabic" w:hAnsi="Simplified Arabic" w:cs="AL-Mohanad"/>
          <w:bCs w:val="0"/>
          <w:color w:val="auto"/>
          <w:sz w:val="27"/>
          <w:szCs w:val="27"/>
          <w:rtl/>
        </w:rPr>
        <w:t>قراءة</w:t>
      </w:r>
      <w:r w:rsidRPr="00282AC9">
        <w:rPr>
          <w:rFonts w:ascii="Simplified Arabic" w:hAnsi="Simplified Arabic" w:cs="AL-Mohanad" w:hint="cs"/>
          <w:bCs w:val="0"/>
          <w:color w:val="auto"/>
          <w:sz w:val="27"/>
          <w:szCs w:val="27"/>
          <w:rtl/>
        </w:rPr>
        <w:t xml:space="preserve"> تراثنا الديني</w:t>
      </w:r>
      <w:r w:rsidR="007E5857"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ومراجعة</w:t>
      </w:r>
      <w:r w:rsidRPr="00282AC9">
        <w:rPr>
          <w:rFonts w:ascii="Simplified Arabic" w:hAnsi="Simplified Arabic" w:cs="AL-Mohanad"/>
          <w:bCs w:val="0"/>
          <w:color w:val="auto"/>
          <w:sz w:val="27"/>
          <w:szCs w:val="27"/>
          <w:rtl/>
        </w:rPr>
        <w:t xml:space="preserve"> </w:t>
      </w:r>
      <w:r w:rsidRPr="00282AC9">
        <w:rPr>
          <w:rFonts w:ascii="Simplified Arabic" w:hAnsi="Simplified Arabic" w:cs="AL-Mohanad" w:hint="cs"/>
          <w:bCs w:val="0"/>
          <w:color w:val="auto"/>
          <w:sz w:val="27"/>
          <w:szCs w:val="27"/>
          <w:rtl/>
        </w:rPr>
        <w:t>كثير من تحو</w:t>
      </w:r>
      <w:r w:rsidR="007E5857"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لات </w:t>
      </w:r>
      <w:r w:rsidRPr="00282AC9">
        <w:rPr>
          <w:rFonts w:ascii="Simplified Arabic" w:hAnsi="Simplified Arabic" w:cs="AL-Mohanad"/>
          <w:bCs w:val="0"/>
          <w:color w:val="auto"/>
          <w:sz w:val="27"/>
          <w:szCs w:val="27"/>
          <w:rtl/>
        </w:rPr>
        <w:t>تاريخ</w:t>
      </w:r>
      <w:r w:rsidRPr="00282AC9">
        <w:rPr>
          <w:rFonts w:ascii="Simplified Arabic" w:hAnsi="Simplified Arabic" w:cs="AL-Mohanad" w:hint="cs"/>
          <w:bCs w:val="0"/>
          <w:color w:val="auto"/>
          <w:sz w:val="27"/>
          <w:szCs w:val="27"/>
          <w:rtl/>
        </w:rPr>
        <w:t>نا العربي</w:t>
      </w:r>
      <w:r w:rsidR="007E5857"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والإسلامي</w:t>
      </w:r>
      <w:r w:rsidR="007E58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896"/>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والتمع</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 في</w:t>
      </w:r>
      <w:r w:rsidRPr="00282AC9">
        <w:rPr>
          <w:rFonts w:ascii="Simplified Arabic" w:hAnsi="Simplified Arabic" w:cs="AL-Mohanad" w:hint="cs"/>
          <w:bCs w:val="0"/>
          <w:color w:val="auto"/>
          <w:sz w:val="27"/>
          <w:szCs w:val="27"/>
          <w:rtl/>
        </w:rPr>
        <w:t xml:space="preserve"> مختلف</w:t>
      </w:r>
      <w:r w:rsidRPr="00282AC9">
        <w:rPr>
          <w:rFonts w:ascii="Simplified Arabic" w:hAnsi="Simplified Arabic" w:cs="AL-Mohanad"/>
          <w:bCs w:val="0"/>
          <w:color w:val="auto"/>
          <w:sz w:val="27"/>
          <w:szCs w:val="27"/>
          <w:rtl/>
        </w:rPr>
        <w:t xml:space="preserve"> أحداثه </w:t>
      </w:r>
      <w:r w:rsidRPr="00282AC9">
        <w:rPr>
          <w:rFonts w:ascii="Simplified Arabic" w:hAnsi="Simplified Arabic" w:cs="AL-Mohanad" w:hint="cs"/>
          <w:bCs w:val="0"/>
          <w:color w:val="auto"/>
          <w:sz w:val="27"/>
          <w:szCs w:val="27"/>
          <w:rtl/>
        </w:rPr>
        <w:t>ووقائعه الكثيرة</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التي امتد</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ت لقرون عديدة، </w:t>
      </w:r>
      <w:r w:rsidR="00B26F1F" w:rsidRPr="00282AC9">
        <w:rPr>
          <w:rFonts w:ascii="Simplified Arabic" w:hAnsi="Simplified Arabic" w:cs="AL-Mohanad" w:hint="cs"/>
          <w:bCs w:val="0"/>
          <w:color w:val="auto"/>
          <w:sz w:val="27"/>
          <w:szCs w:val="27"/>
          <w:rtl/>
        </w:rPr>
        <w:t>و</w:t>
      </w:r>
      <w:r w:rsidRPr="00282AC9">
        <w:rPr>
          <w:rFonts w:ascii="Simplified Arabic" w:hAnsi="Simplified Arabic" w:cs="AL-Mohanad"/>
          <w:bCs w:val="0"/>
          <w:color w:val="auto"/>
          <w:sz w:val="27"/>
          <w:szCs w:val="27"/>
          <w:rtl/>
        </w:rPr>
        <w:t>خاصة تاريخ أهل بيت</w:t>
      </w:r>
      <w:r w:rsidRPr="00282AC9">
        <w:rPr>
          <w:rFonts w:ascii="Simplified Arabic" w:hAnsi="Simplified Arabic" w:cs="AL-Mohanad" w:hint="cs"/>
          <w:bCs w:val="0"/>
          <w:color w:val="auto"/>
          <w:sz w:val="27"/>
          <w:szCs w:val="27"/>
          <w:rtl/>
        </w:rPr>
        <w:t xml:space="preserve"> النبو</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ة</w:t>
      </w:r>
      <w:r w:rsidR="00876ECA" w:rsidRPr="00282AC9">
        <w:rPr>
          <w:rFonts w:cs="Mosawi" w:hint="cs"/>
          <w:color w:val="auto"/>
          <w:szCs w:val="22"/>
          <w:rtl/>
        </w:rPr>
        <w:t>^</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مم</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كانت</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لهم تعاليمهم</w:t>
      </w:r>
      <w:r w:rsidRPr="00282AC9">
        <w:rPr>
          <w:rFonts w:ascii="Simplified Arabic" w:hAnsi="Simplified Arabic" w:cs="AL-Mohanad" w:hint="cs"/>
          <w:bCs w:val="0"/>
          <w:color w:val="auto"/>
          <w:sz w:val="27"/>
          <w:szCs w:val="27"/>
          <w:rtl/>
        </w:rPr>
        <w:t xml:space="preserve"> السامية</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وأساليبهم العملية</w:t>
      </w:r>
      <w:r w:rsidRPr="00282AC9">
        <w:rPr>
          <w:rFonts w:ascii="Simplified Arabic" w:hAnsi="Simplified Arabic" w:cs="AL-Mohanad" w:hint="cs"/>
          <w:bCs w:val="0"/>
          <w:color w:val="auto"/>
          <w:sz w:val="27"/>
          <w:szCs w:val="27"/>
          <w:rtl/>
        </w:rPr>
        <w:t xml:space="preserve"> الرائدة</w:t>
      </w:r>
      <w:r w:rsidRPr="00282AC9">
        <w:rPr>
          <w:rFonts w:ascii="Simplified Arabic" w:hAnsi="Simplified Arabic" w:cs="AL-Mohanad"/>
          <w:bCs w:val="0"/>
          <w:color w:val="auto"/>
          <w:sz w:val="27"/>
          <w:szCs w:val="27"/>
          <w:rtl/>
        </w:rPr>
        <w:t xml:space="preserve"> في الدعوة </w:t>
      </w:r>
      <w:r w:rsidR="00B26F1F" w:rsidRPr="00282AC9">
        <w:rPr>
          <w:rFonts w:ascii="Simplified Arabic" w:hAnsi="Simplified Arabic" w:cs="AL-Mohanad" w:hint="cs"/>
          <w:bCs w:val="0"/>
          <w:color w:val="auto"/>
          <w:sz w:val="27"/>
          <w:szCs w:val="27"/>
          <w:rtl/>
        </w:rPr>
        <w:t>إلى ا</w:t>
      </w:r>
      <w:r w:rsidRPr="00282AC9">
        <w:rPr>
          <w:rFonts w:ascii="Simplified Arabic" w:hAnsi="Simplified Arabic" w:cs="AL-Mohanad"/>
          <w:bCs w:val="0"/>
          <w:color w:val="auto"/>
          <w:sz w:val="27"/>
          <w:szCs w:val="27"/>
          <w:rtl/>
        </w:rPr>
        <w:t>لإسلام</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w:t>
      </w:r>
      <w:r w:rsidRPr="00282AC9">
        <w:rPr>
          <w:rFonts w:ascii="Simplified Arabic" w:hAnsi="Simplified Arabic" w:cs="AL-Mohanad" w:hint="cs"/>
          <w:bCs w:val="0"/>
          <w:color w:val="auto"/>
          <w:sz w:val="27"/>
          <w:szCs w:val="27"/>
          <w:rtl/>
        </w:rPr>
        <w:t xml:space="preserve">محاولتهم </w:t>
      </w:r>
      <w:r w:rsidRPr="00282AC9">
        <w:rPr>
          <w:rFonts w:ascii="Simplified Arabic" w:hAnsi="Simplified Arabic" w:cs="AL-Mohanad"/>
          <w:bCs w:val="0"/>
          <w:color w:val="auto"/>
          <w:sz w:val="27"/>
          <w:szCs w:val="27"/>
          <w:rtl/>
        </w:rPr>
        <w:t>تركيزه في واقع الأم</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Pr="00282AC9">
        <w:rPr>
          <w:rFonts w:ascii="Simplified Arabic" w:hAnsi="Simplified Arabic" w:cs="AL-Mohanad" w:hint="cs"/>
          <w:bCs w:val="0"/>
          <w:color w:val="auto"/>
          <w:sz w:val="27"/>
          <w:szCs w:val="27"/>
          <w:rtl/>
        </w:rPr>
        <w:t xml:space="preserve"> و</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ع</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ياً ومسؤوليات فردية وجماعية،</w:t>
      </w:r>
      <w:r w:rsidRPr="00282AC9">
        <w:rPr>
          <w:rFonts w:ascii="Simplified Arabic" w:hAnsi="Simplified Arabic" w:cs="AL-Mohanad"/>
          <w:bCs w:val="0"/>
          <w:color w:val="auto"/>
          <w:sz w:val="27"/>
          <w:szCs w:val="27"/>
          <w:rtl/>
        </w:rPr>
        <w:t xml:space="preserve"> </w:t>
      </w:r>
      <w:r w:rsidR="00B26F1F" w:rsidRPr="00282AC9">
        <w:rPr>
          <w:rFonts w:ascii="Simplified Arabic" w:hAnsi="Simplified Arabic" w:cs="AL-Mohanad" w:hint="cs"/>
          <w:bCs w:val="0"/>
          <w:color w:val="auto"/>
          <w:sz w:val="27"/>
          <w:szCs w:val="27"/>
          <w:rtl/>
        </w:rPr>
        <w:t>لا</w:t>
      </w:r>
      <w:r w:rsidRPr="00282AC9">
        <w:rPr>
          <w:rFonts w:ascii="Simplified Arabic" w:hAnsi="Simplified Arabic" w:cs="AL-Mohanad" w:hint="cs"/>
          <w:bCs w:val="0"/>
          <w:color w:val="auto"/>
          <w:sz w:val="27"/>
          <w:szCs w:val="27"/>
          <w:rtl/>
        </w:rPr>
        <w:t xml:space="preserve"> بالقول فقط</w:t>
      </w:r>
      <w:r w:rsidR="00B26F1F"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hint="cs"/>
          <w:bCs w:val="0"/>
          <w:color w:val="auto"/>
          <w:sz w:val="27"/>
          <w:szCs w:val="27"/>
          <w:rtl/>
        </w:rPr>
        <w:t xml:space="preserve">بل </w:t>
      </w:r>
      <w:r w:rsidRPr="00282AC9">
        <w:rPr>
          <w:rFonts w:ascii="Simplified Arabic" w:hAnsi="Simplified Arabic" w:cs="AL-Mohanad"/>
          <w:bCs w:val="0"/>
          <w:color w:val="auto"/>
          <w:sz w:val="27"/>
          <w:szCs w:val="27"/>
          <w:rtl/>
        </w:rPr>
        <w:t>بالقدوة والأسوة الح</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نة، </w:t>
      </w:r>
      <w:r w:rsidRPr="00282AC9">
        <w:rPr>
          <w:rFonts w:ascii="Simplified Arabic" w:hAnsi="Simplified Arabic" w:cs="AL-Mohanad" w:hint="cs"/>
          <w:bCs w:val="0"/>
          <w:color w:val="auto"/>
          <w:sz w:val="27"/>
          <w:szCs w:val="27"/>
          <w:rtl/>
        </w:rPr>
        <w:t>في انخراطهم الميداني التربوي والعلمي مع الناس في مواقع الحياة والمسؤولي</w:t>
      </w:r>
      <w:r w:rsidR="00B26F1F"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ات العملية.</w:t>
      </w:r>
    </w:p>
    <w:p w:rsidR="007359AA" w:rsidRPr="00282AC9" w:rsidRDefault="00B26F1F"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hint="cs"/>
          <w:bCs w:val="0"/>
          <w:color w:val="auto"/>
          <w:sz w:val="27"/>
          <w:szCs w:val="27"/>
          <w:rtl/>
        </w:rPr>
        <w:t>ونحن هنا نتابع</w:t>
      </w:r>
      <w:r w:rsidR="007359AA" w:rsidRPr="00282AC9">
        <w:rPr>
          <w:rFonts w:ascii="Simplified Arabic" w:hAnsi="Simplified Arabic" w:cs="AL-Mohanad" w:hint="cs"/>
          <w:bCs w:val="0"/>
          <w:color w:val="auto"/>
          <w:sz w:val="27"/>
          <w:szCs w:val="27"/>
          <w:rtl/>
        </w:rPr>
        <w:t xml:space="preserve"> هذه القراءات مع أحد أئم</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hint="cs"/>
          <w:bCs w:val="0"/>
          <w:color w:val="auto"/>
          <w:sz w:val="27"/>
          <w:szCs w:val="27"/>
          <w:rtl/>
        </w:rPr>
        <w:t>تنا العظام</w:t>
      </w:r>
      <w:r w:rsidR="00374801" w:rsidRPr="00282AC9">
        <w:rPr>
          <w:rFonts w:cs="Mosawi" w:hint="cs"/>
          <w:color w:val="auto"/>
          <w:szCs w:val="22"/>
          <w:rtl/>
        </w:rPr>
        <w:t>^</w:t>
      </w:r>
      <w:r w:rsidR="007359AA" w:rsidRPr="00282AC9">
        <w:rPr>
          <w:rFonts w:ascii="Simplified Arabic" w:hAnsi="Simplified Arabic" w:cs="AL-Mohanad" w:hint="cs"/>
          <w:bCs w:val="0"/>
          <w:color w:val="auto"/>
          <w:sz w:val="27"/>
          <w:szCs w:val="27"/>
          <w:rtl/>
        </w:rPr>
        <w:t>، وهو الإمام علي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hint="cs"/>
          <w:bCs w:val="0"/>
          <w:color w:val="auto"/>
          <w:sz w:val="27"/>
          <w:szCs w:val="27"/>
          <w:rtl/>
        </w:rPr>
        <w:t xml:space="preserve"> الرضا</w:t>
      </w:r>
      <w:r w:rsidR="009A2A04" w:rsidRPr="00282AC9">
        <w:rPr>
          <w:rFonts w:ascii="Simplified Arabic" w:hAnsi="Simplified Arabic" w:cs="Mosawi" w:hint="cs"/>
          <w:bCs w:val="0"/>
          <w:color w:val="auto"/>
          <w:szCs w:val="22"/>
          <w:rtl/>
        </w:rPr>
        <w:t>×</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hint="cs"/>
          <w:bCs w:val="0"/>
          <w:color w:val="auto"/>
          <w:sz w:val="27"/>
          <w:szCs w:val="27"/>
          <w:rtl/>
        </w:rPr>
        <w:t xml:space="preserve"> ولكن</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w:t>
      </w:r>
      <w:r w:rsidR="00674EF5" w:rsidRPr="00282AC9">
        <w:rPr>
          <w:rFonts w:ascii="Simplified Arabic" w:hAnsi="Simplified Arabic" w:cs="AL-Mohanad"/>
          <w:bCs w:val="0"/>
          <w:color w:val="auto"/>
          <w:sz w:val="27"/>
          <w:szCs w:val="27"/>
          <w:rtl/>
        </w:rPr>
        <w:t>لا بُدَّ</w:t>
      </w:r>
      <w:r w:rsidR="007359AA" w:rsidRPr="00282AC9">
        <w:rPr>
          <w:rFonts w:ascii="Simplified Arabic" w:hAnsi="Simplified Arabic" w:cs="AL-Mohanad"/>
          <w:bCs w:val="0"/>
          <w:color w:val="auto"/>
          <w:sz w:val="27"/>
          <w:szCs w:val="27"/>
          <w:rtl/>
        </w:rPr>
        <w:t xml:space="preserve"> لنا قبل البدء بتحليل هذا الجانب</w:t>
      </w:r>
      <w:r w:rsidR="007359AA" w:rsidRPr="00282AC9">
        <w:rPr>
          <w:rFonts w:ascii="Simplified Arabic" w:hAnsi="Simplified Arabic" w:cs="AL-Mohanad" w:hint="cs"/>
          <w:bCs w:val="0"/>
          <w:color w:val="auto"/>
          <w:sz w:val="27"/>
          <w:szCs w:val="27"/>
          <w:rtl/>
        </w:rPr>
        <w:t xml:space="preserve"> العلمي والتربوي</w:t>
      </w:r>
      <w:r w:rsidR="007359AA" w:rsidRPr="00282AC9">
        <w:rPr>
          <w:rFonts w:ascii="Simplified Arabic" w:hAnsi="Simplified Arabic" w:cs="AL-Mohanad"/>
          <w:bCs w:val="0"/>
          <w:color w:val="auto"/>
          <w:sz w:val="27"/>
          <w:szCs w:val="27"/>
          <w:rtl/>
        </w:rPr>
        <w:t xml:space="preserve"> الهام</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من حيا</w:t>
      </w:r>
      <w:r w:rsidR="007359AA" w:rsidRPr="00282AC9">
        <w:rPr>
          <w:rFonts w:ascii="Simplified Arabic" w:hAnsi="Simplified Arabic" w:cs="AL-Mohanad" w:hint="cs"/>
          <w:bCs w:val="0"/>
          <w:color w:val="auto"/>
          <w:sz w:val="27"/>
          <w:szCs w:val="27"/>
          <w:rtl/>
        </w:rPr>
        <w:t xml:space="preserve">ته المباركة، </w:t>
      </w:r>
      <w:r w:rsidR="007359AA" w:rsidRPr="00282AC9">
        <w:rPr>
          <w:rFonts w:ascii="Simplified Arabic" w:hAnsi="Simplified Arabic" w:cs="AL-Mohanad"/>
          <w:bCs w:val="0"/>
          <w:color w:val="auto"/>
          <w:sz w:val="27"/>
          <w:szCs w:val="27"/>
          <w:rtl/>
        </w:rPr>
        <w:t>من الوقوف ملي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اً أمام حقيقة الملابسات السياسية والأوضاع الاجتماعية العامة التي عايشها</w:t>
      </w:r>
      <w:r w:rsidR="009A2A04" w:rsidRPr="00282AC9">
        <w:rPr>
          <w:rFonts w:ascii="Simplified Arabic" w:hAnsi="Simplified Arabic" w:cs="Mosawi"/>
          <w:bCs w:val="0"/>
          <w:color w:val="auto"/>
          <w:szCs w:val="22"/>
          <w:rtl/>
        </w:rPr>
        <w:t>×</w:t>
      </w:r>
      <w:r w:rsidR="007359AA" w:rsidRPr="00282AC9">
        <w:rPr>
          <w:rFonts w:ascii="Simplified Arabic" w:hAnsi="Simplified Arabic" w:cs="AL-Mohanad"/>
          <w:bCs w:val="0"/>
          <w:color w:val="auto"/>
          <w:sz w:val="27"/>
          <w:szCs w:val="27"/>
          <w:rtl/>
        </w:rPr>
        <w:t xml:space="preserve"> في ذلك العصر</w:t>
      </w:r>
      <w:r w:rsidR="007359AA" w:rsidRPr="00282AC9">
        <w:rPr>
          <w:rFonts w:ascii="Simplified Arabic" w:hAnsi="Simplified Arabic" w:cs="AL-Mohanad" w:hint="cs"/>
          <w:bCs w:val="0"/>
          <w:color w:val="auto"/>
          <w:sz w:val="27"/>
          <w:szCs w:val="27"/>
          <w:rtl/>
        </w:rPr>
        <w:t xml:space="preserve"> من تاريخ الأم</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hint="cs"/>
          <w:bCs w:val="0"/>
          <w:color w:val="auto"/>
          <w:sz w:val="27"/>
          <w:szCs w:val="27"/>
          <w:rtl/>
        </w:rPr>
        <w:t>ة</w:t>
      </w:r>
      <w:r w:rsidR="007359AA" w:rsidRPr="00282AC9">
        <w:rPr>
          <w:rFonts w:ascii="Simplified Arabic" w:hAnsi="Simplified Arabic" w:cs="AL-Mohanad"/>
          <w:bCs w:val="0"/>
          <w:color w:val="auto"/>
          <w:sz w:val="27"/>
          <w:szCs w:val="27"/>
          <w:rtl/>
        </w:rPr>
        <w:t>، ومحاولة استيعاب معالمها الرئيسة، ومتغي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راتها التاريخية في سياق و</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ع</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يه</w:t>
      </w:r>
      <w:r w:rsidR="009A2A04" w:rsidRPr="00282AC9">
        <w:rPr>
          <w:rFonts w:ascii="Simplified Arabic" w:hAnsi="Simplified Arabic" w:cs="Mosawi"/>
          <w:bCs w:val="0"/>
          <w:color w:val="auto"/>
          <w:szCs w:val="22"/>
          <w:rtl/>
        </w:rPr>
        <w:t>×</w:t>
      </w:r>
      <w:r w:rsidR="007359AA" w:rsidRPr="00282AC9">
        <w:rPr>
          <w:rFonts w:ascii="Simplified Arabic" w:hAnsi="Simplified Arabic" w:cs="AL-Mohanad"/>
          <w:bCs w:val="0"/>
          <w:color w:val="auto"/>
          <w:sz w:val="27"/>
          <w:szCs w:val="27"/>
          <w:rtl/>
        </w:rPr>
        <w:t xml:space="preserve"> لها، ولتمث</w:t>
      </w:r>
      <w:r w:rsidR="007359AA"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لاتها الواقعية، وامتلاكه لرؤية</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إسلامية موضوعية في مواجهتها، والتكي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ف الإيجابي </w:t>
      </w:r>
      <w:r w:rsidR="007359AA" w:rsidRPr="00282AC9">
        <w:rPr>
          <w:rFonts w:ascii="Simplified Arabic" w:hAnsi="Simplified Arabic" w:cs="AL-Mohanad" w:hint="cs"/>
          <w:bCs w:val="0"/>
          <w:color w:val="auto"/>
          <w:sz w:val="27"/>
          <w:szCs w:val="27"/>
          <w:rtl/>
        </w:rPr>
        <w:t xml:space="preserve">الفاعل </w:t>
      </w:r>
      <w:r w:rsidR="007359AA" w:rsidRPr="00282AC9">
        <w:rPr>
          <w:rFonts w:ascii="Simplified Arabic" w:hAnsi="Simplified Arabic" w:cs="AL-Mohanad"/>
          <w:bCs w:val="0"/>
          <w:color w:val="auto"/>
          <w:sz w:val="27"/>
          <w:szCs w:val="27"/>
          <w:rtl/>
        </w:rPr>
        <w:t>مع بعض عناصرها الضاغطة التي فرض</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نفسها عليه في هذا الموقع أو ذاك. فما هي هذه التغي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رات؟‍‍‍! وما هي الأجواء الفكرية والثقافية الجديدة المترافقة مع ات</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ساع تلك الظروف والمتغي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رات التي يمكن أن نعتبرها ـ بشكل</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أو بآخر ـ امتداداً تاريخي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اً وسياسي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اً للمرحلة الزمني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ة التي سبق</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ها</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مع بعض الاختلاف في الملامح العام</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ة؟! </w:t>
      </w:r>
    </w:p>
    <w:p w:rsidR="007359AA" w:rsidRPr="00282AC9" w:rsidRDefault="007359AA" w:rsidP="00DE5F16">
      <w:pPr>
        <w:pStyle w:val="31"/>
        <w:rPr>
          <w:b/>
          <w:color w:val="auto"/>
          <w:rtl/>
        </w:rPr>
      </w:pPr>
      <w:r w:rsidRPr="00282AC9">
        <w:rPr>
          <w:color w:val="auto"/>
          <w:rtl/>
        </w:rPr>
        <w:lastRenderedPageBreak/>
        <w:t>المبحث الأو</w:t>
      </w:r>
      <w:r w:rsidR="00B26F1F" w:rsidRPr="00282AC9">
        <w:rPr>
          <w:rFonts w:hint="cs"/>
          <w:color w:val="auto"/>
          <w:rtl/>
        </w:rPr>
        <w:t>ّ</w:t>
      </w:r>
      <w:r w:rsidRPr="00282AC9">
        <w:rPr>
          <w:color w:val="auto"/>
          <w:rtl/>
        </w:rPr>
        <w:t>ل: الظروف والأوضاع التاريخية الخاص</w:t>
      </w:r>
      <w:r w:rsidRPr="00282AC9">
        <w:rPr>
          <w:rFonts w:hint="cs"/>
          <w:color w:val="auto"/>
          <w:rtl/>
        </w:rPr>
        <w:t>ّ</w:t>
      </w:r>
      <w:r w:rsidRPr="00282AC9">
        <w:rPr>
          <w:color w:val="auto"/>
          <w:rtl/>
        </w:rPr>
        <w:t>ة بعصر الإمام</w:t>
      </w:r>
      <w:r w:rsidR="00E31173" w:rsidRPr="00282AC9">
        <w:rPr>
          <w:rFonts w:hint="cs"/>
          <w:color w:val="auto"/>
          <w:rtl/>
        </w:rPr>
        <w:t xml:space="preserve"> الرضا</w:t>
      </w:r>
      <w:r w:rsidR="009A2A04" w:rsidRPr="00282AC9">
        <w:rPr>
          <w:rFonts w:cs="Mosawi"/>
          <w:color w:val="auto"/>
          <w:sz w:val="23"/>
          <w:szCs w:val="23"/>
          <w:rtl/>
        </w:rPr>
        <w:t>×</w:t>
      </w:r>
    </w:p>
    <w:p w:rsidR="007359AA" w:rsidRPr="00282AC9" w:rsidRDefault="00B72883" w:rsidP="00DE5F16">
      <w:pPr>
        <w:pStyle w:val="31"/>
        <w:rPr>
          <w:b/>
          <w:color w:val="auto"/>
          <w:rtl/>
        </w:rPr>
      </w:pPr>
      <w:r w:rsidRPr="00282AC9">
        <w:rPr>
          <w:rFonts w:hint="cs"/>
          <w:color w:val="auto"/>
          <w:rtl/>
        </w:rPr>
        <w:t xml:space="preserve">1ـ </w:t>
      </w:r>
      <w:r w:rsidR="007359AA" w:rsidRPr="00282AC9">
        <w:rPr>
          <w:color w:val="auto"/>
          <w:rtl/>
        </w:rPr>
        <w:t>ازدهار الحياة العلمي</w:t>
      </w:r>
      <w:r w:rsidR="00861D1F" w:rsidRPr="00282AC9">
        <w:rPr>
          <w:rFonts w:hint="cs"/>
          <w:color w:val="auto"/>
          <w:rtl/>
        </w:rPr>
        <w:t>ّ</w:t>
      </w:r>
      <w:r w:rsidR="007359AA" w:rsidRPr="00282AC9">
        <w:rPr>
          <w:color w:val="auto"/>
          <w:rtl/>
        </w:rPr>
        <w:t>ة</w:t>
      </w:r>
    </w:p>
    <w:p w:rsidR="007359AA" w:rsidRPr="00282AC9" w:rsidRDefault="007359AA" w:rsidP="00D47E7C">
      <w:pPr>
        <w:pStyle w:val="18"/>
        <w:widowControl w:val="0"/>
        <w:spacing w:line="406"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يصف</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المؤر</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خون وك</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اب السّ</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 والتراجم</w:t>
      </w:r>
      <w:r w:rsidRPr="00282AC9">
        <w:rPr>
          <w:rFonts w:ascii="Simplified Arabic" w:hAnsi="Simplified Arabic" w:cs="AL-Mohanad" w:hint="cs"/>
          <w:bCs w:val="0"/>
          <w:color w:val="auto"/>
          <w:sz w:val="27"/>
          <w:szCs w:val="27"/>
          <w:rtl/>
        </w:rPr>
        <w:t xml:space="preserve"> ال</w:t>
      </w:r>
      <w:r w:rsidRPr="00282AC9">
        <w:rPr>
          <w:rFonts w:ascii="Simplified Arabic" w:hAnsi="Simplified Arabic" w:cs="AL-Mohanad"/>
          <w:bCs w:val="0"/>
          <w:color w:val="auto"/>
          <w:sz w:val="27"/>
          <w:szCs w:val="27"/>
          <w:rtl/>
        </w:rPr>
        <w:t>عصر</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r w:rsidRPr="00282AC9">
        <w:rPr>
          <w:rFonts w:ascii="Simplified Arabic" w:hAnsi="Simplified Arabic" w:cs="AL-Mohanad" w:hint="cs"/>
          <w:bCs w:val="0"/>
          <w:color w:val="auto"/>
          <w:sz w:val="27"/>
          <w:szCs w:val="27"/>
          <w:rtl/>
        </w:rPr>
        <w:t xml:space="preserve">الذي عاش فيه </w:t>
      </w:r>
      <w:r w:rsidRPr="00282AC9">
        <w:rPr>
          <w:rFonts w:ascii="Simplified Arabic" w:hAnsi="Simplified Arabic" w:cs="AL-Mohanad"/>
          <w:bCs w:val="0"/>
          <w:color w:val="auto"/>
          <w:sz w:val="27"/>
          <w:szCs w:val="27"/>
          <w:rtl/>
        </w:rPr>
        <w:t>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بالعصر الذهبي</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897"/>
      </w:r>
      <w:r w:rsidRPr="00282AC9">
        <w:rPr>
          <w:rFonts w:ascii="Simplified Arabic" w:hAnsi="Simplified Arabic" w:cs="AL-Mohanad"/>
          <w:bCs w:val="0"/>
          <w:color w:val="auto"/>
          <w:sz w:val="27"/>
          <w:szCs w:val="27"/>
          <w:vertAlign w:val="superscript"/>
          <w:rtl/>
        </w:rPr>
        <w:t>)</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وذلك بالنظر إلى ازدهار نشاطه العلمي، وتوس</w:t>
      </w:r>
      <w:r w:rsidRPr="00282AC9">
        <w:rPr>
          <w:rFonts w:ascii="Simplified Arabic" w:hAnsi="Simplified Arabic" w:cs="AL-Mohanad" w:hint="cs"/>
          <w:bCs w:val="0"/>
          <w:color w:val="auto"/>
          <w:sz w:val="27"/>
          <w:szCs w:val="27"/>
          <w:rtl/>
        </w:rPr>
        <w:t>ّ</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ع دوائر </w:t>
      </w:r>
      <w:r w:rsidRPr="00282AC9">
        <w:rPr>
          <w:rFonts w:ascii="Simplified Arabic" w:hAnsi="Simplified Arabic" w:cs="AL-Mohanad" w:hint="cs"/>
          <w:bCs w:val="0"/>
          <w:color w:val="auto"/>
          <w:sz w:val="27"/>
          <w:szCs w:val="27"/>
          <w:rtl/>
        </w:rPr>
        <w:t>حركي</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ته </w:t>
      </w:r>
      <w:r w:rsidRPr="00282AC9">
        <w:rPr>
          <w:rFonts w:ascii="Simplified Arabic" w:hAnsi="Simplified Arabic" w:cs="AL-Mohanad"/>
          <w:bCs w:val="0"/>
          <w:color w:val="auto"/>
          <w:sz w:val="27"/>
          <w:szCs w:val="27"/>
          <w:rtl/>
        </w:rPr>
        <w:t>الفكرية والمعرفية، وتطو</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ر عمرانه </w:t>
      </w:r>
      <w:r w:rsidRPr="00282AC9">
        <w:rPr>
          <w:rFonts w:ascii="Simplified Arabic" w:hAnsi="Simplified Arabic" w:cs="AL-Mohanad" w:hint="cs"/>
          <w:bCs w:val="0"/>
          <w:color w:val="auto"/>
          <w:sz w:val="27"/>
          <w:szCs w:val="27"/>
          <w:rtl/>
        </w:rPr>
        <w:t>الاجتماعي و</w:t>
      </w:r>
      <w:r w:rsidRPr="00282AC9">
        <w:rPr>
          <w:rFonts w:ascii="Simplified Arabic" w:hAnsi="Simplified Arabic" w:cs="AL-Mohanad"/>
          <w:bCs w:val="0"/>
          <w:color w:val="auto"/>
          <w:sz w:val="27"/>
          <w:szCs w:val="27"/>
          <w:rtl/>
        </w:rPr>
        <w:t>الاقتصادي</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فقد نشطت في </w:t>
      </w:r>
      <w:r w:rsidRPr="00282AC9">
        <w:rPr>
          <w:rFonts w:ascii="Simplified Arabic" w:hAnsi="Simplified Arabic" w:cs="AL-Mohanad" w:hint="cs"/>
          <w:bCs w:val="0"/>
          <w:color w:val="auto"/>
          <w:sz w:val="27"/>
          <w:szCs w:val="27"/>
          <w:rtl/>
        </w:rPr>
        <w:t xml:space="preserve">ذلك </w:t>
      </w:r>
      <w:r w:rsidRPr="00282AC9">
        <w:rPr>
          <w:rFonts w:ascii="Simplified Arabic" w:hAnsi="Simplified Arabic" w:cs="AL-Mohanad"/>
          <w:bCs w:val="0"/>
          <w:color w:val="auto"/>
          <w:sz w:val="27"/>
          <w:szCs w:val="27"/>
          <w:rtl/>
        </w:rPr>
        <w:t>العصر حركة</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كبيرة لإنشاء المعاهد والمدارس التعليمية الإسلامية</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وغير الإسلامية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898"/>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وب</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المكتبات العام</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899"/>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وانطلقت حركة الترجمة والتعريب</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00"/>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وكان من مظاهر التقد</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 العلمي</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ذلك العصر أيضاً إنشاء المراصد</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w:t>
      </w:r>
      <w:r w:rsidRPr="00282AC9">
        <w:rPr>
          <w:rFonts w:ascii="Simplified Arabic" w:hAnsi="Simplified Arabic" w:cs="AL-Mohanad" w:hint="cs"/>
          <w:bCs w:val="0"/>
          <w:color w:val="auto"/>
          <w:sz w:val="27"/>
          <w:szCs w:val="27"/>
          <w:rtl/>
        </w:rPr>
        <w:t xml:space="preserve">رسم </w:t>
      </w:r>
      <w:r w:rsidRPr="00282AC9">
        <w:rPr>
          <w:rFonts w:ascii="Simplified Arabic" w:hAnsi="Simplified Arabic" w:cs="AL-Mohanad"/>
          <w:bCs w:val="0"/>
          <w:color w:val="auto"/>
          <w:sz w:val="27"/>
          <w:szCs w:val="27"/>
          <w:rtl/>
        </w:rPr>
        <w:t>الخرائط</w:t>
      </w:r>
      <w:r w:rsidRPr="00282AC9">
        <w:rPr>
          <w:rFonts w:ascii="Simplified Arabic" w:hAnsi="Simplified Arabic" w:cs="AL-Mohanad" w:hint="cs"/>
          <w:bCs w:val="0"/>
          <w:color w:val="auto"/>
          <w:sz w:val="27"/>
          <w:szCs w:val="27"/>
          <w:rtl/>
        </w:rPr>
        <w:t xml:space="preserve"> الجغرافية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01"/>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والاهتمام بعلوم التفسير والفق</w:t>
      </w:r>
      <w:r w:rsidRPr="00282AC9">
        <w:rPr>
          <w:rFonts w:ascii="Simplified Arabic" w:hAnsi="Simplified Arabic" w:cs="AL-Mohanad" w:hint="cs"/>
          <w:bCs w:val="0"/>
          <w:color w:val="auto"/>
          <w:sz w:val="27"/>
          <w:szCs w:val="27"/>
          <w:rtl/>
        </w:rPr>
        <w:t>ه</w:t>
      </w:r>
      <w:r w:rsidRPr="00282AC9">
        <w:rPr>
          <w:rFonts w:ascii="Simplified Arabic" w:hAnsi="Simplified Arabic" w:cs="AL-Mohanad"/>
          <w:bCs w:val="0"/>
          <w:color w:val="auto"/>
          <w:sz w:val="27"/>
          <w:szCs w:val="27"/>
          <w:rtl/>
        </w:rPr>
        <w:t xml:space="preserve"> والحديث والكلام والفلسفة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02"/>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وعلوم النحو واللغة والأصول، وانتشار علوم الطب</w:t>
      </w:r>
      <w:r w:rsidR="00861D1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والكيمياء والفلك</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03"/>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D47E7C" w:rsidRPr="00282AC9" w:rsidRDefault="00D47E7C" w:rsidP="00D47E7C">
      <w:pPr>
        <w:spacing w:line="420" w:lineRule="exact"/>
        <w:rPr>
          <w:sz w:val="27"/>
          <w:rtl/>
        </w:rPr>
      </w:pPr>
    </w:p>
    <w:p w:rsidR="007359AA" w:rsidRPr="00282AC9" w:rsidRDefault="00B72883" w:rsidP="00DE5F16">
      <w:pPr>
        <w:pStyle w:val="31"/>
        <w:rPr>
          <w:b/>
          <w:color w:val="auto"/>
          <w:rtl/>
        </w:rPr>
      </w:pPr>
      <w:r w:rsidRPr="00282AC9">
        <w:rPr>
          <w:rFonts w:hint="cs"/>
          <w:color w:val="auto"/>
          <w:rtl/>
        </w:rPr>
        <w:t>2ـ</w:t>
      </w:r>
      <w:r w:rsidR="007359AA" w:rsidRPr="00282AC9">
        <w:rPr>
          <w:rFonts w:hint="cs"/>
          <w:color w:val="auto"/>
          <w:rtl/>
        </w:rPr>
        <w:t xml:space="preserve"> </w:t>
      </w:r>
      <w:r w:rsidR="007359AA" w:rsidRPr="00282AC9">
        <w:rPr>
          <w:color w:val="auto"/>
          <w:rtl/>
        </w:rPr>
        <w:t>سوء الحالة الاقتصادي</w:t>
      </w:r>
      <w:r w:rsidR="00861D1F" w:rsidRPr="00282AC9">
        <w:rPr>
          <w:rFonts w:hint="cs"/>
          <w:color w:val="auto"/>
          <w:rtl/>
        </w:rPr>
        <w:t>ّ</w:t>
      </w:r>
      <w:r w:rsidR="007359AA" w:rsidRPr="00282AC9">
        <w:rPr>
          <w:color w:val="auto"/>
          <w:rtl/>
        </w:rPr>
        <w:t>ة وتدن</w:t>
      </w:r>
      <w:r w:rsidR="00861D1F" w:rsidRPr="00282AC9">
        <w:rPr>
          <w:rFonts w:hint="cs"/>
          <w:color w:val="auto"/>
          <w:rtl/>
        </w:rPr>
        <w:t>ّ</w:t>
      </w:r>
      <w:r w:rsidR="007359AA" w:rsidRPr="00282AC9">
        <w:rPr>
          <w:color w:val="auto"/>
          <w:rtl/>
        </w:rPr>
        <w:t>ي مستوى المعيشة</w:t>
      </w:r>
    </w:p>
    <w:p w:rsidR="007359AA" w:rsidRPr="00282AC9" w:rsidRDefault="007359AA" w:rsidP="00D47E7C">
      <w:pPr>
        <w:rPr>
          <w:sz w:val="27"/>
        </w:rPr>
      </w:pPr>
      <w:r w:rsidRPr="00282AC9">
        <w:rPr>
          <w:rFonts w:ascii="Simplified Arabic" w:hAnsi="Simplified Arabic"/>
          <w:sz w:val="27"/>
          <w:rtl/>
        </w:rPr>
        <w:t>لقد كانت الحالة الاقتصادية العام</w:t>
      </w:r>
      <w:r w:rsidR="00861D1F" w:rsidRPr="00282AC9">
        <w:rPr>
          <w:rFonts w:ascii="Simplified Arabic" w:hAnsi="Simplified Arabic" w:hint="cs"/>
          <w:sz w:val="27"/>
          <w:rtl/>
        </w:rPr>
        <w:t>ّ</w:t>
      </w:r>
      <w:r w:rsidRPr="00282AC9">
        <w:rPr>
          <w:rFonts w:ascii="Simplified Arabic" w:hAnsi="Simplified Arabic"/>
          <w:sz w:val="27"/>
          <w:rtl/>
        </w:rPr>
        <w:t>ة للبلاد في ذلك العصر غير مستقر</w:t>
      </w:r>
      <w:r w:rsidR="00861D1F" w:rsidRPr="00282AC9">
        <w:rPr>
          <w:rFonts w:ascii="Simplified Arabic" w:hAnsi="Simplified Arabic" w:hint="cs"/>
          <w:sz w:val="27"/>
          <w:rtl/>
        </w:rPr>
        <w:t>ّ</w:t>
      </w:r>
      <w:r w:rsidRPr="00282AC9">
        <w:rPr>
          <w:rFonts w:ascii="Simplified Arabic" w:hAnsi="Simplified Arabic"/>
          <w:sz w:val="27"/>
          <w:rtl/>
        </w:rPr>
        <w:t>ة</w:t>
      </w:r>
      <w:r w:rsidR="00861D1F" w:rsidRPr="00282AC9">
        <w:rPr>
          <w:rFonts w:ascii="Simplified Arabic" w:hAnsi="Simplified Arabic" w:hint="cs"/>
          <w:sz w:val="27"/>
          <w:rtl/>
        </w:rPr>
        <w:t>ٍ</w:t>
      </w:r>
      <w:r w:rsidRPr="00282AC9">
        <w:rPr>
          <w:rFonts w:ascii="Simplified Arabic" w:hAnsi="Simplified Arabic"/>
          <w:sz w:val="27"/>
          <w:rtl/>
        </w:rPr>
        <w:t>، وذلك بالرغم من الإمكانات الهائلة التي توف</w:t>
      </w:r>
      <w:r w:rsidR="00861D1F" w:rsidRPr="00282AC9">
        <w:rPr>
          <w:rFonts w:ascii="Simplified Arabic" w:hAnsi="Simplified Arabic" w:hint="cs"/>
          <w:sz w:val="27"/>
          <w:rtl/>
        </w:rPr>
        <w:t>ّ</w:t>
      </w:r>
      <w:r w:rsidRPr="00282AC9">
        <w:rPr>
          <w:rFonts w:ascii="Simplified Arabic" w:hAnsi="Simplified Arabic"/>
          <w:sz w:val="27"/>
          <w:rtl/>
        </w:rPr>
        <w:t>رت أمام الدولة</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04"/>
      </w:r>
      <w:r w:rsidRPr="00282AC9">
        <w:rPr>
          <w:rFonts w:ascii="Simplified Arabic" w:hAnsi="Simplified Arabic"/>
          <w:sz w:val="27"/>
          <w:vertAlign w:val="superscript"/>
          <w:rtl/>
        </w:rPr>
        <w:t>)</w:t>
      </w:r>
      <w:r w:rsidR="00861D1F" w:rsidRPr="00282AC9">
        <w:rPr>
          <w:rFonts w:ascii="Simplified Arabic" w:hAnsi="Simplified Arabic" w:hint="cs"/>
          <w:sz w:val="27"/>
          <w:rtl/>
        </w:rPr>
        <w:t>،</w:t>
      </w:r>
      <w:r w:rsidRPr="00282AC9">
        <w:rPr>
          <w:rFonts w:ascii="Simplified Arabic" w:hAnsi="Simplified Arabic"/>
          <w:sz w:val="27"/>
          <w:rtl/>
        </w:rPr>
        <w:t xml:space="preserve"> من خيرات الأرض والسماء، وعمل الإنسان، وسعة مال الخراج</w:t>
      </w:r>
      <w:r w:rsidR="00861D1F" w:rsidRPr="00282AC9">
        <w:rPr>
          <w:rFonts w:ascii="Simplified Arabic" w:hAnsi="Simplified Arabic" w:hint="cs"/>
          <w:sz w:val="27"/>
          <w:rtl/>
        </w:rPr>
        <w:t>،</w:t>
      </w:r>
      <w:r w:rsidRPr="00282AC9">
        <w:rPr>
          <w:rFonts w:ascii="Simplified Arabic" w:hAnsi="Simplified Arabic"/>
          <w:sz w:val="27"/>
          <w:rtl/>
        </w:rPr>
        <w:t xml:space="preserve"> الذي بلغ</w:t>
      </w:r>
      <w:r w:rsidR="00861D1F" w:rsidRPr="00282AC9">
        <w:rPr>
          <w:rFonts w:ascii="Simplified Arabic" w:hAnsi="Simplified Arabic" w:hint="cs"/>
          <w:sz w:val="27"/>
          <w:rtl/>
        </w:rPr>
        <w:t>َ</w:t>
      </w:r>
      <w:r w:rsidRPr="00282AC9">
        <w:rPr>
          <w:rFonts w:ascii="Simplified Arabic" w:hAnsi="Simplified Arabic"/>
          <w:sz w:val="27"/>
          <w:rtl/>
        </w:rPr>
        <w:t>ت</w:t>
      </w:r>
      <w:r w:rsidR="00861D1F" w:rsidRPr="00282AC9">
        <w:rPr>
          <w:rFonts w:ascii="Simplified Arabic" w:hAnsi="Simplified Arabic" w:hint="cs"/>
          <w:sz w:val="27"/>
          <w:rtl/>
        </w:rPr>
        <w:t>ْ</w:t>
      </w:r>
      <w:r w:rsidRPr="00282AC9">
        <w:rPr>
          <w:rFonts w:ascii="Simplified Arabic" w:hAnsi="Simplified Arabic"/>
          <w:sz w:val="27"/>
          <w:rtl/>
        </w:rPr>
        <w:t xml:space="preserve"> و</w:t>
      </w:r>
      <w:r w:rsidR="00861D1F" w:rsidRPr="00282AC9">
        <w:rPr>
          <w:rFonts w:ascii="Simplified Arabic" w:hAnsi="Simplified Arabic" w:hint="cs"/>
          <w:sz w:val="27"/>
          <w:rtl/>
        </w:rPr>
        <w:t>َ</w:t>
      </w:r>
      <w:r w:rsidRPr="00282AC9">
        <w:rPr>
          <w:rFonts w:ascii="Simplified Arabic" w:hAnsi="Simplified Arabic"/>
          <w:sz w:val="27"/>
          <w:rtl/>
        </w:rPr>
        <w:t>ف</w:t>
      </w:r>
      <w:r w:rsidR="00861D1F" w:rsidRPr="00282AC9">
        <w:rPr>
          <w:rFonts w:ascii="Simplified Arabic" w:hAnsi="Simplified Arabic" w:hint="cs"/>
          <w:sz w:val="27"/>
          <w:rtl/>
        </w:rPr>
        <w:t>ْ</w:t>
      </w:r>
      <w:r w:rsidRPr="00282AC9">
        <w:rPr>
          <w:rFonts w:ascii="Simplified Arabic" w:hAnsi="Simplified Arabic"/>
          <w:sz w:val="27"/>
          <w:rtl/>
        </w:rPr>
        <w:t>ر</w:t>
      </w:r>
      <w:r w:rsidR="00861D1F" w:rsidRPr="00282AC9">
        <w:rPr>
          <w:rFonts w:ascii="Simplified Arabic" w:hAnsi="Simplified Arabic" w:hint="cs"/>
          <w:sz w:val="27"/>
          <w:rtl/>
        </w:rPr>
        <w:t>َ</w:t>
      </w:r>
      <w:r w:rsidRPr="00282AC9">
        <w:rPr>
          <w:rFonts w:ascii="Simplified Arabic" w:hAnsi="Simplified Arabic"/>
          <w:sz w:val="27"/>
          <w:rtl/>
        </w:rPr>
        <w:t>ته ذات مر</w:t>
      </w:r>
      <w:r w:rsidR="00861D1F" w:rsidRPr="00282AC9">
        <w:rPr>
          <w:rFonts w:ascii="Simplified Arabic" w:hAnsi="Simplified Arabic" w:hint="cs"/>
          <w:sz w:val="27"/>
          <w:rtl/>
        </w:rPr>
        <w:t>ّ</w:t>
      </w:r>
      <w:r w:rsidRPr="00282AC9">
        <w:rPr>
          <w:rFonts w:ascii="Simplified Arabic" w:hAnsi="Simplified Arabic"/>
          <w:sz w:val="27"/>
          <w:rtl/>
        </w:rPr>
        <w:t>ة</w:t>
      </w:r>
      <w:r w:rsidR="00861D1F" w:rsidRPr="00282AC9">
        <w:rPr>
          <w:rFonts w:ascii="Simplified Arabic" w:hAnsi="Simplified Arabic" w:hint="cs"/>
          <w:sz w:val="27"/>
          <w:rtl/>
        </w:rPr>
        <w:t>ٍ</w:t>
      </w:r>
      <w:r w:rsidRPr="00282AC9">
        <w:rPr>
          <w:rFonts w:ascii="Simplified Arabic" w:hAnsi="Simplified Arabic"/>
          <w:sz w:val="27"/>
          <w:rtl/>
        </w:rPr>
        <w:t xml:space="preserve"> حد</w:t>
      </w:r>
      <w:r w:rsidR="00861D1F" w:rsidRPr="00282AC9">
        <w:rPr>
          <w:rFonts w:ascii="Simplified Arabic" w:hAnsi="Simplified Arabic" w:hint="cs"/>
          <w:sz w:val="27"/>
          <w:rtl/>
        </w:rPr>
        <w:t>ّ</w:t>
      </w:r>
      <w:r w:rsidRPr="00282AC9">
        <w:rPr>
          <w:rFonts w:ascii="Simplified Arabic" w:hAnsi="Simplified Arabic"/>
          <w:sz w:val="27"/>
          <w:rtl/>
        </w:rPr>
        <w:t xml:space="preserve">اً </w:t>
      </w:r>
      <w:r w:rsidRPr="00282AC9">
        <w:rPr>
          <w:rFonts w:ascii="Simplified Arabic" w:hAnsi="Simplified Arabic" w:hint="cs"/>
          <w:sz w:val="27"/>
          <w:rtl/>
        </w:rPr>
        <w:t xml:space="preserve">أنهم </w:t>
      </w:r>
      <w:r w:rsidRPr="00282AC9">
        <w:rPr>
          <w:rFonts w:ascii="Simplified Arabic" w:hAnsi="Simplified Arabic"/>
          <w:sz w:val="27"/>
          <w:rtl/>
        </w:rPr>
        <w:t>كانوا يضطر</w:t>
      </w:r>
      <w:r w:rsidR="00861D1F" w:rsidRPr="00282AC9">
        <w:rPr>
          <w:rFonts w:ascii="Simplified Arabic" w:hAnsi="Simplified Arabic" w:hint="cs"/>
          <w:sz w:val="27"/>
          <w:rtl/>
        </w:rPr>
        <w:t>ّ</w:t>
      </w:r>
      <w:r w:rsidRPr="00282AC9">
        <w:rPr>
          <w:rFonts w:ascii="Simplified Arabic" w:hAnsi="Simplified Arabic"/>
          <w:sz w:val="27"/>
          <w:rtl/>
        </w:rPr>
        <w:t>ون فيه إلى القيام بعمليات وزن المال</w:t>
      </w:r>
      <w:r w:rsidR="00861D1F" w:rsidRPr="00282AC9">
        <w:rPr>
          <w:rFonts w:ascii="Simplified Arabic" w:hAnsi="Simplified Arabic" w:hint="cs"/>
          <w:sz w:val="27"/>
          <w:rtl/>
        </w:rPr>
        <w:t>؛</w:t>
      </w:r>
      <w:r w:rsidRPr="00282AC9">
        <w:rPr>
          <w:rFonts w:ascii="Simplified Arabic" w:hAnsi="Simplified Arabic"/>
          <w:sz w:val="27"/>
          <w:rtl/>
        </w:rPr>
        <w:t xml:space="preserve"> بسبب عدم القدرة على عد</w:t>
      </w:r>
      <w:r w:rsidR="00861D1F" w:rsidRPr="00282AC9">
        <w:rPr>
          <w:rFonts w:ascii="Simplified Arabic" w:hAnsi="Simplified Arabic" w:hint="cs"/>
          <w:sz w:val="27"/>
          <w:rtl/>
        </w:rPr>
        <w:t>ِّ</w:t>
      </w:r>
      <w:r w:rsidRPr="00282AC9">
        <w:rPr>
          <w:rFonts w:ascii="Simplified Arabic" w:hAnsi="Simplified Arabic"/>
          <w:sz w:val="27"/>
          <w:rtl/>
        </w:rPr>
        <w:t>ه، فكانوا يقولون مثلاً: إنه ست</w:t>
      </w:r>
      <w:r w:rsidR="00861D1F" w:rsidRPr="00282AC9">
        <w:rPr>
          <w:rFonts w:ascii="Simplified Arabic" w:hAnsi="Simplified Arabic" w:hint="cs"/>
          <w:sz w:val="27"/>
          <w:rtl/>
        </w:rPr>
        <w:t>ّ</w:t>
      </w:r>
      <w:r w:rsidRPr="00282AC9">
        <w:rPr>
          <w:rFonts w:ascii="Simplified Arabic" w:hAnsi="Simplified Arabic"/>
          <w:sz w:val="27"/>
          <w:rtl/>
        </w:rPr>
        <w:t>ة آلاف قنطار من الذهب</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05"/>
      </w:r>
      <w:r w:rsidRPr="00282AC9">
        <w:rPr>
          <w:rFonts w:ascii="Simplified Arabic" w:hAnsi="Simplified Arabic"/>
          <w:sz w:val="27"/>
          <w:vertAlign w:val="superscript"/>
          <w:rtl/>
        </w:rPr>
        <w:t>)</w:t>
      </w:r>
      <w:r w:rsidRPr="00282AC9">
        <w:rPr>
          <w:rFonts w:ascii="Simplified Arabic" w:hAnsi="Simplified Arabic"/>
          <w:sz w:val="27"/>
          <w:rtl/>
        </w:rPr>
        <w:t>. لكن</w:t>
      </w:r>
      <w:r w:rsidR="00861D1F" w:rsidRPr="00282AC9">
        <w:rPr>
          <w:rFonts w:ascii="Simplified Arabic" w:hAnsi="Simplified Arabic" w:hint="cs"/>
          <w:sz w:val="27"/>
          <w:rtl/>
        </w:rPr>
        <w:t>ّ</w:t>
      </w:r>
      <w:r w:rsidRPr="00282AC9">
        <w:rPr>
          <w:rFonts w:ascii="Simplified Arabic" w:hAnsi="Simplified Arabic"/>
          <w:sz w:val="27"/>
          <w:rtl/>
        </w:rPr>
        <w:t xml:space="preserve"> تلك الأموال الضخمة والثروات الهائلة لم تكن موضوعة</w:t>
      </w:r>
      <w:r w:rsidR="00861D1F" w:rsidRPr="00282AC9">
        <w:rPr>
          <w:rFonts w:ascii="Simplified Arabic" w:hAnsi="Simplified Arabic" w:hint="cs"/>
          <w:sz w:val="27"/>
          <w:rtl/>
        </w:rPr>
        <w:t>ً</w:t>
      </w:r>
      <w:r w:rsidRPr="00282AC9">
        <w:rPr>
          <w:rFonts w:ascii="Simplified Arabic" w:hAnsi="Simplified Arabic"/>
          <w:sz w:val="27"/>
          <w:rtl/>
        </w:rPr>
        <w:t xml:space="preserve"> في خدمة عام</w:t>
      </w:r>
      <w:r w:rsidR="00861D1F" w:rsidRPr="00282AC9">
        <w:rPr>
          <w:rFonts w:ascii="Simplified Arabic" w:hAnsi="Simplified Arabic" w:hint="cs"/>
          <w:sz w:val="27"/>
          <w:rtl/>
        </w:rPr>
        <w:t>ّ</w:t>
      </w:r>
      <w:r w:rsidRPr="00282AC9">
        <w:rPr>
          <w:rFonts w:ascii="Simplified Arabic" w:hAnsi="Simplified Arabic"/>
          <w:sz w:val="27"/>
          <w:rtl/>
        </w:rPr>
        <w:t>ة الناس</w:t>
      </w:r>
      <w:r w:rsidR="009F2F7E" w:rsidRPr="00282AC9">
        <w:rPr>
          <w:rFonts w:ascii="Simplified Arabic" w:hAnsi="Simplified Arabic" w:hint="cs"/>
          <w:sz w:val="27"/>
          <w:rtl/>
        </w:rPr>
        <w:t>؛</w:t>
      </w:r>
      <w:r w:rsidRPr="00282AC9">
        <w:rPr>
          <w:rFonts w:ascii="Simplified Arabic" w:hAnsi="Simplified Arabic"/>
          <w:sz w:val="27"/>
          <w:rtl/>
        </w:rPr>
        <w:t xml:space="preserve"> من أجل تطوير حياتهم</w:t>
      </w:r>
      <w:r w:rsidR="009F2F7E"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وتحسين</w:t>
      </w:r>
      <w:r w:rsidRPr="00282AC9">
        <w:rPr>
          <w:rFonts w:ascii="Simplified Arabic" w:hAnsi="Simplified Arabic"/>
          <w:sz w:val="27"/>
          <w:rtl/>
        </w:rPr>
        <w:t xml:space="preserve"> مستوى معيشتهم</w:t>
      </w:r>
      <w:r w:rsidR="009F2F7E" w:rsidRPr="00282AC9">
        <w:rPr>
          <w:rFonts w:ascii="Simplified Arabic" w:hAnsi="Simplified Arabic" w:hint="cs"/>
          <w:sz w:val="27"/>
          <w:rtl/>
        </w:rPr>
        <w:t>،</w:t>
      </w:r>
      <w:r w:rsidRPr="00282AC9">
        <w:rPr>
          <w:rFonts w:ascii="Simplified Arabic" w:hAnsi="Simplified Arabic"/>
          <w:sz w:val="27"/>
          <w:rtl/>
        </w:rPr>
        <w:t xml:space="preserve"> بل كان الحك</w:t>
      </w:r>
      <w:r w:rsidR="009F2F7E" w:rsidRPr="00282AC9">
        <w:rPr>
          <w:rFonts w:ascii="Simplified Arabic" w:hAnsi="Simplified Arabic" w:hint="cs"/>
          <w:sz w:val="27"/>
          <w:rtl/>
        </w:rPr>
        <w:t>ّ</w:t>
      </w:r>
      <w:r w:rsidRPr="00282AC9">
        <w:rPr>
          <w:rFonts w:ascii="Simplified Arabic" w:hAnsi="Simplified Arabic"/>
          <w:sz w:val="27"/>
          <w:rtl/>
        </w:rPr>
        <w:t>ام والسلاطين يتصر</w:t>
      </w:r>
      <w:r w:rsidR="009F2F7E" w:rsidRPr="00282AC9">
        <w:rPr>
          <w:rFonts w:ascii="Simplified Arabic" w:hAnsi="Simplified Arabic" w:hint="cs"/>
          <w:sz w:val="27"/>
          <w:rtl/>
        </w:rPr>
        <w:t>ّ</w:t>
      </w:r>
      <w:r w:rsidRPr="00282AC9">
        <w:rPr>
          <w:rFonts w:ascii="Simplified Arabic" w:hAnsi="Simplified Arabic"/>
          <w:sz w:val="27"/>
          <w:rtl/>
        </w:rPr>
        <w:t>فون فيها بح</w:t>
      </w:r>
      <w:r w:rsidR="009F2F7E" w:rsidRPr="00282AC9">
        <w:rPr>
          <w:rFonts w:ascii="Simplified Arabic" w:hAnsi="Simplified Arabic" w:hint="cs"/>
          <w:sz w:val="27"/>
          <w:rtl/>
        </w:rPr>
        <w:t>َ</w:t>
      </w:r>
      <w:r w:rsidRPr="00282AC9">
        <w:rPr>
          <w:rFonts w:ascii="Simplified Arabic" w:hAnsi="Simplified Arabic"/>
          <w:sz w:val="27"/>
          <w:rtl/>
        </w:rPr>
        <w:t>س</w:t>
      </w:r>
      <w:r w:rsidR="009F2F7E" w:rsidRPr="00282AC9">
        <w:rPr>
          <w:rFonts w:ascii="Simplified Arabic" w:hAnsi="Simplified Arabic" w:hint="cs"/>
          <w:sz w:val="27"/>
          <w:rtl/>
        </w:rPr>
        <w:t>َ</w:t>
      </w:r>
      <w:r w:rsidRPr="00282AC9">
        <w:rPr>
          <w:rFonts w:ascii="Simplified Arabic" w:hAnsi="Simplified Arabic"/>
          <w:sz w:val="27"/>
          <w:rtl/>
        </w:rPr>
        <w:t>ب أمزجتهم</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06"/>
      </w:r>
      <w:r w:rsidRPr="00282AC9">
        <w:rPr>
          <w:rFonts w:ascii="Simplified Arabic" w:hAnsi="Simplified Arabic"/>
          <w:sz w:val="27"/>
          <w:vertAlign w:val="superscript"/>
          <w:rtl/>
        </w:rPr>
        <w:t>)</w:t>
      </w:r>
      <w:r w:rsidRPr="00282AC9">
        <w:rPr>
          <w:rFonts w:ascii="Simplified Arabic" w:hAnsi="Simplified Arabic"/>
          <w:sz w:val="27"/>
          <w:rtl/>
        </w:rPr>
        <w:t>، وينفقونها على حواشيهم و</w:t>
      </w:r>
      <w:r w:rsidRPr="00282AC9">
        <w:rPr>
          <w:rFonts w:ascii="Simplified Arabic" w:hAnsi="Simplified Arabic" w:hint="cs"/>
          <w:sz w:val="27"/>
          <w:rtl/>
        </w:rPr>
        <w:t>محاسيبهم و</w:t>
      </w:r>
      <w:r w:rsidRPr="00282AC9">
        <w:rPr>
          <w:rFonts w:ascii="Simplified Arabic" w:hAnsi="Simplified Arabic"/>
          <w:sz w:val="27"/>
          <w:rtl/>
        </w:rPr>
        <w:t>أهوائهم وشهواتهم</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07"/>
      </w:r>
      <w:r w:rsidRPr="00282AC9">
        <w:rPr>
          <w:rFonts w:ascii="Simplified Arabic" w:hAnsi="Simplified Arabic"/>
          <w:sz w:val="27"/>
          <w:vertAlign w:val="superscript"/>
          <w:rtl/>
        </w:rPr>
        <w:t>)</w:t>
      </w:r>
      <w:r w:rsidRPr="00282AC9">
        <w:rPr>
          <w:rFonts w:ascii="Simplified Arabic" w:hAnsi="Simplified Arabic"/>
          <w:sz w:val="27"/>
          <w:rtl/>
        </w:rPr>
        <w:t xml:space="preserve"> ولياليهم الحمراء، أو على بناء القصور والعمارات الفارهة</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08"/>
      </w:r>
      <w:r w:rsidRPr="00282AC9">
        <w:rPr>
          <w:rFonts w:ascii="Simplified Arabic" w:hAnsi="Simplified Arabic"/>
          <w:sz w:val="27"/>
          <w:vertAlign w:val="superscript"/>
          <w:rtl/>
        </w:rPr>
        <w:t>)</w:t>
      </w:r>
      <w:r w:rsidRPr="00282AC9">
        <w:rPr>
          <w:rFonts w:ascii="Simplified Arabic" w:hAnsi="Simplified Arabic" w:hint="cs"/>
          <w:sz w:val="27"/>
          <w:rtl/>
        </w:rPr>
        <w:t xml:space="preserve">، وتمكين الجيوش من السيطرة على المجتمع. </w:t>
      </w:r>
      <w:r w:rsidRPr="00282AC9">
        <w:rPr>
          <w:rFonts w:ascii="Simplified Arabic" w:hAnsi="Simplified Arabic"/>
          <w:sz w:val="27"/>
          <w:rtl/>
        </w:rPr>
        <w:t>ومن المؤسف أنّ هذه الأموال الوفيرة لم ت</w:t>
      </w:r>
      <w:r w:rsidR="009F2F7E" w:rsidRPr="00282AC9">
        <w:rPr>
          <w:rFonts w:ascii="Simplified Arabic" w:hAnsi="Simplified Arabic" w:hint="cs"/>
          <w:sz w:val="27"/>
          <w:rtl/>
        </w:rPr>
        <w:t>ُ</w:t>
      </w:r>
      <w:r w:rsidRPr="00282AC9">
        <w:rPr>
          <w:rFonts w:ascii="Simplified Arabic" w:hAnsi="Simplified Arabic"/>
          <w:sz w:val="27"/>
          <w:rtl/>
        </w:rPr>
        <w:t>ن</w:t>
      </w:r>
      <w:r w:rsidR="009F2F7E" w:rsidRPr="00282AC9">
        <w:rPr>
          <w:rFonts w:ascii="Simplified Arabic" w:hAnsi="Simplified Arabic" w:hint="cs"/>
          <w:sz w:val="27"/>
          <w:rtl/>
        </w:rPr>
        <w:t>ْ</w:t>
      </w:r>
      <w:r w:rsidRPr="00282AC9">
        <w:rPr>
          <w:rFonts w:ascii="Simplified Arabic" w:hAnsi="Simplified Arabic"/>
          <w:sz w:val="27"/>
          <w:rtl/>
        </w:rPr>
        <w:t>ف</w:t>
      </w:r>
      <w:r w:rsidR="009F2F7E" w:rsidRPr="00282AC9">
        <w:rPr>
          <w:rFonts w:ascii="Simplified Arabic" w:hAnsi="Simplified Arabic" w:hint="cs"/>
          <w:sz w:val="27"/>
          <w:rtl/>
        </w:rPr>
        <w:t>َ</w:t>
      </w:r>
      <w:r w:rsidRPr="00282AC9">
        <w:rPr>
          <w:rFonts w:ascii="Simplified Arabic" w:hAnsi="Simplified Arabic"/>
          <w:sz w:val="27"/>
          <w:rtl/>
        </w:rPr>
        <w:t>ق</w:t>
      </w:r>
      <w:r w:rsidR="009F2F7E" w:rsidRPr="00282AC9">
        <w:rPr>
          <w:rFonts w:ascii="Simplified Arabic" w:hAnsi="Simplified Arabic" w:hint="cs"/>
          <w:sz w:val="27"/>
          <w:rtl/>
        </w:rPr>
        <w:t>ْ</w:t>
      </w:r>
      <w:r w:rsidRPr="00282AC9">
        <w:rPr>
          <w:rFonts w:ascii="Simplified Arabic" w:hAnsi="Simplified Arabic"/>
          <w:sz w:val="27"/>
          <w:rtl/>
        </w:rPr>
        <w:t xml:space="preserve"> على تحسين أوضاع المسلمين</w:t>
      </w:r>
      <w:r w:rsidR="009F2F7E" w:rsidRPr="00282AC9">
        <w:rPr>
          <w:rFonts w:ascii="Simplified Arabic" w:hAnsi="Simplified Arabic" w:hint="cs"/>
          <w:sz w:val="27"/>
          <w:rtl/>
        </w:rPr>
        <w:t>،</w:t>
      </w:r>
      <w:r w:rsidRPr="00282AC9">
        <w:rPr>
          <w:rFonts w:ascii="Simplified Arabic" w:hAnsi="Simplified Arabic"/>
          <w:sz w:val="27"/>
          <w:rtl/>
        </w:rPr>
        <w:t xml:space="preserve"> وتطوير حياتهم، وإنّما كان الكثير منها يصرف على الشهوات والملذّات</w:t>
      </w:r>
      <w:r w:rsidRPr="00282AC9">
        <w:rPr>
          <w:rFonts w:ascii="Simplified Arabic" w:hAnsi="Simplified Arabic" w:hint="cs"/>
          <w:sz w:val="27"/>
          <w:rtl/>
        </w:rPr>
        <w:t xml:space="preserve"> الشخصي</w:t>
      </w:r>
      <w:r w:rsidR="009F2F7E" w:rsidRPr="00282AC9">
        <w:rPr>
          <w:rFonts w:ascii="Simplified Arabic" w:hAnsi="Simplified Arabic" w:hint="cs"/>
          <w:sz w:val="27"/>
          <w:rtl/>
        </w:rPr>
        <w:t>ّ</w:t>
      </w:r>
      <w:r w:rsidRPr="00282AC9">
        <w:rPr>
          <w:rFonts w:ascii="Simplified Arabic" w:hAnsi="Simplified Arabic" w:hint="cs"/>
          <w:sz w:val="27"/>
          <w:rtl/>
        </w:rPr>
        <w:t>ة للحك</w:t>
      </w:r>
      <w:r w:rsidR="009F2F7E" w:rsidRPr="00282AC9">
        <w:rPr>
          <w:rFonts w:ascii="Simplified Arabic" w:hAnsi="Simplified Arabic" w:hint="cs"/>
          <w:sz w:val="27"/>
          <w:rtl/>
        </w:rPr>
        <w:t>ّ</w:t>
      </w:r>
      <w:r w:rsidRPr="00282AC9">
        <w:rPr>
          <w:rFonts w:ascii="Simplified Arabic" w:hAnsi="Simplified Arabic" w:hint="cs"/>
          <w:sz w:val="27"/>
          <w:rtl/>
        </w:rPr>
        <w:t>ام وم</w:t>
      </w:r>
      <w:r w:rsidR="009F2F7E" w:rsidRPr="00282AC9">
        <w:rPr>
          <w:rFonts w:ascii="Simplified Arabic" w:hAnsi="Simplified Arabic" w:hint="cs"/>
          <w:sz w:val="27"/>
          <w:rtl/>
        </w:rPr>
        <w:t>َ</w:t>
      </w:r>
      <w:r w:rsidRPr="00282AC9">
        <w:rPr>
          <w:rFonts w:ascii="Simplified Arabic" w:hAnsi="Simplified Arabic" w:hint="cs"/>
          <w:sz w:val="27"/>
          <w:rtl/>
        </w:rPr>
        <w:t>ن</w:t>
      </w:r>
      <w:r w:rsidR="009F2F7E" w:rsidRPr="00282AC9">
        <w:rPr>
          <w:rFonts w:ascii="Simplified Arabic" w:hAnsi="Simplified Arabic" w:hint="cs"/>
          <w:sz w:val="27"/>
          <w:rtl/>
        </w:rPr>
        <w:t>ْ</w:t>
      </w:r>
      <w:r w:rsidRPr="00282AC9">
        <w:rPr>
          <w:rFonts w:ascii="Simplified Arabic" w:hAnsi="Simplified Arabic" w:hint="cs"/>
          <w:sz w:val="27"/>
          <w:rtl/>
        </w:rPr>
        <w:t xml:space="preserve"> لف</w:t>
      </w:r>
      <w:r w:rsidR="009F2F7E" w:rsidRPr="00282AC9">
        <w:rPr>
          <w:rFonts w:ascii="Simplified Arabic" w:hAnsi="Simplified Arabic" w:hint="cs"/>
          <w:sz w:val="27"/>
          <w:rtl/>
        </w:rPr>
        <w:t>َّ</w:t>
      </w:r>
      <w:r w:rsidRPr="00282AC9">
        <w:rPr>
          <w:rFonts w:ascii="Simplified Arabic" w:hAnsi="Simplified Arabic" w:hint="cs"/>
          <w:sz w:val="27"/>
          <w:rtl/>
        </w:rPr>
        <w:t xml:space="preserve"> لفيفهم</w:t>
      </w:r>
      <w:r w:rsidR="009F2F7E" w:rsidRPr="00282AC9">
        <w:rPr>
          <w:rFonts w:ascii="Simplified Arabic" w:hAnsi="Simplified Arabic" w:hint="cs"/>
          <w:sz w:val="27"/>
          <w:rtl/>
        </w:rPr>
        <w:t>.</w:t>
      </w:r>
      <w:r w:rsidRPr="00282AC9">
        <w:rPr>
          <w:rFonts w:ascii="Simplified Arabic" w:hAnsi="Simplified Arabic"/>
          <w:sz w:val="27"/>
          <w:rtl/>
        </w:rPr>
        <w:t xml:space="preserve"> وقد عكست تلك ال</w:t>
      </w:r>
      <w:r w:rsidRPr="00282AC9">
        <w:rPr>
          <w:rFonts w:ascii="Simplified Arabic" w:hAnsi="Simplified Arabic" w:hint="cs"/>
          <w:sz w:val="27"/>
          <w:rtl/>
        </w:rPr>
        <w:t>إ</w:t>
      </w:r>
      <w:r w:rsidRPr="00282AC9">
        <w:rPr>
          <w:rFonts w:ascii="Simplified Arabic" w:hAnsi="Simplified Arabic"/>
          <w:sz w:val="27"/>
          <w:rtl/>
        </w:rPr>
        <w:t>نفاقات الهائلة</w:t>
      </w:r>
      <w:r w:rsidRPr="00282AC9">
        <w:rPr>
          <w:rFonts w:ascii="Simplified Arabic" w:hAnsi="Simplified Arabic" w:hint="cs"/>
          <w:sz w:val="27"/>
          <w:rtl/>
        </w:rPr>
        <w:t xml:space="preserve"> حالة</w:t>
      </w:r>
      <w:r w:rsidRPr="00282AC9">
        <w:rPr>
          <w:rFonts w:ascii="Simplified Arabic" w:hAnsi="Simplified Arabic"/>
          <w:sz w:val="27"/>
          <w:rtl/>
        </w:rPr>
        <w:t xml:space="preserve"> </w:t>
      </w:r>
      <w:r w:rsidRPr="00282AC9">
        <w:rPr>
          <w:rFonts w:ascii="Simplified Arabic" w:hAnsi="Simplified Arabic" w:hint="cs"/>
          <w:sz w:val="27"/>
          <w:rtl/>
        </w:rPr>
        <w:t>جنون الب</w:t>
      </w:r>
      <w:r w:rsidR="009F2F7E" w:rsidRPr="00282AC9">
        <w:rPr>
          <w:rFonts w:ascii="Simplified Arabic" w:hAnsi="Simplified Arabic" w:hint="cs"/>
          <w:sz w:val="27"/>
          <w:rtl/>
        </w:rPr>
        <w:t>َ</w:t>
      </w:r>
      <w:r w:rsidRPr="00282AC9">
        <w:rPr>
          <w:rFonts w:ascii="Simplified Arabic" w:hAnsi="Simplified Arabic" w:hint="cs"/>
          <w:sz w:val="27"/>
          <w:rtl/>
        </w:rPr>
        <w:t>ذ</w:t>
      </w:r>
      <w:r w:rsidR="009F2F7E" w:rsidRPr="00282AC9">
        <w:rPr>
          <w:rFonts w:ascii="Simplified Arabic" w:hAnsi="Simplified Arabic" w:hint="cs"/>
          <w:sz w:val="27"/>
          <w:rtl/>
        </w:rPr>
        <w:t>ْ</w:t>
      </w:r>
      <w:r w:rsidRPr="00282AC9">
        <w:rPr>
          <w:rFonts w:ascii="Simplified Arabic" w:hAnsi="Simplified Arabic" w:hint="cs"/>
          <w:sz w:val="27"/>
          <w:rtl/>
        </w:rPr>
        <w:t>خ وال</w:t>
      </w:r>
      <w:r w:rsidRPr="00282AC9">
        <w:rPr>
          <w:rFonts w:ascii="Simplified Arabic" w:hAnsi="Simplified Arabic"/>
          <w:sz w:val="27"/>
          <w:rtl/>
        </w:rPr>
        <w:t>ت</w:t>
      </w:r>
      <w:r w:rsidR="009F2F7E" w:rsidRPr="00282AC9">
        <w:rPr>
          <w:rFonts w:ascii="Simplified Arabic" w:hAnsi="Simplified Arabic" w:hint="cs"/>
          <w:sz w:val="27"/>
          <w:rtl/>
        </w:rPr>
        <w:t>َّ</w:t>
      </w:r>
      <w:r w:rsidRPr="00282AC9">
        <w:rPr>
          <w:rFonts w:ascii="Simplified Arabic" w:hAnsi="Simplified Arabic"/>
          <w:sz w:val="27"/>
          <w:rtl/>
        </w:rPr>
        <w:t>ر</w:t>
      </w:r>
      <w:r w:rsidR="009F2F7E" w:rsidRPr="00282AC9">
        <w:rPr>
          <w:rFonts w:ascii="Simplified Arabic" w:hAnsi="Simplified Arabic" w:hint="cs"/>
          <w:sz w:val="27"/>
          <w:rtl/>
        </w:rPr>
        <w:t>َ</w:t>
      </w:r>
      <w:r w:rsidRPr="00282AC9">
        <w:rPr>
          <w:rFonts w:ascii="Simplified Arabic" w:hAnsi="Simplified Arabic"/>
          <w:sz w:val="27"/>
          <w:rtl/>
        </w:rPr>
        <w:t>ف</w:t>
      </w:r>
      <w:r w:rsidR="009F2F7E" w:rsidRPr="00282AC9">
        <w:rPr>
          <w:rFonts w:ascii="Simplified Arabic" w:hAnsi="Simplified Arabic" w:hint="cs"/>
          <w:sz w:val="27"/>
          <w:rtl/>
        </w:rPr>
        <w:t>،</w:t>
      </w:r>
      <w:r w:rsidRPr="00282AC9">
        <w:rPr>
          <w:rFonts w:ascii="Simplified Arabic" w:hAnsi="Simplified Arabic" w:hint="cs"/>
          <w:sz w:val="27"/>
          <w:rtl/>
        </w:rPr>
        <w:t xml:space="preserve"> الذي عاشته</w:t>
      </w:r>
      <w:r w:rsidRPr="00282AC9">
        <w:rPr>
          <w:rFonts w:ascii="Simplified Arabic" w:hAnsi="Simplified Arabic"/>
          <w:sz w:val="27"/>
          <w:rtl/>
        </w:rPr>
        <w:t xml:space="preserve"> بغداد في ذلك العصر</w:t>
      </w:r>
      <w:r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ورو</w:t>
      </w:r>
      <w:r w:rsidR="009F2F7E" w:rsidRPr="00282AC9">
        <w:rPr>
          <w:rFonts w:ascii="Simplified Arabic" w:hAnsi="Simplified Arabic" w:hint="cs"/>
          <w:sz w:val="27"/>
          <w:rtl/>
        </w:rPr>
        <w:t>َ</w:t>
      </w:r>
      <w:r w:rsidRPr="00282AC9">
        <w:rPr>
          <w:rFonts w:ascii="Simplified Arabic" w:hAnsi="Simplified Arabic" w:hint="cs"/>
          <w:sz w:val="27"/>
          <w:rtl/>
        </w:rPr>
        <w:t>ت</w:t>
      </w:r>
      <w:r w:rsidR="009F2F7E" w:rsidRPr="00282AC9">
        <w:rPr>
          <w:rFonts w:ascii="Simplified Arabic" w:hAnsi="Simplified Arabic" w:hint="cs"/>
          <w:sz w:val="27"/>
          <w:rtl/>
        </w:rPr>
        <w:t>ْ</w:t>
      </w:r>
      <w:r w:rsidRPr="00282AC9">
        <w:rPr>
          <w:rFonts w:ascii="Simplified Arabic" w:hAnsi="Simplified Arabic" w:hint="cs"/>
          <w:sz w:val="27"/>
          <w:rtl/>
        </w:rPr>
        <w:t>ه حكايا و</w:t>
      </w:r>
      <w:r w:rsidRPr="00282AC9">
        <w:rPr>
          <w:rFonts w:ascii="Simplified Arabic" w:hAnsi="Simplified Arabic"/>
          <w:sz w:val="27"/>
          <w:rtl/>
        </w:rPr>
        <w:t>قصص (ألف ليلة وليلة)</w:t>
      </w:r>
      <w:r w:rsidR="009F2F7E" w:rsidRPr="00282AC9">
        <w:rPr>
          <w:rFonts w:ascii="Simplified Arabic" w:hAnsi="Simplified Arabic" w:hint="cs"/>
          <w:sz w:val="27"/>
          <w:rtl/>
        </w:rPr>
        <w:t>،</w:t>
      </w:r>
      <w:r w:rsidRPr="00282AC9">
        <w:rPr>
          <w:rFonts w:ascii="Simplified Arabic" w:hAnsi="Simplified Arabic"/>
          <w:sz w:val="27"/>
          <w:rtl/>
        </w:rPr>
        <w:t xml:space="preserve"> التي مثّ</w:t>
      </w:r>
      <w:r w:rsidR="009F2F7E" w:rsidRPr="00282AC9">
        <w:rPr>
          <w:rFonts w:ascii="Simplified Arabic" w:hAnsi="Simplified Arabic" w:hint="cs"/>
          <w:sz w:val="27"/>
          <w:rtl/>
        </w:rPr>
        <w:t>َ</w:t>
      </w:r>
      <w:r w:rsidRPr="00282AC9">
        <w:rPr>
          <w:rFonts w:ascii="Simplified Arabic" w:hAnsi="Simplified Arabic"/>
          <w:sz w:val="27"/>
          <w:rtl/>
        </w:rPr>
        <w:t>لت حياة الل</w:t>
      </w:r>
      <w:r w:rsidR="009F2F7E" w:rsidRPr="00282AC9">
        <w:rPr>
          <w:rFonts w:ascii="Simplified Arabic" w:hAnsi="Simplified Arabic" w:hint="cs"/>
          <w:sz w:val="27"/>
          <w:rtl/>
        </w:rPr>
        <w:t>َّ</w:t>
      </w:r>
      <w:r w:rsidRPr="00282AC9">
        <w:rPr>
          <w:rFonts w:ascii="Simplified Arabic" w:hAnsi="Simplified Arabic"/>
          <w:sz w:val="27"/>
          <w:rtl/>
        </w:rPr>
        <w:t>ه</w:t>
      </w:r>
      <w:r w:rsidR="009F2F7E" w:rsidRPr="00282AC9">
        <w:rPr>
          <w:rFonts w:ascii="Simplified Arabic" w:hAnsi="Simplified Arabic" w:hint="cs"/>
          <w:sz w:val="27"/>
          <w:rtl/>
        </w:rPr>
        <w:t>ْ</w:t>
      </w:r>
      <w:r w:rsidRPr="00282AC9">
        <w:rPr>
          <w:rFonts w:ascii="Simplified Arabic" w:hAnsi="Simplified Arabic"/>
          <w:sz w:val="27"/>
          <w:rtl/>
        </w:rPr>
        <w:t>و</w:t>
      </w:r>
      <w:r w:rsidRPr="00282AC9">
        <w:rPr>
          <w:rFonts w:ascii="Simplified Arabic" w:hAnsi="Simplified Arabic" w:hint="cs"/>
          <w:sz w:val="27"/>
          <w:rtl/>
        </w:rPr>
        <w:t xml:space="preserve"> والغ</w:t>
      </w:r>
      <w:r w:rsidR="009F2F7E" w:rsidRPr="00282AC9">
        <w:rPr>
          <w:rFonts w:ascii="Simplified Arabic" w:hAnsi="Simplified Arabic" w:hint="cs"/>
          <w:sz w:val="27"/>
          <w:rtl/>
        </w:rPr>
        <w:t>َ</w:t>
      </w:r>
      <w:r w:rsidRPr="00282AC9">
        <w:rPr>
          <w:rFonts w:ascii="Simplified Arabic" w:hAnsi="Simplified Arabic" w:hint="cs"/>
          <w:sz w:val="27"/>
          <w:rtl/>
        </w:rPr>
        <w:t>ر</w:t>
      </w:r>
      <w:r w:rsidR="009F2F7E" w:rsidRPr="00282AC9">
        <w:rPr>
          <w:rFonts w:ascii="Simplified Arabic" w:hAnsi="Simplified Arabic" w:hint="cs"/>
          <w:sz w:val="27"/>
          <w:rtl/>
        </w:rPr>
        <w:t>َ</w:t>
      </w:r>
      <w:r w:rsidRPr="00282AC9">
        <w:rPr>
          <w:rFonts w:ascii="Simplified Arabic" w:hAnsi="Simplified Arabic" w:hint="cs"/>
          <w:sz w:val="27"/>
          <w:rtl/>
        </w:rPr>
        <w:t>ق في الشهوات.</w:t>
      </w:r>
      <w:r w:rsidRPr="00282AC9">
        <w:rPr>
          <w:rFonts w:hint="cs"/>
          <w:sz w:val="27"/>
          <w:rtl/>
        </w:rPr>
        <w:t xml:space="preserve"> </w:t>
      </w:r>
    </w:p>
    <w:p w:rsidR="007359AA" w:rsidRPr="00282AC9" w:rsidRDefault="007359AA" w:rsidP="00367C53">
      <w:pPr>
        <w:pStyle w:val="18"/>
        <w:widowControl w:val="0"/>
        <w:spacing w:line="406"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lastRenderedPageBreak/>
        <w:t>لقد كان من الطبيعي</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جد</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 أن توجد هذه السياسات الظالمة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09"/>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ـ التي انتهجها ح</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ام العصر العب</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اسي</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0"/>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ـ حالة</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ضاغطة من البؤس والحرمان والفقر والجوع على الفرد والمجتمع ككل</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أد</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محص</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لتها النهائية (المأساوية) إلى ه</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 طاقات الأم</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Pr="00282AC9">
        <w:rPr>
          <w:rFonts w:ascii="Simplified Arabic" w:hAnsi="Simplified Arabic" w:cs="AL-Mohanad" w:hint="cs"/>
          <w:bCs w:val="0"/>
          <w:color w:val="auto"/>
          <w:sz w:val="27"/>
          <w:szCs w:val="27"/>
          <w:rtl/>
        </w:rPr>
        <w:t xml:space="preserve"> وثرواتها وقدراتها</w:t>
      </w:r>
      <w:r w:rsidRPr="00282AC9">
        <w:rPr>
          <w:rFonts w:ascii="Simplified Arabic" w:hAnsi="Simplified Arabic" w:cs="AL-Mohanad"/>
          <w:bCs w:val="0"/>
          <w:color w:val="auto"/>
          <w:sz w:val="27"/>
          <w:szCs w:val="27"/>
          <w:rtl/>
        </w:rPr>
        <w:t xml:space="preserve"> وذخائرها المعنوي</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والماد</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وإساءة استخدام وسائل الحكم وإدارة شؤون الناس في داخل الأم</w:t>
      </w:r>
      <w:r w:rsidR="009F2F7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وخارجها.</w:t>
      </w:r>
    </w:p>
    <w:p w:rsidR="00D47E7C" w:rsidRPr="00282AC9" w:rsidRDefault="00D47E7C" w:rsidP="00D47E7C">
      <w:pPr>
        <w:spacing w:line="420" w:lineRule="exact"/>
        <w:rPr>
          <w:sz w:val="27"/>
          <w:rtl/>
        </w:rPr>
      </w:pPr>
    </w:p>
    <w:p w:rsidR="007359AA" w:rsidRPr="00282AC9" w:rsidRDefault="00B72883" w:rsidP="00B72883">
      <w:pPr>
        <w:pStyle w:val="31"/>
        <w:rPr>
          <w:b/>
          <w:color w:val="auto"/>
          <w:rtl/>
        </w:rPr>
      </w:pPr>
      <w:r w:rsidRPr="00282AC9">
        <w:rPr>
          <w:rFonts w:hint="cs"/>
          <w:color w:val="auto"/>
          <w:rtl/>
        </w:rPr>
        <w:t>3ـ</w:t>
      </w:r>
      <w:r w:rsidR="007359AA" w:rsidRPr="00282AC9">
        <w:rPr>
          <w:color w:val="auto"/>
          <w:rtl/>
        </w:rPr>
        <w:t xml:space="preserve"> انتشار الثورات والانتفاضات</w:t>
      </w:r>
      <w:r w:rsidR="007359AA" w:rsidRPr="00282AC9">
        <w:rPr>
          <w:rFonts w:hint="cs"/>
          <w:color w:val="auto"/>
          <w:rtl/>
        </w:rPr>
        <w:t xml:space="preserve"> </w:t>
      </w:r>
      <w:r w:rsidR="007359AA" w:rsidRPr="00282AC9">
        <w:rPr>
          <w:color w:val="auto"/>
          <w:rtl/>
        </w:rPr>
        <w:t>(</w:t>
      </w:r>
      <w:r w:rsidRPr="00282AC9">
        <w:rPr>
          <w:rFonts w:hint="cs"/>
          <w:color w:val="auto"/>
          <w:rtl/>
        </w:rPr>
        <w:t>من</w:t>
      </w:r>
      <w:r w:rsidR="007359AA" w:rsidRPr="00282AC9">
        <w:rPr>
          <w:color w:val="auto"/>
          <w:rtl/>
        </w:rPr>
        <w:t xml:space="preserve"> مظاهر التفرقة والتنابذ والصراع السياسي)</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استمر</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العب</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اسيون في اعتماد الوسائل والطرق السياسية والاجتماعية القاسية والظالمة نفسها التي ات</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بعها أسلافهم الأموي</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ون</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1"/>
      </w:r>
      <w:r w:rsidRPr="00282AC9">
        <w:rPr>
          <w:rFonts w:ascii="Simplified Arabic" w:hAnsi="Simplified Arabic" w:cs="AL-Mohanad"/>
          <w:bCs w:val="0"/>
          <w:color w:val="auto"/>
          <w:sz w:val="27"/>
          <w:szCs w:val="27"/>
          <w:vertAlign w:val="superscript"/>
          <w:rtl/>
        </w:rPr>
        <w:t>)</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من أجل تثبيت م</w:t>
      </w:r>
      <w:r w:rsidR="00E82C4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w:t>
      </w:r>
      <w:r w:rsidR="00E82C4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كهم العضوض وزعامتهم على رأس السلطة</w:t>
      </w:r>
      <w:r w:rsidRPr="00282AC9">
        <w:rPr>
          <w:rFonts w:ascii="Simplified Arabic" w:hAnsi="Simplified Arabic" w:cs="AL-Mohanad" w:hint="cs"/>
          <w:bCs w:val="0"/>
          <w:color w:val="auto"/>
          <w:sz w:val="27"/>
          <w:szCs w:val="27"/>
          <w:rtl/>
        </w:rPr>
        <w:t xml:space="preserve"> والحكم</w:t>
      </w:r>
      <w:r w:rsidRPr="00282AC9">
        <w:rPr>
          <w:rFonts w:ascii="Simplified Arabic" w:hAnsi="Simplified Arabic" w:cs="AL-Mohanad"/>
          <w:bCs w:val="0"/>
          <w:color w:val="auto"/>
          <w:sz w:val="27"/>
          <w:szCs w:val="27"/>
          <w:rtl/>
        </w:rPr>
        <w:t>، لا</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 xml:space="preserve">بل </w:t>
      </w:r>
      <w:r w:rsidRPr="00282AC9">
        <w:rPr>
          <w:rFonts w:ascii="Simplified Arabic" w:hAnsi="Simplified Arabic" w:cs="AL-Mohanad" w:hint="cs"/>
          <w:bCs w:val="0"/>
          <w:color w:val="auto"/>
          <w:sz w:val="27"/>
          <w:szCs w:val="27"/>
          <w:rtl/>
        </w:rPr>
        <w:t>يمكن القول</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w:t>
      </w:r>
      <w:r w:rsidR="00C8673B" w:rsidRPr="00282AC9">
        <w:rPr>
          <w:rFonts w:ascii="Simplified Arabic" w:hAnsi="Simplified Arabic" w:cs="AL-Mohanad" w:hint="cs"/>
          <w:bCs w:val="0"/>
          <w:color w:val="auto"/>
          <w:sz w:val="27"/>
          <w:szCs w:val="27"/>
          <w:rtl/>
        </w:rPr>
        <w:t>إ</w:t>
      </w:r>
      <w:r w:rsidRPr="00282AC9">
        <w:rPr>
          <w:rFonts w:ascii="Simplified Arabic" w:hAnsi="Simplified Arabic" w:cs="AL-Mohanad" w:hint="cs"/>
          <w:bCs w:val="0"/>
          <w:color w:val="auto"/>
          <w:sz w:val="27"/>
          <w:szCs w:val="27"/>
          <w:rtl/>
        </w:rPr>
        <w:t>نهم (أي بني العب</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اس) </w:t>
      </w:r>
      <w:r w:rsidRPr="00282AC9">
        <w:rPr>
          <w:rFonts w:ascii="Simplified Arabic" w:hAnsi="Simplified Arabic" w:cs="AL-Mohanad"/>
          <w:bCs w:val="0"/>
          <w:color w:val="auto"/>
          <w:sz w:val="27"/>
          <w:szCs w:val="27"/>
          <w:rtl/>
        </w:rPr>
        <w:t>تفو</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ق</w:t>
      </w:r>
      <w:r w:rsidRPr="00282AC9">
        <w:rPr>
          <w:rFonts w:ascii="Simplified Arabic" w:hAnsi="Simplified Arabic" w:cs="AL-Mohanad" w:hint="cs"/>
          <w:bCs w:val="0"/>
          <w:color w:val="auto"/>
          <w:sz w:val="27"/>
          <w:szCs w:val="27"/>
          <w:rtl/>
        </w:rPr>
        <w:t>وا</w:t>
      </w:r>
      <w:r w:rsidRPr="00282AC9">
        <w:rPr>
          <w:rFonts w:ascii="Simplified Arabic" w:hAnsi="Simplified Arabic" w:cs="AL-Mohanad"/>
          <w:bCs w:val="0"/>
          <w:color w:val="auto"/>
          <w:sz w:val="27"/>
          <w:szCs w:val="27"/>
          <w:rtl/>
        </w:rPr>
        <w:t xml:space="preserve"> على الأمويين ـ في </w:t>
      </w:r>
      <w:r w:rsidRPr="00282AC9">
        <w:rPr>
          <w:rFonts w:ascii="Simplified Arabic" w:hAnsi="Simplified Arabic" w:cs="AL-Mohanad" w:hint="cs"/>
          <w:bCs w:val="0"/>
          <w:color w:val="auto"/>
          <w:sz w:val="27"/>
          <w:szCs w:val="27"/>
          <w:rtl/>
        </w:rPr>
        <w:t>ا</w:t>
      </w:r>
      <w:r w:rsidR="00C8673B" w:rsidRPr="00282AC9">
        <w:rPr>
          <w:rFonts w:ascii="Simplified Arabic" w:hAnsi="Simplified Arabic" w:cs="AL-Mohanad" w:hint="cs"/>
          <w:bCs w:val="0"/>
          <w:color w:val="auto"/>
          <w:sz w:val="27"/>
          <w:szCs w:val="27"/>
          <w:rtl/>
        </w:rPr>
        <w:t>تّ</w:t>
      </w:r>
      <w:r w:rsidRPr="00282AC9">
        <w:rPr>
          <w:rFonts w:ascii="Simplified Arabic" w:hAnsi="Simplified Arabic" w:cs="AL-Mohanad" w:hint="cs"/>
          <w:bCs w:val="0"/>
          <w:color w:val="auto"/>
          <w:sz w:val="27"/>
          <w:szCs w:val="27"/>
          <w:rtl/>
        </w:rPr>
        <w:t xml:space="preserve">باع مختلف </w:t>
      </w:r>
      <w:r w:rsidRPr="00282AC9">
        <w:rPr>
          <w:rFonts w:ascii="Simplified Arabic" w:hAnsi="Simplified Arabic" w:cs="AL-Mohanad"/>
          <w:bCs w:val="0"/>
          <w:color w:val="auto"/>
          <w:sz w:val="27"/>
          <w:szCs w:val="27"/>
          <w:rtl/>
        </w:rPr>
        <w:t>أساليب وصنوف العذاب والظلم ـ أضعافاً مضاعفة، حت</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ى وصل الأمر بالناس </w:t>
      </w:r>
      <w:r w:rsidR="00C8673B" w:rsidRPr="00282AC9">
        <w:rPr>
          <w:rFonts w:ascii="Simplified Arabic" w:hAnsi="Simplified Arabic" w:cs="AL-Mohanad" w:hint="cs"/>
          <w:bCs w:val="0"/>
          <w:color w:val="auto"/>
          <w:sz w:val="27"/>
          <w:szCs w:val="27"/>
          <w:rtl/>
        </w:rPr>
        <w:t xml:space="preserve">إلى </w:t>
      </w:r>
      <w:r w:rsidRPr="00282AC9">
        <w:rPr>
          <w:rFonts w:ascii="Simplified Arabic" w:hAnsi="Simplified Arabic" w:cs="AL-Mohanad"/>
          <w:bCs w:val="0"/>
          <w:color w:val="auto"/>
          <w:sz w:val="27"/>
          <w:szCs w:val="27"/>
          <w:rtl/>
        </w:rPr>
        <w:t>أنهم كانوا يتمن</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ون عودة الحكم الأموي</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على ما فيه من ويلات</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ومآس</w:t>
      </w:r>
      <w:r w:rsidRPr="00282AC9">
        <w:rPr>
          <w:rFonts w:ascii="Simplified Arabic" w:hAnsi="Simplified Arabic" w:cs="AL-Mohanad" w:hint="cs"/>
          <w:bCs w:val="0"/>
          <w:color w:val="auto"/>
          <w:sz w:val="27"/>
          <w:szCs w:val="27"/>
          <w:rtl/>
        </w:rPr>
        <w:t>ٍ</w:t>
      </w:r>
      <w:r w:rsidR="00C8673B" w:rsidRPr="00282AC9">
        <w:rPr>
          <w:rFonts w:ascii="Simplified Arabic" w:hAnsi="Simplified Arabic" w:cs="AL-Mohanad" w:hint="cs"/>
          <w:bCs w:val="0"/>
          <w:color w:val="auto"/>
          <w:sz w:val="27"/>
          <w:szCs w:val="27"/>
          <w:rtl/>
        </w:rPr>
        <w:t>!</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 xml:space="preserve">ومن المعروف ـ بالنسبة </w:t>
      </w:r>
      <w:r w:rsidR="00C8673B" w:rsidRPr="00282AC9">
        <w:rPr>
          <w:rFonts w:ascii="Simplified Arabic" w:hAnsi="Simplified Arabic" w:cs="AL-Mohanad" w:hint="cs"/>
          <w:bCs w:val="0"/>
          <w:color w:val="auto"/>
          <w:sz w:val="27"/>
          <w:szCs w:val="27"/>
          <w:rtl/>
        </w:rPr>
        <w:t>إلى ا</w:t>
      </w:r>
      <w:r w:rsidRPr="00282AC9">
        <w:rPr>
          <w:rFonts w:ascii="Simplified Arabic" w:hAnsi="Simplified Arabic" w:cs="AL-Mohanad"/>
          <w:bCs w:val="0"/>
          <w:color w:val="auto"/>
          <w:sz w:val="27"/>
          <w:szCs w:val="27"/>
          <w:rtl/>
        </w:rPr>
        <w:t xml:space="preserve">لجميع ـ أن تلك السياسات </w:t>
      </w:r>
      <w:r w:rsidRPr="00282AC9">
        <w:rPr>
          <w:rFonts w:ascii="Simplified Arabic" w:hAnsi="Simplified Arabic" w:cs="AL-Mohanad" w:hint="cs"/>
          <w:bCs w:val="0"/>
          <w:color w:val="auto"/>
          <w:sz w:val="27"/>
          <w:szCs w:val="27"/>
          <w:rtl/>
        </w:rPr>
        <w:t xml:space="preserve">الفوقية </w:t>
      </w:r>
      <w:r w:rsidRPr="00282AC9">
        <w:rPr>
          <w:rFonts w:ascii="Simplified Arabic" w:hAnsi="Simplified Arabic" w:cs="AL-Mohanad"/>
          <w:bCs w:val="0"/>
          <w:color w:val="auto"/>
          <w:sz w:val="27"/>
          <w:szCs w:val="27"/>
          <w:rtl/>
        </w:rPr>
        <w:t>الظالمة قد أد</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إلى إحداث فتن اجتماعية</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وتوت</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رات دينية وسياسية، أس</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(بحكم قو</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مراكزها</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وات</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ساع نفوذ أقطابها) مواقع</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تنظيمي</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لحركة العنف والصراع والتنابذ السياسي في الأم</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وبالتالي أجبرت الناس ودفع</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هم إلى حمل السلاح</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وسلوك طريق الدم والعنف، وإعلان الثورات، والدفاع عن الحق</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ضد</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النظام الحاكم</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2"/>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بشرعي</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القو</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والنار</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3"/>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ولعل</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ما ورد من كلام</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على لسان ابن أبي ذؤيب ـ في إجابته </w:t>
      </w:r>
      <w:r w:rsidR="00C8673B" w:rsidRPr="00282AC9">
        <w:rPr>
          <w:rFonts w:ascii="Simplified Arabic" w:hAnsi="Simplified Arabic" w:cs="AL-Mohanad" w:hint="cs"/>
          <w:bCs w:val="0"/>
          <w:color w:val="auto"/>
          <w:sz w:val="27"/>
          <w:szCs w:val="27"/>
          <w:rtl/>
        </w:rPr>
        <w:t>عن</w:t>
      </w:r>
      <w:r w:rsidRPr="00282AC9">
        <w:rPr>
          <w:rFonts w:ascii="Simplified Arabic" w:hAnsi="Simplified Arabic" w:cs="AL-Mohanad"/>
          <w:bCs w:val="0"/>
          <w:color w:val="auto"/>
          <w:sz w:val="27"/>
          <w:szCs w:val="27"/>
          <w:rtl/>
        </w:rPr>
        <w:t xml:space="preserve"> سؤال المنصور الدوانيقي: أي</w:t>
      </w:r>
      <w:r w:rsidR="00C8673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الرجال أنا؟‍‍‍‍‍‍‍‍‍‍‍‍‍ ـ يمكن أن يكون كافياً لتصوير حالة التوت</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 والضغط الذي كان يرزح تحتها أبناء المجتمع في العهد العب</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اسي</w:t>
      </w:r>
      <w:r w:rsidR="0065276B" w:rsidRPr="00282AC9">
        <w:rPr>
          <w:rFonts w:ascii="Simplified Arabic" w:hAnsi="Simplified Arabic" w:cs="AL-Mohanad"/>
          <w:bCs w:val="0"/>
          <w:color w:val="auto"/>
          <w:sz w:val="27"/>
          <w:szCs w:val="27"/>
          <w:rtl/>
        </w:rPr>
        <w:t>. فها</w:t>
      </w:r>
      <w:r w:rsidR="0065276B"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 xml:space="preserve">هو يقول للمنصور: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أنتَ والله عندي شر</w:t>
      </w:r>
      <w:r w:rsidRPr="00282AC9">
        <w:rPr>
          <w:rFonts w:ascii="Simplified Arabic" w:hAnsi="Simplified Arabic" w:cs="AL-Mohanad" w:hint="cs"/>
          <w:bCs w:val="0"/>
          <w:color w:val="auto"/>
          <w:sz w:val="27"/>
          <w:szCs w:val="27"/>
          <w:rtl/>
        </w:rPr>
        <w:t>ّ</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الرجال، استأث</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بمال الله ورسوله، وس</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 ذوي القربى واليتامى والمساكين، وأهلك</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الضعيف</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وات</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بع</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القوي</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وأمسك</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 أموالهم</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4"/>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وقد سبق لهذا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المنصور</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 xml:space="preserve"> أن اد</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عى لنفسه حق</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التصر</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 المطلق ب</w:t>
      </w:r>
      <w:r w:rsidR="0065276B" w:rsidRPr="00282AC9">
        <w:rPr>
          <w:rFonts w:ascii="Simplified Arabic" w:hAnsi="Simplified Arabic" w:cs="AL-Mohanad"/>
          <w:bCs w:val="0"/>
          <w:color w:val="auto"/>
          <w:sz w:val="27"/>
          <w:szCs w:val="27"/>
          <w:rtl/>
        </w:rPr>
        <w:t>العباد والبلاد، واعتبر نفسه ظلا</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لله على الأرض. يقول: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أيها الناس</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إنّما أنا سلطان الله في أرضه، أسوسكم بتوفيقه </w:t>
      </w:r>
      <w:r w:rsidRPr="00282AC9">
        <w:rPr>
          <w:rFonts w:ascii="Simplified Arabic" w:hAnsi="Simplified Arabic" w:cs="AL-Mohanad"/>
          <w:bCs w:val="0"/>
          <w:color w:val="auto"/>
          <w:sz w:val="27"/>
          <w:szCs w:val="27"/>
          <w:rtl/>
        </w:rPr>
        <w:lastRenderedPageBreak/>
        <w:t>وتسديده، وأنا خازنه على ف</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ئه</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أعملُ بمشيئته، وأقسمه بإرادته، وأعطيه بإذنه، قد جعلني الله عليه قفلاً</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إذا شاء أن يفتحني فتحني، وإذا شاء أن يقفلني قفلني</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5"/>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وعلى المنوال نفسه سار الهادي وهارون</w:t>
      </w:r>
      <w:r w:rsidR="0065276B"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(الرشيد)، وعهد في حياته لولاية العهد، وتقسيم السلطنة والملك بين أولاده الأمين والمأمون والقاسم، وجعل الخلافة بينهم الواحد تلو الآخر، وحد</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 لكل</w:t>
      </w:r>
      <w:r w:rsidR="0065276B"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منهم دائرة نشاطه وحكمه الراهن والمستقبلي، فأعطى الأمين ولاية العراق والشام والمغرب، وأعطى المأمون من همدان حت</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ى آخر المشرق، أما القاسم فكان نصيبه الجزيرة والثغور والعواصم</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6"/>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أما المأمون</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7"/>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ـ الذي عاصره إمامنا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بشكل</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أساس ـ فقد اجتمع</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فيه صفات نفسي</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وسلوكية سلبي</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لا ح</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ص</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 لها</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الغدر والخيانة والقسوة وانعدام الرحمة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8"/>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ويكفيه ـ في هذا المجال ـ ما فعله بأخيه الأمين</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الذي انتهت حياته بالقتل على يد المأمون نفسه، إلى جانب اغتياله للإمام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ومقابلته للسادة العلوي</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ين بمنتهى الشد</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والقسوة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19"/>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ناهيك عم</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 ارتكبه من فظائع وويلات كثيرة بحق</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المجتمع والأمة ككل</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20"/>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7359AA" w:rsidRPr="00282AC9" w:rsidRDefault="007359AA" w:rsidP="00367C53">
      <w:pPr>
        <w:pStyle w:val="18"/>
        <w:widowControl w:val="0"/>
        <w:spacing w:line="406"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hint="cs"/>
          <w:bCs w:val="0"/>
          <w:color w:val="auto"/>
          <w:sz w:val="27"/>
          <w:szCs w:val="27"/>
          <w:rtl/>
        </w:rPr>
        <w:t>نعم</w:t>
      </w:r>
      <w:r w:rsidR="0065276B"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فقد </w:t>
      </w:r>
      <w:r w:rsidRPr="00282AC9">
        <w:rPr>
          <w:rFonts w:ascii="Simplified Arabic" w:hAnsi="Simplified Arabic" w:cs="AL-Mohanad"/>
          <w:bCs w:val="0"/>
          <w:color w:val="auto"/>
          <w:sz w:val="27"/>
          <w:szCs w:val="27"/>
          <w:rtl/>
        </w:rPr>
        <w:t>اعتاد المأمون على اتباع مختلف وسائل وأساليب التصفية والقتل المنظ</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 ضد</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كل</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شخص</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يشعر (المأمون طبعاً) بأنه يشك</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 خطراً على مصالحه وعرشه</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وقد رأ</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نا كيف قتل الفضل</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وبكى عليه. ثم</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قتل أخاه الأمين</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كما قلنا آنفاً</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w:t>
      </w:r>
      <w:r w:rsidRPr="00282AC9">
        <w:rPr>
          <w:rFonts w:ascii="Simplified Arabic" w:hAnsi="Simplified Arabic" w:cs="AL-Mohanad" w:hint="cs"/>
          <w:bCs w:val="0"/>
          <w:color w:val="auto"/>
          <w:sz w:val="27"/>
          <w:szCs w:val="27"/>
          <w:rtl/>
        </w:rPr>
        <w:t>من ثم</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ا</w:t>
      </w:r>
      <w:r w:rsidRPr="00282AC9">
        <w:rPr>
          <w:rFonts w:ascii="Simplified Arabic" w:hAnsi="Simplified Arabic" w:cs="AL-Mohanad"/>
          <w:bCs w:val="0"/>
          <w:color w:val="auto"/>
          <w:sz w:val="27"/>
          <w:szCs w:val="27"/>
          <w:rtl/>
        </w:rPr>
        <w:t>غتال 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21"/>
      </w:r>
      <w:r w:rsidRPr="00282AC9">
        <w:rPr>
          <w:rFonts w:ascii="Simplified Arabic" w:hAnsi="Simplified Arabic" w:cs="AL-Mohanad"/>
          <w:bCs w:val="0"/>
          <w:color w:val="auto"/>
          <w:sz w:val="27"/>
          <w:szCs w:val="27"/>
          <w:vertAlign w:val="superscript"/>
          <w:rtl/>
        </w:rPr>
        <w:t>)</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ثم</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r w:rsidRPr="00282AC9">
        <w:rPr>
          <w:rFonts w:ascii="Simplified Arabic" w:hAnsi="Simplified Arabic" w:cs="AL-Mohanad" w:hint="cs"/>
          <w:bCs w:val="0"/>
          <w:color w:val="auto"/>
          <w:sz w:val="27"/>
          <w:szCs w:val="27"/>
          <w:rtl/>
        </w:rPr>
        <w:t xml:space="preserve">تظاهر بالبكاء </w:t>
      </w:r>
      <w:r w:rsidRPr="00282AC9">
        <w:rPr>
          <w:rFonts w:ascii="Simplified Arabic" w:hAnsi="Simplified Arabic" w:cs="AL-Mohanad"/>
          <w:bCs w:val="0"/>
          <w:color w:val="auto"/>
          <w:sz w:val="27"/>
          <w:szCs w:val="27"/>
          <w:rtl/>
        </w:rPr>
        <w:t>بكاءً شديدا</w:t>
      </w:r>
      <w:r w:rsidRPr="00282AC9">
        <w:rPr>
          <w:rFonts w:ascii="Simplified Arabic" w:hAnsi="Simplified Arabic" w:cs="AL-Mohanad" w:hint="cs"/>
          <w:bCs w:val="0"/>
          <w:color w:val="auto"/>
          <w:sz w:val="27"/>
          <w:szCs w:val="27"/>
          <w:rtl/>
        </w:rPr>
        <w:t>ً</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w:t>
      </w:r>
      <w:r w:rsidR="00571CD3" w:rsidRPr="00282AC9">
        <w:rPr>
          <w:rFonts w:ascii="Simplified Arabic" w:hAnsi="Simplified Arabic" w:cs="AL-Mohanad" w:hint="cs"/>
          <w:bCs w:val="0"/>
          <w:color w:val="auto"/>
          <w:sz w:val="27"/>
          <w:szCs w:val="27"/>
          <w:rtl/>
        </w:rPr>
        <w:t>م</w:t>
      </w:r>
      <w:r w:rsidRPr="00282AC9">
        <w:rPr>
          <w:rFonts w:ascii="Simplified Arabic" w:hAnsi="Simplified Arabic" w:cs="AL-Mohanad"/>
          <w:bCs w:val="0"/>
          <w:color w:val="auto"/>
          <w:sz w:val="27"/>
          <w:szCs w:val="27"/>
          <w:rtl/>
        </w:rPr>
        <w:t>م</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 يدل</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على دهائه وم</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ره الشديدين. وبالرغم من كل</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ذلك فقد كان يطلب من الفضل باستمرار</w:t>
      </w:r>
      <w:r w:rsidR="00571C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أن يشيع عنه الزهد والتقوى والورع،</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ف</w:t>
      </w:r>
      <w:r w:rsidRPr="00282AC9">
        <w:rPr>
          <w:rFonts w:ascii="Simplified Arabic" w:hAnsi="Simplified Arabic" w:cs="AL-Mohanad" w:hint="cs"/>
          <w:bCs w:val="0"/>
          <w:color w:val="auto"/>
          <w:sz w:val="27"/>
          <w:szCs w:val="27"/>
          <w:rtl/>
        </w:rPr>
        <w:t>ي</w:t>
      </w:r>
      <w:r w:rsidRPr="00282AC9">
        <w:rPr>
          <w:rFonts w:ascii="Simplified Arabic" w:hAnsi="Simplified Arabic" w:cs="AL-Mohanad"/>
          <w:bCs w:val="0"/>
          <w:color w:val="auto"/>
          <w:sz w:val="27"/>
          <w:szCs w:val="27"/>
          <w:rtl/>
        </w:rPr>
        <w:t>فعل</w:t>
      </w:r>
      <w:r w:rsidRPr="00282AC9">
        <w:rPr>
          <w:rFonts w:ascii="Simplified Arabic" w:hAnsi="Simplified Arabic" w:cs="AL-Mohanad" w:hint="cs"/>
          <w:bCs w:val="0"/>
          <w:color w:val="auto"/>
          <w:sz w:val="27"/>
          <w:szCs w:val="27"/>
          <w:rtl/>
        </w:rPr>
        <w:t xml:space="preserve"> على الدوام</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22"/>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hint="cs"/>
          <w:bCs w:val="0"/>
          <w:color w:val="auto"/>
          <w:sz w:val="27"/>
          <w:szCs w:val="27"/>
          <w:rtl/>
        </w:rPr>
        <w:t>.</w:t>
      </w:r>
    </w:p>
    <w:p w:rsidR="00367C53" w:rsidRPr="00282AC9" w:rsidRDefault="00367C53" w:rsidP="00367C53">
      <w:pPr>
        <w:spacing w:line="420" w:lineRule="exact"/>
        <w:rPr>
          <w:sz w:val="27"/>
          <w:rtl/>
        </w:rPr>
      </w:pPr>
    </w:p>
    <w:p w:rsidR="006F08FE" w:rsidRPr="00282AC9" w:rsidRDefault="00B72883" w:rsidP="006F08FE">
      <w:pPr>
        <w:pStyle w:val="31"/>
        <w:rPr>
          <w:color w:val="auto"/>
          <w:rtl/>
        </w:rPr>
      </w:pPr>
      <w:r w:rsidRPr="00282AC9">
        <w:rPr>
          <w:rFonts w:hint="cs"/>
          <w:color w:val="auto"/>
          <w:rtl/>
        </w:rPr>
        <w:t>4ـ</w:t>
      </w:r>
      <w:r w:rsidR="00571CD3" w:rsidRPr="00282AC9">
        <w:rPr>
          <w:color w:val="auto"/>
          <w:rtl/>
        </w:rPr>
        <w:t xml:space="preserve"> شيوع</w:t>
      </w:r>
      <w:r w:rsidR="007359AA" w:rsidRPr="00282AC9">
        <w:rPr>
          <w:color w:val="auto"/>
          <w:rtl/>
        </w:rPr>
        <w:t xml:space="preserve"> الانحرافات الفكري</w:t>
      </w:r>
      <w:r w:rsidR="00571CD3" w:rsidRPr="00282AC9">
        <w:rPr>
          <w:rFonts w:hint="cs"/>
          <w:color w:val="auto"/>
          <w:rtl/>
        </w:rPr>
        <w:t>ّ</w:t>
      </w:r>
      <w:r w:rsidR="007359AA" w:rsidRPr="00282AC9">
        <w:rPr>
          <w:color w:val="auto"/>
          <w:rtl/>
        </w:rPr>
        <w:t>ة والعقائدي</w:t>
      </w:r>
      <w:r w:rsidR="00571CD3" w:rsidRPr="00282AC9">
        <w:rPr>
          <w:rFonts w:hint="cs"/>
          <w:color w:val="auto"/>
          <w:rtl/>
        </w:rPr>
        <w:t>ّ</w:t>
      </w:r>
      <w:r w:rsidR="007359AA" w:rsidRPr="00282AC9">
        <w:rPr>
          <w:color w:val="auto"/>
          <w:rtl/>
        </w:rPr>
        <w:t>ة</w:t>
      </w:r>
      <w:r w:rsidR="00E82C4D" w:rsidRPr="00282AC9">
        <w:rPr>
          <w:rFonts w:hint="cs"/>
          <w:color w:val="auto"/>
          <w:rtl/>
        </w:rPr>
        <w:t xml:space="preserve"> </w:t>
      </w:r>
      <w:r w:rsidR="00571CD3" w:rsidRPr="00282AC9">
        <w:rPr>
          <w:color w:val="auto"/>
          <w:rtl/>
        </w:rPr>
        <w:t>(انتشار مظاهر الت</w:t>
      </w:r>
      <w:r w:rsidR="007359AA" w:rsidRPr="00282AC9">
        <w:rPr>
          <w:color w:val="auto"/>
          <w:rtl/>
        </w:rPr>
        <w:t>حريف في المضامين الموضوعية الحي</w:t>
      </w:r>
      <w:r w:rsidR="00571CD3" w:rsidRPr="00282AC9">
        <w:rPr>
          <w:rFonts w:hint="cs"/>
          <w:color w:val="auto"/>
          <w:rtl/>
        </w:rPr>
        <w:t>ّ</w:t>
      </w:r>
      <w:r w:rsidR="007359AA" w:rsidRPr="00282AC9">
        <w:rPr>
          <w:color w:val="auto"/>
          <w:rtl/>
        </w:rPr>
        <w:t>ة للتجربة الإسلامية الصحيحة)</w:t>
      </w:r>
    </w:p>
    <w:p w:rsidR="00A82576" w:rsidRPr="00282AC9" w:rsidRDefault="007359AA" w:rsidP="00D47E7C">
      <w:pPr>
        <w:rPr>
          <w:rtl/>
        </w:rPr>
      </w:pPr>
      <w:r w:rsidRPr="00282AC9">
        <w:rPr>
          <w:rtl/>
        </w:rPr>
        <w:t>تحد</w:t>
      </w:r>
      <w:r w:rsidR="00571CD3" w:rsidRPr="00282AC9">
        <w:rPr>
          <w:rFonts w:hint="cs"/>
          <w:rtl/>
        </w:rPr>
        <w:t>َّ</w:t>
      </w:r>
      <w:r w:rsidRPr="00282AC9">
        <w:rPr>
          <w:rtl/>
        </w:rPr>
        <w:t>ثنا سابقاً عن بعض معالم عصر الإمام علي</w:t>
      </w:r>
      <w:r w:rsidR="00A82576" w:rsidRPr="00282AC9">
        <w:rPr>
          <w:rFonts w:hint="cs"/>
          <w:rtl/>
        </w:rPr>
        <w:t>ّ</w:t>
      </w:r>
      <w:r w:rsidRPr="00282AC9">
        <w:rPr>
          <w:rtl/>
        </w:rPr>
        <w:t xml:space="preserve"> الرضا</w:t>
      </w:r>
      <w:r w:rsidR="009A2A04" w:rsidRPr="00282AC9">
        <w:rPr>
          <w:rFonts w:cs="Mosawi"/>
          <w:szCs w:val="22"/>
          <w:rtl/>
        </w:rPr>
        <w:t>×</w:t>
      </w:r>
      <w:r w:rsidRPr="00282AC9">
        <w:rPr>
          <w:rtl/>
        </w:rPr>
        <w:t>، وذك</w:t>
      </w:r>
      <w:r w:rsidR="00A82576" w:rsidRPr="00282AC9">
        <w:rPr>
          <w:rFonts w:hint="cs"/>
          <w:rtl/>
        </w:rPr>
        <w:t>َ</w:t>
      </w:r>
      <w:r w:rsidRPr="00282AC9">
        <w:rPr>
          <w:rtl/>
        </w:rPr>
        <w:t>ر</w:t>
      </w:r>
      <w:r w:rsidR="00A82576" w:rsidRPr="00282AC9">
        <w:rPr>
          <w:rFonts w:hint="cs"/>
          <w:rtl/>
        </w:rPr>
        <w:t>ْ</w:t>
      </w:r>
      <w:r w:rsidRPr="00282AC9">
        <w:rPr>
          <w:rtl/>
        </w:rPr>
        <w:t>نا بأنه قد تمي</w:t>
      </w:r>
      <w:r w:rsidR="00A82576" w:rsidRPr="00282AC9">
        <w:rPr>
          <w:rFonts w:hint="cs"/>
          <w:rtl/>
        </w:rPr>
        <w:t>َّ</w:t>
      </w:r>
      <w:r w:rsidRPr="00282AC9">
        <w:rPr>
          <w:rtl/>
        </w:rPr>
        <w:t>ز بالانفتاح العلمي والتواصل الحضاري</w:t>
      </w:r>
      <w:r w:rsidRPr="00282AC9">
        <w:rPr>
          <w:vertAlign w:val="superscript"/>
          <w:rtl/>
        </w:rPr>
        <w:t>(</w:t>
      </w:r>
      <w:r w:rsidRPr="00282AC9">
        <w:rPr>
          <w:rStyle w:val="af9"/>
          <w:rFonts w:ascii="Simplified Arabic" w:hAnsi="Simplified Arabic"/>
          <w:sz w:val="27"/>
          <w:rtl/>
        </w:rPr>
        <w:endnoteReference w:id="923"/>
      </w:r>
      <w:r w:rsidRPr="00282AC9">
        <w:rPr>
          <w:vertAlign w:val="superscript"/>
          <w:rtl/>
        </w:rPr>
        <w:t>)</w:t>
      </w:r>
      <w:r w:rsidRPr="00282AC9">
        <w:rPr>
          <w:rtl/>
        </w:rPr>
        <w:t xml:space="preserve"> بين مختلف الثقافات والحضارات</w:t>
      </w:r>
      <w:r w:rsidR="00A82576" w:rsidRPr="00282AC9">
        <w:rPr>
          <w:rFonts w:hint="cs"/>
          <w:rtl/>
        </w:rPr>
        <w:t>،</w:t>
      </w:r>
      <w:r w:rsidR="00A82576" w:rsidRPr="00282AC9">
        <w:rPr>
          <w:rtl/>
        </w:rPr>
        <w:t xml:space="preserve"> الأمر الذي ساعد</w:t>
      </w:r>
      <w:r w:rsidRPr="00282AC9">
        <w:rPr>
          <w:rtl/>
        </w:rPr>
        <w:t xml:space="preserve"> على نمو</w:t>
      </w:r>
      <w:r w:rsidR="00A82576" w:rsidRPr="00282AC9">
        <w:rPr>
          <w:rFonts w:hint="cs"/>
          <w:rtl/>
        </w:rPr>
        <w:t>ّ</w:t>
      </w:r>
      <w:r w:rsidRPr="00282AC9">
        <w:rPr>
          <w:rtl/>
        </w:rPr>
        <w:t xml:space="preserve"> حركة الفكر والمعرفة</w:t>
      </w:r>
      <w:r w:rsidR="00A82576" w:rsidRPr="00282AC9">
        <w:rPr>
          <w:rFonts w:hint="cs"/>
          <w:rtl/>
        </w:rPr>
        <w:t>،</w:t>
      </w:r>
      <w:r w:rsidRPr="00282AC9">
        <w:rPr>
          <w:rtl/>
        </w:rPr>
        <w:t xml:space="preserve"> خصوصاً بعد اعتماد أسلوب الترجمة ونقل سائر العلوم والمعارف.</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lastRenderedPageBreak/>
        <w:t>لكن</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هذا التفاعل والتبادل الحضاري الذي حدث بين تلك </w:t>
      </w:r>
      <w:r w:rsidRPr="00282AC9">
        <w:rPr>
          <w:rFonts w:ascii="Simplified Arabic" w:hAnsi="Simplified Arabic" w:cs="AL-Mohanad" w:hint="cs"/>
          <w:bCs w:val="0"/>
          <w:color w:val="auto"/>
          <w:sz w:val="27"/>
          <w:szCs w:val="27"/>
          <w:rtl/>
        </w:rPr>
        <w:t>المعارف والفلسفات و</w:t>
      </w:r>
      <w:r w:rsidRPr="00282AC9">
        <w:rPr>
          <w:rFonts w:ascii="Simplified Arabic" w:hAnsi="Simplified Arabic" w:cs="AL-Mohanad"/>
          <w:bCs w:val="0"/>
          <w:color w:val="auto"/>
          <w:sz w:val="27"/>
          <w:szCs w:val="27"/>
          <w:rtl/>
        </w:rPr>
        <w:t>الطروحات الثقافية، وأنماط التفكير، والرؤى الفكرية والعقائدية المختلفة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لم يكن ليمر</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دون أن يترك آثاراً جانبي</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خطيرة على مستوى نشوء ردود أفعال معي</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نة (شاذ</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وخلاف ما هو سائد) اندفع</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إلى سطح الواقع، وتمث</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لت بظهور مجموعة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التشكيلات العقائدية، والتيارات الفكرية، والف</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ق الكلامية والفلسفية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التي حاولت أن تبني لنفسها شرعي</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قانونية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دينية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واجتماعية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أجل بث</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آرائها (واجتهاداتها) بين صفوف أبناء المجتمع.</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لقد كان من الطبيعي</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أن تطفو تلك الحركات الفكرية على سطح الواقع التاريخي الإسلامي</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آنذاك، وتمارس عملها الدعوتي التشكيكي ـ إذا صح</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التعبير ـ</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وذلك بالنظر إلى طبيعة الأجواء والظروف الموضوعية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الداخلية والخارجية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التي ساد</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هناك</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وتحك</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بمسيرة احتكاك وانفتاح حضارتنا وثقافتنا الإسلامي</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على الحضارات الأخرى</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حيث لم تكن حضارتنا</w:t>
      </w:r>
      <w:r w:rsidRPr="00282AC9">
        <w:rPr>
          <w:rFonts w:ascii="Simplified Arabic" w:hAnsi="Simplified Arabic" w:cs="AL-Mohanad" w:hint="cs"/>
          <w:bCs w:val="0"/>
          <w:color w:val="auto"/>
          <w:sz w:val="27"/>
          <w:szCs w:val="27"/>
          <w:rtl/>
        </w:rPr>
        <w:t xml:space="preserve"> جاهزة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r w:rsidRPr="00282AC9">
        <w:rPr>
          <w:rFonts w:ascii="Simplified Arabic" w:hAnsi="Simplified Arabic" w:cs="AL-Mohanad" w:hint="cs"/>
          <w:bCs w:val="0"/>
          <w:color w:val="auto"/>
          <w:sz w:val="27"/>
          <w:szCs w:val="27"/>
          <w:rtl/>
        </w:rPr>
        <w:t>و</w:t>
      </w:r>
      <w:r w:rsidRPr="00282AC9">
        <w:rPr>
          <w:rFonts w:ascii="Simplified Arabic" w:hAnsi="Simplified Arabic" w:cs="AL-Mohanad"/>
          <w:bCs w:val="0"/>
          <w:color w:val="auto"/>
          <w:sz w:val="27"/>
          <w:szCs w:val="27"/>
          <w:rtl/>
        </w:rPr>
        <w:t>مهي</w:t>
      </w:r>
      <w:r w:rsidRPr="00282AC9">
        <w:rPr>
          <w:rFonts w:ascii="Simplified Arabic" w:hAnsi="Simplified Arabic" w:cs="AL-Mohanad" w:hint="cs"/>
          <w:bCs w:val="0"/>
          <w:color w:val="auto"/>
          <w:sz w:val="27"/>
          <w:szCs w:val="27"/>
          <w:rtl/>
        </w:rPr>
        <w:t>ّ</w:t>
      </w:r>
      <w:r w:rsidR="00A82576" w:rsidRPr="00282AC9">
        <w:rPr>
          <w:rFonts w:ascii="Simplified Arabic" w:hAnsi="Simplified Arabic" w:cs="AL-Mohanad" w:hint="cs"/>
          <w:bCs w:val="0"/>
          <w:color w:val="auto"/>
          <w:sz w:val="27"/>
          <w:szCs w:val="27"/>
          <w:rtl/>
        </w:rPr>
        <w:t>أ</w:t>
      </w:r>
      <w:r w:rsidRPr="00282AC9">
        <w:rPr>
          <w:rFonts w:ascii="Simplified Arabic" w:hAnsi="Simplified Arabic" w:cs="AL-Mohanad"/>
          <w:bCs w:val="0"/>
          <w:color w:val="auto"/>
          <w:sz w:val="27"/>
          <w:szCs w:val="27"/>
          <w:rtl/>
        </w:rPr>
        <w:t>ة</w:t>
      </w:r>
      <w:r w:rsidR="00A82576"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r w:rsidR="002372D0" w:rsidRPr="00282AC9">
        <w:rPr>
          <w:rFonts w:ascii="Simplified Arabic" w:hAnsi="Simplified Arabic" w:cs="AL-Mohanad" w:hint="cs"/>
          <w:bCs w:val="0"/>
          <w:color w:val="auto"/>
          <w:sz w:val="27"/>
          <w:szCs w:val="27"/>
          <w:rtl/>
        </w:rPr>
        <w:t>بمقدار ال</w:t>
      </w:r>
      <w:r w:rsidRPr="00282AC9">
        <w:rPr>
          <w:rFonts w:ascii="Simplified Arabic" w:hAnsi="Simplified Arabic" w:cs="AL-Mohanad"/>
          <w:bCs w:val="0"/>
          <w:color w:val="auto"/>
          <w:sz w:val="27"/>
          <w:szCs w:val="27"/>
          <w:rtl/>
        </w:rPr>
        <w:t>كفاية ـ على صعيد الفكر الموجود والقادة المتزع</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مين للحكم والتجربة ـ للس</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ر في مجال التبادل والتواصل مع باقي ثقافات وحضارات العالم، </w:t>
      </w:r>
      <w:r w:rsidR="002372D0" w:rsidRPr="00282AC9">
        <w:rPr>
          <w:rFonts w:ascii="Simplified Arabic" w:hAnsi="Simplified Arabic" w:cs="AL-Mohanad" w:hint="cs"/>
          <w:bCs w:val="0"/>
          <w:color w:val="auto"/>
          <w:sz w:val="27"/>
          <w:szCs w:val="27"/>
          <w:rtl/>
        </w:rPr>
        <w:t>و</w:t>
      </w:r>
      <w:r w:rsidRPr="00282AC9">
        <w:rPr>
          <w:rFonts w:ascii="Simplified Arabic" w:hAnsi="Simplified Arabic" w:cs="AL-Mohanad"/>
          <w:bCs w:val="0"/>
          <w:color w:val="auto"/>
          <w:sz w:val="27"/>
          <w:szCs w:val="27"/>
          <w:rtl/>
        </w:rPr>
        <w:t xml:space="preserve">خصوصاً بعد أن </w:t>
      </w:r>
      <w:r w:rsidRPr="00282AC9">
        <w:rPr>
          <w:rFonts w:ascii="Simplified Arabic" w:hAnsi="Simplified Arabic" w:cs="AL-Mohanad" w:hint="cs"/>
          <w:bCs w:val="0"/>
          <w:color w:val="auto"/>
          <w:sz w:val="27"/>
          <w:szCs w:val="27"/>
          <w:rtl/>
        </w:rPr>
        <w:t xml:space="preserve">جرى </w:t>
      </w:r>
      <w:r w:rsidRPr="00282AC9">
        <w:rPr>
          <w:rFonts w:ascii="Simplified Arabic" w:hAnsi="Simplified Arabic" w:cs="AL-Mohanad"/>
          <w:bCs w:val="0"/>
          <w:color w:val="auto"/>
          <w:sz w:val="27"/>
          <w:szCs w:val="27"/>
          <w:rtl/>
        </w:rPr>
        <w:t>تعطيل مدرسة أهل البيت</w:t>
      </w:r>
      <w:r w:rsidR="00876ECA" w:rsidRPr="00282AC9">
        <w:rPr>
          <w:rFonts w:cs="Mosawi" w:hint="cs"/>
          <w:color w:val="auto"/>
          <w:szCs w:val="22"/>
          <w:rtl/>
        </w:rPr>
        <w:t>^</w:t>
      </w:r>
      <w:r w:rsidRPr="00282AC9">
        <w:rPr>
          <w:rFonts w:ascii="Simplified Arabic" w:hAnsi="Simplified Arabic" w:cs="AL-Mohanad"/>
          <w:bCs w:val="0"/>
          <w:color w:val="auto"/>
          <w:sz w:val="27"/>
          <w:szCs w:val="27"/>
          <w:rtl/>
        </w:rPr>
        <w:t>، وإقصاء رو</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ادها </w:t>
      </w:r>
      <w:r w:rsidRPr="00282AC9">
        <w:rPr>
          <w:rFonts w:ascii="Simplified Arabic" w:hAnsi="Simplified Arabic" w:cs="AL-Mohanad" w:hint="cs"/>
          <w:bCs w:val="0"/>
          <w:color w:val="auto"/>
          <w:sz w:val="27"/>
          <w:szCs w:val="27"/>
          <w:rtl/>
        </w:rPr>
        <w:t xml:space="preserve">ورموزها الكبار </w:t>
      </w:r>
      <w:r w:rsidRPr="00282AC9">
        <w:rPr>
          <w:rFonts w:ascii="Simplified Arabic" w:hAnsi="Simplified Arabic" w:cs="AL-Mohanad"/>
          <w:bCs w:val="0"/>
          <w:color w:val="auto"/>
          <w:sz w:val="27"/>
          <w:szCs w:val="27"/>
          <w:rtl/>
        </w:rPr>
        <w:t>عن ساحة العمل</w:t>
      </w:r>
      <w:r w:rsidRPr="00282AC9">
        <w:rPr>
          <w:rFonts w:ascii="Simplified Arabic" w:hAnsi="Simplified Arabic" w:cs="AL-Mohanad" w:hint="cs"/>
          <w:bCs w:val="0"/>
          <w:color w:val="auto"/>
          <w:sz w:val="27"/>
          <w:szCs w:val="27"/>
          <w:rtl/>
        </w:rPr>
        <w:t xml:space="preserve"> الجماهيري</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w:t>
      </w:r>
      <w:r w:rsidRPr="00282AC9">
        <w:rPr>
          <w:rFonts w:ascii="Simplified Arabic" w:hAnsi="Simplified Arabic" w:cs="AL-Mohanad" w:hint="cs"/>
          <w:bCs w:val="0"/>
          <w:color w:val="auto"/>
          <w:sz w:val="27"/>
          <w:szCs w:val="27"/>
          <w:rtl/>
        </w:rPr>
        <w:t xml:space="preserve">الإمعان في </w:t>
      </w:r>
      <w:r w:rsidRPr="00282AC9">
        <w:rPr>
          <w:rFonts w:ascii="Simplified Arabic" w:hAnsi="Simplified Arabic" w:cs="AL-Mohanad"/>
          <w:bCs w:val="0"/>
          <w:color w:val="auto"/>
          <w:sz w:val="27"/>
          <w:szCs w:val="27"/>
          <w:rtl/>
        </w:rPr>
        <w:t>ملاحقتهم (وقتلهم) من ق</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 السلطات الزمني</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الحاكمة</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خوفاً وطمعاً</w:t>
      </w:r>
      <w:r w:rsidRPr="00282AC9">
        <w:rPr>
          <w:rFonts w:ascii="Simplified Arabic" w:hAnsi="Simplified Arabic" w:cs="AL-Mohanad"/>
          <w:bCs w:val="0"/>
          <w:color w:val="auto"/>
          <w:sz w:val="27"/>
          <w:szCs w:val="27"/>
          <w:rtl/>
        </w:rPr>
        <w:t>.</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لقد تسبّ</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 هذا الانفتاح الحضاري</w:t>
      </w:r>
      <w:r w:rsidRPr="00282AC9">
        <w:rPr>
          <w:rFonts w:ascii="Simplified Arabic" w:hAnsi="Simplified Arabic" w:cs="AL-Mohanad" w:hint="cs"/>
          <w:bCs w:val="0"/>
          <w:color w:val="auto"/>
          <w:sz w:val="27"/>
          <w:szCs w:val="27"/>
          <w:rtl/>
        </w:rPr>
        <w:t xml:space="preserve"> غير المتوازن</w:t>
      </w:r>
      <w:r w:rsidRPr="00282AC9">
        <w:rPr>
          <w:rFonts w:ascii="Simplified Arabic" w:hAnsi="Simplified Arabic" w:cs="AL-Mohanad"/>
          <w:bCs w:val="0"/>
          <w:color w:val="auto"/>
          <w:sz w:val="27"/>
          <w:szCs w:val="27"/>
          <w:rtl/>
        </w:rPr>
        <w:t xml:space="preserve"> في بروز قضايا ووقائع فكري</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وسياسية واجتماعية وحضارية كثيرة جد</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كان </w:t>
      </w:r>
      <w:r w:rsidR="00674EF5" w:rsidRPr="00282AC9">
        <w:rPr>
          <w:rFonts w:ascii="Simplified Arabic" w:hAnsi="Simplified Arabic" w:cs="AL-Mohanad"/>
          <w:bCs w:val="0"/>
          <w:color w:val="auto"/>
          <w:sz w:val="27"/>
          <w:szCs w:val="27"/>
          <w:rtl/>
        </w:rPr>
        <w:t>لا بُدَّ</w:t>
      </w:r>
      <w:r w:rsidRPr="00282AC9">
        <w:rPr>
          <w:rFonts w:ascii="Simplified Arabic" w:hAnsi="Simplified Arabic" w:cs="AL-Mohanad"/>
          <w:bCs w:val="0"/>
          <w:color w:val="auto"/>
          <w:sz w:val="27"/>
          <w:szCs w:val="27"/>
          <w:rtl/>
        </w:rPr>
        <w:t xml:space="preserve"> من تبيان رأي الشريعة والفقه الإسلامي</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الأصيل حولها. ويبدو أن ظهور المذاهب الفكرية، والآراء الفقهية الإسلامية</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كان هو المحص</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لة الإجمالية العام</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التي تمخ</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ضت عن ات</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ساع ونمو</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حركة تلك التطو</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رات الكبيرة والسريعة التي شهد</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ها أم</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تنا خلال ذلك العصر.</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ضمن هذه الأجواء المعق</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دة والخطيرة عاش الإمام الرضا</w:t>
      </w:r>
      <w:r w:rsidR="009A2A04" w:rsidRPr="00282AC9">
        <w:rPr>
          <w:rFonts w:ascii="Simplified Arabic" w:hAnsi="Simplified Arabic" w:cs="Mosawi"/>
          <w:bCs w:val="0"/>
          <w:color w:val="auto"/>
          <w:szCs w:val="22"/>
          <w:rtl/>
        </w:rPr>
        <w:t>×</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وانطلقت حركي</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ته العلمية الرائدة والواسعة و</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ط أمواج</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عاتية من التيارات والمذاهب والحركات العلمي</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والثقافية المقيمة والوافدة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24"/>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 xml:space="preserve">لقد قام </w:t>
      </w:r>
      <w:r w:rsidRPr="00282AC9">
        <w:rPr>
          <w:rFonts w:ascii="Simplified Arabic" w:hAnsi="Simplified Arabic" w:cs="AL-Mohanad" w:hint="cs"/>
          <w:bCs w:val="0"/>
          <w:color w:val="auto"/>
          <w:sz w:val="27"/>
          <w:szCs w:val="27"/>
          <w:rtl/>
        </w:rPr>
        <w:t>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بمسؤولياته الرسالية العقائدية والعلمية، ومارس مهام</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 وواجباته كإمام</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معصوم، وقائد</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رب</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اني، وعالم</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فذ</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رفيع المنزلة،</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وعظيم الشأن</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w:t>
      </w:r>
      <w:r w:rsidRPr="00282AC9">
        <w:rPr>
          <w:rFonts w:ascii="Simplified Arabic" w:hAnsi="Simplified Arabic" w:cs="AL-Mohanad"/>
          <w:bCs w:val="0"/>
          <w:color w:val="auto"/>
          <w:sz w:val="27"/>
          <w:szCs w:val="27"/>
          <w:rtl/>
        </w:rPr>
        <w:lastRenderedPageBreak/>
        <w:t>أجل مواجهة الانحرافات، ومظاهر التحريف الخطيرة التي أطبقت على الواقع الإسلامي</w:t>
      </w:r>
      <w:r w:rsidR="002372D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آنذاك، وعملت على إسقاطه، وإفراغه من أهدافه وق</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مه الإسلامية الأصيلة.</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لذلك تحر</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 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ـ على هذا الصعيد ـ مت</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خذاً لنفسه جانب الحوار العلمي الموضوعي مع تلك التي</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ارات والف</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ق، وممارسة النقد الإسلامي الصريح والواضح لكل</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الأفكار والمقولات والآراء الثقافية الضال</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والفاسدة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25"/>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367C53" w:rsidRPr="00282AC9" w:rsidRDefault="00367C53" w:rsidP="00367C53">
      <w:pPr>
        <w:spacing w:line="420" w:lineRule="exact"/>
        <w:rPr>
          <w:sz w:val="27"/>
          <w:rtl/>
        </w:rPr>
      </w:pPr>
    </w:p>
    <w:p w:rsidR="007359AA" w:rsidRPr="00282AC9" w:rsidRDefault="007359AA" w:rsidP="00DE5F16">
      <w:pPr>
        <w:pStyle w:val="31"/>
        <w:rPr>
          <w:b/>
          <w:color w:val="auto"/>
          <w:rtl/>
        </w:rPr>
      </w:pPr>
      <w:r w:rsidRPr="00282AC9">
        <w:rPr>
          <w:color w:val="auto"/>
          <w:rtl/>
        </w:rPr>
        <w:t xml:space="preserve">المبحث الثاني: </w:t>
      </w:r>
      <w:r w:rsidR="00EE6DBA" w:rsidRPr="00282AC9">
        <w:rPr>
          <w:color w:val="auto"/>
          <w:rtl/>
        </w:rPr>
        <w:t>دَوْر</w:t>
      </w:r>
      <w:r w:rsidRPr="00282AC9">
        <w:rPr>
          <w:color w:val="auto"/>
          <w:rtl/>
        </w:rPr>
        <w:t xml:space="preserve"> الإمام الرضا</w:t>
      </w:r>
      <w:r w:rsidR="009A2A04" w:rsidRPr="00282AC9">
        <w:rPr>
          <w:rFonts w:cs="Mosawi"/>
          <w:color w:val="auto"/>
          <w:sz w:val="23"/>
          <w:szCs w:val="23"/>
          <w:rtl/>
        </w:rPr>
        <w:t>×</w:t>
      </w:r>
      <w:r w:rsidRPr="00282AC9">
        <w:rPr>
          <w:rFonts w:hint="cs"/>
          <w:color w:val="auto"/>
          <w:rtl/>
        </w:rPr>
        <w:t xml:space="preserve"> </w:t>
      </w:r>
      <w:r w:rsidRPr="00282AC9">
        <w:rPr>
          <w:color w:val="auto"/>
          <w:rtl/>
        </w:rPr>
        <w:t>في مواجهة الواقع المنحرف لعصره</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إن</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الذي يتابع أسلوب</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وطريقة</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أداء الإمام علي</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في و</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ي </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ودراسة ومواجهة</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تلك المظاهر السلبي</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العام</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التي انطبع بها عصره يمكن أن يمنهج عمل وحركة الإمام</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على مستوى التواصل الإيجابي</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مع الفكر الإسلامي</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وحماية العقيدة الدينية، وتحصين الأم</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من الوقوع بين براثن التخل</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 والسقوط والانهيار</w:t>
      </w:r>
      <w:r w:rsidR="004365E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خلال ما يلي:</w:t>
      </w:r>
    </w:p>
    <w:p w:rsidR="00367C53" w:rsidRPr="00282AC9" w:rsidRDefault="00367C53" w:rsidP="00367C53">
      <w:pPr>
        <w:spacing w:line="420" w:lineRule="exact"/>
        <w:rPr>
          <w:sz w:val="27"/>
          <w:rtl/>
        </w:rPr>
      </w:pPr>
    </w:p>
    <w:p w:rsidR="006F08FE" w:rsidRPr="00282AC9" w:rsidRDefault="00E31173" w:rsidP="006F08FE">
      <w:pPr>
        <w:pStyle w:val="31"/>
        <w:rPr>
          <w:color w:val="auto"/>
          <w:sz w:val="26"/>
          <w:vertAlign w:val="superscript"/>
          <w:rtl/>
        </w:rPr>
      </w:pPr>
      <w:r w:rsidRPr="00282AC9">
        <w:rPr>
          <w:rFonts w:hint="cs"/>
          <w:color w:val="auto"/>
          <w:sz w:val="26"/>
          <w:rtl/>
        </w:rPr>
        <w:t>1ـ ال</w:t>
      </w:r>
      <w:r w:rsidR="007359AA" w:rsidRPr="00282AC9">
        <w:rPr>
          <w:color w:val="auto"/>
          <w:sz w:val="26"/>
          <w:rtl/>
        </w:rPr>
        <w:t>تركيز الدائم على العمل بكتاب الله تعالى</w:t>
      </w:r>
      <w:r w:rsidR="007359AA" w:rsidRPr="00282AC9">
        <w:rPr>
          <w:color w:val="auto"/>
          <w:sz w:val="26"/>
          <w:vertAlign w:val="superscript"/>
          <w:rtl/>
        </w:rPr>
        <w:t>(</w:t>
      </w:r>
      <w:r w:rsidR="007359AA" w:rsidRPr="00282AC9">
        <w:rPr>
          <w:rStyle w:val="af9"/>
          <w:color w:val="auto"/>
          <w:sz w:val="26"/>
          <w:rtl/>
        </w:rPr>
        <w:endnoteReference w:id="926"/>
      </w:r>
      <w:r w:rsidR="007359AA" w:rsidRPr="00282AC9">
        <w:rPr>
          <w:color w:val="auto"/>
          <w:sz w:val="26"/>
          <w:vertAlign w:val="superscript"/>
          <w:rtl/>
        </w:rPr>
        <w:t>)</w:t>
      </w:r>
    </w:p>
    <w:p w:rsidR="00611CCC" w:rsidRPr="00282AC9" w:rsidRDefault="007359AA" w:rsidP="00D47E7C">
      <w:pPr>
        <w:rPr>
          <w:bCs/>
          <w:rtl/>
        </w:rPr>
      </w:pPr>
      <w:r w:rsidRPr="00282AC9">
        <w:rPr>
          <w:rtl/>
        </w:rPr>
        <w:t>وذلك باعتباره المرجعي</w:t>
      </w:r>
      <w:r w:rsidR="00FE0019" w:rsidRPr="00282AC9">
        <w:rPr>
          <w:rFonts w:hint="cs"/>
          <w:rtl/>
        </w:rPr>
        <w:t>ّ</w:t>
      </w:r>
      <w:r w:rsidRPr="00282AC9">
        <w:rPr>
          <w:rtl/>
        </w:rPr>
        <w:t>ة العقائدي</w:t>
      </w:r>
      <w:r w:rsidR="00FE0019" w:rsidRPr="00282AC9">
        <w:rPr>
          <w:rFonts w:hint="cs"/>
          <w:rtl/>
        </w:rPr>
        <w:t>ّ</w:t>
      </w:r>
      <w:r w:rsidRPr="00282AC9">
        <w:rPr>
          <w:rtl/>
        </w:rPr>
        <w:t>ة والفكري</w:t>
      </w:r>
      <w:r w:rsidR="00FE0019" w:rsidRPr="00282AC9">
        <w:rPr>
          <w:rFonts w:hint="cs"/>
          <w:rtl/>
        </w:rPr>
        <w:t>ّ</w:t>
      </w:r>
      <w:r w:rsidRPr="00282AC9">
        <w:rPr>
          <w:rtl/>
        </w:rPr>
        <w:t>ة الإسلامي</w:t>
      </w:r>
      <w:r w:rsidR="00FE0019" w:rsidRPr="00282AC9">
        <w:rPr>
          <w:rFonts w:hint="cs"/>
          <w:rtl/>
        </w:rPr>
        <w:t>ّ</w:t>
      </w:r>
      <w:r w:rsidRPr="00282AC9">
        <w:rPr>
          <w:rtl/>
        </w:rPr>
        <w:t>ة الأساسي</w:t>
      </w:r>
      <w:r w:rsidR="00FE0019" w:rsidRPr="00282AC9">
        <w:rPr>
          <w:rFonts w:hint="cs"/>
          <w:rtl/>
        </w:rPr>
        <w:t>ّ</w:t>
      </w:r>
      <w:r w:rsidRPr="00282AC9">
        <w:rPr>
          <w:rtl/>
        </w:rPr>
        <w:t>ة</w:t>
      </w:r>
      <w:r w:rsidR="00FE0019" w:rsidRPr="00282AC9">
        <w:rPr>
          <w:rFonts w:hint="cs"/>
          <w:rtl/>
        </w:rPr>
        <w:t>،</w:t>
      </w:r>
      <w:r w:rsidRPr="00282AC9">
        <w:rPr>
          <w:rtl/>
        </w:rPr>
        <w:t xml:space="preserve"> التي </w:t>
      </w:r>
      <w:r w:rsidR="00674EF5" w:rsidRPr="00282AC9">
        <w:rPr>
          <w:rtl/>
        </w:rPr>
        <w:t>لا بُدَّ</w:t>
      </w:r>
      <w:r w:rsidRPr="00282AC9">
        <w:rPr>
          <w:rtl/>
        </w:rPr>
        <w:t xml:space="preserve"> من و</w:t>
      </w:r>
      <w:r w:rsidR="00FE0019" w:rsidRPr="00282AC9">
        <w:rPr>
          <w:rFonts w:hint="cs"/>
          <w:rtl/>
        </w:rPr>
        <w:t>َ</w:t>
      </w:r>
      <w:r w:rsidRPr="00282AC9">
        <w:rPr>
          <w:rtl/>
        </w:rPr>
        <w:t>ع</w:t>
      </w:r>
      <w:r w:rsidR="00FE0019" w:rsidRPr="00282AC9">
        <w:rPr>
          <w:rFonts w:hint="cs"/>
          <w:rtl/>
        </w:rPr>
        <w:t>ْ</w:t>
      </w:r>
      <w:r w:rsidRPr="00282AC9">
        <w:rPr>
          <w:rtl/>
        </w:rPr>
        <w:t>يها، والالتزام بها، والسير به</w:t>
      </w:r>
      <w:r w:rsidR="00FE0019" w:rsidRPr="00282AC9">
        <w:rPr>
          <w:rFonts w:hint="cs"/>
          <w:rtl/>
        </w:rPr>
        <w:t>َ</w:t>
      </w:r>
      <w:r w:rsidRPr="00282AC9">
        <w:rPr>
          <w:rtl/>
        </w:rPr>
        <w:t>د</w:t>
      </w:r>
      <w:r w:rsidR="00FE0019" w:rsidRPr="00282AC9">
        <w:rPr>
          <w:rFonts w:hint="cs"/>
          <w:rtl/>
        </w:rPr>
        <w:t>ْ</w:t>
      </w:r>
      <w:r w:rsidRPr="00282AC9">
        <w:rPr>
          <w:rtl/>
        </w:rPr>
        <w:t>يها</w:t>
      </w:r>
      <w:r w:rsidR="00FE0019" w:rsidRPr="00282AC9">
        <w:rPr>
          <w:rFonts w:hint="cs"/>
          <w:rtl/>
        </w:rPr>
        <w:t>،</w:t>
      </w:r>
      <w:r w:rsidRPr="00282AC9">
        <w:rPr>
          <w:rtl/>
        </w:rPr>
        <w:t xml:space="preserve"> في مدى الزمن كل</w:t>
      </w:r>
      <w:r w:rsidR="00FE0019" w:rsidRPr="00282AC9">
        <w:rPr>
          <w:rFonts w:hint="cs"/>
          <w:rtl/>
        </w:rPr>
        <w:t>ِّ</w:t>
      </w:r>
      <w:r w:rsidRPr="00282AC9">
        <w:rPr>
          <w:rtl/>
        </w:rPr>
        <w:t>ه.</w:t>
      </w:r>
    </w:p>
    <w:p w:rsidR="007359AA" w:rsidRPr="00282AC9" w:rsidRDefault="007359AA" w:rsidP="00D47E7C">
      <w:pPr>
        <w:rPr>
          <w:sz w:val="26"/>
          <w:rtl/>
        </w:rPr>
      </w:pPr>
      <w:r w:rsidRPr="00282AC9">
        <w:rPr>
          <w:rtl/>
        </w:rPr>
        <w:t>جاء عن الرضا</w:t>
      </w:r>
      <w:r w:rsidR="009A2A04" w:rsidRPr="00282AC9">
        <w:rPr>
          <w:rFonts w:cs="Mosawi"/>
          <w:szCs w:val="22"/>
          <w:rtl/>
        </w:rPr>
        <w:t>×</w:t>
      </w:r>
      <w:r w:rsidR="00FE0019" w:rsidRPr="00282AC9">
        <w:rPr>
          <w:rFonts w:hint="cs"/>
          <w:rtl/>
        </w:rPr>
        <w:t>،</w:t>
      </w:r>
      <w:r w:rsidRPr="00282AC9">
        <w:rPr>
          <w:rtl/>
        </w:rPr>
        <w:t xml:space="preserve"> في إجابته عن سؤال</w:t>
      </w:r>
      <w:r w:rsidR="00FE0019" w:rsidRPr="00282AC9">
        <w:rPr>
          <w:rFonts w:hint="cs"/>
          <w:rtl/>
        </w:rPr>
        <w:t>ٍ</w:t>
      </w:r>
      <w:r w:rsidRPr="00282AC9">
        <w:rPr>
          <w:rtl/>
        </w:rPr>
        <w:t xml:space="preserve"> وج</w:t>
      </w:r>
      <w:r w:rsidRPr="00282AC9">
        <w:rPr>
          <w:rFonts w:hint="cs"/>
          <w:rtl/>
        </w:rPr>
        <w:t>ّ</w:t>
      </w:r>
      <w:r w:rsidR="00FE0019" w:rsidRPr="00282AC9">
        <w:rPr>
          <w:rFonts w:hint="cs"/>
          <w:rtl/>
        </w:rPr>
        <w:t>َ</w:t>
      </w:r>
      <w:r w:rsidRPr="00282AC9">
        <w:rPr>
          <w:rtl/>
        </w:rPr>
        <w:t xml:space="preserve">هه إليه </w:t>
      </w:r>
      <w:r w:rsidRPr="00282AC9">
        <w:rPr>
          <w:rFonts w:hint="eastAsia"/>
          <w:sz w:val="24"/>
          <w:szCs w:val="24"/>
          <w:rtl/>
        </w:rPr>
        <w:t>«</w:t>
      </w:r>
      <w:r w:rsidRPr="00282AC9">
        <w:rPr>
          <w:rtl/>
        </w:rPr>
        <w:t>الريان بن الص</w:t>
      </w:r>
      <w:r w:rsidRPr="00282AC9">
        <w:rPr>
          <w:rFonts w:hint="cs"/>
          <w:rtl/>
        </w:rPr>
        <w:t>ّ</w:t>
      </w:r>
      <w:r w:rsidRPr="00282AC9">
        <w:rPr>
          <w:rtl/>
        </w:rPr>
        <w:t>لت</w:t>
      </w:r>
      <w:r w:rsidRPr="00282AC9">
        <w:rPr>
          <w:rFonts w:hint="eastAsia"/>
          <w:sz w:val="24"/>
          <w:szCs w:val="24"/>
          <w:rtl/>
        </w:rPr>
        <w:t>»</w:t>
      </w:r>
      <w:r w:rsidR="00FE0019" w:rsidRPr="00282AC9">
        <w:rPr>
          <w:rFonts w:hint="cs"/>
          <w:rtl/>
        </w:rPr>
        <w:t>،</w:t>
      </w:r>
      <w:r w:rsidRPr="00282AC9">
        <w:rPr>
          <w:rtl/>
        </w:rPr>
        <w:t xml:space="preserve"> قول</w:t>
      </w:r>
      <w:r w:rsidR="00FE0019" w:rsidRPr="00282AC9">
        <w:rPr>
          <w:rFonts w:hint="cs"/>
          <w:rtl/>
        </w:rPr>
        <w:t>ُ</w:t>
      </w:r>
      <w:r w:rsidRPr="00282AC9">
        <w:rPr>
          <w:rtl/>
        </w:rPr>
        <w:t xml:space="preserve">ه في القرآن: </w:t>
      </w:r>
      <w:r w:rsidRPr="00282AC9">
        <w:rPr>
          <w:rFonts w:hint="eastAsia"/>
          <w:sz w:val="24"/>
          <w:szCs w:val="24"/>
          <w:rtl/>
        </w:rPr>
        <w:t>«</w:t>
      </w:r>
      <w:r w:rsidRPr="00282AC9">
        <w:rPr>
          <w:rtl/>
        </w:rPr>
        <w:t>كلام الله لا تتجاوزوه، ولا تطلبوا الهدى في غيره فتضل</w:t>
      </w:r>
      <w:r w:rsidR="00FE0019" w:rsidRPr="00282AC9">
        <w:rPr>
          <w:rFonts w:hint="cs"/>
          <w:rtl/>
        </w:rPr>
        <w:t>ّ</w:t>
      </w:r>
      <w:r w:rsidRPr="00282AC9">
        <w:rPr>
          <w:rtl/>
        </w:rPr>
        <w:t>وا. هو حبل</w:t>
      </w:r>
      <w:r w:rsidRPr="00282AC9">
        <w:rPr>
          <w:rFonts w:hint="cs"/>
          <w:rtl/>
        </w:rPr>
        <w:t>ُ</w:t>
      </w:r>
      <w:r w:rsidRPr="00282AC9">
        <w:rPr>
          <w:rtl/>
        </w:rPr>
        <w:t xml:space="preserve"> الله المتين</w:t>
      </w:r>
      <w:r w:rsidR="00FE0019" w:rsidRPr="00282AC9">
        <w:rPr>
          <w:rFonts w:hint="cs"/>
          <w:rtl/>
        </w:rPr>
        <w:t>،</w:t>
      </w:r>
      <w:r w:rsidRPr="00282AC9">
        <w:rPr>
          <w:rtl/>
        </w:rPr>
        <w:t xml:space="preserve"> وعروته الوثقى، وطريقته المثلى، المودي إلى الجن</w:t>
      </w:r>
      <w:r w:rsidR="00FE0019" w:rsidRPr="00282AC9">
        <w:rPr>
          <w:rFonts w:hint="cs"/>
          <w:rtl/>
        </w:rPr>
        <w:t>ّ</w:t>
      </w:r>
      <w:r w:rsidRPr="00282AC9">
        <w:rPr>
          <w:rtl/>
        </w:rPr>
        <w:t>ة، والمنجي من النار. لا يخلق على</w:t>
      </w:r>
      <w:r w:rsidRPr="00282AC9">
        <w:rPr>
          <w:rFonts w:hint="cs"/>
          <w:rtl/>
        </w:rPr>
        <w:t xml:space="preserve"> </w:t>
      </w:r>
      <w:r w:rsidRPr="00282AC9">
        <w:rPr>
          <w:rtl/>
        </w:rPr>
        <w:t>الأزمنة</w:t>
      </w:r>
      <w:r w:rsidR="001F631F" w:rsidRPr="00282AC9">
        <w:rPr>
          <w:rFonts w:hint="cs"/>
          <w:rtl/>
        </w:rPr>
        <w:t>،</w:t>
      </w:r>
      <w:r w:rsidRPr="00282AC9">
        <w:rPr>
          <w:rtl/>
        </w:rPr>
        <w:t xml:space="preserve"> ولا يغث</w:t>
      </w:r>
      <w:r w:rsidR="001F631F" w:rsidRPr="00282AC9">
        <w:rPr>
          <w:rFonts w:hint="cs"/>
          <w:rtl/>
        </w:rPr>
        <w:t>ّ</w:t>
      </w:r>
      <w:r w:rsidRPr="00282AC9">
        <w:rPr>
          <w:rtl/>
        </w:rPr>
        <w:t xml:space="preserve"> على الألسنة</w:t>
      </w:r>
      <w:r w:rsidR="001F631F" w:rsidRPr="00282AC9">
        <w:rPr>
          <w:rFonts w:hint="cs"/>
          <w:rtl/>
        </w:rPr>
        <w:t>؛</w:t>
      </w:r>
      <w:r w:rsidRPr="00282AC9">
        <w:rPr>
          <w:rtl/>
        </w:rPr>
        <w:t xml:space="preserve"> لأنه لم يُج</w:t>
      </w:r>
      <w:r w:rsidR="001F631F" w:rsidRPr="00282AC9">
        <w:rPr>
          <w:rFonts w:hint="cs"/>
          <w:rtl/>
        </w:rPr>
        <w:t>ْ</w:t>
      </w:r>
      <w:r w:rsidRPr="00282AC9">
        <w:rPr>
          <w:rtl/>
        </w:rPr>
        <w:t>ع</w:t>
      </w:r>
      <w:r w:rsidR="001F631F" w:rsidRPr="00282AC9">
        <w:rPr>
          <w:rFonts w:hint="cs"/>
          <w:rtl/>
        </w:rPr>
        <w:t>َ</w:t>
      </w:r>
      <w:r w:rsidRPr="00282AC9">
        <w:rPr>
          <w:rtl/>
        </w:rPr>
        <w:t>ل</w:t>
      </w:r>
      <w:r w:rsidR="001F631F" w:rsidRPr="00282AC9">
        <w:rPr>
          <w:rFonts w:hint="cs"/>
          <w:rtl/>
        </w:rPr>
        <w:t>ٍ</w:t>
      </w:r>
      <w:r w:rsidRPr="00282AC9">
        <w:rPr>
          <w:rtl/>
        </w:rPr>
        <w:t xml:space="preserve"> لزمان</w:t>
      </w:r>
      <w:r w:rsidR="001F631F" w:rsidRPr="00282AC9">
        <w:rPr>
          <w:rFonts w:hint="cs"/>
          <w:rtl/>
        </w:rPr>
        <w:t>ٍ</w:t>
      </w:r>
      <w:r w:rsidRPr="00282AC9">
        <w:rPr>
          <w:rtl/>
        </w:rPr>
        <w:t xml:space="preserve"> دون زمان</w:t>
      </w:r>
      <w:r w:rsidR="001F631F" w:rsidRPr="00282AC9">
        <w:rPr>
          <w:rFonts w:hint="cs"/>
          <w:rtl/>
        </w:rPr>
        <w:t>ٍ</w:t>
      </w:r>
      <w:r w:rsidRPr="00282AC9">
        <w:rPr>
          <w:rtl/>
        </w:rPr>
        <w:t>، بل جُعل دليل البرهان</w:t>
      </w:r>
      <w:r w:rsidR="001F631F" w:rsidRPr="00282AC9">
        <w:rPr>
          <w:rFonts w:hint="cs"/>
          <w:rtl/>
        </w:rPr>
        <w:t>،</w:t>
      </w:r>
      <w:r w:rsidRPr="00282AC9">
        <w:rPr>
          <w:rtl/>
        </w:rPr>
        <w:t xml:space="preserve"> </w:t>
      </w:r>
      <w:r w:rsidR="001F631F" w:rsidRPr="00282AC9">
        <w:rPr>
          <w:rFonts w:hint="cs"/>
          <w:rtl/>
        </w:rPr>
        <w:t>و</w:t>
      </w:r>
      <w:r w:rsidRPr="00282AC9">
        <w:rPr>
          <w:rtl/>
        </w:rPr>
        <w:t>الحج</w:t>
      </w:r>
      <w:r w:rsidR="001F631F" w:rsidRPr="00282AC9">
        <w:rPr>
          <w:rFonts w:hint="cs"/>
          <w:rtl/>
        </w:rPr>
        <w:t>ّ</w:t>
      </w:r>
      <w:r w:rsidRPr="00282AC9">
        <w:rPr>
          <w:rtl/>
        </w:rPr>
        <w:t>ة على كل</w:t>
      </w:r>
      <w:r w:rsidR="001F631F" w:rsidRPr="00282AC9">
        <w:rPr>
          <w:rFonts w:hint="cs"/>
          <w:rtl/>
        </w:rPr>
        <w:t>ّ</w:t>
      </w:r>
      <w:r w:rsidRPr="00282AC9">
        <w:rPr>
          <w:rtl/>
        </w:rPr>
        <w:t xml:space="preserve"> إنسان</w:t>
      </w:r>
      <w:r w:rsidR="001F631F" w:rsidRPr="00282AC9">
        <w:rPr>
          <w:rFonts w:hint="cs"/>
          <w:rtl/>
        </w:rPr>
        <w:t>ٍ:</w:t>
      </w:r>
      <w:r w:rsidRPr="00282AC9">
        <w:rPr>
          <w:rtl/>
        </w:rPr>
        <w:t xml:space="preserve"> </w:t>
      </w:r>
      <w:r w:rsidR="00FE0019" w:rsidRPr="00282AC9">
        <w:rPr>
          <w:rFonts w:ascii="Mosawi" w:hAnsi="Mosawi" w:cs="Mosawi"/>
          <w:sz w:val="24"/>
          <w:szCs w:val="24"/>
          <w:rtl/>
        </w:rPr>
        <w:t>﴿</w:t>
      </w:r>
      <w:r w:rsidR="001F631F" w:rsidRPr="00282AC9">
        <w:rPr>
          <w:b/>
          <w:bCs/>
          <w:rtl/>
        </w:rPr>
        <w:t>لاَ يَأْتِيهِ الْبَاطِلُ مِنْ بَيْنِ يَدَيْهِ وَلاَ مِنْ خَلْفِهِ تَنزِيلٌ مِنْ حَكِيمٍ حَمِيدٍ</w:t>
      </w:r>
      <w:r w:rsidR="00FE0019" w:rsidRPr="00282AC9">
        <w:rPr>
          <w:rFonts w:ascii="Mosawi" w:hAnsi="Mosawi" w:cs="Mosawi"/>
          <w:sz w:val="24"/>
          <w:szCs w:val="24"/>
          <w:rtl/>
        </w:rPr>
        <w:t>﴾</w:t>
      </w:r>
      <w:r w:rsidRPr="00282AC9">
        <w:rPr>
          <w:rFonts w:hint="cs"/>
          <w:rtl/>
        </w:rPr>
        <w:t>.</w:t>
      </w:r>
      <w:r w:rsidRPr="00282AC9">
        <w:rPr>
          <w:rtl/>
        </w:rPr>
        <w:t xml:space="preserve"> فالقرآن حي</w:t>
      </w:r>
      <w:r w:rsidR="001F631F" w:rsidRPr="00282AC9">
        <w:rPr>
          <w:rFonts w:hint="cs"/>
          <w:rtl/>
        </w:rPr>
        <w:t>ٌّ</w:t>
      </w:r>
      <w:r w:rsidRPr="00282AC9">
        <w:rPr>
          <w:rtl/>
        </w:rPr>
        <w:t xml:space="preserve"> لا يطر</w:t>
      </w:r>
      <w:r w:rsidR="00B818D3" w:rsidRPr="00282AC9">
        <w:rPr>
          <w:rFonts w:hint="cs"/>
          <w:rtl/>
        </w:rPr>
        <w:t>ؤ</w:t>
      </w:r>
      <w:r w:rsidRPr="00282AC9">
        <w:rPr>
          <w:rtl/>
        </w:rPr>
        <w:t>ه الموت والبوار، كما أنه حق</w:t>
      </w:r>
      <w:r w:rsidR="00B818D3" w:rsidRPr="00282AC9">
        <w:rPr>
          <w:rFonts w:hint="cs"/>
          <w:rtl/>
        </w:rPr>
        <w:t>ٌّ</w:t>
      </w:r>
      <w:r w:rsidRPr="00282AC9">
        <w:rPr>
          <w:rtl/>
        </w:rPr>
        <w:t xml:space="preserve"> لا يقربه البطلان</w:t>
      </w:r>
      <w:r w:rsidR="00B818D3" w:rsidRPr="00282AC9">
        <w:rPr>
          <w:rFonts w:hint="cs"/>
          <w:rtl/>
        </w:rPr>
        <w:t>؛</w:t>
      </w:r>
      <w:r w:rsidRPr="00282AC9">
        <w:rPr>
          <w:rtl/>
        </w:rPr>
        <w:t xml:space="preserve"> لأنه المظهر التام</w:t>
      </w:r>
      <w:r w:rsidR="00B818D3" w:rsidRPr="00282AC9">
        <w:rPr>
          <w:rFonts w:hint="cs"/>
          <w:rtl/>
        </w:rPr>
        <w:t>ّ</w:t>
      </w:r>
      <w:r w:rsidRPr="00282AC9">
        <w:rPr>
          <w:rtl/>
        </w:rPr>
        <w:t xml:space="preserve"> لله سبحانه</w:t>
      </w:r>
      <w:r w:rsidR="00B818D3" w:rsidRPr="00282AC9">
        <w:rPr>
          <w:rFonts w:hint="cs"/>
          <w:rtl/>
        </w:rPr>
        <w:t>،</w:t>
      </w:r>
      <w:r w:rsidRPr="00282AC9">
        <w:rPr>
          <w:rtl/>
        </w:rPr>
        <w:t xml:space="preserve"> الذي هو حياة</w:t>
      </w:r>
      <w:r w:rsidR="00B818D3" w:rsidRPr="00282AC9">
        <w:rPr>
          <w:rFonts w:hint="cs"/>
          <w:rtl/>
        </w:rPr>
        <w:t>ٌ</w:t>
      </w:r>
      <w:r w:rsidRPr="00282AC9">
        <w:rPr>
          <w:rtl/>
        </w:rPr>
        <w:t xml:space="preserve"> لا موت فيها، وحق</w:t>
      </w:r>
      <w:r w:rsidR="00B818D3" w:rsidRPr="00282AC9">
        <w:rPr>
          <w:rFonts w:hint="cs"/>
          <w:rtl/>
        </w:rPr>
        <w:t>ٌّ</w:t>
      </w:r>
      <w:r w:rsidRPr="00282AC9">
        <w:rPr>
          <w:rtl/>
        </w:rPr>
        <w:t xml:space="preserve"> لا يحوم حوله البطلان</w:t>
      </w:r>
      <w:r w:rsidR="00B818D3" w:rsidRPr="00282AC9">
        <w:rPr>
          <w:rFonts w:hint="cs"/>
          <w:rtl/>
        </w:rPr>
        <w:t>؛</w:t>
      </w:r>
      <w:r w:rsidRPr="00282AC9">
        <w:rPr>
          <w:rtl/>
        </w:rPr>
        <w:t xml:space="preserve"> لأنه تعالى لم ينزله لزمان</w:t>
      </w:r>
      <w:r w:rsidR="00B818D3" w:rsidRPr="00282AC9">
        <w:rPr>
          <w:rFonts w:hint="cs"/>
          <w:rtl/>
        </w:rPr>
        <w:t>ٍ</w:t>
      </w:r>
      <w:r w:rsidRPr="00282AC9">
        <w:rPr>
          <w:rtl/>
        </w:rPr>
        <w:t xml:space="preserve"> دون زمان</w:t>
      </w:r>
      <w:r w:rsidR="00B818D3" w:rsidRPr="00282AC9">
        <w:rPr>
          <w:rFonts w:hint="cs"/>
          <w:rtl/>
        </w:rPr>
        <w:t>،</w:t>
      </w:r>
      <w:r w:rsidRPr="00282AC9">
        <w:rPr>
          <w:rtl/>
        </w:rPr>
        <w:t xml:space="preserve"> ولا لأناس</w:t>
      </w:r>
      <w:r w:rsidR="00B818D3" w:rsidRPr="00282AC9">
        <w:rPr>
          <w:rFonts w:hint="cs"/>
          <w:rtl/>
        </w:rPr>
        <w:t>ٍ</w:t>
      </w:r>
      <w:r w:rsidRPr="00282AC9">
        <w:rPr>
          <w:rtl/>
        </w:rPr>
        <w:t xml:space="preserve"> دون أناس</w:t>
      </w:r>
      <w:r w:rsidR="00B818D3" w:rsidRPr="00282AC9">
        <w:rPr>
          <w:rFonts w:hint="cs"/>
          <w:rtl/>
        </w:rPr>
        <w:t>ٍ،</w:t>
      </w:r>
      <w:r w:rsidRPr="00282AC9">
        <w:rPr>
          <w:rtl/>
        </w:rPr>
        <w:t xml:space="preserve"> فه</w:t>
      </w:r>
      <w:r w:rsidR="00B818D3" w:rsidRPr="00282AC9">
        <w:rPr>
          <w:rFonts w:hint="cs"/>
          <w:rtl/>
        </w:rPr>
        <w:t>و</w:t>
      </w:r>
      <w:r w:rsidRPr="00282AC9">
        <w:rPr>
          <w:rtl/>
        </w:rPr>
        <w:t xml:space="preserve"> في كل</w:t>
      </w:r>
      <w:r w:rsidR="00B818D3" w:rsidRPr="00282AC9">
        <w:rPr>
          <w:rFonts w:hint="cs"/>
          <w:rtl/>
        </w:rPr>
        <w:t>ّ</w:t>
      </w:r>
      <w:r w:rsidRPr="00282AC9">
        <w:rPr>
          <w:rtl/>
        </w:rPr>
        <w:t xml:space="preserve"> زمن</w:t>
      </w:r>
      <w:r w:rsidR="00B818D3" w:rsidRPr="00282AC9">
        <w:rPr>
          <w:rFonts w:hint="cs"/>
          <w:rtl/>
        </w:rPr>
        <w:t>ٍ</w:t>
      </w:r>
      <w:r w:rsidRPr="00282AC9">
        <w:rPr>
          <w:rtl/>
        </w:rPr>
        <w:t xml:space="preserve"> جديد</w:t>
      </w:r>
      <w:r w:rsidR="00B818D3" w:rsidRPr="00282AC9">
        <w:rPr>
          <w:rFonts w:hint="cs"/>
          <w:rtl/>
        </w:rPr>
        <w:t>،</w:t>
      </w:r>
      <w:r w:rsidRPr="00282AC9">
        <w:rPr>
          <w:rtl/>
        </w:rPr>
        <w:t xml:space="preserve"> </w:t>
      </w:r>
      <w:r w:rsidR="00B818D3" w:rsidRPr="00282AC9">
        <w:rPr>
          <w:rFonts w:hint="cs"/>
          <w:rtl/>
        </w:rPr>
        <w:t>و</w:t>
      </w:r>
      <w:r w:rsidRPr="00282AC9">
        <w:rPr>
          <w:rtl/>
        </w:rPr>
        <w:t>عند كل</w:t>
      </w:r>
      <w:r w:rsidR="00B818D3" w:rsidRPr="00282AC9">
        <w:rPr>
          <w:rFonts w:hint="cs"/>
          <w:rtl/>
        </w:rPr>
        <w:t>ّ</w:t>
      </w:r>
      <w:r w:rsidRPr="00282AC9">
        <w:rPr>
          <w:rtl/>
        </w:rPr>
        <w:t xml:space="preserve"> قوم</w:t>
      </w:r>
      <w:r w:rsidR="00B818D3" w:rsidRPr="00282AC9">
        <w:rPr>
          <w:rFonts w:hint="cs"/>
          <w:rtl/>
        </w:rPr>
        <w:t>ٍ</w:t>
      </w:r>
      <w:r w:rsidR="00B818D3" w:rsidRPr="00282AC9">
        <w:rPr>
          <w:rtl/>
        </w:rPr>
        <w:t xml:space="preserve"> غض</w:t>
      </w:r>
      <w:r w:rsidR="00B818D3" w:rsidRPr="00282AC9">
        <w:rPr>
          <w:rFonts w:hint="cs"/>
          <w:rtl/>
        </w:rPr>
        <w:t>ٌّ</w:t>
      </w:r>
      <w:r w:rsidRPr="00282AC9">
        <w:rPr>
          <w:rtl/>
        </w:rPr>
        <w:t xml:space="preserve"> إلى يوم القيامة</w:t>
      </w:r>
      <w:r w:rsidRPr="00282AC9">
        <w:rPr>
          <w:rFonts w:hint="eastAsia"/>
          <w:sz w:val="24"/>
          <w:szCs w:val="24"/>
          <w:rtl/>
        </w:rPr>
        <w:t>»</w:t>
      </w:r>
      <w:r w:rsidRPr="00282AC9">
        <w:rPr>
          <w:vertAlign w:val="superscript"/>
          <w:rtl/>
        </w:rPr>
        <w:t>(</w:t>
      </w:r>
      <w:r w:rsidRPr="00282AC9">
        <w:rPr>
          <w:rStyle w:val="af9"/>
          <w:rFonts w:ascii="Simplified Arabic" w:hAnsi="Simplified Arabic"/>
          <w:sz w:val="27"/>
          <w:rtl/>
        </w:rPr>
        <w:endnoteReference w:id="927"/>
      </w:r>
      <w:r w:rsidRPr="00282AC9">
        <w:rPr>
          <w:vertAlign w:val="superscript"/>
          <w:rtl/>
        </w:rPr>
        <w:t>)</w:t>
      </w:r>
      <w:r w:rsidRPr="00282AC9">
        <w:rPr>
          <w:rtl/>
        </w:rPr>
        <w:t>.</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lastRenderedPageBreak/>
        <w:t>إنّ 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ـ الذي نطق بالقرآن، وتمث</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 معانيه وق</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مه، وبي</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 مفاهيمه</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28"/>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واستخرج حلاله وحرامه، واستوحى آياته، وأوضح تعابيره العام</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في حركة الحياة ـ يريد من</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 أن نعمق صلتنا الروحية والفكرية مع القرآن الكريم</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باعتباره يؤس</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 القاعدة الثقافية والحضارية المعصومة التي ينطلق منها كل</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فكر</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إسلامي، وكل</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حكم</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شرعي</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أي</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مفهوم</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المفاهيم الإسلامية، وفي أي</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حركة</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ينطلق منها الواقع الإسلامي</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29"/>
      </w:r>
      <w:r w:rsidRPr="00282AC9">
        <w:rPr>
          <w:rFonts w:ascii="Simplified Arabic" w:hAnsi="Simplified Arabic" w:cs="AL-Mohanad"/>
          <w:bCs w:val="0"/>
          <w:color w:val="auto"/>
          <w:sz w:val="27"/>
          <w:szCs w:val="27"/>
          <w:vertAlign w:val="superscript"/>
          <w:rtl/>
        </w:rPr>
        <w:t>)</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يقول</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هو حبل الله المتين</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وعروته الوثقى</w:t>
      </w:r>
      <w:r w:rsidR="00B818D3"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غض</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إلى يوم القيامة</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0"/>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 xml:space="preserve"> وهناك مسألة</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مهم</w:t>
      </w:r>
      <w:r w:rsidR="00B818D3"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أثارها 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في حديثه السابق</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أرى في طرحها ـ ضمن هذا السياق ـ ضرورة</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قصوى</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وهي تتعل</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ق بحركي</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القرآن، وحيوي</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ته،</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 xml:space="preserve">وعدم </w:t>
      </w:r>
      <w:r w:rsidR="00CE2264" w:rsidRPr="00282AC9">
        <w:rPr>
          <w:rFonts w:ascii="Simplified Arabic" w:hAnsi="Simplified Arabic" w:cs="AL-Mohanad" w:hint="cs"/>
          <w:bCs w:val="0"/>
          <w:color w:val="auto"/>
          <w:sz w:val="27"/>
          <w:szCs w:val="27"/>
          <w:rtl/>
        </w:rPr>
        <w:t>جموده</w:t>
      </w:r>
      <w:r w:rsidRPr="00282AC9">
        <w:rPr>
          <w:rFonts w:ascii="Simplified Arabic" w:hAnsi="Simplified Arabic" w:cs="AL-Mohanad"/>
          <w:bCs w:val="0"/>
          <w:color w:val="auto"/>
          <w:sz w:val="27"/>
          <w:szCs w:val="27"/>
          <w:rtl/>
        </w:rPr>
        <w:t xml:space="preserve"> عند هذه الحادثة أو تلك الواقعة المرتبطة بهذا الشخص أو ذاك</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وبالتالي امتداد آثار ونتائج و</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 القرآن وفهمه إلى ساحات الحياة كل</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ها، وفي مدى الزمان كل</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أي امتداده إلى كل</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النماذج الإيجابية أو السلبي</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التي تحر</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ويمكن أن تتحر</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 في مرحلة نزولها</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وفي الأبعاد الزمنية الممتدة في رحاب الحياة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1"/>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r w:rsidR="00CE2264"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يقول</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فالقرآن لا</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يطر</w:t>
      </w:r>
      <w:r w:rsidR="00CE2264" w:rsidRPr="00282AC9">
        <w:rPr>
          <w:rFonts w:ascii="Simplified Arabic" w:hAnsi="Simplified Arabic" w:cs="AL-Mohanad" w:hint="cs"/>
          <w:bCs w:val="0"/>
          <w:color w:val="auto"/>
          <w:sz w:val="27"/>
          <w:szCs w:val="27"/>
          <w:rtl/>
        </w:rPr>
        <w:t>ؤ</w:t>
      </w:r>
      <w:r w:rsidRPr="00282AC9">
        <w:rPr>
          <w:rFonts w:ascii="Simplified Arabic" w:hAnsi="Simplified Arabic" w:cs="AL-Mohanad"/>
          <w:bCs w:val="0"/>
          <w:color w:val="auto"/>
          <w:sz w:val="27"/>
          <w:szCs w:val="27"/>
          <w:rtl/>
        </w:rPr>
        <w:t>ه الموت والبوار.</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لم ينزل لزمان</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دون زمان</w:t>
      </w:r>
      <w:r w:rsidR="00CE2264" w:rsidRPr="00282AC9">
        <w:rPr>
          <w:rFonts w:ascii="Simplified Arabic" w:hAnsi="Simplified Arabic" w:cs="AL-Mohanad" w:hint="cs"/>
          <w:bCs w:val="0"/>
          <w:color w:val="auto"/>
          <w:sz w:val="27"/>
          <w:szCs w:val="27"/>
          <w:rtl/>
        </w:rPr>
        <w:t>ٍ</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2"/>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ومن خلال هذا الفهم المتحر</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 الواسع يمكننا أن نستوحي القرآن في كل</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مواقع الحياة الراهنة التي يتحر</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 فيها ـ أو من خلالها ـ إنساننا المعاصر</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دون أن يقف هذا </w:t>
      </w:r>
      <w:r w:rsidRPr="00282AC9">
        <w:rPr>
          <w:rFonts w:ascii="Simplified Arabic" w:hAnsi="Simplified Arabic" w:cs="AL-Mohanad" w:hint="cs"/>
          <w:bCs w:val="0"/>
          <w:color w:val="auto"/>
          <w:sz w:val="27"/>
          <w:szCs w:val="27"/>
          <w:rtl/>
        </w:rPr>
        <w:t>الاستيحاء</w:t>
      </w:r>
      <w:r w:rsidRPr="00282AC9">
        <w:rPr>
          <w:rFonts w:ascii="Simplified Arabic" w:hAnsi="Simplified Arabic" w:cs="AL-Mohanad"/>
          <w:bCs w:val="0"/>
          <w:color w:val="auto"/>
          <w:sz w:val="27"/>
          <w:szCs w:val="27"/>
          <w:rtl/>
        </w:rPr>
        <w:t xml:space="preserve"> الإيجابي</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الفع</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ال عند موقع</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أو زمن</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محد</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إلا</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عندما يكون هذا الوقوف محط</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للتزو</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 بالخبرة والتجربة، وتراكم المعرفة والو</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أي </w:t>
      </w:r>
      <w:r w:rsidR="00674EF5" w:rsidRPr="00282AC9">
        <w:rPr>
          <w:rFonts w:ascii="Simplified Arabic" w:hAnsi="Simplified Arabic" w:cs="AL-Mohanad"/>
          <w:bCs w:val="0"/>
          <w:color w:val="auto"/>
          <w:sz w:val="27"/>
          <w:szCs w:val="27"/>
          <w:rtl/>
        </w:rPr>
        <w:t>لا بُدَّ</w:t>
      </w:r>
      <w:r w:rsidRPr="00282AC9">
        <w:rPr>
          <w:rFonts w:ascii="Simplified Arabic" w:hAnsi="Simplified Arabic" w:cs="AL-Mohanad"/>
          <w:bCs w:val="0"/>
          <w:color w:val="auto"/>
          <w:sz w:val="27"/>
          <w:szCs w:val="27"/>
          <w:rtl/>
        </w:rPr>
        <w:t xml:space="preserve"> لنا من استيحاء القرآن في كل</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ما يستجد</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حياتنا</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لنوس</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 آفاقه حت</w:t>
      </w:r>
      <w:r w:rsidR="00CE226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ى تنفتح على آفاقنا، فلا نقرأ القرآن في الأحداث التي عاش</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عهد الرسالة الأولى</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بل نقر</w:t>
      </w:r>
      <w:r w:rsidR="007535DF" w:rsidRPr="00282AC9">
        <w:rPr>
          <w:rFonts w:ascii="Simplified Arabic" w:hAnsi="Simplified Arabic" w:cs="AL-Mohanad" w:hint="cs"/>
          <w:bCs w:val="0"/>
          <w:color w:val="auto"/>
          <w:sz w:val="27"/>
          <w:szCs w:val="27"/>
          <w:rtl/>
        </w:rPr>
        <w:t>ؤ</w:t>
      </w:r>
      <w:r w:rsidRPr="00282AC9">
        <w:rPr>
          <w:rFonts w:ascii="Simplified Arabic" w:hAnsi="Simplified Arabic" w:cs="AL-Mohanad"/>
          <w:bCs w:val="0"/>
          <w:color w:val="auto"/>
          <w:sz w:val="27"/>
          <w:szCs w:val="27"/>
          <w:rtl/>
        </w:rPr>
        <w:t>ه من خلال تلك الأحداث</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على أساس أن تكون هذه الأحداث أحداث الحياة</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وليست أحداث زمن</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معين أو موقع</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معين. وبهذا نستطيع أن نتحر</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 بالقرآن</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وأن يحر</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كنا القرآن</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وأن نحر</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 القرآن في كل</w:t>
      </w:r>
      <w:r w:rsidR="007535D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واقعنا</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3"/>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 xml:space="preserve"> إننا نعيش في واقع</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متغي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 ومعق</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 أصبح عنصر التغي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ر فيه هو الثابت الأوحد، لذلك </w:t>
      </w:r>
      <w:r w:rsidR="00674EF5" w:rsidRPr="00282AC9">
        <w:rPr>
          <w:rFonts w:ascii="Simplified Arabic" w:hAnsi="Simplified Arabic" w:cs="AL-Mohanad"/>
          <w:bCs w:val="0"/>
          <w:color w:val="auto"/>
          <w:sz w:val="27"/>
          <w:szCs w:val="27"/>
          <w:rtl/>
        </w:rPr>
        <w:t>لا بُدَّ</w:t>
      </w:r>
      <w:r w:rsidRPr="00282AC9">
        <w:rPr>
          <w:rFonts w:ascii="Simplified Arabic" w:hAnsi="Simplified Arabic" w:cs="AL-Mohanad"/>
          <w:bCs w:val="0"/>
          <w:color w:val="auto"/>
          <w:sz w:val="27"/>
          <w:szCs w:val="27"/>
          <w:rtl/>
        </w:rPr>
        <w:t xml:space="preserve"> أن نعمل بو</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وانفتاح على تأصيل علاقتنا بكتاب الله،</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وعدم السقوط النفسي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أمام تحد</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يات الواقع</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التي يمكن أن تضغط علينا</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خلال استهزاء أصحابها بق</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منا وأصالتنا، وبعض طرق وأساليب وتعابير هذه العلاقة مع القرآن </w:t>
      </w:r>
      <w:r w:rsidRPr="00282AC9">
        <w:rPr>
          <w:rFonts w:ascii="Simplified Arabic" w:hAnsi="Simplified Arabic" w:cs="AL-Mohanad"/>
          <w:bCs w:val="0"/>
          <w:color w:val="auto"/>
          <w:sz w:val="27"/>
          <w:szCs w:val="27"/>
          <w:rtl/>
        </w:rPr>
        <w:lastRenderedPageBreak/>
        <w:t>الكريم والأئم</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الأطهار.</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إننا نعتقد أن قيام تلك العلاقة على أسس</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متينة من الو</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 والد</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قة والموضوعية</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المنطلقة من التركيز النوعي المكث</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 والغني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على القرآن الكريم</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حقائقه وثوابته العقيدي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والشرعي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والأخلاقي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هو الذي يمكن أن يفتح لنا الطريق، وينير لنا الدرب</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أجل تقديم فكر</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إسلامي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نقي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وأصيل</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ينطلق من ثوابته الفكري</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المقد</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سة (القرآن الكريم والحديث </w:t>
      </w:r>
      <w:r w:rsidR="0026008F" w:rsidRPr="00282AC9">
        <w:rPr>
          <w:rFonts w:ascii="Simplified Arabic" w:hAnsi="Simplified Arabic" w:cs="AL-Mohanad" w:hint="cs"/>
          <w:bCs w:val="0"/>
          <w:color w:val="auto"/>
          <w:sz w:val="27"/>
          <w:szCs w:val="27"/>
          <w:rtl/>
        </w:rPr>
        <w:t>الشريف</w:t>
      </w:r>
      <w:r w:rsidRPr="00282AC9">
        <w:rPr>
          <w:rFonts w:ascii="Simplified Arabic" w:hAnsi="Simplified Arabic" w:cs="AL-Mohanad"/>
          <w:bCs w:val="0"/>
          <w:color w:val="auto"/>
          <w:sz w:val="27"/>
          <w:szCs w:val="27"/>
          <w:rtl/>
        </w:rPr>
        <w:t>)</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منفتحاً على الإنسان والحياة والله تعالى</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عملية بحث</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وتنقيب</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مستمر</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ين</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ونقد</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دائم</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للواقع المنحرف</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البعيد في </w:t>
      </w:r>
      <w:r w:rsidR="0026008F" w:rsidRPr="00282AC9">
        <w:rPr>
          <w:rFonts w:ascii="Simplified Arabic" w:hAnsi="Simplified Arabic" w:cs="AL-Mohanad" w:hint="cs"/>
          <w:bCs w:val="0"/>
          <w:color w:val="auto"/>
          <w:sz w:val="27"/>
          <w:szCs w:val="27"/>
          <w:rtl/>
        </w:rPr>
        <w:t>ال</w:t>
      </w:r>
      <w:r w:rsidRPr="00282AC9">
        <w:rPr>
          <w:rFonts w:ascii="Simplified Arabic" w:hAnsi="Simplified Arabic" w:cs="AL-Mohanad"/>
          <w:bCs w:val="0"/>
          <w:color w:val="auto"/>
          <w:sz w:val="27"/>
          <w:szCs w:val="27"/>
          <w:rtl/>
        </w:rPr>
        <w:t>خطوط الخاص</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والعام</w:t>
      </w:r>
      <w:r w:rsidR="0026008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عن الأصول والمبادئ الإسلامية الحقيقية.</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ضمن هذا السياق تكون الاستفادة الم</w:t>
      </w:r>
      <w:r w:rsidR="00885F7C" w:rsidRPr="00282AC9">
        <w:rPr>
          <w:rFonts w:ascii="Simplified Arabic" w:hAnsi="Simplified Arabic" w:cs="AL-Mohanad" w:hint="cs"/>
          <w:bCs w:val="0"/>
          <w:color w:val="auto"/>
          <w:sz w:val="27"/>
          <w:szCs w:val="27"/>
          <w:rtl/>
        </w:rPr>
        <w:t>ُث</w:t>
      </w:r>
      <w:r w:rsidRPr="00282AC9">
        <w:rPr>
          <w:rFonts w:ascii="Simplified Arabic" w:hAnsi="Simplified Arabic" w:cs="AL-Mohanad"/>
          <w:bCs w:val="0"/>
          <w:color w:val="auto"/>
          <w:sz w:val="27"/>
          <w:szCs w:val="27"/>
          <w:rtl/>
        </w:rPr>
        <w:t>لى من فاعلية العلاقة المفتوحة مع كتاب الله (علاقة أنه غض</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إلى يوم القيامة</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كما يقول</w:t>
      </w:r>
      <w:r w:rsidRPr="00282AC9">
        <w:rPr>
          <w:rFonts w:ascii="Simplified Arabic" w:hAnsi="Simplified Arabic" w:cs="AL-Mohanad" w:hint="cs"/>
          <w:bCs w:val="0"/>
          <w:color w:val="auto"/>
          <w:sz w:val="27"/>
          <w:szCs w:val="27"/>
          <w:rtl/>
        </w:rPr>
        <w:t xml:space="preserve"> الإمام</w:t>
      </w:r>
      <w:r w:rsidRPr="00282AC9">
        <w:rPr>
          <w:rFonts w:ascii="Simplified Arabic" w:hAnsi="Simplified Arabic" w:cs="AL-Mohanad"/>
          <w:bCs w:val="0"/>
          <w:color w:val="auto"/>
          <w:sz w:val="27"/>
          <w:szCs w:val="27"/>
          <w:rtl/>
        </w:rPr>
        <w:t xml:space="preserve"> الرضا</w:t>
      </w:r>
      <w:r w:rsidR="009A2A04" w:rsidRPr="00282AC9">
        <w:rPr>
          <w:rFonts w:ascii="Simplified Arabic" w:hAnsi="Simplified Arabic" w:cs="Mosawi" w:hint="cs"/>
          <w:bCs w:val="0"/>
          <w:color w:val="auto"/>
          <w:szCs w:val="22"/>
          <w:rtl/>
        </w:rPr>
        <w:t>×</w:t>
      </w:r>
      <w:r w:rsidRPr="00282AC9">
        <w:rPr>
          <w:rFonts w:ascii="Simplified Arabic" w:hAnsi="Simplified Arabic" w:cs="AL-Mohanad"/>
          <w:bCs w:val="0"/>
          <w:color w:val="auto"/>
          <w:sz w:val="27"/>
          <w:szCs w:val="27"/>
          <w:rtl/>
        </w:rPr>
        <w:t>)</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إنها استفادتنا </w:t>
      </w:r>
      <w:r w:rsidRPr="00282AC9">
        <w:rPr>
          <w:rFonts w:ascii="Simplified Arabic" w:hAnsi="Simplified Arabic" w:cs="AL-Mohanad" w:hint="cs"/>
          <w:bCs w:val="0"/>
          <w:color w:val="auto"/>
          <w:sz w:val="27"/>
          <w:szCs w:val="27"/>
          <w:rtl/>
        </w:rPr>
        <w:t>العملية</w:t>
      </w:r>
      <w:r w:rsidRPr="00282AC9">
        <w:rPr>
          <w:rFonts w:ascii="Simplified Arabic" w:hAnsi="Simplified Arabic" w:cs="AL-Mohanad"/>
          <w:bCs w:val="0"/>
          <w:color w:val="auto"/>
          <w:sz w:val="27"/>
          <w:szCs w:val="27"/>
          <w:rtl/>
        </w:rPr>
        <w:t xml:space="preserve"> من التوظيف الح</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الاجتماعي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والحياتي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لق</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 القرآن وأفكاره وأحداثه التاريخية</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خدمة</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للإنسان المتحر</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 في الحياة حالي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w:t>
      </w:r>
      <w:r w:rsidRPr="00282AC9">
        <w:rPr>
          <w:rFonts w:ascii="Simplified Arabic" w:hAnsi="Simplified Arabic" w:cs="AL-Mohanad" w:hint="cs"/>
          <w:bCs w:val="0"/>
          <w:color w:val="auto"/>
          <w:sz w:val="27"/>
          <w:szCs w:val="27"/>
          <w:rtl/>
        </w:rPr>
        <w:t>، في علاقته مع نفسه ومجتمعه ومحيطه</w:t>
      </w:r>
      <w:r w:rsidRPr="00282AC9">
        <w:rPr>
          <w:rFonts w:ascii="Simplified Arabic" w:hAnsi="Simplified Arabic" w:cs="AL-Mohanad"/>
          <w:bCs w:val="0"/>
          <w:color w:val="auto"/>
          <w:sz w:val="27"/>
          <w:szCs w:val="27"/>
          <w:rtl/>
        </w:rPr>
        <w:t>. فمثلاً</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عندما يطرح القرآن على مسامعنا القصص التاريخية المختلفة</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كقص</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أهل الكهف، أو قص</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النبي موسى</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وفرعون، وموسى</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والخضر</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إ</w:t>
      </w:r>
      <w:r w:rsidRPr="00282AC9">
        <w:rPr>
          <w:rFonts w:ascii="Simplified Arabic" w:hAnsi="Simplified Arabic" w:cs="AL-Mohanad"/>
          <w:bCs w:val="0"/>
          <w:color w:val="auto"/>
          <w:sz w:val="27"/>
          <w:szCs w:val="27"/>
          <w:rtl/>
        </w:rPr>
        <w:t>لخ</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إنه يريد أن يثير تفكيرنا حول المضامين والمعطيات التاريخية الح</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كية</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خلال إجراء مقارنات</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عملية واسعة بين الواقع الذي تحر</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كت فيه تلك القصص وبين الواقع الذي عاش</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فيه الرسالة، ويمكن أن تعيشها في مدى الزمان والحياة</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أجل أن تكون (تلك القصص) وسيلة</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وسائل التوعية الروحية والثقافية والعملية، وأسلوباً حضاري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 واقعي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 في استلهام ق</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 التاريخ ـ الحاضر بقو</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في داخل روح الإنسان ـ في واقع الإنسان في الحاضر والمستقبل</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إطار عملي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تواصل</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وتفاعل</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ودراسة</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علمية وموضوعية شاملة</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ليتحس</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 كل</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إنسان</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موقعه في حركة التاريخ، وليعي </w:t>
      </w:r>
      <w:r w:rsidR="00EE6DBA" w:rsidRPr="00282AC9">
        <w:rPr>
          <w:rFonts w:ascii="Simplified Arabic" w:hAnsi="Simplified Arabic" w:cs="AL-Mohanad"/>
          <w:bCs w:val="0"/>
          <w:color w:val="auto"/>
          <w:sz w:val="27"/>
          <w:szCs w:val="27"/>
          <w:rtl/>
        </w:rPr>
        <w:t>دَوْر</w:t>
      </w:r>
      <w:r w:rsidRPr="00282AC9">
        <w:rPr>
          <w:rFonts w:ascii="Simplified Arabic" w:hAnsi="Simplified Arabic" w:cs="AL-Mohanad"/>
          <w:bCs w:val="0"/>
          <w:color w:val="auto"/>
          <w:sz w:val="27"/>
          <w:szCs w:val="27"/>
          <w:rtl/>
        </w:rPr>
        <w:t>ه فيها</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ومسؤولي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ته في خطواته الخي</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رة والشريرة في خط</w:t>
      </w:r>
      <w:r w:rsidR="00885F7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الاستقامة والانحراف</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ليحد</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 لنفسه أهدافها وطريقها في قضايا المصير</w:t>
      </w:r>
      <w:r w:rsidR="0013503C"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ليكون مع الصالحين</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لا مع الفاسدين، ومع المحق</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ين</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لا مع المبطلين. وعلى ضوء ذلك يتم</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اختيار الواقعة أو الحادثة التاريخية ـ على مستوى استلهام الفكرة القرآني</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في الحياة كل</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ها ـ من خلال علاقتها بهذا الخط</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وارتباطها بالفكرة والإنسان والحياة،</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وفي دائرة القصص الحق</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الذي ينطلق من عمق </w:t>
      </w:r>
      <w:r w:rsidRPr="00282AC9">
        <w:rPr>
          <w:rFonts w:ascii="Simplified Arabic" w:hAnsi="Simplified Arabic" w:cs="AL-Mohanad"/>
          <w:bCs w:val="0"/>
          <w:color w:val="auto"/>
          <w:sz w:val="27"/>
          <w:szCs w:val="27"/>
          <w:rtl/>
        </w:rPr>
        <w:lastRenderedPageBreak/>
        <w:t>الصدق في الواقع</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ليصح</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ح الكثير مم</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 اختلف فيه الناس بين أقاصيص الحق</w:t>
      </w:r>
      <w:r w:rsidR="0013503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والباطل بقوله تعالى: </w:t>
      </w:r>
      <w:r w:rsidRPr="00282AC9">
        <w:rPr>
          <w:rFonts w:ascii="Mosawi" w:hAnsi="Mosawi" w:cs="Mosawi"/>
          <w:bCs w:val="0"/>
          <w:color w:val="auto"/>
          <w:sz w:val="24"/>
          <w:szCs w:val="24"/>
          <w:rtl/>
        </w:rPr>
        <w:t>﴿</w:t>
      </w:r>
      <w:r w:rsidR="0013503C" w:rsidRPr="00282AC9">
        <w:rPr>
          <w:rFonts w:cs="AL-Mohanad"/>
          <w:color w:val="auto"/>
          <w:sz w:val="27"/>
          <w:szCs w:val="27"/>
          <w:rtl/>
        </w:rPr>
        <w:t>إِنَّ هَذَا لَهُوَ الْقَصَصُ الْحَقُّ</w:t>
      </w:r>
      <w:r w:rsidRPr="00282AC9">
        <w:rPr>
          <w:rFonts w:ascii="Mosawi" w:hAnsi="Mosawi" w:cs="Mosawi"/>
          <w:bCs w:val="0"/>
          <w:color w:val="auto"/>
          <w:sz w:val="24"/>
          <w:szCs w:val="24"/>
          <w:rtl/>
        </w:rPr>
        <w:t>﴾</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(آل عمران</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62)</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r w:rsidR="0013503C" w:rsidRPr="00282AC9">
        <w:rPr>
          <w:rFonts w:ascii="Simplified Arabic" w:hAnsi="Simplified Arabic" w:cs="AL-Mohanad" w:hint="cs"/>
          <w:bCs w:val="0"/>
          <w:color w:val="auto"/>
          <w:sz w:val="27"/>
          <w:szCs w:val="27"/>
          <w:rtl/>
        </w:rPr>
        <w:t>و</w:t>
      </w:r>
      <w:r w:rsidRPr="00282AC9">
        <w:rPr>
          <w:rFonts w:ascii="Mosawi" w:hAnsi="Mosawi" w:cs="Mosawi"/>
          <w:bCs w:val="0"/>
          <w:color w:val="auto"/>
          <w:sz w:val="24"/>
          <w:szCs w:val="24"/>
          <w:rtl/>
        </w:rPr>
        <w:t>﴿</w:t>
      </w:r>
      <w:r w:rsidR="0013503C" w:rsidRPr="00282AC9">
        <w:rPr>
          <w:rFonts w:cs="AL-Mohanad"/>
          <w:color w:val="auto"/>
          <w:sz w:val="27"/>
          <w:szCs w:val="27"/>
          <w:rtl/>
        </w:rPr>
        <w:t>لَقَدْ كَانَ فِي قَصَصِهِمْ عِبْرَةٌ لأُوْلِي الأَلْبَابِ</w:t>
      </w:r>
      <w:r w:rsidRPr="00282AC9">
        <w:rPr>
          <w:rFonts w:ascii="Mosawi" w:hAnsi="Mosawi" w:cs="Mosawi"/>
          <w:bCs w:val="0"/>
          <w:color w:val="auto"/>
          <w:sz w:val="24"/>
          <w:szCs w:val="24"/>
          <w:rtl/>
        </w:rPr>
        <w:t>﴾</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(يوسف</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111).</w:t>
      </w:r>
    </w:p>
    <w:p w:rsidR="00367C53" w:rsidRPr="00282AC9" w:rsidRDefault="00367C53" w:rsidP="00367C53">
      <w:pPr>
        <w:spacing w:line="420" w:lineRule="exact"/>
        <w:rPr>
          <w:sz w:val="27"/>
          <w:rtl/>
        </w:rPr>
      </w:pPr>
    </w:p>
    <w:p w:rsidR="006F08FE" w:rsidRPr="00282AC9" w:rsidRDefault="00E31173" w:rsidP="006F08FE">
      <w:pPr>
        <w:pStyle w:val="31"/>
        <w:rPr>
          <w:color w:val="auto"/>
          <w:rtl/>
        </w:rPr>
      </w:pPr>
      <w:r w:rsidRPr="00282AC9">
        <w:rPr>
          <w:rFonts w:hint="cs"/>
          <w:color w:val="auto"/>
          <w:rtl/>
        </w:rPr>
        <w:t>2ـ</w:t>
      </w:r>
      <w:r w:rsidR="007359AA" w:rsidRPr="00282AC9">
        <w:rPr>
          <w:color w:val="auto"/>
          <w:rtl/>
        </w:rPr>
        <w:t xml:space="preserve"> التصد</w:t>
      </w:r>
      <w:r w:rsidR="0013503C" w:rsidRPr="00282AC9">
        <w:rPr>
          <w:rFonts w:hint="cs"/>
          <w:color w:val="auto"/>
          <w:rtl/>
        </w:rPr>
        <w:t>ّ</w:t>
      </w:r>
      <w:r w:rsidR="007359AA" w:rsidRPr="00282AC9">
        <w:rPr>
          <w:color w:val="auto"/>
          <w:rtl/>
        </w:rPr>
        <w:t>ي لتي</w:t>
      </w:r>
      <w:r w:rsidRPr="00282AC9">
        <w:rPr>
          <w:rFonts w:hint="cs"/>
          <w:color w:val="auto"/>
          <w:rtl/>
        </w:rPr>
        <w:t>ّ</w:t>
      </w:r>
      <w:r w:rsidR="007359AA" w:rsidRPr="00282AC9">
        <w:rPr>
          <w:color w:val="auto"/>
          <w:rtl/>
        </w:rPr>
        <w:t>ارات الزندقة والإلحاد والتشكيك</w:t>
      </w:r>
    </w:p>
    <w:p w:rsidR="006F08FE" w:rsidRPr="00282AC9" w:rsidRDefault="007359AA" w:rsidP="00367C53">
      <w:pPr>
        <w:spacing w:line="406" w:lineRule="exact"/>
        <w:rPr>
          <w:bCs/>
          <w:rtl/>
        </w:rPr>
      </w:pPr>
      <w:r w:rsidRPr="00282AC9">
        <w:rPr>
          <w:rtl/>
        </w:rPr>
        <w:t>انطلق الإمام</w:t>
      </w:r>
      <w:r w:rsidRPr="00282AC9">
        <w:rPr>
          <w:rFonts w:hint="cs"/>
          <w:rtl/>
        </w:rPr>
        <w:t>ُ</w:t>
      </w:r>
      <w:r w:rsidRPr="00282AC9">
        <w:rPr>
          <w:rtl/>
        </w:rPr>
        <w:t xml:space="preserve"> الرضا</w:t>
      </w:r>
      <w:r w:rsidR="009A2A04" w:rsidRPr="00282AC9">
        <w:rPr>
          <w:rFonts w:cs="Mosawi"/>
          <w:szCs w:val="22"/>
          <w:rtl/>
        </w:rPr>
        <w:t>×</w:t>
      </w:r>
      <w:r w:rsidRPr="00282AC9">
        <w:rPr>
          <w:rtl/>
        </w:rPr>
        <w:t xml:space="preserve"> في هذا المجال بكل</w:t>
      </w:r>
      <w:r w:rsidR="0013503C" w:rsidRPr="00282AC9">
        <w:rPr>
          <w:rFonts w:hint="cs"/>
          <w:rtl/>
        </w:rPr>
        <w:t>ّ</w:t>
      </w:r>
      <w:r w:rsidRPr="00282AC9">
        <w:rPr>
          <w:rtl/>
        </w:rPr>
        <w:t xml:space="preserve"> قو</w:t>
      </w:r>
      <w:r w:rsidR="0013503C" w:rsidRPr="00282AC9">
        <w:rPr>
          <w:rFonts w:hint="cs"/>
          <w:rtl/>
        </w:rPr>
        <w:t>ّ</w:t>
      </w:r>
      <w:r w:rsidRPr="00282AC9">
        <w:rPr>
          <w:rtl/>
        </w:rPr>
        <w:t>ة</w:t>
      </w:r>
      <w:r w:rsidR="0013503C" w:rsidRPr="00282AC9">
        <w:rPr>
          <w:rFonts w:hint="cs"/>
          <w:rtl/>
        </w:rPr>
        <w:t>ٍ</w:t>
      </w:r>
      <w:r w:rsidRPr="00282AC9">
        <w:rPr>
          <w:rtl/>
        </w:rPr>
        <w:t xml:space="preserve"> وعزيمة وإصرار على مواجهة واقع الانحراف</w:t>
      </w:r>
      <w:r w:rsidRPr="00282AC9">
        <w:rPr>
          <w:rFonts w:hint="cs"/>
          <w:rtl/>
        </w:rPr>
        <w:t xml:space="preserve"> والتحريف والتضليل الفكري والمعرفي،</w:t>
      </w:r>
      <w:r w:rsidRPr="00282AC9">
        <w:rPr>
          <w:rtl/>
        </w:rPr>
        <w:t xml:space="preserve"> وذلك في رصده الدقيق وتقديره الواعي لكل</w:t>
      </w:r>
      <w:r w:rsidR="000C3B4F" w:rsidRPr="00282AC9">
        <w:rPr>
          <w:rFonts w:hint="cs"/>
          <w:rtl/>
        </w:rPr>
        <w:t>ّ</w:t>
      </w:r>
      <w:r w:rsidRPr="00282AC9">
        <w:rPr>
          <w:rtl/>
        </w:rPr>
        <w:t xml:space="preserve"> أجواء وتعقيدات الواقع الفكري والعقائدي والثقافي الذي عاش فيه</w:t>
      </w:r>
      <w:r w:rsidR="000C3B4F" w:rsidRPr="00282AC9">
        <w:rPr>
          <w:rFonts w:hint="cs"/>
          <w:rtl/>
        </w:rPr>
        <w:t>؛</w:t>
      </w:r>
      <w:r w:rsidRPr="00282AC9">
        <w:rPr>
          <w:rtl/>
        </w:rPr>
        <w:t xml:space="preserve"> ليساهم من خلال ذلك في تصحيح الكثير من المفاهيم</w:t>
      </w:r>
      <w:r w:rsidR="000C3B4F" w:rsidRPr="00282AC9">
        <w:rPr>
          <w:rFonts w:hint="cs"/>
          <w:rtl/>
        </w:rPr>
        <w:t>،</w:t>
      </w:r>
      <w:r w:rsidRPr="00282AC9">
        <w:rPr>
          <w:rtl/>
        </w:rPr>
        <w:t xml:space="preserve"> و</w:t>
      </w:r>
      <w:r w:rsidRPr="00282AC9">
        <w:rPr>
          <w:rFonts w:hint="cs"/>
          <w:rtl/>
        </w:rPr>
        <w:t>التدقيق في كل</w:t>
      </w:r>
      <w:r w:rsidR="000C3B4F" w:rsidRPr="00282AC9">
        <w:rPr>
          <w:rFonts w:hint="cs"/>
          <w:rtl/>
        </w:rPr>
        <w:t>ّ</w:t>
      </w:r>
      <w:r w:rsidRPr="00282AC9">
        <w:rPr>
          <w:rFonts w:hint="cs"/>
          <w:rtl/>
        </w:rPr>
        <w:t xml:space="preserve"> </w:t>
      </w:r>
      <w:r w:rsidRPr="00282AC9">
        <w:rPr>
          <w:rtl/>
        </w:rPr>
        <w:t>الطروحات الفكرية والعملية المتداولة</w:t>
      </w:r>
      <w:r w:rsidRPr="00282AC9">
        <w:rPr>
          <w:rFonts w:hint="cs"/>
          <w:rtl/>
        </w:rPr>
        <w:t xml:space="preserve"> والشائعة آنذاك</w:t>
      </w:r>
      <w:r w:rsidR="000C3B4F" w:rsidRPr="00282AC9">
        <w:rPr>
          <w:rFonts w:hint="cs"/>
          <w:rtl/>
        </w:rPr>
        <w:t>،</w:t>
      </w:r>
      <w:r w:rsidRPr="00282AC9">
        <w:rPr>
          <w:rFonts w:hint="cs"/>
          <w:rtl/>
        </w:rPr>
        <w:t xml:space="preserve"> والتي حاولت تيارات الزندقة والإلحاد إثارتها إعلامي</w:t>
      </w:r>
      <w:r w:rsidR="000C3B4F" w:rsidRPr="00282AC9">
        <w:rPr>
          <w:rFonts w:hint="cs"/>
          <w:rtl/>
        </w:rPr>
        <w:t>ّ</w:t>
      </w:r>
      <w:r w:rsidRPr="00282AC9">
        <w:rPr>
          <w:rFonts w:hint="cs"/>
          <w:rtl/>
        </w:rPr>
        <w:t>اً وواقعي</w:t>
      </w:r>
      <w:r w:rsidR="000C3B4F" w:rsidRPr="00282AC9">
        <w:rPr>
          <w:rFonts w:hint="cs"/>
          <w:rtl/>
        </w:rPr>
        <w:t>ّ</w:t>
      </w:r>
      <w:r w:rsidRPr="00282AC9">
        <w:rPr>
          <w:rFonts w:hint="cs"/>
          <w:rtl/>
        </w:rPr>
        <w:t>اً في واقع الأم</w:t>
      </w:r>
      <w:r w:rsidR="000C3B4F" w:rsidRPr="00282AC9">
        <w:rPr>
          <w:rFonts w:hint="cs"/>
          <w:rtl/>
        </w:rPr>
        <w:t>ّ</w:t>
      </w:r>
      <w:r w:rsidRPr="00282AC9">
        <w:rPr>
          <w:rFonts w:hint="cs"/>
          <w:rtl/>
        </w:rPr>
        <w:t>ة</w:t>
      </w:r>
      <w:r w:rsidRPr="00282AC9">
        <w:rPr>
          <w:rtl/>
        </w:rPr>
        <w:t>، في ما يت</w:t>
      </w:r>
      <w:r w:rsidR="000C3B4F" w:rsidRPr="00282AC9">
        <w:rPr>
          <w:rFonts w:hint="cs"/>
          <w:rtl/>
        </w:rPr>
        <w:t>ّ</w:t>
      </w:r>
      <w:r w:rsidRPr="00282AC9">
        <w:rPr>
          <w:rtl/>
        </w:rPr>
        <w:t>صل بحركة المفاهيم الأصيلة والمضامين النقي</w:t>
      </w:r>
      <w:r w:rsidR="000C3B4F" w:rsidRPr="00282AC9">
        <w:rPr>
          <w:rFonts w:hint="cs"/>
          <w:rtl/>
        </w:rPr>
        <w:t>ّ</w:t>
      </w:r>
      <w:r w:rsidRPr="00282AC9">
        <w:rPr>
          <w:rtl/>
        </w:rPr>
        <w:t>ة للرسالة الإسلامية، وضرورة تحريك الأم</w:t>
      </w:r>
      <w:r w:rsidR="000C3B4F" w:rsidRPr="00282AC9">
        <w:rPr>
          <w:rFonts w:hint="cs"/>
          <w:rtl/>
        </w:rPr>
        <w:t>ّ</w:t>
      </w:r>
      <w:r w:rsidRPr="00282AC9">
        <w:rPr>
          <w:rtl/>
        </w:rPr>
        <w:t>ة باتجاهها، ومواجهة الأفكار التي يمكن أن تتحد</w:t>
      </w:r>
      <w:r w:rsidR="000C3B4F" w:rsidRPr="00282AC9">
        <w:rPr>
          <w:rFonts w:hint="cs"/>
          <w:rtl/>
        </w:rPr>
        <w:t>ّ</w:t>
      </w:r>
      <w:r w:rsidRPr="00282AC9">
        <w:rPr>
          <w:rtl/>
        </w:rPr>
        <w:t>اها، أو م</w:t>
      </w:r>
      <w:r w:rsidR="000C3B4F" w:rsidRPr="00282AC9">
        <w:rPr>
          <w:rFonts w:hint="cs"/>
          <w:rtl/>
        </w:rPr>
        <w:t>َ</w:t>
      </w:r>
      <w:r w:rsidRPr="00282AC9">
        <w:rPr>
          <w:rtl/>
        </w:rPr>
        <w:t>ن</w:t>
      </w:r>
      <w:r w:rsidR="000C3B4F" w:rsidRPr="00282AC9">
        <w:rPr>
          <w:rFonts w:hint="cs"/>
          <w:rtl/>
        </w:rPr>
        <w:t>ْ</w:t>
      </w:r>
      <w:r w:rsidRPr="00282AC9">
        <w:rPr>
          <w:rtl/>
        </w:rPr>
        <w:t xml:space="preserve"> يحاول زعزعة إيمان الناس والمجتمع بها</w:t>
      </w:r>
      <w:r w:rsidR="000C3B4F" w:rsidRPr="00282AC9">
        <w:rPr>
          <w:rFonts w:hint="cs"/>
          <w:rtl/>
        </w:rPr>
        <w:t>؛</w:t>
      </w:r>
      <w:r w:rsidRPr="00282AC9">
        <w:rPr>
          <w:rtl/>
        </w:rPr>
        <w:t xml:space="preserve"> من أجل إعادة حركة المسيرة إلى الخط</w:t>
      </w:r>
      <w:r w:rsidR="000C3B4F" w:rsidRPr="00282AC9">
        <w:rPr>
          <w:rFonts w:hint="cs"/>
          <w:rtl/>
        </w:rPr>
        <w:t>ّ</w:t>
      </w:r>
      <w:r w:rsidRPr="00282AC9">
        <w:rPr>
          <w:rtl/>
        </w:rPr>
        <w:t xml:space="preserve"> عندما تنحرف في هذا الموقع أو ذاك. </w:t>
      </w:r>
    </w:p>
    <w:p w:rsidR="006F08FE" w:rsidRPr="00282AC9" w:rsidRDefault="007359AA" w:rsidP="00367C53">
      <w:pPr>
        <w:spacing w:line="406" w:lineRule="exact"/>
        <w:rPr>
          <w:bCs/>
          <w:rtl/>
        </w:rPr>
      </w:pPr>
      <w:r w:rsidRPr="00282AC9">
        <w:rPr>
          <w:rtl/>
        </w:rPr>
        <w:t>وقد ات</w:t>
      </w:r>
      <w:r w:rsidR="000C3B4F" w:rsidRPr="00282AC9">
        <w:rPr>
          <w:rFonts w:hint="cs"/>
          <w:rtl/>
        </w:rPr>
        <w:t>ّ</w:t>
      </w:r>
      <w:r w:rsidRPr="00282AC9">
        <w:rPr>
          <w:rtl/>
        </w:rPr>
        <w:t>بع الرضا</w:t>
      </w:r>
      <w:r w:rsidR="009A2A04" w:rsidRPr="00282AC9">
        <w:rPr>
          <w:rFonts w:cs="Mosawi"/>
          <w:szCs w:val="22"/>
          <w:rtl/>
        </w:rPr>
        <w:t>×</w:t>
      </w:r>
      <w:r w:rsidRPr="00282AC9">
        <w:rPr>
          <w:rtl/>
        </w:rPr>
        <w:t xml:space="preserve"> في ذلك أسلوب المناظرة والحوار والج</w:t>
      </w:r>
      <w:r w:rsidR="000C3B4F" w:rsidRPr="00282AC9">
        <w:rPr>
          <w:rFonts w:hint="cs"/>
          <w:rtl/>
        </w:rPr>
        <w:t>َ</w:t>
      </w:r>
      <w:r w:rsidRPr="00282AC9">
        <w:rPr>
          <w:rtl/>
        </w:rPr>
        <w:t>د</w:t>
      </w:r>
      <w:r w:rsidR="000C3B4F" w:rsidRPr="00282AC9">
        <w:rPr>
          <w:rFonts w:hint="cs"/>
          <w:rtl/>
        </w:rPr>
        <w:t>َ</w:t>
      </w:r>
      <w:r w:rsidRPr="00282AC9">
        <w:rPr>
          <w:rtl/>
        </w:rPr>
        <w:t>ل بالتي هي أحسن مع كل</w:t>
      </w:r>
      <w:r w:rsidR="000C3B4F" w:rsidRPr="00282AC9">
        <w:rPr>
          <w:rFonts w:hint="cs"/>
          <w:rtl/>
        </w:rPr>
        <w:t>ّ</w:t>
      </w:r>
      <w:r w:rsidRPr="00282AC9">
        <w:rPr>
          <w:rtl/>
        </w:rPr>
        <w:t xml:space="preserve"> الناس والشخصي</w:t>
      </w:r>
      <w:r w:rsidR="000C3B4F" w:rsidRPr="00282AC9">
        <w:rPr>
          <w:rFonts w:hint="cs"/>
          <w:rtl/>
        </w:rPr>
        <w:t>ّ</w:t>
      </w:r>
      <w:r w:rsidRPr="00282AC9">
        <w:rPr>
          <w:rtl/>
        </w:rPr>
        <w:t>ات، ومن دون شروط</w:t>
      </w:r>
      <w:r w:rsidR="000C3B4F" w:rsidRPr="00282AC9">
        <w:rPr>
          <w:rFonts w:hint="cs"/>
          <w:rtl/>
        </w:rPr>
        <w:t>ٍ</w:t>
      </w:r>
      <w:r w:rsidRPr="00282AC9">
        <w:rPr>
          <w:rtl/>
        </w:rPr>
        <w:t xml:space="preserve"> مسبقة، وعلى مرأى ومسمع الجميع.</w:t>
      </w:r>
    </w:p>
    <w:p w:rsidR="007359AA" w:rsidRPr="00282AC9" w:rsidRDefault="007359AA" w:rsidP="00D47E7C">
      <w:pPr>
        <w:rPr>
          <w:b/>
          <w:rtl/>
        </w:rPr>
      </w:pPr>
      <w:r w:rsidRPr="00282AC9">
        <w:rPr>
          <w:rtl/>
        </w:rPr>
        <w:t>لقد دافع</w:t>
      </w:r>
      <w:r w:rsidR="009A2A04" w:rsidRPr="00282AC9">
        <w:rPr>
          <w:rFonts w:cs="Mosawi"/>
          <w:szCs w:val="22"/>
          <w:rtl/>
        </w:rPr>
        <w:t>×</w:t>
      </w:r>
      <w:r w:rsidRPr="00282AC9">
        <w:rPr>
          <w:rtl/>
        </w:rPr>
        <w:t xml:space="preserve"> ـ من خلال حواراته ومناظراته المشهورة في كتب التاريخ عن الإسلام ـ عن ق</w:t>
      </w:r>
      <w:r w:rsidR="00125994" w:rsidRPr="00282AC9">
        <w:rPr>
          <w:rFonts w:hint="cs"/>
          <w:rtl/>
        </w:rPr>
        <w:t>ِ</w:t>
      </w:r>
      <w:r w:rsidRPr="00282AC9">
        <w:rPr>
          <w:rtl/>
        </w:rPr>
        <w:t>ي</w:t>
      </w:r>
      <w:r w:rsidR="00125994" w:rsidRPr="00282AC9">
        <w:rPr>
          <w:rFonts w:hint="cs"/>
          <w:rtl/>
        </w:rPr>
        <w:t>َ</w:t>
      </w:r>
      <w:r w:rsidRPr="00282AC9">
        <w:rPr>
          <w:rtl/>
        </w:rPr>
        <w:t>م الإسلام</w:t>
      </w:r>
      <w:r w:rsidR="00125994" w:rsidRPr="00282AC9">
        <w:rPr>
          <w:rFonts w:hint="cs"/>
          <w:rtl/>
        </w:rPr>
        <w:t>؛</w:t>
      </w:r>
      <w:r w:rsidRPr="00282AC9">
        <w:rPr>
          <w:rtl/>
        </w:rPr>
        <w:t xml:space="preserve"> من أجل تثبيت معالم الدين، وأماط اللثام عن كثير</w:t>
      </w:r>
      <w:r w:rsidR="00125994" w:rsidRPr="00282AC9">
        <w:rPr>
          <w:rFonts w:hint="cs"/>
          <w:rtl/>
        </w:rPr>
        <w:t>ٍ</w:t>
      </w:r>
      <w:r w:rsidRPr="00282AC9">
        <w:rPr>
          <w:rtl/>
        </w:rPr>
        <w:t xml:space="preserve"> من كل</w:t>
      </w:r>
      <w:r w:rsidR="00125994" w:rsidRPr="00282AC9">
        <w:rPr>
          <w:rFonts w:hint="cs"/>
          <w:rtl/>
        </w:rPr>
        <w:t>ِّ</w:t>
      </w:r>
      <w:r w:rsidRPr="00282AC9">
        <w:rPr>
          <w:rtl/>
        </w:rPr>
        <w:t>ياته وأصوله الخاص</w:t>
      </w:r>
      <w:r w:rsidR="00125994" w:rsidRPr="00282AC9">
        <w:rPr>
          <w:rFonts w:hint="cs"/>
          <w:rtl/>
        </w:rPr>
        <w:t>ّ</w:t>
      </w:r>
      <w:r w:rsidRPr="00282AC9">
        <w:rPr>
          <w:rtl/>
        </w:rPr>
        <w:t>ة والعام</w:t>
      </w:r>
      <w:r w:rsidR="00125994" w:rsidRPr="00282AC9">
        <w:rPr>
          <w:rFonts w:hint="cs"/>
          <w:rtl/>
        </w:rPr>
        <w:t>ّ</w:t>
      </w:r>
      <w:r w:rsidRPr="00282AC9">
        <w:rPr>
          <w:rtl/>
        </w:rPr>
        <w:t>ة، وذلك في سياق س</w:t>
      </w:r>
      <w:r w:rsidR="00125994" w:rsidRPr="00282AC9">
        <w:rPr>
          <w:rFonts w:hint="cs"/>
          <w:rtl/>
        </w:rPr>
        <w:t>َ</w:t>
      </w:r>
      <w:r w:rsidRPr="00282AC9">
        <w:rPr>
          <w:rtl/>
        </w:rPr>
        <w:t>ع</w:t>
      </w:r>
      <w:r w:rsidR="00125994" w:rsidRPr="00282AC9">
        <w:rPr>
          <w:rFonts w:hint="cs"/>
          <w:rtl/>
        </w:rPr>
        <w:t>ْ</w:t>
      </w:r>
      <w:r w:rsidRPr="00282AC9">
        <w:rPr>
          <w:rtl/>
        </w:rPr>
        <w:t>يه الحثيث لإعادة بناء ص</w:t>
      </w:r>
      <w:r w:rsidR="00125994" w:rsidRPr="00282AC9">
        <w:rPr>
          <w:rFonts w:hint="cs"/>
          <w:rtl/>
        </w:rPr>
        <w:t>ِ</w:t>
      </w:r>
      <w:r w:rsidRPr="00282AC9">
        <w:rPr>
          <w:rtl/>
        </w:rPr>
        <w:t>ي</w:t>
      </w:r>
      <w:r w:rsidR="00125994" w:rsidRPr="00282AC9">
        <w:rPr>
          <w:rFonts w:hint="cs"/>
          <w:rtl/>
        </w:rPr>
        <w:t>َ</w:t>
      </w:r>
      <w:r w:rsidRPr="00282AC9">
        <w:rPr>
          <w:rtl/>
        </w:rPr>
        <w:t>غ جديدة حقيقي</w:t>
      </w:r>
      <w:r w:rsidR="00125994" w:rsidRPr="00282AC9">
        <w:rPr>
          <w:rFonts w:hint="cs"/>
          <w:rtl/>
        </w:rPr>
        <w:t>ّ</w:t>
      </w:r>
      <w:r w:rsidRPr="00282AC9">
        <w:rPr>
          <w:rtl/>
        </w:rPr>
        <w:t>ة لمعنى المعارف الدينية، وتعميق صلة الأم</w:t>
      </w:r>
      <w:r w:rsidR="00125994" w:rsidRPr="00282AC9">
        <w:rPr>
          <w:rFonts w:hint="cs"/>
          <w:rtl/>
        </w:rPr>
        <w:t>ّ</w:t>
      </w:r>
      <w:r w:rsidRPr="00282AC9">
        <w:rPr>
          <w:rtl/>
        </w:rPr>
        <w:t xml:space="preserve">ة بدينها </w:t>
      </w:r>
      <w:r w:rsidR="00125994" w:rsidRPr="00282AC9">
        <w:rPr>
          <w:rtl/>
        </w:rPr>
        <w:t xml:space="preserve">وفكرها </w:t>
      </w:r>
      <w:r w:rsidRPr="00282AC9">
        <w:rPr>
          <w:rtl/>
        </w:rPr>
        <w:t>الإسلامي</w:t>
      </w:r>
      <w:r w:rsidR="00125994" w:rsidRPr="00282AC9">
        <w:rPr>
          <w:rFonts w:hint="cs"/>
          <w:rtl/>
        </w:rPr>
        <w:t>ّ،</w:t>
      </w:r>
      <w:r w:rsidRPr="00282AC9">
        <w:rPr>
          <w:rtl/>
        </w:rPr>
        <w:t xml:space="preserve"> وذاتها الحضاري</w:t>
      </w:r>
      <w:r w:rsidR="00125994" w:rsidRPr="00282AC9">
        <w:rPr>
          <w:rFonts w:hint="cs"/>
          <w:rtl/>
        </w:rPr>
        <w:t>ّ</w:t>
      </w:r>
      <w:r w:rsidRPr="00282AC9">
        <w:rPr>
          <w:rtl/>
        </w:rPr>
        <w:t>ة</w:t>
      </w:r>
      <w:r w:rsidR="00125994" w:rsidRPr="00282AC9">
        <w:rPr>
          <w:rFonts w:hint="cs"/>
          <w:rtl/>
        </w:rPr>
        <w:t>.</w:t>
      </w:r>
      <w:r w:rsidRPr="00282AC9">
        <w:rPr>
          <w:rtl/>
        </w:rPr>
        <w:t xml:space="preserve"> وهذا ما يت</w:t>
      </w:r>
      <w:r w:rsidR="00125994" w:rsidRPr="00282AC9">
        <w:rPr>
          <w:rFonts w:hint="cs"/>
          <w:rtl/>
        </w:rPr>
        <w:t>ّ</w:t>
      </w:r>
      <w:r w:rsidRPr="00282AC9">
        <w:rPr>
          <w:rtl/>
        </w:rPr>
        <w:t>ضح لنا من خلال الأمور التالية:</w:t>
      </w:r>
    </w:p>
    <w:p w:rsidR="00367C53" w:rsidRPr="00282AC9" w:rsidRDefault="00367C53" w:rsidP="00367C53">
      <w:pPr>
        <w:spacing w:line="420" w:lineRule="exact"/>
        <w:rPr>
          <w:sz w:val="27"/>
          <w:rtl/>
        </w:rPr>
      </w:pPr>
    </w:p>
    <w:p w:rsidR="007359AA" w:rsidRPr="00282AC9" w:rsidRDefault="007359AA" w:rsidP="00DE5F16">
      <w:pPr>
        <w:pStyle w:val="31"/>
        <w:rPr>
          <w:b/>
          <w:color w:val="auto"/>
          <w:rtl/>
        </w:rPr>
      </w:pPr>
      <w:r w:rsidRPr="00282AC9">
        <w:rPr>
          <w:rFonts w:hint="cs"/>
          <w:color w:val="auto"/>
          <w:rtl/>
        </w:rPr>
        <w:t>أ</w:t>
      </w:r>
      <w:r w:rsidRPr="00282AC9">
        <w:rPr>
          <w:color w:val="auto"/>
          <w:rtl/>
        </w:rPr>
        <w:t xml:space="preserve">ـ </w:t>
      </w:r>
      <w:r w:rsidRPr="00282AC9">
        <w:rPr>
          <w:rFonts w:hint="cs"/>
          <w:color w:val="auto"/>
          <w:rtl/>
        </w:rPr>
        <w:t xml:space="preserve">إعادة التأكيد على </w:t>
      </w:r>
      <w:r w:rsidRPr="00282AC9">
        <w:rPr>
          <w:color w:val="auto"/>
          <w:rtl/>
        </w:rPr>
        <w:t>أصول العقيدة</w:t>
      </w:r>
      <w:r w:rsidRPr="00282AC9">
        <w:rPr>
          <w:rFonts w:hint="cs"/>
          <w:color w:val="auto"/>
          <w:rtl/>
        </w:rPr>
        <w:t xml:space="preserve"> الإسلامي</w:t>
      </w:r>
      <w:r w:rsidR="00125994" w:rsidRPr="00282AC9">
        <w:rPr>
          <w:rFonts w:hint="cs"/>
          <w:color w:val="auto"/>
          <w:rtl/>
        </w:rPr>
        <w:t>ّ</w:t>
      </w:r>
      <w:r w:rsidRPr="00282AC9">
        <w:rPr>
          <w:rFonts w:hint="cs"/>
          <w:color w:val="auto"/>
          <w:rtl/>
        </w:rPr>
        <w:t>ة</w:t>
      </w:r>
      <w:r w:rsidR="00125994" w:rsidRPr="00282AC9">
        <w:rPr>
          <w:rFonts w:hint="cs"/>
          <w:color w:val="auto"/>
          <w:rtl/>
        </w:rPr>
        <w:t>،</w:t>
      </w:r>
      <w:r w:rsidRPr="00282AC9">
        <w:rPr>
          <w:color w:val="auto"/>
          <w:rtl/>
        </w:rPr>
        <w:t xml:space="preserve"> </w:t>
      </w:r>
      <w:r w:rsidRPr="00282AC9">
        <w:rPr>
          <w:rFonts w:hint="cs"/>
          <w:color w:val="auto"/>
          <w:rtl/>
        </w:rPr>
        <w:t>وشرحها</w:t>
      </w:r>
      <w:r w:rsidR="00E31173" w:rsidRPr="00282AC9">
        <w:rPr>
          <w:rFonts w:hint="cs"/>
          <w:color w:val="auto"/>
          <w:rtl/>
        </w:rPr>
        <w:t>،</w:t>
      </w:r>
      <w:r w:rsidRPr="00282AC9">
        <w:rPr>
          <w:rFonts w:hint="cs"/>
          <w:color w:val="auto"/>
          <w:rtl/>
        </w:rPr>
        <w:t xml:space="preserve"> </w:t>
      </w:r>
      <w:r w:rsidRPr="00282AC9">
        <w:rPr>
          <w:color w:val="auto"/>
          <w:rtl/>
        </w:rPr>
        <w:t>وتثبيت أ</w:t>
      </w:r>
      <w:r w:rsidR="00125994" w:rsidRPr="00282AC9">
        <w:rPr>
          <w:rFonts w:hint="cs"/>
          <w:color w:val="auto"/>
          <w:rtl/>
        </w:rPr>
        <w:t>ُ</w:t>
      </w:r>
      <w:r w:rsidRPr="00282AC9">
        <w:rPr>
          <w:color w:val="auto"/>
          <w:rtl/>
        </w:rPr>
        <w:t>س</w:t>
      </w:r>
      <w:r w:rsidR="00125994" w:rsidRPr="00282AC9">
        <w:rPr>
          <w:rFonts w:hint="cs"/>
          <w:color w:val="auto"/>
          <w:rtl/>
        </w:rPr>
        <w:t>ُ</w:t>
      </w:r>
      <w:r w:rsidRPr="00282AC9">
        <w:rPr>
          <w:color w:val="auto"/>
          <w:rtl/>
        </w:rPr>
        <w:t>سها العامة في ذهني</w:t>
      </w:r>
      <w:r w:rsidR="00125994" w:rsidRPr="00282AC9">
        <w:rPr>
          <w:rFonts w:hint="cs"/>
          <w:color w:val="auto"/>
          <w:rtl/>
        </w:rPr>
        <w:t>ّ</w:t>
      </w:r>
      <w:r w:rsidRPr="00282AC9">
        <w:rPr>
          <w:color w:val="auto"/>
          <w:rtl/>
        </w:rPr>
        <w:t>ة الأم</w:t>
      </w:r>
      <w:r w:rsidR="00125994" w:rsidRPr="00282AC9">
        <w:rPr>
          <w:rFonts w:hint="cs"/>
          <w:color w:val="auto"/>
          <w:rtl/>
        </w:rPr>
        <w:t>ّ</w:t>
      </w:r>
      <w:r w:rsidRPr="00282AC9">
        <w:rPr>
          <w:color w:val="auto"/>
          <w:rtl/>
        </w:rPr>
        <w:t>ة</w:t>
      </w:r>
    </w:p>
    <w:p w:rsidR="007359AA" w:rsidRPr="00282AC9" w:rsidRDefault="00E31173" w:rsidP="00DE5F16">
      <w:pPr>
        <w:pStyle w:val="31"/>
        <w:rPr>
          <w:b/>
          <w:color w:val="auto"/>
          <w:rtl/>
        </w:rPr>
      </w:pPr>
      <w:r w:rsidRPr="00282AC9">
        <w:rPr>
          <w:rFonts w:hint="cs"/>
          <w:color w:val="auto"/>
          <w:rtl/>
        </w:rPr>
        <w:t xml:space="preserve">1ـ </w:t>
      </w:r>
      <w:r w:rsidR="007359AA" w:rsidRPr="00282AC9">
        <w:rPr>
          <w:color w:val="auto"/>
          <w:rtl/>
        </w:rPr>
        <w:t xml:space="preserve">نموذج التوحيد </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التوحيد أصل</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أصول الدين، وثابت</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مركزي</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ثوابت </w:t>
      </w:r>
      <w:r w:rsidRPr="00282AC9">
        <w:rPr>
          <w:rFonts w:ascii="Simplified Arabic" w:hAnsi="Simplified Arabic" w:cs="AL-Mohanad" w:hint="cs"/>
          <w:bCs w:val="0"/>
          <w:color w:val="auto"/>
          <w:sz w:val="27"/>
          <w:szCs w:val="27"/>
          <w:rtl/>
        </w:rPr>
        <w:t xml:space="preserve">العقيدة </w:t>
      </w:r>
      <w:r w:rsidRPr="00282AC9">
        <w:rPr>
          <w:rFonts w:ascii="Simplified Arabic" w:hAnsi="Simplified Arabic" w:cs="AL-Mohanad"/>
          <w:bCs w:val="0"/>
          <w:color w:val="auto"/>
          <w:sz w:val="27"/>
          <w:szCs w:val="27"/>
          <w:rtl/>
        </w:rPr>
        <w:t>الإسلام</w:t>
      </w:r>
      <w:r w:rsidRPr="00282AC9">
        <w:rPr>
          <w:rFonts w:ascii="Simplified Arabic" w:hAnsi="Simplified Arabic" w:cs="AL-Mohanad" w:hint="cs"/>
          <w:bCs w:val="0"/>
          <w:color w:val="auto"/>
          <w:sz w:val="27"/>
          <w:szCs w:val="27"/>
          <w:rtl/>
        </w:rPr>
        <w:t>ية</w:t>
      </w:r>
      <w:r w:rsidRPr="00282AC9">
        <w:rPr>
          <w:rFonts w:ascii="Simplified Arabic" w:hAnsi="Simplified Arabic" w:cs="AL-Mohanad"/>
          <w:bCs w:val="0"/>
          <w:color w:val="auto"/>
          <w:sz w:val="27"/>
          <w:szCs w:val="27"/>
          <w:rtl/>
        </w:rPr>
        <w:t>،</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hint="cs"/>
          <w:bCs w:val="0"/>
          <w:color w:val="auto"/>
          <w:sz w:val="27"/>
          <w:szCs w:val="27"/>
          <w:rtl/>
        </w:rPr>
        <w:lastRenderedPageBreak/>
        <w:t>بل هو ج</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و</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هرها،</w:t>
      </w:r>
      <w:r w:rsidRPr="00282AC9">
        <w:rPr>
          <w:rFonts w:ascii="Simplified Arabic" w:hAnsi="Simplified Arabic" w:cs="AL-Mohanad"/>
          <w:bCs w:val="0"/>
          <w:color w:val="auto"/>
          <w:sz w:val="27"/>
          <w:szCs w:val="27"/>
          <w:rtl/>
        </w:rPr>
        <w:t xml:space="preserve"> ومنطلق</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أساس</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للمعرفة والسلوك الإنساني</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تجل</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ياته وأبعاده الواقعي</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لذلك حاول</w:t>
      </w:r>
      <w:r w:rsidRPr="00282AC9">
        <w:rPr>
          <w:rFonts w:ascii="Simplified Arabic" w:hAnsi="Simplified Arabic" w:cs="AL-Mohanad" w:hint="cs"/>
          <w:bCs w:val="0"/>
          <w:color w:val="auto"/>
          <w:sz w:val="27"/>
          <w:szCs w:val="27"/>
          <w:rtl/>
        </w:rPr>
        <w:t xml:space="preserve"> 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ـ بعد أن رأى وعاين مباشرة</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وجود كثير من الأفكار المنحرفة عن المعنى الحقيقي للتوحيد ـ أن يوض</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ح جزئيات وتفاصيل هذه العقيدة، ويعر</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 بصفات الله وأسمائه الحسنى، وعلاقته بخلقه، وما يصح</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أن يوصف به سبحانه، وي</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 إليه، وما لا يصح</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ولا تجوز نسبته إلى الله تعالى</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كالتشبيه، والتجسيم، والمماثلة</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إلخ.</w:t>
      </w:r>
      <w:r w:rsidRPr="00282AC9">
        <w:rPr>
          <w:rFonts w:ascii="Simplified Arabic" w:hAnsi="Simplified Arabic" w:cs="AL-Mohanad"/>
          <w:bCs w:val="0"/>
          <w:color w:val="auto"/>
          <w:sz w:val="27"/>
          <w:szCs w:val="27"/>
          <w:rtl/>
        </w:rPr>
        <w:t xml:space="preserve"> يقول</w:t>
      </w:r>
      <w:r w:rsidRPr="00282AC9">
        <w:rPr>
          <w:rFonts w:ascii="Simplified Arabic" w:hAnsi="Simplified Arabic" w:cs="AL-Mohanad" w:hint="cs"/>
          <w:bCs w:val="0"/>
          <w:color w:val="auto"/>
          <w:sz w:val="27"/>
          <w:szCs w:val="27"/>
          <w:rtl/>
        </w:rPr>
        <w:t xml:space="preserve">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إن م</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ح</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ض</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الإسلام شهادة أن لا إله إلا</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الله وحده لا شريك له، إلهاً واحداً، ف</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داً ص</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داً، قي</w:t>
      </w:r>
      <w:r w:rsidR="0012599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وماً، سميعاً، بصيراً، قديراً، قديماً، قائماً، باقياً، عالماً لا يجهل، قادراً لا يعجز، غني</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 لا يحتاج، عادلاً لا يجو</w:t>
      </w:r>
      <w:r w:rsidRPr="00282AC9">
        <w:rPr>
          <w:rFonts w:ascii="Simplified Arabic" w:hAnsi="Simplified Arabic" w:cs="AL-Mohanad" w:hint="cs"/>
          <w:bCs w:val="0"/>
          <w:color w:val="auto"/>
          <w:sz w:val="27"/>
          <w:szCs w:val="27"/>
          <w:rtl/>
        </w:rPr>
        <w:t>ر</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w:t>
      </w:r>
      <w:r w:rsidR="00FE72C9" w:rsidRPr="00282AC9">
        <w:rPr>
          <w:rFonts w:ascii="Simplified Arabic" w:hAnsi="Simplified Arabic" w:cs="AL-Mohanad" w:hint="cs"/>
          <w:bCs w:val="0"/>
          <w:color w:val="auto"/>
          <w:sz w:val="27"/>
          <w:szCs w:val="27"/>
          <w:rtl/>
        </w:rPr>
        <w:t>أ</w:t>
      </w:r>
      <w:r w:rsidRPr="00282AC9">
        <w:rPr>
          <w:rFonts w:ascii="Simplified Arabic" w:hAnsi="Simplified Arabic" w:cs="AL-Mohanad"/>
          <w:bCs w:val="0"/>
          <w:color w:val="auto"/>
          <w:sz w:val="27"/>
          <w:szCs w:val="27"/>
          <w:rtl/>
        </w:rPr>
        <w:t>نه خالق كل</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شيء</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لا شبيه له، ولا ضد</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له، ولا ند</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له، ولا ك</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ء</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له، وأنه المقصود بالعبادة والدعاء والرغبة والرهبة</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w:t>
      </w:r>
      <w:r w:rsidR="00FE72C9" w:rsidRPr="00282AC9">
        <w:rPr>
          <w:rFonts w:ascii="Simplified Arabic" w:hAnsi="Simplified Arabic" w:cs="AL-Mohanad" w:hint="cs"/>
          <w:bCs w:val="0"/>
          <w:color w:val="auto"/>
          <w:sz w:val="27"/>
          <w:szCs w:val="27"/>
          <w:rtl/>
        </w:rPr>
        <w:t>أ</w:t>
      </w:r>
      <w:r w:rsidRPr="00282AC9">
        <w:rPr>
          <w:rFonts w:ascii="Simplified Arabic" w:hAnsi="Simplified Arabic" w:cs="AL-Mohanad"/>
          <w:bCs w:val="0"/>
          <w:color w:val="auto"/>
          <w:sz w:val="27"/>
          <w:szCs w:val="27"/>
          <w:rtl/>
        </w:rPr>
        <w:t>ن محمداً عبده ورسوله وأمينه وصفي</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 وصفوته من خلقه</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وسي</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 المرسلين</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وخاتم النبي</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ين</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وأفضل العالمين،</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لا نبي</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بعده، ولا تبديل لمل</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ته</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ولا تغيير لشريعته</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w:t>
      </w:r>
      <w:r w:rsidR="00FE72C9" w:rsidRPr="00282AC9">
        <w:rPr>
          <w:rFonts w:ascii="Simplified Arabic" w:hAnsi="Simplified Arabic" w:cs="AL-Mohanad" w:hint="cs"/>
          <w:bCs w:val="0"/>
          <w:color w:val="auto"/>
          <w:sz w:val="27"/>
          <w:szCs w:val="27"/>
          <w:rtl/>
        </w:rPr>
        <w:t>أ</w:t>
      </w:r>
      <w:r w:rsidRPr="00282AC9">
        <w:rPr>
          <w:rFonts w:ascii="Simplified Arabic" w:hAnsi="Simplified Arabic" w:cs="AL-Mohanad"/>
          <w:bCs w:val="0"/>
          <w:color w:val="auto"/>
          <w:sz w:val="27"/>
          <w:szCs w:val="27"/>
          <w:rtl/>
        </w:rPr>
        <w:t>ن جميع ما جاء به محمد بن عبد الله</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هو الحق</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المبين</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والتصديق به وبجميع م</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مضى قبله من رسل الله وأنبيائه وح</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ج</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ج</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 والتصديق بكتابه الصادق العزيز</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الذي </w:t>
      </w:r>
      <w:r w:rsidRPr="00282AC9">
        <w:rPr>
          <w:rFonts w:ascii="Mosawi" w:hAnsi="Mosawi" w:cs="Mosawi"/>
          <w:bCs w:val="0"/>
          <w:color w:val="auto"/>
          <w:sz w:val="24"/>
          <w:szCs w:val="24"/>
          <w:rtl/>
        </w:rPr>
        <w:t>﴿</w:t>
      </w:r>
      <w:r w:rsidR="00FE72C9" w:rsidRPr="00282AC9">
        <w:rPr>
          <w:rFonts w:cs="AL-Mohanad"/>
          <w:color w:val="auto"/>
          <w:sz w:val="27"/>
          <w:szCs w:val="27"/>
          <w:rtl/>
        </w:rPr>
        <w:t>لاَ يَأْتِيهِ الْبَاطِلُ مِنْ بَيْنِ يَدَيْهِ وَلاَ مِنْ خَلْفِهِ تَنزِيلٌ مِنْ حَكِيمٍ حَمِيدٍ</w:t>
      </w:r>
      <w:r w:rsidRPr="00282AC9">
        <w:rPr>
          <w:rFonts w:ascii="Mosawi" w:hAnsi="Mosawi" w:cs="Mosawi"/>
          <w:bCs w:val="0"/>
          <w:color w:val="auto"/>
          <w:sz w:val="24"/>
          <w:szCs w:val="24"/>
          <w:rtl/>
        </w:rPr>
        <w:t>﴾</w:t>
      </w:r>
      <w:r w:rsidRPr="00282AC9">
        <w:rPr>
          <w:rFonts w:ascii="Simplified Arabic" w:hAnsi="Simplified Arabic" w:cs="AL-Mohanad"/>
          <w:bCs w:val="0"/>
          <w:color w:val="auto"/>
          <w:sz w:val="27"/>
          <w:szCs w:val="27"/>
          <w:rtl/>
        </w:rPr>
        <w:t xml:space="preserve"> (فص</w:t>
      </w:r>
      <w:r w:rsidRPr="00282AC9">
        <w:rPr>
          <w:rFonts w:ascii="Simplified Arabic" w:hAnsi="Simplified Arabic" w:cs="AL-Mohanad" w:hint="cs"/>
          <w:bCs w:val="0"/>
          <w:color w:val="auto"/>
          <w:sz w:val="27"/>
          <w:szCs w:val="27"/>
          <w:rtl/>
        </w:rPr>
        <w:t>ّ</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لت</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42)</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4"/>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وسئل</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عن تفسير قوله تعالى: </w:t>
      </w:r>
      <w:r w:rsidRPr="00282AC9">
        <w:rPr>
          <w:rFonts w:ascii="Mosawi" w:hAnsi="Mosawi" w:cs="Mosawi"/>
          <w:bCs w:val="0"/>
          <w:color w:val="auto"/>
          <w:sz w:val="24"/>
          <w:szCs w:val="24"/>
          <w:rtl/>
        </w:rPr>
        <w:t>﴿</w:t>
      </w:r>
      <w:r w:rsidR="00FE72C9" w:rsidRPr="00282AC9">
        <w:rPr>
          <w:rFonts w:ascii="Simplified Arabic" w:hAnsi="Simplified Arabic" w:cs="AL-Mohanad"/>
          <w:color w:val="auto"/>
          <w:sz w:val="27"/>
          <w:szCs w:val="27"/>
          <w:rtl/>
        </w:rPr>
        <w:t>وَتَرَكَهُمْ فِي ظُلُمَاتٍ لاَ يُبْصِرُونَ</w:t>
      </w:r>
      <w:r w:rsidRPr="00282AC9">
        <w:rPr>
          <w:rFonts w:ascii="Mosawi" w:hAnsi="Mosawi" w:cs="Mosawi"/>
          <w:bCs w:val="0"/>
          <w:color w:val="auto"/>
          <w:sz w:val="24"/>
          <w:szCs w:val="24"/>
          <w:rtl/>
        </w:rPr>
        <w:t>﴾</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فقال</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إن الله تبارك وتعالى لا ي</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وص</w:t>
      </w:r>
      <w:r w:rsidR="00FE72C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 بالترك كما يوصف خلقه، ولكن</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 متى علم أنهم لا يرجعون عن الكفر والضلال منعهم المعاونة واللطف</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وخل</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ى بينهم وبين اختيارهم</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5"/>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 xml:space="preserve"> وورد في رواية</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له</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م</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شب</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 الله بخلقه فهو مشرك</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وم</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نسب إليه ما نهى عنه فهو كافر</w:t>
      </w:r>
      <w:r w:rsidR="004C62AF" w:rsidRPr="00282AC9">
        <w:rPr>
          <w:rFonts w:ascii="Simplified Arabic" w:hAnsi="Simplified Arabic" w:cs="AL-Mohanad" w:hint="cs"/>
          <w:bCs w:val="0"/>
          <w:color w:val="auto"/>
          <w:sz w:val="27"/>
          <w:szCs w:val="27"/>
          <w:rtl/>
        </w:rPr>
        <w:t>ٌ</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6"/>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367C53" w:rsidRPr="00282AC9" w:rsidRDefault="00367C53" w:rsidP="00367C53">
      <w:pPr>
        <w:spacing w:line="420" w:lineRule="exact"/>
        <w:rPr>
          <w:sz w:val="27"/>
          <w:rtl/>
        </w:rPr>
      </w:pPr>
    </w:p>
    <w:p w:rsidR="007359AA" w:rsidRPr="00282AC9" w:rsidRDefault="00E31173" w:rsidP="00DE5F16">
      <w:pPr>
        <w:pStyle w:val="31"/>
        <w:rPr>
          <w:b/>
          <w:color w:val="auto"/>
          <w:rtl/>
        </w:rPr>
      </w:pPr>
      <w:r w:rsidRPr="00282AC9">
        <w:rPr>
          <w:rFonts w:hint="cs"/>
          <w:color w:val="auto"/>
          <w:rtl/>
        </w:rPr>
        <w:t xml:space="preserve">2ـ </w:t>
      </w:r>
      <w:r w:rsidR="007359AA" w:rsidRPr="00282AC9">
        <w:rPr>
          <w:color w:val="auto"/>
          <w:rtl/>
        </w:rPr>
        <w:t>نموذج الج</w:t>
      </w:r>
      <w:r w:rsidR="004C62AF" w:rsidRPr="00282AC9">
        <w:rPr>
          <w:rFonts w:hint="cs"/>
          <w:color w:val="auto"/>
          <w:rtl/>
        </w:rPr>
        <w:t>َ</w:t>
      </w:r>
      <w:r w:rsidR="007359AA" w:rsidRPr="00282AC9">
        <w:rPr>
          <w:color w:val="auto"/>
          <w:rtl/>
        </w:rPr>
        <w:t>ب</w:t>
      </w:r>
      <w:r w:rsidR="004C62AF" w:rsidRPr="00282AC9">
        <w:rPr>
          <w:rFonts w:hint="cs"/>
          <w:color w:val="auto"/>
          <w:rtl/>
        </w:rPr>
        <w:t>ْ</w:t>
      </w:r>
      <w:r w:rsidR="007359AA" w:rsidRPr="00282AC9">
        <w:rPr>
          <w:color w:val="auto"/>
          <w:rtl/>
        </w:rPr>
        <w:t>ر والاختيا</w:t>
      </w:r>
      <w:r w:rsidR="007359AA" w:rsidRPr="00282AC9">
        <w:rPr>
          <w:rFonts w:hint="cs"/>
          <w:color w:val="auto"/>
          <w:rtl/>
        </w:rPr>
        <w:t>ر</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تصدّى إمامنا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لكثير</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الأفكار والمقولات الكلامية والفلسفية المنحرفة عن عقيدة التوحيد، وأسقط ح</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ج</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جها الواهية المصطنعة، وكشف بطلانها وز</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فها</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مصح</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حاً بذلك المعنى الجوهري</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لأركان الاعتقاد بالله تعالى، ومثبتاً نقاوته وأصالته.</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 xml:space="preserve">وكانت قضية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الج</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 والتفويض</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 xml:space="preserve"> من بين القضايا العقائدية التي انشغل بها العلماء </w:t>
      </w:r>
      <w:r w:rsidRPr="00282AC9">
        <w:rPr>
          <w:rFonts w:ascii="Simplified Arabic" w:hAnsi="Simplified Arabic" w:cs="AL-Mohanad"/>
          <w:bCs w:val="0"/>
          <w:color w:val="auto"/>
          <w:sz w:val="27"/>
          <w:szCs w:val="27"/>
          <w:rtl/>
        </w:rPr>
        <w:lastRenderedPageBreak/>
        <w:t>والمتكل</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مون لفترة</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زمنية طويلة، </w:t>
      </w:r>
      <w:r w:rsidRPr="00282AC9">
        <w:rPr>
          <w:rFonts w:ascii="Simplified Arabic" w:hAnsi="Simplified Arabic" w:cs="AL-Mohanad" w:hint="cs"/>
          <w:bCs w:val="0"/>
          <w:color w:val="auto"/>
          <w:sz w:val="27"/>
          <w:szCs w:val="27"/>
          <w:rtl/>
        </w:rPr>
        <w:t>و</w:t>
      </w:r>
      <w:r w:rsidRPr="00282AC9">
        <w:rPr>
          <w:rFonts w:ascii="Simplified Arabic" w:hAnsi="Simplified Arabic" w:cs="AL-Mohanad"/>
          <w:bCs w:val="0"/>
          <w:color w:val="auto"/>
          <w:sz w:val="27"/>
          <w:szCs w:val="27"/>
          <w:rtl/>
        </w:rPr>
        <w:t>لا تزال آثارها باقية</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حت</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ى الآن.</w:t>
      </w:r>
    </w:p>
    <w:p w:rsidR="007359AA" w:rsidRPr="00282AC9" w:rsidRDefault="007359AA" w:rsidP="00367C53">
      <w:pPr>
        <w:pStyle w:val="18"/>
        <w:widowControl w:val="0"/>
        <w:spacing w:line="404"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لقد ظهر</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r w:rsidRPr="00282AC9">
        <w:rPr>
          <w:rFonts w:ascii="Simplified Arabic" w:hAnsi="Simplified Arabic" w:cs="AL-Mohanad" w:hint="cs"/>
          <w:bCs w:val="0"/>
          <w:color w:val="auto"/>
          <w:sz w:val="27"/>
          <w:szCs w:val="27"/>
          <w:rtl/>
        </w:rPr>
        <w:t xml:space="preserve">في التاريخ </w:t>
      </w:r>
      <w:r w:rsidRPr="00282AC9">
        <w:rPr>
          <w:rFonts w:ascii="Simplified Arabic" w:hAnsi="Simplified Arabic" w:cs="AL-Mohanad"/>
          <w:bCs w:val="0"/>
          <w:color w:val="auto"/>
          <w:sz w:val="27"/>
          <w:szCs w:val="27"/>
          <w:rtl/>
        </w:rPr>
        <w:t xml:space="preserve">ـ </w:t>
      </w:r>
      <w:r w:rsidRPr="00282AC9">
        <w:rPr>
          <w:rFonts w:ascii="Simplified Arabic" w:hAnsi="Simplified Arabic" w:cs="AL-Mohanad" w:hint="cs"/>
          <w:bCs w:val="0"/>
          <w:color w:val="auto"/>
          <w:sz w:val="27"/>
          <w:szCs w:val="27"/>
          <w:rtl/>
        </w:rPr>
        <w:t>منذ أي</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ام الرضا</w:t>
      </w:r>
      <w:r w:rsidR="009A2A04" w:rsidRPr="00282AC9">
        <w:rPr>
          <w:rFonts w:ascii="Simplified Arabic" w:hAnsi="Simplified Arabic" w:cs="Mosawi" w:hint="cs"/>
          <w:bCs w:val="0"/>
          <w:color w:val="auto"/>
          <w:szCs w:val="22"/>
          <w:rtl/>
        </w:rPr>
        <w:t>×</w:t>
      </w:r>
      <w:r w:rsidRPr="00282AC9">
        <w:rPr>
          <w:rFonts w:ascii="Simplified Arabic" w:hAnsi="Simplified Arabic" w:cs="AL-Mohanad" w:hint="cs"/>
          <w:bCs w:val="0"/>
          <w:color w:val="auto"/>
          <w:sz w:val="27"/>
          <w:szCs w:val="27"/>
          <w:rtl/>
        </w:rPr>
        <w:t xml:space="preserve"> ـ </w:t>
      </w:r>
      <w:r w:rsidRPr="00282AC9">
        <w:rPr>
          <w:rFonts w:ascii="Simplified Arabic" w:hAnsi="Simplified Arabic" w:cs="AL-Mohanad"/>
          <w:bCs w:val="0"/>
          <w:color w:val="auto"/>
          <w:sz w:val="27"/>
          <w:szCs w:val="27"/>
          <w:rtl/>
        </w:rPr>
        <w:t>مدرسة</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ج</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رية تنادي بانعدام الاختيار الإنساني</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وترى الإنسان غير مخي</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أفعاله</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بل هو مجبور</w:t>
      </w:r>
      <w:r w:rsidR="004C62AF"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ـ بحكم العقل والفطرة ـ على </w:t>
      </w:r>
      <w:r w:rsidRPr="00282AC9">
        <w:rPr>
          <w:rFonts w:ascii="Simplified Arabic" w:hAnsi="Simplified Arabic" w:cs="AL-Mohanad"/>
          <w:bCs w:val="0"/>
          <w:color w:val="auto"/>
          <w:sz w:val="26"/>
          <w:szCs w:val="26"/>
          <w:rtl/>
        </w:rPr>
        <w:t>سلوكه وفعله، وأن الإنسان ليس إلا</w:t>
      </w:r>
      <w:r w:rsidR="004C62AF"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المحل</w:t>
      </w:r>
      <w:r w:rsidR="004C62AF"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الذي تجري عليه أفعال الله تعالى بإرادته</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كما يجري الماء في النهر، وليس له </w:t>
      </w:r>
      <w:r w:rsidR="00EE6DBA" w:rsidRPr="00282AC9">
        <w:rPr>
          <w:rFonts w:ascii="Simplified Arabic" w:hAnsi="Simplified Arabic" w:cs="AL-Mohanad"/>
          <w:bCs w:val="0"/>
          <w:color w:val="auto"/>
          <w:sz w:val="26"/>
          <w:szCs w:val="26"/>
          <w:rtl/>
        </w:rPr>
        <w:t>دَوْر</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ولا تأثير</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w:t>
      </w:r>
      <w:r w:rsidRPr="00282AC9">
        <w:rPr>
          <w:rFonts w:ascii="Simplified Arabic" w:hAnsi="Simplified Arabic" w:cs="AL-Mohanad" w:hint="cs"/>
          <w:bCs w:val="0"/>
          <w:color w:val="auto"/>
          <w:sz w:val="26"/>
          <w:szCs w:val="26"/>
          <w:rtl/>
        </w:rPr>
        <w:t>ولا أي</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hint="cs"/>
          <w:bCs w:val="0"/>
          <w:color w:val="auto"/>
          <w:sz w:val="26"/>
          <w:szCs w:val="26"/>
          <w:rtl/>
        </w:rPr>
        <w:t xml:space="preserve"> فعالية</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hint="cs"/>
          <w:bCs w:val="0"/>
          <w:color w:val="auto"/>
          <w:sz w:val="26"/>
          <w:szCs w:val="26"/>
          <w:rtl/>
        </w:rPr>
        <w:t xml:space="preserve"> </w:t>
      </w:r>
      <w:r w:rsidRPr="00282AC9">
        <w:rPr>
          <w:rFonts w:ascii="Simplified Arabic" w:hAnsi="Simplified Arabic" w:cs="AL-Mohanad"/>
          <w:bCs w:val="0"/>
          <w:color w:val="auto"/>
          <w:sz w:val="26"/>
          <w:szCs w:val="26"/>
          <w:rtl/>
        </w:rPr>
        <w:t xml:space="preserve">في مجرى </w:t>
      </w:r>
      <w:r w:rsidRPr="00282AC9">
        <w:rPr>
          <w:rFonts w:ascii="Simplified Arabic" w:hAnsi="Simplified Arabic" w:cs="AL-Mohanad" w:hint="cs"/>
          <w:bCs w:val="0"/>
          <w:color w:val="auto"/>
          <w:sz w:val="26"/>
          <w:szCs w:val="26"/>
          <w:rtl/>
        </w:rPr>
        <w:t>الأحداث و</w:t>
      </w:r>
      <w:r w:rsidRPr="00282AC9">
        <w:rPr>
          <w:rFonts w:ascii="Simplified Arabic" w:hAnsi="Simplified Arabic" w:cs="AL-Mohanad"/>
          <w:bCs w:val="0"/>
          <w:color w:val="auto"/>
          <w:sz w:val="26"/>
          <w:szCs w:val="26"/>
          <w:rtl/>
        </w:rPr>
        <w:t xml:space="preserve">الأفعال. </w:t>
      </w:r>
      <w:r w:rsidRPr="00282AC9">
        <w:rPr>
          <w:rFonts w:ascii="Simplified Arabic" w:hAnsi="Simplified Arabic" w:cs="AL-Mohanad" w:hint="cs"/>
          <w:bCs w:val="0"/>
          <w:color w:val="auto"/>
          <w:sz w:val="26"/>
          <w:szCs w:val="26"/>
          <w:rtl/>
        </w:rPr>
        <w:t xml:space="preserve">كما </w:t>
      </w:r>
      <w:r w:rsidRPr="00282AC9">
        <w:rPr>
          <w:rFonts w:ascii="Simplified Arabic" w:hAnsi="Simplified Arabic" w:cs="AL-Mohanad"/>
          <w:bCs w:val="0"/>
          <w:color w:val="auto"/>
          <w:sz w:val="26"/>
          <w:szCs w:val="26"/>
          <w:rtl/>
        </w:rPr>
        <w:t>ناد</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ت</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مدرسة</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أخرى ـ وقف المعتزلة</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على رأسها ـ بالقول المناقض </w:t>
      </w:r>
      <w:r w:rsidR="001F1670" w:rsidRPr="00282AC9">
        <w:rPr>
          <w:rFonts w:ascii="Simplified Arabic" w:hAnsi="Simplified Arabic" w:cs="AL-Mohanad" w:hint="cs"/>
          <w:bCs w:val="0"/>
          <w:color w:val="auto"/>
          <w:sz w:val="26"/>
          <w:szCs w:val="26"/>
          <w:rtl/>
        </w:rPr>
        <w:t>و</w:t>
      </w:r>
      <w:r w:rsidRPr="00282AC9">
        <w:rPr>
          <w:rFonts w:ascii="Simplified Arabic" w:hAnsi="Simplified Arabic" w:cs="AL-Mohanad"/>
          <w:bCs w:val="0"/>
          <w:color w:val="auto"/>
          <w:sz w:val="26"/>
          <w:szCs w:val="26"/>
          <w:rtl/>
        </w:rPr>
        <w:t>المعاكس تماماً لرأي الج</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ب</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رية</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فقالت بتفويض الأمر إلى الإنسان، وأن الله خلق العباد</w:t>
      </w:r>
      <w:r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وفوّ</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ض</w:t>
      </w:r>
      <w:r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أمر</w:t>
      </w:r>
      <w:r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أفعالهم إليهم</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 xml:space="preserve"> دون أن يستطيع التدخ</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ل في أفعالهم، وم</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ن</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ع</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هم أو إرغام</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هم على شيء</w:t>
      </w:r>
      <w:r w:rsidR="001F1670" w:rsidRPr="00282AC9">
        <w:rPr>
          <w:rFonts w:ascii="Simplified Arabic" w:hAnsi="Simplified Arabic" w:cs="AL-Mohanad" w:hint="cs"/>
          <w:bCs w:val="0"/>
          <w:color w:val="auto"/>
          <w:sz w:val="26"/>
          <w:szCs w:val="26"/>
          <w:rtl/>
        </w:rPr>
        <w:t>ٍ</w:t>
      </w:r>
      <w:r w:rsidRPr="00282AC9">
        <w:rPr>
          <w:rFonts w:ascii="Simplified Arabic" w:hAnsi="Simplified Arabic" w:cs="AL-Mohanad"/>
          <w:bCs w:val="0"/>
          <w:color w:val="auto"/>
          <w:sz w:val="26"/>
          <w:szCs w:val="26"/>
          <w:rtl/>
        </w:rPr>
        <w:t>.</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وفي رد</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 الحاسم على تلك الطروحات</w:t>
      </w:r>
      <w:r w:rsidRPr="00282AC9">
        <w:rPr>
          <w:rFonts w:ascii="Simplified Arabic" w:hAnsi="Simplified Arabic" w:cs="AL-Mohanad" w:hint="cs"/>
          <w:bCs w:val="0"/>
          <w:color w:val="auto"/>
          <w:sz w:val="27"/>
          <w:szCs w:val="27"/>
          <w:rtl/>
        </w:rPr>
        <w:t xml:space="preserve"> المضل</w:t>
      </w:r>
      <w:r w:rsidR="001F1670"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لة</w:t>
      </w:r>
      <w:r w:rsidR="001F167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التي جاء بها علماء الأشاعرة والم</w:t>
      </w:r>
      <w:r w:rsidR="001F1670" w:rsidRPr="00282AC9">
        <w:rPr>
          <w:rFonts w:ascii="Simplified Arabic" w:hAnsi="Simplified Arabic" w:cs="AL-Mohanad"/>
          <w:bCs w:val="0"/>
          <w:color w:val="auto"/>
          <w:sz w:val="27"/>
          <w:szCs w:val="27"/>
          <w:rtl/>
        </w:rPr>
        <w:t>عتزلة، رفض الإمام الرضا</w:t>
      </w:r>
      <w:r w:rsidR="009A2A04" w:rsidRPr="00282AC9">
        <w:rPr>
          <w:rFonts w:ascii="Simplified Arabic" w:hAnsi="Simplified Arabic" w:cs="Mosawi"/>
          <w:bCs w:val="0"/>
          <w:color w:val="auto"/>
          <w:szCs w:val="22"/>
          <w:rtl/>
        </w:rPr>
        <w:t>×</w:t>
      </w:r>
      <w:r w:rsidR="001F1670" w:rsidRPr="00282AC9">
        <w:rPr>
          <w:rFonts w:ascii="Simplified Arabic" w:hAnsi="Simplified Arabic" w:cs="AL-Mohanad"/>
          <w:bCs w:val="0"/>
          <w:color w:val="auto"/>
          <w:sz w:val="27"/>
          <w:szCs w:val="27"/>
          <w:rtl/>
        </w:rPr>
        <w:t xml:space="preserve"> رفضا</w:t>
      </w:r>
      <w:r w:rsidR="001F167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قاطعاً القبول بالأفكار والح</w:t>
      </w:r>
      <w:r w:rsidR="001F167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ج</w:t>
      </w:r>
      <w:r w:rsidR="001F167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ج والبراهين</w:t>
      </w:r>
      <w:r w:rsidRPr="00282AC9">
        <w:rPr>
          <w:rFonts w:ascii="Simplified Arabic" w:hAnsi="Simplified Arabic" w:cs="AL-Mohanad" w:hint="cs"/>
          <w:bCs w:val="0"/>
          <w:color w:val="auto"/>
          <w:sz w:val="27"/>
          <w:szCs w:val="27"/>
          <w:rtl/>
        </w:rPr>
        <w:t xml:space="preserve"> التي أوردها الفريقان</w:t>
      </w:r>
      <w:r w:rsidR="001F167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فأوضح</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المفاهيم الملتبسة، وصح</w:t>
      </w:r>
      <w:r w:rsidR="001F167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ح التفسير الخاطئ للعلاقة بين الله تعالى وإرادة العباد</w:t>
      </w:r>
      <w:r w:rsidR="001F1670"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وها </w:t>
      </w:r>
      <w:r w:rsidRPr="00282AC9">
        <w:rPr>
          <w:rFonts w:ascii="Simplified Arabic" w:hAnsi="Simplified Arabic" w:cs="AL-Mohanad"/>
          <w:bCs w:val="0"/>
          <w:color w:val="auto"/>
          <w:sz w:val="27"/>
          <w:szCs w:val="27"/>
          <w:rtl/>
        </w:rPr>
        <w:t>هو يجيب عن سؤال</w:t>
      </w:r>
      <w:r w:rsidR="001F167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ورده حول الجبر والتفويض بقوله: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ألا أعطيكم في هذا أصلاً لا تختلفون فيه، ولا يخاصمكم عليه أحد</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إلا</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كسرتموه؟!</w:t>
      </w:r>
      <w:r w:rsidRPr="00282AC9">
        <w:rPr>
          <w:rFonts w:cs="AL-Mohanad" w:hint="eastAsia"/>
          <w:bCs w:val="0"/>
          <w:color w:val="auto"/>
          <w:sz w:val="24"/>
          <w:szCs w:val="24"/>
          <w:rtl/>
        </w:rPr>
        <w:t>»</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قلنا: إن</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رأي</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ذلك، فقال: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إن الله تعالى لم ي</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ط</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بإكراه</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ولم ي</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ص</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بغ</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بة</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ولم يهمل العباد في ملكه</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هو المالك لما مل</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كهم</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والقادر على ما أقدرهم عليه</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فإن</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ائتمر العباد بطاعته لم يكن الله عنها صاد</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ولا منها مانعاً</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وإن</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ائتمروا بمعصيته فشاء أن يحول بينهم وبين ذلك فعل، وإن</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لم يح</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ففعلوا فليس هو الذي أدخلهم فيه</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 ثم</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قال</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م</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يضبط حدود هذا الكلام فقد خصم م</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خالفه</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7"/>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367C53" w:rsidRPr="00282AC9" w:rsidRDefault="00367C53" w:rsidP="00367C53">
      <w:pPr>
        <w:spacing w:line="420" w:lineRule="exact"/>
        <w:rPr>
          <w:sz w:val="27"/>
          <w:rtl/>
        </w:rPr>
      </w:pPr>
    </w:p>
    <w:p w:rsidR="007359AA" w:rsidRPr="00282AC9" w:rsidRDefault="007359AA" w:rsidP="00DE5F16">
      <w:pPr>
        <w:pStyle w:val="31"/>
        <w:rPr>
          <w:b/>
          <w:color w:val="auto"/>
          <w:rtl/>
        </w:rPr>
      </w:pPr>
      <w:r w:rsidRPr="00282AC9">
        <w:rPr>
          <w:rFonts w:hint="cs"/>
          <w:color w:val="auto"/>
          <w:rtl/>
        </w:rPr>
        <w:t xml:space="preserve">ب </w:t>
      </w:r>
      <w:r w:rsidRPr="00282AC9">
        <w:rPr>
          <w:color w:val="auto"/>
          <w:rtl/>
        </w:rPr>
        <w:t>ـ الاستفادة من المناظرات الحواري</w:t>
      </w:r>
      <w:r w:rsidR="00E31173" w:rsidRPr="00282AC9">
        <w:rPr>
          <w:rFonts w:hint="cs"/>
          <w:color w:val="auto"/>
          <w:rtl/>
        </w:rPr>
        <w:t>ّ</w:t>
      </w:r>
      <w:r w:rsidRPr="00282AC9">
        <w:rPr>
          <w:color w:val="auto"/>
          <w:rtl/>
        </w:rPr>
        <w:t xml:space="preserve">ة في مواجهة المفاهيم </w:t>
      </w:r>
      <w:r w:rsidRPr="00282AC9">
        <w:rPr>
          <w:rFonts w:hint="cs"/>
          <w:color w:val="auto"/>
          <w:rtl/>
        </w:rPr>
        <w:t>المضل</w:t>
      </w:r>
      <w:r w:rsidR="00987150" w:rsidRPr="00282AC9">
        <w:rPr>
          <w:rFonts w:hint="cs"/>
          <w:color w:val="auto"/>
          <w:rtl/>
        </w:rPr>
        <w:t>ِّ</w:t>
      </w:r>
      <w:r w:rsidRPr="00282AC9">
        <w:rPr>
          <w:rFonts w:hint="cs"/>
          <w:color w:val="auto"/>
          <w:rtl/>
        </w:rPr>
        <w:t xml:space="preserve">لة وإسقاط </w:t>
      </w:r>
      <w:r w:rsidRPr="00282AC9">
        <w:rPr>
          <w:color w:val="auto"/>
          <w:rtl/>
        </w:rPr>
        <w:t>الثقافات المنحرفة</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كان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معل</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ماً، وموج</w:t>
      </w:r>
      <w:r w:rsidR="00611CC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هاً، ورائداً كبيراً من روّاد الفكر والحضارة الإسلامية. وقد برهن على ذلك في ثباته، ورسوخه الفكري والعقائدي، في أجوبته ومناظراته الحوارية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8"/>
      </w:r>
      <w:r w:rsidRPr="00282AC9">
        <w:rPr>
          <w:rFonts w:ascii="Simplified Arabic" w:hAnsi="Simplified Arabic" w:cs="AL-Mohanad"/>
          <w:bCs w:val="0"/>
          <w:color w:val="auto"/>
          <w:sz w:val="27"/>
          <w:szCs w:val="27"/>
          <w:vertAlign w:val="superscript"/>
          <w:rtl/>
        </w:rPr>
        <w:t>)</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التي دافع من خلالها عن العقيدة الإسلامية الصافية</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التي حاول أن ينال منها الكثير من المتفلسفين والمتكل</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مين</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كعمران الصابئ، وأبي قر</w:t>
      </w:r>
      <w:r w:rsidR="00987150" w:rsidRPr="00282AC9">
        <w:rPr>
          <w:rFonts w:ascii="Simplified Arabic" w:hAnsi="Simplified Arabic" w:cs="AL-Mohanad" w:hint="cs"/>
          <w:bCs w:val="0"/>
          <w:color w:val="auto"/>
          <w:sz w:val="27"/>
          <w:szCs w:val="27"/>
          <w:rtl/>
        </w:rPr>
        <w:t>ّة</w:t>
      </w:r>
      <w:r w:rsidRPr="00282AC9">
        <w:rPr>
          <w:rFonts w:ascii="Simplified Arabic" w:hAnsi="Simplified Arabic" w:cs="AL-Mohanad"/>
          <w:bCs w:val="0"/>
          <w:color w:val="auto"/>
          <w:sz w:val="27"/>
          <w:szCs w:val="27"/>
          <w:rtl/>
        </w:rPr>
        <w:t xml:space="preserve">، </w:t>
      </w:r>
      <w:r w:rsidRPr="00282AC9">
        <w:rPr>
          <w:rFonts w:ascii="Simplified Arabic" w:hAnsi="Simplified Arabic" w:cs="AL-Mohanad"/>
          <w:bCs w:val="0"/>
          <w:color w:val="auto"/>
          <w:sz w:val="27"/>
          <w:szCs w:val="27"/>
          <w:rtl/>
        </w:rPr>
        <w:lastRenderedPageBreak/>
        <w:t>ورأس الجالوت، والهرند الأكبر</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وغير</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هم كثير</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لقد كانت الوفود التي تحضر تلك الندوات والمناظرات والمجالس المتعد</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دة تخرج منها وهي </w:t>
      </w:r>
      <w:r w:rsidRPr="00282AC9">
        <w:rPr>
          <w:rFonts w:ascii="Simplified Arabic" w:hAnsi="Simplified Arabic" w:cs="AL-Mohanad" w:hint="cs"/>
          <w:bCs w:val="0"/>
          <w:color w:val="auto"/>
          <w:sz w:val="27"/>
          <w:szCs w:val="27"/>
          <w:rtl/>
        </w:rPr>
        <w:t>مرتاحة</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 و</w:t>
      </w:r>
      <w:r w:rsidRPr="00282AC9">
        <w:rPr>
          <w:rFonts w:ascii="Simplified Arabic" w:hAnsi="Simplified Arabic" w:cs="AL-Mohanad"/>
          <w:bCs w:val="0"/>
          <w:color w:val="auto"/>
          <w:sz w:val="27"/>
          <w:szCs w:val="27"/>
          <w:rtl/>
        </w:rPr>
        <w:t>مليئة</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بالإعجاب والإكبار والثناء على إمامنا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الأمر الذي سب</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 للمأمون مشاكل كثيرة</w:t>
      </w:r>
      <w:r w:rsidRPr="00282AC9">
        <w:rPr>
          <w:rFonts w:ascii="Simplified Arabic" w:hAnsi="Simplified Arabic" w:cs="AL-Mohanad" w:hint="cs"/>
          <w:bCs w:val="0"/>
          <w:color w:val="auto"/>
          <w:sz w:val="27"/>
          <w:szCs w:val="27"/>
          <w:rtl/>
        </w:rPr>
        <w:t xml:space="preserve">، </w:t>
      </w:r>
      <w:r w:rsidR="00987150" w:rsidRPr="00282AC9">
        <w:rPr>
          <w:rFonts w:ascii="Simplified Arabic" w:hAnsi="Simplified Arabic" w:cs="AL-Mohanad" w:hint="cs"/>
          <w:bCs w:val="0"/>
          <w:color w:val="auto"/>
          <w:sz w:val="27"/>
          <w:szCs w:val="27"/>
          <w:rtl/>
        </w:rPr>
        <w:t>و</w:t>
      </w:r>
      <w:r w:rsidRPr="00282AC9">
        <w:rPr>
          <w:rFonts w:ascii="Simplified Arabic" w:hAnsi="Simplified Arabic" w:cs="AL-Mohanad" w:hint="cs"/>
          <w:bCs w:val="0"/>
          <w:color w:val="auto"/>
          <w:sz w:val="27"/>
          <w:szCs w:val="27"/>
          <w:rtl/>
        </w:rPr>
        <w:t>خاص</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 xml:space="preserve">ة أن </w:t>
      </w:r>
      <w:r w:rsidRPr="00282AC9">
        <w:rPr>
          <w:rFonts w:ascii="Simplified Arabic" w:hAnsi="Simplified Arabic" w:cs="AL-Mohanad"/>
          <w:bCs w:val="0"/>
          <w:color w:val="auto"/>
          <w:sz w:val="27"/>
          <w:szCs w:val="27"/>
          <w:rtl/>
        </w:rPr>
        <w:t>تلك الحوارات كانت تجري في بلاطه ومجلسه</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حيث بدأ الناس ي</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ق</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لون على الإمام</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ويقولون بإمامته</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لذلك انطلق المأمون في حركة</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معاكسة</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فبدأ بح</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ج</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 وإخفاء الإمام عن الناس والعلماء</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خوفاً من أن ي</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نوا به، لكن</w:t>
      </w:r>
      <w:r w:rsidR="0098715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كان يقد</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م فكره الإسلامي العلمي الأصيل غير </w:t>
      </w:r>
      <w:r w:rsidRPr="00282AC9">
        <w:rPr>
          <w:rFonts w:ascii="Simplified Arabic" w:hAnsi="Simplified Arabic" w:cs="AL-Mohanad" w:hint="cs"/>
          <w:bCs w:val="0"/>
          <w:color w:val="auto"/>
          <w:sz w:val="27"/>
          <w:szCs w:val="27"/>
          <w:rtl/>
        </w:rPr>
        <w:t xml:space="preserve">مكترثٍ ولا </w:t>
      </w:r>
      <w:r w:rsidRPr="00282AC9">
        <w:rPr>
          <w:rFonts w:ascii="Simplified Arabic" w:hAnsi="Simplified Arabic" w:cs="AL-Mohanad"/>
          <w:bCs w:val="0"/>
          <w:color w:val="auto"/>
          <w:sz w:val="27"/>
          <w:szCs w:val="27"/>
          <w:rtl/>
        </w:rPr>
        <w:t>عابئ</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كثيراً بما يجول في ذهن المأمون على صعيده كشخص</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لأنه كان يعلم مسبقاً بطبيعة الدوافع والمصالح والغايات </w:t>
      </w:r>
      <w:r w:rsidRPr="00282AC9">
        <w:rPr>
          <w:rFonts w:ascii="Simplified Arabic" w:hAnsi="Simplified Arabic" w:cs="AL-Mohanad" w:hint="cs"/>
          <w:bCs w:val="0"/>
          <w:color w:val="auto"/>
          <w:sz w:val="27"/>
          <w:szCs w:val="27"/>
          <w:rtl/>
        </w:rPr>
        <w:t xml:space="preserve">الشخصية </w:t>
      </w:r>
      <w:r w:rsidRPr="00282AC9">
        <w:rPr>
          <w:rFonts w:ascii="Simplified Arabic" w:hAnsi="Simplified Arabic" w:cs="AL-Mohanad"/>
          <w:bCs w:val="0"/>
          <w:color w:val="auto"/>
          <w:sz w:val="27"/>
          <w:szCs w:val="27"/>
          <w:rtl/>
        </w:rPr>
        <w:t>الحقيقية التي كان المأمون يسعى باتجاه تحقيقها هنا وهناك</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39"/>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hint="cs"/>
          <w:bCs w:val="0"/>
          <w:color w:val="auto"/>
          <w:sz w:val="27"/>
          <w:szCs w:val="27"/>
          <w:rtl/>
        </w:rPr>
        <w:t>.</w:t>
      </w:r>
      <w:r w:rsidR="00F95CD1"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لذلك حاول أن يستفيد من هذه الأجواء والمناخات الحواري</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Pr="00282AC9">
        <w:rPr>
          <w:rFonts w:ascii="Simplified Arabic" w:hAnsi="Simplified Arabic" w:cs="AL-Mohanad" w:hint="cs"/>
          <w:bCs w:val="0"/>
          <w:color w:val="auto"/>
          <w:sz w:val="27"/>
          <w:szCs w:val="27"/>
          <w:rtl/>
        </w:rPr>
        <w:t xml:space="preserve"> فقط من باب أن يقد</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م فكره الصافي، و</w:t>
      </w:r>
      <w:r w:rsidRPr="00282AC9">
        <w:rPr>
          <w:rFonts w:ascii="Simplified Arabic" w:hAnsi="Simplified Arabic" w:cs="AL-Mohanad"/>
          <w:bCs w:val="0"/>
          <w:color w:val="auto"/>
          <w:sz w:val="27"/>
          <w:szCs w:val="27"/>
          <w:rtl/>
        </w:rPr>
        <w:t xml:space="preserve">يطرح </w:t>
      </w:r>
      <w:r w:rsidRPr="00282AC9">
        <w:rPr>
          <w:rFonts w:ascii="Simplified Arabic" w:hAnsi="Simplified Arabic" w:cs="AL-Mohanad" w:hint="cs"/>
          <w:bCs w:val="0"/>
          <w:color w:val="auto"/>
          <w:sz w:val="27"/>
          <w:szCs w:val="27"/>
          <w:rtl/>
        </w:rPr>
        <w:t xml:space="preserve">مبادئ الإسلام الصحيح من </w:t>
      </w:r>
      <w:r w:rsidRPr="00282AC9">
        <w:rPr>
          <w:rFonts w:ascii="Simplified Arabic" w:hAnsi="Simplified Arabic" w:cs="AL-Mohanad"/>
          <w:bCs w:val="0"/>
          <w:color w:val="auto"/>
          <w:sz w:val="27"/>
          <w:szCs w:val="27"/>
          <w:rtl/>
        </w:rPr>
        <w:t>نبعه الأصيل</w:t>
      </w:r>
      <w:r w:rsidRPr="00282AC9">
        <w:rPr>
          <w:rFonts w:ascii="Simplified Arabic" w:hAnsi="Simplified Arabic" w:cs="AL-Mohanad" w:hint="cs"/>
          <w:bCs w:val="0"/>
          <w:color w:val="auto"/>
          <w:sz w:val="27"/>
          <w:szCs w:val="27"/>
          <w:rtl/>
        </w:rPr>
        <w:t>، نبع أهل البيت</w:t>
      </w:r>
      <w:r w:rsidR="00876ECA" w:rsidRPr="00282AC9">
        <w:rPr>
          <w:rFonts w:cs="Mosawi" w:hint="cs"/>
          <w:color w:val="auto"/>
          <w:szCs w:val="22"/>
          <w:rtl/>
        </w:rPr>
        <w:t>^</w:t>
      </w:r>
      <w:r w:rsidR="00F95CD1"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وليواجه كل</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يريد أن يفك</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 بتهديد العقيدة والمفاهيم الإسلامية الصحيحة.</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 xml:space="preserve">لقد كان الشيء </w:t>
      </w:r>
      <w:r w:rsidRPr="00282AC9">
        <w:rPr>
          <w:rFonts w:ascii="Simplified Arabic" w:hAnsi="Simplified Arabic" w:cs="AL-Mohanad" w:hint="cs"/>
          <w:bCs w:val="0"/>
          <w:color w:val="auto"/>
          <w:sz w:val="27"/>
          <w:szCs w:val="27"/>
          <w:rtl/>
        </w:rPr>
        <w:t>الأساس و</w:t>
      </w:r>
      <w:r w:rsidRPr="00282AC9">
        <w:rPr>
          <w:rFonts w:ascii="Simplified Arabic" w:hAnsi="Simplified Arabic" w:cs="AL-Mohanad"/>
          <w:bCs w:val="0"/>
          <w:color w:val="auto"/>
          <w:sz w:val="27"/>
          <w:szCs w:val="27"/>
          <w:rtl/>
        </w:rPr>
        <w:t>الوحيد الذي شغل بال الإمام</w:t>
      </w:r>
      <w:r w:rsidRPr="00282AC9">
        <w:rPr>
          <w:rFonts w:ascii="Simplified Arabic" w:hAnsi="Simplified Arabic" w:cs="AL-Mohanad" w:hint="cs"/>
          <w:bCs w:val="0"/>
          <w:color w:val="auto"/>
          <w:sz w:val="27"/>
          <w:szCs w:val="27"/>
          <w:rtl/>
        </w:rPr>
        <w:t xml:space="preserve"> الرضا</w:t>
      </w:r>
      <w:r w:rsidR="009A2A04" w:rsidRPr="00282AC9">
        <w:rPr>
          <w:rFonts w:ascii="Simplified Arabic" w:hAnsi="Simplified Arabic" w:cs="Mosawi"/>
          <w:bCs w:val="0"/>
          <w:color w:val="auto"/>
          <w:szCs w:val="22"/>
          <w:rtl/>
        </w:rPr>
        <w:t>×</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وم</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ح</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و</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 له حياته كل</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ها ـ في كل</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حركة الحوار</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40"/>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الذي خاض</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غماره من أقصاه إلى أقصاه ـ هو إنقاذ وجود الأم</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في المستقبل</w:t>
      </w:r>
      <w:r w:rsidRPr="00282AC9">
        <w:rPr>
          <w:rFonts w:ascii="Simplified Arabic" w:hAnsi="Simplified Arabic" w:cs="AL-Mohanad" w:hint="cs"/>
          <w:bCs w:val="0"/>
          <w:color w:val="auto"/>
          <w:sz w:val="27"/>
          <w:szCs w:val="27"/>
          <w:rtl/>
        </w:rPr>
        <w:t xml:space="preserve"> من براثن الظلم والانحراف</w:t>
      </w:r>
      <w:r w:rsidRPr="00282AC9">
        <w:rPr>
          <w:rFonts w:ascii="Simplified Arabic" w:hAnsi="Simplified Arabic" w:cs="AL-Mohanad"/>
          <w:bCs w:val="0"/>
          <w:color w:val="auto"/>
          <w:sz w:val="27"/>
          <w:szCs w:val="27"/>
          <w:rtl/>
        </w:rPr>
        <w:t>، وضمان عدم تشرذمها وانهزامها وسقوطها أمام التحد</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يات والأهوال، وحماية وجودها المعنوي</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والروحي</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(على الأقل</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من الذوبان</w:t>
      </w:r>
      <w:r w:rsidRPr="00282AC9">
        <w:rPr>
          <w:rFonts w:ascii="Simplified Arabic" w:hAnsi="Simplified Arabic" w:cs="AL-Mohanad" w:hint="cs"/>
          <w:bCs w:val="0"/>
          <w:color w:val="auto"/>
          <w:sz w:val="27"/>
          <w:szCs w:val="27"/>
          <w:rtl/>
        </w:rPr>
        <w:t xml:space="preserve"> والتماهي مع الانحراف والغ</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ل</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hint="cs"/>
          <w:bCs w:val="0"/>
          <w:color w:val="auto"/>
          <w:sz w:val="27"/>
          <w:szCs w:val="27"/>
          <w:rtl/>
        </w:rPr>
        <w:t>ط</w:t>
      </w:r>
      <w:r w:rsidRPr="00282AC9">
        <w:rPr>
          <w:rFonts w:ascii="Simplified Arabic" w:hAnsi="Simplified Arabic" w:cs="AL-Mohanad"/>
          <w:bCs w:val="0"/>
          <w:color w:val="auto"/>
          <w:sz w:val="27"/>
          <w:szCs w:val="27"/>
          <w:rtl/>
        </w:rPr>
        <w:t>، ومحاولة إكسابها بعض المعالم والس</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مات الفكرية والاجتماعية الخاص</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والعام</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وذلك من خلال عمله الدؤوب والصادق والمخلص بإعطاء التحصين الكامل والممانعة المستمر</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لهذه الأم</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على الصعيدين الروحي</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والمفاهيمي</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p>
    <w:p w:rsidR="00367C53" w:rsidRPr="00282AC9" w:rsidRDefault="00367C53" w:rsidP="00367C53">
      <w:pPr>
        <w:spacing w:line="420" w:lineRule="exact"/>
        <w:rPr>
          <w:sz w:val="27"/>
          <w:rtl/>
        </w:rPr>
      </w:pPr>
    </w:p>
    <w:p w:rsidR="007359AA" w:rsidRPr="00282AC9" w:rsidRDefault="00792268" w:rsidP="00DE5F16">
      <w:pPr>
        <w:pStyle w:val="31"/>
        <w:rPr>
          <w:b/>
          <w:color w:val="auto"/>
          <w:rtl/>
        </w:rPr>
      </w:pPr>
      <w:r w:rsidRPr="00282AC9">
        <w:rPr>
          <w:rFonts w:hint="cs"/>
          <w:color w:val="auto"/>
          <w:rtl/>
        </w:rPr>
        <w:t>3ـ</w:t>
      </w:r>
      <w:r w:rsidR="007359AA" w:rsidRPr="00282AC9">
        <w:rPr>
          <w:rFonts w:hint="cs"/>
          <w:color w:val="auto"/>
          <w:rtl/>
        </w:rPr>
        <w:t xml:space="preserve"> </w:t>
      </w:r>
      <w:r w:rsidR="007359AA" w:rsidRPr="00282AC9">
        <w:rPr>
          <w:color w:val="auto"/>
          <w:rtl/>
        </w:rPr>
        <w:t>محاربة الب</w:t>
      </w:r>
      <w:r w:rsidR="00F95CD1" w:rsidRPr="00282AC9">
        <w:rPr>
          <w:rFonts w:hint="cs"/>
          <w:color w:val="auto"/>
          <w:rtl/>
        </w:rPr>
        <w:t>ِ</w:t>
      </w:r>
      <w:r w:rsidR="007359AA" w:rsidRPr="00282AC9">
        <w:rPr>
          <w:color w:val="auto"/>
          <w:rtl/>
        </w:rPr>
        <w:t>د</w:t>
      </w:r>
      <w:r w:rsidR="00F95CD1" w:rsidRPr="00282AC9">
        <w:rPr>
          <w:rFonts w:hint="cs"/>
          <w:color w:val="auto"/>
          <w:rtl/>
        </w:rPr>
        <w:t>َ</w:t>
      </w:r>
      <w:r w:rsidR="007359AA" w:rsidRPr="00282AC9">
        <w:rPr>
          <w:color w:val="auto"/>
          <w:rtl/>
        </w:rPr>
        <w:t>ع والضلالات</w:t>
      </w:r>
      <w:r w:rsidR="00F95CD1" w:rsidRPr="00282AC9">
        <w:rPr>
          <w:rFonts w:hint="cs"/>
          <w:color w:val="auto"/>
          <w:rtl/>
        </w:rPr>
        <w:t>،</w:t>
      </w:r>
      <w:r w:rsidR="007359AA" w:rsidRPr="00282AC9">
        <w:rPr>
          <w:color w:val="auto"/>
          <w:rtl/>
        </w:rPr>
        <w:t xml:space="preserve"> وفضحها</w:t>
      </w:r>
    </w:p>
    <w:p w:rsidR="00F95CD1" w:rsidRPr="00282AC9" w:rsidRDefault="007359AA" w:rsidP="00D47E7C">
      <w:pPr>
        <w:pStyle w:val="18"/>
        <w:keepNext w:val="0"/>
        <w:widowControl w:val="0"/>
        <w:spacing w:line="400" w:lineRule="exact"/>
        <w:ind w:left="0" w:firstLine="567"/>
        <w:jc w:val="both"/>
        <w:outlineLvl w:val="9"/>
        <w:rPr>
          <w:rFonts w:ascii="Simplified Arabic" w:hAnsi="Simplified Arabic" w:cs="AL-Mohanad"/>
          <w:bCs w:val="0"/>
          <w:color w:val="auto"/>
          <w:sz w:val="27"/>
          <w:szCs w:val="27"/>
          <w:rtl/>
        </w:rPr>
      </w:pPr>
      <w:r w:rsidRPr="00282AC9">
        <w:rPr>
          <w:rFonts w:ascii="Simplified Arabic" w:hAnsi="Simplified Arabic" w:cs="AL-Mohanad"/>
          <w:bCs w:val="0"/>
          <w:color w:val="auto"/>
          <w:sz w:val="27"/>
          <w:szCs w:val="27"/>
          <w:rtl/>
        </w:rPr>
        <w:t>خاض 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معارك فكرية وصراعات عملية مع مختلف التيارات المنحرفة، وشهد له التاريخ بسلسلة</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مواقف الاحتجاج والمجادلة و</w:t>
      </w:r>
      <w:r w:rsidR="00F95CD1"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الحوار بالتي هي أحسن</w:t>
      </w:r>
      <w:r w:rsidRPr="00282AC9">
        <w:rPr>
          <w:rFonts w:cs="AL-Mohanad" w:hint="eastAsia"/>
          <w:bCs w:val="0"/>
          <w:color w:val="auto"/>
          <w:sz w:val="24"/>
          <w:szCs w:val="24"/>
          <w:rtl/>
        </w:rPr>
        <w:t>»</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لفضح الأفكار والشبهات التي كان يُعْمل على ترويجها داخل المجتمع </w:t>
      </w:r>
      <w:r w:rsidRPr="00282AC9">
        <w:rPr>
          <w:rFonts w:ascii="Simplified Arabic" w:hAnsi="Simplified Arabic" w:cs="AL-Mohanad"/>
          <w:bCs w:val="0"/>
          <w:color w:val="auto"/>
          <w:sz w:val="27"/>
          <w:szCs w:val="27"/>
          <w:rtl/>
        </w:rPr>
        <w:lastRenderedPageBreak/>
        <w:t>الإسلامي</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ق</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 بعض الشخص</w:t>
      </w:r>
      <w:r w:rsidR="00F95CD1" w:rsidRPr="00282AC9">
        <w:rPr>
          <w:rFonts w:ascii="Simplified Arabic" w:hAnsi="Simplified Arabic" w:cs="AL-Mohanad"/>
          <w:bCs w:val="0"/>
          <w:color w:val="auto"/>
          <w:sz w:val="27"/>
          <w:szCs w:val="27"/>
          <w:rtl/>
        </w:rPr>
        <w:t>يات والفئات المنغلقة والمنطوية.</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وقد واجه</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تلك الضلالات والبدع على مستويين</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41"/>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367C53" w:rsidRPr="00282AC9" w:rsidRDefault="00367C53" w:rsidP="00367C53">
      <w:pPr>
        <w:spacing w:line="420" w:lineRule="exact"/>
        <w:rPr>
          <w:sz w:val="27"/>
          <w:rtl/>
        </w:rPr>
      </w:pPr>
    </w:p>
    <w:p w:rsidR="007359AA" w:rsidRPr="00282AC9" w:rsidRDefault="00792268" w:rsidP="00792268">
      <w:pPr>
        <w:pStyle w:val="31"/>
        <w:rPr>
          <w:b/>
          <w:color w:val="auto"/>
          <w:rtl/>
        </w:rPr>
      </w:pPr>
      <w:r w:rsidRPr="00282AC9">
        <w:rPr>
          <w:rFonts w:hint="cs"/>
          <w:color w:val="auto"/>
          <w:rtl/>
        </w:rPr>
        <w:t>أـ</w:t>
      </w:r>
      <w:r w:rsidR="007359AA" w:rsidRPr="00282AC9">
        <w:rPr>
          <w:color w:val="auto"/>
          <w:rtl/>
        </w:rPr>
        <w:t xml:space="preserve"> مع الآراء والأفكار المنحرفة </w:t>
      </w:r>
      <w:r w:rsidRPr="00282AC9">
        <w:rPr>
          <w:rFonts w:hint="cs"/>
          <w:color w:val="auto"/>
          <w:rtl/>
        </w:rPr>
        <w:t>ل</w:t>
      </w:r>
      <w:r w:rsidR="007359AA" w:rsidRPr="00282AC9">
        <w:rPr>
          <w:color w:val="auto"/>
          <w:rtl/>
        </w:rPr>
        <w:t>بعض المسلمين</w:t>
      </w:r>
    </w:p>
    <w:p w:rsidR="007359AA" w:rsidRPr="00282AC9" w:rsidRDefault="007359AA" w:rsidP="00D47E7C">
      <w:pPr>
        <w:pStyle w:val="18"/>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انتشر</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F95CD1"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داخل الوسط الإسلامي آنذاك مجموعات</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وف</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ق</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منحرفة</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تشك</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داخل المجتمع الإسلامي</w:t>
      </w:r>
      <w:r w:rsidR="00456429" w:rsidRPr="00282AC9">
        <w:rPr>
          <w:rFonts w:ascii="Simplified Arabic" w:hAnsi="Simplified Arabic" w:cs="AL-Mohanad" w:hint="cs"/>
          <w:bCs w:val="0"/>
          <w:color w:val="auto"/>
          <w:sz w:val="27"/>
          <w:szCs w:val="27"/>
          <w:rtl/>
        </w:rPr>
        <w:t>ّ؛</w:t>
      </w:r>
      <w:r w:rsidR="00456429" w:rsidRPr="00282AC9">
        <w:rPr>
          <w:rFonts w:ascii="Simplified Arabic" w:hAnsi="Simplified Arabic" w:cs="AL-Mohanad"/>
          <w:bCs w:val="0"/>
          <w:color w:val="auto"/>
          <w:sz w:val="27"/>
          <w:szCs w:val="27"/>
          <w:rtl/>
        </w:rPr>
        <w:t xml:space="preserve"> بسبب بعض الظروف و</w:t>
      </w:r>
      <w:r w:rsidRPr="00282AC9">
        <w:rPr>
          <w:rFonts w:ascii="Simplified Arabic" w:hAnsi="Simplified Arabic" w:cs="AL-Mohanad"/>
          <w:bCs w:val="0"/>
          <w:color w:val="auto"/>
          <w:sz w:val="27"/>
          <w:szCs w:val="27"/>
          <w:rtl/>
        </w:rPr>
        <w:t>الأوضاع الفكري</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والنفسي</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وقد نادى أصحاب تلك الف</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ق ببعض العقائد والمقولات النظرية والعملية المنحرفة عن العقيدة الإسلامية والفكر الإسلامي الصحيح.</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لقد ظهرت تلك الانحرافات في عهد 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بشكل</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واضح تماماً، لذلك عمل على التصد</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 لها</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ومعالجتها</w:t>
      </w:r>
      <w:r w:rsidR="00456429"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وتفنيدها</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وإبطال مزامعها ومرتكزاتها.</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فقد روى الحسين بن خالد قال: قلت</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للرضا</w:t>
      </w:r>
      <w:r w:rsidR="00611CCC"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يا بن رسول الله، إن الناس يروون أن رسول الله</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قال: إن الله عز</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وجل</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خلق آدم على صورته</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فقال</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قاتلهم الله، لقد حذفوا أو</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 الحديث</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إن رسول الله مرّ</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برجلين </w:t>
      </w:r>
      <w:r w:rsidR="00456429" w:rsidRPr="00282AC9">
        <w:rPr>
          <w:rFonts w:ascii="Simplified Arabic" w:hAnsi="Simplified Arabic" w:cs="AL-Mohanad" w:hint="cs"/>
          <w:bCs w:val="0"/>
          <w:color w:val="auto"/>
          <w:sz w:val="27"/>
          <w:szCs w:val="27"/>
          <w:rtl/>
        </w:rPr>
        <w:t>يتسا</w:t>
      </w:r>
      <w:r w:rsidRPr="00282AC9">
        <w:rPr>
          <w:rFonts w:ascii="Simplified Arabic" w:hAnsi="Simplified Arabic" w:cs="AL-Mohanad"/>
          <w:bCs w:val="0"/>
          <w:color w:val="auto"/>
          <w:sz w:val="27"/>
          <w:szCs w:val="27"/>
          <w:rtl/>
        </w:rPr>
        <w:t>ب</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ان</w:t>
      </w:r>
      <w:r w:rsidR="00456429"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فسمع أحدهما يقول لصاحبه: قب</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ح الله وجهك ووجه م</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E9723E" w:rsidRPr="00282AC9">
        <w:rPr>
          <w:rFonts w:ascii="Simplified Arabic" w:hAnsi="Simplified Arabic" w:cs="AL-Mohanad" w:hint="cs"/>
          <w:bCs w:val="0"/>
          <w:color w:val="auto"/>
          <w:sz w:val="27"/>
          <w:szCs w:val="27"/>
          <w:rtl/>
        </w:rPr>
        <w:t>ْ</w:t>
      </w:r>
      <w:r w:rsidR="00E9723E" w:rsidRPr="00282AC9">
        <w:rPr>
          <w:rFonts w:ascii="Simplified Arabic" w:hAnsi="Simplified Arabic" w:cs="AL-Mohanad"/>
          <w:bCs w:val="0"/>
          <w:color w:val="auto"/>
          <w:sz w:val="27"/>
          <w:szCs w:val="27"/>
          <w:rtl/>
        </w:rPr>
        <w:t xml:space="preserve"> يشبهك، فقال</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له: يا عبد الله، لا تق</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هذا لأخيك</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فإن الله عز</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وجل</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خلق آدم على صورته</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42"/>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فالنبي</w:t>
      </w:r>
      <w:r w:rsidR="00611CC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الكريم</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ينهى الرجل عن السباب بهذا الأسلوب</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لأن في ذلك مسب</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لآدم أبي البشر، والضمير في صورته (الهاء) يرجع للرجل الذي وُجّ</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 إليه السباب، لا أنه يرجع لله</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حت</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ى يكون المعنى أن الله خلق آدم على صورته هو عز</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وجل</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ويؤك</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 الإمام ذلك بما روى عن رسول الله</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في حديث</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قدسي: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ما عرفني م</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شب</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هني بخلقي</w:t>
      </w:r>
      <w:r w:rsidRPr="00282AC9">
        <w:rPr>
          <w:rFonts w:cs="AL-Mohanad" w:hint="eastAsia"/>
          <w:bCs w:val="0"/>
          <w:color w:val="auto"/>
          <w:sz w:val="24"/>
          <w:szCs w:val="24"/>
          <w:rtl/>
        </w:rPr>
        <w:t>»</w:t>
      </w:r>
      <w:r w:rsidRPr="00282AC9">
        <w:rPr>
          <w:rStyle w:val="af9"/>
          <w:rFonts w:ascii="Simplified Arabic" w:hAnsi="Simplified Arabic" w:cs="AL-Mohanad"/>
          <w:bCs w:val="0"/>
          <w:color w:val="auto"/>
          <w:sz w:val="27"/>
          <w:szCs w:val="27"/>
          <w:rtl/>
        </w:rPr>
        <w:t>(</w:t>
      </w:r>
      <w:r w:rsidRPr="00282AC9">
        <w:rPr>
          <w:rStyle w:val="af9"/>
          <w:rFonts w:ascii="Simplified Arabic" w:hAnsi="Simplified Arabic" w:cs="AL-Mohanad"/>
          <w:bCs w:val="0"/>
          <w:color w:val="auto"/>
          <w:sz w:val="27"/>
          <w:szCs w:val="27"/>
          <w:rtl/>
        </w:rPr>
        <w:endnoteReference w:id="943"/>
      </w:r>
      <w:r w:rsidRPr="00282AC9">
        <w:rPr>
          <w:rStyle w:val="af9"/>
          <w:rFonts w:ascii="Simplified Arabic" w:hAnsi="Simplified Arabic" w:cs="AL-Mohanad"/>
          <w:bCs w:val="0"/>
          <w:color w:val="auto"/>
          <w:sz w:val="27"/>
          <w:szCs w:val="27"/>
          <w:rtl/>
        </w:rPr>
        <w:t>)</w:t>
      </w:r>
      <w:r w:rsidRPr="00282AC9">
        <w:rPr>
          <w:rFonts w:ascii="Simplified Arabic" w:hAnsi="Simplified Arabic" w:cs="AL-Mohanad"/>
          <w:bCs w:val="0"/>
          <w:color w:val="auto"/>
          <w:sz w:val="27"/>
          <w:szCs w:val="27"/>
          <w:rtl/>
        </w:rPr>
        <w:t xml:space="preserve">. </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وهكذا نرى أن الإمام</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يمارس </w:t>
      </w:r>
      <w:r w:rsidR="00EE6DBA" w:rsidRPr="00282AC9">
        <w:rPr>
          <w:rFonts w:ascii="Simplified Arabic" w:hAnsi="Simplified Arabic" w:cs="AL-Mohanad"/>
          <w:bCs w:val="0"/>
          <w:color w:val="auto"/>
          <w:sz w:val="27"/>
          <w:szCs w:val="27"/>
          <w:rtl/>
        </w:rPr>
        <w:t>دَوْر</w:t>
      </w:r>
      <w:r w:rsidRPr="00282AC9">
        <w:rPr>
          <w:rFonts w:ascii="Simplified Arabic" w:hAnsi="Simplified Arabic" w:cs="AL-Mohanad"/>
          <w:bCs w:val="0"/>
          <w:color w:val="auto"/>
          <w:sz w:val="27"/>
          <w:szCs w:val="27"/>
          <w:rtl/>
        </w:rPr>
        <w:t>ه الفعّال في تصحيح سن</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رسول الله</w:t>
      </w:r>
      <w:r w:rsidR="009A2A04" w:rsidRPr="00282AC9">
        <w:rPr>
          <w:rFonts w:ascii="Simplified Arabic" w:hAnsi="Simplified Arabic" w:cs="Mosawi"/>
          <w:bCs w:val="0"/>
          <w:color w:val="auto"/>
          <w:szCs w:val="22"/>
          <w:rtl/>
        </w:rPr>
        <w:t>|</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وتنقيتها من التدنيس، ووضعها في سياقها الطبيعي</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وال</w:t>
      </w:r>
      <w:r w:rsidR="00E9723E" w:rsidRPr="00282AC9">
        <w:rPr>
          <w:rFonts w:ascii="Simplified Arabic" w:hAnsi="Simplified Arabic" w:cs="AL-Mohanad" w:hint="cs"/>
          <w:bCs w:val="0"/>
          <w:color w:val="auto"/>
          <w:sz w:val="27"/>
          <w:szCs w:val="27"/>
          <w:rtl/>
        </w:rPr>
        <w:t>م</w:t>
      </w:r>
      <w:r w:rsidRPr="00282AC9">
        <w:rPr>
          <w:rFonts w:ascii="Simplified Arabic" w:hAnsi="Simplified Arabic" w:cs="AL-Mohanad"/>
          <w:bCs w:val="0"/>
          <w:color w:val="auto"/>
          <w:sz w:val="27"/>
          <w:szCs w:val="27"/>
          <w:rtl/>
        </w:rPr>
        <w:t>توازن.</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ومن مواقفه</w:t>
      </w:r>
      <w:r w:rsidR="009A2A04" w:rsidRPr="00282AC9">
        <w:rPr>
          <w:rFonts w:ascii="Simplified Arabic" w:hAnsi="Simplified Arabic" w:cs="Mosawi"/>
          <w:bCs w:val="0"/>
          <w:color w:val="auto"/>
          <w:szCs w:val="22"/>
          <w:rtl/>
        </w:rPr>
        <w:t>×</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عن </w:t>
      </w:r>
      <w:r w:rsidR="00E9723E" w:rsidRPr="00282AC9">
        <w:rPr>
          <w:rFonts w:ascii="Simplified Arabic" w:hAnsi="Simplified Arabic" w:cs="AL-Mohanad" w:hint="cs"/>
          <w:bCs w:val="0"/>
          <w:color w:val="auto"/>
          <w:sz w:val="27"/>
          <w:szCs w:val="27"/>
          <w:rtl/>
        </w:rPr>
        <w:t>إ</w:t>
      </w:r>
      <w:r w:rsidRPr="00282AC9">
        <w:rPr>
          <w:rFonts w:ascii="Simplified Arabic" w:hAnsi="Simplified Arabic" w:cs="AL-Mohanad"/>
          <w:bCs w:val="0"/>
          <w:color w:val="auto"/>
          <w:sz w:val="27"/>
          <w:szCs w:val="27"/>
          <w:rtl/>
        </w:rPr>
        <w:t>براهيم بن أبي محمود قال: قلت</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يا بن رسول الله</w:t>
      </w:r>
      <w:r w:rsidR="009A2A04" w:rsidRPr="00282AC9">
        <w:rPr>
          <w:rFonts w:ascii="Simplified Arabic" w:hAnsi="Simplified Arabic" w:cs="Mosawi"/>
          <w:bCs w:val="0"/>
          <w:color w:val="auto"/>
          <w:szCs w:val="22"/>
          <w:rtl/>
        </w:rPr>
        <w:t>|</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ما تقول في الحديث الذي يرويه الناس عن رسول الله</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إن الله تبارك وتعالى ينزل كل</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ليلة</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إلى السماء الدنيا؟! فقال</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لعن الله المحر</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فين الكَلِم عن مواضعه</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والله</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ما قال</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كذلك، إنما قال: إن الله تبارك وتعالى ي</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ز</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 م</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كاً إلى السماء كل</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ليلة</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الثلث الأخير، وليلة الجمعة في أو</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ل الليل، فيأمره فينادي: أَهَل من </w:t>
      </w:r>
      <w:r w:rsidRPr="00282AC9">
        <w:rPr>
          <w:rFonts w:ascii="Simplified Arabic" w:hAnsi="Simplified Arabic" w:cs="AL-Mohanad"/>
          <w:bCs w:val="0"/>
          <w:color w:val="auto"/>
          <w:sz w:val="27"/>
          <w:szCs w:val="27"/>
          <w:rtl/>
        </w:rPr>
        <w:lastRenderedPageBreak/>
        <w:t>سائلٍ فأعطيه؟! هل من تائب</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فأتوب عليه؟! هل من مستغفرٍ فأغفر له؟! يا طالب الخير فأقبل، يا طالب الشر</w:t>
      </w:r>
      <w:r w:rsidR="00E9723E"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أقصر. فلا يزال ينادي بهذا حت</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ى يطلع الفجر، فإذا طلع الفجر عاد إلى محل</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 من ملكوت السماء. حدّ</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ثني بذلك أبي</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عن جد</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عن آبائه</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عن رسول الله</w:t>
      </w:r>
      <w:r w:rsidR="009A2A04" w:rsidRPr="00282AC9">
        <w:rPr>
          <w:rFonts w:ascii="Simplified Arabic" w:hAnsi="Simplified Arabic" w:cs="Mosawi"/>
          <w:bCs w:val="0"/>
          <w:color w:val="auto"/>
          <w:szCs w:val="22"/>
          <w:rtl/>
        </w:rPr>
        <w:t>|</w:t>
      </w:r>
      <w:r w:rsidR="00EF7362"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44"/>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367C53" w:rsidRPr="00282AC9" w:rsidRDefault="00367C53" w:rsidP="00367C53">
      <w:pPr>
        <w:spacing w:line="420" w:lineRule="exact"/>
        <w:rPr>
          <w:sz w:val="27"/>
          <w:rtl/>
        </w:rPr>
      </w:pPr>
    </w:p>
    <w:p w:rsidR="007359AA" w:rsidRPr="00282AC9" w:rsidRDefault="00792268" w:rsidP="00715FC8">
      <w:pPr>
        <w:pStyle w:val="31"/>
        <w:rPr>
          <w:b/>
          <w:color w:val="auto"/>
          <w:rtl/>
        </w:rPr>
      </w:pPr>
      <w:r w:rsidRPr="00282AC9">
        <w:rPr>
          <w:rFonts w:hint="cs"/>
          <w:color w:val="auto"/>
          <w:rtl/>
        </w:rPr>
        <w:t>ب ـ</w:t>
      </w:r>
      <w:r w:rsidR="007359AA" w:rsidRPr="00282AC9">
        <w:rPr>
          <w:color w:val="auto"/>
          <w:rtl/>
        </w:rPr>
        <w:t xml:space="preserve"> مع الآراء والأفكار الضال</w:t>
      </w:r>
      <w:r w:rsidR="00EF7362" w:rsidRPr="00282AC9">
        <w:rPr>
          <w:rFonts w:hint="cs"/>
          <w:color w:val="auto"/>
          <w:rtl/>
        </w:rPr>
        <w:t>ّ</w:t>
      </w:r>
      <w:r w:rsidR="007359AA" w:rsidRPr="00282AC9">
        <w:rPr>
          <w:color w:val="auto"/>
          <w:rtl/>
        </w:rPr>
        <w:t xml:space="preserve">ة </w:t>
      </w:r>
      <w:r w:rsidRPr="00282AC9">
        <w:rPr>
          <w:rFonts w:hint="cs"/>
          <w:color w:val="auto"/>
          <w:rtl/>
        </w:rPr>
        <w:t>ل</w:t>
      </w:r>
      <w:r w:rsidR="007359AA" w:rsidRPr="00282AC9">
        <w:rPr>
          <w:color w:val="auto"/>
          <w:rtl/>
        </w:rPr>
        <w:t>لزنادقة والملحدين والواقفي</w:t>
      </w:r>
      <w:r w:rsidRPr="00282AC9">
        <w:rPr>
          <w:rFonts w:hint="cs"/>
          <w:color w:val="auto"/>
          <w:rtl/>
        </w:rPr>
        <w:t>ّ</w:t>
      </w:r>
      <w:r w:rsidR="007359AA" w:rsidRPr="00282AC9">
        <w:rPr>
          <w:color w:val="auto"/>
          <w:rtl/>
        </w:rPr>
        <w:t xml:space="preserve">ة </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سعى الإمام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ـ إلى جانب تصحيحه لعقائد بعض الف</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ق والمذاهب الإسلامي</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ـ إلى مواجهة الكثير من الب</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 والشبهات الضالة</w:t>
      </w:r>
      <w:r w:rsidR="00EF7362"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التي جاء بها بعض اليهود والنصارى والصائبة والمجوس، ومَنْ تأث</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 بها من بعض المسلمين. وقد تصد</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ى</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لهم بقو</w:t>
      </w:r>
      <w:r w:rsidR="00611CC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00611CC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وجرأة</w:t>
      </w:r>
      <w:r w:rsidR="00611CCC"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وفنّ</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 مزاعمهم، وأسقط انحرافاتهم:</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خفّ زنديق</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(متمرّ</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في الزندقة والإلحاد) إلى الإمام الرضا</w:t>
      </w:r>
      <w:r w:rsidR="009A2A04" w:rsidRPr="00282AC9">
        <w:rPr>
          <w:rFonts w:ascii="Simplified Arabic" w:hAnsi="Simplified Arabic" w:cs="Mosawi"/>
          <w:bCs w:val="0"/>
          <w:color w:val="auto"/>
          <w:szCs w:val="22"/>
          <w:rtl/>
        </w:rPr>
        <w:t>×</w:t>
      </w:r>
      <w:r w:rsidR="00611CCC" w:rsidRPr="00282AC9">
        <w:rPr>
          <w:rFonts w:ascii="Simplified Arabic" w:hAnsi="Simplified Arabic" w:cs="AL-Mohanad"/>
          <w:bCs w:val="0"/>
          <w:color w:val="auto"/>
          <w:sz w:val="27"/>
          <w:szCs w:val="27"/>
          <w:rtl/>
        </w:rPr>
        <w:t>، وكان</w:t>
      </w:r>
      <w:r w:rsidRPr="00282AC9">
        <w:rPr>
          <w:rFonts w:ascii="Simplified Arabic" w:hAnsi="Simplified Arabic" w:cs="AL-Mohanad"/>
          <w:bCs w:val="0"/>
          <w:color w:val="auto"/>
          <w:sz w:val="27"/>
          <w:szCs w:val="27"/>
          <w:rtl/>
        </w:rPr>
        <w:t xml:space="preserve"> في مجلسه جماعة</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فالتفت الإمام قائلاً: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أرأي</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إن</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كان القول قولكم ـ من إنكار الله تعالى ـ</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وليس هو كما تقولون</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نا وإي</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اكم شرعاً سواء، ولا يضر</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نا ما صل</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نا، وصمنا، وزك</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نا، وأقر</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EF736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نا؟</w:t>
      </w:r>
      <w:r w:rsidR="000B4C57"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وإن</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لم يكن القول قولكم</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r w:rsidR="000B4C57" w:rsidRPr="00282AC9">
        <w:rPr>
          <w:rFonts w:ascii="Simplified Arabic" w:hAnsi="Simplified Arabic" w:cs="AL-Mohanad" w:hint="cs"/>
          <w:bCs w:val="0"/>
          <w:color w:val="auto"/>
          <w:sz w:val="27"/>
          <w:szCs w:val="27"/>
          <w:rtl/>
        </w:rPr>
        <w:t>و</w:t>
      </w:r>
      <w:r w:rsidRPr="00282AC9">
        <w:rPr>
          <w:rFonts w:ascii="Simplified Arabic" w:hAnsi="Simplified Arabic" w:cs="AL-Mohanad"/>
          <w:bCs w:val="0"/>
          <w:color w:val="auto"/>
          <w:sz w:val="27"/>
          <w:szCs w:val="27"/>
          <w:rtl/>
        </w:rPr>
        <w:t>هو كما نقول</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تم قد هلكت</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 ونج</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و</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نا</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45"/>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 xml:space="preserve"> وقد</w:t>
      </w:r>
      <w:r w:rsidR="000B4C57"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 الزنديق إلى الإمام</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الأسئلة التالية:</w:t>
      </w:r>
    </w:p>
    <w:p w:rsidR="007359AA" w:rsidRPr="00282AC9" w:rsidRDefault="000B4C57"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س1</w:t>
      </w:r>
      <w:r w:rsidR="007359AA" w:rsidRPr="00282AC9">
        <w:rPr>
          <w:rFonts w:ascii="Simplified Arabic" w:hAnsi="Simplified Arabic" w:cs="AL-Mohanad"/>
          <w:bCs w:val="0"/>
          <w:color w:val="auto"/>
          <w:sz w:val="27"/>
          <w:szCs w:val="27"/>
          <w:rtl/>
        </w:rPr>
        <w:t>ـ رحمك الله، أوجدني كيف هو ـ يعني الله ـ</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وأين هو؟</w:t>
      </w:r>
    </w:p>
    <w:p w:rsidR="007359AA" w:rsidRPr="00282AC9" w:rsidRDefault="000B4C57"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ج1</w:t>
      </w:r>
      <w:r w:rsidR="007359AA" w:rsidRPr="00282AC9">
        <w:rPr>
          <w:rFonts w:ascii="Simplified Arabic" w:hAnsi="Simplified Arabic" w:cs="AL-Mohanad"/>
          <w:bCs w:val="0"/>
          <w:color w:val="auto"/>
          <w:sz w:val="27"/>
          <w:szCs w:val="27"/>
          <w:rtl/>
        </w:rPr>
        <w:t xml:space="preserve">ـ </w:t>
      </w:r>
      <w:r w:rsidR="007359AA" w:rsidRPr="00282AC9">
        <w:rPr>
          <w:rFonts w:cs="AL-Mohanad" w:hint="eastAsia"/>
          <w:bCs w:val="0"/>
          <w:color w:val="auto"/>
          <w:sz w:val="24"/>
          <w:szCs w:val="24"/>
          <w:rtl/>
        </w:rPr>
        <w:t>«</w:t>
      </w:r>
      <w:r w:rsidR="000E1D24" w:rsidRPr="00282AC9">
        <w:rPr>
          <w:rFonts w:ascii="Simplified Arabic" w:hAnsi="Simplified Arabic" w:cs="AL-Mohanad" w:hint="cs"/>
          <w:bCs w:val="0"/>
          <w:color w:val="auto"/>
          <w:sz w:val="27"/>
          <w:szCs w:val="27"/>
          <w:rtl/>
        </w:rPr>
        <w:t xml:space="preserve">ويلك، </w:t>
      </w:r>
      <w:r w:rsidR="007359AA" w:rsidRPr="00282AC9">
        <w:rPr>
          <w:rFonts w:ascii="Simplified Arabic" w:hAnsi="Simplified Arabic" w:cs="AL-Mohanad"/>
          <w:bCs w:val="0"/>
          <w:color w:val="auto"/>
          <w:sz w:val="27"/>
          <w:szCs w:val="27"/>
          <w:rtl/>
        </w:rPr>
        <w:t>إنّ الذي ذهب</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إليه غلط</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وهو أين الأين، وكان ولا أين، وهو كيف الكيف، وكان ولا كيف، ولا يعرف بكيفوفته، ولا بأينونته، ولا يدرك بحاس</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ة</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ولا ي</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قاس بشيء</w:t>
      </w:r>
      <w:r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w:t>
      </w:r>
      <w:r w:rsidR="007359AA" w:rsidRPr="00282AC9">
        <w:rPr>
          <w:rFonts w:cs="AL-Mohanad" w:hint="eastAsia"/>
          <w:bCs w:val="0"/>
          <w:color w:val="auto"/>
          <w:sz w:val="24"/>
          <w:szCs w:val="24"/>
          <w:rtl/>
        </w:rPr>
        <w:t>»</w:t>
      </w:r>
      <w:r w:rsidR="007359AA" w:rsidRPr="00282AC9">
        <w:rPr>
          <w:rFonts w:ascii="Simplified Arabic" w:hAnsi="Simplified Arabic" w:cs="AL-Mohanad"/>
          <w:bCs w:val="0"/>
          <w:color w:val="auto"/>
          <w:sz w:val="27"/>
          <w:szCs w:val="27"/>
          <w:rtl/>
        </w:rPr>
        <w:t>.</w:t>
      </w:r>
    </w:p>
    <w:p w:rsidR="007359AA" w:rsidRPr="00282AC9" w:rsidRDefault="000B4C57"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س2</w:t>
      </w:r>
      <w:r w:rsidR="007359AA" w:rsidRPr="00282AC9">
        <w:rPr>
          <w:rFonts w:ascii="Simplified Arabic" w:hAnsi="Simplified Arabic" w:cs="AL-Mohanad"/>
          <w:bCs w:val="0"/>
          <w:color w:val="auto"/>
          <w:sz w:val="27"/>
          <w:szCs w:val="27"/>
          <w:rtl/>
        </w:rPr>
        <w:t xml:space="preserve">ـ </w:t>
      </w:r>
      <w:r w:rsidR="006D28AF" w:rsidRPr="00282AC9">
        <w:rPr>
          <w:rFonts w:ascii="Simplified Arabic" w:hAnsi="Simplified Arabic" w:cs="AL-Mohanad"/>
          <w:bCs w:val="0"/>
          <w:color w:val="auto"/>
          <w:sz w:val="27"/>
          <w:szCs w:val="27"/>
          <w:rtl/>
        </w:rPr>
        <w:t>إذن</w:t>
      </w:r>
      <w:r w:rsidR="007359AA" w:rsidRPr="00282AC9">
        <w:rPr>
          <w:rFonts w:ascii="Simplified Arabic" w:hAnsi="Simplified Arabic" w:cs="AL-Mohanad"/>
          <w:bCs w:val="0"/>
          <w:color w:val="auto"/>
          <w:sz w:val="27"/>
          <w:szCs w:val="27"/>
          <w:rtl/>
        </w:rPr>
        <w:t xml:space="preserve"> </w:t>
      </w:r>
      <w:r w:rsidR="000E1D24" w:rsidRPr="00282AC9">
        <w:rPr>
          <w:rFonts w:ascii="Simplified Arabic" w:hAnsi="Simplified Arabic" w:cs="AL-Mohanad" w:hint="cs"/>
          <w:bCs w:val="0"/>
          <w:color w:val="auto"/>
          <w:sz w:val="27"/>
          <w:szCs w:val="27"/>
          <w:rtl/>
        </w:rPr>
        <w:t>إ</w:t>
      </w:r>
      <w:r w:rsidR="007359AA" w:rsidRPr="00282AC9">
        <w:rPr>
          <w:rFonts w:ascii="Simplified Arabic" w:hAnsi="Simplified Arabic" w:cs="AL-Mohanad"/>
          <w:bCs w:val="0"/>
          <w:color w:val="auto"/>
          <w:sz w:val="27"/>
          <w:szCs w:val="27"/>
          <w:rtl/>
        </w:rPr>
        <w:t>نه لا</w:t>
      </w:r>
      <w:r w:rsidR="007359AA" w:rsidRPr="00282AC9">
        <w:rPr>
          <w:rFonts w:ascii="Simplified Arabic" w:hAnsi="Simplified Arabic" w:cs="AL-Mohanad" w:hint="cs"/>
          <w:bCs w:val="0"/>
          <w:color w:val="auto"/>
          <w:sz w:val="27"/>
          <w:szCs w:val="27"/>
          <w:rtl/>
        </w:rPr>
        <w:t xml:space="preserve"> </w:t>
      </w:r>
      <w:r w:rsidR="007359AA" w:rsidRPr="00282AC9">
        <w:rPr>
          <w:rFonts w:ascii="Simplified Arabic" w:hAnsi="Simplified Arabic" w:cs="AL-Mohanad"/>
          <w:bCs w:val="0"/>
          <w:color w:val="auto"/>
          <w:sz w:val="27"/>
          <w:szCs w:val="27"/>
          <w:rtl/>
        </w:rPr>
        <w:t>شيء</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إذ لم يدرك بحاس</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ة</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من الحواس</w:t>
      </w:r>
      <w:r w:rsidR="000E1D24" w:rsidRPr="00282AC9">
        <w:rPr>
          <w:rFonts w:ascii="Simplified Arabic" w:hAnsi="Simplified Arabic" w:cs="AL-Mohanad" w:hint="cs"/>
          <w:bCs w:val="0"/>
          <w:color w:val="auto"/>
          <w:sz w:val="27"/>
          <w:szCs w:val="27"/>
          <w:rtl/>
        </w:rPr>
        <w:t>؟</w:t>
      </w:r>
    </w:p>
    <w:p w:rsidR="007359AA" w:rsidRPr="00282AC9" w:rsidRDefault="000B4C57"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ج2</w:t>
      </w:r>
      <w:r w:rsidR="007359AA" w:rsidRPr="00282AC9">
        <w:rPr>
          <w:rFonts w:ascii="Simplified Arabic" w:hAnsi="Simplified Arabic" w:cs="AL-Mohanad"/>
          <w:bCs w:val="0"/>
          <w:color w:val="auto"/>
          <w:sz w:val="27"/>
          <w:szCs w:val="27"/>
          <w:rtl/>
        </w:rPr>
        <w:t xml:space="preserve">ـ </w:t>
      </w:r>
      <w:r w:rsidR="007359AA" w:rsidRPr="00282AC9">
        <w:rPr>
          <w:rFonts w:cs="AL-Mohanad" w:hint="eastAsia"/>
          <w:bCs w:val="0"/>
          <w:color w:val="auto"/>
          <w:sz w:val="24"/>
          <w:szCs w:val="24"/>
          <w:rtl/>
        </w:rPr>
        <w:t>«</w:t>
      </w:r>
      <w:r w:rsidR="007359AA" w:rsidRPr="00282AC9">
        <w:rPr>
          <w:rFonts w:ascii="Simplified Arabic" w:hAnsi="Simplified Arabic" w:cs="AL-Mohanad"/>
          <w:bCs w:val="0"/>
          <w:color w:val="auto"/>
          <w:sz w:val="27"/>
          <w:szCs w:val="27"/>
          <w:rtl/>
        </w:rPr>
        <w:t>ويلك</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w:t>
      </w:r>
      <w:r w:rsidR="000E1D24" w:rsidRPr="00282AC9">
        <w:rPr>
          <w:rFonts w:ascii="Simplified Arabic" w:hAnsi="Simplified Arabic" w:cs="AL-Mohanad" w:hint="cs"/>
          <w:bCs w:val="0"/>
          <w:color w:val="auto"/>
          <w:sz w:val="27"/>
          <w:szCs w:val="27"/>
          <w:rtl/>
        </w:rPr>
        <w:t>ل</w:t>
      </w:r>
      <w:r w:rsidR="007359AA" w:rsidRPr="00282AC9">
        <w:rPr>
          <w:rFonts w:ascii="Simplified Arabic" w:hAnsi="Simplified Arabic" w:cs="AL-Mohanad"/>
          <w:bCs w:val="0"/>
          <w:color w:val="auto"/>
          <w:sz w:val="27"/>
          <w:szCs w:val="27"/>
          <w:rtl/>
        </w:rPr>
        <w:t>م</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ا عجز</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حواسك عن إدراكه أنكرت ربوبي</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ته، ونحن إذا عجزت حواس</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نا عن إدراكه أيقن</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ا أنه رب</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نا، وأنه شيء</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بخلاف الأشياء</w:t>
      </w:r>
      <w:r w:rsidR="007359AA" w:rsidRPr="00282AC9">
        <w:rPr>
          <w:rFonts w:cs="AL-Mohanad" w:hint="eastAsia"/>
          <w:bCs w:val="0"/>
          <w:color w:val="auto"/>
          <w:sz w:val="24"/>
          <w:szCs w:val="24"/>
          <w:rtl/>
        </w:rPr>
        <w:t>»</w:t>
      </w:r>
      <w:r w:rsidR="007359AA" w:rsidRPr="00282AC9">
        <w:rPr>
          <w:rFonts w:ascii="Simplified Arabic" w:hAnsi="Simplified Arabic" w:cs="AL-Mohanad"/>
          <w:bCs w:val="0"/>
          <w:color w:val="auto"/>
          <w:sz w:val="27"/>
          <w:szCs w:val="27"/>
          <w:rtl/>
        </w:rPr>
        <w:t>.</w:t>
      </w:r>
    </w:p>
    <w:p w:rsidR="007359AA" w:rsidRPr="00282AC9" w:rsidRDefault="000B4C57"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س3</w:t>
      </w:r>
      <w:r w:rsidR="007359AA" w:rsidRPr="00282AC9">
        <w:rPr>
          <w:rFonts w:ascii="Simplified Arabic" w:hAnsi="Simplified Arabic" w:cs="AL-Mohanad"/>
          <w:bCs w:val="0"/>
          <w:color w:val="auto"/>
          <w:sz w:val="27"/>
          <w:szCs w:val="27"/>
          <w:rtl/>
        </w:rPr>
        <w:t>ـ أخبرني متى كان؟</w:t>
      </w:r>
    </w:p>
    <w:p w:rsidR="007359AA" w:rsidRPr="00282AC9" w:rsidRDefault="000B4C57"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ج3</w:t>
      </w:r>
      <w:r w:rsidR="007359AA" w:rsidRPr="00282AC9">
        <w:rPr>
          <w:rFonts w:ascii="Simplified Arabic" w:hAnsi="Simplified Arabic" w:cs="AL-Mohanad"/>
          <w:bCs w:val="0"/>
          <w:color w:val="auto"/>
          <w:sz w:val="27"/>
          <w:szCs w:val="27"/>
          <w:rtl/>
        </w:rPr>
        <w:t xml:space="preserve">ـ </w:t>
      </w:r>
      <w:r w:rsidR="007359AA" w:rsidRPr="00282AC9">
        <w:rPr>
          <w:rFonts w:cs="AL-Mohanad" w:hint="eastAsia"/>
          <w:bCs w:val="0"/>
          <w:color w:val="auto"/>
          <w:sz w:val="24"/>
          <w:szCs w:val="24"/>
          <w:rtl/>
        </w:rPr>
        <w:t>«</w:t>
      </w:r>
      <w:r w:rsidR="007359AA" w:rsidRPr="00282AC9">
        <w:rPr>
          <w:rFonts w:ascii="Simplified Arabic" w:hAnsi="Simplified Arabic" w:cs="AL-Mohanad"/>
          <w:bCs w:val="0"/>
          <w:color w:val="auto"/>
          <w:sz w:val="27"/>
          <w:szCs w:val="27"/>
          <w:rtl/>
        </w:rPr>
        <w:t xml:space="preserve"> أخبرني متى لم يكن، فأخبرك متى كان</w:t>
      </w:r>
      <w:r w:rsidR="007359AA" w:rsidRPr="00282AC9">
        <w:rPr>
          <w:rFonts w:cs="AL-Mohanad" w:hint="eastAsia"/>
          <w:bCs w:val="0"/>
          <w:color w:val="auto"/>
          <w:sz w:val="24"/>
          <w:szCs w:val="24"/>
          <w:rtl/>
        </w:rPr>
        <w:t>»</w:t>
      </w:r>
      <w:r w:rsidR="000E1D24" w:rsidRPr="00282AC9">
        <w:rPr>
          <w:rFonts w:ascii="Simplified Arabic" w:hAnsi="Simplified Arabic" w:cs="AL-Mohanad" w:hint="cs"/>
          <w:b/>
          <w:bCs w:val="0"/>
          <w:color w:val="auto"/>
          <w:sz w:val="27"/>
          <w:szCs w:val="27"/>
          <w:rtl/>
        </w:rPr>
        <w:t>.</w:t>
      </w:r>
    </w:p>
    <w:p w:rsidR="007359AA" w:rsidRPr="00282AC9" w:rsidRDefault="000B4C57"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س4</w:t>
      </w:r>
      <w:r w:rsidR="007359AA" w:rsidRPr="00282AC9">
        <w:rPr>
          <w:rFonts w:ascii="Simplified Arabic" w:hAnsi="Simplified Arabic" w:cs="AL-Mohanad"/>
          <w:bCs w:val="0"/>
          <w:color w:val="auto"/>
          <w:sz w:val="27"/>
          <w:szCs w:val="27"/>
          <w:rtl/>
        </w:rPr>
        <w:t>ـ ما الدليل عليه؟</w:t>
      </w:r>
    </w:p>
    <w:p w:rsidR="007359AA" w:rsidRPr="00282AC9" w:rsidRDefault="000B4C57"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lastRenderedPageBreak/>
        <w:t>ج4</w:t>
      </w:r>
      <w:r w:rsidR="007359AA" w:rsidRPr="00282AC9">
        <w:rPr>
          <w:rFonts w:ascii="Simplified Arabic" w:hAnsi="Simplified Arabic" w:cs="AL-Mohanad"/>
          <w:bCs w:val="0"/>
          <w:color w:val="auto"/>
          <w:sz w:val="27"/>
          <w:szCs w:val="27"/>
          <w:rtl/>
        </w:rPr>
        <w:t xml:space="preserve">ـ </w:t>
      </w:r>
      <w:r w:rsidR="007359AA" w:rsidRPr="00282AC9">
        <w:rPr>
          <w:rFonts w:cs="AL-Mohanad" w:hint="eastAsia"/>
          <w:bCs w:val="0"/>
          <w:color w:val="auto"/>
          <w:sz w:val="24"/>
          <w:szCs w:val="24"/>
          <w:rtl/>
        </w:rPr>
        <w:t>«</w:t>
      </w:r>
      <w:r w:rsidR="007359AA" w:rsidRPr="00282AC9">
        <w:rPr>
          <w:rFonts w:ascii="Simplified Arabic" w:hAnsi="Simplified Arabic" w:cs="AL-Mohanad"/>
          <w:bCs w:val="0"/>
          <w:color w:val="auto"/>
          <w:sz w:val="27"/>
          <w:szCs w:val="27"/>
          <w:rtl/>
        </w:rPr>
        <w:t>إن</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ي لو نظر</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إلى جسدي، فلم يمكنني فيه زيادة</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ولا نقصان في الع</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ر</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ض والطول، ودفع المكاره عنه، وجر</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المنفعة إليه، علم</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أن لهذا البنيان بانياً، فأقر</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ر</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w:t>
      </w:r>
      <w:r w:rsidR="000E1D24"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به، مع ما أرى من دوران الفلك بقدرته، وإنشاء الس</w:t>
      </w:r>
      <w:r w:rsidR="007B1900"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حاب، وتصريف الر</w:t>
      </w:r>
      <w:r w:rsidR="007B1900"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ياح، ومجرى الشمس، والقمر، والنجوم، وغير ذلك من الآيات العجيبات المتقنات</w:t>
      </w:r>
      <w:r w:rsidR="007B1900" w:rsidRPr="00282AC9">
        <w:rPr>
          <w:rFonts w:ascii="Simplified Arabic" w:hAnsi="Simplified Arabic" w:cs="AL-Mohanad" w:hint="cs"/>
          <w:bCs w:val="0"/>
          <w:color w:val="auto"/>
          <w:sz w:val="27"/>
          <w:szCs w:val="27"/>
          <w:rtl/>
        </w:rPr>
        <w:t xml:space="preserve">، </w:t>
      </w:r>
      <w:r w:rsidR="007359AA" w:rsidRPr="00282AC9">
        <w:rPr>
          <w:rFonts w:ascii="Simplified Arabic" w:hAnsi="Simplified Arabic" w:cs="AL-Mohanad"/>
          <w:bCs w:val="0"/>
          <w:color w:val="auto"/>
          <w:sz w:val="27"/>
          <w:szCs w:val="27"/>
          <w:rtl/>
        </w:rPr>
        <w:t>علم</w:t>
      </w:r>
      <w:r w:rsidR="007B1900"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w:t>
      </w:r>
      <w:r w:rsidR="007B1900"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أن لهذا مقد</w:t>
      </w:r>
      <w:r w:rsidR="007B1900"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راً ومنشئاً</w:t>
      </w:r>
      <w:r w:rsidR="007359AA" w:rsidRPr="00282AC9">
        <w:rPr>
          <w:rFonts w:cs="AL-Mohanad" w:hint="eastAsia"/>
          <w:bCs w:val="0"/>
          <w:color w:val="auto"/>
          <w:sz w:val="24"/>
          <w:szCs w:val="24"/>
          <w:rtl/>
        </w:rPr>
        <w:t>»</w:t>
      </w:r>
      <w:r w:rsidR="007359AA" w:rsidRPr="00282AC9">
        <w:rPr>
          <w:rFonts w:ascii="Simplified Arabic" w:hAnsi="Simplified Arabic" w:cs="AL-Mohanad"/>
          <w:bCs w:val="0"/>
          <w:color w:val="auto"/>
          <w:sz w:val="27"/>
          <w:szCs w:val="27"/>
          <w:rtl/>
        </w:rPr>
        <w:t>.</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س5</w:t>
      </w:r>
      <w:r w:rsidRPr="00282AC9">
        <w:rPr>
          <w:rFonts w:ascii="Simplified Arabic" w:hAnsi="Simplified Arabic" w:cs="AL-Mohanad"/>
          <w:bCs w:val="0"/>
          <w:color w:val="auto"/>
          <w:sz w:val="27"/>
          <w:szCs w:val="27"/>
          <w:rtl/>
        </w:rPr>
        <w:t>ـ ل</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لا تدركه الأبصار؟</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ج5</w:t>
      </w:r>
      <w:r w:rsidRPr="00282AC9">
        <w:rPr>
          <w:rFonts w:ascii="Simplified Arabic" w:hAnsi="Simplified Arabic" w:cs="AL-Mohanad"/>
          <w:bCs w:val="0"/>
          <w:color w:val="auto"/>
          <w:sz w:val="27"/>
          <w:szCs w:val="27"/>
          <w:rtl/>
        </w:rPr>
        <w:t xml:space="preserve">ـ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 xml:space="preserve"> للفرق بينه وبين خلقه الذين تدركهم حاس</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الأبصار، منهم ومن غيرهم، ثم هو أجلّ</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أن يدركه بصر</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أو يحيط به و</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أو يضبطه عقل</w:t>
      </w:r>
      <w:r w:rsidR="007B1900" w:rsidRPr="00282AC9">
        <w:rPr>
          <w:rFonts w:ascii="Simplified Arabic" w:hAnsi="Simplified Arabic" w:cs="AL-Mohanad" w:hint="cs"/>
          <w:bCs w:val="0"/>
          <w:color w:val="auto"/>
          <w:sz w:val="27"/>
          <w:szCs w:val="27"/>
          <w:rtl/>
        </w:rPr>
        <w:t>ٌ</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س6</w:t>
      </w:r>
      <w:r w:rsidRPr="00282AC9">
        <w:rPr>
          <w:rFonts w:ascii="Simplified Arabic" w:hAnsi="Simplified Arabic" w:cs="AL-Mohanad"/>
          <w:bCs w:val="0"/>
          <w:color w:val="auto"/>
          <w:sz w:val="27"/>
          <w:szCs w:val="27"/>
          <w:rtl/>
        </w:rPr>
        <w:t>ـ حدّ</w:t>
      </w:r>
      <w:r w:rsidR="007B1900" w:rsidRPr="00282AC9">
        <w:rPr>
          <w:rFonts w:ascii="Simplified Arabic" w:hAnsi="Simplified Arabic" w:cs="AL-Mohanad" w:hint="cs"/>
          <w:bCs w:val="0"/>
          <w:color w:val="auto"/>
          <w:sz w:val="27"/>
          <w:szCs w:val="27"/>
          <w:rtl/>
        </w:rPr>
        <w:t>َ</w:t>
      </w:r>
      <w:r w:rsidR="007B1900" w:rsidRPr="00282AC9">
        <w:rPr>
          <w:rFonts w:ascii="Simplified Arabic" w:hAnsi="Simplified Arabic" w:cs="AL-Mohanad"/>
          <w:bCs w:val="0"/>
          <w:color w:val="auto"/>
          <w:sz w:val="27"/>
          <w:szCs w:val="27"/>
          <w:rtl/>
        </w:rPr>
        <w:t>ه ـ أي الله تعالى ـ ل</w:t>
      </w:r>
      <w:r w:rsidR="007B1900" w:rsidRPr="00282AC9">
        <w:rPr>
          <w:rFonts w:ascii="Simplified Arabic" w:hAnsi="Simplified Arabic" w:cs="AL-Mohanad" w:hint="cs"/>
          <w:bCs w:val="0"/>
          <w:color w:val="auto"/>
          <w:sz w:val="27"/>
          <w:szCs w:val="27"/>
          <w:rtl/>
        </w:rPr>
        <w:t>ي.</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ج6</w:t>
      </w:r>
      <w:r w:rsidRPr="00282AC9">
        <w:rPr>
          <w:rFonts w:ascii="Simplified Arabic" w:hAnsi="Simplified Arabic" w:cs="AL-Mohanad"/>
          <w:bCs w:val="0"/>
          <w:color w:val="auto"/>
          <w:sz w:val="27"/>
          <w:szCs w:val="27"/>
          <w:rtl/>
        </w:rPr>
        <w:t xml:space="preserve">ـ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 xml:space="preserve"> لا ح</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w:t>
      </w:r>
      <w:r w:rsidR="007B1900" w:rsidRPr="00282AC9">
        <w:rPr>
          <w:rFonts w:ascii="Simplified Arabic" w:hAnsi="Simplified Arabic" w:cs="AL-Mohanad" w:hint="cs"/>
          <w:bCs w:val="0"/>
          <w:color w:val="auto"/>
          <w:sz w:val="27"/>
          <w:szCs w:val="27"/>
          <w:rtl/>
        </w:rPr>
        <w:t>َ له</w:t>
      </w:r>
      <w:r w:rsidRPr="00282AC9">
        <w:rPr>
          <w:rFonts w:cs="AL-Mohanad" w:hint="eastAsia"/>
          <w:bCs w:val="0"/>
          <w:color w:val="auto"/>
          <w:sz w:val="24"/>
          <w:szCs w:val="24"/>
          <w:rtl/>
        </w:rPr>
        <w:t>»</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س7</w:t>
      </w:r>
      <w:r w:rsidRPr="00282AC9">
        <w:rPr>
          <w:rFonts w:ascii="Simplified Arabic" w:hAnsi="Simplified Arabic" w:cs="AL-Mohanad"/>
          <w:bCs w:val="0"/>
          <w:color w:val="auto"/>
          <w:sz w:val="27"/>
          <w:szCs w:val="27"/>
          <w:rtl/>
        </w:rPr>
        <w:t>ـ ل</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ـ أي لماذا لا ي</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ح</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 ـ؟</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ج7</w:t>
      </w:r>
      <w:r w:rsidRPr="00282AC9">
        <w:rPr>
          <w:rFonts w:ascii="Simplified Arabic" w:hAnsi="Simplified Arabic" w:cs="AL-Mohanad"/>
          <w:bCs w:val="0"/>
          <w:color w:val="auto"/>
          <w:sz w:val="27"/>
          <w:szCs w:val="27"/>
          <w:rtl/>
        </w:rPr>
        <w:t xml:space="preserve">ـ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لأنّ كل</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r w:rsidR="007B1900" w:rsidRPr="00282AC9">
        <w:rPr>
          <w:rFonts w:ascii="Simplified Arabic" w:hAnsi="Simplified Arabic" w:cs="AL-Mohanad" w:hint="cs"/>
          <w:bCs w:val="0"/>
          <w:color w:val="auto"/>
          <w:sz w:val="27"/>
          <w:szCs w:val="27"/>
          <w:rtl/>
        </w:rPr>
        <w:t xml:space="preserve">محدودٍ </w:t>
      </w:r>
      <w:r w:rsidRPr="00282AC9">
        <w:rPr>
          <w:rFonts w:ascii="Simplified Arabic" w:hAnsi="Simplified Arabic" w:cs="AL-Mohanad"/>
          <w:bCs w:val="0"/>
          <w:color w:val="auto"/>
          <w:sz w:val="27"/>
          <w:szCs w:val="27"/>
          <w:rtl/>
        </w:rPr>
        <w:t>متناه</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w:t>
      </w:r>
      <w:r w:rsidR="007B1900" w:rsidRPr="00282AC9">
        <w:rPr>
          <w:rFonts w:ascii="Simplified Arabic" w:hAnsi="Simplified Arabic" w:cs="AL-Mohanad" w:hint="cs"/>
          <w:bCs w:val="0"/>
          <w:color w:val="auto"/>
          <w:sz w:val="27"/>
          <w:szCs w:val="27"/>
          <w:rtl/>
        </w:rPr>
        <w:t>إلى حدٍّ</w:t>
      </w:r>
      <w:r w:rsidRPr="00282AC9">
        <w:rPr>
          <w:rFonts w:ascii="Simplified Arabic" w:hAnsi="Simplified Arabic" w:cs="AL-Mohanad"/>
          <w:bCs w:val="0"/>
          <w:color w:val="auto"/>
          <w:sz w:val="27"/>
          <w:szCs w:val="27"/>
          <w:rtl/>
        </w:rPr>
        <w:t>، وإذا احتمل التحديد احتمل الزيادة، وإذا احتمل الزيادة احتمل النقصان. فهو غير محدود</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ولا متزايد</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ولا متناقص</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ولا متجز</w:t>
      </w:r>
      <w:r w:rsidR="007B1900" w:rsidRPr="00282AC9">
        <w:rPr>
          <w:rFonts w:ascii="Simplified Arabic" w:hAnsi="Simplified Arabic" w:cs="AL-Mohanad" w:hint="cs"/>
          <w:bCs w:val="0"/>
          <w:color w:val="auto"/>
          <w:sz w:val="27"/>
          <w:szCs w:val="27"/>
          <w:rtl/>
        </w:rPr>
        <w:t>ّ</w:t>
      </w:r>
      <w:r w:rsidR="00A86086" w:rsidRPr="00282AC9">
        <w:rPr>
          <w:rFonts w:ascii="Simplified Arabic" w:hAnsi="Simplified Arabic" w:cs="AL-Mohanad" w:hint="cs"/>
          <w:bCs w:val="0"/>
          <w:color w:val="auto"/>
          <w:sz w:val="27"/>
          <w:szCs w:val="27"/>
          <w:rtl/>
        </w:rPr>
        <w:t>ئٍ</w:t>
      </w:r>
      <w:r w:rsidRPr="00282AC9">
        <w:rPr>
          <w:rFonts w:ascii="Simplified Arabic" w:hAnsi="Simplified Arabic" w:cs="AL-Mohanad"/>
          <w:bCs w:val="0"/>
          <w:color w:val="auto"/>
          <w:sz w:val="27"/>
          <w:szCs w:val="27"/>
          <w:rtl/>
        </w:rPr>
        <w:t>، ولا متوه</w:t>
      </w:r>
      <w:r w:rsidR="007B1900"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w:t>
      </w:r>
    </w:p>
    <w:p w:rsidR="007359AA" w:rsidRPr="00282AC9" w:rsidRDefault="007B1900"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س8</w:t>
      </w:r>
      <w:r w:rsidRPr="00282AC9">
        <w:rPr>
          <w:rFonts w:ascii="Simplified Arabic" w:hAnsi="Simplified Arabic" w:cs="AL-Mohanad" w:hint="cs"/>
          <w:bCs w:val="0"/>
          <w:color w:val="auto"/>
          <w:sz w:val="2"/>
          <w:szCs w:val="2"/>
          <w:rtl/>
        </w:rPr>
        <w:t xml:space="preserve"> </w:t>
      </w:r>
      <w:r w:rsidR="007359AA" w:rsidRPr="00282AC9">
        <w:rPr>
          <w:rFonts w:ascii="Simplified Arabic" w:hAnsi="Simplified Arabic" w:cs="AL-Mohanad"/>
          <w:bCs w:val="0"/>
          <w:color w:val="auto"/>
          <w:sz w:val="27"/>
          <w:szCs w:val="27"/>
          <w:rtl/>
        </w:rPr>
        <w:t>ـ أخبرني عن قولكم: إنه لطيف</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وسميع، وبصير، وعليم، وحكيم</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أيكون السميع </w:t>
      </w:r>
      <w:r w:rsidR="000543AE" w:rsidRPr="00282AC9">
        <w:rPr>
          <w:rFonts w:ascii="Simplified Arabic" w:hAnsi="Simplified Arabic" w:cs="AL-Mohanad" w:hint="cs"/>
          <w:bCs w:val="0"/>
          <w:color w:val="auto"/>
          <w:sz w:val="27"/>
          <w:szCs w:val="27"/>
          <w:rtl/>
        </w:rPr>
        <w:t xml:space="preserve">إلاّ </w:t>
      </w:r>
      <w:r w:rsidR="007359AA" w:rsidRPr="00282AC9">
        <w:rPr>
          <w:rFonts w:ascii="Simplified Arabic" w:hAnsi="Simplified Arabic" w:cs="AL-Mohanad"/>
          <w:bCs w:val="0"/>
          <w:color w:val="auto"/>
          <w:sz w:val="27"/>
          <w:szCs w:val="27"/>
          <w:rtl/>
        </w:rPr>
        <w:t xml:space="preserve">بالأذن، البصير </w:t>
      </w:r>
      <w:r w:rsidR="000543AE" w:rsidRPr="00282AC9">
        <w:rPr>
          <w:rFonts w:ascii="Simplified Arabic" w:hAnsi="Simplified Arabic" w:cs="AL-Mohanad" w:hint="cs"/>
          <w:bCs w:val="0"/>
          <w:color w:val="auto"/>
          <w:sz w:val="27"/>
          <w:szCs w:val="27"/>
          <w:rtl/>
        </w:rPr>
        <w:t>إلاّ</w:t>
      </w:r>
      <w:r w:rsidR="007359AA" w:rsidRPr="00282AC9">
        <w:rPr>
          <w:rFonts w:ascii="Simplified Arabic" w:hAnsi="Simplified Arabic" w:cs="AL-Mohanad"/>
          <w:bCs w:val="0"/>
          <w:color w:val="auto"/>
          <w:sz w:val="27"/>
          <w:szCs w:val="27"/>
          <w:rtl/>
        </w:rPr>
        <w:t xml:space="preserve"> بالعين، واللطيف </w:t>
      </w:r>
      <w:r w:rsidR="000543AE" w:rsidRPr="00282AC9">
        <w:rPr>
          <w:rFonts w:ascii="Simplified Arabic" w:hAnsi="Simplified Arabic" w:cs="AL-Mohanad" w:hint="cs"/>
          <w:bCs w:val="0"/>
          <w:color w:val="auto"/>
          <w:sz w:val="27"/>
          <w:szCs w:val="27"/>
          <w:rtl/>
        </w:rPr>
        <w:t>إ</w:t>
      </w:r>
      <w:r w:rsidR="007359AA" w:rsidRPr="00282AC9">
        <w:rPr>
          <w:rFonts w:ascii="Simplified Arabic" w:hAnsi="Simplified Arabic" w:cs="AL-Mohanad"/>
          <w:bCs w:val="0"/>
          <w:color w:val="auto"/>
          <w:sz w:val="27"/>
          <w:szCs w:val="27"/>
          <w:rtl/>
        </w:rPr>
        <w:t>لا</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بعمل اليدين، والحكيم </w:t>
      </w:r>
      <w:r w:rsidR="000543AE" w:rsidRPr="00282AC9">
        <w:rPr>
          <w:rFonts w:ascii="Simplified Arabic" w:hAnsi="Simplified Arabic" w:cs="AL-Mohanad" w:hint="cs"/>
          <w:bCs w:val="0"/>
          <w:color w:val="auto"/>
          <w:sz w:val="27"/>
          <w:szCs w:val="27"/>
          <w:rtl/>
        </w:rPr>
        <w:t>إ</w:t>
      </w:r>
      <w:r w:rsidR="007359AA" w:rsidRPr="00282AC9">
        <w:rPr>
          <w:rFonts w:ascii="Simplified Arabic" w:hAnsi="Simplified Arabic" w:cs="AL-Mohanad"/>
          <w:bCs w:val="0"/>
          <w:color w:val="auto"/>
          <w:sz w:val="27"/>
          <w:szCs w:val="27"/>
          <w:rtl/>
        </w:rPr>
        <w:t>لا</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بالصنعة؟</w:t>
      </w:r>
    </w:p>
    <w:p w:rsidR="007359AA" w:rsidRPr="00282AC9" w:rsidRDefault="007B1900"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
          <w:color w:val="auto"/>
          <w:sz w:val="27"/>
          <w:szCs w:val="27"/>
          <w:rtl/>
        </w:rPr>
        <w:t>ج8</w:t>
      </w:r>
      <w:r w:rsidRPr="00282AC9">
        <w:rPr>
          <w:rFonts w:ascii="Simplified Arabic" w:hAnsi="Simplified Arabic" w:cs="AL-Mohanad" w:hint="cs"/>
          <w:bCs w:val="0"/>
          <w:color w:val="auto"/>
          <w:sz w:val="2"/>
          <w:szCs w:val="2"/>
          <w:rtl/>
        </w:rPr>
        <w:t xml:space="preserve"> </w:t>
      </w:r>
      <w:r w:rsidR="007359AA" w:rsidRPr="00282AC9">
        <w:rPr>
          <w:rFonts w:ascii="Simplified Arabic" w:hAnsi="Simplified Arabic" w:cs="AL-Mohanad"/>
          <w:bCs w:val="0"/>
          <w:color w:val="auto"/>
          <w:sz w:val="27"/>
          <w:szCs w:val="27"/>
          <w:rtl/>
        </w:rPr>
        <w:t xml:space="preserve">ـ </w:t>
      </w:r>
      <w:r w:rsidR="007359AA" w:rsidRPr="00282AC9">
        <w:rPr>
          <w:rFonts w:cs="AL-Mohanad" w:hint="eastAsia"/>
          <w:bCs w:val="0"/>
          <w:color w:val="auto"/>
          <w:sz w:val="24"/>
          <w:szCs w:val="24"/>
          <w:rtl/>
        </w:rPr>
        <w:t>«</w:t>
      </w:r>
      <w:r w:rsidR="007359AA" w:rsidRPr="00282AC9">
        <w:rPr>
          <w:rFonts w:ascii="Simplified Arabic" w:hAnsi="Simplified Arabic" w:cs="AL-Mohanad"/>
          <w:bCs w:val="0"/>
          <w:color w:val="auto"/>
          <w:sz w:val="27"/>
          <w:szCs w:val="27"/>
          <w:rtl/>
        </w:rPr>
        <w:t>إن اللطيف من</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ا ـ أي من المخلوقات ـ على حد</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w:t>
      </w:r>
      <w:r w:rsidR="000543AE" w:rsidRPr="00282AC9">
        <w:rPr>
          <w:rFonts w:ascii="Simplified Arabic" w:hAnsi="Simplified Arabic" w:cs="AL-Mohanad" w:hint="cs"/>
          <w:bCs w:val="0"/>
          <w:color w:val="auto"/>
          <w:sz w:val="27"/>
          <w:szCs w:val="27"/>
          <w:rtl/>
        </w:rPr>
        <w:t>اتّخ</w:t>
      </w:r>
      <w:r w:rsidR="007359AA" w:rsidRPr="00282AC9">
        <w:rPr>
          <w:rFonts w:ascii="Simplified Arabic" w:hAnsi="Simplified Arabic" w:cs="AL-Mohanad"/>
          <w:bCs w:val="0"/>
          <w:color w:val="auto"/>
          <w:sz w:val="27"/>
          <w:szCs w:val="27"/>
          <w:rtl/>
        </w:rPr>
        <w:t>ا</w:t>
      </w:r>
      <w:r w:rsidR="000543AE" w:rsidRPr="00282AC9">
        <w:rPr>
          <w:rFonts w:ascii="Simplified Arabic" w:hAnsi="Simplified Arabic" w:cs="AL-Mohanad" w:hint="cs"/>
          <w:bCs w:val="0"/>
          <w:color w:val="auto"/>
          <w:sz w:val="27"/>
          <w:szCs w:val="27"/>
          <w:rtl/>
        </w:rPr>
        <w:t>ذ</w:t>
      </w:r>
      <w:r w:rsidR="007359AA" w:rsidRPr="00282AC9">
        <w:rPr>
          <w:rFonts w:ascii="Simplified Arabic" w:hAnsi="Simplified Arabic" w:cs="AL-Mohanad"/>
          <w:bCs w:val="0"/>
          <w:color w:val="auto"/>
          <w:sz w:val="27"/>
          <w:szCs w:val="27"/>
          <w:rtl/>
        </w:rPr>
        <w:t xml:space="preserve"> الصنعة، أ</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و</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ما رأي</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ت</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أن الرجل ات</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خذ شيئاً فليلطف في ات</w:t>
      </w:r>
      <w:r w:rsidR="000543AE" w:rsidRPr="00282AC9">
        <w:rPr>
          <w:rFonts w:ascii="Simplified Arabic" w:hAnsi="Simplified Arabic" w:cs="AL-Mohanad" w:hint="cs"/>
          <w:bCs w:val="0"/>
          <w:color w:val="auto"/>
          <w:sz w:val="27"/>
          <w:szCs w:val="27"/>
          <w:rtl/>
        </w:rPr>
        <w:t>ّ</w:t>
      </w:r>
      <w:r w:rsidR="000543AE" w:rsidRPr="00282AC9">
        <w:rPr>
          <w:rFonts w:ascii="Simplified Arabic" w:hAnsi="Simplified Arabic" w:cs="AL-Mohanad"/>
          <w:bCs w:val="0"/>
          <w:color w:val="auto"/>
          <w:sz w:val="27"/>
          <w:szCs w:val="27"/>
          <w:rtl/>
        </w:rPr>
        <w:t>خاذه؟ فيقال: ما ألطف فلانا</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فكيف لا يقال للخالق الجليل</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(لطيف) إذا خلق خلقاً لطيفاً وجليلاً، وركب في الحيوان منه أرواحها، وخلق كل</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جنس</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م</w:t>
      </w:r>
      <w:r w:rsidR="000543AE" w:rsidRPr="00282AC9">
        <w:rPr>
          <w:rFonts w:ascii="Simplified Arabic" w:hAnsi="Simplified Arabic" w:cs="AL-Mohanad" w:hint="cs"/>
          <w:bCs w:val="0"/>
          <w:color w:val="auto"/>
          <w:sz w:val="27"/>
          <w:szCs w:val="27"/>
          <w:rtl/>
        </w:rPr>
        <w:t>تباي</w:t>
      </w:r>
      <w:r w:rsidR="007359AA" w:rsidRPr="00282AC9">
        <w:rPr>
          <w:rFonts w:ascii="Simplified Arabic" w:hAnsi="Simplified Arabic" w:cs="AL-Mohanad"/>
          <w:bCs w:val="0"/>
          <w:color w:val="auto"/>
          <w:sz w:val="27"/>
          <w:szCs w:val="27"/>
          <w:rtl/>
        </w:rPr>
        <w:t xml:space="preserve">ناً </w:t>
      </w:r>
      <w:r w:rsidR="000543AE" w:rsidRPr="00282AC9">
        <w:rPr>
          <w:rFonts w:ascii="Simplified Arabic" w:hAnsi="Simplified Arabic" w:cs="AL-Mohanad" w:hint="cs"/>
          <w:bCs w:val="0"/>
          <w:color w:val="auto"/>
          <w:sz w:val="27"/>
          <w:szCs w:val="27"/>
          <w:rtl/>
        </w:rPr>
        <w:t>ع</w:t>
      </w:r>
      <w:r w:rsidR="007359AA" w:rsidRPr="00282AC9">
        <w:rPr>
          <w:rFonts w:ascii="Simplified Arabic" w:hAnsi="Simplified Arabic" w:cs="AL-Mohanad"/>
          <w:bCs w:val="0"/>
          <w:color w:val="auto"/>
          <w:sz w:val="27"/>
          <w:szCs w:val="27"/>
          <w:rtl/>
        </w:rPr>
        <w:t>ن جنسه في الصورة، ولا يشبه بعضه بعضاً، فكل</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به لطف</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من الخالق اللطيف الخبير</w:t>
      </w:r>
      <w:r w:rsidR="007359AA" w:rsidRPr="00282AC9">
        <w:rPr>
          <w:rFonts w:ascii="Simplified Arabic" w:hAnsi="Simplified Arabic" w:cs="AL-Mohanad" w:hint="cs"/>
          <w:bCs w:val="0"/>
          <w:color w:val="auto"/>
          <w:sz w:val="27"/>
          <w:szCs w:val="27"/>
          <w:rtl/>
        </w:rPr>
        <w:t xml:space="preserve"> </w:t>
      </w:r>
      <w:r w:rsidR="007359AA" w:rsidRPr="00282AC9">
        <w:rPr>
          <w:rFonts w:ascii="Simplified Arabic" w:hAnsi="Simplified Arabic" w:cs="AL-Mohanad"/>
          <w:bCs w:val="0"/>
          <w:color w:val="auto"/>
          <w:sz w:val="27"/>
          <w:szCs w:val="27"/>
          <w:rtl/>
        </w:rPr>
        <w:t>في تركيب صورته. ثم</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نظرنا إلى الأشجار، وحملها أطايبها</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المأكولة منها وغير المأكولة، فقلنا عند ذلك</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إن خالقنا لطيف</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لا كلطف خلقه</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وقلنا</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w:t>
      </w:r>
      <w:r w:rsidR="000543AE" w:rsidRPr="00282AC9">
        <w:rPr>
          <w:rFonts w:ascii="Simplified Arabic" w:hAnsi="Simplified Arabic" w:cs="AL-Mohanad" w:hint="cs"/>
          <w:bCs w:val="0"/>
          <w:color w:val="auto"/>
          <w:sz w:val="27"/>
          <w:szCs w:val="27"/>
          <w:rtl/>
        </w:rPr>
        <w:t>إ</w:t>
      </w:r>
      <w:r w:rsidR="007359AA" w:rsidRPr="00282AC9">
        <w:rPr>
          <w:rFonts w:ascii="Simplified Arabic" w:hAnsi="Simplified Arabic" w:cs="AL-Mohanad"/>
          <w:bCs w:val="0"/>
          <w:color w:val="auto"/>
          <w:sz w:val="27"/>
          <w:szCs w:val="27"/>
          <w:rtl/>
        </w:rPr>
        <w:t>نه سميع</w:t>
      </w:r>
      <w:r w:rsidR="000543AE"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لأنه لا يخفى عليه أصوات خلقه ما بين العرش إلى الثرى، من الذر</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ة إلى ما هو أكبر منها</w:t>
      </w:r>
      <w:r w:rsidR="00D72B55" w:rsidRPr="00282AC9">
        <w:rPr>
          <w:rFonts w:ascii="Simplified Arabic" w:hAnsi="Simplified Arabic" w:cs="AL-Mohanad" w:hint="cs"/>
          <w:bCs w:val="0"/>
          <w:color w:val="auto"/>
          <w:sz w:val="27"/>
          <w:szCs w:val="27"/>
          <w:rtl/>
        </w:rPr>
        <w:t xml:space="preserve">، </w:t>
      </w:r>
      <w:r w:rsidR="007359AA" w:rsidRPr="00282AC9">
        <w:rPr>
          <w:rFonts w:ascii="Simplified Arabic" w:hAnsi="Simplified Arabic" w:cs="AL-Mohanad"/>
          <w:bCs w:val="0"/>
          <w:color w:val="auto"/>
          <w:sz w:val="27"/>
          <w:szCs w:val="27"/>
          <w:rtl/>
        </w:rPr>
        <w:t>في بر</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ها وبحرها، ولا يشتبه عليه لغاتنا، فقلنا: إنه سميع</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لا ب</w:t>
      </w:r>
      <w:r w:rsidR="00D72B55" w:rsidRPr="00282AC9">
        <w:rPr>
          <w:rFonts w:ascii="Simplified Arabic" w:hAnsi="Simplified Arabic" w:cs="AL-Mohanad" w:hint="cs"/>
          <w:bCs w:val="0"/>
          <w:color w:val="auto"/>
          <w:sz w:val="27"/>
          <w:szCs w:val="27"/>
          <w:rtl/>
        </w:rPr>
        <w:t>أُ</w:t>
      </w:r>
      <w:r w:rsidR="007359AA" w:rsidRPr="00282AC9">
        <w:rPr>
          <w:rFonts w:ascii="Simplified Arabic" w:hAnsi="Simplified Arabic" w:cs="AL-Mohanad"/>
          <w:bCs w:val="0"/>
          <w:color w:val="auto"/>
          <w:sz w:val="27"/>
          <w:szCs w:val="27"/>
          <w:rtl/>
        </w:rPr>
        <w:t>ذ</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ن</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وقلنا</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w:t>
      </w:r>
      <w:r w:rsidR="00D72B55" w:rsidRPr="00282AC9">
        <w:rPr>
          <w:rFonts w:ascii="Simplified Arabic" w:hAnsi="Simplified Arabic" w:cs="AL-Mohanad" w:hint="cs"/>
          <w:bCs w:val="0"/>
          <w:color w:val="auto"/>
          <w:sz w:val="27"/>
          <w:szCs w:val="27"/>
          <w:rtl/>
        </w:rPr>
        <w:t>إ</w:t>
      </w:r>
      <w:r w:rsidR="007359AA" w:rsidRPr="00282AC9">
        <w:rPr>
          <w:rFonts w:ascii="Simplified Arabic" w:hAnsi="Simplified Arabic" w:cs="AL-Mohanad"/>
          <w:bCs w:val="0"/>
          <w:color w:val="auto"/>
          <w:sz w:val="27"/>
          <w:szCs w:val="27"/>
          <w:rtl/>
        </w:rPr>
        <w:t>نه بصير</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لا ببصر</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لأنه يرى أثر الذرة السحماء</w:t>
      </w:r>
      <w:r w:rsidR="007359AA" w:rsidRPr="00282AC9">
        <w:rPr>
          <w:rFonts w:ascii="Simplified Arabic" w:hAnsi="Simplified Arabic" w:cs="AL-Mohanad"/>
          <w:bCs w:val="0"/>
          <w:color w:val="auto"/>
          <w:sz w:val="27"/>
          <w:szCs w:val="27"/>
          <w:vertAlign w:val="superscript"/>
          <w:rtl/>
        </w:rPr>
        <w:t>(</w:t>
      </w:r>
      <w:r w:rsidR="007359AA" w:rsidRPr="00282AC9">
        <w:rPr>
          <w:rStyle w:val="af9"/>
          <w:rFonts w:ascii="Simplified Arabic" w:hAnsi="Simplified Arabic" w:cs="AL-Mohanad"/>
          <w:bCs w:val="0"/>
          <w:color w:val="auto"/>
          <w:sz w:val="27"/>
          <w:szCs w:val="27"/>
          <w:rtl/>
        </w:rPr>
        <w:endnoteReference w:id="946"/>
      </w:r>
      <w:r w:rsidR="007359AA" w:rsidRPr="00282AC9">
        <w:rPr>
          <w:rFonts w:ascii="Simplified Arabic" w:hAnsi="Simplified Arabic" w:cs="AL-Mohanad"/>
          <w:bCs w:val="0"/>
          <w:color w:val="auto"/>
          <w:sz w:val="27"/>
          <w:szCs w:val="27"/>
          <w:vertAlign w:val="superscript"/>
          <w:rtl/>
        </w:rPr>
        <w:t>)</w:t>
      </w:r>
      <w:r w:rsidR="007359AA" w:rsidRPr="00282AC9">
        <w:rPr>
          <w:rFonts w:ascii="Simplified Arabic" w:hAnsi="Simplified Arabic" w:cs="AL-Mohanad"/>
          <w:bCs w:val="0"/>
          <w:color w:val="auto"/>
          <w:sz w:val="27"/>
          <w:szCs w:val="27"/>
          <w:rtl/>
        </w:rPr>
        <w:t xml:space="preserve"> في الليلة الظلماء على </w:t>
      </w:r>
      <w:r w:rsidR="007359AA" w:rsidRPr="00282AC9">
        <w:rPr>
          <w:rFonts w:ascii="Simplified Arabic" w:hAnsi="Simplified Arabic" w:cs="AL-Mohanad"/>
          <w:bCs w:val="0"/>
          <w:color w:val="auto"/>
          <w:sz w:val="27"/>
          <w:szCs w:val="27"/>
          <w:rtl/>
        </w:rPr>
        <w:lastRenderedPageBreak/>
        <w:t>الصخرة السوداء، ويرى دبيب النمل في الليلة الدجي</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ة، ويرى مضار</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ها ومنافعها، وفراخها ونسلها، فقلنا عند ذلك: إنه بصير</w:t>
      </w:r>
      <w:r w:rsidR="00D72B55" w:rsidRPr="00282AC9">
        <w:rPr>
          <w:rFonts w:ascii="Simplified Arabic" w:hAnsi="Simplified Arabic" w:cs="AL-Mohanad" w:hint="cs"/>
          <w:bCs w:val="0"/>
          <w:color w:val="auto"/>
          <w:sz w:val="27"/>
          <w:szCs w:val="27"/>
          <w:rtl/>
        </w:rPr>
        <w:t>ٌ</w:t>
      </w:r>
      <w:r w:rsidR="007359AA" w:rsidRPr="00282AC9">
        <w:rPr>
          <w:rFonts w:ascii="Simplified Arabic" w:hAnsi="Simplified Arabic" w:cs="AL-Mohanad"/>
          <w:bCs w:val="0"/>
          <w:color w:val="auto"/>
          <w:sz w:val="27"/>
          <w:szCs w:val="27"/>
          <w:rtl/>
        </w:rPr>
        <w:t xml:space="preserve"> لا كبصر خلقه</w:t>
      </w:r>
      <w:r w:rsidR="007359AA" w:rsidRPr="00282AC9">
        <w:rPr>
          <w:rFonts w:cs="AL-Mohanad" w:hint="eastAsia"/>
          <w:bCs w:val="0"/>
          <w:color w:val="auto"/>
          <w:sz w:val="24"/>
          <w:szCs w:val="24"/>
          <w:rtl/>
        </w:rPr>
        <w:t>»</w:t>
      </w:r>
      <w:r w:rsidR="007359AA" w:rsidRPr="00282AC9">
        <w:rPr>
          <w:rFonts w:ascii="Simplified Arabic" w:hAnsi="Simplified Arabic" w:cs="AL-Mohanad"/>
          <w:bCs w:val="0"/>
          <w:color w:val="auto"/>
          <w:sz w:val="27"/>
          <w:szCs w:val="27"/>
          <w:vertAlign w:val="superscript"/>
          <w:rtl/>
        </w:rPr>
        <w:t>(</w:t>
      </w:r>
      <w:r w:rsidR="007359AA" w:rsidRPr="00282AC9">
        <w:rPr>
          <w:rStyle w:val="af9"/>
          <w:rFonts w:ascii="Simplified Arabic" w:hAnsi="Simplified Arabic" w:cs="AL-Mohanad"/>
          <w:bCs w:val="0"/>
          <w:color w:val="auto"/>
          <w:sz w:val="27"/>
          <w:szCs w:val="27"/>
          <w:rtl/>
        </w:rPr>
        <w:endnoteReference w:id="947"/>
      </w:r>
      <w:r w:rsidR="007359AA" w:rsidRPr="00282AC9">
        <w:rPr>
          <w:rFonts w:ascii="Simplified Arabic" w:hAnsi="Simplified Arabic" w:cs="AL-Mohanad"/>
          <w:bCs w:val="0"/>
          <w:color w:val="auto"/>
          <w:sz w:val="27"/>
          <w:szCs w:val="27"/>
          <w:vertAlign w:val="superscript"/>
          <w:rtl/>
        </w:rPr>
        <w:t>)</w:t>
      </w:r>
      <w:r w:rsidR="007359AA" w:rsidRPr="00282AC9">
        <w:rPr>
          <w:rFonts w:ascii="Simplified Arabic" w:hAnsi="Simplified Arabic" w:cs="AL-Mohanad"/>
          <w:bCs w:val="0"/>
          <w:color w:val="auto"/>
          <w:sz w:val="27"/>
          <w:szCs w:val="27"/>
          <w:rtl/>
        </w:rPr>
        <w:t>.</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Pr>
      </w:pPr>
      <w:r w:rsidRPr="00282AC9">
        <w:rPr>
          <w:rFonts w:ascii="Simplified Arabic" w:hAnsi="Simplified Arabic" w:cs="AL-Mohanad"/>
          <w:bCs w:val="0"/>
          <w:color w:val="auto"/>
          <w:sz w:val="27"/>
          <w:szCs w:val="27"/>
          <w:rtl/>
        </w:rPr>
        <w:t>أما مواجهته</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للواقفية</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48"/>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ـ وهي فرقة</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كلامي</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منحرفة</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ادّ</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عت أن الإمام موسى بن جعفر</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لم يم</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بل ر</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فع كما ر</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فع عيسى بن مريم</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وأنه هو المهدي</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وسيعود </w:t>
      </w:r>
      <w:r w:rsidR="00A86086" w:rsidRPr="00282AC9">
        <w:rPr>
          <w:rFonts w:ascii="Simplified Arabic" w:hAnsi="Simplified Arabic" w:cs="AL-Mohanad" w:hint="cs"/>
          <w:bCs w:val="0"/>
          <w:color w:val="auto"/>
          <w:sz w:val="27"/>
          <w:szCs w:val="27"/>
          <w:rtl/>
        </w:rPr>
        <w:t xml:space="preserve">إلى </w:t>
      </w:r>
      <w:r w:rsidRPr="00282AC9">
        <w:rPr>
          <w:rFonts w:ascii="Simplified Arabic" w:hAnsi="Simplified Arabic" w:cs="AL-Mohanad"/>
          <w:bCs w:val="0"/>
          <w:color w:val="auto"/>
          <w:sz w:val="27"/>
          <w:szCs w:val="27"/>
          <w:rtl/>
        </w:rPr>
        <w:t>عالم الدنيا مر</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أخرى</w:t>
      </w:r>
      <w:r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ولا يمكن أن يكون من بعده أي</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إمام</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ورفضوا إمامة علي</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بن موسى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وخلافته لأبيه</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49"/>
      </w:r>
      <w:r w:rsidRPr="00282AC9">
        <w:rPr>
          <w:rFonts w:ascii="Simplified Arabic" w:hAnsi="Simplified Arabic" w:cs="AL-Mohanad"/>
          <w:bCs w:val="0"/>
          <w:color w:val="auto"/>
          <w:sz w:val="27"/>
          <w:szCs w:val="27"/>
          <w:vertAlign w:val="superscript"/>
          <w:rtl/>
        </w:rPr>
        <w:t>)</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فقد كاتب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ـ بعد شهادة أبيه الكاظم</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ـ بعض أقطاب ورموز هذه الفرقة فلم يستجيبوا لرسالته</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التي كشف</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بوضوح</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تام</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عن الغايات والمصالح الماد</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ية المنحط</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 الكامنة وراء أجوبتهم</w:t>
      </w:r>
      <w:r w:rsidR="00D72B55"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العصيان، وتصنيع الأعذار، والط</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ع بالمال</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50"/>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وللإمام الرضا</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رأي</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واضح بشأن تلك الفرقة</w:t>
      </w:r>
      <w:r w:rsidR="001A5C4B"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وبزعاماتها. فعن إبراهيم بن أبي يحيى بن أبي البلاد</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قال:</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قال الرضا:</w:t>
      </w:r>
      <w:r w:rsidR="001A5C4B" w:rsidRPr="00282AC9">
        <w:rPr>
          <w:rFonts w:cs="AL-Mohanad" w:hint="cs"/>
          <w:bCs w:val="0"/>
          <w:color w:val="auto"/>
          <w:sz w:val="24"/>
          <w:szCs w:val="24"/>
          <w:rtl/>
        </w:rPr>
        <w:t xml:space="preserve"> </w:t>
      </w:r>
      <w:r w:rsidR="001A5C4B"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ما فعل الشقي</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حمزة بن بزيع</w:t>
      </w:r>
      <w:r w:rsidR="001A5C4B" w:rsidRPr="00282AC9">
        <w:rPr>
          <w:rFonts w:ascii="Simplified Arabic" w:hAnsi="Simplified Arabic" w:cs="AL-Mohanad" w:hint="cs"/>
          <w:bCs w:val="0"/>
          <w:color w:val="auto"/>
          <w:sz w:val="27"/>
          <w:szCs w:val="27"/>
          <w:rtl/>
        </w:rPr>
        <w:t>؟</w:t>
      </w:r>
      <w:r w:rsidRPr="00282AC9">
        <w:rPr>
          <w:rFonts w:cs="AL-Mohanad" w:hint="eastAsia"/>
          <w:bCs w:val="0"/>
          <w:color w:val="auto"/>
          <w:sz w:val="24"/>
          <w:szCs w:val="24"/>
          <w:rtl/>
        </w:rPr>
        <w:t>»</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قلت</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هو ذا قدم، فقال: </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يزعم أن أبي حي</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هم اليوم شك</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اك</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ولا يموتون غداً إلا</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على الزندقة</w:t>
      </w:r>
      <w:r w:rsidRPr="00282AC9">
        <w:rPr>
          <w:rFonts w:cs="AL-Mohanad" w:hint="eastAsia"/>
          <w:bCs w:val="0"/>
          <w:color w:val="auto"/>
          <w:sz w:val="24"/>
          <w:szCs w:val="24"/>
          <w:rtl/>
        </w:rPr>
        <w:t>»</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قال صفوان: فقلت</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بيني وبين نفسي: شك</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اك قد عرف</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هم،</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فكيف يموتون على الزندقة؟! فما لبثنا إلا</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قليلاً حت</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ى بلغنا عن رجل</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منهم أنه قال عند موته: هو كافر</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برب</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أماته، قال صفوان: فقلت</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هذا تصديق</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الحديث</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51"/>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w:t>
      </w:r>
    </w:p>
    <w:p w:rsidR="007359AA" w:rsidRPr="00282AC9" w:rsidRDefault="007359AA" w:rsidP="00D47E7C">
      <w:pPr>
        <w:pStyle w:val="18"/>
        <w:keepNext w:val="0"/>
        <w:widowControl w:val="0"/>
        <w:spacing w:line="400"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وفي إحدى رسائل الإمام</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w:t>
      </w:r>
      <w:r w:rsidR="001A5C4B" w:rsidRPr="00282AC9">
        <w:rPr>
          <w:rFonts w:ascii="Simplified Arabic" w:hAnsi="Simplified Arabic" w:cs="AL-Mohanad" w:hint="cs"/>
          <w:bCs w:val="0"/>
          <w:color w:val="auto"/>
          <w:sz w:val="27"/>
          <w:szCs w:val="27"/>
          <w:rtl/>
        </w:rPr>
        <w:t>إلى ا</w:t>
      </w:r>
      <w:r w:rsidRPr="00282AC9">
        <w:rPr>
          <w:rFonts w:ascii="Simplified Arabic" w:hAnsi="Simplified Arabic" w:cs="AL-Mohanad"/>
          <w:bCs w:val="0"/>
          <w:color w:val="auto"/>
          <w:sz w:val="27"/>
          <w:szCs w:val="27"/>
          <w:rtl/>
        </w:rPr>
        <w:t>لبزنطي</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يكشف لنا واقع دعوة هؤلاء</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ودوافعها</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فقد جاء في الرسالة:</w:t>
      </w:r>
      <w:r w:rsidR="001A5C4B" w:rsidRPr="00282AC9">
        <w:rPr>
          <w:rFonts w:ascii="Simplified Arabic" w:hAnsi="Simplified Arabic" w:cs="AL-Mohanad" w:hint="cs"/>
          <w:b/>
          <w:bCs w:val="0"/>
          <w:color w:val="auto"/>
          <w:sz w:val="27"/>
          <w:szCs w:val="27"/>
          <w:rtl/>
        </w:rPr>
        <w:t xml:space="preserve"> </w:t>
      </w:r>
      <w:r w:rsidR="001A5C4B" w:rsidRPr="00282AC9">
        <w:rPr>
          <w:rFonts w:cs="AL-Mohanad" w:hint="eastAsia"/>
          <w:bCs w:val="0"/>
          <w:color w:val="auto"/>
          <w:sz w:val="24"/>
          <w:szCs w:val="24"/>
          <w:rtl/>
        </w:rPr>
        <w:t>«</w:t>
      </w:r>
      <w:r w:rsidRPr="00282AC9">
        <w:rPr>
          <w:rFonts w:ascii="Simplified Arabic" w:hAnsi="Simplified Arabic" w:cs="AL-Mohanad"/>
          <w:bCs w:val="0"/>
          <w:color w:val="auto"/>
          <w:sz w:val="27"/>
          <w:szCs w:val="27"/>
          <w:rtl/>
        </w:rPr>
        <w:t>أما ابن السر</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اج فإنما دعاه إلى مخالفتنا، والخروج من أمرنا</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أنه عدا على مال</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لأبي الحسن ـ موسى بن جعفر ـ عظيم</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فاقتطعه في حياة أبي الحسن</w:t>
      </w:r>
      <w:r w:rsidR="009A2A04" w:rsidRPr="00282AC9">
        <w:rPr>
          <w:rFonts w:ascii="Simplified Arabic" w:hAnsi="Simplified Arabic" w:cs="Mosawi"/>
          <w:bCs w:val="0"/>
          <w:color w:val="auto"/>
          <w:szCs w:val="22"/>
          <w:rtl/>
        </w:rPr>
        <w:t>×</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وكابرني عليه، وأبى أن يدفعه، والناس كل</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هم مسل</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مون مجتمعون على تسليمهم الأشياء كل</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ها إلي</w:t>
      </w:r>
      <w:r w:rsidR="001A5C4B"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فلما حدث ما حدث من هلاك أبي الحسن</w:t>
      </w:r>
      <w:r w:rsidR="009A2A04" w:rsidRPr="00282AC9">
        <w:rPr>
          <w:rFonts w:ascii="Simplified Arabic" w:hAnsi="Simplified Arabic" w:cs="Mosawi"/>
          <w:bCs w:val="0"/>
          <w:color w:val="auto"/>
          <w:szCs w:val="22"/>
          <w:rtl/>
        </w:rPr>
        <w:t>×</w:t>
      </w:r>
      <w:r w:rsidRPr="00282AC9">
        <w:rPr>
          <w:rFonts w:ascii="Simplified Arabic" w:hAnsi="Simplified Arabic" w:cs="AL-Mohanad"/>
          <w:bCs w:val="0"/>
          <w:color w:val="auto"/>
          <w:sz w:val="27"/>
          <w:szCs w:val="27"/>
          <w:rtl/>
        </w:rPr>
        <w:t xml:space="preserve"> اغتنم فراق علي</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بن أبي حمزة وأصحابه إي</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اي، وتعل</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ولعمري ما به من عل</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ة</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إلا</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اقتطاعه المال، وذهابه به.</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وأما ابن أبي حمزة فإنه رجل</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تأو</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 تأويلاً لم ي</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ح</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س</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ن</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 ولم ي</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ؤ</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علم</w:t>
      </w:r>
      <w:r w:rsidR="00767232" w:rsidRPr="00282AC9">
        <w:rPr>
          <w:rFonts w:ascii="Simplified Arabic" w:hAnsi="Simplified Arabic" w:cs="AL-Mohanad" w:hint="cs"/>
          <w:bCs w:val="0"/>
          <w:color w:val="auto"/>
          <w:sz w:val="27"/>
          <w:szCs w:val="27"/>
          <w:rtl/>
        </w:rPr>
        <w:t>ه،</w:t>
      </w:r>
      <w:r w:rsidRPr="00282AC9">
        <w:rPr>
          <w:rFonts w:ascii="Simplified Arabic" w:hAnsi="Simplified Arabic" w:cs="AL-Mohanad"/>
          <w:bCs w:val="0"/>
          <w:color w:val="auto"/>
          <w:sz w:val="27"/>
          <w:szCs w:val="27"/>
          <w:rtl/>
        </w:rPr>
        <w:t xml:space="preserve"> فألقاه إلى الناس، فلج</w:t>
      </w:r>
      <w:r w:rsidR="00767232"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فيه، وك</w:t>
      </w:r>
      <w:r w:rsidR="00767232" w:rsidRPr="00282AC9">
        <w:rPr>
          <w:rFonts w:ascii="Simplified Arabic" w:hAnsi="Simplified Arabic" w:cs="AL-Mohanad" w:hint="cs"/>
          <w:bCs w:val="0"/>
          <w:color w:val="auto"/>
          <w:sz w:val="27"/>
          <w:szCs w:val="27"/>
          <w:rtl/>
        </w:rPr>
        <w:t>ر</w:t>
      </w:r>
      <w:r w:rsidRPr="00282AC9">
        <w:rPr>
          <w:rFonts w:ascii="Simplified Arabic" w:hAnsi="Simplified Arabic" w:cs="AL-Mohanad"/>
          <w:bCs w:val="0"/>
          <w:color w:val="auto"/>
          <w:sz w:val="27"/>
          <w:szCs w:val="27"/>
          <w:rtl/>
        </w:rPr>
        <w:t xml:space="preserve">ه </w:t>
      </w:r>
      <w:r w:rsidR="00767232" w:rsidRPr="00282AC9">
        <w:rPr>
          <w:rFonts w:ascii="Simplified Arabic" w:hAnsi="Simplified Arabic" w:cs="AL-Mohanad" w:hint="cs"/>
          <w:bCs w:val="0"/>
          <w:color w:val="auto"/>
          <w:sz w:val="27"/>
          <w:szCs w:val="27"/>
          <w:rtl/>
        </w:rPr>
        <w:t>إ</w:t>
      </w:r>
      <w:r w:rsidRPr="00282AC9">
        <w:rPr>
          <w:rFonts w:ascii="Simplified Arabic" w:hAnsi="Simplified Arabic" w:cs="AL-Mohanad"/>
          <w:bCs w:val="0"/>
          <w:color w:val="auto"/>
          <w:sz w:val="27"/>
          <w:szCs w:val="27"/>
          <w:rtl/>
        </w:rPr>
        <w:t>كذاب نفسه في إبطال قوله، بأ</w:t>
      </w:r>
      <w:r w:rsidR="00AE2FB4" w:rsidRPr="00282AC9">
        <w:rPr>
          <w:rFonts w:ascii="Simplified Arabic" w:hAnsi="Simplified Arabic" w:cs="AL-Mohanad" w:hint="cs"/>
          <w:bCs w:val="0"/>
          <w:color w:val="auto"/>
          <w:sz w:val="27"/>
          <w:szCs w:val="27"/>
          <w:rtl/>
        </w:rPr>
        <w:t>حاديث</w:t>
      </w:r>
      <w:r w:rsidRPr="00282AC9">
        <w:rPr>
          <w:rFonts w:ascii="Simplified Arabic" w:hAnsi="Simplified Arabic" w:cs="AL-Mohanad"/>
          <w:bCs w:val="0"/>
          <w:color w:val="auto"/>
          <w:sz w:val="27"/>
          <w:szCs w:val="27"/>
          <w:rtl/>
        </w:rPr>
        <w:t xml:space="preserve"> تأو</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لها، ولم يحسن تأويلها، ولم ي</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ؤ</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ت</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علمها، ورأى أنه إذا لم يصدق آبائي بذلك لم ي</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د</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لعل</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ما خبر عنه</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مثل</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السفياني وغيره،</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أنه كا</w:t>
      </w:r>
      <w:r w:rsidR="00AE2FB4" w:rsidRPr="00282AC9">
        <w:rPr>
          <w:rFonts w:ascii="Simplified Arabic" w:hAnsi="Simplified Arabic" w:cs="AL-Mohanad" w:hint="cs"/>
          <w:bCs w:val="0"/>
          <w:color w:val="auto"/>
          <w:sz w:val="27"/>
          <w:szCs w:val="27"/>
          <w:rtl/>
        </w:rPr>
        <w:t>ئ</w:t>
      </w:r>
      <w:r w:rsidRPr="00282AC9">
        <w:rPr>
          <w:rFonts w:ascii="Simplified Arabic" w:hAnsi="Simplified Arabic" w:cs="AL-Mohanad"/>
          <w:bCs w:val="0"/>
          <w:color w:val="auto"/>
          <w:sz w:val="27"/>
          <w:szCs w:val="27"/>
          <w:rtl/>
        </w:rPr>
        <w:t>ن</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لا يكون منه شيء</w:t>
      </w:r>
      <w:r w:rsidR="00AE2FB4"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وقال لهم:</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ليس يسقط قول آبائ</w:t>
      </w:r>
      <w:r w:rsidR="00AE2FB4" w:rsidRPr="00282AC9">
        <w:rPr>
          <w:rFonts w:ascii="Simplified Arabic" w:hAnsi="Simplified Arabic" w:cs="AL-Mohanad" w:hint="cs"/>
          <w:bCs w:val="0"/>
          <w:color w:val="auto"/>
          <w:sz w:val="27"/>
          <w:szCs w:val="27"/>
          <w:rtl/>
        </w:rPr>
        <w:t>ه</w:t>
      </w:r>
      <w:r w:rsidRPr="00282AC9">
        <w:rPr>
          <w:rFonts w:ascii="Simplified Arabic" w:hAnsi="Simplified Arabic" w:cs="AL-Mohanad"/>
          <w:bCs w:val="0"/>
          <w:color w:val="auto"/>
          <w:sz w:val="27"/>
          <w:szCs w:val="27"/>
          <w:rtl/>
        </w:rPr>
        <w:t xml:space="preserve"> </w:t>
      </w:r>
      <w:r w:rsidR="00AE2FB4" w:rsidRPr="00282AC9">
        <w:rPr>
          <w:rFonts w:ascii="Simplified Arabic" w:hAnsi="Simplified Arabic" w:cs="AL-Mohanad" w:hint="cs"/>
          <w:bCs w:val="0"/>
          <w:color w:val="auto"/>
          <w:sz w:val="27"/>
          <w:szCs w:val="27"/>
          <w:rtl/>
        </w:rPr>
        <w:t>ب</w:t>
      </w:r>
      <w:r w:rsidRPr="00282AC9">
        <w:rPr>
          <w:rFonts w:ascii="Simplified Arabic" w:hAnsi="Simplified Arabic" w:cs="AL-Mohanad"/>
          <w:bCs w:val="0"/>
          <w:color w:val="auto"/>
          <w:sz w:val="27"/>
          <w:szCs w:val="27"/>
          <w:rtl/>
        </w:rPr>
        <w:t xml:space="preserve">شيء، </w:t>
      </w:r>
      <w:r w:rsidR="00AE2FB4" w:rsidRPr="00282AC9">
        <w:rPr>
          <w:rFonts w:ascii="Simplified Arabic" w:hAnsi="Simplified Arabic" w:cs="AL-Mohanad" w:hint="cs"/>
          <w:bCs w:val="0"/>
          <w:color w:val="auto"/>
          <w:sz w:val="27"/>
          <w:szCs w:val="27"/>
          <w:rtl/>
        </w:rPr>
        <w:t xml:space="preserve">ولعمري ما يسقط قول آبائي شيء، </w:t>
      </w:r>
      <w:r w:rsidRPr="00282AC9">
        <w:rPr>
          <w:rFonts w:ascii="Simplified Arabic" w:hAnsi="Simplified Arabic" w:cs="AL-Mohanad"/>
          <w:bCs w:val="0"/>
          <w:color w:val="auto"/>
          <w:sz w:val="27"/>
          <w:szCs w:val="27"/>
          <w:rtl/>
        </w:rPr>
        <w:t>ولكن</w:t>
      </w:r>
      <w:r w:rsidR="005D10B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قصر</w:t>
      </w:r>
      <w:r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 xml:space="preserve">علمه عن غايات ذلك </w:t>
      </w:r>
      <w:r w:rsidRPr="00282AC9">
        <w:rPr>
          <w:rFonts w:ascii="Simplified Arabic" w:hAnsi="Simplified Arabic" w:cs="AL-Mohanad"/>
          <w:bCs w:val="0"/>
          <w:color w:val="auto"/>
          <w:sz w:val="27"/>
          <w:szCs w:val="27"/>
          <w:rtl/>
        </w:rPr>
        <w:lastRenderedPageBreak/>
        <w:t>وحقائقه، فصار</w:t>
      </w:r>
      <w:r w:rsidR="005D10BD"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فتن</w:t>
      </w:r>
      <w:r w:rsidR="005D10BD" w:rsidRPr="00282AC9">
        <w:rPr>
          <w:rFonts w:ascii="Simplified Arabic" w:hAnsi="Simplified Arabic" w:cs="AL-Mohanad" w:hint="cs"/>
          <w:bCs w:val="0"/>
          <w:color w:val="auto"/>
          <w:sz w:val="27"/>
          <w:szCs w:val="27"/>
          <w:rtl/>
        </w:rPr>
        <w:t>ةً</w:t>
      </w:r>
      <w:r w:rsidRPr="00282AC9">
        <w:rPr>
          <w:rFonts w:ascii="Simplified Arabic" w:hAnsi="Simplified Arabic" w:cs="AL-Mohanad"/>
          <w:bCs w:val="0"/>
          <w:color w:val="auto"/>
          <w:sz w:val="27"/>
          <w:szCs w:val="27"/>
          <w:rtl/>
        </w:rPr>
        <w:t xml:space="preserve"> </w:t>
      </w:r>
      <w:r w:rsidR="005D10BD" w:rsidRPr="00282AC9">
        <w:rPr>
          <w:rFonts w:ascii="Simplified Arabic" w:hAnsi="Simplified Arabic" w:cs="AL-Mohanad" w:hint="cs"/>
          <w:bCs w:val="0"/>
          <w:color w:val="auto"/>
          <w:sz w:val="27"/>
          <w:szCs w:val="27"/>
          <w:rtl/>
        </w:rPr>
        <w:t>له، و</w:t>
      </w:r>
      <w:r w:rsidRPr="00282AC9">
        <w:rPr>
          <w:rFonts w:ascii="Simplified Arabic" w:hAnsi="Simplified Arabic" w:cs="AL-Mohanad"/>
          <w:bCs w:val="0"/>
          <w:color w:val="auto"/>
          <w:sz w:val="27"/>
          <w:szCs w:val="27"/>
          <w:rtl/>
        </w:rPr>
        <w:t>ش</w:t>
      </w:r>
      <w:r w:rsidR="005D10B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ب</w:t>
      </w:r>
      <w:r w:rsidR="005D10B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ه</w:t>
      </w:r>
      <w:r w:rsidR="005D10BD" w:rsidRPr="00282AC9">
        <w:rPr>
          <w:rFonts w:ascii="Simplified Arabic" w:hAnsi="Simplified Arabic" w:cs="AL-Mohanad"/>
          <w:bCs w:val="0"/>
          <w:color w:val="auto"/>
          <w:sz w:val="27"/>
          <w:szCs w:val="27"/>
          <w:rtl/>
        </w:rPr>
        <w:t xml:space="preserve"> عليه، وف</w:t>
      </w:r>
      <w:r w:rsidR="005D10B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ر</w:t>
      </w:r>
      <w:r w:rsidR="005D10B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من أمر</w:t>
      </w:r>
      <w:r w:rsidR="005D10B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فوقع فيه</w:t>
      </w:r>
      <w:r w:rsidRPr="00282AC9">
        <w:rPr>
          <w:rFonts w:cs="AL-Mohanad" w:hint="eastAsia"/>
          <w:bCs w:val="0"/>
          <w:color w:val="auto"/>
          <w:sz w:val="24"/>
          <w:szCs w:val="24"/>
          <w:rtl/>
        </w:rPr>
        <w:t>»</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52"/>
      </w:r>
      <w:r w:rsidRPr="00282AC9">
        <w:rPr>
          <w:rFonts w:ascii="Simplified Arabic" w:hAnsi="Simplified Arabic" w:cs="AL-Mohanad"/>
          <w:bCs w:val="0"/>
          <w:color w:val="auto"/>
          <w:sz w:val="27"/>
          <w:szCs w:val="27"/>
          <w:vertAlign w:val="superscript"/>
          <w:rtl/>
        </w:rPr>
        <w:t>)</w:t>
      </w:r>
      <w:r w:rsidRPr="00282AC9">
        <w:rPr>
          <w:rFonts w:ascii="Simplified Arabic" w:hAnsi="Simplified Arabic" w:cs="AL-Mohanad"/>
          <w:bCs w:val="0"/>
          <w:color w:val="auto"/>
          <w:sz w:val="27"/>
          <w:szCs w:val="27"/>
          <w:rtl/>
        </w:rPr>
        <w:t xml:space="preserve">. </w:t>
      </w:r>
    </w:p>
    <w:p w:rsidR="007359AA" w:rsidRPr="00282AC9" w:rsidRDefault="007359AA" w:rsidP="00367C53">
      <w:pPr>
        <w:pStyle w:val="18"/>
        <w:keepNext w:val="0"/>
        <w:widowControl w:val="0"/>
        <w:spacing w:line="406" w:lineRule="exact"/>
        <w:ind w:left="0" w:firstLine="567"/>
        <w:jc w:val="both"/>
        <w:outlineLvl w:val="9"/>
        <w:rPr>
          <w:rFonts w:ascii="Simplified Arabic" w:hAnsi="Simplified Arabic" w:cs="AL-Mohanad"/>
          <w:b/>
          <w:bCs w:val="0"/>
          <w:color w:val="auto"/>
          <w:sz w:val="27"/>
          <w:szCs w:val="27"/>
          <w:rtl/>
        </w:rPr>
      </w:pPr>
      <w:r w:rsidRPr="00282AC9">
        <w:rPr>
          <w:rFonts w:ascii="Simplified Arabic" w:hAnsi="Simplified Arabic" w:cs="AL-Mohanad"/>
          <w:bCs w:val="0"/>
          <w:color w:val="auto"/>
          <w:sz w:val="27"/>
          <w:szCs w:val="27"/>
          <w:rtl/>
        </w:rPr>
        <w:t>وهكذا يبدو للجميع أن الطمع بالمال والجاه</w:t>
      </w:r>
      <w:r w:rsidRPr="00282AC9">
        <w:rPr>
          <w:rFonts w:ascii="Simplified Arabic" w:hAnsi="Simplified Arabic" w:cs="AL-Mohanad"/>
          <w:bCs w:val="0"/>
          <w:color w:val="auto"/>
          <w:sz w:val="27"/>
          <w:szCs w:val="27"/>
          <w:vertAlign w:val="superscript"/>
          <w:rtl/>
        </w:rPr>
        <w:t>(</w:t>
      </w:r>
      <w:r w:rsidRPr="00282AC9">
        <w:rPr>
          <w:rStyle w:val="af9"/>
          <w:rFonts w:ascii="Simplified Arabic" w:hAnsi="Simplified Arabic" w:cs="AL-Mohanad"/>
          <w:bCs w:val="0"/>
          <w:color w:val="auto"/>
          <w:sz w:val="27"/>
          <w:szCs w:val="27"/>
          <w:rtl/>
        </w:rPr>
        <w:endnoteReference w:id="953"/>
      </w:r>
      <w:r w:rsidRPr="00282AC9">
        <w:rPr>
          <w:rFonts w:ascii="Simplified Arabic" w:hAnsi="Simplified Arabic" w:cs="AL-Mohanad"/>
          <w:bCs w:val="0"/>
          <w:color w:val="auto"/>
          <w:sz w:val="27"/>
          <w:szCs w:val="27"/>
          <w:vertAlign w:val="superscript"/>
          <w:rtl/>
        </w:rPr>
        <w:t>)</w:t>
      </w:r>
      <w:r w:rsidR="005D10BD" w:rsidRPr="00282AC9">
        <w:rPr>
          <w:rFonts w:ascii="Simplified Arabic" w:hAnsi="Simplified Arabic" w:cs="AL-Mohanad" w:hint="cs"/>
          <w:bCs w:val="0"/>
          <w:color w:val="auto"/>
          <w:sz w:val="27"/>
          <w:szCs w:val="27"/>
          <w:rtl/>
        </w:rPr>
        <w:t xml:space="preserve">، </w:t>
      </w:r>
      <w:r w:rsidRPr="00282AC9">
        <w:rPr>
          <w:rFonts w:ascii="Simplified Arabic" w:hAnsi="Simplified Arabic" w:cs="AL-Mohanad"/>
          <w:bCs w:val="0"/>
          <w:color w:val="auto"/>
          <w:sz w:val="27"/>
          <w:szCs w:val="27"/>
          <w:rtl/>
        </w:rPr>
        <w:t>وخبث النوايا، وضعف العقيدة والإيمان، وتخلخل الشخصية، واضطراب الأفكار في نفوس هؤلاء</w:t>
      </w:r>
      <w:r w:rsidR="005D10B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هو السبب الأهم</w:t>
      </w:r>
      <w:r w:rsidR="005D10BD" w:rsidRPr="00282AC9">
        <w:rPr>
          <w:rFonts w:ascii="Simplified Arabic" w:hAnsi="Simplified Arabic" w:cs="AL-Mohanad" w:hint="cs"/>
          <w:bCs w:val="0"/>
          <w:color w:val="auto"/>
          <w:sz w:val="27"/>
          <w:szCs w:val="27"/>
          <w:rtl/>
        </w:rPr>
        <w:t>ّ</w:t>
      </w:r>
      <w:r w:rsidRPr="00282AC9">
        <w:rPr>
          <w:rFonts w:ascii="Simplified Arabic" w:hAnsi="Simplified Arabic" w:cs="AL-Mohanad"/>
          <w:bCs w:val="0"/>
          <w:color w:val="auto"/>
          <w:sz w:val="27"/>
          <w:szCs w:val="27"/>
          <w:rtl/>
        </w:rPr>
        <w:t xml:space="preserve"> والأعمق خلف هذه الآراء الباطلة والدعاوى المنحرفة.</w:t>
      </w:r>
    </w:p>
    <w:p w:rsidR="00367C53" w:rsidRPr="00282AC9" w:rsidRDefault="00367C53" w:rsidP="00367C53">
      <w:pPr>
        <w:spacing w:line="420" w:lineRule="exact"/>
        <w:rPr>
          <w:sz w:val="27"/>
          <w:rtl/>
        </w:rPr>
      </w:pPr>
    </w:p>
    <w:p w:rsidR="007359AA" w:rsidRPr="00282AC9" w:rsidRDefault="00792268" w:rsidP="00715FC8">
      <w:pPr>
        <w:pStyle w:val="31"/>
        <w:rPr>
          <w:color w:val="auto"/>
          <w:rtl/>
        </w:rPr>
      </w:pPr>
      <w:r w:rsidRPr="00282AC9">
        <w:rPr>
          <w:rFonts w:hint="cs"/>
          <w:color w:val="auto"/>
          <w:rtl/>
        </w:rPr>
        <w:t>4ـ</w:t>
      </w:r>
      <w:r w:rsidR="007359AA" w:rsidRPr="00282AC9">
        <w:rPr>
          <w:rFonts w:hint="cs"/>
          <w:color w:val="auto"/>
          <w:rtl/>
        </w:rPr>
        <w:t xml:space="preserve"> استثمار</w:t>
      </w:r>
      <w:r w:rsidRPr="00282AC9">
        <w:rPr>
          <w:rFonts w:hint="cs"/>
          <w:color w:val="auto"/>
          <w:rtl/>
        </w:rPr>
        <w:t xml:space="preserve"> </w:t>
      </w:r>
      <w:r w:rsidR="007359AA" w:rsidRPr="00282AC9">
        <w:rPr>
          <w:rFonts w:hint="cs"/>
          <w:color w:val="auto"/>
          <w:rtl/>
        </w:rPr>
        <w:t>ولاية العهد في التثقيف والتعليم</w:t>
      </w:r>
    </w:p>
    <w:p w:rsidR="007359AA" w:rsidRPr="00282AC9" w:rsidRDefault="007359AA" w:rsidP="00D47E7C">
      <w:pPr>
        <w:rPr>
          <w:rFonts w:ascii="Simplified Arabic" w:hAnsi="Simplified Arabic"/>
          <w:sz w:val="27"/>
          <w:rtl/>
        </w:rPr>
      </w:pPr>
      <w:r w:rsidRPr="00282AC9">
        <w:rPr>
          <w:rFonts w:ascii="Simplified Arabic" w:hAnsi="Simplified Arabic"/>
          <w:sz w:val="27"/>
          <w:rtl/>
        </w:rPr>
        <w:t>لقد قام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ـ خلال المد</w:t>
      </w:r>
      <w:r w:rsidR="005D10BD" w:rsidRPr="00282AC9">
        <w:rPr>
          <w:rFonts w:ascii="Simplified Arabic" w:hAnsi="Simplified Arabic" w:hint="cs"/>
          <w:sz w:val="27"/>
          <w:rtl/>
        </w:rPr>
        <w:t>ّ</w:t>
      </w:r>
      <w:r w:rsidRPr="00282AC9">
        <w:rPr>
          <w:rFonts w:ascii="Simplified Arabic" w:hAnsi="Simplified Arabic"/>
          <w:sz w:val="27"/>
          <w:rtl/>
        </w:rPr>
        <w:t>ة الزمنية التي قضاها في ولاية العهد ـ بالكثير من المهام</w:t>
      </w:r>
      <w:r w:rsidR="005D10BD" w:rsidRPr="00282AC9">
        <w:rPr>
          <w:rFonts w:ascii="Simplified Arabic" w:hAnsi="Simplified Arabic" w:hint="cs"/>
          <w:sz w:val="27"/>
          <w:rtl/>
        </w:rPr>
        <w:t>ّ</w:t>
      </w:r>
      <w:r w:rsidRPr="00282AC9">
        <w:rPr>
          <w:rFonts w:ascii="Simplified Arabic" w:hAnsi="Simplified Arabic"/>
          <w:sz w:val="27"/>
          <w:rtl/>
        </w:rPr>
        <w:t xml:space="preserve"> والأعمال العلمية والثقافية، والإنجازات السياسي</w:t>
      </w:r>
      <w:r w:rsidR="005D10BD" w:rsidRPr="00282AC9">
        <w:rPr>
          <w:rFonts w:ascii="Simplified Arabic" w:hAnsi="Simplified Arabic" w:hint="cs"/>
          <w:sz w:val="27"/>
          <w:rtl/>
        </w:rPr>
        <w:t>ّ</w:t>
      </w:r>
      <w:r w:rsidRPr="00282AC9">
        <w:rPr>
          <w:rFonts w:ascii="Simplified Arabic" w:hAnsi="Simplified Arabic"/>
          <w:sz w:val="27"/>
          <w:rtl/>
        </w:rPr>
        <w:t>ة (غير المباشرة). واستطاع ـ في الوقت نفسه ـ أن يهي</w:t>
      </w:r>
      <w:r w:rsidR="005D10BD" w:rsidRPr="00282AC9">
        <w:rPr>
          <w:rFonts w:ascii="Simplified Arabic" w:hAnsi="Simplified Arabic" w:hint="cs"/>
          <w:sz w:val="27"/>
          <w:rtl/>
        </w:rPr>
        <w:t>ّ</w:t>
      </w:r>
      <w:r w:rsidRPr="00282AC9">
        <w:rPr>
          <w:rFonts w:ascii="Simplified Arabic" w:hAnsi="Simplified Arabic"/>
          <w:sz w:val="27"/>
          <w:rtl/>
        </w:rPr>
        <w:t>ئ الأجواء المناسبة لإظهار دقائق الفكر الإسلامي</w:t>
      </w:r>
      <w:r w:rsidR="005D10BD" w:rsidRPr="00282AC9">
        <w:rPr>
          <w:rFonts w:ascii="Simplified Arabic" w:hAnsi="Simplified Arabic" w:hint="cs"/>
          <w:sz w:val="27"/>
          <w:rtl/>
        </w:rPr>
        <w:t>ّ</w:t>
      </w:r>
      <w:r w:rsidRPr="00282AC9">
        <w:rPr>
          <w:rFonts w:ascii="Simplified Arabic" w:hAnsi="Simplified Arabic"/>
          <w:sz w:val="27"/>
          <w:rtl/>
        </w:rPr>
        <w:t xml:space="preserve"> الأصيل، وذخائر مبادئه الصافية في الفقه</w:t>
      </w:r>
      <w:r w:rsidRPr="00282AC9">
        <w:rPr>
          <w:rFonts w:ascii="Simplified Arabic" w:hAnsi="Simplified Arabic" w:hint="cs"/>
          <w:sz w:val="27"/>
          <w:rtl/>
        </w:rPr>
        <w:t xml:space="preserve"> </w:t>
      </w:r>
      <w:r w:rsidRPr="00282AC9">
        <w:rPr>
          <w:rFonts w:ascii="Simplified Arabic" w:hAnsi="Simplified Arabic"/>
          <w:sz w:val="27"/>
          <w:rtl/>
        </w:rPr>
        <w:t>والشريعة والكلام</w:t>
      </w:r>
      <w:r w:rsidRPr="00282AC9">
        <w:rPr>
          <w:rFonts w:ascii="Simplified Arabic" w:hAnsi="Simplified Arabic" w:hint="cs"/>
          <w:sz w:val="27"/>
          <w:rtl/>
        </w:rPr>
        <w:t xml:space="preserve"> </w:t>
      </w:r>
      <w:r w:rsidRPr="00282AC9">
        <w:rPr>
          <w:rFonts w:ascii="Simplified Arabic" w:hAnsi="Simplified Arabic"/>
          <w:sz w:val="27"/>
          <w:rtl/>
        </w:rPr>
        <w:t>والفلسفة والتفسير. وقد رك</w:t>
      </w:r>
      <w:r w:rsidR="005D10BD" w:rsidRPr="00282AC9">
        <w:rPr>
          <w:rFonts w:ascii="Simplified Arabic" w:hAnsi="Simplified Arabic" w:hint="cs"/>
          <w:sz w:val="27"/>
          <w:rtl/>
        </w:rPr>
        <w:t>َّ</w:t>
      </w:r>
      <w:r w:rsidRPr="00282AC9">
        <w:rPr>
          <w:rFonts w:ascii="Simplified Arabic" w:hAnsi="Simplified Arabic"/>
          <w:sz w:val="27"/>
          <w:rtl/>
        </w:rPr>
        <w:t>ز</w:t>
      </w:r>
      <w:r w:rsidR="009A2A04" w:rsidRPr="00282AC9">
        <w:rPr>
          <w:rFonts w:ascii="Simplified Arabic" w:hAnsi="Simplified Arabic" w:cs="Mosawi"/>
          <w:sz w:val="22"/>
          <w:szCs w:val="22"/>
          <w:rtl/>
        </w:rPr>
        <w:t>×</w:t>
      </w:r>
      <w:r w:rsidRPr="00282AC9">
        <w:rPr>
          <w:rFonts w:ascii="Simplified Arabic" w:hAnsi="Simplified Arabic"/>
          <w:sz w:val="27"/>
          <w:rtl/>
        </w:rPr>
        <w:t xml:space="preserve"> في حركته الفكرية العملية </w:t>
      </w:r>
      <w:r w:rsidRPr="00282AC9">
        <w:rPr>
          <w:rFonts w:ascii="Simplified Arabic" w:hAnsi="Simplified Arabic" w:hint="cs"/>
          <w:sz w:val="27"/>
          <w:rtl/>
        </w:rPr>
        <w:t xml:space="preserve">ـ </w:t>
      </w:r>
      <w:r w:rsidRPr="00282AC9">
        <w:rPr>
          <w:rFonts w:ascii="Simplified Arabic" w:hAnsi="Simplified Arabic"/>
          <w:sz w:val="27"/>
          <w:rtl/>
        </w:rPr>
        <w:t>بعد استلامه ولاية العهد ـ على رهانات</w:t>
      </w:r>
      <w:r w:rsidR="005D10BD" w:rsidRPr="00282AC9">
        <w:rPr>
          <w:rFonts w:ascii="Simplified Arabic" w:hAnsi="Simplified Arabic" w:hint="cs"/>
          <w:sz w:val="27"/>
          <w:rtl/>
        </w:rPr>
        <w:t>ٍ</w:t>
      </w:r>
      <w:r w:rsidRPr="00282AC9">
        <w:rPr>
          <w:rFonts w:ascii="Simplified Arabic" w:hAnsi="Simplified Arabic"/>
          <w:sz w:val="27"/>
          <w:rtl/>
        </w:rPr>
        <w:t xml:space="preserve"> أخلاقي</w:t>
      </w:r>
      <w:r w:rsidR="005D10BD" w:rsidRPr="00282AC9">
        <w:rPr>
          <w:rFonts w:ascii="Simplified Arabic" w:hAnsi="Simplified Arabic" w:hint="cs"/>
          <w:sz w:val="27"/>
          <w:rtl/>
        </w:rPr>
        <w:t>ّ</w:t>
      </w:r>
      <w:r w:rsidRPr="00282AC9">
        <w:rPr>
          <w:rFonts w:ascii="Simplified Arabic" w:hAnsi="Simplified Arabic"/>
          <w:sz w:val="27"/>
          <w:rtl/>
        </w:rPr>
        <w:t>ة وعلمي</w:t>
      </w:r>
      <w:r w:rsidR="005D10BD" w:rsidRPr="00282AC9">
        <w:rPr>
          <w:rFonts w:ascii="Simplified Arabic" w:hAnsi="Simplified Arabic" w:hint="cs"/>
          <w:sz w:val="27"/>
          <w:rtl/>
        </w:rPr>
        <w:t>ّ</w:t>
      </w:r>
      <w:r w:rsidRPr="00282AC9">
        <w:rPr>
          <w:rFonts w:ascii="Simplified Arabic" w:hAnsi="Simplified Arabic"/>
          <w:sz w:val="27"/>
          <w:rtl/>
        </w:rPr>
        <w:t>ة</w:t>
      </w:r>
      <w:r w:rsidR="005D10BD" w:rsidRPr="00282AC9">
        <w:rPr>
          <w:rFonts w:ascii="Simplified Arabic" w:hAnsi="Simplified Arabic" w:hint="cs"/>
          <w:sz w:val="27"/>
          <w:rtl/>
        </w:rPr>
        <w:t>،</w:t>
      </w:r>
      <w:r w:rsidRPr="00282AC9">
        <w:rPr>
          <w:rFonts w:ascii="Simplified Arabic" w:hAnsi="Simplified Arabic"/>
          <w:sz w:val="27"/>
          <w:rtl/>
        </w:rPr>
        <w:t xml:space="preserve"> و</w:t>
      </w:r>
      <w:r w:rsidRPr="00282AC9">
        <w:rPr>
          <w:rFonts w:ascii="Simplified Arabic" w:hAnsi="Simplified Arabic" w:hint="cs"/>
          <w:sz w:val="27"/>
          <w:rtl/>
        </w:rPr>
        <w:t>حت</w:t>
      </w:r>
      <w:r w:rsidR="005D10BD" w:rsidRPr="00282AC9">
        <w:rPr>
          <w:rFonts w:ascii="Simplified Arabic" w:hAnsi="Simplified Arabic" w:hint="cs"/>
          <w:sz w:val="27"/>
          <w:rtl/>
        </w:rPr>
        <w:t>ّ</w:t>
      </w:r>
      <w:r w:rsidRPr="00282AC9">
        <w:rPr>
          <w:rFonts w:ascii="Simplified Arabic" w:hAnsi="Simplified Arabic" w:hint="cs"/>
          <w:sz w:val="27"/>
          <w:rtl/>
        </w:rPr>
        <w:t xml:space="preserve">ى </w:t>
      </w:r>
      <w:r w:rsidRPr="00282AC9">
        <w:rPr>
          <w:rFonts w:ascii="Simplified Arabic" w:hAnsi="Simplified Arabic"/>
          <w:sz w:val="27"/>
          <w:rtl/>
        </w:rPr>
        <w:t>سياسية، يمكن ملاحظتها ومتابعتها من خلال ما</w:t>
      </w:r>
      <w:r w:rsidRPr="00282AC9">
        <w:rPr>
          <w:rFonts w:ascii="Simplified Arabic" w:hAnsi="Simplified Arabic" w:hint="cs"/>
          <w:sz w:val="27"/>
          <w:rtl/>
        </w:rPr>
        <w:t xml:space="preserve"> </w:t>
      </w:r>
      <w:r w:rsidRPr="00282AC9">
        <w:rPr>
          <w:rFonts w:ascii="Simplified Arabic" w:hAnsi="Simplified Arabic"/>
          <w:sz w:val="27"/>
          <w:rtl/>
        </w:rPr>
        <w:t>يلي:</w:t>
      </w:r>
    </w:p>
    <w:p w:rsidR="00367C53" w:rsidRPr="00282AC9" w:rsidRDefault="00367C53" w:rsidP="00367C53">
      <w:pPr>
        <w:spacing w:line="420" w:lineRule="exact"/>
        <w:rPr>
          <w:sz w:val="27"/>
          <w:rtl/>
        </w:rPr>
      </w:pPr>
    </w:p>
    <w:p w:rsidR="007359AA" w:rsidRPr="00282AC9" w:rsidRDefault="00792268" w:rsidP="00715FC8">
      <w:pPr>
        <w:pStyle w:val="31"/>
        <w:rPr>
          <w:color w:val="auto"/>
          <w:rtl/>
        </w:rPr>
      </w:pPr>
      <w:r w:rsidRPr="00282AC9">
        <w:rPr>
          <w:rFonts w:hint="cs"/>
          <w:color w:val="auto"/>
          <w:rtl/>
        </w:rPr>
        <w:t>أ</w:t>
      </w:r>
      <w:r w:rsidR="007359AA" w:rsidRPr="00282AC9">
        <w:rPr>
          <w:color w:val="auto"/>
          <w:rtl/>
        </w:rPr>
        <w:t>ـ الرهان العلمي</w:t>
      </w:r>
      <w:r w:rsidR="005D10BD" w:rsidRPr="00282AC9">
        <w:rPr>
          <w:rFonts w:hint="cs"/>
          <w:color w:val="auto"/>
          <w:rtl/>
        </w:rPr>
        <w:t>ّ</w:t>
      </w:r>
      <w:r w:rsidR="007359AA" w:rsidRPr="00282AC9">
        <w:rPr>
          <w:color w:val="auto"/>
          <w:rtl/>
        </w:rPr>
        <w:t xml:space="preserve"> والأخلاقي</w:t>
      </w:r>
      <w:r w:rsidR="005D10BD" w:rsidRPr="00282AC9">
        <w:rPr>
          <w:rFonts w:hint="cs"/>
          <w:color w:val="auto"/>
          <w:rtl/>
        </w:rPr>
        <w:t>ّ</w:t>
      </w:r>
    </w:p>
    <w:p w:rsidR="00AF27FD" w:rsidRPr="00282AC9" w:rsidRDefault="007359AA" w:rsidP="00D47E7C">
      <w:pPr>
        <w:rPr>
          <w:rFonts w:ascii="Simplified Arabic" w:hAnsi="Simplified Arabic"/>
          <w:sz w:val="27"/>
          <w:rtl/>
        </w:rPr>
      </w:pPr>
      <w:r w:rsidRPr="00282AC9">
        <w:rPr>
          <w:rFonts w:ascii="Simplified Arabic" w:hAnsi="Simplified Arabic"/>
          <w:sz w:val="27"/>
          <w:rtl/>
        </w:rPr>
        <w:t>وجد الإمام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ـ بح</w:t>
      </w:r>
      <w:r w:rsidR="005D10BD" w:rsidRPr="00282AC9">
        <w:rPr>
          <w:rFonts w:ascii="Simplified Arabic" w:hAnsi="Simplified Arabic" w:hint="cs"/>
          <w:sz w:val="27"/>
          <w:rtl/>
        </w:rPr>
        <w:t>َ</w:t>
      </w:r>
      <w:r w:rsidRPr="00282AC9">
        <w:rPr>
          <w:rFonts w:ascii="Simplified Arabic" w:hAnsi="Simplified Arabic"/>
          <w:sz w:val="27"/>
          <w:rtl/>
        </w:rPr>
        <w:t>س</w:t>
      </w:r>
      <w:r w:rsidR="005D10BD" w:rsidRPr="00282AC9">
        <w:rPr>
          <w:rFonts w:ascii="Simplified Arabic" w:hAnsi="Simplified Arabic" w:hint="cs"/>
          <w:sz w:val="27"/>
          <w:rtl/>
        </w:rPr>
        <w:t>َ</w:t>
      </w:r>
      <w:r w:rsidRPr="00282AC9">
        <w:rPr>
          <w:rFonts w:ascii="Simplified Arabic" w:hAnsi="Simplified Arabic"/>
          <w:sz w:val="27"/>
          <w:rtl/>
        </w:rPr>
        <w:t>ب ما نعتقد ـ أن قبوله بولاية العهد يمكن أن يساهم في تحقيق بعض المكاسب الإيجابية للخط</w:t>
      </w:r>
      <w:r w:rsidR="005D10BD" w:rsidRPr="00282AC9">
        <w:rPr>
          <w:rFonts w:ascii="Simplified Arabic" w:hAnsi="Simplified Arabic" w:hint="cs"/>
          <w:sz w:val="27"/>
          <w:rtl/>
        </w:rPr>
        <w:t>ّ</w:t>
      </w:r>
      <w:r w:rsidRPr="00282AC9">
        <w:rPr>
          <w:rFonts w:ascii="Simplified Arabic" w:hAnsi="Simplified Arabic"/>
          <w:sz w:val="27"/>
          <w:rtl/>
        </w:rPr>
        <w:t xml:space="preserve"> الإسلامي المستنير</w:t>
      </w:r>
      <w:r w:rsidR="005D10BD" w:rsidRPr="00282AC9">
        <w:rPr>
          <w:rFonts w:ascii="Simplified Arabic" w:hAnsi="Simplified Arabic" w:hint="cs"/>
          <w:sz w:val="27"/>
          <w:rtl/>
        </w:rPr>
        <w:t>،</w:t>
      </w:r>
      <w:r w:rsidRPr="00282AC9">
        <w:rPr>
          <w:rFonts w:ascii="Simplified Arabic" w:hAnsi="Simplified Arabic"/>
          <w:sz w:val="27"/>
          <w:rtl/>
        </w:rPr>
        <w:t xml:space="preserve"> الم</w:t>
      </w:r>
      <w:r w:rsidR="005D10BD" w:rsidRPr="00282AC9">
        <w:rPr>
          <w:rFonts w:ascii="Simplified Arabic" w:hAnsi="Simplified Arabic" w:hint="cs"/>
          <w:sz w:val="27"/>
          <w:rtl/>
        </w:rPr>
        <w:t>ت</w:t>
      </w:r>
      <w:r w:rsidRPr="00282AC9">
        <w:rPr>
          <w:rFonts w:ascii="Simplified Arabic" w:hAnsi="Simplified Arabic"/>
          <w:sz w:val="27"/>
          <w:rtl/>
        </w:rPr>
        <w:t>مث</w:t>
      </w:r>
      <w:r w:rsidR="005D10BD" w:rsidRPr="00282AC9">
        <w:rPr>
          <w:rFonts w:ascii="Simplified Arabic" w:hAnsi="Simplified Arabic" w:hint="cs"/>
          <w:sz w:val="27"/>
          <w:rtl/>
        </w:rPr>
        <w:t>ِّ</w:t>
      </w:r>
      <w:r w:rsidRPr="00282AC9">
        <w:rPr>
          <w:rFonts w:ascii="Simplified Arabic" w:hAnsi="Simplified Arabic"/>
          <w:sz w:val="27"/>
          <w:rtl/>
        </w:rPr>
        <w:t>ل بأهل البيت</w:t>
      </w:r>
      <w:r w:rsidR="00876ECA" w:rsidRPr="00282AC9">
        <w:rPr>
          <w:rFonts w:cs="Mosawi" w:hint="cs"/>
          <w:sz w:val="22"/>
          <w:szCs w:val="22"/>
          <w:rtl/>
        </w:rPr>
        <w:t>^</w:t>
      </w:r>
      <w:r w:rsidRPr="00282AC9">
        <w:rPr>
          <w:rFonts w:ascii="Simplified Arabic" w:hAnsi="Simplified Arabic"/>
          <w:sz w:val="27"/>
          <w:rtl/>
        </w:rPr>
        <w:t>، ويعطيه د</w:t>
      </w:r>
      <w:r w:rsidR="005D10BD" w:rsidRPr="00282AC9">
        <w:rPr>
          <w:rFonts w:ascii="Simplified Arabic" w:hAnsi="Simplified Arabic" w:hint="cs"/>
          <w:sz w:val="27"/>
          <w:rtl/>
        </w:rPr>
        <w:t>َ</w:t>
      </w:r>
      <w:r w:rsidRPr="00282AC9">
        <w:rPr>
          <w:rFonts w:ascii="Simplified Arabic" w:hAnsi="Simplified Arabic"/>
          <w:sz w:val="27"/>
          <w:rtl/>
        </w:rPr>
        <w:t>ف</w:t>
      </w:r>
      <w:r w:rsidR="005D10BD" w:rsidRPr="00282AC9">
        <w:rPr>
          <w:rFonts w:ascii="Simplified Arabic" w:hAnsi="Simplified Arabic" w:hint="cs"/>
          <w:sz w:val="27"/>
          <w:rtl/>
        </w:rPr>
        <w:t>ْ</w:t>
      </w:r>
      <w:r w:rsidRPr="00282AC9">
        <w:rPr>
          <w:rFonts w:ascii="Simplified Arabic" w:hAnsi="Simplified Arabic"/>
          <w:sz w:val="27"/>
          <w:rtl/>
        </w:rPr>
        <w:t>عا</w:t>
      </w:r>
      <w:r w:rsidRPr="00282AC9">
        <w:rPr>
          <w:rFonts w:ascii="Simplified Arabic" w:hAnsi="Simplified Arabic" w:hint="cs"/>
          <w:sz w:val="27"/>
          <w:rtl/>
        </w:rPr>
        <w:t>ً</w:t>
      </w:r>
      <w:r w:rsidRPr="00282AC9">
        <w:rPr>
          <w:rFonts w:ascii="Simplified Arabic" w:hAnsi="Simplified Arabic"/>
          <w:sz w:val="27"/>
          <w:rtl/>
        </w:rPr>
        <w:t xml:space="preserve"> ثقافياً ونشاطاً علمياً قوياً وواسعاً</w:t>
      </w:r>
      <w:r w:rsidR="005D10BD" w:rsidRPr="00282AC9">
        <w:rPr>
          <w:rFonts w:ascii="Simplified Arabic" w:hAnsi="Simplified Arabic" w:hint="cs"/>
          <w:sz w:val="27"/>
          <w:rtl/>
        </w:rPr>
        <w:t>،</w:t>
      </w:r>
      <w:r w:rsidRPr="00282AC9">
        <w:rPr>
          <w:rFonts w:ascii="Simplified Arabic" w:hAnsi="Simplified Arabic"/>
          <w:sz w:val="27"/>
          <w:rtl/>
        </w:rPr>
        <w:t xml:space="preserve"> كان بأمس</w:t>
      </w:r>
      <w:r w:rsidR="005D10BD" w:rsidRPr="00282AC9">
        <w:rPr>
          <w:rFonts w:ascii="Simplified Arabic" w:hAnsi="Simplified Arabic" w:hint="cs"/>
          <w:sz w:val="27"/>
          <w:rtl/>
        </w:rPr>
        <w:t>ّ</w:t>
      </w:r>
      <w:r w:rsidRPr="00282AC9">
        <w:rPr>
          <w:rFonts w:ascii="Simplified Arabic" w:hAnsi="Simplified Arabic"/>
          <w:sz w:val="27"/>
          <w:rtl/>
        </w:rPr>
        <w:t xml:space="preserve"> الحاجة إليه</w:t>
      </w:r>
      <w:r w:rsidR="005D10BD" w:rsidRPr="00282AC9">
        <w:rPr>
          <w:rFonts w:ascii="Simplified Arabic" w:hAnsi="Simplified Arabic" w:hint="cs"/>
          <w:sz w:val="27"/>
          <w:rtl/>
        </w:rPr>
        <w:t>،</w:t>
      </w:r>
      <w:r w:rsidRPr="00282AC9">
        <w:rPr>
          <w:rFonts w:ascii="Simplified Arabic" w:hAnsi="Simplified Arabic"/>
          <w:sz w:val="27"/>
          <w:rtl/>
        </w:rPr>
        <w:t xml:space="preserve"> في ظل</w:t>
      </w:r>
      <w:r w:rsidR="005D10BD" w:rsidRPr="00282AC9">
        <w:rPr>
          <w:rFonts w:ascii="Simplified Arabic" w:hAnsi="Simplified Arabic" w:hint="cs"/>
          <w:sz w:val="27"/>
          <w:rtl/>
        </w:rPr>
        <w:t>ّ</w:t>
      </w:r>
      <w:r w:rsidRPr="00282AC9">
        <w:rPr>
          <w:rFonts w:ascii="Simplified Arabic" w:hAnsi="Simplified Arabic"/>
          <w:sz w:val="27"/>
          <w:rtl/>
        </w:rPr>
        <w:t xml:space="preserve"> ظروف</w:t>
      </w:r>
      <w:r w:rsidR="005D10BD"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صعبة ومعق</w:t>
      </w:r>
      <w:r w:rsidR="005D10BD" w:rsidRPr="00282AC9">
        <w:rPr>
          <w:rFonts w:ascii="Simplified Arabic" w:hAnsi="Simplified Arabic" w:hint="cs"/>
          <w:sz w:val="27"/>
          <w:rtl/>
        </w:rPr>
        <w:t>َّ</w:t>
      </w:r>
      <w:r w:rsidRPr="00282AC9">
        <w:rPr>
          <w:rFonts w:ascii="Simplified Arabic" w:hAnsi="Simplified Arabic" w:hint="cs"/>
          <w:sz w:val="27"/>
          <w:rtl/>
        </w:rPr>
        <w:t>دة</w:t>
      </w:r>
      <w:r w:rsidR="005D10BD" w:rsidRPr="00282AC9">
        <w:rPr>
          <w:rFonts w:ascii="Simplified Arabic" w:hAnsi="Simplified Arabic" w:hint="cs"/>
          <w:sz w:val="27"/>
          <w:rtl/>
        </w:rPr>
        <w:t>،</w:t>
      </w:r>
      <w:r w:rsidRPr="00282AC9">
        <w:rPr>
          <w:rFonts w:ascii="Simplified Arabic" w:hAnsi="Simplified Arabic" w:hint="cs"/>
          <w:sz w:val="27"/>
          <w:rtl/>
        </w:rPr>
        <w:t xml:space="preserve"> </w:t>
      </w:r>
      <w:r w:rsidRPr="00282AC9">
        <w:rPr>
          <w:rFonts w:ascii="Simplified Arabic" w:hAnsi="Simplified Arabic"/>
          <w:sz w:val="27"/>
          <w:rtl/>
        </w:rPr>
        <w:t>ومناخات سياسية واجتماعية ضاغطة</w:t>
      </w:r>
      <w:r w:rsidR="005D10BD" w:rsidRPr="00282AC9">
        <w:rPr>
          <w:rFonts w:ascii="Simplified Arabic" w:hAnsi="Simplified Arabic" w:hint="cs"/>
          <w:sz w:val="27"/>
          <w:rtl/>
        </w:rPr>
        <w:t>،</w:t>
      </w:r>
      <w:r w:rsidRPr="00282AC9">
        <w:rPr>
          <w:rFonts w:ascii="Simplified Arabic" w:hAnsi="Simplified Arabic"/>
          <w:sz w:val="27"/>
          <w:rtl/>
        </w:rPr>
        <w:t xml:space="preserve"> كانت تعمل وتتحر</w:t>
      </w:r>
      <w:r w:rsidR="005D10BD" w:rsidRPr="00282AC9">
        <w:rPr>
          <w:rFonts w:ascii="Simplified Arabic" w:hAnsi="Simplified Arabic" w:hint="cs"/>
          <w:sz w:val="27"/>
          <w:rtl/>
        </w:rPr>
        <w:t>ّ</w:t>
      </w:r>
      <w:r w:rsidRPr="00282AC9">
        <w:rPr>
          <w:rFonts w:ascii="Simplified Arabic" w:hAnsi="Simplified Arabic"/>
          <w:sz w:val="27"/>
          <w:rtl/>
        </w:rPr>
        <w:t>ك عكس الأهداف والتوج</w:t>
      </w:r>
      <w:r w:rsidR="005D10BD" w:rsidRPr="00282AC9">
        <w:rPr>
          <w:rFonts w:ascii="Simplified Arabic" w:hAnsi="Simplified Arabic" w:hint="cs"/>
          <w:sz w:val="27"/>
          <w:rtl/>
        </w:rPr>
        <w:t>ُّ</w:t>
      </w:r>
      <w:r w:rsidRPr="00282AC9">
        <w:rPr>
          <w:rFonts w:ascii="Simplified Arabic" w:hAnsi="Simplified Arabic"/>
          <w:sz w:val="27"/>
          <w:rtl/>
        </w:rPr>
        <w:t>هات التي سعى إليها هذا الخط</w:t>
      </w:r>
      <w:r w:rsidR="005D10BD" w:rsidRPr="00282AC9">
        <w:rPr>
          <w:rFonts w:ascii="Simplified Arabic" w:hAnsi="Simplified Arabic" w:hint="cs"/>
          <w:sz w:val="27"/>
          <w:rtl/>
        </w:rPr>
        <w:t>ّ</w:t>
      </w:r>
      <w:r w:rsidRPr="00282AC9">
        <w:rPr>
          <w:rFonts w:ascii="Simplified Arabic" w:hAnsi="Simplified Arabic"/>
          <w:sz w:val="27"/>
          <w:rtl/>
        </w:rPr>
        <w:t xml:space="preserve"> الأصيل</w:t>
      </w:r>
      <w:r w:rsidR="005D10BD" w:rsidRPr="00282AC9">
        <w:rPr>
          <w:rFonts w:ascii="Simplified Arabic" w:hAnsi="Simplified Arabic" w:hint="cs"/>
          <w:sz w:val="27"/>
          <w:rtl/>
        </w:rPr>
        <w:t>،</w:t>
      </w:r>
      <w:r w:rsidRPr="00282AC9">
        <w:rPr>
          <w:rFonts w:ascii="Simplified Arabic" w:hAnsi="Simplified Arabic" w:hint="cs"/>
          <w:sz w:val="27"/>
          <w:rtl/>
        </w:rPr>
        <w:t xml:space="preserve"> الذي يمث</w:t>
      </w:r>
      <w:r w:rsidR="005D10BD" w:rsidRPr="00282AC9">
        <w:rPr>
          <w:rFonts w:ascii="Simplified Arabic" w:hAnsi="Simplified Arabic" w:hint="cs"/>
          <w:sz w:val="27"/>
          <w:rtl/>
        </w:rPr>
        <w:t>ِّ</w:t>
      </w:r>
      <w:r w:rsidRPr="00282AC9">
        <w:rPr>
          <w:rFonts w:ascii="Simplified Arabic" w:hAnsi="Simplified Arabic" w:hint="cs"/>
          <w:sz w:val="27"/>
          <w:rtl/>
        </w:rPr>
        <w:t>له</w:t>
      </w:r>
      <w:r w:rsidR="009A2A04" w:rsidRPr="00282AC9">
        <w:rPr>
          <w:rFonts w:ascii="Simplified Arabic" w:hAnsi="Simplified Arabic" w:cs="Mosawi" w:hint="cs"/>
          <w:sz w:val="22"/>
          <w:szCs w:val="22"/>
          <w:rtl/>
        </w:rPr>
        <w:t>×</w:t>
      </w:r>
      <w:r w:rsidR="00AF27FD" w:rsidRPr="00282AC9">
        <w:rPr>
          <w:rFonts w:ascii="Simplified Arabic" w:hAnsi="Simplified Arabic"/>
          <w:sz w:val="27"/>
          <w:rtl/>
        </w:rPr>
        <w:t>.</w:t>
      </w:r>
    </w:p>
    <w:p w:rsidR="00AF27FD" w:rsidRPr="00282AC9" w:rsidRDefault="007359AA" w:rsidP="00D47E7C">
      <w:pPr>
        <w:rPr>
          <w:rFonts w:ascii="Simplified Arabic" w:hAnsi="Simplified Arabic"/>
          <w:sz w:val="27"/>
          <w:rtl/>
        </w:rPr>
      </w:pPr>
      <w:r w:rsidRPr="00282AC9">
        <w:rPr>
          <w:rFonts w:ascii="Simplified Arabic" w:hAnsi="Simplified Arabic"/>
          <w:sz w:val="27"/>
          <w:rtl/>
        </w:rPr>
        <w:t>فعلى المستوى الاجتماعي العام</w:t>
      </w:r>
      <w:r w:rsidR="005D10BD" w:rsidRPr="00282AC9">
        <w:rPr>
          <w:rFonts w:ascii="Simplified Arabic" w:hAnsi="Simplified Arabic" w:hint="cs"/>
          <w:sz w:val="27"/>
          <w:rtl/>
        </w:rPr>
        <w:t>ّ</w:t>
      </w:r>
      <w:r w:rsidRPr="00282AC9">
        <w:rPr>
          <w:rFonts w:ascii="Simplified Arabic" w:hAnsi="Simplified Arabic"/>
          <w:sz w:val="27"/>
          <w:rtl/>
        </w:rPr>
        <w:t xml:space="preserve"> كان</w:t>
      </w:r>
      <w:r w:rsidR="009A2A04" w:rsidRPr="00282AC9">
        <w:rPr>
          <w:rFonts w:ascii="Simplified Arabic" w:hAnsi="Simplified Arabic" w:cs="Mosawi"/>
          <w:sz w:val="22"/>
          <w:szCs w:val="22"/>
          <w:rtl/>
        </w:rPr>
        <w:t>×</w:t>
      </w:r>
      <w:r w:rsidRPr="00282AC9">
        <w:rPr>
          <w:rFonts w:ascii="Simplified Arabic" w:hAnsi="Simplified Arabic"/>
          <w:sz w:val="27"/>
          <w:rtl/>
        </w:rPr>
        <w:t xml:space="preserve"> يعمل </w:t>
      </w:r>
      <w:r w:rsidRPr="00282AC9">
        <w:rPr>
          <w:rFonts w:ascii="Simplified Arabic" w:hAnsi="Simplified Arabic" w:hint="cs"/>
          <w:sz w:val="27"/>
          <w:rtl/>
        </w:rPr>
        <w:t xml:space="preserve">ـ </w:t>
      </w:r>
      <w:r w:rsidRPr="00282AC9">
        <w:rPr>
          <w:rFonts w:ascii="Simplified Arabic" w:hAnsi="Simplified Arabic"/>
          <w:sz w:val="27"/>
          <w:rtl/>
        </w:rPr>
        <w:t>كما ذك</w:t>
      </w:r>
      <w:r w:rsidR="005D10BD" w:rsidRPr="00282AC9">
        <w:rPr>
          <w:rFonts w:ascii="Simplified Arabic" w:hAnsi="Simplified Arabic" w:hint="cs"/>
          <w:sz w:val="27"/>
          <w:rtl/>
        </w:rPr>
        <w:t>َ</w:t>
      </w:r>
      <w:r w:rsidRPr="00282AC9">
        <w:rPr>
          <w:rFonts w:ascii="Simplified Arabic" w:hAnsi="Simplified Arabic"/>
          <w:sz w:val="27"/>
          <w:rtl/>
        </w:rPr>
        <w:t>ر</w:t>
      </w:r>
      <w:r w:rsidR="005D10BD" w:rsidRPr="00282AC9">
        <w:rPr>
          <w:rFonts w:ascii="Simplified Arabic" w:hAnsi="Simplified Arabic" w:hint="cs"/>
          <w:sz w:val="27"/>
          <w:rtl/>
        </w:rPr>
        <w:t>ْ</w:t>
      </w:r>
      <w:r w:rsidRPr="00282AC9">
        <w:rPr>
          <w:rFonts w:ascii="Simplified Arabic" w:hAnsi="Simplified Arabic"/>
          <w:sz w:val="27"/>
          <w:rtl/>
        </w:rPr>
        <w:t>نا سابق</w:t>
      </w:r>
      <w:r w:rsidRPr="00282AC9">
        <w:rPr>
          <w:rFonts w:ascii="Simplified Arabic" w:hAnsi="Simplified Arabic" w:hint="cs"/>
          <w:sz w:val="27"/>
          <w:rtl/>
        </w:rPr>
        <w:t>اً</w:t>
      </w:r>
      <w:r w:rsidRPr="00282AC9">
        <w:rPr>
          <w:rFonts w:ascii="Simplified Arabic" w:hAnsi="Simplified Arabic"/>
          <w:sz w:val="27"/>
          <w:rtl/>
        </w:rPr>
        <w:t xml:space="preserve"> ـ على تعليم الناس وتثقيفهم، وربطهم ـ عقائدياً وعاطفياً ـ بالمبادئ والق</w:t>
      </w:r>
      <w:r w:rsidR="00AF27FD" w:rsidRPr="00282AC9">
        <w:rPr>
          <w:rFonts w:ascii="Simplified Arabic" w:hAnsi="Simplified Arabic" w:hint="cs"/>
          <w:sz w:val="27"/>
          <w:rtl/>
        </w:rPr>
        <w:t>ِ</w:t>
      </w:r>
      <w:r w:rsidRPr="00282AC9">
        <w:rPr>
          <w:rFonts w:ascii="Simplified Arabic" w:hAnsi="Simplified Arabic"/>
          <w:sz w:val="27"/>
          <w:rtl/>
        </w:rPr>
        <w:t>ي</w:t>
      </w:r>
      <w:r w:rsidR="00AF27FD" w:rsidRPr="00282AC9">
        <w:rPr>
          <w:rFonts w:ascii="Simplified Arabic" w:hAnsi="Simplified Arabic" w:hint="cs"/>
          <w:sz w:val="27"/>
          <w:rtl/>
        </w:rPr>
        <w:t>َ</w:t>
      </w:r>
      <w:r w:rsidRPr="00282AC9">
        <w:rPr>
          <w:rFonts w:ascii="Simplified Arabic" w:hAnsi="Simplified Arabic"/>
          <w:sz w:val="27"/>
          <w:rtl/>
        </w:rPr>
        <w:t>م الإسلامية الأساسية الواعية (خصوصاً قضي</w:t>
      </w:r>
      <w:r w:rsidR="00AF27FD" w:rsidRPr="00282AC9">
        <w:rPr>
          <w:rFonts w:ascii="Simplified Arabic" w:hAnsi="Simplified Arabic" w:hint="cs"/>
          <w:sz w:val="27"/>
          <w:rtl/>
        </w:rPr>
        <w:t>ّ</w:t>
      </w:r>
      <w:r w:rsidRPr="00282AC9">
        <w:rPr>
          <w:rFonts w:ascii="Simplified Arabic" w:hAnsi="Simplified Arabic"/>
          <w:sz w:val="27"/>
          <w:rtl/>
        </w:rPr>
        <w:t>ة أهل البيت</w:t>
      </w:r>
      <w:r w:rsidR="00AF27FD" w:rsidRPr="00282AC9">
        <w:rPr>
          <w:rFonts w:ascii="Simplified Arabic" w:hAnsi="Simplified Arabic" w:hint="cs"/>
          <w:sz w:val="27"/>
          <w:rtl/>
        </w:rPr>
        <w:t>،</w:t>
      </w:r>
      <w:r w:rsidRPr="00282AC9">
        <w:rPr>
          <w:rFonts w:ascii="Simplified Arabic" w:hAnsi="Simplified Arabic"/>
          <w:sz w:val="27"/>
          <w:rtl/>
        </w:rPr>
        <w:t xml:space="preserve"> التي هي قضي</w:t>
      </w:r>
      <w:r w:rsidR="00AF27FD" w:rsidRPr="00282AC9">
        <w:rPr>
          <w:rFonts w:ascii="Simplified Arabic" w:hAnsi="Simplified Arabic" w:hint="cs"/>
          <w:sz w:val="27"/>
          <w:rtl/>
        </w:rPr>
        <w:t>ّ</w:t>
      </w:r>
      <w:r w:rsidRPr="00282AC9">
        <w:rPr>
          <w:rFonts w:ascii="Simplified Arabic" w:hAnsi="Simplified Arabic"/>
          <w:sz w:val="27"/>
          <w:rtl/>
        </w:rPr>
        <w:t>ة الإسلام كله)</w:t>
      </w:r>
      <w:r w:rsidR="00AF27FD" w:rsidRPr="00282AC9">
        <w:rPr>
          <w:rFonts w:ascii="Simplified Arabic" w:hAnsi="Simplified Arabic" w:hint="cs"/>
          <w:sz w:val="27"/>
          <w:rtl/>
        </w:rPr>
        <w:t>،</w:t>
      </w:r>
      <w:r w:rsidRPr="00282AC9">
        <w:rPr>
          <w:rFonts w:ascii="Simplified Arabic" w:hAnsi="Simplified Arabic"/>
          <w:sz w:val="27"/>
          <w:rtl/>
        </w:rPr>
        <w:t xml:space="preserve"> التي التزم بها وعبّ</w:t>
      </w:r>
      <w:r w:rsidR="00AF27FD" w:rsidRPr="00282AC9">
        <w:rPr>
          <w:rFonts w:ascii="Simplified Arabic" w:hAnsi="Simplified Arabic" w:hint="cs"/>
          <w:sz w:val="27"/>
          <w:rtl/>
        </w:rPr>
        <w:t>َ</w:t>
      </w:r>
      <w:r w:rsidRPr="00282AC9">
        <w:rPr>
          <w:rFonts w:ascii="Simplified Arabic" w:hAnsi="Simplified Arabic"/>
          <w:sz w:val="27"/>
          <w:rtl/>
        </w:rPr>
        <w:t>ر عنها أهل بيت النبوة</w:t>
      </w:r>
      <w:r w:rsidR="00876ECA" w:rsidRPr="00282AC9">
        <w:rPr>
          <w:rFonts w:cs="Mosawi" w:hint="cs"/>
          <w:sz w:val="22"/>
          <w:szCs w:val="22"/>
          <w:rtl/>
        </w:rPr>
        <w:t>^</w:t>
      </w:r>
      <w:r w:rsidRPr="00282AC9">
        <w:rPr>
          <w:rFonts w:ascii="Simplified Arabic" w:hAnsi="Simplified Arabic"/>
          <w:sz w:val="27"/>
          <w:rtl/>
        </w:rPr>
        <w:t xml:space="preserve"> في كل</w:t>
      </w:r>
      <w:r w:rsidR="00AF27FD"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مواقفهم</w:t>
      </w:r>
      <w:r w:rsidR="00AF27FD" w:rsidRPr="00282AC9">
        <w:rPr>
          <w:rFonts w:ascii="Simplified Arabic" w:hAnsi="Simplified Arabic" w:hint="cs"/>
          <w:sz w:val="27"/>
          <w:rtl/>
        </w:rPr>
        <w:t xml:space="preserve">، </w:t>
      </w:r>
      <w:r w:rsidRPr="00282AC9">
        <w:rPr>
          <w:rFonts w:ascii="Simplified Arabic" w:hAnsi="Simplified Arabic" w:hint="cs"/>
          <w:sz w:val="27"/>
          <w:rtl/>
        </w:rPr>
        <w:t>ومختلف نشاطاتهم و</w:t>
      </w:r>
      <w:r w:rsidRPr="00282AC9">
        <w:rPr>
          <w:rFonts w:ascii="Simplified Arabic" w:hAnsi="Simplified Arabic"/>
          <w:sz w:val="27"/>
          <w:rtl/>
        </w:rPr>
        <w:t>سلوك</w:t>
      </w:r>
      <w:r w:rsidRPr="00282AC9">
        <w:rPr>
          <w:rFonts w:ascii="Simplified Arabic" w:hAnsi="Simplified Arabic" w:hint="cs"/>
          <w:sz w:val="27"/>
          <w:rtl/>
        </w:rPr>
        <w:t xml:space="preserve">ياتهم </w:t>
      </w:r>
      <w:r w:rsidRPr="00282AC9">
        <w:rPr>
          <w:rFonts w:ascii="Simplified Arabic" w:hAnsi="Simplified Arabic"/>
          <w:sz w:val="27"/>
          <w:rtl/>
        </w:rPr>
        <w:t>الاجتماعي</w:t>
      </w:r>
      <w:r w:rsidRPr="00282AC9">
        <w:rPr>
          <w:rFonts w:ascii="Simplified Arabic" w:hAnsi="Simplified Arabic" w:hint="cs"/>
          <w:sz w:val="27"/>
          <w:rtl/>
        </w:rPr>
        <w:t>ة</w:t>
      </w:r>
      <w:r w:rsidRPr="00282AC9">
        <w:rPr>
          <w:rFonts w:ascii="Simplified Arabic" w:hAnsi="Simplified Arabic"/>
          <w:sz w:val="27"/>
          <w:rtl/>
        </w:rPr>
        <w:t xml:space="preserve"> والسياسي</w:t>
      </w:r>
      <w:r w:rsidRPr="00282AC9">
        <w:rPr>
          <w:rFonts w:ascii="Simplified Arabic" w:hAnsi="Simplified Arabic" w:hint="cs"/>
          <w:sz w:val="27"/>
          <w:rtl/>
        </w:rPr>
        <w:t>ة</w:t>
      </w:r>
      <w:r w:rsidRPr="00282AC9">
        <w:rPr>
          <w:rFonts w:ascii="Simplified Arabic" w:hAnsi="Simplified Arabic"/>
          <w:sz w:val="27"/>
          <w:rtl/>
        </w:rPr>
        <w:t xml:space="preserve"> والثقافي</w:t>
      </w:r>
      <w:r w:rsidRPr="00282AC9">
        <w:rPr>
          <w:rFonts w:ascii="Simplified Arabic" w:hAnsi="Simplified Arabic" w:hint="cs"/>
          <w:sz w:val="27"/>
          <w:rtl/>
        </w:rPr>
        <w:t>ة</w:t>
      </w:r>
      <w:r w:rsidR="00AF27FD" w:rsidRPr="00282AC9">
        <w:rPr>
          <w:rFonts w:ascii="Simplified Arabic" w:hAnsi="Simplified Arabic" w:hint="cs"/>
          <w:sz w:val="27"/>
          <w:rtl/>
        </w:rPr>
        <w:t>.</w:t>
      </w:r>
      <w:r w:rsidRPr="00282AC9">
        <w:rPr>
          <w:rFonts w:ascii="Simplified Arabic" w:hAnsi="Simplified Arabic"/>
          <w:sz w:val="27"/>
          <w:rtl/>
        </w:rPr>
        <w:t xml:space="preserve"> وقد لاح</w:t>
      </w:r>
      <w:r w:rsidR="00AF27FD" w:rsidRPr="00282AC9">
        <w:rPr>
          <w:rFonts w:ascii="Simplified Arabic" w:hAnsi="Simplified Arabic" w:hint="cs"/>
          <w:sz w:val="27"/>
          <w:rtl/>
        </w:rPr>
        <w:t>َ</w:t>
      </w:r>
      <w:r w:rsidRPr="00282AC9">
        <w:rPr>
          <w:rFonts w:ascii="Simplified Arabic" w:hAnsi="Simplified Arabic"/>
          <w:sz w:val="27"/>
          <w:rtl/>
        </w:rPr>
        <w:t>ظ</w:t>
      </w:r>
      <w:r w:rsidR="00AF27FD" w:rsidRPr="00282AC9">
        <w:rPr>
          <w:rFonts w:ascii="Simplified Arabic" w:hAnsi="Simplified Arabic" w:hint="cs"/>
          <w:sz w:val="27"/>
          <w:rtl/>
        </w:rPr>
        <w:t>ْ</w:t>
      </w:r>
      <w:r w:rsidRPr="00282AC9">
        <w:rPr>
          <w:rFonts w:ascii="Simplified Arabic" w:hAnsi="Simplified Arabic"/>
          <w:sz w:val="27"/>
          <w:rtl/>
        </w:rPr>
        <w:t>نا سلامة هذا التوج</w:t>
      </w:r>
      <w:r w:rsidR="00AF27FD" w:rsidRPr="00282AC9">
        <w:rPr>
          <w:rFonts w:ascii="Simplified Arabic" w:hAnsi="Simplified Arabic" w:hint="cs"/>
          <w:sz w:val="27"/>
          <w:rtl/>
        </w:rPr>
        <w:t>ُّ</w:t>
      </w:r>
      <w:r w:rsidR="00AF27FD" w:rsidRPr="00282AC9">
        <w:rPr>
          <w:rFonts w:ascii="Simplified Arabic" w:hAnsi="Simplified Arabic"/>
          <w:sz w:val="27"/>
          <w:rtl/>
        </w:rPr>
        <w:t>ه من خلال الإمام</w:t>
      </w:r>
      <w:r w:rsidR="009A2A04" w:rsidRPr="00282AC9">
        <w:rPr>
          <w:rFonts w:ascii="Simplified Arabic" w:hAnsi="Simplified Arabic" w:cs="Mosawi" w:hint="cs"/>
          <w:sz w:val="22"/>
          <w:szCs w:val="22"/>
          <w:rtl/>
        </w:rPr>
        <w:t>×</w:t>
      </w:r>
      <w:r w:rsidR="00AF27FD" w:rsidRPr="00282AC9">
        <w:rPr>
          <w:rFonts w:ascii="Simplified Arabic" w:hAnsi="Simplified Arabic" w:hint="cs"/>
          <w:sz w:val="27"/>
          <w:rtl/>
        </w:rPr>
        <w:t xml:space="preserve"> </w:t>
      </w:r>
      <w:r w:rsidRPr="00282AC9">
        <w:rPr>
          <w:rFonts w:ascii="Simplified Arabic" w:hAnsi="Simplified Arabic"/>
          <w:sz w:val="27"/>
          <w:rtl/>
        </w:rPr>
        <w:t>نفسه</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954"/>
      </w:r>
      <w:r w:rsidRPr="00282AC9">
        <w:rPr>
          <w:rFonts w:ascii="Simplified Arabic" w:hAnsi="Simplified Arabic"/>
          <w:sz w:val="27"/>
          <w:vertAlign w:val="superscript"/>
          <w:rtl/>
        </w:rPr>
        <w:t>)</w:t>
      </w:r>
      <w:r w:rsidRPr="00282AC9">
        <w:rPr>
          <w:rFonts w:ascii="Simplified Arabic" w:hAnsi="Simplified Arabic"/>
          <w:sz w:val="27"/>
          <w:rtl/>
        </w:rPr>
        <w:t>، وكذلك من خلال أصحابه وأتباعه وشيعته</w:t>
      </w:r>
      <w:r w:rsidR="00AF27FD" w:rsidRPr="00282AC9">
        <w:rPr>
          <w:rFonts w:ascii="Simplified Arabic" w:hAnsi="Simplified Arabic" w:hint="cs"/>
          <w:sz w:val="27"/>
          <w:rtl/>
        </w:rPr>
        <w:t>،</w:t>
      </w:r>
      <w:r w:rsidRPr="00282AC9">
        <w:rPr>
          <w:rFonts w:ascii="Simplified Arabic" w:hAnsi="Simplified Arabic"/>
          <w:sz w:val="27"/>
          <w:rtl/>
        </w:rPr>
        <w:t xml:space="preserve"> الذين أصبحوا </w:t>
      </w:r>
      <w:r w:rsidRPr="00282AC9">
        <w:rPr>
          <w:rFonts w:ascii="Simplified Arabic" w:hAnsi="Simplified Arabic" w:hint="cs"/>
          <w:sz w:val="27"/>
          <w:rtl/>
        </w:rPr>
        <w:t xml:space="preserve">ـ </w:t>
      </w:r>
      <w:r w:rsidR="00AF27FD" w:rsidRPr="00282AC9">
        <w:rPr>
          <w:rFonts w:ascii="Simplified Arabic" w:hAnsi="Simplified Arabic"/>
          <w:sz w:val="27"/>
          <w:rtl/>
        </w:rPr>
        <w:t>في</w:t>
      </w:r>
      <w:r w:rsidRPr="00282AC9">
        <w:rPr>
          <w:rFonts w:ascii="Simplified Arabic" w:hAnsi="Simplified Arabic"/>
          <w:sz w:val="27"/>
          <w:rtl/>
        </w:rPr>
        <w:t>ما بعد</w:t>
      </w:r>
      <w:r w:rsidR="00AF27FD" w:rsidRPr="00282AC9">
        <w:rPr>
          <w:rFonts w:ascii="Simplified Arabic" w:hAnsi="Simplified Arabic" w:hint="cs"/>
          <w:sz w:val="27"/>
          <w:rtl/>
        </w:rPr>
        <w:t>ُ</w:t>
      </w:r>
      <w:r w:rsidRPr="00282AC9">
        <w:rPr>
          <w:rFonts w:ascii="Simplified Arabic" w:hAnsi="Simplified Arabic"/>
          <w:sz w:val="27"/>
          <w:rtl/>
        </w:rPr>
        <w:t xml:space="preserve"> ـ </w:t>
      </w:r>
      <w:r w:rsidRPr="00282AC9">
        <w:rPr>
          <w:rFonts w:ascii="Simplified Arabic" w:hAnsi="Simplified Arabic"/>
          <w:sz w:val="27"/>
          <w:rtl/>
        </w:rPr>
        <w:lastRenderedPageBreak/>
        <w:t>أكثر قدرة وو</w:t>
      </w:r>
      <w:r w:rsidR="00AF27FD" w:rsidRPr="00282AC9">
        <w:rPr>
          <w:rFonts w:ascii="Simplified Arabic" w:hAnsi="Simplified Arabic" w:hint="cs"/>
          <w:sz w:val="27"/>
          <w:rtl/>
        </w:rPr>
        <w:t>َ</w:t>
      </w:r>
      <w:r w:rsidRPr="00282AC9">
        <w:rPr>
          <w:rFonts w:ascii="Simplified Arabic" w:hAnsi="Simplified Arabic"/>
          <w:sz w:val="27"/>
          <w:rtl/>
        </w:rPr>
        <w:t>ع</w:t>
      </w:r>
      <w:r w:rsidR="00AF27FD" w:rsidRPr="00282AC9">
        <w:rPr>
          <w:rFonts w:ascii="Simplified Arabic" w:hAnsi="Simplified Arabic" w:hint="cs"/>
          <w:sz w:val="27"/>
          <w:rtl/>
        </w:rPr>
        <w:t>ْ</w:t>
      </w:r>
      <w:r w:rsidRPr="00282AC9">
        <w:rPr>
          <w:rFonts w:ascii="Simplified Arabic" w:hAnsi="Simplified Arabic"/>
          <w:sz w:val="27"/>
          <w:rtl/>
        </w:rPr>
        <w:t xml:space="preserve">ياً </w:t>
      </w:r>
      <w:r w:rsidR="00AF27FD" w:rsidRPr="00282AC9">
        <w:rPr>
          <w:rFonts w:ascii="Simplified Arabic" w:hAnsi="Simplified Arabic" w:hint="cs"/>
          <w:sz w:val="27"/>
          <w:rtl/>
        </w:rPr>
        <w:t>ف</w:t>
      </w:r>
      <w:r w:rsidRPr="00282AC9">
        <w:rPr>
          <w:rFonts w:ascii="Simplified Arabic" w:hAnsi="Simplified Arabic"/>
          <w:sz w:val="27"/>
          <w:rtl/>
        </w:rPr>
        <w:t>ى التعامل مع قضايا الواقع والحياة والإنسان، والقيام بالمناظرات والحوارات العلمية ا</w:t>
      </w:r>
      <w:r w:rsidR="00AF27FD" w:rsidRPr="00282AC9">
        <w:rPr>
          <w:rFonts w:ascii="Simplified Arabic" w:hAnsi="Simplified Arabic"/>
          <w:sz w:val="27"/>
          <w:rtl/>
        </w:rPr>
        <w:t>لواسعة مع جميع القوى والتيارات.</w:t>
      </w:r>
    </w:p>
    <w:p w:rsidR="007359AA" w:rsidRPr="00282AC9" w:rsidRDefault="007359AA" w:rsidP="00D47E7C">
      <w:pPr>
        <w:rPr>
          <w:rFonts w:ascii="Simplified Arabic" w:hAnsi="Simplified Arabic"/>
          <w:sz w:val="27"/>
          <w:rtl/>
        </w:rPr>
      </w:pPr>
      <w:r w:rsidRPr="00282AC9">
        <w:rPr>
          <w:rFonts w:ascii="Simplified Arabic" w:hAnsi="Simplified Arabic"/>
          <w:sz w:val="27"/>
          <w:rtl/>
        </w:rPr>
        <w:t>أما على المستوى الشخصي</w:t>
      </w:r>
      <w:r w:rsidR="00AF27FD" w:rsidRPr="00282AC9">
        <w:rPr>
          <w:rFonts w:ascii="Simplified Arabic" w:hAnsi="Simplified Arabic" w:hint="cs"/>
          <w:sz w:val="27"/>
          <w:rtl/>
        </w:rPr>
        <w:t xml:space="preserve">ّ </w:t>
      </w:r>
      <w:r w:rsidRPr="00282AC9">
        <w:rPr>
          <w:rFonts w:ascii="Simplified Arabic" w:hAnsi="Simplified Arabic"/>
          <w:sz w:val="27"/>
          <w:rtl/>
        </w:rPr>
        <w:t>(العام</w:t>
      </w:r>
      <w:r w:rsidR="00AF27FD" w:rsidRPr="00282AC9">
        <w:rPr>
          <w:rFonts w:ascii="Simplified Arabic" w:hAnsi="Simplified Arabic" w:hint="cs"/>
          <w:sz w:val="27"/>
          <w:rtl/>
        </w:rPr>
        <w:t>ّ</w:t>
      </w:r>
      <w:r w:rsidRPr="00282AC9">
        <w:rPr>
          <w:rFonts w:ascii="Simplified Arabic" w:hAnsi="Simplified Arabic"/>
          <w:sz w:val="27"/>
          <w:rtl/>
        </w:rPr>
        <w:t>)</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955"/>
      </w:r>
      <w:r w:rsidRPr="00282AC9">
        <w:rPr>
          <w:rFonts w:ascii="Simplified Arabic" w:hAnsi="Simplified Arabic"/>
          <w:sz w:val="27"/>
          <w:vertAlign w:val="superscript"/>
          <w:rtl/>
        </w:rPr>
        <w:t>)</w:t>
      </w:r>
      <w:r w:rsidRPr="00282AC9">
        <w:rPr>
          <w:rFonts w:ascii="Simplified Arabic" w:hAnsi="Simplified Arabic"/>
          <w:sz w:val="27"/>
          <w:rtl/>
        </w:rPr>
        <w:t xml:space="preserve"> فقد رأ</w:t>
      </w:r>
      <w:r w:rsidR="00AF27FD" w:rsidRPr="00282AC9">
        <w:rPr>
          <w:rFonts w:ascii="Simplified Arabic" w:hAnsi="Simplified Arabic" w:hint="cs"/>
          <w:sz w:val="27"/>
          <w:rtl/>
        </w:rPr>
        <w:t>َ</w:t>
      </w:r>
      <w:r w:rsidRPr="00282AC9">
        <w:rPr>
          <w:rFonts w:ascii="Simplified Arabic" w:hAnsi="Simplified Arabic"/>
          <w:sz w:val="27"/>
          <w:rtl/>
        </w:rPr>
        <w:t>ي</w:t>
      </w:r>
      <w:r w:rsidR="00AF27FD" w:rsidRPr="00282AC9">
        <w:rPr>
          <w:rFonts w:ascii="Simplified Arabic" w:hAnsi="Simplified Arabic" w:hint="cs"/>
          <w:sz w:val="27"/>
          <w:rtl/>
        </w:rPr>
        <w:t>ْ</w:t>
      </w:r>
      <w:r w:rsidRPr="00282AC9">
        <w:rPr>
          <w:rFonts w:ascii="Simplified Arabic" w:hAnsi="Simplified Arabic"/>
          <w:sz w:val="27"/>
          <w:rtl/>
        </w:rPr>
        <w:t>نا كيف استفاد الإمام</w:t>
      </w:r>
      <w:r w:rsidR="009A2A04" w:rsidRPr="00282AC9">
        <w:rPr>
          <w:rFonts w:ascii="Simplified Arabic" w:hAnsi="Simplified Arabic" w:cs="Mosawi"/>
          <w:sz w:val="22"/>
          <w:szCs w:val="22"/>
          <w:rtl/>
        </w:rPr>
        <w:t>×</w:t>
      </w:r>
      <w:r w:rsidRPr="00282AC9">
        <w:rPr>
          <w:rFonts w:ascii="Simplified Arabic" w:hAnsi="Simplified Arabic"/>
          <w:sz w:val="27"/>
          <w:rtl/>
        </w:rPr>
        <w:t xml:space="preserve"> استفادة</w:t>
      </w:r>
      <w:r w:rsidR="00AF27FD" w:rsidRPr="00282AC9">
        <w:rPr>
          <w:rFonts w:ascii="Simplified Arabic" w:hAnsi="Simplified Arabic" w:hint="cs"/>
          <w:sz w:val="27"/>
          <w:rtl/>
        </w:rPr>
        <w:t>ً</w:t>
      </w:r>
      <w:r w:rsidRPr="00282AC9">
        <w:rPr>
          <w:rFonts w:ascii="Simplified Arabic" w:hAnsi="Simplified Arabic"/>
          <w:sz w:val="27"/>
          <w:rtl/>
        </w:rPr>
        <w:t xml:space="preserve"> قصوى في إبراز شخصيته العلمية الغني</w:t>
      </w:r>
      <w:r w:rsidR="00AF27FD" w:rsidRPr="00282AC9">
        <w:rPr>
          <w:rFonts w:ascii="Simplified Arabic" w:hAnsi="Simplified Arabic" w:hint="cs"/>
          <w:sz w:val="27"/>
          <w:rtl/>
        </w:rPr>
        <w:t>ّ</w:t>
      </w:r>
      <w:r w:rsidRPr="00282AC9">
        <w:rPr>
          <w:rFonts w:ascii="Simplified Arabic" w:hAnsi="Simplified Arabic"/>
          <w:sz w:val="27"/>
          <w:rtl/>
        </w:rPr>
        <w:t xml:space="preserve">ة </w:t>
      </w:r>
      <w:r w:rsidRPr="00282AC9">
        <w:rPr>
          <w:rFonts w:ascii="Simplified Arabic" w:hAnsi="Simplified Arabic" w:hint="cs"/>
          <w:sz w:val="27"/>
          <w:rtl/>
        </w:rPr>
        <w:t>والمعياري</w:t>
      </w:r>
      <w:r w:rsidR="00AF27FD" w:rsidRPr="00282AC9">
        <w:rPr>
          <w:rFonts w:ascii="Simplified Arabic" w:hAnsi="Simplified Arabic" w:hint="cs"/>
          <w:sz w:val="27"/>
          <w:rtl/>
        </w:rPr>
        <w:t>ّ</w:t>
      </w:r>
      <w:r w:rsidRPr="00282AC9">
        <w:rPr>
          <w:rFonts w:ascii="Simplified Arabic" w:hAnsi="Simplified Arabic" w:hint="cs"/>
          <w:sz w:val="27"/>
          <w:rtl/>
        </w:rPr>
        <w:t>ة</w:t>
      </w:r>
      <w:r w:rsidR="00AF27FD" w:rsidRPr="00282AC9">
        <w:rPr>
          <w:rFonts w:ascii="Simplified Arabic" w:hAnsi="Simplified Arabic" w:hint="cs"/>
          <w:sz w:val="27"/>
          <w:rtl/>
        </w:rPr>
        <w:t>،</w:t>
      </w:r>
      <w:r w:rsidRPr="00282AC9">
        <w:rPr>
          <w:rFonts w:ascii="Simplified Arabic" w:hAnsi="Simplified Arabic"/>
          <w:sz w:val="27"/>
          <w:rtl/>
        </w:rPr>
        <w:t xml:space="preserve"> التي قد</w:t>
      </w:r>
      <w:r w:rsidR="00AF27FD" w:rsidRPr="00282AC9">
        <w:rPr>
          <w:rFonts w:ascii="Simplified Arabic" w:hAnsi="Simplified Arabic" w:hint="cs"/>
          <w:sz w:val="27"/>
          <w:rtl/>
        </w:rPr>
        <w:t>َّ</w:t>
      </w:r>
      <w:r w:rsidRPr="00282AC9">
        <w:rPr>
          <w:rFonts w:ascii="Simplified Arabic" w:hAnsi="Simplified Arabic"/>
          <w:sz w:val="27"/>
          <w:rtl/>
        </w:rPr>
        <w:t>مت أفضل وأعظم الخدمات للإسلام الرسالي</w:t>
      </w:r>
      <w:r w:rsidR="00AF27FD" w:rsidRPr="00282AC9">
        <w:rPr>
          <w:rFonts w:ascii="Simplified Arabic" w:hAnsi="Simplified Arabic" w:hint="cs"/>
          <w:sz w:val="27"/>
          <w:rtl/>
        </w:rPr>
        <w:t>،</w:t>
      </w:r>
      <w:r w:rsidRPr="00282AC9">
        <w:rPr>
          <w:rFonts w:ascii="Simplified Arabic" w:hAnsi="Simplified Arabic"/>
          <w:sz w:val="27"/>
          <w:rtl/>
        </w:rPr>
        <w:t xml:space="preserve"> من خلال تلك المناظرات والندوات والجلسات الحوارية التي كانت تجري برعاية المأمون، وبمشاركة لفيف</w:t>
      </w:r>
      <w:r w:rsidR="005231EC" w:rsidRPr="00282AC9">
        <w:rPr>
          <w:rFonts w:ascii="Simplified Arabic" w:hAnsi="Simplified Arabic" w:hint="cs"/>
          <w:sz w:val="27"/>
          <w:rtl/>
        </w:rPr>
        <w:t>ٍ</w:t>
      </w:r>
      <w:r w:rsidRPr="00282AC9">
        <w:rPr>
          <w:rFonts w:ascii="Simplified Arabic" w:hAnsi="Simplified Arabic"/>
          <w:sz w:val="27"/>
          <w:rtl/>
        </w:rPr>
        <w:t xml:space="preserve"> كبير من العلماء والمفك</w:t>
      </w:r>
      <w:r w:rsidR="005231EC" w:rsidRPr="00282AC9">
        <w:rPr>
          <w:rFonts w:ascii="Simplified Arabic" w:hAnsi="Simplified Arabic" w:hint="cs"/>
          <w:sz w:val="27"/>
          <w:rtl/>
        </w:rPr>
        <w:t>ِّ</w:t>
      </w:r>
      <w:r w:rsidRPr="00282AC9">
        <w:rPr>
          <w:rFonts w:ascii="Simplified Arabic" w:hAnsi="Simplified Arabic"/>
          <w:sz w:val="27"/>
          <w:rtl/>
        </w:rPr>
        <w:t>رين</w:t>
      </w:r>
      <w:r w:rsidR="005231EC" w:rsidRPr="00282AC9">
        <w:rPr>
          <w:rFonts w:ascii="Simplified Arabic" w:hAnsi="Simplified Arabic" w:hint="cs"/>
          <w:sz w:val="27"/>
          <w:rtl/>
        </w:rPr>
        <w:t>،</w:t>
      </w:r>
      <w:r w:rsidRPr="00282AC9">
        <w:rPr>
          <w:rFonts w:ascii="Simplified Arabic" w:hAnsi="Simplified Arabic"/>
          <w:sz w:val="27"/>
          <w:rtl/>
        </w:rPr>
        <w:t xml:space="preserve"> المنتسبين لمختلف التيارات والعقائد الديني</w:t>
      </w:r>
      <w:r w:rsidR="005231EC" w:rsidRPr="00282AC9">
        <w:rPr>
          <w:rFonts w:ascii="Simplified Arabic" w:hAnsi="Simplified Arabic" w:hint="cs"/>
          <w:sz w:val="27"/>
          <w:rtl/>
        </w:rPr>
        <w:t>ّ</w:t>
      </w:r>
      <w:r w:rsidRPr="00282AC9">
        <w:rPr>
          <w:rFonts w:ascii="Simplified Arabic" w:hAnsi="Simplified Arabic"/>
          <w:sz w:val="27"/>
          <w:rtl/>
        </w:rPr>
        <w:t>ة والدهري</w:t>
      </w:r>
      <w:r w:rsidR="005231EC" w:rsidRPr="00282AC9">
        <w:rPr>
          <w:rFonts w:ascii="Simplified Arabic" w:hAnsi="Simplified Arabic" w:hint="cs"/>
          <w:sz w:val="27"/>
          <w:rtl/>
        </w:rPr>
        <w:t>ّ</w:t>
      </w:r>
      <w:r w:rsidRPr="00282AC9">
        <w:rPr>
          <w:rFonts w:ascii="Simplified Arabic" w:hAnsi="Simplified Arabic"/>
          <w:sz w:val="27"/>
          <w:rtl/>
        </w:rPr>
        <w:t>ة (العلماني</w:t>
      </w:r>
      <w:r w:rsidR="005231EC" w:rsidRPr="00282AC9">
        <w:rPr>
          <w:rFonts w:ascii="Simplified Arabic" w:hAnsi="Simplified Arabic" w:hint="cs"/>
          <w:sz w:val="27"/>
          <w:rtl/>
        </w:rPr>
        <w:t>ّ</w:t>
      </w:r>
      <w:r w:rsidRPr="00282AC9">
        <w:rPr>
          <w:rFonts w:ascii="Simplified Arabic" w:hAnsi="Simplified Arabic"/>
          <w:sz w:val="27"/>
          <w:rtl/>
        </w:rPr>
        <w:t>ة</w:t>
      </w:r>
      <w:r w:rsidRPr="00282AC9">
        <w:rPr>
          <w:rFonts w:ascii="Simplified Arabic" w:hAnsi="Simplified Arabic" w:hint="cs"/>
          <w:sz w:val="27"/>
          <w:rtl/>
        </w:rPr>
        <w:t xml:space="preserve"> بتعبير عصرنا</w:t>
      </w:r>
      <w:r w:rsidRPr="00282AC9">
        <w:rPr>
          <w:rFonts w:ascii="Simplified Arabic" w:hAnsi="Simplified Arabic"/>
          <w:sz w:val="27"/>
          <w:rtl/>
        </w:rPr>
        <w:t>).</w:t>
      </w:r>
    </w:p>
    <w:p w:rsidR="007359AA" w:rsidRPr="00282AC9" w:rsidRDefault="007359AA" w:rsidP="00D47E7C">
      <w:pPr>
        <w:tabs>
          <w:tab w:val="left" w:pos="5221"/>
        </w:tabs>
        <w:rPr>
          <w:rFonts w:ascii="Simplified Arabic" w:hAnsi="Simplified Arabic"/>
          <w:sz w:val="27"/>
          <w:rtl/>
        </w:rPr>
      </w:pPr>
      <w:r w:rsidRPr="00282AC9">
        <w:rPr>
          <w:rFonts w:ascii="Simplified Arabic" w:hAnsi="Simplified Arabic" w:hint="cs"/>
          <w:sz w:val="27"/>
          <w:rtl/>
        </w:rPr>
        <w:t xml:space="preserve">فقد </w:t>
      </w:r>
      <w:r w:rsidRPr="00282AC9">
        <w:rPr>
          <w:rFonts w:ascii="Simplified Arabic" w:hAnsi="Simplified Arabic"/>
          <w:sz w:val="27"/>
          <w:rtl/>
        </w:rPr>
        <w:t>روى الطبر</w:t>
      </w:r>
      <w:r w:rsidR="005231EC" w:rsidRPr="00282AC9">
        <w:rPr>
          <w:rFonts w:ascii="Simplified Arabic" w:hAnsi="Simplified Arabic" w:hint="cs"/>
          <w:sz w:val="27"/>
          <w:rtl/>
        </w:rPr>
        <w:t>س</w:t>
      </w:r>
      <w:r w:rsidRPr="00282AC9">
        <w:rPr>
          <w:rFonts w:ascii="Simplified Arabic" w:hAnsi="Simplified Arabic"/>
          <w:sz w:val="27"/>
          <w:rtl/>
        </w:rPr>
        <w:t>ي</w:t>
      </w:r>
      <w:r w:rsidR="005231EC" w:rsidRPr="00282AC9">
        <w:rPr>
          <w:rFonts w:ascii="Simplified Arabic" w:hAnsi="Simplified Arabic" w:hint="cs"/>
          <w:sz w:val="27"/>
          <w:rtl/>
        </w:rPr>
        <w:t>،</w:t>
      </w:r>
      <w:r w:rsidRPr="00282AC9">
        <w:rPr>
          <w:rFonts w:ascii="Simplified Arabic" w:hAnsi="Simplified Arabic"/>
          <w:sz w:val="27"/>
          <w:rtl/>
        </w:rPr>
        <w:t xml:space="preserve"> في احتجاجه، في تفسير الإمام</w:t>
      </w:r>
      <w:r w:rsidR="009A2A04" w:rsidRPr="00282AC9">
        <w:rPr>
          <w:rFonts w:ascii="Simplified Arabic" w:hAnsi="Simplified Arabic" w:cs="Mosawi"/>
          <w:sz w:val="22"/>
          <w:szCs w:val="22"/>
          <w:rtl/>
        </w:rPr>
        <w:t>×</w:t>
      </w:r>
      <w:r w:rsidRPr="00282AC9">
        <w:rPr>
          <w:rFonts w:ascii="Simplified Arabic" w:hAnsi="Simplified Arabic"/>
          <w:sz w:val="27"/>
          <w:rtl/>
        </w:rPr>
        <w:t xml:space="preserve"> لقوله تعالى: </w:t>
      </w:r>
      <w:r w:rsidR="005231EC" w:rsidRPr="00282AC9">
        <w:rPr>
          <w:rFonts w:ascii="Mosawi" w:hAnsi="Mosawi" w:cs="Mosawi"/>
          <w:sz w:val="24"/>
          <w:szCs w:val="24"/>
          <w:rtl/>
        </w:rPr>
        <w:t>﴿</w:t>
      </w:r>
      <w:r w:rsidR="005231EC" w:rsidRPr="00282AC9">
        <w:rPr>
          <w:b/>
          <w:bCs/>
          <w:sz w:val="27"/>
          <w:rtl/>
        </w:rPr>
        <w:t xml:space="preserve">وُجُوهٌ يَوْمَئِذٍ نَاضِرَةٌ </w:t>
      </w:r>
      <w:r w:rsidR="005231EC" w:rsidRPr="00282AC9">
        <w:rPr>
          <w:rFonts w:hint="cs"/>
          <w:b/>
          <w:bCs/>
          <w:sz w:val="27"/>
          <w:rtl/>
        </w:rPr>
        <w:t>*</w:t>
      </w:r>
      <w:r w:rsidR="005231EC" w:rsidRPr="00282AC9">
        <w:rPr>
          <w:b/>
          <w:bCs/>
          <w:sz w:val="27"/>
          <w:rtl/>
        </w:rPr>
        <w:t xml:space="preserve"> إِلَى رَبِّهَا نَاظِرَةٌ</w:t>
      </w:r>
      <w:r w:rsidR="005231EC" w:rsidRPr="00282AC9">
        <w:rPr>
          <w:rFonts w:ascii="Mosawi" w:hAnsi="Mosawi" w:cs="Mosawi"/>
          <w:sz w:val="24"/>
          <w:szCs w:val="24"/>
          <w:rtl/>
        </w:rPr>
        <w:t>﴾</w:t>
      </w:r>
      <w:r w:rsidRPr="00282AC9">
        <w:rPr>
          <w:rFonts w:ascii="Simplified Arabic" w:hAnsi="Simplified Arabic"/>
          <w:sz w:val="27"/>
          <w:rtl/>
        </w:rPr>
        <w:t xml:space="preserve"> </w:t>
      </w:r>
      <w:r w:rsidR="005231EC" w:rsidRPr="00282AC9">
        <w:rPr>
          <w:rFonts w:ascii="Simplified Arabic" w:hAnsi="Simplified Arabic" w:hint="cs"/>
          <w:sz w:val="27"/>
          <w:rtl/>
        </w:rPr>
        <w:t xml:space="preserve">(القيامة: 22 ـ 23)، </w:t>
      </w:r>
      <w:r w:rsidRPr="00282AC9">
        <w:rPr>
          <w:rFonts w:ascii="Simplified Arabic" w:hAnsi="Simplified Arabic"/>
          <w:sz w:val="27"/>
          <w:rtl/>
        </w:rPr>
        <w:t xml:space="preserve">أنه قال: </w:t>
      </w:r>
      <w:r w:rsidRPr="00282AC9">
        <w:rPr>
          <w:rFonts w:hint="eastAsia"/>
          <w:sz w:val="24"/>
          <w:szCs w:val="24"/>
          <w:rtl/>
        </w:rPr>
        <w:t>«</w:t>
      </w:r>
      <w:r w:rsidRPr="00282AC9">
        <w:rPr>
          <w:rFonts w:ascii="Simplified Arabic" w:hAnsi="Simplified Arabic"/>
          <w:sz w:val="27"/>
          <w:rtl/>
        </w:rPr>
        <w:t>مشرقة</w:t>
      </w:r>
      <w:r w:rsidR="005231EC" w:rsidRPr="00282AC9">
        <w:rPr>
          <w:rFonts w:ascii="Simplified Arabic" w:hAnsi="Simplified Arabic" w:hint="cs"/>
          <w:sz w:val="27"/>
          <w:rtl/>
        </w:rPr>
        <w:t>ٌ</w:t>
      </w:r>
      <w:r w:rsidRPr="00282AC9">
        <w:rPr>
          <w:rFonts w:ascii="Simplified Arabic" w:hAnsi="Simplified Arabic"/>
          <w:sz w:val="27"/>
          <w:rtl/>
        </w:rPr>
        <w:t xml:space="preserve"> تنتظر ثواب رب</w:t>
      </w:r>
      <w:r w:rsidR="005231EC" w:rsidRPr="00282AC9">
        <w:rPr>
          <w:rFonts w:ascii="Simplified Arabic" w:hAnsi="Simplified Arabic" w:hint="cs"/>
          <w:sz w:val="27"/>
          <w:rtl/>
        </w:rPr>
        <w:t>ِّ</w:t>
      </w:r>
      <w:r w:rsidRPr="00282AC9">
        <w:rPr>
          <w:rFonts w:ascii="Simplified Arabic" w:hAnsi="Simplified Arabic"/>
          <w:sz w:val="27"/>
          <w:rtl/>
        </w:rPr>
        <w:t>ها</w:t>
      </w:r>
      <w:r w:rsidRPr="00282AC9">
        <w:rPr>
          <w:rFonts w:hint="eastAsia"/>
          <w:sz w:val="24"/>
          <w:szCs w:val="24"/>
          <w:rtl/>
        </w:rPr>
        <w:t>»</w:t>
      </w:r>
      <w:r w:rsidR="005231EC" w:rsidRPr="00282AC9">
        <w:rPr>
          <w:rFonts w:ascii="Simplified Arabic" w:hAnsi="Simplified Arabic" w:hint="cs"/>
          <w:sz w:val="27"/>
          <w:rtl/>
        </w:rPr>
        <w:t>.</w:t>
      </w:r>
      <w:r w:rsidRPr="00282AC9">
        <w:rPr>
          <w:rFonts w:ascii="Simplified Arabic" w:hAnsi="Simplified Arabic"/>
          <w:sz w:val="27"/>
          <w:rtl/>
        </w:rPr>
        <w:t xml:space="preserve"> وأضاف إلى ذلك أن النبي</w:t>
      </w:r>
      <w:r w:rsidR="005231EC" w:rsidRPr="00282AC9">
        <w:rPr>
          <w:rFonts w:ascii="Simplified Arabic" w:hAnsi="Simplified Arabic" w:hint="cs"/>
          <w:sz w:val="27"/>
          <w:rtl/>
        </w:rPr>
        <w:t>ّ</w:t>
      </w:r>
      <w:r w:rsidR="009A2A04" w:rsidRPr="00282AC9">
        <w:rPr>
          <w:rFonts w:ascii="Simplified Arabic" w:hAnsi="Simplified Arabic" w:cs="Mosawi"/>
          <w:sz w:val="22"/>
          <w:szCs w:val="22"/>
          <w:rtl/>
        </w:rPr>
        <w:t>|</w:t>
      </w:r>
      <w:r w:rsidRPr="00282AC9">
        <w:rPr>
          <w:rFonts w:ascii="Simplified Arabic" w:hAnsi="Simplified Arabic"/>
          <w:sz w:val="27"/>
          <w:rtl/>
        </w:rPr>
        <w:t xml:space="preserve"> كان يقول: </w:t>
      </w:r>
      <w:r w:rsidRPr="00282AC9">
        <w:rPr>
          <w:rFonts w:hint="eastAsia"/>
          <w:sz w:val="24"/>
          <w:szCs w:val="24"/>
          <w:rtl/>
        </w:rPr>
        <w:t>«</w:t>
      </w:r>
      <w:r w:rsidRPr="00282AC9">
        <w:rPr>
          <w:rFonts w:ascii="Simplified Arabic" w:hAnsi="Simplified Arabic"/>
          <w:sz w:val="27"/>
          <w:rtl/>
        </w:rPr>
        <w:t>قال الله جلّ</w:t>
      </w:r>
      <w:r w:rsidR="005231EC" w:rsidRPr="00282AC9">
        <w:rPr>
          <w:rFonts w:ascii="Simplified Arabic" w:hAnsi="Simplified Arabic" w:hint="cs"/>
          <w:sz w:val="27"/>
          <w:rtl/>
        </w:rPr>
        <w:t>َ</w:t>
      </w:r>
      <w:r w:rsidRPr="00282AC9">
        <w:rPr>
          <w:rFonts w:ascii="Simplified Arabic" w:hAnsi="Simplified Arabic"/>
          <w:sz w:val="27"/>
          <w:rtl/>
        </w:rPr>
        <w:t xml:space="preserve"> جلال</w:t>
      </w:r>
      <w:r w:rsidR="005231EC" w:rsidRPr="00282AC9">
        <w:rPr>
          <w:rFonts w:ascii="Simplified Arabic" w:hAnsi="Simplified Arabic" w:hint="cs"/>
          <w:sz w:val="27"/>
          <w:rtl/>
        </w:rPr>
        <w:t>ُ</w:t>
      </w:r>
      <w:r w:rsidRPr="00282AC9">
        <w:rPr>
          <w:rFonts w:ascii="Simplified Arabic" w:hAnsi="Simplified Arabic"/>
          <w:sz w:val="27"/>
          <w:rtl/>
        </w:rPr>
        <w:t xml:space="preserve">ه: </w:t>
      </w:r>
      <w:r w:rsidRPr="00282AC9">
        <w:rPr>
          <w:rFonts w:hint="eastAsia"/>
          <w:sz w:val="24"/>
          <w:szCs w:val="24"/>
          <w:rtl/>
        </w:rPr>
        <w:t>«</w:t>
      </w:r>
      <w:r w:rsidRPr="00282AC9">
        <w:rPr>
          <w:rFonts w:ascii="Simplified Arabic" w:hAnsi="Simplified Arabic"/>
          <w:sz w:val="27"/>
          <w:rtl/>
        </w:rPr>
        <w:t>ما آمن بي من فس</w:t>
      </w:r>
      <w:r w:rsidR="005231EC" w:rsidRPr="00282AC9">
        <w:rPr>
          <w:rFonts w:ascii="Simplified Arabic" w:hAnsi="Simplified Arabic" w:hint="cs"/>
          <w:sz w:val="27"/>
          <w:rtl/>
        </w:rPr>
        <w:t>َّ</w:t>
      </w:r>
      <w:r w:rsidRPr="00282AC9">
        <w:rPr>
          <w:rFonts w:ascii="Simplified Arabic" w:hAnsi="Simplified Arabic"/>
          <w:sz w:val="27"/>
          <w:rtl/>
        </w:rPr>
        <w:t>ر كلامي برأيه، وما عرفني م</w:t>
      </w:r>
      <w:r w:rsidR="005231EC" w:rsidRPr="00282AC9">
        <w:rPr>
          <w:rFonts w:ascii="Simplified Arabic" w:hAnsi="Simplified Arabic" w:hint="cs"/>
          <w:sz w:val="27"/>
          <w:rtl/>
        </w:rPr>
        <w:t>َ</w:t>
      </w:r>
      <w:r w:rsidRPr="00282AC9">
        <w:rPr>
          <w:rFonts w:ascii="Simplified Arabic" w:hAnsi="Simplified Arabic"/>
          <w:sz w:val="27"/>
          <w:rtl/>
        </w:rPr>
        <w:t>ن</w:t>
      </w:r>
      <w:r w:rsidR="005231EC" w:rsidRPr="00282AC9">
        <w:rPr>
          <w:rFonts w:ascii="Simplified Arabic" w:hAnsi="Simplified Arabic" w:hint="cs"/>
          <w:sz w:val="27"/>
          <w:rtl/>
        </w:rPr>
        <w:t>ْ</w:t>
      </w:r>
      <w:r w:rsidRPr="00282AC9">
        <w:rPr>
          <w:rFonts w:ascii="Simplified Arabic" w:hAnsi="Simplified Arabic"/>
          <w:sz w:val="27"/>
          <w:rtl/>
        </w:rPr>
        <w:t xml:space="preserve"> شب</w:t>
      </w:r>
      <w:r w:rsidR="005231EC" w:rsidRPr="00282AC9">
        <w:rPr>
          <w:rFonts w:ascii="Simplified Arabic" w:hAnsi="Simplified Arabic" w:hint="cs"/>
          <w:sz w:val="27"/>
          <w:rtl/>
        </w:rPr>
        <w:t>َّ</w:t>
      </w:r>
      <w:r w:rsidRPr="00282AC9">
        <w:rPr>
          <w:rFonts w:ascii="Simplified Arabic" w:hAnsi="Simplified Arabic"/>
          <w:sz w:val="27"/>
          <w:rtl/>
        </w:rPr>
        <w:t>هني بخلقي، وما على ديني م</w:t>
      </w:r>
      <w:r w:rsidR="005231EC" w:rsidRPr="00282AC9">
        <w:rPr>
          <w:rFonts w:ascii="Simplified Arabic" w:hAnsi="Simplified Arabic" w:hint="cs"/>
          <w:sz w:val="27"/>
          <w:rtl/>
        </w:rPr>
        <w:t>َ</w:t>
      </w:r>
      <w:r w:rsidRPr="00282AC9">
        <w:rPr>
          <w:rFonts w:ascii="Simplified Arabic" w:hAnsi="Simplified Arabic"/>
          <w:sz w:val="27"/>
          <w:rtl/>
        </w:rPr>
        <w:t>ن</w:t>
      </w:r>
      <w:r w:rsidR="005231EC" w:rsidRPr="00282AC9">
        <w:rPr>
          <w:rFonts w:ascii="Simplified Arabic" w:hAnsi="Simplified Arabic" w:hint="cs"/>
          <w:sz w:val="27"/>
          <w:rtl/>
        </w:rPr>
        <w:t>ْ</w:t>
      </w:r>
      <w:r w:rsidRPr="00282AC9">
        <w:rPr>
          <w:rFonts w:ascii="Simplified Arabic" w:hAnsi="Simplified Arabic"/>
          <w:sz w:val="27"/>
          <w:rtl/>
        </w:rPr>
        <w:t xml:space="preserve"> استعمل القياس في ديني، وم</w:t>
      </w:r>
      <w:r w:rsidR="005231EC" w:rsidRPr="00282AC9">
        <w:rPr>
          <w:rFonts w:ascii="Simplified Arabic" w:hAnsi="Simplified Arabic" w:hint="cs"/>
          <w:sz w:val="27"/>
          <w:rtl/>
        </w:rPr>
        <w:t>َ</w:t>
      </w:r>
      <w:r w:rsidRPr="00282AC9">
        <w:rPr>
          <w:rFonts w:ascii="Simplified Arabic" w:hAnsi="Simplified Arabic"/>
          <w:sz w:val="27"/>
          <w:rtl/>
        </w:rPr>
        <w:t>ن</w:t>
      </w:r>
      <w:r w:rsidR="005231EC" w:rsidRPr="00282AC9">
        <w:rPr>
          <w:rFonts w:ascii="Simplified Arabic" w:hAnsi="Simplified Arabic" w:hint="cs"/>
          <w:sz w:val="27"/>
          <w:rtl/>
        </w:rPr>
        <w:t>ْ</w:t>
      </w:r>
      <w:r w:rsidRPr="00282AC9">
        <w:rPr>
          <w:rFonts w:ascii="Simplified Arabic" w:hAnsi="Simplified Arabic"/>
          <w:sz w:val="27"/>
          <w:rtl/>
        </w:rPr>
        <w:t xml:space="preserve"> رد</w:t>
      </w:r>
      <w:r w:rsidR="005231EC" w:rsidRPr="00282AC9">
        <w:rPr>
          <w:rFonts w:ascii="Simplified Arabic" w:hAnsi="Simplified Arabic" w:hint="cs"/>
          <w:sz w:val="27"/>
          <w:rtl/>
        </w:rPr>
        <w:t>َّ</w:t>
      </w:r>
      <w:r w:rsidRPr="00282AC9">
        <w:rPr>
          <w:rFonts w:ascii="Simplified Arabic" w:hAnsi="Simplified Arabic"/>
          <w:sz w:val="27"/>
          <w:rtl/>
        </w:rPr>
        <w:t xml:space="preserve"> متشابه القرآن إلى محكمه ه</w:t>
      </w:r>
      <w:r w:rsidR="005231EC" w:rsidRPr="00282AC9">
        <w:rPr>
          <w:rFonts w:ascii="Simplified Arabic" w:hAnsi="Simplified Arabic" w:hint="cs"/>
          <w:sz w:val="27"/>
          <w:rtl/>
        </w:rPr>
        <w:t>ُ</w:t>
      </w:r>
      <w:r w:rsidRPr="00282AC9">
        <w:rPr>
          <w:rFonts w:ascii="Simplified Arabic" w:hAnsi="Simplified Arabic"/>
          <w:sz w:val="27"/>
          <w:rtl/>
        </w:rPr>
        <w:t>د</w:t>
      </w:r>
      <w:r w:rsidR="005231EC" w:rsidRPr="00282AC9">
        <w:rPr>
          <w:rFonts w:ascii="Simplified Arabic" w:hAnsi="Simplified Arabic" w:hint="cs"/>
          <w:sz w:val="27"/>
          <w:rtl/>
        </w:rPr>
        <w:t>ِ</w:t>
      </w:r>
      <w:r w:rsidRPr="00282AC9">
        <w:rPr>
          <w:rFonts w:ascii="Simplified Arabic" w:hAnsi="Simplified Arabic"/>
          <w:sz w:val="27"/>
          <w:rtl/>
        </w:rPr>
        <w:t>ي</w:t>
      </w:r>
      <w:r w:rsidR="005231EC" w:rsidRPr="00282AC9">
        <w:rPr>
          <w:rFonts w:ascii="Simplified Arabic" w:hAnsi="Simplified Arabic" w:hint="cs"/>
          <w:sz w:val="27"/>
          <w:rtl/>
        </w:rPr>
        <w:t>َ</w:t>
      </w:r>
      <w:r w:rsidRPr="00282AC9">
        <w:rPr>
          <w:rFonts w:ascii="Simplified Arabic" w:hAnsi="Simplified Arabic"/>
          <w:sz w:val="27"/>
          <w:rtl/>
        </w:rPr>
        <w:t xml:space="preserve"> إلى صراط</w:t>
      </w:r>
      <w:r w:rsidR="005231EC" w:rsidRPr="00282AC9">
        <w:rPr>
          <w:rFonts w:ascii="Simplified Arabic" w:hAnsi="Simplified Arabic" w:hint="cs"/>
          <w:sz w:val="27"/>
          <w:rtl/>
        </w:rPr>
        <w:t>ٍ</w:t>
      </w:r>
      <w:r w:rsidRPr="00282AC9">
        <w:rPr>
          <w:rFonts w:ascii="Simplified Arabic" w:hAnsi="Simplified Arabic"/>
          <w:sz w:val="27"/>
          <w:rtl/>
        </w:rPr>
        <w:t xml:space="preserve"> مستقيم</w:t>
      </w:r>
      <w:r w:rsidRPr="00282AC9">
        <w:rPr>
          <w:rFonts w:hint="eastAsia"/>
          <w:sz w:val="24"/>
          <w:szCs w:val="24"/>
          <w:rtl/>
        </w:rPr>
        <w:t>»</w:t>
      </w:r>
      <w:r w:rsidRPr="00282AC9">
        <w:rPr>
          <w:rFonts w:ascii="Simplified Arabic" w:hAnsi="Simplified Arabic"/>
          <w:sz w:val="27"/>
          <w:rtl/>
        </w:rPr>
        <w:t>. ومضى الإمام</w:t>
      </w:r>
      <w:r w:rsidR="009A2A04" w:rsidRPr="00282AC9">
        <w:rPr>
          <w:rFonts w:ascii="Simplified Arabic" w:hAnsi="Simplified Arabic" w:cs="Mosawi"/>
          <w:sz w:val="22"/>
          <w:szCs w:val="22"/>
          <w:rtl/>
        </w:rPr>
        <w:t>×</w:t>
      </w:r>
      <w:r w:rsidRPr="00282AC9">
        <w:rPr>
          <w:rFonts w:ascii="Simplified Arabic" w:hAnsi="Simplified Arabic"/>
          <w:sz w:val="27"/>
          <w:rtl/>
        </w:rPr>
        <w:t xml:space="preserve"> يقول: </w:t>
      </w:r>
      <w:r w:rsidRPr="00282AC9">
        <w:rPr>
          <w:rFonts w:hint="eastAsia"/>
          <w:sz w:val="24"/>
          <w:szCs w:val="24"/>
          <w:rtl/>
        </w:rPr>
        <w:t>«</w:t>
      </w:r>
      <w:r w:rsidRPr="00282AC9">
        <w:rPr>
          <w:rFonts w:ascii="Simplified Arabic" w:hAnsi="Simplified Arabic"/>
          <w:sz w:val="27"/>
          <w:rtl/>
        </w:rPr>
        <w:t>م</w:t>
      </w:r>
      <w:r w:rsidR="005231EC" w:rsidRPr="00282AC9">
        <w:rPr>
          <w:rFonts w:ascii="Simplified Arabic" w:hAnsi="Simplified Arabic" w:hint="cs"/>
          <w:sz w:val="27"/>
          <w:rtl/>
        </w:rPr>
        <w:t>َ</w:t>
      </w:r>
      <w:r w:rsidRPr="00282AC9">
        <w:rPr>
          <w:rFonts w:ascii="Simplified Arabic" w:hAnsi="Simplified Arabic"/>
          <w:sz w:val="27"/>
          <w:rtl/>
        </w:rPr>
        <w:t>ن</w:t>
      </w:r>
      <w:r w:rsidR="005231EC" w:rsidRPr="00282AC9">
        <w:rPr>
          <w:rFonts w:ascii="Simplified Arabic" w:hAnsi="Simplified Arabic" w:hint="cs"/>
          <w:sz w:val="27"/>
          <w:rtl/>
        </w:rPr>
        <w:t>ْ</w:t>
      </w:r>
      <w:r w:rsidRPr="00282AC9">
        <w:rPr>
          <w:rFonts w:ascii="Simplified Arabic" w:hAnsi="Simplified Arabic"/>
          <w:sz w:val="27"/>
          <w:rtl/>
        </w:rPr>
        <w:t xml:space="preserve"> شب</w:t>
      </w:r>
      <w:r w:rsidR="005231EC" w:rsidRPr="00282AC9">
        <w:rPr>
          <w:rFonts w:ascii="Simplified Arabic" w:hAnsi="Simplified Arabic" w:hint="cs"/>
          <w:sz w:val="27"/>
          <w:rtl/>
        </w:rPr>
        <w:t>َّ</w:t>
      </w:r>
      <w:r w:rsidRPr="00282AC9">
        <w:rPr>
          <w:rFonts w:ascii="Simplified Arabic" w:hAnsi="Simplified Arabic"/>
          <w:sz w:val="27"/>
          <w:rtl/>
        </w:rPr>
        <w:t>ه الله بخلقه فهو مشرك</w:t>
      </w:r>
      <w:r w:rsidR="005231EC" w:rsidRPr="00282AC9">
        <w:rPr>
          <w:rFonts w:ascii="Simplified Arabic" w:hAnsi="Simplified Arabic" w:hint="cs"/>
          <w:sz w:val="27"/>
          <w:rtl/>
        </w:rPr>
        <w:t>ٌ</w:t>
      </w:r>
      <w:r w:rsidRPr="00282AC9">
        <w:rPr>
          <w:rFonts w:ascii="Simplified Arabic" w:hAnsi="Simplified Arabic"/>
          <w:sz w:val="27"/>
          <w:rtl/>
        </w:rPr>
        <w:t>، وم</w:t>
      </w:r>
      <w:r w:rsidR="005231EC" w:rsidRPr="00282AC9">
        <w:rPr>
          <w:rFonts w:ascii="Simplified Arabic" w:hAnsi="Simplified Arabic" w:hint="cs"/>
          <w:sz w:val="27"/>
          <w:rtl/>
        </w:rPr>
        <w:t>َ</w:t>
      </w:r>
      <w:r w:rsidRPr="00282AC9">
        <w:rPr>
          <w:rFonts w:ascii="Simplified Arabic" w:hAnsi="Simplified Arabic"/>
          <w:sz w:val="27"/>
          <w:rtl/>
        </w:rPr>
        <w:t>ن</w:t>
      </w:r>
      <w:r w:rsidR="005231EC" w:rsidRPr="00282AC9">
        <w:rPr>
          <w:rFonts w:ascii="Simplified Arabic" w:hAnsi="Simplified Arabic" w:hint="cs"/>
          <w:sz w:val="27"/>
          <w:rtl/>
        </w:rPr>
        <w:t>ْ</w:t>
      </w:r>
      <w:r w:rsidRPr="00282AC9">
        <w:rPr>
          <w:rFonts w:ascii="Simplified Arabic" w:hAnsi="Simplified Arabic"/>
          <w:sz w:val="27"/>
          <w:rtl/>
        </w:rPr>
        <w:t xml:space="preserve"> نسب إليه ما نهى عنه فهو كافر</w:t>
      </w:r>
      <w:r w:rsidR="005231EC" w:rsidRPr="00282AC9">
        <w:rPr>
          <w:rFonts w:ascii="Simplified Arabic" w:hAnsi="Simplified Arabic" w:hint="cs"/>
          <w:sz w:val="27"/>
          <w:rtl/>
        </w:rPr>
        <w:t>ٌ</w:t>
      </w:r>
      <w:r w:rsidRPr="00282AC9">
        <w:rPr>
          <w:rFonts w:hint="eastAsia"/>
          <w:sz w:val="24"/>
          <w:szCs w:val="24"/>
          <w:rtl/>
        </w:rPr>
        <w:t>»</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956"/>
      </w:r>
      <w:r w:rsidRPr="00282AC9">
        <w:rPr>
          <w:rFonts w:ascii="Simplified Arabic" w:hAnsi="Simplified Arabic"/>
          <w:sz w:val="27"/>
          <w:vertAlign w:val="superscript"/>
          <w:rtl/>
        </w:rPr>
        <w:t>)</w:t>
      </w:r>
      <w:r w:rsidRPr="00282AC9">
        <w:rPr>
          <w:rFonts w:ascii="Simplified Arabic" w:hAnsi="Simplified Arabic"/>
          <w:sz w:val="27"/>
          <w:rtl/>
        </w:rPr>
        <w:t>.</w:t>
      </w:r>
    </w:p>
    <w:p w:rsidR="00367C53" w:rsidRPr="00282AC9" w:rsidRDefault="00367C53" w:rsidP="00367C53">
      <w:pPr>
        <w:spacing w:line="420" w:lineRule="exact"/>
        <w:rPr>
          <w:sz w:val="27"/>
          <w:rtl/>
        </w:rPr>
      </w:pPr>
    </w:p>
    <w:p w:rsidR="007359AA" w:rsidRPr="00282AC9" w:rsidRDefault="00792268" w:rsidP="00715FC8">
      <w:pPr>
        <w:pStyle w:val="31"/>
        <w:rPr>
          <w:color w:val="auto"/>
          <w:rtl/>
        </w:rPr>
      </w:pPr>
      <w:r w:rsidRPr="00282AC9">
        <w:rPr>
          <w:rFonts w:hint="cs"/>
          <w:color w:val="auto"/>
          <w:rtl/>
        </w:rPr>
        <w:t xml:space="preserve">ب </w:t>
      </w:r>
      <w:r w:rsidR="007359AA" w:rsidRPr="00282AC9">
        <w:rPr>
          <w:color w:val="auto"/>
          <w:rtl/>
        </w:rPr>
        <w:t xml:space="preserve">ـ الرهان </w:t>
      </w:r>
      <w:r w:rsidR="007359AA" w:rsidRPr="00282AC9">
        <w:rPr>
          <w:rFonts w:hint="cs"/>
          <w:color w:val="auto"/>
          <w:rtl/>
        </w:rPr>
        <w:t>التربوي</w:t>
      </w:r>
      <w:r w:rsidR="005231EC" w:rsidRPr="00282AC9">
        <w:rPr>
          <w:rFonts w:hint="cs"/>
          <w:color w:val="auto"/>
          <w:rtl/>
        </w:rPr>
        <w:t>ّ</w:t>
      </w:r>
      <w:r w:rsidR="007359AA" w:rsidRPr="00282AC9">
        <w:rPr>
          <w:rFonts w:hint="cs"/>
          <w:color w:val="auto"/>
          <w:rtl/>
        </w:rPr>
        <w:t xml:space="preserve"> </w:t>
      </w:r>
      <w:r w:rsidR="007359AA" w:rsidRPr="00282AC9">
        <w:rPr>
          <w:color w:val="auto"/>
          <w:rtl/>
        </w:rPr>
        <w:t>السياسي</w:t>
      </w:r>
      <w:r w:rsidR="005231EC" w:rsidRPr="00282AC9">
        <w:rPr>
          <w:rFonts w:hint="cs"/>
          <w:color w:val="auto"/>
          <w:rtl/>
        </w:rPr>
        <w:t>ّ</w:t>
      </w:r>
    </w:p>
    <w:p w:rsidR="007359AA" w:rsidRPr="00282AC9" w:rsidRDefault="007359AA" w:rsidP="00D47E7C">
      <w:pPr>
        <w:rPr>
          <w:rFonts w:ascii="Simplified Arabic" w:hAnsi="Simplified Arabic"/>
          <w:sz w:val="27"/>
          <w:rtl/>
        </w:rPr>
      </w:pPr>
      <w:r w:rsidRPr="00282AC9">
        <w:rPr>
          <w:rFonts w:ascii="Simplified Arabic" w:hAnsi="Simplified Arabic"/>
          <w:sz w:val="27"/>
          <w:rtl/>
        </w:rPr>
        <w:t>كان الإمام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إنساناً واعيا</w:t>
      </w:r>
      <w:r w:rsidRPr="00282AC9">
        <w:rPr>
          <w:rFonts w:ascii="Simplified Arabic" w:hAnsi="Simplified Arabic" w:hint="cs"/>
          <w:sz w:val="27"/>
          <w:rtl/>
        </w:rPr>
        <w:t xml:space="preserve">ً </w:t>
      </w:r>
      <w:r w:rsidRPr="00282AC9">
        <w:rPr>
          <w:rFonts w:ascii="Simplified Arabic" w:hAnsi="Simplified Arabic"/>
          <w:sz w:val="27"/>
          <w:rtl/>
        </w:rPr>
        <w:t>ومدركاً تماماً لخلفيات وخبايا واقع أم</w:t>
      </w:r>
      <w:r w:rsidR="00952C6C" w:rsidRPr="00282AC9">
        <w:rPr>
          <w:rFonts w:ascii="Simplified Arabic" w:hAnsi="Simplified Arabic" w:hint="cs"/>
          <w:sz w:val="27"/>
          <w:rtl/>
        </w:rPr>
        <w:t>ّ</w:t>
      </w:r>
      <w:r w:rsidRPr="00282AC9">
        <w:rPr>
          <w:rFonts w:ascii="Simplified Arabic" w:hAnsi="Simplified Arabic"/>
          <w:sz w:val="27"/>
          <w:rtl/>
        </w:rPr>
        <w:t>ته الحضاري</w:t>
      </w:r>
      <w:r w:rsidRPr="00282AC9">
        <w:rPr>
          <w:rFonts w:ascii="Simplified Arabic" w:hAnsi="Simplified Arabic" w:hint="cs"/>
          <w:sz w:val="27"/>
          <w:rtl/>
        </w:rPr>
        <w:t xml:space="preserve"> في ذلك العصر</w:t>
      </w:r>
      <w:r w:rsidRPr="00282AC9">
        <w:rPr>
          <w:rFonts w:ascii="Simplified Arabic" w:hAnsi="Simplified Arabic"/>
          <w:sz w:val="27"/>
          <w:rtl/>
        </w:rPr>
        <w:t>، لذلك لم يستط</w:t>
      </w:r>
      <w:r w:rsidR="00952C6C" w:rsidRPr="00282AC9">
        <w:rPr>
          <w:rFonts w:ascii="Simplified Arabic" w:hAnsi="Simplified Arabic" w:hint="cs"/>
          <w:sz w:val="27"/>
          <w:rtl/>
        </w:rPr>
        <w:t>ِ</w:t>
      </w:r>
      <w:r w:rsidRPr="00282AC9">
        <w:rPr>
          <w:rFonts w:ascii="Simplified Arabic" w:hAnsi="Simplified Arabic"/>
          <w:sz w:val="27"/>
          <w:rtl/>
        </w:rPr>
        <w:t>ع</w:t>
      </w:r>
      <w:r w:rsidR="00952C6C" w:rsidRPr="00282AC9">
        <w:rPr>
          <w:rFonts w:ascii="Simplified Arabic" w:hAnsi="Simplified Arabic" w:hint="cs"/>
          <w:sz w:val="27"/>
          <w:rtl/>
        </w:rPr>
        <w:t>ْ</w:t>
      </w:r>
      <w:r w:rsidRPr="00282AC9">
        <w:rPr>
          <w:rFonts w:ascii="Simplified Arabic" w:hAnsi="Simplified Arabic"/>
          <w:sz w:val="27"/>
          <w:rtl/>
        </w:rPr>
        <w:t xml:space="preserve"> هذا الواقع الضاغط ـ بكل</w:t>
      </w:r>
      <w:r w:rsidR="00952C6C" w:rsidRPr="00282AC9">
        <w:rPr>
          <w:rFonts w:ascii="Simplified Arabic" w:hAnsi="Simplified Arabic" w:hint="cs"/>
          <w:sz w:val="27"/>
          <w:rtl/>
        </w:rPr>
        <w:t>ّ</w:t>
      </w:r>
      <w:r w:rsidRPr="00282AC9">
        <w:rPr>
          <w:rFonts w:ascii="Simplified Arabic" w:hAnsi="Simplified Arabic"/>
          <w:sz w:val="27"/>
          <w:rtl/>
        </w:rPr>
        <w:t xml:space="preserve"> رموزه وشخصي</w:t>
      </w:r>
      <w:r w:rsidR="00952C6C" w:rsidRPr="00282AC9">
        <w:rPr>
          <w:rFonts w:ascii="Simplified Arabic" w:hAnsi="Simplified Arabic" w:hint="cs"/>
          <w:sz w:val="27"/>
          <w:rtl/>
        </w:rPr>
        <w:t>ّ</w:t>
      </w:r>
      <w:r w:rsidRPr="00282AC9">
        <w:rPr>
          <w:rFonts w:ascii="Simplified Arabic" w:hAnsi="Simplified Arabic"/>
          <w:sz w:val="27"/>
          <w:rtl/>
        </w:rPr>
        <w:t>اته ـ أن يخضع فكره وروحه وعقله، أو يهزم قو</w:t>
      </w:r>
      <w:r w:rsidR="00952C6C" w:rsidRPr="00282AC9">
        <w:rPr>
          <w:rFonts w:ascii="Simplified Arabic" w:hAnsi="Simplified Arabic" w:hint="cs"/>
          <w:sz w:val="27"/>
          <w:rtl/>
        </w:rPr>
        <w:t>ّ</w:t>
      </w:r>
      <w:r w:rsidRPr="00282AC9">
        <w:rPr>
          <w:rFonts w:ascii="Simplified Arabic" w:hAnsi="Simplified Arabic"/>
          <w:sz w:val="27"/>
          <w:rtl/>
        </w:rPr>
        <w:t>ته وإرادته</w:t>
      </w:r>
      <w:r w:rsidRPr="00282AC9">
        <w:rPr>
          <w:rFonts w:ascii="Simplified Arabic" w:hAnsi="Simplified Arabic" w:hint="cs"/>
          <w:sz w:val="27"/>
          <w:rtl/>
        </w:rPr>
        <w:t xml:space="preserve"> وقراره</w:t>
      </w:r>
      <w:r w:rsidR="00916852" w:rsidRPr="00282AC9">
        <w:rPr>
          <w:rFonts w:ascii="Simplified Arabic" w:hAnsi="Simplified Arabic" w:hint="cs"/>
          <w:sz w:val="27"/>
          <w:rtl/>
        </w:rPr>
        <w:t>.</w:t>
      </w:r>
      <w:r w:rsidRPr="00282AC9">
        <w:rPr>
          <w:rFonts w:ascii="Simplified Arabic" w:hAnsi="Simplified Arabic"/>
          <w:sz w:val="27"/>
          <w:rtl/>
        </w:rPr>
        <w:t xml:space="preserve"> ولم تتمك</w:t>
      </w:r>
      <w:r w:rsidR="00916852" w:rsidRPr="00282AC9">
        <w:rPr>
          <w:rFonts w:ascii="Simplified Arabic" w:hAnsi="Simplified Arabic" w:hint="cs"/>
          <w:sz w:val="27"/>
          <w:rtl/>
        </w:rPr>
        <w:t>َّ</w:t>
      </w:r>
      <w:r w:rsidRPr="00282AC9">
        <w:rPr>
          <w:rFonts w:ascii="Simplified Arabic" w:hAnsi="Simplified Arabic"/>
          <w:sz w:val="27"/>
          <w:rtl/>
        </w:rPr>
        <w:t>ن الق</w:t>
      </w:r>
      <w:r w:rsidR="00916852" w:rsidRPr="00282AC9">
        <w:rPr>
          <w:rFonts w:ascii="Simplified Arabic" w:hAnsi="Simplified Arabic" w:hint="cs"/>
          <w:sz w:val="27"/>
          <w:rtl/>
        </w:rPr>
        <w:t>ِ</w:t>
      </w:r>
      <w:r w:rsidRPr="00282AC9">
        <w:rPr>
          <w:rFonts w:ascii="Simplified Arabic" w:hAnsi="Simplified Arabic"/>
          <w:sz w:val="27"/>
          <w:rtl/>
        </w:rPr>
        <w:t>ي</w:t>
      </w:r>
      <w:r w:rsidR="00916852" w:rsidRPr="00282AC9">
        <w:rPr>
          <w:rFonts w:ascii="Simplified Arabic" w:hAnsi="Simplified Arabic" w:hint="cs"/>
          <w:sz w:val="27"/>
          <w:rtl/>
        </w:rPr>
        <w:t>َ</w:t>
      </w:r>
      <w:r w:rsidRPr="00282AC9">
        <w:rPr>
          <w:rFonts w:ascii="Simplified Arabic" w:hAnsi="Simplified Arabic"/>
          <w:sz w:val="27"/>
          <w:rtl/>
        </w:rPr>
        <w:t>م السكونية (حب</w:t>
      </w:r>
      <w:r w:rsidR="00916852" w:rsidRPr="00282AC9">
        <w:rPr>
          <w:rFonts w:ascii="Simplified Arabic" w:hAnsi="Simplified Arabic" w:hint="cs"/>
          <w:sz w:val="27"/>
          <w:rtl/>
        </w:rPr>
        <w:t>ّ</w:t>
      </w:r>
      <w:r w:rsidRPr="00282AC9">
        <w:rPr>
          <w:rFonts w:ascii="Simplified Arabic" w:hAnsi="Simplified Arabic"/>
          <w:sz w:val="27"/>
          <w:rtl/>
        </w:rPr>
        <w:t xml:space="preserve"> الاسترخاء والراحة والد</w:t>
      </w:r>
      <w:r w:rsidR="00916852" w:rsidRPr="00282AC9">
        <w:rPr>
          <w:rFonts w:ascii="Simplified Arabic" w:hAnsi="Simplified Arabic" w:hint="cs"/>
          <w:sz w:val="27"/>
          <w:rtl/>
        </w:rPr>
        <w:t>َّ</w:t>
      </w:r>
      <w:r w:rsidRPr="00282AC9">
        <w:rPr>
          <w:rFonts w:ascii="Simplified Arabic" w:hAnsi="Simplified Arabic"/>
          <w:sz w:val="27"/>
          <w:rtl/>
        </w:rPr>
        <w:t>عة) من الدخول إلى جو</w:t>
      </w:r>
      <w:r w:rsidR="00916852" w:rsidRPr="00282AC9">
        <w:rPr>
          <w:rFonts w:ascii="Simplified Arabic" w:hAnsi="Simplified Arabic" w:hint="cs"/>
          <w:sz w:val="27"/>
          <w:rtl/>
        </w:rPr>
        <w:t>ِّ</w:t>
      </w:r>
      <w:r w:rsidRPr="00282AC9">
        <w:rPr>
          <w:rFonts w:ascii="Simplified Arabic" w:hAnsi="Simplified Arabic"/>
          <w:sz w:val="27"/>
          <w:rtl/>
        </w:rPr>
        <w:t>ه وطبعه النفسي</w:t>
      </w:r>
      <w:r w:rsidR="00916852" w:rsidRPr="00282AC9">
        <w:rPr>
          <w:rFonts w:ascii="Simplified Arabic" w:hAnsi="Simplified Arabic" w:hint="cs"/>
          <w:sz w:val="27"/>
          <w:rtl/>
        </w:rPr>
        <w:t>ّ</w:t>
      </w:r>
      <w:r w:rsidRPr="00282AC9">
        <w:rPr>
          <w:rFonts w:ascii="Simplified Arabic" w:hAnsi="Simplified Arabic"/>
          <w:sz w:val="27"/>
          <w:rtl/>
        </w:rPr>
        <w:t xml:space="preserve"> الخاص</w:t>
      </w:r>
      <w:r w:rsidR="00916852" w:rsidRPr="00282AC9">
        <w:rPr>
          <w:rFonts w:ascii="Simplified Arabic" w:hAnsi="Simplified Arabic" w:hint="cs"/>
          <w:sz w:val="27"/>
          <w:rtl/>
        </w:rPr>
        <w:t>ّ</w:t>
      </w:r>
      <w:r w:rsidRPr="00282AC9">
        <w:rPr>
          <w:rFonts w:ascii="Simplified Arabic" w:hAnsi="Simplified Arabic"/>
          <w:sz w:val="27"/>
          <w:rtl/>
        </w:rPr>
        <w:t>.</w:t>
      </w:r>
    </w:p>
    <w:p w:rsidR="007359AA" w:rsidRPr="00282AC9" w:rsidRDefault="007359AA" w:rsidP="00D47E7C">
      <w:pPr>
        <w:pStyle w:val="33"/>
        <w:spacing w:line="400" w:lineRule="exact"/>
        <w:ind w:firstLine="567"/>
        <w:jc w:val="both"/>
        <w:rPr>
          <w:rFonts w:ascii="Simplified Arabic" w:hAnsi="Simplified Arabic" w:cs="AL-Mohanad"/>
          <w:sz w:val="27"/>
          <w:rtl/>
        </w:rPr>
      </w:pPr>
      <w:r w:rsidRPr="00282AC9">
        <w:rPr>
          <w:rFonts w:ascii="Simplified Arabic" w:hAnsi="Simplified Arabic" w:cs="AL-Mohanad"/>
          <w:sz w:val="27"/>
          <w:rtl/>
        </w:rPr>
        <w:t>لقد وجد</w:t>
      </w:r>
      <w:r w:rsidR="009A2A04" w:rsidRPr="00282AC9">
        <w:rPr>
          <w:rFonts w:ascii="Simplified Arabic" w:hAnsi="Simplified Arabic" w:cs="Mosawi"/>
          <w:sz w:val="22"/>
          <w:szCs w:val="22"/>
          <w:rtl/>
        </w:rPr>
        <w:t>×</w:t>
      </w:r>
      <w:r w:rsidRPr="00282AC9">
        <w:rPr>
          <w:rFonts w:ascii="Simplified Arabic" w:hAnsi="Simplified Arabic" w:cs="AL-Mohanad"/>
          <w:sz w:val="27"/>
          <w:rtl/>
        </w:rPr>
        <w:t xml:space="preserve"> نفسه في واقع</w:t>
      </w:r>
      <w:r w:rsidR="00916852" w:rsidRPr="00282AC9">
        <w:rPr>
          <w:rFonts w:ascii="Simplified Arabic" w:hAnsi="Simplified Arabic" w:cs="AL-Mohanad" w:hint="cs"/>
          <w:sz w:val="27"/>
          <w:rtl/>
        </w:rPr>
        <w:t>ٍ</w:t>
      </w:r>
      <w:r w:rsidRPr="00282AC9">
        <w:rPr>
          <w:rFonts w:ascii="Simplified Arabic" w:hAnsi="Simplified Arabic" w:cs="AL-Mohanad"/>
          <w:sz w:val="27"/>
          <w:rtl/>
        </w:rPr>
        <w:t xml:space="preserve"> </w:t>
      </w:r>
      <w:r w:rsidRPr="00282AC9">
        <w:rPr>
          <w:rFonts w:ascii="Simplified Arabic" w:hAnsi="Simplified Arabic" w:cs="AL-Mohanad" w:hint="cs"/>
          <w:sz w:val="27"/>
          <w:rtl/>
        </w:rPr>
        <w:t>تربوي</w:t>
      </w:r>
      <w:r w:rsidR="00916852" w:rsidRPr="00282AC9">
        <w:rPr>
          <w:rFonts w:ascii="Simplified Arabic" w:hAnsi="Simplified Arabic" w:cs="AL-Mohanad" w:hint="cs"/>
          <w:sz w:val="27"/>
          <w:rtl/>
        </w:rPr>
        <w:t>ّ</w:t>
      </w:r>
      <w:r w:rsidRPr="00282AC9">
        <w:rPr>
          <w:rFonts w:ascii="Simplified Arabic" w:hAnsi="Simplified Arabic" w:cs="AL-Mohanad" w:hint="cs"/>
          <w:sz w:val="27"/>
          <w:rtl/>
        </w:rPr>
        <w:t xml:space="preserve"> </w:t>
      </w:r>
      <w:r w:rsidRPr="00282AC9">
        <w:rPr>
          <w:rFonts w:ascii="Simplified Arabic" w:hAnsi="Simplified Arabic" w:cs="AL-Mohanad"/>
          <w:sz w:val="27"/>
          <w:rtl/>
        </w:rPr>
        <w:t>سياسي</w:t>
      </w:r>
      <w:r w:rsidR="00916852" w:rsidRPr="00282AC9">
        <w:rPr>
          <w:rFonts w:ascii="Simplified Arabic" w:hAnsi="Simplified Arabic" w:cs="AL-Mohanad" w:hint="cs"/>
          <w:sz w:val="27"/>
          <w:rtl/>
        </w:rPr>
        <w:t>ّ</w:t>
      </w:r>
      <w:r w:rsidRPr="00282AC9">
        <w:rPr>
          <w:rFonts w:ascii="Simplified Arabic" w:hAnsi="Simplified Arabic" w:cs="AL-Mohanad"/>
          <w:sz w:val="27"/>
          <w:rtl/>
        </w:rPr>
        <w:t xml:space="preserve"> معق</w:t>
      </w:r>
      <w:r w:rsidR="00916852" w:rsidRPr="00282AC9">
        <w:rPr>
          <w:rFonts w:ascii="Simplified Arabic" w:hAnsi="Simplified Arabic" w:cs="AL-Mohanad" w:hint="cs"/>
          <w:sz w:val="27"/>
          <w:rtl/>
        </w:rPr>
        <w:t>َّ</w:t>
      </w:r>
      <w:r w:rsidRPr="00282AC9">
        <w:rPr>
          <w:rFonts w:ascii="Simplified Arabic" w:hAnsi="Simplified Arabic" w:cs="AL-Mohanad"/>
          <w:sz w:val="27"/>
          <w:rtl/>
        </w:rPr>
        <w:t>د ومرتبك وشديد الت</w:t>
      </w:r>
      <w:r w:rsidRPr="00282AC9">
        <w:rPr>
          <w:rFonts w:ascii="Simplified Arabic" w:hAnsi="Simplified Arabic" w:cs="AL-Mohanad" w:hint="cs"/>
          <w:sz w:val="27"/>
          <w:rtl/>
        </w:rPr>
        <w:t>لو</w:t>
      </w:r>
      <w:r w:rsidR="00916852" w:rsidRPr="00282AC9">
        <w:rPr>
          <w:rFonts w:ascii="Simplified Arabic" w:hAnsi="Simplified Arabic" w:cs="AL-Mohanad" w:hint="cs"/>
          <w:sz w:val="27"/>
          <w:rtl/>
        </w:rPr>
        <w:t>ُّ</w:t>
      </w:r>
      <w:r w:rsidRPr="00282AC9">
        <w:rPr>
          <w:rFonts w:ascii="Simplified Arabic" w:hAnsi="Simplified Arabic" w:cs="AL-Mohanad" w:hint="cs"/>
          <w:sz w:val="27"/>
          <w:rtl/>
        </w:rPr>
        <w:t>ن والزخرف</w:t>
      </w:r>
      <w:r w:rsidRPr="00282AC9">
        <w:rPr>
          <w:rFonts w:ascii="Simplified Arabic" w:hAnsi="Simplified Arabic" w:cs="AL-Mohanad"/>
          <w:sz w:val="27"/>
          <w:rtl/>
        </w:rPr>
        <w:t xml:space="preserve"> (بالمعنى السلبي</w:t>
      </w:r>
      <w:r w:rsidR="00916852" w:rsidRPr="00282AC9">
        <w:rPr>
          <w:rFonts w:ascii="Simplified Arabic" w:hAnsi="Simplified Arabic" w:cs="AL-Mohanad" w:hint="cs"/>
          <w:sz w:val="27"/>
          <w:rtl/>
        </w:rPr>
        <w:t>ّ</w:t>
      </w:r>
      <w:r w:rsidRPr="00282AC9">
        <w:rPr>
          <w:rFonts w:ascii="Simplified Arabic" w:hAnsi="Simplified Arabic" w:cs="AL-Mohanad"/>
          <w:sz w:val="27"/>
          <w:rtl/>
        </w:rPr>
        <w:t xml:space="preserve"> طبعاً)، فحاول أن يفهمه ويحل</w:t>
      </w:r>
      <w:r w:rsidR="00916852" w:rsidRPr="00282AC9">
        <w:rPr>
          <w:rFonts w:ascii="Simplified Arabic" w:hAnsi="Simplified Arabic" w:cs="AL-Mohanad" w:hint="cs"/>
          <w:sz w:val="27"/>
          <w:rtl/>
        </w:rPr>
        <w:t>ِّ</w:t>
      </w:r>
      <w:r w:rsidRPr="00282AC9">
        <w:rPr>
          <w:rFonts w:ascii="Simplified Arabic" w:hAnsi="Simplified Arabic" w:cs="AL-Mohanad"/>
          <w:sz w:val="27"/>
          <w:rtl/>
        </w:rPr>
        <w:t>له ويحياه من موقع و</w:t>
      </w:r>
      <w:r w:rsidR="00916852" w:rsidRPr="00282AC9">
        <w:rPr>
          <w:rFonts w:ascii="Simplified Arabic" w:hAnsi="Simplified Arabic" w:cs="AL-Mohanad" w:hint="cs"/>
          <w:sz w:val="27"/>
          <w:rtl/>
        </w:rPr>
        <w:t>َ</w:t>
      </w:r>
      <w:r w:rsidRPr="00282AC9">
        <w:rPr>
          <w:rFonts w:ascii="Simplified Arabic" w:hAnsi="Simplified Arabic" w:cs="AL-Mohanad"/>
          <w:sz w:val="27"/>
          <w:rtl/>
        </w:rPr>
        <w:t>ع</w:t>
      </w:r>
      <w:r w:rsidR="00916852" w:rsidRPr="00282AC9">
        <w:rPr>
          <w:rFonts w:ascii="Simplified Arabic" w:hAnsi="Simplified Arabic" w:cs="AL-Mohanad" w:hint="cs"/>
          <w:sz w:val="27"/>
          <w:rtl/>
        </w:rPr>
        <w:t>ْ</w:t>
      </w:r>
      <w:r w:rsidRPr="00282AC9">
        <w:rPr>
          <w:rFonts w:ascii="Simplified Arabic" w:hAnsi="Simplified Arabic" w:cs="AL-Mohanad"/>
          <w:sz w:val="27"/>
          <w:rtl/>
        </w:rPr>
        <w:t>يه هو، لا من موقع سلبي</w:t>
      </w:r>
      <w:r w:rsidR="00916852" w:rsidRPr="00282AC9">
        <w:rPr>
          <w:rFonts w:ascii="Simplified Arabic" w:hAnsi="Simplified Arabic" w:cs="AL-Mohanad" w:hint="cs"/>
          <w:sz w:val="27"/>
          <w:rtl/>
        </w:rPr>
        <w:t>ّ</w:t>
      </w:r>
      <w:r w:rsidRPr="00282AC9">
        <w:rPr>
          <w:rFonts w:ascii="Simplified Arabic" w:hAnsi="Simplified Arabic" w:cs="AL-Mohanad"/>
          <w:sz w:val="27"/>
          <w:rtl/>
        </w:rPr>
        <w:t>ات الواقع ذاته.</w:t>
      </w:r>
    </w:p>
    <w:p w:rsidR="007359AA" w:rsidRPr="00282AC9" w:rsidRDefault="007359AA" w:rsidP="00D47E7C">
      <w:pPr>
        <w:rPr>
          <w:rFonts w:ascii="Simplified Arabic" w:hAnsi="Simplified Arabic"/>
          <w:sz w:val="27"/>
          <w:rtl/>
        </w:rPr>
      </w:pPr>
      <w:r w:rsidRPr="00282AC9">
        <w:rPr>
          <w:rFonts w:ascii="Simplified Arabic" w:hAnsi="Simplified Arabic"/>
          <w:sz w:val="27"/>
          <w:rtl/>
        </w:rPr>
        <w:t>وكان من الطبيعي</w:t>
      </w:r>
      <w:r w:rsidR="00916852" w:rsidRPr="00282AC9">
        <w:rPr>
          <w:rFonts w:ascii="Simplified Arabic" w:hAnsi="Simplified Arabic" w:hint="cs"/>
          <w:sz w:val="27"/>
          <w:rtl/>
        </w:rPr>
        <w:t>ّ</w:t>
      </w:r>
      <w:r w:rsidRPr="00282AC9">
        <w:rPr>
          <w:rFonts w:ascii="Simplified Arabic" w:hAnsi="Simplified Arabic"/>
          <w:sz w:val="27"/>
          <w:rtl/>
        </w:rPr>
        <w:t xml:space="preserve"> جد</w:t>
      </w:r>
      <w:r w:rsidR="00916852" w:rsidRPr="00282AC9">
        <w:rPr>
          <w:rFonts w:ascii="Simplified Arabic" w:hAnsi="Simplified Arabic" w:hint="cs"/>
          <w:sz w:val="27"/>
          <w:rtl/>
        </w:rPr>
        <w:t>ّ</w:t>
      </w:r>
      <w:r w:rsidRPr="00282AC9">
        <w:rPr>
          <w:rFonts w:ascii="Simplified Arabic" w:hAnsi="Simplified Arabic"/>
          <w:sz w:val="27"/>
          <w:rtl/>
        </w:rPr>
        <w:t>اً أن يعمل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على مواجهة هذا الواقع</w:t>
      </w:r>
      <w:r w:rsidRPr="00282AC9">
        <w:rPr>
          <w:rFonts w:ascii="Simplified Arabic" w:hAnsi="Simplified Arabic" w:hint="cs"/>
          <w:sz w:val="27"/>
          <w:rtl/>
        </w:rPr>
        <w:t xml:space="preserve"> التربوي</w:t>
      </w:r>
      <w:r w:rsidR="00916852" w:rsidRPr="00282AC9">
        <w:rPr>
          <w:rFonts w:ascii="Simplified Arabic" w:hAnsi="Simplified Arabic" w:hint="cs"/>
          <w:sz w:val="27"/>
          <w:rtl/>
        </w:rPr>
        <w:t>ّ</w:t>
      </w:r>
      <w:r w:rsidRPr="00282AC9">
        <w:rPr>
          <w:rFonts w:ascii="Simplified Arabic" w:hAnsi="Simplified Arabic"/>
          <w:sz w:val="27"/>
          <w:rtl/>
        </w:rPr>
        <w:t xml:space="preserve"> السياسي المنحرف عن خط</w:t>
      </w:r>
      <w:r w:rsidR="00916852" w:rsidRPr="00282AC9">
        <w:rPr>
          <w:rFonts w:ascii="Simplified Arabic" w:hAnsi="Simplified Arabic" w:hint="cs"/>
          <w:sz w:val="27"/>
          <w:rtl/>
        </w:rPr>
        <w:t>ّ</w:t>
      </w:r>
      <w:r w:rsidRPr="00282AC9">
        <w:rPr>
          <w:rFonts w:ascii="Simplified Arabic" w:hAnsi="Simplified Arabic"/>
          <w:sz w:val="27"/>
          <w:rtl/>
        </w:rPr>
        <w:t xml:space="preserve"> الإسلام، والمفروض على الأم</w:t>
      </w:r>
      <w:r w:rsidR="00916852" w:rsidRPr="00282AC9">
        <w:rPr>
          <w:rFonts w:ascii="Simplified Arabic" w:hAnsi="Simplified Arabic" w:hint="cs"/>
          <w:sz w:val="27"/>
          <w:rtl/>
        </w:rPr>
        <w:t>ّ</w:t>
      </w:r>
      <w:r w:rsidRPr="00282AC9">
        <w:rPr>
          <w:rFonts w:ascii="Simplified Arabic" w:hAnsi="Simplified Arabic"/>
          <w:sz w:val="27"/>
          <w:rtl/>
        </w:rPr>
        <w:t>ة بطريقة</w:t>
      </w:r>
      <w:r w:rsidR="00916852" w:rsidRPr="00282AC9">
        <w:rPr>
          <w:rFonts w:ascii="Simplified Arabic" w:hAnsi="Simplified Arabic" w:hint="cs"/>
          <w:sz w:val="27"/>
          <w:rtl/>
        </w:rPr>
        <w:t>ٍ</w:t>
      </w:r>
      <w:r w:rsidRPr="00282AC9">
        <w:rPr>
          <w:rFonts w:ascii="Simplified Arabic" w:hAnsi="Simplified Arabic"/>
          <w:sz w:val="27"/>
          <w:rtl/>
        </w:rPr>
        <w:t xml:space="preserve"> حركية غير </w:t>
      </w:r>
      <w:r w:rsidRPr="00282AC9">
        <w:rPr>
          <w:rFonts w:ascii="Simplified Arabic" w:hAnsi="Simplified Arabic"/>
          <w:sz w:val="27"/>
          <w:rtl/>
        </w:rPr>
        <w:lastRenderedPageBreak/>
        <w:t>مباشرة، تقوم على معيار</w:t>
      </w:r>
      <w:r w:rsidR="00916852" w:rsidRPr="00282AC9">
        <w:rPr>
          <w:rFonts w:ascii="Simplified Arabic" w:hAnsi="Simplified Arabic" w:hint="cs"/>
          <w:sz w:val="27"/>
          <w:rtl/>
        </w:rPr>
        <w:t>َ</w:t>
      </w:r>
      <w:r w:rsidRPr="00282AC9">
        <w:rPr>
          <w:rFonts w:ascii="Simplified Arabic" w:hAnsi="Simplified Arabic"/>
          <w:sz w:val="27"/>
          <w:rtl/>
        </w:rPr>
        <w:t>ي</w:t>
      </w:r>
      <w:r w:rsidR="00916852" w:rsidRPr="00282AC9">
        <w:rPr>
          <w:rFonts w:ascii="Simplified Arabic" w:hAnsi="Simplified Arabic" w:hint="cs"/>
          <w:sz w:val="27"/>
          <w:rtl/>
        </w:rPr>
        <w:t>ْ</w:t>
      </w:r>
      <w:r w:rsidRPr="00282AC9">
        <w:rPr>
          <w:rFonts w:ascii="Simplified Arabic" w:hAnsi="Simplified Arabic"/>
          <w:sz w:val="27"/>
          <w:rtl/>
        </w:rPr>
        <w:t>ن أساسي</w:t>
      </w:r>
      <w:r w:rsidR="00916852" w:rsidRPr="00282AC9">
        <w:rPr>
          <w:rFonts w:ascii="Simplified Arabic" w:hAnsi="Simplified Arabic" w:hint="cs"/>
          <w:sz w:val="27"/>
          <w:rtl/>
        </w:rPr>
        <w:t>ّ</w:t>
      </w:r>
      <w:r w:rsidRPr="00282AC9">
        <w:rPr>
          <w:rFonts w:ascii="Simplified Arabic" w:hAnsi="Simplified Arabic"/>
          <w:sz w:val="27"/>
          <w:rtl/>
        </w:rPr>
        <w:t>ين في رفض أو قبول الحكم السياسي القائم:</w:t>
      </w:r>
    </w:p>
    <w:p w:rsidR="007359AA" w:rsidRPr="00282AC9" w:rsidRDefault="007359AA" w:rsidP="00D47E7C">
      <w:pPr>
        <w:rPr>
          <w:rFonts w:ascii="Simplified Arabic" w:hAnsi="Simplified Arabic"/>
          <w:sz w:val="27"/>
          <w:rtl/>
        </w:rPr>
      </w:pPr>
      <w:r w:rsidRPr="00282AC9">
        <w:rPr>
          <w:rFonts w:ascii="Simplified Arabic" w:hAnsi="Simplified Arabic"/>
          <w:b/>
          <w:bCs/>
          <w:sz w:val="27"/>
          <w:rtl/>
        </w:rPr>
        <w:t>1ـ المعيار الأو</w:t>
      </w:r>
      <w:r w:rsidR="00916852" w:rsidRPr="00282AC9">
        <w:rPr>
          <w:rFonts w:ascii="Simplified Arabic" w:hAnsi="Simplified Arabic" w:hint="cs"/>
          <w:b/>
          <w:bCs/>
          <w:sz w:val="27"/>
          <w:rtl/>
        </w:rPr>
        <w:t>ّ</w:t>
      </w:r>
      <w:r w:rsidRPr="00282AC9">
        <w:rPr>
          <w:rFonts w:ascii="Simplified Arabic" w:hAnsi="Simplified Arabic"/>
          <w:b/>
          <w:bCs/>
          <w:sz w:val="27"/>
          <w:rtl/>
        </w:rPr>
        <w:t>ل</w:t>
      </w:r>
      <w:r w:rsidRPr="00282AC9">
        <w:rPr>
          <w:rFonts w:ascii="Simplified Arabic" w:hAnsi="Simplified Arabic"/>
          <w:sz w:val="27"/>
          <w:rtl/>
        </w:rPr>
        <w:t>: يتعل</w:t>
      </w:r>
      <w:r w:rsidR="00916852" w:rsidRPr="00282AC9">
        <w:rPr>
          <w:rFonts w:ascii="Simplified Arabic" w:hAnsi="Simplified Arabic" w:hint="cs"/>
          <w:sz w:val="27"/>
          <w:rtl/>
        </w:rPr>
        <w:t>َّ</w:t>
      </w:r>
      <w:r w:rsidRPr="00282AC9">
        <w:rPr>
          <w:rFonts w:ascii="Simplified Arabic" w:hAnsi="Simplified Arabic"/>
          <w:sz w:val="27"/>
          <w:rtl/>
        </w:rPr>
        <w:t>ق بالجانب التثقيفي العقائدي في رفض التعاون مع أي</w:t>
      </w:r>
      <w:r w:rsidR="00916852" w:rsidRPr="00282AC9">
        <w:rPr>
          <w:rFonts w:ascii="Simplified Arabic" w:hAnsi="Simplified Arabic" w:hint="cs"/>
          <w:sz w:val="27"/>
          <w:rtl/>
        </w:rPr>
        <w:t>ّ</w:t>
      </w:r>
      <w:r w:rsidRPr="00282AC9">
        <w:rPr>
          <w:rFonts w:ascii="Simplified Arabic" w:hAnsi="Simplified Arabic"/>
          <w:sz w:val="27"/>
          <w:rtl/>
        </w:rPr>
        <w:t xml:space="preserve"> نظام</w:t>
      </w:r>
      <w:r w:rsidR="00916852" w:rsidRPr="00282AC9">
        <w:rPr>
          <w:rFonts w:ascii="Simplified Arabic" w:hAnsi="Simplified Arabic" w:hint="cs"/>
          <w:sz w:val="27"/>
          <w:rtl/>
        </w:rPr>
        <w:t>ٍ</w:t>
      </w:r>
      <w:r w:rsidRPr="00282AC9">
        <w:rPr>
          <w:rFonts w:ascii="Simplified Arabic" w:hAnsi="Simplified Arabic"/>
          <w:sz w:val="27"/>
          <w:rtl/>
        </w:rPr>
        <w:t xml:space="preserve"> حاكم</w:t>
      </w:r>
      <w:r w:rsidR="00916852" w:rsidRPr="00282AC9">
        <w:rPr>
          <w:rFonts w:ascii="Simplified Arabic" w:hAnsi="Simplified Arabic" w:hint="cs"/>
          <w:sz w:val="27"/>
          <w:rtl/>
        </w:rPr>
        <w:t>ٍ</w:t>
      </w:r>
      <w:r w:rsidRPr="00282AC9">
        <w:rPr>
          <w:rFonts w:ascii="Simplified Arabic" w:hAnsi="Simplified Arabic"/>
          <w:sz w:val="27"/>
          <w:rtl/>
        </w:rPr>
        <w:t xml:space="preserve"> ظالم</w:t>
      </w:r>
      <w:r w:rsidR="00916852" w:rsidRPr="00282AC9">
        <w:rPr>
          <w:rFonts w:ascii="Simplified Arabic" w:hAnsi="Simplified Arabic" w:hint="cs"/>
          <w:sz w:val="27"/>
          <w:rtl/>
        </w:rPr>
        <w:t>ٍ،</w:t>
      </w:r>
      <w:r w:rsidRPr="00282AC9">
        <w:rPr>
          <w:rFonts w:ascii="Simplified Arabic" w:hAnsi="Simplified Arabic"/>
          <w:sz w:val="27"/>
          <w:rtl/>
        </w:rPr>
        <w:t xml:space="preserve"> لا يستمد</w:t>
      </w:r>
      <w:r w:rsidR="00916852" w:rsidRPr="00282AC9">
        <w:rPr>
          <w:rFonts w:ascii="Simplified Arabic" w:hAnsi="Simplified Arabic" w:hint="cs"/>
          <w:sz w:val="27"/>
          <w:rtl/>
        </w:rPr>
        <w:t>ّ</w:t>
      </w:r>
      <w:r w:rsidRPr="00282AC9">
        <w:rPr>
          <w:rFonts w:ascii="Simplified Arabic" w:hAnsi="Simplified Arabic"/>
          <w:sz w:val="27"/>
          <w:rtl/>
        </w:rPr>
        <w:t xml:space="preserve"> شرعي</w:t>
      </w:r>
      <w:r w:rsidR="00916852" w:rsidRPr="00282AC9">
        <w:rPr>
          <w:rFonts w:ascii="Simplified Arabic" w:hAnsi="Simplified Arabic" w:hint="cs"/>
          <w:sz w:val="27"/>
          <w:rtl/>
        </w:rPr>
        <w:t>ّ</w:t>
      </w:r>
      <w:r w:rsidRPr="00282AC9">
        <w:rPr>
          <w:rFonts w:ascii="Simplified Arabic" w:hAnsi="Simplified Arabic"/>
          <w:sz w:val="27"/>
          <w:rtl/>
        </w:rPr>
        <w:t>ته من الإسلام (رفض ولاية الحاكم الجائر بالمطلق).</w:t>
      </w:r>
    </w:p>
    <w:p w:rsidR="007359AA" w:rsidRPr="00282AC9" w:rsidRDefault="007359AA" w:rsidP="00D47E7C">
      <w:pPr>
        <w:rPr>
          <w:rFonts w:ascii="Simplified Arabic" w:hAnsi="Simplified Arabic"/>
          <w:sz w:val="27"/>
          <w:rtl/>
        </w:rPr>
      </w:pPr>
      <w:r w:rsidRPr="00282AC9">
        <w:rPr>
          <w:rFonts w:ascii="Simplified Arabic" w:hAnsi="Simplified Arabic"/>
          <w:b/>
          <w:bCs/>
          <w:sz w:val="27"/>
          <w:rtl/>
        </w:rPr>
        <w:t>2ـ المعيار الثاني</w:t>
      </w:r>
      <w:r w:rsidRPr="00282AC9">
        <w:rPr>
          <w:rFonts w:ascii="Simplified Arabic" w:hAnsi="Simplified Arabic"/>
          <w:sz w:val="27"/>
          <w:rtl/>
        </w:rPr>
        <w:t>: يتعل</w:t>
      </w:r>
      <w:r w:rsidR="00916852" w:rsidRPr="00282AC9">
        <w:rPr>
          <w:rFonts w:ascii="Simplified Arabic" w:hAnsi="Simplified Arabic" w:hint="cs"/>
          <w:sz w:val="27"/>
          <w:rtl/>
        </w:rPr>
        <w:t>َّ</w:t>
      </w:r>
      <w:r w:rsidRPr="00282AC9">
        <w:rPr>
          <w:rFonts w:ascii="Simplified Arabic" w:hAnsi="Simplified Arabic"/>
          <w:sz w:val="27"/>
          <w:rtl/>
        </w:rPr>
        <w:t>ق بالجانب الحركي والواقعي في التعاون مع النظام الحاكم</w:t>
      </w:r>
      <w:r w:rsidR="00916852" w:rsidRPr="00282AC9">
        <w:rPr>
          <w:rFonts w:ascii="Simplified Arabic" w:hAnsi="Simplified Arabic" w:hint="cs"/>
          <w:sz w:val="27"/>
          <w:rtl/>
        </w:rPr>
        <w:t>؛</w:t>
      </w:r>
      <w:r w:rsidRPr="00282AC9">
        <w:rPr>
          <w:rFonts w:ascii="Simplified Arabic" w:hAnsi="Simplified Arabic"/>
          <w:sz w:val="27"/>
          <w:rtl/>
        </w:rPr>
        <w:t xml:space="preserve"> تحقيقاً للمصلحة الإسلامي</w:t>
      </w:r>
      <w:r w:rsidR="00916852" w:rsidRPr="00282AC9">
        <w:rPr>
          <w:rFonts w:ascii="Simplified Arabic" w:hAnsi="Simplified Arabic" w:hint="cs"/>
          <w:sz w:val="27"/>
          <w:rtl/>
        </w:rPr>
        <w:t>ّ</w:t>
      </w:r>
      <w:r w:rsidRPr="00282AC9">
        <w:rPr>
          <w:rFonts w:ascii="Simplified Arabic" w:hAnsi="Simplified Arabic"/>
          <w:sz w:val="27"/>
          <w:rtl/>
        </w:rPr>
        <w:t>ة العليا (القبول المؤق</w:t>
      </w:r>
      <w:r w:rsidR="00916852" w:rsidRPr="00282AC9">
        <w:rPr>
          <w:rFonts w:ascii="Simplified Arabic" w:hAnsi="Simplified Arabic" w:hint="cs"/>
          <w:sz w:val="27"/>
          <w:rtl/>
        </w:rPr>
        <w:t>َّ</w:t>
      </w:r>
      <w:r w:rsidRPr="00282AC9">
        <w:rPr>
          <w:rFonts w:ascii="Simplified Arabic" w:hAnsi="Simplified Arabic"/>
          <w:sz w:val="27"/>
          <w:rtl/>
        </w:rPr>
        <w:t>ت بولاية الجائر).</w:t>
      </w:r>
    </w:p>
    <w:p w:rsidR="007359AA" w:rsidRPr="00282AC9" w:rsidRDefault="007359AA" w:rsidP="00D47E7C">
      <w:pPr>
        <w:rPr>
          <w:rFonts w:ascii="Simplified Arabic" w:hAnsi="Simplified Arabic"/>
          <w:sz w:val="27"/>
          <w:rtl/>
        </w:rPr>
      </w:pPr>
      <w:r w:rsidRPr="00282AC9">
        <w:rPr>
          <w:rFonts w:ascii="Simplified Arabic" w:hAnsi="Simplified Arabic"/>
          <w:sz w:val="27"/>
          <w:rtl/>
        </w:rPr>
        <w:t>فعلى صعيد المعيار الأو</w:t>
      </w:r>
      <w:r w:rsidR="00916852" w:rsidRPr="00282AC9">
        <w:rPr>
          <w:rFonts w:ascii="Simplified Arabic" w:hAnsi="Simplified Arabic" w:hint="cs"/>
          <w:sz w:val="27"/>
          <w:rtl/>
        </w:rPr>
        <w:t>ّ</w:t>
      </w:r>
      <w:r w:rsidRPr="00282AC9">
        <w:rPr>
          <w:rFonts w:ascii="Simplified Arabic" w:hAnsi="Simplified Arabic"/>
          <w:sz w:val="27"/>
          <w:rtl/>
        </w:rPr>
        <w:t>ل ثب</w:t>
      </w:r>
      <w:r w:rsidR="00916852" w:rsidRPr="00282AC9">
        <w:rPr>
          <w:rFonts w:ascii="Simplified Arabic" w:hAnsi="Simplified Arabic" w:hint="cs"/>
          <w:sz w:val="27"/>
          <w:rtl/>
        </w:rPr>
        <w:t>َّ</w:t>
      </w:r>
      <w:r w:rsidRPr="00282AC9">
        <w:rPr>
          <w:rFonts w:ascii="Simplified Arabic" w:hAnsi="Simplified Arabic"/>
          <w:sz w:val="27"/>
          <w:rtl/>
        </w:rPr>
        <w:t>ت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في أذهان أصحابه وشيعته فكرة عدم جواز معاونة الظالمين، ورفض مساعدة السلطان الجائر المنحرف، وعدم الارتباط به وبرموزه</w:t>
      </w:r>
      <w:r w:rsidR="00916852" w:rsidRPr="00282AC9">
        <w:rPr>
          <w:rFonts w:ascii="Simplified Arabic" w:hAnsi="Simplified Arabic" w:hint="cs"/>
          <w:sz w:val="27"/>
          <w:rtl/>
        </w:rPr>
        <w:t>،</w:t>
      </w:r>
      <w:r w:rsidRPr="00282AC9">
        <w:rPr>
          <w:rFonts w:ascii="Simplified Arabic" w:hAnsi="Simplified Arabic"/>
          <w:sz w:val="27"/>
          <w:rtl/>
        </w:rPr>
        <w:t xml:space="preserve"> مهما كانت التحد</w:t>
      </w:r>
      <w:r w:rsidR="00916852" w:rsidRPr="00282AC9">
        <w:rPr>
          <w:rFonts w:ascii="Simplified Arabic" w:hAnsi="Simplified Arabic" w:hint="cs"/>
          <w:sz w:val="27"/>
          <w:rtl/>
        </w:rPr>
        <w:t>ِّ</w:t>
      </w:r>
      <w:r w:rsidRPr="00282AC9">
        <w:rPr>
          <w:rFonts w:ascii="Simplified Arabic" w:hAnsi="Simplified Arabic"/>
          <w:sz w:val="27"/>
          <w:rtl/>
        </w:rPr>
        <w:t>يات</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957"/>
      </w:r>
      <w:r w:rsidRPr="00282AC9">
        <w:rPr>
          <w:rFonts w:ascii="Simplified Arabic" w:hAnsi="Simplified Arabic"/>
          <w:sz w:val="27"/>
          <w:vertAlign w:val="superscript"/>
          <w:rtl/>
        </w:rPr>
        <w:t>)</w:t>
      </w:r>
      <w:r w:rsidRPr="00282AC9">
        <w:rPr>
          <w:rFonts w:ascii="Simplified Arabic" w:hAnsi="Simplified Arabic"/>
          <w:sz w:val="27"/>
          <w:rtl/>
        </w:rPr>
        <w:t>. يقول</w:t>
      </w:r>
      <w:r w:rsidR="009A2A04" w:rsidRPr="00282AC9">
        <w:rPr>
          <w:rFonts w:ascii="Simplified Arabic" w:hAnsi="Simplified Arabic" w:cs="Mosawi"/>
          <w:sz w:val="22"/>
          <w:szCs w:val="22"/>
          <w:rtl/>
        </w:rPr>
        <w:t>×</w:t>
      </w:r>
      <w:r w:rsidRPr="00282AC9">
        <w:rPr>
          <w:rFonts w:ascii="Simplified Arabic" w:hAnsi="Simplified Arabic"/>
          <w:sz w:val="27"/>
          <w:rtl/>
        </w:rPr>
        <w:t xml:space="preserve"> لسليمان الجعفري</w:t>
      </w:r>
      <w:r w:rsidR="00916852" w:rsidRPr="00282AC9">
        <w:rPr>
          <w:rFonts w:ascii="Simplified Arabic" w:hAnsi="Simplified Arabic" w:hint="cs"/>
          <w:sz w:val="27"/>
          <w:rtl/>
        </w:rPr>
        <w:t xml:space="preserve"> ـ</w:t>
      </w:r>
      <w:r w:rsidRPr="00282AC9">
        <w:rPr>
          <w:rFonts w:ascii="Simplified Arabic" w:hAnsi="Simplified Arabic"/>
          <w:sz w:val="27"/>
          <w:rtl/>
        </w:rPr>
        <w:t xml:space="preserve"> وقد سأله عن أعمال السلطان</w:t>
      </w:r>
      <w:r w:rsidR="00916852" w:rsidRPr="00282AC9">
        <w:rPr>
          <w:rFonts w:ascii="Simplified Arabic" w:hAnsi="Simplified Arabic" w:hint="cs"/>
          <w:sz w:val="27"/>
          <w:rtl/>
        </w:rPr>
        <w:t>؟ ـ</w:t>
      </w:r>
      <w:r w:rsidRPr="00282AC9">
        <w:rPr>
          <w:rFonts w:ascii="Simplified Arabic" w:hAnsi="Simplified Arabic"/>
          <w:sz w:val="27"/>
          <w:rtl/>
        </w:rPr>
        <w:t xml:space="preserve">: </w:t>
      </w:r>
      <w:r w:rsidRPr="00282AC9">
        <w:rPr>
          <w:rFonts w:hint="eastAsia"/>
          <w:sz w:val="24"/>
          <w:szCs w:val="24"/>
          <w:rtl/>
        </w:rPr>
        <w:t>«</w:t>
      </w:r>
      <w:r w:rsidRPr="00282AC9">
        <w:rPr>
          <w:rFonts w:ascii="Simplified Arabic" w:hAnsi="Simplified Arabic"/>
          <w:sz w:val="27"/>
          <w:rtl/>
        </w:rPr>
        <w:t>يا سليمان</w:t>
      </w:r>
      <w:r w:rsidR="00916852" w:rsidRPr="00282AC9">
        <w:rPr>
          <w:rFonts w:ascii="Simplified Arabic" w:hAnsi="Simplified Arabic" w:hint="cs"/>
          <w:sz w:val="27"/>
          <w:rtl/>
        </w:rPr>
        <w:t>،</w:t>
      </w:r>
      <w:r w:rsidRPr="00282AC9">
        <w:rPr>
          <w:rFonts w:ascii="Simplified Arabic" w:hAnsi="Simplified Arabic"/>
          <w:sz w:val="27"/>
          <w:rtl/>
        </w:rPr>
        <w:t xml:space="preserve"> الدخول في أعماله، والع</w:t>
      </w:r>
      <w:r w:rsidR="00916852" w:rsidRPr="00282AC9">
        <w:rPr>
          <w:rFonts w:ascii="Simplified Arabic" w:hAnsi="Simplified Arabic" w:hint="cs"/>
          <w:sz w:val="27"/>
          <w:rtl/>
        </w:rPr>
        <w:t>َ</w:t>
      </w:r>
      <w:r w:rsidRPr="00282AC9">
        <w:rPr>
          <w:rFonts w:ascii="Simplified Arabic" w:hAnsi="Simplified Arabic"/>
          <w:sz w:val="27"/>
          <w:rtl/>
        </w:rPr>
        <w:t>و</w:t>
      </w:r>
      <w:r w:rsidR="00916852" w:rsidRPr="00282AC9">
        <w:rPr>
          <w:rFonts w:ascii="Simplified Arabic" w:hAnsi="Simplified Arabic" w:hint="cs"/>
          <w:sz w:val="27"/>
          <w:rtl/>
        </w:rPr>
        <w:t>ْ</w:t>
      </w:r>
      <w:r w:rsidRPr="00282AC9">
        <w:rPr>
          <w:rFonts w:ascii="Simplified Arabic" w:hAnsi="Simplified Arabic"/>
          <w:sz w:val="27"/>
          <w:rtl/>
        </w:rPr>
        <w:t>ن له، والسعي في حوائجه</w:t>
      </w:r>
      <w:r w:rsidR="00916852" w:rsidRPr="00282AC9">
        <w:rPr>
          <w:rFonts w:ascii="Simplified Arabic" w:hAnsi="Simplified Arabic" w:hint="cs"/>
          <w:sz w:val="27"/>
          <w:rtl/>
        </w:rPr>
        <w:t>،</w:t>
      </w:r>
      <w:r w:rsidRPr="00282AC9">
        <w:rPr>
          <w:rFonts w:ascii="Simplified Arabic" w:hAnsi="Simplified Arabic"/>
          <w:sz w:val="27"/>
          <w:rtl/>
        </w:rPr>
        <w:t xml:space="preserve"> عديل</w:t>
      </w:r>
      <w:r w:rsidR="00916852" w:rsidRPr="00282AC9">
        <w:rPr>
          <w:rFonts w:ascii="Simplified Arabic" w:hAnsi="Simplified Arabic" w:hint="cs"/>
          <w:sz w:val="27"/>
          <w:rtl/>
        </w:rPr>
        <w:t>ُ</w:t>
      </w:r>
      <w:r w:rsidRPr="00282AC9">
        <w:rPr>
          <w:rFonts w:ascii="Simplified Arabic" w:hAnsi="Simplified Arabic"/>
          <w:sz w:val="27"/>
          <w:rtl/>
        </w:rPr>
        <w:t xml:space="preserve"> الك</w:t>
      </w:r>
      <w:r w:rsidR="00916852" w:rsidRPr="00282AC9">
        <w:rPr>
          <w:rFonts w:ascii="Simplified Arabic" w:hAnsi="Simplified Arabic" w:hint="cs"/>
          <w:sz w:val="27"/>
          <w:rtl/>
        </w:rPr>
        <w:t>ُ</w:t>
      </w:r>
      <w:r w:rsidRPr="00282AC9">
        <w:rPr>
          <w:rFonts w:ascii="Simplified Arabic" w:hAnsi="Simplified Arabic"/>
          <w:sz w:val="27"/>
          <w:rtl/>
        </w:rPr>
        <w:t>ف</w:t>
      </w:r>
      <w:r w:rsidR="00916852" w:rsidRPr="00282AC9">
        <w:rPr>
          <w:rFonts w:ascii="Simplified Arabic" w:hAnsi="Simplified Arabic" w:hint="cs"/>
          <w:sz w:val="27"/>
          <w:rtl/>
        </w:rPr>
        <w:t>ْ</w:t>
      </w:r>
      <w:r w:rsidRPr="00282AC9">
        <w:rPr>
          <w:rFonts w:ascii="Simplified Arabic" w:hAnsi="Simplified Arabic"/>
          <w:sz w:val="27"/>
          <w:rtl/>
        </w:rPr>
        <w:t>ر</w:t>
      </w:r>
      <w:r w:rsidRPr="00282AC9">
        <w:rPr>
          <w:rFonts w:hint="eastAsia"/>
          <w:sz w:val="24"/>
          <w:szCs w:val="24"/>
          <w:rtl/>
        </w:rPr>
        <w:t>»</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958"/>
      </w:r>
      <w:r w:rsidRPr="00282AC9">
        <w:rPr>
          <w:rFonts w:ascii="Simplified Arabic" w:hAnsi="Simplified Arabic"/>
          <w:sz w:val="27"/>
          <w:vertAlign w:val="superscript"/>
          <w:rtl/>
        </w:rPr>
        <w:t>)</w:t>
      </w:r>
      <w:r w:rsidRPr="00282AC9">
        <w:rPr>
          <w:rFonts w:ascii="Simplified Arabic" w:hAnsi="Simplified Arabic"/>
          <w:sz w:val="27"/>
          <w:rtl/>
        </w:rPr>
        <w:t>.</w:t>
      </w:r>
    </w:p>
    <w:p w:rsidR="007359AA" w:rsidRPr="00282AC9" w:rsidRDefault="007359AA" w:rsidP="00D47E7C">
      <w:pPr>
        <w:rPr>
          <w:rFonts w:ascii="Simplified Arabic" w:hAnsi="Simplified Arabic"/>
          <w:sz w:val="27"/>
          <w:rtl/>
        </w:rPr>
      </w:pPr>
      <w:r w:rsidRPr="00282AC9">
        <w:rPr>
          <w:rFonts w:ascii="Simplified Arabic" w:hAnsi="Simplified Arabic"/>
          <w:sz w:val="27"/>
          <w:rtl/>
        </w:rPr>
        <w:t>ويقول</w:t>
      </w:r>
      <w:r w:rsidR="009A2A04" w:rsidRPr="00282AC9">
        <w:rPr>
          <w:rFonts w:ascii="Simplified Arabic" w:hAnsi="Simplified Arabic" w:cs="Mosawi"/>
          <w:sz w:val="22"/>
          <w:szCs w:val="22"/>
          <w:rtl/>
        </w:rPr>
        <w:t>×</w:t>
      </w:r>
      <w:r w:rsidRPr="00282AC9">
        <w:rPr>
          <w:rFonts w:ascii="Simplified Arabic" w:hAnsi="Simplified Arabic"/>
          <w:sz w:val="27"/>
          <w:rtl/>
        </w:rPr>
        <w:t xml:space="preserve"> لأحد أصحابه: </w:t>
      </w:r>
      <w:r w:rsidRPr="00282AC9">
        <w:rPr>
          <w:rFonts w:hint="eastAsia"/>
          <w:sz w:val="24"/>
          <w:szCs w:val="24"/>
          <w:rtl/>
        </w:rPr>
        <w:t>«</w:t>
      </w:r>
      <w:r w:rsidRPr="00282AC9">
        <w:rPr>
          <w:rFonts w:ascii="Simplified Arabic" w:hAnsi="Simplified Arabic"/>
          <w:sz w:val="27"/>
          <w:rtl/>
        </w:rPr>
        <w:t>يا زياد</w:t>
      </w:r>
      <w:r w:rsidR="00916852" w:rsidRPr="00282AC9">
        <w:rPr>
          <w:rFonts w:ascii="Simplified Arabic" w:hAnsi="Simplified Arabic" w:hint="cs"/>
          <w:sz w:val="27"/>
          <w:rtl/>
        </w:rPr>
        <w:t>،</w:t>
      </w:r>
      <w:r w:rsidRPr="00282AC9">
        <w:rPr>
          <w:rFonts w:ascii="Simplified Arabic" w:hAnsi="Simplified Arabic"/>
          <w:sz w:val="27"/>
          <w:rtl/>
        </w:rPr>
        <w:t xml:space="preserve"> ل</w:t>
      </w:r>
      <w:r w:rsidR="00916852" w:rsidRPr="00282AC9">
        <w:rPr>
          <w:rFonts w:ascii="Simplified Arabic" w:hAnsi="Simplified Arabic" w:hint="cs"/>
          <w:sz w:val="27"/>
          <w:rtl/>
        </w:rPr>
        <w:t>ئ</w:t>
      </w:r>
      <w:r w:rsidRPr="00282AC9">
        <w:rPr>
          <w:rFonts w:ascii="Simplified Arabic" w:hAnsi="Simplified Arabic"/>
          <w:sz w:val="27"/>
          <w:rtl/>
        </w:rPr>
        <w:t>ن أسقط من حالق</w:t>
      </w:r>
      <w:r w:rsidR="00916852" w:rsidRPr="00282AC9">
        <w:rPr>
          <w:rFonts w:ascii="Simplified Arabic" w:hAnsi="Simplified Arabic" w:hint="cs"/>
          <w:sz w:val="27"/>
          <w:rtl/>
        </w:rPr>
        <w:t>ٍ</w:t>
      </w:r>
      <w:r w:rsidRPr="00282AC9">
        <w:rPr>
          <w:rFonts w:ascii="Simplified Arabic" w:hAnsi="Simplified Arabic"/>
          <w:sz w:val="27"/>
          <w:rtl/>
        </w:rPr>
        <w:t xml:space="preserve"> فأتقط</w:t>
      </w:r>
      <w:r w:rsidR="00916852" w:rsidRPr="00282AC9">
        <w:rPr>
          <w:rFonts w:ascii="Simplified Arabic" w:hAnsi="Simplified Arabic" w:hint="cs"/>
          <w:sz w:val="27"/>
          <w:rtl/>
        </w:rPr>
        <w:t>َّ</w:t>
      </w:r>
      <w:r w:rsidRPr="00282AC9">
        <w:rPr>
          <w:rFonts w:ascii="Simplified Arabic" w:hAnsi="Simplified Arabic"/>
          <w:sz w:val="27"/>
          <w:rtl/>
        </w:rPr>
        <w:t>ع قطعة</w:t>
      </w:r>
      <w:r w:rsidR="00916852" w:rsidRPr="00282AC9">
        <w:rPr>
          <w:rFonts w:ascii="Simplified Arabic" w:hAnsi="Simplified Arabic" w:hint="cs"/>
          <w:sz w:val="27"/>
          <w:rtl/>
        </w:rPr>
        <w:t>ً</w:t>
      </w:r>
      <w:r w:rsidRPr="00282AC9">
        <w:rPr>
          <w:rFonts w:ascii="Simplified Arabic" w:hAnsi="Simplified Arabic"/>
          <w:sz w:val="27"/>
          <w:rtl/>
        </w:rPr>
        <w:t xml:space="preserve"> قطعة</w:t>
      </w:r>
      <w:r w:rsidR="00916852" w:rsidRPr="00282AC9">
        <w:rPr>
          <w:rFonts w:ascii="Simplified Arabic" w:hAnsi="Simplified Arabic" w:hint="cs"/>
          <w:sz w:val="27"/>
          <w:rtl/>
        </w:rPr>
        <w:t>ً</w:t>
      </w:r>
      <w:r w:rsidRPr="00282AC9">
        <w:rPr>
          <w:rFonts w:ascii="Simplified Arabic" w:hAnsi="Simplified Arabic"/>
          <w:sz w:val="27"/>
          <w:rtl/>
        </w:rPr>
        <w:t xml:space="preserve"> أحب</w:t>
      </w:r>
      <w:r w:rsidR="00916852" w:rsidRPr="00282AC9">
        <w:rPr>
          <w:rFonts w:ascii="Simplified Arabic" w:hAnsi="Simplified Arabic" w:hint="cs"/>
          <w:sz w:val="27"/>
          <w:rtl/>
        </w:rPr>
        <w:t>ّ</w:t>
      </w:r>
      <w:r w:rsidRPr="00282AC9">
        <w:rPr>
          <w:rFonts w:ascii="Simplified Arabic" w:hAnsi="Simplified Arabic"/>
          <w:sz w:val="27"/>
          <w:rtl/>
        </w:rPr>
        <w:t xml:space="preserve"> </w:t>
      </w:r>
      <w:r w:rsidR="00916852" w:rsidRPr="00282AC9">
        <w:rPr>
          <w:rFonts w:ascii="Simplified Arabic" w:hAnsi="Simplified Arabic" w:hint="cs"/>
          <w:sz w:val="27"/>
          <w:rtl/>
        </w:rPr>
        <w:t>إ</w:t>
      </w:r>
      <w:r w:rsidRPr="00282AC9">
        <w:rPr>
          <w:rFonts w:ascii="Simplified Arabic" w:hAnsi="Simplified Arabic"/>
          <w:sz w:val="27"/>
          <w:rtl/>
        </w:rPr>
        <w:t>لي</w:t>
      </w:r>
      <w:r w:rsidR="00916852" w:rsidRPr="00282AC9">
        <w:rPr>
          <w:rFonts w:ascii="Simplified Arabic" w:hAnsi="Simplified Arabic" w:hint="cs"/>
          <w:sz w:val="27"/>
          <w:rtl/>
        </w:rPr>
        <w:t>َّ</w:t>
      </w:r>
      <w:r w:rsidRPr="00282AC9">
        <w:rPr>
          <w:rFonts w:ascii="Simplified Arabic" w:hAnsi="Simplified Arabic"/>
          <w:sz w:val="27"/>
          <w:rtl/>
        </w:rPr>
        <w:t xml:space="preserve"> من أن أقد</w:t>
      </w:r>
      <w:r w:rsidR="00916852" w:rsidRPr="00282AC9">
        <w:rPr>
          <w:rFonts w:ascii="Simplified Arabic" w:hAnsi="Simplified Arabic" w:hint="cs"/>
          <w:sz w:val="27"/>
          <w:rtl/>
        </w:rPr>
        <w:t>ِّ</w:t>
      </w:r>
      <w:r w:rsidRPr="00282AC9">
        <w:rPr>
          <w:rFonts w:ascii="Simplified Arabic" w:hAnsi="Simplified Arabic"/>
          <w:sz w:val="27"/>
          <w:rtl/>
        </w:rPr>
        <w:t>م لأحد</w:t>
      </w:r>
      <w:r w:rsidR="00916852" w:rsidRPr="00282AC9">
        <w:rPr>
          <w:rFonts w:ascii="Simplified Arabic" w:hAnsi="Simplified Arabic" w:hint="cs"/>
          <w:sz w:val="27"/>
          <w:rtl/>
        </w:rPr>
        <w:t>ٍ</w:t>
      </w:r>
      <w:r w:rsidRPr="00282AC9">
        <w:rPr>
          <w:rFonts w:ascii="Simplified Arabic" w:hAnsi="Simplified Arabic"/>
          <w:sz w:val="27"/>
          <w:rtl/>
        </w:rPr>
        <w:t xml:space="preserve"> منهم عملاً، أو أطأ بساط</w:t>
      </w:r>
      <w:r w:rsidR="00916852" w:rsidRPr="00282AC9">
        <w:rPr>
          <w:rFonts w:ascii="Simplified Arabic" w:hAnsi="Simplified Arabic" w:hint="cs"/>
          <w:sz w:val="27"/>
          <w:rtl/>
        </w:rPr>
        <w:t>َ</w:t>
      </w:r>
      <w:r w:rsidRPr="00282AC9">
        <w:rPr>
          <w:rFonts w:ascii="Simplified Arabic" w:hAnsi="Simplified Arabic"/>
          <w:sz w:val="27"/>
          <w:rtl/>
        </w:rPr>
        <w:t xml:space="preserve"> رجل</w:t>
      </w:r>
      <w:r w:rsidR="00916852" w:rsidRPr="00282AC9">
        <w:rPr>
          <w:rFonts w:ascii="Simplified Arabic" w:hAnsi="Simplified Arabic" w:hint="cs"/>
          <w:sz w:val="27"/>
          <w:rtl/>
        </w:rPr>
        <w:t>ٍ</w:t>
      </w:r>
      <w:r w:rsidRPr="00282AC9">
        <w:rPr>
          <w:rFonts w:ascii="Simplified Arabic" w:hAnsi="Simplified Arabic"/>
          <w:sz w:val="27"/>
          <w:rtl/>
        </w:rPr>
        <w:t xml:space="preserve"> منهم</w:t>
      </w:r>
      <w:r w:rsidRPr="00282AC9">
        <w:rPr>
          <w:rFonts w:hint="eastAsia"/>
          <w:sz w:val="24"/>
          <w:szCs w:val="24"/>
          <w:rtl/>
        </w:rPr>
        <w:t>»</w:t>
      </w:r>
      <w:r w:rsidRPr="00282AC9">
        <w:rPr>
          <w:rFonts w:ascii="Simplified Arabic" w:hAnsi="Simplified Arabic"/>
          <w:sz w:val="27"/>
          <w:vertAlign w:val="superscript"/>
          <w:rtl/>
        </w:rPr>
        <w:t>(</w:t>
      </w:r>
      <w:r w:rsidRPr="00282AC9">
        <w:rPr>
          <w:rFonts w:ascii="Simplified Arabic" w:hAnsi="Simplified Arabic"/>
          <w:sz w:val="27"/>
          <w:vertAlign w:val="superscript"/>
          <w:rtl/>
        </w:rPr>
        <w:endnoteReference w:id="959"/>
      </w:r>
      <w:r w:rsidRPr="00282AC9">
        <w:rPr>
          <w:rFonts w:ascii="Simplified Arabic" w:hAnsi="Simplified Arabic"/>
          <w:sz w:val="27"/>
          <w:vertAlign w:val="superscript"/>
          <w:rtl/>
        </w:rPr>
        <w:t>)</w:t>
      </w:r>
      <w:r w:rsidRPr="00282AC9">
        <w:rPr>
          <w:rFonts w:ascii="Simplified Arabic" w:hAnsi="Simplified Arabic"/>
          <w:sz w:val="27"/>
          <w:rtl/>
        </w:rPr>
        <w:t>.</w:t>
      </w:r>
    </w:p>
    <w:p w:rsidR="007359AA" w:rsidRPr="00282AC9" w:rsidRDefault="007359AA" w:rsidP="00D47E7C">
      <w:pPr>
        <w:rPr>
          <w:rFonts w:ascii="Simplified Arabic" w:hAnsi="Simplified Arabic"/>
          <w:sz w:val="27"/>
          <w:rtl/>
        </w:rPr>
      </w:pPr>
      <w:r w:rsidRPr="00282AC9">
        <w:rPr>
          <w:rFonts w:ascii="Simplified Arabic" w:hAnsi="Simplified Arabic"/>
          <w:sz w:val="27"/>
          <w:rtl/>
        </w:rPr>
        <w:t>وي</w:t>
      </w:r>
      <w:r w:rsidR="00916852" w:rsidRPr="00282AC9">
        <w:rPr>
          <w:rFonts w:ascii="Simplified Arabic" w:hAnsi="Simplified Arabic" w:hint="cs"/>
          <w:sz w:val="27"/>
          <w:rtl/>
        </w:rPr>
        <w:t>روي</w:t>
      </w:r>
      <w:r w:rsidR="009A2A04" w:rsidRPr="00282AC9">
        <w:rPr>
          <w:rFonts w:ascii="Simplified Arabic" w:hAnsi="Simplified Arabic" w:cs="Mosawi"/>
          <w:sz w:val="22"/>
          <w:szCs w:val="22"/>
          <w:rtl/>
        </w:rPr>
        <w:t>×</w:t>
      </w:r>
      <w:r w:rsidR="00916852" w:rsidRPr="00282AC9">
        <w:rPr>
          <w:rFonts w:ascii="Simplified Arabic" w:hAnsi="Simplified Arabic" w:hint="cs"/>
          <w:sz w:val="27"/>
          <w:rtl/>
        </w:rPr>
        <w:t>،</w:t>
      </w:r>
      <w:r w:rsidRPr="00282AC9">
        <w:rPr>
          <w:rFonts w:ascii="Simplified Arabic" w:hAnsi="Simplified Arabic"/>
          <w:sz w:val="27"/>
          <w:rtl/>
        </w:rPr>
        <w:t xml:space="preserve"> عن آبائه</w:t>
      </w:r>
      <w:r w:rsidR="00916852" w:rsidRPr="00282AC9">
        <w:rPr>
          <w:rFonts w:ascii="Simplified Arabic" w:hAnsi="Simplified Arabic" w:hint="cs"/>
          <w:sz w:val="27"/>
          <w:rtl/>
        </w:rPr>
        <w:t>،</w:t>
      </w:r>
      <w:r w:rsidRPr="00282AC9">
        <w:rPr>
          <w:rFonts w:ascii="Simplified Arabic" w:hAnsi="Simplified Arabic"/>
          <w:sz w:val="27"/>
          <w:rtl/>
        </w:rPr>
        <w:t xml:space="preserve"> عن رسول الله</w:t>
      </w:r>
      <w:r w:rsidR="009A2A04" w:rsidRPr="00282AC9">
        <w:rPr>
          <w:rFonts w:ascii="Simplified Arabic" w:hAnsi="Simplified Arabic" w:cs="Mosawi"/>
          <w:sz w:val="22"/>
          <w:szCs w:val="22"/>
          <w:rtl/>
        </w:rPr>
        <w:t>|</w:t>
      </w:r>
      <w:r w:rsidRPr="00282AC9">
        <w:rPr>
          <w:rFonts w:ascii="Simplified Arabic" w:hAnsi="Simplified Arabic"/>
          <w:sz w:val="27"/>
          <w:rtl/>
        </w:rPr>
        <w:t xml:space="preserve">: </w:t>
      </w:r>
      <w:r w:rsidRPr="00282AC9">
        <w:rPr>
          <w:rFonts w:hint="eastAsia"/>
          <w:sz w:val="24"/>
          <w:szCs w:val="24"/>
          <w:rtl/>
        </w:rPr>
        <w:t>«</w:t>
      </w:r>
      <w:r w:rsidRPr="00282AC9">
        <w:rPr>
          <w:rFonts w:ascii="Simplified Arabic" w:hAnsi="Simplified Arabic"/>
          <w:sz w:val="27"/>
          <w:rtl/>
        </w:rPr>
        <w:t>م</w:t>
      </w:r>
      <w:r w:rsidR="00916852" w:rsidRPr="00282AC9">
        <w:rPr>
          <w:rFonts w:ascii="Simplified Arabic" w:hAnsi="Simplified Arabic" w:hint="cs"/>
          <w:sz w:val="27"/>
          <w:rtl/>
        </w:rPr>
        <w:t>َ</w:t>
      </w:r>
      <w:r w:rsidRPr="00282AC9">
        <w:rPr>
          <w:rFonts w:ascii="Simplified Arabic" w:hAnsi="Simplified Arabic"/>
          <w:sz w:val="27"/>
          <w:rtl/>
        </w:rPr>
        <w:t>ن</w:t>
      </w:r>
      <w:r w:rsidR="00916852" w:rsidRPr="00282AC9">
        <w:rPr>
          <w:rFonts w:ascii="Simplified Arabic" w:hAnsi="Simplified Arabic" w:hint="cs"/>
          <w:sz w:val="27"/>
          <w:rtl/>
        </w:rPr>
        <w:t>ْ</w:t>
      </w:r>
      <w:r w:rsidRPr="00282AC9">
        <w:rPr>
          <w:rFonts w:ascii="Simplified Arabic" w:hAnsi="Simplified Arabic"/>
          <w:sz w:val="27"/>
          <w:rtl/>
        </w:rPr>
        <w:t xml:space="preserve"> أرضى سلطاناً بما يسخط الله خرج من دين الله عز</w:t>
      </w:r>
      <w:r w:rsidR="00916852" w:rsidRPr="00282AC9">
        <w:rPr>
          <w:rFonts w:ascii="Simplified Arabic" w:hAnsi="Simplified Arabic" w:hint="cs"/>
          <w:sz w:val="27"/>
          <w:rtl/>
        </w:rPr>
        <w:t>َّ</w:t>
      </w:r>
      <w:r w:rsidRPr="00282AC9">
        <w:rPr>
          <w:rFonts w:ascii="Simplified Arabic" w:hAnsi="Simplified Arabic"/>
          <w:sz w:val="27"/>
          <w:rtl/>
        </w:rPr>
        <w:t xml:space="preserve"> وجلّ</w:t>
      </w:r>
      <w:r w:rsidR="00916852" w:rsidRPr="00282AC9">
        <w:rPr>
          <w:rFonts w:ascii="Simplified Arabic" w:hAnsi="Simplified Arabic" w:hint="cs"/>
          <w:sz w:val="27"/>
          <w:rtl/>
        </w:rPr>
        <w:t>َ</w:t>
      </w:r>
      <w:r w:rsidRPr="00282AC9">
        <w:rPr>
          <w:rFonts w:hint="eastAsia"/>
          <w:sz w:val="24"/>
          <w:szCs w:val="24"/>
          <w:rtl/>
        </w:rPr>
        <w:t>»</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60"/>
      </w:r>
      <w:r w:rsidRPr="00282AC9">
        <w:rPr>
          <w:rFonts w:ascii="Simplified Arabic" w:hAnsi="Simplified Arabic"/>
          <w:sz w:val="27"/>
          <w:vertAlign w:val="superscript"/>
          <w:rtl/>
        </w:rPr>
        <w:t>)</w:t>
      </w:r>
      <w:r w:rsidRPr="00282AC9">
        <w:rPr>
          <w:rFonts w:ascii="Simplified Arabic" w:hAnsi="Simplified Arabic"/>
          <w:sz w:val="27"/>
          <w:rtl/>
        </w:rPr>
        <w:t>.</w:t>
      </w:r>
    </w:p>
    <w:p w:rsidR="007359AA" w:rsidRPr="00282AC9" w:rsidRDefault="007359AA" w:rsidP="00D47E7C">
      <w:pPr>
        <w:rPr>
          <w:rFonts w:ascii="Simplified Arabic" w:hAnsi="Simplified Arabic"/>
          <w:sz w:val="27"/>
          <w:rtl/>
        </w:rPr>
      </w:pPr>
      <w:r w:rsidRPr="00282AC9">
        <w:rPr>
          <w:rFonts w:ascii="Simplified Arabic" w:hAnsi="Simplified Arabic"/>
          <w:sz w:val="27"/>
          <w:rtl/>
        </w:rPr>
        <w:t>ويتأك</w:t>
      </w:r>
      <w:r w:rsidR="00916852" w:rsidRPr="00282AC9">
        <w:rPr>
          <w:rFonts w:ascii="Simplified Arabic" w:hAnsi="Simplified Arabic" w:hint="cs"/>
          <w:sz w:val="27"/>
          <w:rtl/>
        </w:rPr>
        <w:t>َّ</w:t>
      </w:r>
      <w:r w:rsidRPr="00282AC9">
        <w:rPr>
          <w:rFonts w:ascii="Simplified Arabic" w:hAnsi="Simplified Arabic"/>
          <w:sz w:val="27"/>
          <w:rtl/>
        </w:rPr>
        <w:t>د هذا الموقف المبدئي</w:t>
      </w:r>
      <w:r w:rsidR="00916852" w:rsidRPr="00282AC9">
        <w:rPr>
          <w:rFonts w:ascii="Simplified Arabic" w:hAnsi="Simplified Arabic" w:hint="cs"/>
          <w:sz w:val="27"/>
          <w:rtl/>
        </w:rPr>
        <w:t>ّ</w:t>
      </w:r>
      <w:r w:rsidRPr="00282AC9">
        <w:rPr>
          <w:rFonts w:ascii="Simplified Arabic" w:hAnsi="Simplified Arabic"/>
          <w:sz w:val="27"/>
          <w:rtl/>
        </w:rPr>
        <w:t xml:space="preserve"> الصحيح أكثر فأكثر من خلال استعراضنا لموقف ورأي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من انتفاضات وثورات العلوي</w:t>
      </w:r>
      <w:r w:rsidR="00916852" w:rsidRPr="00282AC9">
        <w:rPr>
          <w:rFonts w:ascii="Simplified Arabic" w:hAnsi="Simplified Arabic" w:hint="cs"/>
          <w:sz w:val="27"/>
          <w:rtl/>
        </w:rPr>
        <w:t>ّ</w:t>
      </w:r>
      <w:r w:rsidRPr="00282AC9">
        <w:rPr>
          <w:rFonts w:ascii="Simplified Arabic" w:hAnsi="Simplified Arabic"/>
          <w:sz w:val="27"/>
          <w:rtl/>
        </w:rPr>
        <w:t>ين ضد</w:t>
      </w:r>
      <w:r w:rsidR="00916852" w:rsidRPr="00282AC9">
        <w:rPr>
          <w:rFonts w:ascii="Simplified Arabic" w:hAnsi="Simplified Arabic" w:hint="cs"/>
          <w:sz w:val="27"/>
          <w:rtl/>
        </w:rPr>
        <w:t>ّ</w:t>
      </w:r>
      <w:r w:rsidRPr="00282AC9">
        <w:rPr>
          <w:rFonts w:ascii="Simplified Arabic" w:hAnsi="Simplified Arabic"/>
          <w:sz w:val="27"/>
          <w:rtl/>
        </w:rPr>
        <w:t xml:space="preserve"> الحكم السياسي الظالم</w:t>
      </w:r>
      <w:r w:rsidR="00916852" w:rsidRPr="00282AC9">
        <w:rPr>
          <w:rFonts w:ascii="Simplified Arabic" w:hAnsi="Simplified Arabic" w:hint="cs"/>
          <w:sz w:val="27"/>
          <w:rtl/>
        </w:rPr>
        <w:t>؛</w:t>
      </w:r>
      <w:r w:rsidRPr="00282AC9">
        <w:rPr>
          <w:rFonts w:ascii="Simplified Arabic" w:hAnsi="Simplified Arabic"/>
          <w:sz w:val="27"/>
          <w:rtl/>
        </w:rPr>
        <w:t xml:space="preserve"> حيث لم ينظر</w:t>
      </w:r>
      <w:r w:rsidR="009A2A04" w:rsidRPr="00282AC9">
        <w:rPr>
          <w:rFonts w:ascii="Simplified Arabic" w:hAnsi="Simplified Arabic" w:cs="Mosawi"/>
          <w:sz w:val="22"/>
          <w:szCs w:val="22"/>
          <w:rtl/>
        </w:rPr>
        <w:t>×</w:t>
      </w:r>
      <w:r w:rsidRPr="00282AC9">
        <w:rPr>
          <w:rFonts w:ascii="Simplified Arabic" w:hAnsi="Simplified Arabic"/>
          <w:sz w:val="27"/>
          <w:rtl/>
        </w:rPr>
        <w:t xml:space="preserve"> نظرة</w:t>
      </w:r>
      <w:r w:rsidR="00916852" w:rsidRPr="00282AC9">
        <w:rPr>
          <w:rFonts w:ascii="Simplified Arabic" w:hAnsi="Simplified Arabic" w:hint="cs"/>
          <w:sz w:val="27"/>
          <w:rtl/>
        </w:rPr>
        <w:t>ً</w:t>
      </w:r>
      <w:r w:rsidRPr="00282AC9">
        <w:rPr>
          <w:rFonts w:ascii="Simplified Arabic" w:hAnsi="Simplified Arabic"/>
          <w:sz w:val="27"/>
          <w:rtl/>
        </w:rPr>
        <w:t xml:space="preserve"> سلبي</w:t>
      </w:r>
      <w:r w:rsidR="00916852" w:rsidRPr="00282AC9">
        <w:rPr>
          <w:rFonts w:ascii="Simplified Arabic" w:hAnsi="Simplified Arabic" w:hint="cs"/>
          <w:sz w:val="27"/>
          <w:rtl/>
        </w:rPr>
        <w:t>ّ</w:t>
      </w:r>
      <w:r w:rsidRPr="00282AC9">
        <w:rPr>
          <w:rFonts w:ascii="Simplified Arabic" w:hAnsi="Simplified Arabic"/>
          <w:sz w:val="27"/>
          <w:rtl/>
        </w:rPr>
        <w:t>ة إلى تلك التحر</w:t>
      </w:r>
      <w:r w:rsidR="00916852" w:rsidRPr="00282AC9">
        <w:rPr>
          <w:rFonts w:ascii="Simplified Arabic" w:hAnsi="Simplified Arabic" w:hint="cs"/>
          <w:sz w:val="27"/>
          <w:rtl/>
        </w:rPr>
        <w:t>ُّ</w:t>
      </w:r>
      <w:r w:rsidRPr="00282AC9">
        <w:rPr>
          <w:rFonts w:ascii="Simplified Arabic" w:hAnsi="Simplified Arabic"/>
          <w:sz w:val="27"/>
          <w:rtl/>
        </w:rPr>
        <w:t>كات الثورية من حيث طبيعة المبدأ الثوري</w:t>
      </w:r>
      <w:r w:rsidR="00916852" w:rsidRPr="00282AC9">
        <w:rPr>
          <w:rFonts w:ascii="Simplified Arabic" w:hAnsi="Simplified Arabic" w:hint="cs"/>
          <w:sz w:val="27"/>
          <w:rtl/>
        </w:rPr>
        <w:t>ّ</w:t>
      </w:r>
      <w:r w:rsidRPr="00282AC9">
        <w:rPr>
          <w:rFonts w:ascii="Simplified Arabic" w:hAnsi="Simplified Arabic"/>
          <w:sz w:val="27"/>
          <w:rtl/>
        </w:rPr>
        <w:t xml:space="preserve"> ذاته، وما يختزنه في داخله من مناهضة للظلم</w:t>
      </w:r>
      <w:r w:rsidR="00916852" w:rsidRPr="00282AC9">
        <w:rPr>
          <w:rFonts w:ascii="Simplified Arabic" w:hAnsi="Simplified Arabic" w:hint="cs"/>
          <w:sz w:val="27"/>
          <w:rtl/>
        </w:rPr>
        <w:t>،</w:t>
      </w:r>
      <w:r w:rsidRPr="00282AC9">
        <w:rPr>
          <w:rFonts w:ascii="Simplified Arabic" w:hAnsi="Simplified Arabic"/>
          <w:sz w:val="27"/>
          <w:rtl/>
        </w:rPr>
        <w:t xml:space="preserve"> ورفض العدوان والطغيان والج</w:t>
      </w:r>
      <w:r w:rsidR="001E1F66" w:rsidRPr="00282AC9">
        <w:rPr>
          <w:rFonts w:ascii="Simplified Arabic" w:hAnsi="Simplified Arabic" w:hint="cs"/>
          <w:sz w:val="27"/>
          <w:rtl/>
        </w:rPr>
        <w:t>َ</w:t>
      </w:r>
      <w:r w:rsidRPr="00282AC9">
        <w:rPr>
          <w:rFonts w:ascii="Simplified Arabic" w:hAnsi="Simplified Arabic"/>
          <w:sz w:val="27"/>
          <w:rtl/>
        </w:rPr>
        <w:t>و</w:t>
      </w:r>
      <w:r w:rsidR="001E1F66" w:rsidRPr="00282AC9">
        <w:rPr>
          <w:rFonts w:ascii="Simplified Arabic" w:hAnsi="Simplified Arabic" w:hint="cs"/>
          <w:sz w:val="27"/>
          <w:rtl/>
        </w:rPr>
        <w:t>ْ</w:t>
      </w:r>
      <w:r w:rsidRPr="00282AC9">
        <w:rPr>
          <w:rFonts w:ascii="Simplified Arabic" w:hAnsi="Simplified Arabic"/>
          <w:sz w:val="27"/>
          <w:rtl/>
        </w:rPr>
        <w:t>ر والباطل، بل كان</w:t>
      </w:r>
      <w:r w:rsidR="009A2A04" w:rsidRPr="00282AC9">
        <w:rPr>
          <w:rFonts w:ascii="Simplified Arabic" w:hAnsi="Simplified Arabic" w:cs="Mosawi"/>
          <w:sz w:val="22"/>
          <w:szCs w:val="22"/>
          <w:rtl/>
        </w:rPr>
        <w:t>×</w:t>
      </w:r>
      <w:r w:rsidRPr="00282AC9">
        <w:rPr>
          <w:rFonts w:ascii="Simplified Arabic" w:hAnsi="Simplified Arabic"/>
          <w:sz w:val="27"/>
          <w:rtl/>
        </w:rPr>
        <w:t xml:space="preserve"> ـ كغيره من أئم</w:t>
      </w:r>
      <w:r w:rsidR="001E1F66" w:rsidRPr="00282AC9">
        <w:rPr>
          <w:rFonts w:ascii="Simplified Arabic" w:hAnsi="Simplified Arabic" w:hint="cs"/>
          <w:sz w:val="27"/>
          <w:rtl/>
        </w:rPr>
        <w:t>ّ</w:t>
      </w:r>
      <w:r w:rsidRPr="00282AC9">
        <w:rPr>
          <w:rFonts w:ascii="Simplified Arabic" w:hAnsi="Simplified Arabic"/>
          <w:sz w:val="27"/>
          <w:rtl/>
        </w:rPr>
        <w:t>ة أهل البيت</w:t>
      </w:r>
      <w:r w:rsidR="00876ECA" w:rsidRPr="00282AC9">
        <w:rPr>
          <w:rFonts w:cs="Mosawi" w:hint="cs"/>
          <w:sz w:val="22"/>
          <w:szCs w:val="22"/>
          <w:rtl/>
        </w:rPr>
        <w:t>^</w:t>
      </w:r>
      <w:r w:rsidRPr="00282AC9">
        <w:rPr>
          <w:rFonts w:ascii="Simplified Arabic" w:hAnsi="Simplified Arabic"/>
          <w:sz w:val="27"/>
          <w:rtl/>
        </w:rPr>
        <w:t xml:space="preserve"> ـ يبارك كل</w:t>
      </w:r>
      <w:r w:rsidR="001E1F66" w:rsidRPr="00282AC9">
        <w:rPr>
          <w:rFonts w:ascii="Simplified Arabic" w:hAnsi="Simplified Arabic" w:hint="cs"/>
          <w:sz w:val="27"/>
          <w:rtl/>
        </w:rPr>
        <w:t>ّ</w:t>
      </w:r>
      <w:r w:rsidRPr="00282AC9">
        <w:rPr>
          <w:rFonts w:ascii="Simplified Arabic" w:hAnsi="Simplified Arabic"/>
          <w:sz w:val="27"/>
          <w:rtl/>
        </w:rPr>
        <w:t xml:space="preserve"> ثائر</w:t>
      </w:r>
      <w:r w:rsidR="001E1F66" w:rsidRPr="00282AC9">
        <w:rPr>
          <w:rFonts w:ascii="Simplified Arabic" w:hAnsi="Simplified Arabic" w:hint="cs"/>
          <w:sz w:val="27"/>
          <w:rtl/>
        </w:rPr>
        <w:t>ٍ</w:t>
      </w:r>
      <w:r w:rsidRPr="00282AC9">
        <w:rPr>
          <w:rFonts w:ascii="Simplified Arabic" w:hAnsi="Simplified Arabic"/>
          <w:sz w:val="27"/>
          <w:rtl/>
        </w:rPr>
        <w:t xml:space="preserve"> على الظلم والظالمين (حت</w:t>
      </w:r>
      <w:r w:rsidR="001E1F66" w:rsidRPr="00282AC9">
        <w:rPr>
          <w:rFonts w:ascii="Simplified Arabic" w:hAnsi="Simplified Arabic" w:hint="cs"/>
          <w:sz w:val="27"/>
          <w:rtl/>
        </w:rPr>
        <w:t>ّ</w:t>
      </w:r>
      <w:r w:rsidRPr="00282AC9">
        <w:rPr>
          <w:rFonts w:ascii="Simplified Arabic" w:hAnsi="Simplified Arabic"/>
          <w:sz w:val="27"/>
          <w:rtl/>
        </w:rPr>
        <w:t>ى ولو لم ينجح عسكرياً) إذا كانت ثورته ـ طبعاً ـ ضمن الحدود المشروعة لصالح الأم</w:t>
      </w:r>
      <w:r w:rsidR="001E1F66" w:rsidRPr="00282AC9">
        <w:rPr>
          <w:rFonts w:ascii="Simplified Arabic" w:hAnsi="Simplified Arabic" w:hint="cs"/>
          <w:sz w:val="27"/>
          <w:rtl/>
        </w:rPr>
        <w:t>ّ</w:t>
      </w:r>
      <w:r w:rsidRPr="00282AC9">
        <w:rPr>
          <w:rFonts w:ascii="Simplified Arabic" w:hAnsi="Simplified Arabic"/>
          <w:sz w:val="27"/>
          <w:rtl/>
        </w:rPr>
        <w:t>ة</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61"/>
      </w:r>
      <w:r w:rsidRPr="00282AC9">
        <w:rPr>
          <w:rFonts w:ascii="Simplified Arabic" w:hAnsi="Simplified Arabic"/>
          <w:sz w:val="27"/>
          <w:vertAlign w:val="superscript"/>
          <w:rtl/>
        </w:rPr>
        <w:t>)</w:t>
      </w:r>
      <w:r w:rsidR="001E1F66" w:rsidRPr="00282AC9">
        <w:rPr>
          <w:rFonts w:ascii="Simplified Arabic" w:hAnsi="Simplified Arabic" w:hint="cs"/>
          <w:sz w:val="27"/>
          <w:rtl/>
        </w:rPr>
        <w:t>؛</w:t>
      </w:r>
      <w:r w:rsidRPr="00282AC9">
        <w:rPr>
          <w:rFonts w:ascii="Simplified Arabic" w:hAnsi="Simplified Arabic" w:hint="cs"/>
          <w:sz w:val="27"/>
          <w:rtl/>
        </w:rPr>
        <w:t xml:space="preserve"> </w:t>
      </w:r>
      <w:r w:rsidRPr="00282AC9">
        <w:rPr>
          <w:rFonts w:ascii="Simplified Arabic" w:hAnsi="Simplified Arabic"/>
          <w:sz w:val="27"/>
          <w:rtl/>
        </w:rPr>
        <w:t>لأن الثورة النزيهة ـ في الغالب ـ تكشف للشعوب ز</w:t>
      </w:r>
      <w:r w:rsidR="001E1F66" w:rsidRPr="00282AC9">
        <w:rPr>
          <w:rFonts w:ascii="Simplified Arabic" w:hAnsi="Simplified Arabic" w:hint="cs"/>
          <w:sz w:val="27"/>
          <w:rtl/>
        </w:rPr>
        <w:t>َ</w:t>
      </w:r>
      <w:r w:rsidRPr="00282AC9">
        <w:rPr>
          <w:rFonts w:ascii="Simplified Arabic" w:hAnsi="Simplified Arabic"/>
          <w:sz w:val="27"/>
          <w:rtl/>
        </w:rPr>
        <w:t>ي</w:t>
      </w:r>
      <w:r w:rsidR="001E1F66" w:rsidRPr="00282AC9">
        <w:rPr>
          <w:rFonts w:ascii="Simplified Arabic" w:hAnsi="Simplified Arabic" w:hint="cs"/>
          <w:sz w:val="27"/>
          <w:rtl/>
        </w:rPr>
        <w:t>ْ</w:t>
      </w:r>
      <w:r w:rsidRPr="00282AC9">
        <w:rPr>
          <w:rFonts w:ascii="Simplified Arabic" w:hAnsi="Simplified Arabic"/>
          <w:sz w:val="27"/>
          <w:rtl/>
        </w:rPr>
        <w:t>ف الحك</w:t>
      </w:r>
      <w:r w:rsidR="001E1F66" w:rsidRPr="00282AC9">
        <w:rPr>
          <w:rFonts w:ascii="Simplified Arabic" w:hAnsi="Simplified Arabic" w:hint="cs"/>
          <w:sz w:val="27"/>
          <w:rtl/>
        </w:rPr>
        <w:t>ّ</w:t>
      </w:r>
      <w:r w:rsidRPr="00282AC9">
        <w:rPr>
          <w:rFonts w:ascii="Simplified Arabic" w:hAnsi="Simplified Arabic"/>
          <w:sz w:val="27"/>
          <w:rtl/>
        </w:rPr>
        <w:t>ام، وتفضح واقعهم الك</w:t>
      </w:r>
      <w:r w:rsidR="001E1F66" w:rsidRPr="00282AC9">
        <w:rPr>
          <w:rFonts w:ascii="Simplified Arabic" w:hAnsi="Simplified Arabic" w:hint="cs"/>
          <w:sz w:val="27"/>
          <w:rtl/>
        </w:rPr>
        <w:t>َ</w:t>
      </w:r>
      <w:r w:rsidRPr="00282AC9">
        <w:rPr>
          <w:rFonts w:ascii="Simplified Arabic" w:hAnsi="Simplified Arabic"/>
          <w:sz w:val="27"/>
          <w:rtl/>
        </w:rPr>
        <w:t>ر</w:t>
      </w:r>
      <w:r w:rsidR="001E1F66" w:rsidRPr="00282AC9">
        <w:rPr>
          <w:rFonts w:ascii="Simplified Arabic" w:hAnsi="Simplified Arabic" w:hint="cs"/>
          <w:sz w:val="27"/>
          <w:rtl/>
        </w:rPr>
        <w:t>ِ</w:t>
      </w:r>
      <w:r w:rsidRPr="00282AC9">
        <w:rPr>
          <w:rFonts w:ascii="Simplified Arabic" w:hAnsi="Simplified Arabic"/>
          <w:sz w:val="27"/>
          <w:rtl/>
        </w:rPr>
        <w:t>يه</w:t>
      </w:r>
      <w:r w:rsidR="001E1F66" w:rsidRPr="00282AC9">
        <w:rPr>
          <w:rFonts w:ascii="Simplified Arabic" w:hAnsi="Simplified Arabic" w:hint="cs"/>
          <w:sz w:val="27"/>
          <w:rtl/>
        </w:rPr>
        <w:t>،</w:t>
      </w:r>
      <w:r w:rsidRPr="00282AC9">
        <w:rPr>
          <w:rFonts w:ascii="Simplified Arabic" w:hAnsi="Simplified Arabic"/>
          <w:sz w:val="27"/>
          <w:rtl/>
        </w:rPr>
        <w:t xml:space="preserve"> وممارساتهم الظالمة بحق</w:t>
      </w:r>
      <w:r w:rsidR="001E1F66" w:rsidRPr="00282AC9">
        <w:rPr>
          <w:rFonts w:ascii="Simplified Arabic" w:hAnsi="Simplified Arabic" w:hint="cs"/>
          <w:sz w:val="27"/>
          <w:rtl/>
        </w:rPr>
        <w:t>ّ</w:t>
      </w:r>
      <w:r w:rsidRPr="00282AC9">
        <w:rPr>
          <w:rFonts w:ascii="Simplified Arabic" w:hAnsi="Simplified Arabic"/>
          <w:sz w:val="27"/>
          <w:rtl/>
        </w:rPr>
        <w:t xml:space="preserve"> الأم</w:t>
      </w:r>
      <w:r w:rsidR="001E1F66" w:rsidRPr="00282AC9">
        <w:rPr>
          <w:rFonts w:ascii="Simplified Arabic" w:hAnsi="Simplified Arabic" w:hint="cs"/>
          <w:sz w:val="27"/>
          <w:rtl/>
        </w:rPr>
        <w:t>ّ</w:t>
      </w:r>
      <w:r w:rsidRPr="00282AC9">
        <w:rPr>
          <w:rFonts w:ascii="Simplified Arabic" w:hAnsi="Simplified Arabic"/>
          <w:sz w:val="27"/>
          <w:rtl/>
        </w:rPr>
        <w:t>ة</w:t>
      </w:r>
      <w:r w:rsidRPr="00282AC9">
        <w:rPr>
          <w:rFonts w:ascii="Simplified Arabic" w:hAnsi="Simplified Arabic" w:hint="cs"/>
          <w:sz w:val="27"/>
          <w:rtl/>
        </w:rPr>
        <w:t xml:space="preserve"> والناس</w:t>
      </w:r>
      <w:r w:rsidRPr="00282AC9">
        <w:rPr>
          <w:rFonts w:ascii="Simplified Arabic" w:hAnsi="Simplified Arabic"/>
          <w:sz w:val="27"/>
          <w:rtl/>
        </w:rPr>
        <w:t>، وتترك وراءها فئة</w:t>
      </w:r>
      <w:r w:rsidR="001E1F66" w:rsidRPr="00282AC9">
        <w:rPr>
          <w:rFonts w:ascii="Simplified Arabic" w:hAnsi="Simplified Arabic" w:hint="cs"/>
          <w:sz w:val="27"/>
          <w:rtl/>
        </w:rPr>
        <w:t>ً</w:t>
      </w:r>
      <w:r w:rsidRPr="00282AC9">
        <w:rPr>
          <w:rFonts w:ascii="Simplified Arabic" w:hAnsi="Simplified Arabic"/>
          <w:sz w:val="27"/>
          <w:rtl/>
        </w:rPr>
        <w:t xml:space="preserve"> تحس</w:t>
      </w:r>
      <w:r w:rsidR="001E1F66" w:rsidRPr="00282AC9">
        <w:rPr>
          <w:rFonts w:ascii="Simplified Arabic" w:hAnsi="Simplified Arabic" w:hint="cs"/>
          <w:sz w:val="27"/>
          <w:rtl/>
        </w:rPr>
        <w:t>ّ</w:t>
      </w:r>
      <w:r w:rsidRPr="00282AC9">
        <w:rPr>
          <w:rFonts w:ascii="Simplified Arabic" w:hAnsi="Simplified Arabic"/>
          <w:sz w:val="27"/>
          <w:rtl/>
        </w:rPr>
        <w:t xml:space="preserve"> بالظلم والتجاوزات</w:t>
      </w:r>
      <w:r w:rsidR="001E1F66" w:rsidRPr="00282AC9">
        <w:rPr>
          <w:rFonts w:ascii="Simplified Arabic" w:hAnsi="Simplified Arabic" w:hint="cs"/>
          <w:sz w:val="27"/>
          <w:rtl/>
        </w:rPr>
        <w:t>،</w:t>
      </w:r>
      <w:r w:rsidRPr="00282AC9">
        <w:rPr>
          <w:rFonts w:ascii="Simplified Arabic" w:hAnsi="Simplified Arabic"/>
          <w:sz w:val="27"/>
          <w:rtl/>
        </w:rPr>
        <w:t xml:space="preserve"> وتحاسب عليهما، وأحياناً تضطر</w:t>
      </w:r>
      <w:r w:rsidR="001E1F66" w:rsidRPr="00282AC9">
        <w:rPr>
          <w:rFonts w:ascii="Simplified Arabic" w:hAnsi="Simplified Arabic" w:hint="cs"/>
          <w:sz w:val="27"/>
          <w:rtl/>
        </w:rPr>
        <w:t>ّ</w:t>
      </w:r>
      <w:r w:rsidRPr="00282AC9">
        <w:rPr>
          <w:rFonts w:ascii="Simplified Arabic" w:hAnsi="Simplified Arabic"/>
          <w:sz w:val="27"/>
          <w:rtl/>
        </w:rPr>
        <w:t xml:space="preserve"> الحاكم إلى تصحيح سلوكه ووسائل حكمه إلى حد</w:t>
      </w:r>
      <w:r w:rsidR="001E1F66" w:rsidRPr="00282AC9">
        <w:rPr>
          <w:rFonts w:ascii="Simplified Arabic" w:hAnsi="Simplified Arabic" w:hint="cs"/>
          <w:sz w:val="27"/>
          <w:rtl/>
        </w:rPr>
        <w:t>ٍّ</w:t>
      </w:r>
      <w:r w:rsidR="001E1F66" w:rsidRPr="00282AC9">
        <w:rPr>
          <w:rFonts w:ascii="Simplified Arabic" w:hAnsi="Simplified Arabic"/>
          <w:sz w:val="27"/>
          <w:rtl/>
        </w:rPr>
        <w:t xml:space="preserve"> ما</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62"/>
      </w:r>
      <w:r w:rsidRPr="00282AC9">
        <w:rPr>
          <w:rFonts w:ascii="Simplified Arabic" w:hAnsi="Simplified Arabic"/>
          <w:sz w:val="27"/>
          <w:vertAlign w:val="superscript"/>
          <w:rtl/>
        </w:rPr>
        <w:t>)</w:t>
      </w:r>
      <w:r w:rsidRPr="00282AC9">
        <w:rPr>
          <w:rFonts w:ascii="Simplified Arabic" w:hAnsi="Simplified Arabic"/>
          <w:sz w:val="27"/>
          <w:rtl/>
        </w:rPr>
        <w:t>.</w:t>
      </w:r>
    </w:p>
    <w:p w:rsidR="007359AA" w:rsidRPr="00282AC9" w:rsidRDefault="007359AA" w:rsidP="00D47E7C">
      <w:pPr>
        <w:rPr>
          <w:rFonts w:ascii="Simplified Arabic" w:hAnsi="Simplified Arabic"/>
          <w:sz w:val="27"/>
          <w:rtl/>
        </w:rPr>
      </w:pPr>
      <w:r w:rsidRPr="00282AC9">
        <w:rPr>
          <w:rFonts w:ascii="Simplified Arabic" w:hAnsi="Simplified Arabic"/>
          <w:sz w:val="27"/>
          <w:rtl/>
        </w:rPr>
        <w:t>إن الاعتراض الوحيد الذي وج</w:t>
      </w:r>
      <w:r w:rsidR="001E1F66" w:rsidRPr="00282AC9">
        <w:rPr>
          <w:rFonts w:ascii="Simplified Arabic" w:hAnsi="Simplified Arabic" w:hint="cs"/>
          <w:sz w:val="27"/>
          <w:rtl/>
        </w:rPr>
        <w:t>َّ</w:t>
      </w:r>
      <w:r w:rsidRPr="00282AC9">
        <w:rPr>
          <w:rFonts w:ascii="Simplified Arabic" w:hAnsi="Simplified Arabic"/>
          <w:sz w:val="27"/>
          <w:rtl/>
        </w:rPr>
        <w:t>هه الإمام</w:t>
      </w:r>
      <w:r w:rsidR="009A2A04" w:rsidRPr="00282AC9">
        <w:rPr>
          <w:rFonts w:ascii="Simplified Arabic" w:hAnsi="Simplified Arabic" w:cs="Mosawi"/>
          <w:sz w:val="22"/>
          <w:szCs w:val="22"/>
          <w:rtl/>
        </w:rPr>
        <w:t>×</w:t>
      </w:r>
      <w:r w:rsidRPr="00282AC9">
        <w:rPr>
          <w:rFonts w:ascii="Simplified Arabic" w:hAnsi="Simplified Arabic"/>
          <w:sz w:val="27"/>
          <w:rtl/>
        </w:rPr>
        <w:t xml:space="preserve"> إلى بعض الثائرين العلويين هو احتجاجه وإدانته لسلوكهم الناري</w:t>
      </w:r>
      <w:r w:rsidR="001E1F66" w:rsidRPr="00282AC9">
        <w:rPr>
          <w:rFonts w:ascii="Simplified Arabic" w:hAnsi="Simplified Arabic" w:hint="cs"/>
          <w:sz w:val="27"/>
          <w:rtl/>
        </w:rPr>
        <w:t>ّ</w:t>
      </w:r>
      <w:r w:rsidRPr="00282AC9">
        <w:rPr>
          <w:rFonts w:ascii="Simplified Arabic" w:hAnsi="Simplified Arabic"/>
          <w:sz w:val="27"/>
          <w:rtl/>
        </w:rPr>
        <w:t xml:space="preserve"> أحياناً ضد</w:t>
      </w:r>
      <w:r w:rsidR="001E1F66" w:rsidRPr="00282AC9">
        <w:rPr>
          <w:rFonts w:ascii="Simplified Arabic" w:hAnsi="Simplified Arabic" w:hint="cs"/>
          <w:sz w:val="27"/>
          <w:rtl/>
        </w:rPr>
        <w:t>ّ</w:t>
      </w:r>
      <w:r w:rsidRPr="00282AC9">
        <w:rPr>
          <w:rFonts w:ascii="Simplified Arabic" w:hAnsi="Simplified Arabic"/>
          <w:sz w:val="27"/>
          <w:rtl/>
        </w:rPr>
        <w:t xml:space="preserve"> المجتمع، ولانخداعهم ببعض الأصوات </w:t>
      </w:r>
      <w:r w:rsidRPr="00282AC9">
        <w:rPr>
          <w:rFonts w:ascii="Simplified Arabic" w:hAnsi="Simplified Arabic"/>
          <w:sz w:val="27"/>
          <w:rtl/>
        </w:rPr>
        <w:lastRenderedPageBreak/>
        <w:t>التي كانت تهتف باسمهم</w:t>
      </w:r>
      <w:r w:rsidR="001E1F66" w:rsidRPr="00282AC9">
        <w:rPr>
          <w:rFonts w:ascii="Simplified Arabic" w:hAnsi="Simplified Arabic" w:hint="cs"/>
          <w:sz w:val="27"/>
          <w:rtl/>
        </w:rPr>
        <w:t>،</w:t>
      </w:r>
      <w:r w:rsidRPr="00282AC9">
        <w:rPr>
          <w:rFonts w:ascii="Simplified Arabic" w:hAnsi="Simplified Arabic"/>
          <w:sz w:val="27"/>
          <w:rtl/>
        </w:rPr>
        <w:t xml:space="preserve"> فيد</w:t>
      </w:r>
      <w:r w:rsidR="001E1F66" w:rsidRPr="00282AC9">
        <w:rPr>
          <w:rFonts w:ascii="Simplified Arabic" w:hAnsi="Simplified Arabic" w:hint="cs"/>
          <w:sz w:val="27"/>
          <w:rtl/>
        </w:rPr>
        <w:t>َّ</w:t>
      </w:r>
      <w:r w:rsidRPr="00282AC9">
        <w:rPr>
          <w:rFonts w:ascii="Simplified Arabic" w:hAnsi="Simplified Arabic"/>
          <w:sz w:val="27"/>
          <w:rtl/>
        </w:rPr>
        <w:t>عون ما ليس لهم، ويخرجون للثورة بد</w:t>
      </w:r>
      <w:r w:rsidR="001E1F66" w:rsidRPr="00282AC9">
        <w:rPr>
          <w:rFonts w:ascii="Simplified Arabic" w:hAnsi="Simplified Arabic" w:hint="cs"/>
          <w:sz w:val="27"/>
          <w:rtl/>
        </w:rPr>
        <w:t>و</w:t>
      </w:r>
      <w:r w:rsidRPr="00282AC9">
        <w:rPr>
          <w:rFonts w:ascii="Simplified Arabic" w:hAnsi="Simplified Arabic"/>
          <w:sz w:val="27"/>
          <w:rtl/>
        </w:rPr>
        <w:t>ن تخطيط</w:t>
      </w:r>
      <w:r w:rsidR="001E1F66" w:rsidRPr="00282AC9">
        <w:rPr>
          <w:rFonts w:ascii="Simplified Arabic" w:hAnsi="Simplified Arabic" w:hint="cs"/>
          <w:sz w:val="27"/>
          <w:rtl/>
        </w:rPr>
        <w:t>ٍ</w:t>
      </w:r>
      <w:r w:rsidRPr="00282AC9">
        <w:rPr>
          <w:rFonts w:ascii="Simplified Arabic" w:hAnsi="Simplified Arabic"/>
          <w:sz w:val="27"/>
          <w:rtl/>
        </w:rPr>
        <w:t xml:space="preserve"> وتنظيم، ومن دون وجود ه</w:t>
      </w:r>
      <w:r w:rsidR="001E1F66" w:rsidRPr="00282AC9">
        <w:rPr>
          <w:rFonts w:ascii="Simplified Arabic" w:hAnsi="Simplified Arabic" w:hint="cs"/>
          <w:sz w:val="27"/>
          <w:rtl/>
        </w:rPr>
        <w:t>َ</w:t>
      </w:r>
      <w:r w:rsidRPr="00282AC9">
        <w:rPr>
          <w:rFonts w:ascii="Simplified Arabic" w:hAnsi="Simplified Arabic"/>
          <w:sz w:val="27"/>
          <w:rtl/>
        </w:rPr>
        <w:t>د</w:t>
      </w:r>
      <w:r w:rsidR="001E1F66" w:rsidRPr="00282AC9">
        <w:rPr>
          <w:rFonts w:ascii="Simplified Arabic" w:hAnsi="Simplified Arabic" w:hint="cs"/>
          <w:sz w:val="27"/>
          <w:rtl/>
        </w:rPr>
        <w:t>َ</w:t>
      </w:r>
      <w:r w:rsidRPr="00282AC9">
        <w:rPr>
          <w:rFonts w:ascii="Simplified Arabic" w:hAnsi="Simplified Arabic"/>
          <w:sz w:val="27"/>
          <w:rtl/>
        </w:rPr>
        <w:t>ف</w:t>
      </w:r>
      <w:r w:rsidR="001E1F66" w:rsidRPr="00282AC9">
        <w:rPr>
          <w:rFonts w:ascii="Simplified Arabic" w:hAnsi="Simplified Arabic" w:hint="cs"/>
          <w:sz w:val="27"/>
          <w:rtl/>
        </w:rPr>
        <w:t>ٍ</w:t>
      </w:r>
      <w:r w:rsidRPr="00282AC9">
        <w:rPr>
          <w:rFonts w:ascii="Simplified Arabic" w:hAnsi="Simplified Arabic"/>
          <w:sz w:val="27"/>
          <w:rtl/>
        </w:rPr>
        <w:t xml:space="preserve"> أو مصلحة</w:t>
      </w:r>
      <w:r w:rsidR="001E1F66" w:rsidRPr="00282AC9">
        <w:rPr>
          <w:rFonts w:ascii="Simplified Arabic" w:hAnsi="Simplified Arabic" w:hint="cs"/>
          <w:sz w:val="27"/>
          <w:rtl/>
        </w:rPr>
        <w:t>ٍ</w:t>
      </w:r>
      <w:r w:rsidRPr="00282AC9">
        <w:rPr>
          <w:rFonts w:ascii="Simplified Arabic" w:hAnsi="Simplified Arabic"/>
          <w:sz w:val="27"/>
          <w:rtl/>
        </w:rPr>
        <w:t xml:space="preserve"> عليا للأم</w:t>
      </w:r>
      <w:r w:rsidR="001E1F66" w:rsidRPr="00282AC9">
        <w:rPr>
          <w:rFonts w:ascii="Simplified Arabic" w:hAnsi="Simplified Arabic" w:hint="cs"/>
          <w:sz w:val="27"/>
          <w:rtl/>
        </w:rPr>
        <w:t>ّ</w:t>
      </w:r>
      <w:r w:rsidRPr="00282AC9">
        <w:rPr>
          <w:rFonts w:ascii="Simplified Arabic" w:hAnsi="Simplified Arabic"/>
          <w:sz w:val="27"/>
          <w:rtl/>
        </w:rPr>
        <w:t>ة</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63"/>
      </w:r>
      <w:r w:rsidRPr="00282AC9">
        <w:rPr>
          <w:rFonts w:ascii="Simplified Arabic" w:hAnsi="Simplified Arabic"/>
          <w:sz w:val="27"/>
          <w:vertAlign w:val="superscript"/>
          <w:rtl/>
        </w:rPr>
        <w:t>)</w:t>
      </w:r>
      <w:r w:rsidR="001E1F66" w:rsidRPr="00282AC9">
        <w:rPr>
          <w:rFonts w:ascii="Simplified Arabic" w:hAnsi="Simplified Arabic" w:hint="cs"/>
          <w:sz w:val="27"/>
          <w:rtl/>
        </w:rPr>
        <w:t>.</w:t>
      </w:r>
      <w:r w:rsidRPr="00282AC9">
        <w:rPr>
          <w:rFonts w:ascii="Simplified Arabic" w:hAnsi="Simplified Arabic"/>
          <w:sz w:val="27"/>
          <w:rtl/>
        </w:rPr>
        <w:t xml:space="preserve"> وبالتالي يكون نصيبهم القتل والتشريد</w:t>
      </w:r>
      <w:r w:rsidR="001E1F66" w:rsidRPr="00282AC9">
        <w:rPr>
          <w:rFonts w:ascii="Simplified Arabic" w:hAnsi="Simplified Arabic" w:hint="cs"/>
          <w:sz w:val="27"/>
          <w:rtl/>
        </w:rPr>
        <w:t>،</w:t>
      </w:r>
      <w:r w:rsidRPr="00282AC9">
        <w:rPr>
          <w:rFonts w:ascii="Simplified Arabic" w:hAnsi="Simplified Arabic"/>
          <w:sz w:val="27"/>
          <w:rtl/>
        </w:rPr>
        <w:t xml:space="preserve"> ووضع المجتمع في مواجهة</w:t>
      </w:r>
      <w:r w:rsidR="001E1F66" w:rsidRPr="00282AC9">
        <w:rPr>
          <w:rFonts w:ascii="Simplified Arabic" w:hAnsi="Simplified Arabic" w:hint="cs"/>
          <w:sz w:val="27"/>
          <w:rtl/>
        </w:rPr>
        <w:t>ٍ</w:t>
      </w:r>
      <w:r w:rsidRPr="00282AC9">
        <w:rPr>
          <w:rFonts w:ascii="Simplified Arabic" w:hAnsi="Simplified Arabic"/>
          <w:sz w:val="27"/>
          <w:rtl/>
        </w:rPr>
        <w:t xml:space="preserve"> خاسرة مع نفسه.</w:t>
      </w:r>
    </w:p>
    <w:p w:rsidR="007359AA" w:rsidRPr="00282AC9" w:rsidRDefault="007359AA" w:rsidP="00D47E7C">
      <w:pPr>
        <w:rPr>
          <w:rFonts w:ascii="Simplified Arabic" w:hAnsi="Simplified Arabic"/>
          <w:sz w:val="27"/>
          <w:rtl/>
        </w:rPr>
      </w:pPr>
      <w:r w:rsidRPr="00282AC9">
        <w:rPr>
          <w:rFonts w:ascii="Simplified Arabic" w:hAnsi="Simplified Arabic"/>
          <w:sz w:val="27"/>
          <w:rtl/>
        </w:rPr>
        <w:t>وقد لاح</w:t>
      </w:r>
      <w:r w:rsidR="001E1F66" w:rsidRPr="00282AC9">
        <w:rPr>
          <w:rFonts w:ascii="Simplified Arabic" w:hAnsi="Simplified Arabic" w:hint="cs"/>
          <w:sz w:val="27"/>
          <w:rtl/>
        </w:rPr>
        <w:t>َ</w:t>
      </w:r>
      <w:r w:rsidRPr="00282AC9">
        <w:rPr>
          <w:rFonts w:ascii="Simplified Arabic" w:hAnsi="Simplified Arabic"/>
          <w:sz w:val="27"/>
          <w:rtl/>
        </w:rPr>
        <w:t>ظ</w:t>
      </w:r>
      <w:r w:rsidR="001E1F66" w:rsidRPr="00282AC9">
        <w:rPr>
          <w:rFonts w:ascii="Simplified Arabic" w:hAnsi="Simplified Arabic" w:hint="cs"/>
          <w:sz w:val="27"/>
          <w:rtl/>
        </w:rPr>
        <w:t>ْ</w:t>
      </w:r>
      <w:r w:rsidRPr="00282AC9">
        <w:rPr>
          <w:rFonts w:ascii="Simplified Arabic" w:hAnsi="Simplified Arabic"/>
          <w:sz w:val="27"/>
          <w:rtl/>
        </w:rPr>
        <w:t>نا كيف عب</w:t>
      </w:r>
      <w:r w:rsidR="001E1F66" w:rsidRPr="00282AC9">
        <w:rPr>
          <w:rFonts w:ascii="Simplified Arabic" w:hAnsi="Simplified Arabic" w:hint="cs"/>
          <w:sz w:val="27"/>
          <w:rtl/>
        </w:rPr>
        <w:t>َّ</w:t>
      </w:r>
      <w:r w:rsidRPr="00282AC9">
        <w:rPr>
          <w:rFonts w:ascii="Simplified Arabic" w:hAnsi="Simplified Arabic"/>
          <w:sz w:val="27"/>
          <w:rtl/>
        </w:rPr>
        <w:t>ر الإمام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عن رفضه الحاسم لكل</w:t>
      </w:r>
      <w:r w:rsidR="001E1F66" w:rsidRPr="00282AC9">
        <w:rPr>
          <w:rFonts w:ascii="Simplified Arabic" w:hAnsi="Simplified Arabic" w:hint="cs"/>
          <w:sz w:val="27"/>
          <w:rtl/>
        </w:rPr>
        <w:t>ّ</w:t>
      </w:r>
      <w:r w:rsidRPr="00282AC9">
        <w:rPr>
          <w:rFonts w:ascii="Simplified Arabic" w:hAnsi="Simplified Arabic"/>
          <w:sz w:val="27"/>
          <w:rtl/>
        </w:rPr>
        <w:t xml:space="preserve"> تجاوزات أخيه زيد</w:t>
      </w:r>
      <w:r w:rsidR="001E1F66" w:rsidRPr="00282AC9">
        <w:rPr>
          <w:rFonts w:ascii="Simplified Arabic" w:hAnsi="Simplified Arabic" w:hint="cs"/>
          <w:sz w:val="27"/>
          <w:rtl/>
        </w:rPr>
        <w:t>،</w:t>
      </w:r>
      <w:r w:rsidRPr="00282AC9">
        <w:rPr>
          <w:rFonts w:ascii="Simplified Arabic" w:hAnsi="Simplified Arabic"/>
          <w:sz w:val="27"/>
          <w:rtl/>
        </w:rPr>
        <w:t xml:space="preserve"> الملق</w:t>
      </w:r>
      <w:r w:rsidR="001E1F66" w:rsidRPr="00282AC9">
        <w:rPr>
          <w:rFonts w:ascii="Simplified Arabic" w:hAnsi="Simplified Arabic" w:hint="cs"/>
          <w:sz w:val="27"/>
          <w:rtl/>
        </w:rPr>
        <w:t>َّ</w:t>
      </w:r>
      <w:r w:rsidRPr="00282AC9">
        <w:rPr>
          <w:rFonts w:ascii="Simplified Arabic" w:hAnsi="Simplified Arabic"/>
          <w:sz w:val="27"/>
          <w:rtl/>
        </w:rPr>
        <w:t xml:space="preserve">ب </w:t>
      </w:r>
      <w:r w:rsidR="001E1F66" w:rsidRPr="00282AC9">
        <w:rPr>
          <w:rFonts w:ascii="Simplified Arabic" w:hAnsi="Simplified Arabic"/>
          <w:sz w:val="27"/>
          <w:rtl/>
        </w:rPr>
        <w:t>ب</w:t>
      </w:r>
      <w:r w:rsidR="001E1F66" w:rsidRPr="00282AC9">
        <w:rPr>
          <w:rFonts w:ascii="Simplified Arabic" w:hAnsi="Simplified Arabic" w:hint="cs"/>
          <w:sz w:val="27"/>
          <w:rtl/>
        </w:rPr>
        <w:t xml:space="preserve">ـ </w:t>
      </w:r>
      <w:r w:rsidRPr="00282AC9">
        <w:rPr>
          <w:rFonts w:hint="eastAsia"/>
          <w:sz w:val="24"/>
          <w:szCs w:val="24"/>
          <w:rtl/>
        </w:rPr>
        <w:t>«</w:t>
      </w:r>
      <w:r w:rsidRPr="00282AC9">
        <w:rPr>
          <w:rFonts w:ascii="Simplified Arabic" w:hAnsi="Simplified Arabic"/>
          <w:sz w:val="27"/>
          <w:rtl/>
        </w:rPr>
        <w:t>زيد النار</w:t>
      </w:r>
      <w:r w:rsidRPr="00282AC9">
        <w:rPr>
          <w:rFonts w:hint="eastAsia"/>
          <w:sz w:val="24"/>
          <w:szCs w:val="24"/>
          <w:rtl/>
        </w:rPr>
        <w:t>»</w:t>
      </w:r>
      <w:r w:rsidR="001E1F66" w:rsidRPr="00282AC9">
        <w:rPr>
          <w:rFonts w:ascii="Simplified Arabic" w:hAnsi="Simplified Arabic" w:hint="cs"/>
          <w:sz w:val="27"/>
          <w:rtl/>
        </w:rPr>
        <w:t>؛</w:t>
      </w:r>
      <w:r w:rsidRPr="00282AC9">
        <w:rPr>
          <w:rFonts w:ascii="Simplified Arabic" w:hAnsi="Simplified Arabic"/>
          <w:sz w:val="27"/>
          <w:rtl/>
        </w:rPr>
        <w:t xml:space="preserve"> حيث وقف منه</w:t>
      </w:r>
      <w:r w:rsidRPr="00282AC9">
        <w:rPr>
          <w:rFonts w:ascii="Simplified Arabic" w:hAnsi="Simplified Arabic" w:hint="cs"/>
          <w:sz w:val="27"/>
          <w:rtl/>
        </w:rPr>
        <w:t xml:space="preserve"> ـ </w:t>
      </w:r>
      <w:r w:rsidRPr="00282AC9">
        <w:rPr>
          <w:rFonts w:ascii="Simplified Arabic" w:hAnsi="Simplified Arabic"/>
          <w:sz w:val="27"/>
          <w:rtl/>
        </w:rPr>
        <w:t>ومن عدوانه على المجتمع</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64"/>
      </w:r>
      <w:r w:rsidRPr="00282AC9">
        <w:rPr>
          <w:rFonts w:ascii="Simplified Arabic" w:hAnsi="Simplified Arabic"/>
          <w:sz w:val="27"/>
          <w:vertAlign w:val="superscript"/>
          <w:rtl/>
        </w:rPr>
        <w:t>)</w:t>
      </w:r>
      <w:r w:rsidRPr="00282AC9">
        <w:rPr>
          <w:rFonts w:ascii="Simplified Arabic" w:hAnsi="Simplified Arabic" w:hint="cs"/>
          <w:sz w:val="27"/>
          <w:rtl/>
        </w:rPr>
        <w:t xml:space="preserve"> ـ </w:t>
      </w:r>
      <w:r w:rsidRPr="00282AC9">
        <w:rPr>
          <w:rFonts w:ascii="Simplified Arabic" w:hAnsi="Simplified Arabic"/>
          <w:sz w:val="27"/>
          <w:rtl/>
        </w:rPr>
        <w:t>موقفاً سلبي</w:t>
      </w:r>
      <w:r w:rsidR="001E1F66" w:rsidRPr="00282AC9">
        <w:rPr>
          <w:rFonts w:ascii="Simplified Arabic" w:hAnsi="Simplified Arabic" w:hint="cs"/>
          <w:sz w:val="27"/>
          <w:rtl/>
        </w:rPr>
        <w:t>ّ</w:t>
      </w:r>
      <w:r w:rsidRPr="00282AC9">
        <w:rPr>
          <w:rFonts w:ascii="Simplified Arabic" w:hAnsi="Simplified Arabic"/>
          <w:sz w:val="27"/>
          <w:rtl/>
        </w:rPr>
        <w:t>اً متصل</w:t>
      </w:r>
      <w:r w:rsidR="001E1F66" w:rsidRPr="00282AC9">
        <w:rPr>
          <w:rFonts w:ascii="Simplified Arabic" w:hAnsi="Simplified Arabic" w:hint="cs"/>
          <w:sz w:val="27"/>
          <w:rtl/>
        </w:rPr>
        <w:t>ّ</w:t>
      </w:r>
      <w:r w:rsidRPr="00282AC9">
        <w:rPr>
          <w:rFonts w:ascii="Simplified Arabic" w:hAnsi="Simplified Arabic"/>
          <w:sz w:val="27"/>
          <w:rtl/>
        </w:rPr>
        <w:t xml:space="preserve">باً. </w:t>
      </w:r>
    </w:p>
    <w:p w:rsidR="007359AA" w:rsidRPr="00282AC9" w:rsidRDefault="007359AA" w:rsidP="00D47E7C">
      <w:pPr>
        <w:rPr>
          <w:rFonts w:ascii="Simplified Arabic" w:hAnsi="Simplified Arabic"/>
          <w:sz w:val="27"/>
          <w:rtl/>
        </w:rPr>
      </w:pPr>
      <w:r w:rsidRPr="00282AC9">
        <w:rPr>
          <w:rFonts w:ascii="Simplified Arabic" w:hAnsi="Simplified Arabic"/>
          <w:sz w:val="27"/>
          <w:rtl/>
        </w:rPr>
        <w:t>إننا نعتقد أن تحريم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اللجوء إلى </w:t>
      </w:r>
      <w:r w:rsidRPr="00282AC9">
        <w:rPr>
          <w:rFonts w:ascii="Simplified Arabic" w:hAnsi="Simplified Arabic" w:hint="cs"/>
          <w:sz w:val="27"/>
          <w:rtl/>
        </w:rPr>
        <w:t>الظالمين</w:t>
      </w:r>
      <w:r w:rsidR="001E1F66" w:rsidRPr="00282AC9">
        <w:rPr>
          <w:rFonts w:ascii="Simplified Arabic" w:hAnsi="Simplified Arabic" w:hint="cs"/>
          <w:sz w:val="27"/>
          <w:rtl/>
        </w:rPr>
        <w:t>،</w:t>
      </w:r>
      <w:r w:rsidRPr="00282AC9">
        <w:rPr>
          <w:rFonts w:ascii="Simplified Arabic" w:hAnsi="Simplified Arabic" w:hint="cs"/>
          <w:sz w:val="27"/>
          <w:rtl/>
        </w:rPr>
        <w:t xml:space="preserve"> و</w:t>
      </w:r>
      <w:r w:rsidRPr="00282AC9">
        <w:rPr>
          <w:rFonts w:ascii="Simplified Arabic" w:hAnsi="Simplified Arabic"/>
          <w:sz w:val="27"/>
          <w:rtl/>
        </w:rPr>
        <w:t>التعاون مع</w:t>
      </w:r>
      <w:r w:rsidRPr="00282AC9">
        <w:rPr>
          <w:rFonts w:ascii="Simplified Arabic" w:hAnsi="Simplified Arabic" w:hint="cs"/>
          <w:sz w:val="27"/>
          <w:rtl/>
        </w:rPr>
        <w:t xml:space="preserve"> مختلف </w:t>
      </w:r>
      <w:r w:rsidRPr="00282AC9">
        <w:rPr>
          <w:rFonts w:ascii="Simplified Arabic" w:hAnsi="Simplified Arabic"/>
          <w:sz w:val="27"/>
          <w:rtl/>
        </w:rPr>
        <w:t>السلطات والأنظمة الجائرة</w:t>
      </w:r>
      <w:r w:rsidR="001E1F66" w:rsidRPr="00282AC9">
        <w:rPr>
          <w:rFonts w:ascii="Simplified Arabic" w:hAnsi="Simplified Arabic" w:hint="cs"/>
          <w:sz w:val="27"/>
          <w:rtl/>
        </w:rPr>
        <w:t>،</w:t>
      </w:r>
      <w:r w:rsidRPr="00282AC9">
        <w:rPr>
          <w:rFonts w:ascii="Simplified Arabic" w:hAnsi="Simplified Arabic"/>
          <w:sz w:val="27"/>
          <w:rtl/>
        </w:rPr>
        <w:t xml:space="preserve"> لم ينطلق من حالة</w:t>
      </w:r>
      <w:r w:rsidR="001E1F66" w:rsidRPr="00282AC9">
        <w:rPr>
          <w:rFonts w:ascii="Simplified Arabic" w:hAnsi="Simplified Arabic" w:hint="cs"/>
          <w:sz w:val="27"/>
          <w:rtl/>
        </w:rPr>
        <w:t>ٍ</w:t>
      </w:r>
      <w:r w:rsidRPr="00282AC9">
        <w:rPr>
          <w:rFonts w:ascii="Simplified Arabic" w:hAnsi="Simplified Arabic"/>
          <w:sz w:val="27"/>
          <w:rtl/>
        </w:rPr>
        <w:t xml:space="preserve"> نفسي</w:t>
      </w:r>
      <w:r w:rsidR="001E1F66" w:rsidRPr="00282AC9">
        <w:rPr>
          <w:rFonts w:ascii="Simplified Arabic" w:hAnsi="Simplified Arabic" w:hint="cs"/>
          <w:sz w:val="27"/>
          <w:rtl/>
        </w:rPr>
        <w:t>ّ</w:t>
      </w:r>
      <w:r w:rsidRPr="00282AC9">
        <w:rPr>
          <w:rFonts w:ascii="Simplified Arabic" w:hAnsi="Simplified Arabic"/>
          <w:sz w:val="27"/>
          <w:rtl/>
        </w:rPr>
        <w:t>ة مزاجية</w:t>
      </w:r>
      <w:r w:rsidR="001E1F66" w:rsidRPr="00282AC9">
        <w:rPr>
          <w:rFonts w:ascii="Simplified Arabic" w:hAnsi="Simplified Arabic" w:hint="cs"/>
          <w:sz w:val="27"/>
          <w:rtl/>
        </w:rPr>
        <w:t>،</w:t>
      </w:r>
      <w:r w:rsidRPr="00282AC9">
        <w:rPr>
          <w:rFonts w:ascii="Simplified Arabic" w:hAnsi="Simplified Arabic"/>
          <w:sz w:val="27"/>
          <w:rtl/>
        </w:rPr>
        <w:t xml:space="preserve"> ارتبط</w:t>
      </w:r>
      <w:r w:rsidR="001E1F66" w:rsidRPr="00282AC9">
        <w:rPr>
          <w:rFonts w:ascii="Simplified Arabic" w:hAnsi="Simplified Arabic" w:hint="cs"/>
          <w:sz w:val="27"/>
          <w:rtl/>
        </w:rPr>
        <w:t>َ</w:t>
      </w:r>
      <w:r w:rsidRPr="00282AC9">
        <w:rPr>
          <w:rFonts w:ascii="Simplified Arabic" w:hAnsi="Simplified Arabic"/>
          <w:sz w:val="27"/>
          <w:rtl/>
        </w:rPr>
        <w:t>ت</w:t>
      </w:r>
      <w:r w:rsidR="001E1F66" w:rsidRPr="00282AC9">
        <w:rPr>
          <w:rFonts w:ascii="Simplified Arabic" w:hAnsi="Simplified Arabic" w:hint="cs"/>
          <w:sz w:val="27"/>
          <w:rtl/>
        </w:rPr>
        <w:t>ْ</w:t>
      </w:r>
      <w:r w:rsidRPr="00282AC9">
        <w:rPr>
          <w:rFonts w:ascii="Simplified Arabic" w:hAnsi="Simplified Arabic"/>
          <w:sz w:val="27"/>
          <w:rtl/>
        </w:rPr>
        <w:t xml:space="preserve"> بطبيعة الأجواء المتشن</w:t>
      </w:r>
      <w:r w:rsidR="001E1F66" w:rsidRPr="00282AC9">
        <w:rPr>
          <w:rFonts w:ascii="Simplified Arabic" w:hAnsi="Simplified Arabic" w:hint="cs"/>
          <w:sz w:val="27"/>
          <w:rtl/>
        </w:rPr>
        <w:t>ِّ</w:t>
      </w:r>
      <w:r w:rsidRPr="00282AC9">
        <w:rPr>
          <w:rFonts w:ascii="Simplified Arabic" w:hAnsi="Simplified Arabic"/>
          <w:sz w:val="27"/>
          <w:rtl/>
        </w:rPr>
        <w:t>جة التي عاش</w:t>
      </w:r>
      <w:r w:rsidR="001E1F66" w:rsidRPr="00282AC9">
        <w:rPr>
          <w:rFonts w:ascii="Simplified Arabic" w:hAnsi="Simplified Arabic" w:hint="cs"/>
          <w:sz w:val="27"/>
          <w:rtl/>
        </w:rPr>
        <w:t>َ</w:t>
      </w:r>
      <w:r w:rsidRPr="00282AC9">
        <w:rPr>
          <w:rFonts w:ascii="Simplified Arabic" w:hAnsi="Simplified Arabic"/>
          <w:sz w:val="27"/>
          <w:rtl/>
        </w:rPr>
        <w:t>ت</w:t>
      </w:r>
      <w:r w:rsidR="001E1F66" w:rsidRPr="00282AC9">
        <w:rPr>
          <w:rFonts w:ascii="Simplified Arabic" w:hAnsi="Simplified Arabic" w:hint="cs"/>
          <w:sz w:val="27"/>
          <w:rtl/>
        </w:rPr>
        <w:t>ْ</w:t>
      </w:r>
      <w:r w:rsidRPr="00282AC9">
        <w:rPr>
          <w:rFonts w:ascii="Simplified Arabic" w:hAnsi="Simplified Arabic"/>
          <w:sz w:val="27"/>
          <w:rtl/>
        </w:rPr>
        <w:t>ها أم</w:t>
      </w:r>
      <w:r w:rsidR="001E1F66" w:rsidRPr="00282AC9">
        <w:rPr>
          <w:rFonts w:ascii="Simplified Arabic" w:hAnsi="Simplified Arabic" w:hint="cs"/>
          <w:sz w:val="27"/>
          <w:rtl/>
        </w:rPr>
        <w:t>َّ</w:t>
      </w:r>
      <w:r w:rsidRPr="00282AC9">
        <w:rPr>
          <w:rFonts w:ascii="Simplified Arabic" w:hAnsi="Simplified Arabic"/>
          <w:sz w:val="27"/>
          <w:rtl/>
        </w:rPr>
        <w:t>تنا الإسلامية خلال ذلك التاريخ</w:t>
      </w:r>
      <w:r w:rsidR="001E1F66" w:rsidRPr="00282AC9">
        <w:rPr>
          <w:rFonts w:ascii="Simplified Arabic" w:hAnsi="Simplified Arabic" w:hint="cs"/>
          <w:sz w:val="27"/>
          <w:rtl/>
        </w:rPr>
        <w:t xml:space="preserve">. </w:t>
      </w:r>
      <w:r w:rsidRPr="00282AC9">
        <w:rPr>
          <w:rFonts w:ascii="Simplified Arabic" w:hAnsi="Simplified Arabic"/>
          <w:sz w:val="27"/>
          <w:rtl/>
        </w:rPr>
        <w:t>ولكن</w:t>
      </w:r>
      <w:r w:rsidR="001E1F66" w:rsidRPr="00282AC9">
        <w:rPr>
          <w:rFonts w:ascii="Simplified Arabic" w:hAnsi="Simplified Arabic" w:hint="cs"/>
          <w:sz w:val="27"/>
          <w:rtl/>
        </w:rPr>
        <w:t>ّ</w:t>
      </w:r>
      <w:r w:rsidRPr="00282AC9">
        <w:rPr>
          <w:rFonts w:ascii="Simplified Arabic" w:hAnsi="Simplified Arabic"/>
          <w:sz w:val="27"/>
          <w:rtl/>
        </w:rPr>
        <w:t>ه انطلق في إطار صيغة</w:t>
      </w:r>
      <w:r w:rsidR="00361F29"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تربوي</w:t>
      </w:r>
      <w:r w:rsidR="00361F29" w:rsidRPr="00282AC9">
        <w:rPr>
          <w:rFonts w:ascii="Simplified Arabic" w:hAnsi="Simplified Arabic" w:hint="cs"/>
          <w:sz w:val="27"/>
          <w:rtl/>
        </w:rPr>
        <w:t>ّ</w:t>
      </w:r>
      <w:r w:rsidRPr="00282AC9">
        <w:rPr>
          <w:rFonts w:ascii="Simplified Arabic" w:hAnsi="Simplified Arabic" w:hint="cs"/>
          <w:sz w:val="27"/>
          <w:rtl/>
        </w:rPr>
        <w:t xml:space="preserve">ة </w:t>
      </w:r>
      <w:r w:rsidRPr="00282AC9">
        <w:rPr>
          <w:rFonts w:ascii="Simplified Arabic" w:hAnsi="Simplified Arabic"/>
          <w:sz w:val="27"/>
          <w:rtl/>
        </w:rPr>
        <w:t>سياسي</w:t>
      </w:r>
      <w:r w:rsidR="00361F29" w:rsidRPr="00282AC9">
        <w:rPr>
          <w:rFonts w:ascii="Simplified Arabic" w:hAnsi="Simplified Arabic" w:hint="cs"/>
          <w:sz w:val="27"/>
          <w:rtl/>
        </w:rPr>
        <w:t>ّ</w:t>
      </w:r>
      <w:r w:rsidRPr="00282AC9">
        <w:rPr>
          <w:rFonts w:ascii="Simplified Arabic" w:hAnsi="Simplified Arabic"/>
          <w:sz w:val="27"/>
          <w:rtl/>
        </w:rPr>
        <w:t>ة عملي</w:t>
      </w:r>
      <w:r w:rsidR="00361F29" w:rsidRPr="00282AC9">
        <w:rPr>
          <w:rFonts w:ascii="Simplified Arabic" w:hAnsi="Simplified Arabic" w:hint="cs"/>
          <w:sz w:val="27"/>
          <w:rtl/>
        </w:rPr>
        <w:t>ّ</w:t>
      </w:r>
      <w:r w:rsidRPr="00282AC9">
        <w:rPr>
          <w:rFonts w:ascii="Simplified Arabic" w:hAnsi="Simplified Arabic"/>
          <w:sz w:val="27"/>
          <w:rtl/>
        </w:rPr>
        <w:t>ة</w:t>
      </w:r>
      <w:r w:rsidR="00361F29" w:rsidRPr="00282AC9">
        <w:rPr>
          <w:rFonts w:ascii="Simplified Arabic" w:hAnsi="Simplified Arabic" w:hint="cs"/>
          <w:sz w:val="27"/>
          <w:rtl/>
        </w:rPr>
        <w:t>،</w:t>
      </w:r>
      <w:r w:rsidRPr="00282AC9">
        <w:rPr>
          <w:rFonts w:ascii="Simplified Arabic" w:hAnsi="Simplified Arabic"/>
          <w:sz w:val="27"/>
          <w:rtl/>
        </w:rPr>
        <w:t xml:space="preserve"> كانت تهدف إلى تأكيد وتجذير حالة الرفض النفسي</w:t>
      </w:r>
      <w:r w:rsidR="00361F29" w:rsidRPr="00282AC9">
        <w:rPr>
          <w:rFonts w:ascii="Simplified Arabic" w:hAnsi="Simplified Arabic" w:hint="cs"/>
          <w:sz w:val="27"/>
          <w:rtl/>
        </w:rPr>
        <w:t>ّ</w:t>
      </w:r>
      <w:r w:rsidRPr="00282AC9">
        <w:rPr>
          <w:rFonts w:ascii="Simplified Arabic" w:hAnsi="Simplified Arabic"/>
          <w:sz w:val="27"/>
          <w:rtl/>
        </w:rPr>
        <w:t xml:space="preserve"> والعملي</w:t>
      </w:r>
      <w:r w:rsidR="00361F29" w:rsidRPr="00282AC9">
        <w:rPr>
          <w:rFonts w:ascii="Simplified Arabic" w:hAnsi="Simplified Arabic" w:hint="cs"/>
          <w:sz w:val="27"/>
          <w:rtl/>
        </w:rPr>
        <w:t>ّ</w:t>
      </w:r>
      <w:r w:rsidRPr="00282AC9">
        <w:rPr>
          <w:rFonts w:ascii="Simplified Arabic" w:hAnsi="Simplified Arabic"/>
          <w:sz w:val="27"/>
          <w:rtl/>
        </w:rPr>
        <w:t xml:space="preserve"> للكيانات الظالمة اللاشرعي</w:t>
      </w:r>
      <w:r w:rsidR="00361F29" w:rsidRPr="00282AC9">
        <w:rPr>
          <w:rFonts w:ascii="Simplified Arabic" w:hAnsi="Simplified Arabic" w:hint="cs"/>
          <w:sz w:val="27"/>
          <w:rtl/>
        </w:rPr>
        <w:t>ّ</w:t>
      </w:r>
      <w:r w:rsidRPr="00282AC9">
        <w:rPr>
          <w:rFonts w:ascii="Simplified Arabic" w:hAnsi="Simplified Arabic"/>
          <w:sz w:val="27"/>
          <w:rtl/>
        </w:rPr>
        <w:t>ة</w:t>
      </w:r>
      <w:r w:rsidR="00361F29" w:rsidRPr="00282AC9">
        <w:rPr>
          <w:rFonts w:ascii="Simplified Arabic" w:hAnsi="Simplified Arabic" w:hint="cs"/>
          <w:sz w:val="27"/>
          <w:rtl/>
        </w:rPr>
        <w:t>،</w:t>
      </w:r>
      <w:r w:rsidRPr="00282AC9">
        <w:rPr>
          <w:rFonts w:ascii="Simplified Arabic" w:hAnsi="Simplified Arabic"/>
          <w:sz w:val="27"/>
          <w:rtl/>
        </w:rPr>
        <w:t xml:space="preserve"> من خلال العمل المتواصل على توعية الأم</w:t>
      </w:r>
      <w:r w:rsidR="00361F29" w:rsidRPr="00282AC9">
        <w:rPr>
          <w:rFonts w:ascii="Simplified Arabic" w:hAnsi="Simplified Arabic" w:hint="cs"/>
          <w:sz w:val="27"/>
          <w:rtl/>
        </w:rPr>
        <w:t>ّ</w:t>
      </w:r>
      <w:r w:rsidRPr="00282AC9">
        <w:rPr>
          <w:rFonts w:ascii="Simplified Arabic" w:hAnsi="Simplified Arabic"/>
          <w:sz w:val="27"/>
          <w:rtl/>
        </w:rPr>
        <w:t>ة وتثقيفها سياسي</w:t>
      </w:r>
      <w:r w:rsidR="00361F29" w:rsidRPr="00282AC9">
        <w:rPr>
          <w:rFonts w:ascii="Simplified Arabic" w:hAnsi="Simplified Arabic" w:hint="cs"/>
          <w:sz w:val="27"/>
          <w:rtl/>
        </w:rPr>
        <w:t>ّ</w:t>
      </w:r>
      <w:r w:rsidRPr="00282AC9">
        <w:rPr>
          <w:rFonts w:ascii="Simplified Arabic" w:hAnsi="Simplified Arabic"/>
          <w:sz w:val="27"/>
          <w:rtl/>
        </w:rPr>
        <w:t>اً وعقائدي</w:t>
      </w:r>
      <w:r w:rsidR="00361F29" w:rsidRPr="00282AC9">
        <w:rPr>
          <w:rFonts w:ascii="Simplified Arabic" w:hAnsi="Simplified Arabic" w:hint="cs"/>
          <w:sz w:val="27"/>
          <w:rtl/>
        </w:rPr>
        <w:t>ّ</w:t>
      </w:r>
      <w:r w:rsidRPr="00282AC9">
        <w:rPr>
          <w:rFonts w:ascii="Simplified Arabic" w:hAnsi="Simplified Arabic"/>
          <w:sz w:val="27"/>
          <w:rtl/>
        </w:rPr>
        <w:t>اً على معنى الحكم العادل، ومعنى الحكم الظالم</w:t>
      </w:r>
      <w:r w:rsidRPr="00282AC9">
        <w:rPr>
          <w:rFonts w:ascii="Simplified Arabic" w:hAnsi="Simplified Arabic" w:hint="cs"/>
          <w:sz w:val="27"/>
          <w:rtl/>
        </w:rPr>
        <w:t>، وكيفي</w:t>
      </w:r>
      <w:r w:rsidR="00361F29" w:rsidRPr="00282AC9">
        <w:rPr>
          <w:rFonts w:ascii="Simplified Arabic" w:hAnsi="Simplified Arabic" w:hint="cs"/>
          <w:sz w:val="27"/>
          <w:rtl/>
        </w:rPr>
        <w:t>ّ</w:t>
      </w:r>
      <w:r w:rsidRPr="00282AC9">
        <w:rPr>
          <w:rFonts w:ascii="Simplified Arabic" w:hAnsi="Simplified Arabic" w:hint="cs"/>
          <w:sz w:val="27"/>
          <w:rtl/>
        </w:rPr>
        <w:t>ة تربية الأم</w:t>
      </w:r>
      <w:r w:rsidR="00361F29" w:rsidRPr="00282AC9">
        <w:rPr>
          <w:rFonts w:ascii="Simplified Arabic" w:hAnsi="Simplified Arabic" w:hint="cs"/>
          <w:sz w:val="27"/>
          <w:rtl/>
        </w:rPr>
        <w:t>ّ</w:t>
      </w:r>
      <w:r w:rsidRPr="00282AC9">
        <w:rPr>
          <w:rFonts w:ascii="Simplified Arabic" w:hAnsi="Simplified Arabic" w:hint="cs"/>
          <w:sz w:val="27"/>
          <w:rtl/>
        </w:rPr>
        <w:t>ة وتثقيفها على الإسلام الأصيل</w:t>
      </w:r>
      <w:r w:rsidRPr="00282AC9">
        <w:rPr>
          <w:rFonts w:ascii="Simplified Arabic" w:hAnsi="Simplified Arabic"/>
          <w:sz w:val="27"/>
          <w:rtl/>
        </w:rPr>
        <w:t xml:space="preserve">. </w:t>
      </w:r>
    </w:p>
    <w:p w:rsidR="007359AA" w:rsidRPr="00282AC9" w:rsidRDefault="00361F29" w:rsidP="00D47E7C">
      <w:pPr>
        <w:rPr>
          <w:rFonts w:ascii="Simplified Arabic" w:hAnsi="Simplified Arabic"/>
          <w:sz w:val="27"/>
          <w:rtl/>
        </w:rPr>
      </w:pPr>
      <w:r w:rsidRPr="00282AC9">
        <w:rPr>
          <w:rFonts w:ascii="Simplified Arabic" w:hAnsi="Simplified Arabic" w:hint="cs"/>
          <w:sz w:val="27"/>
          <w:rtl/>
        </w:rPr>
        <w:t>و</w:t>
      </w:r>
      <w:r w:rsidR="007359AA" w:rsidRPr="00282AC9">
        <w:rPr>
          <w:rFonts w:ascii="Simplified Arabic" w:hAnsi="Simplified Arabic"/>
          <w:sz w:val="27"/>
          <w:rtl/>
        </w:rPr>
        <w:t xml:space="preserve">أما بالنسبة </w:t>
      </w:r>
      <w:r w:rsidRPr="00282AC9">
        <w:rPr>
          <w:rFonts w:ascii="Simplified Arabic" w:hAnsi="Simplified Arabic" w:hint="cs"/>
          <w:sz w:val="27"/>
          <w:rtl/>
        </w:rPr>
        <w:t>إلى ا</w:t>
      </w:r>
      <w:r w:rsidR="007359AA" w:rsidRPr="00282AC9">
        <w:rPr>
          <w:rFonts w:ascii="Simplified Arabic" w:hAnsi="Simplified Arabic"/>
          <w:sz w:val="27"/>
          <w:rtl/>
        </w:rPr>
        <w:t>لمعيار الثاني (التعاون المؤق</w:t>
      </w:r>
      <w:r w:rsidRPr="00282AC9">
        <w:rPr>
          <w:rFonts w:ascii="Simplified Arabic" w:hAnsi="Simplified Arabic" w:hint="cs"/>
          <w:sz w:val="27"/>
          <w:rtl/>
        </w:rPr>
        <w:t>َّ</w:t>
      </w:r>
      <w:r w:rsidR="007359AA" w:rsidRPr="00282AC9">
        <w:rPr>
          <w:rFonts w:ascii="Simplified Arabic" w:hAnsi="Simplified Arabic"/>
          <w:sz w:val="27"/>
          <w:rtl/>
        </w:rPr>
        <w:t>ت مع ولاية الجائر)</w:t>
      </w:r>
      <w:r w:rsidR="007359AA" w:rsidRPr="00282AC9">
        <w:rPr>
          <w:rFonts w:ascii="Simplified Arabic" w:hAnsi="Simplified Arabic"/>
          <w:sz w:val="27"/>
          <w:vertAlign w:val="superscript"/>
          <w:rtl/>
        </w:rPr>
        <w:t>(</w:t>
      </w:r>
      <w:r w:rsidR="007359AA" w:rsidRPr="00282AC9">
        <w:rPr>
          <w:rStyle w:val="af9"/>
          <w:rFonts w:ascii="Simplified Arabic" w:hAnsi="Simplified Arabic"/>
          <w:sz w:val="27"/>
          <w:rtl/>
        </w:rPr>
        <w:endnoteReference w:id="965"/>
      </w:r>
      <w:r w:rsidR="007359AA" w:rsidRPr="00282AC9">
        <w:rPr>
          <w:rFonts w:ascii="Simplified Arabic" w:hAnsi="Simplified Arabic"/>
          <w:sz w:val="27"/>
          <w:vertAlign w:val="superscript"/>
          <w:rtl/>
        </w:rPr>
        <w:t>)</w:t>
      </w:r>
      <w:r w:rsidR="007359AA" w:rsidRPr="00282AC9">
        <w:rPr>
          <w:rFonts w:ascii="Simplified Arabic" w:hAnsi="Simplified Arabic" w:hint="cs"/>
          <w:sz w:val="27"/>
          <w:rtl/>
        </w:rPr>
        <w:t xml:space="preserve"> </w:t>
      </w:r>
      <w:r w:rsidR="007359AA" w:rsidRPr="00282AC9">
        <w:rPr>
          <w:rFonts w:ascii="Simplified Arabic" w:hAnsi="Simplified Arabic"/>
          <w:sz w:val="27"/>
          <w:rtl/>
        </w:rPr>
        <w:t>فقد انطلق إمام</w:t>
      </w:r>
      <w:r w:rsidRPr="00282AC9">
        <w:rPr>
          <w:rFonts w:ascii="Simplified Arabic" w:hAnsi="Simplified Arabic" w:hint="cs"/>
          <w:sz w:val="27"/>
          <w:rtl/>
        </w:rPr>
        <w:t>ُ</w:t>
      </w:r>
      <w:r w:rsidR="007359AA" w:rsidRPr="00282AC9">
        <w:rPr>
          <w:rFonts w:ascii="Simplified Arabic" w:hAnsi="Simplified Arabic"/>
          <w:sz w:val="27"/>
          <w:rtl/>
        </w:rPr>
        <w:t>نا</w:t>
      </w:r>
      <w:r w:rsidR="009A2A04" w:rsidRPr="00282AC9">
        <w:rPr>
          <w:rFonts w:ascii="Simplified Arabic" w:hAnsi="Simplified Arabic" w:cs="Mosawi"/>
          <w:sz w:val="22"/>
          <w:szCs w:val="22"/>
          <w:rtl/>
        </w:rPr>
        <w:t>×</w:t>
      </w:r>
      <w:r w:rsidR="007359AA" w:rsidRPr="00282AC9">
        <w:rPr>
          <w:rFonts w:ascii="Simplified Arabic" w:hAnsi="Simplified Arabic"/>
          <w:sz w:val="27"/>
          <w:rtl/>
        </w:rPr>
        <w:t xml:space="preserve"> على هذا المستوى</w:t>
      </w:r>
      <w:r w:rsidR="007359AA" w:rsidRPr="00282AC9">
        <w:rPr>
          <w:rFonts w:ascii="Simplified Arabic" w:hAnsi="Simplified Arabic" w:hint="cs"/>
          <w:sz w:val="27"/>
          <w:rtl/>
        </w:rPr>
        <w:t xml:space="preserve"> </w:t>
      </w:r>
      <w:r w:rsidR="007359AA" w:rsidRPr="00282AC9">
        <w:rPr>
          <w:rFonts w:ascii="Simplified Arabic" w:hAnsi="Simplified Arabic"/>
          <w:sz w:val="27"/>
          <w:rtl/>
        </w:rPr>
        <w:t>بكل</w:t>
      </w:r>
      <w:r w:rsidRPr="00282AC9">
        <w:rPr>
          <w:rFonts w:ascii="Simplified Arabic" w:hAnsi="Simplified Arabic" w:hint="cs"/>
          <w:sz w:val="27"/>
          <w:rtl/>
        </w:rPr>
        <w:t>ّ</w:t>
      </w:r>
      <w:r w:rsidR="007359AA" w:rsidRPr="00282AC9">
        <w:rPr>
          <w:rFonts w:ascii="Simplified Arabic" w:hAnsi="Simplified Arabic"/>
          <w:sz w:val="27"/>
          <w:rtl/>
        </w:rPr>
        <w:t xml:space="preserve"> ما لديه من طاقات</w:t>
      </w:r>
      <w:r w:rsidRPr="00282AC9">
        <w:rPr>
          <w:rFonts w:ascii="Simplified Arabic" w:hAnsi="Simplified Arabic" w:hint="cs"/>
          <w:sz w:val="27"/>
          <w:rtl/>
        </w:rPr>
        <w:t>ٍ</w:t>
      </w:r>
      <w:r w:rsidR="007359AA" w:rsidRPr="00282AC9">
        <w:rPr>
          <w:rFonts w:ascii="Simplified Arabic" w:hAnsi="Simplified Arabic" w:hint="cs"/>
          <w:sz w:val="27"/>
          <w:rtl/>
        </w:rPr>
        <w:t xml:space="preserve"> وق</w:t>
      </w:r>
      <w:r w:rsidRPr="00282AC9">
        <w:rPr>
          <w:rFonts w:ascii="Simplified Arabic" w:hAnsi="Simplified Arabic" w:hint="cs"/>
          <w:sz w:val="27"/>
          <w:rtl/>
        </w:rPr>
        <w:t>ُ</w:t>
      </w:r>
      <w:r w:rsidR="007359AA" w:rsidRPr="00282AC9">
        <w:rPr>
          <w:rFonts w:ascii="Simplified Arabic" w:hAnsi="Simplified Arabic" w:hint="cs"/>
          <w:sz w:val="27"/>
          <w:rtl/>
        </w:rPr>
        <w:t>د</w:t>
      </w:r>
      <w:r w:rsidRPr="00282AC9">
        <w:rPr>
          <w:rFonts w:ascii="Simplified Arabic" w:hAnsi="Simplified Arabic" w:hint="cs"/>
          <w:sz w:val="27"/>
          <w:rtl/>
        </w:rPr>
        <w:t>ُ</w:t>
      </w:r>
      <w:r w:rsidR="007359AA" w:rsidRPr="00282AC9">
        <w:rPr>
          <w:rFonts w:ascii="Simplified Arabic" w:hAnsi="Simplified Arabic" w:hint="cs"/>
          <w:sz w:val="27"/>
          <w:rtl/>
        </w:rPr>
        <w:t>رات</w:t>
      </w:r>
      <w:r w:rsidRPr="00282AC9">
        <w:rPr>
          <w:rFonts w:ascii="Simplified Arabic" w:hAnsi="Simplified Arabic" w:hint="cs"/>
          <w:sz w:val="27"/>
          <w:rtl/>
        </w:rPr>
        <w:t>؛</w:t>
      </w:r>
      <w:r w:rsidR="007359AA" w:rsidRPr="00282AC9">
        <w:rPr>
          <w:rFonts w:ascii="Simplified Arabic" w:hAnsi="Simplified Arabic" w:hint="cs"/>
          <w:sz w:val="27"/>
          <w:rtl/>
        </w:rPr>
        <w:t xml:space="preserve"> </w:t>
      </w:r>
      <w:r w:rsidR="007359AA" w:rsidRPr="00282AC9">
        <w:rPr>
          <w:rFonts w:ascii="Simplified Arabic" w:hAnsi="Simplified Arabic"/>
          <w:sz w:val="27"/>
          <w:rtl/>
        </w:rPr>
        <w:t>حيث</w:t>
      </w:r>
      <w:r w:rsidR="007359AA" w:rsidRPr="00282AC9">
        <w:rPr>
          <w:rFonts w:ascii="Simplified Arabic" w:hAnsi="Simplified Arabic" w:hint="cs"/>
          <w:sz w:val="27"/>
          <w:rtl/>
        </w:rPr>
        <w:t>ُ</w:t>
      </w:r>
      <w:r w:rsidR="007359AA" w:rsidRPr="00282AC9">
        <w:rPr>
          <w:rFonts w:ascii="Simplified Arabic" w:hAnsi="Simplified Arabic"/>
          <w:sz w:val="27"/>
          <w:rtl/>
        </w:rPr>
        <w:t xml:space="preserve"> سلك طريق الدعوة إلى الإسلام، وترسيخ أبعاده المعرفية والعقائدية في ذهني</w:t>
      </w:r>
      <w:r w:rsidRPr="00282AC9">
        <w:rPr>
          <w:rFonts w:ascii="Simplified Arabic" w:hAnsi="Simplified Arabic" w:hint="cs"/>
          <w:sz w:val="27"/>
          <w:rtl/>
        </w:rPr>
        <w:t>ّ</w:t>
      </w:r>
      <w:r w:rsidR="007359AA" w:rsidRPr="00282AC9">
        <w:rPr>
          <w:rFonts w:ascii="Simplified Arabic" w:hAnsi="Simplified Arabic"/>
          <w:sz w:val="27"/>
          <w:rtl/>
        </w:rPr>
        <w:t>ة الأم</w:t>
      </w:r>
      <w:r w:rsidRPr="00282AC9">
        <w:rPr>
          <w:rFonts w:ascii="Simplified Arabic" w:hAnsi="Simplified Arabic" w:hint="cs"/>
          <w:sz w:val="27"/>
          <w:rtl/>
        </w:rPr>
        <w:t>ّ</w:t>
      </w:r>
      <w:r w:rsidR="007359AA" w:rsidRPr="00282AC9">
        <w:rPr>
          <w:rFonts w:ascii="Simplified Arabic" w:hAnsi="Simplified Arabic"/>
          <w:sz w:val="27"/>
          <w:rtl/>
        </w:rPr>
        <w:t>ة، بما في ذلك التوعية العقائدية والتثقيف السياسي بالإسلام (بصورة</w:t>
      </w:r>
      <w:r w:rsidRPr="00282AC9">
        <w:rPr>
          <w:rFonts w:ascii="Simplified Arabic" w:hAnsi="Simplified Arabic" w:hint="cs"/>
          <w:sz w:val="27"/>
          <w:rtl/>
        </w:rPr>
        <w:t>ٍ</w:t>
      </w:r>
      <w:r w:rsidR="007359AA" w:rsidRPr="00282AC9">
        <w:rPr>
          <w:rFonts w:ascii="Simplified Arabic" w:hAnsi="Simplified Arabic"/>
          <w:sz w:val="27"/>
          <w:rtl/>
        </w:rPr>
        <w:t xml:space="preserve"> غير مباشرة طبعاً)</w:t>
      </w:r>
      <w:r w:rsidRPr="00282AC9">
        <w:rPr>
          <w:rFonts w:ascii="Simplified Arabic" w:hAnsi="Simplified Arabic" w:hint="cs"/>
          <w:sz w:val="27"/>
          <w:rtl/>
        </w:rPr>
        <w:t>،</w:t>
      </w:r>
      <w:r w:rsidR="007359AA" w:rsidRPr="00282AC9">
        <w:rPr>
          <w:rFonts w:ascii="Simplified Arabic" w:hAnsi="Simplified Arabic"/>
          <w:sz w:val="27"/>
          <w:rtl/>
        </w:rPr>
        <w:t xml:space="preserve"> من دون أن يسمح لنفسه (ولغيره من الأصحاب والشيعة) بأن</w:t>
      </w:r>
      <w:r w:rsidR="007359AA" w:rsidRPr="00282AC9">
        <w:rPr>
          <w:rFonts w:ascii="Simplified Arabic" w:hAnsi="Simplified Arabic" w:hint="cs"/>
          <w:sz w:val="27"/>
          <w:rtl/>
        </w:rPr>
        <w:t>ْ</w:t>
      </w:r>
      <w:r w:rsidR="007359AA" w:rsidRPr="00282AC9">
        <w:rPr>
          <w:rFonts w:ascii="Simplified Arabic" w:hAnsi="Simplified Arabic"/>
          <w:sz w:val="27"/>
          <w:rtl/>
        </w:rPr>
        <w:t xml:space="preserve"> يكون جزءاً من الواقع السياسي القائم ـ في نظر الإمام</w:t>
      </w:r>
      <w:r w:rsidR="009A2A04" w:rsidRPr="00282AC9">
        <w:rPr>
          <w:rFonts w:ascii="Simplified Arabic" w:hAnsi="Simplified Arabic" w:cs="Mosawi"/>
          <w:sz w:val="22"/>
          <w:szCs w:val="22"/>
          <w:rtl/>
        </w:rPr>
        <w:t>×</w:t>
      </w:r>
      <w:r w:rsidR="007359AA" w:rsidRPr="00282AC9">
        <w:rPr>
          <w:rFonts w:ascii="Simplified Arabic" w:hAnsi="Simplified Arabic"/>
          <w:sz w:val="27"/>
          <w:rtl/>
        </w:rPr>
        <w:t xml:space="preserve"> ـ على ضوابط وأسس غير شرعي</w:t>
      </w:r>
      <w:r w:rsidRPr="00282AC9">
        <w:rPr>
          <w:rFonts w:ascii="Simplified Arabic" w:hAnsi="Simplified Arabic" w:hint="cs"/>
          <w:sz w:val="27"/>
          <w:rtl/>
        </w:rPr>
        <w:t>ّ</w:t>
      </w:r>
      <w:r w:rsidR="007359AA" w:rsidRPr="00282AC9">
        <w:rPr>
          <w:rFonts w:ascii="Simplified Arabic" w:hAnsi="Simplified Arabic"/>
          <w:sz w:val="27"/>
          <w:rtl/>
        </w:rPr>
        <w:t>ة.</w:t>
      </w:r>
    </w:p>
    <w:p w:rsidR="007359AA" w:rsidRPr="00282AC9" w:rsidRDefault="007359AA" w:rsidP="00D47E7C">
      <w:pPr>
        <w:rPr>
          <w:rFonts w:ascii="Simplified Arabic" w:hAnsi="Simplified Arabic"/>
          <w:sz w:val="27"/>
          <w:rtl/>
        </w:rPr>
      </w:pPr>
      <w:r w:rsidRPr="00282AC9">
        <w:rPr>
          <w:rFonts w:ascii="Simplified Arabic" w:hAnsi="Simplified Arabic"/>
          <w:sz w:val="27"/>
          <w:rtl/>
        </w:rPr>
        <w:t>وقد اعترض بعض</w:t>
      </w:r>
      <w:r w:rsidR="00361F29" w:rsidRPr="00282AC9">
        <w:rPr>
          <w:rFonts w:ascii="Simplified Arabic" w:hAnsi="Simplified Arabic" w:hint="cs"/>
          <w:sz w:val="27"/>
          <w:rtl/>
        </w:rPr>
        <w:t>ٌ</w:t>
      </w:r>
      <w:r w:rsidRPr="00282AC9">
        <w:rPr>
          <w:rFonts w:ascii="Simplified Arabic" w:hAnsi="Simplified Arabic"/>
          <w:sz w:val="27"/>
          <w:rtl/>
        </w:rPr>
        <w:t xml:space="preserve"> على قبول الإمام</w:t>
      </w:r>
      <w:r w:rsidR="009A2A04" w:rsidRPr="00282AC9">
        <w:rPr>
          <w:rFonts w:ascii="Simplified Arabic" w:hAnsi="Simplified Arabic" w:cs="Mosawi"/>
          <w:sz w:val="22"/>
          <w:szCs w:val="22"/>
          <w:rtl/>
        </w:rPr>
        <w:t>×</w:t>
      </w:r>
      <w:r w:rsidRPr="00282AC9">
        <w:rPr>
          <w:rFonts w:ascii="Simplified Arabic" w:hAnsi="Simplified Arabic"/>
          <w:sz w:val="27"/>
          <w:rtl/>
        </w:rPr>
        <w:t xml:space="preserve"> بالولاية</w:t>
      </w:r>
      <w:r w:rsidR="00361F29" w:rsidRPr="00282AC9">
        <w:rPr>
          <w:rFonts w:ascii="Simplified Arabic" w:hAnsi="Simplified Arabic" w:hint="cs"/>
          <w:sz w:val="27"/>
          <w:rtl/>
        </w:rPr>
        <w:t>،</w:t>
      </w:r>
      <w:r w:rsidRPr="00282AC9">
        <w:rPr>
          <w:rFonts w:ascii="Simplified Arabic" w:hAnsi="Simplified Arabic"/>
          <w:sz w:val="27"/>
          <w:rtl/>
        </w:rPr>
        <w:t xml:space="preserve"> ورضاه بالتعاون مع نظام المأمون (</w:t>
      </w:r>
      <w:r w:rsidRPr="00282AC9">
        <w:rPr>
          <w:rFonts w:ascii="Simplified Arabic" w:hAnsi="Simplified Arabic" w:hint="cs"/>
          <w:sz w:val="27"/>
          <w:rtl/>
        </w:rPr>
        <w:t>ب</w:t>
      </w:r>
      <w:r w:rsidRPr="00282AC9">
        <w:rPr>
          <w:rFonts w:ascii="Simplified Arabic" w:hAnsi="Simplified Arabic"/>
          <w:sz w:val="27"/>
          <w:rtl/>
        </w:rPr>
        <w:t>الرغم من أنه لم يفع</w:t>
      </w:r>
      <w:r w:rsidR="00361F29" w:rsidRPr="00282AC9">
        <w:rPr>
          <w:rFonts w:ascii="Simplified Arabic" w:hAnsi="Simplified Arabic" w:hint="cs"/>
          <w:sz w:val="27"/>
          <w:rtl/>
        </w:rPr>
        <w:t>َ</w:t>
      </w:r>
      <w:r w:rsidRPr="00282AC9">
        <w:rPr>
          <w:rFonts w:ascii="Simplified Arabic" w:hAnsi="Simplified Arabic"/>
          <w:sz w:val="27"/>
          <w:rtl/>
        </w:rPr>
        <w:t>ل</w:t>
      </w:r>
      <w:r w:rsidR="00361F29" w:rsidRPr="00282AC9">
        <w:rPr>
          <w:rFonts w:ascii="Simplified Arabic" w:hAnsi="Simplified Arabic" w:hint="cs"/>
          <w:sz w:val="27"/>
          <w:rtl/>
        </w:rPr>
        <w:t>ْ</w:t>
      </w:r>
      <w:r w:rsidRPr="00282AC9">
        <w:rPr>
          <w:rFonts w:ascii="Simplified Arabic" w:hAnsi="Simplified Arabic"/>
          <w:sz w:val="27"/>
          <w:rtl/>
        </w:rPr>
        <w:t xml:space="preserve"> ذلك مطلقاً)</w:t>
      </w:r>
      <w:r w:rsidR="00361F29" w:rsidRPr="00282AC9">
        <w:rPr>
          <w:rFonts w:ascii="Simplified Arabic" w:hAnsi="Simplified Arabic" w:hint="cs"/>
          <w:sz w:val="27"/>
          <w:rtl/>
        </w:rPr>
        <w:t>،</w:t>
      </w:r>
      <w:r w:rsidRPr="00282AC9">
        <w:rPr>
          <w:rFonts w:ascii="Simplified Arabic" w:hAnsi="Simplified Arabic"/>
          <w:sz w:val="27"/>
          <w:rtl/>
        </w:rPr>
        <w:t xml:space="preserve"> قائلين: يكفي أن اسمك قد ذ</w:t>
      </w:r>
      <w:r w:rsidR="00361F29" w:rsidRPr="00282AC9">
        <w:rPr>
          <w:rFonts w:ascii="Simplified Arabic" w:hAnsi="Simplified Arabic" w:hint="cs"/>
          <w:sz w:val="27"/>
          <w:rtl/>
        </w:rPr>
        <w:t>ُ</w:t>
      </w:r>
      <w:r w:rsidRPr="00282AC9">
        <w:rPr>
          <w:rFonts w:ascii="Simplified Arabic" w:hAnsi="Simplified Arabic"/>
          <w:sz w:val="27"/>
          <w:rtl/>
        </w:rPr>
        <w:t>ك</w:t>
      </w:r>
      <w:r w:rsidR="00361F29" w:rsidRPr="00282AC9">
        <w:rPr>
          <w:rFonts w:ascii="Simplified Arabic" w:hAnsi="Simplified Arabic" w:hint="cs"/>
          <w:sz w:val="27"/>
          <w:rtl/>
        </w:rPr>
        <w:t>ِ</w:t>
      </w:r>
      <w:r w:rsidRPr="00282AC9">
        <w:rPr>
          <w:rFonts w:ascii="Simplified Arabic" w:hAnsi="Simplified Arabic"/>
          <w:sz w:val="27"/>
          <w:rtl/>
        </w:rPr>
        <w:t>ر</w:t>
      </w:r>
      <w:r w:rsidR="00361F29" w:rsidRPr="00282AC9">
        <w:rPr>
          <w:rFonts w:ascii="Simplified Arabic" w:hAnsi="Simplified Arabic" w:hint="cs"/>
          <w:sz w:val="27"/>
          <w:rtl/>
        </w:rPr>
        <w:t>َ</w:t>
      </w:r>
      <w:r w:rsidRPr="00282AC9">
        <w:rPr>
          <w:rFonts w:ascii="Simplified Arabic" w:hAnsi="Simplified Arabic"/>
          <w:sz w:val="27"/>
          <w:rtl/>
        </w:rPr>
        <w:t xml:space="preserve"> معهم حت</w:t>
      </w:r>
      <w:r w:rsidR="00361F29" w:rsidRPr="00282AC9">
        <w:rPr>
          <w:rFonts w:ascii="Simplified Arabic" w:hAnsi="Simplified Arabic" w:hint="cs"/>
          <w:sz w:val="27"/>
          <w:rtl/>
        </w:rPr>
        <w:t>ّ</w:t>
      </w:r>
      <w:r w:rsidRPr="00282AC9">
        <w:rPr>
          <w:rFonts w:ascii="Simplified Arabic" w:hAnsi="Simplified Arabic"/>
          <w:sz w:val="27"/>
          <w:rtl/>
        </w:rPr>
        <w:t>ى تصبح جزءاً منهم</w:t>
      </w:r>
      <w:r w:rsidR="00361F29" w:rsidRPr="00282AC9">
        <w:rPr>
          <w:rFonts w:ascii="Simplified Arabic" w:hAnsi="Simplified Arabic" w:hint="cs"/>
          <w:sz w:val="27"/>
          <w:rtl/>
        </w:rPr>
        <w:t>!</w:t>
      </w:r>
      <w:r w:rsidRPr="00282AC9">
        <w:rPr>
          <w:rFonts w:ascii="Simplified Arabic" w:hAnsi="Simplified Arabic"/>
          <w:sz w:val="27"/>
          <w:rtl/>
        </w:rPr>
        <w:t xml:space="preserve"> فقال</w:t>
      </w:r>
      <w:r w:rsidR="009A2A04" w:rsidRPr="00282AC9">
        <w:rPr>
          <w:rFonts w:ascii="Simplified Arabic" w:hAnsi="Simplified Arabic" w:cs="Mosawi"/>
          <w:sz w:val="22"/>
          <w:szCs w:val="22"/>
          <w:rtl/>
        </w:rPr>
        <w:t>×</w:t>
      </w:r>
      <w:r w:rsidRPr="00282AC9">
        <w:rPr>
          <w:rFonts w:ascii="Simplified Arabic" w:hAnsi="Simplified Arabic"/>
          <w:sz w:val="27"/>
          <w:rtl/>
        </w:rPr>
        <w:t xml:space="preserve">: </w:t>
      </w:r>
      <w:r w:rsidRPr="00282AC9">
        <w:rPr>
          <w:rFonts w:hint="eastAsia"/>
          <w:sz w:val="24"/>
          <w:szCs w:val="24"/>
          <w:rtl/>
        </w:rPr>
        <w:t>«</w:t>
      </w:r>
      <w:r w:rsidRPr="00282AC9">
        <w:rPr>
          <w:rFonts w:ascii="Simplified Arabic" w:hAnsi="Simplified Arabic"/>
          <w:sz w:val="27"/>
          <w:rtl/>
        </w:rPr>
        <w:t>الأنبياء أفضل أم الأوصياء؟</w:t>
      </w:r>
      <w:r w:rsidRPr="00282AC9">
        <w:rPr>
          <w:rFonts w:hint="eastAsia"/>
          <w:sz w:val="24"/>
          <w:szCs w:val="24"/>
          <w:rtl/>
        </w:rPr>
        <w:t>»</w:t>
      </w:r>
      <w:r w:rsidR="00361F29" w:rsidRPr="00282AC9">
        <w:rPr>
          <w:rFonts w:ascii="Simplified Arabic" w:hAnsi="Simplified Arabic" w:hint="cs"/>
          <w:sz w:val="27"/>
          <w:rtl/>
        </w:rPr>
        <w:t>،</w:t>
      </w:r>
      <w:r w:rsidRPr="00282AC9">
        <w:rPr>
          <w:rFonts w:ascii="Simplified Arabic" w:hAnsi="Simplified Arabic"/>
          <w:sz w:val="27"/>
          <w:rtl/>
        </w:rPr>
        <w:t xml:space="preserve"> قالوا: الأنبياء</w:t>
      </w:r>
      <w:r w:rsidR="00361F29" w:rsidRPr="00282AC9">
        <w:rPr>
          <w:rFonts w:ascii="Simplified Arabic" w:hAnsi="Simplified Arabic" w:hint="cs"/>
          <w:sz w:val="27"/>
          <w:rtl/>
        </w:rPr>
        <w:t>،</w:t>
      </w:r>
      <w:r w:rsidRPr="00282AC9">
        <w:rPr>
          <w:rFonts w:ascii="Simplified Arabic" w:hAnsi="Simplified Arabic"/>
          <w:sz w:val="27"/>
          <w:rtl/>
        </w:rPr>
        <w:t xml:space="preserve"> قال</w:t>
      </w:r>
      <w:r w:rsidR="009A2A04" w:rsidRPr="00282AC9">
        <w:rPr>
          <w:rFonts w:ascii="Simplified Arabic" w:hAnsi="Simplified Arabic" w:cs="Mosawi"/>
          <w:sz w:val="22"/>
          <w:szCs w:val="22"/>
          <w:rtl/>
        </w:rPr>
        <w:t>×</w:t>
      </w:r>
      <w:r w:rsidRPr="00282AC9">
        <w:rPr>
          <w:rFonts w:ascii="Simplified Arabic" w:hAnsi="Simplified Arabic"/>
          <w:sz w:val="27"/>
          <w:rtl/>
        </w:rPr>
        <w:t xml:space="preserve">: </w:t>
      </w:r>
      <w:r w:rsidRPr="00282AC9">
        <w:rPr>
          <w:rFonts w:hint="eastAsia"/>
          <w:sz w:val="24"/>
          <w:szCs w:val="24"/>
          <w:rtl/>
        </w:rPr>
        <w:t>«</w:t>
      </w:r>
      <w:r w:rsidRPr="00282AC9">
        <w:rPr>
          <w:rFonts w:ascii="Simplified Arabic" w:hAnsi="Simplified Arabic"/>
          <w:sz w:val="27"/>
          <w:rtl/>
        </w:rPr>
        <w:t>السلطان</w:t>
      </w:r>
      <w:r w:rsidRPr="00282AC9">
        <w:rPr>
          <w:rFonts w:ascii="Simplified Arabic" w:hAnsi="Simplified Arabic" w:hint="cs"/>
          <w:sz w:val="27"/>
          <w:rtl/>
        </w:rPr>
        <w:t>ُ</w:t>
      </w:r>
      <w:r w:rsidRPr="00282AC9">
        <w:rPr>
          <w:rFonts w:ascii="Simplified Arabic" w:hAnsi="Simplified Arabic"/>
          <w:sz w:val="27"/>
          <w:rtl/>
        </w:rPr>
        <w:t xml:space="preserve"> المشرك</w:t>
      </w:r>
      <w:r w:rsidRPr="00282AC9">
        <w:rPr>
          <w:rFonts w:ascii="Simplified Arabic" w:hAnsi="Simplified Arabic" w:hint="cs"/>
          <w:sz w:val="27"/>
          <w:rtl/>
        </w:rPr>
        <w:t>ُ</w:t>
      </w:r>
      <w:r w:rsidRPr="00282AC9">
        <w:rPr>
          <w:rFonts w:ascii="Simplified Arabic" w:hAnsi="Simplified Arabic"/>
          <w:sz w:val="27"/>
          <w:rtl/>
        </w:rPr>
        <w:t xml:space="preserve"> أسوأ أم السلطان</w:t>
      </w:r>
      <w:r w:rsidR="00361F29" w:rsidRPr="00282AC9">
        <w:rPr>
          <w:rFonts w:ascii="Simplified Arabic" w:hAnsi="Simplified Arabic" w:hint="cs"/>
          <w:sz w:val="27"/>
          <w:rtl/>
        </w:rPr>
        <w:t>ُ</w:t>
      </w:r>
      <w:r w:rsidRPr="00282AC9">
        <w:rPr>
          <w:rFonts w:ascii="Simplified Arabic" w:hAnsi="Simplified Arabic"/>
          <w:sz w:val="27"/>
          <w:rtl/>
        </w:rPr>
        <w:t xml:space="preserve"> المسلم</w:t>
      </w:r>
      <w:r w:rsidR="00361F29" w:rsidRPr="00282AC9">
        <w:rPr>
          <w:rFonts w:ascii="Simplified Arabic" w:hAnsi="Simplified Arabic" w:hint="cs"/>
          <w:sz w:val="27"/>
          <w:rtl/>
        </w:rPr>
        <w:t>ُ</w:t>
      </w:r>
      <w:r w:rsidRPr="00282AC9">
        <w:rPr>
          <w:rFonts w:ascii="Simplified Arabic" w:hAnsi="Simplified Arabic"/>
          <w:sz w:val="27"/>
          <w:rtl/>
        </w:rPr>
        <w:t xml:space="preserve"> الفاسق</w:t>
      </w:r>
      <w:r w:rsidR="00361F29" w:rsidRPr="00282AC9">
        <w:rPr>
          <w:rFonts w:ascii="Simplified Arabic" w:hAnsi="Simplified Arabic" w:hint="cs"/>
          <w:sz w:val="27"/>
          <w:rtl/>
        </w:rPr>
        <w:t>ُ</w:t>
      </w:r>
      <w:r w:rsidRPr="00282AC9">
        <w:rPr>
          <w:rFonts w:ascii="Simplified Arabic" w:hAnsi="Simplified Arabic"/>
          <w:sz w:val="27"/>
          <w:rtl/>
        </w:rPr>
        <w:t>؟</w:t>
      </w:r>
      <w:r w:rsidRPr="00282AC9">
        <w:rPr>
          <w:rFonts w:hint="eastAsia"/>
          <w:sz w:val="24"/>
          <w:szCs w:val="24"/>
          <w:rtl/>
        </w:rPr>
        <w:t>»</w:t>
      </w:r>
      <w:r w:rsidR="00361F29" w:rsidRPr="00282AC9">
        <w:rPr>
          <w:rFonts w:ascii="Simplified Arabic" w:hAnsi="Simplified Arabic" w:hint="cs"/>
          <w:sz w:val="27"/>
          <w:rtl/>
        </w:rPr>
        <w:t>،</w:t>
      </w:r>
      <w:r w:rsidRPr="00282AC9">
        <w:rPr>
          <w:rFonts w:ascii="Simplified Arabic" w:hAnsi="Simplified Arabic"/>
          <w:sz w:val="27"/>
          <w:rtl/>
        </w:rPr>
        <w:t xml:space="preserve"> قالوا: السلطان المشرك</w:t>
      </w:r>
      <w:r w:rsidR="00361F29" w:rsidRPr="00282AC9">
        <w:rPr>
          <w:rFonts w:ascii="Simplified Arabic" w:hAnsi="Simplified Arabic" w:hint="cs"/>
          <w:sz w:val="27"/>
          <w:rtl/>
        </w:rPr>
        <w:t>،</w:t>
      </w:r>
      <w:r w:rsidRPr="00282AC9">
        <w:rPr>
          <w:rFonts w:ascii="Simplified Arabic" w:hAnsi="Simplified Arabic"/>
          <w:sz w:val="27"/>
          <w:rtl/>
        </w:rPr>
        <w:t xml:space="preserve"> قال</w:t>
      </w:r>
      <w:r w:rsidR="009A2A04" w:rsidRPr="00282AC9">
        <w:rPr>
          <w:rFonts w:ascii="Simplified Arabic" w:hAnsi="Simplified Arabic" w:cs="Mosawi" w:hint="cs"/>
          <w:sz w:val="22"/>
          <w:szCs w:val="22"/>
          <w:rtl/>
        </w:rPr>
        <w:t>×</w:t>
      </w:r>
      <w:r w:rsidRPr="00282AC9">
        <w:rPr>
          <w:rFonts w:ascii="Simplified Arabic" w:hAnsi="Simplified Arabic"/>
          <w:sz w:val="27"/>
          <w:rtl/>
        </w:rPr>
        <w:t xml:space="preserve">: </w:t>
      </w:r>
      <w:r w:rsidRPr="00282AC9">
        <w:rPr>
          <w:rFonts w:hint="eastAsia"/>
          <w:sz w:val="24"/>
          <w:szCs w:val="24"/>
          <w:rtl/>
        </w:rPr>
        <w:t>«</w:t>
      </w:r>
      <w:r w:rsidRPr="00282AC9">
        <w:rPr>
          <w:rFonts w:ascii="Simplified Arabic" w:hAnsi="Simplified Arabic"/>
          <w:sz w:val="27"/>
          <w:rtl/>
        </w:rPr>
        <w:t>أي</w:t>
      </w:r>
      <w:r w:rsidR="00361F29" w:rsidRPr="00282AC9">
        <w:rPr>
          <w:rFonts w:ascii="Simplified Arabic" w:hAnsi="Simplified Arabic" w:hint="cs"/>
          <w:sz w:val="27"/>
          <w:rtl/>
        </w:rPr>
        <w:t>ُّ</w:t>
      </w:r>
      <w:r w:rsidRPr="00282AC9">
        <w:rPr>
          <w:rFonts w:ascii="Simplified Arabic" w:hAnsi="Simplified Arabic"/>
          <w:sz w:val="27"/>
          <w:rtl/>
        </w:rPr>
        <w:t>هما أشد</w:t>
      </w:r>
      <w:r w:rsidRPr="00282AC9">
        <w:rPr>
          <w:rFonts w:ascii="Simplified Arabic" w:hAnsi="Simplified Arabic" w:hint="cs"/>
          <w:sz w:val="27"/>
          <w:rtl/>
        </w:rPr>
        <w:t>ّ</w:t>
      </w:r>
      <w:r w:rsidR="001A0AA4" w:rsidRPr="00282AC9">
        <w:rPr>
          <w:rFonts w:ascii="Simplified Arabic" w:hAnsi="Simplified Arabic" w:hint="cs"/>
          <w:sz w:val="27"/>
          <w:rtl/>
        </w:rPr>
        <w:t>ُ،</w:t>
      </w:r>
      <w:r w:rsidRPr="00282AC9">
        <w:rPr>
          <w:rFonts w:ascii="Simplified Arabic" w:hAnsi="Simplified Arabic"/>
          <w:sz w:val="27"/>
          <w:rtl/>
        </w:rPr>
        <w:t xml:space="preserve"> الذي يتعاون</w:t>
      </w:r>
      <w:r w:rsidRPr="00282AC9">
        <w:rPr>
          <w:rFonts w:ascii="Simplified Arabic" w:hAnsi="Simplified Arabic" w:hint="cs"/>
          <w:sz w:val="27"/>
          <w:rtl/>
        </w:rPr>
        <w:t>ُ</w:t>
      </w:r>
      <w:r w:rsidRPr="00282AC9">
        <w:rPr>
          <w:rFonts w:ascii="Simplified Arabic" w:hAnsi="Simplified Arabic"/>
          <w:sz w:val="27"/>
          <w:rtl/>
        </w:rPr>
        <w:t xml:space="preserve"> طالباً ذلك أم الذي يفرض عليه ذلك؟</w:t>
      </w:r>
      <w:r w:rsidRPr="00282AC9">
        <w:rPr>
          <w:rFonts w:hint="eastAsia"/>
          <w:sz w:val="24"/>
          <w:szCs w:val="24"/>
          <w:rtl/>
        </w:rPr>
        <w:t>»</w:t>
      </w:r>
      <w:r w:rsidR="001A0AA4" w:rsidRPr="00282AC9">
        <w:rPr>
          <w:rFonts w:ascii="Simplified Arabic" w:hAnsi="Simplified Arabic" w:hint="cs"/>
          <w:sz w:val="27"/>
          <w:rtl/>
        </w:rPr>
        <w:t>،</w:t>
      </w:r>
      <w:r w:rsidRPr="00282AC9">
        <w:rPr>
          <w:rFonts w:ascii="Simplified Arabic" w:hAnsi="Simplified Arabic"/>
          <w:sz w:val="27"/>
          <w:rtl/>
        </w:rPr>
        <w:t xml:space="preserve"> قالوا: الذي يطلبه</w:t>
      </w:r>
      <w:r w:rsidR="001A0AA4" w:rsidRPr="00282AC9">
        <w:rPr>
          <w:rFonts w:ascii="Simplified Arabic" w:hAnsi="Simplified Arabic" w:hint="cs"/>
          <w:sz w:val="27"/>
          <w:rtl/>
        </w:rPr>
        <w:t>،</w:t>
      </w:r>
      <w:r w:rsidRPr="00282AC9">
        <w:rPr>
          <w:rFonts w:ascii="Simplified Arabic" w:hAnsi="Simplified Arabic"/>
          <w:sz w:val="27"/>
          <w:rtl/>
        </w:rPr>
        <w:t xml:space="preserve"> فقال</w:t>
      </w:r>
      <w:r w:rsidR="009A2A04" w:rsidRPr="00282AC9">
        <w:rPr>
          <w:rFonts w:ascii="Simplified Arabic" w:hAnsi="Simplified Arabic" w:cs="Mosawi"/>
          <w:sz w:val="22"/>
          <w:szCs w:val="22"/>
          <w:rtl/>
        </w:rPr>
        <w:t>×</w:t>
      </w:r>
      <w:r w:rsidRPr="00282AC9">
        <w:rPr>
          <w:rFonts w:ascii="Simplified Arabic" w:hAnsi="Simplified Arabic" w:hint="cs"/>
          <w:sz w:val="27"/>
          <w:rtl/>
        </w:rPr>
        <w:t>:</w:t>
      </w:r>
      <w:r w:rsidRPr="00282AC9">
        <w:rPr>
          <w:rFonts w:ascii="Simplified Arabic" w:hAnsi="Simplified Arabic"/>
          <w:sz w:val="27"/>
          <w:rtl/>
        </w:rPr>
        <w:t xml:space="preserve"> </w:t>
      </w:r>
      <w:r w:rsidRPr="00282AC9">
        <w:rPr>
          <w:rFonts w:hint="eastAsia"/>
          <w:sz w:val="24"/>
          <w:szCs w:val="24"/>
          <w:rtl/>
        </w:rPr>
        <w:t>«</w:t>
      </w:r>
      <w:r w:rsidRPr="00282AC9">
        <w:rPr>
          <w:rFonts w:ascii="Simplified Arabic" w:hAnsi="Simplified Arabic"/>
          <w:sz w:val="27"/>
          <w:rtl/>
        </w:rPr>
        <w:t>كان يوسف الصد</w:t>
      </w:r>
      <w:r w:rsidR="001A0AA4" w:rsidRPr="00282AC9">
        <w:rPr>
          <w:rFonts w:ascii="Simplified Arabic" w:hAnsi="Simplified Arabic" w:hint="cs"/>
          <w:sz w:val="27"/>
          <w:rtl/>
        </w:rPr>
        <w:t>ِّ</w:t>
      </w:r>
      <w:r w:rsidRPr="00282AC9">
        <w:rPr>
          <w:rFonts w:ascii="Simplified Arabic" w:hAnsi="Simplified Arabic"/>
          <w:sz w:val="27"/>
          <w:rtl/>
        </w:rPr>
        <w:t>يق نبي</w:t>
      </w:r>
      <w:r w:rsidR="001A0AA4" w:rsidRPr="00282AC9">
        <w:rPr>
          <w:rFonts w:ascii="Simplified Arabic" w:hAnsi="Simplified Arabic" w:hint="cs"/>
          <w:sz w:val="27"/>
          <w:rtl/>
        </w:rPr>
        <w:t>ّ</w:t>
      </w:r>
      <w:r w:rsidRPr="00282AC9">
        <w:rPr>
          <w:rFonts w:ascii="Simplified Arabic" w:hAnsi="Simplified Arabic"/>
          <w:sz w:val="27"/>
          <w:rtl/>
        </w:rPr>
        <w:t>اً، وعزيز مصر كان كافراً مشركاً، ويوسف طلب بنفسه:</w:t>
      </w:r>
      <w:r w:rsidRPr="00282AC9">
        <w:rPr>
          <w:rFonts w:ascii="Simplified Arabic" w:hAnsi="Simplified Arabic" w:hint="cs"/>
          <w:sz w:val="27"/>
          <w:rtl/>
        </w:rPr>
        <w:t xml:space="preserve"> </w:t>
      </w:r>
      <w:r w:rsidR="001A0AA4" w:rsidRPr="00282AC9">
        <w:rPr>
          <w:rFonts w:ascii="Mosawi" w:hAnsi="Mosawi" w:cs="Mosawi"/>
          <w:sz w:val="24"/>
          <w:szCs w:val="24"/>
          <w:rtl/>
        </w:rPr>
        <w:t>﴿</w:t>
      </w:r>
      <w:r w:rsidR="001A0AA4" w:rsidRPr="00282AC9">
        <w:rPr>
          <w:b/>
          <w:bCs/>
          <w:sz w:val="27"/>
          <w:rtl/>
        </w:rPr>
        <w:t>قَالَ اجْعَلْنِي عَلَى خَزَائِنِ الأَرْضِ إِنِّي حَفِيظٌ عَلِيمٌ</w:t>
      </w:r>
      <w:r w:rsidR="001A0AA4" w:rsidRPr="00282AC9">
        <w:rPr>
          <w:rFonts w:ascii="Mosawi" w:hAnsi="Mosawi" w:cs="Mosawi"/>
          <w:sz w:val="24"/>
          <w:szCs w:val="24"/>
          <w:rtl/>
        </w:rPr>
        <w:t>﴾</w:t>
      </w:r>
      <w:r w:rsidR="001A0AA4" w:rsidRPr="00282AC9">
        <w:rPr>
          <w:rFonts w:ascii="Simplified Arabic" w:hAnsi="Simplified Arabic"/>
          <w:sz w:val="27"/>
          <w:rtl/>
        </w:rPr>
        <w:t xml:space="preserve"> </w:t>
      </w:r>
      <w:r w:rsidRPr="00282AC9">
        <w:rPr>
          <w:rFonts w:ascii="Simplified Arabic" w:hAnsi="Simplified Arabic"/>
          <w:sz w:val="27"/>
          <w:rtl/>
        </w:rPr>
        <w:lastRenderedPageBreak/>
        <w:t>(يوسف</w:t>
      </w:r>
      <w:r w:rsidR="001A0AA4" w:rsidRPr="00282AC9">
        <w:rPr>
          <w:rFonts w:ascii="Simplified Arabic" w:hAnsi="Simplified Arabic" w:hint="cs"/>
          <w:sz w:val="27"/>
          <w:rtl/>
        </w:rPr>
        <w:t xml:space="preserve">: </w:t>
      </w:r>
      <w:r w:rsidRPr="00282AC9">
        <w:rPr>
          <w:rFonts w:ascii="Simplified Arabic" w:hAnsi="Simplified Arabic"/>
          <w:sz w:val="27"/>
          <w:rtl/>
        </w:rPr>
        <w:t>55)</w:t>
      </w:r>
      <w:r w:rsidR="001A0AA4" w:rsidRPr="00282AC9">
        <w:rPr>
          <w:rFonts w:ascii="Simplified Arabic" w:hAnsi="Simplified Arabic" w:hint="cs"/>
          <w:sz w:val="27"/>
          <w:rtl/>
        </w:rPr>
        <w:t>؛</w:t>
      </w:r>
      <w:r w:rsidRPr="00282AC9">
        <w:rPr>
          <w:rFonts w:ascii="Simplified Arabic" w:hAnsi="Simplified Arabic" w:hint="cs"/>
          <w:sz w:val="27"/>
          <w:rtl/>
        </w:rPr>
        <w:t xml:space="preserve"> </w:t>
      </w:r>
      <w:r w:rsidRPr="00282AC9">
        <w:rPr>
          <w:rFonts w:ascii="Simplified Arabic" w:hAnsi="Simplified Arabic"/>
          <w:sz w:val="27"/>
          <w:rtl/>
        </w:rPr>
        <w:t>فقد أراد</w:t>
      </w:r>
      <w:r w:rsidRPr="00282AC9">
        <w:rPr>
          <w:rFonts w:ascii="Simplified Arabic" w:hAnsi="Simplified Arabic" w:hint="cs"/>
          <w:sz w:val="27"/>
          <w:rtl/>
        </w:rPr>
        <w:t>َ</w:t>
      </w:r>
      <w:r w:rsidRPr="00282AC9">
        <w:rPr>
          <w:rFonts w:ascii="Simplified Arabic" w:hAnsi="Simplified Arabic"/>
          <w:sz w:val="27"/>
          <w:rtl/>
        </w:rPr>
        <w:t xml:space="preserve"> أن</w:t>
      </w:r>
      <w:r w:rsidRPr="00282AC9">
        <w:rPr>
          <w:rFonts w:ascii="Simplified Arabic" w:hAnsi="Simplified Arabic" w:hint="cs"/>
          <w:sz w:val="27"/>
          <w:rtl/>
        </w:rPr>
        <w:t>ْ</w:t>
      </w:r>
      <w:r w:rsidRPr="00282AC9">
        <w:rPr>
          <w:rFonts w:ascii="Simplified Arabic" w:hAnsi="Simplified Arabic"/>
          <w:sz w:val="27"/>
          <w:rtl/>
        </w:rPr>
        <w:t xml:space="preserve"> يأخذ موقعاً بحيث يحسن الاستفادة من ذلك الموقع</w:t>
      </w:r>
      <w:r w:rsidR="001A0AA4" w:rsidRPr="00282AC9">
        <w:rPr>
          <w:rFonts w:ascii="Simplified Arabic" w:hAnsi="Simplified Arabic" w:hint="cs"/>
          <w:sz w:val="27"/>
          <w:rtl/>
        </w:rPr>
        <w:t>.</w:t>
      </w:r>
      <w:r w:rsidRPr="00282AC9">
        <w:rPr>
          <w:rFonts w:ascii="Simplified Arabic" w:hAnsi="Simplified Arabic"/>
          <w:sz w:val="27"/>
          <w:rtl/>
        </w:rPr>
        <w:t xml:space="preserve"> إضافة</w:t>
      </w:r>
      <w:r w:rsidR="001A0AA4" w:rsidRPr="00282AC9">
        <w:rPr>
          <w:rFonts w:ascii="Simplified Arabic" w:hAnsi="Simplified Arabic" w:hint="cs"/>
          <w:sz w:val="27"/>
          <w:rtl/>
        </w:rPr>
        <w:t>ً</w:t>
      </w:r>
      <w:r w:rsidRPr="00282AC9">
        <w:rPr>
          <w:rFonts w:ascii="Simplified Arabic" w:hAnsi="Simplified Arabic"/>
          <w:sz w:val="27"/>
          <w:rtl/>
        </w:rPr>
        <w:t xml:space="preserve"> إلى أن عزيز مصر كان كافراً</w:t>
      </w:r>
      <w:r w:rsidR="001A0AA4" w:rsidRPr="00282AC9">
        <w:rPr>
          <w:rFonts w:ascii="Simplified Arabic" w:hAnsi="Simplified Arabic" w:hint="cs"/>
          <w:sz w:val="27"/>
          <w:rtl/>
        </w:rPr>
        <w:t>،</w:t>
      </w:r>
      <w:r w:rsidRPr="00282AC9">
        <w:rPr>
          <w:rFonts w:ascii="Simplified Arabic" w:hAnsi="Simplified Arabic"/>
          <w:sz w:val="27"/>
          <w:rtl/>
        </w:rPr>
        <w:t xml:space="preserve"> والمأمون مسلم</w:t>
      </w:r>
      <w:r w:rsidR="001A0AA4" w:rsidRPr="00282AC9">
        <w:rPr>
          <w:rFonts w:ascii="Simplified Arabic" w:hAnsi="Simplified Arabic" w:hint="cs"/>
          <w:sz w:val="27"/>
          <w:rtl/>
        </w:rPr>
        <w:t>ٌ</w:t>
      </w:r>
      <w:r w:rsidRPr="00282AC9">
        <w:rPr>
          <w:rFonts w:ascii="Simplified Arabic" w:hAnsi="Simplified Arabic"/>
          <w:sz w:val="27"/>
          <w:rtl/>
        </w:rPr>
        <w:t xml:space="preserve"> فاسق. لقد كان يوسف نبي</w:t>
      </w:r>
      <w:r w:rsidR="001A0AA4" w:rsidRPr="00282AC9">
        <w:rPr>
          <w:rFonts w:ascii="Simplified Arabic" w:hAnsi="Simplified Arabic" w:hint="cs"/>
          <w:sz w:val="27"/>
          <w:rtl/>
        </w:rPr>
        <w:t>ّ</w:t>
      </w:r>
      <w:r w:rsidRPr="00282AC9">
        <w:rPr>
          <w:rFonts w:ascii="Simplified Arabic" w:hAnsi="Simplified Arabic"/>
          <w:sz w:val="27"/>
          <w:rtl/>
        </w:rPr>
        <w:t>اً، وأنا وصي</w:t>
      </w:r>
      <w:r w:rsidR="001A0AA4" w:rsidRPr="00282AC9">
        <w:rPr>
          <w:rFonts w:ascii="Simplified Arabic" w:hAnsi="Simplified Arabic" w:hint="cs"/>
          <w:sz w:val="27"/>
          <w:rtl/>
        </w:rPr>
        <w:t>ّ</w:t>
      </w:r>
      <w:r w:rsidRPr="00282AC9">
        <w:rPr>
          <w:rFonts w:ascii="Simplified Arabic" w:hAnsi="Simplified Arabic"/>
          <w:sz w:val="27"/>
          <w:rtl/>
        </w:rPr>
        <w:t xml:space="preserve"> نبي</w:t>
      </w:r>
      <w:r w:rsidR="001A0AA4" w:rsidRPr="00282AC9">
        <w:rPr>
          <w:rFonts w:ascii="Simplified Arabic" w:hAnsi="Simplified Arabic" w:hint="cs"/>
          <w:sz w:val="27"/>
          <w:rtl/>
        </w:rPr>
        <w:t>ّ</w:t>
      </w:r>
      <w:r w:rsidR="00CC45EB" w:rsidRPr="00282AC9">
        <w:rPr>
          <w:rFonts w:ascii="Simplified Arabic" w:hAnsi="Simplified Arabic" w:hint="cs"/>
          <w:sz w:val="27"/>
          <w:rtl/>
        </w:rPr>
        <w:t>.</w:t>
      </w:r>
      <w:r w:rsidRPr="00282AC9">
        <w:rPr>
          <w:rFonts w:ascii="Simplified Arabic" w:hAnsi="Simplified Arabic"/>
          <w:sz w:val="27"/>
          <w:rtl/>
        </w:rPr>
        <w:t xml:space="preserve"> هو طلب ذلك، وأنا أ</w:t>
      </w:r>
      <w:r w:rsidR="001A0AA4" w:rsidRPr="00282AC9">
        <w:rPr>
          <w:rFonts w:ascii="Simplified Arabic" w:hAnsi="Simplified Arabic" w:hint="cs"/>
          <w:sz w:val="27"/>
          <w:rtl/>
        </w:rPr>
        <w:t>ُ</w:t>
      </w:r>
      <w:r w:rsidRPr="00282AC9">
        <w:rPr>
          <w:rFonts w:ascii="Simplified Arabic" w:hAnsi="Simplified Arabic"/>
          <w:sz w:val="27"/>
          <w:rtl/>
        </w:rPr>
        <w:t>ج</w:t>
      </w:r>
      <w:r w:rsidR="001A0AA4" w:rsidRPr="00282AC9">
        <w:rPr>
          <w:rFonts w:ascii="Simplified Arabic" w:hAnsi="Simplified Arabic" w:hint="cs"/>
          <w:sz w:val="27"/>
          <w:rtl/>
        </w:rPr>
        <w:t>ْ</w:t>
      </w:r>
      <w:r w:rsidRPr="00282AC9">
        <w:rPr>
          <w:rFonts w:ascii="Simplified Arabic" w:hAnsi="Simplified Arabic"/>
          <w:sz w:val="27"/>
          <w:rtl/>
        </w:rPr>
        <w:t>ب</w:t>
      </w:r>
      <w:r w:rsidR="001A0AA4" w:rsidRPr="00282AC9">
        <w:rPr>
          <w:rFonts w:ascii="Simplified Arabic" w:hAnsi="Simplified Arabic" w:hint="cs"/>
          <w:sz w:val="27"/>
          <w:rtl/>
        </w:rPr>
        <w:t>ِ</w:t>
      </w:r>
      <w:r w:rsidRPr="00282AC9">
        <w:rPr>
          <w:rFonts w:ascii="Simplified Arabic" w:hAnsi="Simplified Arabic"/>
          <w:sz w:val="27"/>
          <w:rtl/>
        </w:rPr>
        <w:t>ر</w:t>
      </w:r>
      <w:r w:rsidR="001A0AA4" w:rsidRPr="00282AC9">
        <w:rPr>
          <w:rFonts w:ascii="Simplified Arabic" w:hAnsi="Simplified Arabic" w:hint="cs"/>
          <w:sz w:val="27"/>
          <w:rtl/>
        </w:rPr>
        <w:t>ْ</w:t>
      </w:r>
      <w:r w:rsidRPr="00282AC9">
        <w:rPr>
          <w:rFonts w:ascii="Simplified Arabic" w:hAnsi="Simplified Arabic"/>
          <w:sz w:val="27"/>
          <w:rtl/>
        </w:rPr>
        <w:t>ت</w:t>
      </w:r>
      <w:r w:rsidR="00CC45EB" w:rsidRPr="00282AC9">
        <w:rPr>
          <w:rFonts w:ascii="Simplified Arabic" w:hAnsi="Simplified Arabic" w:hint="cs"/>
          <w:sz w:val="27"/>
          <w:rtl/>
        </w:rPr>
        <w:t>ُ</w:t>
      </w:r>
      <w:r w:rsidRPr="00282AC9">
        <w:rPr>
          <w:rFonts w:ascii="Simplified Arabic" w:hAnsi="Simplified Arabic"/>
          <w:sz w:val="27"/>
          <w:rtl/>
        </w:rPr>
        <w:t xml:space="preserve"> على ذلك</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66"/>
      </w:r>
      <w:r w:rsidRPr="00282AC9">
        <w:rPr>
          <w:rFonts w:ascii="Simplified Arabic" w:hAnsi="Simplified Arabic"/>
          <w:sz w:val="27"/>
          <w:vertAlign w:val="superscript"/>
          <w:rtl/>
        </w:rPr>
        <w:t>)</w:t>
      </w:r>
      <w:r w:rsidRPr="00282AC9">
        <w:rPr>
          <w:rFonts w:ascii="Simplified Arabic" w:hAnsi="Simplified Arabic"/>
          <w:sz w:val="27"/>
          <w:rtl/>
        </w:rPr>
        <w:t>.</w:t>
      </w:r>
    </w:p>
    <w:p w:rsidR="00367C53" w:rsidRPr="00282AC9" w:rsidRDefault="00367C53" w:rsidP="00367C53">
      <w:pPr>
        <w:spacing w:line="420" w:lineRule="exact"/>
        <w:rPr>
          <w:sz w:val="27"/>
          <w:rtl/>
        </w:rPr>
      </w:pPr>
    </w:p>
    <w:p w:rsidR="007359AA" w:rsidRPr="00282AC9" w:rsidRDefault="007359AA" w:rsidP="00715FC8">
      <w:pPr>
        <w:pStyle w:val="31"/>
        <w:rPr>
          <w:b/>
          <w:color w:val="auto"/>
          <w:rtl/>
        </w:rPr>
      </w:pPr>
      <w:r w:rsidRPr="00282AC9">
        <w:rPr>
          <w:color w:val="auto"/>
          <w:rtl/>
        </w:rPr>
        <w:t xml:space="preserve">المبحث </w:t>
      </w:r>
      <w:r w:rsidRPr="00282AC9">
        <w:rPr>
          <w:rFonts w:hint="cs"/>
          <w:color w:val="auto"/>
          <w:rtl/>
        </w:rPr>
        <w:t>الثالث</w:t>
      </w:r>
      <w:r w:rsidRPr="00282AC9">
        <w:rPr>
          <w:color w:val="auto"/>
          <w:rtl/>
        </w:rPr>
        <w:t xml:space="preserve">: </w:t>
      </w:r>
      <w:r w:rsidR="00CC45EB" w:rsidRPr="00282AC9">
        <w:rPr>
          <w:rFonts w:hint="cs"/>
          <w:color w:val="auto"/>
          <w:rtl/>
        </w:rPr>
        <w:t>خلاصاتٌ واستنتاجاتٌ م</w:t>
      </w:r>
      <w:r w:rsidRPr="00282AC9">
        <w:rPr>
          <w:rFonts w:hint="cs"/>
          <w:color w:val="auto"/>
          <w:rtl/>
        </w:rPr>
        <w:t>عاصرة</w:t>
      </w:r>
    </w:p>
    <w:p w:rsidR="007359AA" w:rsidRPr="00282AC9" w:rsidRDefault="007359AA" w:rsidP="00D47E7C">
      <w:pPr>
        <w:rPr>
          <w:rFonts w:ascii="Simplified Arabic" w:hAnsi="Simplified Arabic"/>
          <w:sz w:val="27"/>
          <w:rtl/>
        </w:rPr>
      </w:pPr>
      <w:r w:rsidRPr="00282AC9">
        <w:rPr>
          <w:rFonts w:ascii="Simplified Arabic" w:hAnsi="Simplified Arabic"/>
          <w:sz w:val="27"/>
          <w:rtl/>
        </w:rPr>
        <w:t>أد</w:t>
      </w:r>
      <w:r w:rsidR="00CC45EB" w:rsidRPr="00282AC9">
        <w:rPr>
          <w:rFonts w:ascii="Simplified Arabic" w:hAnsi="Simplified Arabic" w:hint="cs"/>
          <w:sz w:val="27"/>
          <w:rtl/>
        </w:rPr>
        <w:t>ّ</w:t>
      </w:r>
      <w:r w:rsidRPr="00282AC9">
        <w:rPr>
          <w:rFonts w:ascii="Simplified Arabic" w:hAnsi="Simplified Arabic"/>
          <w:sz w:val="27"/>
          <w:rtl/>
        </w:rPr>
        <w:t>ى الإمام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هذا ال</w:t>
      </w:r>
      <w:r w:rsidR="00CC45EB" w:rsidRPr="00282AC9">
        <w:rPr>
          <w:rFonts w:ascii="Simplified Arabic" w:hAnsi="Simplified Arabic"/>
          <w:sz w:val="27"/>
          <w:rtl/>
        </w:rPr>
        <w:t>د</w:t>
      </w:r>
      <w:r w:rsidR="00CC45EB" w:rsidRPr="00282AC9">
        <w:rPr>
          <w:rFonts w:ascii="Simplified Arabic" w:hAnsi="Simplified Arabic" w:hint="cs"/>
          <w:sz w:val="27"/>
          <w:rtl/>
        </w:rPr>
        <w:t>َّ</w:t>
      </w:r>
      <w:r w:rsidR="00EE6DBA" w:rsidRPr="00282AC9">
        <w:rPr>
          <w:rFonts w:ascii="Simplified Arabic" w:hAnsi="Simplified Arabic"/>
          <w:sz w:val="27"/>
          <w:rtl/>
        </w:rPr>
        <w:t>وْر</w:t>
      </w:r>
      <w:r w:rsidRPr="00282AC9">
        <w:rPr>
          <w:rFonts w:ascii="Simplified Arabic" w:hAnsi="Simplified Arabic"/>
          <w:sz w:val="27"/>
          <w:rtl/>
        </w:rPr>
        <w:t xml:space="preserve"> الرسالي الكبير على </w:t>
      </w:r>
      <w:r w:rsidRPr="00282AC9">
        <w:rPr>
          <w:rFonts w:ascii="Simplified Arabic" w:hAnsi="Simplified Arabic" w:hint="cs"/>
          <w:sz w:val="27"/>
          <w:rtl/>
        </w:rPr>
        <w:t>الصعيد العلمي والتربوي</w:t>
      </w:r>
      <w:r w:rsidR="00CC45EB" w:rsidRPr="00282AC9">
        <w:rPr>
          <w:rFonts w:ascii="Simplified Arabic" w:hAnsi="Simplified Arabic" w:hint="cs"/>
          <w:sz w:val="27"/>
          <w:rtl/>
        </w:rPr>
        <w:t>، الذي لا يمكن</w:t>
      </w:r>
      <w:r w:rsidRPr="00282AC9">
        <w:rPr>
          <w:rFonts w:ascii="Simplified Arabic" w:hAnsi="Simplified Arabic" w:hint="cs"/>
          <w:sz w:val="27"/>
          <w:rtl/>
        </w:rPr>
        <w:t xml:space="preserve"> فصل</w:t>
      </w:r>
      <w:r w:rsidR="00CC45EB" w:rsidRPr="00282AC9">
        <w:rPr>
          <w:rFonts w:ascii="Simplified Arabic" w:hAnsi="Simplified Arabic" w:hint="cs"/>
          <w:sz w:val="27"/>
          <w:rtl/>
        </w:rPr>
        <w:t>ُ</w:t>
      </w:r>
      <w:r w:rsidRPr="00282AC9">
        <w:rPr>
          <w:rFonts w:ascii="Simplified Arabic" w:hAnsi="Simplified Arabic" w:hint="cs"/>
          <w:sz w:val="27"/>
          <w:rtl/>
        </w:rPr>
        <w:t>ه في العمق عن الجانب والمجال السياسي</w:t>
      </w:r>
      <w:r w:rsidR="00CC45EB" w:rsidRPr="00282AC9">
        <w:rPr>
          <w:rFonts w:ascii="Simplified Arabic" w:hAnsi="Simplified Arabic" w:hint="cs"/>
          <w:sz w:val="27"/>
          <w:rtl/>
        </w:rPr>
        <w:t>ّ</w:t>
      </w:r>
      <w:r w:rsidRPr="00282AC9">
        <w:rPr>
          <w:rFonts w:ascii="Simplified Arabic" w:hAnsi="Simplified Arabic" w:hint="cs"/>
          <w:sz w:val="27"/>
          <w:rtl/>
        </w:rPr>
        <w:t xml:space="preserve"> العملي</w:t>
      </w:r>
      <w:r w:rsidR="00CC45EB" w:rsidRPr="00282AC9">
        <w:rPr>
          <w:rFonts w:ascii="Simplified Arabic" w:hAnsi="Simplified Arabic" w:hint="cs"/>
          <w:sz w:val="27"/>
          <w:rtl/>
        </w:rPr>
        <w:t>ّ،</w:t>
      </w:r>
      <w:r w:rsidRPr="00282AC9">
        <w:rPr>
          <w:rFonts w:ascii="Simplified Arabic" w:hAnsi="Simplified Arabic" w:hint="cs"/>
          <w:sz w:val="27"/>
          <w:rtl/>
        </w:rPr>
        <w:t xml:space="preserve"> الذي لم يمارسه الإمام بشكل</w:t>
      </w:r>
      <w:r w:rsidR="00CC45EB" w:rsidRPr="00282AC9">
        <w:rPr>
          <w:rFonts w:ascii="Simplified Arabic" w:hAnsi="Simplified Arabic" w:hint="cs"/>
          <w:sz w:val="27"/>
          <w:rtl/>
        </w:rPr>
        <w:t>ٍ</w:t>
      </w:r>
      <w:r w:rsidRPr="00282AC9">
        <w:rPr>
          <w:rFonts w:ascii="Simplified Arabic" w:hAnsi="Simplified Arabic" w:hint="cs"/>
          <w:sz w:val="27"/>
          <w:rtl/>
        </w:rPr>
        <w:t xml:space="preserve"> مباشر</w:t>
      </w:r>
      <w:r w:rsidR="00CC45EB" w:rsidRPr="00282AC9">
        <w:rPr>
          <w:rFonts w:ascii="Simplified Arabic" w:hAnsi="Simplified Arabic" w:hint="cs"/>
          <w:sz w:val="27"/>
          <w:rtl/>
        </w:rPr>
        <w:t>.</w:t>
      </w:r>
      <w:r w:rsidRPr="00282AC9">
        <w:rPr>
          <w:rFonts w:ascii="Simplified Arabic" w:hAnsi="Simplified Arabic" w:hint="cs"/>
          <w:sz w:val="27"/>
          <w:rtl/>
        </w:rPr>
        <w:t xml:space="preserve"> </w:t>
      </w:r>
      <w:r w:rsidRPr="00282AC9">
        <w:rPr>
          <w:rFonts w:ascii="Simplified Arabic" w:hAnsi="Simplified Arabic"/>
          <w:sz w:val="27"/>
          <w:rtl/>
        </w:rPr>
        <w:t xml:space="preserve">واستطاع </w:t>
      </w:r>
      <w:r w:rsidRPr="00282AC9">
        <w:rPr>
          <w:rFonts w:ascii="Simplified Arabic" w:hAnsi="Simplified Arabic" w:hint="cs"/>
          <w:sz w:val="27"/>
          <w:rtl/>
        </w:rPr>
        <w:t xml:space="preserve">ـ </w:t>
      </w:r>
      <w:r w:rsidRPr="00282AC9">
        <w:rPr>
          <w:rFonts w:ascii="Simplified Arabic" w:hAnsi="Simplified Arabic"/>
          <w:sz w:val="27"/>
          <w:rtl/>
        </w:rPr>
        <w:t>بالرغم من التحد</w:t>
      </w:r>
      <w:r w:rsidR="00CC45EB" w:rsidRPr="00282AC9">
        <w:rPr>
          <w:rFonts w:ascii="Simplified Arabic" w:hAnsi="Simplified Arabic" w:hint="cs"/>
          <w:sz w:val="27"/>
          <w:rtl/>
        </w:rPr>
        <w:t>ِّ</w:t>
      </w:r>
      <w:r w:rsidRPr="00282AC9">
        <w:rPr>
          <w:rFonts w:ascii="Simplified Arabic" w:hAnsi="Simplified Arabic"/>
          <w:sz w:val="27"/>
          <w:rtl/>
        </w:rPr>
        <w:t>يات القاسية التي واجه</w:t>
      </w:r>
      <w:r w:rsidR="00CC45EB" w:rsidRPr="00282AC9">
        <w:rPr>
          <w:rFonts w:ascii="Simplified Arabic" w:hAnsi="Simplified Arabic" w:hint="cs"/>
          <w:sz w:val="27"/>
          <w:rtl/>
        </w:rPr>
        <w:t>َ</w:t>
      </w:r>
      <w:r w:rsidRPr="00282AC9">
        <w:rPr>
          <w:rFonts w:ascii="Simplified Arabic" w:hAnsi="Simplified Arabic"/>
          <w:sz w:val="27"/>
          <w:rtl/>
        </w:rPr>
        <w:t>ت</w:t>
      </w:r>
      <w:r w:rsidR="00CC45EB" w:rsidRPr="00282AC9">
        <w:rPr>
          <w:rFonts w:ascii="Simplified Arabic" w:hAnsi="Simplified Arabic" w:hint="cs"/>
          <w:sz w:val="27"/>
          <w:rtl/>
        </w:rPr>
        <w:t>ْ</w:t>
      </w:r>
      <w:r w:rsidRPr="00282AC9">
        <w:rPr>
          <w:rFonts w:ascii="Simplified Arabic" w:hAnsi="Simplified Arabic"/>
          <w:sz w:val="27"/>
          <w:rtl/>
        </w:rPr>
        <w:t>ه ـ إجلاء</w:t>
      </w:r>
      <w:r w:rsidRPr="00282AC9">
        <w:rPr>
          <w:rFonts w:ascii="Simplified Arabic" w:hAnsi="Simplified Arabic" w:hint="cs"/>
          <w:sz w:val="27"/>
          <w:rtl/>
        </w:rPr>
        <w:t>َ</w:t>
      </w:r>
      <w:r w:rsidRPr="00282AC9">
        <w:rPr>
          <w:rFonts w:ascii="Simplified Arabic" w:hAnsi="Simplified Arabic"/>
          <w:sz w:val="27"/>
          <w:rtl/>
        </w:rPr>
        <w:t xml:space="preserve"> الغموض والل</w:t>
      </w:r>
      <w:r w:rsidR="00CC45EB" w:rsidRPr="00282AC9">
        <w:rPr>
          <w:rFonts w:ascii="Simplified Arabic" w:hAnsi="Simplified Arabic" w:hint="cs"/>
          <w:sz w:val="27"/>
          <w:rtl/>
        </w:rPr>
        <w:t>َّ</w:t>
      </w:r>
      <w:r w:rsidRPr="00282AC9">
        <w:rPr>
          <w:rFonts w:ascii="Simplified Arabic" w:hAnsi="Simplified Arabic"/>
          <w:sz w:val="27"/>
          <w:rtl/>
        </w:rPr>
        <w:t>ب</w:t>
      </w:r>
      <w:r w:rsidR="00CC45EB" w:rsidRPr="00282AC9">
        <w:rPr>
          <w:rFonts w:ascii="Simplified Arabic" w:hAnsi="Simplified Arabic" w:hint="cs"/>
          <w:sz w:val="27"/>
          <w:rtl/>
        </w:rPr>
        <w:t>ْ</w:t>
      </w:r>
      <w:r w:rsidRPr="00282AC9">
        <w:rPr>
          <w:rFonts w:ascii="Simplified Arabic" w:hAnsi="Simplified Arabic"/>
          <w:sz w:val="27"/>
          <w:rtl/>
        </w:rPr>
        <w:t>س عن كثير</w:t>
      </w:r>
      <w:r w:rsidR="00CC45EB" w:rsidRPr="00282AC9">
        <w:rPr>
          <w:rFonts w:ascii="Simplified Arabic" w:hAnsi="Simplified Arabic" w:hint="cs"/>
          <w:sz w:val="27"/>
          <w:rtl/>
        </w:rPr>
        <w:t>ٍ</w:t>
      </w:r>
      <w:r w:rsidRPr="00282AC9">
        <w:rPr>
          <w:rFonts w:ascii="Simplified Arabic" w:hAnsi="Simplified Arabic"/>
          <w:sz w:val="27"/>
          <w:rtl/>
        </w:rPr>
        <w:t xml:space="preserve"> من المفاهيم والتصو</w:t>
      </w:r>
      <w:r w:rsidR="00CC45EB" w:rsidRPr="00282AC9">
        <w:rPr>
          <w:rFonts w:ascii="Simplified Arabic" w:hAnsi="Simplified Arabic" w:hint="cs"/>
          <w:sz w:val="27"/>
          <w:rtl/>
        </w:rPr>
        <w:t>ُّ</w:t>
      </w:r>
      <w:r w:rsidRPr="00282AC9">
        <w:rPr>
          <w:rFonts w:ascii="Simplified Arabic" w:hAnsi="Simplified Arabic"/>
          <w:sz w:val="27"/>
          <w:rtl/>
        </w:rPr>
        <w:t>رات الإسلامي</w:t>
      </w:r>
      <w:r w:rsidR="00CC45EB" w:rsidRPr="00282AC9">
        <w:rPr>
          <w:rFonts w:ascii="Simplified Arabic" w:hAnsi="Simplified Arabic" w:hint="cs"/>
          <w:sz w:val="27"/>
          <w:rtl/>
        </w:rPr>
        <w:t>ّ</w:t>
      </w:r>
      <w:r w:rsidRPr="00282AC9">
        <w:rPr>
          <w:rFonts w:ascii="Simplified Arabic" w:hAnsi="Simplified Arabic"/>
          <w:sz w:val="27"/>
          <w:rtl/>
        </w:rPr>
        <w:t>ة الأصلي</w:t>
      </w:r>
      <w:r w:rsidR="00CC45EB" w:rsidRPr="00282AC9">
        <w:rPr>
          <w:rFonts w:ascii="Simplified Arabic" w:hAnsi="Simplified Arabic" w:hint="cs"/>
          <w:sz w:val="27"/>
          <w:rtl/>
        </w:rPr>
        <w:t>ّ</w:t>
      </w:r>
      <w:r w:rsidRPr="00282AC9">
        <w:rPr>
          <w:rFonts w:ascii="Simplified Arabic" w:hAnsi="Simplified Arabic"/>
          <w:sz w:val="27"/>
          <w:rtl/>
        </w:rPr>
        <w:t>ة، وعرضها بأروع الصور</w:t>
      </w:r>
      <w:r w:rsidR="00CC45EB" w:rsidRPr="00282AC9">
        <w:rPr>
          <w:rFonts w:ascii="Simplified Arabic" w:hAnsi="Simplified Arabic" w:hint="cs"/>
          <w:sz w:val="27"/>
          <w:rtl/>
        </w:rPr>
        <w:t>،</w:t>
      </w:r>
      <w:r w:rsidRPr="00282AC9">
        <w:rPr>
          <w:rFonts w:ascii="Simplified Arabic" w:hAnsi="Simplified Arabic"/>
          <w:sz w:val="27"/>
          <w:rtl/>
        </w:rPr>
        <w:t xml:space="preserve"> وأنقى المضامين</w:t>
      </w:r>
      <w:r w:rsidR="00CC45EB" w:rsidRPr="00282AC9">
        <w:rPr>
          <w:rFonts w:ascii="Simplified Arabic" w:hAnsi="Simplified Arabic" w:hint="cs"/>
          <w:sz w:val="27"/>
          <w:rtl/>
        </w:rPr>
        <w:t>،</w:t>
      </w:r>
      <w:r w:rsidRPr="00282AC9">
        <w:rPr>
          <w:rFonts w:ascii="Simplified Arabic" w:hAnsi="Simplified Arabic"/>
          <w:sz w:val="27"/>
          <w:rtl/>
        </w:rPr>
        <w:t xml:space="preserve"> وأنصع البيانات</w:t>
      </w:r>
      <w:r w:rsidR="00CC45EB" w:rsidRPr="00282AC9">
        <w:rPr>
          <w:rFonts w:ascii="Simplified Arabic" w:hAnsi="Simplified Arabic" w:hint="cs"/>
          <w:sz w:val="27"/>
          <w:rtl/>
        </w:rPr>
        <w:t>؛</w:t>
      </w:r>
      <w:r w:rsidRPr="00282AC9">
        <w:rPr>
          <w:rFonts w:ascii="Simplified Arabic" w:hAnsi="Simplified Arabic"/>
          <w:sz w:val="27"/>
          <w:rtl/>
        </w:rPr>
        <w:t xml:space="preserve"> وذلك به</w:t>
      </w:r>
      <w:r w:rsidR="00CC45EB" w:rsidRPr="00282AC9">
        <w:rPr>
          <w:rFonts w:ascii="Simplified Arabic" w:hAnsi="Simplified Arabic" w:hint="cs"/>
          <w:sz w:val="27"/>
          <w:rtl/>
        </w:rPr>
        <w:t>َ</w:t>
      </w:r>
      <w:r w:rsidRPr="00282AC9">
        <w:rPr>
          <w:rFonts w:ascii="Simplified Arabic" w:hAnsi="Simplified Arabic"/>
          <w:sz w:val="27"/>
          <w:rtl/>
        </w:rPr>
        <w:t>د</w:t>
      </w:r>
      <w:r w:rsidR="00CC45EB" w:rsidRPr="00282AC9">
        <w:rPr>
          <w:rFonts w:ascii="Simplified Arabic" w:hAnsi="Simplified Arabic" w:hint="cs"/>
          <w:sz w:val="27"/>
          <w:rtl/>
        </w:rPr>
        <w:t>َ</w:t>
      </w:r>
      <w:r w:rsidRPr="00282AC9">
        <w:rPr>
          <w:rFonts w:ascii="Simplified Arabic" w:hAnsi="Simplified Arabic"/>
          <w:sz w:val="27"/>
          <w:rtl/>
        </w:rPr>
        <w:t>ف الحفاظ على طهارتها وأصالتها ونضارتها في ذهني</w:t>
      </w:r>
      <w:r w:rsidR="00CC45EB" w:rsidRPr="00282AC9">
        <w:rPr>
          <w:rFonts w:ascii="Simplified Arabic" w:hAnsi="Simplified Arabic" w:hint="cs"/>
          <w:sz w:val="27"/>
          <w:rtl/>
        </w:rPr>
        <w:t>ّ</w:t>
      </w:r>
      <w:r w:rsidRPr="00282AC9">
        <w:rPr>
          <w:rFonts w:ascii="Simplified Arabic" w:hAnsi="Simplified Arabic"/>
          <w:sz w:val="27"/>
          <w:rtl/>
        </w:rPr>
        <w:t>ة المجتمع وذاكرة الأم</w:t>
      </w:r>
      <w:r w:rsidR="00CC45EB" w:rsidRPr="00282AC9">
        <w:rPr>
          <w:rFonts w:ascii="Simplified Arabic" w:hAnsi="Simplified Arabic" w:hint="cs"/>
          <w:sz w:val="27"/>
          <w:rtl/>
        </w:rPr>
        <w:t>ّ</w:t>
      </w:r>
      <w:r w:rsidRPr="00282AC9">
        <w:rPr>
          <w:rFonts w:ascii="Simplified Arabic" w:hAnsi="Simplified Arabic"/>
          <w:sz w:val="27"/>
          <w:rtl/>
        </w:rPr>
        <w:t>ة</w:t>
      </w:r>
      <w:r w:rsidRPr="00282AC9">
        <w:rPr>
          <w:rFonts w:ascii="Simplified Arabic" w:hAnsi="Simplified Arabic" w:hint="cs"/>
          <w:sz w:val="27"/>
          <w:rtl/>
        </w:rPr>
        <w:t>. وحت</w:t>
      </w:r>
      <w:r w:rsidR="00CC45EB" w:rsidRPr="00282AC9">
        <w:rPr>
          <w:rFonts w:ascii="Simplified Arabic" w:hAnsi="Simplified Arabic" w:hint="cs"/>
          <w:sz w:val="27"/>
          <w:rtl/>
        </w:rPr>
        <w:t>ّ</w:t>
      </w:r>
      <w:r w:rsidRPr="00282AC9">
        <w:rPr>
          <w:rFonts w:ascii="Simplified Arabic" w:hAnsi="Simplified Arabic" w:hint="cs"/>
          <w:sz w:val="27"/>
          <w:rtl/>
        </w:rPr>
        <w:t xml:space="preserve">ى على صعيد </w:t>
      </w:r>
      <w:r w:rsidRPr="00282AC9">
        <w:rPr>
          <w:rFonts w:ascii="Simplified Arabic" w:hAnsi="Simplified Arabic"/>
          <w:sz w:val="27"/>
          <w:rtl/>
        </w:rPr>
        <w:t>قبول</w:t>
      </w:r>
      <w:r w:rsidRPr="00282AC9">
        <w:rPr>
          <w:rFonts w:ascii="Simplified Arabic" w:hAnsi="Simplified Arabic" w:hint="cs"/>
          <w:sz w:val="27"/>
          <w:rtl/>
        </w:rPr>
        <w:t>ه</w:t>
      </w:r>
      <w:r w:rsidR="009A2A04" w:rsidRPr="00282AC9">
        <w:rPr>
          <w:rFonts w:ascii="Simplified Arabic" w:hAnsi="Simplified Arabic" w:cs="Mosawi" w:hint="cs"/>
          <w:sz w:val="22"/>
          <w:szCs w:val="22"/>
          <w:rtl/>
        </w:rPr>
        <w:t>×</w:t>
      </w:r>
      <w:r w:rsidRPr="00282AC9">
        <w:rPr>
          <w:rFonts w:ascii="Simplified Arabic" w:hAnsi="Simplified Arabic"/>
          <w:sz w:val="27"/>
          <w:rtl/>
        </w:rPr>
        <w:t xml:space="preserve"> بولاية العهد، ونزوله</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67"/>
      </w:r>
      <w:r w:rsidRPr="00282AC9">
        <w:rPr>
          <w:rFonts w:ascii="Simplified Arabic" w:hAnsi="Simplified Arabic"/>
          <w:sz w:val="27"/>
          <w:vertAlign w:val="superscript"/>
          <w:rtl/>
        </w:rPr>
        <w:t>)</w:t>
      </w:r>
      <w:r w:rsidRPr="00282AC9">
        <w:rPr>
          <w:rFonts w:ascii="Simplified Arabic" w:hAnsi="Simplified Arabic"/>
          <w:sz w:val="27"/>
          <w:rtl/>
        </w:rPr>
        <w:t xml:space="preserve"> إلى أرض الواقع المليء بالأشواك والح</w:t>
      </w:r>
      <w:r w:rsidR="00CC45EB" w:rsidRPr="00282AC9">
        <w:rPr>
          <w:rFonts w:ascii="Simplified Arabic" w:hAnsi="Simplified Arabic" w:hint="cs"/>
          <w:sz w:val="27"/>
          <w:rtl/>
        </w:rPr>
        <w:t>ُ</w:t>
      </w:r>
      <w:r w:rsidRPr="00282AC9">
        <w:rPr>
          <w:rFonts w:ascii="Simplified Arabic" w:hAnsi="Simplified Arabic"/>
          <w:sz w:val="27"/>
          <w:rtl/>
        </w:rPr>
        <w:t>ف</w:t>
      </w:r>
      <w:r w:rsidR="00CC45EB" w:rsidRPr="00282AC9">
        <w:rPr>
          <w:rFonts w:ascii="Simplified Arabic" w:hAnsi="Simplified Arabic" w:hint="cs"/>
          <w:sz w:val="27"/>
          <w:rtl/>
        </w:rPr>
        <w:t>َ</w:t>
      </w:r>
      <w:r w:rsidRPr="00282AC9">
        <w:rPr>
          <w:rFonts w:ascii="Simplified Arabic" w:hAnsi="Simplified Arabic"/>
          <w:sz w:val="27"/>
          <w:rtl/>
        </w:rPr>
        <w:t>ر</w:t>
      </w:r>
      <w:r w:rsidRPr="00282AC9">
        <w:rPr>
          <w:rFonts w:ascii="Simplified Arabic" w:hAnsi="Simplified Arabic" w:hint="cs"/>
          <w:sz w:val="27"/>
          <w:rtl/>
        </w:rPr>
        <w:t>، فهو أمر</w:t>
      </w:r>
      <w:r w:rsidR="00CC45EB" w:rsidRPr="00282AC9">
        <w:rPr>
          <w:rFonts w:ascii="Simplified Arabic" w:hAnsi="Simplified Arabic" w:hint="cs"/>
          <w:sz w:val="27"/>
          <w:rtl/>
        </w:rPr>
        <w:t>ٌ</w:t>
      </w:r>
      <w:r w:rsidRPr="00282AC9">
        <w:rPr>
          <w:rFonts w:ascii="Simplified Arabic" w:hAnsi="Simplified Arabic" w:hint="cs"/>
          <w:sz w:val="27"/>
          <w:rtl/>
        </w:rPr>
        <w:t xml:space="preserve"> لم يأت</w:t>
      </w:r>
      <w:r w:rsidR="00CC45EB" w:rsidRPr="00282AC9">
        <w:rPr>
          <w:rFonts w:ascii="Simplified Arabic" w:hAnsi="Simplified Arabic" w:hint="cs"/>
          <w:sz w:val="27"/>
          <w:rtl/>
        </w:rPr>
        <w:t>ِ</w:t>
      </w:r>
      <w:r w:rsidRPr="00282AC9">
        <w:rPr>
          <w:rFonts w:ascii="Simplified Arabic" w:hAnsi="Simplified Arabic" w:hint="cs"/>
          <w:sz w:val="27"/>
          <w:rtl/>
        </w:rPr>
        <w:t xml:space="preserve"> إلا</w:t>
      </w:r>
      <w:r w:rsidR="00CC45EB" w:rsidRPr="00282AC9">
        <w:rPr>
          <w:rFonts w:ascii="Simplified Arabic" w:hAnsi="Simplified Arabic" w:hint="cs"/>
          <w:sz w:val="27"/>
          <w:rtl/>
        </w:rPr>
        <w:t>ّ</w:t>
      </w:r>
      <w:r w:rsidRPr="00282AC9">
        <w:rPr>
          <w:rFonts w:ascii="Simplified Arabic" w:hAnsi="Simplified Arabic" w:hint="cs"/>
          <w:sz w:val="27"/>
          <w:rtl/>
        </w:rPr>
        <w:t xml:space="preserve"> </w:t>
      </w:r>
      <w:r w:rsidRPr="00282AC9">
        <w:rPr>
          <w:rFonts w:ascii="Simplified Arabic" w:hAnsi="Simplified Arabic"/>
          <w:sz w:val="27"/>
          <w:rtl/>
        </w:rPr>
        <w:t>في إطار تمـس</w:t>
      </w:r>
      <w:r w:rsidR="00CC45EB" w:rsidRPr="00282AC9">
        <w:rPr>
          <w:rFonts w:ascii="Simplified Arabic" w:hAnsi="Simplified Arabic" w:hint="cs"/>
          <w:sz w:val="27"/>
          <w:rtl/>
        </w:rPr>
        <w:t>ُّ</w:t>
      </w:r>
      <w:r w:rsidRPr="00282AC9">
        <w:rPr>
          <w:rFonts w:ascii="Simplified Arabic" w:hAnsi="Simplified Arabic"/>
          <w:sz w:val="27"/>
          <w:rtl/>
        </w:rPr>
        <w:t>كه</w:t>
      </w:r>
      <w:r w:rsidR="009A2A04" w:rsidRPr="00282AC9">
        <w:rPr>
          <w:rFonts w:ascii="Simplified Arabic" w:hAnsi="Simplified Arabic" w:cs="Mosawi" w:hint="cs"/>
          <w:sz w:val="22"/>
          <w:szCs w:val="22"/>
          <w:rtl/>
        </w:rPr>
        <w:t>×</w:t>
      </w:r>
      <w:r w:rsidRPr="00282AC9">
        <w:rPr>
          <w:rFonts w:ascii="Simplified Arabic" w:hAnsi="Simplified Arabic"/>
          <w:sz w:val="27"/>
          <w:rtl/>
        </w:rPr>
        <w:t xml:space="preserve"> بإسلام الأم</w:t>
      </w:r>
      <w:r w:rsidR="00CC45EB" w:rsidRPr="00282AC9">
        <w:rPr>
          <w:rFonts w:ascii="Simplified Arabic" w:hAnsi="Simplified Arabic" w:hint="cs"/>
          <w:sz w:val="27"/>
          <w:rtl/>
        </w:rPr>
        <w:t>ّ</w:t>
      </w:r>
      <w:r w:rsidRPr="00282AC9">
        <w:rPr>
          <w:rFonts w:ascii="Simplified Arabic" w:hAnsi="Simplified Arabic"/>
          <w:sz w:val="27"/>
          <w:rtl/>
        </w:rPr>
        <w:t>ة والجماهير، وس</w:t>
      </w:r>
      <w:r w:rsidR="00CC45EB" w:rsidRPr="00282AC9">
        <w:rPr>
          <w:rFonts w:ascii="Simplified Arabic" w:hAnsi="Simplified Arabic" w:hint="cs"/>
          <w:sz w:val="27"/>
          <w:rtl/>
        </w:rPr>
        <w:t>َ</w:t>
      </w:r>
      <w:r w:rsidRPr="00282AC9">
        <w:rPr>
          <w:rFonts w:ascii="Simplified Arabic" w:hAnsi="Simplified Arabic"/>
          <w:sz w:val="27"/>
          <w:rtl/>
        </w:rPr>
        <w:t>ع</w:t>
      </w:r>
      <w:r w:rsidR="00CC45EB" w:rsidRPr="00282AC9">
        <w:rPr>
          <w:rFonts w:ascii="Simplified Arabic" w:hAnsi="Simplified Arabic" w:hint="cs"/>
          <w:sz w:val="27"/>
          <w:rtl/>
        </w:rPr>
        <w:t>ْ</w:t>
      </w:r>
      <w:r w:rsidRPr="00282AC9">
        <w:rPr>
          <w:rFonts w:ascii="Simplified Arabic" w:hAnsi="Simplified Arabic"/>
          <w:sz w:val="27"/>
          <w:rtl/>
        </w:rPr>
        <w:t>يه لخدمة مبادئه الرسـالية وأنظمتها الفكرية والعملية</w:t>
      </w:r>
      <w:r w:rsidRPr="00282AC9">
        <w:rPr>
          <w:rFonts w:ascii="Simplified Arabic" w:hAnsi="Simplified Arabic" w:hint="cs"/>
          <w:sz w:val="27"/>
          <w:rtl/>
        </w:rPr>
        <w:t>. وهو درس</w:t>
      </w:r>
      <w:r w:rsidR="00CC45EB" w:rsidRPr="00282AC9">
        <w:rPr>
          <w:rFonts w:ascii="Simplified Arabic" w:hAnsi="Simplified Arabic" w:hint="cs"/>
          <w:sz w:val="27"/>
          <w:rtl/>
        </w:rPr>
        <w:t>ٌ</w:t>
      </w:r>
      <w:r w:rsidRPr="00282AC9">
        <w:rPr>
          <w:rFonts w:ascii="Simplified Arabic" w:hAnsi="Simplified Arabic" w:hint="cs"/>
          <w:sz w:val="27"/>
          <w:rtl/>
        </w:rPr>
        <w:t xml:space="preserve"> عملي</w:t>
      </w:r>
      <w:r w:rsidR="00CC45EB" w:rsidRPr="00282AC9">
        <w:rPr>
          <w:rFonts w:ascii="Simplified Arabic" w:hAnsi="Simplified Arabic" w:hint="cs"/>
          <w:sz w:val="27"/>
          <w:rtl/>
        </w:rPr>
        <w:t>ّ</w:t>
      </w:r>
      <w:r w:rsidRPr="00282AC9">
        <w:rPr>
          <w:rFonts w:ascii="Simplified Arabic" w:hAnsi="Simplified Arabic" w:hint="cs"/>
          <w:sz w:val="27"/>
          <w:rtl/>
        </w:rPr>
        <w:t xml:space="preserve"> </w:t>
      </w:r>
      <w:r w:rsidRPr="00282AC9">
        <w:rPr>
          <w:rFonts w:ascii="Simplified Arabic" w:hAnsi="Simplified Arabic"/>
          <w:sz w:val="27"/>
          <w:rtl/>
        </w:rPr>
        <w:t>يمكن أن يقد</w:t>
      </w:r>
      <w:r w:rsidR="00CC45EB" w:rsidRPr="00282AC9">
        <w:rPr>
          <w:rFonts w:ascii="Simplified Arabic" w:hAnsi="Simplified Arabic" w:hint="cs"/>
          <w:sz w:val="27"/>
          <w:rtl/>
        </w:rPr>
        <w:t>ِّ</w:t>
      </w:r>
      <w:r w:rsidRPr="00282AC9">
        <w:rPr>
          <w:rFonts w:ascii="Simplified Arabic" w:hAnsi="Simplified Arabic"/>
          <w:sz w:val="27"/>
          <w:rtl/>
        </w:rPr>
        <w:t>م لنا (نحن أبناء الجبل الحاضر) درساً عملي</w:t>
      </w:r>
      <w:r w:rsidR="00CC45EB" w:rsidRPr="00282AC9">
        <w:rPr>
          <w:rFonts w:ascii="Simplified Arabic" w:hAnsi="Simplified Arabic" w:hint="cs"/>
          <w:sz w:val="27"/>
          <w:rtl/>
        </w:rPr>
        <w:t>ّ</w:t>
      </w:r>
      <w:r w:rsidRPr="00282AC9">
        <w:rPr>
          <w:rFonts w:ascii="Simplified Arabic" w:hAnsi="Simplified Arabic"/>
          <w:sz w:val="27"/>
          <w:rtl/>
        </w:rPr>
        <w:t>اً مفيداً في ما يتعل</w:t>
      </w:r>
      <w:r w:rsidR="00CC45EB" w:rsidRPr="00282AC9">
        <w:rPr>
          <w:rFonts w:ascii="Simplified Arabic" w:hAnsi="Simplified Arabic" w:hint="cs"/>
          <w:sz w:val="27"/>
          <w:rtl/>
        </w:rPr>
        <w:t>َّ</w:t>
      </w:r>
      <w:r w:rsidRPr="00282AC9">
        <w:rPr>
          <w:rFonts w:ascii="Simplified Arabic" w:hAnsi="Simplified Arabic"/>
          <w:sz w:val="27"/>
          <w:rtl/>
        </w:rPr>
        <w:t>ق بكيفية استلهام حركي</w:t>
      </w:r>
      <w:r w:rsidR="00CC45EB" w:rsidRPr="00282AC9">
        <w:rPr>
          <w:rFonts w:ascii="Simplified Arabic" w:hAnsi="Simplified Arabic" w:hint="cs"/>
          <w:sz w:val="27"/>
          <w:rtl/>
        </w:rPr>
        <w:t>ّ</w:t>
      </w:r>
      <w:r w:rsidRPr="00282AC9">
        <w:rPr>
          <w:rFonts w:ascii="Simplified Arabic" w:hAnsi="Simplified Arabic"/>
          <w:sz w:val="27"/>
          <w:rtl/>
        </w:rPr>
        <w:t>ة الإمام</w:t>
      </w:r>
      <w:r w:rsidR="009A2A04" w:rsidRPr="00282AC9">
        <w:rPr>
          <w:rFonts w:ascii="Simplified Arabic" w:hAnsi="Simplified Arabic" w:cs="Mosawi"/>
          <w:sz w:val="22"/>
          <w:szCs w:val="22"/>
          <w:rtl/>
        </w:rPr>
        <w:t>×</w:t>
      </w:r>
      <w:r w:rsidRPr="00282AC9">
        <w:rPr>
          <w:rFonts w:ascii="Simplified Arabic" w:hAnsi="Simplified Arabic"/>
          <w:sz w:val="27"/>
          <w:rtl/>
        </w:rPr>
        <w:t xml:space="preserve"> في كيفي</w:t>
      </w:r>
      <w:r w:rsidR="00CC45EB" w:rsidRPr="00282AC9">
        <w:rPr>
          <w:rFonts w:ascii="Simplified Arabic" w:hAnsi="Simplified Arabic" w:hint="cs"/>
          <w:sz w:val="27"/>
          <w:rtl/>
        </w:rPr>
        <w:t>ّ</w:t>
      </w:r>
      <w:r w:rsidRPr="00282AC9">
        <w:rPr>
          <w:rFonts w:ascii="Simplified Arabic" w:hAnsi="Simplified Arabic"/>
          <w:sz w:val="27"/>
          <w:rtl/>
        </w:rPr>
        <w:t>ة تعامله مع الواقع والظروف التاريخية والسياسية والاجتماعية</w:t>
      </w:r>
      <w:r w:rsidRPr="00282AC9">
        <w:rPr>
          <w:rFonts w:ascii="Simplified Arabic" w:hAnsi="Simplified Arabic" w:hint="cs"/>
          <w:sz w:val="27"/>
          <w:rtl/>
        </w:rPr>
        <w:t>.</w:t>
      </w:r>
      <w:r w:rsidRPr="00282AC9">
        <w:rPr>
          <w:rFonts w:ascii="Simplified Arabic" w:hAnsi="Simplified Arabic"/>
          <w:sz w:val="27"/>
          <w:rtl/>
        </w:rPr>
        <w:t xml:space="preserve"> </w:t>
      </w:r>
    </w:p>
    <w:p w:rsidR="007359AA" w:rsidRPr="00282AC9" w:rsidRDefault="007359AA" w:rsidP="00D47E7C">
      <w:pPr>
        <w:rPr>
          <w:rFonts w:ascii="Simplified Arabic" w:hAnsi="Simplified Arabic"/>
          <w:sz w:val="27"/>
          <w:rtl/>
        </w:rPr>
      </w:pPr>
      <w:r w:rsidRPr="00282AC9">
        <w:rPr>
          <w:rFonts w:ascii="Simplified Arabic" w:hAnsi="Simplified Arabic"/>
          <w:sz w:val="27"/>
          <w:rtl/>
        </w:rPr>
        <w:t>ونستطيع أن نعب</w:t>
      </w:r>
      <w:r w:rsidR="00CC45EB" w:rsidRPr="00282AC9">
        <w:rPr>
          <w:rFonts w:ascii="Simplified Arabic" w:hAnsi="Simplified Arabic" w:hint="cs"/>
          <w:sz w:val="27"/>
          <w:rtl/>
        </w:rPr>
        <w:t>ِّ</w:t>
      </w:r>
      <w:r w:rsidRPr="00282AC9">
        <w:rPr>
          <w:rFonts w:ascii="Simplified Arabic" w:hAnsi="Simplified Arabic"/>
          <w:sz w:val="27"/>
          <w:rtl/>
        </w:rPr>
        <w:t>ر عن ذلك في النقاط التالية:</w:t>
      </w:r>
    </w:p>
    <w:p w:rsidR="007359AA" w:rsidRPr="00282AC9" w:rsidRDefault="007359AA" w:rsidP="00D47E7C">
      <w:pPr>
        <w:rPr>
          <w:rFonts w:ascii="Simplified Arabic" w:hAnsi="Simplified Arabic"/>
          <w:sz w:val="27"/>
          <w:rtl/>
        </w:rPr>
      </w:pPr>
      <w:r w:rsidRPr="00282AC9">
        <w:rPr>
          <w:rFonts w:ascii="Simplified Arabic" w:hAnsi="Simplified Arabic"/>
          <w:sz w:val="27"/>
          <w:rtl/>
        </w:rPr>
        <w:t>1ـ العمل</w:t>
      </w:r>
      <w:r w:rsidRPr="00282AC9">
        <w:rPr>
          <w:rFonts w:ascii="Simplified Arabic" w:hAnsi="Simplified Arabic" w:hint="cs"/>
          <w:sz w:val="27"/>
          <w:rtl/>
        </w:rPr>
        <w:t>ُ</w:t>
      </w:r>
      <w:r w:rsidRPr="00282AC9">
        <w:rPr>
          <w:rFonts w:ascii="Simplified Arabic" w:hAnsi="Simplified Arabic"/>
          <w:sz w:val="27"/>
          <w:rtl/>
        </w:rPr>
        <w:t xml:space="preserve"> على تحديد مشكلات واقعنا العربي والإسلامي المعاصر</w:t>
      </w:r>
      <w:r w:rsidR="00CC45EB" w:rsidRPr="00282AC9">
        <w:rPr>
          <w:rFonts w:ascii="Simplified Arabic" w:hAnsi="Simplified Arabic" w:hint="cs"/>
          <w:sz w:val="27"/>
          <w:rtl/>
        </w:rPr>
        <w:t>،</w:t>
      </w:r>
      <w:r w:rsidRPr="00282AC9">
        <w:rPr>
          <w:rFonts w:ascii="Simplified Arabic" w:hAnsi="Simplified Arabic"/>
          <w:sz w:val="27"/>
          <w:rtl/>
        </w:rPr>
        <w:t xml:space="preserve"> الذي يعج</w:t>
      </w:r>
      <w:r w:rsidR="00CC45EB" w:rsidRPr="00282AC9">
        <w:rPr>
          <w:rFonts w:ascii="Simplified Arabic" w:hAnsi="Simplified Arabic" w:hint="cs"/>
          <w:sz w:val="27"/>
          <w:rtl/>
        </w:rPr>
        <w:t>ّ</w:t>
      </w:r>
      <w:r w:rsidRPr="00282AC9">
        <w:rPr>
          <w:rFonts w:ascii="Simplified Arabic" w:hAnsi="Simplified Arabic"/>
          <w:sz w:val="27"/>
          <w:rtl/>
        </w:rPr>
        <w:t xml:space="preserve"> بالسلبي</w:t>
      </w:r>
      <w:r w:rsidR="00CC45EB" w:rsidRPr="00282AC9">
        <w:rPr>
          <w:rFonts w:ascii="Simplified Arabic" w:hAnsi="Simplified Arabic" w:hint="cs"/>
          <w:sz w:val="27"/>
          <w:rtl/>
        </w:rPr>
        <w:t>ّ</w:t>
      </w:r>
      <w:r w:rsidRPr="00282AC9">
        <w:rPr>
          <w:rFonts w:ascii="Simplified Arabic" w:hAnsi="Simplified Arabic"/>
          <w:sz w:val="27"/>
          <w:rtl/>
        </w:rPr>
        <w:t>ات والانقسامات</w:t>
      </w:r>
      <w:r w:rsidR="00CC45EB" w:rsidRPr="00282AC9">
        <w:rPr>
          <w:rFonts w:ascii="Simplified Arabic" w:hAnsi="Simplified Arabic" w:hint="cs"/>
          <w:sz w:val="27"/>
          <w:rtl/>
        </w:rPr>
        <w:t>،</w:t>
      </w:r>
      <w:r w:rsidRPr="00282AC9">
        <w:rPr>
          <w:rFonts w:ascii="Simplified Arabic" w:hAnsi="Simplified Arabic" w:hint="cs"/>
          <w:sz w:val="27"/>
          <w:rtl/>
        </w:rPr>
        <w:t xml:space="preserve"> </w:t>
      </w:r>
      <w:r w:rsidRPr="00282AC9">
        <w:rPr>
          <w:rFonts w:ascii="Simplified Arabic" w:hAnsi="Simplified Arabic"/>
          <w:sz w:val="27"/>
          <w:rtl/>
        </w:rPr>
        <w:t>أي محاولة فهم أسباب الأزمة الحضاري</w:t>
      </w:r>
      <w:r w:rsidR="00CC45EB" w:rsidRPr="00282AC9">
        <w:rPr>
          <w:rFonts w:ascii="Simplified Arabic" w:hAnsi="Simplified Arabic" w:hint="cs"/>
          <w:sz w:val="27"/>
          <w:rtl/>
        </w:rPr>
        <w:t>ّ</w:t>
      </w:r>
      <w:r w:rsidRPr="00282AC9">
        <w:rPr>
          <w:rFonts w:ascii="Simplified Arabic" w:hAnsi="Simplified Arabic"/>
          <w:sz w:val="27"/>
          <w:rtl/>
        </w:rPr>
        <w:t>ة المستمر</w:t>
      </w:r>
      <w:r w:rsidR="00CC45EB" w:rsidRPr="00282AC9">
        <w:rPr>
          <w:rFonts w:ascii="Simplified Arabic" w:hAnsi="Simplified Arabic" w:hint="cs"/>
          <w:sz w:val="27"/>
          <w:rtl/>
        </w:rPr>
        <w:t>ّ</w:t>
      </w:r>
      <w:r w:rsidRPr="00282AC9">
        <w:rPr>
          <w:rFonts w:ascii="Simplified Arabic" w:hAnsi="Simplified Arabic"/>
          <w:sz w:val="27"/>
          <w:rtl/>
        </w:rPr>
        <w:t>ة لمجتمعاتنا</w:t>
      </w:r>
      <w:r w:rsidRPr="00282AC9">
        <w:rPr>
          <w:rFonts w:ascii="Simplified Arabic" w:hAnsi="Simplified Arabic" w:hint="cs"/>
          <w:sz w:val="27"/>
          <w:rtl/>
        </w:rPr>
        <w:t xml:space="preserve"> العربي</w:t>
      </w:r>
      <w:r w:rsidR="00CC45EB" w:rsidRPr="00282AC9">
        <w:rPr>
          <w:rFonts w:ascii="Simplified Arabic" w:hAnsi="Simplified Arabic" w:hint="cs"/>
          <w:sz w:val="27"/>
          <w:rtl/>
        </w:rPr>
        <w:t>ّ</w:t>
      </w:r>
      <w:r w:rsidRPr="00282AC9">
        <w:rPr>
          <w:rFonts w:ascii="Simplified Arabic" w:hAnsi="Simplified Arabic" w:hint="cs"/>
          <w:sz w:val="27"/>
          <w:rtl/>
        </w:rPr>
        <w:t>ة</w:t>
      </w:r>
      <w:r w:rsidRPr="00282AC9">
        <w:rPr>
          <w:rFonts w:ascii="Simplified Arabic" w:hAnsi="Simplified Arabic"/>
          <w:sz w:val="27"/>
          <w:rtl/>
        </w:rPr>
        <w:t xml:space="preserve"> الإسلامي</w:t>
      </w:r>
      <w:r w:rsidR="00CC45EB" w:rsidRPr="00282AC9">
        <w:rPr>
          <w:rFonts w:ascii="Simplified Arabic" w:hAnsi="Simplified Arabic" w:hint="cs"/>
          <w:sz w:val="27"/>
          <w:rtl/>
        </w:rPr>
        <w:t>ّ</w:t>
      </w:r>
      <w:r w:rsidRPr="00282AC9">
        <w:rPr>
          <w:rFonts w:ascii="Simplified Arabic" w:hAnsi="Simplified Arabic"/>
          <w:sz w:val="27"/>
          <w:rtl/>
        </w:rPr>
        <w:t>ة، كما حد</w:t>
      </w:r>
      <w:r w:rsidR="00CC45EB" w:rsidRPr="00282AC9">
        <w:rPr>
          <w:rFonts w:ascii="Simplified Arabic" w:hAnsi="Simplified Arabic" w:hint="cs"/>
          <w:sz w:val="27"/>
          <w:rtl/>
        </w:rPr>
        <w:t>َّ</w:t>
      </w:r>
      <w:r w:rsidRPr="00282AC9">
        <w:rPr>
          <w:rFonts w:ascii="Simplified Arabic" w:hAnsi="Simplified Arabic"/>
          <w:sz w:val="27"/>
          <w:rtl/>
        </w:rPr>
        <w:t>د وفهم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أزمة مجتمعه</w:t>
      </w:r>
      <w:r w:rsidR="00AC45DB" w:rsidRPr="00282AC9">
        <w:rPr>
          <w:rFonts w:ascii="Simplified Arabic" w:hAnsi="Simplified Arabic" w:hint="cs"/>
          <w:sz w:val="27"/>
          <w:rtl/>
        </w:rPr>
        <w:t>،</w:t>
      </w:r>
      <w:r w:rsidRPr="00282AC9">
        <w:rPr>
          <w:rFonts w:ascii="Simplified Arabic" w:hAnsi="Simplified Arabic"/>
          <w:sz w:val="27"/>
          <w:rtl/>
        </w:rPr>
        <w:t xml:space="preserve"> وظروف عصره</w:t>
      </w:r>
      <w:r w:rsidR="00AC45DB" w:rsidRPr="00282AC9">
        <w:rPr>
          <w:rFonts w:ascii="Simplified Arabic" w:hAnsi="Simplified Arabic" w:hint="cs"/>
          <w:sz w:val="27"/>
          <w:rtl/>
        </w:rPr>
        <w:t>،</w:t>
      </w:r>
      <w:r w:rsidRPr="00282AC9">
        <w:rPr>
          <w:rFonts w:ascii="Simplified Arabic" w:hAnsi="Simplified Arabic"/>
          <w:sz w:val="27"/>
          <w:rtl/>
        </w:rPr>
        <w:t xml:space="preserve"> الذي عايشه بكل</w:t>
      </w:r>
      <w:r w:rsidR="00CC45EB" w:rsidRPr="00282AC9">
        <w:rPr>
          <w:rFonts w:ascii="Simplified Arabic" w:hAnsi="Simplified Arabic" w:hint="cs"/>
          <w:sz w:val="27"/>
          <w:rtl/>
        </w:rPr>
        <w:t>ّ</w:t>
      </w:r>
      <w:r w:rsidR="00AC45DB" w:rsidRPr="00282AC9">
        <w:rPr>
          <w:rFonts w:ascii="Simplified Arabic" w:hAnsi="Simplified Arabic" w:hint="cs"/>
          <w:sz w:val="27"/>
          <w:rtl/>
        </w:rPr>
        <w:t>ِ</w:t>
      </w:r>
      <w:r w:rsidRPr="00282AC9">
        <w:rPr>
          <w:rFonts w:ascii="Simplified Arabic" w:hAnsi="Simplified Arabic"/>
          <w:sz w:val="27"/>
          <w:rtl/>
        </w:rPr>
        <w:t xml:space="preserve"> قسوته وقلقه. </w:t>
      </w:r>
    </w:p>
    <w:p w:rsidR="007359AA" w:rsidRPr="00282AC9" w:rsidRDefault="007359AA" w:rsidP="00D47E7C">
      <w:pPr>
        <w:rPr>
          <w:rFonts w:ascii="Simplified Arabic" w:hAnsi="Simplified Arabic"/>
          <w:sz w:val="27"/>
          <w:rtl/>
        </w:rPr>
      </w:pPr>
      <w:r w:rsidRPr="00282AC9">
        <w:rPr>
          <w:rFonts w:ascii="Simplified Arabic" w:hAnsi="Simplified Arabic"/>
          <w:sz w:val="27"/>
          <w:rtl/>
        </w:rPr>
        <w:t>2ـ التركيز</w:t>
      </w:r>
      <w:r w:rsidRPr="00282AC9">
        <w:rPr>
          <w:rFonts w:ascii="Simplified Arabic" w:hAnsi="Simplified Arabic" w:hint="cs"/>
          <w:sz w:val="27"/>
          <w:rtl/>
        </w:rPr>
        <w:t>ُ</w:t>
      </w:r>
      <w:r w:rsidRPr="00282AC9">
        <w:rPr>
          <w:rFonts w:ascii="Simplified Arabic" w:hAnsi="Simplified Arabic"/>
          <w:sz w:val="27"/>
          <w:rtl/>
        </w:rPr>
        <w:t xml:space="preserve"> المكث</w:t>
      </w:r>
      <w:r w:rsidR="00AC45DB" w:rsidRPr="00282AC9">
        <w:rPr>
          <w:rFonts w:ascii="Simplified Arabic" w:hAnsi="Simplified Arabic" w:hint="cs"/>
          <w:sz w:val="27"/>
          <w:rtl/>
        </w:rPr>
        <w:t>َّ</w:t>
      </w:r>
      <w:r w:rsidRPr="00282AC9">
        <w:rPr>
          <w:rFonts w:ascii="Simplified Arabic" w:hAnsi="Simplified Arabic"/>
          <w:sz w:val="27"/>
          <w:rtl/>
        </w:rPr>
        <w:t>ف والغني</w:t>
      </w:r>
      <w:r w:rsidR="00AC45DB" w:rsidRPr="00282AC9">
        <w:rPr>
          <w:rFonts w:ascii="Simplified Arabic" w:hAnsi="Simplified Arabic" w:hint="cs"/>
          <w:sz w:val="27"/>
          <w:rtl/>
        </w:rPr>
        <w:t>ّ</w:t>
      </w:r>
      <w:r w:rsidRPr="00282AC9">
        <w:rPr>
          <w:rFonts w:ascii="Simplified Arabic" w:hAnsi="Simplified Arabic"/>
          <w:sz w:val="27"/>
          <w:rtl/>
        </w:rPr>
        <w:t xml:space="preserve"> على أهم</w:t>
      </w:r>
      <w:r w:rsidR="00AC45DB" w:rsidRPr="00282AC9">
        <w:rPr>
          <w:rFonts w:ascii="Simplified Arabic" w:hAnsi="Simplified Arabic" w:hint="cs"/>
          <w:sz w:val="27"/>
          <w:rtl/>
        </w:rPr>
        <w:t>ّ</w:t>
      </w:r>
      <w:r w:rsidRPr="00282AC9">
        <w:rPr>
          <w:rFonts w:ascii="Simplified Arabic" w:hAnsi="Simplified Arabic"/>
          <w:sz w:val="27"/>
          <w:rtl/>
        </w:rPr>
        <w:t>ية و</w:t>
      </w:r>
      <w:r w:rsidR="00EE6DBA" w:rsidRPr="00282AC9">
        <w:rPr>
          <w:rFonts w:ascii="Simplified Arabic" w:hAnsi="Simplified Arabic"/>
          <w:sz w:val="27"/>
          <w:rtl/>
        </w:rPr>
        <w:t>دَوْر</w:t>
      </w:r>
      <w:r w:rsidRPr="00282AC9">
        <w:rPr>
          <w:rFonts w:ascii="Simplified Arabic" w:hAnsi="Simplified Arabic"/>
          <w:sz w:val="27"/>
          <w:rtl/>
        </w:rPr>
        <w:t xml:space="preserve"> منظومة الق</w:t>
      </w:r>
      <w:r w:rsidR="00AC45DB" w:rsidRPr="00282AC9">
        <w:rPr>
          <w:rFonts w:ascii="Simplified Arabic" w:hAnsi="Simplified Arabic" w:hint="cs"/>
          <w:sz w:val="27"/>
          <w:rtl/>
        </w:rPr>
        <w:t>ِ</w:t>
      </w:r>
      <w:r w:rsidRPr="00282AC9">
        <w:rPr>
          <w:rFonts w:ascii="Simplified Arabic" w:hAnsi="Simplified Arabic"/>
          <w:sz w:val="27"/>
          <w:rtl/>
        </w:rPr>
        <w:t>ي</w:t>
      </w:r>
      <w:r w:rsidR="00AC45DB" w:rsidRPr="00282AC9">
        <w:rPr>
          <w:rFonts w:ascii="Simplified Arabic" w:hAnsi="Simplified Arabic" w:hint="cs"/>
          <w:sz w:val="27"/>
          <w:rtl/>
        </w:rPr>
        <w:t>َ</w:t>
      </w:r>
      <w:r w:rsidRPr="00282AC9">
        <w:rPr>
          <w:rFonts w:ascii="Simplified Arabic" w:hAnsi="Simplified Arabic"/>
          <w:sz w:val="27"/>
          <w:rtl/>
        </w:rPr>
        <w:t>م الأخلاقية الإسلامية المتبص</w:t>
      </w:r>
      <w:r w:rsidR="00AC45DB" w:rsidRPr="00282AC9">
        <w:rPr>
          <w:rFonts w:ascii="Simplified Arabic" w:hAnsi="Simplified Arabic" w:hint="cs"/>
          <w:sz w:val="27"/>
          <w:rtl/>
        </w:rPr>
        <w:t>ِّ</w:t>
      </w:r>
      <w:r w:rsidRPr="00282AC9">
        <w:rPr>
          <w:rFonts w:ascii="Simplified Arabic" w:hAnsi="Simplified Arabic"/>
          <w:sz w:val="27"/>
          <w:rtl/>
        </w:rPr>
        <w:t>رة والمنفتحة على الحياة في قيادة مجتمعاتنا إلى شاطئ وبر</w:t>
      </w:r>
      <w:r w:rsidR="00AC45DB" w:rsidRPr="00282AC9">
        <w:rPr>
          <w:rFonts w:ascii="Simplified Arabic" w:hAnsi="Simplified Arabic" w:hint="cs"/>
          <w:sz w:val="27"/>
          <w:rtl/>
        </w:rPr>
        <w:t>ّ</w:t>
      </w:r>
      <w:r w:rsidRPr="00282AC9">
        <w:rPr>
          <w:rFonts w:ascii="Simplified Arabic" w:hAnsi="Simplified Arabic"/>
          <w:sz w:val="27"/>
          <w:rtl/>
        </w:rPr>
        <w:t xml:space="preserve"> الأمان، وإنقاذها من أزماتها المتوالية</w:t>
      </w:r>
      <w:r w:rsidRPr="00282AC9">
        <w:rPr>
          <w:rFonts w:ascii="Simplified Arabic" w:hAnsi="Simplified Arabic" w:hint="cs"/>
          <w:sz w:val="27"/>
          <w:rtl/>
        </w:rPr>
        <w:t xml:space="preserve"> والمستمر</w:t>
      </w:r>
      <w:r w:rsidR="00AC45DB" w:rsidRPr="00282AC9">
        <w:rPr>
          <w:rFonts w:ascii="Simplified Arabic" w:hAnsi="Simplified Arabic" w:hint="cs"/>
          <w:sz w:val="27"/>
          <w:rtl/>
        </w:rPr>
        <w:t>ّ</w:t>
      </w:r>
      <w:r w:rsidRPr="00282AC9">
        <w:rPr>
          <w:rFonts w:ascii="Simplified Arabic" w:hAnsi="Simplified Arabic" w:hint="cs"/>
          <w:sz w:val="27"/>
          <w:rtl/>
        </w:rPr>
        <w:t>ة منذ زمن</w:t>
      </w:r>
      <w:r w:rsidR="00AC45DB" w:rsidRPr="00282AC9">
        <w:rPr>
          <w:rFonts w:ascii="Simplified Arabic" w:hAnsi="Simplified Arabic" w:hint="cs"/>
          <w:sz w:val="27"/>
          <w:rtl/>
        </w:rPr>
        <w:t>ٍ</w:t>
      </w:r>
      <w:r w:rsidRPr="00282AC9">
        <w:rPr>
          <w:rFonts w:ascii="Simplified Arabic" w:hAnsi="Simplified Arabic" w:hint="cs"/>
          <w:sz w:val="27"/>
          <w:rtl/>
        </w:rPr>
        <w:t xml:space="preserve"> طويل</w:t>
      </w:r>
      <w:r w:rsidRPr="00282AC9">
        <w:rPr>
          <w:rFonts w:ascii="Simplified Arabic" w:hAnsi="Simplified Arabic"/>
          <w:sz w:val="27"/>
          <w:rtl/>
        </w:rPr>
        <w:t>، وإيقاظها من سباتها العميق الذي طال أ</w:t>
      </w:r>
      <w:r w:rsidR="00AC45DB" w:rsidRPr="00282AC9">
        <w:rPr>
          <w:rFonts w:ascii="Simplified Arabic" w:hAnsi="Simplified Arabic" w:hint="cs"/>
          <w:sz w:val="27"/>
          <w:rtl/>
        </w:rPr>
        <w:t>َ</w:t>
      </w:r>
      <w:r w:rsidRPr="00282AC9">
        <w:rPr>
          <w:rFonts w:ascii="Simplified Arabic" w:hAnsi="Simplified Arabic"/>
          <w:sz w:val="27"/>
          <w:rtl/>
        </w:rPr>
        <w:t>م</w:t>
      </w:r>
      <w:r w:rsidR="00AC45DB" w:rsidRPr="00282AC9">
        <w:rPr>
          <w:rFonts w:ascii="Simplified Arabic" w:hAnsi="Simplified Arabic" w:hint="cs"/>
          <w:sz w:val="27"/>
          <w:rtl/>
        </w:rPr>
        <w:t>َ</w:t>
      </w:r>
      <w:r w:rsidRPr="00282AC9">
        <w:rPr>
          <w:rFonts w:ascii="Simplified Arabic" w:hAnsi="Simplified Arabic"/>
          <w:sz w:val="27"/>
          <w:rtl/>
        </w:rPr>
        <w:t>د</w:t>
      </w:r>
      <w:r w:rsidR="00AC45DB" w:rsidRPr="00282AC9">
        <w:rPr>
          <w:rFonts w:ascii="Simplified Arabic" w:hAnsi="Simplified Arabic" w:hint="cs"/>
          <w:sz w:val="27"/>
          <w:rtl/>
        </w:rPr>
        <w:t>ُ</w:t>
      </w:r>
      <w:r w:rsidRPr="00282AC9">
        <w:rPr>
          <w:rFonts w:ascii="Simplified Arabic" w:hAnsi="Simplified Arabic"/>
          <w:sz w:val="27"/>
          <w:rtl/>
        </w:rPr>
        <w:t>ه، ومحاولة إرجاعها إلى الساحة العالمي</w:t>
      </w:r>
      <w:r w:rsidR="00AC45DB" w:rsidRPr="00282AC9">
        <w:rPr>
          <w:rFonts w:ascii="Simplified Arabic" w:hAnsi="Simplified Arabic" w:hint="cs"/>
          <w:sz w:val="27"/>
          <w:rtl/>
        </w:rPr>
        <w:t>ّ</w:t>
      </w:r>
      <w:r w:rsidRPr="00282AC9">
        <w:rPr>
          <w:rFonts w:ascii="Simplified Arabic" w:hAnsi="Simplified Arabic"/>
          <w:sz w:val="27"/>
          <w:rtl/>
        </w:rPr>
        <w:t>ة</w:t>
      </w:r>
      <w:r w:rsidR="00AC45DB" w:rsidRPr="00282AC9">
        <w:rPr>
          <w:rFonts w:ascii="Simplified Arabic" w:hAnsi="Simplified Arabic" w:hint="cs"/>
          <w:sz w:val="27"/>
          <w:rtl/>
        </w:rPr>
        <w:t>؛</w:t>
      </w:r>
      <w:r w:rsidRPr="00282AC9">
        <w:rPr>
          <w:rFonts w:ascii="Simplified Arabic" w:hAnsi="Simplified Arabic" w:hint="cs"/>
          <w:sz w:val="27"/>
          <w:rtl/>
        </w:rPr>
        <w:t xml:space="preserve"> </w:t>
      </w:r>
      <w:r w:rsidRPr="00282AC9">
        <w:rPr>
          <w:rFonts w:ascii="Simplified Arabic" w:hAnsi="Simplified Arabic"/>
          <w:sz w:val="27"/>
          <w:rtl/>
        </w:rPr>
        <w:t xml:space="preserve">لكي تمارس </w:t>
      </w:r>
      <w:r w:rsidR="00EE6DBA" w:rsidRPr="00282AC9">
        <w:rPr>
          <w:rFonts w:ascii="Simplified Arabic" w:hAnsi="Simplified Arabic"/>
          <w:sz w:val="27"/>
          <w:rtl/>
        </w:rPr>
        <w:t>دَوْر</w:t>
      </w:r>
      <w:r w:rsidRPr="00282AC9">
        <w:rPr>
          <w:rFonts w:ascii="Simplified Arabic" w:hAnsi="Simplified Arabic"/>
          <w:sz w:val="27"/>
          <w:rtl/>
        </w:rPr>
        <w:t>ها الحضاري الرائد</w:t>
      </w:r>
      <w:r w:rsidR="00AC45DB" w:rsidRPr="00282AC9">
        <w:rPr>
          <w:rFonts w:ascii="Simplified Arabic" w:hAnsi="Simplified Arabic" w:hint="cs"/>
          <w:sz w:val="27"/>
          <w:rtl/>
        </w:rPr>
        <w:t>،</w:t>
      </w:r>
      <w:r w:rsidRPr="00282AC9">
        <w:rPr>
          <w:rFonts w:ascii="Simplified Arabic" w:hAnsi="Simplified Arabic"/>
          <w:sz w:val="27"/>
          <w:rtl/>
        </w:rPr>
        <w:t xml:space="preserve"> إلى جانب باقي حضارات وثقافات العالم. وهذا الأمر مرتبط</w:t>
      </w:r>
      <w:r w:rsidR="00AC45DB"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 xml:space="preserve">ـ </w:t>
      </w:r>
      <w:r w:rsidRPr="00282AC9">
        <w:rPr>
          <w:rFonts w:ascii="Simplified Arabic" w:hAnsi="Simplified Arabic"/>
          <w:sz w:val="27"/>
          <w:rtl/>
        </w:rPr>
        <w:t>إلى حد</w:t>
      </w:r>
      <w:r w:rsidR="00AC45DB" w:rsidRPr="00282AC9">
        <w:rPr>
          <w:rFonts w:ascii="Simplified Arabic" w:hAnsi="Simplified Arabic" w:hint="cs"/>
          <w:sz w:val="27"/>
          <w:rtl/>
        </w:rPr>
        <w:t>ٍّ</w:t>
      </w:r>
      <w:r w:rsidRPr="00282AC9">
        <w:rPr>
          <w:rFonts w:ascii="Simplified Arabic" w:hAnsi="Simplified Arabic"/>
          <w:sz w:val="27"/>
          <w:rtl/>
        </w:rPr>
        <w:t xml:space="preserve"> كبير</w:t>
      </w:r>
      <w:r w:rsidRPr="00282AC9">
        <w:rPr>
          <w:rFonts w:ascii="Simplified Arabic" w:hAnsi="Simplified Arabic" w:hint="cs"/>
          <w:sz w:val="27"/>
          <w:rtl/>
        </w:rPr>
        <w:t xml:space="preserve"> ـ </w:t>
      </w:r>
      <w:r w:rsidRPr="00282AC9">
        <w:rPr>
          <w:rFonts w:ascii="Simplified Arabic" w:hAnsi="Simplified Arabic"/>
          <w:sz w:val="27"/>
          <w:rtl/>
        </w:rPr>
        <w:t xml:space="preserve">بمسألة </w:t>
      </w:r>
      <w:r w:rsidRPr="00282AC9">
        <w:rPr>
          <w:rFonts w:ascii="Simplified Arabic" w:hAnsi="Simplified Arabic"/>
          <w:sz w:val="27"/>
          <w:rtl/>
        </w:rPr>
        <w:lastRenderedPageBreak/>
        <w:t>الأخلاق ن</w:t>
      </w:r>
      <w:r w:rsidR="00AC45DB" w:rsidRPr="00282AC9">
        <w:rPr>
          <w:rFonts w:ascii="Simplified Arabic" w:hAnsi="Simplified Arabic"/>
          <w:sz w:val="27"/>
          <w:rtl/>
        </w:rPr>
        <w:t>فسها، وإيماننا بأنها لا يمكن أن</w:t>
      </w:r>
      <w:r w:rsidRPr="00282AC9">
        <w:rPr>
          <w:rFonts w:ascii="Simplified Arabic" w:hAnsi="Simplified Arabic"/>
          <w:sz w:val="27"/>
          <w:rtl/>
        </w:rPr>
        <w:t xml:space="preserve"> ت</w:t>
      </w:r>
      <w:r w:rsidR="00AC45DB" w:rsidRPr="00282AC9">
        <w:rPr>
          <w:rFonts w:ascii="Simplified Arabic" w:hAnsi="Simplified Arabic" w:hint="cs"/>
          <w:sz w:val="27"/>
          <w:rtl/>
        </w:rPr>
        <w:t>ُ</w:t>
      </w:r>
      <w:r w:rsidRPr="00282AC9">
        <w:rPr>
          <w:rFonts w:ascii="Simplified Arabic" w:hAnsi="Simplified Arabic"/>
          <w:sz w:val="27"/>
          <w:rtl/>
        </w:rPr>
        <w:t>ف</w:t>
      </w:r>
      <w:r w:rsidR="00AC45DB" w:rsidRPr="00282AC9">
        <w:rPr>
          <w:rFonts w:ascii="Simplified Arabic" w:hAnsi="Simplified Arabic" w:hint="cs"/>
          <w:sz w:val="27"/>
          <w:rtl/>
        </w:rPr>
        <w:t>ْ</w:t>
      </w:r>
      <w:r w:rsidRPr="00282AC9">
        <w:rPr>
          <w:rFonts w:ascii="Simplified Arabic" w:hAnsi="Simplified Arabic"/>
          <w:sz w:val="27"/>
          <w:rtl/>
        </w:rPr>
        <w:t>ر</w:t>
      </w:r>
      <w:r w:rsidR="00AC45DB" w:rsidRPr="00282AC9">
        <w:rPr>
          <w:rFonts w:ascii="Simplified Arabic" w:hAnsi="Simplified Arabic" w:hint="cs"/>
          <w:sz w:val="27"/>
          <w:rtl/>
        </w:rPr>
        <w:t>َ</w:t>
      </w:r>
      <w:r w:rsidRPr="00282AC9">
        <w:rPr>
          <w:rFonts w:ascii="Simplified Arabic" w:hAnsi="Simplified Arabic"/>
          <w:sz w:val="27"/>
          <w:rtl/>
        </w:rPr>
        <w:t>ض من فوق</w:t>
      </w:r>
      <w:r w:rsidR="00AC45DB" w:rsidRPr="00282AC9">
        <w:rPr>
          <w:rFonts w:ascii="Simplified Arabic" w:hAnsi="Simplified Arabic" w:hint="cs"/>
          <w:sz w:val="27"/>
          <w:rtl/>
        </w:rPr>
        <w:t>ٍ</w:t>
      </w:r>
      <w:r w:rsidRPr="00282AC9">
        <w:rPr>
          <w:rFonts w:ascii="Simplified Arabic" w:hAnsi="Simplified Arabic"/>
          <w:sz w:val="27"/>
          <w:rtl/>
        </w:rPr>
        <w:t xml:space="preserve"> بقو</w:t>
      </w:r>
      <w:r w:rsidR="00AC45DB" w:rsidRPr="00282AC9">
        <w:rPr>
          <w:rFonts w:ascii="Simplified Arabic" w:hAnsi="Simplified Arabic" w:hint="cs"/>
          <w:sz w:val="27"/>
          <w:rtl/>
        </w:rPr>
        <w:t>ّ</w:t>
      </w:r>
      <w:r w:rsidRPr="00282AC9">
        <w:rPr>
          <w:rFonts w:ascii="Simplified Arabic" w:hAnsi="Simplified Arabic"/>
          <w:sz w:val="27"/>
          <w:rtl/>
        </w:rPr>
        <w:t>ة الأدوات السياسية (وغير السياسية) المعروفة، ولا بق</w:t>
      </w:r>
      <w:r w:rsidR="00AC45DB" w:rsidRPr="00282AC9">
        <w:rPr>
          <w:rFonts w:ascii="Simplified Arabic" w:hAnsi="Simplified Arabic" w:hint="cs"/>
          <w:sz w:val="27"/>
          <w:rtl/>
        </w:rPr>
        <w:t>َ</w:t>
      </w:r>
      <w:r w:rsidRPr="00282AC9">
        <w:rPr>
          <w:rFonts w:ascii="Simplified Arabic" w:hAnsi="Simplified Arabic"/>
          <w:sz w:val="27"/>
          <w:rtl/>
        </w:rPr>
        <w:t>ه</w:t>
      </w:r>
      <w:r w:rsidR="00AC45DB" w:rsidRPr="00282AC9">
        <w:rPr>
          <w:rFonts w:ascii="Simplified Arabic" w:hAnsi="Simplified Arabic" w:hint="cs"/>
          <w:sz w:val="27"/>
          <w:rtl/>
        </w:rPr>
        <w:t>ْ</w:t>
      </w:r>
      <w:r w:rsidRPr="00282AC9">
        <w:rPr>
          <w:rFonts w:ascii="Simplified Arabic" w:hAnsi="Simplified Arabic"/>
          <w:sz w:val="27"/>
          <w:rtl/>
        </w:rPr>
        <w:t>ر القوانين الإداري</w:t>
      </w:r>
      <w:r w:rsidR="00AC45DB" w:rsidRPr="00282AC9">
        <w:rPr>
          <w:rFonts w:ascii="Simplified Arabic" w:hAnsi="Simplified Arabic" w:hint="cs"/>
          <w:sz w:val="27"/>
          <w:rtl/>
        </w:rPr>
        <w:t>ّ</w:t>
      </w:r>
      <w:r w:rsidRPr="00282AC9">
        <w:rPr>
          <w:rFonts w:ascii="Simplified Arabic" w:hAnsi="Simplified Arabic"/>
          <w:sz w:val="27"/>
          <w:rtl/>
        </w:rPr>
        <w:t>ة والمراسيم الحقوقي</w:t>
      </w:r>
      <w:r w:rsidR="00AC45DB" w:rsidRPr="00282AC9">
        <w:rPr>
          <w:rFonts w:ascii="Simplified Arabic" w:hAnsi="Simplified Arabic" w:hint="cs"/>
          <w:sz w:val="27"/>
          <w:rtl/>
        </w:rPr>
        <w:t>ّ</w:t>
      </w:r>
      <w:r w:rsidRPr="00282AC9">
        <w:rPr>
          <w:rFonts w:ascii="Simplified Arabic" w:hAnsi="Simplified Arabic"/>
          <w:sz w:val="27"/>
          <w:rtl/>
        </w:rPr>
        <w:t>ة، ولكنها تأتي إلى حي</w:t>
      </w:r>
      <w:r w:rsidR="00AC45DB" w:rsidRPr="00282AC9">
        <w:rPr>
          <w:rFonts w:ascii="Simplified Arabic" w:hAnsi="Simplified Arabic" w:hint="cs"/>
          <w:sz w:val="27"/>
          <w:rtl/>
        </w:rPr>
        <w:t>ِّ</w:t>
      </w:r>
      <w:r w:rsidRPr="00282AC9">
        <w:rPr>
          <w:rFonts w:ascii="Simplified Arabic" w:hAnsi="Simplified Arabic"/>
          <w:sz w:val="27"/>
          <w:rtl/>
        </w:rPr>
        <w:t>ز التطبيق من خلال توعية الناس والمجتمع، والعمل المستمر</w:t>
      </w:r>
      <w:r w:rsidR="00AC45DB" w:rsidRPr="00282AC9">
        <w:rPr>
          <w:rFonts w:ascii="Simplified Arabic" w:hAnsi="Simplified Arabic" w:hint="cs"/>
          <w:sz w:val="27"/>
          <w:rtl/>
        </w:rPr>
        <w:t>ّ</w:t>
      </w:r>
      <w:r w:rsidRPr="00282AC9">
        <w:rPr>
          <w:rFonts w:ascii="Simplified Arabic" w:hAnsi="Simplified Arabic"/>
          <w:sz w:val="27"/>
          <w:rtl/>
        </w:rPr>
        <w:t xml:space="preserve"> على تعميق صلتهم الروحية بالله تعالى</w:t>
      </w:r>
      <w:r w:rsidR="00AC45DB" w:rsidRPr="00282AC9">
        <w:rPr>
          <w:rFonts w:ascii="Simplified Arabic" w:hAnsi="Simplified Arabic" w:hint="cs"/>
          <w:sz w:val="27"/>
          <w:rtl/>
        </w:rPr>
        <w:t xml:space="preserve">، </w:t>
      </w:r>
      <w:r w:rsidRPr="00282AC9">
        <w:rPr>
          <w:rFonts w:ascii="Simplified Arabic" w:hAnsi="Simplified Arabic"/>
          <w:sz w:val="27"/>
          <w:rtl/>
        </w:rPr>
        <w:t>وبق</w:t>
      </w:r>
      <w:r w:rsidR="00AC45DB" w:rsidRPr="00282AC9">
        <w:rPr>
          <w:rFonts w:ascii="Simplified Arabic" w:hAnsi="Simplified Arabic" w:hint="cs"/>
          <w:sz w:val="27"/>
          <w:rtl/>
        </w:rPr>
        <w:t>ِ</w:t>
      </w:r>
      <w:r w:rsidRPr="00282AC9">
        <w:rPr>
          <w:rFonts w:ascii="Simplified Arabic" w:hAnsi="Simplified Arabic"/>
          <w:sz w:val="27"/>
          <w:rtl/>
        </w:rPr>
        <w:t>ي</w:t>
      </w:r>
      <w:r w:rsidR="00AC45DB" w:rsidRPr="00282AC9">
        <w:rPr>
          <w:rFonts w:ascii="Simplified Arabic" w:hAnsi="Simplified Arabic" w:hint="cs"/>
          <w:sz w:val="27"/>
          <w:rtl/>
        </w:rPr>
        <w:t>َ</w:t>
      </w:r>
      <w:r w:rsidRPr="00282AC9">
        <w:rPr>
          <w:rFonts w:ascii="Simplified Arabic" w:hAnsi="Simplified Arabic"/>
          <w:sz w:val="27"/>
          <w:rtl/>
        </w:rPr>
        <w:t>مهم الدينية المعنوية العملية</w:t>
      </w:r>
      <w:r w:rsidR="00AC45DB" w:rsidRPr="00282AC9">
        <w:rPr>
          <w:rFonts w:ascii="Simplified Arabic" w:hAnsi="Simplified Arabic" w:hint="cs"/>
          <w:sz w:val="27"/>
          <w:rtl/>
        </w:rPr>
        <w:t>،</w:t>
      </w:r>
      <w:r w:rsidRPr="00282AC9">
        <w:rPr>
          <w:rFonts w:ascii="Simplified Arabic" w:hAnsi="Simplified Arabic"/>
          <w:sz w:val="27"/>
          <w:rtl/>
        </w:rPr>
        <w:t xml:space="preserve"> </w:t>
      </w:r>
      <w:r w:rsidRPr="00282AC9">
        <w:rPr>
          <w:rFonts w:ascii="Simplified Arabic" w:hAnsi="Simplified Arabic" w:hint="cs"/>
          <w:sz w:val="27"/>
          <w:rtl/>
        </w:rPr>
        <w:t>ومنحهم حقوقهم</w:t>
      </w:r>
      <w:r w:rsidR="00AC45DB" w:rsidRPr="00282AC9">
        <w:rPr>
          <w:rFonts w:ascii="Simplified Arabic" w:hAnsi="Simplified Arabic" w:hint="cs"/>
          <w:sz w:val="27"/>
          <w:rtl/>
        </w:rPr>
        <w:t>،</w:t>
      </w:r>
      <w:r w:rsidRPr="00282AC9">
        <w:rPr>
          <w:rFonts w:ascii="Simplified Arabic" w:hAnsi="Simplified Arabic" w:hint="cs"/>
          <w:sz w:val="27"/>
          <w:rtl/>
        </w:rPr>
        <w:t xml:space="preserve"> والاستجابة لمتطل</w:t>
      </w:r>
      <w:r w:rsidR="00AC45DB" w:rsidRPr="00282AC9">
        <w:rPr>
          <w:rFonts w:ascii="Simplified Arabic" w:hAnsi="Simplified Arabic" w:hint="cs"/>
          <w:sz w:val="27"/>
          <w:rtl/>
        </w:rPr>
        <w:t>َّ</w:t>
      </w:r>
      <w:r w:rsidRPr="00282AC9">
        <w:rPr>
          <w:rFonts w:ascii="Simplified Arabic" w:hAnsi="Simplified Arabic" w:hint="cs"/>
          <w:sz w:val="27"/>
          <w:rtl/>
        </w:rPr>
        <w:t>باتهم ومقتضيات وجودهم</w:t>
      </w:r>
      <w:r w:rsidR="00AC45DB" w:rsidRPr="00282AC9">
        <w:rPr>
          <w:rFonts w:ascii="Simplified Arabic" w:hAnsi="Simplified Arabic" w:hint="cs"/>
          <w:sz w:val="27"/>
          <w:rtl/>
        </w:rPr>
        <w:t>؛</w:t>
      </w:r>
      <w:r w:rsidR="00AC45DB" w:rsidRPr="00282AC9">
        <w:rPr>
          <w:rFonts w:ascii="Simplified Arabic" w:hAnsi="Simplified Arabic"/>
          <w:sz w:val="27"/>
          <w:rtl/>
        </w:rPr>
        <w:t xml:space="preserve"> باعتبار أن</w:t>
      </w:r>
      <w:r w:rsidRPr="00282AC9">
        <w:rPr>
          <w:rFonts w:ascii="Simplified Arabic" w:hAnsi="Simplified Arabic"/>
          <w:sz w:val="27"/>
          <w:rtl/>
        </w:rPr>
        <w:t xml:space="preserve"> للأخلاق والمعنويات الإسلامي</w:t>
      </w:r>
      <w:r w:rsidR="00AC45DB" w:rsidRPr="00282AC9">
        <w:rPr>
          <w:rFonts w:ascii="Simplified Arabic" w:hAnsi="Simplified Arabic" w:hint="cs"/>
          <w:sz w:val="27"/>
          <w:rtl/>
        </w:rPr>
        <w:t>ّ</w:t>
      </w:r>
      <w:r w:rsidR="00AC45DB" w:rsidRPr="00282AC9">
        <w:rPr>
          <w:rFonts w:ascii="Simplified Arabic" w:hAnsi="Simplified Arabic"/>
          <w:sz w:val="27"/>
          <w:rtl/>
        </w:rPr>
        <w:t>ة ثمـاراً حقيقية يمكن أن</w:t>
      </w:r>
      <w:r w:rsidRPr="00282AC9">
        <w:rPr>
          <w:rFonts w:ascii="Simplified Arabic" w:hAnsi="Simplified Arabic"/>
          <w:sz w:val="27"/>
          <w:rtl/>
        </w:rPr>
        <w:t xml:space="preserve"> تبلور الو</w:t>
      </w:r>
      <w:r w:rsidR="00AC45DB" w:rsidRPr="00282AC9">
        <w:rPr>
          <w:rFonts w:ascii="Simplified Arabic" w:hAnsi="Simplified Arabic" w:hint="cs"/>
          <w:sz w:val="27"/>
          <w:rtl/>
        </w:rPr>
        <w:t>َ</w:t>
      </w:r>
      <w:r w:rsidRPr="00282AC9">
        <w:rPr>
          <w:rFonts w:ascii="Simplified Arabic" w:hAnsi="Simplified Arabic"/>
          <w:sz w:val="27"/>
          <w:rtl/>
        </w:rPr>
        <w:t>ع</w:t>
      </w:r>
      <w:r w:rsidR="00AC45DB" w:rsidRPr="00282AC9">
        <w:rPr>
          <w:rFonts w:ascii="Simplified Arabic" w:hAnsi="Simplified Arabic" w:hint="cs"/>
          <w:sz w:val="27"/>
          <w:rtl/>
        </w:rPr>
        <w:t>ْ</w:t>
      </w:r>
      <w:r w:rsidRPr="00282AC9">
        <w:rPr>
          <w:rFonts w:ascii="Simplified Arabic" w:hAnsi="Simplified Arabic"/>
          <w:sz w:val="27"/>
          <w:rtl/>
        </w:rPr>
        <w:t>ي الجمالي بالحياة والإنسان، وتع</w:t>
      </w:r>
      <w:r w:rsidR="00AC45DB" w:rsidRPr="00282AC9">
        <w:rPr>
          <w:rFonts w:ascii="Simplified Arabic" w:hAnsi="Simplified Arabic" w:hint="cs"/>
          <w:sz w:val="27"/>
          <w:rtl/>
        </w:rPr>
        <w:t>زِّز</w:t>
      </w:r>
      <w:r w:rsidRPr="00282AC9">
        <w:rPr>
          <w:rFonts w:ascii="Simplified Arabic" w:hAnsi="Simplified Arabic"/>
          <w:sz w:val="27"/>
          <w:rtl/>
        </w:rPr>
        <w:t xml:space="preserve"> حـس</w:t>
      </w:r>
      <w:r w:rsidR="00AC45DB" w:rsidRPr="00282AC9">
        <w:rPr>
          <w:rFonts w:ascii="Simplified Arabic" w:hAnsi="Simplified Arabic" w:hint="cs"/>
          <w:sz w:val="27"/>
          <w:rtl/>
        </w:rPr>
        <w:t>ّ</w:t>
      </w:r>
      <w:r w:rsidRPr="00282AC9">
        <w:rPr>
          <w:rFonts w:ascii="Simplified Arabic" w:hAnsi="Simplified Arabic"/>
          <w:sz w:val="27"/>
          <w:rtl/>
        </w:rPr>
        <w:t xml:space="preserve"> الانشداد في داخله (الم</w:t>
      </w:r>
      <w:r w:rsidR="00AC45DB" w:rsidRPr="00282AC9">
        <w:rPr>
          <w:rFonts w:ascii="Simplified Arabic" w:hAnsi="Simplified Arabic" w:hint="cs"/>
          <w:sz w:val="27"/>
          <w:rtl/>
        </w:rPr>
        <w:t>َ</w:t>
      </w:r>
      <w:r w:rsidRPr="00282AC9">
        <w:rPr>
          <w:rFonts w:ascii="Simplified Arabic" w:hAnsi="Simplified Arabic"/>
          <w:sz w:val="27"/>
          <w:rtl/>
        </w:rPr>
        <w:t>ي</w:t>
      </w:r>
      <w:r w:rsidR="00AC45DB" w:rsidRPr="00282AC9">
        <w:rPr>
          <w:rFonts w:ascii="Simplified Arabic" w:hAnsi="Simplified Arabic" w:hint="cs"/>
          <w:sz w:val="27"/>
          <w:rtl/>
        </w:rPr>
        <w:t>ْ</w:t>
      </w:r>
      <w:r w:rsidRPr="00282AC9">
        <w:rPr>
          <w:rFonts w:ascii="Simplified Arabic" w:hAnsi="Simplified Arabic"/>
          <w:sz w:val="27"/>
          <w:rtl/>
        </w:rPr>
        <w:t>ل الروحي والمفاهيمي) نحو المبدأ والم</w:t>
      </w:r>
      <w:r w:rsidR="00AC45DB" w:rsidRPr="00282AC9">
        <w:rPr>
          <w:rFonts w:ascii="Simplified Arabic" w:hAnsi="Simplified Arabic" w:hint="cs"/>
          <w:sz w:val="27"/>
          <w:rtl/>
        </w:rPr>
        <w:t>َ</w:t>
      </w:r>
      <w:r w:rsidRPr="00282AC9">
        <w:rPr>
          <w:rFonts w:ascii="Simplified Arabic" w:hAnsi="Simplified Arabic"/>
          <w:sz w:val="27"/>
          <w:rtl/>
        </w:rPr>
        <w:t>ث</w:t>
      </w:r>
      <w:r w:rsidR="00AC45DB" w:rsidRPr="00282AC9">
        <w:rPr>
          <w:rFonts w:ascii="Simplified Arabic" w:hAnsi="Simplified Arabic" w:hint="cs"/>
          <w:sz w:val="27"/>
          <w:rtl/>
        </w:rPr>
        <w:t>َ</w:t>
      </w:r>
      <w:r w:rsidRPr="00282AC9">
        <w:rPr>
          <w:rFonts w:ascii="Simplified Arabic" w:hAnsi="Simplified Arabic"/>
          <w:sz w:val="27"/>
          <w:rtl/>
        </w:rPr>
        <w:t>ل الأعلى (الله تعالى)</w:t>
      </w:r>
      <w:r w:rsidR="003C533C" w:rsidRPr="00282AC9">
        <w:rPr>
          <w:rFonts w:ascii="Simplified Arabic" w:hAnsi="Simplified Arabic" w:hint="cs"/>
          <w:sz w:val="27"/>
          <w:rtl/>
        </w:rPr>
        <w:t>،</w:t>
      </w:r>
      <w:r w:rsidRPr="00282AC9">
        <w:rPr>
          <w:rFonts w:ascii="Simplified Arabic" w:hAnsi="Simplified Arabic"/>
          <w:sz w:val="27"/>
          <w:rtl/>
        </w:rPr>
        <w:t xml:space="preserve"> مطلق الكون والوجود والحياة.</w:t>
      </w:r>
      <w:r w:rsidRPr="00282AC9">
        <w:rPr>
          <w:rFonts w:ascii="Simplified Arabic" w:hAnsi="Simplified Arabic" w:hint="cs"/>
          <w:sz w:val="27"/>
          <w:rtl/>
        </w:rPr>
        <w:t xml:space="preserve"> </w:t>
      </w:r>
      <w:r w:rsidRPr="00282AC9">
        <w:rPr>
          <w:rFonts w:ascii="Simplified Arabic" w:hAnsi="Simplified Arabic"/>
          <w:sz w:val="27"/>
          <w:rtl/>
        </w:rPr>
        <w:t>وهذه مسألة</w:t>
      </w:r>
      <w:r w:rsidR="003C533C" w:rsidRPr="00282AC9">
        <w:rPr>
          <w:rFonts w:ascii="Simplified Arabic" w:hAnsi="Simplified Arabic" w:hint="cs"/>
          <w:sz w:val="27"/>
          <w:rtl/>
        </w:rPr>
        <w:t>ٌ</w:t>
      </w:r>
      <w:r w:rsidRPr="00282AC9">
        <w:rPr>
          <w:rFonts w:ascii="Simplified Arabic" w:hAnsi="Simplified Arabic"/>
          <w:sz w:val="27"/>
          <w:rtl/>
        </w:rPr>
        <w:t xml:space="preserve"> مهم</w:t>
      </w:r>
      <w:r w:rsidR="003C533C" w:rsidRPr="00282AC9">
        <w:rPr>
          <w:rFonts w:ascii="Simplified Arabic" w:hAnsi="Simplified Arabic" w:hint="cs"/>
          <w:sz w:val="27"/>
          <w:rtl/>
        </w:rPr>
        <w:t>ّ</w:t>
      </w:r>
      <w:r w:rsidRPr="00282AC9">
        <w:rPr>
          <w:rFonts w:ascii="Simplified Arabic" w:hAnsi="Simplified Arabic"/>
          <w:sz w:val="27"/>
          <w:rtl/>
        </w:rPr>
        <w:t>ة جد</w:t>
      </w:r>
      <w:r w:rsidR="003C533C" w:rsidRPr="00282AC9">
        <w:rPr>
          <w:rFonts w:ascii="Simplified Arabic" w:hAnsi="Simplified Arabic" w:hint="cs"/>
          <w:sz w:val="27"/>
          <w:rtl/>
        </w:rPr>
        <w:t>ّ</w:t>
      </w:r>
      <w:r w:rsidRPr="00282AC9">
        <w:rPr>
          <w:rFonts w:ascii="Simplified Arabic" w:hAnsi="Simplified Arabic"/>
          <w:sz w:val="27"/>
          <w:rtl/>
        </w:rPr>
        <w:t xml:space="preserve">اً ينبغي تحديد مسؤولياتنا تجاهها، </w:t>
      </w:r>
      <w:r w:rsidR="003C533C" w:rsidRPr="00282AC9">
        <w:rPr>
          <w:rFonts w:ascii="Simplified Arabic" w:hAnsi="Simplified Arabic" w:hint="cs"/>
          <w:sz w:val="27"/>
          <w:rtl/>
        </w:rPr>
        <w:t>و</w:t>
      </w:r>
      <w:r w:rsidRPr="00282AC9">
        <w:rPr>
          <w:rFonts w:ascii="Simplified Arabic" w:hAnsi="Simplified Arabic"/>
          <w:sz w:val="27"/>
          <w:rtl/>
        </w:rPr>
        <w:t>خصوصاً في ظل</w:t>
      </w:r>
      <w:r w:rsidR="003C533C" w:rsidRPr="00282AC9">
        <w:rPr>
          <w:rFonts w:ascii="Simplified Arabic" w:hAnsi="Simplified Arabic" w:hint="cs"/>
          <w:sz w:val="27"/>
          <w:rtl/>
        </w:rPr>
        <w:t>ّ</w:t>
      </w:r>
      <w:r w:rsidRPr="00282AC9">
        <w:rPr>
          <w:rFonts w:ascii="Simplified Arabic" w:hAnsi="Simplified Arabic"/>
          <w:sz w:val="27"/>
          <w:rtl/>
        </w:rPr>
        <w:t xml:space="preserve"> وجود تي</w:t>
      </w:r>
      <w:r w:rsidR="003C533C" w:rsidRPr="00282AC9">
        <w:rPr>
          <w:rFonts w:ascii="Simplified Arabic" w:hAnsi="Simplified Arabic" w:hint="cs"/>
          <w:sz w:val="27"/>
          <w:rtl/>
        </w:rPr>
        <w:t>ّ</w:t>
      </w:r>
      <w:r w:rsidRPr="00282AC9">
        <w:rPr>
          <w:rFonts w:ascii="Simplified Arabic" w:hAnsi="Simplified Arabic"/>
          <w:sz w:val="27"/>
          <w:rtl/>
        </w:rPr>
        <w:t>ارات</w:t>
      </w:r>
      <w:r w:rsidR="003C533C" w:rsidRPr="00282AC9">
        <w:rPr>
          <w:rFonts w:ascii="Simplified Arabic" w:hAnsi="Simplified Arabic" w:hint="cs"/>
          <w:sz w:val="27"/>
          <w:rtl/>
        </w:rPr>
        <w:t>ٍ</w:t>
      </w:r>
      <w:r w:rsidRPr="00282AC9">
        <w:rPr>
          <w:rFonts w:ascii="Simplified Arabic" w:hAnsi="Simplified Arabic"/>
          <w:sz w:val="27"/>
          <w:rtl/>
        </w:rPr>
        <w:t xml:space="preserve"> وقوى</w:t>
      </w:r>
      <w:r w:rsidR="003C533C" w:rsidRPr="00282AC9">
        <w:rPr>
          <w:rFonts w:ascii="Simplified Arabic" w:hAnsi="Simplified Arabic" w:hint="cs"/>
          <w:sz w:val="27"/>
          <w:rtl/>
        </w:rPr>
        <w:t>ً</w:t>
      </w:r>
      <w:r w:rsidRPr="00282AC9">
        <w:rPr>
          <w:rFonts w:ascii="Simplified Arabic" w:hAnsi="Simplified Arabic"/>
          <w:sz w:val="27"/>
          <w:rtl/>
        </w:rPr>
        <w:t xml:space="preserve"> ثقافي</w:t>
      </w:r>
      <w:r w:rsidR="003C533C" w:rsidRPr="00282AC9">
        <w:rPr>
          <w:rFonts w:ascii="Simplified Arabic" w:hAnsi="Simplified Arabic" w:hint="cs"/>
          <w:sz w:val="27"/>
          <w:rtl/>
        </w:rPr>
        <w:t>ّ</w:t>
      </w:r>
      <w:r w:rsidRPr="00282AC9">
        <w:rPr>
          <w:rFonts w:ascii="Simplified Arabic" w:hAnsi="Simplified Arabic"/>
          <w:sz w:val="27"/>
          <w:rtl/>
        </w:rPr>
        <w:t>ة</w:t>
      </w:r>
      <w:r w:rsidR="003C533C" w:rsidRPr="00282AC9">
        <w:rPr>
          <w:rFonts w:ascii="Simplified Arabic" w:hAnsi="Simplified Arabic" w:hint="cs"/>
          <w:sz w:val="27"/>
          <w:rtl/>
        </w:rPr>
        <w:t>ٍ</w:t>
      </w:r>
      <w:r w:rsidRPr="00282AC9">
        <w:rPr>
          <w:rFonts w:ascii="Simplified Arabic" w:hAnsi="Simplified Arabic"/>
          <w:sz w:val="27"/>
          <w:rtl/>
        </w:rPr>
        <w:t xml:space="preserve"> وسياسي</w:t>
      </w:r>
      <w:r w:rsidR="003C533C" w:rsidRPr="00282AC9">
        <w:rPr>
          <w:rFonts w:ascii="Simplified Arabic" w:hAnsi="Simplified Arabic" w:hint="cs"/>
          <w:sz w:val="27"/>
          <w:rtl/>
        </w:rPr>
        <w:t>ّ</w:t>
      </w:r>
      <w:r w:rsidRPr="00282AC9">
        <w:rPr>
          <w:rFonts w:ascii="Simplified Arabic" w:hAnsi="Simplified Arabic"/>
          <w:sz w:val="27"/>
          <w:rtl/>
        </w:rPr>
        <w:t xml:space="preserve">ة </w:t>
      </w:r>
      <w:r w:rsidRPr="00282AC9">
        <w:rPr>
          <w:rFonts w:hint="eastAsia"/>
          <w:sz w:val="24"/>
          <w:szCs w:val="24"/>
          <w:rtl/>
        </w:rPr>
        <w:t>«</w:t>
      </w:r>
      <w:r w:rsidRPr="00282AC9">
        <w:rPr>
          <w:rFonts w:ascii="Simplified Arabic" w:hAnsi="Simplified Arabic" w:hint="cs"/>
          <w:sz w:val="27"/>
          <w:rtl/>
        </w:rPr>
        <w:t>د</w:t>
      </w:r>
      <w:r w:rsidR="003C533C" w:rsidRPr="00282AC9">
        <w:rPr>
          <w:rFonts w:ascii="Simplified Arabic" w:hAnsi="Simplified Arabic" w:hint="cs"/>
          <w:sz w:val="27"/>
          <w:rtl/>
        </w:rPr>
        <w:t>َ</w:t>
      </w:r>
      <w:r w:rsidRPr="00282AC9">
        <w:rPr>
          <w:rFonts w:ascii="Simplified Arabic" w:hAnsi="Simplified Arabic" w:hint="cs"/>
          <w:sz w:val="27"/>
          <w:rtl/>
        </w:rPr>
        <w:t>ه</w:t>
      </w:r>
      <w:r w:rsidR="003C533C" w:rsidRPr="00282AC9">
        <w:rPr>
          <w:rFonts w:ascii="Simplified Arabic" w:hAnsi="Simplified Arabic" w:hint="cs"/>
          <w:sz w:val="27"/>
          <w:rtl/>
        </w:rPr>
        <w:t>ْ</w:t>
      </w:r>
      <w:r w:rsidRPr="00282AC9">
        <w:rPr>
          <w:rFonts w:ascii="Simplified Arabic" w:hAnsi="Simplified Arabic" w:hint="cs"/>
          <w:sz w:val="27"/>
          <w:rtl/>
        </w:rPr>
        <w:t>ري</w:t>
      </w:r>
      <w:r w:rsidR="003C533C" w:rsidRPr="00282AC9">
        <w:rPr>
          <w:rFonts w:ascii="Simplified Arabic" w:hAnsi="Simplified Arabic" w:hint="cs"/>
          <w:sz w:val="27"/>
          <w:rtl/>
        </w:rPr>
        <w:t>ّ</w:t>
      </w:r>
      <w:r w:rsidRPr="00282AC9">
        <w:rPr>
          <w:rFonts w:ascii="Simplified Arabic" w:hAnsi="Simplified Arabic" w:hint="cs"/>
          <w:sz w:val="27"/>
          <w:rtl/>
        </w:rPr>
        <w:t>ة</w:t>
      </w:r>
      <w:r w:rsidRPr="00282AC9">
        <w:rPr>
          <w:rFonts w:hint="eastAsia"/>
          <w:sz w:val="24"/>
          <w:szCs w:val="24"/>
          <w:rtl/>
        </w:rPr>
        <w:t>»</w:t>
      </w:r>
      <w:r w:rsidRPr="00282AC9">
        <w:rPr>
          <w:rFonts w:ascii="Simplified Arabic" w:hAnsi="Simplified Arabic" w:hint="cs"/>
          <w:sz w:val="27"/>
          <w:rtl/>
        </w:rPr>
        <w:t xml:space="preserve"> </w:t>
      </w:r>
      <w:r w:rsidRPr="00282AC9">
        <w:rPr>
          <w:rFonts w:ascii="Simplified Arabic" w:hAnsi="Simplified Arabic"/>
          <w:sz w:val="27"/>
          <w:rtl/>
        </w:rPr>
        <w:t>راهنة</w:t>
      </w:r>
      <w:r w:rsidR="003C533C" w:rsidRPr="00282AC9">
        <w:rPr>
          <w:rFonts w:ascii="Simplified Arabic" w:hAnsi="Simplified Arabic" w:hint="cs"/>
          <w:sz w:val="27"/>
          <w:rtl/>
        </w:rPr>
        <w:t>،</w:t>
      </w:r>
      <w:r w:rsidRPr="00282AC9">
        <w:rPr>
          <w:rFonts w:ascii="Simplified Arabic" w:hAnsi="Simplified Arabic"/>
          <w:sz w:val="27"/>
          <w:rtl/>
        </w:rPr>
        <w:t xml:space="preserve"> يد</w:t>
      </w:r>
      <w:r w:rsidR="003C533C" w:rsidRPr="00282AC9">
        <w:rPr>
          <w:rFonts w:ascii="Simplified Arabic" w:hAnsi="Simplified Arabic" w:hint="cs"/>
          <w:sz w:val="27"/>
          <w:rtl/>
        </w:rPr>
        <w:t>ّ</w:t>
      </w:r>
      <w:r w:rsidRPr="00282AC9">
        <w:rPr>
          <w:rFonts w:ascii="Simplified Arabic" w:hAnsi="Simplified Arabic"/>
          <w:sz w:val="27"/>
          <w:rtl/>
        </w:rPr>
        <w:t>عي معظمها امتلاك أفكار ومعارف ومعطيات ثقافية (غير إسلامية)</w:t>
      </w:r>
      <w:r w:rsidR="003C533C" w:rsidRPr="00282AC9">
        <w:rPr>
          <w:rFonts w:ascii="Simplified Arabic" w:hAnsi="Simplified Arabic" w:hint="cs"/>
          <w:sz w:val="27"/>
          <w:rtl/>
        </w:rPr>
        <w:t>،</w:t>
      </w:r>
      <w:r w:rsidRPr="00282AC9">
        <w:rPr>
          <w:rFonts w:ascii="Simplified Arabic" w:hAnsi="Simplified Arabic"/>
          <w:sz w:val="27"/>
          <w:rtl/>
        </w:rPr>
        <w:t xml:space="preserve"> قادرة وحدها</w:t>
      </w:r>
      <w:r w:rsidRPr="00282AC9">
        <w:rPr>
          <w:rFonts w:ascii="Simplified Arabic" w:hAnsi="Simplified Arabic" w:hint="cs"/>
          <w:sz w:val="27"/>
          <w:rtl/>
        </w:rPr>
        <w:t xml:space="preserve"> </w:t>
      </w:r>
      <w:r w:rsidR="0041628F" w:rsidRPr="00282AC9">
        <w:rPr>
          <w:rFonts w:ascii="Simplified Arabic" w:hAnsi="Simplified Arabic" w:hint="cs"/>
          <w:sz w:val="27"/>
          <w:rtl/>
        </w:rPr>
        <w:t xml:space="preserve">ـ </w:t>
      </w:r>
      <w:r w:rsidRPr="00282AC9">
        <w:rPr>
          <w:rFonts w:ascii="Simplified Arabic" w:hAnsi="Simplified Arabic"/>
          <w:sz w:val="27"/>
          <w:rtl/>
        </w:rPr>
        <w:t>كما تد</w:t>
      </w:r>
      <w:r w:rsidR="003C533C" w:rsidRPr="00282AC9">
        <w:rPr>
          <w:rFonts w:ascii="Simplified Arabic" w:hAnsi="Simplified Arabic" w:hint="cs"/>
          <w:sz w:val="27"/>
          <w:rtl/>
        </w:rPr>
        <w:t>ّ</w:t>
      </w:r>
      <w:r w:rsidRPr="00282AC9">
        <w:rPr>
          <w:rFonts w:ascii="Simplified Arabic" w:hAnsi="Simplified Arabic"/>
          <w:sz w:val="27"/>
          <w:rtl/>
        </w:rPr>
        <w:t>عي</w:t>
      </w:r>
      <w:r w:rsidR="0041628F" w:rsidRPr="00282AC9">
        <w:rPr>
          <w:rFonts w:ascii="Simplified Arabic" w:hAnsi="Simplified Arabic" w:hint="cs"/>
          <w:sz w:val="27"/>
          <w:rtl/>
        </w:rPr>
        <w:t xml:space="preserve"> ـ</w:t>
      </w:r>
      <w:r w:rsidRPr="00282AC9">
        <w:rPr>
          <w:rFonts w:ascii="Simplified Arabic" w:hAnsi="Simplified Arabic" w:hint="cs"/>
          <w:sz w:val="27"/>
          <w:rtl/>
        </w:rPr>
        <w:t xml:space="preserve">  </w:t>
      </w:r>
      <w:r w:rsidRPr="00282AC9">
        <w:rPr>
          <w:rFonts w:ascii="Simplified Arabic" w:hAnsi="Simplified Arabic"/>
          <w:sz w:val="27"/>
          <w:rtl/>
        </w:rPr>
        <w:t>على استلام زمام المبادرة الفعّالة الخاص</w:t>
      </w:r>
      <w:r w:rsidR="003C533C" w:rsidRPr="00282AC9">
        <w:rPr>
          <w:rFonts w:ascii="Simplified Arabic" w:hAnsi="Simplified Arabic" w:hint="cs"/>
          <w:sz w:val="27"/>
          <w:rtl/>
        </w:rPr>
        <w:t>ّ</w:t>
      </w:r>
      <w:r w:rsidRPr="00282AC9">
        <w:rPr>
          <w:rFonts w:ascii="Simplified Arabic" w:hAnsi="Simplified Arabic"/>
          <w:sz w:val="27"/>
          <w:rtl/>
        </w:rPr>
        <w:t>ة</w:t>
      </w:r>
      <w:r w:rsidR="003C533C" w:rsidRPr="00282AC9">
        <w:rPr>
          <w:rFonts w:ascii="Simplified Arabic" w:hAnsi="Simplified Arabic" w:hint="cs"/>
          <w:sz w:val="27"/>
          <w:rtl/>
        </w:rPr>
        <w:t>،</w:t>
      </w:r>
      <w:r w:rsidRPr="00282AC9">
        <w:rPr>
          <w:rFonts w:ascii="Simplified Arabic" w:hAnsi="Simplified Arabic"/>
          <w:sz w:val="27"/>
          <w:rtl/>
        </w:rPr>
        <w:t xml:space="preserve"> بتمث</w:t>
      </w:r>
      <w:r w:rsidR="003C533C" w:rsidRPr="00282AC9">
        <w:rPr>
          <w:rFonts w:ascii="Simplified Arabic" w:hAnsi="Simplified Arabic" w:hint="cs"/>
          <w:sz w:val="27"/>
          <w:rtl/>
        </w:rPr>
        <w:t>ُّ</w:t>
      </w:r>
      <w:r w:rsidRPr="00282AC9">
        <w:rPr>
          <w:rFonts w:ascii="Simplified Arabic" w:hAnsi="Simplified Arabic"/>
          <w:sz w:val="27"/>
          <w:rtl/>
        </w:rPr>
        <w:t>ل وتحقيق ق</w:t>
      </w:r>
      <w:r w:rsidR="003C533C" w:rsidRPr="00282AC9">
        <w:rPr>
          <w:rFonts w:ascii="Simplified Arabic" w:hAnsi="Simplified Arabic" w:hint="cs"/>
          <w:sz w:val="27"/>
          <w:rtl/>
        </w:rPr>
        <w:t>ِ</w:t>
      </w:r>
      <w:r w:rsidRPr="00282AC9">
        <w:rPr>
          <w:rFonts w:ascii="Simplified Arabic" w:hAnsi="Simplified Arabic"/>
          <w:sz w:val="27"/>
          <w:rtl/>
        </w:rPr>
        <w:t>ي</w:t>
      </w:r>
      <w:r w:rsidR="003C533C" w:rsidRPr="00282AC9">
        <w:rPr>
          <w:rFonts w:ascii="Simplified Arabic" w:hAnsi="Simplified Arabic" w:hint="cs"/>
          <w:sz w:val="27"/>
          <w:rtl/>
        </w:rPr>
        <w:t>َ</w:t>
      </w:r>
      <w:r w:rsidRPr="00282AC9">
        <w:rPr>
          <w:rFonts w:ascii="Simplified Arabic" w:hAnsi="Simplified Arabic"/>
          <w:sz w:val="27"/>
          <w:rtl/>
        </w:rPr>
        <w:t>م النهوض والتنمية في مجالنا السياسي والاجتماعي الإسلامي</w:t>
      </w:r>
      <w:r w:rsidR="0041628F" w:rsidRPr="00282AC9">
        <w:rPr>
          <w:rFonts w:ascii="Simplified Arabic" w:hAnsi="Simplified Arabic" w:hint="cs"/>
          <w:sz w:val="27"/>
          <w:rtl/>
        </w:rPr>
        <w:t>ّ</w:t>
      </w:r>
      <w:r w:rsidRPr="00282AC9">
        <w:rPr>
          <w:rFonts w:ascii="Simplified Arabic" w:hAnsi="Simplified Arabic"/>
          <w:sz w:val="27"/>
          <w:rtl/>
        </w:rPr>
        <w:t>، وذلك من خلال زرع ق</w:t>
      </w:r>
      <w:r w:rsidR="003C533C" w:rsidRPr="00282AC9">
        <w:rPr>
          <w:rFonts w:ascii="Simplified Arabic" w:hAnsi="Simplified Arabic" w:hint="cs"/>
          <w:sz w:val="27"/>
          <w:rtl/>
        </w:rPr>
        <w:t>ِ</w:t>
      </w:r>
      <w:r w:rsidRPr="00282AC9">
        <w:rPr>
          <w:rFonts w:ascii="Simplified Arabic" w:hAnsi="Simplified Arabic"/>
          <w:sz w:val="27"/>
          <w:rtl/>
        </w:rPr>
        <w:t>ي</w:t>
      </w:r>
      <w:r w:rsidR="003C533C" w:rsidRPr="00282AC9">
        <w:rPr>
          <w:rFonts w:ascii="Simplified Arabic" w:hAnsi="Simplified Arabic" w:hint="cs"/>
          <w:sz w:val="27"/>
          <w:rtl/>
        </w:rPr>
        <w:t>َ</w:t>
      </w:r>
      <w:r w:rsidRPr="00282AC9">
        <w:rPr>
          <w:rFonts w:ascii="Simplified Arabic" w:hAnsi="Simplified Arabic"/>
          <w:sz w:val="27"/>
          <w:rtl/>
        </w:rPr>
        <w:t>م ثقافية وسياسية (مرتبطة كل</w:t>
      </w:r>
      <w:r w:rsidR="003C533C" w:rsidRPr="00282AC9">
        <w:rPr>
          <w:rFonts w:ascii="Simplified Arabic" w:hAnsi="Simplified Arabic" w:hint="cs"/>
          <w:sz w:val="27"/>
          <w:rtl/>
        </w:rPr>
        <w:t>ِّ</w:t>
      </w:r>
      <w:r w:rsidRPr="00282AC9">
        <w:rPr>
          <w:rFonts w:ascii="Simplified Arabic" w:hAnsi="Simplified Arabic"/>
          <w:sz w:val="27"/>
          <w:rtl/>
        </w:rPr>
        <w:t>ياً بالمشاريع الحضارية الغربية) في واقعنا الحضاري</w:t>
      </w:r>
      <w:r w:rsidR="003C533C" w:rsidRPr="00282AC9">
        <w:rPr>
          <w:rFonts w:ascii="Simplified Arabic" w:hAnsi="Simplified Arabic" w:hint="cs"/>
          <w:sz w:val="27"/>
          <w:rtl/>
        </w:rPr>
        <w:t>ّ</w:t>
      </w:r>
      <w:r w:rsidRPr="00282AC9">
        <w:rPr>
          <w:rFonts w:ascii="Simplified Arabic" w:hAnsi="Simplified Arabic"/>
          <w:sz w:val="27"/>
          <w:rtl/>
        </w:rPr>
        <w:t xml:space="preserve"> الإسلامي.</w:t>
      </w:r>
    </w:p>
    <w:p w:rsidR="007359AA" w:rsidRPr="00282AC9" w:rsidRDefault="007359AA" w:rsidP="00D47E7C">
      <w:pPr>
        <w:rPr>
          <w:rFonts w:ascii="Simplified Arabic" w:hAnsi="Simplified Arabic"/>
          <w:sz w:val="27"/>
          <w:rtl/>
        </w:rPr>
      </w:pPr>
      <w:r w:rsidRPr="00282AC9">
        <w:rPr>
          <w:rFonts w:ascii="Simplified Arabic" w:hAnsi="Simplified Arabic"/>
          <w:sz w:val="27"/>
          <w:rtl/>
        </w:rPr>
        <w:t>3ـ تعزيز النقد البنّاء في حركة المجتمع</w:t>
      </w:r>
      <w:r w:rsidRPr="00282AC9">
        <w:rPr>
          <w:rFonts w:ascii="Simplified Arabic" w:hAnsi="Simplified Arabic" w:hint="cs"/>
          <w:sz w:val="27"/>
          <w:rtl/>
        </w:rPr>
        <w:t>ات العربي</w:t>
      </w:r>
      <w:r w:rsidR="0041628F" w:rsidRPr="00282AC9">
        <w:rPr>
          <w:rFonts w:ascii="Simplified Arabic" w:hAnsi="Simplified Arabic" w:hint="cs"/>
          <w:sz w:val="27"/>
          <w:rtl/>
        </w:rPr>
        <w:t>ّ</w:t>
      </w:r>
      <w:r w:rsidRPr="00282AC9">
        <w:rPr>
          <w:rFonts w:ascii="Simplified Arabic" w:hAnsi="Simplified Arabic" w:hint="cs"/>
          <w:sz w:val="27"/>
          <w:rtl/>
        </w:rPr>
        <w:t>ة</w:t>
      </w:r>
      <w:r w:rsidRPr="00282AC9">
        <w:rPr>
          <w:rFonts w:ascii="Simplified Arabic" w:hAnsi="Simplified Arabic"/>
          <w:sz w:val="27"/>
          <w:rtl/>
        </w:rPr>
        <w:t xml:space="preserve"> الإسلامي</w:t>
      </w:r>
      <w:r w:rsidRPr="00282AC9">
        <w:rPr>
          <w:rFonts w:ascii="Simplified Arabic" w:hAnsi="Simplified Arabic" w:hint="cs"/>
          <w:sz w:val="27"/>
          <w:rtl/>
        </w:rPr>
        <w:t>ة</w:t>
      </w:r>
      <w:r w:rsidR="0041628F" w:rsidRPr="00282AC9">
        <w:rPr>
          <w:rFonts w:ascii="Simplified Arabic" w:hAnsi="Simplified Arabic"/>
          <w:sz w:val="27"/>
          <w:rtl/>
        </w:rPr>
        <w:t>:</w:t>
      </w:r>
      <w:r w:rsidR="0041628F" w:rsidRPr="00282AC9">
        <w:rPr>
          <w:rFonts w:ascii="Simplified Arabic" w:hAnsi="Simplified Arabic" w:hint="cs"/>
          <w:sz w:val="27"/>
          <w:rtl/>
        </w:rPr>
        <w:t xml:space="preserve"> </w:t>
      </w:r>
      <w:r w:rsidRPr="00282AC9">
        <w:rPr>
          <w:rFonts w:ascii="Simplified Arabic" w:hAnsi="Simplified Arabic"/>
          <w:sz w:val="27"/>
          <w:rtl/>
        </w:rPr>
        <w:t>يقول الإمام الرضا</w:t>
      </w:r>
      <w:r w:rsidR="009A2A04" w:rsidRPr="00282AC9">
        <w:rPr>
          <w:rFonts w:ascii="Simplified Arabic" w:hAnsi="Simplified Arabic" w:cs="Mosawi"/>
          <w:sz w:val="22"/>
          <w:szCs w:val="22"/>
          <w:rtl/>
        </w:rPr>
        <w:t>×</w:t>
      </w:r>
      <w:r w:rsidRPr="00282AC9">
        <w:rPr>
          <w:rFonts w:ascii="Simplified Arabic" w:hAnsi="Simplified Arabic"/>
          <w:sz w:val="27"/>
          <w:rtl/>
        </w:rPr>
        <w:t xml:space="preserve">: </w:t>
      </w:r>
      <w:r w:rsidRPr="00282AC9">
        <w:rPr>
          <w:rFonts w:hint="eastAsia"/>
          <w:sz w:val="24"/>
          <w:szCs w:val="24"/>
          <w:rtl/>
        </w:rPr>
        <w:t>«</w:t>
      </w:r>
      <w:r w:rsidRPr="00282AC9">
        <w:rPr>
          <w:rFonts w:ascii="Simplified Arabic" w:hAnsi="Simplified Arabic"/>
          <w:sz w:val="27"/>
          <w:rtl/>
        </w:rPr>
        <w:t>ليس من</w:t>
      </w:r>
      <w:r w:rsidR="0041628F" w:rsidRPr="00282AC9">
        <w:rPr>
          <w:rFonts w:ascii="Simplified Arabic" w:hAnsi="Simplified Arabic" w:hint="cs"/>
          <w:sz w:val="27"/>
          <w:rtl/>
        </w:rPr>
        <w:t>ّ</w:t>
      </w:r>
      <w:r w:rsidRPr="00282AC9">
        <w:rPr>
          <w:rFonts w:ascii="Simplified Arabic" w:hAnsi="Simplified Arabic"/>
          <w:sz w:val="27"/>
          <w:rtl/>
        </w:rPr>
        <w:t>ا م</w:t>
      </w:r>
      <w:r w:rsidR="0041628F" w:rsidRPr="00282AC9">
        <w:rPr>
          <w:rFonts w:ascii="Simplified Arabic" w:hAnsi="Simplified Arabic" w:hint="cs"/>
          <w:sz w:val="27"/>
          <w:rtl/>
        </w:rPr>
        <w:t>َ</w:t>
      </w:r>
      <w:r w:rsidRPr="00282AC9">
        <w:rPr>
          <w:rFonts w:ascii="Simplified Arabic" w:hAnsi="Simplified Arabic"/>
          <w:sz w:val="27"/>
          <w:rtl/>
        </w:rPr>
        <w:t>ن</w:t>
      </w:r>
      <w:r w:rsidR="0041628F" w:rsidRPr="00282AC9">
        <w:rPr>
          <w:rFonts w:ascii="Simplified Arabic" w:hAnsi="Simplified Arabic" w:hint="cs"/>
          <w:sz w:val="27"/>
          <w:rtl/>
        </w:rPr>
        <w:t>ْ</w:t>
      </w:r>
      <w:r w:rsidRPr="00282AC9">
        <w:rPr>
          <w:rFonts w:ascii="Simplified Arabic" w:hAnsi="Simplified Arabic"/>
          <w:sz w:val="27"/>
          <w:rtl/>
        </w:rPr>
        <w:t xml:space="preserve"> لم يحاسب نفسه في كل</w:t>
      </w:r>
      <w:r w:rsidR="0041628F" w:rsidRPr="00282AC9">
        <w:rPr>
          <w:rFonts w:ascii="Simplified Arabic" w:hAnsi="Simplified Arabic" w:hint="cs"/>
          <w:sz w:val="27"/>
          <w:rtl/>
        </w:rPr>
        <w:t>ّ</w:t>
      </w:r>
      <w:r w:rsidRPr="00282AC9">
        <w:rPr>
          <w:rFonts w:ascii="Simplified Arabic" w:hAnsi="Simplified Arabic"/>
          <w:sz w:val="27"/>
          <w:rtl/>
        </w:rPr>
        <w:t xml:space="preserve"> يوم</w:t>
      </w:r>
      <w:r w:rsidR="0041628F" w:rsidRPr="00282AC9">
        <w:rPr>
          <w:rFonts w:ascii="Simplified Arabic" w:hAnsi="Simplified Arabic" w:hint="cs"/>
          <w:sz w:val="27"/>
          <w:rtl/>
        </w:rPr>
        <w:t>ٍ؛</w:t>
      </w:r>
      <w:r w:rsidRPr="00282AC9">
        <w:rPr>
          <w:rFonts w:ascii="Simplified Arabic" w:hAnsi="Simplified Arabic"/>
          <w:sz w:val="27"/>
          <w:rtl/>
        </w:rPr>
        <w:t xml:space="preserve"> فإن</w:t>
      </w:r>
      <w:r w:rsidR="0041628F" w:rsidRPr="00282AC9">
        <w:rPr>
          <w:rFonts w:ascii="Simplified Arabic" w:hAnsi="Simplified Arabic" w:hint="cs"/>
          <w:sz w:val="27"/>
          <w:rtl/>
        </w:rPr>
        <w:t>ْ</w:t>
      </w:r>
      <w:r w:rsidRPr="00282AC9">
        <w:rPr>
          <w:rFonts w:ascii="Simplified Arabic" w:hAnsi="Simplified Arabic"/>
          <w:sz w:val="27"/>
          <w:rtl/>
        </w:rPr>
        <w:t xml:space="preserve"> عمل ح</w:t>
      </w:r>
      <w:r w:rsidR="0041628F" w:rsidRPr="00282AC9">
        <w:rPr>
          <w:rFonts w:ascii="Simplified Arabic" w:hAnsi="Simplified Arabic" w:hint="cs"/>
          <w:sz w:val="27"/>
          <w:rtl/>
        </w:rPr>
        <w:t>َ</w:t>
      </w:r>
      <w:r w:rsidRPr="00282AC9">
        <w:rPr>
          <w:rFonts w:ascii="Simplified Arabic" w:hAnsi="Simplified Arabic"/>
          <w:sz w:val="27"/>
          <w:rtl/>
        </w:rPr>
        <w:t>س</w:t>
      </w:r>
      <w:r w:rsidR="0041628F" w:rsidRPr="00282AC9">
        <w:rPr>
          <w:rFonts w:ascii="Simplified Arabic" w:hAnsi="Simplified Arabic" w:hint="cs"/>
          <w:sz w:val="27"/>
          <w:rtl/>
        </w:rPr>
        <w:t>َ</w:t>
      </w:r>
      <w:r w:rsidRPr="00282AC9">
        <w:rPr>
          <w:rFonts w:ascii="Simplified Arabic" w:hAnsi="Simplified Arabic"/>
          <w:sz w:val="27"/>
          <w:rtl/>
        </w:rPr>
        <w:t>ناً استزاد الله، وإنْ عمل سي</w:t>
      </w:r>
      <w:r w:rsidR="0041628F" w:rsidRPr="00282AC9">
        <w:rPr>
          <w:rFonts w:ascii="Simplified Arabic" w:hAnsi="Simplified Arabic" w:hint="cs"/>
          <w:sz w:val="27"/>
          <w:rtl/>
        </w:rPr>
        <w:t>ّ</w:t>
      </w:r>
      <w:r w:rsidRPr="00282AC9">
        <w:rPr>
          <w:rFonts w:ascii="Simplified Arabic" w:hAnsi="Simplified Arabic"/>
          <w:sz w:val="27"/>
          <w:rtl/>
        </w:rPr>
        <w:t xml:space="preserve">ئاً استغفر </w:t>
      </w:r>
      <w:r w:rsidR="0041628F" w:rsidRPr="00282AC9">
        <w:rPr>
          <w:rFonts w:ascii="Simplified Arabic" w:hAnsi="Simplified Arabic" w:hint="cs"/>
          <w:sz w:val="27"/>
          <w:rtl/>
        </w:rPr>
        <w:t>ا</w:t>
      </w:r>
      <w:r w:rsidRPr="00282AC9">
        <w:rPr>
          <w:rFonts w:ascii="Simplified Arabic" w:hAnsi="Simplified Arabic"/>
          <w:sz w:val="27"/>
          <w:rtl/>
        </w:rPr>
        <w:t>لله و</w:t>
      </w:r>
      <w:r w:rsidR="0041628F" w:rsidRPr="00282AC9">
        <w:rPr>
          <w:rFonts w:ascii="Simplified Arabic" w:hAnsi="Simplified Arabic" w:hint="cs"/>
          <w:sz w:val="27"/>
          <w:rtl/>
        </w:rPr>
        <w:t>ت</w:t>
      </w:r>
      <w:r w:rsidRPr="00282AC9">
        <w:rPr>
          <w:rFonts w:ascii="Simplified Arabic" w:hAnsi="Simplified Arabic"/>
          <w:sz w:val="27"/>
          <w:rtl/>
        </w:rPr>
        <w:t xml:space="preserve">اب </w:t>
      </w:r>
      <w:r w:rsidR="0041628F" w:rsidRPr="00282AC9">
        <w:rPr>
          <w:rFonts w:ascii="Simplified Arabic" w:hAnsi="Simplified Arabic" w:hint="cs"/>
          <w:sz w:val="27"/>
          <w:rtl/>
        </w:rPr>
        <w:t>إ</w:t>
      </w:r>
      <w:r w:rsidRPr="00282AC9">
        <w:rPr>
          <w:rFonts w:ascii="Simplified Arabic" w:hAnsi="Simplified Arabic"/>
          <w:sz w:val="27"/>
          <w:rtl/>
        </w:rPr>
        <w:t>ليه</w:t>
      </w:r>
      <w:r w:rsidRPr="00282AC9">
        <w:rPr>
          <w:rFonts w:hint="eastAsia"/>
          <w:sz w:val="24"/>
          <w:szCs w:val="24"/>
          <w:rtl/>
        </w:rPr>
        <w:t>»</w:t>
      </w:r>
      <w:r w:rsidRPr="00282AC9">
        <w:rPr>
          <w:rFonts w:ascii="Simplified Arabic" w:hAnsi="Simplified Arabic"/>
          <w:sz w:val="27"/>
          <w:vertAlign w:val="superscript"/>
          <w:rtl/>
        </w:rPr>
        <w:t>(</w:t>
      </w:r>
      <w:r w:rsidRPr="00282AC9">
        <w:rPr>
          <w:rStyle w:val="af9"/>
          <w:rFonts w:ascii="Simplified Arabic" w:hAnsi="Simplified Arabic"/>
          <w:sz w:val="27"/>
          <w:rtl/>
        </w:rPr>
        <w:endnoteReference w:id="968"/>
      </w:r>
      <w:r w:rsidRPr="00282AC9">
        <w:rPr>
          <w:rFonts w:ascii="Simplified Arabic" w:hAnsi="Simplified Arabic"/>
          <w:sz w:val="27"/>
          <w:vertAlign w:val="superscript"/>
          <w:rtl/>
        </w:rPr>
        <w:t>)</w:t>
      </w:r>
      <w:r w:rsidR="0041628F" w:rsidRPr="00282AC9">
        <w:rPr>
          <w:rFonts w:ascii="Simplified Arabic" w:hAnsi="Simplified Arabic"/>
          <w:sz w:val="27"/>
          <w:rtl/>
        </w:rPr>
        <w:t>. إن</w:t>
      </w:r>
      <w:r w:rsidRPr="00282AC9">
        <w:rPr>
          <w:rFonts w:ascii="Simplified Arabic" w:hAnsi="Simplified Arabic"/>
          <w:sz w:val="27"/>
          <w:rtl/>
        </w:rPr>
        <w:t xml:space="preserve"> دراسة هذا النص</w:t>
      </w:r>
      <w:r w:rsidR="0041628F" w:rsidRPr="00282AC9">
        <w:rPr>
          <w:rFonts w:ascii="Simplified Arabic" w:hAnsi="Simplified Arabic" w:hint="cs"/>
          <w:sz w:val="27"/>
          <w:rtl/>
        </w:rPr>
        <w:t>ّ</w:t>
      </w:r>
      <w:r w:rsidRPr="00282AC9">
        <w:rPr>
          <w:rFonts w:ascii="Simplified Arabic" w:hAnsi="Simplified Arabic"/>
          <w:sz w:val="27"/>
          <w:rtl/>
        </w:rPr>
        <w:t xml:space="preserve"> تفيدنا في تحديد رؤية الإمام</w:t>
      </w:r>
      <w:r w:rsidR="009A2A04" w:rsidRPr="00282AC9">
        <w:rPr>
          <w:rFonts w:ascii="Simplified Arabic" w:hAnsi="Simplified Arabic" w:cs="Mosawi"/>
          <w:sz w:val="22"/>
          <w:szCs w:val="22"/>
          <w:rtl/>
        </w:rPr>
        <w:t>×</w:t>
      </w:r>
      <w:r w:rsidRPr="00282AC9">
        <w:rPr>
          <w:rFonts w:ascii="Simplified Arabic" w:hAnsi="Simplified Arabic"/>
          <w:sz w:val="27"/>
          <w:rtl/>
        </w:rPr>
        <w:t xml:space="preserve"> لمسألة النقد، وذلك من خلال التأكيد على ضرورة تعميق الروح النقدية على المستويين: الذاتي الداخلي</w:t>
      </w:r>
      <w:r w:rsidR="0041628F" w:rsidRPr="00282AC9">
        <w:rPr>
          <w:rFonts w:ascii="Simplified Arabic" w:hAnsi="Simplified Arabic" w:hint="cs"/>
          <w:sz w:val="27"/>
          <w:rtl/>
        </w:rPr>
        <w:t>؛</w:t>
      </w:r>
      <w:r w:rsidRPr="00282AC9">
        <w:rPr>
          <w:rFonts w:ascii="Simplified Arabic" w:hAnsi="Simplified Arabic"/>
          <w:sz w:val="27"/>
          <w:rtl/>
        </w:rPr>
        <w:t xml:space="preserve"> والموضوعي الخارجي، في مفاصل اجتماعنا السياسي والمدني الإسلامي الحالي، وإعلاء كلمة العقل، وترسيخ مبدأ العقلانية الواقعية، والعمل على إيجاد تربته المناسبة</w:t>
      </w:r>
      <w:r w:rsidR="0041628F" w:rsidRPr="00282AC9">
        <w:rPr>
          <w:rFonts w:ascii="Simplified Arabic" w:hAnsi="Simplified Arabic" w:hint="cs"/>
          <w:sz w:val="27"/>
          <w:rtl/>
        </w:rPr>
        <w:t>؛</w:t>
      </w:r>
      <w:r w:rsidRPr="00282AC9">
        <w:rPr>
          <w:rFonts w:ascii="Simplified Arabic" w:hAnsi="Simplified Arabic"/>
          <w:sz w:val="27"/>
          <w:rtl/>
        </w:rPr>
        <w:t xml:space="preserve"> وذلك من أجل الكشف عن حقيقة أزمات الواقع المعاصر الذي نحياه ونعايشه</w:t>
      </w:r>
      <w:r w:rsidR="00FA5EA9" w:rsidRPr="00282AC9">
        <w:rPr>
          <w:rFonts w:ascii="Simplified Arabic" w:hAnsi="Simplified Arabic" w:hint="cs"/>
          <w:sz w:val="27"/>
          <w:rtl/>
        </w:rPr>
        <w:t>،</w:t>
      </w:r>
      <w:r w:rsidRPr="00282AC9">
        <w:rPr>
          <w:rFonts w:ascii="Simplified Arabic" w:hAnsi="Simplified Arabic"/>
          <w:sz w:val="27"/>
          <w:rtl/>
        </w:rPr>
        <w:t xml:space="preserve"> بإيجابي</w:t>
      </w:r>
      <w:r w:rsidR="00FA5EA9" w:rsidRPr="00282AC9">
        <w:rPr>
          <w:rFonts w:ascii="Simplified Arabic" w:hAnsi="Simplified Arabic" w:hint="cs"/>
          <w:sz w:val="27"/>
          <w:rtl/>
        </w:rPr>
        <w:t>ّ</w:t>
      </w:r>
      <w:r w:rsidRPr="00282AC9">
        <w:rPr>
          <w:rFonts w:ascii="Simplified Arabic" w:hAnsi="Simplified Arabic"/>
          <w:sz w:val="27"/>
          <w:rtl/>
        </w:rPr>
        <w:t>اته وسلبي</w:t>
      </w:r>
      <w:r w:rsidR="00FA5EA9" w:rsidRPr="00282AC9">
        <w:rPr>
          <w:rFonts w:ascii="Simplified Arabic" w:hAnsi="Simplified Arabic" w:hint="cs"/>
          <w:sz w:val="27"/>
          <w:rtl/>
        </w:rPr>
        <w:t>ّ</w:t>
      </w:r>
      <w:r w:rsidRPr="00282AC9">
        <w:rPr>
          <w:rFonts w:ascii="Simplified Arabic" w:hAnsi="Simplified Arabic"/>
          <w:sz w:val="27"/>
          <w:rtl/>
        </w:rPr>
        <w:t>اته، وتحليل ظروفه وأحواله المختلفة، وأخذ الع</w:t>
      </w:r>
      <w:r w:rsidR="00FA5EA9" w:rsidRPr="00282AC9">
        <w:rPr>
          <w:rFonts w:ascii="Simplified Arabic" w:hAnsi="Simplified Arabic" w:hint="cs"/>
          <w:sz w:val="27"/>
          <w:rtl/>
        </w:rPr>
        <w:t>ِ</w:t>
      </w:r>
      <w:r w:rsidRPr="00282AC9">
        <w:rPr>
          <w:rFonts w:ascii="Simplified Arabic" w:hAnsi="Simplified Arabic"/>
          <w:sz w:val="27"/>
          <w:rtl/>
        </w:rPr>
        <w:t>ب</w:t>
      </w:r>
      <w:r w:rsidR="00FA5EA9" w:rsidRPr="00282AC9">
        <w:rPr>
          <w:rFonts w:ascii="Simplified Arabic" w:hAnsi="Simplified Arabic" w:hint="cs"/>
          <w:sz w:val="27"/>
          <w:rtl/>
        </w:rPr>
        <w:t>َ</w:t>
      </w:r>
      <w:r w:rsidRPr="00282AC9">
        <w:rPr>
          <w:rFonts w:ascii="Simplified Arabic" w:hAnsi="Simplified Arabic"/>
          <w:sz w:val="27"/>
          <w:rtl/>
        </w:rPr>
        <w:t>ر والدروس منه، بحيث يقودنا ذلك إلى ضرورة تجديد الروح الإسلامية، والعقل الإسلامي، والانفتاح على العالم والحياة، واعتماد مبدأ الاجتهاد والتجديد،</w:t>
      </w:r>
      <w:r w:rsidRPr="00282AC9">
        <w:rPr>
          <w:rFonts w:ascii="Simplified Arabic" w:hAnsi="Simplified Arabic" w:hint="cs"/>
          <w:sz w:val="27"/>
          <w:rtl/>
        </w:rPr>
        <w:t xml:space="preserve"> </w:t>
      </w:r>
      <w:r w:rsidRPr="00282AC9">
        <w:rPr>
          <w:rFonts w:ascii="Simplified Arabic" w:hAnsi="Simplified Arabic"/>
          <w:sz w:val="27"/>
          <w:rtl/>
        </w:rPr>
        <w:t>والروح العلمية المجر</w:t>
      </w:r>
      <w:r w:rsidR="00FA5EA9" w:rsidRPr="00282AC9">
        <w:rPr>
          <w:rFonts w:ascii="Simplified Arabic" w:hAnsi="Simplified Arabic" w:hint="cs"/>
          <w:sz w:val="27"/>
          <w:rtl/>
        </w:rPr>
        <w:t>َّ</w:t>
      </w:r>
      <w:r w:rsidRPr="00282AC9">
        <w:rPr>
          <w:rFonts w:ascii="Simplified Arabic" w:hAnsi="Simplified Arabic"/>
          <w:sz w:val="27"/>
          <w:rtl/>
        </w:rPr>
        <w:t>دة، والرؤية الموضوعية للذات والإنسان وللعالم بشكل</w:t>
      </w:r>
      <w:r w:rsidR="00FA5EA9" w:rsidRPr="00282AC9">
        <w:rPr>
          <w:rFonts w:ascii="Simplified Arabic" w:hAnsi="Simplified Arabic" w:hint="cs"/>
          <w:sz w:val="27"/>
          <w:rtl/>
        </w:rPr>
        <w:t>ٍ</w:t>
      </w:r>
      <w:r w:rsidRPr="00282AC9">
        <w:rPr>
          <w:rFonts w:ascii="Simplified Arabic" w:hAnsi="Simplified Arabic"/>
          <w:sz w:val="27"/>
          <w:rtl/>
        </w:rPr>
        <w:t xml:space="preserve"> دائم.</w:t>
      </w:r>
    </w:p>
    <w:p w:rsidR="007359AA" w:rsidRPr="00282AC9" w:rsidRDefault="007359AA" w:rsidP="00D47E7C">
      <w:pPr>
        <w:rPr>
          <w:rFonts w:ascii="Simplified Arabic" w:hAnsi="Simplified Arabic"/>
          <w:sz w:val="27"/>
          <w:rtl/>
        </w:rPr>
      </w:pPr>
      <w:r w:rsidRPr="00282AC9">
        <w:rPr>
          <w:rFonts w:ascii="Simplified Arabic" w:hAnsi="Simplified Arabic" w:hint="cs"/>
          <w:sz w:val="27"/>
          <w:rtl/>
        </w:rPr>
        <w:t>ولعل</w:t>
      </w:r>
      <w:r w:rsidR="00FA5EA9" w:rsidRPr="00282AC9">
        <w:rPr>
          <w:rFonts w:ascii="Simplified Arabic" w:hAnsi="Simplified Arabic" w:hint="cs"/>
          <w:sz w:val="27"/>
          <w:rtl/>
        </w:rPr>
        <w:t>ّ</w:t>
      </w:r>
      <w:r w:rsidRPr="00282AC9">
        <w:rPr>
          <w:rFonts w:ascii="Simplified Arabic" w:hAnsi="Simplified Arabic" w:hint="cs"/>
          <w:sz w:val="27"/>
          <w:rtl/>
        </w:rPr>
        <w:t xml:space="preserve"> من أكبر وأهم</w:t>
      </w:r>
      <w:r w:rsidR="00FA5EA9" w:rsidRPr="00282AC9">
        <w:rPr>
          <w:rFonts w:ascii="Simplified Arabic" w:hAnsi="Simplified Arabic" w:hint="cs"/>
          <w:sz w:val="27"/>
          <w:rtl/>
        </w:rPr>
        <w:t>ّ</w:t>
      </w:r>
      <w:r w:rsidRPr="00282AC9">
        <w:rPr>
          <w:rFonts w:ascii="Simplified Arabic" w:hAnsi="Simplified Arabic" w:hint="cs"/>
          <w:sz w:val="27"/>
          <w:rtl/>
        </w:rPr>
        <w:t xml:space="preserve"> تلك الأزمات </w:t>
      </w:r>
      <w:r w:rsidRPr="00282AC9">
        <w:rPr>
          <w:rFonts w:ascii="Simplified Arabic" w:hAnsi="Simplified Arabic"/>
          <w:sz w:val="27"/>
          <w:rtl/>
        </w:rPr>
        <w:t>سيطرة</w:t>
      </w:r>
      <w:r w:rsidRPr="00282AC9">
        <w:rPr>
          <w:rFonts w:ascii="Simplified Arabic" w:hAnsi="Simplified Arabic" w:hint="cs"/>
          <w:sz w:val="27"/>
          <w:rtl/>
        </w:rPr>
        <w:t>َ</w:t>
      </w:r>
      <w:r w:rsidRPr="00282AC9">
        <w:rPr>
          <w:rFonts w:ascii="Simplified Arabic" w:hAnsi="Simplified Arabic"/>
          <w:sz w:val="27"/>
          <w:rtl/>
        </w:rPr>
        <w:t xml:space="preserve"> العقلي</w:t>
      </w:r>
      <w:r w:rsidR="00FA5EA9" w:rsidRPr="00282AC9">
        <w:rPr>
          <w:rFonts w:ascii="Simplified Arabic" w:hAnsi="Simplified Arabic" w:hint="cs"/>
          <w:sz w:val="27"/>
          <w:rtl/>
        </w:rPr>
        <w:t>ّ</w:t>
      </w:r>
      <w:r w:rsidRPr="00282AC9">
        <w:rPr>
          <w:rFonts w:ascii="Simplified Arabic" w:hAnsi="Simplified Arabic"/>
          <w:sz w:val="27"/>
          <w:rtl/>
        </w:rPr>
        <w:t>ة الق</w:t>
      </w:r>
      <w:r w:rsidR="00FA5EA9" w:rsidRPr="00282AC9">
        <w:rPr>
          <w:rFonts w:ascii="Simplified Arabic" w:hAnsi="Simplified Arabic" w:hint="cs"/>
          <w:sz w:val="27"/>
          <w:rtl/>
        </w:rPr>
        <w:t>َ</w:t>
      </w:r>
      <w:r w:rsidRPr="00282AC9">
        <w:rPr>
          <w:rFonts w:ascii="Simplified Arabic" w:hAnsi="Simplified Arabic"/>
          <w:sz w:val="27"/>
          <w:rtl/>
        </w:rPr>
        <w:t>ب</w:t>
      </w:r>
      <w:r w:rsidR="00FA5EA9" w:rsidRPr="00282AC9">
        <w:rPr>
          <w:rFonts w:ascii="Simplified Arabic" w:hAnsi="Simplified Arabic" w:hint="cs"/>
          <w:sz w:val="27"/>
          <w:rtl/>
        </w:rPr>
        <w:t>َ</w:t>
      </w:r>
      <w:r w:rsidRPr="00282AC9">
        <w:rPr>
          <w:rFonts w:ascii="Simplified Arabic" w:hAnsi="Simplified Arabic"/>
          <w:sz w:val="27"/>
          <w:rtl/>
        </w:rPr>
        <w:t>لي</w:t>
      </w:r>
      <w:r w:rsidR="00FA5EA9" w:rsidRPr="00282AC9">
        <w:rPr>
          <w:rFonts w:ascii="Simplified Arabic" w:hAnsi="Simplified Arabic" w:hint="cs"/>
          <w:sz w:val="27"/>
          <w:rtl/>
        </w:rPr>
        <w:t>ّ</w:t>
      </w:r>
      <w:r w:rsidRPr="00282AC9">
        <w:rPr>
          <w:rFonts w:ascii="Simplified Arabic" w:hAnsi="Simplified Arabic"/>
          <w:sz w:val="27"/>
          <w:rtl/>
        </w:rPr>
        <w:t>ة على قطاعات</w:t>
      </w:r>
      <w:r w:rsidR="00FA5EA9" w:rsidRPr="00282AC9">
        <w:rPr>
          <w:rFonts w:ascii="Simplified Arabic" w:hAnsi="Simplified Arabic" w:hint="cs"/>
          <w:sz w:val="27"/>
          <w:rtl/>
        </w:rPr>
        <w:t>ٍ</w:t>
      </w:r>
      <w:r w:rsidRPr="00282AC9">
        <w:rPr>
          <w:rFonts w:ascii="Simplified Arabic" w:hAnsi="Simplified Arabic"/>
          <w:sz w:val="27"/>
          <w:rtl/>
        </w:rPr>
        <w:t xml:space="preserve"> واسعة من أجهزة الحكم السياسي العربي والإسلامي</w:t>
      </w:r>
      <w:r w:rsidR="00FA5EA9" w:rsidRPr="00282AC9">
        <w:rPr>
          <w:rFonts w:ascii="Simplified Arabic" w:hAnsi="Simplified Arabic" w:hint="cs"/>
          <w:sz w:val="27"/>
          <w:rtl/>
        </w:rPr>
        <w:t>،</w:t>
      </w:r>
      <w:r w:rsidRPr="00282AC9">
        <w:rPr>
          <w:rFonts w:ascii="Simplified Arabic" w:hAnsi="Simplified Arabic"/>
          <w:sz w:val="27"/>
          <w:rtl/>
        </w:rPr>
        <w:t xml:space="preserve"> بكل</w:t>
      </w:r>
      <w:r w:rsidR="00FA5EA9" w:rsidRPr="00282AC9">
        <w:rPr>
          <w:rFonts w:ascii="Simplified Arabic" w:hAnsi="Simplified Arabic" w:hint="cs"/>
          <w:sz w:val="27"/>
          <w:rtl/>
        </w:rPr>
        <w:t>ّ</w:t>
      </w:r>
      <w:r w:rsidRPr="00282AC9">
        <w:rPr>
          <w:rFonts w:ascii="Simplified Arabic" w:hAnsi="Simplified Arabic"/>
          <w:sz w:val="27"/>
          <w:rtl/>
        </w:rPr>
        <w:t xml:space="preserve"> أجوائه وامتداداته، </w:t>
      </w:r>
      <w:r w:rsidRPr="00282AC9">
        <w:rPr>
          <w:rFonts w:ascii="Simplified Arabic" w:hAnsi="Simplified Arabic" w:hint="cs"/>
          <w:sz w:val="27"/>
          <w:rtl/>
        </w:rPr>
        <w:t xml:space="preserve">والتي </w:t>
      </w:r>
      <w:r w:rsidRPr="00282AC9">
        <w:rPr>
          <w:rFonts w:ascii="Simplified Arabic" w:hAnsi="Simplified Arabic"/>
          <w:sz w:val="27"/>
          <w:rtl/>
        </w:rPr>
        <w:lastRenderedPageBreak/>
        <w:t>تشك</w:t>
      </w:r>
      <w:r w:rsidR="00FA5EA9" w:rsidRPr="00282AC9">
        <w:rPr>
          <w:rFonts w:ascii="Simplified Arabic" w:hAnsi="Simplified Arabic" w:hint="cs"/>
          <w:sz w:val="27"/>
          <w:rtl/>
        </w:rPr>
        <w:t>ِّ</w:t>
      </w:r>
      <w:r w:rsidRPr="00282AC9">
        <w:rPr>
          <w:rFonts w:ascii="Simplified Arabic" w:hAnsi="Simplified Arabic"/>
          <w:sz w:val="27"/>
          <w:rtl/>
        </w:rPr>
        <w:t>ل إحدى أهم</w:t>
      </w:r>
      <w:r w:rsidR="00FA5EA9" w:rsidRPr="00282AC9">
        <w:rPr>
          <w:rFonts w:ascii="Simplified Arabic" w:hAnsi="Simplified Arabic" w:hint="cs"/>
          <w:sz w:val="27"/>
          <w:rtl/>
        </w:rPr>
        <w:t>ّ</w:t>
      </w:r>
      <w:r w:rsidRPr="00282AC9">
        <w:rPr>
          <w:rFonts w:ascii="Simplified Arabic" w:hAnsi="Simplified Arabic"/>
          <w:sz w:val="27"/>
          <w:rtl/>
        </w:rPr>
        <w:t xml:space="preserve"> المسب</w:t>
      </w:r>
      <w:r w:rsidR="00FA5EA9" w:rsidRPr="00282AC9">
        <w:rPr>
          <w:rFonts w:ascii="Simplified Arabic" w:hAnsi="Simplified Arabic" w:hint="cs"/>
          <w:sz w:val="27"/>
          <w:rtl/>
        </w:rPr>
        <w:t>ِّ</w:t>
      </w:r>
      <w:r w:rsidRPr="00282AC9">
        <w:rPr>
          <w:rFonts w:ascii="Simplified Arabic" w:hAnsi="Simplified Arabic"/>
          <w:sz w:val="27"/>
          <w:rtl/>
        </w:rPr>
        <w:t>بات الرئيسة لأزمات واقعنا المتلاحقة</w:t>
      </w:r>
      <w:r w:rsidR="00FA5EA9" w:rsidRPr="00282AC9">
        <w:rPr>
          <w:rFonts w:ascii="Simplified Arabic" w:hAnsi="Simplified Arabic" w:hint="cs"/>
          <w:sz w:val="27"/>
          <w:rtl/>
        </w:rPr>
        <w:t>،</w:t>
      </w:r>
      <w:r w:rsidRPr="00282AC9">
        <w:rPr>
          <w:rFonts w:ascii="Simplified Arabic" w:hAnsi="Simplified Arabic"/>
          <w:sz w:val="27"/>
          <w:rtl/>
        </w:rPr>
        <w:t xml:space="preserve"> التي تكب</w:t>
      </w:r>
      <w:r w:rsidR="00FA5EA9" w:rsidRPr="00282AC9">
        <w:rPr>
          <w:rFonts w:ascii="Simplified Arabic" w:hAnsi="Simplified Arabic" w:hint="cs"/>
          <w:sz w:val="27"/>
          <w:rtl/>
        </w:rPr>
        <w:t>ِّ</w:t>
      </w:r>
      <w:r w:rsidRPr="00282AC9">
        <w:rPr>
          <w:rFonts w:ascii="Simplified Arabic" w:hAnsi="Simplified Arabic"/>
          <w:sz w:val="27"/>
          <w:rtl/>
        </w:rPr>
        <w:t>له وتمنعه من الانطلاق نحو مواقع العمل والإنتاج، وترهن وجوده لصالح ن</w:t>
      </w:r>
      <w:r w:rsidR="00FA5EA9" w:rsidRPr="00282AC9">
        <w:rPr>
          <w:rFonts w:ascii="Simplified Arabic" w:hAnsi="Simplified Arabic" w:hint="cs"/>
          <w:sz w:val="27"/>
          <w:rtl/>
        </w:rPr>
        <w:t>َ</w:t>
      </w:r>
      <w:r w:rsidRPr="00282AC9">
        <w:rPr>
          <w:rFonts w:ascii="Simplified Arabic" w:hAnsi="Simplified Arabic"/>
          <w:sz w:val="27"/>
          <w:rtl/>
        </w:rPr>
        <w:t>ز</w:t>
      </w:r>
      <w:r w:rsidR="00FA5EA9" w:rsidRPr="00282AC9">
        <w:rPr>
          <w:rFonts w:ascii="Simplified Arabic" w:hAnsi="Simplified Arabic" w:hint="cs"/>
          <w:sz w:val="27"/>
          <w:rtl/>
        </w:rPr>
        <w:t>َ</w:t>
      </w:r>
      <w:r w:rsidRPr="00282AC9">
        <w:rPr>
          <w:rFonts w:ascii="Simplified Arabic" w:hAnsi="Simplified Arabic"/>
          <w:sz w:val="27"/>
          <w:rtl/>
        </w:rPr>
        <w:t>عات طغياني</w:t>
      </w:r>
      <w:r w:rsidR="00FA5EA9" w:rsidRPr="00282AC9">
        <w:rPr>
          <w:rFonts w:ascii="Simplified Arabic" w:hAnsi="Simplified Arabic" w:hint="cs"/>
          <w:sz w:val="27"/>
          <w:rtl/>
        </w:rPr>
        <w:t>ّ</w:t>
      </w:r>
      <w:r w:rsidRPr="00282AC9">
        <w:rPr>
          <w:rFonts w:ascii="Simplified Arabic" w:hAnsi="Simplified Arabic"/>
          <w:sz w:val="27"/>
          <w:rtl/>
        </w:rPr>
        <w:t>ة ذاتي</w:t>
      </w:r>
      <w:r w:rsidR="00FA5EA9" w:rsidRPr="00282AC9">
        <w:rPr>
          <w:rFonts w:ascii="Simplified Arabic" w:hAnsi="Simplified Arabic" w:hint="cs"/>
          <w:sz w:val="27"/>
          <w:rtl/>
        </w:rPr>
        <w:t>ّ</w:t>
      </w:r>
      <w:r w:rsidRPr="00282AC9">
        <w:rPr>
          <w:rFonts w:ascii="Simplified Arabic" w:hAnsi="Simplified Arabic"/>
          <w:sz w:val="27"/>
          <w:rtl/>
        </w:rPr>
        <w:t>ة</w:t>
      </w:r>
      <w:r w:rsidR="00FA5EA9" w:rsidRPr="00282AC9">
        <w:rPr>
          <w:rFonts w:ascii="Simplified Arabic" w:hAnsi="Simplified Arabic" w:hint="cs"/>
          <w:sz w:val="27"/>
          <w:rtl/>
        </w:rPr>
        <w:t>،</w:t>
      </w:r>
      <w:r w:rsidRPr="00282AC9">
        <w:rPr>
          <w:rFonts w:ascii="Simplified Arabic" w:hAnsi="Simplified Arabic"/>
          <w:sz w:val="27"/>
          <w:rtl/>
        </w:rPr>
        <w:t xml:space="preserve"> ليس لأصحابها من ه</w:t>
      </w:r>
      <w:r w:rsidR="00FA5EA9" w:rsidRPr="00282AC9">
        <w:rPr>
          <w:rFonts w:ascii="Simplified Arabic" w:hAnsi="Simplified Arabic" w:hint="cs"/>
          <w:sz w:val="27"/>
          <w:rtl/>
        </w:rPr>
        <w:t>َ</w:t>
      </w:r>
      <w:r w:rsidRPr="00282AC9">
        <w:rPr>
          <w:rFonts w:ascii="Simplified Arabic" w:hAnsi="Simplified Arabic"/>
          <w:sz w:val="27"/>
          <w:rtl/>
        </w:rPr>
        <w:t>م</w:t>
      </w:r>
      <w:r w:rsidR="00FA5EA9" w:rsidRPr="00282AC9">
        <w:rPr>
          <w:rFonts w:ascii="Simplified Arabic" w:hAnsi="Simplified Arabic" w:hint="cs"/>
          <w:sz w:val="27"/>
          <w:rtl/>
        </w:rPr>
        <w:t>ٍّ</w:t>
      </w:r>
      <w:r w:rsidRPr="00282AC9">
        <w:rPr>
          <w:rFonts w:ascii="Simplified Arabic" w:hAnsi="Simplified Arabic"/>
          <w:sz w:val="27"/>
          <w:rtl/>
        </w:rPr>
        <w:t xml:space="preserve"> سوى تكريس مصالحهم وأهوائهم، على حساب الدولة والأم</w:t>
      </w:r>
      <w:r w:rsidR="00FA5EA9" w:rsidRPr="00282AC9">
        <w:rPr>
          <w:rFonts w:ascii="Simplified Arabic" w:hAnsi="Simplified Arabic" w:hint="cs"/>
          <w:sz w:val="27"/>
          <w:rtl/>
        </w:rPr>
        <w:t>ّ</w:t>
      </w:r>
      <w:r w:rsidRPr="00282AC9">
        <w:rPr>
          <w:rFonts w:ascii="Simplified Arabic" w:hAnsi="Simplified Arabic"/>
          <w:sz w:val="27"/>
          <w:rtl/>
        </w:rPr>
        <w:t>ة ككل</w:t>
      </w:r>
      <w:r w:rsidR="00FA5EA9" w:rsidRPr="00282AC9">
        <w:rPr>
          <w:rFonts w:ascii="Simplified Arabic" w:hAnsi="Simplified Arabic" w:hint="cs"/>
          <w:sz w:val="27"/>
          <w:rtl/>
        </w:rPr>
        <w:t>ٍّ</w:t>
      </w:r>
      <w:r w:rsidRPr="00282AC9">
        <w:rPr>
          <w:rFonts w:ascii="Simplified Arabic" w:hAnsi="Simplified Arabic"/>
          <w:sz w:val="27"/>
          <w:rtl/>
        </w:rPr>
        <w:t xml:space="preserve">. </w:t>
      </w:r>
    </w:p>
    <w:p w:rsidR="007359AA" w:rsidRPr="00282AC9" w:rsidRDefault="007359AA" w:rsidP="00D47E7C">
      <w:pPr>
        <w:pStyle w:val="af6"/>
        <w:spacing w:line="400" w:lineRule="exact"/>
        <w:rPr>
          <w:rFonts w:ascii="Simplified Arabic" w:eastAsiaTheme="minorHAnsi" w:hAnsi="Simplified Arabic"/>
          <w:sz w:val="27"/>
          <w:szCs w:val="27"/>
          <w:rtl/>
        </w:rPr>
      </w:pPr>
      <w:r w:rsidRPr="00282AC9">
        <w:rPr>
          <w:rFonts w:ascii="Simplified Arabic" w:eastAsiaTheme="minorHAnsi" w:hAnsi="Simplified Arabic" w:hint="cs"/>
          <w:sz w:val="27"/>
          <w:szCs w:val="27"/>
          <w:rtl/>
        </w:rPr>
        <w:t xml:space="preserve">إن </w:t>
      </w:r>
      <w:r w:rsidRPr="00282AC9">
        <w:rPr>
          <w:rFonts w:ascii="Simplified Arabic" w:eastAsiaTheme="minorHAnsi" w:hAnsi="Simplified Arabic"/>
          <w:sz w:val="27"/>
          <w:szCs w:val="27"/>
          <w:rtl/>
        </w:rPr>
        <w:t>امتداد جذور هذه الأزمة</w:t>
      </w:r>
      <w:r w:rsidRPr="00282AC9">
        <w:rPr>
          <w:rFonts w:ascii="Simplified Arabic" w:eastAsiaTheme="minorHAnsi" w:hAnsi="Simplified Arabic" w:hint="cs"/>
          <w:sz w:val="27"/>
          <w:szCs w:val="27"/>
          <w:rtl/>
        </w:rPr>
        <w:t xml:space="preserve"> ـ </w:t>
      </w:r>
      <w:r w:rsidRPr="00282AC9">
        <w:rPr>
          <w:rFonts w:ascii="Simplified Arabic" w:eastAsiaTheme="minorHAnsi" w:hAnsi="Simplified Arabic"/>
          <w:sz w:val="27"/>
          <w:szCs w:val="27"/>
          <w:rtl/>
        </w:rPr>
        <w:t>التي تعصف بمجتمعاتنا الإسلامية اليوم</w:t>
      </w:r>
      <w:r w:rsidRPr="00282AC9">
        <w:rPr>
          <w:rFonts w:ascii="Simplified Arabic" w:eastAsiaTheme="minorHAnsi" w:hAnsi="Simplified Arabic" w:hint="cs"/>
          <w:sz w:val="27"/>
          <w:szCs w:val="27"/>
          <w:rtl/>
        </w:rPr>
        <w:t xml:space="preserve"> ـ </w:t>
      </w:r>
      <w:r w:rsidRPr="00282AC9">
        <w:rPr>
          <w:rFonts w:ascii="Simplified Arabic" w:eastAsiaTheme="minorHAnsi" w:hAnsi="Simplified Arabic"/>
          <w:sz w:val="27"/>
          <w:szCs w:val="27"/>
          <w:rtl/>
        </w:rPr>
        <w:t>قد أد</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ى إلى بناء حداثة</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 غربية مشو</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هة وغير نظيفة في مجتمعات</w:t>
      </w:r>
      <w:r w:rsidRPr="00282AC9">
        <w:rPr>
          <w:rFonts w:ascii="Simplified Arabic" w:eastAsiaTheme="minorHAnsi" w:hAnsi="Simplified Arabic" w:hint="cs"/>
          <w:sz w:val="27"/>
          <w:szCs w:val="27"/>
          <w:rtl/>
        </w:rPr>
        <w:t>نا</w:t>
      </w:r>
      <w:r w:rsidRPr="00282AC9">
        <w:rPr>
          <w:rFonts w:ascii="Simplified Arabic" w:eastAsiaTheme="minorHAnsi" w:hAnsi="Simplified Arabic"/>
          <w:sz w:val="27"/>
          <w:szCs w:val="27"/>
          <w:rtl/>
        </w:rPr>
        <w:t>. لذلك ليس هناك من أمل</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 للخروج من هذه الأزمة العميقة (وحداثتها المزي</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فة الكسيحة) إلا</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 بتوجيه سهام النقد الموضوعي إلى الجذور النفسي</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ة والفكري</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ة التي أنتج</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ت</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 وول</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د</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ت</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 هذه الحداثة، وتهيئة شروط جديدة</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 لتجاوزها</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 والخروج من أخطارها العقيمة.</w:t>
      </w:r>
      <w:r w:rsidR="00FA5EA9" w:rsidRPr="00282AC9">
        <w:rPr>
          <w:rFonts w:ascii="Simplified Arabic" w:eastAsiaTheme="minorHAnsi" w:hAnsi="Simplified Arabic" w:hint="cs"/>
          <w:sz w:val="27"/>
          <w:szCs w:val="27"/>
          <w:rtl/>
        </w:rPr>
        <w:t xml:space="preserve"> </w:t>
      </w:r>
      <w:r w:rsidRPr="00282AC9">
        <w:rPr>
          <w:rFonts w:ascii="Simplified Arabic" w:eastAsiaTheme="minorHAnsi" w:hAnsi="Simplified Arabic"/>
          <w:sz w:val="27"/>
          <w:szCs w:val="27"/>
          <w:rtl/>
        </w:rPr>
        <w:t>والواجب يقتضي من</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ا ـ في هذا المجال ـ العمل على إنجاز ما يلي:</w:t>
      </w:r>
    </w:p>
    <w:p w:rsidR="007359AA" w:rsidRPr="00282AC9" w:rsidRDefault="007359AA" w:rsidP="00D47E7C">
      <w:pPr>
        <w:pStyle w:val="af6"/>
        <w:spacing w:line="400" w:lineRule="exact"/>
        <w:rPr>
          <w:rFonts w:ascii="Simplified Arabic" w:eastAsiaTheme="minorHAnsi" w:hAnsi="Simplified Arabic"/>
          <w:sz w:val="27"/>
          <w:szCs w:val="27"/>
          <w:rtl/>
        </w:rPr>
      </w:pPr>
      <w:r w:rsidRPr="00282AC9">
        <w:rPr>
          <w:rFonts w:ascii="Simplified Arabic" w:eastAsiaTheme="minorHAnsi" w:hAnsi="Simplified Arabic"/>
          <w:sz w:val="27"/>
          <w:szCs w:val="27"/>
          <w:rtl/>
        </w:rPr>
        <w:t>1ـ نقد الدولة الوطنية الحديثة بالذات، في مفهومها، ومصدر ق</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ي</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مها.</w:t>
      </w:r>
    </w:p>
    <w:p w:rsidR="007359AA" w:rsidRPr="00282AC9" w:rsidRDefault="007359AA" w:rsidP="00D47E7C">
      <w:pPr>
        <w:pStyle w:val="af6"/>
        <w:spacing w:line="400" w:lineRule="exact"/>
        <w:rPr>
          <w:rFonts w:ascii="Simplified Arabic" w:eastAsiaTheme="minorHAnsi" w:hAnsi="Simplified Arabic"/>
          <w:sz w:val="27"/>
          <w:szCs w:val="27"/>
          <w:rtl/>
        </w:rPr>
      </w:pPr>
      <w:r w:rsidRPr="00282AC9">
        <w:rPr>
          <w:rFonts w:ascii="Simplified Arabic" w:eastAsiaTheme="minorHAnsi" w:hAnsi="Simplified Arabic"/>
          <w:sz w:val="27"/>
          <w:szCs w:val="27"/>
          <w:rtl/>
        </w:rPr>
        <w:t>2ـ نقد عقيدة ارتباط التقد</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م التاريخي بالدولة.</w:t>
      </w:r>
    </w:p>
    <w:p w:rsidR="007359AA" w:rsidRPr="00282AC9" w:rsidRDefault="007359AA" w:rsidP="00D47E7C">
      <w:pPr>
        <w:pStyle w:val="af6"/>
        <w:spacing w:line="400" w:lineRule="exact"/>
        <w:rPr>
          <w:rFonts w:ascii="Simplified Arabic" w:eastAsiaTheme="minorHAnsi" w:hAnsi="Simplified Arabic"/>
          <w:sz w:val="27"/>
          <w:szCs w:val="27"/>
          <w:rtl/>
        </w:rPr>
      </w:pPr>
      <w:r w:rsidRPr="00282AC9">
        <w:rPr>
          <w:rFonts w:ascii="Simplified Arabic" w:eastAsiaTheme="minorHAnsi" w:hAnsi="Simplified Arabic"/>
          <w:sz w:val="27"/>
          <w:szCs w:val="27"/>
          <w:rtl/>
        </w:rPr>
        <w:t xml:space="preserve">3ـ نقد فكرة تعظيم </w:t>
      </w:r>
      <w:r w:rsidR="00EE6DBA" w:rsidRPr="00282AC9">
        <w:rPr>
          <w:rFonts w:ascii="Simplified Arabic" w:eastAsiaTheme="minorHAnsi" w:hAnsi="Simplified Arabic"/>
          <w:sz w:val="27"/>
          <w:szCs w:val="27"/>
          <w:rtl/>
        </w:rPr>
        <w:t>دَوْر</w:t>
      </w:r>
      <w:r w:rsidRPr="00282AC9">
        <w:rPr>
          <w:rFonts w:ascii="Simplified Arabic" w:eastAsiaTheme="minorHAnsi" w:hAnsi="Simplified Arabic"/>
          <w:sz w:val="27"/>
          <w:szCs w:val="27"/>
          <w:rtl/>
        </w:rPr>
        <w:t xml:space="preserve"> الطليعة الحزبي</w:t>
      </w:r>
      <w:r w:rsidR="00FA5EA9"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ة المغلقة</w:t>
      </w:r>
      <w:r w:rsidRPr="00282AC9">
        <w:rPr>
          <w:rFonts w:ascii="Simplified Arabic" w:eastAsiaTheme="minorHAnsi" w:hAnsi="Simplified Arabic" w:hint="cs"/>
          <w:sz w:val="27"/>
          <w:szCs w:val="27"/>
          <w:rtl/>
        </w:rPr>
        <w:t xml:space="preserve">، </w:t>
      </w:r>
      <w:r w:rsidRPr="00282AC9">
        <w:rPr>
          <w:rFonts w:ascii="Simplified Arabic" w:eastAsiaTheme="minorHAnsi" w:hAnsi="Simplified Arabic"/>
          <w:sz w:val="27"/>
          <w:szCs w:val="27"/>
          <w:rtl/>
        </w:rPr>
        <w:t>والإدارات القائمة، وفضح تضخيمها لأجهزة القمع والضبط والردع والك</w:t>
      </w:r>
      <w:r w:rsidR="0040192F"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ب</w:t>
      </w:r>
      <w:r w:rsidR="0040192F"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ت، بوسائلها الخاص</w:t>
      </w:r>
      <w:r w:rsidR="0040192F"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ة والعامة</w:t>
      </w:r>
      <w:r w:rsidR="0040192F"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 التي أصبحت استراتيجية سياسية وثقافية عام</w:t>
      </w:r>
      <w:r w:rsidR="0040192F"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ة للدولة الوطنية (والقومية) العربية الحديثة، بحيث بات معد</w:t>
      </w:r>
      <w:r w:rsidR="0040192F"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ل بناء السجون والمعتقلات، والمنافي الصحراوية، ومعسكرات المراقبة والتجميع، ونقاط التفتيش، وأجهزة</w:t>
      </w:r>
      <w:r w:rsidRPr="00282AC9">
        <w:rPr>
          <w:rFonts w:ascii="Simplified Arabic" w:eastAsiaTheme="minorHAnsi" w:hAnsi="Simplified Arabic" w:hint="cs"/>
          <w:sz w:val="27"/>
          <w:szCs w:val="27"/>
          <w:rtl/>
        </w:rPr>
        <w:t xml:space="preserve"> الأمن والشرطة</w:t>
      </w:r>
      <w:r w:rsidRPr="00282AC9">
        <w:rPr>
          <w:rFonts w:ascii="Simplified Arabic" w:eastAsiaTheme="minorHAnsi" w:hAnsi="Simplified Arabic"/>
          <w:sz w:val="27"/>
          <w:szCs w:val="27"/>
          <w:rtl/>
        </w:rPr>
        <w:t xml:space="preserve"> </w:t>
      </w:r>
      <w:r w:rsidRPr="00282AC9">
        <w:rPr>
          <w:rFonts w:ascii="Simplified Arabic" w:eastAsiaTheme="minorHAnsi" w:hAnsi="Simplified Arabic" w:hint="cs"/>
          <w:sz w:val="27"/>
          <w:szCs w:val="27"/>
          <w:rtl/>
        </w:rPr>
        <w:t>و</w:t>
      </w:r>
      <w:r w:rsidRPr="00282AC9">
        <w:rPr>
          <w:rFonts w:ascii="Simplified Arabic" w:eastAsiaTheme="minorHAnsi" w:hAnsi="Simplified Arabic"/>
          <w:sz w:val="27"/>
          <w:szCs w:val="27"/>
          <w:rtl/>
        </w:rPr>
        <w:t>المخابرات، أكبر بكثير</w:t>
      </w:r>
      <w:r w:rsidR="0040192F"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 من معد</w:t>
      </w:r>
      <w:r w:rsidR="0040192F"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ل بناء المستشفيات والمدارس ومرافق الخدمات الاجتماعي</w:t>
      </w:r>
      <w:r w:rsidR="0040192F" w:rsidRPr="00282AC9">
        <w:rPr>
          <w:rFonts w:ascii="Simplified Arabic" w:eastAsiaTheme="minorHAnsi" w:hAnsi="Simplified Arabic" w:hint="cs"/>
          <w:sz w:val="27"/>
          <w:szCs w:val="27"/>
          <w:rtl/>
        </w:rPr>
        <w:t>ّ</w:t>
      </w:r>
      <w:r w:rsidRPr="00282AC9">
        <w:rPr>
          <w:rFonts w:ascii="Simplified Arabic" w:eastAsiaTheme="minorHAnsi" w:hAnsi="Simplified Arabic"/>
          <w:sz w:val="27"/>
          <w:szCs w:val="27"/>
          <w:rtl/>
        </w:rPr>
        <w:t xml:space="preserve">ة الأخرى. </w:t>
      </w:r>
    </w:p>
    <w:p w:rsidR="007359AA" w:rsidRPr="00282AC9" w:rsidRDefault="007359AA" w:rsidP="00D47E7C">
      <w:pPr>
        <w:rPr>
          <w:rFonts w:eastAsiaTheme="minorHAnsi"/>
          <w:rtl/>
        </w:rPr>
      </w:pPr>
      <w:r w:rsidRPr="00282AC9">
        <w:rPr>
          <w:rFonts w:eastAsiaTheme="minorHAnsi" w:hint="cs"/>
          <w:rtl/>
        </w:rPr>
        <w:t>هذا كل</w:t>
      </w:r>
      <w:r w:rsidR="0040192F" w:rsidRPr="00282AC9">
        <w:rPr>
          <w:rFonts w:eastAsiaTheme="minorHAnsi" w:hint="cs"/>
          <w:rtl/>
        </w:rPr>
        <w:t>ُّ</w:t>
      </w:r>
      <w:r w:rsidR="009B08F5" w:rsidRPr="00282AC9">
        <w:rPr>
          <w:rFonts w:eastAsiaTheme="minorHAnsi" w:hint="cs"/>
          <w:rtl/>
        </w:rPr>
        <w:t>ه أفضى إلى صناعة إنسانٍ</w:t>
      </w:r>
      <w:r w:rsidRPr="00282AC9">
        <w:rPr>
          <w:rFonts w:eastAsiaTheme="minorHAnsi" w:hint="cs"/>
          <w:rtl/>
        </w:rPr>
        <w:t xml:space="preserve"> عربي</w:t>
      </w:r>
      <w:r w:rsidR="0040192F" w:rsidRPr="00282AC9">
        <w:rPr>
          <w:rFonts w:eastAsiaTheme="minorHAnsi" w:hint="cs"/>
          <w:rtl/>
        </w:rPr>
        <w:t>ّ</w:t>
      </w:r>
      <w:r w:rsidRPr="00282AC9">
        <w:rPr>
          <w:rFonts w:eastAsiaTheme="minorHAnsi" w:hint="cs"/>
          <w:rtl/>
        </w:rPr>
        <w:t xml:space="preserve"> مسلم مشو</w:t>
      </w:r>
      <w:r w:rsidR="0040192F" w:rsidRPr="00282AC9">
        <w:rPr>
          <w:rFonts w:eastAsiaTheme="minorHAnsi" w:hint="cs"/>
          <w:rtl/>
        </w:rPr>
        <w:t>َّ</w:t>
      </w:r>
      <w:r w:rsidRPr="00282AC9">
        <w:rPr>
          <w:rFonts w:eastAsiaTheme="minorHAnsi" w:hint="cs"/>
          <w:rtl/>
        </w:rPr>
        <w:t>ه</w:t>
      </w:r>
      <w:r w:rsidR="0040192F" w:rsidRPr="00282AC9">
        <w:rPr>
          <w:rFonts w:eastAsiaTheme="minorHAnsi" w:hint="cs"/>
          <w:rtl/>
        </w:rPr>
        <w:t>،</w:t>
      </w:r>
      <w:r w:rsidRPr="00282AC9">
        <w:rPr>
          <w:rFonts w:eastAsiaTheme="minorHAnsi" w:hint="cs"/>
          <w:rtl/>
        </w:rPr>
        <w:t xml:space="preserve"> نفسياً وتربوياً. نعم</w:t>
      </w:r>
      <w:r w:rsidR="0040192F" w:rsidRPr="00282AC9">
        <w:rPr>
          <w:rFonts w:eastAsiaTheme="minorHAnsi" w:hint="cs"/>
          <w:rtl/>
        </w:rPr>
        <w:t>،</w:t>
      </w:r>
      <w:r w:rsidRPr="00282AC9">
        <w:rPr>
          <w:rFonts w:eastAsiaTheme="minorHAnsi" w:hint="cs"/>
          <w:rtl/>
        </w:rPr>
        <w:t xml:space="preserve"> بات</w:t>
      </w:r>
      <w:r w:rsidR="0040192F" w:rsidRPr="00282AC9">
        <w:rPr>
          <w:rFonts w:eastAsiaTheme="minorHAnsi" w:hint="cs"/>
          <w:rtl/>
        </w:rPr>
        <w:t>َ</w:t>
      </w:r>
      <w:r w:rsidRPr="00282AC9">
        <w:rPr>
          <w:rFonts w:eastAsiaTheme="minorHAnsi" w:hint="cs"/>
          <w:rtl/>
        </w:rPr>
        <w:t>ت</w:t>
      </w:r>
      <w:r w:rsidR="0040192F" w:rsidRPr="00282AC9">
        <w:rPr>
          <w:rFonts w:eastAsiaTheme="minorHAnsi" w:hint="cs"/>
          <w:rtl/>
        </w:rPr>
        <w:t>ْ</w:t>
      </w:r>
      <w:r w:rsidRPr="00282AC9">
        <w:rPr>
          <w:rFonts w:eastAsiaTheme="minorHAnsi" w:hint="cs"/>
          <w:rtl/>
        </w:rPr>
        <w:t xml:space="preserve"> </w:t>
      </w:r>
      <w:r w:rsidRPr="00282AC9">
        <w:rPr>
          <w:rFonts w:eastAsiaTheme="minorHAnsi"/>
          <w:rtl/>
        </w:rPr>
        <w:t>شخصي</w:t>
      </w:r>
      <w:r w:rsidR="0040192F" w:rsidRPr="00282AC9">
        <w:rPr>
          <w:rFonts w:eastAsiaTheme="minorHAnsi" w:hint="cs"/>
          <w:rtl/>
        </w:rPr>
        <w:t>ّ</w:t>
      </w:r>
      <w:r w:rsidRPr="00282AC9">
        <w:rPr>
          <w:rFonts w:eastAsiaTheme="minorHAnsi"/>
          <w:rtl/>
        </w:rPr>
        <w:t>تنا العربية تت</w:t>
      </w:r>
      <w:r w:rsidR="0040192F" w:rsidRPr="00282AC9">
        <w:rPr>
          <w:rFonts w:eastAsiaTheme="minorHAnsi" w:hint="cs"/>
          <w:rtl/>
        </w:rPr>
        <w:t>َّ</w:t>
      </w:r>
      <w:r w:rsidRPr="00282AC9">
        <w:rPr>
          <w:rFonts w:eastAsiaTheme="minorHAnsi"/>
          <w:rtl/>
        </w:rPr>
        <w:t>سم اليوم بال</w:t>
      </w:r>
      <w:r w:rsidRPr="00282AC9">
        <w:rPr>
          <w:rFonts w:eastAsiaTheme="minorHAnsi" w:hint="cs"/>
          <w:rtl/>
        </w:rPr>
        <w:t>خوف وال</w:t>
      </w:r>
      <w:r w:rsidRPr="00282AC9">
        <w:rPr>
          <w:rFonts w:eastAsiaTheme="minorHAnsi"/>
          <w:rtl/>
        </w:rPr>
        <w:t>تسر</w:t>
      </w:r>
      <w:r w:rsidR="0040192F" w:rsidRPr="00282AC9">
        <w:rPr>
          <w:rFonts w:eastAsiaTheme="minorHAnsi" w:hint="cs"/>
          <w:rtl/>
        </w:rPr>
        <w:t>ُّ</w:t>
      </w:r>
      <w:r w:rsidRPr="00282AC9">
        <w:rPr>
          <w:rFonts w:eastAsiaTheme="minorHAnsi"/>
          <w:rtl/>
        </w:rPr>
        <w:t>ع والانفعال والعنف والإقصاء والتكفير والتعص</w:t>
      </w:r>
      <w:r w:rsidR="0040192F" w:rsidRPr="00282AC9">
        <w:rPr>
          <w:rFonts w:eastAsiaTheme="minorHAnsi" w:hint="cs"/>
          <w:rtl/>
        </w:rPr>
        <w:t>ُّ</w:t>
      </w:r>
      <w:r w:rsidRPr="00282AC9">
        <w:rPr>
          <w:rFonts w:eastAsiaTheme="minorHAnsi"/>
          <w:rtl/>
        </w:rPr>
        <w:t>ب</w:t>
      </w:r>
      <w:r w:rsidR="0040192F" w:rsidRPr="00282AC9">
        <w:rPr>
          <w:rFonts w:eastAsiaTheme="minorHAnsi" w:hint="cs"/>
          <w:rtl/>
        </w:rPr>
        <w:t>.</w:t>
      </w:r>
      <w:r w:rsidRPr="00282AC9">
        <w:rPr>
          <w:rFonts w:eastAsiaTheme="minorHAnsi"/>
          <w:rtl/>
        </w:rPr>
        <w:t xml:space="preserve"> وهذا كل</w:t>
      </w:r>
      <w:r w:rsidR="0040192F" w:rsidRPr="00282AC9">
        <w:rPr>
          <w:rFonts w:eastAsiaTheme="minorHAnsi" w:hint="cs"/>
          <w:rtl/>
        </w:rPr>
        <w:t>ُّ</w:t>
      </w:r>
      <w:r w:rsidRPr="00282AC9">
        <w:rPr>
          <w:rFonts w:eastAsiaTheme="minorHAnsi"/>
          <w:rtl/>
        </w:rPr>
        <w:t>ه جاء على خلفي</w:t>
      </w:r>
      <w:r w:rsidR="0040192F" w:rsidRPr="00282AC9">
        <w:rPr>
          <w:rFonts w:eastAsiaTheme="minorHAnsi" w:hint="cs"/>
          <w:rtl/>
        </w:rPr>
        <w:t>ّ</w:t>
      </w:r>
      <w:r w:rsidRPr="00282AC9">
        <w:rPr>
          <w:rFonts w:eastAsiaTheme="minorHAnsi"/>
          <w:rtl/>
        </w:rPr>
        <w:t>ة</w:t>
      </w:r>
      <w:r w:rsidRPr="00282AC9">
        <w:rPr>
          <w:rFonts w:eastAsiaTheme="minorHAnsi" w:hint="cs"/>
          <w:rtl/>
        </w:rPr>
        <w:t xml:space="preserve"> ذلك الواقع، </w:t>
      </w:r>
      <w:r w:rsidRPr="00282AC9">
        <w:rPr>
          <w:rFonts w:eastAsiaTheme="minorHAnsi"/>
          <w:rtl/>
        </w:rPr>
        <w:t>واقع سياسي واجتماعي</w:t>
      </w:r>
      <w:r w:rsidR="0040192F" w:rsidRPr="00282AC9">
        <w:rPr>
          <w:rFonts w:eastAsiaTheme="minorHAnsi" w:hint="cs"/>
          <w:rtl/>
        </w:rPr>
        <w:t>،</w:t>
      </w:r>
      <w:r w:rsidRPr="00282AC9">
        <w:rPr>
          <w:rFonts w:eastAsiaTheme="minorHAnsi"/>
          <w:rtl/>
        </w:rPr>
        <w:t xml:space="preserve"> وحت</w:t>
      </w:r>
      <w:r w:rsidR="0040192F" w:rsidRPr="00282AC9">
        <w:rPr>
          <w:rFonts w:eastAsiaTheme="minorHAnsi" w:hint="cs"/>
          <w:rtl/>
        </w:rPr>
        <w:t>ّ</w:t>
      </w:r>
      <w:r w:rsidRPr="00282AC9">
        <w:rPr>
          <w:rFonts w:eastAsiaTheme="minorHAnsi"/>
          <w:rtl/>
        </w:rPr>
        <w:t>ى تربوي</w:t>
      </w:r>
      <w:r w:rsidR="0040192F" w:rsidRPr="00282AC9">
        <w:rPr>
          <w:rFonts w:eastAsiaTheme="minorHAnsi" w:hint="cs"/>
          <w:rtl/>
        </w:rPr>
        <w:t>ّ،</w:t>
      </w:r>
      <w:r w:rsidRPr="00282AC9">
        <w:rPr>
          <w:rFonts w:eastAsiaTheme="minorHAnsi"/>
          <w:rtl/>
        </w:rPr>
        <w:t xml:space="preserve"> عربي</w:t>
      </w:r>
      <w:r w:rsidR="0040192F" w:rsidRPr="00282AC9">
        <w:rPr>
          <w:rFonts w:eastAsiaTheme="minorHAnsi" w:hint="cs"/>
          <w:rtl/>
        </w:rPr>
        <w:t>ٍّ،</w:t>
      </w:r>
      <w:r w:rsidRPr="00282AC9">
        <w:rPr>
          <w:rFonts w:eastAsiaTheme="minorHAnsi"/>
          <w:rtl/>
        </w:rPr>
        <w:t xml:space="preserve"> متداخل</w:t>
      </w:r>
      <w:r w:rsidR="0040192F" w:rsidRPr="00282AC9">
        <w:rPr>
          <w:rFonts w:eastAsiaTheme="minorHAnsi" w:hint="cs"/>
          <w:rtl/>
        </w:rPr>
        <w:t>ٍ</w:t>
      </w:r>
      <w:r w:rsidRPr="00282AC9">
        <w:rPr>
          <w:rFonts w:eastAsiaTheme="minorHAnsi"/>
          <w:rtl/>
        </w:rPr>
        <w:t xml:space="preserve"> ومعق</w:t>
      </w:r>
      <w:r w:rsidR="0040192F" w:rsidRPr="00282AC9">
        <w:rPr>
          <w:rFonts w:eastAsiaTheme="minorHAnsi" w:hint="cs"/>
          <w:rtl/>
        </w:rPr>
        <w:t>ّ</w:t>
      </w:r>
      <w:r w:rsidRPr="00282AC9">
        <w:rPr>
          <w:rFonts w:eastAsiaTheme="minorHAnsi"/>
          <w:rtl/>
        </w:rPr>
        <w:t>د</w:t>
      </w:r>
      <w:r w:rsidR="0040192F" w:rsidRPr="00282AC9">
        <w:rPr>
          <w:rFonts w:eastAsiaTheme="minorHAnsi" w:hint="cs"/>
          <w:rtl/>
        </w:rPr>
        <w:t>ٍ،</w:t>
      </w:r>
      <w:r w:rsidRPr="00282AC9">
        <w:rPr>
          <w:rFonts w:eastAsiaTheme="minorHAnsi"/>
          <w:rtl/>
        </w:rPr>
        <w:t xml:space="preserve"> لا قيمة فيه للفرد كفرد</w:t>
      </w:r>
      <w:r w:rsidR="0040192F" w:rsidRPr="00282AC9">
        <w:rPr>
          <w:rFonts w:eastAsiaTheme="minorHAnsi" w:hint="cs"/>
          <w:rtl/>
        </w:rPr>
        <w:t>ٍ</w:t>
      </w:r>
      <w:r w:rsidRPr="00282AC9">
        <w:rPr>
          <w:rFonts w:eastAsiaTheme="minorHAnsi"/>
          <w:rtl/>
        </w:rPr>
        <w:t xml:space="preserve"> له حقوقه وكرامته ووجوده الحقيقي</w:t>
      </w:r>
      <w:r w:rsidR="0040192F" w:rsidRPr="00282AC9">
        <w:rPr>
          <w:rFonts w:eastAsiaTheme="minorHAnsi" w:hint="cs"/>
          <w:rtl/>
        </w:rPr>
        <w:t>ّ</w:t>
      </w:r>
      <w:r w:rsidRPr="00282AC9">
        <w:rPr>
          <w:rFonts w:eastAsiaTheme="minorHAnsi"/>
          <w:rtl/>
        </w:rPr>
        <w:t>، ابتداءً من الأسرة وانتهاءً بأوسع الدوائر الاجتماعية</w:t>
      </w:r>
      <w:r w:rsidRPr="00282AC9">
        <w:rPr>
          <w:rFonts w:eastAsiaTheme="minorHAnsi" w:hint="cs"/>
          <w:rtl/>
        </w:rPr>
        <w:t xml:space="preserve"> والمواقع السياسية</w:t>
      </w:r>
      <w:r w:rsidR="0040192F" w:rsidRPr="00282AC9">
        <w:rPr>
          <w:rFonts w:eastAsiaTheme="minorHAnsi" w:hint="cs"/>
          <w:rtl/>
        </w:rPr>
        <w:t>.</w:t>
      </w:r>
      <w:r w:rsidRPr="00282AC9">
        <w:rPr>
          <w:rFonts w:eastAsiaTheme="minorHAnsi"/>
          <w:rtl/>
        </w:rPr>
        <w:t xml:space="preserve"> وهو جاء أيضاً كمحص</w:t>
      </w:r>
      <w:r w:rsidR="0040192F" w:rsidRPr="00282AC9">
        <w:rPr>
          <w:rFonts w:eastAsiaTheme="minorHAnsi" w:hint="cs"/>
          <w:rtl/>
        </w:rPr>
        <w:t>ّ</w:t>
      </w:r>
      <w:r w:rsidRPr="00282AC9">
        <w:rPr>
          <w:rFonts w:eastAsiaTheme="minorHAnsi"/>
          <w:rtl/>
        </w:rPr>
        <w:t>لة لواقع منع الحقوق</w:t>
      </w:r>
      <w:r w:rsidR="0040192F" w:rsidRPr="00282AC9">
        <w:rPr>
          <w:rFonts w:eastAsiaTheme="minorHAnsi" w:hint="cs"/>
          <w:rtl/>
        </w:rPr>
        <w:t>،</w:t>
      </w:r>
      <w:r w:rsidRPr="00282AC9">
        <w:rPr>
          <w:rFonts w:eastAsiaTheme="minorHAnsi"/>
          <w:rtl/>
        </w:rPr>
        <w:t xml:space="preserve"> و</w:t>
      </w:r>
      <w:r w:rsidRPr="00282AC9">
        <w:rPr>
          <w:rFonts w:eastAsiaTheme="minorHAnsi" w:hint="cs"/>
          <w:rtl/>
        </w:rPr>
        <w:t xml:space="preserve">أشاع </w:t>
      </w:r>
      <w:r w:rsidRPr="00282AC9">
        <w:rPr>
          <w:rFonts w:eastAsiaTheme="minorHAnsi"/>
          <w:rtl/>
        </w:rPr>
        <w:t>الهيمنة والتسل</w:t>
      </w:r>
      <w:r w:rsidR="0040192F" w:rsidRPr="00282AC9">
        <w:rPr>
          <w:rFonts w:eastAsiaTheme="minorHAnsi" w:hint="cs"/>
          <w:rtl/>
        </w:rPr>
        <w:t>ُّ</w:t>
      </w:r>
      <w:r w:rsidRPr="00282AC9">
        <w:rPr>
          <w:rFonts w:eastAsiaTheme="minorHAnsi"/>
          <w:rtl/>
        </w:rPr>
        <w:t>ط، و</w:t>
      </w:r>
      <w:r w:rsidRPr="00282AC9">
        <w:rPr>
          <w:rFonts w:eastAsiaTheme="minorHAnsi" w:hint="cs"/>
          <w:rtl/>
        </w:rPr>
        <w:t>دفع ل</w:t>
      </w:r>
      <w:r w:rsidRPr="00282AC9">
        <w:rPr>
          <w:rFonts w:eastAsiaTheme="minorHAnsi"/>
          <w:rtl/>
        </w:rPr>
        <w:t>استمرار سياسات الإقصاء وليالي الك</w:t>
      </w:r>
      <w:r w:rsidR="0040192F" w:rsidRPr="00282AC9">
        <w:rPr>
          <w:rFonts w:eastAsiaTheme="minorHAnsi" w:hint="cs"/>
          <w:rtl/>
        </w:rPr>
        <w:t>َ</w:t>
      </w:r>
      <w:r w:rsidRPr="00282AC9">
        <w:rPr>
          <w:rFonts w:eastAsiaTheme="minorHAnsi"/>
          <w:rtl/>
        </w:rPr>
        <w:t>ب</w:t>
      </w:r>
      <w:r w:rsidR="0040192F" w:rsidRPr="00282AC9">
        <w:rPr>
          <w:rFonts w:eastAsiaTheme="minorHAnsi" w:hint="cs"/>
          <w:rtl/>
        </w:rPr>
        <w:t>ْ</w:t>
      </w:r>
      <w:r w:rsidRPr="00282AC9">
        <w:rPr>
          <w:rFonts w:eastAsiaTheme="minorHAnsi"/>
          <w:rtl/>
        </w:rPr>
        <w:t xml:space="preserve">ت والاستفراد </w:t>
      </w:r>
      <w:r w:rsidRPr="00282AC9">
        <w:rPr>
          <w:rFonts w:hint="eastAsia"/>
          <w:sz w:val="24"/>
          <w:szCs w:val="24"/>
          <w:rtl/>
        </w:rPr>
        <w:t>«</w:t>
      </w:r>
      <w:r w:rsidRPr="00282AC9">
        <w:rPr>
          <w:rFonts w:eastAsiaTheme="minorHAnsi"/>
          <w:rtl/>
        </w:rPr>
        <w:t>السياسي ـ التربوي</w:t>
      </w:r>
      <w:r w:rsidRPr="00282AC9">
        <w:rPr>
          <w:rFonts w:hint="eastAsia"/>
          <w:sz w:val="24"/>
          <w:szCs w:val="24"/>
          <w:rtl/>
        </w:rPr>
        <w:t>»</w:t>
      </w:r>
      <w:r w:rsidRPr="00282AC9">
        <w:rPr>
          <w:rFonts w:eastAsiaTheme="minorHAnsi"/>
          <w:rtl/>
        </w:rPr>
        <w:t xml:space="preserve">، </w:t>
      </w:r>
      <w:r w:rsidRPr="00282AC9">
        <w:rPr>
          <w:rFonts w:eastAsiaTheme="minorHAnsi" w:hint="cs"/>
          <w:rtl/>
        </w:rPr>
        <w:t xml:space="preserve">مع </w:t>
      </w:r>
      <w:r w:rsidRPr="00282AC9">
        <w:rPr>
          <w:rFonts w:eastAsiaTheme="minorHAnsi"/>
          <w:rtl/>
        </w:rPr>
        <w:t>استحكام</w:t>
      </w:r>
      <w:r w:rsidR="0040192F" w:rsidRPr="00282AC9">
        <w:rPr>
          <w:rFonts w:eastAsiaTheme="minorHAnsi" w:hint="cs"/>
          <w:rtl/>
        </w:rPr>
        <w:t>ٍ</w:t>
      </w:r>
      <w:r w:rsidRPr="00282AC9">
        <w:rPr>
          <w:rFonts w:eastAsiaTheme="minorHAnsi" w:hint="cs"/>
          <w:rtl/>
        </w:rPr>
        <w:t xml:space="preserve"> كامل</w:t>
      </w:r>
      <w:r w:rsidRPr="00282AC9">
        <w:rPr>
          <w:rFonts w:eastAsiaTheme="minorHAnsi"/>
          <w:rtl/>
        </w:rPr>
        <w:t xml:space="preserve"> </w:t>
      </w:r>
      <w:r w:rsidRPr="00282AC9">
        <w:rPr>
          <w:rFonts w:eastAsiaTheme="minorHAnsi" w:hint="cs"/>
          <w:rtl/>
        </w:rPr>
        <w:t>ل</w:t>
      </w:r>
      <w:r w:rsidRPr="00282AC9">
        <w:rPr>
          <w:rFonts w:eastAsiaTheme="minorHAnsi"/>
          <w:rtl/>
        </w:rPr>
        <w:t>أجواء الق</w:t>
      </w:r>
      <w:r w:rsidR="0040192F" w:rsidRPr="00282AC9">
        <w:rPr>
          <w:rFonts w:eastAsiaTheme="minorHAnsi" w:hint="cs"/>
          <w:rtl/>
        </w:rPr>
        <w:t>َ</w:t>
      </w:r>
      <w:r w:rsidRPr="00282AC9">
        <w:rPr>
          <w:rFonts w:eastAsiaTheme="minorHAnsi"/>
          <w:rtl/>
        </w:rPr>
        <w:t>ه</w:t>
      </w:r>
      <w:r w:rsidR="0040192F" w:rsidRPr="00282AC9">
        <w:rPr>
          <w:rFonts w:eastAsiaTheme="minorHAnsi" w:hint="cs"/>
          <w:rtl/>
        </w:rPr>
        <w:t>ْ</w:t>
      </w:r>
      <w:r w:rsidRPr="00282AC9">
        <w:rPr>
          <w:rFonts w:eastAsiaTheme="minorHAnsi"/>
          <w:rtl/>
        </w:rPr>
        <w:t xml:space="preserve">ر والحرمان </w:t>
      </w:r>
      <w:r w:rsidRPr="00282AC9">
        <w:rPr>
          <w:rFonts w:hint="eastAsia"/>
          <w:sz w:val="24"/>
          <w:szCs w:val="24"/>
          <w:rtl/>
        </w:rPr>
        <w:t>«</w:t>
      </w:r>
      <w:r w:rsidRPr="00282AC9">
        <w:rPr>
          <w:rFonts w:eastAsiaTheme="minorHAnsi"/>
          <w:rtl/>
        </w:rPr>
        <w:t>البطريركي</w:t>
      </w:r>
      <w:r w:rsidRPr="00282AC9">
        <w:rPr>
          <w:rFonts w:hint="eastAsia"/>
          <w:sz w:val="24"/>
          <w:szCs w:val="24"/>
          <w:rtl/>
        </w:rPr>
        <w:t>»</w:t>
      </w:r>
      <w:r w:rsidRPr="00282AC9">
        <w:rPr>
          <w:rFonts w:eastAsiaTheme="minorHAnsi"/>
          <w:rtl/>
        </w:rPr>
        <w:t xml:space="preserve"> </w:t>
      </w:r>
      <w:r w:rsidRPr="00282AC9">
        <w:rPr>
          <w:rFonts w:hint="eastAsia"/>
          <w:sz w:val="24"/>
          <w:szCs w:val="24"/>
          <w:rtl/>
        </w:rPr>
        <w:t>«</w:t>
      </w:r>
      <w:r w:rsidRPr="00282AC9">
        <w:rPr>
          <w:rFonts w:eastAsiaTheme="minorHAnsi"/>
          <w:rtl/>
        </w:rPr>
        <w:t>ال</w:t>
      </w:r>
      <w:r w:rsidR="0040192F" w:rsidRPr="00282AC9">
        <w:rPr>
          <w:rFonts w:eastAsiaTheme="minorHAnsi" w:hint="cs"/>
          <w:rtl/>
        </w:rPr>
        <w:t>إ</w:t>
      </w:r>
      <w:r w:rsidRPr="00282AC9">
        <w:rPr>
          <w:rFonts w:eastAsiaTheme="minorHAnsi"/>
          <w:rtl/>
        </w:rPr>
        <w:t>كليروسي</w:t>
      </w:r>
      <w:r w:rsidRPr="00282AC9">
        <w:rPr>
          <w:rFonts w:hint="eastAsia"/>
          <w:sz w:val="24"/>
          <w:szCs w:val="24"/>
          <w:rtl/>
        </w:rPr>
        <w:t>»</w:t>
      </w:r>
      <w:r w:rsidRPr="00282AC9">
        <w:rPr>
          <w:rFonts w:eastAsiaTheme="minorHAnsi"/>
          <w:rtl/>
        </w:rPr>
        <w:t xml:space="preserve"> (إذا صح</w:t>
      </w:r>
      <w:r w:rsidR="0040192F" w:rsidRPr="00282AC9">
        <w:rPr>
          <w:rFonts w:eastAsiaTheme="minorHAnsi" w:hint="cs"/>
          <w:rtl/>
        </w:rPr>
        <w:t>ّ</w:t>
      </w:r>
      <w:r w:rsidRPr="00282AC9">
        <w:rPr>
          <w:rFonts w:eastAsiaTheme="minorHAnsi"/>
          <w:rtl/>
        </w:rPr>
        <w:t xml:space="preserve"> </w:t>
      </w:r>
      <w:r w:rsidRPr="00282AC9">
        <w:rPr>
          <w:rFonts w:eastAsiaTheme="minorHAnsi"/>
          <w:rtl/>
        </w:rPr>
        <w:lastRenderedPageBreak/>
        <w:t>التعبير) بالمعنى السياسي والاجتماعي العملي، من بداية ولادة الطفل وسيرورته التربوية الأولى في الأسرة ومسيره المدرسي</w:t>
      </w:r>
      <w:r w:rsidR="0040192F" w:rsidRPr="00282AC9">
        <w:rPr>
          <w:rFonts w:eastAsiaTheme="minorHAnsi" w:hint="cs"/>
          <w:rtl/>
        </w:rPr>
        <w:t>ّ</w:t>
      </w:r>
      <w:r w:rsidRPr="00282AC9">
        <w:rPr>
          <w:rFonts w:eastAsiaTheme="minorHAnsi"/>
          <w:rtl/>
        </w:rPr>
        <w:t>، إلى أعلى مراحل اله</w:t>
      </w:r>
      <w:r w:rsidR="0040192F" w:rsidRPr="00282AC9">
        <w:rPr>
          <w:rFonts w:eastAsiaTheme="minorHAnsi" w:hint="cs"/>
          <w:rtl/>
        </w:rPr>
        <w:t>َ</w:t>
      </w:r>
      <w:r w:rsidRPr="00282AC9">
        <w:rPr>
          <w:rFonts w:eastAsiaTheme="minorHAnsi"/>
          <w:rtl/>
        </w:rPr>
        <w:t>ر</w:t>
      </w:r>
      <w:r w:rsidR="0040192F" w:rsidRPr="00282AC9">
        <w:rPr>
          <w:rFonts w:eastAsiaTheme="minorHAnsi" w:hint="cs"/>
          <w:rtl/>
        </w:rPr>
        <w:t>َ</w:t>
      </w:r>
      <w:r w:rsidRPr="00282AC9">
        <w:rPr>
          <w:rFonts w:eastAsiaTheme="minorHAnsi"/>
          <w:rtl/>
        </w:rPr>
        <w:t>م الاجتماعي والحياتي العام</w:t>
      </w:r>
      <w:r w:rsidR="0040192F" w:rsidRPr="00282AC9">
        <w:rPr>
          <w:rFonts w:eastAsiaTheme="minorHAnsi" w:hint="cs"/>
          <w:rtl/>
        </w:rPr>
        <w:t>ّ</w:t>
      </w:r>
      <w:r w:rsidR="0040192F" w:rsidRPr="00282AC9">
        <w:rPr>
          <w:rFonts w:eastAsiaTheme="minorHAnsi"/>
          <w:rtl/>
        </w:rPr>
        <w:t>. أ</w:t>
      </w:r>
      <w:r w:rsidR="0040192F" w:rsidRPr="00282AC9">
        <w:rPr>
          <w:rFonts w:eastAsiaTheme="minorHAnsi" w:hint="cs"/>
          <w:rtl/>
        </w:rPr>
        <w:t>َ</w:t>
      </w:r>
      <w:r w:rsidR="0040192F" w:rsidRPr="00282AC9">
        <w:rPr>
          <w:rFonts w:eastAsiaTheme="minorHAnsi"/>
          <w:rtl/>
        </w:rPr>
        <w:t>و</w:t>
      </w:r>
      <w:r w:rsidR="0040192F" w:rsidRPr="00282AC9">
        <w:rPr>
          <w:rFonts w:eastAsiaTheme="minorHAnsi" w:hint="cs"/>
          <w:rtl/>
        </w:rPr>
        <w:t>َ</w:t>
      </w:r>
      <w:r w:rsidRPr="00282AC9">
        <w:rPr>
          <w:rFonts w:eastAsiaTheme="minorHAnsi"/>
          <w:rtl/>
        </w:rPr>
        <w:t>ليس</w:t>
      </w:r>
      <w:r w:rsidR="0040192F" w:rsidRPr="00282AC9">
        <w:rPr>
          <w:rFonts w:eastAsiaTheme="minorHAnsi" w:hint="cs"/>
          <w:rtl/>
        </w:rPr>
        <w:t>َ</w:t>
      </w:r>
      <w:r w:rsidRPr="00282AC9">
        <w:rPr>
          <w:rFonts w:eastAsiaTheme="minorHAnsi"/>
          <w:rtl/>
        </w:rPr>
        <w:t>ت</w:t>
      </w:r>
      <w:r w:rsidR="0040192F" w:rsidRPr="00282AC9">
        <w:rPr>
          <w:rFonts w:eastAsiaTheme="minorHAnsi" w:hint="cs"/>
          <w:rtl/>
        </w:rPr>
        <w:t>ْ</w:t>
      </w:r>
      <w:r w:rsidRPr="00282AC9">
        <w:rPr>
          <w:rFonts w:eastAsiaTheme="minorHAnsi"/>
          <w:rtl/>
        </w:rPr>
        <w:t xml:space="preserve"> التربية </w:t>
      </w:r>
      <w:r w:rsidRPr="00282AC9">
        <w:rPr>
          <w:rFonts w:eastAsiaTheme="minorHAnsi" w:hint="cs"/>
          <w:rtl/>
        </w:rPr>
        <w:t xml:space="preserve">والثقافة </w:t>
      </w:r>
      <w:r w:rsidRPr="00282AC9">
        <w:rPr>
          <w:rFonts w:eastAsiaTheme="minorHAnsi"/>
          <w:rtl/>
        </w:rPr>
        <w:t>معني</w:t>
      </w:r>
      <w:r w:rsidR="0040192F" w:rsidRPr="00282AC9">
        <w:rPr>
          <w:rFonts w:eastAsiaTheme="minorHAnsi" w:hint="cs"/>
          <w:rtl/>
        </w:rPr>
        <w:t>ّ</w:t>
      </w:r>
      <w:r w:rsidRPr="00282AC9">
        <w:rPr>
          <w:rFonts w:eastAsiaTheme="minorHAnsi"/>
          <w:rtl/>
        </w:rPr>
        <w:t>ة</w:t>
      </w:r>
      <w:r w:rsidR="0040192F" w:rsidRPr="00282AC9">
        <w:rPr>
          <w:rFonts w:eastAsiaTheme="minorHAnsi" w:hint="cs"/>
          <w:rtl/>
        </w:rPr>
        <w:t>ً</w:t>
      </w:r>
      <w:r w:rsidRPr="00282AC9">
        <w:rPr>
          <w:rFonts w:eastAsiaTheme="minorHAnsi"/>
          <w:rtl/>
        </w:rPr>
        <w:t xml:space="preserve"> بهذه النتيجة المأساوية التي يواجهها الاجتماع العربي</w:t>
      </w:r>
      <w:r w:rsidRPr="00282AC9">
        <w:rPr>
          <w:rFonts w:eastAsiaTheme="minorHAnsi" w:hint="cs"/>
          <w:rtl/>
        </w:rPr>
        <w:t xml:space="preserve"> الإسلامي</w:t>
      </w:r>
      <w:r w:rsidRPr="00282AC9">
        <w:rPr>
          <w:rFonts w:eastAsiaTheme="minorHAnsi"/>
          <w:rtl/>
        </w:rPr>
        <w:t xml:space="preserve"> والتربية العربية</w:t>
      </w:r>
      <w:r w:rsidRPr="00282AC9">
        <w:rPr>
          <w:rFonts w:eastAsiaTheme="minorHAnsi" w:hint="cs"/>
          <w:rtl/>
        </w:rPr>
        <w:t xml:space="preserve"> الإسلامية</w:t>
      </w:r>
      <w:r w:rsidRPr="00282AC9">
        <w:rPr>
          <w:rFonts w:eastAsiaTheme="minorHAnsi"/>
          <w:rtl/>
        </w:rPr>
        <w:t>، وهي المفترض أن تدفع المعني</w:t>
      </w:r>
      <w:r w:rsidR="004F0555" w:rsidRPr="00282AC9">
        <w:rPr>
          <w:rFonts w:eastAsiaTheme="minorHAnsi" w:hint="cs"/>
          <w:rtl/>
        </w:rPr>
        <w:t>ّ</w:t>
      </w:r>
      <w:r w:rsidRPr="00282AC9">
        <w:rPr>
          <w:rFonts w:eastAsiaTheme="minorHAnsi"/>
          <w:rtl/>
        </w:rPr>
        <w:t>ين بعلم الاجتماع العربي</w:t>
      </w:r>
      <w:r w:rsidR="004F0555" w:rsidRPr="00282AC9">
        <w:rPr>
          <w:rFonts w:eastAsiaTheme="minorHAnsi" w:hint="cs"/>
          <w:rtl/>
        </w:rPr>
        <w:t>ّ</w:t>
      </w:r>
      <w:r w:rsidRPr="00282AC9">
        <w:rPr>
          <w:rFonts w:eastAsiaTheme="minorHAnsi" w:hint="cs"/>
          <w:rtl/>
        </w:rPr>
        <w:t xml:space="preserve"> الإسلامي</w:t>
      </w:r>
      <w:r w:rsidR="004F0555" w:rsidRPr="00282AC9">
        <w:rPr>
          <w:rFonts w:eastAsiaTheme="minorHAnsi" w:hint="cs"/>
          <w:rtl/>
        </w:rPr>
        <w:t>ّ</w:t>
      </w:r>
      <w:r w:rsidRPr="00282AC9">
        <w:rPr>
          <w:rFonts w:eastAsiaTheme="minorHAnsi" w:hint="cs"/>
          <w:rtl/>
        </w:rPr>
        <w:t xml:space="preserve"> اليوم</w:t>
      </w:r>
      <w:r w:rsidRPr="00282AC9">
        <w:rPr>
          <w:rFonts w:eastAsiaTheme="minorHAnsi"/>
          <w:rtl/>
        </w:rPr>
        <w:t xml:space="preserve"> إلى بحث واستقصاء أسباب تشو</w:t>
      </w:r>
      <w:r w:rsidR="004F0555" w:rsidRPr="00282AC9">
        <w:rPr>
          <w:rFonts w:eastAsiaTheme="minorHAnsi" w:hint="cs"/>
          <w:rtl/>
        </w:rPr>
        <w:t>ُّ</w:t>
      </w:r>
      <w:r w:rsidRPr="00282AC9">
        <w:rPr>
          <w:rFonts w:eastAsiaTheme="minorHAnsi"/>
          <w:rtl/>
        </w:rPr>
        <w:t>ه الشخصية العربية</w:t>
      </w:r>
      <w:r w:rsidRPr="00282AC9">
        <w:rPr>
          <w:rFonts w:eastAsiaTheme="minorHAnsi" w:hint="cs"/>
          <w:rtl/>
        </w:rPr>
        <w:t xml:space="preserve"> المسلمة</w:t>
      </w:r>
      <w:r w:rsidR="004F0555" w:rsidRPr="00282AC9">
        <w:rPr>
          <w:rFonts w:eastAsiaTheme="minorHAnsi" w:hint="cs"/>
          <w:rtl/>
        </w:rPr>
        <w:t>،</w:t>
      </w:r>
      <w:r w:rsidRPr="00282AC9">
        <w:rPr>
          <w:rFonts w:eastAsiaTheme="minorHAnsi"/>
          <w:rtl/>
        </w:rPr>
        <w:t xml:space="preserve"> أم أن هذا الموضوع لا علاقة لهم به</w:t>
      </w:r>
      <w:r w:rsidR="004F0555" w:rsidRPr="00282AC9">
        <w:rPr>
          <w:rFonts w:eastAsiaTheme="minorHAnsi" w:hint="cs"/>
          <w:rtl/>
        </w:rPr>
        <w:t>،</w:t>
      </w:r>
      <w:r w:rsidRPr="00282AC9">
        <w:rPr>
          <w:rFonts w:eastAsiaTheme="minorHAnsi"/>
          <w:rtl/>
        </w:rPr>
        <w:t xml:space="preserve"> وأن </w:t>
      </w:r>
      <w:r w:rsidR="00EE6DBA" w:rsidRPr="00282AC9">
        <w:rPr>
          <w:rFonts w:eastAsiaTheme="minorHAnsi"/>
          <w:rtl/>
        </w:rPr>
        <w:t>دَوْر</w:t>
      </w:r>
      <w:r w:rsidRPr="00282AC9">
        <w:rPr>
          <w:rFonts w:eastAsiaTheme="minorHAnsi"/>
          <w:rtl/>
        </w:rPr>
        <w:t xml:space="preserve"> علماء اجتماعنا العربي</w:t>
      </w:r>
      <w:r w:rsidR="004F0555" w:rsidRPr="00282AC9">
        <w:rPr>
          <w:rFonts w:eastAsiaTheme="minorHAnsi" w:hint="cs"/>
          <w:rtl/>
        </w:rPr>
        <w:t>ّ</w:t>
      </w:r>
      <w:r w:rsidRPr="00282AC9">
        <w:rPr>
          <w:rFonts w:eastAsiaTheme="minorHAnsi"/>
          <w:rtl/>
        </w:rPr>
        <w:t xml:space="preserve"> ينحصر فقط في التنظير الفكري</w:t>
      </w:r>
      <w:r w:rsidR="004F0555" w:rsidRPr="00282AC9">
        <w:rPr>
          <w:rFonts w:eastAsiaTheme="minorHAnsi" w:hint="cs"/>
          <w:rtl/>
        </w:rPr>
        <w:t>ّ</w:t>
      </w:r>
      <w:r w:rsidRPr="00282AC9">
        <w:rPr>
          <w:rFonts w:eastAsiaTheme="minorHAnsi"/>
          <w:rtl/>
        </w:rPr>
        <w:t>، والس</w:t>
      </w:r>
      <w:r w:rsidR="004F0555" w:rsidRPr="00282AC9">
        <w:rPr>
          <w:rFonts w:eastAsiaTheme="minorHAnsi" w:hint="cs"/>
          <w:rtl/>
        </w:rPr>
        <w:t>َّ</w:t>
      </w:r>
      <w:r w:rsidRPr="00282AC9">
        <w:rPr>
          <w:rFonts w:eastAsiaTheme="minorHAnsi"/>
          <w:rtl/>
        </w:rPr>
        <w:t>ر</w:t>
      </w:r>
      <w:r w:rsidR="004F0555" w:rsidRPr="00282AC9">
        <w:rPr>
          <w:rFonts w:eastAsiaTheme="minorHAnsi" w:hint="cs"/>
          <w:rtl/>
        </w:rPr>
        <w:t>ْ</w:t>
      </w:r>
      <w:r w:rsidRPr="00282AC9">
        <w:rPr>
          <w:rFonts w:eastAsiaTheme="minorHAnsi"/>
          <w:rtl/>
        </w:rPr>
        <w:t>د التاريخي، وتكديس الكتب والمراجع و(الكراريس) الجامعية؟</w:t>
      </w:r>
      <w:r w:rsidRPr="00282AC9">
        <w:rPr>
          <w:rFonts w:eastAsiaTheme="minorHAnsi" w:hint="cs"/>
          <w:rtl/>
        </w:rPr>
        <w:t>!</w:t>
      </w:r>
    </w:p>
    <w:p w:rsidR="007359AA" w:rsidRPr="00282AC9" w:rsidRDefault="007359AA" w:rsidP="00D47E7C">
      <w:pPr>
        <w:rPr>
          <w:rFonts w:eastAsiaTheme="minorHAnsi"/>
          <w:rtl/>
        </w:rPr>
      </w:pPr>
      <w:r w:rsidRPr="00282AC9">
        <w:rPr>
          <w:rFonts w:eastAsiaTheme="minorHAnsi" w:hint="cs"/>
          <w:rtl/>
        </w:rPr>
        <w:t>إ</w:t>
      </w:r>
      <w:r w:rsidRPr="00282AC9">
        <w:rPr>
          <w:rFonts w:eastAsiaTheme="minorHAnsi"/>
          <w:rtl/>
        </w:rPr>
        <w:t>ن الغاية من التربية ـ تربية الفرد والإنسان</w:t>
      </w:r>
      <w:r w:rsidRPr="00282AC9">
        <w:rPr>
          <w:rFonts w:eastAsiaTheme="minorHAnsi" w:hint="cs"/>
          <w:rtl/>
        </w:rPr>
        <w:t xml:space="preserve"> العربي</w:t>
      </w:r>
      <w:r w:rsidR="004F0555" w:rsidRPr="00282AC9">
        <w:rPr>
          <w:rFonts w:eastAsiaTheme="minorHAnsi" w:hint="cs"/>
          <w:rtl/>
        </w:rPr>
        <w:t>ّ</w:t>
      </w:r>
      <w:r w:rsidRPr="00282AC9">
        <w:rPr>
          <w:rFonts w:eastAsiaTheme="minorHAnsi" w:hint="cs"/>
          <w:rtl/>
        </w:rPr>
        <w:t xml:space="preserve"> المسلم</w:t>
      </w:r>
      <w:r w:rsidRPr="00282AC9">
        <w:rPr>
          <w:rFonts w:eastAsiaTheme="minorHAnsi"/>
          <w:rtl/>
        </w:rPr>
        <w:t xml:space="preserve"> ـ تكمن أساساً في تمكينه على الأرض</w:t>
      </w:r>
      <w:r w:rsidR="004F0555" w:rsidRPr="00282AC9">
        <w:rPr>
          <w:rFonts w:eastAsiaTheme="minorHAnsi" w:hint="cs"/>
          <w:rtl/>
        </w:rPr>
        <w:t>؛</w:t>
      </w:r>
      <w:r w:rsidRPr="00282AC9">
        <w:rPr>
          <w:rFonts w:eastAsiaTheme="minorHAnsi" w:hint="cs"/>
          <w:rtl/>
        </w:rPr>
        <w:t xml:space="preserve"> ليكون خليفة</w:t>
      </w:r>
      <w:r w:rsidR="004F0555" w:rsidRPr="00282AC9">
        <w:rPr>
          <w:rFonts w:eastAsiaTheme="minorHAnsi" w:hint="cs"/>
          <w:rtl/>
        </w:rPr>
        <w:t>ً</w:t>
      </w:r>
      <w:r w:rsidRPr="00282AC9">
        <w:rPr>
          <w:rFonts w:eastAsiaTheme="minorHAnsi" w:hint="cs"/>
          <w:rtl/>
        </w:rPr>
        <w:t xml:space="preserve"> لله الخالق العظيم</w:t>
      </w:r>
      <w:r w:rsidRPr="00282AC9">
        <w:rPr>
          <w:rFonts w:eastAsiaTheme="minorHAnsi"/>
          <w:rtl/>
        </w:rPr>
        <w:t>، أي بناء إنسان سليم عقلاً وروحاً، قوي</w:t>
      </w:r>
      <w:r w:rsidR="004F0555" w:rsidRPr="00282AC9">
        <w:rPr>
          <w:rFonts w:eastAsiaTheme="minorHAnsi" w:hint="cs"/>
          <w:rtl/>
        </w:rPr>
        <w:t>ّ</w:t>
      </w:r>
      <w:r w:rsidRPr="00282AC9">
        <w:rPr>
          <w:rFonts w:eastAsiaTheme="minorHAnsi"/>
          <w:rtl/>
        </w:rPr>
        <w:t xml:space="preserve"> الشخصية </w:t>
      </w:r>
      <w:r w:rsidRPr="00282AC9">
        <w:rPr>
          <w:rFonts w:eastAsiaTheme="minorHAnsi" w:hint="cs"/>
          <w:rtl/>
        </w:rPr>
        <w:t xml:space="preserve">ومقتدر، </w:t>
      </w:r>
      <w:r w:rsidRPr="00282AC9">
        <w:rPr>
          <w:rFonts w:eastAsiaTheme="minorHAnsi"/>
          <w:rtl/>
        </w:rPr>
        <w:t>يمتلك مهارات</w:t>
      </w:r>
      <w:r w:rsidR="004F0555" w:rsidRPr="00282AC9">
        <w:rPr>
          <w:rFonts w:eastAsiaTheme="minorHAnsi" w:hint="cs"/>
          <w:rtl/>
        </w:rPr>
        <w:t>ٍ</w:t>
      </w:r>
      <w:r w:rsidRPr="00282AC9">
        <w:rPr>
          <w:rFonts w:eastAsiaTheme="minorHAnsi"/>
          <w:rtl/>
        </w:rPr>
        <w:t xml:space="preserve"> عملية، متمك</w:t>
      </w:r>
      <w:r w:rsidR="004F0555" w:rsidRPr="00282AC9">
        <w:rPr>
          <w:rFonts w:eastAsiaTheme="minorHAnsi" w:hint="cs"/>
          <w:rtl/>
        </w:rPr>
        <w:t>ّ</w:t>
      </w:r>
      <w:r w:rsidRPr="00282AC9">
        <w:rPr>
          <w:rFonts w:eastAsiaTheme="minorHAnsi"/>
          <w:rtl/>
        </w:rPr>
        <w:t>ن من ذاته، ومندمج ومنخرط في واقعه ومجتمعه وعصره، منفتح على الآخر، فاعل الحضور، قادر على الإنتاج والبناء والعطاء والإبداع</w:t>
      </w:r>
      <w:r w:rsidR="004F0555" w:rsidRPr="00282AC9">
        <w:rPr>
          <w:rFonts w:eastAsiaTheme="minorHAnsi" w:hint="cs"/>
          <w:rtl/>
        </w:rPr>
        <w:t>.</w:t>
      </w:r>
    </w:p>
    <w:p w:rsidR="00E83C22" w:rsidRPr="00282AC9" w:rsidRDefault="007359AA" w:rsidP="00D47E7C">
      <w:pPr>
        <w:rPr>
          <w:rtl/>
        </w:rPr>
      </w:pPr>
      <w:r w:rsidRPr="00282AC9">
        <w:rPr>
          <w:rFonts w:ascii="Simplified Arabic" w:eastAsiaTheme="minorHAnsi" w:hAnsi="Simplified Arabic"/>
          <w:sz w:val="27"/>
          <w:rtl/>
        </w:rPr>
        <w:t>وحت</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ى تتحر</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ك التربية (العربية) اليوم على هذا الطريق (رغم وعورته وأشواكه ومعاناتنا ومآسينا وأزماتنا الكبرى فيها، ومنها</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 أزمات التربية</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 كما ذك</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ر</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نا آنفاً) </w:t>
      </w:r>
      <w:r w:rsidR="00674EF5" w:rsidRPr="00282AC9">
        <w:rPr>
          <w:rFonts w:ascii="Simplified Arabic" w:eastAsiaTheme="minorHAnsi" w:hAnsi="Simplified Arabic"/>
          <w:sz w:val="27"/>
          <w:rtl/>
        </w:rPr>
        <w:t>لا بُدَّ</w:t>
      </w:r>
      <w:r w:rsidRPr="00282AC9">
        <w:rPr>
          <w:rFonts w:ascii="Simplified Arabic" w:eastAsiaTheme="minorHAnsi" w:hAnsi="Simplified Arabic"/>
          <w:sz w:val="27"/>
          <w:rtl/>
        </w:rPr>
        <w:t xml:space="preserve"> أن ي</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عاد بناء التربية ذاتها</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 لتكون تربية</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 واعية واقعية وعقلانية متجد</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دة</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 قادرة على بناء هذا الإنسان، وإنهاء معاناته، والانتقال به ما أمكن إلى عالم</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 عربي</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 تسوده ق</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ي</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م العدالة والحق</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 والمساواة، يحتل</w:t>
      </w:r>
      <w:r w:rsidR="004F0555" w:rsidRPr="00282AC9">
        <w:rPr>
          <w:rFonts w:ascii="Simplified Arabic" w:eastAsiaTheme="minorHAnsi" w:hAnsi="Simplified Arabic" w:hint="cs"/>
          <w:sz w:val="27"/>
          <w:rtl/>
        </w:rPr>
        <w:t>ّ</w:t>
      </w:r>
      <w:r w:rsidRPr="00282AC9">
        <w:rPr>
          <w:rFonts w:ascii="Simplified Arabic" w:eastAsiaTheme="minorHAnsi" w:hAnsi="Simplified Arabic"/>
          <w:sz w:val="27"/>
          <w:rtl/>
        </w:rPr>
        <w:t xml:space="preserve"> فيه الفرد رأس الأولوية والاهتمام</w:t>
      </w:r>
      <w:r w:rsidR="00E97589" w:rsidRPr="00282AC9">
        <w:rPr>
          <w:rFonts w:ascii="Simplified Arabic" w:eastAsiaTheme="minorHAnsi" w:hAnsi="Simplified Arabic" w:hint="cs"/>
          <w:sz w:val="27"/>
          <w:rtl/>
        </w:rPr>
        <w:t>.</w:t>
      </w:r>
    </w:p>
    <w:p w:rsidR="00E83C22" w:rsidRPr="00282AC9" w:rsidRDefault="00E83C22" w:rsidP="00142A7C">
      <w:pPr>
        <w:spacing w:line="330" w:lineRule="exact"/>
        <w:rPr>
          <w:rtl/>
        </w:rPr>
      </w:pPr>
    </w:p>
    <w:p w:rsidR="00142A7C" w:rsidRPr="00282AC9" w:rsidRDefault="00142A7C" w:rsidP="00142A7C">
      <w:pPr>
        <w:spacing w:line="340" w:lineRule="exact"/>
        <w:rPr>
          <w:rtl/>
        </w:rPr>
      </w:pPr>
    </w:p>
    <w:p w:rsidR="00E83C22" w:rsidRPr="00282AC9" w:rsidRDefault="00E83C22" w:rsidP="00715FC8">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715FC8">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158"/>
          <w:headerReference w:type="default" r:id="rId159"/>
          <w:footerReference w:type="even" r:id="rId160"/>
          <w:footerReference w:type="default" r:id="rId16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715FC8">
      <w:r w:rsidRPr="00282AC9">
        <w:rPr>
          <w:rtl/>
        </w:rPr>
        <w:lastRenderedPageBreak/>
        <w:br w:type="page"/>
      </w:r>
    </w:p>
    <w:p w:rsidR="00E83C22" w:rsidRPr="00282AC9" w:rsidRDefault="00E83C22" w:rsidP="00715FC8">
      <w:pPr>
        <w:rPr>
          <w:rtl/>
        </w:rPr>
        <w:sectPr w:rsidR="00E83C22" w:rsidRPr="00282AC9" w:rsidSect="00E85587">
          <w:headerReference w:type="even" r:id="rId162"/>
          <w:headerReference w:type="default" r:id="rId163"/>
          <w:footerReference w:type="even" r:id="rId164"/>
          <w:footerReference w:type="default" r:id="rId165"/>
          <w:headerReference w:type="first" r:id="rId16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413C8C">
      <w:pPr>
        <w:spacing w:line="440" w:lineRule="exact"/>
        <w:rPr>
          <w:rtl/>
        </w:rPr>
      </w:pPr>
    </w:p>
    <w:p w:rsidR="00E83C22" w:rsidRPr="00282AC9" w:rsidRDefault="00E83C22" w:rsidP="00413C8C">
      <w:pPr>
        <w:spacing w:line="440" w:lineRule="exact"/>
        <w:rPr>
          <w:rtl/>
        </w:rPr>
      </w:pPr>
    </w:p>
    <w:p w:rsidR="00E83C22" w:rsidRPr="00282AC9" w:rsidRDefault="00A92545" w:rsidP="00715FC8">
      <w:pPr>
        <w:pStyle w:val="11"/>
        <w:keepNext w:val="0"/>
        <w:keepLines w:val="0"/>
        <w:spacing w:line="216" w:lineRule="auto"/>
        <w:rPr>
          <w:rtl/>
        </w:rPr>
      </w:pPr>
      <w:bookmarkStart w:id="110" w:name="_Toc87011535"/>
      <w:r w:rsidRPr="00282AC9">
        <w:rPr>
          <w:rFonts w:hint="cs"/>
          <w:rtl/>
        </w:rPr>
        <w:t>الملكيّة</w:t>
      </w:r>
      <w:r w:rsidRPr="00282AC9">
        <w:rPr>
          <w:rFonts w:hint="cs"/>
          <w:rtl/>
          <w:lang w:bidi="ar-IQ"/>
        </w:rPr>
        <w:t xml:space="preserve"> وأسبابها </w:t>
      </w:r>
      <w:r w:rsidRPr="00282AC9">
        <w:rPr>
          <w:rFonts w:hint="cs"/>
          <w:rtl/>
        </w:rPr>
        <w:t>في الفقه الإسلاميّ</w:t>
      </w:r>
      <w:bookmarkEnd w:id="110"/>
    </w:p>
    <w:p w:rsidR="00E83C22" w:rsidRPr="00282AC9" w:rsidRDefault="00A92545" w:rsidP="00715FC8">
      <w:pPr>
        <w:pStyle w:val="11"/>
        <w:keepNext w:val="0"/>
        <w:keepLines w:val="0"/>
        <w:spacing w:line="216" w:lineRule="auto"/>
        <w:rPr>
          <w:sz w:val="26"/>
          <w:szCs w:val="42"/>
          <w:rtl/>
          <w:lang w:bidi="ar-IQ"/>
        </w:rPr>
      </w:pPr>
      <w:bookmarkStart w:id="111" w:name="_Toc87011536"/>
      <w:r w:rsidRPr="00282AC9">
        <w:rPr>
          <w:rFonts w:hint="cs"/>
          <w:sz w:val="26"/>
          <w:szCs w:val="42"/>
          <w:rtl/>
          <w:lang w:bidi="ar-IQ"/>
        </w:rPr>
        <w:t>عرْضٌ وتحليل</w:t>
      </w:r>
      <w:bookmarkEnd w:id="111"/>
    </w:p>
    <w:p w:rsidR="00A92545" w:rsidRPr="00282AC9" w:rsidRDefault="00A92545" w:rsidP="00715FC8">
      <w:pPr>
        <w:spacing w:line="240" w:lineRule="auto"/>
        <w:ind w:firstLine="0"/>
        <w:jc w:val="center"/>
        <w:rPr>
          <w:rFonts w:cs="Ya-Ali"/>
          <w:sz w:val="32"/>
          <w:szCs w:val="31"/>
          <w:rtl/>
        </w:rPr>
      </w:pPr>
      <w:r w:rsidRPr="00282AC9">
        <w:rPr>
          <w:rFonts w:cs="Ya-Ali" w:hint="cs"/>
          <w:sz w:val="32"/>
          <w:szCs w:val="31"/>
          <w:rtl/>
        </w:rPr>
        <w:t>ـ القسم الثاني ـ</w:t>
      </w:r>
    </w:p>
    <w:p w:rsidR="00E83C22" w:rsidRPr="00282AC9" w:rsidRDefault="00E83C22" w:rsidP="00413C8C">
      <w:pPr>
        <w:spacing w:line="420" w:lineRule="exact"/>
        <w:rPr>
          <w:rtl/>
        </w:rPr>
      </w:pPr>
    </w:p>
    <w:p w:rsidR="00E83C22" w:rsidRPr="00282AC9" w:rsidRDefault="00A92545" w:rsidP="00715FC8">
      <w:pPr>
        <w:pStyle w:val="Author"/>
        <w:rPr>
          <w:rtl/>
        </w:rPr>
      </w:pPr>
      <w:bookmarkStart w:id="112" w:name="_Toc87011537"/>
      <w:r w:rsidRPr="00282AC9">
        <w:rPr>
          <w:rFonts w:hint="cs"/>
          <w:rtl/>
        </w:rPr>
        <w:t xml:space="preserve">د. </w:t>
      </w:r>
      <w:r w:rsidRPr="00282AC9">
        <w:rPr>
          <w:rtl/>
        </w:rPr>
        <w:t xml:space="preserve">الشيخ خالد </w:t>
      </w:r>
      <w:r w:rsidR="00656750" w:rsidRPr="00282AC9">
        <w:rPr>
          <w:rFonts w:hint="cs"/>
          <w:rtl/>
        </w:rPr>
        <w:t>ال</w:t>
      </w:r>
      <w:r w:rsidRPr="00282AC9">
        <w:rPr>
          <w:rtl/>
        </w:rPr>
        <w:t>غفوري الحسني</w:t>
      </w:r>
      <w:r w:rsidR="00527634" w:rsidRPr="00282AC9">
        <w:rPr>
          <w:rFonts w:cs="Taher" w:hint="cs"/>
          <w:vertAlign w:val="superscript"/>
          <w:rtl/>
        </w:rPr>
        <w:t>(</w:t>
      </w:r>
      <w:r w:rsidR="00527634" w:rsidRPr="00282AC9">
        <w:rPr>
          <w:rFonts w:cs="Taher"/>
          <w:vertAlign w:val="superscript"/>
          <w:rtl/>
        </w:rPr>
        <w:footnoteReference w:customMarkFollows="1" w:id="21"/>
        <w:t>*)</w:t>
      </w:r>
      <w:bookmarkEnd w:id="112"/>
    </w:p>
    <w:p w:rsidR="00E83C22" w:rsidRPr="00282AC9" w:rsidRDefault="00E83C22" w:rsidP="00413C8C">
      <w:pPr>
        <w:spacing w:line="420" w:lineRule="exact"/>
        <w:rPr>
          <w:rtl/>
        </w:rPr>
      </w:pPr>
    </w:p>
    <w:p w:rsidR="0062395A" w:rsidRPr="00282AC9" w:rsidRDefault="0062395A" w:rsidP="00715FC8">
      <w:pPr>
        <w:pStyle w:val="31"/>
        <w:rPr>
          <w:color w:val="auto"/>
          <w:rtl/>
        </w:rPr>
      </w:pPr>
      <w:r w:rsidRPr="00282AC9">
        <w:rPr>
          <w:rFonts w:hint="cs"/>
          <w:color w:val="auto"/>
          <w:rtl/>
        </w:rPr>
        <w:t>دراسة وتقويم ونقد الآراء والات</w:t>
      </w:r>
      <w:r w:rsidR="00E947C4" w:rsidRPr="00282AC9">
        <w:rPr>
          <w:rFonts w:hint="cs"/>
          <w:color w:val="auto"/>
          <w:rtl/>
        </w:rPr>
        <w:t>ّ</w:t>
      </w:r>
      <w:r w:rsidRPr="00282AC9">
        <w:rPr>
          <w:rFonts w:hint="cs"/>
          <w:color w:val="auto"/>
          <w:rtl/>
        </w:rPr>
        <w:t>جاهات الفقهي</w:t>
      </w:r>
      <w:r w:rsidR="00E947C4" w:rsidRPr="00282AC9">
        <w:rPr>
          <w:rFonts w:hint="cs"/>
          <w:color w:val="auto"/>
          <w:rtl/>
        </w:rPr>
        <w:t>ّ</w:t>
      </w:r>
      <w:r w:rsidRPr="00282AC9">
        <w:rPr>
          <w:rFonts w:hint="cs"/>
          <w:color w:val="auto"/>
          <w:rtl/>
        </w:rPr>
        <w:t>ة المطروحة حول أسباب الم</w:t>
      </w:r>
      <w:r w:rsidR="00E947C4" w:rsidRPr="00282AC9">
        <w:rPr>
          <w:rFonts w:hint="cs"/>
          <w:color w:val="auto"/>
          <w:rtl/>
        </w:rPr>
        <w:t>ِ</w:t>
      </w:r>
      <w:r w:rsidRPr="00282AC9">
        <w:rPr>
          <w:rFonts w:hint="cs"/>
          <w:color w:val="auto"/>
          <w:rtl/>
        </w:rPr>
        <w:t>ل</w:t>
      </w:r>
      <w:r w:rsidR="00E947C4" w:rsidRPr="00282AC9">
        <w:rPr>
          <w:rFonts w:hint="cs"/>
          <w:color w:val="auto"/>
          <w:rtl/>
        </w:rPr>
        <w:t>ْ</w:t>
      </w:r>
      <w:r w:rsidRPr="00282AC9">
        <w:rPr>
          <w:rFonts w:hint="cs"/>
          <w:color w:val="auto"/>
          <w:rtl/>
        </w:rPr>
        <w:t>كي</w:t>
      </w:r>
      <w:r w:rsidR="00E947C4" w:rsidRPr="00282AC9">
        <w:rPr>
          <w:rFonts w:hint="cs"/>
          <w:color w:val="auto"/>
          <w:rtl/>
        </w:rPr>
        <w:t>ّ</w:t>
      </w:r>
      <w:r w:rsidRPr="00282AC9">
        <w:rPr>
          <w:rFonts w:hint="cs"/>
          <w:color w:val="auto"/>
          <w:rtl/>
        </w:rPr>
        <w:t xml:space="preserve">ة </w:t>
      </w:r>
    </w:p>
    <w:p w:rsidR="0062395A" w:rsidRPr="00282AC9" w:rsidRDefault="0062395A" w:rsidP="00495D24">
      <w:pPr>
        <w:rPr>
          <w:sz w:val="27"/>
          <w:rtl/>
          <w:lang w:bidi="fa-IR"/>
        </w:rPr>
      </w:pPr>
      <w:r w:rsidRPr="00282AC9">
        <w:rPr>
          <w:rFonts w:hint="cs"/>
          <w:sz w:val="27"/>
          <w:rtl/>
          <w:lang w:bidi="fa-IR"/>
        </w:rPr>
        <w:t>لقد أش</w:t>
      </w:r>
      <w:r w:rsidR="00E947C4" w:rsidRPr="00282AC9">
        <w:rPr>
          <w:rFonts w:hint="cs"/>
          <w:sz w:val="27"/>
          <w:rtl/>
          <w:lang w:bidi="fa-IR"/>
        </w:rPr>
        <w:t>َ</w:t>
      </w:r>
      <w:r w:rsidRPr="00282AC9">
        <w:rPr>
          <w:rFonts w:hint="cs"/>
          <w:sz w:val="27"/>
          <w:rtl/>
          <w:lang w:bidi="fa-IR"/>
        </w:rPr>
        <w:t>ر</w:t>
      </w:r>
      <w:r w:rsidR="00E947C4" w:rsidRPr="00282AC9">
        <w:rPr>
          <w:rFonts w:hint="cs"/>
          <w:sz w:val="27"/>
          <w:rtl/>
          <w:lang w:bidi="fa-IR"/>
        </w:rPr>
        <w:t>ْ</w:t>
      </w:r>
      <w:r w:rsidRPr="00282AC9">
        <w:rPr>
          <w:rFonts w:hint="cs"/>
          <w:sz w:val="27"/>
          <w:rtl/>
          <w:lang w:bidi="fa-IR"/>
        </w:rPr>
        <w:t>نا الى أنّ المتعارف في الفقه الوضعي</w:t>
      </w:r>
      <w:r w:rsidR="00EB1216" w:rsidRPr="00282AC9">
        <w:rPr>
          <w:rFonts w:hint="cs"/>
          <w:sz w:val="27"/>
          <w:rtl/>
          <w:lang w:bidi="fa-IR"/>
        </w:rPr>
        <w:t>ّ</w:t>
      </w:r>
      <w:r w:rsidRPr="00282AC9">
        <w:rPr>
          <w:rFonts w:hint="cs"/>
          <w:sz w:val="27"/>
          <w:rtl/>
          <w:lang w:bidi="fa-IR"/>
        </w:rPr>
        <w:t xml:space="preserve"> هو إطلاق مصطلح (أسباب </w:t>
      </w:r>
      <w:r w:rsidR="00EB1216" w:rsidRPr="00282AC9">
        <w:rPr>
          <w:rFonts w:hint="cs"/>
          <w:sz w:val="27"/>
          <w:rtl/>
          <w:lang w:bidi="fa-IR"/>
        </w:rPr>
        <w:t>المِلْكيّة</w:t>
      </w:r>
      <w:r w:rsidRPr="00282AC9">
        <w:rPr>
          <w:rFonts w:hint="cs"/>
          <w:sz w:val="27"/>
          <w:rtl/>
          <w:lang w:bidi="fa-IR"/>
        </w:rPr>
        <w:t>)، وأمّا في فقهنا الإسلامي</w:t>
      </w:r>
      <w:r w:rsidR="00BC0925" w:rsidRPr="00282AC9">
        <w:rPr>
          <w:rFonts w:hint="cs"/>
          <w:sz w:val="27"/>
          <w:rtl/>
          <w:lang w:bidi="fa-IR"/>
        </w:rPr>
        <w:t>ّ</w:t>
      </w:r>
      <w:r w:rsidRPr="00282AC9">
        <w:rPr>
          <w:rFonts w:hint="cs"/>
          <w:sz w:val="27"/>
          <w:rtl/>
          <w:lang w:bidi="fa-IR"/>
        </w:rPr>
        <w:t xml:space="preserve"> فالمتعارف:</w:t>
      </w:r>
    </w:p>
    <w:p w:rsidR="0062395A" w:rsidRPr="00282AC9" w:rsidRDefault="0062395A" w:rsidP="00495D24">
      <w:pPr>
        <w:rPr>
          <w:sz w:val="27"/>
          <w:rtl/>
          <w:lang w:bidi="fa-IR"/>
        </w:rPr>
      </w:pPr>
      <w:r w:rsidRPr="00282AC9">
        <w:rPr>
          <w:rFonts w:hint="cs"/>
          <w:sz w:val="27"/>
          <w:rtl/>
        </w:rPr>
        <w:t xml:space="preserve">1ـ بيان مصاديق الأسباب، أي أسباب </w:t>
      </w:r>
      <w:r w:rsidR="00EB1216" w:rsidRPr="00282AC9">
        <w:rPr>
          <w:rFonts w:hint="cs"/>
          <w:sz w:val="27"/>
          <w:rtl/>
        </w:rPr>
        <w:t>المِلْكيّة</w:t>
      </w:r>
      <w:r w:rsidRPr="00282AC9">
        <w:rPr>
          <w:rFonts w:hint="cs"/>
          <w:sz w:val="27"/>
          <w:rtl/>
        </w:rPr>
        <w:t xml:space="preserve"> بالمعنى الشائع. ومنها يُمكن انتزاع أسباب </w:t>
      </w:r>
      <w:r w:rsidR="00EB1216" w:rsidRPr="00282AC9">
        <w:rPr>
          <w:rFonts w:hint="cs"/>
          <w:sz w:val="27"/>
          <w:rtl/>
        </w:rPr>
        <w:t>المِلْكيّة</w:t>
      </w:r>
      <w:r w:rsidRPr="00282AC9">
        <w:rPr>
          <w:rFonts w:hint="cs"/>
          <w:sz w:val="27"/>
          <w:rtl/>
        </w:rPr>
        <w:t>.</w:t>
      </w:r>
    </w:p>
    <w:p w:rsidR="0062395A" w:rsidRPr="00282AC9" w:rsidRDefault="0062395A" w:rsidP="00495D24">
      <w:pPr>
        <w:rPr>
          <w:sz w:val="27"/>
          <w:rtl/>
          <w:lang w:bidi="fa-IR"/>
        </w:rPr>
      </w:pPr>
      <w:r w:rsidRPr="00282AC9">
        <w:rPr>
          <w:rFonts w:hint="cs"/>
          <w:sz w:val="27"/>
          <w:rtl/>
        </w:rPr>
        <w:t>2ـ وندرَ مَن</w:t>
      </w:r>
      <w:r w:rsidR="00BC0925" w:rsidRPr="00282AC9">
        <w:rPr>
          <w:rFonts w:hint="cs"/>
          <w:sz w:val="27"/>
          <w:rtl/>
        </w:rPr>
        <w:t>ْ</w:t>
      </w:r>
      <w:r w:rsidRPr="00282AC9">
        <w:rPr>
          <w:rFonts w:hint="cs"/>
          <w:sz w:val="27"/>
          <w:rtl/>
        </w:rPr>
        <w:t xml:space="preserve"> تعرّ</w:t>
      </w:r>
      <w:r w:rsidR="00BC0925" w:rsidRPr="00282AC9">
        <w:rPr>
          <w:rFonts w:hint="cs"/>
          <w:sz w:val="27"/>
          <w:rtl/>
        </w:rPr>
        <w:t>َ</w:t>
      </w:r>
      <w:r w:rsidRPr="00282AC9">
        <w:rPr>
          <w:rFonts w:hint="cs"/>
          <w:sz w:val="27"/>
          <w:rtl/>
        </w:rPr>
        <w:t xml:space="preserve">ض </w:t>
      </w:r>
      <w:r w:rsidR="00BC0925" w:rsidRPr="00282AC9">
        <w:rPr>
          <w:rFonts w:hint="cs"/>
          <w:sz w:val="27"/>
          <w:rtl/>
        </w:rPr>
        <w:t>إ</w:t>
      </w:r>
      <w:r w:rsidRPr="00282AC9">
        <w:rPr>
          <w:rFonts w:hint="cs"/>
          <w:sz w:val="27"/>
          <w:rtl/>
        </w:rPr>
        <w:t>لى ح</w:t>
      </w:r>
      <w:r w:rsidR="00DF1430" w:rsidRPr="00282AC9">
        <w:rPr>
          <w:rFonts w:hint="cs"/>
          <w:sz w:val="27"/>
          <w:rtl/>
        </w:rPr>
        <w:t>َ</w:t>
      </w:r>
      <w:r w:rsidRPr="00282AC9">
        <w:rPr>
          <w:rFonts w:hint="cs"/>
          <w:sz w:val="27"/>
          <w:rtl/>
        </w:rPr>
        <w:t>ص</w:t>
      </w:r>
      <w:r w:rsidR="00DF1430" w:rsidRPr="00282AC9">
        <w:rPr>
          <w:rFonts w:hint="cs"/>
          <w:sz w:val="27"/>
          <w:rtl/>
        </w:rPr>
        <w:t>ْ</w:t>
      </w:r>
      <w:r w:rsidRPr="00282AC9">
        <w:rPr>
          <w:rFonts w:hint="cs"/>
          <w:sz w:val="27"/>
          <w:rtl/>
        </w:rPr>
        <w:t xml:space="preserve">ر أسباب </w:t>
      </w:r>
      <w:r w:rsidR="00EB1216" w:rsidRPr="00282AC9">
        <w:rPr>
          <w:rFonts w:hint="cs"/>
          <w:sz w:val="27"/>
          <w:rtl/>
        </w:rPr>
        <w:t>المِلْكيّة</w:t>
      </w:r>
      <w:r w:rsidRPr="00282AC9">
        <w:rPr>
          <w:rFonts w:hint="cs"/>
          <w:sz w:val="27"/>
          <w:rtl/>
        </w:rPr>
        <w:t>.</w:t>
      </w:r>
    </w:p>
    <w:p w:rsidR="0062395A" w:rsidRPr="00282AC9" w:rsidRDefault="0062395A" w:rsidP="00495D24">
      <w:pPr>
        <w:rPr>
          <w:sz w:val="27"/>
          <w:rtl/>
          <w:lang w:bidi="fa-IR"/>
        </w:rPr>
      </w:pPr>
      <w:r w:rsidRPr="00282AC9">
        <w:rPr>
          <w:rFonts w:hint="cs"/>
          <w:sz w:val="27"/>
          <w:rtl/>
          <w:lang w:bidi="fa-IR"/>
        </w:rPr>
        <w:t>ومهما يكن من أمر</w:t>
      </w:r>
      <w:r w:rsidR="00BC0925" w:rsidRPr="00282AC9">
        <w:rPr>
          <w:rFonts w:hint="cs"/>
          <w:sz w:val="27"/>
          <w:rtl/>
          <w:lang w:bidi="fa-IR"/>
        </w:rPr>
        <w:t>ٍ</w:t>
      </w:r>
      <w:r w:rsidRPr="00282AC9">
        <w:rPr>
          <w:rFonts w:hint="cs"/>
          <w:sz w:val="27"/>
          <w:rtl/>
          <w:lang w:bidi="fa-IR"/>
        </w:rPr>
        <w:t xml:space="preserve"> فقد ورد في الفقه الإسلامي التعرّ</w:t>
      </w:r>
      <w:r w:rsidR="00E81559" w:rsidRPr="00282AC9">
        <w:rPr>
          <w:rFonts w:hint="cs"/>
          <w:sz w:val="27"/>
          <w:rtl/>
          <w:lang w:bidi="fa-IR"/>
        </w:rPr>
        <w:t>ُ</w:t>
      </w:r>
      <w:r w:rsidRPr="00282AC9">
        <w:rPr>
          <w:rFonts w:hint="cs"/>
          <w:sz w:val="27"/>
          <w:rtl/>
          <w:lang w:bidi="fa-IR"/>
        </w:rPr>
        <w:t>ض</w:t>
      </w:r>
      <w:r w:rsidR="00BC0925" w:rsidRPr="00282AC9">
        <w:rPr>
          <w:rFonts w:hint="cs"/>
          <w:sz w:val="27"/>
          <w:rtl/>
          <w:lang w:bidi="fa-IR"/>
        </w:rPr>
        <w:t xml:space="preserve"> إلى </w:t>
      </w:r>
      <w:r w:rsidRPr="00282AC9">
        <w:rPr>
          <w:rFonts w:hint="cs"/>
          <w:sz w:val="27"/>
          <w:rtl/>
          <w:lang w:bidi="fa-IR"/>
        </w:rPr>
        <w:t xml:space="preserve">مصادر </w:t>
      </w:r>
      <w:r w:rsidR="00EB1216" w:rsidRPr="00282AC9">
        <w:rPr>
          <w:rFonts w:hint="cs"/>
          <w:sz w:val="27"/>
          <w:rtl/>
          <w:lang w:bidi="fa-IR"/>
        </w:rPr>
        <w:t>المِلْكيّة</w:t>
      </w:r>
      <w:r w:rsidR="00BC0925" w:rsidRPr="00282AC9">
        <w:rPr>
          <w:rFonts w:hint="cs"/>
          <w:sz w:val="27"/>
          <w:rtl/>
          <w:lang w:bidi="fa-IR"/>
        </w:rPr>
        <w:t>،</w:t>
      </w:r>
      <w:r w:rsidRPr="00282AC9">
        <w:rPr>
          <w:rFonts w:hint="cs"/>
          <w:sz w:val="27"/>
          <w:rtl/>
          <w:lang w:bidi="fa-IR"/>
        </w:rPr>
        <w:t xml:space="preserve"> على اختلاف</w:t>
      </w:r>
      <w:r w:rsidR="00BC0925" w:rsidRPr="00282AC9">
        <w:rPr>
          <w:rFonts w:hint="cs"/>
          <w:sz w:val="27"/>
          <w:rtl/>
          <w:lang w:bidi="fa-IR"/>
        </w:rPr>
        <w:t>ٍ</w:t>
      </w:r>
      <w:r w:rsidRPr="00282AC9">
        <w:rPr>
          <w:rFonts w:hint="cs"/>
          <w:sz w:val="27"/>
          <w:rtl/>
          <w:lang w:bidi="fa-IR"/>
        </w:rPr>
        <w:t xml:space="preserve"> في الآراء</w:t>
      </w:r>
      <w:r w:rsidR="00BC0925" w:rsidRPr="00282AC9">
        <w:rPr>
          <w:rFonts w:hint="cs"/>
          <w:sz w:val="27"/>
          <w:rtl/>
          <w:lang w:bidi="fa-IR"/>
        </w:rPr>
        <w:t>؛</w:t>
      </w:r>
      <w:r w:rsidRPr="00282AC9">
        <w:rPr>
          <w:rFonts w:hint="cs"/>
          <w:sz w:val="27"/>
          <w:rtl/>
          <w:lang w:bidi="fa-IR"/>
        </w:rPr>
        <w:t xml:space="preserve"> فالذين تعرّ</w:t>
      </w:r>
      <w:r w:rsidR="00BC0925" w:rsidRPr="00282AC9">
        <w:rPr>
          <w:rFonts w:hint="cs"/>
          <w:sz w:val="27"/>
          <w:rtl/>
          <w:lang w:bidi="fa-IR"/>
        </w:rPr>
        <w:t>َ</w:t>
      </w:r>
      <w:r w:rsidRPr="00282AC9">
        <w:rPr>
          <w:rFonts w:hint="cs"/>
          <w:sz w:val="27"/>
          <w:rtl/>
          <w:lang w:bidi="fa-IR"/>
        </w:rPr>
        <w:t xml:space="preserve">ضوا لأسباب </w:t>
      </w:r>
      <w:r w:rsidR="00EB1216" w:rsidRPr="00282AC9">
        <w:rPr>
          <w:rFonts w:hint="cs"/>
          <w:sz w:val="27"/>
          <w:rtl/>
          <w:lang w:bidi="fa-IR"/>
        </w:rPr>
        <w:t>المِلْكيّة</w:t>
      </w:r>
      <w:r w:rsidRPr="00282AC9">
        <w:rPr>
          <w:rFonts w:hint="cs"/>
          <w:sz w:val="27"/>
          <w:rtl/>
          <w:lang w:bidi="fa-IR"/>
        </w:rPr>
        <w:t xml:space="preserve"> وأسبابها يذكرون عادة أسباباً عديدة لم</w:t>
      </w:r>
      <w:r w:rsidR="00BC0925" w:rsidRPr="00282AC9">
        <w:rPr>
          <w:rFonts w:hint="cs"/>
          <w:sz w:val="27"/>
          <w:rtl/>
          <w:lang w:bidi="fa-IR"/>
        </w:rPr>
        <w:t>ِ</w:t>
      </w:r>
      <w:r w:rsidRPr="00282AC9">
        <w:rPr>
          <w:rFonts w:hint="cs"/>
          <w:sz w:val="27"/>
          <w:rtl/>
          <w:lang w:bidi="fa-IR"/>
        </w:rPr>
        <w:t>ل</w:t>
      </w:r>
      <w:r w:rsidR="00BC0925" w:rsidRPr="00282AC9">
        <w:rPr>
          <w:rFonts w:hint="cs"/>
          <w:sz w:val="27"/>
          <w:rtl/>
          <w:lang w:bidi="fa-IR"/>
        </w:rPr>
        <w:t>ْ</w:t>
      </w:r>
      <w:r w:rsidRPr="00282AC9">
        <w:rPr>
          <w:rFonts w:hint="cs"/>
          <w:sz w:val="27"/>
          <w:rtl/>
          <w:lang w:bidi="fa-IR"/>
        </w:rPr>
        <w:t>كي</w:t>
      </w:r>
      <w:r w:rsidR="00BC0925" w:rsidRPr="00282AC9">
        <w:rPr>
          <w:rFonts w:hint="cs"/>
          <w:sz w:val="27"/>
          <w:rtl/>
          <w:lang w:bidi="fa-IR"/>
        </w:rPr>
        <w:t>ّ</w:t>
      </w:r>
      <w:r w:rsidRPr="00282AC9">
        <w:rPr>
          <w:rFonts w:hint="cs"/>
          <w:sz w:val="27"/>
          <w:rtl/>
          <w:lang w:bidi="fa-IR"/>
        </w:rPr>
        <w:t>ة الإنسان لأمواله المنفصلة عنه</w:t>
      </w:r>
      <w:r w:rsidRPr="00282AC9">
        <w:rPr>
          <w:rFonts w:hint="cs"/>
          <w:sz w:val="27"/>
          <w:vertAlign w:val="superscript"/>
          <w:rtl/>
          <w:lang w:bidi="fa-IR"/>
        </w:rPr>
        <w:t>(</w:t>
      </w:r>
      <w:r w:rsidRPr="00282AC9">
        <w:rPr>
          <w:sz w:val="27"/>
          <w:vertAlign w:val="superscript"/>
          <w:rtl/>
          <w:lang w:bidi="fa-IR"/>
        </w:rPr>
        <w:endnoteReference w:id="969"/>
      </w:r>
      <w:r w:rsidRPr="00282AC9">
        <w:rPr>
          <w:rFonts w:hint="cs"/>
          <w:sz w:val="27"/>
          <w:vertAlign w:val="superscript"/>
          <w:rtl/>
          <w:lang w:bidi="fa-IR"/>
        </w:rPr>
        <w:t>)</w:t>
      </w:r>
      <w:r w:rsidR="00BC0925" w:rsidRPr="00282AC9">
        <w:rPr>
          <w:rFonts w:hint="cs"/>
          <w:sz w:val="27"/>
          <w:rtl/>
          <w:lang w:bidi="fa-IR"/>
        </w:rPr>
        <w:t>.</w:t>
      </w:r>
      <w:r w:rsidRPr="00282AC9">
        <w:rPr>
          <w:rFonts w:hint="cs"/>
          <w:sz w:val="27"/>
          <w:rtl/>
          <w:lang w:bidi="fa-IR"/>
        </w:rPr>
        <w:t xml:space="preserve"> أجل</w:t>
      </w:r>
      <w:r w:rsidR="00BC0925" w:rsidRPr="00282AC9">
        <w:rPr>
          <w:rFonts w:hint="cs"/>
          <w:sz w:val="27"/>
          <w:rtl/>
          <w:lang w:bidi="fa-IR"/>
        </w:rPr>
        <w:t>،</w:t>
      </w:r>
      <w:r w:rsidRPr="00282AC9">
        <w:rPr>
          <w:rFonts w:hint="cs"/>
          <w:sz w:val="27"/>
          <w:rtl/>
          <w:lang w:bidi="fa-IR"/>
        </w:rPr>
        <w:t xml:space="preserve"> احتمل بعض</w:t>
      </w:r>
      <w:r w:rsidR="00BC0925" w:rsidRPr="00282AC9">
        <w:rPr>
          <w:rFonts w:hint="cs"/>
          <w:sz w:val="27"/>
          <w:rtl/>
          <w:lang w:bidi="fa-IR"/>
        </w:rPr>
        <w:t>ٌ</w:t>
      </w:r>
      <w:r w:rsidRPr="00282AC9">
        <w:rPr>
          <w:rFonts w:hint="cs"/>
          <w:sz w:val="27"/>
          <w:rtl/>
          <w:lang w:bidi="fa-IR"/>
        </w:rPr>
        <w:t xml:space="preserve"> انحصارها في سبب</w:t>
      </w:r>
      <w:r w:rsidR="00BC0925" w:rsidRPr="00282AC9">
        <w:rPr>
          <w:rFonts w:hint="cs"/>
          <w:sz w:val="27"/>
          <w:rtl/>
          <w:lang w:bidi="fa-IR"/>
        </w:rPr>
        <w:t>ٍ</w:t>
      </w:r>
      <w:r w:rsidRPr="00282AC9">
        <w:rPr>
          <w:rFonts w:hint="cs"/>
          <w:sz w:val="27"/>
          <w:rtl/>
          <w:lang w:bidi="fa-IR"/>
        </w:rPr>
        <w:t xml:space="preserve"> واحد</w:t>
      </w:r>
      <w:r w:rsidR="00BC0925" w:rsidRPr="00282AC9">
        <w:rPr>
          <w:rFonts w:hint="cs"/>
          <w:sz w:val="27"/>
          <w:rtl/>
          <w:lang w:bidi="fa-IR"/>
        </w:rPr>
        <w:t>.</w:t>
      </w:r>
      <w:r w:rsidRPr="00282AC9">
        <w:rPr>
          <w:rFonts w:hint="cs"/>
          <w:sz w:val="27"/>
          <w:rtl/>
          <w:lang w:bidi="fa-IR"/>
        </w:rPr>
        <w:t xml:space="preserve"> ولنذكر هذه الآراء أو الوجوه:</w:t>
      </w:r>
    </w:p>
    <w:p w:rsidR="0062395A" w:rsidRPr="00282AC9" w:rsidRDefault="0062395A" w:rsidP="00495D24">
      <w:pPr>
        <w:rPr>
          <w:sz w:val="27"/>
          <w:rtl/>
          <w:lang w:bidi="fa-IR"/>
        </w:rPr>
      </w:pPr>
    </w:p>
    <w:p w:rsidR="0062395A" w:rsidRPr="00282AC9" w:rsidRDefault="0062395A" w:rsidP="00715FC8">
      <w:pPr>
        <w:pStyle w:val="31"/>
        <w:rPr>
          <w:color w:val="auto"/>
          <w:rtl/>
          <w:lang w:bidi="fa-IR"/>
        </w:rPr>
      </w:pPr>
      <w:r w:rsidRPr="00282AC9">
        <w:rPr>
          <w:rFonts w:hint="cs"/>
          <w:color w:val="auto"/>
          <w:rtl/>
        </w:rPr>
        <w:t>الاتجاه الأوّل</w:t>
      </w:r>
      <w:r w:rsidR="00DF1430" w:rsidRPr="00282AC9">
        <w:rPr>
          <w:rFonts w:hint="cs"/>
          <w:color w:val="auto"/>
          <w:rtl/>
        </w:rPr>
        <w:t>: الحيازة حَصْراً</w:t>
      </w:r>
    </w:p>
    <w:p w:rsidR="007F4DD6" w:rsidRPr="00282AC9" w:rsidRDefault="0062395A" w:rsidP="00495D24">
      <w:pPr>
        <w:rPr>
          <w:sz w:val="27"/>
          <w:rtl/>
          <w:lang w:bidi="fa-IR"/>
        </w:rPr>
      </w:pPr>
      <w:r w:rsidRPr="00282AC9">
        <w:rPr>
          <w:rFonts w:hint="cs"/>
          <w:sz w:val="27"/>
          <w:rtl/>
          <w:lang w:bidi="fa-IR"/>
        </w:rPr>
        <w:t xml:space="preserve">حصر </w:t>
      </w:r>
      <w:r w:rsidR="00EB1216" w:rsidRPr="00282AC9">
        <w:rPr>
          <w:rFonts w:hint="cs"/>
          <w:sz w:val="27"/>
          <w:rtl/>
          <w:lang w:bidi="fa-IR"/>
        </w:rPr>
        <w:t>المِلْكيّة</w:t>
      </w:r>
      <w:r w:rsidRPr="00282AC9">
        <w:rPr>
          <w:rFonts w:hint="cs"/>
          <w:sz w:val="27"/>
          <w:rtl/>
          <w:lang w:bidi="fa-IR"/>
        </w:rPr>
        <w:t xml:space="preserve"> في سبب</w:t>
      </w:r>
      <w:r w:rsidR="007F4DD6" w:rsidRPr="00282AC9">
        <w:rPr>
          <w:rFonts w:hint="cs"/>
          <w:sz w:val="27"/>
          <w:rtl/>
          <w:lang w:bidi="fa-IR"/>
        </w:rPr>
        <w:t>ٍ</w:t>
      </w:r>
      <w:r w:rsidRPr="00282AC9">
        <w:rPr>
          <w:rFonts w:hint="cs"/>
          <w:sz w:val="27"/>
          <w:rtl/>
          <w:lang w:bidi="fa-IR"/>
        </w:rPr>
        <w:t xml:space="preserve"> واحد، وهو الحيازة</w:t>
      </w:r>
      <w:r w:rsidR="007F4DD6" w:rsidRPr="00282AC9">
        <w:rPr>
          <w:rFonts w:hint="cs"/>
          <w:sz w:val="27"/>
          <w:rtl/>
          <w:lang w:bidi="fa-IR"/>
        </w:rPr>
        <w:t>،</w:t>
      </w:r>
      <w:r w:rsidRPr="00282AC9">
        <w:rPr>
          <w:rFonts w:hint="cs"/>
          <w:sz w:val="27"/>
          <w:rtl/>
          <w:lang w:bidi="fa-IR"/>
        </w:rPr>
        <w:t xml:space="preserve"> الذي هو السبب الوحيد للم</w:t>
      </w:r>
      <w:r w:rsidR="007F4DD6" w:rsidRPr="00282AC9">
        <w:rPr>
          <w:rFonts w:hint="cs"/>
          <w:sz w:val="27"/>
          <w:rtl/>
          <w:lang w:bidi="fa-IR"/>
        </w:rPr>
        <w:t>ِ</w:t>
      </w:r>
      <w:r w:rsidRPr="00282AC9">
        <w:rPr>
          <w:rFonts w:hint="cs"/>
          <w:sz w:val="27"/>
          <w:rtl/>
          <w:lang w:bidi="fa-IR"/>
        </w:rPr>
        <w:t>ل</w:t>
      </w:r>
      <w:r w:rsidR="007F4DD6" w:rsidRPr="00282AC9">
        <w:rPr>
          <w:rFonts w:hint="cs"/>
          <w:sz w:val="27"/>
          <w:rtl/>
          <w:lang w:bidi="fa-IR"/>
        </w:rPr>
        <w:t>ْ</w:t>
      </w:r>
      <w:r w:rsidRPr="00282AC9">
        <w:rPr>
          <w:rFonts w:hint="cs"/>
          <w:sz w:val="27"/>
          <w:rtl/>
          <w:lang w:bidi="fa-IR"/>
        </w:rPr>
        <w:t xml:space="preserve">ك أوّلاً وآخراً، </w:t>
      </w:r>
      <w:r w:rsidR="007F4DD6" w:rsidRPr="00282AC9">
        <w:rPr>
          <w:rFonts w:hint="cs"/>
          <w:sz w:val="27"/>
          <w:rtl/>
          <w:lang w:bidi="fa-IR"/>
        </w:rPr>
        <w:t>و</w:t>
      </w:r>
      <w:r w:rsidRPr="00282AC9">
        <w:rPr>
          <w:rFonts w:hint="cs"/>
          <w:sz w:val="27"/>
          <w:rtl/>
          <w:lang w:bidi="fa-IR"/>
        </w:rPr>
        <w:t>لا سبب سواه</w:t>
      </w:r>
      <w:r w:rsidR="007F4DD6" w:rsidRPr="00282AC9">
        <w:rPr>
          <w:rFonts w:hint="cs"/>
          <w:sz w:val="27"/>
          <w:rtl/>
          <w:lang w:bidi="fa-IR"/>
        </w:rPr>
        <w:t>.</w:t>
      </w:r>
      <w:r w:rsidRPr="00282AC9">
        <w:rPr>
          <w:rFonts w:hint="cs"/>
          <w:sz w:val="27"/>
          <w:rtl/>
          <w:lang w:bidi="fa-IR"/>
        </w:rPr>
        <w:t xml:space="preserve"> وأمّا ما يُظ</w:t>
      </w:r>
      <w:r w:rsidR="007F4DD6" w:rsidRPr="00282AC9">
        <w:rPr>
          <w:rFonts w:hint="cs"/>
          <w:sz w:val="27"/>
          <w:rtl/>
          <w:lang w:bidi="fa-IR"/>
        </w:rPr>
        <w:t>َ</w:t>
      </w:r>
      <w:r w:rsidRPr="00282AC9">
        <w:rPr>
          <w:rFonts w:hint="cs"/>
          <w:sz w:val="27"/>
          <w:rtl/>
          <w:lang w:bidi="fa-IR"/>
        </w:rPr>
        <w:t>نّ أنّه من الأسباب</w:t>
      </w:r>
      <w:r w:rsidR="007F4DD6" w:rsidRPr="00282AC9">
        <w:rPr>
          <w:rFonts w:hint="cs"/>
          <w:sz w:val="27"/>
          <w:rtl/>
          <w:lang w:bidi="fa-IR"/>
        </w:rPr>
        <w:t>،</w:t>
      </w:r>
      <w:r w:rsidRPr="00282AC9">
        <w:rPr>
          <w:rFonts w:hint="cs"/>
          <w:sz w:val="27"/>
          <w:rtl/>
          <w:lang w:bidi="fa-IR"/>
        </w:rPr>
        <w:t xml:space="preserve"> كالنواقل</w:t>
      </w:r>
      <w:r w:rsidR="007F4DD6" w:rsidRPr="00282AC9">
        <w:rPr>
          <w:rFonts w:hint="cs"/>
          <w:sz w:val="27"/>
          <w:rtl/>
          <w:lang w:bidi="fa-IR"/>
        </w:rPr>
        <w:t>،</w:t>
      </w:r>
      <w:r w:rsidRPr="00282AC9">
        <w:rPr>
          <w:rFonts w:hint="cs"/>
          <w:sz w:val="27"/>
          <w:rtl/>
          <w:lang w:bidi="fa-IR"/>
        </w:rPr>
        <w:t xml:space="preserve"> مثل</w:t>
      </w:r>
      <w:r w:rsidR="007F4DD6" w:rsidRPr="00282AC9">
        <w:rPr>
          <w:rFonts w:hint="cs"/>
          <w:sz w:val="27"/>
          <w:rtl/>
          <w:lang w:bidi="fa-IR"/>
        </w:rPr>
        <w:t>:</w:t>
      </w:r>
      <w:r w:rsidRPr="00282AC9">
        <w:rPr>
          <w:rFonts w:hint="cs"/>
          <w:sz w:val="27"/>
          <w:rtl/>
          <w:lang w:bidi="fa-IR"/>
        </w:rPr>
        <w:t xml:space="preserve"> البيع وسائر </w:t>
      </w:r>
      <w:r w:rsidRPr="00282AC9">
        <w:rPr>
          <w:rFonts w:hint="cs"/>
          <w:sz w:val="27"/>
          <w:rtl/>
          <w:lang w:bidi="fa-IR"/>
        </w:rPr>
        <w:lastRenderedPageBreak/>
        <w:t>المعاملات</w:t>
      </w:r>
      <w:r w:rsidR="007F4DD6" w:rsidRPr="00282AC9">
        <w:rPr>
          <w:rFonts w:hint="cs"/>
          <w:sz w:val="27"/>
          <w:rtl/>
          <w:lang w:bidi="fa-IR"/>
        </w:rPr>
        <w:t>،</w:t>
      </w:r>
      <w:r w:rsidRPr="00282AC9">
        <w:rPr>
          <w:rFonts w:hint="cs"/>
          <w:sz w:val="27"/>
          <w:rtl/>
          <w:lang w:bidi="fa-IR"/>
        </w:rPr>
        <w:t xml:space="preserve"> فحقيقتها الإعراض</w:t>
      </w:r>
      <w:r w:rsidR="007F4DD6" w:rsidRPr="00282AC9">
        <w:rPr>
          <w:rFonts w:hint="cs"/>
          <w:sz w:val="27"/>
          <w:rtl/>
          <w:lang w:bidi="fa-IR"/>
        </w:rPr>
        <w:t>،</w:t>
      </w:r>
      <w:r w:rsidRPr="00282AC9">
        <w:rPr>
          <w:rFonts w:hint="cs"/>
          <w:sz w:val="27"/>
          <w:rtl/>
          <w:lang w:bidi="fa-IR"/>
        </w:rPr>
        <w:t xml:space="preserve"> الذي هو مقابل</w:t>
      </w:r>
      <w:r w:rsidR="007F4DD6" w:rsidRPr="00282AC9">
        <w:rPr>
          <w:rFonts w:hint="cs"/>
          <w:sz w:val="27"/>
          <w:rtl/>
          <w:lang w:bidi="fa-IR"/>
        </w:rPr>
        <w:t>ٌ</w:t>
      </w:r>
      <w:r w:rsidRPr="00282AC9">
        <w:rPr>
          <w:rFonts w:hint="cs"/>
          <w:sz w:val="27"/>
          <w:rtl/>
          <w:lang w:bidi="fa-IR"/>
        </w:rPr>
        <w:t xml:space="preserve"> للحيازة؛ إذ </w:t>
      </w:r>
      <w:r w:rsidR="007F4DD6" w:rsidRPr="00282AC9">
        <w:rPr>
          <w:rFonts w:hint="cs"/>
          <w:sz w:val="27"/>
          <w:rtl/>
          <w:lang w:bidi="fa-IR"/>
        </w:rPr>
        <w:t>إ</w:t>
      </w:r>
      <w:r w:rsidRPr="00282AC9">
        <w:rPr>
          <w:rFonts w:hint="cs"/>
          <w:sz w:val="27"/>
          <w:rtl/>
          <w:lang w:bidi="fa-IR"/>
        </w:rPr>
        <w:t>نّ البائع والمشتري يتواطآن على أن يرفع كلّ</w:t>
      </w:r>
      <w:r w:rsidR="007F4DD6" w:rsidRPr="00282AC9">
        <w:rPr>
          <w:rFonts w:hint="cs"/>
          <w:sz w:val="27"/>
          <w:rtl/>
          <w:lang w:bidi="fa-IR"/>
        </w:rPr>
        <w:t>ٌ</w:t>
      </w:r>
      <w:r w:rsidRPr="00282AC9">
        <w:rPr>
          <w:rFonts w:hint="cs"/>
          <w:sz w:val="27"/>
          <w:rtl/>
          <w:lang w:bidi="fa-IR"/>
        </w:rPr>
        <w:t xml:space="preserve"> منهما يده عمّا يملكه</w:t>
      </w:r>
      <w:r w:rsidR="007F4DD6" w:rsidRPr="00282AC9">
        <w:rPr>
          <w:rFonts w:hint="cs"/>
          <w:sz w:val="27"/>
          <w:rtl/>
          <w:lang w:bidi="fa-IR"/>
        </w:rPr>
        <w:t>؛</w:t>
      </w:r>
      <w:r w:rsidRPr="00282AC9">
        <w:rPr>
          <w:rFonts w:hint="cs"/>
          <w:sz w:val="27"/>
          <w:rtl/>
          <w:lang w:bidi="fa-IR"/>
        </w:rPr>
        <w:t xml:space="preserve"> ليحوزه الآخر، فلا تمليك</w:t>
      </w:r>
      <w:r w:rsidR="007F4DD6" w:rsidRPr="00282AC9">
        <w:rPr>
          <w:rFonts w:hint="cs"/>
          <w:sz w:val="27"/>
          <w:rtl/>
          <w:lang w:bidi="fa-IR"/>
        </w:rPr>
        <w:t>،</w:t>
      </w:r>
      <w:r w:rsidRPr="00282AC9">
        <w:rPr>
          <w:rFonts w:hint="cs"/>
          <w:sz w:val="27"/>
          <w:rtl/>
          <w:lang w:bidi="fa-IR"/>
        </w:rPr>
        <w:t xml:space="preserve"> ولا نقل، بل هو إعراض</w:t>
      </w:r>
      <w:r w:rsidR="007F4DD6" w:rsidRPr="00282AC9">
        <w:rPr>
          <w:rFonts w:hint="cs"/>
          <w:sz w:val="27"/>
          <w:rtl/>
          <w:lang w:bidi="fa-IR"/>
        </w:rPr>
        <w:t>ٌ</w:t>
      </w:r>
      <w:r w:rsidRPr="00282AC9">
        <w:rPr>
          <w:rFonts w:hint="cs"/>
          <w:sz w:val="27"/>
          <w:rtl/>
          <w:lang w:bidi="fa-IR"/>
        </w:rPr>
        <w:t xml:space="preserve"> بإزاء إعراض</w:t>
      </w:r>
      <w:r w:rsidR="007F4DD6" w:rsidRPr="00282AC9">
        <w:rPr>
          <w:rFonts w:hint="cs"/>
          <w:sz w:val="27"/>
          <w:rtl/>
          <w:lang w:bidi="fa-IR"/>
        </w:rPr>
        <w:t>ٍ.</w:t>
      </w:r>
      <w:r w:rsidRPr="00282AC9">
        <w:rPr>
          <w:rFonts w:hint="cs"/>
          <w:sz w:val="27"/>
          <w:rtl/>
          <w:lang w:bidi="fa-IR"/>
        </w:rPr>
        <w:t xml:space="preserve"> والإعراض أيضاً جهتيّ</w:t>
      </w:r>
      <w:r w:rsidR="007F4DD6" w:rsidRPr="00282AC9">
        <w:rPr>
          <w:rFonts w:hint="cs"/>
          <w:sz w:val="27"/>
          <w:rtl/>
          <w:lang w:bidi="fa-IR"/>
        </w:rPr>
        <w:t>ٌ</w:t>
      </w:r>
      <w:r w:rsidRPr="00282AC9">
        <w:rPr>
          <w:rFonts w:hint="cs"/>
          <w:sz w:val="27"/>
          <w:rtl/>
          <w:lang w:bidi="fa-IR"/>
        </w:rPr>
        <w:t>، فكلّ</w:t>
      </w:r>
      <w:r w:rsidR="007F4DD6" w:rsidRPr="00282AC9">
        <w:rPr>
          <w:rFonts w:hint="cs"/>
          <w:sz w:val="27"/>
          <w:rtl/>
          <w:lang w:bidi="fa-IR"/>
        </w:rPr>
        <w:t>ُ</w:t>
      </w:r>
      <w:r w:rsidRPr="00282AC9">
        <w:rPr>
          <w:rFonts w:hint="cs"/>
          <w:sz w:val="27"/>
          <w:rtl/>
          <w:lang w:bidi="fa-IR"/>
        </w:rPr>
        <w:t xml:space="preserve"> مُع</w:t>
      </w:r>
      <w:r w:rsidR="007F4DD6" w:rsidRPr="00282AC9">
        <w:rPr>
          <w:rFonts w:hint="cs"/>
          <w:sz w:val="27"/>
          <w:rtl/>
          <w:lang w:bidi="fa-IR"/>
        </w:rPr>
        <w:t>ْ</w:t>
      </w:r>
      <w:r w:rsidRPr="00282AC9">
        <w:rPr>
          <w:rFonts w:hint="cs"/>
          <w:sz w:val="27"/>
          <w:rtl/>
          <w:lang w:bidi="fa-IR"/>
        </w:rPr>
        <w:t>رِض</w:t>
      </w:r>
      <w:r w:rsidR="007F4DD6" w:rsidRPr="00282AC9">
        <w:rPr>
          <w:rFonts w:hint="cs"/>
          <w:sz w:val="27"/>
          <w:rtl/>
          <w:lang w:bidi="fa-IR"/>
        </w:rPr>
        <w:t>ٍ</w:t>
      </w:r>
      <w:r w:rsidRPr="00282AC9">
        <w:rPr>
          <w:rFonts w:hint="cs"/>
          <w:sz w:val="27"/>
          <w:rtl/>
          <w:lang w:bidi="fa-IR"/>
        </w:rPr>
        <w:t xml:space="preserve"> رافع</w:t>
      </w:r>
      <w:r w:rsidR="007F4DD6" w:rsidRPr="00282AC9">
        <w:rPr>
          <w:rFonts w:hint="cs"/>
          <w:sz w:val="27"/>
          <w:rtl/>
          <w:lang w:bidi="fa-IR"/>
        </w:rPr>
        <w:t>ٌ</w:t>
      </w:r>
      <w:r w:rsidRPr="00282AC9">
        <w:rPr>
          <w:rFonts w:hint="cs"/>
          <w:sz w:val="27"/>
          <w:rtl/>
          <w:lang w:bidi="fa-IR"/>
        </w:rPr>
        <w:t xml:space="preserve"> لليد من جهة صاحبه</w:t>
      </w:r>
      <w:r w:rsidR="007F4DD6" w:rsidRPr="00282AC9">
        <w:rPr>
          <w:rFonts w:hint="cs"/>
          <w:sz w:val="27"/>
          <w:rtl/>
          <w:lang w:bidi="fa-IR"/>
        </w:rPr>
        <w:t>،</w:t>
      </w:r>
      <w:r w:rsidRPr="00282AC9">
        <w:rPr>
          <w:rFonts w:hint="cs"/>
          <w:sz w:val="27"/>
          <w:rtl/>
          <w:lang w:bidi="fa-IR"/>
        </w:rPr>
        <w:t xml:space="preserve"> لا من كلّ الجهات</w:t>
      </w:r>
      <w:r w:rsidR="007F4DD6" w:rsidRPr="00282AC9">
        <w:rPr>
          <w:rFonts w:hint="cs"/>
          <w:sz w:val="27"/>
          <w:rtl/>
          <w:lang w:bidi="fa-IR"/>
        </w:rPr>
        <w:t>.</w:t>
      </w:r>
      <w:r w:rsidRPr="00282AC9">
        <w:rPr>
          <w:rFonts w:hint="cs"/>
          <w:sz w:val="27"/>
          <w:rtl/>
          <w:lang w:bidi="fa-IR"/>
        </w:rPr>
        <w:t xml:space="preserve"> فلو أراد غير صاحبه الاستيلاء على العين لمنعه وزاحمه</w:t>
      </w:r>
      <w:r w:rsidR="007F4DD6" w:rsidRPr="00282AC9">
        <w:rPr>
          <w:rFonts w:hint="cs"/>
          <w:sz w:val="27"/>
          <w:rtl/>
          <w:lang w:bidi="fa-IR"/>
        </w:rPr>
        <w:t>.</w:t>
      </w:r>
      <w:r w:rsidRPr="00282AC9">
        <w:rPr>
          <w:rFonts w:hint="cs"/>
          <w:sz w:val="27"/>
          <w:rtl/>
          <w:lang w:bidi="fa-IR"/>
        </w:rPr>
        <w:t xml:space="preserve"> فكلّ</w:t>
      </w:r>
      <w:r w:rsidR="007F4DD6" w:rsidRPr="00282AC9">
        <w:rPr>
          <w:rFonts w:hint="cs"/>
          <w:sz w:val="27"/>
          <w:rtl/>
          <w:lang w:bidi="fa-IR"/>
        </w:rPr>
        <w:t>ٌ</w:t>
      </w:r>
      <w:r w:rsidRPr="00282AC9">
        <w:rPr>
          <w:rFonts w:hint="cs"/>
          <w:sz w:val="27"/>
          <w:rtl/>
          <w:lang w:bidi="fa-IR"/>
        </w:rPr>
        <w:t xml:space="preserve"> رافع</w:t>
      </w:r>
      <w:r w:rsidR="007F4DD6" w:rsidRPr="00282AC9">
        <w:rPr>
          <w:rFonts w:hint="cs"/>
          <w:sz w:val="27"/>
          <w:rtl/>
          <w:lang w:bidi="fa-IR"/>
        </w:rPr>
        <w:t>ٌ</w:t>
      </w:r>
      <w:r w:rsidRPr="00282AC9">
        <w:rPr>
          <w:rFonts w:hint="cs"/>
          <w:sz w:val="27"/>
          <w:rtl/>
          <w:lang w:bidi="fa-IR"/>
        </w:rPr>
        <w:t xml:space="preserve"> لليد لأجل صاحبه</w:t>
      </w:r>
      <w:r w:rsidR="007F4DD6" w:rsidRPr="00282AC9">
        <w:rPr>
          <w:rFonts w:hint="cs"/>
          <w:sz w:val="27"/>
          <w:rtl/>
          <w:lang w:bidi="fa-IR"/>
        </w:rPr>
        <w:t>،</w:t>
      </w:r>
      <w:r w:rsidRPr="00282AC9">
        <w:rPr>
          <w:rFonts w:hint="cs"/>
          <w:sz w:val="27"/>
          <w:rtl/>
          <w:lang w:bidi="fa-IR"/>
        </w:rPr>
        <w:t xml:space="preserve"> وغير مزاحم</w:t>
      </w:r>
      <w:r w:rsidR="007F4DD6" w:rsidRPr="00282AC9">
        <w:rPr>
          <w:rFonts w:hint="cs"/>
          <w:sz w:val="27"/>
          <w:rtl/>
          <w:lang w:bidi="fa-IR"/>
        </w:rPr>
        <w:t>ٍ</w:t>
      </w:r>
      <w:r w:rsidRPr="00282AC9">
        <w:rPr>
          <w:rFonts w:hint="cs"/>
          <w:sz w:val="27"/>
          <w:rtl/>
          <w:lang w:bidi="fa-IR"/>
        </w:rPr>
        <w:t xml:space="preserve"> لصاحبه</w:t>
      </w:r>
      <w:r w:rsidR="007F4DD6" w:rsidRPr="00282AC9">
        <w:rPr>
          <w:rFonts w:hint="cs"/>
          <w:sz w:val="27"/>
          <w:rtl/>
          <w:lang w:bidi="fa-IR"/>
        </w:rPr>
        <w:t>،</w:t>
      </w:r>
      <w:r w:rsidRPr="00282AC9">
        <w:rPr>
          <w:rFonts w:hint="cs"/>
          <w:sz w:val="27"/>
          <w:rtl/>
          <w:lang w:bidi="fa-IR"/>
        </w:rPr>
        <w:t xml:space="preserve"> بإزاء رفع صاحبه لليد</w:t>
      </w:r>
      <w:r w:rsidR="007F4DD6" w:rsidRPr="00282AC9">
        <w:rPr>
          <w:rFonts w:hint="cs"/>
          <w:sz w:val="27"/>
          <w:rtl/>
          <w:lang w:bidi="fa-IR"/>
        </w:rPr>
        <w:t>،</w:t>
      </w:r>
      <w:r w:rsidRPr="00282AC9">
        <w:rPr>
          <w:rFonts w:hint="cs"/>
          <w:sz w:val="27"/>
          <w:rtl/>
          <w:lang w:bidi="fa-IR"/>
        </w:rPr>
        <w:t xml:space="preserve"> وتركه لمزاحمته</w:t>
      </w:r>
      <w:r w:rsidR="007F4DD6" w:rsidRPr="00282AC9">
        <w:rPr>
          <w:rFonts w:hint="cs"/>
          <w:sz w:val="27"/>
          <w:rtl/>
          <w:lang w:bidi="fa-IR"/>
        </w:rPr>
        <w:t>.</w:t>
      </w:r>
      <w:r w:rsidRPr="00282AC9">
        <w:rPr>
          <w:rFonts w:hint="cs"/>
          <w:sz w:val="27"/>
          <w:rtl/>
          <w:lang w:bidi="fa-IR"/>
        </w:rPr>
        <w:t xml:space="preserve"> ثمّ كلّ</w:t>
      </w:r>
      <w:r w:rsidR="007F4DD6" w:rsidRPr="00282AC9">
        <w:rPr>
          <w:rFonts w:hint="cs"/>
          <w:sz w:val="27"/>
          <w:rtl/>
          <w:lang w:bidi="fa-IR"/>
        </w:rPr>
        <w:t>ٌ</w:t>
      </w:r>
      <w:r w:rsidRPr="00282AC9">
        <w:rPr>
          <w:rFonts w:hint="cs"/>
          <w:sz w:val="27"/>
          <w:rtl/>
          <w:lang w:bidi="fa-IR"/>
        </w:rPr>
        <w:t xml:space="preserve"> يستولي على العين</w:t>
      </w:r>
      <w:r w:rsidR="007F4DD6" w:rsidRPr="00282AC9">
        <w:rPr>
          <w:rFonts w:hint="cs"/>
          <w:sz w:val="27"/>
          <w:rtl/>
          <w:lang w:bidi="fa-IR"/>
        </w:rPr>
        <w:t>،</w:t>
      </w:r>
      <w:r w:rsidRPr="00282AC9">
        <w:rPr>
          <w:rFonts w:hint="cs"/>
          <w:sz w:val="27"/>
          <w:rtl/>
          <w:lang w:bidi="fa-IR"/>
        </w:rPr>
        <w:t xml:space="preserve"> ويملك العين بحيازته، فلا سبب مملِّك</w:t>
      </w:r>
      <w:r w:rsidR="007F4DD6" w:rsidRPr="00282AC9">
        <w:rPr>
          <w:rFonts w:hint="cs"/>
          <w:sz w:val="27"/>
          <w:rtl/>
          <w:lang w:bidi="fa-IR"/>
        </w:rPr>
        <w:t>اً</w:t>
      </w:r>
      <w:r w:rsidRPr="00282AC9">
        <w:rPr>
          <w:rFonts w:hint="cs"/>
          <w:sz w:val="27"/>
          <w:rtl/>
          <w:lang w:bidi="fa-IR"/>
        </w:rPr>
        <w:t xml:space="preserve"> سوى الحيازة</w:t>
      </w:r>
      <w:r w:rsidR="007F4DD6" w:rsidRPr="00282AC9">
        <w:rPr>
          <w:rFonts w:hint="cs"/>
          <w:sz w:val="27"/>
          <w:rtl/>
          <w:lang w:bidi="fa-IR"/>
        </w:rPr>
        <w:t>،</w:t>
      </w:r>
      <w:r w:rsidRPr="00282AC9">
        <w:rPr>
          <w:rFonts w:hint="cs"/>
          <w:sz w:val="27"/>
          <w:rtl/>
          <w:lang w:bidi="fa-IR"/>
        </w:rPr>
        <w:t xml:space="preserve"> بلا قبول الم</w:t>
      </w:r>
      <w:r w:rsidR="007F4DD6" w:rsidRPr="00282AC9">
        <w:rPr>
          <w:rFonts w:hint="cs"/>
          <w:sz w:val="27"/>
          <w:rtl/>
          <w:lang w:bidi="fa-IR"/>
        </w:rPr>
        <w:t>ِ</w:t>
      </w:r>
      <w:r w:rsidRPr="00282AC9">
        <w:rPr>
          <w:rFonts w:hint="cs"/>
          <w:sz w:val="27"/>
          <w:rtl/>
          <w:lang w:bidi="fa-IR"/>
        </w:rPr>
        <w:t>ل</w:t>
      </w:r>
      <w:r w:rsidR="007F4DD6" w:rsidRPr="00282AC9">
        <w:rPr>
          <w:rFonts w:hint="cs"/>
          <w:sz w:val="27"/>
          <w:rtl/>
          <w:lang w:bidi="fa-IR"/>
        </w:rPr>
        <w:t>ْ</w:t>
      </w:r>
      <w:r w:rsidRPr="00282AC9">
        <w:rPr>
          <w:rFonts w:hint="cs"/>
          <w:sz w:val="27"/>
          <w:rtl/>
          <w:lang w:bidi="fa-IR"/>
        </w:rPr>
        <w:t>ك للنقل من مالك</w:t>
      </w:r>
      <w:r w:rsidR="007F4DD6" w:rsidRPr="00282AC9">
        <w:rPr>
          <w:rFonts w:hint="cs"/>
          <w:sz w:val="27"/>
          <w:rtl/>
          <w:lang w:bidi="fa-IR"/>
        </w:rPr>
        <w:t>ٍ</w:t>
      </w:r>
      <w:r w:rsidR="00BC0925" w:rsidRPr="00282AC9">
        <w:rPr>
          <w:rFonts w:hint="cs"/>
          <w:sz w:val="27"/>
          <w:rtl/>
          <w:lang w:bidi="fa-IR"/>
        </w:rPr>
        <w:t xml:space="preserve"> إلى </w:t>
      </w:r>
      <w:r w:rsidR="007F4DD6" w:rsidRPr="00282AC9">
        <w:rPr>
          <w:rFonts w:hint="cs"/>
          <w:sz w:val="27"/>
          <w:rtl/>
          <w:lang w:bidi="fa-IR"/>
        </w:rPr>
        <w:t>آخر.</w:t>
      </w:r>
    </w:p>
    <w:p w:rsidR="0062395A" w:rsidRPr="00282AC9" w:rsidRDefault="0062395A" w:rsidP="00495D24">
      <w:pPr>
        <w:rPr>
          <w:sz w:val="27"/>
          <w:rtl/>
          <w:lang w:bidi="fa-IR"/>
        </w:rPr>
      </w:pPr>
      <w:r w:rsidRPr="00282AC9">
        <w:rPr>
          <w:rFonts w:hint="cs"/>
          <w:sz w:val="27"/>
          <w:rtl/>
          <w:lang w:bidi="fa-IR"/>
        </w:rPr>
        <w:t>وهذا الوجه احتمله المحقّ</w:t>
      </w:r>
      <w:r w:rsidR="007F4DD6" w:rsidRPr="00282AC9">
        <w:rPr>
          <w:rFonts w:hint="cs"/>
          <w:sz w:val="27"/>
          <w:rtl/>
          <w:lang w:bidi="fa-IR"/>
        </w:rPr>
        <w:t>ِ</w:t>
      </w:r>
      <w:r w:rsidRPr="00282AC9">
        <w:rPr>
          <w:rFonts w:hint="cs"/>
          <w:sz w:val="27"/>
          <w:rtl/>
          <w:lang w:bidi="fa-IR"/>
        </w:rPr>
        <w:t>ق الإيرواني على بُع</w:t>
      </w:r>
      <w:r w:rsidR="00413C8C" w:rsidRPr="00282AC9">
        <w:rPr>
          <w:rFonts w:hint="cs"/>
          <w:sz w:val="27"/>
          <w:rtl/>
          <w:lang w:bidi="fa-IR"/>
        </w:rPr>
        <w:t>ْ</w:t>
      </w:r>
      <w:r w:rsidRPr="00282AC9">
        <w:rPr>
          <w:rFonts w:hint="cs"/>
          <w:sz w:val="27"/>
          <w:rtl/>
          <w:lang w:bidi="fa-IR"/>
        </w:rPr>
        <w:t>د</w:t>
      </w:r>
      <w:r w:rsidR="007F4DD6" w:rsidRPr="00282AC9">
        <w:rPr>
          <w:rFonts w:hint="cs"/>
          <w:sz w:val="27"/>
          <w:rtl/>
          <w:lang w:bidi="fa-IR"/>
        </w:rPr>
        <w:t>ٍ</w:t>
      </w:r>
      <w:r w:rsidRPr="00282AC9">
        <w:rPr>
          <w:rFonts w:hint="cs"/>
          <w:sz w:val="27"/>
          <w:rtl/>
          <w:lang w:bidi="fa-IR"/>
        </w:rPr>
        <w:t>، قال</w:t>
      </w:r>
      <w:r w:rsidR="009A2A04" w:rsidRPr="00282AC9">
        <w:rPr>
          <w:rFonts w:cs="Mosawi" w:hint="cs"/>
          <w:sz w:val="22"/>
          <w:szCs w:val="22"/>
          <w:rtl/>
          <w:lang w:bidi="fa-IR"/>
        </w:rPr>
        <w:t>&amp;</w:t>
      </w:r>
      <w:r w:rsidRPr="00282AC9">
        <w:rPr>
          <w:rFonts w:hint="cs"/>
          <w:sz w:val="27"/>
          <w:rtl/>
          <w:lang w:bidi="fa-IR"/>
        </w:rPr>
        <w:t xml:space="preserve">: </w:t>
      </w:r>
      <w:r w:rsidRPr="00282AC9">
        <w:rPr>
          <w:rFonts w:hint="cs"/>
          <w:sz w:val="24"/>
          <w:szCs w:val="24"/>
          <w:rtl/>
          <w:lang w:bidi="fa-IR"/>
        </w:rPr>
        <w:t>«</w:t>
      </w:r>
      <w:r w:rsidRPr="00282AC9">
        <w:rPr>
          <w:rFonts w:hint="cs"/>
          <w:sz w:val="27"/>
          <w:rtl/>
          <w:lang w:bidi="fa-IR"/>
        </w:rPr>
        <w:t>ويُحتمل بعيداً أن تكون حقيقة البيع وسائر المعاملات هو الإعراض</w:t>
      </w:r>
      <w:r w:rsidR="00F445D7" w:rsidRPr="00282AC9">
        <w:rPr>
          <w:rFonts w:hint="cs"/>
          <w:sz w:val="27"/>
          <w:rtl/>
          <w:lang w:bidi="fa-IR"/>
        </w:rPr>
        <w:t>،</w:t>
      </w:r>
      <w:r w:rsidRPr="00282AC9">
        <w:rPr>
          <w:rFonts w:hint="cs"/>
          <w:sz w:val="27"/>
          <w:rtl/>
          <w:lang w:bidi="fa-IR"/>
        </w:rPr>
        <w:t xml:space="preserve"> ثمّ المشتري يملك المبيع بالحيازة</w:t>
      </w:r>
      <w:r w:rsidR="00F445D7" w:rsidRPr="00282AC9">
        <w:rPr>
          <w:rFonts w:hint="cs"/>
          <w:sz w:val="27"/>
          <w:rtl/>
          <w:lang w:bidi="fa-IR"/>
        </w:rPr>
        <w:t>.</w:t>
      </w:r>
      <w:r w:rsidRPr="00282AC9">
        <w:rPr>
          <w:rFonts w:hint="cs"/>
          <w:sz w:val="27"/>
          <w:rtl/>
          <w:lang w:bidi="fa-IR"/>
        </w:rPr>
        <w:t xml:space="preserve"> فالسبب الوحيد للملك هو الحيازة أوّلاً وآخراً، لا سبب سواه</w:t>
      </w:r>
      <w:r w:rsidR="00F445D7" w:rsidRPr="00282AC9">
        <w:rPr>
          <w:rFonts w:hint="cs"/>
          <w:sz w:val="27"/>
          <w:rtl/>
          <w:lang w:bidi="fa-IR"/>
        </w:rPr>
        <w:t xml:space="preserve">. </w:t>
      </w:r>
      <w:r w:rsidRPr="00282AC9">
        <w:rPr>
          <w:rFonts w:hint="cs"/>
          <w:sz w:val="27"/>
          <w:rtl/>
          <w:lang w:bidi="fa-IR"/>
        </w:rPr>
        <w:t>فالبائع والمشتري يتواطآن على أن يرفع كلّ</w:t>
      </w:r>
      <w:r w:rsidR="00F445D7" w:rsidRPr="00282AC9">
        <w:rPr>
          <w:rFonts w:hint="cs"/>
          <w:sz w:val="27"/>
          <w:rtl/>
          <w:lang w:bidi="fa-IR"/>
        </w:rPr>
        <w:t>ٌ</w:t>
      </w:r>
      <w:r w:rsidRPr="00282AC9">
        <w:rPr>
          <w:rFonts w:hint="cs"/>
          <w:sz w:val="27"/>
          <w:rtl/>
          <w:lang w:bidi="fa-IR"/>
        </w:rPr>
        <w:t xml:space="preserve"> منهما يده عمّا ملكه</w:t>
      </w:r>
      <w:r w:rsidR="00F445D7" w:rsidRPr="00282AC9">
        <w:rPr>
          <w:rFonts w:hint="cs"/>
          <w:sz w:val="27"/>
          <w:rtl/>
          <w:lang w:bidi="fa-IR"/>
        </w:rPr>
        <w:t>؛</w:t>
      </w:r>
      <w:r w:rsidRPr="00282AC9">
        <w:rPr>
          <w:rFonts w:hint="cs"/>
          <w:sz w:val="27"/>
          <w:rtl/>
          <w:lang w:bidi="fa-IR"/>
        </w:rPr>
        <w:t xml:space="preserve"> ليحوزه الآخر، لا تمليك</w:t>
      </w:r>
      <w:r w:rsidR="00F445D7" w:rsidRPr="00282AC9">
        <w:rPr>
          <w:rFonts w:hint="cs"/>
          <w:sz w:val="27"/>
          <w:rtl/>
          <w:lang w:bidi="fa-IR"/>
        </w:rPr>
        <w:t>،</w:t>
      </w:r>
      <w:r w:rsidRPr="00282AC9">
        <w:rPr>
          <w:rFonts w:hint="cs"/>
          <w:sz w:val="27"/>
          <w:rtl/>
          <w:lang w:bidi="fa-IR"/>
        </w:rPr>
        <w:t xml:space="preserve"> ولا نقل، بل هو إعراض</w:t>
      </w:r>
      <w:r w:rsidR="00F445D7" w:rsidRPr="00282AC9">
        <w:rPr>
          <w:rFonts w:hint="cs"/>
          <w:sz w:val="27"/>
          <w:rtl/>
          <w:lang w:bidi="fa-IR"/>
        </w:rPr>
        <w:t>ٌ</w:t>
      </w:r>
      <w:r w:rsidRPr="00282AC9">
        <w:rPr>
          <w:rFonts w:hint="cs"/>
          <w:sz w:val="27"/>
          <w:rtl/>
          <w:lang w:bidi="fa-IR"/>
        </w:rPr>
        <w:t xml:space="preserve"> بإزاء إعراض</w:t>
      </w:r>
      <w:r w:rsidR="00F445D7" w:rsidRPr="00282AC9">
        <w:rPr>
          <w:rFonts w:hint="cs"/>
          <w:sz w:val="27"/>
          <w:rtl/>
          <w:lang w:bidi="fa-IR"/>
        </w:rPr>
        <w:t>ٍ</w:t>
      </w:r>
      <w:r w:rsidRPr="00282AC9">
        <w:rPr>
          <w:rFonts w:hint="cs"/>
          <w:sz w:val="27"/>
          <w:rtl/>
          <w:lang w:bidi="fa-IR"/>
        </w:rPr>
        <w:t>، والإعراض أيضاً جهتي</w:t>
      </w:r>
      <w:r w:rsidR="00F445D7" w:rsidRPr="00282AC9">
        <w:rPr>
          <w:rFonts w:hint="cs"/>
          <w:sz w:val="27"/>
          <w:rtl/>
          <w:lang w:bidi="fa-IR"/>
        </w:rPr>
        <w:t>ّ</w:t>
      </w:r>
      <w:r w:rsidRPr="00282AC9">
        <w:rPr>
          <w:rFonts w:hint="cs"/>
          <w:sz w:val="27"/>
          <w:rtl/>
          <w:lang w:bidi="fa-IR"/>
        </w:rPr>
        <w:t>، فكلّ</w:t>
      </w:r>
      <w:r w:rsidR="00F445D7" w:rsidRPr="00282AC9">
        <w:rPr>
          <w:rFonts w:hint="cs"/>
          <w:sz w:val="27"/>
          <w:rtl/>
          <w:lang w:bidi="fa-IR"/>
        </w:rPr>
        <w:t>ُ</w:t>
      </w:r>
      <w:r w:rsidRPr="00282AC9">
        <w:rPr>
          <w:rFonts w:hint="cs"/>
          <w:sz w:val="27"/>
          <w:rtl/>
          <w:lang w:bidi="fa-IR"/>
        </w:rPr>
        <w:t xml:space="preserve"> مُعرِض</w:t>
      </w:r>
      <w:r w:rsidR="00F445D7" w:rsidRPr="00282AC9">
        <w:rPr>
          <w:rFonts w:hint="cs"/>
          <w:sz w:val="27"/>
          <w:rtl/>
          <w:lang w:bidi="fa-IR"/>
        </w:rPr>
        <w:t>ٍ</w:t>
      </w:r>
      <w:r w:rsidRPr="00282AC9">
        <w:rPr>
          <w:rFonts w:hint="cs"/>
          <w:sz w:val="27"/>
          <w:rtl/>
          <w:lang w:bidi="fa-IR"/>
        </w:rPr>
        <w:t xml:space="preserve"> رافع</w:t>
      </w:r>
      <w:r w:rsidR="00F445D7" w:rsidRPr="00282AC9">
        <w:rPr>
          <w:rFonts w:hint="cs"/>
          <w:sz w:val="27"/>
          <w:rtl/>
          <w:lang w:bidi="fa-IR"/>
        </w:rPr>
        <w:t>ٌ</w:t>
      </w:r>
      <w:r w:rsidRPr="00282AC9">
        <w:rPr>
          <w:rFonts w:hint="cs"/>
          <w:sz w:val="27"/>
          <w:rtl/>
          <w:lang w:bidi="fa-IR"/>
        </w:rPr>
        <w:t xml:space="preserve"> لليد من جهة صاحبه، لا من كلّ الجهات</w:t>
      </w:r>
      <w:r w:rsidR="00F445D7" w:rsidRPr="00282AC9">
        <w:rPr>
          <w:rFonts w:hint="cs"/>
          <w:sz w:val="27"/>
          <w:rtl/>
          <w:lang w:bidi="fa-IR"/>
        </w:rPr>
        <w:t>.</w:t>
      </w:r>
      <w:r w:rsidRPr="00282AC9">
        <w:rPr>
          <w:rFonts w:hint="cs"/>
          <w:sz w:val="27"/>
          <w:rtl/>
          <w:lang w:bidi="fa-IR"/>
        </w:rPr>
        <w:t xml:space="preserve"> فلو أراد غير صاحبه الاستيلاء على العين لمنعه وزاحمه، فكلّ</w:t>
      </w:r>
      <w:r w:rsidR="00F445D7" w:rsidRPr="00282AC9">
        <w:rPr>
          <w:rFonts w:hint="cs"/>
          <w:sz w:val="27"/>
          <w:rtl/>
          <w:lang w:bidi="fa-IR"/>
        </w:rPr>
        <w:t>ٌ</w:t>
      </w:r>
      <w:r w:rsidRPr="00282AC9">
        <w:rPr>
          <w:rFonts w:hint="cs"/>
          <w:sz w:val="27"/>
          <w:rtl/>
          <w:lang w:bidi="fa-IR"/>
        </w:rPr>
        <w:t xml:space="preserve"> رافع لليد لأجل صاحبه</w:t>
      </w:r>
      <w:r w:rsidR="00F445D7" w:rsidRPr="00282AC9">
        <w:rPr>
          <w:rFonts w:hint="cs"/>
          <w:sz w:val="27"/>
          <w:rtl/>
          <w:lang w:bidi="fa-IR"/>
        </w:rPr>
        <w:t>،</w:t>
      </w:r>
      <w:r w:rsidRPr="00282AC9">
        <w:rPr>
          <w:rFonts w:hint="cs"/>
          <w:sz w:val="27"/>
          <w:rtl/>
          <w:lang w:bidi="fa-IR"/>
        </w:rPr>
        <w:t xml:space="preserve"> وغير مزاحم لصاحبه</w:t>
      </w:r>
      <w:r w:rsidR="00F445D7" w:rsidRPr="00282AC9">
        <w:rPr>
          <w:rFonts w:hint="cs"/>
          <w:sz w:val="27"/>
          <w:rtl/>
          <w:lang w:bidi="fa-IR"/>
        </w:rPr>
        <w:t>،</w:t>
      </w:r>
      <w:r w:rsidRPr="00282AC9">
        <w:rPr>
          <w:rFonts w:hint="cs"/>
          <w:sz w:val="27"/>
          <w:rtl/>
          <w:lang w:bidi="fa-IR"/>
        </w:rPr>
        <w:t xml:space="preserve"> بإزاء رفع صاحبه لليد</w:t>
      </w:r>
      <w:r w:rsidR="00F445D7" w:rsidRPr="00282AC9">
        <w:rPr>
          <w:rFonts w:hint="cs"/>
          <w:sz w:val="27"/>
          <w:rtl/>
          <w:lang w:bidi="fa-IR"/>
        </w:rPr>
        <w:t>،</w:t>
      </w:r>
      <w:r w:rsidRPr="00282AC9">
        <w:rPr>
          <w:rFonts w:hint="cs"/>
          <w:sz w:val="27"/>
          <w:rtl/>
          <w:lang w:bidi="fa-IR"/>
        </w:rPr>
        <w:t xml:space="preserve"> وتركه لمزاحمته ثمّ كلّ</w:t>
      </w:r>
      <w:r w:rsidR="00F445D7" w:rsidRPr="00282AC9">
        <w:rPr>
          <w:rFonts w:hint="cs"/>
          <w:sz w:val="27"/>
          <w:rtl/>
          <w:lang w:bidi="fa-IR"/>
        </w:rPr>
        <w:t>ٌ</w:t>
      </w:r>
      <w:r w:rsidRPr="00282AC9">
        <w:rPr>
          <w:rFonts w:hint="cs"/>
          <w:sz w:val="27"/>
          <w:rtl/>
          <w:lang w:bidi="fa-IR"/>
        </w:rPr>
        <w:t xml:space="preserve"> يستولي على العين</w:t>
      </w:r>
      <w:r w:rsidR="00F445D7" w:rsidRPr="00282AC9">
        <w:rPr>
          <w:rFonts w:hint="cs"/>
          <w:sz w:val="27"/>
          <w:rtl/>
          <w:lang w:bidi="fa-IR"/>
        </w:rPr>
        <w:t>،</w:t>
      </w:r>
      <w:r w:rsidRPr="00282AC9">
        <w:rPr>
          <w:rFonts w:hint="cs"/>
          <w:sz w:val="27"/>
          <w:rtl/>
          <w:lang w:bidi="fa-IR"/>
        </w:rPr>
        <w:t xml:space="preserve"> ويملك العين بحيازته، فلا سبب مملِّك</w:t>
      </w:r>
      <w:r w:rsidR="00F445D7" w:rsidRPr="00282AC9">
        <w:rPr>
          <w:rFonts w:hint="cs"/>
          <w:sz w:val="27"/>
          <w:rtl/>
          <w:lang w:bidi="fa-IR"/>
        </w:rPr>
        <w:t>اً</w:t>
      </w:r>
      <w:r w:rsidRPr="00282AC9">
        <w:rPr>
          <w:rFonts w:hint="cs"/>
          <w:sz w:val="27"/>
          <w:rtl/>
          <w:lang w:bidi="fa-IR"/>
        </w:rPr>
        <w:t xml:space="preserve"> سوى الحيازة</w:t>
      </w:r>
      <w:r w:rsidR="00F445D7" w:rsidRPr="00282AC9">
        <w:rPr>
          <w:rFonts w:hint="cs"/>
          <w:sz w:val="27"/>
          <w:rtl/>
          <w:lang w:bidi="fa-IR"/>
        </w:rPr>
        <w:t>،</w:t>
      </w:r>
      <w:r w:rsidRPr="00282AC9">
        <w:rPr>
          <w:rFonts w:hint="cs"/>
          <w:sz w:val="27"/>
          <w:rtl/>
          <w:lang w:bidi="fa-IR"/>
        </w:rPr>
        <w:t xml:space="preserve"> بلا قبول الم</w:t>
      </w:r>
      <w:r w:rsidR="00F445D7" w:rsidRPr="00282AC9">
        <w:rPr>
          <w:rFonts w:hint="cs"/>
          <w:sz w:val="27"/>
          <w:rtl/>
          <w:lang w:bidi="fa-IR"/>
        </w:rPr>
        <w:t>ِ</w:t>
      </w:r>
      <w:r w:rsidRPr="00282AC9">
        <w:rPr>
          <w:rFonts w:hint="cs"/>
          <w:sz w:val="27"/>
          <w:rtl/>
          <w:lang w:bidi="fa-IR"/>
        </w:rPr>
        <w:t>ل</w:t>
      </w:r>
      <w:r w:rsidR="00F445D7" w:rsidRPr="00282AC9">
        <w:rPr>
          <w:rFonts w:hint="cs"/>
          <w:sz w:val="27"/>
          <w:rtl/>
          <w:lang w:bidi="fa-IR"/>
        </w:rPr>
        <w:t>ْ</w:t>
      </w:r>
      <w:r w:rsidRPr="00282AC9">
        <w:rPr>
          <w:rFonts w:hint="cs"/>
          <w:sz w:val="27"/>
          <w:rtl/>
          <w:lang w:bidi="fa-IR"/>
        </w:rPr>
        <w:t>ك للنقل من مالك</w:t>
      </w:r>
      <w:r w:rsidR="00F445D7" w:rsidRPr="00282AC9">
        <w:rPr>
          <w:rFonts w:hint="cs"/>
          <w:sz w:val="27"/>
          <w:rtl/>
          <w:lang w:bidi="fa-IR"/>
        </w:rPr>
        <w:t>ٍ</w:t>
      </w:r>
      <w:r w:rsidR="00BC0925" w:rsidRPr="00282AC9">
        <w:rPr>
          <w:rFonts w:hint="cs"/>
          <w:sz w:val="27"/>
          <w:rtl/>
          <w:lang w:bidi="fa-IR"/>
        </w:rPr>
        <w:t xml:space="preserve"> إلى </w:t>
      </w:r>
      <w:r w:rsidRPr="00282AC9">
        <w:rPr>
          <w:rFonts w:hint="cs"/>
          <w:sz w:val="27"/>
          <w:rtl/>
          <w:lang w:bidi="fa-IR"/>
        </w:rPr>
        <w:t>آخر</w:t>
      </w:r>
      <w:r w:rsidRPr="00282AC9">
        <w:rPr>
          <w:rFonts w:hint="cs"/>
          <w:sz w:val="24"/>
          <w:szCs w:val="24"/>
          <w:rtl/>
          <w:lang w:bidi="fa-IR"/>
        </w:rPr>
        <w:t>»</w:t>
      </w:r>
      <w:r w:rsidRPr="00282AC9">
        <w:rPr>
          <w:sz w:val="27"/>
          <w:vertAlign w:val="superscript"/>
          <w:rtl/>
        </w:rPr>
        <w:t>(</w:t>
      </w:r>
      <w:r w:rsidRPr="00282AC9">
        <w:rPr>
          <w:sz w:val="27"/>
          <w:vertAlign w:val="superscript"/>
          <w:rtl/>
        </w:rPr>
        <w:endnoteReference w:id="970"/>
      </w:r>
      <w:r w:rsidRPr="00282AC9">
        <w:rPr>
          <w:rFonts w:hint="cs"/>
          <w:sz w:val="27"/>
          <w:vertAlign w:val="superscript"/>
          <w:rtl/>
        </w:rPr>
        <w:t>)</w:t>
      </w:r>
      <w:r w:rsidRPr="00282AC9">
        <w:rPr>
          <w:rFonts w:hint="cs"/>
          <w:sz w:val="27"/>
          <w:rtl/>
        </w:rPr>
        <w:t>.</w:t>
      </w:r>
    </w:p>
    <w:p w:rsidR="00495D24" w:rsidRPr="00282AC9" w:rsidRDefault="00495D24" w:rsidP="00495D24">
      <w:pPr>
        <w:spacing w:line="420" w:lineRule="exact"/>
        <w:rPr>
          <w:sz w:val="27"/>
          <w:rtl/>
        </w:rPr>
      </w:pPr>
    </w:p>
    <w:p w:rsidR="0062395A" w:rsidRPr="00282AC9" w:rsidRDefault="00D97AC1" w:rsidP="00715FC8">
      <w:pPr>
        <w:pStyle w:val="31"/>
        <w:rPr>
          <w:color w:val="auto"/>
          <w:rtl/>
          <w:lang w:bidi="fa-IR"/>
        </w:rPr>
      </w:pPr>
      <w:r w:rsidRPr="00282AC9">
        <w:rPr>
          <w:rFonts w:hint="cs"/>
          <w:color w:val="auto"/>
          <w:rtl/>
          <w:lang w:bidi="fa-IR"/>
        </w:rPr>
        <w:t>أ</w:t>
      </w:r>
      <w:r w:rsidR="00DA7E98" w:rsidRPr="00282AC9">
        <w:rPr>
          <w:rFonts w:hint="cs"/>
          <w:color w:val="auto"/>
          <w:rtl/>
          <w:lang w:bidi="fa-IR"/>
        </w:rPr>
        <w:t>جوبةٌ</w:t>
      </w:r>
      <w:r w:rsidRPr="00282AC9">
        <w:rPr>
          <w:rFonts w:hint="cs"/>
          <w:color w:val="auto"/>
          <w:rtl/>
          <w:lang w:bidi="fa-IR"/>
        </w:rPr>
        <w:t xml:space="preserve"> وشواهد</w:t>
      </w:r>
    </w:p>
    <w:p w:rsidR="0062395A" w:rsidRPr="00282AC9" w:rsidRDefault="0062395A" w:rsidP="00495D24">
      <w:pPr>
        <w:rPr>
          <w:sz w:val="27"/>
          <w:rtl/>
          <w:lang w:bidi="fa-IR"/>
        </w:rPr>
      </w:pPr>
      <w:r w:rsidRPr="00282AC9">
        <w:rPr>
          <w:rFonts w:hint="cs"/>
          <w:sz w:val="27"/>
          <w:rtl/>
        </w:rPr>
        <w:t>1ـ قد أُجيب بأنّ الظاهر من حال المتعاملين في المعاملات خلافه</w:t>
      </w:r>
      <w:r w:rsidR="00F445D7" w:rsidRPr="00282AC9">
        <w:rPr>
          <w:rFonts w:hint="cs"/>
          <w:sz w:val="27"/>
          <w:rtl/>
        </w:rPr>
        <w:t>؛ فإنّ كلاًّ</w:t>
      </w:r>
      <w:r w:rsidRPr="00282AC9">
        <w:rPr>
          <w:rFonts w:hint="cs"/>
          <w:sz w:val="27"/>
          <w:rtl/>
        </w:rPr>
        <w:t xml:space="preserve"> منهما يملِّك الآخر، لا أنّه يرفع اليد عمّا يملكه بالحيازة والاستيلاء</w:t>
      </w:r>
      <w:r w:rsidR="00F445D7" w:rsidRPr="00282AC9">
        <w:rPr>
          <w:rFonts w:hint="cs"/>
          <w:sz w:val="27"/>
          <w:rtl/>
        </w:rPr>
        <w:t>،</w:t>
      </w:r>
      <w:r w:rsidRPr="00282AC9">
        <w:rPr>
          <w:rFonts w:hint="cs"/>
          <w:sz w:val="27"/>
          <w:rtl/>
        </w:rPr>
        <w:t xml:space="preserve"> بعد أن التحق المال بالمُباحات</w:t>
      </w:r>
      <w:r w:rsidR="00F445D7" w:rsidRPr="00282AC9">
        <w:rPr>
          <w:rFonts w:hint="cs"/>
          <w:sz w:val="27"/>
          <w:rtl/>
        </w:rPr>
        <w:t>،</w:t>
      </w:r>
      <w:r w:rsidRPr="00282AC9">
        <w:rPr>
          <w:rFonts w:hint="cs"/>
          <w:sz w:val="27"/>
          <w:rtl/>
        </w:rPr>
        <w:t xml:space="preserve"> بإعراض المالك الأوّل عنه</w:t>
      </w:r>
      <w:r w:rsidR="00F445D7" w:rsidRPr="00282AC9">
        <w:rPr>
          <w:rFonts w:hint="cs"/>
          <w:sz w:val="27"/>
          <w:rtl/>
        </w:rPr>
        <w:t>،</w:t>
      </w:r>
      <w:r w:rsidRPr="00282AC9">
        <w:rPr>
          <w:rFonts w:hint="cs"/>
          <w:sz w:val="27"/>
          <w:rtl/>
        </w:rPr>
        <w:t xml:space="preserve"> ورفعه لليد عنه</w:t>
      </w:r>
      <w:r w:rsidRPr="00282AC9">
        <w:rPr>
          <w:sz w:val="27"/>
          <w:vertAlign w:val="superscript"/>
          <w:rtl/>
        </w:rPr>
        <w:t>(</w:t>
      </w:r>
      <w:r w:rsidRPr="00282AC9">
        <w:rPr>
          <w:sz w:val="27"/>
          <w:vertAlign w:val="superscript"/>
          <w:rtl/>
        </w:rPr>
        <w:endnoteReference w:id="971"/>
      </w:r>
      <w:r w:rsidRPr="00282AC9">
        <w:rPr>
          <w:rFonts w:hint="cs"/>
          <w:sz w:val="27"/>
          <w:vertAlign w:val="superscript"/>
          <w:rtl/>
        </w:rPr>
        <w:t>)</w:t>
      </w:r>
      <w:r w:rsidRPr="00282AC9">
        <w:rPr>
          <w:rFonts w:hint="cs"/>
          <w:sz w:val="27"/>
          <w:rtl/>
        </w:rPr>
        <w:t>.</w:t>
      </w:r>
    </w:p>
    <w:p w:rsidR="0062395A" w:rsidRPr="00282AC9" w:rsidRDefault="0062395A" w:rsidP="00495D24">
      <w:pPr>
        <w:rPr>
          <w:sz w:val="27"/>
          <w:rtl/>
          <w:lang w:bidi="fa-IR"/>
        </w:rPr>
      </w:pPr>
      <w:r w:rsidRPr="00282AC9">
        <w:rPr>
          <w:rFonts w:hint="cs"/>
          <w:sz w:val="27"/>
          <w:rtl/>
          <w:lang w:bidi="fa-IR"/>
        </w:rPr>
        <w:t>أقول: الظاهر أنّ الملحوظ في هذا الجواب كون ما قصده المتعاملان كشخصين خارجاً هو التمليك، لا الإعراض.</w:t>
      </w:r>
    </w:p>
    <w:p w:rsidR="0062395A" w:rsidRPr="00282AC9" w:rsidRDefault="0062395A" w:rsidP="00495D24">
      <w:pPr>
        <w:rPr>
          <w:sz w:val="27"/>
          <w:rtl/>
          <w:lang w:bidi="fa-IR"/>
        </w:rPr>
      </w:pPr>
      <w:r w:rsidRPr="00282AC9">
        <w:rPr>
          <w:rFonts w:hint="cs"/>
          <w:sz w:val="27"/>
          <w:rtl/>
        </w:rPr>
        <w:t>2ـ إنّ فرضية إرجاع المعاملات</w:t>
      </w:r>
      <w:r w:rsidR="00BC0925" w:rsidRPr="00282AC9">
        <w:rPr>
          <w:rFonts w:hint="cs"/>
          <w:sz w:val="27"/>
          <w:rtl/>
        </w:rPr>
        <w:t xml:space="preserve"> إلى </w:t>
      </w:r>
      <w:r w:rsidRPr="00282AC9">
        <w:rPr>
          <w:rFonts w:hint="cs"/>
          <w:sz w:val="27"/>
          <w:rtl/>
        </w:rPr>
        <w:t>الحيازة</w:t>
      </w:r>
      <w:r w:rsidR="00AB0373" w:rsidRPr="00282AC9">
        <w:rPr>
          <w:rFonts w:hint="cs"/>
          <w:sz w:val="27"/>
          <w:rtl/>
        </w:rPr>
        <w:t xml:space="preserve">، </w:t>
      </w:r>
      <w:r w:rsidRPr="00282AC9">
        <w:rPr>
          <w:rFonts w:hint="cs"/>
          <w:sz w:val="27"/>
          <w:rtl/>
        </w:rPr>
        <w:t>على الرغم من كونها معقولة</w:t>
      </w:r>
      <w:r w:rsidR="00AB0373" w:rsidRPr="00282AC9">
        <w:rPr>
          <w:rFonts w:hint="cs"/>
          <w:sz w:val="27"/>
          <w:rtl/>
        </w:rPr>
        <w:t>ً</w:t>
      </w:r>
      <w:r w:rsidRPr="00282AC9">
        <w:rPr>
          <w:rFonts w:hint="cs"/>
          <w:sz w:val="27"/>
          <w:rtl/>
        </w:rPr>
        <w:t xml:space="preserve"> ثبوتاً</w:t>
      </w:r>
      <w:r w:rsidR="00AB0373" w:rsidRPr="00282AC9">
        <w:rPr>
          <w:rFonts w:hint="cs"/>
          <w:sz w:val="27"/>
          <w:rtl/>
        </w:rPr>
        <w:t>،</w:t>
      </w:r>
      <w:r w:rsidRPr="00282AC9">
        <w:rPr>
          <w:rFonts w:hint="cs"/>
          <w:sz w:val="27"/>
          <w:rtl/>
        </w:rPr>
        <w:t xml:space="preserve"> إلا أنّها خلاف الارتكاز العقلائي العامّ؛ فإنّه قائم</w:t>
      </w:r>
      <w:r w:rsidR="00AB0373" w:rsidRPr="00282AC9">
        <w:rPr>
          <w:rFonts w:hint="cs"/>
          <w:sz w:val="27"/>
          <w:rtl/>
        </w:rPr>
        <w:t>ٌ</w:t>
      </w:r>
      <w:r w:rsidRPr="00282AC9">
        <w:rPr>
          <w:rFonts w:hint="cs"/>
          <w:sz w:val="27"/>
          <w:rtl/>
        </w:rPr>
        <w:t xml:space="preserve"> في المعاملات على المبادلة بين الأموال والأعراض، لا المبادلة بين إعراض</w:t>
      </w:r>
      <w:r w:rsidR="00AB0373" w:rsidRPr="00282AC9">
        <w:rPr>
          <w:rFonts w:hint="cs"/>
          <w:sz w:val="27"/>
          <w:rtl/>
        </w:rPr>
        <w:t>ٍ</w:t>
      </w:r>
      <w:r w:rsidRPr="00282AC9">
        <w:rPr>
          <w:rFonts w:hint="cs"/>
          <w:sz w:val="27"/>
          <w:rtl/>
        </w:rPr>
        <w:t xml:space="preserve"> وإعراض</w:t>
      </w:r>
      <w:r w:rsidR="00AB0373" w:rsidRPr="00282AC9">
        <w:rPr>
          <w:rFonts w:hint="cs"/>
          <w:sz w:val="27"/>
          <w:rtl/>
        </w:rPr>
        <w:t>ٍ.</w:t>
      </w:r>
      <w:r w:rsidRPr="00282AC9">
        <w:rPr>
          <w:rFonts w:hint="cs"/>
          <w:sz w:val="27"/>
          <w:rtl/>
        </w:rPr>
        <w:t xml:space="preserve"> وهذا أمر</w:t>
      </w:r>
      <w:r w:rsidR="00AB0373" w:rsidRPr="00282AC9">
        <w:rPr>
          <w:rFonts w:hint="cs"/>
          <w:sz w:val="27"/>
          <w:rtl/>
        </w:rPr>
        <w:t>ٌ ن</w:t>
      </w:r>
      <w:r w:rsidRPr="00282AC9">
        <w:rPr>
          <w:rFonts w:hint="cs"/>
          <w:sz w:val="27"/>
          <w:rtl/>
        </w:rPr>
        <w:t xml:space="preserve">دركه بوجداننا </w:t>
      </w:r>
      <w:r w:rsidRPr="00282AC9">
        <w:rPr>
          <w:rFonts w:hint="cs"/>
          <w:sz w:val="27"/>
          <w:rtl/>
        </w:rPr>
        <w:lastRenderedPageBreak/>
        <w:t>العُر</w:t>
      </w:r>
      <w:r w:rsidR="00AB0373" w:rsidRPr="00282AC9">
        <w:rPr>
          <w:rFonts w:hint="cs"/>
          <w:sz w:val="27"/>
          <w:rtl/>
        </w:rPr>
        <w:t>ْ</w:t>
      </w:r>
      <w:r w:rsidRPr="00282AC9">
        <w:rPr>
          <w:rFonts w:hint="cs"/>
          <w:sz w:val="27"/>
          <w:rtl/>
        </w:rPr>
        <w:t>في.</w:t>
      </w:r>
    </w:p>
    <w:p w:rsidR="0062395A" w:rsidRPr="00282AC9" w:rsidRDefault="0062395A" w:rsidP="00495D24">
      <w:pPr>
        <w:rPr>
          <w:sz w:val="27"/>
          <w:rtl/>
          <w:lang w:bidi="fa-IR"/>
        </w:rPr>
      </w:pPr>
      <w:r w:rsidRPr="00282AC9">
        <w:rPr>
          <w:rFonts w:hint="cs"/>
          <w:b/>
          <w:bCs/>
          <w:sz w:val="27"/>
          <w:rtl/>
          <w:lang w:bidi="fa-IR"/>
        </w:rPr>
        <w:t>ويشهد له</w:t>
      </w:r>
      <w:r w:rsidRPr="00282AC9">
        <w:rPr>
          <w:rFonts w:hint="cs"/>
          <w:sz w:val="27"/>
          <w:rtl/>
          <w:lang w:bidi="fa-IR"/>
        </w:rPr>
        <w:t>:</w:t>
      </w:r>
    </w:p>
    <w:p w:rsidR="0062395A" w:rsidRPr="00282AC9" w:rsidRDefault="0062395A" w:rsidP="00495D24">
      <w:pPr>
        <w:rPr>
          <w:sz w:val="27"/>
          <w:rtl/>
          <w:lang w:bidi="fa-IR"/>
        </w:rPr>
      </w:pPr>
      <w:r w:rsidRPr="00282AC9">
        <w:rPr>
          <w:rFonts w:hint="cs"/>
          <w:b/>
          <w:bCs/>
          <w:sz w:val="27"/>
          <w:rtl/>
          <w:lang w:bidi="fa-IR"/>
        </w:rPr>
        <w:t>أوّلاً</w:t>
      </w:r>
      <w:r w:rsidRPr="00282AC9">
        <w:rPr>
          <w:rFonts w:hint="cs"/>
          <w:sz w:val="27"/>
          <w:rtl/>
          <w:lang w:bidi="fa-IR"/>
        </w:rPr>
        <w:t>: تخصيص العقلاء كلّ معاملة</w:t>
      </w:r>
      <w:r w:rsidR="00AB0373" w:rsidRPr="00282AC9">
        <w:rPr>
          <w:rFonts w:hint="cs"/>
          <w:sz w:val="27"/>
          <w:rtl/>
          <w:lang w:bidi="fa-IR"/>
        </w:rPr>
        <w:t>ٍ</w:t>
      </w:r>
      <w:r w:rsidRPr="00282AC9">
        <w:rPr>
          <w:rFonts w:hint="cs"/>
          <w:sz w:val="27"/>
          <w:rtl/>
          <w:lang w:bidi="fa-IR"/>
        </w:rPr>
        <w:t xml:space="preserve"> باسم</w:t>
      </w:r>
      <w:r w:rsidR="00AB0373" w:rsidRPr="00282AC9">
        <w:rPr>
          <w:rFonts w:hint="cs"/>
          <w:sz w:val="27"/>
          <w:rtl/>
          <w:lang w:bidi="fa-IR"/>
        </w:rPr>
        <w:t>ٍ</w:t>
      </w:r>
      <w:r w:rsidRPr="00282AC9">
        <w:rPr>
          <w:rFonts w:hint="cs"/>
          <w:sz w:val="27"/>
          <w:rtl/>
          <w:lang w:bidi="fa-IR"/>
        </w:rPr>
        <w:t xml:space="preserve"> وعنوان</w:t>
      </w:r>
      <w:r w:rsidR="00AB0373" w:rsidRPr="00282AC9">
        <w:rPr>
          <w:rFonts w:hint="cs"/>
          <w:sz w:val="27"/>
          <w:rtl/>
          <w:lang w:bidi="fa-IR"/>
        </w:rPr>
        <w:t>ٍ</w:t>
      </w:r>
      <w:r w:rsidRPr="00282AC9">
        <w:rPr>
          <w:rFonts w:hint="cs"/>
          <w:sz w:val="27"/>
          <w:rtl/>
          <w:lang w:bidi="fa-IR"/>
        </w:rPr>
        <w:t xml:space="preserve"> خاصّ بها</w:t>
      </w:r>
      <w:r w:rsidR="00AB0373" w:rsidRPr="00282AC9">
        <w:rPr>
          <w:rFonts w:hint="cs"/>
          <w:sz w:val="27"/>
          <w:rtl/>
          <w:lang w:bidi="fa-IR"/>
        </w:rPr>
        <w:t>.</w:t>
      </w:r>
      <w:r w:rsidRPr="00282AC9">
        <w:rPr>
          <w:rFonts w:hint="cs"/>
          <w:sz w:val="27"/>
          <w:rtl/>
          <w:lang w:bidi="fa-IR"/>
        </w:rPr>
        <w:t xml:space="preserve"> وفيما لو أرادوا أحياناً المعاملة على الإعراض فإنّهم يُنشئون إنشاءً خاصّاً يُفيدها، ولما اكتفوا بأسامي المعاملات المتعارفة والمتداولة.</w:t>
      </w:r>
    </w:p>
    <w:p w:rsidR="0062395A" w:rsidRPr="00282AC9" w:rsidRDefault="0062395A" w:rsidP="00495D24">
      <w:pPr>
        <w:rPr>
          <w:sz w:val="27"/>
          <w:rtl/>
          <w:lang w:bidi="fa-IR"/>
        </w:rPr>
      </w:pPr>
      <w:r w:rsidRPr="00282AC9">
        <w:rPr>
          <w:rFonts w:hint="cs"/>
          <w:b/>
          <w:bCs/>
          <w:sz w:val="27"/>
          <w:rtl/>
          <w:lang w:bidi="fa-IR"/>
        </w:rPr>
        <w:t>ثانياً</w:t>
      </w:r>
      <w:r w:rsidRPr="00282AC9">
        <w:rPr>
          <w:rFonts w:hint="cs"/>
          <w:sz w:val="27"/>
          <w:rtl/>
          <w:lang w:bidi="fa-IR"/>
        </w:rPr>
        <w:t>: كما يشهد له أيضاً قياس المعاملات المالية بغيرها</w:t>
      </w:r>
      <w:r w:rsidR="00AB0373" w:rsidRPr="00282AC9">
        <w:rPr>
          <w:rFonts w:hint="cs"/>
          <w:sz w:val="27"/>
          <w:rtl/>
          <w:lang w:bidi="fa-IR"/>
        </w:rPr>
        <w:t>،</w:t>
      </w:r>
      <w:r w:rsidRPr="00282AC9">
        <w:rPr>
          <w:rFonts w:hint="cs"/>
          <w:sz w:val="27"/>
          <w:rtl/>
          <w:lang w:bidi="fa-IR"/>
        </w:rPr>
        <w:t xml:space="preserve"> كعقد الهُد</w:t>
      </w:r>
      <w:r w:rsidR="00AB0373" w:rsidRPr="00282AC9">
        <w:rPr>
          <w:rFonts w:hint="cs"/>
          <w:sz w:val="27"/>
          <w:rtl/>
          <w:lang w:bidi="fa-IR"/>
        </w:rPr>
        <w:t>ْ</w:t>
      </w:r>
      <w:r w:rsidRPr="00282AC9">
        <w:rPr>
          <w:rFonts w:hint="cs"/>
          <w:sz w:val="27"/>
          <w:rtl/>
          <w:lang w:bidi="fa-IR"/>
        </w:rPr>
        <w:t>نة الذي هو عقد</w:t>
      </w:r>
      <w:r w:rsidR="00AB0373" w:rsidRPr="00282AC9">
        <w:rPr>
          <w:rFonts w:hint="cs"/>
          <w:sz w:val="27"/>
          <w:rtl/>
          <w:lang w:bidi="fa-IR"/>
        </w:rPr>
        <w:t>ٌ</w:t>
      </w:r>
      <w:r w:rsidRPr="00282AC9">
        <w:rPr>
          <w:rFonts w:hint="cs"/>
          <w:sz w:val="27"/>
          <w:rtl/>
          <w:lang w:bidi="fa-IR"/>
        </w:rPr>
        <w:t xml:space="preserve"> سياسي</w:t>
      </w:r>
      <w:r w:rsidR="00AB0373" w:rsidRPr="00282AC9">
        <w:rPr>
          <w:rFonts w:hint="cs"/>
          <w:sz w:val="27"/>
          <w:rtl/>
          <w:lang w:bidi="fa-IR"/>
        </w:rPr>
        <w:t>ّ</w:t>
      </w:r>
      <w:r w:rsidRPr="00282AC9">
        <w:rPr>
          <w:rFonts w:hint="cs"/>
          <w:sz w:val="27"/>
          <w:rtl/>
          <w:lang w:bidi="fa-IR"/>
        </w:rPr>
        <w:t>، وعقد الصلح الذي هو عقد</w:t>
      </w:r>
      <w:r w:rsidR="00AB0373" w:rsidRPr="00282AC9">
        <w:rPr>
          <w:rFonts w:hint="cs"/>
          <w:sz w:val="27"/>
          <w:rtl/>
          <w:lang w:bidi="fa-IR"/>
        </w:rPr>
        <w:t>ٌ</w:t>
      </w:r>
      <w:r w:rsidRPr="00282AC9">
        <w:rPr>
          <w:rFonts w:hint="cs"/>
          <w:sz w:val="27"/>
          <w:rtl/>
          <w:lang w:bidi="fa-IR"/>
        </w:rPr>
        <w:t xml:space="preserve"> اجتماعي، وعقد الاستئمان الذي هو عقد</w:t>
      </w:r>
      <w:r w:rsidR="00AB0373" w:rsidRPr="00282AC9">
        <w:rPr>
          <w:rFonts w:hint="cs"/>
          <w:sz w:val="27"/>
          <w:rtl/>
          <w:lang w:bidi="fa-IR"/>
        </w:rPr>
        <w:t>ٌ</w:t>
      </w:r>
      <w:r w:rsidRPr="00282AC9">
        <w:rPr>
          <w:rFonts w:hint="cs"/>
          <w:sz w:val="27"/>
          <w:rtl/>
          <w:lang w:bidi="fa-IR"/>
        </w:rPr>
        <w:t xml:space="preserve"> أمني، وكعقد النكاح الذي هو عقد</w:t>
      </w:r>
      <w:r w:rsidR="00AB0373" w:rsidRPr="00282AC9">
        <w:rPr>
          <w:rFonts w:hint="cs"/>
          <w:sz w:val="27"/>
          <w:rtl/>
          <w:lang w:bidi="fa-IR"/>
        </w:rPr>
        <w:t>ٌ</w:t>
      </w:r>
      <w:r w:rsidRPr="00282AC9">
        <w:rPr>
          <w:rFonts w:hint="cs"/>
          <w:sz w:val="27"/>
          <w:rtl/>
          <w:lang w:bidi="fa-IR"/>
        </w:rPr>
        <w:t xml:space="preserve"> اجتماعي وإنساني</w:t>
      </w:r>
      <w:r w:rsidR="00AB0373" w:rsidRPr="00282AC9">
        <w:rPr>
          <w:rFonts w:hint="cs"/>
          <w:sz w:val="27"/>
          <w:rtl/>
          <w:lang w:bidi="fa-IR"/>
        </w:rPr>
        <w:t>،</w:t>
      </w:r>
      <w:r w:rsidRPr="00282AC9">
        <w:rPr>
          <w:rFonts w:hint="cs"/>
          <w:sz w:val="27"/>
          <w:rtl/>
          <w:lang w:bidi="fa-IR"/>
        </w:rPr>
        <w:t xml:space="preserve"> وليس معاوضة على البضع ـ أي الاستمتاع الجنسي ـ في مقابل الصداق</w:t>
      </w:r>
      <w:r w:rsidR="00AB0373" w:rsidRPr="00282AC9">
        <w:rPr>
          <w:rFonts w:hint="cs"/>
          <w:sz w:val="27"/>
          <w:rtl/>
          <w:lang w:bidi="fa-IR"/>
        </w:rPr>
        <w:t>،</w:t>
      </w:r>
      <w:r w:rsidRPr="00282AC9">
        <w:rPr>
          <w:rFonts w:hint="cs"/>
          <w:sz w:val="27"/>
          <w:rtl/>
          <w:lang w:bidi="fa-IR"/>
        </w:rPr>
        <w:t xml:space="preserve"> كما يُقال عادة</w:t>
      </w:r>
      <w:r w:rsidR="00AB0373" w:rsidRPr="00282AC9">
        <w:rPr>
          <w:rFonts w:hint="cs"/>
          <w:sz w:val="27"/>
          <w:rtl/>
          <w:lang w:bidi="fa-IR"/>
        </w:rPr>
        <w:t>ً</w:t>
      </w:r>
      <w:r w:rsidRPr="00282AC9">
        <w:rPr>
          <w:rFonts w:hint="cs"/>
          <w:sz w:val="27"/>
          <w:rtl/>
          <w:lang w:bidi="fa-IR"/>
        </w:rPr>
        <w:t xml:space="preserve">؛ إذ </w:t>
      </w:r>
      <w:r w:rsidR="00AB0373" w:rsidRPr="00282AC9">
        <w:rPr>
          <w:rFonts w:hint="cs"/>
          <w:sz w:val="27"/>
          <w:rtl/>
          <w:lang w:bidi="fa-IR"/>
        </w:rPr>
        <w:t>إ</w:t>
      </w:r>
      <w:r w:rsidRPr="00282AC9">
        <w:rPr>
          <w:rFonts w:hint="cs"/>
          <w:sz w:val="27"/>
          <w:rtl/>
          <w:lang w:bidi="fa-IR"/>
        </w:rPr>
        <w:t>نّ الانتفاع هنا من الطرفين</w:t>
      </w:r>
      <w:r w:rsidRPr="00282AC9">
        <w:rPr>
          <w:sz w:val="27"/>
          <w:vertAlign w:val="superscript"/>
          <w:rtl/>
          <w:lang w:bidi="fa-IR"/>
        </w:rPr>
        <w:t>(</w:t>
      </w:r>
      <w:r w:rsidRPr="00282AC9">
        <w:rPr>
          <w:sz w:val="27"/>
          <w:vertAlign w:val="superscript"/>
          <w:rtl/>
          <w:lang w:bidi="fa-IR"/>
        </w:rPr>
        <w:endnoteReference w:id="972"/>
      </w:r>
      <w:r w:rsidRPr="00282AC9">
        <w:rPr>
          <w:rFonts w:hint="cs"/>
          <w:sz w:val="27"/>
          <w:vertAlign w:val="superscript"/>
          <w:rtl/>
          <w:lang w:bidi="fa-IR"/>
        </w:rPr>
        <w:t>)</w:t>
      </w:r>
      <w:r w:rsidRPr="00282AC9">
        <w:rPr>
          <w:rFonts w:hint="cs"/>
          <w:sz w:val="27"/>
          <w:rtl/>
          <w:lang w:bidi="fa-IR"/>
        </w:rPr>
        <w:t>، لا من طرف الزوج فقط</w:t>
      </w:r>
      <w:r w:rsidR="00AB0373" w:rsidRPr="00282AC9">
        <w:rPr>
          <w:rFonts w:hint="cs"/>
          <w:sz w:val="27"/>
          <w:rtl/>
          <w:lang w:bidi="fa-IR"/>
        </w:rPr>
        <w:t>؛</w:t>
      </w:r>
      <w:r w:rsidRPr="00282AC9">
        <w:rPr>
          <w:rFonts w:hint="cs"/>
          <w:sz w:val="27"/>
          <w:rtl/>
          <w:lang w:bidi="fa-IR"/>
        </w:rPr>
        <w:t xml:space="preserve"> كما أنّه لا يُشترط ذكر المهر في العقد، فلو انعقد من دون ذكر مهر</w:t>
      </w:r>
      <w:r w:rsidR="00AB0373" w:rsidRPr="00282AC9">
        <w:rPr>
          <w:rFonts w:hint="cs"/>
          <w:sz w:val="27"/>
          <w:rtl/>
          <w:lang w:bidi="fa-IR"/>
        </w:rPr>
        <w:t>ٍ</w:t>
      </w:r>
      <w:r w:rsidRPr="00282AC9">
        <w:rPr>
          <w:rFonts w:hint="cs"/>
          <w:sz w:val="27"/>
          <w:rtl/>
          <w:lang w:bidi="fa-IR"/>
        </w:rPr>
        <w:t xml:space="preserve"> صحّ</w:t>
      </w:r>
      <w:r w:rsidRPr="00282AC9">
        <w:rPr>
          <w:sz w:val="27"/>
          <w:vertAlign w:val="superscript"/>
          <w:rtl/>
          <w:lang w:bidi="fa-IR"/>
        </w:rPr>
        <w:t>(</w:t>
      </w:r>
      <w:r w:rsidRPr="00282AC9">
        <w:rPr>
          <w:sz w:val="27"/>
          <w:vertAlign w:val="superscript"/>
          <w:rtl/>
          <w:lang w:bidi="fa-IR"/>
        </w:rPr>
        <w:endnoteReference w:id="973"/>
      </w:r>
      <w:r w:rsidRPr="00282AC9">
        <w:rPr>
          <w:rFonts w:hint="cs"/>
          <w:sz w:val="27"/>
          <w:vertAlign w:val="superscript"/>
          <w:rtl/>
          <w:lang w:bidi="fa-IR"/>
        </w:rPr>
        <w:t>)</w:t>
      </w:r>
      <w:r w:rsidR="008025BC" w:rsidRPr="00282AC9">
        <w:rPr>
          <w:rFonts w:hint="cs"/>
          <w:sz w:val="27"/>
          <w:rtl/>
          <w:lang w:bidi="fa-IR"/>
        </w:rPr>
        <w:t>،</w:t>
      </w:r>
      <w:r w:rsidRPr="00282AC9">
        <w:rPr>
          <w:rFonts w:hint="cs"/>
          <w:sz w:val="27"/>
          <w:rtl/>
          <w:lang w:bidi="fa-IR"/>
        </w:rPr>
        <w:t xml:space="preserve"> ومن هنا عبّ</w:t>
      </w:r>
      <w:r w:rsidR="00AB0373" w:rsidRPr="00282AC9">
        <w:rPr>
          <w:rFonts w:hint="cs"/>
          <w:sz w:val="27"/>
          <w:rtl/>
          <w:lang w:bidi="fa-IR"/>
        </w:rPr>
        <w:t>َ</w:t>
      </w:r>
      <w:r w:rsidRPr="00282AC9">
        <w:rPr>
          <w:rFonts w:hint="cs"/>
          <w:sz w:val="27"/>
          <w:rtl/>
          <w:lang w:bidi="fa-IR"/>
        </w:rPr>
        <w:t>ر بعضهم بأنّها ليست معاوضة</w:t>
      </w:r>
      <w:r w:rsidR="00AB0373" w:rsidRPr="00282AC9">
        <w:rPr>
          <w:rFonts w:hint="cs"/>
          <w:sz w:val="27"/>
          <w:rtl/>
          <w:lang w:bidi="fa-IR"/>
        </w:rPr>
        <w:t>ً</w:t>
      </w:r>
      <w:r w:rsidRPr="00282AC9">
        <w:rPr>
          <w:rFonts w:hint="cs"/>
          <w:sz w:val="27"/>
          <w:rtl/>
          <w:lang w:bidi="fa-IR"/>
        </w:rPr>
        <w:t xml:space="preserve"> مالية م</w:t>
      </w:r>
      <w:r w:rsidR="00AB0373" w:rsidRPr="00282AC9">
        <w:rPr>
          <w:rFonts w:hint="cs"/>
          <w:sz w:val="27"/>
          <w:rtl/>
          <w:lang w:bidi="fa-IR"/>
        </w:rPr>
        <w:t>َ</w:t>
      </w:r>
      <w:r w:rsidRPr="00282AC9">
        <w:rPr>
          <w:rFonts w:hint="cs"/>
          <w:sz w:val="27"/>
          <w:rtl/>
          <w:lang w:bidi="fa-IR"/>
        </w:rPr>
        <w:t>ح</w:t>
      </w:r>
      <w:r w:rsidR="00AB0373" w:rsidRPr="00282AC9">
        <w:rPr>
          <w:rFonts w:hint="cs"/>
          <w:sz w:val="27"/>
          <w:rtl/>
          <w:lang w:bidi="fa-IR"/>
        </w:rPr>
        <w:t>ْ</w:t>
      </w:r>
      <w:r w:rsidRPr="00282AC9">
        <w:rPr>
          <w:rFonts w:hint="cs"/>
          <w:sz w:val="27"/>
          <w:rtl/>
          <w:lang w:bidi="fa-IR"/>
        </w:rPr>
        <w:t>ضة</w:t>
      </w:r>
      <w:r w:rsidRPr="00282AC9">
        <w:rPr>
          <w:sz w:val="27"/>
          <w:vertAlign w:val="superscript"/>
          <w:rtl/>
          <w:lang w:bidi="fa-IR"/>
        </w:rPr>
        <w:t>(</w:t>
      </w:r>
      <w:r w:rsidRPr="00282AC9">
        <w:rPr>
          <w:sz w:val="27"/>
          <w:vertAlign w:val="superscript"/>
          <w:rtl/>
          <w:lang w:bidi="fa-IR"/>
        </w:rPr>
        <w:endnoteReference w:id="974"/>
      </w:r>
      <w:r w:rsidRPr="00282AC9">
        <w:rPr>
          <w:rFonts w:hint="cs"/>
          <w:sz w:val="27"/>
          <w:vertAlign w:val="superscript"/>
          <w:rtl/>
          <w:lang w:bidi="fa-IR"/>
        </w:rPr>
        <w:t>)</w:t>
      </w:r>
      <w:r w:rsidR="008025BC" w:rsidRPr="00282AC9">
        <w:rPr>
          <w:rFonts w:hint="cs"/>
          <w:sz w:val="27"/>
          <w:rtl/>
          <w:lang w:bidi="fa-IR"/>
        </w:rPr>
        <w:t>؛</w:t>
      </w:r>
      <w:r w:rsidRPr="00282AC9">
        <w:rPr>
          <w:rFonts w:hint="cs"/>
          <w:sz w:val="27"/>
          <w:rtl/>
          <w:lang w:bidi="fa-IR"/>
        </w:rPr>
        <w:t xml:space="preserve"> وأيضاً لو تلف المهر بفعل الزوج أو بغير فعل أحد</w:t>
      </w:r>
      <w:r w:rsidR="008025BC" w:rsidRPr="00282AC9">
        <w:rPr>
          <w:rFonts w:hint="cs"/>
          <w:sz w:val="27"/>
          <w:rtl/>
          <w:lang w:bidi="fa-IR"/>
        </w:rPr>
        <w:t>ٍ</w:t>
      </w:r>
      <w:r w:rsidRPr="00282AC9">
        <w:rPr>
          <w:rFonts w:hint="cs"/>
          <w:sz w:val="27"/>
          <w:rtl/>
          <w:lang w:bidi="fa-IR"/>
        </w:rPr>
        <w:t xml:space="preserve"> كان الضمان فيه ضمان يد</w:t>
      </w:r>
      <w:r w:rsidR="008025BC" w:rsidRPr="00282AC9">
        <w:rPr>
          <w:rFonts w:hint="cs"/>
          <w:sz w:val="27"/>
          <w:rtl/>
          <w:lang w:bidi="fa-IR"/>
        </w:rPr>
        <w:t>ٍ،</w:t>
      </w:r>
      <w:r w:rsidRPr="00282AC9">
        <w:rPr>
          <w:rFonts w:hint="cs"/>
          <w:sz w:val="27"/>
          <w:rtl/>
          <w:lang w:bidi="fa-IR"/>
        </w:rPr>
        <w:t xml:space="preserve"> لا ضمان عقد</w:t>
      </w:r>
      <w:r w:rsidR="008025BC" w:rsidRPr="00282AC9">
        <w:rPr>
          <w:rFonts w:hint="cs"/>
          <w:sz w:val="27"/>
          <w:rtl/>
          <w:lang w:bidi="fa-IR"/>
        </w:rPr>
        <w:t>ٍ</w:t>
      </w:r>
      <w:r w:rsidRPr="00282AC9">
        <w:rPr>
          <w:sz w:val="27"/>
          <w:vertAlign w:val="superscript"/>
          <w:rtl/>
          <w:lang w:bidi="fa-IR"/>
        </w:rPr>
        <w:t>(</w:t>
      </w:r>
      <w:r w:rsidRPr="00282AC9">
        <w:rPr>
          <w:sz w:val="27"/>
          <w:vertAlign w:val="superscript"/>
          <w:rtl/>
          <w:lang w:bidi="fa-IR"/>
        </w:rPr>
        <w:endnoteReference w:id="975"/>
      </w:r>
      <w:r w:rsidRPr="00282AC9">
        <w:rPr>
          <w:rFonts w:hint="cs"/>
          <w:sz w:val="27"/>
          <w:vertAlign w:val="superscript"/>
          <w:rtl/>
          <w:lang w:bidi="fa-IR"/>
        </w:rPr>
        <w:t>)</w:t>
      </w:r>
      <w:r w:rsidRPr="00282AC9">
        <w:rPr>
          <w:rFonts w:hint="cs"/>
          <w:sz w:val="27"/>
          <w:rtl/>
          <w:lang w:bidi="fa-IR"/>
        </w:rPr>
        <w:t>، فلا يفسد النكاح بتلفه بعد ذلك</w:t>
      </w:r>
      <w:r w:rsidR="008025BC" w:rsidRPr="00282AC9">
        <w:rPr>
          <w:rFonts w:hint="cs"/>
          <w:sz w:val="27"/>
          <w:rtl/>
          <w:lang w:bidi="fa-IR"/>
        </w:rPr>
        <w:t>،</w:t>
      </w:r>
      <w:r w:rsidRPr="00282AC9">
        <w:rPr>
          <w:rFonts w:hint="cs"/>
          <w:sz w:val="27"/>
          <w:rtl/>
          <w:lang w:bidi="fa-IR"/>
        </w:rPr>
        <w:t xml:space="preserve"> ولا بردّ</w:t>
      </w:r>
      <w:r w:rsidR="008025BC" w:rsidRPr="00282AC9">
        <w:rPr>
          <w:rFonts w:hint="cs"/>
          <w:sz w:val="27"/>
          <w:rtl/>
          <w:lang w:bidi="fa-IR"/>
        </w:rPr>
        <w:t>ِ</w:t>
      </w:r>
      <w:r w:rsidRPr="00282AC9">
        <w:rPr>
          <w:rFonts w:hint="cs"/>
          <w:sz w:val="27"/>
          <w:rtl/>
          <w:lang w:bidi="fa-IR"/>
        </w:rPr>
        <w:t>ه</w:t>
      </w:r>
      <w:r w:rsidR="008025BC" w:rsidRPr="00282AC9">
        <w:rPr>
          <w:rFonts w:hint="cs"/>
          <w:sz w:val="27"/>
          <w:rtl/>
          <w:lang w:bidi="fa-IR"/>
        </w:rPr>
        <w:t>،</w:t>
      </w:r>
      <w:r w:rsidRPr="00282AC9">
        <w:rPr>
          <w:rFonts w:hint="cs"/>
          <w:sz w:val="27"/>
          <w:rtl/>
          <w:lang w:bidi="fa-IR"/>
        </w:rPr>
        <w:t xml:space="preserve"> ولا يضمن الزوج مهر المثل</w:t>
      </w:r>
      <w:r w:rsidR="008025BC" w:rsidRPr="00282AC9">
        <w:rPr>
          <w:rFonts w:hint="cs"/>
          <w:sz w:val="27"/>
          <w:rtl/>
          <w:lang w:bidi="fa-IR"/>
        </w:rPr>
        <w:t>،</w:t>
      </w:r>
      <w:r w:rsidRPr="00282AC9">
        <w:rPr>
          <w:rFonts w:hint="cs"/>
          <w:sz w:val="27"/>
          <w:rtl/>
          <w:lang w:bidi="fa-IR"/>
        </w:rPr>
        <w:t xml:space="preserve"> بل قيمة المهر التالف</w:t>
      </w:r>
      <w:r w:rsidRPr="00282AC9">
        <w:rPr>
          <w:sz w:val="27"/>
          <w:vertAlign w:val="superscript"/>
          <w:rtl/>
          <w:lang w:bidi="fa-IR"/>
        </w:rPr>
        <w:t>(</w:t>
      </w:r>
      <w:r w:rsidRPr="00282AC9">
        <w:rPr>
          <w:sz w:val="27"/>
          <w:vertAlign w:val="superscript"/>
          <w:rtl/>
          <w:lang w:bidi="fa-IR"/>
        </w:rPr>
        <w:endnoteReference w:id="976"/>
      </w:r>
      <w:r w:rsidRPr="00282AC9">
        <w:rPr>
          <w:rFonts w:hint="cs"/>
          <w:sz w:val="27"/>
          <w:vertAlign w:val="superscript"/>
          <w:rtl/>
          <w:lang w:bidi="fa-IR"/>
        </w:rPr>
        <w:t>)</w:t>
      </w:r>
      <w:r w:rsidRPr="00282AC9">
        <w:rPr>
          <w:rFonts w:hint="cs"/>
          <w:sz w:val="27"/>
          <w:rtl/>
          <w:lang w:bidi="fa-IR"/>
        </w:rPr>
        <w:t>، ولا يسقط بمنعها نفسها</w:t>
      </w:r>
      <w:r w:rsidR="00BC0925" w:rsidRPr="00282AC9">
        <w:rPr>
          <w:rFonts w:hint="cs"/>
          <w:sz w:val="27"/>
          <w:rtl/>
          <w:lang w:bidi="fa-IR"/>
        </w:rPr>
        <w:t xml:space="preserve"> إلى </w:t>
      </w:r>
      <w:r w:rsidRPr="00282AC9">
        <w:rPr>
          <w:rFonts w:hint="cs"/>
          <w:sz w:val="27"/>
          <w:rtl/>
          <w:lang w:bidi="fa-IR"/>
        </w:rPr>
        <w:t>موتها</w:t>
      </w:r>
      <w:r w:rsidRPr="00282AC9">
        <w:rPr>
          <w:sz w:val="27"/>
          <w:vertAlign w:val="superscript"/>
          <w:rtl/>
          <w:lang w:bidi="fa-IR"/>
        </w:rPr>
        <w:t>(</w:t>
      </w:r>
      <w:r w:rsidRPr="00282AC9">
        <w:rPr>
          <w:sz w:val="27"/>
          <w:vertAlign w:val="superscript"/>
          <w:rtl/>
          <w:lang w:bidi="fa-IR"/>
        </w:rPr>
        <w:endnoteReference w:id="977"/>
      </w:r>
      <w:r w:rsidRPr="00282AC9">
        <w:rPr>
          <w:rFonts w:hint="cs"/>
          <w:sz w:val="27"/>
          <w:vertAlign w:val="superscript"/>
          <w:rtl/>
          <w:lang w:bidi="fa-IR"/>
        </w:rPr>
        <w:t>)</w:t>
      </w:r>
      <w:r w:rsidRPr="00282AC9">
        <w:rPr>
          <w:rFonts w:hint="cs"/>
          <w:sz w:val="27"/>
          <w:rtl/>
          <w:lang w:bidi="fa-IR"/>
        </w:rPr>
        <w:t>، ولو كان الطلاق ف</w:t>
      </w:r>
      <w:r w:rsidR="008025BC" w:rsidRPr="00282AC9">
        <w:rPr>
          <w:rFonts w:hint="cs"/>
          <w:sz w:val="27"/>
          <w:rtl/>
          <w:lang w:bidi="fa-IR"/>
        </w:rPr>
        <w:t>َ</w:t>
      </w:r>
      <w:r w:rsidRPr="00282AC9">
        <w:rPr>
          <w:rFonts w:hint="cs"/>
          <w:sz w:val="27"/>
          <w:rtl/>
          <w:lang w:bidi="fa-IR"/>
        </w:rPr>
        <w:t>س</w:t>
      </w:r>
      <w:r w:rsidR="008025BC" w:rsidRPr="00282AC9">
        <w:rPr>
          <w:rFonts w:hint="cs"/>
          <w:sz w:val="27"/>
          <w:rtl/>
          <w:lang w:bidi="fa-IR"/>
        </w:rPr>
        <w:t>ْ</w:t>
      </w:r>
      <w:r w:rsidRPr="00282AC9">
        <w:rPr>
          <w:rFonts w:hint="cs"/>
          <w:sz w:val="27"/>
          <w:rtl/>
          <w:lang w:bidi="fa-IR"/>
        </w:rPr>
        <w:t>خاً لرجع الزوج بتمام الم</w:t>
      </w:r>
      <w:r w:rsidR="008025BC" w:rsidRPr="00282AC9">
        <w:rPr>
          <w:rFonts w:hint="cs"/>
          <w:sz w:val="27"/>
          <w:rtl/>
          <w:lang w:bidi="fa-IR"/>
        </w:rPr>
        <w:t>َ</w:t>
      </w:r>
      <w:r w:rsidRPr="00282AC9">
        <w:rPr>
          <w:rFonts w:hint="cs"/>
          <w:sz w:val="27"/>
          <w:rtl/>
          <w:lang w:bidi="fa-IR"/>
        </w:rPr>
        <w:t>ه</w:t>
      </w:r>
      <w:r w:rsidR="008025BC" w:rsidRPr="00282AC9">
        <w:rPr>
          <w:rFonts w:hint="cs"/>
          <w:sz w:val="27"/>
          <w:rtl/>
          <w:lang w:bidi="fa-IR"/>
        </w:rPr>
        <w:t>ْ</w:t>
      </w:r>
      <w:r w:rsidRPr="00282AC9">
        <w:rPr>
          <w:rFonts w:hint="cs"/>
          <w:sz w:val="27"/>
          <w:rtl/>
          <w:lang w:bidi="fa-IR"/>
        </w:rPr>
        <w:t>ر</w:t>
      </w:r>
      <w:r w:rsidRPr="00282AC9">
        <w:rPr>
          <w:sz w:val="27"/>
          <w:vertAlign w:val="superscript"/>
          <w:rtl/>
          <w:lang w:bidi="fa-IR"/>
        </w:rPr>
        <w:t>(</w:t>
      </w:r>
      <w:r w:rsidRPr="00282AC9">
        <w:rPr>
          <w:sz w:val="27"/>
          <w:vertAlign w:val="superscript"/>
          <w:rtl/>
          <w:lang w:bidi="fa-IR"/>
        </w:rPr>
        <w:endnoteReference w:id="978"/>
      </w:r>
      <w:r w:rsidRPr="00282AC9">
        <w:rPr>
          <w:rFonts w:hint="cs"/>
          <w:sz w:val="27"/>
          <w:vertAlign w:val="superscript"/>
          <w:rtl/>
          <w:lang w:bidi="fa-IR"/>
        </w:rPr>
        <w:t>)</w:t>
      </w:r>
      <w:r w:rsidRPr="00282AC9">
        <w:rPr>
          <w:rFonts w:hint="cs"/>
          <w:sz w:val="27"/>
          <w:rtl/>
          <w:lang w:bidi="fa-IR"/>
        </w:rPr>
        <w:t>، وقد عبّ</w:t>
      </w:r>
      <w:r w:rsidR="008025BC" w:rsidRPr="00282AC9">
        <w:rPr>
          <w:rFonts w:hint="cs"/>
          <w:sz w:val="27"/>
          <w:rtl/>
          <w:lang w:bidi="fa-IR"/>
        </w:rPr>
        <w:t>َ</w:t>
      </w:r>
      <w:r w:rsidRPr="00282AC9">
        <w:rPr>
          <w:rFonts w:hint="cs"/>
          <w:sz w:val="27"/>
          <w:rtl/>
          <w:lang w:bidi="fa-IR"/>
        </w:rPr>
        <w:t>ر القرآن الكريم عن الصداق بأنّه نِحلة</w:t>
      </w:r>
      <w:r w:rsidR="008025BC" w:rsidRPr="00282AC9">
        <w:rPr>
          <w:rFonts w:hint="cs"/>
          <w:sz w:val="27"/>
          <w:rtl/>
          <w:lang w:bidi="fa-IR"/>
        </w:rPr>
        <w:t>ٌ</w:t>
      </w:r>
      <w:r w:rsidRPr="00282AC9">
        <w:rPr>
          <w:rFonts w:hint="cs"/>
          <w:sz w:val="27"/>
          <w:rtl/>
          <w:lang w:bidi="fa-IR"/>
        </w:rPr>
        <w:t xml:space="preserve"> وهدي</w:t>
      </w:r>
      <w:r w:rsidR="008025BC" w:rsidRPr="00282AC9">
        <w:rPr>
          <w:rFonts w:hint="cs"/>
          <w:sz w:val="27"/>
          <w:rtl/>
          <w:lang w:bidi="fa-IR"/>
        </w:rPr>
        <w:t>ّ</w:t>
      </w:r>
      <w:r w:rsidRPr="00282AC9">
        <w:rPr>
          <w:rFonts w:hint="cs"/>
          <w:sz w:val="27"/>
          <w:rtl/>
          <w:lang w:bidi="fa-IR"/>
        </w:rPr>
        <w:t>ة وعطي</w:t>
      </w:r>
      <w:r w:rsidR="008025BC" w:rsidRPr="00282AC9">
        <w:rPr>
          <w:rFonts w:hint="cs"/>
          <w:sz w:val="27"/>
          <w:rtl/>
          <w:lang w:bidi="fa-IR"/>
        </w:rPr>
        <w:t>ّ</w:t>
      </w:r>
      <w:r w:rsidRPr="00282AC9">
        <w:rPr>
          <w:rFonts w:hint="cs"/>
          <w:sz w:val="27"/>
          <w:rtl/>
          <w:lang w:bidi="fa-IR"/>
        </w:rPr>
        <w:t>ة وهبة</w:t>
      </w:r>
      <w:r w:rsidR="008025BC" w:rsidRPr="00282AC9">
        <w:rPr>
          <w:rFonts w:hint="cs"/>
          <w:sz w:val="27"/>
          <w:rtl/>
          <w:lang w:bidi="fa-IR"/>
        </w:rPr>
        <w:t>ٌ</w:t>
      </w:r>
      <w:r w:rsidRPr="00282AC9">
        <w:rPr>
          <w:sz w:val="27"/>
          <w:vertAlign w:val="superscript"/>
          <w:rtl/>
          <w:lang w:bidi="fa-IR"/>
        </w:rPr>
        <w:t>(</w:t>
      </w:r>
      <w:r w:rsidRPr="00282AC9">
        <w:rPr>
          <w:sz w:val="27"/>
          <w:vertAlign w:val="superscript"/>
          <w:rtl/>
          <w:lang w:bidi="fa-IR"/>
        </w:rPr>
        <w:endnoteReference w:id="979"/>
      </w:r>
      <w:r w:rsidRPr="00282AC9">
        <w:rPr>
          <w:rFonts w:hint="cs"/>
          <w:sz w:val="27"/>
          <w:vertAlign w:val="superscript"/>
          <w:rtl/>
          <w:lang w:bidi="fa-IR"/>
        </w:rPr>
        <w:t>)</w:t>
      </w:r>
      <w:r w:rsidRPr="00282AC9">
        <w:rPr>
          <w:rFonts w:hint="cs"/>
          <w:sz w:val="27"/>
          <w:rtl/>
          <w:lang w:bidi="fa-IR"/>
        </w:rPr>
        <w:t xml:space="preserve">، قال تعالى: </w:t>
      </w:r>
      <w:r w:rsidRPr="00282AC9">
        <w:rPr>
          <w:rFonts w:ascii="Mosawi" w:hAnsi="Mosawi" w:cs="Mosawi"/>
          <w:sz w:val="24"/>
          <w:szCs w:val="24"/>
          <w:rtl/>
        </w:rPr>
        <w:t>﴿</w:t>
      </w:r>
      <w:r w:rsidR="008025BC" w:rsidRPr="00282AC9">
        <w:rPr>
          <w:b/>
          <w:bCs/>
          <w:sz w:val="27"/>
          <w:rtl/>
        </w:rPr>
        <w:t>وَآتُوا النِّسَاءَ صَدُقَاتِهِنَّ نِحْلَةً فَإِنْ طِبْنَ لَكُمْ عَنْ شَيْءٍ مِنْهُ نَفْساً فَكُلُوهُ هَنِيئاً مَرِيئاً</w:t>
      </w:r>
      <w:r w:rsidRPr="00282AC9">
        <w:rPr>
          <w:rFonts w:ascii="Mosawi" w:hAnsi="Mosawi" w:cs="Mosawi"/>
          <w:sz w:val="24"/>
          <w:szCs w:val="24"/>
          <w:rtl/>
        </w:rPr>
        <w:t>﴾</w:t>
      </w:r>
      <w:r w:rsidRPr="00282AC9">
        <w:rPr>
          <w:rFonts w:ascii="Sakkal Majalla" w:eastAsia="Calibri" w:hAnsi="Sakkal Majalla" w:hint="cs"/>
          <w:sz w:val="27"/>
          <w:rtl/>
          <w:lang w:bidi="fa-IR"/>
        </w:rPr>
        <w:t xml:space="preserve"> (النساء: </w:t>
      </w:r>
      <w:r w:rsidRPr="00282AC9">
        <w:rPr>
          <w:rFonts w:hint="cs"/>
          <w:sz w:val="27"/>
          <w:rtl/>
          <w:lang w:bidi="fa-IR"/>
        </w:rPr>
        <w:t>4</w:t>
      </w:r>
      <w:r w:rsidRPr="00282AC9">
        <w:rPr>
          <w:rFonts w:ascii="Sakkal Majalla" w:eastAsia="Calibri" w:hAnsi="Sakkal Majalla" w:hint="cs"/>
          <w:sz w:val="27"/>
          <w:rtl/>
          <w:lang w:bidi="fa-IR"/>
        </w:rPr>
        <w:t>)</w:t>
      </w:r>
      <w:r w:rsidRPr="00282AC9">
        <w:rPr>
          <w:rFonts w:hint="cs"/>
          <w:sz w:val="27"/>
          <w:rtl/>
          <w:lang w:bidi="fa-IR"/>
        </w:rPr>
        <w:t>، فهو ليس معاوضة</w:t>
      </w:r>
      <w:r w:rsidR="008025BC" w:rsidRPr="00282AC9">
        <w:rPr>
          <w:rFonts w:hint="cs"/>
          <w:sz w:val="27"/>
          <w:rtl/>
          <w:lang w:bidi="fa-IR"/>
        </w:rPr>
        <w:t>ً،</w:t>
      </w:r>
      <w:r w:rsidRPr="00282AC9">
        <w:rPr>
          <w:rFonts w:hint="cs"/>
          <w:sz w:val="27"/>
          <w:rtl/>
          <w:lang w:bidi="fa-IR"/>
        </w:rPr>
        <w:t xml:space="preserve"> ولا عقداً مالياً، لا من حيث الماهية</w:t>
      </w:r>
      <w:r w:rsidR="008025BC" w:rsidRPr="00282AC9">
        <w:rPr>
          <w:rFonts w:hint="cs"/>
          <w:sz w:val="27"/>
          <w:rtl/>
          <w:lang w:bidi="fa-IR"/>
        </w:rPr>
        <w:t>،</w:t>
      </w:r>
      <w:r w:rsidRPr="00282AC9">
        <w:rPr>
          <w:rFonts w:hint="cs"/>
          <w:sz w:val="27"/>
          <w:rtl/>
          <w:lang w:bidi="fa-IR"/>
        </w:rPr>
        <w:t xml:space="preserve"> كما هو واضح عقلائي</w:t>
      </w:r>
      <w:r w:rsidR="008025BC" w:rsidRPr="00282AC9">
        <w:rPr>
          <w:rFonts w:hint="cs"/>
          <w:sz w:val="27"/>
          <w:rtl/>
          <w:lang w:bidi="fa-IR"/>
        </w:rPr>
        <w:t>ّ</w:t>
      </w:r>
      <w:r w:rsidRPr="00282AC9">
        <w:rPr>
          <w:rFonts w:hint="cs"/>
          <w:sz w:val="27"/>
          <w:rtl/>
          <w:lang w:bidi="fa-IR"/>
        </w:rPr>
        <w:t>اً كارتكاز</w:t>
      </w:r>
      <w:r w:rsidR="008025BC" w:rsidRPr="00282AC9">
        <w:rPr>
          <w:rFonts w:hint="cs"/>
          <w:sz w:val="27"/>
          <w:rtl/>
          <w:lang w:bidi="fa-IR"/>
        </w:rPr>
        <w:t>ٍ</w:t>
      </w:r>
      <w:r w:rsidRPr="00282AC9">
        <w:rPr>
          <w:rFonts w:hint="cs"/>
          <w:sz w:val="27"/>
          <w:rtl/>
          <w:lang w:bidi="fa-IR"/>
        </w:rPr>
        <w:t xml:space="preserve"> نظري، وأيضاً هو واضح</w:t>
      </w:r>
      <w:r w:rsidR="008025BC" w:rsidRPr="00282AC9">
        <w:rPr>
          <w:rFonts w:hint="cs"/>
          <w:sz w:val="27"/>
          <w:rtl/>
          <w:lang w:bidi="fa-IR"/>
        </w:rPr>
        <w:t>ٌ</w:t>
      </w:r>
      <w:r w:rsidRPr="00282AC9">
        <w:rPr>
          <w:rFonts w:hint="cs"/>
          <w:sz w:val="27"/>
          <w:rtl/>
          <w:lang w:bidi="fa-IR"/>
        </w:rPr>
        <w:t xml:space="preserve"> من قصد الزوجين عند إيقاع العقد خارجاً؛ فإنّ الزوجين يقصدان الحياة المشتركة.</w:t>
      </w:r>
    </w:p>
    <w:p w:rsidR="0062395A" w:rsidRPr="00282AC9" w:rsidRDefault="0062395A" w:rsidP="00495D24">
      <w:pPr>
        <w:rPr>
          <w:sz w:val="27"/>
          <w:rtl/>
          <w:lang w:bidi="fa-IR"/>
        </w:rPr>
      </w:pPr>
      <w:r w:rsidRPr="00282AC9">
        <w:rPr>
          <w:rFonts w:hint="cs"/>
          <w:sz w:val="27"/>
          <w:rtl/>
          <w:lang w:bidi="fa-IR"/>
        </w:rPr>
        <w:t>وكذلك هو ليس معاوضة</w:t>
      </w:r>
      <w:r w:rsidR="00270680" w:rsidRPr="00282AC9">
        <w:rPr>
          <w:rFonts w:hint="cs"/>
          <w:sz w:val="27"/>
          <w:rtl/>
          <w:lang w:bidi="fa-IR"/>
        </w:rPr>
        <w:t>ً،</w:t>
      </w:r>
      <w:r w:rsidRPr="00282AC9">
        <w:rPr>
          <w:rFonts w:hint="cs"/>
          <w:sz w:val="27"/>
          <w:rtl/>
          <w:lang w:bidi="fa-IR"/>
        </w:rPr>
        <w:t xml:space="preserve"> ولا عقداً مالي</w:t>
      </w:r>
      <w:r w:rsidR="00270680" w:rsidRPr="00282AC9">
        <w:rPr>
          <w:rFonts w:hint="cs"/>
          <w:sz w:val="27"/>
          <w:rtl/>
          <w:lang w:bidi="fa-IR"/>
        </w:rPr>
        <w:t>ّ</w:t>
      </w:r>
      <w:r w:rsidRPr="00282AC9">
        <w:rPr>
          <w:rFonts w:hint="cs"/>
          <w:sz w:val="27"/>
          <w:rtl/>
          <w:lang w:bidi="fa-IR"/>
        </w:rPr>
        <w:t>اً</w:t>
      </w:r>
      <w:r w:rsidR="00270680" w:rsidRPr="00282AC9">
        <w:rPr>
          <w:rFonts w:hint="cs"/>
          <w:sz w:val="27"/>
          <w:rtl/>
          <w:lang w:bidi="fa-IR"/>
        </w:rPr>
        <w:t>،</w:t>
      </w:r>
      <w:r w:rsidRPr="00282AC9">
        <w:rPr>
          <w:rFonts w:hint="cs"/>
          <w:sz w:val="27"/>
          <w:rtl/>
          <w:lang w:bidi="fa-IR"/>
        </w:rPr>
        <w:t xml:space="preserve"> من حيث الأحكام، ومن حيث الآثار المترتّ</w:t>
      </w:r>
      <w:r w:rsidR="00270680" w:rsidRPr="00282AC9">
        <w:rPr>
          <w:rFonts w:hint="cs"/>
          <w:sz w:val="27"/>
          <w:rtl/>
          <w:lang w:bidi="fa-IR"/>
        </w:rPr>
        <w:t>ِ</w:t>
      </w:r>
      <w:r w:rsidRPr="00282AC9">
        <w:rPr>
          <w:rFonts w:hint="cs"/>
          <w:sz w:val="27"/>
          <w:rtl/>
          <w:lang w:bidi="fa-IR"/>
        </w:rPr>
        <w:t>بة عليه، كما يتّ</w:t>
      </w:r>
      <w:r w:rsidR="00270680" w:rsidRPr="00282AC9">
        <w:rPr>
          <w:rFonts w:hint="cs"/>
          <w:sz w:val="27"/>
          <w:rtl/>
          <w:lang w:bidi="fa-IR"/>
        </w:rPr>
        <w:t>َ</w:t>
      </w:r>
      <w:r w:rsidRPr="00282AC9">
        <w:rPr>
          <w:rFonts w:hint="cs"/>
          <w:sz w:val="27"/>
          <w:rtl/>
          <w:lang w:bidi="fa-IR"/>
        </w:rPr>
        <w:t>ضح هذا من خلال إجراء أدنى مقارنة</w:t>
      </w:r>
      <w:r w:rsidR="00270680" w:rsidRPr="00282AC9">
        <w:rPr>
          <w:rFonts w:hint="cs"/>
          <w:sz w:val="27"/>
          <w:rtl/>
          <w:lang w:bidi="fa-IR"/>
        </w:rPr>
        <w:t>ٍ</w:t>
      </w:r>
      <w:r w:rsidRPr="00282AC9">
        <w:rPr>
          <w:rFonts w:hint="cs"/>
          <w:sz w:val="27"/>
          <w:rtl/>
          <w:lang w:bidi="fa-IR"/>
        </w:rPr>
        <w:t xml:space="preserve"> بينه وبين سائر المعاوضات والعقود المالية.</w:t>
      </w:r>
    </w:p>
    <w:p w:rsidR="0062395A" w:rsidRPr="00282AC9" w:rsidRDefault="0062395A" w:rsidP="00495D24">
      <w:pPr>
        <w:rPr>
          <w:sz w:val="27"/>
          <w:rtl/>
          <w:lang w:bidi="fa-IR"/>
        </w:rPr>
      </w:pPr>
      <w:r w:rsidRPr="00282AC9">
        <w:rPr>
          <w:rFonts w:hint="cs"/>
          <w:sz w:val="27"/>
          <w:rtl/>
          <w:lang w:bidi="fa-IR"/>
        </w:rPr>
        <w:t>وعليه</w:t>
      </w:r>
      <w:r w:rsidR="00270680" w:rsidRPr="00282AC9">
        <w:rPr>
          <w:rFonts w:hint="cs"/>
          <w:sz w:val="27"/>
          <w:rtl/>
          <w:lang w:bidi="fa-IR"/>
        </w:rPr>
        <w:t>،</w:t>
      </w:r>
      <w:r w:rsidRPr="00282AC9">
        <w:rPr>
          <w:rFonts w:hint="cs"/>
          <w:sz w:val="27"/>
          <w:rtl/>
          <w:lang w:bidi="fa-IR"/>
        </w:rPr>
        <w:t xml:space="preserve"> فإنّ مثل هذه العقود غير ا</w:t>
      </w:r>
      <w:r w:rsidR="00573F35" w:rsidRPr="00282AC9">
        <w:rPr>
          <w:rFonts w:hint="cs"/>
          <w:sz w:val="27"/>
          <w:rtl/>
          <w:lang w:bidi="fa-IR"/>
        </w:rPr>
        <w:t>لمالية كيف ي</w:t>
      </w:r>
      <w:r w:rsidRPr="00282AC9">
        <w:rPr>
          <w:rFonts w:hint="cs"/>
          <w:sz w:val="27"/>
          <w:rtl/>
          <w:lang w:bidi="fa-IR"/>
        </w:rPr>
        <w:t>مكن إرجاعها</w:t>
      </w:r>
      <w:r w:rsidR="00BC0925" w:rsidRPr="00282AC9">
        <w:rPr>
          <w:rFonts w:hint="cs"/>
          <w:sz w:val="27"/>
          <w:rtl/>
          <w:lang w:bidi="fa-IR"/>
        </w:rPr>
        <w:t xml:space="preserve"> إلى </w:t>
      </w:r>
      <w:r w:rsidRPr="00282AC9">
        <w:rPr>
          <w:rFonts w:hint="cs"/>
          <w:sz w:val="27"/>
          <w:rtl/>
          <w:lang w:bidi="fa-IR"/>
        </w:rPr>
        <w:t>الإعراض؟! فإنّ العقود مشتركة</w:t>
      </w:r>
      <w:r w:rsidR="00573F35" w:rsidRPr="00282AC9">
        <w:rPr>
          <w:rFonts w:hint="cs"/>
          <w:sz w:val="27"/>
          <w:rtl/>
          <w:lang w:bidi="fa-IR"/>
        </w:rPr>
        <w:t>ٌ</w:t>
      </w:r>
      <w:r w:rsidRPr="00282AC9">
        <w:rPr>
          <w:rFonts w:hint="cs"/>
          <w:sz w:val="27"/>
          <w:rtl/>
          <w:lang w:bidi="fa-IR"/>
        </w:rPr>
        <w:t xml:space="preserve"> في معنى</w:t>
      </w:r>
      <w:r w:rsidR="00573F35" w:rsidRPr="00282AC9">
        <w:rPr>
          <w:rFonts w:hint="cs"/>
          <w:sz w:val="27"/>
          <w:rtl/>
          <w:lang w:bidi="fa-IR"/>
        </w:rPr>
        <w:t>ً</w:t>
      </w:r>
      <w:r w:rsidRPr="00282AC9">
        <w:rPr>
          <w:rFonts w:hint="cs"/>
          <w:sz w:val="27"/>
          <w:rtl/>
          <w:lang w:bidi="fa-IR"/>
        </w:rPr>
        <w:t xml:space="preserve"> واحد، وهو ال</w:t>
      </w:r>
      <w:r w:rsidR="00573F35" w:rsidRPr="00282AC9">
        <w:rPr>
          <w:rFonts w:hint="cs"/>
          <w:sz w:val="27"/>
          <w:rtl/>
          <w:lang w:bidi="fa-IR"/>
        </w:rPr>
        <w:t>ا</w:t>
      </w:r>
      <w:r w:rsidRPr="00282AC9">
        <w:rPr>
          <w:rFonts w:hint="cs"/>
          <w:sz w:val="27"/>
          <w:rtl/>
          <w:lang w:bidi="fa-IR"/>
        </w:rPr>
        <w:t>لتزام من الطرفين بإيجاد الأثر المترتّ</w:t>
      </w:r>
      <w:r w:rsidR="00573F35" w:rsidRPr="00282AC9">
        <w:rPr>
          <w:rFonts w:hint="cs"/>
          <w:sz w:val="27"/>
          <w:rtl/>
          <w:lang w:bidi="fa-IR"/>
        </w:rPr>
        <w:t>ِ</w:t>
      </w:r>
      <w:r w:rsidRPr="00282AC9">
        <w:rPr>
          <w:rFonts w:hint="cs"/>
          <w:sz w:val="27"/>
          <w:rtl/>
          <w:lang w:bidi="fa-IR"/>
        </w:rPr>
        <w:t>ب عليه</w:t>
      </w:r>
      <w:r w:rsidR="00573F35" w:rsidRPr="00282AC9">
        <w:rPr>
          <w:rFonts w:hint="cs"/>
          <w:sz w:val="27"/>
          <w:rtl/>
          <w:lang w:bidi="fa-IR"/>
        </w:rPr>
        <w:t>،</w:t>
      </w:r>
      <w:r w:rsidRPr="00282AC9">
        <w:rPr>
          <w:rFonts w:hint="cs"/>
          <w:sz w:val="27"/>
          <w:rtl/>
          <w:lang w:bidi="fa-IR"/>
        </w:rPr>
        <w:t xml:space="preserve"> وتحقيق الغرض.</w:t>
      </w:r>
    </w:p>
    <w:p w:rsidR="0062395A" w:rsidRPr="00282AC9" w:rsidRDefault="0062395A" w:rsidP="00495D24">
      <w:pPr>
        <w:rPr>
          <w:sz w:val="27"/>
          <w:rtl/>
          <w:lang w:bidi="fa-IR"/>
        </w:rPr>
      </w:pPr>
      <w:r w:rsidRPr="00282AC9">
        <w:rPr>
          <w:rFonts w:hint="cs"/>
          <w:sz w:val="27"/>
          <w:rtl/>
          <w:lang w:bidi="fa-IR"/>
        </w:rPr>
        <w:lastRenderedPageBreak/>
        <w:t>وأمّا ما ورد في بعض النصوص الشريفة</w:t>
      </w:r>
      <w:r w:rsidR="00573F35" w:rsidRPr="00282AC9">
        <w:rPr>
          <w:rFonts w:hint="cs"/>
          <w:sz w:val="27"/>
          <w:rtl/>
          <w:lang w:bidi="fa-IR"/>
        </w:rPr>
        <w:t>،</w:t>
      </w:r>
      <w:r w:rsidRPr="00282AC9">
        <w:rPr>
          <w:rFonts w:hint="cs"/>
          <w:sz w:val="27"/>
          <w:rtl/>
          <w:lang w:bidi="fa-IR"/>
        </w:rPr>
        <w:t xml:space="preserve"> قرآناً وسنّة</w:t>
      </w:r>
      <w:r w:rsidR="00573F35" w:rsidRPr="00282AC9">
        <w:rPr>
          <w:rFonts w:hint="cs"/>
          <w:sz w:val="27"/>
          <w:rtl/>
          <w:lang w:bidi="fa-IR"/>
        </w:rPr>
        <w:t>ً،</w:t>
      </w:r>
      <w:r w:rsidRPr="00282AC9">
        <w:rPr>
          <w:rFonts w:hint="cs"/>
          <w:sz w:val="27"/>
          <w:rtl/>
          <w:lang w:bidi="fa-IR"/>
        </w:rPr>
        <w:t xml:space="preserve"> من التعبير بالأجر ونحوه فلا يُراد به المعنى الحقيقي</w:t>
      </w:r>
      <w:r w:rsidR="00573F35" w:rsidRPr="00282AC9">
        <w:rPr>
          <w:rFonts w:hint="cs"/>
          <w:sz w:val="27"/>
          <w:rtl/>
          <w:lang w:bidi="fa-IR"/>
        </w:rPr>
        <w:t>.</w:t>
      </w:r>
      <w:r w:rsidRPr="00282AC9">
        <w:rPr>
          <w:rFonts w:hint="cs"/>
          <w:sz w:val="27"/>
          <w:rtl/>
          <w:lang w:bidi="fa-IR"/>
        </w:rPr>
        <w:t xml:space="preserve"> ومن هنا احتاط بعض الفقهاء بالتعبير بأنّ النكاح فيه معنى المعاوضة</w:t>
      </w:r>
      <w:r w:rsidR="00573F35" w:rsidRPr="00282AC9">
        <w:rPr>
          <w:rFonts w:hint="cs"/>
          <w:sz w:val="27"/>
          <w:rtl/>
          <w:lang w:bidi="fa-IR"/>
        </w:rPr>
        <w:t>،</w:t>
      </w:r>
      <w:r w:rsidRPr="00282AC9">
        <w:rPr>
          <w:rFonts w:hint="cs"/>
          <w:sz w:val="27"/>
          <w:rtl/>
          <w:lang w:bidi="fa-IR"/>
        </w:rPr>
        <w:t xml:space="preserve"> أو فيه شائبة المعاوضة، ولم يجرؤ على التعبير بأنّه معاوضة</w:t>
      </w:r>
      <w:r w:rsidR="00573F35" w:rsidRPr="00282AC9">
        <w:rPr>
          <w:rFonts w:hint="cs"/>
          <w:sz w:val="27"/>
          <w:rtl/>
          <w:lang w:bidi="fa-IR"/>
        </w:rPr>
        <w:t>ٌ</w:t>
      </w:r>
      <w:r w:rsidRPr="00282AC9">
        <w:rPr>
          <w:rFonts w:hint="cs"/>
          <w:sz w:val="27"/>
          <w:rtl/>
          <w:lang w:bidi="fa-IR"/>
        </w:rPr>
        <w:t xml:space="preserve">. </w:t>
      </w:r>
    </w:p>
    <w:p w:rsidR="0062395A" w:rsidRPr="00282AC9" w:rsidRDefault="0062395A" w:rsidP="00495D24">
      <w:pPr>
        <w:rPr>
          <w:sz w:val="27"/>
          <w:rtl/>
          <w:lang w:bidi="fa-IR"/>
        </w:rPr>
      </w:pPr>
      <w:r w:rsidRPr="00282AC9">
        <w:rPr>
          <w:rFonts w:hint="cs"/>
          <w:sz w:val="27"/>
          <w:rtl/>
          <w:lang w:bidi="fa-IR"/>
        </w:rPr>
        <w:t>ومن الغريب أنّ المحقّ</w:t>
      </w:r>
      <w:r w:rsidR="00573F35" w:rsidRPr="00282AC9">
        <w:rPr>
          <w:rFonts w:hint="cs"/>
          <w:sz w:val="27"/>
          <w:rtl/>
          <w:lang w:bidi="fa-IR"/>
        </w:rPr>
        <w:t>ِ</w:t>
      </w:r>
      <w:r w:rsidRPr="00282AC9">
        <w:rPr>
          <w:rFonts w:hint="cs"/>
          <w:sz w:val="27"/>
          <w:rtl/>
          <w:lang w:bidi="fa-IR"/>
        </w:rPr>
        <w:t>ق الإيرواني قد صرّ</w:t>
      </w:r>
      <w:r w:rsidR="00573F35" w:rsidRPr="00282AC9">
        <w:rPr>
          <w:rFonts w:hint="cs"/>
          <w:sz w:val="27"/>
          <w:rtl/>
          <w:lang w:bidi="fa-IR"/>
        </w:rPr>
        <w:t>َ</w:t>
      </w:r>
      <w:r w:rsidRPr="00282AC9">
        <w:rPr>
          <w:rFonts w:hint="cs"/>
          <w:sz w:val="27"/>
          <w:rtl/>
          <w:lang w:bidi="fa-IR"/>
        </w:rPr>
        <w:t>ح بإرجاع النكاح</w:t>
      </w:r>
      <w:r w:rsidR="00BC0925" w:rsidRPr="00282AC9">
        <w:rPr>
          <w:rFonts w:hint="cs"/>
          <w:sz w:val="27"/>
          <w:rtl/>
          <w:lang w:bidi="fa-IR"/>
        </w:rPr>
        <w:t xml:space="preserve"> إلى </w:t>
      </w:r>
      <w:r w:rsidRPr="00282AC9">
        <w:rPr>
          <w:rFonts w:hint="cs"/>
          <w:sz w:val="27"/>
          <w:rtl/>
          <w:lang w:bidi="fa-IR"/>
        </w:rPr>
        <w:t>المعاوضة</w:t>
      </w:r>
      <w:r w:rsidR="00573F35" w:rsidRPr="00282AC9">
        <w:rPr>
          <w:rFonts w:hint="cs"/>
          <w:sz w:val="27"/>
          <w:rtl/>
          <w:lang w:bidi="fa-IR"/>
        </w:rPr>
        <w:t>،</w:t>
      </w:r>
      <w:r w:rsidRPr="00282AC9">
        <w:rPr>
          <w:rFonts w:hint="cs"/>
          <w:sz w:val="27"/>
          <w:rtl/>
          <w:lang w:bidi="fa-IR"/>
        </w:rPr>
        <w:t xml:space="preserve"> بل</w:t>
      </w:r>
      <w:r w:rsidR="00BC0925" w:rsidRPr="00282AC9">
        <w:rPr>
          <w:rFonts w:hint="cs"/>
          <w:sz w:val="27"/>
          <w:rtl/>
          <w:lang w:bidi="fa-IR"/>
        </w:rPr>
        <w:t xml:space="preserve"> إلى </w:t>
      </w:r>
      <w:r w:rsidRPr="00282AC9">
        <w:rPr>
          <w:rFonts w:hint="cs"/>
          <w:sz w:val="27"/>
          <w:rtl/>
          <w:lang w:bidi="fa-IR"/>
        </w:rPr>
        <w:t xml:space="preserve">الإجارة، قال: </w:t>
      </w:r>
      <w:r w:rsidRPr="00282AC9">
        <w:rPr>
          <w:rFonts w:hint="cs"/>
          <w:sz w:val="24"/>
          <w:szCs w:val="24"/>
          <w:rtl/>
          <w:lang w:bidi="fa-IR"/>
        </w:rPr>
        <w:t>«</w:t>
      </w:r>
      <w:r w:rsidR="00573F35" w:rsidRPr="00282AC9">
        <w:rPr>
          <w:rFonts w:hint="cs"/>
          <w:sz w:val="27"/>
          <w:rtl/>
          <w:lang w:bidi="fa-IR"/>
        </w:rPr>
        <w:t>...</w:t>
      </w:r>
      <w:r w:rsidRPr="00282AC9">
        <w:rPr>
          <w:rFonts w:hint="cs"/>
          <w:sz w:val="27"/>
          <w:rtl/>
          <w:lang w:bidi="fa-IR"/>
        </w:rPr>
        <w:t>وممّا ذكرنا يسهل لك الأمر في بقية المعاملات؛ فإنّها يرجع كثير منها</w:t>
      </w:r>
      <w:r w:rsidR="00BC0925" w:rsidRPr="00282AC9">
        <w:rPr>
          <w:rFonts w:hint="cs"/>
          <w:sz w:val="27"/>
          <w:rtl/>
          <w:lang w:bidi="fa-IR"/>
        </w:rPr>
        <w:t xml:space="preserve"> إلى </w:t>
      </w:r>
      <w:r w:rsidRPr="00282AC9">
        <w:rPr>
          <w:rFonts w:hint="cs"/>
          <w:sz w:val="27"/>
          <w:rtl/>
          <w:lang w:bidi="fa-IR"/>
        </w:rPr>
        <w:t>ما ذك</w:t>
      </w:r>
      <w:r w:rsidR="00573F35" w:rsidRPr="00282AC9">
        <w:rPr>
          <w:rFonts w:hint="cs"/>
          <w:sz w:val="27"/>
          <w:rtl/>
          <w:lang w:bidi="fa-IR"/>
        </w:rPr>
        <w:t>َ</w:t>
      </w:r>
      <w:r w:rsidRPr="00282AC9">
        <w:rPr>
          <w:rFonts w:hint="cs"/>
          <w:sz w:val="27"/>
          <w:rtl/>
          <w:lang w:bidi="fa-IR"/>
        </w:rPr>
        <w:t>ر</w:t>
      </w:r>
      <w:r w:rsidR="00573F35" w:rsidRPr="00282AC9">
        <w:rPr>
          <w:rFonts w:hint="cs"/>
          <w:sz w:val="27"/>
          <w:rtl/>
          <w:lang w:bidi="fa-IR"/>
        </w:rPr>
        <w:t>ْ</w:t>
      </w:r>
      <w:r w:rsidRPr="00282AC9">
        <w:rPr>
          <w:rFonts w:hint="cs"/>
          <w:sz w:val="27"/>
          <w:rtl/>
          <w:lang w:bidi="fa-IR"/>
        </w:rPr>
        <w:t>نا؛ فإنّ مآل النكاح</w:t>
      </w:r>
      <w:r w:rsidR="00BC0925" w:rsidRPr="00282AC9">
        <w:rPr>
          <w:rFonts w:hint="cs"/>
          <w:sz w:val="27"/>
          <w:rtl/>
          <w:lang w:bidi="fa-IR"/>
        </w:rPr>
        <w:t xml:space="preserve"> إلى </w:t>
      </w:r>
      <w:r w:rsidRPr="00282AC9">
        <w:rPr>
          <w:rFonts w:hint="cs"/>
          <w:sz w:val="27"/>
          <w:rtl/>
          <w:lang w:bidi="fa-IR"/>
        </w:rPr>
        <w:t>الإجارة</w:t>
      </w:r>
      <w:r w:rsidR="00573F35" w:rsidRPr="00282AC9">
        <w:rPr>
          <w:rFonts w:hint="cs"/>
          <w:sz w:val="27"/>
          <w:rtl/>
          <w:lang w:bidi="fa-IR"/>
        </w:rPr>
        <w:t>،</w:t>
      </w:r>
      <w:r w:rsidRPr="00282AC9">
        <w:rPr>
          <w:rFonts w:hint="cs"/>
          <w:sz w:val="27"/>
          <w:rtl/>
          <w:lang w:bidi="fa-IR"/>
        </w:rPr>
        <w:t xml:space="preserve"> وتسليط الغير على منفع النفس منفعة</w:t>
      </w:r>
      <w:r w:rsidR="00573F35" w:rsidRPr="00282AC9">
        <w:rPr>
          <w:rFonts w:hint="cs"/>
          <w:sz w:val="27"/>
          <w:rtl/>
          <w:lang w:bidi="fa-IR"/>
        </w:rPr>
        <w:t>ً</w:t>
      </w:r>
      <w:r w:rsidRPr="00282AC9">
        <w:rPr>
          <w:rFonts w:hint="cs"/>
          <w:sz w:val="27"/>
          <w:rtl/>
          <w:lang w:bidi="fa-IR"/>
        </w:rPr>
        <w:t xml:space="preserve"> خاصّة، وهي منفعة البضع. وكذا المزارعة والمساقاة، وهما من جزئيات الإجارة، وقد تخصّ</w:t>
      </w:r>
      <w:r w:rsidR="00573F35" w:rsidRPr="00282AC9">
        <w:rPr>
          <w:rFonts w:hint="cs"/>
          <w:sz w:val="27"/>
          <w:rtl/>
          <w:lang w:bidi="fa-IR"/>
        </w:rPr>
        <w:t>َ</w:t>
      </w:r>
      <w:r w:rsidRPr="00282AC9">
        <w:rPr>
          <w:rFonts w:hint="cs"/>
          <w:sz w:val="27"/>
          <w:rtl/>
          <w:lang w:bidi="fa-IR"/>
        </w:rPr>
        <w:t>صتا بالتعلّ</w:t>
      </w:r>
      <w:r w:rsidR="00573F35" w:rsidRPr="00282AC9">
        <w:rPr>
          <w:rFonts w:hint="cs"/>
          <w:sz w:val="27"/>
          <w:rtl/>
          <w:lang w:bidi="fa-IR"/>
        </w:rPr>
        <w:t>ُ</w:t>
      </w:r>
      <w:r w:rsidRPr="00282AC9">
        <w:rPr>
          <w:rFonts w:hint="cs"/>
          <w:sz w:val="27"/>
          <w:rtl/>
          <w:lang w:bidi="fa-IR"/>
        </w:rPr>
        <w:t>ق بمتعلّ</w:t>
      </w:r>
      <w:r w:rsidR="00573F35" w:rsidRPr="00282AC9">
        <w:rPr>
          <w:rFonts w:hint="cs"/>
          <w:sz w:val="27"/>
          <w:rtl/>
          <w:lang w:bidi="fa-IR"/>
        </w:rPr>
        <w:t>َ</w:t>
      </w:r>
      <w:r w:rsidRPr="00282AC9">
        <w:rPr>
          <w:rFonts w:hint="cs"/>
          <w:sz w:val="27"/>
          <w:rtl/>
          <w:lang w:bidi="fa-IR"/>
        </w:rPr>
        <w:t>ق خاصّ</w:t>
      </w:r>
      <w:r w:rsidRPr="00282AC9">
        <w:rPr>
          <w:rFonts w:hint="cs"/>
          <w:sz w:val="24"/>
          <w:szCs w:val="24"/>
          <w:rtl/>
          <w:lang w:bidi="fa-IR"/>
        </w:rPr>
        <w:t>»</w:t>
      </w:r>
      <w:r w:rsidRPr="00282AC9">
        <w:rPr>
          <w:sz w:val="27"/>
          <w:vertAlign w:val="superscript"/>
          <w:rtl/>
        </w:rPr>
        <w:t>(</w:t>
      </w:r>
      <w:r w:rsidRPr="00282AC9">
        <w:rPr>
          <w:sz w:val="27"/>
          <w:vertAlign w:val="superscript"/>
          <w:rtl/>
        </w:rPr>
        <w:endnoteReference w:id="980"/>
      </w:r>
      <w:r w:rsidRPr="00282AC9">
        <w:rPr>
          <w:rFonts w:hint="cs"/>
          <w:sz w:val="27"/>
          <w:vertAlign w:val="superscript"/>
          <w:rtl/>
        </w:rPr>
        <w:t>)</w:t>
      </w:r>
      <w:r w:rsidRPr="00282AC9">
        <w:rPr>
          <w:rFonts w:hint="cs"/>
          <w:sz w:val="27"/>
          <w:rtl/>
        </w:rPr>
        <w:t>.</w:t>
      </w:r>
    </w:p>
    <w:p w:rsidR="0062395A" w:rsidRPr="00282AC9" w:rsidRDefault="0062395A" w:rsidP="00495D24">
      <w:pPr>
        <w:rPr>
          <w:sz w:val="27"/>
          <w:rtl/>
          <w:lang w:bidi="fa-IR"/>
        </w:rPr>
      </w:pPr>
      <w:r w:rsidRPr="00282AC9">
        <w:rPr>
          <w:rFonts w:hint="cs"/>
          <w:sz w:val="27"/>
          <w:rtl/>
          <w:lang w:bidi="fa-IR"/>
        </w:rPr>
        <w:t>فمع التسليم بكونه معاوضة</w:t>
      </w:r>
      <w:r w:rsidR="00573F35" w:rsidRPr="00282AC9">
        <w:rPr>
          <w:rFonts w:hint="cs"/>
          <w:sz w:val="27"/>
          <w:rtl/>
          <w:lang w:bidi="fa-IR"/>
        </w:rPr>
        <w:t>ً</w:t>
      </w:r>
      <w:r w:rsidRPr="00282AC9">
        <w:rPr>
          <w:rFonts w:hint="cs"/>
          <w:sz w:val="27"/>
          <w:rtl/>
          <w:lang w:bidi="fa-IR"/>
        </w:rPr>
        <w:t xml:space="preserve"> كيف يُدّ</w:t>
      </w:r>
      <w:r w:rsidR="00573F35" w:rsidRPr="00282AC9">
        <w:rPr>
          <w:rFonts w:hint="cs"/>
          <w:sz w:val="27"/>
          <w:rtl/>
          <w:lang w:bidi="fa-IR"/>
        </w:rPr>
        <w:t>َ</w:t>
      </w:r>
      <w:r w:rsidRPr="00282AC9">
        <w:rPr>
          <w:rFonts w:hint="cs"/>
          <w:sz w:val="27"/>
          <w:rtl/>
          <w:lang w:bidi="fa-IR"/>
        </w:rPr>
        <w:t>عى أنّه إجارة</w:t>
      </w:r>
      <w:r w:rsidR="00573F35" w:rsidRPr="00282AC9">
        <w:rPr>
          <w:rFonts w:hint="cs"/>
          <w:sz w:val="27"/>
          <w:rtl/>
          <w:lang w:bidi="fa-IR"/>
        </w:rPr>
        <w:t>ٌ</w:t>
      </w:r>
      <w:r w:rsidRPr="00282AC9">
        <w:rPr>
          <w:rFonts w:hint="cs"/>
          <w:sz w:val="27"/>
          <w:rtl/>
          <w:lang w:bidi="fa-IR"/>
        </w:rPr>
        <w:t>؟!</w:t>
      </w:r>
    </w:p>
    <w:p w:rsidR="0062395A" w:rsidRPr="00282AC9" w:rsidRDefault="00573F35" w:rsidP="00495D24">
      <w:pPr>
        <w:rPr>
          <w:sz w:val="27"/>
          <w:rtl/>
          <w:lang w:bidi="fa-IR"/>
        </w:rPr>
      </w:pPr>
      <w:r w:rsidRPr="00282AC9">
        <w:rPr>
          <w:rFonts w:hint="cs"/>
          <w:sz w:val="27"/>
          <w:rtl/>
          <w:lang w:bidi="fa-IR"/>
        </w:rPr>
        <w:t>أجل، رُبَ</w:t>
      </w:r>
      <w:r w:rsidR="0062395A" w:rsidRPr="00282AC9">
        <w:rPr>
          <w:rFonts w:hint="cs"/>
          <w:sz w:val="27"/>
          <w:rtl/>
          <w:lang w:bidi="fa-IR"/>
        </w:rPr>
        <w:t>ما يكون لهذه الدعوى وجه</w:t>
      </w:r>
      <w:r w:rsidRPr="00282AC9">
        <w:rPr>
          <w:rFonts w:hint="cs"/>
          <w:sz w:val="27"/>
          <w:rtl/>
          <w:lang w:bidi="fa-IR"/>
        </w:rPr>
        <w:t>ٌ</w:t>
      </w:r>
      <w:r w:rsidR="0062395A" w:rsidRPr="00282AC9">
        <w:rPr>
          <w:rFonts w:hint="cs"/>
          <w:sz w:val="27"/>
          <w:rtl/>
          <w:lang w:bidi="fa-IR"/>
        </w:rPr>
        <w:t xml:space="preserve"> بالنسبة</w:t>
      </w:r>
      <w:r w:rsidR="00BC0925" w:rsidRPr="00282AC9">
        <w:rPr>
          <w:rFonts w:hint="cs"/>
          <w:sz w:val="27"/>
          <w:rtl/>
          <w:lang w:bidi="fa-IR"/>
        </w:rPr>
        <w:t xml:space="preserve"> إلى </w:t>
      </w:r>
      <w:r w:rsidR="0062395A" w:rsidRPr="00282AC9">
        <w:rPr>
          <w:rFonts w:hint="cs"/>
          <w:sz w:val="27"/>
          <w:rtl/>
          <w:lang w:bidi="fa-IR"/>
        </w:rPr>
        <w:t>النكاح المؤقّ</w:t>
      </w:r>
      <w:r w:rsidRPr="00282AC9">
        <w:rPr>
          <w:rFonts w:hint="cs"/>
          <w:sz w:val="27"/>
          <w:rtl/>
          <w:lang w:bidi="fa-IR"/>
        </w:rPr>
        <w:t>َ</w:t>
      </w:r>
      <w:r w:rsidR="0062395A" w:rsidRPr="00282AC9">
        <w:rPr>
          <w:rFonts w:hint="cs"/>
          <w:sz w:val="27"/>
          <w:rtl/>
          <w:lang w:bidi="fa-IR"/>
        </w:rPr>
        <w:t>ت، وإن</w:t>
      </w:r>
      <w:r w:rsidRPr="00282AC9">
        <w:rPr>
          <w:rFonts w:hint="cs"/>
          <w:sz w:val="27"/>
          <w:rtl/>
          <w:lang w:bidi="fa-IR"/>
        </w:rPr>
        <w:t>ْ</w:t>
      </w:r>
      <w:r w:rsidR="0062395A" w:rsidRPr="00282AC9">
        <w:rPr>
          <w:rFonts w:hint="cs"/>
          <w:sz w:val="27"/>
          <w:rtl/>
          <w:lang w:bidi="fa-IR"/>
        </w:rPr>
        <w:t xml:space="preserve"> كنّا نرفضها أيضاً.</w:t>
      </w:r>
    </w:p>
    <w:p w:rsidR="0062395A" w:rsidRPr="00282AC9" w:rsidRDefault="0062395A" w:rsidP="00495D24">
      <w:pPr>
        <w:rPr>
          <w:sz w:val="27"/>
          <w:rtl/>
          <w:lang w:bidi="fa-IR"/>
        </w:rPr>
      </w:pPr>
      <w:r w:rsidRPr="00282AC9">
        <w:rPr>
          <w:rFonts w:hint="cs"/>
          <w:sz w:val="27"/>
          <w:rtl/>
          <w:lang w:bidi="fa-IR"/>
        </w:rPr>
        <w:t>وعلى أيّ حال</w:t>
      </w:r>
      <w:r w:rsidR="00573F35" w:rsidRPr="00282AC9">
        <w:rPr>
          <w:rFonts w:hint="cs"/>
          <w:sz w:val="27"/>
          <w:rtl/>
          <w:lang w:bidi="fa-IR"/>
        </w:rPr>
        <w:t>ٍ</w:t>
      </w:r>
      <w:r w:rsidRPr="00282AC9">
        <w:rPr>
          <w:rFonts w:hint="cs"/>
          <w:sz w:val="27"/>
          <w:rtl/>
          <w:lang w:bidi="fa-IR"/>
        </w:rPr>
        <w:t xml:space="preserve"> فمع فرض التسليم بكون النكاح معاوضة</w:t>
      </w:r>
      <w:r w:rsidR="00573F35" w:rsidRPr="00282AC9">
        <w:rPr>
          <w:rFonts w:hint="cs"/>
          <w:sz w:val="27"/>
          <w:rtl/>
          <w:lang w:bidi="fa-IR"/>
        </w:rPr>
        <w:t>ً</w:t>
      </w:r>
      <w:r w:rsidRPr="00282AC9">
        <w:rPr>
          <w:rFonts w:hint="cs"/>
          <w:sz w:val="27"/>
          <w:rtl/>
          <w:lang w:bidi="fa-IR"/>
        </w:rPr>
        <w:t xml:space="preserve"> أو إجارة</w:t>
      </w:r>
      <w:r w:rsidR="00573F35" w:rsidRPr="00282AC9">
        <w:rPr>
          <w:rFonts w:hint="cs"/>
          <w:sz w:val="27"/>
          <w:rtl/>
          <w:lang w:bidi="fa-IR"/>
        </w:rPr>
        <w:t>ً</w:t>
      </w:r>
      <w:r w:rsidRPr="00282AC9">
        <w:rPr>
          <w:rFonts w:hint="cs"/>
          <w:sz w:val="27"/>
          <w:rtl/>
          <w:lang w:bidi="fa-IR"/>
        </w:rPr>
        <w:t xml:space="preserve"> كيف يتمّ تصويره طبقاً لفرضي</w:t>
      </w:r>
      <w:r w:rsidR="00573F35" w:rsidRPr="00282AC9">
        <w:rPr>
          <w:rFonts w:hint="cs"/>
          <w:sz w:val="27"/>
          <w:rtl/>
          <w:lang w:bidi="fa-IR"/>
        </w:rPr>
        <w:t>ّ</w:t>
      </w:r>
      <w:r w:rsidRPr="00282AC9">
        <w:rPr>
          <w:rFonts w:hint="cs"/>
          <w:sz w:val="27"/>
          <w:rtl/>
          <w:lang w:bidi="fa-IR"/>
        </w:rPr>
        <w:t>ة الإعراض؟!</w:t>
      </w:r>
    </w:p>
    <w:p w:rsidR="0062395A" w:rsidRPr="00282AC9" w:rsidRDefault="0062395A" w:rsidP="00495D24">
      <w:pPr>
        <w:rPr>
          <w:sz w:val="27"/>
          <w:rtl/>
          <w:lang w:bidi="fa-IR"/>
        </w:rPr>
      </w:pPr>
      <w:r w:rsidRPr="00282AC9">
        <w:rPr>
          <w:rFonts w:hint="cs"/>
          <w:sz w:val="27"/>
          <w:rtl/>
          <w:lang w:bidi="fa-IR"/>
        </w:rPr>
        <w:t>هذا، وقد عثرت</w:t>
      </w:r>
      <w:r w:rsidR="00573F35" w:rsidRPr="00282AC9">
        <w:rPr>
          <w:rFonts w:hint="cs"/>
          <w:sz w:val="27"/>
          <w:rtl/>
          <w:lang w:bidi="fa-IR"/>
        </w:rPr>
        <w:t>ُ</w:t>
      </w:r>
      <w:r w:rsidRPr="00282AC9">
        <w:rPr>
          <w:rFonts w:hint="cs"/>
          <w:sz w:val="27"/>
          <w:rtl/>
          <w:lang w:bidi="fa-IR"/>
        </w:rPr>
        <w:t xml:space="preserve"> أخيراً على بيان</w:t>
      </w:r>
      <w:r w:rsidR="00573F35" w:rsidRPr="00282AC9">
        <w:rPr>
          <w:rFonts w:hint="cs"/>
          <w:sz w:val="27"/>
          <w:rtl/>
          <w:lang w:bidi="fa-IR"/>
        </w:rPr>
        <w:t>ٍ</w:t>
      </w:r>
      <w:r w:rsidRPr="00282AC9">
        <w:rPr>
          <w:rFonts w:hint="cs"/>
          <w:sz w:val="27"/>
          <w:rtl/>
          <w:lang w:bidi="fa-IR"/>
        </w:rPr>
        <w:t xml:space="preserve"> للشهيد الصدر في هذا المضمار</w:t>
      </w:r>
      <w:r w:rsidR="00573F35" w:rsidRPr="00282AC9">
        <w:rPr>
          <w:rFonts w:hint="cs"/>
          <w:sz w:val="27"/>
          <w:rtl/>
          <w:lang w:bidi="fa-IR"/>
        </w:rPr>
        <w:t>،</w:t>
      </w:r>
      <w:r w:rsidRPr="00282AC9">
        <w:rPr>
          <w:rFonts w:hint="cs"/>
          <w:sz w:val="27"/>
          <w:rtl/>
          <w:lang w:bidi="fa-IR"/>
        </w:rPr>
        <w:t xml:space="preserve"> بمناسبة البحث عن التمليك المجّاني، قال: </w:t>
      </w:r>
      <w:r w:rsidRPr="00282AC9">
        <w:rPr>
          <w:rFonts w:hint="cs"/>
          <w:sz w:val="24"/>
          <w:szCs w:val="24"/>
          <w:rtl/>
          <w:lang w:bidi="fa-IR"/>
        </w:rPr>
        <w:t>«</w:t>
      </w:r>
      <w:r w:rsidRPr="00282AC9">
        <w:rPr>
          <w:rFonts w:hint="cs"/>
          <w:sz w:val="27"/>
          <w:rtl/>
          <w:lang w:bidi="fa-IR"/>
        </w:rPr>
        <w:t>ولعلّ من هذا القبيل: المَه</w:t>
      </w:r>
      <w:r w:rsidR="00BE6BFA" w:rsidRPr="00282AC9">
        <w:rPr>
          <w:rFonts w:hint="cs"/>
          <w:sz w:val="27"/>
          <w:rtl/>
          <w:lang w:bidi="fa-IR"/>
        </w:rPr>
        <w:t>ْ</w:t>
      </w:r>
      <w:r w:rsidRPr="00282AC9">
        <w:rPr>
          <w:rFonts w:hint="cs"/>
          <w:sz w:val="27"/>
          <w:rtl/>
          <w:lang w:bidi="fa-IR"/>
        </w:rPr>
        <w:t>ر، وإن</w:t>
      </w:r>
      <w:r w:rsidR="00BE6BFA" w:rsidRPr="00282AC9">
        <w:rPr>
          <w:rFonts w:hint="cs"/>
          <w:sz w:val="27"/>
          <w:rtl/>
          <w:lang w:bidi="fa-IR"/>
        </w:rPr>
        <w:t>ْ</w:t>
      </w:r>
      <w:r w:rsidRPr="00282AC9">
        <w:rPr>
          <w:rFonts w:hint="cs"/>
          <w:sz w:val="27"/>
          <w:rtl/>
          <w:lang w:bidi="fa-IR"/>
        </w:rPr>
        <w:t xml:space="preserve"> قال الفقهاء بأنّه مُطعَّم</w:t>
      </w:r>
      <w:r w:rsidR="00BE6BFA" w:rsidRPr="00282AC9">
        <w:rPr>
          <w:rFonts w:hint="cs"/>
          <w:sz w:val="27"/>
          <w:rtl/>
          <w:lang w:bidi="fa-IR"/>
        </w:rPr>
        <w:t>ٌ بالمعاوضة</w:t>
      </w:r>
      <w:r w:rsidRPr="00282AC9">
        <w:rPr>
          <w:sz w:val="27"/>
          <w:vertAlign w:val="superscript"/>
          <w:rtl/>
          <w:lang w:bidi="fa-IR"/>
        </w:rPr>
        <w:t>(</w:t>
      </w:r>
      <w:r w:rsidRPr="00282AC9">
        <w:rPr>
          <w:sz w:val="27"/>
          <w:vertAlign w:val="superscript"/>
          <w:rtl/>
          <w:lang w:bidi="fa-IR"/>
        </w:rPr>
        <w:endnoteReference w:id="981"/>
      </w:r>
      <w:r w:rsidRPr="00282AC9">
        <w:rPr>
          <w:rFonts w:hint="cs"/>
          <w:sz w:val="27"/>
          <w:vertAlign w:val="superscript"/>
          <w:rtl/>
          <w:lang w:bidi="fa-IR"/>
        </w:rPr>
        <w:t>)</w:t>
      </w:r>
      <w:r w:rsidRPr="00282AC9">
        <w:rPr>
          <w:rFonts w:hint="cs"/>
          <w:sz w:val="27"/>
          <w:rtl/>
          <w:lang w:bidi="fa-IR"/>
        </w:rPr>
        <w:t>، لكنّ المقصود من ذلك وجود الداعي على نحو الحيثية التعليلي</w:t>
      </w:r>
      <w:r w:rsidR="00BE6BFA" w:rsidRPr="00282AC9">
        <w:rPr>
          <w:rFonts w:hint="cs"/>
          <w:sz w:val="27"/>
          <w:rtl/>
          <w:lang w:bidi="fa-IR"/>
        </w:rPr>
        <w:t>ّ</w:t>
      </w:r>
      <w:r w:rsidRPr="00282AC9">
        <w:rPr>
          <w:rFonts w:hint="cs"/>
          <w:sz w:val="27"/>
          <w:rtl/>
          <w:lang w:bidi="fa-IR"/>
        </w:rPr>
        <w:t>ة</w:t>
      </w:r>
      <w:r w:rsidR="00BE6BFA" w:rsidRPr="00282AC9">
        <w:rPr>
          <w:rFonts w:hint="cs"/>
          <w:sz w:val="27"/>
          <w:rtl/>
          <w:lang w:bidi="fa-IR"/>
        </w:rPr>
        <w:t>،</w:t>
      </w:r>
      <w:r w:rsidRPr="00282AC9">
        <w:rPr>
          <w:rFonts w:hint="cs"/>
          <w:sz w:val="27"/>
          <w:rtl/>
          <w:lang w:bidi="fa-IR"/>
        </w:rPr>
        <w:t xml:space="preserve"> لا التقييدية، فليس في البَين معاوضة</w:t>
      </w:r>
      <w:r w:rsidR="00BE6BFA" w:rsidRPr="00282AC9">
        <w:rPr>
          <w:rFonts w:hint="cs"/>
          <w:sz w:val="27"/>
          <w:rtl/>
          <w:lang w:bidi="fa-IR"/>
        </w:rPr>
        <w:t>ٌ</w:t>
      </w:r>
      <w:r w:rsidRPr="00282AC9">
        <w:rPr>
          <w:rFonts w:hint="cs"/>
          <w:sz w:val="27"/>
          <w:rtl/>
          <w:lang w:bidi="fa-IR"/>
        </w:rPr>
        <w:t xml:space="preserve"> بح</w:t>
      </w:r>
      <w:r w:rsidR="00BE6BFA" w:rsidRPr="00282AC9">
        <w:rPr>
          <w:rFonts w:hint="cs"/>
          <w:sz w:val="27"/>
          <w:rtl/>
          <w:lang w:bidi="fa-IR"/>
        </w:rPr>
        <w:t>َ</w:t>
      </w:r>
      <w:r w:rsidRPr="00282AC9">
        <w:rPr>
          <w:rFonts w:hint="cs"/>
          <w:sz w:val="27"/>
          <w:rtl/>
          <w:lang w:bidi="fa-IR"/>
        </w:rPr>
        <w:t>س</w:t>
      </w:r>
      <w:r w:rsidR="00BE6BFA" w:rsidRPr="00282AC9">
        <w:rPr>
          <w:rFonts w:hint="cs"/>
          <w:sz w:val="27"/>
          <w:rtl/>
          <w:lang w:bidi="fa-IR"/>
        </w:rPr>
        <w:t>َ</w:t>
      </w:r>
      <w:r w:rsidRPr="00282AC9">
        <w:rPr>
          <w:rFonts w:hint="cs"/>
          <w:sz w:val="27"/>
          <w:rtl/>
          <w:lang w:bidi="fa-IR"/>
        </w:rPr>
        <w:t>ب قانون المعاملة، ولا بح</w:t>
      </w:r>
      <w:r w:rsidR="00BE6BFA" w:rsidRPr="00282AC9">
        <w:rPr>
          <w:rFonts w:hint="cs"/>
          <w:sz w:val="27"/>
          <w:rtl/>
          <w:lang w:bidi="fa-IR"/>
        </w:rPr>
        <w:t>َ</w:t>
      </w:r>
      <w:r w:rsidRPr="00282AC9">
        <w:rPr>
          <w:rFonts w:hint="cs"/>
          <w:sz w:val="27"/>
          <w:rtl/>
          <w:lang w:bidi="fa-IR"/>
        </w:rPr>
        <w:t>س</w:t>
      </w:r>
      <w:r w:rsidR="00BE6BFA" w:rsidRPr="00282AC9">
        <w:rPr>
          <w:rFonts w:hint="cs"/>
          <w:sz w:val="27"/>
          <w:rtl/>
          <w:lang w:bidi="fa-IR"/>
        </w:rPr>
        <w:t>َ</w:t>
      </w:r>
      <w:r w:rsidRPr="00282AC9">
        <w:rPr>
          <w:rFonts w:hint="cs"/>
          <w:sz w:val="27"/>
          <w:rtl/>
          <w:lang w:bidi="fa-IR"/>
        </w:rPr>
        <w:t>ب المُن</w:t>
      </w:r>
      <w:r w:rsidR="00BE6BFA" w:rsidRPr="00282AC9">
        <w:rPr>
          <w:rFonts w:hint="cs"/>
          <w:sz w:val="27"/>
          <w:rtl/>
          <w:lang w:bidi="fa-IR"/>
        </w:rPr>
        <w:t>ْ</w:t>
      </w:r>
      <w:r w:rsidRPr="00282AC9">
        <w:rPr>
          <w:rFonts w:hint="cs"/>
          <w:sz w:val="27"/>
          <w:rtl/>
          <w:lang w:bidi="fa-IR"/>
        </w:rPr>
        <w:t>شَأ فيها، فالزواج ليس معاملة</w:t>
      </w:r>
      <w:r w:rsidR="00BE6BFA" w:rsidRPr="00282AC9">
        <w:rPr>
          <w:rFonts w:hint="cs"/>
          <w:sz w:val="27"/>
          <w:rtl/>
          <w:lang w:bidi="fa-IR"/>
        </w:rPr>
        <w:t>ً</w:t>
      </w:r>
      <w:r w:rsidRPr="00282AC9">
        <w:rPr>
          <w:rFonts w:hint="cs"/>
          <w:sz w:val="27"/>
          <w:rtl/>
          <w:lang w:bidi="fa-IR"/>
        </w:rPr>
        <w:t xml:space="preserve"> أو معاوضة</w:t>
      </w:r>
      <w:r w:rsidR="00BE6BFA" w:rsidRPr="00282AC9">
        <w:rPr>
          <w:rFonts w:hint="cs"/>
          <w:sz w:val="27"/>
          <w:rtl/>
          <w:lang w:bidi="fa-IR"/>
        </w:rPr>
        <w:t>ً</w:t>
      </w:r>
      <w:r w:rsidRPr="00282AC9">
        <w:rPr>
          <w:rFonts w:hint="cs"/>
          <w:sz w:val="27"/>
          <w:rtl/>
          <w:lang w:bidi="fa-IR"/>
        </w:rPr>
        <w:t xml:space="preserve"> أو مبادلة</w:t>
      </w:r>
      <w:r w:rsidR="00BE6BFA" w:rsidRPr="00282AC9">
        <w:rPr>
          <w:rFonts w:hint="cs"/>
          <w:sz w:val="27"/>
          <w:rtl/>
          <w:lang w:bidi="fa-IR"/>
        </w:rPr>
        <w:t>ً</w:t>
      </w:r>
      <w:r w:rsidRPr="00282AC9">
        <w:rPr>
          <w:rFonts w:hint="cs"/>
          <w:sz w:val="27"/>
          <w:rtl/>
          <w:lang w:bidi="fa-IR"/>
        </w:rPr>
        <w:t>، وإنّما هو إكرام</w:t>
      </w:r>
      <w:r w:rsidR="00BE6BFA" w:rsidRPr="00282AC9">
        <w:rPr>
          <w:rFonts w:hint="cs"/>
          <w:sz w:val="27"/>
          <w:rtl/>
          <w:lang w:bidi="fa-IR"/>
        </w:rPr>
        <w:t>ٌ</w:t>
      </w:r>
      <w:r w:rsidRPr="00282AC9">
        <w:rPr>
          <w:rFonts w:hint="cs"/>
          <w:sz w:val="27"/>
          <w:rtl/>
          <w:lang w:bidi="fa-IR"/>
        </w:rPr>
        <w:t xml:space="preserve"> وإحسان</w:t>
      </w:r>
      <w:r w:rsidR="00BE6BFA" w:rsidRPr="00282AC9">
        <w:rPr>
          <w:rFonts w:hint="cs"/>
          <w:sz w:val="27"/>
          <w:rtl/>
          <w:lang w:bidi="fa-IR"/>
        </w:rPr>
        <w:t>ٌ</w:t>
      </w:r>
      <w:r w:rsidRPr="00282AC9">
        <w:rPr>
          <w:rFonts w:hint="cs"/>
          <w:sz w:val="27"/>
          <w:rtl/>
          <w:lang w:bidi="fa-IR"/>
        </w:rPr>
        <w:t xml:space="preserve"> وإنعام</w:t>
      </w:r>
      <w:r w:rsidR="00BE6BFA" w:rsidRPr="00282AC9">
        <w:rPr>
          <w:rFonts w:hint="cs"/>
          <w:sz w:val="27"/>
          <w:rtl/>
          <w:lang w:bidi="fa-IR"/>
        </w:rPr>
        <w:t>ٌ</w:t>
      </w:r>
      <w:r w:rsidRPr="00282AC9">
        <w:rPr>
          <w:rFonts w:hint="cs"/>
          <w:sz w:val="27"/>
          <w:rtl/>
          <w:lang w:bidi="fa-IR"/>
        </w:rPr>
        <w:t xml:space="preserve"> للمرأة من قِب</w:t>
      </w:r>
      <w:r w:rsidR="00BE6BFA" w:rsidRPr="00282AC9">
        <w:rPr>
          <w:rFonts w:hint="cs"/>
          <w:sz w:val="27"/>
          <w:rtl/>
          <w:lang w:bidi="fa-IR"/>
        </w:rPr>
        <w:t>َ</w:t>
      </w:r>
      <w:r w:rsidRPr="00282AC9">
        <w:rPr>
          <w:rFonts w:hint="cs"/>
          <w:sz w:val="27"/>
          <w:rtl/>
          <w:lang w:bidi="fa-IR"/>
        </w:rPr>
        <w:t>ل الزوج، وتمليك</w:t>
      </w:r>
      <w:r w:rsidR="00BE6BFA" w:rsidRPr="00282AC9">
        <w:rPr>
          <w:rFonts w:hint="cs"/>
          <w:sz w:val="27"/>
          <w:rtl/>
          <w:lang w:bidi="fa-IR"/>
        </w:rPr>
        <w:t>ٌ</w:t>
      </w:r>
      <w:r w:rsidRPr="00282AC9">
        <w:rPr>
          <w:rFonts w:hint="cs"/>
          <w:sz w:val="27"/>
          <w:rtl/>
          <w:lang w:bidi="fa-IR"/>
        </w:rPr>
        <w:t xml:space="preserve"> شبه مجّاني</w:t>
      </w:r>
      <w:r w:rsidR="00BE6BFA" w:rsidRPr="00282AC9">
        <w:rPr>
          <w:rFonts w:hint="cs"/>
          <w:sz w:val="27"/>
          <w:rtl/>
          <w:lang w:bidi="fa-IR"/>
        </w:rPr>
        <w:t>ّ،</w:t>
      </w:r>
      <w:r w:rsidRPr="00282AC9">
        <w:rPr>
          <w:rFonts w:hint="cs"/>
          <w:sz w:val="27"/>
          <w:rtl/>
          <w:lang w:bidi="fa-IR"/>
        </w:rPr>
        <w:t xml:space="preserve"> لا يُشترط فيه القبض خارجاً</w:t>
      </w:r>
      <w:r w:rsidRPr="00282AC9">
        <w:rPr>
          <w:rFonts w:hint="cs"/>
          <w:sz w:val="24"/>
          <w:szCs w:val="24"/>
          <w:rtl/>
          <w:lang w:bidi="fa-IR"/>
        </w:rPr>
        <w:t>»</w:t>
      </w:r>
      <w:r w:rsidRPr="00282AC9">
        <w:rPr>
          <w:sz w:val="27"/>
          <w:vertAlign w:val="superscript"/>
          <w:rtl/>
        </w:rPr>
        <w:t>(</w:t>
      </w:r>
      <w:r w:rsidRPr="00282AC9">
        <w:rPr>
          <w:sz w:val="27"/>
          <w:vertAlign w:val="superscript"/>
          <w:rtl/>
        </w:rPr>
        <w:endnoteReference w:id="982"/>
      </w:r>
      <w:r w:rsidRPr="00282AC9">
        <w:rPr>
          <w:rFonts w:hint="cs"/>
          <w:sz w:val="27"/>
          <w:vertAlign w:val="superscript"/>
          <w:rtl/>
        </w:rPr>
        <w:t>)</w:t>
      </w:r>
      <w:r w:rsidRPr="00282AC9">
        <w:rPr>
          <w:rFonts w:hint="cs"/>
          <w:sz w:val="27"/>
          <w:rtl/>
        </w:rPr>
        <w:t>.</w:t>
      </w:r>
    </w:p>
    <w:p w:rsidR="0062395A" w:rsidRPr="00282AC9" w:rsidRDefault="0062395A" w:rsidP="00495D24">
      <w:pPr>
        <w:rPr>
          <w:sz w:val="27"/>
          <w:rtl/>
          <w:lang w:bidi="fa-IR"/>
        </w:rPr>
      </w:pPr>
      <w:r w:rsidRPr="00282AC9">
        <w:rPr>
          <w:rFonts w:hint="cs"/>
          <w:sz w:val="27"/>
          <w:rtl/>
        </w:rPr>
        <w:t>3ـ ثمّ ما هو حال سائر النواقل</w:t>
      </w:r>
      <w:r w:rsidR="00BE6BFA" w:rsidRPr="00282AC9">
        <w:rPr>
          <w:rFonts w:hint="cs"/>
          <w:sz w:val="27"/>
          <w:rtl/>
        </w:rPr>
        <w:t>،</w:t>
      </w:r>
      <w:r w:rsidRPr="00282AC9">
        <w:rPr>
          <w:rFonts w:hint="cs"/>
          <w:sz w:val="27"/>
          <w:rtl/>
        </w:rPr>
        <w:t xml:space="preserve"> كالإرث؟! فهل يتمّ التمليك فيه على أساس الحيازة؟! فإنّه من المست</w:t>
      </w:r>
      <w:r w:rsidR="00BE6BFA" w:rsidRPr="00282AC9">
        <w:rPr>
          <w:rFonts w:hint="cs"/>
          <w:sz w:val="27"/>
          <w:rtl/>
        </w:rPr>
        <w:t>َ</w:t>
      </w:r>
      <w:r w:rsidRPr="00282AC9">
        <w:rPr>
          <w:rFonts w:hint="cs"/>
          <w:sz w:val="27"/>
          <w:rtl/>
        </w:rPr>
        <w:t>ب</w:t>
      </w:r>
      <w:r w:rsidR="00BE6BFA" w:rsidRPr="00282AC9">
        <w:rPr>
          <w:rFonts w:hint="cs"/>
          <w:sz w:val="27"/>
          <w:rtl/>
        </w:rPr>
        <w:t>ْ</w:t>
      </w:r>
      <w:r w:rsidRPr="00282AC9">
        <w:rPr>
          <w:rFonts w:hint="cs"/>
          <w:sz w:val="27"/>
          <w:rtl/>
        </w:rPr>
        <w:t>ع</w:t>
      </w:r>
      <w:r w:rsidR="00BE6BFA" w:rsidRPr="00282AC9">
        <w:rPr>
          <w:rFonts w:hint="cs"/>
          <w:sz w:val="27"/>
          <w:rtl/>
        </w:rPr>
        <w:t>َ</w:t>
      </w:r>
      <w:r w:rsidRPr="00282AC9">
        <w:rPr>
          <w:rFonts w:hint="cs"/>
          <w:sz w:val="27"/>
          <w:rtl/>
        </w:rPr>
        <w:t>د جدّاً إرجاعه إليها</w:t>
      </w:r>
      <w:r w:rsidR="00BE6BFA" w:rsidRPr="00282AC9">
        <w:rPr>
          <w:rFonts w:hint="cs"/>
          <w:sz w:val="27"/>
          <w:rtl/>
        </w:rPr>
        <w:t>.</w:t>
      </w:r>
      <w:r w:rsidRPr="00282AC9">
        <w:rPr>
          <w:rFonts w:hint="cs"/>
          <w:sz w:val="27"/>
          <w:rtl/>
        </w:rPr>
        <w:t xml:space="preserve"> ولنا رؤية</w:t>
      </w:r>
      <w:r w:rsidR="00BE6BFA" w:rsidRPr="00282AC9">
        <w:rPr>
          <w:rFonts w:hint="cs"/>
          <w:sz w:val="27"/>
          <w:rtl/>
        </w:rPr>
        <w:t>ٌ</w:t>
      </w:r>
      <w:r w:rsidRPr="00282AC9">
        <w:rPr>
          <w:rFonts w:hint="cs"/>
          <w:sz w:val="27"/>
          <w:rtl/>
        </w:rPr>
        <w:t xml:space="preserve"> خاصّة حول الإرث</w:t>
      </w:r>
      <w:r w:rsidR="00BE6BFA" w:rsidRPr="00282AC9">
        <w:rPr>
          <w:rFonts w:hint="cs"/>
          <w:sz w:val="27"/>
          <w:rtl/>
        </w:rPr>
        <w:t>،</w:t>
      </w:r>
      <w:r w:rsidRPr="00282AC9">
        <w:rPr>
          <w:rFonts w:hint="cs"/>
          <w:sz w:val="27"/>
          <w:rtl/>
        </w:rPr>
        <w:t xml:space="preserve"> عسى أن نُوفّ</w:t>
      </w:r>
      <w:r w:rsidR="00BE6BFA" w:rsidRPr="00282AC9">
        <w:rPr>
          <w:rFonts w:hint="cs"/>
          <w:sz w:val="27"/>
          <w:rtl/>
        </w:rPr>
        <w:t>َ</w:t>
      </w:r>
      <w:r w:rsidRPr="00282AC9">
        <w:rPr>
          <w:rFonts w:hint="cs"/>
          <w:sz w:val="27"/>
          <w:rtl/>
        </w:rPr>
        <w:t>ق لبحثها لاحقاً</w:t>
      </w:r>
      <w:r w:rsidR="00BE6BFA" w:rsidRPr="00282AC9">
        <w:rPr>
          <w:rFonts w:hint="cs"/>
          <w:sz w:val="27"/>
          <w:rtl/>
        </w:rPr>
        <w:t>،</w:t>
      </w:r>
      <w:r w:rsidRPr="00282AC9">
        <w:rPr>
          <w:rFonts w:hint="cs"/>
          <w:sz w:val="27"/>
          <w:rtl/>
        </w:rPr>
        <w:t xml:space="preserve"> إن</w:t>
      </w:r>
      <w:r w:rsidR="00BE6BFA" w:rsidRPr="00282AC9">
        <w:rPr>
          <w:rFonts w:hint="cs"/>
          <w:sz w:val="27"/>
          <w:rtl/>
        </w:rPr>
        <w:t>ْ</w:t>
      </w:r>
      <w:r w:rsidRPr="00282AC9">
        <w:rPr>
          <w:rFonts w:hint="cs"/>
          <w:sz w:val="27"/>
          <w:rtl/>
        </w:rPr>
        <w:t xml:space="preserve"> شاء الله تعالى.</w:t>
      </w:r>
    </w:p>
    <w:p w:rsidR="0062395A" w:rsidRPr="00282AC9" w:rsidRDefault="0062395A" w:rsidP="00495D24">
      <w:pPr>
        <w:rPr>
          <w:sz w:val="27"/>
          <w:rtl/>
          <w:lang w:bidi="fa-IR"/>
        </w:rPr>
      </w:pPr>
      <w:r w:rsidRPr="00282AC9">
        <w:rPr>
          <w:rFonts w:hint="cs"/>
          <w:sz w:val="27"/>
          <w:rtl/>
        </w:rPr>
        <w:t>4ـ ولست</w:t>
      </w:r>
      <w:r w:rsidR="00BE6BFA" w:rsidRPr="00282AC9">
        <w:rPr>
          <w:rFonts w:hint="cs"/>
          <w:sz w:val="27"/>
          <w:rtl/>
        </w:rPr>
        <w:t>ُ</w:t>
      </w:r>
      <w:r w:rsidRPr="00282AC9">
        <w:rPr>
          <w:rFonts w:hint="cs"/>
          <w:sz w:val="27"/>
          <w:rtl/>
        </w:rPr>
        <w:t xml:space="preserve"> أدري ماذا يقول هذا المحقّ</w:t>
      </w:r>
      <w:r w:rsidR="00BE6BFA" w:rsidRPr="00282AC9">
        <w:rPr>
          <w:rFonts w:hint="cs"/>
          <w:sz w:val="27"/>
          <w:rtl/>
        </w:rPr>
        <w:t>ِ</w:t>
      </w:r>
      <w:r w:rsidRPr="00282AC9">
        <w:rPr>
          <w:rFonts w:hint="cs"/>
          <w:sz w:val="27"/>
          <w:rtl/>
        </w:rPr>
        <w:t xml:space="preserve">ق الكبير بالنسبة </w:t>
      </w:r>
      <w:r w:rsidR="00BE6BFA" w:rsidRPr="00282AC9">
        <w:rPr>
          <w:rFonts w:hint="cs"/>
          <w:sz w:val="27"/>
          <w:rtl/>
        </w:rPr>
        <w:t xml:space="preserve">إلى </w:t>
      </w:r>
      <w:r w:rsidRPr="00282AC9">
        <w:rPr>
          <w:rFonts w:hint="cs"/>
          <w:sz w:val="27"/>
          <w:rtl/>
        </w:rPr>
        <w:t>م</w:t>
      </w:r>
      <w:r w:rsidR="00BE6BFA" w:rsidRPr="00282AC9">
        <w:rPr>
          <w:rFonts w:hint="cs"/>
          <w:sz w:val="27"/>
          <w:rtl/>
        </w:rPr>
        <w:t>ِ</w:t>
      </w:r>
      <w:r w:rsidRPr="00282AC9">
        <w:rPr>
          <w:rFonts w:hint="cs"/>
          <w:sz w:val="27"/>
          <w:rtl/>
        </w:rPr>
        <w:t>ل</w:t>
      </w:r>
      <w:r w:rsidR="00BE6BFA" w:rsidRPr="00282AC9">
        <w:rPr>
          <w:rFonts w:hint="cs"/>
          <w:sz w:val="27"/>
          <w:rtl/>
        </w:rPr>
        <w:t>ْ</w:t>
      </w:r>
      <w:r w:rsidRPr="00282AC9">
        <w:rPr>
          <w:rFonts w:hint="cs"/>
          <w:sz w:val="27"/>
          <w:rtl/>
        </w:rPr>
        <w:t>كي</w:t>
      </w:r>
      <w:r w:rsidR="00BE6BFA" w:rsidRPr="00282AC9">
        <w:rPr>
          <w:rFonts w:hint="cs"/>
          <w:sz w:val="27"/>
          <w:rtl/>
        </w:rPr>
        <w:t>ّ</w:t>
      </w:r>
      <w:r w:rsidRPr="00282AC9">
        <w:rPr>
          <w:rFonts w:hint="cs"/>
          <w:sz w:val="27"/>
          <w:rtl/>
        </w:rPr>
        <w:t>ة الإنسان لنفسه ومنافعه وأعماله</w:t>
      </w:r>
      <w:r w:rsidR="00BE6BFA" w:rsidRPr="00282AC9">
        <w:rPr>
          <w:rFonts w:hint="cs"/>
          <w:sz w:val="27"/>
          <w:rtl/>
        </w:rPr>
        <w:t>،</w:t>
      </w:r>
      <w:r w:rsidRPr="00282AC9">
        <w:rPr>
          <w:rFonts w:hint="cs"/>
          <w:sz w:val="27"/>
          <w:rtl/>
        </w:rPr>
        <w:t xml:space="preserve"> بناءً على ثبوت </w:t>
      </w:r>
      <w:r w:rsidR="00EB1216" w:rsidRPr="00282AC9">
        <w:rPr>
          <w:rFonts w:hint="cs"/>
          <w:sz w:val="27"/>
          <w:rtl/>
        </w:rPr>
        <w:t>المِلْكيّة</w:t>
      </w:r>
      <w:r w:rsidRPr="00282AC9">
        <w:rPr>
          <w:rFonts w:hint="cs"/>
          <w:sz w:val="27"/>
          <w:rtl/>
        </w:rPr>
        <w:t xml:space="preserve"> الاعتبارية لها</w:t>
      </w:r>
      <w:r w:rsidR="00BE6BFA" w:rsidRPr="00282AC9">
        <w:rPr>
          <w:rFonts w:hint="cs"/>
          <w:sz w:val="27"/>
          <w:rtl/>
        </w:rPr>
        <w:t>،</w:t>
      </w:r>
      <w:r w:rsidRPr="00282AC9">
        <w:rPr>
          <w:rFonts w:hint="cs"/>
          <w:sz w:val="27"/>
          <w:rtl/>
        </w:rPr>
        <w:t xml:space="preserve"> كما هو الصحيح عندنا؟! فهل يملكها بالحيازة؟!</w:t>
      </w:r>
    </w:p>
    <w:p w:rsidR="0062395A" w:rsidRPr="00282AC9" w:rsidRDefault="0062395A" w:rsidP="00495D24">
      <w:pPr>
        <w:rPr>
          <w:sz w:val="27"/>
          <w:rtl/>
          <w:lang w:bidi="fa-IR"/>
        </w:rPr>
      </w:pPr>
      <w:r w:rsidRPr="00282AC9">
        <w:rPr>
          <w:rFonts w:hint="cs"/>
          <w:sz w:val="27"/>
          <w:rtl/>
        </w:rPr>
        <w:t>5ـ وأيضاً ما هو السبب في حصول م</w:t>
      </w:r>
      <w:r w:rsidR="00BE6BFA" w:rsidRPr="00282AC9">
        <w:rPr>
          <w:rFonts w:hint="cs"/>
          <w:sz w:val="27"/>
          <w:rtl/>
        </w:rPr>
        <w:t>ِ</w:t>
      </w:r>
      <w:r w:rsidRPr="00282AC9">
        <w:rPr>
          <w:rFonts w:hint="cs"/>
          <w:sz w:val="27"/>
          <w:rtl/>
        </w:rPr>
        <w:t>ل</w:t>
      </w:r>
      <w:r w:rsidR="00BE6BFA" w:rsidRPr="00282AC9">
        <w:rPr>
          <w:rFonts w:hint="cs"/>
          <w:sz w:val="27"/>
          <w:rtl/>
        </w:rPr>
        <w:t>ْ</w:t>
      </w:r>
      <w:r w:rsidRPr="00282AC9">
        <w:rPr>
          <w:rFonts w:hint="cs"/>
          <w:sz w:val="27"/>
          <w:rtl/>
        </w:rPr>
        <w:t>كي</w:t>
      </w:r>
      <w:r w:rsidR="00BE6BFA" w:rsidRPr="00282AC9">
        <w:rPr>
          <w:rFonts w:hint="cs"/>
          <w:sz w:val="27"/>
          <w:rtl/>
        </w:rPr>
        <w:t>ّ</w:t>
      </w:r>
      <w:r w:rsidRPr="00282AC9">
        <w:rPr>
          <w:rFonts w:hint="cs"/>
          <w:sz w:val="27"/>
          <w:rtl/>
        </w:rPr>
        <w:t>ة النماء؟ فهل هي الحيازة؟!</w:t>
      </w:r>
    </w:p>
    <w:p w:rsidR="0062395A" w:rsidRPr="00282AC9" w:rsidRDefault="0062395A" w:rsidP="00495D24">
      <w:pPr>
        <w:rPr>
          <w:sz w:val="27"/>
          <w:rtl/>
          <w:lang w:bidi="fa-IR"/>
        </w:rPr>
      </w:pPr>
      <w:r w:rsidRPr="00282AC9">
        <w:rPr>
          <w:rFonts w:hint="cs"/>
          <w:sz w:val="27"/>
          <w:rtl/>
        </w:rPr>
        <w:lastRenderedPageBreak/>
        <w:t>6ـ كما أنّ هذا الافتراض مبتنٍ على كون الإعراض مُس</w:t>
      </w:r>
      <w:r w:rsidR="00BE6BFA" w:rsidRPr="00282AC9">
        <w:rPr>
          <w:rFonts w:hint="cs"/>
          <w:sz w:val="27"/>
          <w:rtl/>
        </w:rPr>
        <w:t>ْ</w:t>
      </w:r>
      <w:r w:rsidRPr="00282AC9">
        <w:rPr>
          <w:rFonts w:hint="cs"/>
          <w:sz w:val="27"/>
          <w:rtl/>
        </w:rPr>
        <w:t>ق</w:t>
      </w:r>
      <w:r w:rsidR="00BE6BFA" w:rsidRPr="00282AC9">
        <w:rPr>
          <w:rFonts w:hint="cs"/>
          <w:sz w:val="27"/>
          <w:rtl/>
        </w:rPr>
        <w:t>ِ</w:t>
      </w:r>
      <w:r w:rsidRPr="00282AC9">
        <w:rPr>
          <w:rFonts w:hint="cs"/>
          <w:sz w:val="27"/>
          <w:rtl/>
        </w:rPr>
        <w:t>طاً للم</w:t>
      </w:r>
      <w:r w:rsidR="00BE6BFA" w:rsidRPr="00282AC9">
        <w:rPr>
          <w:rFonts w:hint="cs"/>
          <w:sz w:val="27"/>
          <w:rtl/>
        </w:rPr>
        <w:t>ِ</w:t>
      </w:r>
      <w:r w:rsidRPr="00282AC9">
        <w:rPr>
          <w:rFonts w:hint="cs"/>
          <w:sz w:val="27"/>
          <w:rtl/>
        </w:rPr>
        <w:t>ل</w:t>
      </w:r>
      <w:r w:rsidR="00BE6BFA" w:rsidRPr="00282AC9">
        <w:rPr>
          <w:rFonts w:hint="cs"/>
          <w:sz w:val="27"/>
          <w:rtl/>
        </w:rPr>
        <w:t>ْ</w:t>
      </w:r>
      <w:r w:rsidRPr="00282AC9">
        <w:rPr>
          <w:rFonts w:hint="cs"/>
          <w:sz w:val="27"/>
          <w:rtl/>
        </w:rPr>
        <w:t>كي</w:t>
      </w:r>
      <w:r w:rsidR="00BE6BFA" w:rsidRPr="00282AC9">
        <w:rPr>
          <w:rFonts w:hint="cs"/>
          <w:sz w:val="27"/>
          <w:rtl/>
        </w:rPr>
        <w:t>ّ</w:t>
      </w:r>
      <w:r w:rsidRPr="00282AC9">
        <w:rPr>
          <w:rFonts w:hint="cs"/>
          <w:sz w:val="27"/>
          <w:rtl/>
        </w:rPr>
        <w:t>ة ومُزيلاً لها، فلو رفضنا المبنى ـ كما رفضه المشهور ـ لما استقام هذا البناء.</w:t>
      </w:r>
    </w:p>
    <w:p w:rsidR="0062395A" w:rsidRPr="00282AC9" w:rsidRDefault="0062395A" w:rsidP="00495D24">
      <w:pPr>
        <w:rPr>
          <w:sz w:val="27"/>
          <w:rtl/>
          <w:lang w:bidi="fa-IR"/>
        </w:rPr>
      </w:pPr>
      <w:r w:rsidRPr="00282AC9">
        <w:rPr>
          <w:rFonts w:hint="cs"/>
          <w:sz w:val="27"/>
          <w:rtl/>
        </w:rPr>
        <w:t>7ـ ثمّ ما معنى الإعراض الجهتيّ</w:t>
      </w:r>
      <w:r w:rsidR="00BE6BFA" w:rsidRPr="00282AC9">
        <w:rPr>
          <w:rFonts w:hint="cs"/>
          <w:sz w:val="27"/>
          <w:rtl/>
        </w:rPr>
        <w:t>؟!</w:t>
      </w:r>
      <w:r w:rsidRPr="00282AC9">
        <w:rPr>
          <w:rFonts w:hint="cs"/>
          <w:sz w:val="27"/>
          <w:rtl/>
        </w:rPr>
        <w:t xml:space="preserve"> فإنّ المالك إذا أعرض عن ماله أصبح مباحاً لجميع الناس؛ نظراً لانقطاع علقته به، ولا معنى لأن يكون مباحاً لشخص</w:t>
      </w:r>
      <w:r w:rsidR="00BE6BFA" w:rsidRPr="00282AC9">
        <w:rPr>
          <w:rFonts w:hint="cs"/>
          <w:sz w:val="27"/>
          <w:rtl/>
        </w:rPr>
        <w:t>ٍ،</w:t>
      </w:r>
      <w:r w:rsidRPr="00282AC9">
        <w:rPr>
          <w:rFonts w:hint="cs"/>
          <w:sz w:val="27"/>
          <w:rtl/>
        </w:rPr>
        <w:t xml:space="preserve"> دون غيره؛ لانتهاء سلطنته عليه.</w:t>
      </w:r>
    </w:p>
    <w:p w:rsidR="0062395A" w:rsidRPr="00282AC9" w:rsidRDefault="0062395A" w:rsidP="00495D24">
      <w:pPr>
        <w:rPr>
          <w:sz w:val="27"/>
          <w:rtl/>
          <w:lang w:bidi="fa-IR"/>
        </w:rPr>
      </w:pPr>
      <w:r w:rsidRPr="00282AC9">
        <w:rPr>
          <w:rFonts w:hint="cs"/>
          <w:sz w:val="27"/>
          <w:rtl/>
          <w:lang w:bidi="fa-IR"/>
        </w:rPr>
        <w:t>وأمّا دعوى كون المالك إنّما قصد بهذا الإعراض وقوعه بإزاء إعراض الطرف الآخر</w:t>
      </w:r>
      <w:r w:rsidR="00BE6BFA" w:rsidRPr="00282AC9">
        <w:rPr>
          <w:rFonts w:hint="cs"/>
          <w:sz w:val="27"/>
          <w:rtl/>
          <w:lang w:bidi="fa-IR"/>
        </w:rPr>
        <w:t>،</w:t>
      </w:r>
      <w:r w:rsidRPr="00282AC9">
        <w:rPr>
          <w:rFonts w:hint="cs"/>
          <w:sz w:val="27"/>
          <w:rtl/>
          <w:lang w:bidi="fa-IR"/>
        </w:rPr>
        <w:t xml:space="preserve"> لا مطلقاً، فلا يجوز لطرف</w:t>
      </w:r>
      <w:r w:rsidR="00BE6BFA" w:rsidRPr="00282AC9">
        <w:rPr>
          <w:rFonts w:hint="cs"/>
          <w:sz w:val="27"/>
          <w:rtl/>
          <w:lang w:bidi="fa-IR"/>
        </w:rPr>
        <w:t>ٍ</w:t>
      </w:r>
      <w:r w:rsidRPr="00282AC9">
        <w:rPr>
          <w:rFonts w:hint="cs"/>
          <w:sz w:val="27"/>
          <w:rtl/>
          <w:lang w:bidi="fa-IR"/>
        </w:rPr>
        <w:t xml:space="preserve"> ثالث اغتنام الفرصة بعد الإعراض والقيام بالحيازة؛ تذرّ</w:t>
      </w:r>
      <w:r w:rsidR="00BE6BFA" w:rsidRPr="00282AC9">
        <w:rPr>
          <w:rFonts w:hint="cs"/>
          <w:sz w:val="27"/>
          <w:rtl/>
          <w:lang w:bidi="fa-IR"/>
        </w:rPr>
        <w:t>ُ</w:t>
      </w:r>
      <w:r w:rsidRPr="00282AC9">
        <w:rPr>
          <w:rFonts w:hint="cs"/>
          <w:sz w:val="27"/>
          <w:rtl/>
          <w:lang w:bidi="fa-IR"/>
        </w:rPr>
        <w:t>عاً بأنّ الإعراض الاستطراقي</w:t>
      </w:r>
      <w:r w:rsidR="00BE6BFA" w:rsidRPr="00282AC9">
        <w:rPr>
          <w:rFonts w:hint="cs"/>
          <w:sz w:val="27"/>
          <w:rtl/>
          <w:lang w:bidi="fa-IR"/>
        </w:rPr>
        <w:t>ّ</w:t>
      </w:r>
      <w:r w:rsidRPr="00282AC9">
        <w:rPr>
          <w:rFonts w:hint="cs"/>
          <w:sz w:val="27"/>
          <w:rtl/>
          <w:lang w:bidi="fa-IR"/>
        </w:rPr>
        <w:t xml:space="preserve"> لا يفسح المجال إلا</w:t>
      </w:r>
      <w:r w:rsidR="00BE6BFA" w:rsidRPr="00282AC9">
        <w:rPr>
          <w:rFonts w:hint="cs"/>
          <w:sz w:val="27"/>
          <w:rtl/>
          <w:lang w:bidi="fa-IR"/>
        </w:rPr>
        <w:t>ّ للمستطرَق إليه أن ي</w:t>
      </w:r>
      <w:r w:rsidRPr="00282AC9">
        <w:rPr>
          <w:rFonts w:hint="cs"/>
          <w:sz w:val="27"/>
          <w:rtl/>
          <w:lang w:bidi="fa-IR"/>
        </w:rPr>
        <w:t>مارس الحيازة</w:t>
      </w:r>
      <w:r w:rsidR="00BE6BFA" w:rsidRPr="00282AC9">
        <w:rPr>
          <w:rFonts w:hint="cs"/>
          <w:sz w:val="27"/>
          <w:rtl/>
          <w:lang w:bidi="fa-IR"/>
        </w:rPr>
        <w:t>،</w:t>
      </w:r>
      <w:r w:rsidRPr="00282AC9">
        <w:rPr>
          <w:rFonts w:hint="cs"/>
          <w:sz w:val="27"/>
          <w:rtl/>
          <w:lang w:bidi="fa-IR"/>
        </w:rPr>
        <w:t xml:space="preserve"> طبقاً للمرتكزات العقلائية</w:t>
      </w:r>
      <w:r w:rsidRPr="00282AC9">
        <w:rPr>
          <w:sz w:val="27"/>
          <w:vertAlign w:val="superscript"/>
          <w:rtl/>
          <w:lang w:bidi="fa-IR"/>
        </w:rPr>
        <w:t>(</w:t>
      </w:r>
      <w:r w:rsidRPr="00282AC9">
        <w:rPr>
          <w:sz w:val="27"/>
          <w:vertAlign w:val="superscript"/>
          <w:rtl/>
          <w:lang w:bidi="fa-IR"/>
        </w:rPr>
        <w:endnoteReference w:id="983"/>
      </w:r>
      <w:r w:rsidRPr="00282AC9">
        <w:rPr>
          <w:rFonts w:hint="cs"/>
          <w:sz w:val="27"/>
          <w:vertAlign w:val="superscript"/>
          <w:rtl/>
          <w:lang w:bidi="fa-IR"/>
        </w:rPr>
        <w:t>)</w:t>
      </w:r>
      <w:r w:rsidR="00F97770" w:rsidRPr="00282AC9">
        <w:rPr>
          <w:rFonts w:hint="cs"/>
          <w:sz w:val="27"/>
          <w:rtl/>
          <w:lang w:bidi="fa-IR"/>
        </w:rPr>
        <w:t xml:space="preserve">، </w:t>
      </w:r>
      <w:r w:rsidRPr="00282AC9">
        <w:rPr>
          <w:rFonts w:hint="cs"/>
          <w:sz w:val="27"/>
          <w:rtl/>
          <w:lang w:bidi="fa-IR"/>
        </w:rPr>
        <w:t>فغير صحيحة</w:t>
      </w:r>
      <w:r w:rsidR="00F97770" w:rsidRPr="00282AC9">
        <w:rPr>
          <w:rFonts w:hint="cs"/>
          <w:sz w:val="27"/>
          <w:rtl/>
          <w:lang w:bidi="fa-IR"/>
        </w:rPr>
        <w:t>ٍ</w:t>
      </w:r>
      <w:r w:rsidRPr="00282AC9">
        <w:rPr>
          <w:rFonts w:hint="cs"/>
          <w:sz w:val="27"/>
          <w:rtl/>
          <w:lang w:bidi="fa-IR"/>
        </w:rPr>
        <w:t>؛ فإنّ هذا القصد مجرّد داعٍ لا أثر له فيما لو بقي موضوع</w:t>
      </w:r>
      <w:r w:rsidR="00F97770" w:rsidRPr="00282AC9">
        <w:rPr>
          <w:rFonts w:hint="cs"/>
          <w:sz w:val="27"/>
          <w:rtl/>
          <w:lang w:bidi="fa-IR"/>
        </w:rPr>
        <w:t>ٌ</w:t>
      </w:r>
      <w:r w:rsidRPr="00282AC9">
        <w:rPr>
          <w:rFonts w:hint="cs"/>
          <w:sz w:val="27"/>
          <w:rtl/>
          <w:lang w:bidi="fa-IR"/>
        </w:rPr>
        <w:t xml:space="preserve"> للتأثير؛ إذ بإعراضه رفع موضوع التأثير على المال، فالإعراض معناه التخلّي عن الشيء ورفع اليد عنه، وبعد رفع يد المالك لا سلطان له على المال حت</w:t>
      </w:r>
      <w:r w:rsidR="00F97770" w:rsidRPr="00282AC9">
        <w:rPr>
          <w:rFonts w:hint="cs"/>
          <w:sz w:val="27"/>
          <w:rtl/>
          <w:lang w:bidi="fa-IR"/>
        </w:rPr>
        <w:t>ّ</w:t>
      </w:r>
      <w:r w:rsidRPr="00282AC9">
        <w:rPr>
          <w:rFonts w:hint="cs"/>
          <w:sz w:val="27"/>
          <w:rtl/>
          <w:lang w:bidi="fa-IR"/>
        </w:rPr>
        <w:t>ى يمنع غير صاحبه من حيازته، لا من خلال الداعي</w:t>
      </w:r>
      <w:r w:rsidR="00F97770" w:rsidRPr="00282AC9">
        <w:rPr>
          <w:rFonts w:hint="cs"/>
          <w:sz w:val="27"/>
          <w:rtl/>
          <w:lang w:bidi="fa-IR"/>
        </w:rPr>
        <w:t>،</w:t>
      </w:r>
      <w:r w:rsidRPr="00282AC9">
        <w:rPr>
          <w:rFonts w:hint="cs"/>
          <w:sz w:val="27"/>
          <w:rtl/>
          <w:lang w:bidi="fa-IR"/>
        </w:rPr>
        <w:t xml:space="preserve"> ولا من خلال القيد.</w:t>
      </w:r>
    </w:p>
    <w:p w:rsidR="0062395A" w:rsidRPr="00282AC9" w:rsidRDefault="0062395A" w:rsidP="00495D24">
      <w:pPr>
        <w:rPr>
          <w:sz w:val="27"/>
          <w:rtl/>
          <w:lang w:bidi="fa-IR"/>
        </w:rPr>
      </w:pPr>
      <w:r w:rsidRPr="00282AC9">
        <w:rPr>
          <w:rFonts w:hint="cs"/>
          <w:sz w:val="27"/>
          <w:rtl/>
        </w:rPr>
        <w:t>8ـ إنّ هذا الافتراض لا يتمّ في بعض حالات البيع، مثل</w:t>
      </w:r>
      <w:r w:rsidR="00F97770" w:rsidRPr="00282AC9">
        <w:rPr>
          <w:rFonts w:hint="cs"/>
          <w:sz w:val="27"/>
          <w:rtl/>
        </w:rPr>
        <w:t>:</w:t>
      </w:r>
      <w:r w:rsidRPr="00282AC9">
        <w:rPr>
          <w:rFonts w:hint="cs"/>
          <w:sz w:val="27"/>
          <w:rtl/>
        </w:rPr>
        <w:t xml:space="preserve"> بيع الك</w:t>
      </w:r>
      <w:r w:rsidR="00F97770" w:rsidRPr="00282AC9">
        <w:rPr>
          <w:rFonts w:hint="cs"/>
          <w:sz w:val="27"/>
          <w:rtl/>
        </w:rPr>
        <w:t>ُ</w:t>
      </w:r>
      <w:r w:rsidRPr="00282AC9">
        <w:rPr>
          <w:rFonts w:hint="cs"/>
          <w:sz w:val="27"/>
          <w:rtl/>
        </w:rPr>
        <w:t>لّ</w:t>
      </w:r>
      <w:r w:rsidR="00F97770" w:rsidRPr="00282AC9">
        <w:rPr>
          <w:rFonts w:hint="cs"/>
          <w:sz w:val="27"/>
          <w:rtl/>
        </w:rPr>
        <w:t>ِ</w:t>
      </w:r>
      <w:r w:rsidRPr="00282AC9">
        <w:rPr>
          <w:rFonts w:hint="cs"/>
          <w:sz w:val="27"/>
          <w:rtl/>
        </w:rPr>
        <w:t>ي بالذمّة</w:t>
      </w:r>
      <w:r w:rsidR="00F97770" w:rsidRPr="00282AC9">
        <w:rPr>
          <w:rFonts w:hint="cs"/>
          <w:sz w:val="27"/>
          <w:rtl/>
        </w:rPr>
        <w:t>،</w:t>
      </w:r>
      <w:r w:rsidRPr="00282AC9">
        <w:rPr>
          <w:rFonts w:hint="cs"/>
          <w:sz w:val="27"/>
          <w:rtl/>
        </w:rPr>
        <w:t xml:space="preserve"> كبيع الس</w:t>
      </w:r>
      <w:r w:rsidR="00F97770" w:rsidRPr="00282AC9">
        <w:rPr>
          <w:rFonts w:hint="cs"/>
          <w:sz w:val="27"/>
          <w:rtl/>
        </w:rPr>
        <w:t>َّ</w:t>
      </w:r>
      <w:r w:rsidRPr="00282AC9">
        <w:rPr>
          <w:rFonts w:hint="cs"/>
          <w:sz w:val="27"/>
          <w:rtl/>
        </w:rPr>
        <w:t>ل</w:t>
      </w:r>
      <w:r w:rsidR="00F97770" w:rsidRPr="00282AC9">
        <w:rPr>
          <w:rFonts w:hint="cs"/>
          <w:sz w:val="27"/>
          <w:rtl/>
        </w:rPr>
        <w:t>َ</w:t>
      </w:r>
      <w:r w:rsidRPr="00282AC9">
        <w:rPr>
          <w:rFonts w:hint="cs"/>
          <w:sz w:val="27"/>
          <w:rtl/>
        </w:rPr>
        <w:t>ف، فهنا لا م</w:t>
      </w:r>
      <w:r w:rsidR="00F97770" w:rsidRPr="00282AC9">
        <w:rPr>
          <w:rFonts w:hint="cs"/>
          <w:sz w:val="27"/>
          <w:rtl/>
        </w:rPr>
        <w:t>ِ</w:t>
      </w:r>
      <w:r w:rsidRPr="00282AC9">
        <w:rPr>
          <w:rFonts w:hint="cs"/>
          <w:sz w:val="27"/>
          <w:rtl/>
        </w:rPr>
        <w:t>ل</w:t>
      </w:r>
      <w:r w:rsidR="00F97770" w:rsidRPr="00282AC9">
        <w:rPr>
          <w:rFonts w:hint="cs"/>
          <w:sz w:val="27"/>
          <w:rtl/>
        </w:rPr>
        <w:t>ْ</w:t>
      </w:r>
      <w:r w:rsidRPr="00282AC9">
        <w:rPr>
          <w:rFonts w:hint="cs"/>
          <w:sz w:val="27"/>
          <w:rtl/>
        </w:rPr>
        <w:t>كي</w:t>
      </w:r>
      <w:r w:rsidR="00F97770" w:rsidRPr="00282AC9">
        <w:rPr>
          <w:rFonts w:hint="cs"/>
          <w:sz w:val="27"/>
          <w:rtl/>
        </w:rPr>
        <w:t>ّ</w:t>
      </w:r>
      <w:r w:rsidRPr="00282AC9">
        <w:rPr>
          <w:rFonts w:hint="cs"/>
          <w:sz w:val="27"/>
          <w:rtl/>
        </w:rPr>
        <w:t>ة بالحيازة، لكن</w:t>
      </w:r>
      <w:r w:rsidR="00F97770" w:rsidRPr="00282AC9">
        <w:rPr>
          <w:rFonts w:hint="cs"/>
          <w:sz w:val="27"/>
          <w:rtl/>
        </w:rPr>
        <w:t>ّ</w:t>
      </w:r>
      <w:r w:rsidRPr="00282AC9">
        <w:rPr>
          <w:rFonts w:hint="cs"/>
          <w:sz w:val="27"/>
          <w:rtl/>
        </w:rPr>
        <w:t xml:space="preserve"> </w:t>
      </w:r>
      <w:r w:rsidR="00EB1216" w:rsidRPr="00282AC9">
        <w:rPr>
          <w:rFonts w:hint="cs"/>
          <w:sz w:val="27"/>
          <w:rtl/>
        </w:rPr>
        <w:t>المِلْكيّة</w:t>
      </w:r>
      <w:r w:rsidRPr="00282AC9">
        <w:rPr>
          <w:rFonts w:hint="cs"/>
          <w:sz w:val="27"/>
          <w:rtl/>
        </w:rPr>
        <w:t xml:space="preserve"> واقعة</w:t>
      </w:r>
      <w:r w:rsidR="00F97770" w:rsidRPr="00282AC9">
        <w:rPr>
          <w:rFonts w:hint="cs"/>
          <w:sz w:val="27"/>
          <w:rtl/>
        </w:rPr>
        <w:t>ٌ</w:t>
      </w:r>
      <w:r w:rsidRPr="00282AC9">
        <w:rPr>
          <w:rFonts w:hint="cs"/>
          <w:sz w:val="27"/>
          <w:rtl/>
        </w:rPr>
        <w:t xml:space="preserve"> بالبيع</w:t>
      </w:r>
      <w:r w:rsidRPr="00282AC9">
        <w:rPr>
          <w:sz w:val="27"/>
          <w:vertAlign w:val="superscript"/>
          <w:rtl/>
        </w:rPr>
        <w:t>(</w:t>
      </w:r>
      <w:r w:rsidRPr="00282AC9">
        <w:rPr>
          <w:sz w:val="27"/>
          <w:vertAlign w:val="superscript"/>
          <w:rtl/>
        </w:rPr>
        <w:endnoteReference w:id="984"/>
      </w:r>
      <w:r w:rsidRPr="00282AC9">
        <w:rPr>
          <w:rFonts w:hint="cs"/>
          <w:sz w:val="27"/>
          <w:vertAlign w:val="superscript"/>
          <w:rtl/>
        </w:rPr>
        <w:t>)</w:t>
      </w:r>
      <w:r w:rsidRPr="00282AC9">
        <w:rPr>
          <w:rFonts w:hint="cs"/>
          <w:sz w:val="27"/>
          <w:rtl/>
        </w:rPr>
        <w:t>.</w:t>
      </w:r>
    </w:p>
    <w:p w:rsidR="0062395A" w:rsidRPr="00282AC9" w:rsidRDefault="0062395A" w:rsidP="00495D24">
      <w:pPr>
        <w:rPr>
          <w:sz w:val="27"/>
          <w:rtl/>
          <w:lang w:bidi="fa-IR"/>
        </w:rPr>
      </w:pPr>
      <w:r w:rsidRPr="00282AC9">
        <w:rPr>
          <w:rFonts w:hint="cs"/>
          <w:sz w:val="27"/>
          <w:rtl/>
        </w:rPr>
        <w:t>9ـ بل بناءً على مبنى المحقّ</w:t>
      </w:r>
      <w:r w:rsidR="00F97770" w:rsidRPr="00282AC9">
        <w:rPr>
          <w:rFonts w:hint="cs"/>
          <w:sz w:val="27"/>
          <w:rtl/>
        </w:rPr>
        <w:t>ِ</w:t>
      </w:r>
      <w:r w:rsidRPr="00282AC9">
        <w:rPr>
          <w:rFonts w:hint="cs"/>
          <w:sz w:val="27"/>
          <w:rtl/>
        </w:rPr>
        <w:t>ق الإيرواني من صحّة بيع المنافع</w:t>
      </w:r>
      <w:r w:rsidRPr="00282AC9">
        <w:rPr>
          <w:sz w:val="27"/>
          <w:vertAlign w:val="superscript"/>
          <w:rtl/>
        </w:rPr>
        <w:t>(</w:t>
      </w:r>
      <w:r w:rsidRPr="00282AC9">
        <w:rPr>
          <w:sz w:val="27"/>
          <w:vertAlign w:val="superscript"/>
          <w:rtl/>
        </w:rPr>
        <w:endnoteReference w:id="985"/>
      </w:r>
      <w:r w:rsidRPr="00282AC9">
        <w:rPr>
          <w:rFonts w:hint="cs"/>
          <w:sz w:val="27"/>
          <w:vertAlign w:val="superscript"/>
          <w:rtl/>
        </w:rPr>
        <w:t>)</w:t>
      </w:r>
      <w:r w:rsidRPr="00282AC9">
        <w:rPr>
          <w:rFonts w:hint="cs"/>
          <w:sz w:val="27"/>
          <w:rtl/>
        </w:rPr>
        <w:t>، مثل</w:t>
      </w:r>
      <w:r w:rsidR="00F97770" w:rsidRPr="00282AC9">
        <w:rPr>
          <w:rFonts w:hint="cs"/>
          <w:sz w:val="27"/>
          <w:rtl/>
        </w:rPr>
        <w:t>:</w:t>
      </w:r>
      <w:r w:rsidRPr="00282AC9">
        <w:rPr>
          <w:rFonts w:hint="cs"/>
          <w:sz w:val="27"/>
          <w:rtl/>
        </w:rPr>
        <w:t xml:space="preserve"> بيع العمل</w:t>
      </w:r>
      <w:r w:rsidR="00F97770" w:rsidRPr="00282AC9">
        <w:rPr>
          <w:rFonts w:hint="cs"/>
          <w:sz w:val="27"/>
          <w:rtl/>
        </w:rPr>
        <w:t>،</w:t>
      </w:r>
      <w:r w:rsidRPr="00282AC9">
        <w:rPr>
          <w:rFonts w:hint="cs"/>
          <w:sz w:val="27"/>
          <w:rtl/>
        </w:rPr>
        <w:t xml:space="preserve"> لا يتمّ هذا الافتراض أيضاً</w:t>
      </w:r>
      <w:r w:rsidR="00F97770" w:rsidRPr="00282AC9">
        <w:rPr>
          <w:rFonts w:hint="cs"/>
          <w:sz w:val="27"/>
          <w:rtl/>
        </w:rPr>
        <w:t>،</w:t>
      </w:r>
      <w:r w:rsidRPr="00282AC9">
        <w:rPr>
          <w:rFonts w:hint="cs"/>
          <w:sz w:val="27"/>
          <w:rtl/>
        </w:rPr>
        <w:t xml:space="preserve"> فهنا أيضاً لا حيازة.</w:t>
      </w:r>
    </w:p>
    <w:p w:rsidR="0062395A" w:rsidRPr="00282AC9" w:rsidRDefault="0062395A" w:rsidP="00495D24">
      <w:pPr>
        <w:rPr>
          <w:sz w:val="27"/>
          <w:rtl/>
          <w:lang w:bidi="fa-IR"/>
        </w:rPr>
      </w:pPr>
      <w:r w:rsidRPr="00282AC9">
        <w:rPr>
          <w:rFonts w:hint="cs"/>
          <w:sz w:val="27"/>
          <w:rtl/>
          <w:lang w:bidi="fa-IR"/>
        </w:rPr>
        <w:t xml:space="preserve">وعليه </w:t>
      </w:r>
      <w:r w:rsidR="00674EF5" w:rsidRPr="00282AC9">
        <w:rPr>
          <w:rFonts w:hint="cs"/>
          <w:sz w:val="27"/>
          <w:rtl/>
          <w:lang w:bidi="fa-IR"/>
        </w:rPr>
        <w:t>لا بُدَّ</w:t>
      </w:r>
      <w:r w:rsidRPr="00282AC9">
        <w:rPr>
          <w:rFonts w:hint="cs"/>
          <w:sz w:val="27"/>
          <w:rtl/>
          <w:lang w:bidi="fa-IR"/>
        </w:rPr>
        <w:t xml:space="preserve"> من الإقرار بعدم رجوع التمليك البيعي</w:t>
      </w:r>
      <w:r w:rsidR="00F97770" w:rsidRPr="00282AC9">
        <w:rPr>
          <w:rFonts w:hint="cs"/>
          <w:sz w:val="27"/>
          <w:rtl/>
          <w:lang w:bidi="fa-IR"/>
        </w:rPr>
        <w:t>ّ</w:t>
      </w:r>
      <w:r w:rsidR="00BC0925" w:rsidRPr="00282AC9">
        <w:rPr>
          <w:rFonts w:hint="cs"/>
          <w:sz w:val="27"/>
          <w:rtl/>
          <w:lang w:bidi="fa-IR"/>
        </w:rPr>
        <w:t xml:space="preserve"> إلى </w:t>
      </w:r>
      <w:r w:rsidRPr="00282AC9">
        <w:rPr>
          <w:rFonts w:hint="cs"/>
          <w:sz w:val="27"/>
          <w:rtl/>
          <w:lang w:bidi="fa-IR"/>
        </w:rPr>
        <w:t>التملّ</w:t>
      </w:r>
      <w:r w:rsidR="00F97770" w:rsidRPr="00282AC9">
        <w:rPr>
          <w:rFonts w:hint="cs"/>
          <w:sz w:val="27"/>
          <w:rtl/>
          <w:lang w:bidi="fa-IR"/>
        </w:rPr>
        <w:t>ُ</w:t>
      </w:r>
      <w:r w:rsidRPr="00282AC9">
        <w:rPr>
          <w:rFonts w:hint="cs"/>
          <w:sz w:val="27"/>
          <w:rtl/>
          <w:lang w:bidi="fa-IR"/>
        </w:rPr>
        <w:t>ك بالحيازة، وإلا</w:t>
      </w:r>
      <w:r w:rsidR="00F97770" w:rsidRPr="00282AC9">
        <w:rPr>
          <w:rFonts w:hint="cs"/>
          <w:sz w:val="27"/>
          <w:rtl/>
          <w:lang w:bidi="fa-IR"/>
        </w:rPr>
        <w:t>ّ</w:t>
      </w:r>
      <w:r w:rsidRPr="00282AC9">
        <w:rPr>
          <w:rFonts w:hint="cs"/>
          <w:sz w:val="27"/>
          <w:rtl/>
          <w:lang w:bidi="fa-IR"/>
        </w:rPr>
        <w:t xml:space="preserve"> فلن يُتصوّ</w:t>
      </w:r>
      <w:r w:rsidR="00F97770" w:rsidRPr="00282AC9">
        <w:rPr>
          <w:rFonts w:hint="cs"/>
          <w:sz w:val="27"/>
          <w:rtl/>
          <w:lang w:bidi="fa-IR"/>
        </w:rPr>
        <w:t>َ</w:t>
      </w:r>
      <w:r w:rsidRPr="00282AC9">
        <w:rPr>
          <w:rFonts w:hint="cs"/>
          <w:sz w:val="27"/>
          <w:rtl/>
          <w:lang w:bidi="fa-IR"/>
        </w:rPr>
        <w:t>ر في</w:t>
      </w:r>
      <w:r w:rsidR="00F97770" w:rsidRPr="00282AC9">
        <w:rPr>
          <w:rFonts w:hint="cs"/>
          <w:sz w:val="27"/>
          <w:rtl/>
          <w:lang w:bidi="fa-IR"/>
        </w:rPr>
        <w:t xml:space="preserve"> </w:t>
      </w:r>
      <w:r w:rsidRPr="00282AC9">
        <w:rPr>
          <w:rFonts w:hint="cs"/>
          <w:sz w:val="27"/>
          <w:rtl/>
          <w:lang w:bidi="fa-IR"/>
        </w:rPr>
        <w:t>ما لا يُم</w:t>
      </w:r>
      <w:r w:rsidR="00F97770" w:rsidRPr="00282AC9">
        <w:rPr>
          <w:rFonts w:hint="cs"/>
          <w:sz w:val="27"/>
          <w:rtl/>
          <w:lang w:bidi="fa-IR"/>
        </w:rPr>
        <w:t>ْ</w:t>
      </w:r>
      <w:r w:rsidRPr="00282AC9">
        <w:rPr>
          <w:rFonts w:hint="cs"/>
          <w:sz w:val="27"/>
          <w:rtl/>
          <w:lang w:bidi="fa-IR"/>
        </w:rPr>
        <w:t>ل</w:t>
      </w:r>
      <w:r w:rsidR="00F97770" w:rsidRPr="00282AC9">
        <w:rPr>
          <w:rFonts w:hint="cs"/>
          <w:sz w:val="27"/>
          <w:rtl/>
          <w:lang w:bidi="fa-IR"/>
        </w:rPr>
        <w:t>َ</w:t>
      </w:r>
      <w:r w:rsidRPr="00282AC9">
        <w:rPr>
          <w:rFonts w:hint="cs"/>
          <w:sz w:val="27"/>
          <w:rtl/>
          <w:lang w:bidi="fa-IR"/>
        </w:rPr>
        <w:t>ك بها</w:t>
      </w:r>
      <w:r w:rsidRPr="00282AC9">
        <w:rPr>
          <w:sz w:val="27"/>
          <w:vertAlign w:val="superscript"/>
          <w:rtl/>
          <w:lang w:bidi="fa-IR"/>
        </w:rPr>
        <w:t>(</w:t>
      </w:r>
      <w:r w:rsidRPr="00282AC9">
        <w:rPr>
          <w:sz w:val="27"/>
          <w:vertAlign w:val="superscript"/>
          <w:rtl/>
          <w:lang w:bidi="fa-IR"/>
        </w:rPr>
        <w:endnoteReference w:id="986"/>
      </w:r>
      <w:r w:rsidRPr="00282AC9">
        <w:rPr>
          <w:rFonts w:hint="cs"/>
          <w:sz w:val="27"/>
          <w:vertAlign w:val="superscript"/>
          <w:rtl/>
          <w:lang w:bidi="fa-IR"/>
        </w:rPr>
        <w:t>)</w:t>
      </w:r>
      <w:r w:rsidRPr="00282AC9">
        <w:rPr>
          <w:rFonts w:hint="cs"/>
          <w:sz w:val="27"/>
          <w:rtl/>
          <w:lang w:bidi="fa-IR"/>
        </w:rPr>
        <w:t>.</w:t>
      </w:r>
    </w:p>
    <w:p w:rsidR="0062395A" w:rsidRPr="00282AC9" w:rsidRDefault="0062395A" w:rsidP="00495D24">
      <w:pPr>
        <w:rPr>
          <w:sz w:val="27"/>
          <w:rtl/>
          <w:lang w:bidi="fa-IR"/>
        </w:rPr>
      </w:pPr>
      <w:r w:rsidRPr="00282AC9">
        <w:rPr>
          <w:rFonts w:hint="cs"/>
          <w:sz w:val="27"/>
          <w:rtl/>
        </w:rPr>
        <w:t>10ـ إنّ البيع غير محتاج</w:t>
      </w:r>
      <w:r w:rsidR="00F97770" w:rsidRPr="00282AC9">
        <w:rPr>
          <w:rFonts w:hint="cs"/>
          <w:sz w:val="27"/>
          <w:rtl/>
        </w:rPr>
        <w:t>ٍ</w:t>
      </w:r>
      <w:r w:rsidR="00BC0925" w:rsidRPr="00282AC9">
        <w:rPr>
          <w:rFonts w:hint="cs"/>
          <w:sz w:val="27"/>
          <w:rtl/>
        </w:rPr>
        <w:t xml:space="preserve"> إلى </w:t>
      </w:r>
      <w:r w:rsidRPr="00282AC9">
        <w:rPr>
          <w:rFonts w:hint="cs"/>
          <w:sz w:val="27"/>
          <w:rtl/>
        </w:rPr>
        <w:t>القبض بح</w:t>
      </w:r>
      <w:r w:rsidR="00F97770" w:rsidRPr="00282AC9">
        <w:rPr>
          <w:rFonts w:hint="cs"/>
          <w:sz w:val="27"/>
          <w:rtl/>
        </w:rPr>
        <w:t>َ</w:t>
      </w:r>
      <w:r w:rsidRPr="00282AC9">
        <w:rPr>
          <w:rFonts w:hint="cs"/>
          <w:sz w:val="27"/>
          <w:rtl/>
        </w:rPr>
        <w:t>س</w:t>
      </w:r>
      <w:r w:rsidR="00F97770" w:rsidRPr="00282AC9">
        <w:rPr>
          <w:rFonts w:hint="cs"/>
          <w:sz w:val="27"/>
          <w:rtl/>
        </w:rPr>
        <w:t>َ</w:t>
      </w:r>
      <w:r w:rsidRPr="00282AC9">
        <w:rPr>
          <w:rFonts w:hint="cs"/>
          <w:sz w:val="27"/>
          <w:rtl/>
        </w:rPr>
        <w:t>ب الخارج؛ فإنّ المرتكز عقلائي</w:t>
      </w:r>
      <w:r w:rsidR="00F97770" w:rsidRPr="00282AC9">
        <w:rPr>
          <w:rFonts w:hint="cs"/>
          <w:sz w:val="27"/>
          <w:rtl/>
        </w:rPr>
        <w:t>ّ</w:t>
      </w:r>
      <w:r w:rsidRPr="00282AC9">
        <w:rPr>
          <w:rFonts w:hint="cs"/>
          <w:sz w:val="27"/>
          <w:rtl/>
        </w:rPr>
        <w:t>اً في تأثير البيع أنّه يؤثّ</w:t>
      </w:r>
      <w:r w:rsidR="00F97770" w:rsidRPr="00282AC9">
        <w:rPr>
          <w:rFonts w:hint="cs"/>
          <w:sz w:val="27"/>
          <w:rtl/>
        </w:rPr>
        <w:t>ِ</w:t>
      </w:r>
      <w:r w:rsidRPr="00282AC9">
        <w:rPr>
          <w:rFonts w:hint="cs"/>
          <w:sz w:val="27"/>
          <w:rtl/>
        </w:rPr>
        <w:t>ر حت</w:t>
      </w:r>
      <w:r w:rsidR="00993EB3" w:rsidRPr="00282AC9">
        <w:rPr>
          <w:rFonts w:hint="cs"/>
          <w:sz w:val="27"/>
          <w:rtl/>
        </w:rPr>
        <w:t>ّ</w:t>
      </w:r>
      <w:r w:rsidRPr="00282AC9">
        <w:rPr>
          <w:rFonts w:hint="cs"/>
          <w:sz w:val="27"/>
          <w:rtl/>
        </w:rPr>
        <w:t>ى قبل القبض والإقباض الخارجي</w:t>
      </w:r>
      <w:r w:rsidR="00993EB3" w:rsidRPr="00282AC9">
        <w:rPr>
          <w:rFonts w:hint="cs"/>
          <w:sz w:val="27"/>
          <w:rtl/>
        </w:rPr>
        <w:t>ّ</w:t>
      </w:r>
      <w:r w:rsidRPr="00282AC9">
        <w:rPr>
          <w:rFonts w:hint="cs"/>
          <w:sz w:val="27"/>
          <w:rtl/>
        </w:rPr>
        <w:t>ين.</w:t>
      </w:r>
    </w:p>
    <w:p w:rsidR="0062395A" w:rsidRPr="00282AC9" w:rsidRDefault="0062395A" w:rsidP="00495D24">
      <w:pPr>
        <w:rPr>
          <w:sz w:val="27"/>
          <w:rtl/>
          <w:lang w:bidi="fa-IR"/>
        </w:rPr>
      </w:pPr>
      <w:r w:rsidRPr="00282AC9">
        <w:rPr>
          <w:rFonts w:hint="cs"/>
          <w:sz w:val="27"/>
          <w:rtl/>
          <w:lang w:bidi="fa-IR"/>
        </w:rPr>
        <w:t>وعلى أيّ حال</w:t>
      </w:r>
      <w:r w:rsidR="00993EB3" w:rsidRPr="00282AC9">
        <w:rPr>
          <w:rFonts w:hint="cs"/>
          <w:sz w:val="27"/>
          <w:rtl/>
          <w:lang w:bidi="fa-IR"/>
        </w:rPr>
        <w:t>ٍ</w:t>
      </w:r>
      <w:r w:rsidRPr="00282AC9">
        <w:rPr>
          <w:rFonts w:hint="cs"/>
          <w:sz w:val="27"/>
          <w:rtl/>
          <w:lang w:bidi="fa-IR"/>
        </w:rPr>
        <w:t xml:space="preserve"> لو صحّ ما يُستشمّ من كلمات الفقهاء الواردة في موارد مختلفة</w:t>
      </w:r>
      <w:r w:rsidR="001E6BD2" w:rsidRPr="00282AC9">
        <w:rPr>
          <w:rFonts w:hint="cs"/>
          <w:sz w:val="27"/>
          <w:rtl/>
          <w:lang w:bidi="fa-IR"/>
        </w:rPr>
        <w:t>،</w:t>
      </w:r>
      <w:r w:rsidRPr="00282AC9">
        <w:rPr>
          <w:rFonts w:hint="cs"/>
          <w:sz w:val="27"/>
          <w:rtl/>
          <w:lang w:bidi="fa-IR"/>
        </w:rPr>
        <w:t xml:space="preserve"> من أنّ الارتكاز العقلائي يقتضي أن تكون أفراد المعاملة تامّة</w:t>
      </w:r>
      <w:r w:rsidR="001E6BD2" w:rsidRPr="00282AC9">
        <w:rPr>
          <w:rFonts w:hint="cs"/>
          <w:sz w:val="27"/>
          <w:rtl/>
          <w:lang w:bidi="fa-IR"/>
        </w:rPr>
        <w:t>ً</w:t>
      </w:r>
      <w:r w:rsidRPr="00282AC9">
        <w:rPr>
          <w:rFonts w:hint="cs"/>
          <w:sz w:val="27"/>
          <w:rtl/>
          <w:lang w:bidi="fa-IR"/>
        </w:rPr>
        <w:t xml:space="preserve"> بمجرّد المعاملة</w:t>
      </w:r>
      <w:r w:rsidR="001E6BD2" w:rsidRPr="00282AC9">
        <w:rPr>
          <w:rFonts w:hint="cs"/>
          <w:sz w:val="27"/>
          <w:rtl/>
          <w:lang w:bidi="fa-IR"/>
        </w:rPr>
        <w:t>،</w:t>
      </w:r>
      <w:r w:rsidRPr="00282AC9">
        <w:rPr>
          <w:rFonts w:hint="cs"/>
          <w:sz w:val="27"/>
          <w:rtl/>
          <w:lang w:bidi="fa-IR"/>
        </w:rPr>
        <w:t xml:space="preserve"> وبلا حاجة</w:t>
      </w:r>
      <w:r w:rsidR="001E6BD2" w:rsidRPr="00282AC9">
        <w:rPr>
          <w:rFonts w:hint="cs"/>
          <w:sz w:val="27"/>
          <w:rtl/>
          <w:lang w:bidi="fa-IR"/>
        </w:rPr>
        <w:t>ٍ</w:t>
      </w:r>
      <w:r w:rsidR="00BC0925" w:rsidRPr="00282AC9">
        <w:rPr>
          <w:rFonts w:hint="cs"/>
          <w:sz w:val="27"/>
          <w:rtl/>
          <w:lang w:bidi="fa-IR"/>
        </w:rPr>
        <w:t xml:space="preserve"> إلى </w:t>
      </w:r>
      <w:r w:rsidRPr="00282AC9">
        <w:rPr>
          <w:rFonts w:hint="cs"/>
          <w:sz w:val="27"/>
          <w:rtl/>
          <w:lang w:bidi="fa-IR"/>
        </w:rPr>
        <w:t>حيازة</w:t>
      </w:r>
      <w:r w:rsidR="001E6BD2" w:rsidRPr="00282AC9">
        <w:rPr>
          <w:rFonts w:hint="cs"/>
          <w:sz w:val="27"/>
          <w:rtl/>
          <w:lang w:bidi="fa-IR"/>
        </w:rPr>
        <w:t>ٍ</w:t>
      </w:r>
      <w:r w:rsidRPr="00282AC9">
        <w:rPr>
          <w:rFonts w:hint="cs"/>
          <w:sz w:val="27"/>
          <w:rtl/>
          <w:lang w:bidi="fa-IR"/>
        </w:rPr>
        <w:t xml:space="preserve"> خارجية من قِب</w:t>
      </w:r>
      <w:r w:rsidR="001E6BD2" w:rsidRPr="00282AC9">
        <w:rPr>
          <w:rFonts w:hint="cs"/>
          <w:sz w:val="27"/>
          <w:rtl/>
          <w:lang w:bidi="fa-IR"/>
        </w:rPr>
        <w:t>َ</w:t>
      </w:r>
      <w:r w:rsidRPr="00282AC9">
        <w:rPr>
          <w:rFonts w:hint="cs"/>
          <w:sz w:val="27"/>
          <w:rtl/>
          <w:lang w:bidi="fa-IR"/>
        </w:rPr>
        <w:t>ل المشتري</w:t>
      </w:r>
      <w:r w:rsidR="001E6BD2" w:rsidRPr="00282AC9">
        <w:rPr>
          <w:rFonts w:hint="cs"/>
          <w:sz w:val="27"/>
          <w:rtl/>
          <w:lang w:bidi="fa-IR"/>
        </w:rPr>
        <w:t>،</w:t>
      </w:r>
      <w:r w:rsidRPr="00282AC9">
        <w:rPr>
          <w:rFonts w:hint="cs"/>
          <w:sz w:val="27"/>
          <w:rtl/>
          <w:lang w:bidi="fa-IR"/>
        </w:rPr>
        <w:t xml:space="preserve"> فلا</w:t>
      </w:r>
      <w:r w:rsidR="001E6BD2" w:rsidRPr="00282AC9">
        <w:rPr>
          <w:rFonts w:hint="cs"/>
          <w:sz w:val="27"/>
          <w:rtl/>
          <w:lang w:bidi="fa-IR"/>
        </w:rPr>
        <w:t xml:space="preserve"> إشكال في أنّ هذا الارتكاز لا ي</w:t>
      </w:r>
      <w:r w:rsidRPr="00282AC9">
        <w:rPr>
          <w:rFonts w:hint="cs"/>
          <w:sz w:val="27"/>
          <w:rtl/>
          <w:lang w:bidi="fa-IR"/>
        </w:rPr>
        <w:t>مكن تفسير</w:t>
      </w:r>
      <w:r w:rsidR="001E6BD2" w:rsidRPr="00282AC9">
        <w:rPr>
          <w:rFonts w:hint="cs"/>
          <w:sz w:val="27"/>
          <w:rtl/>
          <w:lang w:bidi="fa-IR"/>
        </w:rPr>
        <w:t>ُ</w:t>
      </w:r>
      <w:r w:rsidRPr="00282AC9">
        <w:rPr>
          <w:rFonts w:hint="cs"/>
          <w:sz w:val="27"/>
          <w:rtl/>
          <w:lang w:bidi="fa-IR"/>
        </w:rPr>
        <w:t>ه وفقاً لهذا الافتراض؛ لأنّه يستدعي حيازة المشتري للعين، والمفروض</w:t>
      </w:r>
      <w:r w:rsidR="001E6BD2" w:rsidRPr="00282AC9">
        <w:rPr>
          <w:rFonts w:hint="cs"/>
          <w:sz w:val="27"/>
          <w:rtl/>
          <w:lang w:bidi="fa-IR"/>
        </w:rPr>
        <w:t>ُ</w:t>
      </w:r>
      <w:r w:rsidRPr="00282AC9">
        <w:rPr>
          <w:rFonts w:hint="cs"/>
          <w:sz w:val="27"/>
          <w:rtl/>
          <w:lang w:bidi="fa-IR"/>
        </w:rPr>
        <w:t xml:space="preserve"> عدم</w:t>
      </w:r>
      <w:r w:rsidR="001E6BD2" w:rsidRPr="00282AC9">
        <w:rPr>
          <w:rFonts w:hint="cs"/>
          <w:sz w:val="27"/>
          <w:rtl/>
          <w:lang w:bidi="fa-IR"/>
        </w:rPr>
        <w:t>ُ</w:t>
      </w:r>
      <w:r w:rsidRPr="00282AC9">
        <w:rPr>
          <w:rFonts w:hint="cs"/>
          <w:sz w:val="27"/>
          <w:rtl/>
          <w:lang w:bidi="fa-IR"/>
        </w:rPr>
        <w:t>ها، فقبل الحيازة والقبض يكون النقل والانتقال تامّ</w:t>
      </w:r>
      <w:r w:rsidR="001E6BD2" w:rsidRPr="00282AC9">
        <w:rPr>
          <w:rFonts w:hint="cs"/>
          <w:sz w:val="27"/>
          <w:rtl/>
          <w:lang w:bidi="fa-IR"/>
        </w:rPr>
        <w:t>َ</w:t>
      </w:r>
      <w:r w:rsidRPr="00282AC9">
        <w:rPr>
          <w:rFonts w:hint="cs"/>
          <w:sz w:val="27"/>
          <w:rtl/>
          <w:lang w:bidi="fa-IR"/>
        </w:rPr>
        <w:t>ي</w:t>
      </w:r>
      <w:r w:rsidR="00B94D9F" w:rsidRPr="00282AC9">
        <w:rPr>
          <w:rFonts w:hint="cs"/>
          <w:sz w:val="27"/>
          <w:rtl/>
          <w:lang w:bidi="fa-IR"/>
        </w:rPr>
        <w:t>ْ</w:t>
      </w:r>
      <w:r w:rsidRPr="00282AC9">
        <w:rPr>
          <w:rFonts w:hint="cs"/>
          <w:sz w:val="27"/>
          <w:rtl/>
          <w:lang w:bidi="fa-IR"/>
        </w:rPr>
        <w:t xml:space="preserve">ن، ومعه </w:t>
      </w:r>
      <w:r w:rsidR="00674EF5" w:rsidRPr="00282AC9">
        <w:rPr>
          <w:rFonts w:hint="cs"/>
          <w:sz w:val="27"/>
          <w:rtl/>
          <w:lang w:bidi="fa-IR"/>
        </w:rPr>
        <w:t>لا بُدَّ</w:t>
      </w:r>
      <w:r w:rsidRPr="00282AC9">
        <w:rPr>
          <w:rFonts w:hint="cs"/>
          <w:sz w:val="27"/>
          <w:rtl/>
          <w:lang w:bidi="fa-IR"/>
        </w:rPr>
        <w:t xml:space="preserve"> من فرض</w:t>
      </w:r>
      <w:r w:rsidR="001E6BD2" w:rsidRPr="00282AC9">
        <w:rPr>
          <w:rFonts w:hint="cs"/>
          <w:sz w:val="27"/>
          <w:rtl/>
          <w:lang w:bidi="fa-IR"/>
        </w:rPr>
        <w:t>ِ</w:t>
      </w:r>
      <w:r w:rsidRPr="00282AC9">
        <w:rPr>
          <w:rFonts w:hint="cs"/>
          <w:sz w:val="27"/>
          <w:rtl/>
          <w:lang w:bidi="fa-IR"/>
        </w:rPr>
        <w:t xml:space="preserve"> مِلاك</w:t>
      </w:r>
      <w:r w:rsidR="001E6BD2" w:rsidRPr="00282AC9">
        <w:rPr>
          <w:rFonts w:hint="cs"/>
          <w:sz w:val="27"/>
          <w:rtl/>
          <w:lang w:bidi="fa-IR"/>
        </w:rPr>
        <w:t>ٍ</w:t>
      </w:r>
      <w:r w:rsidRPr="00282AC9">
        <w:rPr>
          <w:rFonts w:hint="cs"/>
          <w:sz w:val="27"/>
          <w:rtl/>
          <w:lang w:bidi="fa-IR"/>
        </w:rPr>
        <w:t xml:space="preserve"> آخر </w:t>
      </w:r>
      <w:r w:rsidRPr="00282AC9">
        <w:rPr>
          <w:rFonts w:hint="cs"/>
          <w:sz w:val="27"/>
          <w:rtl/>
          <w:lang w:bidi="fa-IR"/>
        </w:rPr>
        <w:lastRenderedPageBreak/>
        <w:t>لتمامي</w:t>
      </w:r>
      <w:r w:rsidR="001E6BD2" w:rsidRPr="00282AC9">
        <w:rPr>
          <w:rFonts w:hint="cs"/>
          <w:sz w:val="27"/>
          <w:rtl/>
          <w:lang w:bidi="fa-IR"/>
        </w:rPr>
        <w:t>ّ</w:t>
      </w:r>
      <w:r w:rsidRPr="00282AC9">
        <w:rPr>
          <w:rFonts w:hint="cs"/>
          <w:sz w:val="27"/>
          <w:rtl/>
          <w:lang w:bidi="fa-IR"/>
        </w:rPr>
        <w:t>تها</w:t>
      </w:r>
      <w:r w:rsidRPr="00282AC9">
        <w:rPr>
          <w:sz w:val="27"/>
          <w:vertAlign w:val="superscript"/>
          <w:rtl/>
          <w:lang w:bidi="fa-IR"/>
        </w:rPr>
        <w:t>(</w:t>
      </w:r>
      <w:r w:rsidRPr="00282AC9">
        <w:rPr>
          <w:sz w:val="27"/>
          <w:vertAlign w:val="superscript"/>
          <w:rtl/>
          <w:lang w:bidi="fa-IR"/>
        </w:rPr>
        <w:endnoteReference w:id="987"/>
      </w:r>
      <w:r w:rsidRPr="00282AC9">
        <w:rPr>
          <w:rFonts w:hint="cs"/>
          <w:sz w:val="27"/>
          <w:vertAlign w:val="superscript"/>
          <w:rtl/>
          <w:lang w:bidi="fa-IR"/>
        </w:rPr>
        <w:t>)</w:t>
      </w:r>
      <w:r w:rsidRPr="00282AC9">
        <w:rPr>
          <w:rFonts w:hint="cs"/>
          <w:sz w:val="27"/>
          <w:rtl/>
          <w:lang w:bidi="fa-IR"/>
        </w:rPr>
        <w:t>.</w:t>
      </w:r>
    </w:p>
    <w:p w:rsidR="00495D24" w:rsidRPr="00282AC9" w:rsidRDefault="00495D24" w:rsidP="00495D24">
      <w:pPr>
        <w:spacing w:line="420" w:lineRule="exact"/>
        <w:rPr>
          <w:sz w:val="27"/>
          <w:rtl/>
        </w:rPr>
      </w:pPr>
    </w:p>
    <w:p w:rsidR="0062395A" w:rsidRPr="00282AC9" w:rsidRDefault="0062395A" w:rsidP="00715FC8">
      <w:pPr>
        <w:pStyle w:val="31"/>
        <w:rPr>
          <w:color w:val="auto"/>
          <w:rtl/>
          <w:lang w:bidi="fa-IR"/>
        </w:rPr>
      </w:pPr>
      <w:r w:rsidRPr="00282AC9">
        <w:rPr>
          <w:rFonts w:hint="cs"/>
          <w:color w:val="auto"/>
          <w:rtl/>
          <w:lang w:bidi="fa-IR"/>
        </w:rPr>
        <w:t>محاولة</w:t>
      </w:r>
      <w:r w:rsidR="001E6BD2" w:rsidRPr="00282AC9">
        <w:rPr>
          <w:rFonts w:hint="cs"/>
          <w:color w:val="auto"/>
          <w:rtl/>
          <w:lang w:bidi="fa-IR"/>
        </w:rPr>
        <w:t>ٌ</w:t>
      </w:r>
      <w:r w:rsidRPr="00282AC9">
        <w:rPr>
          <w:rFonts w:hint="cs"/>
          <w:color w:val="auto"/>
          <w:rtl/>
          <w:lang w:bidi="fa-IR"/>
        </w:rPr>
        <w:t xml:space="preserve"> فنّية لتكييف إرجاع البيع</w:t>
      </w:r>
      <w:r w:rsidR="00BC0925" w:rsidRPr="00282AC9">
        <w:rPr>
          <w:rFonts w:hint="cs"/>
          <w:color w:val="auto"/>
          <w:rtl/>
          <w:lang w:bidi="fa-IR"/>
        </w:rPr>
        <w:t xml:space="preserve"> إلى </w:t>
      </w:r>
      <w:r w:rsidRPr="00282AC9">
        <w:rPr>
          <w:rFonts w:hint="cs"/>
          <w:color w:val="auto"/>
          <w:rtl/>
          <w:lang w:bidi="fa-IR"/>
        </w:rPr>
        <w:t>الحيازة البقائي</w:t>
      </w:r>
      <w:r w:rsidR="001E6BD2" w:rsidRPr="00282AC9">
        <w:rPr>
          <w:rFonts w:hint="cs"/>
          <w:color w:val="auto"/>
          <w:rtl/>
          <w:lang w:bidi="fa-IR"/>
        </w:rPr>
        <w:t>ّ</w:t>
      </w:r>
      <w:r w:rsidRPr="00282AC9">
        <w:rPr>
          <w:rFonts w:hint="cs"/>
          <w:color w:val="auto"/>
          <w:rtl/>
          <w:lang w:bidi="fa-IR"/>
        </w:rPr>
        <w:t>ة</w:t>
      </w:r>
    </w:p>
    <w:p w:rsidR="0062395A" w:rsidRPr="00282AC9" w:rsidRDefault="0062395A" w:rsidP="00495D24">
      <w:pPr>
        <w:rPr>
          <w:sz w:val="27"/>
          <w:rtl/>
          <w:lang w:bidi="fa-IR"/>
        </w:rPr>
      </w:pPr>
      <w:r w:rsidRPr="00282AC9">
        <w:rPr>
          <w:rFonts w:hint="cs"/>
          <w:sz w:val="27"/>
          <w:rtl/>
          <w:lang w:bidi="fa-IR"/>
        </w:rPr>
        <w:t>لقد طرح الشهيد الصدر</w:t>
      </w:r>
      <w:r w:rsidR="009A2A04" w:rsidRPr="00282AC9">
        <w:rPr>
          <w:rFonts w:cs="Mosawi" w:hint="cs"/>
          <w:sz w:val="22"/>
          <w:szCs w:val="22"/>
          <w:rtl/>
          <w:lang w:bidi="fa-IR"/>
        </w:rPr>
        <w:t>&amp;</w:t>
      </w:r>
      <w:r w:rsidRPr="00282AC9">
        <w:rPr>
          <w:rFonts w:hint="cs"/>
          <w:sz w:val="27"/>
          <w:rtl/>
          <w:lang w:bidi="fa-IR"/>
        </w:rPr>
        <w:t xml:space="preserve"> افتراضاً آخر لتفسير الحيازة في البيع، وذلك </w:t>
      </w:r>
      <w:r w:rsidRPr="00282AC9">
        <w:rPr>
          <w:rFonts w:hint="cs"/>
          <w:sz w:val="24"/>
          <w:szCs w:val="24"/>
          <w:rtl/>
          <w:lang w:bidi="fa-IR"/>
        </w:rPr>
        <w:t>«</w:t>
      </w:r>
      <w:r w:rsidRPr="00282AC9">
        <w:rPr>
          <w:rFonts w:hint="cs"/>
          <w:sz w:val="27"/>
          <w:rtl/>
          <w:lang w:bidi="fa-IR"/>
        </w:rPr>
        <w:t>أن يُقال: إنّ مرجع البيع</w:t>
      </w:r>
      <w:r w:rsidR="00BC0925" w:rsidRPr="00282AC9">
        <w:rPr>
          <w:rFonts w:hint="cs"/>
          <w:sz w:val="27"/>
          <w:rtl/>
          <w:lang w:bidi="fa-IR"/>
        </w:rPr>
        <w:t xml:space="preserve"> إلى </w:t>
      </w:r>
      <w:r w:rsidRPr="00282AC9">
        <w:rPr>
          <w:rFonts w:hint="cs"/>
          <w:sz w:val="27"/>
          <w:rtl/>
          <w:lang w:bidi="fa-IR"/>
        </w:rPr>
        <w:t>أنّ البائع يحوز بقاءً للمشتري، لا لنفسه.</w:t>
      </w:r>
    </w:p>
    <w:p w:rsidR="0062395A" w:rsidRPr="00282AC9" w:rsidRDefault="0062395A" w:rsidP="00495D24">
      <w:pPr>
        <w:rPr>
          <w:sz w:val="27"/>
          <w:rtl/>
          <w:lang w:bidi="fa-IR"/>
        </w:rPr>
      </w:pPr>
      <w:r w:rsidRPr="00282AC9">
        <w:rPr>
          <w:rFonts w:hint="cs"/>
          <w:sz w:val="27"/>
          <w:rtl/>
          <w:lang w:bidi="fa-IR"/>
        </w:rPr>
        <w:t xml:space="preserve">وتوضيح ذلك: </w:t>
      </w:r>
      <w:r w:rsidR="001E6BD2" w:rsidRPr="00282AC9">
        <w:rPr>
          <w:rFonts w:hint="cs"/>
          <w:sz w:val="27"/>
          <w:rtl/>
          <w:lang w:bidi="fa-IR"/>
        </w:rPr>
        <w:t>إ</w:t>
      </w:r>
      <w:r w:rsidRPr="00282AC9">
        <w:rPr>
          <w:rFonts w:hint="cs"/>
          <w:sz w:val="27"/>
          <w:rtl/>
          <w:lang w:bidi="fa-IR"/>
        </w:rPr>
        <w:t>نّ الحيازة ـ وهي من المملّ</w:t>
      </w:r>
      <w:r w:rsidR="001E6BD2" w:rsidRPr="00282AC9">
        <w:rPr>
          <w:rFonts w:hint="cs"/>
          <w:sz w:val="27"/>
          <w:rtl/>
          <w:lang w:bidi="fa-IR"/>
        </w:rPr>
        <w:t>ِ</w:t>
      </w:r>
      <w:r w:rsidRPr="00282AC9">
        <w:rPr>
          <w:rFonts w:hint="cs"/>
          <w:sz w:val="27"/>
          <w:rtl/>
          <w:lang w:bidi="fa-IR"/>
        </w:rPr>
        <w:t>كات ـ تارة</w:t>
      </w:r>
      <w:r w:rsidR="001E6BD2" w:rsidRPr="00282AC9">
        <w:rPr>
          <w:rFonts w:hint="cs"/>
          <w:sz w:val="27"/>
          <w:rtl/>
          <w:lang w:bidi="fa-IR"/>
        </w:rPr>
        <w:t>ً</w:t>
      </w:r>
      <w:r w:rsidRPr="00282AC9">
        <w:rPr>
          <w:rFonts w:hint="cs"/>
          <w:sz w:val="27"/>
          <w:rtl/>
          <w:lang w:bidi="fa-IR"/>
        </w:rPr>
        <w:t xml:space="preserve"> تقع من الشخص نفسه، فيقصد الحيازة لنفسه</w:t>
      </w:r>
      <w:r w:rsidR="001E6BD2" w:rsidRPr="00282AC9">
        <w:rPr>
          <w:rFonts w:hint="cs"/>
          <w:sz w:val="27"/>
          <w:rtl/>
          <w:lang w:bidi="fa-IR"/>
        </w:rPr>
        <w:t>؛</w:t>
      </w:r>
      <w:r w:rsidRPr="00282AC9">
        <w:rPr>
          <w:rFonts w:hint="cs"/>
          <w:sz w:val="27"/>
          <w:rtl/>
          <w:lang w:bidi="fa-IR"/>
        </w:rPr>
        <w:t xml:space="preserve"> وأُخرى يقصدها لغيره، فيملك ذلك الغير المُح</w:t>
      </w:r>
      <w:r w:rsidR="001E6BD2" w:rsidRPr="00282AC9">
        <w:rPr>
          <w:rFonts w:hint="cs"/>
          <w:sz w:val="27"/>
          <w:rtl/>
          <w:lang w:bidi="fa-IR"/>
        </w:rPr>
        <w:t>َ</w:t>
      </w:r>
      <w:r w:rsidRPr="00282AC9">
        <w:rPr>
          <w:rFonts w:hint="cs"/>
          <w:sz w:val="27"/>
          <w:rtl/>
          <w:lang w:bidi="fa-IR"/>
        </w:rPr>
        <w:t>از له، سواء</w:t>
      </w:r>
      <w:r w:rsidR="001E6BD2" w:rsidRPr="00282AC9">
        <w:rPr>
          <w:rFonts w:hint="cs"/>
          <w:sz w:val="27"/>
          <w:rtl/>
          <w:lang w:bidi="fa-IR"/>
        </w:rPr>
        <w:t>ٌ</w:t>
      </w:r>
      <w:r w:rsidRPr="00282AC9">
        <w:rPr>
          <w:rFonts w:hint="cs"/>
          <w:sz w:val="27"/>
          <w:rtl/>
          <w:lang w:bidi="fa-IR"/>
        </w:rPr>
        <w:t xml:space="preserve"> أكان هو الحائز نفسه أم شخص آخر</w:t>
      </w:r>
      <w:r w:rsidR="001E6BD2" w:rsidRPr="00282AC9">
        <w:rPr>
          <w:rFonts w:hint="cs"/>
          <w:sz w:val="27"/>
          <w:rtl/>
          <w:lang w:bidi="fa-IR"/>
        </w:rPr>
        <w:t>.</w:t>
      </w:r>
      <w:r w:rsidRPr="00282AC9">
        <w:rPr>
          <w:rFonts w:hint="cs"/>
          <w:sz w:val="27"/>
          <w:rtl/>
          <w:lang w:bidi="fa-IR"/>
        </w:rPr>
        <w:t xml:space="preserve"> فالبائع يُبدّ</w:t>
      </w:r>
      <w:r w:rsidR="001E6BD2" w:rsidRPr="00282AC9">
        <w:rPr>
          <w:rFonts w:hint="cs"/>
          <w:sz w:val="27"/>
          <w:rtl/>
          <w:lang w:bidi="fa-IR"/>
        </w:rPr>
        <w:t>ِ</w:t>
      </w:r>
      <w:r w:rsidRPr="00282AC9">
        <w:rPr>
          <w:rFonts w:hint="cs"/>
          <w:sz w:val="27"/>
          <w:rtl/>
          <w:lang w:bidi="fa-IR"/>
        </w:rPr>
        <w:t>ل هذه الحيازة لنفسه</w:t>
      </w:r>
      <w:r w:rsidR="001E6BD2" w:rsidRPr="00282AC9">
        <w:rPr>
          <w:rFonts w:hint="cs"/>
          <w:sz w:val="27"/>
          <w:rtl/>
          <w:lang w:bidi="fa-IR"/>
        </w:rPr>
        <w:t>،</w:t>
      </w:r>
      <w:r w:rsidRPr="00282AC9">
        <w:rPr>
          <w:rFonts w:hint="cs"/>
          <w:sz w:val="27"/>
          <w:rtl/>
          <w:lang w:bidi="fa-IR"/>
        </w:rPr>
        <w:t xml:space="preserve"> والتي اقتض</w:t>
      </w:r>
      <w:r w:rsidR="00B94D9F" w:rsidRPr="00282AC9">
        <w:rPr>
          <w:rFonts w:hint="cs"/>
          <w:sz w:val="27"/>
          <w:rtl/>
          <w:lang w:bidi="fa-IR"/>
        </w:rPr>
        <w:t>َ</w:t>
      </w:r>
      <w:r w:rsidRPr="00282AC9">
        <w:rPr>
          <w:rFonts w:hint="cs"/>
          <w:sz w:val="27"/>
          <w:rtl/>
          <w:lang w:bidi="fa-IR"/>
        </w:rPr>
        <w:t>ت</w:t>
      </w:r>
      <w:r w:rsidR="00B94D9F" w:rsidRPr="00282AC9">
        <w:rPr>
          <w:rFonts w:hint="cs"/>
          <w:sz w:val="27"/>
          <w:rtl/>
          <w:lang w:bidi="fa-IR"/>
        </w:rPr>
        <w:t>ْ</w:t>
      </w:r>
      <w:r w:rsidRPr="00282AC9">
        <w:rPr>
          <w:rFonts w:hint="cs"/>
          <w:sz w:val="27"/>
          <w:rtl/>
          <w:lang w:bidi="fa-IR"/>
        </w:rPr>
        <w:t xml:space="preserve"> م</w:t>
      </w:r>
      <w:r w:rsidR="001E6BD2" w:rsidRPr="00282AC9">
        <w:rPr>
          <w:rFonts w:hint="cs"/>
          <w:sz w:val="27"/>
          <w:rtl/>
          <w:lang w:bidi="fa-IR"/>
        </w:rPr>
        <w:t>ِ</w:t>
      </w:r>
      <w:r w:rsidRPr="00282AC9">
        <w:rPr>
          <w:rFonts w:hint="cs"/>
          <w:sz w:val="27"/>
          <w:rtl/>
          <w:lang w:bidi="fa-IR"/>
        </w:rPr>
        <w:t>ل</w:t>
      </w:r>
      <w:r w:rsidR="001E6BD2" w:rsidRPr="00282AC9">
        <w:rPr>
          <w:rFonts w:hint="cs"/>
          <w:sz w:val="27"/>
          <w:rtl/>
          <w:lang w:bidi="fa-IR"/>
        </w:rPr>
        <w:t>ْ</w:t>
      </w:r>
      <w:r w:rsidRPr="00282AC9">
        <w:rPr>
          <w:rFonts w:hint="cs"/>
          <w:sz w:val="27"/>
          <w:rtl/>
          <w:lang w:bidi="fa-IR"/>
        </w:rPr>
        <w:t>كي</w:t>
      </w:r>
      <w:r w:rsidR="001E6BD2" w:rsidRPr="00282AC9">
        <w:rPr>
          <w:rFonts w:hint="cs"/>
          <w:sz w:val="27"/>
          <w:rtl/>
          <w:lang w:bidi="fa-IR"/>
        </w:rPr>
        <w:t>ّ</w:t>
      </w:r>
      <w:r w:rsidRPr="00282AC9">
        <w:rPr>
          <w:rFonts w:hint="cs"/>
          <w:sz w:val="27"/>
          <w:rtl/>
          <w:lang w:bidi="fa-IR"/>
        </w:rPr>
        <w:t>ته للعين</w:t>
      </w:r>
      <w:r w:rsidR="001E6BD2" w:rsidRPr="00282AC9">
        <w:rPr>
          <w:rFonts w:hint="cs"/>
          <w:sz w:val="27"/>
          <w:rtl/>
          <w:lang w:bidi="fa-IR"/>
        </w:rPr>
        <w:t>،</w:t>
      </w:r>
      <w:r w:rsidR="00BC0925" w:rsidRPr="00282AC9">
        <w:rPr>
          <w:rFonts w:hint="cs"/>
          <w:sz w:val="27"/>
          <w:rtl/>
          <w:lang w:bidi="fa-IR"/>
        </w:rPr>
        <w:t xml:space="preserve"> إلى </w:t>
      </w:r>
      <w:r w:rsidRPr="00282AC9">
        <w:rPr>
          <w:rFonts w:hint="cs"/>
          <w:sz w:val="27"/>
          <w:rtl/>
          <w:lang w:bidi="fa-IR"/>
        </w:rPr>
        <w:t>الحيازة للمشتري، فيصبح الأخير مالكاً؛ لأنّه هو المُح</w:t>
      </w:r>
      <w:r w:rsidR="001E6BD2" w:rsidRPr="00282AC9">
        <w:rPr>
          <w:rFonts w:hint="cs"/>
          <w:sz w:val="27"/>
          <w:rtl/>
          <w:lang w:bidi="fa-IR"/>
        </w:rPr>
        <w:t>َ</w:t>
      </w:r>
      <w:r w:rsidRPr="00282AC9">
        <w:rPr>
          <w:rFonts w:hint="cs"/>
          <w:sz w:val="27"/>
          <w:rtl/>
          <w:lang w:bidi="fa-IR"/>
        </w:rPr>
        <w:t>از له.</w:t>
      </w:r>
    </w:p>
    <w:p w:rsidR="0062395A" w:rsidRPr="00282AC9" w:rsidRDefault="0062395A" w:rsidP="00495D24">
      <w:pPr>
        <w:spacing w:line="410" w:lineRule="exact"/>
        <w:rPr>
          <w:sz w:val="27"/>
          <w:rtl/>
          <w:lang w:bidi="fa-IR"/>
        </w:rPr>
      </w:pPr>
      <w:r w:rsidRPr="00282AC9">
        <w:rPr>
          <w:rFonts w:hint="cs"/>
          <w:sz w:val="27"/>
          <w:rtl/>
          <w:lang w:bidi="fa-IR"/>
        </w:rPr>
        <w:t>وهذا الافتراض يُمثّ</w:t>
      </w:r>
      <w:r w:rsidR="001E6BD2" w:rsidRPr="00282AC9">
        <w:rPr>
          <w:rFonts w:hint="cs"/>
          <w:sz w:val="27"/>
          <w:rtl/>
          <w:lang w:bidi="fa-IR"/>
        </w:rPr>
        <w:t>ِ</w:t>
      </w:r>
      <w:r w:rsidRPr="00282AC9">
        <w:rPr>
          <w:rFonts w:hint="cs"/>
          <w:sz w:val="27"/>
          <w:rtl/>
          <w:lang w:bidi="fa-IR"/>
        </w:rPr>
        <w:t>ل محاولة</w:t>
      </w:r>
      <w:r w:rsidR="001E6BD2" w:rsidRPr="00282AC9">
        <w:rPr>
          <w:rFonts w:hint="cs"/>
          <w:sz w:val="27"/>
          <w:rtl/>
          <w:lang w:bidi="fa-IR"/>
        </w:rPr>
        <w:t>ً</w:t>
      </w:r>
      <w:r w:rsidRPr="00282AC9">
        <w:rPr>
          <w:rFonts w:hint="cs"/>
          <w:sz w:val="27"/>
          <w:rtl/>
          <w:lang w:bidi="fa-IR"/>
        </w:rPr>
        <w:t xml:space="preserve"> تستهدف إرجاع </w:t>
      </w:r>
      <w:r w:rsidR="00EB1216" w:rsidRPr="00282AC9">
        <w:rPr>
          <w:rFonts w:hint="cs"/>
          <w:sz w:val="27"/>
          <w:rtl/>
          <w:lang w:bidi="fa-IR"/>
        </w:rPr>
        <w:t>المِلْكيّة</w:t>
      </w:r>
      <w:r w:rsidRPr="00282AC9">
        <w:rPr>
          <w:rFonts w:hint="cs"/>
          <w:sz w:val="27"/>
          <w:rtl/>
          <w:lang w:bidi="fa-IR"/>
        </w:rPr>
        <w:t xml:space="preserve"> المعاوضية</w:t>
      </w:r>
      <w:r w:rsidR="00BC0925" w:rsidRPr="00282AC9">
        <w:rPr>
          <w:rFonts w:hint="cs"/>
          <w:sz w:val="27"/>
          <w:rtl/>
          <w:lang w:bidi="fa-IR"/>
        </w:rPr>
        <w:t xml:space="preserve"> إلى </w:t>
      </w:r>
      <w:r w:rsidRPr="00282AC9">
        <w:rPr>
          <w:rFonts w:hint="cs"/>
          <w:sz w:val="27"/>
          <w:rtl/>
          <w:lang w:bidi="fa-IR"/>
        </w:rPr>
        <w:t>الحيازة، وأنّ التملّ</w:t>
      </w:r>
      <w:r w:rsidR="001E6BD2" w:rsidRPr="00282AC9">
        <w:rPr>
          <w:rFonts w:hint="cs"/>
          <w:sz w:val="27"/>
          <w:rtl/>
          <w:lang w:bidi="fa-IR"/>
        </w:rPr>
        <w:t>ُ</w:t>
      </w:r>
      <w:r w:rsidRPr="00282AC9">
        <w:rPr>
          <w:rFonts w:hint="cs"/>
          <w:sz w:val="27"/>
          <w:rtl/>
          <w:lang w:bidi="fa-IR"/>
        </w:rPr>
        <w:t>ك يكون بها، غايته بهذا النحو الخاصّ</w:t>
      </w:r>
      <w:r w:rsidRPr="00282AC9">
        <w:rPr>
          <w:rFonts w:hint="cs"/>
          <w:sz w:val="24"/>
          <w:szCs w:val="24"/>
          <w:rtl/>
          <w:lang w:bidi="fa-IR"/>
        </w:rPr>
        <w:t>»</w:t>
      </w:r>
      <w:r w:rsidRPr="00282AC9">
        <w:rPr>
          <w:rFonts w:hint="cs"/>
          <w:sz w:val="27"/>
          <w:rtl/>
          <w:lang w:bidi="fa-IR"/>
        </w:rPr>
        <w:t xml:space="preserve"> </w:t>
      </w:r>
      <w:r w:rsidRPr="00282AC9">
        <w:rPr>
          <w:sz w:val="27"/>
          <w:vertAlign w:val="superscript"/>
          <w:rtl/>
          <w:lang w:bidi="fa-IR"/>
        </w:rPr>
        <w:t>(</w:t>
      </w:r>
      <w:r w:rsidRPr="00282AC9">
        <w:rPr>
          <w:sz w:val="27"/>
          <w:vertAlign w:val="superscript"/>
          <w:rtl/>
          <w:lang w:bidi="fa-IR"/>
        </w:rPr>
        <w:endnoteReference w:id="988"/>
      </w:r>
      <w:r w:rsidRPr="00282AC9">
        <w:rPr>
          <w:rFonts w:hint="cs"/>
          <w:sz w:val="27"/>
          <w:vertAlign w:val="superscript"/>
          <w:rtl/>
          <w:lang w:bidi="fa-IR"/>
        </w:rPr>
        <w:t>)</w:t>
      </w:r>
      <w:r w:rsidRPr="00282AC9">
        <w:rPr>
          <w:rFonts w:hint="cs"/>
          <w:sz w:val="27"/>
          <w:rtl/>
          <w:lang w:bidi="fa-IR"/>
        </w:rPr>
        <w:t>.</w:t>
      </w:r>
    </w:p>
    <w:p w:rsidR="0062395A" w:rsidRPr="00282AC9" w:rsidRDefault="0062395A" w:rsidP="00495D24">
      <w:pPr>
        <w:rPr>
          <w:sz w:val="27"/>
          <w:rtl/>
          <w:lang w:bidi="fa-IR"/>
        </w:rPr>
      </w:pPr>
      <w:r w:rsidRPr="00282AC9">
        <w:rPr>
          <w:rFonts w:hint="cs"/>
          <w:sz w:val="27"/>
          <w:rtl/>
          <w:lang w:bidi="fa-IR"/>
        </w:rPr>
        <w:t>ثمّ إنّ الشهيد الصدر</w:t>
      </w:r>
      <w:r w:rsidR="001E6BD2" w:rsidRPr="00282AC9">
        <w:rPr>
          <w:rFonts w:hint="cs"/>
          <w:sz w:val="27"/>
          <w:rtl/>
          <w:lang w:bidi="fa-IR"/>
        </w:rPr>
        <w:t>،</w:t>
      </w:r>
      <w:r w:rsidRPr="00282AC9">
        <w:rPr>
          <w:rFonts w:hint="cs"/>
          <w:sz w:val="27"/>
          <w:rtl/>
          <w:lang w:bidi="fa-IR"/>
        </w:rPr>
        <w:t xml:space="preserve"> بعد ذكره لهذا الافتراض</w:t>
      </w:r>
      <w:r w:rsidR="001E6BD2" w:rsidRPr="00282AC9">
        <w:rPr>
          <w:rFonts w:hint="cs"/>
          <w:sz w:val="27"/>
          <w:rtl/>
          <w:lang w:bidi="fa-IR"/>
        </w:rPr>
        <w:t>،</w:t>
      </w:r>
      <w:r w:rsidRPr="00282AC9">
        <w:rPr>
          <w:rFonts w:hint="cs"/>
          <w:sz w:val="27"/>
          <w:rtl/>
          <w:lang w:bidi="fa-IR"/>
        </w:rPr>
        <w:t xml:space="preserve"> تصدّى لتقييمه ومناقشته وردّ</w:t>
      </w:r>
      <w:r w:rsidR="001E6BD2" w:rsidRPr="00282AC9">
        <w:rPr>
          <w:rFonts w:hint="cs"/>
          <w:sz w:val="27"/>
          <w:rtl/>
          <w:lang w:bidi="fa-IR"/>
        </w:rPr>
        <w:t>ِ</w:t>
      </w:r>
      <w:r w:rsidRPr="00282AC9">
        <w:rPr>
          <w:rFonts w:hint="cs"/>
          <w:sz w:val="27"/>
          <w:rtl/>
          <w:lang w:bidi="fa-IR"/>
        </w:rPr>
        <w:t>ه</w:t>
      </w:r>
      <w:r w:rsidR="001E6BD2" w:rsidRPr="00282AC9">
        <w:rPr>
          <w:rFonts w:hint="cs"/>
          <w:sz w:val="27"/>
          <w:rtl/>
          <w:lang w:bidi="fa-IR"/>
        </w:rPr>
        <w:t>.</w:t>
      </w:r>
      <w:r w:rsidRPr="00282AC9">
        <w:rPr>
          <w:rFonts w:hint="cs"/>
          <w:sz w:val="27"/>
          <w:rtl/>
          <w:lang w:bidi="fa-IR"/>
        </w:rPr>
        <w:t xml:space="preserve"> وأفاد بهذا الشأن: </w:t>
      </w:r>
      <w:r w:rsidR="001E6BD2" w:rsidRPr="00282AC9">
        <w:rPr>
          <w:rFonts w:hint="cs"/>
          <w:sz w:val="27"/>
          <w:rtl/>
          <w:lang w:bidi="fa-IR"/>
        </w:rPr>
        <w:t>إ</w:t>
      </w:r>
      <w:r w:rsidRPr="00282AC9">
        <w:rPr>
          <w:rFonts w:hint="cs"/>
          <w:sz w:val="27"/>
          <w:rtl/>
          <w:lang w:bidi="fa-IR"/>
        </w:rPr>
        <w:t>نّ هذا الافتراض يختلف عن الافتراض السابق في أنّه لا يأتي عليه الإشكال الأخير ـ أي الإشكال العاشر بح</w:t>
      </w:r>
      <w:r w:rsidR="003A4422" w:rsidRPr="00282AC9">
        <w:rPr>
          <w:rFonts w:hint="cs"/>
          <w:sz w:val="27"/>
          <w:rtl/>
          <w:lang w:bidi="fa-IR"/>
        </w:rPr>
        <w:t>َ</w:t>
      </w:r>
      <w:r w:rsidRPr="00282AC9">
        <w:rPr>
          <w:rFonts w:hint="cs"/>
          <w:sz w:val="27"/>
          <w:rtl/>
          <w:lang w:bidi="fa-IR"/>
        </w:rPr>
        <w:t>س</w:t>
      </w:r>
      <w:r w:rsidR="003A4422" w:rsidRPr="00282AC9">
        <w:rPr>
          <w:rFonts w:hint="cs"/>
          <w:sz w:val="27"/>
          <w:rtl/>
          <w:lang w:bidi="fa-IR"/>
        </w:rPr>
        <w:t>َ</w:t>
      </w:r>
      <w:r w:rsidRPr="00282AC9">
        <w:rPr>
          <w:rFonts w:hint="cs"/>
          <w:sz w:val="27"/>
          <w:rtl/>
          <w:lang w:bidi="fa-IR"/>
        </w:rPr>
        <w:t>ب ترقيمنا ـ، لكنّه ما زال يُواجه الإشكالين الثامن والتاسع ـ بح</w:t>
      </w:r>
      <w:r w:rsidR="003A4422" w:rsidRPr="00282AC9">
        <w:rPr>
          <w:rFonts w:hint="cs"/>
          <w:sz w:val="27"/>
          <w:rtl/>
          <w:lang w:bidi="fa-IR"/>
        </w:rPr>
        <w:t>َ</w:t>
      </w:r>
      <w:r w:rsidRPr="00282AC9">
        <w:rPr>
          <w:rFonts w:hint="cs"/>
          <w:sz w:val="27"/>
          <w:rtl/>
          <w:lang w:bidi="fa-IR"/>
        </w:rPr>
        <w:t>س</w:t>
      </w:r>
      <w:r w:rsidR="003A4422" w:rsidRPr="00282AC9">
        <w:rPr>
          <w:rFonts w:hint="cs"/>
          <w:sz w:val="27"/>
          <w:rtl/>
          <w:lang w:bidi="fa-IR"/>
        </w:rPr>
        <w:t>َ</w:t>
      </w:r>
      <w:r w:rsidRPr="00282AC9">
        <w:rPr>
          <w:rFonts w:hint="cs"/>
          <w:sz w:val="27"/>
          <w:rtl/>
          <w:lang w:bidi="fa-IR"/>
        </w:rPr>
        <w:t>ب ترقيمنا وكيفي</w:t>
      </w:r>
      <w:r w:rsidR="003A4422" w:rsidRPr="00282AC9">
        <w:rPr>
          <w:rFonts w:hint="cs"/>
          <w:sz w:val="27"/>
          <w:rtl/>
          <w:lang w:bidi="fa-IR"/>
        </w:rPr>
        <w:t>ّ</w:t>
      </w:r>
      <w:r w:rsidRPr="00282AC9">
        <w:rPr>
          <w:rFonts w:hint="cs"/>
          <w:sz w:val="27"/>
          <w:rtl/>
          <w:lang w:bidi="fa-IR"/>
        </w:rPr>
        <w:t>ة عرضنا ـ؛ لأنّ جملة</w:t>
      </w:r>
      <w:r w:rsidR="003A4422" w:rsidRPr="00282AC9">
        <w:rPr>
          <w:rFonts w:hint="cs"/>
          <w:sz w:val="27"/>
          <w:rtl/>
          <w:lang w:bidi="fa-IR"/>
        </w:rPr>
        <w:t>ً</w:t>
      </w:r>
      <w:r w:rsidRPr="00282AC9">
        <w:rPr>
          <w:rFonts w:hint="cs"/>
          <w:sz w:val="27"/>
          <w:rtl/>
          <w:lang w:bidi="fa-IR"/>
        </w:rPr>
        <w:t xml:space="preserve"> من الأشياء التي تُن</w:t>
      </w:r>
      <w:r w:rsidR="003A4422" w:rsidRPr="00282AC9">
        <w:rPr>
          <w:rFonts w:hint="cs"/>
          <w:sz w:val="27"/>
          <w:rtl/>
          <w:lang w:bidi="fa-IR"/>
        </w:rPr>
        <w:t>ْ</w:t>
      </w:r>
      <w:r w:rsidRPr="00282AC9">
        <w:rPr>
          <w:rFonts w:hint="cs"/>
          <w:sz w:val="27"/>
          <w:rtl/>
          <w:lang w:bidi="fa-IR"/>
        </w:rPr>
        <w:t>ق</w:t>
      </w:r>
      <w:r w:rsidR="003A4422" w:rsidRPr="00282AC9">
        <w:rPr>
          <w:rFonts w:hint="cs"/>
          <w:sz w:val="27"/>
          <w:rtl/>
          <w:lang w:bidi="fa-IR"/>
        </w:rPr>
        <w:t>َ</w:t>
      </w:r>
      <w:r w:rsidRPr="00282AC9">
        <w:rPr>
          <w:rFonts w:hint="cs"/>
          <w:sz w:val="27"/>
          <w:rtl/>
          <w:lang w:bidi="fa-IR"/>
        </w:rPr>
        <w:t>ل بالبيع لا تُم</w:t>
      </w:r>
      <w:r w:rsidR="003A4422" w:rsidRPr="00282AC9">
        <w:rPr>
          <w:rFonts w:hint="cs"/>
          <w:sz w:val="27"/>
          <w:rtl/>
          <w:lang w:bidi="fa-IR"/>
        </w:rPr>
        <w:t>ْ</w:t>
      </w:r>
      <w:r w:rsidRPr="00282AC9">
        <w:rPr>
          <w:rFonts w:hint="cs"/>
          <w:sz w:val="27"/>
          <w:rtl/>
          <w:lang w:bidi="fa-IR"/>
        </w:rPr>
        <w:t>ل</w:t>
      </w:r>
      <w:r w:rsidR="003A4422" w:rsidRPr="00282AC9">
        <w:rPr>
          <w:rFonts w:hint="cs"/>
          <w:sz w:val="27"/>
          <w:rtl/>
          <w:lang w:bidi="fa-IR"/>
        </w:rPr>
        <w:t>َ</w:t>
      </w:r>
      <w:r w:rsidRPr="00282AC9">
        <w:rPr>
          <w:rFonts w:hint="cs"/>
          <w:sz w:val="27"/>
          <w:rtl/>
          <w:lang w:bidi="fa-IR"/>
        </w:rPr>
        <w:t>ك بالحيازة، كالعمل والك</w:t>
      </w:r>
      <w:r w:rsidR="003A4422" w:rsidRPr="00282AC9">
        <w:rPr>
          <w:rFonts w:hint="cs"/>
          <w:sz w:val="27"/>
          <w:rtl/>
          <w:lang w:bidi="fa-IR"/>
        </w:rPr>
        <w:t>ُ</w:t>
      </w:r>
      <w:r w:rsidRPr="00282AC9">
        <w:rPr>
          <w:rFonts w:hint="cs"/>
          <w:sz w:val="27"/>
          <w:rtl/>
          <w:lang w:bidi="fa-IR"/>
        </w:rPr>
        <w:t>لّ</w:t>
      </w:r>
      <w:r w:rsidR="003A4422" w:rsidRPr="00282AC9">
        <w:rPr>
          <w:rFonts w:hint="cs"/>
          <w:sz w:val="27"/>
          <w:rtl/>
          <w:lang w:bidi="fa-IR"/>
        </w:rPr>
        <w:t>ِ</w:t>
      </w:r>
      <w:r w:rsidRPr="00282AC9">
        <w:rPr>
          <w:rFonts w:hint="cs"/>
          <w:sz w:val="27"/>
          <w:rtl/>
          <w:lang w:bidi="fa-IR"/>
        </w:rPr>
        <w:t>ي في ال</w:t>
      </w:r>
      <w:r w:rsidR="003A4422" w:rsidRPr="00282AC9">
        <w:rPr>
          <w:rFonts w:hint="cs"/>
          <w:sz w:val="27"/>
          <w:rtl/>
          <w:lang w:bidi="fa-IR"/>
        </w:rPr>
        <w:t>ذمّة، وبهذا يكون هذا الافتراض م</w:t>
      </w:r>
      <w:r w:rsidRPr="00282AC9">
        <w:rPr>
          <w:rFonts w:hint="cs"/>
          <w:sz w:val="27"/>
          <w:rtl/>
          <w:lang w:bidi="fa-IR"/>
        </w:rPr>
        <w:t>خالفاً للارتكاز العقلائي</w:t>
      </w:r>
      <w:r w:rsidRPr="00282AC9">
        <w:rPr>
          <w:sz w:val="27"/>
          <w:vertAlign w:val="superscript"/>
          <w:rtl/>
          <w:lang w:bidi="fa-IR"/>
        </w:rPr>
        <w:t>(</w:t>
      </w:r>
      <w:r w:rsidRPr="00282AC9">
        <w:rPr>
          <w:sz w:val="27"/>
          <w:vertAlign w:val="superscript"/>
          <w:rtl/>
          <w:lang w:bidi="fa-IR"/>
        </w:rPr>
        <w:endnoteReference w:id="989"/>
      </w:r>
      <w:r w:rsidRPr="00282AC9">
        <w:rPr>
          <w:rFonts w:hint="cs"/>
          <w:sz w:val="27"/>
          <w:vertAlign w:val="superscript"/>
          <w:rtl/>
          <w:lang w:bidi="fa-IR"/>
        </w:rPr>
        <w:t>)</w:t>
      </w:r>
      <w:r w:rsidRPr="00282AC9">
        <w:rPr>
          <w:rFonts w:hint="cs"/>
          <w:sz w:val="27"/>
          <w:rtl/>
          <w:lang w:bidi="fa-IR"/>
        </w:rPr>
        <w:t>.</w:t>
      </w:r>
    </w:p>
    <w:p w:rsidR="00495D24" w:rsidRPr="00282AC9" w:rsidRDefault="00495D24" w:rsidP="00495D24">
      <w:pPr>
        <w:spacing w:line="420" w:lineRule="exact"/>
        <w:rPr>
          <w:sz w:val="27"/>
          <w:rtl/>
        </w:rPr>
      </w:pPr>
    </w:p>
    <w:p w:rsidR="0062395A" w:rsidRPr="00282AC9" w:rsidRDefault="00DA7E98" w:rsidP="00715FC8">
      <w:pPr>
        <w:pStyle w:val="31"/>
        <w:rPr>
          <w:color w:val="auto"/>
          <w:rtl/>
          <w:lang w:bidi="fa-IR"/>
        </w:rPr>
      </w:pPr>
      <w:r w:rsidRPr="00282AC9">
        <w:rPr>
          <w:rFonts w:hint="cs"/>
          <w:color w:val="auto"/>
          <w:rtl/>
          <w:lang w:bidi="fa-IR"/>
        </w:rPr>
        <w:t>إشكالٌ وإيراد</w:t>
      </w:r>
    </w:p>
    <w:p w:rsidR="0062395A" w:rsidRPr="00282AC9" w:rsidRDefault="0062395A" w:rsidP="00495D24">
      <w:pPr>
        <w:rPr>
          <w:sz w:val="27"/>
          <w:rtl/>
          <w:lang w:bidi="fa-IR"/>
        </w:rPr>
      </w:pPr>
      <w:r w:rsidRPr="00282AC9">
        <w:rPr>
          <w:rFonts w:hint="cs"/>
          <w:sz w:val="27"/>
          <w:rtl/>
          <w:lang w:bidi="fa-IR"/>
        </w:rPr>
        <w:t>في البدء أُنبّ</w:t>
      </w:r>
      <w:r w:rsidR="003A4422" w:rsidRPr="00282AC9">
        <w:rPr>
          <w:rFonts w:hint="cs"/>
          <w:sz w:val="27"/>
          <w:rtl/>
          <w:lang w:bidi="fa-IR"/>
        </w:rPr>
        <w:t>ِ</w:t>
      </w:r>
      <w:r w:rsidRPr="00282AC9">
        <w:rPr>
          <w:rFonts w:hint="cs"/>
          <w:sz w:val="27"/>
          <w:rtl/>
          <w:lang w:bidi="fa-IR"/>
        </w:rPr>
        <w:t>ه على أنّني شخصي</w:t>
      </w:r>
      <w:r w:rsidR="003A4422" w:rsidRPr="00282AC9">
        <w:rPr>
          <w:rFonts w:hint="cs"/>
          <w:sz w:val="27"/>
          <w:rtl/>
          <w:lang w:bidi="fa-IR"/>
        </w:rPr>
        <w:t>ّ</w:t>
      </w:r>
      <w:r w:rsidRPr="00282AC9">
        <w:rPr>
          <w:rFonts w:hint="cs"/>
          <w:sz w:val="27"/>
          <w:rtl/>
          <w:lang w:bidi="fa-IR"/>
        </w:rPr>
        <w:t>اً أشعر بوجود خ</w:t>
      </w:r>
      <w:r w:rsidR="003A4422" w:rsidRPr="00282AC9">
        <w:rPr>
          <w:rFonts w:hint="cs"/>
          <w:sz w:val="27"/>
          <w:rtl/>
          <w:lang w:bidi="fa-IR"/>
        </w:rPr>
        <w:t>َ</w:t>
      </w:r>
      <w:r w:rsidRPr="00282AC9">
        <w:rPr>
          <w:rFonts w:hint="cs"/>
          <w:sz w:val="27"/>
          <w:rtl/>
          <w:lang w:bidi="fa-IR"/>
        </w:rPr>
        <w:t>ل</w:t>
      </w:r>
      <w:r w:rsidR="003A4422" w:rsidRPr="00282AC9">
        <w:rPr>
          <w:rFonts w:hint="cs"/>
          <w:sz w:val="27"/>
          <w:rtl/>
          <w:lang w:bidi="fa-IR"/>
        </w:rPr>
        <w:t>َ</w:t>
      </w:r>
      <w:r w:rsidRPr="00282AC9">
        <w:rPr>
          <w:rFonts w:hint="cs"/>
          <w:sz w:val="27"/>
          <w:rtl/>
          <w:lang w:bidi="fa-IR"/>
        </w:rPr>
        <w:t>ل</w:t>
      </w:r>
      <w:r w:rsidR="003A4422" w:rsidRPr="00282AC9">
        <w:rPr>
          <w:rFonts w:hint="cs"/>
          <w:sz w:val="27"/>
          <w:rtl/>
          <w:lang w:bidi="fa-IR"/>
        </w:rPr>
        <w:t>ٍ</w:t>
      </w:r>
      <w:r w:rsidRPr="00282AC9">
        <w:rPr>
          <w:rFonts w:hint="cs"/>
          <w:sz w:val="27"/>
          <w:rtl/>
          <w:lang w:bidi="fa-IR"/>
        </w:rPr>
        <w:t xml:space="preserve"> في هذا البيان</w:t>
      </w:r>
      <w:r w:rsidR="003A4422" w:rsidRPr="00282AC9">
        <w:rPr>
          <w:rFonts w:hint="cs"/>
          <w:sz w:val="27"/>
          <w:rtl/>
          <w:lang w:bidi="fa-IR"/>
        </w:rPr>
        <w:t>.</w:t>
      </w:r>
      <w:r w:rsidRPr="00282AC9">
        <w:rPr>
          <w:rFonts w:hint="cs"/>
          <w:sz w:val="27"/>
          <w:rtl/>
          <w:lang w:bidi="fa-IR"/>
        </w:rPr>
        <w:t xml:space="preserve"> والظاهر أنّ المُراد</w:t>
      </w:r>
      <w:r w:rsidR="003A4422" w:rsidRPr="00282AC9">
        <w:rPr>
          <w:rFonts w:hint="cs"/>
          <w:sz w:val="27"/>
          <w:rtl/>
          <w:lang w:bidi="fa-IR"/>
        </w:rPr>
        <w:t xml:space="preserve"> أنّ الشخص كما ي</w:t>
      </w:r>
      <w:r w:rsidRPr="00282AC9">
        <w:rPr>
          <w:rFonts w:hint="cs"/>
          <w:sz w:val="27"/>
          <w:rtl/>
          <w:lang w:bidi="fa-IR"/>
        </w:rPr>
        <w:t>مكنه ابتداءً أن يحوز لنفسه</w:t>
      </w:r>
      <w:r w:rsidR="003A4422" w:rsidRPr="00282AC9">
        <w:rPr>
          <w:rFonts w:hint="cs"/>
          <w:sz w:val="27"/>
          <w:rtl/>
          <w:lang w:bidi="fa-IR"/>
        </w:rPr>
        <w:t>، ويحوز لغيره، ي</w:t>
      </w:r>
      <w:r w:rsidRPr="00282AC9">
        <w:rPr>
          <w:rFonts w:hint="cs"/>
          <w:sz w:val="27"/>
          <w:rtl/>
          <w:lang w:bidi="fa-IR"/>
        </w:rPr>
        <w:t>مكنه بعد حيازته للعين بقاءً أن يحوز لغيره أيضاً، فلو حاز ع</w:t>
      </w:r>
      <w:r w:rsidR="00D77DBD" w:rsidRPr="00282AC9">
        <w:rPr>
          <w:rFonts w:hint="cs"/>
          <w:sz w:val="27"/>
          <w:rtl/>
          <w:lang w:bidi="fa-IR"/>
        </w:rPr>
        <w:t>َ</w:t>
      </w:r>
      <w:r w:rsidRPr="00282AC9">
        <w:rPr>
          <w:rFonts w:hint="cs"/>
          <w:sz w:val="27"/>
          <w:rtl/>
          <w:lang w:bidi="fa-IR"/>
        </w:rPr>
        <w:t>ي</w:t>
      </w:r>
      <w:r w:rsidR="00D77DBD" w:rsidRPr="00282AC9">
        <w:rPr>
          <w:rFonts w:hint="cs"/>
          <w:sz w:val="27"/>
          <w:rtl/>
          <w:lang w:bidi="fa-IR"/>
        </w:rPr>
        <w:t>ْ</w:t>
      </w:r>
      <w:r w:rsidRPr="00282AC9">
        <w:rPr>
          <w:rFonts w:hint="cs"/>
          <w:sz w:val="27"/>
          <w:rtl/>
          <w:lang w:bidi="fa-IR"/>
        </w:rPr>
        <w:t>ناً لنفسه أوّلاً صار مالكاً لها، وبحكم م</w:t>
      </w:r>
      <w:r w:rsidR="003A4422" w:rsidRPr="00282AC9">
        <w:rPr>
          <w:rFonts w:hint="cs"/>
          <w:sz w:val="27"/>
          <w:rtl/>
          <w:lang w:bidi="fa-IR"/>
        </w:rPr>
        <w:t>ِ</w:t>
      </w:r>
      <w:r w:rsidRPr="00282AC9">
        <w:rPr>
          <w:rFonts w:hint="cs"/>
          <w:sz w:val="27"/>
          <w:rtl/>
          <w:lang w:bidi="fa-IR"/>
        </w:rPr>
        <w:t>ل</w:t>
      </w:r>
      <w:r w:rsidR="003A4422" w:rsidRPr="00282AC9">
        <w:rPr>
          <w:rFonts w:hint="cs"/>
          <w:sz w:val="27"/>
          <w:rtl/>
          <w:lang w:bidi="fa-IR"/>
        </w:rPr>
        <w:t>ْ</w:t>
      </w:r>
      <w:r w:rsidRPr="00282AC9">
        <w:rPr>
          <w:rFonts w:hint="cs"/>
          <w:sz w:val="27"/>
          <w:rtl/>
          <w:lang w:bidi="fa-IR"/>
        </w:rPr>
        <w:t>كي</w:t>
      </w:r>
      <w:r w:rsidR="003A4422" w:rsidRPr="00282AC9">
        <w:rPr>
          <w:rFonts w:hint="cs"/>
          <w:sz w:val="27"/>
          <w:rtl/>
          <w:lang w:bidi="fa-IR"/>
        </w:rPr>
        <w:t>ّ</w:t>
      </w:r>
      <w:r w:rsidRPr="00282AC9">
        <w:rPr>
          <w:rFonts w:hint="cs"/>
          <w:sz w:val="27"/>
          <w:rtl/>
          <w:lang w:bidi="fa-IR"/>
        </w:rPr>
        <w:t>ته التي ثبتت له يستطيع بعد ذلك أن يحوز هذه العين مرّة</w:t>
      </w:r>
      <w:r w:rsidR="009B5E6C" w:rsidRPr="00282AC9">
        <w:rPr>
          <w:rFonts w:hint="cs"/>
          <w:sz w:val="27"/>
          <w:rtl/>
          <w:lang w:bidi="fa-IR"/>
        </w:rPr>
        <w:t>ً</w:t>
      </w:r>
      <w:r w:rsidRPr="00282AC9">
        <w:rPr>
          <w:rFonts w:hint="cs"/>
          <w:sz w:val="27"/>
          <w:rtl/>
          <w:lang w:bidi="fa-IR"/>
        </w:rPr>
        <w:t xml:space="preserve"> </w:t>
      </w:r>
      <w:r w:rsidR="009B5E6C" w:rsidRPr="00282AC9">
        <w:rPr>
          <w:rFonts w:hint="cs"/>
          <w:sz w:val="27"/>
          <w:rtl/>
          <w:lang w:bidi="fa-IR"/>
        </w:rPr>
        <w:t>أ</w:t>
      </w:r>
      <w:r w:rsidRPr="00282AC9">
        <w:rPr>
          <w:rFonts w:hint="cs"/>
          <w:sz w:val="27"/>
          <w:rtl/>
          <w:lang w:bidi="fa-IR"/>
        </w:rPr>
        <w:t>خرى لغيره</w:t>
      </w:r>
      <w:r w:rsidR="009B5E6C" w:rsidRPr="00282AC9">
        <w:rPr>
          <w:rFonts w:hint="cs"/>
          <w:sz w:val="27"/>
          <w:rtl/>
          <w:lang w:bidi="fa-IR"/>
        </w:rPr>
        <w:t>.</w:t>
      </w:r>
      <w:r w:rsidRPr="00282AC9">
        <w:rPr>
          <w:rFonts w:hint="cs"/>
          <w:sz w:val="27"/>
          <w:rtl/>
          <w:lang w:bidi="fa-IR"/>
        </w:rPr>
        <w:t xml:space="preserve"> وهذه الفكرة نُطبّ</w:t>
      </w:r>
      <w:r w:rsidR="009B5E6C" w:rsidRPr="00282AC9">
        <w:rPr>
          <w:rFonts w:hint="cs"/>
          <w:sz w:val="27"/>
          <w:rtl/>
          <w:lang w:bidi="fa-IR"/>
        </w:rPr>
        <w:t>ِ</w:t>
      </w:r>
      <w:r w:rsidRPr="00282AC9">
        <w:rPr>
          <w:rFonts w:hint="cs"/>
          <w:sz w:val="27"/>
          <w:rtl/>
          <w:lang w:bidi="fa-IR"/>
        </w:rPr>
        <w:t>قها على البائع</w:t>
      </w:r>
      <w:r w:rsidR="00D77DBD" w:rsidRPr="00282AC9">
        <w:rPr>
          <w:rFonts w:hint="cs"/>
          <w:sz w:val="27"/>
          <w:rtl/>
          <w:lang w:bidi="fa-IR"/>
        </w:rPr>
        <w:t>؛</w:t>
      </w:r>
      <w:r w:rsidRPr="00282AC9">
        <w:rPr>
          <w:rFonts w:hint="cs"/>
          <w:sz w:val="27"/>
          <w:rtl/>
          <w:lang w:bidi="fa-IR"/>
        </w:rPr>
        <w:t xml:space="preserve"> فإنّه ابتداءً ملك ع</w:t>
      </w:r>
      <w:r w:rsidR="00D77DBD" w:rsidRPr="00282AC9">
        <w:rPr>
          <w:rFonts w:hint="cs"/>
          <w:sz w:val="27"/>
          <w:rtl/>
          <w:lang w:bidi="fa-IR"/>
        </w:rPr>
        <w:t>َ</w:t>
      </w:r>
      <w:r w:rsidRPr="00282AC9">
        <w:rPr>
          <w:rFonts w:hint="cs"/>
          <w:sz w:val="27"/>
          <w:rtl/>
          <w:lang w:bidi="fa-IR"/>
        </w:rPr>
        <w:t>ي</w:t>
      </w:r>
      <w:r w:rsidR="00D77DBD" w:rsidRPr="00282AC9">
        <w:rPr>
          <w:rFonts w:hint="cs"/>
          <w:sz w:val="27"/>
          <w:rtl/>
          <w:lang w:bidi="fa-IR"/>
        </w:rPr>
        <w:t>ْ</w:t>
      </w:r>
      <w:r w:rsidRPr="00282AC9">
        <w:rPr>
          <w:rFonts w:hint="cs"/>
          <w:sz w:val="27"/>
          <w:rtl/>
          <w:lang w:bidi="fa-IR"/>
        </w:rPr>
        <w:t>ناً بحيازتها لنفسه، ثمّ يحوز هذه العين مرّة</w:t>
      </w:r>
      <w:r w:rsidR="00D77DBD" w:rsidRPr="00282AC9">
        <w:rPr>
          <w:rFonts w:hint="cs"/>
          <w:sz w:val="27"/>
          <w:rtl/>
          <w:lang w:bidi="fa-IR"/>
        </w:rPr>
        <w:t>ً</w:t>
      </w:r>
      <w:r w:rsidRPr="00282AC9">
        <w:rPr>
          <w:rFonts w:hint="cs"/>
          <w:sz w:val="27"/>
          <w:rtl/>
          <w:lang w:bidi="fa-IR"/>
        </w:rPr>
        <w:t xml:space="preserve"> </w:t>
      </w:r>
      <w:r w:rsidR="00D77DBD" w:rsidRPr="00282AC9">
        <w:rPr>
          <w:rFonts w:hint="cs"/>
          <w:sz w:val="27"/>
          <w:rtl/>
          <w:lang w:bidi="fa-IR"/>
        </w:rPr>
        <w:t>أ</w:t>
      </w:r>
      <w:r w:rsidRPr="00282AC9">
        <w:rPr>
          <w:rFonts w:hint="cs"/>
          <w:sz w:val="27"/>
          <w:rtl/>
          <w:lang w:bidi="fa-IR"/>
        </w:rPr>
        <w:t>خرى بقصد أن تكون للمشتري</w:t>
      </w:r>
      <w:r w:rsidR="00D77DBD" w:rsidRPr="00282AC9">
        <w:rPr>
          <w:rFonts w:hint="cs"/>
          <w:sz w:val="27"/>
          <w:rtl/>
          <w:lang w:bidi="fa-IR"/>
        </w:rPr>
        <w:t xml:space="preserve">. </w:t>
      </w:r>
      <w:r w:rsidRPr="00282AC9">
        <w:rPr>
          <w:rFonts w:hint="cs"/>
          <w:sz w:val="27"/>
          <w:rtl/>
          <w:lang w:bidi="fa-IR"/>
        </w:rPr>
        <w:t>فإن</w:t>
      </w:r>
      <w:r w:rsidR="00D77DBD" w:rsidRPr="00282AC9">
        <w:rPr>
          <w:rFonts w:hint="cs"/>
          <w:sz w:val="27"/>
          <w:rtl/>
          <w:lang w:bidi="fa-IR"/>
        </w:rPr>
        <w:t>ْ</w:t>
      </w:r>
      <w:r w:rsidRPr="00282AC9">
        <w:rPr>
          <w:rFonts w:hint="cs"/>
          <w:sz w:val="27"/>
          <w:rtl/>
          <w:lang w:bidi="fa-IR"/>
        </w:rPr>
        <w:t xml:space="preserve"> كان هذا هو المُراد فإنّه ـ مُضافاً</w:t>
      </w:r>
      <w:r w:rsidR="00BC0925" w:rsidRPr="00282AC9">
        <w:rPr>
          <w:rFonts w:hint="cs"/>
          <w:sz w:val="27"/>
          <w:rtl/>
          <w:lang w:bidi="fa-IR"/>
        </w:rPr>
        <w:t xml:space="preserve"> إلى </w:t>
      </w:r>
      <w:r w:rsidRPr="00282AC9">
        <w:rPr>
          <w:rFonts w:hint="cs"/>
          <w:sz w:val="27"/>
          <w:rtl/>
          <w:lang w:bidi="fa-IR"/>
        </w:rPr>
        <w:lastRenderedPageBreak/>
        <w:t>الإشكال الذي سجّ</w:t>
      </w:r>
      <w:r w:rsidR="00D77DBD" w:rsidRPr="00282AC9">
        <w:rPr>
          <w:rFonts w:hint="cs"/>
          <w:sz w:val="27"/>
          <w:rtl/>
          <w:lang w:bidi="fa-IR"/>
        </w:rPr>
        <w:t>َ</w:t>
      </w:r>
      <w:r w:rsidRPr="00282AC9">
        <w:rPr>
          <w:rFonts w:hint="cs"/>
          <w:sz w:val="27"/>
          <w:rtl/>
          <w:lang w:bidi="fa-IR"/>
        </w:rPr>
        <w:t>له الشهيد الصدر على هذا الافتراض (والذي فكَّكناه</w:t>
      </w:r>
      <w:r w:rsidR="00BC0925" w:rsidRPr="00282AC9">
        <w:rPr>
          <w:rFonts w:hint="cs"/>
          <w:sz w:val="27"/>
          <w:rtl/>
          <w:lang w:bidi="fa-IR"/>
        </w:rPr>
        <w:t xml:space="preserve"> إلى </w:t>
      </w:r>
      <w:r w:rsidRPr="00282AC9">
        <w:rPr>
          <w:rFonts w:hint="cs"/>
          <w:sz w:val="27"/>
          <w:rtl/>
          <w:lang w:bidi="fa-IR"/>
        </w:rPr>
        <w:t>الإشكالين الثامن والتاسع) ـ ي</w:t>
      </w:r>
      <w:r w:rsidR="00D77DBD" w:rsidRPr="00282AC9">
        <w:rPr>
          <w:rFonts w:hint="cs"/>
          <w:sz w:val="27"/>
          <w:rtl/>
          <w:lang w:bidi="fa-IR"/>
        </w:rPr>
        <w:t>َ</w:t>
      </w:r>
      <w:r w:rsidRPr="00282AC9">
        <w:rPr>
          <w:rFonts w:hint="cs"/>
          <w:sz w:val="27"/>
          <w:rtl/>
          <w:lang w:bidi="fa-IR"/>
        </w:rPr>
        <w:t>ر</w:t>
      </w:r>
      <w:r w:rsidR="00D77DBD" w:rsidRPr="00282AC9">
        <w:rPr>
          <w:rFonts w:hint="cs"/>
          <w:sz w:val="27"/>
          <w:rtl/>
          <w:lang w:bidi="fa-IR"/>
        </w:rPr>
        <w:t>ِ</w:t>
      </w:r>
      <w:r w:rsidRPr="00282AC9">
        <w:rPr>
          <w:rFonts w:hint="cs"/>
          <w:sz w:val="27"/>
          <w:rtl/>
          <w:lang w:bidi="fa-IR"/>
        </w:rPr>
        <w:t>د</w:t>
      </w:r>
      <w:r w:rsidR="00D77DBD" w:rsidRPr="00282AC9">
        <w:rPr>
          <w:rFonts w:hint="cs"/>
          <w:sz w:val="27"/>
          <w:rtl/>
          <w:lang w:bidi="fa-IR"/>
        </w:rPr>
        <w:t>ُ</w:t>
      </w:r>
      <w:r w:rsidRPr="00282AC9">
        <w:rPr>
          <w:rFonts w:hint="cs"/>
          <w:sz w:val="27"/>
          <w:rtl/>
          <w:lang w:bidi="fa-IR"/>
        </w:rPr>
        <w:t xml:space="preserve"> عليه:</w:t>
      </w:r>
    </w:p>
    <w:p w:rsidR="0062395A" w:rsidRPr="00282AC9" w:rsidRDefault="0062395A" w:rsidP="00495D24">
      <w:pPr>
        <w:rPr>
          <w:sz w:val="27"/>
          <w:rtl/>
          <w:lang w:bidi="fa-IR"/>
        </w:rPr>
      </w:pPr>
      <w:r w:rsidRPr="00282AC9">
        <w:rPr>
          <w:rFonts w:hint="cs"/>
          <w:sz w:val="27"/>
          <w:rtl/>
        </w:rPr>
        <w:t>1ـ نظير ما أور</w:t>
      </w:r>
      <w:r w:rsidR="00D77DBD" w:rsidRPr="00282AC9">
        <w:rPr>
          <w:rFonts w:hint="cs"/>
          <w:sz w:val="27"/>
          <w:rtl/>
        </w:rPr>
        <w:t>َ</w:t>
      </w:r>
      <w:r w:rsidRPr="00282AC9">
        <w:rPr>
          <w:rFonts w:hint="cs"/>
          <w:sz w:val="27"/>
          <w:rtl/>
        </w:rPr>
        <w:t>د</w:t>
      </w:r>
      <w:r w:rsidR="00D77DBD" w:rsidRPr="00282AC9">
        <w:rPr>
          <w:rFonts w:hint="cs"/>
          <w:sz w:val="27"/>
          <w:rtl/>
        </w:rPr>
        <w:t>ْ</w:t>
      </w:r>
      <w:r w:rsidRPr="00282AC9">
        <w:rPr>
          <w:rFonts w:hint="cs"/>
          <w:sz w:val="27"/>
          <w:rtl/>
        </w:rPr>
        <w:t>ناه في بعض الإشكالات السابقة أيضاً، من قبيل: الإشكال الأوّل؛ فإنّ البائع لا يقصد الحيازة للمشتري، كما هو واضح</w:t>
      </w:r>
      <w:r w:rsidR="00D77DBD" w:rsidRPr="00282AC9">
        <w:rPr>
          <w:rFonts w:hint="cs"/>
          <w:sz w:val="27"/>
          <w:rtl/>
        </w:rPr>
        <w:t>ٌ</w:t>
      </w:r>
      <w:r w:rsidRPr="00282AC9">
        <w:rPr>
          <w:rFonts w:hint="cs"/>
          <w:sz w:val="27"/>
          <w:rtl/>
        </w:rPr>
        <w:t xml:space="preserve"> في البيوع الواقعة خارجاً.</w:t>
      </w:r>
    </w:p>
    <w:p w:rsidR="0062395A" w:rsidRPr="00282AC9" w:rsidRDefault="0062395A" w:rsidP="00495D24">
      <w:pPr>
        <w:rPr>
          <w:sz w:val="27"/>
          <w:rtl/>
          <w:lang w:bidi="fa-IR"/>
        </w:rPr>
      </w:pPr>
      <w:r w:rsidRPr="00282AC9">
        <w:rPr>
          <w:rFonts w:hint="cs"/>
          <w:sz w:val="27"/>
          <w:rtl/>
          <w:lang w:bidi="fa-IR"/>
        </w:rPr>
        <w:t>وكذا نظير ما جاء في الإشكال الثاني</w:t>
      </w:r>
      <w:r w:rsidR="00D77DBD" w:rsidRPr="00282AC9">
        <w:rPr>
          <w:rFonts w:hint="cs"/>
          <w:sz w:val="27"/>
          <w:rtl/>
          <w:lang w:bidi="fa-IR"/>
        </w:rPr>
        <w:t>،</w:t>
      </w:r>
      <w:r w:rsidRPr="00282AC9">
        <w:rPr>
          <w:rFonts w:hint="cs"/>
          <w:sz w:val="27"/>
          <w:rtl/>
          <w:lang w:bidi="fa-IR"/>
        </w:rPr>
        <w:t xml:space="preserve"> من عدم قيام الارتكاز العقلائي على كون البيع</w:t>
      </w:r>
      <w:r w:rsidR="00D77DBD" w:rsidRPr="00282AC9">
        <w:rPr>
          <w:rFonts w:hint="cs"/>
          <w:sz w:val="27"/>
          <w:rtl/>
          <w:lang w:bidi="fa-IR"/>
        </w:rPr>
        <w:t>،</w:t>
      </w:r>
      <w:r w:rsidRPr="00282AC9">
        <w:rPr>
          <w:rFonts w:hint="cs"/>
          <w:sz w:val="27"/>
          <w:rtl/>
          <w:lang w:bidi="fa-IR"/>
        </w:rPr>
        <w:t xml:space="preserve"> ولا غيره من العقود الناقلة</w:t>
      </w:r>
      <w:r w:rsidR="00D77DBD" w:rsidRPr="00282AC9">
        <w:rPr>
          <w:rFonts w:hint="cs"/>
          <w:sz w:val="27"/>
          <w:rtl/>
          <w:lang w:bidi="fa-IR"/>
        </w:rPr>
        <w:t>،</w:t>
      </w:r>
      <w:r w:rsidRPr="00282AC9">
        <w:rPr>
          <w:rFonts w:hint="cs"/>
          <w:sz w:val="27"/>
          <w:rtl/>
          <w:lang w:bidi="fa-IR"/>
        </w:rPr>
        <w:t xml:space="preserve"> حيازةً</w:t>
      </w:r>
      <w:r w:rsidR="00D77DBD" w:rsidRPr="00282AC9">
        <w:rPr>
          <w:rFonts w:hint="cs"/>
          <w:sz w:val="27"/>
          <w:rtl/>
          <w:lang w:bidi="fa-IR"/>
        </w:rPr>
        <w:t>،</w:t>
      </w:r>
      <w:r w:rsidRPr="00282AC9">
        <w:rPr>
          <w:rFonts w:hint="cs"/>
          <w:sz w:val="27"/>
          <w:rtl/>
          <w:lang w:bidi="fa-IR"/>
        </w:rPr>
        <w:t xml:space="preserve"> لا حدوثاً ولا بقاءً، ولذا خصّ</w:t>
      </w:r>
      <w:r w:rsidR="00D77DBD" w:rsidRPr="00282AC9">
        <w:rPr>
          <w:rFonts w:hint="cs"/>
          <w:sz w:val="27"/>
          <w:rtl/>
          <w:lang w:bidi="fa-IR"/>
        </w:rPr>
        <w:t>َ</w:t>
      </w:r>
      <w:r w:rsidRPr="00282AC9">
        <w:rPr>
          <w:rFonts w:hint="cs"/>
          <w:sz w:val="27"/>
          <w:rtl/>
          <w:lang w:bidi="fa-IR"/>
        </w:rPr>
        <w:t>صوا لكلّ عقد</w:t>
      </w:r>
      <w:r w:rsidR="00D77DBD" w:rsidRPr="00282AC9">
        <w:rPr>
          <w:rFonts w:hint="cs"/>
          <w:sz w:val="27"/>
          <w:rtl/>
          <w:lang w:bidi="fa-IR"/>
        </w:rPr>
        <w:t>ٍ</w:t>
      </w:r>
      <w:r w:rsidRPr="00282AC9">
        <w:rPr>
          <w:rFonts w:hint="cs"/>
          <w:sz w:val="27"/>
          <w:rtl/>
          <w:lang w:bidi="fa-IR"/>
        </w:rPr>
        <w:t xml:space="preserve"> اسماً وعنواناً خاصّاً به.</w:t>
      </w:r>
    </w:p>
    <w:p w:rsidR="0062395A" w:rsidRPr="00282AC9" w:rsidRDefault="0062395A" w:rsidP="00495D24">
      <w:pPr>
        <w:rPr>
          <w:sz w:val="27"/>
          <w:rtl/>
          <w:lang w:bidi="fa-IR"/>
        </w:rPr>
      </w:pPr>
      <w:r w:rsidRPr="00282AC9">
        <w:rPr>
          <w:rFonts w:hint="cs"/>
          <w:sz w:val="27"/>
          <w:rtl/>
          <w:lang w:bidi="fa-IR"/>
        </w:rPr>
        <w:t xml:space="preserve">وأيضاً يأتي عليه نظير ما ذكرناه في الإشكال الرابع. </w:t>
      </w:r>
    </w:p>
    <w:p w:rsidR="0062395A" w:rsidRPr="00282AC9" w:rsidRDefault="0062395A" w:rsidP="00495D24">
      <w:pPr>
        <w:rPr>
          <w:sz w:val="27"/>
          <w:rtl/>
          <w:lang w:bidi="fa-IR"/>
        </w:rPr>
      </w:pPr>
      <w:r w:rsidRPr="00282AC9">
        <w:rPr>
          <w:rFonts w:hint="cs"/>
          <w:sz w:val="27"/>
          <w:rtl/>
        </w:rPr>
        <w:t>2ـ وأمّا الإشكال الثالث في</w:t>
      </w:r>
      <w:r w:rsidR="00D77DBD" w:rsidRPr="00282AC9">
        <w:rPr>
          <w:rFonts w:hint="cs"/>
          <w:sz w:val="27"/>
          <w:rtl/>
        </w:rPr>
        <w:t>َ</w:t>
      </w:r>
      <w:r w:rsidRPr="00282AC9">
        <w:rPr>
          <w:rFonts w:hint="cs"/>
          <w:sz w:val="27"/>
          <w:rtl/>
        </w:rPr>
        <w:t>ر</w:t>
      </w:r>
      <w:r w:rsidR="00D77DBD" w:rsidRPr="00282AC9">
        <w:rPr>
          <w:rFonts w:hint="cs"/>
          <w:sz w:val="27"/>
          <w:rtl/>
        </w:rPr>
        <w:t>ِ</w:t>
      </w:r>
      <w:r w:rsidRPr="00282AC9">
        <w:rPr>
          <w:rFonts w:hint="cs"/>
          <w:sz w:val="27"/>
          <w:rtl/>
        </w:rPr>
        <w:t>د</w:t>
      </w:r>
      <w:r w:rsidR="00D77DBD" w:rsidRPr="00282AC9">
        <w:rPr>
          <w:rFonts w:hint="cs"/>
          <w:sz w:val="27"/>
          <w:rtl/>
        </w:rPr>
        <w:t>ُ</w:t>
      </w:r>
      <w:r w:rsidRPr="00282AC9">
        <w:rPr>
          <w:rFonts w:hint="cs"/>
          <w:sz w:val="27"/>
          <w:rtl/>
        </w:rPr>
        <w:t xml:space="preserve"> عليه هنا بشدّة</w:t>
      </w:r>
      <w:r w:rsidR="00D77DBD" w:rsidRPr="00282AC9">
        <w:rPr>
          <w:rFonts w:hint="cs"/>
          <w:sz w:val="27"/>
          <w:rtl/>
        </w:rPr>
        <w:t>ٍ</w:t>
      </w:r>
      <w:r w:rsidRPr="00282AC9">
        <w:rPr>
          <w:rFonts w:hint="cs"/>
          <w:sz w:val="27"/>
          <w:rtl/>
        </w:rPr>
        <w:t>، فإنّ الحيازة من قِب</w:t>
      </w:r>
      <w:r w:rsidR="00D77DBD" w:rsidRPr="00282AC9">
        <w:rPr>
          <w:rFonts w:hint="cs"/>
          <w:sz w:val="27"/>
          <w:rtl/>
        </w:rPr>
        <w:t>َ</w:t>
      </w:r>
      <w:r w:rsidRPr="00282AC9">
        <w:rPr>
          <w:rFonts w:hint="cs"/>
          <w:sz w:val="27"/>
          <w:rtl/>
        </w:rPr>
        <w:t>ل الميّت للوارث غير معقولة</w:t>
      </w:r>
      <w:r w:rsidR="00D77DBD" w:rsidRPr="00282AC9">
        <w:rPr>
          <w:rFonts w:hint="cs"/>
          <w:sz w:val="27"/>
          <w:rtl/>
        </w:rPr>
        <w:t>ٍ</w:t>
      </w:r>
      <w:r w:rsidRPr="00282AC9">
        <w:rPr>
          <w:rFonts w:hint="cs"/>
          <w:sz w:val="27"/>
          <w:rtl/>
        </w:rPr>
        <w:t>، وليست مُست</w:t>
      </w:r>
      <w:r w:rsidR="00B94D9F" w:rsidRPr="00282AC9">
        <w:rPr>
          <w:rFonts w:hint="cs"/>
          <w:sz w:val="27"/>
          <w:rtl/>
        </w:rPr>
        <w:t>َ</w:t>
      </w:r>
      <w:r w:rsidRPr="00282AC9">
        <w:rPr>
          <w:rFonts w:hint="cs"/>
          <w:sz w:val="27"/>
          <w:rtl/>
        </w:rPr>
        <w:t>ب</w:t>
      </w:r>
      <w:r w:rsidR="00B94D9F" w:rsidRPr="00282AC9">
        <w:rPr>
          <w:rFonts w:hint="cs"/>
          <w:sz w:val="27"/>
          <w:rtl/>
        </w:rPr>
        <w:t>ْ</w:t>
      </w:r>
      <w:r w:rsidRPr="00282AC9">
        <w:rPr>
          <w:rFonts w:hint="cs"/>
          <w:sz w:val="27"/>
          <w:rtl/>
        </w:rPr>
        <w:t>ع</w:t>
      </w:r>
      <w:r w:rsidR="00B94D9F" w:rsidRPr="00282AC9">
        <w:rPr>
          <w:rFonts w:hint="cs"/>
          <w:sz w:val="27"/>
          <w:rtl/>
        </w:rPr>
        <w:t>َ</w:t>
      </w:r>
      <w:r w:rsidRPr="00282AC9">
        <w:rPr>
          <w:rFonts w:hint="cs"/>
          <w:sz w:val="27"/>
          <w:rtl/>
        </w:rPr>
        <w:t>دة</w:t>
      </w:r>
      <w:r w:rsidR="00D77DBD" w:rsidRPr="00282AC9">
        <w:rPr>
          <w:rFonts w:hint="cs"/>
          <w:sz w:val="27"/>
          <w:rtl/>
        </w:rPr>
        <w:t>ً</w:t>
      </w:r>
      <w:r w:rsidRPr="00282AC9">
        <w:rPr>
          <w:rFonts w:hint="cs"/>
          <w:sz w:val="27"/>
          <w:rtl/>
        </w:rPr>
        <w:t xml:space="preserve"> فح</w:t>
      </w:r>
      <w:r w:rsidR="00D77DBD" w:rsidRPr="00282AC9">
        <w:rPr>
          <w:rFonts w:hint="cs"/>
          <w:sz w:val="27"/>
          <w:rtl/>
        </w:rPr>
        <w:t>َ</w:t>
      </w:r>
      <w:r w:rsidRPr="00282AC9">
        <w:rPr>
          <w:rFonts w:hint="cs"/>
          <w:sz w:val="27"/>
          <w:rtl/>
        </w:rPr>
        <w:t>س</w:t>
      </w:r>
      <w:r w:rsidR="00D77DBD" w:rsidRPr="00282AC9">
        <w:rPr>
          <w:rFonts w:hint="cs"/>
          <w:sz w:val="27"/>
          <w:rtl/>
        </w:rPr>
        <w:t>ْ</w:t>
      </w:r>
      <w:r w:rsidRPr="00282AC9">
        <w:rPr>
          <w:rFonts w:hint="cs"/>
          <w:sz w:val="27"/>
          <w:rtl/>
        </w:rPr>
        <w:t>ب.</w:t>
      </w:r>
    </w:p>
    <w:p w:rsidR="0062395A" w:rsidRPr="00282AC9" w:rsidRDefault="0062395A" w:rsidP="00495D24">
      <w:pPr>
        <w:rPr>
          <w:sz w:val="27"/>
          <w:rtl/>
          <w:lang w:bidi="fa-IR"/>
        </w:rPr>
      </w:pPr>
      <w:r w:rsidRPr="00282AC9">
        <w:rPr>
          <w:rFonts w:hint="cs"/>
          <w:sz w:val="27"/>
          <w:rtl/>
        </w:rPr>
        <w:t>3ـ إنّ هذا الافتراض مبتنٍ على إمكانية النيابة في الحيازة، فلو رفضنا المبنى ـ كما رفضه المشهور ـ لما استقام هذا البناء.</w:t>
      </w:r>
    </w:p>
    <w:p w:rsidR="0062395A" w:rsidRPr="00282AC9" w:rsidRDefault="0062395A" w:rsidP="00495D24">
      <w:pPr>
        <w:rPr>
          <w:sz w:val="27"/>
          <w:rtl/>
          <w:lang w:bidi="fa-IR"/>
        </w:rPr>
      </w:pPr>
      <w:r w:rsidRPr="00282AC9">
        <w:rPr>
          <w:rFonts w:hint="cs"/>
          <w:sz w:val="27"/>
          <w:rtl/>
        </w:rPr>
        <w:t>4ـ إنّ الحيازة حينما تتحقّ</w:t>
      </w:r>
      <w:r w:rsidR="00D77DBD" w:rsidRPr="00282AC9">
        <w:rPr>
          <w:rFonts w:hint="cs"/>
          <w:sz w:val="27"/>
          <w:rtl/>
        </w:rPr>
        <w:t>َ</w:t>
      </w:r>
      <w:r w:rsidRPr="00282AC9">
        <w:rPr>
          <w:rFonts w:hint="cs"/>
          <w:sz w:val="27"/>
          <w:rtl/>
        </w:rPr>
        <w:t xml:space="preserve">ق تكون نتيجتها </w:t>
      </w:r>
      <w:r w:rsidR="00EB1216" w:rsidRPr="00282AC9">
        <w:rPr>
          <w:rFonts w:hint="cs"/>
          <w:sz w:val="27"/>
          <w:rtl/>
        </w:rPr>
        <w:t>المِلْكيّة</w:t>
      </w:r>
      <w:r w:rsidRPr="00282AC9">
        <w:rPr>
          <w:rFonts w:hint="cs"/>
          <w:sz w:val="27"/>
          <w:rtl/>
        </w:rPr>
        <w:t>، وهذه النتيجة الحادثة تكون باقية</w:t>
      </w:r>
      <w:r w:rsidR="00D77DBD" w:rsidRPr="00282AC9">
        <w:rPr>
          <w:rFonts w:hint="cs"/>
          <w:sz w:val="27"/>
          <w:rtl/>
        </w:rPr>
        <w:t>ً،</w:t>
      </w:r>
      <w:r w:rsidRPr="00282AC9">
        <w:rPr>
          <w:rFonts w:hint="cs"/>
          <w:sz w:val="27"/>
          <w:rtl/>
        </w:rPr>
        <w:t xml:space="preserve"> ولا تحتاج</w:t>
      </w:r>
      <w:r w:rsidR="00BC0925" w:rsidRPr="00282AC9">
        <w:rPr>
          <w:rFonts w:hint="cs"/>
          <w:sz w:val="27"/>
          <w:rtl/>
        </w:rPr>
        <w:t xml:space="preserve"> إلى </w:t>
      </w:r>
      <w:r w:rsidRPr="00282AC9">
        <w:rPr>
          <w:rFonts w:hint="cs"/>
          <w:sz w:val="27"/>
          <w:rtl/>
        </w:rPr>
        <w:t>علّة</w:t>
      </w:r>
      <w:r w:rsidR="00D77DBD" w:rsidRPr="00282AC9">
        <w:rPr>
          <w:rFonts w:hint="cs"/>
          <w:sz w:val="27"/>
          <w:rtl/>
        </w:rPr>
        <w:t>ٍ</w:t>
      </w:r>
      <w:r w:rsidRPr="00282AC9">
        <w:rPr>
          <w:rFonts w:hint="cs"/>
          <w:sz w:val="27"/>
          <w:rtl/>
        </w:rPr>
        <w:t xml:space="preserve"> </w:t>
      </w:r>
      <w:r w:rsidR="00D77DBD" w:rsidRPr="00282AC9">
        <w:rPr>
          <w:rFonts w:hint="cs"/>
          <w:sz w:val="27"/>
          <w:rtl/>
        </w:rPr>
        <w:t>أ</w:t>
      </w:r>
      <w:r w:rsidRPr="00282AC9">
        <w:rPr>
          <w:rFonts w:hint="cs"/>
          <w:sz w:val="27"/>
          <w:rtl/>
        </w:rPr>
        <w:t>خرى للبقاء.</w:t>
      </w:r>
    </w:p>
    <w:p w:rsidR="0062395A" w:rsidRPr="00282AC9" w:rsidRDefault="0062395A" w:rsidP="00495D24">
      <w:pPr>
        <w:rPr>
          <w:sz w:val="27"/>
          <w:rtl/>
          <w:lang w:bidi="fa-IR"/>
        </w:rPr>
      </w:pPr>
      <w:r w:rsidRPr="00282AC9">
        <w:rPr>
          <w:rFonts w:hint="cs"/>
          <w:sz w:val="27"/>
          <w:rtl/>
        </w:rPr>
        <w:t>5ـ إنّ الحيازة إنّما تكون مملِّكة</w:t>
      </w:r>
      <w:r w:rsidR="00D77DBD" w:rsidRPr="00282AC9">
        <w:rPr>
          <w:rFonts w:hint="cs"/>
          <w:sz w:val="27"/>
          <w:rtl/>
        </w:rPr>
        <w:t>ً</w:t>
      </w:r>
      <w:r w:rsidRPr="00282AC9">
        <w:rPr>
          <w:rFonts w:hint="cs"/>
          <w:sz w:val="27"/>
          <w:rtl/>
        </w:rPr>
        <w:t xml:space="preserve"> فيما لو تعلّ</w:t>
      </w:r>
      <w:r w:rsidR="00D77DBD" w:rsidRPr="00282AC9">
        <w:rPr>
          <w:rFonts w:hint="cs"/>
          <w:sz w:val="27"/>
          <w:rtl/>
        </w:rPr>
        <w:t>َ</w:t>
      </w:r>
      <w:r w:rsidRPr="00282AC9">
        <w:rPr>
          <w:rFonts w:hint="cs"/>
          <w:sz w:val="27"/>
          <w:rtl/>
        </w:rPr>
        <w:t>ق</w:t>
      </w:r>
      <w:r w:rsidR="00D77DBD" w:rsidRPr="00282AC9">
        <w:rPr>
          <w:rFonts w:hint="cs"/>
          <w:sz w:val="27"/>
          <w:rtl/>
        </w:rPr>
        <w:t>َ</w:t>
      </w:r>
      <w:r w:rsidRPr="00282AC9">
        <w:rPr>
          <w:rFonts w:hint="cs"/>
          <w:sz w:val="27"/>
          <w:rtl/>
        </w:rPr>
        <w:t>ت</w:t>
      </w:r>
      <w:r w:rsidR="00D77DBD" w:rsidRPr="00282AC9">
        <w:rPr>
          <w:rFonts w:hint="cs"/>
          <w:sz w:val="27"/>
          <w:rtl/>
        </w:rPr>
        <w:t>ْ</w:t>
      </w:r>
      <w:r w:rsidRPr="00282AC9">
        <w:rPr>
          <w:rFonts w:hint="cs"/>
          <w:sz w:val="27"/>
          <w:rtl/>
        </w:rPr>
        <w:t xml:space="preserve"> بالشيء المباح، وأمّا المملوك فلا يكون موضوعاً للحيازة</w:t>
      </w:r>
      <w:r w:rsidR="00D77DBD" w:rsidRPr="00282AC9">
        <w:rPr>
          <w:rFonts w:hint="cs"/>
          <w:sz w:val="27"/>
          <w:rtl/>
        </w:rPr>
        <w:t>.</w:t>
      </w:r>
      <w:r w:rsidRPr="00282AC9">
        <w:rPr>
          <w:rFonts w:hint="cs"/>
          <w:sz w:val="27"/>
          <w:rtl/>
        </w:rPr>
        <w:t xml:space="preserve"> والمفروض أنّ الشيء المُح</w:t>
      </w:r>
      <w:r w:rsidR="00D77DBD" w:rsidRPr="00282AC9">
        <w:rPr>
          <w:rFonts w:hint="cs"/>
          <w:sz w:val="27"/>
          <w:rtl/>
        </w:rPr>
        <w:t>َ</w:t>
      </w:r>
      <w:r w:rsidRPr="00282AC9">
        <w:rPr>
          <w:rFonts w:hint="cs"/>
          <w:sz w:val="27"/>
          <w:rtl/>
        </w:rPr>
        <w:t>از كان قد حازه البائع وم</w:t>
      </w:r>
      <w:r w:rsidR="00D77DBD" w:rsidRPr="00282AC9">
        <w:rPr>
          <w:rFonts w:hint="cs"/>
          <w:sz w:val="27"/>
          <w:rtl/>
        </w:rPr>
        <w:t>َ</w:t>
      </w:r>
      <w:r w:rsidRPr="00282AC9">
        <w:rPr>
          <w:rFonts w:hint="cs"/>
          <w:sz w:val="27"/>
          <w:rtl/>
        </w:rPr>
        <w:t>ل</w:t>
      </w:r>
      <w:r w:rsidR="00D77DBD" w:rsidRPr="00282AC9">
        <w:rPr>
          <w:rFonts w:hint="cs"/>
          <w:sz w:val="27"/>
          <w:rtl/>
        </w:rPr>
        <w:t>َ</w:t>
      </w:r>
      <w:r w:rsidRPr="00282AC9">
        <w:rPr>
          <w:rFonts w:hint="cs"/>
          <w:sz w:val="27"/>
          <w:rtl/>
        </w:rPr>
        <w:t>كه مُس</w:t>
      </w:r>
      <w:r w:rsidR="00D77DBD" w:rsidRPr="00282AC9">
        <w:rPr>
          <w:rFonts w:hint="cs"/>
          <w:sz w:val="27"/>
          <w:rtl/>
        </w:rPr>
        <w:t>ْ</w:t>
      </w:r>
      <w:r w:rsidRPr="00282AC9">
        <w:rPr>
          <w:rFonts w:hint="cs"/>
          <w:sz w:val="27"/>
          <w:rtl/>
        </w:rPr>
        <w:t>ب</w:t>
      </w:r>
      <w:r w:rsidR="00D77DBD" w:rsidRPr="00282AC9">
        <w:rPr>
          <w:rFonts w:hint="cs"/>
          <w:sz w:val="27"/>
          <w:rtl/>
        </w:rPr>
        <w:t>َ</w:t>
      </w:r>
      <w:r w:rsidRPr="00282AC9">
        <w:rPr>
          <w:rFonts w:hint="cs"/>
          <w:sz w:val="27"/>
          <w:rtl/>
        </w:rPr>
        <w:t>قاً، فلا معنى لعروض الحيازة عليه مرّة</w:t>
      </w:r>
      <w:r w:rsidR="00D77DBD" w:rsidRPr="00282AC9">
        <w:rPr>
          <w:rFonts w:hint="cs"/>
          <w:sz w:val="27"/>
          <w:rtl/>
        </w:rPr>
        <w:t>ً</w:t>
      </w:r>
      <w:r w:rsidRPr="00282AC9">
        <w:rPr>
          <w:rFonts w:hint="cs"/>
          <w:sz w:val="27"/>
          <w:rtl/>
        </w:rPr>
        <w:t xml:space="preserve"> ثانية</w:t>
      </w:r>
      <w:r w:rsidR="00D77DBD" w:rsidRPr="00282AC9">
        <w:rPr>
          <w:rFonts w:hint="cs"/>
          <w:sz w:val="27"/>
          <w:rtl/>
        </w:rPr>
        <w:t>،</w:t>
      </w:r>
      <w:r w:rsidRPr="00282AC9">
        <w:rPr>
          <w:rFonts w:hint="cs"/>
          <w:sz w:val="27"/>
          <w:rtl/>
        </w:rPr>
        <w:t xml:space="preserve"> سواء صدرت من الحائز الأوّل أو من المشتري أم من شخص</w:t>
      </w:r>
      <w:r w:rsidR="00D77DBD" w:rsidRPr="00282AC9">
        <w:rPr>
          <w:rFonts w:hint="cs"/>
          <w:sz w:val="27"/>
          <w:rtl/>
        </w:rPr>
        <w:t>ٍ</w:t>
      </w:r>
      <w:r w:rsidRPr="00282AC9">
        <w:rPr>
          <w:rFonts w:hint="cs"/>
          <w:sz w:val="27"/>
          <w:rtl/>
        </w:rPr>
        <w:t xml:space="preserve"> ثالث.</w:t>
      </w:r>
    </w:p>
    <w:p w:rsidR="0062395A" w:rsidRPr="00282AC9" w:rsidRDefault="0062395A" w:rsidP="00495D24">
      <w:pPr>
        <w:rPr>
          <w:sz w:val="27"/>
          <w:rtl/>
          <w:lang w:bidi="fa-IR"/>
        </w:rPr>
      </w:pPr>
      <w:r w:rsidRPr="00282AC9">
        <w:rPr>
          <w:rFonts w:hint="cs"/>
          <w:sz w:val="27"/>
          <w:rtl/>
        </w:rPr>
        <w:t>6ـ ويترتّ</w:t>
      </w:r>
      <w:r w:rsidR="00D77DBD" w:rsidRPr="00282AC9">
        <w:rPr>
          <w:rFonts w:hint="cs"/>
          <w:sz w:val="27"/>
          <w:rtl/>
        </w:rPr>
        <w:t>َ</w:t>
      </w:r>
      <w:r w:rsidRPr="00282AC9">
        <w:rPr>
          <w:rFonts w:hint="cs"/>
          <w:sz w:val="27"/>
          <w:rtl/>
        </w:rPr>
        <w:t>ب على هذا الإشكال الخامس أنّه لوأر</w:t>
      </w:r>
      <w:r w:rsidR="00D77DBD" w:rsidRPr="00282AC9">
        <w:rPr>
          <w:rFonts w:hint="cs"/>
          <w:sz w:val="27"/>
          <w:rtl/>
        </w:rPr>
        <w:t>َ</w:t>
      </w:r>
      <w:r w:rsidRPr="00282AC9">
        <w:rPr>
          <w:rFonts w:hint="cs"/>
          <w:sz w:val="27"/>
          <w:rtl/>
        </w:rPr>
        <w:t>د</w:t>
      </w:r>
      <w:r w:rsidR="00D77DBD" w:rsidRPr="00282AC9">
        <w:rPr>
          <w:rFonts w:hint="cs"/>
          <w:sz w:val="27"/>
          <w:rtl/>
        </w:rPr>
        <w:t>ْ</w:t>
      </w:r>
      <w:r w:rsidRPr="00282AC9">
        <w:rPr>
          <w:rFonts w:hint="cs"/>
          <w:sz w:val="27"/>
          <w:rtl/>
        </w:rPr>
        <w:t>نا إنقاذ هذه الفرضي</w:t>
      </w:r>
      <w:r w:rsidR="00D77DBD" w:rsidRPr="00282AC9">
        <w:rPr>
          <w:rFonts w:hint="cs"/>
          <w:sz w:val="27"/>
          <w:rtl/>
        </w:rPr>
        <w:t>ّ</w:t>
      </w:r>
      <w:r w:rsidRPr="00282AC9">
        <w:rPr>
          <w:rFonts w:hint="cs"/>
          <w:sz w:val="27"/>
          <w:rtl/>
        </w:rPr>
        <w:t>ة فلا محيص</w:t>
      </w:r>
      <w:r w:rsidR="00B94D9F" w:rsidRPr="00282AC9">
        <w:rPr>
          <w:rFonts w:hint="cs"/>
          <w:sz w:val="27"/>
          <w:rtl/>
        </w:rPr>
        <w:t>َ</w:t>
      </w:r>
      <w:r w:rsidRPr="00282AC9">
        <w:rPr>
          <w:rFonts w:hint="cs"/>
          <w:sz w:val="27"/>
          <w:rtl/>
        </w:rPr>
        <w:t xml:space="preserve"> لنا من الاحتيال بسبيل</w:t>
      </w:r>
      <w:r w:rsidR="00D77DBD" w:rsidRPr="00282AC9">
        <w:rPr>
          <w:rFonts w:hint="cs"/>
          <w:sz w:val="27"/>
          <w:rtl/>
        </w:rPr>
        <w:t>ٍ</w:t>
      </w:r>
      <w:r w:rsidRPr="00282AC9">
        <w:rPr>
          <w:rFonts w:hint="cs"/>
          <w:sz w:val="27"/>
          <w:rtl/>
        </w:rPr>
        <w:t xml:space="preserve"> آخر، وهو الإعراض</w:t>
      </w:r>
      <w:r w:rsidR="00D77DBD" w:rsidRPr="00282AC9">
        <w:rPr>
          <w:rFonts w:hint="cs"/>
          <w:sz w:val="27"/>
          <w:rtl/>
        </w:rPr>
        <w:t>،</w:t>
      </w:r>
      <w:r w:rsidRPr="00282AC9">
        <w:rPr>
          <w:rFonts w:hint="cs"/>
          <w:sz w:val="27"/>
          <w:rtl/>
        </w:rPr>
        <w:t xml:space="preserve"> وافتراض كون الإعراض جهتي</w:t>
      </w:r>
      <w:r w:rsidR="00D77DBD" w:rsidRPr="00282AC9">
        <w:rPr>
          <w:rFonts w:hint="cs"/>
          <w:sz w:val="27"/>
          <w:rtl/>
        </w:rPr>
        <w:t>ّ</w:t>
      </w:r>
      <w:r w:rsidRPr="00282AC9">
        <w:rPr>
          <w:rFonts w:hint="cs"/>
          <w:sz w:val="27"/>
          <w:rtl/>
        </w:rPr>
        <w:t>اً، وهذا ما التفت إليه المحقّ</w:t>
      </w:r>
      <w:r w:rsidR="00D77DBD" w:rsidRPr="00282AC9">
        <w:rPr>
          <w:rFonts w:hint="cs"/>
          <w:sz w:val="27"/>
          <w:rtl/>
        </w:rPr>
        <w:t>ِ</w:t>
      </w:r>
      <w:r w:rsidRPr="00282AC9">
        <w:rPr>
          <w:rFonts w:hint="cs"/>
          <w:sz w:val="27"/>
          <w:rtl/>
        </w:rPr>
        <w:t>ق الإيرواني، وحينئذٍ تُحيى بعض</w:t>
      </w:r>
      <w:r w:rsidR="00D77DBD" w:rsidRPr="00282AC9">
        <w:rPr>
          <w:rFonts w:hint="cs"/>
          <w:sz w:val="27"/>
          <w:rtl/>
        </w:rPr>
        <w:t>ُ</w:t>
      </w:r>
      <w:r w:rsidRPr="00282AC9">
        <w:rPr>
          <w:rFonts w:hint="cs"/>
          <w:sz w:val="27"/>
          <w:rtl/>
        </w:rPr>
        <w:t xml:space="preserve"> الإشكالات التي أور</w:t>
      </w:r>
      <w:r w:rsidR="00D77DBD" w:rsidRPr="00282AC9">
        <w:rPr>
          <w:rFonts w:hint="cs"/>
          <w:sz w:val="27"/>
          <w:rtl/>
        </w:rPr>
        <w:t>َ</w:t>
      </w:r>
      <w:r w:rsidRPr="00282AC9">
        <w:rPr>
          <w:rFonts w:hint="cs"/>
          <w:sz w:val="27"/>
          <w:rtl/>
        </w:rPr>
        <w:t>د</w:t>
      </w:r>
      <w:r w:rsidR="00D77DBD" w:rsidRPr="00282AC9">
        <w:rPr>
          <w:rFonts w:hint="cs"/>
          <w:sz w:val="27"/>
          <w:rtl/>
        </w:rPr>
        <w:t>ْ</w:t>
      </w:r>
      <w:r w:rsidRPr="00282AC9">
        <w:rPr>
          <w:rFonts w:hint="cs"/>
          <w:sz w:val="27"/>
          <w:rtl/>
        </w:rPr>
        <w:t>ناها على دعوى الإعراض</w:t>
      </w:r>
      <w:r w:rsidR="00D77DBD" w:rsidRPr="00282AC9">
        <w:rPr>
          <w:rFonts w:hint="cs"/>
          <w:sz w:val="27"/>
          <w:rtl/>
        </w:rPr>
        <w:t>،</w:t>
      </w:r>
      <w:r w:rsidRPr="00282AC9">
        <w:rPr>
          <w:rFonts w:hint="cs"/>
          <w:sz w:val="27"/>
          <w:rtl/>
        </w:rPr>
        <w:t xml:space="preserve"> والإعراض الجهتي</w:t>
      </w:r>
      <w:r w:rsidR="00D77DBD" w:rsidRPr="00282AC9">
        <w:rPr>
          <w:rFonts w:hint="cs"/>
          <w:sz w:val="27"/>
          <w:rtl/>
        </w:rPr>
        <w:t>ّ،</w:t>
      </w:r>
      <w:r w:rsidRPr="00282AC9">
        <w:rPr>
          <w:rFonts w:hint="cs"/>
          <w:sz w:val="27"/>
          <w:rtl/>
        </w:rPr>
        <w:t xml:space="preserve"> من جديد</w:t>
      </w:r>
      <w:r w:rsidR="00D77DBD" w:rsidRPr="00282AC9">
        <w:rPr>
          <w:rFonts w:hint="cs"/>
          <w:sz w:val="27"/>
          <w:rtl/>
        </w:rPr>
        <w:t>ٍ</w:t>
      </w:r>
      <w:r w:rsidRPr="00282AC9">
        <w:rPr>
          <w:rFonts w:hint="cs"/>
          <w:sz w:val="27"/>
          <w:rtl/>
        </w:rPr>
        <w:t>، كالإشكالين السادس والسابع.</w:t>
      </w:r>
    </w:p>
    <w:p w:rsidR="000F0B20" w:rsidRPr="00282AC9" w:rsidRDefault="000F0B20" w:rsidP="000F0B20">
      <w:pPr>
        <w:spacing w:line="420" w:lineRule="exact"/>
        <w:rPr>
          <w:sz w:val="27"/>
          <w:rtl/>
        </w:rPr>
      </w:pPr>
    </w:p>
    <w:p w:rsidR="0062395A" w:rsidRPr="00282AC9" w:rsidRDefault="0062395A" w:rsidP="00715FC8">
      <w:pPr>
        <w:pStyle w:val="31"/>
        <w:rPr>
          <w:color w:val="auto"/>
          <w:rtl/>
          <w:lang w:bidi="fa-IR"/>
        </w:rPr>
      </w:pPr>
      <w:r w:rsidRPr="00282AC9">
        <w:rPr>
          <w:rFonts w:hint="cs"/>
          <w:color w:val="auto"/>
          <w:rtl/>
          <w:lang w:bidi="fa-IR"/>
        </w:rPr>
        <w:t>دفاع</w:t>
      </w:r>
      <w:r w:rsidR="00D77DBD" w:rsidRPr="00282AC9">
        <w:rPr>
          <w:rFonts w:hint="cs"/>
          <w:color w:val="auto"/>
          <w:rtl/>
          <w:lang w:bidi="fa-IR"/>
        </w:rPr>
        <w:t>ٌ</w:t>
      </w:r>
      <w:r w:rsidRPr="00282AC9">
        <w:rPr>
          <w:rFonts w:hint="cs"/>
          <w:color w:val="auto"/>
          <w:rtl/>
          <w:lang w:bidi="fa-IR"/>
        </w:rPr>
        <w:t xml:space="preserve"> عن المحقّ</w:t>
      </w:r>
      <w:r w:rsidR="00D77DBD" w:rsidRPr="00282AC9">
        <w:rPr>
          <w:rFonts w:hint="cs"/>
          <w:color w:val="auto"/>
          <w:rtl/>
          <w:lang w:bidi="fa-IR"/>
        </w:rPr>
        <w:t>ِ</w:t>
      </w:r>
      <w:r w:rsidRPr="00282AC9">
        <w:rPr>
          <w:rFonts w:hint="cs"/>
          <w:color w:val="auto"/>
          <w:rtl/>
          <w:lang w:bidi="fa-IR"/>
        </w:rPr>
        <w:t>ق الإيرواني</w:t>
      </w:r>
    </w:p>
    <w:p w:rsidR="0062395A" w:rsidRPr="00282AC9" w:rsidRDefault="0062395A" w:rsidP="00495D24">
      <w:pPr>
        <w:rPr>
          <w:sz w:val="27"/>
          <w:rtl/>
          <w:lang w:bidi="fa-IR"/>
        </w:rPr>
      </w:pPr>
      <w:r w:rsidRPr="00282AC9">
        <w:rPr>
          <w:rFonts w:hint="cs"/>
          <w:sz w:val="27"/>
          <w:rtl/>
          <w:lang w:bidi="fa-IR"/>
        </w:rPr>
        <w:t>قد يُقال: إنّ المحقّ</w:t>
      </w:r>
      <w:r w:rsidR="00D77DBD" w:rsidRPr="00282AC9">
        <w:rPr>
          <w:rFonts w:hint="cs"/>
          <w:sz w:val="27"/>
          <w:rtl/>
          <w:lang w:bidi="fa-IR"/>
        </w:rPr>
        <w:t>ِ</w:t>
      </w:r>
      <w:r w:rsidRPr="00282AC9">
        <w:rPr>
          <w:rFonts w:hint="cs"/>
          <w:sz w:val="27"/>
          <w:rtl/>
          <w:lang w:bidi="fa-IR"/>
        </w:rPr>
        <w:t>ق الإيرواني لم يكن بصدد ح</w:t>
      </w:r>
      <w:r w:rsidR="00D77DBD" w:rsidRPr="00282AC9">
        <w:rPr>
          <w:rFonts w:hint="cs"/>
          <w:sz w:val="27"/>
          <w:rtl/>
          <w:lang w:bidi="fa-IR"/>
        </w:rPr>
        <w:t>َ</w:t>
      </w:r>
      <w:r w:rsidRPr="00282AC9">
        <w:rPr>
          <w:rFonts w:hint="cs"/>
          <w:sz w:val="27"/>
          <w:rtl/>
          <w:lang w:bidi="fa-IR"/>
        </w:rPr>
        <w:t>ص</w:t>
      </w:r>
      <w:r w:rsidR="00D77DBD" w:rsidRPr="00282AC9">
        <w:rPr>
          <w:rFonts w:hint="cs"/>
          <w:sz w:val="27"/>
          <w:rtl/>
          <w:lang w:bidi="fa-IR"/>
        </w:rPr>
        <w:t>ْ</w:t>
      </w:r>
      <w:r w:rsidRPr="00282AC9">
        <w:rPr>
          <w:rFonts w:hint="cs"/>
          <w:sz w:val="27"/>
          <w:rtl/>
          <w:lang w:bidi="fa-IR"/>
        </w:rPr>
        <w:t xml:space="preserve">ر أسباب </w:t>
      </w:r>
      <w:r w:rsidR="00EB1216" w:rsidRPr="00282AC9">
        <w:rPr>
          <w:rFonts w:hint="cs"/>
          <w:sz w:val="27"/>
          <w:rtl/>
          <w:lang w:bidi="fa-IR"/>
        </w:rPr>
        <w:t>المِلْكيّة</w:t>
      </w:r>
      <w:r w:rsidRPr="00282AC9">
        <w:rPr>
          <w:rFonts w:hint="cs"/>
          <w:sz w:val="27"/>
          <w:rtl/>
          <w:lang w:bidi="fa-IR"/>
        </w:rPr>
        <w:t xml:space="preserve"> كافّة</w:t>
      </w:r>
      <w:r w:rsidR="00D77DBD" w:rsidRPr="00282AC9">
        <w:rPr>
          <w:rFonts w:hint="cs"/>
          <w:sz w:val="27"/>
          <w:rtl/>
          <w:lang w:bidi="fa-IR"/>
        </w:rPr>
        <w:t>ً</w:t>
      </w:r>
      <w:r w:rsidRPr="00282AC9">
        <w:rPr>
          <w:rFonts w:hint="cs"/>
          <w:sz w:val="27"/>
          <w:rtl/>
          <w:lang w:bidi="fa-IR"/>
        </w:rPr>
        <w:t xml:space="preserve">، </w:t>
      </w:r>
      <w:r w:rsidRPr="00282AC9">
        <w:rPr>
          <w:rFonts w:hint="cs"/>
          <w:sz w:val="27"/>
          <w:rtl/>
          <w:lang w:bidi="fa-IR"/>
        </w:rPr>
        <w:lastRenderedPageBreak/>
        <w:t>وإنّما كان بصدد ح</w:t>
      </w:r>
      <w:r w:rsidR="00D77DBD" w:rsidRPr="00282AC9">
        <w:rPr>
          <w:rFonts w:hint="cs"/>
          <w:sz w:val="27"/>
          <w:rtl/>
          <w:lang w:bidi="fa-IR"/>
        </w:rPr>
        <w:t>َ</w:t>
      </w:r>
      <w:r w:rsidRPr="00282AC9">
        <w:rPr>
          <w:rFonts w:hint="cs"/>
          <w:sz w:val="27"/>
          <w:rtl/>
          <w:lang w:bidi="fa-IR"/>
        </w:rPr>
        <w:t>ص</w:t>
      </w:r>
      <w:r w:rsidR="00D77DBD" w:rsidRPr="00282AC9">
        <w:rPr>
          <w:rFonts w:hint="cs"/>
          <w:sz w:val="27"/>
          <w:rtl/>
          <w:lang w:bidi="fa-IR"/>
        </w:rPr>
        <w:t>ْ</w:t>
      </w:r>
      <w:r w:rsidRPr="00282AC9">
        <w:rPr>
          <w:rFonts w:hint="cs"/>
          <w:sz w:val="27"/>
          <w:rtl/>
          <w:lang w:bidi="fa-IR"/>
        </w:rPr>
        <w:t xml:space="preserve">ر أسباب </w:t>
      </w:r>
      <w:r w:rsidR="00EB1216" w:rsidRPr="00282AC9">
        <w:rPr>
          <w:rFonts w:hint="cs"/>
          <w:sz w:val="27"/>
          <w:rtl/>
          <w:lang w:bidi="fa-IR"/>
        </w:rPr>
        <w:t>المِلْكيّة</w:t>
      </w:r>
      <w:r w:rsidRPr="00282AC9">
        <w:rPr>
          <w:rFonts w:hint="cs"/>
          <w:sz w:val="27"/>
          <w:rtl/>
          <w:lang w:bidi="fa-IR"/>
        </w:rPr>
        <w:t xml:space="preserve"> في الأعيان فقط، كما يظهر من بعض كلماته.</w:t>
      </w:r>
    </w:p>
    <w:p w:rsidR="000F0B20" w:rsidRPr="00282AC9" w:rsidRDefault="000F0B20" w:rsidP="000F0B20">
      <w:pPr>
        <w:spacing w:line="420" w:lineRule="exact"/>
        <w:rPr>
          <w:sz w:val="27"/>
          <w:rtl/>
        </w:rPr>
      </w:pPr>
    </w:p>
    <w:p w:rsidR="0062395A" w:rsidRPr="00282AC9" w:rsidRDefault="00DA7E98" w:rsidP="00715FC8">
      <w:pPr>
        <w:pStyle w:val="31"/>
        <w:rPr>
          <w:color w:val="auto"/>
          <w:rtl/>
          <w:lang w:bidi="fa-IR"/>
        </w:rPr>
      </w:pPr>
      <w:r w:rsidRPr="00282AC9">
        <w:rPr>
          <w:rFonts w:hint="cs"/>
          <w:color w:val="auto"/>
          <w:rtl/>
          <w:lang w:bidi="fa-IR"/>
        </w:rPr>
        <w:t>تعليقٌ وبيان</w:t>
      </w:r>
    </w:p>
    <w:p w:rsidR="0062395A" w:rsidRPr="00282AC9" w:rsidRDefault="0062395A" w:rsidP="00495D24">
      <w:pPr>
        <w:rPr>
          <w:sz w:val="27"/>
          <w:rtl/>
          <w:lang w:bidi="fa-IR"/>
        </w:rPr>
      </w:pPr>
      <w:r w:rsidRPr="00282AC9">
        <w:rPr>
          <w:rFonts w:hint="cs"/>
          <w:sz w:val="27"/>
          <w:rtl/>
        </w:rPr>
        <w:t>1ـ إنّه إن</w:t>
      </w:r>
      <w:r w:rsidR="008A6FFF" w:rsidRPr="00282AC9">
        <w:rPr>
          <w:rFonts w:hint="cs"/>
          <w:sz w:val="27"/>
          <w:rtl/>
        </w:rPr>
        <w:t>ْ</w:t>
      </w:r>
      <w:r w:rsidRPr="00282AC9">
        <w:rPr>
          <w:rFonts w:hint="cs"/>
          <w:sz w:val="27"/>
          <w:rtl/>
        </w:rPr>
        <w:t xml:space="preserve"> لم يكن</w:t>
      </w:r>
      <w:r w:rsidR="009A2A04" w:rsidRPr="00282AC9">
        <w:rPr>
          <w:rFonts w:cs="Mosawi" w:hint="cs"/>
          <w:sz w:val="22"/>
          <w:szCs w:val="22"/>
          <w:rtl/>
        </w:rPr>
        <w:t>&amp;</w:t>
      </w:r>
      <w:r w:rsidRPr="00282AC9">
        <w:rPr>
          <w:rFonts w:hint="cs"/>
          <w:sz w:val="27"/>
          <w:rtl/>
        </w:rPr>
        <w:t xml:space="preserve"> بصدد الاستيعاب فهذا ما يؤك</w:t>
      </w:r>
      <w:r w:rsidR="00D77DBD" w:rsidRPr="00282AC9">
        <w:rPr>
          <w:rFonts w:hint="cs"/>
          <w:sz w:val="27"/>
          <w:rtl/>
        </w:rPr>
        <w:t>ِّ</w:t>
      </w:r>
      <w:r w:rsidRPr="00282AC9">
        <w:rPr>
          <w:rFonts w:hint="cs"/>
          <w:sz w:val="27"/>
          <w:rtl/>
        </w:rPr>
        <w:t>د ادّعاءنا</w:t>
      </w:r>
      <w:r w:rsidR="00D77DBD" w:rsidRPr="00282AC9">
        <w:rPr>
          <w:rFonts w:hint="cs"/>
          <w:sz w:val="27"/>
          <w:rtl/>
        </w:rPr>
        <w:t>،</w:t>
      </w:r>
      <w:r w:rsidRPr="00282AC9">
        <w:rPr>
          <w:rFonts w:hint="cs"/>
          <w:sz w:val="27"/>
          <w:rtl/>
        </w:rPr>
        <w:t xml:space="preserve"> ويزيد عليه، وهو عدم تصدّي الفقهاء لح</w:t>
      </w:r>
      <w:r w:rsidR="008A6FFF" w:rsidRPr="00282AC9">
        <w:rPr>
          <w:rFonts w:hint="cs"/>
          <w:sz w:val="27"/>
          <w:rtl/>
        </w:rPr>
        <w:t>َ</w:t>
      </w:r>
      <w:r w:rsidRPr="00282AC9">
        <w:rPr>
          <w:rFonts w:hint="cs"/>
          <w:sz w:val="27"/>
          <w:rtl/>
        </w:rPr>
        <w:t>ص</w:t>
      </w:r>
      <w:r w:rsidR="008A6FFF" w:rsidRPr="00282AC9">
        <w:rPr>
          <w:rFonts w:hint="cs"/>
          <w:sz w:val="27"/>
          <w:rtl/>
        </w:rPr>
        <w:t>ْ</w:t>
      </w:r>
      <w:r w:rsidRPr="00282AC9">
        <w:rPr>
          <w:rFonts w:hint="cs"/>
          <w:sz w:val="27"/>
          <w:rtl/>
        </w:rPr>
        <w:t xml:space="preserve">ر أسباب </w:t>
      </w:r>
      <w:r w:rsidR="00EB1216" w:rsidRPr="00282AC9">
        <w:rPr>
          <w:rFonts w:hint="cs"/>
          <w:sz w:val="27"/>
          <w:rtl/>
        </w:rPr>
        <w:t>المِلْكيّة</w:t>
      </w:r>
      <w:r w:rsidR="008A6FFF" w:rsidRPr="00282AC9">
        <w:rPr>
          <w:rFonts w:hint="cs"/>
          <w:sz w:val="27"/>
          <w:rtl/>
        </w:rPr>
        <w:t>.</w:t>
      </w:r>
      <w:r w:rsidRPr="00282AC9">
        <w:rPr>
          <w:rFonts w:hint="cs"/>
          <w:sz w:val="27"/>
          <w:rtl/>
        </w:rPr>
        <w:t xml:space="preserve"> ومَن</w:t>
      </w:r>
      <w:r w:rsidR="008A6FFF" w:rsidRPr="00282AC9">
        <w:rPr>
          <w:rFonts w:hint="cs"/>
          <w:sz w:val="27"/>
          <w:rtl/>
        </w:rPr>
        <w:t>ْ ظَنَ</w:t>
      </w:r>
      <w:r w:rsidRPr="00282AC9">
        <w:rPr>
          <w:rFonts w:hint="cs"/>
          <w:sz w:val="27"/>
          <w:rtl/>
        </w:rPr>
        <w:t>ن</w:t>
      </w:r>
      <w:r w:rsidR="008A6FFF" w:rsidRPr="00282AC9">
        <w:rPr>
          <w:rFonts w:hint="cs"/>
          <w:sz w:val="27"/>
          <w:rtl/>
        </w:rPr>
        <w:t>َّ</w:t>
      </w:r>
      <w:r w:rsidRPr="00282AC9">
        <w:rPr>
          <w:rFonts w:hint="cs"/>
          <w:sz w:val="27"/>
          <w:rtl/>
        </w:rPr>
        <w:t>ا تصدّ</w:t>
      </w:r>
      <w:r w:rsidR="008A6FFF" w:rsidRPr="00282AC9">
        <w:rPr>
          <w:rFonts w:hint="cs"/>
          <w:sz w:val="27"/>
          <w:rtl/>
        </w:rPr>
        <w:t>ِ</w:t>
      </w:r>
      <w:r w:rsidRPr="00282AC9">
        <w:rPr>
          <w:rFonts w:hint="cs"/>
          <w:sz w:val="27"/>
          <w:rtl/>
        </w:rPr>
        <w:t>يه لبيانها فإنّما تصدّى لذلك بنحو الموجبة الجزئي</w:t>
      </w:r>
      <w:r w:rsidR="008A6FFF" w:rsidRPr="00282AC9">
        <w:rPr>
          <w:rFonts w:hint="cs"/>
          <w:sz w:val="27"/>
          <w:rtl/>
        </w:rPr>
        <w:t>ّ</w:t>
      </w:r>
      <w:r w:rsidRPr="00282AC9">
        <w:rPr>
          <w:rFonts w:hint="cs"/>
          <w:sz w:val="27"/>
          <w:rtl/>
        </w:rPr>
        <w:t>ة</w:t>
      </w:r>
      <w:r w:rsidR="008A6FFF" w:rsidRPr="00282AC9">
        <w:rPr>
          <w:rFonts w:hint="cs"/>
          <w:sz w:val="27"/>
          <w:rtl/>
        </w:rPr>
        <w:t>.</w:t>
      </w:r>
      <w:r w:rsidRPr="00282AC9">
        <w:rPr>
          <w:rFonts w:hint="cs"/>
          <w:sz w:val="27"/>
          <w:rtl/>
        </w:rPr>
        <w:t xml:space="preserve"> إذن فلم يب</w:t>
      </w:r>
      <w:r w:rsidR="008A6FFF" w:rsidRPr="00282AC9">
        <w:rPr>
          <w:rFonts w:hint="cs"/>
          <w:sz w:val="27"/>
          <w:rtl/>
        </w:rPr>
        <w:t>ْ</w:t>
      </w:r>
      <w:r w:rsidRPr="00282AC9">
        <w:rPr>
          <w:rFonts w:hint="cs"/>
          <w:sz w:val="27"/>
          <w:rtl/>
        </w:rPr>
        <w:t xml:space="preserve">قَ </w:t>
      </w:r>
      <w:r w:rsidR="00F93923" w:rsidRPr="00282AC9">
        <w:rPr>
          <w:rFonts w:hint="cs"/>
          <w:sz w:val="27"/>
          <w:rtl/>
        </w:rPr>
        <w:t>أيُّ عصفورٍ</w:t>
      </w:r>
      <w:r w:rsidRPr="00282AC9">
        <w:rPr>
          <w:rFonts w:hint="cs"/>
          <w:sz w:val="27"/>
          <w:rtl/>
        </w:rPr>
        <w:t xml:space="preserve"> على الشجرة، كما يُقال في الم</w:t>
      </w:r>
      <w:r w:rsidR="008A6FFF" w:rsidRPr="00282AC9">
        <w:rPr>
          <w:rFonts w:hint="cs"/>
          <w:sz w:val="27"/>
          <w:rtl/>
        </w:rPr>
        <w:t>َ</w:t>
      </w:r>
      <w:r w:rsidRPr="00282AC9">
        <w:rPr>
          <w:rFonts w:hint="cs"/>
          <w:sz w:val="27"/>
          <w:rtl/>
        </w:rPr>
        <w:t>ث</w:t>
      </w:r>
      <w:r w:rsidR="008A6FFF" w:rsidRPr="00282AC9">
        <w:rPr>
          <w:rFonts w:hint="cs"/>
          <w:sz w:val="27"/>
          <w:rtl/>
        </w:rPr>
        <w:t>َ</w:t>
      </w:r>
      <w:r w:rsidRPr="00282AC9">
        <w:rPr>
          <w:rFonts w:hint="cs"/>
          <w:sz w:val="27"/>
          <w:rtl/>
        </w:rPr>
        <w:t>ل.</w:t>
      </w:r>
    </w:p>
    <w:p w:rsidR="0062395A" w:rsidRPr="00282AC9" w:rsidRDefault="0062395A" w:rsidP="000F0B20">
      <w:pPr>
        <w:spacing w:line="410" w:lineRule="exact"/>
        <w:rPr>
          <w:sz w:val="27"/>
          <w:rtl/>
          <w:lang w:bidi="fa-IR"/>
        </w:rPr>
      </w:pPr>
      <w:r w:rsidRPr="00282AC9">
        <w:rPr>
          <w:rFonts w:hint="cs"/>
          <w:sz w:val="27"/>
          <w:rtl/>
        </w:rPr>
        <w:t>2ـ لو فر</w:t>
      </w:r>
      <w:r w:rsidR="008A6FFF" w:rsidRPr="00282AC9">
        <w:rPr>
          <w:rFonts w:hint="cs"/>
          <w:sz w:val="27"/>
          <w:rtl/>
        </w:rPr>
        <w:t>َ</w:t>
      </w:r>
      <w:r w:rsidRPr="00282AC9">
        <w:rPr>
          <w:rFonts w:hint="cs"/>
          <w:sz w:val="27"/>
          <w:rtl/>
        </w:rPr>
        <w:t>ض</w:t>
      </w:r>
      <w:r w:rsidR="008A6FFF" w:rsidRPr="00282AC9">
        <w:rPr>
          <w:rFonts w:hint="cs"/>
          <w:sz w:val="27"/>
          <w:rtl/>
        </w:rPr>
        <w:t>ْ</w:t>
      </w:r>
      <w:r w:rsidRPr="00282AC9">
        <w:rPr>
          <w:rFonts w:hint="cs"/>
          <w:sz w:val="27"/>
          <w:rtl/>
        </w:rPr>
        <w:t>نا كونه في مقام ح</w:t>
      </w:r>
      <w:r w:rsidR="008A6FFF" w:rsidRPr="00282AC9">
        <w:rPr>
          <w:rFonts w:hint="cs"/>
          <w:sz w:val="27"/>
          <w:rtl/>
        </w:rPr>
        <w:t>َ</w:t>
      </w:r>
      <w:r w:rsidRPr="00282AC9">
        <w:rPr>
          <w:rFonts w:hint="cs"/>
          <w:sz w:val="27"/>
          <w:rtl/>
        </w:rPr>
        <w:t>ص</w:t>
      </w:r>
      <w:r w:rsidR="008A6FFF" w:rsidRPr="00282AC9">
        <w:rPr>
          <w:rFonts w:hint="cs"/>
          <w:sz w:val="27"/>
          <w:rtl/>
        </w:rPr>
        <w:t>ْ</w:t>
      </w:r>
      <w:r w:rsidRPr="00282AC9">
        <w:rPr>
          <w:rFonts w:hint="cs"/>
          <w:sz w:val="27"/>
          <w:rtl/>
        </w:rPr>
        <w:t xml:space="preserve">ر أسباب </w:t>
      </w:r>
      <w:r w:rsidR="00EB1216" w:rsidRPr="00282AC9">
        <w:rPr>
          <w:rFonts w:hint="cs"/>
          <w:sz w:val="27"/>
          <w:rtl/>
        </w:rPr>
        <w:t>المِلْكيّة</w:t>
      </w:r>
      <w:r w:rsidRPr="00282AC9">
        <w:rPr>
          <w:rFonts w:hint="cs"/>
          <w:sz w:val="27"/>
          <w:rtl/>
        </w:rPr>
        <w:t xml:space="preserve"> في الأعيان فقط</w:t>
      </w:r>
      <w:r w:rsidR="008A6FFF" w:rsidRPr="00282AC9">
        <w:rPr>
          <w:rFonts w:hint="cs"/>
          <w:sz w:val="27"/>
          <w:rtl/>
        </w:rPr>
        <w:t>، لا م</w:t>
      </w:r>
      <w:r w:rsidRPr="00282AC9">
        <w:rPr>
          <w:rFonts w:hint="cs"/>
          <w:sz w:val="27"/>
          <w:rtl/>
        </w:rPr>
        <w:t>طلقاً</w:t>
      </w:r>
      <w:r w:rsidR="008A6FFF" w:rsidRPr="00282AC9">
        <w:rPr>
          <w:rFonts w:hint="cs"/>
          <w:sz w:val="27"/>
          <w:rtl/>
        </w:rPr>
        <w:t>،</w:t>
      </w:r>
      <w:r w:rsidRPr="00282AC9">
        <w:rPr>
          <w:rFonts w:hint="cs"/>
          <w:sz w:val="27"/>
          <w:rtl/>
        </w:rPr>
        <w:t xml:space="preserve"> فلا يتزعزع شيء</w:t>
      </w:r>
      <w:r w:rsidR="008A6FFF" w:rsidRPr="00282AC9">
        <w:rPr>
          <w:rFonts w:hint="cs"/>
          <w:sz w:val="27"/>
          <w:rtl/>
        </w:rPr>
        <w:t>ٌ</w:t>
      </w:r>
      <w:r w:rsidRPr="00282AC9">
        <w:rPr>
          <w:rFonts w:hint="cs"/>
          <w:sz w:val="27"/>
          <w:rtl/>
        </w:rPr>
        <w:t xml:space="preserve"> ممّا أور</w:t>
      </w:r>
      <w:r w:rsidR="008A6FFF" w:rsidRPr="00282AC9">
        <w:rPr>
          <w:rFonts w:hint="cs"/>
          <w:sz w:val="27"/>
          <w:rtl/>
        </w:rPr>
        <w:t>َ</w:t>
      </w:r>
      <w:r w:rsidRPr="00282AC9">
        <w:rPr>
          <w:rFonts w:hint="cs"/>
          <w:sz w:val="27"/>
          <w:rtl/>
        </w:rPr>
        <w:t>د</w:t>
      </w:r>
      <w:r w:rsidR="008A6FFF" w:rsidRPr="00282AC9">
        <w:rPr>
          <w:rFonts w:hint="cs"/>
          <w:sz w:val="27"/>
          <w:rtl/>
        </w:rPr>
        <w:t>ْ</w:t>
      </w:r>
      <w:r w:rsidRPr="00282AC9">
        <w:rPr>
          <w:rFonts w:hint="cs"/>
          <w:sz w:val="27"/>
          <w:rtl/>
        </w:rPr>
        <w:t>ناه عليه من مناقشات</w:t>
      </w:r>
      <w:r w:rsidR="008A6FFF" w:rsidRPr="00282AC9">
        <w:rPr>
          <w:rFonts w:hint="cs"/>
          <w:sz w:val="27"/>
          <w:rtl/>
        </w:rPr>
        <w:t>ٍ</w:t>
      </w:r>
      <w:r w:rsidRPr="00282AC9">
        <w:rPr>
          <w:rFonts w:hint="cs"/>
          <w:sz w:val="27"/>
          <w:rtl/>
        </w:rPr>
        <w:t>.</w:t>
      </w:r>
    </w:p>
    <w:p w:rsidR="000F0B20" w:rsidRPr="00282AC9" w:rsidRDefault="000F0B20" w:rsidP="000F0B20">
      <w:pPr>
        <w:spacing w:line="420" w:lineRule="exact"/>
        <w:rPr>
          <w:sz w:val="27"/>
          <w:rtl/>
        </w:rPr>
      </w:pPr>
    </w:p>
    <w:p w:rsidR="0062395A" w:rsidRPr="00282AC9" w:rsidRDefault="0062395A" w:rsidP="00715FC8">
      <w:pPr>
        <w:pStyle w:val="31"/>
        <w:rPr>
          <w:color w:val="auto"/>
          <w:rtl/>
        </w:rPr>
      </w:pPr>
      <w:r w:rsidRPr="00282AC9">
        <w:rPr>
          <w:rFonts w:hint="cs"/>
          <w:color w:val="auto"/>
          <w:rtl/>
        </w:rPr>
        <w:t>الاتجاه الثاني</w:t>
      </w:r>
      <w:r w:rsidR="00DF1430" w:rsidRPr="00282AC9">
        <w:rPr>
          <w:rFonts w:hint="cs"/>
          <w:color w:val="auto"/>
          <w:rtl/>
        </w:rPr>
        <w:t xml:space="preserve">: الحيازة </w:t>
      </w:r>
      <w:r w:rsidR="006E44D4" w:rsidRPr="00282AC9">
        <w:rPr>
          <w:rFonts w:hint="cs"/>
          <w:color w:val="auto"/>
          <w:rtl/>
        </w:rPr>
        <w:t xml:space="preserve">ثمّ </w:t>
      </w:r>
      <w:r w:rsidR="00DF1430" w:rsidRPr="00282AC9">
        <w:rPr>
          <w:rFonts w:hint="cs"/>
          <w:color w:val="auto"/>
          <w:rtl/>
        </w:rPr>
        <w:t>غيرها</w:t>
      </w:r>
      <w:r w:rsidR="006E44D4" w:rsidRPr="00282AC9">
        <w:rPr>
          <w:rFonts w:hint="cs"/>
          <w:color w:val="auto"/>
          <w:rtl/>
        </w:rPr>
        <w:t xml:space="preserve"> </w:t>
      </w:r>
    </w:p>
    <w:p w:rsidR="0062395A" w:rsidRPr="00282AC9" w:rsidRDefault="008A6FFF" w:rsidP="00495D24">
      <w:pPr>
        <w:rPr>
          <w:sz w:val="27"/>
          <w:rtl/>
          <w:lang w:bidi="fa-IR"/>
        </w:rPr>
      </w:pPr>
      <w:r w:rsidRPr="00282AC9">
        <w:rPr>
          <w:rFonts w:hint="cs"/>
          <w:sz w:val="27"/>
          <w:rtl/>
          <w:lang w:bidi="fa-IR"/>
        </w:rPr>
        <w:t>وهذا الرأي ي</w:t>
      </w:r>
      <w:r w:rsidR="0062395A" w:rsidRPr="00282AC9">
        <w:rPr>
          <w:rFonts w:hint="cs"/>
          <w:sz w:val="27"/>
          <w:rtl/>
          <w:lang w:bidi="fa-IR"/>
        </w:rPr>
        <w:t>مكن اقتناص</w:t>
      </w:r>
      <w:r w:rsidRPr="00282AC9">
        <w:rPr>
          <w:rFonts w:hint="cs"/>
          <w:sz w:val="27"/>
          <w:rtl/>
          <w:lang w:bidi="fa-IR"/>
        </w:rPr>
        <w:t>ُ</w:t>
      </w:r>
      <w:r w:rsidR="0062395A" w:rsidRPr="00282AC9">
        <w:rPr>
          <w:rFonts w:hint="cs"/>
          <w:sz w:val="27"/>
          <w:rtl/>
          <w:lang w:bidi="fa-IR"/>
        </w:rPr>
        <w:t>ه ممّا طرحه المحقّ</w:t>
      </w:r>
      <w:r w:rsidRPr="00282AC9">
        <w:rPr>
          <w:rFonts w:hint="cs"/>
          <w:sz w:val="27"/>
          <w:rtl/>
          <w:lang w:bidi="fa-IR"/>
        </w:rPr>
        <w:t>ِ</w:t>
      </w:r>
      <w:r w:rsidR="0062395A" w:rsidRPr="00282AC9">
        <w:rPr>
          <w:rFonts w:hint="cs"/>
          <w:sz w:val="27"/>
          <w:rtl/>
          <w:lang w:bidi="fa-IR"/>
        </w:rPr>
        <w:t>ق الإيرواني</w:t>
      </w:r>
      <w:r w:rsidRPr="00282AC9">
        <w:rPr>
          <w:rFonts w:hint="cs"/>
          <w:sz w:val="27"/>
          <w:rtl/>
          <w:lang w:bidi="fa-IR"/>
        </w:rPr>
        <w:t>،</w:t>
      </w:r>
      <w:r w:rsidR="0062395A" w:rsidRPr="00282AC9">
        <w:rPr>
          <w:rFonts w:hint="cs"/>
          <w:sz w:val="27"/>
          <w:rtl/>
          <w:lang w:bidi="fa-IR"/>
        </w:rPr>
        <w:t xml:space="preserve"> من تقسيمه </w:t>
      </w:r>
      <w:r w:rsidR="00EB1216" w:rsidRPr="00282AC9">
        <w:rPr>
          <w:rFonts w:hint="cs"/>
          <w:sz w:val="27"/>
          <w:rtl/>
          <w:lang w:bidi="fa-IR"/>
        </w:rPr>
        <w:t>المِلْكيّة</w:t>
      </w:r>
      <w:r w:rsidR="0062395A" w:rsidRPr="00282AC9">
        <w:rPr>
          <w:rFonts w:hint="cs"/>
          <w:sz w:val="27"/>
          <w:rtl/>
          <w:lang w:bidi="fa-IR"/>
        </w:rPr>
        <w:t xml:space="preserve"> </w:t>
      </w:r>
      <w:r w:rsidRPr="00282AC9">
        <w:rPr>
          <w:rFonts w:hint="cs"/>
          <w:sz w:val="27"/>
          <w:rtl/>
          <w:lang w:bidi="fa-IR"/>
        </w:rPr>
        <w:t>إ</w:t>
      </w:r>
      <w:r w:rsidR="0062395A" w:rsidRPr="00282AC9">
        <w:rPr>
          <w:rFonts w:hint="cs"/>
          <w:sz w:val="27"/>
          <w:rtl/>
          <w:lang w:bidi="fa-IR"/>
        </w:rPr>
        <w:t xml:space="preserve">لى: </w:t>
      </w:r>
      <w:r w:rsidRPr="00282AC9">
        <w:rPr>
          <w:rFonts w:hint="cs"/>
          <w:sz w:val="27"/>
          <w:rtl/>
          <w:lang w:bidi="fa-IR"/>
        </w:rPr>
        <w:t>مِ</w:t>
      </w:r>
      <w:r w:rsidR="00EB1216" w:rsidRPr="00282AC9">
        <w:rPr>
          <w:rFonts w:hint="cs"/>
          <w:sz w:val="27"/>
          <w:rtl/>
          <w:lang w:bidi="fa-IR"/>
        </w:rPr>
        <w:t>لْكيّة</w:t>
      </w:r>
      <w:r w:rsidR="0062395A" w:rsidRPr="00282AC9">
        <w:rPr>
          <w:rFonts w:hint="cs"/>
          <w:sz w:val="27"/>
          <w:rtl/>
          <w:lang w:bidi="fa-IR"/>
        </w:rPr>
        <w:t xml:space="preserve"> أصلي</w:t>
      </w:r>
      <w:r w:rsidRPr="00282AC9">
        <w:rPr>
          <w:rFonts w:hint="cs"/>
          <w:sz w:val="27"/>
          <w:rtl/>
          <w:lang w:bidi="fa-IR"/>
        </w:rPr>
        <w:t>ّ</w:t>
      </w:r>
      <w:r w:rsidR="0062395A" w:rsidRPr="00282AC9">
        <w:rPr>
          <w:rFonts w:hint="cs"/>
          <w:sz w:val="27"/>
          <w:rtl/>
          <w:lang w:bidi="fa-IR"/>
        </w:rPr>
        <w:t xml:space="preserve">ة </w:t>
      </w:r>
      <w:r w:rsidRPr="00282AC9">
        <w:rPr>
          <w:rFonts w:hint="cs"/>
          <w:sz w:val="27"/>
          <w:rtl/>
          <w:lang w:bidi="fa-IR"/>
        </w:rPr>
        <w:t>م</w:t>
      </w:r>
      <w:r w:rsidR="0062395A" w:rsidRPr="00282AC9">
        <w:rPr>
          <w:rFonts w:hint="cs"/>
          <w:sz w:val="27"/>
          <w:rtl/>
          <w:lang w:bidi="fa-IR"/>
        </w:rPr>
        <w:t>بتدَأة</w:t>
      </w:r>
      <w:r w:rsidRPr="00282AC9">
        <w:rPr>
          <w:rFonts w:hint="cs"/>
          <w:sz w:val="27"/>
          <w:rtl/>
          <w:lang w:bidi="fa-IR"/>
        </w:rPr>
        <w:t>؛</w:t>
      </w:r>
      <w:r w:rsidR="0062395A" w:rsidRPr="00282AC9">
        <w:rPr>
          <w:rFonts w:hint="cs"/>
          <w:sz w:val="27"/>
          <w:rtl/>
          <w:lang w:bidi="fa-IR"/>
        </w:rPr>
        <w:t xml:space="preserve"> وم</w:t>
      </w:r>
      <w:r w:rsidRPr="00282AC9">
        <w:rPr>
          <w:rFonts w:hint="cs"/>
          <w:sz w:val="27"/>
          <w:rtl/>
          <w:lang w:bidi="fa-IR"/>
        </w:rPr>
        <w:t>ِ</w:t>
      </w:r>
      <w:r w:rsidR="0062395A" w:rsidRPr="00282AC9">
        <w:rPr>
          <w:rFonts w:hint="cs"/>
          <w:sz w:val="27"/>
          <w:rtl/>
          <w:lang w:bidi="fa-IR"/>
        </w:rPr>
        <w:t>ل</w:t>
      </w:r>
      <w:r w:rsidRPr="00282AC9">
        <w:rPr>
          <w:rFonts w:hint="cs"/>
          <w:sz w:val="27"/>
          <w:rtl/>
          <w:lang w:bidi="fa-IR"/>
        </w:rPr>
        <w:t>ْ</w:t>
      </w:r>
      <w:r w:rsidR="0062395A" w:rsidRPr="00282AC9">
        <w:rPr>
          <w:rFonts w:hint="cs"/>
          <w:sz w:val="27"/>
          <w:rtl/>
          <w:lang w:bidi="fa-IR"/>
        </w:rPr>
        <w:t>كي</w:t>
      </w:r>
      <w:r w:rsidRPr="00282AC9">
        <w:rPr>
          <w:rFonts w:hint="cs"/>
          <w:sz w:val="27"/>
          <w:rtl/>
          <w:lang w:bidi="fa-IR"/>
        </w:rPr>
        <w:t>ّ</w:t>
      </w:r>
      <w:r w:rsidR="0062395A" w:rsidRPr="00282AC9">
        <w:rPr>
          <w:rFonts w:hint="cs"/>
          <w:sz w:val="27"/>
          <w:rtl/>
          <w:lang w:bidi="fa-IR"/>
        </w:rPr>
        <w:t>ة فرعية وثانوية مسبوقة</w:t>
      </w:r>
      <w:r w:rsidRPr="00282AC9">
        <w:rPr>
          <w:rFonts w:hint="cs"/>
          <w:sz w:val="27"/>
          <w:rtl/>
          <w:lang w:bidi="fa-IR"/>
        </w:rPr>
        <w:t>.</w:t>
      </w:r>
      <w:r w:rsidR="0062395A" w:rsidRPr="00282AC9">
        <w:rPr>
          <w:rFonts w:hint="cs"/>
          <w:sz w:val="27"/>
          <w:rtl/>
          <w:lang w:bidi="fa-IR"/>
        </w:rPr>
        <w:t xml:space="preserve"> وهو تقسيم</w:t>
      </w:r>
      <w:r w:rsidRPr="00282AC9">
        <w:rPr>
          <w:rFonts w:hint="cs"/>
          <w:sz w:val="27"/>
          <w:rtl/>
          <w:lang w:bidi="fa-IR"/>
        </w:rPr>
        <w:t>ٌ</w:t>
      </w:r>
      <w:r w:rsidR="0062395A" w:rsidRPr="00282AC9">
        <w:rPr>
          <w:rFonts w:hint="cs"/>
          <w:sz w:val="27"/>
          <w:rtl/>
          <w:lang w:bidi="fa-IR"/>
        </w:rPr>
        <w:t xml:space="preserve"> ثنائي</w:t>
      </w:r>
      <w:r w:rsidRPr="00282AC9">
        <w:rPr>
          <w:rFonts w:hint="cs"/>
          <w:sz w:val="27"/>
          <w:rtl/>
          <w:lang w:bidi="fa-IR"/>
        </w:rPr>
        <w:t>ّ.</w:t>
      </w:r>
      <w:r w:rsidR="0062395A" w:rsidRPr="00282AC9">
        <w:rPr>
          <w:rFonts w:hint="cs"/>
          <w:sz w:val="27"/>
          <w:rtl/>
          <w:lang w:bidi="fa-IR"/>
        </w:rPr>
        <w:t xml:space="preserve"> وبيانه:</w:t>
      </w:r>
    </w:p>
    <w:p w:rsidR="0062395A" w:rsidRPr="00282AC9" w:rsidRDefault="0062395A" w:rsidP="00495D24">
      <w:pPr>
        <w:rPr>
          <w:sz w:val="27"/>
          <w:rtl/>
          <w:lang w:bidi="fa-IR"/>
        </w:rPr>
      </w:pPr>
      <w:r w:rsidRPr="00282AC9">
        <w:rPr>
          <w:rFonts w:hint="cs"/>
          <w:b/>
          <w:bCs/>
          <w:sz w:val="27"/>
          <w:rtl/>
          <w:lang w:bidi="fa-IR"/>
        </w:rPr>
        <w:t>القسم الأوّل</w:t>
      </w:r>
      <w:r w:rsidRPr="00282AC9">
        <w:rPr>
          <w:rFonts w:hint="cs"/>
          <w:sz w:val="27"/>
          <w:rtl/>
          <w:lang w:bidi="fa-IR"/>
        </w:rPr>
        <w:t>: السبب الأصلي</w:t>
      </w:r>
      <w:r w:rsidR="008A6FFF" w:rsidRPr="00282AC9">
        <w:rPr>
          <w:rFonts w:hint="cs"/>
          <w:sz w:val="27"/>
          <w:rtl/>
          <w:lang w:bidi="fa-IR"/>
        </w:rPr>
        <w:t>ّ</w:t>
      </w:r>
      <w:r w:rsidRPr="00282AC9">
        <w:rPr>
          <w:rFonts w:hint="cs"/>
          <w:sz w:val="27"/>
          <w:rtl/>
          <w:lang w:bidi="fa-IR"/>
        </w:rPr>
        <w:t>، وهو منحصر</w:t>
      </w:r>
      <w:r w:rsidR="008A6FFF" w:rsidRPr="00282AC9">
        <w:rPr>
          <w:rFonts w:hint="cs"/>
          <w:sz w:val="27"/>
          <w:rtl/>
          <w:lang w:bidi="fa-IR"/>
        </w:rPr>
        <w:t>ٌ</w:t>
      </w:r>
      <w:r w:rsidRPr="00282AC9">
        <w:rPr>
          <w:rFonts w:hint="cs"/>
          <w:sz w:val="27"/>
          <w:rtl/>
          <w:lang w:bidi="fa-IR"/>
        </w:rPr>
        <w:t xml:space="preserve"> بالحيازة</w:t>
      </w:r>
      <w:r w:rsidR="008A6FFF" w:rsidRPr="00282AC9">
        <w:rPr>
          <w:rFonts w:hint="cs"/>
          <w:sz w:val="27"/>
          <w:rtl/>
          <w:lang w:bidi="fa-IR"/>
        </w:rPr>
        <w:t>.</w:t>
      </w:r>
      <w:r w:rsidRPr="00282AC9">
        <w:rPr>
          <w:rFonts w:hint="cs"/>
          <w:sz w:val="27"/>
          <w:rtl/>
          <w:lang w:bidi="fa-IR"/>
        </w:rPr>
        <w:t xml:space="preserve"> وقد نعتها صاحب هذا الاتجاه بأنّها أُمّ</w:t>
      </w:r>
      <w:r w:rsidR="008A6FFF" w:rsidRPr="00282AC9">
        <w:rPr>
          <w:rFonts w:hint="cs"/>
          <w:sz w:val="27"/>
          <w:rtl/>
          <w:lang w:bidi="fa-IR"/>
        </w:rPr>
        <w:t>ُ</w:t>
      </w:r>
      <w:r w:rsidRPr="00282AC9">
        <w:rPr>
          <w:rFonts w:hint="cs"/>
          <w:sz w:val="27"/>
          <w:rtl/>
          <w:lang w:bidi="fa-IR"/>
        </w:rPr>
        <w:t xml:space="preserve"> المملِّكات.</w:t>
      </w:r>
    </w:p>
    <w:p w:rsidR="0062395A" w:rsidRPr="00282AC9" w:rsidRDefault="0062395A" w:rsidP="00495D24">
      <w:pPr>
        <w:rPr>
          <w:sz w:val="27"/>
          <w:rtl/>
          <w:lang w:bidi="fa-IR"/>
        </w:rPr>
      </w:pPr>
      <w:r w:rsidRPr="00282AC9">
        <w:rPr>
          <w:rFonts w:hint="cs"/>
          <w:b/>
          <w:bCs/>
          <w:sz w:val="27"/>
          <w:rtl/>
          <w:lang w:bidi="fa-IR"/>
        </w:rPr>
        <w:t>القسم الثاني</w:t>
      </w:r>
      <w:r w:rsidRPr="00282AC9">
        <w:rPr>
          <w:rFonts w:hint="cs"/>
          <w:sz w:val="27"/>
          <w:rtl/>
          <w:lang w:bidi="fa-IR"/>
        </w:rPr>
        <w:t>: الأسباب الثانوية</w:t>
      </w:r>
      <w:r w:rsidR="008A6FFF" w:rsidRPr="00282AC9">
        <w:rPr>
          <w:rFonts w:hint="cs"/>
          <w:sz w:val="27"/>
          <w:rtl/>
          <w:lang w:bidi="fa-IR"/>
        </w:rPr>
        <w:t>.</w:t>
      </w:r>
      <w:r w:rsidRPr="00282AC9">
        <w:rPr>
          <w:rFonts w:hint="cs"/>
          <w:sz w:val="27"/>
          <w:rtl/>
          <w:lang w:bidi="fa-IR"/>
        </w:rPr>
        <w:t xml:space="preserve"> وتتمثّ</w:t>
      </w:r>
      <w:r w:rsidR="008A6FFF" w:rsidRPr="00282AC9">
        <w:rPr>
          <w:rFonts w:hint="cs"/>
          <w:sz w:val="27"/>
          <w:rtl/>
          <w:lang w:bidi="fa-IR"/>
        </w:rPr>
        <w:t>َ</w:t>
      </w:r>
      <w:r w:rsidRPr="00282AC9">
        <w:rPr>
          <w:rFonts w:hint="cs"/>
          <w:sz w:val="27"/>
          <w:rtl/>
          <w:lang w:bidi="fa-IR"/>
        </w:rPr>
        <w:t>ل بسائر الأسباب.</w:t>
      </w:r>
    </w:p>
    <w:p w:rsidR="0062395A" w:rsidRPr="00282AC9" w:rsidRDefault="0062395A" w:rsidP="00495D24">
      <w:pPr>
        <w:rPr>
          <w:sz w:val="27"/>
          <w:rtl/>
          <w:lang w:bidi="fa-IR"/>
        </w:rPr>
      </w:pPr>
      <w:r w:rsidRPr="00282AC9">
        <w:rPr>
          <w:rFonts w:hint="cs"/>
          <w:sz w:val="27"/>
          <w:rtl/>
          <w:lang w:bidi="fa-IR"/>
        </w:rPr>
        <w:t>وقد اختاره المحقّ</w:t>
      </w:r>
      <w:r w:rsidR="008A6FFF" w:rsidRPr="00282AC9">
        <w:rPr>
          <w:rFonts w:hint="cs"/>
          <w:sz w:val="27"/>
          <w:rtl/>
          <w:lang w:bidi="fa-IR"/>
        </w:rPr>
        <w:t>ِ</w:t>
      </w:r>
      <w:r w:rsidRPr="00282AC9">
        <w:rPr>
          <w:rFonts w:hint="cs"/>
          <w:sz w:val="27"/>
          <w:rtl/>
          <w:lang w:bidi="fa-IR"/>
        </w:rPr>
        <w:t>ق الإيرواني مُصرّ</w:t>
      </w:r>
      <w:r w:rsidR="008A6FFF" w:rsidRPr="00282AC9">
        <w:rPr>
          <w:rFonts w:hint="cs"/>
          <w:sz w:val="27"/>
          <w:rtl/>
          <w:lang w:bidi="fa-IR"/>
        </w:rPr>
        <w:t>ِ</w:t>
      </w:r>
      <w:r w:rsidRPr="00282AC9">
        <w:rPr>
          <w:rFonts w:hint="cs"/>
          <w:sz w:val="27"/>
          <w:rtl/>
          <w:lang w:bidi="fa-IR"/>
        </w:rPr>
        <w:t xml:space="preserve">حاً بذلك، قال: </w:t>
      </w:r>
      <w:r w:rsidRPr="00282AC9">
        <w:rPr>
          <w:rFonts w:hint="cs"/>
          <w:sz w:val="24"/>
          <w:szCs w:val="24"/>
          <w:rtl/>
          <w:lang w:bidi="fa-IR"/>
        </w:rPr>
        <w:t>«</w:t>
      </w:r>
      <w:r w:rsidRPr="00282AC9">
        <w:rPr>
          <w:rFonts w:hint="cs"/>
          <w:sz w:val="27"/>
          <w:rtl/>
          <w:lang w:bidi="fa-IR"/>
        </w:rPr>
        <w:t>اعل</w:t>
      </w:r>
      <w:r w:rsidR="008A6FFF" w:rsidRPr="00282AC9">
        <w:rPr>
          <w:rFonts w:hint="cs"/>
          <w:sz w:val="27"/>
          <w:rtl/>
          <w:lang w:bidi="fa-IR"/>
        </w:rPr>
        <w:t>َ</w:t>
      </w:r>
      <w:r w:rsidRPr="00282AC9">
        <w:rPr>
          <w:rFonts w:hint="cs"/>
          <w:sz w:val="27"/>
          <w:rtl/>
          <w:lang w:bidi="fa-IR"/>
        </w:rPr>
        <w:t>م</w:t>
      </w:r>
      <w:r w:rsidR="008A6FFF" w:rsidRPr="00282AC9">
        <w:rPr>
          <w:rFonts w:hint="cs"/>
          <w:sz w:val="27"/>
          <w:rtl/>
          <w:lang w:bidi="fa-IR"/>
        </w:rPr>
        <w:t>ْ</w:t>
      </w:r>
      <w:r w:rsidRPr="00282AC9">
        <w:rPr>
          <w:rFonts w:hint="cs"/>
          <w:sz w:val="27"/>
          <w:rtl/>
          <w:lang w:bidi="fa-IR"/>
        </w:rPr>
        <w:t xml:space="preserve"> أنّ أُمّ</w:t>
      </w:r>
      <w:r w:rsidR="008A6FFF" w:rsidRPr="00282AC9">
        <w:rPr>
          <w:rFonts w:hint="cs"/>
          <w:sz w:val="27"/>
          <w:rtl/>
          <w:lang w:bidi="fa-IR"/>
        </w:rPr>
        <w:t>َ</w:t>
      </w:r>
      <w:r w:rsidRPr="00282AC9">
        <w:rPr>
          <w:rFonts w:hint="cs"/>
          <w:sz w:val="27"/>
          <w:rtl/>
          <w:lang w:bidi="fa-IR"/>
        </w:rPr>
        <w:t xml:space="preserve"> الأسباب المملّ</w:t>
      </w:r>
      <w:r w:rsidR="008A6FFF" w:rsidRPr="00282AC9">
        <w:rPr>
          <w:rFonts w:hint="cs"/>
          <w:sz w:val="27"/>
          <w:rtl/>
          <w:lang w:bidi="fa-IR"/>
        </w:rPr>
        <w:t>ِ</w:t>
      </w:r>
      <w:r w:rsidRPr="00282AC9">
        <w:rPr>
          <w:rFonts w:hint="cs"/>
          <w:sz w:val="27"/>
          <w:rtl/>
          <w:lang w:bidi="fa-IR"/>
        </w:rPr>
        <w:t>كة هي الحيازات، وكلّ</w:t>
      </w:r>
      <w:r w:rsidR="008A6FFF" w:rsidRPr="00282AC9">
        <w:rPr>
          <w:rFonts w:hint="cs"/>
          <w:sz w:val="27"/>
          <w:rtl/>
          <w:lang w:bidi="fa-IR"/>
        </w:rPr>
        <w:t>ُ</w:t>
      </w:r>
      <w:r w:rsidRPr="00282AC9">
        <w:rPr>
          <w:rFonts w:hint="cs"/>
          <w:sz w:val="27"/>
          <w:rtl/>
          <w:lang w:bidi="fa-IR"/>
        </w:rPr>
        <w:t xml:space="preserve"> ما عداها من الأسباب فهي متفرّ</w:t>
      </w:r>
      <w:r w:rsidR="008A6FFF" w:rsidRPr="00282AC9">
        <w:rPr>
          <w:rFonts w:hint="cs"/>
          <w:sz w:val="27"/>
          <w:rtl/>
          <w:lang w:bidi="fa-IR"/>
        </w:rPr>
        <w:t>ِ</w:t>
      </w:r>
      <w:r w:rsidRPr="00282AC9">
        <w:rPr>
          <w:rFonts w:hint="cs"/>
          <w:sz w:val="27"/>
          <w:rtl/>
          <w:lang w:bidi="fa-IR"/>
        </w:rPr>
        <w:t>عة</w:t>
      </w:r>
      <w:r w:rsidR="008A6FFF" w:rsidRPr="00282AC9">
        <w:rPr>
          <w:rFonts w:hint="cs"/>
          <w:sz w:val="27"/>
          <w:rtl/>
          <w:lang w:bidi="fa-IR"/>
        </w:rPr>
        <w:t>ٌ</w:t>
      </w:r>
      <w:r w:rsidRPr="00282AC9">
        <w:rPr>
          <w:rFonts w:hint="cs"/>
          <w:sz w:val="27"/>
          <w:rtl/>
          <w:lang w:bidi="fa-IR"/>
        </w:rPr>
        <w:t xml:space="preserve"> عليها</w:t>
      </w:r>
      <w:r w:rsidR="008A6FFF" w:rsidRPr="00282AC9">
        <w:rPr>
          <w:rFonts w:hint="cs"/>
          <w:sz w:val="27"/>
          <w:rtl/>
          <w:lang w:bidi="fa-IR"/>
        </w:rPr>
        <w:t>،</w:t>
      </w:r>
      <w:r w:rsidRPr="00282AC9">
        <w:rPr>
          <w:rFonts w:hint="cs"/>
          <w:sz w:val="27"/>
          <w:rtl/>
          <w:lang w:bidi="fa-IR"/>
        </w:rPr>
        <w:t xml:space="preserve"> واردة</w:t>
      </w:r>
      <w:r w:rsidR="008A6FFF" w:rsidRPr="00282AC9">
        <w:rPr>
          <w:rFonts w:hint="cs"/>
          <w:sz w:val="27"/>
          <w:rtl/>
          <w:lang w:bidi="fa-IR"/>
        </w:rPr>
        <w:t>ٌ</w:t>
      </w:r>
      <w:r w:rsidRPr="00282AC9">
        <w:rPr>
          <w:rFonts w:hint="cs"/>
          <w:sz w:val="27"/>
          <w:rtl/>
          <w:lang w:bidi="fa-IR"/>
        </w:rPr>
        <w:t xml:space="preserve"> في موضوعها، لا أنّها أسباب</w:t>
      </w:r>
      <w:r w:rsidR="008A6FFF" w:rsidRPr="00282AC9">
        <w:rPr>
          <w:rFonts w:hint="cs"/>
          <w:sz w:val="27"/>
          <w:rtl/>
          <w:lang w:bidi="fa-IR"/>
        </w:rPr>
        <w:t>ٌ</w:t>
      </w:r>
      <w:r w:rsidRPr="00282AC9">
        <w:rPr>
          <w:rFonts w:hint="cs"/>
          <w:sz w:val="27"/>
          <w:rtl/>
          <w:lang w:bidi="fa-IR"/>
        </w:rPr>
        <w:t xml:space="preserve"> في ع</w:t>
      </w:r>
      <w:r w:rsidR="008A6FFF" w:rsidRPr="00282AC9">
        <w:rPr>
          <w:rFonts w:hint="cs"/>
          <w:sz w:val="27"/>
          <w:rtl/>
          <w:lang w:bidi="fa-IR"/>
        </w:rPr>
        <w:t>َ</w:t>
      </w:r>
      <w:r w:rsidRPr="00282AC9">
        <w:rPr>
          <w:rFonts w:hint="cs"/>
          <w:sz w:val="27"/>
          <w:rtl/>
          <w:lang w:bidi="fa-IR"/>
        </w:rPr>
        <w:t>ر</w:t>
      </w:r>
      <w:r w:rsidR="008A6FFF" w:rsidRPr="00282AC9">
        <w:rPr>
          <w:rFonts w:hint="cs"/>
          <w:sz w:val="27"/>
          <w:rtl/>
          <w:lang w:bidi="fa-IR"/>
        </w:rPr>
        <w:t>ْ</w:t>
      </w:r>
      <w:r w:rsidRPr="00282AC9">
        <w:rPr>
          <w:rFonts w:hint="cs"/>
          <w:sz w:val="27"/>
          <w:rtl/>
          <w:lang w:bidi="fa-IR"/>
        </w:rPr>
        <w:t>ضها</w:t>
      </w:r>
      <w:r w:rsidR="008A6FFF" w:rsidRPr="00282AC9">
        <w:rPr>
          <w:rFonts w:hint="cs"/>
          <w:sz w:val="27"/>
          <w:rtl/>
          <w:lang w:bidi="fa-IR"/>
        </w:rPr>
        <w:t>.</w:t>
      </w:r>
      <w:r w:rsidRPr="00282AC9">
        <w:rPr>
          <w:rFonts w:hint="cs"/>
          <w:sz w:val="27"/>
          <w:rtl/>
          <w:lang w:bidi="fa-IR"/>
        </w:rPr>
        <w:t xml:space="preserve"> فكلّ الأموال كانت أجنبي</w:t>
      </w:r>
      <w:r w:rsidR="008A6FFF" w:rsidRPr="00282AC9">
        <w:rPr>
          <w:rFonts w:hint="cs"/>
          <w:sz w:val="27"/>
          <w:rtl/>
          <w:lang w:bidi="fa-IR"/>
        </w:rPr>
        <w:t>ّ</w:t>
      </w:r>
      <w:r w:rsidRPr="00282AC9">
        <w:rPr>
          <w:rFonts w:hint="cs"/>
          <w:sz w:val="27"/>
          <w:rtl/>
          <w:lang w:bidi="fa-IR"/>
        </w:rPr>
        <w:t>ة</w:t>
      </w:r>
      <w:r w:rsidR="008A6FFF" w:rsidRPr="00282AC9">
        <w:rPr>
          <w:rFonts w:hint="cs"/>
          <w:sz w:val="27"/>
          <w:rtl/>
          <w:lang w:bidi="fa-IR"/>
        </w:rPr>
        <w:t>ً</w:t>
      </w:r>
      <w:r w:rsidRPr="00282AC9">
        <w:rPr>
          <w:rFonts w:hint="cs"/>
          <w:sz w:val="27"/>
          <w:rtl/>
          <w:lang w:bidi="fa-IR"/>
        </w:rPr>
        <w:t xml:space="preserve"> عن الأشخاص، وكانت نسبتها</w:t>
      </w:r>
      <w:r w:rsidR="00BC0925" w:rsidRPr="00282AC9">
        <w:rPr>
          <w:rFonts w:hint="cs"/>
          <w:sz w:val="27"/>
          <w:rtl/>
          <w:lang w:bidi="fa-IR"/>
        </w:rPr>
        <w:t xml:space="preserve"> إلى </w:t>
      </w:r>
      <w:r w:rsidRPr="00282AC9">
        <w:rPr>
          <w:rFonts w:hint="cs"/>
          <w:sz w:val="27"/>
          <w:rtl/>
          <w:lang w:bidi="fa-IR"/>
        </w:rPr>
        <w:t>الكلّ نسبة</w:t>
      </w:r>
      <w:r w:rsidR="008A6FFF" w:rsidRPr="00282AC9">
        <w:rPr>
          <w:rFonts w:hint="cs"/>
          <w:sz w:val="27"/>
          <w:rtl/>
          <w:lang w:bidi="fa-IR"/>
        </w:rPr>
        <w:t>ً</w:t>
      </w:r>
      <w:r w:rsidRPr="00282AC9">
        <w:rPr>
          <w:rFonts w:hint="cs"/>
          <w:sz w:val="27"/>
          <w:rtl/>
          <w:lang w:bidi="fa-IR"/>
        </w:rPr>
        <w:t xml:space="preserve"> واحدة، وبالحيازة صارت مرتبطة</w:t>
      </w:r>
      <w:r w:rsidR="008A6FFF" w:rsidRPr="00282AC9">
        <w:rPr>
          <w:rFonts w:hint="cs"/>
          <w:sz w:val="27"/>
          <w:rtl/>
          <w:lang w:bidi="fa-IR"/>
        </w:rPr>
        <w:t>ً</w:t>
      </w:r>
      <w:r w:rsidRPr="00282AC9">
        <w:rPr>
          <w:rFonts w:hint="cs"/>
          <w:sz w:val="27"/>
          <w:rtl/>
          <w:lang w:bidi="fa-IR"/>
        </w:rPr>
        <w:t xml:space="preserve"> بالأشخاص</w:t>
      </w:r>
      <w:r w:rsidR="008A6FFF" w:rsidRPr="00282AC9">
        <w:rPr>
          <w:rFonts w:hint="cs"/>
          <w:sz w:val="27"/>
          <w:rtl/>
          <w:lang w:bidi="fa-IR"/>
        </w:rPr>
        <w:t>،</w:t>
      </w:r>
      <w:r w:rsidRPr="00282AC9">
        <w:rPr>
          <w:rFonts w:hint="cs"/>
          <w:sz w:val="27"/>
          <w:rtl/>
          <w:lang w:bidi="fa-IR"/>
        </w:rPr>
        <w:t xml:space="preserve"> وور</w:t>
      </w:r>
      <w:r w:rsidR="008A6FFF" w:rsidRPr="00282AC9">
        <w:rPr>
          <w:rFonts w:hint="cs"/>
          <w:sz w:val="27"/>
          <w:rtl/>
          <w:lang w:bidi="fa-IR"/>
        </w:rPr>
        <w:t>َ</w:t>
      </w:r>
      <w:r w:rsidRPr="00282AC9">
        <w:rPr>
          <w:rFonts w:hint="cs"/>
          <w:sz w:val="27"/>
          <w:rtl/>
          <w:lang w:bidi="fa-IR"/>
        </w:rPr>
        <w:t>د</w:t>
      </w:r>
      <w:r w:rsidR="008A6FFF" w:rsidRPr="00282AC9">
        <w:rPr>
          <w:rFonts w:hint="cs"/>
          <w:sz w:val="27"/>
          <w:rtl/>
          <w:lang w:bidi="fa-IR"/>
        </w:rPr>
        <w:t>َ</w:t>
      </w:r>
      <w:r w:rsidRPr="00282AC9">
        <w:rPr>
          <w:rFonts w:hint="cs"/>
          <w:sz w:val="27"/>
          <w:rtl/>
          <w:lang w:bidi="fa-IR"/>
        </w:rPr>
        <w:t>ت</w:t>
      </w:r>
      <w:r w:rsidR="008A6FFF" w:rsidRPr="00282AC9">
        <w:rPr>
          <w:rFonts w:hint="cs"/>
          <w:sz w:val="27"/>
          <w:rtl/>
          <w:lang w:bidi="fa-IR"/>
        </w:rPr>
        <w:t>ْ</w:t>
      </w:r>
      <w:r w:rsidRPr="00282AC9">
        <w:rPr>
          <w:rFonts w:hint="cs"/>
          <w:sz w:val="27"/>
          <w:rtl/>
          <w:lang w:bidi="fa-IR"/>
        </w:rPr>
        <w:t xml:space="preserve"> في سلطانها</w:t>
      </w:r>
      <w:r w:rsidR="008A6FFF" w:rsidRPr="00282AC9">
        <w:rPr>
          <w:rFonts w:hint="cs"/>
          <w:sz w:val="27"/>
          <w:rtl/>
          <w:lang w:bidi="fa-IR"/>
        </w:rPr>
        <w:t>،</w:t>
      </w:r>
      <w:r w:rsidRPr="00282AC9">
        <w:rPr>
          <w:rFonts w:hint="cs"/>
          <w:sz w:val="27"/>
          <w:rtl/>
          <w:lang w:bidi="fa-IR"/>
        </w:rPr>
        <w:t xml:space="preserve"> وصارت مملوكة</w:t>
      </w:r>
      <w:r w:rsidR="008A6FFF" w:rsidRPr="00282AC9">
        <w:rPr>
          <w:rFonts w:hint="cs"/>
          <w:sz w:val="27"/>
          <w:rtl/>
          <w:lang w:bidi="fa-IR"/>
        </w:rPr>
        <w:t>ً</w:t>
      </w:r>
      <w:r w:rsidRPr="00282AC9">
        <w:rPr>
          <w:rFonts w:hint="cs"/>
          <w:sz w:val="27"/>
          <w:rtl/>
          <w:lang w:bidi="fa-IR"/>
        </w:rPr>
        <w:t xml:space="preserve"> لها</w:t>
      </w:r>
      <w:r w:rsidR="008A6FFF" w:rsidRPr="00282AC9">
        <w:rPr>
          <w:rFonts w:hint="cs"/>
          <w:sz w:val="27"/>
          <w:rtl/>
          <w:lang w:bidi="fa-IR"/>
        </w:rPr>
        <w:t>.</w:t>
      </w:r>
      <w:r w:rsidRPr="00282AC9">
        <w:rPr>
          <w:rFonts w:hint="cs"/>
          <w:sz w:val="27"/>
          <w:rtl/>
          <w:lang w:bidi="fa-IR"/>
        </w:rPr>
        <w:t xml:space="preserve"> فالحيازة هي السبب الوحيد في حدوث الملك، لا سبب سواها</w:t>
      </w:r>
      <w:r w:rsidR="008A6FFF" w:rsidRPr="00282AC9">
        <w:rPr>
          <w:rFonts w:hint="cs"/>
          <w:sz w:val="27"/>
          <w:rtl/>
          <w:lang w:bidi="fa-IR"/>
        </w:rPr>
        <w:t>؛</w:t>
      </w:r>
      <w:r w:rsidRPr="00282AC9">
        <w:rPr>
          <w:rFonts w:hint="cs"/>
          <w:sz w:val="27"/>
          <w:rtl/>
          <w:lang w:bidi="fa-IR"/>
        </w:rPr>
        <w:t xml:space="preserve"> وأمّا سائر الأسباب فهي في المرتبة اللاحقة</w:t>
      </w:r>
      <w:r w:rsidRPr="00282AC9">
        <w:rPr>
          <w:rFonts w:hint="cs"/>
          <w:sz w:val="24"/>
          <w:szCs w:val="24"/>
          <w:rtl/>
          <w:lang w:bidi="fa-IR"/>
        </w:rPr>
        <w:t>»</w:t>
      </w:r>
      <w:r w:rsidRPr="00282AC9">
        <w:rPr>
          <w:sz w:val="27"/>
          <w:vertAlign w:val="superscript"/>
          <w:rtl/>
        </w:rPr>
        <w:t>(</w:t>
      </w:r>
      <w:r w:rsidRPr="00282AC9">
        <w:rPr>
          <w:sz w:val="27"/>
          <w:vertAlign w:val="superscript"/>
          <w:rtl/>
        </w:rPr>
        <w:endnoteReference w:id="990"/>
      </w:r>
      <w:r w:rsidRPr="00282AC9">
        <w:rPr>
          <w:rFonts w:hint="cs"/>
          <w:sz w:val="27"/>
          <w:vertAlign w:val="superscript"/>
          <w:rtl/>
        </w:rPr>
        <w:t>)</w:t>
      </w:r>
      <w:r w:rsidR="008A6FFF" w:rsidRPr="00282AC9">
        <w:rPr>
          <w:rFonts w:hint="cs"/>
          <w:sz w:val="27"/>
          <w:rtl/>
        </w:rPr>
        <w:t>.</w:t>
      </w:r>
      <w:r w:rsidRPr="00282AC9">
        <w:rPr>
          <w:rFonts w:hint="cs"/>
          <w:sz w:val="27"/>
          <w:rtl/>
        </w:rPr>
        <w:t xml:space="preserve"> ثمّ قال: </w:t>
      </w:r>
      <w:r w:rsidRPr="00282AC9">
        <w:rPr>
          <w:rFonts w:hint="cs"/>
          <w:sz w:val="24"/>
          <w:szCs w:val="24"/>
          <w:rtl/>
          <w:lang w:bidi="fa-IR"/>
        </w:rPr>
        <w:t>«</w:t>
      </w:r>
      <w:r w:rsidRPr="00282AC9">
        <w:rPr>
          <w:rFonts w:hint="cs"/>
          <w:sz w:val="27"/>
          <w:rtl/>
          <w:lang w:bidi="fa-IR"/>
        </w:rPr>
        <w:t>كما تحدث السلطنة بالحيازة تنتقل السلطنة من شخص</w:t>
      </w:r>
      <w:r w:rsidR="008A6FFF" w:rsidRPr="00282AC9">
        <w:rPr>
          <w:rFonts w:hint="cs"/>
          <w:sz w:val="27"/>
          <w:rtl/>
          <w:lang w:bidi="fa-IR"/>
        </w:rPr>
        <w:t>ٍ</w:t>
      </w:r>
      <w:r w:rsidR="00BC0925" w:rsidRPr="00282AC9">
        <w:rPr>
          <w:rFonts w:hint="cs"/>
          <w:sz w:val="27"/>
          <w:rtl/>
          <w:lang w:bidi="fa-IR"/>
        </w:rPr>
        <w:t xml:space="preserve"> إلى </w:t>
      </w:r>
      <w:r w:rsidRPr="00282AC9">
        <w:rPr>
          <w:rFonts w:hint="cs"/>
          <w:sz w:val="27"/>
          <w:rtl/>
          <w:lang w:bidi="fa-IR"/>
        </w:rPr>
        <w:t>آخر بالمعاملات الاختياري</w:t>
      </w:r>
      <w:r w:rsidR="008A6FFF" w:rsidRPr="00282AC9">
        <w:rPr>
          <w:rFonts w:hint="cs"/>
          <w:sz w:val="27"/>
          <w:rtl/>
          <w:lang w:bidi="fa-IR"/>
        </w:rPr>
        <w:t>ّ</w:t>
      </w:r>
      <w:r w:rsidRPr="00282AC9">
        <w:rPr>
          <w:rFonts w:hint="cs"/>
          <w:sz w:val="27"/>
          <w:rtl/>
          <w:lang w:bidi="fa-IR"/>
        </w:rPr>
        <w:t>ة، وكذا بالنواقل القهرية</w:t>
      </w:r>
      <w:r w:rsidR="008A6FFF" w:rsidRPr="00282AC9">
        <w:rPr>
          <w:rFonts w:hint="cs"/>
          <w:sz w:val="27"/>
          <w:rtl/>
          <w:lang w:bidi="fa-IR"/>
        </w:rPr>
        <w:t>،</w:t>
      </w:r>
      <w:r w:rsidRPr="00282AC9">
        <w:rPr>
          <w:rFonts w:hint="cs"/>
          <w:sz w:val="27"/>
          <w:rtl/>
          <w:lang w:bidi="fa-IR"/>
        </w:rPr>
        <w:t xml:space="preserve"> كالإرث</w:t>
      </w:r>
      <w:r w:rsidR="008A6FFF" w:rsidRPr="00282AC9">
        <w:rPr>
          <w:rFonts w:hint="cs"/>
          <w:sz w:val="27"/>
          <w:rtl/>
          <w:lang w:bidi="fa-IR"/>
        </w:rPr>
        <w:t>.</w:t>
      </w:r>
      <w:r w:rsidRPr="00282AC9">
        <w:rPr>
          <w:rFonts w:hint="cs"/>
          <w:sz w:val="27"/>
          <w:rtl/>
          <w:lang w:bidi="fa-IR"/>
        </w:rPr>
        <w:t xml:space="preserve"> فكلّ المعاملات معاملات</w:t>
      </w:r>
      <w:r w:rsidR="008A6FFF" w:rsidRPr="00282AC9">
        <w:rPr>
          <w:rFonts w:hint="cs"/>
          <w:sz w:val="27"/>
          <w:rtl/>
          <w:lang w:bidi="fa-IR"/>
        </w:rPr>
        <w:t>ٌ</w:t>
      </w:r>
      <w:r w:rsidRPr="00282AC9">
        <w:rPr>
          <w:rFonts w:hint="cs"/>
          <w:sz w:val="27"/>
          <w:rtl/>
          <w:lang w:bidi="fa-IR"/>
        </w:rPr>
        <w:t xml:space="preserve"> </w:t>
      </w:r>
      <w:r w:rsidR="008A6FFF" w:rsidRPr="00282AC9">
        <w:rPr>
          <w:rFonts w:hint="cs"/>
          <w:sz w:val="27"/>
          <w:rtl/>
          <w:lang w:bidi="fa-IR"/>
        </w:rPr>
        <w:t>موج</w:t>
      </w:r>
      <w:r w:rsidRPr="00282AC9">
        <w:rPr>
          <w:rFonts w:hint="cs"/>
          <w:sz w:val="27"/>
          <w:rtl/>
          <w:lang w:bidi="fa-IR"/>
        </w:rPr>
        <w:t>بة</w:t>
      </w:r>
      <w:r w:rsidR="008A6FFF" w:rsidRPr="00282AC9">
        <w:rPr>
          <w:rFonts w:hint="cs"/>
          <w:sz w:val="27"/>
          <w:rtl/>
          <w:lang w:bidi="fa-IR"/>
        </w:rPr>
        <w:t>ٌ</w:t>
      </w:r>
      <w:r w:rsidRPr="00282AC9">
        <w:rPr>
          <w:rFonts w:hint="cs"/>
          <w:sz w:val="27"/>
          <w:rtl/>
          <w:lang w:bidi="fa-IR"/>
        </w:rPr>
        <w:t xml:space="preserve"> لنقل الربط</w:t>
      </w:r>
      <w:r w:rsidR="00AF14DF" w:rsidRPr="00282AC9">
        <w:rPr>
          <w:rFonts w:hint="cs"/>
          <w:sz w:val="27"/>
          <w:rtl/>
          <w:lang w:bidi="fa-IR"/>
        </w:rPr>
        <w:t>،</w:t>
      </w:r>
      <w:r w:rsidRPr="00282AC9">
        <w:rPr>
          <w:rFonts w:hint="cs"/>
          <w:sz w:val="27"/>
          <w:rtl/>
          <w:lang w:bidi="fa-IR"/>
        </w:rPr>
        <w:t xml:space="preserve"> وتحويل السلطان من شخص</w:t>
      </w:r>
      <w:r w:rsidR="00AF14DF" w:rsidRPr="00282AC9">
        <w:rPr>
          <w:rFonts w:hint="cs"/>
          <w:sz w:val="27"/>
          <w:rtl/>
          <w:lang w:bidi="fa-IR"/>
        </w:rPr>
        <w:t>ٍ</w:t>
      </w:r>
      <w:r w:rsidR="00BC0925" w:rsidRPr="00282AC9">
        <w:rPr>
          <w:rFonts w:hint="cs"/>
          <w:sz w:val="27"/>
          <w:rtl/>
          <w:lang w:bidi="fa-IR"/>
        </w:rPr>
        <w:t xml:space="preserve"> إلى </w:t>
      </w:r>
      <w:r w:rsidRPr="00282AC9">
        <w:rPr>
          <w:rFonts w:hint="cs"/>
          <w:sz w:val="27"/>
          <w:rtl/>
          <w:lang w:bidi="fa-IR"/>
        </w:rPr>
        <w:t>آخر</w:t>
      </w:r>
      <w:r w:rsidRPr="00282AC9">
        <w:rPr>
          <w:rFonts w:hint="cs"/>
          <w:sz w:val="24"/>
          <w:szCs w:val="24"/>
          <w:rtl/>
          <w:lang w:bidi="fa-IR"/>
        </w:rPr>
        <w:t>»</w:t>
      </w:r>
      <w:r w:rsidRPr="00282AC9">
        <w:rPr>
          <w:sz w:val="27"/>
          <w:vertAlign w:val="superscript"/>
          <w:rtl/>
        </w:rPr>
        <w:t>(</w:t>
      </w:r>
      <w:r w:rsidRPr="00282AC9">
        <w:rPr>
          <w:sz w:val="27"/>
          <w:vertAlign w:val="superscript"/>
          <w:rtl/>
        </w:rPr>
        <w:endnoteReference w:id="991"/>
      </w:r>
      <w:r w:rsidRPr="00282AC9">
        <w:rPr>
          <w:rFonts w:hint="cs"/>
          <w:sz w:val="27"/>
          <w:vertAlign w:val="superscript"/>
          <w:rtl/>
        </w:rPr>
        <w:t>)</w:t>
      </w:r>
      <w:r w:rsidR="00AF14DF" w:rsidRPr="00282AC9">
        <w:rPr>
          <w:rFonts w:hint="cs"/>
          <w:sz w:val="27"/>
          <w:rtl/>
        </w:rPr>
        <w:t>.</w:t>
      </w:r>
      <w:r w:rsidRPr="00282AC9">
        <w:rPr>
          <w:rFonts w:hint="cs"/>
          <w:sz w:val="27"/>
          <w:rtl/>
        </w:rPr>
        <w:t xml:space="preserve"> وقال في موضع</w:t>
      </w:r>
      <w:r w:rsidR="00AF14DF" w:rsidRPr="00282AC9">
        <w:rPr>
          <w:rFonts w:hint="cs"/>
          <w:sz w:val="27"/>
          <w:rtl/>
        </w:rPr>
        <w:t>ٍ</w:t>
      </w:r>
      <w:r w:rsidRPr="00282AC9">
        <w:rPr>
          <w:rFonts w:hint="cs"/>
          <w:sz w:val="27"/>
          <w:rtl/>
        </w:rPr>
        <w:t xml:space="preserve"> آخر: </w:t>
      </w:r>
      <w:r w:rsidRPr="00282AC9">
        <w:rPr>
          <w:rFonts w:hint="cs"/>
          <w:sz w:val="24"/>
          <w:szCs w:val="24"/>
          <w:rtl/>
          <w:lang w:bidi="fa-IR"/>
        </w:rPr>
        <w:t>«</w:t>
      </w:r>
      <w:r w:rsidRPr="00282AC9">
        <w:rPr>
          <w:rFonts w:hint="cs"/>
          <w:sz w:val="27"/>
          <w:rtl/>
          <w:lang w:bidi="fa-IR"/>
        </w:rPr>
        <w:t>وقد عرف</w:t>
      </w:r>
      <w:r w:rsidR="00AF14DF" w:rsidRPr="00282AC9">
        <w:rPr>
          <w:rFonts w:hint="cs"/>
          <w:sz w:val="27"/>
          <w:rtl/>
          <w:lang w:bidi="fa-IR"/>
        </w:rPr>
        <w:t>ْ</w:t>
      </w:r>
      <w:r w:rsidRPr="00282AC9">
        <w:rPr>
          <w:rFonts w:hint="cs"/>
          <w:sz w:val="27"/>
          <w:rtl/>
          <w:lang w:bidi="fa-IR"/>
        </w:rPr>
        <w:t>ت</w:t>
      </w:r>
      <w:r w:rsidR="00AF14DF" w:rsidRPr="00282AC9">
        <w:rPr>
          <w:rFonts w:hint="cs"/>
          <w:sz w:val="27"/>
          <w:rtl/>
          <w:lang w:bidi="fa-IR"/>
        </w:rPr>
        <w:t>َ</w:t>
      </w:r>
      <w:r w:rsidRPr="00282AC9">
        <w:rPr>
          <w:rFonts w:hint="cs"/>
          <w:sz w:val="27"/>
          <w:rtl/>
          <w:lang w:bidi="fa-IR"/>
        </w:rPr>
        <w:t xml:space="preserve"> أنّ أُمّ</w:t>
      </w:r>
      <w:r w:rsidR="00AF14DF" w:rsidRPr="00282AC9">
        <w:rPr>
          <w:rFonts w:hint="cs"/>
          <w:sz w:val="27"/>
          <w:rtl/>
          <w:lang w:bidi="fa-IR"/>
        </w:rPr>
        <w:t xml:space="preserve">َ </w:t>
      </w:r>
      <w:r w:rsidRPr="00282AC9">
        <w:rPr>
          <w:rFonts w:hint="cs"/>
          <w:sz w:val="27"/>
          <w:rtl/>
          <w:lang w:bidi="fa-IR"/>
        </w:rPr>
        <w:t>المملِّكات هي الحيازات، وكلّ ما عداها من النواقل فهي تنتهي</w:t>
      </w:r>
      <w:r w:rsidR="00BC0925" w:rsidRPr="00282AC9">
        <w:rPr>
          <w:rFonts w:hint="cs"/>
          <w:sz w:val="27"/>
          <w:rtl/>
          <w:lang w:bidi="fa-IR"/>
        </w:rPr>
        <w:t xml:space="preserve"> إلى </w:t>
      </w:r>
      <w:r w:rsidRPr="00282AC9">
        <w:rPr>
          <w:rFonts w:hint="cs"/>
          <w:sz w:val="27"/>
          <w:rtl/>
          <w:lang w:bidi="fa-IR"/>
        </w:rPr>
        <w:t>الحيازات لا محالة؛ فإن</w:t>
      </w:r>
      <w:r w:rsidR="00AF14DF" w:rsidRPr="00282AC9">
        <w:rPr>
          <w:rFonts w:hint="cs"/>
          <w:sz w:val="27"/>
          <w:rtl/>
          <w:lang w:bidi="fa-IR"/>
        </w:rPr>
        <w:t>ْ</w:t>
      </w:r>
      <w:r w:rsidRPr="00282AC9">
        <w:rPr>
          <w:rFonts w:hint="cs"/>
          <w:sz w:val="27"/>
          <w:rtl/>
          <w:lang w:bidi="fa-IR"/>
        </w:rPr>
        <w:t xml:space="preserve"> مل</w:t>
      </w:r>
      <w:r w:rsidR="00AF14DF" w:rsidRPr="00282AC9">
        <w:rPr>
          <w:rFonts w:hint="cs"/>
          <w:sz w:val="27"/>
          <w:rtl/>
          <w:lang w:bidi="fa-IR"/>
        </w:rPr>
        <w:t>َ</w:t>
      </w:r>
      <w:r w:rsidRPr="00282AC9">
        <w:rPr>
          <w:rFonts w:hint="cs"/>
          <w:sz w:val="27"/>
          <w:rtl/>
          <w:lang w:bidi="fa-IR"/>
        </w:rPr>
        <w:t>ك</w:t>
      </w:r>
      <w:r w:rsidR="00AF14DF" w:rsidRPr="00282AC9">
        <w:rPr>
          <w:rFonts w:hint="cs"/>
          <w:sz w:val="27"/>
          <w:rtl/>
          <w:lang w:bidi="fa-IR"/>
        </w:rPr>
        <w:t>ْ</w:t>
      </w:r>
      <w:r w:rsidRPr="00282AC9">
        <w:rPr>
          <w:rFonts w:hint="cs"/>
          <w:sz w:val="27"/>
          <w:rtl/>
          <w:lang w:bidi="fa-IR"/>
        </w:rPr>
        <w:t xml:space="preserve">نا شيئاً </w:t>
      </w:r>
      <w:r w:rsidRPr="00282AC9">
        <w:rPr>
          <w:rFonts w:hint="cs"/>
          <w:sz w:val="27"/>
          <w:rtl/>
          <w:lang w:bidi="fa-IR"/>
        </w:rPr>
        <w:lastRenderedPageBreak/>
        <w:t>بالشراء فقد مل</w:t>
      </w:r>
      <w:r w:rsidR="00AF14DF" w:rsidRPr="00282AC9">
        <w:rPr>
          <w:rFonts w:hint="cs"/>
          <w:sz w:val="27"/>
          <w:rtl/>
          <w:lang w:bidi="fa-IR"/>
        </w:rPr>
        <w:t>َ</w:t>
      </w:r>
      <w:r w:rsidRPr="00282AC9">
        <w:rPr>
          <w:rFonts w:hint="cs"/>
          <w:sz w:val="27"/>
          <w:rtl/>
          <w:lang w:bidi="fa-IR"/>
        </w:rPr>
        <w:t>ك</w:t>
      </w:r>
      <w:r w:rsidR="00AF14DF" w:rsidRPr="00282AC9">
        <w:rPr>
          <w:rFonts w:hint="cs"/>
          <w:sz w:val="27"/>
          <w:rtl/>
          <w:lang w:bidi="fa-IR"/>
        </w:rPr>
        <w:t>ْ</w:t>
      </w:r>
      <w:r w:rsidRPr="00282AC9">
        <w:rPr>
          <w:rFonts w:hint="cs"/>
          <w:sz w:val="27"/>
          <w:rtl/>
          <w:lang w:bidi="fa-IR"/>
        </w:rPr>
        <w:t>ناه بحيازتنا للثمن</w:t>
      </w:r>
      <w:r w:rsidR="00AF14DF" w:rsidRPr="00282AC9">
        <w:rPr>
          <w:rFonts w:hint="cs"/>
          <w:sz w:val="27"/>
          <w:rtl/>
          <w:lang w:bidi="fa-IR"/>
        </w:rPr>
        <w:t>،</w:t>
      </w:r>
      <w:r w:rsidRPr="00282AC9">
        <w:rPr>
          <w:rFonts w:hint="cs"/>
          <w:sz w:val="27"/>
          <w:rtl/>
          <w:lang w:bidi="fa-IR"/>
        </w:rPr>
        <w:t xml:space="preserve"> ولو بوسائط</w:t>
      </w:r>
      <w:r w:rsidR="00AF14DF" w:rsidRPr="00282AC9">
        <w:rPr>
          <w:rFonts w:hint="cs"/>
          <w:sz w:val="27"/>
          <w:rtl/>
          <w:lang w:bidi="fa-IR"/>
        </w:rPr>
        <w:t>؛</w:t>
      </w:r>
      <w:r w:rsidRPr="00282AC9">
        <w:rPr>
          <w:rFonts w:hint="cs"/>
          <w:sz w:val="27"/>
          <w:rtl/>
          <w:lang w:bidi="fa-IR"/>
        </w:rPr>
        <w:t xml:space="preserve"> أو مل</w:t>
      </w:r>
      <w:r w:rsidR="00AF14DF" w:rsidRPr="00282AC9">
        <w:rPr>
          <w:rFonts w:hint="cs"/>
          <w:sz w:val="27"/>
          <w:rtl/>
          <w:lang w:bidi="fa-IR"/>
        </w:rPr>
        <w:t>َ</w:t>
      </w:r>
      <w:r w:rsidRPr="00282AC9">
        <w:rPr>
          <w:rFonts w:hint="cs"/>
          <w:sz w:val="27"/>
          <w:rtl/>
          <w:lang w:bidi="fa-IR"/>
        </w:rPr>
        <w:t>ك</w:t>
      </w:r>
      <w:r w:rsidR="00AF14DF" w:rsidRPr="00282AC9">
        <w:rPr>
          <w:rFonts w:hint="cs"/>
          <w:sz w:val="27"/>
          <w:rtl/>
          <w:lang w:bidi="fa-IR"/>
        </w:rPr>
        <w:t>ْ</w:t>
      </w:r>
      <w:r w:rsidRPr="00282AC9">
        <w:rPr>
          <w:rFonts w:hint="cs"/>
          <w:sz w:val="27"/>
          <w:rtl/>
          <w:lang w:bidi="fa-IR"/>
        </w:rPr>
        <w:t>نا شيئاً بالهبة أو بالإرث فقد مل</w:t>
      </w:r>
      <w:r w:rsidR="00AF14DF" w:rsidRPr="00282AC9">
        <w:rPr>
          <w:rFonts w:hint="cs"/>
          <w:sz w:val="27"/>
          <w:rtl/>
          <w:lang w:bidi="fa-IR"/>
        </w:rPr>
        <w:t>َ</w:t>
      </w:r>
      <w:r w:rsidRPr="00282AC9">
        <w:rPr>
          <w:rFonts w:hint="cs"/>
          <w:sz w:val="27"/>
          <w:rtl/>
          <w:lang w:bidi="fa-IR"/>
        </w:rPr>
        <w:t>ك</w:t>
      </w:r>
      <w:r w:rsidR="00AF14DF" w:rsidRPr="00282AC9">
        <w:rPr>
          <w:rFonts w:hint="cs"/>
          <w:sz w:val="27"/>
          <w:rtl/>
          <w:lang w:bidi="fa-IR"/>
        </w:rPr>
        <w:t>ْ</w:t>
      </w:r>
      <w:r w:rsidRPr="00282AC9">
        <w:rPr>
          <w:rFonts w:hint="cs"/>
          <w:sz w:val="27"/>
          <w:rtl/>
          <w:lang w:bidi="fa-IR"/>
        </w:rPr>
        <w:t>ناه بحيازة م</w:t>
      </w:r>
      <w:r w:rsidR="00AF14DF" w:rsidRPr="00282AC9">
        <w:rPr>
          <w:rFonts w:hint="cs"/>
          <w:sz w:val="27"/>
          <w:rtl/>
          <w:lang w:bidi="fa-IR"/>
        </w:rPr>
        <w:t>َ</w:t>
      </w:r>
      <w:r w:rsidRPr="00282AC9">
        <w:rPr>
          <w:rFonts w:hint="cs"/>
          <w:sz w:val="27"/>
          <w:rtl/>
          <w:lang w:bidi="fa-IR"/>
        </w:rPr>
        <w:t>ن</w:t>
      </w:r>
      <w:r w:rsidR="00AF14DF" w:rsidRPr="00282AC9">
        <w:rPr>
          <w:rFonts w:hint="cs"/>
          <w:sz w:val="27"/>
          <w:rtl/>
          <w:lang w:bidi="fa-IR"/>
        </w:rPr>
        <w:t>ْ</w:t>
      </w:r>
      <w:r w:rsidRPr="00282AC9">
        <w:rPr>
          <w:rFonts w:hint="cs"/>
          <w:sz w:val="27"/>
          <w:rtl/>
          <w:lang w:bidi="fa-IR"/>
        </w:rPr>
        <w:t xml:space="preserve"> انتقل المال منه إلينا</w:t>
      </w:r>
      <w:r w:rsidR="00AF14DF" w:rsidRPr="00282AC9">
        <w:rPr>
          <w:rFonts w:hint="cs"/>
          <w:sz w:val="27"/>
          <w:rtl/>
          <w:lang w:bidi="fa-IR"/>
        </w:rPr>
        <w:t>،</w:t>
      </w:r>
      <w:r w:rsidRPr="00282AC9">
        <w:rPr>
          <w:rFonts w:hint="cs"/>
          <w:sz w:val="27"/>
          <w:rtl/>
          <w:lang w:bidi="fa-IR"/>
        </w:rPr>
        <w:t xml:space="preserve"> بما أنّ حيازته حيازتنا</w:t>
      </w:r>
      <w:r w:rsidR="00AF14DF" w:rsidRPr="00282AC9">
        <w:rPr>
          <w:rFonts w:hint="cs"/>
          <w:sz w:val="27"/>
          <w:rtl/>
          <w:lang w:bidi="fa-IR"/>
        </w:rPr>
        <w:t>،</w:t>
      </w:r>
      <w:r w:rsidRPr="00282AC9">
        <w:rPr>
          <w:rFonts w:hint="cs"/>
          <w:sz w:val="27"/>
          <w:rtl/>
          <w:lang w:bidi="fa-IR"/>
        </w:rPr>
        <w:t xml:space="preserve"> كما في الإرث، أو بتفويض</w:t>
      </w:r>
      <w:r w:rsidR="00AF14DF" w:rsidRPr="00282AC9">
        <w:rPr>
          <w:rFonts w:hint="cs"/>
          <w:sz w:val="27"/>
          <w:rtl/>
          <w:lang w:bidi="fa-IR"/>
        </w:rPr>
        <w:t>ٍ</w:t>
      </w:r>
      <w:r w:rsidRPr="00282AC9">
        <w:rPr>
          <w:rFonts w:hint="cs"/>
          <w:sz w:val="27"/>
          <w:rtl/>
          <w:lang w:bidi="fa-IR"/>
        </w:rPr>
        <w:t xml:space="preserve"> منه حقّ حيازته إلينا</w:t>
      </w:r>
      <w:r w:rsidR="00AF14DF" w:rsidRPr="00282AC9">
        <w:rPr>
          <w:rFonts w:hint="cs"/>
          <w:sz w:val="27"/>
          <w:rtl/>
          <w:lang w:bidi="fa-IR"/>
        </w:rPr>
        <w:t>،</w:t>
      </w:r>
      <w:r w:rsidRPr="00282AC9">
        <w:rPr>
          <w:rFonts w:hint="cs"/>
          <w:sz w:val="27"/>
          <w:rtl/>
          <w:lang w:bidi="fa-IR"/>
        </w:rPr>
        <w:t xml:space="preserve"> كما في الهبة</w:t>
      </w:r>
      <w:r w:rsidRPr="00282AC9">
        <w:rPr>
          <w:rFonts w:hint="cs"/>
          <w:sz w:val="24"/>
          <w:szCs w:val="24"/>
          <w:rtl/>
          <w:lang w:bidi="fa-IR"/>
        </w:rPr>
        <w:t>»</w:t>
      </w:r>
      <w:r w:rsidRPr="00282AC9">
        <w:rPr>
          <w:sz w:val="27"/>
          <w:vertAlign w:val="superscript"/>
          <w:rtl/>
        </w:rPr>
        <w:t>(</w:t>
      </w:r>
      <w:r w:rsidRPr="00282AC9">
        <w:rPr>
          <w:sz w:val="27"/>
          <w:vertAlign w:val="superscript"/>
          <w:rtl/>
        </w:rPr>
        <w:endnoteReference w:id="992"/>
      </w:r>
      <w:r w:rsidRPr="00282AC9">
        <w:rPr>
          <w:rFonts w:hint="cs"/>
          <w:sz w:val="27"/>
          <w:vertAlign w:val="superscript"/>
          <w:rtl/>
        </w:rPr>
        <w:t>)</w:t>
      </w:r>
      <w:r w:rsidRPr="00282AC9">
        <w:rPr>
          <w:rFonts w:hint="cs"/>
          <w:sz w:val="27"/>
          <w:rtl/>
        </w:rPr>
        <w:t>.</w:t>
      </w:r>
    </w:p>
    <w:p w:rsidR="000F0B20" w:rsidRPr="00282AC9" w:rsidRDefault="000F0B20" w:rsidP="000F0B20">
      <w:pPr>
        <w:spacing w:line="420" w:lineRule="exact"/>
        <w:rPr>
          <w:sz w:val="27"/>
          <w:rtl/>
        </w:rPr>
      </w:pPr>
    </w:p>
    <w:p w:rsidR="0062395A" w:rsidRPr="00282AC9" w:rsidRDefault="00F73556" w:rsidP="00715FC8">
      <w:pPr>
        <w:pStyle w:val="31"/>
        <w:rPr>
          <w:color w:val="auto"/>
          <w:rtl/>
          <w:lang w:bidi="fa-IR"/>
        </w:rPr>
      </w:pPr>
      <w:r w:rsidRPr="00282AC9">
        <w:rPr>
          <w:rFonts w:hint="cs"/>
          <w:color w:val="auto"/>
          <w:rtl/>
          <w:lang w:bidi="fa-IR"/>
        </w:rPr>
        <w:t>نقدٌ وتحقيق</w:t>
      </w:r>
    </w:p>
    <w:p w:rsidR="0062395A" w:rsidRPr="00282AC9" w:rsidRDefault="0062395A" w:rsidP="00495D24">
      <w:pPr>
        <w:rPr>
          <w:sz w:val="27"/>
          <w:rtl/>
          <w:lang w:bidi="fa-IR"/>
        </w:rPr>
      </w:pPr>
      <w:r w:rsidRPr="00282AC9">
        <w:rPr>
          <w:rFonts w:hint="cs"/>
          <w:sz w:val="27"/>
          <w:rtl/>
        </w:rPr>
        <w:t>1ـ إنّ كون الحيازة سبباً للم</w:t>
      </w:r>
      <w:r w:rsidR="00AF14DF" w:rsidRPr="00282AC9">
        <w:rPr>
          <w:rFonts w:hint="cs"/>
          <w:sz w:val="27"/>
          <w:rtl/>
        </w:rPr>
        <w:t>ِ</w:t>
      </w:r>
      <w:r w:rsidRPr="00282AC9">
        <w:rPr>
          <w:rFonts w:hint="cs"/>
          <w:sz w:val="27"/>
          <w:rtl/>
        </w:rPr>
        <w:t>ل</w:t>
      </w:r>
      <w:r w:rsidR="00AF14DF" w:rsidRPr="00282AC9">
        <w:rPr>
          <w:rFonts w:hint="cs"/>
          <w:sz w:val="27"/>
          <w:rtl/>
        </w:rPr>
        <w:t>ْ</w:t>
      </w:r>
      <w:r w:rsidRPr="00282AC9">
        <w:rPr>
          <w:rFonts w:hint="cs"/>
          <w:sz w:val="27"/>
          <w:rtl/>
        </w:rPr>
        <w:t>كي</w:t>
      </w:r>
      <w:r w:rsidR="00AF14DF" w:rsidRPr="00282AC9">
        <w:rPr>
          <w:rFonts w:hint="cs"/>
          <w:sz w:val="27"/>
          <w:rtl/>
        </w:rPr>
        <w:t>ّ</w:t>
      </w:r>
      <w:r w:rsidRPr="00282AC9">
        <w:rPr>
          <w:rFonts w:hint="cs"/>
          <w:sz w:val="27"/>
          <w:rtl/>
        </w:rPr>
        <w:t>ة عقلائي</w:t>
      </w:r>
      <w:r w:rsidR="00AF14DF" w:rsidRPr="00282AC9">
        <w:rPr>
          <w:rFonts w:hint="cs"/>
          <w:sz w:val="27"/>
          <w:rtl/>
        </w:rPr>
        <w:t>ّ</w:t>
      </w:r>
      <w:r w:rsidRPr="00282AC9">
        <w:rPr>
          <w:rFonts w:hint="cs"/>
          <w:sz w:val="27"/>
          <w:rtl/>
        </w:rPr>
        <w:t>اً أمر</w:t>
      </w:r>
      <w:r w:rsidR="00AF14DF" w:rsidRPr="00282AC9">
        <w:rPr>
          <w:rFonts w:hint="cs"/>
          <w:sz w:val="27"/>
          <w:rtl/>
        </w:rPr>
        <w:t>ٌ</w:t>
      </w:r>
      <w:r w:rsidRPr="00282AC9">
        <w:rPr>
          <w:rFonts w:hint="cs"/>
          <w:sz w:val="27"/>
          <w:rtl/>
        </w:rPr>
        <w:t xml:space="preserve"> </w:t>
      </w:r>
      <w:r w:rsidR="00674EF5" w:rsidRPr="00282AC9">
        <w:rPr>
          <w:rFonts w:hint="cs"/>
          <w:sz w:val="27"/>
          <w:rtl/>
        </w:rPr>
        <w:t>لا رَيْبَ</w:t>
      </w:r>
      <w:r w:rsidRPr="00282AC9">
        <w:rPr>
          <w:rFonts w:hint="cs"/>
          <w:sz w:val="27"/>
          <w:rtl/>
        </w:rPr>
        <w:t xml:space="preserve"> فيه، إلا</w:t>
      </w:r>
      <w:r w:rsidR="00AF14DF" w:rsidRPr="00282AC9">
        <w:rPr>
          <w:rFonts w:hint="cs"/>
          <w:sz w:val="27"/>
          <w:rtl/>
        </w:rPr>
        <w:t>ّ</w:t>
      </w:r>
      <w:r w:rsidRPr="00282AC9">
        <w:rPr>
          <w:rFonts w:hint="cs"/>
          <w:sz w:val="27"/>
          <w:rtl/>
        </w:rPr>
        <w:t xml:space="preserve"> أنّ جعلها السبب الرئيس فقط هو أمر</w:t>
      </w:r>
      <w:r w:rsidR="00AF14DF" w:rsidRPr="00282AC9">
        <w:rPr>
          <w:rFonts w:hint="cs"/>
          <w:sz w:val="27"/>
          <w:rtl/>
        </w:rPr>
        <w:t>ٌ</w:t>
      </w:r>
      <w:r w:rsidRPr="00282AC9">
        <w:rPr>
          <w:rFonts w:hint="cs"/>
          <w:sz w:val="27"/>
          <w:rtl/>
        </w:rPr>
        <w:t xml:space="preserve"> غير صحيح؛ فإنّ هناك سبباً أصلي</w:t>
      </w:r>
      <w:r w:rsidR="00AF14DF" w:rsidRPr="00282AC9">
        <w:rPr>
          <w:rFonts w:hint="cs"/>
          <w:sz w:val="27"/>
          <w:rtl/>
        </w:rPr>
        <w:t>ّ</w:t>
      </w:r>
      <w:r w:rsidRPr="00282AC9">
        <w:rPr>
          <w:rFonts w:hint="cs"/>
          <w:sz w:val="27"/>
          <w:rtl/>
        </w:rPr>
        <w:t>اً آخر</w:t>
      </w:r>
      <w:r w:rsidR="00AF14DF" w:rsidRPr="00282AC9">
        <w:rPr>
          <w:rFonts w:hint="cs"/>
          <w:sz w:val="27"/>
          <w:rtl/>
        </w:rPr>
        <w:t>، وهو الصنع والعلاج، بل لا ي</w:t>
      </w:r>
      <w:r w:rsidRPr="00282AC9">
        <w:rPr>
          <w:rFonts w:hint="cs"/>
          <w:sz w:val="27"/>
          <w:rtl/>
        </w:rPr>
        <w:t>مكن إرجاع كلّ</w:t>
      </w:r>
      <w:r w:rsidR="00AF14DF" w:rsidRPr="00282AC9">
        <w:rPr>
          <w:rFonts w:hint="cs"/>
          <w:sz w:val="27"/>
          <w:rtl/>
        </w:rPr>
        <w:t>ِ</w:t>
      </w:r>
      <w:r w:rsidRPr="00282AC9">
        <w:rPr>
          <w:rFonts w:hint="cs"/>
          <w:sz w:val="27"/>
          <w:rtl/>
        </w:rPr>
        <w:t xml:space="preserve"> المُملِّكات</w:t>
      </w:r>
      <w:r w:rsidR="00BC0925" w:rsidRPr="00282AC9">
        <w:rPr>
          <w:rFonts w:hint="cs"/>
          <w:sz w:val="27"/>
          <w:rtl/>
        </w:rPr>
        <w:t xml:space="preserve"> إلى </w:t>
      </w:r>
      <w:r w:rsidRPr="00282AC9">
        <w:rPr>
          <w:rFonts w:hint="cs"/>
          <w:sz w:val="27"/>
          <w:rtl/>
        </w:rPr>
        <w:t>هذين السببين، كما سيأتي بيانه.</w:t>
      </w:r>
    </w:p>
    <w:p w:rsidR="002954C3" w:rsidRPr="00282AC9" w:rsidRDefault="0062395A" w:rsidP="00495D24">
      <w:pPr>
        <w:rPr>
          <w:sz w:val="27"/>
          <w:rtl/>
          <w:lang w:bidi="fa-IR"/>
        </w:rPr>
      </w:pPr>
      <w:r w:rsidRPr="00282AC9">
        <w:rPr>
          <w:rFonts w:hint="cs"/>
          <w:sz w:val="27"/>
          <w:rtl/>
        </w:rPr>
        <w:t>2ـ وأمّا ما ذك</w:t>
      </w:r>
      <w:r w:rsidR="00AF14DF" w:rsidRPr="00282AC9">
        <w:rPr>
          <w:rFonts w:hint="cs"/>
          <w:sz w:val="27"/>
          <w:rtl/>
        </w:rPr>
        <w:t>َ</w:t>
      </w:r>
      <w:r w:rsidRPr="00282AC9">
        <w:rPr>
          <w:rFonts w:hint="cs"/>
          <w:sz w:val="27"/>
          <w:rtl/>
        </w:rPr>
        <w:t>ر</w:t>
      </w:r>
      <w:r w:rsidR="00AF14DF" w:rsidRPr="00282AC9">
        <w:rPr>
          <w:rFonts w:hint="cs"/>
          <w:sz w:val="27"/>
          <w:rtl/>
        </w:rPr>
        <w:t>َ</w:t>
      </w:r>
      <w:r w:rsidRPr="00282AC9">
        <w:rPr>
          <w:rFonts w:hint="cs"/>
          <w:sz w:val="27"/>
          <w:rtl/>
        </w:rPr>
        <w:t>ه من تصوير لكيفي</w:t>
      </w:r>
      <w:r w:rsidR="00AF14DF" w:rsidRPr="00282AC9">
        <w:rPr>
          <w:rFonts w:hint="cs"/>
          <w:sz w:val="27"/>
          <w:rtl/>
        </w:rPr>
        <w:t>ّ</w:t>
      </w:r>
      <w:r w:rsidRPr="00282AC9">
        <w:rPr>
          <w:rFonts w:hint="cs"/>
          <w:sz w:val="27"/>
          <w:rtl/>
        </w:rPr>
        <w:t>ة إرجاع سائر الأسباب</w:t>
      </w:r>
      <w:r w:rsidR="00BC0925" w:rsidRPr="00282AC9">
        <w:rPr>
          <w:rFonts w:hint="cs"/>
          <w:sz w:val="27"/>
          <w:rtl/>
        </w:rPr>
        <w:t xml:space="preserve"> إلى </w:t>
      </w:r>
      <w:r w:rsidRPr="00282AC9">
        <w:rPr>
          <w:rFonts w:hint="cs"/>
          <w:sz w:val="27"/>
          <w:rtl/>
        </w:rPr>
        <w:t>الحيازة</w:t>
      </w:r>
      <w:r w:rsidR="00AF14DF" w:rsidRPr="00282AC9">
        <w:rPr>
          <w:rFonts w:hint="cs"/>
          <w:sz w:val="27"/>
          <w:rtl/>
        </w:rPr>
        <w:t>،</w:t>
      </w:r>
      <w:r w:rsidRPr="00282AC9">
        <w:rPr>
          <w:rFonts w:hint="cs"/>
          <w:sz w:val="27"/>
          <w:rtl/>
        </w:rPr>
        <w:t xml:space="preserve"> والأمثلة التي أوردها</w:t>
      </w:r>
      <w:r w:rsidR="00AF14DF" w:rsidRPr="00282AC9">
        <w:rPr>
          <w:rFonts w:hint="cs"/>
          <w:sz w:val="27"/>
          <w:rtl/>
        </w:rPr>
        <w:t>،</w:t>
      </w:r>
      <w:r w:rsidRPr="00282AC9">
        <w:rPr>
          <w:rFonts w:hint="cs"/>
          <w:sz w:val="27"/>
          <w:rtl/>
        </w:rPr>
        <w:t xml:space="preserve"> من قبيل</w:t>
      </w:r>
      <w:r w:rsidR="00AF14DF" w:rsidRPr="00282AC9">
        <w:rPr>
          <w:rFonts w:hint="cs"/>
          <w:sz w:val="27"/>
          <w:rtl/>
        </w:rPr>
        <w:t>:</w:t>
      </w:r>
      <w:r w:rsidRPr="00282AC9">
        <w:rPr>
          <w:rFonts w:hint="cs"/>
          <w:sz w:val="27"/>
          <w:rtl/>
        </w:rPr>
        <w:t xml:space="preserve"> كون م</w:t>
      </w:r>
      <w:r w:rsidR="00AF14DF" w:rsidRPr="00282AC9">
        <w:rPr>
          <w:rFonts w:hint="cs"/>
          <w:sz w:val="27"/>
          <w:rtl/>
        </w:rPr>
        <w:t>ِ</w:t>
      </w:r>
      <w:r w:rsidRPr="00282AC9">
        <w:rPr>
          <w:rFonts w:hint="cs"/>
          <w:sz w:val="27"/>
          <w:rtl/>
        </w:rPr>
        <w:t>ل</w:t>
      </w:r>
      <w:r w:rsidR="00AF14DF" w:rsidRPr="00282AC9">
        <w:rPr>
          <w:rFonts w:hint="cs"/>
          <w:sz w:val="27"/>
          <w:rtl/>
        </w:rPr>
        <w:t>ْ</w:t>
      </w:r>
      <w:r w:rsidRPr="00282AC9">
        <w:rPr>
          <w:rFonts w:hint="cs"/>
          <w:sz w:val="27"/>
          <w:rtl/>
        </w:rPr>
        <w:t>كي</w:t>
      </w:r>
      <w:r w:rsidR="00AF14DF" w:rsidRPr="00282AC9">
        <w:rPr>
          <w:rFonts w:hint="cs"/>
          <w:sz w:val="27"/>
          <w:rtl/>
        </w:rPr>
        <w:t>ّ</w:t>
      </w:r>
      <w:r w:rsidRPr="00282AC9">
        <w:rPr>
          <w:rFonts w:hint="cs"/>
          <w:sz w:val="27"/>
          <w:rtl/>
        </w:rPr>
        <w:t>ة شيء</w:t>
      </w:r>
      <w:r w:rsidR="00AF14DF" w:rsidRPr="00282AC9">
        <w:rPr>
          <w:rFonts w:hint="cs"/>
          <w:sz w:val="27"/>
          <w:rtl/>
        </w:rPr>
        <w:t>ٍ</w:t>
      </w:r>
      <w:r w:rsidRPr="00282AC9">
        <w:rPr>
          <w:rFonts w:hint="cs"/>
          <w:sz w:val="27"/>
          <w:rtl/>
        </w:rPr>
        <w:t xml:space="preserve"> بالشراء إنّما تتحقّ</w:t>
      </w:r>
      <w:r w:rsidR="00AF14DF" w:rsidRPr="00282AC9">
        <w:rPr>
          <w:rFonts w:hint="cs"/>
          <w:sz w:val="27"/>
          <w:rtl/>
        </w:rPr>
        <w:t>َ</w:t>
      </w:r>
      <w:r w:rsidRPr="00282AC9">
        <w:rPr>
          <w:rFonts w:hint="cs"/>
          <w:sz w:val="27"/>
          <w:rtl/>
        </w:rPr>
        <w:t>ق بحيازة الثمن</w:t>
      </w:r>
      <w:r w:rsidR="00AF14DF" w:rsidRPr="00282AC9">
        <w:rPr>
          <w:rFonts w:hint="cs"/>
          <w:sz w:val="27"/>
          <w:rtl/>
        </w:rPr>
        <w:t>،</w:t>
      </w:r>
      <w:r w:rsidRPr="00282AC9">
        <w:rPr>
          <w:rFonts w:hint="cs"/>
          <w:sz w:val="27"/>
          <w:rtl/>
        </w:rPr>
        <w:t xml:space="preserve"> ولو بوسائط</w:t>
      </w:r>
      <w:r w:rsidR="00AF14DF" w:rsidRPr="00282AC9">
        <w:rPr>
          <w:rFonts w:hint="cs"/>
          <w:sz w:val="27"/>
          <w:rtl/>
        </w:rPr>
        <w:t>، فهذا ممّا ي</w:t>
      </w:r>
      <w:r w:rsidRPr="00282AC9">
        <w:rPr>
          <w:rFonts w:hint="cs"/>
          <w:sz w:val="27"/>
          <w:rtl/>
        </w:rPr>
        <w:t>ثير العجب</w:t>
      </w:r>
      <w:r w:rsidR="00AF14DF" w:rsidRPr="00282AC9">
        <w:rPr>
          <w:rFonts w:hint="cs"/>
          <w:sz w:val="27"/>
          <w:rtl/>
        </w:rPr>
        <w:t>،</w:t>
      </w:r>
      <w:r w:rsidRPr="00282AC9">
        <w:rPr>
          <w:rFonts w:hint="cs"/>
          <w:sz w:val="27"/>
          <w:rtl/>
        </w:rPr>
        <w:t xml:space="preserve"> وممّا لا ينبغي صدوره من مثله؛ إذ </w:t>
      </w:r>
      <w:r w:rsidR="00AF14DF" w:rsidRPr="00282AC9">
        <w:rPr>
          <w:rFonts w:hint="cs"/>
          <w:sz w:val="27"/>
          <w:rtl/>
        </w:rPr>
        <w:t>إ</w:t>
      </w:r>
      <w:r w:rsidRPr="00282AC9">
        <w:rPr>
          <w:rFonts w:hint="cs"/>
          <w:sz w:val="27"/>
          <w:rtl/>
        </w:rPr>
        <w:t>نّ م</w:t>
      </w:r>
      <w:r w:rsidR="00AF14DF" w:rsidRPr="00282AC9">
        <w:rPr>
          <w:rFonts w:hint="cs"/>
          <w:sz w:val="27"/>
          <w:rtl/>
        </w:rPr>
        <w:t>ِ</w:t>
      </w:r>
      <w:r w:rsidRPr="00282AC9">
        <w:rPr>
          <w:rFonts w:hint="cs"/>
          <w:sz w:val="27"/>
          <w:rtl/>
        </w:rPr>
        <w:t>ل</w:t>
      </w:r>
      <w:r w:rsidR="00AF14DF" w:rsidRPr="00282AC9">
        <w:rPr>
          <w:rFonts w:hint="cs"/>
          <w:sz w:val="27"/>
          <w:rtl/>
        </w:rPr>
        <w:t>ْ</w:t>
      </w:r>
      <w:r w:rsidRPr="00282AC9">
        <w:rPr>
          <w:rFonts w:hint="cs"/>
          <w:sz w:val="27"/>
          <w:rtl/>
        </w:rPr>
        <w:t>كي</w:t>
      </w:r>
      <w:r w:rsidR="00AF14DF" w:rsidRPr="00282AC9">
        <w:rPr>
          <w:rFonts w:hint="cs"/>
          <w:sz w:val="27"/>
          <w:rtl/>
        </w:rPr>
        <w:t>ّ</w:t>
      </w:r>
      <w:r w:rsidRPr="00282AC9">
        <w:rPr>
          <w:rFonts w:hint="cs"/>
          <w:sz w:val="27"/>
          <w:rtl/>
        </w:rPr>
        <w:t>ة الثمن لم تحصل بسبب الحيازة، وإنّما بسبب النقل والتبادل، وهذه سببي</w:t>
      </w:r>
      <w:r w:rsidR="00AF14DF" w:rsidRPr="00282AC9">
        <w:rPr>
          <w:rFonts w:hint="cs"/>
          <w:sz w:val="27"/>
          <w:rtl/>
        </w:rPr>
        <w:t>ّ</w:t>
      </w:r>
      <w:r w:rsidRPr="00282AC9">
        <w:rPr>
          <w:rFonts w:hint="cs"/>
          <w:sz w:val="27"/>
          <w:rtl/>
        </w:rPr>
        <w:t>ة</w:t>
      </w:r>
      <w:r w:rsidR="00AF14DF" w:rsidRPr="00282AC9">
        <w:rPr>
          <w:rFonts w:hint="cs"/>
          <w:sz w:val="27"/>
          <w:rtl/>
        </w:rPr>
        <w:t>ٌ</w:t>
      </w:r>
      <w:r w:rsidRPr="00282AC9">
        <w:rPr>
          <w:rFonts w:hint="cs"/>
          <w:sz w:val="27"/>
          <w:rtl/>
        </w:rPr>
        <w:t xml:space="preserve"> مستقلّة</w:t>
      </w:r>
      <w:r w:rsidR="00AF14DF" w:rsidRPr="00282AC9">
        <w:rPr>
          <w:rFonts w:hint="cs"/>
          <w:sz w:val="27"/>
          <w:rtl/>
        </w:rPr>
        <w:t>ٌ</w:t>
      </w:r>
      <w:r w:rsidRPr="00282AC9">
        <w:rPr>
          <w:rFonts w:hint="cs"/>
          <w:sz w:val="27"/>
          <w:rtl/>
        </w:rPr>
        <w:t xml:space="preserve"> عن سببي</w:t>
      </w:r>
      <w:r w:rsidR="00AF14DF" w:rsidRPr="00282AC9">
        <w:rPr>
          <w:rFonts w:hint="cs"/>
          <w:sz w:val="27"/>
          <w:rtl/>
        </w:rPr>
        <w:t>ّ</w:t>
      </w:r>
      <w:r w:rsidRPr="00282AC9">
        <w:rPr>
          <w:rFonts w:hint="cs"/>
          <w:sz w:val="27"/>
          <w:rtl/>
        </w:rPr>
        <w:t>ة الحيازة</w:t>
      </w:r>
      <w:r w:rsidR="00AF14DF" w:rsidRPr="00282AC9">
        <w:rPr>
          <w:rFonts w:hint="cs"/>
          <w:sz w:val="27"/>
          <w:rtl/>
        </w:rPr>
        <w:t>،</w:t>
      </w:r>
      <w:r w:rsidRPr="00282AC9">
        <w:rPr>
          <w:rFonts w:hint="cs"/>
          <w:sz w:val="27"/>
          <w:rtl/>
        </w:rPr>
        <w:t xml:space="preserve"> وإن</w:t>
      </w:r>
      <w:r w:rsidR="00AF14DF" w:rsidRPr="00282AC9">
        <w:rPr>
          <w:rFonts w:hint="cs"/>
          <w:sz w:val="27"/>
          <w:rtl/>
        </w:rPr>
        <w:t>ْ</w:t>
      </w:r>
      <w:r w:rsidRPr="00282AC9">
        <w:rPr>
          <w:rFonts w:hint="cs"/>
          <w:sz w:val="27"/>
          <w:rtl/>
        </w:rPr>
        <w:t xml:space="preserve"> كان يُمكن أن يكون المنقول أمراً مُح</w:t>
      </w:r>
      <w:r w:rsidR="00AF14DF" w:rsidRPr="00282AC9">
        <w:rPr>
          <w:rFonts w:hint="cs"/>
          <w:sz w:val="27"/>
          <w:rtl/>
        </w:rPr>
        <w:t>َ</w:t>
      </w:r>
      <w:r w:rsidRPr="00282AC9">
        <w:rPr>
          <w:rFonts w:hint="cs"/>
          <w:sz w:val="27"/>
          <w:rtl/>
        </w:rPr>
        <w:t>ازاً</w:t>
      </w:r>
      <w:r w:rsidR="002954C3" w:rsidRPr="00282AC9">
        <w:rPr>
          <w:rFonts w:hint="cs"/>
          <w:sz w:val="27"/>
          <w:rtl/>
        </w:rPr>
        <w:t>.</w:t>
      </w:r>
    </w:p>
    <w:p w:rsidR="0062395A" w:rsidRPr="00282AC9" w:rsidRDefault="0062395A" w:rsidP="00495D24">
      <w:pPr>
        <w:rPr>
          <w:sz w:val="27"/>
          <w:rtl/>
          <w:lang w:bidi="fa-IR"/>
        </w:rPr>
      </w:pPr>
      <w:r w:rsidRPr="00282AC9">
        <w:rPr>
          <w:rFonts w:hint="cs"/>
          <w:sz w:val="27"/>
          <w:rtl/>
          <w:lang w:bidi="fa-IR"/>
        </w:rPr>
        <w:t>فإن</w:t>
      </w:r>
      <w:r w:rsidR="00AF14DF" w:rsidRPr="00282AC9">
        <w:rPr>
          <w:rFonts w:hint="cs"/>
          <w:sz w:val="27"/>
          <w:rtl/>
          <w:lang w:bidi="fa-IR"/>
        </w:rPr>
        <w:t>ْ</w:t>
      </w:r>
      <w:r w:rsidRPr="00282AC9">
        <w:rPr>
          <w:rFonts w:hint="cs"/>
          <w:sz w:val="27"/>
          <w:rtl/>
          <w:lang w:bidi="fa-IR"/>
        </w:rPr>
        <w:t xml:space="preserve"> كان المراد بهذا البيان إلغاء سببي</w:t>
      </w:r>
      <w:r w:rsidR="00AF14DF" w:rsidRPr="00282AC9">
        <w:rPr>
          <w:rFonts w:hint="cs"/>
          <w:sz w:val="27"/>
          <w:rtl/>
          <w:lang w:bidi="fa-IR"/>
        </w:rPr>
        <w:t>ّ</w:t>
      </w:r>
      <w:r w:rsidRPr="00282AC9">
        <w:rPr>
          <w:rFonts w:hint="cs"/>
          <w:sz w:val="27"/>
          <w:rtl/>
          <w:lang w:bidi="fa-IR"/>
        </w:rPr>
        <w:t>ة النقل وغيره فهذا رجوع</w:t>
      </w:r>
      <w:r w:rsidR="00AF14DF" w:rsidRPr="00282AC9">
        <w:rPr>
          <w:rFonts w:hint="cs"/>
          <w:sz w:val="27"/>
          <w:rtl/>
          <w:lang w:bidi="fa-IR"/>
        </w:rPr>
        <w:t>ٌ</w:t>
      </w:r>
      <w:r w:rsidR="00BC0925" w:rsidRPr="00282AC9">
        <w:rPr>
          <w:rFonts w:hint="cs"/>
          <w:sz w:val="27"/>
          <w:rtl/>
          <w:lang w:bidi="fa-IR"/>
        </w:rPr>
        <w:t xml:space="preserve"> إلى </w:t>
      </w:r>
      <w:r w:rsidRPr="00282AC9">
        <w:rPr>
          <w:rFonts w:hint="cs"/>
          <w:sz w:val="27"/>
          <w:rtl/>
          <w:lang w:bidi="fa-IR"/>
        </w:rPr>
        <w:t>النظرية السابقة</w:t>
      </w:r>
      <w:r w:rsidR="00AF14DF" w:rsidRPr="00282AC9">
        <w:rPr>
          <w:rFonts w:hint="cs"/>
          <w:sz w:val="27"/>
          <w:rtl/>
          <w:lang w:bidi="fa-IR"/>
        </w:rPr>
        <w:t>،</w:t>
      </w:r>
      <w:r w:rsidRPr="00282AC9">
        <w:rPr>
          <w:rFonts w:hint="cs"/>
          <w:sz w:val="27"/>
          <w:rtl/>
          <w:lang w:bidi="fa-IR"/>
        </w:rPr>
        <w:t xml:space="preserve"> التي ترى </w:t>
      </w:r>
      <w:r w:rsidR="00AF14DF" w:rsidRPr="00282AC9">
        <w:rPr>
          <w:rFonts w:hint="cs"/>
          <w:sz w:val="27"/>
          <w:rtl/>
          <w:lang w:bidi="fa-IR"/>
        </w:rPr>
        <w:t>أ</w:t>
      </w:r>
      <w:r w:rsidRPr="00282AC9">
        <w:rPr>
          <w:rFonts w:hint="cs"/>
          <w:sz w:val="27"/>
          <w:rtl/>
          <w:lang w:bidi="fa-IR"/>
        </w:rPr>
        <w:t>حادية الأسباب</w:t>
      </w:r>
      <w:r w:rsidR="002954C3" w:rsidRPr="00282AC9">
        <w:rPr>
          <w:rFonts w:hint="cs"/>
          <w:sz w:val="27"/>
          <w:rtl/>
          <w:lang w:bidi="fa-IR"/>
        </w:rPr>
        <w:t>،</w:t>
      </w:r>
      <w:r w:rsidRPr="00282AC9">
        <w:rPr>
          <w:rFonts w:hint="cs"/>
          <w:sz w:val="27"/>
          <w:rtl/>
          <w:lang w:bidi="fa-IR"/>
        </w:rPr>
        <w:t xml:space="preserve"> وانحصارها في الحيازة.</w:t>
      </w:r>
    </w:p>
    <w:p w:rsidR="0062395A" w:rsidRPr="00282AC9" w:rsidRDefault="0062395A" w:rsidP="00495D24">
      <w:pPr>
        <w:rPr>
          <w:sz w:val="27"/>
          <w:rtl/>
          <w:lang w:bidi="fa-IR"/>
        </w:rPr>
      </w:pPr>
      <w:r w:rsidRPr="00282AC9">
        <w:rPr>
          <w:rFonts w:hint="cs"/>
          <w:sz w:val="27"/>
          <w:rtl/>
          <w:lang w:bidi="fa-IR"/>
        </w:rPr>
        <w:t>وإن</w:t>
      </w:r>
      <w:r w:rsidR="002954C3" w:rsidRPr="00282AC9">
        <w:rPr>
          <w:rFonts w:hint="cs"/>
          <w:sz w:val="27"/>
          <w:rtl/>
          <w:lang w:bidi="fa-IR"/>
        </w:rPr>
        <w:t>ْ</w:t>
      </w:r>
      <w:r w:rsidRPr="00282AC9">
        <w:rPr>
          <w:rFonts w:hint="cs"/>
          <w:sz w:val="27"/>
          <w:rtl/>
          <w:lang w:bidi="fa-IR"/>
        </w:rPr>
        <w:t xml:space="preserve"> كان المراد كون الحيازة هي السبب الأصلي</w:t>
      </w:r>
      <w:r w:rsidR="002954C3" w:rsidRPr="00282AC9">
        <w:rPr>
          <w:rFonts w:hint="cs"/>
          <w:sz w:val="27"/>
          <w:rtl/>
          <w:lang w:bidi="fa-IR"/>
        </w:rPr>
        <w:t>ّ،</w:t>
      </w:r>
      <w:r w:rsidRPr="00282AC9">
        <w:rPr>
          <w:rFonts w:hint="cs"/>
          <w:sz w:val="27"/>
          <w:rtl/>
          <w:lang w:bidi="fa-IR"/>
        </w:rPr>
        <w:t xml:space="preserve"> ثمّ حدث توسّ</w:t>
      </w:r>
      <w:r w:rsidR="002954C3" w:rsidRPr="00282AC9">
        <w:rPr>
          <w:rFonts w:hint="cs"/>
          <w:sz w:val="27"/>
          <w:rtl/>
          <w:lang w:bidi="fa-IR"/>
        </w:rPr>
        <w:t>ُ</w:t>
      </w:r>
      <w:r w:rsidRPr="00282AC9">
        <w:rPr>
          <w:rFonts w:hint="cs"/>
          <w:sz w:val="27"/>
          <w:rtl/>
          <w:lang w:bidi="fa-IR"/>
        </w:rPr>
        <w:t>ع</w:t>
      </w:r>
      <w:r w:rsidR="002954C3" w:rsidRPr="00282AC9">
        <w:rPr>
          <w:rFonts w:hint="cs"/>
          <w:sz w:val="27"/>
          <w:rtl/>
          <w:lang w:bidi="fa-IR"/>
        </w:rPr>
        <w:t>ٌ</w:t>
      </w:r>
      <w:r w:rsidRPr="00282AC9">
        <w:rPr>
          <w:rFonts w:hint="cs"/>
          <w:sz w:val="27"/>
          <w:rtl/>
          <w:lang w:bidi="fa-IR"/>
        </w:rPr>
        <w:t xml:space="preserve"> من قِب</w:t>
      </w:r>
      <w:r w:rsidR="002954C3" w:rsidRPr="00282AC9">
        <w:rPr>
          <w:rFonts w:hint="cs"/>
          <w:sz w:val="27"/>
          <w:rtl/>
          <w:lang w:bidi="fa-IR"/>
        </w:rPr>
        <w:t>َ</w:t>
      </w:r>
      <w:r w:rsidRPr="00282AC9">
        <w:rPr>
          <w:rFonts w:hint="cs"/>
          <w:sz w:val="27"/>
          <w:rtl/>
          <w:lang w:bidi="fa-IR"/>
        </w:rPr>
        <w:t>ل العقلاء</w:t>
      </w:r>
      <w:r w:rsidR="002954C3" w:rsidRPr="00282AC9">
        <w:rPr>
          <w:rFonts w:hint="cs"/>
          <w:sz w:val="27"/>
          <w:rtl/>
          <w:lang w:bidi="fa-IR"/>
        </w:rPr>
        <w:t>،</w:t>
      </w:r>
      <w:r w:rsidRPr="00282AC9">
        <w:rPr>
          <w:rFonts w:hint="cs"/>
          <w:sz w:val="27"/>
          <w:rtl/>
          <w:lang w:bidi="fa-IR"/>
        </w:rPr>
        <w:t xml:space="preserve"> فأضافوا أسباباً ثانوي</w:t>
      </w:r>
      <w:r w:rsidR="002954C3" w:rsidRPr="00282AC9">
        <w:rPr>
          <w:rFonts w:hint="cs"/>
          <w:sz w:val="27"/>
          <w:rtl/>
          <w:lang w:bidi="fa-IR"/>
        </w:rPr>
        <w:t>ّ</w:t>
      </w:r>
      <w:r w:rsidRPr="00282AC9">
        <w:rPr>
          <w:rFonts w:hint="cs"/>
          <w:sz w:val="27"/>
          <w:rtl/>
          <w:lang w:bidi="fa-IR"/>
        </w:rPr>
        <w:t xml:space="preserve">ة </w:t>
      </w:r>
      <w:r w:rsidR="002954C3" w:rsidRPr="00282AC9">
        <w:rPr>
          <w:rFonts w:hint="cs"/>
          <w:sz w:val="27"/>
          <w:rtl/>
          <w:lang w:bidi="fa-IR"/>
        </w:rPr>
        <w:t>أ</w:t>
      </w:r>
      <w:r w:rsidRPr="00282AC9">
        <w:rPr>
          <w:rFonts w:hint="cs"/>
          <w:sz w:val="27"/>
          <w:rtl/>
          <w:lang w:bidi="fa-IR"/>
        </w:rPr>
        <w:t>خرى</w:t>
      </w:r>
      <w:r w:rsidR="002954C3" w:rsidRPr="00282AC9">
        <w:rPr>
          <w:rFonts w:hint="cs"/>
          <w:sz w:val="27"/>
          <w:rtl/>
          <w:lang w:bidi="fa-IR"/>
        </w:rPr>
        <w:t>،</w:t>
      </w:r>
      <w:r w:rsidRPr="00282AC9">
        <w:rPr>
          <w:rFonts w:hint="cs"/>
          <w:sz w:val="27"/>
          <w:rtl/>
          <w:lang w:bidi="fa-IR"/>
        </w:rPr>
        <w:t xml:space="preserve"> فهذا التصوير قاصر</w:t>
      </w:r>
      <w:r w:rsidR="002954C3" w:rsidRPr="00282AC9">
        <w:rPr>
          <w:rFonts w:hint="cs"/>
          <w:sz w:val="27"/>
          <w:rtl/>
          <w:lang w:bidi="fa-IR"/>
        </w:rPr>
        <w:t>ٌ،</w:t>
      </w:r>
      <w:r w:rsidRPr="00282AC9">
        <w:rPr>
          <w:rFonts w:hint="cs"/>
          <w:sz w:val="27"/>
          <w:rtl/>
          <w:lang w:bidi="fa-IR"/>
        </w:rPr>
        <w:t xml:space="preserve"> ولا ينهض بإفادة ذلك، مُضافاً</w:t>
      </w:r>
      <w:r w:rsidR="00BC0925" w:rsidRPr="00282AC9">
        <w:rPr>
          <w:rFonts w:hint="cs"/>
          <w:sz w:val="27"/>
          <w:rtl/>
          <w:lang w:bidi="fa-IR"/>
        </w:rPr>
        <w:t xml:space="preserve"> إلى </w:t>
      </w:r>
      <w:r w:rsidRPr="00282AC9">
        <w:rPr>
          <w:rFonts w:hint="cs"/>
          <w:sz w:val="27"/>
          <w:rtl/>
          <w:lang w:bidi="fa-IR"/>
        </w:rPr>
        <w:t xml:space="preserve">عدم انحصار </w:t>
      </w:r>
      <w:r w:rsidR="00EB1216" w:rsidRPr="00282AC9">
        <w:rPr>
          <w:rFonts w:hint="cs"/>
          <w:sz w:val="27"/>
          <w:rtl/>
          <w:lang w:bidi="fa-IR"/>
        </w:rPr>
        <w:t>المِلْكيّة</w:t>
      </w:r>
      <w:r w:rsidRPr="00282AC9">
        <w:rPr>
          <w:rFonts w:hint="cs"/>
          <w:sz w:val="27"/>
          <w:rtl/>
          <w:lang w:bidi="fa-IR"/>
        </w:rPr>
        <w:t xml:space="preserve"> الأصلي</w:t>
      </w:r>
      <w:r w:rsidR="002954C3" w:rsidRPr="00282AC9">
        <w:rPr>
          <w:rFonts w:hint="cs"/>
          <w:sz w:val="27"/>
          <w:rtl/>
          <w:lang w:bidi="fa-IR"/>
        </w:rPr>
        <w:t>ّ</w:t>
      </w:r>
      <w:r w:rsidRPr="00282AC9">
        <w:rPr>
          <w:rFonts w:hint="cs"/>
          <w:sz w:val="27"/>
          <w:rtl/>
          <w:lang w:bidi="fa-IR"/>
        </w:rPr>
        <w:t>ة بالحيازة</w:t>
      </w:r>
      <w:r w:rsidR="002954C3" w:rsidRPr="00282AC9">
        <w:rPr>
          <w:rFonts w:hint="cs"/>
          <w:sz w:val="27"/>
          <w:rtl/>
          <w:lang w:bidi="fa-IR"/>
        </w:rPr>
        <w:t>،</w:t>
      </w:r>
      <w:r w:rsidRPr="00282AC9">
        <w:rPr>
          <w:rFonts w:hint="cs"/>
          <w:sz w:val="27"/>
          <w:rtl/>
          <w:lang w:bidi="fa-IR"/>
        </w:rPr>
        <w:t xml:space="preserve"> حتّى تكون الأسباب الثانوية كلّها راجعة</w:t>
      </w:r>
      <w:r w:rsidR="002954C3" w:rsidRPr="00282AC9">
        <w:rPr>
          <w:rFonts w:hint="cs"/>
          <w:sz w:val="27"/>
          <w:rtl/>
          <w:lang w:bidi="fa-IR"/>
        </w:rPr>
        <w:t>ً</w:t>
      </w:r>
      <w:r w:rsidRPr="00282AC9">
        <w:rPr>
          <w:rFonts w:hint="cs"/>
          <w:sz w:val="27"/>
          <w:rtl/>
          <w:lang w:bidi="fa-IR"/>
        </w:rPr>
        <w:t xml:space="preserve"> إليها.</w:t>
      </w:r>
    </w:p>
    <w:p w:rsidR="0062395A" w:rsidRPr="00282AC9" w:rsidRDefault="0062395A" w:rsidP="00495D24">
      <w:pPr>
        <w:rPr>
          <w:sz w:val="27"/>
          <w:rtl/>
          <w:lang w:bidi="fa-IR"/>
        </w:rPr>
      </w:pPr>
      <w:r w:rsidRPr="00282AC9">
        <w:rPr>
          <w:rFonts w:hint="cs"/>
          <w:sz w:val="27"/>
          <w:rtl/>
          <w:lang w:bidi="fa-IR"/>
        </w:rPr>
        <w:t>وإن</w:t>
      </w:r>
      <w:r w:rsidR="002954C3" w:rsidRPr="00282AC9">
        <w:rPr>
          <w:rFonts w:hint="cs"/>
          <w:sz w:val="27"/>
          <w:rtl/>
          <w:lang w:bidi="fa-IR"/>
        </w:rPr>
        <w:t>ْ</w:t>
      </w:r>
      <w:r w:rsidRPr="00282AC9">
        <w:rPr>
          <w:rFonts w:hint="cs"/>
          <w:sz w:val="27"/>
          <w:rtl/>
          <w:lang w:bidi="fa-IR"/>
        </w:rPr>
        <w:t xml:space="preserve"> كان المراد التقدّ</w:t>
      </w:r>
      <w:r w:rsidR="002954C3" w:rsidRPr="00282AC9">
        <w:rPr>
          <w:rFonts w:hint="cs"/>
          <w:sz w:val="27"/>
          <w:rtl/>
          <w:lang w:bidi="fa-IR"/>
        </w:rPr>
        <w:t>ُ</w:t>
      </w:r>
      <w:r w:rsidRPr="00282AC9">
        <w:rPr>
          <w:rFonts w:hint="cs"/>
          <w:sz w:val="27"/>
          <w:rtl/>
          <w:lang w:bidi="fa-IR"/>
        </w:rPr>
        <w:t>م الزماني للمملوك بالحيازة على المملوك بغير حيازة</w:t>
      </w:r>
      <w:r w:rsidR="002954C3" w:rsidRPr="00282AC9">
        <w:rPr>
          <w:rFonts w:hint="cs"/>
          <w:sz w:val="27"/>
          <w:rtl/>
          <w:lang w:bidi="fa-IR"/>
        </w:rPr>
        <w:t>ٍ</w:t>
      </w:r>
      <w:r w:rsidRPr="00282AC9">
        <w:rPr>
          <w:rFonts w:hint="cs"/>
          <w:sz w:val="27"/>
          <w:rtl/>
          <w:lang w:bidi="fa-IR"/>
        </w:rPr>
        <w:t xml:space="preserve"> فهذا البيان لو كان له قيمة</w:t>
      </w:r>
      <w:r w:rsidR="002954C3" w:rsidRPr="00282AC9">
        <w:rPr>
          <w:rFonts w:hint="cs"/>
          <w:sz w:val="27"/>
          <w:rtl/>
          <w:lang w:bidi="fa-IR"/>
        </w:rPr>
        <w:t>ٌ</w:t>
      </w:r>
      <w:r w:rsidRPr="00282AC9">
        <w:rPr>
          <w:rFonts w:hint="cs"/>
          <w:sz w:val="27"/>
          <w:rtl/>
          <w:lang w:bidi="fa-IR"/>
        </w:rPr>
        <w:t xml:space="preserve"> علمي</w:t>
      </w:r>
      <w:r w:rsidR="002954C3" w:rsidRPr="00282AC9">
        <w:rPr>
          <w:rFonts w:hint="cs"/>
          <w:sz w:val="27"/>
          <w:rtl/>
          <w:lang w:bidi="fa-IR"/>
        </w:rPr>
        <w:t>ّ</w:t>
      </w:r>
      <w:r w:rsidRPr="00282AC9">
        <w:rPr>
          <w:rFonts w:hint="cs"/>
          <w:sz w:val="27"/>
          <w:rtl/>
          <w:lang w:bidi="fa-IR"/>
        </w:rPr>
        <w:t>ة فلا يُفيد في بيان السببي</w:t>
      </w:r>
      <w:r w:rsidR="002954C3" w:rsidRPr="00282AC9">
        <w:rPr>
          <w:rFonts w:hint="cs"/>
          <w:sz w:val="27"/>
          <w:rtl/>
          <w:lang w:bidi="fa-IR"/>
        </w:rPr>
        <w:t>ّ</w:t>
      </w:r>
      <w:r w:rsidRPr="00282AC9">
        <w:rPr>
          <w:rFonts w:hint="cs"/>
          <w:sz w:val="27"/>
          <w:rtl/>
          <w:lang w:bidi="fa-IR"/>
        </w:rPr>
        <w:t>ة؛ لعدم كون البحث فيها بحثاً تاريخياً</w:t>
      </w:r>
      <w:r w:rsidR="002954C3" w:rsidRPr="00282AC9">
        <w:rPr>
          <w:rFonts w:hint="cs"/>
          <w:sz w:val="27"/>
          <w:rtl/>
          <w:lang w:bidi="fa-IR"/>
        </w:rPr>
        <w:t>،</w:t>
      </w:r>
      <w:r w:rsidRPr="00282AC9">
        <w:rPr>
          <w:rFonts w:hint="cs"/>
          <w:sz w:val="27"/>
          <w:rtl/>
          <w:lang w:bidi="fa-IR"/>
        </w:rPr>
        <w:t xml:space="preserve"> أو تحليلاً لظاهرة</w:t>
      </w:r>
      <w:r w:rsidR="002954C3" w:rsidRPr="00282AC9">
        <w:rPr>
          <w:rFonts w:hint="cs"/>
          <w:sz w:val="27"/>
          <w:rtl/>
          <w:lang w:bidi="fa-IR"/>
        </w:rPr>
        <w:t>ٍ</w:t>
      </w:r>
      <w:r w:rsidRPr="00282AC9">
        <w:rPr>
          <w:rFonts w:hint="cs"/>
          <w:sz w:val="27"/>
          <w:rtl/>
          <w:lang w:bidi="fa-IR"/>
        </w:rPr>
        <w:t xml:space="preserve"> اجتماعية تحليلاً عقلي</w:t>
      </w:r>
      <w:r w:rsidR="002954C3" w:rsidRPr="00282AC9">
        <w:rPr>
          <w:rFonts w:hint="cs"/>
          <w:sz w:val="27"/>
          <w:rtl/>
          <w:lang w:bidi="fa-IR"/>
        </w:rPr>
        <w:t>ّ</w:t>
      </w:r>
      <w:r w:rsidRPr="00282AC9">
        <w:rPr>
          <w:rFonts w:hint="cs"/>
          <w:sz w:val="27"/>
          <w:rtl/>
          <w:lang w:bidi="fa-IR"/>
        </w:rPr>
        <w:t>اً، بل المرتبط بالبحث الفقهي التحليل على أساس</w:t>
      </w:r>
      <w:r w:rsidR="002954C3" w:rsidRPr="00282AC9">
        <w:rPr>
          <w:rFonts w:hint="cs"/>
          <w:sz w:val="27"/>
          <w:rtl/>
          <w:lang w:bidi="fa-IR"/>
        </w:rPr>
        <w:t>ٍ</w:t>
      </w:r>
      <w:r w:rsidRPr="00282AC9">
        <w:rPr>
          <w:rFonts w:hint="cs"/>
          <w:sz w:val="27"/>
          <w:rtl/>
          <w:lang w:bidi="fa-IR"/>
        </w:rPr>
        <w:t xml:space="preserve"> عقلائي</w:t>
      </w:r>
      <w:r w:rsidR="002954C3" w:rsidRPr="00282AC9">
        <w:rPr>
          <w:rFonts w:hint="cs"/>
          <w:sz w:val="27"/>
          <w:rtl/>
          <w:lang w:bidi="fa-IR"/>
        </w:rPr>
        <w:t>ّ</w:t>
      </w:r>
      <w:r w:rsidRPr="00282AC9">
        <w:rPr>
          <w:rFonts w:hint="cs"/>
          <w:sz w:val="27"/>
          <w:rtl/>
          <w:lang w:bidi="fa-IR"/>
        </w:rPr>
        <w:t xml:space="preserve"> واعتبار</w:t>
      </w:r>
      <w:r w:rsidR="002954C3" w:rsidRPr="00282AC9">
        <w:rPr>
          <w:rFonts w:hint="cs"/>
          <w:sz w:val="27"/>
          <w:rtl/>
          <w:lang w:bidi="fa-IR"/>
        </w:rPr>
        <w:t>ٍ</w:t>
      </w:r>
      <w:r w:rsidRPr="00282AC9">
        <w:rPr>
          <w:rFonts w:hint="cs"/>
          <w:sz w:val="27"/>
          <w:rtl/>
          <w:lang w:bidi="fa-IR"/>
        </w:rPr>
        <w:t xml:space="preserve"> عقلائي</w:t>
      </w:r>
      <w:r w:rsidR="002954C3" w:rsidRPr="00282AC9">
        <w:rPr>
          <w:rFonts w:hint="cs"/>
          <w:sz w:val="27"/>
          <w:rtl/>
          <w:lang w:bidi="fa-IR"/>
        </w:rPr>
        <w:t>ّ.</w:t>
      </w:r>
      <w:r w:rsidRPr="00282AC9">
        <w:rPr>
          <w:rFonts w:hint="cs"/>
          <w:sz w:val="27"/>
          <w:rtl/>
          <w:lang w:bidi="fa-IR"/>
        </w:rPr>
        <w:t xml:space="preserve"> ثمّ إنّه لا ملازمة بين التقدّ</w:t>
      </w:r>
      <w:r w:rsidR="002954C3" w:rsidRPr="00282AC9">
        <w:rPr>
          <w:rFonts w:hint="cs"/>
          <w:sz w:val="27"/>
          <w:rtl/>
          <w:lang w:bidi="fa-IR"/>
        </w:rPr>
        <w:t>ُ</w:t>
      </w:r>
      <w:r w:rsidRPr="00282AC9">
        <w:rPr>
          <w:rFonts w:hint="cs"/>
          <w:sz w:val="27"/>
          <w:rtl/>
          <w:lang w:bidi="fa-IR"/>
        </w:rPr>
        <w:t>م الرتبي</w:t>
      </w:r>
      <w:r w:rsidR="002954C3" w:rsidRPr="00282AC9">
        <w:rPr>
          <w:rFonts w:hint="cs"/>
          <w:sz w:val="27"/>
          <w:rtl/>
          <w:lang w:bidi="fa-IR"/>
        </w:rPr>
        <w:t>ّ</w:t>
      </w:r>
      <w:r w:rsidRPr="00282AC9">
        <w:rPr>
          <w:rFonts w:hint="cs"/>
          <w:sz w:val="27"/>
          <w:rtl/>
          <w:lang w:bidi="fa-IR"/>
        </w:rPr>
        <w:t xml:space="preserve"> والتقدّ</w:t>
      </w:r>
      <w:r w:rsidR="002954C3" w:rsidRPr="00282AC9">
        <w:rPr>
          <w:rFonts w:hint="cs"/>
          <w:sz w:val="27"/>
          <w:rtl/>
          <w:lang w:bidi="fa-IR"/>
        </w:rPr>
        <w:t>ُ</w:t>
      </w:r>
      <w:r w:rsidRPr="00282AC9">
        <w:rPr>
          <w:rFonts w:hint="cs"/>
          <w:sz w:val="27"/>
          <w:rtl/>
          <w:lang w:bidi="fa-IR"/>
        </w:rPr>
        <w:t>م الزماني، كما سوف نُشير إليه لاحقاً.</w:t>
      </w:r>
    </w:p>
    <w:p w:rsidR="0062395A" w:rsidRPr="00282AC9" w:rsidRDefault="0062395A" w:rsidP="00495D24">
      <w:pPr>
        <w:rPr>
          <w:sz w:val="27"/>
          <w:rtl/>
          <w:lang w:bidi="fa-IR"/>
        </w:rPr>
      </w:pPr>
      <w:r w:rsidRPr="00282AC9">
        <w:rPr>
          <w:rFonts w:hint="cs"/>
          <w:sz w:val="27"/>
          <w:rtl/>
          <w:lang w:bidi="fa-IR"/>
        </w:rPr>
        <w:t>إذن، فالصحيح هو تعدّ</w:t>
      </w:r>
      <w:r w:rsidR="002954C3" w:rsidRPr="00282AC9">
        <w:rPr>
          <w:rFonts w:hint="cs"/>
          <w:sz w:val="27"/>
          <w:rtl/>
          <w:lang w:bidi="fa-IR"/>
        </w:rPr>
        <w:t>ُ</w:t>
      </w:r>
      <w:r w:rsidRPr="00282AC9">
        <w:rPr>
          <w:rFonts w:hint="cs"/>
          <w:sz w:val="27"/>
          <w:rtl/>
          <w:lang w:bidi="fa-IR"/>
        </w:rPr>
        <w:t xml:space="preserve">د أسباب </w:t>
      </w:r>
      <w:r w:rsidR="00EB1216" w:rsidRPr="00282AC9">
        <w:rPr>
          <w:rFonts w:hint="cs"/>
          <w:sz w:val="27"/>
          <w:rtl/>
          <w:lang w:bidi="fa-IR"/>
        </w:rPr>
        <w:t>المِلْكيّة</w:t>
      </w:r>
      <w:r w:rsidRPr="00282AC9">
        <w:rPr>
          <w:rFonts w:hint="cs"/>
          <w:sz w:val="27"/>
          <w:rtl/>
          <w:lang w:bidi="fa-IR"/>
        </w:rPr>
        <w:t xml:space="preserve"> ـ الرئيسة منها والثانوية ـ</w:t>
      </w:r>
      <w:r w:rsidR="002954C3" w:rsidRPr="00282AC9">
        <w:rPr>
          <w:rFonts w:hint="cs"/>
          <w:sz w:val="27"/>
          <w:rtl/>
          <w:lang w:bidi="fa-IR"/>
        </w:rPr>
        <w:t>،</w:t>
      </w:r>
      <w:r w:rsidRPr="00282AC9">
        <w:rPr>
          <w:rFonts w:hint="cs"/>
          <w:sz w:val="27"/>
          <w:rtl/>
          <w:lang w:bidi="fa-IR"/>
        </w:rPr>
        <w:t xml:space="preserve"> وعدم وحدانيتها، وعدم صحّة إرجاع الأسباب الثانوية ط</w:t>
      </w:r>
      <w:r w:rsidR="002954C3" w:rsidRPr="00282AC9">
        <w:rPr>
          <w:rFonts w:hint="cs"/>
          <w:sz w:val="27"/>
          <w:rtl/>
          <w:lang w:bidi="fa-IR"/>
        </w:rPr>
        <w:t>ُ</w:t>
      </w:r>
      <w:r w:rsidRPr="00282AC9">
        <w:rPr>
          <w:rFonts w:hint="cs"/>
          <w:sz w:val="27"/>
          <w:rtl/>
          <w:lang w:bidi="fa-IR"/>
        </w:rPr>
        <w:t>رّاً</w:t>
      </w:r>
      <w:r w:rsidR="00BC0925" w:rsidRPr="00282AC9">
        <w:rPr>
          <w:rFonts w:hint="cs"/>
          <w:sz w:val="27"/>
          <w:rtl/>
          <w:lang w:bidi="fa-IR"/>
        </w:rPr>
        <w:t xml:space="preserve"> إلى </w:t>
      </w:r>
      <w:r w:rsidRPr="00282AC9">
        <w:rPr>
          <w:rFonts w:hint="cs"/>
          <w:sz w:val="27"/>
          <w:rtl/>
          <w:lang w:bidi="fa-IR"/>
        </w:rPr>
        <w:t>سبب</w:t>
      </w:r>
      <w:r w:rsidR="002954C3" w:rsidRPr="00282AC9">
        <w:rPr>
          <w:rFonts w:hint="cs"/>
          <w:sz w:val="27"/>
          <w:rtl/>
          <w:lang w:bidi="fa-IR"/>
        </w:rPr>
        <w:t>ٍ</w:t>
      </w:r>
      <w:r w:rsidRPr="00282AC9">
        <w:rPr>
          <w:rFonts w:hint="cs"/>
          <w:sz w:val="27"/>
          <w:rtl/>
          <w:lang w:bidi="fa-IR"/>
        </w:rPr>
        <w:t xml:space="preserve"> واحد</w:t>
      </w:r>
      <w:r w:rsidR="002954C3" w:rsidRPr="00282AC9">
        <w:rPr>
          <w:rFonts w:hint="cs"/>
          <w:sz w:val="27"/>
          <w:rtl/>
          <w:lang w:bidi="fa-IR"/>
        </w:rPr>
        <w:t>،</w:t>
      </w:r>
      <w:r w:rsidRPr="00282AC9">
        <w:rPr>
          <w:rFonts w:hint="cs"/>
          <w:sz w:val="27"/>
          <w:rtl/>
          <w:lang w:bidi="fa-IR"/>
        </w:rPr>
        <w:t xml:space="preserve"> وهو الحيازة.</w:t>
      </w:r>
    </w:p>
    <w:p w:rsidR="0062395A" w:rsidRPr="00282AC9" w:rsidRDefault="0062395A" w:rsidP="00495D24">
      <w:pPr>
        <w:rPr>
          <w:sz w:val="27"/>
          <w:rtl/>
          <w:lang w:bidi="fa-IR"/>
        </w:rPr>
      </w:pPr>
      <w:r w:rsidRPr="00282AC9">
        <w:rPr>
          <w:rFonts w:hint="cs"/>
          <w:sz w:val="27"/>
          <w:rtl/>
          <w:lang w:bidi="fa-IR"/>
        </w:rPr>
        <w:lastRenderedPageBreak/>
        <w:t>فالمهمّ إذن هو بحث الاتجاهات التعدّ</w:t>
      </w:r>
      <w:r w:rsidR="002954C3" w:rsidRPr="00282AC9">
        <w:rPr>
          <w:rFonts w:hint="cs"/>
          <w:sz w:val="27"/>
          <w:rtl/>
          <w:lang w:bidi="fa-IR"/>
        </w:rPr>
        <w:t>ُ</w:t>
      </w:r>
      <w:r w:rsidRPr="00282AC9">
        <w:rPr>
          <w:rFonts w:hint="cs"/>
          <w:sz w:val="27"/>
          <w:rtl/>
          <w:lang w:bidi="fa-IR"/>
        </w:rPr>
        <w:t>دية ال</w:t>
      </w:r>
      <w:r w:rsidR="002954C3" w:rsidRPr="00282AC9">
        <w:rPr>
          <w:rFonts w:hint="cs"/>
          <w:sz w:val="27"/>
          <w:rtl/>
          <w:lang w:bidi="fa-IR"/>
        </w:rPr>
        <w:t>أ</w:t>
      </w:r>
      <w:r w:rsidRPr="00282AC9">
        <w:rPr>
          <w:rFonts w:hint="cs"/>
          <w:sz w:val="27"/>
          <w:rtl/>
          <w:lang w:bidi="fa-IR"/>
        </w:rPr>
        <w:t>خرى.</w:t>
      </w:r>
    </w:p>
    <w:p w:rsidR="0062395A" w:rsidRPr="00282AC9" w:rsidRDefault="0062395A" w:rsidP="000F0B20">
      <w:pPr>
        <w:spacing w:line="430" w:lineRule="exact"/>
        <w:rPr>
          <w:sz w:val="27"/>
          <w:rtl/>
          <w:lang w:bidi="fa-IR"/>
        </w:rPr>
      </w:pPr>
    </w:p>
    <w:p w:rsidR="0062395A" w:rsidRPr="00282AC9" w:rsidRDefault="0062395A" w:rsidP="00715FC8">
      <w:pPr>
        <w:pStyle w:val="31"/>
        <w:rPr>
          <w:color w:val="auto"/>
          <w:rtl/>
        </w:rPr>
      </w:pPr>
      <w:r w:rsidRPr="00282AC9">
        <w:rPr>
          <w:rFonts w:hint="cs"/>
          <w:color w:val="auto"/>
          <w:rtl/>
        </w:rPr>
        <w:t>الاتجاه الثالث</w:t>
      </w:r>
      <w:r w:rsidR="00DF1430" w:rsidRPr="00282AC9">
        <w:rPr>
          <w:rFonts w:hint="cs"/>
          <w:color w:val="auto"/>
          <w:rtl/>
        </w:rPr>
        <w:t>: أسبابٌ متفرِّقة</w:t>
      </w:r>
    </w:p>
    <w:p w:rsidR="0062395A" w:rsidRPr="00282AC9" w:rsidRDefault="0062395A" w:rsidP="00495D24">
      <w:pPr>
        <w:rPr>
          <w:sz w:val="27"/>
          <w:rtl/>
          <w:lang w:bidi="fa-IR"/>
        </w:rPr>
      </w:pPr>
      <w:r w:rsidRPr="00282AC9">
        <w:rPr>
          <w:rFonts w:hint="cs"/>
          <w:sz w:val="27"/>
          <w:rtl/>
          <w:lang w:bidi="fa-IR"/>
        </w:rPr>
        <w:t xml:space="preserve">وهو لا يحصر </w:t>
      </w:r>
      <w:r w:rsidR="00EB1216" w:rsidRPr="00282AC9">
        <w:rPr>
          <w:rFonts w:hint="cs"/>
          <w:sz w:val="27"/>
          <w:rtl/>
          <w:lang w:bidi="fa-IR"/>
        </w:rPr>
        <w:t>المِلْكيّة</w:t>
      </w:r>
      <w:r w:rsidRPr="00282AC9">
        <w:rPr>
          <w:rFonts w:hint="cs"/>
          <w:sz w:val="27"/>
          <w:rtl/>
          <w:lang w:bidi="fa-IR"/>
        </w:rPr>
        <w:t xml:space="preserve"> الأصلي</w:t>
      </w:r>
      <w:r w:rsidR="002954C3" w:rsidRPr="00282AC9">
        <w:rPr>
          <w:rFonts w:hint="cs"/>
          <w:sz w:val="27"/>
          <w:rtl/>
          <w:lang w:bidi="fa-IR"/>
        </w:rPr>
        <w:t>ّ</w:t>
      </w:r>
      <w:r w:rsidRPr="00282AC9">
        <w:rPr>
          <w:rFonts w:hint="cs"/>
          <w:sz w:val="27"/>
          <w:rtl/>
          <w:lang w:bidi="fa-IR"/>
        </w:rPr>
        <w:t>ة بالحيازة فقط، بل يرى تعدّ</w:t>
      </w:r>
      <w:r w:rsidR="002954C3" w:rsidRPr="00282AC9">
        <w:rPr>
          <w:rFonts w:hint="cs"/>
          <w:sz w:val="27"/>
          <w:rtl/>
          <w:lang w:bidi="fa-IR"/>
        </w:rPr>
        <w:t>ُ</w:t>
      </w:r>
      <w:r w:rsidRPr="00282AC9">
        <w:rPr>
          <w:rFonts w:hint="cs"/>
          <w:sz w:val="27"/>
          <w:rtl/>
          <w:lang w:bidi="fa-IR"/>
        </w:rPr>
        <w:t>د الأسباب</w:t>
      </w:r>
      <w:r w:rsidR="002954C3" w:rsidRPr="00282AC9">
        <w:rPr>
          <w:rFonts w:hint="cs"/>
          <w:sz w:val="27"/>
          <w:rtl/>
          <w:lang w:bidi="fa-IR"/>
        </w:rPr>
        <w:t>،</w:t>
      </w:r>
      <w:r w:rsidRPr="00282AC9">
        <w:rPr>
          <w:rFonts w:hint="cs"/>
          <w:sz w:val="27"/>
          <w:rtl/>
          <w:lang w:bidi="fa-IR"/>
        </w:rPr>
        <w:t xml:space="preserve"> ومغايرتها للحيازة. وتندرج تحته عدّة مسالك:</w:t>
      </w:r>
    </w:p>
    <w:p w:rsidR="0062395A" w:rsidRPr="00282AC9" w:rsidRDefault="0062395A" w:rsidP="000F0B20">
      <w:pPr>
        <w:spacing w:line="420" w:lineRule="exact"/>
        <w:rPr>
          <w:sz w:val="27"/>
          <w:rtl/>
          <w:lang w:bidi="fa-IR"/>
        </w:rPr>
      </w:pPr>
    </w:p>
    <w:p w:rsidR="0062395A" w:rsidRPr="00282AC9" w:rsidRDefault="0062395A" w:rsidP="00715FC8">
      <w:pPr>
        <w:pStyle w:val="31"/>
        <w:rPr>
          <w:color w:val="auto"/>
          <w:rtl/>
          <w:lang w:bidi="fa-IR"/>
        </w:rPr>
      </w:pPr>
      <w:r w:rsidRPr="00282AC9">
        <w:rPr>
          <w:rFonts w:hint="cs"/>
          <w:color w:val="auto"/>
          <w:rtl/>
        </w:rPr>
        <w:t>المسلك الأوّل</w:t>
      </w:r>
      <w:r w:rsidR="006E44D4" w:rsidRPr="00282AC9">
        <w:rPr>
          <w:rFonts w:hint="cs"/>
          <w:color w:val="auto"/>
          <w:rtl/>
          <w:lang w:bidi="fa-IR"/>
        </w:rPr>
        <w:t xml:space="preserve">: </w:t>
      </w:r>
      <w:r w:rsidR="00600173" w:rsidRPr="00282AC9">
        <w:rPr>
          <w:rFonts w:hint="cs"/>
          <w:color w:val="auto"/>
          <w:rtl/>
          <w:lang w:bidi="fa-IR"/>
        </w:rPr>
        <w:t>الأسباب الثلاثة</w:t>
      </w:r>
    </w:p>
    <w:p w:rsidR="0062395A" w:rsidRPr="00282AC9" w:rsidRDefault="0062395A" w:rsidP="00495D24">
      <w:pPr>
        <w:rPr>
          <w:sz w:val="27"/>
          <w:rtl/>
          <w:lang w:bidi="fa-IR"/>
        </w:rPr>
      </w:pPr>
      <w:r w:rsidRPr="00282AC9">
        <w:rPr>
          <w:rFonts w:hint="cs"/>
          <w:sz w:val="27"/>
          <w:rtl/>
          <w:lang w:bidi="fa-IR"/>
        </w:rPr>
        <w:t>وهو يذهب</w:t>
      </w:r>
      <w:r w:rsidR="00BC0925" w:rsidRPr="00282AC9">
        <w:rPr>
          <w:rFonts w:hint="cs"/>
          <w:sz w:val="27"/>
          <w:rtl/>
          <w:lang w:bidi="fa-IR"/>
        </w:rPr>
        <w:t xml:space="preserve"> إلى </w:t>
      </w:r>
      <w:r w:rsidRPr="00282AC9">
        <w:rPr>
          <w:rFonts w:hint="cs"/>
          <w:sz w:val="27"/>
          <w:rtl/>
          <w:lang w:bidi="fa-IR"/>
        </w:rPr>
        <w:t>تثليث الأسباب، وهي:</w:t>
      </w:r>
    </w:p>
    <w:p w:rsidR="0062395A" w:rsidRPr="00282AC9" w:rsidRDefault="0062395A" w:rsidP="00495D24">
      <w:pPr>
        <w:rPr>
          <w:sz w:val="27"/>
          <w:rtl/>
          <w:lang w:bidi="fa-IR"/>
        </w:rPr>
      </w:pPr>
      <w:r w:rsidRPr="00282AC9">
        <w:rPr>
          <w:rFonts w:hint="cs"/>
          <w:b/>
          <w:bCs/>
          <w:sz w:val="27"/>
          <w:rtl/>
          <w:lang w:bidi="fa-IR"/>
        </w:rPr>
        <w:t>السبب الأوّل</w:t>
      </w:r>
      <w:r w:rsidRPr="00282AC9">
        <w:rPr>
          <w:rFonts w:hint="cs"/>
          <w:sz w:val="27"/>
          <w:rtl/>
          <w:lang w:bidi="fa-IR"/>
        </w:rPr>
        <w:t>: الناقل للملك من مالك</w:t>
      </w:r>
      <w:r w:rsidR="00B86705" w:rsidRPr="00282AC9">
        <w:rPr>
          <w:rFonts w:hint="cs"/>
          <w:sz w:val="27"/>
          <w:rtl/>
          <w:lang w:bidi="fa-IR"/>
        </w:rPr>
        <w:t>ٍ</w:t>
      </w:r>
      <w:r w:rsidR="00BC0925" w:rsidRPr="00282AC9">
        <w:rPr>
          <w:rFonts w:hint="cs"/>
          <w:sz w:val="27"/>
          <w:rtl/>
          <w:lang w:bidi="fa-IR"/>
        </w:rPr>
        <w:t xml:space="preserve"> إلى </w:t>
      </w:r>
      <w:r w:rsidRPr="00282AC9">
        <w:rPr>
          <w:rFonts w:hint="cs"/>
          <w:sz w:val="27"/>
          <w:rtl/>
          <w:lang w:bidi="fa-IR"/>
        </w:rPr>
        <w:t>مالك</w:t>
      </w:r>
      <w:r w:rsidR="00B86705" w:rsidRPr="00282AC9">
        <w:rPr>
          <w:rFonts w:hint="cs"/>
          <w:sz w:val="27"/>
          <w:rtl/>
          <w:lang w:bidi="fa-IR"/>
        </w:rPr>
        <w:t>ٍ</w:t>
      </w:r>
      <w:r w:rsidRPr="00282AC9">
        <w:rPr>
          <w:rFonts w:hint="cs"/>
          <w:sz w:val="27"/>
          <w:rtl/>
          <w:lang w:bidi="fa-IR"/>
        </w:rPr>
        <w:t xml:space="preserve"> آخر</w:t>
      </w:r>
      <w:r w:rsidR="00B86705" w:rsidRPr="00282AC9">
        <w:rPr>
          <w:rFonts w:hint="cs"/>
          <w:sz w:val="27"/>
          <w:rtl/>
          <w:lang w:bidi="fa-IR"/>
        </w:rPr>
        <w:t>،</w:t>
      </w:r>
      <w:r w:rsidRPr="00282AC9">
        <w:rPr>
          <w:rFonts w:hint="cs"/>
          <w:sz w:val="27"/>
          <w:rtl/>
          <w:lang w:bidi="fa-IR"/>
        </w:rPr>
        <w:t xml:space="preserve"> كالبيع والهبة.</w:t>
      </w:r>
    </w:p>
    <w:p w:rsidR="0062395A" w:rsidRPr="00282AC9" w:rsidRDefault="0062395A" w:rsidP="00495D24">
      <w:pPr>
        <w:rPr>
          <w:sz w:val="27"/>
          <w:rtl/>
          <w:lang w:bidi="fa-IR"/>
        </w:rPr>
      </w:pPr>
      <w:r w:rsidRPr="00282AC9">
        <w:rPr>
          <w:rFonts w:hint="cs"/>
          <w:b/>
          <w:bCs/>
          <w:sz w:val="27"/>
          <w:rtl/>
          <w:lang w:bidi="fa-IR"/>
        </w:rPr>
        <w:t>السبب الثاني</w:t>
      </w:r>
      <w:r w:rsidR="00B86705" w:rsidRPr="00282AC9">
        <w:rPr>
          <w:rFonts w:hint="cs"/>
          <w:sz w:val="27"/>
          <w:rtl/>
          <w:lang w:bidi="fa-IR"/>
        </w:rPr>
        <w:t>: أن يخل</w:t>
      </w:r>
      <w:r w:rsidR="00FC1B2C" w:rsidRPr="00282AC9">
        <w:rPr>
          <w:rFonts w:hint="cs"/>
          <w:sz w:val="27"/>
          <w:rtl/>
          <w:lang w:bidi="fa-IR"/>
        </w:rPr>
        <w:t>ِّ</w:t>
      </w:r>
      <w:r w:rsidRPr="00282AC9">
        <w:rPr>
          <w:rFonts w:hint="cs"/>
          <w:sz w:val="27"/>
          <w:rtl/>
          <w:lang w:bidi="fa-IR"/>
        </w:rPr>
        <w:t>ف واحد</w:t>
      </w:r>
      <w:r w:rsidR="00B86705" w:rsidRPr="00282AC9">
        <w:rPr>
          <w:rFonts w:hint="cs"/>
          <w:sz w:val="27"/>
          <w:rtl/>
          <w:lang w:bidi="fa-IR"/>
        </w:rPr>
        <w:t>ٌ</w:t>
      </w:r>
      <w:r w:rsidRPr="00282AC9">
        <w:rPr>
          <w:rFonts w:hint="cs"/>
          <w:sz w:val="27"/>
          <w:rtl/>
          <w:lang w:bidi="fa-IR"/>
        </w:rPr>
        <w:t xml:space="preserve"> لآخر</w:t>
      </w:r>
      <w:r w:rsidR="00B86705" w:rsidRPr="00282AC9">
        <w:rPr>
          <w:rFonts w:hint="cs"/>
          <w:sz w:val="27"/>
          <w:rtl/>
          <w:lang w:bidi="fa-IR"/>
        </w:rPr>
        <w:t>،</w:t>
      </w:r>
      <w:r w:rsidRPr="00282AC9">
        <w:rPr>
          <w:rFonts w:hint="cs"/>
          <w:sz w:val="27"/>
          <w:rtl/>
          <w:lang w:bidi="fa-IR"/>
        </w:rPr>
        <w:t xml:space="preserve"> كالإرث.</w:t>
      </w:r>
    </w:p>
    <w:p w:rsidR="0062395A" w:rsidRPr="00282AC9" w:rsidRDefault="0062395A" w:rsidP="00495D24">
      <w:pPr>
        <w:rPr>
          <w:sz w:val="27"/>
          <w:rtl/>
          <w:lang w:bidi="fa-IR"/>
        </w:rPr>
      </w:pPr>
      <w:r w:rsidRPr="00282AC9">
        <w:rPr>
          <w:rFonts w:hint="cs"/>
          <w:b/>
          <w:bCs/>
          <w:sz w:val="27"/>
          <w:rtl/>
          <w:lang w:bidi="fa-IR"/>
        </w:rPr>
        <w:t>السبب الثالث</w:t>
      </w:r>
      <w:r w:rsidRPr="00282AC9">
        <w:rPr>
          <w:rFonts w:hint="cs"/>
          <w:sz w:val="27"/>
          <w:rtl/>
          <w:lang w:bidi="fa-IR"/>
        </w:rPr>
        <w:t>: إحراز شيء</w:t>
      </w:r>
      <w:r w:rsidR="00B86705" w:rsidRPr="00282AC9">
        <w:rPr>
          <w:rFonts w:hint="cs"/>
          <w:sz w:val="27"/>
          <w:rtl/>
          <w:lang w:bidi="fa-IR"/>
        </w:rPr>
        <w:t>ٍ</w:t>
      </w:r>
      <w:r w:rsidRPr="00282AC9">
        <w:rPr>
          <w:rFonts w:hint="cs"/>
          <w:sz w:val="27"/>
          <w:rtl/>
          <w:lang w:bidi="fa-IR"/>
        </w:rPr>
        <w:t xml:space="preserve"> مُباح</w:t>
      </w:r>
      <w:r w:rsidR="00B86705" w:rsidRPr="00282AC9">
        <w:rPr>
          <w:rFonts w:hint="cs"/>
          <w:sz w:val="27"/>
          <w:rtl/>
          <w:lang w:bidi="fa-IR"/>
        </w:rPr>
        <w:t>ٍ</w:t>
      </w:r>
      <w:r w:rsidRPr="00282AC9">
        <w:rPr>
          <w:rFonts w:hint="cs"/>
          <w:sz w:val="27"/>
          <w:rtl/>
          <w:lang w:bidi="fa-IR"/>
        </w:rPr>
        <w:t xml:space="preserve"> لا مالك له</w:t>
      </w:r>
      <w:r w:rsidR="00B86705" w:rsidRPr="00282AC9">
        <w:rPr>
          <w:rFonts w:hint="cs"/>
          <w:sz w:val="27"/>
          <w:rtl/>
          <w:lang w:bidi="fa-IR"/>
        </w:rPr>
        <w:t>.</w:t>
      </w:r>
      <w:r w:rsidRPr="00282AC9">
        <w:rPr>
          <w:rFonts w:hint="cs"/>
          <w:sz w:val="27"/>
          <w:rtl/>
          <w:lang w:bidi="fa-IR"/>
        </w:rPr>
        <w:t xml:space="preserve"> وهذا إمّا حقيقي</w:t>
      </w:r>
      <w:r w:rsidR="00B86705" w:rsidRPr="00282AC9">
        <w:rPr>
          <w:rFonts w:hint="cs"/>
          <w:sz w:val="27"/>
          <w:rtl/>
          <w:lang w:bidi="fa-IR"/>
        </w:rPr>
        <w:t>ّ،</w:t>
      </w:r>
      <w:r w:rsidRPr="00282AC9">
        <w:rPr>
          <w:rFonts w:hint="cs"/>
          <w:sz w:val="27"/>
          <w:rtl/>
          <w:lang w:bidi="fa-IR"/>
        </w:rPr>
        <w:t xml:space="preserve"> وهو وضع اليد حقيقة</w:t>
      </w:r>
      <w:r w:rsidR="00B86705" w:rsidRPr="00282AC9">
        <w:rPr>
          <w:rFonts w:hint="cs"/>
          <w:sz w:val="27"/>
          <w:rtl/>
          <w:lang w:bidi="fa-IR"/>
        </w:rPr>
        <w:t>ً</w:t>
      </w:r>
      <w:r w:rsidRPr="00282AC9">
        <w:rPr>
          <w:rFonts w:hint="cs"/>
          <w:sz w:val="27"/>
          <w:rtl/>
          <w:lang w:bidi="fa-IR"/>
        </w:rPr>
        <w:t xml:space="preserve"> على شيء</w:t>
      </w:r>
      <w:r w:rsidR="00B86705" w:rsidRPr="00282AC9">
        <w:rPr>
          <w:rFonts w:hint="cs"/>
          <w:sz w:val="27"/>
          <w:rtl/>
          <w:lang w:bidi="fa-IR"/>
        </w:rPr>
        <w:t>؛</w:t>
      </w:r>
      <w:r w:rsidRPr="00282AC9">
        <w:rPr>
          <w:rFonts w:hint="cs"/>
          <w:sz w:val="27"/>
          <w:rtl/>
          <w:lang w:bidi="fa-IR"/>
        </w:rPr>
        <w:t xml:space="preserve"> وإمّا حكميّ</w:t>
      </w:r>
      <w:r w:rsidR="00B86705" w:rsidRPr="00282AC9">
        <w:rPr>
          <w:rFonts w:hint="cs"/>
          <w:sz w:val="27"/>
          <w:rtl/>
          <w:lang w:bidi="fa-IR"/>
        </w:rPr>
        <w:t>،</w:t>
      </w:r>
      <w:r w:rsidRPr="00282AC9">
        <w:rPr>
          <w:rFonts w:hint="cs"/>
          <w:sz w:val="27"/>
          <w:rtl/>
          <w:lang w:bidi="fa-IR"/>
        </w:rPr>
        <w:t xml:space="preserve"> وذلك بتهيئة سببه</w:t>
      </w:r>
      <w:r w:rsidR="00B86705" w:rsidRPr="00282AC9">
        <w:rPr>
          <w:rFonts w:hint="cs"/>
          <w:sz w:val="27"/>
          <w:rtl/>
          <w:lang w:bidi="fa-IR"/>
        </w:rPr>
        <w:t>،</w:t>
      </w:r>
      <w:r w:rsidRPr="00282AC9">
        <w:rPr>
          <w:rFonts w:hint="cs"/>
          <w:sz w:val="27"/>
          <w:rtl/>
          <w:lang w:bidi="fa-IR"/>
        </w:rPr>
        <w:t xml:space="preserve"> كوضع إناء</w:t>
      </w:r>
      <w:r w:rsidR="00B86705" w:rsidRPr="00282AC9">
        <w:rPr>
          <w:rFonts w:hint="cs"/>
          <w:sz w:val="27"/>
          <w:rtl/>
          <w:lang w:bidi="fa-IR"/>
        </w:rPr>
        <w:t>ٍ</w:t>
      </w:r>
      <w:r w:rsidRPr="00282AC9">
        <w:rPr>
          <w:rFonts w:hint="cs"/>
          <w:sz w:val="27"/>
          <w:rtl/>
          <w:lang w:bidi="fa-IR"/>
        </w:rPr>
        <w:t xml:space="preserve"> لجمع ماء المطر</w:t>
      </w:r>
      <w:r w:rsidR="00B86705" w:rsidRPr="00282AC9">
        <w:rPr>
          <w:rFonts w:hint="cs"/>
          <w:sz w:val="27"/>
          <w:rtl/>
          <w:lang w:bidi="fa-IR"/>
        </w:rPr>
        <w:t>،</w:t>
      </w:r>
      <w:r w:rsidRPr="00282AC9">
        <w:rPr>
          <w:rFonts w:hint="cs"/>
          <w:sz w:val="27"/>
          <w:rtl/>
          <w:lang w:bidi="fa-IR"/>
        </w:rPr>
        <w:t xml:space="preserve"> أو نصب شبكة</w:t>
      </w:r>
      <w:r w:rsidR="00B86705" w:rsidRPr="00282AC9">
        <w:rPr>
          <w:rFonts w:hint="cs"/>
          <w:sz w:val="27"/>
          <w:rtl/>
          <w:lang w:bidi="fa-IR"/>
        </w:rPr>
        <w:t>ٍ</w:t>
      </w:r>
      <w:r w:rsidRPr="00282AC9">
        <w:rPr>
          <w:rFonts w:hint="cs"/>
          <w:sz w:val="27"/>
          <w:rtl/>
          <w:lang w:bidi="fa-IR"/>
        </w:rPr>
        <w:t xml:space="preserve"> لأجل الصيد.</w:t>
      </w:r>
    </w:p>
    <w:p w:rsidR="0062395A" w:rsidRPr="00282AC9" w:rsidRDefault="0062395A" w:rsidP="00495D24">
      <w:pPr>
        <w:rPr>
          <w:sz w:val="27"/>
          <w:rtl/>
          <w:lang w:bidi="fa-IR"/>
        </w:rPr>
      </w:pPr>
      <w:r w:rsidRPr="00282AC9">
        <w:rPr>
          <w:rFonts w:hint="cs"/>
          <w:sz w:val="27"/>
          <w:rtl/>
          <w:lang w:bidi="fa-IR"/>
        </w:rPr>
        <w:t>وهذا المسلك قد صُرّ</w:t>
      </w:r>
      <w:r w:rsidR="00B86705" w:rsidRPr="00282AC9">
        <w:rPr>
          <w:rFonts w:hint="cs"/>
          <w:sz w:val="27"/>
          <w:rtl/>
          <w:lang w:bidi="fa-IR"/>
        </w:rPr>
        <w:t>ِ</w:t>
      </w:r>
      <w:r w:rsidRPr="00282AC9">
        <w:rPr>
          <w:rFonts w:hint="cs"/>
          <w:sz w:val="27"/>
          <w:rtl/>
          <w:lang w:bidi="fa-IR"/>
        </w:rPr>
        <w:t>ح به في مجلّة الأحكام العدلي</w:t>
      </w:r>
      <w:r w:rsidR="00B86705" w:rsidRPr="00282AC9">
        <w:rPr>
          <w:rFonts w:hint="cs"/>
          <w:sz w:val="27"/>
          <w:rtl/>
          <w:lang w:bidi="fa-IR"/>
        </w:rPr>
        <w:t>ّ</w:t>
      </w:r>
      <w:r w:rsidRPr="00282AC9">
        <w:rPr>
          <w:rFonts w:hint="cs"/>
          <w:sz w:val="27"/>
          <w:rtl/>
          <w:lang w:bidi="fa-IR"/>
        </w:rPr>
        <w:t>ة</w:t>
      </w:r>
      <w:r w:rsidRPr="00282AC9">
        <w:rPr>
          <w:sz w:val="27"/>
          <w:vertAlign w:val="superscript"/>
          <w:rtl/>
          <w:lang w:bidi="fa-IR"/>
        </w:rPr>
        <w:t>(</w:t>
      </w:r>
      <w:r w:rsidRPr="00282AC9">
        <w:rPr>
          <w:sz w:val="27"/>
          <w:vertAlign w:val="superscript"/>
          <w:rtl/>
          <w:lang w:bidi="fa-IR"/>
        </w:rPr>
        <w:endnoteReference w:id="993"/>
      </w:r>
      <w:r w:rsidRPr="00282AC9">
        <w:rPr>
          <w:rFonts w:hint="cs"/>
          <w:sz w:val="27"/>
          <w:vertAlign w:val="superscript"/>
          <w:rtl/>
          <w:lang w:bidi="fa-IR"/>
        </w:rPr>
        <w:t>)</w:t>
      </w:r>
      <w:r w:rsidRPr="00282AC9">
        <w:rPr>
          <w:rFonts w:hint="cs"/>
          <w:sz w:val="27"/>
          <w:rtl/>
          <w:lang w:bidi="fa-IR"/>
        </w:rPr>
        <w:t>.</w:t>
      </w:r>
    </w:p>
    <w:p w:rsidR="00656750" w:rsidRPr="00282AC9" w:rsidRDefault="00656750" w:rsidP="000F0B20">
      <w:pPr>
        <w:spacing w:line="430" w:lineRule="exact"/>
        <w:rPr>
          <w:sz w:val="27"/>
          <w:rtl/>
          <w:lang w:bidi="fa-IR"/>
        </w:rPr>
      </w:pPr>
    </w:p>
    <w:p w:rsidR="0062395A" w:rsidRPr="00282AC9" w:rsidRDefault="00600173" w:rsidP="00715FC8">
      <w:pPr>
        <w:pStyle w:val="31"/>
        <w:rPr>
          <w:color w:val="auto"/>
          <w:rtl/>
          <w:lang w:bidi="fa-IR"/>
        </w:rPr>
      </w:pPr>
      <w:r w:rsidRPr="00282AC9">
        <w:rPr>
          <w:rFonts w:hint="cs"/>
          <w:color w:val="auto"/>
          <w:rtl/>
          <w:lang w:bidi="fa-IR"/>
        </w:rPr>
        <w:t>تنبيهٌ واعتراض</w:t>
      </w:r>
    </w:p>
    <w:p w:rsidR="0062395A" w:rsidRPr="00282AC9" w:rsidRDefault="0062395A" w:rsidP="00495D24">
      <w:pPr>
        <w:rPr>
          <w:sz w:val="27"/>
          <w:rtl/>
          <w:lang w:bidi="fa-IR"/>
        </w:rPr>
      </w:pPr>
      <w:r w:rsidRPr="00282AC9">
        <w:rPr>
          <w:rFonts w:hint="cs"/>
          <w:sz w:val="27"/>
          <w:rtl/>
          <w:lang w:bidi="fa-IR"/>
        </w:rPr>
        <w:t>يت</w:t>
      </w:r>
      <w:r w:rsidR="00B86705" w:rsidRPr="00282AC9">
        <w:rPr>
          <w:rFonts w:hint="cs"/>
          <w:sz w:val="27"/>
          <w:rtl/>
          <w:lang w:bidi="fa-IR"/>
        </w:rPr>
        <w:t>َّ</w:t>
      </w:r>
      <w:r w:rsidRPr="00282AC9">
        <w:rPr>
          <w:rFonts w:hint="cs"/>
          <w:sz w:val="27"/>
          <w:rtl/>
          <w:lang w:bidi="fa-IR"/>
        </w:rPr>
        <w:t>ضح ممّا مرّ</w:t>
      </w:r>
      <w:r w:rsidR="00B86705" w:rsidRPr="00282AC9">
        <w:rPr>
          <w:rFonts w:hint="cs"/>
          <w:sz w:val="27"/>
          <w:rtl/>
          <w:lang w:bidi="fa-IR"/>
        </w:rPr>
        <w:t>َ</w:t>
      </w:r>
      <w:r w:rsidRPr="00282AC9">
        <w:rPr>
          <w:rFonts w:hint="cs"/>
          <w:sz w:val="27"/>
          <w:rtl/>
          <w:lang w:bidi="fa-IR"/>
        </w:rPr>
        <w:t xml:space="preserve"> ويأتي عدم جامعي</w:t>
      </w:r>
      <w:r w:rsidR="00B86705" w:rsidRPr="00282AC9">
        <w:rPr>
          <w:rFonts w:hint="cs"/>
          <w:sz w:val="27"/>
          <w:rtl/>
          <w:lang w:bidi="fa-IR"/>
        </w:rPr>
        <w:t>ّ</w:t>
      </w:r>
      <w:r w:rsidRPr="00282AC9">
        <w:rPr>
          <w:rFonts w:hint="cs"/>
          <w:sz w:val="27"/>
          <w:rtl/>
          <w:lang w:bidi="fa-IR"/>
        </w:rPr>
        <w:t>ة هذا التقسيم؛ نظراً لعدم انحصار الأسباب في</w:t>
      </w:r>
      <w:r w:rsidR="00B86705" w:rsidRPr="00282AC9">
        <w:rPr>
          <w:rFonts w:hint="cs"/>
          <w:sz w:val="27"/>
          <w:rtl/>
          <w:lang w:bidi="fa-IR"/>
        </w:rPr>
        <w:t xml:space="preserve"> </w:t>
      </w:r>
      <w:r w:rsidRPr="00282AC9">
        <w:rPr>
          <w:rFonts w:hint="cs"/>
          <w:sz w:val="27"/>
          <w:rtl/>
          <w:lang w:bidi="fa-IR"/>
        </w:rPr>
        <w:t>ما ذُك</w:t>
      </w:r>
      <w:r w:rsidR="00B86705" w:rsidRPr="00282AC9">
        <w:rPr>
          <w:rFonts w:hint="cs"/>
          <w:sz w:val="27"/>
          <w:rtl/>
          <w:lang w:bidi="fa-IR"/>
        </w:rPr>
        <w:t>ِ</w:t>
      </w:r>
      <w:r w:rsidRPr="00282AC9">
        <w:rPr>
          <w:rFonts w:hint="cs"/>
          <w:sz w:val="27"/>
          <w:rtl/>
          <w:lang w:bidi="fa-IR"/>
        </w:rPr>
        <w:t>ر</w:t>
      </w:r>
      <w:r w:rsidR="00B86705" w:rsidRPr="00282AC9">
        <w:rPr>
          <w:rFonts w:hint="cs"/>
          <w:sz w:val="27"/>
          <w:rtl/>
          <w:lang w:bidi="fa-IR"/>
        </w:rPr>
        <w:t>؛</w:t>
      </w:r>
      <w:r w:rsidRPr="00282AC9">
        <w:rPr>
          <w:rFonts w:hint="cs"/>
          <w:sz w:val="27"/>
          <w:rtl/>
          <w:lang w:bidi="fa-IR"/>
        </w:rPr>
        <w:t xml:space="preserve"> فإنّه ممّا </w:t>
      </w:r>
      <w:r w:rsidR="00674EF5" w:rsidRPr="00282AC9">
        <w:rPr>
          <w:rFonts w:hint="cs"/>
          <w:sz w:val="27"/>
          <w:rtl/>
          <w:lang w:bidi="fa-IR"/>
        </w:rPr>
        <w:t>لا رَيْبَ</w:t>
      </w:r>
      <w:r w:rsidRPr="00282AC9">
        <w:rPr>
          <w:rFonts w:hint="cs"/>
          <w:sz w:val="27"/>
          <w:rtl/>
          <w:lang w:bidi="fa-IR"/>
        </w:rPr>
        <w:t xml:space="preserve"> فيه كون العمل والضمان والت</w:t>
      </w:r>
      <w:r w:rsidR="00B86705" w:rsidRPr="00282AC9">
        <w:rPr>
          <w:rFonts w:hint="cs"/>
          <w:sz w:val="27"/>
          <w:rtl/>
          <w:lang w:bidi="fa-IR"/>
        </w:rPr>
        <w:t>َّ</w:t>
      </w:r>
      <w:r w:rsidRPr="00282AC9">
        <w:rPr>
          <w:rFonts w:hint="cs"/>
          <w:sz w:val="27"/>
          <w:rtl/>
          <w:lang w:bidi="fa-IR"/>
        </w:rPr>
        <w:t>ب</w:t>
      </w:r>
      <w:r w:rsidR="00B86705" w:rsidRPr="00282AC9">
        <w:rPr>
          <w:rFonts w:hint="cs"/>
          <w:sz w:val="27"/>
          <w:rtl/>
          <w:lang w:bidi="fa-IR"/>
        </w:rPr>
        <w:t>َ</w:t>
      </w:r>
      <w:r w:rsidRPr="00282AC9">
        <w:rPr>
          <w:rFonts w:hint="cs"/>
          <w:sz w:val="27"/>
          <w:rtl/>
          <w:lang w:bidi="fa-IR"/>
        </w:rPr>
        <w:t>عي</w:t>
      </w:r>
      <w:r w:rsidR="00B86705" w:rsidRPr="00282AC9">
        <w:rPr>
          <w:rFonts w:hint="cs"/>
          <w:sz w:val="27"/>
          <w:rtl/>
          <w:lang w:bidi="fa-IR"/>
        </w:rPr>
        <w:t>ّ</w:t>
      </w:r>
      <w:r w:rsidRPr="00282AC9">
        <w:rPr>
          <w:rFonts w:hint="cs"/>
          <w:sz w:val="27"/>
          <w:rtl/>
          <w:lang w:bidi="fa-IR"/>
        </w:rPr>
        <w:t xml:space="preserve">ة من جملة أسباب </w:t>
      </w:r>
      <w:r w:rsidR="00EB1216" w:rsidRPr="00282AC9">
        <w:rPr>
          <w:rFonts w:hint="cs"/>
          <w:sz w:val="27"/>
          <w:rtl/>
          <w:lang w:bidi="fa-IR"/>
        </w:rPr>
        <w:t>المِلْكيّة</w:t>
      </w:r>
      <w:r w:rsidRPr="00282AC9">
        <w:rPr>
          <w:rFonts w:hint="cs"/>
          <w:sz w:val="27"/>
          <w:rtl/>
          <w:lang w:bidi="fa-IR"/>
        </w:rPr>
        <w:t>.</w:t>
      </w:r>
    </w:p>
    <w:p w:rsidR="0062395A" w:rsidRPr="00282AC9" w:rsidRDefault="0062395A" w:rsidP="000F0B20">
      <w:pPr>
        <w:spacing w:line="430" w:lineRule="exact"/>
        <w:rPr>
          <w:sz w:val="27"/>
          <w:rtl/>
          <w:lang w:bidi="fa-IR"/>
        </w:rPr>
      </w:pPr>
    </w:p>
    <w:p w:rsidR="0062395A" w:rsidRPr="00282AC9" w:rsidRDefault="00656750" w:rsidP="00715FC8">
      <w:pPr>
        <w:pStyle w:val="31"/>
        <w:rPr>
          <w:color w:val="auto"/>
          <w:rtl/>
          <w:lang w:bidi="fa-IR"/>
        </w:rPr>
      </w:pPr>
      <w:r w:rsidRPr="00282AC9">
        <w:rPr>
          <w:rFonts w:hint="cs"/>
          <w:color w:val="auto"/>
          <w:rtl/>
        </w:rPr>
        <w:t>المسلك الثاني</w:t>
      </w:r>
      <w:r w:rsidR="00600173" w:rsidRPr="00282AC9">
        <w:rPr>
          <w:rFonts w:hint="cs"/>
          <w:color w:val="auto"/>
          <w:rtl/>
        </w:rPr>
        <w:t>: الأسباب الاختياريّة والقَهْريّة</w:t>
      </w:r>
      <w:r w:rsidR="001272A6" w:rsidRPr="00282AC9">
        <w:rPr>
          <w:rFonts w:hint="cs"/>
          <w:color w:val="auto"/>
          <w:rtl/>
        </w:rPr>
        <w:t xml:space="preserve"> ومتفرِّعاتها</w:t>
      </w:r>
    </w:p>
    <w:p w:rsidR="0062395A" w:rsidRPr="00282AC9" w:rsidRDefault="0062395A" w:rsidP="00495D24">
      <w:pPr>
        <w:rPr>
          <w:sz w:val="27"/>
          <w:rtl/>
          <w:lang w:bidi="fa-IR"/>
        </w:rPr>
      </w:pPr>
      <w:r w:rsidRPr="00282AC9">
        <w:rPr>
          <w:rFonts w:hint="cs"/>
          <w:sz w:val="27"/>
          <w:rtl/>
          <w:lang w:bidi="fa-IR"/>
        </w:rPr>
        <w:t>وهو متصيّ</w:t>
      </w:r>
      <w:r w:rsidR="00B86705" w:rsidRPr="00282AC9">
        <w:rPr>
          <w:rFonts w:hint="cs"/>
          <w:sz w:val="27"/>
          <w:rtl/>
          <w:lang w:bidi="fa-IR"/>
        </w:rPr>
        <w:t>َ</w:t>
      </w:r>
      <w:r w:rsidRPr="00282AC9">
        <w:rPr>
          <w:rFonts w:hint="cs"/>
          <w:sz w:val="27"/>
          <w:rtl/>
          <w:lang w:bidi="fa-IR"/>
        </w:rPr>
        <w:t>د</w:t>
      </w:r>
      <w:r w:rsidR="00B86705" w:rsidRPr="00282AC9">
        <w:rPr>
          <w:rFonts w:hint="cs"/>
          <w:sz w:val="27"/>
          <w:rtl/>
          <w:lang w:bidi="fa-IR"/>
        </w:rPr>
        <w:t>ٌ</w:t>
      </w:r>
      <w:r w:rsidRPr="00282AC9">
        <w:rPr>
          <w:rFonts w:hint="cs"/>
          <w:sz w:val="27"/>
          <w:rtl/>
          <w:lang w:bidi="fa-IR"/>
        </w:rPr>
        <w:t xml:space="preserve"> ممّا هو مذكور</w:t>
      </w:r>
      <w:r w:rsidR="00B86705" w:rsidRPr="00282AC9">
        <w:rPr>
          <w:rFonts w:hint="cs"/>
          <w:sz w:val="27"/>
          <w:rtl/>
          <w:lang w:bidi="fa-IR"/>
        </w:rPr>
        <w:t>ٌ</w:t>
      </w:r>
      <w:r w:rsidRPr="00282AC9">
        <w:rPr>
          <w:rFonts w:hint="cs"/>
          <w:sz w:val="27"/>
          <w:rtl/>
          <w:lang w:bidi="fa-IR"/>
        </w:rPr>
        <w:t xml:space="preserve"> في كتاب الشركة وأسبابها، وإنّما قلنا متصيّ</w:t>
      </w:r>
      <w:r w:rsidR="00B86705" w:rsidRPr="00282AC9">
        <w:rPr>
          <w:rFonts w:hint="cs"/>
          <w:sz w:val="27"/>
          <w:rtl/>
          <w:lang w:bidi="fa-IR"/>
        </w:rPr>
        <w:t>َ</w:t>
      </w:r>
      <w:r w:rsidRPr="00282AC9">
        <w:rPr>
          <w:rFonts w:hint="cs"/>
          <w:sz w:val="27"/>
          <w:rtl/>
          <w:lang w:bidi="fa-IR"/>
        </w:rPr>
        <w:t>د</w:t>
      </w:r>
      <w:r w:rsidR="00B86705" w:rsidRPr="00282AC9">
        <w:rPr>
          <w:rFonts w:hint="cs"/>
          <w:sz w:val="27"/>
          <w:rtl/>
          <w:lang w:bidi="fa-IR"/>
        </w:rPr>
        <w:t>ٌ</w:t>
      </w:r>
      <w:r w:rsidRPr="00282AC9">
        <w:rPr>
          <w:rFonts w:hint="cs"/>
          <w:sz w:val="27"/>
          <w:rtl/>
          <w:lang w:bidi="fa-IR"/>
        </w:rPr>
        <w:t xml:space="preserve"> لأنّه قد ذُك</w:t>
      </w:r>
      <w:r w:rsidR="00B86705" w:rsidRPr="00282AC9">
        <w:rPr>
          <w:rFonts w:hint="cs"/>
          <w:sz w:val="27"/>
          <w:rtl/>
          <w:lang w:bidi="fa-IR"/>
        </w:rPr>
        <w:t>ِ</w:t>
      </w:r>
      <w:r w:rsidRPr="00282AC9">
        <w:rPr>
          <w:rFonts w:hint="cs"/>
          <w:sz w:val="27"/>
          <w:rtl/>
          <w:lang w:bidi="fa-IR"/>
        </w:rPr>
        <w:t>ر بما هو تنويع</w:t>
      </w:r>
      <w:r w:rsidR="00B86705" w:rsidRPr="00282AC9">
        <w:rPr>
          <w:rFonts w:hint="cs"/>
          <w:sz w:val="27"/>
          <w:rtl/>
          <w:lang w:bidi="fa-IR"/>
        </w:rPr>
        <w:t>ٌ</w:t>
      </w:r>
      <w:r w:rsidRPr="00282AC9">
        <w:rPr>
          <w:rFonts w:hint="cs"/>
          <w:sz w:val="27"/>
          <w:rtl/>
          <w:lang w:bidi="fa-IR"/>
        </w:rPr>
        <w:t xml:space="preserve"> وبيان</w:t>
      </w:r>
      <w:r w:rsidR="00B86705" w:rsidRPr="00282AC9">
        <w:rPr>
          <w:rFonts w:hint="cs"/>
          <w:sz w:val="27"/>
          <w:rtl/>
          <w:lang w:bidi="fa-IR"/>
        </w:rPr>
        <w:t>ٌ</w:t>
      </w:r>
      <w:r w:rsidRPr="00282AC9">
        <w:rPr>
          <w:rFonts w:hint="cs"/>
          <w:sz w:val="27"/>
          <w:rtl/>
          <w:lang w:bidi="fa-IR"/>
        </w:rPr>
        <w:t xml:space="preserve"> لأنواع </w:t>
      </w:r>
      <w:r w:rsidR="00EB1216" w:rsidRPr="00282AC9">
        <w:rPr>
          <w:rFonts w:hint="cs"/>
          <w:sz w:val="27"/>
          <w:rtl/>
          <w:lang w:bidi="fa-IR"/>
        </w:rPr>
        <w:t>المِلْكيّة</w:t>
      </w:r>
      <w:r w:rsidR="00B86705" w:rsidRPr="00282AC9">
        <w:rPr>
          <w:rFonts w:hint="cs"/>
          <w:sz w:val="27"/>
          <w:rtl/>
          <w:lang w:bidi="fa-IR"/>
        </w:rPr>
        <w:t>،</w:t>
      </w:r>
      <w:r w:rsidRPr="00282AC9">
        <w:rPr>
          <w:rFonts w:hint="cs"/>
          <w:sz w:val="27"/>
          <w:rtl/>
          <w:lang w:bidi="fa-IR"/>
        </w:rPr>
        <w:t xml:space="preserve"> من ناحية كونها قهري</w:t>
      </w:r>
      <w:r w:rsidR="00B86705" w:rsidRPr="00282AC9">
        <w:rPr>
          <w:rFonts w:hint="cs"/>
          <w:sz w:val="27"/>
          <w:rtl/>
          <w:lang w:bidi="fa-IR"/>
        </w:rPr>
        <w:t>ّ</w:t>
      </w:r>
      <w:r w:rsidRPr="00282AC9">
        <w:rPr>
          <w:rFonts w:hint="cs"/>
          <w:sz w:val="27"/>
          <w:rtl/>
          <w:lang w:bidi="fa-IR"/>
        </w:rPr>
        <w:t>ة</w:t>
      </w:r>
      <w:r w:rsidR="00B86705" w:rsidRPr="00282AC9">
        <w:rPr>
          <w:rFonts w:hint="cs"/>
          <w:sz w:val="27"/>
          <w:rtl/>
          <w:lang w:bidi="fa-IR"/>
        </w:rPr>
        <w:t>ً</w:t>
      </w:r>
      <w:r w:rsidRPr="00282AC9">
        <w:rPr>
          <w:rFonts w:hint="cs"/>
          <w:sz w:val="27"/>
          <w:rtl/>
          <w:lang w:bidi="fa-IR"/>
        </w:rPr>
        <w:t xml:space="preserve"> أو اختياري</w:t>
      </w:r>
      <w:r w:rsidR="00B86705" w:rsidRPr="00282AC9">
        <w:rPr>
          <w:rFonts w:hint="cs"/>
          <w:sz w:val="27"/>
          <w:rtl/>
          <w:lang w:bidi="fa-IR"/>
        </w:rPr>
        <w:t>ّ</w:t>
      </w:r>
      <w:r w:rsidRPr="00282AC9">
        <w:rPr>
          <w:rFonts w:hint="cs"/>
          <w:sz w:val="27"/>
          <w:rtl/>
          <w:lang w:bidi="fa-IR"/>
        </w:rPr>
        <w:t>ة</w:t>
      </w:r>
      <w:r w:rsidR="00B86705" w:rsidRPr="00282AC9">
        <w:rPr>
          <w:rFonts w:hint="cs"/>
          <w:sz w:val="27"/>
          <w:rtl/>
          <w:lang w:bidi="fa-IR"/>
        </w:rPr>
        <w:t>ً</w:t>
      </w:r>
      <w:r w:rsidRPr="00282AC9">
        <w:rPr>
          <w:rFonts w:hint="cs"/>
          <w:sz w:val="27"/>
          <w:rtl/>
          <w:lang w:bidi="fa-IR"/>
        </w:rPr>
        <w:t>، ولا يُع</w:t>
      </w:r>
      <w:r w:rsidR="003B7018" w:rsidRPr="00282AC9">
        <w:rPr>
          <w:rFonts w:hint="cs"/>
          <w:sz w:val="27"/>
          <w:rtl/>
          <w:lang w:bidi="fa-IR"/>
        </w:rPr>
        <w:t>ْ</w:t>
      </w:r>
      <w:r w:rsidRPr="00282AC9">
        <w:rPr>
          <w:rFonts w:hint="cs"/>
          <w:sz w:val="27"/>
          <w:rtl/>
          <w:lang w:bidi="fa-IR"/>
        </w:rPr>
        <w:t>ل</w:t>
      </w:r>
      <w:r w:rsidR="003B7018" w:rsidRPr="00282AC9">
        <w:rPr>
          <w:rFonts w:hint="cs"/>
          <w:sz w:val="27"/>
          <w:rtl/>
          <w:lang w:bidi="fa-IR"/>
        </w:rPr>
        <w:t>َ</w:t>
      </w:r>
      <w:r w:rsidRPr="00282AC9">
        <w:rPr>
          <w:rFonts w:hint="cs"/>
          <w:sz w:val="27"/>
          <w:rtl/>
          <w:lang w:bidi="fa-IR"/>
        </w:rPr>
        <w:t>م كونه بصدد بيان الأسباب كافّة</w:t>
      </w:r>
      <w:r w:rsidR="003B7018" w:rsidRPr="00282AC9">
        <w:rPr>
          <w:rFonts w:hint="cs"/>
          <w:sz w:val="27"/>
          <w:rtl/>
          <w:lang w:bidi="fa-IR"/>
        </w:rPr>
        <w:t>ً،</w:t>
      </w:r>
      <w:r w:rsidRPr="00282AC9">
        <w:rPr>
          <w:rFonts w:hint="cs"/>
          <w:sz w:val="27"/>
          <w:rtl/>
          <w:lang w:bidi="fa-IR"/>
        </w:rPr>
        <w:t xml:space="preserve"> وح</w:t>
      </w:r>
      <w:r w:rsidR="003B7018" w:rsidRPr="00282AC9">
        <w:rPr>
          <w:rFonts w:hint="cs"/>
          <w:sz w:val="27"/>
          <w:rtl/>
          <w:lang w:bidi="fa-IR"/>
        </w:rPr>
        <w:t>َ</w:t>
      </w:r>
      <w:r w:rsidRPr="00282AC9">
        <w:rPr>
          <w:rFonts w:hint="cs"/>
          <w:sz w:val="27"/>
          <w:rtl/>
          <w:lang w:bidi="fa-IR"/>
        </w:rPr>
        <w:t>ص</w:t>
      </w:r>
      <w:r w:rsidR="003B7018" w:rsidRPr="00282AC9">
        <w:rPr>
          <w:rFonts w:hint="cs"/>
          <w:sz w:val="27"/>
          <w:rtl/>
          <w:lang w:bidi="fa-IR"/>
        </w:rPr>
        <w:t>ْ</w:t>
      </w:r>
      <w:r w:rsidRPr="00282AC9">
        <w:rPr>
          <w:rFonts w:hint="cs"/>
          <w:sz w:val="27"/>
          <w:rtl/>
          <w:lang w:bidi="fa-IR"/>
        </w:rPr>
        <w:t>رها ضمن عناوين ك</w:t>
      </w:r>
      <w:r w:rsidR="003B7018" w:rsidRPr="00282AC9">
        <w:rPr>
          <w:rFonts w:hint="cs"/>
          <w:sz w:val="27"/>
          <w:rtl/>
          <w:lang w:bidi="fa-IR"/>
        </w:rPr>
        <w:t>ُ</w:t>
      </w:r>
      <w:r w:rsidRPr="00282AC9">
        <w:rPr>
          <w:rFonts w:hint="cs"/>
          <w:sz w:val="27"/>
          <w:rtl/>
          <w:lang w:bidi="fa-IR"/>
        </w:rPr>
        <w:t>لّ</w:t>
      </w:r>
      <w:r w:rsidR="003B7018" w:rsidRPr="00282AC9">
        <w:rPr>
          <w:rFonts w:hint="cs"/>
          <w:sz w:val="27"/>
          <w:rtl/>
          <w:lang w:bidi="fa-IR"/>
        </w:rPr>
        <w:t>ِ</w:t>
      </w:r>
      <w:r w:rsidRPr="00282AC9">
        <w:rPr>
          <w:rFonts w:hint="cs"/>
          <w:sz w:val="27"/>
          <w:rtl/>
          <w:lang w:bidi="fa-IR"/>
        </w:rPr>
        <w:t>ية، حيث ذُكر تثنية الأسباب أوّلاً</w:t>
      </w:r>
      <w:r w:rsidR="003B7018" w:rsidRPr="00282AC9">
        <w:rPr>
          <w:rFonts w:hint="cs"/>
          <w:sz w:val="27"/>
          <w:rtl/>
          <w:lang w:bidi="fa-IR"/>
        </w:rPr>
        <w:t>،</w:t>
      </w:r>
      <w:r w:rsidRPr="00282AC9">
        <w:rPr>
          <w:rFonts w:hint="cs"/>
          <w:sz w:val="27"/>
          <w:rtl/>
          <w:lang w:bidi="fa-IR"/>
        </w:rPr>
        <w:t xml:space="preserve"> ثمّ تقسيم كلّ نوع</w:t>
      </w:r>
      <w:r w:rsidR="003B7018" w:rsidRPr="00282AC9">
        <w:rPr>
          <w:rFonts w:hint="cs"/>
          <w:sz w:val="27"/>
          <w:rtl/>
          <w:lang w:bidi="fa-IR"/>
        </w:rPr>
        <w:t>ٍ</w:t>
      </w:r>
      <w:r w:rsidRPr="00282AC9">
        <w:rPr>
          <w:rFonts w:hint="cs"/>
          <w:sz w:val="27"/>
          <w:rtl/>
          <w:lang w:bidi="fa-IR"/>
        </w:rPr>
        <w:t xml:space="preserve"> منهما</w:t>
      </w:r>
      <w:r w:rsidR="00BC0925" w:rsidRPr="00282AC9">
        <w:rPr>
          <w:rFonts w:hint="cs"/>
          <w:sz w:val="27"/>
          <w:rtl/>
          <w:lang w:bidi="fa-IR"/>
        </w:rPr>
        <w:t xml:space="preserve"> إلى </w:t>
      </w:r>
      <w:r w:rsidRPr="00282AC9">
        <w:rPr>
          <w:rFonts w:hint="cs"/>
          <w:sz w:val="27"/>
          <w:rtl/>
          <w:lang w:bidi="fa-IR"/>
        </w:rPr>
        <w:t>أصناف، فينتج تعدّ</w:t>
      </w:r>
      <w:r w:rsidR="003B7018" w:rsidRPr="00282AC9">
        <w:rPr>
          <w:rFonts w:hint="cs"/>
          <w:sz w:val="27"/>
          <w:rtl/>
          <w:lang w:bidi="fa-IR"/>
        </w:rPr>
        <w:t>ُ</w:t>
      </w:r>
      <w:r w:rsidRPr="00282AC9">
        <w:rPr>
          <w:rFonts w:hint="cs"/>
          <w:sz w:val="27"/>
          <w:rtl/>
          <w:lang w:bidi="fa-IR"/>
        </w:rPr>
        <w:t>د الأسباب</w:t>
      </w:r>
      <w:r w:rsidR="003B7018" w:rsidRPr="00282AC9">
        <w:rPr>
          <w:rFonts w:hint="cs"/>
          <w:sz w:val="27"/>
          <w:rtl/>
          <w:lang w:bidi="fa-IR"/>
        </w:rPr>
        <w:t>.</w:t>
      </w:r>
      <w:r w:rsidRPr="00282AC9">
        <w:rPr>
          <w:rFonts w:hint="cs"/>
          <w:sz w:val="27"/>
          <w:rtl/>
          <w:lang w:bidi="fa-IR"/>
        </w:rPr>
        <w:t xml:space="preserve"> وبيان ذلك:</w:t>
      </w:r>
    </w:p>
    <w:p w:rsidR="0062395A" w:rsidRPr="00282AC9" w:rsidRDefault="0062395A" w:rsidP="00495D24">
      <w:pPr>
        <w:rPr>
          <w:sz w:val="27"/>
          <w:rtl/>
          <w:lang w:bidi="fa-IR"/>
        </w:rPr>
      </w:pPr>
      <w:r w:rsidRPr="00282AC9">
        <w:rPr>
          <w:rFonts w:hint="cs"/>
          <w:sz w:val="27"/>
          <w:rtl/>
          <w:lang w:bidi="fa-IR"/>
        </w:rPr>
        <w:t>إنّ أسباب الملك نوعان: ق</w:t>
      </w:r>
      <w:r w:rsidR="003B7018" w:rsidRPr="00282AC9">
        <w:rPr>
          <w:rFonts w:hint="cs"/>
          <w:sz w:val="27"/>
          <w:rtl/>
          <w:lang w:bidi="fa-IR"/>
        </w:rPr>
        <w:t>َ</w:t>
      </w:r>
      <w:r w:rsidRPr="00282AC9">
        <w:rPr>
          <w:rFonts w:hint="cs"/>
          <w:sz w:val="27"/>
          <w:rtl/>
          <w:lang w:bidi="fa-IR"/>
        </w:rPr>
        <w:t>ه</w:t>
      </w:r>
      <w:r w:rsidR="003B7018" w:rsidRPr="00282AC9">
        <w:rPr>
          <w:rFonts w:hint="cs"/>
          <w:sz w:val="27"/>
          <w:rtl/>
          <w:lang w:bidi="fa-IR"/>
        </w:rPr>
        <w:t>ْ</w:t>
      </w:r>
      <w:r w:rsidRPr="00282AC9">
        <w:rPr>
          <w:rFonts w:hint="cs"/>
          <w:sz w:val="27"/>
          <w:rtl/>
          <w:lang w:bidi="fa-IR"/>
        </w:rPr>
        <w:t>رية [= ج</w:t>
      </w:r>
      <w:r w:rsidR="003B7018" w:rsidRPr="00282AC9">
        <w:rPr>
          <w:rFonts w:hint="cs"/>
          <w:sz w:val="27"/>
          <w:rtl/>
          <w:lang w:bidi="fa-IR"/>
        </w:rPr>
        <w:t>َ</w:t>
      </w:r>
      <w:r w:rsidRPr="00282AC9">
        <w:rPr>
          <w:rFonts w:hint="cs"/>
          <w:sz w:val="27"/>
          <w:rtl/>
          <w:lang w:bidi="fa-IR"/>
        </w:rPr>
        <w:t>ب</w:t>
      </w:r>
      <w:r w:rsidR="003B7018" w:rsidRPr="00282AC9">
        <w:rPr>
          <w:rFonts w:hint="cs"/>
          <w:sz w:val="27"/>
          <w:rtl/>
          <w:lang w:bidi="fa-IR"/>
        </w:rPr>
        <w:t>ْ</w:t>
      </w:r>
      <w:r w:rsidRPr="00282AC9">
        <w:rPr>
          <w:rFonts w:hint="cs"/>
          <w:sz w:val="27"/>
          <w:rtl/>
          <w:lang w:bidi="fa-IR"/>
        </w:rPr>
        <w:t>رية]</w:t>
      </w:r>
      <w:r w:rsidRPr="00282AC9">
        <w:rPr>
          <w:sz w:val="27"/>
          <w:vertAlign w:val="superscript"/>
          <w:rtl/>
          <w:lang w:bidi="fa-IR"/>
        </w:rPr>
        <w:t>(</w:t>
      </w:r>
      <w:r w:rsidRPr="00282AC9">
        <w:rPr>
          <w:sz w:val="27"/>
          <w:vertAlign w:val="superscript"/>
          <w:rtl/>
          <w:lang w:bidi="fa-IR"/>
        </w:rPr>
        <w:endnoteReference w:id="994"/>
      </w:r>
      <w:r w:rsidRPr="00282AC9">
        <w:rPr>
          <w:rFonts w:hint="cs"/>
          <w:sz w:val="27"/>
          <w:vertAlign w:val="superscript"/>
          <w:rtl/>
          <w:lang w:bidi="fa-IR"/>
        </w:rPr>
        <w:t>)</w:t>
      </w:r>
      <w:r w:rsidR="003B7018" w:rsidRPr="00282AC9">
        <w:rPr>
          <w:rFonts w:hint="cs"/>
          <w:sz w:val="27"/>
          <w:rtl/>
          <w:lang w:bidi="fa-IR"/>
        </w:rPr>
        <w:t>؛</w:t>
      </w:r>
      <w:r w:rsidRPr="00282AC9">
        <w:rPr>
          <w:rFonts w:hint="cs"/>
          <w:sz w:val="27"/>
          <w:rtl/>
          <w:lang w:bidi="fa-IR"/>
        </w:rPr>
        <w:t xml:space="preserve"> واختياري</w:t>
      </w:r>
      <w:r w:rsidR="003B7018" w:rsidRPr="00282AC9">
        <w:rPr>
          <w:rFonts w:hint="cs"/>
          <w:sz w:val="27"/>
          <w:rtl/>
          <w:lang w:bidi="fa-IR"/>
        </w:rPr>
        <w:t>ّ</w:t>
      </w:r>
      <w:r w:rsidRPr="00282AC9">
        <w:rPr>
          <w:rFonts w:hint="cs"/>
          <w:sz w:val="27"/>
          <w:rtl/>
          <w:lang w:bidi="fa-IR"/>
        </w:rPr>
        <w:t>ة.</w:t>
      </w:r>
    </w:p>
    <w:p w:rsidR="0062395A" w:rsidRPr="00282AC9" w:rsidRDefault="0062395A" w:rsidP="00495D24">
      <w:pPr>
        <w:rPr>
          <w:sz w:val="27"/>
          <w:rtl/>
          <w:lang w:bidi="fa-IR"/>
        </w:rPr>
      </w:pPr>
      <w:r w:rsidRPr="00282AC9">
        <w:rPr>
          <w:rFonts w:hint="cs"/>
          <w:b/>
          <w:bCs/>
          <w:sz w:val="27"/>
          <w:rtl/>
          <w:lang w:bidi="fa-IR"/>
        </w:rPr>
        <w:lastRenderedPageBreak/>
        <w:t>النوع الأوّل</w:t>
      </w:r>
      <w:r w:rsidRPr="00282AC9">
        <w:rPr>
          <w:rFonts w:hint="cs"/>
          <w:sz w:val="27"/>
          <w:rtl/>
          <w:lang w:bidi="fa-IR"/>
        </w:rPr>
        <w:t>: الأسباب الاختياري</w:t>
      </w:r>
      <w:r w:rsidR="00FD646E" w:rsidRPr="00282AC9">
        <w:rPr>
          <w:rFonts w:hint="cs"/>
          <w:sz w:val="27"/>
          <w:rtl/>
          <w:lang w:bidi="fa-IR"/>
        </w:rPr>
        <w:t>ّ</w:t>
      </w:r>
      <w:r w:rsidRPr="00282AC9">
        <w:rPr>
          <w:rFonts w:hint="cs"/>
          <w:sz w:val="27"/>
          <w:rtl/>
          <w:lang w:bidi="fa-IR"/>
        </w:rPr>
        <w:t>ة</w:t>
      </w:r>
      <w:r w:rsidR="00FD646E" w:rsidRPr="00282AC9">
        <w:rPr>
          <w:rFonts w:hint="cs"/>
          <w:sz w:val="27"/>
          <w:rtl/>
          <w:lang w:bidi="fa-IR"/>
        </w:rPr>
        <w:t>.</w:t>
      </w:r>
      <w:r w:rsidRPr="00282AC9">
        <w:rPr>
          <w:rFonts w:hint="cs"/>
          <w:sz w:val="27"/>
          <w:rtl/>
          <w:lang w:bidi="fa-IR"/>
        </w:rPr>
        <w:t xml:space="preserve"> وهي على أصناف، منها: الاكتساب، والبيع، والشراء، والصيد، والحيازة، وإحياء الموات، وما</w:t>
      </w:r>
      <w:r w:rsidR="00BC0925" w:rsidRPr="00282AC9">
        <w:rPr>
          <w:rFonts w:hint="cs"/>
          <w:sz w:val="27"/>
          <w:rtl/>
          <w:lang w:bidi="fa-IR"/>
        </w:rPr>
        <w:t xml:space="preserve"> إلى </w:t>
      </w:r>
      <w:r w:rsidRPr="00282AC9">
        <w:rPr>
          <w:rFonts w:hint="cs"/>
          <w:sz w:val="27"/>
          <w:rtl/>
          <w:lang w:bidi="fa-IR"/>
        </w:rPr>
        <w:t>ذلك.</w:t>
      </w:r>
    </w:p>
    <w:p w:rsidR="0062395A" w:rsidRPr="00282AC9" w:rsidRDefault="0062395A" w:rsidP="00495D24">
      <w:pPr>
        <w:rPr>
          <w:sz w:val="27"/>
          <w:rtl/>
          <w:lang w:bidi="fa-IR"/>
        </w:rPr>
      </w:pPr>
      <w:r w:rsidRPr="00282AC9">
        <w:rPr>
          <w:rFonts w:hint="cs"/>
          <w:b/>
          <w:bCs/>
          <w:sz w:val="27"/>
          <w:rtl/>
          <w:lang w:bidi="fa-IR"/>
        </w:rPr>
        <w:t>النوع الثاني</w:t>
      </w:r>
      <w:r w:rsidRPr="00282AC9">
        <w:rPr>
          <w:rFonts w:hint="cs"/>
          <w:sz w:val="27"/>
          <w:rtl/>
          <w:lang w:bidi="fa-IR"/>
        </w:rPr>
        <w:t>: الأسباب القهري</w:t>
      </w:r>
      <w:r w:rsidR="00FD646E" w:rsidRPr="00282AC9">
        <w:rPr>
          <w:rFonts w:hint="cs"/>
          <w:sz w:val="27"/>
          <w:rtl/>
          <w:lang w:bidi="fa-IR"/>
        </w:rPr>
        <w:t>ّ</w:t>
      </w:r>
      <w:r w:rsidRPr="00282AC9">
        <w:rPr>
          <w:rFonts w:hint="cs"/>
          <w:sz w:val="27"/>
          <w:rtl/>
          <w:lang w:bidi="fa-IR"/>
        </w:rPr>
        <w:t>ة</w:t>
      </w:r>
      <w:r w:rsidR="00FD646E" w:rsidRPr="00282AC9">
        <w:rPr>
          <w:rFonts w:hint="cs"/>
          <w:sz w:val="27"/>
          <w:rtl/>
          <w:lang w:bidi="fa-IR"/>
        </w:rPr>
        <w:t>.</w:t>
      </w:r>
      <w:r w:rsidRPr="00282AC9">
        <w:rPr>
          <w:rFonts w:hint="cs"/>
          <w:sz w:val="27"/>
          <w:rtl/>
          <w:lang w:bidi="fa-IR"/>
        </w:rPr>
        <w:t xml:space="preserve"> وهي صنفان: إمّا أن يكون بج</w:t>
      </w:r>
      <w:r w:rsidR="00FD646E" w:rsidRPr="00282AC9">
        <w:rPr>
          <w:rFonts w:hint="cs"/>
          <w:sz w:val="27"/>
          <w:rtl/>
          <w:lang w:bidi="fa-IR"/>
        </w:rPr>
        <w:t>َ</w:t>
      </w:r>
      <w:r w:rsidRPr="00282AC9">
        <w:rPr>
          <w:rFonts w:hint="cs"/>
          <w:sz w:val="27"/>
          <w:rtl/>
          <w:lang w:bidi="fa-IR"/>
        </w:rPr>
        <w:t>ع</w:t>
      </w:r>
      <w:r w:rsidR="00FD646E" w:rsidRPr="00282AC9">
        <w:rPr>
          <w:rFonts w:hint="cs"/>
          <w:sz w:val="27"/>
          <w:rtl/>
          <w:lang w:bidi="fa-IR"/>
        </w:rPr>
        <w:t>ْ</w:t>
      </w:r>
      <w:r w:rsidRPr="00282AC9">
        <w:rPr>
          <w:rFonts w:hint="cs"/>
          <w:sz w:val="27"/>
          <w:rtl/>
          <w:lang w:bidi="fa-IR"/>
        </w:rPr>
        <w:t>ل الشارع</w:t>
      </w:r>
      <w:r w:rsidR="00FD646E" w:rsidRPr="00282AC9">
        <w:rPr>
          <w:rFonts w:hint="cs"/>
          <w:sz w:val="27"/>
          <w:rtl/>
          <w:lang w:bidi="fa-IR"/>
        </w:rPr>
        <w:t>؛</w:t>
      </w:r>
      <w:r w:rsidRPr="00282AC9">
        <w:rPr>
          <w:rFonts w:hint="cs"/>
          <w:sz w:val="27"/>
          <w:rtl/>
          <w:lang w:bidi="fa-IR"/>
        </w:rPr>
        <w:t xml:space="preserve"> وإمّا أن يكون بأسباب اتّفاقي</w:t>
      </w:r>
      <w:r w:rsidR="00FD646E" w:rsidRPr="00282AC9">
        <w:rPr>
          <w:rFonts w:hint="cs"/>
          <w:sz w:val="27"/>
          <w:rtl/>
          <w:lang w:bidi="fa-IR"/>
        </w:rPr>
        <w:t>ّ</w:t>
      </w:r>
      <w:r w:rsidRPr="00282AC9">
        <w:rPr>
          <w:rFonts w:hint="cs"/>
          <w:sz w:val="27"/>
          <w:rtl/>
          <w:lang w:bidi="fa-IR"/>
        </w:rPr>
        <w:t xml:space="preserve">ة </w:t>
      </w:r>
      <w:r w:rsidR="00FD646E" w:rsidRPr="00282AC9">
        <w:rPr>
          <w:rFonts w:hint="cs"/>
          <w:sz w:val="27"/>
          <w:rtl/>
          <w:lang w:bidi="fa-IR"/>
        </w:rPr>
        <w:t>أ</w:t>
      </w:r>
      <w:r w:rsidRPr="00282AC9">
        <w:rPr>
          <w:rFonts w:hint="cs"/>
          <w:sz w:val="27"/>
          <w:rtl/>
          <w:lang w:bidi="fa-IR"/>
        </w:rPr>
        <w:t>خرى</w:t>
      </w:r>
      <w:r w:rsidRPr="00282AC9">
        <w:rPr>
          <w:sz w:val="27"/>
          <w:vertAlign w:val="superscript"/>
          <w:rtl/>
          <w:lang w:bidi="fa-IR"/>
        </w:rPr>
        <w:t>(</w:t>
      </w:r>
      <w:r w:rsidRPr="00282AC9">
        <w:rPr>
          <w:sz w:val="27"/>
          <w:vertAlign w:val="superscript"/>
          <w:rtl/>
          <w:lang w:bidi="fa-IR"/>
        </w:rPr>
        <w:endnoteReference w:id="995"/>
      </w:r>
      <w:r w:rsidRPr="00282AC9">
        <w:rPr>
          <w:rFonts w:hint="cs"/>
          <w:sz w:val="27"/>
          <w:vertAlign w:val="superscript"/>
          <w:rtl/>
          <w:lang w:bidi="fa-IR"/>
        </w:rPr>
        <w:t>)</w:t>
      </w:r>
      <w:r w:rsidRPr="00282AC9">
        <w:rPr>
          <w:rFonts w:hint="cs"/>
          <w:sz w:val="27"/>
          <w:rtl/>
          <w:lang w:bidi="fa-IR"/>
        </w:rPr>
        <w:t>.</w:t>
      </w:r>
    </w:p>
    <w:p w:rsidR="0062395A" w:rsidRPr="00282AC9" w:rsidRDefault="0062395A" w:rsidP="00495D24">
      <w:pPr>
        <w:rPr>
          <w:sz w:val="27"/>
          <w:rtl/>
          <w:lang w:bidi="fa-IR"/>
        </w:rPr>
      </w:pPr>
      <w:r w:rsidRPr="00282AC9">
        <w:rPr>
          <w:rFonts w:hint="cs"/>
          <w:b/>
          <w:bCs/>
          <w:sz w:val="27"/>
          <w:rtl/>
          <w:lang w:bidi="fa-IR"/>
        </w:rPr>
        <w:t>فمن الصنف الأوّل</w:t>
      </w:r>
      <w:r w:rsidRPr="00282AC9">
        <w:rPr>
          <w:rFonts w:hint="cs"/>
          <w:sz w:val="27"/>
          <w:rtl/>
          <w:lang w:bidi="fa-IR"/>
        </w:rPr>
        <w:t>: الميراث، الجنايات، الأُروش، النذور، وما</w:t>
      </w:r>
      <w:r w:rsidR="00BC0925" w:rsidRPr="00282AC9">
        <w:rPr>
          <w:rFonts w:hint="cs"/>
          <w:sz w:val="27"/>
          <w:rtl/>
          <w:lang w:bidi="fa-IR"/>
        </w:rPr>
        <w:t xml:space="preserve"> إلى </w:t>
      </w:r>
      <w:r w:rsidRPr="00282AC9">
        <w:rPr>
          <w:rFonts w:hint="cs"/>
          <w:sz w:val="27"/>
          <w:rtl/>
          <w:lang w:bidi="fa-IR"/>
        </w:rPr>
        <w:t>ذلك.</w:t>
      </w:r>
    </w:p>
    <w:p w:rsidR="0062395A" w:rsidRPr="00282AC9" w:rsidRDefault="0062395A" w:rsidP="00495D24">
      <w:pPr>
        <w:rPr>
          <w:sz w:val="27"/>
          <w:rtl/>
          <w:lang w:bidi="fa-IR"/>
        </w:rPr>
      </w:pPr>
      <w:r w:rsidRPr="00282AC9">
        <w:rPr>
          <w:rFonts w:hint="cs"/>
          <w:b/>
          <w:bCs/>
          <w:sz w:val="27"/>
          <w:rtl/>
        </w:rPr>
        <w:t>ومن الصنف الثاني</w:t>
      </w:r>
      <w:r w:rsidRPr="00282AC9">
        <w:rPr>
          <w:rFonts w:hint="cs"/>
          <w:sz w:val="27"/>
          <w:rtl/>
        </w:rPr>
        <w:t>: اختلاط المالين ق</w:t>
      </w:r>
      <w:r w:rsidR="00FD646E" w:rsidRPr="00282AC9">
        <w:rPr>
          <w:rFonts w:hint="cs"/>
          <w:sz w:val="27"/>
          <w:rtl/>
        </w:rPr>
        <w:t>َ</w:t>
      </w:r>
      <w:r w:rsidRPr="00282AC9">
        <w:rPr>
          <w:rFonts w:hint="cs"/>
          <w:sz w:val="27"/>
          <w:rtl/>
        </w:rPr>
        <w:t>ه</w:t>
      </w:r>
      <w:r w:rsidR="00FD646E" w:rsidRPr="00282AC9">
        <w:rPr>
          <w:rFonts w:hint="cs"/>
          <w:sz w:val="27"/>
          <w:rtl/>
        </w:rPr>
        <w:t>ْ</w:t>
      </w:r>
      <w:r w:rsidRPr="00282AC9">
        <w:rPr>
          <w:rFonts w:hint="cs"/>
          <w:sz w:val="27"/>
          <w:rtl/>
        </w:rPr>
        <w:t>راً</w:t>
      </w:r>
      <w:r w:rsidR="00FD646E" w:rsidRPr="00282AC9">
        <w:rPr>
          <w:rFonts w:hint="cs"/>
          <w:sz w:val="27"/>
          <w:rtl/>
        </w:rPr>
        <w:t>، بحيث لا ي</w:t>
      </w:r>
      <w:r w:rsidRPr="00282AC9">
        <w:rPr>
          <w:rFonts w:hint="cs"/>
          <w:sz w:val="27"/>
          <w:rtl/>
        </w:rPr>
        <w:t>مكن تمييز أحدهما عن الآخر عادة</w:t>
      </w:r>
      <w:r w:rsidR="00FD646E" w:rsidRPr="00282AC9">
        <w:rPr>
          <w:rFonts w:hint="cs"/>
          <w:sz w:val="27"/>
          <w:rtl/>
        </w:rPr>
        <w:t>ً</w:t>
      </w:r>
      <w:r w:rsidRPr="00282AC9">
        <w:rPr>
          <w:rFonts w:hint="cs"/>
          <w:sz w:val="27"/>
          <w:rtl/>
        </w:rPr>
        <w:t>... والوصي</w:t>
      </w:r>
      <w:r w:rsidR="00FD646E" w:rsidRPr="00282AC9">
        <w:rPr>
          <w:rFonts w:hint="cs"/>
          <w:sz w:val="27"/>
          <w:rtl/>
        </w:rPr>
        <w:t>ّ</w:t>
      </w:r>
      <w:r w:rsidRPr="00282AC9">
        <w:rPr>
          <w:rFonts w:hint="cs"/>
          <w:sz w:val="27"/>
          <w:rtl/>
        </w:rPr>
        <w:t>ة بالثلث... أو و</w:t>
      </w:r>
      <w:r w:rsidR="00FD646E" w:rsidRPr="00282AC9">
        <w:rPr>
          <w:rFonts w:hint="cs"/>
          <w:sz w:val="27"/>
          <w:rtl/>
        </w:rPr>
        <w:t>َ</w:t>
      </w:r>
      <w:r w:rsidRPr="00282AC9">
        <w:rPr>
          <w:rFonts w:hint="cs"/>
          <w:sz w:val="27"/>
          <w:rtl/>
        </w:rPr>
        <w:t>ق</w:t>
      </w:r>
      <w:r w:rsidR="00FD646E" w:rsidRPr="00282AC9">
        <w:rPr>
          <w:rFonts w:hint="cs"/>
          <w:sz w:val="27"/>
          <w:rtl/>
        </w:rPr>
        <w:t>ْ</w:t>
      </w:r>
      <w:r w:rsidRPr="00282AC9">
        <w:rPr>
          <w:rFonts w:hint="cs"/>
          <w:sz w:val="27"/>
          <w:rtl/>
        </w:rPr>
        <w:t>ف ملك</w:t>
      </w:r>
      <w:r w:rsidR="00FD646E" w:rsidRPr="00282AC9">
        <w:rPr>
          <w:rFonts w:hint="cs"/>
          <w:sz w:val="27"/>
          <w:rtl/>
        </w:rPr>
        <w:t>ٍ</w:t>
      </w:r>
      <w:r w:rsidRPr="00282AC9">
        <w:rPr>
          <w:rFonts w:hint="cs"/>
          <w:sz w:val="27"/>
          <w:rtl/>
        </w:rPr>
        <w:t>...</w:t>
      </w:r>
      <w:r w:rsidRPr="00282AC9">
        <w:rPr>
          <w:sz w:val="27"/>
          <w:vertAlign w:val="superscript"/>
          <w:rtl/>
        </w:rPr>
        <w:t>(</w:t>
      </w:r>
      <w:r w:rsidRPr="00282AC9">
        <w:rPr>
          <w:sz w:val="27"/>
          <w:vertAlign w:val="superscript"/>
          <w:rtl/>
        </w:rPr>
        <w:endnoteReference w:id="996"/>
      </w:r>
      <w:r w:rsidRPr="00282AC9">
        <w:rPr>
          <w:rFonts w:hint="cs"/>
          <w:sz w:val="27"/>
          <w:vertAlign w:val="superscript"/>
          <w:rtl/>
        </w:rPr>
        <w:t>)</w:t>
      </w:r>
      <w:r w:rsidRPr="00282AC9">
        <w:rPr>
          <w:rFonts w:hint="cs"/>
          <w:sz w:val="27"/>
          <w:rtl/>
        </w:rPr>
        <w:t>.</w:t>
      </w:r>
    </w:p>
    <w:p w:rsidR="000F0B20" w:rsidRPr="00282AC9" w:rsidRDefault="000F0B20" w:rsidP="000F0B20">
      <w:pPr>
        <w:spacing w:line="420" w:lineRule="exact"/>
        <w:rPr>
          <w:sz w:val="27"/>
          <w:rtl/>
        </w:rPr>
      </w:pPr>
    </w:p>
    <w:p w:rsidR="0062395A" w:rsidRPr="00282AC9" w:rsidRDefault="001272A6" w:rsidP="00715FC8">
      <w:pPr>
        <w:pStyle w:val="31"/>
        <w:spacing w:line="400" w:lineRule="exact"/>
        <w:rPr>
          <w:rFonts w:cs="AL-Mohanad"/>
          <w:color w:val="auto"/>
          <w:szCs w:val="27"/>
          <w:rtl/>
          <w:lang w:bidi="fa-IR"/>
        </w:rPr>
      </w:pPr>
      <w:r w:rsidRPr="00282AC9">
        <w:rPr>
          <w:rFonts w:hint="cs"/>
          <w:color w:val="auto"/>
          <w:rtl/>
          <w:lang w:bidi="fa-IR"/>
        </w:rPr>
        <w:t>تساؤلٌ وإيراد</w:t>
      </w:r>
    </w:p>
    <w:p w:rsidR="0062395A" w:rsidRPr="00282AC9" w:rsidRDefault="0062395A" w:rsidP="00495D24">
      <w:pPr>
        <w:rPr>
          <w:sz w:val="27"/>
          <w:rtl/>
          <w:lang w:bidi="fa-IR"/>
        </w:rPr>
      </w:pPr>
      <w:r w:rsidRPr="00282AC9">
        <w:rPr>
          <w:rFonts w:hint="cs"/>
          <w:sz w:val="27"/>
          <w:rtl/>
          <w:lang w:bidi="fa-IR"/>
        </w:rPr>
        <w:t>على الرغم من أنّ هذا التقسيم أفضل بكثير</w:t>
      </w:r>
      <w:r w:rsidR="00FD646E" w:rsidRPr="00282AC9">
        <w:rPr>
          <w:rFonts w:hint="cs"/>
          <w:sz w:val="27"/>
          <w:rtl/>
          <w:lang w:bidi="fa-IR"/>
        </w:rPr>
        <w:t>ٍ</w:t>
      </w:r>
      <w:r w:rsidRPr="00282AC9">
        <w:rPr>
          <w:rFonts w:hint="cs"/>
          <w:sz w:val="27"/>
          <w:rtl/>
          <w:lang w:bidi="fa-IR"/>
        </w:rPr>
        <w:t xml:space="preserve"> ممّا سبقه من التقسيمات، إلا</w:t>
      </w:r>
      <w:r w:rsidR="00FD646E" w:rsidRPr="00282AC9">
        <w:rPr>
          <w:rFonts w:hint="cs"/>
          <w:sz w:val="27"/>
          <w:rtl/>
          <w:lang w:bidi="fa-IR"/>
        </w:rPr>
        <w:t>ّ</w:t>
      </w:r>
      <w:r w:rsidRPr="00282AC9">
        <w:rPr>
          <w:rFonts w:hint="cs"/>
          <w:sz w:val="27"/>
          <w:rtl/>
          <w:lang w:bidi="fa-IR"/>
        </w:rPr>
        <w:t xml:space="preserve"> أنّه مُبتلى</w:t>
      </w:r>
      <w:r w:rsidR="00FD646E" w:rsidRPr="00282AC9">
        <w:rPr>
          <w:rFonts w:hint="cs"/>
          <w:sz w:val="27"/>
          <w:rtl/>
          <w:lang w:bidi="fa-IR"/>
        </w:rPr>
        <w:t>ً</w:t>
      </w:r>
      <w:r w:rsidRPr="00282AC9">
        <w:rPr>
          <w:rFonts w:hint="cs"/>
          <w:sz w:val="27"/>
          <w:rtl/>
          <w:lang w:bidi="fa-IR"/>
        </w:rPr>
        <w:t xml:space="preserve"> ببعض الإيرادات</w:t>
      </w:r>
      <w:r w:rsidRPr="00282AC9">
        <w:rPr>
          <w:sz w:val="27"/>
          <w:vertAlign w:val="superscript"/>
          <w:rtl/>
          <w:lang w:bidi="fa-IR"/>
        </w:rPr>
        <w:t>(</w:t>
      </w:r>
      <w:r w:rsidRPr="00282AC9">
        <w:rPr>
          <w:sz w:val="27"/>
          <w:vertAlign w:val="superscript"/>
          <w:rtl/>
          <w:lang w:bidi="fa-IR"/>
        </w:rPr>
        <w:endnoteReference w:id="997"/>
      </w:r>
      <w:r w:rsidRPr="00282AC9">
        <w:rPr>
          <w:rFonts w:hint="cs"/>
          <w:sz w:val="27"/>
          <w:vertAlign w:val="superscript"/>
          <w:rtl/>
          <w:lang w:bidi="fa-IR"/>
        </w:rPr>
        <w:t>)</w:t>
      </w:r>
      <w:r w:rsidRPr="00282AC9">
        <w:rPr>
          <w:rFonts w:hint="cs"/>
          <w:sz w:val="27"/>
          <w:rtl/>
          <w:lang w:bidi="fa-IR"/>
        </w:rPr>
        <w:t xml:space="preserve">، </w:t>
      </w:r>
      <w:r w:rsidR="00FD646E" w:rsidRPr="00282AC9">
        <w:rPr>
          <w:rFonts w:hint="cs"/>
          <w:sz w:val="27"/>
          <w:rtl/>
          <w:lang w:bidi="fa-IR"/>
        </w:rPr>
        <w:t>و</w:t>
      </w:r>
      <w:r w:rsidRPr="00282AC9">
        <w:rPr>
          <w:rFonts w:hint="cs"/>
          <w:sz w:val="27"/>
          <w:rtl/>
          <w:lang w:bidi="fa-IR"/>
        </w:rPr>
        <w:t>منها:</w:t>
      </w:r>
    </w:p>
    <w:p w:rsidR="0062395A" w:rsidRPr="00282AC9" w:rsidRDefault="0062395A" w:rsidP="00495D24">
      <w:pPr>
        <w:rPr>
          <w:sz w:val="27"/>
          <w:rtl/>
          <w:lang w:bidi="fa-IR"/>
        </w:rPr>
      </w:pPr>
      <w:r w:rsidRPr="00282AC9">
        <w:rPr>
          <w:rFonts w:hint="cs"/>
          <w:sz w:val="27"/>
          <w:rtl/>
        </w:rPr>
        <w:t>1ـ تداخل الأقسام، من قبيل</w:t>
      </w:r>
      <w:r w:rsidR="00FD646E" w:rsidRPr="00282AC9">
        <w:rPr>
          <w:rFonts w:hint="cs"/>
          <w:sz w:val="27"/>
          <w:rtl/>
        </w:rPr>
        <w:t>:</w:t>
      </w:r>
      <w:r w:rsidRPr="00282AC9">
        <w:rPr>
          <w:rFonts w:hint="cs"/>
          <w:sz w:val="27"/>
          <w:rtl/>
        </w:rPr>
        <w:t xml:space="preserve"> ما أورده في النوع الأوّل من عطف (البيع) على (الشراء)</w:t>
      </w:r>
      <w:r w:rsidR="00FD646E" w:rsidRPr="00282AC9">
        <w:rPr>
          <w:rFonts w:hint="cs"/>
          <w:sz w:val="27"/>
          <w:rtl/>
        </w:rPr>
        <w:t>.</w:t>
      </w:r>
      <w:r w:rsidRPr="00282AC9">
        <w:rPr>
          <w:rFonts w:hint="cs"/>
          <w:sz w:val="27"/>
          <w:rtl/>
        </w:rPr>
        <w:t xml:space="preserve"> فيا تُرى هل هما سببان متباينان</w:t>
      </w:r>
      <w:r w:rsidR="00FD646E" w:rsidRPr="00282AC9">
        <w:rPr>
          <w:rFonts w:hint="cs"/>
          <w:sz w:val="27"/>
          <w:rtl/>
        </w:rPr>
        <w:t>،</w:t>
      </w:r>
      <w:r w:rsidRPr="00282AC9">
        <w:rPr>
          <w:rFonts w:hint="cs"/>
          <w:sz w:val="27"/>
          <w:rtl/>
        </w:rPr>
        <w:t xml:space="preserve"> أحد</w:t>
      </w:r>
      <w:r w:rsidR="00FD646E" w:rsidRPr="00282AC9">
        <w:rPr>
          <w:rFonts w:hint="cs"/>
          <w:sz w:val="27"/>
          <w:rtl/>
        </w:rPr>
        <w:t>ُ</w:t>
      </w:r>
      <w:r w:rsidRPr="00282AC9">
        <w:rPr>
          <w:rFonts w:hint="cs"/>
          <w:sz w:val="27"/>
          <w:rtl/>
        </w:rPr>
        <w:t>هما غير</w:t>
      </w:r>
      <w:r w:rsidR="00FD646E" w:rsidRPr="00282AC9">
        <w:rPr>
          <w:rFonts w:hint="cs"/>
          <w:sz w:val="27"/>
          <w:rtl/>
        </w:rPr>
        <w:t>ُ</w:t>
      </w:r>
      <w:r w:rsidRPr="00282AC9">
        <w:rPr>
          <w:rFonts w:hint="cs"/>
          <w:sz w:val="27"/>
          <w:rtl/>
        </w:rPr>
        <w:t xml:space="preserve"> الآخر؟! وكذا الحال بالنسبة</w:t>
      </w:r>
      <w:r w:rsidR="00BC0925" w:rsidRPr="00282AC9">
        <w:rPr>
          <w:rFonts w:hint="cs"/>
          <w:sz w:val="27"/>
          <w:rtl/>
        </w:rPr>
        <w:t xml:space="preserve"> إلى </w:t>
      </w:r>
      <w:r w:rsidRPr="00282AC9">
        <w:rPr>
          <w:rFonts w:hint="cs"/>
          <w:sz w:val="27"/>
          <w:rtl/>
        </w:rPr>
        <w:t>عطف (الحيازة) على (الصيد)</w:t>
      </w:r>
      <w:r w:rsidR="00FD646E" w:rsidRPr="00282AC9">
        <w:rPr>
          <w:rFonts w:hint="cs"/>
          <w:sz w:val="27"/>
          <w:rtl/>
        </w:rPr>
        <w:t>؛</w:t>
      </w:r>
      <w:r w:rsidRPr="00282AC9">
        <w:rPr>
          <w:rFonts w:hint="cs"/>
          <w:sz w:val="27"/>
          <w:rtl/>
        </w:rPr>
        <w:t xml:space="preserve"> ومن قبيل</w:t>
      </w:r>
      <w:r w:rsidR="00FD646E" w:rsidRPr="00282AC9">
        <w:rPr>
          <w:rFonts w:hint="cs"/>
          <w:sz w:val="27"/>
          <w:rtl/>
        </w:rPr>
        <w:t>:</w:t>
      </w:r>
      <w:r w:rsidRPr="00282AC9">
        <w:rPr>
          <w:rFonts w:hint="cs"/>
          <w:sz w:val="27"/>
          <w:rtl/>
        </w:rPr>
        <w:t xml:space="preserve"> ما أورده في النوع الثاني</w:t>
      </w:r>
      <w:r w:rsidR="00FD646E" w:rsidRPr="00282AC9">
        <w:rPr>
          <w:rFonts w:hint="cs"/>
          <w:sz w:val="27"/>
          <w:rtl/>
        </w:rPr>
        <w:t>،</w:t>
      </w:r>
      <w:r w:rsidRPr="00282AC9">
        <w:rPr>
          <w:rFonts w:hint="cs"/>
          <w:sz w:val="27"/>
          <w:rtl/>
        </w:rPr>
        <w:t xml:space="preserve"> من إتباع (الأُروش) للـ (الجنايات).</w:t>
      </w:r>
    </w:p>
    <w:p w:rsidR="0062395A" w:rsidRPr="00282AC9" w:rsidRDefault="0062395A" w:rsidP="00495D24">
      <w:pPr>
        <w:rPr>
          <w:sz w:val="27"/>
          <w:rtl/>
          <w:lang w:bidi="fa-IR"/>
        </w:rPr>
      </w:pPr>
      <w:r w:rsidRPr="00282AC9">
        <w:rPr>
          <w:rFonts w:hint="cs"/>
          <w:sz w:val="27"/>
          <w:rtl/>
        </w:rPr>
        <w:t>2ـ عدم جامعي</w:t>
      </w:r>
      <w:r w:rsidR="00FD646E" w:rsidRPr="00282AC9">
        <w:rPr>
          <w:rFonts w:hint="cs"/>
          <w:sz w:val="27"/>
          <w:rtl/>
        </w:rPr>
        <w:t>ّ</w:t>
      </w:r>
      <w:r w:rsidRPr="00282AC9">
        <w:rPr>
          <w:rFonts w:hint="cs"/>
          <w:sz w:val="27"/>
          <w:rtl/>
        </w:rPr>
        <w:t>ة التقسيم باعتراف صاحبه</w:t>
      </w:r>
      <w:r w:rsidR="00EC43D5" w:rsidRPr="00282AC9">
        <w:rPr>
          <w:rFonts w:hint="cs"/>
          <w:sz w:val="27"/>
          <w:rtl/>
        </w:rPr>
        <w:t>؛</w:t>
      </w:r>
      <w:r w:rsidRPr="00282AC9">
        <w:rPr>
          <w:rFonts w:hint="cs"/>
          <w:sz w:val="27"/>
          <w:rtl/>
        </w:rPr>
        <w:t xml:space="preserve"> حيث استفاد من عبارة</w:t>
      </w:r>
      <w:r w:rsidR="00FD646E" w:rsidRPr="00282AC9">
        <w:rPr>
          <w:rFonts w:hint="cs"/>
          <w:sz w:val="27"/>
          <w:rtl/>
        </w:rPr>
        <w:t>:</w:t>
      </w:r>
      <w:r w:rsidRPr="00282AC9">
        <w:rPr>
          <w:rFonts w:hint="cs"/>
          <w:sz w:val="27"/>
          <w:rtl/>
        </w:rPr>
        <w:t xml:space="preserve"> (وما</w:t>
      </w:r>
      <w:r w:rsidR="00BC0925" w:rsidRPr="00282AC9">
        <w:rPr>
          <w:rFonts w:hint="cs"/>
          <w:sz w:val="27"/>
          <w:rtl/>
        </w:rPr>
        <w:t xml:space="preserve"> إلى </w:t>
      </w:r>
      <w:r w:rsidRPr="00282AC9">
        <w:rPr>
          <w:rFonts w:hint="cs"/>
          <w:sz w:val="27"/>
          <w:rtl/>
        </w:rPr>
        <w:t>ذلك)</w:t>
      </w:r>
      <w:r w:rsidR="00EC43D5" w:rsidRPr="00282AC9">
        <w:rPr>
          <w:rFonts w:hint="cs"/>
          <w:sz w:val="27"/>
          <w:rtl/>
        </w:rPr>
        <w:t>.</w:t>
      </w:r>
      <w:r w:rsidRPr="00282AC9">
        <w:rPr>
          <w:rFonts w:hint="cs"/>
          <w:sz w:val="27"/>
          <w:rtl/>
        </w:rPr>
        <w:t xml:space="preserve"> ولا نعلم مُراده من هذه العبارة</w:t>
      </w:r>
      <w:r w:rsidR="00EC43D5" w:rsidRPr="00282AC9">
        <w:rPr>
          <w:rFonts w:hint="cs"/>
          <w:sz w:val="27"/>
          <w:rtl/>
        </w:rPr>
        <w:t>،</w:t>
      </w:r>
      <w:r w:rsidRPr="00282AC9">
        <w:rPr>
          <w:rFonts w:hint="cs"/>
          <w:sz w:val="27"/>
          <w:rtl/>
        </w:rPr>
        <w:t xml:space="preserve"> و</w:t>
      </w:r>
      <w:r w:rsidR="00EC43D5" w:rsidRPr="00282AC9">
        <w:rPr>
          <w:rFonts w:hint="cs"/>
          <w:sz w:val="27"/>
          <w:rtl/>
        </w:rPr>
        <w:t>إ</w:t>
      </w:r>
      <w:r w:rsidRPr="00282AC9">
        <w:rPr>
          <w:rFonts w:hint="cs"/>
          <w:sz w:val="27"/>
          <w:rtl/>
        </w:rPr>
        <w:t>لى أيّ شيء</w:t>
      </w:r>
      <w:r w:rsidR="00EC43D5" w:rsidRPr="00282AC9">
        <w:rPr>
          <w:rFonts w:hint="cs"/>
          <w:sz w:val="27"/>
          <w:rtl/>
        </w:rPr>
        <w:t>ٍ</w:t>
      </w:r>
      <w:r w:rsidRPr="00282AC9">
        <w:rPr>
          <w:rFonts w:hint="cs"/>
          <w:sz w:val="27"/>
          <w:rtl/>
        </w:rPr>
        <w:t xml:space="preserve"> كان نظره فيها.</w:t>
      </w:r>
    </w:p>
    <w:p w:rsidR="0062395A" w:rsidRPr="00282AC9" w:rsidRDefault="0062395A" w:rsidP="00495D24">
      <w:pPr>
        <w:rPr>
          <w:sz w:val="27"/>
          <w:rtl/>
          <w:lang w:bidi="fa-IR"/>
        </w:rPr>
      </w:pPr>
      <w:r w:rsidRPr="00282AC9">
        <w:rPr>
          <w:rFonts w:hint="cs"/>
          <w:sz w:val="27"/>
          <w:rtl/>
        </w:rPr>
        <w:t>3ـ إنّ ذكره (النذور) في الصنف الأوّل ليس فن</w:t>
      </w:r>
      <w:r w:rsidR="00EC43D5" w:rsidRPr="00282AC9">
        <w:rPr>
          <w:rFonts w:hint="cs"/>
          <w:sz w:val="27"/>
          <w:rtl/>
        </w:rPr>
        <w:t>ّ</w:t>
      </w:r>
      <w:r w:rsidRPr="00282AC9">
        <w:rPr>
          <w:rFonts w:hint="cs"/>
          <w:sz w:val="27"/>
          <w:rtl/>
        </w:rPr>
        <w:t>ياً؛ فإنّه ليس من التمليك الق</w:t>
      </w:r>
      <w:r w:rsidR="00EC43D5" w:rsidRPr="00282AC9">
        <w:rPr>
          <w:rFonts w:hint="cs"/>
          <w:sz w:val="27"/>
          <w:rtl/>
        </w:rPr>
        <w:t>َ</w:t>
      </w:r>
      <w:r w:rsidRPr="00282AC9">
        <w:rPr>
          <w:rFonts w:hint="cs"/>
          <w:sz w:val="27"/>
          <w:rtl/>
        </w:rPr>
        <w:t>ه</w:t>
      </w:r>
      <w:r w:rsidR="00EC43D5" w:rsidRPr="00282AC9">
        <w:rPr>
          <w:rFonts w:hint="cs"/>
          <w:sz w:val="27"/>
          <w:rtl/>
        </w:rPr>
        <w:t>ْ</w:t>
      </w:r>
      <w:r w:rsidRPr="00282AC9">
        <w:rPr>
          <w:rFonts w:hint="cs"/>
          <w:sz w:val="27"/>
          <w:rtl/>
        </w:rPr>
        <w:t xml:space="preserve">ري؛ إذ </w:t>
      </w:r>
      <w:r w:rsidR="00EC43D5" w:rsidRPr="00282AC9">
        <w:rPr>
          <w:rFonts w:hint="cs"/>
          <w:sz w:val="27"/>
          <w:rtl/>
        </w:rPr>
        <w:t>إ</w:t>
      </w:r>
      <w:r w:rsidRPr="00282AC9">
        <w:rPr>
          <w:rFonts w:hint="cs"/>
          <w:sz w:val="27"/>
          <w:rtl/>
        </w:rPr>
        <w:t>نّ التمليك بالن</w:t>
      </w:r>
      <w:r w:rsidR="00EC43D5" w:rsidRPr="00282AC9">
        <w:rPr>
          <w:rFonts w:hint="cs"/>
          <w:sz w:val="27"/>
          <w:rtl/>
        </w:rPr>
        <w:t>َّ</w:t>
      </w:r>
      <w:r w:rsidRPr="00282AC9">
        <w:rPr>
          <w:rFonts w:hint="cs"/>
          <w:sz w:val="27"/>
          <w:rtl/>
        </w:rPr>
        <w:t>ذ</w:t>
      </w:r>
      <w:r w:rsidR="00EC43D5" w:rsidRPr="00282AC9">
        <w:rPr>
          <w:rFonts w:hint="cs"/>
          <w:sz w:val="27"/>
          <w:rtl/>
        </w:rPr>
        <w:t>ْ</w:t>
      </w:r>
      <w:r w:rsidRPr="00282AC9">
        <w:rPr>
          <w:rFonts w:hint="cs"/>
          <w:sz w:val="27"/>
          <w:rtl/>
        </w:rPr>
        <w:t>ر إن</w:t>
      </w:r>
      <w:r w:rsidR="00EC43D5" w:rsidRPr="00282AC9">
        <w:rPr>
          <w:rFonts w:hint="cs"/>
          <w:sz w:val="27"/>
          <w:rtl/>
        </w:rPr>
        <w:t>ْ</w:t>
      </w:r>
      <w:r w:rsidRPr="00282AC9">
        <w:rPr>
          <w:rFonts w:hint="cs"/>
          <w:sz w:val="27"/>
          <w:rtl/>
        </w:rPr>
        <w:t xml:space="preserve"> كان الن</w:t>
      </w:r>
      <w:r w:rsidR="00EC43D5" w:rsidRPr="00282AC9">
        <w:rPr>
          <w:rFonts w:hint="cs"/>
          <w:sz w:val="27"/>
          <w:rtl/>
        </w:rPr>
        <w:t>َّ</w:t>
      </w:r>
      <w:r w:rsidRPr="00282AC9">
        <w:rPr>
          <w:rFonts w:hint="cs"/>
          <w:sz w:val="27"/>
          <w:rtl/>
        </w:rPr>
        <w:t>ذ</w:t>
      </w:r>
      <w:r w:rsidR="00EC43D5" w:rsidRPr="00282AC9">
        <w:rPr>
          <w:rFonts w:hint="cs"/>
          <w:sz w:val="27"/>
          <w:rtl/>
        </w:rPr>
        <w:t>ْ</w:t>
      </w:r>
      <w:r w:rsidRPr="00282AC9">
        <w:rPr>
          <w:rFonts w:hint="cs"/>
          <w:sz w:val="27"/>
          <w:rtl/>
        </w:rPr>
        <w:t>ر على نحو شرط النتيجة ـ والظاهر هو الملحوظ في المقام ـ لا يصحّ؛ لأنّه غير مقدور</w:t>
      </w:r>
      <w:r w:rsidR="00EC43D5" w:rsidRPr="00282AC9">
        <w:rPr>
          <w:rFonts w:hint="cs"/>
          <w:sz w:val="27"/>
          <w:rtl/>
        </w:rPr>
        <w:t>ٍ</w:t>
      </w:r>
      <w:r w:rsidRPr="00282AC9">
        <w:rPr>
          <w:rFonts w:hint="cs"/>
          <w:sz w:val="27"/>
          <w:rtl/>
        </w:rPr>
        <w:t xml:space="preserve"> للناذر</w:t>
      </w:r>
      <w:r w:rsidRPr="00282AC9">
        <w:rPr>
          <w:sz w:val="27"/>
          <w:vertAlign w:val="superscript"/>
          <w:rtl/>
        </w:rPr>
        <w:t>(</w:t>
      </w:r>
      <w:r w:rsidRPr="00282AC9">
        <w:rPr>
          <w:sz w:val="27"/>
          <w:vertAlign w:val="superscript"/>
          <w:rtl/>
        </w:rPr>
        <w:endnoteReference w:id="998"/>
      </w:r>
      <w:r w:rsidRPr="00282AC9">
        <w:rPr>
          <w:rFonts w:hint="cs"/>
          <w:sz w:val="27"/>
          <w:vertAlign w:val="superscript"/>
          <w:rtl/>
        </w:rPr>
        <w:t>)</w:t>
      </w:r>
      <w:r w:rsidR="00EC43D5" w:rsidRPr="00282AC9">
        <w:rPr>
          <w:rFonts w:hint="cs"/>
          <w:sz w:val="27"/>
          <w:rtl/>
        </w:rPr>
        <w:t>؛</w:t>
      </w:r>
      <w:r w:rsidRPr="00282AC9">
        <w:rPr>
          <w:rFonts w:hint="cs"/>
          <w:sz w:val="27"/>
          <w:rtl/>
        </w:rPr>
        <w:t xml:space="preserve"> وإن</w:t>
      </w:r>
      <w:r w:rsidR="00EC43D5" w:rsidRPr="00282AC9">
        <w:rPr>
          <w:rFonts w:hint="cs"/>
          <w:sz w:val="27"/>
          <w:rtl/>
        </w:rPr>
        <w:t>ْ</w:t>
      </w:r>
      <w:r w:rsidRPr="00282AC9">
        <w:rPr>
          <w:rFonts w:hint="cs"/>
          <w:sz w:val="27"/>
          <w:rtl/>
        </w:rPr>
        <w:t xml:space="preserve"> كان بنحو شرط الفعل فهو تمليك</w:t>
      </w:r>
      <w:r w:rsidR="00EC43D5" w:rsidRPr="00282AC9">
        <w:rPr>
          <w:rFonts w:hint="cs"/>
          <w:sz w:val="27"/>
          <w:rtl/>
        </w:rPr>
        <w:t>ٌ</w:t>
      </w:r>
      <w:r w:rsidRPr="00282AC9">
        <w:rPr>
          <w:rFonts w:hint="cs"/>
          <w:sz w:val="27"/>
          <w:rtl/>
        </w:rPr>
        <w:t xml:space="preserve"> اختياري</w:t>
      </w:r>
      <w:r w:rsidR="00EC43D5" w:rsidRPr="00282AC9">
        <w:rPr>
          <w:rFonts w:hint="cs"/>
          <w:sz w:val="27"/>
          <w:rtl/>
        </w:rPr>
        <w:t>ّ</w:t>
      </w:r>
      <w:r w:rsidRPr="00282AC9">
        <w:rPr>
          <w:rFonts w:hint="cs"/>
          <w:sz w:val="27"/>
          <w:rtl/>
        </w:rPr>
        <w:t>؛ لتوقّ</w:t>
      </w:r>
      <w:r w:rsidR="00EC43D5" w:rsidRPr="00282AC9">
        <w:rPr>
          <w:rFonts w:hint="cs"/>
          <w:sz w:val="27"/>
          <w:rtl/>
        </w:rPr>
        <w:t>ُ</w:t>
      </w:r>
      <w:r w:rsidRPr="00282AC9">
        <w:rPr>
          <w:rFonts w:hint="cs"/>
          <w:sz w:val="27"/>
          <w:rtl/>
        </w:rPr>
        <w:t>فه على قبول المنذور له.</w:t>
      </w:r>
    </w:p>
    <w:p w:rsidR="0062395A" w:rsidRPr="00282AC9" w:rsidRDefault="0062395A" w:rsidP="00495D24">
      <w:pPr>
        <w:rPr>
          <w:sz w:val="27"/>
          <w:rtl/>
          <w:lang w:bidi="fa-IR"/>
        </w:rPr>
      </w:pPr>
      <w:r w:rsidRPr="00282AC9">
        <w:rPr>
          <w:rFonts w:hint="cs"/>
          <w:sz w:val="27"/>
          <w:rtl/>
        </w:rPr>
        <w:t>4ـ إن</w:t>
      </w:r>
      <w:r w:rsidR="00EC43D5" w:rsidRPr="00282AC9">
        <w:rPr>
          <w:rFonts w:hint="cs"/>
          <w:sz w:val="27"/>
          <w:rtl/>
        </w:rPr>
        <w:t>ْ</w:t>
      </w:r>
      <w:r w:rsidRPr="00282AC9">
        <w:rPr>
          <w:rFonts w:hint="cs"/>
          <w:sz w:val="27"/>
          <w:rtl/>
        </w:rPr>
        <w:t xml:space="preserve"> قيل: إنّ المُراد بالتمليك في الن</w:t>
      </w:r>
      <w:r w:rsidR="00EC43D5" w:rsidRPr="00282AC9">
        <w:rPr>
          <w:rFonts w:hint="cs"/>
          <w:sz w:val="27"/>
          <w:rtl/>
        </w:rPr>
        <w:t>َّ</w:t>
      </w:r>
      <w:r w:rsidRPr="00282AC9">
        <w:rPr>
          <w:rFonts w:hint="cs"/>
          <w:sz w:val="27"/>
          <w:rtl/>
        </w:rPr>
        <w:t>ذ</w:t>
      </w:r>
      <w:r w:rsidR="00EC43D5" w:rsidRPr="00282AC9">
        <w:rPr>
          <w:rFonts w:hint="cs"/>
          <w:sz w:val="27"/>
          <w:rtl/>
        </w:rPr>
        <w:t>ْ</w:t>
      </w:r>
      <w:r w:rsidRPr="00282AC9">
        <w:rPr>
          <w:rFonts w:hint="cs"/>
          <w:sz w:val="27"/>
          <w:rtl/>
        </w:rPr>
        <w:t>ر هو التمليك لله تعالى؛ باعتبار أنّ حرف (اللام) الوارد في صيغة الن</w:t>
      </w:r>
      <w:r w:rsidR="00EC43D5" w:rsidRPr="00282AC9">
        <w:rPr>
          <w:rFonts w:hint="cs"/>
          <w:sz w:val="27"/>
          <w:rtl/>
        </w:rPr>
        <w:t>َّ</w:t>
      </w:r>
      <w:r w:rsidRPr="00282AC9">
        <w:rPr>
          <w:rFonts w:hint="cs"/>
          <w:sz w:val="27"/>
          <w:rtl/>
        </w:rPr>
        <w:t>ذ</w:t>
      </w:r>
      <w:r w:rsidR="00EC43D5" w:rsidRPr="00282AC9">
        <w:rPr>
          <w:rFonts w:hint="cs"/>
          <w:sz w:val="27"/>
          <w:rtl/>
        </w:rPr>
        <w:t>ْ</w:t>
      </w:r>
      <w:r w:rsidRPr="00282AC9">
        <w:rPr>
          <w:rFonts w:hint="cs"/>
          <w:sz w:val="27"/>
          <w:rtl/>
        </w:rPr>
        <w:t>ر (لله عليّ</w:t>
      </w:r>
      <w:r w:rsidR="00EC43D5" w:rsidRPr="00282AC9">
        <w:rPr>
          <w:rFonts w:hint="cs"/>
          <w:sz w:val="27"/>
          <w:rtl/>
        </w:rPr>
        <w:t>َ</w:t>
      </w:r>
      <w:r w:rsidRPr="00282AC9">
        <w:rPr>
          <w:rFonts w:hint="cs"/>
          <w:sz w:val="27"/>
          <w:rtl/>
        </w:rPr>
        <w:t>...)، فيكون الفعل المنذور مملوكاً لله</w:t>
      </w:r>
      <w:r w:rsidR="00EC43D5" w:rsidRPr="00282AC9">
        <w:rPr>
          <w:rFonts w:hint="cs"/>
          <w:sz w:val="27"/>
          <w:rtl/>
        </w:rPr>
        <w:t>؛</w:t>
      </w:r>
      <w:r w:rsidRPr="00282AC9">
        <w:rPr>
          <w:rFonts w:hint="cs"/>
          <w:sz w:val="27"/>
          <w:rtl/>
        </w:rPr>
        <w:t xml:space="preserve"> بسبب ذلك، ويترتّ</w:t>
      </w:r>
      <w:r w:rsidR="00EC43D5" w:rsidRPr="00282AC9">
        <w:rPr>
          <w:rFonts w:hint="cs"/>
          <w:sz w:val="27"/>
          <w:rtl/>
        </w:rPr>
        <w:t>َ</w:t>
      </w:r>
      <w:r w:rsidRPr="00282AC9">
        <w:rPr>
          <w:rFonts w:hint="cs"/>
          <w:sz w:val="27"/>
          <w:rtl/>
        </w:rPr>
        <w:t>ب عليه أنّ المال المنذور يُم</w:t>
      </w:r>
      <w:r w:rsidR="00EC43D5" w:rsidRPr="00282AC9">
        <w:rPr>
          <w:rFonts w:hint="cs"/>
          <w:sz w:val="27"/>
          <w:rtl/>
        </w:rPr>
        <w:t>ْ</w:t>
      </w:r>
      <w:r w:rsidRPr="00282AC9">
        <w:rPr>
          <w:rFonts w:hint="cs"/>
          <w:sz w:val="27"/>
          <w:rtl/>
        </w:rPr>
        <w:t>ل</w:t>
      </w:r>
      <w:r w:rsidR="00EC43D5" w:rsidRPr="00282AC9">
        <w:rPr>
          <w:rFonts w:hint="cs"/>
          <w:sz w:val="27"/>
          <w:rtl/>
        </w:rPr>
        <w:t>َ</w:t>
      </w:r>
      <w:r w:rsidRPr="00282AC9">
        <w:rPr>
          <w:rFonts w:hint="cs"/>
          <w:sz w:val="27"/>
          <w:rtl/>
        </w:rPr>
        <w:t>ك ق</w:t>
      </w:r>
      <w:r w:rsidR="00EC43D5" w:rsidRPr="00282AC9">
        <w:rPr>
          <w:rFonts w:hint="cs"/>
          <w:sz w:val="27"/>
          <w:rtl/>
        </w:rPr>
        <w:t>َ</w:t>
      </w:r>
      <w:r w:rsidRPr="00282AC9">
        <w:rPr>
          <w:rFonts w:hint="cs"/>
          <w:sz w:val="27"/>
          <w:rtl/>
        </w:rPr>
        <w:t>ه</w:t>
      </w:r>
      <w:r w:rsidR="00EC43D5" w:rsidRPr="00282AC9">
        <w:rPr>
          <w:rFonts w:hint="cs"/>
          <w:sz w:val="27"/>
          <w:rtl/>
        </w:rPr>
        <w:t>ْ</w:t>
      </w:r>
      <w:r w:rsidRPr="00282AC9">
        <w:rPr>
          <w:rFonts w:hint="cs"/>
          <w:sz w:val="27"/>
          <w:rtl/>
        </w:rPr>
        <w:t>راً.</w:t>
      </w:r>
    </w:p>
    <w:p w:rsidR="0062395A" w:rsidRPr="00282AC9" w:rsidRDefault="0062395A" w:rsidP="00495D24">
      <w:pPr>
        <w:rPr>
          <w:sz w:val="27"/>
          <w:rtl/>
          <w:lang w:bidi="fa-IR"/>
        </w:rPr>
      </w:pPr>
      <w:r w:rsidRPr="00282AC9">
        <w:rPr>
          <w:rFonts w:hint="cs"/>
          <w:sz w:val="27"/>
          <w:rtl/>
          <w:lang w:bidi="fa-IR"/>
        </w:rPr>
        <w:t>فإنّه يُقال: إنّ التعهّ</w:t>
      </w:r>
      <w:r w:rsidR="00EC43D5" w:rsidRPr="00282AC9">
        <w:rPr>
          <w:rFonts w:hint="cs"/>
          <w:sz w:val="27"/>
          <w:rtl/>
          <w:lang w:bidi="fa-IR"/>
        </w:rPr>
        <w:t>ُ</w:t>
      </w:r>
      <w:r w:rsidRPr="00282AC9">
        <w:rPr>
          <w:rFonts w:hint="cs"/>
          <w:sz w:val="27"/>
          <w:rtl/>
          <w:lang w:bidi="fa-IR"/>
        </w:rPr>
        <w:t>د الموجود في الن</w:t>
      </w:r>
      <w:r w:rsidR="00EC43D5" w:rsidRPr="00282AC9">
        <w:rPr>
          <w:rFonts w:hint="cs"/>
          <w:sz w:val="27"/>
          <w:rtl/>
          <w:lang w:bidi="fa-IR"/>
        </w:rPr>
        <w:t>َّ</w:t>
      </w:r>
      <w:r w:rsidRPr="00282AC9">
        <w:rPr>
          <w:rFonts w:hint="cs"/>
          <w:sz w:val="27"/>
          <w:rtl/>
          <w:lang w:bidi="fa-IR"/>
        </w:rPr>
        <w:t>ذ</w:t>
      </w:r>
      <w:r w:rsidR="00EC43D5" w:rsidRPr="00282AC9">
        <w:rPr>
          <w:rFonts w:hint="cs"/>
          <w:sz w:val="27"/>
          <w:rtl/>
          <w:lang w:bidi="fa-IR"/>
        </w:rPr>
        <w:t>ْ</w:t>
      </w:r>
      <w:r w:rsidRPr="00282AC9">
        <w:rPr>
          <w:rFonts w:hint="cs"/>
          <w:sz w:val="27"/>
          <w:rtl/>
          <w:lang w:bidi="fa-IR"/>
        </w:rPr>
        <w:t>ر يجب أ</w:t>
      </w:r>
      <w:r w:rsidR="00EC43D5" w:rsidRPr="00282AC9">
        <w:rPr>
          <w:rFonts w:hint="cs"/>
          <w:sz w:val="27"/>
          <w:rtl/>
          <w:lang w:bidi="fa-IR"/>
        </w:rPr>
        <w:t xml:space="preserve">ن </w:t>
      </w:r>
      <w:r w:rsidRPr="00282AC9">
        <w:rPr>
          <w:rFonts w:hint="cs"/>
          <w:sz w:val="27"/>
          <w:rtl/>
          <w:lang w:bidi="fa-IR"/>
        </w:rPr>
        <w:t>لا يُخ</w:t>
      </w:r>
      <w:r w:rsidR="00EC43D5" w:rsidRPr="00282AC9">
        <w:rPr>
          <w:rFonts w:hint="cs"/>
          <w:sz w:val="27"/>
          <w:rtl/>
          <w:lang w:bidi="fa-IR"/>
        </w:rPr>
        <w:t>ْ</w:t>
      </w:r>
      <w:r w:rsidRPr="00282AC9">
        <w:rPr>
          <w:rFonts w:hint="cs"/>
          <w:sz w:val="27"/>
          <w:rtl/>
          <w:lang w:bidi="fa-IR"/>
        </w:rPr>
        <w:t>ل</w:t>
      </w:r>
      <w:r w:rsidR="00EC43D5" w:rsidRPr="00282AC9">
        <w:rPr>
          <w:rFonts w:hint="cs"/>
          <w:sz w:val="27"/>
          <w:rtl/>
          <w:lang w:bidi="fa-IR"/>
        </w:rPr>
        <w:t>َ</w:t>
      </w:r>
      <w:r w:rsidRPr="00282AC9">
        <w:rPr>
          <w:rFonts w:hint="cs"/>
          <w:sz w:val="27"/>
          <w:rtl/>
          <w:lang w:bidi="fa-IR"/>
        </w:rPr>
        <w:t xml:space="preserve">ط بباب </w:t>
      </w:r>
      <w:r w:rsidR="00EB1216" w:rsidRPr="00282AC9">
        <w:rPr>
          <w:rFonts w:hint="cs"/>
          <w:sz w:val="27"/>
          <w:rtl/>
          <w:lang w:bidi="fa-IR"/>
        </w:rPr>
        <w:t>المِلْكيّة</w:t>
      </w:r>
      <w:r w:rsidRPr="00282AC9">
        <w:rPr>
          <w:rFonts w:hint="cs"/>
          <w:sz w:val="27"/>
          <w:rtl/>
          <w:lang w:bidi="fa-IR"/>
        </w:rPr>
        <w:t xml:space="preserve"> والتمليك؛ ففي قول: (لله عليّ</w:t>
      </w:r>
      <w:r w:rsidR="00EC43D5" w:rsidRPr="00282AC9">
        <w:rPr>
          <w:rFonts w:hint="cs"/>
          <w:sz w:val="27"/>
          <w:rtl/>
          <w:lang w:bidi="fa-IR"/>
        </w:rPr>
        <w:t>َ</w:t>
      </w:r>
      <w:r w:rsidRPr="00282AC9">
        <w:rPr>
          <w:rFonts w:hint="cs"/>
          <w:sz w:val="27"/>
          <w:rtl/>
          <w:lang w:bidi="fa-IR"/>
        </w:rPr>
        <w:t xml:space="preserve"> أن أتصدّ</w:t>
      </w:r>
      <w:r w:rsidR="00EC43D5" w:rsidRPr="00282AC9">
        <w:rPr>
          <w:rFonts w:hint="cs"/>
          <w:sz w:val="27"/>
          <w:rtl/>
          <w:lang w:bidi="fa-IR"/>
        </w:rPr>
        <w:t>َ</w:t>
      </w:r>
      <w:r w:rsidRPr="00282AC9">
        <w:rPr>
          <w:rFonts w:hint="cs"/>
          <w:sz w:val="27"/>
          <w:rtl/>
          <w:lang w:bidi="fa-IR"/>
        </w:rPr>
        <w:t>ق بدرهم</w:t>
      </w:r>
      <w:r w:rsidR="00EC43D5" w:rsidRPr="00282AC9">
        <w:rPr>
          <w:rFonts w:hint="cs"/>
          <w:sz w:val="27"/>
          <w:rtl/>
          <w:lang w:bidi="fa-IR"/>
        </w:rPr>
        <w:t>ٍ</w:t>
      </w:r>
      <w:r w:rsidRPr="00282AC9">
        <w:rPr>
          <w:rFonts w:hint="cs"/>
          <w:sz w:val="27"/>
          <w:rtl/>
          <w:lang w:bidi="fa-IR"/>
        </w:rPr>
        <w:t>) تعهّ</w:t>
      </w:r>
      <w:r w:rsidR="00EC43D5" w:rsidRPr="00282AC9">
        <w:rPr>
          <w:rFonts w:hint="cs"/>
          <w:sz w:val="27"/>
          <w:rtl/>
          <w:lang w:bidi="fa-IR"/>
        </w:rPr>
        <w:t>ُ</w:t>
      </w:r>
      <w:r w:rsidRPr="00282AC9">
        <w:rPr>
          <w:rFonts w:hint="cs"/>
          <w:sz w:val="27"/>
          <w:rtl/>
          <w:lang w:bidi="fa-IR"/>
        </w:rPr>
        <w:t>د</w:t>
      </w:r>
      <w:r w:rsidR="00EC43D5" w:rsidRPr="00282AC9">
        <w:rPr>
          <w:rFonts w:hint="cs"/>
          <w:sz w:val="27"/>
          <w:rtl/>
          <w:lang w:bidi="fa-IR"/>
        </w:rPr>
        <w:t>ٌ</w:t>
      </w:r>
      <w:r w:rsidRPr="00282AC9">
        <w:rPr>
          <w:rFonts w:hint="cs"/>
          <w:sz w:val="27"/>
          <w:rtl/>
          <w:lang w:bidi="fa-IR"/>
        </w:rPr>
        <w:t xml:space="preserve"> والتزام</w:t>
      </w:r>
      <w:r w:rsidR="00EC43D5" w:rsidRPr="00282AC9">
        <w:rPr>
          <w:rFonts w:hint="cs"/>
          <w:sz w:val="27"/>
          <w:rtl/>
          <w:lang w:bidi="fa-IR"/>
        </w:rPr>
        <w:t xml:space="preserve">ٌ </w:t>
      </w:r>
      <w:r w:rsidRPr="00282AC9">
        <w:rPr>
          <w:rFonts w:hint="cs"/>
          <w:sz w:val="27"/>
          <w:rtl/>
          <w:lang w:bidi="fa-IR"/>
        </w:rPr>
        <w:t>بح</w:t>
      </w:r>
      <w:r w:rsidR="00EC43D5" w:rsidRPr="00282AC9">
        <w:rPr>
          <w:rFonts w:hint="cs"/>
          <w:sz w:val="27"/>
          <w:rtl/>
          <w:lang w:bidi="fa-IR"/>
        </w:rPr>
        <w:t>َ</w:t>
      </w:r>
      <w:r w:rsidRPr="00282AC9">
        <w:rPr>
          <w:rFonts w:hint="cs"/>
          <w:sz w:val="27"/>
          <w:rtl/>
          <w:lang w:bidi="fa-IR"/>
        </w:rPr>
        <w:t>س</w:t>
      </w:r>
      <w:r w:rsidR="00EC43D5" w:rsidRPr="00282AC9">
        <w:rPr>
          <w:rFonts w:hint="cs"/>
          <w:sz w:val="27"/>
          <w:rtl/>
          <w:lang w:bidi="fa-IR"/>
        </w:rPr>
        <w:t>َ</w:t>
      </w:r>
      <w:r w:rsidRPr="00282AC9">
        <w:rPr>
          <w:rFonts w:hint="cs"/>
          <w:sz w:val="27"/>
          <w:rtl/>
          <w:lang w:bidi="fa-IR"/>
        </w:rPr>
        <w:t xml:space="preserve">ب الارتكاز العقلائي، ولا </w:t>
      </w:r>
      <w:r w:rsidRPr="00282AC9">
        <w:rPr>
          <w:rFonts w:hint="cs"/>
          <w:sz w:val="27"/>
          <w:rtl/>
          <w:lang w:bidi="fa-IR"/>
        </w:rPr>
        <w:lastRenderedPageBreak/>
        <w:t>يُوجد أيّ تمليك</w:t>
      </w:r>
      <w:r w:rsidR="00EC43D5" w:rsidRPr="00282AC9">
        <w:rPr>
          <w:rFonts w:hint="cs"/>
          <w:sz w:val="27"/>
          <w:rtl/>
          <w:lang w:bidi="fa-IR"/>
        </w:rPr>
        <w:t>ٍ. فالناذر بهذا القول لا ي</w:t>
      </w:r>
      <w:r w:rsidRPr="00282AC9">
        <w:rPr>
          <w:rFonts w:hint="cs"/>
          <w:sz w:val="27"/>
          <w:rtl/>
          <w:lang w:bidi="fa-IR"/>
        </w:rPr>
        <w:t>ريد أن يُملّ</w:t>
      </w:r>
      <w:r w:rsidR="00EC43D5" w:rsidRPr="00282AC9">
        <w:rPr>
          <w:rFonts w:hint="cs"/>
          <w:sz w:val="27"/>
          <w:rtl/>
          <w:lang w:bidi="fa-IR"/>
        </w:rPr>
        <w:t>ِ</w:t>
      </w:r>
      <w:r w:rsidRPr="00282AC9">
        <w:rPr>
          <w:rFonts w:hint="cs"/>
          <w:sz w:val="27"/>
          <w:rtl/>
          <w:lang w:bidi="fa-IR"/>
        </w:rPr>
        <w:t>ك</w:t>
      </w:r>
      <w:r w:rsidR="00EC43D5" w:rsidRPr="00282AC9">
        <w:rPr>
          <w:rFonts w:hint="cs"/>
          <w:sz w:val="27"/>
          <w:rtl/>
          <w:lang w:bidi="fa-IR"/>
        </w:rPr>
        <w:t xml:space="preserve"> الله فعلاً من أفعاله، وإنّما ي</w:t>
      </w:r>
      <w:r w:rsidRPr="00282AC9">
        <w:rPr>
          <w:rFonts w:hint="cs"/>
          <w:sz w:val="27"/>
          <w:rtl/>
          <w:lang w:bidi="fa-IR"/>
        </w:rPr>
        <w:t>ريد أن يتعهّ</w:t>
      </w:r>
      <w:r w:rsidR="00EC43D5" w:rsidRPr="00282AC9">
        <w:rPr>
          <w:rFonts w:hint="cs"/>
          <w:sz w:val="27"/>
          <w:rtl/>
          <w:lang w:bidi="fa-IR"/>
        </w:rPr>
        <w:t>َ</w:t>
      </w:r>
      <w:r w:rsidRPr="00282AC9">
        <w:rPr>
          <w:rFonts w:hint="cs"/>
          <w:sz w:val="27"/>
          <w:rtl/>
          <w:lang w:bidi="fa-IR"/>
        </w:rPr>
        <w:t>د له سبحانه بالتصدّ</w:t>
      </w:r>
      <w:r w:rsidR="00EC43D5" w:rsidRPr="00282AC9">
        <w:rPr>
          <w:rFonts w:hint="cs"/>
          <w:sz w:val="27"/>
          <w:rtl/>
          <w:lang w:bidi="fa-IR"/>
        </w:rPr>
        <w:t>ُ</w:t>
      </w:r>
      <w:r w:rsidRPr="00282AC9">
        <w:rPr>
          <w:rFonts w:hint="cs"/>
          <w:sz w:val="27"/>
          <w:rtl/>
          <w:lang w:bidi="fa-IR"/>
        </w:rPr>
        <w:t>ق بدرهم</w:t>
      </w:r>
      <w:r w:rsidR="00EC43D5" w:rsidRPr="00282AC9">
        <w:rPr>
          <w:rFonts w:hint="cs"/>
          <w:sz w:val="27"/>
          <w:rtl/>
          <w:lang w:bidi="fa-IR"/>
        </w:rPr>
        <w:t>.</w:t>
      </w:r>
      <w:r w:rsidRPr="00282AC9">
        <w:rPr>
          <w:rFonts w:hint="cs"/>
          <w:sz w:val="27"/>
          <w:rtl/>
          <w:lang w:bidi="fa-IR"/>
        </w:rPr>
        <w:t xml:space="preserve"> فبابه باب العُه</w:t>
      </w:r>
      <w:r w:rsidR="00EC43D5" w:rsidRPr="00282AC9">
        <w:rPr>
          <w:rFonts w:hint="cs"/>
          <w:sz w:val="27"/>
          <w:rtl/>
          <w:lang w:bidi="fa-IR"/>
        </w:rPr>
        <w:t>ْ</w:t>
      </w:r>
      <w:r w:rsidRPr="00282AC9">
        <w:rPr>
          <w:rFonts w:hint="cs"/>
          <w:sz w:val="27"/>
          <w:rtl/>
          <w:lang w:bidi="fa-IR"/>
        </w:rPr>
        <w:t>دة، لا باب التمليك،</w:t>
      </w:r>
      <w:r w:rsidR="00EC43D5" w:rsidRPr="00282AC9">
        <w:rPr>
          <w:rFonts w:hint="cs"/>
          <w:sz w:val="27"/>
          <w:rtl/>
          <w:lang w:bidi="fa-IR"/>
        </w:rPr>
        <w:t xml:space="preserve"> و</w:t>
      </w:r>
      <w:r w:rsidRPr="00282AC9">
        <w:rPr>
          <w:rFonts w:hint="cs"/>
          <w:sz w:val="27"/>
          <w:rtl/>
          <w:lang w:bidi="fa-IR"/>
        </w:rPr>
        <w:t>(اللام) في قوله (لله) لام الإضافة في المتعهَّد له</w:t>
      </w:r>
      <w:r w:rsidR="00EC43D5" w:rsidRPr="00282AC9">
        <w:rPr>
          <w:rFonts w:hint="cs"/>
          <w:sz w:val="27"/>
          <w:rtl/>
          <w:lang w:bidi="fa-IR"/>
        </w:rPr>
        <w:t>؛</w:t>
      </w:r>
      <w:r w:rsidRPr="00282AC9">
        <w:rPr>
          <w:rFonts w:hint="cs"/>
          <w:sz w:val="27"/>
          <w:rtl/>
          <w:lang w:bidi="fa-IR"/>
        </w:rPr>
        <w:t xml:space="preserve"> حيث </w:t>
      </w:r>
      <w:r w:rsidR="00EC43D5" w:rsidRPr="00282AC9">
        <w:rPr>
          <w:rFonts w:hint="cs"/>
          <w:sz w:val="27"/>
          <w:rtl/>
          <w:lang w:bidi="fa-IR"/>
        </w:rPr>
        <w:t>إ</w:t>
      </w:r>
      <w:r w:rsidRPr="00282AC9">
        <w:rPr>
          <w:rFonts w:hint="cs"/>
          <w:sz w:val="27"/>
          <w:rtl/>
          <w:lang w:bidi="fa-IR"/>
        </w:rPr>
        <w:t>نّ المتعهَّد به يُضاف</w:t>
      </w:r>
      <w:r w:rsidR="00BC0925" w:rsidRPr="00282AC9">
        <w:rPr>
          <w:rFonts w:hint="cs"/>
          <w:sz w:val="27"/>
          <w:rtl/>
          <w:lang w:bidi="fa-IR"/>
        </w:rPr>
        <w:t xml:space="preserve"> إلى </w:t>
      </w:r>
      <w:r w:rsidRPr="00282AC9">
        <w:rPr>
          <w:rFonts w:hint="cs"/>
          <w:sz w:val="27"/>
          <w:rtl/>
          <w:lang w:bidi="fa-IR"/>
        </w:rPr>
        <w:t>المتعهَّد له، فكما يُضاف المملوك</w:t>
      </w:r>
      <w:r w:rsidR="00BC0925" w:rsidRPr="00282AC9">
        <w:rPr>
          <w:rFonts w:hint="cs"/>
          <w:sz w:val="27"/>
          <w:rtl/>
          <w:lang w:bidi="fa-IR"/>
        </w:rPr>
        <w:t xml:space="preserve"> إلى </w:t>
      </w:r>
      <w:r w:rsidRPr="00282AC9">
        <w:rPr>
          <w:rFonts w:hint="cs"/>
          <w:sz w:val="27"/>
          <w:rtl/>
          <w:lang w:bidi="fa-IR"/>
        </w:rPr>
        <w:t>المالك، فيُقال: (هذا ملك فلان)</w:t>
      </w:r>
      <w:r w:rsidR="00F71514" w:rsidRPr="00282AC9">
        <w:rPr>
          <w:rFonts w:hint="cs"/>
          <w:sz w:val="27"/>
          <w:rtl/>
          <w:lang w:bidi="fa-IR"/>
        </w:rPr>
        <w:t>،</w:t>
      </w:r>
      <w:r w:rsidRPr="00282AC9">
        <w:rPr>
          <w:rFonts w:hint="cs"/>
          <w:sz w:val="27"/>
          <w:rtl/>
          <w:lang w:bidi="fa-IR"/>
        </w:rPr>
        <w:t xml:space="preserve"> كذا يُقال: (هذا متعهَّد به لفلان)</w:t>
      </w:r>
      <w:r w:rsidR="00F71514" w:rsidRPr="00282AC9">
        <w:rPr>
          <w:rFonts w:hint="cs"/>
          <w:sz w:val="27"/>
          <w:rtl/>
          <w:lang w:bidi="fa-IR"/>
        </w:rPr>
        <w:t>.</w:t>
      </w:r>
      <w:r w:rsidRPr="00282AC9">
        <w:rPr>
          <w:rFonts w:hint="cs"/>
          <w:sz w:val="27"/>
          <w:rtl/>
          <w:lang w:bidi="fa-IR"/>
        </w:rPr>
        <w:t xml:space="preserve"> فـ (اللام) هنا لام التعهّ</w:t>
      </w:r>
      <w:r w:rsidR="00F71514" w:rsidRPr="00282AC9">
        <w:rPr>
          <w:rFonts w:hint="cs"/>
          <w:sz w:val="27"/>
          <w:rtl/>
          <w:lang w:bidi="fa-IR"/>
        </w:rPr>
        <w:t>ُ</w:t>
      </w:r>
      <w:r w:rsidRPr="00282AC9">
        <w:rPr>
          <w:rFonts w:hint="cs"/>
          <w:sz w:val="27"/>
          <w:rtl/>
          <w:lang w:bidi="fa-IR"/>
        </w:rPr>
        <w:t>د، لا الم</w:t>
      </w:r>
      <w:r w:rsidR="00F71514" w:rsidRPr="00282AC9">
        <w:rPr>
          <w:rFonts w:hint="cs"/>
          <w:sz w:val="27"/>
          <w:rtl/>
          <w:lang w:bidi="fa-IR"/>
        </w:rPr>
        <w:t>ِ</w:t>
      </w:r>
      <w:r w:rsidRPr="00282AC9">
        <w:rPr>
          <w:rFonts w:hint="cs"/>
          <w:sz w:val="27"/>
          <w:rtl/>
          <w:lang w:bidi="fa-IR"/>
        </w:rPr>
        <w:t>ل</w:t>
      </w:r>
      <w:r w:rsidR="00F71514" w:rsidRPr="00282AC9">
        <w:rPr>
          <w:rFonts w:hint="cs"/>
          <w:sz w:val="27"/>
          <w:rtl/>
          <w:lang w:bidi="fa-IR"/>
        </w:rPr>
        <w:t>ْ</w:t>
      </w:r>
      <w:r w:rsidRPr="00282AC9">
        <w:rPr>
          <w:rFonts w:hint="cs"/>
          <w:sz w:val="27"/>
          <w:rtl/>
          <w:lang w:bidi="fa-IR"/>
        </w:rPr>
        <w:t>ك</w:t>
      </w:r>
      <w:r w:rsidRPr="00282AC9">
        <w:rPr>
          <w:sz w:val="27"/>
          <w:vertAlign w:val="superscript"/>
          <w:rtl/>
          <w:lang w:bidi="fa-IR"/>
        </w:rPr>
        <w:t>(</w:t>
      </w:r>
      <w:r w:rsidRPr="00282AC9">
        <w:rPr>
          <w:sz w:val="27"/>
          <w:vertAlign w:val="superscript"/>
          <w:rtl/>
          <w:lang w:bidi="fa-IR"/>
        </w:rPr>
        <w:endnoteReference w:id="999"/>
      </w:r>
      <w:r w:rsidRPr="00282AC9">
        <w:rPr>
          <w:rFonts w:hint="cs"/>
          <w:sz w:val="27"/>
          <w:vertAlign w:val="superscript"/>
          <w:rtl/>
          <w:lang w:bidi="fa-IR"/>
        </w:rPr>
        <w:t>)</w:t>
      </w:r>
      <w:r w:rsidRPr="00282AC9">
        <w:rPr>
          <w:rFonts w:hint="cs"/>
          <w:sz w:val="27"/>
          <w:rtl/>
          <w:lang w:bidi="fa-IR"/>
        </w:rPr>
        <w:t>.</w:t>
      </w:r>
    </w:p>
    <w:p w:rsidR="0062395A" w:rsidRPr="00282AC9" w:rsidRDefault="0062395A" w:rsidP="00495D24">
      <w:pPr>
        <w:rPr>
          <w:sz w:val="27"/>
          <w:rtl/>
          <w:lang w:bidi="fa-IR"/>
        </w:rPr>
      </w:pPr>
      <w:r w:rsidRPr="00282AC9">
        <w:rPr>
          <w:rFonts w:hint="cs"/>
          <w:sz w:val="27"/>
          <w:rtl/>
        </w:rPr>
        <w:t>5ـ ما ذكره من تقسيم</w:t>
      </w:r>
      <w:r w:rsidR="00F71514" w:rsidRPr="00282AC9">
        <w:rPr>
          <w:rFonts w:hint="cs"/>
          <w:sz w:val="27"/>
          <w:rtl/>
        </w:rPr>
        <w:t>ٍ</w:t>
      </w:r>
      <w:r w:rsidRPr="00282AC9">
        <w:rPr>
          <w:rFonts w:hint="cs"/>
          <w:sz w:val="27"/>
          <w:rtl/>
        </w:rPr>
        <w:t xml:space="preserve"> للنوع الثاني</w:t>
      </w:r>
      <w:r w:rsidR="00BC0925" w:rsidRPr="00282AC9">
        <w:rPr>
          <w:rFonts w:hint="cs"/>
          <w:sz w:val="27"/>
          <w:rtl/>
        </w:rPr>
        <w:t xml:space="preserve"> إلى </w:t>
      </w:r>
      <w:r w:rsidRPr="00282AC9">
        <w:rPr>
          <w:rFonts w:hint="cs"/>
          <w:sz w:val="27"/>
          <w:rtl/>
        </w:rPr>
        <w:t>صنفين؛ فإنّ الصنف الثاني لا يكون من الأسباب الق</w:t>
      </w:r>
      <w:r w:rsidR="00F71514" w:rsidRPr="00282AC9">
        <w:rPr>
          <w:rFonts w:hint="cs"/>
          <w:sz w:val="27"/>
          <w:rtl/>
        </w:rPr>
        <w:t>َ</w:t>
      </w:r>
      <w:r w:rsidRPr="00282AC9">
        <w:rPr>
          <w:rFonts w:hint="cs"/>
          <w:sz w:val="27"/>
          <w:rtl/>
        </w:rPr>
        <w:t>ه</w:t>
      </w:r>
      <w:r w:rsidR="00F71514" w:rsidRPr="00282AC9">
        <w:rPr>
          <w:rFonts w:hint="cs"/>
          <w:sz w:val="27"/>
          <w:rtl/>
        </w:rPr>
        <w:t>ْ</w:t>
      </w:r>
      <w:r w:rsidRPr="00282AC9">
        <w:rPr>
          <w:rFonts w:hint="cs"/>
          <w:sz w:val="27"/>
          <w:rtl/>
        </w:rPr>
        <w:t>رية بنحو</w:t>
      </w:r>
      <w:r w:rsidR="00F71514" w:rsidRPr="00282AC9">
        <w:rPr>
          <w:rFonts w:hint="cs"/>
          <w:sz w:val="27"/>
          <w:rtl/>
        </w:rPr>
        <w:t>ٍ</w:t>
      </w:r>
      <w:r w:rsidRPr="00282AC9">
        <w:rPr>
          <w:rFonts w:hint="cs"/>
          <w:sz w:val="27"/>
          <w:rtl/>
        </w:rPr>
        <w:t xml:space="preserve"> مطلق، بل قد يكون في بعض الحالات من الأسباب الاختياري</w:t>
      </w:r>
      <w:r w:rsidR="00F71514" w:rsidRPr="00282AC9">
        <w:rPr>
          <w:rFonts w:hint="cs"/>
          <w:sz w:val="27"/>
          <w:rtl/>
        </w:rPr>
        <w:t>ّ</w:t>
      </w:r>
      <w:r w:rsidRPr="00282AC9">
        <w:rPr>
          <w:rFonts w:hint="cs"/>
          <w:sz w:val="27"/>
          <w:rtl/>
        </w:rPr>
        <w:t>ة؛ إذ ما لم يقبل الطرف الآخر ـ وهو الموصى له ـ لا يدخل الموصى به في م</w:t>
      </w:r>
      <w:r w:rsidR="00F71514" w:rsidRPr="00282AC9">
        <w:rPr>
          <w:rFonts w:hint="cs"/>
          <w:sz w:val="27"/>
          <w:rtl/>
        </w:rPr>
        <w:t>ِ</w:t>
      </w:r>
      <w:r w:rsidRPr="00282AC9">
        <w:rPr>
          <w:rFonts w:hint="cs"/>
          <w:sz w:val="27"/>
          <w:rtl/>
        </w:rPr>
        <w:t>ل</w:t>
      </w:r>
      <w:r w:rsidR="00F71514" w:rsidRPr="00282AC9">
        <w:rPr>
          <w:rFonts w:hint="cs"/>
          <w:sz w:val="27"/>
          <w:rtl/>
        </w:rPr>
        <w:t>ْ</w:t>
      </w:r>
      <w:r w:rsidRPr="00282AC9">
        <w:rPr>
          <w:rFonts w:hint="cs"/>
          <w:sz w:val="27"/>
          <w:rtl/>
        </w:rPr>
        <w:t>كه، بخلاف الصنف الأوّل</w:t>
      </w:r>
      <w:r w:rsidR="00F71514" w:rsidRPr="00282AC9">
        <w:rPr>
          <w:rFonts w:hint="cs"/>
          <w:sz w:val="27"/>
          <w:rtl/>
        </w:rPr>
        <w:t>،</w:t>
      </w:r>
      <w:r w:rsidRPr="00282AC9">
        <w:rPr>
          <w:rFonts w:hint="cs"/>
          <w:sz w:val="27"/>
          <w:rtl/>
        </w:rPr>
        <w:t xml:space="preserve"> كالإرث</w:t>
      </w:r>
      <w:r w:rsidR="00F71514" w:rsidRPr="00282AC9">
        <w:rPr>
          <w:rFonts w:hint="cs"/>
          <w:sz w:val="27"/>
          <w:rtl/>
        </w:rPr>
        <w:t>،</w:t>
      </w:r>
      <w:r w:rsidRPr="00282AC9">
        <w:rPr>
          <w:rFonts w:hint="cs"/>
          <w:sz w:val="27"/>
          <w:rtl/>
        </w:rPr>
        <w:t xml:space="preserve"> الذي لا يتوقّ</w:t>
      </w:r>
      <w:r w:rsidR="00F71514" w:rsidRPr="00282AC9">
        <w:rPr>
          <w:rFonts w:hint="cs"/>
          <w:sz w:val="27"/>
          <w:rtl/>
        </w:rPr>
        <w:t>َ</w:t>
      </w:r>
      <w:r w:rsidRPr="00282AC9">
        <w:rPr>
          <w:rFonts w:hint="cs"/>
          <w:sz w:val="27"/>
          <w:rtl/>
        </w:rPr>
        <w:t>ف دخوله في ملك الوارث على رضاه وقبوله مطلقاً، كما هو واضح</w:t>
      </w:r>
      <w:r w:rsidR="00F71514" w:rsidRPr="00282AC9">
        <w:rPr>
          <w:rFonts w:hint="cs"/>
          <w:sz w:val="27"/>
          <w:rtl/>
        </w:rPr>
        <w:t>ٌ</w:t>
      </w:r>
      <w:r w:rsidRPr="00282AC9">
        <w:rPr>
          <w:rFonts w:hint="cs"/>
          <w:sz w:val="27"/>
          <w:rtl/>
        </w:rPr>
        <w:t>.</w:t>
      </w:r>
    </w:p>
    <w:p w:rsidR="000F0B20" w:rsidRPr="00282AC9" w:rsidRDefault="000F0B20" w:rsidP="000F0B20">
      <w:pPr>
        <w:spacing w:line="420" w:lineRule="exact"/>
        <w:rPr>
          <w:sz w:val="27"/>
          <w:rtl/>
        </w:rPr>
      </w:pPr>
    </w:p>
    <w:p w:rsidR="0062395A" w:rsidRPr="00282AC9" w:rsidRDefault="00787664" w:rsidP="00715FC8">
      <w:pPr>
        <w:pStyle w:val="31"/>
        <w:spacing w:line="400" w:lineRule="exact"/>
        <w:rPr>
          <w:rFonts w:cs="AL-Mohanad"/>
          <w:color w:val="auto"/>
          <w:szCs w:val="27"/>
          <w:rtl/>
          <w:lang w:bidi="fa-IR"/>
        </w:rPr>
      </w:pPr>
      <w:r w:rsidRPr="00282AC9">
        <w:rPr>
          <w:rFonts w:hint="cs"/>
          <w:color w:val="auto"/>
          <w:rtl/>
        </w:rPr>
        <w:t>المسلك الثالث</w:t>
      </w:r>
      <w:r w:rsidR="002C572E" w:rsidRPr="00282AC9">
        <w:rPr>
          <w:rFonts w:hint="cs"/>
          <w:color w:val="auto"/>
          <w:rtl/>
        </w:rPr>
        <w:t>: المِلْكيّات الذاتيّة والعَرَضيّة</w:t>
      </w:r>
    </w:p>
    <w:p w:rsidR="0062395A" w:rsidRPr="00282AC9" w:rsidRDefault="0062395A" w:rsidP="00760819">
      <w:pPr>
        <w:rPr>
          <w:sz w:val="27"/>
          <w:rtl/>
          <w:lang w:bidi="fa-IR"/>
        </w:rPr>
      </w:pPr>
      <w:r w:rsidRPr="00282AC9">
        <w:rPr>
          <w:rFonts w:hint="cs"/>
          <w:sz w:val="27"/>
          <w:rtl/>
          <w:lang w:bidi="fa-IR"/>
        </w:rPr>
        <w:t>وليُع</w:t>
      </w:r>
      <w:r w:rsidR="00F71514" w:rsidRPr="00282AC9">
        <w:rPr>
          <w:rFonts w:hint="cs"/>
          <w:sz w:val="27"/>
          <w:rtl/>
          <w:lang w:bidi="fa-IR"/>
        </w:rPr>
        <w:t>ْ</w:t>
      </w:r>
      <w:r w:rsidRPr="00282AC9">
        <w:rPr>
          <w:rFonts w:hint="cs"/>
          <w:sz w:val="27"/>
          <w:rtl/>
          <w:lang w:bidi="fa-IR"/>
        </w:rPr>
        <w:t>ل</w:t>
      </w:r>
      <w:r w:rsidR="00F71514" w:rsidRPr="00282AC9">
        <w:rPr>
          <w:rFonts w:hint="cs"/>
          <w:sz w:val="27"/>
          <w:rtl/>
          <w:lang w:bidi="fa-IR"/>
        </w:rPr>
        <w:t>َ</w:t>
      </w:r>
      <w:r w:rsidRPr="00282AC9">
        <w:rPr>
          <w:rFonts w:hint="cs"/>
          <w:sz w:val="27"/>
          <w:rtl/>
          <w:lang w:bidi="fa-IR"/>
        </w:rPr>
        <w:t xml:space="preserve">م أنّ هذا المسلك لم يُصرَّح به بعنوان أسباب </w:t>
      </w:r>
      <w:r w:rsidR="00F71514" w:rsidRPr="00282AC9">
        <w:rPr>
          <w:rFonts w:hint="cs"/>
          <w:sz w:val="27"/>
          <w:rtl/>
          <w:lang w:bidi="fa-IR"/>
        </w:rPr>
        <w:t>ا</w:t>
      </w:r>
      <w:r w:rsidRPr="00282AC9">
        <w:rPr>
          <w:rFonts w:hint="cs"/>
          <w:sz w:val="27"/>
          <w:rtl/>
          <w:lang w:bidi="fa-IR"/>
        </w:rPr>
        <w:t>لم</w:t>
      </w:r>
      <w:r w:rsidR="00F71514" w:rsidRPr="00282AC9">
        <w:rPr>
          <w:rFonts w:hint="cs"/>
          <w:sz w:val="27"/>
          <w:rtl/>
          <w:lang w:bidi="fa-IR"/>
        </w:rPr>
        <w:t>ِ</w:t>
      </w:r>
      <w:r w:rsidRPr="00282AC9">
        <w:rPr>
          <w:rFonts w:hint="cs"/>
          <w:sz w:val="27"/>
          <w:rtl/>
          <w:lang w:bidi="fa-IR"/>
        </w:rPr>
        <w:t>ل</w:t>
      </w:r>
      <w:r w:rsidR="00F71514" w:rsidRPr="00282AC9">
        <w:rPr>
          <w:rFonts w:hint="cs"/>
          <w:sz w:val="27"/>
          <w:rtl/>
          <w:lang w:bidi="fa-IR"/>
        </w:rPr>
        <w:t>ْ</w:t>
      </w:r>
      <w:r w:rsidRPr="00282AC9">
        <w:rPr>
          <w:rFonts w:hint="cs"/>
          <w:sz w:val="27"/>
          <w:rtl/>
          <w:lang w:bidi="fa-IR"/>
        </w:rPr>
        <w:t>كي</w:t>
      </w:r>
      <w:r w:rsidR="00F71514" w:rsidRPr="00282AC9">
        <w:rPr>
          <w:rFonts w:hint="cs"/>
          <w:sz w:val="27"/>
          <w:rtl/>
          <w:lang w:bidi="fa-IR"/>
        </w:rPr>
        <w:t>ّ</w:t>
      </w:r>
      <w:r w:rsidRPr="00282AC9">
        <w:rPr>
          <w:rFonts w:hint="cs"/>
          <w:sz w:val="27"/>
          <w:rtl/>
          <w:lang w:bidi="fa-IR"/>
        </w:rPr>
        <w:t>ة، كما لم يُصرّ</w:t>
      </w:r>
      <w:r w:rsidR="00F71514" w:rsidRPr="00282AC9">
        <w:rPr>
          <w:rFonts w:hint="cs"/>
          <w:sz w:val="27"/>
          <w:rtl/>
          <w:lang w:bidi="fa-IR"/>
        </w:rPr>
        <w:t>َ</w:t>
      </w:r>
      <w:r w:rsidRPr="00282AC9">
        <w:rPr>
          <w:rFonts w:hint="cs"/>
          <w:sz w:val="27"/>
          <w:rtl/>
          <w:lang w:bidi="fa-IR"/>
        </w:rPr>
        <w:t>ح بأنّه مطروح</w:t>
      </w:r>
      <w:r w:rsidR="00F71514" w:rsidRPr="00282AC9">
        <w:rPr>
          <w:rFonts w:hint="cs"/>
          <w:sz w:val="27"/>
          <w:rtl/>
          <w:lang w:bidi="fa-IR"/>
        </w:rPr>
        <w:t>ٌ</w:t>
      </w:r>
      <w:r w:rsidRPr="00282AC9">
        <w:rPr>
          <w:rFonts w:hint="cs"/>
          <w:sz w:val="27"/>
          <w:rtl/>
          <w:lang w:bidi="fa-IR"/>
        </w:rPr>
        <w:t xml:space="preserve"> على سبيل الح</w:t>
      </w:r>
      <w:r w:rsidR="00F71514" w:rsidRPr="00282AC9">
        <w:rPr>
          <w:rFonts w:hint="cs"/>
          <w:sz w:val="27"/>
          <w:rtl/>
          <w:lang w:bidi="fa-IR"/>
        </w:rPr>
        <w:t>َ</w:t>
      </w:r>
      <w:r w:rsidRPr="00282AC9">
        <w:rPr>
          <w:rFonts w:hint="cs"/>
          <w:sz w:val="27"/>
          <w:rtl/>
          <w:lang w:bidi="fa-IR"/>
        </w:rPr>
        <w:t>ص</w:t>
      </w:r>
      <w:r w:rsidR="00F71514" w:rsidRPr="00282AC9">
        <w:rPr>
          <w:rFonts w:hint="cs"/>
          <w:sz w:val="27"/>
          <w:rtl/>
          <w:lang w:bidi="fa-IR"/>
        </w:rPr>
        <w:t>ْ</w:t>
      </w:r>
      <w:r w:rsidRPr="00282AC9">
        <w:rPr>
          <w:rFonts w:hint="cs"/>
          <w:sz w:val="27"/>
          <w:rtl/>
          <w:lang w:bidi="fa-IR"/>
        </w:rPr>
        <w:t>ر</w:t>
      </w:r>
      <w:r w:rsidR="00F71514" w:rsidRPr="00282AC9">
        <w:rPr>
          <w:rFonts w:hint="cs"/>
          <w:sz w:val="27"/>
          <w:rtl/>
          <w:lang w:bidi="fa-IR"/>
        </w:rPr>
        <w:t>.</w:t>
      </w:r>
      <w:r w:rsidRPr="00282AC9">
        <w:rPr>
          <w:rFonts w:hint="cs"/>
          <w:sz w:val="27"/>
          <w:rtl/>
          <w:lang w:bidi="fa-IR"/>
        </w:rPr>
        <w:t xml:space="preserve"> وإنّما انتز</w:t>
      </w:r>
      <w:r w:rsidR="00F71514" w:rsidRPr="00282AC9">
        <w:rPr>
          <w:rFonts w:hint="cs"/>
          <w:sz w:val="27"/>
          <w:rtl/>
          <w:lang w:bidi="fa-IR"/>
        </w:rPr>
        <w:t>َ</w:t>
      </w:r>
      <w:r w:rsidRPr="00282AC9">
        <w:rPr>
          <w:rFonts w:hint="cs"/>
          <w:sz w:val="27"/>
          <w:rtl/>
          <w:lang w:bidi="fa-IR"/>
        </w:rPr>
        <w:t>ع</w:t>
      </w:r>
      <w:r w:rsidR="00F71514" w:rsidRPr="00282AC9">
        <w:rPr>
          <w:rFonts w:hint="cs"/>
          <w:sz w:val="27"/>
          <w:rtl/>
          <w:lang w:bidi="fa-IR"/>
        </w:rPr>
        <w:t>ْ</w:t>
      </w:r>
      <w:r w:rsidRPr="00282AC9">
        <w:rPr>
          <w:rFonts w:hint="cs"/>
          <w:sz w:val="27"/>
          <w:rtl/>
          <w:lang w:bidi="fa-IR"/>
        </w:rPr>
        <w:t>ناه من التقسيم الذي ذكره المحقّ</w:t>
      </w:r>
      <w:r w:rsidR="00F71514" w:rsidRPr="00282AC9">
        <w:rPr>
          <w:rFonts w:hint="cs"/>
          <w:sz w:val="27"/>
          <w:rtl/>
          <w:lang w:bidi="fa-IR"/>
        </w:rPr>
        <w:t>ِ</w:t>
      </w:r>
      <w:r w:rsidRPr="00282AC9">
        <w:rPr>
          <w:rFonts w:hint="cs"/>
          <w:sz w:val="27"/>
          <w:rtl/>
          <w:lang w:bidi="fa-IR"/>
        </w:rPr>
        <w:t>ق الخوئي</w:t>
      </w:r>
      <w:r w:rsidR="009A2A04" w:rsidRPr="00282AC9">
        <w:rPr>
          <w:rFonts w:cs="Mosawi" w:hint="cs"/>
          <w:sz w:val="22"/>
          <w:szCs w:val="22"/>
          <w:rtl/>
          <w:lang w:bidi="fa-IR"/>
        </w:rPr>
        <w:t>&amp;</w:t>
      </w:r>
      <w:r w:rsidRPr="00282AC9">
        <w:rPr>
          <w:rFonts w:hint="cs"/>
          <w:sz w:val="27"/>
          <w:rtl/>
          <w:lang w:bidi="fa-IR"/>
        </w:rPr>
        <w:t xml:space="preserve"> لأنواع </w:t>
      </w:r>
      <w:r w:rsidR="00EB1216" w:rsidRPr="00282AC9">
        <w:rPr>
          <w:rFonts w:hint="cs"/>
          <w:sz w:val="27"/>
          <w:rtl/>
          <w:lang w:bidi="fa-IR"/>
        </w:rPr>
        <w:t>المِلْكيّة</w:t>
      </w:r>
      <w:r w:rsidRPr="00282AC9">
        <w:rPr>
          <w:rFonts w:hint="cs"/>
          <w:sz w:val="27"/>
          <w:rtl/>
          <w:lang w:bidi="fa-IR"/>
        </w:rPr>
        <w:t xml:space="preserve"> وأقسامها</w:t>
      </w:r>
      <w:r w:rsidR="00F71514" w:rsidRPr="00282AC9">
        <w:rPr>
          <w:rFonts w:hint="cs"/>
          <w:sz w:val="27"/>
          <w:rtl/>
          <w:lang w:bidi="fa-IR"/>
        </w:rPr>
        <w:t>،</w:t>
      </w:r>
      <w:r w:rsidRPr="00282AC9">
        <w:rPr>
          <w:rFonts w:hint="cs"/>
          <w:sz w:val="27"/>
          <w:rtl/>
          <w:lang w:bidi="fa-IR"/>
        </w:rPr>
        <w:t xml:space="preserve"> وتلفيقه مع مجمل كلماته</w:t>
      </w:r>
      <w:r w:rsidR="00F71514" w:rsidRPr="00282AC9">
        <w:rPr>
          <w:rFonts w:hint="cs"/>
          <w:sz w:val="27"/>
          <w:rtl/>
          <w:lang w:bidi="fa-IR"/>
        </w:rPr>
        <w:t>.</w:t>
      </w:r>
      <w:r w:rsidRPr="00282AC9">
        <w:rPr>
          <w:rFonts w:hint="cs"/>
          <w:sz w:val="27"/>
          <w:rtl/>
          <w:lang w:bidi="fa-IR"/>
        </w:rPr>
        <w:t xml:space="preserve"> لذا فما نذكره هنا يكون من باب أحد الوجوه المتصوّ</w:t>
      </w:r>
      <w:r w:rsidR="00F71514" w:rsidRPr="00282AC9">
        <w:rPr>
          <w:rFonts w:hint="cs"/>
          <w:sz w:val="27"/>
          <w:rtl/>
          <w:lang w:bidi="fa-IR"/>
        </w:rPr>
        <w:t>َرة، ولا نريد تحميله للم</w:t>
      </w:r>
      <w:r w:rsidRPr="00282AC9">
        <w:rPr>
          <w:rFonts w:hint="cs"/>
          <w:sz w:val="27"/>
          <w:rtl/>
          <w:lang w:bidi="fa-IR"/>
        </w:rPr>
        <w:t>حقّ</w:t>
      </w:r>
      <w:r w:rsidR="00F71514" w:rsidRPr="00282AC9">
        <w:rPr>
          <w:rFonts w:hint="cs"/>
          <w:sz w:val="27"/>
          <w:rtl/>
          <w:lang w:bidi="fa-IR"/>
        </w:rPr>
        <w:t>ِ</w:t>
      </w:r>
      <w:r w:rsidRPr="00282AC9">
        <w:rPr>
          <w:rFonts w:hint="cs"/>
          <w:sz w:val="27"/>
          <w:rtl/>
          <w:lang w:bidi="fa-IR"/>
        </w:rPr>
        <w:t>ق الخوئي</w:t>
      </w:r>
      <w:r w:rsidR="009A2A04" w:rsidRPr="00282AC9">
        <w:rPr>
          <w:rFonts w:cs="Mosawi" w:hint="cs"/>
          <w:sz w:val="22"/>
          <w:szCs w:val="22"/>
          <w:rtl/>
          <w:lang w:bidi="fa-IR"/>
        </w:rPr>
        <w:t>&amp;</w:t>
      </w:r>
      <w:r w:rsidRPr="00282AC9">
        <w:rPr>
          <w:rFonts w:hint="cs"/>
          <w:sz w:val="27"/>
          <w:rtl/>
          <w:lang w:bidi="fa-IR"/>
        </w:rPr>
        <w:t>:</w:t>
      </w:r>
    </w:p>
    <w:p w:rsidR="0062395A" w:rsidRPr="00282AC9" w:rsidRDefault="0062395A" w:rsidP="00495D24">
      <w:pPr>
        <w:rPr>
          <w:sz w:val="27"/>
          <w:rtl/>
          <w:lang w:bidi="fa-IR"/>
        </w:rPr>
      </w:pPr>
      <w:r w:rsidRPr="00282AC9">
        <w:rPr>
          <w:rFonts w:hint="cs"/>
          <w:b/>
          <w:bCs/>
          <w:sz w:val="27"/>
          <w:rtl/>
          <w:lang w:bidi="fa-IR"/>
        </w:rPr>
        <w:t>القسم الأوّل</w:t>
      </w:r>
      <w:r w:rsidRPr="00282AC9">
        <w:rPr>
          <w:rFonts w:hint="cs"/>
          <w:sz w:val="27"/>
          <w:rtl/>
          <w:lang w:bidi="fa-IR"/>
        </w:rPr>
        <w:t xml:space="preserve">: </w:t>
      </w:r>
      <w:r w:rsidR="00EB1216" w:rsidRPr="00282AC9">
        <w:rPr>
          <w:rFonts w:hint="cs"/>
          <w:sz w:val="27"/>
          <w:rtl/>
          <w:lang w:bidi="fa-IR"/>
        </w:rPr>
        <w:t>المِلْكيّة</w:t>
      </w:r>
      <w:r w:rsidRPr="00282AC9">
        <w:rPr>
          <w:rFonts w:hint="cs"/>
          <w:sz w:val="27"/>
          <w:rtl/>
          <w:lang w:bidi="fa-IR"/>
        </w:rPr>
        <w:t xml:space="preserve"> الذاتي</w:t>
      </w:r>
      <w:r w:rsidR="00F71514" w:rsidRPr="00282AC9">
        <w:rPr>
          <w:rFonts w:hint="cs"/>
          <w:sz w:val="27"/>
          <w:rtl/>
          <w:lang w:bidi="fa-IR"/>
        </w:rPr>
        <w:t>ّ</w:t>
      </w:r>
      <w:r w:rsidRPr="00282AC9">
        <w:rPr>
          <w:rFonts w:hint="cs"/>
          <w:sz w:val="27"/>
          <w:rtl/>
          <w:lang w:bidi="fa-IR"/>
        </w:rPr>
        <w:t>ة. وقد صرّ</w:t>
      </w:r>
      <w:r w:rsidR="00F71514" w:rsidRPr="00282AC9">
        <w:rPr>
          <w:rFonts w:hint="cs"/>
          <w:sz w:val="27"/>
          <w:rtl/>
          <w:lang w:bidi="fa-IR"/>
        </w:rPr>
        <w:t>َ</w:t>
      </w:r>
      <w:r w:rsidRPr="00282AC9">
        <w:rPr>
          <w:rFonts w:hint="cs"/>
          <w:sz w:val="27"/>
          <w:rtl/>
          <w:lang w:bidi="fa-IR"/>
        </w:rPr>
        <w:t>ح هو وغيره في مواضع عديدة أنّها ليست اعتباري</w:t>
      </w:r>
      <w:r w:rsidR="00F71514" w:rsidRPr="00282AC9">
        <w:rPr>
          <w:rFonts w:hint="cs"/>
          <w:sz w:val="27"/>
          <w:rtl/>
          <w:lang w:bidi="fa-IR"/>
        </w:rPr>
        <w:t>ّ</w:t>
      </w:r>
      <w:r w:rsidRPr="00282AC9">
        <w:rPr>
          <w:rFonts w:hint="cs"/>
          <w:sz w:val="27"/>
          <w:rtl/>
          <w:lang w:bidi="fa-IR"/>
        </w:rPr>
        <w:t>ة</w:t>
      </w:r>
      <w:r w:rsidR="00F71514" w:rsidRPr="00282AC9">
        <w:rPr>
          <w:rFonts w:hint="cs"/>
          <w:sz w:val="27"/>
          <w:rtl/>
          <w:lang w:bidi="fa-IR"/>
        </w:rPr>
        <w:t>ً</w:t>
      </w:r>
      <w:r w:rsidRPr="00282AC9">
        <w:rPr>
          <w:sz w:val="27"/>
          <w:vertAlign w:val="superscript"/>
          <w:rtl/>
          <w:lang w:bidi="fa-IR"/>
        </w:rPr>
        <w:t>(</w:t>
      </w:r>
      <w:r w:rsidRPr="00282AC9">
        <w:rPr>
          <w:sz w:val="27"/>
          <w:vertAlign w:val="superscript"/>
          <w:rtl/>
          <w:lang w:bidi="fa-IR"/>
        </w:rPr>
        <w:endnoteReference w:id="1000"/>
      </w:r>
      <w:r w:rsidRPr="00282AC9">
        <w:rPr>
          <w:rFonts w:hint="cs"/>
          <w:sz w:val="27"/>
          <w:vertAlign w:val="superscript"/>
          <w:rtl/>
          <w:lang w:bidi="fa-IR"/>
        </w:rPr>
        <w:t>)</w:t>
      </w:r>
      <w:r w:rsidRPr="00282AC9">
        <w:rPr>
          <w:rFonts w:hint="cs"/>
          <w:sz w:val="27"/>
          <w:rtl/>
          <w:lang w:bidi="fa-IR"/>
        </w:rPr>
        <w:t xml:space="preserve">. </w:t>
      </w:r>
    </w:p>
    <w:p w:rsidR="0062395A" w:rsidRPr="00282AC9" w:rsidRDefault="0062395A" w:rsidP="00495D24">
      <w:pPr>
        <w:rPr>
          <w:sz w:val="27"/>
          <w:rtl/>
          <w:lang w:bidi="fa-IR"/>
        </w:rPr>
      </w:pPr>
      <w:r w:rsidRPr="00282AC9">
        <w:rPr>
          <w:rFonts w:hint="cs"/>
          <w:b/>
          <w:bCs/>
          <w:sz w:val="27"/>
          <w:rtl/>
          <w:lang w:bidi="fa-IR"/>
        </w:rPr>
        <w:t>القسم الثاني</w:t>
      </w:r>
      <w:r w:rsidRPr="00282AC9">
        <w:rPr>
          <w:rFonts w:hint="cs"/>
          <w:sz w:val="27"/>
          <w:rtl/>
          <w:lang w:bidi="fa-IR"/>
        </w:rPr>
        <w:t xml:space="preserve">: </w:t>
      </w:r>
      <w:r w:rsidR="00EB1216" w:rsidRPr="00282AC9">
        <w:rPr>
          <w:rFonts w:hint="cs"/>
          <w:sz w:val="27"/>
          <w:rtl/>
          <w:lang w:bidi="fa-IR"/>
        </w:rPr>
        <w:t>المِلْكيّة</w:t>
      </w:r>
      <w:r w:rsidRPr="00282AC9">
        <w:rPr>
          <w:rFonts w:hint="cs"/>
          <w:sz w:val="27"/>
          <w:rtl/>
          <w:lang w:bidi="fa-IR"/>
        </w:rPr>
        <w:t xml:space="preserve"> الع</w:t>
      </w:r>
      <w:r w:rsidR="00F71514" w:rsidRPr="00282AC9">
        <w:rPr>
          <w:rFonts w:hint="cs"/>
          <w:sz w:val="27"/>
          <w:rtl/>
          <w:lang w:bidi="fa-IR"/>
        </w:rPr>
        <w:t>َ</w:t>
      </w:r>
      <w:r w:rsidRPr="00282AC9">
        <w:rPr>
          <w:rFonts w:hint="cs"/>
          <w:sz w:val="27"/>
          <w:rtl/>
          <w:lang w:bidi="fa-IR"/>
        </w:rPr>
        <w:t>رَضية، أي م</w:t>
      </w:r>
      <w:r w:rsidR="00F71514" w:rsidRPr="00282AC9">
        <w:rPr>
          <w:rFonts w:hint="cs"/>
          <w:sz w:val="27"/>
          <w:rtl/>
          <w:lang w:bidi="fa-IR"/>
        </w:rPr>
        <w:t>ِ</w:t>
      </w:r>
      <w:r w:rsidRPr="00282AC9">
        <w:rPr>
          <w:rFonts w:hint="cs"/>
          <w:sz w:val="27"/>
          <w:rtl/>
          <w:lang w:bidi="fa-IR"/>
        </w:rPr>
        <w:t>ل</w:t>
      </w:r>
      <w:r w:rsidR="00F71514" w:rsidRPr="00282AC9">
        <w:rPr>
          <w:rFonts w:hint="cs"/>
          <w:sz w:val="27"/>
          <w:rtl/>
          <w:lang w:bidi="fa-IR"/>
        </w:rPr>
        <w:t>ْ</w:t>
      </w:r>
      <w:r w:rsidRPr="00282AC9">
        <w:rPr>
          <w:rFonts w:hint="cs"/>
          <w:sz w:val="27"/>
          <w:rtl/>
          <w:lang w:bidi="fa-IR"/>
        </w:rPr>
        <w:t>كي</w:t>
      </w:r>
      <w:r w:rsidR="00F71514" w:rsidRPr="00282AC9">
        <w:rPr>
          <w:rFonts w:hint="cs"/>
          <w:sz w:val="27"/>
          <w:rtl/>
          <w:lang w:bidi="fa-IR"/>
        </w:rPr>
        <w:t>ّ</w:t>
      </w:r>
      <w:r w:rsidRPr="00282AC9">
        <w:rPr>
          <w:rFonts w:hint="cs"/>
          <w:sz w:val="27"/>
          <w:rtl/>
          <w:lang w:bidi="fa-IR"/>
        </w:rPr>
        <w:t>ة الأشياء المنفصلة عن الإنسان</w:t>
      </w:r>
      <w:r w:rsidR="00F71514" w:rsidRPr="00282AC9">
        <w:rPr>
          <w:rFonts w:hint="cs"/>
          <w:sz w:val="27"/>
          <w:rtl/>
          <w:lang w:bidi="fa-IR"/>
        </w:rPr>
        <w:t>.</w:t>
      </w:r>
      <w:r w:rsidRPr="00282AC9">
        <w:rPr>
          <w:rFonts w:hint="cs"/>
          <w:sz w:val="27"/>
          <w:rtl/>
          <w:lang w:bidi="fa-IR"/>
        </w:rPr>
        <w:t xml:space="preserve"> وهي ب</w:t>
      </w:r>
      <w:r w:rsidR="00EE6DBA" w:rsidRPr="00282AC9">
        <w:rPr>
          <w:rFonts w:hint="cs"/>
          <w:sz w:val="27"/>
          <w:rtl/>
          <w:lang w:bidi="fa-IR"/>
        </w:rPr>
        <w:t>دَوْر</w:t>
      </w:r>
      <w:r w:rsidRPr="00282AC9">
        <w:rPr>
          <w:rFonts w:hint="cs"/>
          <w:sz w:val="27"/>
          <w:rtl/>
          <w:lang w:bidi="fa-IR"/>
        </w:rPr>
        <w:t>ها تنقسم</w:t>
      </w:r>
      <w:r w:rsidR="00BC0925" w:rsidRPr="00282AC9">
        <w:rPr>
          <w:rFonts w:hint="cs"/>
          <w:sz w:val="27"/>
          <w:rtl/>
          <w:lang w:bidi="fa-IR"/>
        </w:rPr>
        <w:t xml:space="preserve"> إلى </w:t>
      </w:r>
      <w:r w:rsidRPr="00282AC9">
        <w:rPr>
          <w:rFonts w:hint="cs"/>
          <w:sz w:val="27"/>
          <w:rtl/>
          <w:lang w:bidi="fa-IR"/>
        </w:rPr>
        <w:t>قسمين:</w:t>
      </w:r>
    </w:p>
    <w:p w:rsidR="0062395A" w:rsidRPr="00282AC9" w:rsidRDefault="0062395A" w:rsidP="00495D24">
      <w:pPr>
        <w:rPr>
          <w:sz w:val="27"/>
          <w:rtl/>
          <w:lang w:bidi="fa-IR"/>
        </w:rPr>
      </w:pPr>
      <w:r w:rsidRPr="00282AC9">
        <w:rPr>
          <w:rFonts w:hint="cs"/>
          <w:b/>
          <w:bCs/>
          <w:sz w:val="27"/>
          <w:rtl/>
          <w:lang w:bidi="fa-IR"/>
        </w:rPr>
        <w:t>أوّلاً</w:t>
      </w:r>
      <w:r w:rsidRPr="00282AC9">
        <w:rPr>
          <w:rFonts w:hint="cs"/>
          <w:sz w:val="27"/>
          <w:rtl/>
          <w:lang w:bidi="fa-IR"/>
        </w:rPr>
        <w:t xml:space="preserve">: </w:t>
      </w:r>
      <w:r w:rsidR="00EB1216" w:rsidRPr="00282AC9">
        <w:rPr>
          <w:rFonts w:hint="cs"/>
          <w:sz w:val="27"/>
          <w:rtl/>
          <w:lang w:bidi="fa-IR"/>
        </w:rPr>
        <w:t>المِلْكيّة</w:t>
      </w:r>
      <w:r w:rsidRPr="00282AC9">
        <w:rPr>
          <w:rFonts w:hint="cs"/>
          <w:sz w:val="27"/>
          <w:rtl/>
          <w:lang w:bidi="fa-IR"/>
        </w:rPr>
        <w:t xml:space="preserve"> الابتدائية الاستقلالية [= الأصلي</w:t>
      </w:r>
      <w:r w:rsidR="00F71514" w:rsidRPr="00282AC9">
        <w:rPr>
          <w:rFonts w:hint="cs"/>
          <w:sz w:val="27"/>
          <w:rtl/>
          <w:lang w:bidi="fa-IR"/>
        </w:rPr>
        <w:t>ّ</w:t>
      </w:r>
      <w:r w:rsidRPr="00282AC9">
        <w:rPr>
          <w:rFonts w:hint="cs"/>
          <w:sz w:val="27"/>
          <w:rtl/>
          <w:lang w:bidi="fa-IR"/>
        </w:rPr>
        <w:t>ة = الأوّلية]</w:t>
      </w:r>
      <w:r w:rsidR="00F71514" w:rsidRPr="00282AC9">
        <w:rPr>
          <w:rFonts w:hint="cs"/>
          <w:sz w:val="27"/>
          <w:rtl/>
          <w:lang w:bidi="fa-IR"/>
        </w:rPr>
        <w:t>.</w:t>
      </w:r>
      <w:r w:rsidRPr="00282AC9">
        <w:rPr>
          <w:rFonts w:hint="cs"/>
          <w:sz w:val="27"/>
          <w:rtl/>
          <w:lang w:bidi="fa-IR"/>
        </w:rPr>
        <w:t xml:space="preserve"> وهي منحصرة</w:t>
      </w:r>
      <w:r w:rsidR="00E6706B" w:rsidRPr="00282AC9">
        <w:rPr>
          <w:rFonts w:hint="cs"/>
          <w:sz w:val="27"/>
          <w:rtl/>
          <w:lang w:bidi="fa-IR"/>
        </w:rPr>
        <w:t>ٌ</w:t>
      </w:r>
      <w:r w:rsidRPr="00282AC9">
        <w:rPr>
          <w:rFonts w:hint="cs"/>
          <w:sz w:val="27"/>
          <w:rtl/>
          <w:lang w:bidi="fa-IR"/>
        </w:rPr>
        <w:t xml:space="preserve"> بسببين، وهما: إمّا الحيازة</w:t>
      </w:r>
      <w:r w:rsidR="00F71514" w:rsidRPr="00282AC9">
        <w:rPr>
          <w:rFonts w:hint="cs"/>
          <w:sz w:val="27"/>
          <w:rtl/>
          <w:lang w:bidi="fa-IR"/>
        </w:rPr>
        <w:t>؛</w:t>
      </w:r>
      <w:r w:rsidRPr="00282AC9">
        <w:rPr>
          <w:rFonts w:hint="cs"/>
          <w:sz w:val="27"/>
          <w:rtl/>
          <w:lang w:bidi="fa-IR"/>
        </w:rPr>
        <w:t xml:space="preserve"> وإمّا الصنع وما يُلحق به من الأعمال</w:t>
      </w:r>
      <w:r w:rsidR="00F71514" w:rsidRPr="00282AC9">
        <w:rPr>
          <w:rFonts w:hint="cs"/>
          <w:sz w:val="27"/>
          <w:rtl/>
          <w:lang w:bidi="fa-IR"/>
        </w:rPr>
        <w:t>،</w:t>
      </w:r>
      <w:r w:rsidRPr="00282AC9">
        <w:rPr>
          <w:rFonts w:hint="cs"/>
          <w:sz w:val="27"/>
          <w:rtl/>
          <w:lang w:bidi="fa-IR"/>
        </w:rPr>
        <w:t xml:space="preserve"> كالنقل أو الحفظ. </w:t>
      </w:r>
    </w:p>
    <w:p w:rsidR="0062395A" w:rsidRPr="00282AC9" w:rsidRDefault="0062395A" w:rsidP="00495D24">
      <w:pPr>
        <w:rPr>
          <w:sz w:val="27"/>
          <w:rtl/>
          <w:lang w:bidi="fa-IR"/>
        </w:rPr>
      </w:pPr>
      <w:r w:rsidRPr="00282AC9">
        <w:rPr>
          <w:rFonts w:hint="cs"/>
          <w:b/>
          <w:bCs/>
          <w:sz w:val="27"/>
          <w:rtl/>
          <w:lang w:bidi="fa-IR"/>
        </w:rPr>
        <w:t>والأوّل</w:t>
      </w:r>
      <w:r w:rsidRPr="00282AC9">
        <w:rPr>
          <w:rFonts w:hint="cs"/>
          <w:sz w:val="27"/>
          <w:rtl/>
          <w:lang w:bidi="fa-IR"/>
        </w:rPr>
        <w:t>: كما في حيازة الإنسان للمباحات الأصلي</w:t>
      </w:r>
      <w:r w:rsidR="00A40D19" w:rsidRPr="00282AC9">
        <w:rPr>
          <w:rFonts w:hint="cs"/>
          <w:sz w:val="27"/>
          <w:rtl/>
          <w:lang w:bidi="fa-IR"/>
        </w:rPr>
        <w:t>ّ</w:t>
      </w:r>
      <w:r w:rsidRPr="00282AC9">
        <w:rPr>
          <w:rFonts w:hint="cs"/>
          <w:sz w:val="27"/>
          <w:rtl/>
          <w:lang w:bidi="fa-IR"/>
        </w:rPr>
        <w:t>ة، فإنّ العقلاء ير</w:t>
      </w:r>
      <w:r w:rsidR="00A40D19" w:rsidRPr="00282AC9">
        <w:rPr>
          <w:rFonts w:hint="cs"/>
          <w:sz w:val="27"/>
          <w:rtl/>
          <w:lang w:bidi="fa-IR"/>
        </w:rPr>
        <w:t>َ</w:t>
      </w:r>
      <w:r w:rsidRPr="00282AC9">
        <w:rPr>
          <w:rFonts w:hint="cs"/>
          <w:sz w:val="27"/>
          <w:rtl/>
          <w:lang w:bidi="fa-IR"/>
        </w:rPr>
        <w:t>و</w:t>
      </w:r>
      <w:r w:rsidR="00A40D19" w:rsidRPr="00282AC9">
        <w:rPr>
          <w:rFonts w:hint="cs"/>
          <w:sz w:val="27"/>
          <w:rtl/>
          <w:lang w:bidi="fa-IR"/>
        </w:rPr>
        <w:t>ْ</w:t>
      </w:r>
      <w:r w:rsidRPr="00282AC9">
        <w:rPr>
          <w:rFonts w:hint="cs"/>
          <w:sz w:val="27"/>
          <w:rtl/>
          <w:lang w:bidi="fa-IR"/>
        </w:rPr>
        <w:t>ن هذا سبباً للم</w:t>
      </w:r>
      <w:r w:rsidR="00A40D19" w:rsidRPr="00282AC9">
        <w:rPr>
          <w:rFonts w:hint="cs"/>
          <w:sz w:val="27"/>
          <w:rtl/>
          <w:lang w:bidi="fa-IR"/>
        </w:rPr>
        <w:t>ِ</w:t>
      </w:r>
      <w:r w:rsidRPr="00282AC9">
        <w:rPr>
          <w:rFonts w:hint="cs"/>
          <w:sz w:val="27"/>
          <w:rtl/>
          <w:lang w:bidi="fa-IR"/>
        </w:rPr>
        <w:t>ل</w:t>
      </w:r>
      <w:r w:rsidR="00A40D19" w:rsidRPr="00282AC9">
        <w:rPr>
          <w:rFonts w:hint="cs"/>
          <w:sz w:val="27"/>
          <w:rtl/>
          <w:lang w:bidi="fa-IR"/>
        </w:rPr>
        <w:t>ْ</w:t>
      </w:r>
      <w:r w:rsidRPr="00282AC9">
        <w:rPr>
          <w:rFonts w:hint="cs"/>
          <w:sz w:val="27"/>
          <w:rtl/>
          <w:lang w:bidi="fa-IR"/>
        </w:rPr>
        <w:t>كي</w:t>
      </w:r>
      <w:r w:rsidR="00A40D19" w:rsidRPr="00282AC9">
        <w:rPr>
          <w:rFonts w:hint="cs"/>
          <w:sz w:val="27"/>
          <w:rtl/>
          <w:lang w:bidi="fa-IR"/>
        </w:rPr>
        <w:t>ّ</w:t>
      </w:r>
      <w:r w:rsidRPr="00282AC9">
        <w:rPr>
          <w:rFonts w:hint="cs"/>
          <w:sz w:val="27"/>
          <w:rtl/>
          <w:lang w:bidi="fa-IR"/>
        </w:rPr>
        <w:t>ة.</w:t>
      </w:r>
    </w:p>
    <w:p w:rsidR="0062395A" w:rsidRPr="00282AC9" w:rsidRDefault="0062395A" w:rsidP="00495D24">
      <w:pPr>
        <w:rPr>
          <w:sz w:val="27"/>
          <w:rtl/>
          <w:lang w:bidi="fa-IR"/>
        </w:rPr>
      </w:pPr>
      <w:r w:rsidRPr="00282AC9">
        <w:rPr>
          <w:rFonts w:hint="cs"/>
          <w:b/>
          <w:bCs/>
          <w:sz w:val="27"/>
          <w:rtl/>
          <w:lang w:bidi="fa-IR"/>
        </w:rPr>
        <w:t>والثاني</w:t>
      </w:r>
      <w:r w:rsidRPr="00282AC9">
        <w:rPr>
          <w:rFonts w:hint="cs"/>
          <w:sz w:val="27"/>
          <w:rtl/>
          <w:lang w:bidi="fa-IR"/>
        </w:rPr>
        <w:t>: كما إذا أخذ أحد</w:t>
      </w:r>
      <w:r w:rsidR="00A40D19" w:rsidRPr="00282AC9">
        <w:rPr>
          <w:rFonts w:hint="cs"/>
          <w:sz w:val="27"/>
          <w:rtl/>
          <w:lang w:bidi="fa-IR"/>
        </w:rPr>
        <w:t>ٌ</w:t>
      </w:r>
      <w:r w:rsidRPr="00282AC9">
        <w:rPr>
          <w:rFonts w:hint="cs"/>
          <w:sz w:val="27"/>
          <w:rtl/>
          <w:lang w:bidi="fa-IR"/>
        </w:rPr>
        <w:t xml:space="preserve"> ما لا مالي</w:t>
      </w:r>
      <w:r w:rsidR="00A40D19" w:rsidRPr="00282AC9">
        <w:rPr>
          <w:rFonts w:hint="cs"/>
          <w:sz w:val="27"/>
          <w:rtl/>
          <w:lang w:bidi="fa-IR"/>
        </w:rPr>
        <w:t>ّ</w:t>
      </w:r>
      <w:r w:rsidRPr="00282AC9">
        <w:rPr>
          <w:rFonts w:hint="cs"/>
          <w:sz w:val="27"/>
          <w:rtl/>
          <w:lang w:bidi="fa-IR"/>
        </w:rPr>
        <w:t>ة له وحازه</w:t>
      </w:r>
      <w:r w:rsidR="00A40D19" w:rsidRPr="00282AC9">
        <w:rPr>
          <w:rFonts w:hint="cs"/>
          <w:sz w:val="27"/>
          <w:rtl/>
          <w:lang w:bidi="fa-IR"/>
        </w:rPr>
        <w:t>،</w:t>
      </w:r>
      <w:r w:rsidRPr="00282AC9">
        <w:rPr>
          <w:rFonts w:hint="cs"/>
          <w:sz w:val="27"/>
          <w:rtl/>
          <w:lang w:bidi="fa-IR"/>
        </w:rPr>
        <w:t xml:space="preserve"> كالطين</w:t>
      </w:r>
      <w:r w:rsidR="00A40D19" w:rsidRPr="00282AC9">
        <w:rPr>
          <w:rFonts w:hint="cs"/>
          <w:sz w:val="27"/>
          <w:rtl/>
          <w:lang w:bidi="fa-IR"/>
        </w:rPr>
        <w:t>،</w:t>
      </w:r>
      <w:r w:rsidRPr="00282AC9">
        <w:rPr>
          <w:rFonts w:hint="cs"/>
          <w:sz w:val="27"/>
          <w:rtl/>
          <w:lang w:bidi="fa-IR"/>
        </w:rPr>
        <w:t xml:space="preserve"> فصنعه كوزاً</w:t>
      </w:r>
      <w:r w:rsidR="00A40D19" w:rsidRPr="00282AC9">
        <w:rPr>
          <w:rFonts w:hint="cs"/>
          <w:sz w:val="27"/>
          <w:rtl/>
          <w:lang w:bidi="fa-IR"/>
        </w:rPr>
        <w:t>،</w:t>
      </w:r>
      <w:r w:rsidRPr="00282AC9">
        <w:rPr>
          <w:rFonts w:hint="cs"/>
          <w:sz w:val="27"/>
          <w:rtl/>
          <w:lang w:bidi="fa-IR"/>
        </w:rPr>
        <w:t xml:space="preserve"> فيكون مالاً</w:t>
      </w:r>
      <w:r w:rsidR="00A40D19" w:rsidRPr="00282AC9">
        <w:rPr>
          <w:rFonts w:hint="cs"/>
          <w:sz w:val="27"/>
          <w:rtl/>
          <w:lang w:bidi="fa-IR"/>
        </w:rPr>
        <w:t>.</w:t>
      </w:r>
      <w:r w:rsidRPr="00282AC9">
        <w:rPr>
          <w:rFonts w:hint="cs"/>
          <w:sz w:val="27"/>
          <w:rtl/>
          <w:lang w:bidi="fa-IR"/>
        </w:rPr>
        <w:t xml:space="preserve"> فيكون هذا الصنع منشأً لدى العقلاء لم</w:t>
      </w:r>
      <w:r w:rsidR="00A40D19" w:rsidRPr="00282AC9">
        <w:rPr>
          <w:rFonts w:hint="cs"/>
          <w:sz w:val="27"/>
          <w:rtl/>
          <w:lang w:bidi="fa-IR"/>
        </w:rPr>
        <w:t>ِ</w:t>
      </w:r>
      <w:r w:rsidRPr="00282AC9">
        <w:rPr>
          <w:rFonts w:hint="cs"/>
          <w:sz w:val="27"/>
          <w:rtl/>
          <w:lang w:bidi="fa-IR"/>
        </w:rPr>
        <w:t>ل</w:t>
      </w:r>
      <w:r w:rsidR="00A40D19" w:rsidRPr="00282AC9">
        <w:rPr>
          <w:rFonts w:hint="cs"/>
          <w:sz w:val="27"/>
          <w:rtl/>
          <w:lang w:bidi="fa-IR"/>
        </w:rPr>
        <w:t>ْ</w:t>
      </w:r>
      <w:r w:rsidRPr="00282AC9">
        <w:rPr>
          <w:rFonts w:hint="cs"/>
          <w:sz w:val="27"/>
          <w:rtl/>
          <w:lang w:bidi="fa-IR"/>
        </w:rPr>
        <w:t>كي</w:t>
      </w:r>
      <w:r w:rsidR="00A40D19" w:rsidRPr="00282AC9">
        <w:rPr>
          <w:rFonts w:hint="cs"/>
          <w:sz w:val="27"/>
          <w:rtl/>
          <w:lang w:bidi="fa-IR"/>
        </w:rPr>
        <w:t>ّ</w:t>
      </w:r>
      <w:r w:rsidRPr="00282AC9">
        <w:rPr>
          <w:rFonts w:hint="cs"/>
          <w:sz w:val="27"/>
          <w:rtl/>
          <w:lang w:bidi="fa-IR"/>
        </w:rPr>
        <w:t>ة الكوز</w:t>
      </w:r>
      <w:r w:rsidR="00A40D19" w:rsidRPr="00282AC9">
        <w:rPr>
          <w:rFonts w:hint="cs"/>
          <w:sz w:val="27"/>
          <w:rtl/>
          <w:lang w:bidi="fa-IR"/>
        </w:rPr>
        <w:t>.</w:t>
      </w:r>
      <w:r w:rsidRPr="00282AC9">
        <w:rPr>
          <w:rFonts w:hint="cs"/>
          <w:sz w:val="27"/>
          <w:rtl/>
          <w:lang w:bidi="fa-IR"/>
        </w:rPr>
        <w:t xml:space="preserve"> هذا في الصنع.</w:t>
      </w:r>
    </w:p>
    <w:p w:rsidR="0062395A" w:rsidRPr="00282AC9" w:rsidRDefault="0062395A" w:rsidP="00495D24">
      <w:pPr>
        <w:rPr>
          <w:sz w:val="27"/>
          <w:rtl/>
          <w:lang w:bidi="fa-IR"/>
        </w:rPr>
      </w:pPr>
      <w:r w:rsidRPr="00282AC9">
        <w:rPr>
          <w:rFonts w:hint="cs"/>
          <w:sz w:val="27"/>
          <w:rtl/>
          <w:lang w:bidi="fa-IR"/>
        </w:rPr>
        <w:lastRenderedPageBreak/>
        <w:t>وأمّا ما يُل</w:t>
      </w:r>
      <w:r w:rsidR="00A40D19" w:rsidRPr="00282AC9">
        <w:rPr>
          <w:rFonts w:hint="cs"/>
          <w:sz w:val="27"/>
          <w:rtl/>
          <w:lang w:bidi="fa-IR"/>
        </w:rPr>
        <w:t>ْ</w:t>
      </w:r>
      <w:r w:rsidRPr="00282AC9">
        <w:rPr>
          <w:rFonts w:hint="cs"/>
          <w:sz w:val="27"/>
          <w:rtl/>
          <w:lang w:bidi="fa-IR"/>
        </w:rPr>
        <w:t>ح</w:t>
      </w:r>
      <w:r w:rsidR="00A40D19" w:rsidRPr="00282AC9">
        <w:rPr>
          <w:rFonts w:hint="cs"/>
          <w:sz w:val="27"/>
          <w:rtl/>
          <w:lang w:bidi="fa-IR"/>
        </w:rPr>
        <w:t>َ</w:t>
      </w:r>
      <w:r w:rsidRPr="00282AC9">
        <w:rPr>
          <w:rFonts w:hint="cs"/>
          <w:sz w:val="27"/>
          <w:rtl/>
          <w:lang w:bidi="fa-IR"/>
        </w:rPr>
        <w:t>ق به من الأعمال فكما إذا أتى أحد</w:t>
      </w:r>
      <w:r w:rsidR="00A40D19" w:rsidRPr="00282AC9">
        <w:rPr>
          <w:rFonts w:hint="cs"/>
          <w:sz w:val="27"/>
          <w:rtl/>
          <w:lang w:bidi="fa-IR"/>
        </w:rPr>
        <w:t>ٌ</w:t>
      </w:r>
      <w:r w:rsidRPr="00282AC9">
        <w:rPr>
          <w:rFonts w:hint="cs"/>
          <w:sz w:val="27"/>
          <w:rtl/>
          <w:lang w:bidi="fa-IR"/>
        </w:rPr>
        <w:t xml:space="preserve"> بالماء من النهر، فهذا الماء حينما كان عند النهر لا مالي</w:t>
      </w:r>
      <w:r w:rsidR="00A40D19" w:rsidRPr="00282AC9">
        <w:rPr>
          <w:rFonts w:hint="cs"/>
          <w:sz w:val="27"/>
          <w:rtl/>
          <w:lang w:bidi="fa-IR"/>
        </w:rPr>
        <w:t>ّ</w:t>
      </w:r>
      <w:r w:rsidRPr="00282AC9">
        <w:rPr>
          <w:rFonts w:hint="cs"/>
          <w:sz w:val="27"/>
          <w:rtl/>
          <w:lang w:bidi="fa-IR"/>
        </w:rPr>
        <w:t>ة له</w:t>
      </w:r>
      <w:r w:rsidR="00A40D19" w:rsidRPr="00282AC9">
        <w:rPr>
          <w:rFonts w:hint="cs"/>
          <w:sz w:val="27"/>
          <w:rtl/>
          <w:lang w:bidi="fa-IR"/>
        </w:rPr>
        <w:t>.</w:t>
      </w:r>
      <w:r w:rsidRPr="00282AC9">
        <w:rPr>
          <w:rFonts w:hint="cs"/>
          <w:sz w:val="27"/>
          <w:rtl/>
          <w:lang w:bidi="fa-IR"/>
        </w:rPr>
        <w:t xml:space="preserve"> فصنع المالية فيه يُوجب ملكي</w:t>
      </w:r>
      <w:r w:rsidR="00A40D19" w:rsidRPr="00282AC9">
        <w:rPr>
          <w:rFonts w:hint="cs"/>
          <w:sz w:val="27"/>
          <w:rtl/>
          <w:lang w:bidi="fa-IR"/>
        </w:rPr>
        <w:t>ّ</w:t>
      </w:r>
      <w:r w:rsidRPr="00282AC9">
        <w:rPr>
          <w:rFonts w:hint="cs"/>
          <w:sz w:val="27"/>
          <w:rtl/>
          <w:lang w:bidi="fa-IR"/>
        </w:rPr>
        <w:t>ته عقلائي</w:t>
      </w:r>
      <w:r w:rsidR="00A40D19" w:rsidRPr="00282AC9">
        <w:rPr>
          <w:rFonts w:hint="cs"/>
          <w:sz w:val="27"/>
          <w:rtl/>
          <w:lang w:bidi="fa-IR"/>
        </w:rPr>
        <w:t>ّ</w:t>
      </w:r>
      <w:r w:rsidRPr="00282AC9">
        <w:rPr>
          <w:rFonts w:hint="cs"/>
          <w:sz w:val="27"/>
          <w:rtl/>
          <w:lang w:bidi="fa-IR"/>
        </w:rPr>
        <w:t>اً</w:t>
      </w:r>
      <w:r w:rsidR="00A40D19" w:rsidRPr="00282AC9">
        <w:rPr>
          <w:rFonts w:hint="cs"/>
          <w:sz w:val="27"/>
          <w:rtl/>
          <w:lang w:bidi="fa-IR"/>
        </w:rPr>
        <w:t xml:space="preserve">. </w:t>
      </w:r>
      <w:r w:rsidRPr="00282AC9">
        <w:rPr>
          <w:rFonts w:hint="cs"/>
          <w:sz w:val="27"/>
          <w:rtl/>
          <w:lang w:bidi="fa-IR"/>
        </w:rPr>
        <w:t>وكما لو حفظ الثلج من الشتاء</w:t>
      </w:r>
      <w:r w:rsidR="00BC0925" w:rsidRPr="00282AC9">
        <w:rPr>
          <w:rFonts w:hint="cs"/>
          <w:sz w:val="27"/>
          <w:rtl/>
          <w:lang w:bidi="fa-IR"/>
        </w:rPr>
        <w:t xml:space="preserve"> إلى </w:t>
      </w:r>
      <w:r w:rsidRPr="00282AC9">
        <w:rPr>
          <w:rFonts w:hint="cs"/>
          <w:sz w:val="27"/>
          <w:rtl/>
          <w:lang w:bidi="fa-IR"/>
        </w:rPr>
        <w:t>الصيف، فإنّه لا مالي</w:t>
      </w:r>
      <w:r w:rsidR="00A40D19" w:rsidRPr="00282AC9">
        <w:rPr>
          <w:rFonts w:hint="cs"/>
          <w:sz w:val="27"/>
          <w:rtl/>
          <w:lang w:bidi="fa-IR"/>
        </w:rPr>
        <w:t>ّ</w:t>
      </w:r>
      <w:r w:rsidRPr="00282AC9">
        <w:rPr>
          <w:rFonts w:hint="cs"/>
          <w:sz w:val="27"/>
          <w:rtl/>
          <w:lang w:bidi="fa-IR"/>
        </w:rPr>
        <w:t>ة له في الشتاء، لكنّه يكون مالاً في الصيف</w:t>
      </w:r>
      <w:r w:rsidR="00A40D19" w:rsidRPr="00282AC9">
        <w:rPr>
          <w:rFonts w:hint="cs"/>
          <w:sz w:val="27"/>
          <w:rtl/>
          <w:lang w:bidi="fa-IR"/>
        </w:rPr>
        <w:t>.</w:t>
      </w:r>
      <w:r w:rsidRPr="00282AC9">
        <w:rPr>
          <w:rFonts w:hint="cs"/>
          <w:sz w:val="27"/>
          <w:rtl/>
          <w:lang w:bidi="fa-IR"/>
        </w:rPr>
        <w:t xml:space="preserve"> وبذلك يصبح مملوكاً لهذا المحتفِظ به في نظر العقلاء.</w:t>
      </w:r>
    </w:p>
    <w:p w:rsidR="0062395A" w:rsidRPr="00282AC9" w:rsidRDefault="0062395A" w:rsidP="00495D24">
      <w:pPr>
        <w:rPr>
          <w:sz w:val="27"/>
          <w:rtl/>
          <w:lang w:bidi="fa-IR"/>
        </w:rPr>
      </w:pPr>
      <w:r w:rsidRPr="00282AC9">
        <w:rPr>
          <w:rFonts w:hint="cs"/>
          <w:sz w:val="27"/>
          <w:rtl/>
          <w:lang w:bidi="fa-IR"/>
        </w:rPr>
        <w:t xml:space="preserve">وإذا اتّضح ذلك نطرح السؤال التالي: هل </w:t>
      </w:r>
      <w:r w:rsidR="00A40D19" w:rsidRPr="00282AC9">
        <w:rPr>
          <w:rFonts w:hint="cs"/>
          <w:sz w:val="27"/>
          <w:rtl/>
          <w:lang w:bidi="fa-IR"/>
        </w:rPr>
        <w:t>أ</w:t>
      </w:r>
      <w:r w:rsidRPr="00282AC9">
        <w:rPr>
          <w:rFonts w:hint="cs"/>
          <w:sz w:val="27"/>
          <w:rtl/>
          <w:lang w:bidi="fa-IR"/>
        </w:rPr>
        <w:t>نّ هذ</w:t>
      </w:r>
      <w:r w:rsidR="00A40D19" w:rsidRPr="00282AC9">
        <w:rPr>
          <w:rFonts w:hint="cs"/>
          <w:sz w:val="27"/>
          <w:rtl/>
          <w:lang w:bidi="fa-IR"/>
        </w:rPr>
        <w:t>َ</w:t>
      </w:r>
      <w:r w:rsidRPr="00282AC9">
        <w:rPr>
          <w:rFonts w:hint="cs"/>
          <w:sz w:val="27"/>
          <w:rtl/>
          <w:lang w:bidi="fa-IR"/>
        </w:rPr>
        <w:t>ي</w:t>
      </w:r>
      <w:r w:rsidR="00A40D19" w:rsidRPr="00282AC9">
        <w:rPr>
          <w:rFonts w:hint="cs"/>
          <w:sz w:val="27"/>
          <w:rtl/>
          <w:lang w:bidi="fa-IR"/>
        </w:rPr>
        <w:t>ْ</w:t>
      </w:r>
      <w:r w:rsidRPr="00282AC9">
        <w:rPr>
          <w:rFonts w:hint="cs"/>
          <w:sz w:val="27"/>
          <w:rtl/>
          <w:lang w:bidi="fa-IR"/>
        </w:rPr>
        <w:t>ن السببين للم</w:t>
      </w:r>
      <w:r w:rsidR="00A40D19" w:rsidRPr="00282AC9">
        <w:rPr>
          <w:rFonts w:hint="cs"/>
          <w:sz w:val="27"/>
          <w:rtl/>
          <w:lang w:bidi="fa-IR"/>
        </w:rPr>
        <w:t>ِ</w:t>
      </w:r>
      <w:r w:rsidRPr="00282AC9">
        <w:rPr>
          <w:rFonts w:hint="cs"/>
          <w:sz w:val="27"/>
          <w:rtl/>
          <w:lang w:bidi="fa-IR"/>
        </w:rPr>
        <w:t>ل</w:t>
      </w:r>
      <w:r w:rsidR="00A40D19" w:rsidRPr="00282AC9">
        <w:rPr>
          <w:rFonts w:hint="cs"/>
          <w:sz w:val="27"/>
          <w:rtl/>
          <w:lang w:bidi="fa-IR"/>
        </w:rPr>
        <w:t>ْ</w:t>
      </w:r>
      <w:r w:rsidRPr="00282AC9">
        <w:rPr>
          <w:rFonts w:hint="cs"/>
          <w:sz w:val="27"/>
          <w:rtl/>
          <w:lang w:bidi="fa-IR"/>
        </w:rPr>
        <w:t>كي</w:t>
      </w:r>
      <w:r w:rsidR="00A40D19" w:rsidRPr="00282AC9">
        <w:rPr>
          <w:rFonts w:hint="cs"/>
          <w:sz w:val="27"/>
          <w:rtl/>
          <w:lang w:bidi="fa-IR"/>
        </w:rPr>
        <w:t>ّ</w:t>
      </w:r>
      <w:r w:rsidRPr="00282AC9">
        <w:rPr>
          <w:rFonts w:hint="cs"/>
          <w:sz w:val="27"/>
          <w:rtl/>
          <w:lang w:bidi="fa-IR"/>
        </w:rPr>
        <w:t>ة يكونان بنحو مانعة الخلوّ أو بنحو مانعة الجمع؟</w:t>
      </w:r>
    </w:p>
    <w:p w:rsidR="0062395A" w:rsidRPr="00282AC9" w:rsidRDefault="0062395A" w:rsidP="00495D24">
      <w:pPr>
        <w:rPr>
          <w:sz w:val="27"/>
          <w:rtl/>
          <w:lang w:bidi="fa-IR"/>
        </w:rPr>
      </w:pPr>
      <w:r w:rsidRPr="00282AC9">
        <w:rPr>
          <w:rFonts w:hint="cs"/>
          <w:sz w:val="27"/>
          <w:rtl/>
          <w:lang w:bidi="fa-IR"/>
        </w:rPr>
        <w:t>يرى أصحاب هذا الرأي أنّهما على نحو مانعة الخلوّ</w:t>
      </w:r>
      <w:r w:rsidRPr="00282AC9">
        <w:rPr>
          <w:sz w:val="27"/>
          <w:vertAlign w:val="superscript"/>
          <w:rtl/>
          <w:lang w:bidi="fa-IR"/>
        </w:rPr>
        <w:t>(</w:t>
      </w:r>
      <w:r w:rsidRPr="00282AC9">
        <w:rPr>
          <w:sz w:val="27"/>
          <w:vertAlign w:val="superscript"/>
          <w:rtl/>
          <w:lang w:bidi="fa-IR"/>
        </w:rPr>
        <w:endnoteReference w:id="1001"/>
      </w:r>
      <w:r w:rsidRPr="00282AC9">
        <w:rPr>
          <w:rFonts w:hint="cs"/>
          <w:sz w:val="27"/>
          <w:vertAlign w:val="superscript"/>
          <w:rtl/>
          <w:lang w:bidi="fa-IR"/>
        </w:rPr>
        <w:t>)</w:t>
      </w:r>
      <w:r w:rsidRPr="00282AC9">
        <w:rPr>
          <w:rFonts w:hint="cs"/>
          <w:sz w:val="27"/>
          <w:rtl/>
          <w:lang w:bidi="fa-IR"/>
        </w:rPr>
        <w:t>، ولا مانع من اجتماعهما في شيء</w:t>
      </w:r>
      <w:r w:rsidR="00A40D19" w:rsidRPr="00282AC9">
        <w:rPr>
          <w:rFonts w:hint="cs"/>
          <w:sz w:val="27"/>
          <w:rtl/>
          <w:lang w:bidi="fa-IR"/>
        </w:rPr>
        <w:t>ٍ</w:t>
      </w:r>
      <w:r w:rsidRPr="00282AC9">
        <w:rPr>
          <w:rFonts w:hint="cs"/>
          <w:sz w:val="27"/>
          <w:rtl/>
          <w:lang w:bidi="fa-IR"/>
        </w:rPr>
        <w:t xml:space="preserve"> واحد، كما إذا حاز أحد</w:t>
      </w:r>
      <w:r w:rsidR="00A40D19" w:rsidRPr="00282AC9">
        <w:rPr>
          <w:rFonts w:hint="cs"/>
          <w:sz w:val="27"/>
          <w:rtl/>
          <w:lang w:bidi="fa-IR"/>
        </w:rPr>
        <w:t>ٌ</w:t>
      </w:r>
      <w:r w:rsidRPr="00282AC9">
        <w:rPr>
          <w:rFonts w:hint="cs"/>
          <w:sz w:val="27"/>
          <w:rtl/>
          <w:lang w:bidi="fa-IR"/>
        </w:rPr>
        <w:t xml:space="preserve"> الخشب</w:t>
      </w:r>
      <w:r w:rsidR="00A40D19" w:rsidRPr="00282AC9">
        <w:rPr>
          <w:rFonts w:hint="cs"/>
          <w:sz w:val="27"/>
          <w:rtl/>
          <w:lang w:bidi="fa-IR"/>
        </w:rPr>
        <w:t>،</w:t>
      </w:r>
      <w:r w:rsidRPr="00282AC9">
        <w:rPr>
          <w:rFonts w:hint="cs"/>
          <w:sz w:val="27"/>
          <w:rtl/>
          <w:lang w:bidi="fa-IR"/>
        </w:rPr>
        <w:t xml:space="preserve"> وصنعه سريراً، فم</w:t>
      </w:r>
      <w:r w:rsidR="00A40D19" w:rsidRPr="00282AC9">
        <w:rPr>
          <w:rFonts w:hint="cs"/>
          <w:sz w:val="27"/>
          <w:rtl/>
          <w:lang w:bidi="fa-IR"/>
        </w:rPr>
        <w:t>ِ</w:t>
      </w:r>
      <w:r w:rsidRPr="00282AC9">
        <w:rPr>
          <w:rFonts w:hint="cs"/>
          <w:sz w:val="27"/>
          <w:rtl/>
          <w:lang w:bidi="fa-IR"/>
        </w:rPr>
        <w:t>ل</w:t>
      </w:r>
      <w:r w:rsidR="00A40D19" w:rsidRPr="00282AC9">
        <w:rPr>
          <w:rFonts w:hint="cs"/>
          <w:sz w:val="27"/>
          <w:rtl/>
          <w:lang w:bidi="fa-IR"/>
        </w:rPr>
        <w:t>ْ</w:t>
      </w:r>
      <w:r w:rsidRPr="00282AC9">
        <w:rPr>
          <w:rFonts w:hint="cs"/>
          <w:sz w:val="27"/>
          <w:rtl/>
          <w:lang w:bidi="fa-IR"/>
        </w:rPr>
        <w:t>كي</w:t>
      </w:r>
      <w:r w:rsidR="00A40D19" w:rsidRPr="00282AC9">
        <w:rPr>
          <w:rFonts w:hint="cs"/>
          <w:sz w:val="27"/>
          <w:rtl/>
          <w:lang w:bidi="fa-IR"/>
        </w:rPr>
        <w:t>ّ</w:t>
      </w:r>
      <w:r w:rsidRPr="00282AC9">
        <w:rPr>
          <w:rFonts w:hint="cs"/>
          <w:sz w:val="27"/>
          <w:rtl/>
          <w:lang w:bidi="fa-IR"/>
        </w:rPr>
        <w:t>ته لهذا السرير بلحاظ المادّة نتج</w:t>
      </w:r>
      <w:r w:rsidR="00A40D19" w:rsidRPr="00282AC9">
        <w:rPr>
          <w:rFonts w:hint="cs"/>
          <w:sz w:val="27"/>
          <w:rtl/>
          <w:lang w:bidi="fa-IR"/>
        </w:rPr>
        <w:t>َ</w:t>
      </w:r>
      <w:r w:rsidRPr="00282AC9">
        <w:rPr>
          <w:rFonts w:hint="cs"/>
          <w:sz w:val="27"/>
          <w:rtl/>
          <w:lang w:bidi="fa-IR"/>
        </w:rPr>
        <w:t>ت</w:t>
      </w:r>
      <w:r w:rsidR="00A40D19" w:rsidRPr="00282AC9">
        <w:rPr>
          <w:rFonts w:hint="cs"/>
          <w:sz w:val="27"/>
          <w:rtl/>
          <w:lang w:bidi="fa-IR"/>
        </w:rPr>
        <w:t>ْ</w:t>
      </w:r>
      <w:r w:rsidRPr="00282AC9">
        <w:rPr>
          <w:rFonts w:hint="cs"/>
          <w:sz w:val="27"/>
          <w:rtl/>
          <w:lang w:bidi="fa-IR"/>
        </w:rPr>
        <w:t xml:space="preserve"> من الحيازة، وبلحاظ الصورة نتج</w:t>
      </w:r>
      <w:r w:rsidR="00A40D19" w:rsidRPr="00282AC9">
        <w:rPr>
          <w:rFonts w:hint="cs"/>
          <w:sz w:val="27"/>
          <w:rtl/>
          <w:lang w:bidi="fa-IR"/>
        </w:rPr>
        <w:t>َ</w:t>
      </w:r>
      <w:r w:rsidRPr="00282AC9">
        <w:rPr>
          <w:rFonts w:hint="cs"/>
          <w:sz w:val="27"/>
          <w:rtl/>
          <w:lang w:bidi="fa-IR"/>
        </w:rPr>
        <w:t>ت</w:t>
      </w:r>
      <w:r w:rsidR="00A40D19" w:rsidRPr="00282AC9">
        <w:rPr>
          <w:rFonts w:hint="cs"/>
          <w:sz w:val="27"/>
          <w:rtl/>
          <w:lang w:bidi="fa-IR"/>
        </w:rPr>
        <w:t>ْ</w:t>
      </w:r>
      <w:r w:rsidRPr="00282AC9">
        <w:rPr>
          <w:rFonts w:hint="cs"/>
          <w:sz w:val="27"/>
          <w:rtl/>
          <w:lang w:bidi="fa-IR"/>
        </w:rPr>
        <w:t xml:space="preserve"> من الصنع</w:t>
      </w:r>
      <w:r w:rsidRPr="00282AC9">
        <w:rPr>
          <w:sz w:val="27"/>
          <w:vertAlign w:val="superscript"/>
          <w:rtl/>
          <w:lang w:bidi="fa-IR"/>
        </w:rPr>
        <w:t>(</w:t>
      </w:r>
      <w:r w:rsidRPr="00282AC9">
        <w:rPr>
          <w:sz w:val="27"/>
          <w:vertAlign w:val="superscript"/>
          <w:rtl/>
          <w:lang w:bidi="fa-IR"/>
        </w:rPr>
        <w:endnoteReference w:id="1002"/>
      </w:r>
      <w:r w:rsidRPr="00282AC9">
        <w:rPr>
          <w:rFonts w:hint="cs"/>
          <w:sz w:val="27"/>
          <w:vertAlign w:val="superscript"/>
          <w:rtl/>
          <w:lang w:bidi="fa-IR"/>
        </w:rPr>
        <w:t>)</w:t>
      </w:r>
      <w:r w:rsidRPr="00282AC9">
        <w:rPr>
          <w:rFonts w:hint="cs"/>
          <w:sz w:val="27"/>
          <w:rtl/>
          <w:lang w:bidi="fa-IR"/>
        </w:rPr>
        <w:t>.</w:t>
      </w:r>
    </w:p>
    <w:p w:rsidR="00E8779F" w:rsidRPr="00282AC9" w:rsidRDefault="00E8779F" w:rsidP="00495D24">
      <w:pPr>
        <w:rPr>
          <w:sz w:val="27"/>
          <w:rtl/>
          <w:lang w:bidi="fa-IR"/>
        </w:rPr>
      </w:pPr>
      <w:r w:rsidRPr="00282AC9">
        <w:rPr>
          <w:rFonts w:hint="cs"/>
          <w:b/>
          <w:bCs/>
          <w:sz w:val="27"/>
          <w:rtl/>
          <w:lang w:bidi="fa-IR"/>
        </w:rPr>
        <w:t>ثانياً</w:t>
      </w:r>
      <w:r w:rsidRPr="00282AC9">
        <w:rPr>
          <w:rFonts w:hint="cs"/>
          <w:sz w:val="27"/>
          <w:rtl/>
          <w:lang w:bidi="fa-IR"/>
        </w:rPr>
        <w:t>: المِلْكيّة الابتدائية التَّبّعية، التي تحصل بسبب كون المال ثمرةً لما يملكه الإنسان، كبيض الدجاج وصوف الغنم وثمر الشجر؛ فإنّها تُمْلَك بتَبَع مِلْكيّة الأصل.</w:t>
      </w:r>
    </w:p>
    <w:p w:rsidR="00E8779F" w:rsidRPr="00282AC9" w:rsidRDefault="00E8779F" w:rsidP="00495D24">
      <w:pPr>
        <w:rPr>
          <w:sz w:val="27"/>
          <w:rtl/>
          <w:lang w:bidi="fa-IR"/>
        </w:rPr>
      </w:pPr>
      <w:r w:rsidRPr="00282AC9">
        <w:rPr>
          <w:rFonts w:hint="cs"/>
          <w:b/>
          <w:bCs/>
          <w:sz w:val="27"/>
          <w:rtl/>
          <w:lang w:bidi="fa-IR"/>
        </w:rPr>
        <w:t>القسم الثاني</w:t>
      </w:r>
      <w:r w:rsidRPr="00282AC9">
        <w:rPr>
          <w:rFonts w:hint="cs"/>
          <w:sz w:val="27"/>
          <w:rtl/>
          <w:lang w:bidi="fa-IR"/>
        </w:rPr>
        <w:t>: المِلْكيّة الثانويّة، التي تكون في طول المِلْكيّة من القسم الأوّل. وتتمثَّل بسائر الأسباب. وتنقسم إلى قسمين:</w:t>
      </w:r>
    </w:p>
    <w:p w:rsidR="00E8779F" w:rsidRPr="00282AC9" w:rsidRDefault="00E8779F" w:rsidP="00495D24">
      <w:pPr>
        <w:rPr>
          <w:sz w:val="27"/>
          <w:rtl/>
          <w:lang w:bidi="fa-IR"/>
        </w:rPr>
      </w:pPr>
      <w:r w:rsidRPr="00282AC9">
        <w:rPr>
          <w:rFonts w:hint="cs"/>
          <w:b/>
          <w:bCs/>
          <w:sz w:val="27"/>
          <w:rtl/>
          <w:lang w:bidi="fa-IR"/>
        </w:rPr>
        <w:t>أوّلاً</w:t>
      </w:r>
      <w:r w:rsidRPr="00282AC9">
        <w:rPr>
          <w:rFonts w:hint="cs"/>
          <w:sz w:val="27"/>
          <w:rtl/>
          <w:lang w:bidi="fa-IR"/>
        </w:rPr>
        <w:t>: المِلْكيّة الاختياريّة، كالعقود.</w:t>
      </w:r>
    </w:p>
    <w:p w:rsidR="00E8779F" w:rsidRPr="00282AC9" w:rsidRDefault="00E8779F" w:rsidP="00495D24">
      <w:pPr>
        <w:rPr>
          <w:sz w:val="27"/>
          <w:rtl/>
          <w:lang w:bidi="fa-IR"/>
        </w:rPr>
      </w:pPr>
      <w:r w:rsidRPr="00282AC9">
        <w:rPr>
          <w:rFonts w:hint="cs"/>
          <w:b/>
          <w:bCs/>
          <w:sz w:val="27"/>
          <w:rtl/>
          <w:lang w:bidi="fa-IR"/>
        </w:rPr>
        <w:t>ثانياً</w:t>
      </w:r>
      <w:r w:rsidRPr="00282AC9">
        <w:rPr>
          <w:rFonts w:hint="cs"/>
          <w:sz w:val="27"/>
          <w:rtl/>
          <w:lang w:bidi="fa-IR"/>
        </w:rPr>
        <w:t>: المِلْكيّة القَهْريّة كالإرث والوصيّة ـ بناءً على أنّها من الإيقاعات ـ أو الوَقْف</w:t>
      </w:r>
      <w:r w:rsidRPr="00282AC9">
        <w:rPr>
          <w:sz w:val="27"/>
          <w:vertAlign w:val="superscript"/>
          <w:rtl/>
          <w:lang w:bidi="fa-IR"/>
        </w:rPr>
        <w:t>(</w:t>
      </w:r>
      <w:r w:rsidRPr="00282AC9">
        <w:rPr>
          <w:sz w:val="27"/>
          <w:vertAlign w:val="superscript"/>
          <w:rtl/>
          <w:lang w:bidi="fa-IR"/>
        </w:rPr>
        <w:endnoteReference w:id="1003"/>
      </w:r>
      <w:r w:rsidRPr="00282AC9">
        <w:rPr>
          <w:rFonts w:hint="cs"/>
          <w:sz w:val="27"/>
          <w:vertAlign w:val="superscript"/>
          <w:rtl/>
          <w:lang w:bidi="fa-IR"/>
        </w:rPr>
        <w:t>)</w:t>
      </w:r>
      <w:r w:rsidRPr="00282AC9">
        <w:rPr>
          <w:rFonts w:hint="cs"/>
          <w:sz w:val="27"/>
          <w:rtl/>
          <w:lang w:bidi="fa-IR"/>
        </w:rPr>
        <w:t>.</w:t>
      </w:r>
    </w:p>
    <w:p w:rsidR="000F0B20" w:rsidRPr="00282AC9" w:rsidRDefault="000F0B20" w:rsidP="000F0B20">
      <w:pPr>
        <w:spacing w:line="420" w:lineRule="exact"/>
        <w:rPr>
          <w:sz w:val="27"/>
          <w:rtl/>
        </w:rPr>
      </w:pPr>
    </w:p>
    <w:p w:rsidR="0062395A" w:rsidRPr="00282AC9" w:rsidRDefault="002C572E" w:rsidP="00715FC8">
      <w:pPr>
        <w:pStyle w:val="31"/>
        <w:spacing w:line="400" w:lineRule="exact"/>
        <w:rPr>
          <w:rFonts w:cs="AL-Mohanad"/>
          <w:color w:val="auto"/>
          <w:szCs w:val="27"/>
          <w:rtl/>
          <w:lang w:bidi="fa-IR"/>
        </w:rPr>
      </w:pPr>
      <w:r w:rsidRPr="00282AC9">
        <w:rPr>
          <w:rFonts w:hint="cs"/>
          <w:color w:val="auto"/>
          <w:rtl/>
          <w:lang w:bidi="fa-IR"/>
        </w:rPr>
        <w:t xml:space="preserve">نقاشٌ </w:t>
      </w:r>
      <w:r w:rsidR="00E8779F" w:rsidRPr="00282AC9">
        <w:rPr>
          <w:rFonts w:hint="cs"/>
          <w:color w:val="auto"/>
          <w:rtl/>
          <w:lang w:bidi="fa-IR"/>
        </w:rPr>
        <w:t>وتعليق</w:t>
      </w:r>
    </w:p>
    <w:p w:rsidR="0062395A" w:rsidRPr="00282AC9" w:rsidRDefault="00E8779F" w:rsidP="00495D24">
      <w:pPr>
        <w:rPr>
          <w:sz w:val="27"/>
          <w:rtl/>
          <w:lang w:bidi="fa-IR"/>
        </w:rPr>
      </w:pPr>
      <w:r w:rsidRPr="00282AC9">
        <w:rPr>
          <w:rFonts w:hint="cs"/>
          <w:sz w:val="27"/>
          <w:rtl/>
        </w:rPr>
        <w:t xml:space="preserve">1ـ </w:t>
      </w:r>
      <w:r w:rsidR="0062395A" w:rsidRPr="00282AC9">
        <w:rPr>
          <w:rFonts w:hint="cs"/>
          <w:sz w:val="27"/>
          <w:rtl/>
        </w:rPr>
        <w:t>ناقش ذلك الشهيد الصدر</w:t>
      </w:r>
      <w:r w:rsidR="009A2A04" w:rsidRPr="00282AC9">
        <w:rPr>
          <w:rFonts w:cs="Mosawi" w:hint="cs"/>
          <w:sz w:val="22"/>
          <w:szCs w:val="22"/>
          <w:rtl/>
        </w:rPr>
        <w:t>&amp;</w:t>
      </w:r>
      <w:r w:rsidR="0062395A" w:rsidRPr="00282AC9">
        <w:rPr>
          <w:rFonts w:hint="cs"/>
          <w:sz w:val="27"/>
          <w:rtl/>
        </w:rPr>
        <w:t xml:space="preserve"> ـ على ما حُكي عنه ـ بأنّ سريري</w:t>
      </w:r>
      <w:r w:rsidR="00A40D19" w:rsidRPr="00282AC9">
        <w:rPr>
          <w:rFonts w:hint="cs"/>
          <w:sz w:val="27"/>
          <w:rtl/>
        </w:rPr>
        <w:t>ّ</w:t>
      </w:r>
      <w:r w:rsidR="0062395A" w:rsidRPr="00282AC9">
        <w:rPr>
          <w:rFonts w:hint="cs"/>
          <w:sz w:val="27"/>
          <w:rtl/>
        </w:rPr>
        <w:t>ة السرير تُم</w:t>
      </w:r>
      <w:r w:rsidR="00A40D19" w:rsidRPr="00282AC9">
        <w:rPr>
          <w:rFonts w:hint="cs"/>
          <w:sz w:val="27"/>
          <w:rtl/>
        </w:rPr>
        <w:t>ْ</w:t>
      </w:r>
      <w:r w:rsidR="0062395A" w:rsidRPr="00282AC9">
        <w:rPr>
          <w:rFonts w:hint="cs"/>
          <w:sz w:val="27"/>
          <w:rtl/>
        </w:rPr>
        <w:t>ل</w:t>
      </w:r>
      <w:r w:rsidR="00A40D19" w:rsidRPr="00282AC9">
        <w:rPr>
          <w:rFonts w:hint="cs"/>
          <w:sz w:val="27"/>
          <w:rtl/>
        </w:rPr>
        <w:t>َ</w:t>
      </w:r>
      <w:r w:rsidR="0062395A" w:rsidRPr="00282AC9">
        <w:rPr>
          <w:rFonts w:hint="cs"/>
          <w:sz w:val="27"/>
          <w:rtl/>
        </w:rPr>
        <w:t>ك في نظر العقلاء ت</w:t>
      </w:r>
      <w:r w:rsidR="00A40D19" w:rsidRPr="00282AC9">
        <w:rPr>
          <w:rFonts w:hint="cs"/>
          <w:sz w:val="27"/>
          <w:rtl/>
        </w:rPr>
        <w:t>َ</w:t>
      </w:r>
      <w:r w:rsidR="0062395A" w:rsidRPr="00282AC9">
        <w:rPr>
          <w:rFonts w:hint="cs"/>
          <w:sz w:val="27"/>
          <w:rtl/>
        </w:rPr>
        <w:t>ب</w:t>
      </w:r>
      <w:r w:rsidR="00A40D19" w:rsidRPr="00282AC9">
        <w:rPr>
          <w:rFonts w:hint="cs"/>
          <w:sz w:val="27"/>
          <w:rtl/>
        </w:rPr>
        <w:t>َ</w:t>
      </w:r>
      <w:r w:rsidR="0062395A" w:rsidRPr="00282AC9">
        <w:rPr>
          <w:rFonts w:hint="cs"/>
          <w:sz w:val="27"/>
          <w:rtl/>
        </w:rPr>
        <w:t>عاً لتملّ</w:t>
      </w:r>
      <w:r w:rsidR="00A40D19" w:rsidRPr="00282AC9">
        <w:rPr>
          <w:rFonts w:hint="cs"/>
          <w:sz w:val="27"/>
          <w:rtl/>
        </w:rPr>
        <w:t>ُ</w:t>
      </w:r>
      <w:r w:rsidR="0062395A" w:rsidRPr="00282AC9">
        <w:rPr>
          <w:rFonts w:hint="cs"/>
          <w:sz w:val="27"/>
          <w:rtl/>
        </w:rPr>
        <w:t>ك مادّته</w:t>
      </w:r>
      <w:r w:rsidR="00A40D19" w:rsidRPr="00282AC9">
        <w:rPr>
          <w:rFonts w:hint="cs"/>
          <w:sz w:val="27"/>
          <w:rtl/>
        </w:rPr>
        <w:t>.</w:t>
      </w:r>
      <w:r w:rsidR="0062395A" w:rsidRPr="00282AC9">
        <w:rPr>
          <w:rFonts w:hint="cs"/>
          <w:sz w:val="27"/>
          <w:rtl/>
        </w:rPr>
        <w:t xml:space="preserve"> ولذا لو حاز خشباً</w:t>
      </w:r>
      <w:r w:rsidR="00A40D19" w:rsidRPr="00282AC9">
        <w:rPr>
          <w:rFonts w:hint="cs"/>
          <w:sz w:val="27"/>
          <w:rtl/>
        </w:rPr>
        <w:t>،</w:t>
      </w:r>
      <w:r w:rsidR="0062395A" w:rsidRPr="00282AC9">
        <w:rPr>
          <w:rFonts w:hint="cs"/>
          <w:sz w:val="27"/>
          <w:rtl/>
        </w:rPr>
        <w:t xml:space="preserve"> ثمّ صنع شخص</w:t>
      </w:r>
      <w:r w:rsidR="00A40D19" w:rsidRPr="00282AC9">
        <w:rPr>
          <w:rFonts w:hint="cs"/>
          <w:sz w:val="27"/>
          <w:rtl/>
        </w:rPr>
        <w:t>ٌ</w:t>
      </w:r>
      <w:r w:rsidR="0062395A" w:rsidRPr="00282AC9">
        <w:rPr>
          <w:rFonts w:hint="cs"/>
          <w:sz w:val="27"/>
          <w:rtl/>
        </w:rPr>
        <w:t xml:space="preserve"> آخر منه</w:t>
      </w:r>
      <w:r w:rsidR="00A40D19" w:rsidRPr="00282AC9">
        <w:rPr>
          <w:rFonts w:hint="cs"/>
          <w:sz w:val="27"/>
          <w:rtl/>
        </w:rPr>
        <w:t>،</w:t>
      </w:r>
      <w:r w:rsidR="0062395A" w:rsidRPr="00282AC9">
        <w:rPr>
          <w:rFonts w:hint="cs"/>
          <w:sz w:val="27"/>
          <w:rtl/>
        </w:rPr>
        <w:t xml:space="preserve"> بدون إذنه</w:t>
      </w:r>
      <w:r w:rsidR="00A40D19" w:rsidRPr="00282AC9">
        <w:rPr>
          <w:rFonts w:hint="cs"/>
          <w:sz w:val="27"/>
          <w:rtl/>
        </w:rPr>
        <w:t>،</w:t>
      </w:r>
      <w:r w:rsidR="0062395A" w:rsidRPr="00282AC9">
        <w:rPr>
          <w:rFonts w:hint="cs"/>
          <w:sz w:val="27"/>
          <w:rtl/>
        </w:rPr>
        <w:t xml:space="preserve"> سريراً</w:t>
      </w:r>
      <w:r w:rsidR="00A40D19" w:rsidRPr="00282AC9">
        <w:rPr>
          <w:rFonts w:hint="cs"/>
          <w:sz w:val="27"/>
          <w:rtl/>
        </w:rPr>
        <w:t>،</w:t>
      </w:r>
      <w:r w:rsidR="0062395A" w:rsidRPr="00282AC9">
        <w:rPr>
          <w:rFonts w:hint="cs"/>
          <w:sz w:val="27"/>
          <w:rtl/>
        </w:rPr>
        <w:t xml:space="preserve"> كان الأمر كما لو صنع هو منه سريراً، بل إنّ م</w:t>
      </w:r>
      <w:r w:rsidR="00680847" w:rsidRPr="00282AC9">
        <w:rPr>
          <w:rFonts w:hint="cs"/>
          <w:sz w:val="27"/>
          <w:rtl/>
        </w:rPr>
        <w:t>ِ</w:t>
      </w:r>
      <w:r w:rsidR="0062395A" w:rsidRPr="00282AC9">
        <w:rPr>
          <w:rFonts w:hint="cs"/>
          <w:sz w:val="27"/>
          <w:rtl/>
        </w:rPr>
        <w:t>ل</w:t>
      </w:r>
      <w:r w:rsidR="00680847" w:rsidRPr="00282AC9">
        <w:rPr>
          <w:rFonts w:hint="cs"/>
          <w:sz w:val="27"/>
          <w:rtl/>
        </w:rPr>
        <w:t>ْ</w:t>
      </w:r>
      <w:r w:rsidR="0062395A" w:rsidRPr="00282AC9">
        <w:rPr>
          <w:rFonts w:hint="cs"/>
          <w:sz w:val="27"/>
          <w:rtl/>
        </w:rPr>
        <w:t>كي</w:t>
      </w:r>
      <w:r w:rsidR="00680847" w:rsidRPr="00282AC9">
        <w:rPr>
          <w:rFonts w:hint="cs"/>
          <w:sz w:val="27"/>
          <w:rtl/>
        </w:rPr>
        <w:t>ّ</w:t>
      </w:r>
      <w:r w:rsidR="0062395A" w:rsidRPr="00282AC9">
        <w:rPr>
          <w:rFonts w:hint="cs"/>
          <w:sz w:val="27"/>
          <w:rtl/>
        </w:rPr>
        <w:t>ة السريري</w:t>
      </w:r>
      <w:r w:rsidR="00680847" w:rsidRPr="00282AC9">
        <w:rPr>
          <w:rFonts w:hint="cs"/>
          <w:sz w:val="27"/>
          <w:rtl/>
        </w:rPr>
        <w:t>ّ</w:t>
      </w:r>
      <w:r w:rsidR="0062395A" w:rsidRPr="00282AC9">
        <w:rPr>
          <w:rFonts w:hint="cs"/>
          <w:sz w:val="27"/>
          <w:rtl/>
        </w:rPr>
        <w:t>ة تندكّ في م</w:t>
      </w:r>
      <w:r w:rsidR="00680847" w:rsidRPr="00282AC9">
        <w:rPr>
          <w:rFonts w:hint="cs"/>
          <w:sz w:val="27"/>
          <w:rtl/>
        </w:rPr>
        <w:t>ِ</w:t>
      </w:r>
      <w:r w:rsidR="0062395A" w:rsidRPr="00282AC9">
        <w:rPr>
          <w:rFonts w:hint="cs"/>
          <w:sz w:val="27"/>
          <w:rtl/>
        </w:rPr>
        <w:t>ل</w:t>
      </w:r>
      <w:r w:rsidR="00680847" w:rsidRPr="00282AC9">
        <w:rPr>
          <w:rFonts w:hint="cs"/>
          <w:sz w:val="27"/>
          <w:rtl/>
        </w:rPr>
        <w:t>ْ</w:t>
      </w:r>
      <w:r w:rsidR="0062395A" w:rsidRPr="00282AC9">
        <w:rPr>
          <w:rFonts w:hint="cs"/>
          <w:sz w:val="27"/>
          <w:rtl/>
        </w:rPr>
        <w:t>كي</w:t>
      </w:r>
      <w:r w:rsidR="00680847" w:rsidRPr="00282AC9">
        <w:rPr>
          <w:rFonts w:hint="cs"/>
          <w:sz w:val="27"/>
          <w:rtl/>
        </w:rPr>
        <w:t>ّ</w:t>
      </w:r>
      <w:r w:rsidR="0062395A" w:rsidRPr="00282AC9">
        <w:rPr>
          <w:rFonts w:hint="cs"/>
          <w:sz w:val="27"/>
          <w:rtl/>
        </w:rPr>
        <w:t>ة المادّة، ولا تُرى عُر</w:t>
      </w:r>
      <w:r w:rsidR="00680847" w:rsidRPr="00282AC9">
        <w:rPr>
          <w:rFonts w:hint="cs"/>
          <w:sz w:val="27"/>
          <w:rtl/>
        </w:rPr>
        <w:t>ْ</w:t>
      </w:r>
      <w:r w:rsidR="0062395A" w:rsidRPr="00282AC9">
        <w:rPr>
          <w:rFonts w:hint="cs"/>
          <w:sz w:val="27"/>
          <w:rtl/>
        </w:rPr>
        <w:t>فاً ملكي</w:t>
      </w:r>
      <w:r w:rsidR="00680847" w:rsidRPr="00282AC9">
        <w:rPr>
          <w:rFonts w:hint="cs"/>
          <w:sz w:val="27"/>
          <w:rtl/>
        </w:rPr>
        <w:t>ّ</w:t>
      </w:r>
      <w:r w:rsidR="0062395A" w:rsidRPr="00282AC9">
        <w:rPr>
          <w:rFonts w:hint="cs"/>
          <w:sz w:val="27"/>
          <w:rtl/>
        </w:rPr>
        <w:t>ة</w:t>
      </w:r>
      <w:r w:rsidR="00F93923" w:rsidRPr="00282AC9">
        <w:rPr>
          <w:rFonts w:hint="cs"/>
          <w:sz w:val="27"/>
          <w:rtl/>
        </w:rPr>
        <w:t>ً</w:t>
      </w:r>
      <w:r w:rsidR="0062395A" w:rsidRPr="00282AC9">
        <w:rPr>
          <w:rFonts w:hint="cs"/>
          <w:sz w:val="27"/>
          <w:rtl/>
        </w:rPr>
        <w:t xml:space="preserve"> خاصّة للسريري</w:t>
      </w:r>
      <w:r w:rsidR="00680847" w:rsidRPr="00282AC9">
        <w:rPr>
          <w:rFonts w:hint="cs"/>
          <w:sz w:val="27"/>
          <w:rtl/>
        </w:rPr>
        <w:t>ّ</w:t>
      </w:r>
      <w:r w:rsidR="0062395A" w:rsidRPr="00282AC9">
        <w:rPr>
          <w:rFonts w:hint="cs"/>
          <w:sz w:val="27"/>
          <w:rtl/>
        </w:rPr>
        <w:t>ة</w:t>
      </w:r>
      <w:r w:rsidR="0062395A" w:rsidRPr="00282AC9">
        <w:rPr>
          <w:sz w:val="27"/>
          <w:vertAlign w:val="superscript"/>
          <w:rtl/>
        </w:rPr>
        <w:t>(</w:t>
      </w:r>
      <w:r w:rsidR="0062395A" w:rsidRPr="00282AC9">
        <w:rPr>
          <w:sz w:val="27"/>
          <w:vertAlign w:val="superscript"/>
          <w:rtl/>
        </w:rPr>
        <w:endnoteReference w:id="1004"/>
      </w:r>
      <w:r w:rsidR="0062395A" w:rsidRPr="00282AC9">
        <w:rPr>
          <w:rFonts w:hint="cs"/>
          <w:sz w:val="27"/>
          <w:vertAlign w:val="superscript"/>
          <w:rtl/>
        </w:rPr>
        <w:t>)</w:t>
      </w:r>
      <w:r w:rsidR="0062395A" w:rsidRPr="00282AC9">
        <w:rPr>
          <w:rFonts w:hint="cs"/>
          <w:sz w:val="27"/>
          <w:rtl/>
        </w:rPr>
        <w:t>.</w:t>
      </w:r>
    </w:p>
    <w:p w:rsidR="0062395A" w:rsidRPr="00282AC9" w:rsidRDefault="0062395A" w:rsidP="00495D24">
      <w:pPr>
        <w:rPr>
          <w:sz w:val="27"/>
          <w:rtl/>
          <w:lang w:bidi="fa-IR"/>
        </w:rPr>
      </w:pPr>
      <w:r w:rsidRPr="00282AC9">
        <w:rPr>
          <w:rFonts w:hint="cs"/>
          <w:sz w:val="27"/>
          <w:rtl/>
          <w:lang w:bidi="fa-IR"/>
        </w:rPr>
        <w:t>وش</w:t>
      </w:r>
      <w:r w:rsidR="00680847" w:rsidRPr="00282AC9">
        <w:rPr>
          <w:rFonts w:hint="cs"/>
          <w:sz w:val="27"/>
          <w:rtl/>
          <w:lang w:bidi="fa-IR"/>
        </w:rPr>
        <w:t>َ</w:t>
      </w:r>
      <w:r w:rsidRPr="00282AC9">
        <w:rPr>
          <w:rFonts w:hint="cs"/>
          <w:sz w:val="27"/>
          <w:rtl/>
          <w:lang w:bidi="fa-IR"/>
        </w:rPr>
        <w:t>ر</w:t>
      </w:r>
      <w:r w:rsidR="00680847" w:rsidRPr="00282AC9">
        <w:rPr>
          <w:rFonts w:hint="cs"/>
          <w:sz w:val="27"/>
          <w:rtl/>
          <w:lang w:bidi="fa-IR"/>
        </w:rPr>
        <w:t>َ</w:t>
      </w:r>
      <w:r w:rsidRPr="00282AC9">
        <w:rPr>
          <w:rFonts w:hint="cs"/>
          <w:sz w:val="27"/>
          <w:rtl/>
          <w:lang w:bidi="fa-IR"/>
        </w:rPr>
        <w:t>حه السيد الحائري</w:t>
      </w:r>
      <w:r w:rsidR="00680847" w:rsidRPr="00282AC9">
        <w:rPr>
          <w:rFonts w:hint="cs"/>
          <w:sz w:val="27"/>
          <w:rtl/>
          <w:lang w:bidi="fa-IR"/>
        </w:rPr>
        <w:t>ّ،</w:t>
      </w:r>
      <w:r w:rsidRPr="00282AC9">
        <w:rPr>
          <w:rFonts w:hint="cs"/>
          <w:sz w:val="27"/>
          <w:rtl/>
          <w:lang w:bidi="fa-IR"/>
        </w:rPr>
        <w:t xml:space="preserve"> فأفاد: إنّ نفس هذا الإشكال ي</w:t>
      </w:r>
      <w:r w:rsidR="00680847" w:rsidRPr="00282AC9">
        <w:rPr>
          <w:rFonts w:hint="cs"/>
          <w:sz w:val="27"/>
          <w:rtl/>
          <w:lang w:bidi="fa-IR"/>
        </w:rPr>
        <w:t>َ</w:t>
      </w:r>
      <w:r w:rsidRPr="00282AC9">
        <w:rPr>
          <w:rFonts w:hint="cs"/>
          <w:sz w:val="27"/>
          <w:rtl/>
          <w:lang w:bidi="fa-IR"/>
        </w:rPr>
        <w:t>ر</w:t>
      </w:r>
      <w:r w:rsidR="00680847" w:rsidRPr="00282AC9">
        <w:rPr>
          <w:rFonts w:hint="cs"/>
          <w:sz w:val="27"/>
          <w:rtl/>
          <w:lang w:bidi="fa-IR"/>
        </w:rPr>
        <w:t>ِ</w:t>
      </w:r>
      <w:r w:rsidRPr="00282AC9">
        <w:rPr>
          <w:rFonts w:hint="cs"/>
          <w:sz w:val="27"/>
          <w:rtl/>
          <w:lang w:bidi="fa-IR"/>
        </w:rPr>
        <w:t>د</w:t>
      </w:r>
      <w:r w:rsidR="00680847" w:rsidRPr="00282AC9">
        <w:rPr>
          <w:rFonts w:hint="cs"/>
          <w:sz w:val="27"/>
          <w:rtl/>
          <w:lang w:bidi="fa-IR"/>
        </w:rPr>
        <w:t>ُ</w:t>
      </w:r>
      <w:r w:rsidRPr="00282AC9">
        <w:rPr>
          <w:rFonts w:hint="cs"/>
          <w:sz w:val="27"/>
          <w:rtl/>
          <w:lang w:bidi="fa-IR"/>
        </w:rPr>
        <w:t xml:space="preserve"> على السيد الخوئي في مثل مثال صنع الكوز من الطين</w:t>
      </w:r>
      <w:r w:rsidR="00680847" w:rsidRPr="00282AC9">
        <w:rPr>
          <w:rFonts w:hint="cs"/>
          <w:sz w:val="27"/>
          <w:rtl/>
          <w:lang w:bidi="fa-IR"/>
        </w:rPr>
        <w:t>،</w:t>
      </w:r>
      <w:r w:rsidRPr="00282AC9">
        <w:rPr>
          <w:rFonts w:hint="cs"/>
          <w:sz w:val="27"/>
          <w:rtl/>
          <w:lang w:bidi="fa-IR"/>
        </w:rPr>
        <w:t xml:space="preserve"> أو إبعاد الماء من النهر</w:t>
      </w:r>
      <w:r w:rsidR="00680847" w:rsidRPr="00282AC9">
        <w:rPr>
          <w:rFonts w:hint="cs"/>
          <w:sz w:val="27"/>
          <w:rtl/>
          <w:lang w:bidi="fa-IR"/>
        </w:rPr>
        <w:t>،</w:t>
      </w:r>
      <w:r w:rsidRPr="00282AC9">
        <w:rPr>
          <w:rFonts w:hint="cs"/>
          <w:sz w:val="27"/>
          <w:rtl/>
          <w:lang w:bidi="fa-IR"/>
        </w:rPr>
        <w:t xml:space="preserve"> أو حفظ الثلج</w:t>
      </w:r>
      <w:r w:rsidR="00BC0925" w:rsidRPr="00282AC9">
        <w:rPr>
          <w:rFonts w:hint="cs"/>
          <w:sz w:val="27"/>
          <w:rtl/>
          <w:lang w:bidi="fa-IR"/>
        </w:rPr>
        <w:t xml:space="preserve"> إلى </w:t>
      </w:r>
      <w:r w:rsidRPr="00282AC9">
        <w:rPr>
          <w:rFonts w:hint="cs"/>
          <w:sz w:val="27"/>
          <w:rtl/>
          <w:lang w:bidi="fa-IR"/>
        </w:rPr>
        <w:t>الصيف</w:t>
      </w:r>
      <w:r w:rsidR="00680847" w:rsidRPr="00282AC9">
        <w:rPr>
          <w:rFonts w:hint="cs"/>
          <w:sz w:val="27"/>
          <w:rtl/>
          <w:lang w:bidi="fa-IR"/>
        </w:rPr>
        <w:t>،</w:t>
      </w:r>
      <w:r w:rsidRPr="00282AC9">
        <w:rPr>
          <w:rFonts w:hint="cs"/>
          <w:sz w:val="27"/>
          <w:rtl/>
          <w:lang w:bidi="fa-IR"/>
        </w:rPr>
        <w:t xml:space="preserve"> وما شابه ذلك؛ فإنّ </w:t>
      </w:r>
      <w:r w:rsidR="00EB1216" w:rsidRPr="00282AC9">
        <w:rPr>
          <w:rFonts w:hint="cs"/>
          <w:sz w:val="27"/>
          <w:rtl/>
          <w:lang w:bidi="fa-IR"/>
        </w:rPr>
        <w:t>المِلْكيّة</w:t>
      </w:r>
      <w:r w:rsidRPr="00282AC9">
        <w:rPr>
          <w:rFonts w:hint="cs"/>
          <w:sz w:val="27"/>
          <w:rtl/>
          <w:lang w:bidi="fa-IR"/>
        </w:rPr>
        <w:t xml:space="preserve"> العقلائي</w:t>
      </w:r>
      <w:r w:rsidR="00680847" w:rsidRPr="00282AC9">
        <w:rPr>
          <w:rFonts w:hint="cs"/>
          <w:sz w:val="27"/>
          <w:rtl/>
          <w:lang w:bidi="fa-IR"/>
        </w:rPr>
        <w:t>ّ</w:t>
      </w:r>
      <w:r w:rsidRPr="00282AC9">
        <w:rPr>
          <w:rFonts w:hint="cs"/>
          <w:sz w:val="27"/>
          <w:rtl/>
          <w:lang w:bidi="fa-IR"/>
        </w:rPr>
        <w:t>ة للكوز مثلاً إنّما تكون في نظر العقلاء بلحاظ م</w:t>
      </w:r>
      <w:r w:rsidR="00680847" w:rsidRPr="00282AC9">
        <w:rPr>
          <w:rFonts w:hint="cs"/>
          <w:sz w:val="27"/>
          <w:rtl/>
          <w:lang w:bidi="fa-IR"/>
        </w:rPr>
        <w:t>ِ</w:t>
      </w:r>
      <w:r w:rsidRPr="00282AC9">
        <w:rPr>
          <w:rFonts w:hint="cs"/>
          <w:sz w:val="27"/>
          <w:rtl/>
          <w:lang w:bidi="fa-IR"/>
        </w:rPr>
        <w:t>ل</w:t>
      </w:r>
      <w:r w:rsidR="00680847" w:rsidRPr="00282AC9">
        <w:rPr>
          <w:rFonts w:hint="cs"/>
          <w:sz w:val="27"/>
          <w:rtl/>
          <w:lang w:bidi="fa-IR"/>
        </w:rPr>
        <w:t>ْ</w:t>
      </w:r>
      <w:r w:rsidRPr="00282AC9">
        <w:rPr>
          <w:rFonts w:hint="cs"/>
          <w:sz w:val="27"/>
          <w:rtl/>
          <w:lang w:bidi="fa-IR"/>
        </w:rPr>
        <w:t>كي</w:t>
      </w:r>
      <w:r w:rsidR="00680847" w:rsidRPr="00282AC9">
        <w:rPr>
          <w:rFonts w:hint="cs"/>
          <w:sz w:val="27"/>
          <w:rtl/>
          <w:lang w:bidi="fa-IR"/>
        </w:rPr>
        <w:t>ّ</w:t>
      </w:r>
      <w:r w:rsidRPr="00282AC9">
        <w:rPr>
          <w:rFonts w:hint="cs"/>
          <w:sz w:val="27"/>
          <w:rtl/>
          <w:lang w:bidi="fa-IR"/>
        </w:rPr>
        <w:t>ة مادّته</w:t>
      </w:r>
      <w:r w:rsidR="00680847" w:rsidRPr="00282AC9">
        <w:rPr>
          <w:rFonts w:hint="cs"/>
          <w:sz w:val="27"/>
          <w:rtl/>
          <w:lang w:bidi="fa-IR"/>
        </w:rPr>
        <w:t>،</w:t>
      </w:r>
      <w:r w:rsidRPr="00282AC9">
        <w:rPr>
          <w:rFonts w:hint="cs"/>
          <w:sz w:val="27"/>
          <w:rtl/>
          <w:lang w:bidi="fa-IR"/>
        </w:rPr>
        <w:t xml:space="preserve"> وهو الطين، فلو صنع الكوز من طين</w:t>
      </w:r>
      <w:r w:rsidR="00680847" w:rsidRPr="00282AC9">
        <w:rPr>
          <w:rFonts w:hint="cs"/>
          <w:sz w:val="27"/>
          <w:rtl/>
          <w:lang w:bidi="fa-IR"/>
        </w:rPr>
        <w:t>ٍ</w:t>
      </w:r>
      <w:r w:rsidRPr="00282AC9">
        <w:rPr>
          <w:rFonts w:hint="cs"/>
          <w:sz w:val="27"/>
          <w:rtl/>
          <w:lang w:bidi="fa-IR"/>
        </w:rPr>
        <w:t xml:space="preserve"> كان في حيازة </w:t>
      </w:r>
      <w:r w:rsidRPr="00282AC9">
        <w:rPr>
          <w:rFonts w:hint="cs"/>
          <w:sz w:val="27"/>
          <w:rtl/>
          <w:lang w:bidi="fa-IR"/>
        </w:rPr>
        <w:lastRenderedPageBreak/>
        <w:t>شخص</w:t>
      </w:r>
      <w:r w:rsidR="00680847" w:rsidRPr="00282AC9">
        <w:rPr>
          <w:rFonts w:hint="cs"/>
          <w:sz w:val="27"/>
          <w:rtl/>
          <w:lang w:bidi="fa-IR"/>
        </w:rPr>
        <w:t>ٍ</w:t>
      </w:r>
      <w:r w:rsidRPr="00282AC9">
        <w:rPr>
          <w:rFonts w:hint="cs"/>
          <w:sz w:val="27"/>
          <w:rtl/>
          <w:lang w:bidi="fa-IR"/>
        </w:rPr>
        <w:t xml:space="preserve"> آخر</w:t>
      </w:r>
      <w:r w:rsidR="00680847" w:rsidRPr="00282AC9">
        <w:rPr>
          <w:rFonts w:hint="cs"/>
          <w:sz w:val="27"/>
          <w:rtl/>
          <w:lang w:bidi="fa-IR"/>
        </w:rPr>
        <w:t>،</w:t>
      </w:r>
      <w:r w:rsidRPr="00282AC9">
        <w:rPr>
          <w:rFonts w:hint="cs"/>
          <w:sz w:val="27"/>
          <w:rtl/>
          <w:lang w:bidi="fa-IR"/>
        </w:rPr>
        <w:t xml:space="preserve"> بلا إذنه، كان الكوز م</w:t>
      </w:r>
      <w:r w:rsidR="00680847" w:rsidRPr="00282AC9">
        <w:rPr>
          <w:rFonts w:hint="cs"/>
          <w:sz w:val="27"/>
          <w:rtl/>
          <w:lang w:bidi="fa-IR"/>
        </w:rPr>
        <w:t>ِ</w:t>
      </w:r>
      <w:r w:rsidRPr="00282AC9">
        <w:rPr>
          <w:rFonts w:hint="cs"/>
          <w:sz w:val="27"/>
          <w:rtl/>
          <w:lang w:bidi="fa-IR"/>
        </w:rPr>
        <w:t>ل</w:t>
      </w:r>
      <w:r w:rsidR="00680847" w:rsidRPr="00282AC9">
        <w:rPr>
          <w:rFonts w:hint="cs"/>
          <w:sz w:val="27"/>
          <w:rtl/>
          <w:lang w:bidi="fa-IR"/>
        </w:rPr>
        <w:t>ْ</w:t>
      </w:r>
      <w:r w:rsidRPr="00282AC9">
        <w:rPr>
          <w:rFonts w:hint="cs"/>
          <w:sz w:val="27"/>
          <w:rtl/>
          <w:lang w:bidi="fa-IR"/>
        </w:rPr>
        <w:t>كاً لذاك الشخص</w:t>
      </w:r>
      <w:r w:rsidR="00680847" w:rsidRPr="00282AC9">
        <w:rPr>
          <w:rFonts w:hint="cs"/>
          <w:sz w:val="27"/>
          <w:rtl/>
          <w:lang w:bidi="fa-IR"/>
        </w:rPr>
        <w:t>،</w:t>
      </w:r>
      <w:r w:rsidRPr="00282AC9">
        <w:rPr>
          <w:rFonts w:hint="cs"/>
          <w:sz w:val="27"/>
          <w:rtl/>
          <w:lang w:bidi="fa-IR"/>
        </w:rPr>
        <w:t xml:space="preserve"> لا لصانع الكوز</w:t>
      </w:r>
      <w:r w:rsidR="00680847" w:rsidRPr="00282AC9">
        <w:rPr>
          <w:rFonts w:hint="cs"/>
          <w:sz w:val="27"/>
          <w:rtl/>
          <w:lang w:bidi="fa-IR"/>
        </w:rPr>
        <w:t>.</w:t>
      </w:r>
      <w:r w:rsidRPr="00282AC9">
        <w:rPr>
          <w:rFonts w:hint="cs"/>
          <w:sz w:val="27"/>
          <w:rtl/>
          <w:lang w:bidi="fa-IR"/>
        </w:rPr>
        <w:t xml:space="preserve"> وكذا لو أبعد ماءً كان في حيازة شخص</w:t>
      </w:r>
      <w:r w:rsidR="00680847" w:rsidRPr="00282AC9">
        <w:rPr>
          <w:rFonts w:hint="cs"/>
          <w:sz w:val="27"/>
          <w:rtl/>
          <w:lang w:bidi="fa-IR"/>
        </w:rPr>
        <w:t>ٍ</w:t>
      </w:r>
      <w:r w:rsidRPr="00282AC9">
        <w:rPr>
          <w:rFonts w:hint="cs"/>
          <w:sz w:val="27"/>
          <w:rtl/>
          <w:lang w:bidi="fa-IR"/>
        </w:rPr>
        <w:t xml:space="preserve"> آخر من النهر</w:t>
      </w:r>
      <w:r w:rsidR="00680847" w:rsidRPr="00282AC9">
        <w:rPr>
          <w:rFonts w:hint="cs"/>
          <w:sz w:val="27"/>
          <w:rtl/>
          <w:lang w:bidi="fa-IR"/>
        </w:rPr>
        <w:t>،</w:t>
      </w:r>
      <w:r w:rsidRPr="00282AC9">
        <w:rPr>
          <w:rFonts w:hint="cs"/>
          <w:sz w:val="27"/>
          <w:rtl/>
          <w:lang w:bidi="fa-IR"/>
        </w:rPr>
        <w:t xml:space="preserve"> أو حفظ ما حازه من الثلج من دون تملّ</w:t>
      </w:r>
      <w:r w:rsidR="00680847" w:rsidRPr="00282AC9">
        <w:rPr>
          <w:rFonts w:hint="cs"/>
          <w:sz w:val="27"/>
          <w:rtl/>
          <w:lang w:bidi="fa-IR"/>
        </w:rPr>
        <w:t>ُ</w:t>
      </w:r>
      <w:r w:rsidRPr="00282AC9">
        <w:rPr>
          <w:rFonts w:hint="cs"/>
          <w:sz w:val="27"/>
          <w:rtl/>
          <w:lang w:bidi="fa-IR"/>
        </w:rPr>
        <w:t>كه بإذنه، كان في م</w:t>
      </w:r>
      <w:r w:rsidR="00680847" w:rsidRPr="00282AC9">
        <w:rPr>
          <w:rFonts w:hint="cs"/>
          <w:sz w:val="27"/>
          <w:rtl/>
          <w:lang w:bidi="fa-IR"/>
        </w:rPr>
        <w:t>ِ</w:t>
      </w:r>
      <w:r w:rsidRPr="00282AC9">
        <w:rPr>
          <w:rFonts w:hint="cs"/>
          <w:sz w:val="27"/>
          <w:rtl/>
          <w:lang w:bidi="fa-IR"/>
        </w:rPr>
        <w:t>ل</w:t>
      </w:r>
      <w:r w:rsidR="00680847" w:rsidRPr="00282AC9">
        <w:rPr>
          <w:rFonts w:hint="cs"/>
          <w:sz w:val="27"/>
          <w:rtl/>
          <w:lang w:bidi="fa-IR"/>
        </w:rPr>
        <w:t>ْ</w:t>
      </w:r>
      <w:r w:rsidRPr="00282AC9">
        <w:rPr>
          <w:rFonts w:hint="cs"/>
          <w:sz w:val="27"/>
          <w:rtl/>
          <w:lang w:bidi="fa-IR"/>
        </w:rPr>
        <w:t>ك الشخص الأوّل.</w:t>
      </w:r>
    </w:p>
    <w:p w:rsidR="0062395A" w:rsidRPr="00282AC9" w:rsidRDefault="0062395A" w:rsidP="00495D24">
      <w:pPr>
        <w:rPr>
          <w:sz w:val="27"/>
          <w:rtl/>
          <w:lang w:bidi="fa-IR"/>
        </w:rPr>
      </w:pPr>
      <w:r w:rsidRPr="00282AC9">
        <w:rPr>
          <w:rFonts w:hint="cs"/>
          <w:sz w:val="27"/>
          <w:rtl/>
          <w:lang w:bidi="fa-IR"/>
        </w:rPr>
        <w:t>وكأنّ السيد الخوئي وقع هنا في الخطأ على أساس تخيّ</w:t>
      </w:r>
      <w:r w:rsidR="00680847" w:rsidRPr="00282AC9">
        <w:rPr>
          <w:rFonts w:hint="cs"/>
          <w:sz w:val="27"/>
          <w:rtl/>
          <w:lang w:bidi="fa-IR"/>
        </w:rPr>
        <w:t>ُ</w:t>
      </w:r>
      <w:r w:rsidRPr="00282AC9">
        <w:rPr>
          <w:rFonts w:hint="cs"/>
          <w:sz w:val="27"/>
          <w:rtl/>
          <w:lang w:bidi="fa-IR"/>
        </w:rPr>
        <w:t xml:space="preserve">ل أنّ </w:t>
      </w:r>
      <w:r w:rsidR="00EB1216" w:rsidRPr="00282AC9">
        <w:rPr>
          <w:rFonts w:hint="cs"/>
          <w:sz w:val="27"/>
          <w:rtl/>
          <w:lang w:bidi="fa-IR"/>
        </w:rPr>
        <w:t>المِلْكيّة</w:t>
      </w:r>
      <w:r w:rsidRPr="00282AC9">
        <w:rPr>
          <w:rFonts w:hint="cs"/>
          <w:sz w:val="27"/>
          <w:rtl/>
          <w:lang w:bidi="fa-IR"/>
        </w:rPr>
        <w:t xml:space="preserve"> فرع المالي</w:t>
      </w:r>
      <w:r w:rsidR="00680847" w:rsidRPr="00282AC9">
        <w:rPr>
          <w:rFonts w:hint="cs"/>
          <w:sz w:val="27"/>
          <w:rtl/>
          <w:lang w:bidi="fa-IR"/>
        </w:rPr>
        <w:t>ّ</w:t>
      </w:r>
      <w:r w:rsidRPr="00282AC9">
        <w:rPr>
          <w:rFonts w:hint="cs"/>
          <w:sz w:val="27"/>
          <w:rtl/>
          <w:lang w:bidi="fa-IR"/>
        </w:rPr>
        <w:t>ة</w:t>
      </w:r>
      <w:r w:rsidRPr="00282AC9">
        <w:rPr>
          <w:sz w:val="27"/>
          <w:vertAlign w:val="superscript"/>
          <w:rtl/>
          <w:lang w:bidi="fa-IR"/>
        </w:rPr>
        <w:t>(</w:t>
      </w:r>
      <w:r w:rsidRPr="00282AC9">
        <w:rPr>
          <w:sz w:val="27"/>
          <w:vertAlign w:val="superscript"/>
          <w:rtl/>
          <w:lang w:bidi="fa-IR"/>
        </w:rPr>
        <w:endnoteReference w:id="1005"/>
      </w:r>
      <w:r w:rsidRPr="00282AC9">
        <w:rPr>
          <w:rFonts w:hint="cs"/>
          <w:sz w:val="27"/>
          <w:vertAlign w:val="superscript"/>
          <w:rtl/>
          <w:lang w:bidi="fa-IR"/>
        </w:rPr>
        <w:t>)</w:t>
      </w:r>
      <w:r w:rsidRPr="00282AC9">
        <w:rPr>
          <w:rFonts w:hint="cs"/>
          <w:sz w:val="27"/>
          <w:rtl/>
          <w:lang w:bidi="fa-IR"/>
        </w:rPr>
        <w:t>؛ ع</w:t>
      </w:r>
      <w:r w:rsidR="00680847" w:rsidRPr="00282AC9">
        <w:rPr>
          <w:rFonts w:hint="cs"/>
          <w:sz w:val="27"/>
          <w:rtl/>
          <w:lang w:bidi="fa-IR"/>
        </w:rPr>
        <w:t>ِ</w:t>
      </w:r>
      <w:r w:rsidRPr="00282AC9">
        <w:rPr>
          <w:rFonts w:hint="cs"/>
          <w:sz w:val="27"/>
          <w:rtl/>
          <w:lang w:bidi="fa-IR"/>
        </w:rPr>
        <w:t>ل</w:t>
      </w:r>
      <w:r w:rsidR="00680847" w:rsidRPr="00282AC9">
        <w:rPr>
          <w:rFonts w:hint="cs"/>
          <w:sz w:val="27"/>
          <w:rtl/>
          <w:lang w:bidi="fa-IR"/>
        </w:rPr>
        <w:t>ْ</w:t>
      </w:r>
      <w:r w:rsidRPr="00282AC9">
        <w:rPr>
          <w:rFonts w:hint="cs"/>
          <w:sz w:val="27"/>
          <w:rtl/>
          <w:lang w:bidi="fa-IR"/>
        </w:rPr>
        <w:t>ماً بأنّه قد فرّ</w:t>
      </w:r>
      <w:r w:rsidR="00680847" w:rsidRPr="00282AC9">
        <w:rPr>
          <w:rFonts w:hint="cs"/>
          <w:sz w:val="27"/>
          <w:rtl/>
          <w:lang w:bidi="fa-IR"/>
        </w:rPr>
        <w:t>َ</w:t>
      </w:r>
      <w:r w:rsidRPr="00282AC9">
        <w:rPr>
          <w:rFonts w:hint="cs"/>
          <w:sz w:val="27"/>
          <w:rtl/>
          <w:lang w:bidi="fa-IR"/>
        </w:rPr>
        <w:t>ق بينهما في أوّل بحثه</w:t>
      </w:r>
      <w:r w:rsidR="00680847" w:rsidRPr="00282AC9">
        <w:rPr>
          <w:rFonts w:hint="cs"/>
          <w:sz w:val="27"/>
          <w:rtl/>
          <w:lang w:bidi="fa-IR"/>
        </w:rPr>
        <w:t>،</w:t>
      </w:r>
      <w:r w:rsidRPr="00282AC9">
        <w:rPr>
          <w:rFonts w:hint="cs"/>
          <w:sz w:val="27"/>
          <w:rtl/>
          <w:lang w:bidi="fa-IR"/>
        </w:rPr>
        <w:t xml:space="preserve"> الذي عنونه </w:t>
      </w:r>
      <w:r w:rsidR="00680847" w:rsidRPr="00282AC9">
        <w:rPr>
          <w:rFonts w:hint="cs"/>
          <w:sz w:val="27"/>
          <w:rtl/>
          <w:lang w:bidi="fa-IR"/>
        </w:rPr>
        <w:t>بـ</w:t>
      </w:r>
      <w:r w:rsidRPr="00282AC9">
        <w:rPr>
          <w:rFonts w:hint="cs"/>
          <w:sz w:val="27"/>
          <w:rtl/>
          <w:lang w:bidi="fa-IR"/>
        </w:rPr>
        <w:t xml:space="preserve"> (ما ه</w:t>
      </w:r>
      <w:r w:rsidR="00680847" w:rsidRPr="00282AC9">
        <w:rPr>
          <w:rFonts w:hint="cs"/>
          <w:sz w:val="27"/>
          <w:rtl/>
          <w:lang w:bidi="fa-IR"/>
        </w:rPr>
        <w:t>ي</w:t>
      </w:r>
      <w:r w:rsidRPr="00282AC9">
        <w:rPr>
          <w:rFonts w:hint="cs"/>
          <w:sz w:val="27"/>
          <w:rtl/>
          <w:lang w:bidi="fa-IR"/>
        </w:rPr>
        <w:t xml:space="preserve"> حقيقة المال؟ وما هو الفارق بينه وبين الم</w:t>
      </w:r>
      <w:r w:rsidR="00680847" w:rsidRPr="00282AC9">
        <w:rPr>
          <w:rFonts w:hint="cs"/>
          <w:sz w:val="27"/>
          <w:rtl/>
          <w:lang w:bidi="fa-IR"/>
        </w:rPr>
        <w:t>ِ</w:t>
      </w:r>
      <w:r w:rsidRPr="00282AC9">
        <w:rPr>
          <w:rFonts w:hint="cs"/>
          <w:sz w:val="27"/>
          <w:rtl/>
          <w:lang w:bidi="fa-IR"/>
        </w:rPr>
        <w:t>ل</w:t>
      </w:r>
      <w:r w:rsidR="00680847" w:rsidRPr="00282AC9">
        <w:rPr>
          <w:rFonts w:hint="cs"/>
          <w:sz w:val="27"/>
          <w:rtl/>
          <w:lang w:bidi="fa-IR"/>
        </w:rPr>
        <w:t>ْ</w:t>
      </w:r>
      <w:r w:rsidRPr="00282AC9">
        <w:rPr>
          <w:rFonts w:hint="cs"/>
          <w:sz w:val="27"/>
          <w:rtl/>
          <w:lang w:bidi="fa-IR"/>
        </w:rPr>
        <w:t>ك</w:t>
      </w:r>
      <w:r w:rsidR="00680847" w:rsidRPr="00282AC9">
        <w:rPr>
          <w:rFonts w:hint="cs"/>
          <w:sz w:val="27"/>
          <w:rtl/>
          <w:lang w:bidi="fa-IR"/>
        </w:rPr>
        <w:t>؟</w:t>
      </w:r>
      <w:r w:rsidRPr="00282AC9">
        <w:rPr>
          <w:rFonts w:hint="cs"/>
          <w:sz w:val="27"/>
          <w:rtl/>
          <w:lang w:bidi="fa-IR"/>
        </w:rPr>
        <w:t>)، وأوضح ثمّة أنّ النسبة بين المال والم</w:t>
      </w:r>
      <w:r w:rsidR="00680847" w:rsidRPr="00282AC9">
        <w:rPr>
          <w:rFonts w:hint="cs"/>
          <w:sz w:val="27"/>
          <w:rtl/>
          <w:lang w:bidi="fa-IR"/>
        </w:rPr>
        <w:t>ِ</w:t>
      </w:r>
      <w:r w:rsidRPr="00282AC9">
        <w:rPr>
          <w:rFonts w:hint="cs"/>
          <w:sz w:val="27"/>
          <w:rtl/>
          <w:lang w:bidi="fa-IR"/>
        </w:rPr>
        <w:t>ل</w:t>
      </w:r>
      <w:r w:rsidR="00680847" w:rsidRPr="00282AC9">
        <w:rPr>
          <w:rFonts w:hint="cs"/>
          <w:sz w:val="27"/>
          <w:rtl/>
          <w:lang w:bidi="fa-IR"/>
        </w:rPr>
        <w:t>ْ</w:t>
      </w:r>
      <w:r w:rsidRPr="00282AC9">
        <w:rPr>
          <w:rFonts w:hint="cs"/>
          <w:sz w:val="27"/>
          <w:rtl/>
          <w:lang w:bidi="fa-IR"/>
        </w:rPr>
        <w:t>ك نسبة العموم والخصوص من وجه</w:t>
      </w:r>
      <w:r w:rsidR="00680847" w:rsidRPr="00282AC9">
        <w:rPr>
          <w:rFonts w:hint="cs"/>
          <w:sz w:val="27"/>
          <w:rtl/>
          <w:lang w:bidi="fa-IR"/>
        </w:rPr>
        <w:t>ٍ</w:t>
      </w:r>
      <w:r w:rsidRPr="00282AC9">
        <w:rPr>
          <w:rFonts w:hint="cs"/>
          <w:sz w:val="27"/>
          <w:rtl/>
          <w:lang w:bidi="fa-IR"/>
        </w:rPr>
        <w:t>، ولم يكن يعتقد بوجود ملازمة</w:t>
      </w:r>
      <w:r w:rsidR="00680847" w:rsidRPr="00282AC9">
        <w:rPr>
          <w:rFonts w:hint="cs"/>
          <w:sz w:val="27"/>
          <w:rtl/>
          <w:lang w:bidi="fa-IR"/>
        </w:rPr>
        <w:t>ٍ</w:t>
      </w:r>
      <w:r w:rsidRPr="00282AC9">
        <w:rPr>
          <w:rFonts w:hint="cs"/>
          <w:sz w:val="27"/>
          <w:rtl/>
          <w:lang w:bidi="fa-IR"/>
        </w:rPr>
        <w:t xml:space="preserve"> بينهما</w:t>
      </w:r>
      <w:r w:rsidRPr="00282AC9">
        <w:rPr>
          <w:sz w:val="27"/>
          <w:vertAlign w:val="superscript"/>
          <w:rtl/>
          <w:lang w:bidi="fa-IR"/>
        </w:rPr>
        <w:t>(</w:t>
      </w:r>
      <w:r w:rsidRPr="00282AC9">
        <w:rPr>
          <w:sz w:val="27"/>
          <w:vertAlign w:val="superscript"/>
          <w:rtl/>
          <w:lang w:bidi="fa-IR"/>
        </w:rPr>
        <w:endnoteReference w:id="1006"/>
      </w:r>
      <w:r w:rsidRPr="00282AC9">
        <w:rPr>
          <w:rFonts w:hint="cs"/>
          <w:sz w:val="27"/>
          <w:vertAlign w:val="superscript"/>
          <w:rtl/>
          <w:lang w:bidi="fa-IR"/>
        </w:rPr>
        <w:t>)</w:t>
      </w:r>
      <w:r w:rsidRPr="00282AC9">
        <w:rPr>
          <w:rFonts w:hint="cs"/>
          <w:sz w:val="27"/>
          <w:rtl/>
          <w:lang w:bidi="fa-IR"/>
        </w:rPr>
        <w:t>.</w:t>
      </w:r>
    </w:p>
    <w:p w:rsidR="0062395A" w:rsidRPr="00282AC9" w:rsidRDefault="00E8779F" w:rsidP="00495D24">
      <w:pPr>
        <w:rPr>
          <w:sz w:val="27"/>
          <w:rtl/>
          <w:lang w:bidi="fa-IR"/>
        </w:rPr>
      </w:pPr>
      <w:r w:rsidRPr="00282AC9">
        <w:rPr>
          <w:rFonts w:hint="cs"/>
          <w:sz w:val="27"/>
          <w:rtl/>
        </w:rPr>
        <w:t>2</w:t>
      </w:r>
      <w:r w:rsidR="0062395A" w:rsidRPr="00282AC9">
        <w:rPr>
          <w:rFonts w:hint="cs"/>
          <w:sz w:val="27"/>
          <w:rtl/>
        </w:rPr>
        <w:t>ـ اتّ</w:t>
      </w:r>
      <w:r w:rsidR="00680847" w:rsidRPr="00282AC9">
        <w:rPr>
          <w:rFonts w:hint="cs"/>
          <w:sz w:val="27"/>
          <w:rtl/>
        </w:rPr>
        <w:t>َ</w:t>
      </w:r>
      <w:r w:rsidR="0062395A" w:rsidRPr="00282AC9">
        <w:rPr>
          <w:rFonts w:hint="cs"/>
          <w:sz w:val="27"/>
          <w:rtl/>
        </w:rPr>
        <w:t>ضح من هذه المناقشة أنّ سببي</w:t>
      </w:r>
      <w:r w:rsidR="00680847" w:rsidRPr="00282AC9">
        <w:rPr>
          <w:rFonts w:hint="cs"/>
          <w:sz w:val="27"/>
          <w:rtl/>
        </w:rPr>
        <w:t>ّ</w:t>
      </w:r>
      <w:r w:rsidR="0062395A" w:rsidRPr="00282AC9">
        <w:rPr>
          <w:rFonts w:hint="cs"/>
          <w:sz w:val="27"/>
          <w:rtl/>
        </w:rPr>
        <w:t>ة الحيازة والصنع إنّما هما على سبيل مانعة الجمع</w:t>
      </w:r>
      <w:r w:rsidR="00CA016F" w:rsidRPr="00282AC9">
        <w:rPr>
          <w:rFonts w:hint="cs"/>
          <w:sz w:val="27"/>
          <w:rtl/>
        </w:rPr>
        <w:t>.</w:t>
      </w:r>
      <w:r w:rsidR="0062395A" w:rsidRPr="00282AC9">
        <w:rPr>
          <w:rFonts w:hint="cs"/>
          <w:sz w:val="27"/>
          <w:rtl/>
        </w:rPr>
        <w:t xml:space="preserve"> وسيأتي أنّ الاتّجاه الرابع يرى أنّ الحيازة تكون مملّ</w:t>
      </w:r>
      <w:r w:rsidR="00CA016F" w:rsidRPr="00282AC9">
        <w:rPr>
          <w:rFonts w:hint="cs"/>
          <w:sz w:val="27"/>
          <w:rtl/>
        </w:rPr>
        <w:t>ِ</w:t>
      </w:r>
      <w:r w:rsidR="0062395A" w:rsidRPr="00282AC9">
        <w:rPr>
          <w:rFonts w:hint="cs"/>
          <w:sz w:val="27"/>
          <w:rtl/>
        </w:rPr>
        <w:t>كة</w:t>
      </w:r>
      <w:r w:rsidR="00CA016F" w:rsidRPr="00282AC9">
        <w:rPr>
          <w:rFonts w:hint="cs"/>
          <w:sz w:val="27"/>
          <w:rtl/>
        </w:rPr>
        <w:t>ً</w:t>
      </w:r>
      <w:r w:rsidR="0062395A" w:rsidRPr="00282AC9">
        <w:rPr>
          <w:rFonts w:hint="cs"/>
          <w:sz w:val="27"/>
          <w:rtl/>
        </w:rPr>
        <w:t xml:space="preserve"> في خصوص المنقولات</w:t>
      </w:r>
      <w:r w:rsidR="00CA016F" w:rsidRPr="00282AC9">
        <w:rPr>
          <w:rFonts w:hint="cs"/>
          <w:sz w:val="27"/>
          <w:rtl/>
        </w:rPr>
        <w:t>؛</w:t>
      </w:r>
      <w:r w:rsidR="0062395A" w:rsidRPr="00282AC9">
        <w:rPr>
          <w:rFonts w:hint="cs"/>
          <w:sz w:val="27"/>
          <w:rtl/>
        </w:rPr>
        <w:t xml:space="preserve"> وأمّا الصنع فهو مملّ</w:t>
      </w:r>
      <w:r w:rsidR="00CA016F" w:rsidRPr="00282AC9">
        <w:rPr>
          <w:rFonts w:hint="cs"/>
          <w:sz w:val="27"/>
          <w:rtl/>
        </w:rPr>
        <w:t>ِ</w:t>
      </w:r>
      <w:r w:rsidR="0062395A" w:rsidRPr="00282AC9">
        <w:rPr>
          <w:rFonts w:hint="cs"/>
          <w:sz w:val="27"/>
          <w:rtl/>
        </w:rPr>
        <w:t>ك</w:t>
      </w:r>
      <w:r w:rsidR="00CA016F" w:rsidRPr="00282AC9">
        <w:rPr>
          <w:rFonts w:hint="cs"/>
          <w:sz w:val="27"/>
          <w:rtl/>
        </w:rPr>
        <w:t>ٌ</w:t>
      </w:r>
      <w:r w:rsidR="0062395A" w:rsidRPr="00282AC9">
        <w:rPr>
          <w:rFonts w:hint="cs"/>
          <w:sz w:val="27"/>
          <w:rtl/>
        </w:rPr>
        <w:t xml:space="preserve"> في خصوص غير المنقول.</w:t>
      </w:r>
    </w:p>
    <w:p w:rsidR="0062395A" w:rsidRPr="00282AC9" w:rsidRDefault="00E8779F" w:rsidP="00495D24">
      <w:pPr>
        <w:rPr>
          <w:sz w:val="27"/>
          <w:rtl/>
          <w:lang w:bidi="fa-IR"/>
        </w:rPr>
      </w:pPr>
      <w:r w:rsidRPr="00282AC9">
        <w:rPr>
          <w:rFonts w:hint="cs"/>
          <w:sz w:val="27"/>
          <w:rtl/>
        </w:rPr>
        <w:t>3</w:t>
      </w:r>
      <w:r w:rsidR="0062395A" w:rsidRPr="00282AC9">
        <w:rPr>
          <w:rFonts w:hint="cs"/>
          <w:sz w:val="27"/>
          <w:rtl/>
        </w:rPr>
        <w:t>ـ إنّ العقلاء إنّما ير</w:t>
      </w:r>
      <w:r w:rsidR="00CA016F" w:rsidRPr="00282AC9">
        <w:rPr>
          <w:rFonts w:hint="cs"/>
          <w:sz w:val="27"/>
          <w:rtl/>
        </w:rPr>
        <w:t>َ</w:t>
      </w:r>
      <w:r w:rsidR="0062395A" w:rsidRPr="00282AC9">
        <w:rPr>
          <w:rFonts w:hint="cs"/>
          <w:sz w:val="27"/>
          <w:rtl/>
        </w:rPr>
        <w:t>و</w:t>
      </w:r>
      <w:r w:rsidR="00CA016F" w:rsidRPr="00282AC9">
        <w:rPr>
          <w:rFonts w:hint="cs"/>
          <w:sz w:val="27"/>
          <w:rtl/>
        </w:rPr>
        <w:t>ْ</w:t>
      </w:r>
      <w:r w:rsidR="0062395A" w:rsidRPr="00282AC9">
        <w:rPr>
          <w:rFonts w:hint="cs"/>
          <w:sz w:val="27"/>
          <w:rtl/>
        </w:rPr>
        <w:t>ن في مثال السرير اندكاك م</w:t>
      </w:r>
      <w:r w:rsidR="00CA016F" w:rsidRPr="00282AC9">
        <w:rPr>
          <w:rFonts w:hint="cs"/>
          <w:sz w:val="27"/>
          <w:rtl/>
        </w:rPr>
        <w:t>ِ</w:t>
      </w:r>
      <w:r w:rsidR="0062395A" w:rsidRPr="00282AC9">
        <w:rPr>
          <w:rFonts w:hint="cs"/>
          <w:sz w:val="27"/>
          <w:rtl/>
        </w:rPr>
        <w:t>ل</w:t>
      </w:r>
      <w:r w:rsidR="00CA016F" w:rsidRPr="00282AC9">
        <w:rPr>
          <w:rFonts w:hint="cs"/>
          <w:sz w:val="27"/>
          <w:rtl/>
        </w:rPr>
        <w:t>ْ</w:t>
      </w:r>
      <w:r w:rsidR="0062395A" w:rsidRPr="00282AC9">
        <w:rPr>
          <w:rFonts w:hint="cs"/>
          <w:sz w:val="27"/>
          <w:rtl/>
        </w:rPr>
        <w:t>كي</w:t>
      </w:r>
      <w:r w:rsidR="00CA016F" w:rsidRPr="00282AC9">
        <w:rPr>
          <w:rFonts w:hint="cs"/>
          <w:sz w:val="27"/>
          <w:rtl/>
        </w:rPr>
        <w:t>ّ</w:t>
      </w:r>
      <w:r w:rsidR="0062395A" w:rsidRPr="00282AC9">
        <w:rPr>
          <w:rFonts w:hint="cs"/>
          <w:sz w:val="27"/>
          <w:rtl/>
        </w:rPr>
        <w:t>ة السريري</w:t>
      </w:r>
      <w:r w:rsidR="00CA016F" w:rsidRPr="00282AC9">
        <w:rPr>
          <w:rFonts w:hint="cs"/>
          <w:sz w:val="27"/>
          <w:rtl/>
        </w:rPr>
        <w:t>ّ</w:t>
      </w:r>
      <w:r w:rsidR="0062395A" w:rsidRPr="00282AC9">
        <w:rPr>
          <w:rFonts w:hint="cs"/>
          <w:sz w:val="27"/>
          <w:rtl/>
        </w:rPr>
        <w:t>ة مع م</w:t>
      </w:r>
      <w:r w:rsidR="00CA016F" w:rsidRPr="00282AC9">
        <w:rPr>
          <w:rFonts w:hint="cs"/>
          <w:sz w:val="27"/>
          <w:rtl/>
        </w:rPr>
        <w:t>ِ</w:t>
      </w:r>
      <w:r w:rsidR="0062395A" w:rsidRPr="00282AC9">
        <w:rPr>
          <w:rFonts w:hint="cs"/>
          <w:sz w:val="27"/>
          <w:rtl/>
        </w:rPr>
        <w:t>ل</w:t>
      </w:r>
      <w:r w:rsidR="00CA016F" w:rsidRPr="00282AC9">
        <w:rPr>
          <w:rFonts w:hint="cs"/>
          <w:sz w:val="27"/>
          <w:rtl/>
        </w:rPr>
        <w:t>ْ</w:t>
      </w:r>
      <w:r w:rsidR="0062395A" w:rsidRPr="00282AC9">
        <w:rPr>
          <w:rFonts w:hint="cs"/>
          <w:sz w:val="27"/>
          <w:rtl/>
        </w:rPr>
        <w:t>كي</w:t>
      </w:r>
      <w:r w:rsidR="00CA016F" w:rsidRPr="00282AC9">
        <w:rPr>
          <w:rFonts w:hint="cs"/>
          <w:sz w:val="27"/>
          <w:rtl/>
        </w:rPr>
        <w:t>ّ</w:t>
      </w:r>
      <w:r w:rsidR="0062395A" w:rsidRPr="00282AC9">
        <w:rPr>
          <w:rFonts w:hint="cs"/>
          <w:sz w:val="27"/>
          <w:rtl/>
        </w:rPr>
        <w:t>ة الخشب</w:t>
      </w:r>
      <w:r w:rsidR="00CA016F" w:rsidRPr="00282AC9">
        <w:rPr>
          <w:rFonts w:hint="cs"/>
          <w:sz w:val="27"/>
          <w:rtl/>
        </w:rPr>
        <w:t>؛</w:t>
      </w:r>
      <w:r w:rsidR="0062395A" w:rsidRPr="00282AC9">
        <w:rPr>
          <w:rFonts w:hint="cs"/>
          <w:sz w:val="27"/>
          <w:rtl/>
        </w:rPr>
        <w:t xml:space="preserve"> بسبب انعدام الحاجة</w:t>
      </w:r>
      <w:r w:rsidR="00BC0925" w:rsidRPr="00282AC9">
        <w:rPr>
          <w:rFonts w:hint="cs"/>
          <w:sz w:val="27"/>
          <w:rtl/>
        </w:rPr>
        <w:t xml:space="preserve"> إلى </w:t>
      </w:r>
      <w:r w:rsidR="0062395A" w:rsidRPr="00282AC9">
        <w:rPr>
          <w:rFonts w:hint="cs"/>
          <w:sz w:val="27"/>
          <w:rtl/>
        </w:rPr>
        <w:t>التفكيك، وصعوبة التفكيك في مقام التعامل؛ فإنّ الفصل بين الهيئة والمادّة فصل</w:t>
      </w:r>
      <w:r w:rsidR="00CA016F" w:rsidRPr="00282AC9">
        <w:rPr>
          <w:rFonts w:hint="cs"/>
          <w:sz w:val="27"/>
          <w:rtl/>
        </w:rPr>
        <w:t>ٌ</w:t>
      </w:r>
      <w:r w:rsidR="0062395A" w:rsidRPr="00282AC9">
        <w:rPr>
          <w:rFonts w:hint="cs"/>
          <w:sz w:val="27"/>
          <w:rtl/>
        </w:rPr>
        <w:t xml:space="preserve"> عقلي</w:t>
      </w:r>
      <w:r w:rsidR="00CA016F" w:rsidRPr="00282AC9">
        <w:rPr>
          <w:rFonts w:hint="cs"/>
          <w:sz w:val="27"/>
          <w:rtl/>
        </w:rPr>
        <w:t>ّ</w:t>
      </w:r>
      <w:r w:rsidR="0062395A" w:rsidRPr="00282AC9">
        <w:rPr>
          <w:rFonts w:hint="cs"/>
          <w:sz w:val="27"/>
          <w:rtl/>
        </w:rPr>
        <w:t xml:space="preserve"> دق</w:t>
      </w:r>
      <w:r w:rsidR="00CA016F" w:rsidRPr="00282AC9">
        <w:rPr>
          <w:rFonts w:hint="cs"/>
          <w:sz w:val="27"/>
          <w:rtl/>
        </w:rPr>
        <w:t>ّ</w:t>
      </w:r>
      <w:r w:rsidR="0062395A" w:rsidRPr="00282AC9">
        <w:rPr>
          <w:rFonts w:hint="cs"/>
          <w:sz w:val="27"/>
          <w:rtl/>
        </w:rPr>
        <w:t>ي</w:t>
      </w:r>
      <w:r w:rsidR="00CA016F" w:rsidRPr="00282AC9">
        <w:rPr>
          <w:rFonts w:hint="cs"/>
          <w:sz w:val="27"/>
          <w:rtl/>
        </w:rPr>
        <w:t>،</w:t>
      </w:r>
      <w:r w:rsidR="0062395A" w:rsidRPr="00282AC9">
        <w:rPr>
          <w:rFonts w:hint="cs"/>
          <w:sz w:val="27"/>
          <w:rtl/>
        </w:rPr>
        <w:t xml:space="preserve"> وتحليل</w:t>
      </w:r>
      <w:r w:rsidR="00CA016F" w:rsidRPr="00282AC9">
        <w:rPr>
          <w:rFonts w:hint="cs"/>
          <w:sz w:val="27"/>
          <w:rtl/>
        </w:rPr>
        <w:t>ٌ</w:t>
      </w:r>
      <w:r w:rsidR="0062395A" w:rsidRPr="00282AC9">
        <w:rPr>
          <w:rFonts w:hint="cs"/>
          <w:sz w:val="27"/>
          <w:rtl/>
        </w:rPr>
        <w:t xml:space="preserve"> فلسفي</w:t>
      </w:r>
      <w:r w:rsidR="00CA016F" w:rsidRPr="00282AC9">
        <w:rPr>
          <w:rFonts w:hint="cs"/>
          <w:sz w:val="27"/>
          <w:rtl/>
        </w:rPr>
        <w:t>ّ</w:t>
      </w:r>
      <w:r w:rsidR="0062395A" w:rsidRPr="00282AC9">
        <w:rPr>
          <w:rFonts w:hint="cs"/>
          <w:sz w:val="27"/>
          <w:rtl/>
        </w:rPr>
        <w:t>، وليس تحليلاً عُر</w:t>
      </w:r>
      <w:r w:rsidR="00CA016F" w:rsidRPr="00282AC9">
        <w:rPr>
          <w:rFonts w:hint="cs"/>
          <w:sz w:val="27"/>
          <w:rtl/>
        </w:rPr>
        <w:t>ْ</w:t>
      </w:r>
      <w:r w:rsidR="0062395A" w:rsidRPr="00282AC9">
        <w:rPr>
          <w:rFonts w:hint="cs"/>
          <w:sz w:val="27"/>
          <w:rtl/>
        </w:rPr>
        <w:t>فياً.</w:t>
      </w:r>
    </w:p>
    <w:p w:rsidR="0062395A" w:rsidRPr="00282AC9" w:rsidRDefault="00E8779F" w:rsidP="00495D24">
      <w:pPr>
        <w:rPr>
          <w:sz w:val="27"/>
          <w:rtl/>
          <w:lang w:bidi="fa-IR"/>
        </w:rPr>
      </w:pPr>
      <w:r w:rsidRPr="00282AC9">
        <w:rPr>
          <w:rFonts w:hint="cs"/>
          <w:sz w:val="27"/>
          <w:rtl/>
        </w:rPr>
        <w:t>4</w:t>
      </w:r>
      <w:r w:rsidR="0062395A" w:rsidRPr="00282AC9">
        <w:rPr>
          <w:rFonts w:hint="cs"/>
          <w:sz w:val="27"/>
          <w:rtl/>
        </w:rPr>
        <w:t xml:space="preserve">ـ إنّ جعل </w:t>
      </w:r>
      <w:r w:rsidR="00EB1216" w:rsidRPr="00282AC9">
        <w:rPr>
          <w:rFonts w:hint="cs"/>
          <w:sz w:val="27"/>
          <w:rtl/>
        </w:rPr>
        <w:t>المِلْكيّة</w:t>
      </w:r>
      <w:r w:rsidR="0062395A" w:rsidRPr="00282AC9">
        <w:rPr>
          <w:rFonts w:hint="cs"/>
          <w:sz w:val="27"/>
          <w:rtl/>
        </w:rPr>
        <w:t xml:space="preserve"> في الوصي</w:t>
      </w:r>
      <w:r w:rsidR="00F86F52" w:rsidRPr="00282AC9">
        <w:rPr>
          <w:rFonts w:hint="cs"/>
          <w:sz w:val="27"/>
          <w:rtl/>
        </w:rPr>
        <w:t>ّ</w:t>
      </w:r>
      <w:r w:rsidR="0062395A" w:rsidRPr="00282AC9">
        <w:rPr>
          <w:rFonts w:hint="cs"/>
          <w:sz w:val="27"/>
          <w:rtl/>
        </w:rPr>
        <w:t>ة من الق</w:t>
      </w:r>
      <w:r w:rsidR="00F86F52" w:rsidRPr="00282AC9">
        <w:rPr>
          <w:rFonts w:hint="cs"/>
          <w:sz w:val="27"/>
          <w:rtl/>
        </w:rPr>
        <w:t>َ</w:t>
      </w:r>
      <w:r w:rsidR="0062395A" w:rsidRPr="00282AC9">
        <w:rPr>
          <w:rFonts w:hint="cs"/>
          <w:sz w:val="27"/>
          <w:rtl/>
        </w:rPr>
        <w:t>ه</w:t>
      </w:r>
      <w:r w:rsidR="00F86F52" w:rsidRPr="00282AC9">
        <w:rPr>
          <w:rFonts w:hint="cs"/>
          <w:sz w:val="27"/>
          <w:rtl/>
        </w:rPr>
        <w:t>ْ</w:t>
      </w:r>
      <w:r w:rsidR="0062395A" w:rsidRPr="00282AC9">
        <w:rPr>
          <w:rFonts w:hint="cs"/>
          <w:sz w:val="27"/>
          <w:rtl/>
        </w:rPr>
        <w:t>رية</w:t>
      </w:r>
      <w:r w:rsidR="00F86F52" w:rsidRPr="00282AC9">
        <w:rPr>
          <w:rFonts w:hint="cs"/>
          <w:sz w:val="27"/>
          <w:rtl/>
        </w:rPr>
        <w:t>،</w:t>
      </w:r>
      <w:r w:rsidR="0062395A" w:rsidRPr="00282AC9">
        <w:rPr>
          <w:rFonts w:hint="cs"/>
          <w:sz w:val="27"/>
          <w:rtl/>
        </w:rPr>
        <w:t xml:space="preserve"> بناءً على كونها إيقاعاً</w:t>
      </w:r>
      <w:r w:rsidR="00F86F52" w:rsidRPr="00282AC9">
        <w:rPr>
          <w:rFonts w:hint="cs"/>
          <w:sz w:val="27"/>
          <w:rtl/>
        </w:rPr>
        <w:t>،</w:t>
      </w:r>
      <w:r w:rsidR="0062395A" w:rsidRPr="00282AC9">
        <w:rPr>
          <w:rFonts w:hint="cs"/>
          <w:sz w:val="27"/>
          <w:rtl/>
        </w:rPr>
        <w:t xml:space="preserve"> غير</w:t>
      </w:r>
      <w:r w:rsidR="00F86F52" w:rsidRPr="00282AC9">
        <w:rPr>
          <w:rFonts w:hint="cs"/>
          <w:sz w:val="27"/>
          <w:rtl/>
        </w:rPr>
        <w:t>ُ</w:t>
      </w:r>
      <w:r w:rsidR="0062395A" w:rsidRPr="00282AC9">
        <w:rPr>
          <w:rFonts w:hint="cs"/>
          <w:sz w:val="27"/>
          <w:rtl/>
        </w:rPr>
        <w:t xml:space="preserve"> دقيق</w:t>
      </w:r>
      <w:r w:rsidR="00F86F52" w:rsidRPr="00282AC9">
        <w:rPr>
          <w:rFonts w:hint="cs"/>
          <w:sz w:val="27"/>
          <w:rtl/>
        </w:rPr>
        <w:t>ٍ</w:t>
      </w:r>
      <w:r w:rsidR="0062395A" w:rsidRPr="00282AC9">
        <w:rPr>
          <w:rFonts w:hint="cs"/>
          <w:sz w:val="27"/>
          <w:rtl/>
        </w:rPr>
        <w:t>؛ وذلك لأنّ الوصي</w:t>
      </w:r>
      <w:r w:rsidR="00F86F52" w:rsidRPr="00282AC9">
        <w:rPr>
          <w:rFonts w:hint="cs"/>
          <w:sz w:val="27"/>
          <w:rtl/>
        </w:rPr>
        <w:t>ّ</w:t>
      </w:r>
      <w:r w:rsidR="0062395A" w:rsidRPr="00282AC9">
        <w:rPr>
          <w:rFonts w:hint="cs"/>
          <w:sz w:val="27"/>
          <w:rtl/>
        </w:rPr>
        <w:t>ة وإن</w:t>
      </w:r>
      <w:r w:rsidR="00F86F52" w:rsidRPr="00282AC9">
        <w:rPr>
          <w:rFonts w:hint="cs"/>
          <w:sz w:val="27"/>
          <w:rtl/>
        </w:rPr>
        <w:t>ْ</w:t>
      </w:r>
      <w:r w:rsidR="0062395A" w:rsidRPr="00282AC9">
        <w:rPr>
          <w:rFonts w:hint="cs"/>
          <w:sz w:val="27"/>
          <w:rtl/>
        </w:rPr>
        <w:t xml:space="preserve"> كانت لا تحتاج</w:t>
      </w:r>
      <w:r w:rsidR="00BC0925" w:rsidRPr="00282AC9">
        <w:rPr>
          <w:rFonts w:hint="cs"/>
          <w:sz w:val="27"/>
          <w:rtl/>
        </w:rPr>
        <w:t xml:space="preserve"> إلى </w:t>
      </w:r>
      <w:r w:rsidR="0062395A" w:rsidRPr="00282AC9">
        <w:rPr>
          <w:rFonts w:hint="cs"/>
          <w:sz w:val="27"/>
          <w:rtl/>
        </w:rPr>
        <w:t>قبول</w:t>
      </w:r>
      <w:r w:rsidR="00F86F52" w:rsidRPr="00282AC9">
        <w:rPr>
          <w:rFonts w:hint="cs"/>
          <w:sz w:val="27"/>
          <w:rtl/>
        </w:rPr>
        <w:t>ٍ</w:t>
      </w:r>
      <w:r w:rsidR="0062395A" w:rsidRPr="00282AC9">
        <w:rPr>
          <w:rFonts w:hint="cs"/>
          <w:sz w:val="27"/>
          <w:rtl/>
        </w:rPr>
        <w:t xml:space="preserve"> غير أنّ للموصى له الردّ، ومع ثبوت حقّ الردّ لا تصدق الق</w:t>
      </w:r>
      <w:r w:rsidR="00C35FEB" w:rsidRPr="00282AC9">
        <w:rPr>
          <w:rFonts w:hint="cs"/>
          <w:sz w:val="27"/>
          <w:rtl/>
        </w:rPr>
        <w:t>َ</w:t>
      </w:r>
      <w:r w:rsidR="0062395A" w:rsidRPr="00282AC9">
        <w:rPr>
          <w:rFonts w:hint="cs"/>
          <w:sz w:val="27"/>
          <w:rtl/>
        </w:rPr>
        <w:t>ه</w:t>
      </w:r>
      <w:r w:rsidR="00C35FEB" w:rsidRPr="00282AC9">
        <w:rPr>
          <w:rFonts w:hint="cs"/>
          <w:sz w:val="27"/>
          <w:rtl/>
        </w:rPr>
        <w:t>ْ</w:t>
      </w:r>
      <w:r w:rsidR="0062395A" w:rsidRPr="00282AC9">
        <w:rPr>
          <w:rFonts w:hint="cs"/>
          <w:sz w:val="27"/>
          <w:rtl/>
        </w:rPr>
        <w:t>رية.</w:t>
      </w:r>
    </w:p>
    <w:p w:rsidR="0062395A" w:rsidRPr="00282AC9" w:rsidRDefault="00E8779F" w:rsidP="00495D24">
      <w:pPr>
        <w:rPr>
          <w:sz w:val="27"/>
          <w:rtl/>
          <w:lang w:bidi="fa-IR"/>
        </w:rPr>
      </w:pPr>
      <w:r w:rsidRPr="00282AC9">
        <w:rPr>
          <w:rFonts w:hint="cs"/>
          <w:sz w:val="27"/>
          <w:rtl/>
        </w:rPr>
        <w:t>5</w:t>
      </w:r>
      <w:r w:rsidR="0062395A" w:rsidRPr="00282AC9">
        <w:rPr>
          <w:rFonts w:hint="cs"/>
          <w:sz w:val="27"/>
          <w:rtl/>
        </w:rPr>
        <w:t>ـ كما أنّ ذكر الو</w:t>
      </w:r>
      <w:r w:rsidR="00C35FEB" w:rsidRPr="00282AC9">
        <w:rPr>
          <w:rFonts w:hint="cs"/>
          <w:sz w:val="27"/>
          <w:rtl/>
        </w:rPr>
        <w:t>َ</w:t>
      </w:r>
      <w:r w:rsidR="0062395A" w:rsidRPr="00282AC9">
        <w:rPr>
          <w:rFonts w:hint="cs"/>
          <w:sz w:val="27"/>
          <w:rtl/>
        </w:rPr>
        <w:t>ق</w:t>
      </w:r>
      <w:r w:rsidR="00C35FEB" w:rsidRPr="00282AC9">
        <w:rPr>
          <w:rFonts w:hint="cs"/>
          <w:sz w:val="27"/>
          <w:rtl/>
        </w:rPr>
        <w:t>ْ</w:t>
      </w:r>
      <w:r w:rsidR="0062395A" w:rsidRPr="00282AC9">
        <w:rPr>
          <w:rFonts w:hint="cs"/>
          <w:sz w:val="27"/>
          <w:rtl/>
        </w:rPr>
        <w:t xml:space="preserve">ف كأحد مصاديق </w:t>
      </w:r>
      <w:r w:rsidR="00EB1216" w:rsidRPr="00282AC9">
        <w:rPr>
          <w:rFonts w:hint="cs"/>
          <w:sz w:val="27"/>
          <w:rtl/>
        </w:rPr>
        <w:t>المِلْكيّة</w:t>
      </w:r>
      <w:r w:rsidR="0062395A" w:rsidRPr="00282AC9">
        <w:rPr>
          <w:rFonts w:hint="cs"/>
          <w:sz w:val="27"/>
          <w:rtl/>
        </w:rPr>
        <w:t xml:space="preserve"> الق</w:t>
      </w:r>
      <w:r w:rsidR="00C35FEB" w:rsidRPr="00282AC9">
        <w:rPr>
          <w:rFonts w:hint="cs"/>
          <w:sz w:val="27"/>
          <w:rtl/>
        </w:rPr>
        <w:t>َ</w:t>
      </w:r>
      <w:r w:rsidR="0062395A" w:rsidRPr="00282AC9">
        <w:rPr>
          <w:rFonts w:hint="cs"/>
          <w:sz w:val="27"/>
          <w:rtl/>
        </w:rPr>
        <w:t>ه</w:t>
      </w:r>
      <w:r w:rsidR="00C35FEB" w:rsidRPr="00282AC9">
        <w:rPr>
          <w:rFonts w:hint="cs"/>
          <w:sz w:val="27"/>
          <w:rtl/>
        </w:rPr>
        <w:t>ْ</w:t>
      </w:r>
      <w:r w:rsidR="0062395A" w:rsidRPr="00282AC9">
        <w:rPr>
          <w:rFonts w:hint="cs"/>
          <w:sz w:val="27"/>
          <w:rtl/>
        </w:rPr>
        <w:t>رية ليس دقيقاً؛ وذلك لأنّه لا م</w:t>
      </w:r>
      <w:r w:rsidR="00C35FEB" w:rsidRPr="00282AC9">
        <w:rPr>
          <w:rFonts w:hint="cs"/>
          <w:sz w:val="27"/>
          <w:rtl/>
        </w:rPr>
        <w:t>ِ</w:t>
      </w:r>
      <w:r w:rsidR="0062395A" w:rsidRPr="00282AC9">
        <w:rPr>
          <w:rFonts w:hint="cs"/>
          <w:sz w:val="27"/>
          <w:rtl/>
        </w:rPr>
        <w:t>ل</w:t>
      </w:r>
      <w:r w:rsidR="00C35FEB" w:rsidRPr="00282AC9">
        <w:rPr>
          <w:rFonts w:hint="cs"/>
          <w:sz w:val="27"/>
          <w:rtl/>
        </w:rPr>
        <w:t>ْ</w:t>
      </w:r>
      <w:r w:rsidR="0062395A" w:rsidRPr="00282AC9">
        <w:rPr>
          <w:rFonts w:hint="cs"/>
          <w:sz w:val="27"/>
          <w:rtl/>
        </w:rPr>
        <w:t>كي</w:t>
      </w:r>
      <w:r w:rsidR="00C35FEB" w:rsidRPr="00282AC9">
        <w:rPr>
          <w:rFonts w:hint="cs"/>
          <w:sz w:val="27"/>
          <w:rtl/>
        </w:rPr>
        <w:t>ّ</w:t>
      </w:r>
      <w:r w:rsidR="0062395A" w:rsidRPr="00282AC9">
        <w:rPr>
          <w:rFonts w:hint="cs"/>
          <w:sz w:val="27"/>
          <w:rtl/>
        </w:rPr>
        <w:t>ة في الو</w:t>
      </w:r>
      <w:r w:rsidR="00C35FEB" w:rsidRPr="00282AC9">
        <w:rPr>
          <w:rFonts w:hint="cs"/>
          <w:sz w:val="27"/>
          <w:rtl/>
        </w:rPr>
        <w:t>َ</w:t>
      </w:r>
      <w:r w:rsidR="0062395A" w:rsidRPr="00282AC9">
        <w:rPr>
          <w:rFonts w:hint="cs"/>
          <w:sz w:val="27"/>
          <w:rtl/>
        </w:rPr>
        <w:t>ق</w:t>
      </w:r>
      <w:r w:rsidR="00C35FEB" w:rsidRPr="00282AC9">
        <w:rPr>
          <w:rFonts w:hint="cs"/>
          <w:sz w:val="27"/>
          <w:rtl/>
        </w:rPr>
        <w:t>ْ</w:t>
      </w:r>
      <w:r w:rsidR="0062395A" w:rsidRPr="00282AC9">
        <w:rPr>
          <w:rFonts w:hint="cs"/>
          <w:sz w:val="27"/>
          <w:rtl/>
        </w:rPr>
        <w:t>ف</w:t>
      </w:r>
      <w:r w:rsidR="00C35FEB" w:rsidRPr="00282AC9">
        <w:rPr>
          <w:rFonts w:hint="cs"/>
          <w:sz w:val="27"/>
          <w:rtl/>
        </w:rPr>
        <w:t>،</w:t>
      </w:r>
      <w:r w:rsidR="0062395A" w:rsidRPr="00282AC9">
        <w:rPr>
          <w:rFonts w:hint="cs"/>
          <w:sz w:val="27"/>
          <w:rtl/>
        </w:rPr>
        <w:t xml:space="preserve"> لا للعين</w:t>
      </w:r>
      <w:r w:rsidR="00C35FEB" w:rsidRPr="00282AC9">
        <w:rPr>
          <w:rFonts w:hint="cs"/>
          <w:sz w:val="27"/>
          <w:rtl/>
        </w:rPr>
        <w:t>،</w:t>
      </w:r>
      <w:r w:rsidR="0062395A" w:rsidRPr="00282AC9">
        <w:rPr>
          <w:rFonts w:hint="cs"/>
          <w:sz w:val="27"/>
          <w:rtl/>
        </w:rPr>
        <w:t xml:space="preserve"> ولا للمنفعة</w:t>
      </w:r>
      <w:r w:rsidR="00C35FEB" w:rsidRPr="00282AC9">
        <w:rPr>
          <w:rFonts w:hint="cs"/>
          <w:sz w:val="27"/>
          <w:rtl/>
        </w:rPr>
        <w:t>؛</w:t>
      </w:r>
      <w:r w:rsidR="0062395A" w:rsidRPr="00282AC9">
        <w:rPr>
          <w:rFonts w:hint="cs"/>
          <w:sz w:val="27"/>
          <w:rtl/>
        </w:rPr>
        <w:t xml:space="preserve"> فإنّ الوقف تحبيس العين </w:t>
      </w:r>
      <w:r w:rsidR="00C35FEB" w:rsidRPr="00282AC9">
        <w:rPr>
          <w:rFonts w:hint="cs"/>
          <w:sz w:val="27"/>
          <w:rtl/>
        </w:rPr>
        <w:t>و</w:t>
      </w:r>
      <w:r w:rsidR="0062395A" w:rsidRPr="00282AC9">
        <w:rPr>
          <w:rFonts w:hint="cs"/>
          <w:sz w:val="27"/>
          <w:rtl/>
        </w:rPr>
        <w:t>إطلاق المنفعة</w:t>
      </w:r>
      <w:r w:rsidR="0062395A" w:rsidRPr="00282AC9">
        <w:rPr>
          <w:sz w:val="27"/>
          <w:vertAlign w:val="superscript"/>
          <w:rtl/>
        </w:rPr>
        <w:t>(</w:t>
      </w:r>
      <w:r w:rsidR="0062395A" w:rsidRPr="00282AC9">
        <w:rPr>
          <w:sz w:val="27"/>
          <w:vertAlign w:val="superscript"/>
          <w:rtl/>
        </w:rPr>
        <w:endnoteReference w:id="1007"/>
      </w:r>
      <w:r w:rsidR="0062395A" w:rsidRPr="00282AC9">
        <w:rPr>
          <w:rFonts w:hint="cs"/>
          <w:sz w:val="27"/>
          <w:vertAlign w:val="superscript"/>
          <w:rtl/>
        </w:rPr>
        <w:t>)</w:t>
      </w:r>
      <w:r w:rsidR="0062395A" w:rsidRPr="00282AC9">
        <w:rPr>
          <w:rFonts w:hint="cs"/>
          <w:sz w:val="27"/>
          <w:rtl/>
        </w:rPr>
        <w:t>، والواقف يقوم بفكّ م</w:t>
      </w:r>
      <w:r w:rsidR="00C35FEB" w:rsidRPr="00282AC9">
        <w:rPr>
          <w:rFonts w:hint="cs"/>
          <w:sz w:val="27"/>
          <w:rtl/>
        </w:rPr>
        <w:t>ِ</w:t>
      </w:r>
      <w:r w:rsidR="0062395A" w:rsidRPr="00282AC9">
        <w:rPr>
          <w:rFonts w:hint="cs"/>
          <w:sz w:val="27"/>
          <w:rtl/>
        </w:rPr>
        <w:t>ل</w:t>
      </w:r>
      <w:r w:rsidR="00C35FEB" w:rsidRPr="00282AC9">
        <w:rPr>
          <w:rFonts w:hint="cs"/>
          <w:sz w:val="27"/>
          <w:rtl/>
        </w:rPr>
        <w:t>ْ</w:t>
      </w:r>
      <w:r w:rsidR="0062395A" w:rsidRPr="00282AC9">
        <w:rPr>
          <w:rFonts w:hint="cs"/>
          <w:sz w:val="27"/>
          <w:rtl/>
        </w:rPr>
        <w:t>كه، ويثبت للموقوف عليه حقّ الانتفاع من العين الموقوفة</w:t>
      </w:r>
      <w:r w:rsidR="00C35FEB" w:rsidRPr="00282AC9">
        <w:rPr>
          <w:rFonts w:hint="cs"/>
          <w:sz w:val="27"/>
          <w:rtl/>
        </w:rPr>
        <w:t>،</w:t>
      </w:r>
      <w:r w:rsidR="0062395A" w:rsidRPr="00282AC9">
        <w:rPr>
          <w:rFonts w:hint="cs"/>
          <w:sz w:val="27"/>
          <w:rtl/>
        </w:rPr>
        <w:t xml:space="preserve"> لا أكثر.</w:t>
      </w:r>
    </w:p>
    <w:p w:rsidR="000F0B20" w:rsidRPr="00282AC9" w:rsidRDefault="000F0B20" w:rsidP="000F0B20">
      <w:pPr>
        <w:spacing w:line="420" w:lineRule="exact"/>
        <w:rPr>
          <w:sz w:val="27"/>
          <w:rtl/>
        </w:rPr>
      </w:pPr>
    </w:p>
    <w:p w:rsidR="0062395A" w:rsidRPr="00282AC9" w:rsidRDefault="00787664" w:rsidP="00715FC8">
      <w:pPr>
        <w:pStyle w:val="31"/>
        <w:rPr>
          <w:color w:val="auto"/>
          <w:rtl/>
        </w:rPr>
      </w:pPr>
      <w:r w:rsidRPr="00282AC9">
        <w:rPr>
          <w:rFonts w:hint="cs"/>
          <w:color w:val="auto"/>
          <w:rtl/>
        </w:rPr>
        <w:t>الاتجاه الرابع</w:t>
      </w:r>
      <w:r w:rsidR="00E8779F" w:rsidRPr="00282AC9">
        <w:rPr>
          <w:rFonts w:hint="cs"/>
          <w:color w:val="auto"/>
          <w:rtl/>
        </w:rPr>
        <w:t>: المِلْكيّة الأصليّة والثانويّة</w:t>
      </w:r>
    </w:p>
    <w:p w:rsidR="0062395A" w:rsidRPr="00282AC9" w:rsidRDefault="0062395A" w:rsidP="00495D24">
      <w:pPr>
        <w:rPr>
          <w:sz w:val="27"/>
          <w:rtl/>
          <w:lang w:bidi="fa-IR"/>
        </w:rPr>
      </w:pPr>
      <w:r w:rsidRPr="00282AC9">
        <w:rPr>
          <w:rFonts w:hint="cs"/>
          <w:sz w:val="27"/>
          <w:rtl/>
          <w:lang w:bidi="fa-IR"/>
        </w:rPr>
        <w:t>وهو محكيّ</w:t>
      </w:r>
      <w:r w:rsidR="00C35FEB" w:rsidRPr="00282AC9">
        <w:rPr>
          <w:rFonts w:hint="cs"/>
          <w:sz w:val="27"/>
          <w:rtl/>
          <w:lang w:bidi="fa-IR"/>
        </w:rPr>
        <w:t>ٌ</w:t>
      </w:r>
      <w:r w:rsidRPr="00282AC9">
        <w:rPr>
          <w:rFonts w:hint="cs"/>
          <w:sz w:val="27"/>
          <w:rtl/>
          <w:lang w:bidi="fa-IR"/>
        </w:rPr>
        <w:t xml:space="preserve"> عن الشهيد الصدر</w:t>
      </w:r>
      <w:r w:rsidR="009A2A04" w:rsidRPr="00282AC9">
        <w:rPr>
          <w:rFonts w:cs="Mosawi" w:hint="cs"/>
          <w:sz w:val="22"/>
          <w:szCs w:val="22"/>
          <w:rtl/>
          <w:lang w:bidi="fa-IR"/>
        </w:rPr>
        <w:t>&amp;</w:t>
      </w:r>
      <w:r w:rsidRPr="00282AC9">
        <w:rPr>
          <w:sz w:val="27"/>
          <w:vertAlign w:val="superscript"/>
          <w:rtl/>
          <w:lang w:bidi="fa-IR"/>
        </w:rPr>
        <w:t>(</w:t>
      </w:r>
      <w:r w:rsidRPr="00282AC9">
        <w:rPr>
          <w:sz w:val="27"/>
          <w:vertAlign w:val="superscript"/>
          <w:rtl/>
          <w:lang w:bidi="fa-IR"/>
        </w:rPr>
        <w:endnoteReference w:id="1008"/>
      </w:r>
      <w:r w:rsidRPr="00282AC9">
        <w:rPr>
          <w:rFonts w:hint="cs"/>
          <w:sz w:val="27"/>
          <w:vertAlign w:val="superscript"/>
          <w:rtl/>
          <w:lang w:bidi="fa-IR"/>
        </w:rPr>
        <w:t>)</w:t>
      </w:r>
      <w:r w:rsidR="00C35FEB" w:rsidRPr="00282AC9">
        <w:rPr>
          <w:rFonts w:hint="cs"/>
          <w:sz w:val="27"/>
          <w:rtl/>
          <w:lang w:bidi="fa-IR"/>
        </w:rPr>
        <w:t>.</w:t>
      </w:r>
      <w:r w:rsidRPr="00282AC9">
        <w:rPr>
          <w:rFonts w:hint="cs"/>
          <w:sz w:val="27"/>
          <w:rtl/>
          <w:lang w:bidi="fa-IR"/>
        </w:rPr>
        <w:t xml:space="preserve"> والبيان الذي قدّ</w:t>
      </w:r>
      <w:r w:rsidR="00C35FEB" w:rsidRPr="00282AC9">
        <w:rPr>
          <w:rFonts w:hint="cs"/>
          <w:sz w:val="27"/>
          <w:rtl/>
          <w:lang w:bidi="fa-IR"/>
        </w:rPr>
        <w:t>َ</w:t>
      </w:r>
      <w:r w:rsidRPr="00282AC9">
        <w:rPr>
          <w:rFonts w:hint="cs"/>
          <w:sz w:val="27"/>
          <w:rtl/>
          <w:lang w:bidi="fa-IR"/>
        </w:rPr>
        <w:t>مه أكثر دقّة</w:t>
      </w:r>
      <w:r w:rsidR="00C35FEB" w:rsidRPr="00282AC9">
        <w:rPr>
          <w:rFonts w:hint="cs"/>
          <w:sz w:val="27"/>
          <w:rtl/>
          <w:lang w:bidi="fa-IR"/>
        </w:rPr>
        <w:t>ً</w:t>
      </w:r>
      <w:r w:rsidRPr="00282AC9">
        <w:rPr>
          <w:rFonts w:hint="cs"/>
          <w:sz w:val="27"/>
          <w:rtl/>
          <w:lang w:bidi="fa-IR"/>
        </w:rPr>
        <w:t xml:space="preserve"> وفنّية</w:t>
      </w:r>
      <w:r w:rsidR="00C35FEB" w:rsidRPr="00282AC9">
        <w:rPr>
          <w:rFonts w:hint="cs"/>
          <w:sz w:val="27"/>
          <w:rtl/>
          <w:lang w:bidi="fa-IR"/>
        </w:rPr>
        <w:t>ً</w:t>
      </w:r>
      <w:r w:rsidRPr="00282AC9">
        <w:rPr>
          <w:rFonts w:hint="cs"/>
          <w:sz w:val="27"/>
          <w:rtl/>
          <w:lang w:bidi="fa-IR"/>
        </w:rPr>
        <w:t xml:space="preserve"> من الاتّجاهين السابقين؛ حيث قسّ</w:t>
      </w:r>
      <w:r w:rsidR="00C35FEB" w:rsidRPr="00282AC9">
        <w:rPr>
          <w:rFonts w:hint="cs"/>
          <w:sz w:val="27"/>
          <w:rtl/>
          <w:lang w:bidi="fa-IR"/>
        </w:rPr>
        <w:t>َ</w:t>
      </w:r>
      <w:r w:rsidRPr="00282AC9">
        <w:rPr>
          <w:rFonts w:hint="cs"/>
          <w:sz w:val="27"/>
          <w:rtl/>
          <w:lang w:bidi="fa-IR"/>
        </w:rPr>
        <w:t xml:space="preserve">م أسباب </w:t>
      </w:r>
      <w:r w:rsidR="00EB1216" w:rsidRPr="00282AC9">
        <w:rPr>
          <w:rFonts w:hint="cs"/>
          <w:sz w:val="27"/>
          <w:rtl/>
          <w:lang w:bidi="fa-IR"/>
        </w:rPr>
        <w:t>المِلْكيّة</w:t>
      </w:r>
      <w:r w:rsidR="00BC0925" w:rsidRPr="00282AC9">
        <w:rPr>
          <w:rFonts w:hint="cs"/>
          <w:sz w:val="27"/>
          <w:rtl/>
          <w:lang w:bidi="fa-IR"/>
        </w:rPr>
        <w:t xml:space="preserve"> إلى </w:t>
      </w:r>
      <w:r w:rsidRPr="00282AC9">
        <w:rPr>
          <w:rFonts w:hint="cs"/>
          <w:sz w:val="27"/>
          <w:rtl/>
          <w:lang w:bidi="fa-IR"/>
        </w:rPr>
        <w:t>قسمين: أصلية</w:t>
      </w:r>
      <w:r w:rsidR="00C35FEB" w:rsidRPr="00282AC9">
        <w:rPr>
          <w:rFonts w:hint="cs"/>
          <w:sz w:val="27"/>
          <w:rtl/>
          <w:lang w:bidi="fa-IR"/>
        </w:rPr>
        <w:t>؛</w:t>
      </w:r>
      <w:r w:rsidRPr="00282AC9">
        <w:rPr>
          <w:rFonts w:hint="cs"/>
          <w:sz w:val="27"/>
          <w:rtl/>
          <w:lang w:bidi="fa-IR"/>
        </w:rPr>
        <w:t xml:space="preserve"> وثانوية</w:t>
      </w:r>
      <w:r w:rsidR="00C35FEB" w:rsidRPr="00282AC9">
        <w:rPr>
          <w:rFonts w:hint="cs"/>
          <w:sz w:val="27"/>
          <w:rtl/>
          <w:lang w:bidi="fa-IR"/>
        </w:rPr>
        <w:t>،</w:t>
      </w:r>
      <w:r w:rsidRPr="00282AC9">
        <w:rPr>
          <w:rFonts w:hint="cs"/>
          <w:sz w:val="27"/>
          <w:rtl/>
          <w:lang w:bidi="fa-IR"/>
        </w:rPr>
        <w:t xml:space="preserve"> وإن</w:t>
      </w:r>
      <w:r w:rsidR="00C35FEB" w:rsidRPr="00282AC9">
        <w:rPr>
          <w:rFonts w:hint="cs"/>
          <w:sz w:val="27"/>
          <w:rtl/>
          <w:lang w:bidi="fa-IR"/>
        </w:rPr>
        <w:t>ْ</w:t>
      </w:r>
      <w:r w:rsidRPr="00282AC9">
        <w:rPr>
          <w:rFonts w:hint="cs"/>
          <w:sz w:val="27"/>
          <w:rtl/>
          <w:lang w:bidi="fa-IR"/>
        </w:rPr>
        <w:t xml:space="preserve"> لم يُعبِّر بهذا التعبير</w:t>
      </w:r>
      <w:r w:rsidR="00C35FEB" w:rsidRPr="00282AC9">
        <w:rPr>
          <w:rFonts w:hint="cs"/>
          <w:sz w:val="27"/>
          <w:rtl/>
          <w:lang w:bidi="fa-IR"/>
        </w:rPr>
        <w:t>،</w:t>
      </w:r>
      <w:r w:rsidRPr="00282AC9">
        <w:rPr>
          <w:rFonts w:hint="cs"/>
          <w:sz w:val="27"/>
          <w:rtl/>
          <w:lang w:bidi="fa-IR"/>
        </w:rPr>
        <w:t xml:space="preserve"> ولم يستعمل هذه الاصطلاحات. ونُكرّ</w:t>
      </w:r>
      <w:r w:rsidR="00C35FEB" w:rsidRPr="00282AC9">
        <w:rPr>
          <w:rFonts w:hint="cs"/>
          <w:sz w:val="27"/>
          <w:rtl/>
          <w:lang w:bidi="fa-IR"/>
        </w:rPr>
        <w:t>ِ</w:t>
      </w:r>
      <w:r w:rsidRPr="00282AC9">
        <w:rPr>
          <w:rFonts w:hint="cs"/>
          <w:sz w:val="27"/>
          <w:rtl/>
          <w:lang w:bidi="fa-IR"/>
        </w:rPr>
        <w:t>ر ما ذكرناه في المسلك الثالث من أنّ هذا المسلك لم يُصرَّح بأنّه مطروح</w:t>
      </w:r>
      <w:r w:rsidR="00C35FEB" w:rsidRPr="00282AC9">
        <w:rPr>
          <w:rFonts w:hint="cs"/>
          <w:sz w:val="27"/>
          <w:rtl/>
          <w:lang w:bidi="fa-IR"/>
        </w:rPr>
        <w:t>ٌ</w:t>
      </w:r>
      <w:r w:rsidRPr="00282AC9">
        <w:rPr>
          <w:rFonts w:hint="cs"/>
          <w:sz w:val="27"/>
          <w:rtl/>
          <w:lang w:bidi="fa-IR"/>
        </w:rPr>
        <w:t xml:space="preserve"> على سبيل الح</w:t>
      </w:r>
      <w:r w:rsidR="00C35FEB" w:rsidRPr="00282AC9">
        <w:rPr>
          <w:rFonts w:hint="cs"/>
          <w:sz w:val="27"/>
          <w:rtl/>
          <w:lang w:bidi="fa-IR"/>
        </w:rPr>
        <w:t>َ</w:t>
      </w:r>
      <w:r w:rsidRPr="00282AC9">
        <w:rPr>
          <w:rFonts w:hint="cs"/>
          <w:sz w:val="27"/>
          <w:rtl/>
          <w:lang w:bidi="fa-IR"/>
        </w:rPr>
        <w:t>ص</w:t>
      </w:r>
      <w:r w:rsidR="00C35FEB" w:rsidRPr="00282AC9">
        <w:rPr>
          <w:rFonts w:hint="cs"/>
          <w:sz w:val="27"/>
          <w:rtl/>
          <w:lang w:bidi="fa-IR"/>
        </w:rPr>
        <w:t>ْ</w:t>
      </w:r>
      <w:r w:rsidRPr="00282AC9">
        <w:rPr>
          <w:rFonts w:hint="cs"/>
          <w:sz w:val="27"/>
          <w:rtl/>
          <w:lang w:bidi="fa-IR"/>
        </w:rPr>
        <w:t>ر</w:t>
      </w:r>
      <w:r w:rsidR="00C35FEB" w:rsidRPr="00282AC9">
        <w:rPr>
          <w:rFonts w:hint="cs"/>
          <w:sz w:val="27"/>
          <w:rtl/>
          <w:lang w:bidi="fa-IR"/>
        </w:rPr>
        <w:t>.</w:t>
      </w:r>
      <w:r w:rsidRPr="00282AC9">
        <w:rPr>
          <w:rFonts w:hint="cs"/>
          <w:sz w:val="27"/>
          <w:rtl/>
          <w:lang w:bidi="fa-IR"/>
        </w:rPr>
        <w:t xml:space="preserve"> لذا فما نذكره </w:t>
      </w:r>
      <w:r w:rsidRPr="00282AC9">
        <w:rPr>
          <w:rFonts w:hint="cs"/>
          <w:sz w:val="27"/>
          <w:rtl/>
          <w:lang w:bidi="fa-IR"/>
        </w:rPr>
        <w:lastRenderedPageBreak/>
        <w:t>هنا يكون من باب أحد الوجوه المتصوّ</w:t>
      </w:r>
      <w:r w:rsidR="00C35FEB" w:rsidRPr="00282AC9">
        <w:rPr>
          <w:rFonts w:hint="cs"/>
          <w:sz w:val="27"/>
          <w:rtl/>
          <w:lang w:bidi="fa-IR"/>
        </w:rPr>
        <w:t>َ</w:t>
      </w:r>
      <w:r w:rsidRPr="00282AC9">
        <w:rPr>
          <w:rFonts w:hint="cs"/>
          <w:sz w:val="27"/>
          <w:rtl/>
          <w:lang w:bidi="fa-IR"/>
        </w:rPr>
        <w:t xml:space="preserve">رة، ولا نُريد تحميله </w:t>
      </w:r>
      <w:r w:rsidR="00C35FEB" w:rsidRPr="00282AC9">
        <w:rPr>
          <w:rFonts w:hint="cs"/>
          <w:sz w:val="27"/>
          <w:rtl/>
          <w:lang w:bidi="fa-IR"/>
        </w:rPr>
        <w:t>ل</w:t>
      </w:r>
      <w:r w:rsidRPr="00282AC9">
        <w:rPr>
          <w:rFonts w:hint="cs"/>
          <w:sz w:val="27"/>
          <w:rtl/>
          <w:lang w:bidi="fa-IR"/>
        </w:rPr>
        <w:t>لشهيد الصدر</w:t>
      </w:r>
      <w:r w:rsidR="009A2A04" w:rsidRPr="00282AC9">
        <w:rPr>
          <w:rFonts w:cs="Mosawi" w:hint="cs"/>
          <w:sz w:val="22"/>
          <w:szCs w:val="22"/>
          <w:rtl/>
          <w:lang w:bidi="fa-IR"/>
        </w:rPr>
        <w:t>&amp;</w:t>
      </w:r>
      <w:r w:rsidRPr="00282AC9">
        <w:rPr>
          <w:rFonts w:hint="cs"/>
          <w:sz w:val="27"/>
          <w:rtl/>
          <w:lang w:bidi="fa-IR"/>
        </w:rPr>
        <w:t>:</w:t>
      </w:r>
    </w:p>
    <w:p w:rsidR="0062395A" w:rsidRPr="00282AC9" w:rsidRDefault="0062395A" w:rsidP="000F0B20">
      <w:pPr>
        <w:spacing w:line="420" w:lineRule="exact"/>
        <w:rPr>
          <w:sz w:val="27"/>
          <w:rtl/>
          <w:lang w:bidi="fa-IR"/>
        </w:rPr>
      </w:pPr>
      <w:r w:rsidRPr="00282AC9">
        <w:rPr>
          <w:rFonts w:hint="cs"/>
          <w:b/>
          <w:bCs/>
          <w:sz w:val="27"/>
          <w:rtl/>
          <w:lang w:bidi="fa-IR"/>
        </w:rPr>
        <w:t>القسم الأوّل</w:t>
      </w:r>
      <w:r w:rsidRPr="00282AC9">
        <w:rPr>
          <w:rFonts w:hint="cs"/>
          <w:sz w:val="27"/>
          <w:rtl/>
          <w:lang w:bidi="fa-IR"/>
        </w:rPr>
        <w:t xml:space="preserve">: </w:t>
      </w:r>
      <w:r w:rsidR="00EB1216" w:rsidRPr="00282AC9">
        <w:rPr>
          <w:rFonts w:hint="cs"/>
          <w:sz w:val="27"/>
          <w:rtl/>
          <w:lang w:bidi="fa-IR"/>
        </w:rPr>
        <w:t>المِلْكيّة</w:t>
      </w:r>
      <w:r w:rsidRPr="00282AC9">
        <w:rPr>
          <w:rFonts w:hint="cs"/>
          <w:sz w:val="27"/>
          <w:rtl/>
          <w:lang w:bidi="fa-IR"/>
        </w:rPr>
        <w:t xml:space="preserve"> الأوّلي</w:t>
      </w:r>
      <w:r w:rsidR="00C35FEB" w:rsidRPr="00282AC9">
        <w:rPr>
          <w:rFonts w:hint="cs"/>
          <w:sz w:val="27"/>
          <w:rtl/>
          <w:lang w:bidi="fa-IR"/>
        </w:rPr>
        <w:t>ّ</w:t>
      </w:r>
      <w:r w:rsidRPr="00282AC9">
        <w:rPr>
          <w:rFonts w:hint="cs"/>
          <w:sz w:val="27"/>
          <w:rtl/>
          <w:lang w:bidi="fa-IR"/>
        </w:rPr>
        <w:t>ة الاستقلالي</w:t>
      </w:r>
      <w:r w:rsidR="00C35FEB" w:rsidRPr="00282AC9">
        <w:rPr>
          <w:rFonts w:hint="cs"/>
          <w:sz w:val="27"/>
          <w:rtl/>
          <w:lang w:bidi="fa-IR"/>
        </w:rPr>
        <w:t>ّ</w:t>
      </w:r>
      <w:r w:rsidRPr="00282AC9">
        <w:rPr>
          <w:rFonts w:hint="cs"/>
          <w:sz w:val="27"/>
          <w:rtl/>
          <w:lang w:bidi="fa-IR"/>
        </w:rPr>
        <w:t>ة، فبح</w:t>
      </w:r>
      <w:r w:rsidR="00C35FEB" w:rsidRPr="00282AC9">
        <w:rPr>
          <w:rFonts w:hint="cs"/>
          <w:sz w:val="27"/>
          <w:rtl/>
          <w:lang w:bidi="fa-IR"/>
        </w:rPr>
        <w:t>َ</w:t>
      </w:r>
      <w:r w:rsidRPr="00282AC9">
        <w:rPr>
          <w:rFonts w:hint="cs"/>
          <w:sz w:val="27"/>
          <w:rtl/>
          <w:lang w:bidi="fa-IR"/>
        </w:rPr>
        <w:t>س</w:t>
      </w:r>
      <w:r w:rsidR="00C35FEB" w:rsidRPr="00282AC9">
        <w:rPr>
          <w:rFonts w:hint="cs"/>
          <w:sz w:val="27"/>
          <w:rtl/>
          <w:lang w:bidi="fa-IR"/>
        </w:rPr>
        <w:t>َ</w:t>
      </w:r>
      <w:r w:rsidRPr="00282AC9">
        <w:rPr>
          <w:rFonts w:hint="cs"/>
          <w:sz w:val="27"/>
          <w:rtl/>
          <w:lang w:bidi="fa-IR"/>
        </w:rPr>
        <w:t xml:space="preserve">ب هذا الاتجاه </w:t>
      </w:r>
      <w:r w:rsidR="00C35FEB" w:rsidRPr="00282AC9">
        <w:rPr>
          <w:rFonts w:hint="cs"/>
          <w:sz w:val="27"/>
          <w:rtl/>
          <w:lang w:bidi="fa-IR"/>
        </w:rPr>
        <w:t>إ</w:t>
      </w:r>
      <w:r w:rsidRPr="00282AC9">
        <w:rPr>
          <w:rFonts w:hint="cs"/>
          <w:sz w:val="27"/>
          <w:rtl/>
          <w:lang w:bidi="fa-IR"/>
        </w:rPr>
        <w:t>نّ المنشأ في م</w:t>
      </w:r>
      <w:r w:rsidR="00C35FEB" w:rsidRPr="00282AC9">
        <w:rPr>
          <w:rFonts w:hint="cs"/>
          <w:sz w:val="27"/>
          <w:rtl/>
          <w:lang w:bidi="fa-IR"/>
        </w:rPr>
        <w:t>ِ</w:t>
      </w:r>
      <w:r w:rsidRPr="00282AC9">
        <w:rPr>
          <w:rFonts w:hint="cs"/>
          <w:sz w:val="27"/>
          <w:rtl/>
          <w:lang w:bidi="fa-IR"/>
        </w:rPr>
        <w:t>ل</w:t>
      </w:r>
      <w:r w:rsidR="00C35FEB" w:rsidRPr="00282AC9">
        <w:rPr>
          <w:rFonts w:hint="cs"/>
          <w:sz w:val="27"/>
          <w:rtl/>
          <w:lang w:bidi="fa-IR"/>
        </w:rPr>
        <w:t>ْ</w:t>
      </w:r>
      <w:r w:rsidRPr="00282AC9">
        <w:rPr>
          <w:rFonts w:hint="cs"/>
          <w:sz w:val="27"/>
          <w:rtl/>
          <w:lang w:bidi="fa-IR"/>
        </w:rPr>
        <w:t>كي</w:t>
      </w:r>
      <w:r w:rsidR="00C35FEB" w:rsidRPr="00282AC9">
        <w:rPr>
          <w:rFonts w:hint="cs"/>
          <w:sz w:val="27"/>
          <w:rtl/>
          <w:lang w:bidi="fa-IR"/>
        </w:rPr>
        <w:t>ّ</w:t>
      </w:r>
      <w:r w:rsidRPr="00282AC9">
        <w:rPr>
          <w:rFonts w:hint="cs"/>
          <w:sz w:val="27"/>
          <w:rtl/>
          <w:lang w:bidi="fa-IR"/>
        </w:rPr>
        <w:t>ة الإنسان لأمواله المنفصلة عنه بح</w:t>
      </w:r>
      <w:r w:rsidR="00C35FEB" w:rsidRPr="00282AC9">
        <w:rPr>
          <w:rFonts w:hint="cs"/>
          <w:sz w:val="27"/>
          <w:rtl/>
          <w:lang w:bidi="fa-IR"/>
        </w:rPr>
        <w:t>َ</w:t>
      </w:r>
      <w:r w:rsidRPr="00282AC9">
        <w:rPr>
          <w:rFonts w:hint="cs"/>
          <w:sz w:val="27"/>
          <w:rtl/>
          <w:lang w:bidi="fa-IR"/>
        </w:rPr>
        <w:t>س</w:t>
      </w:r>
      <w:r w:rsidR="00C35FEB" w:rsidRPr="00282AC9">
        <w:rPr>
          <w:rFonts w:hint="cs"/>
          <w:sz w:val="27"/>
          <w:rtl/>
          <w:lang w:bidi="fa-IR"/>
        </w:rPr>
        <w:t>َ</w:t>
      </w:r>
      <w:r w:rsidRPr="00282AC9">
        <w:rPr>
          <w:rFonts w:hint="cs"/>
          <w:sz w:val="27"/>
          <w:rtl/>
          <w:lang w:bidi="fa-IR"/>
        </w:rPr>
        <w:t>ب الارتكازات العقلائي</w:t>
      </w:r>
      <w:r w:rsidR="00C35FEB" w:rsidRPr="00282AC9">
        <w:rPr>
          <w:rFonts w:hint="cs"/>
          <w:sz w:val="27"/>
          <w:rtl/>
          <w:lang w:bidi="fa-IR"/>
        </w:rPr>
        <w:t>ّ</w:t>
      </w:r>
      <w:r w:rsidRPr="00282AC9">
        <w:rPr>
          <w:rFonts w:hint="cs"/>
          <w:sz w:val="27"/>
          <w:rtl/>
          <w:lang w:bidi="fa-IR"/>
        </w:rPr>
        <w:t>ة أحد أمر</w:t>
      </w:r>
      <w:r w:rsidR="00C35FEB" w:rsidRPr="00282AC9">
        <w:rPr>
          <w:rFonts w:hint="cs"/>
          <w:sz w:val="27"/>
          <w:rtl/>
          <w:lang w:bidi="fa-IR"/>
        </w:rPr>
        <w:t>َ</w:t>
      </w:r>
      <w:r w:rsidRPr="00282AC9">
        <w:rPr>
          <w:rFonts w:hint="cs"/>
          <w:sz w:val="27"/>
          <w:rtl/>
          <w:lang w:bidi="fa-IR"/>
        </w:rPr>
        <w:t>ي</w:t>
      </w:r>
      <w:r w:rsidR="00C35FEB" w:rsidRPr="00282AC9">
        <w:rPr>
          <w:rFonts w:hint="cs"/>
          <w:sz w:val="27"/>
          <w:rtl/>
          <w:lang w:bidi="fa-IR"/>
        </w:rPr>
        <w:t>ْ</w:t>
      </w:r>
      <w:r w:rsidRPr="00282AC9">
        <w:rPr>
          <w:rFonts w:hint="cs"/>
          <w:sz w:val="27"/>
          <w:rtl/>
          <w:lang w:bidi="fa-IR"/>
        </w:rPr>
        <w:t>ن:</w:t>
      </w:r>
    </w:p>
    <w:p w:rsidR="0062395A" w:rsidRPr="00282AC9" w:rsidRDefault="00C35FEB" w:rsidP="000F0B20">
      <w:pPr>
        <w:spacing w:line="420" w:lineRule="exact"/>
        <w:rPr>
          <w:sz w:val="27"/>
          <w:rtl/>
          <w:lang w:bidi="fa-IR"/>
        </w:rPr>
      </w:pPr>
      <w:r w:rsidRPr="00282AC9">
        <w:rPr>
          <w:rFonts w:hint="cs"/>
          <w:b/>
          <w:bCs/>
          <w:sz w:val="27"/>
          <w:rtl/>
          <w:lang w:bidi="fa-IR"/>
        </w:rPr>
        <w:t>الأوّل</w:t>
      </w:r>
      <w:r w:rsidR="0062395A" w:rsidRPr="00282AC9">
        <w:rPr>
          <w:rFonts w:hint="cs"/>
          <w:sz w:val="27"/>
          <w:rtl/>
          <w:lang w:bidi="fa-IR"/>
        </w:rPr>
        <w:t>: الحيازة.</w:t>
      </w:r>
    </w:p>
    <w:p w:rsidR="0062395A" w:rsidRPr="00282AC9" w:rsidRDefault="00C35FEB" w:rsidP="000F0B20">
      <w:pPr>
        <w:spacing w:line="420" w:lineRule="exact"/>
        <w:rPr>
          <w:sz w:val="27"/>
          <w:rtl/>
          <w:lang w:bidi="fa-IR"/>
        </w:rPr>
      </w:pPr>
      <w:r w:rsidRPr="00282AC9">
        <w:rPr>
          <w:rFonts w:hint="cs"/>
          <w:b/>
          <w:bCs/>
          <w:sz w:val="27"/>
          <w:rtl/>
          <w:lang w:bidi="fa-IR"/>
        </w:rPr>
        <w:t>الثاني</w:t>
      </w:r>
      <w:r w:rsidR="0062395A" w:rsidRPr="00282AC9">
        <w:rPr>
          <w:rFonts w:hint="cs"/>
          <w:sz w:val="27"/>
          <w:rtl/>
          <w:lang w:bidi="fa-IR"/>
        </w:rPr>
        <w:t>: الصنع.</w:t>
      </w:r>
    </w:p>
    <w:p w:rsidR="0062395A" w:rsidRPr="00282AC9" w:rsidRDefault="0062395A" w:rsidP="000F0B20">
      <w:pPr>
        <w:spacing w:line="416" w:lineRule="exact"/>
        <w:rPr>
          <w:sz w:val="27"/>
          <w:rtl/>
          <w:lang w:bidi="fa-IR"/>
        </w:rPr>
      </w:pPr>
      <w:r w:rsidRPr="00282AC9">
        <w:rPr>
          <w:rFonts w:hint="cs"/>
          <w:sz w:val="27"/>
          <w:rtl/>
          <w:lang w:bidi="fa-IR"/>
        </w:rPr>
        <w:t>وهذا الاتّجاه يفترق عن الاتّجاه السابق بأنّ هذ</w:t>
      </w:r>
      <w:r w:rsidR="00C35FEB" w:rsidRPr="00282AC9">
        <w:rPr>
          <w:rFonts w:hint="cs"/>
          <w:sz w:val="27"/>
          <w:rtl/>
          <w:lang w:bidi="fa-IR"/>
        </w:rPr>
        <w:t>َ</w:t>
      </w:r>
      <w:r w:rsidRPr="00282AC9">
        <w:rPr>
          <w:rFonts w:hint="cs"/>
          <w:sz w:val="27"/>
          <w:rtl/>
          <w:lang w:bidi="fa-IR"/>
        </w:rPr>
        <w:t>ي</w:t>
      </w:r>
      <w:r w:rsidR="00C35FEB" w:rsidRPr="00282AC9">
        <w:rPr>
          <w:rFonts w:hint="cs"/>
          <w:sz w:val="27"/>
          <w:rtl/>
          <w:lang w:bidi="fa-IR"/>
        </w:rPr>
        <w:t>ْ</w:t>
      </w:r>
      <w:r w:rsidRPr="00282AC9">
        <w:rPr>
          <w:rFonts w:hint="cs"/>
          <w:sz w:val="27"/>
          <w:rtl/>
          <w:lang w:bidi="fa-IR"/>
        </w:rPr>
        <w:t>ن السببين على نحو مانعة الجمع؛ فإنّ لكلّ</w:t>
      </w:r>
      <w:r w:rsidR="00C35FEB" w:rsidRPr="00282AC9">
        <w:rPr>
          <w:rFonts w:hint="cs"/>
          <w:sz w:val="27"/>
          <w:rtl/>
          <w:lang w:bidi="fa-IR"/>
        </w:rPr>
        <w:t>ٍ</w:t>
      </w:r>
      <w:r w:rsidRPr="00282AC9">
        <w:rPr>
          <w:rFonts w:hint="cs"/>
          <w:sz w:val="27"/>
          <w:rtl/>
          <w:lang w:bidi="fa-IR"/>
        </w:rPr>
        <w:t xml:space="preserve"> من الحيازة والصنع مورده الخاصّ به. بيان ذلك:</w:t>
      </w:r>
    </w:p>
    <w:p w:rsidR="0062395A" w:rsidRPr="00282AC9" w:rsidRDefault="0062395A" w:rsidP="000F0B20">
      <w:pPr>
        <w:spacing w:line="416" w:lineRule="exact"/>
        <w:rPr>
          <w:sz w:val="27"/>
          <w:rtl/>
          <w:lang w:bidi="fa-IR"/>
        </w:rPr>
      </w:pPr>
      <w:r w:rsidRPr="00282AC9">
        <w:rPr>
          <w:rFonts w:hint="cs"/>
          <w:b/>
          <w:bCs/>
          <w:sz w:val="27"/>
          <w:rtl/>
          <w:lang w:bidi="fa-IR"/>
        </w:rPr>
        <w:t>أوّلاً</w:t>
      </w:r>
      <w:r w:rsidRPr="00282AC9">
        <w:rPr>
          <w:rFonts w:hint="cs"/>
          <w:sz w:val="27"/>
          <w:rtl/>
          <w:lang w:bidi="fa-IR"/>
        </w:rPr>
        <w:t>: إنّ الحيازة تكون سبباً للم</w:t>
      </w:r>
      <w:r w:rsidR="00C35FEB" w:rsidRPr="00282AC9">
        <w:rPr>
          <w:rFonts w:hint="cs"/>
          <w:sz w:val="27"/>
          <w:rtl/>
          <w:lang w:bidi="fa-IR"/>
        </w:rPr>
        <w:t>ِ</w:t>
      </w:r>
      <w:r w:rsidRPr="00282AC9">
        <w:rPr>
          <w:rFonts w:hint="cs"/>
          <w:sz w:val="27"/>
          <w:rtl/>
          <w:lang w:bidi="fa-IR"/>
        </w:rPr>
        <w:t>ل</w:t>
      </w:r>
      <w:r w:rsidR="00C35FEB" w:rsidRPr="00282AC9">
        <w:rPr>
          <w:rFonts w:hint="cs"/>
          <w:sz w:val="27"/>
          <w:rtl/>
          <w:lang w:bidi="fa-IR"/>
        </w:rPr>
        <w:t>ْ</w:t>
      </w:r>
      <w:r w:rsidRPr="00282AC9">
        <w:rPr>
          <w:rFonts w:hint="cs"/>
          <w:sz w:val="27"/>
          <w:rtl/>
          <w:lang w:bidi="fa-IR"/>
        </w:rPr>
        <w:t>كي</w:t>
      </w:r>
      <w:r w:rsidR="00C35FEB" w:rsidRPr="00282AC9">
        <w:rPr>
          <w:rFonts w:hint="cs"/>
          <w:sz w:val="27"/>
          <w:rtl/>
          <w:lang w:bidi="fa-IR"/>
        </w:rPr>
        <w:t>ّ</w:t>
      </w:r>
      <w:r w:rsidRPr="00282AC9">
        <w:rPr>
          <w:rFonts w:hint="cs"/>
          <w:sz w:val="27"/>
          <w:rtl/>
          <w:lang w:bidi="fa-IR"/>
        </w:rPr>
        <w:t>ة في خصوص المنقولات.</w:t>
      </w:r>
    </w:p>
    <w:p w:rsidR="0062395A" w:rsidRPr="00282AC9" w:rsidRDefault="0062395A" w:rsidP="000F0B20">
      <w:pPr>
        <w:spacing w:line="416" w:lineRule="exact"/>
        <w:rPr>
          <w:sz w:val="27"/>
          <w:rtl/>
          <w:lang w:bidi="fa-IR"/>
        </w:rPr>
      </w:pPr>
      <w:r w:rsidRPr="00282AC9">
        <w:rPr>
          <w:rFonts w:hint="cs"/>
          <w:b/>
          <w:bCs/>
          <w:sz w:val="27"/>
          <w:rtl/>
          <w:lang w:bidi="fa-IR"/>
        </w:rPr>
        <w:t>ثانياً</w:t>
      </w:r>
      <w:r w:rsidRPr="00282AC9">
        <w:rPr>
          <w:rFonts w:hint="cs"/>
          <w:sz w:val="27"/>
          <w:rtl/>
          <w:lang w:bidi="fa-IR"/>
        </w:rPr>
        <w:t>: إنّ العلاج يكون سبباً للم</w:t>
      </w:r>
      <w:r w:rsidR="00C35FEB" w:rsidRPr="00282AC9">
        <w:rPr>
          <w:rFonts w:hint="cs"/>
          <w:sz w:val="27"/>
          <w:rtl/>
          <w:lang w:bidi="fa-IR"/>
        </w:rPr>
        <w:t>ِ</w:t>
      </w:r>
      <w:r w:rsidRPr="00282AC9">
        <w:rPr>
          <w:rFonts w:hint="cs"/>
          <w:sz w:val="27"/>
          <w:rtl/>
          <w:lang w:bidi="fa-IR"/>
        </w:rPr>
        <w:t>ل</w:t>
      </w:r>
      <w:r w:rsidR="00C35FEB" w:rsidRPr="00282AC9">
        <w:rPr>
          <w:rFonts w:hint="cs"/>
          <w:sz w:val="27"/>
          <w:rtl/>
          <w:lang w:bidi="fa-IR"/>
        </w:rPr>
        <w:t>ْ</w:t>
      </w:r>
      <w:r w:rsidRPr="00282AC9">
        <w:rPr>
          <w:rFonts w:hint="cs"/>
          <w:sz w:val="27"/>
          <w:rtl/>
          <w:lang w:bidi="fa-IR"/>
        </w:rPr>
        <w:t>كي</w:t>
      </w:r>
      <w:r w:rsidR="00C35FEB" w:rsidRPr="00282AC9">
        <w:rPr>
          <w:rFonts w:hint="cs"/>
          <w:sz w:val="27"/>
          <w:rtl/>
          <w:lang w:bidi="fa-IR"/>
        </w:rPr>
        <w:t>ّ</w:t>
      </w:r>
      <w:r w:rsidRPr="00282AC9">
        <w:rPr>
          <w:rFonts w:hint="cs"/>
          <w:sz w:val="27"/>
          <w:rtl/>
          <w:lang w:bidi="fa-IR"/>
        </w:rPr>
        <w:t>ة في خصوص غير المنقولات</w:t>
      </w:r>
      <w:r w:rsidR="00306B3C" w:rsidRPr="00282AC9">
        <w:rPr>
          <w:rFonts w:hint="cs"/>
          <w:sz w:val="27"/>
          <w:rtl/>
          <w:lang w:bidi="fa-IR"/>
        </w:rPr>
        <w:t>،</w:t>
      </w:r>
      <w:r w:rsidRPr="00282AC9">
        <w:rPr>
          <w:rFonts w:hint="cs"/>
          <w:sz w:val="27"/>
          <w:rtl/>
          <w:lang w:bidi="fa-IR"/>
        </w:rPr>
        <w:t xml:space="preserve"> كالأرض التي تُم</w:t>
      </w:r>
      <w:r w:rsidR="00306B3C" w:rsidRPr="00282AC9">
        <w:rPr>
          <w:rFonts w:hint="cs"/>
          <w:sz w:val="27"/>
          <w:rtl/>
          <w:lang w:bidi="fa-IR"/>
        </w:rPr>
        <w:t>ْ</w:t>
      </w:r>
      <w:r w:rsidRPr="00282AC9">
        <w:rPr>
          <w:rFonts w:hint="cs"/>
          <w:sz w:val="27"/>
          <w:rtl/>
          <w:lang w:bidi="fa-IR"/>
        </w:rPr>
        <w:t>لَك بالزراعة أو العمارة</w:t>
      </w:r>
      <w:r w:rsidRPr="00282AC9">
        <w:rPr>
          <w:sz w:val="27"/>
          <w:vertAlign w:val="superscript"/>
          <w:rtl/>
          <w:lang w:bidi="fa-IR"/>
        </w:rPr>
        <w:t>(</w:t>
      </w:r>
      <w:r w:rsidRPr="00282AC9">
        <w:rPr>
          <w:sz w:val="27"/>
          <w:vertAlign w:val="superscript"/>
          <w:rtl/>
          <w:lang w:bidi="fa-IR"/>
        </w:rPr>
        <w:endnoteReference w:id="1009"/>
      </w:r>
      <w:r w:rsidRPr="00282AC9">
        <w:rPr>
          <w:rFonts w:hint="cs"/>
          <w:sz w:val="27"/>
          <w:vertAlign w:val="superscript"/>
          <w:rtl/>
          <w:lang w:bidi="fa-IR"/>
        </w:rPr>
        <w:t>)</w:t>
      </w:r>
      <w:r w:rsidRPr="00282AC9">
        <w:rPr>
          <w:rFonts w:hint="cs"/>
          <w:sz w:val="27"/>
          <w:rtl/>
          <w:lang w:bidi="fa-IR"/>
        </w:rPr>
        <w:t>.</w:t>
      </w:r>
    </w:p>
    <w:p w:rsidR="0062395A" w:rsidRPr="00282AC9" w:rsidRDefault="0062395A" w:rsidP="000F0B20">
      <w:pPr>
        <w:spacing w:line="416" w:lineRule="exact"/>
        <w:rPr>
          <w:sz w:val="27"/>
          <w:rtl/>
          <w:lang w:bidi="fa-IR"/>
        </w:rPr>
      </w:pPr>
      <w:r w:rsidRPr="00282AC9">
        <w:rPr>
          <w:rFonts w:hint="cs"/>
          <w:b/>
          <w:bCs/>
          <w:sz w:val="27"/>
          <w:rtl/>
          <w:lang w:bidi="fa-IR"/>
        </w:rPr>
        <w:t>أقول</w:t>
      </w:r>
      <w:r w:rsidRPr="00282AC9">
        <w:rPr>
          <w:rFonts w:hint="cs"/>
          <w:sz w:val="27"/>
          <w:rtl/>
          <w:lang w:bidi="fa-IR"/>
        </w:rPr>
        <w:t>: إنّ بيان هذا الفارق الدقيق بين مجال</w:t>
      </w:r>
      <w:r w:rsidR="00306B3C" w:rsidRPr="00282AC9">
        <w:rPr>
          <w:rFonts w:hint="cs"/>
          <w:sz w:val="27"/>
          <w:rtl/>
          <w:lang w:bidi="fa-IR"/>
        </w:rPr>
        <w:t>َ</w:t>
      </w:r>
      <w:r w:rsidRPr="00282AC9">
        <w:rPr>
          <w:rFonts w:hint="cs"/>
          <w:sz w:val="27"/>
          <w:rtl/>
          <w:lang w:bidi="fa-IR"/>
        </w:rPr>
        <w:t>ي</w:t>
      </w:r>
      <w:r w:rsidR="00306B3C" w:rsidRPr="00282AC9">
        <w:rPr>
          <w:rFonts w:hint="cs"/>
          <w:sz w:val="27"/>
          <w:rtl/>
          <w:lang w:bidi="fa-IR"/>
        </w:rPr>
        <w:t>ْ</w:t>
      </w:r>
      <w:r w:rsidRPr="00282AC9">
        <w:rPr>
          <w:rFonts w:hint="cs"/>
          <w:sz w:val="27"/>
          <w:rtl/>
          <w:lang w:bidi="fa-IR"/>
        </w:rPr>
        <w:t xml:space="preserve"> هذ</w:t>
      </w:r>
      <w:r w:rsidR="00306B3C" w:rsidRPr="00282AC9">
        <w:rPr>
          <w:rFonts w:hint="cs"/>
          <w:sz w:val="27"/>
          <w:rtl/>
          <w:lang w:bidi="fa-IR"/>
        </w:rPr>
        <w:t>َ</w:t>
      </w:r>
      <w:r w:rsidRPr="00282AC9">
        <w:rPr>
          <w:rFonts w:hint="cs"/>
          <w:sz w:val="27"/>
          <w:rtl/>
          <w:lang w:bidi="fa-IR"/>
        </w:rPr>
        <w:t>ي</w:t>
      </w:r>
      <w:r w:rsidR="00306B3C" w:rsidRPr="00282AC9">
        <w:rPr>
          <w:rFonts w:hint="cs"/>
          <w:sz w:val="27"/>
          <w:rtl/>
          <w:lang w:bidi="fa-IR"/>
        </w:rPr>
        <w:t>ْ</w:t>
      </w:r>
      <w:r w:rsidRPr="00282AC9">
        <w:rPr>
          <w:rFonts w:hint="cs"/>
          <w:sz w:val="27"/>
          <w:rtl/>
          <w:lang w:bidi="fa-IR"/>
        </w:rPr>
        <w:t>ن السببين يُع</w:t>
      </w:r>
      <w:r w:rsidR="00306B3C" w:rsidRPr="00282AC9">
        <w:rPr>
          <w:rFonts w:hint="cs"/>
          <w:sz w:val="27"/>
          <w:rtl/>
          <w:lang w:bidi="fa-IR"/>
        </w:rPr>
        <w:t>َ</w:t>
      </w:r>
      <w:r w:rsidRPr="00282AC9">
        <w:rPr>
          <w:rFonts w:hint="cs"/>
          <w:sz w:val="27"/>
          <w:rtl/>
          <w:lang w:bidi="fa-IR"/>
        </w:rPr>
        <w:t>دّ من جملة إبداعات الشهيد الصدر</w:t>
      </w:r>
      <w:r w:rsidR="009A2A04" w:rsidRPr="00282AC9">
        <w:rPr>
          <w:rFonts w:cs="Mosawi" w:hint="cs"/>
          <w:sz w:val="22"/>
          <w:szCs w:val="22"/>
          <w:rtl/>
          <w:lang w:bidi="fa-IR"/>
        </w:rPr>
        <w:t>&amp;</w:t>
      </w:r>
      <w:r w:rsidRPr="00282AC9">
        <w:rPr>
          <w:rFonts w:hint="cs"/>
          <w:sz w:val="27"/>
          <w:rtl/>
          <w:lang w:bidi="fa-IR"/>
        </w:rPr>
        <w:t>.</w:t>
      </w:r>
    </w:p>
    <w:p w:rsidR="0062395A" w:rsidRPr="00282AC9" w:rsidRDefault="0062395A" w:rsidP="000F0B20">
      <w:pPr>
        <w:spacing w:line="416" w:lineRule="exact"/>
        <w:rPr>
          <w:sz w:val="27"/>
          <w:rtl/>
          <w:lang w:bidi="fa-IR"/>
        </w:rPr>
      </w:pPr>
      <w:r w:rsidRPr="00282AC9">
        <w:rPr>
          <w:rFonts w:hint="cs"/>
          <w:b/>
          <w:bCs/>
          <w:sz w:val="27"/>
          <w:rtl/>
          <w:lang w:bidi="fa-IR"/>
        </w:rPr>
        <w:t>القسم الثاني</w:t>
      </w:r>
      <w:r w:rsidRPr="00282AC9">
        <w:rPr>
          <w:rFonts w:hint="cs"/>
          <w:sz w:val="27"/>
          <w:rtl/>
          <w:lang w:bidi="fa-IR"/>
        </w:rPr>
        <w:t xml:space="preserve">: </w:t>
      </w:r>
      <w:r w:rsidR="00EB1216" w:rsidRPr="00282AC9">
        <w:rPr>
          <w:rFonts w:hint="cs"/>
          <w:sz w:val="27"/>
          <w:rtl/>
          <w:lang w:bidi="fa-IR"/>
        </w:rPr>
        <w:t>المِلْكيّة</w:t>
      </w:r>
      <w:r w:rsidRPr="00282AC9">
        <w:rPr>
          <w:rFonts w:hint="cs"/>
          <w:sz w:val="27"/>
          <w:rtl/>
          <w:lang w:bidi="fa-IR"/>
        </w:rPr>
        <w:t xml:space="preserve"> الثانوية، وهي ناشئة</w:t>
      </w:r>
      <w:r w:rsidR="00306B3C" w:rsidRPr="00282AC9">
        <w:rPr>
          <w:rFonts w:hint="cs"/>
          <w:sz w:val="27"/>
          <w:rtl/>
          <w:lang w:bidi="fa-IR"/>
        </w:rPr>
        <w:t>ٌ</w:t>
      </w:r>
      <w:r w:rsidRPr="00282AC9">
        <w:rPr>
          <w:rFonts w:hint="cs"/>
          <w:sz w:val="27"/>
          <w:rtl/>
          <w:lang w:bidi="fa-IR"/>
        </w:rPr>
        <w:t xml:space="preserve"> في طول ال</w:t>
      </w:r>
      <w:r w:rsidR="00306B3C" w:rsidRPr="00282AC9">
        <w:rPr>
          <w:rFonts w:hint="cs"/>
          <w:sz w:val="27"/>
          <w:rtl/>
          <w:lang w:bidi="fa-IR"/>
        </w:rPr>
        <w:t>أ</w:t>
      </w:r>
      <w:r w:rsidRPr="00282AC9">
        <w:rPr>
          <w:rFonts w:hint="cs"/>
          <w:sz w:val="27"/>
          <w:rtl/>
          <w:lang w:bidi="fa-IR"/>
        </w:rPr>
        <w:t>ولى</w:t>
      </w:r>
      <w:r w:rsidR="00306B3C" w:rsidRPr="00282AC9">
        <w:rPr>
          <w:rFonts w:hint="cs"/>
          <w:sz w:val="27"/>
          <w:rtl/>
          <w:lang w:bidi="fa-IR"/>
        </w:rPr>
        <w:t>؛</w:t>
      </w:r>
      <w:r w:rsidRPr="00282AC9">
        <w:rPr>
          <w:rFonts w:hint="cs"/>
          <w:sz w:val="27"/>
          <w:rtl/>
          <w:lang w:bidi="fa-IR"/>
        </w:rPr>
        <w:t xml:space="preserve"> فقد حصل عند العقلاء توسّ</w:t>
      </w:r>
      <w:r w:rsidR="00306B3C" w:rsidRPr="00282AC9">
        <w:rPr>
          <w:rFonts w:hint="cs"/>
          <w:sz w:val="27"/>
          <w:rtl/>
          <w:lang w:bidi="fa-IR"/>
        </w:rPr>
        <w:t>ُ</w:t>
      </w:r>
      <w:r w:rsidRPr="00282AC9">
        <w:rPr>
          <w:rFonts w:hint="cs"/>
          <w:sz w:val="27"/>
          <w:rtl/>
          <w:lang w:bidi="fa-IR"/>
        </w:rPr>
        <w:t>عات</w:t>
      </w:r>
      <w:r w:rsidR="00306B3C" w:rsidRPr="00282AC9">
        <w:rPr>
          <w:rFonts w:hint="cs"/>
          <w:sz w:val="27"/>
          <w:rtl/>
          <w:lang w:bidi="fa-IR"/>
        </w:rPr>
        <w:t>ٌ</w:t>
      </w:r>
      <w:r w:rsidRPr="00282AC9">
        <w:rPr>
          <w:rFonts w:hint="cs"/>
          <w:sz w:val="27"/>
          <w:rtl/>
          <w:lang w:bidi="fa-IR"/>
        </w:rPr>
        <w:t xml:space="preserve"> في باب الحيازة من جهات</w:t>
      </w:r>
      <w:r w:rsidR="00306B3C" w:rsidRPr="00282AC9">
        <w:rPr>
          <w:rFonts w:hint="cs"/>
          <w:sz w:val="27"/>
          <w:rtl/>
          <w:lang w:bidi="fa-IR"/>
        </w:rPr>
        <w:t>ٍ</w:t>
      </w:r>
      <w:r w:rsidRPr="00282AC9">
        <w:rPr>
          <w:rFonts w:hint="cs"/>
          <w:sz w:val="27"/>
          <w:rtl/>
          <w:lang w:bidi="fa-IR"/>
        </w:rPr>
        <w:t xml:space="preserve"> شتّى، وهي:</w:t>
      </w:r>
    </w:p>
    <w:p w:rsidR="0062395A" w:rsidRPr="00282AC9" w:rsidRDefault="0062395A" w:rsidP="000F0B20">
      <w:pPr>
        <w:spacing w:line="416" w:lineRule="exact"/>
        <w:rPr>
          <w:sz w:val="27"/>
          <w:rtl/>
          <w:lang w:bidi="fa-IR"/>
        </w:rPr>
      </w:pPr>
      <w:r w:rsidRPr="00282AC9">
        <w:rPr>
          <w:rFonts w:hint="cs"/>
          <w:sz w:val="27"/>
          <w:rtl/>
        </w:rPr>
        <w:t>1</w:t>
      </w:r>
      <w:r w:rsidRPr="00282AC9">
        <w:rPr>
          <w:sz w:val="27"/>
          <w:rtl/>
        </w:rPr>
        <w:t>ـ من جهة الشخص الحائز.</w:t>
      </w:r>
    </w:p>
    <w:p w:rsidR="0062395A" w:rsidRPr="00282AC9" w:rsidRDefault="0062395A" w:rsidP="000F0B20">
      <w:pPr>
        <w:spacing w:line="416" w:lineRule="exact"/>
        <w:rPr>
          <w:sz w:val="27"/>
          <w:rtl/>
          <w:lang w:bidi="fa-IR"/>
        </w:rPr>
      </w:pPr>
      <w:r w:rsidRPr="00282AC9">
        <w:rPr>
          <w:rFonts w:hint="cs"/>
          <w:sz w:val="27"/>
          <w:rtl/>
        </w:rPr>
        <w:t>2</w:t>
      </w:r>
      <w:r w:rsidRPr="00282AC9">
        <w:rPr>
          <w:sz w:val="27"/>
          <w:rtl/>
        </w:rPr>
        <w:t>ـ من جهة المال المُح</w:t>
      </w:r>
      <w:r w:rsidR="00306B3C" w:rsidRPr="00282AC9">
        <w:rPr>
          <w:rFonts w:hint="cs"/>
          <w:sz w:val="27"/>
          <w:rtl/>
        </w:rPr>
        <w:t>َ</w:t>
      </w:r>
      <w:r w:rsidRPr="00282AC9">
        <w:rPr>
          <w:sz w:val="27"/>
          <w:rtl/>
        </w:rPr>
        <w:t>از.</w:t>
      </w:r>
    </w:p>
    <w:p w:rsidR="0062395A" w:rsidRPr="00282AC9" w:rsidRDefault="0062395A" w:rsidP="000F0B20">
      <w:pPr>
        <w:spacing w:line="416" w:lineRule="exact"/>
        <w:rPr>
          <w:sz w:val="27"/>
          <w:rtl/>
          <w:lang w:bidi="fa-IR"/>
        </w:rPr>
      </w:pPr>
      <w:r w:rsidRPr="00282AC9">
        <w:rPr>
          <w:rFonts w:hint="cs"/>
          <w:sz w:val="27"/>
          <w:rtl/>
        </w:rPr>
        <w:t>3</w:t>
      </w:r>
      <w:r w:rsidRPr="00282AC9">
        <w:rPr>
          <w:sz w:val="27"/>
          <w:rtl/>
        </w:rPr>
        <w:t>ـ من جهة ضمان ب</w:t>
      </w:r>
      <w:r w:rsidR="00306B3C" w:rsidRPr="00282AC9">
        <w:rPr>
          <w:rFonts w:hint="cs"/>
          <w:sz w:val="27"/>
          <w:rtl/>
        </w:rPr>
        <w:t>َ</w:t>
      </w:r>
      <w:r w:rsidRPr="00282AC9">
        <w:rPr>
          <w:sz w:val="27"/>
          <w:rtl/>
        </w:rPr>
        <w:t>د</w:t>
      </w:r>
      <w:r w:rsidR="00306B3C" w:rsidRPr="00282AC9">
        <w:rPr>
          <w:rFonts w:hint="cs"/>
          <w:sz w:val="27"/>
          <w:rtl/>
        </w:rPr>
        <w:t>َ</w:t>
      </w:r>
      <w:r w:rsidRPr="00282AC9">
        <w:rPr>
          <w:sz w:val="27"/>
          <w:rtl/>
        </w:rPr>
        <w:t>ل المال المُح</w:t>
      </w:r>
      <w:r w:rsidR="00306B3C" w:rsidRPr="00282AC9">
        <w:rPr>
          <w:rFonts w:hint="cs"/>
          <w:sz w:val="27"/>
          <w:rtl/>
        </w:rPr>
        <w:t>َ</w:t>
      </w:r>
      <w:r w:rsidRPr="00282AC9">
        <w:rPr>
          <w:sz w:val="27"/>
          <w:rtl/>
        </w:rPr>
        <w:t>از عند إتلافه.</w:t>
      </w:r>
    </w:p>
    <w:p w:rsidR="0062395A" w:rsidRPr="00282AC9" w:rsidRDefault="0062395A" w:rsidP="000F0B20">
      <w:pPr>
        <w:spacing w:line="416" w:lineRule="exact"/>
        <w:rPr>
          <w:sz w:val="27"/>
          <w:rtl/>
          <w:lang w:bidi="fa-IR"/>
        </w:rPr>
      </w:pPr>
      <w:r w:rsidRPr="00282AC9">
        <w:rPr>
          <w:rFonts w:hint="cs"/>
          <w:sz w:val="27"/>
          <w:rtl/>
        </w:rPr>
        <w:t>4</w:t>
      </w:r>
      <w:r w:rsidRPr="00282AC9">
        <w:rPr>
          <w:sz w:val="27"/>
          <w:rtl/>
        </w:rPr>
        <w:t>ـ من جهة ورود حيازة</w:t>
      </w:r>
      <w:r w:rsidR="00306B3C" w:rsidRPr="00282AC9">
        <w:rPr>
          <w:rFonts w:hint="cs"/>
          <w:sz w:val="27"/>
          <w:rtl/>
        </w:rPr>
        <w:t>ٍ</w:t>
      </w:r>
      <w:r w:rsidRPr="00282AC9">
        <w:rPr>
          <w:sz w:val="27"/>
          <w:rtl/>
        </w:rPr>
        <w:t xml:space="preserve"> جديدة عل</w:t>
      </w:r>
      <w:r w:rsidRPr="00282AC9">
        <w:rPr>
          <w:rFonts w:hint="cs"/>
          <w:sz w:val="27"/>
          <w:rtl/>
        </w:rPr>
        <w:t>ى</w:t>
      </w:r>
      <w:r w:rsidRPr="00282AC9">
        <w:rPr>
          <w:sz w:val="27"/>
          <w:rtl/>
        </w:rPr>
        <w:t xml:space="preserve"> </w:t>
      </w:r>
      <w:r w:rsidRPr="00282AC9">
        <w:rPr>
          <w:rFonts w:hint="cs"/>
          <w:sz w:val="27"/>
          <w:rtl/>
        </w:rPr>
        <w:t>الحيازة</w:t>
      </w:r>
      <w:r w:rsidRPr="00282AC9">
        <w:rPr>
          <w:sz w:val="27"/>
          <w:rtl/>
        </w:rPr>
        <w:t xml:space="preserve"> </w:t>
      </w:r>
      <w:r w:rsidRPr="00282AC9">
        <w:rPr>
          <w:rFonts w:hint="cs"/>
          <w:sz w:val="27"/>
          <w:rtl/>
        </w:rPr>
        <w:t>ال</w:t>
      </w:r>
      <w:r w:rsidR="00306B3C" w:rsidRPr="00282AC9">
        <w:rPr>
          <w:rFonts w:hint="cs"/>
          <w:sz w:val="27"/>
          <w:rtl/>
        </w:rPr>
        <w:t>أ</w:t>
      </w:r>
      <w:r w:rsidRPr="00282AC9">
        <w:rPr>
          <w:rFonts w:hint="cs"/>
          <w:sz w:val="27"/>
          <w:rtl/>
        </w:rPr>
        <w:t>ولى</w:t>
      </w:r>
      <w:r w:rsidRPr="00282AC9">
        <w:rPr>
          <w:sz w:val="27"/>
          <w:vertAlign w:val="superscript"/>
          <w:rtl/>
        </w:rPr>
        <w:t>(</w:t>
      </w:r>
      <w:r w:rsidRPr="00282AC9">
        <w:rPr>
          <w:sz w:val="27"/>
          <w:vertAlign w:val="superscript"/>
          <w:rtl/>
        </w:rPr>
        <w:endnoteReference w:id="1010"/>
      </w:r>
      <w:r w:rsidRPr="00282AC9">
        <w:rPr>
          <w:rFonts w:hint="cs"/>
          <w:sz w:val="27"/>
          <w:vertAlign w:val="superscript"/>
          <w:rtl/>
        </w:rPr>
        <w:t>)</w:t>
      </w:r>
      <w:r w:rsidRPr="00282AC9">
        <w:rPr>
          <w:sz w:val="27"/>
          <w:rtl/>
        </w:rPr>
        <w:t>.</w:t>
      </w:r>
    </w:p>
    <w:p w:rsidR="0062395A" w:rsidRPr="00282AC9" w:rsidRDefault="0062395A" w:rsidP="000F0B20">
      <w:pPr>
        <w:spacing w:line="416" w:lineRule="exact"/>
        <w:rPr>
          <w:sz w:val="27"/>
          <w:rtl/>
          <w:lang w:bidi="fa-IR"/>
        </w:rPr>
      </w:pPr>
      <w:r w:rsidRPr="00282AC9">
        <w:rPr>
          <w:rFonts w:hint="cs"/>
          <w:sz w:val="27"/>
          <w:rtl/>
          <w:lang w:bidi="fa-IR"/>
        </w:rPr>
        <w:t>وقد تمخّ</w:t>
      </w:r>
      <w:r w:rsidR="00306B3C" w:rsidRPr="00282AC9">
        <w:rPr>
          <w:rFonts w:hint="cs"/>
          <w:sz w:val="27"/>
          <w:rtl/>
          <w:lang w:bidi="fa-IR"/>
        </w:rPr>
        <w:t>َ</w:t>
      </w:r>
      <w:r w:rsidRPr="00282AC9">
        <w:rPr>
          <w:rFonts w:hint="cs"/>
          <w:sz w:val="27"/>
          <w:rtl/>
          <w:lang w:bidi="fa-IR"/>
        </w:rPr>
        <w:t>ض عن هذا التوسّ</w:t>
      </w:r>
      <w:r w:rsidR="00306B3C" w:rsidRPr="00282AC9">
        <w:rPr>
          <w:rFonts w:hint="cs"/>
          <w:sz w:val="27"/>
          <w:rtl/>
          <w:lang w:bidi="fa-IR"/>
        </w:rPr>
        <w:t>ُ</w:t>
      </w:r>
      <w:r w:rsidRPr="00282AC9">
        <w:rPr>
          <w:rFonts w:hint="cs"/>
          <w:sz w:val="27"/>
          <w:rtl/>
          <w:lang w:bidi="fa-IR"/>
        </w:rPr>
        <w:t>ع العقلائي في الحيازة عدّة أسباب:</w:t>
      </w:r>
    </w:p>
    <w:p w:rsidR="0062395A" w:rsidRPr="00282AC9" w:rsidRDefault="0062395A" w:rsidP="000F0B20">
      <w:pPr>
        <w:spacing w:line="416" w:lineRule="exact"/>
        <w:rPr>
          <w:sz w:val="27"/>
          <w:rtl/>
          <w:lang w:bidi="fa-IR"/>
        </w:rPr>
      </w:pPr>
      <w:r w:rsidRPr="00282AC9">
        <w:rPr>
          <w:rFonts w:hint="cs"/>
          <w:sz w:val="27"/>
          <w:rtl/>
          <w:lang w:bidi="fa-IR"/>
        </w:rPr>
        <w:t>فالتوسّع الأوّل أنتج سببي</w:t>
      </w:r>
      <w:r w:rsidR="00306B3C" w:rsidRPr="00282AC9">
        <w:rPr>
          <w:rFonts w:hint="cs"/>
          <w:sz w:val="27"/>
          <w:rtl/>
          <w:lang w:bidi="fa-IR"/>
        </w:rPr>
        <w:t>ّ</w:t>
      </w:r>
      <w:r w:rsidRPr="00282AC9">
        <w:rPr>
          <w:rFonts w:hint="cs"/>
          <w:sz w:val="27"/>
          <w:rtl/>
          <w:lang w:bidi="fa-IR"/>
        </w:rPr>
        <w:t>ة الإرث للم</w:t>
      </w:r>
      <w:r w:rsidR="00306B3C" w:rsidRPr="00282AC9">
        <w:rPr>
          <w:rFonts w:hint="cs"/>
          <w:sz w:val="27"/>
          <w:rtl/>
          <w:lang w:bidi="fa-IR"/>
        </w:rPr>
        <w:t>ِ</w:t>
      </w:r>
      <w:r w:rsidRPr="00282AC9">
        <w:rPr>
          <w:rFonts w:hint="cs"/>
          <w:sz w:val="27"/>
          <w:rtl/>
          <w:lang w:bidi="fa-IR"/>
        </w:rPr>
        <w:t>ل</w:t>
      </w:r>
      <w:r w:rsidR="00306B3C" w:rsidRPr="00282AC9">
        <w:rPr>
          <w:rFonts w:hint="cs"/>
          <w:sz w:val="27"/>
          <w:rtl/>
          <w:lang w:bidi="fa-IR"/>
        </w:rPr>
        <w:t>ْ</w:t>
      </w:r>
      <w:r w:rsidRPr="00282AC9">
        <w:rPr>
          <w:rFonts w:hint="cs"/>
          <w:sz w:val="27"/>
          <w:rtl/>
          <w:lang w:bidi="fa-IR"/>
        </w:rPr>
        <w:t>كي</w:t>
      </w:r>
      <w:r w:rsidR="00306B3C" w:rsidRPr="00282AC9">
        <w:rPr>
          <w:rFonts w:hint="cs"/>
          <w:sz w:val="27"/>
          <w:rtl/>
          <w:lang w:bidi="fa-IR"/>
        </w:rPr>
        <w:t>ّ</w:t>
      </w:r>
      <w:r w:rsidRPr="00282AC9">
        <w:rPr>
          <w:rFonts w:hint="cs"/>
          <w:sz w:val="27"/>
          <w:rtl/>
          <w:lang w:bidi="fa-IR"/>
        </w:rPr>
        <w:t>ة.</w:t>
      </w:r>
    </w:p>
    <w:p w:rsidR="0062395A" w:rsidRPr="00282AC9" w:rsidRDefault="0062395A" w:rsidP="000F0B20">
      <w:pPr>
        <w:spacing w:line="416" w:lineRule="exact"/>
        <w:rPr>
          <w:sz w:val="27"/>
          <w:rtl/>
          <w:lang w:bidi="fa-IR"/>
        </w:rPr>
      </w:pPr>
      <w:r w:rsidRPr="00282AC9">
        <w:rPr>
          <w:rFonts w:hint="cs"/>
          <w:sz w:val="27"/>
          <w:rtl/>
          <w:lang w:bidi="fa-IR"/>
        </w:rPr>
        <w:t>والتوسّع الثاني أنتج سببي</w:t>
      </w:r>
      <w:r w:rsidR="00306B3C" w:rsidRPr="00282AC9">
        <w:rPr>
          <w:rFonts w:hint="cs"/>
          <w:sz w:val="27"/>
          <w:rtl/>
          <w:lang w:bidi="fa-IR"/>
        </w:rPr>
        <w:t>ّ</w:t>
      </w:r>
      <w:r w:rsidRPr="00282AC9">
        <w:rPr>
          <w:rFonts w:hint="cs"/>
          <w:sz w:val="27"/>
          <w:rtl/>
          <w:lang w:bidi="fa-IR"/>
        </w:rPr>
        <w:t>ة م</w:t>
      </w:r>
      <w:r w:rsidR="00306B3C" w:rsidRPr="00282AC9">
        <w:rPr>
          <w:rFonts w:hint="cs"/>
          <w:sz w:val="27"/>
          <w:rtl/>
          <w:lang w:bidi="fa-IR"/>
        </w:rPr>
        <w:t>ِ</w:t>
      </w:r>
      <w:r w:rsidRPr="00282AC9">
        <w:rPr>
          <w:rFonts w:hint="cs"/>
          <w:sz w:val="27"/>
          <w:rtl/>
          <w:lang w:bidi="fa-IR"/>
        </w:rPr>
        <w:t>ل</w:t>
      </w:r>
      <w:r w:rsidR="00306B3C" w:rsidRPr="00282AC9">
        <w:rPr>
          <w:rFonts w:hint="cs"/>
          <w:sz w:val="27"/>
          <w:rtl/>
          <w:lang w:bidi="fa-IR"/>
        </w:rPr>
        <w:t>ْ</w:t>
      </w:r>
      <w:r w:rsidRPr="00282AC9">
        <w:rPr>
          <w:rFonts w:hint="cs"/>
          <w:sz w:val="27"/>
          <w:rtl/>
          <w:lang w:bidi="fa-IR"/>
        </w:rPr>
        <w:t>كي</w:t>
      </w:r>
      <w:r w:rsidR="00306B3C" w:rsidRPr="00282AC9">
        <w:rPr>
          <w:rFonts w:hint="cs"/>
          <w:sz w:val="27"/>
          <w:rtl/>
          <w:lang w:bidi="fa-IR"/>
        </w:rPr>
        <w:t>ّ</w:t>
      </w:r>
      <w:r w:rsidRPr="00282AC9">
        <w:rPr>
          <w:rFonts w:hint="cs"/>
          <w:sz w:val="27"/>
          <w:rtl/>
          <w:lang w:bidi="fa-IR"/>
        </w:rPr>
        <w:t>ة النماء.</w:t>
      </w:r>
    </w:p>
    <w:p w:rsidR="0062395A" w:rsidRPr="00282AC9" w:rsidRDefault="0062395A" w:rsidP="000F0B20">
      <w:pPr>
        <w:spacing w:line="416" w:lineRule="exact"/>
        <w:rPr>
          <w:sz w:val="27"/>
          <w:rtl/>
          <w:lang w:bidi="fa-IR"/>
        </w:rPr>
      </w:pPr>
      <w:r w:rsidRPr="00282AC9">
        <w:rPr>
          <w:rFonts w:hint="cs"/>
          <w:sz w:val="27"/>
          <w:rtl/>
          <w:lang w:bidi="fa-IR"/>
        </w:rPr>
        <w:t>والتوسّع الثالث أنتج سببي</w:t>
      </w:r>
      <w:r w:rsidR="00306B3C" w:rsidRPr="00282AC9">
        <w:rPr>
          <w:rFonts w:hint="cs"/>
          <w:sz w:val="27"/>
          <w:rtl/>
          <w:lang w:bidi="fa-IR"/>
        </w:rPr>
        <w:t>ّ</w:t>
      </w:r>
      <w:r w:rsidRPr="00282AC9">
        <w:rPr>
          <w:rFonts w:hint="cs"/>
          <w:sz w:val="27"/>
          <w:rtl/>
          <w:lang w:bidi="fa-IR"/>
        </w:rPr>
        <w:t>ة ضمان الغرامة للم</w:t>
      </w:r>
      <w:r w:rsidR="00306B3C" w:rsidRPr="00282AC9">
        <w:rPr>
          <w:rFonts w:hint="cs"/>
          <w:sz w:val="27"/>
          <w:rtl/>
          <w:lang w:bidi="fa-IR"/>
        </w:rPr>
        <w:t>ِ</w:t>
      </w:r>
      <w:r w:rsidRPr="00282AC9">
        <w:rPr>
          <w:rFonts w:hint="cs"/>
          <w:sz w:val="27"/>
          <w:rtl/>
          <w:lang w:bidi="fa-IR"/>
        </w:rPr>
        <w:t>ل</w:t>
      </w:r>
      <w:r w:rsidR="00306B3C" w:rsidRPr="00282AC9">
        <w:rPr>
          <w:rFonts w:hint="cs"/>
          <w:sz w:val="27"/>
          <w:rtl/>
          <w:lang w:bidi="fa-IR"/>
        </w:rPr>
        <w:t>ْ</w:t>
      </w:r>
      <w:r w:rsidRPr="00282AC9">
        <w:rPr>
          <w:rFonts w:hint="cs"/>
          <w:sz w:val="27"/>
          <w:rtl/>
          <w:lang w:bidi="fa-IR"/>
        </w:rPr>
        <w:t>كي</w:t>
      </w:r>
      <w:r w:rsidR="00306B3C" w:rsidRPr="00282AC9">
        <w:rPr>
          <w:rFonts w:hint="cs"/>
          <w:sz w:val="27"/>
          <w:rtl/>
          <w:lang w:bidi="fa-IR"/>
        </w:rPr>
        <w:t>ّ</w:t>
      </w:r>
      <w:r w:rsidRPr="00282AC9">
        <w:rPr>
          <w:rFonts w:hint="cs"/>
          <w:sz w:val="27"/>
          <w:rtl/>
          <w:lang w:bidi="fa-IR"/>
        </w:rPr>
        <w:t>ة.</w:t>
      </w:r>
    </w:p>
    <w:p w:rsidR="0062395A" w:rsidRPr="00282AC9" w:rsidRDefault="0062395A" w:rsidP="000F0B20">
      <w:pPr>
        <w:spacing w:line="416" w:lineRule="exact"/>
        <w:rPr>
          <w:sz w:val="27"/>
          <w:rtl/>
          <w:lang w:bidi="fa-IR"/>
        </w:rPr>
      </w:pPr>
      <w:r w:rsidRPr="00282AC9">
        <w:rPr>
          <w:rFonts w:hint="cs"/>
          <w:sz w:val="27"/>
          <w:rtl/>
          <w:lang w:bidi="fa-IR"/>
        </w:rPr>
        <w:t>والتوسّع الرابع أنتج سببي</w:t>
      </w:r>
      <w:r w:rsidR="00306B3C" w:rsidRPr="00282AC9">
        <w:rPr>
          <w:rFonts w:hint="cs"/>
          <w:sz w:val="27"/>
          <w:rtl/>
          <w:lang w:bidi="fa-IR"/>
        </w:rPr>
        <w:t>ّ</w:t>
      </w:r>
      <w:r w:rsidRPr="00282AC9">
        <w:rPr>
          <w:rFonts w:hint="cs"/>
          <w:sz w:val="27"/>
          <w:rtl/>
          <w:lang w:bidi="fa-IR"/>
        </w:rPr>
        <w:t>ة العقود للم</w:t>
      </w:r>
      <w:r w:rsidR="00306B3C" w:rsidRPr="00282AC9">
        <w:rPr>
          <w:rFonts w:hint="cs"/>
          <w:sz w:val="27"/>
          <w:rtl/>
          <w:lang w:bidi="fa-IR"/>
        </w:rPr>
        <w:t>ِ</w:t>
      </w:r>
      <w:r w:rsidRPr="00282AC9">
        <w:rPr>
          <w:rFonts w:hint="cs"/>
          <w:sz w:val="27"/>
          <w:rtl/>
          <w:lang w:bidi="fa-IR"/>
        </w:rPr>
        <w:t>ل</w:t>
      </w:r>
      <w:r w:rsidR="00306B3C" w:rsidRPr="00282AC9">
        <w:rPr>
          <w:rFonts w:hint="cs"/>
          <w:sz w:val="27"/>
          <w:rtl/>
          <w:lang w:bidi="fa-IR"/>
        </w:rPr>
        <w:t>ْ</w:t>
      </w:r>
      <w:r w:rsidRPr="00282AC9">
        <w:rPr>
          <w:rFonts w:hint="cs"/>
          <w:sz w:val="27"/>
          <w:rtl/>
          <w:lang w:bidi="fa-IR"/>
        </w:rPr>
        <w:t>كي</w:t>
      </w:r>
      <w:r w:rsidR="00306B3C" w:rsidRPr="00282AC9">
        <w:rPr>
          <w:rFonts w:hint="cs"/>
          <w:sz w:val="27"/>
          <w:rtl/>
          <w:lang w:bidi="fa-IR"/>
        </w:rPr>
        <w:t>ّ</w:t>
      </w:r>
      <w:r w:rsidRPr="00282AC9">
        <w:rPr>
          <w:rFonts w:hint="cs"/>
          <w:sz w:val="27"/>
          <w:rtl/>
          <w:lang w:bidi="fa-IR"/>
        </w:rPr>
        <w:t xml:space="preserve">ة. </w:t>
      </w:r>
    </w:p>
    <w:p w:rsidR="0062395A" w:rsidRPr="00282AC9" w:rsidRDefault="0062395A" w:rsidP="000F0B20">
      <w:pPr>
        <w:spacing w:line="416" w:lineRule="exact"/>
        <w:rPr>
          <w:sz w:val="27"/>
          <w:rtl/>
          <w:lang w:bidi="fa-IR"/>
        </w:rPr>
      </w:pPr>
      <w:r w:rsidRPr="00282AC9">
        <w:rPr>
          <w:sz w:val="27"/>
          <w:rtl/>
          <w:lang w:bidi="fa-IR"/>
        </w:rPr>
        <w:t>وقد تمّ بيان مفاصل هذه الرؤية بشكل</w:t>
      </w:r>
      <w:r w:rsidR="00306B3C" w:rsidRPr="00282AC9">
        <w:rPr>
          <w:rFonts w:hint="cs"/>
          <w:sz w:val="27"/>
          <w:rtl/>
          <w:lang w:bidi="fa-IR"/>
        </w:rPr>
        <w:t>ٍ</w:t>
      </w:r>
      <w:r w:rsidRPr="00282AC9">
        <w:rPr>
          <w:sz w:val="27"/>
          <w:rtl/>
          <w:lang w:bidi="fa-IR"/>
        </w:rPr>
        <w:t xml:space="preserve"> مبسوط، وكذلك نقدها</w:t>
      </w:r>
      <w:r w:rsidR="00306B3C" w:rsidRPr="00282AC9">
        <w:rPr>
          <w:rFonts w:hint="cs"/>
          <w:sz w:val="27"/>
          <w:rtl/>
          <w:lang w:bidi="fa-IR"/>
        </w:rPr>
        <w:t>،</w:t>
      </w:r>
      <w:r w:rsidRPr="00282AC9">
        <w:rPr>
          <w:sz w:val="27"/>
          <w:rtl/>
          <w:lang w:bidi="fa-IR"/>
        </w:rPr>
        <w:t xml:space="preserve"> في دراس</w:t>
      </w:r>
      <w:r w:rsidRPr="00282AC9">
        <w:rPr>
          <w:rFonts w:hint="cs"/>
          <w:sz w:val="27"/>
          <w:rtl/>
          <w:lang w:bidi="fa-IR"/>
        </w:rPr>
        <w:t>تين مستقلّتين</w:t>
      </w:r>
      <w:r w:rsidR="00306B3C" w:rsidRPr="00282AC9">
        <w:rPr>
          <w:rFonts w:hint="cs"/>
          <w:sz w:val="27"/>
          <w:rtl/>
          <w:lang w:bidi="fa-IR"/>
        </w:rPr>
        <w:t>،</w:t>
      </w:r>
      <w:r w:rsidRPr="00282AC9">
        <w:rPr>
          <w:rFonts w:hint="cs"/>
          <w:sz w:val="27"/>
          <w:rtl/>
          <w:lang w:bidi="fa-IR"/>
        </w:rPr>
        <w:t xml:space="preserve"> تمّ نشرهما سابقاً</w:t>
      </w:r>
      <w:r w:rsidRPr="00282AC9">
        <w:rPr>
          <w:sz w:val="27"/>
          <w:rtl/>
          <w:lang w:bidi="fa-IR"/>
        </w:rPr>
        <w:t>، فراج</w:t>
      </w:r>
      <w:r w:rsidR="00306B3C" w:rsidRPr="00282AC9">
        <w:rPr>
          <w:rFonts w:hint="cs"/>
          <w:sz w:val="27"/>
          <w:rtl/>
          <w:lang w:bidi="fa-IR"/>
        </w:rPr>
        <w:t>ِ</w:t>
      </w:r>
      <w:r w:rsidRPr="00282AC9">
        <w:rPr>
          <w:sz w:val="27"/>
          <w:rtl/>
          <w:lang w:bidi="fa-IR"/>
        </w:rPr>
        <w:t>ع</w:t>
      </w:r>
      <w:r w:rsidR="00306B3C" w:rsidRPr="00282AC9">
        <w:rPr>
          <w:rFonts w:hint="cs"/>
          <w:sz w:val="27"/>
          <w:rtl/>
          <w:lang w:bidi="fa-IR"/>
        </w:rPr>
        <w:t>ْ</w:t>
      </w:r>
      <w:r w:rsidRPr="00282AC9">
        <w:rPr>
          <w:sz w:val="27"/>
          <w:rtl/>
          <w:lang w:bidi="fa-IR"/>
        </w:rPr>
        <w:t xml:space="preserve"> إن</w:t>
      </w:r>
      <w:r w:rsidR="00306B3C" w:rsidRPr="00282AC9">
        <w:rPr>
          <w:rFonts w:hint="cs"/>
          <w:sz w:val="27"/>
          <w:rtl/>
          <w:lang w:bidi="fa-IR"/>
        </w:rPr>
        <w:t>ْ</w:t>
      </w:r>
      <w:r w:rsidRPr="00282AC9">
        <w:rPr>
          <w:sz w:val="27"/>
          <w:rtl/>
          <w:lang w:bidi="fa-IR"/>
        </w:rPr>
        <w:t xml:space="preserve"> شئت</w:t>
      </w:r>
      <w:r w:rsidR="00306B3C" w:rsidRPr="00282AC9">
        <w:rPr>
          <w:rFonts w:hint="cs"/>
          <w:sz w:val="27"/>
          <w:rtl/>
          <w:lang w:bidi="fa-IR"/>
        </w:rPr>
        <w:t>َ</w:t>
      </w:r>
      <w:r w:rsidRPr="00282AC9">
        <w:rPr>
          <w:sz w:val="27"/>
          <w:vertAlign w:val="superscript"/>
          <w:rtl/>
          <w:lang w:bidi="fa-IR"/>
        </w:rPr>
        <w:t>(</w:t>
      </w:r>
      <w:r w:rsidRPr="00282AC9">
        <w:rPr>
          <w:sz w:val="27"/>
          <w:vertAlign w:val="superscript"/>
          <w:rtl/>
          <w:lang w:bidi="fa-IR"/>
        </w:rPr>
        <w:endnoteReference w:id="1011"/>
      </w:r>
      <w:r w:rsidRPr="00282AC9">
        <w:rPr>
          <w:rFonts w:hint="cs"/>
          <w:sz w:val="27"/>
          <w:vertAlign w:val="superscript"/>
          <w:rtl/>
          <w:lang w:bidi="fa-IR"/>
        </w:rPr>
        <w:t>)</w:t>
      </w:r>
      <w:r w:rsidRPr="00282AC9">
        <w:rPr>
          <w:sz w:val="27"/>
          <w:rtl/>
          <w:lang w:bidi="fa-IR"/>
        </w:rPr>
        <w:t>.</w:t>
      </w:r>
    </w:p>
    <w:p w:rsidR="0062395A" w:rsidRPr="00282AC9" w:rsidRDefault="0062395A" w:rsidP="00715FC8">
      <w:pPr>
        <w:pStyle w:val="31"/>
        <w:rPr>
          <w:color w:val="auto"/>
          <w:rtl/>
        </w:rPr>
      </w:pPr>
      <w:r w:rsidRPr="00282AC9">
        <w:rPr>
          <w:rFonts w:hint="cs"/>
          <w:color w:val="auto"/>
          <w:rtl/>
        </w:rPr>
        <w:lastRenderedPageBreak/>
        <w:t>أهمّ نتائج القسم الأوّل من البحث</w:t>
      </w:r>
    </w:p>
    <w:p w:rsidR="0062395A" w:rsidRPr="00282AC9" w:rsidRDefault="0062395A" w:rsidP="000F0B20">
      <w:pPr>
        <w:spacing w:line="420" w:lineRule="exact"/>
        <w:rPr>
          <w:sz w:val="27"/>
          <w:rtl/>
        </w:rPr>
      </w:pPr>
      <w:r w:rsidRPr="00282AC9">
        <w:rPr>
          <w:rFonts w:hint="cs"/>
          <w:b/>
          <w:bCs/>
          <w:sz w:val="27"/>
          <w:rtl/>
          <w:lang w:bidi="ar-IQ"/>
        </w:rPr>
        <w:t>أوّلاً</w:t>
      </w:r>
      <w:r w:rsidRPr="00282AC9">
        <w:rPr>
          <w:rFonts w:hint="cs"/>
          <w:sz w:val="27"/>
          <w:rtl/>
          <w:lang w:bidi="ar-IQ"/>
        </w:rPr>
        <w:t>: في</w:t>
      </w:r>
      <w:r w:rsidR="00306B3C" w:rsidRPr="00282AC9">
        <w:rPr>
          <w:rFonts w:hint="cs"/>
          <w:sz w:val="27"/>
          <w:rtl/>
          <w:lang w:bidi="ar-IQ"/>
        </w:rPr>
        <w:t xml:space="preserve"> </w:t>
      </w:r>
      <w:r w:rsidRPr="00282AC9">
        <w:rPr>
          <w:rFonts w:hint="cs"/>
          <w:sz w:val="27"/>
          <w:rtl/>
          <w:lang w:bidi="ar-IQ"/>
        </w:rPr>
        <w:t>ما يتعلّ</w:t>
      </w:r>
      <w:r w:rsidR="00306B3C" w:rsidRPr="00282AC9">
        <w:rPr>
          <w:rFonts w:hint="cs"/>
          <w:sz w:val="27"/>
          <w:rtl/>
          <w:lang w:bidi="ar-IQ"/>
        </w:rPr>
        <w:t>َ</w:t>
      </w:r>
      <w:r w:rsidRPr="00282AC9">
        <w:rPr>
          <w:rFonts w:hint="cs"/>
          <w:sz w:val="27"/>
          <w:rtl/>
          <w:lang w:bidi="ar-IQ"/>
        </w:rPr>
        <w:t xml:space="preserve">ق ببيان حقيقة </w:t>
      </w:r>
      <w:r w:rsidR="00EB1216" w:rsidRPr="00282AC9">
        <w:rPr>
          <w:rFonts w:hint="cs"/>
          <w:sz w:val="27"/>
          <w:rtl/>
          <w:lang w:bidi="ar-IQ"/>
        </w:rPr>
        <w:t>المِلْكيّة</w:t>
      </w:r>
      <w:r w:rsidRPr="00282AC9">
        <w:rPr>
          <w:rFonts w:hint="cs"/>
          <w:sz w:val="27"/>
          <w:rtl/>
          <w:lang w:bidi="ar-IQ"/>
        </w:rPr>
        <w:t xml:space="preserve"> المبحوث عنها في عالَم التشريع والتقنين:</w:t>
      </w:r>
    </w:p>
    <w:p w:rsidR="0062395A" w:rsidRPr="00282AC9" w:rsidRDefault="0062395A" w:rsidP="00760819">
      <w:pPr>
        <w:rPr>
          <w:sz w:val="27"/>
          <w:rtl/>
        </w:rPr>
      </w:pPr>
      <w:r w:rsidRPr="00282AC9">
        <w:rPr>
          <w:rFonts w:hint="cs"/>
          <w:sz w:val="27"/>
          <w:rtl/>
        </w:rPr>
        <w:t>1ـ إنّها من ال</w:t>
      </w:r>
      <w:r w:rsidR="00306B3C" w:rsidRPr="00282AC9">
        <w:rPr>
          <w:rFonts w:hint="cs"/>
          <w:sz w:val="27"/>
          <w:rtl/>
        </w:rPr>
        <w:t>أ</w:t>
      </w:r>
      <w:r w:rsidRPr="00282AC9">
        <w:rPr>
          <w:rFonts w:hint="cs"/>
          <w:sz w:val="27"/>
          <w:rtl/>
        </w:rPr>
        <w:t>مور الاعتباري</w:t>
      </w:r>
      <w:r w:rsidR="00306B3C" w:rsidRPr="00282AC9">
        <w:rPr>
          <w:rFonts w:hint="cs"/>
          <w:sz w:val="27"/>
          <w:rtl/>
        </w:rPr>
        <w:t>ّ</w:t>
      </w:r>
      <w:r w:rsidRPr="00282AC9">
        <w:rPr>
          <w:rFonts w:hint="cs"/>
          <w:sz w:val="27"/>
          <w:rtl/>
        </w:rPr>
        <w:t>ة، ولا غموض في تصوّ</w:t>
      </w:r>
      <w:r w:rsidR="00306B3C" w:rsidRPr="00282AC9">
        <w:rPr>
          <w:rFonts w:hint="cs"/>
          <w:sz w:val="27"/>
          <w:rtl/>
        </w:rPr>
        <w:t>ُ</w:t>
      </w:r>
      <w:r w:rsidRPr="00282AC9">
        <w:rPr>
          <w:rFonts w:hint="cs"/>
          <w:sz w:val="27"/>
          <w:rtl/>
        </w:rPr>
        <w:t>رهما لدى الذهن الع</w:t>
      </w:r>
      <w:r w:rsidR="00306B3C" w:rsidRPr="00282AC9">
        <w:rPr>
          <w:rFonts w:hint="cs"/>
          <w:sz w:val="27"/>
          <w:rtl/>
        </w:rPr>
        <w:t>ُ</w:t>
      </w:r>
      <w:r w:rsidRPr="00282AC9">
        <w:rPr>
          <w:rFonts w:hint="cs"/>
          <w:sz w:val="27"/>
          <w:rtl/>
        </w:rPr>
        <w:t>ر</w:t>
      </w:r>
      <w:r w:rsidR="00306B3C" w:rsidRPr="00282AC9">
        <w:rPr>
          <w:rFonts w:hint="cs"/>
          <w:sz w:val="27"/>
          <w:rtl/>
        </w:rPr>
        <w:t>ْ</w:t>
      </w:r>
      <w:r w:rsidRPr="00282AC9">
        <w:rPr>
          <w:rFonts w:hint="cs"/>
          <w:sz w:val="27"/>
          <w:rtl/>
        </w:rPr>
        <w:t>في والعقلائي</w:t>
      </w:r>
      <w:r w:rsidR="00306B3C" w:rsidRPr="00282AC9">
        <w:rPr>
          <w:rFonts w:hint="cs"/>
          <w:sz w:val="27"/>
          <w:rtl/>
        </w:rPr>
        <w:t>ّ.</w:t>
      </w:r>
      <w:r w:rsidRPr="00282AC9">
        <w:rPr>
          <w:rFonts w:hint="cs"/>
          <w:sz w:val="27"/>
          <w:rtl/>
        </w:rPr>
        <w:t xml:space="preserve"> وأمّا نوع اعتبارها فهو بالج</w:t>
      </w:r>
      <w:r w:rsidR="00306B3C" w:rsidRPr="00282AC9">
        <w:rPr>
          <w:rFonts w:hint="cs"/>
          <w:sz w:val="27"/>
          <w:rtl/>
        </w:rPr>
        <w:t>َ</w:t>
      </w:r>
      <w:r w:rsidRPr="00282AC9">
        <w:rPr>
          <w:rFonts w:hint="cs"/>
          <w:sz w:val="27"/>
          <w:rtl/>
        </w:rPr>
        <w:t>ع</w:t>
      </w:r>
      <w:r w:rsidR="00306B3C" w:rsidRPr="00282AC9">
        <w:rPr>
          <w:rFonts w:hint="cs"/>
          <w:sz w:val="27"/>
          <w:rtl/>
        </w:rPr>
        <w:t>ْ</w:t>
      </w:r>
      <w:r w:rsidRPr="00282AC9">
        <w:rPr>
          <w:rFonts w:hint="cs"/>
          <w:sz w:val="27"/>
          <w:rtl/>
        </w:rPr>
        <w:t>ل الاستقلالي، لا بالانتزاع من الحكم التكليفي</w:t>
      </w:r>
      <w:r w:rsidR="00306B3C" w:rsidRPr="00282AC9">
        <w:rPr>
          <w:rFonts w:hint="cs"/>
          <w:sz w:val="27"/>
          <w:rtl/>
        </w:rPr>
        <w:t>ّ</w:t>
      </w:r>
      <w:r w:rsidRPr="00282AC9">
        <w:rPr>
          <w:rFonts w:hint="cs"/>
          <w:sz w:val="27"/>
          <w:rtl/>
        </w:rPr>
        <w:t>؛ فإنّ فرضية الانتزاع ي</w:t>
      </w:r>
      <w:r w:rsidR="00306B3C" w:rsidRPr="00282AC9">
        <w:rPr>
          <w:rFonts w:hint="cs"/>
          <w:sz w:val="27"/>
          <w:rtl/>
        </w:rPr>
        <w:t>َ</w:t>
      </w:r>
      <w:r w:rsidRPr="00282AC9">
        <w:rPr>
          <w:rFonts w:hint="cs"/>
          <w:sz w:val="27"/>
          <w:rtl/>
        </w:rPr>
        <w:t>ر</w:t>
      </w:r>
      <w:r w:rsidR="00306B3C" w:rsidRPr="00282AC9">
        <w:rPr>
          <w:rFonts w:hint="cs"/>
          <w:sz w:val="27"/>
          <w:rtl/>
        </w:rPr>
        <w:t>ِ</w:t>
      </w:r>
      <w:r w:rsidRPr="00282AC9">
        <w:rPr>
          <w:rFonts w:hint="cs"/>
          <w:sz w:val="27"/>
          <w:rtl/>
        </w:rPr>
        <w:t>د</w:t>
      </w:r>
      <w:r w:rsidR="00306B3C" w:rsidRPr="00282AC9">
        <w:rPr>
          <w:rFonts w:hint="cs"/>
          <w:sz w:val="27"/>
          <w:rtl/>
        </w:rPr>
        <w:t>ُ</w:t>
      </w:r>
      <w:r w:rsidRPr="00282AC9">
        <w:rPr>
          <w:rFonts w:hint="cs"/>
          <w:sz w:val="27"/>
          <w:rtl/>
        </w:rPr>
        <w:t xml:space="preserve"> عليها جملة</w:t>
      </w:r>
      <w:r w:rsidR="00306B3C" w:rsidRPr="00282AC9">
        <w:rPr>
          <w:rFonts w:hint="cs"/>
          <w:sz w:val="27"/>
          <w:rtl/>
        </w:rPr>
        <w:t>ٌ</w:t>
      </w:r>
      <w:r w:rsidRPr="00282AC9">
        <w:rPr>
          <w:rFonts w:hint="cs"/>
          <w:sz w:val="27"/>
          <w:rtl/>
        </w:rPr>
        <w:t xml:space="preserve"> من الإيرادات، ولا يصحّ النقض عليه بإمكان افتراض انتزاع </w:t>
      </w:r>
      <w:r w:rsidR="00EB1216" w:rsidRPr="00282AC9">
        <w:rPr>
          <w:rFonts w:hint="cs"/>
          <w:sz w:val="27"/>
          <w:rtl/>
        </w:rPr>
        <w:t>المِلْكيّة</w:t>
      </w:r>
      <w:r w:rsidRPr="00282AC9">
        <w:rPr>
          <w:rFonts w:hint="cs"/>
          <w:sz w:val="27"/>
          <w:rtl/>
        </w:rPr>
        <w:t xml:space="preserve"> من جواز التصرّ</w:t>
      </w:r>
      <w:r w:rsidR="00306B3C" w:rsidRPr="00282AC9">
        <w:rPr>
          <w:rFonts w:hint="cs"/>
          <w:sz w:val="27"/>
          <w:rtl/>
        </w:rPr>
        <w:t>ُ</w:t>
      </w:r>
      <w:r w:rsidRPr="00282AC9">
        <w:rPr>
          <w:rFonts w:hint="cs"/>
          <w:sz w:val="27"/>
          <w:rtl/>
        </w:rPr>
        <w:t>ف المشروط بالبلوغ ونحوه.</w:t>
      </w:r>
    </w:p>
    <w:p w:rsidR="0062395A" w:rsidRPr="00282AC9" w:rsidRDefault="0062395A" w:rsidP="00495D24">
      <w:pPr>
        <w:rPr>
          <w:sz w:val="27"/>
          <w:rtl/>
        </w:rPr>
      </w:pPr>
      <w:r w:rsidRPr="00282AC9">
        <w:rPr>
          <w:rFonts w:hint="cs"/>
          <w:sz w:val="27"/>
          <w:rtl/>
        </w:rPr>
        <w:t xml:space="preserve">2ـ إنّ </w:t>
      </w:r>
      <w:r w:rsidR="00EB1216" w:rsidRPr="00282AC9">
        <w:rPr>
          <w:rFonts w:hint="cs"/>
          <w:sz w:val="27"/>
          <w:rtl/>
        </w:rPr>
        <w:t>المِلْكيّة</w:t>
      </w:r>
      <w:r w:rsidRPr="00282AC9">
        <w:rPr>
          <w:rFonts w:hint="cs"/>
          <w:sz w:val="27"/>
          <w:rtl/>
        </w:rPr>
        <w:t xml:space="preserve"> الاعتباري</w:t>
      </w:r>
      <w:r w:rsidR="00306B3C" w:rsidRPr="00282AC9">
        <w:rPr>
          <w:rFonts w:hint="cs"/>
          <w:sz w:val="27"/>
          <w:rtl/>
        </w:rPr>
        <w:t>ّ</w:t>
      </w:r>
      <w:r w:rsidRPr="00282AC9">
        <w:rPr>
          <w:rFonts w:hint="cs"/>
          <w:sz w:val="27"/>
          <w:rtl/>
        </w:rPr>
        <w:t>ة مجعولة</w:t>
      </w:r>
      <w:r w:rsidR="00306B3C" w:rsidRPr="00282AC9">
        <w:rPr>
          <w:rFonts w:hint="cs"/>
          <w:sz w:val="27"/>
          <w:rtl/>
        </w:rPr>
        <w:t>ٌ</w:t>
      </w:r>
      <w:r w:rsidRPr="00282AC9">
        <w:rPr>
          <w:rFonts w:hint="cs"/>
          <w:sz w:val="27"/>
          <w:rtl/>
        </w:rPr>
        <w:t xml:space="preserve"> ب</w:t>
      </w:r>
      <w:r w:rsidR="00306B3C" w:rsidRPr="00282AC9">
        <w:rPr>
          <w:rFonts w:hint="cs"/>
          <w:sz w:val="27"/>
          <w:rtl/>
        </w:rPr>
        <w:t>إ</w:t>
      </w:r>
      <w:r w:rsidRPr="00282AC9">
        <w:rPr>
          <w:rFonts w:hint="cs"/>
          <w:sz w:val="27"/>
          <w:rtl/>
        </w:rPr>
        <w:t xml:space="preserve">زاء </w:t>
      </w:r>
      <w:r w:rsidR="00EB1216" w:rsidRPr="00282AC9">
        <w:rPr>
          <w:rFonts w:hint="cs"/>
          <w:sz w:val="27"/>
          <w:rtl/>
        </w:rPr>
        <w:t>المِلْكيّة</w:t>
      </w:r>
      <w:r w:rsidRPr="00282AC9">
        <w:rPr>
          <w:rFonts w:hint="cs"/>
          <w:sz w:val="27"/>
          <w:rtl/>
        </w:rPr>
        <w:t xml:space="preserve"> والسلطنة التكويني</w:t>
      </w:r>
      <w:r w:rsidR="00306B3C" w:rsidRPr="00282AC9">
        <w:rPr>
          <w:rFonts w:hint="cs"/>
          <w:sz w:val="27"/>
          <w:rtl/>
        </w:rPr>
        <w:t>ّ</w:t>
      </w:r>
      <w:r w:rsidRPr="00282AC9">
        <w:rPr>
          <w:rFonts w:hint="cs"/>
          <w:sz w:val="27"/>
          <w:rtl/>
        </w:rPr>
        <w:t>ة</w:t>
      </w:r>
      <w:r w:rsidR="00306B3C" w:rsidRPr="00282AC9">
        <w:rPr>
          <w:rFonts w:hint="cs"/>
          <w:sz w:val="27"/>
          <w:rtl/>
        </w:rPr>
        <w:t xml:space="preserve">، </w:t>
      </w:r>
      <w:r w:rsidRPr="00282AC9">
        <w:rPr>
          <w:rFonts w:hint="cs"/>
          <w:sz w:val="27"/>
          <w:rtl/>
        </w:rPr>
        <w:t>كسلطنة الإنسان على جوارحه وأفعاله</w:t>
      </w:r>
      <w:r w:rsidR="00306B3C" w:rsidRPr="00282AC9">
        <w:rPr>
          <w:rFonts w:hint="cs"/>
          <w:sz w:val="27"/>
          <w:rtl/>
        </w:rPr>
        <w:t>.</w:t>
      </w:r>
      <w:r w:rsidRPr="00282AC9">
        <w:rPr>
          <w:rFonts w:hint="cs"/>
          <w:sz w:val="27"/>
          <w:rtl/>
        </w:rPr>
        <w:t xml:space="preserve"> وهذه </w:t>
      </w:r>
      <w:r w:rsidR="00EB1216" w:rsidRPr="00282AC9">
        <w:rPr>
          <w:rFonts w:hint="cs"/>
          <w:sz w:val="27"/>
          <w:rtl/>
        </w:rPr>
        <w:t>المِلْكيّة</w:t>
      </w:r>
      <w:r w:rsidRPr="00282AC9">
        <w:rPr>
          <w:rFonts w:hint="cs"/>
          <w:sz w:val="27"/>
          <w:rtl/>
        </w:rPr>
        <w:t xml:space="preserve"> الاعتباري</w:t>
      </w:r>
      <w:r w:rsidR="00306B3C" w:rsidRPr="00282AC9">
        <w:rPr>
          <w:rFonts w:hint="cs"/>
          <w:sz w:val="27"/>
          <w:rtl/>
        </w:rPr>
        <w:t>ّ</w:t>
      </w:r>
      <w:r w:rsidRPr="00282AC9">
        <w:rPr>
          <w:rFonts w:hint="cs"/>
          <w:sz w:val="27"/>
          <w:rtl/>
        </w:rPr>
        <w:t>ة لها ع</w:t>
      </w:r>
      <w:r w:rsidR="00306B3C" w:rsidRPr="00282AC9">
        <w:rPr>
          <w:rFonts w:hint="cs"/>
          <w:sz w:val="27"/>
          <w:rtl/>
        </w:rPr>
        <w:t>َ</w:t>
      </w:r>
      <w:r w:rsidRPr="00282AC9">
        <w:rPr>
          <w:rFonts w:hint="cs"/>
          <w:sz w:val="27"/>
          <w:rtl/>
        </w:rPr>
        <w:t>ر</w:t>
      </w:r>
      <w:r w:rsidR="00306B3C" w:rsidRPr="00282AC9">
        <w:rPr>
          <w:rFonts w:hint="cs"/>
          <w:sz w:val="27"/>
          <w:rtl/>
        </w:rPr>
        <w:t>ْ</w:t>
      </w:r>
      <w:r w:rsidRPr="00282AC9">
        <w:rPr>
          <w:rFonts w:hint="cs"/>
          <w:sz w:val="27"/>
          <w:rtl/>
        </w:rPr>
        <w:t>ض</w:t>
      </w:r>
      <w:r w:rsidR="00306B3C" w:rsidRPr="00282AC9">
        <w:rPr>
          <w:rFonts w:hint="cs"/>
          <w:sz w:val="27"/>
          <w:rtl/>
        </w:rPr>
        <w:t>ٌ</w:t>
      </w:r>
      <w:r w:rsidRPr="00282AC9">
        <w:rPr>
          <w:rFonts w:hint="cs"/>
          <w:sz w:val="27"/>
          <w:rtl/>
        </w:rPr>
        <w:t xml:space="preserve"> عريض، فكما تتعلّ</w:t>
      </w:r>
      <w:r w:rsidR="00306B3C" w:rsidRPr="00282AC9">
        <w:rPr>
          <w:rFonts w:hint="cs"/>
          <w:sz w:val="27"/>
          <w:rtl/>
        </w:rPr>
        <w:t>َ</w:t>
      </w:r>
      <w:r w:rsidRPr="00282AC9">
        <w:rPr>
          <w:rFonts w:hint="cs"/>
          <w:sz w:val="27"/>
          <w:rtl/>
        </w:rPr>
        <w:t>ق بالأعيان الخارجي</w:t>
      </w:r>
      <w:r w:rsidR="00306B3C" w:rsidRPr="00282AC9">
        <w:rPr>
          <w:rFonts w:hint="cs"/>
          <w:sz w:val="27"/>
          <w:rtl/>
        </w:rPr>
        <w:t>ّ</w:t>
      </w:r>
      <w:r w:rsidRPr="00282AC9">
        <w:rPr>
          <w:rFonts w:hint="cs"/>
          <w:sz w:val="27"/>
          <w:rtl/>
        </w:rPr>
        <w:t>ة تتعلّ</w:t>
      </w:r>
      <w:r w:rsidR="00306B3C" w:rsidRPr="00282AC9">
        <w:rPr>
          <w:rFonts w:hint="cs"/>
          <w:sz w:val="27"/>
          <w:rtl/>
        </w:rPr>
        <w:t>َ</w:t>
      </w:r>
      <w:r w:rsidRPr="00282AC9">
        <w:rPr>
          <w:rFonts w:hint="cs"/>
          <w:sz w:val="27"/>
          <w:rtl/>
        </w:rPr>
        <w:t>ق بالمنافع، وأيضاً تتعلّ</w:t>
      </w:r>
      <w:r w:rsidR="00035B24" w:rsidRPr="00282AC9">
        <w:rPr>
          <w:rFonts w:hint="cs"/>
          <w:sz w:val="27"/>
          <w:rtl/>
        </w:rPr>
        <w:t>َ</w:t>
      </w:r>
      <w:r w:rsidRPr="00282AC9">
        <w:rPr>
          <w:rFonts w:hint="cs"/>
          <w:sz w:val="27"/>
          <w:rtl/>
        </w:rPr>
        <w:t>ق بالأموال الك</w:t>
      </w:r>
      <w:r w:rsidR="00035B24" w:rsidRPr="00282AC9">
        <w:rPr>
          <w:rFonts w:hint="cs"/>
          <w:sz w:val="27"/>
          <w:rtl/>
        </w:rPr>
        <w:t>ُ</w:t>
      </w:r>
      <w:r w:rsidRPr="00282AC9">
        <w:rPr>
          <w:rFonts w:hint="cs"/>
          <w:sz w:val="27"/>
          <w:rtl/>
        </w:rPr>
        <w:t>لّ</w:t>
      </w:r>
      <w:r w:rsidR="00035B24" w:rsidRPr="00282AC9">
        <w:rPr>
          <w:rFonts w:hint="cs"/>
          <w:sz w:val="27"/>
          <w:rtl/>
        </w:rPr>
        <w:t>ِ</w:t>
      </w:r>
      <w:r w:rsidRPr="00282AC9">
        <w:rPr>
          <w:rFonts w:hint="cs"/>
          <w:sz w:val="27"/>
          <w:rtl/>
        </w:rPr>
        <w:t>ية التي تكون في الذمّة. وهي ليست أمراً أسّ</w:t>
      </w:r>
      <w:r w:rsidR="00035B24" w:rsidRPr="00282AC9">
        <w:rPr>
          <w:rFonts w:hint="cs"/>
          <w:sz w:val="27"/>
          <w:rtl/>
        </w:rPr>
        <w:t>َ</w:t>
      </w:r>
      <w:r w:rsidRPr="00282AC9">
        <w:rPr>
          <w:rFonts w:hint="cs"/>
          <w:sz w:val="27"/>
          <w:rtl/>
        </w:rPr>
        <w:t>سه الشارع، وإنّما هي من ال</w:t>
      </w:r>
      <w:r w:rsidR="00035B24" w:rsidRPr="00282AC9">
        <w:rPr>
          <w:rFonts w:hint="cs"/>
          <w:sz w:val="27"/>
          <w:rtl/>
        </w:rPr>
        <w:t>أ</w:t>
      </w:r>
      <w:r w:rsidRPr="00282AC9">
        <w:rPr>
          <w:rFonts w:hint="cs"/>
          <w:sz w:val="27"/>
          <w:rtl/>
        </w:rPr>
        <w:t>مور الإمضائي</w:t>
      </w:r>
      <w:r w:rsidR="00035B24" w:rsidRPr="00282AC9">
        <w:rPr>
          <w:rFonts w:hint="cs"/>
          <w:sz w:val="27"/>
          <w:rtl/>
        </w:rPr>
        <w:t>ّ</w:t>
      </w:r>
      <w:r w:rsidRPr="00282AC9">
        <w:rPr>
          <w:rFonts w:hint="cs"/>
          <w:sz w:val="27"/>
          <w:rtl/>
        </w:rPr>
        <w:t>ة.</w:t>
      </w:r>
    </w:p>
    <w:p w:rsidR="0062395A" w:rsidRPr="00282AC9" w:rsidRDefault="0062395A" w:rsidP="00495D24">
      <w:pPr>
        <w:rPr>
          <w:sz w:val="27"/>
          <w:rtl/>
        </w:rPr>
      </w:pPr>
      <w:r w:rsidRPr="00282AC9">
        <w:rPr>
          <w:rFonts w:hint="cs"/>
          <w:sz w:val="27"/>
          <w:rtl/>
        </w:rPr>
        <w:t>3ـ إنّ ما طرحه فقهاؤنا</w:t>
      </w:r>
      <w:r w:rsidR="00035B24" w:rsidRPr="00282AC9">
        <w:rPr>
          <w:rFonts w:hint="cs"/>
          <w:sz w:val="27"/>
          <w:rtl/>
        </w:rPr>
        <w:t>،</w:t>
      </w:r>
      <w:r w:rsidRPr="00282AC9">
        <w:rPr>
          <w:rFonts w:hint="cs"/>
          <w:sz w:val="27"/>
          <w:rtl/>
        </w:rPr>
        <w:t xml:space="preserve"> بالرغم من دقّته ور</w:t>
      </w:r>
      <w:r w:rsidR="00035B24" w:rsidRPr="00282AC9">
        <w:rPr>
          <w:rFonts w:hint="cs"/>
          <w:sz w:val="27"/>
          <w:rtl/>
        </w:rPr>
        <w:t>َ</w:t>
      </w:r>
      <w:r w:rsidRPr="00282AC9">
        <w:rPr>
          <w:rFonts w:hint="cs"/>
          <w:sz w:val="27"/>
          <w:rtl/>
        </w:rPr>
        <w:t>و</w:t>
      </w:r>
      <w:r w:rsidR="00035B24" w:rsidRPr="00282AC9">
        <w:rPr>
          <w:rFonts w:hint="cs"/>
          <w:sz w:val="27"/>
          <w:rtl/>
        </w:rPr>
        <w:t>ْ</w:t>
      </w:r>
      <w:r w:rsidRPr="00282AC9">
        <w:rPr>
          <w:rFonts w:hint="cs"/>
          <w:sz w:val="27"/>
          <w:rtl/>
        </w:rPr>
        <w:t>عته</w:t>
      </w:r>
      <w:r w:rsidR="00035B24" w:rsidRPr="00282AC9">
        <w:rPr>
          <w:rFonts w:hint="cs"/>
          <w:sz w:val="27"/>
          <w:rtl/>
        </w:rPr>
        <w:t>،</w:t>
      </w:r>
      <w:r w:rsidRPr="00282AC9">
        <w:rPr>
          <w:rFonts w:hint="cs"/>
          <w:sz w:val="27"/>
          <w:rtl/>
        </w:rPr>
        <w:t xml:space="preserve"> ليس له أيّ علاقة</w:t>
      </w:r>
      <w:r w:rsidR="00035B24" w:rsidRPr="00282AC9">
        <w:rPr>
          <w:rFonts w:hint="cs"/>
          <w:sz w:val="27"/>
          <w:rtl/>
        </w:rPr>
        <w:t>ٍ</w:t>
      </w:r>
      <w:r w:rsidRPr="00282AC9">
        <w:rPr>
          <w:rFonts w:hint="cs"/>
          <w:sz w:val="27"/>
          <w:rtl/>
        </w:rPr>
        <w:t xml:space="preserve"> بتحديد مفهوم </w:t>
      </w:r>
      <w:r w:rsidR="00EB1216" w:rsidRPr="00282AC9">
        <w:rPr>
          <w:rFonts w:hint="cs"/>
          <w:sz w:val="27"/>
          <w:rtl/>
        </w:rPr>
        <w:t>المِلْكيّة</w:t>
      </w:r>
      <w:r w:rsidR="00035B24" w:rsidRPr="00282AC9">
        <w:rPr>
          <w:rFonts w:hint="cs"/>
          <w:sz w:val="27"/>
          <w:rtl/>
        </w:rPr>
        <w:t>،</w:t>
      </w:r>
      <w:r w:rsidRPr="00282AC9">
        <w:rPr>
          <w:rFonts w:hint="cs"/>
          <w:sz w:val="27"/>
          <w:rtl/>
        </w:rPr>
        <w:t xml:space="preserve"> وبيان ماهي</w:t>
      </w:r>
      <w:r w:rsidR="00035B24" w:rsidRPr="00282AC9">
        <w:rPr>
          <w:rFonts w:hint="cs"/>
          <w:sz w:val="27"/>
          <w:rtl/>
        </w:rPr>
        <w:t>ّ</w:t>
      </w:r>
      <w:r w:rsidRPr="00282AC9">
        <w:rPr>
          <w:rFonts w:hint="cs"/>
          <w:sz w:val="27"/>
          <w:rtl/>
        </w:rPr>
        <w:t>تها، بل هو بحث</w:t>
      </w:r>
      <w:r w:rsidR="00035B24" w:rsidRPr="00282AC9">
        <w:rPr>
          <w:rFonts w:hint="cs"/>
          <w:sz w:val="27"/>
          <w:rtl/>
        </w:rPr>
        <w:t>ٌ</w:t>
      </w:r>
      <w:r w:rsidRPr="00282AC9">
        <w:rPr>
          <w:rFonts w:hint="cs"/>
          <w:sz w:val="27"/>
          <w:rtl/>
        </w:rPr>
        <w:t xml:space="preserve"> في كيفي</w:t>
      </w:r>
      <w:r w:rsidR="00035B24" w:rsidRPr="00282AC9">
        <w:rPr>
          <w:rFonts w:hint="cs"/>
          <w:sz w:val="27"/>
          <w:rtl/>
        </w:rPr>
        <w:t>ّ</w:t>
      </w:r>
      <w:r w:rsidRPr="00282AC9">
        <w:rPr>
          <w:rFonts w:hint="cs"/>
          <w:sz w:val="27"/>
          <w:rtl/>
        </w:rPr>
        <w:t>ة وجودها الاعتباري</w:t>
      </w:r>
      <w:r w:rsidR="00035B24" w:rsidRPr="00282AC9">
        <w:rPr>
          <w:rFonts w:hint="cs"/>
          <w:sz w:val="27"/>
          <w:rtl/>
        </w:rPr>
        <w:t>ّ،</w:t>
      </w:r>
      <w:r w:rsidRPr="00282AC9">
        <w:rPr>
          <w:rFonts w:hint="cs"/>
          <w:sz w:val="27"/>
          <w:rtl/>
        </w:rPr>
        <w:t xml:space="preserve"> وتصوير ذلك في ضوء القواعد المنطقية والفلسفية. كما أنّهم لم يتصدّ</w:t>
      </w:r>
      <w:r w:rsidR="00035B24" w:rsidRPr="00282AC9">
        <w:rPr>
          <w:rFonts w:hint="cs"/>
          <w:sz w:val="27"/>
          <w:rtl/>
        </w:rPr>
        <w:t>ُ</w:t>
      </w:r>
      <w:r w:rsidRPr="00282AC9">
        <w:rPr>
          <w:rFonts w:hint="cs"/>
          <w:sz w:val="27"/>
          <w:rtl/>
        </w:rPr>
        <w:t>وا</w:t>
      </w:r>
      <w:r w:rsidR="00BC0925" w:rsidRPr="00282AC9">
        <w:rPr>
          <w:rFonts w:hint="cs"/>
          <w:sz w:val="27"/>
          <w:rtl/>
        </w:rPr>
        <w:t xml:space="preserve"> </w:t>
      </w:r>
      <w:r w:rsidR="00035B24" w:rsidRPr="00282AC9">
        <w:rPr>
          <w:rFonts w:hint="cs"/>
          <w:sz w:val="27"/>
          <w:rtl/>
        </w:rPr>
        <w:t>ل</w:t>
      </w:r>
      <w:r w:rsidRPr="00282AC9">
        <w:rPr>
          <w:rFonts w:hint="cs"/>
          <w:sz w:val="27"/>
          <w:rtl/>
        </w:rPr>
        <w:t xml:space="preserve">تحديد ماهية </w:t>
      </w:r>
      <w:r w:rsidR="00EB1216" w:rsidRPr="00282AC9">
        <w:rPr>
          <w:rFonts w:hint="cs"/>
          <w:sz w:val="27"/>
          <w:rtl/>
        </w:rPr>
        <w:t>المِلْكيّة</w:t>
      </w:r>
      <w:r w:rsidRPr="00282AC9">
        <w:rPr>
          <w:rFonts w:hint="cs"/>
          <w:sz w:val="27"/>
          <w:rtl/>
        </w:rPr>
        <w:t xml:space="preserve"> وتحديد مفهومها في البُع</w:t>
      </w:r>
      <w:r w:rsidR="00035B24" w:rsidRPr="00282AC9">
        <w:rPr>
          <w:rFonts w:hint="cs"/>
          <w:sz w:val="27"/>
          <w:rtl/>
        </w:rPr>
        <w:t>ْ</w:t>
      </w:r>
      <w:r w:rsidRPr="00282AC9">
        <w:rPr>
          <w:rFonts w:hint="cs"/>
          <w:sz w:val="27"/>
          <w:rtl/>
        </w:rPr>
        <w:t>د الحقوقي</w:t>
      </w:r>
      <w:r w:rsidR="00035B24" w:rsidRPr="00282AC9">
        <w:rPr>
          <w:rFonts w:hint="cs"/>
          <w:sz w:val="27"/>
          <w:rtl/>
        </w:rPr>
        <w:t>ّ</w:t>
      </w:r>
      <w:r w:rsidRPr="00282AC9">
        <w:rPr>
          <w:rFonts w:hint="cs"/>
          <w:sz w:val="27"/>
          <w:rtl/>
        </w:rPr>
        <w:t>، وب</w:t>
      </w:r>
      <w:r w:rsidR="00035B24" w:rsidRPr="00282AC9">
        <w:rPr>
          <w:rFonts w:hint="cs"/>
          <w:sz w:val="27"/>
          <w:rtl/>
        </w:rPr>
        <w:t>ِ</w:t>
      </w:r>
      <w:r w:rsidRPr="00282AC9">
        <w:rPr>
          <w:rFonts w:hint="cs"/>
          <w:sz w:val="27"/>
          <w:rtl/>
        </w:rPr>
        <w:t>مَ تمتاز عن غيرها من المفاهيم القريبة منها واللصيقة بها</w:t>
      </w:r>
      <w:r w:rsidR="00035B24" w:rsidRPr="00282AC9">
        <w:rPr>
          <w:rFonts w:hint="cs"/>
          <w:sz w:val="27"/>
          <w:rtl/>
        </w:rPr>
        <w:t>؟</w:t>
      </w:r>
      <w:r w:rsidRPr="00282AC9">
        <w:rPr>
          <w:rFonts w:hint="cs"/>
          <w:sz w:val="27"/>
          <w:rtl/>
        </w:rPr>
        <w:t xml:space="preserve"> وعليه، فنحن نطالب الفقه الإسلامي بتقديم تعريف للم</w:t>
      </w:r>
      <w:r w:rsidR="00035B24" w:rsidRPr="00282AC9">
        <w:rPr>
          <w:rFonts w:hint="cs"/>
          <w:sz w:val="27"/>
          <w:rtl/>
        </w:rPr>
        <w:t>ِ</w:t>
      </w:r>
      <w:r w:rsidRPr="00282AC9">
        <w:rPr>
          <w:rFonts w:hint="cs"/>
          <w:sz w:val="27"/>
          <w:rtl/>
        </w:rPr>
        <w:t>ل</w:t>
      </w:r>
      <w:r w:rsidR="00035B24" w:rsidRPr="00282AC9">
        <w:rPr>
          <w:rFonts w:hint="cs"/>
          <w:sz w:val="27"/>
          <w:rtl/>
        </w:rPr>
        <w:t>ْ</w:t>
      </w:r>
      <w:r w:rsidRPr="00282AC9">
        <w:rPr>
          <w:rFonts w:hint="cs"/>
          <w:sz w:val="27"/>
          <w:rtl/>
        </w:rPr>
        <w:t>كي</w:t>
      </w:r>
      <w:r w:rsidR="00035B24" w:rsidRPr="00282AC9">
        <w:rPr>
          <w:rFonts w:hint="cs"/>
          <w:sz w:val="27"/>
          <w:rtl/>
        </w:rPr>
        <w:t>ّ</w:t>
      </w:r>
      <w:r w:rsidRPr="00282AC9">
        <w:rPr>
          <w:rFonts w:hint="cs"/>
          <w:sz w:val="27"/>
          <w:rtl/>
        </w:rPr>
        <w:t>ة</w:t>
      </w:r>
      <w:r w:rsidR="00035B24" w:rsidRPr="00282AC9">
        <w:rPr>
          <w:rFonts w:hint="cs"/>
          <w:sz w:val="27"/>
          <w:rtl/>
        </w:rPr>
        <w:t>،</w:t>
      </w:r>
      <w:r w:rsidRPr="00282AC9">
        <w:rPr>
          <w:rFonts w:hint="cs"/>
          <w:sz w:val="27"/>
          <w:rtl/>
        </w:rPr>
        <w:t xml:space="preserve"> وتحديد مفهومها. وهذه مؤاخذة</w:t>
      </w:r>
      <w:r w:rsidR="00035B24" w:rsidRPr="00282AC9">
        <w:rPr>
          <w:rFonts w:hint="cs"/>
          <w:sz w:val="27"/>
          <w:rtl/>
        </w:rPr>
        <w:t>ٌ</w:t>
      </w:r>
      <w:r w:rsidRPr="00282AC9">
        <w:rPr>
          <w:rFonts w:hint="cs"/>
          <w:sz w:val="27"/>
          <w:rtl/>
        </w:rPr>
        <w:t xml:space="preserve"> منهجية جادّة تُؤ</w:t>
      </w:r>
      <w:r w:rsidR="00035B24" w:rsidRPr="00282AC9">
        <w:rPr>
          <w:rFonts w:hint="cs"/>
          <w:sz w:val="27"/>
          <w:rtl/>
        </w:rPr>
        <w:t>ْ</w:t>
      </w:r>
      <w:r w:rsidRPr="00282AC9">
        <w:rPr>
          <w:rFonts w:hint="cs"/>
          <w:sz w:val="27"/>
          <w:rtl/>
        </w:rPr>
        <w:t>خ</w:t>
      </w:r>
      <w:r w:rsidR="00035B24" w:rsidRPr="00282AC9">
        <w:rPr>
          <w:rFonts w:hint="cs"/>
          <w:sz w:val="27"/>
          <w:rtl/>
        </w:rPr>
        <w:t>َ</w:t>
      </w:r>
      <w:r w:rsidRPr="00282AC9">
        <w:rPr>
          <w:rFonts w:hint="cs"/>
          <w:sz w:val="27"/>
          <w:rtl/>
        </w:rPr>
        <w:t>ذ على الفقه الإسلامي، وينبغي له أن يملأ نقطة الفراغ المنهجية هذه</w:t>
      </w:r>
      <w:r w:rsidR="00035B24" w:rsidRPr="00282AC9">
        <w:rPr>
          <w:rFonts w:hint="cs"/>
          <w:sz w:val="27"/>
          <w:rtl/>
        </w:rPr>
        <w:t>،</w:t>
      </w:r>
      <w:r w:rsidRPr="00282AC9">
        <w:rPr>
          <w:rFonts w:hint="cs"/>
          <w:sz w:val="27"/>
          <w:rtl/>
        </w:rPr>
        <w:t xml:space="preserve"> وأن يسدّ هذه الثغرة.</w:t>
      </w:r>
    </w:p>
    <w:p w:rsidR="0062395A" w:rsidRPr="00282AC9" w:rsidRDefault="0062395A" w:rsidP="00495D24">
      <w:pPr>
        <w:rPr>
          <w:sz w:val="27"/>
          <w:rtl/>
        </w:rPr>
      </w:pPr>
      <w:r w:rsidRPr="00282AC9">
        <w:rPr>
          <w:rFonts w:hint="cs"/>
          <w:b/>
          <w:bCs/>
          <w:sz w:val="27"/>
          <w:rtl/>
          <w:lang w:bidi="ar-IQ"/>
        </w:rPr>
        <w:t>ثانياً</w:t>
      </w:r>
      <w:r w:rsidRPr="00282AC9">
        <w:rPr>
          <w:rFonts w:hint="cs"/>
          <w:sz w:val="27"/>
          <w:rtl/>
          <w:lang w:bidi="ar-IQ"/>
        </w:rPr>
        <w:t>: وأمّا في</w:t>
      </w:r>
      <w:r w:rsidR="00035B24" w:rsidRPr="00282AC9">
        <w:rPr>
          <w:rFonts w:hint="cs"/>
          <w:sz w:val="27"/>
          <w:rtl/>
          <w:lang w:bidi="ar-IQ"/>
        </w:rPr>
        <w:t xml:space="preserve"> </w:t>
      </w:r>
      <w:r w:rsidRPr="00282AC9">
        <w:rPr>
          <w:rFonts w:hint="cs"/>
          <w:sz w:val="27"/>
          <w:rtl/>
          <w:lang w:bidi="ar-IQ"/>
        </w:rPr>
        <w:t>ما يتعلّ</w:t>
      </w:r>
      <w:r w:rsidR="00035B24" w:rsidRPr="00282AC9">
        <w:rPr>
          <w:rFonts w:hint="cs"/>
          <w:sz w:val="27"/>
          <w:rtl/>
          <w:lang w:bidi="ar-IQ"/>
        </w:rPr>
        <w:t>َ</w:t>
      </w:r>
      <w:r w:rsidRPr="00282AC9">
        <w:rPr>
          <w:rFonts w:hint="cs"/>
          <w:sz w:val="27"/>
          <w:rtl/>
          <w:lang w:bidi="ar-IQ"/>
        </w:rPr>
        <w:t xml:space="preserve">ق بمسألة تعيين أسباب </w:t>
      </w:r>
      <w:r w:rsidR="00EB1216" w:rsidRPr="00282AC9">
        <w:rPr>
          <w:rFonts w:hint="cs"/>
          <w:sz w:val="27"/>
          <w:rtl/>
          <w:lang w:bidi="ar-IQ"/>
        </w:rPr>
        <w:t>المِلْكيّة</w:t>
      </w:r>
      <w:r w:rsidR="00035B24" w:rsidRPr="00282AC9">
        <w:rPr>
          <w:rFonts w:hint="cs"/>
          <w:sz w:val="27"/>
          <w:rtl/>
          <w:lang w:bidi="ar-IQ"/>
        </w:rPr>
        <w:t>،</w:t>
      </w:r>
      <w:r w:rsidRPr="00282AC9">
        <w:rPr>
          <w:rFonts w:hint="cs"/>
          <w:sz w:val="27"/>
          <w:rtl/>
          <w:lang w:bidi="ar-IQ"/>
        </w:rPr>
        <w:t xml:space="preserve"> فبعد تتبّ</w:t>
      </w:r>
      <w:r w:rsidR="00035B24" w:rsidRPr="00282AC9">
        <w:rPr>
          <w:rFonts w:hint="cs"/>
          <w:sz w:val="27"/>
          <w:rtl/>
          <w:lang w:bidi="ar-IQ"/>
        </w:rPr>
        <w:t>ُ</w:t>
      </w:r>
      <w:r w:rsidRPr="00282AC9">
        <w:rPr>
          <w:rFonts w:hint="cs"/>
          <w:sz w:val="27"/>
          <w:rtl/>
          <w:lang w:bidi="ar-IQ"/>
        </w:rPr>
        <w:t>ع واستقصاء آراء الفقهاء تمّ تصنيفها في أربعة اتّجاهات، وتصدّ</w:t>
      </w:r>
      <w:r w:rsidR="00035B24" w:rsidRPr="00282AC9">
        <w:rPr>
          <w:rFonts w:hint="cs"/>
          <w:sz w:val="27"/>
          <w:rtl/>
          <w:lang w:bidi="ar-IQ"/>
        </w:rPr>
        <w:t>َ</w:t>
      </w:r>
      <w:r w:rsidRPr="00282AC9">
        <w:rPr>
          <w:rFonts w:hint="cs"/>
          <w:sz w:val="27"/>
          <w:rtl/>
          <w:lang w:bidi="ar-IQ"/>
        </w:rPr>
        <w:t>ي</w:t>
      </w:r>
      <w:r w:rsidR="00035B24" w:rsidRPr="00282AC9">
        <w:rPr>
          <w:rFonts w:hint="cs"/>
          <w:sz w:val="27"/>
          <w:rtl/>
          <w:lang w:bidi="ar-IQ"/>
        </w:rPr>
        <w:t>ْ</w:t>
      </w:r>
      <w:r w:rsidRPr="00282AC9">
        <w:rPr>
          <w:rFonts w:hint="cs"/>
          <w:sz w:val="27"/>
          <w:rtl/>
          <w:lang w:bidi="ar-IQ"/>
        </w:rPr>
        <w:t>نا لع</w:t>
      </w:r>
      <w:r w:rsidR="00035B24" w:rsidRPr="00282AC9">
        <w:rPr>
          <w:rFonts w:hint="cs"/>
          <w:sz w:val="27"/>
          <w:rtl/>
          <w:lang w:bidi="ar-IQ"/>
        </w:rPr>
        <w:t>َ</w:t>
      </w:r>
      <w:r w:rsidRPr="00282AC9">
        <w:rPr>
          <w:rFonts w:hint="cs"/>
          <w:sz w:val="27"/>
          <w:rtl/>
          <w:lang w:bidi="ar-IQ"/>
        </w:rPr>
        <w:t>رْضها</w:t>
      </w:r>
      <w:r w:rsidR="00035B24" w:rsidRPr="00282AC9">
        <w:rPr>
          <w:rFonts w:hint="cs"/>
          <w:sz w:val="27"/>
          <w:rtl/>
          <w:lang w:bidi="ar-IQ"/>
        </w:rPr>
        <w:t>،</w:t>
      </w:r>
      <w:r w:rsidRPr="00282AC9">
        <w:rPr>
          <w:rFonts w:hint="cs"/>
          <w:sz w:val="27"/>
          <w:rtl/>
          <w:lang w:bidi="ar-IQ"/>
        </w:rPr>
        <w:t xml:space="preserve"> وتحليلها، ثمّ نقدها وتقويمها</w:t>
      </w:r>
      <w:r w:rsidR="00035B24" w:rsidRPr="00282AC9">
        <w:rPr>
          <w:rFonts w:hint="cs"/>
          <w:sz w:val="27"/>
          <w:rtl/>
          <w:lang w:bidi="ar-IQ"/>
        </w:rPr>
        <w:t>.</w:t>
      </w:r>
      <w:r w:rsidRPr="00282AC9">
        <w:rPr>
          <w:rFonts w:hint="cs"/>
          <w:sz w:val="27"/>
          <w:rtl/>
          <w:lang w:bidi="ar-IQ"/>
        </w:rPr>
        <w:t xml:space="preserve"> وقد اتّ</w:t>
      </w:r>
      <w:r w:rsidR="00035B24" w:rsidRPr="00282AC9">
        <w:rPr>
          <w:rFonts w:hint="cs"/>
          <w:sz w:val="27"/>
          <w:rtl/>
          <w:lang w:bidi="ar-IQ"/>
        </w:rPr>
        <w:t>َ</w:t>
      </w:r>
      <w:r w:rsidRPr="00282AC9">
        <w:rPr>
          <w:rFonts w:hint="cs"/>
          <w:sz w:val="27"/>
          <w:rtl/>
          <w:lang w:bidi="ar-IQ"/>
        </w:rPr>
        <w:t>ضح ما يلي:</w:t>
      </w:r>
    </w:p>
    <w:p w:rsidR="0062395A" w:rsidRPr="00282AC9" w:rsidRDefault="0062395A" w:rsidP="00495D24">
      <w:pPr>
        <w:rPr>
          <w:sz w:val="27"/>
          <w:rtl/>
          <w:lang w:bidi="fa-IR"/>
        </w:rPr>
      </w:pPr>
      <w:r w:rsidRPr="00282AC9">
        <w:rPr>
          <w:rFonts w:hint="cs"/>
          <w:sz w:val="27"/>
          <w:rtl/>
        </w:rPr>
        <w:t xml:space="preserve">1ـ </w:t>
      </w:r>
      <w:r w:rsidR="00035B24" w:rsidRPr="00282AC9">
        <w:rPr>
          <w:rFonts w:hint="cs"/>
          <w:sz w:val="27"/>
          <w:rtl/>
        </w:rPr>
        <w:t>إ</w:t>
      </w:r>
      <w:r w:rsidRPr="00282AC9">
        <w:rPr>
          <w:rFonts w:hint="cs"/>
          <w:sz w:val="27"/>
          <w:rtl/>
        </w:rPr>
        <w:t>نّ الصحيح هو تعدّ</w:t>
      </w:r>
      <w:r w:rsidR="00035B24" w:rsidRPr="00282AC9">
        <w:rPr>
          <w:rFonts w:hint="cs"/>
          <w:sz w:val="27"/>
          <w:rtl/>
        </w:rPr>
        <w:t>ُ</w:t>
      </w:r>
      <w:r w:rsidRPr="00282AC9">
        <w:rPr>
          <w:rFonts w:hint="cs"/>
          <w:sz w:val="27"/>
          <w:rtl/>
        </w:rPr>
        <w:t>د الأسباب</w:t>
      </w:r>
      <w:r w:rsidR="00035B24" w:rsidRPr="00282AC9">
        <w:rPr>
          <w:rFonts w:hint="cs"/>
          <w:sz w:val="27"/>
          <w:rtl/>
        </w:rPr>
        <w:t>،</w:t>
      </w:r>
      <w:r w:rsidRPr="00282AC9">
        <w:rPr>
          <w:rFonts w:hint="cs"/>
          <w:sz w:val="27"/>
          <w:rtl/>
        </w:rPr>
        <w:t xml:space="preserve"> وعدم صحّة الات</w:t>
      </w:r>
      <w:r w:rsidR="00035B24" w:rsidRPr="00282AC9">
        <w:rPr>
          <w:rFonts w:hint="cs"/>
          <w:sz w:val="27"/>
          <w:rtl/>
        </w:rPr>
        <w:t>ّ</w:t>
      </w:r>
      <w:r w:rsidRPr="00282AC9">
        <w:rPr>
          <w:rFonts w:hint="cs"/>
          <w:sz w:val="27"/>
          <w:rtl/>
        </w:rPr>
        <w:t>جاه الأوّل</w:t>
      </w:r>
      <w:r w:rsidR="00035B24" w:rsidRPr="00282AC9">
        <w:rPr>
          <w:rFonts w:hint="cs"/>
          <w:sz w:val="27"/>
          <w:rtl/>
        </w:rPr>
        <w:t>،</w:t>
      </w:r>
      <w:r w:rsidRPr="00282AC9">
        <w:rPr>
          <w:rFonts w:hint="cs"/>
          <w:sz w:val="27"/>
          <w:rtl/>
        </w:rPr>
        <w:t xml:space="preserve"> الذي يرى وحدتها</w:t>
      </w:r>
      <w:r w:rsidR="00035B24" w:rsidRPr="00282AC9">
        <w:rPr>
          <w:rFonts w:hint="cs"/>
          <w:sz w:val="27"/>
          <w:rtl/>
        </w:rPr>
        <w:t>،</w:t>
      </w:r>
      <w:r w:rsidRPr="00282AC9">
        <w:rPr>
          <w:rFonts w:hint="cs"/>
          <w:sz w:val="27"/>
          <w:rtl/>
        </w:rPr>
        <w:t xml:space="preserve"> وأنّ السبب الأوحد للم</w:t>
      </w:r>
      <w:r w:rsidR="00035B24" w:rsidRPr="00282AC9">
        <w:rPr>
          <w:rFonts w:hint="cs"/>
          <w:sz w:val="27"/>
          <w:rtl/>
        </w:rPr>
        <w:t>ِ</w:t>
      </w:r>
      <w:r w:rsidRPr="00282AC9">
        <w:rPr>
          <w:rFonts w:hint="cs"/>
          <w:sz w:val="27"/>
          <w:rtl/>
        </w:rPr>
        <w:t>ل</w:t>
      </w:r>
      <w:r w:rsidR="00035B24" w:rsidRPr="00282AC9">
        <w:rPr>
          <w:rFonts w:hint="cs"/>
          <w:sz w:val="27"/>
          <w:rtl/>
        </w:rPr>
        <w:t>ْ</w:t>
      </w:r>
      <w:r w:rsidRPr="00282AC9">
        <w:rPr>
          <w:rFonts w:hint="cs"/>
          <w:sz w:val="27"/>
          <w:rtl/>
        </w:rPr>
        <w:t>كي</w:t>
      </w:r>
      <w:r w:rsidR="00035B24" w:rsidRPr="00282AC9">
        <w:rPr>
          <w:rFonts w:hint="cs"/>
          <w:sz w:val="27"/>
          <w:rtl/>
        </w:rPr>
        <w:t>ّ</w:t>
      </w:r>
      <w:r w:rsidRPr="00282AC9">
        <w:rPr>
          <w:rFonts w:hint="cs"/>
          <w:sz w:val="27"/>
          <w:rtl/>
        </w:rPr>
        <w:t>ة هو الحيازة</w:t>
      </w:r>
      <w:r w:rsidR="00035B24" w:rsidRPr="00282AC9">
        <w:rPr>
          <w:rFonts w:hint="cs"/>
          <w:sz w:val="27"/>
          <w:rtl/>
        </w:rPr>
        <w:t>،</w:t>
      </w:r>
      <w:r w:rsidRPr="00282AC9">
        <w:rPr>
          <w:rFonts w:hint="cs"/>
          <w:sz w:val="27"/>
          <w:rtl/>
        </w:rPr>
        <w:t xml:space="preserve"> لا غير.</w:t>
      </w:r>
    </w:p>
    <w:p w:rsidR="0062395A" w:rsidRPr="00282AC9" w:rsidRDefault="0062395A" w:rsidP="00495D24">
      <w:pPr>
        <w:rPr>
          <w:sz w:val="27"/>
          <w:rtl/>
          <w:lang w:bidi="fa-IR"/>
        </w:rPr>
      </w:pPr>
      <w:r w:rsidRPr="00282AC9">
        <w:rPr>
          <w:rFonts w:hint="cs"/>
          <w:sz w:val="27"/>
          <w:rtl/>
        </w:rPr>
        <w:t>2ـ إنّنا نرفض الات</w:t>
      </w:r>
      <w:r w:rsidR="00035B24" w:rsidRPr="00282AC9">
        <w:rPr>
          <w:rFonts w:hint="cs"/>
          <w:sz w:val="27"/>
          <w:rtl/>
        </w:rPr>
        <w:t>ّ</w:t>
      </w:r>
      <w:r w:rsidRPr="00282AC9">
        <w:rPr>
          <w:rFonts w:hint="cs"/>
          <w:sz w:val="27"/>
          <w:rtl/>
        </w:rPr>
        <w:t>جاه الثاني</w:t>
      </w:r>
      <w:r w:rsidR="00035B24" w:rsidRPr="00282AC9">
        <w:rPr>
          <w:rFonts w:hint="cs"/>
          <w:sz w:val="27"/>
          <w:rtl/>
        </w:rPr>
        <w:t>،</w:t>
      </w:r>
      <w:r w:rsidRPr="00282AC9">
        <w:rPr>
          <w:rFonts w:hint="cs"/>
          <w:sz w:val="27"/>
          <w:rtl/>
        </w:rPr>
        <w:t xml:space="preserve"> الذي يرى ح</w:t>
      </w:r>
      <w:r w:rsidR="00035B24" w:rsidRPr="00282AC9">
        <w:rPr>
          <w:rFonts w:hint="cs"/>
          <w:sz w:val="27"/>
          <w:rtl/>
        </w:rPr>
        <w:t>َ</w:t>
      </w:r>
      <w:r w:rsidRPr="00282AC9">
        <w:rPr>
          <w:rFonts w:hint="cs"/>
          <w:sz w:val="27"/>
          <w:rtl/>
        </w:rPr>
        <w:t>ص</w:t>
      </w:r>
      <w:r w:rsidR="00035B24" w:rsidRPr="00282AC9">
        <w:rPr>
          <w:rFonts w:hint="cs"/>
          <w:sz w:val="27"/>
          <w:rtl/>
        </w:rPr>
        <w:t>ْ</w:t>
      </w:r>
      <w:r w:rsidRPr="00282AC9">
        <w:rPr>
          <w:rFonts w:hint="cs"/>
          <w:sz w:val="27"/>
          <w:rtl/>
        </w:rPr>
        <w:t xml:space="preserve">ر أسباب </w:t>
      </w:r>
      <w:r w:rsidR="00EB1216" w:rsidRPr="00282AC9">
        <w:rPr>
          <w:rFonts w:hint="cs"/>
          <w:sz w:val="27"/>
          <w:rtl/>
        </w:rPr>
        <w:t>المِلْكيّة</w:t>
      </w:r>
      <w:r w:rsidRPr="00282AC9">
        <w:rPr>
          <w:rFonts w:hint="cs"/>
          <w:sz w:val="27"/>
          <w:rtl/>
        </w:rPr>
        <w:t xml:space="preserve"> في نوعين: سبب أصلي</w:t>
      </w:r>
      <w:r w:rsidR="00035B24" w:rsidRPr="00282AC9">
        <w:rPr>
          <w:rFonts w:hint="cs"/>
          <w:sz w:val="27"/>
          <w:rtl/>
        </w:rPr>
        <w:t>ّ؛</w:t>
      </w:r>
      <w:r w:rsidRPr="00282AC9">
        <w:rPr>
          <w:rFonts w:hint="cs"/>
          <w:sz w:val="27"/>
          <w:rtl/>
        </w:rPr>
        <w:t xml:space="preserve"> وسبب ثانوي، وأنّ السبب الأصلي</w:t>
      </w:r>
      <w:r w:rsidR="00035B24" w:rsidRPr="00282AC9">
        <w:rPr>
          <w:rFonts w:hint="cs"/>
          <w:sz w:val="27"/>
          <w:rtl/>
        </w:rPr>
        <w:t>ّ</w:t>
      </w:r>
      <w:r w:rsidRPr="00282AC9">
        <w:rPr>
          <w:rFonts w:hint="cs"/>
          <w:sz w:val="27"/>
          <w:rtl/>
        </w:rPr>
        <w:t xml:space="preserve"> ينحصر بالحيازة، وأمّا سائر الأسباب فهي أسباب</w:t>
      </w:r>
      <w:r w:rsidR="00035B24" w:rsidRPr="00282AC9">
        <w:rPr>
          <w:rFonts w:hint="cs"/>
          <w:sz w:val="27"/>
          <w:rtl/>
        </w:rPr>
        <w:t>ٌ</w:t>
      </w:r>
      <w:r w:rsidRPr="00282AC9">
        <w:rPr>
          <w:rFonts w:hint="cs"/>
          <w:sz w:val="27"/>
          <w:rtl/>
        </w:rPr>
        <w:t xml:space="preserve"> ثانوية</w:t>
      </w:r>
      <w:r w:rsidR="00035B24" w:rsidRPr="00282AC9">
        <w:rPr>
          <w:rFonts w:hint="cs"/>
          <w:sz w:val="27"/>
          <w:rtl/>
        </w:rPr>
        <w:t>،</w:t>
      </w:r>
      <w:r w:rsidRPr="00282AC9">
        <w:rPr>
          <w:rFonts w:hint="cs"/>
          <w:sz w:val="27"/>
          <w:rtl/>
        </w:rPr>
        <w:t xml:space="preserve"> ترجع</w:t>
      </w:r>
      <w:r w:rsidR="00BC0925" w:rsidRPr="00282AC9">
        <w:rPr>
          <w:rFonts w:hint="cs"/>
          <w:sz w:val="27"/>
          <w:rtl/>
        </w:rPr>
        <w:t xml:space="preserve"> إلى </w:t>
      </w:r>
      <w:r w:rsidRPr="00282AC9">
        <w:rPr>
          <w:rFonts w:hint="cs"/>
          <w:sz w:val="27"/>
          <w:rtl/>
        </w:rPr>
        <w:t>الحيازة.</w:t>
      </w:r>
    </w:p>
    <w:p w:rsidR="0062395A" w:rsidRPr="00282AC9" w:rsidRDefault="0062395A" w:rsidP="00495D24">
      <w:pPr>
        <w:rPr>
          <w:sz w:val="27"/>
          <w:rtl/>
          <w:lang w:bidi="fa-IR"/>
        </w:rPr>
      </w:pPr>
      <w:r w:rsidRPr="00282AC9">
        <w:rPr>
          <w:rFonts w:hint="cs"/>
          <w:sz w:val="27"/>
          <w:rtl/>
        </w:rPr>
        <w:t>3ـ كما نرفض المسلك الأوّل ـ من الاتّجاه الثالث ـ</w:t>
      </w:r>
      <w:r w:rsidR="00035B24" w:rsidRPr="00282AC9">
        <w:rPr>
          <w:rFonts w:hint="cs"/>
          <w:sz w:val="27"/>
          <w:rtl/>
        </w:rPr>
        <w:t>،</w:t>
      </w:r>
      <w:r w:rsidRPr="00282AC9">
        <w:rPr>
          <w:rFonts w:hint="cs"/>
          <w:sz w:val="27"/>
          <w:rtl/>
        </w:rPr>
        <w:t xml:space="preserve"> القائل بتثليث الأسباب، </w:t>
      </w:r>
      <w:r w:rsidRPr="00282AC9">
        <w:rPr>
          <w:rFonts w:hint="cs"/>
          <w:sz w:val="27"/>
          <w:rtl/>
        </w:rPr>
        <w:lastRenderedPageBreak/>
        <w:t>وهي: السبب الناقل للملك من مالك</w:t>
      </w:r>
      <w:r w:rsidR="00035B24" w:rsidRPr="00282AC9">
        <w:rPr>
          <w:rFonts w:hint="cs"/>
          <w:sz w:val="27"/>
          <w:rtl/>
        </w:rPr>
        <w:t>ٍ</w:t>
      </w:r>
      <w:r w:rsidR="00BC0925" w:rsidRPr="00282AC9">
        <w:rPr>
          <w:rFonts w:hint="cs"/>
          <w:sz w:val="27"/>
          <w:rtl/>
        </w:rPr>
        <w:t xml:space="preserve"> إلى </w:t>
      </w:r>
      <w:r w:rsidRPr="00282AC9">
        <w:rPr>
          <w:rFonts w:hint="cs"/>
          <w:sz w:val="27"/>
          <w:rtl/>
        </w:rPr>
        <w:t>مالك</w:t>
      </w:r>
      <w:r w:rsidR="00035B24" w:rsidRPr="00282AC9">
        <w:rPr>
          <w:rFonts w:hint="cs"/>
          <w:sz w:val="27"/>
          <w:rtl/>
        </w:rPr>
        <w:t>ٍ</w:t>
      </w:r>
      <w:r w:rsidRPr="00282AC9">
        <w:rPr>
          <w:rFonts w:hint="cs"/>
          <w:sz w:val="27"/>
          <w:rtl/>
        </w:rPr>
        <w:t xml:space="preserve"> آخر</w:t>
      </w:r>
      <w:r w:rsidR="00035B24" w:rsidRPr="00282AC9">
        <w:rPr>
          <w:rFonts w:hint="cs"/>
          <w:sz w:val="27"/>
          <w:rtl/>
        </w:rPr>
        <w:t>،</w:t>
      </w:r>
      <w:r w:rsidRPr="00282AC9">
        <w:rPr>
          <w:rFonts w:hint="cs"/>
          <w:sz w:val="27"/>
          <w:rtl/>
        </w:rPr>
        <w:t xml:space="preserve"> كالبيع والهبة</w:t>
      </w:r>
      <w:r w:rsidR="00FC1B2C" w:rsidRPr="00282AC9">
        <w:rPr>
          <w:rFonts w:hint="cs"/>
          <w:sz w:val="27"/>
          <w:rtl/>
        </w:rPr>
        <w:t>؛</w:t>
      </w:r>
      <w:r w:rsidRPr="00282AC9">
        <w:rPr>
          <w:rFonts w:hint="cs"/>
          <w:sz w:val="27"/>
          <w:rtl/>
        </w:rPr>
        <w:t xml:space="preserve"> وأن يُخلّ</w:t>
      </w:r>
      <w:r w:rsidR="00035B24" w:rsidRPr="00282AC9">
        <w:rPr>
          <w:rFonts w:hint="cs"/>
          <w:sz w:val="27"/>
          <w:rtl/>
        </w:rPr>
        <w:t>ِ</w:t>
      </w:r>
      <w:r w:rsidR="00F93923" w:rsidRPr="00282AC9">
        <w:rPr>
          <w:rFonts w:hint="cs"/>
          <w:sz w:val="27"/>
          <w:rtl/>
        </w:rPr>
        <w:t>ف واحدٌ</w:t>
      </w:r>
      <w:r w:rsidRPr="00282AC9">
        <w:rPr>
          <w:rFonts w:hint="cs"/>
          <w:sz w:val="27"/>
          <w:rtl/>
        </w:rPr>
        <w:t xml:space="preserve"> لآخر</w:t>
      </w:r>
      <w:r w:rsidR="00035B24" w:rsidRPr="00282AC9">
        <w:rPr>
          <w:rFonts w:hint="cs"/>
          <w:sz w:val="27"/>
          <w:rtl/>
        </w:rPr>
        <w:t>،</w:t>
      </w:r>
      <w:r w:rsidRPr="00282AC9">
        <w:rPr>
          <w:rFonts w:hint="cs"/>
          <w:sz w:val="27"/>
          <w:rtl/>
        </w:rPr>
        <w:t xml:space="preserve"> كالإرث</w:t>
      </w:r>
      <w:r w:rsidR="00FC1B2C" w:rsidRPr="00282AC9">
        <w:rPr>
          <w:rFonts w:hint="cs"/>
          <w:sz w:val="27"/>
          <w:rtl/>
        </w:rPr>
        <w:t>؛</w:t>
      </w:r>
      <w:r w:rsidRPr="00282AC9">
        <w:rPr>
          <w:rFonts w:hint="cs"/>
          <w:sz w:val="27"/>
          <w:rtl/>
        </w:rPr>
        <w:t xml:space="preserve"> وإحراز شيء</w:t>
      </w:r>
      <w:r w:rsidR="00FC1B2C" w:rsidRPr="00282AC9">
        <w:rPr>
          <w:rFonts w:hint="cs"/>
          <w:sz w:val="27"/>
          <w:rtl/>
        </w:rPr>
        <w:t>ٍ</w:t>
      </w:r>
      <w:r w:rsidRPr="00282AC9">
        <w:rPr>
          <w:rFonts w:hint="cs"/>
          <w:sz w:val="27"/>
          <w:rtl/>
        </w:rPr>
        <w:t xml:space="preserve"> مُباح لا مالك له</w:t>
      </w:r>
      <w:r w:rsidR="00FC1B2C" w:rsidRPr="00282AC9">
        <w:rPr>
          <w:rFonts w:hint="cs"/>
          <w:sz w:val="27"/>
          <w:rtl/>
        </w:rPr>
        <w:t>،</w:t>
      </w:r>
      <w:r w:rsidRPr="00282AC9">
        <w:rPr>
          <w:rFonts w:hint="cs"/>
          <w:sz w:val="27"/>
          <w:rtl/>
        </w:rPr>
        <w:t xml:space="preserve"> وهذا إمّا حقيقي</w:t>
      </w:r>
      <w:r w:rsidR="00FC1B2C" w:rsidRPr="00282AC9">
        <w:rPr>
          <w:rFonts w:hint="cs"/>
          <w:sz w:val="27"/>
          <w:rtl/>
        </w:rPr>
        <w:t>ّ،</w:t>
      </w:r>
      <w:r w:rsidRPr="00282AC9">
        <w:rPr>
          <w:rFonts w:hint="cs"/>
          <w:sz w:val="27"/>
          <w:rtl/>
        </w:rPr>
        <w:t xml:space="preserve"> وهو وضع اليد حقيقة على شيء، وإمّا حكميّ</w:t>
      </w:r>
      <w:r w:rsidR="00FC1B2C" w:rsidRPr="00282AC9">
        <w:rPr>
          <w:rFonts w:hint="cs"/>
          <w:sz w:val="27"/>
          <w:rtl/>
        </w:rPr>
        <w:t>،</w:t>
      </w:r>
      <w:r w:rsidRPr="00282AC9">
        <w:rPr>
          <w:rFonts w:hint="cs"/>
          <w:sz w:val="27"/>
          <w:rtl/>
        </w:rPr>
        <w:t xml:space="preserve"> وذلك بتهيئة سببه</w:t>
      </w:r>
      <w:r w:rsidR="00FC1B2C" w:rsidRPr="00282AC9">
        <w:rPr>
          <w:rFonts w:hint="cs"/>
          <w:sz w:val="27"/>
          <w:rtl/>
        </w:rPr>
        <w:t>،</w:t>
      </w:r>
      <w:r w:rsidRPr="00282AC9">
        <w:rPr>
          <w:rFonts w:hint="cs"/>
          <w:sz w:val="27"/>
          <w:rtl/>
        </w:rPr>
        <w:t xml:space="preserve"> كوضع إناء</w:t>
      </w:r>
      <w:r w:rsidR="00FC1B2C" w:rsidRPr="00282AC9">
        <w:rPr>
          <w:rFonts w:hint="cs"/>
          <w:sz w:val="27"/>
          <w:rtl/>
        </w:rPr>
        <w:t>ٍ</w:t>
      </w:r>
      <w:r w:rsidRPr="00282AC9">
        <w:rPr>
          <w:rFonts w:hint="cs"/>
          <w:sz w:val="27"/>
          <w:rtl/>
        </w:rPr>
        <w:t xml:space="preserve"> لجمع ماء المطر أو نصب شبكة لأجل الصيد.</w:t>
      </w:r>
    </w:p>
    <w:p w:rsidR="0062395A" w:rsidRPr="00282AC9" w:rsidRDefault="0062395A" w:rsidP="00495D24">
      <w:pPr>
        <w:rPr>
          <w:sz w:val="27"/>
          <w:rtl/>
          <w:lang w:bidi="fa-IR"/>
        </w:rPr>
      </w:pPr>
      <w:r w:rsidRPr="00282AC9">
        <w:rPr>
          <w:rFonts w:hint="cs"/>
          <w:sz w:val="27"/>
          <w:rtl/>
        </w:rPr>
        <w:t>4ـ وأيضاً نحن نرفض المسلك الثاني ـ من الاتّجاه الثالث ـ</w:t>
      </w:r>
      <w:r w:rsidR="00FC1B2C" w:rsidRPr="00282AC9">
        <w:rPr>
          <w:rFonts w:hint="cs"/>
          <w:sz w:val="27"/>
          <w:rtl/>
        </w:rPr>
        <w:t>،</w:t>
      </w:r>
      <w:r w:rsidRPr="00282AC9">
        <w:rPr>
          <w:rFonts w:hint="cs"/>
          <w:sz w:val="27"/>
          <w:rtl/>
        </w:rPr>
        <w:t xml:space="preserve"> القائل بأنّ أسباب الملك نوعان: </w:t>
      </w:r>
      <w:r w:rsidRPr="00282AC9">
        <w:rPr>
          <w:rFonts w:hint="cs"/>
          <w:b/>
          <w:bCs/>
          <w:sz w:val="27"/>
          <w:rtl/>
        </w:rPr>
        <w:t>أوّلهما</w:t>
      </w:r>
      <w:r w:rsidRPr="00282AC9">
        <w:rPr>
          <w:rFonts w:hint="cs"/>
          <w:sz w:val="27"/>
          <w:rtl/>
        </w:rPr>
        <w:t>: أسباب قهري</w:t>
      </w:r>
      <w:r w:rsidR="00FC1B2C" w:rsidRPr="00282AC9">
        <w:rPr>
          <w:rFonts w:hint="cs"/>
          <w:sz w:val="27"/>
          <w:rtl/>
        </w:rPr>
        <w:t>ّ</w:t>
      </w:r>
      <w:r w:rsidRPr="00282AC9">
        <w:rPr>
          <w:rFonts w:hint="cs"/>
          <w:sz w:val="27"/>
          <w:rtl/>
        </w:rPr>
        <w:t>ة [= ج</w:t>
      </w:r>
      <w:r w:rsidR="00FC1B2C" w:rsidRPr="00282AC9">
        <w:rPr>
          <w:rFonts w:hint="cs"/>
          <w:sz w:val="27"/>
          <w:rtl/>
        </w:rPr>
        <w:t>َ</w:t>
      </w:r>
      <w:r w:rsidRPr="00282AC9">
        <w:rPr>
          <w:rFonts w:hint="cs"/>
          <w:sz w:val="27"/>
          <w:rtl/>
        </w:rPr>
        <w:t>ب</w:t>
      </w:r>
      <w:r w:rsidR="00FC1B2C" w:rsidRPr="00282AC9">
        <w:rPr>
          <w:rFonts w:hint="cs"/>
          <w:sz w:val="27"/>
          <w:rtl/>
        </w:rPr>
        <w:t>ْ</w:t>
      </w:r>
      <w:r w:rsidRPr="00282AC9">
        <w:rPr>
          <w:rFonts w:hint="cs"/>
          <w:sz w:val="27"/>
          <w:rtl/>
        </w:rPr>
        <w:t>رية] ـ</w:t>
      </w:r>
      <w:r w:rsidR="00FC1B2C" w:rsidRPr="00282AC9">
        <w:rPr>
          <w:rFonts w:hint="cs"/>
          <w:sz w:val="27"/>
          <w:rtl/>
        </w:rPr>
        <w:t>،</w:t>
      </w:r>
      <w:r w:rsidRPr="00282AC9">
        <w:rPr>
          <w:rFonts w:hint="cs"/>
          <w:sz w:val="27"/>
          <w:rtl/>
        </w:rPr>
        <w:t xml:space="preserve"> وهي على أصناف، منها: الاكتساب، والبيع، والشراء، والصيد، والحيازة، وإحياء الموات، وما</w:t>
      </w:r>
      <w:r w:rsidR="00BC0925" w:rsidRPr="00282AC9">
        <w:rPr>
          <w:rFonts w:hint="cs"/>
          <w:sz w:val="27"/>
          <w:rtl/>
        </w:rPr>
        <w:t xml:space="preserve"> إلى </w:t>
      </w:r>
      <w:r w:rsidRPr="00282AC9">
        <w:rPr>
          <w:rFonts w:hint="cs"/>
          <w:sz w:val="27"/>
          <w:rtl/>
        </w:rPr>
        <w:t>ذلك ـ</w:t>
      </w:r>
      <w:r w:rsidR="00FC1B2C" w:rsidRPr="00282AC9">
        <w:rPr>
          <w:rFonts w:hint="cs"/>
          <w:sz w:val="27"/>
          <w:rtl/>
        </w:rPr>
        <w:t>؛</w:t>
      </w:r>
      <w:r w:rsidRPr="00282AC9">
        <w:rPr>
          <w:rFonts w:hint="cs"/>
          <w:sz w:val="27"/>
          <w:rtl/>
        </w:rPr>
        <w:t xml:space="preserve"> </w:t>
      </w:r>
      <w:r w:rsidRPr="00282AC9">
        <w:rPr>
          <w:rFonts w:hint="cs"/>
          <w:b/>
          <w:bCs/>
          <w:sz w:val="27"/>
          <w:rtl/>
        </w:rPr>
        <w:t>وثانيهما</w:t>
      </w:r>
      <w:r w:rsidRPr="00282AC9">
        <w:rPr>
          <w:rFonts w:hint="cs"/>
          <w:sz w:val="27"/>
          <w:rtl/>
        </w:rPr>
        <w:t>: أسباب اختياري</w:t>
      </w:r>
      <w:r w:rsidR="00FC1B2C" w:rsidRPr="00282AC9">
        <w:rPr>
          <w:rFonts w:hint="cs"/>
          <w:sz w:val="27"/>
          <w:rtl/>
        </w:rPr>
        <w:t>ّ</w:t>
      </w:r>
      <w:r w:rsidRPr="00282AC9">
        <w:rPr>
          <w:rFonts w:hint="cs"/>
          <w:sz w:val="27"/>
          <w:rtl/>
        </w:rPr>
        <w:t>ة، وهي صنفان: إمّا أن يكون بجعل الشارع (كالميراث، الجنايات، الأُروش، النذور، وما</w:t>
      </w:r>
      <w:r w:rsidR="00BC0925" w:rsidRPr="00282AC9">
        <w:rPr>
          <w:rFonts w:hint="cs"/>
          <w:sz w:val="27"/>
          <w:rtl/>
        </w:rPr>
        <w:t xml:space="preserve"> إلى </w:t>
      </w:r>
      <w:r w:rsidRPr="00282AC9">
        <w:rPr>
          <w:rFonts w:hint="cs"/>
          <w:sz w:val="27"/>
          <w:rtl/>
        </w:rPr>
        <w:t>ذلك)</w:t>
      </w:r>
      <w:r w:rsidR="00FC1B2C" w:rsidRPr="00282AC9">
        <w:rPr>
          <w:rFonts w:hint="cs"/>
          <w:sz w:val="27"/>
          <w:rtl/>
        </w:rPr>
        <w:t>؛</w:t>
      </w:r>
      <w:r w:rsidRPr="00282AC9">
        <w:rPr>
          <w:rFonts w:hint="cs"/>
          <w:sz w:val="27"/>
          <w:rtl/>
        </w:rPr>
        <w:t xml:space="preserve"> وإمّا أن يكون بأسباب اتّفاقي</w:t>
      </w:r>
      <w:r w:rsidR="00FC1B2C" w:rsidRPr="00282AC9">
        <w:rPr>
          <w:rFonts w:hint="cs"/>
          <w:sz w:val="27"/>
          <w:rtl/>
        </w:rPr>
        <w:t>ّ</w:t>
      </w:r>
      <w:r w:rsidRPr="00282AC9">
        <w:rPr>
          <w:rFonts w:hint="cs"/>
          <w:sz w:val="27"/>
          <w:rtl/>
        </w:rPr>
        <w:t xml:space="preserve">ة </w:t>
      </w:r>
      <w:r w:rsidR="00FC1B2C" w:rsidRPr="00282AC9">
        <w:rPr>
          <w:rFonts w:hint="cs"/>
          <w:sz w:val="27"/>
          <w:rtl/>
        </w:rPr>
        <w:t>أ</w:t>
      </w:r>
      <w:r w:rsidRPr="00282AC9">
        <w:rPr>
          <w:rFonts w:hint="cs"/>
          <w:sz w:val="27"/>
          <w:rtl/>
        </w:rPr>
        <w:t>خرى (كاختلاط المالين ق</w:t>
      </w:r>
      <w:r w:rsidR="00FC1B2C" w:rsidRPr="00282AC9">
        <w:rPr>
          <w:rFonts w:hint="cs"/>
          <w:sz w:val="27"/>
          <w:rtl/>
        </w:rPr>
        <w:t>َ</w:t>
      </w:r>
      <w:r w:rsidRPr="00282AC9">
        <w:rPr>
          <w:rFonts w:hint="cs"/>
          <w:sz w:val="27"/>
          <w:rtl/>
        </w:rPr>
        <w:t>ه</w:t>
      </w:r>
      <w:r w:rsidR="00FC1B2C" w:rsidRPr="00282AC9">
        <w:rPr>
          <w:rFonts w:hint="cs"/>
          <w:sz w:val="27"/>
          <w:rtl/>
        </w:rPr>
        <w:t>ْ</w:t>
      </w:r>
      <w:r w:rsidRPr="00282AC9">
        <w:rPr>
          <w:rFonts w:hint="cs"/>
          <w:sz w:val="27"/>
          <w:rtl/>
        </w:rPr>
        <w:t>راً</w:t>
      </w:r>
      <w:r w:rsidR="00FC1B2C" w:rsidRPr="00282AC9">
        <w:rPr>
          <w:rFonts w:hint="cs"/>
          <w:sz w:val="27"/>
          <w:rtl/>
        </w:rPr>
        <w:t>، بحيث لا ي</w:t>
      </w:r>
      <w:r w:rsidRPr="00282AC9">
        <w:rPr>
          <w:rFonts w:hint="cs"/>
          <w:sz w:val="27"/>
          <w:rtl/>
        </w:rPr>
        <w:t>مكن تمييز أحدهما عن الآخر عادة</w:t>
      </w:r>
      <w:r w:rsidR="00FC1B2C" w:rsidRPr="00282AC9">
        <w:rPr>
          <w:rFonts w:hint="cs"/>
          <w:sz w:val="27"/>
          <w:rtl/>
        </w:rPr>
        <w:t>ً</w:t>
      </w:r>
      <w:r w:rsidRPr="00282AC9">
        <w:rPr>
          <w:rFonts w:hint="cs"/>
          <w:sz w:val="27"/>
          <w:rtl/>
        </w:rPr>
        <w:t>...</w:t>
      </w:r>
      <w:r w:rsidR="00FC1B2C" w:rsidRPr="00282AC9">
        <w:rPr>
          <w:rFonts w:hint="cs"/>
          <w:sz w:val="27"/>
          <w:rtl/>
        </w:rPr>
        <w:t>،</w:t>
      </w:r>
      <w:r w:rsidRPr="00282AC9">
        <w:rPr>
          <w:rFonts w:hint="cs"/>
          <w:sz w:val="27"/>
          <w:rtl/>
        </w:rPr>
        <w:t xml:space="preserve"> والوصي</w:t>
      </w:r>
      <w:r w:rsidR="00FC1B2C" w:rsidRPr="00282AC9">
        <w:rPr>
          <w:rFonts w:hint="cs"/>
          <w:sz w:val="27"/>
          <w:rtl/>
        </w:rPr>
        <w:t>ّ</w:t>
      </w:r>
      <w:r w:rsidRPr="00282AC9">
        <w:rPr>
          <w:rFonts w:hint="cs"/>
          <w:sz w:val="27"/>
          <w:rtl/>
        </w:rPr>
        <w:t>ة بالثلث...</w:t>
      </w:r>
      <w:r w:rsidR="00FC1B2C" w:rsidRPr="00282AC9">
        <w:rPr>
          <w:rFonts w:hint="cs"/>
          <w:sz w:val="27"/>
          <w:rtl/>
        </w:rPr>
        <w:t>،</w:t>
      </w:r>
      <w:r w:rsidRPr="00282AC9">
        <w:rPr>
          <w:rFonts w:hint="cs"/>
          <w:sz w:val="27"/>
          <w:rtl/>
        </w:rPr>
        <w:t xml:space="preserve"> أو و</w:t>
      </w:r>
      <w:r w:rsidR="00FC1B2C" w:rsidRPr="00282AC9">
        <w:rPr>
          <w:rFonts w:hint="cs"/>
          <w:sz w:val="27"/>
          <w:rtl/>
        </w:rPr>
        <w:t>َ</w:t>
      </w:r>
      <w:r w:rsidRPr="00282AC9">
        <w:rPr>
          <w:rFonts w:hint="cs"/>
          <w:sz w:val="27"/>
          <w:rtl/>
        </w:rPr>
        <w:t>ق</w:t>
      </w:r>
      <w:r w:rsidR="00FC1B2C" w:rsidRPr="00282AC9">
        <w:rPr>
          <w:rFonts w:hint="cs"/>
          <w:sz w:val="27"/>
          <w:rtl/>
        </w:rPr>
        <w:t>ْ</w:t>
      </w:r>
      <w:r w:rsidRPr="00282AC9">
        <w:rPr>
          <w:rFonts w:hint="cs"/>
          <w:sz w:val="27"/>
          <w:rtl/>
        </w:rPr>
        <w:t>ف م</w:t>
      </w:r>
      <w:r w:rsidR="00FC1B2C" w:rsidRPr="00282AC9">
        <w:rPr>
          <w:rFonts w:hint="cs"/>
          <w:sz w:val="27"/>
          <w:rtl/>
        </w:rPr>
        <w:t>ِ</w:t>
      </w:r>
      <w:r w:rsidRPr="00282AC9">
        <w:rPr>
          <w:rFonts w:hint="cs"/>
          <w:sz w:val="27"/>
          <w:rtl/>
        </w:rPr>
        <w:t>ل</w:t>
      </w:r>
      <w:r w:rsidR="00FC1B2C" w:rsidRPr="00282AC9">
        <w:rPr>
          <w:rFonts w:hint="cs"/>
          <w:sz w:val="27"/>
          <w:rtl/>
        </w:rPr>
        <w:t>ْ</w:t>
      </w:r>
      <w:r w:rsidRPr="00282AC9">
        <w:rPr>
          <w:rFonts w:hint="cs"/>
          <w:sz w:val="27"/>
          <w:rtl/>
        </w:rPr>
        <w:t>ك</w:t>
      </w:r>
      <w:r w:rsidR="00FC1B2C" w:rsidRPr="00282AC9">
        <w:rPr>
          <w:rFonts w:hint="cs"/>
          <w:sz w:val="27"/>
          <w:rtl/>
        </w:rPr>
        <w:t>ٍ</w:t>
      </w:r>
      <w:r w:rsidRPr="00282AC9">
        <w:rPr>
          <w:rFonts w:hint="cs"/>
          <w:sz w:val="27"/>
          <w:rtl/>
        </w:rPr>
        <w:t>...).</w:t>
      </w:r>
    </w:p>
    <w:p w:rsidR="0062395A" w:rsidRPr="00282AC9" w:rsidRDefault="0062395A" w:rsidP="00495D24">
      <w:pPr>
        <w:rPr>
          <w:sz w:val="27"/>
          <w:rtl/>
          <w:lang w:bidi="fa-IR"/>
        </w:rPr>
      </w:pPr>
      <w:r w:rsidRPr="00282AC9">
        <w:rPr>
          <w:rFonts w:hint="cs"/>
          <w:sz w:val="27"/>
          <w:rtl/>
        </w:rPr>
        <w:t>5ـ وكذلك نرفض المسلك الثالث ـ من الاتّجاه الثالث ـ</w:t>
      </w:r>
      <w:r w:rsidR="00FC1B2C" w:rsidRPr="00282AC9">
        <w:rPr>
          <w:rFonts w:hint="cs"/>
          <w:sz w:val="27"/>
          <w:rtl/>
        </w:rPr>
        <w:t>،</w:t>
      </w:r>
      <w:r w:rsidRPr="00282AC9">
        <w:rPr>
          <w:rFonts w:hint="cs"/>
          <w:sz w:val="27"/>
          <w:rtl/>
        </w:rPr>
        <w:t xml:space="preserve"> الذي يذهب</w:t>
      </w:r>
      <w:r w:rsidR="00BC0925" w:rsidRPr="00282AC9">
        <w:rPr>
          <w:rFonts w:hint="cs"/>
          <w:sz w:val="27"/>
          <w:rtl/>
        </w:rPr>
        <w:t xml:space="preserve"> إلى </w:t>
      </w:r>
      <w:r w:rsidRPr="00282AC9">
        <w:rPr>
          <w:rFonts w:hint="cs"/>
          <w:sz w:val="27"/>
          <w:rtl/>
        </w:rPr>
        <w:t xml:space="preserve">تقسيم أسباب </w:t>
      </w:r>
      <w:r w:rsidR="00EB1216" w:rsidRPr="00282AC9">
        <w:rPr>
          <w:rFonts w:hint="cs"/>
          <w:sz w:val="27"/>
          <w:rtl/>
        </w:rPr>
        <w:t>المِلْكيّة</w:t>
      </w:r>
      <w:r w:rsidR="00BC0925" w:rsidRPr="00282AC9">
        <w:rPr>
          <w:rFonts w:hint="cs"/>
          <w:sz w:val="27"/>
          <w:rtl/>
        </w:rPr>
        <w:t xml:space="preserve"> إلى </w:t>
      </w:r>
      <w:r w:rsidRPr="00282AC9">
        <w:rPr>
          <w:rFonts w:hint="cs"/>
          <w:sz w:val="27"/>
          <w:rtl/>
        </w:rPr>
        <w:t xml:space="preserve">قسمين رئيسين: </w:t>
      </w:r>
      <w:r w:rsidRPr="00282AC9">
        <w:rPr>
          <w:rFonts w:hint="cs"/>
          <w:b/>
          <w:bCs/>
          <w:sz w:val="27"/>
          <w:rtl/>
        </w:rPr>
        <w:t>الأوّل</w:t>
      </w:r>
      <w:r w:rsidRPr="00282AC9">
        <w:rPr>
          <w:rFonts w:hint="cs"/>
          <w:sz w:val="27"/>
          <w:rtl/>
        </w:rPr>
        <w:t xml:space="preserve">: </w:t>
      </w:r>
      <w:r w:rsidR="00EB1216" w:rsidRPr="00282AC9">
        <w:rPr>
          <w:rFonts w:hint="cs"/>
          <w:sz w:val="27"/>
          <w:rtl/>
        </w:rPr>
        <w:t>المِلْكيّة</w:t>
      </w:r>
      <w:r w:rsidRPr="00282AC9">
        <w:rPr>
          <w:rFonts w:hint="cs"/>
          <w:sz w:val="27"/>
          <w:rtl/>
        </w:rPr>
        <w:t xml:space="preserve"> الذاتية</w:t>
      </w:r>
      <w:r w:rsidR="00FC1B2C" w:rsidRPr="00282AC9">
        <w:rPr>
          <w:rFonts w:hint="cs"/>
          <w:sz w:val="27"/>
          <w:rtl/>
        </w:rPr>
        <w:t>؛</w:t>
      </w:r>
      <w:r w:rsidRPr="00282AC9">
        <w:rPr>
          <w:rFonts w:hint="cs"/>
          <w:sz w:val="27"/>
          <w:rtl/>
        </w:rPr>
        <w:t xml:space="preserve"> </w:t>
      </w:r>
      <w:r w:rsidRPr="00282AC9">
        <w:rPr>
          <w:rFonts w:hint="cs"/>
          <w:b/>
          <w:bCs/>
          <w:sz w:val="27"/>
          <w:rtl/>
        </w:rPr>
        <w:t>والثاني</w:t>
      </w:r>
      <w:r w:rsidRPr="00282AC9">
        <w:rPr>
          <w:rFonts w:hint="cs"/>
          <w:sz w:val="27"/>
          <w:rtl/>
        </w:rPr>
        <w:t xml:space="preserve">: </w:t>
      </w:r>
      <w:r w:rsidR="00EB1216" w:rsidRPr="00282AC9">
        <w:rPr>
          <w:rFonts w:hint="cs"/>
          <w:sz w:val="27"/>
          <w:rtl/>
        </w:rPr>
        <w:t>المِلْكيّة</w:t>
      </w:r>
      <w:r w:rsidRPr="00282AC9">
        <w:rPr>
          <w:rFonts w:hint="cs"/>
          <w:sz w:val="27"/>
          <w:rtl/>
        </w:rPr>
        <w:t xml:space="preserve"> الع</w:t>
      </w:r>
      <w:r w:rsidR="00FC1B2C" w:rsidRPr="00282AC9">
        <w:rPr>
          <w:rFonts w:hint="cs"/>
          <w:sz w:val="27"/>
          <w:rtl/>
        </w:rPr>
        <w:t>َ</w:t>
      </w:r>
      <w:r w:rsidRPr="00282AC9">
        <w:rPr>
          <w:rFonts w:hint="cs"/>
          <w:sz w:val="27"/>
          <w:rtl/>
        </w:rPr>
        <w:t>رَضية، أي ملكية الأشياء المنفصلة عن الإنسان</w:t>
      </w:r>
      <w:r w:rsidR="00FC1B2C" w:rsidRPr="00282AC9">
        <w:rPr>
          <w:rFonts w:hint="cs"/>
          <w:sz w:val="27"/>
          <w:rtl/>
        </w:rPr>
        <w:t>،</w:t>
      </w:r>
      <w:r w:rsidRPr="00282AC9">
        <w:rPr>
          <w:rFonts w:hint="cs"/>
          <w:sz w:val="27"/>
          <w:rtl/>
        </w:rPr>
        <w:t xml:space="preserve"> وهي ب</w:t>
      </w:r>
      <w:r w:rsidR="00EE6DBA" w:rsidRPr="00282AC9">
        <w:rPr>
          <w:rFonts w:hint="cs"/>
          <w:sz w:val="27"/>
          <w:rtl/>
        </w:rPr>
        <w:t>دَوْر</w:t>
      </w:r>
      <w:r w:rsidRPr="00282AC9">
        <w:rPr>
          <w:rFonts w:hint="cs"/>
          <w:sz w:val="27"/>
          <w:rtl/>
        </w:rPr>
        <w:t>ها تنقسم</w:t>
      </w:r>
      <w:r w:rsidR="00BC0925" w:rsidRPr="00282AC9">
        <w:rPr>
          <w:rFonts w:hint="cs"/>
          <w:sz w:val="27"/>
          <w:rtl/>
        </w:rPr>
        <w:t xml:space="preserve"> إلى </w:t>
      </w:r>
      <w:r w:rsidRPr="00282AC9">
        <w:rPr>
          <w:rFonts w:hint="cs"/>
          <w:sz w:val="27"/>
          <w:rtl/>
        </w:rPr>
        <w:t xml:space="preserve">قسمين: </w:t>
      </w:r>
      <w:r w:rsidRPr="00282AC9">
        <w:rPr>
          <w:rFonts w:hint="cs"/>
          <w:b/>
          <w:bCs/>
          <w:sz w:val="27"/>
          <w:rtl/>
        </w:rPr>
        <w:t>أوّلهما</w:t>
      </w:r>
      <w:r w:rsidRPr="00282AC9">
        <w:rPr>
          <w:rFonts w:hint="cs"/>
          <w:sz w:val="27"/>
          <w:rtl/>
        </w:rPr>
        <w:t xml:space="preserve">: </w:t>
      </w:r>
      <w:r w:rsidR="00EB1216" w:rsidRPr="00282AC9">
        <w:rPr>
          <w:rFonts w:hint="cs"/>
          <w:sz w:val="27"/>
          <w:rtl/>
        </w:rPr>
        <w:t>المِلْكيّة</w:t>
      </w:r>
      <w:r w:rsidRPr="00282AC9">
        <w:rPr>
          <w:rFonts w:hint="cs"/>
          <w:sz w:val="27"/>
          <w:rtl/>
        </w:rPr>
        <w:t xml:space="preserve"> الابتدائية الاستقلالي</w:t>
      </w:r>
      <w:r w:rsidR="00FC1B2C" w:rsidRPr="00282AC9">
        <w:rPr>
          <w:rFonts w:hint="cs"/>
          <w:sz w:val="27"/>
          <w:rtl/>
        </w:rPr>
        <w:t>ّ</w:t>
      </w:r>
      <w:r w:rsidRPr="00282AC9">
        <w:rPr>
          <w:rFonts w:hint="cs"/>
          <w:sz w:val="27"/>
          <w:rtl/>
        </w:rPr>
        <w:t>ة [= الأصلية = الأوّلية]، وهي منحصرة</w:t>
      </w:r>
      <w:r w:rsidR="001F1F88" w:rsidRPr="00282AC9">
        <w:rPr>
          <w:rFonts w:hint="cs"/>
          <w:sz w:val="27"/>
          <w:rtl/>
        </w:rPr>
        <w:t>ٌ</w:t>
      </w:r>
      <w:r w:rsidRPr="00282AC9">
        <w:rPr>
          <w:rFonts w:hint="cs"/>
          <w:sz w:val="27"/>
          <w:rtl/>
        </w:rPr>
        <w:t xml:space="preserve"> بسببين، وهما: إمّا الحيازة (كحيازة المباحات الأصلية)</w:t>
      </w:r>
      <w:r w:rsidR="001F1F88" w:rsidRPr="00282AC9">
        <w:rPr>
          <w:rFonts w:hint="cs"/>
          <w:sz w:val="27"/>
          <w:rtl/>
        </w:rPr>
        <w:t>؛</w:t>
      </w:r>
      <w:r w:rsidRPr="00282AC9">
        <w:rPr>
          <w:rFonts w:hint="cs"/>
          <w:sz w:val="27"/>
          <w:rtl/>
        </w:rPr>
        <w:t xml:space="preserve"> وإمّا الصنع (كصنع الكوز من الطين المحاز) وما يُلحق به من الأعمال</w:t>
      </w:r>
      <w:r w:rsidR="001F1F88" w:rsidRPr="00282AC9">
        <w:rPr>
          <w:rFonts w:hint="cs"/>
          <w:sz w:val="27"/>
          <w:rtl/>
        </w:rPr>
        <w:t>،</w:t>
      </w:r>
      <w:r w:rsidRPr="00282AC9">
        <w:rPr>
          <w:rFonts w:hint="cs"/>
          <w:sz w:val="27"/>
          <w:rtl/>
        </w:rPr>
        <w:t xml:space="preserve"> كالنقل (كما إذا أتى أحد بالماء من النهر) أو الحفظ (كحفظ الثلج من الشتاء</w:t>
      </w:r>
      <w:r w:rsidR="00BC0925" w:rsidRPr="00282AC9">
        <w:rPr>
          <w:rFonts w:hint="cs"/>
          <w:sz w:val="27"/>
          <w:rtl/>
        </w:rPr>
        <w:t xml:space="preserve"> إلى </w:t>
      </w:r>
      <w:r w:rsidRPr="00282AC9">
        <w:rPr>
          <w:rFonts w:hint="cs"/>
          <w:sz w:val="27"/>
          <w:rtl/>
        </w:rPr>
        <w:t>الصيف)</w:t>
      </w:r>
      <w:r w:rsidR="001F1F88" w:rsidRPr="00282AC9">
        <w:rPr>
          <w:rFonts w:hint="cs"/>
          <w:sz w:val="27"/>
          <w:rtl/>
        </w:rPr>
        <w:t>.</w:t>
      </w:r>
      <w:r w:rsidRPr="00282AC9">
        <w:rPr>
          <w:rFonts w:hint="cs"/>
          <w:sz w:val="27"/>
          <w:rtl/>
        </w:rPr>
        <w:t xml:space="preserve"> كما </w:t>
      </w:r>
      <w:r w:rsidR="001F1F88" w:rsidRPr="00282AC9">
        <w:rPr>
          <w:rFonts w:hint="cs"/>
          <w:sz w:val="27"/>
          <w:rtl/>
        </w:rPr>
        <w:t xml:space="preserve">أن </w:t>
      </w:r>
      <w:r w:rsidRPr="00282AC9">
        <w:rPr>
          <w:rFonts w:hint="cs"/>
          <w:sz w:val="27"/>
          <w:rtl/>
        </w:rPr>
        <w:t>هذا المسلك يذهب</w:t>
      </w:r>
      <w:r w:rsidR="00BC0925" w:rsidRPr="00282AC9">
        <w:rPr>
          <w:rFonts w:hint="cs"/>
          <w:sz w:val="27"/>
          <w:rtl/>
        </w:rPr>
        <w:t xml:space="preserve"> إلى </w:t>
      </w:r>
      <w:r w:rsidRPr="00282AC9">
        <w:rPr>
          <w:rFonts w:hint="cs"/>
          <w:sz w:val="27"/>
          <w:rtl/>
        </w:rPr>
        <w:t>أنّه لا مانع من اجتماع الحيازة والصنع معاً في شيء</w:t>
      </w:r>
      <w:r w:rsidR="001F1F88" w:rsidRPr="00282AC9">
        <w:rPr>
          <w:rFonts w:hint="cs"/>
          <w:sz w:val="27"/>
          <w:rtl/>
        </w:rPr>
        <w:t>ٍ</w:t>
      </w:r>
      <w:r w:rsidRPr="00282AC9">
        <w:rPr>
          <w:rFonts w:hint="cs"/>
          <w:sz w:val="27"/>
          <w:rtl/>
        </w:rPr>
        <w:t xml:space="preserve"> واحد.</w:t>
      </w:r>
    </w:p>
    <w:p w:rsidR="001F1F88" w:rsidRPr="00282AC9" w:rsidRDefault="0062395A" w:rsidP="00495D24">
      <w:pPr>
        <w:rPr>
          <w:sz w:val="27"/>
          <w:rtl/>
          <w:lang w:bidi="fa-IR"/>
        </w:rPr>
      </w:pPr>
      <w:r w:rsidRPr="00282AC9">
        <w:rPr>
          <w:rFonts w:hint="cs"/>
          <w:sz w:val="27"/>
          <w:rtl/>
        </w:rPr>
        <w:t>6ـ تصدّ</w:t>
      </w:r>
      <w:r w:rsidR="001F1F88" w:rsidRPr="00282AC9">
        <w:rPr>
          <w:rFonts w:hint="cs"/>
          <w:sz w:val="27"/>
          <w:rtl/>
        </w:rPr>
        <w:t>َ</w:t>
      </w:r>
      <w:r w:rsidRPr="00282AC9">
        <w:rPr>
          <w:rFonts w:hint="cs"/>
          <w:sz w:val="27"/>
          <w:rtl/>
        </w:rPr>
        <w:t>ي</w:t>
      </w:r>
      <w:r w:rsidR="001F1F88" w:rsidRPr="00282AC9">
        <w:rPr>
          <w:rFonts w:hint="cs"/>
          <w:sz w:val="27"/>
          <w:rtl/>
        </w:rPr>
        <w:t>ْ</w:t>
      </w:r>
      <w:r w:rsidRPr="00282AC9">
        <w:rPr>
          <w:rFonts w:hint="cs"/>
          <w:sz w:val="27"/>
          <w:rtl/>
        </w:rPr>
        <w:t>نا لعرْض</w:t>
      </w:r>
      <w:r w:rsidR="001F1F88" w:rsidRPr="00282AC9">
        <w:rPr>
          <w:rFonts w:hint="cs"/>
          <w:sz w:val="27"/>
          <w:rtl/>
        </w:rPr>
        <w:t>ٍ</w:t>
      </w:r>
      <w:r w:rsidRPr="00282AC9">
        <w:rPr>
          <w:rFonts w:hint="cs"/>
          <w:sz w:val="27"/>
          <w:rtl/>
        </w:rPr>
        <w:t xml:space="preserve"> موجز</w:t>
      </w:r>
      <w:r w:rsidR="001F1F88" w:rsidRPr="00282AC9">
        <w:rPr>
          <w:rFonts w:hint="cs"/>
          <w:sz w:val="27"/>
          <w:rtl/>
        </w:rPr>
        <w:t>ٍ</w:t>
      </w:r>
      <w:r w:rsidRPr="00282AC9">
        <w:rPr>
          <w:rFonts w:hint="cs"/>
          <w:sz w:val="27"/>
          <w:rtl/>
        </w:rPr>
        <w:t xml:space="preserve"> للاتّجاه الرابع</w:t>
      </w:r>
      <w:r w:rsidR="001F1F88" w:rsidRPr="00282AC9">
        <w:rPr>
          <w:rFonts w:hint="cs"/>
          <w:sz w:val="27"/>
          <w:rtl/>
        </w:rPr>
        <w:t>،</w:t>
      </w:r>
      <w:r w:rsidRPr="00282AC9">
        <w:rPr>
          <w:rFonts w:hint="cs"/>
          <w:sz w:val="27"/>
          <w:rtl/>
        </w:rPr>
        <w:t xml:space="preserve"> الذي قسّ</w:t>
      </w:r>
      <w:r w:rsidR="001F1F88" w:rsidRPr="00282AC9">
        <w:rPr>
          <w:rFonts w:hint="cs"/>
          <w:sz w:val="27"/>
          <w:rtl/>
        </w:rPr>
        <w:t>َ</w:t>
      </w:r>
      <w:r w:rsidRPr="00282AC9">
        <w:rPr>
          <w:rFonts w:hint="cs"/>
          <w:sz w:val="27"/>
          <w:rtl/>
        </w:rPr>
        <w:t xml:space="preserve">م أسباب </w:t>
      </w:r>
      <w:r w:rsidR="00EB1216" w:rsidRPr="00282AC9">
        <w:rPr>
          <w:rFonts w:hint="cs"/>
          <w:sz w:val="27"/>
          <w:rtl/>
        </w:rPr>
        <w:t>المِلْكيّة</w:t>
      </w:r>
      <w:r w:rsidR="00BC0925" w:rsidRPr="00282AC9">
        <w:rPr>
          <w:rFonts w:hint="cs"/>
          <w:sz w:val="27"/>
          <w:rtl/>
        </w:rPr>
        <w:t xml:space="preserve"> إلى </w:t>
      </w:r>
      <w:r w:rsidRPr="00282AC9">
        <w:rPr>
          <w:rFonts w:hint="cs"/>
          <w:sz w:val="27"/>
          <w:rtl/>
        </w:rPr>
        <w:t>قسمين: أصلية</w:t>
      </w:r>
      <w:r w:rsidR="001F1F88" w:rsidRPr="00282AC9">
        <w:rPr>
          <w:rFonts w:hint="cs"/>
          <w:sz w:val="27"/>
          <w:rtl/>
        </w:rPr>
        <w:t>؛</w:t>
      </w:r>
      <w:r w:rsidRPr="00282AC9">
        <w:rPr>
          <w:rFonts w:hint="cs"/>
          <w:sz w:val="27"/>
          <w:rtl/>
        </w:rPr>
        <w:t xml:space="preserve"> وثانوية</w:t>
      </w:r>
      <w:r w:rsidR="001F1F88" w:rsidRPr="00282AC9">
        <w:rPr>
          <w:rFonts w:hint="cs"/>
          <w:sz w:val="27"/>
          <w:rtl/>
        </w:rPr>
        <w:t>.</w:t>
      </w:r>
    </w:p>
    <w:p w:rsidR="001F1F88" w:rsidRPr="00282AC9" w:rsidRDefault="0062395A" w:rsidP="00A92AFA">
      <w:pPr>
        <w:rPr>
          <w:sz w:val="27"/>
          <w:rtl/>
          <w:lang w:bidi="fa-IR"/>
        </w:rPr>
      </w:pPr>
      <w:r w:rsidRPr="00282AC9">
        <w:rPr>
          <w:rFonts w:hint="cs"/>
          <w:sz w:val="27"/>
          <w:rtl/>
          <w:lang w:bidi="fa-IR"/>
        </w:rPr>
        <w:t>فال</w:t>
      </w:r>
      <w:r w:rsidR="001F1F88" w:rsidRPr="00282AC9">
        <w:rPr>
          <w:rFonts w:hint="cs"/>
          <w:sz w:val="27"/>
          <w:rtl/>
          <w:lang w:bidi="fa-IR"/>
        </w:rPr>
        <w:t>أ</w:t>
      </w:r>
      <w:r w:rsidRPr="00282AC9">
        <w:rPr>
          <w:rFonts w:hint="cs"/>
          <w:sz w:val="27"/>
          <w:rtl/>
          <w:lang w:bidi="fa-IR"/>
        </w:rPr>
        <w:t xml:space="preserve">ولى ـ وهي </w:t>
      </w:r>
      <w:r w:rsidR="00EB1216" w:rsidRPr="00282AC9">
        <w:rPr>
          <w:rFonts w:hint="cs"/>
          <w:sz w:val="27"/>
          <w:rtl/>
          <w:lang w:bidi="fa-IR"/>
        </w:rPr>
        <w:t>المِلْكيّة</w:t>
      </w:r>
      <w:r w:rsidRPr="00282AC9">
        <w:rPr>
          <w:rFonts w:hint="cs"/>
          <w:sz w:val="27"/>
          <w:rtl/>
          <w:lang w:bidi="fa-IR"/>
        </w:rPr>
        <w:t xml:space="preserve"> الأوّلية الاستقلالي</w:t>
      </w:r>
      <w:r w:rsidR="001F1F88" w:rsidRPr="00282AC9">
        <w:rPr>
          <w:rFonts w:hint="cs"/>
          <w:sz w:val="27"/>
          <w:rtl/>
          <w:lang w:bidi="fa-IR"/>
        </w:rPr>
        <w:t>ّ</w:t>
      </w:r>
      <w:r w:rsidRPr="00282AC9">
        <w:rPr>
          <w:rFonts w:hint="cs"/>
          <w:sz w:val="27"/>
          <w:rtl/>
          <w:lang w:bidi="fa-IR"/>
        </w:rPr>
        <w:t>ة ـ فإنّها المنشأ في م</w:t>
      </w:r>
      <w:r w:rsidR="001F1F88" w:rsidRPr="00282AC9">
        <w:rPr>
          <w:rFonts w:hint="cs"/>
          <w:sz w:val="27"/>
          <w:rtl/>
          <w:lang w:bidi="fa-IR"/>
        </w:rPr>
        <w:t>ِ</w:t>
      </w:r>
      <w:r w:rsidRPr="00282AC9">
        <w:rPr>
          <w:rFonts w:hint="cs"/>
          <w:sz w:val="27"/>
          <w:rtl/>
          <w:lang w:bidi="fa-IR"/>
        </w:rPr>
        <w:t>ل</w:t>
      </w:r>
      <w:r w:rsidR="001F1F88" w:rsidRPr="00282AC9">
        <w:rPr>
          <w:rFonts w:hint="cs"/>
          <w:sz w:val="27"/>
          <w:rtl/>
          <w:lang w:bidi="fa-IR"/>
        </w:rPr>
        <w:t>ْ</w:t>
      </w:r>
      <w:r w:rsidRPr="00282AC9">
        <w:rPr>
          <w:rFonts w:hint="cs"/>
          <w:sz w:val="27"/>
          <w:rtl/>
          <w:lang w:bidi="fa-IR"/>
        </w:rPr>
        <w:t>كي</w:t>
      </w:r>
      <w:r w:rsidR="001F1F88" w:rsidRPr="00282AC9">
        <w:rPr>
          <w:rFonts w:hint="cs"/>
          <w:sz w:val="27"/>
          <w:rtl/>
          <w:lang w:bidi="fa-IR"/>
        </w:rPr>
        <w:t>ّ</w:t>
      </w:r>
      <w:r w:rsidRPr="00282AC9">
        <w:rPr>
          <w:rFonts w:hint="cs"/>
          <w:sz w:val="27"/>
          <w:rtl/>
          <w:lang w:bidi="fa-IR"/>
        </w:rPr>
        <w:t>ة الإنسان لأمواله المنفصلة عنه، وتتمثّ</w:t>
      </w:r>
      <w:r w:rsidR="001F1F88" w:rsidRPr="00282AC9">
        <w:rPr>
          <w:rFonts w:hint="cs"/>
          <w:sz w:val="27"/>
          <w:rtl/>
          <w:lang w:bidi="fa-IR"/>
        </w:rPr>
        <w:t>َ</w:t>
      </w:r>
      <w:r w:rsidRPr="00282AC9">
        <w:rPr>
          <w:rFonts w:hint="cs"/>
          <w:sz w:val="27"/>
          <w:rtl/>
          <w:lang w:bidi="fa-IR"/>
        </w:rPr>
        <w:t>ل بأحد أمرين: الحيازة (المختصّة بالمنقولات)، والصنع (المختصّ بغير المنقولات</w:t>
      </w:r>
      <w:r w:rsidR="001F1F88" w:rsidRPr="00282AC9">
        <w:rPr>
          <w:rFonts w:hint="cs"/>
          <w:sz w:val="27"/>
          <w:rtl/>
          <w:lang w:bidi="fa-IR"/>
        </w:rPr>
        <w:t>،</w:t>
      </w:r>
      <w:r w:rsidRPr="00282AC9">
        <w:rPr>
          <w:rFonts w:hint="cs"/>
          <w:sz w:val="27"/>
          <w:rtl/>
          <w:lang w:bidi="fa-IR"/>
        </w:rPr>
        <w:t xml:space="preserve"> كالأرض التي تُم</w:t>
      </w:r>
      <w:r w:rsidR="001F1F88" w:rsidRPr="00282AC9">
        <w:rPr>
          <w:rFonts w:hint="cs"/>
          <w:sz w:val="27"/>
          <w:rtl/>
          <w:lang w:bidi="fa-IR"/>
        </w:rPr>
        <w:t>ْ</w:t>
      </w:r>
      <w:r w:rsidRPr="00282AC9">
        <w:rPr>
          <w:rFonts w:hint="cs"/>
          <w:sz w:val="27"/>
          <w:rtl/>
          <w:lang w:bidi="fa-IR"/>
        </w:rPr>
        <w:t>لَك بالزراعة أو العمارة)</w:t>
      </w:r>
      <w:r w:rsidR="001F1F88" w:rsidRPr="00282AC9">
        <w:rPr>
          <w:rFonts w:hint="cs"/>
          <w:sz w:val="27"/>
          <w:rtl/>
          <w:lang w:bidi="fa-IR"/>
        </w:rPr>
        <w:t>.</w:t>
      </w:r>
      <w:r w:rsidRPr="00282AC9">
        <w:rPr>
          <w:rFonts w:hint="cs"/>
          <w:sz w:val="27"/>
          <w:rtl/>
          <w:lang w:bidi="fa-IR"/>
        </w:rPr>
        <w:t xml:space="preserve"> و</w:t>
      </w:r>
      <w:r w:rsidR="001F1F88" w:rsidRPr="00282AC9">
        <w:rPr>
          <w:rFonts w:hint="cs"/>
          <w:sz w:val="27"/>
          <w:rtl/>
          <w:lang w:bidi="fa-IR"/>
        </w:rPr>
        <w:t>إ</w:t>
      </w:r>
      <w:r w:rsidRPr="00282AC9">
        <w:rPr>
          <w:rFonts w:hint="cs"/>
          <w:sz w:val="27"/>
          <w:rtl/>
          <w:lang w:bidi="fa-IR"/>
        </w:rPr>
        <w:t>نّ الحيازة والصنع لا يجتمعان في شيء</w:t>
      </w:r>
      <w:r w:rsidR="001F1F88" w:rsidRPr="00282AC9">
        <w:rPr>
          <w:rFonts w:hint="cs"/>
          <w:sz w:val="27"/>
          <w:rtl/>
          <w:lang w:bidi="fa-IR"/>
        </w:rPr>
        <w:t>ٍ</w:t>
      </w:r>
      <w:r w:rsidRPr="00282AC9">
        <w:rPr>
          <w:rFonts w:hint="cs"/>
          <w:sz w:val="27"/>
          <w:rtl/>
          <w:lang w:bidi="fa-IR"/>
        </w:rPr>
        <w:t xml:space="preserve"> واحد</w:t>
      </w:r>
      <w:r w:rsidR="001F1F88" w:rsidRPr="00282AC9">
        <w:rPr>
          <w:rFonts w:hint="cs"/>
          <w:sz w:val="27"/>
          <w:rtl/>
          <w:lang w:bidi="fa-IR"/>
        </w:rPr>
        <w:t>.</w:t>
      </w:r>
      <w:r w:rsidRPr="00282AC9">
        <w:rPr>
          <w:rFonts w:hint="cs"/>
          <w:sz w:val="27"/>
          <w:rtl/>
          <w:lang w:bidi="fa-IR"/>
        </w:rPr>
        <w:t xml:space="preserve"> ويرى هذا الاتّجاه أنّ العقلاء توسّ</w:t>
      </w:r>
      <w:r w:rsidR="001F1F88" w:rsidRPr="00282AC9">
        <w:rPr>
          <w:rFonts w:hint="cs"/>
          <w:sz w:val="27"/>
          <w:rtl/>
          <w:lang w:bidi="fa-IR"/>
        </w:rPr>
        <w:t>َ</w:t>
      </w:r>
      <w:r w:rsidRPr="00282AC9">
        <w:rPr>
          <w:rFonts w:hint="cs"/>
          <w:sz w:val="27"/>
          <w:rtl/>
          <w:lang w:bidi="fa-IR"/>
        </w:rPr>
        <w:t>عوا في الحيازة.</w:t>
      </w:r>
    </w:p>
    <w:p w:rsidR="00E83C22" w:rsidRPr="00282AC9" w:rsidRDefault="0062395A" w:rsidP="00495D24">
      <w:pPr>
        <w:rPr>
          <w:rtl/>
          <w:lang w:bidi="fa-IR"/>
        </w:rPr>
      </w:pPr>
      <w:r w:rsidRPr="00282AC9">
        <w:rPr>
          <w:rFonts w:hint="cs"/>
          <w:sz w:val="27"/>
          <w:rtl/>
          <w:lang w:bidi="fa-IR"/>
        </w:rPr>
        <w:t xml:space="preserve">وأمّا الثانية ـ وهي </w:t>
      </w:r>
      <w:r w:rsidR="001F1F88" w:rsidRPr="00282AC9">
        <w:rPr>
          <w:rFonts w:hint="cs"/>
          <w:sz w:val="27"/>
          <w:rtl/>
          <w:lang w:bidi="fa-IR"/>
        </w:rPr>
        <w:t>ا</w:t>
      </w:r>
      <w:r w:rsidRPr="00282AC9">
        <w:rPr>
          <w:rFonts w:hint="cs"/>
          <w:sz w:val="27"/>
          <w:rtl/>
          <w:lang w:bidi="fa-IR"/>
        </w:rPr>
        <w:t>لم</w:t>
      </w:r>
      <w:r w:rsidR="001F1F88" w:rsidRPr="00282AC9">
        <w:rPr>
          <w:rFonts w:hint="cs"/>
          <w:sz w:val="27"/>
          <w:rtl/>
          <w:lang w:bidi="fa-IR"/>
        </w:rPr>
        <w:t>ِ</w:t>
      </w:r>
      <w:r w:rsidRPr="00282AC9">
        <w:rPr>
          <w:rFonts w:hint="cs"/>
          <w:sz w:val="27"/>
          <w:rtl/>
          <w:lang w:bidi="fa-IR"/>
        </w:rPr>
        <w:t>ل</w:t>
      </w:r>
      <w:r w:rsidR="001F1F88" w:rsidRPr="00282AC9">
        <w:rPr>
          <w:rFonts w:hint="cs"/>
          <w:sz w:val="27"/>
          <w:rtl/>
          <w:lang w:bidi="fa-IR"/>
        </w:rPr>
        <w:t>ْ</w:t>
      </w:r>
      <w:r w:rsidRPr="00282AC9">
        <w:rPr>
          <w:rFonts w:hint="cs"/>
          <w:sz w:val="27"/>
          <w:rtl/>
          <w:lang w:bidi="fa-IR"/>
        </w:rPr>
        <w:t>كي</w:t>
      </w:r>
      <w:r w:rsidR="001F1F88" w:rsidRPr="00282AC9">
        <w:rPr>
          <w:rFonts w:hint="cs"/>
          <w:sz w:val="27"/>
          <w:rtl/>
          <w:lang w:bidi="fa-IR"/>
        </w:rPr>
        <w:t>ّ</w:t>
      </w:r>
      <w:r w:rsidRPr="00282AC9">
        <w:rPr>
          <w:rFonts w:hint="cs"/>
          <w:sz w:val="27"/>
          <w:rtl/>
          <w:lang w:bidi="fa-IR"/>
        </w:rPr>
        <w:t>ة الثانوية ـ فإنّها ناشئة</w:t>
      </w:r>
      <w:r w:rsidR="001F1F88" w:rsidRPr="00282AC9">
        <w:rPr>
          <w:rFonts w:hint="cs"/>
          <w:sz w:val="27"/>
          <w:rtl/>
          <w:lang w:bidi="fa-IR"/>
        </w:rPr>
        <w:t>ٌ</w:t>
      </w:r>
      <w:r w:rsidRPr="00282AC9">
        <w:rPr>
          <w:rFonts w:hint="cs"/>
          <w:sz w:val="27"/>
          <w:rtl/>
          <w:lang w:bidi="fa-IR"/>
        </w:rPr>
        <w:t xml:space="preserve"> في طول ال</w:t>
      </w:r>
      <w:r w:rsidR="001F1F88" w:rsidRPr="00282AC9">
        <w:rPr>
          <w:rFonts w:hint="cs"/>
          <w:sz w:val="27"/>
          <w:rtl/>
          <w:lang w:bidi="fa-IR"/>
        </w:rPr>
        <w:t>أ</w:t>
      </w:r>
      <w:r w:rsidRPr="00282AC9">
        <w:rPr>
          <w:rFonts w:hint="cs"/>
          <w:sz w:val="27"/>
          <w:rtl/>
          <w:lang w:bidi="fa-IR"/>
        </w:rPr>
        <w:t>ولى</w:t>
      </w:r>
      <w:r w:rsidR="001F1F88" w:rsidRPr="00282AC9">
        <w:rPr>
          <w:rFonts w:hint="cs"/>
          <w:sz w:val="27"/>
          <w:rtl/>
          <w:lang w:bidi="fa-IR"/>
        </w:rPr>
        <w:t>؛</w:t>
      </w:r>
      <w:r w:rsidRPr="00282AC9">
        <w:rPr>
          <w:rFonts w:hint="cs"/>
          <w:sz w:val="27"/>
          <w:rtl/>
          <w:lang w:bidi="fa-IR"/>
        </w:rPr>
        <w:t xml:space="preserve"> فقد حصل عند العقلاء توسّ</w:t>
      </w:r>
      <w:r w:rsidR="001F1F88" w:rsidRPr="00282AC9">
        <w:rPr>
          <w:rFonts w:hint="cs"/>
          <w:sz w:val="27"/>
          <w:rtl/>
          <w:lang w:bidi="fa-IR"/>
        </w:rPr>
        <w:t>ُ</w:t>
      </w:r>
      <w:r w:rsidRPr="00282AC9">
        <w:rPr>
          <w:rFonts w:hint="cs"/>
          <w:sz w:val="27"/>
          <w:rtl/>
          <w:lang w:bidi="fa-IR"/>
        </w:rPr>
        <w:t>عات في باب الحيازة من جهات</w:t>
      </w:r>
      <w:r w:rsidR="001F1F88" w:rsidRPr="00282AC9">
        <w:rPr>
          <w:rFonts w:hint="cs"/>
          <w:sz w:val="27"/>
          <w:rtl/>
          <w:lang w:bidi="fa-IR"/>
        </w:rPr>
        <w:t>ٍ</w:t>
      </w:r>
      <w:r w:rsidRPr="00282AC9">
        <w:rPr>
          <w:rFonts w:hint="cs"/>
          <w:sz w:val="27"/>
          <w:rtl/>
          <w:lang w:bidi="fa-IR"/>
        </w:rPr>
        <w:t xml:space="preserve"> شتّى. ولم نتص</w:t>
      </w:r>
      <w:r w:rsidR="001F1F88" w:rsidRPr="00282AC9">
        <w:rPr>
          <w:rFonts w:hint="cs"/>
          <w:sz w:val="27"/>
          <w:rtl/>
          <w:lang w:bidi="fa-IR"/>
        </w:rPr>
        <w:t>َ</w:t>
      </w:r>
      <w:r w:rsidRPr="00282AC9">
        <w:rPr>
          <w:rFonts w:hint="cs"/>
          <w:sz w:val="27"/>
          <w:rtl/>
          <w:lang w:bidi="fa-IR"/>
        </w:rPr>
        <w:t>دّ</w:t>
      </w:r>
      <w:r w:rsidR="001F1F88" w:rsidRPr="00282AC9">
        <w:rPr>
          <w:rFonts w:hint="cs"/>
          <w:sz w:val="27"/>
          <w:rtl/>
          <w:lang w:bidi="fa-IR"/>
        </w:rPr>
        <w:t>َ</w:t>
      </w:r>
      <w:r w:rsidRPr="00282AC9">
        <w:rPr>
          <w:rFonts w:hint="cs"/>
          <w:sz w:val="27"/>
          <w:rtl/>
          <w:lang w:bidi="fa-IR"/>
        </w:rPr>
        <w:t xml:space="preserve"> لتحليله</w:t>
      </w:r>
      <w:r w:rsidR="001F1F88" w:rsidRPr="00282AC9">
        <w:rPr>
          <w:rFonts w:hint="cs"/>
          <w:sz w:val="27"/>
          <w:rtl/>
          <w:lang w:bidi="fa-IR"/>
        </w:rPr>
        <w:t>،</w:t>
      </w:r>
      <w:r w:rsidRPr="00282AC9">
        <w:rPr>
          <w:rFonts w:hint="cs"/>
          <w:sz w:val="27"/>
          <w:rtl/>
          <w:lang w:bidi="fa-IR"/>
        </w:rPr>
        <w:t xml:space="preserve"> ولا لمناقشة وتقويم </w:t>
      </w:r>
      <w:r w:rsidRPr="00282AC9">
        <w:rPr>
          <w:rFonts w:hint="cs"/>
          <w:sz w:val="27"/>
          <w:rtl/>
          <w:lang w:bidi="fa-IR"/>
        </w:rPr>
        <w:lastRenderedPageBreak/>
        <w:t>هذا الاتّجاه هنا؛ لأنّنا خص</w:t>
      </w:r>
      <w:r w:rsidR="001F1F88" w:rsidRPr="00282AC9">
        <w:rPr>
          <w:rFonts w:hint="cs"/>
          <w:sz w:val="27"/>
          <w:rtl/>
          <w:lang w:bidi="fa-IR"/>
        </w:rPr>
        <w:t>َّ</w:t>
      </w:r>
      <w:r w:rsidRPr="00282AC9">
        <w:rPr>
          <w:rFonts w:hint="cs"/>
          <w:sz w:val="27"/>
          <w:rtl/>
          <w:lang w:bidi="fa-IR"/>
        </w:rPr>
        <w:t>صنا له مقالين مستقلّ</w:t>
      </w:r>
      <w:r w:rsidR="001F1F88" w:rsidRPr="00282AC9">
        <w:rPr>
          <w:rFonts w:hint="cs"/>
          <w:sz w:val="27"/>
          <w:rtl/>
          <w:lang w:bidi="fa-IR"/>
        </w:rPr>
        <w:t>َ</w:t>
      </w:r>
      <w:r w:rsidRPr="00282AC9">
        <w:rPr>
          <w:rFonts w:hint="cs"/>
          <w:sz w:val="27"/>
          <w:rtl/>
          <w:lang w:bidi="fa-IR"/>
        </w:rPr>
        <w:t>ين.</w:t>
      </w:r>
    </w:p>
    <w:p w:rsidR="00F93923" w:rsidRPr="00282AC9" w:rsidRDefault="00F93923" w:rsidP="00AD5AC7">
      <w:pPr>
        <w:spacing w:line="420" w:lineRule="exact"/>
        <w:rPr>
          <w:rtl/>
        </w:rPr>
      </w:pPr>
    </w:p>
    <w:p w:rsidR="00F93923" w:rsidRPr="00282AC9" w:rsidRDefault="00F93923" w:rsidP="00AD5AC7">
      <w:pPr>
        <w:rPr>
          <w:rtl/>
        </w:rPr>
      </w:pPr>
    </w:p>
    <w:p w:rsidR="00E83C22" w:rsidRPr="00282AC9" w:rsidRDefault="00E83C22" w:rsidP="00715FC8">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t>الهوامش</w:t>
      </w:r>
    </w:p>
    <w:p w:rsidR="00E83C22" w:rsidRPr="00282AC9" w:rsidRDefault="00E83C22" w:rsidP="00715FC8">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167"/>
          <w:headerReference w:type="default" r:id="rId168"/>
          <w:footerReference w:type="even" r:id="rId169"/>
          <w:footerReference w:type="default" r:id="rId17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AD5AC7">
      <w:pPr>
        <w:spacing w:line="20" w:lineRule="exact"/>
      </w:pPr>
      <w:r w:rsidRPr="00282AC9">
        <w:rPr>
          <w:rtl/>
        </w:rPr>
        <w:lastRenderedPageBreak/>
        <w:br w:type="page"/>
      </w:r>
    </w:p>
    <w:p w:rsidR="00E83C22" w:rsidRPr="00282AC9" w:rsidRDefault="00E83C22" w:rsidP="00AD5AC7">
      <w:pPr>
        <w:spacing w:line="20" w:lineRule="exact"/>
        <w:rPr>
          <w:rtl/>
        </w:rPr>
        <w:sectPr w:rsidR="00E83C22" w:rsidRPr="00282AC9" w:rsidSect="00E85587">
          <w:headerReference w:type="even" r:id="rId171"/>
          <w:headerReference w:type="default" r:id="rId172"/>
          <w:footerReference w:type="even" r:id="rId173"/>
          <w:footerReference w:type="default" r:id="rId174"/>
          <w:headerReference w:type="first" r:id="rId17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406DEB">
      <w:pPr>
        <w:spacing w:line="430" w:lineRule="exact"/>
        <w:rPr>
          <w:rtl/>
        </w:rPr>
      </w:pPr>
    </w:p>
    <w:p w:rsidR="00E83C22" w:rsidRPr="00282AC9" w:rsidRDefault="00E83C22" w:rsidP="00406DEB">
      <w:pPr>
        <w:spacing w:line="420" w:lineRule="exact"/>
        <w:rPr>
          <w:rtl/>
        </w:rPr>
      </w:pPr>
    </w:p>
    <w:p w:rsidR="00E83C22" w:rsidRPr="00282AC9" w:rsidRDefault="001327B4" w:rsidP="00715FC8">
      <w:pPr>
        <w:pStyle w:val="11"/>
        <w:keepNext w:val="0"/>
        <w:keepLines w:val="0"/>
        <w:spacing w:line="216" w:lineRule="auto"/>
        <w:rPr>
          <w:rtl/>
        </w:rPr>
      </w:pPr>
      <w:bookmarkStart w:id="113" w:name="_Toc87011538"/>
      <w:r w:rsidRPr="00282AC9">
        <w:rPr>
          <w:rFonts w:hint="cs"/>
          <w:rtl/>
        </w:rPr>
        <w:t>(</w:t>
      </w:r>
      <w:r w:rsidR="005562D2" w:rsidRPr="00282AC9">
        <w:rPr>
          <w:rFonts w:hint="cs"/>
          <w:rtl/>
        </w:rPr>
        <w:t>الأسس المنطقيّة للاستقراء</w:t>
      </w:r>
      <w:r w:rsidRPr="00282AC9">
        <w:rPr>
          <w:rFonts w:hint="cs"/>
          <w:rtl/>
        </w:rPr>
        <w:t>) في الميزان</w:t>
      </w:r>
      <w:bookmarkEnd w:id="113"/>
    </w:p>
    <w:p w:rsidR="00E83C22" w:rsidRPr="00282AC9" w:rsidRDefault="005562D2" w:rsidP="00715FC8">
      <w:pPr>
        <w:pStyle w:val="11"/>
        <w:keepNext w:val="0"/>
        <w:keepLines w:val="0"/>
        <w:spacing w:line="216" w:lineRule="auto"/>
        <w:rPr>
          <w:sz w:val="26"/>
          <w:szCs w:val="42"/>
          <w:rtl/>
        </w:rPr>
      </w:pPr>
      <w:bookmarkStart w:id="114" w:name="_Toc87011539"/>
      <w:r w:rsidRPr="00282AC9">
        <w:rPr>
          <w:rFonts w:hint="cs"/>
          <w:sz w:val="26"/>
          <w:szCs w:val="42"/>
          <w:rtl/>
        </w:rPr>
        <w:t>عرضٌ ومناقشة</w:t>
      </w:r>
      <w:r w:rsidR="007E1A72" w:rsidRPr="00282AC9">
        <w:rPr>
          <w:rFonts w:hint="cs"/>
          <w:sz w:val="26"/>
          <w:szCs w:val="42"/>
          <w:rtl/>
        </w:rPr>
        <w:t>ٌ</w:t>
      </w:r>
      <w:r w:rsidR="001327B4" w:rsidRPr="00282AC9">
        <w:rPr>
          <w:rFonts w:hint="cs"/>
          <w:sz w:val="26"/>
          <w:szCs w:val="42"/>
          <w:rtl/>
        </w:rPr>
        <w:t xml:space="preserve"> لنقد الشيخ أيمن المصري</w:t>
      </w:r>
      <w:bookmarkEnd w:id="114"/>
    </w:p>
    <w:p w:rsidR="00E83C22" w:rsidRPr="00282AC9" w:rsidRDefault="00E83C22" w:rsidP="00715FC8">
      <w:pPr>
        <w:rPr>
          <w:rtl/>
        </w:rPr>
      </w:pPr>
    </w:p>
    <w:p w:rsidR="00E83C22" w:rsidRPr="00282AC9" w:rsidRDefault="005562D2" w:rsidP="00715FC8">
      <w:pPr>
        <w:pStyle w:val="Author"/>
        <w:rPr>
          <w:rtl/>
        </w:rPr>
      </w:pPr>
      <w:bookmarkStart w:id="115" w:name="_Toc87011540"/>
      <w:r w:rsidRPr="00282AC9">
        <w:rPr>
          <w:rFonts w:hint="cs"/>
          <w:rtl/>
        </w:rPr>
        <w:t>أ. حسين هشام يعقوب</w:t>
      </w:r>
      <w:r w:rsidR="00527634" w:rsidRPr="00282AC9">
        <w:rPr>
          <w:rFonts w:cs="Taher" w:hint="cs"/>
          <w:vertAlign w:val="superscript"/>
          <w:rtl/>
        </w:rPr>
        <w:t>(</w:t>
      </w:r>
      <w:r w:rsidR="00527634" w:rsidRPr="00282AC9">
        <w:rPr>
          <w:rFonts w:cs="Taher"/>
          <w:vertAlign w:val="superscript"/>
          <w:rtl/>
        </w:rPr>
        <w:footnoteReference w:customMarkFollows="1" w:id="22"/>
        <w:t>*)</w:t>
      </w:r>
      <w:bookmarkEnd w:id="115"/>
    </w:p>
    <w:p w:rsidR="00E83C22" w:rsidRPr="00282AC9" w:rsidRDefault="00E83C22" w:rsidP="00715FC8">
      <w:pPr>
        <w:rPr>
          <w:rtl/>
        </w:rPr>
      </w:pPr>
    </w:p>
    <w:p w:rsidR="002C1D33" w:rsidRPr="00282AC9" w:rsidRDefault="002C1D33" w:rsidP="008E71FA">
      <w:pPr>
        <w:rPr>
          <w:sz w:val="27"/>
          <w:rtl/>
        </w:rPr>
      </w:pPr>
      <w:r w:rsidRPr="00282AC9">
        <w:rPr>
          <w:rFonts w:hint="cs"/>
          <w:sz w:val="27"/>
          <w:rtl/>
        </w:rPr>
        <w:t>ما زال كتاب الأسس المنطقيّة للاستقراء</w:t>
      </w:r>
      <w:r w:rsidR="00035FFF" w:rsidRPr="00282AC9">
        <w:rPr>
          <w:rFonts w:hint="cs"/>
          <w:sz w:val="27"/>
          <w:rtl/>
        </w:rPr>
        <w:t>، للسيّد الشهيد محم</w:t>
      </w:r>
      <w:r w:rsidRPr="00282AC9">
        <w:rPr>
          <w:rFonts w:hint="cs"/>
          <w:sz w:val="27"/>
          <w:rtl/>
        </w:rPr>
        <w:t>د باقر الصّدر</w:t>
      </w:r>
      <w:r w:rsidR="00035FFF" w:rsidRPr="00282AC9">
        <w:rPr>
          <w:rFonts w:hint="cs"/>
          <w:sz w:val="27"/>
          <w:rtl/>
        </w:rPr>
        <w:t>،</w:t>
      </w:r>
      <w:r w:rsidRPr="00282AC9">
        <w:rPr>
          <w:rFonts w:hint="cs"/>
          <w:sz w:val="27"/>
          <w:rtl/>
        </w:rPr>
        <w:t xml:space="preserve"> في طيّ الإهمال، ولم يسلّ</w:t>
      </w:r>
      <w:r w:rsidR="00035FFF" w:rsidRPr="00282AC9">
        <w:rPr>
          <w:rFonts w:hint="cs"/>
          <w:sz w:val="27"/>
          <w:rtl/>
        </w:rPr>
        <w:t>َ</w:t>
      </w:r>
      <w:r w:rsidRPr="00282AC9">
        <w:rPr>
          <w:rFonts w:hint="cs"/>
          <w:sz w:val="27"/>
          <w:rtl/>
        </w:rPr>
        <w:t>ط الضوء عليه كما ينبغي</w:t>
      </w:r>
      <w:r w:rsidR="00035FFF" w:rsidRPr="00282AC9">
        <w:rPr>
          <w:rFonts w:hint="cs"/>
          <w:sz w:val="27"/>
          <w:rtl/>
        </w:rPr>
        <w:t>.</w:t>
      </w:r>
      <w:r w:rsidRPr="00282AC9">
        <w:rPr>
          <w:rFonts w:hint="cs"/>
          <w:sz w:val="27"/>
          <w:rtl/>
        </w:rPr>
        <w:t xml:space="preserve"> فمنذ صدوره</w:t>
      </w:r>
      <w:r w:rsidR="00035FFF" w:rsidRPr="00282AC9">
        <w:rPr>
          <w:rFonts w:hint="cs"/>
          <w:sz w:val="27"/>
          <w:rtl/>
        </w:rPr>
        <w:t>،</w:t>
      </w:r>
      <w:r w:rsidRPr="00282AC9">
        <w:rPr>
          <w:rFonts w:hint="cs"/>
          <w:sz w:val="27"/>
          <w:rtl/>
        </w:rPr>
        <w:t xml:space="preserve"> قبل خمسة عقود تقريباً</w:t>
      </w:r>
      <w:r w:rsidRPr="00282AC9">
        <w:rPr>
          <w:rFonts w:hint="cs"/>
          <w:sz w:val="27"/>
          <w:vertAlign w:val="superscript"/>
          <w:rtl/>
        </w:rPr>
        <w:t>(</w:t>
      </w:r>
      <w:r w:rsidRPr="00282AC9">
        <w:rPr>
          <w:rStyle w:val="af9"/>
          <w:sz w:val="27"/>
          <w:rtl/>
        </w:rPr>
        <w:endnoteReference w:id="1012"/>
      </w:r>
      <w:r w:rsidRPr="00282AC9">
        <w:rPr>
          <w:rFonts w:hint="cs"/>
          <w:sz w:val="27"/>
          <w:vertAlign w:val="superscript"/>
          <w:rtl/>
        </w:rPr>
        <w:t>)</w:t>
      </w:r>
      <w:r w:rsidR="00035FFF" w:rsidRPr="00282AC9">
        <w:rPr>
          <w:rFonts w:hint="cs"/>
          <w:sz w:val="27"/>
          <w:rtl/>
        </w:rPr>
        <w:t>،</w:t>
      </w:r>
      <w:r w:rsidRPr="00282AC9">
        <w:rPr>
          <w:rFonts w:hint="cs"/>
          <w:sz w:val="27"/>
          <w:rtl/>
        </w:rPr>
        <w:t xml:space="preserve"> </w:t>
      </w:r>
      <w:r w:rsidR="00035FFF" w:rsidRPr="00282AC9">
        <w:rPr>
          <w:rFonts w:hint="cs"/>
          <w:sz w:val="27"/>
          <w:rtl/>
        </w:rPr>
        <w:t>وإلى</w:t>
      </w:r>
      <w:r w:rsidRPr="00282AC9">
        <w:rPr>
          <w:rFonts w:hint="cs"/>
          <w:sz w:val="27"/>
          <w:rtl/>
        </w:rPr>
        <w:t xml:space="preserve"> يومنا هذا، </w:t>
      </w:r>
      <w:r w:rsidR="00035FFF" w:rsidRPr="00282AC9">
        <w:rPr>
          <w:rFonts w:hint="cs"/>
          <w:sz w:val="27"/>
          <w:rtl/>
        </w:rPr>
        <w:t>الدراسات حوله معدودة محد</w:t>
      </w:r>
      <w:r w:rsidRPr="00282AC9">
        <w:rPr>
          <w:rFonts w:hint="cs"/>
          <w:sz w:val="27"/>
          <w:rtl/>
        </w:rPr>
        <w:t>ودة</w:t>
      </w:r>
      <w:r w:rsidR="00035FFF" w:rsidRPr="00282AC9">
        <w:rPr>
          <w:rFonts w:hint="cs"/>
          <w:sz w:val="27"/>
          <w:rtl/>
        </w:rPr>
        <w:t>؛</w:t>
      </w:r>
      <w:r w:rsidRPr="00282AC9">
        <w:rPr>
          <w:rFonts w:hint="cs"/>
          <w:sz w:val="27"/>
          <w:rtl/>
        </w:rPr>
        <w:t xml:space="preserve"> وكذلك لم يأخذ </w:t>
      </w:r>
      <w:r w:rsidR="00035FFF" w:rsidRPr="00282AC9">
        <w:rPr>
          <w:rFonts w:hint="cs"/>
          <w:sz w:val="27"/>
          <w:rtl/>
        </w:rPr>
        <w:t>حقّه</w:t>
      </w:r>
      <w:r w:rsidRPr="00282AC9">
        <w:rPr>
          <w:rFonts w:hint="cs"/>
          <w:sz w:val="27"/>
          <w:rtl/>
        </w:rPr>
        <w:t xml:space="preserve"> في التدريس والتداول والشرح</w:t>
      </w:r>
      <w:r w:rsidR="00035FFF" w:rsidRPr="00282AC9">
        <w:rPr>
          <w:rFonts w:hint="cs"/>
          <w:sz w:val="27"/>
          <w:rtl/>
        </w:rPr>
        <w:t>؛</w:t>
      </w:r>
      <w:r w:rsidRPr="00282AC9">
        <w:rPr>
          <w:rFonts w:hint="cs"/>
          <w:sz w:val="27"/>
          <w:rtl/>
        </w:rPr>
        <w:t xml:space="preserve"> فالأكثريّة من طلا</w:t>
      </w:r>
      <w:r w:rsidR="00035FFF" w:rsidRPr="00282AC9">
        <w:rPr>
          <w:rFonts w:hint="cs"/>
          <w:sz w:val="27"/>
          <w:rtl/>
        </w:rPr>
        <w:t>ّ</w:t>
      </w:r>
      <w:r w:rsidRPr="00282AC9">
        <w:rPr>
          <w:rFonts w:hint="cs"/>
          <w:sz w:val="27"/>
          <w:rtl/>
        </w:rPr>
        <w:t>ب العلوم الدينيّة بعيدة</w:t>
      </w:r>
      <w:r w:rsidR="00035FFF" w:rsidRPr="00282AC9">
        <w:rPr>
          <w:rFonts w:hint="cs"/>
          <w:sz w:val="27"/>
          <w:rtl/>
        </w:rPr>
        <w:t>ٌ</w:t>
      </w:r>
      <w:r w:rsidRPr="00282AC9">
        <w:rPr>
          <w:rFonts w:hint="cs"/>
          <w:sz w:val="27"/>
          <w:rtl/>
        </w:rPr>
        <w:t xml:space="preserve"> عنه، فضلاً عن غيرهم. وتكمن </w:t>
      </w:r>
      <w:r w:rsidR="00035FFF" w:rsidRPr="00282AC9">
        <w:rPr>
          <w:rFonts w:hint="cs"/>
          <w:sz w:val="27"/>
          <w:rtl/>
        </w:rPr>
        <w:t>أهمِّية</w:t>
      </w:r>
      <w:r w:rsidRPr="00282AC9">
        <w:rPr>
          <w:rFonts w:hint="cs"/>
          <w:sz w:val="27"/>
          <w:rtl/>
        </w:rPr>
        <w:t xml:space="preserve"> كتاب</w:t>
      </w:r>
      <w:r w:rsidR="00035FFF" w:rsidRPr="00282AC9">
        <w:rPr>
          <w:rFonts w:hint="cs"/>
          <w:sz w:val="27"/>
          <w:rtl/>
        </w:rPr>
        <w:t>ٍ</w:t>
      </w:r>
      <w:r w:rsidRPr="00282AC9">
        <w:rPr>
          <w:rFonts w:hint="cs"/>
          <w:sz w:val="27"/>
          <w:rtl/>
        </w:rPr>
        <w:t xml:space="preserve"> ككتاب الأسس في أنّه لا يمكن تجاهله ثبوتاً، وإن</w:t>
      </w:r>
      <w:r w:rsidR="002B5F55" w:rsidRPr="00282AC9">
        <w:rPr>
          <w:rFonts w:hint="cs"/>
          <w:sz w:val="27"/>
          <w:rtl/>
        </w:rPr>
        <w:t>ْ</w:t>
      </w:r>
      <w:r w:rsidRPr="00282AC9">
        <w:rPr>
          <w:rFonts w:hint="cs"/>
          <w:sz w:val="27"/>
          <w:rtl/>
        </w:rPr>
        <w:t xml:space="preserve"> وقع إثباتاً</w:t>
      </w:r>
      <w:r w:rsidR="002B5F55" w:rsidRPr="00282AC9">
        <w:rPr>
          <w:rFonts w:hint="cs"/>
          <w:sz w:val="27"/>
          <w:rtl/>
        </w:rPr>
        <w:t>؛</w:t>
      </w:r>
      <w:r w:rsidRPr="00282AC9">
        <w:rPr>
          <w:rFonts w:hint="cs"/>
          <w:sz w:val="27"/>
          <w:rtl/>
        </w:rPr>
        <w:t xml:space="preserve"> إذ </w:t>
      </w:r>
      <w:r w:rsidR="00674EF5" w:rsidRPr="00282AC9">
        <w:rPr>
          <w:rFonts w:hint="cs"/>
          <w:sz w:val="27"/>
          <w:rtl/>
        </w:rPr>
        <w:t>لا بُدَّ</w:t>
      </w:r>
      <w:r w:rsidRPr="00282AC9">
        <w:rPr>
          <w:rFonts w:hint="cs"/>
          <w:sz w:val="27"/>
          <w:rtl/>
        </w:rPr>
        <w:t xml:space="preserve"> من موقفٍ بشأنه</w:t>
      </w:r>
      <w:r w:rsidR="002B5F55" w:rsidRPr="00282AC9">
        <w:rPr>
          <w:rFonts w:hint="cs"/>
          <w:sz w:val="27"/>
          <w:rtl/>
        </w:rPr>
        <w:t>؛</w:t>
      </w:r>
      <w:r w:rsidRPr="00282AC9">
        <w:rPr>
          <w:rFonts w:hint="cs"/>
          <w:sz w:val="27"/>
          <w:rtl/>
        </w:rPr>
        <w:t xml:space="preserve"> ف</w:t>
      </w:r>
      <w:r w:rsidR="002B5F55" w:rsidRPr="00282AC9">
        <w:rPr>
          <w:rFonts w:hint="cs"/>
          <w:sz w:val="27"/>
          <w:rtl/>
        </w:rPr>
        <w:t>إ</w:t>
      </w:r>
      <w:r w:rsidRPr="00282AC9">
        <w:rPr>
          <w:rFonts w:hint="cs"/>
          <w:sz w:val="27"/>
          <w:rtl/>
        </w:rPr>
        <w:t>مّا أن نت</w:t>
      </w:r>
      <w:r w:rsidR="002B5F55" w:rsidRPr="00282AC9">
        <w:rPr>
          <w:rFonts w:hint="cs"/>
          <w:sz w:val="27"/>
          <w:rtl/>
        </w:rPr>
        <w:t>ّ</w:t>
      </w:r>
      <w:r w:rsidRPr="00282AC9">
        <w:rPr>
          <w:rFonts w:hint="cs"/>
          <w:sz w:val="27"/>
          <w:rtl/>
        </w:rPr>
        <w:t>فق مع ما قرّ</w:t>
      </w:r>
      <w:r w:rsidR="002B5F55" w:rsidRPr="00282AC9">
        <w:rPr>
          <w:rFonts w:hint="cs"/>
          <w:sz w:val="27"/>
          <w:rtl/>
        </w:rPr>
        <w:t>َ</w:t>
      </w:r>
      <w:r w:rsidRPr="00282AC9">
        <w:rPr>
          <w:rFonts w:hint="cs"/>
          <w:sz w:val="27"/>
          <w:rtl/>
        </w:rPr>
        <w:t>ره</w:t>
      </w:r>
      <w:r w:rsidR="002B5F55" w:rsidRPr="00282AC9">
        <w:rPr>
          <w:rFonts w:hint="cs"/>
          <w:sz w:val="27"/>
          <w:rtl/>
        </w:rPr>
        <w:t>؛</w:t>
      </w:r>
      <w:r w:rsidRPr="00282AC9">
        <w:rPr>
          <w:rFonts w:hint="cs"/>
          <w:sz w:val="27"/>
          <w:rtl/>
        </w:rPr>
        <w:t xml:space="preserve"> و</w:t>
      </w:r>
      <w:r w:rsidR="002B5F55" w:rsidRPr="00282AC9">
        <w:rPr>
          <w:rFonts w:hint="cs"/>
          <w:sz w:val="27"/>
          <w:rtl/>
        </w:rPr>
        <w:t>إ</w:t>
      </w:r>
      <w:r w:rsidRPr="00282AC9">
        <w:rPr>
          <w:rFonts w:hint="cs"/>
          <w:sz w:val="27"/>
          <w:rtl/>
        </w:rPr>
        <w:t>مّا نرد</w:t>
      </w:r>
      <w:r w:rsidR="002B5F55" w:rsidRPr="00282AC9">
        <w:rPr>
          <w:rFonts w:hint="cs"/>
          <w:sz w:val="27"/>
          <w:rtl/>
        </w:rPr>
        <w:t>ّ</w:t>
      </w:r>
      <w:r w:rsidRPr="00282AC9">
        <w:rPr>
          <w:rFonts w:hint="cs"/>
          <w:sz w:val="27"/>
          <w:rtl/>
        </w:rPr>
        <w:t xml:space="preserve"> ما سجّله من نقوض ومناقشات جادّة، وإ</w:t>
      </w:r>
      <w:r w:rsidR="00EE6DBA" w:rsidRPr="00282AC9">
        <w:rPr>
          <w:rFonts w:hint="cs"/>
          <w:sz w:val="27"/>
          <w:rtl/>
        </w:rPr>
        <w:t>لاّ</w:t>
      </w:r>
      <w:r w:rsidRPr="00282AC9">
        <w:rPr>
          <w:rFonts w:hint="cs"/>
          <w:sz w:val="27"/>
          <w:rtl/>
        </w:rPr>
        <w:t xml:space="preserve"> فنحن أمام معارف متزلزلة</w:t>
      </w:r>
      <w:r w:rsidR="002B5F55" w:rsidRPr="00282AC9">
        <w:rPr>
          <w:rFonts w:hint="cs"/>
          <w:sz w:val="27"/>
          <w:rtl/>
        </w:rPr>
        <w:t>.</w:t>
      </w:r>
      <w:r w:rsidRPr="00282AC9">
        <w:rPr>
          <w:rFonts w:hint="cs"/>
          <w:sz w:val="27"/>
          <w:rtl/>
        </w:rPr>
        <w:t xml:space="preserve"> فم</w:t>
      </w:r>
      <w:r w:rsidR="002B5F55" w:rsidRPr="00282AC9">
        <w:rPr>
          <w:rFonts w:hint="cs"/>
          <w:sz w:val="27"/>
          <w:rtl/>
        </w:rPr>
        <w:t>َ</w:t>
      </w:r>
      <w:r w:rsidRPr="00282AC9">
        <w:rPr>
          <w:rFonts w:hint="cs"/>
          <w:sz w:val="27"/>
          <w:rtl/>
        </w:rPr>
        <w:t>ن</w:t>
      </w:r>
      <w:r w:rsidR="002B5F55" w:rsidRPr="00282AC9">
        <w:rPr>
          <w:rFonts w:hint="cs"/>
          <w:sz w:val="27"/>
          <w:rtl/>
        </w:rPr>
        <w:t>ْ</w:t>
      </w:r>
      <w:r w:rsidRPr="00282AC9">
        <w:rPr>
          <w:rFonts w:hint="cs"/>
          <w:sz w:val="27"/>
          <w:rtl/>
        </w:rPr>
        <w:t xml:space="preserve"> يعتمد المبدأ الأرسطيّ</w:t>
      </w:r>
      <w:r w:rsidR="002B5F55" w:rsidRPr="00282AC9">
        <w:rPr>
          <w:rFonts w:hint="cs"/>
          <w:sz w:val="27"/>
          <w:rtl/>
        </w:rPr>
        <w:t>،</w:t>
      </w:r>
      <w:r w:rsidRPr="00282AC9">
        <w:rPr>
          <w:rFonts w:hint="cs"/>
          <w:sz w:val="27"/>
          <w:rtl/>
        </w:rPr>
        <w:t xml:space="preserve"> القائل: </w:t>
      </w:r>
      <w:r w:rsidR="002B5F55" w:rsidRPr="00282AC9">
        <w:rPr>
          <w:rFonts w:hint="eastAsia"/>
          <w:sz w:val="24"/>
          <w:szCs w:val="24"/>
          <w:rtl/>
        </w:rPr>
        <w:t>«</w:t>
      </w:r>
      <w:r w:rsidRPr="00282AC9">
        <w:rPr>
          <w:rFonts w:hint="cs"/>
          <w:sz w:val="27"/>
          <w:rtl/>
        </w:rPr>
        <w:t>الات</w:t>
      </w:r>
      <w:r w:rsidR="002B5F55" w:rsidRPr="00282AC9">
        <w:rPr>
          <w:rFonts w:hint="cs"/>
          <w:sz w:val="27"/>
          <w:rtl/>
        </w:rPr>
        <w:t>ّ</w:t>
      </w:r>
      <w:r w:rsidRPr="00282AC9">
        <w:rPr>
          <w:rFonts w:hint="cs"/>
          <w:sz w:val="27"/>
          <w:rtl/>
        </w:rPr>
        <w:t>فاق لا يكون دائميّاً</w:t>
      </w:r>
      <w:r w:rsidR="002B5F55" w:rsidRPr="00282AC9">
        <w:rPr>
          <w:rFonts w:hint="cs"/>
          <w:sz w:val="27"/>
          <w:rtl/>
        </w:rPr>
        <w:t>،</w:t>
      </w:r>
      <w:r w:rsidRPr="00282AC9">
        <w:rPr>
          <w:rFonts w:hint="cs"/>
          <w:sz w:val="27"/>
          <w:rtl/>
        </w:rPr>
        <w:t xml:space="preserve"> ولا أكثريّاً</w:t>
      </w:r>
      <w:r w:rsidR="002B5F55" w:rsidRPr="00282AC9">
        <w:rPr>
          <w:rFonts w:hint="cs"/>
          <w:sz w:val="27"/>
          <w:rtl/>
        </w:rPr>
        <w:t>،</w:t>
      </w:r>
      <w:r w:rsidRPr="00282AC9">
        <w:rPr>
          <w:rFonts w:hint="cs"/>
          <w:sz w:val="27"/>
          <w:rtl/>
        </w:rPr>
        <w:t xml:space="preserve"> بعقليّته وأوّليّته</w:t>
      </w:r>
      <w:r w:rsidR="002B5F55" w:rsidRPr="00282AC9">
        <w:rPr>
          <w:rFonts w:hint="eastAsia"/>
          <w:sz w:val="24"/>
          <w:szCs w:val="24"/>
          <w:rtl/>
        </w:rPr>
        <w:t>»</w:t>
      </w:r>
      <w:r w:rsidR="002B5F55" w:rsidRPr="00282AC9">
        <w:rPr>
          <w:rFonts w:hint="cs"/>
          <w:sz w:val="27"/>
          <w:rtl/>
        </w:rPr>
        <w:t xml:space="preserve">، </w:t>
      </w:r>
      <w:r w:rsidRPr="00282AC9">
        <w:rPr>
          <w:rFonts w:hint="cs"/>
          <w:sz w:val="27"/>
          <w:rtl/>
        </w:rPr>
        <w:t xml:space="preserve">كيف يصحّ له أن يتجاهل نقد صاحب الأسس؟ وكيف له أن يثق بنتائجه؟ فإذن </w:t>
      </w:r>
      <w:r w:rsidR="00573AD2" w:rsidRPr="00282AC9">
        <w:rPr>
          <w:rFonts w:hint="eastAsia"/>
          <w:sz w:val="24"/>
          <w:szCs w:val="24"/>
          <w:rtl/>
        </w:rPr>
        <w:t>«</w:t>
      </w:r>
      <w:r w:rsidRPr="00282AC9">
        <w:rPr>
          <w:sz w:val="27"/>
          <w:rtl/>
        </w:rPr>
        <w:t xml:space="preserve">ليس أمام الفقيه </w:t>
      </w:r>
      <w:r w:rsidRPr="00282AC9">
        <w:rPr>
          <w:rFonts w:hint="cs"/>
          <w:sz w:val="27"/>
          <w:rtl/>
        </w:rPr>
        <w:t xml:space="preserve">ـ </w:t>
      </w:r>
      <w:r w:rsidRPr="00282AC9">
        <w:rPr>
          <w:sz w:val="27"/>
          <w:rtl/>
        </w:rPr>
        <w:t>المجتهد بحق</w:t>
      </w:r>
      <w:r w:rsidR="00573AD2" w:rsidRPr="00282AC9">
        <w:rPr>
          <w:rFonts w:hint="cs"/>
          <w:sz w:val="27"/>
          <w:rtl/>
        </w:rPr>
        <w:t>ٍّ</w:t>
      </w:r>
      <w:r w:rsidRPr="00282AC9">
        <w:rPr>
          <w:rFonts w:hint="cs"/>
          <w:sz w:val="27"/>
          <w:rtl/>
        </w:rPr>
        <w:t xml:space="preserve"> ـ </w:t>
      </w:r>
      <w:r w:rsidR="00573AD2" w:rsidRPr="00282AC9">
        <w:rPr>
          <w:rFonts w:hint="cs"/>
          <w:sz w:val="27"/>
          <w:rtl/>
        </w:rPr>
        <w:t>[</w:t>
      </w:r>
      <w:r w:rsidRPr="00282AC9">
        <w:rPr>
          <w:rFonts w:hint="cs"/>
          <w:sz w:val="27"/>
          <w:rtl/>
        </w:rPr>
        <w:t>وغيره</w:t>
      </w:r>
      <w:r w:rsidR="00573AD2" w:rsidRPr="00282AC9">
        <w:rPr>
          <w:rFonts w:hint="cs"/>
          <w:sz w:val="27"/>
          <w:rtl/>
        </w:rPr>
        <w:t>]</w:t>
      </w:r>
      <w:r w:rsidR="002B5F55" w:rsidRPr="00282AC9">
        <w:rPr>
          <w:rFonts w:hint="cs"/>
          <w:sz w:val="27"/>
          <w:rtl/>
        </w:rPr>
        <w:t xml:space="preserve"> </w:t>
      </w:r>
      <w:r w:rsidRPr="00282AC9">
        <w:rPr>
          <w:rFonts w:hint="cs"/>
          <w:sz w:val="27"/>
          <w:rtl/>
        </w:rPr>
        <w:t>أي</w:t>
      </w:r>
      <w:r w:rsidR="00573AD2" w:rsidRPr="00282AC9">
        <w:rPr>
          <w:rFonts w:hint="cs"/>
          <w:sz w:val="27"/>
          <w:rtl/>
        </w:rPr>
        <w:t>ّ</w:t>
      </w:r>
      <w:r w:rsidRPr="00282AC9">
        <w:rPr>
          <w:rFonts w:hint="cs"/>
          <w:sz w:val="27"/>
          <w:rtl/>
        </w:rPr>
        <w:t xml:space="preserve"> </w:t>
      </w:r>
      <w:r w:rsidRPr="00282AC9">
        <w:rPr>
          <w:sz w:val="27"/>
          <w:rtl/>
        </w:rPr>
        <w:t>حق</w:t>
      </w:r>
      <w:r w:rsidRPr="00282AC9">
        <w:rPr>
          <w:rFonts w:hint="cs"/>
          <w:sz w:val="27"/>
          <w:rtl/>
        </w:rPr>
        <w:t>ّ</w:t>
      </w:r>
      <w:r w:rsidR="00573AD2" w:rsidRPr="00282AC9">
        <w:rPr>
          <w:rFonts w:hint="cs"/>
          <w:sz w:val="27"/>
          <w:rtl/>
        </w:rPr>
        <w:t>ٍ</w:t>
      </w:r>
      <w:r w:rsidRPr="00282AC9">
        <w:rPr>
          <w:sz w:val="27"/>
          <w:rtl/>
        </w:rPr>
        <w:t xml:space="preserve"> </w:t>
      </w:r>
      <w:bookmarkStart w:id="116" w:name="_GoBack"/>
      <w:bookmarkEnd w:id="116"/>
      <w:r w:rsidRPr="00282AC9">
        <w:rPr>
          <w:sz w:val="27"/>
          <w:rtl/>
        </w:rPr>
        <w:t xml:space="preserve">في </w:t>
      </w:r>
      <w:r w:rsidRPr="00282AC9">
        <w:rPr>
          <w:rFonts w:hint="cs"/>
          <w:sz w:val="27"/>
          <w:rtl/>
        </w:rPr>
        <w:t>إ</w:t>
      </w:r>
      <w:r w:rsidRPr="00282AC9">
        <w:rPr>
          <w:sz w:val="27"/>
          <w:rtl/>
        </w:rPr>
        <w:t>همال ما طرحه الص</w:t>
      </w:r>
      <w:r w:rsidRPr="00282AC9">
        <w:rPr>
          <w:rFonts w:hint="cs"/>
          <w:sz w:val="27"/>
          <w:rtl/>
        </w:rPr>
        <w:t>ّ</w:t>
      </w:r>
      <w:r w:rsidRPr="00282AC9">
        <w:rPr>
          <w:sz w:val="27"/>
          <w:rtl/>
        </w:rPr>
        <w:t>در</w:t>
      </w:r>
      <w:r w:rsidR="00573AD2" w:rsidRPr="00282AC9">
        <w:rPr>
          <w:rFonts w:hint="cs"/>
          <w:sz w:val="27"/>
          <w:rtl/>
        </w:rPr>
        <w:t>؛</w:t>
      </w:r>
      <w:r w:rsidRPr="00282AC9">
        <w:rPr>
          <w:sz w:val="27"/>
          <w:rtl/>
        </w:rPr>
        <w:t xml:space="preserve"> حيث إم</w:t>
      </w:r>
      <w:r w:rsidRPr="00282AC9">
        <w:rPr>
          <w:rFonts w:hint="cs"/>
          <w:sz w:val="27"/>
          <w:rtl/>
        </w:rPr>
        <w:t>ّ</w:t>
      </w:r>
      <w:r w:rsidRPr="00282AC9">
        <w:rPr>
          <w:sz w:val="27"/>
          <w:rtl/>
        </w:rPr>
        <w:t>ا أن يجتهد في اتخاذ موقف</w:t>
      </w:r>
      <w:r w:rsidR="00573AD2" w:rsidRPr="00282AC9">
        <w:rPr>
          <w:rFonts w:hint="cs"/>
          <w:sz w:val="27"/>
          <w:rtl/>
        </w:rPr>
        <w:t>ٍ</w:t>
      </w:r>
      <w:r w:rsidRPr="00282AC9">
        <w:rPr>
          <w:sz w:val="27"/>
          <w:rtl/>
        </w:rPr>
        <w:t xml:space="preserve"> محدّ</w:t>
      </w:r>
      <w:r w:rsidR="00573AD2" w:rsidRPr="00282AC9">
        <w:rPr>
          <w:rFonts w:hint="cs"/>
          <w:sz w:val="27"/>
          <w:rtl/>
        </w:rPr>
        <w:t>َ</w:t>
      </w:r>
      <w:r w:rsidRPr="00282AC9">
        <w:rPr>
          <w:sz w:val="27"/>
          <w:rtl/>
        </w:rPr>
        <w:t>د مما طرحه الص</w:t>
      </w:r>
      <w:r w:rsidRPr="00282AC9">
        <w:rPr>
          <w:rFonts w:hint="cs"/>
          <w:sz w:val="27"/>
          <w:rtl/>
        </w:rPr>
        <w:t>ّ</w:t>
      </w:r>
      <w:r w:rsidRPr="00282AC9">
        <w:rPr>
          <w:sz w:val="27"/>
          <w:rtl/>
        </w:rPr>
        <w:t>در، فيحصل على ك</w:t>
      </w:r>
      <w:r w:rsidR="00573AD2" w:rsidRPr="00282AC9">
        <w:rPr>
          <w:rFonts w:hint="cs"/>
          <w:sz w:val="27"/>
          <w:rtl/>
        </w:rPr>
        <w:t>ُ</w:t>
      </w:r>
      <w:r w:rsidRPr="00282AC9">
        <w:rPr>
          <w:sz w:val="27"/>
          <w:rtl/>
        </w:rPr>
        <w:t>ب</w:t>
      </w:r>
      <w:r w:rsidR="00573AD2" w:rsidRPr="00282AC9">
        <w:rPr>
          <w:rFonts w:hint="cs"/>
          <w:sz w:val="27"/>
          <w:rtl/>
        </w:rPr>
        <w:t>ْ</w:t>
      </w:r>
      <w:r w:rsidRPr="00282AC9">
        <w:rPr>
          <w:sz w:val="27"/>
          <w:rtl/>
        </w:rPr>
        <w:t>ر</w:t>
      </w:r>
      <w:r w:rsidR="00573AD2" w:rsidRPr="00282AC9">
        <w:rPr>
          <w:rFonts w:hint="cs"/>
          <w:sz w:val="27"/>
          <w:rtl/>
        </w:rPr>
        <w:t>َ</w:t>
      </w:r>
      <w:r w:rsidRPr="00282AC9">
        <w:rPr>
          <w:sz w:val="27"/>
          <w:rtl/>
        </w:rPr>
        <w:t>يات البحث الأصولي</w:t>
      </w:r>
      <w:r w:rsidRPr="00282AC9">
        <w:rPr>
          <w:rFonts w:hint="cs"/>
          <w:sz w:val="27"/>
          <w:rtl/>
        </w:rPr>
        <w:t>ّ</w:t>
      </w:r>
      <w:r w:rsidRPr="00282AC9">
        <w:rPr>
          <w:sz w:val="27"/>
          <w:rtl/>
        </w:rPr>
        <w:t xml:space="preserve"> على أساس اجتهاد</w:t>
      </w:r>
      <w:r w:rsidR="00573AD2" w:rsidRPr="00282AC9">
        <w:rPr>
          <w:rFonts w:hint="cs"/>
          <w:sz w:val="27"/>
          <w:rtl/>
        </w:rPr>
        <w:t>ٍ</w:t>
      </w:r>
      <w:r w:rsidRPr="00282AC9">
        <w:rPr>
          <w:sz w:val="27"/>
          <w:rtl/>
        </w:rPr>
        <w:t xml:space="preserve"> وبصيرة</w:t>
      </w:r>
      <w:r w:rsidR="00573AD2" w:rsidRPr="00282AC9">
        <w:rPr>
          <w:rFonts w:hint="cs"/>
          <w:sz w:val="27"/>
          <w:rtl/>
        </w:rPr>
        <w:t>؛</w:t>
      </w:r>
      <w:r w:rsidRPr="00282AC9">
        <w:rPr>
          <w:sz w:val="27"/>
          <w:rtl/>
        </w:rPr>
        <w:t xml:space="preserve"> وإم</w:t>
      </w:r>
      <w:r w:rsidRPr="00282AC9">
        <w:rPr>
          <w:rFonts w:hint="cs"/>
          <w:sz w:val="27"/>
          <w:rtl/>
        </w:rPr>
        <w:t>ّ</w:t>
      </w:r>
      <w:r w:rsidRPr="00282AC9">
        <w:rPr>
          <w:sz w:val="27"/>
          <w:rtl/>
        </w:rPr>
        <w:t>ا أن يقلّ</w:t>
      </w:r>
      <w:r w:rsidR="00573AD2" w:rsidRPr="00282AC9">
        <w:rPr>
          <w:rFonts w:hint="cs"/>
          <w:sz w:val="27"/>
          <w:rtl/>
        </w:rPr>
        <w:t>ِ</w:t>
      </w:r>
      <w:r w:rsidRPr="00282AC9">
        <w:rPr>
          <w:sz w:val="27"/>
          <w:rtl/>
        </w:rPr>
        <w:t>د ويتبن</w:t>
      </w:r>
      <w:r w:rsidRPr="00282AC9">
        <w:rPr>
          <w:rFonts w:hint="cs"/>
          <w:sz w:val="27"/>
          <w:rtl/>
        </w:rPr>
        <w:t>ّ</w:t>
      </w:r>
      <w:r w:rsidRPr="00282AC9">
        <w:rPr>
          <w:sz w:val="27"/>
          <w:rtl/>
        </w:rPr>
        <w:t>ى رأي</w:t>
      </w:r>
      <w:r w:rsidRPr="00282AC9">
        <w:rPr>
          <w:rFonts w:hint="cs"/>
          <w:sz w:val="27"/>
          <w:rtl/>
        </w:rPr>
        <w:t>اً</w:t>
      </w:r>
      <w:r w:rsidRPr="00282AC9">
        <w:rPr>
          <w:sz w:val="27"/>
          <w:rtl/>
        </w:rPr>
        <w:t xml:space="preserve"> لأحد الباحثين دون معاناة</w:t>
      </w:r>
      <w:r w:rsidR="00573AD2" w:rsidRPr="00282AC9">
        <w:rPr>
          <w:rFonts w:hint="cs"/>
          <w:sz w:val="27"/>
          <w:rtl/>
        </w:rPr>
        <w:t>ٍ</w:t>
      </w:r>
      <w:r w:rsidRPr="00282AC9">
        <w:rPr>
          <w:sz w:val="27"/>
          <w:rtl/>
        </w:rPr>
        <w:t xml:space="preserve"> وتحقيق</w:t>
      </w:r>
      <w:r w:rsidR="00573AD2" w:rsidRPr="00282AC9">
        <w:rPr>
          <w:rFonts w:hint="cs"/>
          <w:sz w:val="27"/>
          <w:rtl/>
        </w:rPr>
        <w:t>،</w:t>
      </w:r>
      <w:r w:rsidRPr="00282AC9">
        <w:rPr>
          <w:sz w:val="27"/>
          <w:rtl/>
        </w:rPr>
        <w:t xml:space="preserve"> وهذا يعني أن</w:t>
      </w:r>
      <w:r w:rsidRPr="00282AC9">
        <w:rPr>
          <w:rFonts w:hint="cs"/>
          <w:sz w:val="27"/>
          <w:rtl/>
        </w:rPr>
        <w:t>ّ</w:t>
      </w:r>
      <w:r w:rsidRPr="00282AC9">
        <w:rPr>
          <w:sz w:val="27"/>
          <w:rtl/>
        </w:rPr>
        <w:t>ه سوف ينتهي</w:t>
      </w:r>
      <w:r w:rsidR="00BC0925" w:rsidRPr="00282AC9">
        <w:rPr>
          <w:sz w:val="27"/>
          <w:rtl/>
        </w:rPr>
        <w:t xml:space="preserve"> إلى </w:t>
      </w:r>
      <w:r w:rsidRPr="00282AC9">
        <w:rPr>
          <w:sz w:val="27"/>
          <w:rtl/>
        </w:rPr>
        <w:t>ك</w:t>
      </w:r>
      <w:r w:rsidR="00573AD2" w:rsidRPr="00282AC9">
        <w:rPr>
          <w:rFonts w:hint="cs"/>
          <w:sz w:val="27"/>
          <w:rtl/>
        </w:rPr>
        <w:t>ُ</w:t>
      </w:r>
      <w:r w:rsidRPr="00282AC9">
        <w:rPr>
          <w:sz w:val="27"/>
          <w:rtl/>
        </w:rPr>
        <w:t>ب</w:t>
      </w:r>
      <w:r w:rsidR="00573AD2" w:rsidRPr="00282AC9">
        <w:rPr>
          <w:rFonts w:hint="cs"/>
          <w:sz w:val="27"/>
          <w:rtl/>
        </w:rPr>
        <w:t>ْ</w:t>
      </w:r>
      <w:r w:rsidRPr="00282AC9">
        <w:rPr>
          <w:sz w:val="27"/>
          <w:rtl/>
        </w:rPr>
        <w:t>ر</w:t>
      </w:r>
      <w:r w:rsidR="00573AD2" w:rsidRPr="00282AC9">
        <w:rPr>
          <w:rFonts w:hint="cs"/>
          <w:sz w:val="27"/>
          <w:rtl/>
        </w:rPr>
        <w:t>َ</w:t>
      </w:r>
      <w:r w:rsidRPr="00282AC9">
        <w:rPr>
          <w:sz w:val="27"/>
          <w:rtl/>
        </w:rPr>
        <w:t>يات البحث الأصولي</w:t>
      </w:r>
      <w:r w:rsidRPr="00282AC9">
        <w:rPr>
          <w:rFonts w:hint="cs"/>
          <w:sz w:val="27"/>
          <w:rtl/>
        </w:rPr>
        <w:t>ّ</w:t>
      </w:r>
      <w:r w:rsidRPr="00282AC9">
        <w:rPr>
          <w:sz w:val="27"/>
          <w:rtl/>
        </w:rPr>
        <w:t xml:space="preserve"> على أساس تقليد</w:t>
      </w:r>
      <w:r w:rsidR="00573AD2" w:rsidRPr="00282AC9">
        <w:rPr>
          <w:rFonts w:hint="cs"/>
          <w:sz w:val="27"/>
          <w:rtl/>
        </w:rPr>
        <w:t>ٍ</w:t>
      </w:r>
      <w:r w:rsidRPr="00282AC9">
        <w:rPr>
          <w:sz w:val="27"/>
          <w:rtl/>
        </w:rPr>
        <w:t xml:space="preserve"> في الرأي، وهم يقولون: النتيجة تتبع أخس</w:t>
      </w:r>
      <w:r w:rsidR="00573AD2" w:rsidRPr="00282AC9">
        <w:rPr>
          <w:rFonts w:hint="cs"/>
          <w:sz w:val="27"/>
          <w:rtl/>
        </w:rPr>
        <w:t>ّ</w:t>
      </w:r>
      <w:r w:rsidRPr="00282AC9">
        <w:rPr>
          <w:sz w:val="27"/>
          <w:rtl/>
        </w:rPr>
        <w:t xml:space="preserve"> المقد</w:t>
      </w:r>
      <w:r w:rsidR="00573AD2" w:rsidRPr="00282AC9">
        <w:rPr>
          <w:rFonts w:hint="cs"/>
          <w:sz w:val="27"/>
          <w:rtl/>
        </w:rPr>
        <w:t>ّ</w:t>
      </w:r>
      <w:r w:rsidRPr="00282AC9">
        <w:rPr>
          <w:sz w:val="27"/>
          <w:rtl/>
        </w:rPr>
        <w:t>مات</w:t>
      </w:r>
      <w:r w:rsidR="002B5F55" w:rsidRPr="00282AC9">
        <w:rPr>
          <w:rFonts w:hint="eastAsia"/>
          <w:sz w:val="24"/>
          <w:szCs w:val="24"/>
          <w:rtl/>
        </w:rPr>
        <w:t>»</w:t>
      </w:r>
      <w:r w:rsidRPr="00282AC9">
        <w:rPr>
          <w:rFonts w:hint="cs"/>
          <w:sz w:val="27"/>
          <w:vertAlign w:val="superscript"/>
          <w:rtl/>
        </w:rPr>
        <w:t>(</w:t>
      </w:r>
      <w:r w:rsidRPr="00282AC9">
        <w:rPr>
          <w:rStyle w:val="af9"/>
          <w:sz w:val="27"/>
          <w:rtl/>
        </w:rPr>
        <w:endnoteReference w:id="1013"/>
      </w:r>
      <w:r w:rsidRPr="00282AC9">
        <w:rPr>
          <w:rFonts w:hint="cs"/>
          <w:sz w:val="27"/>
          <w:vertAlign w:val="superscript"/>
          <w:rtl/>
        </w:rPr>
        <w:t>)</w:t>
      </w:r>
      <w:r w:rsidRPr="00282AC9">
        <w:rPr>
          <w:rFonts w:hint="cs"/>
          <w:sz w:val="27"/>
          <w:rtl/>
        </w:rPr>
        <w:t>.</w:t>
      </w:r>
    </w:p>
    <w:p w:rsidR="00447ED4" w:rsidRPr="00282AC9" w:rsidRDefault="002C1D33" w:rsidP="00715FC8">
      <w:pPr>
        <w:rPr>
          <w:sz w:val="27"/>
          <w:rtl/>
        </w:rPr>
      </w:pPr>
      <w:r w:rsidRPr="00282AC9">
        <w:rPr>
          <w:rFonts w:hint="cs"/>
          <w:sz w:val="27"/>
          <w:rtl/>
        </w:rPr>
        <w:t>نحاول في هذه الوقفة مناقشة ما سجّ</w:t>
      </w:r>
      <w:r w:rsidR="00573AD2" w:rsidRPr="00282AC9">
        <w:rPr>
          <w:rFonts w:hint="cs"/>
          <w:sz w:val="27"/>
          <w:rtl/>
        </w:rPr>
        <w:t>َ</w:t>
      </w:r>
      <w:r w:rsidRPr="00282AC9">
        <w:rPr>
          <w:rFonts w:hint="cs"/>
          <w:sz w:val="27"/>
          <w:rtl/>
        </w:rPr>
        <w:t>له الشيخ</w:t>
      </w:r>
      <w:r w:rsidR="00573AD2" w:rsidRPr="00282AC9">
        <w:rPr>
          <w:rFonts w:hint="cs"/>
          <w:sz w:val="27"/>
          <w:rtl/>
        </w:rPr>
        <w:t xml:space="preserve"> الدكتور أيمن عبد الخالق المصريّ</w:t>
      </w:r>
      <w:r w:rsidRPr="00282AC9">
        <w:rPr>
          <w:rFonts w:hint="cs"/>
          <w:sz w:val="27"/>
          <w:rtl/>
        </w:rPr>
        <w:t xml:space="preserve"> من ردود</w:t>
      </w:r>
      <w:r w:rsidR="00573AD2" w:rsidRPr="00282AC9">
        <w:rPr>
          <w:rFonts w:hint="cs"/>
          <w:sz w:val="27"/>
          <w:rtl/>
        </w:rPr>
        <w:t>ٍ</w:t>
      </w:r>
      <w:r w:rsidRPr="00282AC9">
        <w:rPr>
          <w:rFonts w:hint="cs"/>
          <w:sz w:val="27"/>
          <w:rtl/>
        </w:rPr>
        <w:t xml:space="preserve"> على ما أثاره صاحب الأسس على المبدأ الأرسطيّ سالف الذكر من </w:t>
      </w:r>
      <w:r w:rsidRPr="00282AC9">
        <w:rPr>
          <w:rFonts w:hint="cs"/>
          <w:sz w:val="27"/>
          <w:rtl/>
        </w:rPr>
        <w:lastRenderedPageBreak/>
        <w:t>نقد</w:t>
      </w:r>
      <w:r w:rsidR="00573AD2" w:rsidRPr="00282AC9">
        <w:rPr>
          <w:rFonts w:hint="cs"/>
          <w:sz w:val="27"/>
          <w:rtl/>
        </w:rPr>
        <w:t>ٍ</w:t>
      </w:r>
      <w:r w:rsidRPr="00282AC9">
        <w:rPr>
          <w:rFonts w:hint="cs"/>
          <w:sz w:val="27"/>
          <w:rtl/>
        </w:rPr>
        <w:t xml:space="preserve"> ونقض</w:t>
      </w:r>
      <w:r w:rsidR="00573AD2" w:rsidRPr="00282AC9">
        <w:rPr>
          <w:rFonts w:hint="cs"/>
          <w:sz w:val="27"/>
          <w:rtl/>
        </w:rPr>
        <w:t>ٍ؛</w:t>
      </w:r>
      <w:r w:rsidRPr="00282AC9">
        <w:rPr>
          <w:rFonts w:hint="cs"/>
          <w:sz w:val="27"/>
          <w:rtl/>
        </w:rPr>
        <w:t xml:space="preserve"> إذ تطرّق الشيخ المصريّ </w:t>
      </w:r>
      <w:r w:rsidR="00447ED4" w:rsidRPr="00282AC9">
        <w:rPr>
          <w:rFonts w:hint="cs"/>
          <w:sz w:val="27"/>
          <w:rtl/>
        </w:rPr>
        <w:t xml:space="preserve">إلى ذلك </w:t>
      </w:r>
      <w:r w:rsidRPr="00282AC9">
        <w:rPr>
          <w:rFonts w:hint="cs"/>
          <w:sz w:val="27"/>
          <w:rtl/>
        </w:rPr>
        <w:t>في أربع</w:t>
      </w:r>
      <w:r w:rsidR="00573AD2" w:rsidRPr="00282AC9">
        <w:rPr>
          <w:rFonts w:hint="cs"/>
          <w:sz w:val="27"/>
          <w:rtl/>
        </w:rPr>
        <w:t>ٍ</w:t>
      </w:r>
      <w:r w:rsidRPr="00282AC9">
        <w:rPr>
          <w:rFonts w:hint="cs"/>
          <w:sz w:val="27"/>
          <w:rtl/>
        </w:rPr>
        <w:t xml:space="preserve"> من كتبه: دستور الحكماء في شرح برهان الشفاء</w:t>
      </w:r>
      <w:r w:rsidRPr="00282AC9">
        <w:rPr>
          <w:rFonts w:hint="cs"/>
          <w:sz w:val="27"/>
          <w:vertAlign w:val="superscript"/>
          <w:rtl/>
        </w:rPr>
        <w:t>(</w:t>
      </w:r>
      <w:r w:rsidRPr="00282AC9">
        <w:rPr>
          <w:rStyle w:val="af9"/>
          <w:sz w:val="27"/>
          <w:rtl/>
        </w:rPr>
        <w:endnoteReference w:id="1014"/>
      </w:r>
      <w:r w:rsidRPr="00282AC9">
        <w:rPr>
          <w:rFonts w:hint="cs"/>
          <w:sz w:val="27"/>
          <w:vertAlign w:val="superscript"/>
          <w:rtl/>
        </w:rPr>
        <w:t>)</w:t>
      </w:r>
      <w:r w:rsidR="00573AD2" w:rsidRPr="00282AC9">
        <w:rPr>
          <w:rFonts w:hint="cs"/>
          <w:sz w:val="27"/>
          <w:rtl/>
        </w:rPr>
        <w:t>؛</w:t>
      </w:r>
      <w:r w:rsidRPr="00282AC9">
        <w:rPr>
          <w:rFonts w:hint="cs"/>
          <w:sz w:val="27"/>
          <w:rtl/>
        </w:rPr>
        <w:t xml:space="preserve"> </w:t>
      </w:r>
      <w:r w:rsidR="00573AD2" w:rsidRPr="00282AC9">
        <w:rPr>
          <w:rFonts w:hint="cs"/>
          <w:sz w:val="27"/>
          <w:rtl/>
        </w:rPr>
        <w:t>و</w:t>
      </w:r>
      <w:r w:rsidRPr="00282AC9">
        <w:rPr>
          <w:rFonts w:hint="cs"/>
          <w:sz w:val="27"/>
          <w:rtl/>
        </w:rPr>
        <w:t>أصول المعرفة والمنهج العقليّ</w:t>
      </w:r>
      <w:r w:rsidRPr="00282AC9">
        <w:rPr>
          <w:rFonts w:hint="cs"/>
          <w:sz w:val="27"/>
          <w:vertAlign w:val="superscript"/>
          <w:rtl/>
        </w:rPr>
        <w:t>(</w:t>
      </w:r>
      <w:r w:rsidRPr="00282AC9">
        <w:rPr>
          <w:rStyle w:val="af9"/>
          <w:sz w:val="27"/>
          <w:rtl/>
        </w:rPr>
        <w:endnoteReference w:id="1015"/>
      </w:r>
      <w:r w:rsidRPr="00282AC9">
        <w:rPr>
          <w:rFonts w:hint="cs"/>
          <w:sz w:val="27"/>
          <w:vertAlign w:val="superscript"/>
          <w:rtl/>
        </w:rPr>
        <w:t>)</w:t>
      </w:r>
      <w:r w:rsidR="00573AD2" w:rsidRPr="00282AC9">
        <w:rPr>
          <w:rFonts w:hint="cs"/>
          <w:sz w:val="27"/>
          <w:rtl/>
        </w:rPr>
        <w:t>؛</w:t>
      </w:r>
      <w:r w:rsidRPr="00282AC9">
        <w:rPr>
          <w:rFonts w:hint="cs"/>
          <w:sz w:val="27"/>
          <w:rtl/>
        </w:rPr>
        <w:t xml:space="preserve"> وأنفع التقريرات في شرح الإشارات والتنبيهات</w:t>
      </w:r>
      <w:r w:rsidRPr="00282AC9">
        <w:rPr>
          <w:rFonts w:hint="cs"/>
          <w:sz w:val="27"/>
          <w:vertAlign w:val="superscript"/>
          <w:rtl/>
        </w:rPr>
        <w:t>(</w:t>
      </w:r>
      <w:r w:rsidRPr="00282AC9">
        <w:rPr>
          <w:rStyle w:val="af9"/>
          <w:sz w:val="27"/>
          <w:rtl/>
        </w:rPr>
        <w:endnoteReference w:id="1016"/>
      </w:r>
      <w:r w:rsidRPr="00282AC9">
        <w:rPr>
          <w:rFonts w:hint="cs"/>
          <w:sz w:val="27"/>
          <w:vertAlign w:val="superscript"/>
          <w:rtl/>
        </w:rPr>
        <w:t>)</w:t>
      </w:r>
      <w:r w:rsidR="00573AD2" w:rsidRPr="00282AC9">
        <w:rPr>
          <w:rFonts w:hint="cs"/>
          <w:sz w:val="27"/>
          <w:rtl/>
        </w:rPr>
        <w:t>؛</w:t>
      </w:r>
      <w:r w:rsidRPr="00282AC9">
        <w:rPr>
          <w:rFonts w:hint="cs"/>
          <w:sz w:val="27"/>
          <w:rtl/>
        </w:rPr>
        <w:t xml:space="preserve"> ومنتهى المراد في علم أصول الاعتقاد. </w:t>
      </w:r>
    </w:p>
    <w:p w:rsidR="002C1D33" w:rsidRPr="00282AC9" w:rsidRDefault="00447ED4" w:rsidP="00715FC8">
      <w:pPr>
        <w:rPr>
          <w:sz w:val="27"/>
          <w:rtl/>
        </w:rPr>
      </w:pPr>
      <w:r w:rsidRPr="00282AC9">
        <w:rPr>
          <w:rFonts w:hint="cs"/>
          <w:sz w:val="27"/>
          <w:rtl/>
        </w:rPr>
        <w:t>و</w:t>
      </w:r>
      <w:r w:rsidR="002C1D33" w:rsidRPr="00282AC9">
        <w:rPr>
          <w:rFonts w:hint="cs"/>
          <w:sz w:val="27"/>
          <w:rtl/>
        </w:rPr>
        <w:t>سننقل نص</w:t>
      </w:r>
      <w:r w:rsidRPr="00282AC9">
        <w:rPr>
          <w:rFonts w:hint="cs"/>
          <w:sz w:val="27"/>
          <w:rtl/>
        </w:rPr>
        <w:t>ّ</w:t>
      </w:r>
      <w:r w:rsidR="002C1D33" w:rsidRPr="00282AC9">
        <w:rPr>
          <w:rFonts w:hint="cs"/>
          <w:sz w:val="27"/>
          <w:rtl/>
        </w:rPr>
        <w:t xml:space="preserve"> سماحته من الكتاب الأخير</w:t>
      </w:r>
      <w:r w:rsidRPr="00282AC9">
        <w:rPr>
          <w:rFonts w:hint="cs"/>
          <w:sz w:val="27"/>
          <w:rtl/>
        </w:rPr>
        <w:t>؛</w:t>
      </w:r>
      <w:r w:rsidR="002C1D33" w:rsidRPr="00282AC9">
        <w:rPr>
          <w:rFonts w:hint="cs"/>
          <w:sz w:val="27"/>
          <w:rtl/>
        </w:rPr>
        <w:t xml:space="preserve"> لاختصاره، ثم</w:t>
      </w:r>
      <w:r w:rsidRPr="00282AC9">
        <w:rPr>
          <w:rFonts w:hint="cs"/>
          <w:sz w:val="27"/>
          <w:rtl/>
        </w:rPr>
        <w:t>ّ</w:t>
      </w:r>
      <w:r w:rsidR="002C1D33" w:rsidRPr="00282AC9">
        <w:rPr>
          <w:rFonts w:hint="cs"/>
          <w:sz w:val="27"/>
          <w:rtl/>
        </w:rPr>
        <w:t xml:space="preserve"> نسجّ</w:t>
      </w:r>
      <w:r w:rsidRPr="00282AC9">
        <w:rPr>
          <w:rFonts w:hint="cs"/>
          <w:sz w:val="27"/>
          <w:rtl/>
        </w:rPr>
        <w:t>ِ</w:t>
      </w:r>
      <w:r w:rsidR="002C1D33" w:rsidRPr="00282AC9">
        <w:rPr>
          <w:rFonts w:hint="cs"/>
          <w:sz w:val="27"/>
          <w:rtl/>
        </w:rPr>
        <w:t>ل ملاحظاتنا ومناقشاتنا عليه.</w:t>
      </w:r>
    </w:p>
    <w:p w:rsidR="00BF7317" w:rsidRPr="00282AC9" w:rsidRDefault="00BF7317" w:rsidP="00BF7317">
      <w:pPr>
        <w:spacing w:line="420" w:lineRule="exact"/>
        <w:rPr>
          <w:sz w:val="27"/>
          <w:rtl/>
        </w:rPr>
      </w:pPr>
    </w:p>
    <w:p w:rsidR="007E1A72" w:rsidRPr="00282AC9" w:rsidRDefault="00896019" w:rsidP="00715FC8">
      <w:pPr>
        <w:pStyle w:val="31"/>
        <w:rPr>
          <w:color w:val="auto"/>
          <w:rtl/>
        </w:rPr>
      </w:pPr>
      <w:r w:rsidRPr="00282AC9">
        <w:rPr>
          <w:rFonts w:hint="cs"/>
          <w:color w:val="auto"/>
          <w:rtl/>
        </w:rPr>
        <w:t>نقود الشيخ المصريّ</w:t>
      </w:r>
    </w:p>
    <w:p w:rsidR="002C1D33" w:rsidRPr="00282AC9" w:rsidRDefault="002C1D33" w:rsidP="00715FC8">
      <w:pPr>
        <w:rPr>
          <w:sz w:val="27"/>
          <w:rtl/>
        </w:rPr>
      </w:pPr>
      <w:r w:rsidRPr="00282AC9">
        <w:rPr>
          <w:rFonts w:hint="cs"/>
          <w:sz w:val="27"/>
          <w:rtl/>
        </w:rPr>
        <w:t>قال الشيخ المصريّ</w:t>
      </w:r>
      <w:r w:rsidR="00447ED4" w:rsidRPr="00282AC9">
        <w:rPr>
          <w:rFonts w:hint="cs"/>
          <w:sz w:val="27"/>
          <w:rtl/>
        </w:rPr>
        <w:t>،</w:t>
      </w:r>
      <w:r w:rsidRPr="00282AC9">
        <w:rPr>
          <w:rFonts w:hint="cs"/>
          <w:sz w:val="27"/>
          <w:rtl/>
        </w:rPr>
        <w:t xml:space="preserve"> بعد أن ناقش التجربة </w:t>
      </w:r>
      <w:r w:rsidR="00447ED4" w:rsidRPr="00282AC9">
        <w:rPr>
          <w:rFonts w:hint="cs"/>
          <w:sz w:val="27"/>
          <w:rtl/>
        </w:rPr>
        <w:t>كأحد</w:t>
      </w:r>
      <w:r w:rsidRPr="00282AC9">
        <w:rPr>
          <w:rFonts w:hint="cs"/>
          <w:sz w:val="27"/>
          <w:rtl/>
        </w:rPr>
        <w:t xml:space="preserve"> مصادر المعرفة البشريّة، وتحت عنوان</w:t>
      </w:r>
      <w:r w:rsidR="00406DEB" w:rsidRPr="00282AC9">
        <w:rPr>
          <w:rFonts w:hint="cs"/>
          <w:sz w:val="27"/>
          <w:rtl/>
        </w:rPr>
        <w:t>:</w:t>
      </w:r>
      <w:r w:rsidRPr="00282AC9">
        <w:rPr>
          <w:rFonts w:hint="cs"/>
          <w:sz w:val="27"/>
          <w:rtl/>
        </w:rPr>
        <w:t xml:space="preserve"> </w:t>
      </w:r>
      <w:r w:rsidR="00406DEB" w:rsidRPr="00282AC9">
        <w:rPr>
          <w:rFonts w:hint="cs"/>
          <w:sz w:val="27"/>
          <w:rtl/>
        </w:rPr>
        <w:t>(</w:t>
      </w:r>
      <w:r w:rsidRPr="00282AC9">
        <w:rPr>
          <w:rFonts w:hint="cs"/>
          <w:sz w:val="27"/>
          <w:rtl/>
        </w:rPr>
        <w:t>و</w:t>
      </w:r>
      <w:r w:rsidR="00447ED4" w:rsidRPr="00282AC9">
        <w:rPr>
          <w:rFonts w:hint="cs"/>
          <w:sz w:val="27"/>
          <w:rtl/>
        </w:rPr>
        <w:t>َ</w:t>
      </w:r>
      <w:r w:rsidRPr="00282AC9">
        <w:rPr>
          <w:rFonts w:hint="cs"/>
          <w:sz w:val="27"/>
          <w:rtl/>
        </w:rPr>
        <w:t>ه</w:t>
      </w:r>
      <w:r w:rsidR="00447ED4" w:rsidRPr="00282AC9">
        <w:rPr>
          <w:rFonts w:hint="cs"/>
          <w:sz w:val="27"/>
          <w:rtl/>
        </w:rPr>
        <w:t>ْ</w:t>
      </w:r>
      <w:r w:rsidRPr="00282AC9">
        <w:rPr>
          <w:rFonts w:hint="cs"/>
          <w:sz w:val="27"/>
          <w:rtl/>
        </w:rPr>
        <w:t>مٌ وتنبيهٌ</w:t>
      </w:r>
      <w:r w:rsidR="00406DEB" w:rsidRPr="00282AC9">
        <w:rPr>
          <w:rFonts w:hint="cs"/>
          <w:sz w:val="27"/>
          <w:rtl/>
        </w:rPr>
        <w:t>)</w:t>
      </w:r>
      <w:r w:rsidRPr="00282AC9">
        <w:rPr>
          <w:rFonts w:hint="cs"/>
          <w:sz w:val="27"/>
          <w:rtl/>
        </w:rPr>
        <w:t xml:space="preserve">: </w:t>
      </w:r>
      <w:r w:rsidR="00447ED4" w:rsidRPr="00282AC9">
        <w:rPr>
          <w:rFonts w:hint="cs"/>
          <w:sz w:val="24"/>
          <w:szCs w:val="24"/>
          <w:rtl/>
        </w:rPr>
        <w:t>«</w:t>
      </w:r>
      <w:r w:rsidRPr="00282AC9">
        <w:rPr>
          <w:rFonts w:hint="cs"/>
          <w:sz w:val="27"/>
          <w:rtl/>
        </w:rPr>
        <w:t>هناك</w:t>
      </w:r>
      <w:r w:rsidRPr="00282AC9">
        <w:rPr>
          <w:rFonts w:hint="cs"/>
          <w:sz w:val="27"/>
          <w:vertAlign w:val="superscript"/>
          <w:rtl/>
        </w:rPr>
        <w:t>(</w:t>
      </w:r>
      <w:r w:rsidRPr="00282AC9">
        <w:rPr>
          <w:rStyle w:val="af9"/>
          <w:rFonts w:hint="cs"/>
          <w:sz w:val="27"/>
          <w:rtl/>
        </w:rPr>
        <w:endnoteReference w:id="1017"/>
      </w:r>
      <w:r w:rsidRPr="00282AC9">
        <w:rPr>
          <w:rFonts w:hint="cs"/>
          <w:sz w:val="27"/>
          <w:vertAlign w:val="superscript"/>
          <w:rtl/>
        </w:rPr>
        <w:t>)</w:t>
      </w:r>
      <w:r w:rsidRPr="00282AC9">
        <w:rPr>
          <w:rFonts w:hint="cs"/>
          <w:sz w:val="27"/>
          <w:rtl/>
        </w:rPr>
        <w:t xml:space="preserve"> م</w:t>
      </w:r>
      <w:r w:rsidR="00447ED4" w:rsidRPr="00282AC9">
        <w:rPr>
          <w:rFonts w:hint="cs"/>
          <w:sz w:val="27"/>
          <w:rtl/>
        </w:rPr>
        <w:t>َ</w:t>
      </w:r>
      <w:r w:rsidRPr="00282AC9">
        <w:rPr>
          <w:rFonts w:hint="cs"/>
          <w:sz w:val="27"/>
          <w:rtl/>
        </w:rPr>
        <w:t>ن</w:t>
      </w:r>
      <w:r w:rsidR="00447ED4" w:rsidRPr="00282AC9">
        <w:rPr>
          <w:rFonts w:hint="cs"/>
          <w:sz w:val="27"/>
          <w:rtl/>
        </w:rPr>
        <w:t>ْ</w:t>
      </w:r>
      <w:r w:rsidRPr="00282AC9">
        <w:rPr>
          <w:rFonts w:hint="cs"/>
          <w:sz w:val="27"/>
          <w:rtl/>
        </w:rPr>
        <w:t xml:space="preserve"> شكّ</w:t>
      </w:r>
      <w:r w:rsidR="00447ED4" w:rsidRPr="00282AC9">
        <w:rPr>
          <w:rFonts w:hint="cs"/>
          <w:sz w:val="27"/>
          <w:rtl/>
        </w:rPr>
        <w:t>َ</w:t>
      </w:r>
      <w:r w:rsidRPr="00282AC9">
        <w:rPr>
          <w:rFonts w:hint="cs"/>
          <w:sz w:val="27"/>
          <w:rtl/>
        </w:rPr>
        <w:t>ك في بداهة كبرى القياس الاقتراني الأوّل، بتشكيكه ف</w:t>
      </w:r>
      <w:r w:rsidR="00447ED4" w:rsidRPr="00282AC9">
        <w:rPr>
          <w:rFonts w:hint="cs"/>
          <w:sz w:val="27"/>
          <w:rtl/>
        </w:rPr>
        <w:t>ي قضية أن</w:t>
      </w:r>
      <w:r w:rsidRPr="00282AC9">
        <w:rPr>
          <w:rFonts w:hint="cs"/>
          <w:sz w:val="27"/>
          <w:rtl/>
        </w:rPr>
        <w:t xml:space="preserve"> </w:t>
      </w:r>
      <w:r w:rsidR="00447ED4" w:rsidRPr="00282AC9">
        <w:rPr>
          <w:rFonts w:hint="cs"/>
          <w:sz w:val="24"/>
          <w:szCs w:val="24"/>
          <w:rtl/>
        </w:rPr>
        <w:t>«</w:t>
      </w:r>
      <w:r w:rsidRPr="00282AC9">
        <w:rPr>
          <w:rFonts w:hint="cs"/>
          <w:sz w:val="27"/>
          <w:rtl/>
        </w:rPr>
        <w:t>الاتفاقيّ لا يتكرّ</w:t>
      </w:r>
      <w:r w:rsidR="00447ED4" w:rsidRPr="00282AC9">
        <w:rPr>
          <w:rFonts w:hint="cs"/>
          <w:sz w:val="27"/>
          <w:rtl/>
        </w:rPr>
        <w:t>َ</w:t>
      </w:r>
      <w:r w:rsidRPr="00282AC9">
        <w:rPr>
          <w:rFonts w:hint="cs"/>
          <w:sz w:val="27"/>
          <w:rtl/>
        </w:rPr>
        <w:t>ر دائميّاً</w:t>
      </w:r>
      <w:r w:rsidR="00447ED4" w:rsidRPr="00282AC9">
        <w:rPr>
          <w:rFonts w:hint="cs"/>
          <w:sz w:val="27"/>
          <w:rtl/>
        </w:rPr>
        <w:t>،</w:t>
      </w:r>
      <w:r w:rsidRPr="00282AC9">
        <w:rPr>
          <w:rFonts w:hint="cs"/>
          <w:sz w:val="27"/>
          <w:rtl/>
        </w:rPr>
        <w:t xml:space="preserve"> ولا أكثريّاً</w:t>
      </w:r>
      <w:r w:rsidR="00447ED4" w:rsidRPr="00282AC9">
        <w:rPr>
          <w:rFonts w:hint="cs"/>
          <w:sz w:val="24"/>
          <w:szCs w:val="24"/>
          <w:rtl/>
        </w:rPr>
        <w:t>»</w:t>
      </w:r>
      <w:r w:rsidRPr="00282AC9">
        <w:rPr>
          <w:rFonts w:hint="cs"/>
          <w:sz w:val="27"/>
          <w:rtl/>
        </w:rPr>
        <w:t>،</w:t>
      </w:r>
      <w:r w:rsidR="00447ED4" w:rsidRPr="00282AC9">
        <w:rPr>
          <w:rFonts w:hint="cs"/>
          <w:sz w:val="27"/>
          <w:rtl/>
        </w:rPr>
        <w:t xml:space="preserve"> وادّعى أن</w:t>
      </w:r>
      <w:r w:rsidRPr="00282AC9">
        <w:rPr>
          <w:rFonts w:hint="cs"/>
          <w:sz w:val="27"/>
          <w:rtl/>
        </w:rPr>
        <w:t>ها خاضعة</w:t>
      </w:r>
      <w:r w:rsidR="00447ED4" w:rsidRPr="00282AC9">
        <w:rPr>
          <w:rFonts w:hint="cs"/>
          <w:sz w:val="27"/>
          <w:rtl/>
        </w:rPr>
        <w:t>ٌ</w:t>
      </w:r>
      <w:r w:rsidRPr="00282AC9">
        <w:rPr>
          <w:rFonts w:hint="cs"/>
          <w:sz w:val="27"/>
          <w:rtl/>
        </w:rPr>
        <w:t xml:space="preserve"> لحساب الاحتمالات</w:t>
      </w:r>
      <w:r w:rsidR="00447ED4" w:rsidRPr="00282AC9">
        <w:rPr>
          <w:rFonts w:hint="cs"/>
          <w:sz w:val="27"/>
          <w:rtl/>
        </w:rPr>
        <w:t>؛</w:t>
      </w:r>
      <w:r w:rsidRPr="00282AC9">
        <w:rPr>
          <w:rFonts w:hint="cs"/>
          <w:sz w:val="27"/>
          <w:rtl/>
        </w:rPr>
        <w:t xml:space="preserve"> ظن</w:t>
      </w:r>
      <w:r w:rsidR="00447ED4" w:rsidRPr="00282AC9">
        <w:rPr>
          <w:rFonts w:hint="cs"/>
          <w:sz w:val="27"/>
          <w:rtl/>
        </w:rPr>
        <w:t>ّ</w:t>
      </w:r>
      <w:r w:rsidRPr="00282AC9">
        <w:rPr>
          <w:rFonts w:hint="cs"/>
          <w:sz w:val="27"/>
          <w:rtl/>
        </w:rPr>
        <w:t>اً</w:t>
      </w:r>
      <w:r w:rsidR="00447ED4" w:rsidRPr="00282AC9">
        <w:rPr>
          <w:rFonts w:hint="cs"/>
          <w:sz w:val="27"/>
          <w:rtl/>
        </w:rPr>
        <w:t xml:space="preserve"> منه أن</w:t>
      </w:r>
      <w:r w:rsidRPr="00282AC9">
        <w:rPr>
          <w:rFonts w:hint="cs"/>
          <w:sz w:val="27"/>
          <w:rtl/>
        </w:rPr>
        <w:t xml:space="preserve"> تكرار المشاهدات مجرّ</w:t>
      </w:r>
      <w:r w:rsidR="00447ED4" w:rsidRPr="00282AC9">
        <w:rPr>
          <w:rFonts w:hint="cs"/>
          <w:sz w:val="27"/>
          <w:rtl/>
        </w:rPr>
        <w:t>َ</w:t>
      </w:r>
      <w:r w:rsidRPr="00282AC9">
        <w:rPr>
          <w:rFonts w:hint="cs"/>
          <w:sz w:val="27"/>
          <w:rtl/>
        </w:rPr>
        <w:t>د تكرار</w:t>
      </w:r>
      <w:r w:rsidR="00447ED4" w:rsidRPr="00282AC9">
        <w:rPr>
          <w:rFonts w:hint="cs"/>
          <w:sz w:val="27"/>
          <w:rtl/>
        </w:rPr>
        <w:t>ٍ</w:t>
      </w:r>
      <w:r w:rsidRPr="00282AC9">
        <w:rPr>
          <w:rFonts w:hint="cs"/>
          <w:sz w:val="27"/>
          <w:rtl/>
        </w:rPr>
        <w:t xml:space="preserve"> كم</w:t>
      </w:r>
      <w:r w:rsidR="00447ED4" w:rsidRPr="00282AC9">
        <w:rPr>
          <w:rFonts w:hint="cs"/>
          <w:sz w:val="27"/>
          <w:rtl/>
        </w:rPr>
        <w:t>ِّ</w:t>
      </w:r>
      <w:r w:rsidRPr="00282AC9">
        <w:rPr>
          <w:rFonts w:hint="cs"/>
          <w:sz w:val="27"/>
          <w:rtl/>
        </w:rPr>
        <w:t>يّ، يتضاءل احتمال الصدفة بتكرّ</w:t>
      </w:r>
      <w:r w:rsidR="00447ED4" w:rsidRPr="00282AC9">
        <w:rPr>
          <w:rFonts w:hint="cs"/>
          <w:sz w:val="27"/>
          <w:rtl/>
        </w:rPr>
        <w:t>ُ</w:t>
      </w:r>
      <w:r w:rsidRPr="00282AC9">
        <w:rPr>
          <w:rFonts w:hint="cs"/>
          <w:sz w:val="27"/>
          <w:rtl/>
        </w:rPr>
        <w:t>ره، إلى أن نصل إلى احتمال</w:t>
      </w:r>
      <w:r w:rsidR="00447ED4" w:rsidRPr="00282AC9">
        <w:rPr>
          <w:rFonts w:hint="cs"/>
          <w:sz w:val="27"/>
          <w:rtl/>
        </w:rPr>
        <w:t>ٍ</w:t>
      </w:r>
      <w:r w:rsidRPr="00282AC9">
        <w:rPr>
          <w:rFonts w:hint="cs"/>
          <w:sz w:val="27"/>
          <w:rtl/>
        </w:rPr>
        <w:t xml:space="preserve"> ضئيل جدّاً</w:t>
      </w:r>
      <w:r w:rsidR="00447ED4" w:rsidRPr="00282AC9">
        <w:rPr>
          <w:rFonts w:hint="cs"/>
          <w:sz w:val="27"/>
          <w:rtl/>
        </w:rPr>
        <w:t>،</w:t>
      </w:r>
      <w:r w:rsidRPr="00282AC9">
        <w:rPr>
          <w:rFonts w:hint="cs"/>
          <w:sz w:val="27"/>
          <w:rtl/>
        </w:rPr>
        <w:t xml:space="preserve"> لا يعيره العقل اهتماماً، فيسقطه عن اعتباره واحتماله، فينعقد اليقين الذاتيّ</w:t>
      </w:r>
      <w:r w:rsidR="00447ED4" w:rsidRPr="00282AC9">
        <w:rPr>
          <w:rFonts w:hint="cs"/>
          <w:sz w:val="27"/>
          <w:rtl/>
        </w:rPr>
        <w:t>.</w:t>
      </w:r>
      <w:r w:rsidRPr="00282AC9">
        <w:rPr>
          <w:rFonts w:hint="cs"/>
          <w:sz w:val="27"/>
          <w:rtl/>
        </w:rPr>
        <w:t xml:space="preserve"> ونحن نقول فيه:</w:t>
      </w:r>
    </w:p>
    <w:p w:rsidR="002C1D33" w:rsidRPr="00282AC9" w:rsidRDefault="002C1D33" w:rsidP="00715FC8">
      <w:pPr>
        <w:rPr>
          <w:sz w:val="27"/>
          <w:rtl/>
        </w:rPr>
      </w:pPr>
      <w:r w:rsidRPr="00282AC9">
        <w:rPr>
          <w:rFonts w:hint="cs"/>
          <w:b/>
          <w:bCs/>
          <w:sz w:val="27"/>
          <w:rtl/>
        </w:rPr>
        <w:t>أوّلاً</w:t>
      </w:r>
      <w:r w:rsidR="00447ED4" w:rsidRPr="00282AC9">
        <w:rPr>
          <w:rFonts w:hint="cs"/>
          <w:sz w:val="27"/>
          <w:rtl/>
        </w:rPr>
        <w:t>: إن</w:t>
      </w:r>
      <w:r w:rsidRPr="00282AC9">
        <w:rPr>
          <w:rFonts w:hint="cs"/>
          <w:sz w:val="27"/>
          <w:rtl/>
        </w:rPr>
        <w:t xml:space="preserve"> بداهة هذه القضية يمكن أن ينب</w:t>
      </w:r>
      <w:r w:rsidR="00447ED4" w:rsidRPr="00282AC9">
        <w:rPr>
          <w:rFonts w:hint="cs"/>
          <w:sz w:val="27"/>
          <w:rtl/>
        </w:rPr>
        <w:t>ّ</w:t>
      </w:r>
      <w:r w:rsidRPr="00282AC9">
        <w:rPr>
          <w:rFonts w:hint="cs"/>
          <w:sz w:val="27"/>
          <w:rtl/>
        </w:rPr>
        <w:t>ه عليها بوجهين:</w:t>
      </w:r>
    </w:p>
    <w:p w:rsidR="002C1D33" w:rsidRPr="00282AC9" w:rsidRDefault="00447ED4" w:rsidP="00715FC8">
      <w:pPr>
        <w:rPr>
          <w:sz w:val="27"/>
          <w:rtl/>
        </w:rPr>
      </w:pPr>
      <w:r w:rsidRPr="00282AC9">
        <w:rPr>
          <w:rFonts w:hint="cs"/>
          <w:b/>
          <w:bCs/>
          <w:sz w:val="27"/>
          <w:rtl/>
        </w:rPr>
        <w:t>الوجه الأوّ</w:t>
      </w:r>
      <w:r w:rsidR="002C1D33" w:rsidRPr="00282AC9">
        <w:rPr>
          <w:rFonts w:hint="cs"/>
          <w:b/>
          <w:bCs/>
          <w:sz w:val="27"/>
          <w:rtl/>
        </w:rPr>
        <w:t>ل</w:t>
      </w:r>
      <w:r w:rsidR="002C1D33" w:rsidRPr="00282AC9">
        <w:rPr>
          <w:rFonts w:hint="cs"/>
          <w:sz w:val="27"/>
          <w:rtl/>
        </w:rPr>
        <w:t>: بعكس النقيض لأصل</w:t>
      </w:r>
      <w:r w:rsidRPr="00282AC9">
        <w:rPr>
          <w:rFonts w:hint="cs"/>
          <w:sz w:val="27"/>
          <w:rtl/>
        </w:rPr>
        <w:t>ٍ</w:t>
      </w:r>
      <w:r w:rsidR="002C1D33" w:rsidRPr="00282AC9">
        <w:rPr>
          <w:rFonts w:hint="cs"/>
          <w:sz w:val="27"/>
          <w:rtl/>
        </w:rPr>
        <w:t xml:space="preserve"> بديهيّ، وهو </w:t>
      </w:r>
      <w:r w:rsidRPr="00282AC9">
        <w:rPr>
          <w:rFonts w:hint="cs"/>
          <w:sz w:val="24"/>
          <w:szCs w:val="24"/>
          <w:rtl/>
        </w:rPr>
        <w:t>«</w:t>
      </w:r>
      <w:r w:rsidR="002C1D33" w:rsidRPr="00282AC9">
        <w:rPr>
          <w:rFonts w:hint="cs"/>
          <w:sz w:val="27"/>
          <w:rtl/>
        </w:rPr>
        <w:t>كلُّ أثر</w:t>
      </w:r>
      <w:r w:rsidRPr="00282AC9">
        <w:rPr>
          <w:rFonts w:hint="cs"/>
          <w:sz w:val="27"/>
          <w:rtl/>
        </w:rPr>
        <w:t>ٍ</w:t>
      </w:r>
      <w:r w:rsidR="002C1D33" w:rsidRPr="00282AC9">
        <w:rPr>
          <w:rFonts w:hint="cs"/>
          <w:sz w:val="27"/>
          <w:rtl/>
        </w:rPr>
        <w:t xml:space="preserve"> يتكر</w:t>
      </w:r>
      <w:r w:rsidRPr="00282AC9">
        <w:rPr>
          <w:rFonts w:hint="cs"/>
          <w:sz w:val="27"/>
          <w:rtl/>
        </w:rPr>
        <w:t>َّ</w:t>
      </w:r>
      <w:r w:rsidR="002C1D33" w:rsidRPr="00282AC9">
        <w:rPr>
          <w:rFonts w:hint="cs"/>
          <w:sz w:val="27"/>
          <w:rtl/>
        </w:rPr>
        <w:t>ر دائميّاً أو أكثري</w:t>
      </w:r>
      <w:r w:rsidRPr="00282AC9">
        <w:rPr>
          <w:rFonts w:hint="cs"/>
          <w:sz w:val="27"/>
          <w:rtl/>
        </w:rPr>
        <w:t>ّ</w:t>
      </w:r>
      <w:r w:rsidR="002C1D33" w:rsidRPr="00282AC9">
        <w:rPr>
          <w:rFonts w:hint="cs"/>
          <w:sz w:val="27"/>
          <w:rtl/>
        </w:rPr>
        <w:t>اً فهو لعلّة</w:t>
      </w:r>
      <w:r w:rsidRPr="00282AC9">
        <w:rPr>
          <w:rFonts w:hint="cs"/>
          <w:sz w:val="27"/>
          <w:rtl/>
        </w:rPr>
        <w:t>ٍ</w:t>
      </w:r>
      <w:r w:rsidR="002C1D33" w:rsidRPr="00282AC9">
        <w:rPr>
          <w:rFonts w:hint="cs"/>
          <w:sz w:val="27"/>
          <w:rtl/>
        </w:rPr>
        <w:t xml:space="preserve"> ذاتية</w:t>
      </w:r>
      <w:r w:rsidRPr="00282AC9">
        <w:rPr>
          <w:rFonts w:hint="cs"/>
          <w:sz w:val="24"/>
          <w:szCs w:val="24"/>
          <w:rtl/>
        </w:rPr>
        <w:t>»</w:t>
      </w:r>
      <w:r w:rsidRPr="00282AC9">
        <w:rPr>
          <w:rFonts w:hint="cs"/>
          <w:sz w:val="27"/>
          <w:rtl/>
        </w:rPr>
        <w:t>،</w:t>
      </w:r>
      <w:r w:rsidR="002C1D33" w:rsidRPr="00282AC9">
        <w:rPr>
          <w:rFonts w:hint="cs"/>
          <w:sz w:val="27"/>
          <w:rtl/>
        </w:rPr>
        <w:t xml:space="preserve"> وينعكس </w:t>
      </w:r>
      <w:r w:rsidRPr="00282AC9">
        <w:rPr>
          <w:rFonts w:hint="cs"/>
          <w:sz w:val="27"/>
          <w:rtl/>
        </w:rPr>
        <w:t>ب</w:t>
      </w:r>
      <w:r w:rsidR="002C1D33" w:rsidRPr="00282AC9">
        <w:rPr>
          <w:rFonts w:hint="cs"/>
          <w:sz w:val="27"/>
          <w:rtl/>
        </w:rPr>
        <w:t xml:space="preserve">عكس النقيض إلى </w:t>
      </w:r>
      <w:r w:rsidRPr="00282AC9">
        <w:rPr>
          <w:rFonts w:hint="cs"/>
          <w:sz w:val="24"/>
          <w:szCs w:val="24"/>
          <w:rtl/>
        </w:rPr>
        <w:t>«</w:t>
      </w:r>
      <w:r w:rsidR="002C1D33" w:rsidRPr="00282AC9">
        <w:rPr>
          <w:rFonts w:hint="cs"/>
          <w:sz w:val="27"/>
          <w:rtl/>
        </w:rPr>
        <w:t>ك</w:t>
      </w:r>
      <w:r w:rsidRPr="00282AC9">
        <w:rPr>
          <w:rFonts w:hint="cs"/>
          <w:sz w:val="27"/>
          <w:rtl/>
        </w:rPr>
        <w:t>لّ ما ليس لعلّ</w:t>
      </w:r>
      <w:r w:rsidR="002C1D33" w:rsidRPr="00282AC9">
        <w:rPr>
          <w:rFonts w:hint="cs"/>
          <w:sz w:val="27"/>
          <w:rtl/>
        </w:rPr>
        <w:t>ة</w:t>
      </w:r>
      <w:r w:rsidRPr="00282AC9">
        <w:rPr>
          <w:rFonts w:hint="cs"/>
          <w:sz w:val="27"/>
          <w:rtl/>
        </w:rPr>
        <w:t>ٍ</w:t>
      </w:r>
      <w:r w:rsidR="002C1D33" w:rsidRPr="00282AC9">
        <w:rPr>
          <w:rFonts w:hint="cs"/>
          <w:sz w:val="27"/>
          <w:rtl/>
        </w:rPr>
        <w:t xml:space="preserve"> ذاتيّة  ـ أي اتفاقيّة ـ  فهو لا يتكر</w:t>
      </w:r>
      <w:r w:rsidR="00625CA8" w:rsidRPr="00282AC9">
        <w:rPr>
          <w:rFonts w:hint="cs"/>
          <w:sz w:val="27"/>
          <w:rtl/>
        </w:rPr>
        <w:t>َّ</w:t>
      </w:r>
      <w:r w:rsidR="002C1D33" w:rsidRPr="00282AC9">
        <w:rPr>
          <w:rFonts w:hint="cs"/>
          <w:sz w:val="27"/>
          <w:rtl/>
        </w:rPr>
        <w:t>ر دائميّاً</w:t>
      </w:r>
      <w:r w:rsidR="00625CA8" w:rsidRPr="00282AC9">
        <w:rPr>
          <w:rFonts w:hint="cs"/>
          <w:sz w:val="27"/>
          <w:rtl/>
        </w:rPr>
        <w:t>،</w:t>
      </w:r>
      <w:r w:rsidR="002C1D33" w:rsidRPr="00282AC9">
        <w:rPr>
          <w:rFonts w:hint="cs"/>
          <w:sz w:val="27"/>
          <w:rtl/>
        </w:rPr>
        <w:t xml:space="preserve"> ولا أكثريّاً</w:t>
      </w:r>
      <w:r w:rsidRPr="00282AC9">
        <w:rPr>
          <w:rFonts w:hint="cs"/>
          <w:sz w:val="24"/>
          <w:szCs w:val="24"/>
          <w:rtl/>
        </w:rPr>
        <w:t>»</w:t>
      </w:r>
      <w:r w:rsidR="002C1D33" w:rsidRPr="00282AC9">
        <w:rPr>
          <w:rFonts w:hint="cs"/>
          <w:sz w:val="27"/>
          <w:rtl/>
        </w:rPr>
        <w:t>.</w:t>
      </w:r>
    </w:p>
    <w:p w:rsidR="002C1D33" w:rsidRPr="00282AC9" w:rsidRDefault="00625CA8" w:rsidP="00715FC8">
      <w:pPr>
        <w:rPr>
          <w:sz w:val="27"/>
          <w:rtl/>
        </w:rPr>
      </w:pPr>
      <w:r w:rsidRPr="00282AC9">
        <w:rPr>
          <w:rFonts w:hint="cs"/>
          <w:sz w:val="27"/>
          <w:rtl/>
        </w:rPr>
        <w:t>وبيان الأصل أن</w:t>
      </w:r>
      <w:r w:rsidR="002C1D33" w:rsidRPr="00282AC9">
        <w:rPr>
          <w:rFonts w:hint="cs"/>
          <w:sz w:val="27"/>
          <w:rtl/>
        </w:rPr>
        <w:t xml:space="preserve"> العلّة لو كانت تامّة</w:t>
      </w:r>
      <w:r w:rsidRPr="00282AC9">
        <w:rPr>
          <w:rFonts w:hint="cs"/>
          <w:sz w:val="27"/>
          <w:rtl/>
        </w:rPr>
        <w:t>ً</w:t>
      </w:r>
      <w:r w:rsidR="002C1D33" w:rsidRPr="00282AC9">
        <w:rPr>
          <w:rFonts w:hint="cs"/>
          <w:sz w:val="27"/>
          <w:rtl/>
        </w:rPr>
        <w:t xml:space="preserve"> فلا ينفك</w:t>
      </w:r>
      <w:r w:rsidRPr="00282AC9">
        <w:rPr>
          <w:rFonts w:hint="cs"/>
          <w:sz w:val="27"/>
          <w:rtl/>
        </w:rPr>
        <w:t>ّ</w:t>
      </w:r>
      <w:r w:rsidR="002C1D33" w:rsidRPr="00282AC9">
        <w:rPr>
          <w:rFonts w:hint="cs"/>
          <w:sz w:val="27"/>
          <w:rtl/>
        </w:rPr>
        <w:t xml:space="preserve"> عنها معلولها على الدوام، وهو ضروريّ</w:t>
      </w:r>
      <w:r w:rsidRPr="00282AC9">
        <w:rPr>
          <w:rFonts w:hint="cs"/>
          <w:sz w:val="27"/>
          <w:rtl/>
        </w:rPr>
        <w:t>؛</w:t>
      </w:r>
      <w:r w:rsidR="002C1D33" w:rsidRPr="00282AC9">
        <w:rPr>
          <w:rFonts w:hint="cs"/>
          <w:sz w:val="27"/>
          <w:rtl/>
        </w:rPr>
        <w:t xml:space="preserve"> وإن</w:t>
      </w:r>
      <w:r w:rsidRPr="00282AC9">
        <w:rPr>
          <w:rFonts w:hint="cs"/>
          <w:sz w:val="27"/>
          <w:rtl/>
        </w:rPr>
        <w:t>ْ</w:t>
      </w:r>
      <w:r w:rsidR="002C1D33" w:rsidRPr="00282AC9">
        <w:rPr>
          <w:rFonts w:hint="cs"/>
          <w:sz w:val="27"/>
          <w:rtl/>
        </w:rPr>
        <w:t xml:space="preserve"> كانت ناقصة</w:t>
      </w:r>
      <w:r w:rsidRPr="00282AC9">
        <w:rPr>
          <w:rFonts w:hint="cs"/>
          <w:sz w:val="27"/>
          <w:rtl/>
        </w:rPr>
        <w:t>ً</w:t>
      </w:r>
      <w:r w:rsidR="002C1D33" w:rsidRPr="00282AC9">
        <w:rPr>
          <w:rFonts w:hint="cs"/>
          <w:sz w:val="27"/>
          <w:rtl/>
        </w:rPr>
        <w:t xml:space="preserve"> فيصدر عنها معلولها في أكثر الأحيان</w:t>
      </w:r>
      <w:r w:rsidRPr="00282AC9">
        <w:rPr>
          <w:rFonts w:hint="cs"/>
          <w:sz w:val="27"/>
          <w:rtl/>
        </w:rPr>
        <w:t>؛</w:t>
      </w:r>
      <w:r w:rsidR="002C1D33" w:rsidRPr="00282AC9">
        <w:rPr>
          <w:rFonts w:hint="cs"/>
          <w:sz w:val="27"/>
          <w:rtl/>
        </w:rPr>
        <w:t xml:space="preserve"> لوجود المقتضي المرجّ</w:t>
      </w:r>
      <w:r w:rsidRPr="00282AC9">
        <w:rPr>
          <w:rFonts w:hint="cs"/>
          <w:sz w:val="27"/>
          <w:rtl/>
        </w:rPr>
        <w:t>ِ</w:t>
      </w:r>
      <w:r w:rsidR="0032349D">
        <w:rPr>
          <w:rFonts w:hint="cs"/>
          <w:sz w:val="27"/>
          <w:rtl/>
        </w:rPr>
        <w:t xml:space="preserve">ح لصدوره </w:t>
      </w:r>
      <w:r w:rsidR="002C1D33" w:rsidRPr="00282AC9">
        <w:rPr>
          <w:rFonts w:hint="cs"/>
          <w:sz w:val="27"/>
          <w:rtl/>
        </w:rPr>
        <w:t>دائماً</w:t>
      </w:r>
      <w:r w:rsidRPr="00282AC9">
        <w:rPr>
          <w:rFonts w:hint="cs"/>
          <w:sz w:val="27"/>
          <w:rtl/>
        </w:rPr>
        <w:t>، لو</w:t>
      </w:r>
      <w:r w:rsidR="002C1D33" w:rsidRPr="00282AC9">
        <w:rPr>
          <w:rFonts w:hint="cs"/>
          <w:sz w:val="27"/>
          <w:rtl/>
        </w:rPr>
        <w:t>لا المانع العارض</w:t>
      </w:r>
      <w:r w:rsidRPr="00282AC9">
        <w:rPr>
          <w:rFonts w:hint="cs"/>
          <w:sz w:val="27"/>
          <w:rtl/>
        </w:rPr>
        <w:t>؛ لأن</w:t>
      </w:r>
      <w:r w:rsidR="002C1D33" w:rsidRPr="00282AC9">
        <w:rPr>
          <w:rFonts w:hint="cs"/>
          <w:sz w:val="27"/>
          <w:rtl/>
        </w:rPr>
        <w:t xml:space="preserve"> المانع لو كان لازماً للمؤث</w:t>
      </w:r>
      <w:r w:rsidRPr="00282AC9">
        <w:rPr>
          <w:rFonts w:hint="cs"/>
          <w:sz w:val="27"/>
          <w:rtl/>
        </w:rPr>
        <w:t>ِّ</w:t>
      </w:r>
      <w:r w:rsidR="002C1D33" w:rsidRPr="00282AC9">
        <w:rPr>
          <w:rFonts w:hint="cs"/>
          <w:sz w:val="27"/>
          <w:rtl/>
        </w:rPr>
        <w:t>ر لكان ذاتي</w:t>
      </w:r>
      <w:r w:rsidRPr="00282AC9">
        <w:rPr>
          <w:rFonts w:hint="cs"/>
          <w:sz w:val="27"/>
          <w:rtl/>
        </w:rPr>
        <w:t>ّ</w:t>
      </w:r>
      <w:r w:rsidR="002C1D33" w:rsidRPr="00282AC9">
        <w:rPr>
          <w:rFonts w:hint="cs"/>
          <w:sz w:val="27"/>
          <w:rtl/>
        </w:rPr>
        <w:t>اً، وهو خلاف فرض وجود المقتضي للأثر، فيلزم اجتماع النقيضين</w:t>
      </w:r>
      <w:r w:rsidRPr="00282AC9">
        <w:rPr>
          <w:rFonts w:hint="cs"/>
          <w:sz w:val="27"/>
          <w:rtl/>
        </w:rPr>
        <w:t>؛</w:t>
      </w:r>
      <w:r w:rsidR="002C1D33" w:rsidRPr="00282AC9">
        <w:rPr>
          <w:rFonts w:hint="cs"/>
          <w:sz w:val="27"/>
          <w:rtl/>
        </w:rPr>
        <w:t xml:space="preserve"> لكونه مقتضياً وغير مقتض</w:t>
      </w:r>
      <w:r w:rsidRPr="00282AC9">
        <w:rPr>
          <w:rFonts w:hint="cs"/>
          <w:sz w:val="27"/>
          <w:rtl/>
        </w:rPr>
        <w:t>ٍ</w:t>
      </w:r>
      <w:r w:rsidR="002C1D33" w:rsidRPr="00282AC9">
        <w:rPr>
          <w:rFonts w:hint="cs"/>
          <w:sz w:val="27"/>
          <w:rtl/>
        </w:rPr>
        <w:t>.</w:t>
      </w:r>
    </w:p>
    <w:p w:rsidR="002C1D33" w:rsidRPr="00282AC9" w:rsidRDefault="002C1D33" w:rsidP="00715FC8">
      <w:pPr>
        <w:rPr>
          <w:sz w:val="27"/>
          <w:rtl/>
        </w:rPr>
      </w:pPr>
      <w:r w:rsidRPr="00282AC9">
        <w:rPr>
          <w:rFonts w:hint="cs"/>
          <w:b/>
          <w:bCs/>
          <w:sz w:val="27"/>
          <w:rtl/>
        </w:rPr>
        <w:t>الوجه الثاني</w:t>
      </w:r>
      <w:r w:rsidR="00625CA8" w:rsidRPr="00282AC9">
        <w:rPr>
          <w:rFonts w:hint="cs"/>
          <w:sz w:val="27"/>
          <w:rtl/>
        </w:rPr>
        <w:t>: إن</w:t>
      </w:r>
      <w:r w:rsidRPr="00282AC9">
        <w:rPr>
          <w:rFonts w:hint="cs"/>
          <w:sz w:val="27"/>
          <w:rtl/>
        </w:rPr>
        <w:t xml:space="preserve"> قولنا: </w:t>
      </w:r>
      <w:bookmarkStart w:id="117" w:name="_Hlk39664279"/>
      <w:r w:rsidR="00625CA8" w:rsidRPr="00282AC9">
        <w:rPr>
          <w:rFonts w:hint="cs"/>
          <w:sz w:val="24"/>
          <w:szCs w:val="24"/>
          <w:rtl/>
        </w:rPr>
        <w:t>«</w:t>
      </w:r>
      <w:r w:rsidRPr="00282AC9">
        <w:rPr>
          <w:rFonts w:hint="cs"/>
          <w:sz w:val="27"/>
          <w:rtl/>
        </w:rPr>
        <w:t>الأثر الاتفاقيّ لا يتكرّ</w:t>
      </w:r>
      <w:r w:rsidR="00625CA8" w:rsidRPr="00282AC9">
        <w:rPr>
          <w:rFonts w:hint="cs"/>
          <w:sz w:val="27"/>
          <w:rtl/>
        </w:rPr>
        <w:t>َ</w:t>
      </w:r>
      <w:r w:rsidRPr="00282AC9">
        <w:rPr>
          <w:rFonts w:hint="cs"/>
          <w:sz w:val="27"/>
          <w:rtl/>
        </w:rPr>
        <w:t>ر</w:t>
      </w:r>
      <w:r w:rsidR="00625CA8" w:rsidRPr="00282AC9">
        <w:rPr>
          <w:rFonts w:hint="cs"/>
          <w:sz w:val="24"/>
          <w:szCs w:val="24"/>
          <w:rtl/>
        </w:rPr>
        <w:t>»</w:t>
      </w:r>
      <w:r w:rsidRPr="00282AC9">
        <w:rPr>
          <w:rFonts w:hint="cs"/>
          <w:sz w:val="27"/>
          <w:rtl/>
        </w:rPr>
        <w:t xml:space="preserve"> هو قضي</w:t>
      </w:r>
      <w:r w:rsidR="00625CA8" w:rsidRPr="00282AC9">
        <w:rPr>
          <w:rFonts w:hint="cs"/>
          <w:sz w:val="27"/>
          <w:rtl/>
        </w:rPr>
        <w:t>ّ</w:t>
      </w:r>
      <w:r w:rsidRPr="00282AC9">
        <w:rPr>
          <w:rFonts w:hint="cs"/>
          <w:sz w:val="27"/>
          <w:rtl/>
        </w:rPr>
        <w:t>ة</w:t>
      </w:r>
      <w:r w:rsidR="00625CA8" w:rsidRPr="00282AC9">
        <w:rPr>
          <w:rFonts w:hint="cs"/>
          <w:sz w:val="27"/>
          <w:rtl/>
        </w:rPr>
        <w:t>ٌ</w:t>
      </w:r>
      <w:r w:rsidRPr="00282AC9">
        <w:rPr>
          <w:rFonts w:hint="cs"/>
          <w:sz w:val="27"/>
          <w:rtl/>
        </w:rPr>
        <w:t xml:space="preserve"> أوّليّة تحليليّة</w:t>
      </w:r>
      <w:bookmarkEnd w:id="117"/>
      <w:r w:rsidRPr="00282AC9">
        <w:rPr>
          <w:rFonts w:hint="cs"/>
          <w:sz w:val="27"/>
          <w:rtl/>
        </w:rPr>
        <w:t>، يُصد</w:t>
      </w:r>
      <w:r w:rsidR="00625CA8" w:rsidRPr="00282AC9">
        <w:rPr>
          <w:rFonts w:hint="cs"/>
          <w:sz w:val="27"/>
          <w:rtl/>
        </w:rPr>
        <w:t>ِّ</w:t>
      </w:r>
      <w:r w:rsidRPr="00282AC9">
        <w:rPr>
          <w:rFonts w:hint="cs"/>
          <w:sz w:val="27"/>
          <w:rtl/>
        </w:rPr>
        <w:t>ق العقل بها بمجرّد التصوّ</w:t>
      </w:r>
      <w:r w:rsidR="00625CA8" w:rsidRPr="00282AC9">
        <w:rPr>
          <w:rFonts w:hint="cs"/>
          <w:sz w:val="27"/>
          <w:rtl/>
        </w:rPr>
        <w:t>ُ</w:t>
      </w:r>
      <w:r w:rsidRPr="00282AC9">
        <w:rPr>
          <w:rFonts w:hint="cs"/>
          <w:sz w:val="27"/>
          <w:rtl/>
        </w:rPr>
        <w:t>ر الصحيح لموضوعها ومحمولها</w:t>
      </w:r>
      <w:r w:rsidR="00625CA8" w:rsidRPr="00282AC9">
        <w:rPr>
          <w:rFonts w:hint="cs"/>
          <w:sz w:val="27"/>
          <w:rtl/>
        </w:rPr>
        <w:t>.</w:t>
      </w:r>
      <w:r w:rsidRPr="00282AC9">
        <w:rPr>
          <w:rFonts w:hint="cs"/>
          <w:sz w:val="27"/>
          <w:rtl/>
        </w:rPr>
        <w:t xml:space="preserve"> وبيان ذلك:</w:t>
      </w:r>
    </w:p>
    <w:p w:rsidR="002C1D33" w:rsidRPr="00282AC9" w:rsidRDefault="00625CA8" w:rsidP="00715FC8">
      <w:pPr>
        <w:rPr>
          <w:sz w:val="27"/>
          <w:rtl/>
        </w:rPr>
      </w:pPr>
      <w:r w:rsidRPr="00282AC9">
        <w:rPr>
          <w:rFonts w:hint="cs"/>
          <w:sz w:val="27"/>
          <w:rtl/>
        </w:rPr>
        <w:t>إن</w:t>
      </w:r>
      <w:r w:rsidR="002C1D33" w:rsidRPr="00282AC9">
        <w:rPr>
          <w:rFonts w:hint="cs"/>
          <w:sz w:val="27"/>
          <w:rtl/>
        </w:rPr>
        <w:t xml:space="preserve"> معنى الأثر الاتفاقيّ هو الأثر الحاصل لسبب</w:t>
      </w:r>
      <w:r w:rsidRPr="00282AC9">
        <w:rPr>
          <w:rFonts w:hint="cs"/>
          <w:sz w:val="27"/>
          <w:rtl/>
        </w:rPr>
        <w:t>ٍ</w:t>
      </w:r>
      <w:r w:rsidR="002C1D33" w:rsidRPr="00282AC9">
        <w:rPr>
          <w:rFonts w:hint="cs"/>
          <w:sz w:val="27"/>
          <w:rtl/>
        </w:rPr>
        <w:t xml:space="preserve"> أخصّ من طبيعة المؤث</w:t>
      </w:r>
      <w:r w:rsidRPr="00282AC9">
        <w:rPr>
          <w:rFonts w:hint="cs"/>
          <w:sz w:val="27"/>
          <w:rtl/>
        </w:rPr>
        <w:t>ِّ</w:t>
      </w:r>
      <w:r w:rsidR="002C1D33" w:rsidRPr="00282AC9">
        <w:rPr>
          <w:rFonts w:hint="cs"/>
          <w:sz w:val="27"/>
          <w:rtl/>
        </w:rPr>
        <w:t xml:space="preserve">ر، ومعنى لا يتكرّر أي </w:t>
      </w:r>
      <w:r w:rsidRPr="00282AC9">
        <w:rPr>
          <w:rFonts w:hint="cs"/>
          <w:sz w:val="27"/>
          <w:rtl/>
        </w:rPr>
        <w:t>إن</w:t>
      </w:r>
      <w:r w:rsidR="002C1D33" w:rsidRPr="00282AC9">
        <w:rPr>
          <w:rFonts w:hint="cs"/>
          <w:sz w:val="27"/>
          <w:rtl/>
        </w:rPr>
        <w:t>ه لا يحصل مع ارتفاع الخصوصيّ</w:t>
      </w:r>
      <w:r w:rsidRPr="00282AC9">
        <w:rPr>
          <w:rFonts w:hint="cs"/>
          <w:sz w:val="27"/>
          <w:rtl/>
        </w:rPr>
        <w:t>ة؛ لأن</w:t>
      </w:r>
      <w:r w:rsidR="002C1D33" w:rsidRPr="00282AC9">
        <w:rPr>
          <w:rFonts w:hint="cs"/>
          <w:sz w:val="27"/>
          <w:rtl/>
        </w:rPr>
        <w:t xml:space="preserve"> التكرار يهدف إلى رفع مدخليّة </w:t>
      </w:r>
      <w:r w:rsidR="002C1D33" w:rsidRPr="00282AC9">
        <w:rPr>
          <w:rFonts w:hint="cs"/>
          <w:sz w:val="27"/>
          <w:rtl/>
        </w:rPr>
        <w:lastRenderedPageBreak/>
        <w:t>الظروف الخاص</w:t>
      </w:r>
      <w:r w:rsidRPr="00282AC9">
        <w:rPr>
          <w:rFonts w:hint="cs"/>
          <w:sz w:val="27"/>
          <w:rtl/>
        </w:rPr>
        <w:t>ّ</w:t>
      </w:r>
      <w:r w:rsidR="002C1D33" w:rsidRPr="00282AC9">
        <w:rPr>
          <w:rFonts w:hint="cs"/>
          <w:sz w:val="27"/>
          <w:rtl/>
        </w:rPr>
        <w:t>ة للمؤث</w:t>
      </w:r>
      <w:r w:rsidRPr="00282AC9">
        <w:rPr>
          <w:rFonts w:hint="cs"/>
          <w:sz w:val="27"/>
          <w:rtl/>
        </w:rPr>
        <w:t>ِّ</w:t>
      </w:r>
      <w:r w:rsidR="002C1D33" w:rsidRPr="00282AC9">
        <w:rPr>
          <w:rFonts w:hint="cs"/>
          <w:sz w:val="27"/>
          <w:rtl/>
        </w:rPr>
        <w:t>ر  ـ كما سبق أن أش</w:t>
      </w:r>
      <w:r w:rsidRPr="00282AC9">
        <w:rPr>
          <w:rFonts w:hint="cs"/>
          <w:sz w:val="27"/>
          <w:rtl/>
        </w:rPr>
        <w:t>َ</w:t>
      </w:r>
      <w:r w:rsidR="002C1D33" w:rsidRPr="00282AC9">
        <w:rPr>
          <w:rFonts w:hint="cs"/>
          <w:sz w:val="27"/>
          <w:rtl/>
        </w:rPr>
        <w:t>ر</w:t>
      </w:r>
      <w:r w:rsidRPr="00282AC9">
        <w:rPr>
          <w:rFonts w:hint="cs"/>
          <w:sz w:val="27"/>
          <w:rtl/>
        </w:rPr>
        <w:t>ْ</w:t>
      </w:r>
      <w:r w:rsidR="002C1D33" w:rsidRPr="00282AC9">
        <w:rPr>
          <w:rFonts w:hint="cs"/>
          <w:sz w:val="27"/>
          <w:rtl/>
        </w:rPr>
        <w:t>نا  ـ</w:t>
      </w:r>
      <w:r w:rsidRPr="00282AC9">
        <w:rPr>
          <w:rFonts w:hint="cs"/>
          <w:sz w:val="27"/>
          <w:rtl/>
        </w:rPr>
        <w:t xml:space="preserve">، </w:t>
      </w:r>
      <w:r w:rsidR="002C1D33" w:rsidRPr="00282AC9">
        <w:rPr>
          <w:rFonts w:hint="cs"/>
          <w:sz w:val="27"/>
          <w:rtl/>
        </w:rPr>
        <w:t xml:space="preserve">فتكون القضية بهذا النحو: </w:t>
      </w:r>
      <w:r w:rsidRPr="00282AC9">
        <w:rPr>
          <w:rFonts w:hint="cs"/>
          <w:sz w:val="24"/>
          <w:szCs w:val="24"/>
          <w:rtl/>
        </w:rPr>
        <w:t>«</w:t>
      </w:r>
      <w:r w:rsidR="002C1D33" w:rsidRPr="00282AC9">
        <w:rPr>
          <w:rFonts w:hint="cs"/>
          <w:sz w:val="27"/>
          <w:rtl/>
        </w:rPr>
        <w:t>الأثر الحاصل من خصوصيّة المؤث</w:t>
      </w:r>
      <w:r w:rsidRPr="00282AC9">
        <w:rPr>
          <w:rFonts w:hint="cs"/>
          <w:sz w:val="27"/>
          <w:rtl/>
        </w:rPr>
        <w:t>ِّ</w:t>
      </w:r>
      <w:r w:rsidR="002C1D33" w:rsidRPr="00282AC9">
        <w:rPr>
          <w:rFonts w:hint="cs"/>
          <w:sz w:val="27"/>
          <w:rtl/>
        </w:rPr>
        <w:t>ر لا يحصل مع ارتفاع الخصوصيّة</w:t>
      </w:r>
      <w:r w:rsidRPr="00282AC9">
        <w:rPr>
          <w:rFonts w:hint="cs"/>
          <w:sz w:val="24"/>
          <w:szCs w:val="24"/>
          <w:rtl/>
        </w:rPr>
        <w:t>»</w:t>
      </w:r>
      <w:r w:rsidR="002C1D33" w:rsidRPr="00282AC9">
        <w:rPr>
          <w:rFonts w:hint="cs"/>
          <w:sz w:val="27"/>
          <w:rtl/>
        </w:rPr>
        <w:t>، وهي ضروريّة</w:t>
      </w:r>
      <w:r w:rsidRPr="00282AC9">
        <w:rPr>
          <w:rFonts w:hint="cs"/>
          <w:sz w:val="27"/>
          <w:rtl/>
        </w:rPr>
        <w:t>ٌ</w:t>
      </w:r>
      <w:r w:rsidR="002C1D33" w:rsidRPr="00282AC9">
        <w:rPr>
          <w:rFonts w:hint="cs"/>
          <w:sz w:val="27"/>
          <w:rtl/>
        </w:rPr>
        <w:t xml:space="preserve"> أوّليّة.</w:t>
      </w:r>
    </w:p>
    <w:p w:rsidR="002C1D33" w:rsidRPr="00282AC9" w:rsidRDefault="002C1D33" w:rsidP="00715FC8">
      <w:pPr>
        <w:rPr>
          <w:sz w:val="27"/>
          <w:rtl/>
        </w:rPr>
      </w:pPr>
      <w:r w:rsidRPr="00282AC9">
        <w:rPr>
          <w:rFonts w:hint="cs"/>
          <w:b/>
          <w:bCs/>
          <w:sz w:val="27"/>
          <w:rtl/>
        </w:rPr>
        <w:t>ثانياً</w:t>
      </w:r>
      <w:r w:rsidRPr="00282AC9">
        <w:rPr>
          <w:rFonts w:hint="cs"/>
          <w:sz w:val="27"/>
          <w:rtl/>
        </w:rPr>
        <w:t>: إ</w:t>
      </w:r>
      <w:r w:rsidR="00625CA8" w:rsidRPr="00282AC9">
        <w:rPr>
          <w:rFonts w:hint="cs"/>
          <w:sz w:val="27"/>
          <w:rtl/>
        </w:rPr>
        <w:t>ن</w:t>
      </w:r>
      <w:r w:rsidRPr="00282AC9">
        <w:rPr>
          <w:rFonts w:hint="cs"/>
          <w:sz w:val="27"/>
          <w:rtl/>
        </w:rPr>
        <w:t xml:space="preserve"> الواقع على خلاف ما ظن</w:t>
      </w:r>
      <w:r w:rsidR="00625CA8" w:rsidRPr="00282AC9">
        <w:rPr>
          <w:rFonts w:hint="cs"/>
          <w:sz w:val="27"/>
          <w:rtl/>
        </w:rPr>
        <w:t>ّ</w:t>
      </w:r>
      <w:r w:rsidRPr="00282AC9">
        <w:rPr>
          <w:rFonts w:hint="cs"/>
          <w:sz w:val="27"/>
          <w:rtl/>
        </w:rPr>
        <w:t xml:space="preserve"> من رجوع هذه القضية لحساب الاحتمالات</w:t>
      </w:r>
      <w:r w:rsidR="00625CA8" w:rsidRPr="00282AC9">
        <w:rPr>
          <w:rFonts w:hint="cs"/>
          <w:sz w:val="27"/>
          <w:rtl/>
        </w:rPr>
        <w:t>.</w:t>
      </w:r>
      <w:r w:rsidRPr="00282AC9">
        <w:rPr>
          <w:rFonts w:hint="cs"/>
          <w:sz w:val="27"/>
          <w:rtl/>
        </w:rPr>
        <w:t xml:space="preserve"> بل الأمر على العكس، وهو رجوع حساب الاحتمالات إلى التسليم بهذه القضية، وإ</w:t>
      </w:r>
      <w:r w:rsidR="00EE6DBA" w:rsidRPr="00282AC9">
        <w:rPr>
          <w:rFonts w:hint="cs"/>
          <w:sz w:val="27"/>
          <w:rtl/>
        </w:rPr>
        <w:t>لاّ</w:t>
      </w:r>
      <w:r w:rsidRPr="00282AC9">
        <w:rPr>
          <w:rFonts w:hint="cs"/>
          <w:sz w:val="27"/>
          <w:rtl/>
        </w:rPr>
        <w:t xml:space="preserve"> لسقط عن الاعتبار</w:t>
      </w:r>
      <w:r w:rsidR="00BB6B03" w:rsidRPr="00282AC9">
        <w:rPr>
          <w:rFonts w:hint="cs"/>
          <w:sz w:val="27"/>
          <w:rtl/>
        </w:rPr>
        <w:t>.</w:t>
      </w:r>
      <w:r w:rsidRPr="00282AC9">
        <w:rPr>
          <w:rFonts w:hint="cs"/>
          <w:sz w:val="27"/>
          <w:rtl/>
        </w:rPr>
        <w:t xml:space="preserve"> وبيان ذلك:</w:t>
      </w:r>
    </w:p>
    <w:p w:rsidR="002C1D33" w:rsidRPr="00282AC9" w:rsidRDefault="00BB6B03" w:rsidP="00406DEB">
      <w:pPr>
        <w:rPr>
          <w:sz w:val="27"/>
          <w:rtl/>
        </w:rPr>
      </w:pPr>
      <w:r w:rsidRPr="00282AC9">
        <w:rPr>
          <w:rFonts w:hint="cs"/>
          <w:sz w:val="27"/>
          <w:rtl/>
        </w:rPr>
        <w:t>إن</w:t>
      </w:r>
      <w:r w:rsidR="002C1D33" w:rsidRPr="00282AC9">
        <w:rPr>
          <w:rFonts w:hint="cs"/>
          <w:sz w:val="27"/>
          <w:rtl/>
        </w:rPr>
        <w:t xml:space="preserve"> صدور الأثر الاتفاقيّ لو امتنع أن يكون دائمي</w:t>
      </w:r>
      <w:r w:rsidRPr="00282AC9">
        <w:rPr>
          <w:rFonts w:hint="cs"/>
          <w:sz w:val="27"/>
          <w:rtl/>
        </w:rPr>
        <w:t>ّ</w:t>
      </w:r>
      <w:r w:rsidR="002C1D33" w:rsidRPr="00282AC9">
        <w:rPr>
          <w:rFonts w:hint="cs"/>
          <w:sz w:val="27"/>
          <w:rtl/>
        </w:rPr>
        <w:t>اً أو أكثري</w:t>
      </w:r>
      <w:r w:rsidRPr="00282AC9">
        <w:rPr>
          <w:rFonts w:hint="cs"/>
          <w:sz w:val="27"/>
          <w:rtl/>
        </w:rPr>
        <w:t>ّ</w:t>
      </w:r>
      <w:r w:rsidR="002C1D33" w:rsidRPr="00282AC9">
        <w:rPr>
          <w:rFonts w:hint="cs"/>
          <w:sz w:val="27"/>
          <w:rtl/>
        </w:rPr>
        <w:t>اً ـ كما ذهب الحكماء بحكم العقل الأوّليّ</w:t>
      </w:r>
      <w:r w:rsidRPr="00282AC9">
        <w:rPr>
          <w:rFonts w:hint="cs"/>
          <w:sz w:val="27"/>
          <w:rtl/>
        </w:rPr>
        <w:t>،</w:t>
      </w:r>
      <w:r w:rsidR="002C1D33" w:rsidRPr="00282AC9">
        <w:rPr>
          <w:rFonts w:hint="cs"/>
          <w:sz w:val="27"/>
          <w:rtl/>
        </w:rPr>
        <w:t xml:space="preserve"> كما أش</w:t>
      </w:r>
      <w:r w:rsidRPr="00282AC9">
        <w:rPr>
          <w:rFonts w:hint="cs"/>
          <w:sz w:val="27"/>
          <w:rtl/>
        </w:rPr>
        <w:t>َ</w:t>
      </w:r>
      <w:r w:rsidR="002C1D33" w:rsidRPr="00282AC9">
        <w:rPr>
          <w:rFonts w:hint="cs"/>
          <w:sz w:val="27"/>
          <w:rtl/>
        </w:rPr>
        <w:t>ر</w:t>
      </w:r>
      <w:r w:rsidRPr="00282AC9">
        <w:rPr>
          <w:rFonts w:hint="cs"/>
          <w:sz w:val="27"/>
          <w:rtl/>
        </w:rPr>
        <w:t>ْ</w:t>
      </w:r>
      <w:r w:rsidR="002C1D33" w:rsidRPr="00282AC9">
        <w:rPr>
          <w:rFonts w:hint="cs"/>
          <w:sz w:val="27"/>
          <w:rtl/>
        </w:rPr>
        <w:t>نا ـ  فهو المطلوب</w:t>
      </w:r>
      <w:r w:rsidRPr="00282AC9">
        <w:rPr>
          <w:rFonts w:hint="cs"/>
          <w:sz w:val="27"/>
          <w:rtl/>
        </w:rPr>
        <w:t>؛</w:t>
      </w:r>
      <w:r w:rsidR="002C1D33" w:rsidRPr="00282AC9">
        <w:rPr>
          <w:rFonts w:hint="cs"/>
          <w:sz w:val="27"/>
          <w:rtl/>
        </w:rPr>
        <w:t xml:space="preserve"> وإن</w:t>
      </w:r>
      <w:r w:rsidRPr="00282AC9">
        <w:rPr>
          <w:rFonts w:hint="cs"/>
          <w:sz w:val="27"/>
          <w:rtl/>
        </w:rPr>
        <w:t>ْ</w:t>
      </w:r>
      <w:r w:rsidR="002C1D33" w:rsidRPr="00282AC9">
        <w:rPr>
          <w:rFonts w:hint="cs"/>
          <w:sz w:val="27"/>
          <w:rtl/>
        </w:rPr>
        <w:t xml:space="preserve"> أمكن أن يكون الأثر الاتفاقيّ أكثري</w:t>
      </w:r>
      <w:r w:rsidRPr="00282AC9">
        <w:rPr>
          <w:rFonts w:hint="cs"/>
          <w:sz w:val="27"/>
          <w:rtl/>
        </w:rPr>
        <w:t>ّ</w:t>
      </w:r>
      <w:r w:rsidR="002C1D33" w:rsidRPr="00282AC9">
        <w:rPr>
          <w:rFonts w:hint="cs"/>
          <w:sz w:val="27"/>
          <w:rtl/>
        </w:rPr>
        <w:t>اً في بادئ الأمر</w:t>
      </w:r>
      <w:r w:rsidRPr="00282AC9">
        <w:rPr>
          <w:rFonts w:hint="cs"/>
          <w:sz w:val="27"/>
          <w:rtl/>
        </w:rPr>
        <w:t>،</w:t>
      </w:r>
      <w:r w:rsidR="002C1D33" w:rsidRPr="00282AC9">
        <w:rPr>
          <w:rFonts w:hint="cs"/>
          <w:sz w:val="27"/>
          <w:rtl/>
        </w:rPr>
        <w:t xml:space="preserve"> بح</w:t>
      </w:r>
      <w:r w:rsidRPr="00282AC9">
        <w:rPr>
          <w:rFonts w:hint="cs"/>
          <w:sz w:val="27"/>
          <w:rtl/>
        </w:rPr>
        <w:t>َ</w:t>
      </w:r>
      <w:r w:rsidR="002C1D33" w:rsidRPr="00282AC9">
        <w:rPr>
          <w:rFonts w:hint="cs"/>
          <w:sz w:val="27"/>
          <w:rtl/>
        </w:rPr>
        <w:t>س</w:t>
      </w:r>
      <w:r w:rsidRPr="00282AC9">
        <w:rPr>
          <w:rFonts w:hint="cs"/>
          <w:sz w:val="27"/>
          <w:rtl/>
        </w:rPr>
        <w:t>َ</w:t>
      </w:r>
      <w:r w:rsidR="002C1D33" w:rsidRPr="00282AC9">
        <w:rPr>
          <w:rFonts w:hint="cs"/>
          <w:sz w:val="27"/>
          <w:rtl/>
        </w:rPr>
        <w:t>ب ما افترض المدّ</w:t>
      </w:r>
      <w:r w:rsidRPr="00282AC9">
        <w:rPr>
          <w:rFonts w:hint="cs"/>
          <w:sz w:val="27"/>
          <w:rtl/>
        </w:rPr>
        <w:t>َ</w:t>
      </w:r>
      <w:r w:rsidR="002C1D33" w:rsidRPr="00282AC9">
        <w:rPr>
          <w:rFonts w:hint="cs"/>
          <w:sz w:val="27"/>
          <w:rtl/>
        </w:rPr>
        <w:t>عي، فلا يمكن أن تتضاءل نسبة احتمال الصدفة مع تكرّ</w:t>
      </w:r>
      <w:r w:rsidRPr="00282AC9">
        <w:rPr>
          <w:rFonts w:hint="cs"/>
          <w:sz w:val="27"/>
          <w:rtl/>
        </w:rPr>
        <w:t>ُ</w:t>
      </w:r>
      <w:r w:rsidR="002C1D33" w:rsidRPr="00282AC9">
        <w:rPr>
          <w:rFonts w:hint="cs"/>
          <w:sz w:val="27"/>
          <w:rtl/>
        </w:rPr>
        <w:t>ر صدور الأثر عن المؤث</w:t>
      </w:r>
      <w:r w:rsidRPr="00282AC9">
        <w:rPr>
          <w:rFonts w:hint="cs"/>
          <w:sz w:val="27"/>
          <w:rtl/>
        </w:rPr>
        <w:t>ِّر؛ لأن</w:t>
      </w:r>
      <w:r w:rsidR="002C1D33" w:rsidRPr="00282AC9">
        <w:rPr>
          <w:rFonts w:hint="cs"/>
          <w:sz w:val="27"/>
          <w:rtl/>
        </w:rPr>
        <w:t xml:space="preserve"> الصدفة يمكن أن تكون أكثريّة</w:t>
      </w:r>
      <w:r w:rsidRPr="00282AC9">
        <w:rPr>
          <w:rFonts w:hint="cs"/>
          <w:sz w:val="27"/>
          <w:rtl/>
        </w:rPr>
        <w:t>ً</w:t>
      </w:r>
      <w:r w:rsidR="002C1D33" w:rsidRPr="00282AC9">
        <w:rPr>
          <w:rFonts w:hint="cs"/>
          <w:sz w:val="27"/>
          <w:rtl/>
        </w:rPr>
        <w:t xml:space="preserve"> بح</w:t>
      </w:r>
      <w:r w:rsidRPr="00282AC9">
        <w:rPr>
          <w:rFonts w:hint="cs"/>
          <w:sz w:val="27"/>
          <w:rtl/>
        </w:rPr>
        <w:t>َ</w:t>
      </w:r>
      <w:r w:rsidR="002C1D33" w:rsidRPr="00282AC9">
        <w:rPr>
          <w:rFonts w:hint="cs"/>
          <w:sz w:val="27"/>
          <w:rtl/>
        </w:rPr>
        <w:t>س</w:t>
      </w:r>
      <w:r w:rsidRPr="00282AC9">
        <w:rPr>
          <w:rFonts w:hint="cs"/>
          <w:sz w:val="27"/>
          <w:rtl/>
        </w:rPr>
        <w:t>َ</w:t>
      </w:r>
      <w:r w:rsidR="002C1D33" w:rsidRPr="00282AC9">
        <w:rPr>
          <w:rFonts w:hint="cs"/>
          <w:sz w:val="27"/>
          <w:rtl/>
        </w:rPr>
        <w:t xml:space="preserve">ب الفرض عنده، أو بعبارةٍ أخرى: لا يمكن مع </w:t>
      </w:r>
      <w:r w:rsidRPr="00282AC9">
        <w:rPr>
          <w:rFonts w:hint="cs"/>
          <w:sz w:val="27"/>
          <w:rtl/>
        </w:rPr>
        <w:t>إنكار بداهة هذه القاعدة العقليّ</w:t>
      </w:r>
      <w:r w:rsidR="002C1D33" w:rsidRPr="00282AC9">
        <w:rPr>
          <w:rFonts w:hint="cs"/>
          <w:sz w:val="27"/>
          <w:rtl/>
        </w:rPr>
        <w:t xml:space="preserve">ة </w:t>
      </w:r>
      <w:r w:rsidRPr="00282AC9">
        <w:rPr>
          <w:rFonts w:hint="cs"/>
          <w:sz w:val="27"/>
          <w:rtl/>
        </w:rPr>
        <w:t>إ</w:t>
      </w:r>
      <w:r w:rsidR="002C1D33" w:rsidRPr="00282AC9">
        <w:rPr>
          <w:rFonts w:hint="cs"/>
          <w:sz w:val="27"/>
          <w:rtl/>
        </w:rPr>
        <w:t>ثبات ذاتيّة المؤث</w:t>
      </w:r>
      <w:r w:rsidRPr="00282AC9">
        <w:rPr>
          <w:rFonts w:hint="cs"/>
          <w:sz w:val="27"/>
          <w:rtl/>
        </w:rPr>
        <w:t>ِّ</w:t>
      </w:r>
      <w:r w:rsidR="002C1D33" w:rsidRPr="00282AC9">
        <w:rPr>
          <w:rFonts w:hint="cs"/>
          <w:sz w:val="27"/>
          <w:rtl/>
        </w:rPr>
        <w:t>ر للأثر</w:t>
      </w:r>
      <w:r w:rsidRPr="00282AC9">
        <w:rPr>
          <w:rFonts w:hint="cs"/>
          <w:sz w:val="27"/>
          <w:rtl/>
        </w:rPr>
        <w:t>؛</w:t>
      </w:r>
      <w:r w:rsidR="002C1D33" w:rsidRPr="00282AC9">
        <w:rPr>
          <w:rFonts w:hint="cs"/>
          <w:sz w:val="27"/>
          <w:rtl/>
        </w:rPr>
        <w:t xml:space="preserve"> لتكرار لزومه له؛ لاحتمال وجود سبب</w:t>
      </w:r>
      <w:r w:rsidRPr="00282AC9">
        <w:rPr>
          <w:rFonts w:hint="cs"/>
          <w:sz w:val="27"/>
          <w:rtl/>
        </w:rPr>
        <w:t>ٍ</w:t>
      </w:r>
      <w:r w:rsidR="002C1D33" w:rsidRPr="00282AC9">
        <w:rPr>
          <w:rFonts w:hint="cs"/>
          <w:sz w:val="27"/>
          <w:rtl/>
        </w:rPr>
        <w:t xml:space="preserve"> ع</w:t>
      </w:r>
      <w:r w:rsidRPr="00282AC9">
        <w:rPr>
          <w:rFonts w:hint="cs"/>
          <w:sz w:val="27"/>
          <w:rtl/>
        </w:rPr>
        <w:t>َ</w:t>
      </w:r>
      <w:r w:rsidR="002C1D33" w:rsidRPr="00282AC9">
        <w:rPr>
          <w:rFonts w:hint="cs"/>
          <w:sz w:val="27"/>
          <w:rtl/>
        </w:rPr>
        <w:t>ر</w:t>
      </w:r>
      <w:r w:rsidRPr="00282AC9">
        <w:rPr>
          <w:rFonts w:hint="cs"/>
          <w:sz w:val="27"/>
          <w:rtl/>
        </w:rPr>
        <w:t>َ</w:t>
      </w:r>
      <w:r w:rsidR="002C1D33" w:rsidRPr="00282AC9">
        <w:rPr>
          <w:rFonts w:hint="cs"/>
          <w:sz w:val="27"/>
          <w:rtl/>
        </w:rPr>
        <w:t>ضيّ لازم للمؤث</w:t>
      </w:r>
      <w:r w:rsidRPr="00282AC9">
        <w:rPr>
          <w:rFonts w:hint="cs"/>
          <w:sz w:val="27"/>
          <w:rtl/>
        </w:rPr>
        <w:t>ِّ</w:t>
      </w:r>
      <w:r w:rsidR="002C1D33" w:rsidRPr="00282AC9">
        <w:rPr>
          <w:rFonts w:hint="cs"/>
          <w:sz w:val="27"/>
          <w:rtl/>
        </w:rPr>
        <w:t>ر، يؤث</w:t>
      </w:r>
      <w:r w:rsidRPr="00282AC9">
        <w:rPr>
          <w:rFonts w:hint="cs"/>
          <w:sz w:val="27"/>
          <w:rtl/>
        </w:rPr>
        <w:t>ِّ</w:t>
      </w:r>
      <w:r w:rsidR="002C1D33" w:rsidRPr="00282AC9">
        <w:rPr>
          <w:rFonts w:hint="cs"/>
          <w:sz w:val="27"/>
          <w:rtl/>
        </w:rPr>
        <w:t>ر في صدور الأثر عنه</w:t>
      </w:r>
      <w:r w:rsidRPr="00282AC9">
        <w:rPr>
          <w:rFonts w:hint="cs"/>
          <w:sz w:val="24"/>
          <w:szCs w:val="24"/>
          <w:rtl/>
        </w:rPr>
        <w:t>»</w:t>
      </w:r>
      <w:r w:rsidR="002C1D33" w:rsidRPr="00282AC9">
        <w:rPr>
          <w:rFonts w:hint="cs"/>
          <w:sz w:val="27"/>
          <w:vertAlign w:val="superscript"/>
          <w:rtl/>
        </w:rPr>
        <w:t>(</w:t>
      </w:r>
      <w:r w:rsidR="002C1D33" w:rsidRPr="00282AC9">
        <w:rPr>
          <w:rStyle w:val="af9"/>
          <w:rFonts w:hint="cs"/>
          <w:sz w:val="27"/>
          <w:rtl/>
        </w:rPr>
        <w:endnoteReference w:id="1018"/>
      </w:r>
      <w:r w:rsidR="002C1D33" w:rsidRPr="00282AC9">
        <w:rPr>
          <w:rFonts w:hint="cs"/>
          <w:sz w:val="27"/>
          <w:vertAlign w:val="superscript"/>
          <w:rtl/>
        </w:rPr>
        <w:t>)</w:t>
      </w:r>
      <w:r w:rsidR="002C1D33" w:rsidRPr="00282AC9">
        <w:rPr>
          <w:rFonts w:hint="cs"/>
          <w:sz w:val="27"/>
          <w:rtl/>
        </w:rPr>
        <w:t>.</w:t>
      </w:r>
    </w:p>
    <w:p w:rsidR="00BF7317" w:rsidRPr="00282AC9" w:rsidRDefault="00BF7317" w:rsidP="00BF7317">
      <w:pPr>
        <w:spacing w:line="420" w:lineRule="exact"/>
        <w:rPr>
          <w:sz w:val="27"/>
          <w:rtl/>
        </w:rPr>
      </w:pPr>
    </w:p>
    <w:p w:rsidR="00896019" w:rsidRPr="00282AC9" w:rsidRDefault="00896019" w:rsidP="00715FC8">
      <w:pPr>
        <w:pStyle w:val="31"/>
        <w:rPr>
          <w:color w:val="auto"/>
          <w:rtl/>
        </w:rPr>
      </w:pPr>
      <w:r w:rsidRPr="00282AC9">
        <w:rPr>
          <w:rFonts w:hint="cs"/>
          <w:color w:val="auto"/>
          <w:rtl/>
        </w:rPr>
        <w:t>مناقشاتٌ وملاحظات</w:t>
      </w:r>
    </w:p>
    <w:p w:rsidR="002C1D33" w:rsidRPr="00282AC9" w:rsidRDefault="002C1D33" w:rsidP="00715FC8">
      <w:pPr>
        <w:rPr>
          <w:sz w:val="27"/>
          <w:rtl/>
        </w:rPr>
      </w:pPr>
      <w:r w:rsidRPr="00282AC9">
        <w:rPr>
          <w:rFonts w:hint="cs"/>
          <w:b/>
          <w:bCs/>
          <w:sz w:val="27"/>
          <w:rtl/>
        </w:rPr>
        <w:t>ونسجّ</w:t>
      </w:r>
      <w:r w:rsidR="00BB6B03" w:rsidRPr="00282AC9">
        <w:rPr>
          <w:rFonts w:hint="cs"/>
          <w:b/>
          <w:bCs/>
          <w:sz w:val="27"/>
          <w:rtl/>
        </w:rPr>
        <w:t>ِ</w:t>
      </w:r>
      <w:r w:rsidRPr="00282AC9">
        <w:rPr>
          <w:rFonts w:hint="cs"/>
          <w:b/>
          <w:bCs/>
          <w:sz w:val="27"/>
          <w:rtl/>
        </w:rPr>
        <w:t xml:space="preserve">ل عليه المناقشات </w:t>
      </w:r>
      <w:r w:rsidR="00BB6B03" w:rsidRPr="00282AC9">
        <w:rPr>
          <w:rFonts w:hint="cs"/>
          <w:b/>
          <w:bCs/>
          <w:sz w:val="27"/>
          <w:rtl/>
        </w:rPr>
        <w:t>التالية</w:t>
      </w:r>
      <w:r w:rsidRPr="00282AC9">
        <w:rPr>
          <w:rFonts w:hint="cs"/>
          <w:sz w:val="27"/>
          <w:rtl/>
        </w:rPr>
        <w:t>:</w:t>
      </w:r>
    </w:p>
    <w:p w:rsidR="002C1D33" w:rsidRPr="00282AC9" w:rsidRDefault="002C1D33" w:rsidP="00715FC8">
      <w:pPr>
        <w:rPr>
          <w:sz w:val="27"/>
          <w:rtl/>
        </w:rPr>
      </w:pPr>
      <w:r w:rsidRPr="00282AC9">
        <w:rPr>
          <w:rFonts w:hint="cs"/>
          <w:b/>
          <w:bCs/>
          <w:sz w:val="27"/>
          <w:rtl/>
        </w:rPr>
        <w:t>المناقشة الأولى</w:t>
      </w:r>
      <w:r w:rsidRPr="00282AC9">
        <w:rPr>
          <w:rFonts w:hint="cs"/>
          <w:sz w:val="27"/>
          <w:rtl/>
        </w:rPr>
        <w:t>: نحن لا نسلّ</w:t>
      </w:r>
      <w:r w:rsidR="00BB6B03" w:rsidRPr="00282AC9">
        <w:rPr>
          <w:rFonts w:hint="cs"/>
          <w:sz w:val="27"/>
          <w:rtl/>
        </w:rPr>
        <w:t>ِ</w:t>
      </w:r>
      <w:r w:rsidRPr="00282AC9">
        <w:rPr>
          <w:rFonts w:hint="cs"/>
          <w:sz w:val="27"/>
          <w:rtl/>
        </w:rPr>
        <w:t>م بالأصل في الجملة</w:t>
      </w:r>
      <w:r w:rsidR="00BB6B03" w:rsidRPr="00282AC9">
        <w:rPr>
          <w:rFonts w:hint="cs"/>
          <w:sz w:val="27"/>
          <w:rtl/>
        </w:rPr>
        <w:t>؛</w:t>
      </w:r>
      <w:r w:rsidRPr="00282AC9">
        <w:rPr>
          <w:rFonts w:hint="cs"/>
          <w:sz w:val="27"/>
          <w:rtl/>
        </w:rPr>
        <w:t xml:space="preserve"> إذ نحن نسلّ</w:t>
      </w:r>
      <w:r w:rsidR="00BB6B03" w:rsidRPr="00282AC9">
        <w:rPr>
          <w:rFonts w:hint="cs"/>
          <w:sz w:val="27"/>
          <w:rtl/>
        </w:rPr>
        <w:t>ِ</w:t>
      </w:r>
      <w:r w:rsidRPr="00282AC9">
        <w:rPr>
          <w:rFonts w:hint="cs"/>
          <w:sz w:val="27"/>
          <w:rtl/>
        </w:rPr>
        <w:t xml:space="preserve">م بأن </w:t>
      </w:r>
      <w:r w:rsidR="00BB6B03" w:rsidRPr="00282AC9">
        <w:rPr>
          <w:rFonts w:hint="cs"/>
          <w:sz w:val="27"/>
          <w:rtl/>
        </w:rPr>
        <w:t xml:space="preserve">أثر </w:t>
      </w:r>
      <w:r w:rsidRPr="00282AC9">
        <w:rPr>
          <w:rFonts w:hint="cs"/>
          <w:sz w:val="27"/>
          <w:rtl/>
        </w:rPr>
        <w:t>العلّة التامّة دائميّ</w:t>
      </w:r>
      <w:r w:rsidR="00BB6B03" w:rsidRPr="00282AC9">
        <w:rPr>
          <w:rFonts w:hint="cs"/>
          <w:sz w:val="27"/>
          <w:rtl/>
        </w:rPr>
        <w:t>ٌ</w:t>
      </w:r>
      <w:r w:rsidRPr="00282AC9">
        <w:rPr>
          <w:rFonts w:hint="cs"/>
          <w:sz w:val="27"/>
          <w:rtl/>
        </w:rPr>
        <w:t xml:space="preserve"> بالضرورة، لكن</w:t>
      </w:r>
      <w:r w:rsidR="00BB6B03" w:rsidRPr="00282AC9">
        <w:rPr>
          <w:rFonts w:hint="cs"/>
          <w:sz w:val="27"/>
          <w:rtl/>
        </w:rPr>
        <w:t>ْ</w:t>
      </w:r>
      <w:r w:rsidRPr="00282AC9">
        <w:rPr>
          <w:rFonts w:hint="cs"/>
          <w:sz w:val="27"/>
          <w:rtl/>
        </w:rPr>
        <w:t xml:space="preserve"> لا نسلّ</w:t>
      </w:r>
      <w:r w:rsidR="00BB6B03" w:rsidRPr="00282AC9">
        <w:rPr>
          <w:rFonts w:hint="cs"/>
          <w:sz w:val="27"/>
          <w:rtl/>
        </w:rPr>
        <w:t>ِ</w:t>
      </w:r>
      <w:r w:rsidRPr="00282AC9">
        <w:rPr>
          <w:rFonts w:hint="cs"/>
          <w:sz w:val="27"/>
          <w:rtl/>
        </w:rPr>
        <w:t xml:space="preserve">م بأن </w:t>
      </w:r>
      <w:r w:rsidR="00D4172D" w:rsidRPr="00282AC9">
        <w:rPr>
          <w:rFonts w:hint="cs"/>
          <w:sz w:val="27"/>
          <w:rtl/>
        </w:rPr>
        <w:t xml:space="preserve">أثر </w:t>
      </w:r>
      <w:r w:rsidRPr="00282AC9">
        <w:rPr>
          <w:rFonts w:hint="cs"/>
          <w:sz w:val="27"/>
          <w:rtl/>
        </w:rPr>
        <w:t>العلّة الناق</w:t>
      </w:r>
      <w:r w:rsidR="00D4172D" w:rsidRPr="00282AC9">
        <w:rPr>
          <w:rFonts w:hint="cs"/>
          <w:sz w:val="27"/>
          <w:rtl/>
        </w:rPr>
        <w:t>ص</w:t>
      </w:r>
      <w:r w:rsidRPr="00282AC9">
        <w:rPr>
          <w:rFonts w:hint="cs"/>
          <w:sz w:val="27"/>
          <w:rtl/>
        </w:rPr>
        <w:t>ة أكثريّ</w:t>
      </w:r>
      <w:r w:rsidR="00D4172D" w:rsidRPr="00282AC9">
        <w:rPr>
          <w:rFonts w:hint="cs"/>
          <w:sz w:val="27"/>
          <w:rtl/>
        </w:rPr>
        <w:t>ٌ</w:t>
      </w:r>
      <w:r w:rsidRPr="00282AC9">
        <w:rPr>
          <w:rFonts w:hint="cs"/>
          <w:sz w:val="27"/>
          <w:rtl/>
        </w:rPr>
        <w:t xml:space="preserve"> بالضرورة</w:t>
      </w:r>
      <w:r w:rsidR="00D4172D" w:rsidRPr="00282AC9">
        <w:rPr>
          <w:rFonts w:hint="cs"/>
          <w:sz w:val="27"/>
          <w:rtl/>
        </w:rPr>
        <w:t>؛</w:t>
      </w:r>
      <w:r w:rsidRPr="00282AC9">
        <w:rPr>
          <w:rFonts w:hint="cs"/>
          <w:sz w:val="27"/>
          <w:rtl/>
        </w:rPr>
        <w:t xml:space="preserve"> حيث إن المحذور هو اجتماع النقيضين من خلال اجتماع المقتضي وعدمه، وهذا المحذور يستوجب ضرورة صدور الأثر عن علّته، وهذا يتحقّ</w:t>
      </w:r>
      <w:r w:rsidR="00D4172D" w:rsidRPr="00282AC9">
        <w:rPr>
          <w:rFonts w:hint="cs"/>
          <w:sz w:val="27"/>
          <w:rtl/>
        </w:rPr>
        <w:t>َ</w:t>
      </w:r>
      <w:r w:rsidRPr="00282AC9">
        <w:rPr>
          <w:rFonts w:hint="cs"/>
          <w:sz w:val="27"/>
          <w:rtl/>
        </w:rPr>
        <w:t xml:space="preserve">ق </w:t>
      </w:r>
      <w:r w:rsidR="00D4172D" w:rsidRPr="00282AC9">
        <w:rPr>
          <w:rFonts w:hint="cs"/>
          <w:sz w:val="27"/>
          <w:rtl/>
        </w:rPr>
        <w:t>و</w:t>
      </w:r>
      <w:r w:rsidRPr="00282AC9">
        <w:rPr>
          <w:rFonts w:hint="cs"/>
          <w:sz w:val="27"/>
          <w:rtl/>
        </w:rPr>
        <w:t>لو لمرّة</w:t>
      </w:r>
      <w:r w:rsidR="00D4172D" w:rsidRPr="00282AC9">
        <w:rPr>
          <w:rFonts w:hint="cs"/>
          <w:sz w:val="27"/>
          <w:rtl/>
        </w:rPr>
        <w:t>ٍ</w:t>
      </w:r>
      <w:r w:rsidRPr="00282AC9">
        <w:rPr>
          <w:rFonts w:hint="cs"/>
          <w:sz w:val="27"/>
          <w:rtl/>
        </w:rPr>
        <w:t xml:space="preserve"> واحدة</w:t>
      </w:r>
      <w:r w:rsidR="00D4172D" w:rsidRPr="00282AC9">
        <w:rPr>
          <w:rFonts w:hint="cs"/>
          <w:sz w:val="27"/>
          <w:rtl/>
        </w:rPr>
        <w:t>.</w:t>
      </w:r>
      <w:r w:rsidRPr="00282AC9">
        <w:rPr>
          <w:rFonts w:hint="cs"/>
          <w:sz w:val="27"/>
          <w:rtl/>
        </w:rPr>
        <w:t xml:space="preserve"> وعليه فالعلّة الناقصة بالضرورة يصدر عنها مرّة</w:t>
      </w:r>
      <w:r w:rsidR="00D4172D" w:rsidRPr="00282AC9">
        <w:rPr>
          <w:rFonts w:hint="cs"/>
          <w:sz w:val="27"/>
          <w:rtl/>
        </w:rPr>
        <w:t>ً</w:t>
      </w:r>
      <w:r w:rsidRPr="00282AC9">
        <w:rPr>
          <w:rFonts w:hint="cs"/>
          <w:sz w:val="27"/>
          <w:rtl/>
        </w:rPr>
        <w:t xml:space="preserve"> واحدة، وما عداه فهو ممكن</w:t>
      </w:r>
      <w:r w:rsidR="00D4172D" w:rsidRPr="00282AC9">
        <w:rPr>
          <w:rFonts w:hint="cs"/>
          <w:sz w:val="27"/>
          <w:rtl/>
        </w:rPr>
        <w:t>ٌ؛</w:t>
      </w:r>
      <w:r w:rsidRPr="00282AC9">
        <w:rPr>
          <w:rFonts w:hint="cs"/>
          <w:sz w:val="27"/>
          <w:rtl/>
        </w:rPr>
        <w:t xml:space="preserve"> قد يصدر</w:t>
      </w:r>
      <w:r w:rsidR="00D4172D" w:rsidRPr="00282AC9">
        <w:rPr>
          <w:rFonts w:hint="cs"/>
          <w:sz w:val="27"/>
          <w:rtl/>
        </w:rPr>
        <w:t>؛</w:t>
      </w:r>
      <w:r w:rsidRPr="00282AC9">
        <w:rPr>
          <w:rFonts w:hint="cs"/>
          <w:sz w:val="27"/>
          <w:rtl/>
        </w:rPr>
        <w:t xml:space="preserve"> وقد لا يصدر</w:t>
      </w:r>
      <w:r w:rsidR="00D4172D" w:rsidRPr="00282AC9">
        <w:rPr>
          <w:rFonts w:hint="cs"/>
          <w:sz w:val="27"/>
          <w:rtl/>
        </w:rPr>
        <w:t>.</w:t>
      </w:r>
      <w:r w:rsidRPr="00282AC9">
        <w:rPr>
          <w:rFonts w:hint="cs"/>
          <w:sz w:val="27"/>
          <w:rtl/>
        </w:rPr>
        <w:t xml:space="preserve"> ومن هذا يكون الأصل كالتالي: </w:t>
      </w:r>
      <w:r w:rsidR="00D4172D" w:rsidRPr="00282AC9">
        <w:rPr>
          <w:rFonts w:hint="cs"/>
          <w:sz w:val="24"/>
          <w:szCs w:val="24"/>
          <w:rtl/>
        </w:rPr>
        <w:t>«</w:t>
      </w:r>
      <w:r w:rsidRPr="00282AC9">
        <w:rPr>
          <w:rFonts w:hint="cs"/>
          <w:sz w:val="27"/>
          <w:rtl/>
        </w:rPr>
        <w:t>كل</w:t>
      </w:r>
      <w:r w:rsidR="00D4172D" w:rsidRPr="00282AC9">
        <w:rPr>
          <w:rFonts w:hint="cs"/>
          <w:sz w:val="27"/>
          <w:rtl/>
        </w:rPr>
        <w:t>ّ</w:t>
      </w:r>
      <w:r w:rsidRPr="00282AC9">
        <w:rPr>
          <w:rFonts w:hint="cs"/>
          <w:sz w:val="27"/>
          <w:rtl/>
        </w:rPr>
        <w:t xml:space="preserve"> أثر</w:t>
      </w:r>
      <w:r w:rsidR="00D4172D" w:rsidRPr="00282AC9">
        <w:rPr>
          <w:rFonts w:hint="cs"/>
          <w:sz w:val="27"/>
          <w:rtl/>
        </w:rPr>
        <w:t>ٍ</w:t>
      </w:r>
      <w:r w:rsidRPr="00282AC9">
        <w:rPr>
          <w:rFonts w:hint="cs"/>
          <w:sz w:val="27"/>
          <w:rtl/>
        </w:rPr>
        <w:t xml:space="preserve"> يصدر دائميّاً</w:t>
      </w:r>
      <w:r w:rsidR="00D4172D" w:rsidRPr="00282AC9">
        <w:rPr>
          <w:rFonts w:hint="cs"/>
          <w:sz w:val="27"/>
          <w:rtl/>
        </w:rPr>
        <w:t>،</w:t>
      </w:r>
      <w:r w:rsidRPr="00282AC9">
        <w:rPr>
          <w:rFonts w:hint="cs"/>
          <w:sz w:val="27"/>
          <w:rtl/>
        </w:rPr>
        <w:t xml:space="preserve"> أو مرّة</w:t>
      </w:r>
      <w:r w:rsidR="00D4172D" w:rsidRPr="00282AC9">
        <w:rPr>
          <w:rFonts w:hint="cs"/>
          <w:sz w:val="27"/>
          <w:rtl/>
        </w:rPr>
        <w:t>ً</w:t>
      </w:r>
      <w:r w:rsidRPr="00282AC9">
        <w:rPr>
          <w:rFonts w:hint="cs"/>
          <w:sz w:val="27"/>
          <w:rtl/>
        </w:rPr>
        <w:t xml:space="preserve"> واحدة على الأقل</w:t>
      </w:r>
      <w:r w:rsidR="00D4172D" w:rsidRPr="00282AC9">
        <w:rPr>
          <w:rFonts w:hint="cs"/>
          <w:sz w:val="27"/>
          <w:rtl/>
        </w:rPr>
        <w:t>ّ</w:t>
      </w:r>
      <w:r w:rsidRPr="00282AC9">
        <w:rPr>
          <w:rFonts w:hint="cs"/>
          <w:sz w:val="27"/>
          <w:rtl/>
        </w:rPr>
        <w:t>، فهو لعلّة</w:t>
      </w:r>
      <w:r w:rsidR="00D4172D" w:rsidRPr="00282AC9">
        <w:rPr>
          <w:rFonts w:hint="cs"/>
          <w:sz w:val="27"/>
          <w:rtl/>
        </w:rPr>
        <w:t>ٍ</w:t>
      </w:r>
      <w:r w:rsidRPr="00282AC9">
        <w:rPr>
          <w:rFonts w:hint="cs"/>
          <w:sz w:val="27"/>
          <w:rtl/>
        </w:rPr>
        <w:t xml:space="preserve"> تامّة أو ناقصة</w:t>
      </w:r>
      <w:r w:rsidR="00D4172D" w:rsidRPr="00282AC9">
        <w:rPr>
          <w:rFonts w:hint="cs"/>
          <w:sz w:val="24"/>
          <w:szCs w:val="24"/>
          <w:rtl/>
        </w:rPr>
        <w:t>»</w:t>
      </w:r>
      <w:r w:rsidR="00D4172D" w:rsidRPr="00282AC9">
        <w:rPr>
          <w:rFonts w:hint="cs"/>
          <w:sz w:val="27"/>
          <w:rtl/>
        </w:rPr>
        <w:t>،</w:t>
      </w:r>
      <w:r w:rsidRPr="00282AC9">
        <w:rPr>
          <w:rFonts w:hint="cs"/>
          <w:sz w:val="27"/>
          <w:rtl/>
        </w:rPr>
        <w:t xml:space="preserve"> ويكون عكسه بعكس النقيض الموافق: </w:t>
      </w:r>
      <w:r w:rsidR="00D4172D" w:rsidRPr="00282AC9">
        <w:rPr>
          <w:rFonts w:hint="cs"/>
          <w:sz w:val="24"/>
          <w:szCs w:val="24"/>
          <w:rtl/>
        </w:rPr>
        <w:t>«</w:t>
      </w:r>
      <w:r w:rsidRPr="00282AC9">
        <w:rPr>
          <w:rFonts w:hint="cs"/>
          <w:sz w:val="27"/>
          <w:rtl/>
        </w:rPr>
        <w:t>كلّ ما ليس بعلّة</w:t>
      </w:r>
      <w:r w:rsidR="00D4172D" w:rsidRPr="00282AC9">
        <w:rPr>
          <w:rFonts w:hint="cs"/>
          <w:sz w:val="27"/>
          <w:rtl/>
        </w:rPr>
        <w:t>ٍ</w:t>
      </w:r>
      <w:r w:rsidRPr="00282AC9">
        <w:rPr>
          <w:rFonts w:hint="cs"/>
          <w:sz w:val="27"/>
          <w:rtl/>
        </w:rPr>
        <w:t xml:space="preserve"> تامّة أو ناقصة لا يصدر الأثر عنه دائمي</w:t>
      </w:r>
      <w:r w:rsidR="00D4172D" w:rsidRPr="00282AC9">
        <w:rPr>
          <w:rFonts w:hint="cs"/>
          <w:sz w:val="27"/>
          <w:rtl/>
        </w:rPr>
        <w:t>ّ</w:t>
      </w:r>
      <w:r w:rsidRPr="00282AC9">
        <w:rPr>
          <w:rFonts w:hint="cs"/>
          <w:sz w:val="27"/>
          <w:rtl/>
        </w:rPr>
        <w:t>اً</w:t>
      </w:r>
      <w:r w:rsidR="00D4172D" w:rsidRPr="00282AC9">
        <w:rPr>
          <w:rFonts w:hint="cs"/>
          <w:sz w:val="27"/>
          <w:rtl/>
        </w:rPr>
        <w:t>،</w:t>
      </w:r>
      <w:r w:rsidRPr="00282AC9">
        <w:rPr>
          <w:rFonts w:hint="cs"/>
          <w:sz w:val="27"/>
          <w:rtl/>
        </w:rPr>
        <w:t xml:space="preserve"> أو لمرّة</w:t>
      </w:r>
      <w:r w:rsidR="00D4172D" w:rsidRPr="00282AC9">
        <w:rPr>
          <w:rFonts w:hint="cs"/>
          <w:sz w:val="27"/>
          <w:rtl/>
        </w:rPr>
        <w:t>ٍ</w:t>
      </w:r>
      <w:r w:rsidRPr="00282AC9">
        <w:rPr>
          <w:rFonts w:hint="cs"/>
          <w:sz w:val="27"/>
          <w:rtl/>
        </w:rPr>
        <w:t xml:space="preserve"> واحدة على الأقل</w:t>
      </w:r>
      <w:r w:rsidR="00D4172D" w:rsidRPr="00282AC9">
        <w:rPr>
          <w:rFonts w:hint="cs"/>
          <w:sz w:val="27"/>
          <w:rtl/>
        </w:rPr>
        <w:t>ّ</w:t>
      </w:r>
      <w:r w:rsidR="00D4172D" w:rsidRPr="00282AC9">
        <w:rPr>
          <w:rFonts w:hint="cs"/>
          <w:sz w:val="24"/>
          <w:szCs w:val="24"/>
          <w:rtl/>
        </w:rPr>
        <w:t>»</w:t>
      </w:r>
      <w:r w:rsidR="00D4172D" w:rsidRPr="00282AC9">
        <w:rPr>
          <w:rFonts w:hint="cs"/>
          <w:sz w:val="27"/>
          <w:rtl/>
        </w:rPr>
        <w:t>.</w:t>
      </w:r>
      <w:r w:rsidRPr="00282AC9">
        <w:rPr>
          <w:rFonts w:hint="cs"/>
          <w:sz w:val="27"/>
          <w:rtl/>
        </w:rPr>
        <w:t xml:space="preserve"> وهذا لا يثبت استحالة صدور الأثر الاتفاقيّ أكثريّاً، وإنّما يثبت عدم ضرورة صدور الأثر الاتفاقيّ أكثريّاً، أيّ </w:t>
      </w:r>
      <w:r w:rsidR="00D4172D" w:rsidRPr="00282AC9">
        <w:rPr>
          <w:rFonts w:hint="cs"/>
          <w:sz w:val="27"/>
          <w:rtl/>
        </w:rPr>
        <w:t>إ</w:t>
      </w:r>
      <w:r w:rsidRPr="00282AC9">
        <w:rPr>
          <w:rFonts w:hint="cs"/>
          <w:sz w:val="27"/>
          <w:rtl/>
        </w:rPr>
        <w:t>نّ أكثريّة الاتفاقيّ ممكنةٌ</w:t>
      </w:r>
      <w:r w:rsidR="00D4172D" w:rsidRPr="00282AC9">
        <w:rPr>
          <w:rFonts w:hint="cs"/>
          <w:sz w:val="27"/>
          <w:rtl/>
        </w:rPr>
        <w:t>،</w:t>
      </w:r>
      <w:r w:rsidRPr="00282AC9">
        <w:rPr>
          <w:rFonts w:hint="cs"/>
          <w:sz w:val="27"/>
          <w:rtl/>
        </w:rPr>
        <w:t xml:space="preserve"> لا ضروريّةٌ</w:t>
      </w:r>
      <w:r w:rsidR="00D4172D" w:rsidRPr="00282AC9">
        <w:rPr>
          <w:rFonts w:hint="cs"/>
          <w:sz w:val="27"/>
          <w:rtl/>
        </w:rPr>
        <w:t>.</w:t>
      </w:r>
      <w:r w:rsidRPr="00282AC9">
        <w:rPr>
          <w:rFonts w:hint="cs"/>
          <w:sz w:val="27"/>
          <w:rtl/>
        </w:rPr>
        <w:t xml:space="preserve"> وهذا ما </w:t>
      </w:r>
      <w:r w:rsidR="00D4172D" w:rsidRPr="00282AC9">
        <w:rPr>
          <w:rFonts w:hint="cs"/>
          <w:sz w:val="27"/>
          <w:rtl/>
        </w:rPr>
        <w:t>ا</w:t>
      </w:r>
      <w:r w:rsidRPr="00282AC9">
        <w:rPr>
          <w:rFonts w:hint="cs"/>
          <w:sz w:val="27"/>
          <w:rtl/>
        </w:rPr>
        <w:t>دّعاه صاحب الأسس.</w:t>
      </w:r>
    </w:p>
    <w:p w:rsidR="00B41F00" w:rsidRPr="00282AC9" w:rsidRDefault="002C1D33" w:rsidP="00715FC8">
      <w:pPr>
        <w:rPr>
          <w:sz w:val="27"/>
          <w:rtl/>
        </w:rPr>
      </w:pPr>
      <w:r w:rsidRPr="00282AC9">
        <w:rPr>
          <w:rFonts w:hint="cs"/>
          <w:b/>
          <w:bCs/>
          <w:sz w:val="27"/>
          <w:rtl/>
        </w:rPr>
        <w:lastRenderedPageBreak/>
        <w:t>المناقشة الثانية</w:t>
      </w:r>
      <w:r w:rsidRPr="00282AC9">
        <w:rPr>
          <w:rFonts w:hint="cs"/>
          <w:sz w:val="27"/>
          <w:rtl/>
        </w:rPr>
        <w:t>: مركز النقاش هو في النسبة بين المحمول والموضوع في القضية</w:t>
      </w:r>
      <w:r w:rsidR="00D80417" w:rsidRPr="00282AC9">
        <w:rPr>
          <w:rFonts w:hint="cs"/>
          <w:sz w:val="27"/>
          <w:rtl/>
        </w:rPr>
        <w:t>:</w:t>
      </w:r>
      <w:r w:rsidRPr="00282AC9">
        <w:rPr>
          <w:rFonts w:hint="cs"/>
          <w:sz w:val="27"/>
          <w:rtl/>
        </w:rPr>
        <w:t xml:space="preserve"> </w:t>
      </w:r>
      <w:r w:rsidR="00D4172D" w:rsidRPr="00282AC9">
        <w:rPr>
          <w:rFonts w:hint="cs"/>
          <w:sz w:val="24"/>
          <w:szCs w:val="24"/>
          <w:rtl/>
        </w:rPr>
        <w:t>«</w:t>
      </w:r>
      <w:r w:rsidRPr="00282AC9">
        <w:rPr>
          <w:rFonts w:hint="cs"/>
          <w:sz w:val="27"/>
          <w:rtl/>
        </w:rPr>
        <w:t>الذاتيّ يكون دائميّاً أو أكثريّاً</w:t>
      </w:r>
      <w:r w:rsidR="00D4172D" w:rsidRPr="00282AC9">
        <w:rPr>
          <w:rFonts w:hint="cs"/>
          <w:sz w:val="24"/>
          <w:szCs w:val="24"/>
          <w:rtl/>
        </w:rPr>
        <w:t>»</w:t>
      </w:r>
      <w:r w:rsidR="00D4172D" w:rsidRPr="00282AC9">
        <w:rPr>
          <w:rFonts w:hint="cs"/>
          <w:sz w:val="27"/>
          <w:rtl/>
        </w:rPr>
        <w:t>؛</w:t>
      </w:r>
      <w:r w:rsidRPr="00282AC9">
        <w:rPr>
          <w:rFonts w:hint="cs"/>
          <w:sz w:val="27"/>
          <w:rtl/>
        </w:rPr>
        <w:t xml:space="preserve"> إذ النسبة هنا </w:t>
      </w:r>
      <w:r w:rsidR="00D80417" w:rsidRPr="00282AC9">
        <w:rPr>
          <w:rFonts w:hint="cs"/>
          <w:sz w:val="27"/>
          <w:rtl/>
        </w:rPr>
        <w:t>إ</w:t>
      </w:r>
      <w:r w:rsidRPr="00282AC9">
        <w:rPr>
          <w:rFonts w:hint="cs"/>
          <w:sz w:val="27"/>
          <w:rtl/>
        </w:rPr>
        <w:t>م</w:t>
      </w:r>
      <w:r w:rsidR="00D80417" w:rsidRPr="00282AC9">
        <w:rPr>
          <w:rFonts w:hint="cs"/>
          <w:sz w:val="27"/>
          <w:rtl/>
        </w:rPr>
        <w:t>ّ</w:t>
      </w:r>
      <w:r w:rsidRPr="00282AC9">
        <w:rPr>
          <w:rFonts w:hint="cs"/>
          <w:sz w:val="27"/>
          <w:rtl/>
        </w:rPr>
        <w:t>ا التساوي أو الأعمّ</w:t>
      </w:r>
      <w:r w:rsidR="00D80417" w:rsidRPr="00282AC9">
        <w:rPr>
          <w:rFonts w:hint="cs"/>
          <w:sz w:val="27"/>
          <w:rtl/>
        </w:rPr>
        <w:t>.</w:t>
      </w:r>
      <w:r w:rsidRPr="00282AC9">
        <w:rPr>
          <w:rFonts w:hint="cs"/>
          <w:sz w:val="27"/>
          <w:rtl/>
        </w:rPr>
        <w:t xml:space="preserve"> ومدّ</w:t>
      </w:r>
      <w:r w:rsidR="00D80417" w:rsidRPr="00282AC9">
        <w:rPr>
          <w:rFonts w:hint="cs"/>
          <w:sz w:val="27"/>
          <w:rtl/>
        </w:rPr>
        <w:t>َ</w:t>
      </w:r>
      <w:r w:rsidRPr="00282AC9">
        <w:rPr>
          <w:rFonts w:hint="cs"/>
          <w:sz w:val="27"/>
          <w:rtl/>
        </w:rPr>
        <w:t>عى الشيخ المصريّ يتمّ إذا ثبت أنّ النسبة هي التساوي</w:t>
      </w:r>
      <w:r w:rsidR="00D80417" w:rsidRPr="00282AC9">
        <w:rPr>
          <w:rFonts w:hint="cs"/>
          <w:sz w:val="27"/>
          <w:rtl/>
        </w:rPr>
        <w:t>.</w:t>
      </w:r>
      <w:r w:rsidRPr="00282AC9">
        <w:rPr>
          <w:rFonts w:hint="cs"/>
          <w:sz w:val="27"/>
          <w:rtl/>
        </w:rPr>
        <w:t xml:space="preserve"> وهذا غير ثابت</w:t>
      </w:r>
      <w:r w:rsidR="00D80417" w:rsidRPr="00282AC9">
        <w:rPr>
          <w:rFonts w:hint="cs"/>
          <w:sz w:val="27"/>
          <w:rtl/>
        </w:rPr>
        <w:t>ٍ؛</w:t>
      </w:r>
      <w:r w:rsidRPr="00282AC9">
        <w:rPr>
          <w:rFonts w:hint="cs"/>
          <w:sz w:val="27"/>
          <w:rtl/>
        </w:rPr>
        <w:t xml:space="preserve"> لأن قضية </w:t>
      </w:r>
      <w:r w:rsidR="00D80417" w:rsidRPr="00282AC9">
        <w:rPr>
          <w:rFonts w:hint="cs"/>
          <w:sz w:val="24"/>
          <w:szCs w:val="24"/>
          <w:rtl/>
        </w:rPr>
        <w:t>«</w:t>
      </w:r>
      <w:r w:rsidRPr="00282AC9">
        <w:rPr>
          <w:rFonts w:hint="cs"/>
          <w:sz w:val="27"/>
          <w:rtl/>
        </w:rPr>
        <w:t>الذاتيّ يكون دائميّاً أو أكثريّاً</w:t>
      </w:r>
      <w:r w:rsidR="00D80417" w:rsidRPr="00282AC9">
        <w:rPr>
          <w:rFonts w:hint="cs"/>
          <w:sz w:val="24"/>
          <w:szCs w:val="24"/>
          <w:rtl/>
        </w:rPr>
        <w:t>»</w:t>
      </w:r>
      <w:r w:rsidRPr="00282AC9">
        <w:rPr>
          <w:rFonts w:hint="cs"/>
          <w:sz w:val="27"/>
          <w:rtl/>
        </w:rPr>
        <w:t xml:space="preserve"> إذا عكسناها بعكس النقيض الموافق تنتج: </w:t>
      </w:r>
      <w:r w:rsidR="00D80417" w:rsidRPr="00282AC9">
        <w:rPr>
          <w:rFonts w:hint="cs"/>
          <w:sz w:val="24"/>
          <w:szCs w:val="24"/>
          <w:rtl/>
        </w:rPr>
        <w:t>«</w:t>
      </w:r>
      <w:r w:rsidRPr="00282AC9">
        <w:rPr>
          <w:rFonts w:hint="cs"/>
          <w:sz w:val="27"/>
          <w:rtl/>
        </w:rPr>
        <w:t>ما لا يكون دائميّاً ولا أكثريّاً لا يكون ذاتيّاً</w:t>
      </w:r>
      <w:r w:rsidR="00D80417" w:rsidRPr="00282AC9">
        <w:rPr>
          <w:rFonts w:hint="cs"/>
          <w:sz w:val="24"/>
          <w:szCs w:val="24"/>
          <w:rtl/>
        </w:rPr>
        <w:t>»</w:t>
      </w:r>
      <w:r w:rsidR="00D80417" w:rsidRPr="00282AC9">
        <w:rPr>
          <w:rFonts w:hint="cs"/>
          <w:sz w:val="27"/>
          <w:rtl/>
        </w:rPr>
        <w:t>،</w:t>
      </w:r>
      <w:r w:rsidRPr="00282AC9">
        <w:rPr>
          <w:rFonts w:hint="cs"/>
          <w:sz w:val="27"/>
          <w:rtl/>
        </w:rPr>
        <w:t xml:space="preserve"> وهذه القضية المعكوسة تثبت بأن رفع الموضوع</w:t>
      </w:r>
      <w:r w:rsidR="00D80417" w:rsidRPr="00282AC9">
        <w:rPr>
          <w:rFonts w:hint="cs"/>
          <w:sz w:val="27"/>
          <w:rtl/>
        </w:rPr>
        <w:t xml:space="preserve"> </w:t>
      </w:r>
      <w:r w:rsidRPr="00282AC9">
        <w:rPr>
          <w:rFonts w:hint="cs"/>
          <w:sz w:val="27"/>
          <w:rtl/>
        </w:rPr>
        <w:t>(الدوام) يرفع المحمول (الذاتيّ) فقط، وهذا يتحقّ</w:t>
      </w:r>
      <w:r w:rsidR="00D80417" w:rsidRPr="00282AC9">
        <w:rPr>
          <w:rFonts w:hint="cs"/>
          <w:sz w:val="27"/>
          <w:rtl/>
        </w:rPr>
        <w:t>َ</w:t>
      </w:r>
      <w:r w:rsidRPr="00282AC9">
        <w:rPr>
          <w:rFonts w:hint="cs"/>
          <w:sz w:val="27"/>
          <w:rtl/>
        </w:rPr>
        <w:t>ق سواء كانت النسبة بينهما التساوي أو الأعمّ</w:t>
      </w:r>
      <w:r w:rsidR="00D80417" w:rsidRPr="00282AC9">
        <w:rPr>
          <w:rFonts w:hint="cs"/>
          <w:sz w:val="27"/>
          <w:rtl/>
        </w:rPr>
        <w:t>ِي</w:t>
      </w:r>
      <w:r w:rsidRPr="00282AC9">
        <w:rPr>
          <w:rFonts w:hint="cs"/>
          <w:sz w:val="27"/>
          <w:rtl/>
        </w:rPr>
        <w:t>ة، فهي من قبيل</w:t>
      </w:r>
      <w:r w:rsidR="00D80417" w:rsidRPr="00282AC9">
        <w:rPr>
          <w:rFonts w:hint="cs"/>
          <w:sz w:val="27"/>
          <w:rtl/>
        </w:rPr>
        <w:t>:</w:t>
      </w:r>
      <w:r w:rsidRPr="00282AC9">
        <w:rPr>
          <w:rFonts w:hint="cs"/>
          <w:sz w:val="27"/>
          <w:rtl/>
        </w:rPr>
        <w:t xml:space="preserve"> القضية التالية:</w:t>
      </w:r>
      <w:r w:rsidR="00D80417" w:rsidRPr="00282AC9">
        <w:rPr>
          <w:rFonts w:hint="cs"/>
          <w:sz w:val="27"/>
          <w:rtl/>
        </w:rPr>
        <w:t xml:space="preserve"> </w:t>
      </w:r>
      <w:r w:rsidR="00D80417" w:rsidRPr="00282AC9">
        <w:rPr>
          <w:rFonts w:hint="cs"/>
          <w:sz w:val="24"/>
          <w:szCs w:val="24"/>
          <w:rtl/>
        </w:rPr>
        <w:t>«</w:t>
      </w:r>
      <w:r w:rsidRPr="00282AC9">
        <w:rPr>
          <w:rFonts w:hint="cs"/>
          <w:sz w:val="27"/>
          <w:rtl/>
        </w:rPr>
        <w:t>كلّ إنسان حيوان</w:t>
      </w:r>
      <w:r w:rsidR="00D80417" w:rsidRPr="00282AC9">
        <w:rPr>
          <w:rFonts w:hint="cs"/>
          <w:sz w:val="24"/>
          <w:szCs w:val="24"/>
          <w:rtl/>
        </w:rPr>
        <w:t>»</w:t>
      </w:r>
      <w:r w:rsidR="00D80417" w:rsidRPr="00282AC9">
        <w:rPr>
          <w:rFonts w:hint="cs"/>
          <w:sz w:val="27"/>
          <w:rtl/>
        </w:rPr>
        <w:t>،</w:t>
      </w:r>
      <w:r w:rsidRPr="00282AC9">
        <w:rPr>
          <w:rFonts w:hint="cs"/>
          <w:sz w:val="27"/>
          <w:rtl/>
        </w:rPr>
        <w:t xml:space="preserve"> إذا عكسناها بعكس النقيض الموافق تكون هكذا:</w:t>
      </w:r>
      <w:r w:rsidR="00D80417" w:rsidRPr="00282AC9">
        <w:rPr>
          <w:rFonts w:hint="cs"/>
          <w:sz w:val="27"/>
          <w:rtl/>
        </w:rPr>
        <w:t xml:space="preserve"> </w:t>
      </w:r>
      <w:r w:rsidR="00D80417" w:rsidRPr="00282AC9">
        <w:rPr>
          <w:rFonts w:hint="cs"/>
          <w:sz w:val="24"/>
          <w:szCs w:val="24"/>
          <w:rtl/>
        </w:rPr>
        <w:t>«</w:t>
      </w:r>
      <w:r w:rsidRPr="00282AC9">
        <w:rPr>
          <w:rFonts w:hint="cs"/>
          <w:sz w:val="27"/>
          <w:rtl/>
        </w:rPr>
        <w:t>كل</w:t>
      </w:r>
      <w:r w:rsidR="00D80417" w:rsidRPr="00282AC9">
        <w:rPr>
          <w:rFonts w:hint="cs"/>
          <w:sz w:val="27"/>
          <w:rtl/>
        </w:rPr>
        <w:t>ّ</w:t>
      </w:r>
      <w:r w:rsidRPr="00282AC9">
        <w:rPr>
          <w:rFonts w:hint="cs"/>
          <w:sz w:val="27"/>
          <w:rtl/>
        </w:rPr>
        <w:t xml:space="preserve"> لا حيوان لا إنسان</w:t>
      </w:r>
      <w:r w:rsidR="00D80417" w:rsidRPr="00282AC9">
        <w:rPr>
          <w:rFonts w:hint="cs"/>
          <w:sz w:val="24"/>
          <w:szCs w:val="24"/>
          <w:rtl/>
        </w:rPr>
        <w:t>»</w:t>
      </w:r>
      <w:r w:rsidR="00D80417" w:rsidRPr="00282AC9">
        <w:rPr>
          <w:rFonts w:hint="cs"/>
          <w:sz w:val="27"/>
          <w:rtl/>
        </w:rPr>
        <w:t>،</w:t>
      </w:r>
      <w:r w:rsidRPr="00282AC9">
        <w:rPr>
          <w:rFonts w:hint="cs"/>
          <w:sz w:val="27"/>
          <w:rtl/>
        </w:rPr>
        <w:t xml:space="preserve"> فهذا لا يثبت بأن النسبة بينهما هي التساوي بالضرورة، بل تثبت بأن رفع الحيوان يستلزم رفع الإنسان، وهذا يتحقّ</w:t>
      </w:r>
      <w:r w:rsidR="00D80417" w:rsidRPr="00282AC9">
        <w:rPr>
          <w:rFonts w:hint="cs"/>
          <w:sz w:val="27"/>
          <w:rtl/>
        </w:rPr>
        <w:t>َ</w:t>
      </w:r>
      <w:r w:rsidRPr="00282AC9">
        <w:rPr>
          <w:rFonts w:hint="cs"/>
          <w:sz w:val="27"/>
          <w:rtl/>
        </w:rPr>
        <w:t xml:space="preserve">ق سواء كان الحيوان أعمّ من الإنسان  ـ كما هو الحال هنا ـ </w:t>
      </w:r>
      <w:r w:rsidR="00B41F00" w:rsidRPr="00282AC9">
        <w:rPr>
          <w:rFonts w:hint="cs"/>
          <w:sz w:val="27"/>
          <w:rtl/>
        </w:rPr>
        <w:t xml:space="preserve"> أو يساويه.</w:t>
      </w:r>
    </w:p>
    <w:p w:rsidR="002C1D33" w:rsidRPr="00282AC9" w:rsidRDefault="002C1D33" w:rsidP="00715FC8">
      <w:pPr>
        <w:rPr>
          <w:sz w:val="27"/>
          <w:rtl/>
        </w:rPr>
      </w:pPr>
      <w:r w:rsidRPr="00282AC9">
        <w:rPr>
          <w:rFonts w:hint="cs"/>
          <w:sz w:val="27"/>
          <w:rtl/>
        </w:rPr>
        <w:t>ويدل</w:t>
      </w:r>
      <w:r w:rsidR="00B41F00" w:rsidRPr="00282AC9">
        <w:rPr>
          <w:rFonts w:hint="cs"/>
          <w:sz w:val="27"/>
          <w:rtl/>
        </w:rPr>
        <w:t>ّ</w:t>
      </w:r>
      <w:r w:rsidRPr="00282AC9">
        <w:rPr>
          <w:rFonts w:hint="cs"/>
          <w:sz w:val="27"/>
          <w:rtl/>
        </w:rPr>
        <w:t xml:space="preserve"> على كلامنا أيضاً بأنّنا إذا عكسنا الأصل </w:t>
      </w:r>
      <w:r w:rsidR="00B41F00" w:rsidRPr="00282AC9">
        <w:rPr>
          <w:rFonts w:hint="cs"/>
          <w:sz w:val="24"/>
          <w:szCs w:val="24"/>
          <w:rtl/>
        </w:rPr>
        <w:t>«</w:t>
      </w:r>
      <w:r w:rsidRPr="00282AC9">
        <w:rPr>
          <w:rFonts w:hint="cs"/>
          <w:sz w:val="27"/>
          <w:rtl/>
        </w:rPr>
        <w:t>الذاتي يكون دائميّاً أو أكثريّاً</w:t>
      </w:r>
      <w:r w:rsidR="00B41F00" w:rsidRPr="00282AC9">
        <w:rPr>
          <w:rFonts w:hint="cs"/>
          <w:sz w:val="24"/>
          <w:szCs w:val="24"/>
          <w:rtl/>
        </w:rPr>
        <w:t>»</w:t>
      </w:r>
      <w:r w:rsidRPr="00282AC9">
        <w:rPr>
          <w:rFonts w:hint="cs"/>
          <w:sz w:val="27"/>
          <w:rtl/>
        </w:rPr>
        <w:t xml:space="preserve"> ب</w:t>
      </w:r>
      <w:r w:rsidR="00B41F00" w:rsidRPr="00282AC9">
        <w:rPr>
          <w:rFonts w:hint="cs"/>
          <w:sz w:val="27"/>
          <w:rtl/>
        </w:rPr>
        <w:t>ال</w:t>
      </w:r>
      <w:r w:rsidRPr="00282AC9">
        <w:rPr>
          <w:rFonts w:hint="cs"/>
          <w:sz w:val="27"/>
          <w:rtl/>
        </w:rPr>
        <w:t xml:space="preserve">عكس المستوي لنتج: </w:t>
      </w:r>
      <w:r w:rsidR="00B41F00" w:rsidRPr="00282AC9">
        <w:rPr>
          <w:rFonts w:hint="cs"/>
          <w:sz w:val="24"/>
          <w:szCs w:val="24"/>
          <w:rtl/>
        </w:rPr>
        <w:t>«</w:t>
      </w:r>
      <w:r w:rsidRPr="00282AC9">
        <w:rPr>
          <w:rFonts w:hint="cs"/>
          <w:sz w:val="27"/>
          <w:rtl/>
        </w:rPr>
        <w:t>بعض الدائميّ والأكثريّ يكون ذاتيّاً</w:t>
      </w:r>
      <w:r w:rsidR="00B41F00" w:rsidRPr="00282AC9">
        <w:rPr>
          <w:rFonts w:hint="cs"/>
          <w:sz w:val="24"/>
          <w:szCs w:val="24"/>
          <w:rtl/>
        </w:rPr>
        <w:t>»</w:t>
      </w:r>
      <w:r w:rsidR="00B41F00" w:rsidRPr="00282AC9">
        <w:rPr>
          <w:rFonts w:hint="cs"/>
          <w:sz w:val="27"/>
          <w:rtl/>
        </w:rPr>
        <w:t>؛</w:t>
      </w:r>
      <w:r w:rsidRPr="00282AC9">
        <w:rPr>
          <w:rFonts w:hint="cs"/>
          <w:sz w:val="27"/>
          <w:rtl/>
        </w:rPr>
        <w:t xml:space="preserve"> لأن المحمول في الأصل قد يكون أعمّ من الموضوع، ولهذا تنعكس الموج</w:t>
      </w:r>
      <w:r w:rsidR="00B41F00" w:rsidRPr="00282AC9">
        <w:rPr>
          <w:rFonts w:hint="cs"/>
          <w:sz w:val="27"/>
          <w:rtl/>
        </w:rPr>
        <w:t>ب</w:t>
      </w:r>
      <w:r w:rsidRPr="00282AC9">
        <w:rPr>
          <w:rFonts w:hint="cs"/>
          <w:sz w:val="27"/>
          <w:rtl/>
        </w:rPr>
        <w:t>ة الكلّ</w:t>
      </w:r>
      <w:r w:rsidR="00B41F00" w:rsidRPr="00282AC9">
        <w:rPr>
          <w:rFonts w:hint="cs"/>
          <w:sz w:val="27"/>
          <w:rtl/>
        </w:rPr>
        <w:t>ِي</w:t>
      </w:r>
      <w:r w:rsidRPr="00282AC9">
        <w:rPr>
          <w:rFonts w:hint="cs"/>
          <w:sz w:val="27"/>
          <w:rtl/>
        </w:rPr>
        <w:t>ة موجبة</w:t>
      </w:r>
      <w:r w:rsidR="00B41F00" w:rsidRPr="00282AC9">
        <w:rPr>
          <w:rFonts w:hint="cs"/>
          <w:sz w:val="27"/>
          <w:rtl/>
        </w:rPr>
        <w:t>ً</w:t>
      </w:r>
      <w:r w:rsidRPr="00282AC9">
        <w:rPr>
          <w:rFonts w:hint="cs"/>
          <w:sz w:val="27"/>
          <w:rtl/>
        </w:rPr>
        <w:t xml:space="preserve"> جزئيّة</w:t>
      </w:r>
      <w:r w:rsidR="00B41F00" w:rsidRPr="00282AC9">
        <w:rPr>
          <w:rFonts w:hint="cs"/>
          <w:sz w:val="27"/>
          <w:rtl/>
        </w:rPr>
        <w:t>،</w:t>
      </w:r>
      <w:r w:rsidRPr="00282AC9">
        <w:rPr>
          <w:rFonts w:hint="cs"/>
          <w:sz w:val="27"/>
          <w:rtl/>
        </w:rPr>
        <w:t xml:space="preserve"> كما ذكر المناطقة</w:t>
      </w:r>
      <w:r w:rsidRPr="00282AC9">
        <w:rPr>
          <w:rFonts w:hint="cs"/>
          <w:sz w:val="27"/>
          <w:vertAlign w:val="superscript"/>
          <w:rtl/>
        </w:rPr>
        <w:t>(</w:t>
      </w:r>
      <w:r w:rsidRPr="00282AC9">
        <w:rPr>
          <w:rStyle w:val="af9"/>
          <w:rFonts w:hint="cs"/>
          <w:sz w:val="27"/>
          <w:rtl/>
        </w:rPr>
        <w:endnoteReference w:id="1019"/>
      </w:r>
      <w:r w:rsidRPr="00282AC9">
        <w:rPr>
          <w:rFonts w:hint="cs"/>
          <w:sz w:val="27"/>
          <w:vertAlign w:val="superscript"/>
          <w:rtl/>
        </w:rPr>
        <w:t>)</w:t>
      </w:r>
      <w:r w:rsidR="00B41F00" w:rsidRPr="00282AC9">
        <w:rPr>
          <w:rFonts w:hint="cs"/>
          <w:sz w:val="27"/>
          <w:rtl/>
        </w:rPr>
        <w:t>.</w:t>
      </w:r>
      <w:r w:rsidRPr="00282AC9">
        <w:rPr>
          <w:rFonts w:hint="cs"/>
          <w:sz w:val="27"/>
          <w:rtl/>
        </w:rPr>
        <w:t xml:space="preserve"> وعليه فالاتفاقيّ ممكن</w:t>
      </w:r>
      <w:r w:rsidR="00B41F00" w:rsidRPr="00282AC9">
        <w:rPr>
          <w:rFonts w:hint="cs"/>
          <w:sz w:val="27"/>
          <w:rtl/>
        </w:rPr>
        <w:t>ٌ</w:t>
      </w:r>
      <w:r w:rsidRPr="00282AC9">
        <w:rPr>
          <w:rFonts w:hint="cs"/>
          <w:sz w:val="27"/>
          <w:rtl/>
        </w:rPr>
        <w:t xml:space="preserve"> أن يتكرّ</w:t>
      </w:r>
      <w:r w:rsidR="00B41F00" w:rsidRPr="00282AC9">
        <w:rPr>
          <w:rFonts w:hint="cs"/>
          <w:sz w:val="27"/>
          <w:rtl/>
        </w:rPr>
        <w:t>َ</w:t>
      </w:r>
      <w:r w:rsidRPr="00282AC9">
        <w:rPr>
          <w:rFonts w:hint="cs"/>
          <w:sz w:val="27"/>
          <w:rtl/>
        </w:rPr>
        <w:t>ر دائميّاً</w:t>
      </w:r>
      <w:r w:rsidR="00B41F00" w:rsidRPr="00282AC9">
        <w:rPr>
          <w:rFonts w:hint="cs"/>
          <w:sz w:val="27"/>
          <w:rtl/>
        </w:rPr>
        <w:t>،</w:t>
      </w:r>
      <w:r w:rsidRPr="00282AC9">
        <w:rPr>
          <w:rFonts w:hint="cs"/>
          <w:sz w:val="27"/>
          <w:rtl/>
        </w:rPr>
        <w:t xml:space="preserve"> فضلاً عن أكثريّته</w:t>
      </w:r>
      <w:r w:rsidR="00B41F00" w:rsidRPr="00282AC9">
        <w:rPr>
          <w:rFonts w:hint="cs"/>
          <w:sz w:val="27"/>
          <w:rtl/>
        </w:rPr>
        <w:t>؛</w:t>
      </w:r>
      <w:r w:rsidRPr="00282AC9">
        <w:rPr>
          <w:rFonts w:hint="cs"/>
          <w:sz w:val="27"/>
          <w:rtl/>
        </w:rPr>
        <w:t xml:space="preserve"> بحكم العقل.</w:t>
      </w:r>
    </w:p>
    <w:p w:rsidR="00FC52FD" w:rsidRPr="00282AC9" w:rsidRDefault="002C1D33" w:rsidP="00CD708F">
      <w:pPr>
        <w:rPr>
          <w:sz w:val="27"/>
          <w:rtl/>
        </w:rPr>
      </w:pPr>
      <w:r w:rsidRPr="00282AC9">
        <w:rPr>
          <w:rFonts w:hint="cs"/>
          <w:b/>
          <w:bCs/>
          <w:sz w:val="27"/>
          <w:rtl/>
        </w:rPr>
        <w:t>المناقشة الثالثة</w:t>
      </w:r>
      <w:r w:rsidRPr="00282AC9">
        <w:rPr>
          <w:rFonts w:hint="cs"/>
          <w:sz w:val="27"/>
          <w:rtl/>
        </w:rPr>
        <w:t>: فسّ</w:t>
      </w:r>
      <w:r w:rsidR="00B41F00" w:rsidRPr="00282AC9">
        <w:rPr>
          <w:rFonts w:hint="cs"/>
          <w:sz w:val="27"/>
          <w:rtl/>
        </w:rPr>
        <w:t>َ</w:t>
      </w:r>
      <w:r w:rsidRPr="00282AC9">
        <w:rPr>
          <w:rFonts w:hint="cs"/>
          <w:sz w:val="27"/>
          <w:rtl/>
        </w:rPr>
        <w:t xml:space="preserve">ر </w:t>
      </w:r>
      <w:r w:rsidR="00CD708F">
        <w:rPr>
          <w:rFonts w:hint="cs"/>
          <w:sz w:val="27"/>
          <w:rtl/>
        </w:rPr>
        <w:t>الدكتور المصريّ</w:t>
      </w:r>
      <w:r w:rsidRPr="00282AC9">
        <w:rPr>
          <w:rFonts w:hint="cs"/>
          <w:sz w:val="27"/>
          <w:rtl/>
        </w:rPr>
        <w:t xml:space="preserve"> ـ في الوجه الثاني ـ الأثر الاتّفاقيّ بكونه الأثر الحاصل عن سبب</w:t>
      </w:r>
      <w:r w:rsidR="00B41F00" w:rsidRPr="00282AC9">
        <w:rPr>
          <w:rFonts w:hint="cs"/>
          <w:sz w:val="27"/>
          <w:rtl/>
        </w:rPr>
        <w:t>ٍ</w:t>
      </w:r>
      <w:r w:rsidRPr="00282AC9">
        <w:rPr>
          <w:rFonts w:hint="cs"/>
          <w:sz w:val="27"/>
          <w:rtl/>
        </w:rPr>
        <w:t xml:space="preserve"> أخصّ من طبيعة المؤث</w:t>
      </w:r>
      <w:r w:rsidR="00B41F00" w:rsidRPr="00282AC9">
        <w:rPr>
          <w:rFonts w:hint="cs"/>
          <w:sz w:val="27"/>
          <w:rtl/>
        </w:rPr>
        <w:t>ِّ</w:t>
      </w:r>
      <w:r w:rsidRPr="00282AC9">
        <w:rPr>
          <w:rFonts w:hint="cs"/>
          <w:sz w:val="27"/>
          <w:rtl/>
        </w:rPr>
        <w:t>ر</w:t>
      </w:r>
      <w:r w:rsidR="00B41F00" w:rsidRPr="00282AC9">
        <w:rPr>
          <w:rFonts w:hint="cs"/>
          <w:sz w:val="27"/>
          <w:rtl/>
        </w:rPr>
        <w:t>.</w:t>
      </w:r>
      <w:r w:rsidRPr="00282AC9">
        <w:rPr>
          <w:rFonts w:hint="cs"/>
          <w:sz w:val="27"/>
          <w:rtl/>
        </w:rPr>
        <w:t xml:space="preserve"> وهذا غير</w:t>
      </w:r>
      <w:r w:rsidR="00B41F00" w:rsidRPr="00282AC9">
        <w:rPr>
          <w:rFonts w:hint="cs"/>
          <w:sz w:val="27"/>
          <w:rtl/>
        </w:rPr>
        <w:t>ُ</w:t>
      </w:r>
      <w:r w:rsidRPr="00282AC9">
        <w:rPr>
          <w:rFonts w:hint="cs"/>
          <w:sz w:val="27"/>
          <w:rtl/>
        </w:rPr>
        <w:t xml:space="preserve"> تامّ</w:t>
      </w:r>
      <w:r w:rsidR="00B41F00" w:rsidRPr="00282AC9">
        <w:rPr>
          <w:rFonts w:hint="cs"/>
          <w:sz w:val="27"/>
          <w:rtl/>
        </w:rPr>
        <w:t>ٍ؛</w:t>
      </w:r>
      <w:r w:rsidRPr="00282AC9">
        <w:rPr>
          <w:rFonts w:hint="cs"/>
          <w:sz w:val="27"/>
          <w:rtl/>
        </w:rPr>
        <w:t xml:space="preserve"> لأن مع</w:t>
      </w:r>
      <w:r w:rsidR="00B41F00" w:rsidRPr="00282AC9">
        <w:rPr>
          <w:rFonts w:hint="cs"/>
          <w:sz w:val="27"/>
          <w:rtl/>
        </w:rPr>
        <w:t>نى الاتّ</w:t>
      </w:r>
      <w:r w:rsidRPr="00282AC9">
        <w:rPr>
          <w:rFonts w:hint="cs"/>
          <w:sz w:val="27"/>
          <w:rtl/>
        </w:rPr>
        <w:t>فاقيّ المبحوث هنا لم يؤخذ فيه الأخصّيّة، وإنما هي مورد البحث والنقاش</w:t>
      </w:r>
      <w:r w:rsidR="00B41F00" w:rsidRPr="00282AC9">
        <w:rPr>
          <w:rFonts w:hint="cs"/>
          <w:sz w:val="27"/>
          <w:rtl/>
        </w:rPr>
        <w:t>؛</w:t>
      </w:r>
      <w:r w:rsidRPr="00282AC9">
        <w:rPr>
          <w:rFonts w:hint="cs"/>
          <w:sz w:val="27"/>
          <w:rtl/>
        </w:rPr>
        <w:t xml:space="preserve"> إذ الاتفاقيّ هو ما يكون في </w:t>
      </w:r>
      <w:r w:rsidR="00EE6DBA" w:rsidRPr="00282AC9">
        <w:rPr>
          <w:rFonts w:hint="cs"/>
          <w:sz w:val="27"/>
          <w:rtl/>
        </w:rPr>
        <w:t>مقابل</w:t>
      </w:r>
      <w:r w:rsidRPr="00282AC9">
        <w:rPr>
          <w:rFonts w:hint="cs"/>
          <w:sz w:val="27"/>
          <w:rtl/>
        </w:rPr>
        <w:t xml:space="preserve"> </w:t>
      </w:r>
      <w:r w:rsidR="00C06BE6" w:rsidRPr="00282AC9">
        <w:rPr>
          <w:rFonts w:hint="cs"/>
          <w:sz w:val="27"/>
          <w:rtl/>
        </w:rPr>
        <w:t>الل</w:t>
      </w:r>
      <w:r w:rsidRPr="00282AC9">
        <w:rPr>
          <w:rFonts w:hint="cs"/>
          <w:sz w:val="27"/>
          <w:rtl/>
        </w:rPr>
        <w:t>زوم المنطقيّ والواقعيّ. فلنلاحظ ما ذكره</w:t>
      </w:r>
      <w:r w:rsidR="00696E7F" w:rsidRPr="00282AC9">
        <w:rPr>
          <w:rFonts w:hint="cs"/>
          <w:sz w:val="27"/>
          <w:rtl/>
        </w:rPr>
        <w:t xml:space="preserve"> السيّد الشهيد الصّدر بهذا الصد</w:t>
      </w:r>
      <w:r w:rsidRPr="00282AC9">
        <w:rPr>
          <w:rFonts w:hint="cs"/>
          <w:sz w:val="27"/>
          <w:rtl/>
        </w:rPr>
        <w:t>د في الأسس</w:t>
      </w:r>
      <w:r w:rsidR="00696E7F" w:rsidRPr="00282AC9">
        <w:rPr>
          <w:rFonts w:hint="cs"/>
          <w:sz w:val="27"/>
          <w:rtl/>
        </w:rPr>
        <w:t>، حيث يقول</w:t>
      </w:r>
      <w:r w:rsidRPr="00282AC9">
        <w:rPr>
          <w:rFonts w:hint="cs"/>
          <w:sz w:val="27"/>
          <w:rtl/>
        </w:rPr>
        <w:t xml:space="preserve">: </w:t>
      </w:r>
      <w:r w:rsidR="00696E7F" w:rsidRPr="00282AC9">
        <w:rPr>
          <w:rFonts w:hint="cs"/>
          <w:sz w:val="24"/>
          <w:szCs w:val="24"/>
          <w:rtl/>
        </w:rPr>
        <w:t>«</w:t>
      </w:r>
      <w:r w:rsidRPr="00282AC9">
        <w:rPr>
          <w:rFonts w:hint="cs"/>
          <w:sz w:val="27"/>
          <w:rtl/>
        </w:rPr>
        <w:t>إنّ الاتفاق بمعنى (الصدفة</w:t>
      </w:r>
      <w:r w:rsidR="00696E7F" w:rsidRPr="00282AC9">
        <w:rPr>
          <w:rFonts w:hint="cs"/>
          <w:sz w:val="27"/>
          <w:rtl/>
        </w:rPr>
        <w:t>)، والصدفة تعتبر نقطة مقابلة لل</w:t>
      </w:r>
      <w:r w:rsidR="00A6730E" w:rsidRPr="00282AC9">
        <w:rPr>
          <w:rFonts w:hint="cs"/>
          <w:sz w:val="27"/>
          <w:rtl/>
        </w:rPr>
        <w:t>ّ</w:t>
      </w:r>
      <w:r w:rsidRPr="00282AC9">
        <w:rPr>
          <w:rFonts w:hint="cs"/>
          <w:sz w:val="27"/>
          <w:rtl/>
        </w:rPr>
        <w:t>زوم، فإذا استط</w:t>
      </w:r>
      <w:r w:rsidR="00696E7F" w:rsidRPr="00282AC9">
        <w:rPr>
          <w:rFonts w:hint="cs"/>
          <w:sz w:val="27"/>
          <w:rtl/>
        </w:rPr>
        <w:t>َ</w:t>
      </w:r>
      <w:r w:rsidRPr="00282AC9">
        <w:rPr>
          <w:rFonts w:hint="cs"/>
          <w:sz w:val="27"/>
          <w:rtl/>
        </w:rPr>
        <w:t>ع</w:t>
      </w:r>
      <w:r w:rsidR="00696E7F" w:rsidRPr="00282AC9">
        <w:rPr>
          <w:rFonts w:hint="cs"/>
          <w:sz w:val="27"/>
          <w:rtl/>
        </w:rPr>
        <w:t>ْ</w:t>
      </w:r>
      <w:r w:rsidRPr="00282AC9">
        <w:rPr>
          <w:rFonts w:hint="cs"/>
          <w:sz w:val="27"/>
          <w:rtl/>
        </w:rPr>
        <w:t xml:space="preserve">نا أن نفهم معنى </w:t>
      </w:r>
      <w:r w:rsidR="00C06BE6" w:rsidRPr="00282AC9">
        <w:rPr>
          <w:rFonts w:hint="cs"/>
          <w:sz w:val="27"/>
          <w:rtl/>
        </w:rPr>
        <w:t>الل</w:t>
      </w:r>
      <w:r w:rsidRPr="00282AC9">
        <w:rPr>
          <w:rFonts w:hint="cs"/>
          <w:sz w:val="27"/>
          <w:rtl/>
        </w:rPr>
        <w:t>زوم أمكننا أن نحدّ</w:t>
      </w:r>
      <w:r w:rsidR="00696E7F" w:rsidRPr="00282AC9">
        <w:rPr>
          <w:rFonts w:hint="cs"/>
          <w:sz w:val="27"/>
          <w:rtl/>
        </w:rPr>
        <w:t>ِ</w:t>
      </w:r>
      <w:r w:rsidRPr="00282AC9">
        <w:rPr>
          <w:rFonts w:hint="cs"/>
          <w:sz w:val="27"/>
          <w:rtl/>
        </w:rPr>
        <w:t>د معنى ا</w:t>
      </w:r>
      <w:r w:rsidR="00696E7F" w:rsidRPr="00282AC9">
        <w:rPr>
          <w:rFonts w:hint="cs"/>
          <w:sz w:val="27"/>
          <w:rtl/>
        </w:rPr>
        <w:t>لصدفة، بوصفه المفهوم المقابل لل</w:t>
      </w:r>
      <w:r w:rsidR="00A6730E" w:rsidRPr="00282AC9">
        <w:rPr>
          <w:rFonts w:hint="cs"/>
          <w:sz w:val="27"/>
          <w:rtl/>
        </w:rPr>
        <w:t>ّ</w:t>
      </w:r>
      <w:r w:rsidRPr="00282AC9">
        <w:rPr>
          <w:rFonts w:hint="cs"/>
          <w:sz w:val="27"/>
          <w:rtl/>
        </w:rPr>
        <w:t>زوم</w:t>
      </w:r>
      <w:r w:rsidR="00696E7F" w:rsidRPr="00282AC9">
        <w:rPr>
          <w:rFonts w:hint="cs"/>
          <w:sz w:val="27"/>
          <w:rtl/>
        </w:rPr>
        <w:t>،</w:t>
      </w:r>
      <w:r w:rsidRPr="00282AC9">
        <w:rPr>
          <w:rFonts w:hint="cs"/>
          <w:sz w:val="27"/>
          <w:rtl/>
        </w:rPr>
        <w:t xml:space="preserve"> والنقيض له.</w:t>
      </w:r>
    </w:p>
    <w:p w:rsidR="002C1D33" w:rsidRPr="00282AC9" w:rsidRDefault="00C06BE6" w:rsidP="00715FC8">
      <w:pPr>
        <w:rPr>
          <w:sz w:val="27"/>
          <w:rtl/>
        </w:rPr>
      </w:pPr>
      <w:r w:rsidRPr="00282AC9">
        <w:rPr>
          <w:rFonts w:hint="cs"/>
          <w:sz w:val="27"/>
          <w:rtl/>
        </w:rPr>
        <w:t>الل</w:t>
      </w:r>
      <w:r w:rsidR="002C1D33" w:rsidRPr="00282AC9">
        <w:rPr>
          <w:rFonts w:hint="cs"/>
          <w:sz w:val="27"/>
          <w:rtl/>
        </w:rPr>
        <w:t>زوم على نحوين: اللزوم المنطقيّ</w:t>
      </w:r>
      <w:r w:rsidR="00696E7F" w:rsidRPr="00282AC9">
        <w:rPr>
          <w:rFonts w:hint="cs"/>
          <w:sz w:val="27"/>
          <w:rtl/>
        </w:rPr>
        <w:t>؛</w:t>
      </w:r>
      <w:r w:rsidR="002C1D33" w:rsidRPr="00282AC9">
        <w:rPr>
          <w:rFonts w:hint="cs"/>
          <w:sz w:val="27"/>
          <w:rtl/>
        </w:rPr>
        <w:t xml:space="preserve"> و</w:t>
      </w:r>
      <w:r w:rsidRPr="00282AC9">
        <w:rPr>
          <w:rFonts w:hint="cs"/>
          <w:sz w:val="27"/>
          <w:rtl/>
        </w:rPr>
        <w:t>الل</w:t>
      </w:r>
      <w:r w:rsidR="002C1D33" w:rsidRPr="00282AC9">
        <w:rPr>
          <w:rFonts w:hint="cs"/>
          <w:sz w:val="27"/>
          <w:rtl/>
        </w:rPr>
        <w:t>زوم الواقعيّ.</w:t>
      </w:r>
    </w:p>
    <w:p w:rsidR="002C1D33" w:rsidRPr="00282AC9" w:rsidRDefault="002C1D33" w:rsidP="00715FC8">
      <w:pPr>
        <w:rPr>
          <w:sz w:val="27"/>
          <w:rtl/>
        </w:rPr>
      </w:pPr>
      <w:r w:rsidRPr="00282AC9">
        <w:rPr>
          <w:rFonts w:hint="cs"/>
          <w:sz w:val="27"/>
          <w:rtl/>
        </w:rPr>
        <w:t>و</w:t>
      </w:r>
      <w:r w:rsidR="00C06BE6" w:rsidRPr="00282AC9">
        <w:rPr>
          <w:rFonts w:hint="cs"/>
          <w:sz w:val="27"/>
          <w:rtl/>
        </w:rPr>
        <w:t>الل</w:t>
      </w:r>
      <w:r w:rsidRPr="00282AC9">
        <w:rPr>
          <w:rFonts w:hint="cs"/>
          <w:sz w:val="27"/>
          <w:rtl/>
        </w:rPr>
        <w:t>زوم المنطقيّ لون</w:t>
      </w:r>
      <w:r w:rsidR="00696E7F" w:rsidRPr="00282AC9">
        <w:rPr>
          <w:rFonts w:hint="cs"/>
          <w:sz w:val="27"/>
          <w:rtl/>
        </w:rPr>
        <w:t>ٌ</w:t>
      </w:r>
      <w:r w:rsidRPr="00282AC9">
        <w:rPr>
          <w:rFonts w:hint="cs"/>
          <w:sz w:val="27"/>
          <w:rtl/>
        </w:rPr>
        <w:t xml:space="preserve"> من الارتباط بين قضي</w:t>
      </w:r>
      <w:r w:rsidR="00696E7F" w:rsidRPr="00282AC9">
        <w:rPr>
          <w:rFonts w:hint="cs"/>
          <w:sz w:val="27"/>
          <w:rtl/>
        </w:rPr>
        <w:t>ّ</w:t>
      </w:r>
      <w:r w:rsidRPr="00282AC9">
        <w:rPr>
          <w:rFonts w:hint="cs"/>
          <w:sz w:val="27"/>
          <w:rtl/>
        </w:rPr>
        <w:t>تين أو مجموعتين من القضايا، يجعل أيّ افتراض</w:t>
      </w:r>
      <w:r w:rsidR="00696E7F" w:rsidRPr="00282AC9">
        <w:rPr>
          <w:rFonts w:hint="cs"/>
          <w:sz w:val="27"/>
          <w:rtl/>
        </w:rPr>
        <w:t>ٍ</w:t>
      </w:r>
      <w:r w:rsidRPr="00282AC9">
        <w:rPr>
          <w:rFonts w:hint="cs"/>
          <w:sz w:val="27"/>
          <w:rtl/>
        </w:rPr>
        <w:t xml:space="preserve"> للانفكاك بينهما يستبطن تناقضاً</w:t>
      </w:r>
      <w:r w:rsidR="00696E7F" w:rsidRPr="00282AC9">
        <w:rPr>
          <w:rFonts w:hint="cs"/>
          <w:sz w:val="27"/>
          <w:rtl/>
        </w:rPr>
        <w:t xml:space="preserve">، </w:t>
      </w:r>
      <w:r w:rsidRPr="00282AC9">
        <w:rPr>
          <w:rFonts w:hint="cs"/>
          <w:sz w:val="27"/>
          <w:rtl/>
        </w:rPr>
        <w:t>ك</w:t>
      </w:r>
      <w:r w:rsidR="00C06BE6" w:rsidRPr="00282AC9">
        <w:rPr>
          <w:rFonts w:hint="cs"/>
          <w:sz w:val="27"/>
          <w:rtl/>
        </w:rPr>
        <w:t>الل</w:t>
      </w:r>
      <w:r w:rsidRPr="00282AC9">
        <w:rPr>
          <w:rFonts w:hint="cs"/>
          <w:sz w:val="27"/>
          <w:rtl/>
        </w:rPr>
        <w:t>زوم المنطقيّ القائم بين مصادرات هندسة أقليدس ونظري</w:t>
      </w:r>
      <w:r w:rsidR="00696E7F" w:rsidRPr="00282AC9">
        <w:rPr>
          <w:rFonts w:hint="cs"/>
          <w:sz w:val="27"/>
          <w:rtl/>
        </w:rPr>
        <w:t>ّ</w:t>
      </w:r>
      <w:r w:rsidRPr="00282AC9">
        <w:rPr>
          <w:rFonts w:hint="cs"/>
          <w:sz w:val="27"/>
          <w:rtl/>
        </w:rPr>
        <w:t>اتها</w:t>
      </w:r>
      <w:r w:rsidR="00696E7F" w:rsidRPr="00282AC9">
        <w:rPr>
          <w:rFonts w:hint="cs"/>
          <w:sz w:val="27"/>
          <w:rtl/>
        </w:rPr>
        <w:t>؛</w:t>
      </w:r>
      <w:r w:rsidRPr="00282AC9">
        <w:rPr>
          <w:rFonts w:hint="cs"/>
          <w:sz w:val="27"/>
          <w:rtl/>
        </w:rPr>
        <w:t xml:space="preserve"> نتيجة لاستيطان التفكيك بين هذه النظريات </w:t>
      </w:r>
      <w:r w:rsidRPr="00282AC9">
        <w:rPr>
          <w:rFonts w:hint="cs"/>
          <w:sz w:val="27"/>
          <w:rtl/>
        </w:rPr>
        <w:lastRenderedPageBreak/>
        <w:t>وتلك المصادرات للتناقض.</w:t>
      </w:r>
    </w:p>
    <w:p w:rsidR="002C1D33" w:rsidRPr="00282AC9" w:rsidRDefault="002C1D33" w:rsidP="00715FC8">
      <w:pPr>
        <w:rPr>
          <w:sz w:val="27"/>
          <w:rtl/>
        </w:rPr>
      </w:pPr>
      <w:r w:rsidRPr="00282AC9">
        <w:rPr>
          <w:rFonts w:hint="cs"/>
          <w:sz w:val="27"/>
          <w:rtl/>
        </w:rPr>
        <w:t>و</w:t>
      </w:r>
      <w:r w:rsidR="00C06BE6" w:rsidRPr="00282AC9">
        <w:rPr>
          <w:rFonts w:hint="cs"/>
          <w:sz w:val="27"/>
          <w:rtl/>
        </w:rPr>
        <w:t>الل</w:t>
      </w:r>
      <w:r w:rsidRPr="00282AC9">
        <w:rPr>
          <w:rFonts w:hint="cs"/>
          <w:sz w:val="27"/>
          <w:rtl/>
        </w:rPr>
        <w:t>زوم الواقعيّ عبارة</w:t>
      </w:r>
      <w:r w:rsidR="00696E7F" w:rsidRPr="00282AC9">
        <w:rPr>
          <w:rFonts w:hint="cs"/>
          <w:sz w:val="27"/>
          <w:rtl/>
        </w:rPr>
        <w:t>ٌ</w:t>
      </w:r>
      <w:r w:rsidRPr="00282AC9">
        <w:rPr>
          <w:rFonts w:hint="cs"/>
          <w:sz w:val="27"/>
          <w:rtl/>
        </w:rPr>
        <w:t xml:space="preserve"> عن علاقة السب</w:t>
      </w:r>
      <w:r w:rsidR="00696E7F" w:rsidRPr="00282AC9">
        <w:rPr>
          <w:rFonts w:hint="cs"/>
          <w:sz w:val="27"/>
          <w:rtl/>
        </w:rPr>
        <w:t>ب</w:t>
      </w:r>
      <w:r w:rsidRPr="00282AC9">
        <w:rPr>
          <w:rFonts w:hint="cs"/>
          <w:sz w:val="27"/>
          <w:rtl/>
        </w:rPr>
        <w:t>يّة القائمة بين شيئين، كالنار والحرارة، أو الحرارة والغليان، أو استعمال الأفيون والموت. وهذه السببيّة لا تستبطن أي</w:t>
      </w:r>
      <w:r w:rsidR="00696E7F" w:rsidRPr="00282AC9">
        <w:rPr>
          <w:rFonts w:hint="cs"/>
          <w:sz w:val="27"/>
          <w:rtl/>
        </w:rPr>
        <w:t>ّ</w:t>
      </w:r>
      <w:r w:rsidRPr="00282AC9">
        <w:rPr>
          <w:rFonts w:hint="cs"/>
          <w:sz w:val="27"/>
          <w:rtl/>
        </w:rPr>
        <w:t xml:space="preserve"> لزوم</w:t>
      </w:r>
      <w:r w:rsidR="00696E7F" w:rsidRPr="00282AC9">
        <w:rPr>
          <w:rFonts w:hint="cs"/>
          <w:sz w:val="27"/>
          <w:rtl/>
        </w:rPr>
        <w:t>ٍ</w:t>
      </w:r>
      <w:r w:rsidRPr="00282AC9">
        <w:rPr>
          <w:rFonts w:hint="cs"/>
          <w:sz w:val="27"/>
          <w:rtl/>
        </w:rPr>
        <w:t xml:space="preserve"> منطقيّ بالمعنى المتقدّ</w:t>
      </w:r>
      <w:r w:rsidR="00696E7F" w:rsidRPr="00282AC9">
        <w:rPr>
          <w:rFonts w:hint="cs"/>
          <w:sz w:val="27"/>
          <w:rtl/>
        </w:rPr>
        <w:t>ِ</w:t>
      </w:r>
      <w:r w:rsidRPr="00282AC9">
        <w:rPr>
          <w:rFonts w:hint="cs"/>
          <w:sz w:val="27"/>
          <w:rtl/>
        </w:rPr>
        <w:t>م؛ لأنّ افتراض أنّ النار ليست حارّة</w:t>
      </w:r>
      <w:r w:rsidR="00696E7F" w:rsidRPr="00282AC9">
        <w:rPr>
          <w:rFonts w:hint="cs"/>
          <w:sz w:val="27"/>
          <w:rtl/>
        </w:rPr>
        <w:t>ً</w:t>
      </w:r>
      <w:r w:rsidRPr="00282AC9">
        <w:rPr>
          <w:rFonts w:hint="cs"/>
          <w:sz w:val="27"/>
          <w:rtl/>
        </w:rPr>
        <w:t>، أو أن الحرارة لا تؤدّي إلى الغليان</w:t>
      </w:r>
      <w:r w:rsidR="00696E7F" w:rsidRPr="00282AC9">
        <w:rPr>
          <w:rFonts w:hint="cs"/>
          <w:sz w:val="27"/>
          <w:rtl/>
        </w:rPr>
        <w:t>،</w:t>
      </w:r>
      <w:r w:rsidRPr="00282AC9">
        <w:rPr>
          <w:rFonts w:hint="cs"/>
          <w:sz w:val="27"/>
          <w:rtl/>
        </w:rPr>
        <w:t xml:space="preserve"> لا يستبطن بذاته تناقضاً</w:t>
      </w:r>
      <w:r w:rsidR="00696E7F" w:rsidRPr="00282AC9">
        <w:rPr>
          <w:rFonts w:hint="cs"/>
          <w:sz w:val="24"/>
          <w:szCs w:val="24"/>
          <w:rtl/>
        </w:rPr>
        <w:t>»</w:t>
      </w:r>
      <w:r w:rsidRPr="00282AC9">
        <w:rPr>
          <w:rFonts w:hint="cs"/>
          <w:sz w:val="27"/>
          <w:vertAlign w:val="superscript"/>
          <w:rtl/>
        </w:rPr>
        <w:t>(</w:t>
      </w:r>
      <w:r w:rsidRPr="00282AC9">
        <w:rPr>
          <w:rStyle w:val="af9"/>
          <w:rFonts w:hint="cs"/>
          <w:sz w:val="27"/>
          <w:rtl/>
        </w:rPr>
        <w:endnoteReference w:id="1020"/>
      </w:r>
      <w:r w:rsidRPr="00282AC9">
        <w:rPr>
          <w:rFonts w:hint="cs"/>
          <w:sz w:val="27"/>
          <w:vertAlign w:val="superscript"/>
          <w:rtl/>
        </w:rPr>
        <w:t>)</w:t>
      </w:r>
      <w:r w:rsidRPr="00282AC9">
        <w:rPr>
          <w:rFonts w:hint="cs"/>
          <w:sz w:val="27"/>
          <w:rtl/>
        </w:rPr>
        <w:t>.</w:t>
      </w:r>
    </w:p>
    <w:p w:rsidR="002C1D33" w:rsidRPr="00282AC9" w:rsidRDefault="002C1D33" w:rsidP="00715FC8">
      <w:pPr>
        <w:rPr>
          <w:sz w:val="27"/>
          <w:rtl/>
        </w:rPr>
      </w:pPr>
      <w:r w:rsidRPr="00282AC9">
        <w:rPr>
          <w:rFonts w:hint="cs"/>
          <w:sz w:val="27"/>
          <w:rtl/>
        </w:rPr>
        <w:t>ثم يعرّ</w:t>
      </w:r>
      <w:r w:rsidR="00696E7F" w:rsidRPr="00282AC9">
        <w:rPr>
          <w:rFonts w:hint="cs"/>
          <w:sz w:val="27"/>
          <w:rtl/>
        </w:rPr>
        <w:t>ِ</w:t>
      </w:r>
      <w:r w:rsidRPr="00282AC9">
        <w:rPr>
          <w:rFonts w:hint="cs"/>
          <w:sz w:val="27"/>
          <w:rtl/>
        </w:rPr>
        <w:t>ج للصدفة، فيقول</w:t>
      </w:r>
      <w:r w:rsidR="009A2A04" w:rsidRPr="00282AC9">
        <w:rPr>
          <w:rFonts w:cs="Mosawi" w:hint="cs"/>
          <w:sz w:val="22"/>
          <w:szCs w:val="22"/>
          <w:rtl/>
        </w:rPr>
        <w:t>&amp;</w:t>
      </w:r>
      <w:r w:rsidRPr="00282AC9">
        <w:rPr>
          <w:rFonts w:hint="cs"/>
          <w:sz w:val="27"/>
          <w:rtl/>
        </w:rPr>
        <w:t>: والصدفة قسمان: صدفة مطلقة</w:t>
      </w:r>
      <w:r w:rsidR="00696E7F" w:rsidRPr="00282AC9">
        <w:rPr>
          <w:rFonts w:hint="cs"/>
          <w:sz w:val="27"/>
          <w:rtl/>
        </w:rPr>
        <w:t>؛</w:t>
      </w:r>
      <w:r w:rsidRPr="00282AC9">
        <w:rPr>
          <w:rFonts w:hint="cs"/>
          <w:sz w:val="27"/>
          <w:rtl/>
        </w:rPr>
        <w:t xml:space="preserve"> وصدفة نسبيّة.</w:t>
      </w:r>
    </w:p>
    <w:p w:rsidR="002C1D33" w:rsidRPr="00282AC9" w:rsidRDefault="002C1D33" w:rsidP="00715FC8">
      <w:pPr>
        <w:rPr>
          <w:sz w:val="27"/>
          <w:rtl/>
        </w:rPr>
      </w:pPr>
      <w:r w:rsidRPr="00282AC9">
        <w:rPr>
          <w:rFonts w:hint="cs"/>
          <w:sz w:val="27"/>
          <w:rtl/>
        </w:rPr>
        <w:t xml:space="preserve">فالصدفة المطلقة هي أن </w:t>
      </w:r>
      <w:r w:rsidR="00696E7F" w:rsidRPr="00282AC9">
        <w:rPr>
          <w:rFonts w:hint="cs"/>
          <w:sz w:val="27"/>
          <w:rtl/>
        </w:rPr>
        <w:t>ي</w:t>
      </w:r>
      <w:r w:rsidRPr="00282AC9">
        <w:rPr>
          <w:rFonts w:hint="cs"/>
          <w:sz w:val="27"/>
          <w:rtl/>
        </w:rPr>
        <w:t>وجد شيء</w:t>
      </w:r>
      <w:r w:rsidR="00696E7F" w:rsidRPr="00282AC9">
        <w:rPr>
          <w:rFonts w:hint="cs"/>
          <w:sz w:val="27"/>
          <w:rtl/>
        </w:rPr>
        <w:t>ٌ</w:t>
      </w:r>
      <w:r w:rsidRPr="00282AC9">
        <w:rPr>
          <w:rFonts w:hint="cs"/>
          <w:sz w:val="27"/>
          <w:rtl/>
        </w:rPr>
        <w:t xml:space="preserve"> بدون سبب إطلاقاً، كغليان الماء إذا حصل دون أيّ سبب</w:t>
      </w:r>
      <w:r w:rsidR="00696E7F" w:rsidRPr="00282AC9">
        <w:rPr>
          <w:rFonts w:hint="cs"/>
          <w:sz w:val="27"/>
          <w:rtl/>
        </w:rPr>
        <w:t>ٍ</w:t>
      </w:r>
      <w:r w:rsidRPr="00282AC9">
        <w:rPr>
          <w:rFonts w:hint="cs"/>
          <w:sz w:val="27"/>
          <w:rtl/>
        </w:rPr>
        <w:t xml:space="preserve">. </w:t>
      </w:r>
    </w:p>
    <w:p w:rsidR="002C1D33" w:rsidRPr="00282AC9" w:rsidRDefault="002C1D33" w:rsidP="00715FC8">
      <w:pPr>
        <w:rPr>
          <w:sz w:val="27"/>
          <w:rtl/>
        </w:rPr>
      </w:pPr>
      <w:r w:rsidRPr="00282AC9">
        <w:rPr>
          <w:rFonts w:hint="cs"/>
          <w:sz w:val="27"/>
          <w:rtl/>
        </w:rPr>
        <w:t>والصدفة النسبيّة هي أن توجد حادثة</w:t>
      </w:r>
      <w:r w:rsidR="00696E7F" w:rsidRPr="00282AC9">
        <w:rPr>
          <w:rFonts w:hint="cs"/>
          <w:sz w:val="27"/>
          <w:rtl/>
        </w:rPr>
        <w:t>ٌ</w:t>
      </w:r>
      <w:r w:rsidRPr="00282AC9">
        <w:rPr>
          <w:rFonts w:hint="cs"/>
          <w:sz w:val="27"/>
          <w:rtl/>
        </w:rPr>
        <w:t xml:space="preserve"> معينّة نتيجة</w:t>
      </w:r>
      <w:r w:rsidR="00696E7F" w:rsidRPr="00282AC9">
        <w:rPr>
          <w:rFonts w:hint="cs"/>
          <w:sz w:val="27"/>
          <w:rtl/>
        </w:rPr>
        <w:t>ً</w:t>
      </w:r>
      <w:r w:rsidRPr="00282AC9">
        <w:rPr>
          <w:rFonts w:hint="cs"/>
          <w:sz w:val="27"/>
          <w:rtl/>
        </w:rPr>
        <w:t xml:space="preserve"> لتوفّ</w:t>
      </w:r>
      <w:r w:rsidR="00696E7F" w:rsidRPr="00282AC9">
        <w:rPr>
          <w:rFonts w:hint="cs"/>
          <w:sz w:val="27"/>
          <w:rtl/>
        </w:rPr>
        <w:t>ُ</w:t>
      </w:r>
      <w:r w:rsidRPr="00282AC9">
        <w:rPr>
          <w:rFonts w:hint="cs"/>
          <w:sz w:val="27"/>
          <w:rtl/>
        </w:rPr>
        <w:t>ر سببها، ويت</w:t>
      </w:r>
      <w:r w:rsidR="00696E7F" w:rsidRPr="00282AC9">
        <w:rPr>
          <w:rFonts w:hint="cs"/>
          <w:sz w:val="27"/>
          <w:rtl/>
        </w:rPr>
        <w:t>ّف</w:t>
      </w:r>
      <w:r w:rsidRPr="00282AC9">
        <w:rPr>
          <w:rFonts w:hint="cs"/>
          <w:sz w:val="27"/>
          <w:rtl/>
        </w:rPr>
        <w:t>ق اقترانها بحادثة</w:t>
      </w:r>
      <w:r w:rsidR="00696E7F" w:rsidRPr="00282AC9">
        <w:rPr>
          <w:rFonts w:hint="cs"/>
          <w:sz w:val="27"/>
          <w:rtl/>
        </w:rPr>
        <w:t>ٍ</w:t>
      </w:r>
      <w:r w:rsidRPr="00282AC9">
        <w:rPr>
          <w:rFonts w:hint="cs"/>
          <w:sz w:val="27"/>
          <w:rtl/>
        </w:rPr>
        <w:t xml:space="preserve"> أخرى صدفة</w:t>
      </w:r>
      <w:r w:rsidR="00696E7F" w:rsidRPr="00282AC9">
        <w:rPr>
          <w:rFonts w:hint="cs"/>
          <w:sz w:val="27"/>
          <w:rtl/>
        </w:rPr>
        <w:t>ً</w:t>
      </w:r>
      <w:r w:rsidRPr="00282AC9">
        <w:rPr>
          <w:rFonts w:hint="cs"/>
          <w:sz w:val="27"/>
          <w:rtl/>
        </w:rPr>
        <w:t>، كما إذا تعرّ</w:t>
      </w:r>
      <w:r w:rsidR="00696E7F" w:rsidRPr="00282AC9">
        <w:rPr>
          <w:rFonts w:hint="cs"/>
          <w:sz w:val="27"/>
          <w:rtl/>
        </w:rPr>
        <w:t>َ</w:t>
      </w:r>
      <w:r w:rsidRPr="00282AC9">
        <w:rPr>
          <w:rFonts w:hint="cs"/>
          <w:sz w:val="27"/>
          <w:rtl/>
        </w:rPr>
        <w:t>ض ماء</w:t>
      </w:r>
      <w:r w:rsidR="00696E7F" w:rsidRPr="00282AC9">
        <w:rPr>
          <w:rFonts w:hint="cs"/>
          <w:sz w:val="27"/>
          <w:rtl/>
        </w:rPr>
        <w:t>ٌ</w:t>
      </w:r>
      <w:r w:rsidRPr="00282AC9">
        <w:rPr>
          <w:rFonts w:hint="cs"/>
          <w:sz w:val="27"/>
          <w:rtl/>
        </w:rPr>
        <w:t xml:space="preserve"> معيّن لحراة</w:t>
      </w:r>
      <w:r w:rsidR="00696E7F" w:rsidRPr="00282AC9">
        <w:rPr>
          <w:rFonts w:hint="cs"/>
          <w:sz w:val="27"/>
          <w:rtl/>
        </w:rPr>
        <w:t>ٍ</w:t>
      </w:r>
      <w:r w:rsidRPr="00282AC9">
        <w:rPr>
          <w:rFonts w:hint="cs"/>
          <w:sz w:val="27"/>
          <w:rtl/>
        </w:rPr>
        <w:t xml:space="preserve"> بدرجة مئة</w:t>
      </w:r>
      <w:r w:rsidR="00696E7F" w:rsidRPr="00282AC9">
        <w:rPr>
          <w:rFonts w:hint="cs"/>
          <w:sz w:val="27"/>
          <w:rtl/>
        </w:rPr>
        <w:t>ٍ،</w:t>
      </w:r>
      <w:r w:rsidRPr="00282AC9">
        <w:rPr>
          <w:rFonts w:hint="cs"/>
          <w:sz w:val="27"/>
          <w:rtl/>
        </w:rPr>
        <w:t xml:space="preserve"> فحدث فيه الغليان</w:t>
      </w:r>
      <w:r w:rsidR="00696E7F" w:rsidRPr="00282AC9">
        <w:rPr>
          <w:rFonts w:hint="cs"/>
          <w:sz w:val="27"/>
          <w:rtl/>
        </w:rPr>
        <w:t xml:space="preserve">، </w:t>
      </w:r>
      <w:r w:rsidRPr="00282AC9">
        <w:rPr>
          <w:rFonts w:hint="cs"/>
          <w:sz w:val="27"/>
          <w:rtl/>
        </w:rPr>
        <w:t>وتعرّ</w:t>
      </w:r>
      <w:r w:rsidR="00696E7F" w:rsidRPr="00282AC9">
        <w:rPr>
          <w:rFonts w:hint="cs"/>
          <w:sz w:val="27"/>
          <w:rtl/>
        </w:rPr>
        <w:t>َ</w:t>
      </w:r>
      <w:r w:rsidRPr="00282AC9">
        <w:rPr>
          <w:rFonts w:hint="cs"/>
          <w:sz w:val="27"/>
          <w:rtl/>
        </w:rPr>
        <w:t>ض ماء</w:t>
      </w:r>
      <w:r w:rsidR="00696E7F" w:rsidRPr="00282AC9">
        <w:rPr>
          <w:rFonts w:hint="cs"/>
          <w:sz w:val="27"/>
          <w:rtl/>
        </w:rPr>
        <w:t>ٌ</w:t>
      </w:r>
      <w:r w:rsidRPr="00282AC9">
        <w:rPr>
          <w:rFonts w:hint="cs"/>
          <w:sz w:val="27"/>
          <w:rtl/>
        </w:rPr>
        <w:t xml:space="preserve"> آخر في نفس الوقت لانخفاض في درجة الحرارة إلى الصفر</w:t>
      </w:r>
      <w:r w:rsidR="00696E7F" w:rsidRPr="00282AC9">
        <w:rPr>
          <w:rFonts w:hint="cs"/>
          <w:sz w:val="27"/>
          <w:rtl/>
        </w:rPr>
        <w:t>،</w:t>
      </w:r>
      <w:r w:rsidRPr="00282AC9">
        <w:rPr>
          <w:rFonts w:hint="cs"/>
          <w:sz w:val="27"/>
          <w:rtl/>
        </w:rPr>
        <w:t xml:space="preserve"> فحدث فيه الانجماد في نفس اللحظة التي بدأ فيها غليان الماء الأوّل</w:t>
      </w:r>
      <w:r w:rsidRPr="00282AC9">
        <w:rPr>
          <w:rFonts w:hint="cs"/>
          <w:sz w:val="27"/>
          <w:vertAlign w:val="superscript"/>
          <w:rtl/>
        </w:rPr>
        <w:t>(</w:t>
      </w:r>
      <w:r w:rsidRPr="00282AC9">
        <w:rPr>
          <w:rStyle w:val="af9"/>
          <w:rFonts w:hint="cs"/>
          <w:sz w:val="27"/>
          <w:rtl/>
        </w:rPr>
        <w:endnoteReference w:id="1021"/>
      </w:r>
      <w:r w:rsidRPr="00282AC9">
        <w:rPr>
          <w:rFonts w:hint="cs"/>
          <w:sz w:val="27"/>
          <w:vertAlign w:val="superscript"/>
          <w:rtl/>
        </w:rPr>
        <w:t>)</w:t>
      </w:r>
      <w:r w:rsidRPr="00282AC9">
        <w:rPr>
          <w:rFonts w:hint="cs"/>
          <w:sz w:val="27"/>
          <w:rtl/>
        </w:rPr>
        <w:t>.</w:t>
      </w:r>
    </w:p>
    <w:p w:rsidR="002C1D33" w:rsidRPr="00282AC9" w:rsidRDefault="002C1D33" w:rsidP="00715FC8">
      <w:pPr>
        <w:rPr>
          <w:sz w:val="27"/>
          <w:rtl/>
        </w:rPr>
      </w:pPr>
      <w:r w:rsidRPr="00282AC9">
        <w:rPr>
          <w:rFonts w:hint="cs"/>
          <w:sz w:val="27"/>
          <w:rtl/>
        </w:rPr>
        <w:t>وهكذا نرى بأنّ الات</w:t>
      </w:r>
      <w:r w:rsidR="00696E7F" w:rsidRPr="00282AC9">
        <w:rPr>
          <w:rFonts w:hint="cs"/>
          <w:sz w:val="27"/>
          <w:rtl/>
        </w:rPr>
        <w:t>ّ</w:t>
      </w:r>
      <w:r w:rsidRPr="00282AC9">
        <w:rPr>
          <w:rFonts w:hint="cs"/>
          <w:sz w:val="27"/>
          <w:rtl/>
        </w:rPr>
        <w:t>فاق (الصدفة) لم يُلاح</w:t>
      </w:r>
      <w:r w:rsidR="00BA067E" w:rsidRPr="00282AC9">
        <w:rPr>
          <w:rFonts w:hint="cs"/>
          <w:sz w:val="27"/>
          <w:rtl/>
        </w:rPr>
        <w:t>َ</w:t>
      </w:r>
      <w:r w:rsidRPr="00282AC9">
        <w:rPr>
          <w:rFonts w:hint="cs"/>
          <w:sz w:val="27"/>
          <w:rtl/>
        </w:rPr>
        <w:t>ظ فيه شرط الأخصّيّة عن طبيعة المؤث</w:t>
      </w:r>
      <w:r w:rsidR="00BA067E" w:rsidRPr="00282AC9">
        <w:rPr>
          <w:rFonts w:hint="cs"/>
          <w:sz w:val="27"/>
          <w:rtl/>
        </w:rPr>
        <w:t>ِّ</w:t>
      </w:r>
      <w:r w:rsidRPr="00282AC9">
        <w:rPr>
          <w:rFonts w:hint="cs"/>
          <w:sz w:val="27"/>
          <w:rtl/>
        </w:rPr>
        <w:t>ر، وإنّما هذا هو محل</w:t>
      </w:r>
      <w:r w:rsidR="00BA067E" w:rsidRPr="00282AC9">
        <w:rPr>
          <w:rFonts w:hint="cs"/>
          <w:sz w:val="27"/>
          <w:rtl/>
        </w:rPr>
        <w:t>ّ</w:t>
      </w:r>
      <w:r w:rsidRPr="00282AC9">
        <w:rPr>
          <w:rFonts w:hint="cs"/>
          <w:sz w:val="27"/>
          <w:rtl/>
        </w:rPr>
        <w:t xml:space="preserve"> البحث والنزاع، وبالتالي ليست </w:t>
      </w:r>
      <w:r w:rsidR="00BA067E" w:rsidRPr="00282AC9">
        <w:rPr>
          <w:rFonts w:hint="cs"/>
          <w:sz w:val="24"/>
          <w:szCs w:val="24"/>
          <w:rtl/>
        </w:rPr>
        <w:t>«</w:t>
      </w:r>
      <w:r w:rsidRPr="00282AC9">
        <w:rPr>
          <w:rFonts w:hint="cs"/>
          <w:sz w:val="27"/>
          <w:rtl/>
        </w:rPr>
        <w:t>الأثر الاتفاقيّ لا يتكرّ</w:t>
      </w:r>
      <w:r w:rsidR="00BA067E" w:rsidRPr="00282AC9">
        <w:rPr>
          <w:rFonts w:hint="cs"/>
          <w:sz w:val="27"/>
          <w:rtl/>
        </w:rPr>
        <w:t>َ</w:t>
      </w:r>
      <w:r w:rsidRPr="00282AC9">
        <w:rPr>
          <w:rFonts w:hint="cs"/>
          <w:sz w:val="27"/>
          <w:rtl/>
        </w:rPr>
        <w:t>ر</w:t>
      </w:r>
      <w:r w:rsidR="00BA067E" w:rsidRPr="00282AC9">
        <w:rPr>
          <w:rFonts w:hint="cs"/>
          <w:sz w:val="24"/>
          <w:szCs w:val="24"/>
          <w:rtl/>
        </w:rPr>
        <w:t>»</w:t>
      </w:r>
      <w:r w:rsidRPr="00282AC9">
        <w:rPr>
          <w:rFonts w:hint="cs"/>
          <w:sz w:val="27"/>
          <w:rtl/>
        </w:rPr>
        <w:t xml:space="preserve"> قضي</w:t>
      </w:r>
      <w:r w:rsidR="00BA067E" w:rsidRPr="00282AC9">
        <w:rPr>
          <w:rFonts w:hint="cs"/>
          <w:sz w:val="27"/>
          <w:rtl/>
        </w:rPr>
        <w:t>ّ</w:t>
      </w:r>
      <w:r w:rsidRPr="00282AC9">
        <w:rPr>
          <w:rFonts w:hint="cs"/>
          <w:sz w:val="27"/>
          <w:rtl/>
        </w:rPr>
        <w:t>ة</w:t>
      </w:r>
      <w:r w:rsidR="00BA067E" w:rsidRPr="00282AC9">
        <w:rPr>
          <w:rFonts w:hint="cs"/>
          <w:sz w:val="27"/>
          <w:rtl/>
        </w:rPr>
        <w:t>ً</w:t>
      </w:r>
      <w:r w:rsidRPr="00282AC9">
        <w:rPr>
          <w:rFonts w:hint="cs"/>
          <w:sz w:val="27"/>
          <w:rtl/>
        </w:rPr>
        <w:t xml:space="preserve"> أوّليّة تحليليّة</w:t>
      </w:r>
      <w:r w:rsidR="00BA067E" w:rsidRPr="00282AC9">
        <w:rPr>
          <w:rFonts w:hint="cs"/>
          <w:sz w:val="27"/>
          <w:rtl/>
        </w:rPr>
        <w:t>،</w:t>
      </w:r>
      <w:r w:rsidRPr="00282AC9">
        <w:rPr>
          <w:rFonts w:hint="cs"/>
          <w:sz w:val="27"/>
          <w:rtl/>
        </w:rPr>
        <w:t xml:space="preserve"> كما ذهب إليه صاحب الإشكال، وإنما هي قضي</w:t>
      </w:r>
      <w:r w:rsidR="00BA067E" w:rsidRPr="00282AC9">
        <w:rPr>
          <w:rFonts w:hint="cs"/>
          <w:sz w:val="27"/>
          <w:rtl/>
        </w:rPr>
        <w:t>ّ</w:t>
      </w:r>
      <w:r w:rsidRPr="00282AC9">
        <w:rPr>
          <w:rFonts w:hint="cs"/>
          <w:sz w:val="27"/>
          <w:rtl/>
        </w:rPr>
        <w:t>ة</w:t>
      </w:r>
      <w:r w:rsidR="00BA067E" w:rsidRPr="00282AC9">
        <w:rPr>
          <w:rFonts w:hint="cs"/>
          <w:sz w:val="27"/>
          <w:rtl/>
        </w:rPr>
        <w:t>ٌ</w:t>
      </w:r>
      <w:r w:rsidRPr="00282AC9">
        <w:rPr>
          <w:rFonts w:hint="cs"/>
          <w:sz w:val="27"/>
          <w:rtl/>
        </w:rPr>
        <w:t xml:space="preserve"> ممكنة</w:t>
      </w:r>
      <w:r w:rsidR="00BA067E" w:rsidRPr="00282AC9">
        <w:rPr>
          <w:rFonts w:hint="cs"/>
          <w:sz w:val="27"/>
          <w:rtl/>
        </w:rPr>
        <w:t>ٌ؛</w:t>
      </w:r>
      <w:r w:rsidRPr="00282AC9">
        <w:rPr>
          <w:rFonts w:hint="cs"/>
          <w:sz w:val="27"/>
          <w:rtl/>
        </w:rPr>
        <w:t xml:space="preserve"> قد يتكر</w:t>
      </w:r>
      <w:r w:rsidR="00BA067E" w:rsidRPr="00282AC9">
        <w:rPr>
          <w:rFonts w:hint="cs"/>
          <w:sz w:val="27"/>
          <w:rtl/>
        </w:rPr>
        <w:t>َّ</w:t>
      </w:r>
      <w:r w:rsidRPr="00282AC9">
        <w:rPr>
          <w:rFonts w:hint="cs"/>
          <w:sz w:val="27"/>
          <w:rtl/>
        </w:rPr>
        <w:t>ر الاتفاقيّ</w:t>
      </w:r>
      <w:r w:rsidR="00BA067E" w:rsidRPr="00282AC9">
        <w:rPr>
          <w:rFonts w:hint="cs"/>
          <w:sz w:val="27"/>
          <w:rtl/>
        </w:rPr>
        <w:t>؛</w:t>
      </w:r>
      <w:r w:rsidRPr="00282AC9">
        <w:rPr>
          <w:rFonts w:hint="cs"/>
          <w:sz w:val="27"/>
          <w:rtl/>
        </w:rPr>
        <w:t xml:space="preserve"> وقد لا يتكرّ</w:t>
      </w:r>
      <w:r w:rsidR="00BA067E" w:rsidRPr="00282AC9">
        <w:rPr>
          <w:rFonts w:hint="cs"/>
          <w:sz w:val="27"/>
          <w:rtl/>
        </w:rPr>
        <w:t>َ</w:t>
      </w:r>
      <w:r w:rsidRPr="00282AC9">
        <w:rPr>
          <w:rFonts w:hint="cs"/>
          <w:sz w:val="27"/>
          <w:rtl/>
        </w:rPr>
        <w:t>ر.</w:t>
      </w:r>
    </w:p>
    <w:p w:rsidR="002C1D33" w:rsidRPr="00282AC9" w:rsidRDefault="002C1D33" w:rsidP="00CD708F">
      <w:pPr>
        <w:rPr>
          <w:sz w:val="27"/>
          <w:rtl/>
        </w:rPr>
      </w:pPr>
      <w:r w:rsidRPr="00282AC9">
        <w:rPr>
          <w:rFonts w:hint="cs"/>
          <w:b/>
          <w:bCs/>
          <w:sz w:val="27"/>
          <w:rtl/>
        </w:rPr>
        <w:t>المناقشة الرابعة</w:t>
      </w:r>
      <w:r w:rsidRPr="00282AC9">
        <w:rPr>
          <w:rFonts w:hint="cs"/>
          <w:sz w:val="27"/>
          <w:rtl/>
        </w:rPr>
        <w:t xml:space="preserve">: يقول </w:t>
      </w:r>
      <w:r w:rsidR="00CD708F">
        <w:rPr>
          <w:rFonts w:hint="cs"/>
          <w:sz w:val="27"/>
          <w:rtl/>
        </w:rPr>
        <w:t>الشيخ المصريّ</w:t>
      </w:r>
      <w:r w:rsidRPr="00282AC9">
        <w:rPr>
          <w:rFonts w:hint="cs"/>
          <w:sz w:val="27"/>
          <w:rtl/>
        </w:rPr>
        <w:t xml:space="preserve"> </w:t>
      </w:r>
      <w:r w:rsidR="00BA067E" w:rsidRPr="00282AC9">
        <w:rPr>
          <w:rFonts w:hint="cs"/>
          <w:sz w:val="27"/>
          <w:rtl/>
        </w:rPr>
        <w:t xml:space="preserve">ـ </w:t>
      </w:r>
      <w:r w:rsidRPr="00282AC9">
        <w:rPr>
          <w:rFonts w:hint="cs"/>
          <w:sz w:val="27"/>
          <w:rtl/>
        </w:rPr>
        <w:t>في ثانياً</w:t>
      </w:r>
      <w:r w:rsidR="00BA067E" w:rsidRPr="00282AC9">
        <w:rPr>
          <w:rFonts w:hint="cs"/>
          <w:sz w:val="27"/>
          <w:rtl/>
        </w:rPr>
        <w:t xml:space="preserve"> ـ</w:t>
      </w:r>
      <w:r w:rsidRPr="00282AC9">
        <w:rPr>
          <w:rFonts w:hint="cs"/>
          <w:sz w:val="27"/>
          <w:rtl/>
        </w:rPr>
        <w:t xml:space="preserve"> بأنّ صدور الأثر الاتفاقيّ لو لم يكن ممتنعاً أن يكون دائميّاً أو </w:t>
      </w:r>
      <w:r w:rsidR="00BA067E" w:rsidRPr="00282AC9">
        <w:rPr>
          <w:rFonts w:hint="cs"/>
          <w:sz w:val="27"/>
          <w:rtl/>
        </w:rPr>
        <w:t>أ</w:t>
      </w:r>
      <w:r w:rsidRPr="00282AC9">
        <w:rPr>
          <w:rFonts w:hint="cs"/>
          <w:sz w:val="27"/>
          <w:rtl/>
        </w:rPr>
        <w:t xml:space="preserve">كثريّاً فلا يمكن أن </w:t>
      </w:r>
      <w:r w:rsidR="00BA067E" w:rsidRPr="00282AC9">
        <w:rPr>
          <w:rFonts w:hint="cs"/>
          <w:sz w:val="27"/>
          <w:rtl/>
        </w:rPr>
        <w:t>ي</w:t>
      </w:r>
      <w:r w:rsidRPr="00282AC9">
        <w:rPr>
          <w:rFonts w:hint="cs"/>
          <w:sz w:val="27"/>
          <w:rtl/>
        </w:rPr>
        <w:t>تضاءل احتمال الصدفة</w:t>
      </w:r>
      <w:r w:rsidR="00BA067E" w:rsidRPr="00282AC9">
        <w:rPr>
          <w:rFonts w:hint="cs"/>
          <w:sz w:val="27"/>
          <w:rtl/>
        </w:rPr>
        <w:t>.</w:t>
      </w:r>
      <w:r w:rsidRPr="00282AC9">
        <w:rPr>
          <w:rFonts w:hint="cs"/>
          <w:sz w:val="27"/>
          <w:rtl/>
        </w:rPr>
        <w:t xml:space="preserve"> </w:t>
      </w:r>
      <w:r w:rsidR="00BA067E" w:rsidRPr="00282AC9">
        <w:rPr>
          <w:rFonts w:hint="cs"/>
          <w:sz w:val="27"/>
          <w:rtl/>
        </w:rPr>
        <w:t>و</w:t>
      </w:r>
      <w:r w:rsidRPr="00282AC9">
        <w:rPr>
          <w:rFonts w:hint="cs"/>
          <w:sz w:val="27"/>
          <w:rtl/>
        </w:rPr>
        <w:t>بعبارة</w:t>
      </w:r>
      <w:r w:rsidR="00BA067E" w:rsidRPr="00282AC9">
        <w:rPr>
          <w:rFonts w:hint="cs"/>
          <w:sz w:val="27"/>
          <w:rtl/>
        </w:rPr>
        <w:t>ٍ</w:t>
      </w:r>
      <w:r w:rsidRPr="00282AC9">
        <w:rPr>
          <w:rFonts w:hint="cs"/>
          <w:sz w:val="27"/>
          <w:rtl/>
        </w:rPr>
        <w:t xml:space="preserve"> ثانية</w:t>
      </w:r>
      <w:r w:rsidR="00BA067E" w:rsidRPr="00282AC9">
        <w:rPr>
          <w:rFonts w:hint="cs"/>
          <w:sz w:val="27"/>
          <w:rtl/>
        </w:rPr>
        <w:t>:</w:t>
      </w:r>
      <w:r w:rsidRPr="00282AC9">
        <w:rPr>
          <w:rFonts w:hint="cs"/>
          <w:sz w:val="27"/>
          <w:rtl/>
        </w:rPr>
        <w:t xml:space="preserve"> حين يقترن ظهور (ب) مع (أ)، ويتكرّ</w:t>
      </w:r>
      <w:r w:rsidR="00BA067E" w:rsidRPr="00282AC9">
        <w:rPr>
          <w:rFonts w:hint="cs"/>
          <w:sz w:val="27"/>
          <w:rtl/>
        </w:rPr>
        <w:t>َ</w:t>
      </w:r>
      <w:r w:rsidRPr="00282AC9">
        <w:rPr>
          <w:rFonts w:hint="cs"/>
          <w:sz w:val="27"/>
          <w:rtl/>
        </w:rPr>
        <w:t>ر هذا الاقتران كثيراً</w:t>
      </w:r>
      <w:r w:rsidR="00BA067E" w:rsidRPr="00282AC9">
        <w:rPr>
          <w:rFonts w:hint="cs"/>
          <w:sz w:val="27"/>
          <w:rtl/>
        </w:rPr>
        <w:t>،</w:t>
      </w:r>
      <w:r w:rsidRPr="00282AC9">
        <w:rPr>
          <w:rFonts w:hint="cs"/>
          <w:sz w:val="27"/>
          <w:rtl/>
        </w:rPr>
        <w:t xml:space="preserve"> لا يمكن الاستنتاج بأنّ هذا الاقتران هو سبب</w:t>
      </w:r>
      <w:r w:rsidR="00BA067E" w:rsidRPr="00282AC9">
        <w:rPr>
          <w:rFonts w:hint="cs"/>
          <w:sz w:val="27"/>
          <w:rtl/>
        </w:rPr>
        <w:t>ُ</w:t>
      </w:r>
      <w:r w:rsidRPr="00282AC9">
        <w:rPr>
          <w:rFonts w:hint="cs"/>
          <w:sz w:val="27"/>
          <w:rtl/>
        </w:rPr>
        <w:t xml:space="preserve"> وجود رابطة</w:t>
      </w:r>
      <w:r w:rsidR="00BA067E" w:rsidRPr="00282AC9">
        <w:rPr>
          <w:rFonts w:hint="cs"/>
          <w:sz w:val="27"/>
          <w:rtl/>
        </w:rPr>
        <w:t>ٍ</w:t>
      </w:r>
      <w:r w:rsidRPr="00282AC9">
        <w:rPr>
          <w:rFonts w:hint="cs"/>
          <w:sz w:val="27"/>
          <w:rtl/>
        </w:rPr>
        <w:t xml:space="preserve"> سببيّة، ما دام فرض كون الصدفة أن تكون أكثريّة ممكناً، بل يمكن </w:t>
      </w:r>
      <w:r w:rsidR="00BA067E" w:rsidRPr="00282AC9">
        <w:rPr>
          <w:rFonts w:hint="cs"/>
          <w:sz w:val="27"/>
          <w:rtl/>
        </w:rPr>
        <w:t xml:space="preserve">هذا </w:t>
      </w:r>
      <w:r w:rsidRPr="00282AC9">
        <w:rPr>
          <w:rFonts w:hint="cs"/>
          <w:sz w:val="27"/>
          <w:rtl/>
        </w:rPr>
        <w:t>الاستنتاج إذا كان</w:t>
      </w:r>
      <w:r w:rsidR="00BA067E" w:rsidRPr="00282AC9">
        <w:rPr>
          <w:rFonts w:hint="cs"/>
          <w:sz w:val="27"/>
          <w:rtl/>
        </w:rPr>
        <w:t>ت</w:t>
      </w:r>
      <w:r w:rsidRPr="00282AC9">
        <w:rPr>
          <w:rFonts w:hint="cs"/>
          <w:sz w:val="27"/>
          <w:rtl/>
        </w:rPr>
        <w:t xml:space="preserve"> تلك القضية مستحيلة</w:t>
      </w:r>
      <w:r w:rsidR="00BA067E" w:rsidRPr="00282AC9">
        <w:rPr>
          <w:rFonts w:hint="cs"/>
          <w:sz w:val="27"/>
          <w:rtl/>
        </w:rPr>
        <w:t>ً لدينا</w:t>
      </w:r>
      <w:r w:rsidRPr="00282AC9">
        <w:rPr>
          <w:rFonts w:hint="cs"/>
          <w:sz w:val="27"/>
          <w:rtl/>
        </w:rPr>
        <w:t xml:space="preserve">، أي </w:t>
      </w:r>
      <w:r w:rsidR="00873637" w:rsidRPr="00282AC9">
        <w:rPr>
          <w:rFonts w:hint="cs"/>
          <w:sz w:val="27"/>
          <w:rtl/>
        </w:rPr>
        <w:t>يستحيل</w:t>
      </w:r>
      <w:r w:rsidRPr="00282AC9">
        <w:rPr>
          <w:rFonts w:hint="cs"/>
          <w:sz w:val="27"/>
          <w:rtl/>
        </w:rPr>
        <w:t xml:space="preserve"> صدوره دائميّاً أو أكثريّاً. </w:t>
      </w:r>
    </w:p>
    <w:p w:rsidR="002C1D33" w:rsidRPr="00282AC9" w:rsidRDefault="002C1D33" w:rsidP="00715FC8">
      <w:pPr>
        <w:rPr>
          <w:sz w:val="27"/>
          <w:rtl/>
        </w:rPr>
      </w:pPr>
      <w:r w:rsidRPr="00282AC9">
        <w:rPr>
          <w:rFonts w:hint="cs"/>
          <w:b/>
          <w:bCs/>
          <w:sz w:val="27"/>
          <w:rtl/>
        </w:rPr>
        <w:t>وفيه</w:t>
      </w:r>
      <w:r w:rsidRPr="00282AC9">
        <w:rPr>
          <w:rFonts w:hint="cs"/>
          <w:sz w:val="27"/>
          <w:rtl/>
        </w:rPr>
        <w:t xml:space="preserve">: </w:t>
      </w:r>
    </w:p>
    <w:p w:rsidR="002C1D33" w:rsidRPr="00282AC9" w:rsidRDefault="002C1D33" w:rsidP="00715FC8">
      <w:pPr>
        <w:rPr>
          <w:sz w:val="27"/>
          <w:rtl/>
        </w:rPr>
      </w:pPr>
      <w:r w:rsidRPr="00282AC9">
        <w:rPr>
          <w:rFonts w:hint="cs"/>
          <w:b/>
          <w:bCs/>
          <w:sz w:val="27"/>
          <w:rtl/>
        </w:rPr>
        <w:t>أوّلاً</w:t>
      </w:r>
      <w:r w:rsidRPr="00282AC9">
        <w:rPr>
          <w:rFonts w:hint="cs"/>
          <w:sz w:val="27"/>
          <w:rtl/>
        </w:rPr>
        <w:t>: لو تمّ هذا فهو ي</w:t>
      </w:r>
      <w:r w:rsidR="00873637" w:rsidRPr="00282AC9">
        <w:rPr>
          <w:rFonts w:hint="cs"/>
          <w:sz w:val="27"/>
          <w:rtl/>
        </w:rPr>
        <w:t>َ</w:t>
      </w:r>
      <w:r w:rsidRPr="00282AC9">
        <w:rPr>
          <w:rFonts w:hint="cs"/>
          <w:sz w:val="27"/>
          <w:rtl/>
        </w:rPr>
        <w:t>ر</w:t>
      </w:r>
      <w:r w:rsidR="00873637" w:rsidRPr="00282AC9">
        <w:rPr>
          <w:rFonts w:hint="cs"/>
          <w:sz w:val="27"/>
          <w:rtl/>
        </w:rPr>
        <w:t>ِ</w:t>
      </w:r>
      <w:r w:rsidRPr="00282AC9">
        <w:rPr>
          <w:rFonts w:hint="cs"/>
          <w:sz w:val="27"/>
          <w:rtl/>
        </w:rPr>
        <w:t>د</w:t>
      </w:r>
      <w:r w:rsidR="00873637" w:rsidRPr="00282AC9">
        <w:rPr>
          <w:rFonts w:hint="cs"/>
          <w:sz w:val="27"/>
          <w:rtl/>
        </w:rPr>
        <w:t>ُ</w:t>
      </w:r>
      <w:r w:rsidRPr="00282AC9">
        <w:rPr>
          <w:rFonts w:hint="cs"/>
          <w:sz w:val="27"/>
          <w:rtl/>
        </w:rPr>
        <w:t xml:space="preserve"> على القائل بعقليّة المبدأ الأرسطي </w:t>
      </w:r>
      <w:r w:rsidR="00873637" w:rsidRPr="00282AC9">
        <w:rPr>
          <w:rFonts w:hint="cs"/>
          <w:sz w:val="24"/>
          <w:szCs w:val="24"/>
          <w:rtl/>
        </w:rPr>
        <w:t>«</w:t>
      </w:r>
      <w:r w:rsidRPr="00282AC9">
        <w:rPr>
          <w:rFonts w:hint="cs"/>
          <w:sz w:val="27"/>
          <w:rtl/>
        </w:rPr>
        <w:t>الات</w:t>
      </w:r>
      <w:r w:rsidR="00873637" w:rsidRPr="00282AC9">
        <w:rPr>
          <w:rFonts w:hint="cs"/>
          <w:sz w:val="27"/>
          <w:rtl/>
        </w:rPr>
        <w:t>ّ</w:t>
      </w:r>
      <w:r w:rsidRPr="00282AC9">
        <w:rPr>
          <w:rFonts w:hint="cs"/>
          <w:sz w:val="27"/>
          <w:rtl/>
        </w:rPr>
        <w:t>فاقي لا يكون دائميّاً ولا أكثريّاً</w:t>
      </w:r>
      <w:r w:rsidR="00873637" w:rsidRPr="00282AC9">
        <w:rPr>
          <w:rFonts w:hint="cs"/>
          <w:sz w:val="24"/>
          <w:szCs w:val="24"/>
          <w:rtl/>
        </w:rPr>
        <w:t>»</w:t>
      </w:r>
      <w:r w:rsidRPr="00282AC9">
        <w:rPr>
          <w:rFonts w:hint="cs"/>
          <w:sz w:val="27"/>
          <w:rtl/>
        </w:rPr>
        <w:t xml:space="preserve"> أيضاً</w:t>
      </w:r>
      <w:r w:rsidR="00873637" w:rsidRPr="00282AC9">
        <w:rPr>
          <w:rFonts w:hint="cs"/>
          <w:sz w:val="27"/>
          <w:rtl/>
        </w:rPr>
        <w:t>؛</w:t>
      </w:r>
      <w:r w:rsidRPr="00282AC9">
        <w:rPr>
          <w:rFonts w:hint="cs"/>
          <w:sz w:val="27"/>
          <w:rtl/>
        </w:rPr>
        <w:t xml:space="preserve"> لأن</w:t>
      </w:r>
      <w:r w:rsidR="00873637" w:rsidRPr="00282AC9">
        <w:rPr>
          <w:rFonts w:hint="cs"/>
          <w:sz w:val="27"/>
          <w:rtl/>
        </w:rPr>
        <w:t>ه</w:t>
      </w:r>
      <w:r w:rsidRPr="00282AC9">
        <w:rPr>
          <w:rFonts w:hint="cs"/>
          <w:sz w:val="27"/>
          <w:rtl/>
        </w:rPr>
        <w:t xml:space="preserve"> مهما تكرّ</w:t>
      </w:r>
      <w:r w:rsidR="00873637" w:rsidRPr="00282AC9">
        <w:rPr>
          <w:rFonts w:hint="cs"/>
          <w:sz w:val="27"/>
          <w:rtl/>
        </w:rPr>
        <w:t>َ</w:t>
      </w:r>
      <w:r w:rsidRPr="00282AC9">
        <w:rPr>
          <w:rFonts w:hint="cs"/>
          <w:sz w:val="27"/>
          <w:rtl/>
        </w:rPr>
        <w:t>ر صدور الأثر عن المؤث</w:t>
      </w:r>
      <w:r w:rsidR="00873637" w:rsidRPr="00282AC9">
        <w:rPr>
          <w:rFonts w:hint="cs"/>
          <w:sz w:val="27"/>
          <w:rtl/>
        </w:rPr>
        <w:t>ِّ</w:t>
      </w:r>
      <w:r w:rsidRPr="00282AC9">
        <w:rPr>
          <w:rFonts w:hint="cs"/>
          <w:sz w:val="27"/>
          <w:rtl/>
        </w:rPr>
        <w:t>ر لا يمكن استنتاج السببيّة منها</w:t>
      </w:r>
      <w:r w:rsidR="00873637" w:rsidRPr="00282AC9">
        <w:rPr>
          <w:rFonts w:hint="cs"/>
          <w:sz w:val="27"/>
          <w:rtl/>
        </w:rPr>
        <w:t>؛</w:t>
      </w:r>
      <w:r w:rsidRPr="00282AC9">
        <w:rPr>
          <w:rFonts w:hint="cs"/>
          <w:sz w:val="27"/>
          <w:rtl/>
        </w:rPr>
        <w:t xml:space="preserve"> لأنّنا لم نحرز بعد</w:t>
      </w:r>
      <w:r w:rsidR="00873637" w:rsidRPr="00282AC9">
        <w:rPr>
          <w:rFonts w:hint="cs"/>
          <w:sz w:val="27"/>
          <w:rtl/>
        </w:rPr>
        <w:t>ُ</w:t>
      </w:r>
      <w:r w:rsidRPr="00282AC9">
        <w:rPr>
          <w:rFonts w:hint="cs"/>
          <w:sz w:val="27"/>
          <w:rtl/>
        </w:rPr>
        <w:t xml:space="preserve"> </w:t>
      </w:r>
      <w:r w:rsidR="00873637" w:rsidRPr="00282AC9">
        <w:rPr>
          <w:rFonts w:hint="cs"/>
          <w:sz w:val="27"/>
          <w:rtl/>
        </w:rPr>
        <w:t>أن</w:t>
      </w:r>
      <w:r w:rsidRPr="00282AC9">
        <w:rPr>
          <w:rFonts w:hint="cs"/>
          <w:sz w:val="27"/>
          <w:rtl/>
        </w:rPr>
        <w:t xml:space="preserve"> هذا المقدار من التكرار هل يمث</w:t>
      </w:r>
      <w:r w:rsidR="00873637" w:rsidRPr="00282AC9">
        <w:rPr>
          <w:rFonts w:hint="cs"/>
          <w:sz w:val="27"/>
          <w:rtl/>
        </w:rPr>
        <w:t>ِّ</w:t>
      </w:r>
      <w:r w:rsidRPr="00282AC9">
        <w:rPr>
          <w:rFonts w:hint="cs"/>
          <w:sz w:val="27"/>
          <w:rtl/>
        </w:rPr>
        <w:t xml:space="preserve">ل الأكثريّة التي </w:t>
      </w:r>
      <w:r w:rsidRPr="00282AC9">
        <w:rPr>
          <w:rFonts w:hint="cs"/>
          <w:sz w:val="27"/>
          <w:rtl/>
        </w:rPr>
        <w:lastRenderedPageBreak/>
        <w:t>يمتنع صدورها أو لا</w:t>
      </w:r>
      <w:r w:rsidR="00873637" w:rsidRPr="00282AC9">
        <w:rPr>
          <w:rFonts w:hint="cs"/>
          <w:sz w:val="27"/>
          <w:rtl/>
        </w:rPr>
        <w:t>؟</w:t>
      </w:r>
      <w:r w:rsidRPr="00282AC9">
        <w:rPr>
          <w:rFonts w:hint="cs"/>
          <w:sz w:val="27"/>
          <w:rtl/>
        </w:rPr>
        <w:t xml:space="preserve"> لأن المبدأ الأرسطيّ لا يملك صياغة</w:t>
      </w:r>
      <w:r w:rsidR="00873637" w:rsidRPr="00282AC9">
        <w:rPr>
          <w:rFonts w:hint="cs"/>
          <w:sz w:val="27"/>
          <w:rtl/>
        </w:rPr>
        <w:t>ً</w:t>
      </w:r>
      <w:r w:rsidRPr="00282AC9">
        <w:rPr>
          <w:rFonts w:hint="cs"/>
          <w:sz w:val="27"/>
          <w:rtl/>
        </w:rPr>
        <w:t xml:space="preserve"> واضحة محدّ</w:t>
      </w:r>
      <w:r w:rsidR="00873637" w:rsidRPr="00282AC9">
        <w:rPr>
          <w:rFonts w:hint="cs"/>
          <w:sz w:val="27"/>
          <w:rtl/>
        </w:rPr>
        <w:t>َ</w:t>
      </w:r>
      <w:r w:rsidRPr="00282AC9">
        <w:rPr>
          <w:rFonts w:hint="cs"/>
          <w:sz w:val="27"/>
          <w:rtl/>
        </w:rPr>
        <w:t>دة</w:t>
      </w:r>
      <w:r w:rsidR="00873637" w:rsidRPr="00282AC9">
        <w:rPr>
          <w:rFonts w:hint="cs"/>
          <w:sz w:val="27"/>
          <w:rtl/>
        </w:rPr>
        <w:t>، يمكن أن نحر</w:t>
      </w:r>
      <w:r w:rsidRPr="00282AC9">
        <w:rPr>
          <w:rFonts w:hint="cs"/>
          <w:sz w:val="27"/>
          <w:rtl/>
        </w:rPr>
        <w:t>ز بها مفاده</w:t>
      </w:r>
      <w:r w:rsidR="00873637" w:rsidRPr="00282AC9">
        <w:rPr>
          <w:rFonts w:hint="cs"/>
          <w:sz w:val="27"/>
          <w:rtl/>
        </w:rPr>
        <w:t>،</w:t>
      </w:r>
      <w:r w:rsidRPr="00282AC9">
        <w:rPr>
          <w:rFonts w:hint="cs"/>
          <w:sz w:val="27"/>
          <w:rtl/>
        </w:rPr>
        <w:t xml:space="preserve"> من حيث الدائميّة والأكثريّة</w:t>
      </w:r>
      <w:r w:rsidR="00873637" w:rsidRPr="00282AC9">
        <w:rPr>
          <w:rFonts w:hint="cs"/>
          <w:sz w:val="27"/>
          <w:rtl/>
        </w:rPr>
        <w:t>.</w:t>
      </w:r>
      <w:r w:rsidRPr="00282AC9">
        <w:rPr>
          <w:rFonts w:hint="cs"/>
          <w:sz w:val="27"/>
          <w:rtl/>
        </w:rPr>
        <w:t xml:space="preserve"> وهذا ما أثاره عليه صاحب الأسس تحت عنوان: حاجة المبدأ إلى صيغة</w:t>
      </w:r>
      <w:r w:rsidR="00873637" w:rsidRPr="00282AC9">
        <w:rPr>
          <w:rFonts w:hint="cs"/>
          <w:sz w:val="27"/>
          <w:rtl/>
        </w:rPr>
        <w:t>ٍ</w:t>
      </w:r>
      <w:r w:rsidRPr="00282AC9">
        <w:rPr>
          <w:rFonts w:hint="cs"/>
          <w:sz w:val="27"/>
          <w:rtl/>
        </w:rPr>
        <w:t xml:space="preserve"> محدّ</w:t>
      </w:r>
      <w:r w:rsidR="00873637" w:rsidRPr="00282AC9">
        <w:rPr>
          <w:rFonts w:hint="cs"/>
          <w:sz w:val="27"/>
          <w:rtl/>
        </w:rPr>
        <w:t>َ</w:t>
      </w:r>
      <w:r w:rsidRPr="00282AC9">
        <w:rPr>
          <w:rFonts w:hint="cs"/>
          <w:sz w:val="27"/>
          <w:rtl/>
        </w:rPr>
        <w:t xml:space="preserve">دة، حيث يقول: </w:t>
      </w:r>
      <w:r w:rsidR="00873637" w:rsidRPr="00282AC9">
        <w:rPr>
          <w:rFonts w:hint="cs"/>
          <w:sz w:val="24"/>
          <w:szCs w:val="24"/>
          <w:rtl/>
        </w:rPr>
        <w:t>«</w:t>
      </w:r>
      <w:r w:rsidRPr="00282AC9">
        <w:rPr>
          <w:rFonts w:hint="cs"/>
          <w:sz w:val="27"/>
          <w:rtl/>
        </w:rPr>
        <w:t>ورغم كلّ هذه الإيضاحات السابقة ظلّت نقطة</w:t>
      </w:r>
      <w:r w:rsidR="00873637" w:rsidRPr="00282AC9">
        <w:rPr>
          <w:rFonts w:hint="cs"/>
          <w:sz w:val="27"/>
          <w:rtl/>
        </w:rPr>
        <w:t>ٌ</w:t>
      </w:r>
      <w:r w:rsidRPr="00282AC9">
        <w:rPr>
          <w:rFonts w:hint="cs"/>
          <w:sz w:val="27"/>
          <w:rtl/>
        </w:rPr>
        <w:t xml:space="preserve"> جوهريّة بحاجة</w:t>
      </w:r>
      <w:r w:rsidR="00873637" w:rsidRPr="00282AC9">
        <w:rPr>
          <w:rFonts w:hint="cs"/>
          <w:sz w:val="27"/>
          <w:rtl/>
        </w:rPr>
        <w:t>ٍ</w:t>
      </w:r>
      <w:r w:rsidRPr="00282AC9">
        <w:rPr>
          <w:rFonts w:hint="cs"/>
          <w:sz w:val="27"/>
          <w:rtl/>
        </w:rPr>
        <w:t xml:space="preserve"> إلى الإيضاح والتحديد في المبدأ الأرسطيّ للاستقراء، وهي أنّ المبدأ الأرسطيّ</w:t>
      </w:r>
      <w:r w:rsidR="00873637" w:rsidRPr="00282AC9">
        <w:rPr>
          <w:rFonts w:hint="cs"/>
          <w:sz w:val="27"/>
          <w:rtl/>
        </w:rPr>
        <w:t xml:space="preserve"> ينفي تكرار الصدفة النسبيّة، أي</w:t>
      </w:r>
      <w:r w:rsidRPr="00282AC9">
        <w:rPr>
          <w:rFonts w:hint="cs"/>
          <w:sz w:val="27"/>
          <w:rtl/>
        </w:rPr>
        <w:t xml:space="preserve"> تتابع صدف نسبيّة متماثلة، ولكن</w:t>
      </w:r>
      <w:r w:rsidR="00873637" w:rsidRPr="00282AC9">
        <w:rPr>
          <w:rFonts w:hint="cs"/>
          <w:sz w:val="27"/>
          <w:rtl/>
        </w:rPr>
        <w:t>ْ</w:t>
      </w:r>
      <w:r w:rsidRPr="00282AC9">
        <w:rPr>
          <w:rFonts w:hint="cs"/>
          <w:sz w:val="27"/>
          <w:rtl/>
        </w:rPr>
        <w:t xml:space="preserve"> لا يحدّ</w:t>
      </w:r>
      <w:r w:rsidR="00873637" w:rsidRPr="00282AC9">
        <w:rPr>
          <w:rFonts w:hint="cs"/>
          <w:sz w:val="27"/>
          <w:rtl/>
        </w:rPr>
        <w:t>ِ</w:t>
      </w:r>
      <w:r w:rsidRPr="00282AC9">
        <w:rPr>
          <w:rFonts w:hint="cs"/>
          <w:sz w:val="27"/>
          <w:rtl/>
        </w:rPr>
        <w:t>د درجة التكرار والتتابع الذي ينفيه. فهل ينفي تكرار الصدفة النسبيّة بالق</w:t>
      </w:r>
      <w:r w:rsidR="00873637" w:rsidRPr="00282AC9">
        <w:rPr>
          <w:rFonts w:hint="cs"/>
          <w:sz w:val="27"/>
          <w:rtl/>
        </w:rPr>
        <w:t>َ</w:t>
      </w:r>
      <w:r w:rsidRPr="00282AC9">
        <w:rPr>
          <w:rFonts w:hint="cs"/>
          <w:sz w:val="27"/>
          <w:rtl/>
        </w:rPr>
        <w:t>د</w:t>
      </w:r>
      <w:r w:rsidR="00873637" w:rsidRPr="00282AC9">
        <w:rPr>
          <w:rFonts w:hint="cs"/>
          <w:sz w:val="27"/>
          <w:rtl/>
        </w:rPr>
        <w:t>ْ</w:t>
      </w:r>
      <w:r w:rsidRPr="00282AC9">
        <w:rPr>
          <w:rFonts w:hint="cs"/>
          <w:sz w:val="27"/>
          <w:rtl/>
        </w:rPr>
        <w:t>ر الذي يستوعب كلّ عمر الطبيعة، بما يضم</w:t>
      </w:r>
      <w:r w:rsidR="00873637" w:rsidRPr="00282AC9">
        <w:rPr>
          <w:rFonts w:hint="cs"/>
          <w:sz w:val="27"/>
          <w:rtl/>
        </w:rPr>
        <w:t>ّ</w:t>
      </w:r>
      <w:r w:rsidRPr="00282AC9">
        <w:rPr>
          <w:rFonts w:hint="cs"/>
          <w:sz w:val="27"/>
          <w:rtl/>
        </w:rPr>
        <w:t xml:space="preserve"> من زمان</w:t>
      </w:r>
      <w:r w:rsidR="00873637" w:rsidRPr="00282AC9">
        <w:rPr>
          <w:rFonts w:hint="cs"/>
          <w:sz w:val="27"/>
          <w:rtl/>
        </w:rPr>
        <w:t>ٍ</w:t>
      </w:r>
      <w:r w:rsidRPr="00282AC9">
        <w:rPr>
          <w:rFonts w:hint="cs"/>
          <w:sz w:val="27"/>
          <w:rtl/>
        </w:rPr>
        <w:t xml:space="preserve"> حاضر وماضٍ ومستقبل</w:t>
      </w:r>
      <w:r w:rsidR="00873637" w:rsidRPr="00282AC9">
        <w:rPr>
          <w:rFonts w:hint="cs"/>
          <w:sz w:val="27"/>
          <w:rtl/>
        </w:rPr>
        <w:t>،</w:t>
      </w:r>
      <w:r w:rsidRPr="00282AC9">
        <w:rPr>
          <w:rFonts w:hint="cs"/>
          <w:sz w:val="27"/>
          <w:rtl/>
        </w:rPr>
        <w:t xml:space="preserve"> أو ينفي تكرار الصدفة النسبيّة في مجال</w:t>
      </w:r>
      <w:r w:rsidR="00873637" w:rsidRPr="00282AC9">
        <w:rPr>
          <w:rFonts w:hint="cs"/>
          <w:sz w:val="27"/>
          <w:rtl/>
        </w:rPr>
        <w:t>ٍ</w:t>
      </w:r>
      <w:r w:rsidRPr="00282AC9">
        <w:rPr>
          <w:rFonts w:hint="cs"/>
          <w:sz w:val="27"/>
          <w:rtl/>
        </w:rPr>
        <w:t xml:space="preserve"> محدّ</w:t>
      </w:r>
      <w:r w:rsidR="00873637" w:rsidRPr="00282AC9">
        <w:rPr>
          <w:rFonts w:hint="cs"/>
          <w:sz w:val="27"/>
          <w:rtl/>
        </w:rPr>
        <w:t>َ</w:t>
      </w:r>
      <w:r w:rsidRPr="00282AC9">
        <w:rPr>
          <w:rFonts w:hint="cs"/>
          <w:sz w:val="27"/>
          <w:rtl/>
        </w:rPr>
        <w:t>د</w:t>
      </w:r>
      <w:r w:rsidR="00873637" w:rsidRPr="00282AC9">
        <w:rPr>
          <w:rFonts w:hint="cs"/>
          <w:sz w:val="27"/>
          <w:rtl/>
        </w:rPr>
        <w:t>،</w:t>
      </w:r>
      <w:r w:rsidRPr="00282AC9">
        <w:rPr>
          <w:rFonts w:hint="cs"/>
          <w:sz w:val="27"/>
          <w:rtl/>
        </w:rPr>
        <w:t xml:space="preserve"> كمجال التجارب التي يقوم بها شخص، أو التي تقع خلال فترة</w:t>
      </w:r>
      <w:r w:rsidR="00873637" w:rsidRPr="00282AC9">
        <w:rPr>
          <w:rFonts w:hint="cs"/>
          <w:sz w:val="27"/>
          <w:rtl/>
        </w:rPr>
        <w:t>ٍ</w:t>
      </w:r>
      <w:r w:rsidRPr="00282AC9">
        <w:rPr>
          <w:rFonts w:hint="cs"/>
          <w:sz w:val="27"/>
          <w:rtl/>
        </w:rPr>
        <w:t xml:space="preserve"> زمنيّة معيّ</w:t>
      </w:r>
      <w:r w:rsidR="00873637" w:rsidRPr="00282AC9">
        <w:rPr>
          <w:rFonts w:hint="cs"/>
          <w:sz w:val="27"/>
          <w:rtl/>
        </w:rPr>
        <w:t>َ</w:t>
      </w:r>
      <w:r w:rsidRPr="00282AC9">
        <w:rPr>
          <w:rFonts w:hint="cs"/>
          <w:sz w:val="27"/>
          <w:rtl/>
        </w:rPr>
        <w:t>نة؟</w:t>
      </w:r>
      <w:r w:rsidR="00873637" w:rsidRPr="00282AC9">
        <w:rPr>
          <w:rFonts w:hint="cs"/>
          <w:sz w:val="24"/>
          <w:szCs w:val="24"/>
          <w:rtl/>
        </w:rPr>
        <w:t>»</w:t>
      </w:r>
      <w:r w:rsidRPr="00282AC9">
        <w:rPr>
          <w:rFonts w:hint="cs"/>
          <w:sz w:val="27"/>
          <w:vertAlign w:val="superscript"/>
          <w:rtl/>
        </w:rPr>
        <w:t>(</w:t>
      </w:r>
      <w:r w:rsidRPr="00282AC9">
        <w:rPr>
          <w:rStyle w:val="af9"/>
          <w:rFonts w:hint="cs"/>
          <w:sz w:val="27"/>
          <w:rtl/>
        </w:rPr>
        <w:endnoteReference w:id="1022"/>
      </w:r>
      <w:r w:rsidRPr="00282AC9">
        <w:rPr>
          <w:rFonts w:hint="cs"/>
          <w:sz w:val="27"/>
          <w:vertAlign w:val="superscript"/>
          <w:rtl/>
        </w:rPr>
        <w:t>)</w:t>
      </w:r>
      <w:r w:rsidR="00873637" w:rsidRPr="00282AC9">
        <w:rPr>
          <w:rFonts w:hint="cs"/>
          <w:sz w:val="27"/>
          <w:rtl/>
        </w:rPr>
        <w:t>.</w:t>
      </w:r>
      <w:r w:rsidRPr="00282AC9">
        <w:rPr>
          <w:rFonts w:hint="cs"/>
          <w:sz w:val="27"/>
          <w:rtl/>
        </w:rPr>
        <w:t xml:space="preserve"> ومن دون تحديد صياغة</w:t>
      </w:r>
      <w:r w:rsidR="00486141" w:rsidRPr="00282AC9">
        <w:rPr>
          <w:rFonts w:hint="cs"/>
          <w:sz w:val="27"/>
          <w:rtl/>
        </w:rPr>
        <w:t>ٍ</w:t>
      </w:r>
      <w:r w:rsidRPr="00282AC9">
        <w:rPr>
          <w:rFonts w:hint="cs"/>
          <w:sz w:val="27"/>
          <w:rtl/>
        </w:rPr>
        <w:t xml:space="preserve"> معيّ</w:t>
      </w:r>
      <w:r w:rsidR="00486141" w:rsidRPr="00282AC9">
        <w:rPr>
          <w:rFonts w:hint="cs"/>
          <w:sz w:val="27"/>
          <w:rtl/>
        </w:rPr>
        <w:t>َ</w:t>
      </w:r>
      <w:r w:rsidRPr="00282AC9">
        <w:rPr>
          <w:rFonts w:hint="cs"/>
          <w:sz w:val="27"/>
          <w:rtl/>
        </w:rPr>
        <w:t>نة يبقى هذا الإشكال وارداً. نعم</w:t>
      </w:r>
      <w:r w:rsidR="00486141" w:rsidRPr="00282AC9">
        <w:rPr>
          <w:rFonts w:hint="cs"/>
          <w:sz w:val="27"/>
          <w:rtl/>
        </w:rPr>
        <w:t>،</w:t>
      </w:r>
      <w:r w:rsidRPr="00282AC9">
        <w:rPr>
          <w:rFonts w:hint="cs"/>
          <w:sz w:val="27"/>
          <w:rtl/>
        </w:rPr>
        <w:t xml:space="preserve"> ذكر الشيخ</w:t>
      </w:r>
      <w:r w:rsidR="00486141" w:rsidRPr="00282AC9">
        <w:rPr>
          <w:rFonts w:hint="cs"/>
          <w:sz w:val="27"/>
          <w:rtl/>
        </w:rPr>
        <w:t xml:space="preserve"> المصريّ</w:t>
      </w:r>
      <w:r w:rsidRPr="00282AC9">
        <w:rPr>
          <w:rFonts w:hint="cs"/>
          <w:sz w:val="27"/>
          <w:rtl/>
        </w:rPr>
        <w:t xml:space="preserve"> رد</w:t>
      </w:r>
      <w:r w:rsidR="00486141" w:rsidRPr="00282AC9">
        <w:rPr>
          <w:rFonts w:hint="cs"/>
          <w:sz w:val="27"/>
          <w:rtl/>
        </w:rPr>
        <w:t>ّ</w:t>
      </w:r>
      <w:r w:rsidRPr="00282AC9">
        <w:rPr>
          <w:rFonts w:hint="cs"/>
          <w:sz w:val="27"/>
          <w:rtl/>
        </w:rPr>
        <w:t>اً على إشكال حاجة المبدأ إلى صيغة</w:t>
      </w:r>
      <w:r w:rsidR="00486141" w:rsidRPr="00282AC9">
        <w:rPr>
          <w:rFonts w:hint="cs"/>
          <w:sz w:val="27"/>
          <w:rtl/>
        </w:rPr>
        <w:t>ٍ</w:t>
      </w:r>
      <w:r w:rsidRPr="00282AC9">
        <w:rPr>
          <w:rFonts w:hint="cs"/>
          <w:sz w:val="27"/>
          <w:rtl/>
        </w:rPr>
        <w:t xml:space="preserve"> محدّ</w:t>
      </w:r>
      <w:r w:rsidR="00486141" w:rsidRPr="00282AC9">
        <w:rPr>
          <w:rFonts w:hint="cs"/>
          <w:sz w:val="27"/>
          <w:rtl/>
        </w:rPr>
        <w:t>َ</w:t>
      </w:r>
      <w:r w:rsidRPr="00282AC9">
        <w:rPr>
          <w:rFonts w:hint="cs"/>
          <w:sz w:val="27"/>
          <w:rtl/>
        </w:rPr>
        <w:t xml:space="preserve">دة، </w:t>
      </w:r>
      <w:r w:rsidR="00486141" w:rsidRPr="00282AC9">
        <w:rPr>
          <w:rFonts w:hint="cs"/>
          <w:sz w:val="27"/>
          <w:rtl/>
        </w:rPr>
        <w:t>و</w:t>
      </w:r>
      <w:r w:rsidRPr="00282AC9">
        <w:rPr>
          <w:rFonts w:hint="cs"/>
          <w:sz w:val="27"/>
          <w:rtl/>
        </w:rPr>
        <w:t>سن</w:t>
      </w:r>
      <w:r w:rsidR="00486141" w:rsidRPr="00282AC9">
        <w:rPr>
          <w:rFonts w:hint="cs"/>
          <w:sz w:val="27"/>
          <w:rtl/>
        </w:rPr>
        <w:t>ت</w:t>
      </w:r>
      <w:r w:rsidRPr="00282AC9">
        <w:rPr>
          <w:rFonts w:hint="cs"/>
          <w:sz w:val="27"/>
          <w:rtl/>
        </w:rPr>
        <w:t>عرّ</w:t>
      </w:r>
      <w:r w:rsidR="00486141" w:rsidRPr="00282AC9">
        <w:rPr>
          <w:rFonts w:hint="cs"/>
          <w:sz w:val="27"/>
          <w:rtl/>
        </w:rPr>
        <w:t>َ</w:t>
      </w:r>
      <w:r w:rsidRPr="00282AC9">
        <w:rPr>
          <w:rFonts w:hint="cs"/>
          <w:sz w:val="27"/>
          <w:rtl/>
        </w:rPr>
        <w:t>ض إليه لاحقاً، فانتظ</w:t>
      </w:r>
      <w:r w:rsidR="00486141" w:rsidRPr="00282AC9">
        <w:rPr>
          <w:rFonts w:hint="cs"/>
          <w:sz w:val="27"/>
          <w:rtl/>
        </w:rPr>
        <w:t>ِ</w:t>
      </w:r>
      <w:r w:rsidRPr="00282AC9">
        <w:rPr>
          <w:rFonts w:hint="cs"/>
          <w:sz w:val="27"/>
          <w:rtl/>
        </w:rPr>
        <w:t>ر</w:t>
      </w:r>
      <w:r w:rsidR="00486141" w:rsidRPr="00282AC9">
        <w:rPr>
          <w:rFonts w:hint="cs"/>
          <w:sz w:val="27"/>
          <w:rtl/>
        </w:rPr>
        <w:t>ْ</w:t>
      </w:r>
      <w:r w:rsidRPr="00282AC9">
        <w:rPr>
          <w:rFonts w:hint="cs"/>
          <w:sz w:val="27"/>
          <w:rtl/>
        </w:rPr>
        <w:t>.</w:t>
      </w:r>
    </w:p>
    <w:p w:rsidR="002C1D33" w:rsidRPr="00282AC9" w:rsidRDefault="002C1D33" w:rsidP="00715FC8">
      <w:pPr>
        <w:rPr>
          <w:sz w:val="27"/>
          <w:rtl/>
        </w:rPr>
      </w:pPr>
      <w:r w:rsidRPr="00282AC9">
        <w:rPr>
          <w:rFonts w:hint="cs"/>
          <w:b/>
          <w:bCs/>
          <w:sz w:val="27"/>
          <w:rtl/>
        </w:rPr>
        <w:t>ثانياً</w:t>
      </w:r>
      <w:r w:rsidRPr="00282AC9">
        <w:rPr>
          <w:rFonts w:hint="cs"/>
          <w:sz w:val="27"/>
          <w:rtl/>
        </w:rPr>
        <w:t>: ما دام الاتفاقيّ (الصدفة) ثبوتاً قابل</w:t>
      </w:r>
      <w:r w:rsidR="00486141" w:rsidRPr="00282AC9">
        <w:rPr>
          <w:rFonts w:hint="cs"/>
          <w:sz w:val="27"/>
          <w:rtl/>
        </w:rPr>
        <w:t>اً</w:t>
      </w:r>
      <w:r w:rsidRPr="00282AC9">
        <w:rPr>
          <w:rFonts w:hint="cs"/>
          <w:sz w:val="27"/>
          <w:rtl/>
        </w:rPr>
        <w:t xml:space="preserve"> أن يتكرّ</w:t>
      </w:r>
      <w:r w:rsidR="00486141" w:rsidRPr="00282AC9">
        <w:rPr>
          <w:rFonts w:hint="cs"/>
          <w:sz w:val="27"/>
          <w:rtl/>
        </w:rPr>
        <w:t>َ</w:t>
      </w:r>
      <w:r w:rsidRPr="00282AC9">
        <w:rPr>
          <w:rFonts w:hint="cs"/>
          <w:sz w:val="27"/>
          <w:rtl/>
        </w:rPr>
        <w:t>ر أكثريّاً ودائميّاً فإن كلّ تجربة</w:t>
      </w:r>
      <w:r w:rsidR="00486141" w:rsidRPr="00282AC9">
        <w:rPr>
          <w:rFonts w:hint="cs"/>
          <w:sz w:val="27"/>
          <w:rtl/>
        </w:rPr>
        <w:t>ٍ</w:t>
      </w:r>
      <w:r w:rsidRPr="00282AC9">
        <w:rPr>
          <w:rFonts w:hint="cs"/>
          <w:sz w:val="27"/>
          <w:rtl/>
        </w:rPr>
        <w:t xml:space="preserve"> نقوم بها تكشف لنا عن جزء عن الواقع، وكلّما تتعدّ</w:t>
      </w:r>
      <w:r w:rsidR="00486141" w:rsidRPr="00282AC9">
        <w:rPr>
          <w:rFonts w:hint="cs"/>
          <w:sz w:val="27"/>
          <w:rtl/>
        </w:rPr>
        <w:t>َ</w:t>
      </w:r>
      <w:r w:rsidRPr="00282AC9">
        <w:rPr>
          <w:rFonts w:hint="cs"/>
          <w:sz w:val="27"/>
          <w:rtl/>
        </w:rPr>
        <w:t>د التجارب تزداد درجة الكشف، حيث تكون كلّ تجربة</w:t>
      </w:r>
      <w:r w:rsidR="00486141" w:rsidRPr="00282AC9">
        <w:rPr>
          <w:rFonts w:hint="cs"/>
          <w:sz w:val="27"/>
          <w:rtl/>
        </w:rPr>
        <w:t>ٍ</w:t>
      </w:r>
      <w:r w:rsidRPr="00282AC9">
        <w:rPr>
          <w:rFonts w:hint="cs"/>
          <w:sz w:val="27"/>
          <w:rtl/>
        </w:rPr>
        <w:t xml:space="preserve"> يظهر فيها اقتران (أ) مع (ب) مثلاً هي بمثابة ترجي</w:t>
      </w:r>
      <w:r w:rsidR="00486141" w:rsidRPr="00282AC9">
        <w:rPr>
          <w:rFonts w:hint="cs"/>
          <w:sz w:val="27"/>
          <w:rtl/>
        </w:rPr>
        <w:t>حٍ</w:t>
      </w:r>
      <w:r w:rsidRPr="00282AC9">
        <w:rPr>
          <w:rFonts w:hint="cs"/>
          <w:sz w:val="27"/>
          <w:rtl/>
        </w:rPr>
        <w:t xml:space="preserve"> ج</w:t>
      </w:r>
      <w:r w:rsidR="00486141" w:rsidRPr="00282AC9">
        <w:rPr>
          <w:rFonts w:hint="cs"/>
          <w:sz w:val="27"/>
          <w:rtl/>
        </w:rPr>
        <w:t>ز</w:t>
      </w:r>
      <w:r w:rsidRPr="00282AC9">
        <w:rPr>
          <w:rFonts w:hint="cs"/>
          <w:sz w:val="27"/>
          <w:rtl/>
        </w:rPr>
        <w:t>ئيّ</w:t>
      </w:r>
      <w:r w:rsidR="00486141" w:rsidRPr="00282AC9">
        <w:rPr>
          <w:rFonts w:hint="cs"/>
          <w:sz w:val="27"/>
          <w:rtl/>
        </w:rPr>
        <w:t>ٍ</w:t>
      </w:r>
      <w:r w:rsidRPr="00282AC9">
        <w:rPr>
          <w:rFonts w:hint="cs"/>
          <w:sz w:val="27"/>
          <w:rtl/>
        </w:rPr>
        <w:t xml:space="preserve"> لطرف من أطراف القضية الممكنة، وفق حساب الاحتمال، حت</w:t>
      </w:r>
      <w:r w:rsidR="00486141" w:rsidRPr="00282AC9">
        <w:rPr>
          <w:rFonts w:hint="cs"/>
          <w:sz w:val="27"/>
          <w:rtl/>
        </w:rPr>
        <w:t>ّ</w:t>
      </w:r>
      <w:r w:rsidRPr="00282AC9">
        <w:rPr>
          <w:rFonts w:hint="cs"/>
          <w:sz w:val="27"/>
          <w:rtl/>
        </w:rPr>
        <w:t xml:space="preserve">ى نصل </w:t>
      </w:r>
      <w:r w:rsidR="00486141" w:rsidRPr="00282AC9">
        <w:rPr>
          <w:rFonts w:hint="cs"/>
          <w:sz w:val="27"/>
          <w:rtl/>
        </w:rPr>
        <w:t xml:space="preserve">إلى </w:t>
      </w:r>
      <w:r w:rsidRPr="00282AC9">
        <w:rPr>
          <w:rFonts w:hint="cs"/>
          <w:sz w:val="27"/>
          <w:rtl/>
        </w:rPr>
        <w:t>مرحلة</w:t>
      </w:r>
      <w:r w:rsidR="00486141" w:rsidRPr="00282AC9">
        <w:rPr>
          <w:rFonts w:hint="cs"/>
          <w:sz w:val="27"/>
          <w:rtl/>
        </w:rPr>
        <w:t>ٍ</w:t>
      </w:r>
      <w:r w:rsidRPr="00282AC9">
        <w:rPr>
          <w:rFonts w:hint="cs"/>
          <w:sz w:val="27"/>
          <w:rtl/>
        </w:rPr>
        <w:t xml:space="preserve"> تكون درجة الكشف المنكشفة بحساب الاحتمال تبرّ</w:t>
      </w:r>
      <w:r w:rsidR="00704997" w:rsidRPr="00282AC9">
        <w:rPr>
          <w:rFonts w:hint="cs"/>
          <w:sz w:val="27"/>
          <w:rtl/>
        </w:rPr>
        <w:t>ِ</w:t>
      </w:r>
      <w:r w:rsidRPr="00282AC9">
        <w:rPr>
          <w:rFonts w:hint="cs"/>
          <w:sz w:val="27"/>
          <w:rtl/>
        </w:rPr>
        <w:t>ر الاعتقاد بنتيجتها اعتقاداً منطقياً</w:t>
      </w:r>
      <w:r w:rsidR="00704997" w:rsidRPr="00282AC9">
        <w:rPr>
          <w:rFonts w:hint="cs"/>
          <w:sz w:val="27"/>
          <w:rtl/>
        </w:rPr>
        <w:t>.</w:t>
      </w:r>
      <w:r w:rsidRPr="00282AC9">
        <w:rPr>
          <w:rFonts w:hint="cs"/>
          <w:sz w:val="27"/>
          <w:rtl/>
        </w:rPr>
        <w:t xml:space="preserve"> </w:t>
      </w:r>
      <w:r w:rsidR="00704997" w:rsidRPr="00282AC9">
        <w:rPr>
          <w:rFonts w:hint="cs"/>
          <w:sz w:val="27"/>
          <w:rtl/>
        </w:rPr>
        <w:t>وبعبارةٍ أخرى</w:t>
      </w:r>
      <w:r w:rsidRPr="00282AC9">
        <w:rPr>
          <w:rFonts w:hint="cs"/>
          <w:sz w:val="27"/>
          <w:rtl/>
        </w:rPr>
        <w:t>: إذا اقترن في التجربة ظهور (ب) مع (أ)، ونحتمل أن هناك سبب</w:t>
      </w:r>
      <w:r w:rsidR="00704997" w:rsidRPr="00282AC9">
        <w:rPr>
          <w:rFonts w:hint="cs"/>
          <w:sz w:val="27"/>
          <w:rtl/>
        </w:rPr>
        <w:t>اً</w:t>
      </w:r>
      <w:r w:rsidRPr="00282AC9">
        <w:rPr>
          <w:rFonts w:hint="cs"/>
          <w:sz w:val="27"/>
          <w:rtl/>
        </w:rPr>
        <w:t xml:space="preserve"> آخر هو سبب ظهور (ب) نرمز له بــ (ت)، فعند تكرار التجربة مرّة</w:t>
      </w:r>
      <w:r w:rsidR="00704997" w:rsidRPr="00282AC9">
        <w:rPr>
          <w:rFonts w:hint="cs"/>
          <w:sz w:val="27"/>
          <w:rtl/>
        </w:rPr>
        <w:t>ً</w:t>
      </w:r>
      <w:r w:rsidRPr="00282AC9">
        <w:rPr>
          <w:rFonts w:hint="cs"/>
          <w:sz w:val="27"/>
          <w:rtl/>
        </w:rPr>
        <w:t xml:space="preserve"> أخرى، واقترن (أ) مع (ب) أيضاً، مع احتمال وجود (ت)، يتكو</w:t>
      </w:r>
      <w:r w:rsidR="00704997" w:rsidRPr="00282AC9">
        <w:rPr>
          <w:rFonts w:hint="cs"/>
          <w:sz w:val="27"/>
          <w:rtl/>
        </w:rPr>
        <w:t>َّ</w:t>
      </w:r>
      <w:r w:rsidRPr="00282AC9">
        <w:rPr>
          <w:rFonts w:hint="cs"/>
          <w:sz w:val="27"/>
          <w:rtl/>
        </w:rPr>
        <w:t>ن علم</w:t>
      </w:r>
      <w:r w:rsidR="00704997" w:rsidRPr="00282AC9">
        <w:rPr>
          <w:rFonts w:hint="cs"/>
          <w:sz w:val="27"/>
          <w:rtl/>
        </w:rPr>
        <w:t>ٌ</w:t>
      </w:r>
      <w:r w:rsidRPr="00282AC9">
        <w:rPr>
          <w:rFonts w:hint="cs"/>
          <w:sz w:val="27"/>
          <w:rtl/>
        </w:rPr>
        <w:t xml:space="preserve"> إجماليّ من أربع حالات لـ (ت)</w:t>
      </w:r>
      <w:r w:rsidR="00704997" w:rsidRPr="00282AC9">
        <w:rPr>
          <w:rFonts w:hint="cs"/>
          <w:sz w:val="27"/>
          <w:rtl/>
        </w:rPr>
        <w:t>،</w:t>
      </w:r>
      <w:r w:rsidRPr="00282AC9">
        <w:rPr>
          <w:rFonts w:hint="cs"/>
          <w:sz w:val="27"/>
          <w:rtl/>
        </w:rPr>
        <w:t xml:space="preserve"> هي:</w:t>
      </w:r>
    </w:p>
    <w:p w:rsidR="002C1D33" w:rsidRPr="00282AC9" w:rsidRDefault="002C1D33" w:rsidP="00715FC8">
      <w:pPr>
        <w:rPr>
          <w:sz w:val="27"/>
          <w:rtl/>
        </w:rPr>
      </w:pPr>
      <w:r w:rsidRPr="00282AC9">
        <w:rPr>
          <w:rFonts w:hint="cs"/>
          <w:sz w:val="27"/>
          <w:rtl/>
        </w:rPr>
        <w:t xml:space="preserve">1ـ  </w:t>
      </w:r>
      <w:r w:rsidR="00704997" w:rsidRPr="00282AC9">
        <w:rPr>
          <w:rFonts w:hint="cs"/>
          <w:sz w:val="27"/>
          <w:rtl/>
        </w:rPr>
        <w:t>إ</w:t>
      </w:r>
      <w:r w:rsidRPr="00282AC9">
        <w:rPr>
          <w:rFonts w:hint="cs"/>
          <w:sz w:val="27"/>
          <w:rtl/>
        </w:rPr>
        <w:t>نّ (ت) لم يوجد مع كلتا التجربتين.</w:t>
      </w:r>
    </w:p>
    <w:p w:rsidR="002C1D33" w:rsidRPr="00282AC9" w:rsidRDefault="002C1D33" w:rsidP="00715FC8">
      <w:pPr>
        <w:rPr>
          <w:sz w:val="27"/>
          <w:rtl/>
        </w:rPr>
      </w:pPr>
      <w:r w:rsidRPr="00282AC9">
        <w:rPr>
          <w:rFonts w:hint="cs"/>
          <w:sz w:val="27"/>
          <w:rtl/>
        </w:rPr>
        <w:t xml:space="preserve">2ـ  </w:t>
      </w:r>
      <w:r w:rsidR="00704997" w:rsidRPr="00282AC9">
        <w:rPr>
          <w:rFonts w:hint="cs"/>
          <w:sz w:val="27"/>
          <w:rtl/>
        </w:rPr>
        <w:t>إ</w:t>
      </w:r>
      <w:r w:rsidRPr="00282AC9">
        <w:rPr>
          <w:rFonts w:hint="cs"/>
          <w:sz w:val="27"/>
          <w:rtl/>
        </w:rPr>
        <w:t>نّه وجد مع التجربة الأولى فقط.</w:t>
      </w:r>
    </w:p>
    <w:p w:rsidR="002C1D33" w:rsidRPr="00282AC9" w:rsidRDefault="002C1D33" w:rsidP="00715FC8">
      <w:pPr>
        <w:rPr>
          <w:sz w:val="27"/>
          <w:rtl/>
        </w:rPr>
      </w:pPr>
      <w:r w:rsidRPr="00282AC9">
        <w:rPr>
          <w:rFonts w:hint="cs"/>
          <w:sz w:val="27"/>
          <w:rtl/>
        </w:rPr>
        <w:t xml:space="preserve">3ـ  </w:t>
      </w:r>
      <w:r w:rsidR="00704997" w:rsidRPr="00282AC9">
        <w:rPr>
          <w:rFonts w:hint="cs"/>
          <w:sz w:val="27"/>
          <w:rtl/>
        </w:rPr>
        <w:t>إ</w:t>
      </w:r>
      <w:r w:rsidRPr="00282AC9">
        <w:rPr>
          <w:rFonts w:hint="cs"/>
          <w:sz w:val="27"/>
          <w:rtl/>
        </w:rPr>
        <w:t>نّه وجد مع التجربة الثانية فقط.</w:t>
      </w:r>
    </w:p>
    <w:p w:rsidR="002C1D33" w:rsidRPr="00282AC9" w:rsidRDefault="002C1D33" w:rsidP="00715FC8">
      <w:pPr>
        <w:rPr>
          <w:sz w:val="27"/>
          <w:rtl/>
        </w:rPr>
      </w:pPr>
      <w:r w:rsidRPr="00282AC9">
        <w:rPr>
          <w:rFonts w:hint="cs"/>
          <w:sz w:val="27"/>
          <w:rtl/>
        </w:rPr>
        <w:t xml:space="preserve">4ـ  </w:t>
      </w:r>
      <w:r w:rsidR="00704997" w:rsidRPr="00282AC9">
        <w:rPr>
          <w:rFonts w:hint="cs"/>
          <w:sz w:val="27"/>
          <w:rtl/>
        </w:rPr>
        <w:t>إ</w:t>
      </w:r>
      <w:r w:rsidRPr="00282AC9">
        <w:rPr>
          <w:rFonts w:hint="cs"/>
          <w:sz w:val="27"/>
          <w:rtl/>
        </w:rPr>
        <w:t>نّه وجد مع التجربتين.</w:t>
      </w:r>
    </w:p>
    <w:p w:rsidR="002C1D33" w:rsidRPr="00282AC9" w:rsidRDefault="002C1D33" w:rsidP="00715FC8">
      <w:pPr>
        <w:rPr>
          <w:sz w:val="27"/>
          <w:rtl/>
        </w:rPr>
      </w:pPr>
      <w:r w:rsidRPr="00282AC9">
        <w:rPr>
          <w:rFonts w:hint="cs"/>
          <w:sz w:val="27"/>
          <w:rtl/>
        </w:rPr>
        <w:t>ومن الحالات الأربعة نجد ثلاثة حالات ونصف لصالح سببيّة (أ) لـ (ب)، حيث الرابعة حياديّة للسببي</w:t>
      </w:r>
      <w:r w:rsidR="00704997" w:rsidRPr="00282AC9">
        <w:rPr>
          <w:rFonts w:hint="cs"/>
          <w:sz w:val="27"/>
          <w:rtl/>
        </w:rPr>
        <w:t>ّت</w:t>
      </w:r>
      <w:r w:rsidRPr="00282AC9">
        <w:rPr>
          <w:rFonts w:hint="cs"/>
          <w:sz w:val="27"/>
          <w:rtl/>
        </w:rPr>
        <w:t xml:space="preserve">ين، فيكون احتمال سببيّة (أ) لـ (ب) يساوي 7/8، واحتمال </w:t>
      </w:r>
      <w:r w:rsidRPr="00282AC9">
        <w:rPr>
          <w:rFonts w:hint="cs"/>
          <w:sz w:val="27"/>
          <w:rtl/>
        </w:rPr>
        <w:lastRenderedPageBreak/>
        <w:t>سببيّة (ت) لـ (ب) يساوي 1/8</w:t>
      </w:r>
      <w:r w:rsidR="00704997" w:rsidRPr="00282AC9">
        <w:rPr>
          <w:rFonts w:hint="cs"/>
          <w:sz w:val="27"/>
          <w:rtl/>
        </w:rPr>
        <w:t>.</w:t>
      </w:r>
      <w:r w:rsidRPr="00282AC9">
        <w:rPr>
          <w:rFonts w:hint="cs"/>
          <w:sz w:val="27"/>
          <w:rtl/>
        </w:rPr>
        <w:t xml:space="preserve"> وبعد ضرب هذا العلم الإجماليّ الب</w:t>
      </w:r>
      <w:r w:rsidR="00704997" w:rsidRPr="00282AC9">
        <w:rPr>
          <w:rFonts w:hint="cs"/>
          <w:sz w:val="27"/>
          <w:rtl/>
        </w:rPr>
        <w:t>َ</w:t>
      </w:r>
      <w:r w:rsidRPr="00282AC9">
        <w:rPr>
          <w:rFonts w:hint="cs"/>
          <w:sz w:val="27"/>
          <w:rtl/>
        </w:rPr>
        <w:t>ع</w:t>
      </w:r>
      <w:r w:rsidR="00704997" w:rsidRPr="00282AC9">
        <w:rPr>
          <w:rFonts w:hint="cs"/>
          <w:sz w:val="27"/>
          <w:rtl/>
        </w:rPr>
        <w:t>ْ</w:t>
      </w:r>
      <w:r w:rsidRPr="00282AC9">
        <w:rPr>
          <w:rFonts w:hint="cs"/>
          <w:sz w:val="27"/>
          <w:rtl/>
        </w:rPr>
        <w:t>دي</w:t>
      </w:r>
      <w:r w:rsidR="00704997" w:rsidRPr="00282AC9">
        <w:rPr>
          <w:rFonts w:hint="cs"/>
          <w:sz w:val="27"/>
          <w:rtl/>
        </w:rPr>
        <w:t>ّ</w:t>
      </w:r>
      <w:r w:rsidRPr="00282AC9">
        <w:rPr>
          <w:rFonts w:hint="cs"/>
          <w:sz w:val="27"/>
          <w:rtl/>
        </w:rPr>
        <w:t xml:space="preserve"> بالعلم الإجماليّ الق</w:t>
      </w:r>
      <w:r w:rsidR="00704997" w:rsidRPr="00282AC9">
        <w:rPr>
          <w:rFonts w:hint="cs"/>
          <w:sz w:val="27"/>
          <w:rtl/>
        </w:rPr>
        <w:t>َ</w:t>
      </w:r>
      <w:r w:rsidRPr="00282AC9">
        <w:rPr>
          <w:rFonts w:hint="cs"/>
          <w:sz w:val="27"/>
          <w:rtl/>
        </w:rPr>
        <w:t>ب</w:t>
      </w:r>
      <w:r w:rsidR="00704997" w:rsidRPr="00282AC9">
        <w:rPr>
          <w:rFonts w:hint="cs"/>
          <w:sz w:val="27"/>
          <w:rtl/>
        </w:rPr>
        <w:t>ْ</w:t>
      </w:r>
      <w:r w:rsidRPr="00282AC9">
        <w:rPr>
          <w:rFonts w:hint="cs"/>
          <w:sz w:val="27"/>
          <w:rtl/>
        </w:rPr>
        <w:t>ليّ تكون سببيّة الأوّل تساوي 4/5، والثاني تساوي 1/5</w:t>
      </w:r>
      <w:r w:rsidR="00704997" w:rsidRPr="00282AC9">
        <w:rPr>
          <w:rFonts w:hint="cs"/>
          <w:sz w:val="27"/>
          <w:rtl/>
        </w:rPr>
        <w:t>.</w:t>
      </w:r>
      <w:r w:rsidRPr="00282AC9">
        <w:rPr>
          <w:rFonts w:hint="cs"/>
          <w:sz w:val="27"/>
          <w:rtl/>
        </w:rPr>
        <w:t xml:space="preserve"> وهكذا يقوى احتمال سببيّة </w:t>
      </w:r>
      <w:r w:rsidR="00704997" w:rsidRPr="00282AC9">
        <w:rPr>
          <w:rFonts w:hint="cs"/>
          <w:sz w:val="27"/>
          <w:rtl/>
        </w:rPr>
        <w:t>(أ)</w:t>
      </w:r>
      <w:r w:rsidRPr="00282AC9">
        <w:rPr>
          <w:rFonts w:hint="cs"/>
          <w:sz w:val="27"/>
          <w:rtl/>
        </w:rPr>
        <w:t xml:space="preserve"> ل</w:t>
      </w:r>
      <w:r w:rsidR="00704997" w:rsidRPr="00282AC9">
        <w:rPr>
          <w:rFonts w:hint="cs"/>
          <w:sz w:val="27"/>
          <w:rtl/>
        </w:rPr>
        <w:t>ـ (ب)</w:t>
      </w:r>
      <w:r w:rsidRPr="00282AC9">
        <w:rPr>
          <w:rFonts w:hint="cs"/>
          <w:sz w:val="27"/>
          <w:rtl/>
        </w:rPr>
        <w:t xml:space="preserve">، وفي </w:t>
      </w:r>
      <w:r w:rsidR="00EE6DBA" w:rsidRPr="00282AC9">
        <w:rPr>
          <w:rFonts w:hint="cs"/>
          <w:sz w:val="27"/>
          <w:rtl/>
        </w:rPr>
        <w:t>مقابل</w:t>
      </w:r>
      <w:r w:rsidRPr="00282AC9">
        <w:rPr>
          <w:rFonts w:hint="cs"/>
          <w:sz w:val="27"/>
          <w:rtl/>
        </w:rPr>
        <w:t xml:space="preserve">ه يضعف سببيّة </w:t>
      </w:r>
      <w:r w:rsidR="00704997" w:rsidRPr="00282AC9">
        <w:rPr>
          <w:rFonts w:hint="cs"/>
          <w:sz w:val="27"/>
          <w:rtl/>
        </w:rPr>
        <w:t>(ت)</w:t>
      </w:r>
      <w:r w:rsidRPr="00282AC9">
        <w:rPr>
          <w:rFonts w:hint="cs"/>
          <w:sz w:val="27"/>
          <w:rtl/>
        </w:rPr>
        <w:t xml:space="preserve"> (الذي يحتمل كونه السبب الخفي</w:t>
      </w:r>
      <w:r w:rsidR="00704997" w:rsidRPr="00282AC9">
        <w:rPr>
          <w:rFonts w:hint="cs"/>
          <w:sz w:val="27"/>
          <w:rtl/>
        </w:rPr>
        <w:t>ّ</w:t>
      </w:r>
      <w:r w:rsidRPr="00282AC9">
        <w:rPr>
          <w:rFonts w:hint="cs"/>
          <w:sz w:val="27"/>
          <w:rtl/>
        </w:rPr>
        <w:t xml:space="preserve">) </w:t>
      </w:r>
      <w:r w:rsidR="00FC0AD1">
        <w:rPr>
          <w:rFonts w:hint="cs"/>
          <w:sz w:val="27"/>
          <w:rtl/>
        </w:rPr>
        <w:t xml:space="preserve"> </w:t>
      </w:r>
      <w:r w:rsidRPr="00282AC9">
        <w:rPr>
          <w:rFonts w:hint="cs"/>
          <w:sz w:val="27"/>
          <w:rtl/>
        </w:rPr>
        <w:t>ل</w:t>
      </w:r>
      <w:r w:rsidR="00704997" w:rsidRPr="00282AC9">
        <w:rPr>
          <w:rFonts w:hint="cs"/>
          <w:sz w:val="27"/>
          <w:rtl/>
        </w:rPr>
        <w:t>ـ (ب)</w:t>
      </w:r>
      <w:r w:rsidRPr="00282AC9">
        <w:rPr>
          <w:rFonts w:hint="cs"/>
          <w:sz w:val="27"/>
          <w:rtl/>
        </w:rPr>
        <w:t xml:space="preserve"> كل</w:t>
      </w:r>
      <w:r w:rsidR="00003919" w:rsidRPr="00282AC9">
        <w:rPr>
          <w:rFonts w:hint="cs"/>
          <w:sz w:val="27"/>
          <w:rtl/>
        </w:rPr>
        <w:t>ّ</w:t>
      </w:r>
      <w:r w:rsidRPr="00282AC9">
        <w:rPr>
          <w:rFonts w:hint="cs"/>
          <w:sz w:val="27"/>
          <w:rtl/>
        </w:rPr>
        <w:t xml:space="preserve">ما </w:t>
      </w:r>
      <w:r w:rsidR="00003919" w:rsidRPr="00282AC9">
        <w:rPr>
          <w:rFonts w:hint="cs"/>
          <w:sz w:val="27"/>
          <w:rtl/>
        </w:rPr>
        <w:t>ا</w:t>
      </w:r>
      <w:r w:rsidRPr="00282AC9">
        <w:rPr>
          <w:rFonts w:hint="cs"/>
          <w:sz w:val="27"/>
          <w:rtl/>
        </w:rPr>
        <w:t>زداد</w:t>
      </w:r>
      <w:r w:rsidR="00003919" w:rsidRPr="00282AC9">
        <w:rPr>
          <w:rFonts w:hint="cs"/>
          <w:sz w:val="27"/>
          <w:rtl/>
        </w:rPr>
        <w:t>ت</w:t>
      </w:r>
      <w:r w:rsidRPr="00282AC9">
        <w:rPr>
          <w:rFonts w:hint="cs"/>
          <w:sz w:val="27"/>
          <w:rtl/>
        </w:rPr>
        <w:t xml:space="preserve"> التجارب، كما هو مفصّ</w:t>
      </w:r>
      <w:r w:rsidR="00003919" w:rsidRPr="00282AC9">
        <w:rPr>
          <w:rFonts w:hint="cs"/>
          <w:sz w:val="27"/>
          <w:rtl/>
        </w:rPr>
        <w:t>َ</w:t>
      </w:r>
      <w:r w:rsidRPr="00282AC9">
        <w:rPr>
          <w:rFonts w:hint="cs"/>
          <w:sz w:val="27"/>
          <w:rtl/>
        </w:rPr>
        <w:t>ل</w:t>
      </w:r>
      <w:r w:rsidR="00003919" w:rsidRPr="00282AC9">
        <w:rPr>
          <w:rFonts w:hint="cs"/>
          <w:sz w:val="27"/>
          <w:rtl/>
        </w:rPr>
        <w:t>ٌ</w:t>
      </w:r>
      <w:r w:rsidRPr="00282AC9">
        <w:rPr>
          <w:rFonts w:hint="cs"/>
          <w:sz w:val="27"/>
          <w:rtl/>
        </w:rPr>
        <w:t xml:space="preserve"> في التطبيق الأوّل في الأسس المنطقيّة للاستقراء</w:t>
      </w:r>
      <w:r w:rsidRPr="00282AC9">
        <w:rPr>
          <w:rFonts w:hint="cs"/>
          <w:sz w:val="27"/>
          <w:vertAlign w:val="superscript"/>
          <w:rtl/>
        </w:rPr>
        <w:t>(</w:t>
      </w:r>
      <w:r w:rsidRPr="00282AC9">
        <w:rPr>
          <w:rStyle w:val="af9"/>
          <w:rFonts w:hint="cs"/>
          <w:sz w:val="27"/>
          <w:rtl/>
        </w:rPr>
        <w:endnoteReference w:id="1023"/>
      </w:r>
      <w:r w:rsidRPr="00282AC9">
        <w:rPr>
          <w:rFonts w:hint="cs"/>
          <w:sz w:val="27"/>
          <w:vertAlign w:val="superscript"/>
          <w:rtl/>
        </w:rPr>
        <w:t>)</w:t>
      </w:r>
      <w:r w:rsidRPr="00282AC9">
        <w:rPr>
          <w:rFonts w:hint="cs"/>
          <w:sz w:val="27"/>
          <w:rtl/>
        </w:rPr>
        <w:t xml:space="preserve">. </w:t>
      </w:r>
      <w:r w:rsidR="00003919" w:rsidRPr="00282AC9">
        <w:rPr>
          <w:rFonts w:hint="cs"/>
          <w:sz w:val="27"/>
          <w:rtl/>
        </w:rPr>
        <w:t>و</w:t>
      </w:r>
      <w:r w:rsidRPr="00282AC9">
        <w:rPr>
          <w:rFonts w:hint="cs"/>
          <w:sz w:val="27"/>
          <w:rtl/>
        </w:rPr>
        <w:t>هذا يعني أنّ هذه الاحتمالات والنتائج تمنح المبرّ</w:t>
      </w:r>
      <w:r w:rsidR="00003919" w:rsidRPr="00282AC9">
        <w:rPr>
          <w:rFonts w:hint="cs"/>
          <w:sz w:val="27"/>
          <w:rtl/>
        </w:rPr>
        <w:t>ِ</w:t>
      </w:r>
      <w:r w:rsidRPr="00282AC9">
        <w:rPr>
          <w:rFonts w:hint="cs"/>
          <w:sz w:val="27"/>
          <w:rtl/>
        </w:rPr>
        <w:t>ر المنطقيّ للاعتقاد بسببيّة (أ) لـ (ب) بأكبر احتماليّة</w:t>
      </w:r>
      <w:r w:rsidR="00003919" w:rsidRPr="00282AC9">
        <w:rPr>
          <w:rFonts w:hint="cs"/>
          <w:sz w:val="27"/>
          <w:rtl/>
        </w:rPr>
        <w:t>ٍ</w:t>
      </w:r>
      <w:r w:rsidRPr="00282AC9">
        <w:rPr>
          <w:rFonts w:hint="cs"/>
          <w:sz w:val="27"/>
          <w:rtl/>
        </w:rPr>
        <w:t xml:space="preserve"> ممكنة في المرحلة الاستنباطيّة، لكن</w:t>
      </w:r>
      <w:r w:rsidR="00003919" w:rsidRPr="00282AC9">
        <w:rPr>
          <w:rFonts w:hint="cs"/>
          <w:sz w:val="27"/>
          <w:rtl/>
        </w:rPr>
        <w:t>ْ</w:t>
      </w:r>
      <w:r w:rsidRPr="00282AC9">
        <w:rPr>
          <w:rFonts w:hint="cs"/>
          <w:sz w:val="27"/>
          <w:rtl/>
        </w:rPr>
        <w:t xml:space="preserve"> </w:t>
      </w:r>
      <w:r w:rsidR="00003919" w:rsidRPr="00282AC9">
        <w:rPr>
          <w:rFonts w:hint="cs"/>
          <w:sz w:val="24"/>
          <w:szCs w:val="24"/>
          <w:rtl/>
        </w:rPr>
        <w:t>«</w:t>
      </w:r>
      <w:r w:rsidR="00003919" w:rsidRPr="00282AC9">
        <w:rPr>
          <w:rFonts w:hint="cs"/>
          <w:sz w:val="27"/>
          <w:rtl/>
        </w:rPr>
        <w:t>هذا لا يعني أن</w:t>
      </w:r>
      <w:r w:rsidRPr="00282AC9">
        <w:rPr>
          <w:rFonts w:hint="cs"/>
          <w:sz w:val="27"/>
          <w:rtl/>
        </w:rPr>
        <w:t xml:space="preserve"> النتيجة التي يبرهن الاستقراء على قيمة</w:t>
      </w:r>
      <w:r w:rsidR="00003919" w:rsidRPr="00282AC9">
        <w:rPr>
          <w:rFonts w:hint="cs"/>
          <w:sz w:val="27"/>
          <w:rtl/>
        </w:rPr>
        <w:t>ٍ</w:t>
      </w:r>
      <w:r w:rsidRPr="00282AC9">
        <w:rPr>
          <w:rFonts w:hint="cs"/>
          <w:sz w:val="27"/>
          <w:rtl/>
        </w:rPr>
        <w:t xml:space="preserve"> احتماليّة كبيرة لها يجب أن تكون صادقة</w:t>
      </w:r>
      <w:r w:rsidR="00003919" w:rsidRPr="00282AC9">
        <w:rPr>
          <w:rFonts w:hint="cs"/>
          <w:sz w:val="27"/>
          <w:rtl/>
        </w:rPr>
        <w:t>ً</w:t>
      </w:r>
      <w:r w:rsidRPr="00282AC9">
        <w:rPr>
          <w:rFonts w:hint="cs"/>
          <w:sz w:val="27"/>
          <w:rtl/>
        </w:rPr>
        <w:t xml:space="preserve"> دائماً من الناحية المنطقيّة، وإنّما يعني أ</w:t>
      </w:r>
      <w:r w:rsidR="00003919" w:rsidRPr="00282AC9">
        <w:rPr>
          <w:rFonts w:hint="cs"/>
          <w:sz w:val="27"/>
          <w:rtl/>
        </w:rPr>
        <w:t>ن</w:t>
      </w:r>
      <w:r w:rsidRPr="00282AC9">
        <w:rPr>
          <w:rFonts w:hint="cs"/>
          <w:sz w:val="27"/>
          <w:rtl/>
        </w:rPr>
        <w:t xml:space="preserve"> القيمة الاحتماليّة الكبيرة التي يعطيها الدليل الاستقرائيّ للنتيجة قيمة</w:t>
      </w:r>
      <w:r w:rsidR="00003919" w:rsidRPr="00282AC9">
        <w:rPr>
          <w:rFonts w:hint="cs"/>
          <w:sz w:val="27"/>
          <w:rtl/>
        </w:rPr>
        <w:t>ٌ</w:t>
      </w:r>
      <w:r w:rsidRPr="00282AC9">
        <w:rPr>
          <w:rFonts w:hint="cs"/>
          <w:sz w:val="27"/>
          <w:rtl/>
        </w:rPr>
        <w:t xml:space="preserve"> منطقيّة</w:t>
      </w:r>
      <w:r w:rsidR="00003919" w:rsidRPr="00282AC9">
        <w:rPr>
          <w:rFonts w:hint="cs"/>
          <w:sz w:val="24"/>
          <w:szCs w:val="24"/>
          <w:rtl/>
        </w:rPr>
        <w:t>»</w:t>
      </w:r>
      <w:r w:rsidRPr="00282AC9">
        <w:rPr>
          <w:rFonts w:hint="cs"/>
          <w:sz w:val="27"/>
          <w:vertAlign w:val="superscript"/>
          <w:rtl/>
        </w:rPr>
        <w:t>(</w:t>
      </w:r>
      <w:r w:rsidRPr="00282AC9">
        <w:rPr>
          <w:rStyle w:val="af9"/>
          <w:rFonts w:hint="cs"/>
          <w:sz w:val="27"/>
          <w:rtl/>
        </w:rPr>
        <w:endnoteReference w:id="1024"/>
      </w:r>
      <w:r w:rsidRPr="00282AC9">
        <w:rPr>
          <w:rFonts w:hint="cs"/>
          <w:sz w:val="27"/>
          <w:vertAlign w:val="superscript"/>
          <w:rtl/>
        </w:rPr>
        <w:t>)</w:t>
      </w:r>
      <w:r w:rsidRPr="00282AC9">
        <w:rPr>
          <w:rFonts w:hint="cs"/>
          <w:sz w:val="27"/>
          <w:rtl/>
        </w:rPr>
        <w:t>.</w:t>
      </w:r>
    </w:p>
    <w:p w:rsidR="002C1D33" w:rsidRPr="00282AC9" w:rsidRDefault="00003919" w:rsidP="00715FC8">
      <w:pPr>
        <w:rPr>
          <w:sz w:val="27"/>
          <w:rtl/>
        </w:rPr>
      </w:pPr>
      <w:r w:rsidRPr="00282AC9">
        <w:rPr>
          <w:rFonts w:hint="cs"/>
          <w:sz w:val="27"/>
          <w:rtl/>
        </w:rPr>
        <w:t xml:space="preserve">وقد </w:t>
      </w:r>
      <w:r w:rsidR="002C1D33" w:rsidRPr="00282AC9">
        <w:rPr>
          <w:rFonts w:hint="cs"/>
          <w:sz w:val="27"/>
          <w:rtl/>
        </w:rPr>
        <w:t>تعرّ</w:t>
      </w:r>
      <w:r w:rsidRPr="00282AC9">
        <w:rPr>
          <w:rFonts w:hint="cs"/>
          <w:sz w:val="27"/>
          <w:rtl/>
        </w:rPr>
        <w:t>َ</w:t>
      </w:r>
      <w:r w:rsidR="002C1D33" w:rsidRPr="00282AC9">
        <w:rPr>
          <w:rFonts w:hint="cs"/>
          <w:sz w:val="27"/>
          <w:rtl/>
        </w:rPr>
        <w:t>ض الشيخ الدكتور</w:t>
      </w:r>
      <w:r w:rsidRPr="00282AC9">
        <w:rPr>
          <w:rFonts w:hint="cs"/>
          <w:sz w:val="27"/>
          <w:rtl/>
        </w:rPr>
        <w:t>،</w:t>
      </w:r>
      <w:r w:rsidR="002C1D33" w:rsidRPr="00282AC9">
        <w:rPr>
          <w:rFonts w:hint="cs"/>
          <w:sz w:val="27"/>
          <w:rtl/>
        </w:rPr>
        <w:t xml:space="preserve"> في كتابه أنفع التقريرات، لإشكال</w:t>
      </w:r>
      <w:r w:rsidRPr="00282AC9">
        <w:rPr>
          <w:rFonts w:hint="cs"/>
          <w:sz w:val="27"/>
          <w:rtl/>
        </w:rPr>
        <w:t>ٍ</w:t>
      </w:r>
      <w:r w:rsidR="002C1D33" w:rsidRPr="00282AC9">
        <w:rPr>
          <w:rFonts w:hint="cs"/>
          <w:sz w:val="27"/>
          <w:rtl/>
        </w:rPr>
        <w:t xml:space="preserve"> آخر، لم يذكره في بقية كتبه</w:t>
      </w:r>
      <w:r w:rsidRPr="00282AC9">
        <w:rPr>
          <w:rFonts w:hint="cs"/>
          <w:sz w:val="27"/>
          <w:rtl/>
        </w:rPr>
        <w:t xml:space="preserve"> التي</w:t>
      </w:r>
      <w:r w:rsidR="002C1D33" w:rsidRPr="00282AC9">
        <w:rPr>
          <w:rFonts w:hint="cs"/>
          <w:sz w:val="27"/>
          <w:rtl/>
        </w:rPr>
        <w:t xml:space="preserve"> تطرّ</w:t>
      </w:r>
      <w:r w:rsidRPr="00282AC9">
        <w:rPr>
          <w:rFonts w:hint="cs"/>
          <w:sz w:val="27"/>
          <w:rtl/>
        </w:rPr>
        <w:t>َ</w:t>
      </w:r>
      <w:r w:rsidR="002C1D33" w:rsidRPr="00282AC9">
        <w:rPr>
          <w:rFonts w:hint="cs"/>
          <w:sz w:val="27"/>
          <w:rtl/>
        </w:rPr>
        <w:t xml:space="preserve">ق فيها </w:t>
      </w:r>
      <w:r w:rsidRPr="00282AC9">
        <w:rPr>
          <w:rFonts w:hint="cs"/>
          <w:sz w:val="27"/>
          <w:rtl/>
        </w:rPr>
        <w:t>إلى ا</w:t>
      </w:r>
      <w:r w:rsidR="002C1D33" w:rsidRPr="00282AC9">
        <w:rPr>
          <w:rFonts w:hint="cs"/>
          <w:sz w:val="27"/>
          <w:rtl/>
        </w:rPr>
        <w:t>لموضوع، وهو الإشكال الذي وع</w:t>
      </w:r>
      <w:r w:rsidRPr="00282AC9">
        <w:rPr>
          <w:rFonts w:hint="cs"/>
          <w:sz w:val="27"/>
          <w:rtl/>
        </w:rPr>
        <w:t>َ</w:t>
      </w:r>
      <w:r w:rsidR="002C1D33" w:rsidRPr="00282AC9">
        <w:rPr>
          <w:rFonts w:hint="cs"/>
          <w:sz w:val="27"/>
          <w:rtl/>
        </w:rPr>
        <w:t>د</w:t>
      </w:r>
      <w:r w:rsidRPr="00282AC9">
        <w:rPr>
          <w:rFonts w:hint="cs"/>
          <w:sz w:val="27"/>
          <w:rtl/>
        </w:rPr>
        <w:t>ْ</w:t>
      </w:r>
      <w:r w:rsidR="002C1D33" w:rsidRPr="00282AC9">
        <w:rPr>
          <w:rFonts w:hint="cs"/>
          <w:sz w:val="27"/>
          <w:rtl/>
        </w:rPr>
        <w:t>نا به القارئ العزيز.</w:t>
      </w:r>
    </w:p>
    <w:p w:rsidR="002C1D33" w:rsidRPr="00282AC9" w:rsidRDefault="002C1D33" w:rsidP="00715FC8">
      <w:pPr>
        <w:rPr>
          <w:sz w:val="27"/>
          <w:rtl/>
        </w:rPr>
      </w:pPr>
      <w:r w:rsidRPr="00282AC9">
        <w:rPr>
          <w:rFonts w:hint="cs"/>
          <w:b/>
          <w:bCs/>
          <w:sz w:val="27"/>
          <w:rtl/>
        </w:rPr>
        <w:t>يقول الإشكال</w:t>
      </w:r>
      <w:r w:rsidRPr="00282AC9">
        <w:rPr>
          <w:rFonts w:hint="cs"/>
          <w:sz w:val="27"/>
          <w:rtl/>
        </w:rPr>
        <w:t xml:space="preserve">: </w:t>
      </w:r>
      <w:r w:rsidR="00003919" w:rsidRPr="00282AC9">
        <w:rPr>
          <w:rFonts w:hint="cs"/>
          <w:sz w:val="24"/>
          <w:szCs w:val="24"/>
          <w:rtl/>
        </w:rPr>
        <w:t>«</w:t>
      </w:r>
      <w:r w:rsidRPr="00282AC9">
        <w:rPr>
          <w:rFonts w:hint="cs"/>
          <w:sz w:val="27"/>
          <w:rtl/>
        </w:rPr>
        <w:t>أشكل السيّد الشهيد</w:t>
      </w:r>
      <w:r w:rsidR="009A2A04" w:rsidRPr="00282AC9">
        <w:rPr>
          <w:rFonts w:cs="Mosawi" w:hint="cs"/>
          <w:sz w:val="22"/>
          <w:szCs w:val="22"/>
          <w:rtl/>
        </w:rPr>
        <w:t>&amp;</w:t>
      </w:r>
      <w:r w:rsidRPr="00282AC9">
        <w:rPr>
          <w:rFonts w:hint="cs"/>
          <w:sz w:val="27"/>
          <w:rtl/>
        </w:rPr>
        <w:t xml:space="preserve"> على صغرى هذه القاعدة أيضاً، ومحصّ</w:t>
      </w:r>
      <w:r w:rsidR="00003919" w:rsidRPr="00282AC9">
        <w:rPr>
          <w:rFonts w:hint="cs"/>
          <w:sz w:val="27"/>
          <w:rtl/>
        </w:rPr>
        <w:t>َ</w:t>
      </w:r>
      <w:r w:rsidRPr="00282AC9">
        <w:rPr>
          <w:rFonts w:hint="cs"/>
          <w:sz w:val="27"/>
          <w:rtl/>
        </w:rPr>
        <w:t xml:space="preserve">ل إشكاله: </w:t>
      </w:r>
      <w:r w:rsidR="00003919" w:rsidRPr="00282AC9">
        <w:rPr>
          <w:rFonts w:hint="cs"/>
          <w:sz w:val="27"/>
          <w:rtl/>
        </w:rPr>
        <w:t>إنّه كيف لنا أن نحكم بأن</w:t>
      </w:r>
      <w:r w:rsidRPr="00282AC9">
        <w:rPr>
          <w:rFonts w:hint="cs"/>
          <w:sz w:val="27"/>
          <w:rtl/>
        </w:rPr>
        <w:t xml:space="preserve"> هذا أكثريّ</w:t>
      </w:r>
      <w:r w:rsidR="00003919" w:rsidRPr="00282AC9">
        <w:rPr>
          <w:rFonts w:hint="cs"/>
          <w:sz w:val="27"/>
          <w:rtl/>
        </w:rPr>
        <w:t>ٌ</w:t>
      </w:r>
      <w:r w:rsidRPr="00282AC9">
        <w:rPr>
          <w:rFonts w:hint="cs"/>
          <w:sz w:val="27"/>
          <w:rtl/>
        </w:rPr>
        <w:t xml:space="preserve"> أو دائميّ</w:t>
      </w:r>
      <w:r w:rsidR="00003919" w:rsidRPr="00282AC9">
        <w:rPr>
          <w:rFonts w:hint="cs"/>
          <w:sz w:val="27"/>
          <w:rtl/>
        </w:rPr>
        <w:t>ٌ</w:t>
      </w:r>
      <w:r w:rsidRPr="00282AC9">
        <w:rPr>
          <w:rFonts w:hint="cs"/>
          <w:sz w:val="27"/>
          <w:rtl/>
        </w:rPr>
        <w:t>، مع أنّنا لا نكرّ</w:t>
      </w:r>
      <w:r w:rsidR="00003919" w:rsidRPr="00282AC9">
        <w:rPr>
          <w:rFonts w:hint="cs"/>
          <w:sz w:val="27"/>
          <w:rtl/>
        </w:rPr>
        <w:t>ِ</w:t>
      </w:r>
      <w:r w:rsidRPr="00282AC9">
        <w:rPr>
          <w:rFonts w:hint="cs"/>
          <w:sz w:val="27"/>
          <w:rtl/>
        </w:rPr>
        <w:t>ر المشاهدة إ</w:t>
      </w:r>
      <w:r w:rsidR="00EE6DBA" w:rsidRPr="00282AC9">
        <w:rPr>
          <w:rFonts w:hint="cs"/>
          <w:sz w:val="27"/>
          <w:rtl/>
        </w:rPr>
        <w:t>لاّ</w:t>
      </w:r>
      <w:r w:rsidRPr="00282AC9">
        <w:rPr>
          <w:rFonts w:hint="cs"/>
          <w:sz w:val="27"/>
          <w:rtl/>
        </w:rPr>
        <w:t xml:space="preserve"> لفترة</w:t>
      </w:r>
      <w:r w:rsidR="00003919" w:rsidRPr="00282AC9">
        <w:rPr>
          <w:rFonts w:hint="cs"/>
          <w:sz w:val="27"/>
          <w:rtl/>
        </w:rPr>
        <w:t>ٍ</w:t>
      </w:r>
      <w:r w:rsidRPr="00282AC9">
        <w:rPr>
          <w:rFonts w:hint="cs"/>
          <w:sz w:val="27"/>
          <w:rtl/>
        </w:rPr>
        <w:t xml:space="preserve"> محدودة من الزمن</w:t>
      </w:r>
      <w:r w:rsidR="00003919" w:rsidRPr="00282AC9">
        <w:rPr>
          <w:rFonts w:hint="cs"/>
          <w:sz w:val="27"/>
          <w:rtl/>
        </w:rPr>
        <w:t>؟</w:t>
      </w:r>
      <w:r w:rsidRPr="00282AC9">
        <w:rPr>
          <w:rFonts w:hint="cs"/>
          <w:sz w:val="27"/>
          <w:rtl/>
        </w:rPr>
        <w:t xml:space="preserve"> والحال أنّ هذا الحكم يحتاج إلى تكرّ</w:t>
      </w:r>
      <w:r w:rsidR="004D37E9" w:rsidRPr="00282AC9">
        <w:rPr>
          <w:rFonts w:hint="cs"/>
          <w:sz w:val="27"/>
          <w:rtl/>
        </w:rPr>
        <w:t>ُر المشاهدة منذ الأزل إلى الأب</w:t>
      </w:r>
      <w:r w:rsidRPr="00282AC9">
        <w:rPr>
          <w:rFonts w:hint="cs"/>
          <w:sz w:val="27"/>
          <w:rtl/>
        </w:rPr>
        <w:t>د، ثم</w:t>
      </w:r>
      <w:r w:rsidR="004D37E9" w:rsidRPr="00282AC9">
        <w:rPr>
          <w:rFonts w:hint="cs"/>
          <w:sz w:val="27"/>
          <w:rtl/>
        </w:rPr>
        <w:t>ّ إنّ الحكماء لم يحدِّ</w:t>
      </w:r>
      <w:r w:rsidRPr="00282AC9">
        <w:rPr>
          <w:rFonts w:hint="cs"/>
          <w:sz w:val="27"/>
          <w:rtl/>
        </w:rPr>
        <w:t xml:space="preserve">دوا حدّاً معيّناً متى وصلناه </w:t>
      </w:r>
      <w:r w:rsidR="004D37E9" w:rsidRPr="00282AC9">
        <w:rPr>
          <w:rFonts w:hint="cs"/>
          <w:sz w:val="27"/>
          <w:rtl/>
        </w:rPr>
        <w:t>حكمنا بأن</w:t>
      </w:r>
      <w:r w:rsidRPr="00282AC9">
        <w:rPr>
          <w:rFonts w:hint="cs"/>
          <w:sz w:val="27"/>
          <w:rtl/>
        </w:rPr>
        <w:t xml:space="preserve"> هذا أكثريّ</w:t>
      </w:r>
      <w:r w:rsidR="004D37E9" w:rsidRPr="00282AC9">
        <w:rPr>
          <w:rFonts w:hint="cs"/>
          <w:sz w:val="27"/>
          <w:rtl/>
        </w:rPr>
        <w:t>ٌ</w:t>
      </w:r>
      <w:r w:rsidRPr="00282AC9">
        <w:rPr>
          <w:rFonts w:hint="cs"/>
          <w:sz w:val="27"/>
          <w:rtl/>
        </w:rPr>
        <w:t xml:space="preserve"> أو دائميّ</w:t>
      </w:r>
      <w:r w:rsidR="004D37E9" w:rsidRPr="00282AC9">
        <w:rPr>
          <w:rFonts w:hint="cs"/>
          <w:sz w:val="27"/>
          <w:rtl/>
        </w:rPr>
        <w:t>ٌ</w:t>
      </w:r>
      <w:r w:rsidRPr="00282AC9">
        <w:rPr>
          <w:rFonts w:hint="cs"/>
          <w:sz w:val="27"/>
          <w:rtl/>
        </w:rPr>
        <w:t>.</w:t>
      </w:r>
    </w:p>
    <w:p w:rsidR="002C1D33" w:rsidRPr="00282AC9" w:rsidRDefault="002C1D33" w:rsidP="00715FC8">
      <w:pPr>
        <w:rPr>
          <w:sz w:val="27"/>
          <w:rtl/>
        </w:rPr>
      </w:pPr>
      <w:r w:rsidRPr="00282AC9">
        <w:rPr>
          <w:rFonts w:hint="cs"/>
          <w:b/>
          <w:bCs/>
          <w:sz w:val="27"/>
          <w:rtl/>
        </w:rPr>
        <w:t>وهذا الإشكال أيضاً غير</w:t>
      </w:r>
      <w:r w:rsidR="004D37E9" w:rsidRPr="00282AC9">
        <w:rPr>
          <w:rFonts w:hint="cs"/>
          <w:b/>
          <w:bCs/>
          <w:sz w:val="27"/>
          <w:rtl/>
        </w:rPr>
        <w:t>ُ</w:t>
      </w:r>
      <w:r w:rsidRPr="00282AC9">
        <w:rPr>
          <w:rFonts w:hint="cs"/>
          <w:b/>
          <w:bCs/>
          <w:sz w:val="27"/>
          <w:rtl/>
        </w:rPr>
        <w:t xml:space="preserve"> وارد</w:t>
      </w:r>
      <w:r w:rsidR="004D37E9" w:rsidRPr="00282AC9">
        <w:rPr>
          <w:rFonts w:hint="cs"/>
          <w:b/>
          <w:bCs/>
          <w:sz w:val="27"/>
          <w:rtl/>
        </w:rPr>
        <w:t>ٍ</w:t>
      </w:r>
      <w:r w:rsidRPr="00282AC9">
        <w:rPr>
          <w:rFonts w:hint="cs"/>
          <w:sz w:val="27"/>
          <w:rtl/>
        </w:rPr>
        <w:t>؛ لأنّ الحكم بأن هذا أكثريّ</w:t>
      </w:r>
      <w:r w:rsidR="004D37E9" w:rsidRPr="00282AC9">
        <w:rPr>
          <w:rFonts w:hint="cs"/>
          <w:sz w:val="27"/>
          <w:rtl/>
        </w:rPr>
        <w:t>ٌ</w:t>
      </w:r>
      <w:r w:rsidRPr="00282AC9">
        <w:rPr>
          <w:rFonts w:hint="cs"/>
          <w:sz w:val="27"/>
          <w:rtl/>
        </w:rPr>
        <w:t xml:space="preserve"> لا يحتاج</w:t>
      </w:r>
      <w:r w:rsidR="004D37E9" w:rsidRPr="00282AC9">
        <w:rPr>
          <w:rFonts w:hint="cs"/>
          <w:sz w:val="27"/>
          <w:rtl/>
        </w:rPr>
        <w:t xml:space="preserve"> إلى المشاهدة منذ الأزل إل الأب</w:t>
      </w:r>
      <w:r w:rsidRPr="00282AC9">
        <w:rPr>
          <w:rFonts w:hint="cs"/>
          <w:sz w:val="27"/>
          <w:rtl/>
        </w:rPr>
        <w:t>د، ب</w:t>
      </w:r>
      <w:r w:rsidR="004D37E9" w:rsidRPr="00282AC9">
        <w:rPr>
          <w:rFonts w:hint="cs"/>
          <w:sz w:val="27"/>
          <w:rtl/>
        </w:rPr>
        <w:t>ل يكفي في معنى الدائميّ عدم تخلُّ</w:t>
      </w:r>
      <w:r w:rsidRPr="00282AC9">
        <w:rPr>
          <w:rFonts w:hint="cs"/>
          <w:sz w:val="27"/>
          <w:rtl/>
        </w:rPr>
        <w:t>فه في مشاهداتنا</w:t>
      </w:r>
      <w:r w:rsidR="004D37E9" w:rsidRPr="00282AC9">
        <w:rPr>
          <w:rFonts w:hint="cs"/>
          <w:sz w:val="27"/>
          <w:rtl/>
        </w:rPr>
        <w:t>،</w:t>
      </w:r>
      <w:r w:rsidRPr="00282AC9">
        <w:rPr>
          <w:rFonts w:hint="cs"/>
          <w:sz w:val="27"/>
          <w:rtl/>
        </w:rPr>
        <w:t xml:space="preserve"> أيّاً كان عددها</w:t>
      </w:r>
      <w:r w:rsidR="004D37E9" w:rsidRPr="00282AC9">
        <w:rPr>
          <w:rFonts w:hint="cs"/>
          <w:sz w:val="27"/>
          <w:rtl/>
        </w:rPr>
        <w:t>. تماماً كما نعتقد أن</w:t>
      </w:r>
      <w:r w:rsidRPr="00282AC9">
        <w:rPr>
          <w:rFonts w:hint="cs"/>
          <w:sz w:val="27"/>
          <w:rtl/>
        </w:rPr>
        <w:t xml:space="preserve"> الحجر كلّما ارتفع إلى الأعلى وتُرِك فإنّه يسقط إلى الأرض، فنحن نحكم بهذا حكماً دائميّاً</w:t>
      </w:r>
      <w:r w:rsidR="004D37E9" w:rsidRPr="00282AC9">
        <w:rPr>
          <w:rFonts w:hint="cs"/>
          <w:sz w:val="27"/>
          <w:rtl/>
        </w:rPr>
        <w:t>، مع أن</w:t>
      </w:r>
      <w:r w:rsidRPr="00282AC9">
        <w:rPr>
          <w:rFonts w:hint="cs"/>
          <w:sz w:val="27"/>
          <w:rtl/>
        </w:rPr>
        <w:t>نا ل</w:t>
      </w:r>
      <w:r w:rsidR="004D37E9" w:rsidRPr="00282AC9">
        <w:rPr>
          <w:rFonts w:hint="cs"/>
          <w:sz w:val="27"/>
          <w:rtl/>
        </w:rPr>
        <w:t>م نشاهد ذلك منذ الأزل وإلى الأب</w:t>
      </w:r>
      <w:r w:rsidRPr="00282AC9">
        <w:rPr>
          <w:rFonts w:hint="cs"/>
          <w:sz w:val="27"/>
          <w:rtl/>
        </w:rPr>
        <w:t>د. وكذلك معنى الأكثريّ فإنّه يكفي فيه عدم تخلّ</w:t>
      </w:r>
      <w:r w:rsidR="004D37E9" w:rsidRPr="00282AC9">
        <w:rPr>
          <w:rFonts w:hint="cs"/>
          <w:sz w:val="27"/>
          <w:rtl/>
        </w:rPr>
        <w:t>ُ</w:t>
      </w:r>
      <w:r w:rsidRPr="00282AC9">
        <w:rPr>
          <w:rFonts w:hint="cs"/>
          <w:sz w:val="27"/>
          <w:rtl/>
        </w:rPr>
        <w:t>فه في أكثر مشاهداتنا.</w:t>
      </w:r>
    </w:p>
    <w:p w:rsidR="002C1D33" w:rsidRPr="00282AC9" w:rsidRDefault="002C1D33" w:rsidP="00715FC8">
      <w:pPr>
        <w:rPr>
          <w:sz w:val="27"/>
          <w:rtl/>
        </w:rPr>
      </w:pPr>
      <w:r w:rsidRPr="00282AC9">
        <w:rPr>
          <w:rFonts w:hint="cs"/>
          <w:sz w:val="27"/>
          <w:rtl/>
        </w:rPr>
        <w:t>فمسألة الأكثريّ ه</w:t>
      </w:r>
      <w:r w:rsidR="004D37E9" w:rsidRPr="00282AC9">
        <w:rPr>
          <w:rFonts w:hint="cs"/>
          <w:sz w:val="27"/>
          <w:rtl/>
        </w:rPr>
        <w:t>ي</w:t>
      </w:r>
      <w:r w:rsidRPr="00282AC9">
        <w:rPr>
          <w:rFonts w:hint="cs"/>
          <w:sz w:val="27"/>
          <w:rtl/>
        </w:rPr>
        <w:t xml:space="preserve"> أمر</w:t>
      </w:r>
      <w:r w:rsidR="004D37E9" w:rsidRPr="00282AC9">
        <w:rPr>
          <w:rFonts w:hint="cs"/>
          <w:sz w:val="27"/>
          <w:rtl/>
        </w:rPr>
        <w:t>ٌ نسبيّ؛ إذ إن</w:t>
      </w:r>
      <w:r w:rsidRPr="00282AC9">
        <w:rPr>
          <w:rFonts w:hint="cs"/>
          <w:sz w:val="27"/>
          <w:rtl/>
        </w:rPr>
        <w:t>نا لا نقول: إنّ الات</w:t>
      </w:r>
      <w:r w:rsidR="004D37E9" w:rsidRPr="00282AC9">
        <w:rPr>
          <w:rFonts w:hint="cs"/>
          <w:sz w:val="27"/>
          <w:rtl/>
        </w:rPr>
        <w:t>ّ</w:t>
      </w:r>
      <w:r w:rsidRPr="00282AC9">
        <w:rPr>
          <w:rFonts w:hint="cs"/>
          <w:sz w:val="27"/>
          <w:rtl/>
        </w:rPr>
        <w:t>فاقيّ لا يكون كثيراً</w:t>
      </w:r>
      <w:r w:rsidR="004D37E9" w:rsidRPr="00282AC9">
        <w:rPr>
          <w:rFonts w:hint="cs"/>
          <w:sz w:val="27"/>
          <w:rtl/>
        </w:rPr>
        <w:t>،</w:t>
      </w:r>
      <w:r w:rsidRPr="00282AC9">
        <w:rPr>
          <w:rFonts w:hint="cs"/>
          <w:sz w:val="27"/>
          <w:rtl/>
        </w:rPr>
        <w:t xml:space="preserve"> بل نقول: لا يكون أكثريّاً، بمعنى أنّه في أكثر الحالات لا يتخلّ</w:t>
      </w:r>
      <w:r w:rsidR="004D37E9" w:rsidRPr="00282AC9">
        <w:rPr>
          <w:rFonts w:hint="cs"/>
          <w:sz w:val="27"/>
          <w:rtl/>
        </w:rPr>
        <w:t>َ</w:t>
      </w:r>
      <w:r w:rsidRPr="00282AC9">
        <w:rPr>
          <w:rFonts w:hint="cs"/>
          <w:sz w:val="27"/>
          <w:rtl/>
        </w:rPr>
        <w:t>ف الأثر عن المؤثّ</w:t>
      </w:r>
      <w:r w:rsidR="004D37E9" w:rsidRPr="00282AC9">
        <w:rPr>
          <w:rFonts w:hint="cs"/>
          <w:sz w:val="27"/>
          <w:rtl/>
        </w:rPr>
        <w:t>ِر، فنحكم بأن</w:t>
      </w:r>
      <w:r w:rsidRPr="00282AC9">
        <w:rPr>
          <w:rFonts w:hint="cs"/>
          <w:sz w:val="27"/>
          <w:rtl/>
        </w:rPr>
        <w:t xml:space="preserve"> هذا لا يكون ات</w:t>
      </w:r>
      <w:r w:rsidR="004D37E9" w:rsidRPr="00282AC9">
        <w:rPr>
          <w:rFonts w:hint="cs"/>
          <w:sz w:val="27"/>
          <w:rtl/>
        </w:rPr>
        <w:t>ّ</w:t>
      </w:r>
      <w:r w:rsidRPr="00282AC9">
        <w:rPr>
          <w:rFonts w:hint="cs"/>
          <w:sz w:val="27"/>
          <w:rtl/>
        </w:rPr>
        <w:t>فاقيّاً</w:t>
      </w:r>
      <w:r w:rsidR="004D37E9" w:rsidRPr="00282AC9">
        <w:rPr>
          <w:rFonts w:hint="cs"/>
          <w:sz w:val="24"/>
          <w:szCs w:val="24"/>
          <w:rtl/>
        </w:rPr>
        <w:t>»</w:t>
      </w:r>
      <w:r w:rsidRPr="00282AC9">
        <w:rPr>
          <w:rFonts w:hint="cs"/>
          <w:sz w:val="27"/>
          <w:vertAlign w:val="superscript"/>
          <w:rtl/>
        </w:rPr>
        <w:t>(</w:t>
      </w:r>
      <w:r w:rsidRPr="00282AC9">
        <w:rPr>
          <w:rStyle w:val="af9"/>
          <w:rFonts w:hint="cs"/>
          <w:sz w:val="27"/>
          <w:rtl/>
        </w:rPr>
        <w:endnoteReference w:id="1025"/>
      </w:r>
      <w:r w:rsidRPr="00282AC9">
        <w:rPr>
          <w:rFonts w:hint="cs"/>
          <w:sz w:val="27"/>
          <w:vertAlign w:val="superscript"/>
          <w:rtl/>
        </w:rPr>
        <w:t>)</w:t>
      </w:r>
      <w:r w:rsidRPr="00282AC9">
        <w:rPr>
          <w:rFonts w:hint="cs"/>
          <w:sz w:val="27"/>
          <w:rtl/>
        </w:rPr>
        <w:t>.</w:t>
      </w:r>
    </w:p>
    <w:p w:rsidR="002C1D33" w:rsidRPr="00282AC9" w:rsidRDefault="002C1D33" w:rsidP="00715FC8">
      <w:pPr>
        <w:rPr>
          <w:sz w:val="27"/>
          <w:rtl/>
        </w:rPr>
      </w:pPr>
      <w:r w:rsidRPr="00282AC9">
        <w:rPr>
          <w:rFonts w:hint="cs"/>
          <w:b/>
          <w:bCs/>
          <w:sz w:val="27"/>
          <w:rtl/>
        </w:rPr>
        <w:lastRenderedPageBreak/>
        <w:t>ونلاحظ عليه ما يلي</w:t>
      </w:r>
      <w:r w:rsidRPr="00282AC9">
        <w:rPr>
          <w:rFonts w:hint="cs"/>
          <w:sz w:val="27"/>
          <w:rtl/>
        </w:rPr>
        <w:t>:</w:t>
      </w:r>
    </w:p>
    <w:p w:rsidR="002C1D33" w:rsidRPr="00282AC9" w:rsidRDefault="002C1D33" w:rsidP="00715FC8">
      <w:pPr>
        <w:rPr>
          <w:sz w:val="27"/>
          <w:rtl/>
        </w:rPr>
      </w:pPr>
      <w:r w:rsidRPr="00282AC9">
        <w:rPr>
          <w:rFonts w:hint="cs"/>
          <w:b/>
          <w:bCs/>
          <w:sz w:val="27"/>
          <w:rtl/>
        </w:rPr>
        <w:t>أوّلاً</w:t>
      </w:r>
      <w:r w:rsidRPr="00282AC9">
        <w:rPr>
          <w:rFonts w:hint="cs"/>
          <w:sz w:val="27"/>
          <w:rtl/>
        </w:rPr>
        <w:t xml:space="preserve">: </w:t>
      </w:r>
      <w:r w:rsidR="00690240" w:rsidRPr="00282AC9">
        <w:rPr>
          <w:rFonts w:hint="cs"/>
          <w:sz w:val="27"/>
          <w:rtl/>
        </w:rPr>
        <w:t>القول</w:t>
      </w:r>
      <w:r w:rsidRPr="00282AC9">
        <w:rPr>
          <w:rFonts w:hint="cs"/>
          <w:sz w:val="27"/>
          <w:rtl/>
        </w:rPr>
        <w:t xml:space="preserve"> بأنّ الدائميّ يكفي فيه عدم تخلّ</w:t>
      </w:r>
      <w:r w:rsidR="00690240" w:rsidRPr="00282AC9">
        <w:rPr>
          <w:rFonts w:hint="cs"/>
          <w:sz w:val="27"/>
          <w:rtl/>
        </w:rPr>
        <w:t>ُ</w:t>
      </w:r>
      <w:r w:rsidRPr="00282AC9">
        <w:rPr>
          <w:rFonts w:hint="cs"/>
          <w:sz w:val="27"/>
          <w:rtl/>
        </w:rPr>
        <w:t>فه في مشاهداتنا</w:t>
      </w:r>
      <w:r w:rsidR="00690240" w:rsidRPr="00282AC9">
        <w:rPr>
          <w:rFonts w:hint="cs"/>
          <w:sz w:val="27"/>
          <w:rtl/>
        </w:rPr>
        <w:t>،</w:t>
      </w:r>
      <w:r w:rsidRPr="00282AC9">
        <w:rPr>
          <w:rFonts w:hint="cs"/>
          <w:sz w:val="27"/>
          <w:rtl/>
        </w:rPr>
        <w:t xml:space="preserve"> أيّاً كان عددها، لا يرفع الإشكال</w:t>
      </w:r>
      <w:r w:rsidR="00690240" w:rsidRPr="00282AC9">
        <w:rPr>
          <w:rFonts w:hint="cs"/>
          <w:sz w:val="27"/>
          <w:rtl/>
        </w:rPr>
        <w:t>؛</w:t>
      </w:r>
      <w:r w:rsidRPr="00282AC9">
        <w:rPr>
          <w:rFonts w:hint="cs"/>
          <w:sz w:val="27"/>
          <w:rtl/>
        </w:rPr>
        <w:t xml:space="preserve"> لأن المطلوب تحديد حدّ</w:t>
      </w:r>
      <w:r w:rsidR="00690240" w:rsidRPr="00282AC9">
        <w:rPr>
          <w:rFonts w:hint="cs"/>
          <w:sz w:val="27"/>
          <w:rtl/>
        </w:rPr>
        <w:t>ٍ</w:t>
      </w:r>
      <w:r w:rsidRPr="00282AC9">
        <w:rPr>
          <w:rFonts w:hint="cs"/>
          <w:sz w:val="27"/>
          <w:rtl/>
        </w:rPr>
        <w:t xml:space="preserve"> أو ضابط</w:t>
      </w:r>
      <w:r w:rsidR="00690240" w:rsidRPr="00282AC9">
        <w:rPr>
          <w:rFonts w:hint="cs"/>
          <w:sz w:val="27"/>
          <w:rtl/>
        </w:rPr>
        <w:t>ٍ</w:t>
      </w:r>
      <w:r w:rsidRPr="00282AC9">
        <w:rPr>
          <w:rFonts w:hint="cs"/>
          <w:sz w:val="27"/>
          <w:rtl/>
        </w:rPr>
        <w:t xml:space="preserve"> نحدّ</w:t>
      </w:r>
      <w:r w:rsidR="00690240" w:rsidRPr="00282AC9">
        <w:rPr>
          <w:rFonts w:hint="cs"/>
          <w:sz w:val="27"/>
          <w:rtl/>
        </w:rPr>
        <w:t>ِ</w:t>
      </w:r>
      <w:r w:rsidRPr="00282AC9">
        <w:rPr>
          <w:rFonts w:hint="cs"/>
          <w:sz w:val="27"/>
          <w:rtl/>
        </w:rPr>
        <w:t xml:space="preserve">د به الدائميّ عمليّاً، بحيث </w:t>
      </w:r>
      <w:r w:rsidR="00690240" w:rsidRPr="00282AC9">
        <w:rPr>
          <w:rFonts w:hint="cs"/>
          <w:sz w:val="27"/>
          <w:rtl/>
        </w:rPr>
        <w:t xml:space="preserve">إن </w:t>
      </w:r>
      <w:r w:rsidRPr="00282AC9">
        <w:rPr>
          <w:rFonts w:hint="cs"/>
          <w:sz w:val="27"/>
          <w:rtl/>
        </w:rPr>
        <w:t>المجرّب عندما يتحقّ</w:t>
      </w:r>
      <w:r w:rsidR="00690240" w:rsidRPr="00282AC9">
        <w:rPr>
          <w:rFonts w:hint="cs"/>
          <w:sz w:val="27"/>
          <w:rtl/>
        </w:rPr>
        <w:t>َ</w:t>
      </w:r>
      <w:r w:rsidRPr="00282AC9">
        <w:rPr>
          <w:rFonts w:hint="cs"/>
          <w:sz w:val="27"/>
          <w:rtl/>
        </w:rPr>
        <w:t>ق عنده هذا الحدّ يستنتج كونه علّةً</w:t>
      </w:r>
      <w:r w:rsidR="00690240" w:rsidRPr="00282AC9">
        <w:rPr>
          <w:rFonts w:hint="cs"/>
          <w:sz w:val="27"/>
          <w:rtl/>
        </w:rPr>
        <w:t>،</w:t>
      </w:r>
      <w:r w:rsidRPr="00282AC9">
        <w:rPr>
          <w:rFonts w:hint="cs"/>
          <w:sz w:val="27"/>
          <w:rtl/>
        </w:rPr>
        <w:t xml:space="preserve"> لا صدفة</w:t>
      </w:r>
      <w:r w:rsidR="00690240" w:rsidRPr="00282AC9">
        <w:rPr>
          <w:rFonts w:hint="cs"/>
          <w:sz w:val="27"/>
          <w:rtl/>
        </w:rPr>
        <w:t>.</w:t>
      </w:r>
      <w:r w:rsidRPr="00282AC9">
        <w:rPr>
          <w:rFonts w:hint="cs"/>
          <w:sz w:val="27"/>
          <w:rtl/>
        </w:rPr>
        <w:t xml:space="preserve"> وهذا ما لا يفي فيه (مشاهداتنا أيّاً كان عددها)</w:t>
      </w:r>
      <w:r w:rsidR="00690240" w:rsidRPr="00282AC9">
        <w:rPr>
          <w:rFonts w:hint="cs"/>
          <w:sz w:val="27"/>
          <w:rtl/>
        </w:rPr>
        <w:t>؛ لأن</w:t>
      </w:r>
      <w:r w:rsidRPr="00282AC9">
        <w:rPr>
          <w:rFonts w:hint="cs"/>
          <w:sz w:val="27"/>
          <w:rtl/>
        </w:rPr>
        <w:t>ه بنفسه يحتاج إلى تحديد</w:t>
      </w:r>
      <w:r w:rsidR="00690240" w:rsidRPr="00282AC9">
        <w:rPr>
          <w:rFonts w:hint="cs"/>
          <w:sz w:val="27"/>
          <w:rtl/>
        </w:rPr>
        <w:t>ٍ</w:t>
      </w:r>
      <w:r w:rsidRPr="00282AC9">
        <w:rPr>
          <w:rFonts w:hint="cs"/>
          <w:sz w:val="27"/>
          <w:rtl/>
        </w:rPr>
        <w:t xml:space="preserve"> وتعيين.</w:t>
      </w:r>
    </w:p>
    <w:p w:rsidR="002C1D33" w:rsidRPr="00282AC9" w:rsidRDefault="002C1D33" w:rsidP="00715FC8">
      <w:pPr>
        <w:rPr>
          <w:sz w:val="27"/>
          <w:rtl/>
        </w:rPr>
      </w:pPr>
      <w:r w:rsidRPr="00282AC9">
        <w:rPr>
          <w:rFonts w:hint="cs"/>
          <w:b/>
          <w:bCs/>
          <w:sz w:val="27"/>
          <w:rtl/>
        </w:rPr>
        <w:t>ثانياً</w:t>
      </w:r>
      <w:r w:rsidRPr="00282AC9">
        <w:rPr>
          <w:rFonts w:hint="cs"/>
          <w:sz w:val="27"/>
          <w:rtl/>
        </w:rPr>
        <w:t xml:space="preserve">: </w:t>
      </w:r>
      <w:r w:rsidR="00690240" w:rsidRPr="00282AC9">
        <w:rPr>
          <w:rFonts w:hint="cs"/>
          <w:sz w:val="27"/>
          <w:rtl/>
        </w:rPr>
        <w:t>القول</w:t>
      </w:r>
      <w:r w:rsidRPr="00282AC9">
        <w:rPr>
          <w:rFonts w:hint="cs"/>
          <w:sz w:val="27"/>
          <w:rtl/>
        </w:rPr>
        <w:t xml:space="preserve"> بأنّ الأكثريّ أمر</w:t>
      </w:r>
      <w:r w:rsidR="00690240" w:rsidRPr="00282AC9">
        <w:rPr>
          <w:rFonts w:hint="cs"/>
          <w:sz w:val="27"/>
          <w:rtl/>
        </w:rPr>
        <w:t>ٌ</w:t>
      </w:r>
      <w:r w:rsidRPr="00282AC9">
        <w:rPr>
          <w:rFonts w:hint="cs"/>
          <w:sz w:val="27"/>
          <w:rtl/>
        </w:rPr>
        <w:t xml:space="preserve"> نسبيّ، يكفي فيه عدم تخلّ</w:t>
      </w:r>
      <w:r w:rsidR="00690240" w:rsidRPr="00282AC9">
        <w:rPr>
          <w:rFonts w:hint="cs"/>
          <w:sz w:val="27"/>
          <w:rtl/>
        </w:rPr>
        <w:t>ُ</w:t>
      </w:r>
      <w:r w:rsidRPr="00282AC9">
        <w:rPr>
          <w:rFonts w:hint="cs"/>
          <w:sz w:val="27"/>
          <w:rtl/>
        </w:rPr>
        <w:t>فه في أكثر الحالات، ي</w:t>
      </w:r>
      <w:r w:rsidR="00690240" w:rsidRPr="00282AC9">
        <w:rPr>
          <w:rFonts w:hint="cs"/>
          <w:sz w:val="27"/>
          <w:rtl/>
        </w:rPr>
        <w:t>َ</w:t>
      </w:r>
      <w:r w:rsidRPr="00282AC9">
        <w:rPr>
          <w:rFonts w:hint="cs"/>
          <w:sz w:val="27"/>
          <w:rtl/>
        </w:rPr>
        <w:t>ر</w:t>
      </w:r>
      <w:r w:rsidR="00690240" w:rsidRPr="00282AC9">
        <w:rPr>
          <w:rFonts w:hint="cs"/>
          <w:sz w:val="27"/>
          <w:rtl/>
        </w:rPr>
        <w:t>ِ</w:t>
      </w:r>
      <w:r w:rsidRPr="00282AC9">
        <w:rPr>
          <w:rFonts w:hint="cs"/>
          <w:sz w:val="27"/>
          <w:rtl/>
        </w:rPr>
        <w:t>د</w:t>
      </w:r>
      <w:r w:rsidR="00690240" w:rsidRPr="00282AC9">
        <w:rPr>
          <w:rFonts w:hint="cs"/>
          <w:sz w:val="27"/>
          <w:rtl/>
        </w:rPr>
        <w:t>ُ</w:t>
      </w:r>
      <w:r w:rsidRPr="00282AC9">
        <w:rPr>
          <w:rFonts w:hint="cs"/>
          <w:sz w:val="27"/>
          <w:rtl/>
        </w:rPr>
        <w:t xml:space="preserve"> عليه ما ورد في أوّلاً</w:t>
      </w:r>
      <w:r w:rsidR="00690240" w:rsidRPr="00282AC9">
        <w:rPr>
          <w:rFonts w:hint="cs"/>
          <w:sz w:val="27"/>
          <w:rtl/>
        </w:rPr>
        <w:t>؛</w:t>
      </w:r>
      <w:r w:rsidRPr="00282AC9">
        <w:rPr>
          <w:rFonts w:hint="cs"/>
          <w:sz w:val="27"/>
          <w:rtl/>
        </w:rPr>
        <w:t xml:space="preserve"> لأن تحديده بكونه أمراً نسبيّاً يعني كونه يختلف من حالة</w:t>
      </w:r>
      <w:r w:rsidR="00690240" w:rsidRPr="00282AC9">
        <w:rPr>
          <w:rFonts w:hint="cs"/>
          <w:sz w:val="27"/>
          <w:rtl/>
        </w:rPr>
        <w:t>ٍ</w:t>
      </w:r>
      <w:r w:rsidRPr="00282AC9">
        <w:rPr>
          <w:rFonts w:hint="cs"/>
          <w:sz w:val="27"/>
          <w:rtl/>
        </w:rPr>
        <w:t xml:space="preserve"> </w:t>
      </w:r>
      <w:r w:rsidR="00690240" w:rsidRPr="00282AC9">
        <w:rPr>
          <w:rFonts w:hint="cs"/>
          <w:sz w:val="27"/>
          <w:rtl/>
        </w:rPr>
        <w:t xml:space="preserve">إلى </w:t>
      </w:r>
      <w:r w:rsidRPr="00282AC9">
        <w:rPr>
          <w:rFonts w:hint="cs"/>
          <w:sz w:val="27"/>
          <w:rtl/>
        </w:rPr>
        <w:t>أخرى</w:t>
      </w:r>
      <w:r w:rsidR="00690240" w:rsidRPr="00282AC9">
        <w:rPr>
          <w:rFonts w:hint="cs"/>
          <w:sz w:val="27"/>
          <w:rtl/>
        </w:rPr>
        <w:t>،</w:t>
      </w:r>
      <w:r w:rsidRPr="00282AC9">
        <w:rPr>
          <w:rFonts w:hint="cs"/>
          <w:sz w:val="27"/>
          <w:rtl/>
        </w:rPr>
        <w:t xml:space="preserve"> ومن تجربة</w:t>
      </w:r>
      <w:r w:rsidR="00690240" w:rsidRPr="00282AC9">
        <w:rPr>
          <w:rFonts w:hint="cs"/>
          <w:sz w:val="27"/>
          <w:rtl/>
        </w:rPr>
        <w:t>ٍ</w:t>
      </w:r>
      <w:r w:rsidRPr="00282AC9">
        <w:rPr>
          <w:rFonts w:hint="cs"/>
          <w:sz w:val="27"/>
          <w:rtl/>
        </w:rPr>
        <w:t xml:space="preserve"> </w:t>
      </w:r>
      <w:r w:rsidR="00690240" w:rsidRPr="00282AC9">
        <w:rPr>
          <w:rFonts w:hint="cs"/>
          <w:sz w:val="27"/>
          <w:rtl/>
        </w:rPr>
        <w:t xml:space="preserve">إلى </w:t>
      </w:r>
      <w:r w:rsidRPr="00282AC9">
        <w:rPr>
          <w:rFonts w:hint="cs"/>
          <w:sz w:val="27"/>
          <w:rtl/>
        </w:rPr>
        <w:t>أخرى</w:t>
      </w:r>
      <w:r w:rsidR="00690240" w:rsidRPr="00282AC9">
        <w:rPr>
          <w:rFonts w:hint="cs"/>
          <w:sz w:val="27"/>
          <w:rtl/>
        </w:rPr>
        <w:t>.</w:t>
      </w:r>
      <w:r w:rsidRPr="00282AC9">
        <w:rPr>
          <w:rFonts w:hint="cs"/>
          <w:sz w:val="27"/>
          <w:rtl/>
        </w:rPr>
        <w:t xml:space="preserve"> لكن</w:t>
      </w:r>
      <w:r w:rsidR="00690240" w:rsidRPr="00282AC9">
        <w:rPr>
          <w:rFonts w:hint="cs"/>
          <w:sz w:val="27"/>
          <w:rtl/>
        </w:rPr>
        <w:t>ّ</w:t>
      </w:r>
      <w:r w:rsidRPr="00282AC9">
        <w:rPr>
          <w:rFonts w:hint="cs"/>
          <w:sz w:val="27"/>
          <w:rtl/>
        </w:rPr>
        <w:t xml:space="preserve"> هذا لا يكفي</w:t>
      </w:r>
      <w:r w:rsidR="00690240" w:rsidRPr="00282AC9">
        <w:rPr>
          <w:rFonts w:hint="cs"/>
          <w:sz w:val="27"/>
          <w:rtl/>
        </w:rPr>
        <w:t>؛ لأنه</w:t>
      </w:r>
      <w:r w:rsidRPr="00282AC9">
        <w:rPr>
          <w:rFonts w:hint="cs"/>
          <w:sz w:val="27"/>
          <w:rtl/>
        </w:rPr>
        <w:t xml:space="preserve"> </w:t>
      </w:r>
      <w:r w:rsidR="00674EF5" w:rsidRPr="00282AC9">
        <w:rPr>
          <w:rFonts w:hint="cs"/>
          <w:sz w:val="27"/>
          <w:rtl/>
        </w:rPr>
        <w:t>لا بُدَّ</w:t>
      </w:r>
      <w:r w:rsidRPr="00282AC9">
        <w:rPr>
          <w:rFonts w:hint="cs"/>
          <w:sz w:val="27"/>
          <w:rtl/>
        </w:rPr>
        <w:t xml:space="preserve"> للأمر النسبيّ من ضابط</w:t>
      </w:r>
      <w:r w:rsidR="00690240" w:rsidRPr="00282AC9">
        <w:rPr>
          <w:rFonts w:hint="cs"/>
          <w:sz w:val="27"/>
          <w:rtl/>
        </w:rPr>
        <w:t>ٍ</w:t>
      </w:r>
      <w:r w:rsidRPr="00282AC9">
        <w:rPr>
          <w:rFonts w:hint="cs"/>
          <w:sz w:val="27"/>
          <w:rtl/>
        </w:rPr>
        <w:t xml:space="preserve"> يحدّ</w:t>
      </w:r>
      <w:r w:rsidR="00690240" w:rsidRPr="00282AC9">
        <w:rPr>
          <w:rFonts w:hint="cs"/>
          <w:sz w:val="27"/>
          <w:rtl/>
        </w:rPr>
        <w:t>ِ</w:t>
      </w:r>
      <w:r w:rsidRPr="00282AC9">
        <w:rPr>
          <w:rFonts w:hint="cs"/>
          <w:sz w:val="27"/>
          <w:rtl/>
        </w:rPr>
        <w:t>د انطباقه على الحالات والتجارب المختلفة</w:t>
      </w:r>
      <w:r w:rsidR="00690240" w:rsidRPr="00282AC9">
        <w:rPr>
          <w:rFonts w:hint="cs"/>
          <w:sz w:val="27"/>
          <w:rtl/>
        </w:rPr>
        <w:t>.</w:t>
      </w:r>
      <w:r w:rsidRPr="00282AC9">
        <w:rPr>
          <w:rFonts w:hint="cs"/>
          <w:sz w:val="27"/>
          <w:rtl/>
        </w:rPr>
        <w:t xml:space="preserve"> وهذا لا يتحقّ</w:t>
      </w:r>
      <w:r w:rsidR="00690240" w:rsidRPr="00282AC9">
        <w:rPr>
          <w:rFonts w:hint="cs"/>
          <w:sz w:val="27"/>
          <w:rtl/>
        </w:rPr>
        <w:t>َ</w:t>
      </w:r>
      <w:r w:rsidRPr="00282AC9">
        <w:rPr>
          <w:rFonts w:hint="cs"/>
          <w:sz w:val="27"/>
          <w:rtl/>
        </w:rPr>
        <w:t>ق بكونه يكفي فيه</w:t>
      </w:r>
      <w:r w:rsidR="00690240" w:rsidRPr="00282AC9">
        <w:rPr>
          <w:rFonts w:hint="cs"/>
          <w:sz w:val="27"/>
          <w:rtl/>
        </w:rPr>
        <w:t xml:space="preserve"> عدم التخلُّ</w:t>
      </w:r>
      <w:r w:rsidRPr="00282AC9">
        <w:rPr>
          <w:rFonts w:hint="cs"/>
          <w:sz w:val="27"/>
          <w:rtl/>
        </w:rPr>
        <w:t>ف في أكثر المشاهدات</w:t>
      </w:r>
      <w:r w:rsidR="00690240" w:rsidRPr="00282AC9">
        <w:rPr>
          <w:rFonts w:hint="cs"/>
          <w:sz w:val="27"/>
          <w:rtl/>
        </w:rPr>
        <w:t>؛</w:t>
      </w:r>
      <w:r w:rsidRPr="00282AC9">
        <w:rPr>
          <w:rFonts w:hint="cs"/>
          <w:sz w:val="27"/>
          <w:rtl/>
        </w:rPr>
        <w:t xml:space="preserve"> لأن أكثر المشاهدات لا يصلح أن يكون حدّاً وضابطاً</w:t>
      </w:r>
      <w:r w:rsidR="00690240" w:rsidRPr="00282AC9">
        <w:rPr>
          <w:rFonts w:hint="cs"/>
          <w:sz w:val="27"/>
          <w:rtl/>
        </w:rPr>
        <w:t>؛</w:t>
      </w:r>
      <w:r w:rsidRPr="00282AC9">
        <w:rPr>
          <w:rFonts w:hint="cs"/>
          <w:sz w:val="27"/>
          <w:rtl/>
        </w:rPr>
        <w:t xml:space="preserve"> فهل تتحقّ</w:t>
      </w:r>
      <w:r w:rsidR="00690240" w:rsidRPr="00282AC9">
        <w:rPr>
          <w:rFonts w:hint="cs"/>
          <w:sz w:val="27"/>
          <w:rtl/>
        </w:rPr>
        <w:t>َ</w:t>
      </w:r>
      <w:r w:rsidRPr="00282AC9">
        <w:rPr>
          <w:rFonts w:hint="cs"/>
          <w:sz w:val="27"/>
          <w:rtl/>
        </w:rPr>
        <w:t>ق أكثر المشاهدات بمشاهدات مجرِّب</w:t>
      </w:r>
      <w:r w:rsidR="00690240" w:rsidRPr="00282AC9">
        <w:rPr>
          <w:rFonts w:hint="cs"/>
          <w:sz w:val="27"/>
          <w:rtl/>
        </w:rPr>
        <w:t>ٍ</w:t>
      </w:r>
      <w:r w:rsidRPr="00282AC9">
        <w:rPr>
          <w:rFonts w:hint="cs"/>
          <w:sz w:val="27"/>
          <w:rtl/>
        </w:rPr>
        <w:t xml:space="preserve"> واحد</w:t>
      </w:r>
      <w:r w:rsidR="00690240" w:rsidRPr="00282AC9">
        <w:rPr>
          <w:rFonts w:hint="cs"/>
          <w:sz w:val="27"/>
          <w:rtl/>
        </w:rPr>
        <w:t>،</w:t>
      </w:r>
      <w:r w:rsidRPr="00282AC9">
        <w:rPr>
          <w:rFonts w:hint="cs"/>
          <w:sz w:val="27"/>
          <w:rtl/>
        </w:rPr>
        <w:t xml:space="preserve"> أم يشترط مجموعة مجرِّبين؟ ومشاهدات الواحد هل يعني</w:t>
      </w:r>
      <w:r w:rsidR="00AA11FF" w:rsidRPr="00282AC9">
        <w:rPr>
          <w:rFonts w:hint="cs"/>
          <w:sz w:val="27"/>
          <w:rtl/>
        </w:rPr>
        <w:t xml:space="preserve"> أنه</w:t>
      </w:r>
      <w:r w:rsidRPr="00282AC9">
        <w:rPr>
          <w:rFonts w:hint="cs"/>
          <w:sz w:val="27"/>
          <w:rtl/>
        </w:rPr>
        <w:t xml:space="preserve"> إذا أجرى عشر تجارب فيكفي في تحقّ</w:t>
      </w:r>
      <w:r w:rsidR="00AA11FF" w:rsidRPr="00282AC9">
        <w:rPr>
          <w:rFonts w:hint="cs"/>
          <w:sz w:val="27"/>
          <w:rtl/>
        </w:rPr>
        <w:t>ُق الأكثريّ أن</w:t>
      </w:r>
      <w:r w:rsidRPr="00282AC9">
        <w:rPr>
          <w:rFonts w:hint="cs"/>
          <w:sz w:val="27"/>
          <w:rtl/>
        </w:rPr>
        <w:t xml:space="preserve"> </w:t>
      </w:r>
      <w:r w:rsidR="00AA11FF" w:rsidRPr="00282AC9">
        <w:rPr>
          <w:rFonts w:hint="cs"/>
          <w:sz w:val="27"/>
          <w:rtl/>
        </w:rPr>
        <w:t>ي</w:t>
      </w:r>
      <w:r w:rsidRPr="00282AC9">
        <w:rPr>
          <w:rFonts w:hint="cs"/>
          <w:sz w:val="27"/>
          <w:rtl/>
        </w:rPr>
        <w:t>كون أكثر من النصف لصالح اقتران (أ) بـ (ب)</w:t>
      </w:r>
      <w:r w:rsidR="00AA11FF" w:rsidRPr="00282AC9">
        <w:rPr>
          <w:rFonts w:hint="cs"/>
          <w:sz w:val="27"/>
          <w:rtl/>
        </w:rPr>
        <w:t>،</w:t>
      </w:r>
      <w:r w:rsidRPr="00282AC9">
        <w:rPr>
          <w:rFonts w:hint="cs"/>
          <w:sz w:val="27"/>
          <w:rtl/>
        </w:rPr>
        <w:t xml:space="preserve"> حتى نستنتج السببيّة، ونستبعد الصدفة؟</w:t>
      </w:r>
    </w:p>
    <w:p w:rsidR="002C1D33" w:rsidRPr="00282AC9" w:rsidRDefault="002C1D33" w:rsidP="00715FC8">
      <w:pPr>
        <w:rPr>
          <w:sz w:val="27"/>
          <w:rtl/>
        </w:rPr>
      </w:pPr>
      <w:r w:rsidRPr="00282AC9">
        <w:rPr>
          <w:rFonts w:hint="cs"/>
          <w:sz w:val="27"/>
          <w:rtl/>
        </w:rPr>
        <w:t>وهكذا نلاحظ أنّ هذه التحديدات لا يمكنها تقديم صيغة</w:t>
      </w:r>
      <w:r w:rsidR="00AA11FF" w:rsidRPr="00282AC9">
        <w:rPr>
          <w:rFonts w:hint="cs"/>
          <w:sz w:val="27"/>
          <w:rtl/>
        </w:rPr>
        <w:t>ٍ</w:t>
      </w:r>
      <w:r w:rsidRPr="00282AC9">
        <w:rPr>
          <w:rFonts w:hint="cs"/>
          <w:sz w:val="27"/>
          <w:rtl/>
        </w:rPr>
        <w:t xml:space="preserve"> محدّ</w:t>
      </w:r>
      <w:r w:rsidR="00AA11FF" w:rsidRPr="00282AC9">
        <w:rPr>
          <w:rFonts w:hint="cs"/>
          <w:sz w:val="27"/>
          <w:rtl/>
        </w:rPr>
        <w:t>َ</w:t>
      </w:r>
      <w:r w:rsidRPr="00282AC9">
        <w:rPr>
          <w:rFonts w:hint="cs"/>
          <w:sz w:val="27"/>
          <w:rtl/>
        </w:rPr>
        <w:t>دة للمبدأ الأرسطي، يمكّ</w:t>
      </w:r>
      <w:r w:rsidR="00AA11FF" w:rsidRPr="00282AC9">
        <w:rPr>
          <w:rFonts w:hint="cs"/>
          <w:sz w:val="27"/>
          <w:rtl/>
        </w:rPr>
        <w:t>ِ</w:t>
      </w:r>
      <w:r w:rsidRPr="00282AC9">
        <w:rPr>
          <w:rFonts w:hint="cs"/>
          <w:sz w:val="27"/>
          <w:rtl/>
        </w:rPr>
        <w:t xml:space="preserve">نه من </w:t>
      </w:r>
      <w:r w:rsidR="00AA11FF" w:rsidRPr="00282AC9">
        <w:rPr>
          <w:rFonts w:hint="cs"/>
          <w:sz w:val="27"/>
          <w:rtl/>
        </w:rPr>
        <w:t>الجريان</w:t>
      </w:r>
      <w:r w:rsidRPr="00282AC9">
        <w:rPr>
          <w:rFonts w:hint="cs"/>
          <w:sz w:val="27"/>
          <w:rtl/>
        </w:rPr>
        <w:t xml:space="preserve"> عمليّاً بشكل</w:t>
      </w:r>
      <w:r w:rsidR="00AA11FF" w:rsidRPr="00282AC9">
        <w:rPr>
          <w:rFonts w:hint="cs"/>
          <w:sz w:val="27"/>
          <w:rtl/>
        </w:rPr>
        <w:t>ٍ</w:t>
      </w:r>
      <w:r w:rsidRPr="00282AC9">
        <w:rPr>
          <w:rFonts w:hint="cs"/>
          <w:sz w:val="27"/>
          <w:rtl/>
        </w:rPr>
        <w:t xml:space="preserve"> مبرّ</w:t>
      </w:r>
      <w:r w:rsidR="00AA11FF" w:rsidRPr="00282AC9">
        <w:rPr>
          <w:rFonts w:hint="cs"/>
          <w:sz w:val="27"/>
          <w:rtl/>
        </w:rPr>
        <w:t>َ</w:t>
      </w:r>
      <w:r w:rsidRPr="00282AC9">
        <w:rPr>
          <w:rFonts w:hint="cs"/>
          <w:sz w:val="27"/>
          <w:rtl/>
        </w:rPr>
        <w:t>ر موضوعيّ.</w:t>
      </w:r>
    </w:p>
    <w:p w:rsidR="00263D5D" w:rsidRPr="00282AC9" w:rsidRDefault="002C1D33" w:rsidP="00715FC8">
      <w:pPr>
        <w:rPr>
          <w:sz w:val="27"/>
          <w:rtl/>
        </w:rPr>
      </w:pPr>
      <w:r w:rsidRPr="00282AC9">
        <w:rPr>
          <w:rFonts w:hint="cs"/>
          <w:sz w:val="27"/>
          <w:rtl/>
        </w:rPr>
        <w:t>لكن</w:t>
      </w:r>
      <w:r w:rsidR="00AA11FF" w:rsidRPr="00282AC9">
        <w:rPr>
          <w:rFonts w:hint="cs"/>
          <w:sz w:val="27"/>
          <w:rtl/>
        </w:rPr>
        <w:t>ْ</w:t>
      </w:r>
      <w:r w:rsidRPr="00282AC9">
        <w:rPr>
          <w:rFonts w:hint="cs"/>
          <w:sz w:val="27"/>
          <w:rtl/>
        </w:rPr>
        <w:t xml:space="preserve"> بالإمكان ترميم هذه المحاولة في</w:t>
      </w:r>
      <w:r w:rsidR="00AA11FF" w:rsidRPr="00282AC9">
        <w:rPr>
          <w:rFonts w:hint="cs"/>
          <w:sz w:val="27"/>
          <w:rtl/>
        </w:rPr>
        <w:t xml:space="preserve"> </w:t>
      </w:r>
      <w:r w:rsidRPr="00282AC9">
        <w:rPr>
          <w:rFonts w:hint="cs"/>
          <w:sz w:val="27"/>
          <w:rtl/>
        </w:rPr>
        <w:t>ما يتعل</w:t>
      </w:r>
      <w:r w:rsidR="00AA11FF" w:rsidRPr="00282AC9">
        <w:rPr>
          <w:rFonts w:hint="cs"/>
          <w:sz w:val="27"/>
          <w:rtl/>
        </w:rPr>
        <w:t>َّ</w:t>
      </w:r>
      <w:r w:rsidRPr="00282AC9">
        <w:rPr>
          <w:rFonts w:hint="cs"/>
          <w:sz w:val="27"/>
          <w:rtl/>
        </w:rPr>
        <w:t>ق بالأكثريّ وفق المنطق الأرسطي</w:t>
      </w:r>
      <w:r w:rsidR="00AA11FF" w:rsidRPr="00282AC9">
        <w:rPr>
          <w:rFonts w:hint="cs"/>
          <w:sz w:val="27"/>
          <w:rtl/>
        </w:rPr>
        <w:t>،</w:t>
      </w:r>
      <w:r w:rsidRPr="00282AC9">
        <w:rPr>
          <w:rFonts w:hint="cs"/>
          <w:sz w:val="27"/>
          <w:rtl/>
        </w:rPr>
        <w:t xml:space="preserve"> بأن نقول: </w:t>
      </w:r>
      <w:r w:rsidR="00AA11FF" w:rsidRPr="00282AC9">
        <w:rPr>
          <w:rFonts w:hint="cs"/>
          <w:sz w:val="27"/>
          <w:rtl/>
        </w:rPr>
        <w:t>إ</w:t>
      </w:r>
      <w:r w:rsidRPr="00282AC9">
        <w:rPr>
          <w:rFonts w:hint="cs"/>
          <w:sz w:val="27"/>
          <w:rtl/>
        </w:rPr>
        <w:t>نّ الضابط هو ما ذكره المنطق الأرسطيّ في تحقّ</w:t>
      </w:r>
      <w:r w:rsidR="00AA11FF" w:rsidRPr="00282AC9">
        <w:rPr>
          <w:rFonts w:hint="cs"/>
          <w:sz w:val="27"/>
          <w:rtl/>
        </w:rPr>
        <w:t>ُ</w:t>
      </w:r>
      <w:r w:rsidRPr="00282AC9">
        <w:rPr>
          <w:rFonts w:hint="cs"/>
          <w:sz w:val="27"/>
          <w:rtl/>
        </w:rPr>
        <w:t>ق المتوترات وغيرها</w:t>
      </w:r>
      <w:r w:rsidRPr="00282AC9">
        <w:rPr>
          <w:rFonts w:hint="cs"/>
          <w:sz w:val="27"/>
          <w:vertAlign w:val="superscript"/>
          <w:rtl/>
        </w:rPr>
        <w:t>(</w:t>
      </w:r>
      <w:r w:rsidRPr="00282AC9">
        <w:rPr>
          <w:rStyle w:val="af9"/>
          <w:rFonts w:hint="cs"/>
          <w:sz w:val="27"/>
          <w:rtl/>
        </w:rPr>
        <w:endnoteReference w:id="1026"/>
      </w:r>
      <w:r w:rsidRPr="00282AC9">
        <w:rPr>
          <w:rFonts w:hint="cs"/>
          <w:sz w:val="27"/>
          <w:vertAlign w:val="superscript"/>
          <w:rtl/>
        </w:rPr>
        <w:t>)</w:t>
      </w:r>
      <w:r w:rsidRPr="00282AC9">
        <w:rPr>
          <w:rFonts w:hint="cs"/>
          <w:sz w:val="27"/>
          <w:rtl/>
        </w:rPr>
        <w:t xml:space="preserve">، وهو أن تسكن النفس سكوناً تامّاً </w:t>
      </w:r>
      <w:r w:rsidR="00AA11FF" w:rsidRPr="00282AC9">
        <w:rPr>
          <w:rFonts w:hint="cs"/>
          <w:sz w:val="27"/>
          <w:rtl/>
        </w:rPr>
        <w:t xml:space="preserve">ـ </w:t>
      </w:r>
      <w:r w:rsidRPr="00282AC9">
        <w:rPr>
          <w:rFonts w:hint="cs"/>
          <w:sz w:val="27"/>
          <w:rtl/>
        </w:rPr>
        <w:t xml:space="preserve">يزول معه الشكّ </w:t>
      </w:r>
      <w:r w:rsidR="00AA11FF" w:rsidRPr="00282AC9">
        <w:rPr>
          <w:rFonts w:hint="cs"/>
          <w:sz w:val="27"/>
          <w:rtl/>
        </w:rPr>
        <w:t xml:space="preserve">ـ </w:t>
      </w:r>
      <w:r w:rsidRPr="00282AC9">
        <w:rPr>
          <w:rFonts w:hint="cs"/>
          <w:sz w:val="27"/>
          <w:rtl/>
        </w:rPr>
        <w:t>بأنّ هذا العدد من التجارب التي أُج</w:t>
      </w:r>
      <w:r w:rsidR="00AA11FF" w:rsidRPr="00282AC9">
        <w:rPr>
          <w:rFonts w:hint="cs"/>
          <w:sz w:val="27"/>
          <w:rtl/>
        </w:rPr>
        <w:t>ْ</w:t>
      </w:r>
      <w:r w:rsidRPr="00282AC9">
        <w:rPr>
          <w:rFonts w:hint="cs"/>
          <w:sz w:val="27"/>
          <w:rtl/>
        </w:rPr>
        <w:t>ري</w:t>
      </w:r>
      <w:r w:rsidR="00AA11FF" w:rsidRPr="00282AC9">
        <w:rPr>
          <w:rFonts w:hint="cs"/>
          <w:sz w:val="27"/>
          <w:rtl/>
        </w:rPr>
        <w:t>،</w:t>
      </w:r>
      <w:r w:rsidRPr="00282AC9">
        <w:rPr>
          <w:rFonts w:hint="cs"/>
          <w:sz w:val="27"/>
          <w:rtl/>
        </w:rPr>
        <w:t xml:space="preserve"> والذي اقترن فيه (أ) بـ (ب)</w:t>
      </w:r>
      <w:r w:rsidR="00AA11FF" w:rsidRPr="00282AC9">
        <w:rPr>
          <w:rFonts w:hint="cs"/>
          <w:sz w:val="27"/>
          <w:rtl/>
        </w:rPr>
        <w:t>،</w:t>
      </w:r>
      <w:r w:rsidRPr="00282AC9">
        <w:rPr>
          <w:rFonts w:hint="cs"/>
          <w:sz w:val="27"/>
          <w:rtl/>
        </w:rPr>
        <w:t xml:space="preserve"> هو اقتران</w:t>
      </w:r>
      <w:r w:rsidR="00AA11FF" w:rsidRPr="00282AC9">
        <w:rPr>
          <w:rFonts w:hint="cs"/>
          <w:sz w:val="27"/>
          <w:rtl/>
        </w:rPr>
        <w:t>ٌ</w:t>
      </w:r>
      <w:r w:rsidRPr="00282AC9">
        <w:rPr>
          <w:rFonts w:hint="cs"/>
          <w:sz w:val="27"/>
          <w:rtl/>
        </w:rPr>
        <w:t xml:space="preserve"> سببيّ</w:t>
      </w:r>
      <w:r w:rsidR="00AA11FF" w:rsidRPr="00282AC9">
        <w:rPr>
          <w:rFonts w:hint="cs"/>
          <w:sz w:val="27"/>
          <w:rtl/>
        </w:rPr>
        <w:t>،</w:t>
      </w:r>
      <w:r w:rsidRPr="00282AC9">
        <w:rPr>
          <w:rFonts w:hint="cs"/>
          <w:sz w:val="27"/>
          <w:rtl/>
        </w:rPr>
        <w:t xml:space="preserve"> لا ات</w:t>
      </w:r>
      <w:r w:rsidR="00AA11FF" w:rsidRPr="00282AC9">
        <w:rPr>
          <w:rFonts w:hint="cs"/>
          <w:sz w:val="27"/>
          <w:rtl/>
        </w:rPr>
        <w:t>ّ</w:t>
      </w:r>
      <w:r w:rsidRPr="00282AC9">
        <w:rPr>
          <w:rFonts w:hint="cs"/>
          <w:sz w:val="27"/>
          <w:rtl/>
        </w:rPr>
        <w:t>فاقيّ</w:t>
      </w:r>
      <w:r w:rsidR="00AA11FF" w:rsidRPr="00282AC9">
        <w:rPr>
          <w:rFonts w:hint="cs"/>
          <w:sz w:val="27"/>
          <w:rtl/>
        </w:rPr>
        <w:t>.</w:t>
      </w:r>
      <w:r w:rsidRPr="00282AC9">
        <w:rPr>
          <w:rFonts w:hint="cs"/>
          <w:sz w:val="27"/>
          <w:rtl/>
        </w:rPr>
        <w:t xml:space="preserve"> وبعبارة</w:t>
      </w:r>
      <w:r w:rsidR="00AA11FF" w:rsidRPr="00282AC9">
        <w:rPr>
          <w:rFonts w:hint="cs"/>
          <w:sz w:val="27"/>
          <w:rtl/>
        </w:rPr>
        <w:t>ٍ</w:t>
      </w:r>
      <w:r w:rsidR="00263D5D" w:rsidRPr="00282AC9">
        <w:rPr>
          <w:rFonts w:hint="cs"/>
          <w:sz w:val="27"/>
          <w:rtl/>
        </w:rPr>
        <w:t xml:space="preserve"> ثانية: سكون النفس إلى أن</w:t>
      </w:r>
      <w:r w:rsidRPr="00282AC9">
        <w:rPr>
          <w:rFonts w:hint="cs"/>
          <w:sz w:val="27"/>
          <w:rtl/>
        </w:rPr>
        <w:t xml:space="preserve"> هذا العدد من الاقترانات يمثّ</w:t>
      </w:r>
      <w:r w:rsidR="00263D5D" w:rsidRPr="00282AC9">
        <w:rPr>
          <w:rFonts w:hint="cs"/>
          <w:sz w:val="27"/>
          <w:rtl/>
        </w:rPr>
        <w:t>ِل الأكثريّ النسبيّ.</w:t>
      </w:r>
    </w:p>
    <w:p w:rsidR="00E83C22" w:rsidRPr="00282AC9" w:rsidRDefault="00263D5D" w:rsidP="00D1080C">
      <w:pPr>
        <w:rPr>
          <w:rtl/>
        </w:rPr>
      </w:pPr>
      <w:r w:rsidRPr="00282AC9">
        <w:rPr>
          <w:rFonts w:hint="cs"/>
          <w:sz w:val="27"/>
          <w:rtl/>
        </w:rPr>
        <w:t>لكنْ</w:t>
      </w:r>
      <w:r w:rsidR="002C1D33" w:rsidRPr="00282AC9">
        <w:rPr>
          <w:rFonts w:hint="cs"/>
          <w:sz w:val="27"/>
          <w:rtl/>
        </w:rPr>
        <w:t xml:space="preserve"> يُلاح</w:t>
      </w:r>
      <w:r w:rsidRPr="00282AC9">
        <w:rPr>
          <w:rFonts w:hint="cs"/>
          <w:sz w:val="27"/>
          <w:rtl/>
        </w:rPr>
        <w:t>َ</w:t>
      </w:r>
      <w:r w:rsidR="002C1D33" w:rsidRPr="00282AC9">
        <w:rPr>
          <w:rFonts w:hint="cs"/>
          <w:sz w:val="27"/>
          <w:rtl/>
        </w:rPr>
        <w:t>ظ عليه</w:t>
      </w:r>
      <w:r w:rsidRPr="00282AC9">
        <w:rPr>
          <w:rFonts w:hint="cs"/>
          <w:sz w:val="27"/>
          <w:rtl/>
        </w:rPr>
        <w:t xml:space="preserve"> أنه</w:t>
      </w:r>
      <w:r w:rsidR="002C1D33" w:rsidRPr="00282AC9">
        <w:rPr>
          <w:rFonts w:hint="cs"/>
          <w:sz w:val="27"/>
          <w:rtl/>
        </w:rPr>
        <w:t xml:space="preserve"> ضابط</w:t>
      </w:r>
      <w:r w:rsidRPr="00282AC9">
        <w:rPr>
          <w:rFonts w:hint="cs"/>
          <w:sz w:val="27"/>
          <w:rtl/>
        </w:rPr>
        <w:t>ٌ</w:t>
      </w:r>
      <w:r w:rsidR="002C1D33" w:rsidRPr="00282AC9">
        <w:rPr>
          <w:rFonts w:hint="cs"/>
          <w:sz w:val="27"/>
          <w:rtl/>
        </w:rPr>
        <w:t xml:space="preserve"> ذاتيّ</w:t>
      </w:r>
      <w:r w:rsidRPr="00282AC9">
        <w:rPr>
          <w:rFonts w:hint="cs"/>
          <w:sz w:val="27"/>
          <w:rtl/>
        </w:rPr>
        <w:t>ٌ</w:t>
      </w:r>
      <w:r w:rsidR="002C1D33" w:rsidRPr="00282AC9">
        <w:rPr>
          <w:rFonts w:hint="cs"/>
          <w:sz w:val="27"/>
          <w:rtl/>
        </w:rPr>
        <w:t xml:space="preserve"> ينفع الشخص المجرِّب، لكنّه لا يمكن أن يكون ضابطاً معياري</w:t>
      </w:r>
      <w:r w:rsidRPr="00282AC9">
        <w:rPr>
          <w:rFonts w:hint="cs"/>
          <w:sz w:val="27"/>
          <w:rtl/>
        </w:rPr>
        <w:t>ّ</w:t>
      </w:r>
      <w:r w:rsidR="002C1D33" w:rsidRPr="00282AC9">
        <w:rPr>
          <w:rFonts w:hint="cs"/>
          <w:sz w:val="27"/>
          <w:rtl/>
        </w:rPr>
        <w:t>اً موضوعيّاً بيني وبين الآخرين، بخلاف حساب الاحتمالات، فهو يتميّ</w:t>
      </w:r>
      <w:r w:rsidRPr="00282AC9">
        <w:rPr>
          <w:rFonts w:hint="cs"/>
          <w:sz w:val="27"/>
          <w:rtl/>
        </w:rPr>
        <w:t>َ</w:t>
      </w:r>
      <w:r w:rsidR="002C1D33" w:rsidRPr="00282AC9">
        <w:rPr>
          <w:rFonts w:hint="cs"/>
          <w:sz w:val="27"/>
          <w:rtl/>
        </w:rPr>
        <w:t>ز بهذا الأمر.</w:t>
      </w:r>
    </w:p>
    <w:p w:rsidR="00E83C22" w:rsidRPr="00282AC9" w:rsidRDefault="00E83C22" w:rsidP="00D1080C">
      <w:pPr>
        <w:rPr>
          <w:rtl/>
        </w:rPr>
      </w:pPr>
    </w:p>
    <w:p w:rsidR="00715FC8" w:rsidRPr="00282AC9" w:rsidRDefault="00715FC8" w:rsidP="00D1080C">
      <w:pPr>
        <w:rPr>
          <w:rtl/>
        </w:rPr>
      </w:pPr>
    </w:p>
    <w:p w:rsidR="00E83C22" w:rsidRPr="00282AC9" w:rsidRDefault="00E83C22" w:rsidP="00E83C22">
      <w:pPr>
        <w:pStyle w:val="34"/>
        <w:autoSpaceDE w:val="0"/>
        <w:autoSpaceDN w:val="0"/>
        <w:adjustRightInd w:val="0"/>
        <w:spacing w:line="418" w:lineRule="exact"/>
        <w:ind w:firstLine="0"/>
        <w:rPr>
          <w:rFonts w:cs="K Sina"/>
          <w:sz w:val="26"/>
          <w:rtl/>
          <w:lang w:eastAsia="ar-SA"/>
        </w:rPr>
      </w:pPr>
      <w:r w:rsidRPr="00282AC9">
        <w:rPr>
          <w:rFonts w:cs="K Sina" w:hint="cs"/>
          <w:sz w:val="26"/>
          <w:rtl/>
          <w:lang w:eastAsia="ar-SA"/>
        </w:rPr>
        <w:lastRenderedPageBreak/>
        <w:t>الهوامش</w:t>
      </w:r>
    </w:p>
    <w:p w:rsidR="00E83C22" w:rsidRPr="00282AC9" w:rsidRDefault="00E83C22" w:rsidP="00E83C22">
      <w:pPr>
        <w:pStyle w:val="34"/>
        <w:autoSpaceDE w:val="0"/>
        <w:autoSpaceDN w:val="0"/>
        <w:adjustRightInd w:val="0"/>
        <w:spacing w:line="418" w:lineRule="exact"/>
        <w:ind w:firstLine="0"/>
        <w:rPr>
          <w:rFonts w:cs="K Sina"/>
          <w:sz w:val="26"/>
          <w:rtl/>
          <w:lang w:eastAsia="ar-SA"/>
        </w:rPr>
        <w:sectPr w:rsidR="00E83C22" w:rsidRPr="00282AC9" w:rsidSect="00E85587">
          <w:headerReference w:type="even" r:id="rId176"/>
          <w:headerReference w:type="default" r:id="rId177"/>
          <w:footerReference w:type="even" r:id="rId178"/>
          <w:footerReference w:type="default" r:id="rId17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282AC9" w:rsidRDefault="00E83C22" w:rsidP="00D1080C">
      <w:r w:rsidRPr="00282AC9">
        <w:rPr>
          <w:rtl/>
        </w:rPr>
        <w:lastRenderedPageBreak/>
        <w:br w:type="page"/>
      </w:r>
    </w:p>
    <w:p w:rsidR="00E83C22" w:rsidRPr="00282AC9" w:rsidRDefault="00E83C22" w:rsidP="00D1080C">
      <w:pPr>
        <w:rPr>
          <w:rtl/>
        </w:rPr>
        <w:sectPr w:rsidR="00E83C22" w:rsidRPr="00282AC9" w:rsidSect="00E85587">
          <w:headerReference w:type="even" r:id="rId180"/>
          <w:headerReference w:type="default" r:id="rId181"/>
          <w:footerReference w:type="even" r:id="rId182"/>
          <w:footerReference w:type="default" r:id="rId183"/>
          <w:headerReference w:type="first" r:id="rId184"/>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282AC9" w:rsidRDefault="000B5897" w:rsidP="00E83C22">
      <w:pPr>
        <w:keepNext/>
        <w:keepLines/>
        <w:spacing w:line="240" w:lineRule="auto"/>
        <w:ind w:firstLine="0"/>
        <w:jc w:val="center"/>
        <w:outlineLvl w:val="0"/>
        <w:rPr>
          <w:rFonts w:cs="AL-Mateen"/>
          <w:b/>
          <w:sz w:val="32"/>
          <w:szCs w:val="48"/>
          <w:rtl/>
        </w:rPr>
      </w:pPr>
      <w:bookmarkStart w:id="119" w:name="_Toc52453186"/>
      <w:r w:rsidRPr="00282AC9">
        <w:rPr>
          <w:rFonts w:cs="AL-Mateen" w:hint="cs"/>
          <w:b/>
          <w:sz w:val="32"/>
          <w:szCs w:val="48"/>
          <w:rtl/>
        </w:rPr>
        <w:lastRenderedPageBreak/>
        <w:t>قسيم</w:t>
      </w:r>
      <w:r w:rsidR="006D38E2" w:rsidRPr="00282AC9">
        <w:rPr>
          <w:rFonts w:cs="AL-Mateen" w:hint="cs"/>
          <w:b/>
          <w:sz w:val="32"/>
          <w:szCs w:val="48"/>
          <w:rtl/>
        </w:rPr>
        <w:t xml:space="preserve">ة </w:t>
      </w:r>
      <w:r w:rsidRPr="00282AC9">
        <w:rPr>
          <w:rFonts w:cs="AL-Mateen" w:hint="cs"/>
          <w:b/>
          <w:sz w:val="32"/>
          <w:szCs w:val="48"/>
          <w:rtl/>
        </w:rPr>
        <w:t>الاشتراك</w:t>
      </w:r>
      <w:bookmarkEnd w:id="119"/>
    </w:p>
    <w:p w:rsidR="000B5897" w:rsidRPr="00282AC9" w:rsidRDefault="000B5897" w:rsidP="000B5897">
      <w:pPr>
        <w:spacing w:line="240" w:lineRule="auto"/>
        <w:ind w:firstLine="0"/>
        <w:jc w:val="center"/>
        <w:outlineLvl w:val="1"/>
        <w:rPr>
          <w:rFonts w:cs="AL-Mateen"/>
          <w:szCs w:val="32"/>
          <w:rtl/>
        </w:rPr>
      </w:pPr>
      <w:bookmarkStart w:id="120" w:name="_Toc295112247"/>
      <w:bookmarkStart w:id="121" w:name="_Toc52453187"/>
      <w:r w:rsidRPr="00282AC9">
        <w:rPr>
          <w:rFonts w:cs="AL-Mateen" w:hint="cs"/>
          <w:szCs w:val="32"/>
          <w:rtl/>
        </w:rPr>
        <w:t>مجل</w:t>
      </w:r>
      <w:r w:rsidR="00783617" w:rsidRPr="00282AC9">
        <w:rPr>
          <w:rFonts w:cs="AL-Mateen" w:hint="cs"/>
          <w:szCs w:val="32"/>
          <w:rtl/>
          <w:lang w:bidi="ar-LB"/>
        </w:rPr>
        <w:t>ّ</w:t>
      </w:r>
      <w:r w:rsidR="006D38E2" w:rsidRPr="00282AC9">
        <w:rPr>
          <w:rFonts w:cs="AL-Mateen" w:hint="cs"/>
          <w:szCs w:val="32"/>
          <w:rtl/>
        </w:rPr>
        <w:t xml:space="preserve">ة </w:t>
      </w:r>
      <w:r w:rsidRPr="00282AC9">
        <w:rPr>
          <w:rFonts w:cs="AL-Mateen" w:hint="cs"/>
          <w:szCs w:val="32"/>
          <w:rtl/>
        </w:rPr>
        <w:t>الاجتهاد والتجديد</w:t>
      </w:r>
      <w:bookmarkEnd w:id="120"/>
      <w:bookmarkEnd w:id="121"/>
    </w:p>
    <w:p w:rsidR="000B5897" w:rsidRPr="00282AC9" w:rsidRDefault="00072C15" w:rsidP="00D1080C">
      <w:pPr>
        <w:ind w:firstLine="0"/>
        <w:jc w:val="center"/>
        <w:rPr>
          <w:rtl/>
        </w:rPr>
      </w:pPr>
      <w:r w:rsidRPr="00282AC9">
        <w:rPr>
          <w:noProof/>
        </w:rPr>
        <mc:AlternateContent>
          <mc:Choice Requires="wps">
            <w:drawing>
              <wp:anchor distT="0" distB="0" distL="114300" distR="114300" simplePos="0" relativeHeight="251656704" behindDoc="1" locked="0" layoutInCell="1" allowOverlap="1" wp14:anchorId="78D51E37" wp14:editId="22F51D97">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C7B8EA" id="Rectangle 14" o:spid="_x0000_s1026" style="position:absolute;margin-left:0;margin-top:16.75pt;width:348pt;height:169.7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282AC9" w:rsidRDefault="000B5897" w:rsidP="000B5897">
      <w:pPr>
        <w:tabs>
          <w:tab w:val="right" w:leader="dot" w:pos="3402"/>
        </w:tabs>
        <w:spacing w:line="380" w:lineRule="exact"/>
        <w:ind w:firstLine="0"/>
        <w:jc w:val="center"/>
        <w:rPr>
          <w:rFonts w:cs="Abz-3 (Yagut)"/>
          <w:b/>
          <w:bCs/>
          <w:rtl/>
        </w:rPr>
      </w:pPr>
      <w:r w:rsidRPr="00282AC9">
        <w:rPr>
          <w:rFonts w:cs="Abz-3 (Yagut)" w:hint="cs"/>
          <w:b/>
          <w:bCs/>
        </w:rPr>
        <w:sym w:font="Wingdings" w:char="F0A8"/>
      </w:r>
      <w:r w:rsidRPr="00282AC9">
        <w:rPr>
          <w:rFonts w:cs="Abz-3 (Yagut)" w:hint="cs"/>
          <w:b/>
          <w:bCs/>
          <w:rtl/>
        </w:rPr>
        <w:t xml:space="preserve"> أفراد               </w:t>
      </w:r>
      <w:r w:rsidR="00783617" w:rsidRPr="00282AC9">
        <w:rPr>
          <w:rFonts w:cs="Abz-3 (Yagut)" w:hint="cs"/>
          <w:b/>
          <w:bCs/>
          <w:rtl/>
        </w:rPr>
        <w:t xml:space="preserve">       </w:t>
      </w:r>
      <w:r w:rsidRPr="00282AC9">
        <w:rPr>
          <w:rFonts w:cs="Abz-3 (Yagut)" w:hint="cs"/>
          <w:b/>
          <w:bCs/>
          <w:rtl/>
        </w:rPr>
        <w:t xml:space="preserve">                    </w:t>
      </w:r>
      <w:r w:rsidRPr="00282AC9">
        <w:rPr>
          <w:rFonts w:cs="Abz-3 (Yagut)" w:hint="cs"/>
          <w:b/>
          <w:bCs/>
        </w:rPr>
        <w:sym w:font="Wingdings" w:char="F0A8"/>
      </w:r>
      <w:r w:rsidRPr="00282AC9">
        <w:rPr>
          <w:rFonts w:cs="Abz-3 (Yagut)" w:hint="cs"/>
          <w:b/>
          <w:bCs/>
          <w:rtl/>
        </w:rPr>
        <w:t xml:space="preserve"> مؤسسات</w:t>
      </w:r>
    </w:p>
    <w:p w:rsidR="000B5897" w:rsidRPr="00282AC9" w:rsidRDefault="000B5897" w:rsidP="000B5897">
      <w:pPr>
        <w:tabs>
          <w:tab w:val="right" w:leader="dot" w:pos="6889"/>
        </w:tabs>
        <w:spacing w:line="340" w:lineRule="exact"/>
        <w:ind w:left="113" w:right="113" w:firstLine="0"/>
        <w:rPr>
          <w:rFonts w:cs="Ya-Ali"/>
          <w:sz w:val="27"/>
          <w:rtl/>
        </w:rPr>
      </w:pPr>
      <w:r w:rsidRPr="00282AC9">
        <w:rPr>
          <w:rFonts w:cs="Ya-Ali" w:hint="cs"/>
          <w:sz w:val="27"/>
          <w:rtl/>
        </w:rPr>
        <w:t>اســــم المشترك</w:t>
      </w:r>
      <w:r w:rsidR="006D38E2" w:rsidRPr="00282AC9">
        <w:rPr>
          <w:rFonts w:cs="Ya-Ali" w:hint="cs"/>
          <w:sz w:val="27"/>
          <w:rtl/>
        </w:rPr>
        <w:t xml:space="preserve">: </w:t>
      </w:r>
      <w:r w:rsidRPr="00282AC9">
        <w:rPr>
          <w:rFonts w:cs="Ya-Ali" w:hint="cs"/>
          <w:sz w:val="27"/>
          <w:rtl/>
        </w:rPr>
        <w:tab/>
      </w:r>
    </w:p>
    <w:p w:rsidR="000B5897" w:rsidRPr="00282AC9" w:rsidRDefault="000B5897" w:rsidP="000B5897">
      <w:pPr>
        <w:tabs>
          <w:tab w:val="right" w:leader="dot" w:pos="6889"/>
        </w:tabs>
        <w:spacing w:line="340" w:lineRule="exact"/>
        <w:ind w:left="113" w:right="113" w:firstLine="0"/>
        <w:rPr>
          <w:rFonts w:cs="Ya-Ali"/>
          <w:sz w:val="27"/>
          <w:rtl/>
        </w:rPr>
      </w:pPr>
      <w:r w:rsidRPr="00282AC9">
        <w:rPr>
          <w:rFonts w:cs="Ya-Ali" w:hint="cs"/>
          <w:sz w:val="27"/>
          <w:rtl/>
        </w:rPr>
        <w:t>العنوان الكامل</w:t>
      </w:r>
      <w:r w:rsidR="006D38E2" w:rsidRPr="00282AC9">
        <w:rPr>
          <w:rFonts w:cs="Ya-Ali" w:hint="cs"/>
          <w:sz w:val="27"/>
          <w:rtl/>
        </w:rPr>
        <w:t xml:space="preserve">: </w:t>
      </w:r>
      <w:r w:rsidRPr="00282AC9">
        <w:rPr>
          <w:rFonts w:cs="Ya-Ali" w:hint="cs"/>
          <w:sz w:val="27"/>
          <w:rtl/>
        </w:rPr>
        <w:tab/>
      </w:r>
    </w:p>
    <w:p w:rsidR="000B5897" w:rsidRPr="00282AC9" w:rsidRDefault="000B5897" w:rsidP="000B5897">
      <w:pPr>
        <w:tabs>
          <w:tab w:val="right" w:leader="dot" w:pos="6889"/>
        </w:tabs>
        <w:spacing w:line="340" w:lineRule="exact"/>
        <w:ind w:left="113" w:firstLine="0"/>
        <w:rPr>
          <w:rFonts w:cs="Ya-Ali"/>
          <w:sz w:val="27"/>
          <w:rtl/>
        </w:rPr>
      </w:pPr>
      <w:r w:rsidRPr="00282AC9">
        <w:rPr>
          <w:rFonts w:cs="Ya-Ali" w:hint="cs"/>
          <w:sz w:val="27"/>
          <w:rtl/>
        </w:rPr>
        <w:tab/>
      </w:r>
    </w:p>
    <w:p w:rsidR="000B5897" w:rsidRPr="00282AC9" w:rsidRDefault="000B5897" w:rsidP="000B5897">
      <w:pPr>
        <w:tabs>
          <w:tab w:val="right" w:leader="dot" w:pos="6889"/>
        </w:tabs>
        <w:spacing w:line="340" w:lineRule="exact"/>
        <w:ind w:left="113" w:firstLine="0"/>
        <w:rPr>
          <w:rFonts w:cs="Ya-Ali"/>
          <w:sz w:val="27"/>
          <w:rtl/>
        </w:rPr>
      </w:pPr>
      <w:r w:rsidRPr="00282AC9">
        <w:rPr>
          <w:rFonts w:cs="Ya-Ali" w:hint="cs"/>
          <w:sz w:val="27"/>
          <w:rtl/>
        </w:rPr>
        <w:t>الهاتــــف</w:t>
      </w:r>
      <w:r w:rsidR="006D38E2" w:rsidRPr="00282AC9">
        <w:rPr>
          <w:rFonts w:cs="Ya-Ali" w:hint="cs"/>
          <w:sz w:val="27"/>
          <w:rtl/>
        </w:rPr>
        <w:t>:</w:t>
      </w:r>
      <w:r w:rsidR="00D95A85" w:rsidRPr="00282AC9">
        <w:rPr>
          <w:rFonts w:cs="Ya-Ali" w:hint="cs"/>
          <w:sz w:val="27"/>
          <w:rtl/>
        </w:rPr>
        <w:t>.</w:t>
      </w:r>
      <w:r w:rsidRPr="00282AC9">
        <w:rPr>
          <w:rFonts w:cs="Ya-Ali" w:hint="cs"/>
          <w:sz w:val="27"/>
          <w:rtl/>
        </w:rPr>
        <w:t>................فاكــــس</w:t>
      </w:r>
      <w:r w:rsidR="006D38E2" w:rsidRPr="00282AC9">
        <w:rPr>
          <w:rFonts w:cs="Ya-Ali" w:hint="cs"/>
          <w:sz w:val="27"/>
          <w:rtl/>
        </w:rPr>
        <w:t xml:space="preserve">: </w:t>
      </w:r>
      <w:r w:rsidRPr="00282AC9">
        <w:rPr>
          <w:rFonts w:cs="Ya-Ali" w:hint="cs"/>
          <w:sz w:val="27"/>
          <w:rtl/>
        </w:rPr>
        <w:tab/>
      </w:r>
    </w:p>
    <w:p w:rsidR="000B5897" w:rsidRPr="00282AC9" w:rsidRDefault="000B5897" w:rsidP="000B5897">
      <w:pPr>
        <w:tabs>
          <w:tab w:val="right" w:leader="dot" w:pos="6889"/>
        </w:tabs>
        <w:spacing w:line="340" w:lineRule="exact"/>
        <w:ind w:left="113" w:right="113" w:firstLine="0"/>
        <w:rPr>
          <w:rFonts w:cs="Ya-Ali"/>
          <w:sz w:val="27"/>
          <w:rtl/>
        </w:rPr>
      </w:pPr>
      <w:r w:rsidRPr="00282AC9">
        <w:rPr>
          <w:rFonts w:cs="Ya-Ali" w:hint="cs"/>
          <w:sz w:val="27"/>
          <w:rtl/>
        </w:rPr>
        <w:t>مد</w:t>
      </w:r>
      <w:r w:rsidR="006D38E2" w:rsidRPr="00282AC9">
        <w:rPr>
          <w:rFonts w:cs="Ya-Ali" w:hint="cs"/>
          <w:sz w:val="27"/>
          <w:rtl/>
        </w:rPr>
        <w:t xml:space="preserve">ة </w:t>
      </w:r>
      <w:r w:rsidRPr="00282AC9">
        <w:rPr>
          <w:rFonts w:cs="Ya-Ali" w:hint="cs"/>
          <w:sz w:val="27"/>
          <w:rtl/>
        </w:rPr>
        <w:t>الاشتراك</w:t>
      </w:r>
      <w:r w:rsidR="006D38E2" w:rsidRPr="00282AC9">
        <w:rPr>
          <w:rFonts w:cs="Ya-Ali" w:hint="cs"/>
          <w:sz w:val="27"/>
          <w:rtl/>
        </w:rPr>
        <w:t>:</w:t>
      </w:r>
      <w:r w:rsidR="00D95A85" w:rsidRPr="00282AC9">
        <w:rPr>
          <w:rFonts w:cs="Ya-Ali" w:hint="cs"/>
          <w:sz w:val="27"/>
          <w:rtl/>
        </w:rPr>
        <w:t>.</w:t>
      </w:r>
      <w:r w:rsidRPr="00282AC9">
        <w:rPr>
          <w:rFonts w:cs="Ya-Ali" w:hint="cs"/>
          <w:sz w:val="27"/>
          <w:rtl/>
        </w:rPr>
        <w:t>...................... ابتــداءً مـــن</w:t>
      </w:r>
      <w:r w:rsidR="006D38E2" w:rsidRPr="00282AC9">
        <w:rPr>
          <w:rFonts w:cs="Ya-Ali" w:hint="cs"/>
          <w:sz w:val="27"/>
          <w:rtl/>
        </w:rPr>
        <w:t xml:space="preserve">: </w:t>
      </w:r>
      <w:r w:rsidRPr="00282AC9">
        <w:rPr>
          <w:rFonts w:cs="Ya-Ali" w:hint="cs"/>
          <w:sz w:val="27"/>
          <w:rtl/>
        </w:rPr>
        <w:tab/>
      </w:r>
    </w:p>
    <w:p w:rsidR="000B5897" w:rsidRPr="00282AC9" w:rsidRDefault="000B5897" w:rsidP="000B5897">
      <w:pPr>
        <w:tabs>
          <w:tab w:val="right" w:leader="dot" w:pos="6889"/>
        </w:tabs>
        <w:spacing w:line="340" w:lineRule="exact"/>
        <w:ind w:left="113" w:right="113" w:firstLine="0"/>
        <w:rPr>
          <w:rFonts w:cs="Ya-Ali"/>
          <w:sz w:val="27"/>
          <w:rtl/>
        </w:rPr>
      </w:pPr>
      <w:r w:rsidRPr="00282AC9">
        <w:rPr>
          <w:rFonts w:cs="Ya-Ali" w:hint="cs"/>
          <w:sz w:val="27"/>
          <w:rtl/>
        </w:rPr>
        <w:t>المبلغ</w:t>
      </w:r>
      <w:r w:rsidR="006D38E2" w:rsidRPr="00282AC9">
        <w:rPr>
          <w:rFonts w:cs="Ya-Ali" w:hint="cs"/>
          <w:sz w:val="27"/>
          <w:rtl/>
        </w:rPr>
        <w:t>:</w:t>
      </w:r>
      <w:r w:rsidR="00D95A85" w:rsidRPr="00282AC9">
        <w:rPr>
          <w:rFonts w:cs="Ya-Ali" w:hint="cs"/>
          <w:sz w:val="27"/>
          <w:rtl/>
        </w:rPr>
        <w:t>.</w:t>
      </w:r>
      <w:r w:rsidRPr="00282AC9">
        <w:rPr>
          <w:rFonts w:cs="Ya-Ali" w:hint="cs"/>
          <w:sz w:val="27"/>
          <w:rtl/>
        </w:rPr>
        <w:t>.....................عـــدد النســـــخ</w:t>
      </w:r>
      <w:r w:rsidR="006D38E2" w:rsidRPr="00282AC9">
        <w:rPr>
          <w:rFonts w:cs="Ya-Ali" w:hint="cs"/>
          <w:sz w:val="27"/>
          <w:rtl/>
        </w:rPr>
        <w:t xml:space="preserve">: </w:t>
      </w:r>
      <w:r w:rsidRPr="00282AC9">
        <w:rPr>
          <w:rFonts w:cs="Ya-Ali" w:hint="cs"/>
          <w:sz w:val="27"/>
          <w:rtl/>
        </w:rPr>
        <w:tab/>
      </w:r>
    </w:p>
    <w:p w:rsidR="000B5897" w:rsidRPr="00282AC9" w:rsidRDefault="000B5897" w:rsidP="000B5897">
      <w:pPr>
        <w:tabs>
          <w:tab w:val="right" w:leader="dot" w:pos="6889"/>
        </w:tabs>
        <w:spacing w:line="340" w:lineRule="exact"/>
        <w:ind w:left="113" w:right="113" w:firstLine="0"/>
        <w:rPr>
          <w:rFonts w:cs="Ya-Ali"/>
          <w:sz w:val="27"/>
          <w:rtl/>
        </w:rPr>
      </w:pPr>
      <w:r w:rsidRPr="00282AC9">
        <w:rPr>
          <w:rFonts w:cs="Ya-Ali" w:hint="cs"/>
          <w:sz w:val="27"/>
          <w:rtl/>
        </w:rPr>
        <w:t>نقـداً إل</w:t>
      </w:r>
      <w:r w:rsidR="00D95A85" w:rsidRPr="00282AC9">
        <w:rPr>
          <w:rFonts w:cs="Ya-Ali" w:hint="cs"/>
          <w:sz w:val="27"/>
          <w:rtl/>
        </w:rPr>
        <w:t>ى:.</w:t>
      </w:r>
      <w:r w:rsidRPr="00282AC9">
        <w:rPr>
          <w:rFonts w:cs="Ya-Ali" w:hint="cs"/>
          <w:sz w:val="27"/>
          <w:rtl/>
        </w:rPr>
        <w:t>........................... شيك مصرفي</w:t>
      </w:r>
      <w:r w:rsidR="006D38E2" w:rsidRPr="00282AC9">
        <w:rPr>
          <w:rFonts w:cs="Ya-Ali" w:hint="cs"/>
          <w:sz w:val="27"/>
          <w:rtl/>
        </w:rPr>
        <w:t xml:space="preserve">: </w:t>
      </w:r>
      <w:r w:rsidRPr="00282AC9">
        <w:rPr>
          <w:rFonts w:cs="Ya-Ali" w:hint="cs"/>
          <w:sz w:val="27"/>
          <w:rtl/>
        </w:rPr>
        <w:tab/>
      </w:r>
    </w:p>
    <w:p w:rsidR="000B5897" w:rsidRPr="00282AC9" w:rsidRDefault="000B5897" w:rsidP="000B5897">
      <w:pPr>
        <w:tabs>
          <w:tab w:val="right" w:leader="dot" w:pos="6889"/>
        </w:tabs>
        <w:spacing w:line="340" w:lineRule="exact"/>
        <w:ind w:left="113" w:right="113" w:firstLine="0"/>
        <w:rPr>
          <w:rFonts w:cs="Ya-Ali"/>
          <w:rtl/>
        </w:rPr>
      </w:pPr>
      <w:r w:rsidRPr="00282AC9">
        <w:rPr>
          <w:rFonts w:cs="Ya-Ali" w:hint="cs"/>
          <w:sz w:val="27"/>
          <w:rtl/>
        </w:rPr>
        <w:t>التــــاريــخ</w:t>
      </w:r>
      <w:r w:rsidR="006D38E2" w:rsidRPr="00282AC9">
        <w:rPr>
          <w:rFonts w:cs="Ya-Ali" w:hint="cs"/>
          <w:sz w:val="27"/>
          <w:rtl/>
        </w:rPr>
        <w:t>:</w:t>
      </w:r>
      <w:r w:rsidR="00D95A85" w:rsidRPr="00282AC9">
        <w:rPr>
          <w:rFonts w:cs="Ya-Ali" w:hint="cs"/>
          <w:sz w:val="27"/>
          <w:rtl/>
        </w:rPr>
        <w:t>.</w:t>
      </w:r>
      <w:r w:rsidRPr="00282AC9">
        <w:rPr>
          <w:rFonts w:cs="Ya-Ali" w:hint="cs"/>
          <w:sz w:val="27"/>
          <w:rtl/>
        </w:rPr>
        <w:t>......................التوقيــــع</w:t>
      </w:r>
      <w:r w:rsidR="006D38E2" w:rsidRPr="00282AC9">
        <w:rPr>
          <w:rFonts w:cs="Ya-Ali" w:hint="cs"/>
          <w:sz w:val="27"/>
          <w:rtl/>
        </w:rPr>
        <w:t xml:space="preserve">: </w:t>
      </w:r>
      <w:r w:rsidRPr="00282AC9">
        <w:rPr>
          <w:rFonts w:cs="Ya-Ali" w:hint="cs"/>
          <w:sz w:val="27"/>
          <w:rtl/>
        </w:rPr>
        <w:tab/>
      </w:r>
    </w:p>
    <w:p w:rsidR="000B5897" w:rsidRPr="00282AC9" w:rsidRDefault="000B5897" w:rsidP="00251E3A">
      <w:pPr>
        <w:spacing w:line="300" w:lineRule="exact"/>
        <w:ind w:firstLine="0"/>
        <w:jc w:val="center"/>
        <w:rPr>
          <w:sz w:val="36"/>
          <w:szCs w:val="36"/>
          <w:rtl/>
        </w:rPr>
      </w:pPr>
    </w:p>
    <w:p w:rsidR="00251E3A" w:rsidRPr="00282AC9" w:rsidRDefault="00251E3A" w:rsidP="00251E3A">
      <w:pPr>
        <w:spacing w:line="300" w:lineRule="exact"/>
        <w:ind w:firstLine="0"/>
        <w:jc w:val="center"/>
        <w:rPr>
          <w:rFonts w:cs="DanaFajr"/>
          <w:sz w:val="36"/>
          <w:szCs w:val="36"/>
          <w:rtl/>
        </w:rPr>
      </w:pPr>
    </w:p>
    <w:p w:rsidR="000B5897" w:rsidRPr="00282AC9" w:rsidRDefault="000B5897" w:rsidP="000B5897">
      <w:pPr>
        <w:spacing w:after="120" w:line="480" w:lineRule="exact"/>
        <w:ind w:firstLine="0"/>
        <w:jc w:val="center"/>
        <w:rPr>
          <w:rFonts w:cs="PT Bold Heading"/>
          <w:sz w:val="32"/>
          <w:szCs w:val="30"/>
          <w:rtl/>
        </w:rPr>
      </w:pPr>
      <w:r w:rsidRPr="00282AC9">
        <w:rPr>
          <w:rFonts w:cs="PT Bold Heading" w:hint="cs"/>
          <w:sz w:val="32"/>
          <w:szCs w:val="30"/>
          <w:rtl/>
        </w:rPr>
        <w:t>الاشتراك السنوي</w:t>
      </w:r>
    </w:p>
    <w:p w:rsidR="000B5897" w:rsidRPr="00282AC9" w:rsidRDefault="00072C15" w:rsidP="000B5897">
      <w:pPr>
        <w:spacing w:line="500" w:lineRule="exact"/>
        <w:ind w:firstLine="0"/>
        <w:jc w:val="center"/>
        <w:rPr>
          <w:rFonts w:cs="Traditional Arabic"/>
          <w:b/>
          <w:bCs/>
        </w:rPr>
      </w:pPr>
      <w:r w:rsidRPr="00282AC9">
        <w:rPr>
          <w:noProof/>
        </w:rPr>
        <mc:AlternateContent>
          <mc:Choice Requires="wps">
            <w:drawing>
              <wp:anchor distT="0" distB="0" distL="114300" distR="114300" simplePos="0" relativeHeight="251660800" behindDoc="1" locked="0" layoutInCell="1" allowOverlap="1" wp14:anchorId="3A11ADBD" wp14:editId="534305B9">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B2B8C9" id="Rectangle 13" o:spid="_x0000_s1026" style="position:absolute;margin-left:.75pt;margin-top:3.2pt;width:351.7pt;height:2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282AC9">
        <w:rPr>
          <w:rFonts w:cs="Traditional Arabic" w:hint="cs"/>
          <w:b/>
          <w:bCs/>
          <w:rtl/>
        </w:rPr>
        <w:t>سائر الدول</w:t>
      </w:r>
      <w:r w:rsidR="006D38E2" w:rsidRPr="00282AC9">
        <w:rPr>
          <w:rFonts w:cs="Traditional Arabic" w:hint="cs"/>
          <w:b/>
          <w:bCs/>
          <w:rtl/>
        </w:rPr>
        <w:t>:</w:t>
      </w:r>
      <w:r w:rsidR="005A5A84" w:rsidRPr="00282AC9">
        <w:rPr>
          <w:rFonts w:cs="Traditional Arabic" w:hint="cs"/>
          <w:b/>
          <w:bCs/>
          <w:rtl/>
          <w:lang w:bidi="ar-LB"/>
        </w:rPr>
        <w:t xml:space="preserve">   </w:t>
      </w:r>
      <w:r w:rsidR="006D38E2" w:rsidRPr="00282AC9">
        <w:rPr>
          <w:rFonts w:cs="Traditional Arabic" w:hint="cs"/>
          <w:b/>
          <w:bCs/>
          <w:rtl/>
        </w:rPr>
        <w:t xml:space="preserve"> </w:t>
      </w:r>
      <w:r w:rsidR="000B5897" w:rsidRPr="00282AC9">
        <w:rPr>
          <w:rFonts w:cs="DanaFajr" w:hint="cs"/>
          <w:sz w:val="22"/>
        </w:rPr>
        <w:sym w:font="Wingdings" w:char="F0A8"/>
      </w:r>
      <w:r w:rsidR="000B5897" w:rsidRPr="00282AC9">
        <w:rPr>
          <w:rFonts w:cs="Traditional Arabic" w:hint="cs"/>
          <w:b/>
          <w:bCs/>
          <w:rtl/>
        </w:rPr>
        <w:t xml:space="preserve">للأفراد 100 دولار  </w:t>
      </w:r>
      <w:r w:rsidR="005A5A84" w:rsidRPr="00282AC9">
        <w:rPr>
          <w:rFonts w:cs="Traditional Arabic" w:hint="cs"/>
          <w:b/>
          <w:bCs/>
          <w:rtl/>
        </w:rPr>
        <w:t xml:space="preserve">   </w:t>
      </w:r>
      <w:r w:rsidR="000B5897" w:rsidRPr="00282AC9">
        <w:rPr>
          <w:rFonts w:cs="Traditional Arabic" w:hint="cs"/>
          <w:b/>
          <w:bCs/>
          <w:rtl/>
        </w:rPr>
        <w:t xml:space="preserve">  </w:t>
      </w:r>
      <w:r w:rsidR="000B5897" w:rsidRPr="00282AC9">
        <w:rPr>
          <w:rFonts w:cs="DanaFajr" w:hint="cs"/>
          <w:sz w:val="22"/>
        </w:rPr>
        <w:sym w:font="Wingdings" w:char="F0A8"/>
      </w:r>
      <w:r w:rsidR="000B5897" w:rsidRPr="00282AC9">
        <w:rPr>
          <w:rFonts w:cs="Traditional Arabic" w:hint="cs"/>
          <w:b/>
          <w:bCs/>
          <w:rtl/>
        </w:rPr>
        <w:t xml:space="preserve">للمؤسسات 200 دولار </w:t>
      </w:r>
      <w:r w:rsidR="005A5A84" w:rsidRPr="00282AC9">
        <w:rPr>
          <w:rFonts w:cs="Traditional Arabic" w:hint="cs"/>
          <w:b/>
          <w:bCs/>
          <w:rtl/>
        </w:rPr>
        <w:t xml:space="preserve">  </w:t>
      </w:r>
      <w:r w:rsidR="000B5897" w:rsidRPr="00282AC9">
        <w:rPr>
          <w:rFonts w:cs="Traditional Arabic" w:hint="cs"/>
          <w:b/>
          <w:bCs/>
          <w:sz w:val="22"/>
          <w:szCs w:val="22"/>
          <w:rtl/>
        </w:rPr>
        <w:t>(خالص</w:t>
      </w:r>
      <w:r w:rsidR="006D38E2" w:rsidRPr="00282AC9">
        <w:rPr>
          <w:rFonts w:cs="Traditional Arabic" w:hint="cs"/>
          <w:b/>
          <w:bCs/>
          <w:sz w:val="22"/>
          <w:szCs w:val="22"/>
          <w:rtl/>
        </w:rPr>
        <w:t xml:space="preserve">ة </w:t>
      </w:r>
      <w:r w:rsidR="000B5897" w:rsidRPr="00282AC9">
        <w:rPr>
          <w:rFonts w:cs="Traditional Arabic" w:hint="cs"/>
          <w:b/>
          <w:bCs/>
          <w:sz w:val="22"/>
          <w:szCs w:val="22"/>
          <w:rtl/>
        </w:rPr>
        <w:t>أجور البريد)</w:t>
      </w:r>
    </w:p>
    <w:p w:rsidR="000B5897" w:rsidRPr="00282AC9" w:rsidRDefault="000B5897" w:rsidP="000B5897">
      <w:pPr>
        <w:ind w:firstLine="0"/>
        <w:jc w:val="center"/>
        <w:rPr>
          <w:sz w:val="30"/>
          <w:szCs w:val="30"/>
          <w:rtl/>
        </w:rPr>
      </w:pPr>
    </w:p>
    <w:p w:rsidR="000B5897" w:rsidRPr="00282AC9" w:rsidRDefault="005211CC" w:rsidP="005211CC">
      <w:pPr>
        <w:spacing w:before="120" w:after="120" w:line="480" w:lineRule="exact"/>
        <w:ind w:firstLine="0"/>
        <w:jc w:val="center"/>
        <w:rPr>
          <w:sz w:val="8"/>
          <w:rtl/>
        </w:rPr>
      </w:pPr>
      <w:r w:rsidRPr="00282AC9">
        <w:rPr>
          <w:noProof/>
        </w:rPr>
        <mc:AlternateContent>
          <mc:Choice Requires="wps">
            <w:drawing>
              <wp:anchor distT="0" distB="0" distL="114300" distR="114300" simplePos="0" relativeHeight="251676160" behindDoc="1" locked="0" layoutInCell="1" allowOverlap="1" wp14:anchorId="341F5ED3" wp14:editId="328586D1">
                <wp:simplePos x="0" y="0"/>
                <wp:positionH relativeFrom="column">
                  <wp:posOffset>7620</wp:posOffset>
                </wp:positionH>
                <wp:positionV relativeFrom="paragraph">
                  <wp:posOffset>454025</wp:posOffset>
                </wp:positionV>
                <wp:extent cx="4445000" cy="1852295"/>
                <wp:effectExtent l="19050" t="19050" r="1270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AE171D" id="Rectangle 10" o:spid="_x0000_s1026" style="position:absolute;margin-left:.6pt;margin-top:35.75pt;width:350pt;height:145.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" filled="f" strokeweight="3pt">
                <v:stroke linestyle="thinThin"/>
              </v:rect>
            </w:pict>
          </mc:Fallback>
        </mc:AlternateContent>
      </w:r>
      <w:r w:rsidR="000B5897" w:rsidRPr="00282AC9">
        <w:rPr>
          <w:rFonts w:cs="PT Bold Heading" w:hint="cs"/>
          <w:sz w:val="32"/>
          <w:szCs w:val="30"/>
          <w:rtl/>
        </w:rPr>
        <w:t>ثمن النسخ</w:t>
      </w:r>
      <w:r w:rsidR="006D38E2" w:rsidRPr="00282AC9">
        <w:rPr>
          <w:rFonts w:cs="PT Bold Heading" w:hint="cs"/>
          <w:sz w:val="32"/>
          <w:szCs w:val="30"/>
          <w:rtl/>
        </w:rPr>
        <w:t xml:space="preserve">ة </w:t>
      </w:r>
    </w:p>
    <w:p w:rsidR="000B5897" w:rsidRPr="00282AC9" w:rsidRDefault="00132016" w:rsidP="00A6730E">
      <w:pPr>
        <w:spacing w:before="100"/>
        <w:ind w:left="113" w:right="142" w:firstLine="0"/>
        <w:rPr>
          <w:noProof/>
          <w:spacing w:val="-4"/>
          <w:sz w:val="29"/>
          <w:szCs w:val="29"/>
          <w:rtl/>
          <w:lang w:bidi="ar-LB"/>
        </w:rPr>
      </w:pPr>
      <w:r w:rsidRPr="00282AC9">
        <w:rPr>
          <w:rFonts w:hint="cs"/>
          <w:noProof/>
          <w:spacing w:val="-4"/>
          <w:sz w:val="29"/>
          <w:szCs w:val="29"/>
        </w:rPr>
        <w:sym w:font="Wingdings" w:char="F0D7"/>
      </w:r>
      <w:r w:rsidRPr="00282AC9">
        <w:rPr>
          <w:rFonts w:hint="cs"/>
          <w:noProof/>
          <w:spacing w:val="-4"/>
          <w:sz w:val="29"/>
          <w:szCs w:val="29"/>
          <w:rtl/>
        </w:rPr>
        <w:t xml:space="preserve">لبنان </w:t>
      </w:r>
      <w:r w:rsidR="00DC64B4" w:rsidRPr="00282AC9">
        <w:rPr>
          <w:rFonts w:hint="cs"/>
          <w:noProof/>
          <w:spacing w:val="-4"/>
          <w:sz w:val="29"/>
          <w:szCs w:val="29"/>
          <w:rtl/>
        </w:rPr>
        <w:t>3</w:t>
      </w:r>
      <w:r w:rsidR="00573203" w:rsidRPr="00282AC9">
        <w:rPr>
          <w:rFonts w:cs="DanaFajr" w:hint="cs"/>
          <w:noProof/>
          <w:spacing w:val="-4"/>
          <w:sz w:val="29"/>
          <w:szCs w:val="29"/>
          <w:rtl/>
        </w:rPr>
        <w:t>,</w:t>
      </w:r>
      <w:r w:rsidR="00DC64B4" w:rsidRPr="00282AC9">
        <w:rPr>
          <w:rFonts w:hint="cs"/>
          <w:noProof/>
          <w:spacing w:val="-4"/>
          <w:sz w:val="29"/>
          <w:szCs w:val="29"/>
          <w:rtl/>
        </w:rPr>
        <w:t>5</w:t>
      </w:r>
      <w:r w:rsidRPr="00282AC9">
        <w:rPr>
          <w:rFonts w:hint="cs"/>
          <w:noProof/>
          <w:spacing w:val="-4"/>
          <w:sz w:val="29"/>
          <w:szCs w:val="29"/>
          <w:rtl/>
        </w:rPr>
        <w:t xml:space="preserve"> </w:t>
      </w:r>
      <w:r w:rsidR="00DC64B4" w:rsidRPr="00282AC9">
        <w:rPr>
          <w:rFonts w:hint="cs"/>
          <w:noProof/>
          <w:spacing w:val="-4"/>
          <w:sz w:val="29"/>
          <w:szCs w:val="29"/>
          <w:rtl/>
        </w:rPr>
        <w:t>دولار</w:t>
      </w:r>
      <w:r w:rsidRPr="00282AC9">
        <w:rPr>
          <w:rFonts w:hint="cs"/>
          <w:noProof/>
          <w:spacing w:val="-4"/>
          <w:sz w:val="29"/>
          <w:szCs w:val="29"/>
          <w:rtl/>
        </w:rPr>
        <w:t xml:space="preserve"> </w:t>
      </w:r>
      <w:r w:rsidRPr="00282AC9">
        <w:rPr>
          <w:rFonts w:hint="cs"/>
          <w:noProof/>
          <w:spacing w:val="-4"/>
          <w:sz w:val="29"/>
          <w:szCs w:val="29"/>
        </w:rPr>
        <w:sym w:font="Wingdings" w:char="F0D7"/>
      </w:r>
      <w:r w:rsidRPr="00282AC9">
        <w:rPr>
          <w:rFonts w:hint="cs"/>
          <w:noProof/>
          <w:spacing w:val="-4"/>
          <w:sz w:val="29"/>
          <w:szCs w:val="29"/>
          <w:rtl/>
        </w:rPr>
        <w:t xml:space="preserve">سوريا </w:t>
      </w:r>
      <w:r w:rsidR="00666D68" w:rsidRPr="00282AC9">
        <w:rPr>
          <w:rFonts w:hint="cs"/>
          <w:noProof/>
          <w:spacing w:val="-4"/>
          <w:sz w:val="29"/>
          <w:szCs w:val="29"/>
          <w:rtl/>
        </w:rPr>
        <w:t>600</w:t>
      </w:r>
      <w:r w:rsidRPr="00282AC9">
        <w:rPr>
          <w:rFonts w:hint="cs"/>
          <w:noProof/>
          <w:spacing w:val="-4"/>
          <w:sz w:val="29"/>
          <w:szCs w:val="29"/>
          <w:rtl/>
        </w:rPr>
        <w:t xml:space="preserve">0 ليرة </w:t>
      </w:r>
      <w:r w:rsidRPr="00282AC9">
        <w:rPr>
          <w:rFonts w:hint="cs"/>
          <w:noProof/>
          <w:spacing w:val="-4"/>
          <w:sz w:val="29"/>
          <w:szCs w:val="29"/>
        </w:rPr>
        <w:sym w:font="Wingdings" w:char="F0D7"/>
      </w:r>
      <w:r w:rsidRPr="00282AC9">
        <w:rPr>
          <w:rFonts w:hint="cs"/>
          <w:noProof/>
          <w:spacing w:val="-4"/>
          <w:sz w:val="29"/>
          <w:szCs w:val="29"/>
          <w:rtl/>
        </w:rPr>
        <w:t>الأردن 2</w:t>
      </w:r>
      <w:r w:rsidR="00573203" w:rsidRPr="00282AC9">
        <w:rPr>
          <w:rFonts w:cs="DanaFajr" w:hint="cs"/>
          <w:noProof/>
          <w:spacing w:val="-4"/>
          <w:sz w:val="29"/>
          <w:szCs w:val="29"/>
          <w:rtl/>
        </w:rPr>
        <w:t>,</w:t>
      </w:r>
      <w:r w:rsidRPr="00282AC9">
        <w:rPr>
          <w:rFonts w:hint="cs"/>
          <w:noProof/>
          <w:spacing w:val="-4"/>
          <w:sz w:val="29"/>
          <w:szCs w:val="29"/>
          <w:rtl/>
        </w:rPr>
        <w:t xml:space="preserve">5 دينار </w:t>
      </w:r>
      <w:r w:rsidRPr="00282AC9">
        <w:rPr>
          <w:rFonts w:hint="cs"/>
          <w:noProof/>
          <w:spacing w:val="-4"/>
          <w:sz w:val="29"/>
          <w:szCs w:val="29"/>
        </w:rPr>
        <w:sym w:font="Wingdings" w:char="F0D7"/>
      </w:r>
      <w:r w:rsidRPr="00282AC9">
        <w:rPr>
          <w:rFonts w:hint="cs"/>
          <w:noProof/>
          <w:spacing w:val="-4"/>
          <w:sz w:val="29"/>
          <w:szCs w:val="29"/>
          <w:rtl/>
        </w:rPr>
        <w:t xml:space="preserve">الكويت 3 دنانير </w:t>
      </w:r>
      <w:r w:rsidRPr="00282AC9">
        <w:rPr>
          <w:noProof/>
          <w:spacing w:val="-4"/>
          <w:sz w:val="29"/>
          <w:szCs w:val="29"/>
          <w:rtl/>
        </w:rPr>
        <w:br/>
      </w:r>
      <w:r w:rsidRPr="00282AC9">
        <w:rPr>
          <w:rFonts w:hint="cs"/>
          <w:noProof/>
          <w:spacing w:val="-4"/>
          <w:sz w:val="29"/>
          <w:szCs w:val="29"/>
        </w:rPr>
        <w:sym w:font="Wingdings" w:char="F0D7"/>
      </w:r>
      <w:r w:rsidRPr="00282AC9">
        <w:rPr>
          <w:rFonts w:hint="cs"/>
          <w:noProof/>
          <w:spacing w:val="-4"/>
          <w:sz w:val="29"/>
          <w:szCs w:val="29"/>
          <w:rtl/>
        </w:rPr>
        <w:t xml:space="preserve">العراق 3000 دينار </w:t>
      </w:r>
      <w:r w:rsidRPr="00282AC9">
        <w:rPr>
          <w:rFonts w:hint="cs"/>
          <w:noProof/>
          <w:spacing w:val="-4"/>
          <w:sz w:val="29"/>
          <w:szCs w:val="29"/>
        </w:rPr>
        <w:sym w:font="Wingdings" w:char="F0D7"/>
      </w:r>
      <w:r w:rsidRPr="00282AC9">
        <w:rPr>
          <w:rFonts w:hint="cs"/>
          <w:noProof/>
          <w:spacing w:val="-4"/>
          <w:sz w:val="29"/>
          <w:szCs w:val="29"/>
          <w:rtl/>
        </w:rPr>
        <w:t xml:space="preserve">الإمارات العربية 30 درهماً </w:t>
      </w:r>
      <w:r w:rsidRPr="00282AC9">
        <w:rPr>
          <w:rFonts w:hint="cs"/>
          <w:noProof/>
          <w:spacing w:val="-4"/>
          <w:sz w:val="29"/>
          <w:szCs w:val="29"/>
        </w:rPr>
        <w:sym w:font="Wingdings" w:char="F0D7"/>
      </w:r>
      <w:r w:rsidRPr="00282AC9">
        <w:rPr>
          <w:rFonts w:hint="cs"/>
          <w:noProof/>
          <w:spacing w:val="-4"/>
          <w:sz w:val="29"/>
          <w:szCs w:val="29"/>
          <w:rtl/>
        </w:rPr>
        <w:t xml:space="preserve">البحرين 3 دنانير </w:t>
      </w:r>
      <w:r w:rsidR="00E52833" w:rsidRPr="00282AC9">
        <w:rPr>
          <w:rFonts w:hint="cs"/>
          <w:noProof/>
          <w:spacing w:val="-4"/>
          <w:sz w:val="29"/>
          <w:szCs w:val="29"/>
          <w:rtl/>
        </w:rPr>
        <w:t xml:space="preserve">   </w:t>
      </w:r>
      <w:r w:rsidRPr="00282AC9">
        <w:rPr>
          <w:rFonts w:hint="cs"/>
          <w:noProof/>
          <w:spacing w:val="-4"/>
          <w:sz w:val="29"/>
          <w:szCs w:val="29"/>
        </w:rPr>
        <w:sym w:font="Wingdings" w:char="F0D7"/>
      </w:r>
      <w:r w:rsidRPr="00282AC9">
        <w:rPr>
          <w:rFonts w:hint="cs"/>
          <w:noProof/>
          <w:spacing w:val="-4"/>
          <w:sz w:val="29"/>
          <w:szCs w:val="29"/>
          <w:rtl/>
        </w:rPr>
        <w:t xml:space="preserve">قطر 30 ريالاً </w:t>
      </w:r>
      <w:r w:rsidRPr="00282AC9">
        <w:rPr>
          <w:rFonts w:hint="cs"/>
          <w:noProof/>
          <w:spacing w:val="-4"/>
          <w:sz w:val="29"/>
          <w:szCs w:val="29"/>
        </w:rPr>
        <w:sym w:font="Wingdings" w:char="F0D7"/>
      </w:r>
      <w:r w:rsidRPr="00282AC9">
        <w:rPr>
          <w:rFonts w:hint="cs"/>
          <w:noProof/>
          <w:spacing w:val="-4"/>
          <w:sz w:val="29"/>
          <w:szCs w:val="29"/>
          <w:rtl/>
        </w:rPr>
        <w:t xml:space="preserve">السعودية 30 ريالاً </w:t>
      </w:r>
      <w:r w:rsidRPr="00282AC9">
        <w:rPr>
          <w:rFonts w:hint="cs"/>
          <w:noProof/>
          <w:spacing w:val="-4"/>
          <w:sz w:val="29"/>
          <w:szCs w:val="29"/>
        </w:rPr>
        <w:sym w:font="Wingdings" w:char="F0D7"/>
      </w:r>
      <w:r w:rsidRPr="00282AC9">
        <w:rPr>
          <w:rFonts w:hint="cs"/>
          <w:noProof/>
          <w:spacing w:val="-4"/>
          <w:sz w:val="29"/>
          <w:szCs w:val="29"/>
          <w:rtl/>
        </w:rPr>
        <w:t xml:space="preserve">عمان 3 ريالات </w:t>
      </w:r>
      <w:r w:rsidRPr="00282AC9">
        <w:rPr>
          <w:rFonts w:hint="cs"/>
          <w:noProof/>
          <w:spacing w:val="-4"/>
          <w:sz w:val="29"/>
          <w:szCs w:val="29"/>
        </w:rPr>
        <w:sym w:font="Wingdings" w:char="F0D7"/>
      </w:r>
      <w:r w:rsidRPr="00282AC9">
        <w:rPr>
          <w:rFonts w:hint="cs"/>
          <w:noProof/>
          <w:spacing w:val="-4"/>
          <w:sz w:val="29"/>
          <w:szCs w:val="29"/>
          <w:rtl/>
        </w:rPr>
        <w:t xml:space="preserve">اليمن 400 ريال </w:t>
      </w:r>
      <w:r w:rsidRPr="00282AC9">
        <w:rPr>
          <w:rFonts w:hint="cs"/>
          <w:noProof/>
          <w:spacing w:val="-4"/>
          <w:sz w:val="29"/>
          <w:szCs w:val="29"/>
        </w:rPr>
        <w:sym w:font="Wingdings" w:char="F0D7"/>
      </w:r>
      <w:r w:rsidRPr="00282AC9">
        <w:rPr>
          <w:rFonts w:hint="cs"/>
          <w:noProof/>
          <w:spacing w:val="-4"/>
          <w:sz w:val="29"/>
          <w:szCs w:val="29"/>
          <w:rtl/>
        </w:rPr>
        <w:t xml:space="preserve">مصر 7 جنيهات </w:t>
      </w:r>
      <w:r w:rsidRPr="00282AC9">
        <w:rPr>
          <w:rFonts w:hint="cs"/>
          <w:noProof/>
          <w:spacing w:val="-4"/>
          <w:sz w:val="29"/>
          <w:szCs w:val="29"/>
        </w:rPr>
        <w:sym w:font="Wingdings" w:char="F0D7"/>
      </w:r>
      <w:r w:rsidRPr="00282AC9">
        <w:rPr>
          <w:rFonts w:hint="cs"/>
          <w:noProof/>
          <w:spacing w:val="-4"/>
          <w:sz w:val="29"/>
          <w:szCs w:val="29"/>
          <w:rtl/>
        </w:rPr>
        <w:t xml:space="preserve">السودان 200 دينار </w:t>
      </w:r>
      <w:r w:rsidRPr="00282AC9">
        <w:rPr>
          <w:rFonts w:hint="cs"/>
          <w:noProof/>
          <w:spacing w:val="-4"/>
          <w:sz w:val="29"/>
          <w:szCs w:val="29"/>
        </w:rPr>
        <w:sym w:font="Wingdings" w:char="F0D7"/>
      </w:r>
      <w:r w:rsidRPr="00282AC9">
        <w:rPr>
          <w:rFonts w:hint="cs"/>
          <w:noProof/>
          <w:spacing w:val="-4"/>
          <w:sz w:val="29"/>
          <w:szCs w:val="29"/>
          <w:rtl/>
        </w:rPr>
        <w:t xml:space="preserve">الصومال 150 شلناً </w:t>
      </w:r>
      <w:r w:rsidRPr="00282AC9">
        <w:rPr>
          <w:rFonts w:hint="cs"/>
          <w:noProof/>
          <w:spacing w:val="-4"/>
          <w:sz w:val="29"/>
          <w:szCs w:val="29"/>
        </w:rPr>
        <w:sym w:font="Wingdings" w:char="F0D7"/>
      </w:r>
      <w:r w:rsidRPr="00282AC9">
        <w:rPr>
          <w:rFonts w:hint="cs"/>
          <w:noProof/>
          <w:spacing w:val="-4"/>
          <w:sz w:val="29"/>
          <w:szCs w:val="29"/>
          <w:rtl/>
        </w:rPr>
        <w:t xml:space="preserve">ليبيا 5 دنانير </w:t>
      </w:r>
      <w:r w:rsidRPr="00282AC9">
        <w:rPr>
          <w:rFonts w:hint="cs"/>
          <w:noProof/>
          <w:spacing w:val="-4"/>
          <w:sz w:val="29"/>
          <w:szCs w:val="29"/>
        </w:rPr>
        <w:sym w:font="Wingdings" w:char="F0D7"/>
      </w:r>
      <w:r w:rsidRPr="00282AC9">
        <w:rPr>
          <w:rFonts w:hint="cs"/>
          <w:noProof/>
          <w:spacing w:val="-4"/>
          <w:sz w:val="29"/>
          <w:szCs w:val="29"/>
          <w:rtl/>
        </w:rPr>
        <w:t xml:space="preserve">الجزائر 30 ديناراً </w:t>
      </w:r>
      <w:r w:rsidRPr="00282AC9">
        <w:rPr>
          <w:rFonts w:hint="cs"/>
          <w:noProof/>
          <w:spacing w:val="-4"/>
          <w:sz w:val="29"/>
          <w:szCs w:val="29"/>
        </w:rPr>
        <w:sym w:font="Wingdings" w:char="F0D7"/>
      </w:r>
      <w:r w:rsidRPr="00282AC9">
        <w:rPr>
          <w:rFonts w:hint="cs"/>
          <w:noProof/>
          <w:spacing w:val="-4"/>
          <w:sz w:val="29"/>
          <w:szCs w:val="29"/>
          <w:rtl/>
        </w:rPr>
        <w:t xml:space="preserve">تونس 3 دنانير </w:t>
      </w:r>
      <w:r w:rsidRPr="00282AC9">
        <w:rPr>
          <w:rFonts w:hint="cs"/>
          <w:noProof/>
          <w:spacing w:val="-4"/>
          <w:sz w:val="29"/>
          <w:szCs w:val="29"/>
        </w:rPr>
        <w:sym w:font="Wingdings" w:char="F0D7"/>
      </w:r>
      <w:r w:rsidRPr="00282AC9">
        <w:rPr>
          <w:rFonts w:hint="cs"/>
          <w:noProof/>
          <w:spacing w:val="-4"/>
          <w:sz w:val="29"/>
          <w:szCs w:val="29"/>
          <w:rtl/>
        </w:rPr>
        <w:t xml:space="preserve">المغرب 30 درهماً </w:t>
      </w:r>
      <w:r w:rsidRPr="00282AC9">
        <w:rPr>
          <w:rFonts w:hint="cs"/>
          <w:noProof/>
          <w:spacing w:val="-4"/>
          <w:sz w:val="29"/>
          <w:szCs w:val="29"/>
        </w:rPr>
        <w:sym w:font="Wingdings" w:char="F0D7"/>
      </w:r>
      <w:r w:rsidRPr="00282AC9">
        <w:rPr>
          <w:rFonts w:hint="cs"/>
          <w:noProof/>
          <w:spacing w:val="-4"/>
          <w:sz w:val="29"/>
          <w:szCs w:val="29"/>
          <w:rtl/>
        </w:rPr>
        <w:t xml:space="preserve">موريتانيا 500 أوقية </w:t>
      </w:r>
      <w:r w:rsidRPr="00282AC9">
        <w:rPr>
          <w:rFonts w:hint="cs"/>
          <w:noProof/>
          <w:spacing w:val="-4"/>
          <w:sz w:val="29"/>
          <w:szCs w:val="29"/>
        </w:rPr>
        <w:sym w:font="Wingdings" w:char="F0D7"/>
      </w:r>
      <w:r w:rsidRPr="00282AC9">
        <w:rPr>
          <w:rFonts w:hint="cs"/>
          <w:noProof/>
          <w:spacing w:val="-4"/>
          <w:sz w:val="29"/>
          <w:szCs w:val="29"/>
          <w:rtl/>
        </w:rPr>
        <w:t xml:space="preserve">تركيا 20000 ليرة </w:t>
      </w:r>
      <w:r w:rsidRPr="00282AC9">
        <w:rPr>
          <w:rFonts w:hint="cs"/>
          <w:noProof/>
          <w:spacing w:val="-4"/>
          <w:sz w:val="29"/>
          <w:szCs w:val="29"/>
        </w:rPr>
        <w:sym w:font="Wingdings" w:char="F0D7"/>
      </w:r>
      <w:r w:rsidRPr="00282AC9">
        <w:rPr>
          <w:rFonts w:hint="cs"/>
          <w:noProof/>
          <w:spacing w:val="-4"/>
          <w:sz w:val="29"/>
          <w:szCs w:val="29"/>
          <w:rtl/>
        </w:rPr>
        <w:t xml:space="preserve">قبرص 5 جنيهات </w:t>
      </w:r>
      <w:r w:rsidRPr="00282AC9">
        <w:rPr>
          <w:rFonts w:hint="cs"/>
          <w:noProof/>
          <w:spacing w:val="-4"/>
          <w:sz w:val="29"/>
          <w:szCs w:val="29"/>
        </w:rPr>
        <w:sym w:font="Wingdings" w:char="F0D7"/>
      </w:r>
      <w:r w:rsidRPr="00282AC9">
        <w:rPr>
          <w:rFonts w:hint="cs"/>
          <w:noProof/>
          <w:spacing w:val="-4"/>
          <w:sz w:val="29"/>
          <w:szCs w:val="29"/>
          <w:rtl/>
        </w:rPr>
        <w:t>أمريكا وأوروبا وسائر الدول الأخرى 10 دولارات</w:t>
      </w:r>
      <w:r w:rsidR="00E52833" w:rsidRPr="00282AC9">
        <w:rPr>
          <w:rFonts w:hint="cs"/>
          <w:noProof/>
          <w:spacing w:val="-4"/>
          <w:sz w:val="29"/>
          <w:szCs w:val="29"/>
          <w:rtl/>
          <w:lang w:bidi="ar-LB"/>
        </w:rPr>
        <w:t>.</w:t>
      </w:r>
    </w:p>
    <w:p w:rsidR="00E52833" w:rsidRPr="00282AC9" w:rsidRDefault="00E52833" w:rsidP="00666D68">
      <w:pPr>
        <w:spacing w:before="100"/>
        <w:ind w:left="113" w:right="142" w:firstLine="0"/>
        <w:rPr>
          <w:noProof/>
          <w:spacing w:val="-4"/>
          <w:sz w:val="29"/>
          <w:szCs w:val="29"/>
          <w:rtl/>
          <w:lang w:bidi="ar-LB"/>
        </w:rPr>
        <w:sectPr w:rsidR="00E52833" w:rsidRPr="00282AC9" w:rsidSect="009D5057">
          <w:headerReference w:type="even" r:id="rId185"/>
          <w:headerReference w:type="default" r:id="rId186"/>
          <w:footerReference w:type="default" r:id="rId187"/>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282AC9" w:rsidRDefault="000B5897" w:rsidP="00D1080C">
      <w:pPr>
        <w:ind w:right="284" w:firstLine="0"/>
        <w:rPr>
          <w:sz w:val="32"/>
          <w:rtl/>
        </w:rPr>
      </w:pPr>
    </w:p>
    <w:p w:rsidR="000B5897" w:rsidRPr="00282AC9" w:rsidRDefault="000B5897" w:rsidP="00715FC8">
      <w:pPr>
        <w:spacing w:line="240" w:lineRule="auto"/>
        <w:ind w:right="284" w:firstLine="0"/>
        <w:rPr>
          <w:sz w:val="32"/>
          <w:rtl/>
        </w:rPr>
      </w:pPr>
    </w:p>
    <w:p w:rsidR="000B5897" w:rsidRPr="00282AC9" w:rsidRDefault="000B5897" w:rsidP="00715FC8">
      <w:pPr>
        <w:spacing w:line="240" w:lineRule="auto"/>
        <w:ind w:right="284" w:firstLine="0"/>
        <w:jc w:val="center"/>
        <w:rPr>
          <w:rFonts w:ascii="Elephant" w:hAnsi="Elephant"/>
          <w:rtl/>
        </w:rPr>
      </w:pPr>
      <w:r w:rsidRPr="00282AC9">
        <w:rPr>
          <w:rFonts w:ascii="Elephant" w:hAnsi="Elephant"/>
          <w:sz w:val="54"/>
        </w:rPr>
        <w:t>Al-</w:t>
      </w:r>
      <w:r w:rsidR="00252E59" w:rsidRPr="00282AC9">
        <w:rPr>
          <w:rFonts w:ascii="Elephant" w:hAnsi="Elephant"/>
          <w:sz w:val="54"/>
        </w:rPr>
        <w:t>I</w:t>
      </w:r>
      <w:r w:rsidR="002C1BC1" w:rsidRPr="00282AC9">
        <w:rPr>
          <w:rFonts w:ascii="Elephant" w:hAnsi="Elephant"/>
          <w:sz w:val="54"/>
        </w:rPr>
        <w:t>j</w:t>
      </w:r>
      <w:r w:rsidRPr="00282AC9">
        <w:rPr>
          <w:rFonts w:ascii="Elephant" w:hAnsi="Elephant"/>
          <w:sz w:val="54"/>
        </w:rPr>
        <w:t xml:space="preserve">tihad </w:t>
      </w:r>
      <w:r w:rsidR="009A2A04" w:rsidRPr="00282AC9">
        <w:rPr>
          <w:rFonts w:ascii="Elephant" w:hAnsi="Elephant" w:cs="Mosawi"/>
          <w:sz w:val="54"/>
          <w:szCs w:val="54"/>
        </w:rPr>
        <w:t>&amp;</w:t>
      </w:r>
      <w:r w:rsidRPr="00282AC9">
        <w:rPr>
          <w:rFonts w:ascii="Elephant" w:hAnsi="Elephant"/>
          <w:sz w:val="54"/>
        </w:rPr>
        <w:t xml:space="preserve"> </w:t>
      </w:r>
      <w:r w:rsidR="002C1BC1" w:rsidRPr="00282AC9">
        <w:rPr>
          <w:rFonts w:ascii="Elephant" w:hAnsi="Elephant"/>
          <w:sz w:val="54"/>
        </w:rPr>
        <w:t>Al-</w:t>
      </w:r>
      <w:r w:rsidR="00252E59" w:rsidRPr="00282AC9">
        <w:rPr>
          <w:rFonts w:ascii="Elephant" w:hAnsi="Elephant"/>
          <w:sz w:val="54"/>
        </w:rPr>
        <w:t>T</w:t>
      </w:r>
      <w:r w:rsidRPr="00282AC9">
        <w:rPr>
          <w:rFonts w:ascii="Elephant" w:hAnsi="Elephant"/>
          <w:sz w:val="54"/>
        </w:rPr>
        <w:t>a</w:t>
      </w:r>
      <w:r w:rsidR="002C1BC1" w:rsidRPr="00282AC9">
        <w:rPr>
          <w:rFonts w:ascii="Elephant" w:hAnsi="Elephant"/>
          <w:sz w:val="54"/>
        </w:rPr>
        <w:t>j</w:t>
      </w:r>
      <w:r w:rsidRPr="00282AC9">
        <w:rPr>
          <w:rFonts w:ascii="Elephant" w:hAnsi="Elephant"/>
          <w:sz w:val="54"/>
        </w:rPr>
        <w:t>deed</w:t>
      </w:r>
    </w:p>
    <w:p w:rsidR="000B5897" w:rsidRPr="00282AC9" w:rsidRDefault="000B5897" w:rsidP="00715FC8">
      <w:pPr>
        <w:spacing w:line="240" w:lineRule="auto"/>
        <w:ind w:right="284" w:firstLine="0"/>
        <w:rPr>
          <w:sz w:val="32"/>
          <w:rtl/>
        </w:rPr>
      </w:pPr>
    </w:p>
    <w:p w:rsidR="000B5897" w:rsidRPr="00282AC9" w:rsidRDefault="00072C15" w:rsidP="00715FC8">
      <w:pPr>
        <w:spacing w:line="240" w:lineRule="auto"/>
        <w:ind w:right="284" w:firstLine="0"/>
        <w:rPr>
          <w:sz w:val="32"/>
          <w:rtl/>
        </w:rPr>
      </w:pPr>
      <w:r w:rsidRPr="00282AC9">
        <w:rPr>
          <w:noProof/>
        </w:rPr>
        <mc:AlternateContent>
          <mc:Choice Requires="wps">
            <w:drawing>
              <wp:anchor distT="0" distB="0" distL="114300" distR="114300" simplePos="0" relativeHeight="251657728" behindDoc="0" locked="0" layoutInCell="1" allowOverlap="1" wp14:anchorId="0D5F6521" wp14:editId="1FB76D3F">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EDE" w:rsidRPr="005211CC" w:rsidRDefault="00C14EDE" w:rsidP="00672306">
                            <w:pPr>
                              <w:bidi w:val="0"/>
                              <w:spacing w:before="80" w:line="240" w:lineRule="auto"/>
                              <w:ind w:firstLine="0"/>
                              <w:jc w:val="center"/>
                              <w:rPr>
                                <w:b/>
                                <w:bCs/>
                                <w:color w:val="FFFFFF"/>
                                <w:position w:val="-6"/>
                                <w:sz w:val="25"/>
                                <w:szCs w:val="25"/>
                              </w:rPr>
                            </w:pPr>
                            <w:r w:rsidRPr="005211CC">
                              <w:rPr>
                                <w:b/>
                                <w:bCs/>
                                <w:color w:val="FFFFFF"/>
                                <w:position w:val="-6"/>
                                <w:sz w:val="25"/>
                                <w:szCs w:val="25"/>
                                <w:lang w:bidi="fa-IR"/>
                              </w:rPr>
                              <w:t xml:space="preserve">Winter </w:t>
                            </w:r>
                            <w:r w:rsidRPr="005211CC">
                              <w:rPr>
                                <w:rFonts w:cs="Mosawi"/>
                                <w:b/>
                                <w:bCs/>
                                <w:color w:val="FFFFFF"/>
                                <w:position w:val="-6"/>
                                <w:sz w:val="25"/>
                                <w:szCs w:val="25"/>
                                <w:lang w:bidi="ar-LB"/>
                              </w:rPr>
                              <w:t>&amp;</w:t>
                            </w:r>
                            <w:r w:rsidRPr="005211CC">
                              <w:rPr>
                                <w:b/>
                                <w:bCs/>
                                <w:color w:val="FFFFFF"/>
                                <w:position w:val="-6"/>
                                <w:sz w:val="25"/>
                                <w:szCs w:val="25"/>
                                <w:lang w:bidi="ar-LB"/>
                              </w:rPr>
                              <w:t xml:space="preserve"> </w:t>
                            </w:r>
                            <w:r w:rsidRPr="005211CC">
                              <w:rPr>
                                <w:b/>
                                <w:bCs/>
                                <w:color w:val="FFFFFF"/>
                                <w:position w:val="-6"/>
                                <w:sz w:val="25"/>
                                <w:szCs w:val="25"/>
                                <w:lang w:bidi="fa-IR"/>
                              </w:rPr>
                              <w:t>Spring  2021 - 1442</w:t>
                            </w:r>
                            <w:r w:rsidRPr="005211CC">
                              <w:rPr>
                                <w:rFonts w:hint="cs"/>
                                <w:b/>
                                <w:bCs/>
                                <w:color w:val="FFFFFF"/>
                                <w:position w:val="-6"/>
                                <w:sz w:val="25"/>
                                <w:szCs w:val="25"/>
                                <w:rtl/>
                              </w:rPr>
                              <w:t xml:space="preserve">   </w:t>
                            </w:r>
                            <w:r w:rsidRPr="005211CC">
                              <w:rPr>
                                <w:rFonts w:hint="cs"/>
                                <w:b/>
                                <w:bCs/>
                                <w:color w:val="FFFFFF"/>
                                <w:position w:val="-6"/>
                                <w:sz w:val="25"/>
                                <w:szCs w:val="25"/>
                                <w:rtl/>
                                <w:lang w:bidi="fa-IR"/>
                              </w:rPr>
                              <w:t xml:space="preserve">   </w:t>
                            </w:r>
                            <w:r w:rsidRPr="005211CC">
                              <w:rPr>
                                <w:b/>
                                <w:bCs/>
                                <w:color w:val="FFFFFF"/>
                                <w:position w:val="-6"/>
                                <w:sz w:val="25"/>
                                <w:szCs w:val="25"/>
                                <w:lang w:bidi="fa-IR"/>
                              </w:rPr>
                              <w:t xml:space="preserve"> 15 </w:t>
                            </w:r>
                            <w:r w:rsidRPr="005211CC">
                              <w:rPr>
                                <w:b/>
                                <w:bCs/>
                                <w:color w:val="FFFFFF"/>
                                <w:position w:val="-6"/>
                                <w:sz w:val="25"/>
                                <w:szCs w:val="25"/>
                                <w:vertAlign w:val="superscript"/>
                                <w:lang w:bidi="fa-IR"/>
                              </w:rPr>
                              <w:t>th</w:t>
                            </w:r>
                            <w:r w:rsidRPr="005211CC">
                              <w:rPr>
                                <w:b/>
                                <w:bCs/>
                                <w:color w:val="FFFFFF"/>
                                <w:position w:val="-6"/>
                                <w:sz w:val="25"/>
                                <w:szCs w:val="25"/>
                                <w:lang w:bidi="fa-IR"/>
                              </w:rPr>
                              <w:t xml:space="preserve"> Year    –    No. 57 - 58</w:t>
                            </w:r>
                          </w:p>
                          <w:p w:rsidR="00C14EDE" w:rsidRPr="00783617" w:rsidRDefault="00C14EDE"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8B4A08" w:rsidRPr="005211CC" w:rsidRDefault="008B4A08" w:rsidP="00672306">
                      <w:pPr>
                        <w:bidi w:val="0"/>
                        <w:spacing w:before="80" w:line="240" w:lineRule="auto"/>
                        <w:ind w:firstLine="0"/>
                        <w:jc w:val="center"/>
                        <w:rPr>
                          <w:b/>
                          <w:bCs/>
                          <w:color w:val="FFFFFF"/>
                          <w:position w:val="-6"/>
                          <w:sz w:val="25"/>
                          <w:szCs w:val="25"/>
                        </w:rPr>
                      </w:pPr>
                      <w:r w:rsidRPr="005211CC">
                        <w:rPr>
                          <w:b/>
                          <w:bCs/>
                          <w:color w:val="FFFFFF"/>
                          <w:position w:val="-6"/>
                          <w:sz w:val="25"/>
                          <w:szCs w:val="25"/>
                          <w:lang w:bidi="fa-IR"/>
                        </w:rPr>
                        <w:t xml:space="preserve">Winter </w:t>
                      </w:r>
                      <w:r w:rsidRPr="005211CC">
                        <w:rPr>
                          <w:rFonts w:cs="Mosawi"/>
                          <w:b/>
                          <w:bCs/>
                          <w:color w:val="FFFFFF"/>
                          <w:position w:val="-6"/>
                          <w:sz w:val="25"/>
                          <w:szCs w:val="25"/>
                          <w:lang w:bidi="ar-LB"/>
                        </w:rPr>
                        <w:t>&amp;</w:t>
                      </w:r>
                      <w:r w:rsidRPr="005211CC">
                        <w:rPr>
                          <w:b/>
                          <w:bCs/>
                          <w:color w:val="FFFFFF"/>
                          <w:position w:val="-6"/>
                          <w:sz w:val="25"/>
                          <w:szCs w:val="25"/>
                          <w:lang w:bidi="ar-LB"/>
                        </w:rPr>
                        <w:t xml:space="preserve"> </w:t>
                      </w:r>
                      <w:r w:rsidRPr="005211CC">
                        <w:rPr>
                          <w:b/>
                          <w:bCs/>
                          <w:color w:val="FFFFFF"/>
                          <w:position w:val="-6"/>
                          <w:sz w:val="25"/>
                          <w:szCs w:val="25"/>
                          <w:lang w:bidi="fa-IR"/>
                        </w:rPr>
                        <w:t>Spring  2021 - 1442</w:t>
                      </w:r>
                      <w:r w:rsidRPr="005211CC">
                        <w:rPr>
                          <w:rFonts w:hint="cs"/>
                          <w:b/>
                          <w:bCs/>
                          <w:color w:val="FFFFFF"/>
                          <w:position w:val="-6"/>
                          <w:sz w:val="25"/>
                          <w:szCs w:val="25"/>
                          <w:rtl/>
                        </w:rPr>
                        <w:t xml:space="preserve">   </w:t>
                      </w:r>
                      <w:r w:rsidRPr="005211CC">
                        <w:rPr>
                          <w:rFonts w:hint="cs"/>
                          <w:b/>
                          <w:bCs/>
                          <w:color w:val="FFFFFF"/>
                          <w:position w:val="-6"/>
                          <w:sz w:val="25"/>
                          <w:szCs w:val="25"/>
                          <w:rtl/>
                          <w:lang w:bidi="fa-IR"/>
                        </w:rPr>
                        <w:t xml:space="preserve">   </w:t>
                      </w:r>
                      <w:r w:rsidRPr="005211CC">
                        <w:rPr>
                          <w:b/>
                          <w:bCs/>
                          <w:color w:val="FFFFFF"/>
                          <w:position w:val="-6"/>
                          <w:sz w:val="25"/>
                          <w:szCs w:val="25"/>
                          <w:lang w:bidi="fa-IR"/>
                        </w:rPr>
                        <w:t xml:space="preserve"> 15 </w:t>
                      </w:r>
                      <w:r w:rsidRPr="005211CC">
                        <w:rPr>
                          <w:b/>
                          <w:bCs/>
                          <w:color w:val="FFFFFF"/>
                          <w:position w:val="-6"/>
                          <w:sz w:val="25"/>
                          <w:szCs w:val="25"/>
                          <w:vertAlign w:val="superscript"/>
                          <w:lang w:bidi="fa-IR"/>
                        </w:rPr>
                        <w:t>th</w:t>
                      </w:r>
                      <w:r w:rsidRPr="005211CC">
                        <w:rPr>
                          <w:b/>
                          <w:bCs/>
                          <w:color w:val="FFFFFF"/>
                          <w:position w:val="-6"/>
                          <w:sz w:val="25"/>
                          <w:szCs w:val="25"/>
                          <w:lang w:bidi="fa-IR"/>
                        </w:rPr>
                        <w:t xml:space="preserve"> Year    –    No. 57 - 58</w:t>
                      </w:r>
                    </w:p>
                    <w:p w:rsidR="008B4A08" w:rsidRPr="00783617" w:rsidRDefault="008B4A08" w:rsidP="00D45F0B">
                      <w:pPr>
                        <w:jc w:val="center"/>
                        <w:rPr>
                          <w:rFonts w:ascii="Mosawi" w:hAnsi="Mosawi" w:cs="Mosawi"/>
                          <w:rtl/>
                        </w:rPr>
                      </w:pPr>
                    </w:p>
                  </w:txbxContent>
                </v:textbox>
              </v:shape>
            </w:pict>
          </mc:Fallback>
        </mc:AlternateContent>
      </w:r>
    </w:p>
    <w:p w:rsidR="000B5897" w:rsidRPr="00282AC9" w:rsidRDefault="000B5897" w:rsidP="00715FC8">
      <w:pPr>
        <w:bidi w:val="0"/>
        <w:spacing w:line="240" w:lineRule="auto"/>
        <w:ind w:right="284" w:firstLine="0"/>
      </w:pPr>
    </w:p>
    <w:p w:rsidR="00A1336E" w:rsidRPr="00282AC9" w:rsidRDefault="00A1336E" w:rsidP="00A1336E">
      <w:pPr>
        <w:bidi w:val="0"/>
        <w:spacing w:before="100" w:beforeAutospacing="1" w:line="380" w:lineRule="exact"/>
        <w:ind w:firstLine="0"/>
      </w:pPr>
    </w:p>
    <w:p w:rsidR="00A1336E" w:rsidRPr="00282AC9" w:rsidRDefault="00A1336E" w:rsidP="00A1336E">
      <w:pPr>
        <w:bidi w:val="0"/>
        <w:spacing w:before="100" w:beforeAutospacing="1" w:line="360" w:lineRule="exact"/>
        <w:ind w:firstLine="0"/>
      </w:pPr>
    </w:p>
    <w:p w:rsidR="000B5897" w:rsidRPr="00282AC9" w:rsidRDefault="000B5897" w:rsidP="00715FC8">
      <w:pPr>
        <w:bidi w:val="0"/>
        <w:spacing w:before="100" w:line="240" w:lineRule="auto"/>
        <w:ind w:right="284" w:firstLine="284"/>
        <w:rPr>
          <w:b/>
          <w:bCs/>
          <w:noProof/>
          <w:spacing w:val="-4"/>
        </w:rPr>
      </w:pPr>
      <w:r w:rsidRPr="00282AC9">
        <w:rPr>
          <w:b/>
          <w:bCs/>
          <w:noProof/>
          <w:spacing w:val="-4"/>
        </w:rPr>
        <w:t>Editor</w:t>
      </w:r>
      <w:r w:rsidR="00252E59" w:rsidRPr="00282AC9">
        <w:rPr>
          <w:b/>
          <w:bCs/>
          <w:noProof/>
          <w:spacing w:val="-4"/>
        </w:rPr>
        <w:t xml:space="preserve"> </w:t>
      </w:r>
      <w:r w:rsidRPr="00282AC9">
        <w:rPr>
          <w:b/>
          <w:bCs/>
          <w:noProof/>
          <w:spacing w:val="-4"/>
        </w:rPr>
        <w:t>in</w:t>
      </w:r>
      <w:r w:rsidR="00252E59" w:rsidRPr="00282AC9">
        <w:rPr>
          <w:b/>
          <w:bCs/>
          <w:noProof/>
          <w:spacing w:val="-4"/>
        </w:rPr>
        <w:t xml:space="preserve"> </w:t>
      </w:r>
      <w:r w:rsidRPr="00282AC9">
        <w:rPr>
          <w:b/>
          <w:bCs/>
          <w:noProof/>
          <w:spacing w:val="-4"/>
        </w:rPr>
        <w:t>chief</w:t>
      </w:r>
      <w:r w:rsidR="006D38E2" w:rsidRPr="00282AC9">
        <w:rPr>
          <w:b/>
          <w:bCs/>
          <w:noProof/>
          <w:spacing w:val="-4"/>
        </w:rPr>
        <w:t xml:space="preserve"> </w:t>
      </w:r>
    </w:p>
    <w:p w:rsidR="000B5897" w:rsidRPr="00282AC9" w:rsidRDefault="004C2449" w:rsidP="00715FC8">
      <w:pPr>
        <w:bidi w:val="0"/>
        <w:spacing w:before="100" w:line="240" w:lineRule="auto"/>
        <w:ind w:right="284"/>
        <w:rPr>
          <w:rFonts w:ascii="Arial" w:hAnsi="Arial" w:cs="Arial"/>
          <w:noProof/>
          <w:spacing w:val="-4"/>
        </w:rPr>
      </w:pPr>
      <w:r w:rsidRPr="00282AC9">
        <w:rPr>
          <w:rFonts w:ascii="Arial" w:hAnsi="Arial" w:cs="Arial"/>
          <w:noProof/>
          <w:spacing w:val="-4"/>
        </w:rPr>
        <w:t>Mohamad Dohaini</w:t>
      </w:r>
    </w:p>
    <w:p w:rsidR="00A1336E" w:rsidRPr="00282AC9" w:rsidRDefault="00A1336E" w:rsidP="00A1336E">
      <w:pPr>
        <w:bidi w:val="0"/>
        <w:spacing w:before="100" w:line="340" w:lineRule="exact"/>
        <w:ind w:right="284" w:firstLine="284"/>
        <w:rPr>
          <w:b/>
          <w:bCs/>
          <w:noProof/>
          <w:spacing w:val="-4"/>
        </w:rPr>
      </w:pPr>
    </w:p>
    <w:p w:rsidR="00A1336E" w:rsidRPr="00282AC9" w:rsidRDefault="00A1336E" w:rsidP="00A1336E">
      <w:pPr>
        <w:bidi w:val="0"/>
        <w:spacing w:before="100" w:line="320" w:lineRule="exact"/>
        <w:ind w:right="284" w:firstLine="284"/>
        <w:rPr>
          <w:b/>
          <w:bCs/>
          <w:noProof/>
          <w:spacing w:val="-4"/>
        </w:rPr>
      </w:pPr>
    </w:p>
    <w:p w:rsidR="000B5897" w:rsidRPr="00282AC9" w:rsidRDefault="000B5897" w:rsidP="00715FC8">
      <w:pPr>
        <w:bidi w:val="0"/>
        <w:spacing w:before="100" w:line="240" w:lineRule="auto"/>
        <w:ind w:right="284" w:firstLine="284"/>
        <w:rPr>
          <w:b/>
          <w:bCs/>
          <w:noProof/>
          <w:spacing w:val="-4"/>
        </w:rPr>
      </w:pPr>
      <w:r w:rsidRPr="00282AC9">
        <w:rPr>
          <w:b/>
          <w:bCs/>
          <w:noProof/>
          <w:spacing w:val="-4"/>
        </w:rPr>
        <w:t>Responsible Director</w:t>
      </w:r>
      <w:r w:rsidR="006D38E2" w:rsidRPr="00282AC9">
        <w:rPr>
          <w:b/>
          <w:bCs/>
          <w:noProof/>
          <w:spacing w:val="-4"/>
        </w:rPr>
        <w:t xml:space="preserve"> </w:t>
      </w:r>
    </w:p>
    <w:p w:rsidR="000B5897" w:rsidRPr="00282AC9" w:rsidRDefault="000B5897" w:rsidP="00715FC8">
      <w:pPr>
        <w:bidi w:val="0"/>
        <w:spacing w:before="100" w:line="240" w:lineRule="auto"/>
        <w:ind w:right="284"/>
        <w:rPr>
          <w:rFonts w:ascii="Arial" w:hAnsi="Arial" w:cs="Arial"/>
          <w:noProof/>
          <w:spacing w:val="-4"/>
        </w:rPr>
      </w:pPr>
      <w:r w:rsidRPr="00282AC9">
        <w:rPr>
          <w:rFonts w:ascii="Arial" w:hAnsi="Arial" w:cs="Arial"/>
          <w:noProof/>
          <w:spacing w:val="-4"/>
        </w:rPr>
        <w:t>Rabie Sowaidan</w:t>
      </w:r>
    </w:p>
    <w:p w:rsidR="00A1336E" w:rsidRPr="00282AC9" w:rsidRDefault="00A1336E" w:rsidP="00A1336E">
      <w:pPr>
        <w:bidi w:val="0"/>
        <w:spacing w:before="100" w:beforeAutospacing="1" w:after="100" w:afterAutospacing="1" w:line="240" w:lineRule="auto"/>
        <w:ind w:firstLine="0"/>
        <w:jc w:val="center"/>
        <w:rPr>
          <w:sz w:val="24"/>
          <w:szCs w:val="24"/>
        </w:rPr>
      </w:pPr>
    </w:p>
    <w:p w:rsidR="00A1336E" w:rsidRPr="00282AC9" w:rsidRDefault="00A1336E" w:rsidP="00A1336E">
      <w:pPr>
        <w:bidi w:val="0"/>
        <w:spacing w:before="100" w:beforeAutospacing="1" w:after="100" w:afterAutospacing="1" w:line="240" w:lineRule="auto"/>
        <w:ind w:firstLine="0"/>
        <w:jc w:val="center"/>
        <w:rPr>
          <w:sz w:val="24"/>
          <w:szCs w:val="24"/>
        </w:rPr>
      </w:pPr>
    </w:p>
    <w:p w:rsidR="000B5897" w:rsidRPr="00282AC9" w:rsidRDefault="00A1336E" w:rsidP="00715FC8">
      <w:pPr>
        <w:bidi w:val="0"/>
        <w:spacing w:beforeAutospacing="1" w:after="100" w:afterAutospacing="1" w:line="240" w:lineRule="auto"/>
        <w:ind w:firstLine="0"/>
      </w:pPr>
      <w:r w:rsidRPr="00282AC9">
        <w:rPr>
          <w:noProof/>
        </w:rPr>
        <mc:AlternateContent>
          <mc:Choice Requires="wps">
            <w:drawing>
              <wp:anchor distT="0" distB="0" distL="114300" distR="114300" simplePos="0" relativeHeight="251658752" behindDoc="1" locked="0" layoutInCell="1" allowOverlap="1" wp14:anchorId="2B453617" wp14:editId="1938CF86">
                <wp:simplePos x="0" y="0"/>
                <wp:positionH relativeFrom="column">
                  <wp:posOffset>-10795</wp:posOffset>
                </wp:positionH>
                <wp:positionV relativeFrom="paragraph">
                  <wp:posOffset>257810</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C200E2" id="Rectangle 4" o:spid="_x0000_s1026" style="position:absolute;margin-left:-.85pt;margin-top:20.3pt;width:351pt;height:10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"/>
            </w:pict>
          </mc:Fallback>
        </mc:AlternateContent>
      </w:r>
    </w:p>
    <w:p w:rsidR="000B5897" w:rsidRPr="00282AC9" w:rsidRDefault="000B5897" w:rsidP="00805B95">
      <w:pPr>
        <w:bidi w:val="0"/>
        <w:spacing w:before="120" w:line="240" w:lineRule="auto"/>
        <w:ind w:firstLine="0"/>
        <w:jc w:val="center"/>
        <w:rPr>
          <w:b/>
          <w:bCs/>
          <w:noProof/>
          <w:spacing w:val="-4"/>
        </w:rPr>
      </w:pPr>
      <w:r w:rsidRPr="00282AC9">
        <w:rPr>
          <w:b/>
          <w:bCs/>
          <w:noProof/>
          <w:spacing w:val="-4"/>
        </w:rPr>
        <w:t>Correspondence</w:t>
      </w:r>
      <w:r w:rsidR="006D38E2" w:rsidRPr="00282AC9">
        <w:rPr>
          <w:b/>
          <w:bCs/>
          <w:noProof/>
          <w:spacing w:val="-4"/>
        </w:rPr>
        <w:t xml:space="preserve">: </w:t>
      </w:r>
    </w:p>
    <w:p w:rsidR="000B5897" w:rsidRPr="00282AC9" w:rsidRDefault="000B5897" w:rsidP="00805B95">
      <w:pPr>
        <w:bidi w:val="0"/>
        <w:spacing w:before="120" w:line="240" w:lineRule="auto"/>
        <w:ind w:firstLine="0"/>
        <w:jc w:val="center"/>
        <w:rPr>
          <w:b/>
          <w:bCs/>
          <w:noProof/>
          <w:spacing w:val="-4"/>
        </w:rPr>
      </w:pPr>
      <w:r w:rsidRPr="00282AC9">
        <w:rPr>
          <w:b/>
          <w:bCs/>
          <w:noProof/>
          <w:spacing w:val="-4"/>
        </w:rPr>
        <w:t>To the office of the Editor</w:t>
      </w:r>
      <w:r w:rsidR="00252E59" w:rsidRPr="00282AC9">
        <w:rPr>
          <w:b/>
          <w:bCs/>
          <w:noProof/>
          <w:spacing w:val="-4"/>
        </w:rPr>
        <w:t xml:space="preserve"> </w:t>
      </w:r>
      <w:r w:rsidRPr="00282AC9">
        <w:rPr>
          <w:b/>
          <w:bCs/>
          <w:noProof/>
          <w:spacing w:val="-4"/>
        </w:rPr>
        <w:t>in</w:t>
      </w:r>
      <w:r w:rsidR="00252E59" w:rsidRPr="00282AC9">
        <w:rPr>
          <w:b/>
          <w:bCs/>
          <w:noProof/>
          <w:spacing w:val="-4"/>
        </w:rPr>
        <w:t xml:space="preserve"> </w:t>
      </w:r>
      <w:r w:rsidRPr="00282AC9">
        <w:rPr>
          <w:b/>
          <w:bCs/>
          <w:noProof/>
          <w:spacing w:val="-4"/>
        </w:rPr>
        <w:t>chief</w:t>
      </w:r>
    </w:p>
    <w:p w:rsidR="000B5897" w:rsidRPr="00282AC9" w:rsidRDefault="00123D7D" w:rsidP="00805B95">
      <w:pPr>
        <w:bidi w:val="0"/>
        <w:spacing w:before="120" w:line="240" w:lineRule="auto"/>
        <w:ind w:firstLine="0"/>
        <w:jc w:val="center"/>
        <w:rPr>
          <w:b/>
          <w:bCs/>
          <w:noProof/>
          <w:spacing w:val="-4"/>
        </w:rPr>
      </w:pPr>
      <w:r w:rsidRPr="00282AC9">
        <w:rPr>
          <w:b/>
          <w:bCs/>
          <w:noProof/>
          <w:spacing w:val="-4"/>
        </w:rPr>
        <w:t>Lebanon – Beirut. P.O.Box: 327 / 25</w:t>
      </w:r>
    </w:p>
    <w:p w:rsidR="00C9403B" w:rsidRPr="00282AC9" w:rsidRDefault="000B5897" w:rsidP="00805B95">
      <w:pPr>
        <w:spacing w:before="120" w:line="240" w:lineRule="auto"/>
        <w:jc w:val="center"/>
        <w:rPr>
          <w:rtl/>
        </w:rPr>
      </w:pPr>
      <w:r w:rsidRPr="00282AC9">
        <w:rPr>
          <w:b/>
          <w:bCs/>
          <w:noProof/>
          <w:spacing w:val="-4"/>
        </w:rPr>
        <w:t>E-mail</w:t>
      </w:r>
      <w:r w:rsidR="006D38E2" w:rsidRPr="00282AC9">
        <w:rPr>
          <w:b/>
          <w:bCs/>
          <w:noProof/>
          <w:spacing w:val="-4"/>
        </w:rPr>
        <w:t xml:space="preserve">: </w:t>
      </w:r>
      <w:r w:rsidR="004C2449" w:rsidRPr="00282AC9">
        <w:rPr>
          <w:b/>
          <w:bCs/>
          <w:noProof/>
          <w:spacing w:val="-4"/>
        </w:rPr>
        <w:t>m</w:t>
      </w:r>
      <w:r w:rsidR="00F93C6E" w:rsidRPr="00282AC9">
        <w:rPr>
          <w:b/>
          <w:bCs/>
          <w:noProof/>
          <w:spacing w:val="-4"/>
        </w:rPr>
        <w:t>dohayni</w:t>
      </w:r>
      <w:r w:rsidR="004C2449" w:rsidRPr="00282AC9">
        <w:rPr>
          <w:b/>
          <w:bCs/>
          <w:noProof/>
          <w:spacing w:val="-4"/>
        </w:rPr>
        <w:t>@hotmail</w:t>
      </w:r>
      <w:r w:rsidRPr="00282AC9">
        <w:rPr>
          <w:b/>
          <w:bCs/>
          <w:noProof/>
          <w:spacing w:val="-4"/>
        </w:rPr>
        <w:t>.</w:t>
      </w:r>
      <w:r w:rsidR="004C2449" w:rsidRPr="00282AC9">
        <w:rPr>
          <w:b/>
          <w:bCs/>
          <w:noProof/>
          <w:spacing w:val="-4"/>
        </w:rPr>
        <w:t>com</w:t>
      </w:r>
    </w:p>
    <w:sectPr w:rsidR="00C9403B" w:rsidRPr="00282AC9" w:rsidSect="00E94E45">
      <w:headerReference w:type="first" r:id="rId188"/>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E34" w:rsidRDefault="00487E34" w:rsidP="00D87709">
      <w:pPr>
        <w:spacing w:line="240" w:lineRule="auto"/>
        <w:ind w:firstLine="0"/>
      </w:pPr>
      <w:r>
        <w:separator/>
      </w:r>
    </w:p>
  </w:endnote>
  <w:endnote w:type="continuationSeparator" w:id="0">
    <w:p w:rsidR="00487E34" w:rsidRDefault="00487E34" w:rsidP="00D87709">
      <w:pPr>
        <w:spacing w:line="240" w:lineRule="auto"/>
        <w:ind w:firstLine="0"/>
      </w:pPr>
      <w:r>
        <w:continuationSeparator/>
      </w:r>
    </w:p>
  </w:endnote>
  <w:endnote w:id="1">
    <w:p w:rsidR="00C14EDE" w:rsidRPr="00EC40E6" w:rsidRDefault="00C14EDE" w:rsidP="00966DD1">
      <w:pPr>
        <w:spacing w:line="300" w:lineRule="exact"/>
        <w:ind w:firstLine="0"/>
        <w:rPr>
          <w:rFonts w:cs="DanaFajr"/>
          <w:b/>
          <w:szCs w:val="28"/>
          <w:rtl/>
        </w:rPr>
      </w:pPr>
      <w:r w:rsidRPr="00EC40E6">
        <w:rPr>
          <w:rFonts w:cs="DanaFajr" w:hint="cs"/>
          <w:szCs w:val="28"/>
          <w:rtl/>
          <w:lang w:bidi="ar-LB"/>
        </w:rPr>
        <w:t>(</w:t>
      </w:r>
      <w:r w:rsidRPr="00EC40E6">
        <w:rPr>
          <w:rStyle w:val="af9"/>
          <w:rFonts w:cs="DanaFajr"/>
          <w:szCs w:val="28"/>
          <w:vertAlign w:val="baseline"/>
        </w:rPr>
        <w:endnoteRef/>
      </w:r>
      <w:r w:rsidRPr="00EC40E6">
        <w:rPr>
          <w:rFonts w:cs="DanaFajr" w:hint="cs"/>
          <w:szCs w:val="28"/>
          <w:rtl/>
          <w:lang w:bidi="ar-LB"/>
        </w:rPr>
        <w:t>) وهو أحد أشكال الوَقْف المعاصرة. و</w:t>
      </w:r>
      <w:r w:rsidRPr="00EC40E6">
        <w:rPr>
          <w:sz w:val="22"/>
          <w:szCs w:val="22"/>
          <w:rtl/>
          <w:lang w:bidi="ar-LB"/>
        </w:rPr>
        <w:t>«</w:t>
      </w:r>
      <w:r w:rsidRPr="00EC40E6">
        <w:rPr>
          <w:rFonts w:cs="DanaFajr" w:hint="cs"/>
          <w:szCs w:val="28"/>
          <w:rtl/>
          <w:lang w:bidi="ar-LB"/>
        </w:rPr>
        <w:t xml:space="preserve">هو </w:t>
      </w:r>
      <w:r w:rsidRPr="00EC40E6">
        <w:rPr>
          <w:rFonts w:cs="DanaFajr"/>
          <w:szCs w:val="28"/>
          <w:rtl/>
        </w:rPr>
        <w:t>نوع</w:t>
      </w:r>
      <w:r w:rsidRPr="00EC40E6">
        <w:rPr>
          <w:rFonts w:cs="DanaFajr" w:hint="cs"/>
          <w:szCs w:val="28"/>
          <w:rtl/>
        </w:rPr>
        <w:t>ٌ</w:t>
      </w:r>
      <w:r w:rsidRPr="00EC40E6">
        <w:rPr>
          <w:rFonts w:cs="DanaFajr"/>
          <w:szCs w:val="28"/>
          <w:rtl/>
        </w:rPr>
        <w:t xml:space="preserve"> من تقديم الإنسان لوقته في سبيل العمل الخيري</w:t>
      </w:r>
      <w:r w:rsidRPr="00EC40E6">
        <w:rPr>
          <w:rFonts w:cs="DanaFajr" w:hint="cs"/>
          <w:szCs w:val="28"/>
          <w:rtl/>
        </w:rPr>
        <w:t>ّ</w:t>
      </w:r>
      <w:r w:rsidRPr="00EC40E6">
        <w:rPr>
          <w:rFonts w:cs="DanaFajr"/>
          <w:szCs w:val="28"/>
          <w:rtl/>
        </w:rPr>
        <w:t xml:space="preserve"> والتطوّ</w:t>
      </w:r>
      <w:r w:rsidRPr="00EC40E6">
        <w:rPr>
          <w:rFonts w:cs="DanaFajr" w:hint="cs"/>
          <w:szCs w:val="28"/>
          <w:rtl/>
        </w:rPr>
        <w:t>ُ</w:t>
      </w:r>
      <w:r w:rsidRPr="00EC40E6">
        <w:rPr>
          <w:rFonts w:cs="DanaFajr"/>
          <w:szCs w:val="28"/>
          <w:rtl/>
        </w:rPr>
        <w:t>عي</w:t>
      </w:r>
      <w:r w:rsidRPr="00EC40E6">
        <w:rPr>
          <w:rFonts w:cs="DanaFajr" w:hint="cs"/>
          <w:szCs w:val="28"/>
          <w:rtl/>
        </w:rPr>
        <w:t>ّ</w:t>
      </w:r>
      <w:r w:rsidRPr="00EC40E6">
        <w:rPr>
          <w:rFonts w:cs="DanaFajr"/>
          <w:szCs w:val="28"/>
          <w:rtl/>
        </w:rPr>
        <w:t xml:space="preserve"> لخدمة الإنسان الآخر وخدمة الق</w:t>
      </w:r>
      <w:r w:rsidRPr="00EC40E6">
        <w:rPr>
          <w:rFonts w:cs="DanaFajr" w:hint="cs"/>
          <w:szCs w:val="28"/>
          <w:rtl/>
        </w:rPr>
        <w:t>ِ</w:t>
      </w:r>
      <w:r w:rsidRPr="00EC40E6">
        <w:rPr>
          <w:rFonts w:cs="DanaFajr"/>
          <w:szCs w:val="28"/>
          <w:rtl/>
        </w:rPr>
        <w:t>ي</w:t>
      </w:r>
      <w:r w:rsidRPr="00EC40E6">
        <w:rPr>
          <w:rFonts w:cs="DanaFajr" w:hint="cs"/>
          <w:szCs w:val="28"/>
          <w:rtl/>
        </w:rPr>
        <w:t>َ</w:t>
      </w:r>
      <w:r w:rsidRPr="00EC40E6">
        <w:rPr>
          <w:rFonts w:cs="DanaFajr"/>
          <w:szCs w:val="28"/>
          <w:rtl/>
        </w:rPr>
        <w:t>م والر</w:t>
      </w:r>
      <w:r w:rsidRPr="00EC40E6">
        <w:rPr>
          <w:rFonts w:cs="DanaFajr" w:hint="cs"/>
          <w:szCs w:val="28"/>
          <w:rtl/>
        </w:rPr>
        <w:t>ُّ</w:t>
      </w:r>
      <w:r w:rsidRPr="00EC40E6">
        <w:rPr>
          <w:rFonts w:cs="DanaFajr"/>
          <w:szCs w:val="28"/>
          <w:rtl/>
        </w:rPr>
        <w:t>قيّ والدين</w:t>
      </w:r>
      <w:r w:rsidRPr="00EC40E6">
        <w:rPr>
          <w:sz w:val="22"/>
          <w:szCs w:val="22"/>
          <w:rtl/>
          <w:lang w:bidi="ar-LB"/>
        </w:rPr>
        <w:t>»</w:t>
      </w:r>
      <w:r w:rsidRPr="00EC40E6">
        <w:rPr>
          <w:rFonts w:cs="DanaFajr" w:hint="cs"/>
          <w:szCs w:val="28"/>
          <w:rtl/>
          <w:lang w:bidi="ar-LB"/>
        </w:rPr>
        <w:t>.</w:t>
      </w:r>
      <w:r w:rsidRPr="00EC40E6">
        <w:rPr>
          <w:rFonts w:cs="DanaFajr" w:hint="cs"/>
          <w:szCs w:val="28"/>
          <w:rtl/>
        </w:rPr>
        <w:t xml:space="preserve"> (راجِعْ: الشيخ حيدر حبّ الله، مقالةٌ بعنوان: </w:t>
      </w:r>
      <w:r w:rsidRPr="00EC40E6">
        <w:rPr>
          <w:sz w:val="22"/>
          <w:szCs w:val="22"/>
          <w:rtl/>
          <w:lang w:bidi="ar-LB"/>
        </w:rPr>
        <w:t>«</w:t>
      </w:r>
      <w:r w:rsidRPr="00EC40E6">
        <w:rPr>
          <w:rFonts w:cs="DanaFajr"/>
          <w:szCs w:val="28"/>
          <w:rtl/>
        </w:rPr>
        <w:t>وقف الوقت</w:t>
      </w:r>
      <w:bookmarkStart w:id="4" w:name="_Toc495187886"/>
      <w:r w:rsidRPr="00EC40E6">
        <w:rPr>
          <w:rFonts w:cs="DanaFajr" w:hint="cs"/>
          <w:szCs w:val="28"/>
          <w:rtl/>
        </w:rPr>
        <w:t xml:space="preserve">، </w:t>
      </w:r>
      <w:r w:rsidRPr="00EC40E6">
        <w:rPr>
          <w:rFonts w:cs="DanaFajr"/>
          <w:szCs w:val="28"/>
          <w:rtl/>
        </w:rPr>
        <w:t>مطالعة</w:t>
      </w:r>
      <w:r w:rsidRPr="00EC40E6">
        <w:rPr>
          <w:rFonts w:cs="DanaFajr" w:hint="cs"/>
          <w:szCs w:val="28"/>
          <w:rtl/>
        </w:rPr>
        <w:t>ٌ</w:t>
      </w:r>
      <w:r w:rsidRPr="00EC40E6">
        <w:rPr>
          <w:rFonts w:cs="DanaFajr"/>
          <w:szCs w:val="28"/>
          <w:rtl/>
        </w:rPr>
        <w:t xml:space="preserve"> فقهي</w:t>
      </w:r>
      <w:r w:rsidRPr="00EC40E6">
        <w:rPr>
          <w:rFonts w:cs="DanaFajr" w:hint="cs"/>
          <w:szCs w:val="28"/>
          <w:rtl/>
        </w:rPr>
        <w:t>ّ</w:t>
      </w:r>
      <w:r w:rsidRPr="00EC40E6">
        <w:rPr>
          <w:rFonts w:cs="DanaFajr"/>
          <w:szCs w:val="28"/>
          <w:rtl/>
        </w:rPr>
        <w:t>ة</w:t>
      </w:r>
      <w:r w:rsidRPr="00EC40E6">
        <w:rPr>
          <w:rFonts w:cs="DanaFajr" w:hint="cs"/>
          <w:szCs w:val="28"/>
          <w:rtl/>
        </w:rPr>
        <w:t>ٌ</w:t>
      </w:r>
      <w:r w:rsidRPr="00EC40E6">
        <w:rPr>
          <w:rFonts w:cs="DanaFajr"/>
          <w:szCs w:val="28"/>
          <w:rtl/>
        </w:rPr>
        <w:t xml:space="preserve"> أوّلي</w:t>
      </w:r>
      <w:r w:rsidRPr="00EC40E6">
        <w:rPr>
          <w:rFonts w:cs="DanaFajr" w:hint="cs"/>
          <w:szCs w:val="28"/>
          <w:rtl/>
        </w:rPr>
        <w:t>ّ</w:t>
      </w:r>
      <w:r w:rsidRPr="00EC40E6">
        <w:rPr>
          <w:rFonts w:cs="DanaFajr"/>
          <w:szCs w:val="28"/>
          <w:rtl/>
        </w:rPr>
        <w:t>ة</w:t>
      </w:r>
      <w:r w:rsidRPr="00EC40E6">
        <w:rPr>
          <w:rFonts w:cs="DanaFajr" w:hint="cs"/>
          <w:szCs w:val="28"/>
          <w:rtl/>
        </w:rPr>
        <w:t>ٌ</w:t>
      </w:r>
      <w:r w:rsidRPr="00EC40E6">
        <w:rPr>
          <w:rFonts w:cs="DanaFajr"/>
          <w:szCs w:val="28"/>
          <w:rtl/>
        </w:rPr>
        <w:t xml:space="preserve"> في وقف المنفعة والعمل التطوّ</w:t>
      </w:r>
      <w:r w:rsidRPr="00EC40E6">
        <w:rPr>
          <w:rFonts w:cs="DanaFajr" w:hint="cs"/>
          <w:szCs w:val="28"/>
          <w:rtl/>
        </w:rPr>
        <w:t>ُ</w:t>
      </w:r>
      <w:r w:rsidRPr="00EC40E6">
        <w:rPr>
          <w:rFonts w:cs="DanaFajr"/>
          <w:szCs w:val="28"/>
          <w:rtl/>
        </w:rPr>
        <w:t>عي</w:t>
      </w:r>
      <w:bookmarkEnd w:id="4"/>
      <w:r w:rsidRPr="00EC40E6">
        <w:rPr>
          <w:sz w:val="22"/>
          <w:szCs w:val="22"/>
          <w:rtl/>
          <w:lang w:bidi="ar-LB"/>
        </w:rPr>
        <w:t>»</w:t>
      </w:r>
      <w:r w:rsidRPr="00EC40E6">
        <w:rPr>
          <w:rFonts w:cs="DanaFajr" w:hint="cs"/>
          <w:szCs w:val="28"/>
          <w:rtl/>
        </w:rPr>
        <w:t xml:space="preserve">، في مجلّة الاجتهاد والتجديد، العدد 44: 235، </w:t>
      </w:r>
      <w:r w:rsidRPr="00EC40E6">
        <w:rPr>
          <w:rFonts w:cs="DanaFajr" w:hint="cs"/>
          <w:b/>
          <w:szCs w:val="28"/>
          <w:rtl/>
        </w:rPr>
        <w:t>السنة الحادية عشرة، خريف 2017م ـ 1439هـ</w:t>
      </w:r>
      <w:r w:rsidRPr="00EC40E6">
        <w:rPr>
          <w:rFonts w:cs="DanaFajr" w:hint="cs"/>
          <w:szCs w:val="28"/>
          <w:rtl/>
        </w:rPr>
        <w:t>).</w:t>
      </w:r>
    </w:p>
  </w:endnote>
  <w:endnote w:id="2">
    <w:p w:rsidR="00C14EDE" w:rsidRDefault="00C14EDE" w:rsidP="00966DD1">
      <w:pPr>
        <w:spacing w:line="300" w:lineRule="exact"/>
        <w:ind w:firstLine="0"/>
        <w:rPr>
          <w:rFonts w:cs="DanaFajr"/>
          <w:szCs w:val="28"/>
          <w:rtl/>
        </w:rPr>
      </w:pPr>
      <w:r w:rsidRPr="00EC40E6">
        <w:rPr>
          <w:rFonts w:cs="DanaFajr" w:hint="cs"/>
          <w:szCs w:val="28"/>
          <w:rtl/>
          <w:lang w:bidi="ar-LB"/>
        </w:rPr>
        <w:t>(</w:t>
      </w:r>
      <w:r w:rsidRPr="00EC40E6">
        <w:rPr>
          <w:rStyle w:val="af9"/>
          <w:rFonts w:cs="DanaFajr"/>
          <w:szCs w:val="28"/>
          <w:vertAlign w:val="baseline"/>
        </w:rPr>
        <w:endnoteRef/>
      </w:r>
      <w:r w:rsidRPr="00EC40E6">
        <w:rPr>
          <w:rFonts w:cs="DanaFajr" w:hint="cs"/>
          <w:szCs w:val="28"/>
          <w:rtl/>
          <w:lang w:bidi="ar-LB"/>
        </w:rPr>
        <w:t>)</w:t>
      </w:r>
      <w:r w:rsidRPr="00EC40E6">
        <w:rPr>
          <w:rFonts w:cs="DanaFajr" w:hint="cs"/>
          <w:szCs w:val="28"/>
          <w:rtl/>
        </w:rPr>
        <w:t xml:space="preserve"> </w:t>
      </w:r>
      <w:r>
        <w:rPr>
          <w:rFonts w:cs="DanaFajr" w:hint="cs"/>
          <w:szCs w:val="28"/>
          <w:rtl/>
        </w:rPr>
        <w:t>راجِعْ: المصدر السابق.</w:t>
      </w:r>
    </w:p>
    <w:p w:rsidR="00C14EDE" w:rsidRPr="00EC40E6" w:rsidRDefault="00C14EDE" w:rsidP="00966DD1">
      <w:pPr>
        <w:spacing w:line="300" w:lineRule="exact"/>
        <w:ind w:firstLine="0"/>
        <w:rPr>
          <w:rFonts w:cs="DanaFajr"/>
          <w:szCs w:val="28"/>
          <w:rtl/>
          <w:lang w:bidi="ar-LB"/>
        </w:rPr>
      </w:pPr>
      <w:r>
        <w:rPr>
          <w:rFonts w:cs="DanaFajr" w:hint="cs"/>
          <w:szCs w:val="28"/>
          <w:rtl/>
        </w:rPr>
        <w:t xml:space="preserve">هذا، مع الإشارة إلى أننا قد نكون </w:t>
      </w:r>
      <w:r w:rsidRPr="00EC40E6">
        <w:rPr>
          <w:rFonts w:cs="DanaFajr" w:hint="cs"/>
          <w:szCs w:val="28"/>
          <w:rtl/>
        </w:rPr>
        <w:t>مضطرِّين لذلك في بعض الأحيان؛ توضيحاً لبعض الخافيات، أو تأكيداً للواضحات، إلاّ أن الإشكال في الإطالة والإسهاب</w:t>
      </w:r>
      <w:r w:rsidRPr="00EC40E6">
        <w:rPr>
          <w:rFonts w:cs="DanaFajr" w:hint="cs"/>
          <w:szCs w:val="28"/>
          <w:rtl/>
          <w:lang w:bidi="ar-LB"/>
        </w:rPr>
        <w:t>.</w:t>
      </w:r>
    </w:p>
  </w:endnote>
  <w:endnote w:id="3">
    <w:p w:rsidR="00C14EDE" w:rsidRPr="00282AC9" w:rsidRDefault="00C14EDE" w:rsidP="00292BB8">
      <w:pPr>
        <w:pStyle w:val="af7"/>
        <w:spacing w:line="296" w:lineRule="exact"/>
        <w:ind w:firstLine="0"/>
        <w:rPr>
          <w:rFonts w:cs="DanaFajr"/>
          <w:szCs w:val="28"/>
          <w:rtl/>
          <w:lang w:bidi="ar-LB"/>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hint="cs"/>
          <w:szCs w:val="28"/>
          <w:rtl/>
          <w:lang w:bidi="ar-LB"/>
        </w:rPr>
        <w:t xml:space="preserve">يمثِّل هذا البحث تقريراً لمحاضرات الشيخ الأستاذ صادق اللاريجاني(حفظه الله)، في دَوْرته الأصولية الثانية، عندما كان يبحث في مبادئ علم الأصول عن المبادئ المتعلِّقة بالحكم الشرعيّ. وقد استغرق البحث عن هذه المسألة تسعة مجالس تقريباً، لمدّة أسبوعين أو أكثر من السنة الدراسيّة (1426 ـ 1427هـ). </w:t>
      </w:r>
    </w:p>
    <w:p w:rsidR="00C14EDE" w:rsidRPr="00282AC9" w:rsidRDefault="00C14EDE" w:rsidP="00292BB8">
      <w:pPr>
        <w:pStyle w:val="af7"/>
        <w:spacing w:line="296" w:lineRule="exact"/>
        <w:ind w:firstLine="0"/>
        <w:rPr>
          <w:rFonts w:cs="DanaFajr"/>
          <w:sz w:val="28"/>
          <w:szCs w:val="28"/>
          <w:rtl/>
        </w:rPr>
      </w:pPr>
      <w:r w:rsidRPr="00282AC9">
        <w:rPr>
          <w:rFonts w:cs="DanaFajr" w:hint="cs"/>
          <w:sz w:val="28"/>
          <w:szCs w:val="28"/>
          <w:rtl/>
          <w:lang w:bidi="ar-LB"/>
        </w:rPr>
        <w:t xml:space="preserve">وقد ألحَقْنا بها ما أفاده سماحته بعدها، أو ما كان له دَخْلٌ في إغناء البحث، من تنسيقاتٍ أو زياداتٍ أو تقديماتٍ وتأخيراتٍ، ممّا قد صحَّحه سماحته بالكامل، بعد الملاحظة النهائية سَطْراً بعد سطرٍ. وقد أثبتنا في الهامش بعض الأمور ممّا قد لا يخلو من فائدةٍ </w:t>
      </w:r>
      <w:r w:rsidRPr="00282AC9">
        <w:rPr>
          <w:rFonts w:cs="DanaFajr"/>
          <w:sz w:val="28"/>
          <w:szCs w:val="28"/>
          <w:rtl/>
          <w:lang w:bidi="ar-LB"/>
        </w:rPr>
        <w:t>ـ</w:t>
      </w:r>
      <w:r w:rsidRPr="00282AC9">
        <w:rPr>
          <w:rFonts w:cs="DanaFajr" w:hint="cs"/>
          <w:sz w:val="28"/>
          <w:szCs w:val="28"/>
          <w:rtl/>
          <w:lang w:bidi="ar-LB"/>
        </w:rPr>
        <w:t xml:space="preserve"> وهي مُلاحَظَةٌ أيضاً، ومؤيَّدة في الغالب </w:t>
      </w:r>
      <w:r w:rsidRPr="00282AC9">
        <w:rPr>
          <w:rFonts w:cs="DanaFajr"/>
          <w:sz w:val="28"/>
          <w:szCs w:val="28"/>
          <w:rtl/>
          <w:lang w:bidi="ar-LB"/>
        </w:rPr>
        <w:t>ـ</w:t>
      </w:r>
      <w:r w:rsidRPr="00282AC9">
        <w:rPr>
          <w:rFonts w:cs="DanaFajr" w:hint="cs"/>
          <w:sz w:val="28"/>
          <w:szCs w:val="28"/>
          <w:rtl/>
          <w:lang w:bidi="ar-LB"/>
        </w:rPr>
        <w:t>، وترَكْنا بعضاً آخر عسى أن يتيسَّر الكلام عنها في مجالٍ أوسع إنْ شاء الله. وزعمي أنّ مقتضى طبيعة هذه المسائل، التي لم يشبع البحث عنها مستقلاًّ لدى الأصحاب، أن تكون بحاجةٍ أكثر إلى تضارب الحجج والآراء فيها، والعصمةُ عند أهلها، والله المستعان.</w:t>
      </w:r>
    </w:p>
  </w:endnote>
  <w:endnote w:id="4">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w:t>
      </w:r>
      <w:r w:rsidRPr="00282AC9">
        <w:rPr>
          <w:rFonts w:cs="DanaFajr" w:hint="cs"/>
          <w:sz w:val="28"/>
          <w:szCs w:val="28"/>
          <w:rtl/>
          <w:lang w:bidi="ar-LB"/>
        </w:rPr>
        <w:t xml:space="preserve"> الشيخ مرتضى الأنصاري، فرائد الأصول 1: 25، 1425هـ.</w:t>
      </w:r>
    </w:p>
  </w:endnote>
  <w:endnote w:id="5">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w:t>
      </w:r>
      <w:r w:rsidRPr="00282AC9">
        <w:rPr>
          <w:rFonts w:cs="DanaFajr" w:hint="cs"/>
          <w:sz w:val="28"/>
          <w:szCs w:val="28"/>
          <w:rtl/>
          <w:lang w:bidi="ar-LB"/>
        </w:rPr>
        <w:t xml:space="preserve"> أبو الحسن الشعراني، المدخل الى عذب المنهل: 325، 1373هـ.ش</w:t>
      </w:r>
      <w:r w:rsidRPr="00282AC9">
        <w:rPr>
          <w:rFonts w:cs="DanaFajr" w:hint="cs"/>
          <w:sz w:val="28"/>
          <w:szCs w:val="28"/>
          <w:rtl/>
        </w:rPr>
        <w:t>.</w:t>
      </w:r>
    </w:p>
  </w:endnote>
  <w:endnote w:id="6">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lang w:bidi="ar-LB"/>
        </w:rPr>
        <w:t>المحق</w:t>
      </w:r>
      <w:r w:rsidRPr="00282AC9">
        <w:rPr>
          <w:rFonts w:cs="DanaFajr" w:hint="cs"/>
          <w:sz w:val="28"/>
          <w:szCs w:val="28"/>
          <w:rtl/>
          <w:lang w:bidi="ar-LB"/>
        </w:rPr>
        <w:t>ِّ</w:t>
      </w:r>
      <w:r w:rsidRPr="00282AC9">
        <w:rPr>
          <w:rFonts w:cs="DanaFajr"/>
          <w:sz w:val="28"/>
          <w:szCs w:val="28"/>
          <w:rtl/>
          <w:lang w:bidi="ar-LB"/>
        </w:rPr>
        <w:t>ق الخراساني، درر الفوائد</w:t>
      </w:r>
      <w:r w:rsidRPr="00282AC9">
        <w:rPr>
          <w:rFonts w:cs="DanaFajr" w:hint="cs"/>
          <w:sz w:val="28"/>
          <w:szCs w:val="28"/>
          <w:rtl/>
          <w:lang w:bidi="ar-LB"/>
        </w:rPr>
        <w:t>: 132</w:t>
      </w:r>
      <w:r w:rsidRPr="00282AC9">
        <w:rPr>
          <w:rFonts w:cs="DanaFajr"/>
          <w:sz w:val="28"/>
          <w:szCs w:val="28"/>
          <w:rtl/>
          <w:lang w:bidi="ar-LB"/>
        </w:rPr>
        <w:t>، 1</w:t>
      </w:r>
      <w:r w:rsidRPr="00282AC9">
        <w:rPr>
          <w:rFonts w:cs="DanaFajr" w:hint="cs"/>
          <w:sz w:val="28"/>
          <w:szCs w:val="28"/>
          <w:rtl/>
          <w:lang w:bidi="ar-LB"/>
        </w:rPr>
        <w:t>4</w:t>
      </w:r>
      <w:r w:rsidRPr="00282AC9">
        <w:rPr>
          <w:rFonts w:cs="DanaFajr"/>
          <w:sz w:val="28"/>
          <w:szCs w:val="28"/>
          <w:rtl/>
          <w:lang w:bidi="ar-LB"/>
        </w:rPr>
        <w:t>17</w:t>
      </w:r>
      <w:r w:rsidRPr="00282AC9">
        <w:rPr>
          <w:rFonts w:cs="DanaFajr" w:hint="cs"/>
          <w:sz w:val="28"/>
          <w:szCs w:val="28"/>
          <w:rtl/>
          <w:lang w:bidi="ar-LB"/>
        </w:rPr>
        <w:t>هـ.</w:t>
      </w:r>
    </w:p>
    <w:p w:rsidR="00C14EDE" w:rsidRPr="00282AC9" w:rsidRDefault="00C14EDE" w:rsidP="00195826">
      <w:pPr>
        <w:pStyle w:val="af7"/>
        <w:spacing w:line="296" w:lineRule="exact"/>
        <w:ind w:firstLine="0"/>
        <w:rPr>
          <w:rFonts w:cs="DanaFajr"/>
          <w:sz w:val="28"/>
          <w:szCs w:val="28"/>
          <w:rtl/>
          <w:lang w:bidi="ar-LB"/>
        </w:rPr>
      </w:pPr>
      <w:r w:rsidRPr="00282AC9">
        <w:rPr>
          <w:rFonts w:cs="DanaFajr" w:hint="cs"/>
          <w:sz w:val="28"/>
          <w:szCs w:val="28"/>
          <w:rtl/>
        </w:rPr>
        <w:t xml:space="preserve">وفي حاشية المشكيني على الكفاية 2: 28 (منشورات دار الحكمة): </w:t>
      </w:r>
      <w:r w:rsidRPr="00282AC9">
        <w:rPr>
          <w:rFonts w:hint="eastAsia"/>
          <w:sz w:val="22"/>
          <w:szCs w:val="22"/>
          <w:rtl/>
        </w:rPr>
        <w:t>«</w:t>
      </w:r>
      <w:r w:rsidRPr="00282AC9">
        <w:rPr>
          <w:rFonts w:cs="DanaFajr" w:hint="cs"/>
          <w:sz w:val="28"/>
          <w:szCs w:val="28"/>
          <w:rtl/>
        </w:rPr>
        <w:t>ويشهد لما ذكرنا من أنّ عدم الخلوّ إنّما هو في الأحكام الواقعية، لا الفعلية، ما نقل عن سيِّد الموحِّدين</w:t>
      </w:r>
      <w:r w:rsidRPr="00282AC9">
        <w:rPr>
          <w:rFonts w:ascii="Mosawi" w:hAnsi="Mosawi" w:cs="Mosawi"/>
          <w:rtl/>
        </w:rPr>
        <w:t>ﷺ</w:t>
      </w:r>
      <w:r w:rsidRPr="00282AC9">
        <w:rPr>
          <w:rFonts w:cs="DanaFajr" w:hint="cs"/>
          <w:sz w:val="28"/>
          <w:szCs w:val="28"/>
          <w:rtl/>
        </w:rPr>
        <w:t>: إن الله تعالى سكت عن أشياء، ولم يسكت عنها نسياناً...، الخبر. (وسائل الشيعة 18: 129 الباب 12 من أبواب صفات القاضي، ح61)، فإن نسيانها كنايةٌ عن عدم بلوغها الى المرتبة الفعلية</w:t>
      </w:r>
      <w:r w:rsidRPr="00282AC9">
        <w:rPr>
          <w:rFonts w:hint="eastAsia"/>
          <w:sz w:val="22"/>
          <w:szCs w:val="22"/>
          <w:rtl/>
        </w:rPr>
        <w:t>»</w:t>
      </w:r>
      <w:r w:rsidRPr="00282AC9">
        <w:rPr>
          <w:rFonts w:cs="DanaFajr" w:hint="cs"/>
          <w:sz w:val="28"/>
          <w:szCs w:val="28"/>
          <w:rtl/>
        </w:rPr>
        <w:t xml:space="preserve">. والصحيح: </w:t>
      </w:r>
      <w:r w:rsidRPr="00282AC9">
        <w:rPr>
          <w:rFonts w:hint="eastAsia"/>
          <w:sz w:val="22"/>
          <w:szCs w:val="22"/>
          <w:rtl/>
        </w:rPr>
        <w:t>«</w:t>
      </w:r>
      <w:r w:rsidRPr="00282AC9">
        <w:rPr>
          <w:rFonts w:cs="DanaFajr" w:hint="cs"/>
          <w:sz w:val="28"/>
          <w:szCs w:val="28"/>
          <w:rtl/>
        </w:rPr>
        <w:t>عدم نسيانها</w:t>
      </w:r>
      <w:r w:rsidRPr="00282AC9">
        <w:rPr>
          <w:rFonts w:hint="eastAsia"/>
          <w:sz w:val="22"/>
          <w:szCs w:val="22"/>
          <w:rtl/>
        </w:rPr>
        <w:t>»</w:t>
      </w:r>
      <w:r w:rsidRPr="00282AC9">
        <w:rPr>
          <w:rFonts w:cs="DanaFajr" w:hint="cs"/>
          <w:sz w:val="28"/>
          <w:szCs w:val="28"/>
          <w:rtl/>
        </w:rPr>
        <w:t xml:space="preserve"> وإلاّ كانت دالّةً على العكس، كما لا يخفى.</w:t>
      </w:r>
    </w:p>
  </w:endnote>
  <w:endnote w:id="7">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w:t>
      </w:r>
      <w:r w:rsidRPr="00282AC9">
        <w:rPr>
          <w:rFonts w:cs="DanaFajr"/>
          <w:sz w:val="28"/>
          <w:szCs w:val="28"/>
          <w:rtl/>
          <w:lang w:bidi="ar-LB"/>
        </w:rPr>
        <w:t>المحق</w:t>
      </w:r>
      <w:r w:rsidRPr="00282AC9">
        <w:rPr>
          <w:rFonts w:cs="DanaFajr" w:hint="cs"/>
          <w:sz w:val="28"/>
          <w:szCs w:val="28"/>
          <w:rtl/>
          <w:lang w:bidi="ar-LB"/>
        </w:rPr>
        <w:t>ِّ</w:t>
      </w:r>
      <w:r w:rsidRPr="00282AC9">
        <w:rPr>
          <w:rFonts w:cs="DanaFajr"/>
          <w:sz w:val="28"/>
          <w:szCs w:val="28"/>
          <w:rtl/>
          <w:lang w:bidi="ar-LB"/>
        </w:rPr>
        <w:t>ق الخراساني، درر الفوائد</w:t>
      </w:r>
      <w:r w:rsidRPr="00282AC9">
        <w:rPr>
          <w:rFonts w:cs="DanaFajr" w:hint="cs"/>
          <w:sz w:val="28"/>
          <w:szCs w:val="28"/>
          <w:rtl/>
          <w:lang w:bidi="ar-LB"/>
        </w:rPr>
        <w:t>: 249</w:t>
      </w:r>
      <w:r w:rsidRPr="00282AC9">
        <w:rPr>
          <w:rFonts w:cs="DanaFajr" w:hint="cs"/>
          <w:sz w:val="28"/>
          <w:szCs w:val="28"/>
          <w:rtl/>
        </w:rPr>
        <w:t>.</w:t>
      </w:r>
    </w:p>
  </w:endnote>
  <w:endnote w:id="8">
    <w:p w:rsidR="00C14EDE" w:rsidRPr="00282AC9" w:rsidRDefault="00C14EDE" w:rsidP="00195826">
      <w:pPr>
        <w:pStyle w:val="af7"/>
        <w:spacing w:line="296" w:lineRule="exact"/>
        <w:ind w:firstLine="0"/>
        <w:rPr>
          <w:rFonts w:cs="DanaFajr"/>
          <w:sz w:val="28"/>
          <w:szCs w:val="28"/>
          <w:rtl/>
          <w:lang w:bidi="ar-LB"/>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التقوي الاشتهاردي، تنقيح الأصول (تقرير بحث القائد) 2: 115، مؤسَّسة تنظيم ونشر آثار الإمام الخميني، 1418هـ.</w:t>
      </w:r>
    </w:p>
  </w:endnote>
  <w:endnote w:id="9">
    <w:p w:rsidR="00C14EDE" w:rsidRPr="00282AC9" w:rsidRDefault="00C14EDE" w:rsidP="00195826">
      <w:pPr>
        <w:pStyle w:val="af7"/>
        <w:spacing w:line="296" w:lineRule="exact"/>
        <w:ind w:firstLine="0"/>
        <w:rPr>
          <w:rFonts w:cs="DanaFajr"/>
          <w:sz w:val="28"/>
          <w:szCs w:val="28"/>
          <w:rtl/>
          <w:lang w:bidi="ar-LB"/>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الفاضل اللنكراني، معتمد الأصول 1: 123، 1423هـ.</w:t>
      </w:r>
    </w:p>
  </w:endnote>
  <w:endnote w:id="10">
    <w:p w:rsidR="00C14EDE" w:rsidRPr="00282AC9" w:rsidRDefault="00C14EDE" w:rsidP="00195826">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هذا على المشهور؛ وأما على ما ذهب إليه المحقِّق الأصفهاني</w:t>
      </w:r>
      <w:r w:rsidRPr="00282AC9">
        <w:rPr>
          <w:rFonts w:cs="Mosawi" w:hint="cs"/>
          <w:rtl/>
        </w:rPr>
        <w:t>&amp;</w:t>
      </w:r>
      <w:r w:rsidRPr="00282AC9">
        <w:rPr>
          <w:rFonts w:cs="DanaFajr" w:hint="cs"/>
          <w:sz w:val="28"/>
          <w:szCs w:val="28"/>
          <w:rtl/>
        </w:rPr>
        <w:t>، من المنع عن الإرادة والكراهة في أحكام الله تعالى، فمن الواضح أنّ خلوّ الواقع منهما لا يعني خلوّه من البعث والزجر؛ فإنهما منبعثان عنده عن المصالح والمفاسد، لا عن الإرادة والكراهة، فيتَّجه البحث عندئذٍ حتّى على القول بخلوّ الواقع عنهما.</w:t>
      </w:r>
    </w:p>
  </w:endnote>
  <w:endnote w:id="11">
    <w:p w:rsidR="00C14EDE" w:rsidRPr="00282AC9" w:rsidRDefault="00C14EDE" w:rsidP="00195826">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 xml:space="preserve">وفي حاشية المشكيني على الكفاية أنّ عدم الخلوّ لا ينافي إمكانه، حيث قال: </w:t>
      </w:r>
      <w:r w:rsidRPr="00282AC9">
        <w:rPr>
          <w:rFonts w:hint="eastAsia"/>
          <w:sz w:val="22"/>
          <w:szCs w:val="22"/>
          <w:rtl/>
        </w:rPr>
        <w:t>«</w:t>
      </w:r>
      <w:r w:rsidRPr="00282AC9">
        <w:rPr>
          <w:rFonts w:cs="DanaFajr" w:hint="cs"/>
          <w:sz w:val="28"/>
          <w:szCs w:val="28"/>
          <w:rtl/>
        </w:rPr>
        <w:t>وهذا أيضاً ممكنٌ ولا ينافيه عدم خلوّ الواقعة عن الحكم؛ لأنه لا ينافي دعوى الإمكان</w:t>
      </w:r>
      <w:r w:rsidRPr="00282AC9">
        <w:rPr>
          <w:rFonts w:hint="eastAsia"/>
          <w:sz w:val="22"/>
          <w:szCs w:val="22"/>
          <w:rtl/>
        </w:rPr>
        <w:t>»</w:t>
      </w:r>
      <w:r w:rsidRPr="00282AC9">
        <w:rPr>
          <w:rFonts w:cs="DanaFajr" w:hint="cs"/>
          <w:sz w:val="28"/>
          <w:szCs w:val="28"/>
          <w:rtl/>
        </w:rPr>
        <w:t>. (</w:t>
      </w:r>
      <w:r w:rsidRPr="00282AC9">
        <w:rPr>
          <w:rFonts w:cs="DanaFajr" w:hint="cs"/>
          <w:sz w:val="28"/>
          <w:szCs w:val="28"/>
          <w:rtl/>
          <w:lang w:bidi="ar-LB"/>
        </w:rPr>
        <w:t>أبو الحسن المشكيني، الحاشية على الكفاية</w:t>
      </w:r>
      <w:r w:rsidRPr="00282AC9">
        <w:rPr>
          <w:rFonts w:cs="DanaFajr" w:hint="cs"/>
          <w:sz w:val="28"/>
          <w:szCs w:val="28"/>
          <w:rtl/>
        </w:rPr>
        <w:t xml:space="preserve"> 2: 72</w:t>
      </w:r>
      <w:r w:rsidRPr="00282AC9">
        <w:rPr>
          <w:rFonts w:cs="DanaFajr" w:hint="cs"/>
          <w:sz w:val="28"/>
          <w:szCs w:val="28"/>
          <w:rtl/>
          <w:lang w:bidi="ar-LB"/>
        </w:rPr>
        <w:t>، قم المقدَّسة، انتشارات لقمان، 1413هـ</w:t>
      </w:r>
      <w:r w:rsidRPr="00282AC9">
        <w:rPr>
          <w:rFonts w:cs="DanaFajr" w:hint="cs"/>
          <w:sz w:val="28"/>
          <w:szCs w:val="28"/>
          <w:rtl/>
        </w:rPr>
        <w:t>).</w:t>
      </w:r>
    </w:p>
  </w:endnote>
  <w:endnote w:id="12">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زين الدين العاملي (الشهيد الثاني)، تمهيد القواعد: 321، مكتب الإعلام الإسلامي، 1214هـ</w:t>
      </w:r>
      <w:r w:rsidRPr="00282AC9">
        <w:rPr>
          <w:rFonts w:cs="DanaFajr" w:hint="cs"/>
          <w:sz w:val="28"/>
          <w:szCs w:val="28"/>
          <w:rtl/>
        </w:rPr>
        <w:t>.</w:t>
      </w:r>
    </w:p>
  </w:endnote>
  <w:endnote w:id="13">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hint="cs"/>
          <w:sz w:val="28"/>
          <w:szCs w:val="28"/>
          <w:rtl/>
          <w:lang w:bidi="ar-LB"/>
        </w:rPr>
        <w:t>المحقِّق الخراساني، فوائد الأصول: 313، 1407هـ</w:t>
      </w:r>
      <w:r w:rsidRPr="00282AC9">
        <w:rPr>
          <w:rFonts w:cs="DanaFajr" w:hint="cs"/>
          <w:sz w:val="28"/>
          <w:szCs w:val="28"/>
          <w:rtl/>
        </w:rPr>
        <w:t>.</w:t>
      </w:r>
    </w:p>
  </w:endnote>
  <w:endnote w:id="14">
    <w:p w:rsidR="00C14EDE" w:rsidRPr="00282AC9" w:rsidRDefault="00C14EDE" w:rsidP="00195826">
      <w:pPr>
        <w:pStyle w:val="af7"/>
        <w:spacing w:line="296" w:lineRule="exact"/>
        <w:ind w:firstLine="0"/>
        <w:rPr>
          <w:rFonts w:cs="DanaFajr"/>
          <w:sz w:val="28"/>
          <w:szCs w:val="28"/>
          <w:highlight w:val="yellow"/>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hint="cs"/>
          <w:sz w:val="28"/>
          <w:szCs w:val="28"/>
          <w:rtl/>
          <w:lang w:bidi="ar-LB"/>
        </w:rPr>
        <w:t>السيد روح الله الموسوي الخميني، مناهج الأصول إلى علم الأصول 2: 18، مؤسّسة تنظيم ونشر آثار الإمام الخميني، قم، 1415هـ</w:t>
      </w:r>
      <w:r w:rsidRPr="00282AC9">
        <w:rPr>
          <w:rFonts w:cs="DanaFajr" w:hint="cs"/>
          <w:sz w:val="28"/>
          <w:szCs w:val="28"/>
          <w:rtl/>
        </w:rPr>
        <w:t>.</w:t>
      </w:r>
    </w:p>
  </w:endnote>
  <w:endnote w:id="15">
    <w:p w:rsidR="00C14EDE" w:rsidRPr="00282AC9" w:rsidRDefault="00C14EDE" w:rsidP="00195826">
      <w:pPr>
        <w:pStyle w:val="af7"/>
        <w:spacing w:line="296" w:lineRule="exact"/>
        <w:ind w:firstLine="0"/>
        <w:rPr>
          <w:rFonts w:cs="DanaFajr"/>
          <w:sz w:val="28"/>
          <w:szCs w:val="28"/>
          <w:rtl/>
          <w:lang w:bidi="ar-LB"/>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الميرزار حبيب الله الرشتي، بدايع الأفكار: 386، الطبعة الحجرية.</w:t>
      </w:r>
    </w:p>
  </w:endnote>
  <w:endnote w:id="16">
    <w:p w:rsidR="00C14EDE" w:rsidRPr="00282AC9" w:rsidRDefault="00C14EDE" w:rsidP="00195826">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hint="cs"/>
          <w:sz w:val="28"/>
          <w:szCs w:val="28"/>
          <w:rtl/>
          <w:lang w:bidi="ar-LB"/>
        </w:rPr>
        <w:t>الشيخ محمد حسين الأصفهاني، الفصول في الأصول: 85، 1420هـ</w:t>
      </w:r>
      <w:r w:rsidRPr="00282AC9">
        <w:rPr>
          <w:rFonts w:cs="DanaFajr" w:hint="cs"/>
          <w:sz w:val="28"/>
          <w:szCs w:val="28"/>
          <w:rtl/>
        </w:rPr>
        <w:t>.</w:t>
      </w:r>
    </w:p>
  </w:endnote>
  <w:endnote w:id="17">
    <w:p w:rsidR="00C14EDE" w:rsidRPr="00282AC9" w:rsidRDefault="00C14EDE" w:rsidP="00195826">
      <w:pPr>
        <w:pStyle w:val="af7"/>
        <w:spacing w:line="296" w:lineRule="exact"/>
        <w:ind w:firstLine="0"/>
        <w:rPr>
          <w:rFonts w:cs="DanaFajr"/>
          <w:sz w:val="28"/>
          <w:szCs w:val="28"/>
          <w:rtl/>
          <w:lang w:bidi="ar-LB"/>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الشيخ محمد تقي الأصفهاني، هداية المسترشدين: 341، مؤسّسة آل البيت</w:t>
      </w:r>
      <w:r w:rsidRPr="00282AC9">
        <w:rPr>
          <w:rFonts w:cs="Mosawi" w:hint="cs"/>
          <w:rtl/>
        </w:rPr>
        <w:t>^</w:t>
      </w:r>
      <w:r w:rsidRPr="00282AC9">
        <w:rPr>
          <w:rFonts w:cs="DanaFajr" w:hint="cs"/>
          <w:sz w:val="28"/>
          <w:szCs w:val="28"/>
          <w:rtl/>
          <w:lang w:bidi="ar-LB"/>
        </w:rPr>
        <w:t xml:space="preserve"> لإحياء التراث، قم المقدّسة.</w:t>
      </w:r>
    </w:p>
  </w:endnote>
  <w:endnote w:id="18">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المصدر السابق: 254</w:t>
      </w:r>
      <w:r w:rsidRPr="00282AC9">
        <w:rPr>
          <w:rFonts w:cs="DanaFajr" w:hint="cs"/>
          <w:sz w:val="28"/>
          <w:szCs w:val="28"/>
          <w:rtl/>
        </w:rPr>
        <w:t>.</w:t>
      </w:r>
    </w:p>
  </w:endnote>
  <w:endnote w:id="19">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الكلانتري، مطارح الأنظار 2: 339، 1425هـ</w:t>
      </w:r>
      <w:r w:rsidRPr="00282AC9">
        <w:rPr>
          <w:rFonts w:cs="DanaFajr" w:hint="cs"/>
          <w:sz w:val="28"/>
          <w:szCs w:val="28"/>
          <w:rtl/>
        </w:rPr>
        <w:t>.</w:t>
      </w:r>
    </w:p>
  </w:endnote>
  <w:endnote w:id="20">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الشيخ مرتضى الأنصاري، فرائد الأصول 2: 185، 1425</w:t>
      </w:r>
      <w:r w:rsidRPr="00282AC9">
        <w:rPr>
          <w:rFonts w:cs="DanaFajr" w:hint="cs"/>
          <w:sz w:val="28"/>
          <w:szCs w:val="28"/>
          <w:rtl/>
        </w:rPr>
        <w:t>هـ.</w:t>
      </w:r>
    </w:p>
  </w:endnote>
  <w:endnote w:id="21">
    <w:p w:rsidR="00C14EDE" w:rsidRPr="00282AC9" w:rsidRDefault="00C14EDE" w:rsidP="00195826">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لا يبعد أن يكون مراده بالدليل هو الدليل العقلي؛ نظراً إلى المقابلة بينه وبين السنّة والإجماع.</w:t>
      </w:r>
    </w:p>
  </w:endnote>
  <w:endnote w:id="22">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محمد حسين الأشتياني، بحر الفوائد 1: 86، الطبعة الحجرية، 1404هـ</w:t>
      </w:r>
      <w:r w:rsidRPr="00282AC9">
        <w:rPr>
          <w:rFonts w:cs="DanaFajr" w:hint="cs"/>
          <w:sz w:val="28"/>
          <w:szCs w:val="28"/>
          <w:rtl/>
        </w:rPr>
        <w:t>.</w:t>
      </w:r>
    </w:p>
  </w:endnote>
  <w:endnote w:id="23">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hint="cs"/>
          <w:sz w:val="28"/>
          <w:szCs w:val="28"/>
          <w:rtl/>
          <w:lang w:bidi="ar-LB"/>
        </w:rPr>
        <w:t>الشيخ مرتضى الأنصاري، فرائد الأصول 2: 145</w:t>
      </w:r>
      <w:r w:rsidRPr="00282AC9">
        <w:rPr>
          <w:rFonts w:cs="DanaFajr" w:hint="cs"/>
          <w:sz w:val="28"/>
          <w:szCs w:val="28"/>
          <w:rtl/>
        </w:rPr>
        <w:t>.</w:t>
      </w:r>
    </w:p>
  </w:endnote>
  <w:endnote w:id="24">
    <w:p w:rsidR="00C14EDE" w:rsidRPr="00282AC9" w:rsidRDefault="00C14EDE" w:rsidP="00195826">
      <w:pPr>
        <w:pStyle w:val="af7"/>
        <w:spacing w:line="296" w:lineRule="exact"/>
        <w:ind w:firstLine="0"/>
        <w:rPr>
          <w:rFonts w:cs="DanaFajr"/>
          <w:sz w:val="28"/>
          <w:szCs w:val="28"/>
          <w:rtl/>
          <w:lang w:bidi="ar-LB"/>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الآخوند الخراساني، كفاية الأصول: 469، مؤسّسة آل البيت</w:t>
      </w:r>
      <w:r w:rsidRPr="00282AC9">
        <w:rPr>
          <w:rFonts w:cs="Mosawi" w:hint="cs"/>
          <w:rtl/>
        </w:rPr>
        <w:t>^</w:t>
      </w:r>
      <w:r w:rsidRPr="00282AC9">
        <w:rPr>
          <w:rFonts w:cs="DanaFajr" w:hint="cs"/>
          <w:sz w:val="28"/>
          <w:szCs w:val="28"/>
          <w:rtl/>
          <w:lang w:bidi="ar-LB"/>
        </w:rPr>
        <w:t xml:space="preserve"> لإحياء التراث، قم، 1417هـ.</w:t>
      </w:r>
    </w:p>
  </w:endnote>
  <w:endnote w:id="25">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hint="cs"/>
          <w:sz w:val="28"/>
          <w:szCs w:val="28"/>
          <w:rtl/>
          <w:lang w:bidi="ar-LB"/>
        </w:rPr>
        <w:t>المحقِّق الخراساني، درر الفوائد: 71، 1410هـ</w:t>
      </w:r>
      <w:r w:rsidRPr="00282AC9">
        <w:rPr>
          <w:rFonts w:cs="DanaFajr" w:hint="cs"/>
          <w:sz w:val="28"/>
          <w:szCs w:val="28"/>
          <w:rtl/>
        </w:rPr>
        <w:t>.</w:t>
      </w:r>
    </w:p>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ولعلّ الجَمْع بين هذا وبين ما سبق نقله من فوائد الأصول هو المنع من الدليل العقلي، وإثبات القاعدة بالدليل النقلي.</w:t>
      </w:r>
    </w:p>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 xml:space="preserve">كما يحتمل بملاحظة السياق أن يكون كلامه هذا ناظراً إلى مسألة الاشتراك فحَسْب، بمعنى أنّ الإجماع والضرورة قاضيان باشتراك الأحكام الواقعية بين العالم والجاهل. ويضعِّفه ما سبق منه من اختصاص القاعدة بالحكم غير الفعليّ. </w:t>
      </w:r>
    </w:p>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ولكنّ الغالب على ظنّي أنّ الأكثر من هذه الإجماعات المحكيّة والتواترات المدّعاة ليست إلاّ لجهة اشتراك الأحكام بين العالم والجاهل، دون مسألة الخلوّ وعدمه.</w:t>
      </w:r>
    </w:p>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كما يحتمل أن يكون ذلك كلّه بناءً على مسلك القوم، لا على مختاره؛ أو يكون من التبدُّل في الرأي.</w:t>
      </w:r>
    </w:p>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 xml:space="preserve">ويضعِّف الكلَّ تصريحه في المصدر الأول (الفوائد) </w:t>
      </w:r>
      <w:r w:rsidRPr="00282AC9">
        <w:rPr>
          <w:rFonts w:cs="DanaFajr"/>
          <w:sz w:val="28"/>
          <w:szCs w:val="28"/>
          <w:rtl/>
        </w:rPr>
        <w:t>ـ</w:t>
      </w:r>
      <w:r w:rsidRPr="00282AC9">
        <w:rPr>
          <w:rFonts w:cs="DanaFajr" w:hint="cs"/>
          <w:sz w:val="28"/>
          <w:szCs w:val="28"/>
          <w:rtl/>
        </w:rPr>
        <w:t xml:space="preserve"> بعد قليلٍ </w:t>
      </w:r>
      <w:r w:rsidRPr="00282AC9">
        <w:rPr>
          <w:rFonts w:cs="DanaFajr"/>
          <w:sz w:val="28"/>
          <w:szCs w:val="28"/>
          <w:rtl/>
        </w:rPr>
        <w:t>ـ</w:t>
      </w:r>
      <w:r w:rsidRPr="00282AC9">
        <w:rPr>
          <w:rFonts w:cs="DanaFajr" w:hint="cs"/>
          <w:sz w:val="28"/>
          <w:szCs w:val="28"/>
          <w:rtl/>
        </w:rPr>
        <w:t xml:space="preserve"> بأن الواقعة لا تخلو من حكمٍ، كما هو مذهبنا، وقد عاتب صاحب (وقاية الأذهان) صاحب الكفاية على هذا التهافت، فراجِعْ:</w:t>
      </w:r>
      <w:r w:rsidRPr="00282AC9">
        <w:rPr>
          <w:rFonts w:cs="DanaFajr" w:hint="eastAsia"/>
          <w:sz w:val="24"/>
          <w:szCs w:val="24"/>
          <w:rtl/>
        </w:rPr>
        <w:t xml:space="preserve"> </w:t>
      </w:r>
      <w:r w:rsidRPr="00282AC9">
        <w:rPr>
          <w:rFonts w:cs="DanaFajr" w:hint="cs"/>
          <w:sz w:val="28"/>
          <w:szCs w:val="28"/>
          <w:rtl/>
          <w:lang w:bidi="ar-LB"/>
        </w:rPr>
        <w:t>الشيخ محمد رضا الأصفهاني، وقاية الأذهان</w:t>
      </w:r>
      <w:r w:rsidRPr="00282AC9">
        <w:rPr>
          <w:rFonts w:cs="DanaFajr" w:hint="cs"/>
          <w:sz w:val="28"/>
          <w:szCs w:val="28"/>
          <w:rtl/>
        </w:rPr>
        <w:t>: 348، 595</w:t>
      </w:r>
      <w:r w:rsidRPr="00282AC9">
        <w:rPr>
          <w:rFonts w:cs="DanaFajr" w:hint="cs"/>
          <w:sz w:val="28"/>
          <w:szCs w:val="28"/>
          <w:rtl/>
          <w:lang w:bidi="ar-LB"/>
        </w:rPr>
        <w:t>، مؤسّسة آل البيت</w:t>
      </w:r>
      <w:r w:rsidRPr="00282AC9">
        <w:rPr>
          <w:rFonts w:cs="Mosawi" w:hint="cs"/>
          <w:rtl/>
        </w:rPr>
        <w:t>^</w:t>
      </w:r>
      <w:r w:rsidRPr="00282AC9">
        <w:rPr>
          <w:rFonts w:cs="DanaFajr" w:hint="cs"/>
          <w:sz w:val="28"/>
          <w:szCs w:val="28"/>
          <w:rtl/>
          <w:lang w:bidi="ar-LB"/>
        </w:rPr>
        <w:t xml:space="preserve"> لإحياء التراث، قم المقدّسة، 1413هـ</w:t>
      </w:r>
      <w:r w:rsidRPr="00282AC9">
        <w:rPr>
          <w:rFonts w:cs="DanaFajr" w:hint="cs"/>
          <w:sz w:val="28"/>
          <w:szCs w:val="28"/>
          <w:rtl/>
        </w:rPr>
        <w:t>.</w:t>
      </w:r>
    </w:p>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 xml:space="preserve">وكيف كان فتواتر الأخبار وقيام الإجماع على ذلك ليس بتلك الدرجة التي لا يختلف فيها اثنان، ولذلك نرى الشيخ، على ما في (المطارح)، يقول: </w:t>
      </w:r>
      <w:r w:rsidRPr="00282AC9">
        <w:rPr>
          <w:rFonts w:hint="eastAsia"/>
          <w:sz w:val="22"/>
          <w:szCs w:val="22"/>
          <w:rtl/>
        </w:rPr>
        <w:t>«</w:t>
      </w:r>
      <w:r w:rsidRPr="00282AC9">
        <w:rPr>
          <w:rFonts w:cs="DanaFajr" w:hint="cs"/>
          <w:sz w:val="28"/>
          <w:szCs w:val="28"/>
          <w:rtl/>
        </w:rPr>
        <w:t>كما يُستفاد من جملةٍ من الأخبار</w:t>
      </w:r>
      <w:r w:rsidRPr="00282AC9">
        <w:rPr>
          <w:rFonts w:hint="eastAsia"/>
          <w:sz w:val="22"/>
          <w:szCs w:val="22"/>
          <w:rtl/>
        </w:rPr>
        <w:t>»</w:t>
      </w:r>
      <w:r w:rsidRPr="00282AC9">
        <w:rPr>
          <w:rFonts w:cs="DanaFajr" w:hint="cs"/>
          <w:sz w:val="28"/>
          <w:szCs w:val="28"/>
          <w:rtl/>
        </w:rPr>
        <w:t>. وكذا في الهداية في الأصول (تقرير بحث السيّد الخوئي</w:t>
      </w:r>
      <w:r w:rsidRPr="00282AC9">
        <w:rPr>
          <w:rFonts w:cs="Mosawi" w:hint="cs"/>
          <w:rtl/>
        </w:rPr>
        <w:t>&amp;</w:t>
      </w:r>
      <w:r w:rsidRPr="00282AC9">
        <w:rPr>
          <w:rFonts w:cs="DanaFajr" w:hint="cs"/>
          <w:sz w:val="28"/>
          <w:szCs w:val="28"/>
          <w:rtl/>
        </w:rPr>
        <w:t xml:space="preserve">): </w:t>
      </w:r>
      <w:r w:rsidRPr="00282AC9">
        <w:rPr>
          <w:rFonts w:hint="eastAsia"/>
          <w:sz w:val="22"/>
          <w:szCs w:val="22"/>
          <w:rtl/>
        </w:rPr>
        <w:t>«</w:t>
      </w:r>
      <w:r w:rsidRPr="00282AC9">
        <w:rPr>
          <w:rFonts w:cs="DanaFajr" w:hint="cs"/>
          <w:sz w:val="28"/>
          <w:szCs w:val="28"/>
          <w:rtl/>
        </w:rPr>
        <w:t>وادّعى بعضهم تواتر الأخبار على أنّ له تبارك وتعالى في كلّ واقعة حكماً يشترك فيه العالم به والجاهل</w:t>
      </w:r>
      <w:r w:rsidRPr="00282AC9">
        <w:rPr>
          <w:rFonts w:hint="eastAsia"/>
          <w:sz w:val="22"/>
          <w:szCs w:val="22"/>
          <w:rtl/>
        </w:rPr>
        <w:t>»</w:t>
      </w:r>
      <w:r w:rsidRPr="00282AC9">
        <w:rPr>
          <w:rFonts w:cs="DanaFajr" w:hint="cs"/>
          <w:sz w:val="28"/>
          <w:szCs w:val="28"/>
          <w:rtl/>
        </w:rPr>
        <w:t>. وهذا ظاهرٌ أيضاً في مسألة الاشتراك، لا في الخلوّ وعدمه. كما يتَّضح بالمراجعة. وللتحقيق مجالٌ.</w:t>
      </w:r>
    </w:p>
  </w:endnote>
  <w:endnote w:id="26">
    <w:p w:rsidR="00C14EDE" w:rsidRPr="00282AC9" w:rsidRDefault="00C14EDE" w:rsidP="00195826">
      <w:pPr>
        <w:pStyle w:val="af7"/>
        <w:spacing w:line="296" w:lineRule="exact"/>
        <w:ind w:firstLine="0"/>
        <w:rPr>
          <w:rFonts w:cs="DanaFajr"/>
          <w:sz w:val="28"/>
          <w:szCs w:val="28"/>
          <w:rtl/>
          <w:lang w:bidi="ar-LB"/>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hint="cs"/>
          <w:sz w:val="28"/>
          <w:szCs w:val="28"/>
          <w:rtl/>
          <w:lang w:bidi="ar-LB"/>
        </w:rPr>
        <w:t>الشيخ محمد تقي البروجردي، نهاية الأفكار 4 (ق2): 30، 1422هـ.</w:t>
      </w:r>
    </w:p>
  </w:endnote>
  <w:endnote w:id="27">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السيد محمد الواعظ البهسودي، مصباح الأصول: 3، 445، مكتبة الداوري، قم، 1417هـ</w:t>
      </w:r>
      <w:r w:rsidRPr="00282AC9">
        <w:rPr>
          <w:rFonts w:cs="DanaFajr" w:hint="cs"/>
          <w:sz w:val="28"/>
          <w:szCs w:val="28"/>
          <w:rtl/>
        </w:rPr>
        <w:t>.</w:t>
      </w:r>
    </w:p>
  </w:endnote>
  <w:endnote w:id="28">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hint="cs"/>
          <w:sz w:val="28"/>
          <w:szCs w:val="28"/>
          <w:rtl/>
          <w:lang w:bidi="ar-LB"/>
        </w:rPr>
        <w:t>المحقِّق الخراساني، فوائد الأصول: 312، 1407هـ</w:t>
      </w:r>
      <w:r w:rsidRPr="00282AC9">
        <w:rPr>
          <w:rFonts w:cs="DanaFajr" w:hint="cs"/>
          <w:sz w:val="28"/>
          <w:szCs w:val="28"/>
          <w:rtl/>
        </w:rPr>
        <w:t>.</w:t>
      </w:r>
    </w:p>
  </w:endnote>
  <w:endnote w:id="29">
    <w:p w:rsidR="00C14EDE" w:rsidRPr="00282AC9" w:rsidRDefault="00C14EDE" w:rsidP="00195826">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لا يخفى أنّ الشوق حالةٌ نفسيّة وجدانيّة، وتوفُّرها في بعض ما يُكْره عليه الإنسان قد لا يساعده الوجدان؛ فإن مجرّد كون الفعل المكروه مقدّمة لدفع ما هو أشدّ كراهةً منه قد لا يكفي سبباً لتلك الحالة النفسيّة، وإنْ أصرّ على ذلك شيخنا الأستاذ (حفظه الله).</w:t>
      </w:r>
    </w:p>
  </w:endnote>
  <w:endnote w:id="30">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hint="cs"/>
          <w:sz w:val="28"/>
          <w:szCs w:val="28"/>
          <w:rtl/>
          <w:lang w:bidi="ar-LB"/>
        </w:rPr>
        <w:t>المحقِّق الخراساني، فوائد الأصول: 312</w:t>
      </w:r>
      <w:r w:rsidRPr="00282AC9">
        <w:rPr>
          <w:rFonts w:cs="DanaFajr" w:hint="cs"/>
          <w:sz w:val="28"/>
          <w:szCs w:val="28"/>
          <w:rtl/>
        </w:rPr>
        <w:t>.</w:t>
      </w:r>
    </w:p>
  </w:endnote>
  <w:endnote w:id="31">
    <w:p w:rsidR="00C14EDE" w:rsidRPr="00282AC9" w:rsidRDefault="00C14EDE" w:rsidP="00195826">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ar-LB"/>
        </w:rPr>
        <w:t xml:space="preserve"> الشيخ محمد علي الكاظميني،</w:t>
      </w:r>
      <w:r w:rsidRPr="00282AC9">
        <w:rPr>
          <w:rFonts w:cs="2  Badr" w:hint="cs"/>
          <w:sz w:val="26"/>
          <w:szCs w:val="26"/>
          <w:rtl/>
        </w:rPr>
        <w:t xml:space="preserve"> </w:t>
      </w:r>
      <w:r w:rsidRPr="00282AC9">
        <w:rPr>
          <w:rFonts w:cs="DanaFajr" w:hint="cs"/>
          <w:sz w:val="28"/>
          <w:szCs w:val="28"/>
          <w:rtl/>
        </w:rPr>
        <w:t>فوائد الأصول (تقرير بحث الشيخ النائيني)</w:t>
      </w:r>
      <w:r w:rsidRPr="00282AC9">
        <w:rPr>
          <w:rFonts w:cs="DanaFajr" w:hint="cs"/>
          <w:sz w:val="28"/>
          <w:szCs w:val="28"/>
          <w:rtl/>
          <w:lang w:bidi="ar-LB"/>
        </w:rPr>
        <w:t xml:space="preserve"> 1: 135 </w:t>
      </w:r>
      <w:r w:rsidRPr="00282AC9">
        <w:rPr>
          <w:rFonts w:cs="DanaFajr"/>
          <w:sz w:val="28"/>
          <w:szCs w:val="28"/>
          <w:rtl/>
          <w:lang w:bidi="ar-LB"/>
        </w:rPr>
        <w:t>ـ</w:t>
      </w:r>
      <w:r w:rsidRPr="00282AC9">
        <w:rPr>
          <w:rFonts w:cs="DanaFajr" w:hint="cs"/>
          <w:sz w:val="28"/>
          <w:szCs w:val="28"/>
          <w:rtl/>
          <w:lang w:bidi="ar-LB"/>
        </w:rPr>
        <w:t xml:space="preserve"> 134</w:t>
      </w:r>
      <w:r w:rsidRPr="00282AC9">
        <w:rPr>
          <w:rFonts w:cs="DanaFajr" w:hint="cs"/>
          <w:sz w:val="28"/>
          <w:szCs w:val="28"/>
          <w:rtl/>
        </w:rPr>
        <w:t xml:space="preserve">، </w:t>
      </w:r>
      <w:r w:rsidRPr="00282AC9">
        <w:rPr>
          <w:rFonts w:cs="DanaFajr" w:hint="cs"/>
          <w:sz w:val="28"/>
          <w:szCs w:val="28"/>
          <w:rtl/>
          <w:lang w:bidi="ar-LB"/>
        </w:rPr>
        <w:t>1402هـ</w:t>
      </w:r>
      <w:r w:rsidRPr="00282AC9">
        <w:rPr>
          <w:rFonts w:cs="DanaFajr" w:hint="cs"/>
          <w:sz w:val="28"/>
          <w:szCs w:val="28"/>
          <w:rtl/>
        </w:rPr>
        <w:t>.</w:t>
      </w:r>
    </w:p>
  </w:endnote>
  <w:endnote w:id="3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علي أكبر دهخدا، لغت نامه 41: 121، مفردة قانون.</w:t>
      </w:r>
      <w:r w:rsidRPr="00282AC9">
        <w:rPr>
          <w:rFonts w:cs="DanaFajr"/>
          <w:sz w:val="28"/>
          <w:szCs w:val="28"/>
          <w:rtl/>
        </w:rPr>
        <w:t xml:space="preserve"> (مصدر فارسي).</w:t>
      </w:r>
    </w:p>
  </w:endnote>
  <w:endnote w:id="3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شرح المطالع وحاشية الملاّ عبد الله في مبحث تعريف المنطق.</w:t>
      </w:r>
    </w:p>
  </w:endnote>
  <w:endnote w:id="3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تاج العروس، كلمة القانون.</w:t>
      </w:r>
    </w:p>
  </w:endnote>
  <w:endnote w:id="3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المعجم الوسيط، كلمة القانون.</w:t>
      </w:r>
    </w:p>
  </w:endnote>
  <w:endnote w:id="3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برهان قاطع؛ </w:t>
      </w:r>
      <w:r w:rsidRPr="00282AC9">
        <w:rPr>
          <w:rFonts w:ascii="Mosawi" w:hAnsi="Mosawi" w:cs="Abz-3 (Yagut)" w:hint="cs"/>
          <w:rtl/>
          <w:lang w:val="x-none" w:eastAsia="x-none"/>
        </w:rPr>
        <w:t>فرهن</w:t>
      </w:r>
      <w:r w:rsidRPr="00282AC9">
        <w:rPr>
          <w:rFonts w:ascii="Mosawi" w:hAnsi="Mosawi" w:cs="Abz-3 (Yagut)"/>
          <w:rtl/>
          <w:lang w:val="x-none" w:eastAsia="x-none"/>
        </w:rPr>
        <w:t>گ</w:t>
      </w:r>
      <w:r w:rsidRPr="00282AC9">
        <w:rPr>
          <w:rFonts w:cs="DanaFajr" w:hint="cs"/>
          <w:sz w:val="28"/>
          <w:szCs w:val="28"/>
          <w:rtl/>
        </w:rPr>
        <w:t xml:space="preserve"> نفيسي؛ لغت نامه؛ المعجم الوسيط، مادة كلمة (قانون).</w:t>
      </w:r>
      <w:r w:rsidRPr="00282AC9">
        <w:rPr>
          <w:rFonts w:cs="DanaFajr"/>
          <w:sz w:val="28"/>
          <w:szCs w:val="28"/>
          <w:rtl/>
        </w:rPr>
        <w:t xml:space="preserve"> (مصدر فارسي).</w:t>
      </w:r>
    </w:p>
  </w:endnote>
  <w:endnote w:id="3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المعجم الوسيط: 763؛ </w:t>
      </w:r>
      <w:r w:rsidRPr="00282AC9">
        <w:rPr>
          <w:rFonts w:ascii="Mosawi" w:hAnsi="Mosawi" w:cs="Abz-3 (Yagut)" w:hint="cs"/>
          <w:rtl/>
          <w:lang w:val="x-none" w:eastAsia="x-none"/>
        </w:rPr>
        <w:t>فرهن</w:t>
      </w:r>
      <w:r w:rsidRPr="00282AC9">
        <w:rPr>
          <w:rFonts w:ascii="Mosawi" w:hAnsi="Mosawi" w:cs="Abz-3 (Yagut)"/>
          <w:rtl/>
          <w:lang w:val="x-none" w:eastAsia="x-none"/>
        </w:rPr>
        <w:t>گ</w:t>
      </w:r>
      <w:r w:rsidRPr="00282AC9">
        <w:rPr>
          <w:rFonts w:cs="DanaFajr" w:hint="cs"/>
          <w:sz w:val="28"/>
          <w:szCs w:val="28"/>
          <w:rtl/>
        </w:rPr>
        <w:t xml:space="preserve"> معين 2: 2627.</w:t>
      </w:r>
    </w:p>
  </w:endnote>
  <w:endnote w:id="3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محمد جعفر الجعفري، ترمينولوژي حقوق (المصطلحات الحقوقية): 83، طبعة مكتبة </w:t>
      </w:r>
      <w:r w:rsidRPr="00282AC9">
        <w:rPr>
          <w:rFonts w:ascii="Mosawi" w:hAnsi="Mosawi" w:cs="Abz-3 (Yagut)" w:hint="cs"/>
          <w:rtl/>
          <w:lang w:val="x-none" w:eastAsia="x-none"/>
        </w:rPr>
        <w:t>گنج</w:t>
      </w:r>
      <w:r w:rsidRPr="00282AC9">
        <w:rPr>
          <w:rFonts w:cs="DanaFajr" w:hint="cs"/>
          <w:sz w:val="28"/>
          <w:szCs w:val="28"/>
          <w:rtl/>
        </w:rPr>
        <w:t xml:space="preserve"> ودانش.</w:t>
      </w:r>
      <w:r w:rsidRPr="00282AC9">
        <w:rPr>
          <w:rFonts w:cs="DanaFajr"/>
          <w:sz w:val="28"/>
          <w:szCs w:val="28"/>
          <w:rtl/>
        </w:rPr>
        <w:t xml:space="preserve"> (مصدر فارسي).</w:t>
      </w:r>
    </w:p>
  </w:endnote>
  <w:endnote w:id="3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السيد أبو القاسم الخوئي، التنقيح في شرح العروة الوثقى 1: 424، مؤسّسة آل البيت</w:t>
      </w:r>
      <w:r w:rsidRPr="00282AC9">
        <w:rPr>
          <w:rFonts w:cs="Mosawi" w:hint="cs"/>
          <w:rtl/>
        </w:rPr>
        <w:t>^</w:t>
      </w:r>
      <w:r w:rsidRPr="00282AC9">
        <w:rPr>
          <w:rFonts w:cs="DanaFajr" w:hint="cs"/>
          <w:sz w:val="28"/>
          <w:szCs w:val="28"/>
          <w:rtl/>
        </w:rPr>
        <w:t xml:space="preserve"> لإحياء التراث.</w:t>
      </w:r>
    </w:p>
  </w:endnote>
  <w:endnote w:id="4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الشيخ جعفر السبحاني، معالم الحكومة: 301، مكتبة الإمام أمير المؤمنين</w:t>
      </w:r>
      <w:r w:rsidRPr="00282AC9">
        <w:rPr>
          <w:rFonts w:cs="Mosawi" w:hint="cs"/>
          <w:rtl/>
        </w:rPr>
        <w:t>×</w:t>
      </w:r>
      <w:r w:rsidRPr="00282AC9">
        <w:rPr>
          <w:rFonts w:cs="DanaFajr" w:hint="cs"/>
          <w:sz w:val="28"/>
          <w:szCs w:val="28"/>
          <w:rtl/>
        </w:rPr>
        <w:t>، إصفهان.</w:t>
      </w:r>
    </w:p>
  </w:endnote>
  <w:endnote w:id="41">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ناصر مكارم الشيرازي، أنوار الفقاهة 1: 553، منشورات مدرسة الإمام أمير المؤمنين</w:t>
      </w:r>
      <w:r w:rsidRPr="00282AC9">
        <w:rPr>
          <w:rFonts w:cs="Mosawi" w:hint="cs"/>
          <w:rtl/>
        </w:rPr>
        <w:t>×</w:t>
      </w:r>
      <w:r w:rsidRPr="00282AC9">
        <w:rPr>
          <w:rFonts w:cs="DanaFajr" w:hint="cs"/>
          <w:sz w:val="28"/>
          <w:szCs w:val="28"/>
          <w:rtl/>
        </w:rPr>
        <w:t>.</w:t>
      </w:r>
    </w:p>
  </w:endnote>
  <w:endnote w:id="4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الإمام روح الله الخميني، صحيفه نور (صحيفة النور) 20: 170.</w:t>
      </w:r>
      <w:r w:rsidRPr="00282AC9">
        <w:rPr>
          <w:rFonts w:cs="DanaFajr"/>
          <w:sz w:val="28"/>
          <w:szCs w:val="28"/>
          <w:rtl/>
        </w:rPr>
        <w:t xml:space="preserve"> (مصدر فارسي).</w:t>
      </w:r>
    </w:p>
  </w:endnote>
  <w:endnote w:id="4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السيد محمد حسين الطباطبائي، بحثي درباره مرجعيت وروحانيت، مقاله ولايت وزعامت (بحث حول المرجعية والمؤسسة الدينية، مقالة الولاية والزعامة): 84، شركة سهامي انتشار.</w:t>
      </w:r>
      <w:r w:rsidRPr="00282AC9">
        <w:rPr>
          <w:rFonts w:cs="DanaFajr"/>
          <w:sz w:val="28"/>
          <w:szCs w:val="28"/>
          <w:rtl/>
        </w:rPr>
        <w:t xml:space="preserve"> (مصدر فارسي).</w:t>
      </w:r>
    </w:p>
  </w:endnote>
  <w:endnote w:id="4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الشيخ مرتضى مطهَّري، إسلام ومقتضيات زمان (الإسلام ومتطلّبات العصر) 2: 77.</w:t>
      </w:r>
      <w:r w:rsidRPr="00282AC9">
        <w:rPr>
          <w:rFonts w:cs="DanaFajr"/>
          <w:sz w:val="28"/>
          <w:szCs w:val="28"/>
          <w:rtl/>
        </w:rPr>
        <w:t xml:space="preserve"> (مصدر فارسي).</w:t>
      </w:r>
    </w:p>
  </w:endnote>
  <w:endnote w:id="4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السيد الشهيد محمد باقر الصدر، اقتصادنا 2: 362، دار الفكر.</w:t>
      </w:r>
    </w:p>
  </w:endnote>
  <w:endnote w:id="4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الطوسي، النهاية في مجرّد الفقه والفتاوي 2: 577، طبعة جامعة طهران.</w:t>
      </w:r>
    </w:p>
  </w:endnote>
  <w:endnote w:id="4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السيد أبو الحسن الإصفهاني، وسيلة النجاة 2: 251، دار التعارف للمطبوعات.</w:t>
      </w:r>
    </w:p>
  </w:endnote>
  <w:endnote w:id="4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السيد محسن الحكيم، منهاج الصالحين 2: 58، المسألة رقم 63، </w:t>
      </w:r>
      <w:r w:rsidRPr="00282AC9">
        <w:rPr>
          <w:rFonts w:cs="DanaFajr"/>
          <w:sz w:val="28"/>
          <w:szCs w:val="28"/>
          <w:rtl/>
        </w:rPr>
        <w:t>دار التعارف للمطبوعات.</w:t>
      </w:r>
    </w:p>
  </w:endnote>
  <w:endnote w:id="4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السيد محمد كاظم اليزدي، العروة الوثقى 2: 122، المكتبة العلمية الإسلامية.</w:t>
      </w:r>
    </w:p>
  </w:endnote>
  <w:endnote w:id="5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محمد بن يعقوب الكليني، أصول الكافي 1: 267، باب التفويض، ح5، دار الكتب الإسلامية.</w:t>
      </w:r>
    </w:p>
  </w:endnote>
  <w:endnote w:id="51">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9: 268.</w:t>
      </w:r>
    </w:p>
  </w:endnote>
  <w:endnote w:id="5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أ</w:t>
      </w:r>
      <w:r w:rsidRPr="00282AC9">
        <w:rPr>
          <w:rFonts w:cs="DanaFajr"/>
          <w:sz w:val="28"/>
          <w:szCs w:val="28"/>
          <w:rtl/>
        </w:rPr>
        <w:t>بو</w:t>
      </w:r>
      <w:r w:rsidRPr="00282AC9">
        <w:rPr>
          <w:rFonts w:cs="DanaFajr" w:hint="cs"/>
          <w:sz w:val="28"/>
          <w:szCs w:val="28"/>
          <w:rtl/>
        </w:rPr>
        <w:t xml:space="preserve"> </w:t>
      </w:r>
      <w:r w:rsidRPr="00282AC9">
        <w:rPr>
          <w:rFonts w:cs="DanaFajr"/>
          <w:sz w:val="28"/>
          <w:szCs w:val="28"/>
          <w:rtl/>
        </w:rPr>
        <w:t>جعفر محمد بن الحسن بن فروخ الصف</w:t>
      </w:r>
      <w:r w:rsidRPr="00282AC9">
        <w:rPr>
          <w:rFonts w:cs="DanaFajr" w:hint="cs"/>
          <w:sz w:val="28"/>
          <w:szCs w:val="28"/>
          <w:rtl/>
        </w:rPr>
        <w:t>ّ</w:t>
      </w:r>
      <w:r w:rsidRPr="00282AC9">
        <w:rPr>
          <w:rFonts w:cs="DanaFajr"/>
          <w:sz w:val="28"/>
          <w:szCs w:val="28"/>
          <w:rtl/>
        </w:rPr>
        <w:t>ار</w:t>
      </w:r>
      <w:r w:rsidRPr="00282AC9">
        <w:rPr>
          <w:rFonts w:cs="DanaFajr" w:hint="cs"/>
          <w:sz w:val="28"/>
          <w:szCs w:val="28"/>
          <w:rtl/>
        </w:rPr>
        <w:t xml:space="preserve">، بصائر الدرجات 8: 382، </w:t>
      </w:r>
      <w:r w:rsidRPr="00282AC9">
        <w:rPr>
          <w:rFonts w:cs="DanaFajr"/>
          <w:sz w:val="28"/>
          <w:szCs w:val="28"/>
          <w:rtl/>
        </w:rPr>
        <w:t>الباب الرابع</w:t>
      </w:r>
      <w:r w:rsidRPr="00282AC9">
        <w:rPr>
          <w:rFonts w:cs="DanaFajr" w:hint="cs"/>
          <w:sz w:val="28"/>
          <w:szCs w:val="28"/>
          <w:rtl/>
        </w:rPr>
        <w:t xml:space="preserve"> (باب التفويض إلى رسول الله)</w:t>
      </w:r>
      <w:r w:rsidRPr="00282AC9">
        <w:rPr>
          <w:rFonts w:cs="DanaFajr"/>
          <w:sz w:val="28"/>
          <w:szCs w:val="28"/>
          <w:rtl/>
        </w:rPr>
        <w:t>،</w:t>
      </w:r>
      <w:r w:rsidRPr="00282AC9">
        <w:rPr>
          <w:rFonts w:cs="DanaFajr" w:hint="cs"/>
          <w:sz w:val="28"/>
          <w:szCs w:val="28"/>
          <w:rtl/>
        </w:rPr>
        <w:t xml:space="preserve"> ح16.</w:t>
      </w:r>
    </w:p>
  </w:endnote>
  <w:endnote w:id="5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الصدوق، مَنْ لا يحضره الفقيه 2: 79، دار الكتب الإسلامية.</w:t>
      </w:r>
    </w:p>
  </w:endnote>
  <w:endnote w:id="5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لم نعثر على النصّ في موضع الإحالة. المعرّب.</w:t>
      </w:r>
    </w:p>
  </w:endnote>
  <w:endnote w:id="5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محمد حسن النجفي، جواهر الكلام 16: 359.</w:t>
      </w:r>
    </w:p>
  </w:endnote>
  <w:endnote w:id="5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لم نعثر على النص</w:t>
      </w:r>
      <w:r w:rsidRPr="00282AC9">
        <w:rPr>
          <w:rFonts w:cs="DanaFajr" w:hint="cs"/>
          <w:sz w:val="28"/>
          <w:szCs w:val="28"/>
          <w:rtl/>
        </w:rPr>
        <w:t>ّ</w:t>
      </w:r>
      <w:r w:rsidRPr="00282AC9">
        <w:rPr>
          <w:rFonts w:cs="DanaFajr"/>
          <w:sz w:val="28"/>
          <w:szCs w:val="28"/>
          <w:rtl/>
        </w:rPr>
        <w:t xml:space="preserve"> في موضع الإحالة. المعرّب.</w:t>
      </w:r>
    </w:p>
  </w:endnote>
  <w:endnote w:id="5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السيد محمد كاظم اليزدي، العروة الوثقى مع تعليقاتها 7: 231، طبعة الدار الإسلامية.</w:t>
      </w:r>
    </w:p>
  </w:endnote>
  <w:endnote w:id="5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الطوسي، الجمل والعقود (سلسلة الينابيع الفقهية) 7: 231، طبعة الدار الإسلامية.</w:t>
      </w:r>
    </w:p>
  </w:endnote>
  <w:endnote w:id="5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لم نعثر على النص</w:t>
      </w:r>
      <w:r w:rsidRPr="00282AC9">
        <w:rPr>
          <w:rFonts w:cs="DanaFajr" w:hint="cs"/>
          <w:sz w:val="28"/>
          <w:szCs w:val="28"/>
          <w:rtl/>
        </w:rPr>
        <w:t>ّ</w:t>
      </w:r>
      <w:r w:rsidRPr="00282AC9">
        <w:rPr>
          <w:rFonts w:cs="DanaFajr"/>
          <w:sz w:val="28"/>
          <w:szCs w:val="28"/>
          <w:rtl/>
        </w:rPr>
        <w:t xml:space="preserve"> في موضع الإحالة. المعرّب.</w:t>
      </w:r>
    </w:p>
  </w:endnote>
  <w:endnote w:id="6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ابن إدريس، كتاب السرائر 1: 585.</w:t>
      </w:r>
    </w:p>
  </w:endnote>
  <w:endnote w:id="61">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المحقِّق الحلّي،  المختصر النافع (سلسلة الينابيع الفقهية) 8: 671.</w:t>
      </w:r>
    </w:p>
  </w:endnote>
  <w:endnote w:id="6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الشيخ </w:t>
      </w:r>
      <w:r w:rsidRPr="00282AC9">
        <w:rPr>
          <w:rFonts w:cs="DanaFajr"/>
          <w:sz w:val="28"/>
          <w:szCs w:val="28"/>
          <w:rtl/>
        </w:rPr>
        <w:t xml:space="preserve">محمد حسن النجفي، جواهر الكلام </w:t>
      </w:r>
      <w:r w:rsidRPr="00282AC9">
        <w:rPr>
          <w:rFonts w:cs="DanaFajr" w:hint="cs"/>
          <w:sz w:val="28"/>
          <w:szCs w:val="28"/>
          <w:rtl/>
        </w:rPr>
        <w:t>19: 700.</w:t>
      </w:r>
    </w:p>
  </w:endnote>
  <w:endnote w:id="6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الأنصاري، كتاب الزكاة: 512.</w:t>
      </w:r>
    </w:p>
  </w:endnote>
  <w:endnote w:id="6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لم نعثر على النص</w:t>
      </w:r>
      <w:r w:rsidRPr="00282AC9">
        <w:rPr>
          <w:rFonts w:cs="DanaFajr" w:hint="cs"/>
          <w:sz w:val="28"/>
          <w:szCs w:val="28"/>
          <w:rtl/>
        </w:rPr>
        <w:t>ّ</w:t>
      </w:r>
      <w:r w:rsidRPr="00282AC9">
        <w:rPr>
          <w:rFonts w:cs="DanaFajr"/>
          <w:sz w:val="28"/>
          <w:szCs w:val="28"/>
          <w:rtl/>
        </w:rPr>
        <w:t xml:space="preserve"> في موضع الإحالة. المعرّب.</w:t>
      </w:r>
    </w:p>
  </w:endnote>
  <w:endnote w:id="6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الشيخ </w:t>
      </w:r>
      <w:r w:rsidRPr="00282AC9">
        <w:rPr>
          <w:rFonts w:cs="DanaFajr"/>
          <w:sz w:val="28"/>
          <w:szCs w:val="28"/>
          <w:rtl/>
        </w:rPr>
        <w:t xml:space="preserve">محمد حسن النجفي، جواهر الكلام </w:t>
      </w:r>
      <w:r w:rsidRPr="00282AC9">
        <w:rPr>
          <w:rFonts w:cs="DanaFajr" w:hint="cs"/>
          <w:sz w:val="28"/>
          <w:szCs w:val="28"/>
          <w:rtl/>
        </w:rPr>
        <w:t>21: 14.</w:t>
      </w:r>
    </w:p>
  </w:endnote>
  <w:endnote w:id="6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منهاج الصالحين </w:t>
      </w:r>
      <w:r w:rsidRPr="00282AC9">
        <w:rPr>
          <w:rFonts w:cs="DanaFajr" w:hint="cs"/>
          <w:sz w:val="28"/>
          <w:szCs w:val="28"/>
          <w:rtl/>
        </w:rPr>
        <w:t>1: 366، نشر مدينة العلم.</w:t>
      </w:r>
    </w:p>
  </w:endnote>
  <w:endnote w:id="6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دراسات في ولاية الفقيه 1: 118، المركز العالمي للدراسات الإسلامية.</w:t>
      </w:r>
    </w:p>
  </w:endnote>
  <w:endnote w:id="6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الشيخ الطوسي، النهاية في مجرّد الفقه والفتاوي </w:t>
      </w:r>
      <w:r w:rsidRPr="00282AC9">
        <w:rPr>
          <w:rFonts w:cs="DanaFajr" w:hint="cs"/>
          <w:sz w:val="28"/>
          <w:szCs w:val="28"/>
          <w:rtl/>
        </w:rPr>
        <w:t>1</w:t>
      </w:r>
      <w:r w:rsidRPr="00282AC9">
        <w:rPr>
          <w:rFonts w:cs="DanaFajr"/>
          <w:sz w:val="28"/>
          <w:szCs w:val="28"/>
          <w:rtl/>
        </w:rPr>
        <w:t xml:space="preserve">: </w:t>
      </w:r>
      <w:r w:rsidRPr="00282AC9">
        <w:rPr>
          <w:rFonts w:cs="DanaFajr" w:hint="cs"/>
          <w:sz w:val="28"/>
          <w:szCs w:val="28"/>
          <w:rtl/>
        </w:rPr>
        <w:t>302</w:t>
      </w:r>
      <w:r w:rsidRPr="00282AC9">
        <w:rPr>
          <w:rFonts w:cs="DanaFajr"/>
          <w:sz w:val="28"/>
          <w:szCs w:val="28"/>
          <w:rtl/>
        </w:rPr>
        <w:t>، طبعة جامعة طهران.</w:t>
      </w:r>
    </w:p>
  </w:endnote>
  <w:endnote w:id="6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ابن البرّاج، المهذَّب 1: 341، مؤسّسة النشر الإسلامي.</w:t>
      </w:r>
    </w:p>
  </w:endnote>
  <w:endnote w:id="7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الإمام روح الله الخميني</w:t>
      </w:r>
      <w:r w:rsidRPr="00282AC9">
        <w:rPr>
          <w:rFonts w:cs="DanaFajr" w:hint="cs"/>
          <w:sz w:val="28"/>
          <w:szCs w:val="28"/>
          <w:rtl/>
        </w:rPr>
        <w:t>،</w:t>
      </w:r>
      <w:r w:rsidRPr="00282AC9">
        <w:rPr>
          <w:rFonts w:cs="DanaFajr"/>
          <w:sz w:val="28"/>
          <w:szCs w:val="28"/>
          <w:rtl/>
        </w:rPr>
        <w:t xml:space="preserve"> صحيفه نور (صحيفة النور) 2: 17</w:t>
      </w:r>
      <w:r w:rsidRPr="00282AC9">
        <w:rPr>
          <w:rFonts w:cs="DanaFajr" w:hint="cs"/>
          <w:sz w:val="28"/>
          <w:szCs w:val="28"/>
          <w:rtl/>
        </w:rPr>
        <w:t>1</w:t>
      </w:r>
      <w:r w:rsidRPr="00282AC9">
        <w:rPr>
          <w:rFonts w:cs="DanaFajr"/>
          <w:sz w:val="28"/>
          <w:szCs w:val="28"/>
          <w:rtl/>
        </w:rPr>
        <w:t>. (مصدر فارسي).</w:t>
      </w:r>
    </w:p>
  </w:endnote>
  <w:endnote w:id="71">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الحجّ (مجموع كلمات ونداءات الإمام الخميني): 177، مركز تحقيقات وانتشارات الحجّ.</w:t>
      </w:r>
      <w:r w:rsidRPr="00282AC9">
        <w:rPr>
          <w:rFonts w:cs="DanaFajr"/>
          <w:sz w:val="28"/>
          <w:szCs w:val="28"/>
          <w:rtl/>
        </w:rPr>
        <w:t xml:space="preserve"> (مصدر فارسي).</w:t>
      </w:r>
    </w:p>
  </w:endnote>
  <w:endnote w:id="7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الشيخ المفيد، المقنعة.</w:t>
      </w:r>
    </w:p>
  </w:endnote>
  <w:endnote w:id="7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المحقِّق الحلّي، شرائع الإسلام 2: 21، منشورات الأعلمي، طهران.</w:t>
      </w:r>
    </w:p>
  </w:endnote>
  <w:endnote w:id="7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الصدوق، التوحيد: 388، دار المعرفة.</w:t>
      </w:r>
    </w:p>
  </w:endnote>
  <w:endnote w:id="7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لم نعثر على النص</w:t>
      </w:r>
      <w:r w:rsidRPr="00282AC9">
        <w:rPr>
          <w:rFonts w:cs="DanaFajr" w:hint="cs"/>
          <w:sz w:val="28"/>
          <w:szCs w:val="28"/>
          <w:rtl/>
        </w:rPr>
        <w:t>ّ</w:t>
      </w:r>
      <w:r w:rsidRPr="00282AC9">
        <w:rPr>
          <w:rFonts w:cs="DanaFajr"/>
          <w:sz w:val="28"/>
          <w:szCs w:val="28"/>
          <w:rtl/>
        </w:rPr>
        <w:t xml:space="preserve"> في موضع الإحالة. المعرّب.</w:t>
      </w:r>
    </w:p>
  </w:endnote>
  <w:endnote w:id="7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السيد محمد كاظم اليزدي، ملحقات العروة الوثقى 1: 227، المسألة 2، مكتبة الداوري.</w:t>
      </w:r>
    </w:p>
  </w:endnote>
  <w:endnote w:id="7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لم نعثر على النص</w:t>
      </w:r>
      <w:r w:rsidRPr="00282AC9">
        <w:rPr>
          <w:rFonts w:cs="DanaFajr" w:hint="cs"/>
          <w:sz w:val="28"/>
          <w:szCs w:val="28"/>
          <w:rtl/>
        </w:rPr>
        <w:t>ّ</w:t>
      </w:r>
      <w:r w:rsidRPr="00282AC9">
        <w:rPr>
          <w:rFonts w:cs="DanaFajr"/>
          <w:sz w:val="28"/>
          <w:szCs w:val="28"/>
          <w:rtl/>
        </w:rPr>
        <w:t xml:space="preserve"> في موضع الإحالة. المعرّب.</w:t>
      </w:r>
    </w:p>
  </w:endnote>
  <w:endnote w:id="7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العلاّمة الحلّي، مفتاح الكرامة 4: 213.</w:t>
      </w:r>
    </w:p>
  </w:endnote>
  <w:endnote w:id="7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ابن حمزة، الوسيلة: 277، منشورات مكتبة المرعشي النجفي.</w:t>
      </w:r>
    </w:p>
  </w:endnote>
  <w:endnote w:id="8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ابن البر</w:t>
      </w:r>
      <w:r w:rsidRPr="00282AC9">
        <w:rPr>
          <w:rFonts w:cs="DanaFajr" w:hint="cs"/>
          <w:sz w:val="28"/>
          <w:szCs w:val="28"/>
          <w:rtl/>
        </w:rPr>
        <w:t>ّ</w:t>
      </w:r>
      <w:r w:rsidRPr="00282AC9">
        <w:rPr>
          <w:rFonts w:cs="DanaFajr"/>
          <w:sz w:val="28"/>
          <w:szCs w:val="28"/>
          <w:rtl/>
        </w:rPr>
        <w:t>اج، المهذ</w:t>
      </w:r>
      <w:r w:rsidRPr="00282AC9">
        <w:rPr>
          <w:rFonts w:cs="DanaFajr" w:hint="cs"/>
          <w:sz w:val="28"/>
          <w:szCs w:val="28"/>
          <w:rtl/>
        </w:rPr>
        <w:t>َّ</w:t>
      </w:r>
      <w:r w:rsidRPr="00282AC9">
        <w:rPr>
          <w:rFonts w:cs="DanaFajr"/>
          <w:sz w:val="28"/>
          <w:szCs w:val="28"/>
          <w:rtl/>
        </w:rPr>
        <w:t xml:space="preserve">ب </w:t>
      </w:r>
      <w:r w:rsidRPr="00282AC9">
        <w:rPr>
          <w:rFonts w:cs="DanaFajr" w:hint="cs"/>
          <w:sz w:val="28"/>
          <w:szCs w:val="28"/>
          <w:rtl/>
        </w:rPr>
        <w:t>2</w:t>
      </w:r>
      <w:r w:rsidRPr="00282AC9">
        <w:rPr>
          <w:rFonts w:cs="DanaFajr"/>
          <w:sz w:val="28"/>
          <w:szCs w:val="28"/>
          <w:rtl/>
        </w:rPr>
        <w:t xml:space="preserve">: </w:t>
      </w:r>
      <w:r w:rsidRPr="00282AC9">
        <w:rPr>
          <w:rFonts w:cs="DanaFajr" w:hint="cs"/>
          <w:sz w:val="28"/>
          <w:szCs w:val="28"/>
          <w:rtl/>
        </w:rPr>
        <w:t>569</w:t>
      </w:r>
      <w:r w:rsidRPr="00282AC9">
        <w:rPr>
          <w:rFonts w:cs="DanaFajr"/>
          <w:sz w:val="28"/>
          <w:szCs w:val="28"/>
          <w:rtl/>
        </w:rPr>
        <w:t>، مؤس</w:t>
      </w:r>
      <w:r w:rsidRPr="00282AC9">
        <w:rPr>
          <w:rFonts w:cs="DanaFajr" w:hint="cs"/>
          <w:sz w:val="28"/>
          <w:szCs w:val="28"/>
          <w:rtl/>
        </w:rPr>
        <w:t>ّ</w:t>
      </w:r>
      <w:r w:rsidRPr="00282AC9">
        <w:rPr>
          <w:rFonts w:cs="DanaFajr"/>
          <w:sz w:val="28"/>
          <w:szCs w:val="28"/>
          <w:rtl/>
        </w:rPr>
        <w:t>سة النشر الإسلامي.</w:t>
      </w:r>
    </w:p>
  </w:endnote>
  <w:endnote w:id="81">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الشيخ الطوسي، المبسوط 2: 38، منشورات الأعلمي.</w:t>
      </w:r>
    </w:p>
  </w:endnote>
  <w:endnote w:id="8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المحقِّق الحلّي، شرائع الإسلام 1: 328، منشورات الأعلمي.</w:t>
      </w:r>
    </w:p>
  </w:endnote>
  <w:endnote w:id="8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الشيخ الطوسي، النهاية في مجرّد الفقه والفتاوي 1: 30</w:t>
      </w:r>
      <w:r w:rsidRPr="00282AC9">
        <w:rPr>
          <w:rFonts w:cs="DanaFajr" w:hint="cs"/>
          <w:sz w:val="28"/>
          <w:szCs w:val="28"/>
          <w:rtl/>
        </w:rPr>
        <w:t>8، طبعة جامعة طهران.</w:t>
      </w:r>
    </w:p>
  </w:endnote>
  <w:endnote w:id="8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المفيد، المقنعة: 616.</w:t>
      </w:r>
    </w:p>
  </w:endnote>
  <w:endnote w:id="8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لم نعثر على النصّ في موضع الإحالة. المعرّب.</w:t>
      </w:r>
    </w:p>
  </w:endnote>
  <w:endnote w:id="8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الشيخ </w:t>
      </w:r>
      <w:r w:rsidRPr="00282AC9">
        <w:rPr>
          <w:rFonts w:cs="DanaFajr"/>
          <w:sz w:val="28"/>
          <w:szCs w:val="28"/>
          <w:rtl/>
        </w:rPr>
        <w:t>محمد حسن النجفي، جواهر الكلام 2</w:t>
      </w:r>
      <w:r w:rsidRPr="00282AC9">
        <w:rPr>
          <w:rFonts w:cs="DanaFajr" w:hint="cs"/>
          <w:sz w:val="28"/>
          <w:szCs w:val="28"/>
          <w:rtl/>
        </w:rPr>
        <w:t>2</w:t>
      </w:r>
      <w:r w:rsidRPr="00282AC9">
        <w:rPr>
          <w:rFonts w:cs="DanaFajr"/>
          <w:sz w:val="28"/>
          <w:szCs w:val="28"/>
          <w:rtl/>
        </w:rPr>
        <w:t xml:space="preserve">: </w:t>
      </w:r>
      <w:r w:rsidRPr="00282AC9">
        <w:rPr>
          <w:rFonts w:cs="DanaFajr" w:hint="cs"/>
          <w:sz w:val="28"/>
          <w:szCs w:val="28"/>
          <w:rtl/>
        </w:rPr>
        <w:t>484.</w:t>
      </w:r>
    </w:p>
  </w:endnote>
  <w:endnote w:id="8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دراسات في ولاية الفقيه 1: 118، المركز العالمي للدراسات الإسلامية.</w:t>
      </w:r>
    </w:p>
  </w:endnote>
  <w:endnote w:id="8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المحق</w:t>
      </w:r>
      <w:r w:rsidRPr="00282AC9">
        <w:rPr>
          <w:rFonts w:cs="DanaFajr" w:hint="cs"/>
          <w:sz w:val="28"/>
          <w:szCs w:val="28"/>
          <w:rtl/>
        </w:rPr>
        <w:t>ِّ</w:t>
      </w:r>
      <w:r w:rsidRPr="00282AC9">
        <w:rPr>
          <w:rFonts w:cs="DanaFajr"/>
          <w:sz w:val="28"/>
          <w:szCs w:val="28"/>
          <w:rtl/>
        </w:rPr>
        <w:t>ق الحل</w:t>
      </w:r>
      <w:r w:rsidRPr="00282AC9">
        <w:rPr>
          <w:rFonts w:cs="DanaFajr" w:hint="cs"/>
          <w:sz w:val="28"/>
          <w:szCs w:val="28"/>
          <w:rtl/>
        </w:rPr>
        <w:t>ّ</w:t>
      </w:r>
      <w:r w:rsidRPr="00282AC9">
        <w:rPr>
          <w:rFonts w:cs="DanaFajr"/>
          <w:sz w:val="28"/>
          <w:szCs w:val="28"/>
          <w:rtl/>
        </w:rPr>
        <w:t xml:space="preserve">ي، شرائع الإسلام </w:t>
      </w:r>
      <w:r w:rsidRPr="00282AC9">
        <w:rPr>
          <w:rFonts w:cs="DanaFajr" w:hint="cs"/>
          <w:sz w:val="28"/>
          <w:szCs w:val="28"/>
          <w:rtl/>
        </w:rPr>
        <w:t>3: 275.</w:t>
      </w:r>
    </w:p>
  </w:endnote>
  <w:endnote w:id="8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الشيخ </w:t>
      </w:r>
      <w:r w:rsidRPr="00282AC9">
        <w:rPr>
          <w:rFonts w:cs="DanaFajr"/>
          <w:sz w:val="28"/>
          <w:szCs w:val="28"/>
          <w:rtl/>
        </w:rPr>
        <w:t xml:space="preserve">محمد حسن النجفي، جواهر الكلام </w:t>
      </w:r>
      <w:r w:rsidRPr="00282AC9">
        <w:rPr>
          <w:rFonts w:cs="DanaFajr" w:hint="cs"/>
          <w:sz w:val="28"/>
          <w:szCs w:val="28"/>
          <w:rtl/>
        </w:rPr>
        <w:t>38: 59.</w:t>
      </w:r>
    </w:p>
  </w:endnote>
  <w:endnote w:id="9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مرتضى مطهَّري، إسلام ومقتضيات زمان (الإسلام ومتطلّبات العصر) 2: 86.</w:t>
      </w:r>
      <w:r w:rsidRPr="00282AC9">
        <w:rPr>
          <w:rFonts w:cs="DanaFajr"/>
          <w:sz w:val="28"/>
          <w:szCs w:val="28"/>
          <w:rtl/>
        </w:rPr>
        <w:t xml:space="preserve"> (مصدر فارسي).</w:t>
      </w:r>
    </w:p>
  </w:endnote>
  <w:endnote w:id="91">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نفسه.</w:t>
      </w:r>
    </w:p>
  </w:endnote>
  <w:endnote w:id="9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الإمام روح الله الخميني، صحيفه نور (صحيفة النور) </w:t>
      </w:r>
      <w:r w:rsidRPr="00282AC9">
        <w:rPr>
          <w:rFonts w:cs="DanaFajr" w:hint="cs"/>
          <w:sz w:val="28"/>
          <w:szCs w:val="28"/>
          <w:rtl/>
        </w:rPr>
        <w:t>10: 138.</w:t>
      </w:r>
      <w:r w:rsidRPr="00282AC9">
        <w:rPr>
          <w:rFonts w:cs="DanaFajr"/>
          <w:sz w:val="28"/>
          <w:szCs w:val="28"/>
          <w:rtl/>
        </w:rPr>
        <w:t xml:space="preserve"> (مصدر فارسي).</w:t>
      </w:r>
    </w:p>
  </w:endnote>
  <w:endnote w:id="9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الشيخ الطوسي، النهاية في مجرّد الفقه والفتاوي 1: </w:t>
      </w:r>
      <w:r w:rsidRPr="00282AC9">
        <w:rPr>
          <w:rFonts w:cs="DanaFajr" w:hint="cs"/>
          <w:sz w:val="28"/>
          <w:szCs w:val="28"/>
          <w:rtl/>
        </w:rPr>
        <w:t>298.</w:t>
      </w:r>
    </w:p>
  </w:endnote>
  <w:endnote w:id="9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القاضي ابن البرّاج، المهذَّب 1: 216.</w:t>
      </w:r>
    </w:p>
  </w:endnote>
  <w:endnote w:id="9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العلاّمة الحلّي، قواعد الأحكام 1: 104، كتاب الجهاد، منشورات الشريف الرضي.</w:t>
      </w:r>
    </w:p>
  </w:endnote>
  <w:endnote w:id="9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المفيد، المقنعة: 81، مؤسّسة النشر الإسلامي.</w:t>
      </w:r>
    </w:p>
  </w:endnote>
  <w:endnote w:id="9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ابن البر</w:t>
      </w:r>
      <w:r w:rsidRPr="00282AC9">
        <w:rPr>
          <w:rFonts w:cs="DanaFajr" w:hint="cs"/>
          <w:sz w:val="28"/>
          <w:szCs w:val="28"/>
          <w:rtl/>
        </w:rPr>
        <w:t>ّ</w:t>
      </w:r>
      <w:r w:rsidRPr="00282AC9">
        <w:rPr>
          <w:rFonts w:cs="DanaFajr"/>
          <w:sz w:val="28"/>
          <w:szCs w:val="28"/>
          <w:rtl/>
        </w:rPr>
        <w:t>اج، المهذ</w:t>
      </w:r>
      <w:r w:rsidRPr="00282AC9">
        <w:rPr>
          <w:rFonts w:cs="DanaFajr" w:hint="cs"/>
          <w:sz w:val="28"/>
          <w:szCs w:val="28"/>
          <w:rtl/>
        </w:rPr>
        <w:t>َّ</w:t>
      </w:r>
      <w:r w:rsidRPr="00282AC9">
        <w:rPr>
          <w:rFonts w:cs="DanaFajr"/>
          <w:sz w:val="28"/>
          <w:szCs w:val="28"/>
          <w:rtl/>
        </w:rPr>
        <w:t>ب 2: 5</w:t>
      </w:r>
      <w:r w:rsidRPr="00282AC9">
        <w:rPr>
          <w:rFonts w:cs="DanaFajr" w:hint="cs"/>
          <w:sz w:val="28"/>
          <w:szCs w:val="28"/>
          <w:rtl/>
        </w:rPr>
        <w:t>18</w:t>
      </w:r>
      <w:r w:rsidRPr="00282AC9">
        <w:rPr>
          <w:rFonts w:cs="DanaFajr"/>
          <w:sz w:val="28"/>
          <w:szCs w:val="28"/>
          <w:rtl/>
        </w:rPr>
        <w:t>، مؤس</w:t>
      </w:r>
      <w:r w:rsidRPr="00282AC9">
        <w:rPr>
          <w:rFonts w:cs="DanaFajr" w:hint="cs"/>
          <w:sz w:val="28"/>
          <w:szCs w:val="28"/>
          <w:rtl/>
        </w:rPr>
        <w:t>ّ</w:t>
      </w:r>
      <w:r w:rsidRPr="00282AC9">
        <w:rPr>
          <w:rFonts w:cs="DanaFajr"/>
          <w:sz w:val="28"/>
          <w:szCs w:val="28"/>
          <w:rtl/>
        </w:rPr>
        <w:t>سة النشر الإسلامي.</w:t>
      </w:r>
    </w:p>
  </w:endnote>
  <w:endnote w:id="9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أبو الصلاح الحلبي، الكافي في الفقه: 406، منشورات مكتبة أمير المؤمنين</w:t>
      </w:r>
      <w:r w:rsidRPr="00282AC9">
        <w:rPr>
          <w:rFonts w:cs="Mosawi" w:hint="cs"/>
          <w:rtl/>
        </w:rPr>
        <w:t>×</w:t>
      </w:r>
      <w:r w:rsidRPr="00282AC9">
        <w:rPr>
          <w:rFonts w:cs="DanaFajr" w:hint="cs"/>
          <w:sz w:val="28"/>
          <w:szCs w:val="28"/>
          <w:rtl/>
        </w:rPr>
        <w:t>.</w:t>
      </w:r>
    </w:p>
  </w:endnote>
  <w:endnote w:id="9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المحق</w:t>
      </w:r>
      <w:r w:rsidRPr="00282AC9">
        <w:rPr>
          <w:rFonts w:cs="DanaFajr" w:hint="cs"/>
          <w:sz w:val="28"/>
          <w:szCs w:val="28"/>
          <w:rtl/>
        </w:rPr>
        <w:t>ِّ</w:t>
      </w:r>
      <w:r w:rsidRPr="00282AC9">
        <w:rPr>
          <w:rFonts w:cs="DanaFajr"/>
          <w:sz w:val="28"/>
          <w:szCs w:val="28"/>
          <w:rtl/>
        </w:rPr>
        <w:t>ق الحل</w:t>
      </w:r>
      <w:r w:rsidRPr="00282AC9">
        <w:rPr>
          <w:rFonts w:cs="DanaFajr" w:hint="cs"/>
          <w:sz w:val="28"/>
          <w:szCs w:val="28"/>
          <w:rtl/>
        </w:rPr>
        <w:t>ّ</w:t>
      </w:r>
      <w:r w:rsidRPr="00282AC9">
        <w:rPr>
          <w:rFonts w:cs="DanaFajr"/>
          <w:sz w:val="28"/>
          <w:szCs w:val="28"/>
          <w:rtl/>
        </w:rPr>
        <w:t xml:space="preserve">ي، شرائع الإسلام 2: </w:t>
      </w:r>
      <w:r w:rsidRPr="00282AC9">
        <w:rPr>
          <w:rFonts w:cs="DanaFajr" w:hint="cs"/>
          <w:sz w:val="28"/>
          <w:szCs w:val="28"/>
          <w:rtl/>
        </w:rPr>
        <w:t>276.</w:t>
      </w:r>
    </w:p>
  </w:endnote>
  <w:endnote w:id="10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الشيخ </w:t>
      </w:r>
      <w:r w:rsidRPr="00282AC9">
        <w:rPr>
          <w:rFonts w:cs="DanaFajr"/>
          <w:sz w:val="28"/>
          <w:szCs w:val="28"/>
          <w:rtl/>
        </w:rPr>
        <w:t xml:space="preserve">محمد حسن النجفي، جواهر الكلام </w:t>
      </w:r>
      <w:r w:rsidRPr="00282AC9">
        <w:rPr>
          <w:rFonts w:cs="DanaFajr" w:hint="cs"/>
          <w:sz w:val="28"/>
          <w:szCs w:val="28"/>
          <w:rtl/>
        </w:rPr>
        <w:t>29: 189.</w:t>
      </w:r>
    </w:p>
  </w:endnote>
  <w:endnote w:id="101">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المحقِّق الكركي، جامع المقاصد 12: 96، مؤسّسة آل البيت</w:t>
      </w:r>
      <w:r w:rsidRPr="00282AC9">
        <w:rPr>
          <w:rFonts w:cs="Mosawi" w:hint="cs"/>
          <w:rtl/>
        </w:rPr>
        <w:t>^</w:t>
      </w:r>
      <w:r w:rsidRPr="00282AC9">
        <w:rPr>
          <w:rFonts w:cs="DanaFajr" w:hint="cs"/>
          <w:sz w:val="28"/>
          <w:szCs w:val="28"/>
          <w:rtl/>
        </w:rPr>
        <w:t xml:space="preserve"> لإحياء التراث.</w:t>
      </w:r>
    </w:p>
  </w:endnote>
  <w:endnote w:id="10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الإمام روح الله الخميني، صحيفه نور (صحيفة النور) </w:t>
      </w:r>
      <w:r w:rsidRPr="00282AC9">
        <w:rPr>
          <w:rFonts w:cs="DanaFajr" w:hint="cs"/>
          <w:sz w:val="28"/>
          <w:szCs w:val="28"/>
          <w:rtl/>
        </w:rPr>
        <w:t>4: 39.</w:t>
      </w:r>
      <w:r w:rsidRPr="00282AC9">
        <w:rPr>
          <w:rFonts w:cs="DanaFajr"/>
          <w:sz w:val="28"/>
          <w:szCs w:val="28"/>
          <w:rtl/>
        </w:rPr>
        <w:t xml:space="preserve"> (مصدر فارسي).</w:t>
      </w:r>
    </w:p>
  </w:endnote>
  <w:endnote w:id="10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الشيخ الطوسي، المبسوط </w:t>
      </w:r>
      <w:r w:rsidRPr="00282AC9">
        <w:rPr>
          <w:rFonts w:cs="DanaFajr" w:hint="cs"/>
          <w:sz w:val="28"/>
          <w:szCs w:val="28"/>
          <w:rtl/>
        </w:rPr>
        <w:t>6: 31.</w:t>
      </w:r>
    </w:p>
  </w:endnote>
  <w:endnote w:id="10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حسين الحلّي، بحوث فقهية: 210، مؤسّسة المنار.</w:t>
      </w:r>
    </w:p>
  </w:endnote>
  <w:endnote w:id="10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مرتضى مطهَّري، إسلام ومقتضيات زمان (الإسلام ومتطلّبات العصر) 2: 59. (مصدر فارسي).</w:t>
      </w:r>
    </w:p>
  </w:endnote>
  <w:endnote w:id="10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السيد اليزدي، ملحقات العروة الوثقى 1: 75، المسألة 33.</w:t>
      </w:r>
    </w:p>
  </w:endnote>
  <w:endnote w:id="10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أحمد كسروي، تاريخ مشروطه إيران (تاريخ الحركة الدستورية في إيران) 2: 617، انتشارات أمير كبير. (مصدر فارسي).</w:t>
      </w:r>
    </w:p>
  </w:endnote>
  <w:endnote w:id="10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رضا أستادي، ده فتواي مذهبي وسياسي (عشر فتاوى دينية وسياسية)، مجلة نور علم، العدد 5: 18، الدورة الثانية.</w:t>
      </w:r>
      <w:r w:rsidRPr="00282AC9">
        <w:rPr>
          <w:rFonts w:cs="DanaFajr"/>
          <w:sz w:val="28"/>
          <w:szCs w:val="28"/>
          <w:rtl/>
        </w:rPr>
        <w:t xml:space="preserve"> (مصدر فارسي).</w:t>
      </w:r>
    </w:p>
  </w:endnote>
  <w:endnote w:id="10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علي دواني، نهضت روحانيون إيران (ثورة علماء الدين في إيران) 1: 209. </w:t>
      </w:r>
      <w:r w:rsidRPr="00282AC9">
        <w:rPr>
          <w:rFonts w:cs="DanaFajr"/>
          <w:sz w:val="28"/>
          <w:szCs w:val="28"/>
          <w:rtl/>
        </w:rPr>
        <w:t>(مصدر فارسي).</w:t>
      </w:r>
    </w:p>
  </w:endnote>
  <w:endnote w:id="11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مجلة نور علم، العدد 6، الدَّوْرة الثالثة.</w:t>
      </w:r>
      <w:r w:rsidRPr="00282AC9">
        <w:rPr>
          <w:rFonts w:cs="DanaFajr"/>
          <w:sz w:val="28"/>
          <w:szCs w:val="28"/>
          <w:rtl/>
        </w:rPr>
        <w:t xml:space="preserve"> (مصدر فارسي).</w:t>
      </w:r>
    </w:p>
  </w:endnote>
  <w:endnote w:id="111">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العدد 1: 84.</w:t>
      </w:r>
    </w:p>
  </w:endnote>
  <w:endnote w:id="11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روحانيت وملّي شدن صنعت نفط (علماء الدين وتأميم النفط): 56. </w:t>
      </w:r>
      <w:r w:rsidRPr="00282AC9">
        <w:rPr>
          <w:rFonts w:cs="DanaFajr"/>
          <w:sz w:val="28"/>
          <w:szCs w:val="28"/>
          <w:rtl/>
        </w:rPr>
        <w:t>(مصدر فارسي).</w:t>
      </w:r>
    </w:p>
  </w:endnote>
  <w:endnote w:id="11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hint="eastAsia"/>
          <w:sz w:val="28"/>
          <w:szCs w:val="28"/>
          <w:rtl/>
        </w:rPr>
        <w:t>موسوعة</w:t>
      </w:r>
      <w:r w:rsidRPr="00282AC9">
        <w:rPr>
          <w:rFonts w:cs="DanaFajr"/>
          <w:sz w:val="28"/>
          <w:szCs w:val="28"/>
          <w:rtl/>
        </w:rPr>
        <w:t xml:space="preserve"> </w:t>
      </w:r>
      <w:r w:rsidRPr="00282AC9">
        <w:rPr>
          <w:rFonts w:cs="DanaFajr" w:hint="eastAsia"/>
          <w:sz w:val="28"/>
          <w:szCs w:val="28"/>
          <w:rtl/>
        </w:rPr>
        <w:t>الموسم</w:t>
      </w:r>
      <w:r w:rsidRPr="00282AC9">
        <w:rPr>
          <w:rFonts w:cs="DanaFajr"/>
          <w:sz w:val="28"/>
          <w:szCs w:val="28"/>
          <w:rtl/>
        </w:rPr>
        <w:t xml:space="preserve"> </w:t>
      </w:r>
      <w:r w:rsidRPr="00282AC9">
        <w:rPr>
          <w:rFonts w:cs="DanaFajr" w:hint="cs"/>
          <w:sz w:val="28"/>
          <w:szCs w:val="28"/>
          <w:rtl/>
        </w:rPr>
        <w:t>(</w:t>
      </w:r>
      <w:r w:rsidRPr="00282AC9">
        <w:rPr>
          <w:rFonts w:cs="DanaFajr" w:hint="eastAsia"/>
          <w:sz w:val="28"/>
          <w:szCs w:val="28"/>
          <w:rtl/>
        </w:rPr>
        <w:t>الشيعة</w:t>
      </w:r>
      <w:r w:rsidRPr="00282AC9">
        <w:rPr>
          <w:rFonts w:cs="DanaFajr"/>
          <w:sz w:val="28"/>
          <w:szCs w:val="28"/>
          <w:rtl/>
        </w:rPr>
        <w:t xml:space="preserve"> </w:t>
      </w:r>
      <w:r w:rsidRPr="00282AC9">
        <w:rPr>
          <w:rFonts w:cs="DanaFajr" w:hint="eastAsia"/>
          <w:sz w:val="28"/>
          <w:szCs w:val="28"/>
          <w:rtl/>
        </w:rPr>
        <w:t>والشيوعية</w:t>
      </w:r>
      <w:r w:rsidRPr="00282AC9">
        <w:rPr>
          <w:rFonts w:cs="DanaFajr" w:hint="cs"/>
          <w:sz w:val="28"/>
          <w:szCs w:val="28"/>
          <w:rtl/>
        </w:rPr>
        <w:t>،</w:t>
      </w:r>
      <w:r w:rsidRPr="00282AC9">
        <w:rPr>
          <w:rFonts w:cs="DanaFajr"/>
          <w:sz w:val="28"/>
          <w:szCs w:val="28"/>
          <w:rtl/>
        </w:rPr>
        <w:t xml:space="preserve"> </w:t>
      </w:r>
      <w:r w:rsidRPr="00282AC9">
        <w:rPr>
          <w:rFonts w:cs="DanaFajr" w:hint="eastAsia"/>
          <w:sz w:val="28"/>
          <w:szCs w:val="28"/>
          <w:rtl/>
        </w:rPr>
        <w:t>مساجلات</w:t>
      </w:r>
      <w:r w:rsidRPr="00282AC9">
        <w:rPr>
          <w:rFonts w:cs="DanaFajr"/>
          <w:sz w:val="28"/>
          <w:szCs w:val="28"/>
          <w:rtl/>
        </w:rPr>
        <w:t xml:space="preserve"> </w:t>
      </w:r>
      <w:r w:rsidRPr="00282AC9">
        <w:rPr>
          <w:rFonts w:cs="DanaFajr" w:hint="eastAsia"/>
          <w:sz w:val="28"/>
          <w:szCs w:val="28"/>
          <w:rtl/>
        </w:rPr>
        <w:t>في</w:t>
      </w:r>
      <w:r w:rsidRPr="00282AC9">
        <w:rPr>
          <w:rFonts w:cs="DanaFajr"/>
          <w:sz w:val="28"/>
          <w:szCs w:val="28"/>
          <w:rtl/>
        </w:rPr>
        <w:t xml:space="preserve"> </w:t>
      </w:r>
      <w:r w:rsidRPr="00282AC9">
        <w:rPr>
          <w:rFonts w:cs="DanaFajr" w:hint="eastAsia"/>
          <w:sz w:val="28"/>
          <w:szCs w:val="28"/>
          <w:rtl/>
        </w:rPr>
        <w:t>الدين</w:t>
      </w:r>
      <w:r w:rsidRPr="00282AC9">
        <w:rPr>
          <w:rFonts w:cs="DanaFajr"/>
          <w:sz w:val="28"/>
          <w:szCs w:val="28"/>
          <w:rtl/>
        </w:rPr>
        <w:t xml:space="preserve"> </w:t>
      </w:r>
      <w:r w:rsidRPr="00282AC9">
        <w:rPr>
          <w:rFonts w:cs="DanaFajr" w:hint="eastAsia"/>
          <w:sz w:val="28"/>
          <w:szCs w:val="28"/>
          <w:rtl/>
        </w:rPr>
        <w:t>والماركسية</w:t>
      </w:r>
      <w:r w:rsidRPr="00282AC9">
        <w:rPr>
          <w:rFonts w:cs="DanaFajr"/>
          <w:sz w:val="28"/>
          <w:szCs w:val="28"/>
          <w:rtl/>
        </w:rPr>
        <w:t xml:space="preserve"> </w:t>
      </w:r>
      <w:r w:rsidRPr="00282AC9">
        <w:rPr>
          <w:rFonts w:cs="DanaFajr" w:hint="cs"/>
          <w:sz w:val="28"/>
          <w:szCs w:val="28"/>
          <w:rtl/>
        </w:rPr>
        <w:t>/</w:t>
      </w:r>
      <w:r w:rsidRPr="00282AC9">
        <w:rPr>
          <w:rFonts w:cs="DanaFajr"/>
          <w:sz w:val="28"/>
          <w:szCs w:val="28"/>
          <w:rtl/>
        </w:rPr>
        <w:t xml:space="preserve"> </w:t>
      </w:r>
      <w:r w:rsidRPr="00282AC9">
        <w:rPr>
          <w:rFonts w:cs="DanaFajr" w:hint="eastAsia"/>
          <w:sz w:val="28"/>
          <w:szCs w:val="28"/>
          <w:rtl/>
        </w:rPr>
        <w:t>القسم</w:t>
      </w:r>
      <w:r w:rsidRPr="00282AC9">
        <w:rPr>
          <w:rFonts w:cs="DanaFajr"/>
          <w:sz w:val="28"/>
          <w:szCs w:val="28"/>
          <w:rtl/>
        </w:rPr>
        <w:t xml:space="preserve"> </w:t>
      </w:r>
      <w:r w:rsidRPr="00282AC9">
        <w:rPr>
          <w:rFonts w:cs="DanaFajr" w:hint="eastAsia"/>
          <w:sz w:val="28"/>
          <w:szCs w:val="28"/>
          <w:rtl/>
        </w:rPr>
        <w:t>الأو</w:t>
      </w:r>
      <w:r w:rsidRPr="00282AC9">
        <w:rPr>
          <w:rFonts w:cs="DanaFajr" w:hint="cs"/>
          <w:sz w:val="28"/>
          <w:szCs w:val="28"/>
          <w:rtl/>
        </w:rPr>
        <w:t>ّ</w:t>
      </w:r>
      <w:r w:rsidRPr="00282AC9">
        <w:rPr>
          <w:rFonts w:cs="DanaFajr" w:hint="eastAsia"/>
          <w:sz w:val="28"/>
          <w:szCs w:val="28"/>
          <w:rtl/>
        </w:rPr>
        <w:t>ل</w:t>
      </w:r>
      <w:r w:rsidRPr="00282AC9">
        <w:rPr>
          <w:rFonts w:cs="DanaFajr" w:hint="cs"/>
          <w:sz w:val="28"/>
          <w:szCs w:val="28"/>
          <w:rtl/>
        </w:rPr>
        <w:t>)</w:t>
      </w:r>
      <w:r w:rsidRPr="00282AC9">
        <w:rPr>
          <w:rFonts w:cs="DanaFajr" w:hint="eastAsia"/>
          <w:sz w:val="28"/>
          <w:szCs w:val="28"/>
          <w:rtl/>
        </w:rPr>
        <w:t>،</w:t>
      </w:r>
      <w:r w:rsidRPr="00282AC9">
        <w:rPr>
          <w:rFonts w:cs="DanaFajr"/>
          <w:sz w:val="28"/>
          <w:szCs w:val="28"/>
          <w:rtl/>
        </w:rPr>
        <w:t xml:space="preserve"> </w:t>
      </w:r>
      <w:r w:rsidRPr="00282AC9">
        <w:rPr>
          <w:rFonts w:cs="DanaFajr" w:hint="cs"/>
          <w:sz w:val="28"/>
          <w:szCs w:val="28"/>
          <w:rtl/>
        </w:rPr>
        <w:t xml:space="preserve">العدد 89: 101، تصدر في هولندا، </w:t>
      </w:r>
      <w:r w:rsidRPr="00282AC9">
        <w:rPr>
          <w:rFonts w:cs="DanaFajr" w:hint="eastAsia"/>
          <w:sz w:val="28"/>
          <w:szCs w:val="28"/>
          <w:rtl/>
        </w:rPr>
        <w:t>صاحبها</w:t>
      </w:r>
      <w:r w:rsidRPr="00282AC9">
        <w:rPr>
          <w:rFonts w:cs="DanaFajr"/>
          <w:sz w:val="28"/>
          <w:szCs w:val="28"/>
          <w:rtl/>
        </w:rPr>
        <w:t xml:space="preserve"> </w:t>
      </w:r>
      <w:r w:rsidRPr="00282AC9">
        <w:rPr>
          <w:rFonts w:cs="DanaFajr" w:hint="eastAsia"/>
          <w:sz w:val="28"/>
          <w:szCs w:val="28"/>
          <w:rtl/>
        </w:rPr>
        <w:t>ورئيس</w:t>
      </w:r>
      <w:r w:rsidRPr="00282AC9">
        <w:rPr>
          <w:rFonts w:cs="DanaFajr"/>
          <w:sz w:val="28"/>
          <w:szCs w:val="28"/>
          <w:rtl/>
        </w:rPr>
        <w:t xml:space="preserve"> </w:t>
      </w:r>
      <w:r w:rsidRPr="00282AC9">
        <w:rPr>
          <w:rFonts w:cs="DanaFajr" w:hint="eastAsia"/>
          <w:sz w:val="28"/>
          <w:szCs w:val="28"/>
          <w:rtl/>
        </w:rPr>
        <w:t>تحريرها</w:t>
      </w:r>
      <w:r w:rsidRPr="00282AC9">
        <w:rPr>
          <w:rFonts w:cs="DanaFajr"/>
          <w:sz w:val="28"/>
          <w:szCs w:val="28"/>
          <w:rtl/>
        </w:rPr>
        <w:t xml:space="preserve">: </w:t>
      </w:r>
      <w:r w:rsidRPr="00282AC9">
        <w:rPr>
          <w:rFonts w:cs="DanaFajr" w:hint="eastAsia"/>
          <w:sz w:val="28"/>
          <w:szCs w:val="28"/>
          <w:rtl/>
        </w:rPr>
        <w:t>محمد</w:t>
      </w:r>
      <w:r w:rsidRPr="00282AC9">
        <w:rPr>
          <w:rFonts w:cs="DanaFajr"/>
          <w:sz w:val="28"/>
          <w:szCs w:val="28"/>
          <w:rtl/>
        </w:rPr>
        <w:t xml:space="preserve"> </w:t>
      </w:r>
      <w:r w:rsidRPr="00282AC9">
        <w:rPr>
          <w:rFonts w:cs="DanaFajr" w:hint="eastAsia"/>
          <w:sz w:val="28"/>
          <w:szCs w:val="28"/>
          <w:rtl/>
        </w:rPr>
        <w:t>سعيد</w:t>
      </w:r>
      <w:r w:rsidRPr="00282AC9">
        <w:rPr>
          <w:rFonts w:cs="DanaFajr"/>
          <w:sz w:val="28"/>
          <w:szCs w:val="28"/>
          <w:rtl/>
        </w:rPr>
        <w:t xml:space="preserve"> </w:t>
      </w:r>
      <w:r w:rsidRPr="00282AC9">
        <w:rPr>
          <w:rFonts w:cs="DanaFajr" w:hint="eastAsia"/>
          <w:sz w:val="28"/>
          <w:szCs w:val="28"/>
          <w:rtl/>
        </w:rPr>
        <w:t>الطريح</w:t>
      </w:r>
      <w:r w:rsidRPr="00282AC9">
        <w:rPr>
          <w:rFonts w:cs="DanaFajr" w:hint="cs"/>
          <w:sz w:val="28"/>
          <w:szCs w:val="28"/>
          <w:rtl/>
        </w:rPr>
        <w:t xml:space="preserve">ي، </w:t>
      </w:r>
      <w:r w:rsidRPr="00282AC9">
        <w:rPr>
          <w:rFonts w:cs="DanaFajr" w:hint="eastAsia"/>
          <w:sz w:val="28"/>
          <w:szCs w:val="28"/>
          <w:rtl/>
        </w:rPr>
        <w:t>السنة</w:t>
      </w:r>
      <w:r w:rsidRPr="00282AC9">
        <w:rPr>
          <w:rFonts w:cs="DanaFajr" w:hint="cs"/>
          <w:sz w:val="28"/>
          <w:szCs w:val="28"/>
          <w:rtl/>
        </w:rPr>
        <w:t xml:space="preserve"> </w:t>
      </w:r>
      <w:r w:rsidRPr="00282AC9">
        <w:rPr>
          <w:rFonts w:cs="DanaFajr"/>
          <w:sz w:val="28"/>
          <w:szCs w:val="28"/>
          <w:rtl/>
        </w:rPr>
        <w:t>23</w:t>
      </w:r>
      <w:r w:rsidRPr="00282AC9">
        <w:rPr>
          <w:rFonts w:cs="DanaFajr" w:hint="eastAsia"/>
          <w:sz w:val="28"/>
          <w:szCs w:val="28"/>
          <w:rtl/>
        </w:rPr>
        <w:t>،</w:t>
      </w:r>
      <w:r w:rsidRPr="00282AC9">
        <w:rPr>
          <w:rFonts w:cs="DanaFajr"/>
          <w:sz w:val="28"/>
          <w:szCs w:val="28"/>
          <w:rtl/>
        </w:rPr>
        <w:t xml:space="preserve"> 2011</w:t>
      </w:r>
      <w:r w:rsidRPr="00282AC9">
        <w:rPr>
          <w:rFonts w:cs="DanaFajr" w:hint="cs"/>
          <w:sz w:val="28"/>
          <w:szCs w:val="28"/>
          <w:rtl/>
        </w:rPr>
        <w:t>.</w:t>
      </w:r>
    </w:p>
  </w:endnote>
  <w:endnote w:id="11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تشيُّع ومشروطيت در إيران (التشيُّع والدستورية المَلَكيّة في إيران): 174. </w:t>
      </w:r>
      <w:r w:rsidRPr="00282AC9">
        <w:rPr>
          <w:rFonts w:cs="DanaFajr"/>
          <w:sz w:val="28"/>
          <w:szCs w:val="28"/>
          <w:rtl/>
        </w:rPr>
        <w:t>(مصدر فارسي).</w:t>
      </w:r>
    </w:p>
  </w:endnote>
  <w:endnote w:id="11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مجلة نور علم، العدد 5: 21، الدَّوْرة الثانية.</w:t>
      </w:r>
    </w:p>
  </w:endnote>
  <w:endnote w:id="11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إبراهيم تيموري، تحريم تنباكو، أوّلين مقاومت منفي در إيران (حرمة التنباك، المقاومة السلبية الأولى في إيران). (مصدر فارسي).</w:t>
      </w:r>
    </w:p>
  </w:endnote>
  <w:endnote w:id="11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الإمام روح الله الخميني، صحيفه نور (صحيفة النور) </w:t>
      </w:r>
      <w:r w:rsidRPr="00282AC9">
        <w:rPr>
          <w:rFonts w:cs="DanaFajr" w:hint="cs"/>
          <w:sz w:val="28"/>
          <w:szCs w:val="28"/>
          <w:rtl/>
        </w:rPr>
        <w:t>4</w:t>
      </w:r>
      <w:r w:rsidRPr="00282AC9">
        <w:rPr>
          <w:rFonts w:cs="DanaFajr"/>
          <w:sz w:val="28"/>
          <w:szCs w:val="28"/>
          <w:rtl/>
        </w:rPr>
        <w:t xml:space="preserve">: </w:t>
      </w:r>
      <w:r w:rsidRPr="00282AC9">
        <w:rPr>
          <w:rFonts w:cs="DanaFajr" w:hint="cs"/>
          <w:sz w:val="28"/>
          <w:szCs w:val="28"/>
          <w:rtl/>
        </w:rPr>
        <w:t xml:space="preserve">207، مركز مدارك </w:t>
      </w:r>
      <w:r w:rsidRPr="00282AC9">
        <w:rPr>
          <w:rFonts w:ascii="Mosawi" w:hAnsi="Mosawi" w:cs="Abz-3 (Yagut)" w:hint="cs"/>
          <w:rtl/>
          <w:lang w:val="x-none" w:eastAsia="x-none"/>
        </w:rPr>
        <w:t>فرهنگي</w:t>
      </w:r>
      <w:r w:rsidRPr="00282AC9">
        <w:rPr>
          <w:rFonts w:cs="DanaFajr" w:hint="cs"/>
          <w:sz w:val="28"/>
          <w:szCs w:val="28"/>
          <w:rtl/>
        </w:rPr>
        <w:t xml:space="preserve"> انقلاب إسلامي</w:t>
      </w:r>
      <w:r w:rsidRPr="00282AC9">
        <w:rPr>
          <w:rFonts w:cs="DanaFajr"/>
          <w:sz w:val="28"/>
          <w:szCs w:val="28"/>
          <w:rtl/>
        </w:rPr>
        <w:t>. (مصدر فارسي).</w:t>
      </w:r>
    </w:p>
  </w:endnote>
  <w:endnote w:id="11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5: 27.</w:t>
      </w:r>
    </w:p>
  </w:endnote>
  <w:endnote w:id="11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5: 123.</w:t>
      </w:r>
    </w:p>
  </w:endnote>
  <w:endnote w:id="12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5: 124.</w:t>
      </w:r>
    </w:p>
  </w:endnote>
  <w:endnote w:id="121">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8: 253.</w:t>
      </w:r>
    </w:p>
  </w:endnote>
  <w:endnote w:id="122">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9: 176.</w:t>
      </w:r>
    </w:p>
  </w:endnote>
  <w:endnote w:id="123">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10: 172؛ وانظر أيضاً: 20: 170. (مصدر فارسي).</w:t>
      </w:r>
    </w:p>
  </w:endnote>
  <w:endnote w:id="124">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الشيخ </w:t>
      </w:r>
      <w:r w:rsidRPr="00282AC9">
        <w:rPr>
          <w:rFonts w:cs="DanaFajr"/>
          <w:sz w:val="28"/>
          <w:szCs w:val="28"/>
          <w:rtl/>
        </w:rPr>
        <w:t xml:space="preserve">مرتضى </w:t>
      </w:r>
      <w:r w:rsidRPr="00282AC9">
        <w:rPr>
          <w:rFonts w:cs="DanaFajr" w:hint="cs"/>
          <w:sz w:val="28"/>
          <w:szCs w:val="28"/>
          <w:rtl/>
        </w:rPr>
        <w:t>م</w:t>
      </w:r>
      <w:r w:rsidRPr="00282AC9">
        <w:rPr>
          <w:rFonts w:cs="DanaFajr"/>
          <w:sz w:val="28"/>
          <w:szCs w:val="28"/>
          <w:rtl/>
        </w:rPr>
        <w:t>طه</w:t>
      </w:r>
      <w:r w:rsidRPr="00282AC9">
        <w:rPr>
          <w:rFonts w:cs="DanaFajr" w:hint="cs"/>
          <w:sz w:val="28"/>
          <w:szCs w:val="28"/>
          <w:rtl/>
        </w:rPr>
        <w:t>َّ</w:t>
      </w:r>
      <w:r w:rsidRPr="00282AC9">
        <w:rPr>
          <w:rFonts w:cs="DanaFajr"/>
          <w:sz w:val="28"/>
          <w:szCs w:val="28"/>
          <w:rtl/>
        </w:rPr>
        <w:t xml:space="preserve">ري، </w:t>
      </w:r>
      <w:r w:rsidRPr="00282AC9">
        <w:rPr>
          <w:rFonts w:cs="DanaFajr" w:hint="cs"/>
          <w:sz w:val="28"/>
          <w:szCs w:val="28"/>
          <w:rtl/>
        </w:rPr>
        <w:t>إ</w:t>
      </w:r>
      <w:r w:rsidRPr="00282AC9">
        <w:rPr>
          <w:rFonts w:cs="DanaFajr"/>
          <w:sz w:val="28"/>
          <w:szCs w:val="28"/>
          <w:rtl/>
        </w:rPr>
        <w:t>سلام ومقتضيات زمان (الإسلام ومتطل</w:t>
      </w:r>
      <w:r w:rsidRPr="00282AC9">
        <w:rPr>
          <w:rFonts w:cs="DanaFajr" w:hint="cs"/>
          <w:sz w:val="28"/>
          <w:szCs w:val="28"/>
          <w:rtl/>
        </w:rPr>
        <w:t>ّ</w:t>
      </w:r>
      <w:r w:rsidRPr="00282AC9">
        <w:rPr>
          <w:rFonts w:cs="DanaFajr"/>
          <w:sz w:val="28"/>
          <w:szCs w:val="28"/>
          <w:rtl/>
        </w:rPr>
        <w:t xml:space="preserve">بات العصر) </w:t>
      </w:r>
      <w:r w:rsidRPr="00282AC9">
        <w:rPr>
          <w:rFonts w:cs="DanaFajr" w:hint="cs"/>
          <w:sz w:val="28"/>
          <w:szCs w:val="28"/>
          <w:rtl/>
        </w:rPr>
        <w:t>1</w:t>
      </w:r>
      <w:r w:rsidRPr="00282AC9">
        <w:rPr>
          <w:rFonts w:cs="DanaFajr"/>
          <w:sz w:val="28"/>
          <w:szCs w:val="28"/>
          <w:rtl/>
        </w:rPr>
        <w:t xml:space="preserve">: </w:t>
      </w:r>
      <w:r w:rsidRPr="00282AC9">
        <w:rPr>
          <w:rFonts w:cs="DanaFajr" w:hint="cs"/>
          <w:sz w:val="28"/>
          <w:szCs w:val="28"/>
          <w:rtl/>
        </w:rPr>
        <w:t>17</w:t>
      </w:r>
      <w:r w:rsidRPr="00282AC9">
        <w:rPr>
          <w:rFonts w:cs="DanaFajr"/>
          <w:sz w:val="28"/>
          <w:szCs w:val="28"/>
          <w:rtl/>
        </w:rPr>
        <w:t>9. (مصدر فارسي).</w:t>
      </w:r>
    </w:p>
  </w:endnote>
  <w:endnote w:id="125">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sz w:val="28"/>
          <w:szCs w:val="28"/>
          <w:rtl/>
        </w:rPr>
        <w:t>السيد الشهيد محمد باقر الصدر، اقتصادنا 2: 362، دار الفكر.</w:t>
      </w:r>
    </w:p>
  </w:endnote>
  <w:endnote w:id="126">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363.</w:t>
      </w:r>
    </w:p>
  </w:endnote>
  <w:endnote w:id="127">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بحثي درباره مرجعيت وروحانيت، مقاله ولايت وزعامت (بحث في المرجعية والولاية، مقالة الولاية والزعامة): 85. (مصدر فارسي).</w:t>
      </w:r>
    </w:p>
  </w:endnote>
  <w:endnote w:id="128">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السيد كاظم الحائري، حكومت وإسلام، مقاله </w:t>
      </w:r>
      <w:r w:rsidRPr="00282AC9">
        <w:rPr>
          <w:rFonts w:ascii="Mosawi" w:hAnsi="Mosawi" w:cs="Abz-3 (Yagut)" w:hint="cs"/>
          <w:rtl/>
          <w:lang w:val="x-none" w:eastAsia="x-none"/>
        </w:rPr>
        <w:t>قانونگذاري</w:t>
      </w:r>
      <w:r w:rsidRPr="00282AC9">
        <w:rPr>
          <w:rFonts w:cs="DanaFajr" w:hint="cs"/>
          <w:sz w:val="28"/>
          <w:szCs w:val="28"/>
          <w:rtl/>
        </w:rPr>
        <w:t xml:space="preserve"> در نظام هاي بشري ونظام آسماني (الحكومة والإسلام، مقالة التقنين في الأنظمة البشرية والنظام السماوي): 116، نشر سازمان تبليغات إسلامي. (مصدر فارسي).</w:t>
      </w:r>
    </w:p>
  </w:endnote>
  <w:endnote w:id="129">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السيد محمود الهاشمي، مصدر التشريع ونظام الحكم في الإسلام: 70.</w:t>
      </w:r>
    </w:p>
  </w:endnote>
  <w:endnote w:id="130">
    <w:p w:rsidR="00C14EDE" w:rsidRPr="00282AC9" w:rsidRDefault="00C14EDE" w:rsidP="00CD159D">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الشيخ محمد مؤمن القمّي، حكومت در إسلام، مقالة نحوه </w:t>
      </w:r>
      <w:r w:rsidRPr="00282AC9">
        <w:rPr>
          <w:rFonts w:ascii="Mosawi" w:hAnsi="Mosawi" w:cs="Abz-3 (Yagut)"/>
          <w:rtl/>
          <w:lang w:val="x-none" w:eastAsia="x-none"/>
        </w:rPr>
        <w:t>قانونگذاري</w:t>
      </w:r>
      <w:r w:rsidRPr="00282AC9">
        <w:rPr>
          <w:rFonts w:cs="DanaFajr"/>
          <w:sz w:val="28"/>
          <w:szCs w:val="28"/>
          <w:rtl/>
        </w:rPr>
        <w:t xml:space="preserve"> در</w:t>
      </w:r>
      <w:r w:rsidRPr="00282AC9">
        <w:rPr>
          <w:rFonts w:cs="DanaFajr" w:hint="cs"/>
          <w:sz w:val="28"/>
          <w:szCs w:val="28"/>
          <w:rtl/>
        </w:rPr>
        <w:t xml:space="preserve"> حكومت إسلامي: 343.</w:t>
      </w:r>
      <w:r w:rsidRPr="00282AC9">
        <w:rPr>
          <w:rFonts w:cs="DanaFajr"/>
          <w:sz w:val="28"/>
          <w:szCs w:val="28"/>
          <w:rtl/>
        </w:rPr>
        <w:t xml:space="preserve"> (مصدر فارسي).</w:t>
      </w:r>
      <w:r w:rsidRPr="00282AC9">
        <w:rPr>
          <w:rFonts w:cs="DanaFajr" w:hint="cs"/>
          <w:sz w:val="28"/>
          <w:szCs w:val="28"/>
          <w:rtl/>
        </w:rPr>
        <w:t xml:space="preserve"> </w:t>
      </w:r>
    </w:p>
  </w:endnote>
  <w:endnote w:id="131">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مدارك الأحكام 1: 13.</w:t>
      </w:r>
    </w:p>
  </w:endnote>
  <w:endnote w:id="132">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الحدائق الناضرة 4: 198.</w:t>
      </w:r>
    </w:p>
  </w:endnote>
  <w:endnote w:id="133">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مس</w:t>
      </w:r>
      <w:r w:rsidRPr="00282AC9">
        <w:rPr>
          <w:rFonts w:ascii="Arial" w:hAnsi="Arial" w:cs="DanaFajr" w:hint="cs"/>
          <w:sz w:val="28"/>
          <w:szCs w:val="28"/>
          <w:rtl/>
          <w:lang w:bidi="ar-LB"/>
        </w:rPr>
        <w:t>ت</w:t>
      </w:r>
      <w:r w:rsidRPr="00282AC9">
        <w:rPr>
          <w:rFonts w:ascii="Arial" w:hAnsi="Arial" w:cs="DanaFajr"/>
          <w:sz w:val="28"/>
          <w:szCs w:val="28"/>
          <w:rtl/>
          <w:lang w:bidi="ar-LB"/>
        </w:rPr>
        <w:t>مسك العروة الوثقى 7: 171.</w:t>
      </w:r>
    </w:p>
  </w:endnote>
  <w:endnote w:id="134">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مصباح الأصول 2: 320.</w:t>
      </w:r>
    </w:p>
  </w:endnote>
  <w:endnote w:id="135">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مفاتيح الأصول: 345.</w:t>
      </w:r>
    </w:p>
  </w:endnote>
  <w:endnote w:id="136">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انظ</w:t>
      </w:r>
      <w:r w:rsidRPr="00282AC9">
        <w:rPr>
          <w:rFonts w:ascii="Arial" w:hAnsi="Arial" w:cs="DanaFajr" w:hint="cs"/>
          <w:sz w:val="28"/>
          <w:szCs w:val="28"/>
          <w:rtl/>
          <w:lang w:bidi="ar-LB"/>
        </w:rPr>
        <w:t>ُ</w:t>
      </w:r>
      <w:r w:rsidRPr="00282AC9">
        <w:rPr>
          <w:rFonts w:ascii="Arial" w:hAnsi="Arial" w:cs="DanaFajr"/>
          <w:sz w:val="28"/>
          <w:szCs w:val="28"/>
          <w:rtl/>
          <w:lang w:bidi="ar-LB"/>
        </w:rPr>
        <w:t>ر</w:t>
      </w:r>
      <w:r w:rsidRPr="00282AC9">
        <w:rPr>
          <w:rFonts w:ascii="Arial" w:hAnsi="Arial" w:cs="DanaFajr" w:hint="cs"/>
          <w:sz w:val="28"/>
          <w:szCs w:val="28"/>
          <w:rtl/>
          <w:lang w:bidi="ar-LB"/>
        </w:rPr>
        <w:t>ْ</w:t>
      </w:r>
      <w:r w:rsidRPr="00282AC9">
        <w:rPr>
          <w:rFonts w:ascii="Arial" w:hAnsi="Arial" w:cs="DanaFajr"/>
          <w:sz w:val="28"/>
          <w:szCs w:val="28"/>
          <w:rtl/>
          <w:lang w:bidi="ar-LB"/>
        </w:rPr>
        <w:t>: كتابه الموضوعات: 220 ـ 222.</w:t>
      </w:r>
    </w:p>
  </w:endnote>
  <w:endnote w:id="137">
    <w:p w:rsidR="00C14EDE" w:rsidRPr="00282AC9" w:rsidRDefault="00C14EDE" w:rsidP="0037059F">
      <w:pPr>
        <w:pStyle w:val="af7"/>
        <w:spacing w:line="296" w:lineRule="exact"/>
        <w:ind w:firstLine="0"/>
        <w:rPr>
          <w:rFonts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lang w:bidi="ar-LB"/>
        </w:rPr>
        <w:t>أوثق المسائل في شرح الرسائل: 300.</w:t>
      </w:r>
    </w:p>
  </w:endnote>
  <w:endnote w:id="138">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القول المسد</w:t>
      </w:r>
      <w:r w:rsidRPr="00282AC9">
        <w:rPr>
          <w:rFonts w:ascii="Arial" w:hAnsi="Arial" w:cs="DanaFajr" w:hint="cs"/>
          <w:sz w:val="28"/>
          <w:szCs w:val="28"/>
          <w:rtl/>
          <w:lang w:bidi="ar-LB"/>
        </w:rPr>
        <w:t>َّ</w:t>
      </w:r>
      <w:r w:rsidRPr="00282AC9">
        <w:rPr>
          <w:rFonts w:ascii="Arial" w:hAnsi="Arial" w:cs="DanaFajr"/>
          <w:sz w:val="28"/>
          <w:szCs w:val="28"/>
          <w:rtl/>
          <w:lang w:bidi="ar-LB"/>
        </w:rPr>
        <w:t>د في مسند أحمد: 20.</w:t>
      </w:r>
    </w:p>
  </w:endnote>
  <w:endnote w:id="139">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التمهيد 6: 39.</w:t>
      </w:r>
    </w:p>
  </w:endnote>
  <w:endnote w:id="140">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الكفاية في علم الرواية: 126.</w:t>
      </w:r>
    </w:p>
  </w:endnote>
  <w:endnote w:id="141">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نقله عنه الأ</w:t>
      </w:r>
      <w:r w:rsidRPr="00282AC9">
        <w:rPr>
          <w:rFonts w:ascii="Arial" w:hAnsi="Arial" w:cs="DanaFajr" w:hint="cs"/>
          <w:sz w:val="28"/>
          <w:szCs w:val="28"/>
          <w:rtl/>
          <w:lang w:bidi="ar-LB"/>
        </w:rPr>
        <w:t>ل</w:t>
      </w:r>
      <w:r w:rsidRPr="00282AC9">
        <w:rPr>
          <w:rFonts w:ascii="Arial" w:hAnsi="Arial" w:cs="DanaFajr"/>
          <w:sz w:val="28"/>
          <w:szCs w:val="28"/>
          <w:rtl/>
          <w:lang w:bidi="ar-LB"/>
        </w:rPr>
        <w:t>باني في تمام المن</w:t>
      </w:r>
      <w:r w:rsidRPr="00282AC9">
        <w:rPr>
          <w:rFonts w:ascii="Arial" w:hAnsi="Arial" w:cs="DanaFajr" w:hint="cs"/>
          <w:sz w:val="28"/>
          <w:szCs w:val="28"/>
          <w:rtl/>
          <w:lang w:bidi="ar-LB"/>
        </w:rPr>
        <w:t>ّ</w:t>
      </w:r>
      <w:r w:rsidRPr="00282AC9">
        <w:rPr>
          <w:rFonts w:ascii="Arial" w:hAnsi="Arial" w:cs="DanaFajr"/>
          <w:sz w:val="28"/>
          <w:szCs w:val="28"/>
          <w:rtl/>
          <w:lang w:bidi="ar-LB"/>
        </w:rPr>
        <w:t>ة</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36.</w:t>
      </w:r>
    </w:p>
  </w:endnote>
  <w:endnote w:id="142">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المجموع 5: 43.</w:t>
      </w:r>
    </w:p>
  </w:endnote>
  <w:endnote w:id="143">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تمام المن</w:t>
      </w:r>
      <w:r w:rsidRPr="00282AC9">
        <w:rPr>
          <w:rFonts w:ascii="Arial" w:hAnsi="Arial" w:cs="DanaFajr" w:hint="cs"/>
          <w:sz w:val="28"/>
          <w:szCs w:val="28"/>
          <w:rtl/>
          <w:lang w:bidi="ar-LB"/>
        </w:rPr>
        <w:t>ّ</w:t>
      </w:r>
      <w:r w:rsidRPr="00282AC9">
        <w:rPr>
          <w:rFonts w:ascii="Arial" w:hAnsi="Arial" w:cs="DanaFajr"/>
          <w:sz w:val="28"/>
          <w:szCs w:val="28"/>
          <w:rtl/>
          <w:lang w:bidi="ar-LB"/>
        </w:rPr>
        <w:t>ة: 34.</w:t>
      </w:r>
    </w:p>
  </w:endnote>
  <w:endnote w:id="144">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قال: </w:t>
      </w:r>
      <w:r w:rsidRPr="00282AC9">
        <w:rPr>
          <w:rFonts w:hint="eastAsia"/>
          <w:sz w:val="22"/>
          <w:szCs w:val="22"/>
          <w:rtl/>
        </w:rPr>
        <w:t>«</w:t>
      </w:r>
      <w:r w:rsidRPr="00282AC9">
        <w:rPr>
          <w:rFonts w:ascii="Arial" w:hAnsi="Arial" w:cs="DanaFajr"/>
          <w:sz w:val="28"/>
          <w:szCs w:val="28"/>
          <w:rtl/>
        </w:rPr>
        <w:t>قَوْلُ أَحْمَد بْنِ حَنْبَلٍ: إذَا جَاءَ الْحَلالُ وَالْحَرَامُ شَدَّدْنَا فِي الأَسَانِيدِ؛ وَإِذَا جَاءَ التَّرْغِيبُ وَالتَّرْهِيبُ تَسَاهَلْنَا فِي الأَسَانِيدِ؛ وَكَذَلِكَ مَا عَلَيْهِ الْعُلَمَاءُ مِن العَمَلِ بِالْحَدِيثِ الضَّعِيفِ فِي فَضَائِلِ الأَعْمَالِ: لَيْسَ مَعْنَاهُ إثْبَات الاسْتِحْبَابِ بِالْحَدِيثِ الَّذِي لا يُحْتَجُّ بِهِ؛ فَإِنَّ الاسْتِحْبَابَ حُكْمٌ شَرْعِيٌّ</w:t>
      </w:r>
      <w:r w:rsidRPr="00282AC9">
        <w:rPr>
          <w:rFonts w:ascii="Arial" w:hAnsi="Arial" w:cs="DanaFajr" w:hint="cs"/>
          <w:sz w:val="28"/>
          <w:szCs w:val="28"/>
          <w:rtl/>
        </w:rPr>
        <w:t>،</w:t>
      </w:r>
      <w:r w:rsidRPr="00282AC9">
        <w:rPr>
          <w:rFonts w:ascii="Arial" w:hAnsi="Arial" w:cs="DanaFajr"/>
          <w:sz w:val="28"/>
          <w:szCs w:val="28"/>
          <w:rtl/>
        </w:rPr>
        <w:t xml:space="preserve"> فَلا يَثْبُتُ إ</w:t>
      </w:r>
      <w:r w:rsidRPr="00282AC9">
        <w:rPr>
          <w:rFonts w:ascii="Arial" w:hAnsi="Arial" w:cs="DanaFajr" w:hint="cs"/>
          <w:sz w:val="28"/>
          <w:szCs w:val="28"/>
          <w:rtl/>
        </w:rPr>
        <w:t>ِ</w:t>
      </w:r>
      <w:r w:rsidRPr="00282AC9">
        <w:rPr>
          <w:rFonts w:ascii="Arial" w:hAnsi="Arial" w:cs="DanaFajr"/>
          <w:sz w:val="28"/>
          <w:szCs w:val="28"/>
          <w:rtl/>
        </w:rPr>
        <w:t>لاّ</w:t>
      </w:r>
      <w:r w:rsidRPr="00282AC9">
        <w:rPr>
          <w:rFonts w:ascii="Arial" w:hAnsi="Arial" w:cs="DanaFajr" w:hint="cs"/>
          <w:sz w:val="28"/>
          <w:szCs w:val="28"/>
          <w:rtl/>
        </w:rPr>
        <w:t>َ</w:t>
      </w:r>
      <w:r w:rsidRPr="00282AC9">
        <w:rPr>
          <w:rFonts w:ascii="Arial" w:hAnsi="Arial" w:cs="DanaFajr"/>
          <w:sz w:val="28"/>
          <w:szCs w:val="28"/>
          <w:rtl/>
        </w:rPr>
        <w:t xml:space="preserve"> بِدَلِيلِ شَرْعِيٍّ</w:t>
      </w:r>
      <w:r w:rsidRPr="00282AC9">
        <w:rPr>
          <w:rFonts w:ascii="Arial" w:hAnsi="Arial" w:cs="DanaFajr" w:hint="cs"/>
          <w:sz w:val="28"/>
          <w:szCs w:val="28"/>
          <w:rtl/>
        </w:rPr>
        <w:t>،</w:t>
      </w:r>
      <w:r w:rsidRPr="00282AC9">
        <w:rPr>
          <w:rFonts w:ascii="Arial" w:hAnsi="Arial" w:cs="DanaFajr"/>
          <w:sz w:val="28"/>
          <w:szCs w:val="28"/>
          <w:rtl/>
        </w:rPr>
        <w:t xml:space="preserve"> وَمَنْ أَخْبَرَ عَنْ اللهِ أَنَّهُ يُحِبُّ عَمَلاً مِن الأَعْمَالِ مِنْ غَيْرِ دَلِيلٍ شَرْعِيٍّ فَقَدْ شَرَعَ مِن الدِّينِ مَا لَمْ يَأْذَنْ بِهِ اللهُ</w:t>
      </w:r>
      <w:r w:rsidRPr="00282AC9">
        <w:rPr>
          <w:rFonts w:ascii="Arial" w:hAnsi="Arial" w:cs="DanaFajr" w:hint="cs"/>
          <w:sz w:val="28"/>
          <w:szCs w:val="28"/>
          <w:rtl/>
        </w:rPr>
        <w:t>،</w:t>
      </w:r>
      <w:r w:rsidRPr="00282AC9">
        <w:rPr>
          <w:rFonts w:ascii="Arial" w:hAnsi="Arial" w:cs="DanaFajr"/>
          <w:sz w:val="28"/>
          <w:szCs w:val="28"/>
          <w:rtl/>
        </w:rPr>
        <w:t xml:space="preserve"> كَمَا لَوْ أَثْبَتَ الإِيجَابَ أَوْ التَّحْرِيمَ</w:t>
      </w:r>
      <w:r w:rsidRPr="00282AC9">
        <w:rPr>
          <w:rFonts w:ascii="Arial" w:hAnsi="Arial" w:cs="DanaFajr" w:hint="cs"/>
          <w:sz w:val="28"/>
          <w:szCs w:val="28"/>
          <w:rtl/>
        </w:rPr>
        <w:t>.</w:t>
      </w:r>
      <w:r w:rsidRPr="00282AC9">
        <w:rPr>
          <w:rFonts w:ascii="Arial" w:hAnsi="Arial" w:cs="DanaFajr"/>
          <w:sz w:val="28"/>
          <w:szCs w:val="28"/>
          <w:rtl/>
        </w:rPr>
        <w:t xml:space="preserve"> وَلِهَذَا يَخْتَلِفُ الْعُلَمَاءُ فِي الاسْتِحْبَابِ</w:t>
      </w:r>
      <w:r w:rsidRPr="00282AC9">
        <w:rPr>
          <w:rFonts w:ascii="Arial" w:hAnsi="Arial" w:cs="DanaFajr" w:hint="cs"/>
          <w:sz w:val="28"/>
          <w:szCs w:val="28"/>
          <w:rtl/>
        </w:rPr>
        <w:t>،</w:t>
      </w:r>
      <w:r w:rsidRPr="00282AC9">
        <w:rPr>
          <w:rFonts w:ascii="Arial" w:hAnsi="Arial" w:cs="DanaFajr"/>
          <w:sz w:val="28"/>
          <w:szCs w:val="28"/>
          <w:rtl/>
        </w:rPr>
        <w:t xml:space="preserve"> كَمَا يَخْتَلِفُونَ فِي غَيْرِهِ</w:t>
      </w:r>
      <w:r w:rsidRPr="00282AC9">
        <w:rPr>
          <w:rFonts w:ascii="Arial" w:hAnsi="Arial" w:cs="DanaFajr" w:hint="cs"/>
          <w:sz w:val="28"/>
          <w:szCs w:val="28"/>
          <w:rtl/>
        </w:rPr>
        <w:t>،</w:t>
      </w:r>
      <w:r w:rsidRPr="00282AC9">
        <w:rPr>
          <w:rFonts w:ascii="Arial" w:hAnsi="Arial" w:cs="DanaFajr"/>
          <w:sz w:val="28"/>
          <w:szCs w:val="28"/>
          <w:rtl/>
        </w:rPr>
        <w:t xml:space="preserve"> بَلْ هُوَ أَصْلُ الدِّينِ الْمَشْرُوعِ، وَإِنَّمَا مُرَادُهُمْ بِذَلِكَ: أَنْ يَكُونَ الْعَمَلُ مِمَّا قَدْ ثَبَتَ أَنَّهُ مِمَّا يُحِبُّهُ اللهُ</w:t>
      </w:r>
      <w:r w:rsidRPr="00282AC9">
        <w:rPr>
          <w:rFonts w:ascii="Arial" w:hAnsi="Arial" w:cs="DanaFajr" w:hint="cs"/>
          <w:sz w:val="28"/>
          <w:szCs w:val="28"/>
          <w:rtl/>
        </w:rPr>
        <w:t>،</w:t>
      </w:r>
      <w:r w:rsidRPr="00282AC9">
        <w:rPr>
          <w:rFonts w:ascii="Arial" w:hAnsi="Arial" w:cs="DanaFajr"/>
          <w:sz w:val="28"/>
          <w:szCs w:val="28"/>
          <w:rtl/>
        </w:rPr>
        <w:t xml:space="preserve"> أَوْ مِمَّا يَكْرَهُهُ اللهُ</w:t>
      </w:r>
      <w:r w:rsidRPr="00282AC9">
        <w:rPr>
          <w:rFonts w:ascii="Arial" w:hAnsi="Arial" w:cs="DanaFajr" w:hint="cs"/>
          <w:sz w:val="28"/>
          <w:szCs w:val="28"/>
          <w:rtl/>
        </w:rPr>
        <w:t>،</w:t>
      </w:r>
      <w:r w:rsidRPr="00282AC9">
        <w:rPr>
          <w:rFonts w:ascii="Arial" w:hAnsi="Arial" w:cs="DanaFajr"/>
          <w:sz w:val="28"/>
          <w:szCs w:val="28"/>
          <w:rtl/>
        </w:rPr>
        <w:t xml:space="preserve"> بِنَصّ</w:t>
      </w:r>
      <w:r w:rsidRPr="00282AC9">
        <w:rPr>
          <w:rFonts w:ascii="Arial" w:hAnsi="Arial" w:cs="DanaFajr" w:hint="cs"/>
          <w:sz w:val="28"/>
          <w:szCs w:val="28"/>
          <w:rtl/>
        </w:rPr>
        <w:t>ٍ</w:t>
      </w:r>
      <w:r w:rsidRPr="00282AC9">
        <w:rPr>
          <w:rFonts w:ascii="Arial" w:hAnsi="Arial" w:cs="DanaFajr"/>
          <w:sz w:val="28"/>
          <w:szCs w:val="28"/>
          <w:rtl/>
        </w:rPr>
        <w:t xml:space="preserve"> أَوْ إجْمَاعٍ</w:t>
      </w:r>
      <w:r w:rsidRPr="00282AC9">
        <w:rPr>
          <w:rFonts w:ascii="Arial" w:hAnsi="Arial" w:cs="DanaFajr" w:hint="cs"/>
          <w:sz w:val="28"/>
          <w:szCs w:val="28"/>
          <w:rtl/>
        </w:rPr>
        <w:t>،</w:t>
      </w:r>
      <w:r w:rsidRPr="00282AC9">
        <w:rPr>
          <w:rFonts w:ascii="Arial" w:hAnsi="Arial" w:cs="DanaFajr"/>
          <w:sz w:val="28"/>
          <w:szCs w:val="28"/>
          <w:rtl/>
        </w:rPr>
        <w:t xml:space="preserve"> كَتِلاوَةِ الْقُرْآنِ؛ وَالتَّسْبِيحِ</w:t>
      </w:r>
      <w:r w:rsidRPr="00282AC9">
        <w:rPr>
          <w:rFonts w:ascii="Arial" w:hAnsi="Arial" w:cs="DanaFajr" w:hint="cs"/>
          <w:sz w:val="28"/>
          <w:szCs w:val="28"/>
          <w:rtl/>
        </w:rPr>
        <w:t>؛</w:t>
      </w:r>
      <w:r w:rsidRPr="00282AC9">
        <w:rPr>
          <w:rFonts w:ascii="Arial" w:hAnsi="Arial" w:cs="DanaFajr"/>
          <w:sz w:val="28"/>
          <w:szCs w:val="28"/>
          <w:rtl/>
        </w:rPr>
        <w:t xml:space="preserve"> وَالدُّعَاءِ؛ وَالصَّدَقَةِ</w:t>
      </w:r>
      <w:r w:rsidRPr="00282AC9">
        <w:rPr>
          <w:rFonts w:ascii="Arial" w:hAnsi="Arial" w:cs="DanaFajr" w:hint="cs"/>
          <w:sz w:val="28"/>
          <w:szCs w:val="28"/>
          <w:rtl/>
        </w:rPr>
        <w:t>؛</w:t>
      </w:r>
      <w:r w:rsidRPr="00282AC9">
        <w:rPr>
          <w:rFonts w:ascii="Arial" w:hAnsi="Arial" w:cs="DanaFajr"/>
          <w:sz w:val="28"/>
          <w:szCs w:val="28"/>
          <w:rtl/>
        </w:rPr>
        <w:t xml:space="preserve"> وَالْعِتْقِ؛ وَالإِحْسَانِ إ</w:t>
      </w:r>
      <w:r w:rsidRPr="00282AC9">
        <w:rPr>
          <w:rFonts w:ascii="Arial" w:hAnsi="Arial" w:cs="DanaFajr" w:hint="cs"/>
          <w:sz w:val="28"/>
          <w:szCs w:val="28"/>
          <w:rtl/>
        </w:rPr>
        <w:t>ِ</w:t>
      </w:r>
      <w:r w:rsidRPr="00282AC9">
        <w:rPr>
          <w:rFonts w:ascii="Arial" w:hAnsi="Arial" w:cs="DanaFajr"/>
          <w:sz w:val="28"/>
          <w:szCs w:val="28"/>
          <w:rtl/>
        </w:rPr>
        <w:t>لَى النَّاسِ؛ وَكَرَاهَةِ الْكَذِبِ</w:t>
      </w:r>
      <w:r w:rsidRPr="00282AC9">
        <w:rPr>
          <w:rFonts w:ascii="Arial" w:hAnsi="Arial" w:cs="DanaFajr" w:hint="cs"/>
          <w:sz w:val="28"/>
          <w:szCs w:val="28"/>
          <w:rtl/>
        </w:rPr>
        <w:t>؛</w:t>
      </w:r>
      <w:r w:rsidRPr="00282AC9">
        <w:rPr>
          <w:rFonts w:ascii="Arial" w:hAnsi="Arial" w:cs="DanaFajr"/>
          <w:sz w:val="28"/>
          <w:szCs w:val="28"/>
          <w:rtl/>
        </w:rPr>
        <w:t xml:space="preserve"> وَالْخِيَانَةِ؛ وَنَحْوِ ذَلِكَ</w:t>
      </w:r>
      <w:r w:rsidRPr="00282AC9">
        <w:rPr>
          <w:rFonts w:ascii="Arial" w:hAnsi="Arial" w:cs="DanaFajr" w:hint="cs"/>
          <w:sz w:val="28"/>
          <w:szCs w:val="28"/>
          <w:rtl/>
        </w:rPr>
        <w:t>.</w:t>
      </w:r>
      <w:r w:rsidRPr="00282AC9">
        <w:rPr>
          <w:rFonts w:ascii="Arial" w:hAnsi="Arial" w:cs="DanaFajr"/>
          <w:sz w:val="28"/>
          <w:szCs w:val="28"/>
          <w:rtl/>
        </w:rPr>
        <w:t xml:space="preserve"> فَإِذَا رُوِيَ حَدِيثٌ فِي فَضْلِ بَعْضِ الأَعْمَالِ الْمُسْتَحَبَّةِ وَثَوَابِهَا</w:t>
      </w:r>
      <w:r w:rsidRPr="00282AC9">
        <w:rPr>
          <w:rFonts w:ascii="Arial" w:hAnsi="Arial" w:cs="DanaFajr" w:hint="cs"/>
          <w:sz w:val="28"/>
          <w:szCs w:val="28"/>
          <w:rtl/>
        </w:rPr>
        <w:t xml:space="preserve">، </w:t>
      </w:r>
      <w:r w:rsidRPr="00282AC9">
        <w:rPr>
          <w:rFonts w:ascii="Arial" w:hAnsi="Arial" w:cs="DanaFajr"/>
          <w:sz w:val="28"/>
          <w:szCs w:val="28"/>
          <w:rtl/>
        </w:rPr>
        <w:t>وَكَرَاهَةِ بَعْضِ الأَعْمَالِ وَعِقَابِهَا</w:t>
      </w:r>
      <w:r w:rsidRPr="00282AC9">
        <w:rPr>
          <w:rFonts w:ascii="Arial" w:hAnsi="Arial" w:cs="DanaFajr" w:hint="cs"/>
          <w:sz w:val="28"/>
          <w:szCs w:val="28"/>
          <w:rtl/>
        </w:rPr>
        <w:t>،</w:t>
      </w:r>
      <w:r w:rsidRPr="00282AC9">
        <w:rPr>
          <w:rFonts w:ascii="Arial" w:hAnsi="Arial" w:cs="DanaFajr"/>
          <w:sz w:val="28"/>
          <w:szCs w:val="28"/>
          <w:rtl/>
        </w:rPr>
        <w:t xml:space="preserve"> فَمَقَادِيرُ الثَّوَابِ وَالْعِقَابِ وَأَنْوَاعُهُ إذَا رُوِيَ فِيهَا حَدِيثٌ لا نَعْلَمُ أَنَّهُ مَوْضُوعٌ جَازَتْ رِوَايَتُهُ</w:t>
      </w:r>
      <w:r w:rsidRPr="00282AC9">
        <w:rPr>
          <w:rFonts w:ascii="Arial" w:hAnsi="Arial" w:cs="DanaFajr" w:hint="cs"/>
          <w:sz w:val="28"/>
          <w:szCs w:val="28"/>
          <w:rtl/>
        </w:rPr>
        <w:t>،</w:t>
      </w:r>
      <w:r w:rsidRPr="00282AC9">
        <w:rPr>
          <w:rFonts w:ascii="Arial" w:hAnsi="Arial" w:cs="DanaFajr"/>
          <w:sz w:val="28"/>
          <w:szCs w:val="28"/>
          <w:rtl/>
        </w:rPr>
        <w:t xml:space="preserve"> وَالْعَمَلُ بِهِ</w:t>
      </w:r>
      <w:r w:rsidRPr="00282AC9">
        <w:rPr>
          <w:rFonts w:ascii="Arial" w:hAnsi="Arial" w:cs="DanaFajr" w:hint="cs"/>
          <w:sz w:val="28"/>
          <w:szCs w:val="28"/>
          <w:rtl/>
        </w:rPr>
        <w:t>،</w:t>
      </w:r>
      <w:r w:rsidRPr="00282AC9">
        <w:rPr>
          <w:rFonts w:ascii="Arial" w:hAnsi="Arial" w:cs="DanaFajr"/>
          <w:sz w:val="28"/>
          <w:szCs w:val="28"/>
          <w:rtl/>
        </w:rPr>
        <w:t xml:space="preserve"> بِمَعْنَى أَنَّ النَّفْسَ تَرْجُو ذَلِكَ الثَّوَابَ أَوْ تَخَافُ ذَلِكَ الْعِقَابَ</w:t>
      </w:r>
      <w:r w:rsidRPr="00282AC9">
        <w:rPr>
          <w:rFonts w:hint="eastAsia"/>
          <w:sz w:val="22"/>
          <w:szCs w:val="22"/>
          <w:rtl/>
        </w:rPr>
        <w:t>»</w:t>
      </w:r>
      <w:r w:rsidRPr="00282AC9">
        <w:rPr>
          <w:rFonts w:ascii="Arial" w:hAnsi="Arial" w:cs="DanaFajr" w:hint="cs"/>
          <w:sz w:val="28"/>
          <w:szCs w:val="28"/>
          <w:rtl/>
        </w:rPr>
        <w:t xml:space="preserve">. </w:t>
      </w:r>
      <w:r w:rsidRPr="00282AC9">
        <w:rPr>
          <w:rFonts w:ascii="Arial" w:hAnsi="Arial" w:cs="DanaFajr"/>
          <w:sz w:val="28"/>
          <w:szCs w:val="28"/>
          <w:rtl/>
        </w:rPr>
        <w:t>الفتاوى 12: 65.</w:t>
      </w:r>
    </w:p>
  </w:endnote>
  <w:endnote w:id="145">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م</w:t>
      </w:r>
      <w:r w:rsidRPr="00282AC9">
        <w:rPr>
          <w:rFonts w:ascii="Arial" w:hAnsi="Arial" w:cs="DanaFajr" w:hint="cs"/>
          <w:sz w:val="28"/>
          <w:szCs w:val="28"/>
          <w:rtl/>
          <w:lang w:bidi="ar-LB"/>
        </w:rPr>
        <w:t>َ</w:t>
      </w:r>
      <w:r w:rsidRPr="00282AC9">
        <w:rPr>
          <w:rFonts w:ascii="Arial" w:hAnsi="Arial" w:cs="DanaFajr"/>
          <w:sz w:val="28"/>
          <w:szCs w:val="28"/>
          <w:rtl/>
          <w:lang w:bidi="ar-LB"/>
        </w:rPr>
        <w:t>ن</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لا يحضره الفقيه 2: 91.</w:t>
      </w:r>
    </w:p>
  </w:endnote>
  <w:endnote w:id="146">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بحر الفوائد في شرح الفرائد 2: 66.</w:t>
      </w:r>
    </w:p>
  </w:endnote>
  <w:endnote w:id="147">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 xml:space="preserve">المجموع 2: 94. وقال أيضاً: </w:t>
      </w:r>
      <w:r w:rsidRPr="00282AC9">
        <w:rPr>
          <w:rFonts w:hint="eastAsia"/>
          <w:sz w:val="22"/>
          <w:szCs w:val="22"/>
          <w:rtl/>
          <w:lang w:bidi="ar-LB"/>
        </w:rPr>
        <w:t>«</w:t>
      </w:r>
      <w:r w:rsidRPr="00282AC9">
        <w:rPr>
          <w:rFonts w:ascii="Arial" w:hAnsi="Arial" w:cs="DanaFajr" w:hint="cs"/>
          <w:sz w:val="28"/>
          <w:szCs w:val="28"/>
          <w:rtl/>
          <w:lang w:bidi="ar-LB"/>
        </w:rPr>
        <w:t>إ</w:t>
      </w:r>
      <w:r w:rsidRPr="00282AC9">
        <w:rPr>
          <w:rFonts w:ascii="Arial" w:hAnsi="Arial" w:cs="DanaFajr"/>
          <w:sz w:val="28"/>
          <w:szCs w:val="28"/>
          <w:rtl/>
          <w:lang w:bidi="ar-LB"/>
        </w:rPr>
        <w:t>ن العلماء مت</w:t>
      </w:r>
      <w:r w:rsidRPr="00282AC9">
        <w:rPr>
          <w:rFonts w:ascii="Arial" w:hAnsi="Arial" w:cs="DanaFajr" w:hint="cs"/>
          <w:sz w:val="28"/>
          <w:szCs w:val="28"/>
          <w:rtl/>
          <w:lang w:bidi="ar-LB"/>
        </w:rPr>
        <w:t>َّ</w:t>
      </w:r>
      <w:r w:rsidRPr="00282AC9">
        <w:rPr>
          <w:rFonts w:ascii="Arial" w:hAnsi="Arial" w:cs="DanaFajr"/>
          <w:sz w:val="28"/>
          <w:szCs w:val="28"/>
          <w:rtl/>
          <w:lang w:bidi="ar-LB"/>
        </w:rPr>
        <w:t>فقون على التسامح في الأحاديث الضعيفة في فضائل الأعمال ونحوها مم</w:t>
      </w:r>
      <w:r w:rsidRPr="00282AC9">
        <w:rPr>
          <w:rFonts w:ascii="Arial" w:hAnsi="Arial" w:cs="DanaFajr" w:hint="cs"/>
          <w:sz w:val="28"/>
          <w:szCs w:val="28"/>
          <w:rtl/>
          <w:lang w:bidi="ar-LB"/>
        </w:rPr>
        <w:t>ّ</w:t>
      </w:r>
      <w:r w:rsidRPr="00282AC9">
        <w:rPr>
          <w:rFonts w:ascii="Arial" w:hAnsi="Arial" w:cs="DanaFajr"/>
          <w:sz w:val="28"/>
          <w:szCs w:val="28"/>
          <w:rtl/>
          <w:lang w:bidi="ar-LB"/>
        </w:rPr>
        <w:t>ا ليس من الأحكام</w:t>
      </w:r>
      <w:r w:rsidRPr="00282AC9">
        <w:rPr>
          <w:rFonts w:hint="eastAsia"/>
          <w:sz w:val="22"/>
          <w:szCs w:val="22"/>
          <w:rtl/>
        </w:rPr>
        <w:t>»</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المجموع 8: 262. ومقصود</w:t>
      </w:r>
      <w:r w:rsidRPr="00282AC9">
        <w:rPr>
          <w:rFonts w:ascii="Arial" w:hAnsi="Arial" w:cs="DanaFajr" w:hint="cs"/>
          <w:sz w:val="28"/>
          <w:szCs w:val="28"/>
          <w:rtl/>
          <w:lang w:bidi="ar-LB"/>
        </w:rPr>
        <w:t>ُ</w:t>
      </w:r>
      <w:r w:rsidRPr="00282AC9">
        <w:rPr>
          <w:rFonts w:ascii="Arial" w:hAnsi="Arial" w:cs="DanaFajr"/>
          <w:sz w:val="28"/>
          <w:szCs w:val="28"/>
          <w:rtl/>
          <w:lang w:bidi="ar-LB"/>
        </w:rPr>
        <w:t>ه بالأحكام ما فيه إلزام</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بح</w:t>
      </w:r>
      <w:r w:rsidRPr="00282AC9">
        <w:rPr>
          <w:rFonts w:ascii="Arial" w:hAnsi="Arial" w:cs="DanaFajr" w:hint="cs"/>
          <w:sz w:val="28"/>
          <w:szCs w:val="28"/>
          <w:rtl/>
          <w:lang w:bidi="ar-LB"/>
        </w:rPr>
        <w:t>َ</w:t>
      </w:r>
      <w:r w:rsidRPr="00282AC9">
        <w:rPr>
          <w:rFonts w:ascii="Arial" w:hAnsi="Arial" w:cs="DanaFajr"/>
          <w:sz w:val="28"/>
          <w:szCs w:val="28"/>
          <w:rtl/>
          <w:lang w:bidi="ar-LB"/>
        </w:rPr>
        <w:t>س</w:t>
      </w:r>
      <w:r w:rsidRPr="00282AC9">
        <w:rPr>
          <w:rFonts w:ascii="Arial" w:hAnsi="Arial" w:cs="DanaFajr" w:hint="cs"/>
          <w:sz w:val="28"/>
          <w:szCs w:val="28"/>
          <w:rtl/>
          <w:lang w:bidi="ar-LB"/>
        </w:rPr>
        <w:t>َ</w:t>
      </w:r>
      <w:r w:rsidRPr="00282AC9">
        <w:rPr>
          <w:rFonts w:ascii="Arial" w:hAnsi="Arial" w:cs="DanaFajr"/>
          <w:sz w:val="28"/>
          <w:szCs w:val="28"/>
          <w:rtl/>
          <w:lang w:bidi="ar-LB"/>
        </w:rPr>
        <w:t>ب سياق كلامه.</w:t>
      </w:r>
    </w:p>
  </w:endnote>
  <w:endnote w:id="148">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بتتب</w:t>
      </w:r>
      <w:r w:rsidRPr="00282AC9">
        <w:rPr>
          <w:rFonts w:ascii="Arial" w:hAnsi="Arial" w:cs="DanaFajr" w:hint="cs"/>
          <w:sz w:val="28"/>
          <w:szCs w:val="28"/>
          <w:rtl/>
        </w:rPr>
        <w:t>ُّ</w:t>
      </w:r>
      <w:r w:rsidRPr="00282AC9">
        <w:rPr>
          <w:rFonts w:ascii="Arial" w:hAnsi="Arial" w:cs="DanaFajr"/>
          <w:sz w:val="28"/>
          <w:szCs w:val="28"/>
          <w:rtl/>
        </w:rPr>
        <w:t>عنا لم نج</w:t>
      </w:r>
      <w:r w:rsidRPr="00282AC9">
        <w:rPr>
          <w:rFonts w:ascii="Arial" w:hAnsi="Arial" w:cs="DanaFajr" w:hint="cs"/>
          <w:sz w:val="28"/>
          <w:szCs w:val="28"/>
          <w:rtl/>
        </w:rPr>
        <w:t>ِ</w:t>
      </w:r>
      <w:r w:rsidRPr="00282AC9">
        <w:rPr>
          <w:rFonts w:ascii="Arial" w:hAnsi="Arial" w:cs="DanaFajr"/>
          <w:sz w:val="28"/>
          <w:szCs w:val="28"/>
          <w:rtl/>
        </w:rPr>
        <w:t>د</w:t>
      </w:r>
      <w:r w:rsidRPr="00282AC9">
        <w:rPr>
          <w:rFonts w:ascii="Arial" w:hAnsi="Arial" w:cs="DanaFajr" w:hint="cs"/>
          <w:sz w:val="28"/>
          <w:szCs w:val="28"/>
          <w:rtl/>
        </w:rPr>
        <w:t>ْ</w:t>
      </w:r>
      <w:r w:rsidRPr="00282AC9">
        <w:rPr>
          <w:rFonts w:ascii="Arial" w:hAnsi="Arial" w:cs="DanaFajr"/>
          <w:sz w:val="28"/>
          <w:szCs w:val="28"/>
          <w:rtl/>
        </w:rPr>
        <w:t>ها مذكورة</w:t>
      </w:r>
      <w:r w:rsidRPr="00282AC9">
        <w:rPr>
          <w:rFonts w:ascii="Arial" w:hAnsi="Arial" w:cs="DanaFajr" w:hint="cs"/>
          <w:sz w:val="28"/>
          <w:szCs w:val="28"/>
          <w:rtl/>
        </w:rPr>
        <w:t>ً</w:t>
      </w:r>
      <w:r w:rsidRPr="00282AC9">
        <w:rPr>
          <w:rFonts w:ascii="Arial" w:hAnsi="Arial" w:cs="DanaFajr"/>
          <w:sz w:val="28"/>
          <w:szCs w:val="28"/>
          <w:rtl/>
        </w:rPr>
        <w:t xml:space="preserve"> قبل الشهيد</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و</w:t>
      </w:r>
      <w:r w:rsidRPr="00282AC9">
        <w:rPr>
          <w:rFonts w:ascii="Arial" w:hAnsi="Arial" w:cs="DanaFajr"/>
          <w:sz w:val="28"/>
          <w:szCs w:val="28"/>
          <w:rtl/>
        </w:rPr>
        <w:t xml:space="preserve">الشيخ الأنصاري </w:t>
      </w:r>
      <w:r w:rsidRPr="00282AC9">
        <w:rPr>
          <w:rFonts w:ascii="Arial" w:hAnsi="Arial" w:cs="DanaFajr" w:hint="cs"/>
          <w:sz w:val="28"/>
          <w:szCs w:val="28"/>
          <w:rtl/>
        </w:rPr>
        <w:t xml:space="preserve">ـ </w:t>
      </w:r>
      <w:r w:rsidRPr="00282AC9">
        <w:rPr>
          <w:rFonts w:ascii="Arial" w:hAnsi="Arial" w:cs="DanaFajr"/>
          <w:sz w:val="28"/>
          <w:szCs w:val="28"/>
          <w:rtl/>
        </w:rPr>
        <w:t>عند التطر</w:t>
      </w:r>
      <w:r w:rsidRPr="00282AC9">
        <w:rPr>
          <w:rFonts w:ascii="Arial" w:hAnsi="Arial" w:cs="DanaFajr" w:hint="cs"/>
          <w:sz w:val="28"/>
          <w:szCs w:val="28"/>
          <w:rtl/>
        </w:rPr>
        <w:t>ُّ</w:t>
      </w:r>
      <w:r w:rsidRPr="00282AC9">
        <w:rPr>
          <w:rFonts w:ascii="Arial" w:hAnsi="Arial" w:cs="DanaFajr"/>
          <w:sz w:val="28"/>
          <w:szCs w:val="28"/>
          <w:rtl/>
        </w:rPr>
        <w:t xml:space="preserve">ق لكلمات الفقهاء </w:t>
      </w:r>
      <w:r w:rsidRPr="00282AC9">
        <w:rPr>
          <w:rFonts w:ascii="Arial" w:hAnsi="Arial" w:cs="DanaFajr" w:hint="cs"/>
          <w:sz w:val="28"/>
          <w:szCs w:val="28"/>
          <w:rtl/>
        </w:rPr>
        <w:t xml:space="preserve">ـ </w:t>
      </w:r>
      <w:r w:rsidRPr="00282AC9">
        <w:rPr>
          <w:rFonts w:ascii="Arial" w:hAnsi="Arial" w:cs="DanaFajr"/>
          <w:sz w:val="28"/>
          <w:szCs w:val="28"/>
          <w:rtl/>
        </w:rPr>
        <w:t>نقل أو</w:t>
      </w:r>
      <w:r w:rsidRPr="00282AC9">
        <w:rPr>
          <w:rFonts w:ascii="Arial" w:hAnsi="Arial" w:cs="DanaFajr" w:hint="cs"/>
          <w:sz w:val="28"/>
          <w:szCs w:val="28"/>
          <w:rtl/>
        </w:rPr>
        <w:t>ّ</w:t>
      </w:r>
      <w:r w:rsidRPr="00282AC9">
        <w:rPr>
          <w:rFonts w:ascii="Arial" w:hAnsi="Arial" w:cs="DanaFajr"/>
          <w:sz w:val="28"/>
          <w:szCs w:val="28"/>
          <w:rtl/>
        </w:rPr>
        <w:t>ل الأمر كلام الشهيد، ولم ينق</w:t>
      </w:r>
      <w:r w:rsidRPr="00282AC9">
        <w:rPr>
          <w:rFonts w:ascii="Arial" w:hAnsi="Arial" w:cs="DanaFajr" w:hint="cs"/>
          <w:sz w:val="28"/>
          <w:szCs w:val="28"/>
          <w:rtl/>
        </w:rPr>
        <w:t>ُ</w:t>
      </w:r>
      <w:r w:rsidRPr="00282AC9">
        <w:rPr>
          <w:rFonts w:ascii="Arial" w:hAnsi="Arial" w:cs="DanaFajr"/>
          <w:sz w:val="28"/>
          <w:szCs w:val="28"/>
          <w:rtl/>
        </w:rPr>
        <w:t>ل</w:t>
      </w:r>
      <w:r w:rsidRPr="00282AC9">
        <w:rPr>
          <w:rFonts w:ascii="Arial" w:hAnsi="Arial" w:cs="DanaFajr" w:hint="cs"/>
          <w:sz w:val="28"/>
          <w:szCs w:val="28"/>
          <w:rtl/>
        </w:rPr>
        <w:t>ْ</w:t>
      </w:r>
      <w:r w:rsidRPr="00282AC9">
        <w:rPr>
          <w:rFonts w:ascii="Arial" w:hAnsi="Arial" w:cs="DanaFajr"/>
          <w:sz w:val="28"/>
          <w:szCs w:val="28"/>
          <w:rtl/>
        </w:rPr>
        <w:t xml:space="preserve"> كلاماً للسابقين عليه</w:t>
      </w:r>
      <w:r w:rsidRPr="00282AC9">
        <w:rPr>
          <w:rFonts w:ascii="Arial" w:hAnsi="Arial" w:cs="DanaFajr" w:hint="cs"/>
          <w:sz w:val="28"/>
          <w:szCs w:val="28"/>
          <w:rtl/>
        </w:rPr>
        <w:t>.</w:t>
      </w:r>
      <w:r w:rsidRPr="00282AC9">
        <w:rPr>
          <w:rFonts w:ascii="Arial" w:hAnsi="Arial" w:cs="DanaFajr"/>
          <w:sz w:val="28"/>
          <w:szCs w:val="28"/>
          <w:rtl/>
        </w:rPr>
        <w:t xml:space="preserve"> انظ</w:t>
      </w:r>
      <w:r w:rsidRPr="00282AC9">
        <w:rPr>
          <w:rFonts w:ascii="Arial" w:hAnsi="Arial" w:cs="DanaFajr" w:hint="cs"/>
          <w:sz w:val="28"/>
          <w:szCs w:val="28"/>
          <w:rtl/>
        </w:rPr>
        <w:t>ُ</w:t>
      </w:r>
      <w:r w:rsidRPr="00282AC9">
        <w:rPr>
          <w:rFonts w:ascii="Arial" w:hAnsi="Arial" w:cs="DanaFajr"/>
          <w:sz w:val="28"/>
          <w:szCs w:val="28"/>
          <w:rtl/>
        </w:rPr>
        <w:t>ر</w:t>
      </w:r>
      <w:r w:rsidRPr="00282AC9">
        <w:rPr>
          <w:rFonts w:ascii="Arial" w:hAnsi="Arial" w:cs="DanaFajr" w:hint="cs"/>
          <w:sz w:val="28"/>
          <w:szCs w:val="28"/>
          <w:rtl/>
        </w:rPr>
        <w:t>ْ</w:t>
      </w:r>
      <w:r w:rsidRPr="00282AC9">
        <w:rPr>
          <w:rFonts w:ascii="Arial" w:hAnsi="Arial" w:cs="DanaFajr"/>
          <w:sz w:val="28"/>
          <w:szCs w:val="28"/>
          <w:rtl/>
        </w:rPr>
        <w:t>: رسائل فقهي</w:t>
      </w:r>
      <w:r w:rsidRPr="00282AC9">
        <w:rPr>
          <w:rFonts w:ascii="Arial" w:hAnsi="Arial" w:cs="DanaFajr" w:hint="cs"/>
          <w:sz w:val="28"/>
          <w:szCs w:val="28"/>
          <w:rtl/>
        </w:rPr>
        <w:t>ّ</w:t>
      </w:r>
      <w:r w:rsidRPr="00282AC9">
        <w:rPr>
          <w:rFonts w:ascii="Arial" w:hAnsi="Arial" w:cs="DanaFajr"/>
          <w:sz w:val="28"/>
          <w:szCs w:val="28"/>
          <w:rtl/>
        </w:rPr>
        <w:t>ة: 137.</w:t>
      </w:r>
    </w:p>
  </w:endnote>
  <w:endnote w:id="149">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عد</w:t>
      </w:r>
      <w:r w:rsidRPr="00282AC9">
        <w:rPr>
          <w:rFonts w:ascii="Arial" w:hAnsi="Arial" w:cs="DanaFajr" w:hint="cs"/>
          <w:sz w:val="28"/>
          <w:szCs w:val="28"/>
          <w:rtl/>
          <w:lang w:bidi="ar-LB"/>
        </w:rPr>
        <w:t>ّ</w:t>
      </w:r>
      <w:r w:rsidRPr="00282AC9">
        <w:rPr>
          <w:rFonts w:ascii="Arial" w:hAnsi="Arial" w:cs="DanaFajr"/>
          <w:sz w:val="28"/>
          <w:szCs w:val="28"/>
          <w:rtl/>
          <w:lang w:bidi="ar-LB"/>
        </w:rPr>
        <w:t>ة الداعي ونجاح الساعي: 10.</w:t>
      </w:r>
    </w:p>
  </w:endnote>
  <w:endnote w:id="150">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ذكرى الشيعة 2: 34.</w:t>
      </w:r>
    </w:p>
  </w:endnote>
  <w:endnote w:id="151">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هداية المسترشدين 3: 466.</w:t>
      </w:r>
    </w:p>
  </w:endnote>
  <w:endnote w:id="152">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راج</w:t>
      </w:r>
      <w:r w:rsidRPr="00282AC9">
        <w:rPr>
          <w:rFonts w:ascii="Arial" w:hAnsi="Arial" w:cs="DanaFajr" w:hint="cs"/>
          <w:sz w:val="28"/>
          <w:szCs w:val="28"/>
          <w:rtl/>
          <w:lang w:bidi="ar-LB"/>
        </w:rPr>
        <w:t>ِ</w:t>
      </w:r>
      <w:r w:rsidRPr="00282AC9">
        <w:rPr>
          <w:rFonts w:ascii="Arial" w:hAnsi="Arial" w:cs="DanaFajr"/>
          <w:sz w:val="28"/>
          <w:szCs w:val="28"/>
          <w:rtl/>
          <w:lang w:bidi="ar-LB"/>
        </w:rPr>
        <w:t>ع</w:t>
      </w:r>
      <w:r w:rsidRPr="00282AC9">
        <w:rPr>
          <w:rFonts w:ascii="Arial" w:hAnsi="Arial" w:cs="DanaFajr" w:hint="cs"/>
          <w:sz w:val="28"/>
          <w:szCs w:val="28"/>
          <w:rtl/>
          <w:lang w:bidi="ar-LB"/>
        </w:rPr>
        <w:t>ْ</w:t>
      </w:r>
      <w:r w:rsidRPr="00282AC9">
        <w:rPr>
          <w:rFonts w:ascii="Arial" w:hAnsi="Arial" w:cs="DanaFajr"/>
          <w:sz w:val="28"/>
          <w:szCs w:val="28"/>
          <w:rtl/>
          <w:lang w:bidi="ar-LB"/>
        </w:rPr>
        <w:t>: روضة الطالبين 1: 655.</w:t>
      </w:r>
    </w:p>
  </w:endnote>
  <w:endnote w:id="153">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الرعاية: 94.</w:t>
      </w:r>
    </w:p>
  </w:endnote>
  <w:endnote w:id="154">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الكافي 2: 87.</w:t>
      </w:r>
    </w:p>
  </w:endnote>
  <w:endnote w:id="155">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العناوين الفقهية 1: 420</w:t>
      </w:r>
      <w:r w:rsidRPr="00282AC9">
        <w:rPr>
          <w:rFonts w:ascii="Arial" w:hAnsi="Arial" w:cs="DanaFajr" w:hint="cs"/>
          <w:sz w:val="28"/>
          <w:szCs w:val="28"/>
          <w:rtl/>
        </w:rPr>
        <w:t xml:space="preserve">؛ </w:t>
      </w:r>
      <w:r w:rsidRPr="00282AC9">
        <w:rPr>
          <w:rFonts w:ascii="Arial" w:hAnsi="Arial" w:cs="DanaFajr"/>
          <w:sz w:val="28"/>
          <w:szCs w:val="28"/>
          <w:rtl/>
        </w:rPr>
        <w:t>3: 325</w:t>
      </w:r>
      <w:r w:rsidRPr="00282AC9">
        <w:rPr>
          <w:rFonts w:ascii="Arial" w:hAnsi="Arial" w:cs="DanaFajr" w:hint="cs"/>
          <w:sz w:val="28"/>
          <w:szCs w:val="28"/>
          <w:rtl/>
        </w:rPr>
        <w:t xml:space="preserve">؛ </w:t>
      </w:r>
      <w:r w:rsidRPr="00282AC9">
        <w:rPr>
          <w:rFonts w:ascii="Arial" w:hAnsi="Arial" w:cs="DanaFajr"/>
          <w:sz w:val="28"/>
          <w:szCs w:val="28"/>
          <w:rtl/>
        </w:rPr>
        <w:t>و</w:t>
      </w:r>
      <w:r w:rsidRPr="00282AC9">
        <w:rPr>
          <w:rFonts w:ascii="Arial" w:hAnsi="Arial" w:cs="DanaFajr" w:hint="cs"/>
          <w:sz w:val="28"/>
          <w:szCs w:val="28"/>
          <w:rtl/>
          <w:lang w:bidi="ar-LB"/>
        </w:rPr>
        <w:t>رجَّح ا</w:t>
      </w:r>
      <w:r w:rsidRPr="00282AC9">
        <w:rPr>
          <w:rFonts w:ascii="Arial" w:hAnsi="Arial" w:cs="DanaFajr"/>
          <w:sz w:val="28"/>
          <w:szCs w:val="28"/>
          <w:rtl/>
          <w:lang w:bidi="ar-LB"/>
        </w:rPr>
        <w:t>لبجنوردي أنها فقهي</w:t>
      </w:r>
      <w:r w:rsidRPr="00282AC9">
        <w:rPr>
          <w:rFonts w:ascii="Arial" w:hAnsi="Arial" w:cs="DanaFajr" w:hint="cs"/>
          <w:sz w:val="28"/>
          <w:szCs w:val="28"/>
          <w:rtl/>
          <w:lang w:bidi="ar-LB"/>
        </w:rPr>
        <w:t>ّ</w:t>
      </w:r>
      <w:r w:rsidRPr="00282AC9">
        <w:rPr>
          <w:rFonts w:ascii="Arial" w:hAnsi="Arial" w:cs="DanaFajr"/>
          <w:sz w:val="28"/>
          <w:szCs w:val="28"/>
          <w:rtl/>
          <w:lang w:bidi="ar-LB"/>
        </w:rPr>
        <w:t>ة</w:t>
      </w:r>
      <w:r w:rsidRPr="00282AC9">
        <w:rPr>
          <w:rFonts w:ascii="Arial" w:hAnsi="Arial" w:cs="DanaFajr" w:hint="cs"/>
          <w:sz w:val="28"/>
          <w:szCs w:val="28"/>
          <w:rtl/>
          <w:lang w:bidi="ar-LB"/>
        </w:rPr>
        <w:t>، انظُرْ:</w:t>
      </w:r>
      <w:r w:rsidRPr="00282AC9">
        <w:rPr>
          <w:rFonts w:ascii="Arial" w:hAnsi="Arial" w:cs="DanaFajr"/>
          <w:sz w:val="28"/>
          <w:szCs w:val="28"/>
          <w:rtl/>
          <w:lang w:bidi="ar-LB"/>
        </w:rPr>
        <w:t xml:space="preserve"> القواعد الفقهية 3: 334. </w:t>
      </w:r>
    </w:p>
  </w:endnote>
  <w:endnote w:id="156">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وذلك أنهم طرحوا في تنبيهات مبحث البراءة مسألة الاحتياط في العبادة</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وحاجته إلى وجود أمر</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حيث ذهب الشيخ الأنصاري إلى أن منشأ احتمال الوجوب إذا كان خبراً ضعيفاً فلا ضرورة للتمس</w:t>
      </w:r>
      <w:r w:rsidRPr="00282AC9">
        <w:rPr>
          <w:rFonts w:ascii="Arial" w:hAnsi="Arial" w:cs="DanaFajr" w:hint="cs"/>
          <w:sz w:val="28"/>
          <w:szCs w:val="28"/>
          <w:rtl/>
          <w:lang w:bidi="ar-LB"/>
        </w:rPr>
        <w:t>ُّ</w:t>
      </w:r>
      <w:r w:rsidRPr="00282AC9">
        <w:rPr>
          <w:rFonts w:ascii="Arial" w:hAnsi="Arial" w:cs="DanaFajr"/>
          <w:sz w:val="28"/>
          <w:szCs w:val="28"/>
          <w:rtl/>
          <w:lang w:bidi="ar-LB"/>
        </w:rPr>
        <w:t>ك بأ</w:t>
      </w:r>
      <w:r w:rsidRPr="00282AC9">
        <w:rPr>
          <w:rFonts w:ascii="Arial" w:hAnsi="Arial" w:cs="DanaFajr" w:hint="cs"/>
          <w:sz w:val="28"/>
          <w:szCs w:val="28"/>
          <w:rtl/>
          <w:lang w:bidi="ar-LB"/>
        </w:rPr>
        <w:t>خ</w:t>
      </w:r>
      <w:r w:rsidRPr="00282AC9">
        <w:rPr>
          <w:rFonts w:ascii="Arial" w:hAnsi="Arial" w:cs="DanaFajr"/>
          <w:sz w:val="28"/>
          <w:szCs w:val="28"/>
          <w:rtl/>
          <w:lang w:bidi="ar-LB"/>
        </w:rPr>
        <w:t>بار الاحتياط، و</w:t>
      </w:r>
      <w:r w:rsidRPr="00282AC9">
        <w:rPr>
          <w:rFonts w:ascii="Arial" w:hAnsi="Arial" w:cs="DanaFajr" w:hint="cs"/>
          <w:sz w:val="28"/>
          <w:szCs w:val="28"/>
          <w:rtl/>
          <w:lang w:bidi="ar-LB"/>
        </w:rPr>
        <w:t>يكفي</w:t>
      </w:r>
      <w:r w:rsidRPr="00282AC9">
        <w:rPr>
          <w:rFonts w:ascii="Arial" w:hAnsi="Arial" w:cs="DanaFajr"/>
          <w:sz w:val="28"/>
          <w:szCs w:val="28"/>
          <w:rtl/>
          <w:lang w:bidi="ar-LB"/>
        </w:rPr>
        <w:t xml:space="preserve"> التمس</w:t>
      </w:r>
      <w:r w:rsidRPr="00282AC9">
        <w:rPr>
          <w:rFonts w:ascii="Arial" w:hAnsi="Arial" w:cs="DanaFajr" w:hint="cs"/>
          <w:sz w:val="28"/>
          <w:szCs w:val="28"/>
          <w:rtl/>
          <w:lang w:bidi="ar-LB"/>
        </w:rPr>
        <w:t>ُّ</w:t>
      </w:r>
      <w:r w:rsidRPr="00282AC9">
        <w:rPr>
          <w:rFonts w:ascii="Arial" w:hAnsi="Arial" w:cs="DanaFajr"/>
          <w:sz w:val="28"/>
          <w:szCs w:val="28"/>
          <w:rtl/>
          <w:lang w:bidi="ar-LB"/>
        </w:rPr>
        <w:t xml:space="preserve">ك بأخبار </w:t>
      </w:r>
      <w:r w:rsidRPr="00282AC9">
        <w:rPr>
          <w:rFonts w:hint="eastAsia"/>
          <w:sz w:val="22"/>
          <w:szCs w:val="22"/>
          <w:rtl/>
          <w:lang w:bidi="ar-LB"/>
        </w:rPr>
        <w:t>«</w:t>
      </w:r>
      <w:r w:rsidRPr="00282AC9">
        <w:rPr>
          <w:rFonts w:ascii="Arial" w:hAnsi="Arial" w:cs="DanaFajr"/>
          <w:sz w:val="28"/>
          <w:szCs w:val="28"/>
          <w:rtl/>
          <w:lang w:bidi="ar-LB"/>
        </w:rPr>
        <w:t>م</w:t>
      </w:r>
      <w:r w:rsidRPr="00282AC9">
        <w:rPr>
          <w:rFonts w:ascii="Arial" w:hAnsi="Arial" w:cs="DanaFajr" w:hint="cs"/>
          <w:sz w:val="28"/>
          <w:szCs w:val="28"/>
          <w:rtl/>
          <w:lang w:bidi="ar-LB"/>
        </w:rPr>
        <w:t>َ</w:t>
      </w:r>
      <w:r w:rsidRPr="00282AC9">
        <w:rPr>
          <w:rFonts w:ascii="Arial" w:hAnsi="Arial" w:cs="DanaFajr"/>
          <w:sz w:val="28"/>
          <w:szCs w:val="28"/>
          <w:rtl/>
          <w:lang w:bidi="ar-LB"/>
        </w:rPr>
        <w:t>ن</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بلغ</w:t>
      </w:r>
      <w:r w:rsidRPr="00282AC9">
        <w:rPr>
          <w:rFonts w:hint="eastAsia"/>
          <w:sz w:val="22"/>
          <w:szCs w:val="22"/>
          <w:rtl/>
        </w:rPr>
        <w:t>»</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فرائد الأصول 2: 153. وقد تبعه القوم على </w:t>
      </w:r>
      <w:r w:rsidRPr="00282AC9">
        <w:rPr>
          <w:rFonts w:ascii="Arial" w:hAnsi="Arial" w:cs="DanaFajr" w:hint="cs"/>
          <w:sz w:val="28"/>
          <w:szCs w:val="28"/>
          <w:rtl/>
          <w:lang w:bidi="ar-LB"/>
        </w:rPr>
        <w:t>تناول</w:t>
      </w:r>
      <w:r w:rsidRPr="00282AC9">
        <w:rPr>
          <w:rFonts w:ascii="Arial" w:hAnsi="Arial" w:cs="DanaFajr"/>
          <w:sz w:val="28"/>
          <w:szCs w:val="28"/>
          <w:rtl/>
          <w:lang w:bidi="ar-LB"/>
        </w:rPr>
        <w:t xml:space="preserve"> المسألة في هذا المبحث. وطبيعي</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أن بحثه في باب حج</w:t>
      </w:r>
      <w:r w:rsidRPr="00282AC9">
        <w:rPr>
          <w:rFonts w:ascii="Arial" w:hAnsi="Arial" w:cs="DanaFajr" w:hint="cs"/>
          <w:sz w:val="28"/>
          <w:szCs w:val="28"/>
          <w:rtl/>
          <w:lang w:bidi="ar-LB"/>
        </w:rPr>
        <w:t>ّ</w:t>
      </w:r>
      <w:r w:rsidRPr="00282AC9">
        <w:rPr>
          <w:rFonts w:ascii="Arial" w:hAnsi="Arial" w:cs="DanaFajr"/>
          <w:sz w:val="28"/>
          <w:szCs w:val="28"/>
          <w:rtl/>
          <w:lang w:bidi="ar-LB"/>
        </w:rPr>
        <w:t xml:space="preserve">ية الخبر هو الأنسب. </w:t>
      </w:r>
    </w:p>
  </w:endnote>
  <w:endnote w:id="157">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دروس في علم الأصول، الحلقة الثانية: 144.</w:t>
      </w:r>
    </w:p>
  </w:endnote>
  <w:endnote w:id="158">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وهذا ما أصر</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عليه الشيخ الأنصاري</w:t>
      </w:r>
      <w:r w:rsidRPr="00282AC9">
        <w:rPr>
          <w:rFonts w:ascii="Arial" w:hAnsi="Arial" w:cs="DanaFajr" w:hint="cs"/>
          <w:sz w:val="28"/>
          <w:szCs w:val="28"/>
          <w:rtl/>
          <w:lang w:bidi="ar-LB"/>
        </w:rPr>
        <w:t>، رسائل فقهية</w:t>
      </w:r>
      <w:r w:rsidRPr="00282AC9">
        <w:rPr>
          <w:rFonts w:ascii="Arial" w:hAnsi="Arial" w:cs="DanaFajr"/>
          <w:sz w:val="28"/>
          <w:szCs w:val="28"/>
          <w:rtl/>
          <w:lang w:bidi="ar-LB"/>
        </w:rPr>
        <w:t>: 133.</w:t>
      </w:r>
    </w:p>
  </w:endnote>
  <w:endnote w:id="159">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وهذا ما ذهب إليه السيد البجنوردي</w:t>
      </w:r>
      <w:r w:rsidRPr="00282AC9">
        <w:rPr>
          <w:rFonts w:ascii="Arial" w:hAnsi="Arial" w:cs="DanaFajr" w:hint="cs"/>
          <w:sz w:val="28"/>
          <w:szCs w:val="28"/>
          <w:rtl/>
          <w:lang w:bidi="ar-LB"/>
        </w:rPr>
        <w:t>، القواعد الفقهية</w:t>
      </w:r>
      <w:r w:rsidRPr="00282AC9">
        <w:rPr>
          <w:rFonts w:ascii="Arial" w:hAnsi="Arial" w:cs="DanaFajr"/>
          <w:sz w:val="28"/>
          <w:szCs w:val="28"/>
          <w:rtl/>
          <w:lang w:bidi="ar-LB"/>
        </w:rPr>
        <w:t xml:space="preserve"> 3: 334.</w:t>
      </w:r>
    </w:p>
  </w:endnote>
  <w:endnote w:id="160">
    <w:p w:rsidR="00C14EDE" w:rsidRPr="00282AC9" w:rsidRDefault="00C14EDE" w:rsidP="0037059F">
      <w:pPr>
        <w:pStyle w:val="af7"/>
        <w:spacing w:line="296" w:lineRule="exact"/>
        <w:ind w:firstLine="0"/>
        <w:rPr>
          <w:rFonts w:ascii="Arial" w:hAnsi="Arial" w:cs="DanaFajr"/>
          <w:sz w:val="28"/>
          <w:szCs w:val="28"/>
          <w:rtl/>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قيل في توجيه كونها فقهيّة: إنّ مصبّ الكلام هو في</w:t>
      </w:r>
      <w:r w:rsidRPr="00282AC9">
        <w:rPr>
          <w:rFonts w:ascii="Arial" w:hAnsi="Arial" w:cs="DanaFajr"/>
          <w:sz w:val="28"/>
          <w:szCs w:val="28"/>
          <w:rtl/>
        </w:rPr>
        <w:t xml:space="preserve"> استحباب كلّ فعل</w:t>
      </w:r>
      <w:r w:rsidRPr="00282AC9">
        <w:rPr>
          <w:rFonts w:ascii="Arial" w:hAnsi="Arial" w:cs="DanaFajr" w:hint="cs"/>
          <w:sz w:val="28"/>
          <w:szCs w:val="28"/>
          <w:rtl/>
        </w:rPr>
        <w:t>ٍ</w:t>
      </w:r>
      <w:r w:rsidRPr="00282AC9">
        <w:rPr>
          <w:rFonts w:ascii="Arial" w:hAnsi="Arial" w:cs="DanaFajr"/>
          <w:sz w:val="28"/>
          <w:szCs w:val="28"/>
          <w:rtl/>
        </w:rPr>
        <w:t xml:space="preserve"> بلغ الثواب عليه</w:t>
      </w:r>
      <w:r w:rsidRPr="00282AC9">
        <w:rPr>
          <w:rFonts w:ascii="Arial" w:hAnsi="Arial" w:cs="DanaFajr" w:hint="cs"/>
          <w:sz w:val="28"/>
          <w:szCs w:val="28"/>
          <w:rtl/>
        </w:rPr>
        <w:t>، فلا يكون</w:t>
      </w:r>
      <w:r w:rsidRPr="00282AC9">
        <w:rPr>
          <w:rFonts w:ascii="Arial" w:hAnsi="Arial" w:cs="DanaFajr"/>
          <w:sz w:val="28"/>
          <w:szCs w:val="28"/>
          <w:rtl/>
        </w:rPr>
        <w:t xml:space="preserve"> الخبر الضعيف دليلا</w:t>
      </w:r>
      <w:r w:rsidRPr="00282AC9">
        <w:rPr>
          <w:rFonts w:ascii="Arial" w:hAnsi="Arial" w:cs="DanaFajr" w:hint="cs"/>
          <w:sz w:val="28"/>
          <w:szCs w:val="28"/>
          <w:rtl/>
        </w:rPr>
        <w:t>ً</w:t>
      </w:r>
      <w:r w:rsidRPr="00282AC9">
        <w:rPr>
          <w:rFonts w:ascii="Arial" w:hAnsi="Arial" w:cs="DanaFajr"/>
          <w:sz w:val="28"/>
          <w:szCs w:val="28"/>
          <w:rtl/>
        </w:rPr>
        <w:t xml:space="preserve"> على الحكم</w:t>
      </w:r>
      <w:r w:rsidRPr="00282AC9">
        <w:rPr>
          <w:rFonts w:ascii="Arial" w:hAnsi="Arial" w:cs="DanaFajr" w:hint="cs"/>
          <w:sz w:val="28"/>
          <w:szCs w:val="28"/>
          <w:rtl/>
        </w:rPr>
        <w:t>،</w:t>
      </w:r>
      <w:r w:rsidRPr="00282AC9">
        <w:rPr>
          <w:rFonts w:ascii="Arial" w:hAnsi="Arial" w:cs="DanaFajr"/>
          <w:sz w:val="28"/>
          <w:szCs w:val="28"/>
          <w:rtl/>
        </w:rPr>
        <w:t xml:space="preserve"> وإنّما هو محق</w:t>
      </w:r>
      <w:r w:rsidRPr="00282AC9">
        <w:rPr>
          <w:rFonts w:ascii="Arial" w:hAnsi="Arial" w:cs="DanaFajr" w:hint="cs"/>
          <w:sz w:val="28"/>
          <w:szCs w:val="28"/>
          <w:rtl/>
        </w:rPr>
        <w:t>ِّ</w:t>
      </w:r>
      <w:r w:rsidRPr="00282AC9">
        <w:rPr>
          <w:rFonts w:ascii="Arial" w:hAnsi="Arial" w:cs="DanaFajr"/>
          <w:sz w:val="28"/>
          <w:szCs w:val="28"/>
          <w:rtl/>
        </w:rPr>
        <w:t>ق</w:t>
      </w:r>
      <w:r w:rsidRPr="00282AC9">
        <w:rPr>
          <w:rFonts w:ascii="Arial" w:hAnsi="Arial" w:cs="DanaFajr" w:hint="cs"/>
          <w:sz w:val="28"/>
          <w:szCs w:val="28"/>
          <w:rtl/>
        </w:rPr>
        <w:t>ٌ</w:t>
      </w:r>
      <w:r w:rsidRPr="00282AC9">
        <w:rPr>
          <w:rFonts w:ascii="Arial" w:hAnsi="Arial" w:cs="DanaFajr"/>
          <w:sz w:val="28"/>
          <w:szCs w:val="28"/>
          <w:rtl/>
        </w:rPr>
        <w:t xml:space="preserve"> لموضوعه</w:t>
      </w:r>
      <w:r w:rsidRPr="00282AC9">
        <w:rPr>
          <w:rFonts w:ascii="Arial" w:hAnsi="Arial" w:cs="DanaFajr" w:hint="cs"/>
          <w:sz w:val="28"/>
          <w:szCs w:val="28"/>
          <w:rtl/>
        </w:rPr>
        <w:t>.</w:t>
      </w:r>
    </w:p>
    <w:p w:rsidR="00C14EDE" w:rsidRPr="00282AC9" w:rsidRDefault="00C14EDE" w:rsidP="0037059F">
      <w:pPr>
        <w:pStyle w:val="af7"/>
        <w:spacing w:line="296" w:lineRule="exact"/>
        <w:ind w:firstLine="0"/>
        <w:rPr>
          <w:rFonts w:ascii="Arial" w:hAnsi="Arial" w:cs="DanaFajr"/>
          <w:sz w:val="28"/>
          <w:szCs w:val="28"/>
          <w:rtl/>
        </w:rPr>
      </w:pPr>
      <w:r w:rsidRPr="00282AC9">
        <w:rPr>
          <w:rFonts w:ascii="Arial" w:hAnsi="Arial" w:cs="DanaFajr" w:hint="cs"/>
          <w:sz w:val="28"/>
          <w:szCs w:val="28"/>
          <w:rtl/>
        </w:rPr>
        <w:t>ورُدَّ بأنه مخالفٌ لعنوان المسألة، ومعقد إجماعهم.</w:t>
      </w:r>
    </w:p>
    <w:p w:rsidR="00C14EDE" w:rsidRPr="00282AC9" w:rsidRDefault="00C14EDE" w:rsidP="0037059F">
      <w:pPr>
        <w:pStyle w:val="af7"/>
        <w:spacing w:line="296" w:lineRule="exact"/>
        <w:ind w:firstLine="0"/>
        <w:rPr>
          <w:rFonts w:ascii="Arial" w:hAnsi="Arial" w:cs="DanaFajr"/>
          <w:sz w:val="28"/>
          <w:szCs w:val="28"/>
          <w:lang w:bidi="ar-LB"/>
        </w:rPr>
      </w:pPr>
      <w:r w:rsidRPr="00282AC9">
        <w:rPr>
          <w:rFonts w:ascii="Arial" w:hAnsi="Arial" w:cs="DanaFajr" w:hint="cs"/>
          <w:sz w:val="28"/>
          <w:szCs w:val="28"/>
          <w:rtl/>
        </w:rPr>
        <w:t xml:space="preserve">على أن ما ذُكر في توجيه إرجاع الكلام فيها إلى المسألة الفقهيّة هو كلامٌ لا محصّل له؛ </w:t>
      </w:r>
      <w:r w:rsidRPr="00282AC9">
        <w:rPr>
          <w:rFonts w:ascii="Arial" w:hAnsi="Arial" w:cs="DanaFajr"/>
          <w:sz w:val="28"/>
          <w:szCs w:val="28"/>
          <w:rtl/>
          <w:lang w:bidi="ar-LB"/>
        </w:rPr>
        <w:t xml:space="preserve">وذلك لأنّ </w:t>
      </w:r>
      <w:r w:rsidRPr="00282AC9">
        <w:rPr>
          <w:rFonts w:hint="eastAsia"/>
          <w:sz w:val="22"/>
          <w:szCs w:val="22"/>
          <w:rtl/>
          <w:lang w:bidi="ar-LB"/>
        </w:rPr>
        <w:t>«</w:t>
      </w:r>
      <w:r w:rsidRPr="00282AC9">
        <w:rPr>
          <w:rFonts w:ascii="Arial" w:hAnsi="Arial" w:cs="DanaFajr"/>
          <w:sz w:val="28"/>
          <w:szCs w:val="28"/>
          <w:rtl/>
          <w:lang w:bidi="ar-LB"/>
        </w:rPr>
        <w:t>ما ذكر في التعبير عن المسألة باستحباب كل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فعل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دلّ على استحبابه خبر</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ضعيف عبارة</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أخرى عن حج</w:t>
      </w:r>
      <w:r w:rsidRPr="00282AC9">
        <w:rPr>
          <w:rFonts w:ascii="Arial" w:hAnsi="Arial" w:cs="DanaFajr" w:hint="cs"/>
          <w:sz w:val="28"/>
          <w:szCs w:val="28"/>
          <w:rtl/>
          <w:lang w:bidi="ar-LB"/>
        </w:rPr>
        <w:t>ّ</w:t>
      </w:r>
      <w:r w:rsidRPr="00282AC9">
        <w:rPr>
          <w:rFonts w:ascii="Arial" w:hAnsi="Arial" w:cs="DanaFajr"/>
          <w:sz w:val="28"/>
          <w:szCs w:val="28"/>
          <w:rtl/>
          <w:lang w:bidi="ar-LB"/>
        </w:rPr>
        <w:t>ية الضعيف في المستحبّات</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ويجوز مثل هذا التعبير في حج</w:t>
      </w:r>
      <w:r w:rsidRPr="00282AC9">
        <w:rPr>
          <w:rFonts w:ascii="Arial" w:hAnsi="Arial" w:cs="DanaFajr" w:hint="cs"/>
          <w:sz w:val="28"/>
          <w:szCs w:val="28"/>
          <w:rtl/>
          <w:lang w:bidi="ar-LB"/>
        </w:rPr>
        <w:t>ّ</w:t>
      </w:r>
      <w:r w:rsidRPr="00282AC9">
        <w:rPr>
          <w:rFonts w:ascii="Arial" w:hAnsi="Arial" w:cs="DanaFajr"/>
          <w:sz w:val="28"/>
          <w:szCs w:val="28"/>
          <w:rtl/>
          <w:lang w:bidi="ar-LB"/>
        </w:rPr>
        <w:t>ية الخبر الصحيح أيضا</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بأن ي</w:t>
      </w:r>
      <w:r w:rsidRPr="00282AC9">
        <w:rPr>
          <w:rFonts w:ascii="Arial" w:hAnsi="Arial" w:cs="DanaFajr" w:hint="cs"/>
          <w:sz w:val="28"/>
          <w:szCs w:val="28"/>
          <w:rtl/>
          <w:lang w:bidi="ar-LB"/>
        </w:rPr>
        <w:t>ُ</w:t>
      </w:r>
      <w:r w:rsidRPr="00282AC9">
        <w:rPr>
          <w:rFonts w:ascii="Arial" w:hAnsi="Arial" w:cs="DanaFajr"/>
          <w:sz w:val="28"/>
          <w:szCs w:val="28"/>
          <w:rtl/>
          <w:lang w:bidi="ar-LB"/>
        </w:rPr>
        <w:t>قال الكلام فيه في وجوب كلّ فعل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دل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الخبر الصحيح على وجوبه</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واستحباب كل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فعل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دل </w:t>
      </w:r>
      <w:r w:rsidRPr="00282AC9">
        <w:rPr>
          <w:rFonts w:ascii="Arial" w:hAnsi="Arial" w:cs="DanaFajr" w:hint="cs"/>
          <w:sz w:val="28"/>
          <w:szCs w:val="28"/>
          <w:rtl/>
          <w:lang w:bidi="ar-LB"/>
        </w:rPr>
        <w:t>ّ</w:t>
      </w:r>
      <w:r w:rsidRPr="00282AC9">
        <w:rPr>
          <w:rFonts w:ascii="Arial" w:hAnsi="Arial" w:cs="DanaFajr"/>
          <w:sz w:val="28"/>
          <w:szCs w:val="28"/>
          <w:rtl/>
          <w:lang w:bidi="ar-LB"/>
        </w:rPr>
        <w:t>الخبر باستحبابه</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وكذا الحرمة والكراهة والإباحة</w:t>
      </w:r>
      <w:r w:rsidRPr="00282AC9">
        <w:rPr>
          <w:rFonts w:hint="eastAsia"/>
          <w:sz w:val="22"/>
          <w:szCs w:val="22"/>
          <w:rtl/>
        </w:rPr>
        <w:t>»</w:t>
      </w:r>
      <w:r w:rsidRPr="00282AC9">
        <w:rPr>
          <w:rFonts w:ascii="Arial" w:hAnsi="Arial" w:cs="DanaFajr" w:hint="cs"/>
          <w:sz w:val="28"/>
          <w:szCs w:val="28"/>
          <w:rtl/>
          <w:lang w:bidi="ar-LB"/>
        </w:rPr>
        <w:t xml:space="preserve">. </w:t>
      </w:r>
      <w:r w:rsidRPr="00282AC9">
        <w:rPr>
          <w:rFonts w:ascii="Arial" w:hAnsi="Arial" w:cs="DanaFajr"/>
          <w:sz w:val="28"/>
          <w:szCs w:val="28"/>
          <w:rtl/>
          <w:lang w:bidi="ar-LB"/>
        </w:rPr>
        <w:t>راج</w:t>
      </w:r>
      <w:r w:rsidRPr="00282AC9">
        <w:rPr>
          <w:rFonts w:ascii="Arial" w:hAnsi="Arial" w:cs="DanaFajr" w:hint="cs"/>
          <w:sz w:val="28"/>
          <w:szCs w:val="28"/>
          <w:rtl/>
          <w:lang w:bidi="ar-LB"/>
        </w:rPr>
        <w:t>ِ</w:t>
      </w:r>
      <w:r w:rsidRPr="00282AC9">
        <w:rPr>
          <w:rFonts w:ascii="Arial" w:hAnsi="Arial" w:cs="DanaFajr"/>
          <w:sz w:val="28"/>
          <w:szCs w:val="28"/>
          <w:rtl/>
          <w:lang w:bidi="ar-LB"/>
        </w:rPr>
        <w:t>ع</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أوثق الوسائل في شرح الرسائل: 301.</w:t>
      </w:r>
    </w:p>
  </w:endnote>
  <w:endnote w:id="161">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طرحه المحق</w:t>
      </w:r>
      <w:r w:rsidRPr="00282AC9">
        <w:rPr>
          <w:rFonts w:ascii="Arial" w:hAnsi="Arial" w:cs="DanaFajr" w:hint="cs"/>
          <w:sz w:val="28"/>
          <w:szCs w:val="28"/>
          <w:rtl/>
        </w:rPr>
        <w:t>ِّ</w:t>
      </w:r>
      <w:r w:rsidRPr="00282AC9">
        <w:rPr>
          <w:rFonts w:ascii="Arial" w:hAnsi="Arial" w:cs="DanaFajr"/>
          <w:sz w:val="28"/>
          <w:szCs w:val="28"/>
          <w:rtl/>
        </w:rPr>
        <w:t>ق النائيني احتمالاً</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أجود التقريرات 2: 207</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وفوائد الأصول 3: 409.</w:t>
      </w:r>
    </w:p>
  </w:endnote>
  <w:endnote w:id="162">
    <w:p w:rsidR="00C14EDE" w:rsidRPr="00282AC9" w:rsidRDefault="00C14EDE" w:rsidP="0037059F">
      <w:pPr>
        <w:pStyle w:val="af7"/>
        <w:spacing w:line="296" w:lineRule="exact"/>
        <w:ind w:firstLine="0"/>
        <w:rPr>
          <w:rFonts w:ascii="Arial" w:hAnsi="Arial" w:cs="DanaFajr"/>
          <w:sz w:val="28"/>
          <w:szCs w:val="28"/>
          <w:rtl/>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حيث ير</w:t>
      </w:r>
      <w:r w:rsidRPr="00282AC9">
        <w:rPr>
          <w:rFonts w:ascii="Arial" w:hAnsi="Arial" w:cs="DanaFajr" w:hint="cs"/>
          <w:sz w:val="28"/>
          <w:szCs w:val="28"/>
          <w:rtl/>
          <w:lang w:bidi="ar-LB"/>
        </w:rPr>
        <w:t>َ</w:t>
      </w:r>
      <w:r w:rsidRPr="00282AC9">
        <w:rPr>
          <w:rFonts w:ascii="Arial" w:hAnsi="Arial" w:cs="DanaFajr"/>
          <w:sz w:val="28"/>
          <w:szCs w:val="28"/>
          <w:rtl/>
          <w:lang w:bidi="ar-LB"/>
        </w:rPr>
        <w:t>و</w:t>
      </w:r>
      <w:r w:rsidRPr="00282AC9">
        <w:rPr>
          <w:rFonts w:ascii="Arial" w:hAnsi="Arial" w:cs="DanaFajr" w:hint="cs"/>
          <w:sz w:val="28"/>
          <w:szCs w:val="28"/>
          <w:rtl/>
          <w:lang w:bidi="ar-LB"/>
        </w:rPr>
        <w:t>ْ</w:t>
      </w:r>
      <w:r w:rsidRPr="00282AC9">
        <w:rPr>
          <w:rFonts w:ascii="Arial" w:hAnsi="Arial" w:cs="DanaFajr"/>
          <w:sz w:val="28"/>
          <w:szCs w:val="28"/>
          <w:rtl/>
          <w:lang w:bidi="ar-LB"/>
        </w:rPr>
        <w:t>ن أنه إذا لم نعمل بأخبار الآحاد يلزم م</w:t>
      </w:r>
      <w:r w:rsidRPr="00282AC9">
        <w:rPr>
          <w:rFonts w:ascii="Arial" w:hAnsi="Arial" w:cs="DanaFajr" w:hint="cs"/>
          <w:sz w:val="28"/>
          <w:szCs w:val="28"/>
          <w:rtl/>
          <w:lang w:bidi="ar-LB"/>
        </w:rPr>
        <w:t>َ</w:t>
      </w:r>
      <w:r w:rsidRPr="00282AC9">
        <w:rPr>
          <w:rFonts w:ascii="Arial" w:hAnsi="Arial" w:cs="DanaFajr"/>
          <w:sz w:val="28"/>
          <w:szCs w:val="28"/>
          <w:rtl/>
          <w:lang w:bidi="ar-LB"/>
        </w:rPr>
        <w:t>ح</w:t>
      </w:r>
      <w:r w:rsidRPr="00282AC9">
        <w:rPr>
          <w:rFonts w:ascii="Arial" w:hAnsi="Arial" w:cs="DanaFajr" w:hint="cs"/>
          <w:sz w:val="28"/>
          <w:szCs w:val="28"/>
          <w:rtl/>
          <w:lang w:bidi="ar-LB"/>
        </w:rPr>
        <w:t>ْ</w:t>
      </w:r>
      <w:r w:rsidRPr="00282AC9">
        <w:rPr>
          <w:rFonts w:ascii="Arial" w:hAnsi="Arial" w:cs="DanaFajr"/>
          <w:sz w:val="28"/>
          <w:szCs w:val="28"/>
          <w:rtl/>
          <w:lang w:bidi="ar-LB"/>
        </w:rPr>
        <w:t>و الدين، بل إنّ بعضهم قال هذا الكلام في مواجهة التقسيم الرباعي للحديث.</w:t>
      </w:r>
    </w:p>
    <w:p w:rsidR="00C14EDE" w:rsidRPr="00282AC9" w:rsidRDefault="00C14EDE" w:rsidP="0037059F">
      <w:pPr>
        <w:pStyle w:val="af7"/>
        <w:spacing w:line="296" w:lineRule="exact"/>
        <w:ind w:firstLine="0"/>
        <w:rPr>
          <w:rFonts w:ascii="Arial" w:hAnsi="Arial" w:cs="DanaFajr"/>
          <w:sz w:val="28"/>
          <w:szCs w:val="28"/>
          <w:lang w:bidi="ar-LB"/>
        </w:rPr>
      </w:pPr>
      <w:r w:rsidRPr="00282AC9">
        <w:rPr>
          <w:rFonts w:ascii="Arial" w:hAnsi="Arial" w:cs="DanaFajr" w:hint="cs"/>
          <w:sz w:val="28"/>
          <w:szCs w:val="28"/>
          <w:rtl/>
          <w:lang w:bidi="ar-LB"/>
        </w:rPr>
        <w:t>ولكنّ هذه الدعوى في المجالين هي مجرد تهويلٍ، فلا يصغى إليها.</w:t>
      </w:r>
    </w:p>
  </w:endnote>
  <w:endnote w:id="163">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hint="cs"/>
          <w:sz w:val="28"/>
          <w:szCs w:val="28"/>
          <w:rtl/>
        </w:rPr>
        <w:t xml:space="preserve"> </w:t>
      </w:r>
      <w:r w:rsidRPr="00282AC9">
        <w:rPr>
          <w:rFonts w:ascii="Arial" w:hAnsi="Arial" w:cs="DanaFajr"/>
          <w:sz w:val="28"/>
          <w:szCs w:val="28"/>
          <w:rtl/>
        </w:rPr>
        <w:t xml:space="preserve">قال الشيخ البهائي: </w:t>
      </w:r>
      <w:r w:rsidRPr="00282AC9">
        <w:rPr>
          <w:rFonts w:hint="eastAsia"/>
          <w:sz w:val="22"/>
          <w:szCs w:val="22"/>
          <w:rtl/>
        </w:rPr>
        <w:t>«</w:t>
      </w:r>
      <w:r w:rsidRPr="00282AC9">
        <w:rPr>
          <w:rFonts w:ascii="Arial" w:hAnsi="Arial" w:cs="DanaFajr"/>
          <w:sz w:val="28"/>
          <w:szCs w:val="28"/>
          <w:rtl/>
        </w:rPr>
        <w:t>وقد شاع العمل بالض</w:t>
      </w:r>
      <w:r w:rsidRPr="00282AC9">
        <w:rPr>
          <w:rFonts w:ascii="Arial" w:hAnsi="Arial" w:cs="DanaFajr" w:hint="cs"/>
          <w:sz w:val="28"/>
          <w:szCs w:val="28"/>
          <w:rtl/>
        </w:rPr>
        <w:t>ِّ</w:t>
      </w:r>
      <w:r w:rsidRPr="00282AC9">
        <w:rPr>
          <w:rFonts w:ascii="Arial" w:hAnsi="Arial" w:cs="DanaFajr"/>
          <w:sz w:val="28"/>
          <w:szCs w:val="28"/>
          <w:rtl/>
        </w:rPr>
        <w:t>عاف في الس</w:t>
      </w:r>
      <w:r w:rsidRPr="00282AC9">
        <w:rPr>
          <w:rFonts w:ascii="Arial" w:hAnsi="Arial" w:cs="DanaFajr" w:hint="cs"/>
          <w:sz w:val="28"/>
          <w:szCs w:val="28"/>
          <w:rtl/>
        </w:rPr>
        <w:t>ُّ</w:t>
      </w:r>
      <w:r w:rsidRPr="00282AC9">
        <w:rPr>
          <w:rFonts w:ascii="Arial" w:hAnsi="Arial" w:cs="DanaFajr"/>
          <w:sz w:val="28"/>
          <w:szCs w:val="28"/>
          <w:rtl/>
        </w:rPr>
        <w:t>ن</w:t>
      </w:r>
      <w:r w:rsidRPr="00282AC9">
        <w:rPr>
          <w:rFonts w:ascii="Arial" w:hAnsi="Arial" w:cs="DanaFajr" w:hint="cs"/>
          <w:sz w:val="28"/>
          <w:szCs w:val="28"/>
          <w:rtl/>
        </w:rPr>
        <w:t>َ</w:t>
      </w:r>
      <w:r w:rsidRPr="00282AC9">
        <w:rPr>
          <w:rFonts w:ascii="Arial" w:hAnsi="Arial" w:cs="DanaFajr"/>
          <w:sz w:val="28"/>
          <w:szCs w:val="28"/>
          <w:rtl/>
        </w:rPr>
        <w:t>ن</w:t>
      </w:r>
      <w:r w:rsidRPr="00282AC9">
        <w:rPr>
          <w:rFonts w:ascii="Arial" w:hAnsi="Arial" w:cs="DanaFajr" w:hint="cs"/>
          <w:sz w:val="28"/>
          <w:szCs w:val="28"/>
          <w:rtl/>
        </w:rPr>
        <w:t>،</w:t>
      </w:r>
      <w:r w:rsidRPr="00282AC9">
        <w:rPr>
          <w:rFonts w:ascii="Arial" w:hAnsi="Arial" w:cs="DanaFajr"/>
          <w:sz w:val="28"/>
          <w:szCs w:val="28"/>
          <w:rtl/>
        </w:rPr>
        <w:t xml:space="preserve"> وإن</w:t>
      </w:r>
      <w:r w:rsidRPr="00282AC9">
        <w:rPr>
          <w:rFonts w:ascii="Arial" w:hAnsi="Arial" w:cs="DanaFajr" w:hint="cs"/>
          <w:sz w:val="28"/>
          <w:szCs w:val="28"/>
          <w:rtl/>
        </w:rPr>
        <w:t>ْ</w:t>
      </w:r>
      <w:r w:rsidRPr="00282AC9">
        <w:rPr>
          <w:rFonts w:ascii="Arial" w:hAnsi="Arial" w:cs="DanaFajr"/>
          <w:sz w:val="28"/>
          <w:szCs w:val="28"/>
          <w:rtl/>
        </w:rPr>
        <w:t xml:space="preserve"> اشتدَّ ضعفُها</w:t>
      </w:r>
      <w:r w:rsidRPr="00282AC9">
        <w:rPr>
          <w:rFonts w:ascii="Arial" w:hAnsi="Arial" w:cs="DanaFajr" w:hint="cs"/>
          <w:sz w:val="28"/>
          <w:szCs w:val="28"/>
          <w:rtl/>
        </w:rPr>
        <w:t>،</w:t>
      </w:r>
      <w:r w:rsidRPr="00282AC9">
        <w:rPr>
          <w:rFonts w:ascii="Arial" w:hAnsi="Arial" w:cs="DanaFajr"/>
          <w:sz w:val="28"/>
          <w:szCs w:val="28"/>
          <w:rtl/>
        </w:rPr>
        <w:t xml:space="preserve"> ولم ينجبر. والإيرادُ بأنّ إثبات أحد الأحكام الخمسة بما هذا حاله مخالفٌ لما ثبت في محلّ</w:t>
      </w:r>
      <w:r w:rsidRPr="00282AC9">
        <w:rPr>
          <w:rFonts w:ascii="Arial" w:hAnsi="Arial" w:cs="DanaFajr" w:hint="cs"/>
          <w:sz w:val="28"/>
          <w:szCs w:val="28"/>
          <w:rtl/>
        </w:rPr>
        <w:t>ِ</w:t>
      </w:r>
      <w:r w:rsidRPr="00282AC9">
        <w:rPr>
          <w:rFonts w:ascii="Arial" w:hAnsi="Arial" w:cs="DanaFajr"/>
          <w:sz w:val="28"/>
          <w:szCs w:val="28"/>
          <w:rtl/>
        </w:rPr>
        <w:t xml:space="preserve">ه مشهورٌ. والعامّة مُضْطَرِبون في التفصّي عن ذلك. وأمّا نحنُ ـ معاشرَ الخاصّة ـ فالعملُ عندنا ليس بها في الحقيقة، بل بحَسَنَة: </w:t>
      </w:r>
      <w:r w:rsidRPr="00282AC9">
        <w:rPr>
          <w:rFonts w:hint="eastAsia"/>
          <w:sz w:val="22"/>
          <w:szCs w:val="22"/>
          <w:rtl/>
        </w:rPr>
        <w:t>«</w:t>
      </w:r>
      <w:r w:rsidRPr="00282AC9">
        <w:rPr>
          <w:rFonts w:ascii="Arial" w:hAnsi="Arial" w:cs="DanaFajr"/>
          <w:sz w:val="28"/>
          <w:szCs w:val="28"/>
          <w:rtl/>
        </w:rPr>
        <w:t>مَنْ سَمِعَ شيئاً من ال</w:t>
      </w:r>
      <w:r w:rsidRPr="00282AC9">
        <w:rPr>
          <w:rFonts w:ascii="Arial" w:hAnsi="Arial" w:cs="DanaFajr" w:hint="cs"/>
          <w:sz w:val="28"/>
          <w:szCs w:val="28"/>
          <w:rtl/>
        </w:rPr>
        <w:t>ث</w:t>
      </w:r>
      <w:r w:rsidRPr="00282AC9">
        <w:rPr>
          <w:rFonts w:ascii="Arial" w:hAnsi="Arial" w:cs="DanaFajr"/>
          <w:sz w:val="28"/>
          <w:szCs w:val="28"/>
          <w:rtl/>
        </w:rPr>
        <w:t>واب</w:t>
      </w:r>
      <w:r w:rsidRPr="00282AC9">
        <w:rPr>
          <w:rFonts w:hint="eastAsia"/>
          <w:sz w:val="22"/>
          <w:szCs w:val="22"/>
          <w:rtl/>
        </w:rPr>
        <w:t>»</w:t>
      </w:r>
      <w:r w:rsidRPr="00282AC9">
        <w:rPr>
          <w:rFonts w:ascii="Arial" w:hAnsi="Arial" w:cs="DanaFajr" w:hint="cs"/>
          <w:sz w:val="28"/>
          <w:szCs w:val="28"/>
          <w:rtl/>
        </w:rPr>
        <w:t>،</w:t>
      </w:r>
      <w:r w:rsidRPr="00282AC9">
        <w:rPr>
          <w:rFonts w:ascii="Arial" w:hAnsi="Arial" w:cs="DanaFajr"/>
          <w:sz w:val="28"/>
          <w:szCs w:val="28"/>
          <w:rtl/>
        </w:rPr>
        <w:t xml:space="preserve"> وهي ممّا تفرّ</w:t>
      </w:r>
      <w:r w:rsidRPr="00282AC9">
        <w:rPr>
          <w:rFonts w:ascii="Arial" w:hAnsi="Arial" w:cs="DanaFajr" w:hint="cs"/>
          <w:sz w:val="28"/>
          <w:szCs w:val="28"/>
          <w:rtl/>
        </w:rPr>
        <w:t>َ</w:t>
      </w:r>
      <w:r w:rsidRPr="00282AC9">
        <w:rPr>
          <w:rFonts w:ascii="Arial" w:hAnsi="Arial" w:cs="DanaFajr"/>
          <w:sz w:val="28"/>
          <w:szCs w:val="28"/>
          <w:rtl/>
        </w:rPr>
        <w:t>د</w:t>
      </w:r>
      <w:r w:rsidRPr="00282AC9">
        <w:rPr>
          <w:rFonts w:ascii="Arial" w:hAnsi="Arial" w:cs="DanaFajr" w:hint="cs"/>
          <w:sz w:val="28"/>
          <w:szCs w:val="28"/>
          <w:rtl/>
        </w:rPr>
        <w:t>ْ</w:t>
      </w:r>
      <w:r w:rsidRPr="00282AC9">
        <w:rPr>
          <w:rFonts w:ascii="Arial" w:hAnsi="Arial" w:cs="DanaFajr"/>
          <w:sz w:val="28"/>
          <w:szCs w:val="28"/>
          <w:rtl/>
        </w:rPr>
        <w:t>نا بروايته</w:t>
      </w:r>
      <w:r w:rsidRPr="00282AC9">
        <w:rPr>
          <w:rFonts w:hint="eastAsia"/>
          <w:sz w:val="22"/>
          <w:szCs w:val="22"/>
          <w:rtl/>
        </w:rPr>
        <w:t>»</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الوجيزة، مدر</w:t>
      </w:r>
      <w:r w:rsidRPr="00282AC9">
        <w:rPr>
          <w:rFonts w:ascii="Arial" w:hAnsi="Arial" w:cs="DanaFajr" w:hint="cs"/>
          <w:sz w:val="28"/>
          <w:szCs w:val="28"/>
          <w:rtl/>
          <w:lang w:bidi="ar-LB"/>
        </w:rPr>
        <w:t>ج</w:t>
      </w:r>
      <w:r w:rsidRPr="00282AC9">
        <w:rPr>
          <w:rFonts w:ascii="Arial" w:hAnsi="Arial" w:cs="DanaFajr"/>
          <w:sz w:val="28"/>
          <w:szCs w:val="28"/>
          <w:rtl/>
          <w:lang w:bidi="ar-LB"/>
        </w:rPr>
        <w:t>ة</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ضمن رسائل في دراية الحديث 1: 542.</w:t>
      </w:r>
    </w:p>
  </w:endnote>
  <w:endnote w:id="164">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يظهر ذلك من </w:t>
      </w:r>
      <w:r w:rsidRPr="00282AC9">
        <w:rPr>
          <w:rFonts w:ascii="Arial" w:hAnsi="Arial" w:cs="DanaFajr" w:hint="cs"/>
          <w:sz w:val="28"/>
          <w:szCs w:val="28"/>
          <w:rtl/>
        </w:rPr>
        <w:t xml:space="preserve">السيد هاشم معروف الحَسَني في </w:t>
      </w:r>
      <w:r w:rsidRPr="00282AC9">
        <w:rPr>
          <w:rFonts w:ascii="Arial" w:hAnsi="Arial" w:cs="DanaFajr"/>
          <w:sz w:val="28"/>
          <w:szCs w:val="28"/>
          <w:rtl/>
        </w:rPr>
        <w:t>كتاب الموضوعات: 221</w:t>
      </w:r>
      <w:r w:rsidRPr="00282AC9">
        <w:rPr>
          <w:rFonts w:ascii="Arial" w:hAnsi="Arial" w:cs="DanaFajr" w:hint="cs"/>
          <w:sz w:val="28"/>
          <w:szCs w:val="28"/>
          <w:rtl/>
        </w:rPr>
        <w:t>.</w:t>
      </w:r>
    </w:p>
  </w:endnote>
  <w:endnote w:id="165">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 xml:space="preserve">قال تعالى: </w:t>
      </w:r>
      <w:r w:rsidRPr="00282AC9">
        <w:rPr>
          <w:rFonts w:ascii="Mosawi" w:hAnsi="Mosawi" w:cs="Mosawi"/>
          <w:sz w:val="22"/>
          <w:szCs w:val="22"/>
          <w:rtl/>
        </w:rPr>
        <w:t>﴿</w:t>
      </w:r>
      <w:r w:rsidRPr="00282AC9">
        <w:rPr>
          <w:rFonts w:ascii="Arial" w:hAnsi="Arial" w:cs="DanaFajr"/>
          <w:b/>
          <w:bCs/>
          <w:sz w:val="28"/>
          <w:szCs w:val="28"/>
          <w:rtl/>
          <w:lang w:bidi="ar-LB"/>
        </w:rPr>
        <w:t>لَوْلا جَا</w:t>
      </w:r>
      <w:r w:rsidRPr="00282AC9">
        <w:rPr>
          <w:rFonts w:ascii="Arial" w:hAnsi="Arial" w:cs="DanaFajr" w:hint="cs"/>
          <w:b/>
          <w:bCs/>
          <w:sz w:val="28"/>
          <w:szCs w:val="28"/>
          <w:rtl/>
          <w:lang w:bidi="ar-LB"/>
        </w:rPr>
        <w:t>ؤُ</w:t>
      </w:r>
      <w:r w:rsidRPr="00282AC9">
        <w:rPr>
          <w:rFonts w:ascii="Arial" w:hAnsi="Arial" w:cs="DanaFajr"/>
          <w:b/>
          <w:bCs/>
          <w:sz w:val="28"/>
          <w:szCs w:val="28"/>
          <w:rtl/>
          <w:lang w:bidi="ar-LB"/>
        </w:rPr>
        <w:t>وا عَلَيْهِ بِأَرْبَعَةِ شُهَدَاءَ فَإِذْ لَمْ يَأْتُوا بِالشُّهَدَاءِ فَأُولَئِكَ عِنْدَ اللهِ هُمُ الْكَاذِبُونَ</w:t>
      </w:r>
      <w:r w:rsidRPr="00282AC9">
        <w:rPr>
          <w:rFonts w:ascii="Mosawi" w:hAnsi="Mosawi" w:cs="Mosawi"/>
          <w:sz w:val="22"/>
          <w:szCs w:val="22"/>
          <w:rtl/>
        </w:rPr>
        <w:t>﴾</w:t>
      </w:r>
      <w:r w:rsidRPr="00282AC9">
        <w:rPr>
          <w:rFonts w:ascii="Arial" w:hAnsi="Arial" w:cs="DanaFajr"/>
          <w:sz w:val="28"/>
          <w:szCs w:val="28"/>
          <w:rtl/>
          <w:lang w:bidi="ar-LB"/>
        </w:rPr>
        <w:t xml:space="preserve"> (</w:t>
      </w:r>
      <w:r w:rsidRPr="00282AC9">
        <w:rPr>
          <w:rFonts w:ascii="Arial" w:hAnsi="Arial" w:cs="DanaFajr" w:hint="cs"/>
          <w:sz w:val="28"/>
          <w:szCs w:val="28"/>
          <w:rtl/>
          <w:lang w:bidi="ar-LB"/>
        </w:rPr>
        <w:t>النور: 13</w:t>
      </w:r>
      <w:r w:rsidRPr="00282AC9">
        <w:rPr>
          <w:rFonts w:ascii="Arial" w:hAnsi="Arial" w:cs="DanaFajr"/>
          <w:sz w:val="28"/>
          <w:szCs w:val="28"/>
          <w:rtl/>
          <w:lang w:bidi="ar-LB"/>
        </w:rPr>
        <w:t xml:space="preserve">). </w:t>
      </w:r>
    </w:p>
  </w:endnote>
  <w:endnote w:id="166">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 xml:space="preserve">أنهاها </w:t>
      </w:r>
      <w:r w:rsidRPr="00282AC9">
        <w:rPr>
          <w:rFonts w:ascii="Arial" w:hAnsi="Arial" w:cs="DanaFajr"/>
          <w:sz w:val="28"/>
          <w:szCs w:val="28"/>
          <w:rtl/>
          <w:lang w:bidi="ar-LB"/>
        </w:rPr>
        <w:t xml:space="preserve">السيد الخوئي </w:t>
      </w:r>
      <w:r w:rsidRPr="00282AC9">
        <w:rPr>
          <w:rFonts w:ascii="Arial" w:hAnsi="Arial" w:cs="DanaFajr" w:hint="cs"/>
          <w:sz w:val="28"/>
          <w:szCs w:val="28"/>
          <w:rtl/>
          <w:lang w:bidi="ar-LB"/>
        </w:rPr>
        <w:t xml:space="preserve">إلى </w:t>
      </w:r>
      <w:r w:rsidRPr="00282AC9">
        <w:rPr>
          <w:rFonts w:ascii="Arial" w:hAnsi="Arial" w:cs="DanaFajr"/>
          <w:sz w:val="28"/>
          <w:szCs w:val="28"/>
          <w:rtl/>
          <w:lang w:bidi="ar-LB"/>
        </w:rPr>
        <w:t>ثلاثة</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انظ</w:t>
      </w:r>
      <w:r w:rsidRPr="00282AC9">
        <w:rPr>
          <w:rFonts w:ascii="Arial" w:hAnsi="Arial" w:cs="DanaFajr" w:hint="cs"/>
          <w:sz w:val="28"/>
          <w:szCs w:val="28"/>
          <w:rtl/>
          <w:lang w:bidi="ar-LB"/>
        </w:rPr>
        <w:t>ُ</w:t>
      </w:r>
      <w:r w:rsidRPr="00282AC9">
        <w:rPr>
          <w:rFonts w:ascii="Arial" w:hAnsi="Arial" w:cs="DanaFajr"/>
          <w:sz w:val="28"/>
          <w:szCs w:val="28"/>
          <w:rtl/>
          <w:lang w:bidi="ar-LB"/>
        </w:rPr>
        <w:t>ر</w:t>
      </w:r>
      <w:r w:rsidRPr="00282AC9">
        <w:rPr>
          <w:rFonts w:ascii="Arial" w:hAnsi="Arial" w:cs="DanaFajr" w:hint="cs"/>
          <w:sz w:val="28"/>
          <w:szCs w:val="28"/>
          <w:rtl/>
          <w:lang w:bidi="ar-LB"/>
        </w:rPr>
        <w:t>ْ</w:t>
      </w:r>
      <w:r w:rsidRPr="00282AC9">
        <w:rPr>
          <w:rFonts w:ascii="Arial" w:hAnsi="Arial" w:cs="DanaFajr"/>
          <w:sz w:val="28"/>
          <w:szCs w:val="28"/>
          <w:rtl/>
          <w:lang w:bidi="ar-LB"/>
        </w:rPr>
        <w:t>: مصباح الأصول 2: 319</w:t>
      </w:r>
      <w:r w:rsidRPr="00282AC9">
        <w:rPr>
          <w:rFonts w:ascii="Arial" w:hAnsi="Arial" w:cs="DanaFajr" w:hint="cs"/>
          <w:sz w:val="28"/>
          <w:szCs w:val="28"/>
          <w:rtl/>
          <w:lang w:bidi="ar-LB"/>
        </w:rPr>
        <w:t>؛ بينما أنهاها السيد الشهيد إلى خمسة. انظُرْ: بحوث في علم الأصول 5: 122.</w:t>
      </w:r>
    </w:p>
  </w:endnote>
  <w:endnote w:id="167">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بحوث في علم الأصول 5: 122.</w:t>
      </w:r>
    </w:p>
  </w:endnote>
  <w:endnote w:id="168">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 xml:space="preserve">مصباح الأصول 2: 319. وقال الإمام الخميني: </w:t>
      </w:r>
      <w:r w:rsidRPr="00282AC9">
        <w:rPr>
          <w:rFonts w:hint="eastAsia"/>
          <w:sz w:val="22"/>
          <w:szCs w:val="22"/>
          <w:rtl/>
          <w:lang w:bidi="ar-LB"/>
        </w:rPr>
        <w:t>«</w:t>
      </w:r>
      <w:r w:rsidRPr="00282AC9">
        <w:rPr>
          <w:rFonts w:ascii="Arial" w:hAnsi="Arial" w:cs="DanaFajr" w:hint="cs"/>
          <w:sz w:val="28"/>
          <w:szCs w:val="28"/>
          <w:rtl/>
          <w:lang w:bidi="ar-LB"/>
        </w:rPr>
        <w:t>إ</w:t>
      </w:r>
      <w:r w:rsidRPr="00282AC9">
        <w:rPr>
          <w:rFonts w:ascii="Arial" w:hAnsi="Arial" w:cs="DanaFajr"/>
          <w:sz w:val="28"/>
          <w:szCs w:val="28"/>
          <w:rtl/>
          <w:lang w:bidi="ar-LB"/>
        </w:rPr>
        <w:t>ن</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هذا الاحتمال بعيد غايته عن مساق الأخبار</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فإن لسان إعطاء الحج</w:t>
      </w:r>
      <w:r w:rsidRPr="00282AC9">
        <w:rPr>
          <w:rFonts w:ascii="Arial" w:hAnsi="Arial" w:cs="DanaFajr" w:hint="cs"/>
          <w:sz w:val="28"/>
          <w:szCs w:val="28"/>
          <w:rtl/>
          <w:lang w:bidi="ar-LB"/>
        </w:rPr>
        <w:t>ّ</w:t>
      </w:r>
      <w:r w:rsidRPr="00282AC9">
        <w:rPr>
          <w:rFonts w:ascii="Arial" w:hAnsi="Arial" w:cs="DanaFajr"/>
          <w:sz w:val="28"/>
          <w:szCs w:val="28"/>
          <w:rtl/>
          <w:lang w:bidi="ar-LB"/>
        </w:rPr>
        <w:t>ية هو إلقاء احتمال الخلاف، وكون المؤد</w:t>
      </w:r>
      <w:r w:rsidRPr="00282AC9">
        <w:rPr>
          <w:rFonts w:ascii="Arial" w:hAnsi="Arial" w:cs="DanaFajr" w:hint="cs"/>
          <w:sz w:val="28"/>
          <w:szCs w:val="28"/>
          <w:rtl/>
          <w:lang w:bidi="ar-LB"/>
        </w:rPr>
        <w:t>ّ</w:t>
      </w:r>
      <w:r w:rsidRPr="00282AC9">
        <w:rPr>
          <w:rFonts w:ascii="Arial" w:hAnsi="Arial" w:cs="DanaFajr"/>
          <w:sz w:val="28"/>
          <w:szCs w:val="28"/>
          <w:rtl/>
          <w:lang w:bidi="ar-LB"/>
        </w:rPr>
        <w:t xml:space="preserve">ى هو الواقع، وهو ينافي فرض </w:t>
      </w:r>
      <w:r w:rsidRPr="00282AC9">
        <w:rPr>
          <w:rFonts w:ascii="Arial" w:hAnsi="Arial" w:cs="DanaFajr" w:hint="cs"/>
          <w:sz w:val="28"/>
          <w:szCs w:val="28"/>
          <w:rtl/>
          <w:lang w:bidi="ar-LB"/>
        </w:rPr>
        <w:t>ع</w:t>
      </w:r>
      <w:r w:rsidRPr="00282AC9">
        <w:rPr>
          <w:rFonts w:ascii="Arial" w:hAnsi="Arial" w:cs="DanaFajr"/>
          <w:sz w:val="28"/>
          <w:szCs w:val="28"/>
          <w:rtl/>
          <w:lang w:bidi="ar-LB"/>
        </w:rPr>
        <w:t>دم كون الحديث كما بلغه، أو فرض عدم صدوره عن رسول الله</w:t>
      </w:r>
      <w:r w:rsidRPr="00282AC9">
        <w:rPr>
          <w:rFonts w:cs="Mosawi" w:hint="cs"/>
          <w:rtl/>
        </w:rPr>
        <w:t>|</w:t>
      </w:r>
      <w:r w:rsidRPr="00282AC9">
        <w:rPr>
          <w:rFonts w:hint="eastAsia"/>
          <w:sz w:val="22"/>
          <w:szCs w:val="22"/>
          <w:rtl/>
        </w:rPr>
        <w:t>»</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أنوار الهداية 2: 135.</w:t>
      </w:r>
    </w:p>
  </w:endnote>
  <w:endnote w:id="169">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bookmarkStart w:id="15" w:name="_Hlk61207594"/>
      <w:r w:rsidRPr="00282AC9">
        <w:rPr>
          <w:rFonts w:ascii="Arial" w:hAnsi="Arial" w:cs="DanaFajr" w:hint="cs"/>
          <w:sz w:val="28"/>
          <w:szCs w:val="28"/>
          <w:rtl/>
          <w:lang w:bidi="ar-LB"/>
        </w:rPr>
        <w:t xml:space="preserve">المصدر </w:t>
      </w:r>
      <w:bookmarkEnd w:id="15"/>
      <w:r w:rsidRPr="00282AC9">
        <w:rPr>
          <w:rFonts w:ascii="Arial" w:hAnsi="Arial" w:cs="DanaFajr" w:hint="cs"/>
          <w:sz w:val="28"/>
          <w:szCs w:val="28"/>
          <w:rtl/>
          <w:lang w:bidi="ar-LB"/>
        </w:rPr>
        <w:t>السابق</w:t>
      </w:r>
      <w:r w:rsidRPr="00282AC9">
        <w:rPr>
          <w:rFonts w:ascii="Arial" w:hAnsi="Arial" w:cs="DanaFajr"/>
          <w:sz w:val="28"/>
          <w:szCs w:val="28"/>
          <w:rtl/>
          <w:lang w:bidi="ar-LB"/>
        </w:rPr>
        <w:t xml:space="preserve"> 2: 136.</w:t>
      </w:r>
    </w:p>
  </w:endnote>
  <w:endnote w:id="170">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لكن</w:t>
      </w:r>
      <w:r w:rsidRPr="00282AC9">
        <w:rPr>
          <w:rFonts w:ascii="Arial" w:hAnsi="Arial" w:cs="DanaFajr" w:hint="cs"/>
          <w:sz w:val="28"/>
          <w:szCs w:val="28"/>
          <w:rtl/>
          <w:lang w:bidi="ar-LB"/>
        </w:rPr>
        <w:t>ّ</w:t>
      </w:r>
      <w:r w:rsidRPr="00282AC9">
        <w:rPr>
          <w:rFonts w:ascii="Arial" w:hAnsi="Arial" w:cs="DanaFajr"/>
          <w:sz w:val="28"/>
          <w:szCs w:val="28"/>
          <w:rtl/>
          <w:lang w:bidi="ar-LB"/>
        </w:rPr>
        <w:t>ه في الحلقات أشار إلى أن الاحتمال الأو</w:t>
      </w:r>
      <w:r w:rsidRPr="00282AC9">
        <w:rPr>
          <w:rFonts w:ascii="Arial" w:hAnsi="Arial" w:cs="DanaFajr" w:hint="cs"/>
          <w:sz w:val="28"/>
          <w:szCs w:val="28"/>
          <w:rtl/>
          <w:lang w:bidi="ar-LB"/>
        </w:rPr>
        <w:t>ّ</w:t>
      </w:r>
      <w:r w:rsidRPr="00282AC9">
        <w:rPr>
          <w:rFonts w:ascii="Arial" w:hAnsi="Arial" w:cs="DanaFajr"/>
          <w:sz w:val="28"/>
          <w:szCs w:val="28"/>
          <w:rtl/>
          <w:lang w:bidi="ar-LB"/>
        </w:rPr>
        <w:t>ل مخالف</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للظاهر</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انظ</w:t>
      </w:r>
      <w:r w:rsidRPr="00282AC9">
        <w:rPr>
          <w:rFonts w:ascii="Arial" w:hAnsi="Arial" w:cs="DanaFajr" w:hint="cs"/>
          <w:sz w:val="28"/>
          <w:szCs w:val="28"/>
          <w:rtl/>
          <w:lang w:bidi="ar-LB"/>
        </w:rPr>
        <w:t>ُ</w:t>
      </w:r>
      <w:r w:rsidRPr="00282AC9">
        <w:rPr>
          <w:rFonts w:ascii="Arial" w:hAnsi="Arial" w:cs="DanaFajr"/>
          <w:sz w:val="28"/>
          <w:szCs w:val="28"/>
          <w:rtl/>
          <w:lang w:bidi="ar-LB"/>
        </w:rPr>
        <w:t>ر</w:t>
      </w:r>
      <w:r w:rsidRPr="00282AC9">
        <w:rPr>
          <w:rFonts w:ascii="Arial" w:hAnsi="Arial" w:cs="DanaFajr" w:hint="cs"/>
          <w:sz w:val="28"/>
          <w:szCs w:val="28"/>
          <w:rtl/>
          <w:lang w:bidi="ar-LB"/>
        </w:rPr>
        <w:t>ْ</w:t>
      </w:r>
      <w:r w:rsidRPr="00282AC9">
        <w:rPr>
          <w:rFonts w:ascii="Arial" w:hAnsi="Arial" w:cs="DanaFajr"/>
          <w:sz w:val="28"/>
          <w:szCs w:val="28"/>
          <w:rtl/>
          <w:lang w:bidi="ar-LB"/>
        </w:rPr>
        <w:t>: الحلقة الثانية: 262</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والحل</w:t>
      </w:r>
      <w:r w:rsidRPr="00282AC9">
        <w:rPr>
          <w:rFonts w:ascii="Arial" w:hAnsi="Arial" w:cs="DanaFajr" w:hint="cs"/>
          <w:sz w:val="28"/>
          <w:szCs w:val="28"/>
          <w:rtl/>
          <w:lang w:bidi="ar-LB"/>
        </w:rPr>
        <w:t>ق</w:t>
      </w:r>
      <w:r w:rsidRPr="00282AC9">
        <w:rPr>
          <w:rFonts w:ascii="Arial" w:hAnsi="Arial" w:cs="DanaFajr"/>
          <w:sz w:val="28"/>
          <w:szCs w:val="28"/>
          <w:rtl/>
          <w:lang w:bidi="ar-LB"/>
        </w:rPr>
        <w:t>ة الثالثة 2: 157.</w:t>
      </w:r>
    </w:p>
  </w:endnote>
  <w:endnote w:id="171">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بحوث في علم الأصول 5</w:t>
      </w:r>
      <w:r w:rsidRPr="00282AC9">
        <w:rPr>
          <w:rFonts w:ascii="Arial" w:hAnsi="Arial" w:cs="DanaFajr" w:hint="cs"/>
          <w:sz w:val="28"/>
          <w:szCs w:val="28"/>
          <w:rtl/>
        </w:rPr>
        <w:t>:</w:t>
      </w:r>
      <w:r w:rsidRPr="00282AC9">
        <w:rPr>
          <w:rFonts w:ascii="Arial" w:hAnsi="Arial" w:cs="DanaFajr"/>
          <w:sz w:val="28"/>
          <w:szCs w:val="28"/>
          <w:rtl/>
        </w:rPr>
        <w:t xml:space="preserve"> 122.</w:t>
      </w:r>
    </w:p>
  </w:endnote>
  <w:endnote w:id="172">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hint="cs"/>
          <w:sz w:val="28"/>
          <w:szCs w:val="28"/>
          <w:rtl/>
          <w:lang w:bidi="ar-LB"/>
        </w:rPr>
        <w:t>المصدر السابق</w:t>
      </w:r>
      <w:r w:rsidRPr="00282AC9">
        <w:rPr>
          <w:rFonts w:ascii="Arial" w:hAnsi="Arial" w:cs="DanaFajr"/>
          <w:sz w:val="28"/>
          <w:szCs w:val="28"/>
          <w:rtl/>
          <w:lang w:bidi="ar-LB"/>
        </w:rPr>
        <w:t xml:space="preserve"> 5: 126.</w:t>
      </w:r>
    </w:p>
  </w:endnote>
  <w:endnote w:id="173">
    <w:p w:rsidR="00C14EDE" w:rsidRPr="00282AC9" w:rsidRDefault="00C14EDE" w:rsidP="0037059F">
      <w:pPr>
        <w:pStyle w:val="af7"/>
        <w:spacing w:line="296" w:lineRule="exact"/>
        <w:ind w:firstLine="0"/>
        <w:rPr>
          <w:rFonts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lang w:bidi="ar-LB"/>
        </w:rPr>
        <w:t xml:space="preserve">الاحتمال الأوّل عنده هو أنّ </w:t>
      </w:r>
      <w:r w:rsidRPr="00282AC9">
        <w:rPr>
          <w:rFonts w:hint="eastAsia"/>
          <w:sz w:val="22"/>
          <w:szCs w:val="22"/>
          <w:rtl/>
          <w:lang w:bidi="ar-LB"/>
        </w:rPr>
        <w:t>«</w:t>
      </w:r>
      <w:r w:rsidRPr="00282AC9">
        <w:rPr>
          <w:rFonts w:cs="DanaFajr"/>
          <w:sz w:val="28"/>
          <w:szCs w:val="28"/>
          <w:rtl/>
          <w:lang w:bidi="ar-LB"/>
        </w:rPr>
        <w:t>مفادها ال</w:t>
      </w:r>
      <w:r w:rsidRPr="00282AC9">
        <w:rPr>
          <w:rFonts w:cs="DanaFajr" w:hint="cs"/>
          <w:sz w:val="28"/>
          <w:szCs w:val="28"/>
          <w:rtl/>
          <w:lang w:bidi="ar-LB"/>
        </w:rPr>
        <w:t>إ</w:t>
      </w:r>
      <w:r w:rsidRPr="00282AC9">
        <w:rPr>
          <w:rFonts w:cs="DanaFajr"/>
          <w:sz w:val="28"/>
          <w:szCs w:val="28"/>
          <w:rtl/>
          <w:lang w:bidi="ar-LB"/>
        </w:rPr>
        <w:t>رشاد إلى حكم العقل بحسن الانقياد، وترت</w:t>
      </w:r>
      <w:r w:rsidRPr="00282AC9">
        <w:rPr>
          <w:rFonts w:cs="DanaFajr" w:hint="cs"/>
          <w:sz w:val="28"/>
          <w:szCs w:val="28"/>
          <w:rtl/>
          <w:lang w:bidi="ar-LB"/>
        </w:rPr>
        <w:t>ُّ</w:t>
      </w:r>
      <w:r w:rsidRPr="00282AC9">
        <w:rPr>
          <w:rFonts w:cs="DanaFajr"/>
          <w:sz w:val="28"/>
          <w:szCs w:val="28"/>
          <w:rtl/>
          <w:lang w:bidi="ar-LB"/>
        </w:rPr>
        <w:t>ب الثواب على ال</w:t>
      </w:r>
      <w:r w:rsidRPr="00282AC9">
        <w:rPr>
          <w:rFonts w:cs="DanaFajr" w:hint="cs"/>
          <w:sz w:val="28"/>
          <w:szCs w:val="28"/>
          <w:rtl/>
          <w:lang w:bidi="ar-LB"/>
        </w:rPr>
        <w:t>إ</w:t>
      </w:r>
      <w:r w:rsidRPr="00282AC9">
        <w:rPr>
          <w:rFonts w:cs="DanaFajr"/>
          <w:sz w:val="28"/>
          <w:szCs w:val="28"/>
          <w:rtl/>
          <w:lang w:bidi="ar-LB"/>
        </w:rPr>
        <w:t>تيان</w:t>
      </w:r>
      <w:r w:rsidRPr="00282AC9">
        <w:rPr>
          <w:rFonts w:cs="DanaFajr" w:hint="cs"/>
          <w:sz w:val="28"/>
          <w:szCs w:val="28"/>
          <w:rtl/>
          <w:lang w:bidi="ar-LB"/>
        </w:rPr>
        <w:t xml:space="preserve"> </w:t>
      </w:r>
      <w:r w:rsidRPr="00282AC9">
        <w:rPr>
          <w:rFonts w:cs="DanaFajr"/>
          <w:sz w:val="28"/>
          <w:szCs w:val="28"/>
          <w:rtl/>
          <w:lang w:bidi="ar-LB"/>
        </w:rPr>
        <w:t>بالعمل الذي بلغ عليه الثواب و</w:t>
      </w:r>
      <w:r w:rsidRPr="00282AC9">
        <w:rPr>
          <w:rFonts w:cs="DanaFajr" w:hint="cs"/>
          <w:sz w:val="28"/>
          <w:szCs w:val="28"/>
          <w:rtl/>
          <w:lang w:bidi="ar-LB"/>
        </w:rPr>
        <w:t>إ</w:t>
      </w:r>
      <w:r w:rsidRPr="00282AC9">
        <w:rPr>
          <w:rFonts w:cs="DanaFajr"/>
          <w:sz w:val="28"/>
          <w:szCs w:val="28"/>
          <w:rtl/>
          <w:lang w:bidi="ar-LB"/>
        </w:rPr>
        <w:t>ن</w:t>
      </w:r>
      <w:r w:rsidRPr="00282AC9">
        <w:rPr>
          <w:rFonts w:cs="DanaFajr" w:hint="cs"/>
          <w:sz w:val="28"/>
          <w:szCs w:val="28"/>
          <w:rtl/>
          <w:lang w:bidi="ar-LB"/>
        </w:rPr>
        <w:t>ْ</w:t>
      </w:r>
      <w:r w:rsidRPr="00282AC9">
        <w:rPr>
          <w:rFonts w:cs="DanaFajr"/>
          <w:sz w:val="28"/>
          <w:szCs w:val="28"/>
          <w:rtl/>
          <w:lang w:bidi="ar-LB"/>
        </w:rPr>
        <w:t xml:space="preserve"> لم يكن ال</w:t>
      </w:r>
      <w:r w:rsidRPr="00282AC9">
        <w:rPr>
          <w:rFonts w:cs="DanaFajr" w:hint="cs"/>
          <w:sz w:val="28"/>
          <w:szCs w:val="28"/>
          <w:rtl/>
          <w:lang w:bidi="ar-LB"/>
        </w:rPr>
        <w:t>أ</w:t>
      </w:r>
      <w:r w:rsidRPr="00282AC9">
        <w:rPr>
          <w:rFonts w:cs="DanaFajr"/>
          <w:sz w:val="28"/>
          <w:szCs w:val="28"/>
          <w:rtl/>
          <w:lang w:bidi="ar-LB"/>
        </w:rPr>
        <w:t>مر كما بلغه</w:t>
      </w:r>
      <w:r w:rsidRPr="00282AC9">
        <w:rPr>
          <w:rFonts w:hint="eastAsia"/>
          <w:sz w:val="22"/>
          <w:szCs w:val="22"/>
          <w:rtl/>
        </w:rPr>
        <w:t>»</w:t>
      </w:r>
      <w:r w:rsidRPr="00282AC9">
        <w:rPr>
          <w:rFonts w:cs="DanaFajr" w:hint="cs"/>
          <w:sz w:val="28"/>
          <w:szCs w:val="28"/>
          <w:rtl/>
          <w:lang w:bidi="ar-LB"/>
        </w:rPr>
        <w:t>. مصباح الأصول 2: 319. وهذا هو الاحتمال الثالث بحَسَب تصنيفنا.</w:t>
      </w:r>
    </w:p>
  </w:endnote>
  <w:endnote w:id="174">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hint="cs"/>
          <w:sz w:val="28"/>
          <w:szCs w:val="28"/>
          <w:rtl/>
          <w:lang w:bidi="ar-LB"/>
        </w:rPr>
        <w:t>المصدر السابق</w:t>
      </w:r>
      <w:r w:rsidRPr="00282AC9">
        <w:rPr>
          <w:rFonts w:ascii="Arial" w:hAnsi="Arial" w:cs="DanaFajr"/>
          <w:sz w:val="28"/>
          <w:szCs w:val="28"/>
          <w:rtl/>
          <w:lang w:bidi="ar-LB"/>
        </w:rPr>
        <w:t xml:space="preserve"> 2: </w:t>
      </w:r>
      <w:r w:rsidRPr="00282AC9">
        <w:rPr>
          <w:rFonts w:ascii="Arial" w:hAnsi="Arial" w:cs="DanaFajr" w:hint="cs"/>
          <w:sz w:val="28"/>
          <w:szCs w:val="28"/>
          <w:rtl/>
          <w:lang w:bidi="ar-LB"/>
        </w:rPr>
        <w:t>319.</w:t>
      </w:r>
    </w:p>
  </w:endnote>
  <w:endnote w:id="175">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الحلقة الثانية: 262.</w:t>
      </w:r>
    </w:p>
  </w:endnote>
  <w:endnote w:id="176">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بحوث في علم الأصول 5: 122.</w:t>
      </w:r>
    </w:p>
  </w:endnote>
  <w:endnote w:id="177">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الحلقة الثانية: 262.</w:t>
      </w:r>
    </w:p>
  </w:endnote>
  <w:endnote w:id="178">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بحوث في علم الأصول 5: 122.</w:t>
      </w:r>
    </w:p>
  </w:endnote>
  <w:endnote w:id="179">
    <w:p w:rsidR="00C14EDE" w:rsidRPr="00282AC9" w:rsidRDefault="00C14EDE" w:rsidP="0037059F">
      <w:pPr>
        <w:pStyle w:val="af7"/>
        <w:spacing w:line="296"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الحلقة الثانية: 262؛ والحلقة الثالثة: 155.</w:t>
      </w:r>
    </w:p>
  </w:endnote>
  <w:endnote w:id="180">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بحوث في علم الأصول 5: 122 ـ 123.</w:t>
      </w:r>
    </w:p>
  </w:endnote>
  <w:endnote w:id="181">
    <w:p w:rsidR="00C14EDE" w:rsidRPr="00282AC9" w:rsidRDefault="00C14EDE" w:rsidP="0037059F">
      <w:pPr>
        <w:pStyle w:val="af7"/>
        <w:spacing w:line="296" w:lineRule="exact"/>
        <w:ind w:firstLine="0"/>
        <w:rPr>
          <w:rFonts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ascii="Arial" w:hAnsi="Arial" w:cs="DanaFajr" w:hint="cs"/>
          <w:sz w:val="28"/>
          <w:szCs w:val="28"/>
          <w:rtl/>
        </w:rPr>
        <w:t>قد كنتُ أثناء التدريس بعض المتون الأصوليّة أرجِّح هذا الوجه، وخِلْتُه حينها غير مسبوقٍ، بَيْدَ أنّي وجدْتُ أنّ بعض كلمات الفقهاء غير بعيدةٍ عنه.</w:t>
      </w:r>
    </w:p>
  </w:endnote>
  <w:endnote w:id="182">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الأربعون حديثاً</w:t>
      </w:r>
      <w:r w:rsidRPr="00282AC9">
        <w:rPr>
          <w:rFonts w:ascii="Arial" w:hAnsi="Arial" w:cs="DanaFajr" w:hint="cs"/>
          <w:sz w:val="28"/>
          <w:szCs w:val="28"/>
          <w:rtl/>
          <w:lang w:bidi="ar-LB"/>
        </w:rPr>
        <w:t xml:space="preserve">: </w:t>
      </w:r>
      <w:r w:rsidRPr="00282AC9">
        <w:rPr>
          <w:rFonts w:ascii="Arial" w:hAnsi="Arial" w:cs="DanaFajr"/>
          <w:sz w:val="28"/>
          <w:szCs w:val="28"/>
          <w:rtl/>
          <w:lang w:bidi="ar-LB"/>
        </w:rPr>
        <w:t>204.</w:t>
      </w:r>
    </w:p>
  </w:endnote>
  <w:endnote w:id="183">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الفصول المهمة إلى أصول الأئم</w:t>
      </w:r>
      <w:r w:rsidRPr="00282AC9">
        <w:rPr>
          <w:rFonts w:ascii="Arial" w:hAnsi="Arial" w:cs="DanaFajr" w:hint="cs"/>
          <w:sz w:val="28"/>
          <w:szCs w:val="28"/>
          <w:rtl/>
          <w:lang w:bidi="ar-LB"/>
        </w:rPr>
        <w:t>ّ</w:t>
      </w:r>
      <w:r w:rsidRPr="00282AC9">
        <w:rPr>
          <w:rFonts w:ascii="Arial" w:hAnsi="Arial" w:cs="DanaFajr"/>
          <w:sz w:val="28"/>
          <w:szCs w:val="28"/>
          <w:rtl/>
          <w:lang w:bidi="ar-LB"/>
        </w:rPr>
        <w:t>ة 1: 617</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وكلامه في الوسائل م</w:t>
      </w:r>
      <w:r w:rsidRPr="00282AC9">
        <w:rPr>
          <w:rFonts w:ascii="Arial" w:hAnsi="Arial" w:cs="DanaFajr" w:hint="cs"/>
          <w:sz w:val="28"/>
          <w:szCs w:val="28"/>
          <w:rtl/>
          <w:lang w:bidi="ar-LB"/>
        </w:rPr>
        <w:t>ُ</w:t>
      </w:r>
      <w:r w:rsidRPr="00282AC9">
        <w:rPr>
          <w:rFonts w:ascii="Arial" w:hAnsi="Arial" w:cs="DanaFajr"/>
          <w:sz w:val="28"/>
          <w:szCs w:val="28"/>
          <w:rtl/>
          <w:lang w:bidi="ar-LB"/>
        </w:rPr>
        <w:t>ش</w:t>
      </w:r>
      <w:r w:rsidRPr="00282AC9">
        <w:rPr>
          <w:rFonts w:ascii="Arial" w:hAnsi="Arial" w:cs="DanaFajr" w:hint="cs"/>
          <w:sz w:val="28"/>
          <w:szCs w:val="28"/>
          <w:rtl/>
          <w:lang w:bidi="ar-LB"/>
        </w:rPr>
        <w:t>ْ</w:t>
      </w:r>
      <w:r w:rsidRPr="00282AC9">
        <w:rPr>
          <w:rFonts w:ascii="Arial" w:hAnsi="Arial" w:cs="DanaFajr"/>
          <w:sz w:val="28"/>
          <w:szCs w:val="28"/>
          <w:rtl/>
          <w:lang w:bidi="ar-LB"/>
        </w:rPr>
        <w:t>ع</w:t>
      </w:r>
      <w:r w:rsidRPr="00282AC9">
        <w:rPr>
          <w:rFonts w:ascii="Arial" w:hAnsi="Arial" w:cs="DanaFajr" w:hint="cs"/>
          <w:sz w:val="28"/>
          <w:szCs w:val="28"/>
          <w:rtl/>
          <w:lang w:bidi="ar-LB"/>
        </w:rPr>
        <w:t>ِ</w:t>
      </w:r>
      <w:r w:rsidRPr="00282AC9">
        <w:rPr>
          <w:rFonts w:ascii="Arial" w:hAnsi="Arial" w:cs="DanaFajr"/>
          <w:sz w:val="28"/>
          <w:szCs w:val="28"/>
          <w:rtl/>
          <w:lang w:bidi="ar-LB"/>
        </w:rPr>
        <w:t>ر</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بذلك أيضاً، فقد أورد روايات </w:t>
      </w:r>
      <w:r w:rsidRPr="00282AC9">
        <w:rPr>
          <w:rFonts w:hint="eastAsia"/>
          <w:sz w:val="22"/>
          <w:szCs w:val="22"/>
          <w:rtl/>
          <w:lang w:bidi="ar-LB"/>
        </w:rPr>
        <w:t>«</w:t>
      </w:r>
      <w:r w:rsidRPr="00282AC9">
        <w:rPr>
          <w:rFonts w:ascii="Arial" w:hAnsi="Arial" w:cs="DanaFajr"/>
          <w:sz w:val="28"/>
          <w:szCs w:val="28"/>
          <w:rtl/>
          <w:lang w:bidi="ar-LB"/>
        </w:rPr>
        <w:t>م</w:t>
      </w:r>
      <w:r w:rsidRPr="00282AC9">
        <w:rPr>
          <w:rFonts w:ascii="Arial" w:hAnsi="Arial" w:cs="DanaFajr" w:hint="cs"/>
          <w:sz w:val="28"/>
          <w:szCs w:val="28"/>
          <w:rtl/>
          <w:lang w:bidi="ar-LB"/>
        </w:rPr>
        <w:t>َ</w:t>
      </w:r>
      <w:r w:rsidRPr="00282AC9">
        <w:rPr>
          <w:rFonts w:ascii="Arial" w:hAnsi="Arial" w:cs="DanaFajr"/>
          <w:sz w:val="28"/>
          <w:szCs w:val="28"/>
          <w:rtl/>
          <w:lang w:bidi="ar-LB"/>
        </w:rPr>
        <w:t>ن</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بلغ</w:t>
      </w:r>
      <w:r w:rsidRPr="00282AC9">
        <w:rPr>
          <w:rFonts w:hint="eastAsia"/>
          <w:sz w:val="22"/>
          <w:szCs w:val="22"/>
          <w:rtl/>
        </w:rPr>
        <w:t>»</w:t>
      </w:r>
      <w:r w:rsidRPr="00282AC9">
        <w:rPr>
          <w:rFonts w:ascii="Arial" w:hAnsi="Arial" w:cs="DanaFajr"/>
          <w:sz w:val="28"/>
          <w:szCs w:val="28"/>
          <w:rtl/>
          <w:lang w:bidi="ar-LB"/>
        </w:rPr>
        <w:t xml:space="preserve"> في باب </w:t>
      </w:r>
      <w:r w:rsidRPr="00282AC9">
        <w:rPr>
          <w:rFonts w:hint="eastAsia"/>
          <w:sz w:val="22"/>
          <w:szCs w:val="22"/>
          <w:rtl/>
          <w:lang w:bidi="ar-LB"/>
        </w:rPr>
        <w:t>«</w:t>
      </w:r>
      <w:r w:rsidRPr="00282AC9">
        <w:rPr>
          <w:rFonts w:ascii="Arial" w:hAnsi="Arial" w:cs="DanaFajr"/>
          <w:sz w:val="28"/>
          <w:szCs w:val="28"/>
          <w:rtl/>
          <w:lang w:bidi="ar-LB"/>
        </w:rPr>
        <w:t>استحباب الإتيان بكل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عمل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مشروع ر</w:t>
      </w:r>
      <w:r w:rsidRPr="00282AC9">
        <w:rPr>
          <w:rFonts w:ascii="Arial" w:hAnsi="Arial" w:cs="DanaFajr" w:hint="cs"/>
          <w:sz w:val="28"/>
          <w:szCs w:val="28"/>
          <w:rtl/>
          <w:lang w:bidi="ar-LB"/>
        </w:rPr>
        <w:t>ُ</w:t>
      </w:r>
      <w:r w:rsidRPr="00282AC9">
        <w:rPr>
          <w:rFonts w:ascii="Arial" w:hAnsi="Arial" w:cs="DanaFajr"/>
          <w:sz w:val="28"/>
          <w:szCs w:val="28"/>
          <w:rtl/>
          <w:lang w:bidi="ar-LB"/>
        </w:rPr>
        <w:t>و</w:t>
      </w:r>
      <w:r w:rsidRPr="00282AC9">
        <w:rPr>
          <w:rFonts w:ascii="Arial" w:hAnsi="Arial" w:cs="DanaFajr" w:hint="cs"/>
          <w:sz w:val="28"/>
          <w:szCs w:val="28"/>
          <w:rtl/>
          <w:lang w:bidi="ar-LB"/>
        </w:rPr>
        <w:t xml:space="preserve">ي </w:t>
      </w:r>
      <w:r w:rsidRPr="00282AC9">
        <w:rPr>
          <w:rFonts w:ascii="Arial" w:hAnsi="Arial" w:cs="DanaFajr"/>
          <w:sz w:val="28"/>
          <w:szCs w:val="28"/>
          <w:rtl/>
          <w:lang w:bidi="ar-LB"/>
        </w:rPr>
        <w:t>له ثواب</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عنهم</w:t>
      </w:r>
      <w:r w:rsidRPr="00282AC9">
        <w:rPr>
          <w:rFonts w:cs="Mosawi" w:hint="cs"/>
          <w:rtl/>
        </w:rPr>
        <w:t>^</w:t>
      </w:r>
      <w:r w:rsidRPr="00282AC9">
        <w:rPr>
          <w:rFonts w:hint="eastAsia"/>
          <w:sz w:val="22"/>
          <w:szCs w:val="22"/>
          <w:rtl/>
        </w:rPr>
        <w:t>»</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وسائل الشيعة 1: 80.</w:t>
      </w:r>
    </w:p>
  </w:endnote>
  <w:endnote w:id="184">
    <w:p w:rsidR="00C14EDE" w:rsidRPr="00282AC9" w:rsidRDefault="00C14EDE" w:rsidP="0037059F">
      <w:pPr>
        <w:pStyle w:val="af7"/>
        <w:spacing w:line="296"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رسائل فقهية: 150.</w:t>
      </w:r>
    </w:p>
  </w:endnote>
  <w:endnote w:id="185">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ثواب الأعمال: 132</w:t>
      </w:r>
      <w:r w:rsidRPr="00282AC9">
        <w:rPr>
          <w:rFonts w:ascii="Arial" w:hAnsi="Arial" w:cs="DanaFajr" w:hint="cs"/>
          <w:sz w:val="28"/>
          <w:szCs w:val="28"/>
          <w:rtl/>
        </w:rPr>
        <w:t>؛</w:t>
      </w:r>
      <w:r w:rsidRPr="00282AC9">
        <w:rPr>
          <w:rFonts w:ascii="Arial" w:hAnsi="Arial" w:cs="DanaFajr"/>
          <w:sz w:val="28"/>
          <w:szCs w:val="28"/>
          <w:rtl/>
        </w:rPr>
        <w:t xml:space="preserve"> وعنه</w:t>
      </w:r>
      <w:r w:rsidRPr="00282AC9">
        <w:rPr>
          <w:rFonts w:ascii="Arial" w:hAnsi="Arial" w:cs="DanaFajr" w:hint="cs"/>
          <w:sz w:val="28"/>
          <w:szCs w:val="28"/>
          <w:rtl/>
        </w:rPr>
        <w:t>:</w:t>
      </w:r>
      <w:r w:rsidRPr="00282AC9">
        <w:rPr>
          <w:rFonts w:ascii="Arial" w:hAnsi="Arial" w:cs="DanaFajr"/>
          <w:sz w:val="28"/>
          <w:szCs w:val="28"/>
          <w:rtl/>
        </w:rPr>
        <w:t xml:space="preserve"> وسائل الشيعة 1: 80، الباب 18 من أبواب مقد</w:t>
      </w:r>
      <w:r w:rsidRPr="00282AC9">
        <w:rPr>
          <w:rFonts w:ascii="Arial" w:hAnsi="Arial" w:cs="DanaFajr" w:hint="cs"/>
          <w:sz w:val="28"/>
          <w:szCs w:val="28"/>
          <w:rtl/>
        </w:rPr>
        <w:t>ّ</w:t>
      </w:r>
      <w:r w:rsidRPr="00282AC9">
        <w:rPr>
          <w:rFonts w:ascii="Arial" w:hAnsi="Arial" w:cs="DanaFajr"/>
          <w:sz w:val="28"/>
          <w:szCs w:val="28"/>
          <w:rtl/>
        </w:rPr>
        <w:t>مة العبادات</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ح</w:t>
      </w:r>
      <w:r w:rsidRPr="00282AC9">
        <w:rPr>
          <w:rFonts w:ascii="Arial" w:hAnsi="Arial" w:cs="DanaFajr"/>
          <w:sz w:val="28"/>
          <w:szCs w:val="28"/>
          <w:rtl/>
        </w:rPr>
        <w:t>1</w:t>
      </w:r>
      <w:r w:rsidRPr="00282AC9">
        <w:rPr>
          <w:rFonts w:ascii="Arial" w:hAnsi="Arial" w:cs="DanaFajr" w:hint="cs"/>
          <w:sz w:val="28"/>
          <w:szCs w:val="28"/>
          <w:rtl/>
        </w:rPr>
        <w:t>.</w:t>
      </w:r>
    </w:p>
  </w:endnote>
  <w:endnote w:id="186">
    <w:p w:rsidR="00C14EDE" w:rsidRPr="00282AC9" w:rsidRDefault="00C14EDE" w:rsidP="0037059F">
      <w:pPr>
        <w:pStyle w:val="af7"/>
        <w:spacing w:line="296" w:lineRule="exact"/>
        <w:ind w:firstLine="0"/>
        <w:rPr>
          <w:rFonts w:ascii="Arial" w:hAnsi="Arial" w:cs="DanaFajr"/>
          <w:sz w:val="28"/>
          <w:szCs w:val="28"/>
          <w:rtl/>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عد</w:t>
      </w:r>
      <w:r w:rsidRPr="00282AC9">
        <w:rPr>
          <w:rFonts w:ascii="Arial" w:hAnsi="Arial" w:cs="DanaFajr" w:hint="cs"/>
          <w:sz w:val="28"/>
          <w:szCs w:val="28"/>
          <w:rtl/>
          <w:lang w:bidi="ar-LB"/>
        </w:rPr>
        <w:t>ّ</w:t>
      </w:r>
      <w:r w:rsidRPr="00282AC9">
        <w:rPr>
          <w:rFonts w:ascii="Arial" w:hAnsi="Arial" w:cs="DanaFajr"/>
          <w:sz w:val="28"/>
          <w:szCs w:val="28"/>
          <w:rtl/>
          <w:lang w:bidi="ar-LB"/>
        </w:rPr>
        <w:t>ة الداعي ونجاح الساعي: 9</w:t>
      </w:r>
      <w:r w:rsidRPr="00282AC9">
        <w:rPr>
          <w:rFonts w:ascii="Arial" w:hAnsi="Arial" w:cs="DanaFajr" w:hint="cs"/>
          <w:sz w:val="28"/>
          <w:szCs w:val="28"/>
          <w:rtl/>
          <w:lang w:bidi="ar-LB"/>
        </w:rPr>
        <w:t xml:space="preserve">؛ </w:t>
      </w:r>
      <w:r w:rsidRPr="00282AC9">
        <w:rPr>
          <w:rFonts w:ascii="Arial" w:hAnsi="Arial" w:cs="DanaFajr"/>
          <w:sz w:val="28"/>
          <w:szCs w:val="28"/>
          <w:rtl/>
          <w:lang w:bidi="ar-LB"/>
        </w:rPr>
        <w:t>وعنه</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وسائل الشيعة 1: 82، </w:t>
      </w:r>
      <w:r w:rsidRPr="00282AC9">
        <w:rPr>
          <w:rFonts w:ascii="Arial" w:hAnsi="Arial" w:cs="DanaFajr"/>
          <w:sz w:val="28"/>
          <w:szCs w:val="28"/>
          <w:rtl/>
        </w:rPr>
        <w:t>الباب 18 من أبواب مقد</w:t>
      </w:r>
      <w:r w:rsidRPr="00282AC9">
        <w:rPr>
          <w:rFonts w:ascii="Arial" w:hAnsi="Arial" w:cs="DanaFajr" w:hint="cs"/>
          <w:sz w:val="28"/>
          <w:szCs w:val="28"/>
          <w:rtl/>
        </w:rPr>
        <w:t>ّ</w:t>
      </w:r>
      <w:r w:rsidRPr="00282AC9">
        <w:rPr>
          <w:rFonts w:ascii="Arial" w:hAnsi="Arial" w:cs="DanaFajr"/>
          <w:sz w:val="28"/>
          <w:szCs w:val="28"/>
          <w:rtl/>
        </w:rPr>
        <w:t>مة العبادات</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ح</w:t>
      </w:r>
      <w:r w:rsidRPr="00282AC9">
        <w:rPr>
          <w:rFonts w:ascii="Arial" w:hAnsi="Arial" w:cs="DanaFajr"/>
          <w:sz w:val="28"/>
          <w:szCs w:val="28"/>
          <w:rtl/>
          <w:lang w:bidi="ar-LB"/>
        </w:rPr>
        <w:t>8</w:t>
      </w:r>
      <w:r w:rsidRPr="00282AC9">
        <w:rPr>
          <w:rFonts w:ascii="Arial" w:hAnsi="Arial" w:cs="DanaFajr" w:hint="cs"/>
          <w:sz w:val="28"/>
          <w:szCs w:val="28"/>
          <w:rtl/>
          <w:lang w:bidi="ar-LB"/>
        </w:rPr>
        <w:t>.</w:t>
      </w:r>
    </w:p>
  </w:endnote>
  <w:endnote w:id="187">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الكافي 2: 87.</w:t>
      </w:r>
    </w:p>
  </w:endnote>
  <w:endnote w:id="188">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المحاسن 1: 25.</w:t>
      </w:r>
    </w:p>
  </w:endnote>
  <w:endnote w:id="189">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الكافي 2: 87.</w:t>
      </w:r>
    </w:p>
  </w:endnote>
  <w:endnote w:id="190">
    <w:p w:rsidR="00C14EDE" w:rsidRPr="00282AC9" w:rsidRDefault="00C14EDE" w:rsidP="0037059F">
      <w:pPr>
        <w:pStyle w:val="af7"/>
        <w:spacing w:line="296" w:lineRule="exact"/>
        <w:ind w:firstLine="0"/>
        <w:rPr>
          <w:rFonts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lang w:bidi="ar-LB"/>
        </w:rPr>
        <w:t>صورة المفروغيّة عن خيريّة العمل.</w:t>
      </w:r>
    </w:p>
  </w:endnote>
  <w:endnote w:id="191">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بحوث في علم الأصول 5: 122 ـ 123.</w:t>
      </w:r>
    </w:p>
  </w:endnote>
  <w:endnote w:id="192">
    <w:p w:rsidR="00C14EDE" w:rsidRPr="00282AC9" w:rsidRDefault="00C14EDE" w:rsidP="0037059F">
      <w:pPr>
        <w:pStyle w:val="af7"/>
        <w:spacing w:line="296"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رسائل فقهية: 150.</w:t>
      </w:r>
    </w:p>
  </w:endnote>
  <w:endnote w:id="193">
    <w:p w:rsidR="00C14EDE" w:rsidRPr="00282AC9" w:rsidRDefault="00C14EDE" w:rsidP="0037059F">
      <w:pPr>
        <w:pStyle w:val="af7"/>
        <w:spacing w:line="296"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lang w:bidi="ar-LB"/>
        </w:rPr>
        <w:t>المصدر نفسه.</w:t>
      </w:r>
    </w:p>
  </w:endnote>
  <w:endnote w:id="194">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 xml:space="preserve">يقول السيد فضل الله: </w:t>
      </w:r>
      <w:r w:rsidRPr="00282AC9">
        <w:rPr>
          <w:rFonts w:hint="eastAsia"/>
          <w:sz w:val="22"/>
          <w:szCs w:val="22"/>
          <w:rtl/>
          <w:lang w:bidi="ar-LB"/>
        </w:rPr>
        <w:t>«</w:t>
      </w:r>
      <w:r w:rsidRPr="00282AC9">
        <w:rPr>
          <w:rFonts w:ascii="Arial" w:hAnsi="Arial" w:cs="DanaFajr"/>
          <w:sz w:val="28"/>
          <w:szCs w:val="28"/>
          <w:rtl/>
          <w:lang w:bidi="ar-LB"/>
        </w:rPr>
        <w:t>ليس هناك فرق</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في الفت</w:t>
      </w:r>
      <w:r w:rsidRPr="00282AC9">
        <w:rPr>
          <w:rFonts w:ascii="Arial" w:hAnsi="Arial" w:cs="DanaFajr" w:hint="cs"/>
          <w:sz w:val="28"/>
          <w:szCs w:val="28"/>
          <w:rtl/>
          <w:lang w:bidi="ar-LB"/>
        </w:rPr>
        <w:t>و</w:t>
      </w:r>
      <w:r w:rsidRPr="00282AC9">
        <w:rPr>
          <w:rFonts w:ascii="Arial" w:hAnsi="Arial" w:cs="DanaFajr"/>
          <w:sz w:val="28"/>
          <w:szCs w:val="28"/>
          <w:rtl/>
          <w:lang w:bidi="ar-LB"/>
        </w:rPr>
        <w:t>ى بين الواجب أو المحر</w:t>
      </w:r>
      <w:r w:rsidRPr="00282AC9">
        <w:rPr>
          <w:rFonts w:ascii="Arial" w:hAnsi="Arial" w:cs="DanaFajr" w:hint="cs"/>
          <w:sz w:val="28"/>
          <w:szCs w:val="28"/>
          <w:rtl/>
          <w:lang w:bidi="ar-LB"/>
        </w:rPr>
        <w:t>َّ</w:t>
      </w:r>
      <w:r w:rsidRPr="00282AC9">
        <w:rPr>
          <w:rFonts w:ascii="Arial" w:hAnsi="Arial" w:cs="DanaFajr"/>
          <w:sz w:val="28"/>
          <w:szCs w:val="28"/>
          <w:rtl/>
          <w:lang w:bidi="ar-LB"/>
        </w:rPr>
        <w:t>م أو المستحب أو المكروه أو المفهوم</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فقد يكون المفهوم الإسلامي الذي يطرح على الناس بمثابة الفتوى التي تحرّ</w:t>
      </w:r>
      <w:r w:rsidRPr="00282AC9">
        <w:rPr>
          <w:rFonts w:ascii="Arial" w:hAnsi="Arial" w:cs="DanaFajr" w:hint="cs"/>
          <w:sz w:val="28"/>
          <w:szCs w:val="28"/>
          <w:rtl/>
          <w:lang w:bidi="ar-LB"/>
        </w:rPr>
        <w:t>ِ</w:t>
      </w:r>
      <w:r w:rsidRPr="00282AC9">
        <w:rPr>
          <w:rFonts w:ascii="Arial" w:hAnsi="Arial" w:cs="DanaFajr"/>
          <w:sz w:val="28"/>
          <w:szCs w:val="28"/>
          <w:rtl/>
          <w:lang w:bidi="ar-LB"/>
        </w:rPr>
        <w:t>ك واقعاً معي</w:t>
      </w:r>
      <w:r w:rsidRPr="00282AC9">
        <w:rPr>
          <w:rFonts w:ascii="Arial" w:hAnsi="Arial" w:cs="DanaFajr" w:hint="cs"/>
          <w:sz w:val="28"/>
          <w:szCs w:val="28"/>
          <w:rtl/>
          <w:lang w:bidi="ar-LB"/>
        </w:rPr>
        <w:t>َّ</w:t>
      </w:r>
      <w:r w:rsidRPr="00282AC9">
        <w:rPr>
          <w:rFonts w:ascii="Arial" w:hAnsi="Arial" w:cs="DanaFajr"/>
          <w:sz w:val="28"/>
          <w:szCs w:val="28"/>
          <w:rtl/>
          <w:lang w:bidi="ar-LB"/>
        </w:rPr>
        <w:t>ناً، مم</w:t>
      </w:r>
      <w:r w:rsidRPr="00282AC9">
        <w:rPr>
          <w:rFonts w:ascii="Arial" w:hAnsi="Arial" w:cs="DanaFajr" w:hint="cs"/>
          <w:sz w:val="28"/>
          <w:szCs w:val="28"/>
          <w:rtl/>
          <w:lang w:bidi="ar-LB"/>
        </w:rPr>
        <w:t>ّ</w:t>
      </w:r>
      <w:r w:rsidRPr="00282AC9">
        <w:rPr>
          <w:rFonts w:ascii="Arial" w:hAnsi="Arial" w:cs="DanaFajr"/>
          <w:sz w:val="28"/>
          <w:szCs w:val="28"/>
          <w:rtl/>
          <w:lang w:bidi="ar-LB"/>
        </w:rPr>
        <w:t>ا يشك</w:t>
      </w:r>
      <w:r w:rsidRPr="00282AC9">
        <w:rPr>
          <w:rFonts w:ascii="Arial" w:hAnsi="Arial" w:cs="DanaFajr" w:hint="cs"/>
          <w:sz w:val="28"/>
          <w:szCs w:val="28"/>
          <w:rtl/>
          <w:lang w:bidi="ar-LB"/>
        </w:rPr>
        <w:t>ِّ</w:t>
      </w:r>
      <w:r w:rsidRPr="00282AC9">
        <w:rPr>
          <w:rFonts w:ascii="Arial" w:hAnsi="Arial" w:cs="DanaFajr"/>
          <w:sz w:val="28"/>
          <w:szCs w:val="28"/>
          <w:rtl/>
          <w:lang w:bidi="ar-LB"/>
        </w:rPr>
        <w:t>ل خطورة أكبر من خطورة الخطأ في حكم</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شرعي فرعي</w:t>
      </w:r>
      <w:r w:rsidRPr="00282AC9">
        <w:rPr>
          <w:rFonts w:ascii="Arial" w:hAnsi="Arial" w:cs="DanaFajr" w:hint="cs"/>
          <w:sz w:val="28"/>
          <w:szCs w:val="28"/>
          <w:rtl/>
          <w:lang w:bidi="ar-LB"/>
        </w:rPr>
        <w:t>ّ</w:t>
      </w:r>
      <w:r w:rsidRPr="00282AC9">
        <w:rPr>
          <w:rFonts w:hint="eastAsia"/>
          <w:sz w:val="22"/>
          <w:szCs w:val="22"/>
          <w:rtl/>
        </w:rPr>
        <w:t>»</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كتاب النكاح 1</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161.</w:t>
      </w:r>
    </w:p>
  </w:endnote>
  <w:endnote w:id="195">
    <w:p w:rsidR="00C14EDE" w:rsidRPr="00282AC9" w:rsidRDefault="00C14EDE" w:rsidP="0037059F">
      <w:pPr>
        <w:spacing w:line="296" w:lineRule="exact"/>
        <w:ind w:firstLine="0"/>
        <w:rPr>
          <w:rFonts w:ascii="Arial" w:hAnsi="Arial" w:cs="DanaFajr"/>
          <w:szCs w:val="28"/>
          <w:rtl/>
          <w:lang w:bidi="ar-LB"/>
        </w:rPr>
      </w:pPr>
      <w:r w:rsidRPr="00282AC9">
        <w:rPr>
          <w:rFonts w:cs="DanaFajr"/>
          <w:szCs w:val="28"/>
          <w:rtl/>
        </w:rPr>
        <w:t>(</w:t>
      </w:r>
      <w:r w:rsidRPr="00282AC9">
        <w:rPr>
          <w:rFonts w:cs="DanaFajr"/>
          <w:szCs w:val="28"/>
        </w:rPr>
        <w:endnoteRef/>
      </w:r>
      <w:r w:rsidRPr="00282AC9">
        <w:rPr>
          <w:rFonts w:cs="DanaFajr"/>
          <w:szCs w:val="28"/>
          <w:rtl/>
        </w:rPr>
        <w:t>)</w:t>
      </w:r>
      <w:r w:rsidRPr="00282AC9">
        <w:rPr>
          <w:rFonts w:ascii="Arial" w:hAnsi="Arial" w:cs="DanaFajr"/>
          <w:szCs w:val="28"/>
          <w:rtl/>
        </w:rPr>
        <w:t xml:space="preserve"> </w:t>
      </w:r>
      <w:r w:rsidRPr="00282AC9">
        <w:rPr>
          <w:rFonts w:ascii="Arial" w:hAnsi="Arial" w:cs="DanaFajr"/>
          <w:szCs w:val="28"/>
          <w:rtl/>
          <w:lang w:bidi="ar-LB"/>
        </w:rPr>
        <w:t>من قبيل</w:t>
      </w:r>
      <w:r w:rsidRPr="00282AC9">
        <w:rPr>
          <w:rFonts w:ascii="Arial" w:hAnsi="Arial" w:cs="DanaFajr" w:hint="cs"/>
          <w:szCs w:val="28"/>
          <w:rtl/>
          <w:lang w:bidi="ar-LB"/>
        </w:rPr>
        <w:t>:</w:t>
      </w:r>
      <w:r w:rsidRPr="00282AC9">
        <w:rPr>
          <w:rFonts w:ascii="Arial" w:hAnsi="Arial" w:cs="DanaFajr"/>
          <w:szCs w:val="28"/>
          <w:rtl/>
          <w:lang w:bidi="ar-LB"/>
        </w:rPr>
        <w:t xml:space="preserve"> ما رواه الكليني</w:t>
      </w:r>
      <w:r w:rsidRPr="00282AC9">
        <w:rPr>
          <w:rFonts w:ascii="Arial" w:hAnsi="Arial" w:cs="DanaFajr" w:hint="cs"/>
          <w:szCs w:val="28"/>
          <w:rtl/>
          <w:lang w:bidi="ar-LB"/>
        </w:rPr>
        <w:t>،</w:t>
      </w:r>
      <w:r w:rsidRPr="00282AC9">
        <w:rPr>
          <w:rFonts w:ascii="Arial" w:hAnsi="Arial" w:cs="DanaFajr"/>
          <w:szCs w:val="28"/>
          <w:rtl/>
          <w:lang w:bidi="ar-LB"/>
        </w:rPr>
        <w:t xml:space="preserve"> بسنده عن علي بن الحكم</w:t>
      </w:r>
      <w:r w:rsidRPr="00282AC9">
        <w:rPr>
          <w:rFonts w:ascii="Arial" w:hAnsi="Arial" w:cs="DanaFajr" w:hint="cs"/>
          <w:szCs w:val="28"/>
          <w:rtl/>
          <w:lang w:bidi="ar-LB"/>
        </w:rPr>
        <w:t>،</w:t>
      </w:r>
      <w:r w:rsidRPr="00282AC9">
        <w:rPr>
          <w:rFonts w:ascii="Arial" w:hAnsi="Arial" w:cs="DanaFajr"/>
          <w:szCs w:val="28"/>
          <w:rtl/>
          <w:lang w:bidi="ar-LB"/>
        </w:rPr>
        <w:t xml:space="preserve"> عمّ</w:t>
      </w:r>
      <w:r w:rsidRPr="00282AC9">
        <w:rPr>
          <w:rFonts w:ascii="Arial" w:hAnsi="Arial" w:cs="DanaFajr" w:hint="cs"/>
          <w:szCs w:val="28"/>
          <w:rtl/>
          <w:lang w:bidi="ar-LB"/>
        </w:rPr>
        <w:t>َ</w:t>
      </w:r>
      <w:r w:rsidRPr="00282AC9">
        <w:rPr>
          <w:rFonts w:ascii="Arial" w:hAnsi="Arial" w:cs="DanaFajr"/>
          <w:szCs w:val="28"/>
          <w:rtl/>
          <w:lang w:bidi="ar-LB"/>
        </w:rPr>
        <w:t>ن</w:t>
      </w:r>
      <w:r w:rsidRPr="00282AC9">
        <w:rPr>
          <w:rFonts w:ascii="Arial" w:hAnsi="Arial" w:cs="DanaFajr" w:hint="cs"/>
          <w:szCs w:val="28"/>
          <w:rtl/>
          <w:lang w:bidi="ar-LB"/>
        </w:rPr>
        <w:t>ْ</w:t>
      </w:r>
      <w:r w:rsidRPr="00282AC9">
        <w:rPr>
          <w:rFonts w:ascii="Arial" w:hAnsi="Arial" w:cs="DanaFajr"/>
          <w:szCs w:val="28"/>
          <w:rtl/>
          <w:lang w:bidi="ar-LB"/>
        </w:rPr>
        <w:t xml:space="preserve"> حدّ</w:t>
      </w:r>
      <w:r w:rsidRPr="00282AC9">
        <w:rPr>
          <w:rFonts w:ascii="Arial" w:hAnsi="Arial" w:cs="DanaFajr" w:hint="cs"/>
          <w:szCs w:val="28"/>
          <w:rtl/>
          <w:lang w:bidi="ar-LB"/>
        </w:rPr>
        <w:t>َ</w:t>
      </w:r>
      <w:r w:rsidRPr="00282AC9">
        <w:rPr>
          <w:rFonts w:ascii="Arial" w:hAnsi="Arial" w:cs="DanaFajr"/>
          <w:szCs w:val="28"/>
          <w:rtl/>
          <w:lang w:bidi="ar-LB"/>
        </w:rPr>
        <w:t>ثه عن أبي الربيع الشامي قال</w:t>
      </w:r>
      <w:r w:rsidRPr="00282AC9">
        <w:rPr>
          <w:rFonts w:ascii="Arial" w:hAnsi="Arial" w:cs="DanaFajr" w:hint="cs"/>
          <w:szCs w:val="28"/>
          <w:rtl/>
          <w:lang w:bidi="ar-LB"/>
        </w:rPr>
        <w:t xml:space="preserve">: </w:t>
      </w:r>
      <w:r w:rsidRPr="00282AC9">
        <w:rPr>
          <w:rFonts w:hint="eastAsia"/>
          <w:sz w:val="22"/>
          <w:szCs w:val="22"/>
          <w:rtl/>
          <w:lang w:bidi="ar-LB"/>
        </w:rPr>
        <w:t>«</w:t>
      </w:r>
      <w:r w:rsidRPr="00282AC9">
        <w:rPr>
          <w:rFonts w:ascii="Arial" w:hAnsi="Arial" w:cs="DanaFajr"/>
          <w:szCs w:val="28"/>
          <w:rtl/>
          <w:lang w:bidi="ar-LB"/>
        </w:rPr>
        <w:t>سألت</w:t>
      </w:r>
      <w:r w:rsidRPr="00282AC9">
        <w:rPr>
          <w:rFonts w:ascii="Arial" w:hAnsi="Arial" w:cs="DanaFajr" w:hint="cs"/>
          <w:szCs w:val="28"/>
          <w:rtl/>
          <w:lang w:bidi="ar-LB"/>
        </w:rPr>
        <w:t>ُ</w:t>
      </w:r>
      <w:r w:rsidRPr="00282AC9">
        <w:rPr>
          <w:rFonts w:ascii="Arial" w:hAnsi="Arial" w:cs="DanaFajr"/>
          <w:szCs w:val="28"/>
          <w:rtl/>
          <w:lang w:bidi="ar-LB"/>
        </w:rPr>
        <w:t xml:space="preserve"> أبا عبد الله</w:t>
      </w:r>
      <w:r w:rsidRPr="00282AC9">
        <w:rPr>
          <w:rFonts w:cs="Mosawi" w:hint="cs"/>
          <w:sz w:val="20"/>
          <w:szCs w:val="20"/>
          <w:rtl/>
        </w:rPr>
        <w:t>×</w:t>
      </w:r>
      <w:r w:rsidRPr="00282AC9">
        <w:rPr>
          <w:rFonts w:ascii="Arial" w:hAnsi="Arial" w:cs="DanaFajr" w:hint="cs"/>
          <w:szCs w:val="28"/>
          <w:rtl/>
          <w:lang w:bidi="ar-LB"/>
        </w:rPr>
        <w:t>،</w:t>
      </w:r>
      <w:r w:rsidRPr="00282AC9">
        <w:rPr>
          <w:rFonts w:ascii="Arial" w:hAnsi="Arial" w:cs="DanaFajr"/>
          <w:szCs w:val="28"/>
          <w:rtl/>
          <w:lang w:bidi="ar-LB"/>
        </w:rPr>
        <w:t xml:space="preserve"> فقلت</w:t>
      </w:r>
      <w:r w:rsidRPr="00282AC9">
        <w:rPr>
          <w:rFonts w:ascii="Arial" w:hAnsi="Arial" w:cs="DanaFajr" w:hint="cs"/>
          <w:szCs w:val="28"/>
          <w:rtl/>
          <w:lang w:bidi="ar-LB"/>
        </w:rPr>
        <w:t xml:space="preserve">ُ: </w:t>
      </w:r>
      <w:r w:rsidRPr="00282AC9">
        <w:rPr>
          <w:rFonts w:ascii="Arial" w:hAnsi="Arial" w:cs="DanaFajr"/>
          <w:szCs w:val="28"/>
          <w:rtl/>
          <w:lang w:bidi="ar-LB"/>
        </w:rPr>
        <w:t>إنّ عندنا قوماً من الأكراد</w:t>
      </w:r>
      <w:r w:rsidRPr="00282AC9">
        <w:rPr>
          <w:rFonts w:ascii="Arial" w:hAnsi="Arial" w:cs="DanaFajr" w:hint="cs"/>
          <w:szCs w:val="28"/>
          <w:rtl/>
          <w:lang w:bidi="ar-LB"/>
        </w:rPr>
        <w:t>،</w:t>
      </w:r>
      <w:r w:rsidRPr="00282AC9">
        <w:rPr>
          <w:rFonts w:ascii="Arial" w:hAnsi="Arial" w:cs="DanaFajr"/>
          <w:szCs w:val="28"/>
          <w:rtl/>
          <w:lang w:bidi="ar-LB"/>
        </w:rPr>
        <w:t xml:space="preserve"> وإنّهم لا يزالون يجي</w:t>
      </w:r>
      <w:r w:rsidRPr="00282AC9">
        <w:rPr>
          <w:rFonts w:ascii="Arial" w:hAnsi="Arial" w:cs="DanaFajr" w:hint="cs"/>
          <w:szCs w:val="28"/>
          <w:rtl/>
          <w:lang w:bidi="ar-LB"/>
        </w:rPr>
        <w:t>ئ</w:t>
      </w:r>
      <w:r w:rsidRPr="00282AC9">
        <w:rPr>
          <w:rFonts w:ascii="Arial" w:hAnsi="Arial" w:cs="DanaFajr"/>
          <w:szCs w:val="28"/>
          <w:rtl/>
          <w:lang w:bidi="ar-LB"/>
        </w:rPr>
        <w:t>ون بالبيع</w:t>
      </w:r>
      <w:r w:rsidRPr="00282AC9">
        <w:rPr>
          <w:rFonts w:ascii="Arial" w:hAnsi="Arial" w:cs="DanaFajr" w:hint="cs"/>
          <w:szCs w:val="28"/>
          <w:rtl/>
          <w:lang w:bidi="ar-LB"/>
        </w:rPr>
        <w:t>،</w:t>
      </w:r>
      <w:r w:rsidRPr="00282AC9">
        <w:rPr>
          <w:rFonts w:ascii="Arial" w:hAnsi="Arial" w:cs="DanaFajr"/>
          <w:szCs w:val="28"/>
          <w:rtl/>
          <w:lang w:bidi="ar-LB"/>
        </w:rPr>
        <w:t xml:space="preserve"> فنخالطهم ونبايعهم</w:t>
      </w:r>
      <w:r w:rsidRPr="00282AC9">
        <w:rPr>
          <w:rFonts w:ascii="Arial" w:hAnsi="Arial" w:cs="DanaFajr" w:hint="cs"/>
          <w:szCs w:val="28"/>
          <w:rtl/>
          <w:lang w:bidi="ar-LB"/>
        </w:rPr>
        <w:t>؟</w:t>
      </w:r>
      <w:r w:rsidRPr="00282AC9">
        <w:rPr>
          <w:rFonts w:ascii="Arial" w:hAnsi="Arial" w:cs="DanaFajr"/>
          <w:szCs w:val="28"/>
          <w:rtl/>
          <w:lang w:bidi="ar-LB"/>
        </w:rPr>
        <w:t xml:space="preserve"> فقال</w:t>
      </w:r>
      <w:r w:rsidRPr="00282AC9">
        <w:rPr>
          <w:rFonts w:ascii="Arial" w:hAnsi="Arial" w:cs="DanaFajr" w:hint="cs"/>
          <w:szCs w:val="28"/>
          <w:rtl/>
          <w:lang w:bidi="ar-LB"/>
        </w:rPr>
        <w:t xml:space="preserve">: </w:t>
      </w:r>
      <w:r w:rsidRPr="00282AC9">
        <w:rPr>
          <w:rFonts w:ascii="Arial" w:hAnsi="Arial" w:cs="DanaFajr"/>
          <w:szCs w:val="28"/>
          <w:rtl/>
          <w:lang w:bidi="ar-LB"/>
        </w:rPr>
        <w:t>يا أبا الربيع</w:t>
      </w:r>
      <w:r w:rsidRPr="00282AC9">
        <w:rPr>
          <w:rFonts w:ascii="Arial" w:hAnsi="Arial" w:cs="DanaFajr" w:hint="cs"/>
          <w:szCs w:val="28"/>
          <w:rtl/>
          <w:lang w:bidi="ar-LB"/>
        </w:rPr>
        <w:t>،</w:t>
      </w:r>
      <w:r w:rsidRPr="00282AC9">
        <w:rPr>
          <w:rFonts w:ascii="Arial" w:hAnsi="Arial" w:cs="DanaFajr"/>
          <w:szCs w:val="28"/>
          <w:rtl/>
          <w:lang w:bidi="ar-LB"/>
        </w:rPr>
        <w:t xml:space="preserve"> لا تخالطوهم</w:t>
      </w:r>
      <w:r w:rsidRPr="00282AC9">
        <w:rPr>
          <w:rFonts w:ascii="Arial" w:hAnsi="Arial" w:cs="DanaFajr" w:hint="cs"/>
          <w:szCs w:val="28"/>
          <w:rtl/>
          <w:lang w:bidi="ar-LB"/>
        </w:rPr>
        <w:t>؛</w:t>
      </w:r>
      <w:r w:rsidRPr="00282AC9">
        <w:rPr>
          <w:rFonts w:ascii="Arial" w:hAnsi="Arial" w:cs="DanaFajr"/>
          <w:szCs w:val="28"/>
          <w:rtl/>
          <w:lang w:bidi="ar-LB"/>
        </w:rPr>
        <w:t xml:space="preserve"> فإنّ الأكراد حيٌّ من أحياء الجنّ</w:t>
      </w:r>
      <w:r w:rsidRPr="00282AC9">
        <w:rPr>
          <w:rFonts w:ascii="Arial" w:hAnsi="Arial" w:cs="DanaFajr" w:hint="cs"/>
          <w:szCs w:val="28"/>
          <w:rtl/>
          <w:lang w:bidi="ar-LB"/>
        </w:rPr>
        <w:t>،</w:t>
      </w:r>
      <w:r w:rsidRPr="00282AC9">
        <w:rPr>
          <w:rFonts w:ascii="Arial" w:hAnsi="Arial" w:cs="DanaFajr"/>
          <w:szCs w:val="28"/>
          <w:rtl/>
          <w:lang w:bidi="ar-LB"/>
        </w:rPr>
        <w:t xml:space="preserve"> كشف الله عنهم الغطاء</w:t>
      </w:r>
      <w:r w:rsidRPr="00282AC9">
        <w:rPr>
          <w:rFonts w:ascii="Arial" w:hAnsi="Arial" w:cs="DanaFajr" w:hint="cs"/>
          <w:szCs w:val="28"/>
          <w:rtl/>
          <w:lang w:bidi="ar-LB"/>
        </w:rPr>
        <w:t>،</w:t>
      </w:r>
      <w:r w:rsidRPr="00282AC9">
        <w:rPr>
          <w:rFonts w:ascii="Arial" w:hAnsi="Arial" w:cs="DanaFajr"/>
          <w:szCs w:val="28"/>
          <w:rtl/>
          <w:lang w:bidi="ar-LB"/>
        </w:rPr>
        <w:t xml:space="preserve"> فلا تخالطوهم</w:t>
      </w:r>
      <w:r w:rsidRPr="00282AC9">
        <w:rPr>
          <w:rFonts w:hint="eastAsia"/>
          <w:sz w:val="22"/>
          <w:szCs w:val="22"/>
          <w:rtl/>
        </w:rPr>
        <w:t>»</w:t>
      </w:r>
      <w:r w:rsidRPr="00282AC9">
        <w:rPr>
          <w:rFonts w:ascii="Arial" w:hAnsi="Arial" w:cs="DanaFajr" w:hint="cs"/>
          <w:szCs w:val="28"/>
          <w:rtl/>
          <w:lang w:bidi="ar-LB"/>
        </w:rPr>
        <w:t>.</w:t>
      </w:r>
      <w:r w:rsidRPr="00282AC9">
        <w:rPr>
          <w:rFonts w:ascii="Arial" w:hAnsi="Arial" w:cs="DanaFajr"/>
          <w:szCs w:val="28"/>
          <w:rtl/>
          <w:lang w:bidi="ar-LB"/>
        </w:rPr>
        <w:t xml:space="preserve"> الكافي 5: 158</w:t>
      </w:r>
      <w:r w:rsidRPr="00282AC9">
        <w:rPr>
          <w:rFonts w:ascii="Arial" w:hAnsi="Arial" w:cs="DanaFajr" w:hint="cs"/>
          <w:szCs w:val="28"/>
          <w:rtl/>
          <w:lang w:bidi="ar-LB"/>
        </w:rPr>
        <w:t>.</w:t>
      </w:r>
      <w:r w:rsidRPr="00282AC9">
        <w:rPr>
          <w:rFonts w:ascii="Arial" w:hAnsi="Arial" w:cs="DanaFajr"/>
          <w:szCs w:val="28"/>
          <w:rtl/>
          <w:lang w:bidi="ar-LB"/>
        </w:rPr>
        <w:t xml:space="preserve"> وقال المجلسي: </w:t>
      </w:r>
      <w:r w:rsidRPr="00282AC9">
        <w:rPr>
          <w:rFonts w:hint="eastAsia"/>
          <w:sz w:val="22"/>
          <w:szCs w:val="22"/>
          <w:rtl/>
          <w:lang w:bidi="ar-LB"/>
        </w:rPr>
        <w:t>«</w:t>
      </w:r>
      <w:r w:rsidRPr="00282AC9">
        <w:rPr>
          <w:rFonts w:ascii="Arial" w:hAnsi="Arial" w:cs="DanaFajr"/>
          <w:szCs w:val="28"/>
          <w:rtl/>
          <w:lang w:bidi="ar-LB"/>
        </w:rPr>
        <w:t>ور</w:t>
      </w:r>
      <w:r w:rsidRPr="00282AC9">
        <w:rPr>
          <w:rFonts w:ascii="Arial" w:hAnsi="Arial" w:cs="DanaFajr" w:hint="cs"/>
          <w:szCs w:val="28"/>
          <w:rtl/>
          <w:lang w:bidi="ar-LB"/>
        </w:rPr>
        <w:t>ُ</w:t>
      </w:r>
      <w:r w:rsidRPr="00282AC9">
        <w:rPr>
          <w:rFonts w:ascii="Arial" w:hAnsi="Arial" w:cs="DanaFajr"/>
          <w:szCs w:val="28"/>
          <w:rtl/>
          <w:lang w:bidi="ar-LB"/>
        </w:rPr>
        <w:t>ب</w:t>
      </w:r>
      <w:r w:rsidRPr="00282AC9">
        <w:rPr>
          <w:rFonts w:ascii="Arial" w:hAnsi="Arial" w:cs="DanaFajr" w:hint="cs"/>
          <w:szCs w:val="28"/>
          <w:rtl/>
          <w:lang w:bidi="ar-LB"/>
        </w:rPr>
        <w:t>َ</w:t>
      </w:r>
      <w:r w:rsidRPr="00282AC9">
        <w:rPr>
          <w:rFonts w:ascii="Arial" w:hAnsi="Arial" w:cs="DanaFajr"/>
          <w:szCs w:val="28"/>
          <w:rtl/>
          <w:lang w:bidi="ar-LB"/>
        </w:rPr>
        <w:t>ما ي</w:t>
      </w:r>
      <w:r w:rsidRPr="00282AC9">
        <w:rPr>
          <w:rFonts w:ascii="Arial" w:hAnsi="Arial" w:cs="DanaFajr" w:hint="cs"/>
          <w:szCs w:val="28"/>
          <w:rtl/>
          <w:lang w:bidi="ar-LB"/>
        </w:rPr>
        <w:t>ؤ</w:t>
      </w:r>
      <w:r w:rsidRPr="00282AC9">
        <w:rPr>
          <w:rFonts w:ascii="Arial" w:hAnsi="Arial" w:cs="DanaFajr"/>
          <w:szCs w:val="28"/>
          <w:rtl/>
          <w:lang w:bidi="ar-LB"/>
        </w:rPr>
        <w:t>و</w:t>
      </w:r>
      <w:r w:rsidRPr="00282AC9">
        <w:rPr>
          <w:rFonts w:ascii="Arial" w:hAnsi="Arial" w:cs="DanaFajr" w:hint="cs"/>
          <w:szCs w:val="28"/>
          <w:rtl/>
          <w:lang w:bidi="ar-LB"/>
        </w:rPr>
        <w:t>َّ</w:t>
      </w:r>
      <w:r w:rsidRPr="00282AC9">
        <w:rPr>
          <w:rFonts w:ascii="Arial" w:hAnsi="Arial" w:cs="DanaFajr"/>
          <w:szCs w:val="28"/>
          <w:rtl/>
          <w:lang w:bidi="ar-LB"/>
        </w:rPr>
        <w:t>ل كونهم من الجن</w:t>
      </w:r>
      <w:r w:rsidRPr="00282AC9">
        <w:rPr>
          <w:rFonts w:ascii="Arial" w:hAnsi="Arial" w:cs="DanaFajr" w:hint="cs"/>
          <w:szCs w:val="28"/>
          <w:rtl/>
          <w:lang w:bidi="ar-LB"/>
        </w:rPr>
        <w:t>ّ</w:t>
      </w:r>
      <w:r w:rsidRPr="00282AC9">
        <w:rPr>
          <w:rFonts w:ascii="Arial" w:hAnsi="Arial" w:cs="DanaFajr"/>
          <w:szCs w:val="28"/>
          <w:rtl/>
          <w:lang w:bidi="ar-LB"/>
        </w:rPr>
        <w:t xml:space="preserve"> بأنهم</w:t>
      </w:r>
      <w:r w:rsidRPr="00282AC9">
        <w:rPr>
          <w:rFonts w:ascii="Arial" w:hAnsi="Arial" w:cs="DanaFajr" w:hint="cs"/>
          <w:szCs w:val="28"/>
          <w:rtl/>
          <w:lang w:bidi="ar-LB"/>
        </w:rPr>
        <w:t>؛</w:t>
      </w:r>
      <w:r w:rsidRPr="00282AC9">
        <w:rPr>
          <w:rFonts w:ascii="Arial" w:hAnsi="Arial" w:cs="DanaFajr"/>
          <w:szCs w:val="28"/>
          <w:rtl/>
          <w:lang w:bidi="ar-LB"/>
        </w:rPr>
        <w:t xml:space="preserve"> لسوء أخلاقهم</w:t>
      </w:r>
      <w:r w:rsidRPr="00282AC9">
        <w:rPr>
          <w:rFonts w:ascii="Arial" w:hAnsi="Arial" w:cs="DanaFajr" w:hint="cs"/>
          <w:szCs w:val="28"/>
          <w:rtl/>
          <w:lang w:bidi="ar-LB"/>
        </w:rPr>
        <w:t>،</w:t>
      </w:r>
      <w:r w:rsidRPr="00282AC9">
        <w:rPr>
          <w:rFonts w:ascii="Arial" w:hAnsi="Arial" w:cs="DanaFajr"/>
          <w:szCs w:val="28"/>
          <w:rtl/>
          <w:lang w:bidi="ar-LB"/>
        </w:rPr>
        <w:t xml:space="preserve"> وكثرة ح</w:t>
      </w:r>
      <w:r w:rsidRPr="00282AC9">
        <w:rPr>
          <w:rFonts w:ascii="Arial" w:hAnsi="Arial" w:cs="DanaFajr" w:hint="cs"/>
          <w:szCs w:val="28"/>
          <w:rtl/>
          <w:lang w:bidi="ar-LB"/>
        </w:rPr>
        <w:t>ِ</w:t>
      </w:r>
      <w:r w:rsidRPr="00282AC9">
        <w:rPr>
          <w:rFonts w:ascii="Arial" w:hAnsi="Arial" w:cs="DanaFajr"/>
          <w:szCs w:val="28"/>
          <w:rtl/>
          <w:lang w:bidi="ar-LB"/>
        </w:rPr>
        <w:t>ي</w:t>
      </w:r>
      <w:r w:rsidRPr="00282AC9">
        <w:rPr>
          <w:rFonts w:ascii="Arial" w:hAnsi="Arial" w:cs="DanaFajr" w:hint="cs"/>
          <w:szCs w:val="28"/>
          <w:rtl/>
          <w:lang w:bidi="ar-LB"/>
        </w:rPr>
        <w:t>َ</w:t>
      </w:r>
      <w:r w:rsidRPr="00282AC9">
        <w:rPr>
          <w:rFonts w:ascii="Arial" w:hAnsi="Arial" w:cs="DanaFajr"/>
          <w:szCs w:val="28"/>
          <w:rtl/>
          <w:lang w:bidi="ar-LB"/>
        </w:rPr>
        <w:t>لهم</w:t>
      </w:r>
      <w:r w:rsidRPr="00282AC9">
        <w:rPr>
          <w:rFonts w:ascii="Arial" w:hAnsi="Arial" w:cs="DanaFajr" w:hint="cs"/>
          <w:szCs w:val="28"/>
          <w:rtl/>
          <w:lang w:bidi="ar-LB"/>
        </w:rPr>
        <w:t>،</w:t>
      </w:r>
      <w:r w:rsidRPr="00282AC9">
        <w:rPr>
          <w:rFonts w:ascii="Arial" w:hAnsi="Arial" w:cs="DanaFajr"/>
          <w:szCs w:val="28"/>
          <w:rtl/>
          <w:lang w:bidi="ar-LB"/>
        </w:rPr>
        <w:t xml:space="preserve"> أشباه الجن</w:t>
      </w:r>
      <w:r w:rsidRPr="00282AC9">
        <w:rPr>
          <w:rFonts w:ascii="Arial" w:hAnsi="Arial" w:cs="DanaFajr" w:hint="cs"/>
          <w:szCs w:val="28"/>
          <w:rtl/>
          <w:lang w:bidi="ar-LB"/>
        </w:rPr>
        <w:t>ّ</w:t>
      </w:r>
      <w:r w:rsidRPr="00282AC9">
        <w:rPr>
          <w:rFonts w:ascii="Arial" w:hAnsi="Arial" w:cs="DanaFajr"/>
          <w:szCs w:val="28"/>
          <w:rtl/>
          <w:lang w:bidi="ar-LB"/>
        </w:rPr>
        <w:t>، فكأن</w:t>
      </w:r>
      <w:r w:rsidRPr="00282AC9">
        <w:rPr>
          <w:rFonts w:ascii="Arial" w:hAnsi="Arial" w:cs="DanaFajr" w:hint="cs"/>
          <w:szCs w:val="28"/>
          <w:rtl/>
          <w:lang w:bidi="ar-LB"/>
        </w:rPr>
        <w:t>ّ</w:t>
      </w:r>
      <w:r w:rsidRPr="00282AC9">
        <w:rPr>
          <w:rFonts w:ascii="Arial" w:hAnsi="Arial" w:cs="DanaFajr"/>
          <w:szCs w:val="28"/>
          <w:rtl/>
          <w:lang w:bidi="ar-LB"/>
        </w:rPr>
        <w:t>هم منهم</w:t>
      </w:r>
      <w:r w:rsidRPr="00282AC9">
        <w:rPr>
          <w:rFonts w:ascii="Arial" w:hAnsi="Arial" w:cs="DanaFajr" w:hint="cs"/>
          <w:szCs w:val="28"/>
          <w:rtl/>
          <w:lang w:bidi="ar-LB"/>
        </w:rPr>
        <w:t>،</w:t>
      </w:r>
      <w:r w:rsidRPr="00282AC9">
        <w:rPr>
          <w:rFonts w:ascii="Arial" w:hAnsi="Arial" w:cs="DanaFajr"/>
          <w:szCs w:val="28"/>
          <w:rtl/>
          <w:lang w:bidi="ar-LB"/>
        </w:rPr>
        <w:t xml:space="preserve"> كشف عنهم الغطاء</w:t>
      </w:r>
      <w:r w:rsidRPr="00282AC9">
        <w:rPr>
          <w:rFonts w:hint="eastAsia"/>
          <w:sz w:val="22"/>
          <w:szCs w:val="22"/>
          <w:rtl/>
        </w:rPr>
        <w:t>»</w:t>
      </w:r>
      <w:r w:rsidRPr="00282AC9">
        <w:rPr>
          <w:rFonts w:ascii="Arial" w:hAnsi="Arial" w:cs="DanaFajr" w:hint="cs"/>
          <w:szCs w:val="28"/>
          <w:rtl/>
          <w:lang w:bidi="ar-LB"/>
        </w:rPr>
        <w:t>.</w:t>
      </w:r>
      <w:r w:rsidRPr="00282AC9">
        <w:rPr>
          <w:rFonts w:ascii="Arial" w:hAnsi="Arial" w:cs="DanaFajr"/>
          <w:szCs w:val="28"/>
          <w:rtl/>
          <w:lang w:bidi="ar-LB"/>
        </w:rPr>
        <w:t xml:space="preserve"> </w:t>
      </w:r>
      <w:r w:rsidRPr="00282AC9">
        <w:rPr>
          <w:rFonts w:ascii="Arial" w:hAnsi="Arial" w:cs="DanaFajr" w:hint="cs"/>
          <w:szCs w:val="28"/>
          <w:rtl/>
          <w:lang w:bidi="ar-LB"/>
        </w:rPr>
        <w:t xml:space="preserve">مرآة العقول </w:t>
      </w:r>
      <w:r w:rsidRPr="00282AC9">
        <w:rPr>
          <w:rFonts w:ascii="Arial" w:hAnsi="Arial" w:cs="DanaFajr"/>
          <w:szCs w:val="28"/>
          <w:rtl/>
          <w:lang w:bidi="ar-LB"/>
        </w:rPr>
        <w:t>19: 145</w:t>
      </w:r>
      <w:r w:rsidRPr="00282AC9">
        <w:rPr>
          <w:rFonts w:ascii="Arial" w:hAnsi="Arial" w:cs="DanaFajr" w:hint="cs"/>
          <w:szCs w:val="28"/>
          <w:rtl/>
          <w:lang w:bidi="ar-LB"/>
        </w:rPr>
        <w:t>.</w:t>
      </w:r>
    </w:p>
    <w:p w:rsidR="00C14EDE" w:rsidRPr="00282AC9" w:rsidRDefault="00C14EDE" w:rsidP="0037059F">
      <w:pPr>
        <w:spacing w:line="296" w:lineRule="exact"/>
        <w:ind w:firstLine="0"/>
        <w:rPr>
          <w:rFonts w:ascii="Arial" w:hAnsi="Arial" w:cs="DanaFajr"/>
          <w:szCs w:val="28"/>
          <w:lang w:bidi="ar-LB"/>
        </w:rPr>
      </w:pPr>
      <w:r w:rsidRPr="00282AC9">
        <w:rPr>
          <w:rFonts w:ascii="Arial" w:hAnsi="Arial" w:cs="DanaFajr"/>
          <w:szCs w:val="28"/>
          <w:rtl/>
          <w:lang w:bidi="ar-LB"/>
        </w:rPr>
        <w:t>وروى الكليني</w:t>
      </w:r>
      <w:r w:rsidRPr="00282AC9">
        <w:rPr>
          <w:rFonts w:ascii="Arial" w:hAnsi="Arial" w:cs="DanaFajr" w:hint="cs"/>
          <w:szCs w:val="28"/>
          <w:rtl/>
          <w:lang w:bidi="ar-LB"/>
        </w:rPr>
        <w:t>،</w:t>
      </w:r>
      <w:r w:rsidRPr="00282AC9">
        <w:rPr>
          <w:rFonts w:ascii="Arial" w:hAnsi="Arial" w:cs="DanaFajr"/>
          <w:szCs w:val="28"/>
          <w:rtl/>
          <w:lang w:bidi="ar-LB"/>
        </w:rPr>
        <w:t xml:space="preserve"> بسند</w:t>
      </w:r>
      <w:r w:rsidRPr="00282AC9">
        <w:rPr>
          <w:rFonts w:ascii="Arial" w:hAnsi="Arial" w:cs="DanaFajr" w:hint="cs"/>
          <w:szCs w:val="28"/>
          <w:rtl/>
          <w:lang w:bidi="ar-LB"/>
        </w:rPr>
        <w:t>ٍ</w:t>
      </w:r>
      <w:r w:rsidRPr="00282AC9">
        <w:rPr>
          <w:rFonts w:ascii="Arial" w:hAnsi="Arial" w:cs="DanaFajr"/>
          <w:szCs w:val="28"/>
          <w:rtl/>
          <w:lang w:bidi="ar-LB"/>
        </w:rPr>
        <w:t xml:space="preserve"> فيه إرسال</w:t>
      </w:r>
      <w:r w:rsidRPr="00282AC9">
        <w:rPr>
          <w:rFonts w:ascii="Arial" w:hAnsi="Arial" w:cs="DanaFajr" w:hint="cs"/>
          <w:szCs w:val="28"/>
          <w:rtl/>
          <w:lang w:bidi="ar-LB"/>
        </w:rPr>
        <w:t>ٌ،</w:t>
      </w:r>
      <w:r w:rsidRPr="00282AC9">
        <w:rPr>
          <w:rFonts w:ascii="Arial" w:hAnsi="Arial" w:cs="DanaFajr"/>
          <w:szCs w:val="28"/>
          <w:rtl/>
          <w:lang w:bidi="ar-LB"/>
        </w:rPr>
        <w:t xml:space="preserve"> عن أبي عبد الله</w:t>
      </w:r>
      <w:r w:rsidRPr="00282AC9">
        <w:rPr>
          <w:rFonts w:cs="Mosawi" w:hint="cs"/>
          <w:sz w:val="20"/>
          <w:szCs w:val="20"/>
          <w:rtl/>
        </w:rPr>
        <w:t>×</w:t>
      </w:r>
      <w:r w:rsidRPr="00282AC9">
        <w:rPr>
          <w:rFonts w:ascii="Arial" w:hAnsi="Arial" w:cs="DanaFajr"/>
          <w:szCs w:val="28"/>
          <w:rtl/>
          <w:lang w:bidi="ar-LB"/>
        </w:rPr>
        <w:t xml:space="preserve">: </w:t>
      </w:r>
      <w:r w:rsidRPr="00282AC9">
        <w:rPr>
          <w:rFonts w:hint="eastAsia"/>
          <w:sz w:val="22"/>
          <w:szCs w:val="22"/>
          <w:rtl/>
          <w:lang w:bidi="ar-LB"/>
        </w:rPr>
        <w:t>«</w:t>
      </w:r>
      <w:r w:rsidRPr="00282AC9">
        <w:rPr>
          <w:rFonts w:ascii="Arial" w:hAnsi="Arial" w:cs="DanaFajr"/>
          <w:szCs w:val="28"/>
          <w:rtl/>
          <w:lang w:bidi="ar-LB"/>
        </w:rPr>
        <w:t>لا تعامل ذا عاهةٍ</w:t>
      </w:r>
      <w:r w:rsidRPr="00282AC9">
        <w:rPr>
          <w:rFonts w:ascii="Arial" w:hAnsi="Arial" w:cs="DanaFajr" w:hint="cs"/>
          <w:szCs w:val="28"/>
          <w:rtl/>
          <w:lang w:bidi="ar-LB"/>
        </w:rPr>
        <w:t>؛</w:t>
      </w:r>
      <w:r w:rsidRPr="00282AC9">
        <w:rPr>
          <w:rFonts w:ascii="Arial" w:hAnsi="Arial" w:cs="DanaFajr"/>
          <w:szCs w:val="28"/>
          <w:rtl/>
          <w:lang w:bidi="ar-LB"/>
        </w:rPr>
        <w:t xml:space="preserve"> فإنّهم أظلم شيءٍ</w:t>
      </w:r>
      <w:r w:rsidRPr="00282AC9">
        <w:rPr>
          <w:rFonts w:hint="eastAsia"/>
          <w:sz w:val="22"/>
          <w:szCs w:val="22"/>
          <w:rtl/>
        </w:rPr>
        <w:t>»</w:t>
      </w:r>
      <w:r w:rsidRPr="00282AC9">
        <w:rPr>
          <w:rFonts w:ascii="Arial" w:hAnsi="Arial" w:cs="DanaFajr" w:hint="cs"/>
          <w:szCs w:val="28"/>
          <w:rtl/>
          <w:lang w:bidi="ar-LB"/>
        </w:rPr>
        <w:t>.</w:t>
      </w:r>
      <w:r w:rsidRPr="00282AC9">
        <w:rPr>
          <w:rFonts w:ascii="Arial" w:hAnsi="Arial" w:cs="DanaFajr"/>
          <w:szCs w:val="28"/>
          <w:rtl/>
          <w:lang w:bidi="ar-LB"/>
        </w:rPr>
        <w:t xml:space="preserve"> الكافي 5: 158، وعنه</w:t>
      </w:r>
      <w:r w:rsidRPr="00282AC9">
        <w:rPr>
          <w:rFonts w:cs="Mosawi" w:hint="cs"/>
          <w:sz w:val="20"/>
          <w:szCs w:val="20"/>
          <w:rtl/>
        </w:rPr>
        <w:t>×</w:t>
      </w:r>
      <w:r w:rsidRPr="00282AC9">
        <w:rPr>
          <w:rFonts w:ascii="Arial" w:hAnsi="Arial" w:cs="DanaFajr"/>
          <w:szCs w:val="28"/>
          <w:rtl/>
          <w:lang w:bidi="ar-LB"/>
        </w:rPr>
        <w:t xml:space="preserve">: </w:t>
      </w:r>
      <w:r w:rsidRPr="00282AC9">
        <w:rPr>
          <w:rFonts w:hint="eastAsia"/>
          <w:sz w:val="22"/>
          <w:szCs w:val="22"/>
          <w:rtl/>
          <w:lang w:bidi="ar-LB"/>
        </w:rPr>
        <w:t>«</w:t>
      </w:r>
      <w:r w:rsidRPr="00282AC9">
        <w:rPr>
          <w:rFonts w:ascii="Arial" w:hAnsi="Arial" w:cs="DanaFajr"/>
          <w:szCs w:val="28"/>
          <w:rtl/>
          <w:lang w:bidi="ar-LB"/>
        </w:rPr>
        <w:t>احذروا معاملة أصحاب العاهات</w:t>
      </w:r>
      <w:r w:rsidRPr="00282AC9">
        <w:rPr>
          <w:rFonts w:ascii="Arial" w:hAnsi="Arial" w:cs="DanaFajr" w:hint="cs"/>
          <w:szCs w:val="28"/>
          <w:rtl/>
          <w:lang w:bidi="ar-LB"/>
        </w:rPr>
        <w:t>؛</w:t>
      </w:r>
      <w:r w:rsidRPr="00282AC9">
        <w:rPr>
          <w:rFonts w:ascii="Arial" w:hAnsi="Arial" w:cs="DanaFajr"/>
          <w:szCs w:val="28"/>
          <w:rtl/>
          <w:lang w:bidi="ar-LB"/>
        </w:rPr>
        <w:t xml:space="preserve"> فإنّهم أظلم شيء</w:t>
      </w:r>
      <w:r w:rsidRPr="00282AC9">
        <w:rPr>
          <w:rFonts w:ascii="Arial" w:hAnsi="Arial" w:cs="DanaFajr" w:hint="cs"/>
          <w:szCs w:val="28"/>
          <w:rtl/>
          <w:lang w:bidi="ar-LB"/>
        </w:rPr>
        <w:t>ٍ</w:t>
      </w:r>
      <w:r w:rsidRPr="00282AC9">
        <w:rPr>
          <w:rFonts w:hint="eastAsia"/>
          <w:sz w:val="22"/>
          <w:szCs w:val="22"/>
          <w:rtl/>
        </w:rPr>
        <w:t>»</w:t>
      </w:r>
      <w:r w:rsidRPr="00282AC9">
        <w:rPr>
          <w:rFonts w:ascii="Arial" w:hAnsi="Arial" w:cs="DanaFajr" w:hint="cs"/>
          <w:szCs w:val="28"/>
          <w:rtl/>
          <w:lang w:bidi="ar-LB"/>
        </w:rPr>
        <w:t>.</w:t>
      </w:r>
      <w:r w:rsidRPr="00282AC9">
        <w:rPr>
          <w:rFonts w:ascii="Arial" w:hAnsi="Arial" w:cs="DanaFajr"/>
          <w:szCs w:val="28"/>
          <w:rtl/>
          <w:lang w:bidi="ar-LB"/>
        </w:rPr>
        <w:t xml:space="preserve"> م</w:t>
      </w:r>
      <w:r w:rsidRPr="00282AC9">
        <w:rPr>
          <w:rFonts w:ascii="Arial" w:hAnsi="Arial" w:cs="DanaFajr" w:hint="cs"/>
          <w:szCs w:val="28"/>
          <w:rtl/>
          <w:lang w:bidi="ar-LB"/>
        </w:rPr>
        <w:t>َ</w:t>
      </w:r>
      <w:r w:rsidRPr="00282AC9">
        <w:rPr>
          <w:rFonts w:ascii="Arial" w:hAnsi="Arial" w:cs="DanaFajr"/>
          <w:szCs w:val="28"/>
          <w:rtl/>
          <w:lang w:bidi="ar-LB"/>
        </w:rPr>
        <w:t>ن</w:t>
      </w:r>
      <w:r w:rsidRPr="00282AC9">
        <w:rPr>
          <w:rFonts w:ascii="Arial" w:hAnsi="Arial" w:cs="DanaFajr" w:hint="cs"/>
          <w:szCs w:val="28"/>
          <w:rtl/>
          <w:lang w:bidi="ar-LB"/>
        </w:rPr>
        <w:t>ْ</w:t>
      </w:r>
      <w:r w:rsidRPr="00282AC9">
        <w:rPr>
          <w:rFonts w:ascii="Arial" w:hAnsi="Arial" w:cs="DanaFajr"/>
          <w:szCs w:val="28"/>
          <w:rtl/>
          <w:lang w:bidi="ar-LB"/>
        </w:rPr>
        <w:t xml:space="preserve"> لا يحضره الفقيه 3</w:t>
      </w:r>
      <w:r w:rsidRPr="00282AC9">
        <w:rPr>
          <w:rFonts w:ascii="Arial" w:hAnsi="Arial" w:cs="DanaFajr" w:hint="cs"/>
          <w:szCs w:val="28"/>
          <w:rtl/>
          <w:lang w:bidi="ar-LB"/>
        </w:rPr>
        <w:t>:</w:t>
      </w:r>
      <w:r w:rsidRPr="00282AC9">
        <w:rPr>
          <w:rFonts w:ascii="Arial" w:hAnsi="Arial" w:cs="DanaFajr"/>
          <w:szCs w:val="28"/>
          <w:rtl/>
          <w:lang w:bidi="ar-LB"/>
        </w:rPr>
        <w:t xml:space="preserve"> 164. وكراهة معاملة ذوي العاهات لا تزال ي</w:t>
      </w:r>
      <w:r w:rsidRPr="00282AC9">
        <w:rPr>
          <w:rFonts w:ascii="Arial" w:hAnsi="Arial" w:cs="DanaFajr" w:hint="cs"/>
          <w:szCs w:val="28"/>
          <w:rtl/>
          <w:lang w:bidi="ar-LB"/>
        </w:rPr>
        <w:t>ُ</w:t>
      </w:r>
      <w:r w:rsidRPr="00282AC9">
        <w:rPr>
          <w:rFonts w:ascii="Arial" w:hAnsi="Arial" w:cs="DanaFajr"/>
          <w:szCs w:val="28"/>
          <w:rtl/>
          <w:lang w:bidi="ar-LB"/>
        </w:rPr>
        <w:t>فتى بها إلى يومنا هذا</w:t>
      </w:r>
      <w:r w:rsidRPr="00282AC9">
        <w:rPr>
          <w:rFonts w:ascii="Arial" w:hAnsi="Arial" w:cs="DanaFajr" w:hint="cs"/>
          <w:szCs w:val="28"/>
          <w:rtl/>
          <w:lang w:bidi="ar-LB"/>
        </w:rPr>
        <w:t>.</w:t>
      </w:r>
      <w:r w:rsidRPr="00282AC9">
        <w:rPr>
          <w:rFonts w:ascii="Arial" w:hAnsi="Arial" w:cs="DanaFajr"/>
          <w:szCs w:val="28"/>
          <w:rtl/>
          <w:lang w:bidi="ar-LB"/>
        </w:rPr>
        <w:t xml:space="preserve"> راج</w:t>
      </w:r>
      <w:r w:rsidRPr="00282AC9">
        <w:rPr>
          <w:rFonts w:ascii="Arial" w:hAnsi="Arial" w:cs="DanaFajr" w:hint="cs"/>
          <w:szCs w:val="28"/>
          <w:rtl/>
          <w:lang w:bidi="ar-LB"/>
        </w:rPr>
        <w:t>ِ</w:t>
      </w:r>
      <w:r w:rsidRPr="00282AC9">
        <w:rPr>
          <w:rFonts w:ascii="Arial" w:hAnsi="Arial" w:cs="DanaFajr"/>
          <w:szCs w:val="28"/>
          <w:rtl/>
          <w:lang w:bidi="ar-LB"/>
        </w:rPr>
        <w:t>ع</w:t>
      </w:r>
      <w:r w:rsidRPr="00282AC9">
        <w:rPr>
          <w:rFonts w:ascii="Arial" w:hAnsi="Arial" w:cs="DanaFajr" w:hint="cs"/>
          <w:szCs w:val="28"/>
          <w:rtl/>
          <w:lang w:bidi="ar-LB"/>
        </w:rPr>
        <w:t>ْ:</w:t>
      </w:r>
      <w:r w:rsidRPr="00282AC9">
        <w:rPr>
          <w:rFonts w:ascii="Arial" w:hAnsi="Arial" w:cs="DanaFajr"/>
          <w:szCs w:val="28"/>
          <w:rtl/>
          <w:lang w:bidi="ar-LB"/>
        </w:rPr>
        <w:t xml:space="preserve"> منهاج الصالحين 2: 12. وقد سج</w:t>
      </w:r>
      <w:r w:rsidRPr="00282AC9">
        <w:rPr>
          <w:rFonts w:ascii="Arial" w:hAnsi="Arial" w:cs="DanaFajr" w:hint="cs"/>
          <w:szCs w:val="28"/>
          <w:rtl/>
          <w:lang w:bidi="ar-LB"/>
        </w:rPr>
        <w:t>َّ</w:t>
      </w:r>
      <w:r w:rsidRPr="00282AC9">
        <w:rPr>
          <w:rFonts w:ascii="Arial" w:hAnsi="Arial" w:cs="DanaFajr"/>
          <w:szCs w:val="28"/>
          <w:rtl/>
          <w:lang w:bidi="ar-LB"/>
        </w:rPr>
        <w:t xml:space="preserve">لنا عليها في كتاب </w:t>
      </w:r>
      <w:r w:rsidRPr="00282AC9">
        <w:rPr>
          <w:rFonts w:hint="eastAsia"/>
          <w:sz w:val="22"/>
          <w:szCs w:val="22"/>
          <w:rtl/>
          <w:lang w:bidi="ar-LB"/>
        </w:rPr>
        <w:t>«</w:t>
      </w:r>
      <w:r w:rsidRPr="00282AC9">
        <w:rPr>
          <w:rFonts w:ascii="Arial" w:hAnsi="Arial" w:cs="DanaFajr"/>
          <w:szCs w:val="28"/>
          <w:rtl/>
          <w:lang w:bidi="ar-LB"/>
        </w:rPr>
        <w:t>من حقوق الإنسان في الإسلام</w:t>
      </w:r>
      <w:r w:rsidRPr="00282AC9">
        <w:rPr>
          <w:rFonts w:hint="eastAsia"/>
          <w:sz w:val="22"/>
          <w:szCs w:val="22"/>
          <w:rtl/>
        </w:rPr>
        <w:t>»</w:t>
      </w:r>
      <w:r w:rsidRPr="00282AC9">
        <w:rPr>
          <w:rFonts w:ascii="Arial" w:hAnsi="Arial" w:cs="DanaFajr"/>
          <w:szCs w:val="28"/>
          <w:rtl/>
          <w:lang w:bidi="ar-LB"/>
        </w:rPr>
        <w:t xml:space="preserve"> الملاحظات التالية: </w:t>
      </w:r>
      <w:r w:rsidRPr="00282AC9">
        <w:rPr>
          <w:rFonts w:ascii="Arial" w:hAnsi="Arial" w:cs="DanaFajr"/>
          <w:b/>
          <w:bCs/>
          <w:szCs w:val="28"/>
          <w:rtl/>
          <w:lang w:bidi="ar-LB"/>
        </w:rPr>
        <w:t>أو</w:t>
      </w:r>
      <w:r w:rsidRPr="00282AC9">
        <w:rPr>
          <w:rFonts w:ascii="Arial" w:hAnsi="Arial" w:cs="DanaFajr" w:hint="cs"/>
          <w:b/>
          <w:bCs/>
          <w:szCs w:val="28"/>
          <w:rtl/>
          <w:lang w:bidi="ar-LB"/>
        </w:rPr>
        <w:t>ّ</w:t>
      </w:r>
      <w:r w:rsidRPr="00282AC9">
        <w:rPr>
          <w:rFonts w:ascii="Arial" w:hAnsi="Arial" w:cs="DanaFajr"/>
          <w:b/>
          <w:bCs/>
          <w:szCs w:val="28"/>
          <w:rtl/>
          <w:lang w:bidi="ar-LB"/>
        </w:rPr>
        <w:t>لاً</w:t>
      </w:r>
      <w:r w:rsidRPr="00282AC9">
        <w:rPr>
          <w:rFonts w:ascii="Arial" w:hAnsi="Arial" w:cs="DanaFajr"/>
          <w:szCs w:val="28"/>
          <w:rtl/>
          <w:lang w:bidi="ar-LB"/>
        </w:rPr>
        <w:t>: إنّ هذا الحديث</w:t>
      </w:r>
      <w:r w:rsidRPr="00282AC9">
        <w:rPr>
          <w:rFonts w:ascii="Arial" w:hAnsi="Arial" w:cs="DanaFajr" w:hint="cs"/>
          <w:szCs w:val="28"/>
          <w:rtl/>
          <w:lang w:bidi="ar-LB"/>
        </w:rPr>
        <w:t>،</w:t>
      </w:r>
      <w:r w:rsidRPr="00282AC9">
        <w:rPr>
          <w:rFonts w:ascii="Arial" w:hAnsi="Arial" w:cs="DanaFajr"/>
          <w:szCs w:val="28"/>
          <w:rtl/>
          <w:lang w:bidi="ar-LB"/>
        </w:rPr>
        <w:t xml:space="preserve"> لو صح</w:t>
      </w:r>
      <w:r w:rsidRPr="00282AC9">
        <w:rPr>
          <w:rFonts w:ascii="Arial" w:hAnsi="Arial" w:cs="DanaFajr" w:hint="cs"/>
          <w:szCs w:val="28"/>
          <w:rtl/>
          <w:lang w:bidi="ar-LB"/>
        </w:rPr>
        <w:t>ّ</w:t>
      </w:r>
      <w:r w:rsidRPr="00282AC9">
        <w:rPr>
          <w:rFonts w:ascii="Arial" w:hAnsi="Arial" w:cs="DanaFajr"/>
          <w:szCs w:val="28"/>
          <w:rtl/>
          <w:lang w:bidi="ar-LB"/>
        </w:rPr>
        <w:t xml:space="preserve"> سنداً ـ وهو غير صحيح ـ</w:t>
      </w:r>
      <w:r w:rsidRPr="00282AC9">
        <w:rPr>
          <w:rFonts w:ascii="Arial" w:hAnsi="Arial" w:cs="DanaFajr" w:hint="cs"/>
          <w:szCs w:val="28"/>
          <w:rtl/>
          <w:lang w:bidi="ar-LB"/>
        </w:rPr>
        <w:t>،</w:t>
      </w:r>
      <w:r w:rsidRPr="00282AC9">
        <w:rPr>
          <w:rFonts w:ascii="Arial" w:hAnsi="Arial" w:cs="DanaFajr"/>
          <w:szCs w:val="28"/>
          <w:rtl/>
          <w:lang w:bidi="ar-LB"/>
        </w:rPr>
        <w:t xml:space="preserve"> ناظر</w:t>
      </w:r>
      <w:r w:rsidRPr="00282AC9">
        <w:rPr>
          <w:rFonts w:ascii="Arial" w:hAnsi="Arial" w:cs="DanaFajr" w:hint="cs"/>
          <w:szCs w:val="28"/>
          <w:rtl/>
          <w:lang w:bidi="ar-LB"/>
        </w:rPr>
        <w:t>ٌ</w:t>
      </w:r>
      <w:r w:rsidRPr="00282AC9">
        <w:rPr>
          <w:rFonts w:ascii="Arial" w:hAnsi="Arial" w:cs="DanaFajr"/>
          <w:szCs w:val="28"/>
          <w:rtl/>
          <w:lang w:bidi="ar-LB"/>
        </w:rPr>
        <w:t xml:space="preserve"> ـ بمقتضى التعليل الوارد فيه ـ إلى المعو</w:t>
      </w:r>
      <w:r w:rsidRPr="00282AC9">
        <w:rPr>
          <w:rFonts w:ascii="Arial" w:hAnsi="Arial" w:cs="DanaFajr" w:hint="cs"/>
          <w:szCs w:val="28"/>
          <w:rtl/>
          <w:lang w:bidi="ar-LB"/>
        </w:rPr>
        <w:t>ّ</w:t>
      </w:r>
      <w:r w:rsidRPr="00282AC9">
        <w:rPr>
          <w:rFonts w:ascii="Arial" w:hAnsi="Arial" w:cs="DanaFajr"/>
          <w:szCs w:val="28"/>
          <w:rtl/>
          <w:lang w:bidi="ar-LB"/>
        </w:rPr>
        <w:t>قين الذين لم يعمل المجتمع على تهذيبهم وتربيتهم نفسي</w:t>
      </w:r>
      <w:r w:rsidRPr="00282AC9">
        <w:rPr>
          <w:rFonts w:ascii="Arial" w:hAnsi="Arial" w:cs="DanaFajr" w:hint="cs"/>
          <w:szCs w:val="28"/>
          <w:rtl/>
          <w:lang w:bidi="ar-LB"/>
        </w:rPr>
        <w:t>ّ</w:t>
      </w:r>
      <w:r w:rsidRPr="00282AC9">
        <w:rPr>
          <w:rFonts w:ascii="Arial" w:hAnsi="Arial" w:cs="DanaFajr"/>
          <w:szCs w:val="28"/>
          <w:rtl/>
          <w:lang w:bidi="ar-LB"/>
        </w:rPr>
        <w:t>اً وخُل</w:t>
      </w:r>
      <w:r w:rsidRPr="00282AC9">
        <w:rPr>
          <w:rFonts w:ascii="Arial" w:hAnsi="Arial" w:cs="DanaFajr" w:hint="cs"/>
          <w:szCs w:val="28"/>
          <w:rtl/>
          <w:lang w:bidi="ar-LB"/>
        </w:rPr>
        <w:t>ُ</w:t>
      </w:r>
      <w:r w:rsidRPr="00282AC9">
        <w:rPr>
          <w:rFonts w:ascii="Arial" w:hAnsi="Arial" w:cs="DanaFajr"/>
          <w:szCs w:val="28"/>
          <w:rtl/>
          <w:lang w:bidi="ar-LB"/>
        </w:rPr>
        <w:t>قي</w:t>
      </w:r>
      <w:r w:rsidRPr="00282AC9">
        <w:rPr>
          <w:rFonts w:ascii="Arial" w:hAnsi="Arial" w:cs="DanaFajr" w:hint="cs"/>
          <w:szCs w:val="28"/>
          <w:rtl/>
          <w:lang w:bidi="ar-LB"/>
        </w:rPr>
        <w:t>ّ</w:t>
      </w:r>
      <w:r w:rsidRPr="00282AC9">
        <w:rPr>
          <w:rFonts w:ascii="Arial" w:hAnsi="Arial" w:cs="DanaFajr"/>
          <w:szCs w:val="28"/>
          <w:rtl/>
          <w:lang w:bidi="ar-LB"/>
        </w:rPr>
        <w:t>اً بما يشعرهم بإنساني</w:t>
      </w:r>
      <w:r w:rsidRPr="00282AC9">
        <w:rPr>
          <w:rFonts w:ascii="Arial" w:hAnsi="Arial" w:cs="DanaFajr" w:hint="cs"/>
          <w:szCs w:val="28"/>
          <w:rtl/>
          <w:lang w:bidi="ar-LB"/>
        </w:rPr>
        <w:t>ّ</w:t>
      </w:r>
      <w:r w:rsidRPr="00282AC9">
        <w:rPr>
          <w:rFonts w:ascii="Arial" w:hAnsi="Arial" w:cs="DanaFajr"/>
          <w:szCs w:val="28"/>
          <w:rtl/>
          <w:lang w:bidi="ar-LB"/>
        </w:rPr>
        <w:t>تهم الكاملة، بل أبقاهم معزولين عن سائر الناس</w:t>
      </w:r>
      <w:r w:rsidRPr="00282AC9">
        <w:rPr>
          <w:rFonts w:ascii="Arial" w:hAnsi="Arial" w:cs="DanaFajr" w:hint="cs"/>
          <w:szCs w:val="28"/>
          <w:rtl/>
          <w:lang w:bidi="ar-LB"/>
        </w:rPr>
        <w:t>،</w:t>
      </w:r>
      <w:r w:rsidRPr="00282AC9">
        <w:rPr>
          <w:rFonts w:ascii="Arial" w:hAnsi="Arial" w:cs="DanaFajr"/>
          <w:szCs w:val="28"/>
          <w:rtl/>
          <w:lang w:bidi="ar-LB"/>
        </w:rPr>
        <w:t xml:space="preserve"> كأن</w:t>
      </w:r>
      <w:r w:rsidRPr="00282AC9">
        <w:rPr>
          <w:rFonts w:ascii="Arial" w:hAnsi="Arial" w:cs="DanaFajr" w:hint="cs"/>
          <w:szCs w:val="28"/>
          <w:rtl/>
          <w:lang w:bidi="ar-LB"/>
        </w:rPr>
        <w:t>ّ</w:t>
      </w:r>
      <w:r w:rsidRPr="00282AC9">
        <w:rPr>
          <w:rFonts w:ascii="Arial" w:hAnsi="Arial" w:cs="DanaFajr"/>
          <w:szCs w:val="28"/>
          <w:rtl/>
          <w:lang w:bidi="ar-LB"/>
        </w:rPr>
        <w:t>هم وحوش مفترسة أو مصابون بأمراض م</w:t>
      </w:r>
      <w:r w:rsidRPr="00282AC9">
        <w:rPr>
          <w:rFonts w:ascii="Arial" w:hAnsi="Arial" w:cs="DanaFajr" w:hint="cs"/>
          <w:szCs w:val="28"/>
          <w:rtl/>
          <w:lang w:bidi="ar-LB"/>
        </w:rPr>
        <w:t>ُ</w:t>
      </w:r>
      <w:r w:rsidRPr="00282AC9">
        <w:rPr>
          <w:rFonts w:ascii="Arial" w:hAnsi="Arial" w:cs="DanaFajr"/>
          <w:szCs w:val="28"/>
          <w:rtl/>
          <w:lang w:bidi="ar-LB"/>
        </w:rPr>
        <w:t>ع</w:t>
      </w:r>
      <w:r w:rsidRPr="00282AC9">
        <w:rPr>
          <w:rFonts w:ascii="Arial" w:hAnsi="Arial" w:cs="DanaFajr" w:hint="cs"/>
          <w:szCs w:val="28"/>
          <w:rtl/>
          <w:lang w:bidi="ar-LB"/>
        </w:rPr>
        <w:t>ْ</w:t>
      </w:r>
      <w:r w:rsidRPr="00282AC9">
        <w:rPr>
          <w:rFonts w:ascii="Arial" w:hAnsi="Arial" w:cs="DanaFajr"/>
          <w:szCs w:val="28"/>
          <w:rtl/>
          <w:lang w:bidi="ar-LB"/>
        </w:rPr>
        <w:t>دية، ولذا من الطبيعي أن يكون لهم رد</w:t>
      </w:r>
      <w:r w:rsidRPr="00282AC9">
        <w:rPr>
          <w:rFonts w:ascii="Arial" w:hAnsi="Arial" w:cs="DanaFajr" w:hint="cs"/>
          <w:szCs w:val="28"/>
          <w:rtl/>
          <w:lang w:bidi="ar-LB"/>
        </w:rPr>
        <w:t>ّ</w:t>
      </w:r>
      <w:r w:rsidRPr="00282AC9">
        <w:rPr>
          <w:rFonts w:ascii="Arial" w:hAnsi="Arial" w:cs="DanaFajr"/>
          <w:szCs w:val="28"/>
          <w:rtl/>
          <w:lang w:bidi="ar-LB"/>
        </w:rPr>
        <w:t>ة فعل</w:t>
      </w:r>
      <w:r w:rsidRPr="00282AC9">
        <w:rPr>
          <w:rFonts w:ascii="Arial" w:hAnsi="Arial" w:cs="DanaFajr" w:hint="cs"/>
          <w:szCs w:val="28"/>
          <w:rtl/>
          <w:lang w:bidi="ar-LB"/>
        </w:rPr>
        <w:t>ٍ</w:t>
      </w:r>
      <w:r w:rsidRPr="00282AC9">
        <w:rPr>
          <w:rFonts w:ascii="Arial" w:hAnsi="Arial" w:cs="DanaFajr"/>
          <w:szCs w:val="28"/>
          <w:rtl/>
          <w:lang w:bidi="ar-LB"/>
        </w:rPr>
        <w:t xml:space="preserve"> ناقمة على المجتمع</w:t>
      </w:r>
      <w:r w:rsidRPr="00282AC9">
        <w:rPr>
          <w:rFonts w:ascii="Arial" w:hAnsi="Arial" w:cs="DanaFajr" w:hint="cs"/>
          <w:szCs w:val="28"/>
          <w:rtl/>
          <w:lang w:bidi="ar-LB"/>
        </w:rPr>
        <w:t>،</w:t>
      </w:r>
      <w:r w:rsidRPr="00282AC9">
        <w:rPr>
          <w:rFonts w:ascii="Arial" w:hAnsi="Arial" w:cs="DanaFajr"/>
          <w:szCs w:val="28"/>
          <w:rtl/>
          <w:lang w:bidi="ar-LB"/>
        </w:rPr>
        <w:t xml:space="preserve"> وأن يكونوا أظلم شيء</w:t>
      </w:r>
      <w:r w:rsidRPr="00282AC9">
        <w:rPr>
          <w:rFonts w:ascii="Arial" w:hAnsi="Arial" w:cs="DanaFajr" w:hint="cs"/>
          <w:szCs w:val="28"/>
          <w:rtl/>
          <w:lang w:bidi="ar-LB"/>
        </w:rPr>
        <w:t>ٍ</w:t>
      </w:r>
      <w:r w:rsidRPr="00282AC9">
        <w:rPr>
          <w:rFonts w:ascii="Arial" w:hAnsi="Arial" w:cs="DanaFajr"/>
          <w:szCs w:val="28"/>
          <w:rtl/>
          <w:lang w:bidi="ar-LB"/>
        </w:rPr>
        <w:t xml:space="preserve">. </w:t>
      </w:r>
      <w:r w:rsidRPr="00282AC9">
        <w:rPr>
          <w:rFonts w:ascii="Arial" w:hAnsi="Arial" w:cs="DanaFajr"/>
          <w:b/>
          <w:bCs/>
          <w:szCs w:val="28"/>
          <w:rtl/>
          <w:lang w:bidi="ar-LB"/>
        </w:rPr>
        <w:t>ثانياً</w:t>
      </w:r>
      <w:r w:rsidRPr="00282AC9">
        <w:rPr>
          <w:rFonts w:ascii="Arial" w:hAnsi="Arial" w:cs="DanaFajr"/>
          <w:szCs w:val="28"/>
          <w:rtl/>
          <w:lang w:bidi="ar-LB"/>
        </w:rPr>
        <w:t>: إنّ الفتوى المذكورة</w:t>
      </w:r>
      <w:r w:rsidRPr="00282AC9">
        <w:rPr>
          <w:rFonts w:ascii="Arial" w:hAnsi="Arial" w:cs="DanaFajr" w:hint="cs"/>
          <w:szCs w:val="28"/>
          <w:rtl/>
          <w:lang w:bidi="ar-LB"/>
        </w:rPr>
        <w:t>،</w:t>
      </w:r>
      <w:r w:rsidRPr="00282AC9">
        <w:rPr>
          <w:rFonts w:ascii="Arial" w:hAnsi="Arial" w:cs="DanaFajr"/>
          <w:szCs w:val="28"/>
          <w:rtl/>
          <w:lang w:bidi="ar-LB"/>
        </w:rPr>
        <w:t xml:space="preserve"> وبالإضافة إلى افتقارها إلى المستند الصحيح، تساهم في خ</w:t>
      </w:r>
      <w:r w:rsidRPr="00282AC9">
        <w:rPr>
          <w:rFonts w:ascii="Arial" w:hAnsi="Arial" w:cs="DanaFajr" w:hint="cs"/>
          <w:szCs w:val="28"/>
          <w:rtl/>
          <w:lang w:bidi="ar-LB"/>
        </w:rPr>
        <w:t>َ</w:t>
      </w:r>
      <w:r w:rsidRPr="00282AC9">
        <w:rPr>
          <w:rFonts w:ascii="Arial" w:hAnsi="Arial" w:cs="DanaFajr"/>
          <w:szCs w:val="28"/>
          <w:rtl/>
          <w:lang w:bidi="ar-LB"/>
        </w:rPr>
        <w:t>ل</w:t>
      </w:r>
      <w:r w:rsidRPr="00282AC9">
        <w:rPr>
          <w:rFonts w:ascii="Arial" w:hAnsi="Arial" w:cs="DanaFajr" w:hint="cs"/>
          <w:szCs w:val="28"/>
          <w:rtl/>
          <w:lang w:bidi="ar-LB"/>
        </w:rPr>
        <w:t>ْ</w:t>
      </w:r>
      <w:r w:rsidRPr="00282AC9">
        <w:rPr>
          <w:rFonts w:ascii="Arial" w:hAnsi="Arial" w:cs="DanaFajr"/>
          <w:szCs w:val="28"/>
          <w:rtl/>
          <w:lang w:bidi="ar-LB"/>
        </w:rPr>
        <w:t>ق مشكلة</w:t>
      </w:r>
      <w:r w:rsidRPr="00282AC9">
        <w:rPr>
          <w:rFonts w:ascii="Arial" w:hAnsi="Arial" w:cs="DanaFajr" w:hint="cs"/>
          <w:szCs w:val="28"/>
          <w:rtl/>
          <w:lang w:bidi="ar-LB"/>
        </w:rPr>
        <w:t>ٍ</w:t>
      </w:r>
      <w:r w:rsidRPr="00282AC9">
        <w:rPr>
          <w:rFonts w:ascii="Arial" w:hAnsi="Arial" w:cs="DanaFajr"/>
          <w:szCs w:val="28"/>
          <w:rtl/>
          <w:lang w:bidi="ar-LB"/>
        </w:rPr>
        <w:t xml:space="preserve"> إنسانية، وتعمّ</w:t>
      </w:r>
      <w:r w:rsidRPr="00282AC9">
        <w:rPr>
          <w:rFonts w:ascii="Arial" w:hAnsi="Arial" w:cs="DanaFajr" w:hint="cs"/>
          <w:szCs w:val="28"/>
          <w:rtl/>
          <w:lang w:bidi="ar-LB"/>
        </w:rPr>
        <w:t>ِ</w:t>
      </w:r>
      <w:r w:rsidRPr="00282AC9">
        <w:rPr>
          <w:rFonts w:ascii="Arial" w:hAnsi="Arial" w:cs="DanaFajr"/>
          <w:szCs w:val="28"/>
          <w:rtl/>
          <w:lang w:bidi="ar-LB"/>
        </w:rPr>
        <w:t>ق من عزلة المعاق</w:t>
      </w:r>
      <w:r w:rsidRPr="00282AC9">
        <w:rPr>
          <w:rFonts w:ascii="Arial" w:hAnsi="Arial" w:cs="DanaFajr" w:hint="cs"/>
          <w:szCs w:val="28"/>
          <w:rtl/>
          <w:lang w:bidi="ar-LB"/>
        </w:rPr>
        <w:t>،</w:t>
      </w:r>
      <w:r w:rsidRPr="00282AC9">
        <w:rPr>
          <w:rFonts w:ascii="Arial" w:hAnsi="Arial" w:cs="DanaFajr"/>
          <w:szCs w:val="28"/>
          <w:rtl/>
          <w:lang w:bidi="ar-LB"/>
        </w:rPr>
        <w:t xml:space="preserve"> وتزيده ح</w:t>
      </w:r>
      <w:r w:rsidRPr="00282AC9">
        <w:rPr>
          <w:rFonts w:ascii="Arial" w:hAnsi="Arial" w:cs="DanaFajr" w:hint="cs"/>
          <w:szCs w:val="28"/>
          <w:rtl/>
          <w:lang w:bidi="ar-LB"/>
        </w:rPr>
        <w:t>َ</w:t>
      </w:r>
      <w:r w:rsidRPr="00282AC9">
        <w:rPr>
          <w:rFonts w:ascii="Arial" w:hAnsi="Arial" w:cs="DanaFajr"/>
          <w:szCs w:val="28"/>
          <w:rtl/>
          <w:lang w:bidi="ar-LB"/>
        </w:rPr>
        <w:t>ن</w:t>
      </w:r>
      <w:r w:rsidRPr="00282AC9">
        <w:rPr>
          <w:rFonts w:ascii="Arial" w:hAnsi="Arial" w:cs="DanaFajr" w:hint="cs"/>
          <w:szCs w:val="28"/>
          <w:rtl/>
          <w:lang w:bidi="ar-LB"/>
        </w:rPr>
        <w:t>َ</w:t>
      </w:r>
      <w:r w:rsidRPr="00282AC9">
        <w:rPr>
          <w:rFonts w:ascii="Arial" w:hAnsi="Arial" w:cs="DanaFajr"/>
          <w:szCs w:val="28"/>
          <w:rtl/>
          <w:lang w:bidi="ar-LB"/>
        </w:rPr>
        <w:t>قاً على الآخرين</w:t>
      </w:r>
      <w:r w:rsidRPr="00282AC9">
        <w:rPr>
          <w:rFonts w:ascii="Arial" w:hAnsi="Arial" w:cs="DanaFajr" w:hint="cs"/>
          <w:szCs w:val="28"/>
          <w:rtl/>
          <w:lang w:bidi="ar-LB"/>
        </w:rPr>
        <w:t xml:space="preserve">. </w:t>
      </w:r>
      <w:r w:rsidRPr="00282AC9">
        <w:rPr>
          <w:rFonts w:ascii="Arial" w:hAnsi="Arial" w:cs="DanaFajr"/>
          <w:szCs w:val="28"/>
          <w:rtl/>
          <w:lang w:bidi="ar-LB"/>
        </w:rPr>
        <w:t>وهي من هذه الجهة أشبه بفتوى كراهة معاملة الأكراد ومخالطتهم وتزويجهم</w:t>
      </w:r>
      <w:r w:rsidRPr="00282AC9">
        <w:rPr>
          <w:rFonts w:ascii="Arial" w:hAnsi="Arial" w:cs="DanaFajr" w:hint="cs"/>
          <w:szCs w:val="28"/>
          <w:rtl/>
          <w:lang w:bidi="ar-LB"/>
        </w:rPr>
        <w:t>؛</w:t>
      </w:r>
      <w:r w:rsidRPr="00282AC9">
        <w:rPr>
          <w:rFonts w:ascii="Arial" w:hAnsi="Arial" w:cs="DanaFajr"/>
          <w:szCs w:val="28"/>
          <w:rtl/>
          <w:lang w:bidi="ar-LB"/>
        </w:rPr>
        <w:t xml:space="preserve"> لجهة مخالفتها لروح القرآن الكريم</w:t>
      </w:r>
      <w:r w:rsidRPr="00282AC9">
        <w:rPr>
          <w:rFonts w:ascii="Arial" w:hAnsi="Arial" w:cs="DanaFajr" w:hint="cs"/>
          <w:szCs w:val="28"/>
          <w:rtl/>
          <w:lang w:bidi="ar-LB"/>
        </w:rPr>
        <w:t>،</w:t>
      </w:r>
      <w:r w:rsidRPr="00282AC9">
        <w:rPr>
          <w:rFonts w:ascii="Arial" w:hAnsi="Arial" w:cs="DanaFajr"/>
          <w:szCs w:val="28"/>
          <w:rtl/>
          <w:lang w:bidi="ar-LB"/>
        </w:rPr>
        <w:t xml:space="preserve"> ومقاصده الداعية إلى تكريم الإنسان. وأعتقد أنّ هذه الفتاوى هي من نتائج الاعتماد على قاعدة التسامح في أدل</w:t>
      </w:r>
      <w:r w:rsidRPr="00282AC9">
        <w:rPr>
          <w:rFonts w:ascii="Arial" w:hAnsi="Arial" w:cs="DanaFajr" w:hint="cs"/>
          <w:szCs w:val="28"/>
          <w:rtl/>
          <w:lang w:bidi="ar-LB"/>
        </w:rPr>
        <w:t>ّ</w:t>
      </w:r>
      <w:r w:rsidRPr="00282AC9">
        <w:rPr>
          <w:rFonts w:ascii="Arial" w:hAnsi="Arial" w:cs="DanaFajr"/>
          <w:szCs w:val="28"/>
          <w:rtl/>
          <w:lang w:bidi="ar-LB"/>
        </w:rPr>
        <w:t>ة الس</w:t>
      </w:r>
      <w:r w:rsidRPr="00282AC9">
        <w:rPr>
          <w:rFonts w:ascii="Arial" w:hAnsi="Arial" w:cs="DanaFajr" w:hint="cs"/>
          <w:szCs w:val="28"/>
          <w:rtl/>
          <w:lang w:bidi="ar-LB"/>
        </w:rPr>
        <w:t>ُّ</w:t>
      </w:r>
      <w:r w:rsidRPr="00282AC9">
        <w:rPr>
          <w:rFonts w:ascii="Arial" w:hAnsi="Arial" w:cs="DanaFajr"/>
          <w:szCs w:val="28"/>
          <w:rtl/>
          <w:lang w:bidi="ar-LB"/>
        </w:rPr>
        <w:t>ن</w:t>
      </w:r>
      <w:r w:rsidRPr="00282AC9">
        <w:rPr>
          <w:rFonts w:ascii="Arial" w:hAnsi="Arial" w:cs="DanaFajr" w:hint="cs"/>
          <w:szCs w:val="28"/>
          <w:rtl/>
          <w:lang w:bidi="ar-LB"/>
        </w:rPr>
        <w:t>َ</w:t>
      </w:r>
      <w:r w:rsidRPr="00282AC9">
        <w:rPr>
          <w:rFonts w:ascii="Arial" w:hAnsi="Arial" w:cs="DanaFajr"/>
          <w:szCs w:val="28"/>
          <w:rtl/>
          <w:lang w:bidi="ar-LB"/>
        </w:rPr>
        <w:t>ن، مع أنها قاعدة</w:t>
      </w:r>
      <w:r w:rsidRPr="00282AC9">
        <w:rPr>
          <w:rFonts w:ascii="Arial" w:hAnsi="Arial" w:cs="DanaFajr" w:hint="cs"/>
          <w:szCs w:val="28"/>
          <w:rtl/>
          <w:lang w:bidi="ar-LB"/>
        </w:rPr>
        <w:t>ٌ</w:t>
      </w:r>
      <w:r w:rsidRPr="00282AC9">
        <w:rPr>
          <w:rFonts w:ascii="Arial" w:hAnsi="Arial" w:cs="DanaFajr"/>
          <w:szCs w:val="28"/>
          <w:rtl/>
          <w:lang w:bidi="ar-LB"/>
        </w:rPr>
        <w:t xml:space="preserve"> غير صحيحة</w:t>
      </w:r>
      <w:r w:rsidRPr="00282AC9">
        <w:rPr>
          <w:rFonts w:ascii="Arial" w:hAnsi="Arial" w:cs="DanaFajr" w:hint="cs"/>
          <w:szCs w:val="28"/>
          <w:rtl/>
          <w:lang w:bidi="ar-LB"/>
        </w:rPr>
        <w:t>،</w:t>
      </w:r>
      <w:r w:rsidRPr="00282AC9">
        <w:rPr>
          <w:rFonts w:ascii="Arial" w:hAnsi="Arial" w:cs="DanaFajr"/>
          <w:szCs w:val="28"/>
          <w:rtl/>
          <w:lang w:bidi="ar-LB"/>
        </w:rPr>
        <w:t xml:space="preserve"> ولو تم</w:t>
      </w:r>
      <w:r w:rsidRPr="00282AC9">
        <w:rPr>
          <w:rFonts w:ascii="Arial" w:hAnsi="Arial" w:cs="DanaFajr" w:hint="cs"/>
          <w:szCs w:val="28"/>
          <w:rtl/>
          <w:lang w:bidi="ar-LB"/>
        </w:rPr>
        <w:t>َّ</w:t>
      </w:r>
      <w:r w:rsidRPr="00282AC9">
        <w:rPr>
          <w:rFonts w:ascii="Arial" w:hAnsi="Arial" w:cs="DanaFajr"/>
          <w:szCs w:val="28"/>
          <w:rtl/>
          <w:lang w:bidi="ar-LB"/>
        </w:rPr>
        <w:t>ت</w:t>
      </w:r>
      <w:r w:rsidRPr="00282AC9">
        <w:rPr>
          <w:rFonts w:ascii="Arial" w:hAnsi="Arial" w:cs="DanaFajr" w:hint="cs"/>
          <w:szCs w:val="28"/>
          <w:rtl/>
          <w:lang w:bidi="ar-LB"/>
        </w:rPr>
        <w:t>ْ</w:t>
      </w:r>
      <w:r w:rsidRPr="00282AC9">
        <w:rPr>
          <w:rFonts w:ascii="Arial" w:hAnsi="Arial" w:cs="DanaFajr"/>
          <w:szCs w:val="28"/>
          <w:rtl/>
          <w:lang w:bidi="ar-LB"/>
        </w:rPr>
        <w:t xml:space="preserve"> فلا مجال لها في المقام. </w:t>
      </w:r>
      <w:r w:rsidRPr="00282AC9">
        <w:rPr>
          <w:rFonts w:ascii="Arial" w:hAnsi="Arial" w:cs="DanaFajr"/>
          <w:b/>
          <w:bCs/>
          <w:szCs w:val="28"/>
          <w:rtl/>
          <w:lang w:bidi="ar-LB"/>
        </w:rPr>
        <w:t>ثالثاً</w:t>
      </w:r>
      <w:r w:rsidRPr="00282AC9">
        <w:rPr>
          <w:rFonts w:ascii="Arial" w:hAnsi="Arial" w:cs="DanaFajr"/>
          <w:szCs w:val="28"/>
          <w:rtl/>
          <w:lang w:bidi="ar-LB"/>
        </w:rPr>
        <w:t>: إنّ أمثال هذه الفتاوى تستغل</w:t>
      </w:r>
      <w:r w:rsidRPr="00282AC9">
        <w:rPr>
          <w:rFonts w:ascii="Arial" w:hAnsi="Arial" w:cs="DanaFajr" w:hint="cs"/>
          <w:szCs w:val="28"/>
          <w:rtl/>
          <w:lang w:bidi="ar-LB"/>
        </w:rPr>
        <w:t>ّ</w:t>
      </w:r>
      <w:r w:rsidRPr="00282AC9">
        <w:rPr>
          <w:rFonts w:ascii="Arial" w:hAnsi="Arial" w:cs="DanaFajr"/>
          <w:szCs w:val="28"/>
          <w:rtl/>
          <w:lang w:bidi="ar-LB"/>
        </w:rPr>
        <w:t xml:space="preserve"> ضد</w:t>
      </w:r>
      <w:r w:rsidRPr="00282AC9">
        <w:rPr>
          <w:rFonts w:ascii="Arial" w:hAnsi="Arial" w:cs="DanaFajr" w:hint="cs"/>
          <w:szCs w:val="28"/>
          <w:rtl/>
          <w:lang w:bidi="ar-LB"/>
        </w:rPr>
        <w:t>ّ</w:t>
      </w:r>
      <w:r w:rsidRPr="00282AC9">
        <w:rPr>
          <w:rFonts w:ascii="Arial" w:hAnsi="Arial" w:cs="DanaFajr"/>
          <w:szCs w:val="28"/>
          <w:rtl/>
          <w:lang w:bidi="ar-LB"/>
        </w:rPr>
        <w:t xml:space="preserve"> الدين</w:t>
      </w:r>
      <w:r w:rsidRPr="00282AC9">
        <w:rPr>
          <w:rFonts w:ascii="Arial" w:hAnsi="Arial" w:cs="DanaFajr" w:hint="cs"/>
          <w:szCs w:val="28"/>
          <w:rtl/>
          <w:lang w:bidi="ar-LB"/>
        </w:rPr>
        <w:t>؛</w:t>
      </w:r>
      <w:r w:rsidRPr="00282AC9">
        <w:rPr>
          <w:rFonts w:ascii="Arial" w:hAnsi="Arial" w:cs="DanaFajr"/>
          <w:szCs w:val="28"/>
          <w:rtl/>
          <w:lang w:bidi="ar-LB"/>
        </w:rPr>
        <w:t xml:space="preserve"> لتشويه صورته</w:t>
      </w:r>
      <w:r w:rsidRPr="00282AC9">
        <w:rPr>
          <w:rFonts w:ascii="Arial" w:hAnsi="Arial" w:cs="DanaFajr" w:hint="cs"/>
          <w:szCs w:val="28"/>
          <w:rtl/>
          <w:lang w:bidi="ar-LB"/>
        </w:rPr>
        <w:t xml:space="preserve">. </w:t>
      </w:r>
      <w:r w:rsidRPr="00282AC9">
        <w:rPr>
          <w:rFonts w:ascii="Arial" w:hAnsi="Arial" w:cs="DanaFajr"/>
          <w:szCs w:val="28"/>
          <w:rtl/>
          <w:lang w:bidi="ar-LB"/>
        </w:rPr>
        <w:t>وهي تدفع البعض إلى التشكيك بالإسلام</w:t>
      </w:r>
      <w:r w:rsidRPr="00282AC9">
        <w:rPr>
          <w:rFonts w:ascii="Arial" w:hAnsi="Arial" w:cs="DanaFajr" w:hint="cs"/>
          <w:szCs w:val="28"/>
          <w:rtl/>
          <w:lang w:bidi="ar-LB"/>
        </w:rPr>
        <w:t>.</w:t>
      </w:r>
      <w:r w:rsidRPr="00282AC9">
        <w:rPr>
          <w:rFonts w:ascii="Arial" w:hAnsi="Arial" w:cs="DanaFajr"/>
          <w:szCs w:val="28"/>
          <w:rtl/>
          <w:lang w:bidi="ar-LB"/>
        </w:rPr>
        <w:t xml:space="preserve"> ولا رَيْبَ أنّ لها تأثيراً سلبي</w:t>
      </w:r>
      <w:r w:rsidRPr="00282AC9">
        <w:rPr>
          <w:rFonts w:ascii="Arial" w:hAnsi="Arial" w:cs="DanaFajr" w:hint="cs"/>
          <w:szCs w:val="28"/>
          <w:rtl/>
          <w:lang w:bidi="ar-LB"/>
        </w:rPr>
        <w:t>ّ</w:t>
      </w:r>
      <w:r w:rsidRPr="00282AC9">
        <w:rPr>
          <w:rFonts w:ascii="Arial" w:hAnsi="Arial" w:cs="DanaFajr"/>
          <w:szCs w:val="28"/>
          <w:rtl/>
          <w:lang w:bidi="ar-LB"/>
        </w:rPr>
        <w:t>اً على المعوّق نفسه، وهي تجعله يسيء الظن</w:t>
      </w:r>
      <w:r w:rsidRPr="00282AC9">
        <w:rPr>
          <w:rFonts w:ascii="Arial" w:hAnsi="Arial" w:cs="DanaFajr" w:hint="cs"/>
          <w:szCs w:val="28"/>
          <w:rtl/>
          <w:lang w:bidi="ar-LB"/>
        </w:rPr>
        <w:t>ّ</w:t>
      </w:r>
      <w:r w:rsidRPr="00282AC9">
        <w:rPr>
          <w:rFonts w:ascii="Arial" w:hAnsi="Arial" w:cs="DanaFajr"/>
          <w:szCs w:val="28"/>
          <w:rtl/>
          <w:lang w:bidi="ar-LB"/>
        </w:rPr>
        <w:t xml:space="preserve"> بالله تعالى، ويعتقد أنه تعالى ظ</w:t>
      </w:r>
      <w:r w:rsidRPr="00282AC9">
        <w:rPr>
          <w:rFonts w:ascii="Arial" w:hAnsi="Arial" w:cs="DanaFajr" w:hint="cs"/>
          <w:szCs w:val="28"/>
          <w:rtl/>
          <w:lang w:bidi="ar-LB"/>
        </w:rPr>
        <w:t>َ</w:t>
      </w:r>
      <w:r w:rsidRPr="00282AC9">
        <w:rPr>
          <w:rFonts w:ascii="Arial" w:hAnsi="Arial" w:cs="DanaFajr"/>
          <w:szCs w:val="28"/>
          <w:rtl/>
          <w:lang w:bidi="ar-LB"/>
        </w:rPr>
        <w:t>ل</w:t>
      </w:r>
      <w:r w:rsidRPr="00282AC9">
        <w:rPr>
          <w:rFonts w:ascii="Arial" w:hAnsi="Arial" w:cs="DanaFajr" w:hint="cs"/>
          <w:szCs w:val="28"/>
          <w:rtl/>
          <w:lang w:bidi="ar-LB"/>
        </w:rPr>
        <w:t>َ</w:t>
      </w:r>
      <w:r w:rsidRPr="00282AC9">
        <w:rPr>
          <w:rFonts w:ascii="Arial" w:hAnsi="Arial" w:cs="DanaFajr"/>
          <w:szCs w:val="28"/>
          <w:rtl/>
          <w:lang w:bidi="ar-LB"/>
        </w:rPr>
        <w:t>مه ظلماً تشريعياً</w:t>
      </w:r>
      <w:r w:rsidRPr="00282AC9">
        <w:rPr>
          <w:rFonts w:ascii="Arial" w:hAnsi="Arial" w:cs="DanaFajr" w:hint="cs"/>
          <w:szCs w:val="28"/>
          <w:rtl/>
          <w:lang w:bidi="ar-LB"/>
        </w:rPr>
        <w:t>،</w:t>
      </w:r>
      <w:r w:rsidRPr="00282AC9">
        <w:rPr>
          <w:rFonts w:ascii="Arial" w:hAnsi="Arial" w:cs="DanaFajr"/>
          <w:szCs w:val="28"/>
          <w:rtl/>
          <w:lang w:bidi="ar-LB"/>
        </w:rPr>
        <w:t xml:space="preserve"> بالإضافة إلى ما قد يعتقد أنّه ظلم</w:t>
      </w:r>
      <w:r w:rsidRPr="00282AC9">
        <w:rPr>
          <w:rFonts w:ascii="Arial" w:hAnsi="Arial" w:cs="DanaFajr" w:hint="cs"/>
          <w:szCs w:val="28"/>
          <w:rtl/>
          <w:lang w:bidi="ar-LB"/>
        </w:rPr>
        <w:t>ٌ</w:t>
      </w:r>
      <w:r w:rsidRPr="00282AC9">
        <w:rPr>
          <w:rFonts w:ascii="Arial" w:hAnsi="Arial" w:cs="DanaFajr"/>
          <w:szCs w:val="28"/>
          <w:rtl/>
          <w:lang w:bidi="ar-LB"/>
        </w:rPr>
        <w:t xml:space="preserve"> تكويني</w:t>
      </w:r>
      <w:r w:rsidRPr="00282AC9">
        <w:rPr>
          <w:rFonts w:ascii="Arial" w:hAnsi="Arial" w:cs="DanaFajr" w:hint="cs"/>
          <w:szCs w:val="28"/>
          <w:rtl/>
          <w:lang w:bidi="ar-LB"/>
        </w:rPr>
        <w:t>ّ</w:t>
      </w:r>
      <w:r w:rsidRPr="00282AC9">
        <w:rPr>
          <w:rFonts w:ascii="Arial" w:hAnsi="Arial" w:cs="DanaFajr"/>
          <w:szCs w:val="28"/>
          <w:rtl/>
          <w:lang w:bidi="ar-LB"/>
        </w:rPr>
        <w:t>، كما أنّها تثير في نفسه الح</w:t>
      </w:r>
      <w:r w:rsidRPr="00282AC9">
        <w:rPr>
          <w:rFonts w:ascii="Arial" w:hAnsi="Arial" w:cs="DanaFajr" w:hint="cs"/>
          <w:szCs w:val="28"/>
          <w:rtl/>
          <w:lang w:bidi="ar-LB"/>
        </w:rPr>
        <w:t>َ</w:t>
      </w:r>
      <w:r w:rsidRPr="00282AC9">
        <w:rPr>
          <w:rFonts w:ascii="Arial" w:hAnsi="Arial" w:cs="DanaFajr"/>
          <w:szCs w:val="28"/>
          <w:rtl/>
          <w:lang w:bidi="ar-LB"/>
        </w:rPr>
        <w:t>ن</w:t>
      </w:r>
      <w:r w:rsidRPr="00282AC9">
        <w:rPr>
          <w:rFonts w:ascii="Arial" w:hAnsi="Arial" w:cs="DanaFajr" w:hint="cs"/>
          <w:szCs w:val="28"/>
          <w:rtl/>
          <w:lang w:bidi="ar-LB"/>
        </w:rPr>
        <w:t>َ</w:t>
      </w:r>
      <w:r w:rsidRPr="00282AC9">
        <w:rPr>
          <w:rFonts w:ascii="Arial" w:hAnsi="Arial" w:cs="DanaFajr"/>
          <w:szCs w:val="28"/>
          <w:rtl/>
          <w:lang w:bidi="ar-LB"/>
        </w:rPr>
        <w:t>ق على المجتمع</w:t>
      </w:r>
      <w:r w:rsidRPr="00282AC9">
        <w:rPr>
          <w:rFonts w:ascii="Arial" w:hAnsi="Arial" w:cs="DanaFajr" w:hint="cs"/>
          <w:szCs w:val="28"/>
          <w:rtl/>
          <w:lang w:bidi="ar-LB"/>
        </w:rPr>
        <w:t>،</w:t>
      </w:r>
      <w:r w:rsidRPr="00282AC9">
        <w:rPr>
          <w:rFonts w:ascii="Arial" w:hAnsi="Arial" w:cs="DanaFajr"/>
          <w:szCs w:val="28"/>
          <w:rtl/>
          <w:lang w:bidi="ar-LB"/>
        </w:rPr>
        <w:t xml:space="preserve"> ور</w:t>
      </w:r>
      <w:r w:rsidRPr="00282AC9">
        <w:rPr>
          <w:rFonts w:ascii="Arial" w:hAnsi="Arial" w:cs="DanaFajr" w:hint="cs"/>
          <w:szCs w:val="28"/>
          <w:rtl/>
          <w:lang w:bidi="ar-LB"/>
        </w:rPr>
        <w:t>ُ</w:t>
      </w:r>
      <w:r w:rsidRPr="00282AC9">
        <w:rPr>
          <w:rFonts w:ascii="Arial" w:hAnsi="Arial" w:cs="DanaFajr"/>
          <w:szCs w:val="28"/>
          <w:rtl/>
          <w:lang w:bidi="ar-LB"/>
        </w:rPr>
        <w:t>ب</w:t>
      </w:r>
      <w:r w:rsidRPr="00282AC9">
        <w:rPr>
          <w:rFonts w:ascii="Arial" w:hAnsi="Arial" w:cs="DanaFajr" w:hint="cs"/>
          <w:szCs w:val="28"/>
          <w:rtl/>
          <w:lang w:bidi="ar-LB"/>
        </w:rPr>
        <w:t>َ</w:t>
      </w:r>
      <w:r w:rsidRPr="00282AC9">
        <w:rPr>
          <w:rFonts w:ascii="Arial" w:hAnsi="Arial" w:cs="DanaFajr"/>
          <w:szCs w:val="28"/>
          <w:rtl/>
          <w:lang w:bidi="ar-LB"/>
        </w:rPr>
        <w:t>ما دفعه ذلك إلى الانتقام بطريقة</w:t>
      </w:r>
      <w:r w:rsidRPr="00282AC9">
        <w:rPr>
          <w:rFonts w:ascii="Arial" w:hAnsi="Arial" w:cs="DanaFajr" w:hint="cs"/>
          <w:szCs w:val="28"/>
          <w:rtl/>
          <w:lang w:bidi="ar-LB"/>
        </w:rPr>
        <w:t>ٍ</w:t>
      </w:r>
      <w:r w:rsidRPr="00282AC9">
        <w:rPr>
          <w:rFonts w:ascii="Arial" w:hAnsi="Arial" w:cs="DanaFajr"/>
          <w:szCs w:val="28"/>
          <w:rtl/>
          <w:lang w:bidi="ar-LB"/>
        </w:rPr>
        <w:t xml:space="preserve"> أو بأخرى. </w:t>
      </w:r>
    </w:p>
  </w:endnote>
  <w:endnote w:id="196">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يقول العلا</w:t>
      </w:r>
      <w:r w:rsidRPr="00282AC9">
        <w:rPr>
          <w:rFonts w:ascii="Arial" w:hAnsi="Arial" w:cs="DanaFajr" w:hint="cs"/>
          <w:sz w:val="28"/>
          <w:szCs w:val="28"/>
          <w:rtl/>
          <w:lang w:bidi="ar-LB"/>
        </w:rPr>
        <w:t>ّ</w:t>
      </w:r>
      <w:r w:rsidRPr="00282AC9">
        <w:rPr>
          <w:rFonts w:ascii="Arial" w:hAnsi="Arial" w:cs="DanaFajr"/>
          <w:sz w:val="28"/>
          <w:szCs w:val="28"/>
          <w:rtl/>
          <w:lang w:bidi="ar-LB"/>
        </w:rPr>
        <w:t>مة الحل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ي في بيان المعاملات المكروهة: </w:t>
      </w:r>
      <w:r w:rsidRPr="00282AC9">
        <w:rPr>
          <w:rFonts w:hint="eastAsia"/>
          <w:sz w:val="22"/>
          <w:szCs w:val="22"/>
          <w:rtl/>
          <w:lang w:bidi="ar-LB"/>
        </w:rPr>
        <w:t>«</w:t>
      </w:r>
      <w:r w:rsidRPr="00282AC9">
        <w:rPr>
          <w:rFonts w:ascii="Arial" w:hAnsi="Arial" w:cs="DanaFajr"/>
          <w:sz w:val="28"/>
          <w:szCs w:val="28"/>
          <w:rtl/>
          <w:lang w:bidi="ar-LB"/>
        </w:rPr>
        <w:t>ومعاملة الظالمين والس</w:t>
      </w:r>
      <w:r w:rsidRPr="00282AC9">
        <w:rPr>
          <w:rFonts w:ascii="Arial" w:hAnsi="Arial" w:cs="DanaFajr" w:hint="cs"/>
          <w:sz w:val="28"/>
          <w:szCs w:val="28"/>
          <w:rtl/>
          <w:lang w:bidi="ar-LB"/>
        </w:rPr>
        <w:t>َّ</w:t>
      </w:r>
      <w:r w:rsidRPr="00282AC9">
        <w:rPr>
          <w:rFonts w:ascii="Arial" w:hAnsi="Arial" w:cs="DanaFajr"/>
          <w:sz w:val="28"/>
          <w:szCs w:val="28"/>
          <w:rtl/>
          <w:lang w:bidi="ar-LB"/>
        </w:rPr>
        <w:t>ف</w:t>
      </w:r>
      <w:r w:rsidRPr="00282AC9">
        <w:rPr>
          <w:rFonts w:ascii="Arial" w:hAnsi="Arial" w:cs="DanaFajr" w:hint="cs"/>
          <w:sz w:val="28"/>
          <w:szCs w:val="28"/>
          <w:rtl/>
          <w:lang w:bidi="ar-LB"/>
        </w:rPr>
        <w:t>َ</w:t>
      </w:r>
      <w:r w:rsidRPr="00282AC9">
        <w:rPr>
          <w:rFonts w:ascii="Arial" w:hAnsi="Arial" w:cs="DanaFajr"/>
          <w:sz w:val="28"/>
          <w:szCs w:val="28"/>
          <w:rtl/>
          <w:lang w:bidi="ar-LB"/>
        </w:rPr>
        <w:t>لة والأدنين والمحارفين وذوي العاهات</w:t>
      </w:r>
      <w:r w:rsidRPr="00282AC9">
        <w:rPr>
          <w:rFonts w:ascii="Arial" w:hAnsi="Arial" w:cs="DanaFajr" w:hint="cs"/>
          <w:sz w:val="28"/>
          <w:szCs w:val="28"/>
          <w:rtl/>
          <w:lang w:bidi="ar-LB"/>
        </w:rPr>
        <w:t xml:space="preserve"> </w:t>
      </w:r>
      <w:r w:rsidRPr="00282AC9">
        <w:rPr>
          <w:rFonts w:ascii="Arial" w:hAnsi="Arial" w:cs="DanaFajr"/>
          <w:sz w:val="28"/>
          <w:szCs w:val="28"/>
          <w:rtl/>
          <w:lang w:bidi="ar-LB"/>
        </w:rPr>
        <w:t>والأكراد</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ومجالستهم</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ومناكحتهم</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وأهل الذمة</w:t>
      </w:r>
      <w:r w:rsidRPr="00282AC9">
        <w:rPr>
          <w:rFonts w:hint="eastAsia"/>
          <w:sz w:val="22"/>
          <w:szCs w:val="22"/>
          <w:rtl/>
        </w:rPr>
        <w:t>»</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قواعد الأحكام 2: 6</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وقال: </w:t>
      </w:r>
      <w:r w:rsidRPr="00282AC9">
        <w:rPr>
          <w:rFonts w:hint="eastAsia"/>
          <w:sz w:val="22"/>
          <w:szCs w:val="22"/>
          <w:rtl/>
          <w:lang w:bidi="ar-LB"/>
        </w:rPr>
        <w:t>«</w:t>
      </w:r>
      <w:r w:rsidRPr="00282AC9">
        <w:rPr>
          <w:rFonts w:ascii="Arial" w:hAnsi="Arial" w:cs="DanaFajr"/>
          <w:sz w:val="28"/>
          <w:szCs w:val="28"/>
          <w:rtl/>
          <w:lang w:bidi="ar-LB"/>
        </w:rPr>
        <w:t>وكذا تكره معاملة ذوي العاهات والأكراد</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ومجالستهم</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ومناكحتهم؛ لما ر</w:t>
      </w:r>
      <w:r w:rsidRPr="00282AC9">
        <w:rPr>
          <w:rFonts w:ascii="Arial" w:hAnsi="Arial" w:cs="DanaFajr" w:hint="cs"/>
          <w:sz w:val="28"/>
          <w:szCs w:val="28"/>
          <w:rtl/>
          <w:lang w:bidi="ar-LB"/>
        </w:rPr>
        <w:t>ُ</w:t>
      </w:r>
      <w:r w:rsidRPr="00282AC9">
        <w:rPr>
          <w:rFonts w:ascii="Arial" w:hAnsi="Arial" w:cs="DanaFajr"/>
          <w:sz w:val="28"/>
          <w:szCs w:val="28"/>
          <w:rtl/>
          <w:lang w:bidi="ar-LB"/>
        </w:rPr>
        <w:t>وي من أنّهم حيّ</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من الجنّ</w:t>
      </w:r>
      <w:r w:rsidRPr="00282AC9">
        <w:rPr>
          <w:rFonts w:hint="eastAsia"/>
          <w:sz w:val="22"/>
          <w:szCs w:val="22"/>
          <w:rtl/>
        </w:rPr>
        <w:t>»</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تذكرة الفقهاء 12: 138. </w:t>
      </w:r>
    </w:p>
  </w:endnote>
  <w:endnote w:id="197">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أشار إلى ضعف أسانيدها</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وإمكان الإفتاء بمضمونها</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استناداً إلى قاعدة التسامح</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في كتاب م</w:t>
      </w:r>
      <w:r w:rsidRPr="00282AC9">
        <w:rPr>
          <w:rFonts w:ascii="Arial" w:hAnsi="Arial" w:cs="DanaFajr" w:hint="cs"/>
          <w:sz w:val="28"/>
          <w:szCs w:val="28"/>
          <w:rtl/>
          <w:lang w:bidi="ar-LB"/>
        </w:rPr>
        <w:t>ا</w:t>
      </w:r>
      <w:r w:rsidRPr="00282AC9">
        <w:rPr>
          <w:rFonts w:ascii="Arial" w:hAnsi="Arial" w:cs="DanaFajr"/>
          <w:sz w:val="28"/>
          <w:szCs w:val="28"/>
          <w:rtl/>
          <w:lang w:bidi="ar-LB"/>
        </w:rPr>
        <w:t xml:space="preserve"> وراء الفقه 6: 226</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لكنّه رفض ذلك بوجهين</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فراج</w:t>
      </w:r>
      <w:r w:rsidRPr="00282AC9">
        <w:rPr>
          <w:rFonts w:ascii="Arial" w:hAnsi="Arial" w:cs="DanaFajr" w:hint="cs"/>
          <w:sz w:val="28"/>
          <w:szCs w:val="28"/>
          <w:rtl/>
          <w:lang w:bidi="ar-LB"/>
        </w:rPr>
        <w:t>ِ</w:t>
      </w:r>
      <w:r w:rsidRPr="00282AC9">
        <w:rPr>
          <w:rFonts w:ascii="Arial" w:hAnsi="Arial" w:cs="DanaFajr"/>
          <w:sz w:val="28"/>
          <w:szCs w:val="28"/>
          <w:rtl/>
          <w:lang w:bidi="ar-LB"/>
        </w:rPr>
        <w:t>ع</w:t>
      </w:r>
      <w:r w:rsidRPr="00282AC9">
        <w:rPr>
          <w:rFonts w:ascii="Arial" w:hAnsi="Arial" w:cs="DanaFajr" w:hint="cs"/>
          <w:sz w:val="28"/>
          <w:szCs w:val="28"/>
          <w:rtl/>
          <w:lang w:bidi="ar-LB"/>
        </w:rPr>
        <w:t>ْ</w:t>
      </w:r>
      <w:r w:rsidRPr="00282AC9">
        <w:rPr>
          <w:rFonts w:ascii="Arial" w:hAnsi="Arial" w:cs="DanaFajr"/>
          <w:sz w:val="28"/>
          <w:szCs w:val="28"/>
          <w:rtl/>
          <w:lang w:bidi="ar-LB"/>
        </w:rPr>
        <w:t>.</w:t>
      </w:r>
    </w:p>
  </w:endnote>
  <w:endnote w:id="198">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أوض</w:t>
      </w:r>
      <w:r w:rsidRPr="00282AC9">
        <w:rPr>
          <w:rFonts w:ascii="Arial" w:hAnsi="Arial" w:cs="DanaFajr" w:hint="cs"/>
          <w:sz w:val="28"/>
          <w:szCs w:val="28"/>
          <w:rtl/>
          <w:lang w:bidi="ar-LB"/>
        </w:rPr>
        <w:t>َ</w:t>
      </w:r>
      <w:r w:rsidRPr="00282AC9">
        <w:rPr>
          <w:rFonts w:ascii="Arial" w:hAnsi="Arial" w:cs="DanaFajr"/>
          <w:sz w:val="28"/>
          <w:szCs w:val="28"/>
          <w:rtl/>
          <w:lang w:bidi="ar-LB"/>
        </w:rPr>
        <w:t>ح</w:t>
      </w:r>
      <w:r w:rsidRPr="00282AC9">
        <w:rPr>
          <w:rFonts w:ascii="Arial" w:hAnsi="Arial" w:cs="DanaFajr" w:hint="cs"/>
          <w:sz w:val="28"/>
          <w:szCs w:val="28"/>
          <w:rtl/>
          <w:lang w:bidi="ar-LB"/>
        </w:rPr>
        <w:t>ْ</w:t>
      </w:r>
      <w:r w:rsidRPr="00282AC9">
        <w:rPr>
          <w:rFonts w:ascii="Arial" w:hAnsi="Arial" w:cs="DanaFajr"/>
          <w:sz w:val="28"/>
          <w:szCs w:val="28"/>
          <w:rtl/>
          <w:lang w:bidi="ar-LB"/>
        </w:rPr>
        <w:t>نا الكلام حول ذل</w:t>
      </w:r>
      <w:r w:rsidRPr="00282AC9">
        <w:rPr>
          <w:rFonts w:ascii="Arial" w:hAnsi="Arial" w:cs="DanaFajr" w:hint="cs"/>
          <w:sz w:val="28"/>
          <w:szCs w:val="28"/>
          <w:rtl/>
          <w:lang w:bidi="ar-LB"/>
        </w:rPr>
        <w:t>ك</w:t>
      </w:r>
      <w:r w:rsidRPr="00282AC9">
        <w:rPr>
          <w:rFonts w:ascii="Arial" w:hAnsi="Arial" w:cs="DanaFajr"/>
          <w:sz w:val="28"/>
          <w:szCs w:val="28"/>
          <w:rtl/>
          <w:lang w:bidi="ar-LB"/>
        </w:rPr>
        <w:t xml:space="preserve"> بشكل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مفص</w:t>
      </w:r>
      <w:r w:rsidRPr="00282AC9">
        <w:rPr>
          <w:rFonts w:ascii="Arial" w:hAnsi="Arial" w:cs="DanaFajr" w:hint="cs"/>
          <w:sz w:val="28"/>
          <w:szCs w:val="28"/>
          <w:rtl/>
          <w:lang w:bidi="ar-LB"/>
        </w:rPr>
        <w:t>َّ</w:t>
      </w:r>
      <w:r w:rsidRPr="00282AC9">
        <w:rPr>
          <w:rFonts w:ascii="Arial" w:hAnsi="Arial" w:cs="DanaFajr"/>
          <w:sz w:val="28"/>
          <w:szCs w:val="28"/>
          <w:rtl/>
          <w:lang w:bidi="ar-LB"/>
        </w:rPr>
        <w:t xml:space="preserve">ل في كتاب </w:t>
      </w:r>
      <w:r w:rsidRPr="00282AC9">
        <w:rPr>
          <w:rFonts w:hint="eastAsia"/>
          <w:sz w:val="22"/>
          <w:szCs w:val="22"/>
          <w:rtl/>
          <w:lang w:bidi="ar-LB"/>
        </w:rPr>
        <w:t>«</w:t>
      </w:r>
      <w:r w:rsidRPr="00282AC9">
        <w:rPr>
          <w:rFonts w:ascii="Arial" w:hAnsi="Arial" w:cs="DanaFajr"/>
          <w:sz w:val="28"/>
          <w:szCs w:val="28"/>
          <w:rtl/>
          <w:lang w:bidi="ar-LB"/>
        </w:rPr>
        <w:t>المرأة في النص</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الديني</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قراءة نقدية في روايات ذم</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المرأة</w:t>
      </w:r>
      <w:r w:rsidRPr="00282AC9">
        <w:rPr>
          <w:rFonts w:hint="eastAsia"/>
          <w:sz w:val="22"/>
          <w:szCs w:val="22"/>
          <w:rtl/>
        </w:rPr>
        <w:t>»</w:t>
      </w:r>
      <w:r w:rsidRPr="00282AC9">
        <w:rPr>
          <w:rFonts w:ascii="Arial" w:hAnsi="Arial" w:cs="DanaFajr"/>
          <w:sz w:val="28"/>
          <w:szCs w:val="28"/>
          <w:rtl/>
          <w:lang w:bidi="ar-LB"/>
        </w:rPr>
        <w:t>.</w:t>
      </w:r>
    </w:p>
  </w:endnote>
  <w:endnote w:id="199">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وهذا ما ر</w:t>
      </w:r>
      <w:r w:rsidRPr="00282AC9">
        <w:rPr>
          <w:rFonts w:ascii="Arial" w:hAnsi="Arial" w:cs="DanaFajr" w:hint="cs"/>
          <w:sz w:val="28"/>
          <w:szCs w:val="28"/>
          <w:rtl/>
        </w:rPr>
        <w:t>أ</w:t>
      </w:r>
      <w:r w:rsidRPr="00282AC9">
        <w:rPr>
          <w:rFonts w:ascii="Arial" w:hAnsi="Arial" w:cs="DanaFajr"/>
          <w:sz w:val="28"/>
          <w:szCs w:val="28"/>
          <w:rtl/>
        </w:rPr>
        <w:t>ى فيه البعض سبباً لإقدام الشريف الرض</w:t>
      </w:r>
      <w:r w:rsidRPr="00282AC9">
        <w:rPr>
          <w:rFonts w:ascii="Arial" w:hAnsi="Arial" w:cs="DanaFajr" w:hint="cs"/>
          <w:sz w:val="28"/>
          <w:szCs w:val="28"/>
          <w:rtl/>
        </w:rPr>
        <w:t>ي</w:t>
      </w:r>
      <w:r w:rsidRPr="00282AC9">
        <w:rPr>
          <w:rFonts w:ascii="Arial" w:hAnsi="Arial" w:cs="DanaFajr"/>
          <w:sz w:val="28"/>
          <w:szCs w:val="28"/>
          <w:rtl/>
        </w:rPr>
        <w:t xml:space="preserve"> على حذف أسانيد كتابه</w:t>
      </w:r>
      <w:r w:rsidRPr="00282AC9">
        <w:rPr>
          <w:rFonts w:ascii="Arial" w:hAnsi="Arial" w:cs="DanaFajr" w:hint="cs"/>
          <w:sz w:val="28"/>
          <w:szCs w:val="28"/>
          <w:rtl/>
        </w:rPr>
        <w:t>.</w:t>
      </w:r>
      <w:r w:rsidRPr="00282AC9">
        <w:rPr>
          <w:rFonts w:ascii="Arial" w:hAnsi="Arial" w:cs="DanaFajr"/>
          <w:sz w:val="28"/>
          <w:szCs w:val="28"/>
          <w:rtl/>
        </w:rPr>
        <w:t xml:space="preserve"> قال السيد الأمين</w:t>
      </w:r>
      <w:r w:rsidRPr="00282AC9">
        <w:rPr>
          <w:rFonts w:ascii="Arial" w:hAnsi="Arial" w:cs="Mosawi" w:hint="cs"/>
          <w:rtl/>
        </w:rPr>
        <w:t>&amp;</w:t>
      </w:r>
      <w:r w:rsidRPr="00282AC9">
        <w:rPr>
          <w:rFonts w:ascii="Arial" w:hAnsi="Arial" w:cs="DanaFajr"/>
          <w:sz w:val="28"/>
          <w:szCs w:val="28"/>
          <w:rtl/>
        </w:rPr>
        <w:t xml:space="preserve">: </w:t>
      </w:r>
      <w:r w:rsidRPr="00282AC9">
        <w:rPr>
          <w:rFonts w:hint="eastAsia"/>
          <w:sz w:val="22"/>
          <w:szCs w:val="22"/>
          <w:rtl/>
        </w:rPr>
        <w:t>«</w:t>
      </w:r>
      <w:r w:rsidRPr="00282AC9">
        <w:rPr>
          <w:rFonts w:ascii="Arial" w:hAnsi="Arial" w:cs="DanaFajr"/>
          <w:sz w:val="28"/>
          <w:szCs w:val="28"/>
          <w:rtl/>
        </w:rPr>
        <w:t>ولم يكن قصده ـ أي الشريف الرضي ـ أن ت</w:t>
      </w:r>
      <w:r w:rsidRPr="00282AC9">
        <w:rPr>
          <w:rFonts w:ascii="Arial" w:hAnsi="Arial" w:cs="DanaFajr" w:hint="cs"/>
          <w:sz w:val="28"/>
          <w:szCs w:val="28"/>
          <w:rtl/>
        </w:rPr>
        <w:t>ُ</w:t>
      </w:r>
      <w:r w:rsidRPr="00282AC9">
        <w:rPr>
          <w:rFonts w:ascii="Arial" w:hAnsi="Arial" w:cs="DanaFajr"/>
          <w:sz w:val="28"/>
          <w:szCs w:val="28"/>
          <w:rtl/>
        </w:rPr>
        <w:t>ؤخ</w:t>
      </w:r>
      <w:r w:rsidRPr="00282AC9">
        <w:rPr>
          <w:rFonts w:ascii="Arial" w:hAnsi="Arial" w:cs="DanaFajr" w:hint="cs"/>
          <w:sz w:val="28"/>
          <w:szCs w:val="28"/>
          <w:rtl/>
        </w:rPr>
        <w:t>َ</w:t>
      </w:r>
      <w:r w:rsidRPr="00282AC9">
        <w:rPr>
          <w:rFonts w:ascii="Arial" w:hAnsi="Arial" w:cs="DanaFajr"/>
          <w:sz w:val="28"/>
          <w:szCs w:val="28"/>
          <w:rtl/>
        </w:rPr>
        <w:t>ذ منه الأحكام ومسائل الحلال والحرام</w:t>
      </w:r>
      <w:r w:rsidRPr="00282AC9">
        <w:rPr>
          <w:rFonts w:ascii="Arial" w:hAnsi="Arial" w:cs="DanaFajr" w:hint="cs"/>
          <w:sz w:val="28"/>
          <w:szCs w:val="28"/>
          <w:rtl/>
        </w:rPr>
        <w:t>،</w:t>
      </w:r>
      <w:r w:rsidRPr="00282AC9">
        <w:rPr>
          <w:rFonts w:ascii="Arial" w:hAnsi="Arial" w:cs="DanaFajr"/>
          <w:sz w:val="28"/>
          <w:szCs w:val="28"/>
          <w:rtl/>
        </w:rPr>
        <w:t xml:space="preserve"> ليذكر</w:t>
      </w:r>
      <w:r w:rsidRPr="00282AC9">
        <w:rPr>
          <w:rFonts w:ascii="Arial" w:hAnsi="Arial" w:cs="DanaFajr" w:hint="cs"/>
          <w:sz w:val="28"/>
          <w:szCs w:val="28"/>
          <w:rtl/>
        </w:rPr>
        <w:t xml:space="preserve"> </w:t>
      </w:r>
      <w:r w:rsidRPr="00282AC9">
        <w:rPr>
          <w:rFonts w:ascii="Arial" w:hAnsi="Arial" w:cs="DanaFajr"/>
          <w:sz w:val="28"/>
          <w:szCs w:val="28"/>
          <w:rtl/>
        </w:rPr>
        <w:t>أسانيده، وإنّما قصد جمع مختارات</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 xml:space="preserve">من </w:t>
      </w:r>
      <w:r w:rsidRPr="00282AC9">
        <w:rPr>
          <w:rFonts w:ascii="Arial" w:hAnsi="Arial" w:cs="DanaFajr"/>
          <w:sz w:val="28"/>
          <w:szCs w:val="28"/>
          <w:rtl/>
        </w:rPr>
        <w:t>كلام</w:t>
      </w:r>
      <w:r w:rsidRPr="00282AC9">
        <w:rPr>
          <w:rFonts w:ascii="Arial" w:hAnsi="Arial" w:cs="DanaFajr" w:hint="cs"/>
          <w:sz w:val="28"/>
          <w:szCs w:val="28"/>
          <w:rtl/>
        </w:rPr>
        <w:t>ٍ</w:t>
      </w:r>
      <w:r w:rsidRPr="00282AC9">
        <w:rPr>
          <w:rFonts w:ascii="Arial" w:hAnsi="Arial" w:cs="DanaFajr"/>
          <w:sz w:val="28"/>
          <w:szCs w:val="28"/>
          <w:rtl/>
        </w:rPr>
        <w:t xml:space="preserve"> له حظ</w:t>
      </w:r>
      <w:r w:rsidRPr="00282AC9">
        <w:rPr>
          <w:rFonts w:ascii="Arial" w:hAnsi="Arial" w:cs="DanaFajr" w:hint="cs"/>
          <w:sz w:val="28"/>
          <w:szCs w:val="28"/>
          <w:rtl/>
        </w:rPr>
        <w:t>ٌّ</w:t>
      </w:r>
      <w:r w:rsidRPr="00282AC9">
        <w:rPr>
          <w:rFonts w:ascii="Arial" w:hAnsi="Arial" w:cs="DanaFajr"/>
          <w:sz w:val="28"/>
          <w:szCs w:val="28"/>
          <w:rtl/>
        </w:rPr>
        <w:t xml:space="preserve"> في الفصاحة والبلاغة والمضامين العالية</w:t>
      </w:r>
      <w:r w:rsidRPr="00282AC9">
        <w:rPr>
          <w:rFonts w:ascii="Arial" w:hAnsi="Arial" w:cs="DanaFajr" w:hint="cs"/>
          <w:sz w:val="28"/>
          <w:szCs w:val="28"/>
          <w:rtl/>
        </w:rPr>
        <w:t>؛</w:t>
      </w:r>
      <w:r w:rsidRPr="00282AC9">
        <w:rPr>
          <w:rFonts w:ascii="Arial" w:hAnsi="Arial" w:cs="DanaFajr"/>
          <w:sz w:val="28"/>
          <w:szCs w:val="28"/>
          <w:rtl/>
        </w:rPr>
        <w:t xml:space="preserve"> لينتفع قر</w:t>
      </w:r>
      <w:r w:rsidRPr="00282AC9">
        <w:rPr>
          <w:rFonts w:ascii="Arial" w:hAnsi="Arial" w:cs="DanaFajr" w:hint="cs"/>
          <w:sz w:val="28"/>
          <w:szCs w:val="28"/>
          <w:rtl/>
        </w:rPr>
        <w:t>ّ</w:t>
      </w:r>
      <w:r w:rsidRPr="00282AC9">
        <w:rPr>
          <w:rFonts w:ascii="Arial" w:hAnsi="Arial" w:cs="DanaFajr"/>
          <w:sz w:val="28"/>
          <w:szCs w:val="28"/>
          <w:rtl/>
        </w:rPr>
        <w:t>اؤه بذلك</w:t>
      </w:r>
      <w:r w:rsidRPr="00282AC9">
        <w:rPr>
          <w:rFonts w:hint="eastAsia"/>
          <w:sz w:val="22"/>
          <w:szCs w:val="22"/>
          <w:rtl/>
        </w:rPr>
        <w:t>»</w:t>
      </w:r>
      <w:r w:rsidRPr="00282AC9">
        <w:rPr>
          <w:rFonts w:ascii="Arial" w:hAnsi="Arial" w:cs="DanaFajr" w:hint="cs"/>
          <w:sz w:val="28"/>
          <w:szCs w:val="28"/>
          <w:rtl/>
        </w:rPr>
        <w:t xml:space="preserve">. </w:t>
      </w:r>
      <w:r w:rsidRPr="00282AC9">
        <w:rPr>
          <w:rFonts w:ascii="Arial" w:hAnsi="Arial" w:cs="DanaFajr"/>
          <w:sz w:val="28"/>
          <w:szCs w:val="28"/>
          <w:rtl/>
        </w:rPr>
        <w:t>انظر: أعيان الشيعة 1</w:t>
      </w:r>
      <w:r w:rsidRPr="00282AC9">
        <w:rPr>
          <w:rFonts w:ascii="Arial" w:hAnsi="Arial" w:cs="DanaFajr" w:hint="cs"/>
          <w:sz w:val="28"/>
          <w:szCs w:val="28"/>
          <w:rtl/>
        </w:rPr>
        <w:t xml:space="preserve">: </w:t>
      </w:r>
      <w:r w:rsidRPr="00282AC9">
        <w:rPr>
          <w:rFonts w:ascii="Arial" w:hAnsi="Arial" w:cs="DanaFajr"/>
          <w:sz w:val="28"/>
          <w:szCs w:val="28"/>
          <w:rtl/>
        </w:rPr>
        <w:t>540.</w:t>
      </w:r>
    </w:p>
  </w:endnote>
  <w:endnote w:id="200">
    <w:p w:rsidR="00C14EDE" w:rsidRPr="00282AC9" w:rsidRDefault="00C14EDE" w:rsidP="0037059F">
      <w:pPr>
        <w:pStyle w:val="af7"/>
        <w:spacing w:line="296" w:lineRule="exact"/>
        <w:ind w:firstLine="0"/>
        <w:rPr>
          <w:rFonts w:ascii="Arial" w:hAnsi="Arial" w:cs="DanaFajr"/>
          <w:sz w:val="28"/>
          <w:szCs w:val="28"/>
          <w:rtl/>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hint="cs"/>
          <w:sz w:val="28"/>
          <w:szCs w:val="28"/>
          <w:rtl/>
        </w:rPr>
        <w:t xml:space="preserve"> </w:t>
      </w:r>
      <w:r w:rsidRPr="00282AC9">
        <w:rPr>
          <w:rFonts w:ascii="Arial" w:hAnsi="Arial" w:cs="DanaFajr"/>
          <w:sz w:val="28"/>
          <w:szCs w:val="28"/>
          <w:rtl/>
        </w:rPr>
        <w:t>بحار الأنوار 1: 30</w:t>
      </w:r>
      <w:r w:rsidRPr="00282AC9">
        <w:rPr>
          <w:rFonts w:ascii="Arial" w:hAnsi="Arial" w:cs="DanaFajr"/>
          <w:sz w:val="28"/>
          <w:szCs w:val="28"/>
          <w:rtl/>
          <w:lang w:bidi="ar-LB"/>
        </w:rPr>
        <w:t>.</w:t>
      </w:r>
    </w:p>
  </w:endnote>
  <w:endnote w:id="201">
    <w:p w:rsidR="00C14EDE" w:rsidRPr="00282AC9" w:rsidRDefault="00C14EDE" w:rsidP="0037059F">
      <w:pPr>
        <w:pStyle w:val="af7"/>
        <w:spacing w:line="296" w:lineRule="exact"/>
        <w:ind w:firstLine="0"/>
        <w:rPr>
          <w:rFonts w:ascii="Arial" w:hAnsi="Arial" w:cs="DanaFajr"/>
          <w:sz w:val="28"/>
          <w:szCs w:val="28"/>
          <w:rtl/>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استدل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به </w:t>
      </w:r>
      <w:r w:rsidRPr="00282AC9">
        <w:rPr>
          <w:rFonts w:ascii="Arial" w:hAnsi="Arial" w:cs="DanaFajr" w:hint="cs"/>
          <w:sz w:val="28"/>
          <w:szCs w:val="28"/>
          <w:rtl/>
          <w:lang w:bidi="ar-LB"/>
        </w:rPr>
        <w:t>ا</w:t>
      </w:r>
      <w:r w:rsidRPr="00282AC9">
        <w:rPr>
          <w:rFonts w:ascii="Arial" w:hAnsi="Arial" w:cs="DanaFajr"/>
          <w:sz w:val="28"/>
          <w:szCs w:val="28"/>
          <w:rtl/>
          <w:lang w:bidi="ar-LB"/>
        </w:rPr>
        <w:t xml:space="preserve">لفاضل الدربندي(1285هـ) في إكسير العبادات في أسرار الشهادات 3: 248؛ </w:t>
      </w:r>
      <w:r w:rsidRPr="00282AC9">
        <w:rPr>
          <w:rFonts w:ascii="Arial" w:hAnsi="Arial" w:cs="DanaFajr"/>
          <w:sz w:val="28"/>
          <w:szCs w:val="28"/>
          <w:rtl/>
        </w:rPr>
        <w:t>وأشار إليه في</w:t>
      </w:r>
      <w:r w:rsidRPr="00282AC9">
        <w:rPr>
          <w:rFonts w:ascii="Arial" w:hAnsi="Arial" w:cs="DanaFajr" w:hint="cs"/>
          <w:sz w:val="28"/>
          <w:szCs w:val="28"/>
          <w:rtl/>
        </w:rPr>
        <w:t>ه</w:t>
      </w:r>
      <w:r w:rsidRPr="00282AC9">
        <w:rPr>
          <w:rFonts w:ascii="Arial" w:hAnsi="Arial" w:cs="DanaFajr"/>
          <w:sz w:val="28"/>
          <w:szCs w:val="28"/>
          <w:rtl/>
        </w:rPr>
        <w:t xml:space="preserve"> 1: 141. </w:t>
      </w:r>
      <w:r w:rsidRPr="00282AC9">
        <w:rPr>
          <w:rFonts w:ascii="Arial" w:hAnsi="Arial" w:cs="DanaFajr"/>
          <w:sz w:val="28"/>
          <w:szCs w:val="28"/>
          <w:rtl/>
          <w:lang w:bidi="ar-LB"/>
        </w:rPr>
        <w:t>واستشهد به على نحو الاستئناس الشيخ عبد الله المامقاني في المواكب الحسينية</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انظ</w:t>
      </w:r>
      <w:r w:rsidRPr="00282AC9">
        <w:rPr>
          <w:rFonts w:ascii="Arial" w:hAnsi="Arial" w:cs="DanaFajr" w:hint="cs"/>
          <w:sz w:val="28"/>
          <w:szCs w:val="28"/>
          <w:rtl/>
          <w:lang w:bidi="ar-LB"/>
        </w:rPr>
        <w:t>ُ</w:t>
      </w:r>
      <w:r w:rsidRPr="00282AC9">
        <w:rPr>
          <w:rFonts w:ascii="Arial" w:hAnsi="Arial" w:cs="DanaFajr"/>
          <w:sz w:val="28"/>
          <w:szCs w:val="28"/>
          <w:rtl/>
          <w:lang w:bidi="ar-LB"/>
        </w:rPr>
        <w:t>ر</w:t>
      </w:r>
      <w:r w:rsidRPr="00282AC9">
        <w:rPr>
          <w:rFonts w:ascii="Arial" w:hAnsi="Arial" w:cs="DanaFajr" w:hint="cs"/>
          <w:sz w:val="28"/>
          <w:szCs w:val="28"/>
          <w:rtl/>
          <w:lang w:bidi="ar-LB"/>
        </w:rPr>
        <w:t>ْ</w:t>
      </w:r>
      <w:r w:rsidRPr="00282AC9">
        <w:rPr>
          <w:rFonts w:ascii="Arial" w:hAnsi="Arial" w:cs="DanaFajr"/>
          <w:sz w:val="28"/>
          <w:szCs w:val="28"/>
          <w:rtl/>
          <w:lang w:bidi="ar-LB"/>
        </w:rPr>
        <w:t>: رسائل الشعائر الحسينية: 231 ـ 232. واستدل</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به السيد حسن الشيرازي،</w:t>
      </w:r>
      <w:r w:rsidRPr="00282AC9">
        <w:rPr>
          <w:rFonts w:ascii="Arial" w:hAnsi="Arial" w:cs="DanaFajr" w:hint="cs"/>
          <w:sz w:val="28"/>
          <w:szCs w:val="28"/>
          <w:rtl/>
          <w:lang w:bidi="ar-LB"/>
        </w:rPr>
        <w:t>.</w:t>
      </w:r>
      <w:r w:rsidRPr="00282AC9">
        <w:rPr>
          <w:rFonts w:ascii="Arial" w:hAnsi="Arial" w:cs="DanaFajr"/>
          <w:sz w:val="28"/>
          <w:szCs w:val="28"/>
          <w:rtl/>
          <w:lang w:bidi="ar-LB"/>
        </w:rPr>
        <w:t xml:space="preserve"> انظر: الشعائر الحسينية: 127. ولاح</w:t>
      </w:r>
      <w:r w:rsidRPr="00282AC9">
        <w:rPr>
          <w:rFonts w:ascii="Arial" w:hAnsi="Arial" w:cs="DanaFajr" w:hint="cs"/>
          <w:sz w:val="28"/>
          <w:szCs w:val="28"/>
          <w:rtl/>
          <w:lang w:bidi="ar-LB"/>
        </w:rPr>
        <w:t>ِ</w:t>
      </w:r>
      <w:r w:rsidRPr="00282AC9">
        <w:rPr>
          <w:rFonts w:ascii="Arial" w:hAnsi="Arial" w:cs="DanaFajr"/>
          <w:sz w:val="28"/>
          <w:szCs w:val="28"/>
          <w:rtl/>
          <w:lang w:bidi="ar-LB"/>
        </w:rPr>
        <w:t>ظ</w:t>
      </w:r>
      <w:r w:rsidRPr="00282AC9">
        <w:rPr>
          <w:rFonts w:ascii="Arial" w:hAnsi="Arial" w:cs="DanaFajr" w:hint="cs"/>
          <w:sz w:val="28"/>
          <w:szCs w:val="28"/>
          <w:rtl/>
          <w:lang w:bidi="ar-LB"/>
        </w:rPr>
        <w:t>ْ</w:t>
      </w:r>
      <w:r w:rsidRPr="00282AC9">
        <w:rPr>
          <w:rFonts w:ascii="Arial" w:hAnsi="Arial" w:cs="DanaFajr"/>
          <w:sz w:val="28"/>
          <w:szCs w:val="28"/>
          <w:rtl/>
          <w:lang w:bidi="ar-LB"/>
        </w:rPr>
        <w:t>: فتاوى العلماء في الشعائر الحسينية: 100، 141.</w:t>
      </w:r>
    </w:p>
  </w:endnote>
  <w:endnote w:id="202">
    <w:p w:rsidR="00C14EDE" w:rsidRPr="00282AC9" w:rsidRDefault="00C14EDE" w:rsidP="0037059F">
      <w:pPr>
        <w:pStyle w:val="af7"/>
        <w:spacing w:line="296" w:lineRule="exact"/>
        <w:ind w:firstLine="0"/>
        <w:rPr>
          <w:rFonts w:ascii="Arial" w:hAnsi="Arial"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w:t>
      </w:r>
      <w:r w:rsidRPr="00282AC9">
        <w:rPr>
          <w:rFonts w:ascii="Arial" w:hAnsi="Arial" w:cs="DanaFajr"/>
          <w:sz w:val="28"/>
          <w:szCs w:val="28"/>
          <w:rtl/>
          <w:lang w:bidi="ar-LB"/>
        </w:rPr>
        <w:t>العروة الوثقى 2: 678.</w:t>
      </w:r>
    </w:p>
  </w:endnote>
  <w:endnote w:id="203">
    <w:p w:rsidR="00C14EDE" w:rsidRPr="00282AC9" w:rsidRDefault="00C14EDE" w:rsidP="0037059F">
      <w:pPr>
        <w:pStyle w:val="af7"/>
        <w:spacing w:line="296" w:lineRule="exact"/>
        <w:ind w:firstLine="0"/>
        <w:rPr>
          <w:rFonts w:cs="DanaFajr"/>
          <w:sz w:val="28"/>
          <w:szCs w:val="28"/>
          <w:lang w:bidi="ar-LB"/>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lang w:bidi="ar-LB"/>
        </w:rPr>
        <w:t xml:space="preserve">راجِعْ: كتاب </w:t>
      </w:r>
      <w:r w:rsidRPr="00282AC9">
        <w:rPr>
          <w:rFonts w:hint="eastAsia"/>
          <w:sz w:val="22"/>
          <w:szCs w:val="22"/>
          <w:rtl/>
        </w:rPr>
        <w:t>«</w:t>
      </w:r>
      <w:r w:rsidRPr="00282AC9">
        <w:rPr>
          <w:rFonts w:cs="DanaFajr" w:hint="cs"/>
          <w:sz w:val="28"/>
          <w:szCs w:val="28"/>
          <w:rtl/>
          <w:lang w:bidi="ar-LB"/>
        </w:rPr>
        <w:t>مفاهيم ومعتقدات</w:t>
      </w:r>
      <w:r w:rsidRPr="00282AC9">
        <w:rPr>
          <w:rFonts w:hint="eastAsia"/>
          <w:sz w:val="22"/>
          <w:szCs w:val="22"/>
          <w:rtl/>
        </w:rPr>
        <w:t>»</w:t>
      </w:r>
      <w:r w:rsidRPr="00282AC9">
        <w:rPr>
          <w:rFonts w:cs="DanaFajr" w:hint="cs"/>
          <w:sz w:val="28"/>
          <w:szCs w:val="28"/>
          <w:rtl/>
          <w:lang w:bidi="ar-LB"/>
        </w:rPr>
        <w:t>: 69.</w:t>
      </w:r>
    </w:p>
  </w:endnote>
  <w:endnote w:id="204">
    <w:p w:rsidR="00C14EDE" w:rsidRPr="00282AC9" w:rsidRDefault="00C14EDE" w:rsidP="0037059F">
      <w:pPr>
        <w:pStyle w:val="af7"/>
        <w:spacing w:line="296"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ascii="Arial" w:hAnsi="Arial" w:cs="DanaFajr"/>
          <w:sz w:val="28"/>
          <w:szCs w:val="28"/>
          <w:rtl/>
        </w:rPr>
        <w:t xml:space="preserve">تعليقاً على الحديث التالي: </w:t>
      </w:r>
      <w:r w:rsidRPr="00282AC9">
        <w:rPr>
          <w:rFonts w:hint="eastAsia"/>
          <w:sz w:val="22"/>
          <w:szCs w:val="22"/>
          <w:rtl/>
        </w:rPr>
        <w:t>«</w:t>
      </w:r>
      <w:r w:rsidRPr="00282AC9">
        <w:rPr>
          <w:rFonts w:ascii="Arial" w:hAnsi="Arial" w:cs="DanaFajr"/>
          <w:sz w:val="28"/>
          <w:szCs w:val="28"/>
          <w:rtl/>
        </w:rPr>
        <w:t>م</w:t>
      </w:r>
      <w:r w:rsidRPr="00282AC9">
        <w:rPr>
          <w:rFonts w:ascii="Arial" w:hAnsi="Arial" w:cs="DanaFajr" w:hint="cs"/>
          <w:sz w:val="28"/>
          <w:szCs w:val="28"/>
          <w:rtl/>
        </w:rPr>
        <w:t>َ</w:t>
      </w:r>
      <w:r w:rsidRPr="00282AC9">
        <w:rPr>
          <w:rFonts w:ascii="Arial" w:hAnsi="Arial" w:cs="DanaFajr"/>
          <w:sz w:val="28"/>
          <w:szCs w:val="28"/>
          <w:rtl/>
        </w:rPr>
        <w:t>ن</w:t>
      </w:r>
      <w:r w:rsidRPr="00282AC9">
        <w:rPr>
          <w:rFonts w:ascii="Arial" w:hAnsi="Arial" w:cs="DanaFajr" w:hint="cs"/>
          <w:sz w:val="28"/>
          <w:szCs w:val="28"/>
          <w:rtl/>
        </w:rPr>
        <w:t>ْ</w:t>
      </w:r>
      <w:r w:rsidRPr="00282AC9">
        <w:rPr>
          <w:rFonts w:ascii="Arial" w:hAnsi="Arial" w:cs="DanaFajr"/>
          <w:sz w:val="28"/>
          <w:szCs w:val="28"/>
          <w:rtl/>
        </w:rPr>
        <w:t xml:space="preserve"> استدان د</w:t>
      </w:r>
      <w:r w:rsidRPr="00282AC9">
        <w:rPr>
          <w:rFonts w:ascii="Arial" w:hAnsi="Arial" w:cs="DanaFajr" w:hint="cs"/>
          <w:sz w:val="28"/>
          <w:szCs w:val="28"/>
          <w:rtl/>
        </w:rPr>
        <w:t>َ</w:t>
      </w:r>
      <w:r w:rsidRPr="00282AC9">
        <w:rPr>
          <w:rFonts w:ascii="Arial" w:hAnsi="Arial" w:cs="DanaFajr"/>
          <w:sz w:val="28"/>
          <w:szCs w:val="28"/>
          <w:rtl/>
        </w:rPr>
        <w:t>ي</w:t>
      </w:r>
      <w:r w:rsidRPr="00282AC9">
        <w:rPr>
          <w:rFonts w:ascii="Arial" w:hAnsi="Arial" w:cs="DanaFajr" w:hint="cs"/>
          <w:sz w:val="28"/>
          <w:szCs w:val="28"/>
          <w:rtl/>
        </w:rPr>
        <w:t>ْ</w:t>
      </w:r>
      <w:r w:rsidRPr="00282AC9">
        <w:rPr>
          <w:rFonts w:ascii="Arial" w:hAnsi="Arial" w:cs="DanaFajr"/>
          <w:sz w:val="28"/>
          <w:szCs w:val="28"/>
          <w:rtl/>
        </w:rPr>
        <w:t>نا</w:t>
      </w:r>
      <w:r w:rsidRPr="00282AC9">
        <w:rPr>
          <w:rFonts w:ascii="Arial" w:hAnsi="Arial" w:cs="DanaFajr" w:hint="cs"/>
          <w:sz w:val="28"/>
          <w:szCs w:val="28"/>
          <w:rtl/>
        </w:rPr>
        <w:t>ً</w:t>
      </w:r>
      <w:r w:rsidRPr="00282AC9">
        <w:rPr>
          <w:rFonts w:ascii="Arial" w:hAnsi="Arial" w:cs="DanaFajr"/>
          <w:sz w:val="28"/>
          <w:szCs w:val="28"/>
          <w:rtl/>
        </w:rPr>
        <w:t xml:space="preserve"> فلم ين</w:t>
      </w:r>
      <w:r w:rsidRPr="00282AC9">
        <w:rPr>
          <w:rFonts w:ascii="Arial" w:hAnsi="Arial" w:cs="DanaFajr" w:hint="cs"/>
          <w:sz w:val="28"/>
          <w:szCs w:val="28"/>
          <w:rtl/>
        </w:rPr>
        <w:t>ْ</w:t>
      </w:r>
      <w:r w:rsidRPr="00282AC9">
        <w:rPr>
          <w:rFonts w:ascii="Arial" w:hAnsi="Arial" w:cs="DanaFajr"/>
          <w:sz w:val="28"/>
          <w:szCs w:val="28"/>
          <w:rtl/>
        </w:rPr>
        <w:t>و</w:t>
      </w:r>
      <w:r w:rsidRPr="00282AC9">
        <w:rPr>
          <w:rFonts w:ascii="Arial" w:hAnsi="Arial" w:cs="DanaFajr" w:hint="cs"/>
          <w:sz w:val="28"/>
          <w:szCs w:val="28"/>
          <w:rtl/>
        </w:rPr>
        <w:t>ِ</w:t>
      </w:r>
      <w:r w:rsidRPr="00282AC9">
        <w:rPr>
          <w:rFonts w:ascii="Arial" w:hAnsi="Arial" w:cs="DanaFajr"/>
          <w:sz w:val="28"/>
          <w:szCs w:val="28"/>
          <w:rtl/>
        </w:rPr>
        <w:t xml:space="preserve"> قضاءه كان بمن</w:t>
      </w:r>
      <w:r w:rsidRPr="00282AC9">
        <w:rPr>
          <w:rFonts w:ascii="Arial" w:hAnsi="Arial" w:cs="DanaFajr" w:hint="cs"/>
          <w:sz w:val="28"/>
          <w:szCs w:val="28"/>
          <w:rtl/>
        </w:rPr>
        <w:t>ـ</w:t>
      </w:r>
      <w:r w:rsidRPr="00282AC9">
        <w:rPr>
          <w:rFonts w:ascii="Arial" w:hAnsi="Arial" w:cs="DanaFajr"/>
          <w:sz w:val="28"/>
          <w:szCs w:val="28"/>
          <w:rtl/>
        </w:rPr>
        <w:t>زلة السارق</w:t>
      </w:r>
      <w:r w:rsidRPr="00282AC9">
        <w:rPr>
          <w:rFonts w:hint="eastAsia"/>
          <w:sz w:val="22"/>
          <w:szCs w:val="22"/>
          <w:rtl/>
        </w:rPr>
        <w:t>»</w:t>
      </w:r>
      <w:r w:rsidRPr="00282AC9">
        <w:rPr>
          <w:rFonts w:ascii="Arial" w:hAnsi="Arial" w:cs="DanaFajr"/>
          <w:sz w:val="28"/>
          <w:szCs w:val="28"/>
          <w:rtl/>
        </w:rPr>
        <w:t xml:space="preserve"> يقول بعض الفقهاء: </w:t>
      </w:r>
      <w:r w:rsidRPr="00282AC9">
        <w:rPr>
          <w:rFonts w:hint="eastAsia"/>
          <w:sz w:val="22"/>
          <w:szCs w:val="22"/>
          <w:rtl/>
        </w:rPr>
        <w:t>«</w:t>
      </w:r>
      <w:r w:rsidRPr="00282AC9">
        <w:rPr>
          <w:rFonts w:ascii="Arial" w:hAnsi="Arial" w:cs="DanaFajr"/>
          <w:sz w:val="28"/>
          <w:szCs w:val="28"/>
          <w:rtl/>
        </w:rPr>
        <w:t>فلا يبعد كون ني</w:t>
      </w:r>
      <w:r w:rsidRPr="00282AC9">
        <w:rPr>
          <w:rFonts w:ascii="Arial" w:hAnsi="Arial" w:cs="DanaFajr" w:hint="cs"/>
          <w:sz w:val="28"/>
          <w:szCs w:val="28"/>
          <w:rtl/>
        </w:rPr>
        <w:t>ّ</w:t>
      </w:r>
      <w:r w:rsidRPr="00282AC9">
        <w:rPr>
          <w:rFonts w:ascii="Arial" w:hAnsi="Arial" w:cs="DanaFajr"/>
          <w:sz w:val="28"/>
          <w:szCs w:val="28"/>
          <w:rtl/>
        </w:rPr>
        <w:t>ة الوفاء كني</w:t>
      </w:r>
      <w:r w:rsidRPr="00282AC9">
        <w:rPr>
          <w:rFonts w:ascii="Arial" w:hAnsi="Arial" w:cs="DanaFajr" w:hint="cs"/>
          <w:sz w:val="28"/>
          <w:szCs w:val="28"/>
          <w:rtl/>
        </w:rPr>
        <w:t>ّ</w:t>
      </w:r>
      <w:r w:rsidRPr="00282AC9">
        <w:rPr>
          <w:rFonts w:ascii="Arial" w:hAnsi="Arial" w:cs="DanaFajr"/>
          <w:sz w:val="28"/>
          <w:szCs w:val="28"/>
          <w:rtl/>
        </w:rPr>
        <w:t>ة أداء سائر الواجبات من الواجبات الأخلاقية</w:t>
      </w:r>
      <w:r w:rsidRPr="00282AC9">
        <w:rPr>
          <w:rFonts w:hint="eastAsia"/>
          <w:sz w:val="22"/>
          <w:szCs w:val="22"/>
          <w:rtl/>
        </w:rPr>
        <w:t>»</w:t>
      </w:r>
      <w:r w:rsidRPr="00282AC9">
        <w:rPr>
          <w:rFonts w:ascii="Arial" w:hAnsi="Arial" w:cs="DanaFajr"/>
          <w:sz w:val="28"/>
          <w:szCs w:val="28"/>
          <w:rtl/>
        </w:rPr>
        <w:t xml:space="preserve">. </w:t>
      </w:r>
      <w:r w:rsidRPr="00282AC9">
        <w:rPr>
          <w:rFonts w:ascii="Arial" w:hAnsi="Arial" w:cs="DanaFajr" w:hint="cs"/>
          <w:sz w:val="28"/>
          <w:szCs w:val="28"/>
          <w:rtl/>
        </w:rPr>
        <w:t>ا</w:t>
      </w:r>
      <w:r w:rsidRPr="00282AC9">
        <w:rPr>
          <w:rFonts w:ascii="Arial" w:hAnsi="Arial" w:cs="DanaFajr"/>
          <w:sz w:val="28"/>
          <w:szCs w:val="28"/>
          <w:rtl/>
        </w:rPr>
        <w:t>نظ</w:t>
      </w:r>
      <w:r w:rsidRPr="00282AC9">
        <w:rPr>
          <w:rFonts w:ascii="Arial" w:hAnsi="Arial" w:cs="DanaFajr" w:hint="cs"/>
          <w:sz w:val="28"/>
          <w:szCs w:val="28"/>
          <w:rtl/>
        </w:rPr>
        <w:t>ُ</w:t>
      </w:r>
      <w:r w:rsidRPr="00282AC9">
        <w:rPr>
          <w:rFonts w:ascii="Arial" w:hAnsi="Arial" w:cs="DanaFajr"/>
          <w:sz w:val="28"/>
          <w:szCs w:val="28"/>
          <w:rtl/>
        </w:rPr>
        <w:t>ر</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ا</w:t>
      </w:r>
      <w:r w:rsidRPr="00282AC9">
        <w:rPr>
          <w:rFonts w:ascii="Arial" w:hAnsi="Arial" w:cs="DanaFajr"/>
          <w:sz w:val="28"/>
          <w:szCs w:val="28"/>
          <w:rtl/>
        </w:rPr>
        <w:t>لسيد الحكيم</w:t>
      </w:r>
      <w:r w:rsidRPr="00282AC9">
        <w:rPr>
          <w:rFonts w:ascii="Arial" w:hAnsi="Arial" w:cs="DanaFajr" w:hint="cs"/>
          <w:sz w:val="28"/>
          <w:szCs w:val="28"/>
          <w:rtl/>
        </w:rPr>
        <w:t>،</w:t>
      </w:r>
      <w:r w:rsidRPr="00282AC9">
        <w:rPr>
          <w:rFonts w:ascii="Arial" w:hAnsi="Arial" w:cs="DanaFajr"/>
          <w:sz w:val="28"/>
          <w:szCs w:val="28"/>
          <w:rtl/>
        </w:rPr>
        <w:t xml:space="preserve"> مستمسك العروة الوثقى 5: 296. مثال</w:t>
      </w:r>
      <w:r w:rsidRPr="00282AC9">
        <w:rPr>
          <w:rFonts w:ascii="Arial" w:hAnsi="Arial" w:cs="DanaFajr" w:hint="cs"/>
          <w:sz w:val="28"/>
          <w:szCs w:val="28"/>
          <w:rtl/>
        </w:rPr>
        <w:t>ٌ</w:t>
      </w:r>
      <w:r w:rsidRPr="00282AC9">
        <w:rPr>
          <w:rFonts w:ascii="Arial" w:hAnsi="Arial" w:cs="DanaFajr"/>
          <w:sz w:val="28"/>
          <w:szCs w:val="28"/>
          <w:rtl/>
        </w:rPr>
        <w:t xml:space="preserve"> آخر: يقول السيد الحكيم</w:t>
      </w:r>
      <w:r w:rsidRPr="00282AC9">
        <w:rPr>
          <w:rFonts w:ascii="Arial" w:hAnsi="Arial" w:cs="Mosawi" w:hint="cs"/>
          <w:rtl/>
        </w:rPr>
        <w:t>&amp;</w:t>
      </w:r>
      <w:r w:rsidRPr="00282AC9">
        <w:rPr>
          <w:rFonts w:ascii="Arial" w:hAnsi="Arial" w:cs="DanaFajr"/>
          <w:sz w:val="28"/>
          <w:szCs w:val="28"/>
          <w:rtl/>
        </w:rPr>
        <w:t xml:space="preserve"> أيضاً</w:t>
      </w:r>
      <w:r w:rsidRPr="00282AC9">
        <w:rPr>
          <w:rFonts w:ascii="Arial" w:hAnsi="Arial" w:cs="DanaFajr" w:hint="cs"/>
          <w:sz w:val="28"/>
          <w:szCs w:val="28"/>
          <w:rtl/>
        </w:rPr>
        <w:t>،</w:t>
      </w:r>
      <w:r w:rsidRPr="00282AC9">
        <w:rPr>
          <w:rFonts w:ascii="Arial" w:hAnsi="Arial" w:cs="DanaFajr"/>
          <w:sz w:val="28"/>
          <w:szCs w:val="28"/>
          <w:rtl/>
        </w:rPr>
        <w:t xml:space="preserve"> تعليقاً على قوله تعالى: </w:t>
      </w:r>
      <w:r w:rsidRPr="00282AC9">
        <w:rPr>
          <w:rFonts w:ascii="Mosawi" w:hAnsi="Mosawi" w:cs="Mosawi"/>
          <w:sz w:val="22"/>
          <w:szCs w:val="22"/>
          <w:rtl/>
        </w:rPr>
        <w:t>﴿</w:t>
      </w:r>
      <w:r w:rsidRPr="00282AC9">
        <w:rPr>
          <w:rFonts w:ascii="Arial" w:hAnsi="Arial" w:cs="DanaFajr"/>
          <w:b/>
          <w:bCs/>
          <w:sz w:val="28"/>
          <w:szCs w:val="28"/>
          <w:rtl/>
        </w:rPr>
        <w:t>و</w:t>
      </w:r>
      <w:r w:rsidRPr="00282AC9">
        <w:rPr>
          <w:rFonts w:ascii="Arial" w:hAnsi="Arial" w:cs="DanaFajr" w:hint="cs"/>
          <w:b/>
          <w:bCs/>
          <w:sz w:val="28"/>
          <w:szCs w:val="28"/>
          <w:rtl/>
        </w:rPr>
        <w:t>َ</w:t>
      </w:r>
      <w:r w:rsidRPr="00282AC9">
        <w:rPr>
          <w:rFonts w:ascii="Arial" w:hAnsi="Arial" w:cs="DanaFajr"/>
          <w:b/>
          <w:bCs/>
          <w:sz w:val="28"/>
          <w:szCs w:val="28"/>
          <w:rtl/>
        </w:rPr>
        <w:t>ع</w:t>
      </w:r>
      <w:r w:rsidRPr="00282AC9">
        <w:rPr>
          <w:rFonts w:ascii="Arial" w:hAnsi="Arial" w:cs="DanaFajr" w:hint="cs"/>
          <w:b/>
          <w:bCs/>
          <w:sz w:val="28"/>
          <w:szCs w:val="28"/>
          <w:rtl/>
        </w:rPr>
        <w:t>َ</w:t>
      </w:r>
      <w:r w:rsidRPr="00282AC9">
        <w:rPr>
          <w:rFonts w:ascii="Arial" w:hAnsi="Arial" w:cs="DanaFajr"/>
          <w:b/>
          <w:bCs/>
          <w:sz w:val="28"/>
          <w:szCs w:val="28"/>
          <w:rtl/>
        </w:rPr>
        <w:t>اش</w:t>
      </w:r>
      <w:r w:rsidRPr="00282AC9">
        <w:rPr>
          <w:rFonts w:ascii="Arial" w:hAnsi="Arial" w:cs="DanaFajr" w:hint="cs"/>
          <w:b/>
          <w:bCs/>
          <w:sz w:val="28"/>
          <w:szCs w:val="28"/>
          <w:rtl/>
        </w:rPr>
        <w:t>ِ</w:t>
      </w:r>
      <w:r w:rsidRPr="00282AC9">
        <w:rPr>
          <w:rFonts w:ascii="Arial" w:hAnsi="Arial" w:cs="DanaFajr"/>
          <w:b/>
          <w:bCs/>
          <w:sz w:val="28"/>
          <w:szCs w:val="28"/>
          <w:rtl/>
        </w:rPr>
        <w:t>ر</w:t>
      </w:r>
      <w:r w:rsidRPr="00282AC9">
        <w:rPr>
          <w:rFonts w:ascii="Arial" w:hAnsi="Arial" w:cs="DanaFajr" w:hint="cs"/>
          <w:b/>
          <w:bCs/>
          <w:sz w:val="28"/>
          <w:szCs w:val="28"/>
          <w:rtl/>
        </w:rPr>
        <w:t>ُ</w:t>
      </w:r>
      <w:r w:rsidRPr="00282AC9">
        <w:rPr>
          <w:rFonts w:ascii="Arial" w:hAnsi="Arial" w:cs="DanaFajr"/>
          <w:b/>
          <w:bCs/>
          <w:sz w:val="28"/>
          <w:szCs w:val="28"/>
          <w:rtl/>
        </w:rPr>
        <w:t>وه</w:t>
      </w:r>
      <w:r w:rsidRPr="00282AC9">
        <w:rPr>
          <w:rFonts w:ascii="Arial" w:hAnsi="Arial" w:cs="DanaFajr" w:hint="cs"/>
          <w:b/>
          <w:bCs/>
          <w:sz w:val="28"/>
          <w:szCs w:val="28"/>
          <w:rtl/>
        </w:rPr>
        <w:t>ُ</w:t>
      </w:r>
      <w:r w:rsidRPr="00282AC9">
        <w:rPr>
          <w:rFonts w:ascii="Arial" w:hAnsi="Arial" w:cs="DanaFajr"/>
          <w:b/>
          <w:bCs/>
          <w:sz w:val="28"/>
          <w:szCs w:val="28"/>
          <w:rtl/>
        </w:rPr>
        <w:t>ن</w:t>
      </w:r>
      <w:r w:rsidRPr="00282AC9">
        <w:rPr>
          <w:rFonts w:ascii="Arial" w:hAnsi="Arial" w:cs="DanaFajr" w:hint="cs"/>
          <w:b/>
          <w:bCs/>
          <w:sz w:val="28"/>
          <w:szCs w:val="28"/>
          <w:rtl/>
        </w:rPr>
        <w:t>َّ</w:t>
      </w:r>
      <w:r w:rsidRPr="00282AC9">
        <w:rPr>
          <w:rFonts w:ascii="Arial" w:hAnsi="Arial" w:cs="DanaFajr"/>
          <w:b/>
          <w:bCs/>
          <w:sz w:val="28"/>
          <w:szCs w:val="28"/>
          <w:rtl/>
        </w:rPr>
        <w:t xml:space="preserve"> ب</w:t>
      </w:r>
      <w:r w:rsidRPr="00282AC9">
        <w:rPr>
          <w:rFonts w:ascii="Arial" w:hAnsi="Arial" w:cs="DanaFajr" w:hint="cs"/>
          <w:b/>
          <w:bCs/>
          <w:sz w:val="28"/>
          <w:szCs w:val="28"/>
          <w:rtl/>
        </w:rPr>
        <w:t>ِ</w:t>
      </w:r>
      <w:r w:rsidRPr="00282AC9">
        <w:rPr>
          <w:rFonts w:ascii="Arial" w:hAnsi="Arial" w:cs="DanaFajr"/>
          <w:b/>
          <w:bCs/>
          <w:sz w:val="28"/>
          <w:szCs w:val="28"/>
          <w:rtl/>
        </w:rPr>
        <w:t>الم</w:t>
      </w:r>
      <w:r w:rsidRPr="00282AC9">
        <w:rPr>
          <w:rFonts w:ascii="Arial" w:hAnsi="Arial" w:cs="DanaFajr" w:hint="cs"/>
          <w:b/>
          <w:bCs/>
          <w:sz w:val="28"/>
          <w:szCs w:val="28"/>
          <w:rtl/>
        </w:rPr>
        <w:t>َ</w:t>
      </w:r>
      <w:r w:rsidRPr="00282AC9">
        <w:rPr>
          <w:rFonts w:ascii="Arial" w:hAnsi="Arial" w:cs="DanaFajr"/>
          <w:b/>
          <w:bCs/>
          <w:sz w:val="28"/>
          <w:szCs w:val="28"/>
          <w:rtl/>
        </w:rPr>
        <w:t>ع</w:t>
      </w:r>
      <w:r w:rsidRPr="00282AC9">
        <w:rPr>
          <w:rFonts w:ascii="Arial" w:hAnsi="Arial" w:cs="DanaFajr" w:hint="cs"/>
          <w:b/>
          <w:bCs/>
          <w:sz w:val="28"/>
          <w:szCs w:val="28"/>
          <w:rtl/>
        </w:rPr>
        <w:t>ْ</w:t>
      </w:r>
      <w:r w:rsidRPr="00282AC9">
        <w:rPr>
          <w:rFonts w:ascii="Arial" w:hAnsi="Arial" w:cs="DanaFajr"/>
          <w:b/>
          <w:bCs/>
          <w:sz w:val="28"/>
          <w:szCs w:val="28"/>
          <w:rtl/>
        </w:rPr>
        <w:t>ر</w:t>
      </w:r>
      <w:r w:rsidRPr="00282AC9">
        <w:rPr>
          <w:rFonts w:ascii="Arial" w:hAnsi="Arial" w:cs="DanaFajr" w:hint="cs"/>
          <w:b/>
          <w:bCs/>
          <w:sz w:val="28"/>
          <w:szCs w:val="28"/>
          <w:rtl/>
        </w:rPr>
        <w:t>ُ</w:t>
      </w:r>
      <w:r w:rsidRPr="00282AC9">
        <w:rPr>
          <w:rFonts w:ascii="Arial" w:hAnsi="Arial" w:cs="DanaFajr"/>
          <w:b/>
          <w:bCs/>
          <w:sz w:val="28"/>
          <w:szCs w:val="28"/>
          <w:rtl/>
        </w:rPr>
        <w:t>وف</w:t>
      </w:r>
      <w:r w:rsidRPr="00282AC9">
        <w:rPr>
          <w:rFonts w:ascii="Arial" w:hAnsi="Arial" w:cs="DanaFajr" w:hint="cs"/>
          <w:b/>
          <w:bCs/>
          <w:sz w:val="28"/>
          <w:szCs w:val="28"/>
          <w:rtl/>
        </w:rPr>
        <w:t>ِ</w:t>
      </w:r>
      <w:r w:rsidRPr="00282AC9">
        <w:rPr>
          <w:rFonts w:ascii="Mosawi" w:hAnsi="Mosawi" w:cs="Mosawi"/>
          <w:sz w:val="22"/>
          <w:szCs w:val="22"/>
          <w:rtl/>
        </w:rPr>
        <w:t>﴾</w:t>
      </w:r>
      <w:r w:rsidRPr="00282AC9">
        <w:rPr>
          <w:rFonts w:ascii="Arial" w:hAnsi="Arial" w:cs="DanaFajr"/>
          <w:sz w:val="28"/>
          <w:szCs w:val="28"/>
          <w:rtl/>
        </w:rPr>
        <w:t xml:space="preserve"> (النساء 20)</w:t>
      </w:r>
      <w:r w:rsidRPr="00282AC9">
        <w:rPr>
          <w:rFonts w:ascii="Arial" w:hAnsi="Arial" w:cs="DanaFajr" w:hint="cs"/>
          <w:sz w:val="28"/>
          <w:szCs w:val="28"/>
          <w:rtl/>
        </w:rPr>
        <w:t>:</w:t>
      </w:r>
      <w:r w:rsidRPr="00282AC9">
        <w:rPr>
          <w:rFonts w:ascii="Arial" w:hAnsi="Arial" w:cs="DanaFajr"/>
          <w:sz w:val="28"/>
          <w:szCs w:val="28"/>
          <w:rtl/>
        </w:rPr>
        <w:t xml:space="preserve"> إنه </w:t>
      </w:r>
      <w:r w:rsidRPr="00282AC9">
        <w:rPr>
          <w:rFonts w:hint="eastAsia"/>
          <w:sz w:val="22"/>
          <w:szCs w:val="22"/>
          <w:rtl/>
        </w:rPr>
        <w:t>«</w:t>
      </w:r>
      <w:r w:rsidRPr="00282AC9">
        <w:rPr>
          <w:rFonts w:ascii="Arial" w:hAnsi="Arial" w:cs="DanaFajr"/>
          <w:sz w:val="28"/>
          <w:szCs w:val="28"/>
          <w:rtl/>
        </w:rPr>
        <w:t>ناظر</w:t>
      </w:r>
      <w:r w:rsidRPr="00282AC9">
        <w:rPr>
          <w:rFonts w:ascii="Arial" w:hAnsi="Arial" w:cs="DanaFajr" w:hint="cs"/>
          <w:sz w:val="28"/>
          <w:szCs w:val="28"/>
          <w:rtl/>
        </w:rPr>
        <w:t>ٌ</w:t>
      </w:r>
      <w:r w:rsidRPr="00282AC9">
        <w:rPr>
          <w:rFonts w:ascii="Arial" w:hAnsi="Arial" w:cs="DanaFajr"/>
          <w:sz w:val="28"/>
          <w:szCs w:val="28"/>
          <w:rtl/>
        </w:rPr>
        <w:t xml:space="preserve"> إلى الجهات الأخلاقية</w:t>
      </w:r>
      <w:r w:rsidRPr="00282AC9">
        <w:rPr>
          <w:rFonts w:ascii="Arial" w:hAnsi="Arial" w:cs="DanaFajr" w:hint="cs"/>
          <w:sz w:val="28"/>
          <w:szCs w:val="28"/>
          <w:rtl/>
        </w:rPr>
        <w:t>،</w:t>
      </w:r>
      <w:r w:rsidRPr="00282AC9">
        <w:rPr>
          <w:rFonts w:ascii="Arial" w:hAnsi="Arial" w:cs="DanaFajr"/>
          <w:sz w:val="28"/>
          <w:szCs w:val="28"/>
          <w:rtl/>
        </w:rPr>
        <w:t xml:space="preserve"> لا غيرها</w:t>
      </w:r>
      <w:r w:rsidRPr="00282AC9">
        <w:rPr>
          <w:rFonts w:hint="eastAsia"/>
          <w:sz w:val="22"/>
          <w:szCs w:val="22"/>
          <w:rtl/>
        </w:rPr>
        <w:t>»</w:t>
      </w:r>
      <w:r w:rsidRPr="00282AC9">
        <w:rPr>
          <w:rFonts w:ascii="Arial" w:hAnsi="Arial" w:cs="DanaFajr" w:hint="cs"/>
          <w:sz w:val="28"/>
          <w:szCs w:val="28"/>
          <w:rtl/>
        </w:rPr>
        <w:t xml:space="preserve">. المصدر السابق </w:t>
      </w:r>
      <w:r w:rsidRPr="00282AC9">
        <w:rPr>
          <w:rFonts w:ascii="Arial" w:hAnsi="Arial" w:cs="DanaFajr"/>
          <w:sz w:val="28"/>
          <w:szCs w:val="28"/>
          <w:rtl/>
        </w:rPr>
        <w:t>12: 302</w:t>
      </w:r>
      <w:r w:rsidRPr="00282AC9">
        <w:rPr>
          <w:rFonts w:ascii="Arial" w:hAnsi="Arial" w:cs="DanaFajr" w:hint="cs"/>
          <w:sz w:val="28"/>
          <w:szCs w:val="28"/>
          <w:rtl/>
        </w:rPr>
        <w:t>.</w:t>
      </w:r>
      <w:r w:rsidRPr="00282AC9">
        <w:rPr>
          <w:rFonts w:ascii="Arial" w:hAnsi="Arial" w:cs="DanaFajr"/>
          <w:sz w:val="28"/>
          <w:szCs w:val="28"/>
          <w:rtl/>
        </w:rPr>
        <w:t xml:space="preserve"> ويعلّق السيد الخوئي</w:t>
      </w:r>
      <w:r w:rsidRPr="00282AC9">
        <w:rPr>
          <w:rFonts w:ascii="Arial" w:hAnsi="Arial" w:cs="Mosawi" w:hint="cs"/>
          <w:rtl/>
        </w:rPr>
        <w:t>&amp;</w:t>
      </w:r>
      <w:r w:rsidRPr="00282AC9">
        <w:rPr>
          <w:rFonts w:ascii="Arial" w:hAnsi="Arial" w:cs="DanaFajr"/>
          <w:sz w:val="28"/>
          <w:szCs w:val="28"/>
          <w:rtl/>
        </w:rPr>
        <w:t xml:space="preserve"> على رواية</w:t>
      </w:r>
      <w:r w:rsidRPr="00282AC9">
        <w:rPr>
          <w:rFonts w:ascii="Arial" w:hAnsi="Arial" w:cs="DanaFajr" w:hint="cs"/>
          <w:sz w:val="28"/>
          <w:szCs w:val="28"/>
          <w:rtl/>
        </w:rPr>
        <w:t>ٍ</w:t>
      </w:r>
      <w:r w:rsidRPr="00282AC9">
        <w:rPr>
          <w:rFonts w:ascii="Arial" w:hAnsi="Arial" w:cs="DanaFajr"/>
          <w:sz w:val="28"/>
          <w:szCs w:val="28"/>
          <w:rtl/>
        </w:rPr>
        <w:t xml:space="preserve"> معي</w:t>
      </w:r>
      <w:r w:rsidRPr="00282AC9">
        <w:rPr>
          <w:rFonts w:ascii="Arial" w:hAnsi="Arial" w:cs="DanaFajr" w:hint="cs"/>
          <w:sz w:val="28"/>
          <w:szCs w:val="28"/>
          <w:rtl/>
        </w:rPr>
        <w:t>َّ</w:t>
      </w:r>
      <w:r w:rsidRPr="00282AC9">
        <w:rPr>
          <w:rFonts w:ascii="Arial" w:hAnsi="Arial" w:cs="DanaFajr"/>
          <w:sz w:val="28"/>
          <w:szCs w:val="28"/>
          <w:rtl/>
        </w:rPr>
        <w:t>نة</w:t>
      </w:r>
      <w:r w:rsidRPr="00282AC9">
        <w:rPr>
          <w:rFonts w:ascii="Arial" w:hAnsi="Arial" w:cs="DanaFajr" w:hint="cs"/>
          <w:sz w:val="28"/>
          <w:szCs w:val="28"/>
          <w:rtl/>
        </w:rPr>
        <w:t xml:space="preserve"> بالقول</w:t>
      </w:r>
      <w:r w:rsidRPr="00282AC9">
        <w:rPr>
          <w:rFonts w:ascii="Arial" w:hAnsi="Arial" w:cs="DanaFajr"/>
          <w:sz w:val="28"/>
          <w:szCs w:val="28"/>
          <w:rtl/>
        </w:rPr>
        <w:t xml:space="preserve">: </w:t>
      </w:r>
      <w:r w:rsidRPr="00282AC9">
        <w:rPr>
          <w:rFonts w:hint="eastAsia"/>
          <w:sz w:val="22"/>
          <w:szCs w:val="22"/>
          <w:rtl/>
        </w:rPr>
        <w:t>«</w:t>
      </w:r>
      <w:r w:rsidRPr="00282AC9">
        <w:rPr>
          <w:rFonts w:ascii="Arial" w:hAnsi="Arial" w:cs="DanaFajr" w:hint="cs"/>
          <w:sz w:val="28"/>
          <w:szCs w:val="28"/>
          <w:rtl/>
        </w:rPr>
        <w:t>إ</w:t>
      </w:r>
      <w:r w:rsidRPr="00282AC9">
        <w:rPr>
          <w:rFonts w:ascii="Arial" w:hAnsi="Arial" w:cs="DanaFajr"/>
          <w:sz w:val="28"/>
          <w:szCs w:val="28"/>
          <w:rtl/>
        </w:rPr>
        <w:t>نها ناظرة</w:t>
      </w:r>
      <w:r w:rsidRPr="00282AC9">
        <w:rPr>
          <w:rFonts w:ascii="Arial" w:hAnsi="Arial" w:cs="DanaFajr" w:hint="cs"/>
          <w:sz w:val="28"/>
          <w:szCs w:val="28"/>
          <w:rtl/>
        </w:rPr>
        <w:t>ٌ</w:t>
      </w:r>
      <w:r w:rsidRPr="00282AC9">
        <w:rPr>
          <w:rFonts w:ascii="Arial" w:hAnsi="Arial" w:cs="DanaFajr"/>
          <w:sz w:val="28"/>
          <w:szCs w:val="28"/>
          <w:rtl/>
        </w:rPr>
        <w:t xml:space="preserve"> إلى الجهة الأخلاقية، فلا تكون مدركا</w:t>
      </w:r>
      <w:r w:rsidRPr="00282AC9">
        <w:rPr>
          <w:rFonts w:ascii="Arial" w:hAnsi="Arial" w:cs="DanaFajr" w:hint="cs"/>
          <w:sz w:val="28"/>
          <w:szCs w:val="28"/>
          <w:rtl/>
        </w:rPr>
        <w:t>ً</w:t>
      </w:r>
      <w:r w:rsidRPr="00282AC9">
        <w:rPr>
          <w:rFonts w:ascii="Arial" w:hAnsi="Arial" w:cs="DanaFajr"/>
          <w:sz w:val="28"/>
          <w:szCs w:val="28"/>
          <w:rtl/>
        </w:rPr>
        <w:t xml:space="preserve"> في الأحكام الفرعي</w:t>
      </w:r>
      <w:r w:rsidRPr="00282AC9">
        <w:rPr>
          <w:rFonts w:ascii="Arial" w:hAnsi="Arial" w:cs="DanaFajr" w:hint="cs"/>
          <w:sz w:val="28"/>
          <w:szCs w:val="28"/>
          <w:rtl/>
        </w:rPr>
        <w:t>ّ</w:t>
      </w:r>
      <w:r w:rsidRPr="00282AC9">
        <w:rPr>
          <w:rFonts w:ascii="Arial" w:hAnsi="Arial" w:cs="DanaFajr"/>
          <w:sz w:val="28"/>
          <w:szCs w:val="28"/>
          <w:rtl/>
        </w:rPr>
        <w:t>ة</w:t>
      </w:r>
      <w:r w:rsidRPr="00282AC9">
        <w:rPr>
          <w:rFonts w:hint="eastAsia"/>
          <w:sz w:val="22"/>
          <w:szCs w:val="22"/>
          <w:rtl/>
        </w:rPr>
        <w:t>»</w:t>
      </w:r>
      <w:r w:rsidRPr="00282AC9">
        <w:rPr>
          <w:rFonts w:ascii="Arial" w:hAnsi="Arial" w:cs="DanaFajr"/>
          <w:sz w:val="28"/>
          <w:szCs w:val="28"/>
          <w:rtl/>
        </w:rPr>
        <w:t xml:space="preserve">. </w:t>
      </w:r>
      <w:r w:rsidRPr="00282AC9">
        <w:rPr>
          <w:rFonts w:ascii="Arial" w:hAnsi="Arial" w:cs="DanaFajr" w:hint="cs"/>
          <w:sz w:val="28"/>
          <w:szCs w:val="28"/>
          <w:rtl/>
        </w:rPr>
        <w:t>ا</w:t>
      </w:r>
      <w:r w:rsidRPr="00282AC9">
        <w:rPr>
          <w:rFonts w:ascii="Arial" w:hAnsi="Arial" w:cs="DanaFajr"/>
          <w:sz w:val="28"/>
          <w:szCs w:val="28"/>
          <w:rtl/>
        </w:rPr>
        <w:t>نظ</w:t>
      </w:r>
      <w:r w:rsidRPr="00282AC9">
        <w:rPr>
          <w:rFonts w:ascii="Arial" w:hAnsi="Arial" w:cs="DanaFajr" w:hint="cs"/>
          <w:sz w:val="28"/>
          <w:szCs w:val="28"/>
          <w:rtl/>
        </w:rPr>
        <w:t>ُ</w:t>
      </w:r>
      <w:r w:rsidRPr="00282AC9">
        <w:rPr>
          <w:rFonts w:ascii="Arial" w:hAnsi="Arial" w:cs="DanaFajr"/>
          <w:sz w:val="28"/>
          <w:szCs w:val="28"/>
          <w:rtl/>
        </w:rPr>
        <w:t>ر</w:t>
      </w:r>
      <w:r w:rsidRPr="00282AC9">
        <w:rPr>
          <w:rFonts w:ascii="Arial" w:hAnsi="Arial" w:cs="DanaFajr" w:hint="cs"/>
          <w:sz w:val="28"/>
          <w:szCs w:val="28"/>
          <w:rtl/>
        </w:rPr>
        <w:t>ْ</w:t>
      </w:r>
      <w:r w:rsidRPr="00282AC9">
        <w:rPr>
          <w:rFonts w:ascii="Arial" w:hAnsi="Arial" w:cs="DanaFajr"/>
          <w:sz w:val="28"/>
          <w:szCs w:val="28"/>
          <w:rtl/>
        </w:rPr>
        <w:t>: مصباح الفقاهة 256</w:t>
      </w:r>
      <w:r w:rsidRPr="00282AC9">
        <w:rPr>
          <w:rFonts w:ascii="Arial" w:hAnsi="Arial" w:cs="DanaFajr" w:hint="cs"/>
          <w:sz w:val="28"/>
          <w:szCs w:val="28"/>
          <w:rtl/>
        </w:rPr>
        <w:t>.</w:t>
      </w:r>
      <w:r w:rsidRPr="00282AC9">
        <w:rPr>
          <w:rFonts w:ascii="Arial" w:hAnsi="Arial" w:cs="DanaFajr"/>
          <w:sz w:val="28"/>
          <w:szCs w:val="28"/>
          <w:rtl/>
        </w:rPr>
        <w:t xml:space="preserve"> مثال</w:t>
      </w:r>
      <w:r w:rsidRPr="00282AC9">
        <w:rPr>
          <w:rFonts w:ascii="Arial" w:hAnsi="Arial" w:cs="DanaFajr" w:hint="cs"/>
          <w:sz w:val="28"/>
          <w:szCs w:val="28"/>
          <w:rtl/>
        </w:rPr>
        <w:t>ٌ</w:t>
      </w:r>
      <w:r w:rsidRPr="00282AC9">
        <w:rPr>
          <w:rFonts w:ascii="Arial" w:hAnsi="Arial" w:cs="DanaFajr"/>
          <w:sz w:val="28"/>
          <w:szCs w:val="28"/>
          <w:rtl/>
        </w:rPr>
        <w:t xml:space="preserve"> آخر: يذكر السيد الخوئي دليلاً على حرمة الغ</w:t>
      </w:r>
      <w:r w:rsidRPr="00282AC9">
        <w:rPr>
          <w:rFonts w:ascii="Arial" w:hAnsi="Arial" w:cs="DanaFajr" w:hint="cs"/>
          <w:sz w:val="28"/>
          <w:szCs w:val="28"/>
          <w:rtl/>
        </w:rPr>
        <w:t>ِ</w:t>
      </w:r>
      <w:r w:rsidRPr="00282AC9">
        <w:rPr>
          <w:rFonts w:ascii="Arial" w:hAnsi="Arial" w:cs="DanaFajr"/>
          <w:sz w:val="28"/>
          <w:szCs w:val="28"/>
          <w:rtl/>
        </w:rPr>
        <w:t xml:space="preserve">يبة، وهو: </w:t>
      </w:r>
      <w:r w:rsidRPr="00282AC9">
        <w:rPr>
          <w:rFonts w:hint="eastAsia"/>
          <w:sz w:val="22"/>
          <w:szCs w:val="22"/>
          <w:rtl/>
        </w:rPr>
        <w:t>«</w:t>
      </w:r>
      <w:r w:rsidRPr="00282AC9">
        <w:rPr>
          <w:rFonts w:ascii="Arial" w:hAnsi="Arial" w:cs="DanaFajr"/>
          <w:sz w:val="28"/>
          <w:szCs w:val="28"/>
          <w:rtl/>
        </w:rPr>
        <w:t>ما دلّ على أن م</w:t>
      </w:r>
      <w:r w:rsidRPr="00282AC9">
        <w:rPr>
          <w:rFonts w:ascii="Arial" w:hAnsi="Arial" w:cs="DanaFajr" w:hint="cs"/>
          <w:sz w:val="28"/>
          <w:szCs w:val="28"/>
          <w:rtl/>
        </w:rPr>
        <w:t>َ</w:t>
      </w:r>
      <w:r w:rsidRPr="00282AC9">
        <w:rPr>
          <w:rFonts w:ascii="Arial" w:hAnsi="Arial" w:cs="DanaFajr"/>
          <w:sz w:val="28"/>
          <w:szCs w:val="28"/>
          <w:rtl/>
        </w:rPr>
        <w:t>ن</w:t>
      </w:r>
      <w:r w:rsidRPr="00282AC9">
        <w:rPr>
          <w:rFonts w:ascii="Arial" w:hAnsi="Arial" w:cs="DanaFajr" w:hint="cs"/>
          <w:sz w:val="28"/>
          <w:szCs w:val="28"/>
          <w:rtl/>
        </w:rPr>
        <w:t>ْ</w:t>
      </w:r>
      <w:r w:rsidRPr="00282AC9">
        <w:rPr>
          <w:rFonts w:ascii="Arial" w:hAnsi="Arial" w:cs="DanaFajr"/>
          <w:sz w:val="28"/>
          <w:szCs w:val="28"/>
          <w:rtl/>
        </w:rPr>
        <w:t xml:space="preserve"> اغتاب مسلما</w:t>
      </w:r>
      <w:r w:rsidRPr="00282AC9">
        <w:rPr>
          <w:rFonts w:ascii="Arial" w:hAnsi="Arial" w:cs="DanaFajr" w:hint="cs"/>
          <w:sz w:val="28"/>
          <w:szCs w:val="28"/>
          <w:rtl/>
        </w:rPr>
        <w:t>ً</w:t>
      </w:r>
      <w:r w:rsidRPr="00282AC9">
        <w:rPr>
          <w:rFonts w:ascii="Arial" w:hAnsi="Arial" w:cs="DanaFajr"/>
          <w:sz w:val="28"/>
          <w:szCs w:val="28"/>
          <w:rtl/>
        </w:rPr>
        <w:t xml:space="preserve"> أو مسلمة</w:t>
      </w:r>
      <w:r w:rsidRPr="00282AC9">
        <w:rPr>
          <w:rFonts w:ascii="Arial" w:hAnsi="Arial" w:cs="DanaFajr" w:hint="cs"/>
          <w:sz w:val="28"/>
          <w:szCs w:val="28"/>
          <w:rtl/>
        </w:rPr>
        <w:t>ً</w:t>
      </w:r>
      <w:r w:rsidRPr="00282AC9">
        <w:rPr>
          <w:rFonts w:ascii="Arial" w:hAnsi="Arial" w:cs="DanaFajr"/>
          <w:sz w:val="28"/>
          <w:szCs w:val="28"/>
          <w:rtl/>
        </w:rPr>
        <w:t xml:space="preserve"> لم يقبل الله صلاته ولا صيامه أربعين يوما</w:t>
      </w:r>
      <w:r w:rsidRPr="00282AC9">
        <w:rPr>
          <w:rFonts w:ascii="Arial" w:hAnsi="Arial" w:cs="DanaFajr" w:hint="cs"/>
          <w:sz w:val="28"/>
          <w:szCs w:val="28"/>
          <w:rtl/>
        </w:rPr>
        <w:t>ً</w:t>
      </w:r>
      <w:r w:rsidRPr="00282AC9">
        <w:rPr>
          <w:rFonts w:ascii="Arial" w:hAnsi="Arial" w:cs="DanaFajr"/>
          <w:sz w:val="28"/>
          <w:szCs w:val="28"/>
          <w:rtl/>
        </w:rPr>
        <w:t xml:space="preserve"> وليلة</w:t>
      </w:r>
      <w:r w:rsidRPr="00282AC9">
        <w:rPr>
          <w:rFonts w:ascii="Arial" w:hAnsi="Arial" w:cs="DanaFajr" w:hint="cs"/>
          <w:sz w:val="28"/>
          <w:szCs w:val="28"/>
          <w:rtl/>
        </w:rPr>
        <w:t>،</w:t>
      </w:r>
      <w:r w:rsidRPr="00282AC9">
        <w:rPr>
          <w:rFonts w:ascii="Arial" w:hAnsi="Arial" w:cs="DanaFajr"/>
          <w:sz w:val="28"/>
          <w:szCs w:val="28"/>
          <w:rtl/>
        </w:rPr>
        <w:t xml:space="preserve"> إلا</w:t>
      </w:r>
      <w:r w:rsidRPr="00282AC9">
        <w:rPr>
          <w:rFonts w:ascii="Arial" w:hAnsi="Arial" w:cs="DanaFajr" w:hint="cs"/>
          <w:sz w:val="28"/>
          <w:szCs w:val="28"/>
          <w:rtl/>
        </w:rPr>
        <w:t>ّ</w:t>
      </w:r>
      <w:r w:rsidRPr="00282AC9">
        <w:rPr>
          <w:rFonts w:ascii="Arial" w:hAnsi="Arial" w:cs="DanaFajr"/>
          <w:sz w:val="28"/>
          <w:szCs w:val="28"/>
          <w:rtl/>
        </w:rPr>
        <w:t xml:space="preserve"> أن يغفر له صاحبه</w:t>
      </w:r>
      <w:r w:rsidRPr="00282AC9">
        <w:rPr>
          <w:rFonts w:hint="eastAsia"/>
          <w:sz w:val="22"/>
          <w:szCs w:val="22"/>
          <w:rtl/>
        </w:rPr>
        <w:t>»</w:t>
      </w:r>
      <w:r w:rsidRPr="00282AC9">
        <w:rPr>
          <w:rFonts w:ascii="Arial" w:hAnsi="Arial" w:cs="DanaFajr"/>
          <w:sz w:val="28"/>
          <w:szCs w:val="28"/>
          <w:rtl/>
        </w:rPr>
        <w:t>، ثمّ يعلّ</w:t>
      </w:r>
      <w:r w:rsidRPr="00282AC9">
        <w:rPr>
          <w:rFonts w:ascii="Arial" w:hAnsi="Arial" w:cs="DanaFajr" w:hint="cs"/>
          <w:sz w:val="28"/>
          <w:szCs w:val="28"/>
          <w:rtl/>
        </w:rPr>
        <w:t>ِ</w:t>
      </w:r>
      <w:r w:rsidRPr="00282AC9">
        <w:rPr>
          <w:rFonts w:ascii="Arial" w:hAnsi="Arial" w:cs="DanaFajr"/>
          <w:sz w:val="28"/>
          <w:szCs w:val="28"/>
          <w:rtl/>
        </w:rPr>
        <w:t xml:space="preserve">ق على الرواية قائلاً: </w:t>
      </w:r>
      <w:r w:rsidRPr="00282AC9">
        <w:rPr>
          <w:rFonts w:hint="eastAsia"/>
          <w:sz w:val="22"/>
          <w:szCs w:val="22"/>
          <w:rtl/>
        </w:rPr>
        <w:t>«</w:t>
      </w:r>
      <w:r w:rsidRPr="00282AC9">
        <w:rPr>
          <w:rFonts w:ascii="Arial" w:hAnsi="Arial" w:cs="DanaFajr"/>
          <w:sz w:val="28"/>
          <w:szCs w:val="28"/>
          <w:rtl/>
        </w:rPr>
        <w:t>وفيه</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b/>
          <w:bCs/>
          <w:sz w:val="28"/>
          <w:szCs w:val="28"/>
          <w:rtl/>
        </w:rPr>
        <w:t>أو</w:t>
      </w:r>
      <w:r w:rsidRPr="00282AC9">
        <w:rPr>
          <w:rFonts w:ascii="Arial" w:hAnsi="Arial" w:cs="DanaFajr" w:hint="cs"/>
          <w:b/>
          <w:bCs/>
          <w:sz w:val="28"/>
          <w:szCs w:val="28"/>
          <w:rtl/>
        </w:rPr>
        <w:t>ّ</w:t>
      </w:r>
      <w:r w:rsidRPr="00282AC9">
        <w:rPr>
          <w:rFonts w:ascii="Arial" w:hAnsi="Arial" w:cs="DanaFajr"/>
          <w:b/>
          <w:bCs/>
          <w:sz w:val="28"/>
          <w:szCs w:val="28"/>
          <w:rtl/>
        </w:rPr>
        <w:t>لاً</w:t>
      </w:r>
      <w:r w:rsidRPr="00282AC9">
        <w:rPr>
          <w:rFonts w:ascii="Arial" w:hAnsi="Arial" w:cs="DanaFajr"/>
          <w:sz w:val="28"/>
          <w:szCs w:val="28"/>
          <w:rtl/>
        </w:rPr>
        <w:t xml:space="preserve">: </w:t>
      </w:r>
      <w:r w:rsidRPr="00282AC9">
        <w:rPr>
          <w:rFonts w:ascii="Arial" w:hAnsi="Arial" w:cs="DanaFajr" w:hint="cs"/>
          <w:sz w:val="28"/>
          <w:szCs w:val="28"/>
          <w:rtl/>
        </w:rPr>
        <w:t>إ</w:t>
      </w:r>
      <w:r w:rsidRPr="00282AC9">
        <w:rPr>
          <w:rFonts w:ascii="Arial" w:hAnsi="Arial" w:cs="DanaFajr"/>
          <w:sz w:val="28"/>
          <w:szCs w:val="28"/>
          <w:rtl/>
        </w:rPr>
        <w:t>نه ضعيف السند</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b/>
          <w:bCs/>
          <w:sz w:val="28"/>
          <w:szCs w:val="28"/>
          <w:rtl/>
        </w:rPr>
        <w:t>وثانياً</w:t>
      </w:r>
      <w:r w:rsidRPr="00282AC9">
        <w:rPr>
          <w:rFonts w:ascii="Arial" w:hAnsi="Arial" w:cs="DanaFajr"/>
          <w:sz w:val="28"/>
          <w:szCs w:val="28"/>
          <w:rtl/>
        </w:rPr>
        <w:t xml:space="preserve">: </w:t>
      </w:r>
      <w:r w:rsidRPr="00282AC9">
        <w:rPr>
          <w:rFonts w:ascii="Arial" w:hAnsi="Arial" w:cs="DanaFajr" w:hint="cs"/>
          <w:sz w:val="28"/>
          <w:szCs w:val="28"/>
          <w:rtl/>
        </w:rPr>
        <w:t>إ</w:t>
      </w:r>
      <w:r w:rsidRPr="00282AC9">
        <w:rPr>
          <w:rFonts w:ascii="Arial" w:hAnsi="Arial" w:cs="DanaFajr"/>
          <w:sz w:val="28"/>
          <w:szCs w:val="28"/>
          <w:rtl/>
        </w:rPr>
        <w:t>نه لا ب</w:t>
      </w:r>
      <w:r w:rsidRPr="00282AC9">
        <w:rPr>
          <w:rFonts w:ascii="Arial" w:hAnsi="Arial" w:cs="DanaFajr" w:hint="cs"/>
          <w:sz w:val="28"/>
          <w:szCs w:val="28"/>
          <w:rtl/>
        </w:rPr>
        <w:t>ُ</w:t>
      </w:r>
      <w:r w:rsidRPr="00282AC9">
        <w:rPr>
          <w:rFonts w:ascii="Arial" w:hAnsi="Arial" w:cs="DanaFajr"/>
          <w:sz w:val="28"/>
          <w:szCs w:val="28"/>
          <w:rtl/>
        </w:rPr>
        <w:t>دّ</w:t>
      </w:r>
      <w:r w:rsidRPr="00282AC9">
        <w:rPr>
          <w:rFonts w:ascii="Arial" w:hAnsi="Arial" w:cs="DanaFajr" w:hint="cs"/>
          <w:sz w:val="28"/>
          <w:szCs w:val="28"/>
          <w:rtl/>
        </w:rPr>
        <w:t>َ</w:t>
      </w:r>
      <w:r w:rsidRPr="00282AC9">
        <w:rPr>
          <w:rFonts w:ascii="Arial" w:hAnsi="Arial" w:cs="DanaFajr"/>
          <w:sz w:val="28"/>
          <w:szCs w:val="28"/>
          <w:rtl/>
        </w:rPr>
        <w:t xml:space="preserve"> من حمل نظائر هذه الأخبار على الأحكام الأخلاقية</w:t>
      </w:r>
      <w:r w:rsidRPr="00282AC9">
        <w:rPr>
          <w:rFonts w:ascii="Arial" w:hAnsi="Arial" w:cs="DanaFajr" w:hint="cs"/>
          <w:sz w:val="28"/>
          <w:szCs w:val="28"/>
          <w:rtl/>
        </w:rPr>
        <w:t>؛</w:t>
      </w:r>
      <w:r w:rsidRPr="00282AC9">
        <w:rPr>
          <w:rFonts w:ascii="Arial" w:hAnsi="Arial" w:cs="DanaFajr"/>
          <w:sz w:val="28"/>
          <w:szCs w:val="28"/>
          <w:rtl/>
        </w:rPr>
        <w:t xml:space="preserve"> فإنه لم يتفو</w:t>
      </w:r>
      <w:r w:rsidRPr="00282AC9">
        <w:rPr>
          <w:rFonts w:ascii="Arial" w:hAnsi="Arial" w:cs="DanaFajr" w:hint="cs"/>
          <w:sz w:val="28"/>
          <w:szCs w:val="28"/>
          <w:rtl/>
        </w:rPr>
        <w:t>َّ</w:t>
      </w:r>
      <w:r w:rsidRPr="00282AC9">
        <w:rPr>
          <w:rFonts w:ascii="Arial" w:hAnsi="Arial" w:cs="DanaFajr"/>
          <w:sz w:val="28"/>
          <w:szCs w:val="28"/>
          <w:rtl/>
        </w:rPr>
        <w:t>ه أحد</w:t>
      </w:r>
      <w:r w:rsidRPr="00282AC9">
        <w:rPr>
          <w:rFonts w:ascii="Arial" w:hAnsi="Arial" w:cs="DanaFajr" w:hint="cs"/>
          <w:sz w:val="28"/>
          <w:szCs w:val="28"/>
          <w:rtl/>
        </w:rPr>
        <w:t>ٌ</w:t>
      </w:r>
      <w:r w:rsidRPr="00282AC9">
        <w:rPr>
          <w:rFonts w:ascii="Arial" w:hAnsi="Arial" w:cs="DanaFajr"/>
          <w:sz w:val="28"/>
          <w:szCs w:val="28"/>
          <w:rtl/>
        </w:rPr>
        <w:t xml:space="preserve"> ببطلان عبادة المغتاب ـ بالكسر ـ</w:t>
      </w:r>
      <w:r w:rsidRPr="00282AC9">
        <w:rPr>
          <w:rFonts w:ascii="Arial" w:hAnsi="Arial" w:cs="DanaFajr" w:hint="cs"/>
          <w:sz w:val="28"/>
          <w:szCs w:val="28"/>
          <w:rtl/>
        </w:rPr>
        <w:t>،</w:t>
      </w:r>
      <w:r w:rsidRPr="00282AC9">
        <w:rPr>
          <w:rFonts w:ascii="Arial" w:hAnsi="Arial" w:cs="DanaFajr"/>
          <w:sz w:val="28"/>
          <w:szCs w:val="28"/>
          <w:rtl/>
        </w:rPr>
        <w:t xml:space="preserve"> ووجوب القضاء عليهم بعد التوبة</w:t>
      </w:r>
      <w:r w:rsidRPr="00282AC9">
        <w:rPr>
          <w:rFonts w:hint="eastAsia"/>
          <w:sz w:val="22"/>
          <w:szCs w:val="22"/>
          <w:rtl/>
        </w:rPr>
        <w:t>»</w:t>
      </w:r>
      <w:r w:rsidRPr="00282AC9">
        <w:rPr>
          <w:rFonts w:ascii="Arial" w:hAnsi="Arial" w:cs="DanaFajr" w:hint="cs"/>
          <w:sz w:val="28"/>
          <w:szCs w:val="28"/>
          <w:rtl/>
        </w:rPr>
        <w:t xml:space="preserve">. </w:t>
      </w:r>
      <w:r w:rsidRPr="00282AC9">
        <w:rPr>
          <w:rFonts w:ascii="Arial" w:hAnsi="Arial" w:cs="DanaFajr"/>
          <w:sz w:val="28"/>
          <w:szCs w:val="28"/>
          <w:rtl/>
        </w:rPr>
        <w:t>مصباح الفقاهة 1: 518</w:t>
      </w:r>
      <w:r w:rsidRPr="00282AC9">
        <w:rPr>
          <w:rFonts w:ascii="Arial" w:hAnsi="Arial" w:cs="DanaFajr" w:hint="cs"/>
          <w:sz w:val="28"/>
          <w:szCs w:val="28"/>
          <w:rtl/>
        </w:rPr>
        <w:t>؛</w:t>
      </w:r>
      <w:r w:rsidRPr="00282AC9">
        <w:rPr>
          <w:rFonts w:ascii="Arial" w:hAnsi="Arial" w:cs="DanaFajr"/>
          <w:sz w:val="28"/>
          <w:szCs w:val="28"/>
          <w:rtl/>
        </w:rPr>
        <w:t xml:space="preserve"> و</w:t>
      </w:r>
      <w:r w:rsidRPr="00282AC9">
        <w:rPr>
          <w:rFonts w:ascii="Arial" w:hAnsi="Arial" w:cs="DanaFajr" w:hint="cs"/>
          <w:sz w:val="28"/>
          <w:szCs w:val="28"/>
          <w:rtl/>
        </w:rPr>
        <w:t>ا</w:t>
      </w:r>
      <w:r w:rsidRPr="00282AC9">
        <w:rPr>
          <w:rFonts w:ascii="Arial" w:hAnsi="Arial" w:cs="DanaFajr"/>
          <w:sz w:val="28"/>
          <w:szCs w:val="28"/>
          <w:rtl/>
        </w:rPr>
        <w:t>نظ</w:t>
      </w:r>
      <w:r w:rsidRPr="00282AC9">
        <w:rPr>
          <w:rFonts w:ascii="Arial" w:hAnsi="Arial" w:cs="DanaFajr" w:hint="cs"/>
          <w:sz w:val="28"/>
          <w:szCs w:val="28"/>
          <w:rtl/>
        </w:rPr>
        <w:t>ُ</w:t>
      </w:r>
      <w:r w:rsidRPr="00282AC9">
        <w:rPr>
          <w:rFonts w:ascii="Arial" w:hAnsi="Arial" w:cs="DanaFajr"/>
          <w:sz w:val="28"/>
          <w:szCs w:val="28"/>
          <w:rtl/>
        </w:rPr>
        <w:t>ر</w:t>
      </w:r>
      <w:r w:rsidRPr="00282AC9">
        <w:rPr>
          <w:rFonts w:ascii="Arial" w:hAnsi="Arial" w:cs="DanaFajr" w:hint="cs"/>
          <w:sz w:val="28"/>
          <w:szCs w:val="28"/>
          <w:rtl/>
        </w:rPr>
        <w:t>ْ</w:t>
      </w:r>
      <w:r w:rsidRPr="00282AC9">
        <w:rPr>
          <w:rFonts w:ascii="Arial" w:hAnsi="Arial" w:cs="DanaFajr"/>
          <w:sz w:val="28"/>
          <w:szCs w:val="28"/>
          <w:rtl/>
        </w:rPr>
        <w:t>: كتاب الحج</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w:t>
      </w:r>
      <w:r w:rsidRPr="00282AC9">
        <w:rPr>
          <w:rFonts w:ascii="Arial" w:hAnsi="Arial" w:cs="DanaFajr"/>
          <w:sz w:val="28"/>
          <w:szCs w:val="28"/>
          <w:rtl/>
        </w:rPr>
        <w:t xml:space="preserve">تقريرات </w:t>
      </w:r>
      <w:r w:rsidRPr="00282AC9">
        <w:rPr>
          <w:rFonts w:ascii="Arial" w:hAnsi="Arial" w:cs="DanaFajr" w:hint="cs"/>
          <w:sz w:val="28"/>
          <w:szCs w:val="28"/>
          <w:rtl/>
        </w:rPr>
        <w:t xml:space="preserve">درس </w:t>
      </w:r>
      <w:r w:rsidRPr="00282AC9">
        <w:rPr>
          <w:rFonts w:ascii="Arial" w:hAnsi="Arial" w:cs="DanaFajr"/>
          <w:sz w:val="28"/>
          <w:szCs w:val="28"/>
          <w:rtl/>
        </w:rPr>
        <w:t>السيد الخوئي</w:t>
      </w:r>
      <w:r w:rsidRPr="00282AC9">
        <w:rPr>
          <w:rFonts w:ascii="Arial" w:hAnsi="Arial" w:cs="DanaFajr" w:hint="cs"/>
          <w:sz w:val="28"/>
          <w:szCs w:val="28"/>
          <w:rtl/>
        </w:rPr>
        <w:t>)</w:t>
      </w:r>
      <w:r w:rsidRPr="00282AC9">
        <w:rPr>
          <w:rFonts w:ascii="Arial" w:hAnsi="Arial" w:cs="DanaFajr"/>
          <w:sz w:val="28"/>
          <w:szCs w:val="28"/>
          <w:rtl/>
        </w:rPr>
        <w:t xml:space="preserve"> 1: 375.</w:t>
      </w:r>
    </w:p>
  </w:endnote>
  <w:endnote w:id="205">
    <w:p w:rsidR="00C14EDE" w:rsidRPr="00282AC9" w:rsidRDefault="00C14EDE" w:rsidP="0037059F">
      <w:pPr>
        <w:pStyle w:val="af7"/>
        <w:spacing w:line="296"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cs="DanaFajr" w:hint="cs"/>
          <w:sz w:val="28"/>
          <w:szCs w:val="28"/>
          <w:rtl/>
        </w:rPr>
        <w:t xml:space="preserve"> الطبرسي، مكارم الأخلاق: 8.</w:t>
      </w:r>
    </w:p>
  </w:endnote>
  <w:endnote w:id="206">
    <w:p w:rsidR="00C14EDE" w:rsidRPr="00282AC9" w:rsidRDefault="00C14EDE" w:rsidP="0037059F">
      <w:pPr>
        <w:spacing w:line="296" w:lineRule="exact"/>
        <w:ind w:firstLine="0"/>
        <w:rPr>
          <w:rFonts w:ascii="Arial" w:hAnsi="Arial" w:cs="DanaFajr"/>
          <w:szCs w:val="28"/>
          <w:rtl/>
        </w:rPr>
      </w:pPr>
      <w:r w:rsidRPr="00282AC9">
        <w:rPr>
          <w:rFonts w:cs="DanaFajr"/>
          <w:szCs w:val="28"/>
          <w:rtl/>
        </w:rPr>
        <w:t>(</w:t>
      </w:r>
      <w:r w:rsidRPr="00282AC9">
        <w:rPr>
          <w:rFonts w:cs="DanaFajr"/>
          <w:szCs w:val="28"/>
        </w:rPr>
        <w:endnoteRef/>
      </w:r>
      <w:r w:rsidRPr="00282AC9">
        <w:rPr>
          <w:rFonts w:cs="DanaFajr"/>
          <w:szCs w:val="28"/>
          <w:rtl/>
        </w:rPr>
        <w:t>)</w:t>
      </w:r>
      <w:r w:rsidRPr="00282AC9">
        <w:rPr>
          <w:rFonts w:ascii="Arial" w:hAnsi="Arial" w:cs="DanaFajr"/>
          <w:szCs w:val="28"/>
          <w:rtl/>
        </w:rPr>
        <w:t xml:space="preserve"> من قبيل</w:t>
      </w:r>
      <w:r w:rsidRPr="00282AC9">
        <w:rPr>
          <w:rFonts w:ascii="Arial" w:hAnsi="Arial" w:cs="DanaFajr" w:hint="cs"/>
          <w:szCs w:val="28"/>
          <w:rtl/>
        </w:rPr>
        <w:t>:</w:t>
      </w:r>
      <w:r w:rsidRPr="00282AC9">
        <w:rPr>
          <w:rFonts w:ascii="Arial" w:hAnsi="Arial" w:cs="DanaFajr"/>
          <w:szCs w:val="28"/>
          <w:rtl/>
        </w:rPr>
        <w:t xml:space="preserve"> فتوى </w:t>
      </w:r>
      <w:r w:rsidRPr="00282AC9">
        <w:rPr>
          <w:rFonts w:ascii="Arial" w:hAnsi="Arial" w:cs="DanaFajr" w:hint="cs"/>
          <w:szCs w:val="28"/>
          <w:rtl/>
        </w:rPr>
        <w:t>ال</w:t>
      </w:r>
      <w:r w:rsidRPr="00282AC9">
        <w:rPr>
          <w:rFonts w:ascii="Arial" w:hAnsi="Arial" w:cs="DanaFajr"/>
          <w:szCs w:val="28"/>
          <w:rtl/>
        </w:rPr>
        <w:t xml:space="preserve">رضاع </w:t>
      </w:r>
      <w:r w:rsidRPr="00282AC9">
        <w:rPr>
          <w:rFonts w:ascii="Arial" w:hAnsi="Arial" w:cs="DanaFajr" w:hint="cs"/>
          <w:szCs w:val="28"/>
          <w:rtl/>
        </w:rPr>
        <w:t xml:space="preserve">من </w:t>
      </w:r>
      <w:r w:rsidRPr="00282AC9">
        <w:rPr>
          <w:rFonts w:ascii="Arial" w:hAnsi="Arial" w:cs="DanaFajr"/>
          <w:szCs w:val="28"/>
          <w:rtl/>
        </w:rPr>
        <w:t>الكبيرة</w:t>
      </w:r>
      <w:r w:rsidRPr="00282AC9">
        <w:rPr>
          <w:rFonts w:ascii="Arial" w:hAnsi="Arial" w:cs="DanaFajr" w:hint="cs"/>
          <w:szCs w:val="28"/>
          <w:rtl/>
        </w:rPr>
        <w:t>.</w:t>
      </w:r>
      <w:r w:rsidRPr="00282AC9">
        <w:rPr>
          <w:rFonts w:ascii="Arial" w:hAnsi="Arial" w:cs="DanaFajr"/>
          <w:szCs w:val="28"/>
          <w:rtl/>
        </w:rPr>
        <w:t xml:space="preserve"> ولا يبتعد عن ذلك الفتوى التي تسمح بالتمت</w:t>
      </w:r>
      <w:r w:rsidRPr="00282AC9">
        <w:rPr>
          <w:rFonts w:ascii="Arial" w:hAnsi="Arial" w:cs="DanaFajr" w:hint="cs"/>
          <w:szCs w:val="28"/>
          <w:rtl/>
        </w:rPr>
        <w:t>ُّ</w:t>
      </w:r>
      <w:r w:rsidRPr="00282AC9">
        <w:rPr>
          <w:rFonts w:ascii="Arial" w:hAnsi="Arial" w:cs="DanaFajr"/>
          <w:szCs w:val="28"/>
          <w:rtl/>
        </w:rPr>
        <w:t>ع</w:t>
      </w:r>
      <w:r w:rsidRPr="00282AC9">
        <w:rPr>
          <w:rFonts w:ascii="Arial" w:hAnsi="Arial" w:cs="DanaFajr" w:hint="cs"/>
          <w:szCs w:val="28"/>
          <w:rtl/>
        </w:rPr>
        <w:t>،</w:t>
      </w:r>
      <w:r w:rsidRPr="00282AC9">
        <w:rPr>
          <w:rFonts w:ascii="Arial" w:hAnsi="Arial" w:cs="DanaFajr"/>
          <w:szCs w:val="28"/>
          <w:rtl/>
        </w:rPr>
        <w:t xml:space="preserve"> ولو في حدود</w:t>
      </w:r>
      <w:r w:rsidRPr="00282AC9">
        <w:rPr>
          <w:rFonts w:ascii="Arial" w:hAnsi="Arial" w:cs="DanaFajr" w:hint="cs"/>
          <w:szCs w:val="28"/>
          <w:rtl/>
        </w:rPr>
        <w:t>ٍ</w:t>
      </w:r>
      <w:r w:rsidRPr="00282AC9">
        <w:rPr>
          <w:rFonts w:ascii="Arial" w:hAnsi="Arial" w:cs="DanaFajr"/>
          <w:szCs w:val="28"/>
          <w:rtl/>
        </w:rPr>
        <w:t xml:space="preserve"> معي</w:t>
      </w:r>
      <w:r w:rsidRPr="00282AC9">
        <w:rPr>
          <w:rFonts w:ascii="Arial" w:hAnsi="Arial" w:cs="DanaFajr" w:hint="cs"/>
          <w:szCs w:val="28"/>
          <w:rtl/>
        </w:rPr>
        <w:t>َّ</w:t>
      </w:r>
      <w:r w:rsidRPr="00282AC9">
        <w:rPr>
          <w:rFonts w:ascii="Arial" w:hAnsi="Arial" w:cs="DanaFajr"/>
          <w:szCs w:val="28"/>
          <w:rtl/>
        </w:rPr>
        <w:t>نة</w:t>
      </w:r>
      <w:r w:rsidRPr="00282AC9">
        <w:rPr>
          <w:rFonts w:ascii="Arial" w:hAnsi="Arial" w:cs="DanaFajr" w:hint="cs"/>
          <w:szCs w:val="28"/>
          <w:rtl/>
        </w:rPr>
        <w:t>،</w:t>
      </w:r>
      <w:r w:rsidRPr="00282AC9">
        <w:rPr>
          <w:rFonts w:ascii="Arial" w:hAnsi="Arial" w:cs="DanaFajr"/>
          <w:szCs w:val="28"/>
          <w:rtl/>
        </w:rPr>
        <w:t xml:space="preserve"> بالزوجة الرضيعة!</w:t>
      </w:r>
    </w:p>
  </w:endnote>
  <w:endnote w:id="207">
    <w:p w:rsidR="00C14EDE" w:rsidRPr="00282AC9" w:rsidRDefault="00C14EDE" w:rsidP="0037059F">
      <w:pPr>
        <w:pStyle w:val="af7"/>
        <w:spacing w:line="296" w:lineRule="exact"/>
        <w:ind w:firstLine="0"/>
        <w:rPr>
          <w:rFonts w:ascii="Arial" w:hAnsi="Arial"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يقول السيد الخوئي</w:t>
      </w:r>
      <w:r w:rsidRPr="00282AC9">
        <w:rPr>
          <w:rFonts w:ascii="Arial" w:hAnsi="Arial" w:cs="Mosawi" w:hint="cs"/>
          <w:rtl/>
        </w:rPr>
        <w:t>&amp;</w:t>
      </w:r>
      <w:r w:rsidRPr="00282AC9">
        <w:rPr>
          <w:rFonts w:ascii="Arial" w:hAnsi="Arial" w:cs="DanaFajr" w:hint="cs"/>
          <w:sz w:val="28"/>
          <w:szCs w:val="28"/>
          <w:rtl/>
        </w:rPr>
        <w:t>،</w:t>
      </w:r>
      <w:r w:rsidRPr="00282AC9">
        <w:rPr>
          <w:rFonts w:ascii="Arial" w:hAnsi="Arial" w:cs="DanaFajr"/>
          <w:sz w:val="28"/>
          <w:szCs w:val="28"/>
          <w:rtl/>
        </w:rPr>
        <w:t xml:space="preserve"> تعليقاً على بعض الروايات: </w:t>
      </w:r>
      <w:r w:rsidRPr="00282AC9">
        <w:rPr>
          <w:rFonts w:hint="eastAsia"/>
          <w:sz w:val="22"/>
          <w:szCs w:val="22"/>
          <w:rtl/>
        </w:rPr>
        <w:t>«</w:t>
      </w:r>
      <w:r w:rsidRPr="00282AC9">
        <w:rPr>
          <w:rFonts w:ascii="Arial" w:hAnsi="Arial" w:cs="DanaFajr"/>
          <w:sz w:val="28"/>
          <w:szCs w:val="28"/>
          <w:rtl/>
        </w:rPr>
        <w:t>راجعة إلى الجهات الأخلاقية</w:t>
      </w:r>
      <w:r w:rsidRPr="00282AC9">
        <w:rPr>
          <w:rFonts w:ascii="Arial" w:hAnsi="Arial" w:cs="DanaFajr" w:hint="cs"/>
          <w:sz w:val="28"/>
          <w:szCs w:val="28"/>
          <w:rtl/>
        </w:rPr>
        <w:t>،</w:t>
      </w:r>
      <w:r w:rsidRPr="00282AC9">
        <w:rPr>
          <w:rFonts w:ascii="Arial" w:hAnsi="Arial" w:cs="DanaFajr"/>
          <w:sz w:val="28"/>
          <w:szCs w:val="28"/>
          <w:rtl/>
        </w:rPr>
        <w:t xml:space="preserve"> فتحمل على الاستحباب</w:t>
      </w:r>
      <w:r w:rsidRPr="00282AC9">
        <w:rPr>
          <w:rFonts w:hint="eastAsia"/>
          <w:sz w:val="22"/>
          <w:szCs w:val="22"/>
          <w:rtl/>
        </w:rPr>
        <w:t>»</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ا</w:t>
      </w:r>
      <w:r w:rsidRPr="00282AC9">
        <w:rPr>
          <w:rFonts w:ascii="Arial" w:hAnsi="Arial" w:cs="DanaFajr"/>
          <w:sz w:val="28"/>
          <w:szCs w:val="28"/>
          <w:rtl/>
        </w:rPr>
        <w:t>نظ</w:t>
      </w:r>
      <w:r w:rsidRPr="00282AC9">
        <w:rPr>
          <w:rFonts w:ascii="Arial" w:hAnsi="Arial" w:cs="DanaFajr" w:hint="cs"/>
          <w:sz w:val="28"/>
          <w:szCs w:val="28"/>
          <w:rtl/>
        </w:rPr>
        <w:t>ُ</w:t>
      </w:r>
      <w:r w:rsidRPr="00282AC9">
        <w:rPr>
          <w:rFonts w:ascii="Arial" w:hAnsi="Arial" w:cs="DanaFajr"/>
          <w:sz w:val="28"/>
          <w:szCs w:val="28"/>
          <w:rtl/>
        </w:rPr>
        <w:t>ر</w:t>
      </w:r>
      <w:r w:rsidRPr="00282AC9">
        <w:rPr>
          <w:rFonts w:ascii="Arial" w:hAnsi="Arial" w:cs="DanaFajr" w:hint="cs"/>
          <w:sz w:val="28"/>
          <w:szCs w:val="28"/>
          <w:rtl/>
        </w:rPr>
        <w:t>ْ</w:t>
      </w:r>
      <w:r w:rsidRPr="00282AC9">
        <w:rPr>
          <w:rFonts w:ascii="Arial" w:hAnsi="Arial" w:cs="DanaFajr"/>
          <w:sz w:val="28"/>
          <w:szCs w:val="28"/>
          <w:rtl/>
        </w:rPr>
        <w:t>: مصباح الفقاهة 1: 544</w:t>
      </w:r>
      <w:r w:rsidRPr="00282AC9">
        <w:rPr>
          <w:rFonts w:ascii="Arial" w:hAnsi="Arial" w:cs="DanaFajr" w:hint="cs"/>
          <w:sz w:val="28"/>
          <w:szCs w:val="28"/>
          <w:rtl/>
        </w:rPr>
        <w:t>؛</w:t>
      </w:r>
      <w:r w:rsidRPr="00282AC9">
        <w:rPr>
          <w:rFonts w:ascii="Arial" w:hAnsi="Arial" w:cs="DanaFajr"/>
          <w:sz w:val="28"/>
          <w:szCs w:val="28"/>
          <w:rtl/>
        </w:rPr>
        <w:t xml:space="preserve"> ويقول في مو</w:t>
      </w:r>
      <w:r w:rsidRPr="00282AC9">
        <w:rPr>
          <w:rFonts w:ascii="Arial" w:hAnsi="Arial" w:cs="DanaFajr" w:hint="cs"/>
          <w:sz w:val="28"/>
          <w:szCs w:val="28"/>
          <w:rtl/>
        </w:rPr>
        <w:t>ر</w:t>
      </w:r>
      <w:r w:rsidRPr="00282AC9">
        <w:rPr>
          <w:rFonts w:ascii="Arial" w:hAnsi="Arial" w:cs="DanaFajr"/>
          <w:sz w:val="28"/>
          <w:szCs w:val="28"/>
          <w:rtl/>
        </w:rPr>
        <w:t>د</w:t>
      </w:r>
      <w:r w:rsidRPr="00282AC9">
        <w:rPr>
          <w:rFonts w:ascii="Arial" w:hAnsi="Arial" w:cs="DanaFajr" w:hint="cs"/>
          <w:sz w:val="28"/>
          <w:szCs w:val="28"/>
          <w:rtl/>
        </w:rPr>
        <w:t>ٍ</w:t>
      </w:r>
      <w:r w:rsidRPr="00282AC9">
        <w:rPr>
          <w:rFonts w:ascii="Arial" w:hAnsi="Arial" w:cs="DanaFajr"/>
          <w:sz w:val="28"/>
          <w:szCs w:val="28"/>
          <w:rtl/>
        </w:rPr>
        <w:t xml:space="preserve"> آخر: إن جميع ما ورد في حقوق الإخوان محمول</w:t>
      </w:r>
      <w:r w:rsidRPr="00282AC9">
        <w:rPr>
          <w:rFonts w:ascii="Arial" w:hAnsi="Arial" w:cs="DanaFajr" w:hint="cs"/>
          <w:sz w:val="28"/>
          <w:szCs w:val="28"/>
          <w:rtl/>
        </w:rPr>
        <w:t>ٌ</w:t>
      </w:r>
      <w:r w:rsidRPr="00282AC9">
        <w:rPr>
          <w:rFonts w:ascii="Arial" w:hAnsi="Arial" w:cs="DanaFajr"/>
          <w:sz w:val="28"/>
          <w:szCs w:val="28"/>
          <w:rtl/>
        </w:rPr>
        <w:t xml:space="preserve"> على الجهات الأخلاقية، فيحمل على الاستحباب إلا</w:t>
      </w:r>
      <w:r w:rsidRPr="00282AC9">
        <w:rPr>
          <w:rFonts w:ascii="Arial" w:hAnsi="Arial" w:cs="DanaFajr" w:hint="cs"/>
          <w:sz w:val="28"/>
          <w:szCs w:val="28"/>
          <w:rtl/>
        </w:rPr>
        <w:t>ّ</w:t>
      </w:r>
      <w:r w:rsidRPr="00282AC9">
        <w:rPr>
          <w:rFonts w:ascii="Arial" w:hAnsi="Arial" w:cs="DanaFajr"/>
          <w:sz w:val="28"/>
          <w:szCs w:val="28"/>
          <w:rtl/>
        </w:rPr>
        <w:t xml:space="preserve"> ما ثبت وجوبه في الشريعة</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ا</w:t>
      </w:r>
      <w:r w:rsidRPr="00282AC9">
        <w:rPr>
          <w:rFonts w:ascii="Arial" w:hAnsi="Arial" w:cs="DanaFajr"/>
          <w:sz w:val="28"/>
          <w:szCs w:val="28"/>
          <w:rtl/>
        </w:rPr>
        <w:t>نظ</w:t>
      </w:r>
      <w:r w:rsidRPr="00282AC9">
        <w:rPr>
          <w:rFonts w:ascii="Arial" w:hAnsi="Arial" w:cs="DanaFajr" w:hint="cs"/>
          <w:sz w:val="28"/>
          <w:szCs w:val="28"/>
          <w:rtl/>
        </w:rPr>
        <w:t>ُ</w:t>
      </w:r>
      <w:r w:rsidRPr="00282AC9">
        <w:rPr>
          <w:rFonts w:ascii="Arial" w:hAnsi="Arial" w:cs="DanaFajr"/>
          <w:sz w:val="28"/>
          <w:szCs w:val="28"/>
          <w:rtl/>
        </w:rPr>
        <w:t>ر</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ascii="Arial" w:hAnsi="Arial" w:cs="DanaFajr" w:hint="cs"/>
          <w:sz w:val="28"/>
          <w:szCs w:val="28"/>
          <w:rtl/>
        </w:rPr>
        <w:t xml:space="preserve">المصدر نفسه </w:t>
      </w:r>
      <w:r w:rsidRPr="00282AC9">
        <w:rPr>
          <w:rFonts w:ascii="Arial" w:hAnsi="Arial" w:cs="DanaFajr"/>
          <w:sz w:val="28"/>
          <w:szCs w:val="28"/>
          <w:rtl/>
        </w:rPr>
        <w:t>1</w:t>
      </w:r>
      <w:r w:rsidRPr="00282AC9">
        <w:rPr>
          <w:rFonts w:ascii="Arial" w:hAnsi="Arial" w:cs="DanaFajr" w:hint="cs"/>
          <w:sz w:val="28"/>
          <w:szCs w:val="28"/>
          <w:rtl/>
        </w:rPr>
        <w:t xml:space="preserve">: </w:t>
      </w:r>
      <w:r w:rsidRPr="00282AC9">
        <w:rPr>
          <w:rFonts w:ascii="Arial" w:hAnsi="Arial" w:cs="DanaFajr"/>
          <w:sz w:val="28"/>
          <w:szCs w:val="28"/>
          <w:rtl/>
        </w:rPr>
        <w:t>545.</w:t>
      </w:r>
    </w:p>
  </w:endnote>
  <w:endnote w:id="208">
    <w:p w:rsidR="00C14EDE" w:rsidRPr="00282AC9" w:rsidRDefault="00C14EDE" w:rsidP="0037059F">
      <w:pPr>
        <w:pStyle w:val="af7"/>
        <w:spacing w:line="296" w:lineRule="exact"/>
        <w:ind w:firstLine="0"/>
        <w:rPr>
          <w:rFonts w:ascii="Arial" w:hAnsi="Arial" w:cs="DanaFajr"/>
          <w:sz w:val="28"/>
          <w:szCs w:val="28"/>
          <w:rtl/>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ascii="Arial" w:hAnsi="Arial" w:cs="DanaFajr"/>
          <w:sz w:val="28"/>
          <w:szCs w:val="28"/>
          <w:rtl/>
        </w:rPr>
        <w:t xml:space="preserve"> يقول السيد الخوئي</w:t>
      </w:r>
      <w:r w:rsidRPr="00282AC9">
        <w:rPr>
          <w:rFonts w:ascii="Arial" w:hAnsi="Arial" w:cs="DanaFajr" w:hint="cs"/>
          <w:sz w:val="28"/>
          <w:szCs w:val="28"/>
          <w:rtl/>
        </w:rPr>
        <w:t>،</w:t>
      </w:r>
      <w:r w:rsidRPr="00282AC9">
        <w:rPr>
          <w:rFonts w:ascii="Arial" w:hAnsi="Arial" w:cs="DanaFajr"/>
          <w:sz w:val="28"/>
          <w:szCs w:val="28"/>
          <w:rtl/>
        </w:rPr>
        <w:t xml:space="preserve"> تعليقاً على قول السيد اليزدي </w:t>
      </w:r>
      <w:r w:rsidRPr="00282AC9">
        <w:rPr>
          <w:rFonts w:ascii="Arial" w:hAnsi="Arial" w:cs="DanaFajr" w:hint="cs"/>
          <w:sz w:val="28"/>
          <w:szCs w:val="28"/>
          <w:rtl/>
        </w:rPr>
        <w:t>في العروة:</w:t>
      </w:r>
      <w:r w:rsidRPr="00282AC9">
        <w:rPr>
          <w:rFonts w:ascii="Arial" w:hAnsi="Arial" w:cs="DanaFajr"/>
          <w:sz w:val="28"/>
          <w:szCs w:val="28"/>
          <w:rtl/>
        </w:rPr>
        <w:t xml:space="preserve"> </w:t>
      </w:r>
      <w:r w:rsidRPr="00282AC9">
        <w:rPr>
          <w:rFonts w:ascii="Arial" w:hAnsi="Arial" w:cs="DanaFajr" w:hint="cs"/>
          <w:sz w:val="28"/>
          <w:szCs w:val="28"/>
          <w:rtl/>
        </w:rPr>
        <w:t>(</w:t>
      </w:r>
      <w:r w:rsidRPr="00282AC9">
        <w:rPr>
          <w:rFonts w:ascii="Arial" w:hAnsi="Arial" w:cs="DanaFajr"/>
          <w:sz w:val="28"/>
          <w:szCs w:val="28"/>
          <w:rtl/>
        </w:rPr>
        <w:t>يجب التقليد في المستحب</w:t>
      </w:r>
      <w:r w:rsidRPr="00282AC9">
        <w:rPr>
          <w:rFonts w:ascii="Arial" w:hAnsi="Arial" w:cs="DanaFajr" w:hint="cs"/>
          <w:sz w:val="28"/>
          <w:szCs w:val="28"/>
          <w:rtl/>
        </w:rPr>
        <w:t>ّ</w:t>
      </w:r>
      <w:r w:rsidRPr="00282AC9">
        <w:rPr>
          <w:rFonts w:ascii="Arial" w:hAnsi="Arial" w:cs="DanaFajr"/>
          <w:sz w:val="28"/>
          <w:szCs w:val="28"/>
          <w:rtl/>
        </w:rPr>
        <w:t>ات والمكروهات والمباحات</w:t>
      </w:r>
      <w:r w:rsidRPr="00282AC9">
        <w:rPr>
          <w:rFonts w:ascii="Arial" w:hAnsi="Arial" w:cs="DanaFajr" w:hint="cs"/>
          <w:sz w:val="28"/>
          <w:szCs w:val="28"/>
          <w:rtl/>
        </w:rPr>
        <w:t>)</w:t>
      </w:r>
      <w:r w:rsidRPr="00282AC9">
        <w:rPr>
          <w:rFonts w:ascii="Arial" w:hAnsi="Arial" w:cs="DanaFajr"/>
          <w:sz w:val="28"/>
          <w:szCs w:val="28"/>
          <w:rtl/>
        </w:rPr>
        <w:t xml:space="preserve">: </w:t>
      </w:r>
      <w:r w:rsidRPr="00282AC9">
        <w:rPr>
          <w:rFonts w:hint="eastAsia"/>
          <w:sz w:val="22"/>
          <w:szCs w:val="22"/>
          <w:rtl/>
        </w:rPr>
        <w:t>«</w:t>
      </w:r>
      <w:r w:rsidRPr="00282AC9">
        <w:rPr>
          <w:rFonts w:ascii="Arial" w:hAnsi="Arial" w:cs="DanaFajr"/>
          <w:sz w:val="28"/>
          <w:szCs w:val="28"/>
          <w:rtl/>
        </w:rPr>
        <w:t>إذا احتمل معها (المستح</w:t>
      </w:r>
      <w:r w:rsidRPr="00282AC9">
        <w:rPr>
          <w:rFonts w:ascii="Arial" w:hAnsi="Arial" w:cs="DanaFajr" w:hint="cs"/>
          <w:sz w:val="28"/>
          <w:szCs w:val="28"/>
          <w:rtl/>
        </w:rPr>
        <w:t>بّات وال</w:t>
      </w:r>
      <w:r w:rsidRPr="00282AC9">
        <w:rPr>
          <w:rFonts w:ascii="Arial" w:hAnsi="Arial" w:cs="DanaFajr"/>
          <w:sz w:val="28"/>
          <w:szCs w:val="28"/>
          <w:rtl/>
        </w:rPr>
        <w:t>مكروهات والمباحات) حكماً إلزامي</w:t>
      </w:r>
      <w:r w:rsidRPr="00282AC9">
        <w:rPr>
          <w:rFonts w:ascii="Arial" w:hAnsi="Arial" w:cs="DanaFajr" w:hint="cs"/>
          <w:sz w:val="28"/>
          <w:szCs w:val="28"/>
          <w:rtl/>
        </w:rPr>
        <w:t>ّ</w:t>
      </w:r>
      <w:r w:rsidRPr="00282AC9">
        <w:rPr>
          <w:rFonts w:ascii="Arial" w:hAnsi="Arial" w:cs="DanaFajr"/>
          <w:sz w:val="28"/>
          <w:szCs w:val="28"/>
          <w:rtl/>
        </w:rPr>
        <w:t>اً أيضاً، كما إذا احتمل أن يكون ما هو المستحب واجباً واقعاً، أو يكون المكروه أو المباح حراماً كذلك، فإنه عند احتمال حكم</w:t>
      </w:r>
      <w:r w:rsidRPr="00282AC9">
        <w:rPr>
          <w:rFonts w:ascii="Arial" w:hAnsi="Arial" w:cs="DanaFajr" w:hint="cs"/>
          <w:sz w:val="28"/>
          <w:szCs w:val="28"/>
          <w:rtl/>
        </w:rPr>
        <w:t>ٍ</w:t>
      </w:r>
      <w:r w:rsidRPr="00282AC9">
        <w:rPr>
          <w:rFonts w:ascii="Arial" w:hAnsi="Arial" w:cs="DanaFajr"/>
          <w:sz w:val="28"/>
          <w:szCs w:val="28"/>
          <w:rtl/>
        </w:rPr>
        <w:t xml:space="preserve"> إلزامي</w:t>
      </w:r>
      <w:r w:rsidRPr="00282AC9">
        <w:rPr>
          <w:rFonts w:ascii="Arial" w:hAnsi="Arial" w:cs="DanaFajr" w:hint="cs"/>
          <w:sz w:val="28"/>
          <w:szCs w:val="28"/>
          <w:rtl/>
        </w:rPr>
        <w:t>ّ</w:t>
      </w:r>
      <w:r w:rsidRPr="00282AC9">
        <w:rPr>
          <w:rFonts w:ascii="Arial" w:hAnsi="Arial" w:cs="DanaFajr"/>
          <w:sz w:val="28"/>
          <w:szCs w:val="28"/>
          <w:rtl/>
        </w:rPr>
        <w:t xml:space="preserve"> معها لا ب</w:t>
      </w:r>
      <w:r w:rsidRPr="00282AC9">
        <w:rPr>
          <w:rFonts w:ascii="Arial" w:hAnsi="Arial" w:cs="DanaFajr" w:hint="cs"/>
          <w:sz w:val="28"/>
          <w:szCs w:val="28"/>
          <w:rtl/>
        </w:rPr>
        <w:t>ُ</w:t>
      </w:r>
      <w:r w:rsidRPr="00282AC9">
        <w:rPr>
          <w:rFonts w:ascii="Arial" w:hAnsi="Arial" w:cs="DanaFajr"/>
          <w:sz w:val="28"/>
          <w:szCs w:val="28"/>
          <w:rtl/>
        </w:rPr>
        <w:t>دّ</w:t>
      </w:r>
      <w:r w:rsidRPr="00282AC9">
        <w:rPr>
          <w:rFonts w:ascii="Arial" w:hAnsi="Arial" w:cs="DanaFajr" w:hint="cs"/>
          <w:sz w:val="28"/>
          <w:szCs w:val="28"/>
          <w:rtl/>
        </w:rPr>
        <w:t>َ</w:t>
      </w:r>
      <w:r w:rsidRPr="00282AC9">
        <w:rPr>
          <w:rFonts w:ascii="Arial" w:hAnsi="Arial" w:cs="DanaFajr"/>
          <w:sz w:val="28"/>
          <w:szCs w:val="28"/>
          <w:rtl/>
        </w:rPr>
        <w:t xml:space="preserve"> من تحصيل المؤمّ</w:t>
      </w:r>
      <w:r w:rsidRPr="00282AC9">
        <w:rPr>
          <w:rFonts w:ascii="Arial" w:hAnsi="Arial" w:cs="DanaFajr" w:hint="cs"/>
          <w:sz w:val="28"/>
          <w:szCs w:val="28"/>
          <w:rtl/>
        </w:rPr>
        <w:t>ِ</w:t>
      </w:r>
      <w:r w:rsidRPr="00282AC9">
        <w:rPr>
          <w:rFonts w:ascii="Arial" w:hAnsi="Arial" w:cs="DanaFajr"/>
          <w:sz w:val="28"/>
          <w:szCs w:val="28"/>
          <w:rtl/>
        </w:rPr>
        <w:t>ن على ترك ما يحتمل وجوبه أو ارتكاب ما يحتمل حرمته، ولا مؤمّ</w:t>
      </w:r>
      <w:r w:rsidRPr="00282AC9">
        <w:rPr>
          <w:rFonts w:ascii="Arial" w:hAnsi="Arial" w:cs="DanaFajr" w:hint="cs"/>
          <w:sz w:val="28"/>
          <w:szCs w:val="28"/>
          <w:rtl/>
        </w:rPr>
        <w:t>ِ</w:t>
      </w:r>
      <w:r w:rsidRPr="00282AC9">
        <w:rPr>
          <w:rFonts w:ascii="Arial" w:hAnsi="Arial" w:cs="DanaFajr"/>
          <w:sz w:val="28"/>
          <w:szCs w:val="28"/>
          <w:rtl/>
        </w:rPr>
        <w:t>ن سوى الاجتهاد والتقليد والاحتياط. وأما لو جزم بالجواز</w:t>
      </w:r>
      <w:r w:rsidRPr="00282AC9">
        <w:rPr>
          <w:rFonts w:ascii="Arial" w:hAnsi="Arial" w:cs="DanaFajr" w:hint="cs"/>
          <w:sz w:val="28"/>
          <w:szCs w:val="28"/>
          <w:rtl/>
        </w:rPr>
        <w:t>،</w:t>
      </w:r>
      <w:r w:rsidRPr="00282AC9">
        <w:rPr>
          <w:rFonts w:ascii="Arial" w:hAnsi="Arial" w:cs="DanaFajr"/>
          <w:sz w:val="28"/>
          <w:szCs w:val="28"/>
          <w:rtl/>
        </w:rPr>
        <w:t xml:space="preserve"> وإن</w:t>
      </w:r>
      <w:r w:rsidRPr="00282AC9">
        <w:rPr>
          <w:rFonts w:ascii="Arial" w:hAnsi="Arial" w:cs="DanaFajr" w:hint="cs"/>
          <w:sz w:val="28"/>
          <w:szCs w:val="28"/>
          <w:rtl/>
        </w:rPr>
        <w:t>ْ</w:t>
      </w:r>
      <w:r w:rsidRPr="00282AC9">
        <w:rPr>
          <w:rFonts w:ascii="Arial" w:hAnsi="Arial" w:cs="DanaFajr"/>
          <w:sz w:val="28"/>
          <w:szCs w:val="28"/>
          <w:rtl/>
        </w:rPr>
        <w:t xml:space="preserve"> لم يعلم بأنه مباح</w:t>
      </w:r>
      <w:r w:rsidRPr="00282AC9">
        <w:rPr>
          <w:rFonts w:ascii="Arial" w:hAnsi="Arial" w:cs="DanaFajr" w:hint="cs"/>
          <w:sz w:val="28"/>
          <w:szCs w:val="28"/>
          <w:rtl/>
        </w:rPr>
        <w:t>ٌ</w:t>
      </w:r>
      <w:r w:rsidRPr="00282AC9">
        <w:rPr>
          <w:rFonts w:ascii="Arial" w:hAnsi="Arial" w:cs="DanaFajr"/>
          <w:sz w:val="28"/>
          <w:szCs w:val="28"/>
          <w:rtl/>
        </w:rPr>
        <w:t xml:space="preserve"> أو مستحب</w:t>
      </w:r>
      <w:r w:rsidRPr="00282AC9">
        <w:rPr>
          <w:rFonts w:ascii="Arial" w:hAnsi="Arial" w:cs="DanaFajr" w:hint="cs"/>
          <w:sz w:val="28"/>
          <w:szCs w:val="28"/>
          <w:rtl/>
        </w:rPr>
        <w:t>ّ</w:t>
      </w:r>
      <w:r w:rsidRPr="00282AC9">
        <w:rPr>
          <w:rFonts w:ascii="Arial" w:hAnsi="Arial" w:cs="DanaFajr"/>
          <w:sz w:val="28"/>
          <w:szCs w:val="28"/>
          <w:rtl/>
        </w:rPr>
        <w:t xml:space="preserve"> أو مكروه</w:t>
      </w:r>
      <w:r w:rsidRPr="00282AC9">
        <w:rPr>
          <w:rFonts w:ascii="Arial" w:hAnsi="Arial" w:cs="DanaFajr" w:hint="cs"/>
          <w:sz w:val="28"/>
          <w:szCs w:val="28"/>
          <w:rtl/>
        </w:rPr>
        <w:t>،</w:t>
      </w:r>
      <w:r w:rsidRPr="00282AC9">
        <w:rPr>
          <w:rFonts w:ascii="Arial" w:hAnsi="Arial" w:cs="DanaFajr"/>
          <w:sz w:val="28"/>
          <w:szCs w:val="28"/>
          <w:rtl/>
        </w:rPr>
        <w:t xml:space="preserve"> فلا حاجة فيه إلى التقليد</w:t>
      </w:r>
      <w:r w:rsidRPr="00282AC9">
        <w:rPr>
          <w:rFonts w:ascii="Arial" w:hAnsi="Arial" w:cs="DanaFajr" w:hint="cs"/>
          <w:sz w:val="28"/>
          <w:szCs w:val="28"/>
          <w:rtl/>
        </w:rPr>
        <w:t>،</w:t>
      </w:r>
      <w:r w:rsidRPr="00282AC9">
        <w:rPr>
          <w:rFonts w:ascii="Arial" w:hAnsi="Arial" w:cs="DanaFajr"/>
          <w:sz w:val="28"/>
          <w:szCs w:val="28"/>
          <w:rtl/>
        </w:rPr>
        <w:t xml:space="preserve"> ولا إلى قرين</w:t>
      </w:r>
      <w:r w:rsidRPr="00282AC9">
        <w:rPr>
          <w:rFonts w:ascii="Arial" w:hAnsi="Arial" w:cs="DanaFajr" w:hint="cs"/>
          <w:sz w:val="28"/>
          <w:szCs w:val="28"/>
          <w:rtl/>
        </w:rPr>
        <w:t>َ</w:t>
      </w:r>
      <w:r w:rsidRPr="00282AC9">
        <w:rPr>
          <w:rFonts w:ascii="Arial" w:hAnsi="Arial" w:cs="DanaFajr"/>
          <w:sz w:val="28"/>
          <w:szCs w:val="28"/>
          <w:rtl/>
        </w:rPr>
        <w:t>ي</w:t>
      </w:r>
      <w:r w:rsidRPr="00282AC9">
        <w:rPr>
          <w:rFonts w:ascii="Arial" w:hAnsi="Arial" w:cs="DanaFajr" w:hint="cs"/>
          <w:sz w:val="28"/>
          <w:szCs w:val="28"/>
          <w:rtl/>
        </w:rPr>
        <w:t>ْ</w:t>
      </w:r>
      <w:r w:rsidRPr="00282AC9">
        <w:rPr>
          <w:rFonts w:ascii="Arial" w:hAnsi="Arial" w:cs="DanaFajr"/>
          <w:sz w:val="28"/>
          <w:szCs w:val="28"/>
          <w:rtl/>
        </w:rPr>
        <w:t>ه</w:t>
      </w:r>
      <w:r w:rsidRPr="00282AC9">
        <w:rPr>
          <w:rFonts w:hint="eastAsia"/>
          <w:sz w:val="22"/>
          <w:szCs w:val="22"/>
          <w:rtl/>
        </w:rPr>
        <w:t>»</w:t>
      </w:r>
      <w:r w:rsidRPr="00282AC9">
        <w:rPr>
          <w:rFonts w:ascii="Arial" w:hAnsi="Arial" w:cs="DanaFajr" w:hint="cs"/>
          <w:sz w:val="28"/>
          <w:szCs w:val="28"/>
          <w:rtl/>
        </w:rPr>
        <w:t>،</w:t>
      </w:r>
      <w:r w:rsidRPr="00282AC9">
        <w:rPr>
          <w:rFonts w:ascii="Arial" w:hAnsi="Arial" w:cs="DanaFajr"/>
          <w:sz w:val="28"/>
          <w:szCs w:val="28"/>
          <w:rtl/>
        </w:rPr>
        <w:t xml:space="preserve"> أي ال</w:t>
      </w:r>
      <w:r w:rsidRPr="00282AC9">
        <w:rPr>
          <w:rFonts w:ascii="Arial" w:hAnsi="Arial" w:cs="DanaFajr" w:hint="cs"/>
          <w:sz w:val="28"/>
          <w:szCs w:val="28"/>
          <w:rtl/>
        </w:rPr>
        <w:t>ا</w:t>
      </w:r>
      <w:r w:rsidRPr="00282AC9">
        <w:rPr>
          <w:rFonts w:ascii="Arial" w:hAnsi="Arial" w:cs="DanaFajr"/>
          <w:sz w:val="28"/>
          <w:szCs w:val="28"/>
          <w:rtl/>
        </w:rPr>
        <w:t xml:space="preserve">حتياط والاجتهاد. </w:t>
      </w:r>
      <w:r w:rsidRPr="00282AC9">
        <w:rPr>
          <w:rFonts w:ascii="Arial" w:hAnsi="Arial" w:cs="DanaFajr" w:hint="cs"/>
          <w:sz w:val="28"/>
          <w:szCs w:val="28"/>
          <w:rtl/>
        </w:rPr>
        <w:t>ا</w:t>
      </w:r>
      <w:r w:rsidRPr="00282AC9">
        <w:rPr>
          <w:rFonts w:ascii="Arial" w:hAnsi="Arial" w:cs="DanaFajr"/>
          <w:sz w:val="28"/>
          <w:szCs w:val="28"/>
          <w:rtl/>
        </w:rPr>
        <w:t>نظ</w:t>
      </w:r>
      <w:r w:rsidRPr="00282AC9">
        <w:rPr>
          <w:rFonts w:ascii="Arial" w:hAnsi="Arial" w:cs="DanaFajr" w:hint="cs"/>
          <w:sz w:val="28"/>
          <w:szCs w:val="28"/>
          <w:rtl/>
        </w:rPr>
        <w:t>ُ</w:t>
      </w:r>
      <w:r w:rsidRPr="00282AC9">
        <w:rPr>
          <w:rFonts w:ascii="Arial" w:hAnsi="Arial" w:cs="DanaFajr"/>
          <w:sz w:val="28"/>
          <w:szCs w:val="28"/>
          <w:rtl/>
        </w:rPr>
        <w:t>ر</w:t>
      </w:r>
      <w:r w:rsidRPr="00282AC9">
        <w:rPr>
          <w:rFonts w:ascii="Arial" w:hAnsi="Arial" w:cs="DanaFajr" w:hint="cs"/>
          <w:sz w:val="28"/>
          <w:szCs w:val="28"/>
          <w:rtl/>
        </w:rPr>
        <w:t>ْ</w:t>
      </w:r>
      <w:r w:rsidRPr="00282AC9">
        <w:rPr>
          <w:rFonts w:ascii="Arial" w:hAnsi="Arial" w:cs="DanaFajr"/>
          <w:sz w:val="28"/>
          <w:szCs w:val="28"/>
          <w:rtl/>
        </w:rPr>
        <w:t>: التنقيح في شرح العروة الوثقى</w:t>
      </w:r>
      <w:r w:rsidRPr="00282AC9">
        <w:rPr>
          <w:rFonts w:ascii="Arial" w:hAnsi="Arial" w:cs="DanaFajr" w:hint="cs"/>
          <w:sz w:val="28"/>
          <w:szCs w:val="28"/>
          <w:rtl/>
        </w:rPr>
        <w:t xml:space="preserve"> (</w:t>
      </w:r>
      <w:r w:rsidRPr="00282AC9">
        <w:rPr>
          <w:rFonts w:ascii="Arial" w:hAnsi="Arial" w:cs="DanaFajr"/>
          <w:sz w:val="28"/>
          <w:szCs w:val="28"/>
          <w:rtl/>
        </w:rPr>
        <w:t>التقليد</w:t>
      </w:r>
      <w:r w:rsidRPr="00282AC9">
        <w:rPr>
          <w:rFonts w:ascii="Arial" w:hAnsi="Arial" w:cs="DanaFajr" w:hint="cs"/>
          <w:sz w:val="28"/>
          <w:szCs w:val="28"/>
          <w:rtl/>
        </w:rPr>
        <w:t xml:space="preserve">): </w:t>
      </w:r>
      <w:r w:rsidRPr="00282AC9">
        <w:rPr>
          <w:rFonts w:ascii="Arial" w:hAnsi="Arial" w:cs="DanaFajr"/>
          <w:sz w:val="28"/>
          <w:szCs w:val="28"/>
          <w:rtl/>
        </w:rPr>
        <w:t>256.</w:t>
      </w:r>
    </w:p>
  </w:endnote>
  <w:endnote w:id="209">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w:t>
      </w:r>
      <w:r w:rsidRPr="00282AC9">
        <w:rPr>
          <w:rFonts w:cs="DanaFajr" w:hint="cs"/>
          <w:szCs w:val="28"/>
          <w:rtl/>
        </w:rPr>
        <w:t xml:space="preserve"> </w:t>
      </w:r>
      <w:r w:rsidRPr="00282AC9">
        <w:rPr>
          <w:rFonts w:cs="DanaFajr"/>
          <w:szCs w:val="28"/>
          <w:rtl/>
        </w:rPr>
        <w:t>البحراني،</w:t>
      </w:r>
      <w:r w:rsidRPr="00282AC9">
        <w:rPr>
          <w:rFonts w:cs="DanaFajr"/>
          <w:szCs w:val="28"/>
        </w:rPr>
        <w:t xml:space="preserve"> </w:t>
      </w:r>
      <w:r w:rsidRPr="00282AC9">
        <w:rPr>
          <w:rFonts w:cs="DanaFajr"/>
          <w:szCs w:val="28"/>
          <w:rtl/>
        </w:rPr>
        <w:t>الحدائق</w:t>
      </w:r>
      <w:r w:rsidRPr="00282AC9">
        <w:rPr>
          <w:rFonts w:cs="DanaFajr"/>
          <w:szCs w:val="28"/>
        </w:rPr>
        <w:t xml:space="preserve"> </w:t>
      </w:r>
      <w:r w:rsidRPr="00282AC9">
        <w:rPr>
          <w:rFonts w:cs="DanaFajr"/>
          <w:szCs w:val="28"/>
          <w:rtl/>
        </w:rPr>
        <w:t>الناضرة</w:t>
      </w:r>
      <w:r w:rsidRPr="00282AC9">
        <w:rPr>
          <w:rFonts w:cs="DanaFajr"/>
          <w:szCs w:val="28"/>
        </w:rPr>
        <w:t xml:space="preserve"> </w:t>
      </w:r>
      <w:r w:rsidRPr="00282AC9">
        <w:rPr>
          <w:rFonts w:cs="DanaFajr"/>
          <w:szCs w:val="28"/>
          <w:rtl/>
        </w:rPr>
        <w:t>في</w:t>
      </w:r>
      <w:r w:rsidRPr="00282AC9">
        <w:rPr>
          <w:rFonts w:cs="DanaFajr"/>
          <w:szCs w:val="28"/>
        </w:rPr>
        <w:t xml:space="preserve"> </w:t>
      </w:r>
      <w:r w:rsidRPr="00282AC9">
        <w:rPr>
          <w:rFonts w:cs="DanaFajr"/>
          <w:szCs w:val="28"/>
          <w:rtl/>
        </w:rPr>
        <w:t>أحكام</w:t>
      </w:r>
      <w:r w:rsidRPr="00282AC9">
        <w:rPr>
          <w:rFonts w:cs="DanaFajr"/>
          <w:szCs w:val="28"/>
        </w:rPr>
        <w:t xml:space="preserve"> </w:t>
      </w:r>
      <w:r w:rsidRPr="00282AC9">
        <w:rPr>
          <w:rFonts w:cs="DanaFajr"/>
          <w:szCs w:val="28"/>
          <w:rtl/>
        </w:rPr>
        <w:t>العترة</w:t>
      </w:r>
      <w:r w:rsidRPr="00282AC9">
        <w:rPr>
          <w:rFonts w:cs="DanaFajr"/>
          <w:szCs w:val="28"/>
        </w:rPr>
        <w:t xml:space="preserve"> </w:t>
      </w:r>
      <w:r w:rsidRPr="00282AC9">
        <w:rPr>
          <w:rFonts w:cs="DanaFajr"/>
          <w:szCs w:val="28"/>
          <w:rtl/>
        </w:rPr>
        <w:t>الطاهرة</w:t>
      </w:r>
      <w:r w:rsidRPr="00282AC9">
        <w:rPr>
          <w:rFonts w:cs="DanaFajr" w:hint="cs"/>
          <w:szCs w:val="28"/>
          <w:rtl/>
        </w:rPr>
        <w:t xml:space="preserve"> </w:t>
      </w:r>
      <w:r w:rsidRPr="00282AC9">
        <w:rPr>
          <w:rFonts w:cs="DanaFajr"/>
          <w:szCs w:val="28"/>
          <w:rtl/>
        </w:rPr>
        <w:t>23</w:t>
      </w:r>
      <w:r w:rsidRPr="00282AC9">
        <w:rPr>
          <w:rFonts w:cs="DanaFajr" w:hint="cs"/>
          <w:szCs w:val="28"/>
          <w:rtl/>
        </w:rPr>
        <w:t xml:space="preserve">: </w:t>
      </w:r>
      <w:r w:rsidRPr="00282AC9">
        <w:rPr>
          <w:rFonts w:cs="DanaFajr"/>
          <w:szCs w:val="28"/>
          <w:rtl/>
        </w:rPr>
        <w:t>212.</w:t>
      </w:r>
    </w:p>
  </w:endnote>
  <w:endnote w:id="210">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xml:space="preserve">) </w:t>
      </w:r>
      <w:r w:rsidRPr="00282AC9">
        <w:rPr>
          <w:rFonts w:cs="DanaFajr" w:hint="cs"/>
          <w:szCs w:val="28"/>
          <w:rtl/>
        </w:rPr>
        <w:t xml:space="preserve">الكليني، </w:t>
      </w:r>
      <w:r w:rsidRPr="00282AC9">
        <w:rPr>
          <w:rFonts w:cs="DanaFajr"/>
          <w:szCs w:val="28"/>
          <w:rtl/>
        </w:rPr>
        <w:t>الكافي</w:t>
      </w:r>
      <w:r w:rsidRPr="00282AC9">
        <w:rPr>
          <w:rFonts w:cs="DanaFajr" w:hint="cs"/>
          <w:szCs w:val="28"/>
          <w:rtl/>
        </w:rPr>
        <w:t xml:space="preserve"> </w:t>
      </w:r>
      <w:r w:rsidRPr="00282AC9">
        <w:rPr>
          <w:rFonts w:cs="DanaFajr"/>
          <w:szCs w:val="28"/>
          <w:rtl/>
        </w:rPr>
        <w:t>5</w:t>
      </w:r>
      <w:r w:rsidRPr="00282AC9">
        <w:rPr>
          <w:rFonts w:cs="DanaFajr" w:hint="cs"/>
          <w:szCs w:val="28"/>
          <w:rtl/>
        </w:rPr>
        <w:t xml:space="preserve">: </w:t>
      </w:r>
      <w:r w:rsidRPr="00282AC9">
        <w:rPr>
          <w:rFonts w:cs="DanaFajr"/>
          <w:szCs w:val="28"/>
          <w:rtl/>
        </w:rPr>
        <w:t>394،</w:t>
      </w:r>
      <w:r w:rsidRPr="00282AC9">
        <w:rPr>
          <w:rFonts w:cs="DanaFajr"/>
          <w:szCs w:val="28"/>
        </w:rPr>
        <w:t xml:space="preserve"> </w:t>
      </w:r>
      <w:r w:rsidRPr="00282AC9">
        <w:rPr>
          <w:rFonts w:cs="DanaFajr" w:hint="cs"/>
          <w:szCs w:val="28"/>
          <w:rtl/>
        </w:rPr>
        <w:t>ح</w:t>
      </w:r>
      <w:r w:rsidRPr="00282AC9">
        <w:rPr>
          <w:rFonts w:cs="DanaFajr"/>
          <w:szCs w:val="28"/>
          <w:rtl/>
        </w:rPr>
        <w:t>5.</w:t>
      </w:r>
    </w:p>
  </w:endnote>
  <w:endnote w:id="211">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xml:space="preserve">) </w:t>
      </w:r>
      <w:r w:rsidRPr="00282AC9">
        <w:rPr>
          <w:rFonts w:cs="DanaFajr" w:hint="cs"/>
          <w:szCs w:val="28"/>
          <w:rtl/>
        </w:rPr>
        <w:t xml:space="preserve">الحرّ العاملي، </w:t>
      </w:r>
      <w:r w:rsidRPr="00282AC9">
        <w:rPr>
          <w:rFonts w:cs="DanaFajr"/>
          <w:szCs w:val="28"/>
          <w:rtl/>
        </w:rPr>
        <w:t>وسائل</w:t>
      </w:r>
      <w:r w:rsidRPr="00282AC9">
        <w:rPr>
          <w:rFonts w:cs="DanaFajr"/>
          <w:szCs w:val="28"/>
        </w:rPr>
        <w:t xml:space="preserve"> </w:t>
      </w:r>
      <w:r w:rsidRPr="00282AC9">
        <w:rPr>
          <w:rFonts w:cs="DanaFajr"/>
          <w:szCs w:val="28"/>
          <w:rtl/>
        </w:rPr>
        <w:t>الشيعة</w:t>
      </w:r>
      <w:r w:rsidRPr="00282AC9">
        <w:rPr>
          <w:rFonts w:cs="DanaFajr" w:hint="cs"/>
          <w:szCs w:val="28"/>
          <w:rtl/>
        </w:rPr>
        <w:t xml:space="preserve"> </w:t>
      </w:r>
      <w:r w:rsidRPr="00282AC9">
        <w:rPr>
          <w:rFonts w:cs="DanaFajr"/>
          <w:szCs w:val="28"/>
          <w:rtl/>
        </w:rPr>
        <w:t>20</w:t>
      </w:r>
      <w:r w:rsidRPr="00282AC9">
        <w:rPr>
          <w:rFonts w:cs="DanaFajr" w:hint="cs"/>
          <w:szCs w:val="28"/>
          <w:rtl/>
        </w:rPr>
        <w:t xml:space="preserve">: </w:t>
      </w:r>
      <w:r w:rsidRPr="00282AC9">
        <w:rPr>
          <w:rFonts w:cs="DanaFajr"/>
          <w:szCs w:val="28"/>
          <w:rtl/>
        </w:rPr>
        <w:t>28</w:t>
      </w:r>
      <w:r w:rsidRPr="00282AC9">
        <w:rPr>
          <w:rFonts w:cs="DanaFajr" w:hint="cs"/>
          <w:szCs w:val="28"/>
          <w:rtl/>
        </w:rPr>
        <w:t xml:space="preserve">5 ـ </w:t>
      </w:r>
      <w:r w:rsidRPr="00282AC9">
        <w:rPr>
          <w:rFonts w:cs="DanaFajr"/>
          <w:szCs w:val="28"/>
          <w:rtl/>
        </w:rPr>
        <w:t>2</w:t>
      </w:r>
      <w:r w:rsidRPr="00282AC9">
        <w:rPr>
          <w:rFonts w:cs="DanaFajr" w:hint="cs"/>
          <w:szCs w:val="28"/>
          <w:rtl/>
        </w:rPr>
        <w:t>٨٦</w:t>
      </w:r>
      <w:r w:rsidRPr="00282AC9">
        <w:rPr>
          <w:rFonts w:cs="DanaFajr"/>
          <w:szCs w:val="28"/>
          <w:rtl/>
        </w:rPr>
        <w:t>،</w:t>
      </w:r>
      <w:r w:rsidRPr="00282AC9">
        <w:rPr>
          <w:rFonts w:cs="DanaFajr"/>
          <w:szCs w:val="28"/>
        </w:rPr>
        <w:t xml:space="preserve"> </w:t>
      </w:r>
      <w:r w:rsidRPr="00282AC9">
        <w:rPr>
          <w:rFonts w:cs="DanaFajr" w:hint="cs"/>
          <w:szCs w:val="28"/>
          <w:rtl/>
        </w:rPr>
        <w:t>ح</w:t>
      </w:r>
      <w:r w:rsidRPr="00282AC9">
        <w:rPr>
          <w:rFonts w:cs="DanaFajr"/>
          <w:szCs w:val="28"/>
          <w:rtl/>
        </w:rPr>
        <w:t>25</w:t>
      </w:r>
      <w:r w:rsidRPr="00282AC9">
        <w:rPr>
          <w:rFonts w:cs="DanaFajr" w:hint="cs"/>
          <w:szCs w:val="28"/>
          <w:rtl/>
        </w:rPr>
        <w:t>٦</w:t>
      </w:r>
      <w:r w:rsidRPr="00282AC9">
        <w:rPr>
          <w:rFonts w:cs="DanaFajr"/>
          <w:szCs w:val="28"/>
          <w:rtl/>
        </w:rPr>
        <w:t>43.</w:t>
      </w:r>
    </w:p>
  </w:endnote>
  <w:endnote w:id="212">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w:t>
      </w:r>
      <w:r w:rsidRPr="00282AC9">
        <w:rPr>
          <w:rFonts w:cs="DanaFajr" w:hint="cs"/>
          <w:szCs w:val="28"/>
          <w:rtl/>
        </w:rPr>
        <w:t xml:space="preserve"> </w:t>
      </w:r>
      <w:r w:rsidRPr="00282AC9">
        <w:rPr>
          <w:rFonts w:cs="DanaFajr"/>
          <w:szCs w:val="28"/>
          <w:rtl/>
        </w:rPr>
        <w:t>الطوسي،</w:t>
      </w:r>
      <w:r w:rsidRPr="00282AC9">
        <w:rPr>
          <w:rFonts w:cs="DanaFajr"/>
          <w:szCs w:val="28"/>
        </w:rPr>
        <w:t xml:space="preserve"> </w:t>
      </w:r>
      <w:r w:rsidRPr="00282AC9">
        <w:rPr>
          <w:rFonts w:cs="DanaFajr"/>
          <w:szCs w:val="28"/>
          <w:rtl/>
        </w:rPr>
        <w:t>الاستبصار</w:t>
      </w:r>
      <w:r w:rsidRPr="00282AC9">
        <w:rPr>
          <w:rFonts w:cs="DanaFajr" w:hint="cs"/>
          <w:szCs w:val="28"/>
          <w:rtl/>
        </w:rPr>
        <w:t xml:space="preserve"> </w:t>
      </w:r>
      <w:r w:rsidRPr="00282AC9">
        <w:rPr>
          <w:rFonts w:cs="DanaFajr"/>
          <w:szCs w:val="28"/>
          <w:rtl/>
        </w:rPr>
        <w:t>3</w:t>
      </w:r>
      <w:r w:rsidRPr="00282AC9">
        <w:rPr>
          <w:rFonts w:cs="DanaFajr" w:hint="cs"/>
          <w:szCs w:val="28"/>
          <w:rtl/>
        </w:rPr>
        <w:t xml:space="preserve">: </w:t>
      </w:r>
      <w:r w:rsidRPr="00282AC9">
        <w:rPr>
          <w:rFonts w:cs="DanaFajr"/>
          <w:szCs w:val="28"/>
          <w:rtl/>
        </w:rPr>
        <w:t>234،</w:t>
      </w:r>
      <w:r w:rsidRPr="00282AC9">
        <w:rPr>
          <w:rFonts w:cs="DanaFajr"/>
          <w:szCs w:val="28"/>
        </w:rPr>
        <w:t xml:space="preserve"> </w:t>
      </w:r>
      <w:r w:rsidRPr="00282AC9">
        <w:rPr>
          <w:rFonts w:cs="DanaFajr" w:hint="cs"/>
          <w:szCs w:val="28"/>
          <w:rtl/>
        </w:rPr>
        <w:t>ح٨</w:t>
      </w:r>
      <w:r w:rsidRPr="00282AC9">
        <w:rPr>
          <w:rFonts w:cs="DanaFajr"/>
          <w:szCs w:val="28"/>
          <w:rtl/>
        </w:rPr>
        <w:t>42.</w:t>
      </w:r>
    </w:p>
  </w:endnote>
  <w:endnote w:id="213">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السيد</w:t>
      </w:r>
      <w:r w:rsidRPr="00282AC9">
        <w:rPr>
          <w:rFonts w:cs="DanaFajr"/>
          <w:szCs w:val="28"/>
        </w:rPr>
        <w:t xml:space="preserve"> </w:t>
      </w:r>
      <w:r w:rsidRPr="00282AC9">
        <w:rPr>
          <w:rFonts w:cs="DanaFajr"/>
          <w:szCs w:val="28"/>
          <w:rtl/>
        </w:rPr>
        <w:t>محسن</w:t>
      </w:r>
      <w:r w:rsidRPr="00282AC9">
        <w:rPr>
          <w:rFonts w:cs="DanaFajr"/>
          <w:szCs w:val="28"/>
        </w:rPr>
        <w:t xml:space="preserve"> </w:t>
      </w:r>
      <w:r w:rsidRPr="00282AC9">
        <w:rPr>
          <w:rFonts w:cs="DanaFajr"/>
          <w:szCs w:val="28"/>
          <w:rtl/>
        </w:rPr>
        <w:t>الطباطبائي</w:t>
      </w:r>
      <w:r w:rsidRPr="00282AC9">
        <w:rPr>
          <w:rFonts w:cs="DanaFajr"/>
          <w:szCs w:val="28"/>
        </w:rPr>
        <w:t xml:space="preserve"> </w:t>
      </w:r>
      <w:r w:rsidRPr="00282AC9">
        <w:rPr>
          <w:rFonts w:cs="DanaFajr"/>
          <w:szCs w:val="28"/>
          <w:rtl/>
        </w:rPr>
        <w:t>الحكيم،</w:t>
      </w:r>
      <w:r w:rsidRPr="00282AC9">
        <w:rPr>
          <w:rFonts w:cs="DanaFajr"/>
          <w:szCs w:val="28"/>
        </w:rPr>
        <w:t xml:space="preserve"> </w:t>
      </w:r>
      <w:r w:rsidRPr="00282AC9">
        <w:rPr>
          <w:rFonts w:cs="DanaFajr"/>
          <w:szCs w:val="28"/>
          <w:rtl/>
        </w:rPr>
        <w:t>مستمسك</w:t>
      </w:r>
      <w:r w:rsidRPr="00282AC9">
        <w:rPr>
          <w:rFonts w:cs="DanaFajr"/>
          <w:szCs w:val="28"/>
        </w:rPr>
        <w:t xml:space="preserve"> </w:t>
      </w:r>
      <w:r w:rsidRPr="00282AC9">
        <w:rPr>
          <w:rFonts w:cs="DanaFajr"/>
          <w:szCs w:val="28"/>
          <w:rtl/>
        </w:rPr>
        <w:t>العروة</w:t>
      </w:r>
      <w:r w:rsidRPr="00282AC9">
        <w:rPr>
          <w:rFonts w:cs="DanaFajr"/>
          <w:szCs w:val="28"/>
        </w:rPr>
        <w:t xml:space="preserve"> </w:t>
      </w:r>
      <w:r w:rsidRPr="00282AC9">
        <w:rPr>
          <w:rFonts w:cs="DanaFajr"/>
          <w:szCs w:val="28"/>
          <w:rtl/>
        </w:rPr>
        <w:t>الوثقى</w:t>
      </w:r>
      <w:r w:rsidRPr="00282AC9">
        <w:rPr>
          <w:rFonts w:cs="DanaFajr" w:hint="cs"/>
          <w:szCs w:val="28"/>
          <w:rtl/>
        </w:rPr>
        <w:t xml:space="preserve"> </w:t>
      </w:r>
      <w:r w:rsidRPr="00282AC9">
        <w:rPr>
          <w:rFonts w:cs="DanaFajr"/>
          <w:szCs w:val="28"/>
          <w:rtl/>
        </w:rPr>
        <w:t>14</w:t>
      </w:r>
      <w:r w:rsidRPr="00282AC9">
        <w:rPr>
          <w:rFonts w:cs="DanaFajr" w:hint="cs"/>
          <w:szCs w:val="28"/>
          <w:rtl/>
        </w:rPr>
        <w:t xml:space="preserve">: </w:t>
      </w:r>
      <w:r w:rsidRPr="00282AC9">
        <w:rPr>
          <w:rFonts w:cs="DanaFajr"/>
          <w:szCs w:val="28"/>
          <w:rtl/>
        </w:rPr>
        <w:t>442.</w:t>
      </w:r>
    </w:p>
  </w:endnote>
  <w:endnote w:id="214">
    <w:p w:rsidR="00C14EDE" w:rsidRPr="00282AC9" w:rsidRDefault="00C14EDE" w:rsidP="00026413">
      <w:pPr>
        <w:spacing w:line="296" w:lineRule="exact"/>
        <w:ind w:firstLine="0"/>
        <w:rPr>
          <w:rFonts w:cs="DanaFajr"/>
          <w:szCs w:val="28"/>
        </w:rPr>
      </w:pPr>
      <w:r w:rsidRPr="00282AC9">
        <w:rPr>
          <w:rFonts w:cs="DanaFajr"/>
          <w:szCs w:val="28"/>
          <w:rtl/>
        </w:rPr>
        <w:t>(</w:t>
      </w:r>
      <w:r w:rsidRPr="00282AC9">
        <w:rPr>
          <w:rFonts w:cs="DanaFajr"/>
          <w:szCs w:val="28"/>
        </w:rPr>
        <w:endnoteRef/>
      </w:r>
      <w:r w:rsidRPr="00282AC9">
        <w:rPr>
          <w:rFonts w:cs="DanaFajr"/>
          <w:szCs w:val="28"/>
          <w:rtl/>
        </w:rPr>
        <w:t>) محمد</w:t>
      </w:r>
      <w:r w:rsidRPr="00282AC9">
        <w:rPr>
          <w:rFonts w:cs="DanaFajr"/>
          <w:szCs w:val="28"/>
        </w:rPr>
        <w:t xml:space="preserve"> </w:t>
      </w:r>
      <w:r w:rsidRPr="00282AC9">
        <w:rPr>
          <w:rFonts w:cs="DanaFajr"/>
          <w:szCs w:val="28"/>
          <w:rtl/>
        </w:rPr>
        <w:t>بن</w:t>
      </w:r>
      <w:r w:rsidRPr="00282AC9">
        <w:rPr>
          <w:rFonts w:cs="DanaFajr"/>
          <w:szCs w:val="28"/>
        </w:rPr>
        <w:t xml:space="preserve"> </w:t>
      </w:r>
      <w:r w:rsidRPr="00282AC9">
        <w:rPr>
          <w:rFonts w:cs="DanaFajr"/>
          <w:szCs w:val="28"/>
          <w:rtl/>
        </w:rPr>
        <w:t>يزيد</w:t>
      </w:r>
      <w:r w:rsidRPr="00282AC9">
        <w:rPr>
          <w:rFonts w:cs="DanaFajr"/>
          <w:szCs w:val="28"/>
        </w:rPr>
        <w:t xml:space="preserve"> </w:t>
      </w:r>
      <w:r w:rsidRPr="00282AC9">
        <w:rPr>
          <w:rFonts w:cs="DanaFajr"/>
          <w:szCs w:val="28"/>
          <w:rtl/>
        </w:rPr>
        <w:t>القزويني،</w:t>
      </w:r>
      <w:r w:rsidRPr="00282AC9">
        <w:rPr>
          <w:rFonts w:cs="DanaFajr"/>
          <w:szCs w:val="28"/>
        </w:rPr>
        <w:t xml:space="preserve"> </w:t>
      </w:r>
      <w:r w:rsidRPr="00282AC9">
        <w:rPr>
          <w:rFonts w:cs="DanaFajr"/>
          <w:szCs w:val="28"/>
          <w:rtl/>
        </w:rPr>
        <w:t>سنن</w:t>
      </w:r>
      <w:r w:rsidRPr="00282AC9">
        <w:rPr>
          <w:rFonts w:cs="DanaFajr"/>
          <w:szCs w:val="28"/>
        </w:rPr>
        <w:t xml:space="preserve"> </w:t>
      </w:r>
      <w:r w:rsidRPr="00282AC9">
        <w:rPr>
          <w:rFonts w:cs="DanaFajr"/>
          <w:szCs w:val="28"/>
          <w:rtl/>
        </w:rPr>
        <w:t>ابن</w:t>
      </w:r>
      <w:r w:rsidRPr="00282AC9">
        <w:rPr>
          <w:rFonts w:cs="DanaFajr"/>
          <w:szCs w:val="28"/>
        </w:rPr>
        <w:t xml:space="preserve"> </w:t>
      </w:r>
      <w:r w:rsidRPr="00282AC9">
        <w:rPr>
          <w:rFonts w:cs="DanaFajr"/>
          <w:szCs w:val="28"/>
          <w:rtl/>
        </w:rPr>
        <w:t>ماج</w:t>
      </w:r>
      <w:r w:rsidRPr="00282AC9">
        <w:rPr>
          <w:rFonts w:cs="DanaFajr" w:hint="cs"/>
          <w:szCs w:val="28"/>
          <w:rtl/>
        </w:rPr>
        <w:t>ة 1: ٦٠٢،</w:t>
      </w:r>
      <w:r w:rsidRPr="00282AC9">
        <w:rPr>
          <w:rFonts w:cs="DanaFajr"/>
          <w:szCs w:val="28"/>
        </w:rPr>
        <w:t xml:space="preserve"> </w:t>
      </w:r>
      <w:r w:rsidRPr="00282AC9">
        <w:rPr>
          <w:rFonts w:cs="DanaFajr" w:hint="cs"/>
          <w:szCs w:val="28"/>
          <w:rtl/>
        </w:rPr>
        <w:t>ح</w:t>
      </w:r>
      <w:r w:rsidRPr="00282AC9">
        <w:rPr>
          <w:rFonts w:cs="DanaFajr"/>
          <w:szCs w:val="28"/>
          <w:rtl/>
        </w:rPr>
        <w:t>1</w:t>
      </w:r>
      <w:r w:rsidRPr="00282AC9">
        <w:rPr>
          <w:rFonts w:cs="DanaFajr" w:hint="cs"/>
          <w:szCs w:val="28"/>
          <w:rtl/>
        </w:rPr>
        <w:t>٨</w:t>
      </w:r>
      <w:r w:rsidRPr="00282AC9">
        <w:rPr>
          <w:rFonts w:cs="DanaFajr"/>
          <w:szCs w:val="28"/>
          <w:rtl/>
        </w:rPr>
        <w:t>74</w:t>
      </w:r>
      <w:r w:rsidRPr="00282AC9">
        <w:rPr>
          <w:rFonts w:cs="DanaFajr"/>
          <w:szCs w:val="28"/>
        </w:rPr>
        <w:t xml:space="preserve"> </w:t>
      </w:r>
      <w:r w:rsidRPr="00282AC9">
        <w:rPr>
          <w:rFonts w:cs="DanaFajr" w:hint="cs"/>
          <w:szCs w:val="28"/>
          <w:rtl/>
        </w:rPr>
        <w:t>(</w:t>
      </w:r>
      <w:r w:rsidRPr="00282AC9">
        <w:rPr>
          <w:rFonts w:cs="DanaFajr"/>
          <w:szCs w:val="28"/>
          <w:rtl/>
        </w:rPr>
        <w:t>بتفاوت</w:t>
      </w:r>
      <w:r w:rsidRPr="00282AC9">
        <w:rPr>
          <w:rFonts w:cs="DanaFajr" w:hint="cs"/>
          <w:szCs w:val="28"/>
          <w:rtl/>
        </w:rPr>
        <w:t>ٍ</w:t>
      </w:r>
      <w:r w:rsidRPr="00282AC9">
        <w:rPr>
          <w:rFonts w:cs="DanaFajr"/>
          <w:szCs w:val="28"/>
        </w:rPr>
        <w:t xml:space="preserve"> </w:t>
      </w:r>
      <w:r w:rsidRPr="00282AC9">
        <w:rPr>
          <w:rFonts w:cs="DanaFajr"/>
          <w:szCs w:val="28"/>
          <w:rtl/>
        </w:rPr>
        <w:t>يسير</w:t>
      </w:r>
      <w:r w:rsidRPr="00282AC9">
        <w:rPr>
          <w:rFonts w:cs="DanaFajr" w:hint="cs"/>
          <w:szCs w:val="28"/>
          <w:rtl/>
        </w:rPr>
        <w:t>)</w:t>
      </w:r>
      <w:r w:rsidRPr="00282AC9">
        <w:rPr>
          <w:rFonts w:cs="DanaFajr"/>
          <w:szCs w:val="28"/>
        </w:rPr>
        <w:t>.</w:t>
      </w:r>
    </w:p>
  </w:endnote>
  <w:endnote w:id="215">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السيد</w:t>
      </w:r>
      <w:r w:rsidRPr="00282AC9">
        <w:rPr>
          <w:rFonts w:cs="DanaFajr"/>
          <w:szCs w:val="28"/>
        </w:rPr>
        <w:t xml:space="preserve"> </w:t>
      </w:r>
      <w:r w:rsidRPr="00282AC9">
        <w:rPr>
          <w:rFonts w:cs="DanaFajr"/>
          <w:szCs w:val="28"/>
          <w:rtl/>
        </w:rPr>
        <w:t>محمد</w:t>
      </w:r>
      <w:r w:rsidRPr="00282AC9">
        <w:rPr>
          <w:rFonts w:cs="DanaFajr"/>
          <w:szCs w:val="28"/>
        </w:rPr>
        <w:t xml:space="preserve"> </w:t>
      </w:r>
      <w:r w:rsidRPr="00282AC9">
        <w:rPr>
          <w:rFonts w:cs="DanaFajr"/>
          <w:szCs w:val="28"/>
          <w:rtl/>
        </w:rPr>
        <w:t>الشيرازي،</w:t>
      </w:r>
      <w:r w:rsidRPr="00282AC9">
        <w:rPr>
          <w:rFonts w:cs="DanaFajr"/>
          <w:szCs w:val="28"/>
        </w:rPr>
        <w:t xml:space="preserve"> </w:t>
      </w:r>
      <w:r w:rsidRPr="00282AC9">
        <w:rPr>
          <w:rFonts w:cs="DanaFajr"/>
          <w:szCs w:val="28"/>
          <w:rtl/>
        </w:rPr>
        <w:t>الفقه</w:t>
      </w:r>
      <w:r w:rsidRPr="00282AC9">
        <w:rPr>
          <w:rFonts w:cs="DanaFajr"/>
          <w:szCs w:val="28"/>
        </w:rPr>
        <w:t xml:space="preserve"> </w:t>
      </w:r>
      <w:r w:rsidRPr="00282AC9">
        <w:rPr>
          <w:rFonts w:cs="DanaFajr"/>
          <w:szCs w:val="28"/>
          <w:rtl/>
        </w:rPr>
        <w:t>كتاب</w:t>
      </w:r>
      <w:r w:rsidRPr="00282AC9">
        <w:rPr>
          <w:rFonts w:cs="DanaFajr"/>
          <w:szCs w:val="28"/>
        </w:rPr>
        <w:t xml:space="preserve"> </w:t>
      </w:r>
      <w:r w:rsidRPr="00282AC9">
        <w:rPr>
          <w:rFonts w:cs="DanaFajr"/>
          <w:szCs w:val="28"/>
          <w:rtl/>
        </w:rPr>
        <w:t>النكاح</w:t>
      </w:r>
      <w:r w:rsidRPr="00282AC9">
        <w:rPr>
          <w:rFonts w:cs="DanaFajr" w:hint="cs"/>
          <w:szCs w:val="28"/>
          <w:rtl/>
        </w:rPr>
        <w:t xml:space="preserve"> </w:t>
      </w:r>
      <w:r w:rsidRPr="00282AC9">
        <w:rPr>
          <w:rFonts w:cs="DanaFajr"/>
          <w:szCs w:val="28"/>
          <w:rtl/>
        </w:rPr>
        <w:t>64</w:t>
      </w:r>
      <w:r w:rsidRPr="00282AC9">
        <w:rPr>
          <w:rFonts w:cs="DanaFajr" w:hint="cs"/>
          <w:szCs w:val="28"/>
          <w:rtl/>
        </w:rPr>
        <w:t xml:space="preserve">: </w:t>
      </w:r>
      <w:r w:rsidRPr="00282AC9">
        <w:rPr>
          <w:rFonts w:cs="DanaFajr"/>
          <w:szCs w:val="28"/>
          <w:rtl/>
        </w:rPr>
        <w:t>27.</w:t>
      </w:r>
    </w:p>
  </w:endnote>
  <w:endnote w:id="216">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الكافي</w:t>
      </w:r>
      <w:r w:rsidRPr="00282AC9">
        <w:rPr>
          <w:rFonts w:cs="DanaFajr" w:hint="cs"/>
          <w:szCs w:val="28"/>
          <w:rtl/>
        </w:rPr>
        <w:t xml:space="preserve"> </w:t>
      </w:r>
      <w:r w:rsidRPr="00282AC9">
        <w:rPr>
          <w:rFonts w:cs="DanaFajr"/>
          <w:szCs w:val="28"/>
          <w:rtl/>
        </w:rPr>
        <w:t>5</w:t>
      </w:r>
      <w:r w:rsidRPr="00282AC9">
        <w:rPr>
          <w:rFonts w:cs="DanaFajr" w:hint="cs"/>
          <w:szCs w:val="28"/>
          <w:rtl/>
        </w:rPr>
        <w:t xml:space="preserve">: </w:t>
      </w:r>
      <w:r w:rsidRPr="00282AC9">
        <w:rPr>
          <w:rFonts w:cs="DanaFajr"/>
          <w:szCs w:val="28"/>
          <w:rtl/>
        </w:rPr>
        <w:t>34</w:t>
      </w:r>
      <w:r w:rsidRPr="00282AC9">
        <w:rPr>
          <w:rFonts w:cs="DanaFajr" w:hint="cs"/>
          <w:szCs w:val="28"/>
          <w:rtl/>
        </w:rPr>
        <w:t>١</w:t>
      </w:r>
      <w:r w:rsidRPr="00282AC9">
        <w:rPr>
          <w:rFonts w:cs="DanaFajr"/>
          <w:szCs w:val="28"/>
          <w:rtl/>
        </w:rPr>
        <w:t>.</w:t>
      </w:r>
    </w:p>
  </w:endnote>
  <w:endnote w:id="217">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ابن</w:t>
      </w:r>
      <w:r w:rsidRPr="00282AC9">
        <w:rPr>
          <w:rFonts w:cs="DanaFajr"/>
          <w:szCs w:val="28"/>
        </w:rPr>
        <w:t xml:space="preserve"> </w:t>
      </w:r>
      <w:r w:rsidRPr="00282AC9">
        <w:rPr>
          <w:rFonts w:cs="DanaFajr"/>
          <w:szCs w:val="28"/>
          <w:rtl/>
        </w:rPr>
        <w:t>قدامة</w:t>
      </w:r>
      <w:r w:rsidRPr="00282AC9">
        <w:rPr>
          <w:rFonts w:cs="DanaFajr" w:hint="cs"/>
          <w:szCs w:val="28"/>
          <w:rtl/>
        </w:rPr>
        <w:t xml:space="preserve">، </w:t>
      </w:r>
      <w:r w:rsidRPr="00282AC9">
        <w:rPr>
          <w:rFonts w:cs="DanaFajr"/>
          <w:szCs w:val="28"/>
          <w:rtl/>
        </w:rPr>
        <w:t>المغني</w:t>
      </w:r>
      <w:r w:rsidRPr="00282AC9">
        <w:rPr>
          <w:rFonts w:cs="DanaFajr" w:hint="cs"/>
          <w:szCs w:val="28"/>
          <w:rtl/>
        </w:rPr>
        <w:t xml:space="preserve"> </w:t>
      </w:r>
      <w:r w:rsidRPr="00282AC9">
        <w:rPr>
          <w:rFonts w:cs="DanaFajr"/>
          <w:szCs w:val="28"/>
          <w:rtl/>
        </w:rPr>
        <w:t>9</w:t>
      </w:r>
      <w:r w:rsidRPr="00282AC9">
        <w:rPr>
          <w:rFonts w:cs="DanaFajr" w:hint="cs"/>
          <w:szCs w:val="28"/>
          <w:rtl/>
        </w:rPr>
        <w:t xml:space="preserve">: </w:t>
      </w:r>
      <w:r w:rsidRPr="00282AC9">
        <w:rPr>
          <w:rFonts w:cs="DanaFajr"/>
          <w:szCs w:val="28"/>
          <w:rtl/>
        </w:rPr>
        <w:t>392.</w:t>
      </w:r>
    </w:p>
  </w:endnote>
  <w:endnote w:id="218">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الموسوعة</w:t>
      </w:r>
      <w:r w:rsidRPr="00282AC9">
        <w:rPr>
          <w:rFonts w:cs="DanaFajr"/>
          <w:szCs w:val="28"/>
        </w:rPr>
        <w:t xml:space="preserve"> </w:t>
      </w:r>
      <w:r w:rsidRPr="00282AC9">
        <w:rPr>
          <w:rFonts w:cs="DanaFajr"/>
          <w:szCs w:val="28"/>
          <w:rtl/>
        </w:rPr>
        <w:t>الفقهية</w:t>
      </w:r>
      <w:r w:rsidRPr="00282AC9">
        <w:rPr>
          <w:rFonts w:cs="DanaFajr" w:hint="cs"/>
          <w:szCs w:val="28"/>
          <w:rtl/>
        </w:rPr>
        <w:t xml:space="preserve"> </w:t>
      </w:r>
      <w:r w:rsidRPr="00282AC9">
        <w:rPr>
          <w:rFonts w:cs="DanaFajr"/>
          <w:szCs w:val="28"/>
          <w:rtl/>
        </w:rPr>
        <w:t>34</w:t>
      </w:r>
      <w:r w:rsidRPr="00282AC9">
        <w:rPr>
          <w:rFonts w:cs="DanaFajr" w:hint="cs"/>
          <w:szCs w:val="28"/>
          <w:rtl/>
        </w:rPr>
        <w:t xml:space="preserve">: </w:t>
      </w:r>
      <w:r w:rsidRPr="00282AC9">
        <w:rPr>
          <w:rFonts w:cs="DanaFajr"/>
          <w:szCs w:val="28"/>
          <w:rtl/>
        </w:rPr>
        <w:t>273.</w:t>
      </w:r>
    </w:p>
  </w:endnote>
  <w:endnote w:id="219">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xml:space="preserve">) </w:t>
      </w:r>
      <w:r w:rsidRPr="00282AC9">
        <w:rPr>
          <w:rFonts w:cs="DanaFajr" w:hint="cs"/>
          <w:szCs w:val="28"/>
          <w:rtl/>
        </w:rPr>
        <w:t xml:space="preserve">المصدر السابق </w:t>
      </w:r>
      <w:r w:rsidRPr="00282AC9">
        <w:rPr>
          <w:rFonts w:cs="DanaFajr"/>
          <w:szCs w:val="28"/>
          <w:rtl/>
        </w:rPr>
        <w:t>34</w:t>
      </w:r>
      <w:r w:rsidRPr="00282AC9">
        <w:rPr>
          <w:rFonts w:cs="DanaFajr" w:hint="cs"/>
          <w:szCs w:val="28"/>
          <w:rtl/>
        </w:rPr>
        <w:t xml:space="preserve">: </w:t>
      </w:r>
      <w:r w:rsidRPr="00282AC9">
        <w:rPr>
          <w:rFonts w:cs="DanaFajr"/>
          <w:szCs w:val="28"/>
          <w:rtl/>
        </w:rPr>
        <w:t>274.</w:t>
      </w:r>
    </w:p>
  </w:endnote>
  <w:endnote w:id="220">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المصدر</w:t>
      </w:r>
      <w:r w:rsidRPr="00282AC9">
        <w:rPr>
          <w:rFonts w:cs="DanaFajr"/>
          <w:szCs w:val="28"/>
        </w:rPr>
        <w:t xml:space="preserve"> </w:t>
      </w:r>
      <w:r w:rsidRPr="00282AC9">
        <w:rPr>
          <w:rFonts w:cs="DanaFajr" w:hint="cs"/>
          <w:szCs w:val="28"/>
          <w:rtl/>
        </w:rPr>
        <w:t xml:space="preserve">السابق </w:t>
      </w:r>
      <w:r w:rsidRPr="00282AC9">
        <w:rPr>
          <w:rFonts w:cs="DanaFajr"/>
          <w:szCs w:val="28"/>
          <w:rtl/>
        </w:rPr>
        <w:t>34</w:t>
      </w:r>
      <w:r w:rsidRPr="00282AC9">
        <w:rPr>
          <w:rFonts w:cs="DanaFajr" w:hint="cs"/>
          <w:szCs w:val="28"/>
          <w:rtl/>
        </w:rPr>
        <w:t xml:space="preserve">: </w:t>
      </w:r>
      <w:r w:rsidRPr="00282AC9">
        <w:rPr>
          <w:rFonts w:cs="DanaFajr"/>
          <w:szCs w:val="28"/>
          <w:rtl/>
        </w:rPr>
        <w:t>277.</w:t>
      </w:r>
    </w:p>
  </w:endnote>
  <w:endnote w:id="221">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المصدر</w:t>
      </w:r>
      <w:r w:rsidRPr="00282AC9">
        <w:rPr>
          <w:rFonts w:cs="DanaFajr"/>
          <w:szCs w:val="28"/>
        </w:rPr>
        <w:t xml:space="preserve"> </w:t>
      </w:r>
      <w:r w:rsidRPr="00282AC9">
        <w:rPr>
          <w:rFonts w:cs="DanaFajr" w:hint="cs"/>
          <w:szCs w:val="28"/>
          <w:rtl/>
        </w:rPr>
        <w:t xml:space="preserve">السابق </w:t>
      </w:r>
      <w:r w:rsidRPr="00282AC9">
        <w:rPr>
          <w:rFonts w:cs="DanaFajr"/>
          <w:szCs w:val="28"/>
          <w:rtl/>
        </w:rPr>
        <w:t>71</w:t>
      </w:r>
      <w:r w:rsidRPr="00282AC9">
        <w:rPr>
          <w:rFonts w:cs="DanaFajr" w:hint="cs"/>
          <w:szCs w:val="28"/>
          <w:rtl/>
        </w:rPr>
        <w:t xml:space="preserve">: </w:t>
      </w:r>
      <w:r w:rsidRPr="00282AC9">
        <w:rPr>
          <w:rFonts w:cs="DanaFajr"/>
          <w:szCs w:val="28"/>
          <w:rtl/>
        </w:rPr>
        <w:t>84.</w:t>
      </w:r>
    </w:p>
  </w:endnote>
  <w:endnote w:id="222">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كن</w:t>
      </w:r>
      <w:r w:rsidRPr="00282AC9">
        <w:rPr>
          <w:rFonts w:cs="DanaFajr" w:hint="cs"/>
          <w:szCs w:val="28"/>
          <w:rtl/>
        </w:rPr>
        <w:t>ـ</w:t>
      </w:r>
      <w:r w:rsidRPr="00282AC9">
        <w:rPr>
          <w:rFonts w:cs="DanaFajr"/>
          <w:szCs w:val="28"/>
          <w:rtl/>
        </w:rPr>
        <w:t>ز</w:t>
      </w:r>
      <w:r w:rsidRPr="00282AC9">
        <w:rPr>
          <w:rFonts w:cs="DanaFajr"/>
          <w:szCs w:val="28"/>
        </w:rPr>
        <w:t xml:space="preserve"> </w:t>
      </w:r>
      <w:r w:rsidRPr="00282AC9">
        <w:rPr>
          <w:rFonts w:cs="DanaFajr"/>
          <w:szCs w:val="28"/>
          <w:rtl/>
        </w:rPr>
        <w:t>العمال</w:t>
      </w:r>
      <w:r w:rsidRPr="00282AC9">
        <w:rPr>
          <w:rFonts w:cs="DanaFajr" w:hint="cs"/>
          <w:szCs w:val="28"/>
          <w:rtl/>
        </w:rPr>
        <w:t xml:space="preserve"> </w:t>
      </w:r>
      <w:r w:rsidRPr="00282AC9">
        <w:rPr>
          <w:rFonts w:cs="DanaFajr"/>
          <w:szCs w:val="28"/>
          <w:rtl/>
        </w:rPr>
        <w:t>16</w:t>
      </w:r>
      <w:r w:rsidRPr="00282AC9">
        <w:rPr>
          <w:rFonts w:cs="DanaFajr" w:hint="cs"/>
          <w:szCs w:val="28"/>
          <w:rtl/>
        </w:rPr>
        <w:t xml:space="preserve">: </w:t>
      </w:r>
      <w:r w:rsidRPr="00282AC9">
        <w:rPr>
          <w:rFonts w:cs="DanaFajr"/>
          <w:szCs w:val="28"/>
          <w:rtl/>
        </w:rPr>
        <w:t>445،</w:t>
      </w:r>
      <w:r w:rsidRPr="00282AC9">
        <w:rPr>
          <w:rFonts w:cs="DanaFajr"/>
          <w:szCs w:val="28"/>
        </w:rPr>
        <w:t xml:space="preserve"> </w:t>
      </w:r>
      <w:r w:rsidRPr="00282AC9">
        <w:rPr>
          <w:rFonts w:cs="DanaFajr" w:hint="cs"/>
          <w:szCs w:val="28"/>
          <w:rtl/>
        </w:rPr>
        <w:t>ح</w:t>
      </w:r>
      <w:r w:rsidRPr="00282AC9">
        <w:rPr>
          <w:rFonts w:cs="DanaFajr"/>
          <w:szCs w:val="28"/>
          <w:rtl/>
        </w:rPr>
        <w:t>4534</w:t>
      </w:r>
      <w:r w:rsidRPr="00282AC9">
        <w:rPr>
          <w:rFonts w:cs="DanaFajr" w:hint="cs"/>
          <w:szCs w:val="28"/>
          <w:rtl/>
        </w:rPr>
        <w:t>٨</w:t>
      </w:r>
      <w:r w:rsidRPr="00282AC9">
        <w:rPr>
          <w:rFonts w:cs="DanaFajr"/>
          <w:szCs w:val="28"/>
          <w:rtl/>
        </w:rPr>
        <w:t>.</w:t>
      </w:r>
    </w:p>
  </w:endnote>
  <w:endnote w:id="223">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وسائل</w:t>
      </w:r>
      <w:r w:rsidRPr="00282AC9">
        <w:rPr>
          <w:rFonts w:cs="DanaFajr"/>
          <w:szCs w:val="28"/>
        </w:rPr>
        <w:t xml:space="preserve"> </w:t>
      </w:r>
      <w:r w:rsidRPr="00282AC9">
        <w:rPr>
          <w:rFonts w:cs="DanaFajr"/>
          <w:szCs w:val="28"/>
          <w:rtl/>
        </w:rPr>
        <w:t>الشيعة</w:t>
      </w:r>
      <w:r w:rsidRPr="00282AC9">
        <w:rPr>
          <w:rFonts w:cs="DanaFajr" w:hint="cs"/>
          <w:szCs w:val="28"/>
          <w:rtl/>
        </w:rPr>
        <w:t xml:space="preserve"> </w:t>
      </w:r>
      <w:r w:rsidRPr="00282AC9">
        <w:rPr>
          <w:rFonts w:cs="DanaFajr"/>
          <w:szCs w:val="28"/>
          <w:rtl/>
        </w:rPr>
        <w:t>20</w:t>
      </w:r>
      <w:r w:rsidRPr="00282AC9">
        <w:rPr>
          <w:rFonts w:cs="DanaFajr" w:hint="cs"/>
          <w:szCs w:val="28"/>
          <w:rtl/>
        </w:rPr>
        <w:t xml:space="preserve">: </w:t>
      </w:r>
      <w:r w:rsidRPr="00282AC9">
        <w:rPr>
          <w:rFonts w:cs="DanaFajr"/>
          <w:szCs w:val="28"/>
          <w:rtl/>
        </w:rPr>
        <w:t>552،</w:t>
      </w:r>
      <w:r w:rsidRPr="00282AC9">
        <w:rPr>
          <w:rFonts w:cs="DanaFajr"/>
          <w:szCs w:val="28"/>
        </w:rPr>
        <w:t xml:space="preserve"> </w:t>
      </w:r>
      <w:r w:rsidRPr="00282AC9">
        <w:rPr>
          <w:rFonts w:cs="DanaFajr" w:hint="cs"/>
          <w:szCs w:val="28"/>
          <w:rtl/>
        </w:rPr>
        <w:t>ح</w:t>
      </w:r>
      <w:r w:rsidRPr="00282AC9">
        <w:rPr>
          <w:rFonts w:cs="DanaFajr"/>
          <w:szCs w:val="28"/>
          <w:rtl/>
        </w:rPr>
        <w:t>2</w:t>
      </w:r>
      <w:r w:rsidRPr="00282AC9">
        <w:rPr>
          <w:rFonts w:cs="DanaFajr" w:hint="cs"/>
          <w:szCs w:val="28"/>
          <w:rtl/>
        </w:rPr>
        <w:t>٦</w:t>
      </w:r>
      <w:r w:rsidRPr="00282AC9">
        <w:rPr>
          <w:rFonts w:cs="DanaFajr"/>
          <w:szCs w:val="28"/>
          <w:rtl/>
        </w:rPr>
        <w:t>325.</w:t>
      </w:r>
    </w:p>
  </w:endnote>
  <w:endnote w:id="224">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المصدر</w:t>
      </w:r>
      <w:r w:rsidRPr="00282AC9">
        <w:rPr>
          <w:rFonts w:cs="DanaFajr"/>
          <w:szCs w:val="28"/>
        </w:rPr>
        <w:t xml:space="preserve"> </w:t>
      </w:r>
      <w:r w:rsidRPr="00282AC9">
        <w:rPr>
          <w:rFonts w:cs="DanaFajr" w:hint="cs"/>
          <w:szCs w:val="28"/>
          <w:rtl/>
        </w:rPr>
        <w:t xml:space="preserve">السابق </w:t>
      </w:r>
      <w:r w:rsidRPr="00282AC9">
        <w:rPr>
          <w:rFonts w:cs="DanaFajr"/>
          <w:szCs w:val="28"/>
          <w:rtl/>
        </w:rPr>
        <w:t>20</w:t>
      </w:r>
      <w:r w:rsidRPr="00282AC9">
        <w:rPr>
          <w:rFonts w:cs="DanaFajr" w:hint="cs"/>
          <w:szCs w:val="28"/>
          <w:rtl/>
        </w:rPr>
        <w:t xml:space="preserve">: </w:t>
      </w:r>
      <w:r w:rsidRPr="00282AC9">
        <w:rPr>
          <w:rFonts w:cs="DanaFajr"/>
          <w:szCs w:val="28"/>
          <w:rtl/>
        </w:rPr>
        <w:t>55</w:t>
      </w:r>
      <w:r w:rsidRPr="00282AC9">
        <w:rPr>
          <w:rFonts w:cs="DanaFajr" w:hint="cs"/>
          <w:szCs w:val="28"/>
          <w:rtl/>
        </w:rPr>
        <w:t xml:space="preserve">1 ـ </w:t>
      </w:r>
      <w:r w:rsidRPr="00282AC9">
        <w:rPr>
          <w:rFonts w:cs="DanaFajr"/>
          <w:szCs w:val="28"/>
          <w:rtl/>
        </w:rPr>
        <w:t>552،</w:t>
      </w:r>
      <w:r w:rsidRPr="00282AC9">
        <w:rPr>
          <w:rFonts w:cs="DanaFajr"/>
          <w:szCs w:val="28"/>
        </w:rPr>
        <w:t xml:space="preserve"> </w:t>
      </w:r>
      <w:r w:rsidRPr="00282AC9">
        <w:rPr>
          <w:rFonts w:cs="DanaFajr" w:hint="cs"/>
          <w:szCs w:val="28"/>
          <w:rtl/>
        </w:rPr>
        <w:t>ح</w:t>
      </w:r>
      <w:r w:rsidRPr="00282AC9">
        <w:rPr>
          <w:rFonts w:cs="DanaFajr"/>
          <w:szCs w:val="28"/>
          <w:rtl/>
        </w:rPr>
        <w:t>26324.</w:t>
      </w:r>
    </w:p>
  </w:endnote>
  <w:endnote w:id="225">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بحار</w:t>
      </w:r>
      <w:r w:rsidRPr="00282AC9">
        <w:rPr>
          <w:rFonts w:cs="DanaFajr"/>
          <w:szCs w:val="28"/>
        </w:rPr>
        <w:t xml:space="preserve"> </w:t>
      </w:r>
      <w:r w:rsidRPr="00282AC9">
        <w:rPr>
          <w:rFonts w:cs="DanaFajr"/>
          <w:szCs w:val="28"/>
          <w:rtl/>
        </w:rPr>
        <w:t>الأنوار</w:t>
      </w:r>
      <w:r w:rsidRPr="00282AC9">
        <w:rPr>
          <w:rFonts w:cs="DanaFajr"/>
          <w:szCs w:val="28"/>
        </w:rPr>
        <w:t xml:space="preserve"> </w:t>
      </w:r>
      <w:r w:rsidRPr="00282AC9">
        <w:rPr>
          <w:rFonts w:cs="DanaFajr" w:hint="cs"/>
          <w:szCs w:val="28"/>
          <w:rtl/>
        </w:rPr>
        <w:t>٢:</w:t>
      </w:r>
      <w:r w:rsidRPr="00282AC9">
        <w:rPr>
          <w:rFonts w:cs="DanaFajr"/>
          <w:szCs w:val="28"/>
        </w:rPr>
        <w:t xml:space="preserve"> </w:t>
      </w:r>
      <w:r w:rsidRPr="00282AC9">
        <w:rPr>
          <w:rFonts w:cs="DanaFajr" w:hint="cs"/>
          <w:szCs w:val="28"/>
          <w:rtl/>
        </w:rPr>
        <w:t>٢٧٢،</w:t>
      </w:r>
      <w:r w:rsidRPr="00282AC9">
        <w:rPr>
          <w:rFonts w:cs="DanaFajr"/>
          <w:szCs w:val="28"/>
        </w:rPr>
        <w:t xml:space="preserve"> </w:t>
      </w:r>
      <w:r w:rsidRPr="00282AC9">
        <w:rPr>
          <w:rFonts w:cs="DanaFajr" w:hint="cs"/>
          <w:szCs w:val="28"/>
          <w:rtl/>
        </w:rPr>
        <w:t>ح</w:t>
      </w:r>
      <w:r w:rsidRPr="00282AC9">
        <w:rPr>
          <w:rFonts w:cs="DanaFajr"/>
          <w:szCs w:val="28"/>
          <w:rtl/>
        </w:rPr>
        <w:t>7.</w:t>
      </w:r>
    </w:p>
  </w:endnote>
  <w:endnote w:id="226">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كن</w:t>
      </w:r>
      <w:r w:rsidRPr="00282AC9">
        <w:rPr>
          <w:rFonts w:cs="DanaFajr" w:hint="cs"/>
          <w:szCs w:val="28"/>
          <w:rtl/>
        </w:rPr>
        <w:t>ـ</w:t>
      </w:r>
      <w:r w:rsidRPr="00282AC9">
        <w:rPr>
          <w:rFonts w:cs="DanaFajr"/>
          <w:szCs w:val="28"/>
          <w:rtl/>
        </w:rPr>
        <w:t>ز</w:t>
      </w:r>
      <w:r w:rsidRPr="00282AC9">
        <w:rPr>
          <w:rFonts w:cs="DanaFajr"/>
          <w:szCs w:val="28"/>
        </w:rPr>
        <w:t xml:space="preserve"> </w:t>
      </w:r>
      <w:r w:rsidRPr="00282AC9">
        <w:rPr>
          <w:rFonts w:cs="DanaFajr"/>
          <w:szCs w:val="28"/>
          <w:rtl/>
        </w:rPr>
        <w:t>العمال</w:t>
      </w:r>
      <w:r w:rsidRPr="00282AC9">
        <w:rPr>
          <w:rFonts w:cs="DanaFajr" w:hint="cs"/>
          <w:szCs w:val="28"/>
          <w:rtl/>
        </w:rPr>
        <w:t xml:space="preserve"> </w:t>
      </w:r>
      <w:r w:rsidRPr="00282AC9">
        <w:rPr>
          <w:rFonts w:cs="DanaFajr"/>
          <w:szCs w:val="28"/>
          <w:rtl/>
        </w:rPr>
        <w:t>1</w:t>
      </w:r>
      <w:r w:rsidRPr="00282AC9">
        <w:rPr>
          <w:rFonts w:cs="DanaFajr" w:hint="cs"/>
          <w:szCs w:val="28"/>
          <w:rtl/>
        </w:rPr>
        <w:t xml:space="preserve">: </w:t>
      </w:r>
      <w:r w:rsidRPr="00282AC9">
        <w:rPr>
          <w:rFonts w:cs="DanaFajr"/>
          <w:szCs w:val="28"/>
          <w:rtl/>
        </w:rPr>
        <w:t>93،</w:t>
      </w:r>
      <w:r w:rsidRPr="00282AC9">
        <w:rPr>
          <w:rFonts w:cs="DanaFajr"/>
          <w:szCs w:val="28"/>
        </w:rPr>
        <w:t xml:space="preserve"> </w:t>
      </w:r>
      <w:r w:rsidRPr="00282AC9">
        <w:rPr>
          <w:rFonts w:cs="DanaFajr" w:hint="cs"/>
          <w:szCs w:val="28"/>
          <w:rtl/>
        </w:rPr>
        <w:t>ح</w:t>
      </w:r>
      <w:r w:rsidRPr="00282AC9">
        <w:rPr>
          <w:rFonts w:cs="DanaFajr"/>
          <w:szCs w:val="28"/>
          <w:rtl/>
        </w:rPr>
        <w:t>4</w:t>
      </w:r>
      <w:r w:rsidRPr="00282AC9">
        <w:rPr>
          <w:rFonts w:cs="DanaFajr" w:hint="cs"/>
          <w:szCs w:val="28"/>
          <w:rtl/>
        </w:rPr>
        <w:t>٠</w:t>
      </w:r>
      <w:r w:rsidRPr="00282AC9">
        <w:rPr>
          <w:rFonts w:cs="DanaFajr"/>
          <w:szCs w:val="28"/>
          <w:rtl/>
        </w:rPr>
        <w:t>4.</w:t>
      </w:r>
    </w:p>
  </w:endnote>
  <w:endnote w:id="227">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مسند</w:t>
      </w:r>
      <w:r w:rsidRPr="00282AC9">
        <w:rPr>
          <w:rFonts w:cs="DanaFajr"/>
          <w:szCs w:val="28"/>
        </w:rPr>
        <w:t xml:space="preserve"> </w:t>
      </w:r>
      <w:r w:rsidRPr="00282AC9">
        <w:rPr>
          <w:rFonts w:cs="DanaFajr"/>
          <w:szCs w:val="28"/>
          <w:rtl/>
        </w:rPr>
        <w:t>الإمام</w:t>
      </w:r>
      <w:r w:rsidRPr="00282AC9">
        <w:rPr>
          <w:rFonts w:cs="DanaFajr"/>
          <w:szCs w:val="28"/>
        </w:rPr>
        <w:t xml:space="preserve"> </w:t>
      </w:r>
      <w:r w:rsidRPr="00282AC9">
        <w:rPr>
          <w:rFonts w:cs="DanaFajr"/>
          <w:szCs w:val="28"/>
          <w:rtl/>
        </w:rPr>
        <w:t>أحمد</w:t>
      </w:r>
      <w:r w:rsidRPr="00282AC9">
        <w:rPr>
          <w:rFonts w:cs="DanaFajr"/>
          <w:szCs w:val="28"/>
        </w:rPr>
        <w:t xml:space="preserve"> </w:t>
      </w:r>
      <w:r w:rsidRPr="00282AC9">
        <w:rPr>
          <w:rFonts w:cs="DanaFajr"/>
          <w:szCs w:val="28"/>
          <w:rtl/>
        </w:rPr>
        <w:t>بن</w:t>
      </w:r>
      <w:r w:rsidRPr="00282AC9">
        <w:rPr>
          <w:rFonts w:cs="DanaFajr"/>
          <w:szCs w:val="28"/>
        </w:rPr>
        <w:t xml:space="preserve"> </w:t>
      </w:r>
      <w:r w:rsidRPr="00282AC9">
        <w:rPr>
          <w:rFonts w:cs="DanaFajr"/>
          <w:szCs w:val="28"/>
          <w:rtl/>
        </w:rPr>
        <w:t>حنبل</w:t>
      </w:r>
      <w:r w:rsidRPr="00282AC9">
        <w:rPr>
          <w:rFonts w:cs="DanaFajr" w:hint="cs"/>
          <w:szCs w:val="28"/>
          <w:rtl/>
        </w:rPr>
        <w:t xml:space="preserve"> </w:t>
      </w:r>
      <w:r w:rsidRPr="00282AC9">
        <w:rPr>
          <w:rFonts w:cs="DanaFajr"/>
          <w:szCs w:val="28"/>
          <w:rtl/>
        </w:rPr>
        <w:t>6</w:t>
      </w:r>
      <w:r w:rsidRPr="00282AC9">
        <w:rPr>
          <w:rFonts w:cs="DanaFajr" w:hint="cs"/>
          <w:szCs w:val="28"/>
          <w:rtl/>
        </w:rPr>
        <w:t xml:space="preserve">: </w:t>
      </w:r>
      <w:r w:rsidRPr="00282AC9">
        <w:rPr>
          <w:rFonts w:cs="DanaFajr"/>
          <w:szCs w:val="28"/>
          <w:rtl/>
        </w:rPr>
        <w:t>903،</w:t>
      </w:r>
      <w:r w:rsidRPr="00282AC9">
        <w:rPr>
          <w:rFonts w:cs="DanaFajr"/>
          <w:szCs w:val="28"/>
        </w:rPr>
        <w:t xml:space="preserve"> </w:t>
      </w:r>
      <w:r w:rsidRPr="00282AC9">
        <w:rPr>
          <w:rFonts w:cs="DanaFajr" w:hint="cs"/>
          <w:szCs w:val="28"/>
          <w:rtl/>
        </w:rPr>
        <w:t>ح</w:t>
      </w:r>
      <w:r w:rsidRPr="00282AC9">
        <w:rPr>
          <w:rFonts w:cs="DanaFajr"/>
          <w:szCs w:val="28"/>
          <w:rtl/>
        </w:rPr>
        <w:t>20</w:t>
      </w:r>
      <w:r w:rsidRPr="00282AC9">
        <w:rPr>
          <w:rFonts w:cs="DanaFajr" w:hint="cs"/>
          <w:szCs w:val="28"/>
          <w:rtl/>
        </w:rPr>
        <w:t>٩</w:t>
      </w:r>
      <w:r w:rsidRPr="00282AC9">
        <w:rPr>
          <w:rFonts w:cs="DanaFajr"/>
          <w:szCs w:val="28"/>
          <w:rtl/>
        </w:rPr>
        <w:t>71.</w:t>
      </w:r>
    </w:p>
  </w:endnote>
  <w:endnote w:id="228">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الكافي</w:t>
      </w:r>
      <w:r w:rsidRPr="00282AC9">
        <w:rPr>
          <w:rFonts w:cs="DanaFajr" w:hint="cs"/>
          <w:szCs w:val="28"/>
          <w:rtl/>
        </w:rPr>
        <w:t xml:space="preserve"> </w:t>
      </w:r>
      <w:r w:rsidRPr="00282AC9">
        <w:rPr>
          <w:rFonts w:cs="DanaFajr"/>
          <w:szCs w:val="28"/>
          <w:rtl/>
        </w:rPr>
        <w:t>7</w:t>
      </w:r>
      <w:r w:rsidRPr="00282AC9">
        <w:rPr>
          <w:rFonts w:cs="DanaFajr" w:hint="cs"/>
          <w:szCs w:val="28"/>
          <w:rtl/>
        </w:rPr>
        <w:t xml:space="preserve">: </w:t>
      </w:r>
      <w:r w:rsidRPr="00282AC9">
        <w:rPr>
          <w:rFonts w:cs="DanaFajr"/>
          <w:szCs w:val="28"/>
          <w:rtl/>
        </w:rPr>
        <w:t>8،</w:t>
      </w:r>
      <w:r w:rsidRPr="00282AC9">
        <w:rPr>
          <w:rFonts w:cs="DanaFajr"/>
          <w:szCs w:val="28"/>
        </w:rPr>
        <w:t xml:space="preserve"> </w:t>
      </w:r>
      <w:r w:rsidRPr="00282AC9">
        <w:rPr>
          <w:rFonts w:cs="DanaFajr" w:hint="cs"/>
          <w:szCs w:val="28"/>
          <w:rtl/>
        </w:rPr>
        <w:t>ح</w:t>
      </w:r>
      <w:r w:rsidRPr="00282AC9">
        <w:rPr>
          <w:rFonts w:cs="DanaFajr"/>
          <w:szCs w:val="28"/>
          <w:rtl/>
        </w:rPr>
        <w:t>10.</w:t>
      </w:r>
    </w:p>
  </w:endnote>
  <w:endnote w:id="229">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xml:space="preserve">) </w:t>
      </w:r>
      <w:r w:rsidRPr="00282AC9">
        <w:rPr>
          <w:rFonts w:cs="DanaFajr" w:hint="cs"/>
          <w:szCs w:val="28"/>
          <w:rtl/>
        </w:rPr>
        <w:t xml:space="preserve">المصدر السابق </w:t>
      </w:r>
      <w:r w:rsidRPr="00282AC9">
        <w:rPr>
          <w:rFonts w:cs="DanaFajr"/>
          <w:szCs w:val="28"/>
          <w:rtl/>
        </w:rPr>
        <w:t>7</w:t>
      </w:r>
      <w:r w:rsidRPr="00282AC9">
        <w:rPr>
          <w:rFonts w:cs="DanaFajr" w:hint="cs"/>
          <w:szCs w:val="28"/>
          <w:rtl/>
        </w:rPr>
        <w:t xml:space="preserve">: </w:t>
      </w:r>
      <w:r w:rsidRPr="00282AC9">
        <w:rPr>
          <w:rFonts w:cs="DanaFajr"/>
          <w:szCs w:val="28"/>
          <w:rtl/>
        </w:rPr>
        <w:t>7،</w:t>
      </w:r>
      <w:r w:rsidRPr="00282AC9">
        <w:rPr>
          <w:rFonts w:cs="DanaFajr"/>
          <w:szCs w:val="28"/>
        </w:rPr>
        <w:t xml:space="preserve"> </w:t>
      </w:r>
      <w:r w:rsidRPr="00282AC9">
        <w:rPr>
          <w:rFonts w:cs="DanaFajr" w:hint="cs"/>
          <w:szCs w:val="28"/>
          <w:rtl/>
        </w:rPr>
        <w:t>ح</w:t>
      </w:r>
      <w:r w:rsidRPr="00282AC9">
        <w:rPr>
          <w:rFonts w:cs="DanaFajr"/>
          <w:szCs w:val="28"/>
          <w:rtl/>
        </w:rPr>
        <w:t>1.</w:t>
      </w:r>
    </w:p>
  </w:endnote>
  <w:endnote w:id="230">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كن</w:t>
      </w:r>
      <w:r w:rsidRPr="00282AC9">
        <w:rPr>
          <w:rFonts w:cs="DanaFajr" w:hint="cs"/>
          <w:szCs w:val="28"/>
          <w:rtl/>
        </w:rPr>
        <w:t>ـ</w:t>
      </w:r>
      <w:r w:rsidRPr="00282AC9">
        <w:rPr>
          <w:rFonts w:cs="DanaFajr"/>
          <w:szCs w:val="28"/>
          <w:rtl/>
        </w:rPr>
        <w:t>ز العمال،</w:t>
      </w:r>
      <w:r w:rsidRPr="00282AC9">
        <w:rPr>
          <w:rFonts w:cs="DanaFajr"/>
          <w:szCs w:val="28"/>
        </w:rPr>
        <w:t xml:space="preserve"> </w:t>
      </w:r>
      <w:r w:rsidRPr="00282AC9">
        <w:rPr>
          <w:rFonts w:cs="DanaFajr"/>
          <w:szCs w:val="28"/>
          <w:rtl/>
        </w:rPr>
        <w:t>ج16</w:t>
      </w:r>
      <w:r w:rsidRPr="00282AC9">
        <w:rPr>
          <w:rFonts w:cs="DanaFajr" w:hint="cs"/>
          <w:szCs w:val="28"/>
          <w:rtl/>
        </w:rPr>
        <w:t xml:space="preserve">: </w:t>
      </w:r>
      <w:r w:rsidRPr="00282AC9">
        <w:rPr>
          <w:rFonts w:cs="DanaFajr"/>
          <w:szCs w:val="28"/>
          <w:rtl/>
        </w:rPr>
        <w:t xml:space="preserve">371، </w:t>
      </w:r>
      <w:r w:rsidRPr="00282AC9">
        <w:rPr>
          <w:rFonts w:cs="DanaFajr" w:hint="cs"/>
          <w:szCs w:val="28"/>
          <w:rtl/>
        </w:rPr>
        <w:t>ح</w:t>
      </w:r>
      <w:r w:rsidRPr="00282AC9">
        <w:rPr>
          <w:rFonts w:cs="DanaFajr"/>
          <w:szCs w:val="28"/>
          <w:rtl/>
        </w:rPr>
        <w:t>44943.</w:t>
      </w:r>
    </w:p>
  </w:endnote>
  <w:endnote w:id="231">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xml:space="preserve">) </w:t>
      </w:r>
      <w:r w:rsidRPr="00282AC9">
        <w:rPr>
          <w:rFonts w:cs="DanaFajr" w:hint="cs"/>
          <w:szCs w:val="28"/>
          <w:rtl/>
        </w:rPr>
        <w:t>المصدر السابق ١٦: ٤٦١،</w:t>
      </w:r>
      <w:r w:rsidRPr="00282AC9">
        <w:rPr>
          <w:rFonts w:cs="DanaFajr"/>
          <w:szCs w:val="28"/>
        </w:rPr>
        <w:t xml:space="preserve"> </w:t>
      </w:r>
      <w:r w:rsidRPr="00282AC9">
        <w:rPr>
          <w:rFonts w:cs="DanaFajr" w:hint="cs"/>
          <w:szCs w:val="28"/>
          <w:rtl/>
        </w:rPr>
        <w:t>ح</w:t>
      </w:r>
      <w:r w:rsidRPr="00282AC9">
        <w:rPr>
          <w:rFonts w:cs="DanaFajr"/>
          <w:szCs w:val="28"/>
          <w:rtl/>
        </w:rPr>
        <w:t>4543</w:t>
      </w:r>
      <w:r w:rsidRPr="00282AC9">
        <w:rPr>
          <w:rFonts w:cs="DanaFajr" w:hint="cs"/>
          <w:szCs w:val="28"/>
          <w:rtl/>
        </w:rPr>
        <w:t>٩</w:t>
      </w:r>
      <w:r w:rsidRPr="00282AC9">
        <w:rPr>
          <w:rFonts w:cs="DanaFajr"/>
          <w:szCs w:val="28"/>
          <w:rtl/>
        </w:rPr>
        <w:t>.</w:t>
      </w:r>
    </w:p>
  </w:endnote>
  <w:endnote w:id="232">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الميرزا</w:t>
      </w:r>
      <w:r w:rsidRPr="00282AC9">
        <w:rPr>
          <w:rFonts w:cs="DanaFajr"/>
          <w:szCs w:val="28"/>
        </w:rPr>
        <w:t xml:space="preserve"> </w:t>
      </w:r>
      <w:r w:rsidRPr="00282AC9">
        <w:rPr>
          <w:rFonts w:cs="DanaFajr"/>
          <w:szCs w:val="28"/>
          <w:rtl/>
        </w:rPr>
        <w:t>النوري،</w:t>
      </w:r>
      <w:r w:rsidRPr="00282AC9">
        <w:rPr>
          <w:rFonts w:cs="DanaFajr"/>
          <w:szCs w:val="28"/>
        </w:rPr>
        <w:t xml:space="preserve"> </w:t>
      </w:r>
      <w:r w:rsidRPr="00282AC9">
        <w:rPr>
          <w:rFonts w:cs="DanaFajr"/>
          <w:szCs w:val="28"/>
          <w:rtl/>
        </w:rPr>
        <w:t>مستدرك</w:t>
      </w:r>
      <w:r w:rsidRPr="00282AC9">
        <w:rPr>
          <w:rFonts w:cs="DanaFajr"/>
          <w:szCs w:val="28"/>
        </w:rPr>
        <w:t xml:space="preserve"> </w:t>
      </w:r>
      <w:r w:rsidRPr="00282AC9">
        <w:rPr>
          <w:rFonts w:cs="DanaFajr"/>
          <w:szCs w:val="28"/>
          <w:rtl/>
        </w:rPr>
        <w:t>الوسائل</w:t>
      </w:r>
      <w:r w:rsidRPr="00282AC9">
        <w:rPr>
          <w:rFonts w:cs="DanaFajr" w:hint="cs"/>
          <w:szCs w:val="28"/>
          <w:rtl/>
        </w:rPr>
        <w:t xml:space="preserve"> ١٥: ١٨١،</w:t>
      </w:r>
      <w:r w:rsidRPr="00282AC9">
        <w:rPr>
          <w:rFonts w:cs="DanaFajr"/>
          <w:szCs w:val="28"/>
        </w:rPr>
        <w:t xml:space="preserve"> </w:t>
      </w:r>
      <w:r w:rsidRPr="00282AC9">
        <w:rPr>
          <w:rFonts w:cs="DanaFajr"/>
          <w:szCs w:val="28"/>
          <w:rtl/>
        </w:rPr>
        <w:t>باب</w:t>
      </w:r>
      <w:r w:rsidRPr="00282AC9">
        <w:rPr>
          <w:rFonts w:cs="DanaFajr"/>
          <w:szCs w:val="28"/>
        </w:rPr>
        <w:t xml:space="preserve"> </w:t>
      </w:r>
      <w:r w:rsidRPr="00282AC9">
        <w:rPr>
          <w:rFonts w:cs="DanaFajr"/>
          <w:szCs w:val="28"/>
          <w:rtl/>
        </w:rPr>
        <w:t>7</w:t>
      </w:r>
      <w:r w:rsidRPr="00282AC9">
        <w:rPr>
          <w:rFonts w:cs="DanaFajr" w:hint="cs"/>
          <w:szCs w:val="28"/>
          <w:rtl/>
        </w:rPr>
        <w:t>٠</w:t>
      </w:r>
      <w:r w:rsidRPr="00282AC9">
        <w:rPr>
          <w:rFonts w:cs="DanaFajr"/>
          <w:szCs w:val="28"/>
          <w:rtl/>
        </w:rPr>
        <w:t>،</w:t>
      </w:r>
      <w:r w:rsidRPr="00282AC9">
        <w:rPr>
          <w:rFonts w:cs="DanaFajr"/>
          <w:szCs w:val="28"/>
        </w:rPr>
        <w:t xml:space="preserve"> </w:t>
      </w:r>
      <w:r w:rsidRPr="00282AC9">
        <w:rPr>
          <w:rFonts w:cs="DanaFajr" w:hint="cs"/>
          <w:szCs w:val="28"/>
          <w:rtl/>
        </w:rPr>
        <w:t>ح</w:t>
      </w:r>
      <w:r w:rsidRPr="00282AC9">
        <w:rPr>
          <w:rFonts w:cs="DanaFajr"/>
          <w:szCs w:val="28"/>
          <w:rtl/>
        </w:rPr>
        <w:t>4.</w:t>
      </w:r>
    </w:p>
  </w:endnote>
  <w:endnote w:id="233">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وسائل</w:t>
      </w:r>
      <w:r w:rsidRPr="00282AC9">
        <w:rPr>
          <w:rFonts w:cs="DanaFajr"/>
          <w:szCs w:val="28"/>
        </w:rPr>
        <w:t xml:space="preserve"> </w:t>
      </w:r>
      <w:r w:rsidRPr="00282AC9">
        <w:rPr>
          <w:rFonts w:cs="DanaFajr"/>
          <w:szCs w:val="28"/>
          <w:rtl/>
        </w:rPr>
        <w:t>الشيعة</w:t>
      </w:r>
      <w:r w:rsidRPr="00282AC9">
        <w:rPr>
          <w:rFonts w:cs="DanaFajr" w:hint="cs"/>
          <w:szCs w:val="28"/>
          <w:rtl/>
        </w:rPr>
        <w:t xml:space="preserve"> ٢١: ٤٩١،</w:t>
      </w:r>
      <w:r w:rsidRPr="00282AC9">
        <w:rPr>
          <w:rFonts w:cs="DanaFajr"/>
          <w:szCs w:val="28"/>
        </w:rPr>
        <w:t xml:space="preserve"> </w:t>
      </w:r>
      <w:r w:rsidRPr="00282AC9">
        <w:rPr>
          <w:rFonts w:cs="DanaFajr" w:hint="cs"/>
          <w:szCs w:val="28"/>
          <w:rtl/>
        </w:rPr>
        <w:t>ح</w:t>
      </w:r>
      <w:r w:rsidRPr="00282AC9">
        <w:rPr>
          <w:rFonts w:cs="DanaFajr"/>
          <w:szCs w:val="28"/>
          <w:rtl/>
        </w:rPr>
        <w:t>27</w:t>
      </w:r>
      <w:r w:rsidRPr="00282AC9">
        <w:rPr>
          <w:rFonts w:cs="DanaFajr" w:hint="cs"/>
          <w:szCs w:val="28"/>
          <w:rtl/>
        </w:rPr>
        <w:t>٦</w:t>
      </w:r>
      <w:r w:rsidRPr="00282AC9">
        <w:rPr>
          <w:rFonts w:cs="DanaFajr"/>
          <w:szCs w:val="28"/>
          <w:rtl/>
        </w:rPr>
        <w:t>7</w:t>
      </w:r>
      <w:r w:rsidRPr="00282AC9">
        <w:rPr>
          <w:rFonts w:cs="DanaFajr" w:hint="cs"/>
          <w:szCs w:val="28"/>
          <w:rtl/>
        </w:rPr>
        <w:t>٠</w:t>
      </w:r>
      <w:r w:rsidRPr="00282AC9">
        <w:rPr>
          <w:rFonts w:cs="DanaFajr"/>
          <w:szCs w:val="28"/>
          <w:rtl/>
        </w:rPr>
        <w:t>.</w:t>
      </w:r>
    </w:p>
  </w:endnote>
  <w:endnote w:id="234">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صحيح</w:t>
      </w:r>
      <w:r w:rsidRPr="00282AC9">
        <w:rPr>
          <w:rFonts w:cs="DanaFajr"/>
          <w:szCs w:val="28"/>
        </w:rPr>
        <w:t xml:space="preserve"> </w:t>
      </w:r>
      <w:r w:rsidRPr="00282AC9">
        <w:rPr>
          <w:rFonts w:cs="DanaFajr"/>
          <w:szCs w:val="28"/>
          <w:rtl/>
        </w:rPr>
        <w:t>مسلم،</w:t>
      </w:r>
      <w:r w:rsidRPr="00282AC9">
        <w:rPr>
          <w:rFonts w:cs="DanaFajr"/>
          <w:szCs w:val="28"/>
        </w:rPr>
        <w:t xml:space="preserve"> </w:t>
      </w:r>
      <w:r w:rsidRPr="00282AC9">
        <w:rPr>
          <w:rFonts w:cs="DanaFajr"/>
          <w:szCs w:val="28"/>
          <w:rtl/>
        </w:rPr>
        <w:t>كتاب</w:t>
      </w:r>
      <w:r w:rsidRPr="00282AC9">
        <w:rPr>
          <w:rFonts w:cs="DanaFajr"/>
          <w:szCs w:val="28"/>
        </w:rPr>
        <w:t xml:space="preserve"> </w:t>
      </w:r>
      <w:r w:rsidRPr="00282AC9">
        <w:rPr>
          <w:rFonts w:cs="DanaFajr"/>
          <w:szCs w:val="28"/>
          <w:rtl/>
        </w:rPr>
        <w:t>الب</w:t>
      </w:r>
      <w:r w:rsidRPr="00282AC9">
        <w:rPr>
          <w:rFonts w:cs="DanaFajr" w:hint="cs"/>
          <w:szCs w:val="28"/>
          <w:rtl/>
        </w:rPr>
        <w:t>ِ</w:t>
      </w:r>
      <w:r w:rsidRPr="00282AC9">
        <w:rPr>
          <w:rFonts w:cs="DanaFajr"/>
          <w:szCs w:val="28"/>
          <w:rtl/>
        </w:rPr>
        <w:t>ر</w:t>
      </w:r>
      <w:r w:rsidRPr="00282AC9">
        <w:rPr>
          <w:rFonts w:cs="DanaFajr" w:hint="cs"/>
          <w:szCs w:val="28"/>
          <w:rtl/>
        </w:rPr>
        <w:t xml:space="preserve">ّ </w:t>
      </w:r>
      <w:r w:rsidRPr="00282AC9">
        <w:rPr>
          <w:rFonts w:cs="DanaFajr"/>
          <w:szCs w:val="28"/>
          <w:rtl/>
        </w:rPr>
        <w:t>والص</w:t>
      </w:r>
      <w:r w:rsidRPr="00282AC9">
        <w:rPr>
          <w:rFonts w:cs="DanaFajr" w:hint="cs"/>
          <w:szCs w:val="28"/>
          <w:rtl/>
        </w:rPr>
        <w:t>ِّ</w:t>
      </w:r>
      <w:r w:rsidRPr="00282AC9">
        <w:rPr>
          <w:rFonts w:cs="DanaFajr"/>
          <w:szCs w:val="28"/>
          <w:rtl/>
        </w:rPr>
        <w:t>ل</w:t>
      </w:r>
      <w:r w:rsidRPr="00282AC9">
        <w:rPr>
          <w:rFonts w:cs="DanaFajr" w:hint="cs"/>
          <w:szCs w:val="28"/>
          <w:rtl/>
        </w:rPr>
        <w:t xml:space="preserve">ة </w:t>
      </w:r>
      <w:r w:rsidRPr="00282AC9">
        <w:rPr>
          <w:rFonts w:cs="DanaFajr"/>
          <w:szCs w:val="28"/>
          <w:rtl/>
        </w:rPr>
        <w:t>والآداب،</w:t>
      </w:r>
      <w:r w:rsidRPr="00282AC9">
        <w:rPr>
          <w:rFonts w:cs="DanaFajr"/>
          <w:szCs w:val="28"/>
        </w:rPr>
        <w:t xml:space="preserve"> </w:t>
      </w:r>
      <w:r w:rsidRPr="00282AC9">
        <w:rPr>
          <w:rFonts w:cs="DanaFajr" w:hint="cs"/>
          <w:szCs w:val="28"/>
          <w:rtl/>
        </w:rPr>
        <w:t>ح</w:t>
      </w:r>
      <w:r w:rsidRPr="00282AC9">
        <w:rPr>
          <w:rFonts w:cs="DanaFajr"/>
          <w:szCs w:val="28"/>
          <w:rtl/>
        </w:rPr>
        <w:t>254</w:t>
      </w:r>
      <w:r w:rsidRPr="00282AC9">
        <w:rPr>
          <w:rFonts w:cs="DanaFajr" w:hint="cs"/>
          <w:szCs w:val="28"/>
          <w:rtl/>
        </w:rPr>
        <w:t>٨</w:t>
      </w:r>
      <w:r w:rsidRPr="00282AC9">
        <w:rPr>
          <w:rFonts w:cs="DanaFajr"/>
          <w:szCs w:val="28"/>
          <w:rtl/>
        </w:rPr>
        <w:t>.</w:t>
      </w:r>
    </w:p>
  </w:endnote>
  <w:endnote w:id="235">
    <w:p w:rsidR="00C14EDE" w:rsidRPr="00282AC9" w:rsidRDefault="00C14EDE" w:rsidP="00026413">
      <w:pPr>
        <w:spacing w:line="296" w:lineRule="exact"/>
        <w:ind w:firstLine="0"/>
        <w:rPr>
          <w:rFonts w:cs="DanaFajr"/>
          <w:szCs w:val="28"/>
        </w:rPr>
      </w:pPr>
      <w:r w:rsidRPr="00282AC9">
        <w:rPr>
          <w:rFonts w:cs="DanaFajr"/>
          <w:szCs w:val="28"/>
          <w:rtl/>
        </w:rPr>
        <w:t>(</w:t>
      </w:r>
      <w:r w:rsidRPr="00282AC9">
        <w:rPr>
          <w:rFonts w:cs="DanaFajr"/>
          <w:szCs w:val="28"/>
        </w:rPr>
        <w:endnoteRef/>
      </w:r>
      <w:r w:rsidRPr="00282AC9">
        <w:rPr>
          <w:rFonts w:cs="DanaFajr"/>
          <w:szCs w:val="28"/>
          <w:rtl/>
        </w:rPr>
        <w:t>)</w:t>
      </w:r>
      <w:r w:rsidRPr="00282AC9">
        <w:rPr>
          <w:rFonts w:cs="DanaFajr" w:hint="cs"/>
          <w:szCs w:val="28"/>
          <w:rtl/>
        </w:rPr>
        <w:t xml:space="preserve"> </w:t>
      </w:r>
      <w:r w:rsidRPr="00282AC9">
        <w:rPr>
          <w:rFonts w:cs="DanaFajr"/>
          <w:szCs w:val="28"/>
          <w:rtl/>
        </w:rPr>
        <w:t>الصدوق،</w:t>
      </w:r>
      <w:r w:rsidRPr="00282AC9">
        <w:rPr>
          <w:rFonts w:cs="DanaFajr"/>
          <w:szCs w:val="28"/>
        </w:rPr>
        <w:t xml:space="preserve"> </w:t>
      </w:r>
      <w:r w:rsidRPr="00282AC9">
        <w:rPr>
          <w:rFonts w:cs="DanaFajr"/>
          <w:szCs w:val="28"/>
          <w:rtl/>
        </w:rPr>
        <w:t>ثواب</w:t>
      </w:r>
      <w:r w:rsidRPr="00282AC9">
        <w:rPr>
          <w:rFonts w:cs="DanaFajr"/>
          <w:szCs w:val="28"/>
        </w:rPr>
        <w:t xml:space="preserve"> </w:t>
      </w:r>
      <w:r w:rsidRPr="00282AC9">
        <w:rPr>
          <w:rFonts w:cs="DanaFajr"/>
          <w:szCs w:val="28"/>
          <w:rtl/>
        </w:rPr>
        <w:t>الأعمال</w:t>
      </w:r>
      <w:r w:rsidRPr="00282AC9">
        <w:rPr>
          <w:rFonts w:cs="DanaFajr" w:hint="cs"/>
          <w:szCs w:val="28"/>
          <w:rtl/>
        </w:rPr>
        <w:t>: ٢٨٧</w:t>
      </w:r>
      <w:r w:rsidRPr="00282AC9">
        <w:rPr>
          <w:rFonts w:cs="DanaFajr"/>
          <w:szCs w:val="28"/>
        </w:rPr>
        <w:t>.</w:t>
      </w:r>
    </w:p>
  </w:endnote>
  <w:endnote w:id="236">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xml:space="preserve">) </w:t>
      </w:r>
      <w:r w:rsidRPr="00282AC9">
        <w:rPr>
          <w:rFonts w:cs="DanaFajr" w:hint="cs"/>
          <w:szCs w:val="28"/>
          <w:rtl/>
        </w:rPr>
        <w:t xml:space="preserve">المجلسي، </w:t>
      </w:r>
      <w:r w:rsidRPr="00282AC9">
        <w:rPr>
          <w:rFonts w:cs="DanaFajr"/>
          <w:szCs w:val="28"/>
          <w:rtl/>
        </w:rPr>
        <w:t>بحار</w:t>
      </w:r>
      <w:r w:rsidRPr="00282AC9">
        <w:rPr>
          <w:rFonts w:cs="DanaFajr"/>
          <w:szCs w:val="28"/>
        </w:rPr>
        <w:t xml:space="preserve"> </w:t>
      </w:r>
      <w:r w:rsidRPr="00282AC9">
        <w:rPr>
          <w:rFonts w:cs="DanaFajr"/>
          <w:szCs w:val="28"/>
          <w:rtl/>
        </w:rPr>
        <w:t>الأنوار</w:t>
      </w:r>
      <w:r w:rsidRPr="00282AC9">
        <w:rPr>
          <w:rFonts w:cs="DanaFajr" w:hint="cs"/>
          <w:szCs w:val="28"/>
          <w:rtl/>
        </w:rPr>
        <w:t xml:space="preserve"> ١٠٠: ٢٤٩،</w:t>
      </w:r>
      <w:r w:rsidRPr="00282AC9">
        <w:rPr>
          <w:rFonts w:cs="DanaFajr"/>
          <w:szCs w:val="28"/>
        </w:rPr>
        <w:t xml:space="preserve"> </w:t>
      </w:r>
      <w:r w:rsidRPr="00282AC9">
        <w:rPr>
          <w:rFonts w:cs="DanaFajr" w:hint="cs"/>
          <w:szCs w:val="28"/>
          <w:rtl/>
        </w:rPr>
        <w:t>ح</w:t>
      </w:r>
      <w:r w:rsidRPr="00282AC9">
        <w:rPr>
          <w:rFonts w:cs="DanaFajr"/>
          <w:szCs w:val="28"/>
          <w:rtl/>
        </w:rPr>
        <w:t>37.</w:t>
      </w:r>
    </w:p>
  </w:endnote>
  <w:endnote w:id="237">
    <w:p w:rsidR="00C14EDE" w:rsidRPr="00282AC9" w:rsidRDefault="00C14EDE" w:rsidP="00026413">
      <w:pPr>
        <w:spacing w:line="296" w:lineRule="exact"/>
        <w:ind w:firstLine="0"/>
        <w:rPr>
          <w:rFonts w:cs="DanaFajr"/>
          <w:szCs w:val="28"/>
        </w:rPr>
      </w:pPr>
      <w:r w:rsidRPr="00282AC9">
        <w:rPr>
          <w:rFonts w:cs="DanaFajr"/>
          <w:szCs w:val="28"/>
          <w:rtl/>
        </w:rPr>
        <w:t>(</w:t>
      </w:r>
      <w:r w:rsidRPr="00282AC9">
        <w:rPr>
          <w:rFonts w:cs="DanaFajr"/>
          <w:szCs w:val="28"/>
        </w:rPr>
        <w:endnoteRef/>
      </w:r>
      <w:r w:rsidRPr="00282AC9">
        <w:rPr>
          <w:rFonts w:cs="DanaFajr"/>
          <w:szCs w:val="28"/>
          <w:rtl/>
        </w:rPr>
        <w:t>) جامع</w:t>
      </w:r>
      <w:r w:rsidRPr="00282AC9">
        <w:rPr>
          <w:rFonts w:cs="DanaFajr"/>
          <w:szCs w:val="28"/>
        </w:rPr>
        <w:t xml:space="preserve"> </w:t>
      </w:r>
      <w:r w:rsidRPr="00282AC9">
        <w:rPr>
          <w:rFonts w:cs="DanaFajr"/>
          <w:szCs w:val="28"/>
          <w:rtl/>
        </w:rPr>
        <w:t>أحاديث</w:t>
      </w:r>
      <w:r w:rsidRPr="00282AC9">
        <w:rPr>
          <w:rFonts w:cs="DanaFajr"/>
          <w:szCs w:val="28"/>
        </w:rPr>
        <w:t xml:space="preserve"> </w:t>
      </w:r>
      <w:r w:rsidRPr="00282AC9">
        <w:rPr>
          <w:rFonts w:cs="DanaFajr"/>
          <w:szCs w:val="28"/>
          <w:rtl/>
        </w:rPr>
        <w:t>الشيعة</w:t>
      </w:r>
      <w:r w:rsidRPr="00282AC9">
        <w:rPr>
          <w:rFonts w:cs="DanaFajr" w:hint="cs"/>
          <w:szCs w:val="28"/>
          <w:rtl/>
        </w:rPr>
        <w:t xml:space="preserve"> ٢٠: ٣٢٦</w:t>
      </w:r>
      <w:r w:rsidRPr="00282AC9">
        <w:rPr>
          <w:rFonts w:cs="DanaFajr"/>
          <w:szCs w:val="28"/>
        </w:rPr>
        <w:t>.</w:t>
      </w:r>
    </w:p>
  </w:endnote>
  <w:endnote w:id="238">
    <w:p w:rsidR="00C14EDE" w:rsidRPr="00282AC9" w:rsidRDefault="00C14EDE" w:rsidP="00026413">
      <w:pPr>
        <w:spacing w:line="296" w:lineRule="exact"/>
        <w:ind w:firstLine="0"/>
        <w:rPr>
          <w:rFonts w:cs="DanaFajr"/>
          <w:szCs w:val="28"/>
          <w:rtl/>
        </w:rPr>
      </w:pPr>
      <w:r w:rsidRPr="00282AC9">
        <w:rPr>
          <w:rFonts w:cs="DanaFajr"/>
          <w:szCs w:val="28"/>
          <w:rtl/>
        </w:rPr>
        <w:t>(</w:t>
      </w:r>
      <w:r w:rsidRPr="00282AC9">
        <w:rPr>
          <w:rFonts w:cs="DanaFajr"/>
          <w:szCs w:val="28"/>
        </w:rPr>
        <w:endnoteRef/>
      </w:r>
      <w:r w:rsidRPr="00282AC9">
        <w:rPr>
          <w:rFonts w:cs="DanaFajr"/>
          <w:szCs w:val="28"/>
          <w:rtl/>
        </w:rPr>
        <w:t>) صحيفة</w:t>
      </w:r>
      <w:r w:rsidRPr="00282AC9">
        <w:rPr>
          <w:rFonts w:cs="DanaFajr"/>
          <w:szCs w:val="28"/>
        </w:rPr>
        <w:t xml:space="preserve"> </w:t>
      </w:r>
      <w:r w:rsidRPr="00282AC9">
        <w:rPr>
          <w:rFonts w:cs="DanaFajr"/>
          <w:szCs w:val="28"/>
          <w:rtl/>
        </w:rPr>
        <w:t>الرياض،</w:t>
      </w:r>
      <w:r w:rsidRPr="00282AC9">
        <w:rPr>
          <w:rFonts w:cs="DanaFajr"/>
          <w:szCs w:val="28"/>
        </w:rPr>
        <w:t xml:space="preserve"> </w:t>
      </w:r>
      <w:r w:rsidRPr="00282AC9">
        <w:rPr>
          <w:rFonts w:cs="DanaFajr"/>
          <w:szCs w:val="28"/>
          <w:rtl/>
        </w:rPr>
        <w:t>الاثنين</w:t>
      </w:r>
      <w:r w:rsidRPr="00282AC9">
        <w:rPr>
          <w:rFonts w:cs="DanaFajr"/>
          <w:szCs w:val="28"/>
        </w:rPr>
        <w:t xml:space="preserve"> </w:t>
      </w:r>
      <w:r w:rsidRPr="00282AC9">
        <w:rPr>
          <w:rFonts w:cs="DanaFajr"/>
          <w:szCs w:val="28"/>
          <w:rtl/>
        </w:rPr>
        <w:t>17</w:t>
      </w:r>
      <w:r w:rsidRPr="00282AC9">
        <w:rPr>
          <w:rFonts w:cs="DanaFajr"/>
          <w:szCs w:val="28"/>
        </w:rPr>
        <w:t xml:space="preserve"> </w:t>
      </w:r>
      <w:r w:rsidRPr="00282AC9">
        <w:rPr>
          <w:rFonts w:cs="DanaFajr"/>
          <w:szCs w:val="28"/>
          <w:rtl/>
        </w:rPr>
        <w:t>محر</w:t>
      </w:r>
      <w:r w:rsidRPr="00282AC9">
        <w:rPr>
          <w:rFonts w:cs="DanaFajr" w:hint="cs"/>
          <w:szCs w:val="28"/>
          <w:rtl/>
        </w:rPr>
        <w:t>ّ</w:t>
      </w:r>
      <w:r w:rsidRPr="00282AC9">
        <w:rPr>
          <w:rFonts w:cs="DanaFajr"/>
          <w:szCs w:val="28"/>
          <w:rtl/>
        </w:rPr>
        <w:t>م</w:t>
      </w:r>
      <w:r w:rsidRPr="00282AC9">
        <w:rPr>
          <w:rFonts w:cs="DanaFajr"/>
          <w:szCs w:val="28"/>
        </w:rPr>
        <w:t xml:space="preserve"> </w:t>
      </w:r>
      <w:r w:rsidRPr="00282AC9">
        <w:rPr>
          <w:rFonts w:cs="DanaFajr"/>
          <w:szCs w:val="28"/>
          <w:rtl/>
        </w:rPr>
        <w:t>143</w:t>
      </w:r>
      <w:r w:rsidRPr="00282AC9">
        <w:rPr>
          <w:rFonts w:cs="DanaFajr" w:hint="cs"/>
          <w:szCs w:val="28"/>
          <w:rtl/>
        </w:rPr>
        <w:t xml:space="preserve">٦هـ، </w:t>
      </w:r>
      <w:r w:rsidRPr="00282AC9">
        <w:rPr>
          <w:rFonts w:cs="DanaFajr"/>
          <w:szCs w:val="28"/>
          <w:rtl/>
        </w:rPr>
        <w:t>الموافق</w:t>
      </w:r>
      <w:r w:rsidRPr="00282AC9">
        <w:rPr>
          <w:rFonts w:cs="DanaFajr" w:hint="cs"/>
          <w:szCs w:val="28"/>
          <w:rtl/>
        </w:rPr>
        <w:t xml:space="preserve"> </w:t>
      </w:r>
      <w:r w:rsidRPr="00282AC9">
        <w:rPr>
          <w:rFonts w:cs="DanaFajr"/>
          <w:szCs w:val="28"/>
          <w:rtl/>
        </w:rPr>
        <w:t>10</w:t>
      </w:r>
      <w:r w:rsidRPr="00282AC9">
        <w:rPr>
          <w:rFonts w:cs="DanaFajr"/>
          <w:szCs w:val="28"/>
        </w:rPr>
        <w:t xml:space="preserve"> </w:t>
      </w:r>
      <w:r w:rsidRPr="00282AC9">
        <w:rPr>
          <w:rFonts w:cs="DanaFajr"/>
          <w:szCs w:val="28"/>
          <w:rtl/>
        </w:rPr>
        <w:t>نوفمبر</w:t>
      </w:r>
      <w:r w:rsidRPr="00282AC9">
        <w:rPr>
          <w:rFonts w:cs="DanaFajr"/>
          <w:szCs w:val="28"/>
        </w:rPr>
        <w:t xml:space="preserve"> </w:t>
      </w:r>
      <w:r w:rsidRPr="00282AC9">
        <w:rPr>
          <w:rFonts w:cs="DanaFajr"/>
          <w:szCs w:val="28"/>
          <w:rtl/>
        </w:rPr>
        <w:t>2</w:t>
      </w:r>
      <w:r w:rsidRPr="00282AC9">
        <w:rPr>
          <w:rFonts w:cs="DanaFajr" w:hint="cs"/>
          <w:szCs w:val="28"/>
          <w:rtl/>
        </w:rPr>
        <w:t>٠</w:t>
      </w:r>
      <w:r w:rsidRPr="00282AC9">
        <w:rPr>
          <w:rFonts w:cs="DanaFajr"/>
          <w:szCs w:val="28"/>
          <w:rtl/>
        </w:rPr>
        <w:t>14م،</w:t>
      </w:r>
      <w:r w:rsidRPr="00282AC9">
        <w:rPr>
          <w:rFonts w:cs="DanaFajr"/>
          <w:szCs w:val="28"/>
        </w:rPr>
        <w:t xml:space="preserve"> </w:t>
      </w:r>
      <w:r w:rsidRPr="00282AC9">
        <w:rPr>
          <w:rFonts w:cs="DanaFajr"/>
          <w:szCs w:val="28"/>
          <w:rtl/>
        </w:rPr>
        <w:t>العدد</w:t>
      </w:r>
      <w:r w:rsidRPr="00282AC9">
        <w:rPr>
          <w:rFonts w:cs="DanaFajr"/>
          <w:szCs w:val="28"/>
        </w:rPr>
        <w:t xml:space="preserve"> </w:t>
      </w:r>
      <w:r w:rsidRPr="00282AC9">
        <w:rPr>
          <w:rFonts w:cs="DanaFajr"/>
          <w:szCs w:val="28"/>
          <w:rtl/>
        </w:rPr>
        <w:t>1</w:t>
      </w:r>
      <w:r w:rsidRPr="00282AC9">
        <w:rPr>
          <w:rFonts w:cs="DanaFajr" w:hint="cs"/>
          <w:szCs w:val="28"/>
          <w:rtl/>
        </w:rPr>
        <w:t>٦٩</w:t>
      </w:r>
      <w:r w:rsidRPr="00282AC9">
        <w:rPr>
          <w:rFonts w:cs="DanaFajr"/>
          <w:szCs w:val="28"/>
          <w:rtl/>
        </w:rPr>
        <w:t>4</w:t>
      </w:r>
      <w:r w:rsidRPr="00282AC9">
        <w:rPr>
          <w:rFonts w:cs="DanaFajr" w:hint="cs"/>
          <w:szCs w:val="28"/>
          <w:rtl/>
        </w:rPr>
        <w:t>٠</w:t>
      </w:r>
      <w:r w:rsidRPr="00282AC9">
        <w:rPr>
          <w:rFonts w:cs="DanaFajr"/>
          <w:szCs w:val="28"/>
          <w:rtl/>
        </w:rPr>
        <w:t>.</w:t>
      </w:r>
    </w:p>
  </w:endnote>
  <w:endnote w:id="239">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ابن فارس، معجم مقاييس اللغة 1: 357، دار الكتب العلميّة، قم.</w:t>
      </w:r>
    </w:p>
  </w:endnote>
  <w:endnote w:id="240">
    <w:p w:rsidR="00C14EDE" w:rsidRPr="00282AC9" w:rsidRDefault="00C14EDE" w:rsidP="007C2A22">
      <w:pPr>
        <w:pStyle w:val="af7"/>
        <w:spacing w:line="293"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المقدّس الأردبيلي، مجمع الفائدة والبرهان في شرح إرشاد الأذهان 12: 321، مؤسّسة النشر الإسلامي التابعة لجماعة المدرِّسين في الحوزة العلمية بقم، ط1، قم المقدّسة، 1403هـ.</w:t>
      </w:r>
    </w:p>
  </w:endnote>
  <w:endnote w:id="241">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الشيخ البهائي، الأربعون حديثاً: 458، مؤسّسة النشر الإسلامي.</w:t>
      </w:r>
    </w:p>
  </w:endnote>
  <w:endnote w:id="242">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الراغب الإصفهاني، المفردات في غريب القرآن: 76.</w:t>
      </w:r>
    </w:p>
  </w:endnote>
  <w:endnote w:id="243">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الحُرّ العاملي، وسائل الشيعة إلى تحصيل مسائل الشريعة 15: 336، مؤسّسة آل البيت</w:t>
      </w:r>
      <w:r w:rsidRPr="00282AC9">
        <w:rPr>
          <w:rFonts w:cs="Mosawi" w:hint="cs"/>
          <w:rtl/>
        </w:rPr>
        <w:t>^</w:t>
      </w:r>
      <w:r w:rsidRPr="00282AC9">
        <w:rPr>
          <w:rFonts w:cs="DanaFajr" w:hint="cs"/>
          <w:sz w:val="28"/>
          <w:szCs w:val="28"/>
          <w:rtl/>
        </w:rPr>
        <w:t xml:space="preserve"> لإحياء التراث، ط1، قم المقدّسة، 1409هـ.</w:t>
      </w:r>
    </w:p>
  </w:endnote>
  <w:endnote w:id="244">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الميرزا حسين النوري، مستدرك الوسائل ومستنبط المسائل 12: 118.</w:t>
      </w:r>
      <w:r w:rsidRPr="00282AC9">
        <w:rPr>
          <w:rFonts w:cs="DanaFajr"/>
          <w:sz w:val="28"/>
          <w:szCs w:val="28"/>
          <w:rtl/>
        </w:rPr>
        <w:t xml:space="preserve"> مؤس</w:t>
      </w:r>
      <w:r w:rsidRPr="00282AC9">
        <w:rPr>
          <w:rFonts w:cs="DanaFajr" w:hint="cs"/>
          <w:sz w:val="28"/>
          <w:szCs w:val="28"/>
          <w:rtl/>
        </w:rPr>
        <w:t>ّ</w:t>
      </w:r>
      <w:r w:rsidRPr="00282AC9">
        <w:rPr>
          <w:rFonts w:cs="DanaFajr"/>
          <w:sz w:val="28"/>
          <w:szCs w:val="28"/>
          <w:rtl/>
        </w:rPr>
        <w:t>سة آل البيت</w:t>
      </w:r>
      <w:r w:rsidRPr="00282AC9">
        <w:rPr>
          <w:rFonts w:cs="Mosawi" w:hint="cs"/>
          <w:rtl/>
        </w:rPr>
        <w:t>^</w:t>
      </w:r>
      <w:r w:rsidRPr="00282AC9">
        <w:rPr>
          <w:rFonts w:cs="DanaFajr" w:hint="cs"/>
          <w:sz w:val="28"/>
          <w:szCs w:val="28"/>
          <w:rtl/>
        </w:rPr>
        <w:t xml:space="preserve"> لإحياء التراث</w:t>
      </w:r>
      <w:r w:rsidRPr="00282AC9">
        <w:rPr>
          <w:rFonts w:cs="DanaFajr"/>
          <w:sz w:val="28"/>
          <w:szCs w:val="28"/>
          <w:rtl/>
        </w:rPr>
        <w:t xml:space="preserve">، ط1، </w:t>
      </w:r>
      <w:r w:rsidRPr="00282AC9">
        <w:rPr>
          <w:rFonts w:cs="DanaFajr" w:hint="cs"/>
          <w:sz w:val="28"/>
          <w:szCs w:val="28"/>
          <w:rtl/>
        </w:rPr>
        <w:t>بيروت</w:t>
      </w:r>
      <w:r w:rsidRPr="00282AC9">
        <w:rPr>
          <w:rFonts w:cs="DanaFajr"/>
          <w:sz w:val="28"/>
          <w:szCs w:val="28"/>
          <w:rtl/>
        </w:rPr>
        <w:t>، 140</w:t>
      </w:r>
      <w:r w:rsidRPr="00282AC9">
        <w:rPr>
          <w:rFonts w:cs="DanaFajr" w:hint="cs"/>
          <w:sz w:val="28"/>
          <w:szCs w:val="28"/>
          <w:rtl/>
        </w:rPr>
        <w:t>8</w:t>
      </w:r>
      <w:r w:rsidRPr="00282AC9">
        <w:rPr>
          <w:rFonts w:cs="DanaFajr"/>
          <w:sz w:val="28"/>
          <w:szCs w:val="28"/>
          <w:rtl/>
        </w:rPr>
        <w:t>هـ.</w:t>
      </w:r>
    </w:p>
  </w:endnote>
  <w:endnote w:id="245">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الإمام الخميني، تحرير الوسيلة 2: 366، مؤسّسة مطبوعات دار العلم، ط1، قم المقدّسة؛ المحقِّق الحلّي، شرائع الإسلام في مسائل الحلال والحرام 4: 170، مؤسّسة إسماعيليان، ط2، قم، 1408هـ؛ عبد القادر عودة، التشريع الجنائي الإسلامي 2: 706، دار الكتاب العربي، بيروت.</w:t>
      </w:r>
    </w:p>
  </w:endnote>
  <w:endnote w:id="246">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الشيخ الطوسي، الخلاف 5: 353، المسألة 3.</w:t>
      </w:r>
    </w:p>
  </w:endnote>
  <w:endnote w:id="247">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سليمان بن الأشعث، سنن أبي داوود 4: 126، دار إحياء السنّة النبوية؛ علي أصغر مرواريد، سلسلة الينابيع الفقهية 31: 168، مؤسّسة فقه الشيعة والدار الإسلامية، بيروت، 1410هـ.</w:t>
      </w:r>
    </w:p>
  </w:endnote>
  <w:endnote w:id="248">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ابن قدامة المقدسي، المغني 19: 76، دار الكتاب العربي، بيروت.</w:t>
      </w:r>
    </w:p>
  </w:endnote>
  <w:endnote w:id="249">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المصدر نفسه.</w:t>
      </w:r>
    </w:p>
  </w:endnote>
  <w:endnote w:id="250">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10: 76.</w:t>
      </w:r>
    </w:p>
  </w:endnote>
  <w:endnote w:id="251">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المتّقي الهندي، كنـز العمال 10: 19، مؤسّسة الرسالة، بيروت.</w:t>
      </w:r>
    </w:p>
  </w:endnote>
  <w:endnote w:id="252">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sz w:val="28"/>
          <w:szCs w:val="28"/>
          <w:rtl/>
        </w:rPr>
        <w:t>ابن قدامة المقدسي، المغني 1</w:t>
      </w:r>
      <w:r w:rsidRPr="00282AC9">
        <w:rPr>
          <w:rFonts w:cs="DanaFajr" w:hint="cs"/>
          <w:sz w:val="28"/>
          <w:szCs w:val="28"/>
          <w:rtl/>
        </w:rPr>
        <w:t>0</w:t>
      </w:r>
      <w:r w:rsidRPr="00282AC9">
        <w:rPr>
          <w:rFonts w:cs="DanaFajr"/>
          <w:sz w:val="28"/>
          <w:szCs w:val="28"/>
          <w:rtl/>
        </w:rPr>
        <w:t>: 76.</w:t>
      </w:r>
    </w:p>
  </w:endnote>
  <w:endnote w:id="253">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نفسه.</w:t>
      </w:r>
    </w:p>
  </w:endnote>
  <w:endnote w:id="254">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محمد حسن النجفي، جواهر الكلام في شرح شرائع الإسلام 41: 605، دار إحياء التراث العربي، ط7، بيروت.</w:t>
      </w:r>
    </w:p>
  </w:endnote>
  <w:endnote w:id="255">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w:t>
      </w:r>
      <w:r w:rsidRPr="00282AC9">
        <w:rPr>
          <w:rFonts w:cs="DanaFajr"/>
          <w:sz w:val="28"/>
          <w:szCs w:val="28"/>
          <w:rtl/>
        </w:rPr>
        <w:t>ابن قدامة المقدسي، المغني 10: 7</w:t>
      </w:r>
      <w:r w:rsidRPr="00282AC9">
        <w:rPr>
          <w:rFonts w:cs="DanaFajr" w:hint="cs"/>
          <w:sz w:val="28"/>
          <w:szCs w:val="28"/>
          <w:rtl/>
        </w:rPr>
        <w:t>8</w:t>
      </w:r>
      <w:r w:rsidRPr="00282AC9">
        <w:rPr>
          <w:rFonts w:cs="DanaFajr"/>
          <w:sz w:val="28"/>
          <w:szCs w:val="28"/>
          <w:rtl/>
        </w:rPr>
        <w:t>.</w:t>
      </w:r>
    </w:p>
  </w:endnote>
  <w:endnote w:id="256">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الحُرّ العاملي، وسائل الشيعة 28: 323، الباب الأول من أبواب المرتد، ح2.</w:t>
      </w:r>
    </w:p>
  </w:endnote>
  <w:endnote w:id="257">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324، ح5.</w:t>
      </w:r>
    </w:p>
  </w:endnote>
  <w:endnote w:id="258">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323، ح1.</w:t>
      </w:r>
    </w:p>
  </w:endnote>
  <w:endnote w:id="259">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الإمام الخميني، تحرير الوسيلة 2: 366</w:t>
      </w:r>
      <w:r w:rsidRPr="00282AC9">
        <w:rPr>
          <w:rFonts w:cs="DanaFajr" w:hint="cs"/>
          <w:sz w:val="28"/>
          <w:szCs w:val="28"/>
          <w:rtl/>
        </w:rPr>
        <w:t>.</w:t>
      </w:r>
    </w:p>
  </w:endnote>
  <w:endnote w:id="260">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النجفي، جواهر الكلام في شرح شرائع الإسلام 41: 605</w:t>
      </w:r>
      <w:r w:rsidRPr="00282AC9">
        <w:rPr>
          <w:rFonts w:cs="DanaFajr" w:hint="cs"/>
          <w:sz w:val="28"/>
          <w:szCs w:val="28"/>
          <w:rtl/>
        </w:rPr>
        <w:t>؛ 6: 293</w:t>
      </w:r>
      <w:r w:rsidRPr="00282AC9">
        <w:rPr>
          <w:rFonts w:cs="DanaFajr"/>
          <w:sz w:val="28"/>
          <w:szCs w:val="28"/>
          <w:rtl/>
        </w:rPr>
        <w:t>.</w:t>
      </w:r>
    </w:p>
  </w:endnote>
  <w:endnote w:id="261">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w:t>
      </w:r>
      <w:r w:rsidRPr="00282AC9">
        <w:rPr>
          <w:rFonts w:cs="DanaFajr"/>
          <w:sz w:val="28"/>
          <w:szCs w:val="28"/>
          <w:rtl/>
        </w:rPr>
        <w:t>محق</w:t>
      </w:r>
      <w:r w:rsidRPr="00282AC9">
        <w:rPr>
          <w:rFonts w:cs="DanaFajr" w:hint="cs"/>
          <w:sz w:val="28"/>
          <w:szCs w:val="28"/>
          <w:rtl/>
        </w:rPr>
        <w:t>ِّ</w:t>
      </w:r>
      <w:r w:rsidRPr="00282AC9">
        <w:rPr>
          <w:rFonts w:cs="DanaFajr"/>
          <w:sz w:val="28"/>
          <w:szCs w:val="28"/>
          <w:rtl/>
        </w:rPr>
        <w:t xml:space="preserve">ق </w:t>
      </w:r>
      <w:r w:rsidRPr="00282AC9">
        <w:rPr>
          <w:rFonts w:cs="DanaFajr" w:hint="cs"/>
          <w:sz w:val="28"/>
          <w:szCs w:val="28"/>
          <w:rtl/>
        </w:rPr>
        <w:t>ال</w:t>
      </w:r>
      <w:r w:rsidRPr="00282AC9">
        <w:rPr>
          <w:rFonts w:cs="DanaFajr"/>
          <w:sz w:val="28"/>
          <w:szCs w:val="28"/>
          <w:rtl/>
        </w:rPr>
        <w:t>حل</w:t>
      </w:r>
      <w:r w:rsidRPr="00282AC9">
        <w:rPr>
          <w:rFonts w:cs="DanaFajr" w:hint="cs"/>
          <w:sz w:val="28"/>
          <w:szCs w:val="28"/>
          <w:rtl/>
        </w:rPr>
        <w:t>ّ</w:t>
      </w:r>
      <w:r w:rsidRPr="00282AC9">
        <w:rPr>
          <w:rFonts w:cs="DanaFajr"/>
          <w:sz w:val="28"/>
          <w:szCs w:val="28"/>
          <w:rtl/>
        </w:rPr>
        <w:t>ي، شرا</w:t>
      </w:r>
      <w:r w:rsidRPr="00282AC9">
        <w:rPr>
          <w:rFonts w:cs="DanaFajr" w:hint="cs"/>
          <w:sz w:val="28"/>
          <w:szCs w:val="28"/>
          <w:rtl/>
        </w:rPr>
        <w:t>ئ</w:t>
      </w:r>
      <w:r w:rsidRPr="00282AC9">
        <w:rPr>
          <w:rFonts w:cs="DanaFajr"/>
          <w:sz w:val="28"/>
          <w:szCs w:val="28"/>
          <w:rtl/>
        </w:rPr>
        <w:t>ع ال</w:t>
      </w:r>
      <w:r w:rsidRPr="00282AC9">
        <w:rPr>
          <w:rFonts w:cs="DanaFajr" w:hint="cs"/>
          <w:sz w:val="28"/>
          <w:szCs w:val="28"/>
          <w:rtl/>
        </w:rPr>
        <w:t>إ</w:t>
      </w:r>
      <w:r w:rsidRPr="00282AC9">
        <w:rPr>
          <w:rFonts w:cs="DanaFajr"/>
          <w:sz w:val="28"/>
          <w:szCs w:val="28"/>
          <w:rtl/>
        </w:rPr>
        <w:t>سلام في مسائل الحلال والحرام 4: 170</w:t>
      </w:r>
      <w:r w:rsidRPr="00282AC9">
        <w:rPr>
          <w:rFonts w:cs="DanaFajr" w:hint="cs"/>
          <w:sz w:val="28"/>
          <w:szCs w:val="28"/>
          <w:rtl/>
        </w:rPr>
        <w:t>.</w:t>
      </w:r>
    </w:p>
  </w:endnote>
  <w:endnote w:id="262">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النجفي، جواهر الكلام في شرح شرائع الإسلام 41: 60</w:t>
      </w:r>
      <w:r w:rsidRPr="00282AC9">
        <w:rPr>
          <w:rFonts w:cs="DanaFajr" w:hint="cs"/>
          <w:sz w:val="28"/>
          <w:szCs w:val="28"/>
          <w:rtl/>
        </w:rPr>
        <w:t>8.</w:t>
      </w:r>
    </w:p>
  </w:endnote>
  <w:endnote w:id="263">
    <w:p w:rsidR="00C14EDE" w:rsidRPr="00282AC9" w:rsidRDefault="00C14EDE" w:rsidP="007C2A22">
      <w:pPr>
        <w:pStyle w:val="af7"/>
        <w:spacing w:line="293"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الفيض الكاشاني، مفاتيح الشرائع 2: 104، مكتبة السيد المرعشي النجفي، ط1، قم المقدّسة.</w:t>
      </w:r>
    </w:p>
  </w:endnote>
  <w:endnote w:id="264">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القاضي ابن البرّاج الطرابلسي، المهذَّب البارع 2: 552، مؤسّسة النشر الإسلامي، ط1، قم المقدّسة، 1406هـ.</w:t>
      </w:r>
    </w:p>
  </w:endnote>
  <w:endnote w:id="265">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w:t>
      </w:r>
      <w:r w:rsidRPr="00282AC9">
        <w:rPr>
          <w:rFonts w:cs="DanaFajr"/>
          <w:sz w:val="28"/>
          <w:szCs w:val="28"/>
          <w:rtl/>
        </w:rPr>
        <w:t>شه</w:t>
      </w:r>
      <w:r w:rsidRPr="00282AC9">
        <w:rPr>
          <w:rFonts w:cs="DanaFajr" w:hint="cs"/>
          <w:sz w:val="28"/>
          <w:szCs w:val="28"/>
          <w:rtl/>
        </w:rPr>
        <w:t>ي</w:t>
      </w:r>
      <w:r w:rsidRPr="00282AC9">
        <w:rPr>
          <w:rFonts w:cs="DanaFajr" w:hint="eastAsia"/>
          <w:sz w:val="28"/>
          <w:szCs w:val="28"/>
          <w:rtl/>
        </w:rPr>
        <w:t>د</w:t>
      </w:r>
      <w:r w:rsidRPr="00282AC9">
        <w:rPr>
          <w:rFonts w:cs="DanaFajr"/>
          <w:sz w:val="28"/>
          <w:szCs w:val="28"/>
          <w:rtl/>
        </w:rPr>
        <w:t xml:space="preserve"> </w:t>
      </w:r>
      <w:r w:rsidRPr="00282AC9">
        <w:rPr>
          <w:rFonts w:cs="DanaFajr" w:hint="cs"/>
          <w:sz w:val="28"/>
          <w:szCs w:val="28"/>
          <w:rtl/>
        </w:rPr>
        <w:t>ال</w:t>
      </w:r>
      <w:r w:rsidRPr="00282AC9">
        <w:rPr>
          <w:rFonts w:cs="DanaFajr"/>
          <w:sz w:val="28"/>
          <w:szCs w:val="28"/>
          <w:rtl/>
        </w:rPr>
        <w:t>ثان</w:t>
      </w:r>
      <w:r w:rsidRPr="00282AC9">
        <w:rPr>
          <w:rFonts w:cs="DanaFajr" w:hint="cs"/>
          <w:sz w:val="28"/>
          <w:szCs w:val="28"/>
          <w:rtl/>
        </w:rPr>
        <w:t xml:space="preserve">ي، </w:t>
      </w:r>
      <w:r w:rsidRPr="00282AC9">
        <w:rPr>
          <w:rFonts w:cs="DanaFajr"/>
          <w:sz w:val="28"/>
          <w:szCs w:val="28"/>
          <w:rtl/>
        </w:rPr>
        <w:t>مسال</w:t>
      </w:r>
      <w:r w:rsidRPr="00282AC9">
        <w:rPr>
          <w:rFonts w:cs="DanaFajr" w:hint="cs"/>
          <w:sz w:val="28"/>
          <w:szCs w:val="28"/>
          <w:rtl/>
        </w:rPr>
        <w:t>ك</w:t>
      </w:r>
      <w:r w:rsidRPr="00282AC9">
        <w:rPr>
          <w:rFonts w:cs="DanaFajr"/>
          <w:sz w:val="28"/>
          <w:szCs w:val="28"/>
          <w:rtl/>
        </w:rPr>
        <w:t xml:space="preserve"> ال</w:t>
      </w:r>
      <w:r w:rsidRPr="00282AC9">
        <w:rPr>
          <w:rFonts w:cs="DanaFajr" w:hint="cs"/>
          <w:sz w:val="28"/>
          <w:szCs w:val="28"/>
          <w:rtl/>
        </w:rPr>
        <w:t>أ</w:t>
      </w:r>
      <w:r w:rsidRPr="00282AC9">
        <w:rPr>
          <w:rFonts w:cs="DanaFajr"/>
          <w:sz w:val="28"/>
          <w:szCs w:val="28"/>
          <w:rtl/>
        </w:rPr>
        <w:t xml:space="preserve">فهام </w:t>
      </w:r>
      <w:r w:rsidRPr="00282AC9">
        <w:rPr>
          <w:rFonts w:cs="DanaFajr" w:hint="cs"/>
          <w:sz w:val="28"/>
          <w:szCs w:val="28"/>
          <w:rtl/>
        </w:rPr>
        <w:t>إلى تنقيح</w:t>
      </w:r>
      <w:r w:rsidRPr="00282AC9">
        <w:rPr>
          <w:rFonts w:cs="DanaFajr"/>
          <w:sz w:val="28"/>
          <w:szCs w:val="28"/>
          <w:rtl/>
        </w:rPr>
        <w:t xml:space="preserve"> شرا</w:t>
      </w:r>
      <w:r w:rsidRPr="00282AC9">
        <w:rPr>
          <w:rFonts w:cs="DanaFajr" w:hint="cs"/>
          <w:sz w:val="28"/>
          <w:szCs w:val="28"/>
          <w:rtl/>
        </w:rPr>
        <w:t>ئ</w:t>
      </w:r>
      <w:r w:rsidRPr="00282AC9">
        <w:rPr>
          <w:rFonts w:cs="DanaFajr" w:hint="eastAsia"/>
          <w:sz w:val="28"/>
          <w:szCs w:val="28"/>
          <w:rtl/>
        </w:rPr>
        <w:t>ع</w:t>
      </w:r>
      <w:r w:rsidRPr="00282AC9">
        <w:rPr>
          <w:rFonts w:cs="DanaFajr"/>
          <w:sz w:val="28"/>
          <w:szCs w:val="28"/>
          <w:rtl/>
        </w:rPr>
        <w:t xml:space="preserve"> ال</w:t>
      </w:r>
      <w:r w:rsidRPr="00282AC9">
        <w:rPr>
          <w:rFonts w:cs="DanaFajr" w:hint="cs"/>
          <w:sz w:val="28"/>
          <w:szCs w:val="28"/>
          <w:rtl/>
        </w:rPr>
        <w:t>إ</w:t>
      </w:r>
      <w:r w:rsidRPr="00282AC9">
        <w:rPr>
          <w:rFonts w:cs="DanaFajr"/>
          <w:sz w:val="28"/>
          <w:szCs w:val="28"/>
          <w:rtl/>
        </w:rPr>
        <w:t>سلام 2، کتاب القضا</w:t>
      </w:r>
      <w:r w:rsidRPr="00282AC9">
        <w:rPr>
          <w:rFonts w:cs="DanaFajr" w:hint="cs"/>
          <w:sz w:val="28"/>
          <w:szCs w:val="28"/>
          <w:rtl/>
        </w:rPr>
        <w:t>ء، مؤسّسة المعارف الإسلامية، ط1، قم المقدّسة، 1413هـ؛</w:t>
      </w:r>
      <w:r w:rsidRPr="00282AC9">
        <w:rPr>
          <w:rFonts w:cs="DanaFajr"/>
          <w:sz w:val="28"/>
          <w:szCs w:val="28"/>
          <w:rtl/>
        </w:rPr>
        <w:t xml:space="preserve"> يوسف البحراني، الحدائق الناظرة في </w:t>
      </w:r>
      <w:r w:rsidRPr="00282AC9">
        <w:rPr>
          <w:rFonts w:cs="DanaFajr" w:hint="cs"/>
          <w:sz w:val="28"/>
          <w:szCs w:val="28"/>
          <w:rtl/>
        </w:rPr>
        <w:t>أ</w:t>
      </w:r>
      <w:r w:rsidRPr="00282AC9">
        <w:rPr>
          <w:rFonts w:cs="DanaFajr"/>
          <w:sz w:val="28"/>
          <w:szCs w:val="28"/>
          <w:rtl/>
        </w:rPr>
        <w:t>حكام العت</w:t>
      </w:r>
      <w:r w:rsidRPr="00282AC9">
        <w:rPr>
          <w:rFonts w:cs="DanaFajr" w:hint="cs"/>
          <w:sz w:val="28"/>
          <w:szCs w:val="28"/>
          <w:rtl/>
        </w:rPr>
        <w:t>ر</w:t>
      </w:r>
      <w:r w:rsidRPr="00282AC9">
        <w:rPr>
          <w:rFonts w:cs="DanaFajr"/>
          <w:sz w:val="28"/>
          <w:szCs w:val="28"/>
          <w:rtl/>
        </w:rPr>
        <w:t>ة الطاهرة 11: 17</w:t>
      </w:r>
      <w:r w:rsidRPr="00282AC9">
        <w:rPr>
          <w:rFonts w:cs="DanaFajr" w:hint="cs"/>
          <w:sz w:val="28"/>
          <w:szCs w:val="28"/>
          <w:rtl/>
        </w:rPr>
        <w:t>، مؤسّسة النشر الإسلامي</w:t>
      </w:r>
      <w:r w:rsidRPr="00282AC9">
        <w:rPr>
          <w:rFonts w:cs="DanaFajr"/>
          <w:sz w:val="28"/>
          <w:szCs w:val="28"/>
          <w:rtl/>
        </w:rPr>
        <w:t>، ط1، قم المقدسة، 140</w:t>
      </w:r>
      <w:r w:rsidRPr="00282AC9">
        <w:rPr>
          <w:rFonts w:cs="DanaFajr" w:hint="cs"/>
          <w:sz w:val="28"/>
          <w:szCs w:val="28"/>
          <w:rtl/>
        </w:rPr>
        <w:t>5</w:t>
      </w:r>
      <w:r w:rsidRPr="00282AC9">
        <w:rPr>
          <w:rFonts w:cs="DanaFajr"/>
          <w:sz w:val="28"/>
          <w:szCs w:val="28"/>
          <w:rtl/>
        </w:rPr>
        <w:t>هـ.</w:t>
      </w:r>
      <w:r w:rsidRPr="00282AC9">
        <w:rPr>
          <w:rFonts w:cs="DanaFajr" w:hint="cs"/>
          <w:sz w:val="28"/>
          <w:szCs w:val="28"/>
          <w:rtl/>
        </w:rPr>
        <w:t>.</w:t>
      </w:r>
    </w:p>
  </w:endnote>
  <w:endnote w:id="266">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النجفي، جواهر الكلام في شرح شرائع الإسلام 41: 608.</w:t>
      </w:r>
    </w:p>
  </w:endnote>
  <w:endnote w:id="267">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الشهيد الثاني</w:t>
      </w:r>
      <w:r w:rsidRPr="00282AC9">
        <w:rPr>
          <w:rFonts w:cs="DanaFajr" w:hint="cs"/>
          <w:sz w:val="28"/>
          <w:szCs w:val="28"/>
          <w:rtl/>
        </w:rPr>
        <w:t>، الروضة البهية في شرح اللمعة الدمشقية</w:t>
      </w:r>
      <w:r w:rsidRPr="00282AC9">
        <w:rPr>
          <w:rFonts w:cs="DanaFajr"/>
          <w:sz w:val="28"/>
          <w:szCs w:val="28"/>
          <w:rtl/>
        </w:rPr>
        <w:t xml:space="preserve"> </w:t>
      </w:r>
      <w:r w:rsidRPr="00282AC9">
        <w:rPr>
          <w:rFonts w:cs="DanaFajr" w:hint="cs"/>
          <w:sz w:val="28"/>
          <w:szCs w:val="28"/>
          <w:rtl/>
        </w:rPr>
        <w:t>9</w:t>
      </w:r>
      <w:r w:rsidRPr="00282AC9">
        <w:rPr>
          <w:rFonts w:cs="DanaFajr"/>
          <w:sz w:val="28"/>
          <w:szCs w:val="28"/>
          <w:rtl/>
        </w:rPr>
        <w:t xml:space="preserve">: </w:t>
      </w:r>
      <w:r w:rsidRPr="00282AC9">
        <w:rPr>
          <w:rFonts w:cs="DanaFajr" w:hint="cs"/>
          <w:sz w:val="28"/>
          <w:szCs w:val="28"/>
          <w:rtl/>
        </w:rPr>
        <w:t>338، مكتبة الداوري، ط1، قم المقدّسة، 1410هـ</w:t>
      </w:r>
      <w:r w:rsidRPr="00282AC9">
        <w:rPr>
          <w:rFonts w:cs="DanaFajr"/>
          <w:sz w:val="28"/>
          <w:szCs w:val="28"/>
          <w:rtl/>
        </w:rPr>
        <w:t>؛ البحراني، الحدائق الناظرة في أحكام العترة الطاهرة 11: 17</w:t>
      </w:r>
      <w:r w:rsidRPr="00282AC9">
        <w:rPr>
          <w:rFonts w:cs="DanaFajr" w:hint="cs"/>
          <w:sz w:val="28"/>
          <w:szCs w:val="28"/>
          <w:rtl/>
        </w:rPr>
        <w:t>، أبو القاسم الخوئي، التنقيح في شرح العروة الوثقى 3: 224، مؤسّسة آل البيت</w:t>
      </w:r>
      <w:r w:rsidRPr="00282AC9">
        <w:rPr>
          <w:rFonts w:cs="Mosawi" w:hint="cs"/>
          <w:rtl/>
        </w:rPr>
        <w:t>^</w:t>
      </w:r>
      <w:r w:rsidRPr="00282AC9">
        <w:rPr>
          <w:rFonts w:cs="DanaFajr" w:hint="cs"/>
          <w:sz w:val="28"/>
          <w:szCs w:val="28"/>
          <w:rtl/>
        </w:rPr>
        <w:t xml:space="preserve"> لإحياء التراث؛ </w:t>
      </w:r>
      <w:r w:rsidRPr="00282AC9">
        <w:rPr>
          <w:rFonts w:cs="DanaFajr"/>
          <w:sz w:val="28"/>
          <w:szCs w:val="28"/>
          <w:rtl/>
        </w:rPr>
        <w:t>الإمام الخميني، تحرير الوسيلة 2: 366</w:t>
      </w:r>
      <w:r w:rsidRPr="00282AC9">
        <w:rPr>
          <w:rFonts w:cs="DanaFajr" w:hint="cs"/>
          <w:sz w:val="28"/>
          <w:szCs w:val="28"/>
          <w:rtl/>
        </w:rPr>
        <w:t>.</w:t>
      </w:r>
    </w:p>
  </w:endnote>
  <w:endnote w:id="268">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الح</w:t>
      </w:r>
      <w:r w:rsidRPr="00282AC9">
        <w:rPr>
          <w:rFonts w:cs="DanaFajr" w:hint="cs"/>
          <w:sz w:val="28"/>
          <w:szCs w:val="28"/>
          <w:rtl/>
        </w:rPr>
        <w:t>ُ</w:t>
      </w:r>
      <w:r w:rsidRPr="00282AC9">
        <w:rPr>
          <w:rFonts w:cs="DanaFajr"/>
          <w:sz w:val="28"/>
          <w:szCs w:val="28"/>
          <w:rtl/>
        </w:rPr>
        <w:t>ر</w:t>
      </w:r>
      <w:r w:rsidRPr="00282AC9">
        <w:rPr>
          <w:rFonts w:cs="DanaFajr" w:hint="cs"/>
          <w:sz w:val="28"/>
          <w:szCs w:val="28"/>
          <w:rtl/>
        </w:rPr>
        <w:t>ّ</w:t>
      </w:r>
      <w:r w:rsidRPr="00282AC9">
        <w:rPr>
          <w:rFonts w:cs="DanaFajr"/>
          <w:sz w:val="28"/>
          <w:szCs w:val="28"/>
          <w:rtl/>
        </w:rPr>
        <w:t xml:space="preserve"> العاملي، وسائل الشيعة 28: 32</w:t>
      </w:r>
      <w:r w:rsidRPr="00282AC9">
        <w:rPr>
          <w:rFonts w:cs="DanaFajr" w:hint="cs"/>
          <w:sz w:val="28"/>
          <w:szCs w:val="28"/>
          <w:rtl/>
        </w:rPr>
        <w:t>4</w:t>
      </w:r>
      <w:r w:rsidRPr="00282AC9">
        <w:rPr>
          <w:rFonts w:cs="DanaFajr"/>
          <w:sz w:val="28"/>
          <w:szCs w:val="28"/>
          <w:rtl/>
        </w:rPr>
        <w:t>، الباب الأول من أبواب المرتد</w:t>
      </w:r>
      <w:r w:rsidRPr="00282AC9">
        <w:rPr>
          <w:rFonts w:cs="DanaFajr" w:hint="cs"/>
          <w:sz w:val="28"/>
          <w:szCs w:val="28"/>
          <w:rtl/>
        </w:rPr>
        <w:t>.</w:t>
      </w:r>
    </w:p>
  </w:endnote>
  <w:endnote w:id="269">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w:t>
      </w:r>
      <w:r w:rsidRPr="00282AC9">
        <w:rPr>
          <w:rFonts w:cs="DanaFajr"/>
          <w:sz w:val="28"/>
          <w:szCs w:val="28"/>
          <w:rtl/>
        </w:rPr>
        <w:t>الخوئي، التنقيح في شرح العروة الوثقى 3: 22</w:t>
      </w:r>
      <w:r w:rsidRPr="00282AC9">
        <w:rPr>
          <w:rFonts w:cs="DanaFajr" w:hint="cs"/>
          <w:sz w:val="28"/>
          <w:szCs w:val="28"/>
          <w:rtl/>
        </w:rPr>
        <w:t>8.</w:t>
      </w:r>
    </w:p>
  </w:endnote>
  <w:endnote w:id="270">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w:t>
      </w:r>
      <w:r w:rsidRPr="00282AC9">
        <w:rPr>
          <w:rFonts w:cs="DanaFajr"/>
          <w:sz w:val="28"/>
          <w:szCs w:val="28"/>
          <w:rtl/>
        </w:rPr>
        <w:t>ش</w:t>
      </w:r>
      <w:r w:rsidRPr="00282AC9">
        <w:rPr>
          <w:rFonts w:cs="DanaFajr" w:hint="cs"/>
          <w:sz w:val="28"/>
          <w:szCs w:val="28"/>
          <w:rtl/>
        </w:rPr>
        <w:t>ي</w:t>
      </w:r>
      <w:r w:rsidRPr="00282AC9">
        <w:rPr>
          <w:rFonts w:cs="DanaFajr" w:hint="eastAsia"/>
          <w:sz w:val="28"/>
          <w:szCs w:val="28"/>
          <w:rtl/>
        </w:rPr>
        <w:t>خ</w:t>
      </w:r>
      <w:r w:rsidRPr="00282AC9">
        <w:rPr>
          <w:rFonts w:cs="DanaFajr"/>
          <w:sz w:val="28"/>
          <w:szCs w:val="28"/>
          <w:rtl/>
        </w:rPr>
        <w:t xml:space="preserve"> </w:t>
      </w:r>
      <w:r w:rsidRPr="00282AC9">
        <w:rPr>
          <w:rFonts w:cs="DanaFajr" w:hint="cs"/>
          <w:sz w:val="28"/>
          <w:szCs w:val="28"/>
          <w:rtl/>
        </w:rPr>
        <w:t>ال</w:t>
      </w:r>
      <w:r w:rsidRPr="00282AC9">
        <w:rPr>
          <w:rFonts w:cs="DanaFajr"/>
          <w:sz w:val="28"/>
          <w:szCs w:val="28"/>
          <w:rtl/>
        </w:rPr>
        <w:t>طوس</w:t>
      </w:r>
      <w:r w:rsidRPr="00282AC9">
        <w:rPr>
          <w:rFonts w:cs="DanaFajr" w:hint="cs"/>
          <w:sz w:val="28"/>
          <w:szCs w:val="28"/>
          <w:rtl/>
        </w:rPr>
        <w:t>ي</w:t>
      </w:r>
      <w:r w:rsidRPr="00282AC9">
        <w:rPr>
          <w:rFonts w:cs="DanaFajr" w:hint="eastAsia"/>
          <w:sz w:val="28"/>
          <w:szCs w:val="28"/>
          <w:rtl/>
        </w:rPr>
        <w:t>،</w:t>
      </w:r>
      <w:r w:rsidRPr="00282AC9">
        <w:rPr>
          <w:rFonts w:cs="DanaFajr" w:hint="cs"/>
          <w:sz w:val="28"/>
          <w:szCs w:val="28"/>
          <w:rtl/>
        </w:rPr>
        <w:t xml:space="preserve"> ال</w:t>
      </w:r>
      <w:r w:rsidRPr="00282AC9">
        <w:rPr>
          <w:rFonts w:cs="DanaFajr"/>
          <w:sz w:val="28"/>
          <w:szCs w:val="28"/>
          <w:rtl/>
        </w:rPr>
        <w:t>خلاف 2: 434</w:t>
      </w:r>
      <w:r w:rsidRPr="00282AC9">
        <w:rPr>
          <w:rFonts w:cs="DanaFajr" w:hint="cs"/>
          <w:sz w:val="28"/>
          <w:szCs w:val="28"/>
          <w:rtl/>
        </w:rPr>
        <w:t>، مؤسّسة النشر الإسلامي</w:t>
      </w:r>
      <w:r w:rsidRPr="00282AC9">
        <w:rPr>
          <w:rFonts w:cs="DanaFajr"/>
          <w:sz w:val="28"/>
          <w:szCs w:val="28"/>
          <w:rtl/>
        </w:rPr>
        <w:t>، ط1، قم المقد</w:t>
      </w:r>
      <w:r w:rsidRPr="00282AC9">
        <w:rPr>
          <w:rFonts w:cs="DanaFajr" w:hint="cs"/>
          <w:sz w:val="28"/>
          <w:szCs w:val="28"/>
          <w:rtl/>
        </w:rPr>
        <w:t>ّ</w:t>
      </w:r>
      <w:r w:rsidRPr="00282AC9">
        <w:rPr>
          <w:rFonts w:cs="DanaFajr"/>
          <w:sz w:val="28"/>
          <w:szCs w:val="28"/>
          <w:rtl/>
        </w:rPr>
        <w:t>سة، 140</w:t>
      </w:r>
      <w:r w:rsidRPr="00282AC9">
        <w:rPr>
          <w:rFonts w:cs="DanaFajr" w:hint="cs"/>
          <w:sz w:val="28"/>
          <w:szCs w:val="28"/>
          <w:rtl/>
        </w:rPr>
        <w:t>7</w:t>
      </w:r>
      <w:r w:rsidRPr="00282AC9">
        <w:rPr>
          <w:rFonts w:cs="DanaFajr"/>
          <w:sz w:val="28"/>
          <w:szCs w:val="28"/>
          <w:rtl/>
        </w:rPr>
        <w:t>هـ.</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ال</w:t>
      </w:r>
      <w:r w:rsidRPr="00282AC9">
        <w:rPr>
          <w:rFonts w:cs="DanaFajr"/>
          <w:sz w:val="28"/>
          <w:szCs w:val="28"/>
          <w:rtl/>
        </w:rPr>
        <w:t>ش</w:t>
      </w:r>
      <w:r w:rsidRPr="00282AC9">
        <w:rPr>
          <w:rFonts w:cs="DanaFajr" w:hint="cs"/>
          <w:sz w:val="28"/>
          <w:szCs w:val="28"/>
          <w:rtl/>
        </w:rPr>
        <w:t>ي</w:t>
      </w:r>
      <w:r w:rsidRPr="00282AC9">
        <w:rPr>
          <w:rFonts w:cs="DanaFajr" w:hint="eastAsia"/>
          <w:sz w:val="28"/>
          <w:szCs w:val="28"/>
          <w:rtl/>
        </w:rPr>
        <w:t>خ</w:t>
      </w:r>
      <w:r w:rsidRPr="00282AC9">
        <w:rPr>
          <w:rFonts w:cs="DanaFajr"/>
          <w:sz w:val="28"/>
          <w:szCs w:val="28"/>
          <w:rtl/>
        </w:rPr>
        <w:t xml:space="preserve"> </w:t>
      </w:r>
      <w:r w:rsidRPr="00282AC9">
        <w:rPr>
          <w:rFonts w:cs="DanaFajr" w:hint="cs"/>
          <w:sz w:val="28"/>
          <w:szCs w:val="28"/>
          <w:rtl/>
        </w:rPr>
        <w:t>ال</w:t>
      </w:r>
      <w:r w:rsidRPr="00282AC9">
        <w:rPr>
          <w:rFonts w:cs="DanaFajr"/>
          <w:sz w:val="28"/>
          <w:szCs w:val="28"/>
          <w:rtl/>
        </w:rPr>
        <w:t>طوس</w:t>
      </w:r>
      <w:r w:rsidRPr="00282AC9">
        <w:rPr>
          <w:rFonts w:cs="DanaFajr" w:hint="cs"/>
          <w:sz w:val="28"/>
          <w:szCs w:val="28"/>
          <w:rtl/>
        </w:rPr>
        <w:t>ي</w:t>
      </w:r>
      <w:r w:rsidRPr="00282AC9">
        <w:rPr>
          <w:rFonts w:cs="DanaFajr" w:hint="eastAsia"/>
          <w:sz w:val="28"/>
          <w:szCs w:val="28"/>
          <w:rtl/>
        </w:rPr>
        <w:t>،</w:t>
      </w:r>
      <w:r w:rsidRPr="00282AC9">
        <w:rPr>
          <w:rFonts w:cs="DanaFajr"/>
          <w:sz w:val="28"/>
          <w:szCs w:val="28"/>
          <w:rtl/>
        </w:rPr>
        <w:t xml:space="preserve"> المبسوط ف</w:t>
      </w:r>
      <w:r w:rsidRPr="00282AC9">
        <w:rPr>
          <w:rFonts w:cs="DanaFajr" w:hint="cs"/>
          <w:sz w:val="28"/>
          <w:szCs w:val="28"/>
          <w:rtl/>
        </w:rPr>
        <w:t>ي</w:t>
      </w:r>
      <w:r w:rsidRPr="00282AC9">
        <w:rPr>
          <w:rFonts w:cs="DanaFajr"/>
          <w:sz w:val="28"/>
          <w:szCs w:val="28"/>
          <w:rtl/>
        </w:rPr>
        <w:t xml:space="preserve"> فقه ال</w:t>
      </w:r>
      <w:r w:rsidRPr="00282AC9">
        <w:rPr>
          <w:rFonts w:cs="DanaFajr" w:hint="cs"/>
          <w:sz w:val="28"/>
          <w:szCs w:val="28"/>
          <w:rtl/>
        </w:rPr>
        <w:t>إ</w:t>
      </w:r>
      <w:r w:rsidRPr="00282AC9">
        <w:rPr>
          <w:rFonts w:cs="DanaFajr"/>
          <w:sz w:val="28"/>
          <w:szCs w:val="28"/>
          <w:rtl/>
        </w:rPr>
        <w:t>مام</w:t>
      </w:r>
      <w:r w:rsidRPr="00282AC9">
        <w:rPr>
          <w:rFonts w:cs="DanaFajr" w:hint="cs"/>
          <w:sz w:val="28"/>
          <w:szCs w:val="28"/>
          <w:rtl/>
        </w:rPr>
        <w:t>ية</w:t>
      </w:r>
      <w:r w:rsidRPr="00282AC9">
        <w:rPr>
          <w:rFonts w:cs="DanaFajr" w:hint="eastAsia"/>
          <w:sz w:val="28"/>
          <w:szCs w:val="28"/>
          <w:rtl/>
        </w:rPr>
        <w:t xml:space="preserve"> </w:t>
      </w:r>
      <w:r w:rsidRPr="00282AC9">
        <w:rPr>
          <w:rFonts w:cs="DanaFajr"/>
          <w:sz w:val="28"/>
          <w:szCs w:val="28"/>
          <w:rtl/>
        </w:rPr>
        <w:t>7: 281</w:t>
      </w:r>
      <w:r w:rsidRPr="00282AC9">
        <w:rPr>
          <w:rFonts w:cs="DanaFajr" w:hint="cs"/>
          <w:sz w:val="28"/>
          <w:szCs w:val="28"/>
          <w:rtl/>
        </w:rPr>
        <w:t>، المكتبة المرتضوية لإحياء آثار الجعفرية، ط3، طهران، 1377هـ.ش؛</w:t>
      </w:r>
      <w:r w:rsidRPr="00282AC9">
        <w:rPr>
          <w:rFonts w:cs="DanaFajr"/>
          <w:sz w:val="28"/>
          <w:szCs w:val="28"/>
          <w:rtl/>
        </w:rPr>
        <w:t xml:space="preserve"> الشهيد الثاني، الروضة البهية في شرح اللمعة الدمشقية 9: 33</w:t>
      </w:r>
      <w:r w:rsidRPr="00282AC9">
        <w:rPr>
          <w:rFonts w:cs="DanaFajr" w:hint="cs"/>
          <w:sz w:val="28"/>
          <w:szCs w:val="28"/>
          <w:rtl/>
        </w:rPr>
        <w:t>7</w:t>
      </w:r>
      <w:r w:rsidRPr="00282AC9">
        <w:rPr>
          <w:rFonts w:cs="DanaFajr"/>
          <w:sz w:val="28"/>
          <w:szCs w:val="28"/>
          <w:rtl/>
        </w:rPr>
        <w:t xml:space="preserve">؛ النجفي، جواهر الكلام في شرح شرائع الإسلام </w:t>
      </w:r>
      <w:r w:rsidRPr="00282AC9">
        <w:rPr>
          <w:rFonts w:cs="DanaFajr" w:hint="cs"/>
          <w:sz w:val="28"/>
          <w:szCs w:val="28"/>
          <w:rtl/>
        </w:rPr>
        <w:t xml:space="preserve">6: 45؛ </w:t>
      </w:r>
      <w:r w:rsidRPr="00282AC9">
        <w:rPr>
          <w:rFonts w:cs="DanaFajr"/>
          <w:sz w:val="28"/>
          <w:szCs w:val="28"/>
          <w:rtl/>
        </w:rPr>
        <w:t>41: 608.</w:t>
      </w:r>
    </w:p>
  </w:endnote>
  <w:endnote w:id="271">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w:t>
      </w:r>
      <w:r w:rsidRPr="00282AC9">
        <w:rPr>
          <w:rFonts w:cs="DanaFajr"/>
          <w:sz w:val="28"/>
          <w:szCs w:val="28"/>
          <w:rtl/>
        </w:rPr>
        <w:t>النجفي، جواهر الكلام في شرح شرائع الإسلام 41: 60</w:t>
      </w:r>
      <w:r w:rsidRPr="00282AC9">
        <w:rPr>
          <w:rFonts w:cs="DanaFajr" w:hint="cs"/>
          <w:sz w:val="28"/>
          <w:szCs w:val="28"/>
          <w:rtl/>
        </w:rPr>
        <w:t>5</w:t>
      </w:r>
      <w:r w:rsidRPr="00282AC9">
        <w:rPr>
          <w:rFonts w:cs="DanaFajr"/>
          <w:sz w:val="28"/>
          <w:szCs w:val="28"/>
          <w:rtl/>
        </w:rPr>
        <w:t>.</w:t>
      </w:r>
    </w:p>
  </w:endnote>
  <w:endnote w:id="272">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المصدر السابق 6: 45.</w:t>
      </w:r>
    </w:p>
  </w:endnote>
  <w:endnote w:id="273">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السيد محسن الحكيم، المستمسك في شرح العروة الوثقى 2: 119، مؤسّسة دار التفسير، ط1، قم المقدّسة، 1416هـ.</w:t>
      </w:r>
    </w:p>
  </w:endnote>
  <w:endnote w:id="274">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w:t>
      </w:r>
      <w:r w:rsidRPr="00282AC9">
        <w:rPr>
          <w:rFonts w:cs="DanaFajr"/>
          <w:sz w:val="28"/>
          <w:szCs w:val="28"/>
          <w:rtl/>
        </w:rPr>
        <w:t>البحراني،</w:t>
      </w:r>
      <w:r w:rsidRPr="00282AC9">
        <w:rPr>
          <w:rFonts w:cs="DanaFajr" w:hint="cs"/>
          <w:sz w:val="28"/>
          <w:szCs w:val="28"/>
          <w:rtl/>
        </w:rPr>
        <w:t xml:space="preserve"> </w:t>
      </w:r>
      <w:r w:rsidRPr="00282AC9">
        <w:rPr>
          <w:rFonts w:cs="DanaFajr"/>
          <w:sz w:val="28"/>
          <w:szCs w:val="28"/>
          <w:rtl/>
        </w:rPr>
        <w:t>الحدائق الناظرة في أحكام العترة الطاهرة 11: 1</w:t>
      </w:r>
      <w:r w:rsidRPr="00282AC9">
        <w:rPr>
          <w:rFonts w:cs="DanaFajr" w:hint="cs"/>
          <w:sz w:val="28"/>
          <w:szCs w:val="28"/>
          <w:rtl/>
        </w:rPr>
        <w:t>5.</w:t>
      </w:r>
    </w:p>
  </w:endnote>
  <w:endnote w:id="275">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w:t>
      </w:r>
      <w:r w:rsidRPr="00282AC9">
        <w:rPr>
          <w:rFonts w:cs="DanaFajr"/>
          <w:sz w:val="28"/>
          <w:szCs w:val="28"/>
          <w:rtl/>
        </w:rPr>
        <w:t>شيخ مرتض</w:t>
      </w:r>
      <w:r w:rsidRPr="00282AC9">
        <w:rPr>
          <w:rFonts w:cs="DanaFajr" w:hint="cs"/>
          <w:sz w:val="28"/>
          <w:szCs w:val="28"/>
          <w:rtl/>
        </w:rPr>
        <w:t>ی</w:t>
      </w:r>
      <w:r w:rsidRPr="00282AC9">
        <w:rPr>
          <w:rFonts w:cs="DanaFajr"/>
          <w:sz w:val="28"/>
          <w:szCs w:val="28"/>
          <w:rtl/>
        </w:rPr>
        <w:t xml:space="preserve"> ا</w:t>
      </w:r>
      <w:r w:rsidRPr="00282AC9">
        <w:rPr>
          <w:rFonts w:cs="DanaFajr" w:hint="cs"/>
          <w:sz w:val="28"/>
          <w:szCs w:val="28"/>
          <w:rtl/>
        </w:rPr>
        <w:t>لأ</w:t>
      </w:r>
      <w:r w:rsidRPr="00282AC9">
        <w:rPr>
          <w:rFonts w:cs="DanaFajr"/>
          <w:sz w:val="28"/>
          <w:szCs w:val="28"/>
          <w:rtl/>
        </w:rPr>
        <w:t>نصاري، كتاب الطهارة 5: 322</w:t>
      </w:r>
      <w:r w:rsidRPr="00282AC9">
        <w:rPr>
          <w:rFonts w:cs="DanaFajr" w:hint="cs"/>
          <w:sz w:val="28"/>
          <w:szCs w:val="28"/>
          <w:rtl/>
        </w:rPr>
        <w:t>، المؤتمر العالمي لإحياء ذكرى الشيخ الأعظم الأنصاري، ط1، قم المقدّسة، 1415هـ؛</w:t>
      </w:r>
      <w:r w:rsidRPr="00282AC9">
        <w:rPr>
          <w:rFonts w:cs="DanaFajr"/>
          <w:sz w:val="28"/>
          <w:szCs w:val="28"/>
          <w:rtl/>
        </w:rPr>
        <w:t xml:space="preserve">‌ </w:t>
      </w:r>
      <w:r w:rsidRPr="00282AC9">
        <w:rPr>
          <w:rFonts w:cs="DanaFajr" w:hint="cs"/>
          <w:sz w:val="28"/>
          <w:szCs w:val="28"/>
          <w:rtl/>
        </w:rPr>
        <w:t>ال</w:t>
      </w:r>
      <w:r w:rsidRPr="00282AC9">
        <w:rPr>
          <w:rFonts w:cs="DanaFajr"/>
          <w:sz w:val="28"/>
          <w:szCs w:val="28"/>
          <w:rtl/>
        </w:rPr>
        <w:t>علا</w:t>
      </w:r>
      <w:r w:rsidRPr="00282AC9">
        <w:rPr>
          <w:rFonts w:cs="DanaFajr" w:hint="cs"/>
          <w:sz w:val="28"/>
          <w:szCs w:val="28"/>
          <w:rtl/>
        </w:rPr>
        <w:t>ّ</w:t>
      </w:r>
      <w:r w:rsidRPr="00282AC9">
        <w:rPr>
          <w:rFonts w:cs="DanaFajr"/>
          <w:sz w:val="28"/>
          <w:szCs w:val="28"/>
          <w:rtl/>
        </w:rPr>
        <w:t>م</w:t>
      </w:r>
      <w:r w:rsidRPr="00282AC9">
        <w:rPr>
          <w:rFonts w:cs="DanaFajr" w:hint="cs"/>
          <w:sz w:val="28"/>
          <w:szCs w:val="28"/>
          <w:rtl/>
        </w:rPr>
        <w:t>ة</w:t>
      </w:r>
      <w:r w:rsidRPr="00282AC9">
        <w:rPr>
          <w:rFonts w:cs="DanaFajr"/>
          <w:sz w:val="28"/>
          <w:szCs w:val="28"/>
          <w:rtl/>
        </w:rPr>
        <w:t xml:space="preserve"> </w:t>
      </w:r>
      <w:r w:rsidRPr="00282AC9">
        <w:rPr>
          <w:rFonts w:cs="DanaFajr" w:hint="cs"/>
          <w:sz w:val="28"/>
          <w:szCs w:val="28"/>
          <w:rtl/>
        </w:rPr>
        <w:t>ال</w:t>
      </w:r>
      <w:r w:rsidRPr="00282AC9">
        <w:rPr>
          <w:rFonts w:cs="DanaFajr"/>
          <w:sz w:val="28"/>
          <w:szCs w:val="28"/>
          <w:rtl/>
        </w:rPr>
        <w:t>حل</w:t>
      </w:r>
      <w:r w:rsidRPr="00282AC9">
        <w:rPr>
          <w:rFonts w:cs="DanaFajr" w:hint="cs"/>
          <w:sz w:val="28"/>
          <w:szCs w:val="28"/>
          <w:rtl/>
        </w:rPr>
        <w:t>ّ</w:t>
      </w:r>
      <w:r w:rsidRPr="00282AC9">
        <w:rPr>
          <w:rFonts w:cs="DanaFajr"/>
          <w:sz w:val="28"/>
          <w:szCs w:val="28"/>
          <w:rtl/>
        </w:rPr>
        <w:t>ي،</w:t>
      </w:r>
      <w:r w:rsidRPr="00282AC9">
        <w:rPr>
          <w:rFonts w:cs="DanaFajr" w:hint="cs"/>
          <w:sz w:val="28"/>
          <w:szCs w:val="28"/>
          <w:rtl/>
        </w:rPr>
        <w:t xml:space="preserve"> </w:t>
      </w:r>
      <w:r w:rsidRPr="00282AC9">
        <w:rPr>
          <w:rFonts w:cs="DanaFajr"/>
          <w:sz w:val="28"/>
          <w:szCs w:val="28"/>
          <w:rtl/>
        </w:rPr>
        <w:t>تحرير ال</w:t>
      </w:r>
      <w:r w:rsidRPr="00282AC9">
        <w:rPr>
          <w:rFonts w:cs="DanaFajr" w:hint="cs"/>
          <w:sz w:val="28"/>
          <w:szCs w:val="28"/>
          <w:rtl/>
        </w:rPr>
        <w:t>أ</w:t>
      </w:r>
      <w:r w:rsidRPr="00282AC9">
        <w:rPr>
          <w:rFonts w:cs="DanaFajr"/>
          <w:sz w:val="28"/>
          <w:szCs w:val="28"/>
          <w:rtl/>
        </w:rPr>
        <w:t>حكام</w:t>
      </w:r>
      <w:r w:rsidRPr="00282AC9">
        <w:rPr>
          <w:rFonts w:cs="DanaFajr" w:hint="cs"/>
          <w:sz w:val="28"/>
          <w:szCs w:val="28"/>
          <w:rtl/>
        </w:rPr>
        <w:t xml:space="preserve"> الشرعية على مذهب الإمامية</w:t>
      </w:r>
      <w:r w:rsidRPr="00282AC9">
        <w:rPr>
          <w:rFonts w:cs="DanaFajr"/>
          <w:sz w:val="28"/>
          <w:szCs w:val="28"/>
          <w:rtl/>
        </w:rPr>
        <w:t>: 25</w:t>
      </w:r>
      <w:r w:rsidRPr="00282AC9">
        <w:rPr>
          <w:rFonts w:cs="DanaFajr" w:hint="cs"/>
          <w:sz w:val="28"/>
          <w:szCs w:val="28"/>
          <w:rtl/>
        </w:rPr>
        <w:t>، مؤسّسة الإمام الصادق</w:t>
      </w:r>
      <w:r w:rsidRPr="00282AC9">
        <w:rPr>
          <w:rFonts w:cs="Mosawi" w:hint="cs"/>
          <w:rtl/>
        </w:rPr>
        <w:t>×</w:t>
      </w:r>
      <w:r w:rsidRPr="00282AC9">
        <w:rPr>
          <w:rFonts w:cs="DanaFajr" w:hint="cs"/>
          <w:sz w:val="28"/>
          <w:szCs w:val="28"/>
          <w:rtl/>
        </w:rPr>
        <w:t>، قم المقدّسة، 1420هـ؛</w:t>
      </w:r>
      <w:r w:rsidRPr="00282AC9">
        <w:rPr>
          <w:rFonts w:cs="DanaFajr"/>
          <w:sz w:val="28"/>
          <w:szCs w:val="28"/>
          <w:rtl/>
        </w:rPr>
        <w:t xml:space="preserve"> </w:t>
      </w:r>
      <w:r w:rsidRPr="00282AC9">
        <w:rPr>
          <w:rFonts w:cs="DanaFajr" w:hint="cs"/>
          <w:sz w:val="28"/>
          <w:szCs w:val="28"/>
          <w:rtl/>
        </w:rPr>
        <w:t>ال</w:t>
      </w:r>
      <w:r w:rsidRPr="00282AC9">
        <w:rPr>
          <w:rFonts w:cs="DanaFajr"/>
          <w:sz w:val="28"/>
          <w:szCs w:val="28"/>
          <w:rtl/>
        </w:rPr>
        <w:t xml:space="preserve">قاضي ابن </w:t>
      </w:r>
      <w:r w:rsidRPr="00282AC9">
        <w:rPr>
          <w:rFonts w:cs="DanaFajr" w:hint="cs"/>
          <w:sz w:val="28"/>
          <w:szCs w:val="28"/>
          <w:rtl/>
        </w:rPr>
        <w:t>ال</w:t>
      </w:r>
      <w:r w:rsidRPr="00282AC9">
        <w:rPr>
          <w:rFonts w:cs="DanaFajr"/>
          <w:sz w:val="28"/>
          <w:szCs w:val="28"/>
          <w:rtl/>
        </w:rPr>
        <w:t>بر</w:t>
      </w:r>
      <w:r w:rsidRPr="00282AC9">
        <w:rPr>
          <w:rFonts w:cs="DanaFajr" w:hint="cs"/>
          <w:sz w:val="28"/>
          <w:szCs w:val="28"/>
          <w:rtl/>
        </w:rPr>
        <w:t>ّ</w:t>
      </w:r>
      <w:r w:rsidRPr="00282AC9">
        <w:rPr>
          <w:rFonts w:cs="DanaFajr"/>
          <w:sz w:val="28"/>
          <w:szCs w:val="28"/>
          <w:rtl/>
        </w:rPr>
        <w:t xml:space="preserve">اج </w:t>
      </w:r>
      <w:r w:rsidRPr="00282AC9">
        <w:rPr>
          <w:rFonts w:cs="DanaFajr" w:hint="cs"/>
          <w:sz w:val="28"/>
          <w:szCs w:val="28"/>
          <w:rtl/>
        </w:rPr>
        <w:t>ال</w:t>
      </w:r>
      <w:r w:rsidRPr="00282AC9">
        <w:rPr>
          <w:rFonts w:cs="DanaFajr"/>
          <w:sz w:val="28"/>
          <w:szCs w:val="28"/>
          <w:rtl/>
        </w:rPr>
        <w:t>طرابلس</w:t>
      </w:r>
      <w:r w:rsidRPr="00282AC9">
        <w:rPr>
          <w:rFonts w:cs="DanaFajr" w:hint="cs"/>
          <w:sz w:val="28"/>
          <w:szCs w:val="28"/>
          <w:rtl/>
        </w:rPr>
        <w:t>ي</w:t>
      </w:r>
      <w:r w:rsidRPr="00282AC9">
        <w:rPr>
          <w:rFonts w:cs="DanaFajr" w:hint="eastAsia"/>
          <w:sz w:val="28"/>
          <w:szCs w:val="28"/>
          <w:rtl/>
        </w:rPr>
        <w:t>،</w:t>
      </w:r>
      <w:r w:rsidRPr="00282AC9">
        <w:rPr>
          <w:rFonts w:cs="DanaFajr"/>
          <w:sz w:val="28"/>
          <w:szCs w:val="28"/>
          <w:rtl/>
        </w:rPr>
        <w:t xml:space="preserve"> المهذ</w:t>
      </w:r>
      <w:r w:rsidRPr="00282AC9">
        <w:rPr>
          <w:rFonts w:cs="DanaFajr" w:hint="cs"/>
          <w:sz w:val="28"/>
          <w:szCs w:val="28"/>
          <w:rtl/>
        </w:rPr>
        <w:t>َّ</w:t>
      </w:r>
      <w:r w:rsidRPr="00282AC9">
        <w:rPr>
          <w:rFonts w:cs="DanaFajr"/>
          <w:sz w:val="28"/>
          <w:szCs w:val="28"/>
          <w:rtl/>
        </w:rPr>
        <w:t>ب</w:t>
      </w:r>
      <w:r w:rsidRPr="00282AC9">
        <w:rPr>
          <w:rFonts w:cs="DanaFajr" w:hint="cs"/>
          <w:sz w:val="28"/>
          <w:szCs w:val="28"/>
          <w:rtl/>
        </w:rPr>
        <w:t xml:space="preserve"> البارع</w:t>
      </w:r>
      <w:r w:rsidRPr="00282AC9">
        <w:rPr>
          <w:rFonts w:cs="DanaFajr"/>
          <w:sz w:val="28"/>
          <w:szCs w:val="28"/>
          <w:rtl/>
        </w:rPr>
        <w:t xml:space="preserve"> 2: 551</w:t>
      </w:r>
      <w:r w:rsidRPr="00282AC9">
        <w:rPr>
          <w:rFonts w:cs="DanaFajr" w:hint="cs"/>
          <w:sz w:val="28"/>
          <w:szCs w:val="28"/>
          <w:rtl/>
        </w:rPr>
        <w:t>؛</w:t>
      </w:r>
      <w:r w:rsidRPr="00282AC9">
        <w:rPr>
          <w:rFonts w:cs="DanaFajr"/>
          <w:sz w:val="28"/>
          <w:szCs w:val="28"/>
          <w:rtl/>
        </w:rPr>
        <w:t xml:space="preserve"> الشهيد الثاني، الروضة البهية في شرح اللمعة الدمشقية 9: 33</w:t>
      </w:r>
      <w:r w:rsidRPr="00282AC9">
        <w:rPr>
          <w:rFonts w:cs="DanaFajr" w:hint="cs"/>
          <w:sz w:val="28"/>
          <w:szCs w:val="28"/>
          <w:rtl/>
        </w:rPr>
        <w:t>8</w:t>
      </w:r>
      <w:r w:rsidRPr="00282AC9">
        <w:rPr>
          <w:rFonts w:cs="DanaFajr"/>
          <w:sz w:val="28"/>
          <w:szCs w:val="28"/>
          <w:rtl/>
        </w:rPr>
        <w:t xml:space="preserve">؛ </w:t>
      </w:r>
      <w:r w:rsidRPr="00282AC9">
        <w:rPr>
          <w:rFonts w:cs="DanaFajr" w:hint="cs"/>
          <w:sz w:val="28"/>
          <w:szCs w:val="28"/>
          <w:rtl/>
        </w:rPr>
        <w:t>السيد مهدي ال</w:t>
      </w:r>
      <w:r w:rsidRPr="00282AC9">
        <w:rPr>
          <w:rFonts w:cs="DanaFajr"/>
          <w:sz w:val="28"/>
          <w:szCs w:val="28"/>
          <w:rtl/>
        </w:rPr>
        <w:t>طباطبائي</w:t>
      </w:r>
      <w:r w:rsidRPr="00282AC9">
        <w:rPr>
          <w:rFonts w:cs="DanaFajr" w:hint="cs"/>
          <w:sz w:val="28"/>
          <w:szCs w:val="28"/>
          <w:rtl/>
        </w:rPr>
        <w:t xml:space="preserve"> </w:t>
      </w:r>
      <w:r w:rsidRPr="00282AC9">
        <w:rPr>
          <w:rFonts w:cs="DanaFajr"/>
          <w:sz w:val="28"/>
          <w:szCs w:val="28"/>
          <w:rtl/>
        </w:rPr>
        <w:t>(بحر العلوم)</w:t>
      </w:r>
      <w:r w:rsidRPr="00282AC9">
        <w:rPr>
          <w:rFonts w:cs="DanaFajr" w:hint="cs"/>
          <w:sz w:val="28"/>
          <w:szCs w:val="28"/>
          <w:rtl/>
        </w:rPr>
        <w:t>،</w:t>
      </w:r>
      <w:r w:rsidRPr="00282AC9">
        <w:rPr>
          <w:rFonts w:cs="DanaFajr"/>
          <w:sz w:val="28"/>
          <w:szCs w:val="28"/>
          <w:rtl/>
        </w:rPr>
        <w:t xml:space="preserve"> الدر</w:t>
      </w:r>
      <w:r w:rsidRPr="00282AC9">
        <w:rPr>
          <w:rFonts w:cs="DanaFajr" w:hint="cs"/>
          <w:sz w:val="28"/>
          <w:szCs w:val="28"/>
          <w:rtl/>
        </w:rPr>
        <w:t>ّ</w:t>
      </w:r>
      <w:r w:rsidRPr="00282AC9">
        <w:rPr>
          <w:rFonts w:cs="DanaFajr"/>
          <w:sz w:val="28"/>
          <w:szCs w:val="28"/>
          <w:rtl/>
        </w:rPr>
        <w:t>ة النجفية: 54</w:t>
      </w:r>
      <w:r w:rsidRPr="00282AC9">
        <w:rPr>
          <w:rFonts w:cs="DanaFajr" w:hint="cs"/>
          <w:sz w:val="28"/>
          <w:szCs w:val="28"/>
          <w:rtl/>
        </w:rPr>
        <w:t>، دار الزهراء، ط2، قم المقدّسة، 1406هـ؛</w:t>
      </w:r>
      <w:r w:rsidRPr="00282AC9">
        <w:rPr>
          <w:rFonts w:cs="DanaFajr"/>
          <w:sz w:val="28"/>
          <w:szCs w:val="28"/>
          <w:rtl/>
        </w:rPr>
        <w:t xml:space="preserve"> </w:t>
      </w:r>
      <w:r w:rsidRPr="00282AC9">
        <w:rPr>
          <w:rFonts w:cs="DanaFajr" w:hint="cs"/>
          <w:sz w:val="28"/>
          <w:szCs w:val="28"/>
          <w:rtl/>
        </w:rPr>
        <w:t>ال</w:t>
      </w:r>
      <w:r w:rsidRPr="00282AC9">
        <w:rPr>
          <w:rFonts w:cs="DanaFajr"/>
          <w:sz w:val="28"/>
          <w:szCs w:val="28"/>
          <w:rtl/>
        </w:rPr>
        <w:t xml:space="preserve">ميرزا </w:t>
      </w:r>
      <w:r w:rsidRPr="00282AC9">
        <w:rPr>
          <w:rFonts w:cs="DanaFajr" w:hint="cs"/>
          <w:sz w:val="28"/>
          <w:szCs w:val="28"/>
          <w:rtl/>
        </w:rPr>
        <w:t>أبو القاسم الجيلاني ال</w:t>
      </w:r>
      <w:r w:rsidRPr="00282AC9">
        <w:rPr>
          <w:rFonts w:cs="DanaFajr"/>
          <w:sz w:val="28"/>
          <w:szCs w:val="28"/>
          <w:rtl/>
        </w:rPr>
        <w:t>قم</w:t>
      </w:r>
      <w:r w:rsidRPr="00282AC9">
        <w:rPr>
          <w:rFonts w:cs="DanaFajr" w:hint="cs"/>
          <w:sz w:val="28"/>
          <w:szCs w:val="28"/>
          <w:rtl/>
        </w:rPr>
        <w:t>ّ</w:t>
      </w:r>
      <w:r w:rsidRPr="00282AC9">
        <w:rPr>
          <w:rFonts w:cs="DanaFajr"/>
          <w:sz w:val="28"/>
          <w:szCs w:val="28"/>
          <w:rtl/>
        </w:rPr>
        <w:t>ي</w:t>
      </w:r>
      <w:r w:rsidRPr="00282AC9">
        <w:rPr>
          <w:rFonts w:cs="DanaFajr" w:hint="cs"/>
          <w:sz w:val="28"/>
          <w:szCs w:val="28"/>
          <w:rtl/>
        </w:rPr>
        <w:t xml:space="preserve">، </w:t>
      </w:r>
      <w:r w:rsidRPr="00282AC9">
        <w:rPr>
          <w:rFonts w:cs="DanaFajr"/>
          <w:sz w:val="28"/>
          <w:szCs w:val="28"/>
          <w:rtl/>
        </w:rPr>
        <w:t>‌جامع الشتات</w:t>
      </w:r>
      <w:r w:rsidRPr="00282AC9">
        <w:rPr>
          <w:rFonts w:cs="DanaFajr" w:hint="cs"/>
          <w:sz w:val="28"/>
          <w:szCs w:val="28"/>
          <w:rtl/>
        </w:rPr>
        <w:t xml:space="preserve"> في أجوبة السؤالات </w:t>
      </w:r>
      <w:r w:rsidRPr="00282AC9">
        <w:rPr>
          <w:rFonts w:cs="DanaFajr"/>
          <w:sz w:val="28"/>
          <w:szCs w:val="28"/>
          <w:rtl/>
        </w:rPr>
        <w:t>1: 55</w:t>
      </w:r>
      <w:r w:rsidRPr="00282AC9">
        <w:rPr>
          <w:rFonts w:cs="DanaFajr" w:hint="cs"/>
          <w:sz w:val="28"/>
          <w:szCs w:val="28"/>
          <w:rtl/>
        </w:rPr>
        <w:t>، مؤسّسة كيهان، ط1، قم المقدّسة، 1412هـ.</w:t>
      </w:r>
    </w:p>
  </w:endnote>
  <w:endnote w:id="276">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الحُرّ العاملي، وسائل الشيعة 28: 324، الباب الأول من أبواب المرتدّ.</w:t>
      </w:r>
    </w:p>
  </w:endnote>
  <w:endnote w:id="277">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w:t>
      </w:r>
      <w:r w:rsidRPr="00282AC9">
        <w:rPr>
          <w:rFonts w:cs="DanaFajr"/>
          <w:sz w:val="28"/>
          <w:szCs w:val="28"/>
          <w:rtl/>
        </w:rPr>
        <w:t>سيف الله صرا</w:t>
      </w:r>
      <w:r w:rsidRPr="00282AC9">
        <w:rPr>
          <w:rFonts w:cs="DanaFajr" w:hint="cs"/>
          <w:sz w:val="28"/>
          <w:szCs w:val="28"/>
          <w:rtl/>
        </w:rPr>
        <w:t>م</w:t>
      </w:r>
      <w:r w:rsidRPr="00282AC9">
        <w:rPr>
          <w:rFonts w:cs="DanaFajr"/>
          <w:sz w:val="28"/>
          <w:szCs w:val="28"/>
          <w:rtl/>
        </w:rPr>
        <w:t xml:space="preserve">ي، </w:t>
      </w:r>
      <w:r w:rsidRPr="00282AC9">
        <w:rPr>
          <w:rFonts w:cs="DanaFajr" w:hint="cs"/>
          <w:sz w:val="28"/>
          <w:szCs w:val="28"/>
          <w:rtl/>
        </w:rPr>
        <w:t>أ</w:t>
      </w:r>
      <w:r w:rsidRPr="00282AC9">
        <w:rPr>
          <w:rFonts w:cs="DanaFajr"/>
          <w:sz w:val="28"/>
          <w:szCs w:val="28"/>
          <w:rtl/>
        </w:rPr>
        <w:t>حكام مرتد</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أ</w:t>
      </w:r>
      <w:r w:rsidRPr="00282AC9">
        <w:rPr>
          <w:rFonts w:cs="DanaFajr"/>
          <w:sz w:val="28"/>
          <w:szCs w:val="28"/>
          <w:rtl/>
        </w:rPr>
        <w:t xml:space="preserve">ز </w:t>
      </w:r>
      <w:r w:rsidRPr="00282AC9">
        <w:rPr>
          <w:rFonts w:ascii="Mosawi" w:hAnsi="Mosawi" w:cs="Abz-3 (Yagut)"/>
          <w:rtl/>
          <w:lang w:val="x-none" w:eastAsia="x-none"/>
        </w:rPr>
        <w:t>ديدگاه</w:t>
      </w:r>
      <w:r w:rsidRPr="00282AC9">
        <w:rPr>
          <w:rFonts w:cs="DanaFajr"/>
          <w:sz w:val="28"/>
          <w:szCs w:val="28"/>
          <w:rtl/>
        </w:rPr>
        <w:t xml:space="preserve"> </w:t>
      </w:r>
      <w:r w:rsidRPr="00282AC9">
        <w:rPr>
          <w:rFonts w:cs="DanaFajr" w:hint="cs"/>
          <w:sz w:val="28"/>
          <w:szCs w:val="28"/>
          <w:rtl/>
        </w:rPr>
        <w:t>إ</w:t>
      </w:r>
      <w:r w:rsidRPr="00282AC9">
        <w:rPr>
          <w:rFonts w:cs="DanaFajr"/>
          <w:sz w:val="28"/>
          <w:szCs w:val="28"/>
          <w:rtl/>
        </w:rPr>
        <w:t>سلام وحقوق بشر</w:t>
      </w:r>
      <w:r w:rsidRPr="00282AC9">
        <w:rPr>
          <w:rFonts w:cs="DanaFajr" w:hint="cs"/>
          <w:sz w:val="28"/>
          <w:szCs w:val="28"/>
          <w:rtl/>
        </w:rPr>
        <w:t xml:space="preserve"> (أحكام المرتدّ من وجهة نظر الإسلام وحقوق الإنسان)</w:t>
      </w:r>
      <w:r w:rsidRPr="00282AC9">
        <w:rPr>
          <w:rFonts w:cs="DanaFajr"/>
          <w:sz w:val="28"/>
          <w:szCs w:val="28"/>
          <w:rtl/>
        </w:rPr>
        <w:t>: 360</w:t>
      </w:r>
      <w:r w:rsidRPr="00282AC9">
        <w:rPr>
          <w:rFonts w:cs="DanaFajr" w:hint="cs"/>
          <w:sz w:val="28"/>
          <w:szCs w:val="28"/>
          <w:rtl/>
        </w:rPr>
        <w:t>، مركز التحقيقات الاستراتيجية في رئاسة الجمهورية، طهران، 1376هـ. (مصدر فارسي).</w:t>
      </w:r>
    </w:p>
  </w:endnote>
  <w:endnote w:id="278">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الإمام الخميني، كتاب الطهارة 3: 633، مؤسّسة تنظيم ونشر آثار الإمام الخميني، طهران.</w:t>
      </w:r>
    </w:p>
  </w:endnote>
  <w:endnote w:id="279">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السيد عبد الكريم الأردبيلي، فقه الحدود والتعزيرات 4: 151 ـ 152، مؤسّسة النشر لجامعة المفيد، ط2، قم المقدسة، 1427هـ.</w:t>
      </w:r>
    </w:p>
  </w:endnote>
  <w:endnote w:id="280">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الح</w:t>
      </w:r>
      <w:r w:rsidRPr="00282AC9">
        <w:rPr>
          <w:rFonts w:cs="DanaFajr" w:hint="cs"/>
          <w:sz w:val="28"/>
          <w:szCs w:val="28"/>
          <w:rtl/>
        </w:rPr>
        <w:t>ُ</w:t>
      </w:r>
      <w:r w:rsidRPr="00282AC9">
        <w:rPr>
          <w:rFonts w:cs="DanaFajr"/>
          <w:sz w:val="28"/>
          <w:szCs w:val="28"/>
          <w:rtl/>
        </w:rPr>
        <w:t>ر</w:t>
      </w:r>
      <w:r w:rsidRPr="00282AC9">
        <w:rPr>
          <w:rFonts w:cs="DanaFajr" w:hint="cs"/>
          <w:sz w:val="28"/>
          <w:szCs w:val="28"/>
          <w:rtl/>
        </w:rPr>
        <w:t>ّ</w:t>
      </w:r>
      <w:r w:rsidRPr="00282AC9">
        <w:rPr>
          <w:rFonts w:cs="DanaFajr"/>
          <w:sz w:val="28"/>
          <w:szCs w:val="28"/>
          <w:rtl/>
        </w:rPr>
        <w:t xml:space="preserve"> العاملي، وسائل الشيعة 28: 32</w:t>
      </w:r>
      <w:r w:rsidRPr="00282AC9">
        <w:rPr>
          <w:rFonts w:cs="DanaFajr" w:hint="cs"/>
          <w:sz w:val="28"/>
          <w:szCs w:val="28"/>
          <w:rtl/>
        </w:rPr>
        <w:t>3</w:t>
      </w:r>
      <w:r w:rsidRPr="00282AC9">
        <w:rPr>
          <w:rFonts w:cs="DanaFajr"/>
          <w:sz w:val="28"/>
          <w:szCs w:val="28"/>
          <w:rtl/>
        </w:rPr>
        <w:t>، الباب الأول من أبواب المرتد</w:t>
      </w:r>
      <w:r w:rsidRPr="00282AC9">
        <w:rPr>
          <w:rFonts w:cs="DanaFajr" w:hint="cs"/>
          <w:sz w:val="28"/>
          <w:szCs w:val="28"/>
          <w:rtl/>
        </w:rPr>
        <w:t>ّ، ح1</w:t>
      </w:r>
      <w:r w:rsidRPr="00282AC9">
        <w:rPr>
          <w:rFonts w:cs="DanaFajr"/>
          <w:sz w:val="28"/>
          <w:szCs w:val="28"/>
          <w:rtl/>
        </w:rPr>
        <w:t>.</w:t>
      </w:r>
    </w:p>
  </w:endnote>
  <w:endnote w:id="281">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العلاّمة الطباطبائي، الميزان في تفسير القرآن 2: 168، مؤسّسة الأعلمي للمطبوعات، بيروت، 1391هـ.</w:t>
      </w:r>
    </w:p>
  </w:endnote>
  <w:endnote w:id="282">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السيد محمود الآلوسي، روح المعاني في تفسير القرآن العظيم 1: 335، دار الكتب العلمية، بيروت، 1415هـ.</w:t>
      </w:r>
    </w:p>
  </w:endnote>
  <w:endnote w:id="283">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السيد محمد كاظم اليزدي، العروة الوثقى 2: 466، المسألة 76، </w:t>
      </w:r>
      <w:r w:rsidRPr="00282AC9">
        <w:rPr>
          <w:rFonts w:cs="DanaFajr"/>
          <w:sz w:val="28"/>
          <w:szCs w:val="28"/>
          <w:rtl/>
        </w:rPr>
        <w:t>مؤس</w:t>
      </w:r>
      <w:r w:rsidRPr="00282AC9">
        <w:rPr>
          <w:rFonts w:cs="DanaFajr" w:hint="cs"/>
          <w:sz w:val="28"/>
          <w:szCs w:val="28"/>
          <w:rtl/>
        </w:rPr>
        <w:t>ّ</w:t>
      </w:r>
      <w:r w:rsidRPr="00282AC9">
        <w:rPr>
          <w:rFonts w:cs="DanaFajr"/>
          <w:sz w:val="28"/>
          <w:szCs w:val="28"/>
          <w:rtl/>
        </w:rPr>
        <w:t>سة الأعلمي للمطبوعات</w:t>
      </w:r>
      <w:r w:rsidRPr="00282AC9">
        <w:rPr>
          <w:rFonts w:cs="DanaFajr" w:hint="cs"/>
          <w:sz w:val="28"/>
          <w:szCs w:val="28"/>
          <w:rtl/>
        </w:rPr>
        <w:t>، ط2</w:t>
      </w:r>
      <w:r w:rsidRPr="00282AC9">
        <w:rPr>
          <w:rFonts w:cs="DanaFajr"/>
          <w:sz w:val="28"/>
          <w:szCs w:val="28"/>
          <w:rtl/>
        </w:rPr>
        <w:t>، بيروت،</w:t>
      </w:r>
      <w:r w:rsidRPr="00282AC9">
        <w:rPr>
          <w:rFonts w:cs="DanaFajr" w:hint="cs"/>
          <w:sz w:val="28"/>
          <w:szCs w:val="28"/>
          <w:rtl/>
        </w:rPr>
        <w:t xml:space="preserve"> 1409هـ.</w:t>
      </w:r>
    </w:p>
  </w:endnote>
  <w:endnote w:id="284">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w:t>
      </w:r>
      <w:r w:rsidRPr="00282AC9">
        <w:rPr>
          <w:rFonts w:cs="DanaFajr"/>
          <w:sz w:val="28"/>
          <w:szCs w:val="28"/>
          <w:rtl/>
        </w:rPr>
        <w:t>سيد محمد حسن</w:t>
      </w:r>
      <w:r w:rsidRPr="00282AC9">
        <w:rPr>
          <w:rFonts w:cs="DanaFajr" w:hint="cs"/>
          <w:sz w:val="28"/>
          <w:szCs w:val="28"/>
          <w:rtl/>
        </w:rPr>
        <w:t xml:space="preserve"> ال</w:t>
      </w:r>
      <w:r w:rsidRPr="00282AC9">
        <w:rPr>
          <w:rFonts w:cs="DanaFajr"/>
          <w:sz w:val="28"/>
          <w:szCs w:val="28"/>
          <w:rtl/>
        </w:rPr>
        <w:t>مرعش</w:t>
      </w:r>
      <w:r w:rsidRPr="00282AC9">
        <w:rPr>
          <w:rFonts w:cs="DanaFajr" w:hint="cs"/>
          <w:sz w:val="28"/>
          <w:szCs w:val="28"/>
          <w:rtl/>
        </w:rPr>
        <w:t>ي</w:t>
      </w:r>
      <w:r w:rsidRPr="00282AC9">
        <w:rPr>
          <w:rFonts w:cs="DanaFajr"/>
          <w:sz w:val="28"/>
          <w:szCs w:val="28"/>
          <w:rtl/>
        </w:rPr>
        <w:t xml:space="preserve"> </w:t>
      </w:r>
      <w:r w:rsidRPr="00282AC9">
        <w:rPr>
          <w:rFonts w:cs="DanaFajr" w:hint="cs"/>
          <w:sz w:val="28"/>
          <w:szCs w:val="28"/>
          <w:rtl/>
        </w:rPr>
        <w:t>ال</w:t>
      </w:r>
      <w:r w:rsidRPr="00282AC9">
        <w:rPr>
          <w:rFonts w:cs="DanaFajr"/>
          <w:sz w:val="28"/>
          <w:szCs w:val="28"/>
          <w:rtl/>
        </w:rPr>
        <w:t>شوشتر</w:t>
      </w:r>
      <w:r w:rsidRPr="00282AC9">
        <w:rPr>
          <w:rFonts w:cs="DanaFajr" w:hint="cs"/>
          <w:sz w:val="28"/>
          <w:szCs w:val="28"/>
          <w:rtl/>
        </w:rPr>
        <w:t>ي</w:t>
      </w:r>
      <w:r w:rsidRPr="00282AC9">
        <w:rPr>
          <w:rFonts w:cs="DanaFajr"/>
          <w:sz w:val="28"/>
          <w:szCs w:val="28"/>
          <w:rtl/>
        </w:rPr>
        <w:t xml:space="preserve">، </w:t>
      </w:r>
      <w:r w:rsidRPr="00282AC9">
        <w:rPr>
          <w:rFonts w:ascii="Mosawi" w:hAnsi="Mosawi" w:cs="Abz-3 (Yagut)"/>
          <w:rtl/>
          <w:lang w:val="x-none" w:eastAsia="x-none"/>
        </w:rPr>
        <w:t>ديدگاه‌</w:t>
      </w:r>
      <w:r w:rsidRPr="00282AC9">
        <w:rPr>
          <w:rFonts w:cs="DanaFajr" w:hint="cs"/>
          <w:sz w:val="28"/>
          <w:szCs w:val="28"/>
          <w:rtl/>
        </w:rPr>
        <w:t xml:space="preserve"> </w:t>
      </w:r>
      <w:r w:rsidRPr="00282AC9">
        <w:rPr>
          <w:rFonts w:cs="DanaFajr"/>
          <w:sz w:val="28"/>
          <w:szCs w:val="28"/>
          <w:rtl/>
        </w:rPr>
        <w:t>ها</w:t>
      </w:r>
      <w:r w:rsidRPr="00282AC9">
        <w:rPr>
          <w:rFonts w:cs="DanaFajr" w:hint="cs"/>
          <w:sz w:val="28"/>
          <w:szCs w:val="28"/>
          <w:rtl/>
        </w:rPr>
        <w:t>ي</w:t>
      </w:r>
      <w:r w:rsidRPr="00282AC9">
        <w:rPr>
          <w:rFonts w:cs="DanaFajr"/>
          <w:sz w:val="28"/>
          <w:szCs w:val="28"/>
          <w:rtl/>
        </w:rPr>
        <w:t xml:space="preserve"> نو در حقوق</w:t>
      </w:r>
      <w:r w:rsidRPr="00282AC9">
        <w:rPr>
          <w:rFonts w:cs="DanaFajr" w:hint="cs"/>
          <w:sz w:val="28"/>
          <w:szCs w:val="28"/>
          <w:rtl/>
        </w:rPr>
        <w:t xml:space="preserve"> (آراء جديدة في الحقوق)</w:t>
      </w:r>
      <w:r w:rsidRPr="00282AC9">
        <w:rPr>
          <w:rFonts w:cs="DanaFajr"/>
          <w:sz w:val="28"/>
          <w:szCs w:val="28"/>
          <w:rtl/>
        </w:rPr>
        <w:t xml:space="preserve"> 1: 84</w:t>
      </w:r>
      <w:r w:rsidRPr="00282AC9">
        <w:rPr>
          <w:rFonts w:cs="DanaFajr" w:hint="cs"/>
          <w:sz w:val="28"/>
          <w:szCs w:val="28"/>
          <w:rtl/>
        </w:rPr>
        <w:t>، منشورات الميزان، ط2، طهران، 1427هـ. (مصدر فارسي).</w:t>
      </w:r>
    </w:p>
  </w:endnote>
  <w:endnote w:id="285">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عبد الحسين طيّب، أطيب البيان في تفسير القرآن 3: 278، انتشارات إسلام، ط2، طهران، 1387هـ.ش.</w:t>
      </w:r>
      <w:r w:rsidRPr="00282AC9">
        <w:rPr>
          <w:rFonts w:cs="DanaFajr"/>
          <w:sz w:val="28"/>
          <w:szCs w:val="28"/>
          <w:rtl/>
        </w:rPr>
        <w:t xml:space="preserve"> (مصدر فارسي).</w:t>
      </w:r>
    </w:p>
  </w:endnote>
  <w:endnote w:id="286">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محمد بن محمد رضا القمّي المشهدي، كنـز الدقائق وبحر الغرائب 3: 157.</w:t>
      </w:r>
    </w:p>
  </w:endnote>
  <w:endnote w:id="287">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الفضل بن الحسن الطبرسي، مجمع البيان في تفسير القرآن 2: 259، دار الأميرة للطباعة والنشر والتوزيع، ط1، بيروت، 2009م.</w:t>
      </w:r>
    </w:p>
  </w:endnote>
  <w:endnote w:id="288">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العلا</w:t>
      </w:r>
      <w:r w:rsidRPr="00282AC9">
        <w:rPr>
          <w:rFonts w:cs="DanaFajr" w:hint="cs"/>
          <w:sz w:val="28"/>
          <w:szCs w:val="28"/>
          <w:rtl/>
        </w:rPr>
        <w:t>ّ</w:t>
      </w:r>
      <w:r w:rsidRPr="00282AC9">
        <w:rPr>
          <w:rFonts w:cs="DanaFajr"/>
          <w:sz w:val="28"/>
          <w:szCs w:val="28"/>
          <w:rtl/>
        </w:rPr>
        <w:t xml:space="preserve">مة الطباطبائي، الميزان في تفسير القرآن </w:t>
      </w:r>
      <w:r w:rsidRPr="00282AC9">
        <w:rPr>
          <w:rFonts w:cs="DanaFajr" w:hint="cs"/>
          <w:sz w:val="28"/>
          <w:szCs w:val="28"/>
          <w:rtl/>
        </w:rPr>
        <w:t>3: 341.</w:t>
      </w:r>
    </w:p>
  </w:endnote>
  <w:endnote w:id="289">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السيدة نصرت أمين بانو إصفهاني، مخزن العرفان في تفسير القرآن 3: 180، منشورات نهضة النساء المسلمات، طهران، 1361هـ.ش. (مصدر فارسي).</w:t>
      </w:r>
    </w:p>
  </w:endnote>
  <w:endnote w:id="290">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w:t>
      </w:r>
      <w:r w:rsidRPr="00282AC9">
        <w:rPr>
          <w:rFonts w:cs="DanaFajr"/>
          <w:sz w:val="28"/>
          <w:szCs w:val="28"/>
          <w:rtl/>
        </w:rPr>
        <w:t>القمي المشهدي، كن</w:t>
      </w:r>
      <w:r w:rsidRPr="00282AC9">
        <w:rPr>
          <w:rFonts w:cs="DanaFajr" w:hint="cs"/>
          <w:sz w:val="28"/>
          <w:szCs w:val="28"/>
          <w:rtl/>
        </w:rPr>
        <w:t>ـ</w:t>
      </w:r>
      <w:r w:rsidRPr="00282AC9">
        <w:rPr>
          <w:rFonts w:cs="DanaFajr"/>
          <w:sz w:val="28"/>
          <w:szCs w:val="28"/>
          <w:rtl/>
        </w:rPr>
        <w:t>ز الدقائق وبحر الغرائب 3: 15</w:t>
      </w:r>
      <w:r w:rsidRPr="00282AC9">
        <w:rPr>
          <w:rFonts w:cs="DanaFajr" w:hint="cs"/>
          <w:sz w:val="28"/>
          <w:szCs w:val="28"/>
          <w:rtl/>
        </w:rPr>
        <w:t>8</w:t>
      </w:r>
      <w:r w:rsidRPr="00282AC9">
        <w:rPr>
          <w:rFonts w:cs="DanaFajr"/>
          <w:sz w:val="28"/>
          <w:szCs w:val="28"/>
          <w:rtl/>
        </w:rPr>
        <w:t>.</w:t>
      </w:r>
    </w:p>
  </w:endnote>
  <w:endnote w:id="291">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عبد الرحمن الجزيري، الفقه على المذاهب الأربعة 5: 438، دار إحياء التراث العربي، بيروت؛ الشافعي، الأمّ 6: 158، دار المعرفة، بيروت.</w:t>
      </w:r>
    </w:p>
  </w:endnote>
  <w:endnote w:id="292">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عبد الحسين طيّب، أطيب البيان في تفسير القرآن </w:t>
      </w:r>
      <w:r w:rsidRPr="00282AC9">
        <w:rPr>
          <w:rFonts w:cs="DanaFajr" w:hint="cs"/>
          <w:sz w:val="28"/>
          <w:szCs w:val="28"/>
          <w:rtl/>
        </w:rPr>
        <w:t>4</w:t>
      </w:r>
      <w:r w:rsidRPr="00282AC9">
        <w:rPr>
          <w:rFonts w:cs="DanaFajr"/>
          <w:sz w:val="28"/>
          <w:szCs w:val="28"/>
          <w:rtl/>
        </w:rPr>
        <w:t>: 2</w:t>
      </w:r>
      <w:r w:rsidRPr="00282AC9">
        <w:rPr>
          <w:rFonts w:cs="DanaFajr" w:hint="cs"/>
          <w:sz w:val="28"/>
          <w:szCs w:val="28"/>
          <w:rtl/>
        </w:rPr>
        <w:t>39</w:t>
      </w:r>
      <w:r w:rsidRPr="00282AC9">
        <w:rPr>
          <w:rFonts w:cs="DanaFajr"/>
          <w:sz w:val="28"/>
          <w:szCs w:val="28"/>
          <w:rtl/>
        </w:rPr>
        <w:t>.</w:t>
      </w:r>
    </w:p>
  </w:endnote>
  <w:endnote w:id="293">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محسن قراءتي، تفسير نور (تفسير النور) 2: 410، مركز </w:t>
      </w:r>
      <w:r w:rsidRPr="00282AC9">
        <w:rPr>
          <w:rFonts w:ascii="Mosawi" w:hAnsi="Mosawi" w:cs="Abz-3 (Yagut)" w:hint="cs"/>
          <w:rtl/>
          <w:lang w:val="x-none" w:eastAsia="x-none"/>
        </w:rPr>
        <w:t>فرهنگي</w:t>
      </w:r>
      <w:r w:rsidRPr="00282AC9">
        <w:rPr>
          <w:rFonts w:cs="DanaFajr" w:hint="cs"/>
          <w:sz w:val="28"/>
          <w:szCs w:val="28"/>
          <w:rtl/>
        </w:rPr>
        <w:t xml:space="preserve"> درسهايي أز قرآن، ط11، 1383هـ.ش. (مصدر فارسي).</w:t>
      </w:r>
    </w:p>
  </w:endnote>
  <w:endnote w:id="294">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عبد الحسين طيّب، أطيب البيان في تفسير القرآن </w:t>
      </w:r>
      <w:r w:rsidRPr="00282AC9">
        <w:rPr>
          <w:rFonts w:cs="DanaFajr" w:hint="cs"/>
          <w:sz w:val="28"/>
          <w:szCs w:val="28"/>
          <w:rtl/>
        </w:rPr>
        <w:t>8</w:t>
      </w:r>
      <w:r w:rsidRPr="00282AC9">
        <w:rPr>
          <w:rFonts w:cs="DanaFajr"/>
          <w:sz w:val="28"/>
          <w:szCs w:val="28"/>
          <w:rtl/>
        </w:rPr>
        <w:t xml:space="preserve">: </w:t>
      </w:r>
      <w:r w:rsidRPr="00282AC9">
        <w:rPr>
          <w:rFonts w:cs="DanaFajr" w:hint="cs"/>
          <w:sz w:val="28"/>
          <w:szCs w:val="28"/>
          <w:rtl/>
        </w:rPr>
        <w:t>196</w:t>
      </w:r>
      <w:r w:rsidRPr="00282AC9">
        <w:rPr>
          <w:rFonts w:cs="DanaFajr"/>
          <w:sz w:val="28"/>
          <w:szCs w:val="28"/>
          <w:rtl/>
        </w:rPr>
        <w:t>.</w:t>
      </w:r>
    </w:p>
  </w:endnote>
  <w:endnote w:id="295">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المحق</w:t>
      </w:r>
      <w:r w:rsidRPr="00282AC9">
        <w:rPr>
          <w:rFonts w:cs="DanaFajr" w:hint="cs"/>
          <w:sz w:val="28"/>
          <w:szCs w:val="28"/>
          <w:rtl/>
        </w:rPr>
        <w:t>ِّ</w:t>
      </w:r>
      <w:r w:rsidRPr="00282AC9">
        <w:rPr>
          <w:rFonts w:cs="DanaFajr"/>
          <w:sz w:val="28"/>
          <w:szCs w:val="28"/>
          <w:rtl/>
        </w:rPr>
        <w:t>ق الحل</w:t>
      </w:r>
      <w:r w:rsidRPr="00282AC9">
        <w:rPr>
          <w:rFonts w:cs="DanaFajr" w:hint="cs"/>
          <w:sz w:val="28"/>
          <w:szCs w:val="28"/>
          <w:rtl/>
        </w:rPr>
        <w:t>ّ</w:t>
      </w:r>
      <w:r w:rsidRPr="00282AC9">
        <w:rPr>
          <w:rFonts w:cs="DanaFajr"/>
          <w:sz w:val="28"/>
          <w:szCs w:val="28"/>
          <w:rtl/>
        </w:rPr>
        <w:t>ي، شرائع الأسلام في مسائل الحلال والحرام 4: 1</w:t>
      </w:r>
      <w:r w:rsidRPr="00282AC9">
        <w:rPr>
          <w:rFonts w:cs="DanaFajr" w:hint="cs"/>
          <w:sz w:val="28"/>
          <w:szCs w:val="28"/>
          <w:rtl/>
        </w:rPr>
        <w:t>57</w:t>
      </w:r>
      <w:r w:rsidRPr="00282AC9">
        <w:rPr>
          <w:rFonts w:cs="DanaFajr"/>
          <w:sz w:val="28"/>
          <w:szCs w:val="28"/>
          <w:rtl/>
        </w:rPr>
        <w:t>.</w:t>
      </w:r>
    </w:p>
  </w:endnote>
  <w:endnote w:id="296">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الشيخ المفيد، المقنعة: 801، المؤتمر العالمي لإحياء ذكرى الشيخ المفيد، ط1، قم المقدّسة، 1413هـ.</w:t>
      </w:r>
    </w:p>
  </w:endnote>
  <w:endnote w:id="297">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الشيخ الطوسي، النهاية: 711، دار الكتاب العربي، ط2، بيروت، 1400هـ.</w:t>
      </w:r>
    </w:p>
  </w:endnote>
  <w:endnote w:id="298">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ابن حمزة الطوسي، الوسيلة: 416، مكتبة السيد المرعشي النجفي، ط1، قم، 1208هـ.</w:t>
      </w:r>
    </w:p>
  </w:endnote>
  <w:endnote w:id="299">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ابن إدريس الحلّي، السرائر الحاوي لتحرير الفتاوي 3: 476، مؤسسة النشر الإسلامي</w:t>
      </w:r>
      <w:r w:rsidRPr="00282AC9">
        <w:rPr>
          <w:rFonts w:cs="DanaFajr"/>
          <w:sz w:val="28"/>
          <w:szCs w:val="28"/>
          <w:rtl/>
        </w:rPr>
        <w:t>، ط1، قم المقد</w:t>
      </w:r>
      <w:r w:rsidRPr="00282AC9">
        <w:rPr>
          <w:rFonts w:cs="DanaFajr" w:hint="cs"/>
          <w:sz w:val="28"/>
          <w:szCs w:val="28"/>
          <w:rtl/>
        </w:rPr>
        <w:t>ّ</w:t>
      </w:r>
      <w:r w:rsidRPr="00282AC9">
        <w:rPr>
          <w:rFonts w:cs="DanaFajr"/>
          <w:sz w:val="28"/>
          <w:szCs w:val="28"/>
          <w:rtl/>
        </w:rPr>
        <w:t>سة، 14</w:t>
      </w:r>
      <w:r w:rsidRPr="00282AC9">
        <w:rPr>
          <w:rFonts w:cs="DanaFajr" w:hint="cs"/>
          <w:sz w:val="28"/>
          <w:szCs w:val="28"/>
          <w:rtl/>
        </w:rPr>
        <w:t>10</w:t>
      </w:r>
      <w:r w:rsidRPr="00282AC9">
        <w:rPr>
          <w:rFonts w:cs="DanaFajr"/>
          <w:sz w:val="28"/>
          <w:szCs w:val="28"/>
          <w:rtl/>
        </w:rPr>
        <w:t>هـ.</w:t>
      </w:r>
      <w:r w:rsidRPr="00282AC9">
        <w:rPr>
          <w:rFonts w:cs="DanaFajr" w:hint="cs"/>
          <w:sz w:val="28"/>
          <w:szCs w:val="28"/>
          <w:rtl/>
        </w:rPr>
        <w:t>.</w:t>
      </w:r>
    </w:p>
  </w:endnote>
  <w:endnote w:id="300">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الح</w:t>
      </w:r>
      <w:r w:rsidRPr="00282AC9">
        <w:rPr>
          <w:rFonts w:cs="DanaFajr" w:hint="cs"/>
          <w:sz w:val="28"/>
          <w:szCs w:val="28"/>
          <w:rtl/>
        </w:rPr>
        <w:t>ُ</w:t>
      </w:r>
      <w:r w:rsidRPr="00282AC9">
        <w:rPr>
          <w:rFonts w:cs="DanaFajr"/>
          <w:sz w:val="28"/>
          <w:szCs w:val="28"/>
          <w:rtl/>
        </w:rPr>
        <w:t>ر</w:t>
      </w:r>
      <w:r w:rsidRPr="00282AC9">
        <w:rPr>
          <w:rFonts w:cs="DanaFajr" w:hint="cs"/>
          <w:sz w:val="28"/>
          <w:szCs w:val="28"/>
          <w:rtl/>
        </w:rPr>
        <w:t>ّ</w:t>
      </w:r>
      <w:r w:rsidRPr="00282AC9">
        <w:rPr>
          <w:rFonts w:cs="DanaFajr"/>
          <w:sz w:val="28"/>
          <w:szCs w:val="28"/>
          <w:rtl/>
        </w:rPr>
        <w:t xml:space="preserve"> العاملي، وسائل الشيعة </w:t>
      </w:r>
      <w:r w:rsidRPr="00282AC9">
        <w:rPr>
          <w:rFonts w:cs="DanaFajr" w:hint="cs"/>
          <w:sz w:val="28"/>
          <w:szCs w:val="28"/>
          <w:rtl/>
        </w:rPr>
        <w:t>1: 125.</w:t>
      </w:r>
    </w:p>
  </w:endnote>
  <w:endnote w:id="301">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المحقِّق السبزواري، ذخيرة المعاد في شرح الإرشاد 2: 564، مؤسّسة آل البيت</w:t>
      </w:r>
      <w:r w:rsidRPr="00282AC9">
        <w:rPr>
          <w:rFonts w:cs="Mosawi" w:hint="cs"/>
          <w:rtl/>
        </w:rPr>
        <w:t>^</w:t>
      </w:r>
      <w:r w:rsidRPr="00282AC9">
        <w:rPr>
          <w:rFonts w:cs="DanaFajr" w:hint="cs"/>
          <w:sz w:val="28"/>
          <w:szCs w:val="28"/>
          <w:rtl/>
        </w:rPr>
        <w:t xml:space="preserve"> لإحياء التراث، ط1، قم المقدّسة، 1427هـ.</w:t>
      </w:r>
    </w:p>
  </w:endnote>
  <w:endnote w:id="302">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الشيخ مرتض</w:t>
      </w:r>
      <w:r w:rsidRPr="00282AC9">
        <w:rPr>
          <w:rFonts w:cs="DanaFajr" w:hint="cs"/>
          <w:sz w:val="28"/>
          <w:szCs w:val="28"/>
          <w:rtl/>
        </w:rPr>
        <w:t>ی</w:t>
      </w:r>
      <w:r w:rsidRPr="00282AC9">
        <w:rPr>
          <w:rFonts w:cs="DanaFajr"/>
          <w:sz w:val="28"/>
          <w:szCs w:val="28"/>
          <w:rtl/>
        </w:rPr>
        <w:t xml:space="preserve"> الأنصاري، كتاب الطهارة </w:t>
      </w:r>
      <w:r w:rsidRPr="00282AC9">
        <w:rPr>
          <w:rFonts w:cs="DanaFajr" w:hint="cs"/>
          <w:sz w:val="28"/>
          <w:szCs w:val="28"/>
          <w:rtl/>
        </w:rPr>
        <w:t>2: 579.</w:t>
      </w:r>
    </w:p>
  </w:endnote>
  <w:endnote w:id="303">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w:t>
      </w:r>
      <w:r w:rsidRPr="00282AC9">
        <w:rPr>
          <w:rFonts w:cs="DanaFajr"/>
          <w:sz w:val="28"/>
          <w:szCs w:val="28"/>
          <w:rtl/>
        </w:rPr>
        <w:t>الح</w:t>
      </w:r>
      <w:r w:rsidRPr="00282AC9">
        <w:rPr>
          <w:rFonts w:cs="DanaFajr" w:hint="cs"/>
          <w:sz w:val="28"/>
          <w:szCs w:val="28"/>
          <w:rtl/>
        </w:rPr>
        <w:t>ُ</w:t>
      </w:r>
      <w:r w:rsidRPr="00282AC9">
        <w:rPr>
          <w:rFonts w:cs="DanaFajr"/>
          <w:sz w:val="28"/>
          <w:szCs w:val="28"/>
          <w:rtl/>
        </w:rPr>
        <w:t>ر</w:t>
      </w:r>
      <w:r w:rsidRPr="00282AC9">
        <w:rPr>
          <w:rFonts w:cs="DanaFajr" w:hint="cs"/>
          <w:sz w:val="28"/>
          <w:szCs w:val="28"/>
          <w:rtl/>
        </w:rPr>
        <w:t>ّ</w:t>
      </w:r>
      <w:r w:rsidRPr="00282AC9">
        <w:rPr>
          <w:rFonts w:cs="DanaFajr"/>
          <w:sz w:val="28"/>
          <w:szCs w:val="28"/>
          <w:rtl/>
        </w:rPr>
        <w:t xml:space="preserve"> العاملي، وسائل الشيعة </w:t>
      </w:r>
      <w:r w:rsidRPr="00282AC9">
        <w:rPr>
          <w:rFonts w:cs="DanaFajr" w:hint="cs"/>
          <w:sz w:val="28"/>
          <w:szCs w:val="28"/>
          <w:rtl/>
        </w:rPr>
        <w:t>16</w:t>
      </w:r>
      <w:r w:rsidRPr="00282AC9">
        <w:rPr>
          <w:rFonts w:cs="DanaFajr"/>
          <w:sz w:val="28"/>
          <w:szCs w:val="28"/>
          <w:rtl/>
        </w:rPr>
        <w:t>: 1</w:t>
      </w:r>
      <w:r w:rsidRPr="00282AC9">
        <w:rPr>
          <w:rFonts w:cs="DanaFajr" w:hint="cs"/>
          <w:sz w:val="28"/>
          <w:szCs w:val="28"/>
          <w:rtl/>
        </w:rPr>
        <w:t>0</w:t>
      </w:r>
      <w:r w:rsidRPr="00282AC9">
        <w:rPr>
          <w:rFonts w:cs="DanaFajr"/>
          <w:sz w:val="28"/>
          <w:szCs w:val="28"/>
          <w:rtl/>
        </w:rPr>
        <w:t>5.</w:t>
      </w:r>
    </w:p>
  </w:endnote>
  <w:endnote w:id="304">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الخوئي، التنقيح في شرح العروة الوثقى 3: 228.</w:t>
      </w:r>
    </w:p>
  </w:endnote>
  <w:endnote w:id="305">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الأنصاري، كتاب الطهارة </w:t>
      </w:r>
      <w:r w:rsidRPr="00282AC9">
        <w:rPr>
          <w:rFonts w:cs="DanaFajr" w:hint="cs"/>
          <w:sz w:val="28"/>
          <w:szCs w:val="28"/>
          <w:rtl/>
        </w:rPr>
        <w:t>5: 324.</w:t>
      </w:r>
    </w:p>
  </w:endnote>
  <w:endnote w:id="306">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السيد المرتضى، المسائل الناصريات: 252، رابطة الثقافة والعلاقات الإسلامية، ط1، طهران، 1417هـ.</w:t>
      </w:r>
    </w:p>
  </w:endnote>
  <w:endnote w:id="307">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المحقِّق الحلّي، المعتبر في شرح المختصر 1: 408، مؤسّسة سيد الشهداء</w:t>
      </w:r>
      <w:r w:rsidRPr="00282AC9">
        <w:rPr>
          <w:rFonts w:cs="Mosawi" w:hint="cs"/>
          <w:rtl/>
        </w:rPr>
        <w:t>×</w:t>
      </w:r>
      <w:r w:rsidRPr="00282AC9">
        <w:rPr>
          <w:rFonts w:cs="DanaFajr" w:hint="cs"/>
          <w:sz w:val="28"/>
          <w:szCs w:val="28"/>
          <w:rtl/>
        </w:rPr>
        <w:t>، ط1، قم المقدّسة، 1407هـ.</w:t>
      </w:r>
    </w:p>
  </w:endnote>
  <w:endnote w:id="308">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المقدَّس الأردبيلي، مجمع الفائدة والبرهان في شرح إرشاد الأذهان 13: 327.</w:t>
      </w:r>
    </w:p>
  </w:endnote>
  <w:endnote w:id="309">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13: 328.</w:t>
      </w:r>
    </w:p>
  </w:endnote>
  <w:endnote w:id="310">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الح</w:t>
      </w:r>
      <w:r w:rsidRPr="00282AC9">
        <w:rPr>
          <w:rFonts w:cs="DanaFajr" w:hint="cs"/>
          <w:sz w:val="28"/>
          <w:szCs w:val="28"/>
          <w:rtl/>
        </w:rPr>
        <w:t>ُ</w:t>
      </w:r>
      <w:r w:rsidRPr="00282AC9">
        <w:rPr>
          <w:rFonts w:cs="DanaFajr"/>
          <w:sz w:val="28"/>
          <w:szCs w:val="28"/>
          <w:rtl/>
        </w:rPr>
        <w:t>ر</w:t>
      </w:r>
      <w:r w:rsidRPr="00282AC9">
        <w:rPr>
          <w:rFonts w:cs="DanaFajr" w:hint="cs"/>
          <w:sz w:val="28"/>
          <w:szCs w:val="28"/>
          <w:rtl/>
        </w:rPr>
        <w:t>ّ</w:t>
      </w:r>
      <w:r w:rsidRPr="00282AC9">
        <w:rPr>
          <w:rFonts w:cs="DanaFajr"/>
          <w:sz w:val="28"/>
          <w:szCs w:val="28"/>
          <w:rtl/>
        </w:rPr>
        <w:t xml:space="preserve"> العاملي، وسائل الشيعة 16: </w:t>
      </w:r>
      <w:r w:rsidRPr="00282AC9">
        <w:rPr>
          <w:rFonts w:cs="DanaFajr" w:hint="cs"/>
          <w:sz w:val="28"/>
          <w:szCs w:val="28"/>
          <w:rtl/>
        </w:rPr>
        <w:t>74.</w:t>
      </w:r>
    </w:p>
  </w:endnote>
  <w:endnote w:id="311">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28: 37.</w:t>
      </w:r>
    </w:p>
  </w:endnote>
  <w:endnote w:id="312">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النجفي، جواهر الكلام في شرح شرائع الإسلام </w:t>
      </w:r>
      <w:r w:rsidRPr="00282AC9">
        <w:rPr>
          <w:rFonts w:cs="DanaFajr" w:hint="cs"/>
          <w:sz w:val="28"/>
          <w:szCs w:val="28"/>
          <w:rtl/>
        </w:rPr>
        <w:t>41 308.</w:t>
      </w:r>
    </w:p>
  </w:endnote>
  <w:endnote w:id="313">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اليزدي، العروة الوثقى 1: 142.</w:t>
      </w:r>
    </w:p>
  </w:endnote>
  <w:endnote w:id="314">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w:t>
      </w:r>
      <w:r w:rsidRPr="00282AC9">
        <w:rPr>
          <w:rFonts w:cs="DanaFajr"/>
          <w:sz w:val="28"/>
          <w:szCs w:val="28"/>
          <w:rtl/>
        </w:rPr>
        <w:t>الطبرسي، مجمع البيان</w:t>
      </w:r>
      <w:r w:rsidRPr="00282AC9">
        <w:rPr>
          <w:rFonts w:cs="DanaFajr" w:hint="cs"/>
          <w:sz w:val="28"/>
          <w:szCs w:val="28"/>
          <w:rtl/>
        </w:rPr>
        <w:t xml:space="preserve"> في تفسير القرآن</w:t>
      </w:r>
      <w:r w:rsidRPr="00282AC9">
        <w:rPr>
          <w:rFonts w:cs="DanaFajr"/>
          <w:sz w:val="28"/>
          <w:szCs w:val="28"/>
          <w:rtl/>
        </w:rPr>
        <w:t xml:space="preserve"> </w:t>
      </w:r>
      <w:r w:rsidRPr="00282AC9">
        <w:rPr>
          <w:rFonts w:cs="DanaFajr" w:hint="cs"/>
          <w:sz w:val="28"/>
          <w:szCs w:val="28"/>
          <w:rtl/>
        </w:rPr>
        <w:t>5: 70؛ جلال الدين السيوطي، الدرّ المنثور في التفسير بالمأثور 3: 254 ـ 255، دار المعرفة، ط1، جدّة، 1365هـ.</w:t>
      </w:r>
    </w:p>
  </w:endnote>
  <w:endnote w:id="315">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العلا</w:t>
      </w:r>
      <w:r w:rsidRPr="00282AC9">
        <w:rPr>
          <w:rFonts w:cs="DanaFajr" w:hint="cs"/>
          <w:sz w:val="28"/>
          <w:szCs w:val="28"/>
          <w:rtl/>
        </w:rPr>
        <w:t>ّ</w:t>
      </w:r>
      <w:r w:rsidRPr="00282AC9">
        <w:rPr>
          <w:rFonts w:cs="DanaFajr"/>
          <w:sz w:val="28"/>
          <w:szCs w:val="28"/>
          <w:rtl/>
        </w:rPr>
        <w:t xml:space="preserve">مة الطباطبائي، الميزان في تفسير القرآن </w:t>
      </w:r>
      <w:r w:rsidRPr="00282AC9">
        <w:rPr>
          <w:rFonts w:cs="DanaFajr" w:hint="cs"/>
          <w:sz w:val="28"/>
          <w:szCs w:val="28"/>
          <w:rtl/>
        </w:rPr>
        <w:t>9: 335.</w:t>
      </w:r>
    </w:p>
  </w:endnote>
  <w:endnote w:id="316">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الح</w:t>
      </w:r>
      <w:r w:rsidRPr="00282AC9">
        <w:rPr>
          <w:rFonts w:cs="DanaFajr" w:hint="cs"/>
          <w:sz w:val="28"/>
          <w:szCs w:val="28"/>
          <w:rtl/>
        </w:rPr>
        <w:t>ُ</w:t>
      </w:r>
      <w:r w:rsidRPr="00282AC9">
        <w:rPr>
          <w:rFonts w:cs="DanaFajr"/>
          <w:sz w:val="28"/>
          <w:szCs w:val="28"/>
          <w:rtl/>
        </w:rPr>
        <w:t>ر</w:t>
      </w:r>
      <w:r w:rsidRPr="00282AC9">
        <w:rPr>
          <w:rFonts w:cs="DanaFajr" w:hint="cs"/>
          <w:sz w:val="28"/>
          <w:szCs w:val="28"/>
          <w:rtl/>
        </w:rPr>
        <w:t>ّ</w:t>
      </w:r>
      <w:r w:rsidRPr="00282AC9">
        <w:rPr>
          <w:rFonts w:cs="DanaFajr"/>
          <w:sz w:val="28"/>
          <w:szCs w:val="28"/>
          <w:rtl/>
        </w:rPr>
        <w:t xml:space="preserve"> العاملي، وسائل الشيعة </w:t>
      </w:r>
      <w:r w:rsidRPr="00282AC9">
        <w:rPr>
          <w:rFonts w:cs="DanaFajr" w:hint="cs"/>
          <w:sz w:val="28"/>
          <w:szCs w:val="28"/>
          <w:rtl/>
        </w:rPr>
        <w:t>28: 333.</w:t>
      </w:r>
    </w:p>
  </w:endnote>
  <w:endnote w:id="317">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انظر: الطبرسي، مجمع البيان</w:t>
      </w:r>
      <w:r w:rsidRPr="00282AC9">
        <w:rPr>
          <w:rFonts w:cs="DanaFajr" w:hint="cs"/>
          <w:sz w:val="28"/>
          <w:szCs w:val="28"/>
          <w:rtl/>
        </w:rPr>
        <w:t xml:space="preserve"> في تفسير القرآن</w:t>
      </w:r>
      <w:r w:rsidRPr="00282AC9">
        <w:rPr>
          <w:rFonts w:cs="DanaFajr"/>
          <w:sz w:val="28"/>
          <w:szCs w:val="28"/>
          <w:rtl/>
        </w:rPr>
        <w:t xml:space="preserve"> </w:t>
      </w:r>
      <w:r w:rsidRPr="00282AC9">
        <w:rPr>
          <w:rFonts w:cs="DanaFajr" w:hint="cs"/>
          <w:sz w:val="28"/>
          <w:szCs w:val="28"/>
          <w:rtl/>
        </w:rPr>
        <w:t>2: 790.</w:t>
      </w:r>
    </w:p>
  </w:endnote>
  <w:endnote w:id="318">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محمد تقي المجلسي، روضة المتّقين في شرح مَنْ لا يحضره الفقيه 6: 328، نشر: بنياد </w:t>
      </w:r>
      <w:r w:rsidRPr="00282AC9">
        <w:rPr>
          <w:rFonts w:ascii="Mosawi" w:hAnsi="Mosawi" w:cs="Abz-3 (Yagut)" w:hint="cs"/>
          <w:rtl/>
          <w:lang w:val="x-none" w:eastAsia="x-none"/>
        </w:rPr>
        <w:t>فرهنگ</w:t>
      </w:r>
      <w:r w:rsidRPr="00282AC9">
        <w:rPr>
          <w:rFonts w:cs="DanaFajr" w:hint="cs"/>
          <w:sz w:val="28"/>
          <w:szCs w:val="28"/>
          <w:rtl/>
        </w:rPr>
        <w:t xml:space="preserve"> إسلامي كوشانپور، قم المقدّسة، 1406هـ.</w:t>
      </w:r>
    </w:p>
  </w:endnote>
  <w:endnote w:id="319">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النجفي، جواهر الكلام في شرح شرائع الإسلام </w:t>
      </w:r>
      <w:r w:rsidRPr="00282AC9">
        <w:rPr>
          <w:rFonts w:cs="DanaFajr" w:hint="cs"/>
          <w:sz w:val="28"/>
          <w:szCs w:val="28"/>
          <w:rtl/>
        </w:rPr>
        <w:t>21: 47.</w:t>
      </w:r>
    </w:p>
  </w:endnote>
  <w:endnote w:id="320">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الشهيد الثاني، مسالك الأفهام إلى تنقيح شرائع الإسلام 3: 21.</w:t>
      </w:r>
    </w:p>
  </w:endnote>
  <w:endnote w:id="321">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سيرة ابن هشام 4: 52، انتشارات إيران، قم، 1363هـ.ش.</w:t>
      </w:r>
    </w:p>
  </w:endnote>
  <w:endnote w:id="322">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جعفر السبحاني، مفاهيم القرآن في معالم الحكومة 2: 451، إعداد: جعفر الهادي، مؤسسة النشر الإسلامي، ط3، قم المقدّسة، 1405هـ.</w:t>
      </w:r>
    </w:p>
  </w:endnote>
  <w:endnote w:id="323">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مجلّة مكتب إسلام: 17، بتاريخ: مرداد، 1363هـ.ش. (مصدر فارسي).</w:t>
      </w:r>
    </w:p>
  </w:endnote>
  <w:endnote w:id="324">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الإمام الخميني، صحيفه إمام (صحيفة الإمام) 14: 461، مؤسّسة تنظيم ونشر آثار الإمام الخميني، ط4، طهران، 1386هـ.ش. (مصدر فارسي).</w:t>
      </w:r>
    </w:p>
  </w:endnote>
  <w:endnote w:id="325">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السابق 21: 268.</w:t>
      </w:r>
    </w:p>
  </w:endnote>
  <w:endnote w:id="326">
    <w:p w:rsidR="00C14EDE" w:rsidRPr="00282AC9" w:rsidRDefault="00C14EDE" w:rsidP="007C2A22">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المحقِّق الحلّي، معارج الأصول: 221، مؤسّسة آل البيت</w:t>
      </w:r>
      <w:r w:rsidRPr="00282AC9">
        <w:rPr>
          <w:rFonts w:cs="Mosawi" w:hint="cs"/>
          <w:rtl/>
        </w:rPr>
        <w:t>^</w:t>
      </w:r>
      <w:r w:rsidRPr="00282AC9">
        <w:rPr>
          <w:rFonts w:cs="DanaFajr" w:hint="cs"/>
          <w:sz w:val="28"/>
          <w:szCs w:val="28"/>
          <w:rtl/>
        </w:rPr>
        <w:t xml:space="preserve"> لإحياء التراث، ط1، قم المقدسة، 1403هـ؛ محمد بن مكّي (الشهيد الأول)، القواعد والفوائد 1: 38، مكتبة المفيد، ط1، قم المقدسة.</w:t>
      </w:r>
    </w:p>
  </w:endnote>
  <w:endnote w:id="327">
    <w:p w:rsidR="00C14EDE" w:rsidRPr="00282AC9" w:rsidRDefault="00C14EDE" w:rsidP="007C2A22">
      <w:pPr>
        <w:pStyle w:val="af7"/>
        <w:spacing w:line="288"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السيوطي، الأشباه والنظائر: 122، بيروت، 1407هـ.</w:t>
      </w:r>
    </w:p>
  </w:endnote>
  <w:endnote w:id="328">
    <w:p w:rsidR="00C14EDE" w:rsidRPr="00282AC9" w:rsidRDefault="00C14EDE" w:rsidP="009C287D">
      <w:pPr>
        <w:pStyle w:val="af7"/>
        <w:spacing w:line="302" w:lineRule="exact"/>
        <w:ind w:firstLine="0"/>
        <w:rPr>
          <w:rFonts w:ascii="AAA GoldenLotus" w:hAnsi="AAA GoldenLotus" w:cs="DanaFajr"/>
          <w:sz w:val="28"/>
          <w:szCs w:val="28"/>
          <w:rtl/>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hint="cs"/>
          <w:sz w:val="28"/>
          <w:szCs w:val="28"/>
          <w:rtl/>
        </w:rPr>
        <w:t xml:space="preserve"> علي</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الندوي، القواعد</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الفقهية: 43.</w:t>
      </w:r>
    </w:p>
  </w:endnote>
  <w:endnote w:id="329">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مسعود بن عمر التفتازاني، شرح التلويح على التوضيح 1</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34</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ومحمد بن علي التهانوي، كش</w:t>
      </w:r>
      <w:r w:rsidRPr="00282AC9">
        <w:rPr>
          <w:rFonts w:ascii="AAA GoldenLotus" w:hAnsi="AAA GoldenLotus" w:cs="DanaFajr" w:hint="cs"/>
          <w:sz w:val="28"/>
          <w:szCs w:val="28"/>
          <w:rtl/>
        </w:rPr>
        <w:t>ّ</w:t>
      </w:r>
      <w:r w:rsidRPr="00282AC9">
        <w:rPr>
          <w:rFonts w:ascii="AAA GoldenLotus" w:hAnsi="AAA GoldenLotus" w:cs="DanaFajr"/>
          <w:sz w:val="28"/>
          <w:szCs w:val="28"/>
          <w:rtl/>
        </w:rPr>
        <w:t>اف اصطلاحات الفنون 5: 1176</w:t>
      </w:r>
      <w:r w:rsidRPr="00282AC9">
        <w:rPr>
          <w:rFonts w:ascii="AAA GoldenLotus" w:hAnsi="AAA GoldenLotus" w:cs="DanaFajr" w:hint="cs"/>
          <w:sz w:val="28"/>
          <w:szCs w:val="28"/>
          <w:rtl/>
        </w:rPr>
        <w:t xml:space="preserve"> ـ</w:t>
      </w:r>
      <w:r w:rsidRPr="00282AC9">
        <w:rPr>
          <w:rFonts w:ascii="AAA GoldenLotus" w:hAnsi="AAA GoldenLotus" w:cs="DanaFajr"/>
          <w:sz w:val="28"/>
          <w:szCs w:val="28"/>
          <w:rtl/>
        </w:rPr>
        <w:t xml:space="preserve"> 1177. وانظر</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أيضاً: علي بن محمد الجرجاني، التعريفات: 171.</w:t>
      </w:r>
    </w:p>
  </w:endnote>
  <w:endnote w:id="330">
    <w:p w:rsidR="00C14EDE" w:rsidRPr="00282AC9" w:rsidRDefault="00C14EDE" w:rsidP="009C287D">
      <w:pPr>
        <w:pStyle w:val="af7"/>
        <w:spacing w:line="302" w:lineRule="exact"/>
        <w:ind w:firstLine="0"/>
        <w:rPr>
          <w:rFonts w:ascii="Lotus Linotype" w:hAnsi="Lotus Linotype"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محمد حسن البجنوردي، القواعد الفقهيّة 1: 5</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وانظر: ناصر مكارم الشيرازي، القواعد الفقهية 2: 11.</w:t>
      </w:r>
    </w:p>
  </w:endnote>
  <w:endnote w:id="331">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hint="cs"/>
          <w:sz w:val="28"/>
          <w:szCs w:val="28"/>
          <w:rtl/>
        </w:rPr>
        <w:t xml:space="preserve"> انظر: إبراهيم</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بن</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موسى</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الشاطبي، الموافقات</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(شرح</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 xml:space="preserve">درّاز) </w:t>
      </w:r>
      <w:r w:rsidRPr="00282AC9">
        <w:rPr>
          <w:rFonts w:ascii="AAA GoldenLotus" w:hAnsi="AAA GoldenLotus" w:cs="DanaFajr"/>
          <w:sz w:val="28"/>
          <w:szCs w:val="28"/>
          <w:rtl/>
        </w:rPr>
        <w:t>2</w:t>
      </w:r>
      <w:r w:rsidRPr="00282AC9">
        <w:rPr>
          <w:rFonts w:ascii="AAA GoldenLotus" w:hAnsi="AAA GoldenLotus" w:cs="DanaFajr" w:hint="cs"/>
          <w:sz w:val="28"/>
          <w:szCs w:val="28"/>
          <w:rtl/>
        </w:rPr>
        <w:t>: 53.</w:t>
      </w:r>
    </w:p>
  </w:endnote>
  <w:endnote w:id="332">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مجمع الفقه الإسلامي الدولي، معلمة زايد للقواعد الفقهية 3: 255. </w:t>
      </w:r>
    </w:p>
  </w:endnote>
  <w:endnote w:id="333">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عبد الوهاب بن علي السبكي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الأشباه والنظائر 2: 102 ـ 103</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و</w:t>
      </w:r>
      <w:r w:rsidRPr="00282AC9">
        <w:rPr>
          <w:rFonts w:ascii="AAA GoldenLotus" w:hAnsi="AAA GoldenLotus" w:cs="DanaFajr"/>
          <w:sz w:val="28"/>
          <w:szCs w:val="28"/>
          <w:rtl/>
        </w:rPr>
        <w:t>عبد الواحد بن إسماعيل الروياني</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بحر المذهب 10: 239.</w:t>
      </w:r>
    </w:p>
  </w:endnote>
  <w:endnote w:id="334">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إبراهيم بن موسى بن محمد الشاطبي</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الموافقات 1: 543. </w:t>
      </w:r>
    </w:p>
  </w:endnote>
  <w:endnote w:id="335">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أبو بكر بن مسعود الكاساني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بدائع الصنائع 2: 311. </w:t>
      </w:r>
    </w:p>
  </w:endnote>
  <w:endnote w:id="336">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محمد بن أشرف</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بن أمير العظيم آبادي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عون المعبود </w:t>
      </w:r>
      <w:r w:rsidRPr="00282AC9">
        <w:rPr>
          <w:rFonts w:ascii="AAA GoldenLotus" w:hAnsi="AAA GoldenLotus" w:cs="DanaFajr" w:hint="cs"/>
          <w:sz w:val="28"/>
          <w:szCs w:val="28"/>
          <w:rtl/>
        </w:rPr>
        <w:t xml:space="preserve">في </w:t>
      </w:r>
      <w:r w:rsidRPr="00282AC9">
        <w:rPr>
          <w:rFonts w:ascii="AAA GoldenLotus" w:hAnsi="AAA GoldenLotus" w:cs="DanaFajr"/>
          <w:sz w:val="28"/>
          <w:szCs w:val="28"/>
          <w:rtl/>
        </w:rPr>
        <w:t>شرح سنن أبي داوود 12: 107.</w:t>
      </w:r>
    </w:p>
  </w:endnote>
  <w:endnote w:id="337">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محمد بن علي الشوكاني</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إرشاد الفحول إلى تحقيق الحق</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من علم الأصول 1: 322.</w:t>
      </w:r>
    </w:p>
  </w:endnote>
  <w:endnote w:id="338">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انظر: أحمد بن محمد الطحطاوي الحنفي، حاشية الطحطاوي على مراقي الفلاح </w:t>
      </w:r>
      <w:r w:rsidRPr="00282AC9">
        <w:rPr>
          <w:rFonts w:ascii="AAA GoldenLotus" w:hAnsi="AAA GoldenLotus" w:cs="DanaFajr" w:hint="cs"/>
          <w:sz w:val="28"/>
          <w:szCs w:val="28"/>
          <w:rtl/>
        </w:rPr>
        <w:t>(</w:t>
      </w:r>
      <w:r w:rsidRPr="00282AC9">
        <w:rPr>
          <w:rFonts w:ascii="AAA GoldenLotus" w:hAnsi="AAA GoldenLotus" w:cs="DanaFajr"/>
          <w:sz w:val="28"/>
          <w:szCs w:val="28"/>
          <w:rtl/>
        </w:rPr>
        <w:t>شرح نور الإيضاح</w:t>
      </w:r>
      <w:r w:rsidRPr="00282AC9">
        <w:rPr>
          <w:rFonts w:ascii="AAA GoldenLotus" w:hAnsi="AAA GoldenLotus" w:cs="DanaFajr" w:hint="cs"/>
          <w:sz w:val="28"/>
          <w:szCs w:val="28"/>
          <w:rtl/>
        </w:rPr>
        <w:t>)</w:t>
      </w:r>
      <w:r w:rsidRPr="00282AC9">
        <w:rPr>
          <w:rFonts w:ascii="AAA GoldenLotus" w:hAnsi="AAA GoldenLotus" w:cs="DanaFajr"/>
          <w:sz w:val="28"/>
          <w:szCs w:val="28"/>
          <w:rtl/>
        </w:rPr>
        <w:t>: 620</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و</w:t>
      </w:r>
      <w:r w:rsidRPr="00282AC9">
        <w:rPr>
          <w:rFonts w:ascii="AAA GoldenLotus" w:hAnsi="AAA GoldenLotus" w:cs="DanaFajr"/>
          <w:sz w:val="28"/>
          <w:szCs w:val="28"/>
          <w:rtl/>
        </w:rPr>
        <w:t>محمد بن علي الشوكاني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السيل الجر</w:t>
      </w:r>
      <w:r w:rsidRPr="00282AC9">
        <w:rPr>
          <w:rFonts w:ascii="AAA GoldenLotus" w:hAnsi="AAA GoldenLotus" w:cs="DanaFajr" w:hint="cs"/>
          <w:sz w:val="28"/>
          <w:szCs w:val="28"/>
          <w:rtl/>
        </w:rPr>
        <w:t>ّ</w:t>
      </w:r>
      <w:r w:rsidRPr="00282AC9">
        <w:rPr>
          <w:rFonts w:ascii="AAA GoldenLotus" w:hAnsi="AAA GoldenLotus" w:cs="DanaFajr"/>
          <w:sz w:val="28"/>
          <w:szCs w:val="28"/>
          <w:rtl/>
        </w:rPr>
        <w:t>ار المتدفق على حدائق الأزهار: 141</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و</w:t>
      </w:r>
      <w:r w:rsidRPr="00282AC9">
        <w:rPr>
          <w:rFonts w:ascii="AAA GoldenLotus" w:hAnsi="AAA GoldenLotus" w:cs="DanaFajr"/>
          <w:sz w:val="28"/>
          <w:szCs w:val="28"/>
          <w:rtl/>
        </w:rPr>
        <w:t>محمد بن الطيب الباقلاني المالكي، التقريب والإرشاد</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(الصغير) 2: 177. </w:t>
      </w:r>
    </w:p>
  </w:endnote>
  <w:endnote w:id="339">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عبد الرحمن بن أحمد بن رجب الحنبلي، فتح الباري </w:t>
      </w:r>
      <w:r w:rsidRPr="00282AC9">
        <w:rPr>
          <w:rFonts w:ascii="AAA GoldenLotus" w:hAnsi="AAA GoldenLotus" w:cs="DanaFajr" w:hint="cs"/>
          <w:sz w:val="28"/>
          <w:szCs w:val="28"/>
          <w:rtl/>
        </w:rPr>
        <w:t xml:space="preserve">في </w:t>
      </w:r>
      <w:r w:rsidRPr="00282AC9">
        <w:rPr>
          <w:rFonts w:ascii="AAA GoldenLotus" w:hAnsi="AAA GoldenLotus" w:cs="DanaFajr"/>
          <w:sz w:val="28"/>
          <w:szCs w:val="28"/>
          <w:rtl/>
        </w:rPr>
        <w:t xml:space="preserve">شرح صحيح البخاري 1: 341. </w:t>
      </w:r>
    </w:p>
  </w:endnote>
  <w:endnote w:id="340">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محمد بن محمد الغزالي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المستصفى في علم الأصول: 241. </w:t>
      </w:r>
    </w:p>
  </w:endnote>
  <w:endnote w:id="341">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محمد بن أحمد بن أبي سهل السرخسي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المبسوط 29: 172</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ومحمد صدقي آل بورنو</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موسوعة القواعد الفقهية 1: 295. </w:t>
      </w:r>
    </w:p>
  </w:endnote>
  <w:endnote w:id="342">
    <w:p w:rsidR="00C14EDE" w:rsidRPr="00282AC9" w:rsidRDefault="00C14EDE" w:rsidP="009C287D">
      <w:pPr>
        <w:pStyle w:val="af7"/>
        <w:spacing w:line="302"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محمد بن عيسى الترمذي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سنن الترمذي 1: 189. </w:t>
      </w:r>
    </w:p>
  </w:endnote>
  <w:endnote w:id="343">
    <w:p w:rsidR="00C14EDE" w:rsidRPr="00282AC9" w:rsidRDefault="00C14EDE" w:rsidP="009C287D">
      <w:pPr>
        <w:pStyle w:val="af7"/>
        <w:spacing w:line="302" w:lineRule="exact"/>
        <w:ind w:firstLine="0"/>
        <w:rPr>
          <w:rFonts w:ascii="AAA GoldenLotus" w:hAnsi="AAA GoldenLotus" w:cs="DanaFajr"/>
          <w:sz w:val="28"/>
          <w:szCs w:val="28"/>
          <w:rtl/>
        </w:rPr>
      </w:pPr>
      <w:r w:rsidRPr="00282AC9">
        <w:rPr>
          <w:rFonts w:ascii="AAA GoldenLotus" w:hAnsi="AAA GoldenLotus" w:cs="DanaFajr"/>
          <w:sz w:val="28"/>
          <w:szCs w:val="28"/>
          <w:rtl/>
        </w:rPr>
        <w:t>(</w:t>
      </w:r>
      <w:r w:rsidRPr="00282AC9">
        <w:rPr>
          <w:rStyle w:val="af9"/>
          <w:rFonts w:ascii="AAA GoldenLotus" w:hAnsi="AAA GoldenLotus" w:cs="DanaFajr"/>
          <w:sz w:val="28"/>
          <w:szCs w:val="28"/>
          <w:vertAlign w:val="baseline"/>
        </w:rPr>
        <w:endnoteRef/>
      </w:r>
      <w:r w:rsidRPr="00282AC9">
        <w:rPr>
          <w:rFonts w:ascii="AAA GoldenLotus" w:hAnsi="AAA GoldenLotus" w:cs="DanaFajr"/>
          <w:sz w:val="28"/>
          <w:szCs w:val="28"/>
          <w:rtl/>
        </w:rPr>
        <w:t>) انظر: مير عبد الفتاح الحسيني المراغي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العناوين </w:t>
      </w:r>
      <w:r w:rsidRPr="00282AC9">
        <w:rPr>
          <w:rFonts w:ascii="Times New Roman" w:hAnsi="Times New Roman" w:cs="DanaFajr" w:hint="cs"/>
          <w:sz w:val="28"/>
          <w:szCs w:val="28"/>
          <w:rtl/>
        </w:rPr>
        <w:t>۱</w:t>
      </w:r>
      <w:r w:rsidRPr="00282AC9">
        <w:rPr>
          <w:rFonts w:ascii="AAA GoldenLotus" w:hAnsi="AAA GoldenLotus" w:cs="DanaFajr" w:hint="cs"/>
          <w:sz w:val="28"/>
          <w:szCs w:val="28"/>
          <w:rtl/>
        </w:rPr>
        <w:t xml:space="preserve">: </w:t>
      </w:r>
      <w:r w:rsidRPr="00282AC9">
        <w:rPr>
          <w:rFonts w:ascii="Times New Roman" w:hAnsi="Times New Roman" w:cs="DanaFajr" w:hint="cs"/>
          <w:sz w:val="28"/>
          <w:szCs w:val="28"/>
          <w:rtl/>
        </w:rPr>
        <w:t xml:space="preserve">۲۰ </w:t>
      </w:r>
      <w:r w:rsidRPr="00282AC9">
        <w:rPr>
          <w:rFonts w:ascii="AAA GoldenLotus" w:hAnsi="AAA GoldenLotus" w:cs="DanaFajr"/>
          <w:sz w:val="28"/>
          <w:szCs w:val="28"/>
          <w:rtl/>
          <w:lang w:val="fr-FR"/>
        </w:rPr>
        <w:t>ـ</w:t>
      </w:r>
      <w:r w:rsidRPr="00282AC9">
        <w:rPr>
          <w:rFonts w:ascii="AAA GoldenLotus" w:hAnsi="AAA GoldenLotus" w:cs="DanaFajr" w:hint="cs"/>
          <w:sz w:val="28"/>
          <w:szCs w:val="28"/>
          <w:rtl/>
          <w:lang w:val="fr-FR"/>
        </w:rPr>
        <w:t xml:space="preserve"> </w:t>
      </w:r>
      <w:r w:rsidRPr="00282AC9">
        <w:rPr>
          <w:rFonts w:ascii="Times New Roman" w:hAnsi="Times New Roman" w:cs="DanaFajr" w:hint="cs"/>
          <w:sz w:val="28"/>
          <w:szCs w:val="28"/>
          <w:rtl/>
        </w:rPr>
        <w:t>۲۱</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و</w:t>
      </w:r>
      <w:r w:rsidRPr="00282AC9">
        <w:rPr>
          <w:rFonts w:ascii="AAA GoldenLotus" w:hAnsi="AAA GoldenLotus" w:cs="DanaFajr"/>
          <w:sz w:val="28"/>
          <w:szCs w:val="28"/>
          <w:rtl/>
        </w:rPr>
        <w:t>محمد حسن الموسوي البجنوردي،</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القواعد الفقهية 2</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53</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و</w:t>
      </w:r>
      <w:r w:rsidRPr="00282AC9">
        <w:rPr>
          <w:rFonts w:ascii="AAA GoldenLotus" w:hAnsi="AAA GoldenLotus" w:cs="DanaFajr"/>
          <w:sz w:val="28"/>
          <w:szCs w:val="28"/>
          <w:rtl/>
        </w:rPr>
        <w:t>محمد فاضل اللنكراني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القواعد الفقهية 1</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295. </w:t>
      </w:r>
    </w:p>
  </w:endnote>
  <w:endnote w:id="344">
    <w:p w:rsidR="00C14EDE" w:rsidRPr="00282AC9" w:rsidRDefault="00C14EDE" w:rsidP="009C287D">
      <w:pPr>
        <w:pStyle w:val="af7"/>
        <w:spacing w:line="302" w:lineRule="exact"/>
        <w:ind w:firstLine="0"/>
        <w:rPr>
          <w:rFonts w:ascii="AAA GoldenLotus" w:hAnsi="AAA GoldenLotus" w:cs="DanaFajr"/>
          <w:sz w:val="28"/>
          <w:szCs w:val="28"/>
          <w:rtl/>
        </w:rPr>
      </w:pPr>
      <w:r w:rsidRPr="00282AC9">
        <w:rPr>
          <w:rFonts w:ascii="AAA GoldenLotus" w:hAnsi="AAA GoldenLotus" w:cs="DanaFajr"/>
          <w:sz w:val="28"/>
          <w:szCs w:val="28"/>
          <w:rtl/>
        </w:rPr>
        <w:t>(</w:t>
      </w:r>
      <w:r w:rsidRPr="00282AC9">
        <w:rPr>
          <w:rStyle w:val="af9"/>
          <w:rFonts w:ascii="AAA GoldenLotus" w:hAnsi="AAA GoldenLotus" w:cs="DanaFajr"/>
          <w:sz w:val="28"/>
          <w:szCs w:val="28"/>
          <w:vertAlign w:val="baseline"/>
        </w:rPr>
        <w:endnoteRef/>
      </w:r>
      <w:r w:rsidRPr="00282AC9">
        <w:rPr>
          <w:rFonts w:ascii="AAA GoldenLotus" w:hAnsi="AAA GoldenLotus" w:cs="DanaFajr"/>
          <w:sz w:val="28"/>
          <w:szCs w:val="28"/>
          <w:rtl/>
        </w:rPr>
        <w:t xml:space="preserve">) انظر: </w:t>
      </w:r>
      <w:r w:rsidRPr="00282AC9">
        <w:rPr>
          <w:rFonts w:ascii="AAA GoldenLotus" w:hAnsi="AAA GoldenLotus" w:cs="DanaFajr" w:hint="cs"/>
          <w:sz w:val="28"/>
          <w:szCs w:val="28"/>
          <w:rtl/>
        </w:rPr>
        <w:t>المصادر نفسها</w:t>
      </w:r>
      <w:r w:rsidRPr="00282AC9">
        <w:rPr>
          <w:rFonts w:ascii="AAA GoldenLotus" w:hAnsi="AAA GoldenLotus" w:cs="DanaFajr"/>
          <w:sz w:val="28"/>
          <w:szCs w:val="28"/>
          <w:rtl/>
        </w:rPr>
        <w:t xml:space="preserve">. </w:t>
      </w:r>
    </w:p>
  </w:endnote>
  <w:endnote w:id="345">
    <w:p w:rsidR="00C14EDE" w:rsidRPr="00282AC9" w:rsidRDefault="00C14EDE" w:rsidP="009C287D">
      <w:pPr>
        <w:pStyle w:val="af7"/>
        <w:spacing w:line="302" w:lineRule="exact"/>
        <w:ind w:firstLine="0"/>
        <w:rPr>
          <w:rFonts w:ascii="AAA GoldenLotus" w:hAnsi="AAA GoldenLotus" w:cs="DanaFajr"/>
          <w:sz w:val="28"/>
          <w:szCs w:val="28"/>
          <w:rtl/>
          <w:lang w:bidi="fa-IR"/>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علي أكبر السيفي المازندراني، مباني الفقه الفع</w:t>
      </w:r>
      <w:r w:rsidRPr="00282AC9">
        <w:rPr>
          <w:rFonts w:ascii="AAA GoldenLotus" w:hAnsi="AAA GoldenLotus" w:cs="DanaFajr" w:hint="cs"/>
          <w:sz w:val="28"/>
          <w:szCs w:val="28"/>
          <w:rtl/>
        </w:rPr>
        <w:t>ّ</w:t>
      </w:r>
      <w:r w:rsidRPr="00282AC9">
        <w:rPr>
          <w:rFonts w:ascii="AAA GoldenLotus" w:hAnsi="AAA GoldenLotus" w:cs="DanaFajr"/>
          <w:sz w:val="28"/>
          <w:szCs w:val="28"/>
          <w:rtl/>
        </w:rPr>
        <w:t>ال 3: 34</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ـ 35</w:t>
      </w:r>
      <w:r w:rsidRPr="00282AC9">
        <w:rPr>
          <w:rFonts w:ascii="AAA GoldenLotus" w:hAnsi="AAA GoldenLotus" w:cs="DanaFajr" w:hint="cs"/>
          <w:sz w:val="28"/>
          <w:szCs w:val="28"/>
          <w:rtl/>
        </w:rPr>
        <w:t>؛ و</w:t>
      </w:r>
      <w:r w:rsidRPr="00282AC9">
        <w:rPr>
          <w:rFonts w:ascii="AAA GoldenLotus" w:hAnsi="AAA GoldenLotus" w:cs="DanaFajr"/>
          <w:sz w:val="28"/>
          <w:szCs w:val="28"/>
          <w:rtl/>
        </w:rPr>
        <w:t>محمد فاضل اللنكراني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القواعد الفقهية</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w:t>
      </w:r>
    </w:p>
  </w:endnote>
  <w:endnote w:id="346">
    <w:p w:rsidR="00C14EDE" w:rsidRPr="00282AC9" w:rsidRDefault="00C14EDE" w:rsidP="009C287D">
      <w:pPr>
        <w:pStyle w:val="af7"/>
        <w:spacing w:line="302" w:lineRule="exact"/>
        <w:ind w:firstLine="0"/>
        <w:rPr>
          <w:rFonts w:ascii="AAA GoldenLotus" w:hAnsi="AAA GoldenLotus" w:cs="DanaFajr"/>
          <w:sz w:val="28"/>
          <w:szCs w:val="28"/>
          <w:rtl/>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عبد الرحمن بن أحمد بن رجب الحنبلي، فتح الباري شرح صحيح البخاري 1: 341. </w:t>
      </w:r>
    </w:p>
  </w:endnote>
  <w:endnote w:id="347">
    <w:p w:rsidR="00C14EDE" w:rsidRPr="00282AC9" w:rsidRDefault="00C14EDE" w:rsidP="009C287D">
      <w:pPr>
        <w:pStyle w:val="af7"/>
        <w:spacing w:line="302" w:lineRule="exact"/>
        <w:ind w:firstLine="0"/>
        <w:rPr>
          <w:rFonts w:ascii="AAA GoldenLotus" w:hAnsi="AAA GoldenLotus" w:cs="DanaFajr"/>
          <w:sz w:val="28"/>
          <w:szCs w:val="28"/>
          <w:rtl/>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مجمع الفقه الإسلامي الدولي، معلمة زايد للقواعد الفقهية والأصولية 18: 292.</w:t>
      </w:r>
    </w:p>
  </w:endnote>
  <w:endnote w:id="348">
    <w:p w:rsidR="00C14EDE" w:rsidRPr="00282AC9" w:rsidRDefault="00C14EDE" w:rsidP="009C287D">
      <w:pPr>
        <w:pStyle w:val="af7"/>
        <w:tabs>
          <w:tab w:val="right" w:pos="8306"/>
        </w:tabs>
        <w:spacing w:line="302" w:lineRule="exact"/>
        <w:ind w:firstLine="0"/>
        <w:rPr>
          <w:rFonts w:ascii="AAA GoldenLotus" w:hAnsi="AAA GoldenLotus" w:cs="DanaFajr"/>
          <w:sz w:val="28"/>
          <w:szCs w:val="28"/>
          <w:rtl/>
          <w:lang w:bidi="ar-IQ"/>
        </w:rPr>
      </w:pPr>
      <w:r w:rsidRPr="00282AC9">
        <w:rPr>
          <w:rStyle w:val="af9"/>
          <w:rFonts w:ascii="AAA GoldenLotus" w:hAnsi="AAA GoldenLotus" w:cs="DanaFajr"/>
          <w:sz w:val="28"/>
          <w:szCs w:val="28"/>
          <w:vertAlign w:val="baseline"/>
          <w:rtl/>
        </w:rPr>
        <w:t>(</w:t>
      </w:r>
      <w:r w:rsidRPr="00282AC9">
        <w:rPr>
          <w:rStyle w:val="af9"/>
          <w:rFonts w:ascii="AAA GoldenLotus" w:hAnsi="AAA GoldenLotus" w:cs="DanaFajr"/>
          <w:sz w:val="28"/>
          <w:szCs w:val="28"/>
          <w:vertAlign w:val="baseline"/>
          <w:rtl/>
        </w:rPr>
        <w:endnoteRef/>
      </w:r>
      <w:r w:rsidRPr="00282AC9">
        <w:rPr>
          <w:rStyle w:val="af9"/>
          <w:rFonts w:ascii="AAA GoldenLotus" w:hAnsi="AAA GoldenLotus" w:cs="DanaFajr"/>
          <w:sz w:val="28"/>
          <w:szCs w:val="28"/>
          <w:vertAlign w:val="baseline"/>
          <w:rtl/>
        </w:rPr>
        <w:t>)</w:t>
      </w:r>
      <w:r w:rsidRPr="00282AC9">
        <w:rPr>
          <w:rFonts w:ascii="AAA GoldenLotus" w:hAnsi="AAA GoldenLotus" w:cs="DanaFajr" w:hint="cs"/>
          <w:sz w:val="28"/>
          <w:szCs w:val="28"/>
          <w:rtl/>
          <w:lang w:bidi="ar-IQ"/>
        </w:rPr>
        <w:t xml:space="preserve"> </w:t>
      </w:r>
      <w:r w:rsidRPr="00282AC9">
        <w:rPr>
          <w:rFonts w:ascii="AAA GoldenLotus" w:hAnsi="AAA GoldenLotus" w:cs="DanaFajr"/>
          <w:sz w:val="28"/>
          <w:szCs w:val="28"/>
          <w:rtl/>
          <w:lang w:bidi="ar-IQ"/>
        </w:rPr>
        <w:t xml:space="preserve">محمد بن محمد بن أمير الحاج، التقرير والتحبير 1: 211. </w:t>
      </w:r>
      <w:r w:rsidRPr="00282AC9">
        <w:rPr>
          <w:rFonts w:ascii="AAA GoldenLotus" w:hAnsi="AAA GoldenLotus" w:cs="DanaFajr"/>
          <w:sz w:val="28"/>
          <w:szCs w:val="28"/>
          <w:rtl/>
          <w:lang w:bidi="ar-IQ"/>
        </w:rPr>
        <w:tab/>
      </w:r>
    </w:p>
  </w:endnote>
  <w:endnote w:id="349">
    <w:p w:rsidR="00C14EDE" w:rsidRPr="00282AC9" w:rsidRDefault="00C14EDE" w:rsidP="009C287D">
      <w:pPr>
        <w:pStyle w:val="af7"/>
        <w:spacing w:line="296" w:lineRule="exact"/>
        <w:ind w:firstLine="0"/>
        <w:rPr>
          <w:rFonts w:ascii="AAA GoldenLotus" w:hAnsi="AAA GoldenLotus" w:cs="DanaFajr"/>
          <w:sz w:val="28"/>
          <w:szCs w:val="28"/>
          <w:rtl/>
          <w:lang w:bidi="ar-IQ"/>
        </w:rPr>
      </w:pPr>
      <w:r w:rsidRPr="00282AC9">
        <w:rPr>
          <w:rStyle w:val="af9"/>
          <w:rFonts w:ascii="AAA GoldenLotus" w:hAnsi="AAA GoldenLotus" w:cs="DanaFajr"/>
          <w:sz w:val="28"/>
          <w:szCs w:val="28"/>
          <w:vertAlign w:val="baseline"/>
          <w:rtl/>
        </w:rPr>
        <w:t>(</w:t>
      </w:r>
      <w:r w:rsidRPr="00282AC9">
        <w:rPr>
          <w:rStyle w:val="af9"/>
          <w:rFonts w:ascii="AAA GoldenLotus" w:hAnsi="AAA GoldenLotus" w:cs="DanaFajr"/>
          <w:sz w:val="28"/>
          <w:szCs w:val="28"/>
          <w:vertAlign w:val="baseline"/>
          <w:rtl/>
        </w:rPr>
        <w:endnoteRef/>
      </w:r>
      <w:r w:rsidRPr="00282AC9">
        <w:rPr>
          <w:rStyle w:val="af9"/>
          <w:rFonts w:ascii="AAA GoldenLotus" w:hAnsi="AAA GoldenLotus" w:cs="DanaFajr"/>
          <w:sz w:val="28"/>
          <w:szCs w:val="28"/>
          <w:vertAlign w:val="baseline"/>
          <w:rtl/>
        </w:rPr>
        <w:t>)</w:t>
      </w:r>
      <w:r w:rsidRPr="00282AC9">
        <w:rPr>
          <w:rFonts w:ascii="AAA GoldenLotus" w:hAnsi="AAA GoldenLotus" w:cs="DanaFajr" w:hint="cs"/>
          <w:spacing w:val="-4"/>
          <w:sz w:val="28"/>
          <w:szCs w:val="28"/>
          <w:rtl/>
          <w:lang w:bidi="ar-IQ"/>
        </w:rPr>
        <w:t xml:space="preserve"> </w:t>
      </w:r>
      <w:r w:rsidRPr="00282AC9">
        <w:rPr>
          <w:rFonts w:ascii="AAA GoldenLotus" w:hAnsi="AAA GoldenLotus" w:cs="DanaFajr"/>
          <w:spacing w:val="-4"/>
          <w:sz w:val="28"/>
          <w:szCs w:val="28"/>
          <w:rtl/>
          <w:lang w:bidi="ar-IQ"/>
        </w:rPr>
        <w:t xml:space="preserve">زين الدين بن إبراهيم بن نجيم المصري الحنفي، البحر الرائق </w:t>
      </w:r>
      <w:r w:rsidRPr="00282AC9">
        <w:rPr>
          <w:rFonts w:ascii="AAA GoldenLotus" w:hAnsi="AAA GoldenLotus" w:cs="DanaFajr" w:hint="cs"/>
          <w:spacing w:val="-4"/>
          <w:sz w:val="28"/>
          <w:szCs w:val="28"/>
          <w:rtl/>
          <w:lang w:bidi="ar-IQ"/>
        </w:rPr>
        <w:t xml:space="preserve">في </w:t>
      </w:r>
      <w:r w:rsidRPr="00282AC9">
        <w:rPr>
          <w:rFonts w:ascii="AAA GoldenLotus" w:hAnsi="AAA GoldenLotus" w:cs="DanaFajr"/>
          <w:spacing w:val="-4"/>
          <w:sz w:val="28"/>
          <w:szCs w:val="28"/>
          <w:rtl/>
          <w:lang w:bidi="ar-IQ"/>
        </w:rPr>
        <w:t>شرح كن</w:t>
      </w:r>
      <w:r w:rsidRPr="00282AC9">
        <w:rPr>
          <w:rFonts w:ascii="AAA GoldenLotus" w:hAnsi="AAA GoldenLotus" w:cs="DanaFajr" w:hint="cs"/>
          <w:spacing w:val="-4"/>
          <w:sz w:val="28"/>
          <w:szCs w:val="28"/>
          <w:rtl/>
          <w:lang w:bidi="ar-IQ"/>
        </w:rPr>
        <w:t>ـ</w:t>
      </w:r>
      <w:r w:rsidRPr="00282AC9">
        <w:rPr>
          <w:rFonts w:ascii="AAA GoldenLotus" w:hAnsi="AAA GoldenLotus" w:cs="DanaFajr"/>
          <w:spacing w:val="-4"/>
          <w:sz w:val="28"/>
          <w:szCs w:val="28"/>
          <w:rtl/>
          <w:lang w:bidi="ar-IQ"/>
        </w:rPr>
        <w:t>ز الدقائق 1: 45</w:t>
      </w:r>
      <w:r w:rsidRPr="00282AC9">
        <w:rPr>
          <w:rFonts w:ascii="AAA GoldenLotus" w:hAnsi="AAA GoldenLotus" w:cs="DanaFajr" w:hint="cs"/>
          <w:spacing w:val="-4"/>
          <w:sz w:val="28"/>
          <w:szCs w:val="28"/>
          <w:rtl/>
          <w:lang w:bidi="ar-IQ"/>
        </w:rPr>
        <w:t>؛</w:t>
      </w:r>
      <w:r w:rsidRPr="00282AC9">
        <w:rPr>
          <w:rFonts w:ascii="AAA GoldenLotus" w:hAnsi="AAA GoldenLotus" w:cs="DanaFajr"/>
          <w:spacing w:val="-4"/>
          <w:sz w:val="28"/>
          <w:szCs w:val="28"/>
          <w:rtl/>
          <w:lang w:bidi="ar-IQ"/>
        </w:rPr>
        <w:t xml:space="preserve"> </w:t>
      </w:r>
      <w:r w:rsidRPr="00282AC9">
        <w:rPr>
          <w:rFonts w:ascii="AAA GoldenLotus" w:hAnsi="AAA GoldenLotus" w:cs="DanaFajr" w:hint="cs"/>
          <w:spacing w:val="-4"/>
          <w:sz w:val="28"/>
          <w:szCs w:val="28"/>
          <w:rtl/>
          <w:lang w:bidi="ar-IQ"/>
        </w:rPr>
        <w:t>و</w:t>
      </w:r>
      <w:r w:rsidRPr="00282AC9">
        <w:rPr>
          <w:rFonts w:ascii="AAA GoldenLotus" w:hAnsi="AAA GoldenLotus" w:cs="DanaFajr"/>
          <w:spacing w:val="-4"/>
          <w:sz w:val="28"/>
          <w:szCs w:val="28"/>
          <w:rtl/>
          <w:lang w:bidi="ar-IQ"/>
        </w:rPr>
        <w:t>انظر: محمد بن محمد الغزالي، المستصفى في علم الأصول: 241</w:t>
      </w:r>
      <w:r w:rsidRPr="00282AC9">
        <w:rPr>
          <w:rFonts w:ascii="AAA GoldenLotus" w:hAnsi="AAA GoldenLotus" w:cs="DanaFajr" w:hint="cs"/>
          <w:spacing w:val="-4"/>
          <w:sz w:val="28"/>
          <w:szCs w:val="28"/>
          <w:rtl/>
          <w:lang w:bidi="ar-IQ"/>
        </w:rPr>
        <w:t xml:space="preserve"> ـ</w:t>
      </w:r>
      <w:r w:rsidRPr="00282AC9">
        <w:rPr>
          <w:rFonts w:ascii="AAA GoldenLotus" w:hAnsi="AAA GoldenLotus" w:cs="DanaFajr"/>
          <w:spacing w:val="-4"/>
          <w:sz w:val="28"/>
          <w:szCs w:val="28"/>
          <w:rtl/>
          <w:lang w:bidi="ar-IQ"/>
        </w:rPr>
        <w:t xml:space="preserve"> 242</w:t>
      </w:r>
      <w:r w:rsidRPr="00282AC9">
        <w:rPr>
          <w:rFonts w:ascii="AAA GoldenLotus" w:hAnsi="AAA GoldenLotus" w:cs="DanaFajr" w:hint="cs"/>
          <w:spacing w:val="-4"/>
          <w:sz w:val="28"/>
          <w:szCs w:val="28"/>
          <w:rtl/>
          <w:lang w:bidi="ar-IQ"/>
        </w:rPr>
        <w:t>؛</w:t>
      </w:r>
      <w:r w:rsidRPr="00282AC9">
        <w:rPr>
          <w:rFonts w:ascii="AAA GoldenLotus" w:hAnsi="AAA GoldenLotus" w:cs="DanaFajr"/>
          <w:spacing w:val="-4"/>
          <w:sz w:val="28"/>
          <w:szCs w:val="28"/>
          <w:rtl/>
          <w:lang w:bidi="ar-IQ"/>
        </w:rPr>
        <w:t xml:space="preserve"> ومحمد بن عبد الله بن بهادر الزركشي، البحر المحيط في أصول الفقه 4: 240</w:t>
      </w:r>
      <w:r w:rsidRPr="00282AC9">
        <w:rPr>
          <w:rFonts w:ascii="AAA GoldenLotus" w:hAnsi="AAA GoldenLotus" w:cs="DanaFajr" w:hint="cs"/>
          <w:spacing w:val="-4"/>
          <w:sz w:val="28"/>
          <w:szCs w:val="28"/>
          <w:rtl/>
          <w:lang w:bidi="ar-IQ"/>
        </w:rPr>
        <w:t xml:space="preserve"> ـ </w:t>
      </w:r>
      <w:r w:rsidRPr="00282AC9">
        <w:rPr>
          <w:rFonts w:ascii="AAA GoldenLotus" w:hAnsi="AAA GoldenLotus" w:cs="DanaFajr"/>
          <w:spacing w:val="-4"/>
          <w:sz w:val="28"/>
          <w:szCs w:val="28"/>
          <w:rtl/>
          <w:lang w:bidi="ar-IQ"/>
        </w:rPr>
        <w:t xml:space="preserve">245. </w:t>
      </w:r>
    </w:p>
  </w:endnote>
  <w:endnote w:id="350">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sz w:val="28"/>
          <w:szCs w:val="28"/>
          <w:rtl/>
          <w:lang w:bidi="ar-IQ"/>
        </w:rPr>
        <w:t xml:space="preserve"> </w:t>
      </w:r>
      <w:r w:rsidRPr="00282AC9">
        <w:rPr>
          <w:rFonts w:ascii="AAA GoldenLotus" w:hAnsi="AAA GoldenLotus" w:cs="DanaFajr"/>
          <w:sz w:val="28"/>
          <w:szCs w:val="28"/>
          <w:rtl/>
        </w:rPr>
        <w:t>انظر: علي أكبر السيفي المازندراني، مباني الفقه الفع</w:t>
      </w:r>
      <w:r w:rsidRPr="00282AC9">
        <w:rPr>
          <w:rFonts w:ascii="AAA GoldenLotus" w:hAnsi="AAA GoldenLotus" w:cs="DanaFajr" w:hint="cs"/>
          <w:sz w:val="28"/>
          <w:szCs w:val="28"/>
          <w:rtl/>
        </w:rPr>
        <w:t>ّ</w:t>
      </w:r>
      <w:r w:rsidRPr="00282AC9">
        <w:rPr>
          <w:rFonts w:ascii="AAA GoldenLotus" w:hAnsi="AAA GoldenLotus" w:cs="DanaFajr"/>
          <w:sz w:val="28"/>
          <w:szCs w:val="28"/>
          <w:rtl/>
        </w:rPr>
        <w:t>ال 3: 42 ـ 43.</w:t>
      </w:r>
    </w:p>
  </w:endnote>
  <w:endnote w:id="351">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sz w:val="28"/>
          <w:szCs w:val="28"/>
          <w:rtl/>
          <w:lang w:bidi="ar-IQ"/>
        </w:rPr>
        <w:t xml:space="preserve"> </w:t>
      </w:r>
      <w:r w:rsidRPr="00282AC9">
        <w:rPr>
          <w:rFonts w:ascii="AAA GoldenLotus" w:hAnsi="AAA GoldenLotus" w:cs="DanaFajr"/>
          <w:sz w:val="28"/>
          <w:szCs w:val="28"/>
          <w:rtl/>
        </w:rPr>
        <w:t>انظر: عباس علي الزارعي السبزواري، القواعد الفقهية في فقه ال</w:t>
      </w:r>
      <w:r w:rsidRPr="00282AC9">
        <w:rPr>
          <w:rFonts w:ascii="AAA GoldenLotus" w:hAnsi="AAA GoldenLotus" w:cs="DanaFajr" w:hint="cs"/>
          <w:sz w:val="28"/>
          <w:szCs w:val="28"/>
          <w:rtl/>
        </w:rPr>
        <w:t>إ</w:t>
      </w:r>
      <w:r w:rsidRPr="00282AC9">
        <w:rPr>
          <w:rFonts w:ascii="AAA GoldenLotus" w:hAnsi="AAA GoldenLotus" w:cs="DanaFajr"/>
          <w:sz w:val="28"/>
          <w:szCs w:val="28"/>
          <w:rtl/>
        </w:rPr>
        <w:t xml:space="preserve">مامية 9: 144. </w:t>
      </w:r>
    </w:p>
  </w:endnote>
  <w:endnote w:id="352">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محمد بن يعقوب الكليني، الكافي 5: 18</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ح1. </w:t>
      </w:r>
    </w:p>
  </w:endnote>
  <w:endnote w:id="353">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انظر: مير عبد الفتاح الحسيني المراغي، العناوين 1: 26. </w:t>
      </w:r>
    </w:p>
  </w:endnote>
  <w:endnote w:id="354">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محمد </w:t>
      </w:r>
      <w:r w:rsidRPr="00282AC9">
        <w:rPr>
          <w:rFonts w:ascii="AAA GoldenLotus" w:hAnsi="AAA GoldenLotus" w:cs="DanaFajr" w:hint="cs"/>
          <w:sz w:val="28"/>
          <w:szCs w:val="28"/>
          <w:rtl/>
        </w:rPr>
        <w:t>باقر المجلسي</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بحار الأنوار</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 xml:space="preserve">2: 271، </w:t>
      </w:r>
      <w:r w:rsidRPr="00282AC9">
        <w:rPr>
          <w:rFonts w:ascii="AAA GoldenLotus" w:hAnsi="AAA GoldenLotus" w:cs="DanaFajr"/>
          <w:sz w:val="28"/>
          <w:szCs w:val="28"/>
          <w:rtl/>
        </w:rPr>
        <w:t>ح</w:t>
      </w:r>
      <w:r w:rsidRPr="00282AC9">
        <w:rPr>
          <w:rFonts w:ascii="AAA GoldenLotus" w:hAnsi="AAA GoldenLotus" w:cs="DanaFajr" w:hint="cs"/>
          <w:sz w:val="28"/>
          <w:szCs w:val="28"/>
          <w:rtl/>
        </w:rPr>
        <w:t>4</w:t>
      </w:r>
      <w:r w:rsidRPr="00282AC9">
        <w:rPr>
          <w:rFonts w:ascii="AAA GoldenLotus" w:hAnsi="AAA GoldenLotus" w:cs="DanaFajr"/>
          <w:sz w:val="28"/>
          <w:szCs w:val="28"/>
          <w:rtl/>
        </w:rPr>
        <w:t xml:space="preserve">. </w:t>
      </w:r>
    </w:p>
  </w:endnote>
  <w:endnote w:id="355">
    <w:p w:rsidR="00C14EDE" w:rsidRPr="00282AC9" w:rsidRDefault="00C14EDE" w:rsidP="009C287D">
      <w:pPr>
        <w:pStyle w:val="af7"/>
        <w:spacing w:line="296" w:lineRule="exact"/>
        <w:ind w:firstLine="0"/>
        <w:rPr>
          <w:rFonts w:ascii="AAA GoldenLotus" w:hAnsi="AAA GoldenLotus" w:cs="DanaFajr"/>
          <w:sz w:val="28"/>
          <w:szCs w:val="28"/>
          <w:rtl/>
        </w:rPr>
      </w:pPr>
      <w:r w:rsidRPr="00282AC9">
        <w:rPr>
          <w:rFonts w:ascii="AAA GoldenLotus" w:hAnsi="AAA GoldenLotus" w:cs="DanaFajr"/>
          <w:sz w:val="28"/>
          <w:szCs w:val="28"/>
          <w:rtl/>
        </w:rPr>
        <w:t>(</w:t>
      </w:r>
      <w:r w:rsidRPr="00282AC9">
        <w:rPr>
          <w:rStyle w:val="af9"/>
          <w:rFonts w:ascii="AAA GoldenLotus" w:hAnsi="AAA GoldenLotus" w:cs="DanaFajr"/>
          <w:vertAlign w:val="baseline"/>
        </w:rPr>
        <w:endnoteRef/>
      </w:r>
      <w:r w:rsidRPr="00282AC9">
        <w:rPr>
          <w:rFonts w:ascii="AAA GoldenLotus" w:hAnsi="AAA GoldenLotus" w:cs="DanaFajr"/>
          <w:sz w:val="28"/>
          <w:szCs w:val="28"/>
          <w:rtl/>
        </w:rPr>
        <w:t>) انظر: محمد حسن الموسوي البجنوردي،</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القواعد الفقهية 2</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5</w:t>
      </w:r>
      <w:r w:rsidRPr="00282AC9">
        <w:rPr>
          <w:rFonts w:ascii="AAA GoldenLotus" w:hAnsi="AAA GoldenLotus" w:cs="DanaFajr" w:hint="cs"/>
          <w:sz w:val="28"/>
          <w:szCs w:val="28"/>
          <w:rtl/>
        </w:rPr>
        <w:t>9</w:t>
      </w:r>
      <w:r w:rsidRPr="00282AC9">
        <w:rPr>
          <w:rFonts w:ascii="AAA GoldenLotus" w:hAnsi="AAA GoldenLotus" w:cs="DanaFajr"/>
          <w:sz w:val="28"/>
          <w:szCs w:val="28"/>
          <w:rtl/>
        </w:rPr>
        <w:t xml:space="preserve">. </w:t>
      </w:r>
    </w:p>
  </w:endnote>
  <w:endnote w:id="356">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محمد بن </w:t>
      </w:r>
      <w:r w:rsidRPr="00282AC9">
        <w:rPr>
          <w:rFonts w:ascii="AAA GoldenLotus" w:hAnsi="AAA GoldenLotus" w:cs="DanaFajr" w:hint="cs"/>
          <w:sz w:val="28"/>
          <w:szCs w:val="28"/>
          <w:rtl/>
        </w:rPr>
        <w:t>عليّ بن بابويه الصدوق</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معاني الأخبار</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 xml:space="preserve">162، </w:t>
      </w:r>
      <w:r w:rsidRPr="00282AC9">
        <w:rPr>
          <w:rFonts w:ascii="AAA GoldenLotus" w:hAnsi="AAA GoldenLotus" w:cs="DanaFajr"/>
          <w:sz w:val="28"/>
          <w:szCs w:val="28"/>
          <w:rtl/>
        </w:rPr>
        <w:t xml:space="preserve">ح1. </w:t>
      </w:r>
    </w:p>
  </w:endnote>
  <w:endnote w:id="357">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Pr>
        <w:endnoteRef/>
      </w:r>
      <w:r w:rsidRPr="00282AC9">
        <w:rPr>
          <w:rFonts w:ascii="AAA GoldenLotus" w:hAnsi="AAA GoldenLotus" w:cs="DanaFajr"/>
          <w:sz w:val="28"/>
          <w:szCs w:val="28"/>
          <w:rtl/>
        </w:rPr>
        <w:t>)</w:t>
      </w:r>
      <w:r w:rsidRPr="00282AC9">
        <w:rPr>
          <w:rFonts w:ascii="AAA GoldenLotus" w:hAnsi="AAA GoldenLotus" w:cs="DanaFajr"/>
          <w:sz w:val="28"/>
          <w:szCs w:val="28"/>
          <w:rtl/>
          <w:lang w:bidi="ar-IQ"/>
        </w:rPr>
        <w:t xml:space="preserve"> انظر:</w:t>
      </w:r>
      <w:r w:rsidRPr="00282AC9">
        <w:rPr>
          <w:rFonts w:ascii="AAA GoldenLotus" w:hAnsi="AAA GoldenLotus" w:cs="DanaFajr"/>
          <w:sz w:val="28"/>
          <w:szCs w:val="28"/>
          <w:rtl/>
        </w:rPr>
        <w:t xml:space="preserve"> محمد فاضل اللنكراني، القواعد الفقهية 1: 300.</w:t>
      </w:r>
    </w:p>
  </w:endnote>
  <w:endnote w:id="358">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محمد بن يعقوب الكليني، الكافي </w:t>
      </w:r>
      <w:r w:rsidRPr="00282AC9">
        <w:rPr>
          <w:rFonts w:ascii="AAA GoldenLotus" w:hAnsi="AAA GoldenLotus" w:cs="DanaFajr" w:hint="cs"/>
          <w:sz w:val="28"/>
          <w:szCs w:val="28"/>
          <w:rtl/>
        </w:rPr>
        <w:t>4</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 xml:space="preserve">304، </w:t>
      </w:r>
      <w:r w:rsidRPr="00282AC9">
        <w:rPr>
          <w:rFonts w:ascii="AAA GoldenLotus" w:hAnsi="AAA GoldenLotus" w:cs="DanaFajr"/>
          <w:sz w:val="28"/>
          <w:szCs w:val="28"/>
          <w:rtl/>
        </w:rPr>
        <w:t>ح</w:t>
      </w:r>
      <w:r w:rsidRPr="00282AC9">
        <w:rPr>
          <w:rFonts w:ascii="AAA GoldenLotus" w:hAnsi="AAA GoldenLotus" w:cs="DanaFajr" w:hint="cs"/>
          <w:sz w:val="28"/>
          <w:szCs w:val="28"/>
          <w:rtl/>
        </w:rPr>
        <w:t>4</w:t>
      </w:r>
      <w:r w:rsidRPr="00282AC9">
        <w:rPr>
          <w:rFonts w:ascii="AAA GoldenLotus" w:hAnsi="AAA GoldenLotus" w:cs="DanaFajr"/>
          <w:sz w:val="28"/>
          <w:szCs w:val="28"/>
          <w:rtl/>
        </w:rPr>
        <w:t xml:space="preserve">. </w:t>
      </w:r>
    </w:p>
  </w:endnote>
  <w:endnote w:id="359">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محمد إسحاق الفياض، محاضرات في أصول الفقه</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(تقريرات </w:t>
      </w:r>
      <w:r w:rsidRPr="00282AC9">
        <w:rPr>
          <w:rFonts w:ascii="AAA GoldenLotus" w:hAnsi="AAA GoldenLotus" w:cs="DanaFajr" w:hint="cs"/>
          <w:sz w:val="28"/>
          <w:szCs w:val="28"/>
          <w:rtl/>
        </w:rPr>
        <w:t>أبحاث</w:t>
      </w:r>
      <w:r w:rsidRPr="00282AC9">
        <w:rPr>
          <w:rFonts w:ascii="AAA GoldenLotus" w:hAnsi="AAA GoldenLotus" w:cs="DanaFajr"/>
          <w:sz w:val="28"/>
          <w:szCs w:val="28"/>
          <w:rtl/>
        </w:rPr>
        <w:t xml:space="preserve"> السيد الخوئي) 4: 26</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وعبد الصاحب الحكيم، منتقى الأصول</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(تقريرات </w:t>
      </w:r>
      <w:r w:rsidRPr="00282AC9">
        <w:rPr>
          <w:rFonts w:ascii="AAA GoldenLotus" w:hAnsi="AAA GoldenLotus" w:cs="DanaFajr" w:hint="cs"/>
          <w:sz w:val="28"/>
          <w:szCs w:val="28"/>
          <w:rtl/>
        </w:rPr>
        <w:t>أبحاث</w:t>
      </w:r>
      <w:r w:rsidRPr="00282AC9">
        <w:rPr>
          <w:rFonts w:ascii="AAA GoldenLotus" w:hAnsi="AAA GoldenLotus" w:cs="DanaFajr"/>
          <w:sz w:val="28"/>
          <w:szCs w:val="28"/>
          <w:rtl/>
        </w:rPr>
        <w:t xml:space="preserve"> السيد الروحاني) 3: 215. </w:t>
      </w:r>
    </w:p>
  </w:endnote>
  <w:endnote w:id="360">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انظر: مير عبد الفتاح الحسيني المراغي، العناوين 1: 23. </w:t>
      </w:r>
    </w:p>
  </w:endnote>
  <w:endnote w:id="361">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sz w:val="28"/>
          <w:szCs w:val="28"/>
          <w:rtl/>
          <w:lang w:bidi="ar-IQ"/>
        </w:rPr>
        <w:t xml:space="preserve"> انظر</w:t>
      </w:r>
      <w:r w:rsidRPr="00282AC9">
        <w:rPr>
          <w:rFonts w:ascii="AAA GoldenLotus" w:hAnsi="AAA GoldenLotus" w:cs="DanaFajr"/>
          <w:sz w:val="28"/>
          <w:szCs w:val="28"/>
          <w:rtl/>
        </w:rPr>
        <w:t>:عباس علي الزارعي السبزواري، القواعد الفقهية في فقه ال</w:t>
      </w:r>
      <w:r w:rsidRPr="00282AC9">
        <w:rPr>
          <w:rFonts w:ascii="AAA GoldenLotus" w:hAnsi="AAA GoldenLotus" w:cs="DanaFajr" w:hint="cs"/>
          <w:sz w:val="28"/>
          <w:szCs w:val="28"/>
          <w:rtl/>
        </w:rPr>
        <w:t>إ</w:t>
      </w:r>
      <w:r w:rsidRPr="00282AC9">
        <w:rPr>
          <w:rFonts w:ascii="AAA GoldenLotus" w:hAnsi="AAA GoldenLotus" w:cs="DanaFajr"/>
          <w:sz w:val="28"/>
          <w:szCs w:val="28"/>
          <w:rtl/>
        </w:rPr>
        <w:t xml:space="preserve">مامية 9: 153. </w:t>
      </w:r>
    </w:p>
  </w:endnote>
  <w:endnote w:id="362">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sz w:val="28"/>
          <w:szCs w:val="28"/>
          <w:rtl/>
          <w:lang w:bidi="ar-IQ"/>
        </w:rPr>
        <w:t xml:space="preserve"> انظر: </w:t>
      </w:r>
      <w:r w:rsidRPr="00282AC9">
        <w:rPr>
          <w:rFonts w:ascii="AAA GoldenLotus" w:hAnsi="AAA GoldenLotus" w:cs="DanaFajr"/>
          <w:sz w:val="28"/>
          <w:szCs w:val="28"/>
          <w:rtl/>
        </w:rPr>
        <w:t xml:space="preserve">محمد فاضل اللنكراني، القواعد الفقهية 1: 299. </w:t>
      </w:r>
    </w:p>
  </w:endnote>
  <w:endnote w:id="363">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انظر: </w:t>
      </w:r>
      <w:r w:rsidRPr="00282AC9">
        <w:rPr>
          <w:rFonts w:ascii="AAA GoldenLotus" w:hAnsi="AAA GoldenLotus" w:cs="DanaFajr" w:hint="cs"/>
          <w:sz w:val="28"/>
          <w:szCs w:val="28"/>
          <w:rtl/>
        </w:rPr>
        <w:t>المصدر السابق</w:t>
      </w:r>
      <w:r w:rsidRPr="00282AC9">
        <w:rPr>
          <w:rFonts w:ascii="AAA GoldenLotus" w:hAnsi="AAA GoldenLotus" w:cs="DanaFajr"/>
          <w:sz w:val="28"/>
          <w:szCs w:val="28"/>
          <w:rtl/>
        </w:rPr>
        <w:t xml:space="preserve"> 1: 299</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ـ</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300. </w:t>
      </w:r>
    </w:p>
  </w:endnote>
  <w:endnote w:id="364">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Pr>
        <w:endnoteRef/>
      </w:r>
      <w:r w:rsidRPr="00282AC9">
        <w:rPr>
          <w:rFonts w:ascii="AAA GoldenLotus" w:hAnsi="AAA GoldenLotus" w:cs="DanaFajr"/>
          <w:sz w:val="28"/>
          <w:szCs w:val="28"/>
          <w:rtl/>
        </w:rPr>
        <w:t xml:space="preserve">) انظر: </w:t>
      </w:r>
      <w:r w:rsidRPr="00282AC9">
        <w:rPr>
          <w:rFonts w:ascii="AAA GoldenLotus" w:hAnsi="AAA GoldenLotus" w:cs="DanaFajr" w:hint="cs"/>
          <w:sz w:val="28"/>
          <w:szCs w:val="28"/>
          <w:rtl/>
        </w:rPr>
        <w:t>المصدر السابق</w:t>
      </w:r>
      <w:r w:rsidRPr="00282AC9">
        <w:rPr>
          <w:rFonts w:ascii="AAA GoldenLotus" w:hAnsi="AAA GoldenLotus" w:cs="DanaFajr"/>
          <w:sz w:val="28"/>
          <w:szCs w:val="28"/>
          <w:rtl/>
        </w:rPr>
        <w:t xml:space="preserve"> 1: 300</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ـ 301.</w:t>
      </w:r>
    </w:p>
  </w:endnote>
  <w:endnote w:id="365">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محمد بن أحمد السرخسي، أصول السرخسي 1: 73</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وإبراهيم بن موسى بن محمد الشاطبي، الموافقات 2: 407</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وأحمد بن عبد الحليم بن تيمية</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مجموع الفتاوى 27: 59. </w:t>
      </w:r>
    </w:p>
  </w:endnote>
  <w:endnote w:id="366">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محمد بن محمد بن أمير حاج الحنفي، التقرير والتحبير 1: 225</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ومحمد بن الطيب الباقلاني المالكي، التقريب والإرشاد 2: 182. ومحمد بن أحمد بن النجار الحنبلي، مختصر التحرير شرح الكوكب المنير 3: 218</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ـ</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221. </w:t>
      </w:r>
    </w:p>
  </w:endnote>
  <w:endnote w:id="367">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محمد بن إسماعيل البخاري، صحيح البخاري 1: 14</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ح25</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وعبد الله بن المبارك المروزي، مسند الإمام عبد الله بن المبارك: 147</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ح240</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محمد علي فركوس، الإنارة شرح كتاب الإشارة: 76</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وعبد الرحمن بن أحمد بن رجب الحنبلي، جامع العلوم والحكم 1: 228 ـ</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230. </w:t>
      </w:r>
    </w:p>
  </w:endnote>
  <w:endnote w:id="368">
    <w:p w:rsidR="00C14EDE" w:rsidRPr="00282AC9" w:rsidRDefault="00C14EDE" w:rsidP="009C287D">
      <w:pPr>
        <w:pStyle w:val="af7"/>
        <w:spacing w:line="296" w:lineRule="exact"/>
        <w:ind w:firstLine="0"/>
        <w:rPr>
          <w:rFonts w:ascii="AAA GoldenLotus" w:hAnsi="AAA GoldenLotus" w:cs="DanaFajr"/>
          <w:spacing w:val="-4"/>
          <w:sz w:val="28"/>
          <w:szCs w:val="28"/>
        </w:rPr>
      </w:pPr>
      <w:r w:rsidRPr="00282AC9">
        <w:rPr>
          <w:rFonts w:ascii="AAA GoldenLotus" w:hAnsi="AAA GoldenLotus" w:cs="DanaFajr"/>
          <w:spacing w:val="-4"/>
          <w:sz w:val="28"/>
          <w:szCs w:val="28"/>
          <w:rtl/>
        </w:rPr>
        <w:t>(</w:t>
      </w:r>
      <w:r w:rsidRPr="00282AC9">
        <w:rPr>
          <w:rFonts w:ascii="AAA GoldenLotus" w:hAnsi="AAA GoldenLotus" w:cs="DanaFajr"/>
          <w:spacing w:val="-4"/>
          <w:sz w:val="28"/>
          <w:szCs w:val="28"/>
          <w:rtl/>
        </w:rPr>
        <w:endnoteRef/>
      </w:r>
      <w:r w:rsidRPr="00282AC9">
        <w:rPr>
          <w:rFonts w:ascii="AAA GoldenLotus" w:hAnsi="AAA GoldenLotus" w:cs="DanaFajr"/>
          <w:spacing w:val="-4"/>
          <w:sz w:val="28"/>
          <w:szCs w:val="28"/>
          <w:rtl/>
        </w:rPr>
        <w:t>) محمد بن عيسى الترمذي، سنن الترمذي 1: 189،</w:t>
      </w:r>
      <w:r w:rsidRPr="00282AC9">
        <w:rPr>
          <w:rFonts w:ascii="AAA GoldenLotus" w:hAnsi="AAA GoldenLotus" w:cs="DanaFajr" w:hint="cs"/>
          <w:spacing w:val="-4"/>
          <w:sz w:val="28"/>
          <w:szCs w:val="28"/>
          <w:rtl/>
        </w:rPr>
        <w:t xml:space="preserve"> </w:t>
      </w:r>
      <w:r w:rsidRPr="00282AC9">
        <w:rPr>
          <w:rFonts w:ascii="AAA GoldenLotus" w:hAnsi="AAA GoldenLotus" w:cs="DanaFajr"/>
          <w:spacing w:val="-4"/>
          <w:sz w:val="28"/>
          <w:szCs w:val="28"/>
          <w:rtl/>
        </w:rPr>
        <w:t>ح113</w:t>
      </w:r>
      <w:r w:rsidRPr="00282AC9">
        <w:rPr>
          <w:rFonts w:ascii="AAA GoldenLotus" w:hAnsi="AAA GoldenLotus" w:cs="DanaFajr" w:hint="cs"/>
          <w:spacing w:val="-4"/>
          <w:sz w:val="28"/>
          <w:szCs w:val="28"/>
          <w:rtl/>
        </w:rPr>
        <w:t xml:space="preserve">؛ </w:t>
      </w:r>
      <w:r w:rsidRPr="00282AC9">
        <w:rPr>
          <w:rFonts w:ascii="AAA GoldenLotus" w:hAnsi="AAA GoldenLotus" w:cs="DanaFajr"/>
          <w:spacing w:val="-4"/>
          <w:sz w:val="28"/>
          <w:szCs w:val="28"/>
          <w:rtl/>
        </w:rPr>
        <w:t xml:space="preserve">ومحمد بن الحسن الشيباني، المبسوط 1: 49. </w:t>
      </w:r>
    </w:p>
  </w:endnote>
  <w:endnote w:id="369">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انظر: محمد بن أشرف بن أمير العظيم آبادي، عون المعبود </w:t>
      </w:r>
      <w:r w:rsidRPr="00282AC9">
        <w:rPr>
          <w:rFonts w:ascii="AAA GoldenLotus" w:hAnsi="AAA GoldenLotus" w:cs="DanaFajr" w:hint="cs"/>
          <w:sz w:val="28"/>
          <w:szCs w:val="28"/>
          <w:rtl/>
        </w:rPr>
        <w:t xml:space="preserve">في </w:t>
      </w:r>
      <w:r w:rsidRPr="00282AC9">
        <w:rPr>
          <w:rFonts w:ascii="AAA GoldenLotus" w:hAnsi="AAA GoldenLotus" w:cs="DanaFajr"/>
          <w:sz w:val="28"/>
          <w:szCs w:val="28"/>
          <w:rtl/>
        </w:rPr>
        <w:t>شرح سنن أبي دا</w:t>
      </w:r>
      <w:r w:rsidRPr="00282AC9">
        <w:rPr>
          <w:rFonts w:ascii="AAA GoldenLotus" w:hAnsi="AAA GoldenLotus" w:cs="DanaFajr" w:hint="cs"/>
          <w:sz w:val="28"/>
          <w:szCs w:val="28"/>
          <w:rtl/>
        </w:rPr>
        <w:t>وو</w:t>
      </w:r>
      <w:r w:rsidRPr="00282AC9">
        <w:rPr>
          <w:rFonts w:ascii="AAA GoldenLotus" w:hAnsi="AAA GoldenLotus" w:cs="DanaFajr"/>
          <w:sz w:val="28"/>
          <w:szCs w:val="28"/>
          <w:rtl/>
        </w:rPr>
        <w:t>د 1: 275</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وعمر بن علي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بن الملقن الشافعي، التوضيح لشرح الجامع الصحيح 4: 640</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ومحمد بن أبي بكر بن قي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م الجوزية، إعلام الموقعين 1: 154. </w:t>
      </w:r>
    </w:p>
  </w:endnote>
  <w:endnote w:id="370">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انظر: محمد بن أحمد بن النجار الحنبلي، مختصر التحرير شرح الكوكب المنير 3: 250 ـ 251. </w:t>
      </w:r>
    </w:p>
  </w:endnote>
  <w:endnote w:id="371">
    <w:p w:rsidR="00C14EDE" w:rsidRPr="00282AC9" w:rsidRDefault="00C14EDE" w:rsidP="009C287D">
      <w:pPr>
        <w:pStyle w:val="af7"/>
        <w:spacing w:line="296" w:lineRule="exact"/>
        <w:ind w:firstLine="0"/>
        <w:rPr>
          <w:rFonts w:ascii="AAA GoldenLotus" w:hAnsi="AAA GoldenLotus" w:cs="DanaFajr"/>
          <w:sz w:val="28"/>
          <w:szCs w:val="28"/>
          <w:lang w:bidi="ar-IQ"/>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محمد بن محمد بن أمير حاج، التقرير والتحبير 1: 189</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ومحمد بن عبد الرحيم الهندي، نهاية الوصول في دراية الأصول 1: 285</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w:t>
      </w:r>
      <w:r w:rsidRPr="00282AC9">
        <w:rPr>
          <w:rFonts w:ascii="AAA GoldenLotus" w:hAnsi="AAA GoldenLotus" w:cs="DanaFajr" w:hint="cs"/>
          <w:sz w:val="28"/>
          <w:szCs w:val="28"/>
          <w:rtl/>
        </w:rPr>
        <w:t>و</w:t>
      </w:r>
      <w:r w:rsidRPr="00282AC9">
        <w:rPr>
          <w:rFonts w:ascii="AAA GoldenLotus" w:hAnsi="AAA GoldenLotus" w:cs="DanaFajr"/>
          <w:sz w:val="28"/>
          <w:szCs w:val="28"/>
          <w:rtl/>
        </w:rPr>
        <w:t>انظر: عبد الرحمن الإيجي، شرح مختصر المنتهى الأصولي 2</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102.  </w:t>
      </w:r>
      <w:r w:rsidRPr="00282AC9">
        <w:rPr>
          <w:rFonts w:ascii="AAA GoldenLotus" w:hAnsi="AAA GoldenLotus" w:cs="DanaFajr"/>
          <w:sz w:val="28"/>
          <w:szCs w:val="28"/>
          <w:rtl/>
          <w:lang w:bidi="ar-IQ"/>
        </w:rPr>
        <w:t xml:space="preserve"> </w:t>
      </w:r>
    </w:p>
  </w:endnote>
  <w:endnote w:id="372">
    <w:p w:rsidR="00C14EDE" w:rsidRPr="00282AC9" w:rsidRDefault="00C14EDE" w:rsidP="009C287D">
      <w:pPr>
        <w:pStyle w:val="af7"/>
        <w:spacing w:line="296" w:lineRule="exact"/>
        <w:ind w:firstLine="0"/>
        <w:rPr>
          <w:rFonts w:ascii="AAA GoldenLotus" w:hAnsi="AAA GoldenLotus" w:cs="DanaFajr"/>
          <w:sz w:val="28"/>
          <w:szCs w:val="28"/>
          <w:rtl/>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مالك بن أنس الأصبحي المدني، الموط</w:t>
      </w:r>
      <w:r w:rsidRPr="00282AC9">
        <w:rPr>
          <w:rFonts w:ascii="AAA GoldenLotus" w:hAnsi="AAA GoldenLotus" w:cs="DanaFajr" w:hint="cs"/>
          <w:sz w:val="28"/>
          <w:szCs w:val="28"/>
          <w:rtl/>
        </w:rPr>
        <w:t>ّ</w:t>
      </w:r>
      <w:r w:rsidRPr="00282AC9">
        <w:rPr>
          <w:rFonts w:ascii="AAA GoldenLotus" w:hAnsi="AAA GoldenLotus" w:cs="DanaFajr"/>
          <w:sz w:val="28"/>
          <w:szCs w:val="28"/>
          <w:rtl/>
        </w:rPr>
        <w:t>أ 2: 624</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ح23</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ومحمد بن إسماعيل البخاري، صحيح البخاري 3: 73</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ح2171</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ومسلم بن الحج</w:t>
      </w:r>
      <w:r w:rsidRPr="00282AC9">
        <w:rPr>
          <w:rFonts w:ascii="AAA GoldenLotus" w:hAnsi="AAA GoldenLotus" w:cs="DanaFajr" w:hint="cs"/>
          <w:sz w:val="28"/>
          <w:szCs w:val="28"/>
          <w:rtl/>
        </w:rPr>
        <w:t>ّ</w:t>
      </w:r>
      <w:r w:rsidRPr="00282AC9">
        <w:rPr>
          <w:rFonts w:ascii="AAA GoldenLotus" w:hAnsi="AAA GoldenLotus" w:cs="DanaFajr"/>
          <w:sz w:val="28"/>
          <w:szCs w:val="28"/>
          <w:rtl/>
        </w:rPr>
        <w:t>اج النيسابوري، صحيح مسلم 3: 1171</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ح1542.</w:t>
      </w:r>
    </w:p>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والمزابنة: بيع التمر بالرطب ك</w:t>
      </w:r>
      <w:r w:rsidRPr="00282AC9">
        <w:rPr>
          <w:rFonts w:ascii="AAA GoldenLotus" w:hAnsi="AAA GoldenLotus" w:cs="DanaFajr" w:hint="cs"/>
          <w:sz w:val="28"/>
          <w:szCs w:val="28"/>
          <w:rtl/>
        </w:rPr>
        <w:t>َ</w:t>
      </w:r>
      <w:r w:rsidRPr="00282AC9">
        <w:rPr>
          <w:rFonts w:ascii="AAA GoldenLotus" w:hAnsi="AAA GoldenLotus" w:cs="DanaFajr"/>
          <w:sz w:val="28"/>
          <w:szCs w:val="28"/>
          <w:rtl/>
        </w:rPr>
        <w:t>ي</w:t>
      </w:r>
      <w:r w:rsidRPr="00282AC9">
        <w:rPr>
          <w:rFonts w:ascii="AAA GoldenLotus" w:hAnsi="AAA GoldenLotus" w:cs="DanaFajr" w:hint="cs"/>
          <w:sz w:val="28"/>
          <w:szCs w:val="28"/>
          <w:rtl/>
        </w:rPr>
        <w:t>ْ</w:t>
      </w:r>
      <w:r w:rsidRPr="00282AC9">
        <w:rPr>
          <w:rFonts w:ascii="AAA GoldenLotus" w:hAnsi="AAA GoldenLotus" w:cs="DanaFajr"/>
          <w:sz w:val="28"/>
          <w:szCs w:val="28"/>
          <w:rtl/>
        </w:rPr>
        <w:t>لاً، وبيع الكرم بالزبيب ك</w:t>
      </w:r>
      <w:r w:rsidRPr="00282AC9">
        <w:rPr>
          <w:rFonts w:ascii="AAA GoldenLotus" w:hAnsi="AAA GoldenLotus" w:cs="DanaFajr" w:hint="cs"/>
          <w:sz w:val="28"/>
          <w:szCs w:val="28"/>
          <w:rtl/>
        </w:rPr>
        <w:t>َ</w:t>
      </w:r>
      <w:r w:rsidRPr="00282AC9">
        <w:rPr>
          <w:rFonts w:ascii="AAA GoldenLotus" w:hAnsi="AAA GoldenLotus" w:cs="DanaFajr"/>
          <w:sz w:val="28"/>
          <w:szCs w:val="28"/>
          <w:rtl/>
        </w:rPr>
        <w:t>ي</w:t>
      </w:r>
      <w:r w:rsidRPr="00282AC9">
        <w:rPr>
          <w:rFonts w:ascii="AAA GoldenLotus" w:hAnsi="AAA GoldenLotus" w:cs="DanaFajr" w:hint="cs"/>
          <w:sz w:val="28"/>
          <w:szCs w:val="28"/>
          <w:rtl/>
        </w:rPr>
        <w:t>ْ</w:t>
      </w:r>
      <w:r w:rsidRPr="00282AC9">
        <w:rPr>
          <w:rFonts w:ascii="AAA GoldenLotus" w:hAnsi="AAA GoldenLotus" w:cs="DanaFajr"/>
          <w:sz w:val="28"/>
          <w:szCs w:val="28"/>
          <w:rtl/>
        </w:rPr>
        <w:t>لاً. انظر: محمود عبد الرحمن عبد المنعم، معجم المصطلحات والألفاظ الفقهية</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3: 265.</w:t>
      </w:r>
    </w:p>
  </w:endnote>
  <w:endnote w:id="373">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محمد بن إسماعيل البخاري، صحيح البخاري 3: 140</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ح2496</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ومسلم بن الحج</w:t>
      </w:r>
      <w:r w:rsidRPr="00282AC9">
        <w:rPr>
          <w:rFonts w:ascii="AAA GoldenLotus" w:hAnsi="AAA GoldenLotus" w:cs="DanaFajr" w:hint="cs"/>
          <w:sz w:val="28"/>
          <w:szCs w:val="28"/>
          <w:rtl/>
        </w:rPr>
        <w:t>ّ</w:t>
      </w:r>
      <w:r w:rsidRPr="00282AC9">
        <w:rPr>
          <w:rFonts w:ascii="AAA GoldenLotus" w:hAnsi="AAA GoldenLotus" w:cs="DanaFajr"/>
          <w:sz w:val="28"/>
          <w:szCs w:val="28"/>
          <w:rtl/>
        </w:rPr>
        <w:t>اج النيسابوري، صحيح مسلم 3: 1229</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ح1608.</w:t>
      </w:r>
    </w:p>
  </w:endnote>
  <w:endnote w:id="374">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عبد الله بن أحمد بن قدامة الحنبلي، روضة الناظر وجن</w:t>
      </w:r>
      <w:r w:rsidRPr="00282AC9">
        <w:rPr>
          <w:rFonts w:ascii="AAA GoldenLotus" w:hAnsi="AAA GoldenLotus" w:cs="DanaFajr" w:hint="cs"/>
          <w:sz w:val="28"/>
          <w:szCs w:val="28"/>
          <w:rtl/>
        </w:rPr>
        <w:t>ّ</w:t>
      </w:r>
      <w:r w:rsidRPr="00282AC9">
        <w:rPr>
          <w:rFonts w:ascii="AAA GoldenLotus" w:hAnsi="AAA GoldenLotus" w:cs="DanaFajr"/>
          <w:sz w:val="28"/>
          <w:szCs w:val="28"/>
          <w:rtl/>
        </w:rPr>
        <w:t>ة المناظر 2: 42 ـ 44.</w:t>
      </w:r>
    </w:p>
  </w:endnote>
  <w:endnote w:id="375">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إبراهيم بن موسى بن محمد الشاطبي، الموافقات 2: 411</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وعلي بن أبي علي بن محمد الآمدي، الإحكام في أصول الأحكام 2: 260.</w:t>
      </w:r>
    </w:p>
  </w:endnote>
  <w:endnote w:id="376">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انظر: مجمع الفقه الإسلامي الدولي، معلمة زايد 3: 266. </w:t>
      </w:r>
    </w:p>
  </w:endnote>
  <w:endnote w:id="377">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محمد بن أبي بكر بن قي</w:t>
      </w:r>
      <w:r w:rsidRPr="00282AC9">
        <w:rPr>
          <w:rFonts w:ascii="AAA GoldenLotus" w:hAnsi="AAA GoldenLotus" w:cs="DanaFajr" w:hint="cs"/>
          <w:sz w:val="28"/>
          <w:szCs w:val="28"/>
          <w:rtl/>
        </w:rPr>
        <w:t>ِّ</w:t>
      </w:r>
      <w:r w:rsidRPr="00282AC9">
        <w:rPr>
          <w:rFonts w:ascii="AAA GoldenLotus" w:hAnsi="AAA GoldenLotus" w:cs="DanaFajr"/>
          <w:sz w:val="28"/>
          <w:szCs w:val="28"/>
          <w:rtl/>
        </w:rPr>
        <w:t>م الجوزية، أعلام الموقعين عن رب</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العالمين 2: 114. </w:t>
      </w:r>
    </w:p>
  </w:endnote>
  <w:endnote w:id="378">
    <w:p w:rsidR="00C14EDE" w:rsidRPr="00282AC9" w:rsidRDefault="00C14EDE" w:rsidP="009C287D">
      <w:pPr>
        <w:pStyle w:val="af7"/>
        <w:spacing w:line="296" w:lineRule="exact"/>
        <w:ind w:firstLine="0"/>
        <w:rPr>
          <w:rFonts w:ascii="AAA GoldenLotus" w:hAnsi="AAA GoldenLotus" w:cs="DanaFajr"/>
          <w:spacing w:val="-4"/>
          <w:sz w:val="28"/>
          <w:szCs w:val="28"/>
        </w:rPr>
      </w:pPr>
      <w:r w:rsidRPr="00282AC9">
        <w:rPr>
          <w:rFonts w:ascii="AAA GoldenLotus" w:hAnsi="AAA GoldenLotus" w:cs="DanaFajr"/>
          <w:spacing w:val="-4"/>
          <w:sz w:val="28"/>
          <w:szCs w:val="28"/>
          <w:rtl/>
        </w:rPr>
        <w:t>(</w:t>
      </w:r>
      <w:r w:rsidRPr="00282AC9">
        <w:rPr>
          <w:rFonts w:ascii="AAA GoldenLotus" w:hAnsi="AAA GoldenLotus" w:cs="DanaFajr"/>
          <w:spacing w:val="-4"/>
          <w:sz w:val="28"/>
          <w:szCs w:val="28"/>
          <w:rtl/>
        </w:rPr>
        <w:endnoteRef/>
      </w:r>
      <w:r w:rsidRPr="00282AC9">
        <w:rPr>
          <w:rFonts w:ascii="AAA GoldenLotus" w:hAnsi="AAA GoldenLotus" w:cs="DanaFajr"/>
          <w:spacing w:val="-4"/>
          <w:sz w:val="28"/>
          <w:szCs w:val="28"/>
          <w:rtl/>
        </w:rPr>
        <w:t>) انظر: السيد عبد الأعلى الموسوي السبزواري، مهذ</w:t>
      </w:r>
      <w:r w:rsidRPr="00282AC9">
        <w:rPr>
          <w:rFonts w:ascii="AAA GoldenLotus" w:hAnsi="AAA GoldenLotus" w:cs="DanaFajr" w:hint="cs"/>
          <w:spacing w:val="-4"/>
          <w:sz w:val="28"/>
          <w:szCs w:val="28"/>
          <w:rtl/>
        </w:rPr>
        <w:t>َّ</w:t>
      </w:r>
      <w:r w:rsidRPr="00282AC9">
        <w:rPr>
          <w:rFonts w:ascii="AAA GoldenLotus" w:hAnsi="AAA GoldenLotus" w:cs="DanaFajr"/>
          <w:spacing w:val="-4"/>
          <w:sz w:val="28"/>
          <w:szCs w:val="28"/>
          <w:rtl/>
        </w:rPr>
        <w:t>ب الأحكام 13: 121</w:t>
      </w:r>
      <w:r w:rsidRPr="00282AC9">
        <w:rPr>
          <w:rFonts w:ascii="AAA GoldenLotus" w:hAnsi="AAA GoldenLotus" w:cs="DanaFajr" w:hint="cs"/>
          <w:spacing w:val="-4"/>
          <w:sz w:val="28"/>
          <w:szCs w:val="28"/>
          <w:rtl/>
        </w:rPr>
        <w:t xml:space="preserve">؛ </w:t>
      </w:r>
      <w:r w:rsidRPr="00282AC9">
        <w:rPr>
          <w:rFonts w:ascii="AAA GoldenLotus" w:hAnsi="AAA GoldenLotus" w:cs="DanaFajr"/>
          <w:spacing w:val="-4"/>
          <w:sz w:val="28"/>
          <w:szCs w:val="28"/>
          <w:rtl/>
        </w:rPr>
        <w:t>والشهيد الثاني زين الدين بن علي</w:t>
      </w:r>
      <w:r w:rsidRPr="00282AC9">
        <w:rPr>
          <w:rFonts w:ascii="AAA GoldenLotus" w:hAnsi="AAA GoldenLotus" w:cs="DanaFajr" w:hint="cs"/>
          <w:spacing w:val="-4"/>
          <w:sz w:val="28"/>
          <w:szCs w:val="28"/>
          <w:rtl/>
        </w:rPr>
        <w:t>ّ</w:t>
      </w:r>
      <w:r w:rsidRPr="00282AC9">
        <w:rPr>
          <w:rFonts w:ascii="AAA GoldenLotus" w:hAnsi="AAA GoldenLotus" w:cs="DanaFajr"/>
          <w:spacing w:val="-4"/>
          <w:sz w:val="28"/>
          <w:szCs w:val="28"/>
          <w:rtl/>
        </w:rPr>
        <w:t xml:space="preserve"> العاملي، مسالك الأفهام 2: 257</w:t>
      </w:r>
      <w:r w:rsidRPr="00282AC9">
        <w:rPr>
          <w:rFonts w:ascii="AAA GoldenLotus" w:hAnsi="AAA GoldenLotus" w:cs="DanaFajr" w:hint="cs"/>
          <w:spacing w:val="-4"/>
          <w:sz w:val="28"/>
          <w:szCs w:val="28"/>
          <w:rtl/>
        </w:rPr>
        <w:t xml:space="preserve">؛ </w:t>
      </w:r>
      <w:r w:rsidRPr="00282AC9">
        <w:rPr>
          <w:rFonts w:ascii="AAA GoldenLotus" w:hAnsi="AAA GoldenLotus" w:cs="DanaFajr"/>
          <w:spacing w:val="-4"/>
          <w:sz w:val="28"/>
          <w:szCs w:val="28"/>
          <w:rtl/>
        </w:rPr>
        <w:t>ومحمد أمين بن عابدين الحنفي، رد</w:t>
      </w:r>
      <w:r w:rsidRPr="00282AC9">
        <w:rPr>
          <w:rFonts w:ascii="AAA GoldenLotus" w:hAnsi="AAA GoldenLotus" w:cs="DanaFajr" w:hint="cs"/>
          <w:spacing w:val="-4"/>
          <w:sz w:val="28"/>
          <w:szCs w:val="28"/>
          <w:rtl/>
        </w:rPr>
        <w:t>ّ</w:t>
      </w:r>
      <w:r w:rsidRPr="00282AC9">
        <w:rPr>
          <w:rFonts w:ascii="AAA GoldenLotus" w:hAnsi="AAA GoldenLotus" w:cs="DanaFajr"/>
          <w:spacing w:val="-4"/>
          <w:sz w:val="28"/>
          <w:szCs w:val="28"/>
          <w:rtl/>
        </w:rPr>
        <w:t xml:space="preserve"> المختار على الدر</w:t>
      </w:r>
      <w:r w:rsidRPr="00282AC9">
        <w:rPr>
          <w:rFonts w:ascii="AAA GoldenLotus" w:hAnsi="AAA GoldenLotus" w:cs="DanaFajr" w:hint="cs"/>
          <w:spacing w:val="-4"/>
          <w:sz w:val="28"/>
          <w:szCs w:val="28"/>
          <w:rtl/>
        </w:rPr>
        <w:t>ّ</w:t>
      </w:r>
      <w:r w:rsidRPr="00282AC9">
        <w:rPr>
          <w:rFonts w:ascii="AAA GoldenLotus" w:hAnsi="AAA GoldenLotus" w:cs="DanaFajr"/>
          <w:spacing w:val="-4"/>
          <w:sz w:val="28"/>
          <w:szCs w:val="28"/>
          <w:rtl/>
        </w:rPr>
        <w:t xml:space="preserve"> المختار 2: 481.</w:t>
      </w:r>
    </w:p>
  </w:endnote>
  <w:endnote w:id="379">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العلا</w:t>
      </w:r>
      <w:r w:rsidRPr="00282AC9">
        <w:rPr>
          <w:rFonts w:ascii="AAA GoldenLotus" w:hAnsi="AAA GoldenLotus" w:cs="DanaFajr" w:hint="cs"/>
          <w:sz w:val="28"/>
          <w:szCs w:val="28"/>
          <w:rtl/>
        </w:rPr>
        <w:t>ّ</w:t>
      </w:r>
      <w:r w:rsidRPr="00282AC9">
        <w:rPr>
          <w:rFonts w:ascii="AAA GoldenLotus" w:hAnsi="AAA GoldenLotus" w:cs="DanaFajr"/>
          <w:sz w:val="28"/>
          <w:szCs w:val="28"/>
          <w:rtl/>
        </w:rPr>
        <w:t>مة الحسن بن يوسف الحل</w:t>
      </w:r>
      <w:r w:rsidRPr="00282AC9">
        <w:rPr>
          <w:rFonts w:ascii="AAA GoldenLotus" w:hAnsi="AAA GoldenLotus" w:cs="DanaFajr" w:hint="cs"/>
          <w:sz w:val="28"/>
          <w:szCs w:val="28"/>
          <w:rtl/>
        </w:rPr>
        <w:t>ّ</w:t>
      </w:r>
      <w:r w:rsidRPr="00282AC9">
        <w:rPr>
          <w:rFonts w:ascii="AAA GoldenLotus" w:hAnsi="AAA GoldenLotus" w:cs="DanaFajr"/>
          <w:sz w:val="28"/>
          <w:szCs w:val="28"/>
          <w:rtl/>
        </w:rPr>
        <w:t>ي، منتهى المطلب في تحقيق المذهب 10: 259</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12: 19. والشهيد الثاني زين الدين بن علي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العاملي، مسالك الأفهام 2: 270.</w:t>
      </w:r>
    </w:p>
  </w:endnote>
  <w:endnote w:id="380">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محمد بن الحسن الطوسي، تهذيب الأحكام 5: 69</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ح227</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ومحمد بن الحسن الح</w:t>
      </w:r>
      <w:r w:rsidRPr="00282AC9">
        <w:rPr>
          <w:rFonts w:ascii="AAA GoldenLotus" w:hAnsi="AAA GoldenLotus" w:cs="DanaFajr" w:hint="cs"/>
          <w:sz w:val="28"/>
          <w:szCs w:val="28"/>
          <w:rtl/>
        </w:rPr>
        <w:t>ُ</w:t>
      </w:r>
      <w:r w:rsidRPr="00282AC9">
        <w:rPr>
          <w:rFonts w:ascii="AAA GoldenLotus" w:hAnsi="AAA GoldenLotus" w:cs="DanaFajr"/>
          <w:sz w:val="28"/>
          <w:szCs w:val="28"/>
          <w:rtl/>
        </w:rPr>
        <w:t>ر</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العاملي، وسائل الشيعة 12: 500</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ح1. </w:t>
      </w:r>
    </w:p>
  </w:endnote>
  <w:endnote w:id="381">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محمد بن الحسن الطوسي، تهذيب الأحكام 5: 74</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ح246</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ومحمد بن الحسن الح</w:t>
      </w:r>
      <w:r w:rsidRPr="00282AC9">
        <w:rPr>
          <w:rFonts w:ascii="AAA GoldenLotus" w:hAnsi="AAA GoldenLotus" w:cs="DanaFajr" w:hint="cs"/>
          <w:sz w:val="28"/>
          <w:szCs w:val="28"/>
          <w:rtl/>
        </w:rPr>
        <w:t>ُ</w:t>
      </w:r>
      <w:r w:rsidRPr="00282AC9">
        <w:rPr>
          <w:rFonts w:ascii="AAA GoldenLotus" w:hAnsi="AAA GoldenLotus" w:cs="DanaFajr"/>
          <w:sz w:val="28"/>
          <w:szCs w:val="28"/>
          <w:rtl/>
        </w:rPr>
        <w:t>ر</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العاملي، وسائل الشيعة 12: 366</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ح1. </w:t>
      </w:r>
    </w:p>
  </w:endnote>
  <w:endnote w:id="382">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محمد بن علي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بن بابويه الصدوق، م</w:t>
      </w:r>
      <w:r w:rsidRPr="00282AC9">
        <w:rPr>
          <w:rFonts w:ascii="AAA GoldenLotus" w:hAnsi="AAA GoldenLotus" w:cs="DanaFajr" w:hint="cs"/>
          <w:sz w:val="28"/>
          <w:szCs w:val="28"/>
          <w:rtl/>
        </w:rPr>
        <w:t>َ</w:t>
      </w:r>
      <w:r w:rsidRPr="00282AC9">
        <w:rPr>
          <w:rFonts w:ascii="AAA GoldenLotus" w:hAnsi="AAA GoldenLotus" w:cs="DanaFajr"/>
          <w:sz w:val="28"/>
          <w:szCs w:val="28"/>
          <w:rtl/>
        </w:rPr>
        <w:t>ن</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لا يحضره الفقيه 2: 334</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ح2595</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ومحمد بن الحسن الح</w:t>
      </w:r>
      <w:r w:rsidRPr="00282AC9">
        <w:rPr>
          <w:rFonts w:ascii="AAA GoldenLotus" w:hAnsi="AAA GoldenLotus" w:cs="DanaFajr" w:hint="cs"/>
          <w:sz w:val="28"/>
          <w:szCs w:val="28"/>
          <w:rtl/>
        </w:rPr>
        <w:t>ُ</w:t>
      </w:r>
      <w:r w:rsidRPr="00282AC9">
        <w:rPr>
          <w:rFonts w:ascii="AAA GoldenLotus" w:hAnsi="AAA GoldenLotus" w:cs="DanaFajr"/>
          <w:sz w:val="28"/>
          <w:szCs w:val="28"/>
          <w:rtl/>
        </w:rPr>
        <w:t>ر</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العاملي، وسائل الشيعة 12: 359</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ح1. </w:t>
      </w:r>
    </w:p>
  </w:endnote>
  <w:endnote w:id="383">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محمد بن إبراهيم بن المنذر النيسابوري، الإجماع: 53</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ويحيى بن شرف النووي، المجموع 7: 261</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وأحمد بن محمد بن قدامة، المغني 3: 303. </w:t>
      </w:r>
    </w:p>
  </w:endnote>
  <w:endnote w:id="384">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محمد بن </w:t>
      </w:r>
      <w:r w:rsidRPr="00282AC9">
        <w:rPr>
          <w:rFonts w:ascii="AAA GoldenLotus" w:hAnsi="AAA GoldenLotus" w:cs="DanaFajr" w:hint="cs"/>
          <w:sz w:val="28"/>
          <w:szCs w:val="28"/>
          <w:rtl/>
        </w:rPr>
        <w:t>إ</w:t>
      </w:r>
      <w:r w:rsidRPr="00282AC9">
        <w:rPr>
          <w:rFonts w:ascii="AAA GoldenLotus" w:hAnsi="AAA GoldenLotus" w:cs="DanaFajr"/>
          <w:sz w:val="28"/>
          <w:szCs w:val="28"/>
          <w:rtl/>
        </w:rPr>
        <w:t>سماعيل البخاري، صحيح البخاري 1: 39</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ح134</w:t>
      </w:r>
      <w:r w:rsidRPr="00282AC9">
        <w:rPr>
          <w:rFonts w:ascii="AAA GoldenLotus" w:hAnsi="AAA GoldenLotus" w:cs="DanaFajr" w:hint="cs"/>
          <w:sz w:val="28"/>
          <w:szCs w:val="28"/>
          <w:rtl/>
        </w:rPr>
        <w:t>؛ و</w:t>
      </w:r>
      <w:r w:rsidRPr="00282AC9">
        <w:rPr>
          <w:rFonts w:ascii="AAA GoldenLotus" w:hAnsi="AAA GoldenLotus" w:cs="DanaFajr"/>
          <w:sz w:val="28"/>
          <w:szCs w:val="28"/>
          <w:rtl/>
        </w:rPr>
        <w:t>مسلم بن الحج</w:t>
      </w:r>
      <w:r w:rsidRPr="00282AC9">
        <w:rPr>
          <w:rFonts w:ascii="AAA GoldenLotus" w:hAnsi="AAA GoldenLotus" w:cs="DanaFajr" w:hint="cs"/>
          <w:sz w:val="28"/>
          <w:szCs w:val="28"/>
          <w:rtl/>
        </w:rPr>
        <w:t>ّ</w:t>
      </w:r>
      <w:r w:rsidRPr="00282AC9">
        <w:rPr>
          <w:rFonts w:ascii="AAA GoldenLotus" w:hAnsi="AAA GoldenLotus" w:cs="DanaFajr"/>
          <w:sz w:val="28"/>
          <w:szCs w:val="28"/>
          <w:rtl/>
        </w:rPr>
        <w:t>اج النيسابوري، صحيح مسلم 2: 835</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ح1177. </w:t>
      </w:r>
    </w:p>
  </w:endnote>
  <w:endnote w:id="385">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أبو بكر بن مسعود الكاساني</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بدائع الصنائع 2: 186.</w:t>
      </w:r>
    </w:p>
  </w:endnote>
  <w:endnote w:id="386">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سليمان بن الأشعث السجستاني، سنن </w:t>
      </w:r>
      <w:r w:rsidRPr="00282AC9">
        <w:rPr>
          <w:rFonts w:ascii="AAA GoldenLotus" w:hAnsi="AAA GoldenLotus" w:cs="DanaFajr" w:hint="cs"/>
          <w:sz w:val="28"/>
          <w:szCs w:val="28"/>
          <w:rtl/>
        </w:rPr>
        <w:t>أ</w:t>
      </w:r>
      <w:r w:rsidRPr="00282AC9">
        <w:rPr>
          <w:rFonts w:ascii="AAA GoldenLotus" w:hAnsi="AAA GoldenLotus" w:cs="DanaFajr"/>
          <w:sz w:val="28"/>
          <w:szCs w:val="28"/>
          <w:rtl/>
        </w:rPr>
        <w:t xml:space="preserve">بي داوود 2: 166، ح1827. </w:t>
      </w:r>
    </w:p>
  </w:endnote>
  <w:endnote w:id="387">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أحمد بن الحسين البيهقي، السنن الكبرى 5: 75</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ح9050.</w:t>
      </w:r>
    </w:p>
  </w:endnote>
  <w:endnote w:id="388">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منى خالد محمد علي</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مك</w:t>
      </w:r>
      <w:r w:rsidRPr="00282AC9">
        <w:rPr>
          <w:rFonts w:ascii="AAA GoldenLotus" w:hAnsi="AAA GoldenLotus" w:cs="DanaFajr" w:hint="cs"/>
          <w:sz w:val="28"/>
          <w:szCs w:val="28"/>
          <w:rtl/>
        </w:rPr>
        <w:t>ّ</w:t>
      </w:r>
      <w:r w:rsidRPr="00282AC9">
        <w:rPr>
          <w:rFonts w:ascii="AAA GoldenLotus" w:hAnsi="AAA GoldenLotus" w:cs="DanaFajr"/>
          <w:sz w:val="28"/>
          <w:szCs w:val="28"/>
          <w:rtl/>
        </w:rPr>
        <w:t>ي، ميراث المرأة في الإسلام والشبهات المثارة حوله والرد</w:t>
      </w:r>
      <w:r w:rsidRPr="00282AC9">
        <w:rPr>
          <w:rFonts w:ascii="AAA GoldenLotus" w:hAnsi="AAA GoldenLotus" w:cs="DanaFajr" w:hint="cs"/>
          <w:sz w:val="28"/>
          <w:szCs w:val="28"/>
          <w:rtl/>
        </w:rPr>
        <w:t>ّ</w:t>
      </w:r>
      <w:r w:rsidRPr="00282AC9">
        <w:rPr>
          <w:rFonts w:ascii="AAA GoldenLotus" w:hAnsi="AAA GoldenLotus" w:cs="DanaFajr"/>
          <w:sz w:val="28"/>
          <w:szCs w:val="28"/>
          <w:rtl/>
        </w:rPr>
        <w:t xml:space="preserve"> عليها: 166. </w:t>
      </w:r>
    </w:p>
  </w:endnote>
  <w:endnote w:id="389">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انظر: الشيخ محمد الجواهري، معجم طبقات الإرث 1: 54</w:t>
      </w:r>
      <w:r w:rsidRPr="00282AC9">
        <w:rPr>
          <w:rFonts w:ascii="AAA GoldenLotus" w:hAnsi="AAA GoldenLotus" w:cs="DanaFajr" w:hint="cs"/>
          <w:sz w:val="28"/>
          <w:szCs w:val="28"/>
          <w:rtl/>
        </w:rPr>
        <w:t xml:space="preserve">؛ </w:t>
      </w:r>
      <w:r w:rsidRPr="00282AC9">
        <w:rPr>
          <w:rFonts w:ascii="AAA GoldenLotus" w:hAnsi="AAA GoldenLotus" w:cs="DanaFajr"/>
          <w:sz w:val="28"/>
          <w:szCs w:val="28"/>
          <w:rtl/>
        </w:rPr>
        <w:t xml:space="preserve">وعثمان بن علي الزيعلي الحنفي، تبيين الحقائق </w:t>
      </w:r>
      <w:r w:rsidRPr="00282AC9">
        <w:rPr>
          <w:rFonts w:ascii="AAA GoldenLotus" w:hAnsi="AAA GoldenLotus" w:cs="DanaFajr" w:hint="cs"/>
          <w:sz w:val="28"/>
          <w:szCs w:val="28"/>
          <w:rtl/>
        </w:rPr>
        <w:t xml:space="preserve">في </w:t>
      </w:r>
      <w:r w:rsidRPr="00282AC9">
        <w:rPr>
          <w:rFonts w:ascii="AAA GoldenLotus" w:hAnsi="AAA GoldenLotus" w:cs="DanaFajr"/>
          <w:sz w:val="28"/>
          <w:szCs w:val="28"/>
          <w:rtl/>
        </w:rPr>
        <w:t>شرح كن</w:t>
      </w:r>
      <w:r w:rsidRPr="00282AC9">
        <w:rPr>
          <w:rFonts w:ascii="AAA GoldenLotus" w:hAnsi="AAA GoldenLotus" w:cs="DanaFajr" w:hint="cs"/>
          <w:sz w:val="28"/>
          <w:szCs w:val="28"/>
          <w:rtl/>
        </w:rPr>
        <w:t>ـ</w:t>
      </w:r>
      <w:r w:rsidRPr="00282AC9">
        <w:rPr>
          <w:rFonts w:ascii="AAA GoldenLotus" w:hAnsi="AAA GoldenLotus" w:cs="DanaFajr"/>
          <w:sz w:val="28"/>
          <w:szCs w:val="28"/>
          <w:rtl/>
        </w:rPr>
        <w:t>ز الدقائق وحاشية الشِّلْب</w:t>
      </w:r>
      <w:r w:rsidRPr="00282AC9">
        <w:rPr>
          <w:rFonts w:ascii="AAA GoldenLotus" w:hAnsi="AAA GoldenLotus" w:cs="DanaFajr" w:hint="cs"/>
          <w:sz w:val="28"/>
          <w:szCs w:val="28"/>
          <w:rtl/>
        </w:rPr>
        <w:t>ي</w:t>
      </w:r>
      <w:r w:rsidRPr="00282AC9">
        <w:rPr>
          <w:rFonts w:ascii="AAA GoldenLotus" w:hAnsi="AAA GoldenLotus" w:cs="DanaFajr"/>
          <w:sz w:val="28"/>
          <w:szCs w:val="28"/>
          <w:rtl/>
        </w:rPr>
        <w:t xml:space="preserve"> 6: 234. </w:t>
      </w:r>
    </w:p>
  </w:endnote>
  <w:endnote w:id="390">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xml:space="preserve">) انظر: عثمان بن علي الزيعلي الحنفي، تبيين الحقائق </w:t>
      </w:r>
      <w:r w:rsidRPr="00282AC9">
        <w:rPr>
          <w:rFonts w:ascii="AAA GoldenLotus" w:hAnsi="AAA GoldenLotus" w:cs="DanaFajr" w:hint="cs"/>
          <w:sz w:val="28"/>
          <w:szCs w:val="28"/>
          <w:rtl/>
        </w:rPr>
        <w:t xml:space="preserve">في </w:t>
      </w:r>
      <w:r w:rsidRPr="00282AC9">
        <w:rPr>
          <w:rFonts w:ascii="AAA GoldenLotus" w:hAnsi="AAA GoldenLotus" w:cs="DanaFajr"/>
          <w:sz w:val="28"/>
          <w:szCs w:val="28"/>
          <w:rtl/>
        </w:rPr>
        <w:t>شرح كن</w:t>
      </w:r>
      <w:r w:rsidRPr="00282AC9">
        <w:rPr>
          <w:rFonts w:ascii="AAA GoldenLotus" w:hAnsi="AAA GoldenLotus" w:cs="DanaFajr" w:hint="cs"/>
          <w:sz w:val="28"/>
          <w:szCs w:val="28"/>
          <w:rtl/>
        </w:rPr>
        <w:t>ـ</w:t>
      </w:r>
      <w:r w:rsidRPr="00282AC9">
        <w:rPr>
          <w:rFonts w:ascii="AAA GoldenLotus" w:hAnsi="AAA GoldenLotus" w:cs="DanaFajr"/>
          <w:sz w:val="28"/>
          <w:szCs w:val="28"/>
          <w:rtl/>
        </w:rPr>
        <w:t>ز الدقائق 6: 238.</w:t>
      </w:r>
    </w:p>
  </w:endnote>
  <w:endnote w:id="391">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مير عبد الفتاح الحسيني المراغي، العناوين الفقهية 1: 29.</w:t>
      </w:r>
    </w:p>
  </w:endnote>
  <w:endnote w:id="392">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انظر: محمد فاضل اللنكراني، القواعد الفقهية 1: 308.</w:t>
      </w:r>
    </w:p>
  </w:endnote>
  <w:endnote w:id="393">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انظر: محمد حسن الموسوي البجنوردي، القواعد الفقهية 2: 62.</w:t>
      </w:r>
    </w:p>
  </w:endnote>
  <w:endnote w:id="394">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انظر: محمد صدقي آل بورنو، موسوعة القواعد الفقهية 1: 22.</w:t>
      </w:r>
    </w:p>
  </w:endnote>
  <w:endnote w:id="395">
    <w:p w:rsidR="00C14EDE" w:rsidRPr="00282AC9" w:rsidRDefault="00C14EDE" w:rsidP="009C287D">
      <w:pPr>
        <w:pStyle w:val="af7"/>
        <w:spacing w:line="296" w:lineRule="exact"/>
        <w:ind w:firstLine="0"/>
        <w:rPr>
          <w:rFonts w:ascii="AAA GoldenLotus" w:hAnsi="AAA GoldenLotus" w:cs="DanaFajr"/>
          <w:sz w:val="28"/>
          <w:szCs w:val="28"/>
        </w:rPr>
      </w:pPr>
      <w:r w:rsidRPr="00282AC9">
        <w:rPr>
          <w:rFonts w:ascii="AAA GoldenLotus" w:hAnsi="AAA GoldenLotus" w:cs="DanaFajr"/>
          <w:sz w:val="28"/>
          <w:szCs w:val="28"/>
          <w:rtl/>
        </w:rPr>
        <w:t>(</w:t>
      </w:r>
      <w:r w:rsidRPr="00282AC9">
        <w:rPr>
          <w:rFonts w:ascii="AAA GoldenLotus" w:hAnsi="AAA GoldenLotus" w:cs="DanaFajr"/>
          <w:sz w:val="28"/>
          <w:szCs w:val="28"/>
          <w:rtl/>
        </w:rPr>
        <w:endnoteRef/>
      </w:r>
      <w:r w:rsidRPr="00282AC9">
        <w:rPr>
          <w:rFonts w:ascii="AAA GoldenLotus" w:hAnsi="AAA GoldenLotus" w:cs="DanaFajr"/>
          <w:sz w:val="28"/>
          <w:szCs w:val="28"/>
          <w:rtl/>
        </w:rPr>
        <w:t>) إبراهيم بن موسى بن محمد الشاطبي، الموافقات 2: 84.</w:t>
      </w:r>
    </w:p>
  </w:endnote>
  <w:endnote w:id="396">
    <w:p w:rsidR="00C14EDE" w:rsidRPr="00282AC9" w:rsidRDefault="00C14EDE" w:rsidP="009C287D">
      <w:pPr>
        <w:spacing w:line="296" w:lineRule="exact"/>
        <w:ind w:firstLine="0"/>
        <w:rPr>
          <w:rFonts w:ascii="AAA GoldenLotus" w:hAnsi="AAA GoldenLotus" w:cs="DanaFajr"/>
          <w:szCs w:val="28"/>
          <w:rtl/>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انظر: محمد حسين الطباطبائي، الميزان في تفسير القرآن 15: 81.</w:t>
      </w:r>
    </w:p>
  </w:endnote>
  <w:endnote w:id="397">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انظر: أبو بكر بن مسعود الكاساني، بدائع الصنائع في ترتيب الشرائع 7: 40</w:t>
      </w:r>
      <w:r w:rsidRPr="00282AC9">
        <w:rPr>
          <w:rFonts w:ascii="AAA GoldenLotus" w:hAnsi="AAA GoldenLotus" w:cs="DanaFajr" w:hint="cs"/>
          <w:szCs w:val="28"/>
          <w:rtl/>
        </w:rPr>
        <w:t>؛</w:t>
      </w:r>
      <w:r w:rsidRPr="00282AC9">
        <w:rPr>
          <w:rFonts w:ascii="AAA GoldenLotus" w:hAnsi="AAA GoldenLotus" w:cs="DanaFajr"/>
          <w:szCs w:val="28"/>
          <w:rtl/>
        </w:rPr>
        <w:t xml:space="preserve"> وإسماعيل بن عمرو بن كثير القرشي، تفسير القرآن العظيم (</w:t>
      </w:r>
      <w:r w:rsidRPr="00282AC9">
        <w:rPr>
          <w:rFonts w:ascii="AAA GoldenLotus" w:hAnsi="AAA GoldenLotus" w:cs="DanaFajr" w:hint="cs"/>
          <w:szCs w:val="28"/>
          <w:rtl/>
        </w:rPr>
        <w:t xml:space="preserve">تفسير </w:t>
      </w:r>
      <w:r w:rsidRPr="00282AC9">
        <w:rPr>
          <w:rFonts w:ascii="AAA GoldenLotus" w:hAnsi="AAA GoldenLotus" w:cs="DanaFajr"/>
          <w:szCs w:val="28"/>
          <w:rtl/>
        </w:rPr>
        <w:t xml:space="preserve">ابن كثير) 6: 10. </w:t>
      </w:r>
    </w:p>
  </w:endnote>
  <w:endnote w:id="398">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محمد بن يعقوب الكليني، الكافي ٥: ١٦٥</w:t>
      </w:r>
      <w:r w:rsidRPr="00282AC9">
        <w:rPr>
          <w:rFonts w:ascii="AAA GoldenLotus" w:hAnsi="AAA GoldenLotus" w:cs="DanaFajr" w:hint="cs"/>
          <w:szCs w:val="28"/>
          <w:rtl/>
        </w:rPr>
        <w:t xml:space="preserve">، </w:t>
      </w:r>
      <w:r w:rsidRPr="00282AC9">
        <w:rPr>
          <w:rFonts w:ascii="AAA GoldenLotus" w:hAnsi="AAA GoldenLotus" w:cs="DanaFajr"/>
          <w:szCs w:val="28"/>
          <w:rtl/>
        </w:rPr>
        <w:t>ح4</w:t>
      </w:r>
      <w:r w:rsidRPr="00282AC9">
        <w:rPr>
          <w:rFonts w:ascii="AAA GoldenLotus" w:hAnsi="AAA GoldenLotus" w:cs="DanaFajr" w:hint="cs"/>
          <w:szCs w:val="28"/>
          <w:rtl/>
        </w:rPr>
        <w:t xml:space="preserve">؛ </w:t>
      </w:r>
      <w:r w:rsidRPr="00282AC9">
        <w:rPr>
          <w:rFonts w:ascii="AAA GoldenLotus" w:hAnsi="AAA GoldenLotus" w:cs="DanaFajr"/>
          <w:szCs w:val="28"/>
          <w:rtl/>
        </w:rPr>
        <w:t>ومحمد بن الحسن الح</w:t>
      </w:r>
      <w:r w:rsidRPr="00282AC9">
        <w:rPr>
          <w:rFonts w:ascii="AAA GoldenLotus" w:hAnsi="AAA GoldenLotus" w:cs="DanaFajr" w:hint="cs"/>
          <w:szCs w:val="28"/>
          <w:rtl/>
        </w:rPr>
        <w:t>ُ</w:t>
      </w:r>
      <w:r w:rsidRPr="00282AC9">
        <w:rPr>
          <w:rFonts w:ascii="AAA GoldenLotus" w:hAnsi="AAA GoldenLotus" w:cs="DanaFajr"/>
          <w:szCs w:val="28"/>
          <w:rtl/>
        </w:rPr>
        <w:t>ر</w:t>
      </w:r>
      <w:r w:rsidRPr="00282AC9">
        <w:rPr>
          <w:rFonts w:ascii="AAA GoldenLotus" w:hAnsi="AAA GoldenLotus" w:cs="DanaFajr" w:hint="cs"/>
          <w:szCs w:val="28"/>
          <w:rtl/>
        </w:rPr>
        <w:t>ّ</w:t>
      </w:r>
      <w:r w:rsidRPr="00282AC9">
        <w:rPr>
          <w:rFonts w:ascii="AAA GoldenLotus" w:hAnsi="AAA GoldenLotus" w:cs="DanaFajr"/>
          <w:szCs w:val="28"/>
          <w:rtl/>
        </w:rPr>
        <w:t xml:space="preserve"> العاملي، وسائل الشيعة 17: 428</w:t>
      </w:r>
      <w:r w:rsidRPr="00282AC9">
        <w:rPr>
          <w:rFonts w:ascii="AAA GoldenLotus" w:hAnsi="AAA GoldenLotus" w:cs="DanaFajr" w:hint="cs"/>
          <w:szCs w:val="28"/>
          <w:rtl/>
        </w:rPr>
        <w:t>،</w:t>
      </w:r>
      <w:r w:rsidRPr="00282AC9">
        <w:rPr>
          <w:rFonts w:ascii="AAA GoldenLotus" w:hAnsi="AAA GoldenLotus" w:cs="DanaFajr"/>
          <w:szCs w:val="28"/>
          <w:rtl/>
        </w:rPr>
        <w:t xml:space="preserve"> ح3.</w:t>
      </w:r>
    </w:p>
  </w:endnote>
  <w:endnote w:id="399">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xml:space="preserve">) انظر: أحمد بن محمد الأردبيلي، مجمع الفائدة والبرهان 8: 38. </w:t>
      </w:r>
    </w:p>
  </w:endnote>
  <w:endnote w:id="400">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w:t>
      </w:r>
      <w:r w:rsidRPr="00282AC9">
        <w:rPr>
          <w:rFonts w:ascii="AAA GoldenLotus" w:hAnsi="AAA GoldenLotus" w:cs="DanaFajr" w:hint="cs"/>
          <w:szCs w:val="28"/>
          <w:rtl/>
        </w:rPr>
        <w:t xml:space="preserve"> </w:t>
      </w:r>
      <w:r w:rsidRPr="00282AC9">
        <w:rPr>
          <w:rFonts w:ascii="AAA GoldenLotus" w:hAnsi="AAA GoldenLotus" w:cs="DanaFajr"/>
          <w:szCs w:val="28"/>
          <w:rtl/>
        </w:rPr>
        <w:t>عبدالله بن أحمد بن قدامة الحنبلي، المغني 4: 166.</w:t>
      </w:r>
    </w:p>
  </w:endnote>
  <w:endnote w:id="401">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w:t>
      </w:r>
      <w:r w:rsidRPr="00282AC9">
        <w:rPr>
          <w:rFonts w:ascii="AAA GoldenLotus" w:hAnsi="AAA GoldenLotus" w:cs="DanaFajr" w:hint="cs"/>
          <w:szCs w:val="28"/>
          <w:rtl/>
        </w:rPr>
        <w:t xml:space="preserve"> </w:t>
      </w:r>
      <w:r w:rsidRPr="00282AC9">
        <w:rPr>
          <w:rFonts w:ascii="AAA GoldenLotus" w:hAnsi="AAA GoldenLotus" w:cs="DanaFajr"/>
          <w:szCs w:val="28"/>
          <w:rtl/>
        </w:rPr>
        <w:t>سليمان بن الأشعث السجستاني، سنن أبي داوود 3: 217</w:t>
      </w:r>
      <w:r w:rsidRPr="00282AC9">
        <w:rPr>
          <w:rFonts w:ascii="AAA GoldenLotus" w:hAnsi="AAA GoldenLotus" w:cs="DanaFajr" w:hint="cs"/>
          <w:szCs w:val="28"/>
          <w:rtl/>
        </w:rPr>
        <w:t>،</w:t>
      </w:r>
      <w:r w:rsidRPr="00282AC9">
        <w:rPr>
          <w:rFonts w:ascii="AAA GoldenLotus" w:hAnsi="AAA GoldenLotus" w:cs="DanaFajr"/>
          <w:szCs w:val="28"/>
          <w:rtl/>
        </w:rPr>
        <w:t xml:space="preserve"> ح3447.</w:t>
      </w:r>
    </w:p>
  </w:endnote>
  <w:endnote w:id="402">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انظر: علي المشكيني الأردبيلي، مصطلحات الفقه: 475.</w:t>
      </w:r>
    </w:p>
  </w:endnote>
  <w:endnote w:id="403">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انظر: محمد صادق الروحاني، فقه الصادق 25: 530.</w:t>
      </w:r>
    </w:p>
  </w:endnote>
  <w:endnote w:id="404">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محمد بن الحسن الطوسي، تهذيب الأحكام 10: 132</w:t>
      </w:r>
      <w:r w:rsidRPr="00282AC9">
        <w:rPr>
          <w:rFonts w:ascii="AAA GoldenLotus" w:hAnsi="AAA GoldenLotus" w:cs="DanaFajr" w:hint="cs"/>
          <w:szCs w:val="28"/>
          <w:rtl/>
        </w:rPr>
        <w:t>،</w:t>
      </w:r>
      <w:r w:rsidRPr="00282AC9">
        <w:rPr>
          <w:rFonts w:ascii="AAA GoldenLotus" w:hAnsi="AAA GoldenLotus" w:cs="DanaFajr"/>
          <w:szCs w:val="28"/>
          <w:rtl/>
        </w:rPr>
        <w:t xml:space="preserve"> ح141.</w:t>
      </w:r>
    </w:p>
  </w:endnote>
  <w:endnote w:id="405">
    <w:p w:rsidR="00C14EDE" w:rsidRPr="00282AC9" w:rsidRDefault="00C14EDE" w:rsidP="009C287D">
      <w:pPr>
        <w:spacing w:line="296" w:lineRule="exact"/>
        <w:ind w:firstLine="0"/>
        <w:rPr>
          <w:rFonts w:ascii="AAA GoldenLotus" w:hAnsi="AAA GoldenLotus" w:cs="DanaFajr"/>
          <w:szCs w:val="28"/>
        </w:rPr>
      </w:pPr>
      <w:r w:rsidRPr="00282AC9">
        <w:rPr>
          <w:rFonts w:ascii="AAA GoldenLotus" w:hAnsi="AAA GoldenLotus" w:cs="DanaFajr"/>
          <w:szCs w:val="28"/>
          <w:rtl/>
        </w:rPr>
        <w:t>(</w:t>
      </w:r>
      <w:r w:rsidRPr="00282AC9">
        <w:rPr>
          <w:rFonts w:ascii="AAA GoldenLotus" w:hAnsi="AAA GoldenLotus" w:cs="DanaFajr"/>
          <w:szCs w:val="28"/>
          <w:rtl/>
        </w:rPr>
        <w:endnoteRef/>
      </w:r>
      <w:r w:rsidRPr="00282AC9">
        <w:rPr>
          <w:rFonts w:ascii="AAA GoldenLotus" w:hAnsi="AAA GoldenLotus" w:cs="DanaFajr"/>
          <w:szCs w:val="28"/>
          <w:rtl/>
        </w:rPr>
        <w:t>) انظر: أبو بكر بن مسعود الكاساني</w:t>
      </w:r>
      <w:r w:rsidRPr="00282AC9">
        <w:rPr>
          <w:rFonts w:ascii="AAA GoldenLotus" w:hAnsi="AAA GoldenLotus" w:cs="DanaFajr" w:hint="cs"/>
          <w:szCs w:val="28"/>
          <w:rtl/>
        </w:rPr>
        <w:t>،</w:t>
      </w:r>
      <w:r w:rsidRPr="00282AC9">
        <w:rPr>
          <w:rFonts w:ascii="AAA GoldenLotus" w:hAnsi="AAA GoldenLotus" w:cs="DanaFajr"/>
          <w:szCs w:val="28"/>
          <w:rtl/>
        </w:rPr>
        <w:t xml:space="preserve"> بدائع الصنائع في ترتيب الشرائع 7: 91.</w:t>
      </w:r>
    </w:p>
  </w:endnote>
  <w:endnote w:id="40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جار الله الزمخشري، الكش</w:t>
      </w:r>
      <w:r w:rsidRPr="00282AC9">
        <w:rPr>
          <w:rFonts w:cs="DanaFajr" w:hint="cs"/>
          <w:sz w:val="28"/>
          <w:szCs w:val="28"/>
          <w:rtl/>
        </w:rPr>
        <w:t>ّ</w:t>
      </w:r>
      <w:r w:rsidRPr="00282AC9">
        <w:rPr>
          <w:rFonts w:cs="DanaFajr"/>
          <w:sz w:val="28"/>
          <w:szCs w:val="28"/>
          <w:rtl/>
        </w:rPr>
        <w:t>اف عن حقائق التن</w:t>
      </w:r>
      <w:r w:rsidRPr="00282AC9">
        <w:rPr>
          <w:rFonts w:cs="DanaFajr" w:hint="cs"/>
          <w:sz w:val="28"/>
          <w:szCs w:val="28"/>
          <w:rtl/>
        </w:rPr>
        <w:t>ـ</w:t>
      </w:r>
      <w:r w:rsidRPr="00282AC9">
        <w:rPr>
          <w:rFonts w:cs="DanaFajr"/>
          <w:sz w:val="28"/>
          <w:szCs w:val="28"/>
          <w:rtl/>
        </w:rPr>
        <w:t>زيل 2: 158، مكتبة ومطبعة مصطفى البابي الحلبي</w:t>
      </w:r>
      <w:r w:rsidRPr="00282AC9">
        <w:rPr>
          <w:rFonts w:cs="DanaFajr" w:hint="cs"/>
          <w:sz w:val="28"/>
          <w:szCs w:val="28"/>
          <w:rtl/>
        </w:rPr>
        <w:t>ّ</w:t>
      </w:r>
      <w:r w:rsidRPr="00282AC9">
        <w:rPr>
          <w:rFonts w:cs="DanaFajr"/>
          <w:sz w:val="28"/>
          <w:szCs w:val="28"/>
          <w:rtl/>
        </w:rPr>
        <w:t xml:space="preserve"> وأولاده، بمصر، 1966م</w:t>
      </w:r>
      <w:r w:rsidRPr="00282AC9">
        <w:rPr>
          <w:rFonts w:cs="DanaFajr" w:hint="cs"/>
          <w:sz w:val="28"/>
          <w:szCs w:val="28"/>
          <w:rtl/>
        </w:rPr>
        <w:t>.</w:t>
      </w:r>
    </w:p>
  </w:endnote>
  <w:endnote w:id="40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حيدر علي قلمداران</w:t>
      </w:r>
      <w:r w:rsidRPr="00282AC9">
        <w:rPr>
          <w:rFonts w:cs="DanaFajr" w:hint="cs"/>
          <w:sz w:val="28"/>
          <w:szCs w:val="28"/>
          <w:rtl/>
        </w:rPr>
        <w:t>،</w:t>
      </w:r>
      <w:r w:rsidRPr="00282AC9">
        <w:rPr>
          <w:rFonts w:cs="DanaFajr"/>
          <w:sz w:val="28"/>
          <w:szCs w:val="28"/>
          <w:rtl/>
        </w:rPr>
        <w:t xml:space="preserve"> الخمس في الكتاب والسن</w:t>
      </w:r>
      <w:r w:rsidRPr="00282AC9">
        <w:rPr>
          <w:rFonts w:cs="DanaFajr" w:hint="cs"/>
          <w:sz w:val="28"/>
          <w:szCs w:val="28"/>
          <w:rtl/>
        </w:rPr>
        <w:t>ّ</w:t>
      </w:r>
      <w:r w:rsidRPr="00282AC9">
        <w:rPr>
          <w:rFonts w:cs="DanaFajr"/>
          <w:sz w:val="28"/>
          <w:szCs w:val="28"/>
          <w:rtl/>
        </w:rPr>
        <w:t>ة، ترجمة</w:t>
      </w:r>
      <w:r w:rsidRPr="00282AC9">
        <w:rPr>
          <w:rFonts w:cs="DanaFajr" w:hint="cs"/>
          <w:sz w:val="28"/>
          <w:szCs w:val="28"/>
          <w:rtl/>
        </w:rPr>
        <w:t>:</w:t>
      </w:r>
      <w:r w:rsidRPr="00282AC9">
        <w:rPr>
          <w:rFonts w:cs="DanaFajr"/>
          <w:sz w:val="28"/>
          <w:szCs w:val="28"/>
          <w:rtl/>
        </w:rPr>
        <w:t xml:space="preserve"> سعد رستم، نسخة </w:t>
      </w:r>
      <w:r w:rsidRPr="00282AC9">
        <w:rPr>
          <w:rFonts w:cs="DanaFajr" w:hint="cs"/>
          <w:sz w:val="28"/>
          <w:szCs w:val="28"/>
          <w:rtl/>
        </w:rPr>
        <w:t>إ</w:t>
      </w:r>
      <w:r w:rsidRPr="00282AC9">
        <w:rPr>
          <w:rFonts w:cs="DanaFajr"/>
          <w:sz w:val="28"/>
          <w:szCs w:val="28"/>
          <w:rtl/>
        </w:rPr>
        <w:t>لكترونية، بدون ترقيم الصفحات</w:t>
      </w:r>
      <w:r w:rsidRPr="00282AC9">
        <w:rPr>
          <w:rFonts w:cs="DanaFajr" w:hint="cs"/>
          <w:sz w:val="28"/>
          <w:szCs w:val="28"/>
          <w:rtl/>
        </w:rPr>
        <w:t>.</w:t>
      </w:r>
    </w:p>
  </w:endnote>
  <w:endnote w:id="40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كمال الحيدري، هل لخمس أرباح المكاسب أصل</w:t>
      </w:r>
      <w:r w:rsidRPr="00282AC9">
        <w:rPr>
          <w:rFonts w:cs="DanaFajr" w:hint="cs"/>
          <w:sz w:val="28"/>
          <w:szCs w:val="28"/>
          <w:rtl/>
        </w:rPr>
        <w:t>ٌ</w:t>
      </w:r>
      <w:r w:rsidRPr="00282AC9">
        <w:rPr>
          <w:rFonts w:cs="DanaFajr"/>
          <w:sz w:val="28"/>
          <w:szCs w:val="28"/>
          <w:rtl/>
        </w:rPr>
        <w:t xml:space="preserve"> قرآني؟</w:t>
      </w:r>
      <w:r w:rsidRPr="00282AC9">
        <w:rPr>
          <w:rFonts w:cs="DanaFajr" w:hint="cs"/>
          <w:sz w:val="28"/>
          <w:szCs w:val="28"/>
          <w:rtl/>
        </w:rPr>
        <w:t xml:space="preserve">: </w:t>
      </w:r>
      <w:r w:rsidRPr="00282AC9">
        <w:rPr>
          <w:rFonts w:cs="DanaFajr"/>
          <w:sz w:val="28"/>
          <w:szCs w:val="28"/>
          <w:rtl/>
        </w:rPr>
        <w:t>39، بقلم</w:t>
      </w:r>
      <w:r w:rsidRPr="00282AC9">
        <w:rPr>
          <w:rFonts w:cs="DanaFajr" w:hint="cs"/>
          <w:sz w:val="28"/>
          <w:szCs w:val="28"/>
          <w:rtl/>
        </w:rPr>
        <w:t>:</w:t>
      </w:r>
      <w:r w:rsidRPr="00282AC9">
        <w:rPr>
          <w:rFonts w:cs="DanaFajr"/>
          <w:sz w:val="28"/>
          <w:szCs w:val="28"/>
          <w:rtl/>
        </w:rPr>
        <w:t xml:space="preserve"> ميثاق العسر، 1433هـ</w:t>
      </w:r>
      <w:r w:rsidRPr="00282AC9">
        <w:rPr>
          <w:rFonts w:cs="DanaFajr" w:hint="cs"/>
          <w:sz w:val="28"/>
          <w:szCs w:val="28"/>
          <w:rtl/>
        </w:rPr>
        <w:t>.</w:t>
      </w:r>
    </w:p>
  </w:endnote>
  <w:endnote w:id="40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قلمداران، الخمس في الكتاب والسن</w:t>
      </w:r>
      <w:r w:rsidRPr="00282AC9">
        <w:rPr>
          <w:rFonts w:cs="DanaFajr" w:hint="cs"/>
          <w:sz w:val="28"/>
          <w:szCs w:val="28"/>
          <w:rtl/>
        </w:rPr>
        <w:t>ّ</w:t>
      </w:r>
      <w:r w:rsidRPr="00282AC9">
        <w:rPr>
          <w:rFonts w:cs="DanaFajr"/>
          <w:sz w:val="28"/>
          <w:szCs w:val="28"/>
          <w:rtl/>
        </w:rPr>
        <w:t>ة، بدون ترقيم الصفحات.</w:t>
      </w:r>
    </w:p>
  </w:endnote>
  <w:endnote w:id="41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عل</w:t>
      </w:r>
      <w:r w:rsidRPr="00282AC9">
        <w:rPr>
          <w:rFonts w:cs="DanaFajr" w:hint="cs"/>
          <w:sz w:val="28"/>
          <w:szCs w:val="28"/>
          <w:rtl/>
        </w:rPr>
        <w:t>ي</w:t>
      </w:r>
      <w:r w:rsidRPr="00282AC9">
        <w:rPr>
          <w:rFonts w:cs="DanaFajr"/>
          <w:sz w:val="28"/>
          <w:szCs w:val="28"/>
          <w:rtl/>
        </w:rPr>
        <w:t xml:space="preserve"> عبد السلام بالنور، من لطائف عدول الفعل الماضي في القرآن الكريم، مجل</w:t>
      </w:r>
      <w:r w:rsidRPr="00282AC9">
        <w:rPr>
          <w:rFonts w:cs="DanaFajr" w:hint="cs"/>
          <w:sz w:val="28"/>
          <w:szCs w:val="28"/>
          <w:rtl/>
        </w:rPr>
        <w:t>ّ</w:t>
      </w:r>
      <w:r w:rsidRPr="00282AC9">
        <w:rPr>
          <w:rFonts w:cs="DanaFajr"/>
          <w:sz w:val="28"/>
          <w:szCs w:val="28"/>
          <w:rtl/>
        </w:rPr>
        <w:t>ة الجامعة الأسمرية</w:t>
      </w:r>
      <w:r w:rsidRPr="00282AC9">
        <w:rPr>
          <w:rFonts w:cs="DanaFajr" w:hint="cs"/>
          <w:sz w:val="28"/>
          <w:szCs w:val="28"/>
          <w:rtl/>
        </w:rPr>
        <w:t>،</w:t>
      </w:r>
      <w:r w:rsidRPr="00282AC9">
        <w:rPr>
          <w:rFonts w:cs="DanaFajr"/>
          <w:sz w:val="28"/>
          <w:szCs w:val="28"/>
          <w:rtl/>
        </w:rPr>
        <w:t xml:space="preserve"> العدد 28: 265، </w:t>
      </w:r>
      <w:r w:rsidRPr="00282AC9">
        <w:rPr>
          <w:rFonts w:cs="DanaFajr" w:hint="cs"/>
          <w:sz w:val="28"/>
          <w:szCs w:val="28"/>
          <w:rtl/>
        </w:rPr>
        <w:t>ا</w:t>
      </w:r>
      <w:r w:rsidRPr="00282AC9">
        <w:rPr>
          <w:rFonts w:cs="DanaFajr"/>
          <w:sz w:val="28"/>
          <w:szCs w:val="28"/>
          <w:rtl/>
        </w:rPr>
        <w:t>لسنة 14، ليبيا</w:t>
      </w:r>
      <w:r w:rsidRPr="00282AC9">
        <w:rPr>
          <w:rFonts w:cs="DanaFajr" w:hint="cs"/>
          <w:sz w:val="28"/>
          <w:szCs w:val="28"/>
          <w:rtl/>
        </w:rPr>
        <w:t xml:space="preserve">؛ </w:t>
      </w:r>
      <w:r w:rsidRPr="00282AC9">
        <w:rPr>
          <w:rFonts w:cs="DanaFajr"/>
          <w:sz w:val="28"/>
          <w:szCs w:val="28"/>
          <w:rtl/>
        </w:rPr>
        <w:t>وظافر العمري، بلاغة القرآن الكريم، دراسة في أسرار العدول في استعمال صيغ الفعل، مكتبة وهبة، القاهرة، 1429</w:t>
      </w:r>
      <w:r w:rsidRPr="00282AC9">
        <w:rPr>
          <w:rFonts w:cs="DanaFajr" w:hint="cs"/>
          <w:sz w:val="28"/>
          <w:szCs w:val="28"/>
          <w:rtl/>
        </w:rPr>
        <w:t>هـ</w:t>
      </w:r>
      <w:r w:rsidRPr="00282AC9">
        <w:rPr>
          <w:rFonts w:cs="DanaFajr"/>
          <w:sz w:val="28"/>
          <w:szCs w:val="28"/>
          <w:rtl/>
        </w:rPr>
        <w:t>.</w:t>
      </w:r>
    </w:p>
  </w:endnote>
  <w:endnote w:id="41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 xml:space="preserve">الخليل بن </w:t>
      </w:r>
      <w:r w:rsidRPr="00282AC9">
        <w:rPr>
          <w:rFonts w:cs="DanaFajr" w:hint="cs"/>
          <w:sz w:val="28"/>
          <w:szCs w:val="28"/>
          <w:rtl/>
        </w:rPr>
        <w:t>أ</w:t>
      </w:r>
      <w:r w:rsidRPr="00282AC9">
        <w:rPr>
          <w:rFonts w:cs="DanaFajr"/>
          <w:sz w:val="28"/>
          <w:szCs w:val="28"/>
          <w:rtl/>
        </w:rPr>
        <w:t>حمد، العين 4: 426، مقد</w:t>
      </w:r>
      <w:r w:rsidRPr="00282AC9">
        <w:rPr>
          <w:rFonts w:cs="DanaFajr" w:hint="cs"/>
          <w:sz w:val="28"/>
          <w:szCs w:val="28"/>
          <w:rtl/>
        </w:rPr>
        <w:t>ّ</w:t>
      </w:r>
      <w:r w:rsidRPr="00282AC9">
        <w:rPr>
          <w:rFonts w:cs="DanaFajr"/>
          <w:sz w:val="28"/>
          <w:szCs w:val="28"/>
          <w:rtl/>
        </w:rPr>
        <w:t>مة المحق</w:t>
      </w:r>
      <w:r w:rsidRPr="00282AC9">
        <w:rPr>
          <w:rFonts w:cs="DanaFajr" w:hint="cs"/>
          <w:sz w:val="28"/>
          <w:szCs w:val="28"/>
          <w:rtl/>
        </w:rPr>
        <w:t>ِّ</w:t>
      </w:r>
      <w:r w:rsidRPr="00282AC9">
        <w:rPr>
          <w:rFonts w:cs="DanaFajr"/>
          <w:sz w:val="28"/>
          <w:szCs w:val="28"/>
          <w:rtl/>
        </w:rPr>
        <w:t>ق، تحقيق</w:t>
      </w:r>
      <w:r w:rsidRPr="00282AC9">
        <w:rPr>
          <w:rFonts w:cs="DanaFajr" w:hint="cs"/>
          <w:sz w:val="28"/>
          <w:szCs w:val="28"/>
          <w:rtl/>
        </w:rPr>
        <w:t>:</w:t>
      </w:r>
      <w:r w:rsidRPr="00282AC9">
        <w:rPr>
          <w:rFonts w:cs="DanaFajr"/>
          <w:sz w:val="28"/>
          <w:szCs w:val="28"/>
          <w:rtl/>
        </w:rPr>
        <w:t xml:space="preserve"> مهدي المخزومي وإبراهيم السامرائي، ط2، مؤس</w:t>
      </w:r>
      <w:r w:rsidRPr="00282AC9">
        <w:rPr>
          <w:rFonts w:cs="DanaFajr" w:hint="cs"/>
          <w:sz w:val="28"/>
          <w:szCs w:val="28"/>
          <w:rtl/>
        </w:rPr>
        <w:t>ّ</w:t>
      </w:r>
      <w:r w:rsidRPr="00282AC9">
        <w:rPr>
          <w:rFonts w:cs="DanaFajr"/>
          <w:sz w:val="28"/>
          <w:szCs w:val="28"/>
          <w:rtl/>
        </w:rPr>
        <w:t xml:space="preserve">سة دار الهجرة، </w:t>
      </w:r>
      <w:r w:rsidRPr="00282AC9">
        <w:rPr>
          <w:rFonts w:cs="DanaFajr" w:hint="cs"/>
          <w:sz w:val="28"/>
          <w:szCs w:val="28"/>
          <w:rtl/>
        </w:rPr>
        <w:t>إ</w:t>
      </w:r>
      <w:r w:rsidRPr="00282AC9">
        <w:rPr>
          <w:rFonts w:cs="DanaFajr"/>
          <w:sz w:val="28"/>
          <w:szCs w:val="28"/>
          <w:rtl/>
        </w:rPr>
        <w:t>يران، 1410ه</w:t>
      </w:r>
      <w:r w:rsidRPr="00282AC9">
        <w:rPr>
          <w:rFonts w:cs="DanaFajr" w:hint="cs"/>
          <w:sz w:val="28"/>
          <w:szCs w:val="28"/>
          <w:rtl/>
        </w:rPr>
        <w:t>ـ.</w:t>
      </w:r>
    </w:p>
  </w:endnote>
  <w:endnote w:id="41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أحمد بن فارس،</w:t>
      </w:r>
      <w:r w:rsidRPr="00282AC9">
        <w:rPr>
          <w:rFonts w:cs="DanaFajr" w:hint="cs"/>
          <w:sz w:val="28"/>
          <w:szCs w:val="28"/>
          <w:rtl/>
        </w:rPr>
        <w:t xml:space="preserve"> </w:t>
      </w:r>
      <w:r w:rsidRPr="00282AC9">
        <w:rPr>
          <w:rFonts w:cs="DanaFajr"/>
          <w:sz w:val="28"/>
          <w:szCs w:val="28"/>
          <w:rtl/>
        </w:rPr>
        <w:t>معجم مقاييس اللغة 4: 397، تحقيق</w:t>
      </w:r>
      <w:r w:rsidRPr="00282AC9">
        <w:rPr>
          <w:rFonts w:cs="DanaFajr" w:hint="cs"/>
          <w:sz w:val="28"/>
          <w:szCs w:val="28"/>
          <w:rtl/>
        </w:rPr>
        <w:t>:</w:t>
      </w:r>
      <w:r w:rsidRPr="00282AC9">
        <w:rPr>
          <w:rFonts w:cs="DanaFajr"/>
          <w:sz w:val="28"/>
          <w:szCs w:val="28"/>
          <w:rtl/>
        </w:rPr>
        <w:t xml:space="preserve"> عبد السلام محمد هارون، دار الفكر، 1979م</w:t>
      </w:r>
      <w:r w:rsidRPr="00282AC9">
        <w:rPr>
          <w:rFonts w:cs="DanaFajr" w:hint="cs"/>
          <w:sz w:val="28"/>
          <w:szCs w:val="28"/>
          <w:rtl/>
        </w:rPr>
        <w:t>.</w:t>
      </w:r>
    </w:p>
  </w:endnote>
  <w:endnote w:id="41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جمال الدين بن منظور، لسان العرب 12: 445</w:t>
      </w:r>
      <w:r w:rsidRPr="00282AC9">
        <w:rPr>
          <w:rFonts w:cs="DanaFajr" w:hint="cs"/>
          <w:sz w:val="28"/>
          <w:szCs w:val="28"/>
          <w:rtl/>
        </w:rPr>
        <w:t>،</w:t>
      </w:r>
      <w:r w:rsidRPr="00282AC9">
        <w:rPr>
          <w:rFonts w:cs="DanaFajr"/>
          <w:sz w:val="28"/>
          <w:szCs w:val="28"/>
          <w:rtl/>
        </w:rPr>
        <w:t xml:space="preserve"> 446، دار صادر، بيروت، بدون تاريخ</w:t>
      </w:r>
      <w:r w:rsidRPr="00282AC9">
        <w:rPr>
          <w:rFonts w:cs="DanaFajr" w:hint="cs"/>
          <w:sz w:val="28"/>
          <w:szCs w:val="28"/>
          <w:rtl/>
        </w:rPr>
        <w:t>.</w:t>
      </w:r>
    </w:p>
  </w:endnote>
  <w:endnote w:id="41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الحسن بن محمد الراغب ال</w:t>
      </w:r>
      <w:r w:rsidRPr="00282AC9">
        <w:rPr>
          <w:rFonts w:cs="DanaFajr" w:hint="cs"/>
          <w:sz w:val="28"/>
          <w:szCs w:val="28"/>
          <w:rtl/>
        </w:rPr>
        <w:t>إ</w:t>
      </w:r>
      <w:r w:rsidRPr="00282AC9">
        <w:rPr>
          <w:rFonts w:cs="DanaFajr"/>
          <w:sz w:val="28"/>
          <w:szCs w:val="28"/>
          <w:rtl/>
        </w:rPr>
        <w:t>صفهاني، المفردات</w:t>
      </w:r>
      <w:r w:rsidRPr="00282AC9">
        <w:rPr>
          <w:rFonts w:cs="DanaFajr" w:hint="cs"/>
          <w:sz w:val="28"/>
          <w:szCs w:val="28"/>
          <w:rtl/>
        </w:rPr>
        <w:t>:</w:t>
      </w:r>
      <w:r w:rsidRPr="00282AC9">
        <w:rPr>
          <w:rFonts w:cs="DanaFajr"/>
          <w:sz w:val="28"/>
          <w:szCs w:val="28"/>
          <w:rtl/>
        </w:rPr>
        <w:t xml:space="preserve"> 366، ط2، 1404</w:t>
      </w:r>
      <w:r w:rsidRPr="00282AC9">
        <w:rPr>
          <w:rFonts w:cs="DanaFajr" w:hint="cs"/>
          <w:sz w:val="28"/>
          <w:szCs w:val="28"/>
          <w:rtl/>
        </w:rPr>
        <w:t>هـ.</w:t>
      </w:r>
    </w:p>
  </w:endnote>
  <w:endnote w:id="41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فخر الدين الطريحي، مجمع البحرين 6</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129، تحقيق</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w:t>
      </w:r>
      <w:r w:rsidRPr="00282AC9">
        <w:rPr>
          <w:rFonts w:asciiTheme="majorBidi" w:hAnsiTheme="majorBidi" w:cs="DanaFajr" w:hint="cs"/>
          <w:sz w:val="28"/>
          <w:szCs w:val="28"/>
          <w:rtl/>
        </w:rPr>
        <w:t>أ</w:t>
      </w:r>
      <w:r w:rsidRPr="00282AC9">
        <w:rPr>
          <w:rFonts w:asciiTheme="majorBidi" w:hAnsiTheme="majorBidi" w:cs="DanaFajr"/>
          <w:sz w:val="28"/>
          <w:szCs w:val="28"/>
          <w:rtl/>
        </w:rPr>
        <w:t>حمد الحسيني، المكتبة المرتضوية، طهران</w:t>
      </w:r>
      <w:r w:rsidRPr="00282AC9">
        <w:rPr>
          <w:rFonts w:asciiTheme="majorBidi" w:hAnsiTheme="majorBidi" w:cs="DanaFajr" w:hint="cs"/>
          <w:sz w:val="28"/>
          <w:szCs w:val="28"/>
          <w:rtl/>
        </w:rPr>
        <w:t>.</w:t>
      </w:r>
    </w:p>
  </w:endnote>
  <w:endnote w:id="41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ابن قتيبة، غريب الحديث 1: 228 ـ 229، تحقيق</w:t>
      </w:r>
      <w:r w:rsidRPr="00282AC9">
        <w:rPr>
          <w:rFonts w:cs="DanaFajr" w:hint="cs"/>
          <w:sz w:val="28"/>
          <w:szCs w:val="28"/>
          <w:rtl/>
        </w:rPr>
        <w:t>:</w:t>
      </w:r>
      <w:r w:rsidRPr="00282AC9">
        <w:rPr>
          <w:rFonts w:cs="DanaFajr"/>
          <w:sz w:val="28"/>
          <w:szCs w:val="28"/>
          <w:rtl/>
        </w:rPr>
        <w:t xml:space="preserve"> عبد الله الجبوري، مطبعة العاني</w:t>
      </w:r>
      <w:r w:rsidRPr="00282AC9">
        <w:rPr>
          <w:rFonts w:cs="DanaFajr" w:hint="cs"/>
          <w:sz w:val="28"/>
          <w:szCs w:val="28"/>
          <w:rtl/>
        </w:rPr>
        <w:t>،</w:t>
      </w:r>
      <w:r w:rsidRPr="00282AC9">
        <w:rPr>
          <w:rFonts w:cs="DanaFajr"/>
          <w:sz w:val="28"/>
          <w:szCs w:val="28"/>
          <w:rtl/>
        </w:rPr>
        <w:t xml:space="preserve"> بغداد، ط1، 1977م.</w:t>
      </w:r>
    </w:p>
  </w:endnote>
  <w:endnote w:id="41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ابن الأثير، النهاية في غريب الحديث 3: 389 ـ 390، ط1، 1963م</w:t>
      </w:r>
      <w:r w:rsidRPr="00282AC9">
        <w:rPr>
          <w:rFonts w:cs="DanaFajr" w:hint="cs"/>
          <w:sz w:val="28"/>
          <w:szCs w:val="28"/>
          <w:rtl/>
        </w:rPr>
        <w:t>.</w:t>
      </w:r>
    </w:p>
  </w:endnote>
  <w:endnote w:id="41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ابن منظور، لسان العرب 4: 519.</w:t>
      </w:r>
    </w:p>
  </w:endnote>
  <w:endnote w:id="41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لويس معلوف، </w:t>
      </w:r>
      <w:r w:rsidRPr="00282AC9">
        <w:rPr>
          <w:rFonts w:asciiTheme="majorBidi" w:hAnsiTheme="majorBidi" w:cs="DanaFajr"/>
          <w:sz w:val="28"/>
          <w:szCs w:val="28"/>
          <w:rtl/>
        </w:rPr>
        <w:t xml:space="preserve">المنجد: </w:t>
      </w:r>
      <w:r w:rsidRPr="00282AC9">
        <w:rPr>
          <w:rFonts w:asciiTheme="majorBidi" w:hAnsiTheme="majorBidi" w:cs="DanaFajr" w:hint="cs"/>
          <w:sz w:val="28"/>
          <w:szCs w:val="28"/>
          <w:rtl/>
        </w:rPr>
        <w:t>480، طهران، ط35، 1379هـ.ش.</w:t>
      </w:r>
    </w:p>
  </w:endnote>
  <w:endnote w:id="42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كمال الحيدري، هل لخمس أرباح المكاسب أصل قرآني؟</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50.</w:t>
      </w:r>
    </w:p>
  </w:endnote>
  <w:endnote w:id="42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المصدر السابق: ، 47.</w:t>
      </w:r>
    </w:p>
  </w:endnote>
  <w:endnote w:id="42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ابن فارس،</w:t>
      </w:r>
      <w:r w:rsidRPr="00282AC9">
        <w:rPr>
          <w:rFonts w:asciiTheme="majorBidi" w:hAnsiTheme="majorBidi" w:cs="DanaFajr"/>
          <w:sz w:val="28"/>
          <w:szCs w:val="28"/>
          <w:rtl/>
        </w:rPr>
        <w:t xml:space="preserve"> مقا</w:t>
      </w:r>
      <w:r w:rsidRPr="00282AC9">
        <w:rPr>
          <w:rFonts w:asciiTheme="majorBidi" w:hAnsiTheme="majorBidi" w:cs="DanaFajr" w:hint="cs"/>
          <w:sz w:val="28"/>
          <w:szCs w:val="28"/>
          <w:rtl/>
        </w:rPr>
        <w:t>ي</w:t>
      </w:r>
      <w:r w:rsidRPr="00282AC9">
        <w:rPr>
          <w:rFonts w:asciiTheme="majorBidi" w:hAnsiTheme="majorBidi" w:cs="DanaFajr"/>
          <w:sz w:val="28"/>
          <w:szCs w:val="28"/>
          <w:rtl/>
        </w:rPr>
        <w:t>يس اللغة: 3 ـ 5</w:t>
      </w:r>
      <w:r w:rsidRPr="00282AC9">
        <w:rPr>
          <w:rFonts w:asciiTheme="majorBidi" w:hAnsiTheme="majorBidi" w:cs="DanaFajr" w:hint="cs"/>
          <w:sz w:val="28"/>
          <w:szCs w:val="28"/>
          <w:rtl/>
        </w:rPr>
        <w:t>.</w:t>
      </w:r>
    </w:p>
  </w:endnote>
  <w:endnote w:id="42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الخليل بن أحمد الفراهيدي،</w:t>
      </w:r>
      <w:r w:rsidRPr="00282AC9">
        <w:rPr>
          <w:rFonts w:asciiTheme="majorBidi" w:hAnsiTheme="majorBidi" w:cs="DanaFajr" w:hint="cs"/>
          <w:sz w:val="28"/>
          <w:szCs w:val="28"/>
          <w:rtl/>
        </w:rPr>
        <w:t xml:space="preserve"> كتاب العين </w:t>
      </w:r>
      <w:r w:rsidRPr="00282AC9">
        <w:rPr>
          <w:rFonts w:asciiTheme="majorBidi" w:hAnsiTheme="majorBidi" w:cs="DanaFajr"/>
          <w:sz w:val="28"/>
          <w:szCs w:val="28"/>
          <w:rtl/>
        </w:rPr>
        <w:t>1: 12</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مقد</w:t>
      </w:r>
      <w:r w:rsidRPr="00282AC9">
        <w:rPr>
          <w:rFonts w:asciiTheme="majorBidi" w:hAnsiTheme="majorBidi" w:cs="DanaFajr" w:hint="cs"/>
          <w:sz w:val="28"/>
          <w:szCs w:val="28"/>
          <w:rtl/>
        </w:rPr>
        <w:t>ّ</w:t>
      </w:r>
      <w:r w:rsidRPr="00282AC9">
        <w:rPr>
          <w:rFonts w:asciiTheme="majorBidi" w:hAnsiTheme="majorBidi" w:cs="DanaFajr"/>
          <w:sz w:val="28"/>
          <w:szCs w:val="28"/>
          <w:rtl/>
        </w:rPr>
        <w:t>مة المحق</w:t>
      </w:r>
      <w:r w:rsidRPr="00282AC9">
        <w:rPr>
          <w:rFonts w:asciiTheme="majorBidi" w:hAnsiTheme="majorBidi" w:cs="DanaFajr" w:hint="cs"/>
          <w:sz w:val="28"/>
          <w:szCs w:val="28"/>
          <w:rtl/>
        </w:rPr>
        <w:t>ِّ</w:t>
      </w:r>
      <w:r w:rsidRPr="00282AC9">
        <w:rPr>
          <w:rFonts w:asciiTheme="majorBidi" w:hAnsiTheme="majorBidi" w:cs="DanaFajr"/>
          <w:sz w:val="28"/>
          <w:szCs w:val="28"/>
          <w:rtl/>
        </w:rPr>
        <w:t>ق</w:t>
      </w:r>
      <w:r w:rsidRPr="00282AC9">
        <w:rPr>
          <w:rFonts w:asciiTheme="majorBidi" w:hAnsiTheme="majorBidi" w:cs="DanaFajr" w:hint="cs"/>
          <w:sz w:val="28"/>
          <w:szCs w:val="28"/>
          <w:rtl/>
        </w:rPr>
        <w:t>).</w:t>
      </w:r>
    </w:p>
  </w:endnote>
  <w:endnote w:id="42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جورج طرابيشي، إشكاليات العقل العربي: 217 ـ 220، دار الساقي، ط1، 1998.</w:t>
      </w:r>
    </w:p>
  </w:endnote>
  <w:endnote w:id="42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الخليل بن أحمد، كتاب العين </w:t>
      </w:r>
      <w:r w:rsidRPr="00282AC9">
        <w:rPr>
          <w:rFonts w:asciiTheme="majorBidi" w:hAnsiTheme="majorBidi" w:cs="DanaFajr"/>
          <w:sz w:val="28"/>
          <w:szCs w:val="28"/>
          <w:rtl/>
        </w:rPr>
        <w:t xml:space="preserve">1: 19 </w:t>
      </w:r>
      <w:r w:rsidRPr="00282AC9">
        <w:rPr>
          <w:rFonts w:asciiTheme="majorBidi" w:hAnsiTheme="majorBidi" w:cs="DanaFajr" w:hint="cs"/>
          <w:sz w:val="28"/>
          <w:szCs w:val="28"/>
          <w:rtl/>
        </w:rPr>
        <w:t>(</w:t>
      </w:r>
      <w:r w:rsidRPr="00282AC9">
        <w:rPr>
          <w:rFonts w:asciiTheme="majorBidi" w:hAnsiTheme="majorBidi" w:cs="DanaFajr"/>
          <w:sz w:val="28"/>
          <w:szCs w:val="28"/>
          <w:rtl/>
        </w:rPr>
        <w:t>مقدمة المحق</w:t>
      </w:r>
      <w:r w:rsidRPr="00282AC9">
        <w:rPr>
          <w:rFonts w:asciiTheme="majorBidi" w:hAnsiTheme="majorBidi" w:cs="DanaFajr" w:hint="cs"/>
          <w:sz w:val="28"/>
          <w:szCs w:val="28"/>
          <w:rtl/>
        </w:rPr>
        <w:t>ِّ</w:t>
      </w:r>
      <w:r w:rsidRPr="00282AC9">
        <w:rPr>
          <w:rFonts w:asciiTheme="majorBidi" w:hAnsiTheme="majorBidi" w:cs="DanaFajr"/>
          <w:sz w:val="28"/>
          <w:szCs w:val="28"/>
          <w:rtl/>
        </w:rPr>
        <w:t>ق</w:t>
      </w:r>
      <w:r w:rsidRPr="00282AC9">
        <w:rPr>
          <w:rFonts w:asciiTheme="majorBidi" w:hAnsiTheme="majorBidi" w:cs="DanaFajr" w:hint="cs"/>
          <w:sz w:val="28"/>
          <w:szCs w:val="28"/>
          <w:rtl/>
        </w:rPr>
        <w:t>)</w:t>
      </w:r>
      <w:r w:rsidRPr="00282AC9">
        <w:rPr>
          <w:rFonts w:asciiTheme="majorBidi" w:hAnsiTheme="majorBidi" w:cs="DanaFajr"/>
          <w:sz w:val="28"/>
          <w:szCs w:val="28"/>
          <w:rtl/>
        </w:rPr>
        <w:t>.</w:t>
      </w:r>
    </w:p>
  </w:endnote>
  <w:endnote w:id="42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محمد علي الرباني، </w:t>
      </w:r>
      <w:r w:rsidRPr="00282AC9">
        <w:rPr>
          <w:rFonts w:asciiTheme="majorBidi" w:hAnsiTheme="majorBidi" w:cs="DanaFajr"/>
          <w:sz w:val="28"/>
          <w:szCs w:val="28"/>
          <w:rtl/>
        </w:rPr>
        <w:t xml:space="preserve">الاجتهاد والتقليد والاحتياط </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تقريرات درس </w:t>
      </w:r>
      <w:r w:rsidRPr="00282AC9">
        <w:rPr>
          <w:rFonts w:asciiTheme="majorBidi" w:hAnsiTheme="majorBidi" w:cs="DanaFajr" w:hint="cs"/>
          <w:sz w:val="28"/>
          <w:szCs w:val="28"/>
          <w:rtl/>
        </w:rPr>
        <w:t xml:space="preserve">السيد علي </w:t>
      </w:r>
      <w:r w:rsidRPr="00282AC9">
        <w:rPr>
          <w:rFonts w:asciiTheme="majorBidi" w:hAnsiTheme="majorBidi" w:cs="DanaFajr"/>
          <w:sz w:val="28"/>
          <w:szCs w:val="28"/>
          <w:rtl/>
        </w:rPr>
        <w:t>السيستاني</w:t>
      </w:r>
      <w:r w:rsidRPr="00282AC9">
        <w:rPr>
          <w:rFonts w:asciiTheme="majorBidi" w:hAnsiTheme="majorBidi" w:cs="DanaFajr" w:hint="cs"/>
          <w:sz w:val="28"/>
          <w:szCs w:val="28"/>
          <w:rtl/>
        </w:rPr>
        <w:t>)</w:t>
      </w:r>
      <w:r w:rsidRPr="00282AC9">
        <w:rPr>
          <w:rFonts w:asciiTheme="majorBidi" w:hAnsiTheme="majorBidi" w:cs="DanaFajr"/>
          <w:sz w:val="28"/>
          <w:szCs w:val="28"/>
          <w:rtl/>
        </w:rPr>
        <w:t>: 28، موقع تقريرات السيستاني.</w:t>
      </w:r>
    </w:p>
  </w:endnote>
  <w:endnote w:id="42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ابن الأثير، </w:t>
      </w:r>
      <w:r w:rsidRPr="00282AC9">
        <w:rPr>
          <w:rFonts w:asciiTheme="majorBidi" w:hAnsiTheme="majorBidi" w:cs="DanaFajr"/>
          <w:sz w:val="28"/>
          <w:szCs w:val="28"/>
          <w:rtl/>
        </w:rPr>
        <w:t xml:space="preserve">النهاية في غريب الحديث </w:t>
      </w:r>
      <w:r w:rsidRPr="00282AC9">
        <w:rPr>
          <w:rFonts w:asciiTheme="majorBidi" w:hAnsiTheme="majorBidi" w:cs="DanaFajr" w:hint="cs"/>
          <w:sz w:val="28"/>
          <w:szCs w:val="28"/>
          <w:rtl/>
        </w:rPr>
        <w:t xml:space="preserve">3: </w:t>
      </w:r>
      <w:r w:rsidRPr="00282AC9">
        <w:rPr>
          <w:rFonts w:asciiTheme="majorBidi" w:hAnsiTheme="majorBidi" w:cs="DanaFajr"/>
          <w:sz w:val="28"/>
          <w:szCs w:val="28"/>
          <w:rtl/>
        </w:rPr>
        <w:t>390</w:t>
      </w:r>
      <w:r w:rsidRPr="00282AC9">
        <w:rPr>
          <w:rFonts w:cs="DanaFajr" w:hint="cs"/>
          <w:sz w:val="28"/>
          <w:szCs w:val="28"/>
          <w:rtl/>
        </w:rPr>
        <w:t>.</w:t>
      </w:r>
    </w:p>
  </w:endnote>
  <w:endnote w:id="42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محمد صادق الخرسان، الخمس: 96 ـ 100</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الشؤون الفكرية في العتبة العب</w:t>
      </w:r>
      <w:r w:rsidRPr="00282AC9">
        <w:rPr>
          <w:rFonts w:asciiTheme="majorBidi" w:hAnsiTheme="majorBidi" w:cs="DanaFajr" w:hint="cs"/>
          <w:sz w:val="28"/>
          <w:szCs w:val="28"/>
          <w:rtl/>
        </w:rPr>
        <w:t>ّ</w:t>
      </w:r>
      <w:r w:rsidRPr="00282AC9">
        <w:rPr>
          <w:rFonts w:asciiTheme="majorBidi" w:hAnsiTheme="majorBidi" w:cs="DanaFajr"/>
          <w:sz w:val="28"/>
          <w:szCs w:val="28"/>
          <w:rtl/>
        </w:rPr>
        <w:t>اسية، ط3، 2012م.</w:t>
      </w:r>
    </w:p>
  </w:endnote>
  <w:endnote w:id="42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المصدر السابق: 45</w:t>
      </w:r>
      <w:r w:rsidRPr="00282AC9">
        <w:rPr>
          <w:rFonts w:cs="DanaFajr" w:hint="cs"/>
          <w:sz w:val="28"/>
          <w:szCs w:val="28"/>
          <w:rtl/>
        </w:rPr>
        <w:t>.</w:t>
      </w:r>
    </w:p>
  </w:endnote>
  <w:endnote w:id="43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حسين النوري الهمداني، الخمس في ضوء مدرسة أهل البيت: 25 ـ 38، مكتب الإعلام الإسلامي، ط2، 1419هـ، قم ـ إيران</w:t>
      </w:r>
      <w:r w:rsidRPr="00282AC9">
        <w:rPr>
          <w:rFonts w:cs="DanaFajr" w:hint="cs"/>
          <w:sz w:val="28"/>
          <w:szCs w:val="28"/>
          <w:rtl/>
        </w:rPr>
        <w:t>.</w:t>
      </w:r>
    </w:p>
  </w:endnote>
  <w:endnote w:id="43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محمد</w:t>
      </w:r>
      <w:r w:rsidRPr="00282AC9">
        <w:rPr>
          <w:rFonts w:asciiTheme="majorBidi" w:hAnsiTheme="majorBidi" w:cs="DanaFajr"/>
          <w:sz w:val="28"/>
          <w:szCs w:val="28"/>
          <w:rtl/>
        </w:rPr>
        <w:t xml:space="preserve"> رشيد رضا، تفسير المنار </w:t>
      </w:r>
      <w:r w:rsidRPr="00282AC9">
        <w:rPr>
          <w:rFonts w:asciiTheme="majorBidi" w:hAnsiTheme="majorBidi" w:cs="DanaFajr" w:hint="cs"/>
          <w:sz w:val="28"/>
          <w:szCs w:val="28"/>
          <w:rtl/>
        </w:rPr>
        <w:t>10</w:t>
      </w:r>
      <w:r w:rsidRPr="00282AC9">
        <w:rPr>
          <w:rFonts w:asciiTheme="majorBidi" w:hAnsiTheme="majorBidi" w:cs="DanaFajr"/>
          <w:sz w:val="28"/>
          <w:szCs w:val="28"/>
          <w:rtl/>
        </w:rPr>
        <w:t>: 3، دار المنار، ط2، 1368</w:t>
      </w:r>
      <w:r w:rsidRPr="00282AC9">
        <w:rPr>
          <w:rFonts w:asciiTheme="majorBidi" w:hAnsiTheme="majorBidi" w:cs="DanaFajr" w:hint="cs"/>
          <w:sz w:val="28"/>
          <w:szCs w:val="28"/>
          <w:rtl/>
        </w:rPr>
        <w:t>هـ.</w:t>
      </w:r>
    </w:p>
  </w:endnote>
  <w:endnote w:id="43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مرتضى البروجردي،</w:t>
      </w:r>
      <w:r w:rsidRPr="00282AC9">
        <w:rPr>
          <w:rFonts w:asciiTheme="majorBidi" w:hAnsiTheme="majorBidi" w:cs="DanaFajr"/>
          <w:sz w:val="28"/>
          <w:szCs w:val="28"/>
          <w:rtl/>
        </w:rPr>
        <w:t xml:space="preserve"> المستند في شرح العروة الوثقى، كتاب الخمس </w:t>
      </w:r>
      <w:r w:rsidRPr="00282AC9">
        <w:rPr>
          <w:rFonts w:asciiTheme="majorBidi" w:hAnsiTheme="majorBidi" w:cs="DanaFajr" w:hint="cs"/>
          <w:sz w:val="28"/>
          <w:szCs w:val="28"/>
          <w:rtl/>
        </w:rPr>
        <w:t xml:space="preserve">(تقريراً لأبحاث السيد الخوئي) </w:t>
      </w:r>
      <w:r w:rsidRPr="00282AC9">
        <w:rPr>
          <w:rFonts w:asciiTheme="majorBidi" w:hAnsiTheme="majorBidi" w:cs="DanaFajr"/>
          <w:sz w:val="28"/>
          <w:szCs w:val="28"/>
          <w:rtl/>
        </w:rPr>
        <w:t>15: 212،</w:t>
      </w:r>
      <w:r w:rsidRPr="00282AC9">
        <w:rPr>
          <w:rFonts w:asciiTheme="majorBidi" w:hAnsiTheme="majorBidi" w:cs="DanaFajr" w:hint="cs"/>
          <w:sz w:val="28"/>
          <w:szCs w:val="28"/>
          <w:rtl/>
        </w:rPr>
        <w:t xml:space="preserve"> مطبعة نينوى، ط4، 2009م.</w:t>
      </w:r>
    </w:p>
  </w:endnote>
  <w:endnote w:id="43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مرتضى </w:t>
      </w:r>
      <w:r w:rsidRPr="00282AC9">
        <w:rPr>
          <w:rFonts w:asciiTheme="majorBidi" w:hAnsiTheme="majorBidi" w:cs="DanaFajr"/>
          <w:sz w:val="28"/>
          <w:szCs w:val="28"/>
          <w:rtl/>
        </w:rPr>
        <w:t xml:space="preserve">العسكري، </w:t>
      </w:r>
      <w:r w:rsidRPr="00282AC9">
        <w:rPr>
          <w:rFonts w:asciiTheme="majorBidi" w:hAnsiTheme="majorBidi" w:cs="DanaFajr" w:hint="cs"/>
          <w:sz w:val="28"/>
          <w:szCs w:val="28"/>
          <w:rtl/>
        </w:rPr>
        <w:t xml:space="preserve">معالم المدرستين </w:t>
      </w:r>
      <w:r w:rsidRPr="00282AC9">
        <w:rPr>
          <w:rFonts w:asciiTheme="majorBidi" w:hAnsiTheme="majorBidi" w:cs="DanaFajr"/>
          <w:sz w:val="28"/>
          <w:szCs w:val="28"/>
          <w:rtl/>
        </w:rPr>
        <w:t>2</w:t>
      </w:r>
      <w:r w:rsidRPr="00282AC9">
        <w:rPr>
          <w:rFonts w:asciiTheme="majorBidi" w:hAnsiTheme="majorBidi" w:cs="DanaFajr" w:hint="cs"/>
          <w:sz w:val="28"/>
          <w:szCs w:val="28"/>
          <w:rtl/>
        </w:rPr>
        <w:t>: 95 ـ 102، مؤسّسة البعثة، طهران، 1406هـ.</w:t>
      </w:r>
    </w:p>
  </w:endnote>
  <w:endnote w:id="43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المصدر السابق 2: 104.</w:t>
      </w:r>
    </w:p>
  </w:endnote>
  <w:endnote w:id="43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نوري الهمداني، الخمس: 23.</w:t>
      </w:r>
    </w:p>
  </w:endnote>
  <w:endnote w:id="43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محمد رمضان </w:t>
      </w:r>
      <w:r w:rsidRPr="00282AC9">
        <w:rPr>
          <w:rFonts w:asciiTheme="majorBidi" w:hAnsiTheme="majorBidi" w:cs="DanaFajr"/>
          <w:sz w:val="28"/>
          <w:szCs w:val="28"/>
          <w:rtl/>
        </w:rPr>
        <w:t>البوطي، فقه السيرة: 396،</w:t>
      </w:r>
      <w:r w:rsidRPr="00282AC9">
        <w:rPr>
          <w:rFonts w:asciiTheme="majorBidi" w:hAnsiTheme="majorBidi" w:cs="DanaFajr" w:hint="cs"/>
          <w:sz w:val="28"/>
          <w:szCs w:val="28"/>
          <w:rtl/>
        </w:rPr>
        <w:t xml:space="preserve"> دار الفكر، ط8، 1980م.</w:t>
      </w:r>
    </w:p>
  </w:endnote>
  <w:endnote w:id="43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نجم الدين الحلّي، شرائع الإسلام 1: 245، تعليق: صادق الشيرازي، مؤسّسة الوفاء، بيروت، ط1، 1983م.</w:t>
      </w:r>
    </w:p>
  </w:endnote>
  <w:endnote w:id="43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قلمداران، الخمس، بدون بيانات.</w:t>
      </w:r>
    </w:p>
  </w:endnote>
  <w:endnote w:id="43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محمد بن أحمد، القرطبي، الجامع لأحكام القرآن 8: 1،</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مطبعة دار الكتب المصري</w:t>
      </w:r>
      <w:r w:rsidRPr="00282AC9">
        <w:rPr>
          <w:rFonts w:asciiTheme="majorBidi" w:hAnsiTheme="majorBidi" w:cs="DanaFajr" w:hint="cs"/>
          <w:sz w:val="28"/>
          <w:szCs w:val="28"/>
          <w:rtl/>
        </w:rPr>
        <w:t>ّ</w:t>
      </w:r>
      <w:r w:rsidRPr="00282AC9">
        <w:rPr>
          <w:rFonts w:asciiTheme="majorBidi" w:hAnsiTheme="majorBidi" w:cs="DanaFajr"/>
          <w:sz w:val="28"/>
          <w:szCs w:val="28"/>
          <w:rtl/>
        </w:rPr>
        <w:t>ة، القاهرة، 1939م</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أبو حي</w:t>
      </w:r>
      <w:r w:rsidRPr="00282AC9">
        <w:rPr>
          <w:rFonts w:asciiTheme="majorBidi" w:hAnsiTheme="majorBidi" w:cs="DanaFajr" w:hint="cs"/>
          <w:sz w:val="28"/>
          <w:szCs w:val="28"/>
          <w:rtl/>
        </w:rPr>
        <w:t>ّ</w:t>
      </w:r>
      <w:r w:rsidRPr="00282AC9">
        <w:rPr>
          <w:rFonts w:asciiTheme="majorBidi" w:hAnsiTheme="majorBidi" w:cs="DanaFajr"/>
          <w:sz w:val="28"/>
          <w:szCs w:val="28"/>
          <w:rtl/>
        </w:rPr>
        <w:t>ان الأندلسي، البحر المحيط 5: 323، دار الفكر، 2010م</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محمد علي</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الشوكاني، فتح القدير: 539، مراجعة</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يوسف الغوش، دار المعرفة، بيروت، ط4، 2007م</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ومحمد يوسف </w:t>
      </w:r>
      <w:r w:rsidRPr="00282AC9">
        <w:rPr>
          <w:rFonts w:asciiTheme="majorBidi" w:hAnsiTheme="majorBidi" w:cs="DanaFajr" w:hint="cs"/>
          <w:sz w:val="28"/>
          <w:szCs w:val="28"/>
          <w:rtl/>
        </w:rPr>
        <w:t>أ</w:t>
      </w:r>
      <w:r w:rsidRPr="00282AC9">
        <w:rPr>
          <w:rFonts w:asciiTheme="majorBidi" w:hAnsiTheme="majorBidi" w:cs="DanaFajr"/>
          <w:sz w:val="28"/>
          <w:szCs w:val="28"/>
          <w:rtl/>
        </w:rPr>
        <w:t xml:space="preserve">طفيش، هيميان الزاد إلى دار المعاد، نسخة </w:t>
      </w:r>
      <w:r w:rsidRPr="00282AC9">
        <w:rPr>
          <w:rFonts w:asciiTheme="majorBidi" w:hAnsiTheme="majorBidi" w:cs="DanaFajr" w:hint="cs"/>
          <w:sz w:val="28"/>
          <w:szCs w:val="28"/>
          <w:rtl/>
        </w:rPr>
        <w:t>إ</w:t>
      </w:r>
      <w:r w:rsidRPr="00282AC9">
        <w:rPr>
          <w:rFonts w:asciiTheme="majorBidi" w:hAnsiTheme="majorBidi" w:cs="DanaFajr"/>
          <w:sz w:val="28"/>
          <w:szCs w:val="28"/>
          <w:rtl/>
        </w:rPr>
        <w:t xml:space="preserve">لكترونية، </w:t>
      </w:r>
      <w:r w:rsidRPr="00282AC9">
        <w:rPr>
          <w:rFonts w:asciiTheme="majorBidi" w:hAnsiTheme="majorBidi" w:cs="DanaFajr" w:hint="cs"/>
          <w:sz w:val="28"/>
          <w:szCs w:val="28"/>
          <w:rtl/>
        </w:rPr>
        <w:t>موقع التفاسير، بدون بيانات</w:t>
      </w:r>
      <w:r w:rsidRPr="00282AC9">
        <w:rPr>
          <w:rFonts w:asciiTheme="majorBidi" w:hAnsiTheme="majorBidi" w:cs="DanaFajr"/>
          <w:sz w:val="28"/>
          <w:szCs w:val="28"/>
          <w:rtl/>
        </w:rPr>
        <w:t>.</w:t>
      </w:r>
    </w:p>
  </w:endnote>
  <w:endnote w:id="44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كريم فليح حسن، آراء ال</w:t>
      </w:r>
      <w:r w:rsidRPr="00282AC9">
        <w:rPr>
          <w:rFonts w:cs="DanaFajr" w:hint="cs"/>
          <w:sz w:val="28"/>
          <w:szCs w:val="28"/>
          <w:rtl/>
        </w:rPr>
        <w:t>إ</w:t>
      </w:r>
      <w:r w:rsidRPr="00282AC9">
        <w:rPr>
          <w:rFonts w:cs="DanaFajr"/>
          <w:sz w:val="28"/>
          <w:szCs w:val="28"/>
          <w:rtl/>
        </w:rPr>
        <w:t>مام الماوردي في الغنيمة، دراسة</w:t>
      </w:r>
      <w:r w:rsidRPr="00282AC9">
        <w:rPr>
          <w:rFonts w:cs="DanaFajr" w:hint="cs"/>
          <w:sz w:val="28"/>
          <w:szCs w:val="28"/>
          <w:rtl/>
        </w:rPr>
        <w:t>ٌ</w:t>
      </w:r>
      <w:r w:rsidRPr="00282AC9">
        <w:rPr>
          <w:rFonts w:cs="DanaFajr"/>
          <w:sz w:val="28"/>
          <w:szCs w:val="28"/>
          <w:rtl/>
        </w:rPr>
        <w:t xml:space="preserve"> تاريخية مقارنة، مجل</w:t>
      </w:r>
      <w:r w:rsidRPr="00282AC9">
        <w:rPr>
          <w:rFonts w:cs="DanaFajr" w:hint="cs"/>
          <w:sz w:val="28"/>
          <w:szCs w:val="28"/>
          <w:rtl/>
        </w:rPr>
        <w:t>ّ</w:t>
      </w:r>
      <w:r w:rsidRPr="00282AC9">
        <w:rPr>
          <w:rFonts w:cs="DanaFajr"/>
          <w:sz w:val="28"/>
          <w:szCs w:val="28"/>
          <w:rtl/>
        </w:rPr>
        <w:t>ة الدراسات التاريخية، العدد 14، 2012م.</w:t>
      </w:r>
    </w:p>
  </w:endnote>
  <w:endnote w:id="441">
    <w:p w:rsidR="00C14EDE" w:rsidRPr="00282AC9" w:rsidRDefault="00C14EDE" w:rsidP="00235851">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الفخر الرازي، تفسير مفاتيح الغيب 15: 164، ط3.</w:t>
      </w:r>
    </w:p>
  </w:endnote>
  <w:endnote w:id="44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القرطبي، ال</w:t>
      </w:r>
      <w:r w:rsidRPr="00282AC9">
        <w:rPr>
          <w:rFonts w:asciiTheme="majorBidi" w:hAnsiTheme="majorBidi" w:cs="DanaFajr"/>
          <w:sz w:val="28"/>
          <w:szCs w:val="28"/>
          <w:rtl/>
        </w:rPr>
        <w:t xml:space="preserve">جامع </w:t>
      </w:r>
      <w:r w:rsidRPr="00282AC9">
        <w:rPr>
          <w:rFonts w:asciiTheme="majorBidi" w:hAnsiTheme="majorBidi" w:cs="DanaFajr" w:hint="cs"/>
          <w:sz w:val="28"/>
          <w:szCs w:val="28"/>
          <w:rtl/>
        </w:rPr>
        <w:t>ل</w:t>
      </w:r>
      <w:r w:rsidRPr="00282AC9">
        <w:rPr>
          <w:rFonts w:asciiTheme="majorBidi" w:hAnsiTheme="majorBidi" w:cs="DanaFajr"/>
          <w:sz w:val="28"/>
          <w:szCs w:val="28"/>
          <w:rtl/>
        </w:rPr>
        <w:t>أحكام القرآن 8</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w:t>
      </w:r>
      <w:r w:rsidRPr="00282AC9">
        <w:rPr>
          <w:rFonts w:asciiTheme="majorBidi" w:hAnsiTheme="majorBidi" w:cs="DanaFajr" w:hint="cs"/>
          <w:sz w:val="28"/>
          <w:szCs w:val="28"/>
          <w:rtl/>
        </w:rPr>
        <w:t>.</w:t>
      </w:r>
    </w:p>
  </w:endnote>
  <w:endnote w:id="44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محمود الآلوسي، </w:t>
      </w:r>
      <w:r w:rsidRPr="00282AC9">
        <w:rPr>
          <w:rFonts w:asciiTheme="majorBidi" w:hAnsiTheme="majorBidi" w:cs="DanaFajr"/>
          <w:sz w:val="28"/>
          <w:szCs w:val="28"/>
          <w:rtl/>
        </w:rPr>
        <w:t>روح المعاني 10</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 xml:space="preserve">2، نسخة </w:t>
      </w:r>
      <w:r w:rsidRPr="00282AC9">
        <w:rPr>
          <w:rFonts w:asciiTheme="majorBidi" w:hAnsiTheme="majorBidi" w:cs="DanaFajr" w:hint="cs"/>
          <w:sz w:val="28"/>
          <w:szCs w:val="28"/>
          <w:rtl/>
        </w:rPr>
        <w:t>إ</w:t>
      </w:r>
      <w:r w:rsidRPr="00282AC9">
        <w:rPr>
          <w:rFonts w:asciiTheme="majorBidi" w:hAnsiTheme="majorBidi" w:cs="DanaFajr"/>
          <w:sz w:val="28"/>
          <w:szCs w:val="28"/>
          <w:rtl/>
        </w:rPr>
        <w:t>لكترونية</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بدون بيانات.</w:t>
      </w:r>
    </w:p>
  </w:endnote>
  <w:endnote w:id="44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ظافر القاسمي، الجهاد: 531، دار العلم للملايين</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بيروت ، ط1، 1982م.</w:t>
      </w:r>
    </w:p>
  </w:endnote>
  <w:endnote w:id="44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صبحي الصالح، النظم ال</w:t>
      </w:r>
      <w:r w:rsidRPr="00282AC9">
        <w:rPr>
          <w:rFonts w:asciiTheme="majorBidi" w:hAnsiTheme="majorBidi" w:cs="DanaFajr" w:hint="cs"/>
          <w:sz w:val="28"/>
          <w:szCs w:val="28"/>
          <w:rtl/>
        </w:rPr>
        <w:t>إ</w:t>
      </w:r>
      <w:r w:rsidRPr="00282AC9">
        <w:rPr>
          <w:rFonts w:asciiTheme="majorBidi" w:hAnsiTheme="majorBidi" w:cs="DanaFajr"/>
          <w:sz w:val="28"/>
          <w:szCs w:val="28"/>
          <w:rtl/>
        </w:rPr>
        <w:t>سلامية: 366، دار العلم للملايين، ط6، 1982م</w:t>
      </w:r>
      <w:r w:rsidRPr="00282AC9">
        <w:rPr>
          <w:rFonts w:asciiTheme="majorBidi" w:hAnsiTheme="majorBidi" w:cs="DanaFajr" w:hint="cs"/>
          <w:sz w:val="28"/>
          <w:szCs w:val="28"/>
          <w:rtl/>
        </w:rPr>
        <w:t>.</w:t>
      </w:r>
    </w:p>
  </w:endnote>
  <w:endnote w:id="44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محمد صادق </w:t>
      </w:r>
      <w:r w:rsidRPr="00282AC9">
        <w:rPr>
          <w:rFonts w:asciiTheme="majorBidi" w:hAnsiTheme="majorBidi" w:cs="DanaFajr"/>
          <w:sz w:val="28"/>
          <w:szCs w:val="28"/>
          <w:rtl/>
        </w:rPr>
        <w:t xml:space="preserve">الخرسان، الخمس: </w:t>
      </w:r>
      <w:r w:rsidRPr="00282AC9">
        <w:rPr>
          <w:rFonts w:asciiTheme="majorBidi" w:hAnsiTheme="majorBidi" w:cs="DanaFajr" w:hint="cs"/>
          <w:sz w:val="28"/>
          <w:szCs w:val="28"/>
          <w:rtl/>
        </w:rPr>
        <w:t>45.</w:t>
      </w:r>
    </w:p>
  </w:endnote>
  <w:endnote w:id="44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أبو جعفر الطبري، جامع البيا</w:t>
      </w:r>
      <w:r w:rsidRPr="00282AC9">
        <w:rPr>
          <w:rFonts w:asciiTheme="majorBidi" w:hAnsiTheme="majorBidi" w:cs="DanaFajr" w:hint="cs"/>
          <w:sz w:val="28"/>
          <w:szCs w:val="28"/>
          <w:rtl/>
          <w:lang w:bidi="ar-OM"/>
        </w:rPr>
        <w:t xml:space="preserve">ن </w:t>
      </w:r>
      <w:r w:rsidRPr="00282AC9">
        <w:rPr>
          <w:rFonts w:asciiTheme="majorBidi" w:hAnsiTheme="majorBidi" w:cs="DanaFajr" w:hint="cs"/>
          <w:sz w:val="28"/>
          <w:szCs w:val="28"/>
          <w:rtl/>
        </w:rPr>
        <w:t xml:space="preserve">6: 171 ـ 248، دار الكتب العلمية، بيروت ، ط1، 1992م. </w:t>
      </w:r>
    </w:p>
  </w:endnote>
  <w:endnote w:id="44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lang w:bidi="ar-OM"/>
        </w:rPr>
        <w:t xml:space="preserve">القاضي البيضاوي، تفسير البيضاوي </w:t>
      </w:r>
      <w:r w:rsidRPr="00282AC9">
        <w:rPr>
          <w:rFonts w:asciiTheme="majorBidi" w:hAnsiTheme="majorBidi" w:cs="DanaFajr" w:hint="cs"/>
          <w:sz w:val="28"/>
          <w:szCs w:val="28"/>
          <w:rtl/>
          <w:lang w:bidi="ar-OM"/>
        </w:rPr>
        <w:t>(</w:t>
      </w:r>
      <w:r w:rsidRPr="00282AC9">
        <w:rPr>
          <w:rFonts w:asciiTheme="majorBidi" w:hAnsiTheme="majorBidi" w:cs="DanaFajr"/>
          <w:sz w:val="28"/>
          <w:szCs w:val="28"/>
          <w:rtl/>
          <w:lang w:bidi="ar-OM"/>
        </w:rPr>
        <w:t>مع حاشية زاده</w:t>
      </w:r>
      <w:r w:rsidRPr="00282AC9">
        <w:rPr>
          <w:rFonts w:asciiTheme="majorBidi" w:hAnsiTheme="majorBidi" w:cs="DanaFajr" w:hint="cs"/>
          <w:sz w:val="28"/>
          <w:szCs w:val="28"/>
          <w:rtl/>
          <w:lang w:bidi="ar-OM"/>
        </w:rPr>
        <w:t>)</w:t>
      </w:r>
      <w:r w:rsidRPr="00282AC9">
        <w:rPr>
          <w:rFonts w:asciiTheme="majorBidi" w:hAnsiTheme="majorBidi" w:cs="DanaFajr"/>
          <w:sz w:val="28"/>
          <w:szCs w:val="28"/>
          <w:rtl/>
          <w:lang w:bidi="ar-OM"/>
        </w:rPr>
        <w:t xml:space="preserve"> 2: 408، المطبعة العثمانية.</w:t>
      </w:r>
    </w:p>
  </w:endnote>
  <w:endnote w:id="44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ابن كثير</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تفسير</w:t>
      </w:r>
      <w:r w:rsidRPr="00282AC9">
        <w:rPr>
          <w:rFonts w:asciiTheme="majorBidi" w:hAnsiTheme="majorBidi" w:cs="DanaFajr" w:hint="cs"/>
          <w:sz w:val="28"/>
          <w:szCs w:val="28"/>
          <w:rtl/>
        </w:rPr>
        <w:t xml:space="preserve"> ابن كثير 2: 310، مكتبة دار التراث، القاهرة</w:t>
      </w:r>
      <w:r w:rsidRPr="00282AC9">
        <w:rPr>
          <w:rFonts w:cs="DanaFajr" w:hint="cs"/>
          <w:sz w:val="28"/>
          <w:szCs w:val="28"/>
          <w:rtl/>
        </w:rPr>
        <w:t>.</w:t>
      </w:r>
    </w:p>
  </w:endnote>
  <w:endnote w:id="45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أحمد بن محمد الأردبيلي، </w:t>
      </w:r>
      <w:r w:rsidRPr="00282AC9">
        <w:rPr>
          <w:rFonts w:asciiTheme="majorBidi" w:hAnsiTheme="majorBidi" w:cs="DanaFajr"/>
          <w:sz w:val="28"/>
          <w:szCs w:val="28"/>
          <w:rtl/>
        </w:rPr>
        <w:t>زبدة البيان في أحكام القرآن: 209، تحقيق</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محمد باقر البهبودي.</w:t>
      </w:r>
    </w:p>
  </w:endnote>
  <w:endnote w:id="45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رشيد رضا، المنار 10: 3</w:t>
      </w:r>
      <w:r w:rsidRPr="00282AC9">
        <w:rPr>
          <w:rFonts w:asciiTheme="majorBidi" w:hAnsiTheme="majorBidi" w:cs="DanaFajr" w:hint="cs"/>
          <w:sz w:val="28"/>
          <w:szCs w:val="28"/>
          <w:rtl/>
        </w:rPr>
        <w:t>.</w:t>
      </w:r>
    </w:p>
  </w:endnote>
  <w:endnote w:id="45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أبو جعفر الطوسي، </w:t>
      </w:r>
      <w:r w:rsidRPr="00282AC9">
        <w:rPr>
          <w:rFonts w:asciiTheme="majorBidi" w:hAnsiTheme="majorBidi" w:cs="DanaFajr"/>
          <w:sz w:val="28"/>
          <w:szCs w:val="28"/>
          <w:rtl/>
        </w:rPr>
        <w:t xml:space="preserve">التبيان </w:t>
      </w:r>
      <w:r w:rsidRPr="00282AC9">
        <w:rPr>
          <w:rFonts w:asciiTheme="majorBidi" w:hAnsiTheme="majorBidi" w:cs="DanaFajr" w:hint="cs"/>
          <w:sz w:val="28"/>
          <w:szCs w:val="28"/>
          <w:rtl/>
        </w:rPr>
        <w:t>5: 123، تحقيق: أحمد حبيب العاملي، دار إحياء التراث العربي، بيروت.</w:t>
      </w:r>
    </w:p>
  </w:endnote>
  <w:endnote w:id="45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أبو عليّ الطبرسي، مجمع البيان 4: 836، تحقيق: هاشم المحلاّتي وزميله، دار المعرفة، بيروت، ط1، 1986م.</w:t>
      </w:r>
    </w:p>
  </w:endnote>
  <w:endnote w:id="45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سعيد بن هبة الراوندي، </w:t>
      </w:r>
      <w:r w:rsidRPr="00282AC9">
        <w:rPr>
          <w:rFonts w:asciiTheme="majorBidi" w:hAnsiTheme="majorBidi" w:cs="DanaFajr"/>
          <w:sz w:val="28"/>
          <w:szCs w:val="28"/>
          <w:rtl/>
        </w:rPr>
        <w:t>فقه القرآن 1</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242</w:t>
      </w:r>
      <w:r w:rsidRPr="00282AC9">
        <w:rPr>
          <w:rFonts w:asciiTheme="majorBidi" w:hAnsiTheme="majorBidi" w:cs="DanaFajr" w:hint="cs"/>
          <w:sz w:val="28"/>
          <w:szCs w:val="28"/>
          <w:rtl/>
        </w:rPr>
        <w:t>، تحقيق: أحمد الحسيني، ط2، قم ـ إيران، 1405هـ.</w:t>
      </w:r>
    </w:p>
  </w:endnote>
  <w:endnote w:id="45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محمد حسين الطباطبائي الميزان 10</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91، مؤس</w:t>
      </w:r>
      <w:r w:rsidRPr="00282AC9">
        <w:rPr>
          <w:rFonts w:asciiTheme="majorBidi" w:hAnsiTheme="majorBidi" w:cs="DanaFajr" w:hint="cs"/>
          <w:sz w:val="28"/>
          <w:szCs w:val="28"/>
          <w:rtl/>
        </w:rPr>
        <w:t>ّ</w:t>
      </w:r>
      <w:r w:rsidRPr="00282AC9">
        <w:rPr>
          <w:rFonts w:asciiTheme="majorBidi" w:hAnsiTheme="majorBidi" w:cs="DanaFajr"/>
          <w:sz w:val="28"/>
          <w:szCs w:val="28"/>
          <w:rtl/>
        </w:rPr>
        <w:t>سة الأعلمي</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بيروت ، ط5، 1983م</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w:t>
      </w:r>
    </w:p>
  </w:endnote>
  <w:endnote w:id="45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محمد حسين فضل الله، من وحي القرآن 10</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296، دار الزهراء، ط1، 1984م</w:t>
      </w:r>
      <w:r w:rsidRPr="00282AC9">
        <w:rPr>
          <w:rFonts w:cs="DanaFajr" w:hint="cs"/>
          <w:sz w:val="28"/>
          <w:szCs w:val="28"/>
          <w:rtl/>
        </w:rPr>
        <w:t>.</w:t>
      </w:r>
    </w:p>
  </w:endnote>
  <w:endnote w:id="45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أبو يوسف، موسوعة الخراج، الخراج (1): 18، دار المعرفة، بيروت، 1979م.</w:t>
      </w:r>
    </w:p>
  </w:endnote>
  <w:endnote w:id="45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يحيى بن آدم،</w:t>
      </w:r>
      <w:r w:rsidRPr="00282AC9">
        <w:rPr>
          <w:rFonts w:asciiTheme="majorBidi" w:hAnsiTheme="majorBidi" w:cs="DanaFajr"/>
          <w:sz w:val="28"/>
          <w:szCs w:val="28"/>
          <w:rtl/>
        </w:rPr>
        <w:t xml:space="preserve"> موسوعة الخراج،</w:t>
      </w:r>
      <w:r w:rsidRPr="00282AC9">
        <w:rPr>
          <w:rFonts w:asciiTheme="majorBidi" w:hAnsiTheme="majorBidi" w:cs="DanaFajr" w:hint="cs"/>
          <w:sz w:val="28"/>
          <w:szCs w:val="28"/>
          <w:rtl/>
        </w:rPr>
        <w:t xml:space="preserve"> الخراج (2): 19، دار المعرفة، بيروت، 1979م.</w:t>
      </w:r>
    </w:p>
  </w:endnote>
  <w:endnote w:id="45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علي</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بن محمد البيساني، مختصر البسيوي: 90، تقديم</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الشيخ أحمد الخليلي، دار الحكمة، لندن، 2007م.</w:t>
      </w:r>
    </w:p>
  </w:endnote>
  <w:endnote w:id="46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أبو الحسن الماوردي، </w:t>
      </w:r>
      <w:r w:rsidRPr="00282AC9">
        <w:rPr>
          <w:rFonts w:asciiTheme="majorBidi" w:hAnsiTheme="majorBidi" w:cs="DanaFajr"/>
          <w:sz w:val="28"/>
          <w:szCs w:val="28"/>
          <w:rtl/>
        </w:rPr>
        <w:t>الأحكام السلطانية</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126</w:t>
      </w:r>
      <w:r w:rsidRPr="00282AC9">
        <w:rPr>
          <w:rFonts w:asciiTheme="majorBidi" w:hAnsiTheme="majorBidi" w:cs="DanaFajr" w:hint="cs"/>
          <w:sz w:val="28"/>
          <w:szCs w:val="28"/>
          <w:rtl/>
        </w:rPr>
        <w:t>، دار الكتب العلمية، بيروت، 1987م.</w:t>
      </w:r>
    </w:p>
  </w:endnote>
  <w:endnote w:id="46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تقي</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الدين بن تيمية، السياسة الشرعي</w:t>
      </w:r>
      <w:r w:rsidRPr="00282AC9">
        <w:rPr>
          <w:rFonts w:asciiTheme="majorBidi" w:hAnsiTheme="majorBidi" w:cs="DanaFajr" w:hint="cs"/>
          <w:sz w:val="28"/>
          <w:szCs w:val="28"/>
          <w:rtl/>
        </w:rPr>
        <w:t>ّ</w:t>
      </w:r>
      <w:r w:rsidRPr="00282AC9">
        <w:rPr>
          <w:rFonts w:asciiTheme="majorBidi" w:hAnsiTheme="majorBidi" w:cs="DanaFajr"/>
          <w:sz w:val="28"/>
          <w:szCs w:val="28"/>
          <w:rtl/>
        </w:rPr>
        <w:t>ة: 32، دار المعرفة</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بيروت، ط4، 1969م.</w:t>
      </w:r>
    </w:p>
  </w:endnote>
  <w:endnote w:id="46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محمد الموسوي العاملي،</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مدارك الأحكا</w:t>
      </w:r>
      <w:r w:rsidRPr="00282AC9">
        <w:rPr>
          <w:rFonts w:asciiTheme="majorBidi" w:hAnsiTheme="majorBidi" w:cs="DanaFajr" w:hint="cs"/>
          <w:sz w:val="28"/>
          <w:szCs w:val="28"/>
          <w:rtl/>
        </w:rPr>
        <w:t>م</w:t>
      </w:r>
      <w:r w:rsidRPr="00282AC9">
        <w:rPr>
          <w:rFonts w:asciiTheme="majorBidi" w:hAnsiTheme="majorBidi" w:cs="DanaFajr"/>
          <w:sz w:val="28"/>
          <w:szCs w:val="28"/>
          <w:rtl/>
        </w:rPr>
        <w:t xml:space="preserve"> 5: 381، مؤس</w:t>
      </w:r>
      <w:r w:rsidRPr="00282AC9">
        <w:rPr>
          <w:rFonts w:asciiTheme="majorBidi" w:hAnsiTheme="majorBidi" w:cs="DanaFajr" w:hint="cs"/>
          <w:sz w:val="28"/>
          <w:szCs w:val="28"/>
          <w:rtl/>
        </w:rPr>
        <w:t>ّ</w:t>
      </w:r>
      <w:r w:rsidRPr="00282AC9">
        <w:rPr>
          <w:rFonts w:asciiTheme="majorBidi" w:hAnsiTheme="majorBidi" w:cs="DanaFajr"/>
          <w:sz w:val="28"/>
          <w:szCs w:val="28"/>
          <w:rtl/>
        </w:rPr>
        <w:t>سة آل البيت</w:t>
      </w:r>
      <w:r w:rsidRPr="00282AC9">
        <w:rPr>
          <w:rFonts w:cs="Mosawi" w:hint="cs"/>
          <w:rtl/>
        </w:rPr>
        <w:t>^</w:t>
      </w:r>
      <w:r w:rsidRPr="00282AC9">
        <w:rPr>
          <w:rFonts w:asciiTheme="majorBidi" w:hAnsiTheme="majorBidi" w:cs="DanaFajr"/>
          <w:sz w:val="28"/>
          <w:szCs w:val="28"/>
          <w:rtl/>
        </w:rPr>
        <w:t xml:space="preserve"> ل</w:t>
      </w:r>
      <w:r w:rsidRPr="00282AC9">
        <w:rPr>
          <w:rFonts w:asciiTheme="majorBidi" w:hAnsiTheme="majorBidi" w:cs="DanaFajr" w:hint="cs"/>
          <w:sz w:val="28"/>
          <w:szCs w:val="28"/>
          <w:rtl/>
        </w:rPr>
        <w:t>إ</w:t>
      </w:r>
      <w:r w:rsidRPr="00282AC9">
        <w:rPr>
          <w:rFonts w:asciiTheme="majorBidi" w:hAnsiTheme="majorBidi" w:cs="DanaFajr"/>
          <w:sz w:val="28"/>
          <w:szCs w:val="28"/>
          <w:rtl/>
        </w:rPr>
        <w:t xml:space="preserve">حياء التراث، </w:t>
      </w:r>
      <w:r w:rsidRPr="00282AC9">
        <w:rPr>
          <w:rFonts w:asciiTheme="majorBidi" w:hAnsiTheme="majorBidi" w:cs="DanaFajr" w:hint="cs"/>
          <w:sz w:val="28"/>
          <w:szCs w:val="28"/>
          <w:rtl/>
        </w:rPr>
        <w:t>ط1</w:t>
      </w:r>
      <w:r w:rsidRPr="00282AC9">
        <w:rPr>
          <w:rFonts w:asciiTheme="majorBidi" w:hAnsiTheme="majorBidi" w:cs="DanaFajr"/>
          <w:sz w:val="28"/>
          <w:szCs w:val="28"/>
          <w:rtl/>
        </w:rPr>
        <w:t>، مشهد، 1410هـ</w:t>
      </w:r>
      <w:r w:rsidRPr="00282AC9">
        <w:rPr>
          <w:rFonts w:asciiTheme="majorBidi" w:hAnsiTheme="majorBidi" w:cs="DanaFajr" w:hint="cs"/>
          <w:sz w:val="28"/>
          <w:szCs w:val="28"/>
          <w:rtl/>
        </w:rPr>
        <w:t>.</w:t>
      </w:r>
    </w:p>
  </w:endnote>
  <w:endnote w:id="46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محمد باقر السبزواري، ذخيرة المعاد في شرح ال</w:t>
      </w:r>
      <w:r w:rsidRPr="00282AC9">
        <w:rPr>
          <w:rFonts w:asciiTheme="majorBidi" w:hAnsiTheme="majorBidi" w:cs="DanaFajr" w:hint="cs"/>
          <w:sz w:val="28"/>
          <w:szCs w:val="28"/>
          <w:rtl/>
        </w:rPr>
        <w:t>إ</w:t>
      </w:r>
      <w:r w:rsidRPr="00282AC9">
        <w:rPr>
          <w:rFonts w:asciiTheme="majorBidi" w:hAnsiTheme="majorBidi" w:cs="DanaFajr"/>
          <w:sz w:val="28"/>
          <w:szCs w:val="28"/>
          <w:rtl/>
        </w:rPr>
        <w:t>رشاد 1</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480</w:t>
      </w:r>
      <w:r w:rsidRPr="00282AC9">
        <w:rPr>
          <w:rFonts w:asciiTheme="majorBidi" w:hAnsiTheme="majorBidi" w:cs="DanaFajr" w:hint="cs"/>
          <w:sz w:val="28"/>
          <w:szCs w:val="28"/>
          <w:rtl/>
        </w:rPr>
        <w:t xml:space="preserve"> (القسم الثالث)</w:t>
      </w:r>
      <w:r w:rsidRPr="00282AC9">
        <w:rPr>
          <w:rFonts w:asciiTheme="majorBidi" w:hAnsiTheme="majorBidi" w:cs="DanaFajr"/>
          <w:sz w:val="28"/>
          <w:szCs w:val="28"/>
          <w:rtl/>
        </w:rPr>
        <w:t>، مؤس</w:t>
      </w:r>
      <w:r w:rsidRPr="00282AC9">
        <w:rPr>
          <w:rFonts w:asciiTheme="majorBidi" w:hAnsiTheme="majorBidi" w:cs="DanaFajr" w:hint="cs"/>
          <w:sz w:val="28"/>
          <w:szCs w:val="28"/>
          <w:rtl/>
        </w:rPr>
        <w:t>ّ</w:t>
      </w:r>
      <w:r w:rsidRPr="00282AC9">
        <w:rPr>
          <w:rFonts w:asciiTheme="majorBidi" w:hAnsiTheme="majorBidi" w:cs="DanaFajr"/>
          <w:sz w:val="28"/>
          <w:szCs w:val="28"/>
          <w:rtl/>
        </w:rPr>
        <w:t>سة آل البيت</w:t>
      </w:r>
      <w:r w:rsidRPr="00282AC9">
        <w:rPr>
          <w:rFonts w:cs="Mosawi" w:hint="cs"/>
          <w:rtl/>
        </w:rPr>
        <w:t>^</w:t>
      </w:r>
      <w:r w:rsidRPr="00282AC9">
        <w:rPr>
          <w:rFonts w:asciiTheme="majorBidi" w:hAnsiTheme="majorBidi" w:cs="DanaFajr"/>
          <w:sz w:val="28"/>
          <w:szCs w:val="28"/>
          <w:rtl/>
        </w:rPr>
        <w:t xml:space="preserve"> ل</w:t>
      </w:r>
      <w:r w:rsidRPr="00282AC9">
        <w:rPr>
          <w:rFonts w:asciiTheme="majorBidi" w:hAnsiTheme="majorBidi" w:cs="DanaFajr" w:hint="cs"/>
          <w:sz w:val="28"/>
          <w:szCs w:val="28"/>
          <w:rtl/>
        </w:rPr>
        <w:t>إ</w:t>
      </w:r>
      <w:r w:rsidRPr="00282AC9">
        <w:rPr>
          <w:rFonts w:asciiTheme="majorBidi" w:hAnsiTheme="majorBidi" w:cs="DanaFajr"/>
          <w:sz w:val="28"/>
          <w:szCs w:val="28"/>
          <w:rtl/>
        </w:rPr>
        <w:t>حياء التراث.</w:t>
      </w:r>
    </w:p>
  </w:endnote>
  <w:endnote w:id="46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علي الطباطبائي، رياض المسائل 5: 227 تحقيق</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مؤس</w:t>
      </w:r>
      <w:r w:rsidRPr="00282AC9">
        <w:rPr>
          <w:rFonts w:asciiTheme="majorBidi" w:hAnsiTheme="majorBidi" w:cs="DanaFajr" w:hint="cs"/>
          <w:sz w:val="28"/>
          <w:szCs w:val="28"/>
          <w:rtl/>
        </w:rPr>
        <w:t>ّ</w:t>
      </w:r>
      <w:r w:rsidRPr="00282AC9">
        <w:rPr>
          <w:rFonts w:asciiTheme="majorBidi" w:hAnsiTheme="majorBidi" w:cs="DanaFajr"/>
          <w:sz w:val="28"/>
          <w:szCs w:val="28"/>
          <w:rtl/>
        </w:rPr>
        <w:t>سة آل البيت</w:t>
      </w:r>
      <w:r w:rsidRPr="00282AC9">
        <w:rPr>
          <w:rFonts w:cs="Mosawi" w:hint="cs"/>
          <w:rtl/>
        </w:rPr>
        <w:t>^</w:t>
      </w:r>
      <w:r w:rsidRPr="00282AC9">
        <w:rPr>
          <w:rFonts w:asciiTheme="majorBidi" w:hAnsiTheme="majorBidi" w:cs="DanaFajr"/>
          <w:sz w:val="28"/>
          <w:szCs w:val="28"/>
          <w:rtl/>
        </w:rPr>
        <w:t xml:space="preserve"> ل</w:t>
      </w:r>
      <w:r w:rsidRPr="00282AC9">
        <w:rPr>
          <w:rFonts w:asciiTheme="majorBidi" w:hAnsiTheme="majorBidi" w:cs="DanaFajr" w:hint="cs"/>
          <w:sz w:val="28"/>
          <w:szCs w:val="28"/>
          <w:rtl/>
        </w:rPr>
        <w:t>إ</w:t>
      </w:r>
      <w:r w:rsidRPr="00282AC9">
        <w:rPr>
          <w:rFonts w:asciiTheme="majorBidi" w:hAnsiTheme="majorBidi" w:cs="DanaFajr"/>
          <w:sz w:val="28"/>
          <w:szCs w:val="28"/>
          <w:rtl/>
        </w:rPr>
        <w:t>حياء التراث.</w:t>
      </w:r>
    </w:p>
  </w:endnote>
  <w:endnote w:id="46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المصدر السابق </w:t>
      </w:r>
      <w:r w:rsidRPr="00282AC9">
        <w:rPr>
          <w:rFonts w:asciiTheme="majorBidi" w:hAnsiTheme="majorBidi" w:cs="DanaFajr"/>
          <w:sz w:val="28"/>
          <w:szCs w:val="28"/>
          <w:rtl/>
        </w:rPr>
        <w:t>1</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15</w:t>
      </w:r>
      <w:r w:rsidRPr="00282AC9">
        <w:rPr>
          <w:rFonts w:asciiTheme="majorBidi" w:hAnsiTheme="majorBidi" w:cs="DanaFajr" w:hint="cs"/>
          <w:sz w:val="28"/>
          <w:szCs w:val="28"/>
          <w:rtl/>
        </w:rPr>
        <w:t>.</w:t>
      </w:r>
    </w:p>
  </w:endnote>
  <w:endnote w:id="46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محمود الهاشمي</w:t>
      </w:r>
      <w:r w:rsidRPr="00282AC9">
        <w:rPr>
          <w:rFonts w:asciiTheme="majorBidi" w:hAnsiTheme="majorBidi" w:cs="DanaFajr" w:hint="cs"/>
          <w:sz w:val="28"/>
          <w:szCs w:val="28"/>
          <w:rtl/>
        </w:rPr>
        <w:t xml:space="preserve">، الخمس </w:t>
      </w:r>
      <w:r w:rsidRPr="00282AC9">
        <w:rPr>
          <w:rFonts w:asciiTheme="majorBidi" w:hAnsiTheme="majorBidi" w:cs="DanaFajr"/>
          <w:sz w:val="28"/>
          <w:szCs w:val="28"/>
          <w:rtl/>
        </w:rPr>
        <w:t>2</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10، مكتب ال</w:t>
      </w:r>
      <w:r w:rsidRPr="00282AC9">
        <w:rPr>
          <w:rFonts w:asciiTheme="majorBidi" w:hAnsiTheme="majorBidi" w:cs="DanaFajr" w:hint="cs"/>
          <w:sz w:val="28"/>
          <w:szCs w:val="28"/>
          <w:rtl/>
        </w:rPr>
        <w:t>إ</w:t>
      </w:r>
      <w:r w:rsidRPr="00282AC9">
        <w:rPr>
          <w:rFonts w:asciiTheme="majorBidi" w:hAnsiTheme="majorBidi" w:cs="DanaFajr"/>
          <w:sz w:val="28"/>
          <w:szCs w:val="28"/>
          <w:rtl/>
        </w:rPr>
        <w:t>علام ال</w:t>
      </w:r>
      <w:r w:rsidRPr="00282AC9">
        <w:rPr>
          <w:rFonts w:asciiTheme="majorBidi" w:hAnsiTheme="majorBidi" w:cs="DanaFajr" w:hint="cs"/>
          <w:sz w:val="28"/>
          <w:szCs w:val="28"/>
          <w:rtl/>
        </w:rPr>
        <w:t>إ</w:t>
      </w:r>
      <w:r w:rsidRPr="00282AC9">
        <w:rPr>
          <w:rFonts w:asciiTheme="majorBidi" w:hAnsiTheme="majorBidi" w:cs="DanaFajr"/>
          <w:sz w:val="28"/>
          <w:szCs w:val="28"/>
          <w:rtl/>
        </w:rPr>
        <w:t>سلامي، ط1، 1410هـ.</w:t>
      </w:r>
    </w:p>
  </w:endnote>
  <w:endnote w:id="46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المصدر السابق </w:t>
      </w:r>
      <w:r w:rsidRPr="00282AC9">
        <w:rPr>
          <w:rFonts w:asciiTheme="majorBidi" w:hAnsiTheme="majorBidi" w:cs="DanaFajr"/>
          <w:sz w:val="28"/>
          <w:szCs w:val="28"/>
          <w:rtl/>
        </w:rPr>
        <w:t>2</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11</w:t>
      </w:r>
      <w:r w:rsidRPr="00282AC9">
        <w:rPr>
          <w:rFonts w:asciiTheme="majorBidi" w:hAnsiTheme="majorBidi" w:cs="DanaFajr" w:hint="cs"/>
          <w:sz w:val="28"/>
          <w:szCs w:val="28"/>
          <w:rtl/>
        </w:rPr>
        <w:t>.</w:t>
      </w:r>
    </w:p>
  </w:endnote>
  <w:endnote w:id="46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المصدر السابق </w:t>
      </w:r>
      <w:r w:rsidRPr="00282AC9">
        <w:rPr>
          <w:rFonts w:asciiTheme="majorBidi" w:hAnsiTheme="majorBidi" w:cs="DanaFajr"/>
          <w:sz w:val="28"/>
          <w:szCs w:val="28"/>
          <w:rtl/>
        </w:rPr>
        <w:t>1</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15</w:t>
      </w:r>
      <w:r w:rsidRPr="00282AC9">
        <w:rPr>
          <w:rFonts w:asciiTheme="majorBidi" w:hAnsiTheme="majorBidi" w:cs="DanaFajr" w:hint="cs"/>
          <w:sz w:val="28"/>
          <w:szCs w:val="28"/>
          <w:rtl/>
        </w:rPr>
        <w:t>.</w:t>
      </w:r>
    </w:p>
  </w:endnote>
  <w:endnote w:id="46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المصدر السابق </w:t>
      </w:r>
      <w:r w:rsidRPr="00282AC9">
        <w:rPr>
          <w:rFonts w:asciiTheme="majorBidi" w:hAnsiTheme="majorBidi" w:cs="DanaFajr"/>
          <w:sz w:val="28"/>
          <w:szCs w:val="28"/>
          <w:rtl/>
        </w:rPr>
        <w:t>2</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16</w:t>
      </w:r>
      <w:r w:rsidRPr="00282AC9">
        <w:rPr>
          <w:rFonts w:asciiTheme="majorBidi" w:hAnsiTheme="majorBidi" w:cs="DanaFajr" w:hint="cs"/>
          <w:sz w:val="28"/>
          <w:szCs w:val="28"/>
          <w:rtl/>
        </w:rPr>
        <w:t>.</w:t>
      </w:r>
    </w:p>
  </w:endnote>
  <w:endnote w:id="47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سيد سابق، فقه السن</w:t>
      </w:r>
      <w:r w:rsidRPr="00282AC9">
        <w:rPr>
          <w:rFonts w:asciiTheme="majorBidi" w:hAnsiTheme="majorBidi" w:cs="DanaFajr" w:hint="cs"/>
          <w:sz w:val="28"/>
          <w:szCs w:val="28"/>
          <w:rtl/>
        </w:rPr>
        <w:t>ّ</w:t>
      </w:r>
      <w:r w:rsidRPr="00282AC9">
        <w:rPr>
          <w:rFonts w:asciiTheme="majorBidi" w:hAnsiTheme="majorBidi" w:cs="DanaFajr"/>
          <w:sz w:val="28"/>
          <w:szCs w:val="28"/>
          <w:rtl/>
        </w:rPr>
        <w:t>ة 1</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329، دار الكتاب العربي، بيروت، ط8، 1987م.</w:t>
      </w:r>
    </w:p>
  </w:endnote>
  <w:endnote w:id="47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 xml:space="preserve">محمد بن </w:t>
      </w:r>
      <w:r w:rsidRPr="00282AC9">
        <w:rPr>
          <w:rFonts w:asciiTheme="majorBidi" w:hAnsiTheme="majorBidi" w:cs="DanaFajr" w:hint="cs"/>
          <w:sz w:val="28"/>
          <w:szCs w:val="28"/>
          <w:rtl/>
        </w:rPr>
        <w:t>إ</w:t>
      </w:r>
      <w:r w:rsidRPr="00282AC9">
        <w:rPr>
          <w:rFonts w:asciiTheme="majorBidi" w:hAnsiTheme="majorBidi" w:cs="DanaFajr"/>
          <w:sz w:val="28"/>
          <w:szCs w:val="28"/>
          <w:rtl/>
        </w:rPr>
        <w:t>سماعيل البخاري، صحيح البخاري: 292،</w:t>
      </w:r>
      <w:r w:rsidRPr="00282AC9">
        <w:rPr>
          <w:rFonts w:asciiTheme="majorBidi" w:hAnsiTheme="majorBidi" w:cs="DanaFajr" w:hint="cs"/>
          <w:sz w:val="28"/>
          <w:szCs w:val="28"/>
          <w:rtl/>
        </w:rPr>
        <w:t xml:space="preserve"> ح1499، </w:t>
      </w:r>
      <w:r w:rsidRPr="00282AC9">
        <w:rPr>
          <w:rFonts w:asciiTheme="majorBidi" w:hAnsiTheme="majorBidi" w:cs="DanaFajr"/>
          <w:sz w:val="28"/>
          <w:szCs w:val="28"/>
          <w:rtl/>
        </w:rPr>
        <w:t>بيت الأفكار الدولية</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الرياض، 1998م.</w:t>
      </w:r>
    </w:p>
  </w:endnote>
  <w:endnote w:id="47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 xml:space="preserve">أبو يوسف، </w:t>
      </w:r>
      <w:r w:rsidRPr="00282AC9">
        <w:rPr>
          <w:rFonts w:asciiTheme="majorBidi" w:hAnsiTheme="majorBidi" w:cs="DanaFajr" w:hint="cs"/>
          <w:sz w:val="28"/>
          <w:szCs w:val="28"/>
          <w:rtl/>
        </w:rPr>
        <w:t xml:space="preserve">موسوعة الخراج، </w:t>
      </w:r>
      <w:r w:rsidRPr="00282AC9">
        <w:rPr>
          <w:rFonts w:asciiTheme="majorBidi" w:hAnsiTheme="majorBidi" w:cs="DanaFajr"/>
          <w:sz w:val="28"/>
          <w:szCs w:val="28"/>
          <w:rtl/>
        </w:rPr>
        <w:t xml:space="preserve">الخراج </w:t>
      </w:r>
      <w:r w:rsidRPr="00282AC9">
        <w:rPr>
          <w:rFonts w:asciiTheme="majorBidi" w:hAnsiTheme="majorBidi" w:cs="DanaFajr" w:hint="cs"/>
          <w:sz w:val="28"/>
          <w:szCs w:val="28"/>
          <w:rtl/>
        </w:rPr>
        <w:t xml:space="preserve">(1): </w:t>
      </w:r>
      <w:r w:rsidRPr="00282AC9">
        <w:rPr>
          <w:rFonts w:asciiTheme="majorBidi" w:hAnsiTheme="majorBidi" w:cs="DanaFajr"/>
          <w:sz w:val="28"/>
          <w:szCs w:val="28"/>
          <w:rtl/>
        </w:rPr>
        <w:t>21.</w:t>
      </w:r>
    </w:p>
  </w:endnote>
  <w:endnote w:id="47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عبد الحمن الجزيري، الفقه على المذاهب الأربعة 1</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555، دار الكتب العلمية، بيروت، 2003م.</w:t>
      </w:r>
    </w:p>
  </w:endnote>
  <w:endnote w:id="47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أحمد بن يحيى بن المرتضى، شرح الأزهار 1</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263 ـ 267</w:t>
      </w:r>
      <w:r w:rsidRPr="00282AC9">
        <w:rPr>
          <w:rFonts w:asciiTheme="majorBidi" w:hAnsiTheme="majorBidi" w:cs="DanaFajr" w:hint="cs"/>
          <w:sz w:val="28"/>
          <w:szCs w:val="28"/>
          <w:rtl/>
        </w:rPr>
        <w:t>، بدون بيانات.</w:t>
      </w:r>
    </w:p>
  </w:endnote>
  <w:endnote w:id="47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حسن القزويني، الخمس في الشريعة الاسلامية: 39، دار الزهراء، 1979م.</w:t>
      </w:r>
    </w:p>
  </w:endnote>
  <w:endnote w:id="47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نوري الهمداني، الخمس: 82.</w:t>
      </w:r>
    </w:p>
  </w:endnote>
  <w:endnote w:id="47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محمد بن بابويه الصدوق، الهداية: 177، مؤس</w:t>
      </w:r>
      <w:r w:rsidRPr="00282AC9">
        <w:rPr>
          <w:rFonts w:asciiTheme="majorBidi" w:hAnsiTheme="majorBidi" w:cs="DanaFajr" w:hint="cs"/>
          <w:sz w:val="28"/>
          <w:szCs w:val="28"/>
          <w:rtl/>
        </w:rPr>
        <w:t>ّ</w:t>
      </w:r>
      <w:r w:rsidRPr="00282AC9">
        <w:rPr>
          <w:rFonts w:asciiTheme="majorBidi" w:hAnsiTheme="majorBidi" w:cs="DanaFajr"/>
          <w:sz w:val="28"/>
          <w:szCs w:val="28"/>
          <w:rtl/>
        </w:rPr>
        <w:t>سة الإمام الهادي</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1418هـ.</w:t>
      </w:r>
    </w:p>
  </w:endnote>
  <w:endnote w:id="47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محمد بن محمد بن النعمان</w:t>
      </w:r>
      <w:r w:rsidRPr="00282AC9">
        <w:rPr>
          <w:rFonts w:asciiTheme="majorBidi" w:hAnsiTheme="majorBidi" w:cs="DanaFajr"/>
          <w:sz w:val="28"/>
          <w:szCs w:val="28"/>
          <w:rtl/>
        </w:rPr>
        <w:t xml:space="preserve"> المفيد، المقنعة: 276</w:t>
      </w:r>
      <w:r w:rsidRPr="00282AC9">
        <w:rPr>
          <w:rFonts w:asciiTheme="majorBidi" w:hAnsiTheme="majorBidi" w:cs="DanaFajr" w:hint="cs"/>
          <w:sz w:val="28"/>
          <w:szCs w:val="28"/>
          <w:rtl/>
        </w:rPr>
        <w:t xml:space="preserve">، مؤسّسة النشر الإسلامي، قم </w:t>
      </w:r>
      <w:r w:rsidRPr="00282AC9">
        <w:rPr>
          <w:rFonts w:asciiTheme="majorBidi" w:hAnsiTheme="majorBidi" w:cs="DanaFajr"/>
          <w:sz w:val="28"/>
          <w:szCs w:val="28"/>
          <w:rtl/>
        </w:rPr>
        <w:t xml:space="preserve">ـ </w:t>
      </w:r>
      <w:r w:rsidRPr="00282AC9">
        <w:rPr>
          <w:rFonts w:asciiTheme="majorBidi" w:hAnsiTheme="majorBidi" w:cs="DanaFajr" w:hint="cs"/>
          <w:sz w:val="28"/>
          <w:szCs w:val="28"/>
          <w:rtl/>
        </w:rPr>
        <w:t>إيران، 1410هـ.</w:t>
      </w:r>
    </w:p>
  </w:endnote>
  <w:endnote w:id="47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عليّ بن الحسين </w:t>
      </w:r>
      <w:r w:rsidRPr="00282AC9">
        <w:rPr>
          <w:rFonts w:asciiTheme="majorBidi" w:hAnsiTheme="majorBidi" w:cs="DanaFajr"/>
          <w:sz w:val="28"/>
          <w:szCs w:val="28"/>
          <w:rtl/>
        </w:rPr>
        <w:t>المرتضى، الانتصار: 225، مؤس</w:t>
      </w:r>
      <w:r w:rsidRPr="00282AC9">
        <w:rPr>
          <w:rFonts w:asciiTheme="majorBidi" w:hAnsiTheme="majorBidi" w:cs="DanaFajr" w:hint="cs"/>
          <w:sz w:val="28"/>
          <w:szCs w:val="28"/>
          <w:rtl/>
        </w:rPr>
        <w:t>ّ</w:t>
      </w:r>
      <w:r w:rsidRPr="00282AC9">
        <w:rPr>
          <w:rFonts w:asciiTheme="majorBidi" w:hAnsiTheme="majorBidi" w:cs="DanaFajr"/>
          <w:sz w:val="28"/>
          <w:szCs w:val="28"/>
          <w:rtl/>
        </w:rPr>
        <w:t>سة النشر ال</w:t>
      </w:r>
      <w:r w:rsidRPr="00282AC9">
        <w:rPr>
          <w:rFonts w:asciiTheme="majorBidi" w:hAnsiTheme="majorBidi" w:cs="DanaFajr" w:hint="cs"/>
          <w:sz w:val="28"/>
          <w:szCs w:val="28"/>
          <w:rtl/>
        </w:rPr>
        <w:t>إ</w:t>
      </w:r>
      <w:r w:rsidRPr="00282AC9">
        <w:rPr>
          <w:rFonts w:asciiTheme="majorBidi" w:hAnsiTheme="majorBidi" w:cs="DanaFajr"/>
          <w:sz w:val="28"/>
          <w:szCs w:val="28"/>
          <w:rtl/>
        </w:rPr>
        <w:t>سلامي، 1415هـ</w:t>
      </w:r>
      <w:r w:rsidRPr="00282AC9">
        <w:rPr>
          <w:rFonts w:asciiTheme="majorBidi" w:hAnsiTheme="majorBidi" w:cs="DanaFajr" w:hint="cs"/>
          <w:sz w:val="28"/>
          <w:szCs w:val="28"/>
          <w:rtl/>
        </w:rPr>
        <w:t>.</w:t>
      </w:r>
    </w:p>
  </w:endnote>
  <w:endnote w:id="48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أبو جعفر الطوسي، </w:t>
      </w:r>
      <w:r w:rsidRPr="00282AC9">
        <w:rPr>
          <w:rFonts w:asciiTheme="majorBidi" w:hAnsiTheme="majorBidi" w:cs="DanaFajr"/>
          <w:sz w:val="28"/>
          <w:szCs w:val="28"/>
          <w:rtl/>
        </w:rPr>
        <w:t>الخلاف 4</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181</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تحقيق</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علي</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الخراساني وآخرين، 1414</w:t>
      </w:r>
      <w:r w:rsidRPr="00282AC9">
        <w:rPr>
          <w:rFonts w:asciiTheme="majorBidi" w:hAnsiTheme="majorBidi" w:cs="DanaFajr" w:hint="cs"/>
          <w:sz w:val="28"/>
          <w:szCs w:val="28"/>
          <w:rtl/>
        </w:rPr>
        <w:t>هـ.</w:t>
      </w:r>
    </w:p>
  </w:endnote>
  <w:endnote w:id="48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المحق</w:t>
      </w:r>
      <w:r w:rsidRPr="00282AC9">
        <w:rPr>
          <w:rFonts w:asciiTheme="majorBidi" w:hAnsiTheme="majorBidi" w:cs="DanaFajr" w:hint="cs"/>
          <w:sz w:val="28"/>
          <w:szCs w:val="28"/>
          <w:rtl/>
        </w:rPr>
        <w:t>ِّ</w:t>
      </w:r>
      <w:r w:rsidRPr="00282AC9">
        <w:rPr>
          <w:rFonts w:asciiTheme="majorBidi" w:hAnsiTheme="majorBidi" w:cs="DanaFajr"/>
          <w:sz w:val="28"/>
          <w:szCs w:val="28"/>
          <w:rtl/>
        </w:rPr>
        <w:t>ق الحل</w:t>
      </w:r>
      <w:r w:rsidRPr="00282AC9">
        <w:rPr>
          <w:rFonts w:asciiTheme="majorBidi" w:hAnsiTheme="majorBidi" w:cs="DanaFajr" w:hint="cs"/>
          <w:sz w:val="28"/>
          <w:szCs w:val="28"/>
          <w:rtl/>
        </w:rPr>
        <w:t>ّ</w:t>
      </w:r>
      <w:r w:rsidRPr="00282AC9">
        <w:rPr>
          <w:rFonts w:asciiTheme="majorBidi" w:hAnsiTheme="majorBidi" w:cs="DanaFajr"/>
          <w:sz w:val="28"/>
          <w:szCs w:val="28"/>
          <w:rtl/>
        </w:rPr>
        <w:t>ي، المعتبر 2</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623</w:t>
      </w:r>
      <w:r w:rsidRPr="00282AC9">
        <w:rPr>
          <w:rFonts w:asciiTheme="majorBidi" w:hAnsiTheme="majorBidi" w:cs="DanaFajr" w:hint="cs"/>
          <w:sz w:val="28"/>
          <w:szCs w:val="28"/>
          <w:rtl/>
        </w:rPr>
        <w:t xml:space="preserve">، تحقيق: بإشراف ناصر مكارم، مؤسّسة سيد الشهداء، 1364هـ.ش؛ وكذا: </w:t>
      </w:r>
      <w:r w:rsidRPr="00282AC9">
        <w:rPr>
          <w:rFonts w:asciiTheme="majorBidi" w:hAnsiTheme="majorBidi" w:cs="DanaFajr"/>
          <w:sz w:val="28"/>
          <w:szCs w:val="28"/>
          <w:rtl/>
        </w:rPr>
        <w:t>المحق</w:t>
      </w:r>
      <w:r w:rsidRPr="00282AC9">
        <w:rPr>
          <w:rFonts w:asciiTheme="majorBidi" w:hAnsiTheme="majorBidi" w:cs="DanaFajr" w:hint="cs"/>
          <w:sz w:val="28"/>
          <w:szCs w:val="28"/>
          <w:rtl/>
        </w:rPr>
        <w:t>ِّ</w:t>
      </w:r>
      <w:r w:rsidRPr="00282AC9">
        <w:rPr>
          <w:rFonts w:asciiTheme="majorBidi" w:hAnsiTheme="majorBidi" w:cs="DanaFajr"/>
          <w:sz w:val="28"/>
          <w:szCs w:val="28"/>
          <w:rtl/>
        </w:rPr>
        <w:t>ق الحل</w:t>
      </w:r>
      <w:r w:rsidRPr="00282AC9">
        <w:rPr>
          <w:rFonts w:asciiTheme="majorBidi" w:hAnsiTheme="majorBidi" w:cs="DanaFajr" w:hint="cs"/>
          <w:sz w:val="28"/>
          <w:szCs w:val="28"/>
          <w:rtl/>
        </w:rPr>
        <w:t>ّ</w:t>
      </w:r>
      <w:r w:rsidRPr="00282AC9">
        <w:rPr>
          <w:rFonts w:asciiTheme="majorBidi" w:hAnsiTheme="majorBidi" w:cs="DanaFajr"/>
          <w:sz w:val="28"/>
          <w:szCs w:val="28"/>
          <w:rtl/>
        </w:rPr>
        <w:t>ي، شرائع ال</w:t>
      </w:r>
      <w:r w:rsidRPr="00282AC9">
        <w:rPr>
          <w:rFonts w:asciiTheme="majorBidi" w:hAnsiTheme="majorBidi" w:cs="DanaFajr" w:hint="cs"/>
          <w:sz w:val="28"/>
          <w:szCs w:val="28"/>
          <w:rtl/>
        </w:rPr>
        <w:t>إ</w:t>
      </w:r>
      <w:r w:rsidRPr="00282AC9">
        <w:rPr>
          <w:rFonts w:asciiTheme="majorBidi" w:hAnsiTheme="majorBidi" w:cs="DanaFajr"/>
          <w:sz w:val="28"/>
          <w:szCs w:val="28"/>
          <w:rtl/>
        </w:rPr>
        <w:t xml:space="preserve">سلام، كتاب الجهاد </w:t>
      </w:r>
      <w:r w:rsidRPr="00282AC9">
        <w:rPr>
          <w:rFonts w:asciiTheme="majorBidi" w:hAnsiTheme="majorBidi" w:cs="DanaFajr" w:hint="cs"/>
          <w:sz w:val="28"/>
          <w:szCs w:val="28"/>
          <w:rtl/>
        </w:rPr>
        <w:t>(</w:t>
      </w:r>
      <w:r w:rsidRPr="00282AC9">
        <w:rPr>
          <w:rFonts w:asciiTheme="majorBidi" w:hAnsiTheme="majorBidi" w:cs="DanaFajr"/>
          <w:sz w:val="28"/>
          <w:szCs w:val="28"/>
          <w:rtl/>
        </w:rPr>
        <w:t>تعليقات صادق الشيرازي</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1</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242، مؤس</w:t>
      </w:r>
      <w:r w:rsidRPr="00282AC9">
        <w:rPr>
          <w:rFonts w:asciiTheme="majorBidi" w:hAnsiTheme="majorBidi" w:cs="DanaFajr" w:hint="cs"/>
          <w:sz w:val="28"/>
          <w:szCs w:val="28"/>
          <w:rtl/>
        </w:rPr>
        <w:t>ّ</w:t>
      </w:r>
      <w:r w:rsidRPr="00282AC9">
        <w:rPr>
          <w:rFonts w:asciiTheme="majorBidi" w:hAnsiTheme="majorBidi" w:cs="DanaFajr"/>
          <w:sz w:val="28"/>
          <w:szCs w:val="28"/>
          <w:rtl/>
        </w:rPr>
        <w:t>سة الوفاء، 1982م</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w:t>
      </w:r>
    </w:p>
  </w:endnote>
  <w:endnote w:id="48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الحسن بن يوسف </w:t>
      </w:r>
      <w:r w:rsidRPr="00282AC9">
        <w:rPr>
          <w:rFonts w:asciiTheme="majorBidi" w:hAnsiTheme="majorBidi" w:cs="DanaFajr"/>
          <w:sz w:val="28"/>
          <w:szCs w:val="28"/>
          <w:rtl/>
        </w:rPr>
        <w:t>الحل</w:t>
      </w:r>
      <w:r w:rsidRPr="00282AC9">
        <w:rPr>
          <w:rFonts w:asciiTheme="majorBidi" w:hAnsiTheme="majorBidi" w:cs="DanaFajr" w:hint="cs"/>
          <w:sz w:val="28"/>
          <w:szCs w:val="28"/>
          <w:rtl/>
        </w:rPr>
        <w:t>ّ</w:t>
      </w:r>
      <w:r w:rsidRPr="00282AC9">
        <w:rPr>
          <w:rFonts w:asciiTheme="majorBidi" w:hAnsiTheme="majorBidi" w:cs="DanaFajr"/>
          <w:sz w:val="28"/>
          <w:szCs w:val="28"/>
          <w:rtl/>
        </w:rPr>
        <w:t>ي، تذكرة الفقهاء</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5</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421</w:t>
      </w:r>
      <w:r w:rsidRPr="00282AC9">
        <w:rPr>
          <w:rFonts w:asciiTheme="majorBidi" w:hAnsiTheme="majorBidi" w:cs="DanaFajr" w:hint="cs"/>
          <w:sz w:val="28"/>
          <w:szCs w:val="28"/>
          <w:rtl/>
        </w:rPr>
        <w:t xml:space="preserve">، مؤسّسة آل البيت الإسلامية، قم </w:t>
      </w:r>
      <w:r w:rsidRPr="00282AC9">
        <w:rPr>
          <w:rFonts w:asciiTheme="majorBidi" w:hAnsiTheme="majorBidi" w:cs="DanaFajr"/>
          <w:sz w:val="28"/>
          <w:szCs w:val="28"/>
          <w:rtl/>
        </w:rPr>
        <w:t xml:space="preserve">ـ </w:t>
      </w:r>
      <w:r w:rsidRPr="00282AC9">
        <w:rPr>
          <w:rFonts w:asciiTheme="majorBidi" w:hAnsiTheme="majorBidi" w:cs="DanaFajr" w:hint="cs"/>
          <w:sz w:val="28"/>
          <w:szCs w:val="28"/>
          <w:rtl/>
        </w:rPr>
        <w:t>إيران، 1414هـ. وراجِعْ:</w:t>
      </w:r>
      <w:r w:rsidRPr="00282AC9">
        <w:rPr>
          <w:rFonts w:asciiTheme="majorBidi" w:hAnsiTheme="majorBidi" w:cs="DanaFajr"/>
          <w:sz w:val="28"/>
          <w:szCs w:val="28"/>
          <w:rtl/>
        </w:rPr>
        <w:t xml:space="preserve"> </w:t>
      </w:r>
      <w:r w:rsidRPr="00282AC9">
        <w:rPr>
          <w:rFonts w:asciiTheme="majorBidi" w:hAnsiTheme="majorBidi" w:cs="DanaFajr" w:hint="cs"/>
          <w:sz w:val="28"/>
          <w:szCs w:val="28"/>
          <w:rtl/>
        </w:rPr>
        <w:t xml:space="preserve">الحسن بن يوسف </w:t>
      </w:r>
      <w:r w:rsidRPr="00282AC9">
        <w:rPr>
          <w:rFonts w:asciiTheme="majorBidi" w:hAnsiTheme="majorBidi" w:cs="DanaFajr"/>
          <w:sz w:val="28"/>
          <w:szCs w:val="28"/>
          <w:rtl/>
        </w:rPr>
        <w:t>الحل</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ي، مختلف الشيعة </w:t>
      </w:r>
      <w:r w:rsidRPr="00282AC9">
        <w:rPr>
          <w:rFonts w:asciiTheme="majorBidi" w:hAnsiTheme="majorBidi" w:cs="DanaFajr" w:hint="cs"/>
          <w:sz w:val="28"/>
          <w:szCs w:val="28"/>
          <w:rtl/>
        </w:rPr>
        <w:t xml:space="preserve">3: </w:t>
      </w:r>
      <w:r w:rsidRPr="00282AC9">
        <w:rPr>
          <w:rFonts w:asciiTheme="majorBidi" w:hAnsiTheme="majorBidi" w:cs="DanaFajr"/>
          <w:sz w:val="28"/>
          <w:szCs w:val="28"/>
          <w:rtl/>
        </w:rPr>
        <w:t>313</w:t>
      </w:r>
      <w:r w:rsidRPr="00282AC9">
        <w:rPr>
          <w:rFonts w:asciiTheme="majorBidi" w:hAnsiTheme="majorBidi" w:cs="DanaFajr" w:hint="cs"/>
          <w:sz w:val="28"/>
          <w:szCs w:val="28"/>
          <w:rtl/>
        </w:rPr>
        <w:t>، مؤسّسة النشر الإسلامي، ط1، 1413هـ.</w:t>
      </w:r>
    </w:p>
  </w:endnote>
  <w:endnote w:id="48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الحسن بن يوسف الحلّي، </w:t>
      </w:r>
      <w:r w:rsidRPr="00282AC9">
        <w:rPr>
          <w:rFonts w:asciiTheme="majorBidi" w:hAnsiTheme="majorBidi" w:cs="DanaFajr"/>
          <w:sz w:val="28"/>
          <w:szCs w:val="28"/>
          <w:rtl/>
        </w:rPr>
        <w:t xml:space="preserve">منتهى المطلب </w:t>
      </w:r>
      <w:r w:rsidRPr="00282AC9">
        <w:rPr>
          <w:rFonts w:asciiTheme="majorBidi" w:hAnsiTheme="majorBidi" w:cs="DanaFajr" w:hint="cs"/>
          <w:sz w:val="28"/>
          <w:szCs w:val="28"/>
          <w:rtl/>
        </w:rPr>
        <w:t xml:space="preserve">1: </w:t>
      </w:r>
      <w:r w:rsidRPr="00282AC9">
        <w:rPr>
          <w:rFonts w:asciiTheme="majorBidi" w:hAnsiTheme="majorBidi" w:cs="DanaFajr"/>
          <w:sz w:val="28"/>
          <w:szCs w:val="28"/>
          <w:rtl/>
        </w:rPr>
        <w:t xml:space="preserve">548، </w:t>
      </w:r>
      <w:r w:rsidRPr="00282AC9">
        <w:rPr>
          <w:rFonts w:asciiTheme="majorBidi" w:hAnsiTheme="majorBidi" w:cs="DanaFajr" w:hint="cs"/>
          <w:sz w:val="28"/>
          <w:szCs w:val="28"/>
          <w:rtl/>
        </w:rPr>
        <w:t>الطبعة القديمة، بدون بيانات.</w:t>
      </w:r>
    </w:p>
  </w:endnote>
  <w:endnote w:id="48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زين الدين العاملي، مسالك الأفهام 3: 50، مؤس</w:t>
      </w:r>
      <w:r w:rsidRPr="00282AC9">
        <w:rPr>
          <w:rFonts w:asciiTheme="majorBidi" w:hAnsiTheme="majorBidi" w:cs="DanaFajr" w:hint="cs"/>
          <w:sz w:val="28"/>
          <w:szCs w:val="28"/>
          <w:rtl/>
        </w:rPr>
        <w:t>ّ</w:t>
      </w:r>
      <w:r w:rsidRPr="00282AC9">
        <w:rPr>
          <w:rFonts w:asciiTheme="majorBidi" w:hAnsiTheme="majorBidi" w:cs="DanaFajr"/>
          <w:sz w:val="28"/>
          <w:szCs w:val="28"/>
          <w:rtl/>
        </w:rPr>
        <w:t>سة المعارف ال</w:t>
      </w:r>
      <w:r w:rsidRPr="00282AC9">
        <w:rPr>
          <w:rFonts w:asciiTheme="majorBidi" w:hAnsiTheme="majorBidi" w:cs="DanaFajr" w:hint="cs"/>
          <w:sz w:val="28"/>
          <w:szCs w:val="28"/>
          <w:rtl/>
        </w:rPr>
        <w:t>إ</w:t>
      </w:r>
      <w:r w:rsidRPr="00282AC9">
        <w:rPr>
          <w:rFonts w:asciiTheme="majorBidi" w:hAnsiTheme="majorBidi" w:cs="DanaFajr"/>
          <w:sz w:val="28"/>
          <w:szCs w:val="28"/>
          <w:rtl/>
        </w:rPr>
        <w:t>سلامية، ط1، 1414هـ.</w:t>
      </w:r>
    </w:p>
  </w:endnote>
  <w:endnote w:id="48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أحمد محمد مهدي النراقي، مستند الشيعة في أحكام الشريعة 10: 9، مؤس</w:t>
      </w:r>
      <w:r w:rsidRPr="00282AC9">
        <w:rPr>
          <w:rFonts w:asciiTheme="majorBidi" w:hAnsiTheme="majorBidi" w:cs="DanaFajr" w:hint="cs"/>
          <w:sz w:val="28"/>
          <w:szCs w:val="28"/>
          <w:rtl/>
        </w:rPr>
        <w:t>ّ</w:t>
      </w:r>
      <w:r w:rsidRPr="00282AC9">
        <w:rPr>
          <w:rFonts w:asciiTheme="majorBidi" w:hAnsiTheme="majorBidi" w:cs="DanaFajr"/>
          <w:sz w:val="28"/>
          <w:szCs w:val="28"/>
          <w:rtl/>
        </w:rPr>
        <w:t>سة آل البيت</w:t>
      </w:r>
      <w:r w:rsidRPr="00282AC9">
        <w:rPr>
          <w:rFonts w:cs="Mosawi" w:hint="cs"/>
          <w:rtl/>
        </w:rPr>
        <w:t>^</w:t>
      </w:r>
      <w:r w:rsidRPr="00282AC9">
        <w:rPr>
          <w:rFonts w:asciiTheme="majorBidi" w:hAnsiTheme="majorBidi" w:cs="DanaFajr"/>
          <w:sz w:val="28"/>
          <w:szCs w:val="28"/>
          <w:rtl/>
        </w:rPr>
        <w:t xml:space="preserve"> ل</w:t>
      </w:r>
      <w:r w:rsidRPr="00282AC9">
        <w:rPr>
          <w:rFonts w:asciiTheme="majorBidi" w:hAnsiTheme="majorBidi" w:cs="DanaFajr" w:hint="cs"/>
          <w:sz w:val="28"/>
          <w:szCs w:val="28"/>
          <w:rtl/>
        </w:rPr>
        <w:t>إ</w:t>
      </w:r>
      <w:r w:rsidRPr="00282AC9">
        <w:rPr>
          <w:rFonts w:asciiTheme="majorBidi" w:hAnsiTheme="majorBidi" w:cs="DanaFajr"/>
          <w:sz w:val="28"/>
          <w:szCs w:val="28"/>
          <w:rtl/>
        </w:rPr>
        <w:t>حياء التراث.</w:t>
      </w:r>
    </w:p>
  </w:endnote>
  <w:endnote w:id="48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المصدر السابق </w:t>
      </w:r>
      <w:r w:rsidRPr="00282AC9">
        <w:rPr>
          <w:rFonts w:asciiTheme="majorBidi" w:hAnsiTheme="majorBidi" w:cs="DanaFajr"/>
          <w:sz w:val="28"/>
          <w:szCs w:val="28"/>
          <w:rtl/>
        </w:rPr>
        <w:t>10: 11</w:t>
      </w:r>
      <w:r w:rsidRPr="00282AC9">
        <w:rPr>
          <w:rFonts w:asciiTheme="majorBidi" w:hAnsiTheme="majorBidi" w:cs="DanaFajr" w:hint="cs"/>
          <w:sz w:val="28"/>
          <w:szCs w:val="28"/>
          <w:rtl/>
        </w:rPr>
        <w:t>.</w:t>
      </w:r>
    </w:p>
  </w:endnote>
  <w:endnote w:id="48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مرتضى البروجردي</w:t>
      </w:r>
      <w:r w:rsidRPr="00282AC9">
        <w:rPr>
          <w:rFonts w:asciiTheme="majorBidi" w:hAnsiTheme="majorBidi" w:cs="DanaFajr"/>
          <w:sz w:val="28"/>
          <w:szCs w:val="28"/>
          <w:rtl/>
        </w:rPr>
        <w:t>، المستند في شرح العروة الوثقى،</w:t>
      </w:r>
      <w:r w:rsidRPr="00282AC9">
        <w:rPr>
          <w:rFonts w:asciiTheme="majorBidi" w:hAnsiTheme="majorBidi" w:cs="DanaFajr" w:hint="cs"/>
          <w:sz w:val="28"/>
          <w:szCs w:val="28"/>
          <w:rtl/>
        </w:rPr>
        <w:t xml:space="preserve"> الخمس (تقريراً لأبحاث السيد الخوئي) </w:t>
      </w:r>
      <w:r w:rsidRPr="00282AC9">
        <w:rPr>
          <w:rFonts w:asciiTheme="majorBidi" w:hAnsiTheme="majorBidi" w:cs="DanaFajr"/>
          <w:sz w:val="28"/>
          <w:szCs w:val="28"/>
          <w:rtl/>
        </w:rPr>
        <w:t>15</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196</w:t>
      </w:r>
      <w:r w:rsidRPr="00282AC9">
        <w:rPr>
          <w:rFonts w:asciiTheme="majorBidi" w:hAnsiTheme="majorBidi" w:cs="DanaFajr" w:hint="cs"/>
          <w:sz w:val="28"/>
          <w:szCs w:val="28"/>
          <w:rtl/>
        </w:rPr>
        <w:t>.</w:t>
      </w:r>
    </w:p>
  </w:endnote>
  <w:endnote w:id="48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حسين علي </w:t>
      </w:r>
      <w:r w:rsidRPr="00282AC9">
        <w:rPr>
          <w:rFonts w:asciiTheme="majorBidi" w:hAnsiTheme="majorBidi" w:cs="DanaFajr"/>
          <w:sz w:val="28"/>
          <w:szCs w:val="28"/>
          <w:rtl/>
        </w:rPr>
        <w:t>المنتظري، دراسات في ولاية الفقيه 3</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47</w:t>
      </w:r>
      <w:r w:rsidRPr="00282AC9">
        <w:rPr>
          <w:rFonts w:asciiTheme="majorBidi" w:hAnsiTheme="majorBidi" w:cs="DanaFajr" w:hint="cs"/>
          <w:sz w:val="28"/>
          <w:szCs w:val="28"/>
          <w:rtl/>
        </w:rPr>
        <w:t xml:space="preserve">، مطبعة المقدس، قم </w:t>
      </w:r>
      <w:r w:rsidRPr="00282AC9">
        <w:rPr>
          <w:rFonts w:asciiTheme="majorBidi" w:hAnsiTheme="majorBidi" w:cs="DanaFajr"/>
          <w:sz w:val="28"/>
          <w:szCs w:val="28"/>
          <w:rtl/>
        </w:rPr>
        <w:t xml:space="preserve">ـ </w:t>
      </w:r>
      <w:r w:rsidRPr="00282AC9">
        <w:rPr>
          <w:rFonts w:asciiTheme="majorBidi" w:hAnsiTheme="majorBidi" w:cs="DanaFajr" w:hint="cs"/>
          <w:sz w:val="28"/>
          <w:szCs w:val="28"/>
          <w:rtl/>
        </w:rPr>
        <w:t>إيران، ط1، 1411هـ.</w:t>
      </w:r>
    </w:p>
  </w:endnote>
  <w:endnote w:id="48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محمود الهاشمي، الخمس 2: 12، مكتب الإعلام الإسلامي، ط1، 1410هـ.</w:t>
      </w:r>
    </w:p>
  </w:endnote>
  <w:endnote w:id="49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البخاري،</w:t>
      </w:r>
      <w:r w:rsidRPr="00282AC9">
        <w:rPr>
          <w:rFonts w:asciiTheme="majorBidi" w:hAnsiTheme="majorBidi" w:cs="DanaFajr" w:hint="cs"/>
          <w:sz w:val="28"/>
          <w:szCs w:val="28"/>
          <w:rtl/>
        </w:rPr>
        <w:t xml:space="preserve"> صحيح البخاري: 593، ح</w:t>
      </w:r>
      <w:r w:rsidRPr="00282AC9">
        <w:rPr>
          <w:rFonts w:asciiTheme="majorBidi" w:hAnsiTheme="majorBidi" w:cs="DanaFajr"/>
          <w:sz w:val="28"/>
          <w:szCs w:val="28"/>
          <w:rtl/>
        </w:rPr>
        <w:t>3095</w:t>
      </w:r>
      <w:r w:rsidRPr="00282AC9">
        <w:rPr>
          <w:rFonts w:asciiTheme="majorBidi" w:hAnsiTheme="majorBidi" w:cs="DanaFajr" w:hint="cs"/>
          <w:sz w:val="28"/>
          <w:szCs w:val="28"/>
          <w:rtl/>
        </w:rPr>
        <w:t>.</w:t>
      </w:r>
    </w:p>
  </w:endnote>
  <w:endnote w:id="49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مرتضى العسكري، معالم المدرستين 2: 112 ـ 118.</w:t>
      </w:r>
    </w:p>
  </w:endnote>
  <w:endnote w:id="49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 xml:space="preserve">مرتضى العسكري، معالم المدرستين </w:t>
      </w:r>
      <w:r w:rsidRPr="00282AC9">
        <w:rPr>
          <w:rFonts w:asciiTheme="majorBidi" w:hAnsiTheme="majorBidi" w:cs="DanaFajr" w:hint="cs"/>
          <w:sz w:val="28"/>
          <w:szCs w:val="28"/>
          <w:rtl/>
        </w:rPr>
        <w:t xml:space="preserve">2: </w:t>
      </w:r>
      <w:r w:rsidRPr="00282AC9">
        <w:rPr>
          <w:rFonts w:asciiTheme="majorBidi" w:hAnsiTheme="majorBidi" w:cs="DanaFajr"/>
          <w:sz w:val="28"/>
          <w:szCs w:val="28"/>
          <w:rtl/>
        </w:rPr>
        <w:t>117</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و</w:t>
      </w:r>
      <w:r w:rsidRPr="00282AC9">
        <w:rPr>
          <w:rFonts w:asciiTheme="majorBidi" w:hAnsiTheme="majorBidi" w:cs="DanaFajr" w:hint="cs"/>
          <w:sz w:val="28"/>
          <w:szCs w:val="28"/>
          <w:rtl/>
        </w:rPr>
        <w:t>نوري الهمداني، الخمس: 95؛ و</w:t>
      </w:r>
      <w:r w:rsidRPr="00282AC9">
        <w:rPr>
          <w:rFonts w:asciiTheme="majorBidi" w:hAnsiTheme="majorBidi" w:cs="DanaFajr"/>
          <w:sz w:val="28"/>
          <w:szCs w:val="28"/>
          <w:rtl/>
        </w:rPr>
        <w:t xml:space="preserve">جعفر العاملي، الصحيح من سيرة المصطفى 3: 309، </w:t>
      </w:r>
      <w:r w:rsidRPr="00282AC9">
        <w:rPr>
          <w:rFonts w:asciiTheme="majorBidi" w:hAnsiTheme="majorBidi" w:cs="DanaFajr" w:hint="cs"/>
          <w:sz w:val="28"/>
          <w:szCs w:val="28"/>
          <w:rtl/>
        </w:rPr>
        <w:t>مؤسّسة النشر الإسلامي</w:t>
      </w:r>
      <w:r w:rsidRPr="00282AC9">
        <w:rPr>
          <w:rFonts w:asciiTheme="majorBidi" w:hAnsiTheme="majorBidi" w:cs="DanaFajr"/>
          <w:sz w:val="28"/>
          <w:szCs w:val="28"/>
          <w:rtl/>
        </w:rPr>
        <w:t>، قم، 1402هـ.</w:t>
      </w:r>
    </w:p>
  </w:endnote>
  <w:endnote w:id="49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كاظم اليزدي، العروة الوثقى 4: 232 ـ 233 (تعليقات الفقهاء) ، مؤسّسة النشر الإسلامي، قم، ط1، 1420هـ.</w:t>
      </w:r>
    </w:p>
  </w:endnote>
  <w:endnote w:id="49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قلمداران، الخمس، نسخة إلكترونية، بدون صفحات.</w:t>
      </w:r>
    </w:p>
  </w:endnote>
  <w:endnote w:id="49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محمد بن سعد، الطبقات الكبرى 2: 292 ـ 334، أعدّ الفهارس: رياض عبد الهادي، دار إحياء التراث العربي.</w:t>
      </w:r>
    </w:p>
  </w:endnote>
  <w:endnote w:id="496">
    <w:p w:rsidR="00C14EDE" w:rsidRPr="00282AC9" w:rsidRDefault="00C14EDE" w:rsidP="00235851">
      <w:pPr>
        <w:pStyle w:val="afe"/>
        <w:spacing w:after="0" w:line="296" w:lineRule="exact"/>
        <w:ind w:left="0"/>
        <w:jc w:val="both"/>
        <w:rPr>
          <w:rFonts w:asciiTheme="majorBidi" w:hAnsiTheme="majorBidi"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محمد الغزالي، فقه السيرة: 382، خرَّج أحاديثه: ناصر الدين الألباني، دار الكتب الحديثة، مصر، ط7، 1976م.</w:t>
      </w:r>
    </w:p>
  </w:endnote>
  <w:endnote w:id="49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محمد بن سعد، الطبقات الكبرى 1: 130.</w:t>
      </w:r>
    </w:p>
  </w:endnote>
  <w:endnote w:id="498">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علي حسينعلي الأحمدي، مكاتيب الرسول 2: 301، 306، 308، 313، 316، 317، 353، 364، 385، دار صعب، بيروت.</w:t>
      </w:r>
    </w:p>
  </w:endnote>
  <w:endnote w:id="49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محمد بن سعد، الطبقات الكبرى 1: 129، 130.</w:t>
      </w:r>
    </w:p>
  </w:endnote>
  <w:endnote w:id="50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محمود الهاشمي، الخمس 2: 17.</w:t>
      </w:r>
    </w:p>
  </w:endnote>
  <w:endnote w:id="50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المنتظري، </w:t>
      </w:r>
      <w:r w:rsidRPr="00282AC9">
        <w:rPr>
          <w:rFonts w:asciiTheme="majorBidi" w:hAnsiTheme="majorBidi" w:cs="DanaFajr"/>
          <w:sz w:val="28"/>
          <w:szCs w:val="28"/>
          <w:rtl/>
        </w:rPr>
        <w:t xml:space="preserve">دراسات في ولاية الفقيه </w:t>
      </w:r>
      <w:r w:rsidRPr="00282AC9">
        <w:rPr>
          <w:rFonts w:asciiTheme="majorBidi" w:hAnsiTheme="majorBidi" w:cs="DanaFajr" w:hint="cs"/>
          <w:sz w:val="28"/>
          <w:szCs w:val="28"/>
          <w:rtl/>
        </w:rPr>
        <w:t xml:space="preserve">3: </w:t>
      </w:r>
      <w:r w:rsidRPr="00282AC9">
        <w:rPr>
          <w:rFonts w:asciiTheme="majorBidi" w:hAnsiTheme="majorBidi" w:cs="DanaFajr"/>
          <w:sz w:val="28"/>
          <w:szCs w:val="28"/>
          <w:rtl/>
        </w:rPr>
        <w:t>44 ـ 46</w:t>
      </w:r>
      <w:r w:rsidRPr="00282AC9">
        <w:rPr>
          <w:rFonts w:asciiTheme="majorBidi" w:hAnsiTheme="majorBidi" w:cs="DanaFajr" w:hint="cs"/>
          <w:sz w:val="28"/>
          <w:szCs w:val="28"/>
          <w:rtl/>
        </w:rPr>
        <w:t>.</w:t>
      </w:r>
    </w:p>
  </w:endnote>
  <w:endnote w:id="50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محمود الهاشمي، كتاب الخمس</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2: ، 10.</w:t>
      </w:r>
    </w:p>
  </w:endnote>
  <w:endnote w:id="50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تفسير المنار 10: 3</w:t>
      </w:r>
      <w:r w:rsidRPr="00282AC9">
        <w:rPr>
          <w:rFonts w:asciiTheme="majorBidi" w:hAnsiTheme="majorBidi" w:cs="DanaFajr" w:hint="cs"/>
          <w:sz w:val="28"/>
          <w:szCs w:val="28"/>
          <w:rtl/>
        </w:rPr>
        <w:t>.</w:t>
      </w:r>
    </w:p>
  </w:endnote>
  <w:endnote w:id="504">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جعفر السبحاني، الخمس في الشريعة ال</w:t>
      </w:r>
      <w:r w:rsidRPr="00282AC9">
        <w:rPr>
          <w:rFonts w:asciiTheme="majorBidi" w:hAnsiTheme="majorBidi" w:cs="DanaFajr" w:hint="cs"/>
          <w:sz w:val="28"/>
          <w:szCs w:val="28"/>
          <w:rtl/>
        </w:rPr>
        <w:t>إ</w:t>
      </w:r>
      <w:r w:rsidRPr="00282AC9">
        <w:rPr>
          <w:rFonts w:asciiTheme="majorBidi" w:hAnsiTheme="majorBidi" w:cs="DanaFajr"/>
          <w:sz w:val="28"/>
          <w:szCs w:val="28"/>
          <w:rtl/>
        </w:rPr>
        <w:t>سلامية: 20، الموقع ال</w:t>
      </w:r>
      <w:r w:rsidRPr="00282AC9">
        <w:rPr>
          <w:rFonts w:asciiTheme="majorBidi" w:hAnsiTheme="majorBidi" w:cs="DanaFajr" w:hint="cs"/>
          <w:sz w:val="28"/>
          <w:szCs w:val="28"/>
          <w:rtl/>
        </w:rPr>
        <w:t>إ</w:t>
      </w:r>
      <w:r w:rsidRPr="00282AC9">
        <w:rPr>
          <w:rFonts w:asciiTheme="majorBidi" w:hAnsiTheme="majorBidi" w:cs="DanaFajr"/>
          <w:sz w:val="28"/>
          <w:szCs w:val="28"/>
          <w:rtl/>
        </w:rPr>
        <w:t xml:space="preserve">لكتروني </w:t>
      </w:r>
      <w:r w:rsidRPr="00282AC9">
        <w:rPr>
          <w:rFonts w:asciiTheme="majorBidi" w:hAnsiTheme="majorBidi" w:cs="DanaFajr" w:hint="cs"/>
          <w:sz w:val="28"/>
          <w:szCs w:val="28"/>
          <w:rtl/>
        </w:rPr>
        <w:t>للمؤلِّف</w:t>
      </w:r>
      <w:r w:rsidRPr="00282AC9">
        <w:rPr>
          <w:rFonts w:cs="DanaFajr" w:hint="cs"/>
          <w:sz w:val="28"/>
          <w:szCs w:val="28"/>
          <w:rtl/>
        </w:rPr>
        <w:t>.</w:t>
      </w:r>
    </w:p>
  </w:endnote>
  <w:endnote w:id="505">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عبد الكريم بنحميدة</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الغنيمة في حروب ال</w:t>
      </w:r>
      <w:r w:rsidRPr="00282AC9">
        <w:rPr>
          <w:rFonts w:asciiTheme="majorBidi" w:hAnsiTheme="majorBidi" w:cs="DanaFajr" w:hint="cs"/>
          <w:sz w:val="28"/>
          <w:szCs w:val="28"/>
          <w:rtl/>
        </w:rPr>
        <w:t>إ</w:t>
      </w:r>
      <w:r w:rsidRPr="00282AC9">
        <w:rPr>
          <w:rFonts w:asciiTheme="majorBidi" w:hAnsiTheme="majorBidi" w:cs="DanaFajr"/>
          <w:sz w:val="28"/>
          <w:szCs w:val="28"/>
          <w:rtl/>
        </w:rPr>
        <w:t>سلام المبك</w:t>
      </w:r>
      <w:r w:rsidRPr="00282AC9">
        <w:rPr>
          <w:rFonts w:asciiTheme="majorBidi" w:hAnsiTheme="majorBidi" w:cs="DanaFajr" w:hint="cs"/>
          <w:sz w:val="28"/>
          <w:szCs w:val="28"/>
          <w:rtl/>
        </w:rPr>
        <w:t>ِّ</w:t>
      </w:r>
      <w:r w:rsidRPr="00282AC9">
        <w:rPr>
          <w:rFonts w:asciiTheme="majorBidi" w:hAnsiTheme="majorBidi" w:cs="DanaFajr"/>
          <w:sz w:val="28"/>
          <w:szCs w:val="28"/>
          <w:rtl/>
        </w:rPr>
        <w:t>ر</w:t>
      </w:r>
      <w:r w:rsidRPr="00282AC9">
        <w:rPr>
          <w:rFonts w:asciiTheme="majorBidi" w:hAnsiTheme="majorBidi" w:cs="DanaFajr" w:hint="cs"/>
          <w:sz w:val="28"/>
          <w:szCs w:val="28"/>
          <w:rtl/>
        </w:rPr>
        <w:t>ة</w:t>
      </w:r>
      <w:r w:rsidRPr="00282AC9">
        <w:rPr>
          <w:rFonts w:asciiTheme="majorBidi" w:hAnsiTheme="majorBidi" w:cs="DanaFajr"/>
          <w:sz w:val="28"/>
          <w:szCs w:val="28"/>
          <w:rtl/>
        </w:rPr>
        <w:t>: 5</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موقع مؤمنون بلا حدود</w:t>
      </w:r>
      <w:r w:rsidRPr="00282AC9">
        <w:rPr>
          <w:rFonts w:asciiTheme="majorBidi" w:hAnsiTheme="majorBidi" w:cs="DanaFajr" w:hint="cs"/>
          <w:sz w:val="28"/>
          <w:szCs w:val="28"/>
          <w:rtl/>
        </w:rPr>
        <w:t>.</w:t>
      </w:r>
    </w:p>
  </w:endnote>
  <w:endnote w:id="506">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محمد عابد الجابري، نقد العقل السياسي العربي: 169 ـ 256، مركز دراسات الوحدة العربية، بيروت، ط10، 1017م.</w:t>
      </w:r>
    </w:p>
  </w:endnote>
  <w:endnote w:id="507">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أحمد بن يحيى </w:t>
      </w:r>
      <w:r w:rsidRPr="00282AC9">
        <w:rPr>
          <w:rFonts w:asciiTheme="majorBidi" w:hAnsiTheme="majorBidi" w:cs="DanaFajr"/>
          <w:sz w:val="28"/>
          <w:szCs w:val="28"/>
          <w:rtl/>
        </w:rPr>
        <w:t>البلاذري، فتوح البلدان</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115، دار الكتب العلمي</w:t>
      </w:r>
      <w:r w:rsidRPr="00282AC9">
        <w:rPr>
          <w:rFonts w:asciiTheme="majorBidi" w:hAnsiTheme="majorBidi" w:cs="DanaFajr" w:hint="cs"/>
          <w:sz w:val="28"/>
          <w:szCs w:val="28"/>
          <w:rtl/>
        </w:rPr>
        <w:t>ّ</w:t>
      </w:r>
      <w:r w:rsidRPr="00282AC9">
        <w:rPr>
          <w:rFonts w:asciiTheme="majorBidi" w:hAnsiTheme="majorBidi" w:cs="DanaFajr"/>
          <w:sz w:val="28"/>
          <w:szCs w:val="28"/>
          <w:rtl/>
        </w:rPr>
        <w:t>ة، 1987</w:t>
      </w:r>
      <w:r w:rsidRPr="00282AC9">
        <w:rPr>
          <w:rFonts w:asciiTheme="majorBidi" w:hAnsiTheme="majorBidi" w:cs="DanaFajr" w:hint="cs"/>
          <w:sz w:val="28"/>
          <w:szCs w:val="28"/>
          <w:rtl/>
        </w:rPr>
        <w:t>م.</w:t>
      </w:r>
    </w:p>
  </w:endnote>
  <w:endnote w:id="508">
    <w:p w:rsidR="00C14EDE" w:rsidRPr="00282AC9" w:rsidRDefault="00C14EDE" w:rsidP="00235851">
      <w:pPr>
        <w:pStyle w:val="afe"/>
        <w:spacing w:after="0" w:line="296" w:lineRule="exact"/>
        <w:ind w:left="0"/>
        <w:jc w:val="both"/>
        <w:rPr>
          <w:rFonts w:asciiTheme="majorBidi" w:hAnsiTheme="majorBidi"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محمد بن الحسن الطوسي، الاستبصار 2</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56، تحقيق وتعليق</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حسن الموسوي الخرسان، دار صعب والتعارف، بيروت</w:t>
      </w:r>
      <w:r w:rsidRPr="00282AC9">
        <w:rPr>
          <w:rFonts w:asciiTheme="majorBidi" w:hAnsiTheme="majorBidi" w:cs="DanaFajr" w:hint="cs"/>
          <w:sz w:val="28"/>
          <w:szCs w:val="28"/>
          <w:rtl/>
        </w:rPr>
        <w:t>.</w:t>
      </w:r>
      <w:r w:rsidRPr="00282AC9">
        <w:rPr>
          <w:rFonts w:asciiTheme="majorBidi" w:hAnsiTheme="majorBidi" w:cs="DanaFajr"/>
          <w:sz w:val="28"/>
          <w:szCs w:val="28"/>
          <w:rtl/>
        </w:rPr>
        <w:t xml:space="preserve"> </w:t>
      </w:r>
    </w:p>
  </w:endnote>
  <w:endnote w:id="509">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محمود الهاشمي، كتاب الخمس 2</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29</w:t>
      </w:r>
      <w:r w:rsidRPr="00282AC9">
        <w:rPr>
          <w:rFonts w:cs="DanaFajr" w:hint="cs"/>
          <w:sz w:val="28"/>
          <w:szCs w:val="28"/>
          <w:rtl/>
        </w:rPr>
        <w:t>.</w:t>
      </w:r>
    </w:p>
  </w:endnote>
  <w:endnote w:id="510">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 xml:space="preserve">المصدر السابق </w:t>
      </w:r>
      <w:r w:rsidRPr="00282AC9">
        <w:rPr>
          <w:rFonts w:asciiTheme="majorBidi" w:hAnsiTheme="majorBidi" w:cs="DanaFajr"/>
          <w:sz w:val="28"/>
          <w:szCs w:val="28"/>
          <w:rtl/>
        </w:rPr>
        <w:t>2</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43</w:t>
      </w:r>
      <w:r w:rsidRPr="00282AC9">
        <w:rPr>
          <w:rFonts w:cs="DanaFajr" w:hint="cs"/>
          <w:sz w:val="28"/>
          <w:szCs w:val="28"/>
          <w:rtl/>
        </w:rPr>
        <w:t>.</w:t>
      </w:r>
    </w:p>
  </w:endnote>
  <w:endnote w:id="511">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sz w:val="28"/>
          <w:szCs w:val="28"/>
          <w:rtl/>
        </w:rPr>
        <w:t xml:space="preserve">المنتظري، دراسات </w:t>
      </w:r>
      <w:r w:rsidRPr="00282AC9">
        <w:rPr>
          <w:rFonts w:asciiTheme="majorBidi" w:hAnsiTheme="majorBidi" w:cs="DanaFajr" w:hint="cs"/>
          <w:sz w:val="28"/>
          <w:szCs w:val="28"/>
          <w:rtl/>
        </w:rPr>
        <w:t xml:space="preserve">في ولاية الفقيه </w:t>
      </w:r>
      <w:r w:rsidRPr="00282AC9">
        <w:rPr>
          <w:rFonts w:asciiTheme="majorBidi" w:hAnsiTheme="majorBidi" w:cs="DanaFajr"/>
          <w:sz w:val="28"/>
          <w:szCs w:val="28"/>
          <w:rtl/>
        </w:rPr>
        <w:t>3</w:t>
      </w:r>
      <w:r w:rsidRPr="00282AC9">
        <w:rPr>
          <w:rFonts w:asciiTheme="majorBidi" w:hAnsiTheme="majorBidi" w:cs="DanaFajr" w:hint="cs"/>
          <w:sz w:val="28"/>
          <w:szCs w:val="28"/>
          <w:rtl/>
        </w:rPr>
        <w:t xml:space="preserve">: </w:t>
      </w:r>
      <w:r w:rsidRPr="00282AC9">
        <w:rPr>
          <w:rFonts w:asciiTheme="majorBidi" w:hAnsiTheme="majorBidi" w:cs="DanaFajr"/>
          <w:sz w:val="28"/>
          <w:szCs w:val="28"/>
          <w:rtl/>
        </w:rPr>
        <w:t>70</w:t>
      </w:r>
      <w:r w:rsidRPr="00282AC9">
        <w:rPr>
          <w:rFonts w:cs="DanaFajr" w:hint="cs"/>
          <w:sz w:val="28"/>
          <w:szCs w:val="28"/>
          <w:rtl/>
        </w:rPr>
        <w:t>.</w:t>
      </w:r>
    </w:p>
  </w:endnote>
  <w:endnote w:id="512">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مرتضى البروجردي،</w:t>
      </w:r>
      <w:r w:rsidRPr="00282AC9">
        <w:rPr>
          <w:rFonts w:asciiTheme="majorBidi" w:hAnsiTheme="majorBidi" w:cs="DanaFajr"/>
          <w:sz w:val="28"/>
          <w:szCs w:val="28"/>
          <w:rtl/>
        </w:rPr>
        <w:t xml:space="preserve"> </w:t>
      </w:r>
      <w:r w:rsidRPr="00282AC9">
        <w:rPr>
          <w:rFonts w:asciiTheme="majorBidi" w:hAnsiTheme="majorBidi" w:cs="DanaFajr" w:hint="cs"/>
          <w:sz w:val="28"/>
          <w:szCs w:val="28"/>
          <w:rtl/>
        </w:rPr>
        <w:t xml:space="preserve">المستند في شرح العروة الوثقى، </w:t>
      </w:r>
      <w:r w:rsidRPr="00282AC9">
        <w:rPr>
          <w:rFonts w:asciiTheme="majorBidi" w:hAnsiTheme="majorBidi" w:cs="DanaFajr"/>
          <w:sz w:val="28"/>
          <w:szCs w:val="28"/>
          <w:rtl/>
        </w:rPr>
        <w:t>الخمس</w:t>
      </w:r>
      <w:r w:rsidRPr="00282AC9">
        <w:rPr>
          <w:rFonts w:asciiTheme="majorBidi" w:hAnsiTheme="majorBidi" w:cs="DanaFajr" w:hint="cs"/>
          <w:sz w:val="28"/>
          <w:szCs w:val="28"/>
          <w:rtl/>
        </w:rPr>
        <w:t xml:space="preserve"> (تقريراً لأبحاث السيد الخوئي) 15: </w:t>
      </w:r>
      <w:r w:rsidRPr="00282AC9">
        <w:rPr>
          <w:rFonts w:asciiTheme="majorBidi" w:hAnsiTheme="majorBidi" w:cs="DanaFajr"/>
          <w:sz w:val="28"/>
          <w:szCs w:val="28"/>
          <w:rtl/>
        </w:rPr>
        <w:t>197</w:t>
      </w:r>
      <w:r w:rsidRPr="00282AC9">
        <w:rPr>
          <w:rFonts w:asciiTheme="majorBidi" w:hAnsiTheme="majorBidi" w:cs="DanaFajr" w:hint="cs"/>
          <w:sz w:val="28"/>
          <w:szCs w:val="28"/>
          <w:rtl/>
        </w:rPr>
        <w:t>.</w:t>
      </w:r>
    </w:p>
  </w:endnote>
  <w:endnote w:id="513">
    <w:p w:rsidR="00C14EDE" w:rsidRPr="00282AC9" w:rsidRDefault="00C14EDE" w:rsidP="00235851">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asciiTheme="majorBidi" w:hAnsiTheme="majorBidi" w:cs="DanaFajr" w:hint="cs"/>
          <w:sz w:val="28"/>
          <w:szCs w:val="28"/>
          <w:rtl/>
        </w:rPr>
        <w:t>محمد جواد مغنية، التفسير المبين: 183، دار التيار الجديد، بيروت، ط3، 2007م.</w:t>
      </w:r>
    </w:p>
  </w:endnote>
  <w:endnote w:id="514">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 xml:space="preserve">انظر على سبيل المثال: جامع الترمذي 2: </w:t>
      </w:r>
      <w:r w:rsidRPr="00282AC9">
        <w:rPr>
          <w:rFonts w:ascii="Noor_Mitra" w:hAnsi="Noor_Mitra" w:cs="DanaFajr" w:hint="cs"/>
          <w:sz w:val="28"/>
          <w:szCs w:val="28"/>
          <w:rtl/>
        </w:rPr>
        <w:t>555</w:t>
      </w:r>
      <w:r w:rsidRPr="00282AC9">
        <w:rPr>
          <w:rFonts w:ascii="Noor_Mitra" w:hAnsi="Noor_Mitra" w:cs="DanaFajr"/>
          <w:sz w:val="28"/>
          <w:szCs w:val="28"/>
          <w:rtl/>
        </w:rPr>
        <w:t>، تحقيق</w:t>
      </w:r>
      <w:r w:rsidRPr="00282AC9">
        <w:rPr>
          <w:rFonts w:ascii="Noor_Mitra" w:hAnsi="Noor_Mitra" w:cs="DanaFajr" w:hint="cs"/>
          <w:sz w:val="28"/>
          <w:szCs w:val="28"/>
          <w:rtl/>
        </w:rPr>
        <w:t>:</w:t>
      </w:r>
      <w:r w:rsidRPr="00282AC9">
        <w:rPr>
          <w:rFonts w:ascii="Noor_Mitra" w:hAnsi="Noor_Mitra" w:cs="DanaFajr"/>
          <w:sz w:val="28"/>
          <w:szCs w:val="28"/>
          <w:rtl/>
        </w:rPr>
        <w:t xml:space="preserve"> أحمد محمد شاكر وآخرون ، دار إحياء التراث العربي، بيروت، ط1؛ الكليني</w:t>
      </w:r>
      <w:r w:rsidRPr="00282AC9">
        <w:rPr>
          <w:rFonts w:ascii="Noor_Mitra" w:hAnsi="Noor_Mitra" w:cs="DanaFajr" w:hint="cs"/>
          <w:sz w:val="28"/>
          <w:szCs w:val="28"/>
          <w:rtl/>
        </w:rPr>
        <w:t>،</w:t>
      </w:r>
      <w:r w:rsidRPr="00282AC9">
        <w:rPr>
          <w:rFonts w:ascii="Noor_Mitra" w:hAnsi="Noor_Mitra" w:cs="DanaFajr"/>
          <w:sz w:val="28"/>
          <w:szCs w:val="28"/>
          <w:rtl/>
        </w:rPr>
        <w:t xml:space="preserve"> الكافي 3: 317 ، دار الحديث، قم، 1</w:t>
      </w:r>
      <w:r w:rsidRPr="00282AC9">
        <w:rPr>
          <w:rFonts w:ascii="Noor_Mitra" w:hAnsi="Noor_Mitra" w:cs="DanaFajr" w:hint="cs"/>
          <w:sz w:val="28"/>
          <w:szCs w:val="28"/>
          <w:rtl/>
        </w:rPr>
        <w:t>4</w:t>
      </w:r>
      <w:r w:rsidRPr="00282AC9">
        <w:rPr>
          <w:rFonts w:ascii="Noor_Mitra" w:hAnsi="Noor_Mitra" w:cs="DanaFajr"/>
          <w:sz w:val="28"/>
          <w:szCs w:val="28"/>
          <w:rtl/>
        </w:rPr>
        <w:t>29هـ؛ صحيح ابن ح</w:t>
      </w:r>
      <w:r w:rsidRPr="00282AC9">
        <w:rPr>
          <w:rFonts w:ascii="Noor_Mitra" w:hAnsi="Noor_Mitra" w:cs="DanaFajr" w:hint="cs"/>
          <w:sz w:val="28"/>
          <w:szCs w:val="28"/>
          <w:rtl/>
        </w:rPr>
        <w:t>ِ</w:t>
      </w:r>
      <w:r w:rsidRPr="00282AC9">
        <w:rPr>
          <w:rFonts w:ascii="Noor_Mitra" w:hAnsi="Noor_Mitra" w:cs="DanaFajr"/>
          <w:sz w:val="28"/>
          <w:szCs w:val="28"/>
          <w:rtl/>
        </w:rPr>
        <w:t>ب</w:t>
      </w:r>
      <w:r w:rsidRPr="00282AC9">
        <w:rPr>
          <w:rFonts w:ascii="Noor_Mitra" w:hAnsi="Noor_Mitra" w:cs="DanaFajr" w:hint="cs"/>
          <w:sz w:val="28"/>
          <w:szCs w:val="28"/>
          <w:rtl/>
        </w:rPr>
        <w:t>ّ</w:t>
      </w:r>
      <w:r w:rsidRPr="00282AC9">
        <w:rPr>
          <w:rFonts w:ascii="Noor_Mitra" w:hAnsi="Noor_Mitra" w:cs="DanaFajr"/>
          <w:sz w:val="28"/>
          <w:szCs w:val="28"/>
          <w:rtl/>
        </w:rPr>
        <w:t xml:space="preserve">ان 13: </w:t>
      </w:r>
      <w:r w:rsidRPr="00282AC9">
        <w:rPr>
          <w:rFonts w:ascii="Noor_Mitra" w:hAnsi="Noor_Mitra" w:cs="DanaFajr" w:hint="cs"/>
          <w:sz w:val="28"/>
          <w:szCs w:val="28"/>
          <w:rtl/>
        </w:rPr>
        <w:t>6</w:t>
      </w:r>
      <w:r w:rsidRPr="00282AC9">
        <w:rPr>
          <w:rFonts w:ascii="Noor_Mitra" w:hAnsi="Noor_Mitra" w:cs="DanaFajr"/>
          <w:sz w:val="28"/>
          <w:szCs w:val="28"/>
          <w:rtl/>
        </w:rPr>
        <w:t xml:space="preserve">0، </w:t>
      </w:r>
      <w:r w:rsidRPr="00282AC9">
        <w:rPr>
          <w:rFonts w:ascii="Noor_Mitra" w:hAnsi="Noor_Mitra" w:cs="DanaFajr" w:hint="cs"/>
          <w:sz w:val="28"/>
          <w:szCs w:val="28"/>
          <w:rtl/>
          <w:lang w:bidi="fa-IR"/>
        </w:rPr>
        <w:t xml:space="preserve">تحقيق: </w:t>
      </w:r>
      <w:r w:rsidRPr="00282AC9">
        <w:rPr>
          <w:rFonts w:ascii="Noor_Mitra" w:hAnsi="Noor_Mitra" w:cs="DanaFajr"/>
          <w:sz w:val="28"/>
          <w:szCs w:val="28"/>
          <w:rtl/>
          <w:lang w:bidi="fa-IR"/>
        </w:rPr>
        <w:t>شعيب الأرنؤوط ، مؤس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سة الرسالة، بيروت، ط2</w:t>
      </w:r>
      <w:r w:rsidRPr="00282AC9">
        <w:rPr>
          <w:rFonts w:ascii="Noor_Mitra" w:hAnsi="Noor_Mitra" w:cs="DanaFajr"/>
          <w:sz w:val="28"/>
          <w:szCs w:val="28"/>
          <w:rtl/>
        </w:rPr>
        <w:t>؛ الحاكم النيسابوري</w:t>
      </w:r>
      <w:r w:rsidRPr="00282AC9">
        <w:rPr>
          <w:rFonts w:ascii="Noor_Mitra" w:hAnsi="Noor_Mitra" w:cs="DanaFajr" w:hint="cs"/>
          <w:sz w:val="28"/>
          <w:szCs w:val="28"/>
          <w:rtl/>
        </w:rPr>
        <w:t>،</w:t>
      </w:r>
      <w:r w:rsidRPr="00282AC9">
        <w:rPr>
          <w:rFonts w:ascii="Noor_Mitra" w:hAnsi="Noor_Mitra" w:cs="DanaFajr"/>
          <w:sz w:val="28"/>
          <w:szCs w:val="28"/>
          <w:rtl/>
        </w:rPr>
        <w:t xml:space="preserve"> المستدرك على الصحيحين 1: 3</w:t>
      </w:r>
      <w:r w:rsidRPr="00282AC9">
        <w:rPr>
          <w:rFonts w:ascii="Noor_Mitra" w:hAnsi="Noor_Mitra" w:cs="DanaFajr" w:hint="cs"/>
          <w:sz w:val="28"/>
          <w:szCs w:val="28"/>
          <w:rtl/>
        </w:rPr>
        <w:t>6</w:t>
      </w:r>
      <w:r w:rsidRPr="00282AC9">
        <w:rPr>
          <w:rFonts w:ascii="Noor_Mitra" w:hAnsi="Noor_Mitra" w:cs="DanaFajr"/>
          <w:sz w:val="28"/>
          <w:szCs w:val="28"/>
          <w:rtl/>
          <w:lang w:bidi="fa-IR"/>
        </w:rPr>
        <w:t>، دار الكتب العلمية</w:t>
      </w:r>
      <w:r w:rsidRPr="00282AC9">
        <w:rPr>
          <w:rFonts w:ascii="Noor_Mitra" w:hAnsi="Noor_Mitra" w:cs="DanaFajr"/>
          <w:sz w:val="28"/>
          <w:szCs w:val="28"/>
          <w:rtl/>
        </w:rPr>
        <w:t xml:space="preserve">، </w:t>
      </w:r>
      <w:r w:rsidRPr="00282AC9">
        <w:rPr>
          <w:rFonts w:ascii="Noor_Mitra" w:hAnsi="Noor_Mitra" w:cs="DanaFajr"/>
          <w:sz w:val="28"/>
          <w:szCs w:val="28"/>
          <w:rtl/>
          <w:lang w:bidi="fa-IR"/>
        </w:rPr>
        <w:t>بيروت، ط1</w:t>
      </w:r>
      <w:r w:rsidRPr="00282AC9">
        <w:rPr>
          <w:rFonts w:ascii="Noor_Mitra" w:hAnsi="Noor_Mitra" w:cs="DanaFajr"/>
          <w:sz w:val="28"/>
          <w:szCs w:val="28"/>
          <w:rtl/>
        </w:rPr>
        <w:t>. وللمزيد من الروايات انظر: حيدر حب</w:t>
      </w:r>
      <w:r w:rsidRPr="00282AC9">
        <w:rPr>
          <w:rFonts w:ascii="Noor_Mitra" w:hAnsi="Noor_Mitra" w:cs="DanaFajr" w:hint="cs"/>
          <w:sz w:val="28"/>
          <w:szCs w:val="28"/>
          <w:rtl/>
        </w:rPr>
        <w:t>ّ</w:t>
      </w:r>
      <w:r w:rsidRPr="00282AC9">
        <w:rPr>
          <w:rFonts w:ascii="Noor_Mitra" w:hAnsi="Noor_Mitra" w:cs="DanaFajr"/>
          <w:sz w:val="28"/>
          <w:szCs w:val="28"/>
          <w:rtl/>
        </w:rPr>
        <w:softHyphen/>
      </w:r>
      <w:r w:rsidRPr="00282AC9">
        <w:rPr>
          <w:rFonts w:ascii="Noor_Mitra" w:hAnsi="Noor_Mitra" w:cs="DanaFajr" w:hint="cs"/>
          <w:sz w:val="28"/>
          <w:szCs w:val="28"/>
          <w:rtl/>
        </w:rPr>
        <w:t xml:space="preserve"> </w:t>
      </w:r>
      <w:r w:rsidRPr="00282AC9">
        <w:rPr>
          <w:rFonts w:ascii="Noor_Mitra" w:hAnsi="Noor_Mitra" w:cs="DanaFajr"/>
          <w:sz w:val="28"/>
          <w:szCs w:val="28"/>
          <w:rtl/>
        </w:rPr>
        <w:t>الله</w:t>
      </w:r>
      <w:r w:rsidRPr="00282AC9">
        <w:rPr>
          <w:rFonts w:ascii="Noor_Mitra" w:hAnsi="Noor_Mitra" w:cs="DanaFajr" w:hint="cs"/>
          <w:sz w:val="28"/>
          <w:szCs w:val="28"/>
          <w:rtl/>
        </w:rPr>
        <w:t>،</w:t>
      </w:r>
      <w:r w:rsidRPr="00282AC9">
        <w:rPr>
          <w:rFonts w:ascii="Noor_Mitra" w:hAnsi="Noor_Mitra" w:cs="DanaFajr"/>
          <w:sz w:val="28"/>
          <w:szCs w:val="28"/>
          <w:rtl/>
        </w:rPr>
        <w:t xml:space="preserve"> حج</w:t>
      </w:r>
      <w:r w:rsidRPr="00282AC9">
        <w:rPr>
          <w:rFonts w:ascii="Noor_Mitra" w:hAnsi="Noor_Mitra" w:cs="DanaFajr" w:hint="cs"/>
          <w:sz w:val="28"/>
          <w:szCs w:val="28"/>
          <w:rtl/>
        </w:rPr>
        <w:t>ِّ</w:t>
      </w:r>
      <w:r w:rsidRPr="00282AC9">
        <w:rPr>
          <w:rFonts w:ascii="Noor_Mitra" w:hAnsi="Noor_Mitra" w:cs="DanaFajr"/>
          <w:sz w:val="28"/>
          <w:szCs w:val="28"/>
          <w:rtl/>
        </w:rPr>
        <w:t>ية الس</w:t>
      </w:r>
      <w:r w:rsidRPr="00282AC9">
        <w:rPr>
          <w:rFonts w:ascii="Noor_Mitra" w:hAnsi="Noor_Mitra" w:cs="DanaFajr" w:hint="cs"/>
          <w:sz w:val="28"/>
          <w:szCs w:val="28"/>
          <w:rtl/>
        </w:rPr>
        <w:t>ُّ</w:t>
      </w:r>
      <w:r w:rsidRPr="00282AC9">
        <w:rPr>
          <w:rFonts w:ascii="Noor_Mitra" w:hAnsi="Noor_Mitra" w:cs="DanaFajr"/>
          <w:sz w:val="28"/>
          <w:szCs w:val="28"/>
          <w:rtl/>
        </w:rPr>
        <w:t>ن</w:t>
      </w:r>
      <w:r w:rsidRPr="00282AC9">
        <w:rPr>
          <w:rFonts w:ascii="Noor_Mitra" w:hAnsi="Noor_Mitra" w:cs="DanaFajr" w:hint="cs"/>
          <w:sz w:val="28"/>
          <w:szCs w:val="28"/>
          <w:rtl/>
        </w:rPr>
        <w:t>َّ</w:t>
      </w:r>
      <w:r w:rsidRPr="00282AC9">
        <w:rPr>
          <w:rFonts w:ascii="Noor_Mitra" w:hAnsi="Noor_Mitra" w:cs="DanaFajr"/>
          <w:sz w:val="28"/>
          <w:szCs w:val="28"/>
          <w:rtl/>
        </w:rPr>
        <w:t xml:space="preserve">ة: 139 </w:t>
      </w:r>
      <w:r w:rsidRPr="00282AC9">
        <w:rPr>
          <w:rFonts w:ascii="Noor_Mitra" w:hAnsi="Noor_Mitra" w:cs="DanaFajr" w:hint="cs"/>
          <w:sz w:val="28"/>
          <w:szCs w:val="28"/>
          <w:rtl/>
        </w:rPr>
        <w:t>ـ</w:t>
      </w:r>
      <w:r w:rsidRPr="00282AC9">
        <w:rPr>
          <w:rFonts w:ascii="Noor_Mitra" w:hAnsi="Noor_Mitra" w:cs="DanaFajr"/>
          <w:sz w:val="28"/>
          <w:szCs w:val="28"/>
          <w:rtl/>
        </w:rPr>
        <w:t xml:space="preserve"> 1</w:t>
      </w:r>
      <w:r w:rsidRPr="00282AC9">
        <w:rPr>
          <w:rFonts w:ascii="Noor_Mitra" w:hAnsi="Noor_Mitra" w:cs="DanaFajr" w:hint="cs"/>
          <w:sz w:val="28"/>
          <w:szCs w:val="28"/>
          <w:rtl/>
        </w:rPr>
        <w:t>4</w:t>
      </w:r>
      <w:r w:rsidRPr="00282AC9">
        <w:rPr>
          <w:rFonts w:ascii="Noor_Mitra" w:hAnsi="Noor_Mitra" w:cs="DanaFajr"/>
          <w:sz w:val="28"/>
          <w:szCs w:val="28"/>
          <w:rtl/>
        </w:rPr>
        <w:t xml:space="preserve">2، </w:t>
      </w:r>
      <w:r w:rsidRPr="00282AC9">
        <w:rPr>
          <w:rFonts w:ascii="Noor_Mitra" w:hAnsi="Noor_Mitra" w:cs="DanaFajr" w:hint="cs"/>
          <w:sz w:val="28"/>
          <w:szCs w:val="28"/>
          <w:rtl/>
        </w:rPr>
        <w:t xml:space="preserve">مؤسّسة </w:t>
      </w:r>
      <w:r w:rsidRPr="00282AC9">
        <w:rPr>
          <w:rFonts w:ascii="Noor_Mitra" w:hAnsi="Noor_Mitra" w:cs="DanaFajr"/>
          <w:sz w:val="28"/>
          <w:szCs w:val="28"/>
          <w:rtl/>
        </w:rPr>
        <w:t>الانتشار العربي، بيروت ، ط1، 2011</w:t>
      </w:r>
      <w:r w:rsidRPr="00282AC9">
        <w:rPr>
          <w:rFonts w:ascii="Noor_Mitra" w:hAnsi="Noor_Mitra" w:cs="DanaFajr" w:hint="cs"/>
          <w:sz w:val="28"/>
          <w:szCs w:val="28"/>
          <w:rtl/>
          <w:lang w:bidi="fa-IR"/>
        </w:rPr>
        <w:t>م</w:t>
      </w:r>
      <w:r w:rsidRPr="00282AC9">
        <w:rPr>
          <w:rFonts w:ascii="Noor_Mitra" w:hAnsi="Noor_Mitra" w:cs="DanaFajr"/>
          <w:sz w:val="28"/>
          <w:szCs w:val="28"/>
          <w:rtl/>
          <w:lang w:bidi="fa-IR"/>
        </w:rPr>
        <w:t>.</w:t>
      </w:r>
    </w:p>
  </w:endnote>
  <w:endnote w:id="515">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hint="cs"/>
          <w:sz w:val="28"/>
          <w:szCs w:val="28"/>
          <w:rtl/>
        </w:rPr>
        <w:t xml:space="preserve"> </w:t>
      </w:r>
      <w:r w:rsidRPr="00282AC9">
        <w:rPr>
          <w:rFonts w:ascii="Noor_Mitra" w:hAnsi="Noor_Mitra" w:cs="DanaFajr"/>
          <w:sz w:val="28"/>
          <w:szCs w:val="28"/>
          <w:rtl/>
        </w:rPr>
        <w:t>حيدر حب</w:t>
      </w:r>
      <w:r w:rsidRPr="00282AC9">
        <w:rPr>
          <w:rFonts w:ascii="Noor_Mitra" w:hAnsi="Noor_Mitra" w:cs="DanaFajr" w:hint="cs"/>
          <w:sz w:val="28"/>
          <w:szCs w:val="28"/>
          <w:rtl/>
        </w:rPr>
        <w:t>ّ</w:t>
      </w:r>
      <w:r w:rsidRPr="00282AC9">
        <w:rPr>
          <w:rFonts w:ascii="Noor_Mitra" w:hAnsi="Noor_Mitra" w:cs="DanaFajr"/>
          <w:sz w:val="28"/>
          <w:szCs w:val="28"/>
          <w:rtl/>
        </w:rPr>
        <w:t xml:space="preserve"> الله</w:t>
      </w:r>
      <w:r w:rsidRPr="00282AC9">
        <w:rPr>
          <w:rFonts w:ascii="Noor_Mitra" w:hAnsi="Noor_Mitra" w:cs="DanaFajr" w:hint="cs"/>
          <w:sz w:val="28"/>
          <w:szCs w:val="28"/>
          <w:rtl/>
        </w:rPr>
        <w:t>،</w:t>
      </w:r>
      <w:r w:rsidRPr="00282AC9">
        <w:rPr>
          <w:rFonts w:ascii="Noor_Mitra" w:hAnsi="Noor_Mitra" w:cs="DanaFajr"/>
          <w:sz w:val="28"/>
          <w:szCs w:val="28"/>
          <w:rtl/>
        </w:rPr>
        <w:t xml:space="preserve"> حج</w:t>
      </w:r>
      <w:r w:rsidRPr="00282AC9">
        <w:rPr>
          <w:rFonts w:ascii="Noor_Mitra" w:hAnsi="Noor_Mitra" w:cs="DanaFajr" w:hint="cs"/>
          <w:sz w:val="28"/>
          <w:szCs w:val="28"/>
          <w:rtl/>
        </w:rPr>
        <w:t>ّ</w:t>
      </w:r>
      <w:r w:rsidRPr="00282AC9">
        <w:rPr>
          <w:rFonts w:ascii="Noor_Mitra" w:hAnsi="Noor_Mitra" w:cs="DanaFajr"/>
          <w:sz w:val="28"/>
          <w:szCs w:val="28"/>
          <w:rtl/>
        </w:rPr>
        <w:t>ية السن</w:t>
      </w:r>
      <w:r w:rsidRPr="00282AC9">
        <w:rPr>
          <w:rFonts w:ascii="Noor_Mitra" w:hAnsi="Noor_Mitra" w:cs="DanaFajr" w:hint="cs"/>
          <w:sz w:val="28"/>
          <w:szCs w:val="28"/>
          <w:rtl/>
        </w:rPr>
        <w:t>ّ</w:t>
      </w:r>
      <w:r w:rsidRPr="00282AC9">
        <w:rPr>
          <w:rFonts w:ascii="Noor_Mitra" w:hAnsi="Noor_Mitra" w:cs="DanaFajr"/>
          <w:sz w:val="28"/>
          <w:szCs w:val="28"/>
          <w:rtl/>
        </w:rPr>
        <w:t>ة: 1</w:t>
      </w:r>
      <w:r w:rsidRPr="00282AC9">
        <w:rPr>
          <w:rFonts w:ascii="Noor_Mitra" w:hAnsi="Noor_Mitra" w:cs="DanaFajr" w:hint="cs"/>
          <w:sz w:val="28"/>
          <w:szCs w:val="28"/>
          <w:rtl/>
        </w:rPr>
        <w:t>4</w:t>
      </w:r>
      <w:r w:rsidRPr="00282AC9">
        <w:rPr>
          <w:rFonts w:ascii="Noor_Mitra" w:hAnsi="Noor_Mitra" w:cs="DanaFajr"/>
          <w:sz w:val="28"/>
          <w:szCs w:val="28"/>
          <w:rtl/>
        </w:rPr>
        <w:t>2.</w:t>
      </w:r>
    </w:p>
  </w:endnote>
  <w:endnote w:id="516">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hint="cs"/>
          <w:sz w:val="28"/>
          <w:szCs w:val="28"/>
          <w:rtl/>
        </w:rPr>
        <w:t xml:space="preserve"> تقدَّمَتْ في مجلّة الاجتهاد والتجديد، العدد 56</w:t>
      </w:r>
      <w:r w:rsidRPr="00282AC9">
        <w:rPr>
          <w:rFonts w:ascii="Noor_Mitra" w:hAnsi="Noor_Mitra" w:cs="DanaFajr"/>
          <w:sz w:val="28"/>
          <w:szCs w:val="28"/>
          <w:rtl/>
        </w:rPr>
        <w:t>.</w:t>
      </w:r>
    </w:p>
  </w:endnote>
  <w:endnote w:id="517">
    <w:p w:rsidR="00C14EDE" w:rsidRPr="00282AC9" w:rsidRDefault="00C14EDE" w:rsidP="00446290">
      <w:pPr>
        <w:pStyle w:val="af7"/>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 xml:space="preserve">) فإن </w:t>
      </w:r>
      <w:r w:rsidRPr="00282AC9">
        <w:rPr>
          <w:rFonts w:hint="eastAsia"/>
          <w:sz w:val="22"/>
          <w:szCs w:val="22"/>
          <w:rtl/>
        </w:rPr>
        <w:t>«</w:t>
      </w:r>
      <w:r w:rsidRPr="00282AC9">
        <w:rPr>
          <w:rFonts w:ascii="Noor_Mitra" w:hAnsi="Noor_Mitra" w:cs="DanaFajr"/>
          <w:sz w:val="28"/>
          <w:szCs w:val="28"/>
          <w:rtl/>
        </w:rPr>
        <w:t>الس</w:t>
      </w:r>
      <w:r w:rsidRPr="00282AC9">
        <w:rPr>
          <w:rFonts w:ascii="Noor_Mitra" w:hAnsi="Noor_Mitra" w:cs="DanaFajr" w:hint="cs"/>
          <w:sz w:val="28"/>
          <w:szCs w:val="28"/>
          <w:rtl/>
        </w:rPr>
        <w:t>َّ</w:t>
      </w:r>
      <w:r w:rsidRPr="00282AC9">
        <w:rPr>
          <w:rFonts w:ascii="Noor_Mitra" w:hAnsi="Noor_Mitra" w:cs="DanaFajr"/>
          <w:sz w:val="28"/>
          <w:szCs w:val="28"/>
          <w:rtl/>
        </w:rPr>
        <w:t>نَن</w:t>
      </w:r>
      <w:r w:rsidRPr="00282AC9">
        <w:rPr>
          <w:rFonts w:hint="eastAsia"/>
          <w:sz w:val="22"/>
          <w:szCs w:val="22"/>
          <w:rtl/>
        </w:rPr>
        <w:t>»</w:t>
      </w:r>
      <w:r w:rsidRPr="00282AC9">
        <w:rPr>
          <w:rFonts w:ascii="Noor_Mitra" w:hAnsi="Noor_Mitra" w:cs="DanaFajr"/>
          <w:sz w:val="28"/>
          <w:szCs w:val="28"/>
          <w:rtl/>
        </w:rPr>
        <w:t xml:space="preserve"> بمعنى </w:t>
      </w:r>
      <w:r w:rsidRPr="00282AC9">
        <w:rPr>
          <w:rFonts w:hint="eastAsia"/>
          <w:sz w:val="22"/>
          <w:szCs w:val="22"/>
          <w:rtl/>
        </w:rPr>
        <w:t>«</w:t>
      </w:r>
      <w:r w:rsidRPr="00282AC9">
        <w:rPr>
          <w:rFonts w:ascii="Noor_Mitra" w:hAnsi="Noor_Mitra" w:cs="DanaFajr"/>
          <w:sz w:val="28"/>
          <w:szCs w:val="28"/>
          <w:rtl/>
        </w:rPr>
        <w:t>الطريق</w:t>
      </w:r>
      <w:r w:rsidRPr="00282AC9">
        <w:rPr>
          <w:rFonts w:hint="eastAsia"/>
          <w:sz w:val="22"/>
          <w:szCs w:val="22"/>
          <w:rtl/>
        </w:rPr>
        <w:t>»</w:t>
      </w:r>
      <w:r w:rsidRPr="00282AC9">
        <w:rPr>
          <w:rFonts w:ascii="Noor_Mitra" w:hAnsi="Noor_Mitra" w:cs="DanaFajr" w:hint="cs"/>
          <w:sz w:val="28"/>
          <w:szCs w:val="28"/>
          <w:rtl/>
        </w:rPr>
        <w:t>،</w:t>
      </w:r>
      <w:r w:rsidRPr="00282AC9">
        <w:rPr>
          <w:rFonts w:ascii="Noor_Mitra" w:hAnsi="Noor_Mitra" w:cs="DanaFajr"/>
          <w:sz w:val="28"/>
          <w:szCs w:val="28"/>
          <w:rtl/>
        </w:rPr>
        <w:t xml:space="preserve"> و</w:t>
      </w:r>
      <w:r w:rsidRPr="00282AC9">
        <w:rPr>
          <w:rFonts w:hint="eastAsia"/>
          <w:sz w:val="22"/>
          <w:szCs w:val="22"/>
          <w:rtl/>
        </w:rPr>
        <w:t>«</w:t>
      </w:r>
      <w:r w:rsidRPr="00282AC9">
        <w:rPr>
          <w:rFonts w:ascii="Noor_Mitra" w:hAnsi="Noor_Mitra" w:cs="DanaFajr"/>
          <w:sz w:val="28"/>
          <w:szCs w:val="28"/>
          <w:rtl/>
        </w:rPr>
        <w:t>الس</w:t>
      </w:r>
      <w:r w:rsidRPr="00282AC9">
        <w:rPr>
          <w:rFonts w:ascii="Noor_Mitra" w:hAnsi="Noor_Mitra" w:cs="DanaFajr" w:hint="cs"/>
          <w:sz w:val="28"/>
          <w:szCs w:val="28"/>
          <w:rtl/>
        </w:rPr>
        <w:t>ُّ</w:t>
      </w:r>
      <w:r w:rsidRPr="00282AC9">
        <w:rPr>
          <w:rFonts w:ascii="Noor_Mitra" w:hAnsi="Noor_Mitra" w:cs="DanaFajr"/>
          <w:sz w:val="28"/>
          <w:szCs w:val="28"/>
          <w:rtl/>
        </w:rPr>
        <w:t>نَن</w:t>
      </w:r>
      <w:r w:rsidRPr="00282AC9">
        <w:rPr>
          <w:rFonts w:hint="eastAsia"/>
          <w:sz w:val="22"/>
          <w:szCs w:val="22"/>
          <w:rtl/>
        </w:rPr>
        <w:t>»</w:t>
      </w:r>
      <w:r w:rsidRPr="00282AC9">
        <w:rPr>
          <w:rFonts w:ascii="Noor_Mitra" w:hAnsi="Noor_Mitra" w:cs="DanaFajr"/>
          <w:sz w:val="28"/>
          <w:szCs w:val="28"/>
          <w:rtl/>
        </w:rPr>
        <w:t xml:space="preserve"> </w:t>
      </w:r>
      <w:r w:rsidRPr="00282AC9">
        <w:rPr>
          <w:rFonts w:ascii="Noor_Mitra" w:hAnsi="Noor_Mitra" w:cs="DanaFajr" w:hint="cs"/>
          <w:sz w:val="28"/>
          <w:szCs w:val="28"/>
          <w:rtl/>
        </w:rPr>
        <w:t xml:space="preserve">ـ </w:t>
      </w:r>
      <w:r w:rsidRPr="00282AC9">
        <w:rPr>
          <w:rFonts w:ascii="Noor_Mitra" w:hAnsi="Noor_Mitra" w:cs="DanaFajr"/>
          <w:sz w:val="28"/>
          <w:szCs w:val="28"/>
          <w:rtl/>
        </w:rPr>
        <w:t>جمع الس</w:t>
      </w:r>
      <w:r w:rsidRPr="00282AC9">
        <w:rPr>
          <w:rFonts w:ascii="Noor_Mitra" w:hAnsi="Noor_Mitra" w:cs="DanaFajr" w:hint="cs"/>
          <w:sz w:val="28"/>
          <w:szCs w:val="28"/>
          <w:rtl/>
        </w:rPr>
        <w:t>ُّ</w:t>
      </w:r>
      <w:r w:rsidRPr="00282AC9">
        <w:rPr>
          <w:rFonts w:ascii="Noor_Mitra" w:hAnsi="Noor_Mitra" w:cs="DanaFajr"/>
          <w:sz w:val="28"/>
          <w:szCs w:val="28"/>
          <w:rtl/>
        </w:rPr>
        <w:t xml:space="preserve">نّة </w:t>
      </w:r>
      <w:r w:rsidRPr="00282AC9">
        <w:rPr>
          <w:rFonts w:ascii="Noor_Mitra" w:hAnsi="Noor_Mitra" w:cs="DanaFajr" w:hint="cs"/>
          <w:sz w:val="28"/>
          <w:szCs w:val="28"/>
          <w:rtl/>
        </w:rPr>
        <w:t xml:space="preserve">ـ </w:t>
      </w:r>
      <w:r w:rsidRPr="00282AC9">
        <w:rPr>
          <w:rFonts w:ascii="Noor_Mitra" w:hAnsi="Noor_Mitra" w:cs="DanaFajr"/>
          <w:sz w:val="28"/>
          <w:szCs w:val="28"/>
          <w:rtl/>
        </w:rPr>
        <w:t xml:space="preserve">بمعنى </w:t>
      </w:r>
      <w:r w:rsidRPr="00282AC9">
        <w:rPr>
          <w:rFonts w:hint="eastAsia"/>
          <w:sz w:val="22"/>
          <w:szCs w:val="22"/>
          <w:rtl/>
        </w:rPr>
        <w:t>«</w:t>
      </w:r>
      <w:r w:rsidRPr="00282AC9">
        <w:rPr>
          <w:rFonts w:ascii="Noor_Mitra" w:hAnsi="Noor_Mitra" w:cs="DanaFajr"/>
          <w:sz w:val="28"/>
          <w:szCs w:val="28"/>
          <w:rtl/>
        </w:rPr>
        <w:t>الطريقة</w:t>
      </w:r>
      <w:r w:rsidRPr="00282AC9">
        <w:rPr>
          <w:rFonts w:hint="eastAsia"/>
          <w:sz w:val="22"/>
          <w:szCs w:val="22"/>
          <w:rtl/>
        </w:rPr>
        <w:t>»</w:t>
      </w:r>
      <w:r w:rsidRPr="00282AC9">
        <w:rPr>
          <w:rFonts w:ascii="Noor_Mitra" w:hAnsi="Noor_Mitra" w:cs="DanaFajr" w:hint="cs"/>
          <w:sz w:val="28"/>
          <w:szCs w:val="28"/>
          <w:rtl/>
        </w:rPr>
        <w:t>،</w:t>
      </w:r>
      <w:r w:rsidRPr="00282AC9">
        <w:rPr>
          <w:rFonts w:ascii="Noor_Mitra" w:hAnsi="Noor_Mitra" w:cs="DanaFajr"/>
          <w:sz w:val="28"/>
          <w:szCs w:val="28"/>
          <w:rtl/>
        </w:rPr>
        <w:t xml:space="preserve"> وقد يُراد بـ</w:t>
      </w:r>
      <w:r w:rsidRPr="00282AC9">
        <w:rPr>
          <w:rFonts w:hint="cs"/>
          <w:sz w:val="24"/>
          <w:szCs w:val="24"/>
          <w:rtl/>
        </w:rPr>
        <w:t xml:space="preserve"> </w:t>
      </w:r>
      <w:r w:rsidRPr="00282AC9">
        <w:rPr>
          <w:rFonts w:hint="eastAsia"/>
          <w:sz w:val="22"/>
          <w:szCs w:val="22"/>
          <w:rtl/>
        </w:rPr>
        <w:t>«</w:t>
      </w:r>
      <w:r w:rsidRPr="00282AC9">
        <w:rPr>
          <w:rFonts w:ascii="Noor_Mitra" w:hAnsi="Noor_Mitra" w:cs="DanaFajr"/>
          <w:sz w:val="28"/>
          <w:szCs w:val="28"/>
          <w:rtl/>
        </w:rPr>
        <w:t>الطريق</w:t>
      </w:r>
      <w:r w:rsidRPr="00282AC9">
        <w:rPr>
          <w:rFonts w:hint="eastAsia"/>
          <w:sz w:val="22"/>
          <w:szCs w:val="22"/>
          <w:rtl/>
        </w:rPr>
        <w:t>»</w:t>
      </w:r>
      <w:r w:rsidRPr="00282AC9">
        <w:rPr>
          <w:rFonts w:ascii="Noor_Mitra" w:hAnsi="Noor_Mitra" w:cs="DanaFajr"/>
          <w:sz w:val="28"/>
          <w:szCs w:val="28"/>
          <w:rtl/>
        </w:rPr>
        <w:t xml:space="preserve"> معنى </w:t>
      </w:r>
      <w:r w:rsidRPr="00282AC9">
        <w:rPr>
          <w:rFonts w:hint="eastAsia"/>
          <w:sz w:val="22"/>
          <w:szCs w:val="22"/>
          <w:rtl/>
        </w:rPr>
        <w:t>«</w:t>
      </w:r>
      <w:r w:rsidRPr="00282AC9">
        <w:rPr>
          <w:rFonts w:ascii="Noor_Mitra" w:hAnsi="Noor_Mitra" w:cs="DanaFajr"/>
          <w:sz w:val="28"/>
          <w:szCs w:val="28"/>
          <w:rtl/>
        </w:rPr>
        <w:t>الطريقة والمنهج</w:t>
      </w:r>
      <w:r w:rsidRPr="00282AC9">
        <w:rPr>
          <w:rFonts w:hint="eastAsia"/>
          <w:sz w:val="22"/>
          <w:szCs w:val="22"/>
          <w:rtl/>
        </w:rPr>
        <w:t>»</w:t>
      </w:r>
      <w:r w:rsidRPr="00282AC9">
        <w:rPr>
          <w:rFonts w:ascii="Noor_Mitra" w:hAnsi="Noor_Mitra" w:cs="DanaFajr"/>
          <w:sz w:val="28"/>
          <w:szCs w:val="28"/>
          <w:rtl/>
        </w:rPr>
        <w:t>. ومن جهة</w:t>
      </w:r>
      <w:r w:rsidRPr="00282AC9">
        <w:rPr>
          <w:rFonts w:ascii="Noor_Mitra" w:hAnsi="Noor_Mitra" w:cs="DanaFajr" w:hint="cs"/>
          <w:sz w:val="28"/>
          <w:szCs w:val="28"/>
          <w:rtl/>
        </w:rPr>
        <w:t>ٍ</w:t>
      </w:r>
      <w:r w:rsidRPr="00282AC9">
        <w:rPr>
          <w:rFonts w:ascii="Noor_Mitra" w:hAnsi="Noor_Mitra" w:cs="DanaFajr"/>
          <w:sz w:val="28"/>
          <w:szCs w:val="28"/>
          <w:rtl/>
        </w:rPr>
        <w:t xml:space="preserve"> أخرى إن </w:t>
      </w:r>
      <w:r w:rsidRPr="00282AC9">
        <w:rPr>
          <w:rFonts w:hint="eastAsia"/>
          <w:sz w:val="22"/>
          <w:szCs w:val="22"/>
          <w:rtl/>
        </w:rPr>
        <w:t>«</w:t>
      </w:r>
      <w:r w:rsidRPr="00282AC9">
        <w:rPr>
          <w:rFonts w:ascii="Noor_Mitra" w:hAnsi="Noor_Mitra" w:cs="DanaFajr"/>
          <w:sz w:val="28"/>
          <w:szCs w:val="28"/>
          <w:rtl/>
        </w:rPr>
        <w:t>الس</w:t>
      </w:r>
      <w:r w:rsidRPr="00282AC9">
        <w:rPr>
          <w:rFonts w:ascii="Noor_Mitra" w:hAnsi="Noor_Mitra" w:cs="DanaFajr" w:hint="cs"/>
          <w:sz w:val="28"/>
          <w:szCs w:val="28"/>
          <w:rtl/>
        </w:rPr>
        <w:t>َّ</w:t>
      </w:r>
      <w:r w:rsidRPr="00282AC9">
        <w:rPr>
          <w:rFonts w:ascii="Noor_Mitra" w:hAnsi="Noor_Mitra" w:cs="DanaFajr"/>
          <w:sz w:val="28"/>
          <w:szCs w:val="28"/>
          <w:rtl/>
        </w:rPr>
        <w:t>نن</w:t>
      </w:r>
      <w:r w:rsidRPr="00282AC9">
        <w:rPr>
          <w:rFonts w:hint="eastAsia"/>
          <w:sz w:val="22"/>
          <w:szCs w:val="22"/>
          <w:rtl/>
        </w:rPr>
        <w:t>»</w:t>
      </w:r>
      <w:r w:rsidRPr="00282AC9">
        <w:rPr>
          <w:rFonts w:ascii="Noor_Mitra" w:hAnsi="Noor_Mitra" w:cs="DanaFajr"/>
          <w:sz w:val="28"/>
          <w:szCs w:val="28"/>
          <w:rtl/>
        </w:rPr>
        <w:t xml:space="preserve"> ورد</w:t>
      </w:r>
      <w:r w:rsidRPr="00282AC9">
        <w:rPr>
          <w:rFonts w:ascii="Noor_Mitra" w:hAnsi="Noor_Mitra" w:cs="DanaFajr" w:hint="cs"/>
          <w:sz w:val="28"/>
          <w:szCs w:val="28"/>
          <w:rtl/>
        </w:rPr>
        <w:t>َ</w:t>
      </w:r>
      <w:r w:rsidRPr="00282AC9">
        <w:rPr>
          <w:rFonts w:ascii="Noor_Mitra" w:hAnsi="Noor_Mitra" w:cs="DanaFajr"/>
          <w:sz w:val="28"/>
          <w:szCs w:val="28"/>
          <w:rtl/>
        </w:rPr>
        <w:t>ت</w:t>
      </w:r>
      <w:r w:rsidRPr="00282AC9">
        <w:rPr>
          <w:rFonts w:ascii="Noor_Mitra" w:hAnsi="Noor_Mitra" w:cs="DanaFajr" w:hint="cs"/>
          <w:sz w:val="28"/>
          <w:szCs w:val="28"/>
          <w:rtl/>
        </w:rPr>
        <w:t>ْ</w:t>
      </w:r>
      <w:r w:rsidRPr="00282AC9">
        <w:rPr>
          <w:rFonts w:ascii="Noor_Mitra" w:hAnsi="Noor_Mitra" w:cs="DanaFajr"/>
          <w:sz w:val="28"/>
          <w:szCs w:val="28"/>
          <w:rtl/>
        </w:rPr>
        <w:t xml:space="preserve"> في بعض المعاجم بمعنى </w:t>
      </w:r>
      <w:r w:rsidRPr="00282AC9">
        <w:rPr>
          <w:rFonts w:hint="eastAsia"/>
          <w:sz w:val="22"/>
          <w:szCs w:val="22"/>
          <w:rtl/>
        </w:rPr>
        <w:t>«</w:t>
      </w:r>
      <w:r w:rsidRPr="00282AC9">
        <w:rPr>
          <w:rFonts w:ascii="Noor_Mitra" w:hAnsi="Noor_Mitra" w:cs="DanaFajr"/>
          <w:sz w:val="28"/>
          <w:szCs w:val="28"/>
          <w:rtl/>
        </w:rPr>
        <w:t>الجهة</w:t>
      </w:r>
      <w:r w:rsidRPr="00282AC9">
        <w:rPr>
          <w:rFonts w:hint="eastAsia"/>
          <w:sz w:val="22"/>
          <w:szCs w:val="22"/>
          <w:rtl/>
        </w:rPr>
        <w:t>»</w:t>
      </w:r>
      <w:r w:rsidRPr="00282AC9">
        <w:rPr>
          <w:rFonts w:ascii="Noor_Mitra" w:hAnsi="Noor_Mitra" w:cs="DanaFajr"/>
          <w:sz w:val="28"/>
          <w:szCs w:val="28"/>
          <w:rtl/>
        </w:rPr>
        <w:t xml:space="preserve"> و</w:t>
      </w:r>
      <w:r w:rsidRPr="00282AC9">
        <w:rPr>
          <w:rFonts w:hint="eastAsia"/>
          <w:sz w:val="22"/>
          <w:szCs w:val="22"/>
          <w:rtl/>
        </w:rPr>
        <w:t>«</w:t>
      </w:r>
      <w:r w:rsidRPr="00282AC9">
        <w:rPr>
          <w:rFonts w:ascii="Noor_Mitra" w:hAnsi="Noor_Mitra" w:cs="DanaFajr"/>
          <w:sz w:val="28"/>
          <w:szCs w:val="28"/>
          <w:rtl/>
        </w:rPr>
        <w:t>النهج</w:t>
      </w:r>
      <w:r w:rsidRPr="00282AC9">
        <w:rPr>
          <w:rFonts w:hint="eastAsia"/>
          <w:sz w:val="22"/>
          <w:szCs w:val="22"/>
          <w:rtl/>
        </w:rPr>
        <w:t>»</w:t>
      </w:r>
      <w:r w:rsidRPr="00282AC9">
        <w:rPr>
          <w:rFonts w:ascii="Noor_Mitra" w:hAnsi="Noor_Mitra" w:cs="DanaFajr"/>
          <w:sz w:val="28"/>
          <w:szCs w:val="28"/>
          <w:rtl/>
        </w:rPr>
        <w:t xml:space="preserve"> أيضا</w:t>
      </w:r>
      <w:r w:rsidRPr="00282AC9">
        <w:rPr>
          <w:rFonts w:ascii="Noor_Mitra" w:hAnsi="Noor_Mitra" w:cs="DanaFajr" w:hint="cs"/>
          <w:sz w:val="28"/>
          <w:szCs w:val="28"/>
          <w:rtl/>
        </w:rPr>
        <w:t>ً،</w:t>
      </w:r>
      <w:r w:rsidRPr="00282AC9">
        <w:rPr>
          <w:rFonts w:ascii="Noor_Mitra" w:hAnsi="Noor_Mitra" w:cs="DanaFajr"/>
          <w:sz w:val="28"/>
          <w:szCs w:val="28"/>
          <w:rtl/>
        </w:rPr>
        <w:t xml:space="preserve"> وهو أيضا</w:t>
      </w:r>
      <w:r w:rsidRPr="00282AC9">
        <w:rPr>
          <w:rFonts w:ascii="Noor_Mitra" w:hAnsi="Noor_Mitra" w:cs="DanaFajr" w:hint="cs"/>
          <w:sz w:val="28"/>
          <w:szCs w:val="28"/>
          <w:rtl/>
        </w:rPr>
        <w:t>ً</w:t>
      </w:r>
      <w:r w:rsidRPr="00282AC9">
        <w:rPr>
          <w:rFonts w:ascii="Noor_Mitra" w:hAnsi="Noor_Mitra" w:cs="DanaFajr"/>
          <w:sz w:val="28"/>
          <w:szCs w:val="28"/>
          <w:rtl/>
        </w:rPr>
        <w:t xml:space="preserve"> قريب من معنى </w:t>
      </w:r>
      <w:r w:rsidRPr="00282AC9">
        <w:rPr>
          <w:rFonts w:hint="eastAsia"/>
          <w:sz w:val="22"/>
          <w:szCs w:val="22"/>
          <w:rtl/>
        </w:rPr>
        <w:t>«</w:t>
      </w:r>
      <w:r w:rsidRPr="00282AC9">
        <w:rPr>
          <w:rFonts w:ascii="Noor_Mitra" w:hAnsi="Noor_Mitra" w:cs="DanaFajr"/>
          <w:sz w:val="28"/>
          <w:szCs w:val="28"/>
          <w:rtl/>
        </w:rPr>
        <w:t>الطريقة</w:t>
      </w:r>
      <w:r w:rsidRPr="00282AC9">
        <w:rPr>
          <w:rFonts w:hint="eastAsia"/>
          <w:sz w:val="22"/>
          <w:szCs w:val="22"/>
          <w:rtl/>
        </w:rPr>
        <w:t>»</w:t>
      </w:r>
      <w:r w:rsidRPr="00282AC9">
        <w:rPr>
          <w:rFonts w:ascii="Noor_Mitra" w:hAnsi="Noor_Mitra" w:cs="DanaFajr"/>
          <w:sz w:val="28"/>
          <w:szCs w:val="28"/>
          <w:rtl/>
        </w:rPr>
        <w:t xml:space="preserve">. </w:t>
      </w:r>
      <w:r w:rsidRPr="00282AC9">
        <w:rPr>
          <w:rFonts w:ascii="Noor_Mitra" w:hAnsi="Noor_Mitra" w:cs="DanaFajr"/>
          <w:sz w:val="28"/>
          <w:szCs w:val="28"/>
          <w:rtl/>
          <w:lang w:bidi="fa-IR"/>
        </w:rPr>
        <w:t>انظر</w:t>
      </w:r>
      <w:r w:rsidRPr="00282AC9">
        <w:rPr>
          <w:rFonts w:ascii="Noor_Mitra" w:hAnsi="Noor_Mitra" w:cs="DanaFajr"/>
          <w:sz w:val="28"/>
          <w:szCs w:val="28"/>
          <w:rtl/>
        </w:rPr>
        <w:t xml:space="preserve">: </w:t>
      </w:r>
      <w:r w:rsidRPr="00282AC9">
        <w:rPr>
          <w:rFonts w:ascii="Noor_Mitra" w:hAnsi="Noor_Mitra" w:cs="DanaFajr"/>
          <w:sz w:val="28"/>
          <w:szCs w:val="28"/>
          <w:rtl/>
          <w:lang w:bidi="fa-IR"/>
        </w:rPr>
        <w:t>الجوهري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الصحاح ‏</w:t>
      </w:r>
      <w:r w:rsidRPr="00282AC9">
        <w:rPr>
          <w:rFonts w:ascii="Noor_Mitra" w:hAnsi="Noor_Mitra" w:cs="DanaFajr" w:hint="cs"/>
          <w:sz w:val="28"/>
          <w:szCs w:val="28"/>
          <w:rtl/>
        </w:rPr>
        <w:t>5</w:t>
      </w:r>
      <w:r w:rsidRPr="00282AC9">
        <w:rPr>
          <w:rFonts w:ascii="Noor_Mitra" w:hAnsi="Noor_Mitra" w:cs="DanaFajr"/>
          <w:sz w:val="28"/>
          <w:szCs w:val="28"/>
          <w:rtl/>
          <w:lang w:bidi="fa-IR"/>
        </w:rPr>
        <w:t>: 2139،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عبد الغفور عط</w:t>
      </w:r>
      <w:r w:rsidRPr="00282AC9">
        <w:rPr>
          <w:rFonts w:ascii="Noor_Mitra" w:hAnsi="Noor_Mitra" w:cs="DanaFajr" w:hint="cs"/>
          <w:sz w:val="28"/>
          <w:szCs w:val="28"/>
          <w:rtl/>
          <w:lang w:bidi="fa-IR"/>
        </w:rPr>
        <w:t>ّا</w:t>
      </w:r>
      <w:r w:rsidRPr="00282AC9">
        <w:rPr>
          <w:rFonts w:ascii="Noor_Mitra" w:hAnsi="Noor_Mitra" w:cs="DanaFajr"/>
          <w:sz w:val="28"/>
          <w:szCs w:val="28"/>
          <w:rtl/>
          <w:lang w:bidi="fa-IR"/>
        </w:rPr>
        <w:t>ر، بيروت، ط1، 137</w:t>
      </w:r>
      <w:r w:rsidRPr="00282AC9">
        <w:rPr>
          <w:rFonts w:ascii="Noor_Mitra" w:hAnsi="Noor_Mitra" w:cs="DanaFajr" w:hint="cs"/>
          <w:sz w:val="28"/>
          <w:szCs w:val="28"/>
          <w:rtl/>
        </w:rPr>
        <w:t>6</w:t>
      </w:r>
      <w:r w:rsidRPr="00282AC9">
        <w:rPr>
          <w:rFonts w:ascii="Noor_Mitra" w:hAnsi="Noor_Mitra" w:cs="DanaFajr"/>
          <w:sz w:val="28"/>
          <w:szCs w:val="28"/>
          <w:rtl/>
          <w:lang w:bidi="fa-IR"/>
        </w:rPr>
        <w:t>هـ؛ ابن سيدة</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المحكم والمحيط</w:t>
      </w:r>
      <w:r w:rsidRPr="00282AC9">
        <w:rPr>
          <w:rFonts w:ascii="Noor_Mitra" w:hAnsi="Noor_Mitra" w:cs="DanaFajr" w:hint="cs"/>
          <w:sz w:val="28"/>
          <w:szCs w:val="28"/>
          <w:rtl/>
        </w:rPr>
        <w:t xml:space="preserve"> </w:t>
      </w:r>
      <w:r w:rsidRPr="00282AC9">
        <w:rPr>
          <w:rFonts w:ascii="Noor_Mitra" w:hAnsi="Noor_Mitra" w:cs="DanaFajr"/>
          <w:sz w:val="28"/>
          <w:szCs w:val="28"/>
          <w:rtl/>
          <w:lang w:bidi="fa-IR"/>
        </w:rPr>
        <w:t xml:space="preserve">الأعظم ‏8: </w:t>
      </w:r>
      <w:r w:rsidRPr="00282AC9">
        <w:rPr>
          <w:rFonts w:ascii="Noor_Mitra" w:hAnsi="Noor_Mitra" w:cs="DanaFajr" w:hint="cs"/>
          <w:sz w:val="28"/>
          <w:szCs w:val="28"/>
          <w:rtl/>
        </w:rPr>
        <w:t>4</w:t>
      </w:r>
      <w:r w:rsidRPr="00282AC9">
        <w:rPr>
          <w:rFonts w:ascii="Noor_Mitra" w:hAnsi="Noor_Mitra" w:cs="DanaFajr"/>
          <w:sz w:val="28"/>
          <w:szCs w:val="28"/>
          <w:rtl/>
          <w:lang w:bidi="fa-IR"/>
        </w:rPr>
        <w:t>17،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عبد المجيد هنداوي، دار الكتب العلمية، بيروت، ط1، 1</w:t>
      </w:r>
      <w:r w:rsidRPr="00282AC9">
        <w:rPr>
          <w:rFonts w:ascii="Noor_Mitra" w:hAnsi="Noor_Mitra" w:cs="DanaFajr" w:hint="cs"/>
          <w:sz w:val="28"/>
          <w:szCs w:val="28"/>
          <w:rtl/>
        </w:rPr>
        <w:t>4</w:t>
      </w:r>
      <w:r w:rsidRPr="00282AC9">
        <w:rPr>
          <w:rFonts w:ascii="Noor_Mitra" w:hAnsi="Noor_Mitra" w:cs="DanaFajr"/>
          <w:sz w:val="28"/>
          <w:szCs w:val="28"/>
          <w:rtl/>
          <w:lang w:bidi="fa-IR"/>
        </w:rPr>
        <w:t>21هـ.</w:t>
      </w:r>
    </w:p>
  </w:endnote>
  <w:endnote w:id="518">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sz w:val="28"/>
          <w:szCs w:val="28"/>
        </w:rPr>
        <w:t xml:space="preserve"> </w:t>
      </w:r>
      <w:r w:rsidRPr="00282AC9">
        <w:rPr>
          <w:rFonts w:ascii="Noor_Mitra" w:hAnsi="Noor_Mitra" w:cs="DanaFajr"/>
          <w:sz w:val="28"/>
          <w:szCs w:val="28"/>
          <w:rtl/>
        </w:rPr>
        <w:t>قد تقدَّمَتْ في المقالة السابقة تفصيلاتٌ حول هذا الأمر</w:t>
      </w:r>
      <w:r w:rsidRPr="00282AC9">
        <w:rPr>
          <w:rFonts w:ascii="Noor_Mitra" w:hAnsi="Noor_Mitra" w:cs="DanaFajr" w:hint="cs"/>
          <w:sz w:val="28"/>
          <w:szCs w:val="28"/>
          <w:rtl/>
        </w:rPr>
        <w:t>،</w:t>
      </w:r>
      <w:r w:rsidRPr="00282AC9">
        <w:rPr>
          <w:rFonts w:ascii="Noor_Mitra" w:hAnsi="Noor_Mitra" w:cs="DanaFajr"/>
          <w:sz w:val="28"/>
          <w:szCs w:val="28"/>
          <w:rtl/>
        </w:rPr>
        <w:t xml:space="preserve"> وأكتفي هنا بهذا المقدار. </w:t>
      </w:r>
    </w:p>
  </w:endnote>
  <w:endnote w:id="519">
    <w:p w:rsidR="00C14EDE" w:rsidRPr="00282AC9" w:rsidRDefault="00C14EDE" w:rsidP="00446290">
      <w:pPr>
        <w:pStyle w:val="af7"/>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أقصد من أهل البيت</w:t>
      </w:r>
      <w:r w:rsidRPr="00282AC9">
        <w:rPr>
          <w:rFonts w:cs="Mosawi" w:hint="cs"/>
          <w:rtl/>
        </w:rPr>
        <w:t>^</w:t>
      </w:r>
      <w:r w:rsidRPr="00282AC9">
        <w:rPr>
          <w:rFonts w:ascii="Noor_Mitra" w:hAnsi="Noor_Mitra" w:cs="DanaFajr"/>
          <w:sz w:val="28"/>
          <w:szCs w:val="28"/>
          <w:rtl/>
        </w:rPr>
        <w:t xml:space="preserve"> هنا خصوص أهل الكساء</w:t>
      </w:r>
      <w:r w:rsidRPr="00282AC9">
        <w:rPr>
          <w:rFonts w:cs="Mosawi" w:hint="cs"/>
          <w:rtl/>
        </w:rPr>
        <w:t>^</w:t>
      </w:r>
      <w:r w:rsidRPr="00282AC9">
        <w:rPr>
          <w:rFonts w:ascii="Noor_Mitra" w:hAnsi="Noor_Mitra" w:cs="DanaFajr" w:hint="cs"/>
          <w:sz w:val="28"/>
          <w:szCs w:val="28"/>
          <w:rtl/>
        </w:rPr>
        <w:t>؛</w:t>
      </w:r>
      <w:r w:rsidRPr="00282AC9">
        <w:rPr>
          <w:rFonts w:ascii="Noor_Mitra" w:hAnsi="Noor_Mitra" w:cs="DanaFajr"/>
          <w:sz w:val="28"/>
          <w:szCs w:val="28"/>
          <w:rtl/>
        </w:rPr>
        <w:t xml:space="preserve"> ليكون ذكر الشواهد وفقا</w:t>
      </w:r>
      <w:r w:rsidRPr="00282AC9">
        <w:rPr>
          <w:rFonts w:ascii="Noor_Mitra" w:hAnsi="Noor_Mitra" w:cs="DanaFajr" w:hint="cs"/>
          <w:sz w:val="28"/>
          <w:szCs w:val="28"/>
          <w:rtl/>
        </w:rPr>
        <w:t>ً</w:t>
      </w:r>
      <w:r w:rsidRPr="00282AC9">
        <w:rPr>
          <w:rFonts w:ascii="Noor_Mitra" w:hAnsi="Noor_Mitra" w:cs="DanaFajr"/>
          <w:sz w:val="28"/>
          <w:szCs w:val="28"/>
          <w:rtl/>
        </w:rPr>
        <w:t xml:space="preserve"> لترتيبها التاريخي</w:t>
      </w:r>
      <w:r w:rsidRPr="00282AC9">
        <w:rPr>
          <w:rFonts w:ascii="Noor_Mitra" w:hAnsi="Noor_Mitra" w:cs="DanaFajr" w:hint="cs"/>
          <w:sz w:val="28"/>
          <w:szCs w:val="28"/>
          <w:rtl/>
        </w:rPr>
        <w:t>ّ</w:t>
      </w:r>
      <w:r w:rsidRPr="00282AC9">
        <w:rPr>
          <w:rFonts w:ascii="Noor_Mitra" w:hAnsi="Noor_Mitra" w:cs="DanaFajr"/>
          <w:sz w:val="28"/>
          <w:szCs w:val="28"/>
          <w:rtl/>
        </w:rPr>
        <w:t xml:space="preserve"> وفي المنتصف الأو</w:t>
      </w:r>
      <w:r w:rsidRPr="00282AC9">
        <w:rPr>
          <w:rFonts w:ascii="Noor_Mitra" w:hAnsi="Noor_Mitra" w:cs="DanaFajr" w:hint="cs"/>
          <w:sz w:val="28"/>
          <w:szCs w:val="28"/>
          <w:rtl/>
        </w:rPr>
        <w:t>ّ</w:t>
      </w:r>
      <w:r w:rsidRPr="00282AC9">
        <w:rPr>
          <w:rFonts w:ascii="Noor_Mitra" w:hAnsi="Noor_Mitra" w:cs="DanaFajr"/>
          <w:sz w:val="28"/>
          <w:szCs w:val="28"/>
          <w:rtl/>
        </w:rPr>
        <w:t>ل من القرن الأول الهجري</w:t>
      </w:r>
      <w:r w:rsidRPr="00282AC9">
        <w:rPr>
          <w:rFonts w:ascii="Noor_Mitra" w:hAnsi="Noor_Mitra" w:cs="DanaFajr" w:hint="cs"/>
          <w:sz w:val="28"/>
          <w:szCs w:val="28"/>
          <w:rtl/>
        </w:rPr>
        <w:t>ّ.</w:t>
      </w:r>
      <w:r w:rsidRPr="00282AC9">
        <w:rPr>
          <w:rFonts w:ascii="Noor_Mitra" w:hAnsi="Noor_Mitra" w:cs="DanaFajr"/>
          <w:sz w:val="28"/>
          <w:szCs w:val="28"/>
          <w:rtl/>
        </w:rPr>
        <w:t xml:space="preserve"> وسأذكر الاستعمالات في كلام الإمام السج</w:t>
      </w:r>
      <w:r w:rsidRPr="00282AC9">
        <w:rPr>
          <w:rFonts w:ascii="Noor_Mitra" w:hAnsi="Noor_Mitra" w:cs="DanaFajr" w:hint="cs"/>
          <w:sz w:val="28"/>
          <w:szCs w:val="28"/>
          <w:rtl/>
        </w:rPr>
        <w:t>ّ</w:t>
      </w:r>
      <w:r w:rsidRPr="00282AC9">
        <w:rPr>
          <w:rFonts w:ascii="Noor_Mitra" w:hAnsi="Noor_Mitra" w:cs="DanaFajr"/>
          <w:sz w:val="28"/>
          <w:szCs w:val="28"/>
          <w:rtl/>
        </w:rPr>
        <w:t>اد</w:t>
      </w:r>
      <w:r w:rsidRPr="00282AC9">
        <w:rPr>
          <w:rFonts w:cs="Mosawi" w:hint="cs"/>
          <w:rtl/>
        </w:rPr>
        <w:t>×</w:t>
      </w:r>
      <w:r w:rsidRPr="00282AC9">
        <w:rPr>
          <w:rFonts w:ascii="Noor_Mitra" w:hAnsi="Noor_Mitra" w:cs="DanaFajr"/>
          <w:sz w:val="28"/>
          <w:szCs w:val="28"/>
          <w:rtl/>
        </w:rPr>
        <w:t xml:space="preserve"> في المجموعة التالية</w:t>
      </w:r>
      <w:r w:rsidRPr="00282AC9">
        <w:rPr>
          <w:rFonts w:ascii="Noor_Mitra" w:hAnsi="Noor_Mitra" w:cs="DanaFajr" w:hint="cs"/>
          <w:sz w:val="28"/>
          <w:szCs w:val="28"/>
          <w:rtl/>
        </w:rPr>
        <w:t>،</w:t>
      </w:r>
      <w:r w:rsidRPr="00282AC9">
        <w:rPr>
          <w:rFonts w:ascii="Noor_Mitra" w:hAnsi="Noor_Mitra" w:cs="DanaFajr"/>
          <w:sz w:val="28"/>
          <w:szCs w:val="28"/>
          <w:rtl/>
        </w:rPr>
        <w:t xml:space="preserve"> إن</w:t>
      </w:r>
      <w:r w:rsidRPr="00282AC9">
        <w:rPr>
          <w:rFonts w:ascii="Noor_Mitra" w:hAnsi="Noor_Mitra" w:cs="DanaFajr" w:hint="cs"/>
          <w:sz w:val="28"/>
          <w:szCs w:val="28"/>
          <w:rtl/>
        </w:rPr>
        <w:t>ْ</w:t>
      </w:r>
      <w:r w:rsidRPr="00282AC9">
        <w:rPr>
          <w:rFonts w:ascii="Noor_Mitra" w:hAnsi="Noor_Mitra" w:cs="DanaFajr"/>
          <w:sz w:val="28"/>
          <w:szCs w:val="28"/>
          <w:rtl/>
        </w:rPr>
        <w:t xml:space="preserve"> شاء الله.</w:t>
      </w:r>
      <w:r w:rsidRPr="00282AC9">
        <w:rPr>
          <w:rFonts w:ascii="Noor_Mitra" w:hAnsi="Noor_Mitra" w:cs="DanaFajr"/>
          <w:sz w:val="28"/>
          <w:szCs w:val="28"/>
          <w:rtl/>
          <w:lang w:bidi="fa-IR"/>
        </w:rPr>
        <w:t xml:space="preserve"> </w:t>
      </w:r>
    </w:p>
  </w:endnote>
  <w:endnote w:id="520">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sz w:val="28"/>
          <w:szCs w:val="28"/>
        </w:rPr>
        <w:t xml:space="preserve"> </w:t>
      </w:r>
      <w:r w:rsidRPr="00282AC9">
        <w:rPr>
          <w:rFonts w:ascii="Noor_Mitra" w:hAnsi="Noor_Mitra" w:cs="DanaFajr"/>
          <w:sz w:val="28"/>
          <w:szCs w:val="28"/>
          <w:rtl/>
          <w:lang w:bidi="fa-IR"/>
        </w:rPr>
        <w:t>نهج البلاغة: 209</w:t>
      </w:r>
    </w:p>
  </w:endnote>
  <w:endnote w:id="521">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الكليني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الكافي ‏1</w:t>
      </w:r>
      <w:r w:rsidRPr="00282AC9">
        <w:rPr>
          <w:rFonts w:ascii="Noor_Mitra" w:hAnsi="Noor_Mitra" w:cs="DanaFajr" w:hint="cs"/>
          <w:sz w:val="28"/>
          <w:szCs w:val="28"/>
          <w:rtl/>
        </w:rPr>
        <w:t>5</w:t>
      </w:r>
      <w:r w:rsidRPr="00282AC9">
        <w:rPr>
          <w:rFonts w:ascii="Noor_Mitra" w:hAnsi="Noor_Mitra" w:cs="DanaFajr"/>
          <w:sz w:val="28"/>
          <w:szCs w:val="28"/>
          <w:rtl/>
          <w:lang w:bidi="fa-IR"/>
        </w:rPr>
        <w:t>: 1</w:t>
      </w:r>
      <w:r w:rsidRPr="00282AC9">
        <w:rPr>
          <w:rFonts w:ascii="Noor_Mitra" w:hAnsi="Noor_Mitra" w:cs="DanaFajr" w:hint="cs"/>
          <w:sz w:val="28"/>
          <w:szCs w:val="28"/>
          <w:rtl/>
        </w:rPr>
        <w:t>6</w:t>
      </w:r>
      <w:r w:rsidRPr="00282AC9">
        <w:rPr>
          <w:rFonts w:ascii="Noor_Mitra" w:hAnsi="Noor_Mitra" w:cs="DanaFajr"/>
          <w:sz w:val="28"/>
          <w:szCs w:val="28"/>
          <w:rtl/>
          <w:lang w:bidi="fa-IR"/>
        </w:rPr>
        <w:t xml:space="preserve">2؛ </w:t>
      </w:r>
      <w:r w:rsidRPr="00282AC9">
        <w:rPr>
          <w:rFonts w:ascii="Noor_Mitra" w:hAnsi="Noor_Mitra" w:cs="DanaFajr" w:hint="cs"/>
          <w:sz w:val="28"/>
          <w:szCs w:val="28"/>
          <w:rtl/>
          <w:lang w:bidi="fa-IR"/>
        </w:rPr>
        <w:t xml:space="preserve">المفيد، </w:t>
      </w:r>
      <w:r w:rsidRPr="00282AC9">
        <w:rPr>
          <w:rFonts w:ascii="Noor_Mitra" w:hAnsi="Noor_Mitra" w:cs="DanaFajr"/>
          <w:sz w:val="28"/>
          <w:szCs w:val="28"/>
          <w:rtl/>
          <w:lang w:bidi="fa-IR"/>
        </w:rPr>
        <w:t>الإرشاد ‏1: 292، مؤتمر الشيخ المفيد، قم ، 1</w:t>
      </w:r>
      <w:r w:rsidRPr="00282AC9">
        <w:rPr>
          <w:rFonts w:ascii="Noor_Mitra" w:hAnsi="Noor_Mitra" w:cs="DanaFajr" w:hint="cs"/>
          <w:sz w:val="28"/>
          <w:szCs w:val="28"/>
          <w:rtl/>
        </w:rPr>
        <w:t>4</w:t>
      </w:r>
      <w:r w:rsidRPr="00282AC9">
        <w:rPr>
          <w:rFonts w:ascii="Noor_Mitra" w:hAnsi="Noor_Mitra" w:cs="DanaFajr"/>
          <w:sz w:val="28"/>
          <w:szCs w:val="28"/>
          <w:rtl/>
          <w:lang w:bidi="fa-IR"/>
        </w:rPr>
        <w:t>13هـ.</w:t>
      </w:r>
    </w:p>
  </w:endnote>
  <w:endnote w:id="522">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تفسير فرات الكوفي: 31</w:t>
      </w:r>
      <w:r w:rsidRPr="00282AC9">
        <w:rPr>
          <w:rFonts w:ascii="Noor_Mitra" w:hAnsi="Noor_Mitra" w:cs="DanaFajr" w:hint="cs"/>
          <w:sz w:val="28"/>
          <w:szCs w:val="28"/>
          <w:rtl/>
        </w:rPr>
        <w:t>4</w:t>
      </w:r>
      <w:r w:rsidRPr="00282AC9">
        <w:rPr>
          <w:rFonts w:ascii="Noor_Mitra" w:hAnsi="Noor_Mitra" w:cs="DanaFajr"/>
          <w:sz w:val="28"/>
          <w:szCs w:val="28"/>
          <w:rtl/>
        </w:rPr>
        <w:t xml:space="preserve">، </w:t>
      </w:r>
      <w:r w:rsidRPr="00282AC9">
        <w:rPr>
          <w:rFonts w:ascii="Noor_Mitra" w:hAnsi="Noor_Mitra" w:cs="DanaFajr"/>
          <w:sz w:val="28"/>
          <w:szCs w:val="28"/>
          <w:rtl/>
          <w:lang w:bidi="fa-IR"/>
        </w:rPr>
        <w:t>مؤس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سة الطبع والنشر في وزارة الإرشاد الإسلامي‏، </w:t>
      </w:r>
      <w:r w:rsidRPr="00282AC9">
        <w:rPr>
          <w:rFonts w:ascii="Noor_Mitra" w:hAnsi="Noor_Mitra" w:cs="DanaFajr"/>
          <w:sz w:val="28"/>
          <w:szCs w:val="28"/>
          <w:rtl/>
        </w:rPr>
        <w:t>طهران</w:t>
      </w:r>
      <w:r w:rsidRPr="00282AC9">
        <w:rPr>
          <w:rFonts w:ascii="Noor_Mitra" w:hAnsi="Noor_Mitra" w:cs="DanaFajr"/>
          <w:sz w:val="28"/>
          <w:szCs w:val="28"/>
          <w:rtl/>
          <w:lang w:bidi="fa-IR"/>
        </w:rPr>
        <w:t>، ط1، 1</w:t>
      </w:r>
      <w:r w:rsidRPr="00282AC9">
        <w:rPr>
          <w:rFonts w:ascii="Noor_Mitra" w:hAnsi="Noor_Mitra" w:cs="DanaFajr" w:hint="cs"/>
          <w:sz w:val="28"/>
          <w:szCs w:val="28"/>
          <w:rtl/>
        </w:rPr>
        <w:t>4</w:t>
      </w:r>
      <w:r w:rsidRPr="00282AC9">
        <w:rPr>
          <w:rFonts w:ascii="Noor_Mitra" w:hAnsi="Noor_Mitra" w:cs="DanaFajr"/>
          <w:sz w:val="28"/>
          <w:szCs w:val="28"/>
          <w:rtl/>
          <w:lang w:bidi="fa-IR"/>
        </w:rPr>
        <w:t>10</w:t>
      </w:r>
      <w:r w:rsidRPr="00282AC9">
        <w:rPr>
          <w:rFonts w:ascii="Noor_Mitra" w:hAnsi="Noor_Mitra" w:cs="DanaFajr" w:hint="cs"/>
          <w:sz w:val="28"/>
          <w:szCs w:val="28"/>
          <w:rtl/>
          <w:lang w:bidi="fa-IR"/>
        </w:rPr>
        <w:t>هـ؛</w:t>
      </w:r>
      <w:r w:rsidRPr="00282AC9">
        <w:rPr>
          <w:rFonts w:ascii="Noor_Mitra" w:hAnsi="Noor_Mitra" w:cs="DanaFajr"/>
          <w:sz w:val="28"/>
          <w:szCs w:val="28"/>
          <w:rtl/>
          <w:lang w:bidi="fa-IR"/>
        </w:rPr>
        <w:t xml:space="preserve"> وباختلاف</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يسير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في: شواهد التن</w:t>
      </w:r>
      <w:r w:rsidRPr="00282AC9">
        <w:rPr>
          <w:rFonts w:ascii="Noor_Mitra" w:hAnsi="Noor_Mitra" w:cs="DanaFajr" w:hint="cs"/>
          <w:sz w:val="28"/>
          <w:szCs w:val="28"/>
          <w:rtl/>
          <w:lang w:bidi="fa-IR"/>
        </w:rPr>
        <w:t>ـ</w:t>
      </w:r>
      <w:r w:rsidRPr="00282AC9">
        <w:rPr>
          <w:rFonts w:ascii="Noor_Mitra" w:hAnsi="Noor_Mitra" w:cs="DanaFajr"/>
          <w:sz w:val="28"/>
          <w:szCs w:val="28"/>
          <w:rtl/>
          <w:lang w:bidi="fa-IR"/>
        </w:rPr>
        <w:t xml:space="preserve">زيل لقواعد التفضيل ‏1: </w:t>
      </w:r>
      <w:r w:rsidRPr="00282AC9">
        <w:rPr>
          <w:rFonts w:ascii="Noor_Mitra" w:hAnsi="Noor_Mitra" w:cs="DanaFajr" w:hint="cs"/>
          <w:sz w:val="28"/>
          <w:szCs w:val="28"/>
          <w:rtl/>
        </w:rPr>
        <w:t>55</w:t>
      </w:r>
      <w:r w:rsidRPr="00282AC9">
        <w:rPr>
          <w:rFonts w:ascii="Noor_Mitra" w:hAnsi="Noor_Mitra" w:cs="DanaFajr"/>
          <w:sz w:val="28"/>
          <w:szCs w:val="28"/>
          <w:rtl/>
          <w:lang w:bidi="fa-IR"/>
        </w:rPr>
        <w:t>7</w:t>
      </w:r>
      <w:r w:rsidRPr="00282AC9">
        <w:rPr>
          <w:rFonts w:ascii="Noor_Mitra" w:hAnsi="Noor_Mitra" w:cs="DanaFajr"/>
          <w:sz w:val="28"/>
          <w:szCs w:val="28"/>
          <w:rtl/>
        </w:rPr>
        <w:t xml:space="preserve">، </w:t>
      </w:r>
      <w:r w:rsidRPr="00282AC9">
        <w:rPr>
          <w:rFonts w:ascii="Noor_Mitra" w:hAnsi="Noor_Mitra" w:cs="DanaFajr"/>
          <w:sz w:val="28"/>
          <w:szCs w:val="28"/>
          <w:rtl/>
          <w:lang w:bidi="fa-IR"/>
        </w:rPr>
        <w:t>مجمع إحياء الثقافة الإسلامي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ة</w:t>
      </w:r>
      <w:r w:rsidRPr="00282AC9">
        <w:rPr>
          <w:rFonts w:ascii="Noor_Mitra" w:hAnsi="Noor_Mitra" w:cs="DanaFajr" w:hint="cs"/>
          <w:sz w:val="28"/>
          <w:szCs w:val="28"/>
          <w:rtl/>
          <w:lang w:bidi="fa-IR"/>
        </w:rPr>
        <w:t xml:space="preserve"> في</w:t>
      </w:r>
      <w:r w:rsidRPr="00282AC9">
        <w:rPr>
          <w:rFonts w:ascii="Noor_Mitra" w:hAnsi="Noor_Mitra" w:cs="DanaFajr"/>
          <w:sz w:val="28"/>
          <w:szCs w:val="28"/>
          <w:rtl/>
          <w:lang w:bidi="fa-IR"/>
        </w:rPr>
        <w:t xml:space="preserve"> وزارة الثقافة والإرشاد الإسلامي، </w:t>
      </w:r>
      <w:r w:rsidRPr="00282AC9">
        <w:rPr>
          <w:rFonts w:ascii="Noor_Mitra" w:hAnsi="Noor_Mitra" w:cs="DanaFajr"/>
          <w:sz w:val="28"/>
          <w:szCs w:val="28"/>
          <w:rtl/>
        </w:rPr>
        <w:t>طهران</w:t>
      </w:r>
      <w:r w:rsidRPr="00282AC9">
        <w:rPr>
          <w:rFonts w:ascii="Noor_Mitra" w:hAnsi="Noor_Mitra" w:cs="DanaFajr"/>
          <w:sz w:val="28"/>
          <w:szCs w:val="28"/>
          <w:rtl/>
          <w:lang w:bidi="fa-IR"/>
        </w:rPr>
        <w:t xml:space="preserve"> ، ط1، 1</w:t>
      </w:r>
      <w:r w:rsidRPr="00282AC9">
        <w:rPr>
          <w:rFonts w:ascii="Noor_Mitra" w:hAnsi="Noor_Mitra" w:cs="DanaFajr" w:hint="cs"/>
          <w:sz w:val="28"/>
          <w:szCs w:val="28"/>
          <w:rtl/>
        </w:rPr>
        <w:t>4</w:t>
      </w:r>
      <w:r w:rsidRPr="00282AC9">
        <w:rPr>
          <w:rFonts w:ascii="Noor_Mitra" w:hAnsi="Noor_Mitra" w:cs="DanaFajr"/>
          <w:sz w:val="28"/>
          <w:szCs w:val="28"/>
          <w:rtl/>
          <w:lang w:bidi="fa-IR"/>
        </w:rPr>
        <w:t>11هـ.</w:t>
      </w:r>
    </w:p>
  </w:endnote>
  <w:endnote w:id="523">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الثقفي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الغارات ‏2: </w:t>
      </w:r>
      <w:r w:rsidRPr="00282AC9">
        <w:rPr>
          <w:rFonts w:ascii="Noor_Mitra" w:hAnsi="Noor_Mitra" w:cs="DanaFajr" w:hint="cs"/>
          <w:sz w:val="28"/>
          <w:szCs w:val="28"/>
          <w:rtl/>
        </w:rPr>
        <w:t>4</w:t>
      </w:r>
      <w:r w:rsidRPr="00282AC9">
        <w:rPr>
          <w:rFonts w:ascii="Noor_Mitra" w:hAnsi="Noor_Mitra" w:cs="DanaFajr"/>
          <w:sz w:val="28"/>
          <w:szCs w:val="28"/>
          <w:rtl/>
          <w:lang w:bidi="fa-IR"/>
        </w:rPr>
        <w:t>83؛ نهج البلاغة: 93؛ الطوسي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الأمالي: 181، دار الثقافة، قم، ط1، 1</w:t>
      </w:r>
      <w:r w:rsidRPr="00282AC9">
        <w:rPr>
          <w:rFonts w:ascii="Noor_Mitra" w:hAnsi="Noor_Mitra" w:cs="DanaFajr" w:hint="cs"/>
          <w:sz w:val="28"/>
          <w:szCs w:val="28"/>
          <w:rtl/>
        </w:rPr>
        <w:t>4</w:t>
      </w:r>
      <w:r w:rsidRPr="00282AC9">
        <w:rPr>
          <w:rFonts w:ascii="Noor_Mitra" w:hAnsi="Noor_Mitra" w:cs="DanaFajr"/>
          <w:sz w:val="28"/>
          <w:szCs w:val="28"/>
          <w:rtl/>
          <w:lang w:bidi="fa-IR"/>
        </w:rPr>
        <w:t>1</w:t>
      </w:r>
      <w:r w:rsidRPr="00282AC9">
        <w:rPr>
          <w:rFonts w:ascii="Noor_Mitra" w:hAnsi="Noor_Mitra" w:cs="DanaFajr" w:hint="cs"/>
          <w:sz w:val="28"/>
          <w:szCs w:val="28"/>
          <w:rtl/>
        </w:rPr>
        <w:t>4</w:t>
      </w:r>
      <w:r w:rsidRPr="00282AC9">
        <w:rPr>
          <w:rFonts w:ascii="Noor_Mitra" w:hAnsi="Noor_Mitra" w:cs="DanaFajr"/>
          <w:sz w:val="28"/>
          <w:szCs w:val="28"/>
          <w:rtl/>
          <w:lang w:bidi="fa-IR"/>
        </w:rPr>
        <w:t>هـ؛ ابن شهرآشوب</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مناقب آل أبي</w:t>
      </w:r>
      <w:r w:rsidRPr="00282AC9">
        <w:rPr>
          <w:rFonts w:ascii="Noor_Mitra" w:hAnsi="Noor_Mitra" w:cs="DanaFajr"/>
          <w:sz w:val="28"/>
          <w:szCs w:val="28"/>
          <w:rtl/>
          <w:lang w:bidi="fa-IR"/>
        </w:rPr>
        <w:softHyphen/>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طالب</w:t>
      </w:r>
      <w:r w:rsidRPr="00282AC9">
        <w:rPr>
          <w:rFonts w:ascii="Noor_Mitra" w:hAnsi="Noor_Mitra" w:cs="DanaFajr"/>
          <w:sz w:val="28"/>
          <w:szCs w:val="28"/>
          <w:rtl/>
        </w:rPr>
        <w:t xml:space="preserve"> </w:t>
      </w:r>
      <w:r w:rsidRPr="00282AC9">
        <w:rPr>
          <w:rFonts w:ascii="Noor_Mitra" w:hAnsi="Noor_Mitra" w:cs="DanaFajr"/>
          <w:sz w:val="28"/>
          <w:szCs w:val="28"/>
          <w:rtl/>
          <w:lang w:bidi="fa-IR"/>
        </w:rPr>
        <w:t>‏2: 272، علا</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مه، قم ، ط1، 1379هـ.</w:t>
      </w:r>
    </w:p>
  </w:endnote>
  <w:endnote w:id="524">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ابن حمدون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التذكرة الحمدونية ‏</w:t>
      </w:r>
      <w:r w:rsidRPr="00282AC9">
        <w:rPr>
          <w:rFonts w:ascii="Noor_Mitra" w:hAnsi="Noor_Mitra" w:cs="DanaFajr" w:hint="cs"/>
          <w:sz w:val="28"/>
          <w:szCs w:val="28"/>
          <w:rtl/>
        </w:rPr>
        <w:t>6</w:t>
      </w:r>
      <w:r w:rsidRPr="00282AC9">
        <w:rPr>
          <w:rFonts w:ascii="Noor_Mitra" w:hAnsi="Noor_Mitra" w:cs="DanaFajr"/>
          <w:sz w:val="28"/>
          <w:szCs w:val="28"/>
          <w:rtl/>
          <w:lang w:bidi="fa-IR"/>
        </w:rPr>
        <w:t>: 2</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3، </w:t>
      </w:r>
      <w:r w:rsidRPr="00282AC9">
        <w:rPr>
          <w:rFonts w:ascii="Noor_Mitra" w:hAnsi="Noor_Mitra" w:cs="DanaFajr"/>
          <w:sz w:val="28"/>
          <w:szCs w:val="28"/>
          <w:rtl/>
        </w:rPr>
        <w:t>تحقيق</w:t>
      </w:r>
      <w:r w:rsidRPr="00282AC9">
        <w:rPr>
          <w:rFonts w:ascii="Noor_Mitra" w:hAnsi="Noor_Mitra" w:cs="DanaFajr" w:hint="cs"/>
          <w:sz w:val="28"/>
          <w:szCs w:val="28"/>
          <w:rtl/>
        </w:rPr>
        <w:t>:</w:t>
      </w:r>
      <w:r w:rsidRPr="00282AC9">
        <w:rPr>
          <w:rFonts w:ascii="Noor_Mitra" w:hAnsi="Noor_Mitra" w:cs="DanaFajr"/>
          <w:sz w:val="28"/>
          <w:szCs w:val="28"/>
          <w:rtl/>
        </w:rPr>
        <w:t xml:space="preserve"> إحسان عباس</w:t>
      </w:r>
      <w:r w:rsidRPr="00282AC9">
        <w:rPr>
          <w:rFonts w:ascii="Noor_Mitra" w:hAnsi="Noor_Mitra" w:cs="DanaFajr"/>
          <w:sz w:val="28"/>
          <w:szCs w:val="28"/>
          <w:rtl/>
          <w:lang w:bidi="fa-IR"/>
        </w:rPr>
        <w:t>، دار صادر</w:t>
      </w:r>
      <w:r w:rsidRPr="00282AC9">
        <w:rPr>
          <w:rFonts w:ascii="Noor_Mitra" w:hAnsi="Noor_Mitra" w:cs="DanaFajr"/>
          <w:sz w:val="28"/>
          <w:szCs w:val="28"/>
          <w:rtl/>
        </w:rPr>
        <w:t>،</w:t>
      </w:r>
      <w:r w:rsidRPr="00282AC9">
        <w:rPr>
          <w:rFonts w:ascii="Noor_Mitra" w:hAnsi="Noor_Mitra" w:cs="DanaFajr"/>
          <w:sz w:val="28"/>
          <w:szCs w:val="28"/>
          <w:rtl/>
          <w:lang w:bidi="fa-IR"/>
        </w:rPr>
        <w:t xml:space="preserve"> بيروت، ط1، 199</w:t>
      </w:r>
      <w:r w:rsidRPr="00282AC9">
        <w:rPr>
          <w:rFonts w:ascii="Noor_Mitra" w:hAnsi="Noor_Mitra" w:cs="DanaFajr" w:hint="cs"/>
          <w:sz w:val="28"/>
          <w:szCs w:val="28"/>
          <w:rtl/>
        </w:rPr>
        <w:t>6</w:t>
      </w:r>
      <w:r w:rsidRPr="00282AC9">
        <w:rPr>
          <w:rFonts w:ascii="Noor_Mitra" w:hAnsi="Noor_Mitra" w:cs="DanaFajr"/>
          <w:sz w:val="28"/>
          <w:szCs w:val="28"/>
          <w:rtl/>
          <w:lang w:bidi="fa-IR"/>
        </w:rPr>
        <w:t>م.</w:t>
      </w:r>
    </w:p>
  </w:endnote>
  <w:endnote w:id="525">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sz w:val="28"/>
          <w:szCs w:val="28"/>
        </w:rPr>
        <w:t xml:space="preserve"> </w:t>
      </w:r>
      <w:r w:rsidRPr="00282AC9">
        <w:rPr>
          <w:rFonts w:ascii="Noor_Mitra" w:hAnsi="Noor_Mitra" w:cs="DanaFajr"/>
          <w:sz w:val="28"/>
          <w:szCs w:val="28"/>
          <w:rtl/>
          <w:lang w:bidi="fa-IR"/>
        </w:rPr>
        <w:t xml:space="preserve">نهج البلاغة: </w:t>
      </w:r>
      <w:r w:rsidRPr="00282AC9">
        <w:rPr>
          <w:rFonts w:ascii="Noor_Mitra" w:hAnsi="Noor_Mitra" w:cs="DanaFajr" w:hint="cs"/>
          <w:sz w:val="28"/>
          <w:szCs w:val="28"/>
          <w:rtl/>
        </w:rPr>
        <w:t>4</w:t>
      </w:r>
      <w:r w:rsidRPr="00282AC9">
        <w:rPr>
          <w:rFonts w:ascii="Noor_Mitra" w:hAnsi="Noor_Mitra" w:cs="DanaFajr"/>
          <w:sz w:val="28"/>
          <w:szCs w:val="28"/>
          <w:rtl/>
          <w:lang w:bidi="fa-IR"/>
        </w:rPr>
        <w:t>31</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وباختلاف</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يسير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في: </w:t>
      </w:r>
      <w:r w:rsidRPr="00282AC9">
        <w:rPr>
          <w:rFonts w:ascii="Noor_Mitra" w:hAnsi="Noor_Mitra" w:cs="DanaFajr"/>
          <w:sz w:val="28"/>
          <w:szCs w:val="28"/>
          <w:rtl/>
        </w:rPr>
        <w:t>ابن شعبة الحر</w:t>
      </w:r>
      <w:r w:rsidRPr="00282AC9">
        <w:rPr>
          <w:rFonts w:ascii="Noor_Mitra" w:hAnsi="Noor_Mitra" w:cs="DanaFajr" w:hint="cs"/>
          <w:sz w:val="28"/>
          <w:szCs w:val="28"/>
          <w:rtl/>
        </w:rPr>
        <w:t>ّ</w:t>
      </w:r>
      <w:r w:rsidRPr="00282AC9">
        <w:rPr>
          <w:rFonts w:ascii="Noor_Mitra" w:hAnsi="Noor_Mitra" w:cs="DanaFajr"/>
          <w:sz w:val="28"/>
          <w:szCs w:val="28"/>
          <w:rtl/>
        </w:rPr>
        <w:t>اني</w:t>
      </w:r>
      <w:r w:rsidRPr="00282AC9">
        <w:rPr>
          <w:rFonts w:ascii="Noor_Mitra" w:hAnsi="Noor_Mitra" w:cs="DanaFajr" w:hint="cs"/>
          <w:sz w:val="28"/>
          <w:szCs w:val="28"/>
          <w:rtl/>
        </w:rPr>
        <w:t>،</w:t>
      </w:r>
      <w:r w:rsidRPr="00282AC9">
        <w:rPr>
          <w:rFonts w:ascii="Noor_Mitra" w:hAnsi="Noor_Mitra" w:cs="DanaFajr"/>
          <w:sz w:val="28"/>
          <w:szCs w:val="28"/>
          <w:rtl/>
          <w:lang w:bidi="fa-IR"/>
        </w:rPr>
        <w:t xml:space="preserve"> تحف العقول</w:t>
      </w:r>
      <w:r w:rsidRPr="00282AC9">
        <w:rPr>
          <w:rFonts w:ascii="Noor_Mitra" w:hAnsi="Noor_Mitra" w:cs="DanaFajr"/>
          <w:sz w:val="28"/>
          <w:szCs w:val="28"/>
          <w:rtl/>
        </w:rPr>
        <w:t xml:space="preserve">: </w:t>
      </w:r>
      <w:r w:rsidRPr="00282AC9">
        <w:rPr>
          <w:rFonts w:ascii="Noor_Mitra" w:hAnsi="Noor_Mitra" w:cs="DanaFajr"/>
          <w:sz w:val="28"/>
          <w:szCs w:val="28"/>
          <w:rtl/>
          <w:lang w:bidi="fa-IR"/>
        </w:rPr>
        <w:t>130؛ دعائم الإسلام ‏1</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3</w:t>
      </w:r>
      <w:r w:rsidRPr="00282AC9">
        <w:rPr>
          <w:rFonts w:ascii="Noor_Mitra" w:hAnsi="Noor_Mitra" w:cs="DanaFajr" w:hint="cs"/>
          <w:sz w:val="28"/>
          <w:szCs w:val="28"/>
          <w:rtl/>
        </w:rPr>
        <w:t>56</w:t>
      </w:r>
      <w:r w:rsidRPr="00282AC9">
        <w:rPr>
          <w:rFonts w:ascii="Noor_Mitra" w:hAnsi="Noor_Mitra" w:cs="DanaFajr"/>
          <w:sz w:val="28"/>
          <w:szCs w:val="28"/>
          <w:rtl/>
          <w:lang w:bidi="fa-IR"/>
        </w:rPr>
        <w:t>،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آصف الفيضي، </w:t>
      </w:r>
      <w:r w:rsidRPr="00282AC9">
        <w:rPr>
          <w:rFonts w:ascii="Noor_Mitra" w:hAnsi="Noor_Mitra" w:cs="DanaFajr"/>
          <w:sz w:val="28"/>
          <w:szCs w:val="28"/>
          <w:rtl/>
        </w:rPr>
        <w:t>مؤس</w:t>
      </w:r>
      <w:r w:rsidRPr="00282AC9">
        <w:rPr>
          <w:rFonts w:ascii="Noor_Mitra" w:hAnsi="Noor_Mitra" w:cs="DanaFajr" w:hint="cs"/>
          <w:sz w:val="28"/>
          <w:szCs w:val="28"/>
          <w:rtl/>
        </w:rPr>
        <w:t>ّ</w:t>
      </w:r>
      <w:r w:rsidRPr="00282AC9">
        <w:rPr>
          <w:rFonts w:ascii="Noor_Mitra" w:hAnsi="Noor_Mitra" w:cs="DanaFajr"/>
          <w:sz w:val="28"/>
          <w:szCs w:val="28"/>
          <w:rtl/>
        </w:rPr>
        <w:t>سة آل البيت</w:t>
      </w:r>
      <w:r w:rsidRPr="00282AC9">
        <w:rPr>
          <w:rFonts w:cs="Mosawi" w:hint="cs"/>
          <w:sz w:val="20"/>
          <w:szCs w:val="20"/>
          <w:rtl/>
        </w:rPr>
        <w:t>^</w:t>
      </w:r>
      <w:r w:rsidRPr="00282AC9">
        <w:rPr>
          <w:rFonts w:ascii="Noor_Mitra" w:hAnsi="Noor_Mitra" w:cs="DanaFajr"/>
          <w:sz w:val="28"/>
          <w:szCs w:val="28"/>
          <w:rtl/>
          <w:lang w:bidi="fa-IR"/>
        </w:rPr>
        <w:t xml:space="preserve"> </w:t>
      </w:r>
      <w:r w:rsidRPr="00282AC9">
        <w:rPr>
          <w:rFonts w:ascii="Noor_Mitra" w:hAnsi="Noor_Mitra" w:cs="DanaFajr" w:hint="cs"/>
          <w:sz w:val="28"/>
          <w:szCs w:val="28"/>
          <w:rtl/>
          <w:lang w:bidi="fa-IR"/>
        </w:rPr>
        <w:t>لإحياء التراث</w:t>
      </w:r>
      <w:r w:rsidRPr="00282AC9">
        <w:rPr>
          <w:rFonts w:ascii="Noor_Mitra" w:hAnsi="Noor_Mitra" w:cs="DanaFajr"/>
          <w:sz w:val="28"/>
          <w:szCs w:val="28"/>
          <w:rtl/>
          <w:lang w:bidi="fa-IR"/>
        </w:rPr>
        <w:t>، قم</w:t>
      </w:r>
      <w:r w:rsidRPr="00282AC9">
        <w:rPr>
          <w:rFonts w:ascii="Noor_Mitra" w:hAnsi="Noor_Mitra" w:cs="DanaFajr"/>
          <w:sz w:val="28"/>
          <w:szCs w:val="28"/>
          <w:rtl/>
        </w:rPr>
        <w:t>، ط2</w:t>
      </w:r>
      <w:r w:rsidRPr="00282AC9">
        <w:rPr>
          <w:rFonts w:ascii="Noor_Mitra" w:hAnsi="Noor_Mitra" w:cs="DanaFajr"/>
          <w:sz w:val="28"/>
          <w:szCs w:val="28"/>
          <w:rtl/>
          <w:lang w:bidi="fa-IR"/>
        </w:rPr>
        <w:t xml:space="preserve">، </w:t>
      </w:r>
      <w:r w:rsidRPr="00282AC9">
        <w:rPr>
          <w:rFonts w:ascii="Noor_Mitra" w:hAnsi="Noor_Mitra" w:cs="DanaFajr"/>
          <w:sz w:val="28"/>
          <w:szCs w:val="28"/>
          <w:rtl/>
        </w:rPr>
        <w:t>1</w:t>
      </w:r>
      <w:r w:rsidRPr="00282AC9">
        <w:rPr>
          <w:rFonts w:ascii="Noor_Mitra" w:hAnsi="Noor_Mitra" w:cs="DanaFajr" w:hint="cs"/>
          <w:sz w:val="28"/>
          <w:szCs w:val="28"/>
          <w:rtl/>
        </w:rPr>
        <w:t>4</w:t>
      </w:r>
      <w:r w:rsidRPr="00282AC9">
        <w:rPr>
          <w:rFonts w:ascii="Noor_Mitra" w:hAnsi="Noor_Mitra" w:cs="DanaFajr"/>
          <w:sz w:val="28"/>
          <w:szCs w:val="28"/>
          <w:rtl/>
        </w:rPr>
        <w:t>27هـ؛</w:t>
      </w:r>
      <w:r w:rsidRPr="00282AC9">
        <w:rPr>
          <w:rFonts w:ascii="Noor_Mitra" w:hAnsi="Noor_Mitra" w:cs="DanaFajr"/>
          <w:sz w:val="28"/>
          <w:szCs w:val="28"/>
          <w:rtl/>
          <w:lang w:bidi="fa-IR"/>
        </w:rPr>
        <w:t xml:space="preserve"> التذكرة الحمدونية ‏1: 319؛ النويري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نهاية الأ</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ب في فنون الأدب ‏</w:t>
      </w:r>
      <w:r w:rsidRPr="00282AC9">
        <w:rPr>
          <w:rFonts w:ascii="Noor_Mitra" w:hAnsi="Noor_Mitra" w:cs="DanaFajr" w:hint="cs"/>
          <w:sz w:val="28"/>
          <w:szCs w:val="28"/>
          <w:rtl/>
        </w:rPr>
        <w:t>6</w:t>
      </w:r>
      <w:r w:rsidRPr="00282AC9">
        <w:rPr>
          <w:rFonts w:ascii="Noor_Mitra" w:hAnsi="Noor_Mitra" w:cs="DanaFajr"/>
          <w:sz w:val="28"/>
          <w:szCs w:val="28"/>
          <w:rtl/>
          <w:lang w:bidi="fa-IR"/>
        </w:rPr>
        <w:t>: 22، دار الكتاب والوثائق القومية، القاهرة، 1</w:t>
      </w:r>
      <w:r w:rsidRPr="00282AC9">
        <w:rPr>
          <w:rFonts w:ascii="Noor_Mitra" w:hAnsi="Noor_Mitra" w:cs="DanaFajr" w:hint="cs"/>
          <w:sz w:val="28"/>
          <w:szCs w:val="28"/>
          <w:rtl/>
        </w:rPr>
        <w:t>4</w:t>
      </w:r>
      <w:r w:rsidRPr="00282AC9">
        <w:rPr>
          <w:rFonts w:ascii="Noor_Mitra" w:hAnsi="Noor_Mitra" w:cs="DanaFajr"/>
          <w:sz w:val="28"/>
          <w:szCs w:val="28"/>
          <w:rtl/>
          <w:lang w:bidi="fa-IR"/>
        </w:rPr>
        <w:t>23هـ.</w:t>
      </w:r>
    </w:p>
  </w:endnote>
  <w:endnote w:id="526">
    <w:p w:rsidR="00C14EDE" w:rsidRPr="00282AC9" w:rsidRDefault="00C14EDE" w:rsidP="00446290">
      <w:pPr>
        <w:spacing w:line="288" w:lineRule="exact"/>
        <w:ind w:firstLine="0"/>
        <w:rPr>
          <w:rFonts w:cs="DanaFajr"/>
          <w:szCs w:val="28"/>
          <w:rtl/>
          <w:lang w:bidi="fa-IR"/>
        </w:rPr>
      </w:pPr>
      <w:r w:rsidRPr="00282AC9">
        <w:rPr>
          <w:rFonts w:cs="DanaFajr"/>
          <w:szCs w:val="28"/>
          <w:rtl/>
          <w:lang w:bidi="fa-IR"/>
        </w:rPr>
        <w:t>(</w:t>
      </w:r>
      <w:r w:rsidRPr="00282AC9">
        <w:rPr>
          <w:rStyle w:val="af9"/>
          <w:rFonts w:cs="DanaFajr"/>
          <w:szCs w:val="28"/>
          <w:vertAlign w:val="baseline"/>
        </w:rPr>
        <w:endnoteRef/>
      </w:r>
      <w:r w:rsidRPr="00282AC9">
        <w:rPr>
          <w:rFonts w:cs="DanaFajr"/>
          <w:szCs w:val="28"/>
          <w:rtl/>
          <w:lang w:bidi="fa-IR"/>
        </w:rPr>
        <w:t>)</w:t>
      </w:r>
      <w:r w:rsidRPr="00282AC9">
        <w:rPr>
          <w:rFonts w:cs="DanaFajr" w:hint="cs"/>
          <w:szCs w:val="28"/>
          <w:rtl/>
          <w:lang w:bidi="fa-IR"/>
        </w:rPr>
        <w:t xml:space="preserve"> </w:t>
      </w:r>
      <w:r w:rsidRPr="00282AC9">
        <w:rPr>
          <w:rFonts w:cs="DanaFajr"/>
          <w:szCs w:val="28"/>
          <w:rtl/>
          <w:lang w:bidi="fa-IR"/>
        </w:rPr>
        <w:t>الكليني</w:t>
      </w:r>
      <w:r w:rsidRPr="00282AC9">
        <w:rPr>
          <w:rFonts w:cs="DanaFajr" w:hint="cs"/>
          <w:szCs w:val="28"/>
          <w:rtl/>
          <w:lang w:bidi="fa-IR"/>
        </w:rPr>
        <w:t>،</w:t>
      </w:r>
      <w:r w:rsidRPr="00282AC9">
        <w:rPr>
          <w:rFonts w:cs="DanaFajr"/>
          <w:szCs w:val="28"/>
          <w:rtl/>
        </w:rPr>
        <w:t xml:space="preserve"> ال</w:t>
      </w:r>
      <w:r w:rsidRPr="00282AC9">
        <w:rPr>
          <w:rFonts w:cs="DanaFajr"/>
          <w:szCs w:val="28"/>
          <w:rtl/>
          <w:lang w:bidi="fa-IR"/>
        </w:rPr>
        <w:t>كافي ‏3: 131؛ الصدوق</w:t>
      </w:r>
      <w:r w:rsidRPr="00282AC9">
        <w:rPr>
          <w:rFonts w:cs="DanaFajr" w:hint="cs"/>
          <w:szCs w:val="28"/>
          <w:rtl/>
          <w:lang w:bidi="fa-IR"/>
        </w:rPr>
        <w:t>،</w:t>
      </w:r>
      <w:r w:rsidRPr="00282AC9">
        <w:rPr>
          <w:rFonts w:cs="DanaFajr"/>
          <w:szCs w:val="28"/>
          <w:rtl/>
          <w:lang w:bidi="fa-IR"/>
        </w:rPr>
        <w:t xml:space="preserve"> الخصال ‏1: 231؛ تحف العقول: 1</w:t>
      </w:r>
      <w:r w:rsidRPr="00282AC9">
        <w:rPr>
          <w:rFonts w:cs="DanaFajr" w:hint="cs"/>
          <w:szCs w:val="28"/>
          <w:rtl/>
        </w:rPr>
        <w:t>65</w:t>
      </w:r>
      <w:r w:rsidRPr="00282AC9">
        <w:rPr>
          <w:rFonts w:cs="DanaFajr"/>
          <w:szCs w:val="28"/>
          <w:rtl/>
          <w:lang w:bidi="fa-IR"/>
        </w:rPr>
        <w:t>؛ المفيد</w:t>
      </w:r>
      <w:r w:rsidRPr="00282AC9">
        <w:rPr>
          <w:rFonts w:cs="DanaFajr" w:hint="cs"/>
          <w:szCs w:val="28"/>
          <w:rtl/>
          <w:lang w:bidi="fa-IR"/>
        </w:rPr>
        <w:t>،</w:t>
      </w:r>
      <w:r w:rsidRPr="00282AC9">
        <w:rPr>
          <w:rFonts w:cs="DanaFajr"/>
          <w:szCs w:val="28"/>
          <w:rtl/>
          <w:lang w:bidi="fa-IR"/>
        </w:rPr>
        <w:t xml:space="preserve"> الأمالي: 277، تحقيق</w:t>
      </w:r>
      <w:r w:rsidRPr="00282AC9">
        <w:rPr>
          <w:rFonts w:cs="DanaFajr" w:hint="cs"/>
          <w:szCs w:val="28"/>
          <w:rtl/>
          <w:lang w:bidi="fa-IR"/>
        </w:rPr>
        <w:t>:</w:t>
      </w:r>
      <w:r w:rsidRPr="00282AC9">
        <w:rPr>
          <w:rFonts w:cs="DanaFajr"/>
          <w:szCs w:val="28"/>
          <w:rtl/>
          <w:lang w:bidi="fa-IR"/>
        </w:rPr>
        <w:t xml:space="preserve"> علي </w:t>
      </w:r>
      <w:r w:rsidRPr="00282AC9">
        <w:rPr>
          <w:rFonts w:cs="DanaFajr" w:hint="cs"/>
          <w:szCs w:val="28"/>
          <w:rtl/>
          <w:lang w:bidi="fa-IR"/>
        </w:rPr>
        <w:t>أ</w:t>
      </w:r>
      <w:r w:rsidRPr="00282AC9">
        <w:rPr>
          <w:rFonts w:cs="DanaFajr"/>
          <w:szCs w:val="28"/>
          <w:rtl/>
          <w:lang w:bidi="fa-IR"/>
        </w:rPr>
        <w:t>كبر الغفاري، مؤتمر الشيخ المفيد، قم، ط1، 1</w:t>
      </w:r>
      <w:r w:rsidRPr="00282AC9">
        <w:rPr>
          <w:rFonts w:cs="DanaFajr" w:hint="cs"/>
          <w:szCs w:val="28"/>
          <w:rtl/>
        </w:rPr>
        <w:t>4</w:t>
      </w:r>
      <w:r w:rsidRPr="00282AC9">
        <w:rPr>
          <w:rFonts w:cs="DanaFajr"/>
          <w:szCs w:val="28"/>
          <w:rtl/>
          <w:lang w:bidi="fa-IR"/>
        </w:rPr>
        <w:t xml:space="preserve">13هـ؛ </w:t>
      </w:r>
      <w:r w:rsidRPr="00282AC9">
        <w:rPr>
          <w:rFonts w:cs="DanaFajr"/>
          <w:szCs w:val="28"/>
          <w:rtl/>
        </w:rPr>
        <w:t>أبو نعيم الإصفهاني</w:t>
      </w:r>
      <w:r w:rsidRPr="00282AC9">
        <w:rPr>
          <w:rFonts w:cs="DanaFajr" w:hint="cs"/>
          <w:szCs w:val="28"/>
          <w:rtl/>
          <w:lang w:bidi="fa-IR"/>
        </w:rPr>
        <w:t>،</w:t>
      </w:r>
      <w:r w:rsidRPr="00282AC9">
        <w:rPr>
          <w:rFonts w:cs="DanaFajr"/>
          <w:szCs w:val="28"/>
          <w:rtl/>
          <w:lang w:bidi="fa-IR"/>
        </w:rPr>
        <w:t xml:space="preserve"> حلية الأولياء </w:t>
      </w:r>
      <w:r w:rsidRPr="00282AC9">
        <w:rPr>
          <w:rFonts w:cs="DanaFajr"/>
          <w:szCs w:val="28"/>
          <w:rtl/>
        </w:rPr>
        <w:t>1: 7</w:t>
      </w:r>
      <w:r w:rsidRPr="00282AC9">
        <w:rPr>
          <w:rFonts w:cs="DanaFajr" w:hint="cs"/>
          <w:szCs w:val="28"/>
          <w:rtl/>
        </w:rPr>
        <w:t>4</w:t>
      </w:r>
      <w:r w:rsidRPr="00282AC9">
        <w:rPr>
          <w:rFonts w:cs="DanaFajr"/>
          <w:szCs w:val="28"/>
          <w:rtl/>
          <w:lang w:bidi="fa-IR"/>
        </w:rPr>
        <w:t>، دار أم</w:t>
      </w:r>
      <w:r w:rsidRPr="00282AC9">
        <w:rPr>
          <w:rFonts w:cs="DanaFajr" w:hint="cs"/>
          <w:szCs w:val="28"/>
          <w:rtl/>
          <w:lang w:bidi="fa-IR"/>
        </w:rPr>
        <w:t>ّ</w:t>
      </w:r>
      <w:r w:rsidRPr="00282AC9">
        <w:rPr>
          <w:rFonts w:cs="DanaFajr"/>
          <w:szCs w:val="28"/>
          <w:rtl/>
          <w:lang w:bidi="fa-IR"/>
        </w:rPr>
        <w:t xml:space="preserve"> القرى</w:t>
      </w:r>
      <w:r w:rsidRPr="00282AC9">
        <w:rPr>
          <w:rFonts w:cs="DanaFajr"/>
          <w:szCs w:val="28"/>
          <w:rtl/>
        </w:rPr>
        <w:t xml:space="preserve">، </w:t>
      </w:r>
      <w:r w:rsidRPr="00282AC9">
        <w:rPr>
          <w:rFonts w:cs="DanaFajr"/>
          <w:szCs w:val="28"/>
          <w:rtl/>
          <w:lang w:bidi="fa-IR"/>
        </w:rPr>
        <w:t>القاهرة، ط1؛</w:t>
      </w:r>
      <w:r w:rsidRPr="00282AC9">
        <w:rPr>
          <w:rFonts w:cs="DanaFajr"/>
          <w:szCs w:val="28"/>
          <w:rtl/>
        </w:rPr>
        <w:t xml:space="preserve"> </w:t>
      </w:r>
      <w:r w:rsidRPr="00282AC9">
        <w:rPr>
          <w:rFonts w:cs="DanaFajr"/>
          <w:szCs w:val="28"/>
          <w:rtl/>
          <w:lang w:bidi="fa-IR"/>
        </w:rPr>
        <w:t>الطوسي</w:t>
      </w:r>
      <w:r w:rsidRPr="00282AC9">
        <w:rPr>
          <w:rFonts w:cs="DanaFajr" w:hint="cs"/>
          <w:szCs w:val="28"/>
          <w:rtl/>
          <w:lang w:bidi="fa-IR"/>
        </w:rPr>
        <w:t>،</w:t>
      </w:r>
      <w:r w:rsidRPr="00282AC9">
        <w:rPr>
          <w:rFonts w:cs="DanaFajr"/>
          <w:szCs w:val="28"/>
          <w:rtl/>
          <w:lang w:bidi="fa-IR"/>
        </w:rPr>
        <w:t xml:space="preserve"> الأمالي</w:t>
      </w:r>
      <w:r w:rsidRPr="00282AC9">
        <w:rPr>
          <w:rFonts w:cs="DanaFajr" w:hint="cs"/>
          <w:szCs w:val="28"/>
          <w:rtl/>
          <w:lang w:bidi="fa-IR"/>
        </w:rPr>
        <w:t>:</w:t>
      </w:r>
      <w:r w:rsidRPr="00282AC9">
        <w:rPr>
          <w:rFonts w:cs="DanaFajr"/>
          <w:szCs w:val="28"/>
          <w:rtl/>
          <w:lang w:bidi="fa-IR"/>
        </w:rPr>
        <w:t xml:space="preserve"> 38؛ المرشد بالله الشجري الجرجاني</w:t>
      </w:r>
      <w:r w:rsidRPr="00282AC9">
        <w:rPr>
          <w:rFonts w:cs="DanaFajr" w:hint="cs"/>
          <w:szCs w:val="28"/>
          <w:rtl/>
          <w:lang w:bidi="fa-IR"/>
        </w:rPr>
        <w:t>،</w:t>
      </w:r>
      <w:r w:rsidRPr="00282AC9">
        <w:rPr>
          <w:rFonts w:cs="DanaFajr"/>
          <w:szCs w:val="28"/>
          <w:rtl/>
          <w:lang w:bidi="fa-IR"/>
        </w:rPr>
        <w:t xml:space="preserve"> الأمال</w:t>
      </w:r>
      <w:r w:rsidRPr="00282AC9">
        <w:rPr>
          <w:rFonts w:cs="DanaFajr" w:hint="cs"/>
          <w:szCs w:val="28"/>
          <w:rtl/>
          <w:lang w:bidi="fa-IR"/>
        </w:rPr>
        <w:t>ي</w:t>
      </w:r>
      <w:r w:rsidRPr="00282AC9">
        <w:rPr>
          <w:rFonts w:cs="DanaFajr"/>
          <w:szCs w:val="28"/>
          <w:rtl/>
          <w:lang w:bidi="fa-IR"/>
        </w:rPr>
        <w:t xml:space="preserve"> الخم</w:t>
      </w:r>
      <w:r w:rsidRPr="00282AC9">
        <w:rPr>
          <w:rFonts w:cs="DanaFajr"/>
          <w:szCs w:val="28"/>
          <w:rtl/>
        </w:rPr>
        <w:t>يسية</w:t>
      </w:r>
      <w:r w:rsidRPr="00282AC9">
        <w:rPr>
          <w:rFonts w:cs="DanaFajr"/>
          <w:szCs w:val="28"/>
          <w:rtl/>
          <w:lang w:bidi="fa-IR"/>
        </w:rPr>
        <w:t xml:space="preserve"> 1: 10</w:t>
      </w:r>
      <w:r w:rsidRPr="00282AC9">
        <w:rPr>
          <w:rFonts w:cs="DanaFajr" w:hint="cs"/>
          <w:szCs w:val="28"/>
          <w:rtl/>
        </w:rPr>
        <w:t>4</w:t>
      </w:r>
      <w:r w:rsidRPr="00282AC9">
        <w:rPr>
          <w:rFonts w:cs="DanaFajr"/>
          <w:szCs w:val="28"/>
          <w:rtl/>
          <w:lang w:bidi="fa-IR"/>
        </w:rPr>
        <w:t>، تحقيق</w:t>
      </w:r>
      <w:r w:rsidRPr="00282AC9">
        <w:rPr>
          <w:rFonts w:cs="DanaFajr" w:hint="cs"/>
          <w:szCs w:val="28"/>
          <w:rtl/>
          <w:lang w:bidi="fa-IR"/>
        </w:rPr>
        <w:t>:</w:t>
      </w:r>
      <w:r w:rsidRPr="00282AC9">
        <w:rPr>
          <w:rFonts w:cs="DanaFajr"/>
          <w:szCs w:val="28"/>
          <w:rtl/>
          <w:lang w:bidi="fa-IR"/>
        </w:rPr>
        <w:t xml:space="preserve"> محمد حسن إسماعيل، دار الكتب العلمية، بيروت، 1</w:t>
      </w:r>
      <w:r w:rsidRPr="00282AC9">
        <w:rPr>
          <w:rFonts w:cs="DanaFajr" w:hint="cs"/>
          <w:szCs w:val="28"/>
          <w:rtl/>
        </w:rPr>
        <w:t>4</w:t>
      </w:r>
      <w:r w:rsidRPr="00282AC9">
        <w:rPr>
          <w:rFonts w:cs="DanaFajr"/>
          <w:szCs w:val="28"/>
          <w:rtl/>
          <w:lang w:bidi="fa-IR"/>
        </w:rPr>
        <w:t>22هـ؛ وانظر أيضا</w:t>
      </w:r>
      <w:r w:rsidRPr="00282AC9">
        <w:rPr>
          <w:rFonts w:cs="DanaFajr" w:hint="cs"/>
          <w:szCs w:val="28"/>
          <w:rtl/>
          <w:lang w:bidi="fa-IR"/>
        </w:rPr>
        <w:t>ً</w:t>
      </w:r>
      <w:r w:rsidRPr="00282AC9">
        <w:rPr>
          <w:rFonts w:cs="DanaFajr"/>
          <w:szCs w:val="28"/>
          <w:rtl/>
          <w:lang w:bidi="fa-IR"/>
        </w:rPr>
        <w:t>: كتاب س</w:t>
      </w:r>
      <w:r w:rsidRPr="00282AC9">
        <w:rPr>
          <w:rFonts w:cs="DanaFajr" w:hint="cs"/>
          <w:szCs w:val="28"/>
          <w:rtl/>
          <w:lang w:bidi="fa-IR"/>
        </w:rPr>
        <w:t>ُ</w:t>
      </w:r>
      <w:r w:rsidRPr="00282AC9">
        <w:rPr>
          <w:rFonts w:cs="DanaFajr"/>
          <w:szCs w:val="28"/>
          <w:rtl/>
          <w:lang w:bidi="fa-IR"/>
        </w:rPr>
        <w:t>ل</w:t>
      </w:r>
      <w:r w:rsidRPr="00282AC9">
        <w:rPr>
          <w:rFonts w:cs="DanaFajr" w:hint="cs"/>
          <w:szCs w:val="28"/>
          <w:rtl/>
          <w:lang w:bidi="fa-IR"/>
        </w:rPr>
        <w:t>َ</w:t>
      </w:r>
      <w:r w:rsidRPr="00282AC9">
        <w:rPr>
          <w:rFonts w:cs="DanaFajr"/>
          <w:szCs w:val="28"/>
          <w:rtl/>
          <w:lang w:bidi="fa-IR"/>
        </w:rPr>
        <w:t>ي</w:t>
      </w:r>
      <w:r w:rsidRPr="00282AC9">
        <w:rPr>
          <w:rFonts w:cs="DanaFajr" w:hint="cs"/>
          <w:szCs w:val="28"/>
          <w:rtl/>
          <w:lang w:bidi="fa-IR"/>
        </w:rPr>
        <w:t>ْ</w:t>
      </w:r>
      <w:r w:rsidRPr="00282AC9">
        <w:rPr>
          <w:rFonts w:cs="DanaFajr"/>
          <w:szCs w:val="28"/>
          <w:rtl/>
          <w:lang w:bidi="fa-IR"/>
        </w:rPr>
        <w:t xml:space="preserve">م بن قيس ‏2: </w:t>
      </w:r>
      <w:r w:rsidRPr="00282AC9">
        <w:rPr>
          <w:rFonts w:cs="DanaFajr" w:hint="cs"/>
          <w:szCs w:val="28"/>
          <w:rtl/>
        </w:rPr>
        <w:t>6</w:t>
      </w:r>
      <w:r w:rsidRPr="00282AC9">
        <w:rPr>
          <w:rFonts w:cs="DanaFajr"/>
          <w:szCs w:val="28"/>
          <w:rtl/>
          <w:lang w:bidi="fa-IR"/>
        </w:rPr>
        <w:t>1</w:t>
      </w:r>
      <w:r w:rsidRPr="00282AC9">
        <w:rPr>
          <w:rFonts w:cs="DanaFajr" w:hint="cs"/>
          <w:szCs w:val="28"/>
          <w:rtl/>
        </w:rPr>
        <w:t>4</w:t>
      </w:r>
      <w:r w:rsidRPr="00282AC9">
        <w:rPr>
          <w:rFonts w:cs="DanaFajr"/>
          <w:szCs w:val="28"/>
          <w:rtl/>
          <w:lang w:bidi="fa-IR"/>
        </w:rPr>
        <w:t>، تحقيق</w:t>
      </w:r>
      <w:r w:rsidRPr="00282AC9">
        <w:rPr>
          <w:rFonts w:cs="DanaFajr" w:hint="cs"/>
          <w:szCs w:val="28"/>
          <w:rtl/>
          <w:lang w:bidi="fa-IR"/>
        </w:rPr>
        <w:t>:</w:t>
      </w:r>
      <w:r w:rsidRPr="00282AC9">
        <w:rPr>
          <w:rFonts w:cs="DanaFajr"/>
          <w:szCs w:val="28"/>
          <w:rtl/>
          <w:lang w:bidi="fa-IR"/>
        </w:rPr>
        <w:t xml:space="preserve"> الأنصاري الزنجاني، </w:t>
      </w:r>
      <w:r w:rsidRPr="00282AC9">
        <w:rPr>
          <w:rFonts w:cs="DanaFajr" w:hint="cs"/>
          <w:szCs w:val="28"/>
          <w:rtl/>
          <w:lang w:bidi="fa-IR"/>
        </w:rPr>
        <w:t xml:space="preserve">انتشارات </w:t>
      </w:r>
      <w:r w:rsidRPr="00282AC9">
        <w:rPr>
          <w:rFonts w:cs="DanaFajr"/>
          <w:szCs w:val="28"/>
          <w:rtl/>
          <w:lang w:bidi="fa-IR"/>
        </w:rPr>
        <w:t>الهادي، قم، ط1، 1</w:t>
      </w:r>
      <w:r w:rsidRPr="00282AC9">
        <w:rPr>
          <w:rFonts w:cs="DanaFajr" w:hint="cs"/>
          <w:szCs w:val="28"/>
          <w:rtl/>
        </w:rPr>
        <w:t>4</w:t>
      </w:r>
      <w:r w:rsidRPr="00282AC9">
        <w:rPr>
          <w:rFonts w:cs="DanaFajr"/>
          <w:szCs w:val="28"/>
          <w:rtl/>
          <w:lang w:bidi="fa-IR"/>
        </w:rPr>
        <w:t>0</w:t>
      </w:r>
      <w:r w:rsidRPr="00282AC9">
        <w:rPr>
          <w:rFonts w:cs="DanaFajr" w:hint="cs"/>
          <w:szCs w:val="28"/>
          <w:rtl/>
        </w:rPr>
        <w:t>5</w:t>
      </w:r>
      <w:r w:rsidRPr="00282AC9">
        <w:rPr>
          <w:rFonts w:cs="DanaFajr"/>
          <w:szCs w:val="28"/>
          <w:rtl/>
          <w:lang w:bidi="fa-IR"/>
        </w:rPr>
        <w:t>هـ؛ محمد بن الحسن الغس</w:t>
      </w:r>
      <w:r w:rsidRPr="00282AC9">
        <w:rPr>
          <w:rFonts w:cs="DanaFajr" w:hint="cs"/>
          <w:szCs w:val="28"/>
          <w:rtl/>
          <w:lang w:bidi="fa-IR"/>
        </w:rPr>
        <w:t>ّ</w:t>
      </w:r>
      <w:r w:rsidRPr="00282AC9">
        <w:rPr>
          <w:rFonts w:cs="DanaFajr"/>
          <w:szCs w:val="28"/>
          <w:rtl/>
          <w:lang w:bidi="fa-IR"/>
        </w:rPr>
        <w:t>اني(31</w:t>
      </w:r>
      <w:r w:rsidRPr="00282AC9">
        <w:rPr>
          <w:rFonts w:cs="DanaFajr" w:hint="cs"/>
          <w:szCs w:val="28"/>
          <w:rtl/>
        </w:rPr>
        <w:t>5</w:t>
      </w:r>
      <w:r w:rsidRPr="00282AC9">
        <w:rPr>
          <w:rFonts w:cs="DanaFajr" w:hint="cs"/>
          <w:szCs w:val="28"/>
          <w:rtl/>
          <w:lang w:bidi="fa-IR"/>
        </w:rPr>
        <w:t>هـ</w:t>
      </w:r>
      <w:r w:rsidRPr="00282AC9">
        <w:rPr>
          <w:rFonts w:cs="DanaFajr"/>
          <w:szCs w:val="28"/>
          <w:rtl/>
          <w:lang w:bidi="fa-IR"/>
        </w:rPr>
        <w:t>)</w:t>
      </w:r>
      <w:r w:rsidRPr="00282AC9">
        <w:rPr>
          <w:rFonts w:cs="DanaFajr" w:hint="cs"/>
          <w:szCs w:val="28"/>
          <w:rtl/>
          <w:lang w:bidi="fa-IR"/>
        </w:rPr>
        <w:t xml:space="preserve">، </w:t>
      </w:r>
      <w:r w:rsidRPr="00282AC9">
        <w:rPr>
          <w:rFonts w:cs="DanaFajr"/>
          <w:szCs w:val="28"/>
          <w:rtl/>
          <w:lang w:bidi="fa-IR"/>
        </w:rPr>
        <w:t>أخبار وحكايات: 1</w:t>
      </w:r>
      <w:r w:rsidRPr="00282AC9">
        <w:rPr>
          <w:rFonts w:cs="DanaFajr" w:hint="cs"/>
          <w:szCs w:val="28"/>
          <w:rtl/>
        </w:rPr>
        <w:t>5</w:t>
      </w:r>
      <w:r w:rsidRPr="00282AC9">
        <w:rPr>
          <w:rFonts w:cs="DanaFajr"/>
          <w:szCs w:val="28"/>
          <w:rtl/>
          <w:lang w:bidi="fa-IR"/>
        </w:rPr>
        <w:t>، تحقيق</w:t>
      </w:r>
      <w:r w:rsidRPr="00282AC9">
        <w:rPr>
          <w:rFonts w:cs="DanaFajr" w:hint="cs"/>
          <w:szCs w:val="28"/>
          <w:rtl/>
          <w:lang w:bidi="fa-IR"/>
        </w:rPr>
        <w:t>:</w:t>
      </w:r>
      <w:r w:rsidRPr="00282AC9">
        <w:rPr>
          <w:rFonts w:cs="DanaFajr"/>
          <w:szCs w:val="28"/>
          <w:rtl/>
          <w:lang w:bidi="fa-IR"/>
        </w:rPr>
        <w:t xml:space="preserve"> إبراهيم صالح، دار البشائر، بيروت، 199</w:t>
      </w:r>
      <w:r w:rsidRPr="00282AC9">
        <w:rPr>
          <w:rFonts w:cs="DanaFajr" w:hint="cs"/>
          <w:szCs w:val="28"/>
          <w:rtl/>
        </w:rPr>
        <w:t>4</w:t>
      </w:r>
      <w:r w:rsidRPr="00282AC9">
        <w:rPr>
          <w:rFonts w:cs="DanaFajr"/>
          <w:szCs w:val="28"/>
          <w:rtl/>
          <w:lang w:bidi="fa-IR"/>
        </w:rPr>
        <w:t>هـ.</w:t>
      </w:r>
    </w:p>
  </w:endnote>
  <w:endnote w:id="527">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sz w:val="28"/>
          <w:szCs w:val="28"/>
        </w:rPr>
        <w:t xml:space="preserve"> </w:t>
      </w:r>
      <w:r w:rsidRPr="00282AC9">
        <w:rPr>
          <w:rFonts w:ascii="Noor_Mitra" w:hAnsi="Noor_Mitra" w:cs="DanaFajr"/>
          <w:sz w:val="28"/>
          <w:szCs w:val="28"/>
          <w:rtl/>
          <w:lang w:bidi="fa-IR"/>
        </w:rPr>
        <w:t>ور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ب</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ما وقع سقطٌ في هذه الصيغة من الحديث.</w:t>
      </w:r>
    </w:p>
  </w:endnote>
  <w:endnote w:id="528">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 xml:space="preserve">الحجر: 13؛ الكهف: </w:t>
      </w:r>
      <w:r w:rsidRPr="00282AC9">
        <w:rPr>
          <w:rFonts w:ascii="Noor_Mitra" w:hAnsi="Noor_Mitra" w:cs="DanaFajr" w:hint="cs"/>
          <w:sz w:val="28"/>
          <w:szCs w:val="28"/>
          <w:rtl/>
        </w:rPr>
        <w:t>55.</w:t>
      </w:r>
    </w:p>
  </w:endnote>
  <w:endnote w:id="529">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lang w:bidi="fa-IR"/>
        </w:rPr>
        <w:t>لكن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الظاهر أن </w:t>
      </w:r>
      <w:r w:rsidRPr="00282AC9">
        <w:rPr>
          <w:rFonts w:hint="eastAsia"/>
          <w:sz w:val="22"/>
          <w:szCs w:val="22"/>
          <w:rtl/>
          <w:lang w:bidi="fa-IR"/>
        </w:rPr>
        <w:t>«</w:t>
      </w:r>
      <w:r w:rsidRPr="00282AC9">
        <w:rPr>
          <w:rFonts w:ascii="Noor_Mitra" w:hAnsi="Noor_Mitra" w:cs="DanaFajr"/>
          <w:sz w:val="28"/>
          <w:szCs w:val="28"/>
          <w:rtl/>
          <w:lang w:bidi="fa-IR"/>
        </w:rPr>
        <w:t>سُنَّة الأو</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لين</w:t>
      </w:r>
      <w:r w:rsidRPr="00282AC9">
        <w:rPr>
          <w:rFonts w:hint="eastAsia"/>
          <w:sz w:val="22"/>
          <w:szCs w:val="22"/>
          <w:rtl/>
        </w:rPr>
        <w:t>»</w:t>
      </w:r>
      <w:r w:rsidRPr="00282AC9">
        <w:rPr>
          <w:rFonts w:ascii="Noor_Mitra" w:hAnsi="Noor_Mitra" w:cs="DanaFajr"/>
          <w:sz w:val="28"/>
          <w:szCs w:val="28"/>
          <w:rtl/>
          <w:lang w:bidi="fa-IR"/>
        </w:rPr>
        <w:t xml:space="preserve"> هنا بمعنى طريقة الأو</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لين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وليست كتعبير </w:t>
      </w:r>
      <w:r w:rsidRPr="00282AC9">
        <w:rPr>
          <w:rFonts w:hint="eastAsia"/>
          <w:sz w:val="22"/>
          <w:szCs w:val="22"/>
          <w:rtl/>
          <w:lang w:bidi="fa-IR"/>
        </w:rPr>
        <w:t>«</w:t>
      </w:r>
      <w:r w:rsidRPr="00282AC9">
        <w:rPr>
          <w:rFonts w:ascii="Noor_Mitra" w:hAnsi="Noor_Mitra" w:cs="DanaFajr"/>
          <w:sz w:val="28"/>
          <w:szCs w:val="28"/>
          <w:rtl/>
          <w:lang w:bidi="fa-IR"/>
        </w:rPr>
        <w:t>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ة الأو</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لين</w:t>
      </w:r>
      <w:r w:rsidRPr="00282AC9">
        <w:rPr>
          <w:rFonts w:hint="eastAsia"/>
          <w:sz w:val="22"/>
          <w:szCs w:val="22"/>
          <w:rtl/>
        </w:rPr>
        <w:t>»</w:t>
      </w:r>
      <w:r w:rsidRPr="00282AC9">
        <w:rPr>
          <w:rFonts w:ascii="Noor_Mitra" w:hAnsi="Noor_Mitra" w:cs="DanaFajr"/>
          <w:sz w:val="28"/>
          <w:szCs w:val="28"/>
          <w:rtl/>
          <w:lang w:bidi="fa-IR"/>
        </w:rPr>
        <w:t xml:space="preserve"> الذي ورد في بعض الآيات القرآنية</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والدليل على هذه المغايرة أن</w:t>
      </w:r>
      <w:r w:rsidRPr="00282AC9">
        <w:rPr>
          <w:rFonts w:ascii="Noor_Mitra" w:hAnsi="Noor_Mitra" w:cs="DanaFajr" w:hint="cs"/>
          <w:sz w:val="28"/>
          <w:szCs w:val="28"/>
          <w:rtl/>
          <w:lang w:bidi="fa-IR"/>
        </w:rPr>
        <w:t>ه</w:t>
      </w:r>
      <w:r w:rsidRPr="00282AC9">
        <w:rPr>
          <w:rFonts w:ascii="Noor_Mitra" w:hAnsi="Noor_Mitra" w:cs="DanaFajr"/>
          <w:sz w:val="28"/>
          <w:szCs w:val="28"/>
          <w:rtl/>
          <w:lang w:bidi="fa-IR"/>
        </w:rPr>
        <w:t xml:space="preserve"> في عبارة الحديث </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وجد تعبير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w:t>
      </w:r>
      <w:r w:rsidRPr="00282AC9">
        <w:rPr>
          <w:rFonts w:hint="eastAsia"/>
          <w:sz w:val="22"/>
          <w:szCs w:val="22"/>
          <w:rtl/>
          <w:lang w:bidi="fa-IR"/>
        </w:rPr>
        <w:t>«</w:t>
      </w:r>
      <w:r w:rsidRPr="00282AC9">
        <w:rPr>
          <w:rFonts w:ascii="Noor_Mitra" w:hAnsi="Noor_Mitra" w:cs="DanaFajr"/>
          <w:sz w:val="28"/>
          <w:szCs w:val="28"/>
          <w:rtl/>
          <w:lang w:bidi="fa-IR"/>
        </w:rPr>
        <w:t>وم</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عرف الس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ة فكأن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ما كان مع الأو</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لين</w:t>
      </w:r>
      <w:r w:rsidRPr="00282AC9">
        <w:rPr>
          <w:rFonts w:hint="eastAsia"/>
          <w:sz w:val="22"/>
          <w:szCs w:val="22"/>
          <w:rtl/>
        </w:rPr>
        <w:t>»</w:t>
      </w:r>
      <w:r w:rsidRPr="00282AC9">
        <w:rPr>
          <w:rFonts w:ascii="Noor_Mitra" w:hAnsi="Noor_Mitra" w:cs="DanaFajr"/>
          <w:sz w:val="28"/>
          <w:szCs w:val="28"/>
          <w:rtl/>
          <w:lang w:bidi="fa-IR"/>
        </w:rPr>
        <w:t xml:space="preserve">، </w:t>
      </w:r>
      <w:r w:rsidRPr="00282AC9">
        <w:rPr>
          <w:rFonts w:ascii="Noor_Mitra" w:hAnsi="Noor_Mitra" w:cs="DanaFajr" w:hint="cs"/>
          <w:sz w:val="28"/>
          <w:szCs w:val="28"/>
          <w:rtl/>
          <w:lang w:bidi="fa-IR"/>
        </w:rPr>
        <w:t>و</w:t>
      </w:r>
      <w:r w:rsidRPr="00282AC9">
        <w:rPr>
          <w:rFonts w:ascii="Noor_Mitra" w:hAnsi="Noor_Mitra" w:cs="DanaFajr"/>
          <w:sz w:val="28"/>
          <w:szCs w:val="28"/>
          <w:rtl/>
          <w:lang w:bidi="fa-IR"/>
        </w:rPr>
        <w:t>كأن</w:t>
      </w:r>
      <w:r w:rsidRPr="00282AC9">
        <w:rPr>
          <w:rFonts w:ascii="Noor_Mitra" w:hAnsi="Noor_Mitra" w:cs="DanaFajr"/>
          <w:sz w:val="28"/>
          <w:szCs w:val="28"/>
          <w:rtl/>
        </w:rPr>
        <w:t>ّ</w:t>
      </w:r>
      <w:r w:rsidRPr="00282AC9">
        <w:rPr>
          <w:rFonts w:ascii="Noor_Mitra" w:hAnsi="Noor_Mitra" w:cs="DanaFajr"/>
          <w:sz w:val="28"/>
          <w:szCs w:val="28"/>
          <w:rtl/>
          <w:lang w:bidi="fa-IR"/>
        </w:rPr>
        <w:t xml:space="preserve"> الإمام</w:t>
      </w:r>
      <w:r w:rsidRPr="00282AC9">
        <w:rPr>
          <w:rFonts w:cs="Mosawi" w:hint="cs"/>
          <w:rtl/>
        </w:rPr>
        <w:t>×</w:t>
      </w:r>
      <w:r w:rsidRPr="00282AC9">
        <w:rPr>
          <w:rFonts w:ascii="Noor_Mitra" w:hAnsi="Noor_Mitra" w:cs="DanaFajr"/>
          <w:sz w:val="28"/>
          <w:szCs w:val="28"/>
          <w:rtl/>
          <w:lang w:bidi="fa-IR"/>
        </w:rPr>
        <w:t xml:space="preserve"> يقول: م</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عرف طرائق الأو</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لين ومسالكهم فهو كالشخص الذي عاش في أوساطهم، فيستطيع أن يعرف سبب نجاة م</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نج</w:t>
      </w:r>
      <w:r w:rsidRPr="00282AC9">
        <w:rPr>
          <w:rFonts w:ascii="Noor_Mitra" w:hAnsi="Noor_Mitra" w:cs="DanaFajr" w:hint="cs"/>
          <w:sz w:val="28"/>
          <w:szCs w:val="28"/>
          <w:rtl/>
          <w:lang w:bidi="fa-IR"/>
        </w:rPr>
        <w:t>ا</w:t>
      </w:r>
      <w:r w:rsidRPr="00282AC9">
        <w:rPr>
          <w:rFonts w:ascii="Noor_Mitra" w:hAnsi="Noor_Mitra" w:cs="DanaFajr"/>
          <w:sz w:val="28"/>
          <w:szCs w:val="28"/>
          <w:rtl/>
          <w:lang w:bidi="fa-IR"/>
        </w:rPr>
        <w:t xml:space="preserve"> منهم، وسبب هلاك م</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هلك منهم. وهذا مختلف</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عن السياق الذي ورد فيه تعبير </w:t>
      </w:r>
      <w:r w:rsidRPr="00282AC9">
        <w:rPr>
          <w:rFonts w:hint="eastAsia"/>
          <w:sz w:val="22"/>
          <w:szCs w:val="22"/>
          <w:rtl/>
          <w:lang w:bidi="fa-IR"/>
        </w:rPr>
        <w:t>«</w:t>
      </w:r>
      <w:r w:rsidRPr="00282AC9">
        <w:rPr>
          <w:rFonts w:ascii="Noor_Mitra" w:hAnsi="Noor_Mitra" w:cs="DanaFajr"/>
          <w:sz w:val="28"/>
          <w:szCs w:val="28"/>
          <w:rtl/>
          <w:lang w:bidi="fa-IR"/>
        </w:rPr>
        <w:t>سُنَّة الأو</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لين</w:t>
      </w:r>
      <w:r w:rsidRPr="00282AC9">
        <w:rPr>
          <w:rFonts w:hint="eastAsia"/>
          <w:sz w:val="22"/>
          <w:szCs w:val="22"/>
          <w:rtl/>
        </w:rPr>
        <w:t>»</w:t>
      </w:r>
      <w:r w:rsidRPr="00282AC9">
        <w:rPr>
          <w:rFonts w:ascii="Noor_Mitra" w:hAnsi="Noor_Mitra" w:cs="DanaFajr"/>
          <w:sz w:val="28"/>
          <w:szCs w:val="28"/>
          <w:rtl/>
          <w:lang w:bidi="fa-IR"/>
        </w:rPr>
        <w:t xml:space="preserve"> في الآيات القرآنية.</w:t>
      </w:r>
    </w:p>
  </w:endnote>
  <w:endnote w:id="530">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الآمدي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غرر الحكم ودرر الكلم: 217، قم، ط2، 1</w:t>
      </w:r>
      <w:r w:rsidRPr="00282AC9">
        <w:rPr>
          <w:rFonts w:ascii="Noor_Mitra" w:hAnsi="Noor_Mitra" w:cs="DanaFajr" w:hint="cs"/>
          <w:sz w:val="28"/>
          <w:szCs w:val="28"/>
          <w:rtl/>
        </w:rPr>
        <w:t>4</w:t>
      </w:r>
      <w:r w:rsidRPr="00282AC9">
        <w:rPr>
          <w:rFonts w:ascii="Noor_Mitra" w:hAnsi="Noor_Mitra" w:cs="DanaFajr"/>
          <w:sz w:val="28"/>
          <w:szCs w:val="28"/>
          <w:rtl/>
          <w:lang w:bidi="fa-IR"/>
        </w:rPr>
        <w:t>10هـ.</w:t>
      </w:r>
    </w:p>
  </w:endnote>
  <w:endnote w:id="531">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الكليني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الكافي</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 xml:space="preserve">‏2: </w:t>
      </w:r>
      <w:r w:rsidRPr="00282AC9">
        <w:rPr>
          <w:rFonts w:ascii="Noor_Mitra" w:hAnsi="Noor_Mitra" w:cs="DanaFajr" w:hint="cs"/>
          <w:sz w:val="28"/>
          <w:szCs w:val="28"/>
          <w:rtl/>
        </w:rPr>
        <w:t>4</w:t>
      </w:r>
      <w:r w:rsidRPr="00282AC9">
        <w:rPr>
          <w:rFonts w:ascii="Noor_Mitra" w:hAnsi="Noor_Mitra" w:cs="DanaFajr"/>
          <w:sz w:val="28"/>
          <w:szCs w:val="28"/>
          <w:rtl/>
          <w:lang w:bidi="fa-IR"/>
        </w:rPr>
        <w:t>8</w:t>
      </w:r>
      <w:r w:rsidRPr="00282AC9">
        <w:rPr>
          <w:rFonts w:ascii="Noor_Mitra" w:hAnsi="Noor_Mitra" w:cs="DanaFajr" w:hint="cs"/>
          <w:sz w:val="28"/>
          <w:szCs w:val="28"/>
          <w:rtl/>
        </w:rPr>
        <w:t>6</w:t>
      </w:r>
      <w:r w:rsidRPr="00282AC9">
        <w:rPr>
          <w:rFonts w:ascii="Noor_Mitra" w:hAnsi="Noor_Mitra" w:cs="DanaFajr"/>
          <w:sz w:val="28"/>
          <w:szCs w:val="28"/>
          <w:rtl/>
          <w:lang w:bidi="fa-IR"/>
        </w:rPr>
        <w:t>؛ ابن شهرآشوب، مناقب آل أبي</w:t>
      </w:r>
      <w:r w:rsidRPr="00282AC9">
        <w:rPr>
          <w:rFonts w:ascii="Noor_Mitra" w:hAnsi="Noor_Mitra" w:cs="DanaFajr"/>
          <w:sz w:val="28"/>
          <w:szCs w:val="28"/>
          <w:rtl/>
          <w:lang w:bidi="fa-IR"/>
        </w:rPr>
        <w:softHyphen/>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طالب ‏2: 3</w:t>
      </w:r>
      <w:r w:rsidRPr="00282AC9">
        <w:rPr>
          <w:rFonts w:ascii="Noor_Mitra" w:hAnsi="Noor_Mitra" w:cs="DanaFajr" w:hint="cs"/>
          <w:sz w:val="28"/>
          <w:szCs w:val="28"/>
          <w:rtl/>
        </w:rPr>
        <w:t>4</w:t>
      </w:r>
      <w:r w:rsidRPr="00282AC9">
        <w:rPr>
          <w:rFonts w:ascii="Noor_Mitra" w:hAnsi="Noor_Mitra" w:cs="DanaFajr"/>
          <w:sz w:val="28"/>
          <w:szCs w:val="28"/>
          <w:rtl/>
          <w:lang w:bidi="fa-IR"/>
        </w:rPr>
        <w:t>0</w:t>
      </w:r>
    </w:p>
  </w:endnote>
  <w:endnote w:id="532">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أي إن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ذ</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ك</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ت</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م نَسَبه.</w:t>
      </w:r>
    </w:p>
  </w:endnote>
  <w:endnote w:id="533">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أي الإنذار.</w:t>
      </w:r>
    </w:p>
  </w:endnote>
  <w:endnote w:id="534">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أي مائلاً.</w:t>
      </w:r>
    </w:p>
  </w:endnote>
  <w:endnote w:id="535">
    <w:p w:rsidR="00C14EDE" w:rsidRPr="00282AC9" w:rsidRDefault="00C14EDE" w:rsidP="00446290">
      <w:pPr>
        <w:spacing w:line="288" w:lineRule="exact"/>
        <w:ind w:firstLine="0"/>
        <w:rPr>
          <w:rFonts w:cs="DanaFajr"/>
          <w:szCs w:val="28"/>
          <w:rtl/>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hint="cs"/>
          <w:szCs w:val="28"/>
          <w:rtl/>
          <w:lang w:bidi="fa-IR"/>
        </w:rPr>
        <w:t xml:space="preserve"> </w:t>
      </w:r>
      <w:r w:rsidRPr="00282AC9">
        <w:rPr>
          <w:rFonts w:cs="DanaFajr"/>
          <w:szCs w:val="28"/>
          <w:rtl/>
          <w:lang w:bidi="fa-IR"/>
        </w:rPr>
        <w:t>الجوهري، السقيفة وفدك: 1</w:t>
      </w:r>
      <w:r w:rsidRPr="00282AC9">
        <w:rPr>
          <w:rFonts w:cs="DanaFajr" w:hint="cs"/>
          <w:szCs w:val="28"/>
          <w:rtl/>
        </w:rPr>
        <w:t>4</w:t>
      </w:r>
      <w:r w:rsidRPr="00282AC9">
        <w:rPr>
          <w:rFonts w:cs="DanaFajr"/>
          <w:szCs w:val="28"/>
          <w:rtl/>
          <w:lang w:bidi="fa-IR"/>
        </w:rPr>
        <w:t>0، تحقيق</w:t>
      </w:r>
      <w:r w:rsidRPr="00282AC9">
        <w:rPr>
          <w:rFonts w:cs="DanaFajr" w:hint="cs"/>
          <w:szCs w:val="28"/>
          <w:rtl/>
          <w:lang w:bidi="fa-IR"/>
        </w:rPr>
        <w:t>:</w:t>
      </w:r>
      <w:r w:rsidRPr="00282AC9">
        <w:rPr>
          <w:rFonts w:cs="DanaFajr"/>
          <w:szCs w:val="28"/>
          <w:rtl/>
          <w:lang w:bidi="fa-IR"/>
        </w:rPr>
        <w:t xml:space="preserve"> محمد هادي الأميني، مكتبة نينوى الحديثة، طهران؛ الطبري (المنسوب)</w:t>
      </w:r>
      <w:r w:rsidRPr="00282AC9">
        <w:rPr>
          <w:rFonts w:cs="DanaFajr" w:hint="cs"/>
          <w:szCs w:val="28"/>
          <w:rtl/>
          <w:lang w:bidi="fa-IR"/>
        </w:rPr>
        <w:t xml:space="preserve">، </w:t>
      </w:r>
      <w:r w:rsidRPr="00282AC9">
        <w:rPr>
          <w:rFonts w:cs="DanaFajr"/>
          <w:szCs w:val="28"/>
          <w:rtl/>
          <w:lang w:bidi="fa-IR"/>
        </w:rPr>
        <w:t>دلائل الإمامة: 11</w:t>
      </w:r>
      <w:r w:rsidRPr="00282AC9">
        <w:rPr>
          <w:rFonts w:cs="DanaFajr" w:hint="cs"/>
          <w:szCs w:val="28"/>
          <w:rtl/>
        </w:rPr>
        <w:t>4</w:t>
      </w:r>
      <w:r w:rsidRPr="00282AC9">
        <w:rPr>
          <w:rFonts w:cs="DanaFajr"/>
          <w:szCs w:val="28"/>
          <w:rtl/>
          <w:lang w:bidi="fa-IR"/>
        </w:rPr>
        <w:t>، مؤس</w:t>
      </w:r>
      <w:r w:rsidRPr="00282AC9">
        <w:rPr>
          <w:rFonts w:cs="DanaFajr" w:hint="cs"/>
          <w:szCs w:val="28"/>
          <w:rtl/>
          <w:lang w:bidi="fa-IR"/>
        </w:rPr>
        <w:t>ّ</w:t>
      </w:r>
      <w:r w:rsidRPr="00282AC9">
        <w:rPr>
          <w:rFonts w:cs="DanaFajr"/>
          <w:szCs w:val="28"/>
          <w:rtl/>
          <w:lang w:bidi="fa-IR"/>
        </w:rPr>
        <w:t>سة البعثة، قم، ط1، 1</w:t>
      </w:r>
      <w:r w:rsidRPr="00282AC9">
        <w:rPr>
          <w:rFonts w:cs="DanaFajr" w:hint="cs"/>
          <w:szCs w:val="28"/>
          <w:rtl/>
        </w:rPr>
        <w:t>4</w:t>
      </w:r>
      <w:r w:rsidRPr="00282AC9">
        <w:rPr>
          <w:rFonts w:cs="DanaFajr"/>
          <w:szCs w:val="28"/>
          <w:rtl/>
          <w:lang w:bidi="fa-IR"/>
        </w:rPr>
        <w:t>13هـ؛ الآبي</w:t>
      </w:r>
      <w:r w:rsidRPr="00282AC9">
        <w:rPr>
          <w:rFonts w:cs="DanaFajr" w:hint="cs"/>
          <w:szCs w:val="28"/>
          <w:rtl/>
          <w:lang w:bidi="fa-IR"/>
        </w:rPr>
        <w:t>،</w:t>
      </w:r>
      <w:r w:rsidRPr="00282AC9">
        <w:rPr>
          <w:rFonts w:cs="DanaFajr"/>
          <w:szCs w:val="28"/>
          <w:rtl/>
          <w:lang w:bidi="fa-IR"/>
        </w:rPr>
        <w:t xml:space="preserve"> نثر الدر</w:t>
      </w:r>
      <w:r w:rsidRPr="00282AC9">
        <w:rPr>
          <w:rFonts w:cs="DanaFajr" w:hint="cs"/>
          <w:szCs w:val="28"/>
          <w:rtl/>
          <w:lang w:bidi="fa-IR"/>
        </w:rPr>
        <w:t>ّ</w:t>
      </w:r>
      <w:r w:rsidRPr="00282AC9">
        <w:rPr>
          <w:rFonts w:cs="DanaFajr"/>
          <w:szCs w:val="28"/>
          <w:rtl/>
          <w:lang w:bidi="fa-IR"/>
        </w:rPr>
        <w:t xml:space="preserve"> في المحاضرات ‏</w:t>
      </w:r>
      <w:r w:rsidRPr="00282AC9">
        <w:rPr>
          <w:rFonts w:cs="DanaFajr" w:hint="cs"/>
          <w:szCs w:val="28"/>
          <w:rtl/>
        </w:rPr>
        <w:t>4</w:t>
      </w:r>
      <w:r w:rsidRPr="00282AC9">
        <w:rPr>
          <w:rFonts w:cs="DanaFajr"/>
          <w:szCs w:val="28"/>
          <w:rtl/>
          <w:lang w:bidi="fa-IR"/>
        </w:rPr>
        <w:t xml:space="preserve">: </w:t>
      </w:r>
      <w:r w:rsidRPr="00282AC9">
        <w:rPr>
          <w:rFonts w:cs="DanaFajr" w:hint="cs"/>
          <w:szCs w:val="28"/>
          <w:rtl/>
        </w:rPr>
        <w:t>5</w:t>
      </w:r>
      <w:r w:rsidRPr="00282AC9">
        <w:rPr>
          <w:rFonts w:cs="DanaFajr"/>
          <w:szCs w:val="28"/>
          <w:rtl/>
          <w:lang w:bidi="fa-IR"/>
        </w:rPr>
        <w:t>؛ وباختلاف</w:t>
      </w:r>
      <w:r w:rsidRPr="00282AC9">
        <w:rPr>
          <w:rFonts w:cs="DanaFajr" w:hint="cs"/>
          <w:szCs w:val="28"/>
          <w:rtl/>
          <w:lang w:bidi="fa-IR"/>
        </w:rPr>
        <w:t>ٍ</w:t>
      </w:r>
      <w:r w:rsidRPr="00282AC9">
        <w:rPr>
          <w:rFonts w:cs="DanaFajr"/>
          <w:szCs w:val="28"/>
          <w:rtl/>
          <w:lang w:bidi="fa-IR"/>
        </w:rPr>
        <w:t xml:space="preserve"> يسير</w:t>
      </w:r>
      <w:r w:rsidRPr="00282AC9">
        <w:rPr>
          <w:rFonts w:cs="DanaFajr" w:hint="cs"/>
          <w:szCs w:val="28"/>
          <w:rtl/>
          <w:lang w:bidi="fa-IR"/>
        </w:rPr>
        <w:t>ٍ</w:t>
      </w:r>
      <w:r w:rsidRPr="00282AC9">
        <w:rPr>
          <w:rFonts w:cs="DanaFajr"/>
          <w:szCs w:val="28"/>
          <w:rtl/>
          <w:lang w:bidi="fa-IR"/>
        </w:rPr>
        <w:t xml:space="preserve"> في: الإربلي كشف</w:t>
      </w:r>
      <w:r w:rsidRPr="00282AC9">
        <w:rPr>
          <w:rFonts w:cs="DanaFajr" w:hint="cs"/>
          <w:szCs w:val="28"/>
          <w:rtl/>
          <w:lang w:bidi="fa-IR"/>
        </w:rPr>
        <w:t>،</w:t>
      </w:r>
      <w:r w:rsidRPr="00282AC9">
        <w:rPr>
          <w:rFonts w:cs="DanaFajr"/>
          <w:szCs w:val="28"/>
          <w:rtl/>
          <w:lang w:bidi="fa-IR"/>
        </w:rPr>
        <w:t xml:space="preserve"> الغم</w:t>
      </w:r>
      <w:r w:rsidRPr="00282AC9">
        <w:rPr>
          <w:rFonts w:cs="DanaFajr" w:hint="cs"/>
          <w:szCs w:val="28"/>
          <w:rtl/>
          <w:lang w:bidi="fa-IR"/>
        </w:rPr>
        <w:t>ّ</w:t>
      </w:r>
      <w:r w:rsidRPr="00282AC9">
        <w:rPr>
          <w:rFonts w:cs="DanaFajr"/>
          <w:szCs w:val="28"/>
          <w:rtl/>
          <w:lang w:bidi="fa-IR"/>
        </w:rPr>
        <w:t>ة 2: 208، تحقيق</w:t>
      </w:r>
      <w:r w:rsidRPr="00282AC9">
        <w:rPr>
          <w:rFonts w:cs="DanaFajr" w:hint="cs"/>
          <w:szCs w:val="28"/>
          <w:rtl/>
          <w:lang w:bidi="fa-IR"/>
        </w:rPr>
        <w:t>:</w:t>
      </w:r>
      <w:r w:rsidRPr="00282AC9">
        <w:rPr>
          <w:rFonts w:cs="DanaFajr"/>
          <w:szCs w:val="28"/>
          <w:rtl/>
          <w:lang w:bidi="fa-IR"/>
        </w:rPr>
        <w:t xml:space="preserve"> علي آل كوثر وعلي الفاضلي، المجمع العالمي</w:t>
      </w:r>
      <w:r w:rsidRPr="00282AC9">
        <w:rPr>
          <w:rFonts w:cs="DanaFajr" w:hint="cs"/>
          <w:szCs w:val="28"/>
          <w:rtl/>
          <w:lang w:bidi="fa-IR"/>
        </w:rPr>
        <w:t>ّ</w:t>
      </w:r>
      <w:r w:rsidRPr="00282AC9">
        <w:rPr>
          <w:rFonts w:cs="DanaFajr"/>
          <w:szCs w:val="28"/>
          <w:rtl/>
          <w:lang w:bidi="fa-IR"/>
        </w:rPr>
        <w:t xml:space="preserve"> لأهل البيت</w:t>
      </w:r>
      <w:r w:rsidRPr="00282AC9">
        <w:rPr>
          <w:rFonts w:cs="Mosawi" w:hint="cs"/>
          <w:sz w:val="20"/>
          <w:szCs w:val="20"/>
          <w:rtl/>
        </w:rPr>
        <w:t>^</w:t>
      </w:r>
      <w:r w:rsidRPr="00282AC9">
        <w:rPr>
          <w:rFonts w:cs="DanaFajr"/>
          <w:szCs w:val="28"/>
          <w:rtl/>
          <w:lang w:bidi="fa-IR"/>
        </w:rPr>
        <w:t xml:space="preserve"> </w:t>
      </w:r>
      <w:r w:rsidRPr="00282AC9">
        <w:rPr>
          <w:rFonts w:cs="DanaFajr" w:hint="cs"/>
          <w:szCs w:val="28"/>
          <w:rtl/>
          <w:lang w:bidi="fa-IR"/>
        </w:rPr>
        <w:t>ـ</w:t>
      </w:r>
      <w:r w:rsidRPr="00282AC9">
        <w:rPr>
          <w:rFonts w:cs="DanaFajr"/>
          <w:szCs w:val="28"/>
          <w:rtl/>
          <w:lang w:bidi="fa-IR"/>
        </w:rPr>
        <w:t xml:space="preserve"> دار التعارف، بيروت، 1</w:t>
      </w:r>
      <w:r w:rsidRPr="00282AC9">
        <w:rPr>
          <w:rFonts w:cs="DanaFajr" w:hint="cs"/>
          <w:szCs w:val="28"/>
          <w:rtl/>
        </w:rPr>
        <w:t>4</w:t>
      </w:r>
      <w:r w:rsidRPr="00282AC9">
        <w:rPr>
          <w:rFonts w:cs="DanaFajr"/>
          <w:szCs w:val="28"/>
          <w:rtl/>
          <w:lang w:bidi="fa-IR"/>
        </w:rPr>
        <w:t>33هـ.</w:t>
      </w:r>
    </w:p>
  </w:endnote>
  <w:endnote w:id="536">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ابن طيفور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بلاغات النساء: 2</w:t>
      </w:r>
      <w:r w:rsidRPr="00282AC9">
        <w:rPr>
          <w:rFonts w:ascii="Noor_Mitra" w:hAnsi="Noor_Mitra" w:cs="DanaFajr" w:hint="cs"/>
          <w:sz w:val="28"/>
          <w:szCs w:val="28"/>
          <w:rtl/>
        </w:rPr>
        <w:t>4</w:t>
      </w:r>
      <w:r w:rsidRPr="00282AC9">
        <w:rPr>
          <w:rFonts w:ascii="Noor_Mitra" w:hAnsi="Noor_Mitra" w:cs="DanaFajr"/>
          <w:sz w:val="28"/>
          <w:szCs w:val="28"/>
          <w:rtl/>
        </w:rPr>
        <w:t xml:space="preserve">، </w:t>
      </w:r>
      <w:r w:rsidRPr="00282AC9">
        <w:rPr>
          <w:rFonts w:ascii="Noor_Mitra" w:hAnsi="Noor_Mitra" w:cs="DanaFajr" w:hint="cs"/>
          <w:sz w:val="28"/>
          <w:szCs w:val="28"/>
          <w:rtl/>
        </w:rPr>
        <w:t xml:space="preserve">انتشارات </w:t>
      </w:r>
      <w:r w:rsidRPr="00282AC9">
        <w:rPr>
          <w:rFonts w:ascii="Noor_Mitra" w:hAnsi="Noor_Mitra" w:cs="DanaFajr"/>
          <w:sz w:val="28"/>
          <w:szCs w:val="28"/>
          <w:rtl/>
        </w:rPr>
        <w:t>الشريف الرضي</w:t>
      </w:r>
      <w:r w:rsidRPr="00282AC9">
        <w:rPr>
          <w:rFonts w:ascii="Noor_Mitra" w:hAnsi="Noor_Mitra" w:cs="DanaFajr" w:hint="cs"/>
          <w:sz w:val="28"/>
          <w:szCs w:val="28"/>
          <w:rtl/>
        </w:rPr>
        <w:t>ّ</w:t>
      </w:r>
      <w:r w:rsidRPr="00282AC9">
        <w:rPr>
          <w:rFonts w:ascii="Noor_Mitra" w:hAnsi="Noor_Mitra" w:cs="DanaFajr"/>
          <w:sz w:val="28"/>
          <w:szCs w:val="28"/>
          <w:rtl/>
          <w:lang w:bidi="fa-IR"/>
        </w:rPr>
        <w:t xml:space="preserve">، </w:t>
      </w:r>
      <w:r w:rsidRPr="00282AC9">
        <w:rPr>
          <w:rFonts w:ascii="Noor_Mitra" w:hAnsi="Noor_Mitra" w:cs="DanaFajr"/>
          <w:sz w:val="28"/>
          <w:szCs w:val="28"/>
          <w:rtl/>
        </w:rPr>
        <w:t>قم، ط1</w:t>
      </w:r>
      <w:r w:rsidRPr="00282AC9">
        <w:rPr>
          <w:rFonts w:ascii="Noor_Mitra" w:hAnsi="Noor_Mitra" w:cs="DanaFajr"/>
          <w:sz w:val="28"/>
          <w:szCs w:val="28"/>
          <w:rtl/>
          <w:lang w:bidi="fa-IR"/>
        </w:rPr>
        <w:t>؛ القاضي النعمان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شرح الأخبار ‏3: 3</w:t>
      </w:r>
      <w:r w:rsidRPr="00282AC9">
        <w:rPr>
          <w:rFonts w:ascii="Noor_Mitra" w:hAnsi="Noor_Mitra" w:cs="DanaFajr" w:hint="cs"/>
          <w:sz w:val="28"/>
          <w:szCs w:val="28"/>
          <w:rtl/>
        </w:rPr>
        <w:t>5</w:t>
      </w:r>
      <w:r w:rsidRPr="00282AC9">
        <w:rPr>
          <w:rFonts w:ascii="Noor_Mitra" w:hAnsi="Noor_Mitra" w:cs="DanaFajr"/>
          <w:sz w:val="28"/>
          <w:szCs w:val="28"/>
          <w:rtl/>
          <w:lang w:bidi="fa-IR"/>
        </w:rPr>
        <w:t>،</w:t>
      </w:r>
      <w:r w:rsidRPr="00282AC9">
        <w:rPr>
          <w:rFonts w:ascii="Noor_Mitra" w:hAnsi="Noor_Mitra" w:cs="DanaFajr"/>
          <w:sz w:val="28"/>
          <w:szCs w:val="28"/>
          <w:rtl/>
        </w:rPr>
        <w:t xml:space="preserve"> </w:t>
      </w:r>
      <w:r w:rsidRPr="00282AC9">
        <w:rPr>
          <w:rFonts w:ascii="Noor_Mitra" w:hAnsi="Noor_Mitra" w:cs="DanaFajr"/>
          <w:sz w:val="28"/>
          <w:szCs w:val="28"/>
          <w:rtl/>
          <w:lang w:bidi="fa-IR"/>
        </w:rPr>
        <w:t>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محمد حسين الحسيني الجلالي، </w:t>
      </w:r>
      <w:r w:rsidRPr="00282AC9">
        <w:rPr>
          <w:rFonts w:ascii="Noor_Mitra" w:hAnsi="Noor_Mitra" w:cs="DanaFajr" w:hint="cs"/>
          <w:sz w:val="28"/>
          <w:szCs w:val="28"/>
          <w:rtl/>
          <w:lang w:bidi="fa-IR"/>
        </w:rPr>
        <w:t>مؤسّسة النشر الإسلامي</w:t>
      </w:r>
      <w:r w:rsidRPr="00282AC9">
        <w:rPr>
          <w:rFonts w:ascii="Noor_Mitra" w:hAnsi="Noor_Mitra" w:cs="DanaFajr"/>
          <w:sz w:val="28"/>
          <w:szCs w:val="28"/>
          <w:rtl/>
          <w:lang w:bidi="fa-IR"/>
        </w:rPr>
        <w:t>، قم، ط1، 1</w:t>
      </w:r>
      <w:r w:rsidRPr="00282AC9">
        <w:rPr>
          <w:rFonts w:ascii="Noor_Mitra" w:hAnsi="Noor_Mitra" w:cs="DanaFajr" w:hint="cs"/>
          <w:sz w:val="28"/>
          <w:szCs w:val="28"/>
          <w:rtl/>
        </w:rPr>
        <w:t>4</w:t>
      </w:r>
      <w:r w:rsidRPr="00282AC9">
        <w:rPr>
          <w:rFonts w:ascii="Noor_Mitra" w:hAnsi="Noor_Mitra" w:cs="DanaFajr"/>
          <w:sz w:val="28"/>
          <w:szCs w:val="28"/>
          <w:rtl/>
          <w:lang w:bidi="fa-IR"/>
        </w:rPr>
        <w:t>09هـ.</w:t>
      </w:r>
    </w:p>
  </w:endnote>
  <w:endnote w:id="537">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كتاب 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ل</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م بن قيس ‏2: </w:t>
      </w:r>
      <w:r w:rsidRPr="00282AC9">
        <w:rPr>
          <w:rFonts w:ascii="Noor_Mitra" w:hAnsi="Noor_Mitra" w:cs="DanaFajr" w:hint="cs"/>
          <w:sz w:val="28"/>
          <w:szCs w:val="28"/>
          <w:rtl/>
        </w:rPr>
        <w:t>5</w:t>
      </w:r>
      <w:r w:rsidRPr="00282AC9">
        <w:rPr>
          <w:rFonts w:ascii="Noor_Mitra" w:hAnsi="Noor_Mitra" w:cs="DanaFajr"/>
          <w:sz w:val="28"/>
          <w:szCs w:val="28"/>
          <w:rtl/>
          <w:lang w:bidi="fa-IR"/>
        </w:rPr>
        <w:t>9</w:t>
      </w:r>
      <w:r w:rsidRPr="00282AC9">
        <w:rPr>
          <w:rFonts w:ascii="Noor_Mitra" w:hAnsi="Noor_Mitra" w:cs="DanaFajr" w:hint="cs"/>
          <w:sz w:val="28"/>
          <w:szCs w:val="28"/>
          <w:rtl/>
        </w:rPr>
        <w:t>5</w:t>
      </w:r>
    </w:p>
  </w:endnote>
  <w:endnote w:id="538">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الطبرسي، ال</w:t>
      </w:r>
      <w:r w:rsidRPr="00282AC9">
        <w:rPr>
          <w:rFonts w:ascii="Noor_Mitra" w:hAnsi="Noor_Mitra" w:cs="DanaFajr" w:hint="cs"/>
          <w:sz w:val="28"/>
          <w:szCs w:val="28"/>
          <w:rtl/>
          <w:lang w:bidi="fa-IR"/>
        </w:rPr>
        <w:t>ا</w:t>
      </w:r>
      <w:r w:rsidRPr="00282AC9">
        <w:rPr>
          <w:rFonts w:ascii="Noor_Mitra" w:hAnsi="Noor_Mitra" w:cs="DanaFajr"/>
          <w:sz w:val="28"/>
          <w:szCs w:val="28"/>
          <w:rtl/>
          <w:lang w:bidi="fa-IR"/>
        </w:rPr>
        <w:t>حتجاج ‏1: 111</w:t>
      </w:r>
    </w:p>
  </w:endnote>
  <w:endnote w:id="539">
    <w:p w:rsidR="00C14EDE" w:rsidRPr="00282AC9" w:rsidRDefault="00C14EDE" w:rsidP="00446290">
      <w:pPr>
        <w:spacing w:line="288" w:lineRule="exact"/>
        <w:ind w:firstLine="0"/>
        <w:rPr>
          <w:rFonts w:cs="DanaFajr"/>
          <w:szCs w:val="28"/>
          <w:rtl/>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szCs w:val="28"/>
        </w:rPr>
        <w:t xml:space="preserve"> </w:t>
      </w:r>
      <w:r w:rsidRPr="00282AC9">
        <w:rPr>
          <w:rFonts w:cs="DanaFajr"/>
          <w:szCs w:val="28"/>
          <w:rtl/>
          <w:lang w:bidi="fa-IR"/>
        </w:rPr>
        <w:t>رجال الكش</w:t>
      </w:r>
      <w:r w:rsidRPr="00282AC9">
        <w:rPr>
          <w:rFonts w:cs="DanaFajr" w:hint="cs"/>
          <w:szCs w:val="28"/>
          <w:rtl/>
          <w:lang w:bidi="fa-IR"/>
        </w:rPr>
        <w:t>ّ</w:t>
      </w:r>
      <w:r w:rsidRPr="00282AC9">
        <w:rPr>
          <w:rFonts w:cs="DanaFajr"/>
          <w:szCs w:val="28"/>
          <w:rtl/>
          <w:lang w:bidi="fa-IR"/>
        </w:rPr>
        <w:t xml:space="preserve">ي: 21، </w:t>
      </w:r>
      <w:r w:rsidRPr="00282AC9">
        <w:rPr>
          <w:rFonts w:cs="DanaFajr"/>
          <w:szCs w:val="28"/>
          <w:rtl/>
        </w:rPr>
        <w:t>تحقيق</w:t>
      </w:r>
      <w:r w:rsidRPr="00282AC9">
        <w:rPr>
          <w:rFonts w:cs="DanaFajr" w:hint="cs"/>
          <w:szCs w:val="28"/>
          <w:rtl/>
        </w:rPr>
        <w:t>:</w:t>
      </w:r>
      <w:r w:rsidRPr="00282AC9">
        <w:rPr>
          <w:rFonts w:cs="DanaFajr"/>
          <w:szCs w:val="28"/>
          <w:rtl/>
        </w:rPr>
        <w:t xml:space="preserve"> المصطفوي، نشر </w:t>
      </w:r>
      <w:r w:rsidRPr="00282AC9">
        <w:rPr>
          <w:rFonts w:ascii="Mosawi" w:hAnsi="Mosawi" w:cs="Abz-3 (Yagut)"/>
          <w:sz w:val="20"/>
          <w:szCs w:val="20"/>
          <w:rtl/>
          <w:lang w:val="x-none" w:eastAsia="x-none"/>
        </w:rPr>
        <w:t>دانشگاه</w:t>
      </w:r>
      <w:r w:rsidRPr="00282AC9">
        <w:rPr>
          <w:rFonts w:cs="DanaFajr"/>
          <w:szCs w:val="28"/>
          <w:rtl/>
        </w:rPr>
        <w:t xml:space="preserve"> مشهد، مشهد، ط1، 1</w:t>
      </w:r>
      <w:r w:rsidRPr="00282AC9">
        <w:rPr>
          <w:rFonts w:cs="DanaFajr" w:hint="cs"/>
          <w:szCs w:val="28"/>
          <w:rtl/>
        </w:rPr>
        <w:t>4</w:t>
      </w:r>
      <w:r w:rsidRPr="00282AC9">
        <w:rPr>
          <w:rFonts w:cs="DanaFajr"/>
          <w:szCs w:val="28"/>
          <w:rtl/>
        </w:rPr>
        <w:t xml:space="preserve">09هـ. </w:t>
      </w:r>
    </w:p>
  </w:endnote>
  <w:endnote w:id="540">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تاريخ مدينة دمشق 23: 7</w:t>
      </w:r>
      <w:r w:rsidRPr="00282AC9">
        <w:rPr>
          <w:rFonts w:ascii="Noor_Mitra" w:hAnsi="Noor_Mitra" w:cs="DanaFajr" w:hint="cs"/>
          <w:sz w:val="28"/>
          <w:szCs w:val="28"/>
          <w:rtl/>
        </w:rPr>
        <w:t>5.</w:t>
      </w:r>
    </w:p>
  </w:endnote>
  <w:endnote w:id="541">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 xml:space="preserve">الحاكم النيسابوري، المستدرك على الصحيحين 2: </w:t>
      </w:r>
      <w:r w:rsidRPr="00282AC9">
        <w:rPr>
          <w:rFonts w:ascii="Noor_Mitra" w:hAnsi="Noor_Mitra" w:cs="DanaFajr" w:hint="cs"/>
          <w:sz w:val="28"/>
          <w:szCs w:val="28"/>
          <w:rtl/>
        </w:rPr>
        <w:t>56</w:t>
      </w:r>
      <w:r w:rsidRPr="00282AC9">
        <w:rPr>
          <w:rFonts w:ascii="Noor_Mitra" w:hAnsi="Noor_Mitra" w:cs="DanaFajr"/>
          <w:sz w:val="28"/>
          <w:szCs w:val="28"/>
          <w:rtl/>
        </w:rPr>
        <w:t>2</w:t>
      </w:r>
      <w:r w:rsidRPr="00282AC9">
        <w:rPr>
          <w:rFonts w:ascii="Noor_Mitra" w:hAnsi="Noor_Mitra" w:cs="DanaFajr" w:hint="cs"/>
          <w:sz w:val="28"/>
          <w:szCs w:val="28"/>
          <w:rtl/>
        </w:rPr>
        <w:t>.</w:t>
      </w:r>
    </w:p>
  </w:endnote>
  <w:endnote w:id="542">
    <w:p w:rsidR="00C14EDE" w:rsidRPr="00282AC9" w:rsidRDefault="00C14EDE" w:rsidP="00446290">
      <w:pPr>
        <w:spacing w:line="288" w:lineRule="exact"/>
        <w:ind w:firstLine="0"/>
        <w:rPr>
          <w:rFonts w:cs="DanaFajr"/>
          <w:szCs w:val="28"/>
          <w:rtl/>
          <w:lang w:bidi="fa-IR"/>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hint="cs"/>
          <w:szCs w:val="28"/>
          <w:rtl/>
        </w:rPr>
        <w:t xml:space="preserve"> </w:t>
      </w:r>
      <w:r w:rsidRPr="00282AC9">
        <w:rPr>
          <w:rFonts w:cs="DanaFajr"/>
          <w:szCs w:val="28"/>
          <w:rtl/>
          <w:lang w:bidi="fa-IR"/>
        </w:rPr>
        <w:t>البغوي، معالم التن</w:t>
      </w:r>
      <w:r w:rsidRPr="00282AC9">
        <w:rPr>
          <w:rFonts w:cs="DanaFajr" w:hint="cs"/>
          <w:szCs w:val="28"/>
          <w:rtl/>
          <w:lang w:bidi="fa-IR"/>
        </w:rPr>
        <w:t>ـ</w:t>
      </w:r>
      <w:r w:rsidRPr="00282AC9">
        <w:rPr>
          <w:rFonts w:cs="DanaFajr"/>
          <w:szCs w:val="28"/>
          <w:rtl/>
          <w:lang w:bidi="fa-IR"/>
        </w:rPr>
        <w:t>زيل ف</w:t>
      </w:r>
      <w:r w:rsidRPr="00282AC9">
        <w:rPr>
          <w:rFonts w:cs="DanaFajr" w:hint="cs"/>
          <w:szCs w:val="28"/>
          <w:rtl/>
          <w:lang w:bidi="fa-IR"/>
        </w:rPr>
        <w:t>ي</w:t>
      </w:r>
      <w:r w:rsidRPr="00282AC9">
        <w:rPr>
          <w:rFonts w:cs="DanaFajr"/>
          <w:szCs w:val="28"/>
          <w:rtl/>
          <w:lang w:bidi="fa-IR"/>
        </w:rPr>
        <w:t xml:space="preserve"> تفسير القرآن ‏2: 3</w:t>
      </w:r>
      <w:r w:rsidRPr="00282AC9">
        <w:rPr>
          <w:rFonts w:cs="DanaFajr" w:hint="cs"/>
          <w:szCs w:val="28"/>
          <w:rtl/>
        </w:rPr>
        <w:t>4</w:t>
      </w:r>
      <w:r w:rsidRPr="00282AC9">
        <w:rPr>
          <w:rFonts w:cs="DanaFajr"/>
          <w:szCs w:val="28"/>
          <w:rtl/>
          <w:lang w:bidi="fa-IR"/>
        </w:rPr>
        <w:t>7، دار إحياء التراث العربي، بيروت، ط1، 1</w:t>
      </w:r>
      <w:r w:rsidRPr="00282AC9">
        <w:rPr>
          <w:rFonts w:cs="DanaFajr" w:hint="cs"/>
          <w:szCs w:val="28"/>
          <w:rtl/>
        </w:rPr>
        <w:t>4</w:t>
      </w:r>
      <w:r w:rsidRPr="00282AC9">
        <w:rPr>
          <w:rFonts w:cs="DanaFajr"/>
          <w:szCs w:val="28"/>
          <w:rtl/>
          <w:lang w:bidi="fa-IR"/>
        </w:rPr>
        <w:t>20هـ.</w:t>
      </w:r>
    </w:p>
  </w:endnote>
  <w:endnote w:id="543">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lang w:bidi="fa-IR"/>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lang w:bidi="fa-IR"/>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التوبة: 37</w:t>
      </w:r>
      <w:r w:rsidRPr="00282AC9">
        <w:rPr>
          <w:rFonts w:ascii="Noor_Mitra" w:hAnsi="Noor_Mitra" w:cs="DanaFajr" w:hint="cs"/>
          <w:sz w:val="28"/>
          <w:szCs w:val="28"/>
          <w:rtl/>
          <w:lang w:bidi="fa-IR"/>
        </w:rPr>
        <w:t>.</w:t>
      </w:r>
    </w:p>
  </w:endnote>
  <w:endnote w:id="544">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الكشف والبيان عن تفسير القرآن (تفس</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ر ال</w:t>
      </w:r>
      <w:r w:rsidRPr="00282AC9">
        <w:rPr>
          <w:rFonts w:ascii="Noor_Mitra" w:hAnsi="Noor_Mitra" w:cs="DanaFajr"/>
          <w:sz w:val="28"/>
          <w:szCs w:val="28"/>
          <w:rtl/>
        </w:rPr>
        <w:t>ثعلبي</w:t>
      </w:r>
      <w:r w:rsidRPr="00282AC9">
        <w:rPr>
          <w:rFonts w:ascii="Noor_Mitra" w:hAnsi="Noor_Mitra" w:cs="DanaFajr"/>
          <w:sz w:val="28"/>
          <w:szCs w:val="28"/>
          <w:rtl/>
          <w:lang w:bidi="fa-IR"/>
        </w:rPr>
        <w:t>) ‏</w:t>
      </w:r>
      <w:r w:rsidRPr="00282AC9">
        <w:rPr>
          <w:rFonts w:ascii="Noor_Mitra" w:hAnsi="Noor_Mitra" w:cs="DanaFajr" w:hint="cs"/>
          <w:sz w:val="28"/>
          <w:szCs w:val="28"/>
          <w:rtl/>
        </w:rPr>
        <w:t>5</w:t>
      </w:r>
      <w:r w:rsidRPr="00282AC9">
        <w:rPr>
          <w:rFonts w:ascii="Noor_Mitra" w:hAnsi="Noor_Mitra" w:cs="DanaFajr"/>
          <w:sz w:val="28"/>
          <w:szCs w:val="28"/>
          <w:rtl/>
          <w:lang w:bidi="fa-IR"/>
        </w:rPr>
        <w:t xml:space="preserve">: </w:t>
      </w:r>
      <w:r w:rsidRPr="00282AC9">
        <w:rPr>
          <w:rFonts w:ascii="Noor_Mitra" w:hAnsi="Noor_Mitra" w:cs="DanaFajr" w:hint="cs"/>
          <w:sz w:val="28"/>
          <w:szCs w:val="28"/>
          <w:rtl/>
        </w:rPr>
        <w:t>45</w:t>
      </w:r>
      <w:r w:rsidRPr="00282AC9">
        <w:rPr>
          <w:rFonts w:ascii="Noor_Mitra" w:hAnsi="Noor_Mitra" w:cs="DanaFajr"/>
          <w:sz w:val="28"/>
          <w:szCs w:val="28"/>
          <w:rtl/>
        </w:rPr>
        <w:t>، تحقيق</w:t>
      </w:r>
      <w:r w:rsidRPr="00282AC9">
        <w:rPr>
          <w:rFonts w:ascii="Noor_Mitra" w:hAnsi="Noor_Mitra" w:cs="DanaFajr" w:hint="cs"/>
          <w:sz w:val="28"/>
          <w:szCs w:val="28"/>
          <w:rtl/>
        </w:rPr>
        <w:t>:</w:t>
      </w:r>
      <w:r w:rsidRPr="00282AC9">
        <w:rPr>
          <w:rFonts w:ascii="Noor_Mitra" w:hAnsi="Noor_Mitra" w:cs="DanaFajr"/>
          <w:sz w:val="28"/>
          <w:szCs w:val="28"/>
          <w:rtl/>
        </w:rPr>
        <w:t xml:space="preserve"> ابن عاشور، دار إحياء التراث العربي، ط1، 1</w:t>
      </w:r>
      <w:r w:rsidRPr="00282AC9">
        <w:rPr>
          <w:rFonts w:ascii="Noor_Mitra" w:hAnsi="Noor_Mitra" w:cs="DanaFajr" w:hint="cs"/>
          <w:sz w:val="28"/>
          <w:szCs w:val="28"/>
          <w:rtl/>
        </w:rPr>
        <w:t>4</w:t>
      </w:r>
      <w:r w:rsidRPr="00282AC9">
        <w:rPr>
          <w:rFonts w:ascii="Noor_Mitra" w:hAnsi="Noor_Mitra" w:cs="DanaFajr"/>
          <w:sz w:val="28"/>
          <w:szCs w:val="28"/>
          <w:rtl/>
        </w:rPr>
        <w:t>22</w:t>
      </w:r>
      <w:r w:rsidRPr="00282AC9">
        <w:rPr>
          <w:rFonts w:ascii="Noor_Mitra" w:hAnsi="Noor_Mitra" w:cs="DanaFajr" w:hint="cs"/>
          <w:sz w:val="28"/>
          <w:szCs w:val="28"/>
          <w:rtl/>
        </w:rPr>
        <w:t>هـ.</w:t>
      </w:r>
    </w:p>
  </w:endnote>
  <w:endnote w:id="545">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lang w:bidi="fa-IR"/>
        </w:rPr>
        <w:t>ابن عبد الحكم، فتوح مصر والمغرب: 120، مكتبة الثقافة الدينية، القاهرة، ط1، 1</w:t>
      </w:r>
      <w:r w:rsidRPr="00282AC9">
        <w:rPr>
          <w:rFonts w:ascii="Noor_Mitra" w:hAnsi="Noor_Mitra" w:cs="DanaFajr" w:hint="cs"/>
          <w:sz w:val="28"/>
          <w:szCs w:val="28"/>
          <w:rtl/>
        </w:rPr>
        <w:t>4</w:t>
      </w:r>
      <w:r w:rsidRPr="00282AC9">
        <w:rPr>
          <w:rFonts w:ascii="Noor_Mitra" w:hAnsi="Noor_Mitra" w:cs="DanaFajr"/>
          <w:sz w:val="28"/>
          <w:szCs w:val="28"/>
          <w:rtl/>
          <w:lang w:bidi="fa-IR"/>
        </w:rPr>
        <w:t>1</w:t>
      </w:r>
      <w:r w:rsidRPr="00282AC9">
        <w:rPr>
          <w:rFonts w:ascii="Noor_Mitra" w:hAnsi="Noor_Mitra" w:cs="DanaFajr" w:hint="cs"/>
          <w:sz w:val="28"/>
          <w:szCs w:val="28"/>
          <w:rtl/>
        </w:rPr>
        <w:t>5</w:t>
      </w:r>
      <w:r w:rsidRPr="00282AC9">
        <w:rPr>
          <w:rFonts w:ascii="Noor_Mitra" w:hAnsi="Noor_Mitra" w:cs="DanaFajr"/>
          <w:sz w:val="28"/>
          <w:szCs w:val="28"/>
          <w:rtl/>
          <w:lang w:bidi="fa-IR"/>
        </w:rPr>
        <w:t>هـ؛ الصدفي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تاريخ ابن يونس المصري ‏1: 3</w:t>
      </w:r>
      <w:r w:rsidRPr="00282AC9">
        <w:rPr>
          <w:rFonts w:ascii="Noor_Mitra" w:hAnsi="Noor_Mitra" w:cs="DanaFajr" w:hint="cs"/>
          <w:sz w:val="28"/>
          <w:szCs w:val="28"/>
          <w:rtl/>
        </w:rPr>
        <w:t>45</w:t>
      </w:r>
      <w:r w:rsidRPr="00282AC9">
        <w:rPr>
          <w:rFonts w:ascii="Noor_Mitra" w:hAnsi="Noor_Mitra" w:cs="DanaFajr"/>
          <w:sz w:val="28"/>
          <w:szCs w:val="28"/>
          <w:rtl/>
          <w:lang w:bidi="fa-IR"/>
        </w:rPr>
        <w:t>، دار الكتب العلمية، بيروت، ط1، 1</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21هـ؛ تاريخ مدينة </w:t>
      </w:r>
      <w:r w:rsidRPr="00282AC9">
        <w:rPr>
          <w:rFonts w:ascii="Noor_Mitra" w:hAnsi="Noor_Mitra" w:cs="DanaFajr"/>
          <w:sz w:val="28"/>
          <w:szCs w:val="28"/>
          <w:rtl/>
        </w:rPr>
        <w:t>دمشق</w:t>
      </w:r>
      <w:r w:rsidRPr="00282AC9">
        <w:rPr>
          <w:rFonts w:ascii="Noor_Mitra" w:hAnsi="Noor_Mitra" w:cs="DanaFajr"/>
          <w:sz w:val="28"/>
          <w:szCs w:val="28"/>
          <w:rtl/>
          <w:lang w:bidi="fa-IR"/>
        </w:rPr>
        <w:t xml:space="preserve"> ‏</w:t>
      </w:r>
      <w:r w:rsidRPr="00282AC9">
        <w:rPr>
          <w:rFonts w:ascii="Noor_Mitra" w:hAnsi="Noor_Mitra" w:cs="DanaFajr" w:hint="cs"/>
          <w:sz w:val="28"/>
          <w:szCs w:val="28"/>
          <w:rtl/>
        </w:rPr>
        <w:t>5</w:t>
      </w:r>
      <w:r w:rsidRPr="00282AC9">
        <w:rPr>
          <w:rFonts w:ascii="Noor_Mitra" w:hAnsi="Noor_Mitra" w:cs="DanaFajr"/>
          <w:sz w:val="28"/>
          <w:szCs w:val="28"/>
          <w:rtl/>
          <w:lang w:bidi="fa-IR"/>
        </w:rPr>
        <w:t>9: 22؛ ابن حجر العسقلاني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الإصابة في تمييز الصحابة ‏</w:t>
      </w:r>
      <w:r w:rsidRPr="00282AC9">
        <w:rPr>
          <w:rFonts w:ascii="Noor_Mitra" w:hAnsi="Noor_Mitra" w:cs="DanaFajr" w:hint="cs"/>
          <w:sz w:val="28"/>
          <w:szCs w:val="28"/>
          <w:rtl/>
        </w:rPr>
        <w:t>5</w:t>
      </w:r>
      <w:r w:rsidRPr="00282AC9">
        <w:rPr>
          <w:rFonts w:ascii="Noor_Mitra" w:hAnsi="Noor_Mitra" w:cs="DanaFajr"/>
          <w:sz w:val="28"/>
          <w:szCs w:val="28"/>
          <w:rtl/>
          <w:lang w:bidi="fa-IR"/>
        </w:rPr>
        <w:t>: 101، منشورات محمد علي بيضون، بيروت، ط1، 1</w:t>
      </w:r>
      <w:r w:rsidRPr="00282AC9">
        <w:rPr>
          <w:rFonts w:ascii="Noor_Mitra" w:hAnsi="Noor_Mitra" w:cs="DanaFajr" w:hint="cs"/>
          <w:sz w:val="28"/>
          <w:szCs w:val="28"/>
          <w:rtl/>
        </w:rPr>
        <w:t>4</w:t>
      </w:r>
      <w:r w:rsidRPr="00282AC9">
        <w:rPr>
          <w:rFonts w:ascii="Noor_Mitra" w:hAnsi="Noor_Mitra" w:cs="DanaFajr"/>
          <w:sz w:val="28"/>
          <w:szCs w:val="28"/>
          <w:rtl/>
          <w:lang w:bidi="fa-IR"/>
        </w:rPr>
        <w:t>1</w:t>
      </w:r>
      <w:r w:rsidRPr="00282AC9">
        <w:rPr>
          <w:rFonts w:ascii="Noor_Mitra" w:hAnsi="Noor_Mitra" w:cs="DanaFajr" w:hint="cs"/>
          <w:sz w:val="28"/>
          <w:szCs w:val="28"/>
          <w:rtl/>
        </w:rPr>
        <w:t>5</w:t>
      </w:r>
      <w:r w:rsidRPr="00282AC9">
        <w:rPr>
          <w:rFonts w:ascii="Noor_Mitra" w:hAnsi="Noor_Mitra" w:cs="DanaFajr"/>
          <w:sz w:val="28"/>
          <w:szCs w:val="28"/>
          <w:rtl/>
          <w:lang w:bidi="fa-IR"/>
        </w:rPr>
        <w:t>هـ.</w:t>
      </w:r>
    </w:p>
  </w:endnote>
  <w:endnote w:id="546">
    <w:p w:rsidR="00C14EDE" w:rsidRPr="00282AC9" w:rsidRDefault="00C14EDE" w:rsidP="00446290">
      <w:pPr>
        <w:spacing w:line="288" w:lineRule="exact"/>
        <w:ind w:firstLine="0"/>
        <w:rPr>
          <w:rFonts w:cs="DanaFajr"/>
          <w:szCs w:val="28"/>
          <w:rtl/>
          <w:lang w:bidi="fa-IR"/>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hint="cs"/>
          <w:szCs w:val="28"/>
          <w:rtl/>
          <w:lang w:bidi="fa-IR"/>
        </w:rPr>
        <w:t xml:space="preserve"> </w:t>
      </w:r>
      <w:r w:rsidRPr="00282AC9">
        <w:rPr>
          <w:rFonts w:cs="DanaFajr"/>
          <w:szCs w:val="28"/>
          <w:rtl/>
          <w:lang w:bidi="fa-IR"/>
        </w:rPr>
        <w:t>أبو</w:t>
      </w:r>
      <w:r w:rsidRPr="00282AC9">
        <w:rPr>
          <w:rFonts w:cs="DanaFajr" w:hint="cs"/>
          <w:szCs w:val="28"/>
          <w:rtl/>
          <w:lang w:bidi="fa-IR"/>
        </w:rPr>
        <w:t xml:space="preserve"> </w:t>
      </w:r>
      <w:r w:rsidRPr="00282AC9">
        <w:rPr>
          <w:rFonts w:cs="DanaFajr"/>
          <w:szCs w:val="28"/>
          <w:rtl/>
          <w:lang w:bidi="fa-IR"/>
        </w:rPr>
        <w:t xml:space="preserve">عبيد، الأموال: 200، </w:t>
      </w:r>
      <w:r w:rsidRPr="00282AC9">
        <w:rPr>
          <w:rFonts w:cs="DanaFajr" w:hint="cs"/>
          <w:szCs w:val="28"/>
          <w:rtl/>
          <w:lang w:bidi="fa-IR"/>
        </w:rPr>
        <w:t xml:space="preserve">تحقيق: </w:t>
      </w:r>
      <w:r w:rsidRPr="00282AC9">
        <w:rPr>
          <w:rFonts w:cs="DanaFajr"/>
          <w:szCs w:val="28"/>
          <w:rtl/>
          <w:lang w:bidi="fa-IR"/>
        </w:rPr>
        <w:t>محمد خليل هراس، دار الفكر، بيروت، 1</w:t>
      </w:r>
      <w:r w:rsidRPr="00282AC9">
        <w:rPr>
          <w:rFonts w:cs="DanaFajr" w:hint="cs"/>
          <w:szCs w:val="28"/>
          <w:rtl/>
        </w:rPr>
        <w:t>4</w:t>
      </w:r>
      <w:r w:rsidRPr="00282AC9">
        <w:rPr>
          <w:rFonts w:cs="DanaFajr"/>
          <w:szCs w:val="28"/>
          <w:rtl/>
          <w:lang w:bidi="fa-IR"/>
        </w:rPr>
        <w:t>08هـ؛ ابن زنجوي</w:t>
      </w:r>
      <w:r w:rsidRPr="00282AC9">
        <w:rPr>
          <w:rFonts w:cs="DanaFajr" w:hint="cs"/>
          <w:szCs w:val="28"/>
          <w:rtl/>
          <w:lang w:bidi="fa-IR"/>
        </w:rPr>
        <w:t>ه،</w:t>
      </w:r>
      <w:r w:rsidRPr="00282AC9">
        <w:rPr>
          <w:rFonts w:cs="DanaFajr"/>
          <w:szCs w:val="28"/>
          <w:rtl/>
          <w:lang w:bidi="fa-IR"/>
        </w:rPr>
        <w:t xml:space="preserve"> الأموال: 1</w:t>
      </w:r>
      <w:r w:rsidRPr="00282AC9">
        <w:rPr>
          <w:rFonts w:cs="DanaFajr" w:hint="cs"/>
          <w:szCs w:val="28"/>
          <w:rtl/>
        </w:rPr>
        <w:t>6</w:t>
      </w:r>
      <w:r w:rsidRPr="00282AC9">
        <w:rPr>
          <w:rFonts w:cs="DanaFajr"/>
          <w:szCs w:val="28"/>
          <w:rtl/>
          <w:lang w:bidi="fa-IR"/>
        </w:rPr>
        <w:t>2، تحقيق</w:t>
      </w:r>
      <w:r w:rsidRPr="00282AC9">
        <w:rPr>
          <w:rFonts w:cs="DanaFajr" w:hint="cs"/>
          <w:szCs w:val="28"/>
          <w:rtl/>
          <w:lang w:bidi="fa-IR"/>
        </w:rPr>
        <w:t>:</w:t>
      </w:r>
      <w:r w:rsidRPr="00282AC9">
        <w:rPr>
          <w:rFonts w:cs="DanaFajr"/>
          <w:szCs w:val="28"/>
          <w:rtl/>
          <w:lang w:bidi="fa-IR"/>
        </w:rPr>
        <w:t xml:space="preserve"> الأسيوطي، دار الكتب العلمية، بيروت، 1</w:t>
      </w:r>
      <w:r w:rsidRPr="00282AC9">
        <w:rPr>
          <w:rFonts w:cs="DanaFajr" w:hint="cs"/>
          <w:szCs w:val="28"/>
          <w:rtl/>
        </w:rPr>
        <w:t>4</w:t>
      </w:r>
      <w:r w:rsidRPr="00282AC9">
        <w:rPr>
          <w:rFonts w:cs="DanaFajr"/>
          <w:szCs w:val="28"/>
          <w:rtl/>
          <w:lang w:bidi="fa-IR"/>
        </w:rPr>
        <w:t xml:space="preserve">27هـ؛ </w:t>
      </w:r>
      <w:r w:rsidRPr="00282AC9">
        <w:rPr>
          <w:rFonts w:cs="DanaFajr"/>
          <w:szCs w:val="28"/>
          <w:rtl/>
        </w:rPr>
        <w:t>ال</w:t>
      </w:r>
      <w:r w:rsidRPr="00282AC9">
        <w:rPr>
          <w:rFonts w:cs="DanaFajr"/>
          <w:szCs w:val="28"/>
          <w:rtl/>
          <w:lang w:bidi="fa-IR"/>
        </w:rPr>
        <w:t>بلاذري</w:t>
      </w:r>
      <w:r w:rsidRPr="00282AC9">
        <w:rPr>
          <w:rFonts w:cs="DanaFajr" w:hint="cs"/>
          <w:szCs w:val="28"/>
          <w:rtl/>
          <w:lang w:bidi="fa-IR"/>
        </w:rPr>
        <w:t>،</w:t>
      </w:r>
      <w:r w:rsidRPr="00282AC9">
        <w:rPr>
          <w:rFonts w:cs="DanaFajr"/>
          <w:szCs w:val="28"/>
          <w:rtl/>
          <w:lang w:bidi="fa-IR"/>
        </w:rPr>
        <w:t xml:space="preserve"> فتوح البلدان: 1</w:t>
      </w:r>
      <w:r w:rsidRPr="00282AC9">
        <w:rPr>
          <w:rFonts w:cs="DanaFajr" w:hint="cs"/>
          <w:szCs w:val="28"/>
          <w:rtl/>
        </w:rPr>
        <w:t>4</w:t>
      </w:r>
      <w:r w:rsidRPr="00282AC9">
        <w:rPr>
          <w:rFonts w:cs="DanaFajr"/>
          <w:szCs w:val="28"/>
          <w:rtl/>
          <w:lang w:bidi="fa-IR"/>
        </w:rPr>
        <w:t xml:space="preserve">1، مكتبه الهلال، بيروت، ط1، 1988م. </w:t>
      </w:r>
    </w:p>
  </w:endnote>
  <w:endnote w:id="547">
    <w:p w:rsidR="00C14EDE" w:rsidRPr="00282AC9" w:rsidRDefault="00C14EDE" w:rsidP="00446290">
      <w:pPr>
        <w:spacing w:line="288" w:lineRule="exact"/>
        <w:ind w:firstLine="0"/>
        <w:rPr>
          <w:rFonts w:cs="DanaFajr"/>
          <w:szCs w:val="28"/>
          <w:rtl/>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hint="cs"/>
          <w:szCs w:val="28"/>
          <w:rtl/>
        </w:rPr>
        <w:t xml:space="preserve"> </w:t>
      </w:r>
      <w:r w:rsidRPr="00282AC9">
        <w:rPr>
          <w:rFonts w:cs="DanaFajr"/>
          <w:szCs w:val="28"/>
          <w:rtl/>
        </w:rPr>
        <w:t>ابن أعثم</w:t>
      </w:r>
      <w:r w:rsidRPr="00282AC9">
        <w:rPr>
          <w:rFonts w:cs="DanaFajr" w:hint="cs"/>
          <w:szCs w:val="28"/>
          <w:rtl/>
        </w:rPr>
        <w:t xml:space="preserve">، </w:t>
      </w:r>
      <w:r w:rsidRPr="00282AC9">
        <w:rPr>
          <w:rFonts w:cs="DanaFajr"/>
          <w:szCs w:val="28"/>
          <w:rtl/>
          <w:lang w:bidi="fa-IR"/>
        </w:rPr>
        <w:t>الفتوح</w:t>
      </w:r>
      <w:r w:rsidRPr="00282AC9">
        <w:rPr>
          <w:rFonts w:cs="DanaFajr"/>
          <w:szCs w:val="28"/>
          <w:rtl/>
        </w:rPr>
        <w:t xml:space="preserve"> ‏2: 399، تحقيق</w:t>
      </w:r>
      <w:r w:rsidRPr="00282AC9">
        <w:rPr>
          <w:rFonts w:cs="DanaFajr" w:hint="cs"/>
          <w:szCs w:val="28"/>
          <w:rtl/>
        </w:rPr>
        <w:t>:</w:t>
      </w:r>
      <w:r w:rsidRPr="00282AC9">
        <w:rPr>
          <w:rFonts w:cs="DanaFajr"/>
          <w:szCs w:val="28"/>
          <w:rtl/>
        </w:rPr>
        <w:t xml:space="preserve"> على شير</w:t>
      </w:r>
      <w:r w:rsidRPr="00282AC9">
        <w:rPr>
          <w:rFonts w:cs="DanaFajr" w:hint="cs"/>
          <w:szCs w:val="28"/>
          <w:rtl/>
        </w:rPr>
        <w:t>ي</w:t>
      </w:r>
      <w:r w:rsidRPr="00282AC9">
        <w:rPr>
          <w:rFonts w:cs="DanaFajr"/>
          <w:szCs w:val="28"/>
          <w:rtl/>
        </w:rPr>
        <w:t>، دار</w:t>
      </w:r>
      <w:r w:rsidRPr="00282AC9">
        <w:rPr>
          <w:rFonts w:cs="DanaFajr" w:hint="cs"/>
          <w:szCs w:val="28"/>
          <w:rtl/>
        </w:rPr>
        <w:t xml:space="preserve"> </w:t>
      </w:r>
      <w:r w:rsidRPr="00282AC9">
        <w:rPr>
          <w:rFonts w:cs="DanaFajr"/>
          <w:szCs w:val="28"/>
          <w:rtl/>
        </w:rPr>
        <w:t xml:space="preserve">الأضواء، بيروت، ط1، </w:t>
      </w:r>
      <w:r w:rsidRPr="00282AC9">
        <w:rPr>
          <w:rFonts w:cs="DanaFajr" w:hint="cs"/>
          <w:szCs w:val="28"/>
          <w:rtl/>
        </w:rPr>
        <w:t>14</w:t>
      </w:r>
      <w:r w:rsidRPr="00282AC9">
        <w:rPr>
          <w:rFonts w:cs="DanaFajr"/>
          <w:szCs w:val="28"/>
          <w:rtl/>
        </w:rPr>
        <w:t>11</w:t>
      </w:r>
      <w:r w:rsidRPr="00282AC9">
        <w:rPr>
          <w:rFonts w:cs="DanaFajr" w:hint="cs"/>
          <w:szCs w:val="28"/>
          <w:rtl/>
        </w:rPr>
        <w:t>هـ</w:t>
      </w:r>
      <w:r w:rsidRPr="00282AC9">
        <w:rPr>
          <w:rFonts w:cs="DanaFajr"/>
          <w:szCs w:val="28"/>
          <w:rtl/>
        </w:rPr>
        <w:t>؛ وانظر: البلاذري</w:t>
      </w:r>
      <w:r w:rsidRPr="00282AC9">
        <w:rPr>
          <w:rFonts w:cs="DanaFajr" w:hint="cs"/>
          <w:szCs w:val="28"/>
          <w:rtl/>
        </w:rPr>
        <w:t>،</w:t>
      </w:r>
      <w:r w:rsidRPr="00282AC9">
        <w:rPr>
          <w:rFonts w:cs="DanaFajr"/>
          <w:szCs w:val="28"/>
          <w:rtl/>
        </w:rPr>
        <w:t xml:space="preserve"> أنساب ‏الأشراف ‏</w:t>
      </w:r>
      <w:r w:rsidRPr="00282AC9">
        <w:rPr>
          <w:rFonts w:cs="DanaFajr" w:hint="cs"/>
          <w:szCs w:val="28"/>
          <w:rtl/>
        </w:rPr>
        <w:t>6</w:t>
      </w:r>
      <w:r w:rsidRPr="00282AC9">
        <w:rPr>
          <w:rFonts w:cs="DanaFajr"/>
          <w:szCs w:val="28"/>
          <w:rtl/>
        </w:rPr>
        <w:t>: 1</w:t>
      </w:r>
      <w:r w:rsidRPr="00282AC9">
        <w:rPr>
          <w:rFonts w:cs="DanaFajr" w:hint="cs"/>
          <w:szCs w:val="28"/>
          <w:rtl/>
        </w:rPr>
        <w:t>5</w:t>
      </w:r>
      <w:r w:rsidRPr="00282AC9">
        <w:rPr>
          <w:rFonts w:cs="DanaFajr"/>
          <w:szCs w:val="28"/>
          <w:rtl/>
        </w:rPr>
        <w:t>8، تحقيق</w:t>
      </w:r>
      <w:r w:rsidRPr="00282AC9">
        <w:rPr>
          <w:rFonts w:cs="DanaFajr" w:hint="cs"/>
          <w:szCs w:val="28"/>
          <w:rtl/>
        </w:rPr>
        <w:t>:</w:t>
      </w:r>
      <w:r w:rsidRPr="00282AC9">
        <w:rPr>
          <w:rFonts w:cs="DanaFajr"/>
          <w:szCs w:val="28"/>
          <w:rtl/>
        </w:rPr>
        <w:t xml:space="preserve"> سهيل زك</w:t>
      </w:r>
      <w:r w:rsidRPr="00282AC9">
        <w:rPr>
          <w:rFonts w:cs="DanaFajr" w:hint="cs"/>
          <w:szCs w:val="28"/>
          <w:rtl/>
        </w:rPr>
        <w:t>ّ</w:t>
      </w:r>
      <w:r w:rsidRPr="00282AC9">
        <w:rPr>
          <w:rFonts w:cs="DanaFajr"/>
          <w:szCs w:val="28"/>
          <w:rtl/>
        </w:rPr>
        <w:t xml:space="preserve">ار </w:t>
      </w:r>
      <w:r w:rsidRPr="00282AC9">
        <w:rPr>
          <w:rFonts w:cs="DanaFajr" w:hint="cs"/>
          <w:szCs w:val="28"/>
          <w:rtl/>
        </w:rPr>
        <w:t>و</w:t>
      </w:r>
      <w:r w:rsidRPr="00282AC9">
        <w:rPr>
          <w:rFonts w:cs="DanaFajr"/>
          <w:szCs w:val="28"/>
          <w:rtl/>
        </w:rPr>
        <w:t>رياض الزركلي، دار الفكر، بيروت، ط1، 1</w:t>
      </w:r>
      <w:r w:rsidRPr="00282AC9">
        <w:rPr>
          <w:rFonts w:cs="DanaFajr" w:hint="cs"/>
          <w:szCs w:val="28"/>
          <w:rtl/>
        </w:rPr>
        <w:t>4</w:t>
      </w:r>
      <w:r w:rsidRPr="00282AC9">
        <w:rPr>
          <w:rFonts w:cs="DanaFajr"/>
          <w:szCs w:val="28"/>
          <w:rtl/>
        </w:rPr>
        <w:t>17هـ.</w:t>
      </w:r>
    </w:p>
  </w:endnote>
  <w:endnote w:id="548">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eastAsiaTheme="minorHAnsi" w:hAnsi="Noor_Mitra" w:cs="DanaFajr" w:hint="cs"/>
          <w:sz w:val="28"/>
          <w:szCs w:val="28"/>
          <w:rtl/>
        </w:rPr>
        <w:t xml:space="preserve"> </w:t>
      </w:r>
      <w:r w:rsidRPr="00282AC9">
        <w:rPr>
          <w:rFonts w:ascii="Noor_Mitra" w:eastAsiaTheme="minorHAnsi" w:hAnsi="Noor_Mitra" w:cs="DanaFajr"/>
          <w:sz w:val="28"/>
          <w:szCs w:val="28"/>
          <w:rtl/>
        </w:rPr>
        <w:t>ابن أعثم</w:t>
      </w:r>
      <w:r w:rsidRPr="00282AC9">
        <w:rPr>
          <w:rFonts w:ascii="Noor_Mitra" w:eastAsiaTheme="minorHAnsi" w:hAnsi="Noor_Mitra" w:cs="DanaFajr" w:hint="cs"/>
          <w:sz w:val="28"/>
          <w:szCs w:val="28"/>
          <w:rtl/>
        </w:rPr>
        <w:t>،</w:t>
      </w:r>
      <w:r w:rsidRPr="00282AC9">
        <w:rPr>
          <w:rFonts w:ascii="Noor_Mitra" w:eastAsiaTheme="minorHAnsi" w:hAnsi="Noor_Mitra" w:cs="DanaFajr"/>
          <w:sz w:val="28"/>
          <w:szCs w:val="28"/>
          <w:rtl/>
        </w:rPr>
        <w:t xml:space="preserve"> الفتوح ‏2: 39</w:t>
      </w:r>
      <w:r w:rsidRPr="00282AC9">
        <w:rPr>
          <w:rFonts w:ascii="Noor_Mitra" w:hAnsi="Noor_Mitra" w:cs="DanaFajr" w:hint="cs"/>
          <w:sz w:val="28"/>
          <w:szCs w:val="28"/>
          <w:rtl/>
        </w:rPr>
        <w:t>4.</w:t>
      </w:r>
    </w:p>
  </w:endnote>
  <w:endnote w:id="549">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 xml:space="preserve">صحيح مسلم 8: 218؛ مسند أحمد بن حنبل </w:t>
      </w:r>
      <w:r w:rsidRPr="00282AC9">
        <w:rPr>
          <w:rFonts w:ascii="Noor_Mitra" w:hAnsi="Noor_Mitra" w:cs="DanaFajr" w:hint="cs"/>
          <w:sz w:val="28"/>
          <w:szCs w:val="28"/>
          <w:rtl/>
        </w:rPr>
        <w:t>4</w:t>
      </w:r>
      <w:r w:rsidRPr="00282AC9">
        <w:rPr>
          <w:rFonts w:ascii="Noor_Mitra" w:hAnsi="Noor_Mitra" w:cs="DanaFajr"/>
          <w:sz w:val="28"/>
          <w:szCs w:val="28"/>
          <w:rtl/>
        </w:rPr>
        <w:t xml:space="preserve">: </w:t>
      </w:r>
      <w:r w:rsidRPr="00282AC9">
        <w:rPr>
          <w:rFonts w:ascii="Noor_Mitra" w:hAnsi="Noor_Mitra" w:cs="DanaFajr" w:hint="cs"/>
          <w:sz w:val="28"/>
          <w:szCs w:val="28"/>
          <w:rtl/>
        </w:rPr>
        <w:t>54</w:t>
      </w:r>
      <w:r w:rsidRPr="00282AC9">
        <w:rPr>
          <w:rFonts w:ascii="Noor_Mitra" w:hAnsi="Noor_Mitra" w:cs="DanaFajr"/>
          <w:sz w:val="28"/>
          <w:szCs w:val="28"/>
          <w:rtl/>
        </w:rPr>
        <w:t>1</w:t>
      </w:r>
      <w:r w:rsidRPr="00282AC9">
        <w:rPr>
          <w:rFonts w:ascii="Noor_Mitra" w:hAnsi="Noor_Mitra" w:cs="DanaFajr" w:hint="cs"/>
          <w:sz w:val="28"/>
          <w:szCs w:val="28"/>
          <w:rtl/>
        </w:rPr>
        <w:t>.</w:t>
      </w:r>
    </w:p>
  </w:endnote>
  <w:endnote w:id="550">
    <w:p w:rsidR="00C14EDE" w:rsidRPr="00282AC9" w:rsidRDefault="00C14EDE" w:rsidP="00446290">
      <w:pPr>
        <w:spacing w:line="288" w:lineRule="exact"/>
        <w:ind w:firstLine="0"/>
        <w:rPr>
          <w:rFonts w:cs="DanaFajr"/>
          <w:szCs w:val="28"/>
          <w:rtl/>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hint="cs"/>
          <w:szCs w:val="28"/>
          <w:rtl/>
        </w:rPr>
        <w:t xml:space="preserve"> </w:t>
      </w:r>
      <w:r w:rsidRPr="00282AC9">
        <w:rPr>
          <w:rFonts w:cs="DanaFajr"/>
          <w:szCs w:val="28"/>
          <w:rtl/>
        </w:rPr>
        <w:t>ابن أبي شيبة</w:t>
      </w:r>
      <w:r w:rsidRPr="00282AC9">
        <w:rPr>
          <w:rFonts w:cs="DanaFajr" w:hint="cs"/>
          <w:szCs w:val="28"/>
          <w:rtl/>
        </w:rPr>
        <w:t>،</w:t>
      </w:r>
      <w:r w:rsidRPr="00282AC9">
        <w:rPr>
          <w:rFonts w:cs="DanaFajr"/>
          <w:szCs w:val="28"/>
          <w:rtl/>
        </w:rPr>
        <w:t xml:space="preserve"> </w:t>
      </w:r>
      <w:r w:rsidRPr="00282AC9">
        <w:rPr>
          <w:rFonts w:cs="DanaFajr" w:hint="cs"/>
          <w:szCs w:val="28"/>
          <w:rtl/>
        </w:rPr>
        <w:t>ال</w:t>
      </w:r>
      <w:r w:rsidRPr="00282AC9">
        <w:rPr>
          <w:rFonts w:cs="DanaFajr"/>
          <w:szCs w:val="28"/>
          <w:rtl/>
        </w:rPr>
        <w:t>مصن</w:t>
      </w:r>
      <w:r w:rsidRPr="00282AC9">
        <w:rPr>
          <w:rFonts w:cs="DanaFajr" w:hint="cs"/>
          <w:szCs w:val="28"/>
          <w:rtl/>
        </w:rPr>
        <w:t>َّ</w:t>
      </w:r>
      <w:r w:rsidRPr="00282AC9">
        <w:rPr>
          <w:rFonts w:cs="DanaFajr"/>
          <w:szCs w:val="28"/>
          <w:rtl/>
        </w:rPr>
        <w:t>ف 8: 177</w:t>
      </w:r>
      <w:r w:rsidRPr="00282AC9">
        <w:rPr>
          <w:rFonts w:cs="DanaFajr" w:hint="cs"/>
          <w:szCs w:val="28"/>
          <w:rtl/>
        </w:rPr>
        <w:t>.</w:t>
      </w:r>
    </w:p>
  </w:endnote>
  <w:endnote w:id="551">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النيسابوري</w:t>
      </w:r>
      <w:r w:rsidRPr="00282AC9">
        <w:rPr>
          <w:rFonts w:ascii="Noor_Mitra" w:hAnsi="Noor_Mitra" w:cs="DanaFajr" w:hint="cs"/>
          <w:sz w:val="28"/>
          <w:szCs w:val="28"/>
          <w:rtl/>
        </w:rPr>
        <w:t>،</w:t>
      </w:r>
      <w:r w:rsidRPr="00282AC9">
        <w:rPr>
          <w:rFonts w:ascii="Noor_Mitra" w:hAnsi="Noor_Mitra" w:cs="DanaFajr"/>
          <w:sz w:val="28"/>
          <w:szCs w:val="28"/>
          <w:rtl/>
          <w:lang w:bidi="fa-IR"/>
        </w:rPr>
        <w:t xml:space="preserve"> ال</w:t>
      </w:r>
      <w:r w:rsidRPr="00282AC9">
        <w:rPr>
          <w:rFonts w:ascii="Noor_Mitra" w:hAnsi="Noor_Mitra" w:cs="DanaFajr"/>
          <w:sz w:val="28"/>
          <w:szCs w:val="28"/>
          <w:rtl/>
        </w:rPr>
        <w:t xml:space="preserve">مستدرك على الصحيحين </w:t>
      </w:r>
      <w:r w:rsidRPr="00282AC9">
        <w:rPr>
          <w:rFonts w:ascii="Noor_Mitra" w:hAnsi="Noor_Mitra" w:cs="DanaFajr" w:hint="cs"/>
          <w:sz w:val="28"/>
          <w:szCs w:val="28"/>
          <w:rtl/>
        </w:rPr>
        <w:t>4</w:t>
      </w:r>
      <w:r w:rsidRPr="00282AC9">
        <w:rPr>
          <w:rFonts w:ascii="Noor_Mitra" w:hAnsi="Noor_Mitra" w:cs="DanaFajr"/>
          <w:sz w:val="28"/>
          <w:szCs w:val="28"/>
          <w:rtl/>
        </w:rPr>
        <w:t xml:space="preserve">: </w:t>
      </w:r>
      <w:r w:rsidRPr="00282AC9">
        <w:rPr>
          <w:rFonts w:ascii="Noor_Mitra" w:hAnsi="Noor_Mitra" w:cs="DanaFajr" w:hint="cs"/>
          <w:sz w:val="28"/>
          <w:szCs w:val="28"/>
          <w:rtl/>
        </w:rPr>
        <w:t>4</w:t>
      </w:r>
      <w:r w:rsidRPr="00282AC9">
        <w:rPr>
          <w:rFonts w:ascii="Noor_Mitra" w:hAnsi="Noor_Mitra" w:cs="DanaFajr"/>
          <w:sz w:val="28"/>
          <w:szCs w:val="28"/>
          <w:rtl/>
        </w:rPr>
        <w:t>7</w:t>
      </w:r>
      <w:r w:rsidRPr="00282AC9">
        <w:rPr>
          <w:rFonts w:ascii="Noor_Mitra" w:hAnsi="Noor_Mitra" w:cs="DanaFajr" w:hint="cs"/>
          <w:sz w:val="28"/>
          <w:szCs w:val="28"/>
          <w:rtl/>
        </w:rPr>
        <w:t>5.</w:t>
      </w:r>
    </w:p>
  </w:endnote>
  <w:endnote w:id="552">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الزمخشري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ربيع الأبرار ‏3: 2</w:t>
      </w:r>
      <w:r w:rsidRPr="00282AC9">
        <w:rPr>
          <w:rFonts w:ascii="Noor_Mitra" w:hAnsi="Noor_Mitra" w:cs="DanaFajr" w:hint="cs"/>
          <w:sz w:val="28"/>
          <w:szCs w:val="28"/>
          <w:rtl/>
        </w:rPr>
        <w:t>5</w:t>
      </w:r>
      <w:r w:rsidRPr="00282AC9">
        <w:rPr>
          <w:rFonts w:ascii="Noor_Mitra" w:hAnsi="Noor_Mitra" w:cs="DanaFajr"/>
          <w:sz w:val="28"/>
          <w:szCs w:val="28"/>
          <w:rtl/>
          <w:lang w:bidi="fa-IR"/>
        </w:rPr>
        <w:t>7،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عبد الأمير مهن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ا، مؤس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سة الأعلمي، بيروت، ط1، 1</w:t>
      </w:r>
      <w:r w:rsidRPr="00282AC9">
        <w:rPr>
          <w:rFonts w:ascii="Noor_Mitra" w:hAnsi="Noor_Mitra" w:cs="DanaFajr" w:hint="cs"/>
          <w:sz w:val="28"/>
          <w:szCs w:val="28"/>
          <w:rtl/>
        </w:rPr>
        <w:t>4</w:t>
      </w:r>
      <w:r w:rsidRPr="00282AC9">
        <w:rPr>
          <w:rFonts w:ascii="Noor_Mitra" w:hAnsi="Noor_Mitra" w:cs="DanaFajr"/>
          <w:sz w:val="28"/>
          <w:szCs w:val="28"/>
          <w:rtl/>
          <w:lang w:bidi="fa-IR"/>
        </w:rPr>
        <w:t>12هـ.</w:t>
      </w:r>
    </w:p>
  </w:endnote>
  <w:endnote w:id="553">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إنه أدرك عصر النبي</w:t>
      </w:r>
      <w:r w:rsidRPr="00282AC9">
        <w:rPr>
          <w:rFonts w:ascii="Noor_Mitra" w:hAnsi="Noor_Mitra" w:cs="DanaFajr" w:hint="cs"/>
          <w:sz w:val="28"/>
          <w:szCs w:val="28"/>
          <w:rtl/>
        </w:rPr>
        <w:t>ّ</w:t>
      </w:r>
      <w:r w:rsidRPr="00282AC9">
        <w:rPr>
          <w:rFonts w:cs="Mosawi" w:hint="cs"/>
          <w:sz w:val="20"/>
          <w:szCs w:val="20"/>
          <w:rtl/>
        </w:rPr>
        <w:t>|</w:t>
      </w:r>
      <w:r w:rsidRPr="00282AC9">
        <w:rPr>
          <w:rFonts w:ascii="Noor_Mitra" w:hAnsi="Noor_Mitra" w:cs="DanaFajr" w:hint="cs"/>
          <w:sz w:val="28"/>
          <w:szCs w:val="28"/>
          <w:rtl/>
        </w:rPr>
        <w:t>،</w:t>
      </w:r>
      <w:r w:rsidRPr="00282AC9">
        <w:rPr>
          <w:rFonts w:ascii="Noor_Mitra" w:hAnsi="Noor_Mitra" w:cs="DanaFajr"/>
          <w:sz w:val="28"/>
          <w:szCs w:val="28"/>
          <w:rtl/>
        </w:rPr>
        <w:t xml:space="preserve"> لكنه لم يل</w:t>
      </w:r>
      <w:r w:rsidRPr="00282AC9">
        <w:rPr>
          <w:rFonts w:ascii="Noor_Mitra" w:hAnsi="Noor_Mitra" w:cs="DanaFajr" w:hint="cs"/>
          <w:sz w:val="28"/>
          <w:szCs w:val="28"/>
          <w:rtl/>
        </w:rPr>
        <w:t>ْ</w:t>
      </w:r>
      <w:r w:rsidRPr="00282AC9">
        <w:rPr>
          <w:rFonts w:ascii="Noor_Mitra" w:hAnsi="Noor_Mitra" w:cs="DanaFajr"/>
          <w:sz w:val="28"/>
          <w:szCs w:val="28"/>
          <w:rtl/>
        </w:rPr>
        <w:t>ت</w:t>
      </w:r>
      <w:r w:rsidRPr="00282AC9">
        <w:rPr>
          <w:rFonts w:ascii="Noor_Mitra" w:hAnsi="Noor_Mitra" w:cs="DanaFajr" w:hint="cs"/>
          <w:sz w:val="28"/>
          <w:szCs w:val="28"/>
          <w:rtl/>
        </w:rPr>
        <w:t>َ</w:t>
      </w:r>
      <w:r w:rsidRPr="00282AC9">
        <w:rPr>
          <w:rFonts w:ascii="Noor_Mitra" w:hAnsi="Noor_Mitra" w:cs="DanaFajr"/>
          <w:sz w:val="28"/>
          <w:szCs w:val="28"/>
          <w:rtl/>
        </w:rPr>
        <w:t>ق</w:t>
      </w:r>
      <w:r w:rsidRPr="00282AC9">
        <w:rPr>
          <w:rFonts w:ascii="Noor_Mitra" w:hAnsi="Noor_Mitra" w:cs="DanaFajr" w:hint="cs"/>
          <w:sz w:val="28"/>
          <w:szCs w:val="28"/>
          <w:rtl/>
        </w:rPr>
        <w:t>ِ</w:t>
      </w:r>
      <w:r w:rsidRPr="00282AC9">
        <w:rPr>
          <w:rFonts w:ascii="Noor_Mitra" w:hAnsi="Noor_Mitra" w:cs="DanaFajr"/>
          <w:sz w:val="28"/>
          <w:szCs w:val="28"/>
          <w:rtl/>
        </w:rPr>
        <w:t xml:space="preserve"> به.</w:t>
      </w:r>
    </w:p>
  </w:endnote>
  <w:endnote w:id="554">
    <w:p w:rsidR="00C14EDE" w:rsidRPr="00282AC9" w:rsidRDefault="00C14EDE" w:rsidP="00446290">
      <w:pPr>
        <w:spacing w:line="288" w:lineRule="exact"/>
        <w:ind w:firstLine="0"/>
        <w:rPr>
          <w:rFonts w:cs="DanaFajr"/>
          <w:szCs w:val="28"/>
          <w:rtl/>
          <w:lang w:bidi="fa-IR"/>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szCs w:val="28"/>
        </w:rPr>
        <w:t xml:space="preserve"> </w:t>
      </w:r>
      <w:r w:rsidRPr="00282AC9">
        <w:rPr>
          <w:rFonts w:cs="DanaFajr"/>
          <w:szCs w:val="28"/>
          <w:rtl/>
          <w:lang w:bidi="fa-IR"/>
        </w:rPr>
        <w:t>تاريخ مدينة دمشق ‏2</w:t>
      </w:r>
      <w:r w:rsidRPr="00282AC9">
        <w:rPr>
          <w:rFonts w:cs="DanaFajr" w:hint="cs"/>
          <w:szCs w:val="28"/>
          <w:rtl/>
        </w:rPr>
        <w:t>4</w:t>
      </w:r>
      <w:r w:rsidRPr="00282AC9">
        <w:rPr>
          <w:rFonts w:cs="DanaFajr"/>
          <w:szCs w:val="28"/>
          <w:rtl/>
          <w:lang w:bidi="fa-IR"/>
        </w:rPr>
        <w:t>: 333؛ ابن عديم</w:t>
      </w:r>
      <w:r w:rsidRPr="00282AC9">
        <w:rPr>
          <w:rFonts w:cs="DanaFajr" w:hint="cs"/>
          <w:szCs w:val="28"/>
          <w:rtl/>
          <w:lang w:bidi="fa-IR"/>
        </w:rPr>
        <w:t>،</w:t>
      </w:r>
      <w:r w:rsidRPr="00282AC9">
        <w:rPr>
          <w:rFonts w:cs="DanaFajr"/>
          <w:szCs w:val="28"/>
          <w:rtl/>
          <w:lang w:bidi="fa-IR"/>
        </w:rPr>
        <w:t xml:space="preserve"> بغية </w:t>
      </w:r>
      <w:r w:rsidRPr="00282AC9">
        <w:rPr>
          <w:rFonts w:cs="DanaFajr"/>
          <w:szCs w:val="28"/>
          <w:rtl/>
        </w:rPr>
        <w:t>الطلب</w:t>
      </w:r>
      <w:r w:rsidRPr="00282AC9">
        <w:rPr>
          <w:rFonts w:cs="DanaFajr"/>
          <w:szCs w:val="28"/>
          <w:rtl/>
          <w:lang w:bidi="fa-IR"/>
        </w:rPr>
        <w:t xml:space="preserve"> ف</w:t>
      </w:r>
      <w:r w:rsidRPr="00282AC9">
        <w:rPr>
          <w:rFonts w:cs="DanaFajr" w:hint="cs"/>
          <w:szCs w:val="28"/>
          <w:rtl/>
          <w:lang w:bidi="fa-IR"/>
        </w:rPr>
        <w:t>ي</w:t>
      </w:r>
      <w:r w:rsidRPr="00282AC9">
        <w:rPr>
          <w:rFonts w:cs="DanaFajr"/>
          <w:szCs w:val="28"/>
          <w:rtl/>
          <w:lang w:bidi="fa-IR"/>
        </w:rPr>
        <w:t xml:space="preserve"> تاريخ حلب</w:t>
      </w:r>
      <w:r w:rsidRPr="00282AC9">
        <w:rPr>
          <w:rFonts w:cs="DanaFajr" w:hint="cs"/>
          <w:szCs w:val="28"/>
          <w:rtl/>
          <w:lang w:bidi="fa-IR"/>
        </w:rPr>
        <w:t xml:space="preserve"> </w:t>
      </w:r>
      <w:r w:rsidRPr="00282AC9">
        <w:rPr>
          <w:rFonts w:cs="DanaFajr"/>
          <w:szCs w:val="28"/>
          <w:rtl/>
          <w:lang w:bidi="fa-IR"/>
        </w:rPr>
        <w:t>‏3: 131</w:t>
      </w:r>
      <w:r w:rsidRPr="00282AC9">
        <w:rPr>
          <w:rFonts w:cs="DanaFajr" w:hint="cs"/>
          <w:szCs w:val="28"/>
          <w:rtl/>
        </w:rPr>
        <w:t>6</w:t>
      </w:r>
      <w:r w:rsidRPr="00282AC9">
        <w:rPr>
          <w:rFonts w:cs="DanaFajr"/>
          <w:szCs w:val="28"/>
          <w:rtl/>
          <w:lang w:bidi="fa-IR"/>
        </w:rPr>
        <w:t>، دار الفكر، بيروت، ط1.</w:t>
      </w:r>
    </w:p>
  </w:endnote>
  <w:endnote w:id="555">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حت</w:t>
      </w:r>
      <w:r w:rsidRPr="00282AC9">
        <w:rPr>
          <w:rFonts w:ascii="Noor_Mitra" w:hAnsi="Noor_Mitra" w:cs="DanaFajr" w:hint="cs"/>
          <w:sz w:val="28"/>
          <w:szCs w:val="28"/>
          <w:rtl/>
        </w:rPr>
        <w:t>ّ</w:t>
      </w:r>
      <w:r w:rsidRPr="00282AC9">
        <w:rPr>
          <w:rFonts w:ascii="Noor_Mitra" w:hAnsi="Noor_Mitra" w:cs="DanaFajr"/>
          <w:sz w:val="28"/>
          <w:szCs w:val="28"/>
          <w:rtl/>
        </w:rPr>
        <w:t>ى في الأدعية</w:t>
      </w:r>
      <w:r w:rsidRPr="00282AC9">
        <w:rPr>
          <w:rFonts w:ascii="Noor_Mitra" w:hAnsi="Noor_Mitra" w:cs="DanaFajr" w:hint="cs"/>
          <w:sz w:val="28"/>
          <w:szCs w:val="28"/>
          <w:rtl/>
        </w:rPr>
        <w:t>؛</w:t>
      </w:r>
      <w:r w:rsidRPr="00282AC9">
        <w:rPr>
          <w:rFonts w:ascii="Noor_Mitra" w:hAnsi="Noor_Mitra" w:cs="DanaFajr"/>
          <w:sz w:val="28"/>
          <w:szCs w:val="28"/>
          <w:rtl/>
        </w:rPr>
        <w:t xml:space="preserve"> فإنها ر</w:t>
      </w:r>
      <w:r w:rsidRPr="00282AC9">
        <w:rPr>
          <w:rFonts w:ascii="Noor_Mitra" w:hAnsi="Noor_Mitra" w:cs="DanaFajr" w:hint="cs"/>
          <w:sz w:val="28"/>
          <w:szCs w:val="28"/>
          <w:rtl/>
        </w:rPr>
        <w:t>ُ</w:t>
      </w:r>
      <w:r w:rsidRPr="00282AC9">
        <w:rPr>
          <w:rFonts w:ascii="Noor_Mitra" w:hAnsi="Noor_Mitra" w:cs="DanaFajr"/>
          <w:sz w:val="28"/>
          <w:szCs w:val="28"/>
          <w:rtl/>
        </w:rPr>
        <w:t>ب</w:t>
      </w:r>
      <w:r w:rsidRPr="00282AC9">
        <w:rPr>
          <w:rFonts w:ascii="Noor_Mitra" w:hAnsi="Noor_Mitra" w:cs="DanaFajr" w:hint="cs"/>
          <w:sz w:val="28"/>
          <w:szCs w:val="28"/>
          <w:rtl/>
        </w:rPr>
        <w:t>َ</w:t>
      </w:r>
      <w:r w:rsidRPr="00282AC9">
        <w:rPr>
          <w:rFonts w:ascii="Noor_Mitra" w:hAnsi="Noor_Mitra" w:cs="DanaFajr"/>
          <w:sz w:val="28"/>
          <w:szCs w:val="28"/>
          <w:rtl/>
        </w:rPr>
        <w:t>ما كانت تعليمي</w:t>
      </w:r>
      <w:r w:rsidRPr="00282AC9">
        <w:rPr>
          <w:rFonts w:ascii="Noor_Mitra" w:hAnsi="Noor_Mitra" w:cs="DanaFajr" w:hint="cs"/>
          <w:sz w:val="28"/>
          <w:szCs w:val="28"/>
          <w:rtl/>
        </w:rPr>
        <w:t>ّ</w:t>
      </w:r>
      <w:r w:rsidRPr="00282AC9">
        <w:rPr>
          <w:rFonts w:ascii="Noor_Mitra" w:hAnsi="Noor_Mitra" w:cs="DanaFajr"/>
          <w:sz w:val="28"/>
          <w:szCs w:val="28"/>
          <w:rtl/>
        </w:rPr>
        <w:t>ة</w:t>
      </w:r>
      <w:r w:rsidRPr="00282AC9">
        <w:rPr>
          <w:rFonts w:ascii="Noor_Mitra" w:hAnsi="Noor_Mitra" w:cs="DanaFajr" w:hint="cs"/>
          <w:sz w:val="28"/>
          <w:szCs w:val="28"/>
          <w:rtl/>
        </w:rPr>
        <w:t>ً،</w:t>
      </w:r>
      <w:r w:rsidRPr="00282AC9">
        <w:rPr>
          <w:rFonts w:ascii="Noor_Mitra" w:hAnsi="Noor_Mitra" w:cs="DanaFajr"/>
          <w:sz w:val="28"/>
          <w:szCs w:val="28"/>
          <w:rtl/>
        </w:rPr>
        <w:t xml:space="preserve"> كما ه</w:t>
      </w:r>
      <w:r w:rsidRPr="00282AC9">
        <w:rPr>
          <w:rFonts w:ascii="Noor_Mitra" w:hAnsi="Noor_Mitra" w:cs="DanaFajr" w:hint="cs"/>
          <w:sz w:val="28"/>
          <w:szCs w:val="28"/>
          <w:rtl/>
        </w:rPr>
        <w:t>ي</w:t>
      </w:r>
      <w:r w:rsidRPr="00282AC9">
        <w:rPr>
          <w:rFonts w:ascii="Noor_Mitra" w:hAnsi="Noor_Mitra" w:cs="DanaFajr"/>
          <w:sz w:val="28"/>
          <w:szCs w:val="28"/>
          <w:rtl/>
        </w:rPr>
        <w:t xml:space="preserve"> رؤية بعض العلماء</w:t>
      </w:r>
      <w:r w:rsidRPr="00282AC9">
        <w:rPr>
          <w:rFonts w:ascii="Noor_Mitra" w:hAnsi="Noor_Mitra" w:cs="DanaFajr" w:hint="cs"/>
          <w:sz w:val="28"/>
          <w:szCs w:val="28"/>
          <w:rtl/>
        </w:rPr>
        <w:t>،</w:t>
      </w:r>
      <w:r w:rsidRPr="00282AC9">
        <w:rPr>
          <w:rFonts w:ascii="Noor_Mitra" w:hAnsi="Noor_Mitra" w:cs="DanaFajr"/>
          <w:sz w:val="28"/>
          <w:szCs w:val="28"/>
          <w:rtl/>
        </w:rPr>
        <w:t xml:space="preserve"> بصرف النظر عن صحّتها</w:t>
      </w:r>
      <w:r w:rsidRPr="00282AC9">
        <w:rPr>
          <w:rFonts w:ascii="Noor_Mitra" w:hAnsi="Noor_Mitra" w:cs="DanaFajr" w:hint="cs"/>
          <w:sz w:val="28"/>
          <w:szCs w:val="28"/>
          <w:rtl/>
        </w:rPr>
        <w:t>.</w:t>
      </w:r>
      <w:r w:rsidRPr="00282AC9">
        <w:rPr>
          <w:rFonts w:ascii="Noor_Mitra" w:hAnsi="Noor_Mitra" w:cs="DanaFajr"/>
          <w:sz w:val="28"/>
          <w:szCs w:val="28"/>
          <w:rtl/>
        </w:rPr>
        <w:t xml:space="preserve"> وعليه ر</w:t>
      </w:r>
      <w:r w:rsidRPr="00282AC9">
        <w:rPr>
          <w:rFonts w:ascii="Noor_Mitra" w:hAnsi="Noor_Mitra" w:cs="DanaFajr" w:hint="cs"/>
          <w:sz w:val="28"/>
          <w:szCs w:val="28"/>
          <w:rtl/>
        </w:rPr>
        <w:t>ُ</w:t>
      </w:r>
      <w:r w:rsidRPr="00282AC9">
        <w:rPr>
          <w:rFonts w:ascii="Noor_Mitra" w:hAnsi="Noor_Mitra" w:cs="DanaFajr"/>
          <w:sz w:val="28"/>
          <w:szCs w:val="28"/>
          <w:rtl/>
        </w:rPr>
        <w:t>ب</w:t>
      </w:r>
      <w:r w:rsidRPr="00282AC9">
        <w:rPr>
          <w:rFonts w:ascii="Noor_Mitra" w:hAnsi="Noor_Mitra" w:cs="DanaFajr" w:hint="cs"/>
          <w:sz w:val="28"/>
          <w:szCs w:val="28"/>
          <w:rtl/>
        </w:rPr>
        <w:t>َ</w:t>
      </w:r>
      <w:r w:rsidRPr="00282AC9">
        <w:rPr>
          <w:rFonts w:ascii="Noor_Mitra" w:hAnsi="Noor_Mitra" w:cs="DanaFajr"/>
          <w:sz w:val="28"/>
          <w:szCs w:val="28"/>
          <w:rtl/>
        </w:rPr>
        <w:t>ما يضطر</w:t>
      </w:r>
      <w:r w:rsidRPr="00282AC9">
        <w:rPr>
          <w:rFonts w:ascii="Noor_Mitra" w:hAnsi="Noor_Mitra" w:cs="DanaFajr" w:hint="cs"/>
          <w:sz w:val="28"/>
          <w:szCs w:val="28"/>
          <w:rtl/>
        </w:rPr>
        <w:t>ّ</w:t>
      </w:r>
      <w:r w:rsidRPr="00282AC9">
        <w:rPr>
          <w:rFonts w:ascii="Noor_Mitra" w:hAnsi="Noor_Mitra" w:cs="DanaFajr"/>
          <w:sz w:val="28"/>
          <w:szCs w:val="28"/>
          <w:rtl/>
        </w:rPr>
        <w:t xml:space="preserve"> الإمام أن يتكل</w:t>
      </w:r>
      <w:r w:rsidRPr="00282AC9">
        <w:rPr>
          <w:rFonts w:ascii="Noor_Mitra" w:hAnsi="Noor_Mitra" w:cs="DanaFajr" w:hint="cs"/>
          <w:sz w:val="28"/>
          <w:szCs w:val="28"/>
          <w:rtl/>
        </w:rPr>
        <w:t>َّ</w:t>
      </w:r>
      <w:r w:rsidRPr="00282AC9">
        <w:rPr>
          <w:rFonts w:ascii="Noor_Mitra" w:hAnsi="Noor_Mitra" w:cs="DanaFajr"/>
          <w:sz w:val="28"/>
          <w:szCs w:val="28"/>
          <w:rtl/>
        </w:rPr>
        <w:t>م وفق المخاط</w:t>
      </w:r>
      <w:r w:rsidRPr="00282AC9">
        <w:rPr>
          <w:rFonts w:ascii="Noor_Mitra" w:hAnsi="Noor_Mitra" w:cs="DanaFajr" w:hint="cs"/>
          <w:sz w:val="28"/>
          <w:szCs w:val="28"/>
          <w:rtl/>
        </w:rPr>
        <w:t>َ</w:t>
      </w:r>
      <w:r w:rsidRPr="00282AC9">
        <w:rPr>
          <w:rFonts w:ascii="Noor_Mitra" w:hAnsi="Noor_Mitra" w:cs="DanaFajr"/>
          <w:sz w:val="28"/>
          <w:szCs w:val="28"/>
          <w:rtl/>
        </w:rPr>
        <w:t>بين</w:t>
      </w:r>
      <w:r w:rsidRPr="00282AC9">
        <w:rPr>
          <w:rFonts w:ascii="Noor_Mitra" w:hAnsi="Noor_Mitra" w:cs="DanaFajr" w:hint="cs"/>
          <w:sz w:val="28"/>
          <w:szCs w:val="28"/>
          <w:rtl/>
        </w:rPr>
        <w:t>.</w:t>
      </w:r>
      <w:r w:rsidRPr="00282AC9">
        <w:rPr>
          <w:rFonts w:ascii="Noor_Mitra" w:hAnsi="Noor_Mitra" w:cs="DanaFajr"/>
          <w:sz w:val="28"/>
          <w:szCs w:val="28"/>
          <w:rtl/>
        </w:rPr>
        <w:t xml:space="preserve"> لكن</w:t>
      </w:r>
      <w:r w:rsidRPr="00282AC9">
        <w:rPr>
          <w:rFonts w:ascii="Noor_Mitra" w:hAnsi="Noor_Mitra" w:cs="DanaFajr" w:hint="cs"/>
          <w:sz w:val="28"/>
          <w:szCs w:val="28"/>
          <w:rtl/>
        </w:rPr>
        <w:t>ْ</w:t>
      </w:r>
      <w:r w:rsidRPr="00282AC9">
        <w:rPr>
          <w:rFonts w:ascii="Noor_Mitra" w:hAnsi="Noor_Mitra" w:cs="DanaFajr"/>
          <w:sz w:val="28"/>
          <w:szCs w:val="28"/>
          <w:rtl/>
        </w:rPr>
        <w:t xml:space="preserve"> يشكل عليه أن الصحيفة السج</w:t>
      </w:r>
      <w:r w:rsidRPr="00282AC9">
        <w:rPr>
          <w:rFonts w:ascii="Noor_Mitra" w:hAnsi="Noor_Mitra" w:cs="DanaFajr" w:hint="cs"/>
          <w:sz w:val="28"/>
          <w:szCs w:val="28"/>
          <w:rtl/>
        </w:rPr>
        <w:t>ّ</w:t>
      </w:r>
      <w:r w:rsidRPr="00282AC9">
        <w:rPr>
          <w:rFonts w:ascii="Noor_Mitra" w:hAnsi="Noor_Mitra" w:cs="DanaFajr"/>
          <w:sz w:val="28"/>
          <w:szCs w:val="28"/>
          <w:rtl/>
        </w:rPr>
        <w:t>ادية كانت إملاء الإمام السج</w:t>
      </w:r>
      <w:r w:rsidRPr="00282AC9">
        <w:rPr>
          <w:rFonts w:ascii="Noor_Mitra" w:hAnsi="Noor_Mitra" w:cs="DanaFajr" w:hint="cs"/>
          <w:sz w:val="28"/>
          <w:szCs w:val="28"/>
          <w:rtl/>
        </w:rPr>
        <w:t>ّ</w:t>
      </w:r>
      <w:r w:rsidRPr="00282AC9">
        <w:rPr>
          <w:rFonts w:ascii="Noor_Mitra" w:hAnsi="Noor_Mitra" w:cs="DanaFajr"/>
          <w:sz w:val="28"/>
          <w:szCs w:val="28"/>
          <w:rtl/>
        </w:rPr>
        <w:t>اد</w:t>
      </w:r>
      <w:r w:rsidRPr="00282AC9">
        <w:rPr>
          <w:rFonts w:cs="Mosawi" w:hint="cs"/>
          <w:rtl/>
        </w:rPr>
        <w:t>×</w:t>
      </w:r>
      <w:r w:rsidRPr="00282AC9">
        <w:rPr>
          <w:rFonts w:ascii="Noor_Mitra" w:hAnsi="Noor_Mitra" w:cs="DanaFajr"/>
          <w:sz w:val="28"/>
          <w:szCs w:val="28"/>
          <w:rtl/>
        </w:rPr>
        <w:t xml:space="preserve"> على الإمام الباقر</w:t>
      </w:r>
      <w:r w:rsidRPr="00282AC9">
        <w:rPr>
          <w:rFonts w:cs="Mosawi" w:hint="cs"/>
          <w:rtl/>
        </w:rPr>
        <w:t>×</w:t>
      </w:r>
      <w:r w:rsidRPr="00282AC9">
        <w:rPr>
          <w:rFonts w:ascii="Noor_Mitra" w:hAnsi="Noor_Mitra" w:cs="DanaFajr" w:hint="cs"/>
          <w:sz w:val="28"/>
          <w:szCs w:val="28"/>
          <w:rtl/>
        </w:rPr>
        <w:t>،</w:t>
      </w:r>
      <w:r w:rsidRPr="00282AC9">
        <w:rPr>
          <w:rFonts w:ascii="Noor_Mitra" w:hAnsi="Noor_Mitra" w:cs="DanaFajr"/>
          <w:sz w:val="28"/>
          <w:szCs w:val="28"/>
          <w:rtl/>
        </w:rPr>
        <w:t xml:space="preserve"> فمخاط</w:t>
      </w:r>
      <w:r w:rsidRPr="00282AC9">
        <w:rPr>
          <w:rFonts w:ascii="Noor_Mitra" w:hAnsi="Noor_Mitra" w:cs="DanaFajr" w:hint="cs"/>
          <w:sz w:val="28"/>
          <w:szCs w:val="28"/>
          <w:rtl/>
        </w:rPr>
        <w:t>َ</w:t>
      </w:r>
      <w:r w:rsidRPr="00282AC9">
        <w:rPr>
          <w:rFonts w:ascii="Noor_Mitra" w:hAnsi="Noor_Mitra" w:cs="DanaFajr"/>
          <w:sz w:val="28"/>
          <w:szCs w:val="28"/>
          <w:rtl/>
        </w:rPr>
        <w:t>به أيضا</w:t>
      </w:r>
      <w:r w:rsidRPr="00282AC9">
        <w:rPr>
          <w:rFonts w:ascii="Noor_Mitra" w:hAnsi="Noor_Mitra" w:cs="DanaFajr" w:hint="cs"/>
          <w:sz w:val="28"/>
          <w:szCs w:val="28"/>
          <w:rtl/>
        </w:rPr>
        <w:t>ً</w:t>
      </w:r>
      <w:r w:rsidRPr="00282AC9">
        <w:rPr>
          <w:rFonts w:ascii="Noor_Mitra" w:hAnsi="Noor_Mitra" w:cs="DanaFajr"/>
          <w:sz w:val="28"/>
          <w:szCs w:val="28"/>
          <w:rtl/>
        </w:rPr>
        <w:t xml:space="preserve"> كان إماما</w:t>
      </w:r>
      <w:r w:rsidRPr="00282AC9">
        <w:rPr>
          <w:rFonts w:ascii="Noor_Mitra" w:hAnsi="Noor_Mitra" w:cs="DanaFajr" w:hint="cs"/>
          <w:sz w:val="28"/>
          <w:szCs w:val="28"/>
          <w:rtl/>
        </w:rPr>
        <w:t>ً</w:t>
      </w:r>
      <w:r w:rsidRPr="00282AC9">
        <w:rPr>
          <w:rFonts w:ascii="Noor_Mitra" w:hAnsi="Noor_Mitra" w:cs="DanaFajr"/>
          <w:sz w:val="28"/>
          <w:szCs w:val="28"/>
          <w:rtl/>
        </w:rPr>
        <w:t>. ويمكن أن نقول</w:t>
      </w:r>
      <w:r w:rsidRPr="00282AC9">
        <w:rPr>
          <w:rFonts w:ascii="Noor_Mitra" w:hAnsi="Noor_Mitra" w:cs="DanaFajr" w:hint="cs"/>
          <w:sz w:val="28"/>
          <w:szCs w:val="28"/>
          <w:rtl/>
        </w:rPr>
        <w:t>:</w:t>
      </w:r>
      <w:r w:rsidRPr="00282AC9">
        <w:rPr>
          <w:rFonts w:ascii="Noor_Mitra" w:hAnsi="Noor_Mitra" w:cs="DanaFajr"/>
          <w:sz w:val="28"/>
          <w:szCs w:val="28"/>
          <w:rtl/>
        </w:rPr>
        <w:t xml:space="preserve"> </w:t>
      </w:r>
      <w:r w:rsidRPr="00282AC9">
        <w:rPr>
          <w:rFonts w:ascii="Noor_Mitra" w:hAnsi="Noor_Mitra" w:cs="DanaFajr" w:hint="cs"/>
          <w:sz w:val="28"/>
          <w:szCs w:val="28"/>
          <w:rtl/>
        </w:rPr>
        <w:t>إ</w:t>
      </w:r>
      <w:r w:rsidRPr="00282AC9">
        <w:rPr>
          <w:rFonts w:ascii="Noor_Mitra" w:hAnsi="Noor_Mitra" w:cs="DanaFajr"/>
          <w:sz w:val="28"/>
          <w:szCs w:val="28"/>
          <w:rtl/>
        </w:rPr>
        <w:t>ن البلاغة في كل</w:t>
      </w:r>
      <w:r w:rsidRPr="00282AC9">
        <w:rPr>
          <w:rFonts w:ascii="Noor_Mitra" w:hAnsi="Noor_Mitra" w:cs="DanaFajr" w:hint="cs"/>
          <w:sz w:val="28"/>
          <w:szCs w:val="28"/>
          <w:rtl/>
        </w:rPr>
        <w:t>ّ</w:t>
      </w:r>
      <w:r w:rsidRPr="00282AC9">
        <w:rPr>
          <w:rFonts w:ascii="Noor_Mitra" w:hAnsi="Noor_Mitra" w:cs="DanaFajr"/>
          <w:sz w:val="28"/>
          <w:szCs w:val="28"/>
          <w:rtl/>
        </w:rPr>
        <w:t xml:space="preserve"> عصر</w:t>
      </w:r>
      <w:r w:rsidRPr="00282AC9">
        <w:rPr>
          <w:rFonts w:ascii="Noor_Mitra" w:hAnsi="Noor_Mitra" w:cs="DanaFajr" w:hint="cs"/>
          <w:sz w:val="28"/>
          <w:szCs w:val="28"/>
          <w:rtl/>
        </w:rPr>
        <w:t>ٍ</w:t>
      </w:r>
      <w:r w:rsidRPr="00282AC9">
        <w:rPr>
          <w:rFonts w:ascii="Noor_Mitra" w:hAnsi="Noor_Mitra" w:cs="DanaFajr"/>
          <w:sz w:val="28"/>
          <w:szCs w:val="28"/>
          <w:rtl/>
        </w:rPr>
        <w:t xml:space="preserve"> بح</w:t>
      </w:r>
      <w:r w:rsidRPr="00282AC9">
        <w:rPr>
          <w:rFonts w:ascii="Noor_Mitra" w:hAnsi="Noor_Mitra" w:cs="DanaFajr" w:hint="cs"/>
          <w:sz w:val="28"/>
          <w:szCs w:val="28"/>
          <w:rtl/>
        </w:rPr>
        <w:t>َ</w:t>
      </w:r>
      <w:r w:rsidRPr="00282AC9">
        <w:rPr>
          <w:rFonts w:ascii="Noor_Mitra" w:hAnsi="Noor_Mitra" w:cs="DanaFajr"/>
          <w:sz w:val="28"/>
          <w:szCs w:val="28"/>
          <w:rtl/>
        </w:rPr>
        <w:t>س</w:t>
      </w:r>
      <w:r w:rsidRPr="00282AC9">
        <w:rPr>
          <w:rFonts w:ascii="Noor_Mitra" w:hAnsi="Noor_Mitra" w:cs="DanaFajr" w:hint="cs"/>
          <w:sz w:val="28"/>
          <w:szCs w:val="28"/>
          <w:rtl/>
        </w:rPr>
        <w:t>َ</w:t>
      </w:r>
      <w:r w:rsidRPr="00282AC9">
        <w:rPr>
          <w:rFonts w:ascii="Noor_Mitra" w:hAnsi="Noor_Mitra" w:cs="DanaFajr"/>
          <w:sz w:val="28"/>
          <w:szCs w:val="28"/>
          <w:rtl/>
        </w:rPr>
        <w:t>بها، فألفاظ الإمام في الصحيفة كانت في علو</w:t>
      </w:r>
      <w:r w:rsidRPr="00282AC9">
        <w:rPr>
          <w:rFonts w:ascii="Noor_Mitra" w:hAnsi="Noor_Mitra" w:cs="DanaFajr" w:hint="cs"/>
          <w:sz w:val="28"/>
          <w:szCs w:val="28"/>
          <w:rtl/>
        </w:rPr>
        <w:t>ّ</w:t>
      </w:r>
      <w:r w:rsidRPr="00282AC9">
        <w:rPr>
          <w:rFonts w:ascii="Noor_Mitra" w:hAnsi="Noor_Mitra" w:cs="DanaFajr"/>
          <w:sz w:val="28"/>
          <w:szCs w:val="28"/>
          <w:rtl/>
        </w:rPr>
        <w:t xml:space="preserve"> البلاغة بالنسبة إلى البلاغة في عصره</w:t>
      </w:r>
      <w:r w:rsidRPr="00282AC9">
        <w:rPr>
          <w:rFonts w:cs="Mosawi" w:hint="cs"/>
          <w:rtl/>
        </w:rPr>
        <w:t>×</w:t>
      </w:r>
      <w:r w:rsidRPr="00282AC9">
        <w:rPr>
          <w:rFonts w:ascii="Noor_Mitra" w:hAnsi="Noor_Mitra" w:cs="DanaFajr"/>
          <w:sz w:val="28"/>
          <w:szCs w:val="28"/>
          <w:rtl/>
        </w:rPr>
        <w:t>.</w:t>
      </w:r>
    </w:p>
  </w:endnote>
  <w:endnote w:id="556">
    <w:p w:rsidR="00C14EDE" w:rsidRPr="00282AC9" w:rsidRDefault="00C14EDE" w:rsidP="00446290">
      <w:pPr>
        <w:spacing w:line="288" w:lineRule="exact"/>
        <w:ind w:firstLine="0"/>
        <w:rPr>
          <w:rFonts w:cs="DanaFajr"/>
          <w:szCs w:val="28"/>
          <w:rtl/>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hint="cs"/>
          <w:szCs w:val="28"/>
          <w:rtl/>
          <w:lang w:bidi="fa-IR"/>
        </w:rPr>
        <w:t xml:space="preserve"> </w:t>
      </w:r>
      <w:r w:rsidRPr="00282AC9">
        <w:rPr>
          <w:rFonts w:cs="DanaFajr"/>
          <w:szCs w:val="28"/>
          <w:rtl/>
          <w:lang w:bidi="fa-IR"/>
        </w:rPr>
        <w:t>الكليني، الكافي ‏1</w:t>
      </w:r>
      <w:r w:rsidRPr="00282AC9">
        <w:rPr>
          <w:rFonts w:cs="DanaFajr" w:hint="cs"/>
          <w:szCs w:val="28"/>
          <w:rtl/>
        </w:rPr>
        <w:t>5</w:t>
      </w:r>
      <w:r w:rsidRPr="00282AC9">
        <w:rPr>
          <w:rFonts w:cs="DanaFajr"/>
          <w:szCs w:val="28"/>
          <w:rtl/>
          <w:lang w:bidi="fa-IR"/>
        </w:rPr>
        <w:t xml:space="preserve">: </w:t>
      </w:r>
      <w:r w:rsidRPr="00282AC9">
        <w:rPr>
          <w:rFonts w:cs="DanaFajr" w:hint="cs"/>
          <w:szCs w:val="28"/>
          <w:rtl/>
        </w:rPr>
        <w:t>5</w:t>
      </w:r>
      <w:r w:rsidRPr="00282AC9">
        <w:rPr>
          <w:rFonts w:cs="DanaFajr"/>
          <w:szCs w:val="28"/>
          <w:rtl/>
          <w:lang w:bidi="fa-IR"/>
        </w:rPr>
        <w:t>0</w:t>
      </w:r>
      <w:r w:rsidRPr="00282AC9">
        <w:rPr>
          <w:rFonts w:cs="DanaFajr" w:hint="cs"/>
          <w:szCs w:val="28"/>
          <w:rtl/>
          <w:lang w:bidi="fa-IR"/>
        </w:rPr>
        <w:t>؛</w:t>
      </w:r>
      <w:r w:rsidRPr="00282AC9">
        <w:rPr>
          <w:rFonts w:cs="DanaFajr"/>
          <w:szCs w:val="28"/>
          <w:rtl/>
          <w:lang w:bidi="fa-IR"/>
        </w:rPr>
        <w:t xml:space="preserve"> </w:t>
      </w:r>
      <w:r w:rsidRPr="00282AC9">
        <w:rPr>
          <w:rFonts w:cs="DanaFajr"/>
          <w:szCs w:val="28"/>
          <w:rtl/>
        </w:rPr>
        <w:t>ابن شعبة الحر</w:t>
      </w:r>
      <w:r w:rsidRPr="00282AC9">
        <w:rPr>
          <w:rFonts w:cs="DanaFajr" w:hint="cs"/>
          <w:szCs w:val="28"/>
          <w:rtl/>
        </w:rPr>
        <w:t>ّ</w:t>
      </w:r>
      <w:r w:rsidRPr="00282AC9">
        <w:rPr>
          <w:rFonts w:cs="DanaFajr"/>
          <w:szCs w:val="28"/>
          <w:rtl/>
        </w:rPr>
        <w:t>اني</w:t>
      </w:r>
      <w:r w:rsidRPr="00282AC9">
        <w:rPr>
          <w:rFonts w:cs="DanaFajr" w:hint="cs"/>
          <w:szCs w:val="28"/>
          <w:rtl/>
          <w:lang w:bidi="fa-IR"/>
        </w:rPr>
        <w:t xml:space="preserve">، </w:t>
      </w:r>
      <w:r w:rsidRPr="00282AC9">
        <w:rPr>
          <w:rFonts w:cs="DanaFajr"/>
          <w:szCs w:val="28"/>
          <w:rtl/>
        </w:rPr>
        <w:t>تحف العقول: 2</w:t>
      </w:r>
      <w:r w:rsidRPr="00282AC9">
        <w:rPr>
          <w:rFonts w:cs="DanaFajr" w:hint="cs"/>
          <w:szCs w:val="28"/>
          <w:rtl/>
        </w:rPr>
        <w:t>5</w:t>
      </w:r>
      <w:r w:rsidRPr="00282AC9">
        <w:rPr>
          <w:rFonts w:cs="DanaFajr"/>
          <w:szCs w:val="28"/>
          <w:rtl/>
        </w:rPr>
        <w:t>3</w:t>
      </w:r>
      <w:r w:rsidRPr="00282AC9">
        <w:rPr>
          <w:rFonts w:cs="DanaFajr" w:hint="cs"/>
          <w:szCs w:val="28"/>
          <w:rtl/>
        </w:rPr>
        <w:t>.</w:t>
      </w:r>
    </w:p>
  </w:endnote>
  <w:endnote w:id="557">
    <w:p w:rsidR="00C14EDE" w:rsidRPr="00282AC9" w:rsidRDefault="00C14EDE" w:rsidP="00446290">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راجع</w:t>
      </w:r>
      <w:r w:rsidRPr="00282AC9">
        <w:rPr>
          <w:rFonts w:cs="DanaFajr"/>
          <w:sz w:val="28"/>
          <w:szCs w:val="28"/>
          <w:rtl/>
        </w:rPr>
        <w:t>: الطوسي</w:t>
      </w:r>
      <w:r w:rsidRPr="00282AC9">
        <w:rPr>
          <w:rFonts w:cs="DanaFajr" w:hint="cs"/>
          <w:sz w:val="28"/>
          <w:szCs w:val="28"/>
          <w:rtl/>
        </w:rPr>
        <w:t>، ال</w:t>
      </w:r>
      <w:r w:rsidRPr="00282AC9">
        <w:rPr>
          <w:rFonts w:cs="DanaFajr"/>
          <w:sz w:val="28"/>
          <w:szCs w:val="28"/>
          <w:rtl/>
        </w:rPr>
        <w:t>فهرست: 10</w:t>
      </w:r>
      <w:r w:rsidRPr="00282AC9">
        <w:rPr>
          <w:rFonts w:ascii="Noor_Mitra" w:hAnsi="Noor_Mitra" w:cs="DanaFajr" w:hint="cs"/>
          <w:sz w:val="28"/>
          <w:szCs w:val="28"/>
          <w:rtl/>
        </w:rPr>
        <w:t>5</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 xml:space="preserve">تحقيق: السيد </w:t>
      </w:r>
      <w:r w:rsidRPr="00282AC9">
        <w:rPr>
          <w:rFonts w:cs="DanaFajr"/>
          <w:sz w:val="28"/>
          <w:szCs w:val="28"/>
          <w:rtl/>
        </w:rPr>
        <w:t xml:space="preserve">عبدالعزيز الطباطبائي، </w:t>
      </w:r>
      <w:r w:rsidRPr="00282AC9">
        <w:rPr>
          <w:rFonts w:cs="DanaFajr"/>
          <w:sz w:val="28"/>
          <w:szCs w:val="28"/>
          <w:rtl/>
          <w:lang w:bidi="fa-IR"/>
        </w:rPr>
        <w:t>مكتبة المحق</w:t>
      </w:r>
      <w:r w:rsidRPr="00282AC9">
        <w:rPr>
          <w:rFonts w:cs="DanaFajr" w:hint="cs"/>
          <w:sz w:val="28"/>
          <w:szCs w:val="28"/>
          <w:rtl/>
          <w:lang w:bidi="fa-IR"/>
        </w:rPr>
        <w:t>ِّ</w:t>
      </w:r>
      <w:r w:rsidRPr="00282AC9">
        <w:rPr>
          <w:rFonts w:cs="DanaFajr"/>
          <w:sz w:val="28"/>
          <w:szCs w:val="28"/>
          <w:rtl/>
          <w:lang w:bidi="fa-IR"/>
        </w:rPr>
        <w:t>ق الطباطبائي‏</w:t>
      </w:r>
      <w:r w:rsidRPr="00282AC9">
        <w:rPr>
          <w:rFonts w:cs="DanaFajr"/>
          <w:sz w:val="28"/>
          <w:szCs w:val="28"/>
          <w:rtl/>
        </w:rPr>
        <w:t>، قم</w:t>
      </w:r>
      <w:r w:rsidRPr="00282AC9">
        <w:rPr>
          <w:rFonts w:cs="DanaFajr"/>
          <w:sz w:val="28"/>
          <w:szCs w:val="28"/>
          <w:rtl/>
          <w:lang w:bidi="fa-IR"/>
        </w:rPr>
        <w:t>، ط1، 1</w:t>
      </w:r>
      <w:r w:rsidRPr="00282AC9">
        <w:rPr>
          <w:rFonts w:ascii="Noor_Mitra" w:hAnsi="Noor_Mitra" w:cs="DanaFajr" w:hint="cs"/>
          <w:sz w:val="28"/>
          <w:szCs w:val="28"/>
          <w:rtl/>
        </w:rPr>
        <w:t>4</w:t>
      </w:r>
      <w:r w:rsidRPr="00282AC9">
        <w:rPr>
          <w:rFonts w:cs="DanaFajr"/>
          <w:sz w:val="28"/>
          <w:szCs w:val="28"/>
          <w:rtl/>
          <w:lang w:bidi="fa-IR"/>
        </w:rPr>
        <w:t>20هـ.</w:t>
      </w:r>
    </w:p>
  </w:endnote>
  <w:endnote w:id="558">
    <w:p w:rsidR="00C14EDE" w:rsidRPr="00282AC9" w:rsidRDefault="00C14EDE" w:rsidP="00446290">
      <w:pPr>
        <w:pStyle w:val="afc"/>
        <w:spacing w:line="288" w:lineRule="exact"/>
        <w:ind w:firstLine="0"/>
        <w:rPr>
          <w:rFonts w:ascii="Noor_Mitra" w:hAnsi="Noor_Mitra"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ascii="Noor_Mitra" w:hAnsi="Noor_Mitra" w:cs="DanaFajr" w:hint="cs"/>
          <w:sz w:val="28"/>
          <w:szCs w:val="28"/>
          <w:rtl/>
        </w:rPr>
        <w:t xml:space="preserve">نعم، </w:t>
      </w:r>
      <w:r w:rsidRPr="00282AC9">
        <w:rPr>
          <w:rFonts w:ascii="Noor_Mitra" w:hAnsi="Noor_Mitra" w:cs="DanaFajr"/>
          <w:sz w:val="28"/>
          <w:szCs w:val="28"/>
          <w:rtl/>
        </w:rPr>
        <w:t>يحتمل أيضا</w:t>
      </w:r>
      <w:r w:rsidRPr="00282AC9">
        <w:rPr>
          <w:rFonts w:ascii="Noor_Mitra" w:hAnsi="Noor_Mitra" w:cs="DanaFajr" w:hint="cs"/>
          <w:sz w:val="28"/>
          <w:szCs w:val="28"/>
          <w:rtl/>
        </w:rPr>
        <w:t>ً</w:t>
      </w:r>
      <w:r w:rsidRPr="00282AC9">
        <w:rPr>
          <w:rFonts w:ascii="Noor_Mitra" w:hAnsi="Noor_Mitra" w:cs="DanaFajr"/>
          <w:sz w:val="28"/>
          <w:szCs w:val="28"/>
          <w:rtl/>
        </w:rPr>
        <w:t xml:space="preserve"> أنها من كلمات الرواة الذين كتبوا هذه الصحيفة</w:t>
      </w:r>
      <w:r w:rsidRPr="00282AC9">
        <w:rPr>
          <w:rFonts w:ascii="Noor_Mitra" w:hAnsi="Noor_Mitra" w:cs="DanaFajr" w:hint="cs"/>
          <w:sz w:val="28"/>
          <w:szCs w:val="28"/>
          <w:rtl/>
        </w:rPr>
        <w:t>،</w:t>
      </w:r>
      <w:r w:rsidRPr="00282AC9">
        <w:rPr>
          <w:rFonts w:ascii="Noor_Mitra" w:hAnsi="Noor_Mitra" w:cs="DanaFajr"/>
          <w:sz w:val="28"/>
          <w:szCs w:val="28"/>
          <w:rtl/>
        </w:rPr>
        <w:t xml:space="preserve"> يعني نقلوا كلمات الإمام بالمعنى</w:t>
      </w:r>
      <w:r w:rsidRPr="00282AC9">
        <w:rPr>
          <w:rFonts w:ascii="Noor_Mitra" w:hAnsi="Noor_Mitra" w:cs="DanaFajr" w:hint="cs"/>
          <w:sz w:val="28"/>
          <w:szCs w:val="28"/>
          <w:rtl/>
        </w:rPr>
        <w:t>،</w:t>
      </w:r>
      <w:r w:rsidRPr="00282AC9">
        <w:rPr>
          <w:rFonts w:ascii="Noor_Mitra" w:hAnsi="Noor_Mitra" w:cs="DanaFajr"/>
          <w:sz w:val="28"/>
          <w:szCs w:val="28"/>
          <w:rtl/>
        </w:rPr>
        <w:t xml:space="preserve"> ثم</w:t>
      </w:r>
      <w:r w:rsidRPr="00282AC9">
        <w:rPr>
          <w:rFonts w:ascii="Noor_Mitra" w:hAnsi="Noor_Mitra" w:cs="DanaFajr" w:hint="cs"/>
          <w:sz w:val="28"/>
          <w:szCs w:val="28"/>
          <w:rtl/>
        </w:rPr>
        <w:t>ّ</w:t>
      </w:r>
      <w:r w:rsidRPr="00282AC9">
        <w:rPr>
          <w:rFonts w:ascii="Noor_Mitra" w:hAnsi="Noor_Mitra" w:cs="DanaFajr"/>
          <w:sz w:val="28"/>
          <w:szCs w:val="28"/>
          <w:rtl/>
        </w:rPr>
        <w:t xml:space="preserve"> كتبوها في الصحيفة</w:t>
      </w:r>
      <w:r w:rsidRPr="00282AC9">
        <w:rPr>
          <w:rFonts w:ascii="Noor_Mitra" w:hAnsi="Noor_Mitra" w:cs="DanaFajr" w:hint="cs"/>
          <w:sz w:val="28"/>
          <w:szCs w:val="28"/>
          <w:rtl/>
        </w:rPr>
        <w:t>؛</w:t>
      </w:r>
      <w:r w:rsidRPr="00282AC9">
        <w:rPr>
          <w:rFonts w:ascii="Noor_Mitra" w:hAnsi="Noor_Mitra" w:cs="DanaFajr"/>
          <w:sz w:val="28"/>
          <w:szCs w:val="28"/>
          <w:rtl/>
        </w:rPr>
        <w:t xml:space="preserve"> لكن</w:t>
      </w:r>
      <w:r w:rsidRPr="00282AC9">
        <w:rPr>
          <w:rFonts w:ascii="Noor_Mitra" w:hAnsi="Noor_Mitra" w:cs="DanaFajr" w:hint="cs"/>
          <w:sz w:val="28"/>
          <w:szCs w:val="28"/>
          <w:rtl/>
        </w:rPr>
        <w:t>ّ</w:t>
      </w:r>
      <w:r w:rsidRPr="00282AC9">
        <w:rPr>
          <w:rFonts w:ascii="Noor_Mitra" w:hAnsi="Noor_Mitra" w:cs="DanaFajr"/>
          <w:sz w:val="28"/>
          <w:szCs w:val="28"/>
          <w:rtl/>
        </w:rPr>
        <w:t>ه احتمال</w:t>
      </w:r>
      <w:r w:rsidRPr="00282AC9">
        <w:rPr>
          <w:rFonts w:ascii="Noor_Mitra" w:hAnsi="Noor_Mitra" w:cs="DanaFajr" w:hint="cs"/>
          <w:sz w:val="28"/>
          <w:szCs w:val="28"/>
          <w:rtl/>
        </w:rPr>
        <w:t>ٌ</w:t>
      </w:r>
      <w:r w:rsidRPr="00282AC9">
        <w:rPr>
          <w:rFonts w:ascii="Noor_Mitra" w:hAnsi="Noor_Mitra" w:cs="DanaFajr"/>
          <w:sz w:val="28"/>
          <w:szCs w:val="28"/>
          <w:rtl/>
        </w:rPr>
        <w:t xml:space="preserve"> ضئيل</w:t>
      </w:r>
      <w:r w:rsidRPr="00282AC9">
        <w:rPr>
          <w:rFonts w:ascii="Noor_Mitra" w:hAnsi="Noor_Mitra" w:cs="DanaFajr" w:hint="cs"/>
          <w:sz w:val="28"/>
          <w:szCs w:val="28"/>
          <w:rtl/>
        </w:rPr>
        <w:t>ٌ</w:t>
      </w:r>
      <w:r w:rsidRPr="00282AC9">
        <w:rPr>
          <w:rFonts w:ascii="Noor_Mitra" w:hAnsi="Noor_Mitra" w:cs="DanaFajr"/>
          <w:sz w:val="28"/>
          <w:szCs w:val="28"/>
          <w:rtl/>
        </w:rPr>
        <w:t xml:space="preserve">. </w:t>
      </w:r>
    </w:p>
  </w:endnote>
  <w:endnote w:id="559">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الصحيفة السج</w:t>
      </w:r>
      <w:r w:rsidRPr="00282AC9">
        <w:rPr>
          <w:rFonts w:ascii="Noor_Mitra" w:hAnsi="Noor_Mitra" w:cs="DanaFajr" w:hint="cs"/>
          <w:sz w:val="28"/>
          <w:szCs w:val="28"/>
          <w:rtl/>
        </w:rPr>
        <w:t>ّ</w:t>
      </w:r>
      <w:r w:rsidRPr="00282AC9">
        <w:rPr>
          <w:rFonts w:ascii="Noor_Mitra" w:hAnsi="Noor_Mitra" w:cs="DanaFajr"/>
          <w:sz w:val="28"/>
          <w:szCs w:val="28"/>
          <w:rtl/>
        </w:rPr>
        <w:t>ادية: 1</w:t>
      </w:r>
      <w:r w:rsidRPr="00282AC9">
        <w:rPr>
          <w:rFonts w:ascii="Noor_Mitra" w:hAnsi="Noor_Mitra" w:cs="DanaFajr" w:hint="cs"/>
          <w:sz w:val="28"/>
          <w:szCs w:val="28"/>
          <w:rtl/>
        </w:rPr>
        <w:t>6</w:t>
      </w:r>
      <w:r w:rsidRPr="00282AC9">
        <w:rPr>
          <w:rFonts w:ascii="Noor_Mitra" w:hAnsi="Noor_Mitra" w:cs="DanaFajr"/>
          <w:sz w:val="28"/>
          <w:szCs w:val="28"/>
          <w:rtl/>
        </w:rPr>
        <w:t xml:space="preserve">2، </w:t>
      </w:r>
      <w:r w:rsidRPr="00282AC9">
        <w:rPr>
          <w:rFonts w:ascii="Noor_Mitra" w:hAnsi="Noor_Mitra" w:cs="DanaFajr" w:hint="cs"/>
          <w:sz w:val="28"/>
          <w:szCs w:val="28"/>
          <w:rtl/>
        </w:rPr>
        <w:t>منشورات</w:t>
      </w:r>
      <w:r w:rsidRPr="00282AC9">
        <w:rPr>
          <w:rFonts w:ascii="Noor_Mitra" w:hAnsi="Noor_Mitra" w:cs="DanaFajr"/>
          <w:sz w:val="28"/>
          <w:szCs w:val="28"/>
          <w:rtl/>
        </w:rPr>
        <w:t xml:space="preserve"> الهادي، قم، ط1، 137</w:t>
      </w:r>
      <w:r w:rsidRPr="00282AC9">
        <w:rPr>
          <w:rFonts w:ascii="Noor_Mitra" w:hAnsi="Noor_Mitra" w:cs="DanaFajr" w:hint="cs"/>
          <w:sz w:val="28"/>
          <w:szCs w:val="28"/>
          <w:rtl/>
        </w:rPr>
        <w:t>6هـ.</w:t>
      </w:r>
      <w:r w:rsidRPr="00282AC9">
        <w:rPr>
          <w:rFonts w:ascii="Noor_Mitra" w:hAnsi="Noor_Mitra" w:cs="DanaFajr"/>
          <w:sz w:val="28"/>
          <w:szCs w:val="28"/>
          <w:rtl/>
        </w:rPr>
        <w:t>ش.</w:t>
      </w:r>
    </w:p>
  </w:endnote>
  <w:endnote w:id="560">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 xml:space="preserve">انظر: رواية </w:t>
      </w:r>
      <w:r w:rsidRPr="00282AC9">
        <w:rPr>
          <w:rFonts w:ascii="Noor_Mitra" w:hAnsi="Noor_Mitra" w:cs="DanaFajr" w:hint="cs"/>
          <w:sz w:val="28"/>
          <w:szCs w:val="28"/>
          <w:rtl/>
        </w:rPr>
        <w:t>ال</w:t>
      </w:r>
      <w:r w:rsidRPr="00282AC9">
        <w:rPr>
          <w:rFonts w:ascii="Noor_Mitra" w:hAnsi="Noor_Mitra" w:cs="DanaFajr"/>
          <w:sz w:val="28"/>
          <w:szCs w:val="28"/>
          <w:rtl/>
        </w:rPr>
        <w:t>متوك</w:t>
      </w:r>
      <w:r w:rsidRPr="00282AC9">
        <w:rPr>
          <w:rFonts w:ascii="Noor_Mitra" w:hAnsi="Noor_Mitra" w:cs="DanaFajr" w:hint="cs"/>
          <w:sz w:val="28"/>
          <w:szCs w:val="28"/>
          <w:rtl/>
        </w:rPr>
        <w:t>ِّ</w:t>
      </w:r>
      <w:r w:rsidRPr="00282AC9">
        <w:rPr>
          <w:rFonts w:ascii="Noor_Mitra" w:hAnsi="Noor_Mitra" w:cs="DanaFajr"/>
          <w:sz w:val="28"/>
          <w:szCs w:val="28"/>
          <w:rtl/>
        </w:rPr>
        <w:t>ل بن هارون في بداية الصحيفة حول كيفي</w:t>
      </w:r>
      <w:r w:rsidRPr="00282AC9">
        <w:rPr>
          <w:rFonts w:ascii="Noor_Mitra" w:hAnsi="Noor_Mitra" w:cs="DanaFajr" w:hint="cs"/>
          <w:sz w:val="28"/>
          <w:szCs w:val="28"/>
          <w:rtl/>
        </w:rPr>
        <w:t>ّ</w:t>
      </w:r>
      <w:r w:rsidRPr="00282AC9">
        <w:rPr>
          <w:rFonts w:ascii="Noor_Mitra" w:hAnsi="Noor_Mitra" w:cs="DanaFajr"/>
          <w:sz w:val="28"/>
          <w:szCs w:val="28"/>
          <w:rtl/>
        </w:rPr>
        <w:t>ة نقلها. الصحيفة السج</w:t>
      </w:r>
      <w:r w:rsidRPr="00282AC9">
        <w:rPr>
          <w:rFonts w:ascii="Noor_Mitra" w:hAnsi="Noor_Mitra" w:cs="DanaFajr" w:hint="cs"/>
          <w:sz w:val="28"/>
          <w:szCs w:val="28"/>
          <w:rtl/>
        </w:rPr>
        <w:t>ّ</w:t>
      </w:r>
      <w:r w:rsidRPr="00282AC9">
        <w:rPr>
          <w:rFonts w:ascii="Noor_Mitra" w:hAnsi="Noor_Mitra" w:cs="DanaFajr"/>
          <w:sz w:val="28"/>
          <w:szCs w:val="28"/>
          <w:rtl/>
        </w:rPr>
        <w:t>ادية: 1</w:t>
      </w:r>
      <w:r w:rsidRPr="00282AC9">
        <w:rPr>
          <w:rFonts w:ascii="Noor_Mitra" w:hAnsi="Noor_Mitra" w:cs="DanaFajr" w:hint="cs"/>
          <w:sz w:val="28"/>
          <w:szCs w:val="28"/>
          <w:rtl/>
        </w:rPr>
        <w:t>4</w:t>
      </w:r>
      <w:r w:rsidRPr="00282AC9">
        <w:rPr>
          <w:rFonts w:ascii="Noor_Mitra" w:hAnsi="Noor_Mitra" w:cs="DanaFajr"/>
          <w:sz w:val="28"/>
          <w:szCs w:val="28"/>
          <w:rtl/>
        </w:rPr>
        <w:t>.</w:t>
      </w:r>
    </w:p>
  </w:endnote>
  <w:endnote w:id="561">
    <w:p w:rsidR="00C14EDE" w:rsidRPr="00282AC9" w:rsidRDefault="00C14EDE" w:rsidP="00446290">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تاريخ</w:t>
      </w:r>
      <w:r w:rsidRPr="00282AC9">
        <w:rPr>
          <w:rFonts w:ascii="Noor_Mitra" w:hAnsi="Noor_Mitra" w:cs="DanaFajr"/>
          <w:sz w:val="28"/>
          <w:szCs w:val="28"/>
          <w:rtl/>
        </w:rPr>
        <w:t xml:space="preserve"> ‏الطبري ‏</w:t>
      </w:r>
      <w:r w:rsidRPr="00282AC9">
        <w:rPr>
          <w:rFonts w:ascii="Noor_Mitra" w:hAnsi="Noor_Mitra" w:cs="DanaFajr" w:hint="cs"/>
          <w:sz w:val="28"/>
          <w:szCs w:val="28"/>
          <w:rtl/>
        </w:rPr>
        <w:t>5</w:t>
      </w:r>
      <w:r w:rsidRPr="00282AC9">
        <w:rPr>
          <w:rFonts w:ascii="Noor_Mitra" w:hAnsi="Noor_Mitra" w:cs="DanaFajr"/>
          <w:sz w:val="28"/>
          <w:szCs w:val="28"/>
          <w:rtl/>
        </w:rPr>
        <w:t xml:space="preserve">: </w:t>
      </w:r>
      <w:r w:rsidRPr="00282AC9">
        <w:rPr>
          <w:rFonts w:ascii="Noor_Mitra" w:hAnsi="Noor_Mitra" w:cs="DanaFajr" w:hint="cs"/>
          <w:sz w:val="28"/>
          <w:szCs w:val="28"/>
          <w:rtl/>
        </w:rPr>
        <w:t>565</w:t>
      </w:r>
      <w:r w:rsidRPr="00282AC9">
        <w:rPr>
          <w:rFonts w:ascii="Noor_Mitra" w:hAnsi="Noor_Mitra" w:cs="DanaFajr"/>
          <w:sz w:val="28"/>
          <w:szCs w:val="28"/>
          <w:rtl/>
        </w:rPr>
        <w:t>؛ الذهبي</w:t>
      </w:r>
      <w:r w:rsidRPr="00282AC9">
        <w:rPr>
          <w:rFonts w:ascii="Noor_Mitra" w:hAnsi="Noor_Mitra" w:cs="DanaFajr" w:hint="cs"/>
          <w:sz w:val="28"/>
          <w:szCs w:val="28"/>
          <w:rtl/>
        </w:rPr>
        <w:t>،</w:t>
      </w:r>
      <w:r w:rsidRPr="00282AC9">
        <w:rPr>
          <w:rFonts w:ascii="Noor_Mitra" w:hAnsi="Noor_Mitra" w:cs="DanaFajr"/>
          <w:sz w:val="28"/>
          <w:szCs w:val="28"/>
          <w:rtl/>
        </w:rPr>
        <w:t xml:space="preserve"> تاريخ ‏الإسلام ‏</w:t>
      </w:r>
      <w:r w:rsidRPr="00282AC9">
        <w:rPr>
          <w:rFonts w:ascii="Noor_Mitra" w:hAnsi="Noor_Mitra" w:cs="DanaFajr" w:hint="cs"/>
          <w:sz w:val="28"/>
          <w:szCs w:val="28"/>
          <w:rtl/>
        </w:rPr>
        <w:t>5</w:t>
      </w:r>
      <w:r w:rsidRPr="00282AC9">
        <w:rPr>
          <w:rFonts w:ascii="Noor_Mitra" w:hAnsi="Noor_Mitra" w:cs="DanaFajr"/>
          <w:sz w:val="28"/>
          <w:szCs w:val="28"/>
          <w:rtl/>
        </w:rPr>
        <w:t xml:space="preserve">: </w:t>
      </w:r>
      <w:r w:rsidRPr="00282AC9">
        <w:rPr>
          <w:rFonts w:ascii="Noor_Mitra" w:hAnsi="Noor_Mitra" w:cs="DanaFajr" w:hint="cs"/>
          <w:sz w:val="28"/>
          <w:szCs w:val="28"/>
          <w:rtl/>
        </w:rPr>
        <w:t>4</w:t>
      </w:r>
      <w:r w:rsidRPr="00282AC9">
        <w:rPr>
          <w:rFonts w:ascii="Noor_Mitra" w:hAnsi="Noor_Mitra" w:cs="DanaFajr"/>
          <w:sz w:val="28"/>
          <w:szCs w:val="28"/>
          <w:rtl/>
        </w:rPr>
        <w:t>3، تحقيق</w:t>
      </w:r>
      <w:r w:rsidRPr="00282AC9">
        <w:rPr>
          <w:rFonts w:ascii="Noor_Mitra" w:hAnsi="Noor_Mitra" w:cs="DanaFajr" w:hint="cs"/>
          <w:sz w:val="28"/>
          <w:szCs w:val="28"/>
          <w:rtl/>
        </w:rPr>
        <w:t>:</w:t>
      </w:r>
      <w:r w:rsidRPr="00282AC9">
        <w:rPr>
          <w:rFonts w:ascii="Noor_Mitra" w:hAnsi="Noor_Mitra" w:cs="DanaFajr"/>
          <w:sz w:val="28"/>
          <w:szCs w:val="28"/>
          <w:rtl/>
        </w:rPr>
        <w:t xml:space="preserve"> عمر عبد السلام تدمري، دار الكتاب العربي</w:t>
      </w:r>
      <w:r w:rsidRPr="00282AC9">
        <w:rPr>
          <w:rFonts w:ascii="Noor_Mitra" w:hAnsi="Noor_Mitra" w:cs="DanaFajr" w:hint="cs"/>
          <w:sz w:val="28"/>
          <w:szCs w:val="28"/>
          <w:rtl/>
        </w:rPr>
        <w:t>،</w:t>
      </w:r>
      <w:r w:rsidRPr="00282AC9">
        <w:rPr>
          <w:rFonts w:ascii="Noor_Mitra" w:hAnsi="Noor_Mitra" w:cs="DanaFajr"/>
          <w:sz w:val="28"/>
          <w:szCs w:val="28"/>
          <w:rtl/>
        </w:rPr>
        <w:t xml:space="preserve"> بيروت، ط2، 1</w:t>
      </w:r>
      <w:r w:rsidRPr="00282AC9">
        <w:rPr>
          <w:rFonts w:ascii="Noor_Mitra" w:hAnsi="Noor_Mitra" w:cs="DanaFajr" w:hint="cs"/>
          <w:sz w:val="28"/>
          <w:szCs w:val="28"/>
          <w:rtl/>
        </w:rPr>
        <w:t>4</w:t>
      </w:r>
      <w:r w:rsidRPr="00282AC9">
        <w:rPr>
          <w:rFonts w:ascii="Noor_Mitra" w:hAnsi="Noor_Mitra" w:cs="DanaFajr"/>
          <w:sz w:val="28"/>
          <w:szCs w:val="28"/>
          <w:rtl/>
        </w:rPr>
        <w:t>13</w:t>
      </w:r>
      <w:r w:rsidRPr="00282AC9">
        <w:rPr>
          <w:rFonts w:ascii="Noor_Mitra" w:hAnsi="Noor_Mitra" w:cs="DanaFajr" w:hint="cs"/>
          <w:sz w:val="28"/>
          <w:szCs w:val="28"/>
          <w:rtl/>
        </w:rPr>
        <w:t>هـ.</w:t>
      </w:r>
    </w:p>
  </w:endnote>
  <w:endnote w:id="562">
    <w:p w:rsidR="00C14EDE" w:rsidRPr="00282AC9" w:rsidRDefault="00C14EDE" w:rsidP="00446290">
      <w:pPr>
        <w:spacing w:line="288" w:lineRule="exact"/>
        <w:ind w:firstLine="0"/>
        <w:rPr>
          <w:rFonts w:cs="DanaFajr"/>
          <w:szCs w:val="28"/>
          <w:rtl/>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hint="cs"/>
          <w:szCs w:val="28"/>
          <w:rtl/>
        </w:rPr>
        <w:t xml:space="preserve"> </w:t>
      </w:r>
      <w:r w:rsidRPr="00282AC9">
        <w:rPr>
          <w:rFonts w:cs="DanaFajr"/>
          <w:szCs w:val="28"/>
          <w:rtl/>
        </w:rPr>
        <w:t>البلاذري</w:t>
      </w:r>
      <w:r w:rsidRPr="00282AC9">
        <w:rPr>
          <w:rFonts w:cs="DanaFajr" w:hint="cs"/>
          <w:szCs w:val="28"/>
          <w:rtl/>
        </w:rPr>
        <w:t>،</w:t>
      </w:r>
      <w:r w:rsidRPr="00282AC9">
        <w:rPr>
          <w:rFonts w:cs="DanaFajr"/>
          <w:szCs w:val="28"/>
          <w:rtl/>
        </w:rPr>
        <w:t xml:space="preserve"> أنساب ‏الأشراف ‏7: 12</w:t>
      </w:r>
      <w:r w:rsidRPr="00282AC9">
        <w:rPr>
          <w:rFonts w:cs="DanaFajr" w:hint="cs"/>
          <w:szCs w:val="28"/>
          <w:rtl/>
        </w:rPr>
        <w:t>.</w:t>
      </w:r>
    </w:p>
  </w:endnote>
  <w:endnote w:id="563">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الجاحظ</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البيان والتبيين ‏2: 211،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عل</w:t>
      </w:r>
      <w:r w:rsidRPr="00282AC9">
        <w:rPr>
          <w:rFonts w:ascii="Noor_Mitra" w:hAnsi="Noor_Mitra" w:cs="DanaFajr"/>
          <w:sz w:val="28"/>
          <w:szCs w:val="28"/>
          <w:rtl/>
        </w:rPr>
        <w:t>ي أبو ملحم</w:t>
      </w:r>
      <w:r w:rsidRPr="00282AC9">
        <w:rPr>
          <w:rFonts w:ascii="Noor_Mitra" w:hAnsi="Noor_Mitra" w:cs="DanaFajr"/>
          <w:sz w:val="28"/>
          <w:szCs w:val="28"/>
          <w:rtl/>
          <w:lang w:bidi="fa-IR"/>
        </w:rPr>
        <w:t>، مكتبة الهلال</w:t>
      </w:r>
      <w:r w:rsidRPr="00282AC9">
        <w:rPr>
          <w:rFonts w:ascii="Noor_Mitra" w:hAnsi="Noor_Mitra" w:cs="DanaFajr"/>
          <w:sz w:val="28"/>
          <w:szCs w:val="28"/>
          <w:rtl/>
        </w:rPr>
        <w:t xml:space="preserve">، </w:t>
      </w:r>
      <w:r w:rsidRPr="00282AC9">
        <w:rPr>
          <w:rFonts w:ascii="Noor_Mitra" w:hAnsi="Noor_Mitra" w:cs="DanaFajr"/>
          <w:sz w:val="28"/>
          <w:szCs w:val="28"/>
          <w:rtl/>
          <w:lang w:bidi="fa-IR"/>
        </w:rPr>
        <w:t>بيروت، ط1، 2002م؛ ومثله ف</w:t>
      </w:r>
      <w:r w:rsidRPr="00282AC9">
        <w:rPr>
          <w:rFonts w:ascii="Noor_Mitra" w:hAnsi="Noor_Mitra" w:cs="DanaFajr"/>
          <w:sz w:val="28"/>
          <w:szCs w:val="28"/>
          <w:rtl/>
        </w:rPr>
        <w:t xml:space="preserve">ي: </w:t>
      </w:r>
      <w:r w:rsidRPr="00282AC9">
        <w:rPr>
          <w:rFonts w:ascii="Noor_Mitra" w:hAnsi="Noor_Mitra" w:cs="DanaFajr"/>
          <w:sz w:val="28"/>
          <w:szCs w:val="28"/>
          <w:rtl/>
          <w:lang w:bidi="fa-IR"/>
        </w:rPr>
        <w:t>الزبير بن بك</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ار، الأخبار الموف</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قيات 1: 92،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سامي مك</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ي العاني، عالم الكتب، بيروت، ط2، 1</w:t>
      </w:r>
      <w:r w:rsidRPr="00282AC9">
        <w:rPr>
          <w:rFonts w:ascii="Noor_Mitra" w:hAnsi="Noor_Mitra" w:cs="DanaFajr" w:hint="cs"/>
          <w:sz w:val="28"/>
          <w:szCs w:val="28"/>
          <w:rtl/>
        </w:rPr>
        <w:t>4</w:t>
      </w:r>
      <w:r w:rsidRPr="00282AC9">
        <w:rPr>
          <w:rFonts w:ascii="Noor_Mitra" w:hAnsi="Noor_Mitra" w:cs="DanaFajr"/>
          <w:sz w:val="28"/>
          <w:szCs w:val="28"/>
          <w:rtl/>
          <w:lang w:bidi="fa-IR"/>
        </w:rPr>
        <w:t>1</w:t>
      </w:r>
      <w:r w:rsidRPr="00282AC9">
        <w:rPr>
          <w:rFonts w:ascii="Noor_Mitra" w:hAnsi="Noor_Mitra" w:cs="DanaFajr" w:hint="cs"/>
          <w:sz w:val="28"/>
          <w:szCs w:val="28"/>
          <w:rtl/>
        </w:rPr>
        <w:t>6</w:t>
      </w:r>
      <w:r w:rsidRPr="00282AC9">
        <w:rPr>
          <w:rFonts w:ascii="Noor_Mitra" w:hAnsi="Noor_Mitra" w:cs="DanaFajr"/>
          <w:sz w:val="28"/>
          <w:szCs w:val="28"/>
          <w:rtl/>
          <w:lang w:bidi="fa-IR"/>
        </w:rPr>
        <w:t>هـ؛ ابن عبد رب</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ه، العقد الفريد ‏</w:t>
      </w:r>
      <w:r w:rsidRPr="00282AC9">
        <w:rPr>
          <w:rFonts w:ascii="Noor_Mitra" w:hAnsi="Noor_Mitra" w:cs="DanaFajr" w:hint="cs"/>
          <w:sz w:val="28"/>
          <w:szCs w:val="28"/>
          <w:rtl/>
        </w:rPr>
        <w:t>4</w:t>
      </w:r>
      <w:r w:rsidRPr="00282AC9">
        <w:rPr>
          <w:rFonts w:ascii="Noor_Mitra" w:hAnsi="Noor_Mitra" w:cs="DanaFajr"/>
          <w:sz w:val="28"/>
          <w:szCs w:val="28"/>
          <w:rtl/>
          <w:lang w:bidi="fa-IR"/>
        </w:rPr>
        <w:t>: 209؛ أبو هلال العسكري، الأوائل: 32</w:t>
      </w:r>
      <w:r w:rsidRPr="00282AC9">
        <w:rPr>
          <w:rFonts w:ascii="Noor_Mitra" w:hAnsi="Noor_Mitra" w:cs="DanaFajr" w:hint="cs"/>
          <w:sz w:val="28"/>
          <w:szCs w:val="28"/>
          <w:rtl/>
        </w:rPr>
        <w:t>5</w:t>
      </w:r>
      <w:r w:rsidRPr="00282AC9">
        <w:rPr>
          <w:rFonts w:ascii="Noor_Mitra" w:hAnsi="Noor_Mitra" w:cs="DanaFajr"/>
          <w:sz w:val="28"/>
          <w:szCs w:val="28"/>
          <w:rtl/>
          <w:lang w:bidi="fa-IR"/>
        </w:rPr>
        <w:t>، دار البشير، مصر ـ طنطا، 1</w:t>
      </w:r>
      <w:r w:rsidRPr="00282AC9">
        <w:rPr>
          <w:rFonts w:ascii="Noor_Mitra" w:hAnsi="Noor_Mitra" w:cs="DanaFajr" w:hint="cs"/>
          <w:sz w:val="28"/>
          <w:szCs w:val="28"/>
          <w:rtl/>
        </w:rPr>
        <w:t>4</w:t>
      </w:r>
      <w:r w:rsidRPr="00282AC9">
        <w:rPr>
          <w:rFonts w:ascii="Noor_Mitra" w:hAnsi="Noor_Mitra" w:cs="DanaFajr"/>
          <w:sz w:val="28"/>
          <w:szCs w:val="28"/>
          <w:rtl/>
          <w:lang w:bidi="fa-IR"/>
        </w:rPr>
        <w:t>08هـ؛ النويري، نهاية الأرب</w:t>
      </w:r>
      <w:r w:rsidRPr="00282AC9">
        <w:rPr>
          <w:rFonts w:ascii="Noor_Mitra" w:hAnsi="Noor_Mitra" w:cs="DanaFajr" w:hint="cs"/>
          <w:sz w:val="28"/>
          <w:szCs w:val="28"/>
          <w:rtl/>
          <w:lang w:bidi="fa-IR"/>
        </w:rPr>
        <w:t xml:space="preserve"> في فنون الأدب</w:t>
      </w:r>
      <w:r w:rsidRPr="00282AC9">
        <w:rPr>
          <w:rFonts w:ascii="Noor_Mitra" w:hAnsi="Noor_Mitra" w:cs="DanaFajr"/>
          <w:sz w:val="28"/>
          <w:szCs w:val="28"/>
          <w:rtl/>
          <w:lang w:bidi="fa-IR"/>
        </w:rPr>
        <w:t xml:space="preserve"> ‏21: 209؛ القلقشندي، صبح الأعشى ‏1: 2</w:t>
      </w:r>
      <w:r w:rsidRPr="00282AC9">
        <w:rPr>
          <w:rFonts w:ascii="Noor_Mitra" w:hAnsi="Noor_Mitra" w:cs="DanaFajr" w:hint="cs"/>
          <w:sz w:val="28"/>
          <w:szCs w:val="28"/>
          <w:rtl/>
        </w:rPr>
        <w:t>6</w:t>
      </w:r>
      <w:r w:rsidRPr="00282AC9">
        <w:rPr>
          <w:rFonts w:ascii="Noor_Mitra" w:hAnsi="Noor_Mitra" w:cs="DanaFajr"/>
          <w:sz w:val="28"/>
          <w:szCs w:val="28"/>
          <w:rtl/>
          <w:lang w:bidi="fa-IR"/>
        </w:rPr>
        <w:t>3 ، دار الكتب العلمية</w:t>
      </w:r>
      <w:r w:rsidRPr="00282AC9">
        <w:rPr>
          <w:rFonts w:ascii="Noor_Mitra" w:hAnsi="Noor_Mitra" w:cs="DanaFajr" w:hint="cs"/>
          <w:sz w:val="28"/>
          <w:szCs w:val="28"/>
          <w:rtl/>
          <w:lang w:bidi="fa-IR"/>
        </w:rPr>
        <w:t xml:space="preserve"> ـ</w:t>
      </w:r>
      <w:r w:rsidRPr="00282AC9">
        <w:rPr>
          <w:rFonts w:ascii="Noor_Mitra" w:hAnsi="Noor_Mitra" w:cs="DanaFajr"/>
          <w:sz w:val="28"/>
          <w:szCs w:val="28"/>
          <w:rtl/>
          <w:lang w:bidi="fa-IR"/>
        </w:rPr>
        <w:t xml:space="preserve"> منشورات بيضون، بيروت. </w:t>
      </w:r>
    </w:p>
  </w:endnote>
  <w:endnote w:id="564">
    <w:p w:rsidR="00C14EDE" w:rsidRPr="00282AC9" w:rsidRDefault="00C14EDE" w:rsidP="00446290">
      <w:pPr>
        <w:pStyle w:val="afc"/>
        <w:spacing w:line="288" w:lineRule="exact"/>
        <w:ind w:firstLine="0"/>
        <w:rPr>
          <w:rFonts w:ascii="Noor_Mitra" w:hAnsi="Noor_Mitra" w:cs="DanaFajr"/>
          <w:sz w:val="28"/>
          <w:szCs w:val="28"/>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ابن قتيبة الدينوري (المنسوب)</w:t>
      </w:r>
      <w:r w:rsidRPr="00282AC9">
        <w:rPr>
          <w:rFonts w:ascii="Noor_Mitra" w:hAnsi="Noor_Mitra" w:cs="DanaFajr" w:hint="cs"/>
          <w:sz w:val="28"/>
          <w:szCs w:val="28"/>
          <w:rtl/>
        </w:rPr>
        <w:t xml:space="preserve">، </w:t>
      </w:r>
      <w:r w:rsidRPr="00282AC9">
        <w:rPr>
          <w:rFonts w:ascii="Noor_Mitra" w:hAnsi="Noor_Mitra" w:cs="DanaFajr"/>
          <w:sz w:val="28"/>
          <w:szCs w:val="28"/>
          <w:rtl/>
        </w:rPr>
        <w:t xml:space="preserve">الإمامة والسياسة ‏2: </w:t>
      </w:r>
      <w:r w:rsidRPr="00282AC9">
        <w:rPr>
          <w:rFonts w:ascii="Noor_Mitra" w:hAnsi="Noor_Mitra" w:cs="DanaFajr" w:hint="cs"/>
          <w:sz w:val="28"/>
          <w:szCs w:val="28"/>
          <w:rtl/>
        </w:rPr>
        <w:t>4</w:t>
      </w:r>
      <w:r w:rsidRPr="00282AC9">
        <w:rPr>
          <w:rFonts w:ascii="Noor_Mitra" w:hAnsi="Noor_Mitra" w:cs="DanaFajr"/>
          <w:sz w:val="28"/>
          <w:szCs w:val="28"/>
          <w:rtl/>
        </w:rPr>
        <w:t>8، تحقيق</w:t>
      </w:r>
      <w:r w:rsidRPr="00282AC9">
        <w:rPr>
          <w:rFonts w:ascii="Noor_Mitra" w:hAnsi="Noor_Mitra" w:cs="DanaFajr" w:hint="cs"/>
          <w:sz w:val="28"/>
          <w:szCs w:val="28"/>
          <w:rtl/>
        </w:rPr>
        <w:t>:</w:t>
      </w:r>
      <w:r w:rsidRPr="00282AC9">
        <w:rPr>
          <w:rFonts w:ascii="Noor_Mitra" w:hAnsi="Noor_Mitra" w:cs="DanaFajr"/>
          <w:sz w:val="28"/>
          <w:szCs w:val="28"/>
          <w:rtl/>
        </w:rPr>
        <w:t xml:space="preserve"> علي شيري، دار</w:t>
      </w:r>
      <w:r w:rsidRPr="00282AC9">
        <w:rPr>
          <w:rFonts w:ascii="Noor_Mitra" w:hAnsi="Noor_Mitra" w:cs="DanaFajr" w:hint="cs"/>
          <w:sz w:val="28"/>
          <w:szCs w:val="28"/>
          <w:rtl/>
        </w:rPr>
        <w:t xml:space="preserve"> </w:t>
      </w:r>
      <w:r w:rsidRPr="00282AC9">
        <w:rPr>
          <w:rFonts w:ascii="Noor_Mitra" w:hAnsi="Noor_Mitra" w:cs="DanaFajr"/>
          <w:sz w:val="28"/>
          <w:szCs w:val="28"/>
          <w:rtl/>
        </w:rPr>
        <w:t>الأضواء، بيروت، ط1، 1</w:t>
      </w:r>
      <w:r w:rsidRPr="00282AC9">
        <w:rPr>
          <w:rFonts w:ascii="Noor_Mitra" w:hAnsi="Noor_Mitra" w:cs="DanaFajr" w:hint="cs"/>
          <w:sz w:val="28"/>
          <w:szCs w:val="28"/>
          <w:rtl/>
        </w:rPr>
        <w:t>4</w:t>
      </w:r>
      <w:r w:rsidRPr="00282AC9">
        <w:rPr>
          <w:rFonts w:ascii="Noor_Mitra" w:hAnsi="Noor_Mitra" w:cs="DanaFajr"/>
          <w:sz w:val="28"/>
          <w:szCs w:val="28"/>
          <w:rtl/>
        </w:rPr>
        <w:t>10هـ.</w:t>
      </w:r>
    </w:p>
  </w:endnote>
  <w:endnote w:id="565">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ابن هشام</w:t>
      </w:r>
      <w:r w:rsidRPr="00282AC9">
        <w:rPr>
          <w:rFonts w:ascii="Noor_Mitra" w:hAnsi="Noor_Mitra" w:cs="DanaFajr" w:hint="cs"/>
          <w:sz w:val="28"/>
          <w:szCs w:val="28"/>
          <w:rtl/>
        </w:rPr>
        <w:t>،</w:t>
      </w:r>
      <w:r w:rsidRPr="00282AC9">
        <w:rPr>
          <w:rFonts w:ascii="Noor_Mitra" w:hAnsi="Noor_Mitra" w:cs="DanaFajr"/>
          <w:sz w:val="28"/>
          <w:szCs w:val="28"/>
          <w:rtl/>
        </w:rPr>
        <w:t xml:space="preserve"> السيرة النبوية ‏2: </w:t>
      </w:r>
      <w:r w:rsidRPr="00282AC9">
        <w:rPr>
          <w:rFonts w:ascii="Noor_Mitra" w:hAnsi="Noor_Mitra" w:cs="DanaFajr" w:hint="cs"/>
          <w:sz w:val="28"/>
          <w:szCs w:val="28"/>
          <w:rtl/>
        </w:rPr>
        <w:t>4</w:t>
      </w:r>
      <w:r w:rsidRPr="00282AC9">
        <w:rPr>
          <w:rFonts w:ascii="Noor_Mitra" w:hAnsi="Noor_Mitra" w:cs="DanaFajr"/>
          <w:sz w:val="28"/>
          <w:szCs w:val="28"/>
          <w:rtl/>
        </w:rPr>
        <w:t>19؛ ابن سلام، طبقات فحول الشعراء ‏1: 2</w:t>
      </w:r>
      <w:r w:rsidRPr="00282AC9">
        <w:rPr>
          <w:rFonts w:ascii="Noor_Mitra" w:hAnsi="Noor_Mitra" w:cs="DanaFajr" w:hint="cs"/>
          <w:sz w:val="28"/>
          <w:szCs w:val="28"/>
          <w:rtl/>
        </w:rPr>
        <w:t>4</w:t>
      </w:r>
      <w:r w:rsidRPr="00282AC9">
        <w:rPr>
          <w:rFonts w:ascii="Noor_Mitra" w:hAnsi="Noor_Mitra" w:cs="DanaFajr"/>
          <w:sz w:val="28"/>
          <w:szCs w:val="28"/>
          <w:rtl/>
        </w:rPr>
        <w:t>2، تحقيق</w:t>
      </w:r>
      <w:r w:rsidRPr="00282AC9">
        <w:rPr>
          <w:rFonts w:ascii="Noor_Mitra" w:hAnsi="Noor_Mitra" w:cs="DanaFajr" w:hint="cs"/>
          <w:sz w:val="28"/>
          <w:szCs w:val="28"/>
          <w:rtl/>
        </w:rPr>
        <w:t>:</w:t>
      </w:r>
      <w:r w:rsidRPr="00282AC9">
        <w:rPr>
          <w:rFonts w:ascii="Noor_Mitra" w:hAnsi="Noor_Mitra" w:cs="DanaFajr"/>
          <w:sz w:val="28"/>
          <w:szCs w:val="28"/>
          <w:rtl/>
        </w:rPr>
        <w:t xml:space="preserve"> محمود محمد شاكر، </w:t>
      </w:r>
      <w:r w:rsidRPr="00282AC9">
        <w:rPr>
          <w:rFonts w:ascii="Noor_Mitra" w:hAnsi="Noor_Mitra" w:cs="DanaFajr"/>
          <w:sz w:val="28"/>
          <w:szCs w:val="28"/>
          <w:rtl/>
          <w:lang w:bidi="fa-IR"/>
        </w:rPr>
        <w:t>دار المدني</w:t>
      </w:r>
      <w:r w:rsidRPr="00282AC9">
        <w:rPr>
          <w:rFonts w:ascii="Noor_Mitra" w:hAnsi="Noor_Mitra" w:cs="DanaFajr"/>
          <w:sz w:val="28"/>
          <w:szCs w:val="28"/>
          <w:rtl/>
        </w:rPr>
        <w:t>، السعودية ـ جد</w:t>
      </w:r>
      <w:r w:rsidRPr="00282AC9">
        <w:rPr>
          <w:rFonts w:ascii="Noor_Mitra" w:hAnsi="Noor_Mitra" w:cs="DanaFajr" w:hint="cs"/>
          <w:sz w:val="28"/>
          <w:szCs w:val="28"/>
          <w:rtl/>
        </w:rPr>
        <w:t>ّة</w:t>
      </w:r>
      <w:r w:rsidRPr="00282AC9">
        <w:rPr>
          <w:rFonts w:ascii="Noor_Mitra" w:hAnsi="Noor_Mitra" w:cs="DanaFajr"/>
          <w:sz w:val="28"/>
          <w:szCs w:val="28"/>
          <w:rtl/>
          <w:lang w:bidi="fa-IR"/>
        </w:rPr>
        <w:t>، ط1، 1</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00هـ؛ </w:t>
      </w:r>
      <w:r w:rsidRPr="00282AC9">
        <w:rPr>
          <w:rFonts w:ascii="Noor_Mitra" w:hAnsi="Noor_Mitra" w:cs="DanaFajr"/>
          <w:sz w:val="28"/>
          <w:szCs w:val="28"/>
          <w:rtl/>
        </w:rPr>
        <w:t xml:space="preserve">تاريخ ‏الطبري ‏3: </w:t>
      </w:r>
      <w:r w:rsidRPr="00282AC9">
        <w:rPr>
          <w:rFonts w:ascii="Noor_Mitra" w:hAnsi="Noor_Mitra" w:cs="DanaFajr" w:hint="cs"/>
          <w:sz w:val="28"/>
          <w:szCs w:val="28"/>
          <w:rtl/>
        </w:rPr>
        <w:t>64</w:t>
      </w:r>
      <w:r w:rsidRPr="00282AC9">
        <w:rPr>
          <w:rFonts w:ascii="Noor_Mitra" w:hAnsi="Noor_Mitra" w:cs="DanaFajr"/>
          <w:sz w:val="28"/>
          <w:szCs w:val="28"/>
          <w:rtl/>
        </w:rPr>
        <w:t>؛ أبو نعيم</w:t>
      </w:r>
      <w:r w:rsidRPr="00282AC9">
        <w:rPr>
          <w:rFonts w:ascii="Noor_Mitra" w:hAnsi="Noor_Mitra" w:cs="DanaFajr" w:hint="cs"/>
          <w:sz w:val="28"/>
          <w:szCs w:val="28"/>
          <w:rtl/>
        </w:rPr>
        <w:t>،</w:t>
      </w:r>
      <w:r w:rsidRPr="00282AC9">
        <w:rPr>
          <w:rFonts w:ascii="Noor_Mitra" w:hAnsi="Noor_Mitra" w:cs="DanaFajr"/>
          <w:sz w:val="28"/>
          <w:szCs w:val="28"/>
          <w:rtl/>
        </w:rPr>
        <w:t xml:space="preserve"> معرفة الصحابة 3: 1</w:t>
      </w:r>
      <w:r w:rsidRPr="00282AC9">
        <w:rPr>
          <w:rFonts w:ascii="Noor_Mitra" w:hAnsi="Noor_Mitra" w:cs="DanaFajr" w:hint="cs"/>
          <w:sz w:val="28"/>
          <w:szCs w:val="28"/>
          <w:rtl/>
        </w:rPr>
        <w:t>55</w:t>
      </w:r>
      <w:r w:rsidRPr="00282AC9">
        <w:rPr>
          <w:rFonts w:ascii="Noor_Mitra" w:hAnsi="Noor_Mitra" w:cs="DanaFajr"/>
          <w:sz w:val="28"/>
          <w:szCs w:val="28"/>
          <w:rtl/>
        </w:rPr>
        <w:t>؛ ابن عبد البر</w:t>
      </w:r>
      <w:r w:rsidRPr="00282AC9">
        <w:rPr>
          <w:rFonts w:ascii="Noor_Mitra" w:hAnsi="Noor_Mitra" w:cs="DanaFajr" w:hint="cs"/>
          <w:sz w:val="28"/>
          <w:szCs w:val="28"/>
          <w:rtl/>
        </w:rPr>
        <w:t>ّ،</w:t>
      </w:r>
      <w:r w:rsidRPr="00282AC9">
        <w:rPr>
          <w:rFonts w:ascii="Noor_Mitra" w:hAnsi="Noor_Mitra" w:cs="DanaFajr"/>
          <w:sz w:val="28"/>
          <w:szCs w:val="28"/>
          <w:rtl/>
        </w:rPr>
        <w:t xml:space="preserve"> الاستيعاب ‏3: 902</w:t>
      </w:r>
      <w:r w:rsidRPr="00282AC9">
        <w:rPr>
          <w:rFonts w:ascii="Noor_Mitra" w:hAnsi="Noor_Mitra" w:cs="DanaFajr"/>
          <w:sz w:val="28"/>
          <w:szCs w:val="28"/>
          <w:rtl/>
          <w:lang w:bidi="fa-IR"/>
        </w:rPr>
        <w:t>، دار الجيل</w:t>
      </w:r>
      <w:r w:rsidRPr="00282AC9">
        <w:rPr>
          <w:rFonts w:ascii="Noor_Mitra" w:hAnsi="Noor_Mitra" w:cs="DanaFajr"/>
          <w:sz w:val="28"/>
          <w:szCs w:val="28"/>
          <w:rtl/>
        </w:rPr>
        <w:t xml:space="preserve">، </w:t>
      </w:r>
      <w:r w:rsidRPr="00282AC9">
        <w:rPr>
          <w:rFonts w:ascii="Noor_Mitra" w:hAnsi="Noor_Mitra" w:cs="DanaFajr"/>
          <w:sz w:val="28"/>
          <w:szCs w:val="28"/>
          <w:rtl/>
          <w:lang w:bidi="fa-IR"/>
        </w:rPr>
        <w:t>ب</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روت، ط1، 1</w:t>
      </w:r>
      <w:r w:rsidRPr="00282AC9">
        <w:rPr>
          <w:rFonts w:ascii="Noor_Mitra" w:hAnsi="Noor_Mitra" w:cs="DanaFajr" w:hint="cs"/>
          <w:sz w:val="28"/>
          <w:szCs w:val="28"/>
          <w:rtl/>
        </w:rPr>
        <w:t>4</w:t>
      </w:r>
      <w:r w:rsidRPr="00282AC9">
        <w:rPr>
          <w:rFonts w:ascii="Noor_Mitra" w:hAnsi="Noor_Mitra" w:cs="DanaFajr"/>
          <w:sz w:val="28"/>
          <w:szCs w:val="28"/>
          <w:rtl/>
          <w:lang w:bidi="fa-IR"/>
        </w:rPr>
        <w:t>12هـ؛ عبد الله بن عبد العزيز البكري(</w:t>
      </w:r>
      <w:r w:rsidRPr="00282AC9">
        <w:rPr>
          <w:rFonts w:ascii="Noor_Mitra" w:hAnsi="Noor_Mitra" w:cs="DanaFajr" w:hint="cs"/>
          <w:sz w:val="28"/>
          <w:szCs w:val="28"/>
          <w:rtl/>
        </w:rPr>
        <w:t>4</w:t>
      </w:r>
      <w:r w:rsidRPr="00282AC9">
        <w:rPr>
          <w:rFonts w:ascii="Noor_Mitra" w:hAnsi="Noor_Mitra" w:cs="DanaFajr"/>
          <w:sz w:val="28"/>
          <w:szCs w:val="28"/>
          <w:rtl/>
          <w:lang w:bidi="fa-IR"/>
        </w:rPr>
        <w:t>87</w:t>
      </w:r>
      <w:r w:rsidRPr="00282AC9">
        <w:rPr>
          <w:rFonts w:ascii="Noor_Mitra" w:hAnsi="Noor_Mitra" w:cs="DanaFajr" w:hint="cs"/>
          <w:sz w:val="28"/>
          <w:szCs w:val="28"/>
          <w:rtl/>
          <w:lang w:bidi="fa-IR"/>
        </w:rPr>
        <w:t>هـ</w:t>
      </w:r>
      <w:r w:rsidRPr="00282AC9">
        <w:rPr>
          <w:rFonts w:ascii="Noor_Mitra" w:hAnsi="Noor_Mitra" w:cs="DanaFajr"/>
          <w:sz w:val="28"/>
          <w:szCs w:val="28"/>
          <w:rtl/>
          <w:lang w:bidi="fa-IR"/>
        </w:rPr>
        <w:t>)</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سمط اللآلي ‏2: 833،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عبد العزيز الميمني، دار الكتب العلمية، بيروت؛</w:t>
      </w:r>
      <w:r w:rsidRPr="00282AC9">
        <w:rPr>
          <w:rFonts w:ascii="Noor_Mitra" w:hAnsi="Noor_Mitra" w:cs="DanaFajr"/>
          <w:sz w:val="28"/>
          <w:szCs w:val="28"/>
          <w:rtl/>
        </w:rPr>
        <w:t xml:space="preserve"> ابن الأث</w:t>
      </w:r>
      <w:r w:rsidRPr="00282AC9">
        <w:rPr>
          <w:rFonts w:ascii="Noor_Mitra" w:hAnsi="Noor_Mitra" w:cs="DanaFajr" w:hint="cs"/>
          <w:sz w:val="28"/>
          <w:szCs w:val="28"/>
          <w:rtl/>
        </w:rPr>
        <w:t>ي</w:t>
      </w:r>
      <w:r w:rsidRPr="00282AC9">
        <w:rPr>
          <w:rFonts w:ascii="Noor_Mitra" w:hAnsi="Noor_Mitra" w:cs="DanaFajr"/>
          <w:sz w:val="28"/>
          <w:szCs w:val="28"/>
          <w:rtl/>
        </w:rPr>
        <w:t>ر</w:t>
      </w:r>
      <w:r w:rsidRPr="00282AC9">
        <w:rPr>
          <w:rFonts w:ascii="Noor_Mitra" w:hAnsi="Noor_Mitra" w:cs="DanaFajr" w:hint="cs"/>
          <w:sz w:val="28"/>
          <w:szCs w:val="28"/>
          <w:rtl/>
        </w:rPr>
        <w:t>،</w:t>
      </w:r>
      <w:r w:rsidRPr="00282AC9">
        <w:rPr>
          <w:rFonts w:ascii="Noor_Mitra" w:hAnsi="Noor_Mitra" w:cs="DanaFajr"/>
          <w:sz w:val="28"/>
          <w:szCs w:val="28"/>
          <w:rtl/>
        </w:rPr>
        <w:t xml:space="preserve"> أسد الغابة ‏3: 13</w:t>
      </w:r>
      <w:r w:rsidRPr="00282AC9">
        <w:rPr>
          <w:rFonts w:ascii="Noor_Mitra" w:hAnsi="Noor_Mitra" w:cs="DanaFajr" w:hint="cs"/>
          <w:sz w:val="28"/>
          <w:szCs w:val="28"/>
          <w:rtl/>
        </w:rPr>
        <w:t>5</w:t>
      </w:r>
      <w:r w:rsidRPr="00282AC9">
        <w:rPr>
          <w:rFonts w:ascii="Noor_Mitra" w:hAnsi="Noor_Mitra" w:cs="DanaFajr"/>
          <w:sz w:val="28"/>
          <w:szCs w:val="28"/>
          <w:rtl/>
        </w:rPr>
        <w:t>؛ ابن الأث</w:t>
      </w:r>
      <w:r w:rsidRPr="00282AC9">
        <w:rPr>
          <w:rFonts w:ascii="Noor_Mitra" w:hAnsi="Noor_Mitra" w:cs="DanaFajr" w:hint="cs"/>
          <w:sz w:val="28"/>
          <w:szCs w:val="28"/>
          <w:rtl/>
        </w:rPr>
        <w:t>ي</w:t>
      </w:r>
      <w:r w:rsidRPr="00282AC9">
        <w:rPr>
          <w:rFonts w:ascii="Noor_Mitra" w:hAnsi="Noor_Mitra" w:cs="DanaFajr"/>
          <w:sz w:val="28"/>
          <w:szCs w:val="28"/>
          <w:rtl/>
        </w:rPr>
        <w:t>ر</w:t>
      </w:r>
      <w:r w:rsidRPr="00282AC9">
        <w:rPr>
          <w:rFonts w:ascii="Noor_Mitra" w:hAnsi="Noor_Mitra" w:cs="DanaFajr" w:hint="cs"/>
          <w:sz w:val="28"/>
          <w:szCs w:val="28"/>
          <w:rtl/>
        </w:rPr>
        <w:t>،</w:t>
      </w:r>
      <w:r w:rsidRPr="00282AC9">
        <w:rPr>
          <w:rFonts w:ascii="Noor_Mitra" w:hAnsi="Noor_Mitra" w:cs="DanaFajr"/>
          <w:sz w:val="28"/>
          <w:szCs w:val="28"/>
          <w:rtl/>
        </w:rPr>
        <w:t xml:space="preserve"> الكامل ‏2: 2</w:t>
      </w:r>
      <w:r w:rsidRPr="00282AC9">
        <w:rPr>
          <w:rFonts w:ascii="Noor_Mitra" w:hAnsi="Noor_Mitra" w:cs="DanaFajr" w:hint="cs"/>
          <w:sz w:val="28"/>
          <w:szCs w:val="28"/>
          <w:rtl/>
        </w:rPr>
        <w:t>5</w:t>
      </w:r>
      <w:r w:rsidRPr="00282AC9">
        <w:rPr>
          <w:rFonts w:ascii="Noor_Mitra" w:hAnsi="Noor_Mitra" w:cs="DanaFajr"/>
          <w:sz w:val="28"/>
          <w:szCs w:val="28"/>
          <w:rtl/>
        </w:rPr>
        <w:t>0؛ ابن كث</w:t>
      </w:r>
      <w:r w:rsidRPr="00282AC9">
        <w:rPr>
          <w:rFonts w:ascii="Noor_Mitra" w:hAnsi="Noor_Mitra" w:cs="DanaFajr" w:hint="cs"/>
          <w:sz w:val="28"/>
          <w:szCs w:val="28"/>
          <w:rtl/>
        </w:rPr>
        <w:t>ي</w:t>
      </w:r>
      <w:r w:rsidRPr="00282AC9">
        <w:rPr>
          <w:rFonts w:ascii="Noor_Mitra" w:hAnsi="Noor_Mitra" w:cs="DanaFajr"/>
          <w:sz w:val="28"/>
          <w:szCs w:val="28"/>
          <w:rtl/>
        </w:rPr>
        <w:t>ر</w:t>
      </w:r>
      <w:r w:rsidRPr="00282AC9">
        <w:rPr>
          <w:rFonts w:ascii="Noor_Mitra" w:hAnsi="Noor_Mitra" w:cs="DanaFajr" w:hint="cs"/>
          <w:sz w:val="28"/>
          <w:szCs w:val="28"/>
          <w:rtl/>
        </w:rPr>
        <w:t>،</w:t>
      </w:r>
      <w:r w:rsidRPr="00282AC9">
        <w:rPr>
          <w:rFonts w:ascii="Noor_Mitra" w:hAnsi="Noor_Mitra" w:cs="DanaFajr"/>
          <w:sz w:val="28"/>
          <w:szCs w:val="28"/>
          <w:rtl/>
        </w:rPr>
        <w:t xml:space="preserve"> البداية والنهاية ‏</w:t>
      </w:r>
      <w:r w:rsidRPr="00282AC9">
        <w:rPr>
          <w:rFonts w:ascii="Noor_Mitra" w:hAnsi="Noor_Mitra" w:cs="DanaFajr" w:hint="cs"/>
          <w:sz w:val="28"/>
          <w:szCs w:val="28"/>
          <w:rtl/>
        </w:rPr>
        <w:t>4</w:t>
      </w:r>
      <w:r w:rsidRPr="00282AC9">
        <w:rPr>
          <w:rFonts w:ascii="Noor_Mitra" w:hAnsi="Noor_Mitra" w:cs="DanaFajr"/>
          <w:sz w:val="28"/>
          <w:szCs w:val="28"/>
          <w:rtl/>
        </w:rPr>
        <w:t>: 308، دار الفكر، بيروت، 1</w:t>
      </w:r>
      <w:r w:rsidRPr="00282AC9">
        <w:rPr>
          <w:rFonts w:ascii="Noor_Mitra" w:hAnsi="Noor_Mitra" w:cs="DanaFajr" w:hint="cs"/>
          <w:sz w:val="28"/>
          <w:szCs w:val="28"/>
          <w:rtl/>
        </w:rPr>
        <w:t>4</w:t>
      </w:r>
      <w:r w:rsidRPr="00282AC9">
        <w:rPr>
          <w:rFonts w:ascii="Noor_Mitra" w:hAnsi="Noor_Mitra" w:cs="DanaFajr"/>
          <w:sz w:val="28"/>
          <w:szCs w:val="28"/>
          <w:rtl/>
        </w:rPr>
        <w:t>07</w:t>
      </w:r>
      <w:r w:rsidRPr="00282AC9">
        <w:rPr>
          <w:rFonts w:ascii="Noor_Mitra" w:hAnsi="Noor_Mitra" w:cs="DanaFajr" w:hint="cs"/>
          <w:sz w:val="28"/>
          <w:szCs w:val="28"/>
          <w:rtl/>
        </w:rPr>
        <w:t>هـ</w:t>
      </w:r>
      <w:r w:rsidRPr="00282AC9">
        <w:rPr>
          <w:rFonts w:ascii="Noor_Mitra" w:hAnsi="Noor_Mitra" w:cs="DanaFajr"/>
          <w:sz w:val="28"/>
          <w:szCs w:val="28"/>
          <w:rtl/>
        </w:rPr>
        <w:t xml:space="preserve">. </w:t>
      </w:r>
    </w:p>
  </w:endnote>
  <w:endnote w:id="566">
    <w:p w:rsidR="00C14EDE" w:rsidRPr="00282AC9" w:rsidRDefault="00C14EDE" w:rsidP="00446290">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غريب القرآن ف</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 xml:space="preserve"> شعر العرب، س</w:t>
      </w:r>
      <w:r w:rsidRPr="00282AC9">
        <w:rPr>
          <w:rFonts w:ascii="Noor_Mitra" w:hAnsi="Noor_Mitra" w:cs="DanaFajr"/>
          <w:sz w:val="28"/>
          <w:szCs w:val="28"/>
          <w:rtl/>
        </w:rPr>
        <w:t>ؤالات نافع إلى عبد الله بن العب</w:t>
      </w:r>
      <w:r w:rsidRPr="00282AC9">
        <w:rPr>
          <w:rFonts w:ascii="Noor_Mitra" w:hAnsi="Noor_Mitra" w:cs="DanaFajr" w:hint="cs"/>
          <w:sz w:val="28"/>
          <w:szCs w:val="28"/>
          <w:rtl/>
        </w:rPr>
        <w:t>ّ</w:t>
      </w:r>
      <w:r w:rsidRPr="00282AC9">
        <w:rPr>
          <w:rFonts w:ascii="Noor_Mitra" w:hAnsi="Noor_Mitra" w:cs="DanaFajr"/>
          <w:sz w:val="28"/>
          <w:szCs w:val="28"/>
          <w:rtl/>
        </w:rPr>
        <w:t xml:space="preserve">اس: </w:t>
      </w:r>
      <w:r w:rsidRPr="00282AC9">
        <w:rPr>
          <w:rFonts w:ascii="Noor_Mitra" w:hAnsi="Noor_Mitra" w:cs="DanaFajr"/>
          <w:sz w:val="28"/>
          <w:szCs w:val="28"/>
          <w:rtl/>
          <w:lang w:bidi="fa-IR"/>
        </w:rPr>
        <w:t>38</w:t>
      </w:r>
      <w:r w:rsidRPr="00282AC9">
        <w:rPr>
          <w:rFonts w:ascii="Noor_Mitra" w:hAnsi="Noor_Mitra" w:cs="DanaFajr"/>
          <w:sz w:val="28"/>
          <w:szCs w:val="28"/>
          <w:rtl/>
        </w:rPr>
        <w:t>، مؤس</w:t>
      </w:r>
      <w:r w:rsidRPr="00282AC9">
        <w:rPr>
          <w:rFonts w:ascii="Noor_Mitra" w:hAnsi="Noor_Mitra" w:cs="DanaFajr" w:hint="cs"/>
          <w:sz w:val="28"/>
          <w:szCs w:val="28"/>
          <w:rtl/>
        </w:rPr>
        <w:t>ّ</w:t>
      </w:r>
      <w:r w:rsidRPr="00282AC9">
        <w:rPr>
          <w:rFonts w:ascii="Noor_Mitra" w:hAnsi="Noor_Mitra" w:cs="DanaFajr"/>
          <w:sz w:val="28"/>
          <w:szCs w:val="28"/>
          <w:rtl/>
        </w:rPr>
        <w:t>سة الكتب الثقافية</w:t>
      </w:r>
      <w:r w:rsidRPr="00282AC9">
        <w:rPr>
          <w:rFonts w:ascii="Noor_Mitra" w:hAnsi="Noor_Mitra" w:cs="DanaFajr"/>
          <w:sz w:val="28"/>
          <w:szCs w:val="28"/>
          <w:rtl/>
          <w:lang w:bidi="fa-IR"/>
        </w:rPr>
        <w:t>، ب</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روت</w:t>
      </w:r>
      <w:r w:rsidRPr="00282AC9">
        <w:rPr>
          <w:rFonts w:ascii="Noor_Mitra" w:hAnsi="Noor_Mitra" w:cs="DanaFajr"/>
          <w:sz w:val="28"/>
          <w:szCs w:val="28"/>
          <w:rtl/>
        </w:rPr>
        <w:t>، ط1، 1</w:t>
      </w:r>
      <w:r w:rsidRPr="00282AC9">
        <w:rPr>
          <w:rFonts w:ascii="Noor_Mitra" w:hAnsi="Noor_Mitra" w:cs="DanaFajr" w:hint="cs"/>
          <w:sz w:val="28"/>
          <w:szCs w:val="28"/>
          <w:rtl/>
        </w:rPr>
        <w:t>4</w:t>
      </w:r>
      <w:r w:rsidRPr="00282AC9">
        <w:rPr>
          <w:rFonts w:ascii="Noor_Mitra" w:hAnsi="Noor_Mitra" w:cs="DanaFajr"/>
          <w:sz w:val="28"/>
          <w:szCs w:val="28"/>
          <w:rtl/>
        </w:rPr>
        <w:t>13هـ؛</w:t>
      </w:r>
      <w:r w:rsidRPr="00282AC9">
        <w:rPr>
          <w:rFonts w:ascii="Noor_Mitra" w:hAnsi="Noor_Mitra" w:cs="DanaFajr"/>
          <w:sz w:val="28"/>
          <w:szCs w:val="28"/>
          <w:rtl/>
          <w:lang w:bidi="fa-IR"/>
        </w:rPr>
        <w:t xml:space="preserve"> السيوطي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الدر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المنثور فى التفسير بالم</w:t>
      </w:r>
      <w:r w:rsidRPr="00282AC9">
        <w:rPr>
          <w:rFonts w:ascii="Noor_Mitra" w:hAnsi="Noor_Mitra" w:cs="DanaFajr" w:hint="cs"/>
          <w:sz w:val="28"/>
          <w:szCs w:val="28"/>
          <w:rtl/>
          <w:lang w:bidi="fa-IR"/>
        </w:rPr>
        <w:t>أ</w:t>
      </w:r>
      <w:r w:rsidRPr="00282AC9">
        <w:rPr>
          <w:rFonts w:ascii="Noor_Mitra" w:hAnsi="Noor_Mitra" w:cs="DanaFajr"/>
          <w:sz w:val="28"/>
          <w:szCs w:val="28"/>
          <w:rtl/>
          <w:lang w:bidi="fa-IR"/>
        </w:rPr>
        <w:t>ثور ‏</w:t>
      </w:r>
      <w:r w:rsidRPr="00282AC9">
        <w:rPr>
          <w:rFonts w:ascii="Noor_Mitra" w:hAnsi="Noor_Mitra" w:cs="DanaFajr" w:hint="cs"/>
          <w:sz w:val="28"/>
          <w:szCs w:val="28"/>
          <w:rtl/>
        </w:rPr>
        <w:t>4</w:t>
      </w:r>
      <w:r w:rsidRPr="00282AC9">
        <w:rPr>
          <w:rFonts w:ascii="Noor_Mitra" w:hAnsi="Noor_Mitra" w:cs="DanaFajr"/>
          <w:sz w:val="28"/>
          <w:szCs w:val="28"/>
          <w:rtl/>
          <w:lang w:bidi="fa-IR"/>
        </w:rPr>
        <w:t>: 20</w:t>
      </w:r>
      <w:r w:rsidRPr="00282AC9">
        <w:rPr>
          <w:rFonts w:ascii="Noor_Mitra" w:hAnsi="Noor_Mitra" w:cs="DanaFajr" w:hint="cs"/>
          <w:sz w:val="28"/>
          <w:szCs w:val="28"/>
          <w:rtl/>
        </w:rPr>
        <w:t>5</w:t>
      </w:r>
      <w:r w:rsidRPr="00282AC9">
        <w:rPr>
          <w:rFonts w:ascii="Noor_Mitra" w:hAnsi="Noor_Mitra" w:cs="DanaFajr"/>
          <w:sz w:val="28"/>
          <w:szCs w:val="28"/>
          <w:rtl/>
        </w:rPr>
        <w:t>، مكتبة المرعشي</w:t>
      </w:r>
      <w:r w:rsidRPr="00282AC9">
        <w:rPr>
          <w:rFonts w:ascii="Noor_Mitra" w:hAnsi="Noor_Mitra" w:cs="DanaFajr"/>
          <w:sz w:val="28"/>
          <w:szCs w:val="28"/>
          <w:rtl/>
          <w:lang w:bidi="fa-IR"/>
        </w:rPr>
        <w:t>، قم</w:t>
      </w:r>
      <w:r w:rsidRPr="00282AC9">
        <w:rPr>
          <w:rFonts w:ascii="Noor_Mitra" w:hAnsi="Noor_Mitra" w:cs="DanaFajr"/>
          <w:sz w:val="28"/>
          <w:szCs w:val="28"/>
          <w:rtl/>
        </w:rPr>
        <w:t>، ط1، 1</w:t>
      </w:r>
      <w:r w:rsidRPr="00282AC9">
        <w:rPr>
          <w:rFonts w:ascii="Noor_Mitra" w:hAnsi="Noor_Mitra" w:cs="DanaFajr" w:hint="cs"/>
          <w:sz w:val="28"/>
          <w:szCs w:val="28"/>
          <w:rtl/>
        </w:rPr>
        <w:t>4</w:t>
      </w:r>
      <w:r w:rsidRPr="00282AC9">
        <w:rPr>
          <w:rFonts w:ascii="Noor_Mitra" w:hAnsi="Noor_Mitra" w:cs="DanaFajr"/>
          <w:sz w:val="28"/>
          <w:szCs w:val="28"/>
          <w:rtl/>
        </w:rPr>
        <w:t>0</w:t>
      </w:r>
      <w:r w:rsidRPr="00282AC9">
        <w:rPr>
          <w:rFonts w:ascii="Noor_Mitra" w:hAnsi="Noor_Mitra" w:cs="DanaFajr" w:hint="cs"/>
          <w:sz w:val="28"/>
          <w:szCs w:val="28"/>
          <w:rtl/>
        </w:rPr>
        <w:t>4</w:t>
      </w:r>
      <w:r w:rsidRPr="00282AC9">
        <w:rPr>
          <w:rFonts w:ascii="Noor_Mitra" w:hAnsi="Noor_Mitra" w:cs="DanaFajr"/>
          <w:sz w:val="28"/>
          <w:szCs w:val="28"/>
          <w:rtl/>
        </w:rPr>
        <w:t>هـ.</w:t>
      </w:r>
    </w:p>
  </w:endnote>
  <w:endnote w:id="567">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Style w:val="af9"/>
          <w:rFonts w:ascii="Noor_Mitra" w:hAnsi="Noor_Mitra" w:cs="DanaFajr"/>
          <w:sz w:val="28"/>
          <w:szCs w:val="28"/>
          <w:vertAlign w:val="baseline"/>
          <w:rtl/>
        </w:rPr>
        <w:t>(</w:t>
      </w:r>
      <w:r w:rsidRPr="00282AC9">
        <w:rPr>
          <w:rStyle w:val="af9"/>
          <w:rFonts w:ascii="Noor_Mitra" w:hAnsi="Noor_Mitra" w:cs="DanaFajr"/>
          <w:sz w:val="28"/>
          <w:szCs w:val="28"/>
          <w:vertAlign w:val="baseline"/>
        </w:rPr>
        <w:endnoteRef/>
      </w:r>
      <w:r w:rsidRPr="00282AC9">
        <w:rPr>
          <w:rStyle w:val="af9"/>
          <w:rFonts w:ascii="Noor_Mitra" w:hAnsi="Noor_Mitra" w:cs="DanaFajr"/>
          <w:sz w:val="28"/>
          <w:szCs w:val="28"/>
          <w:vertAlign w:val="baseline"/>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المبر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د</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الكامل في اللغة والأدب ‏2: </w:t>
      </w:r>
      <w:r w:rsidRPr="00282AC9">
        <w:rPr>
          <w:rFonts w:ascii="Noor_Mitra" w:hAnsi="Noor_Mitra" w:cs="DanaFajr" w:hint="cs"/>
          <w:sz w:val="28"/>
          <w:szCs w:val="28"/>
          <w:rtl/>
        </w:rPr>
        <w:t>46</w:t>
      </w:r>
      <w:r w:rsidRPr="00282AC9">
        <w:rPr>
          <w:rFonts w:ascii="Noor_Mitra" w:hAnsi="Noor_Mitra" w:cs="DanaFajr"/>
          <w:sz w:val="28"/>
          <w:szCs w:val="28"/>
          <w:rtl/>
          <w:lang w:bidi="fa-IR"/>
        </w:rPr>
        <w:t>،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تغاريد بيضون </w:t>
      </w:r>
      <w:r w:rsidRPr="00282AC9">
        <w:rPr>
          <w:rFonts w:cs="DanaFajr" w:hint="cs"/>
          <w:sz w:val="28"/>
          <w:szCs w:val="28"/>
          <w:rtl/>
          <w:lang w:bidi="fa-IR"/>
        </w:rPr>
        <w:t>و</w:t>
      </w:r>
      <w:r w:rsidRPr="00282AC9">
        <w:rPr>
          <w:rFonts w:ascii="Noor_Mitra" w:hAnsi="Noor_Mitra" w:cs="DanaFajr"/>
          <w:sz w:val="28"/>
          <w:szCs w:val="28"/>
          <w:rtl/>
          <w:lang w:bidi="fa-IR"/>
        </w:rPr>
        <w:t>نعيم زرزور، دار الكتب العلمية، بيروت، 1</w:t>
      </w:r>
      <w:r w:rsidRPr="00282AC9">
        <w:rPr>
          <w:rFonts w:ascii="Noor_Mitra" w:hAnsi="Noor_Mitra" w:cs="DanaFajr" w:hint="cs"/>
          <w:sz w:val="28"/>
          <w:szCs w:val="28"/>
          <w:rtl/>
        </w:rPr>
        <w:t>4</w:t>
      </w:r>
      <w:r w:rsidRPr="00282AC9">
        <w:rPr>
          <w:rFonts w:ascii="Noor_Mitra" w:hAnsi="Noor_Mitra" w:cs="DanaFajr"/>
          <w:sz w:val="28"/>
          <w:szCs w:val="28"/>
          <w:rtl/>
          <w:lang w:bidi="fa-IR"/>
        </w:rPr>
        <w:t>09هـ.</w:t>
      </w:r>
    </w:p>
  </w:endnote>
  <w:endnote w:id="568">
    <w:p w:rsidR="00C14EDE" w:rsidRPr="00282AC9" w:rsidRDefault="00C14EDE" w:rsidP="00446290">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الأزهري</w:t>
      </w:r>
      <w:r w:rsidRPr="00282AC9">
        <w:rPr>
          <w:rFonts w:ascii="Noor_Mitra" w:hAnsi="Noor_Mitra" w:cs="DanaFajr" w:hint="cs"/>
          <w:sz w:val="28"/>
          <w:szCs w:val="28"/>
          <w:rtl/>
        </w:rPr>
        <w:t>،</w:t>
      </w:r>
      <w:r w:rsidRPr="00282AC9">
        <w:rPr>
          <w:rFonts w:ascii="Noor_Mitra" w:hAnsi="Noor_Mitra" w:cs="DanaFajr"/>
          <w:sz w:val="28"/>
          <w:szCs w:val="28"/>
          <w:rtl/>
          <w:lang w:bidi="fa-IR"/>
        </w:rPr>
        <w:t xml:space="preserve"> تهذيب اللغة ‏13: 3</w:t>
      </w:r>
      <w:r w:rsidRPr="00282AC9">
        <w:rPr>
          <w:rFonts w:ascii="Noor_Mitra" w:hAnsi="Noor_Mitra" w:cs="DanaFajr" w:hint="cs"/>
          <w:sz w:val="28"/>
          <w:szCs w:val="28"/>
          <w:rtl/>
        </w:rPr>
        <w:t>4</w:t>
      </w:r>
      <w:r w:rsidRPr="00282AC9">
        <w:rPr>
          <w:rFonts w:ascii="Noor_Mitra" w:hAnsi="Noor_Mitra" w:cs="DanaFajr"/>
          <w:sz w:val="28"/>
          <w:szCs w:val="28"/>
          <w:rtl/>
          <w:lang w:bidi="fa-IR"/>
        </w:rPr>
        <w:t>؛ أبو عبيد قاسم بن سلام</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الغريب المصن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ف ‏2: </w:t>
      </w:r>
      <w:r w:rsidRPr="00282AC9">
        <w:rPr>
          <w:rFonts w:ascii="Noor_Mitra" w:hAnsi="Noor_Mitra" w:cs="DanaFajr" w:hint="cs"/>
          <w:sz w:val="28"/>
          <w:szCs w:val="28"/>
          <w:rtl/>
        </w:rPr>
        <w:t>5</w:t>
      </w:r>
      <w:r w:rsidRPr="00282AC9">
        <w:rPr>
          <w:rFonts w:ascii="Noor_Mitra" w:hAnsi="Noor_Mitra" w:cs="DanaFajr"/>
          <w:sz w:val="28"/>
          <w:szCs w:val="28"/>
          <w:rtl/>
          <w:lang w:bidi="fa-IR"/>
        </w:rPr>
        <w:t>93،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محمد العبيدي، بيت الحكمة، تونس، ط1، 1990م؛ ابن دريد</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جمهرة اللغة ‏2: 72</w:t>
      </w:r>
      <w:r w:rsidRPr="00282AC9">
        <w:rPr>
          <w:rFonts w:ascii="Noor_Mitra" w:hAnsi="Noor_Mitra" w:cs="DanaFajr" w:hint="cs"/>
          <w:sz w:val="28"/>
          <w:szCs w:val="28"/>
          <w:rtl/>
        </w:rPr>
        <w:t>5</w:t>
      </w:r>
      <w:r w:rsidRPr="00282AC9">
        <w:rPr>
          <w:rFonts w:ascii="Noor_Mitra" w:hAnsi="Noor_Mitra" w:cs="DanaFajr"/>
          <w:sz w:val="28"/>
          <w:szCs w:val="28"/>
          <w:rtl/>
          <w:lang w:bidi="fa-IR"/>
        </w:rPr>
        <w:t>،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رمزي منير بعلبكي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دار العلم للملايين، بيروت، ط1، 1988م؛ </w:t>
      </w:r>
      <w:r w:rsidRPr="00282AC9">
        <w:rPr>
          <w:rFonts w:ascii="Noor_Mitra" w:hAnsi="Noor_Mitra" w:cs="DanaFajr" w:hint="cs"/>
          <w:sz w:val="28"/>
          <w:szCs w:val="28"/>
          <w:rtl/>
          <w:lang w:bidi="fa-IR"/>
        </w:rPr>
        <w:t>ال</w:t>
      </w:r>
      <w:r w:rsidRPr="00282AC9">
        <w:rPr>
          <w:rFonts w:ascii="Noor_Mitra" w:hAnsi="Noor_Mitra" w:cs="DanaFajr"/>
          <w:sz w:val="28"/>
          <w:szCs w:val="28"/>
          <w:rtl/>
          <w:lang w:bidi="fa-IR"/>
        </w:rPr>
        <w:t>صاحب بن عب</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اد</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المحيط في اللغة ‏8: 37</w:t>
      </w:r>
      <w:r w:rsidRPr="00282AC9">
        <w:rPr>
          <w:rFonts w:ascii="Noor_Mitra" w:hAnsi="Noor_Mitra" w:cs="DanaFajr" w:hint="cs"/>
          <w:sz w:val="28"/>
          <w:szCs w:val="28"/>
          <w:rtl/>
        </w:rPr>
        <w:t>6</w:t>
      </w:r>
      <w:r w:rsidRPr="00282AC9">
        <w:rPr>
          <w:rFonts w:ascii="Noor_Mitra" w:hAnsi="Noor_Mitra" w:cs="DanaFajr"/>
          <w:sz w:val="28"/>
          <w:szCs w:val="28"/>
          <w:rtl/>
          <w:lang w:bidi="fa-IR"/>
        </w:rPr>
        <w:t>؛</w:t>
      </w:r>
      <w:r w:rsidRPr="00282AC9">
        <w:rPr>
          <w:rFonts w:ascii="Noor_Mitra" w:hAnsi="Noor_Mitra" w:cs="DanaFajr"/>
          <w:sz w:val="28"/>
          <w:szCs w:val="28"/>
          <w:rtl/>
        </w:rPr>
        <w:t xml:space="preserve"> </w:t>
      </w:r>
      <w:r w:rsidRPr="00282AC9">
        <w:rPr>
          <w:rFonts w:ascii="Noor_Mitra" w:hAnsi="Noor_Mitra" w:cs="DanaFajr"/>
          <w:sz w:val="28"/>
          <w:szCs w:val="28"/>
          <w:rtl/>
          <w:lang w:bidi="fa-IR"/>
        </w:rPr>
        <w:t xml:space="preserve">الصحاح ‏2: </w:t>
      </w:r>
      <w:r w:rsidRPr="00282AC9">
        <w:rPr>
          <w:rFonts w:ascii="Noor_Mitra" w:hAnsi="Noor_Mitra" w:cs="DanaFajr" w:hint="cs"/>
          <w:sz w:val="28"/>
          <w:szCs w:val="28"/>
          <w:rtl/>
        </w:rPr>
        <w:t>6</w:t>
      </w:r>
      <w:r w:rsidRPr="00282AC9">
        <w:rPr>
          <w:rFonts w:ascii="Noor_Mitra" w:hAnsi="Noor_Mitra" w:cs="DanaFajr"/>
          <w:sz w:val="28"/>
          <w:szCs w:val="28"/>
          <w:rtl/>
          <w:lang w:bidi="fa-IR"/>
        </w:rPr>
        <w:t>91؛ ‏</w:t>
      </w:r>
      <w:r w:rsidRPr="00282AC9">
        <w:rPr>
          <w:rFonts w:ascii="Noor_Mitra" w:hAnsi="Noor_Mitra" w:cs="DanaFajr" w:hint="cs"/>
          <w:sz w:val="28"/>
          <w:szCs w:val="28"/>
          <w:rtl/>
        </w:rPr>
        <w:t>5</w:t>
      </w:r>
      <w:r w:rsidRPr="00282AC9">
        <w:rPr>
          <w:rFonts w:ascii="Noor_Mitra" w:hAnsi="Noor_Mitra" w:cs="DanaFajr"/>
          <w:sz w:val="28"/>
          <w:szCs w:val="28"/>
          <w:rtl/>
          <w:lang w:bidi="fa-IR"/>
        </w:rPr>
        <w:t xml:space="preserve">: 2139؛ ابن فارس، معجم مقاييس اللغة ‏3: </w:t>
      </w:r>
      <w:r w:rsidRPr="00282AC9">
        <w:rPr>
          <w:rFonts w:ascii="Noor_Mitra" w:hAnsi="Noor_Mitra" w:cs="DanaFajr" w:hint="cs"/>
          <w:sz w:val="28"/>
          <w:szCs w:val="28"/>
          <w:rtl/>
        </w:rPr>
        <w:t>6</w:t>
      </w:r>
      <w:r w:rsidRPr="00282AC9">
        <w:rPr>
          <w:rFonts w:ascii="Noor_Mitra" w:hAnsi="Noor_Mitra" w:cs="DanaFajr"/>
          <w:sz w:val="28"/>
          <w:szCs w:val="28"/>
          <w:rtl/>
          <w:lang w:bidi="fa-IR"/>
        </w:rPr>
        <w:t>1</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 xml:space="preserve">121؛ </w:t>
      </w:r>
      <w:r w:rsidRPr="00282AC9">
        <w:rPr>
          <w:rFonts w:ascii="Noor_Mitra" w:hAnsi="Noor_Mitra" w:cs="DanaFajr"/>
          <w:sz w:val="28"/>
          <w:szCs w:val="28"/>
          <w:rtl/>
        </w:rPr>
        <w:t>ابن سيدة</w:t>
      </w:r>
      <w:r w:rsidRPr="00282AC9">
        <w:rPr>
          <w:rFonts w:ascii="Noor_Mitra" w:hAnsi="Noor_Mitra" w:cs="DanaFajr" w:hint="cs"/>
          <w:sz w:val="28"/>
          <w:szCs w:val="28"/>
          <w:rtl/>
        </w:rPr>
        <w:t>،</w:t>
      </w:r>
      <w:r w:rsidRPr="00282AC9">
        <w:rPr>
          <w:rFonts w:ascii="Noor_Mitra" w:hAnsi="Noor_Mitra" w:cs="DanaFajr"/>
          <w:sz w:val="28"/>
          <w:szCs w:val="28"/>
          <w:rtl/>
          <w:lang w:bidi="fa-IR"/>
        </w:rPr>
        <w:t xml:space="preserve"> المحكم والمحيط ‏8: </w:t>
      </w:r>
      <w:r w:rsidRPr="00282AC9">
        <w:rPr>
          <w:rFonts w:ascii="Noor_Mitra" w:hAnsi="Noor_Mitra" w:cs="DanaFajr" w:hint="cs"/>
          <w:sz w:val="28"/>
          <w:szCs w:val="28"/>
          <w:rtl/>
        </w:rPr>
        <w:t>5</w:t>
      </w:r>
      <w:r w:rsidRPr="00282AC9">
        <w:rPr>
          <w:rFonts w:ascii="Noor_Mitra" w:hAnsi="Noor_Mitra" w:cs="DanaFajr"/>
          <w:sz w:val="28"/>
          <w:szCs w:val="28"/>
          <w:rtl/>
          <w:lang w:bidi="fa-IR"/>
        </w:rPr>
        <w:t>72؛ ابن سيدة، المخص</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ص ‏1</w:t>
      </w:r>
      <w:r w:rsidRPr="00282AC9">
        <w:rPr>
          <w:rFonts w:ascii="Noor_Mitra" w:hAnsi="Noor_Mitra" w:cs="DanaFajr" w:hint="cs"/>
          <w:sz w:val="28"/>
          <w:szCs w:val="28"/>
          <w:rtl/>
        </w:rPr>
        <w:t>4</w:t>
      </w:r>
      <w:r w:rsidRPr="00282AC9">
        <w:rPr>
          <w:rFonts w:ascii="Noor_Mitra" w:hAnsi="Noor_Mitra" w:cs="DanaFajr"/>
          <w:sz w:val="28"/>
          <w:szCs w:val="28"/>
          <w:rtl/>
          <w:lang w:bidi="fa-IR"/>
        </w:rPr>
        <w:t>: 2</w:t>
      </w:r>
      <w:r w:rsidRPr="00282AC9">
        <w:rPr>
          <w:rFonts w:ascii="Noor_Mitra" w:hAnsi="Noor_Mitra" w:cs="DanaFajr" w:hint="cs"/>
          <w:sz w:val="28"/>
          <w:szCs w:val="28"/>
          <w:rtl/>
        </w:rPr>
        <w:t>4</w:t>
      </w:r>
      <w:r w:rsidRPr="00282AC9">
        <w:rPr>
          <w:rFonts w:ascii="Noor_Mitra" w:hAnsi="Noor_Mitra" w:cs="DanaFajr"/>
          <w:sz w:val="28"/>
          <w:szCs w:val="28"/>
          <w:rtl/>
          <w:lang w:bidi="fa-IR"/>
        </w:rPr>
        <w:t>1</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w:t>
      </w:r>
      <w:r w:rsidRPr="00282AC9">
        <w:rPr>
          <w:rFonts w:ascii="Noor_Mitra" w:hAnsi="Noor_Mitra" w:cs="DanaFajr"/>
          <w:sz w:val="28"/>
          <w:szCs w:val="28"/>
          <w:rtl/>
        </w:rPr>
        <w:t>دار الكتب العلمية</w:t>
      </w:r>
      <w:r w:rsidRPr="00282AC9">
        <w:rPr>
          <w:rFonts w:ascii="Noor_Mitra" w:hAnsi="Noor_Mitra" w:cs="DanaFajr"/>
          <w:sz w:val="28"/>
          <w:szCs w:val="28"/>
          <w:rtl/>
          <w:lang w:bidi="fa-IR"/>
        </w:rPr>
        <w:t>، بيروت</w:t>
      </w:r>
      <w:r w:rsidRPr="00282AC9">
        <w:rPr>
          <w:rFonts w:ascii="Noor_Mitra" w:hAnsi="Noor_Mitra" w:cs="DanaFajr"/>
          <w:sz w:val="28"/>
          <w:szCs w:val="28"/>
          <w:rtl/>
        </w:rPr>
        <w:t>، ط1؛</w:t>
      </w:r>
      <w:r w:rsidRPr="00282AC9">
        <w:rPr>
          <w:rFonts w:ascii="Noor_Mitra" w:hAnsi="Noor_Mitra" w:cs="DanaFajr"/>
          <w:sz w:val="28"/>
          <w:szCs w:val="28"/>
          <w:rtl/>
          <w:lang w:bidi="fa-IR"/>
        </w:rPr>
        <w:t xml:space="preserve"> الزمخشري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أساس البلاغة: 317؛ الزبيدي، تاج العروس ‏</w:t>
      </w:r>
      <w:r w:rsidRPr="00282AC9">
        <w:rPr>
          <w:rFonts w:ascii="Noor_Mitra" w:hAnsi="Noor_Mitra" w:cs="DanaFajr" w:hint="cs"/>
          <w:sz w:val="28"/>
          <w:szCs w:val="28"/>
          <w:rtl/>
        </w:rPr>
        <w:t>6</w:t>
      </w:r>
      <w:r w:rsidRPr="00282AC9">
        <w:rPr>
          <w:rFonts w:ascii="Noor_Mitra" w:hAnsi="Noor_Mitra" w:cs="DanaFajr"/>
          <w:sz w:val="28"/>
          <w:szCs w:val="28"/>
          <w:rtl/>
          <w:lang w:bidi="fa-IR"/>
        </w:rPr>
        <w:t xml:space="preserve">: </w:t>
      </w:r>
      <w:r w:rsidRPr="00282AC9">
        <w:rPr>
          <w:rFonts w:ascii="Noor_Mitra" w:hAnsi="Noor_Mitra" w:cs="DanaFajr" w:hint="cs"/>
          <w:sz w:val="28"/>
          <w:szCs w:val="28"/>
          <w:rtl/>
        </w:rPr>
        <w:t>55</w:t>
      </w:r>
      <w:r w:rsidRPr="00282AC9">
        <w:rPr>
          <w:rFonts w:ascii="Noor_Mitra" w:hAnsi="Noor_Mitra" w:cs="DanaFajr"/>
          <w:sz w:val="28"/>
          <w:szCs w:val="28"/>
          <w:rtl/>
          <w:lang w:bidi="fa-IR"/>
        </w:rPr>
        <w:t>9،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علي الهلالي </w:t>
      </w:r>
      <w:r w:rsidRPr="00282AC9">
        <w:rPr>
          <w:rFonts w:ascii="Noor_Mitra" w:hAnsi="Noor_Mitra" w:cs="DanaFajr" w:hint="cs"/>
          <w:sz w:val="28"/>
          <w:szCs w:val="28"/>
          <w:rtl/>
          <w:lang w:bidi="fa-IR"/>
        </w:rPr>
        <w:t>و</w:t>
      </w:r>
      <w:r w:rsidRPr="00282AC9">
        <w:rPr>
          <w:rFonts w:ascii="Noor_Mitra" w:hAnsi="Noor_Mitra" w:cs="DanaFajr"/>
          <w:sz w:val="28"/>
          <w:szCs w:val="28"/>
          <w:rtl/>
          <w:lang w:bidi="fa-IR"/>
        </w:rPr>
        <w:t>سيري علي، بيروت، ط1، 1</w:t>
      </w:r>
      <w:r w:rsidRPr="00282AC9">
        <w:rPr>
          <w:rFonts w:ascii="Noor_Mitra" w:hAnsi="Noor_Mitra" w:cs="DanaFajr" w:hint="cs"/>
          <w:sz w:val="28"/>
          <w:szCs w:val="28"/>
          <w:rtl/>
        </w:rPr>
        <w:t>4</w:t>
      </w:r>
      <w:r w:rsidRPr="00282AC9">
        <w:rPr>
          <w:rFonts w:ascii="Noor_Mitra" w:hAnsi="Noor_Mitra" w:cs="DanaFajr"/>
          <w:sz w:val="28"/>
          <w:szCs w:val="28"/>
          <w:rtl/>
          <w:lang w:bidi="fa-IR"/>
        </w:rPr>
        <w:t>1</w:t>
      </w:r>
      <w:r w:rsidRPr="00282AC9">
        <w:rPr>
          <w:rFonts w:ascii="Noor_Mitra" w:hAnsi="Noor_Mitra" w:cs="DanaFajr" w:hint="cs"/>
          <w:sz w:val="28"/>
          <w:szCs w:val="28"/>
          <w:rtl/>
        </w:rPr>
        <w:t>4</w:t>
      </w:r>
      <w:r w:rsidRPr="00282AC9">
        <w:rPr>
          <w:rFonts w:ascii="Noor_Mitra" w:hAnsi="Noor_Mitra" w:cs="DanaFajr"/>
          <w:sz w:val="28"/>
          <w:szCs w:val="28"/>
          <w:rtl/>
          <w:lang w:bidi="fa-IR"/>
        </w:rPr>
        <w:t>هـ.</w:t>
      </w:r>
    </w:p>
  </w:endnote>
  <w:endnote w:id="569">
    <w:p w:rsidR="00C14EDE" w:rsidRPr="00282AC9" w:rsidRDefault="00C14EDE" w:rsidP="00EB776D">
      <w:pPr>
        <w:pStyle w:val="afc"/>
        <w:spacing w:line="290"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الإصفهاني، الأغاني</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w:t>
      </w:r>
      <w:r w:rsidRPr="00282AC9">
        <w:rPr>
          <w:rFonts w:ascii="Noor_Mitra" w:hAnsi="Noor_Mitra" w:cs="DanaFajr" w:hint="cs"/>
          <w:sz w:val="28"/>
          <w:szCs w:val="28"/>
          <w:rtl/>
        </w:rPr>
        <w:t>6</w:t>
      </w:r>
      <w:r w:rsidRPr="00282AC9">
        <w:rPr>
          <w:rFonts w:ascii="Noor_Mitra" w:hAnsi="Noor_Mitra" w:cs="DanaFajr" w:hint="cs"/>
          <w:sz w:val="28"/>
          <w:szCs w:val="28"/>
          <w:rtl/>
          <w:lang w:bidi="fa-IR"/>
        </w:rPr>
        <w:t xml:space="preserve">: </w:t>
      </w:r>
      <w:r w:rsidRPr="00282AC9">
        <w:rPr>
          <w:rFonts w:ascii="Noor_Mitra" w:hAnsi="Noor_Mitra" w:cs="DanaFajr" w:hint="cs"/>
          <w:sz w:val="28"/>
          <w:szCs w:val="28"/>
          <w:rtl/>
        </w:rPr>
        <w:t>4</w:t>
      </w:r>
      <w:r w:rsidRPr="00282AC9">
        <w:rPr>
          <w:rFonts w:ascii="Noor_Mitra" w:hAnsi="Noor_Mitra" w:cs="DanaFajr"/>
          <w:sz w:val="28"/>
          <w:szCs w:val="28"/>
          <w:rtl/>
          <w:lang w:bidi="fa-IR"/>
        </w:rPr>
        <w:t>78، دار إحياء التراث العربي، ب</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روت، 1</w:t>
      </w:r>
      <w:r w:rsidRPr="00282AC9">
        <w:rPr>
          <w:rFonts w:ascii="Noor_Mitra" w:hAnsi="Noor_Mitra" w:cs="DanaFajr" w:hint="cs"/>
          <w:sz w:val="28"/>
          <w:szCs w:val="28"/>
          <w:rtl/>
        </w:rPr>
        <w:t>4</w:t>
      </w:r>
      <w:r w:rsidRPr="00282AC9">
        <w:rPr>
          <w:rFonts w:ascii="Noor_Mitra" w:hAnsi="Noor_Mitra" w:cs="DanaFajr"/>
          <w:sz w:val="28"/>
          <w:szCs w:val="28"/>
          <w:rtl/>
          <w:lang w:bidi="fa-IR"/>
        </w:rPr>
        <w:t>1</w:t>
      </w:r>
      <w:r w:rsidRPr="00282AC9">
        <w:rPr>
          <w:rFonts w:ascii="Noor_Mitra" w:hAnsi="Noor_Mitra" w:cs="DanaFajr" w:hint="cs"/>
          <w:sz w:val="28"/>
          <w:szCs w:val="28"/>
          <w:rtl/>
        </w:rPr>
        <w:t>5</w:t>
      </w:r>
      <w:r w:rsidRPr="00282AC9">
        <w:rPr>
          <w:rFonts w:ascii="Noor_Mitra" w:hAnsi="Noor_Mitra" w:cs="DanaFajr"/>
          <w:sz w:val="28"/>
          <w:szCs w:val="28"/>
          <w:rtl/>
          <w:lang w:bidi="fa-IR"/>
        </w:rPr>
        <w:t xml:space="preserve">هـ؛ </w:t>
      </w:r>
      <w:r w:rsidRPr="00282AC9">
        <w:rPr>
          <w:rFonts w:ascii="Noor_Mitra" w:hAnsi="Noor_Mitra" w:cs="DanaFajr" w:hint="cs"/>
          <w:sz w:val="28"/>
          <w:szCs w:val="28"/>
          <w:rtl/>
          <w:lang w:bidi="fa-IR"/>
        </w:rPr>
        <w:t>أ</w:t>
      </w:r>
      <w:r w:rsidRPr="00282AC9">
        <w:rPr>
          <w:rFonts w:ascii="Noor_Mitra" w:hAnsi="Noor_Mitra" w:cs="DanaFajr"/>
          <w:sz w:val="28"/>
          <w:szCs w:val="28"/>
          <w:rtl/>
          <w:lang w:bidi="fa-IR"/>
        </w:rPr>
        <w:t>بو هلال العسكر</w:t>
      </w:r>
      <w:r w:rsidRPr="00282AC9">
        <w:rPr>
          <w:rFonts w:ascii="Noor_Mitra" w:hAnsi="Noor_Mitra" w:cs="DanaFajr"/>
          <w:sz w:val="28"/>
          <w:szCs w:val="28"/>
          <w:rtl/>
        </w:rPr>
        <w:t>ي</w:t>
      </w:r>
      <w:r w:rsidRPr="00282AC9">
        <w:rPr>
          <w:rFonts w:ascii="Noor_Mitra" w:hAnsi="Noor_Mitra" w:cs="DanaFajr" w:hint="cs"/>
          <w:sz w:val="28"/>
          <w:szCs w:val="28"/>
          <w:rtl/>
        </w:rPr>
        <w:t>،</w:t>
      </w:r>
      <w:r w:rsidRPr="00282AC9">
        <w:rPr>
          <w:rFonts w:ascii="Noor_Mitra" w:hAnsi="Noor_Mitra" w:cs="DanaFajr"/>
          <w:sz w:val="28"/>
          <w:szCs w:val="28"/>
          <w:rtl/>
          <w:lang w:bidi="fa-IR"/>
        </w:rPr>
        <w:t xml:space="preserve"> ديوان المعاني ‏1: 3</w:t>
      </w:r>
      <w:r w:rsidRPr="00282AC9">
        <w:rPr>
          <w:rFonts w:ascii="Noor_Mitra" w:hAnsi="Noor_Mitra" w:cs="DanaFajr" w:hint="cs"/>
          <w:sz w:val="28"/>
          <w:szCs w:val="28"/>
          <w:rtl/>
        </w:rPr>
        <w:t>4</w:t>
      </w:r>
      <w:r w:rsidRPr="00282AC9">
        <w:rPr>
          <w:rFonts w:ascii="Noor_Mitra" w:hAnsi="Noor_Mitra" w:cs="DanaFajr"/>
          <w:sz w:val="28"/>
          <w:szCs w:val="28"/>
          <w:rtl/>
          <w:lang w:bidi="fa-IR"/>
        </w:rPr>
        <w:t>3،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أحمد سليم غانم، </w:t>
      </w:r>
      <w:r w:rsidRPr="00282AC9">
        <w:rPr>
          <w:rFonts w:ascii="Noor_Mitra" w:hAnsi="Noor_Mitra" w:cs="DanaFajr"/>
          <w:sz w:val="28"/>
          <w:szCs w:val="28"/>
          <w:rtl/>
        </w:rPr>
        <w:t>دار الغرب الإسلامي</w:t>
      </w:r>
      <w:r w:rsidRPr="00282AC9">
        <w:rPr>
          <w:rFonts w:ascii="Noor_Mitra" w:hAnsi="Noor_Mitra" w:cs="DanaFajr"/>
          <w:sz w:val="28"/>
          <w:szCs w:val="28"/>
          <w:rtl/>
          <w:lang w:bidi="fa-IR"/>
        </w:rPr>
        <w:t>، بيروت</w:t>
      </w:r>
      <w:r w:rsidRPr="00282AC9">
        <w:rPr>
          <w:rFonts w:ascii="Noor_Mitra" w:hAnsi="Noor_Mitra" w:cs="DanaFajr"/>
          <w:sz w:val="28"/>
          <w:szCs w:val="28"/>
          <w:rtl/>
        </w:rPr>
        <w:t>، ط1</w:t>
      </w:r>
      <w:r w:rsidRPr="00282AC9">
        <w:rPr>
          <w:rFonts w:ascii="Noor_Mitra" w:hAnsi="Noor_Mitra" w:cs="DanaFajr"/>
          <w:sz w:val="28"/>
          <w:szCs w:val="28"/>
          <w:rtl/>
          <w:lang w:bidi="fa-IR"/>
        </w:rPr>
        <w:t>، 1</w:t>
      </w:r>
      <w:r w:rsidRPr="00282AC9">
        <w:rPr>
          <w:rFonts w:ascii="Noor_Mitra" w:hAnsi="Noor_Mitra" w:cs="DanaFajr" w:hint="cs"/>
          <w:sz w:val="28"/>
          <w:szCs w:val="28"/>
          <w:rtl/>
        </w:rPr>
        <w:t>4</w:t>
      </w:r>
      <w:r w:rsidRPr="00282AC9">
        <w:rPr>
          <w:rFonts w:ascii="Noor_Mitra" w:hAnsi="Noor_Mitra" w:cs="DanaFajr"/>
          <w:sz w:val="28"/>
          <w:szCs w:val="28"/>
          <w:rtl/>
          <w:lang w:bidi="fa-IR"/>
        </w:rPr>
        <w:t>2</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هـ؛ تيسير المطالب: </w:t>
      </w:r>
      <w:r w:rsidRPr="00282AC9">
        <w:rPr>
          <w:rFonts w:ascii="Noor_Mitra" w:hAnsi="Noor_Mitra" w:cs="DanaFajr" w:hint="cs"/>
          <w:sz w:val="28"/>
          <w:szCs w:val="28"/>
          <w:rtl/>
        </w:rPr>
        <w:t>46</w:t>
      </w:r>
      <w:r w:rsidRPr="00282AC9">
        <w:rPr>
          <w:rFonts w:ascii="Noor_Mitra" w:hAnsi="Noor_Mitra" w:cs="DanaFajr"/>
          <w:sz w:val="28"/>
          <w:szCs w:val="28"/>
          <w:rtl/>
          <w:lang w:bidi="fa-IR"/>
        </w:rPr>
        <w:t>9،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عبدالله بن حمود العز</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 مؤس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سة زيد بن علي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الثقافية‏، صنعاء، ط1، 1</w:t>
      </w:r>
      <w:r w:rsidRPr="00282AC9">
        <w:rPr>
          <w:rFonts w:ascii="Noor_Mitra" w:hAnsi="Noor_Mitra" w:cs="DanaFajr" w:hint="cs"/>
          <w:sz w:val="28"/>
          <w:szCs w:val="28"/>
          <w:rtl/>
        </w:rPr>
        <w:t>4</w:t>
      </w:r>
      <w:r w:rsidRPr="00282AC9">
        <w:rPr>
          <w:rFonts w:ascii="Noor_Mitra" w:hAnsi="Noor_Mitra" w:cs="DanaFajr"/>
          <w:sz w:val="28"/>
          <w:szCs w:val="28"/>
          <w:rtl/>
          <w:lang w:bidi="fa-IR"/>
        </w:rPr>
        <w:t>22هـ؛ ابن عبد</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البر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القرطبي، بهجة المجالس ‏2: 788،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محمد مرسي الخولي، دار الكتب العلمية، بيروت، ط2، ‏1981م؛ ابن قتيبة، الشعر والشعراء ‏2: </w:t>
      </w:r>
      <w:r w:rsidRPr="00282AC9">
        <w:rPr>
          <w:rFonts w:ascii="Noor_Mitra" w:hAnsi="Noor_Mitra" w:cs="DanaFajr" w:hint="cs"/>
          <w:sz w:val="28"/>
          <w:szCs w:val="28"/>
          <w:rtl/>
        </w:rPr>
        <w:t>64</w:t>
      </w:r>
      <w:r w:rsidRPr="00282AC9">
        <w:rPr>
          <w:rFonts w:ascii="Noor_Mitra" w:hAnsi="Noor_Mitra" w:cs="DanaFajr"/>
          <w:sz w:val="28"/>
          <w:szCs w:val="28"/>
          <w:rtl/>
          <w:lang w:bidi="fa-IR"/>
        </w:rPr>
        <w:t>0،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أحمد محمد شاكر، دار الحديث، القاهرة، 1</w:t>
      </w:r>
      <w:r w:rsidRPr="00282AC9">
        <w:rPr>
          <w:rFonts w:ascii="Noor_Mitra" w:hAnsi="Noor_Mitra" w:cs="DanaFajr" w:hint="cs"/>
          <w:sz w:val="28"/>
          <w:szCs w:val="28"/>
          <w:rtl/>
        </w:rPr>
        <w:t>4</w:t>
      </w:r>
      <w:r w:rsidRPr="00282AC9">
        <w:rPr>
          <w:rFonts w:ascii="Noor_Mitra" w:hAnsi="Noor_Mitra" w:cs="DanaFajr"/>
          <w:sz w:val="28"/>
          <w:szCs w:val="28"/>
          <w:rtl/>
          <w:lang w:bidi="fa-IR"/>
        </w:rPr>
        <w:t>23هـ؛ ابن قتيبة</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عيون الأخبار ‏</w:t>
      </w:r>
      <w:r w:rsidRPr="00282AC9">
        <w:rPr>
          <w:rFonts w:ascii="Noor_Mitra" w:hAnsi="Noor_Mitra" w:cs="DanaFajr" w:hint="cs"/>
          <w:sz w:val="28"/>
          <w:szCs w:val="28"/>
          <w:rtl/>
        </w:rPr>
        <w:t>4</w:t>
      </w:r>
      <w:r w:rsidRPr="00282AC9">
        <w:rPr>
          <w:rFonts w:ascii="Noor_Mitra" w:hAnsi="Noor_Mitra" w:cs="DanaFajr"/>
          <w:sz w:val="28"/>
          <w:szCs w:val="28"/>
          <w:rtl/>
          <w:lang w:bidi="fa-IR"/>
        </w:rPr>
        <w:t>: 107،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w:t>
      </w:r>
      <w:r w:rsidRPr="00282AC9">
        <w:rPr>
          <w:rFonts w:ascii="Noor_Mitra" w:hAnsi="Noor_Mitra" w:cs="DanaFajr"/>
          <w:sz w:val="28"/>
          <w:szCs w:val="28"/>
          <w:rtl/>
        </w:rPr>
        <w:t xml:space="preserve">يوسف علي </w:t>
      </w:r>
      <w:r w:rsidRPr="00282AC9">
        <w:rPr>
          <w:rFonts w:ascii="Noor_Mitra" w:hAnsi="Noor_Mitra" w:cs="DanaFajr" w:hint="cs"/>
          <w:sz w:val="28"/>
          <w:szCs w:val="28"/>
          <w:rtl/>
        </w:rPr>
        <w:t>ال</w:t>
      </w:r>
      <w:r w:rsidRPr="00282AC9">
        <w:rPr>
          <w:rFonts w:ascii="Noor_Mitra" w:hAnsi="Noor_Mitra" w:cs="DanaFajr"/>
          <w:sz w:val="28"/>
          <w:szCs w:val="28"/>
          <w:rtl/>
        </w:rPr>
        <w:t>طويل</w:t>
      </w:r>
      <w:r w:rsidRPr="00282AC9">
        <w:rPr>
          <w:rFonts w:ascii="Noor_Mitra" w:hAnsi="Noor_Mitra" w:cs="DanaFajr"/>
          <w:sz w:val="28"/>
          <w:szCs w:val="28"/>
          <w:rtl/>
          <w:lang w:bidi="fa-IR"/>
        </w:rPr>
        <w:t>، دار الكتب العلمية</w:t>
      </w:r>
      <w:r w:rsidRPr="00282AC9">
        <w:rPr>
          <w:rFonts w:ascii="Noor_Mitra" w:hAnsi="Noor_Mitra" w:cs="DanaFajr"/>
          <w:sz w:val="28"/>
          <w:szCs w:val="28"/>
          <w:rtl/>
        </w:rPr>
        <w:t xml:space="preserve">، </w:t>
      </w:r>
      <w:r w:rsidRPr="00282AC9">
        <w:rPr>
          <w:rFonts w:ascii="Noor_Mitra" w:hAnsi="Noor_Mitra" w:cs="DanaFajr"/>
          <w:sz w:val="28"/>
          <w:szCs w:val="28"/>
          <w:rtl/>
          <w:lang w:bidi="fa-IR"/>
        </w:rPr>
        <w:t>بيروت، ‏1</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18هـ؛ </w:t>
      </w:r>
      <w:r w:rsidRPr="00282AC9">
        <w:rPr>
          <w:rFonts w:ascii="Noor_Mitra" w:eastAsiaTheme="minorHAnsi" w:hAnsi="Noor_Mitra" w:cs="DanaFajr"/>
          <w:sz w:val="28"/>
          <w:szCs w:val="28"/>
          <w:rtl/>
          <w:lang w:bidi="fa-IR"/>
        </w:rPr>
        <w:t>ابن الشيخ</w:t>
      </w:r>
      <w:r w:rsidRPr="00282AC9">
        <w:rPr>
          <w:rFonts w:ascii="Noor_Mitra" w:eastAsiaTheme="minorHAnsi" w:hAnsi="Noor_Mitra" w:cs="DanaFajr" w:hint="cs"/>
          <w:sz w:val="28"/>
          <w:szCs w:val="28"/>
          <w:rtl/>
          <w:lang w:bidi="fa-IR"/>
        </w:rPr>
        <w:t>،</w:t>
      </w:r>
      <w:r w:rsidRPr="00282AC9">
        <w:rPr>
          <w:rFonts w:ascii="Noor_Mitra" w:eastAsiaTheme="minorHAnsi" w:hAnsi="Noor_Mitra" w:cs="DanaFajr"/>
          <w:sz w:val="28"/>
          <w:szCs w:val="28"/>
          <w:rtl/>
          <w:lang w:bidi="fa-IR"/>
        </w:rPr>
        <w:t xml:space="preserve"> </w:t>
      </w:r>
      <w:r w:rsidRPr="00282AC9">
        <w:rPr>
          <w:rFonts w:ascii="Noor_Mitra" w:hAnsi="Noor_Mitra" w:cs="DanaFajr"/>
          <w:sz w:val="28"/>
          <w:szCs w:val="28"/>
          <w:rtl/>
          <w:lang w:bidi="fa-IR"/>
        </w:rPr>
        <w:t xml:space="preserve">ألف باء في أنواع الآداب ‏2: </w:t>
      </w:r>
      <w:r w:rsidRPr="00282AC9">
        <w:rPr>
          <w:rFonts w:ascii="Noor_Mitra" w:hAnsi="Noor_Mitra" w:cs="DanaFajr" w:hint="cs"/>
          <w:sz w:val="28"/>
          <w:szCs w:val="28"/>
          <w:rtl/>
        </w:rPr>
        <w:t>5</w:t>
      </w:r>
      <w:r w:rsidRPr="00282AC9">
        <w:rPr>
          <w:rFonts w:ascii="Noor_Mitra" w:hAnsi="Noor_Mitra" w:cs="DanaFajr"/>
          <w:sz w:val="28"/>
          <w:szCs w:val="28"/>
          <w:rtl/>
          <w:lang w:bidi="fa-IR"/>
        </w:rPr>
        <w:t xml:space="preserve">81؛ </w:t>
      </w:r>
      <w:r w:rsidRPr="00282AC9">
        <w:rPr>
          <w:rFonts w:ascii="Noor_Mitra" w:hAnsi="Noor_Mitra" w:cs="DanaFajr"/>
          <w:sz w:val="28"/>
          <w:szCs w:val="28"/>
          <w:rtl/>
        </w:rPr>
        <w:t>ديوان الهذلي</w:t>
      </w:r>
      <w:r w:rsidRPr="00282AC9">
        <w:rPr>
          <w:rFonts w:ascii="Noor_Mitra" w:hAnsi="Noor_Mitra" w:cs="DanaFajr" w:hint="cs"/>
          <w:sz w:val="28"/>
          <w:szCs w:val="28"/>
          <w:rtl/>
        </w:rPr>
        <w:t>ّ</w:t>
      </w:r>
      <w:r w:rsidRPr="00282AC9">
        <w:rPr>
          <w:rFonts w:ascii="Noor_Mitra" w:hAnsi="Noor_Mitra" w:cs="DanaFajr"/>
          <w:sz w:val="28"/>
          <w:szCs w:val="28"/>
          <w:rtl/>
        </w:rPr>
        <w:t>ين 1: 1</w:t>
      </w:r>
      <w:r w:rsidRPr="00282AC9">
        <w:rPr>
          <w:rFonts w:ascii="Noor_Mitra" w:hAnsi="Noor_Mitra" w:cs="DanaFajr" w:hint="cs"/>
          <w:sz w:val="28"/>
          <w:szCs w:val="28"/>
          <w:rtl/>
        </w:rPr>
        <w:t>5</w:t>
      </w:r>
      <w:r w:rsidRPr="00282AC9">
        <w:rPr>
          <w:rFonts w:ascii="Noor_Mitra" w:hAnsi="Noor_Mitra" w:cs="DanaFajr"/>
          <w:sz w:val="28"/>
          <w:szCs w:val="28"/>
          <w:rtl/>
        </w:rPr>
        <w:t xml:space="preserve">7، </w:t>
      </w:r>
      <w:r w:rsidRPr="00282AC9">
        <w:rPr>
          <w:rFonts w:ascii="Noor_Mitra" w:hAnsi="Noor_Mitra" w:cs="DanaFajr" w:hint="cs"/>
          <w:sz w:val="28"/>
          <w:szCs w:val="28"/>
          <w:rtl/>
        </w:rPr>
        <w:t xml:space="preserve">تحقيق: </w:t>
      </w:r>
      <w:r w:rsidRPr="00282AC9">
        <w:rPr>
          <w:rFonts w:ascii="Noor_Mitra" w:hAnsi="Noor_Mitra" w:cs="DanaFajr"/>
          <w:sz w:val="28"/>
          <w:szCs w:val="28"/>
          <w:rtl/>
        </w:rPr>
        <w:t>أحمد الزين، الدار القومية للطباعة والنشر، القاهرة، 138</w:t>
      </w:r>
      <w:r w:rsidRPr="00282AC9">
        <w:rPr>
          <w:rFonts w:ascii="Noor_Mitra" w:hAnsi="Noor_Mitra" w:cs="DanaFajr" w:hint="cs"/>
          <w:sz w:val="28"/>
          <w:szCs w:val="28"/>
          <w:rtl/>
        </w:rPr>
        <w:t>5</w:t>
      </w:r>
      <w:r w:rsidRPr="00282AC9">
        <w:rPr>
          <w:rFonts w:ascii="Noor_Mitra" w:hAnsi="Noor_Mitra" w:cs="DanaFajr"/>
          <w:sz w:val="28"/>
          <w:szCs w:val="28"/>
          <w:rtl/>
        </w:rPr>
        <w:t>هـ.</w:t>
      </w:r>
      <w:r w:rsidRPr="00282AC9">
        <w:rPr>
          <w:rFonts w:ascii="Noor_Mitra" w:hAnsi="Noor_Mitra" w:cs="DanaFajr"/>
          <w:sz w:val="28"/>
          <w:szCs w:val="28"/>
          <w:rtl/>
          <w:lang w:bidi="fa-IR"/>
        </w:rPr>
        <w:t xml:space="preserve"> </w:t>
      </w:r>
    </w:p>
  </w:endnote>
  <w:endnote w:id="570">
    <w:p w:rsidR="00C14EDE" w:rsidRPr="00282AC9" w:rsidRDefault="00C14EDE" w:rsidP="00EB776D">
      <w:pPr>
        <w:pStyle w:val="afc"/>
        <w:spacing w:line="290"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تمثّ</w:t>
      </w:r>
      <w:r w:rsidRPr="00282AC9">
        <w:rPr>
          <w:rFonts w:ascii="Noor_Mitra" w:hAnsi="Noor_Mitra" w:cs="DanaFajr" w:hint="cs"/>
          <w:sz w:val="28"/>
          <w:szCs w:val="28"/>
          <w:rtl/>
        </w:rPr>
        <w:t>َ</w:t>
      </w:r>
      <w:r w:rsidRPr="00282AC9">
        <w:rPr>
          <w:rFonts w:ascii="Noor_Mitra" w:hAnsi="Noor_Mitra" w:cs="DanaFajr"/>
          <w:sz w:val="28"/>
          <w:szCs w:val="28"/>
          <w:rtl/>
        </w:rPr>
        <w:t xml:space="preserve">ل به </w:t>
      </w:r>
      <w:r w:rsidRPr="00282AC9">
        <w:rPr>
          <w:rFonts w:ascii="Noor_Mitra" w:hAnsi="Noor_Mitra" w:cs="DanaFajr"/>
          <w:sz w:val="28"/>
          <w:szCs w:val="28"/>
          <w:rtl/>
          <w:lang w:bidi="fa-IR"/>
        </w:rPr>
        <w:t>في عتاب رجل</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شكا إليه عقوقَ ولده وجفاه، فحينما قال ابن </w:t>
      </w:r>
      <w:r w:rsidRPr="00282AC9">
        <w:rPr>
          <w:rFonts w:ascii="Noor_Mitra" w:hAnsi="Noor_Mitra" w:cs="DanaFajr"/>
          <w:sz w:val="28"/>
          <w:szCs w:val="28"/>
          <w:rtl/>
        </w:rPr>
        <w:t>الرجل: إن أبي أيضا</w:t>
      </w:r>
      <w:r w:rsidRPr="00282AC9">
        <w:rPr>
          <w:rFonts w:ascii="Noor_Mitra" w:hAnsi="Noor_Mitra" w:cs="DanaFajr" w:hint="cs"/>
          <w:sz w:val="28"/>
          <w:szCs w:val="28"/>
          <w:rtl/>
        </w:rPr>
        <w:t>ً</w:t>
      </w:r>
      <w:r w:rsidRPr="00282AC9">
        <w:rPr>
          <w:rFonts w:ascii="Noor_Mitra" w:hAnsi="Noor_Mitra" w:cs="DanaFajr"/>
          <w:sz w:val="28"/>
          <w:szCs w:val="28"/>
          <w:rtl/>
        </w:rPr>
        <w:t xml:space="preserve"> قد عقّ</w:t>
      </w:r>
      <w:r w:rsidRPr="00282AC9">
        <w:rPr>
          <w:rFonts w:ascii="Noor_Mitra" w:hAnsi="Noor_Mitra" w:cs="DanaFajr" w:hint="cs"/>
          <w:sz w:val="28"/>
          <w:szCs w:val="28"/>
          <w:rtl/>
        </w:rPr>
        <w:t>َ</w:t>
      </w:r>
      <w:r w:rsidRPr="00282AC9">
        <w:rPr>
          <w:rFonts w:ascii="Noor_Mitra" w:hAnsi="Noor_Mitra" w:cs="DanaFajr"/>
          <w:sz w:val="28"/>
          <w:szCs w:val="28"/>
          <w:rtl/>
        </w:rPr>
        <w:t xml:space="preserve"> أباه، تمث</w:t>
      </w:r>
      <w:r w:rsidRPr="00282AC9">
        <w:rPr>
          <w:rFonts w:ascii="Noor_Mitra" w:hAnsi="Noor_Mitra" w:cs="DanaFajr" w:hint="cs"/>
          <w:sz w:val="28"/>
          <w:szCs w:val="28"/>
          <w:rtl/>
        </w:rPr>
        <w:t>َّ</w:t>
      </w:r>
      <w:r w:rsidRPr="00282AC9">
        <w:rPr>
          <w:rFonts w:ascii="Noor_Mitra" w:hAnsi="Noor_Mitra" w:cs="DanaFajr"/>
          <w:sz w:val="28"/>
          <w:szCs w:val="28"/>
          <w:rtl/>
        </w:rPr>
        <w:t>ل عمر بهذا البيت</w:t>
      </w:r>
      <w:r w:rsidRPr="00282AC9">
        <w:rPr>
          <w:rFonts w:ascii="Noor_Mitra" w:hAnsi="Noor_Mitra" w:cs="DanaFajr" w:hint="cs"/>
          <w:sz w:val="28"/>
          <w:szCs w:val="28"/>
          <w:rtl/>
        </w:rPr>
        <w:t>؛</w:t>
      </w:r>
      <w:r w:rsidRPr="00282AC9">
        <w:rPr>
          <w:rFonts w:ascii="Noor_Mitra" w:hAnsi="Noor_Mitra" w:cs="DanaFajr"/>
          <w:sz w:val="28"/>
          <w:szCs w:val="28"/>
          <w:rtl/>
        </w:rPr>
        <w:t xml:space="preserve"> لعتاب الأب. ابن الجوزي</w:t>
      </w:r>
      <w:r w:rsidRPr="00282AC9">
        <w:rPr>
          <w:rFonts w:ascii="Noor_Mitra" w:hAnsi="Noor_Mitra" w:cs="DanaFajr" w:hint="cs"/>
          <w:sz w:val="28"/>
          <w:szCs w:val="28"/>
          <w:rtl/>
        </w:rPr>
        <w:t>،</w:t>
      </w:r>
      <w:r w:rsidRPr="00282AC9">
        <w:rPr>
          <w:rFonts w:ascii="Noor_Mitra" w:hAnsi="Noor_Mitra" w:cs="DanaFajr"/>
          <w:sz w:val="28"/>
          <w:szCs w:val="28"/>
          <w:rtl/>
        </w:rPr>
        <w:t xml:space="preserve"> البرّ والصلة </w:t>
      </w:r>
      <w:r w:rsidRPr="00282AC9">
        <w:rPr>
          <w:rFonts w:ascii="Noor_Mitra" w:hAnsi="Noor_Mitra" w:cs="DanaFajr"/>
          <w:sz w:val="28"/>
          <w:szCs w:val="28"/>
          <w:rtl/>
          <w:lang w:bidi="fa-IR"/>
        </w:rPr>
        <w:t>1: 100</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 xml:space="preserve">101، </w:t>
      </w:r>
      <w:r w:rsidRPr="00282AC9">
        <w:rPr>
          <w:rFonts w:ascii="Noor_Mitra" w:hAnsi="Noor_Mitra" w:cs="DanaFajr"/>
          <w:sz w:val="28"/>
          <w:szCs w:val="28"/>
          <w:rtl/>
        </w:rPr>
        <w:t>تحقيق</w:t>
      </w:r>
      <w:r w:rsidRPr="00282AC9">
        <w:rPr>
          <w:rFonts w:ascii="Noor_Mitra" w:hAnsi="Noor_Mitra" w:cs="DanaFajr" w:hint="cs"/>
          <w:sz w:val="28"/>
          <w:szCs w:val="28"/>
          <w:rtl/>
        </w:rPr>
        <w:t>:</w:t>
      </w:r>
      <w:r w:rsidRPr="00282AC9">
        <w:rPr>
          <w:rFonts w:ascii="Noor_Mitra" w:hAnsi="Noor_Mitra" w:cs="DanaFajr"/>
          <w:sz w:val="28"/>
          <w:szCs w:val="28"/>
          <w:rtl/>
        </w:rPr>
        <w:t xml:space="preserve"> عادل عبد الموجود </w:t>
      </w:r>
      <w:r w:rsidRPr="00282AC9">
        <w:rPr>
          <w:rFonts w:ascii="Noor_Mitra" w:hAnsi="Noor_Mitra" w:cs="DanaFajr" w:hint="cs"/>
          <w:sz w:val="28"/>
          <w:szCs w:val="28"/>
          <w:rtl/>
        </w:rPr>
        <w:t>و</w:t>
      </w:r>
      <w:r w:rsidRPr="00282AC9">
        <w:rPr>
          <w:rFonts w:ascii="Noor_Mitra" w:hAnsi="Noor_Mitra" w:cs="DanaFajr"/>
          <w:sz w:val="28"/>
          <w:szCs w:val="28"/>
          <w:rtl/>
        </w:rPr>
        <w:t>علي معوض، الكتب الثقافية، مصر، ط2، 1</w:t>
      </w:r>
      <w:r w:rsidRPr="00282AC9">
        <w:rPr>
          <w:rFonts w:ascii="Noor_Mitra" w:hAnsi="Noor_Mitra" w:cs="DanaFajr" w:hint="cs"/>
          <w:sz w:val="28"/>
          <w:szCs w:val="28"/>
          <w:rtl/>
        </w:rPr>
        <w:t>4</w:t>
      </w:r>
      <w:r w:rsidRPr="00282AC9">
        <w:rPr>
          <w:rFonts w:ascii="Noor_Mitra" w:hAnsi="Noor_Mitra" w:cs="DanaFajr"/>
          <w:sz w:val="28"/>
          <w:szCs w:val="28"/>
          <w:rtl/>
        </w:rPr>
        <w:t>1</w:t>
      </w:r>
      <w:r w:rsidRPr="00282AC9">
        <w:rPr>
          <w:rFonts w:ascii="Noor_Mitra" w:hAnsi="Noor_Mitra" w:cs="DanaFajr" w:hint="cs"/>
          <w:sz w:val="28"/>
          <w:szCs w:val="28"/>
          <w:rtl/>
        </w:rPr>
        <w:t>6</w:t>
      </w:r>
      <w:r w:rsidRPr="00282AC9">
        <w:rPr>
          <w:rFonts w:ascii="Noor_Mitra" w:hAnsi="Noor_Mitra" w:cs="DanaFajr"/>
          <w:sz w:val="28"/>
          <w:szCs w:val="28"/>
          <w:rtl/>
        </w:rPr>
        <w:t>هـ.</w:t>
      </w:r>
    </w:p>
  </w:endnote>
  <w:endnote w:id="571">
    <w:p w:rsidR="00C14EDE" w:rsidRDefault="00C14EDE" w:rsidP="00EB776D">
      <w:pPr>
        <w:pStyle w:val="afc"/>
        <w:spacing w:line="290"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اقتبس من المصرع الأو</w:t>
      </w:r>
      <w:r w:rsidRPr="00282AC9">
        <w:rPr>
          <w:rFonts w:ascii="Noor_Mitra" w:hAnsi="Noor_Mitra" w:cs="DanaFajr" w:hint="cs"/>
          <w:sz w:val="28"/>
          <w:szCs w:val="28"/>
          <w:rtl/>
        </w:rPr>
        <w:t>ّ</w:t>
      </w:r>
      <w:r w:rsidRPr="00282AC9">
        <w:rPr>
          <w:rFonts w:ascii="Noor_Mitra" w:hAnsi="Noor_Mitra" w:cs="DanaFajr"/>
          <w:sz w:val="28"/>
          <w:szCs w:val="28"/>
          <w:rtl/>
        </w:rPr>
        <w:t>ل</w:t>
      </w:r>
      <w:r w:rsidRPr="00282AC9">
        <w:rPr>
          <w:rFonts w:ascii="Noor_Mitra" w:hAnsi="Noor_Mitra" w:cs="DanaFajr" w:hint="cs"/>
          <w:sz w:val="28"/>
          <w:szCs w:val="28"/>
          <w:rtl/>
        </w:rPr>
        <w:t xml:space="preserve"> قوله:</w:t>
      </w:r>
    </w:p>
    <w:p w:rsidR="00C14EDE" w:rsidRPr="000D728E" w:rsidRDefault="00C14EDE" w:rsidP="00EB776D">
      <w:pPr>
        <w:pStyle w:val="afc"/>
        <w:spacing w:line="80" w:lineRule="exact"/>
        <w:ind w:firstLine="0"/>
        <w:rPr>
          <w:rFonts w:ascii="Noor_Mitra" w:hAnsi="Noor_Mitra" w:cs="DanaFajr"/>
          <w:sz w:val="2"/>
          <w:szCs w:val="2"/>
          <w:rtl/>
        </w:rPr>
      </w:pP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C14EDE" w:rsidRPr="00282AC9" w:rsidTr="007A5E0C">
        <w:trPr>
          <w:jc w:val="center"/>
        </w:trPr>
        <w:tc>
          <w:tcPr>
            <w:tcW w:w="3136" w:type="dxa"/>
          </w:tcPr>
          <w:p w:rsidR="00C14EDE" w:rsidRPr="00282AC9" w:rsidRDefault="00C14EDE" w:rsidP="0038167D">
            <w:pPr>
              <w:spacing w:line="240" w:lineRule="auto"/>
              <w:ind w:firstLine="0"/>
              <w:jc w:val="lowKashida"/>
              <w:rPr>
                <w:rFonts w:cs="DanaFajr"/>
                <w:sz w:val="2"/>
                <w:szCs w:val="2"/>
                <w:rtl/>
              </w:rPr>
            </w:pPr>
            <w:r w:rsidRPr="00282AC9">
              <w:rPr>
                <w:rFonts w:hint="eastAsia"/>
                <w:sz w:val="22"/>
                <w:szCs w:val="22"/>
                <w:rtl/>
              </w:rPr>
              <w:t>«</w:t>
            </w:r>
            <w:r w:rsidRPr="00282AC9">
              <w:rPr>
                <w:rFonts w:ascii="Noor_Mitra" w:hAnsi="Noor_Mitra" w:cs="DanaFajr"/>
                <w:szCs w:val="28"/>
                <w:rtl/>
              </w:rPr>
              <w:t>فلا</w:t>
            </w:r>
            <w:r w:rsidRPr="00282AC9">
              <w:rPr>
                <w:rFonts w:ascii="Noor_Mitra" w:hAnsi="Noor_Mitra" w:cs="DanaFajr"/>
                <w:szCs w:val="28"/>
                <w:rtl/>
                <w:lang w:bidi="fa-IR"/>
              </w:rPr>
              <w:t xml:space="preserve"> تجزع</w:t>
            </w:r>
            <w:r w:rsidRPr="00282AC9">
              <w:rPr>
                <w:rFonts w:ascii="Noor_Mitra" w:hAnsi="Noor_Mitra" w:cs="DanaFajr" w:hint="cs"/>
                <w:szCs w:val="28"/>
                <w:rtl/>
                <w:lang w:bidi="fa-IR"/>
              </w:rPr>
              <w:t>َ</w:t>
            </w:r>
            <w:r w:rsidRPr="00282AC9">
              <w:rPr>
                <w:rFonts w:ascii="Noor_Mitra" w:hAnsi="Noor_Mitra" w:cs="DanaFajr"/>
                <w:szCs w:val="28"/>
                <w:rtl/>
                <w:lang w:bidi="fa-IR"/>
              </w:rPr>
              <w:t>ن</w:t>
            </w:r>
            <w:r w:rsidRPr="00282AC9">
              <w:rPr>
                <w:rFonts w:ascii="Noor_Mitra" w:hAnsi="Noor_Mitra" w:cs="DanaFajr" w:hint="cs"/>
                <w:szCs w:val="28"/>
                <w:rtl/>
                <w:lang w:bidi="fa-IR"/>
              </w:rPr>
              <w:t>َّ</w:t>
            </w:r>
            <w:r w:rsidRPr="00282AC9">
              <w:rPr>
                <w:rFonts w:ascii="Noor_Mitra" w:hAnsi="Noor_Mitra" w:cs="DanaFajr"/>
                <w:szCs w:val="28"/>
                <w:rtl/>
                <w:lang w:bidi="fa-IR"/>
              </w:rPr>
              <w:t xml:space="preserve"> من‏ س</w:t>
            </w:r>
            <w:r w:rsidRPr="00282AC9">
              <w:rPr>
                <w:rFonts w:ascii="Noor_Mitra" w:hAnsi="Noor_Mitra" w:cs="DanaFajr" w:hint="cs"/>
                <w:szCs w:val="28"/>
                <w:rtl/>
                <w:lang w:bidi="fa-IR"/>
              </w:rPr>
              <w:t>ُ</w:t>
            </w:r>
            <w:r w:rsidRPr="00282AC9">
              <w:rPr>
                <w:rFonts w:ascii="Noor_Mitra" w:hAnsi="Noor_Mitra" w:cs="DanaFajr"/>
                <w:szCs w:val="28"/>
                <w:rtl/>
                <w:lang w:bidi="fa-IR"/>
              </w:rPr>
              <w:t>نّة</w:t>
            </w:r>
            <w:r w:rsidRPr="00282AC9">
              <w:rPr>
                <w:rFonts w:ascii="Noor_Mitra" w:hAnsi="Noor_Mitra" w:cs="DanaFajr" w:hint="cs"/>
                <w:szCs w:val="28"/>
                <w:rtl/>
                <w:lang w:bidi="fa-IR"/>
              </w:rPr>
              <w:t>ٍ</w:t>
            </w:r>
            <w:r w:rsidRPr="00282AC9">
              <w:rPr>
                <w:rFonts w:ascii="Noor_Mitra" w:hAnsi="Noor_Mitra" w:cs="DanaFajr"/>
                <w:szCs w:val="28"/>
                <w:rtl/>
                <w:lang w:bidi="fa-IR"/>
              </w:rPr>
              <w:t xml:space="preserve"> قد سن</w:t>
            </w:r>
            <w:r w:rsidRPr="00282AC9">
              <w:rPr>
                <w:rFonts w:ascii="Noor_Mitra" w:hAnsi="Noor_Mitra" w:cs="DanaFajr" w:hint="cs"/>
                <w:szCs w:val="28"/>
                <w:rtl/>
                <w:lang w:bidi="fa-IR"/>
              </w:rPr>
              <w:t>َ</w:t>
            </w:r>
            <w:r w:rsidRPr="00282AC9">
              <w:rPr>
                <w:rFonts w:ascii="Noor_Mitra" w:hAnsi="Noor_Mitra" w:cs="DanaFajr"/>
                <w:szCs w:val="28"/>
                <w:rtl/>
                <w:lang w:bidi="fa-IR"/>
              </w:rPr>
              <w:t>ن</w:t>
            </w:r>
            <w:r w:rsidRPr="00282AC9">
              <w:rPr>
                <w:rFonts w:ascii="Noor_Mitra" w:hAnsi="Noor_Mitra" w:cs="DanaFajr" w:hint="cs"/>
                <w:szCs w:val="28"/>
                <w:rtl/>
                <w:lang w:bidi="fa-IR"/>
              </w:rPr>
              <w:t>ْ</w:t>
            </w:r>
            <w:r w:rsidRPr="00282AC9">
              <w:rPr>
                <w:rFonts w:ascii="Noor_Mitra" w:hAnsi="Noor_Mitra" w:cs="DanaFajr"/>
                <w:szCs w:val="28"/>
                <w:rtl/>
                <w:lang w:bidi="fa-IR"/>
              </w:rPr>
              <w:t>ت</w:t>
            </w:r>
            <w:r w:rsidRPr="00282AC9">
              <w:rPr>
                <w:rFonts w:ascii="Noor_Mitra" w:hAnsi="Noor_Mitra" w:cs="DanaFajr" w:hint="cs"/>
                <w:szCs w:val="28"/>
                <w:rtl/>
                <w:lang w:bidi="fa-IR"/>
              </w:rPr>
              <w:t>َ</w:t>
            </w:r>
            <w:r w:rsidRPr="00282AC9">
              <w:rPr>
                <w:rFonts w:ascii="Noor_Mitra" w:hAnsi="Noor_Mitra" w:cs="DanaFajr"/>
                <w:szCs w:val="28"/>
                <w:rtl/>
                <w:lang w:bidi="fa-IR"/>
              </w:rPr>
              <w:t>ها</w:t>
            </w:r>
            <w:r w:rsidRPr="00282AC9">
              <w:rPr>
                <w:rFonts w:cs="DanaFajr" w:hint="cs"/>
                <w:szCs w:val="28"/>
                <w:rtl/>
              </w:rPr>
              <w:br/>
            </w:r>
          </w:p>
        </w:tc>
        <w:tc>
          <w:tcPr>
            <w:tcW w:w="425" w:type="dxa"/>
          </w:tcPr>
          <w:p w:rsidR="00C14EDE" w:rsidRPr="00282AC9" w:rsidRDefault="00C14EDE" w:rsidP="00D56669">
            <w:pPr>
              <w:spacing w:line="300" w:lineRule="exact"/>
              <w:ind w:firstLine="0"/>
              <w:jc w:val="lowKashida"/>
              <w:rPr>
                <w:rFonts w:cs="DanaFajr"/>
                <w:szCs w:val="28"/>
                <w:rtl/>
              </w:rPr>
            </w:pPr>
          </w:p>
        </w:tc>
        <w:tc>
          <w:tcPr>
            <w:tcW w:w="3052" w:type="dxa"/>
          </w:tcPr>
          <w:p w:rsidR="00C14EDE" w:rsidRPr="00282AC9" w:rsidRDefault="00C14EDE" w:rsidP="0038167D">
            <w:pPr>
              <w:spacing w:line="240" w:lineRule="auto"/>
              <w:ind w:firstLine="0"/>
              <w:jc w:val="lowKashida"/>
              <w:rPr>
                <w:rFonts w:cs="DanaFajr"/>
                <w:sz w:val="2"/>
                <w:szCs w:val="2"/>
                <w:rtl/>
              </w:rPr>
            </w:pPr>
            <w:r w:rsidRPr="00282AC9">
              <w:rPr>
                <w:rFonts w:ascii="Noor_Mitra" w:hAnsi="Noor_Mitra" w:cs="DanaFajr"/>
                <w:szCs w:val="28"/>
                <w:rtl/>
                <w:lang w:bidi="fa-IR"/>
              </w:rPr>
              <w:t>فما للدماء الدهر تهرق من حقن</w:t>
            </w:r>
            <w:r w:rsidRPr="00282AC9">
              <w:rPr>
                <w:rFonts w:hint="eastAsia"/>
                <w:sz w:val="22"/>
                <w:szCs w:val="22"/>
                <w:rtl/>
              </w:rPr>
              <w:t>»</w:t>
            </w:r>
            <w:r w:rsidRPr="00282AC9">
              <w:rPr>
                <w:rFonts w:cs="DanaFajr" w:hint="cs"/>
                <w:szCs w:val="28"/>
                <w:rtl/>
              </w:rPr>
              <w:br/>
            </w:r>
          </w:p>
        </w:tc>
      </w:tr>
    </w:tbl>
    <w:p w:rsidR="00C14EDE" w:rsidRPr="00282AC9" w:rsidRDefault="00C14EDE" w:rsidP="00EB776D">
      <w:pPr>
        <w:pStyle w:val="afc"/>
        <w:spacing w:line="290" w:lineRule="exact"/>
        <w:ind w:firstLine="0"/>
        <w:rPr>
          <w:rFonts w:ascii="Noor_Mitra" w:hAnsi="Noor_Mitra" w:cs="DanaFajr"/>
          <w:sz w:val="28"/>
          <w:szCs w:val="28"/>
          <w:rtl/>
          <w:lang w:bidi="fa-IR"/>
        </w:rPr>
      </w:pPr>
      <w:r w:rsidRPr="00282AC9">
        <w:rPr>
          <w:rFonts w:ascii="Noor_Mitra" w:hAnsi="Noor_Mitra" w:cs="DanaFajr" w:hint="cs"/>
          <w:sz w:val="28"/>
          <w:szCs w:val="28"/>
          <w:rtl/>
        </w:rPr>
        <w:t xml:space="preserve">وذلك </w:t>
      </w:r>
      <w:r w:rsidRPr="00282AC9">
        <w:rPr>
          <w:rFonts w:ascii="Noor_Mitra" w:hAnsi="Noor_Mitra" w:cs="DanaFajr"/>
          <w:sz w:val="28"/>
          <w:szCs w:val="28"/>
          <w:rtl/>
        </w:rPr>
        <w:t>ح</w:t>
      </w:r>
      <w:r w:rsidRPr="00282AC9">
        <w:rPr>
          <w:rFonts w:ascii="Noor_Mitra" w:hAnsi="Noor_Mitra" w:cs="DanaFajr" w:hint="cs"/>
          <w:sz w:val="28"/>
          <w:szCs w:val="28"/>
          <w:rtl/>
        </w:rPr>
        <w:t>ي</w:t>
      </w:r>
      <w:r w:rsidRPr="00282AC9">
        <w:rPr>
          <w:rFonts w:ascii="Noor_Mitra" w:hAnsi="Noor_Mitra" w:cs="DanaFajr"/>
          <w:sz w:val="28"/>
          <w:szCs w:val="28"/>
          <w:rtl/>
        </w:rPr>
        <w:t>نما قتل عبدُ الله بن الزبير أخاه عمرو</w:t>
      </w:r>
      <w:r w:rsidRPr="00282AC9">
        <w:rPr>
          <w:rFonts w:ascii="Noor_Mitra" w:hAnsi="Noor_Mitra" w:cs="DanaFajr" w:hint="cs"/>
          <w:sz w:val="28"/>
          <w:szCs w:val="28"/>
          <w:rtl/>
        </w:rPr>
        <w:t>،</w:t>
      </w:r>
      <w:r w:rsidRPr="00282AC9">
        <w:rPr>
          <w:rFonts w:ascii="Noor_Mitra" w:hAnsi="Noor_Mitra" w:cs="DanaFajr"/>
          <w:sz w:val="28"/>
          <w:szCs w:val="28"/>
          <w:rtl/>
          <w:lang w:bidi="fa-IR"/>
        </w:rPr>
        <w:t xml:space="preserve"> يحذ</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ره بأن توق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عْ أن ين</w:t>
      </w:r>
      <w:r w:rsidRPr="00282AC9">
        <w:rPr>
          <w:rFonts w:ascii="Noor_Mitra" w:hAnsi="Noor_Mitra" w:cs="DanaFajr" w:hint="cs"/>
          <w:sz w:val="28"/>
          <w:szCs w:val="28"/>
          <w:rtl/>
          <w:lang w:bidi="fa-IR"/>
        </w:rPr>
        <w:t>ـ</w:t>
      </w:r>
      <w:r w:rsidRPr="00282AC9">
        <w:rPr>
          <w:rFonts w:ascii="Noor_Mitra" w:hAnsi="Noor_Mitra" w:cs="DanaFajr"/>
          <w:sz w:val="28"/>
          <w:szCs w:val="28"/>
          <w:rtl/>
          <w:lang w:bidi="fa-IR"/>
        </w:rPr>
        <w:t>زل بك هذا الظلم الذي ارتك</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ب</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ت</w:t>
      </w:r>
      <w:r w:rsidRPr="00282AC9">
        <w:rPr>
          <w:rFonts w:ascii="Noor_Mitra" w:hAnsi="Noor_Mitra" w:cs="DanaFajr" w:hint="cs"/>
          <w:sz w:val="28"/>
          <w:szCs w:val="28"/>
          <w:rtl/>
          <w:lang w:bidi="fa-IR"/>
        </w:rPr>
        <w:t>َه</w:t>
      </w:r>
      <w:r w:rsidRPr="00282AC9">
        <w:rPr>
          <w:rFonts w:ascii="Noor_Mitra" w:hAnsi="Noor_Mitra" w:cs="DanaFajr"/>
          <w:sz w:val="28"/>
          <w:szCs w:val="28"/>
          <w:rtl/>
          <w:lang w:bidi="fa-IR"/>
        </w:rPr>
        <w:t xml:space="preserve"> بحق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أخيك. أبو الفرج الإصفهاني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الأغاني ‏1</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 </w:t>
      </w:r>
      <w:r w:rsidRPr="00282AC9">
        <w:rPr>
          <w:rFonts w:ascii="Noor_Mitra" w:hAnsi="Noor_Mitra" w:cs="DanaFajr" w:hint="cs"/>
          <w:sz w:val="28"/>
          <w:szCs w:val="28"/>
          <w:rtl/>
        </w:rPr>
        <w:t>4</w:t>
      </w:r>
      <w:r w:rsidRPr="00282AC9">
        <w:rPr>
          <w:rFonts w:ascii="Noor_Mitra" w:hAnsi="Noor_Mitra" w:cs="DanaFajr"/>
          <w:sz w:val="28"/>
          <w:szCs w:val="28"/>
          <w:rtl/>
          <w:lang w:bidi="fa-IR"/>
        </w:rPr>
        <w:t>13، دار إحياء التراث العربي، ب</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روت، ط1، 1</w:t>
      </w:r>
      <w:r w:rsidRPr="00282AC9">
        <w:rPr>
          <w:rFonts w:ascii="Noor_Mitra" w:hAnsi="Noor_Mitra" w:cs="DanaFajr" w:hint="cs"/>
          <w:sz w:val="28"/>
          <w:szCs w:val="28"/>
          <w:rtl/>
        </w:rPr>
        <w:t>4</w:t>
      </w:r>
      <w:r w:rsidRPr="00282AC9">
        <w:rPr>
          <w:rFonts w:ascii="Noor_Mitra" w:hAnsi="Noor_Mitra" w:cs="DanaFajr"/>
          <w:sz w:val="28"/>
          <w:szCs w:val="28"/>
          <w:rtl/>
          <w:lang w:bidi="fa-IR"/>
        </w:rPr>
        <w:t>1</w:t>
      </w:r>
      <w:r w:rsidRPr="00282AC9">
        <w:rPr>
          <w:rFonts w:ascii="Noor_Mitra" w:hAnsi="Noor_Mitra" w:cs="DanaFajr" w:hint="cs"/>
          <w:sz w:val="28"/>
          <w:szCs w:val="28"/>
          <w:rtl/>
        </w:rPr>
        <w:t>5</w:t>
      </w:r>
      <w:r w:rsidRPr="00282AC9">
        <w:rPr>
          <w:rFonts w:ascii="Noor_Mitra" w:hAnsi="Noor_Mitra" w:cs="DanaFajr"/>
          <w:sz w:val="28"/>
          <w:szCs w:val="28"/>
          <w:rtl/>
          <w:lang w:bidi="fa-IR"/>
        </w:rPr>
        <w:t>هـ.</w:t>
      </w:r>
    </w:p>
  </w:endnote>
  <w:endnote w:id="572">
    <w:p w:rsidR="00C14EDE" w:rsidRPr="00282AC9" w:rsidRDefault="00C14EDE" w:rsidP="00EB776D">
      <w:pPr>
        <w:pStyle w:val="af7"/>
        <w:spacing w:line="290"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تمثّ</w:t>
      </w:r>
      <w:r w:rsidRPr="00282AC9">
        <w:rPr>
          <w:rFonts w:ascii="Noor_Mitra" w:hAnsi="Noor_Mitra" w:cs="DanaFajr" w:hint="cs"/>
          <w:sz w:val="28"/>
          <w:szCs w:val="28"/>
          <w:rtl/>
        </w:rPr>
        <w:t>َ</w:t>
      </w:r>
      <w:r w:rsidRPr="00282AC9">
        <w:rPr>
          <w:rFonts w:ascii="Noor_Mitra" w:hAnsi="Noor_Mitra" w:cs="DanaFajr"/>
          <w:sz w:val="28"/>
          <w:szCs w:val="28"/>
          <w:rtl/>
        </w:rPr>
        <w:t>ل به في عتاب امرأة</w:t>
      </w:r>
      <w:r w:rsidRPr="00282AC9">
        <w:rPr>
          <w:rFonts w:ascii="Noor_Mitra" w:hAnsi="Noor_Mitra" w:cs="DanaFajr" w:hint="cs"/>
          <w:sz w:val="28"/>
          <w:szCs w:val="28"/>
          <w:rtl/>
        </w:rPr>
        <w:t>ٍ</w:t>
      </w:r>
      <w:r w:rsidRPr="00282AC9">
        <w:rPr>
          <w:rFonts w:ascii="Noor_Mitra" w:hAnsi="Noor_Mitra" w:cs="DanaFajr"/>
          <w:sz w:val="28"/>
          <w:szCs w:val="28"/>
          <w:rtl/>
        </w:rPr>
        <w:t xml:space="preserve"> من بني أمي</w:t>
      </w:r>
      <w:r w:rsidRPr="00282AC9">
        <w:rPr>
          <w:rFonts w:ascii="Noor_Mitra" w:hAnsi="Noor_Mitra" w:cs="DanaFajr" w:hint="cs"/>
          <w:sz w:val="28"/>
          <w:szCs w:val="28"/>
          <w:rtl/>
        </w:rPr>
        <w:t>ّ</w:t>
      </w:r>
      <w:r w:rsidRPr="00282AC9">
        <w:rPr>
          <w:rFonts w:ascii="Noor_Mitra" w:hAnsi="Noor_Mitra" w:cs="DanaFajr"/>
          <w:sz w:val="28"/>
          <w:szCs w:val="28"/>
          <w:rtl/>
        </w:rPr>
        <w:t>ة حينما طالب</w:t>
      </w:r>
      <w:r w:rsidRPr="00282AC9">
        <w:rPr>
          <w:rFonts w:ascii="Noor_Mitra" w:hAnsi="Noor_Mitra" w:cs="DanaFajr" w:hint="cs"/>
          <w:sz w:val="28"/>
          <w:szCs w:val="28"/>
          <w:rtl/>
        </w:rPr>
        <w:t>َ</w:t>
      </w:r>
      <w:r w:rsidRPr="00282AC9">
        <w:rPr>
          <w:rFonts w:ascii="Noor_Mitra" w:hAnsi="Noor_Mitra" w:cs="DanaFajr"/>
          <w:sz w:val="28"/>
          <w:szCs w:val="28"/>
          <w:rtl/>
        </w:rPr>
        <w:t>ت</w:t>
      </w:r>
      <w:r w:rsidRPr="00282AC9">
        <w:rPr>
          <w:rFonts w:ascii="Noor_Mitra" w:hAnsi="Noor_Mitra" w:cs="DanaFajr" w:hint="cs"/>
          <w:sz w:val="28"/>
          <w:szCs w:val="28"/>
          <w:rtl/>
        </w:rPr>
        <w:t>ْ</w:t>
      </w:r>
      <w:r w:rsidRPr="00282AC9">
        <w:rPr>
          <w:rFonts w:ascii="Noor_Mitra" w:hAnsi="Noor_Mitra" w:cs="DanaFajr"/>
          <w:sz w:val="28"/>
          <w:szCs w:val="28"/>
          <w:rtl/>
        </w:rPr>
        <w:t>ه العدل فيهم. ابن أبي الحديد</w:t>
      </w:r>
      <w:r w:rsidRPr="00282AC9">
        <w:rPr>
          <w:rFonts w:ascii="Noor_Mitra" w:hAnsi="Noor_Mitra" w:cs="DanaFajr" w:hint="cs"/>
          <w:sz w:val="28"/>
          <w:szCs w:val="28"/>
          <w:rtl/>
        </w:rPr>
        <w:t>،</w:t>
      </w:r>
      <w:r w:rsidRPr="00282AC9">
        <w:rPr>
          <w:rFonts w:ascii="Noor_Mitra" w:hAnsi="Noor_Mitra" w:cs="DanaFajr"/>
          <w:sz w:val="28"/>
          <w:szCs w:val="28"/>
          <w:rtl/>
        </w:rPr>
        <w:t xml:space="preserve"> شرح نهج البلاغة ‏7: 1</w:t>
      </w:r>
      <w:r w:rsidRPr="00282AC9">
        <w:rPr>
          <w:rFonts w:ascii="Noor_Mitra" w:hAnsi="Noor_Mitra" w:cs="DanaFajr" w:hint="cs"/>
          <w:sz w:val="28"/>
          <w:szCs w:val="28"/>
          <w:rtl/>
        </w:rPr>
        <w:t>5</w:t>
      </w:r>
      <w:r w:rsidRPr="00282AC9">
        <w:rPr>
          <w:rFonts w:ascii="Noor_Mitra" w:hAnsi="Noor_Mitra" w:cs="DanaFajr"/>
          <w:sz w:val="28"/>
          <w:szCs w:val="28"/>
          <w:rtl/>
        </w:rPr>
        <w:t>0.</w:t>
      </w:r>
    </w:p>
  </w:endnote>
  <w:endnote w:id="573">
    <w:p w:rsidR="00C14EDE" w:rsidRPr="00282AC9" w:rsidRDefault="00C14EDE" w:rsidP="00EB776D">
      <w:pPr>
        <w:pStyle w:val="afc"/>
        <w:spacing w:line="290"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تمث</w:t>
      </w:r>
      <w:r w:rsidRPr="00282AC9">
        <w:rPr>
          <w:rFonts w:ascii="Noor_Mitra" w:hAnsi="Noor_Mitra" w:cs="DanaFajr" w:hint="cs"/>
          <w:sz w:val="28"/>
          <w:szCs w:val="28"/>
          <w:rtl/>
        </w:rPr>
        <w:t>َّ</w:t>
      </w:r>
      <w:r w:rsidRPr="00282AC9">
        <w:rPr>
          <w:rFonts w:ascii="Noor_Mitra" w:hAnsi="Noor_Mitra" w:cs="DanaFajr"/>
          <w:sz w:val="28"/>
          <w:szCs w:val="28"/>
          <w:rtl/>
        </w:rPr>
        <w:t>ل به الواثق الخليفة العباسي. الراغب الإصفهاني</w:t>
      </w:r>
      <w:r w:rsidRPr="00282AC9">
        <w:rPr>
          <w:rFonts w:ascii="Noor_Mitra" w:hAnsi="Noor_Mitra" w:cs="DanaFajr" w:hint="cs"/>
          <w:sz w:val="28"/>
          <w:szCs w:val="28"/>
          <w:rtl/>
        </w:rPr>
        <w:t>،</w:t>
      </w:r>
      <w:r w:rsidRPr="00282AC9">
        <w:rPr>
          <w:rFonts w:ascii="Noor_Mitra" w:hAnsi="Noor_Mitra" w:cs="DanaFajr"/>
          <w:sz w:val="28"/>
          <w:szCs w:val="28"/>
          <w:rtl/>
        </w:rPr>
        <w:t xml:space="preserve"> محاضرات الأدباء ومحاورات الشعراء والبلغاء ‏1</w:t>
      </w:r>
      <w:r w:rsidRPr="00282AC9">
        <w:rPr>
          <w:rFonts w:ascii="Noor_Mitra" w:hAnsi="Noor_Mitra" w:cs="DanaFajr" w:hint="cs"/>
          <w:sz w:val="28"/>
          <w:szCs w:val="28"/>
          <w:rtl/>
        </w:rPr>
        <w:t xml:space="preserve">: </w:t>
      </w:r>
      <w:r w:rsidRPr="00282AC9">
        <w:rPr>
          <w:rFonts w:ascii="Noor_Mitra" w:hAnsi="Noor_Mitra" w:cs="DanaFajr"/>
          <w:sz w:val="28"/>
          <w:szCs w:val="28"/>
          <w:rtl/>
        </w:rPr>
        <w:t>301، تحقيق</w:t>
      </w:r>
      <w:r w:rsidRPr="00282AC9">
        <w:rPr>
          <w:rFonts w:ascii="Noor_Mitra" w:hAnsi="Noor_Mitra" w:cs="DanaFajr" w:hint="cs"/>
          <w:sz w:val="28"/>
          <w:szCs w:val="28"/>
          <w:rtl/>
        </w:rPr>
        <w:t>:</w:t>
      </w:r>
      <w:r w:rsidRPr="00282AC9">
        <w:rPr>
          <w:rFonts w:ascii="Noor_Mitra" w:hAnsi="Noor_Mitra" w:cs="DanaFajr"/>
          <w:sz w:val="28"/>
          <w:szCs w:val="28"/>
          <w:rtl/>
        </w:rPr>
        <w:t xml:space="preserve"> عمر فاروق </w:t>
      </w:r>
      <w:r w:rsidRPr="00282AC9">
        <w:rPr>
          <w:rFonts w:ascii="Noor_Mitra" w:hAnsi="Noor_Mitra" w:cs="DanaFajr" w:hint="cs"/>
          <w:sz w:val="28"/>
          <w:szCs w:val="28"/>
          <w:rtl/>
        </w:rPr>
        <w:t>ال</w:t>
      </w:r>
      <w:r w:rsidRPr="00282AC9">
        <w:rPr>
          <w:rFonts w:ascii="Noor_Mitra" w:hAnsi="Noor_Mitra" w:cs="DanaFajr"/>
          <w:sz w:val="28"/>
          <w:szCs w:val="28"/>
          <w:rtl/>
        </w:rPr>
        <w:t>طب</w:t>
      </w:r>
      <w:r w:rsidRPr="00282AC9">
        <w:rPr>
          <w:rFonts w:ascii="Noor_Mitra" w:hAnsi="Noor_Mitra" w:cs="DanaFajr" w:hint="cs"/>
          <w:sz w:val="28"/>
          <w:szCs w:val="28"/>
          <w:rtl/>
        </w:rPr>
        <w:t>ّ</w:t>
      </w:r>
      <w:r w:rsidRPr="00282AC9">
        <w:rPr>
          <w:rFonts w:ascii="Noor_Mitra" w:hAnsi="Noor_Mitra" w:cs="DanaFajr"/>
          <w:sz w:val="28"/>
          <w:szCs w:val="28"/>
          <w:rtl/>
        </w:rPr>
        <w:t>اع، دار الأرقم بن أبي الأرقم، بيروت، ط1، ‏1</w:t>
      </w:r>
      <w:r w:rsidRPr="00282AC9">
        <w:rPr>
          <w:rFonts w:ascii="Noor_Mitra" w:hAnsi="Noor_Mitra" w:cs="DanaFajr" w:hint="cs"/>
          <w:sz w:val="28"/>
          <w:szCs w:val="28"/>
          <w:rtl/>
        </w:rPr>
        <w:t>4</w:t>
      </w:r>
      <w:r w:rsidRPr="00282AC9">
        <w:rPr>
          <w:rFonts w:ascii="Noor_Mitra" w:hAnsi="Noor_Mitra" w:cs="DanaFajr"/>
          <w:sz w:val="28"/>
          <w:szCs w:val="28"/>
          <w:rtl/>
        </w:rPr>
        <w:t>20هـ؛ وتمثّ</w:t>
      </w:r>
      <w:r w:rsidRPr="00282AC9">
        <w:rPr>
          <w:rFonts w:ascii="Noor_Mitra" w:hAnsi="Noor_Mitra" w:cs="DanaFajr" w:hint="cs"/>
          <w:sz w:val="28"/>
          <w:szCs w:val="28"/>
          <w:rtl/>
        </w:rPr>
        <w:t>َ</w:t>
      </w:r>
      <w:r w:rsidRPr="00282AC9">
        <w:rPr>
          <w:rFonts w:ascii="Noor_Mitra" w:hAnsi="Noor_Mitra" w:cs="DanaFajr"/>
          <w:sz w:val="28"/>
          <w:szCs w:val="28"/>
          <w:rtl/>
        </w:rPr>
        <w:t>ل به ابن منارة الكاتب أيضا</w:t>
      </w:r>
      <w:r w:rsidRPr="00282AC9">
        <w:rPr>
          <w:rFonts w:ascii="Noor_Mitra" w:hAnsi="Noor_Mitra" w:cs="DanaFajr" w:hint="cs"/>
          <w:sz w:val="28"/>
          <w:szCs w:val="28"/>
          <w:rtl/>
        </w:rPr>
        <w:t>ً</w:t>
      </w:r>
      <w:r w:rsidRPr="00282AC9">
        <w:rPr>
          <w:rFonts w:ascii="Noor_Mitra" w:hAnsi="Noor_Mitra" w:cs="DanaFajr"/>
          <w:sz w:val="28"/>
          <w:szCs w:val="28"/>
          <w:rtl/>
        </w:rPr>
        <w:t xml:space="preserve"> في عتاب عامله. الخفاجي، سر</w:t>
      </w:r>
      <w:r w:rsidRPr="00282AC9">
        <w:rPr>
          <w:rFonts w:ascii="Noor_Mitra" w:hAnsi="Noor_Mitra" w:cs="DanaFajr" w:hint="cs"/>
          <w:sz w:val="28"/>
          <w:szCs w:val="28"/>
          <w:rtl/>
        </w:rPr>
        <w:t>ّ</w:t>
      </w:r>
      <w:r w:rsidRPr="00282AC9">
        <w:rPr>
          <w:rFonts w:ascii="Noor_Mitra" w:hAnsi="Noor_Mitra" w:cs="DanaFajr"/>
          <w:sz w:val="28"/>
          <w:szCs w:val="28"/>
          <w:rtl/>
        </w:rPr>
        <w:t xml:space="preserve"> الفصاحة: 22</w:t>
      </w:r>
      <w:r w:rsidRPr="00282AC9">
        <w:rPr>
          <w:rFonts w:ascii="Noor_Mitra" w:hAnsi="Noor_Mitra" w:cs="DanaFajr" w:hint="cs"/>
          <w:sz w:val="28"/>
          <w:szCs w:val="28"/>
          <w:rtl/>
        </w:rPr>
        <w:t>6</w:t>
      </w:r>
      <w:r w:rsidRPr="00282AC9">
        <w:rPr>
          <w:rFonts w:ascii="Noor_Mitra" w:hAnsi="Noor_Mitra" w:cs="DanaFajr"/>
          <w:sz w:val="28"/>
          <w:szCs w:val="28"/>
          <w:rtl/>
        </w:rPr>
        <w:t>؛ أبو هلال العسكري، الصناعتين</w:t>
      </w:r>
      <w:r w:rsidRPr="00282AC9">
        <w:rPr>
          <w:rFonts w:ascii="Noor_Mitra" w:hAnsi="Noor_Mitra" w:cs="DanaFajr" w:hint="cs"/>
          <w:sz w:val="28"/>
          <w:szCs w:val="28"/>
          <w:rtl/>
        </w:rPr>
        <w:t>،</w:t>
      </w:r>
      <w:r w:rsidRPr="00282AC9">
        <w:rPr>
          <w:rFonts w:ascii="Noor_Mitra" w:hAnsi="Noor_Mitra" w:cs="DanaFajr"/>
          <w:sz w:val="28"/>
          <w:szCs w:val="28"/>
          <w:rtl/>
        </w:rPr>
        <w:t xml:space="preserve"> الكتابة والشعر: 3</w:t>
      </w:r>
      <w:r w:rsidRPr="00282AC9">
        <w:rPr>
          <w:rFonts w:ascii="Noor_Mitra" w:hAnsi="Noor_Mitra" w:cs="DanaFajr" w:hint="cs"/>
          <w:sz w:val="28"/>
          <w:szCs w:val="28"/>
          <w:rtl/>
        </w:rPr>
        <w:t>4</w:t>
      </w:r>
      <w:r w:rsidRPr="00282AC9">
        <w:rPr>
          <w:rFonts w:ascii="Noor_Mitra" w:hAnsi="Noor_Mitra" w:cs="DanaFajr"/>
          <w:sz w:val="28"/>
          <w:szCs w:val="28"/>
          <w:rtl/>
        </w:rPr>
        <w:t>3، تحقيق</w:t>
      </w:r>
      <w:r w:rsidRPr="00282AC9">
        <w:rPr>
          <w:rFonts w:ascii="Noor_Mitra" w:hAnsi="Noor_Mitra" w:cs="DanaFajr" w:hint="cs"/>
          <w:sz w:val="28"/>
          <w:szCs w:val="28"/>
          <w:rtl/>
        </w:rPr>
        <w:t>:</w:t>
      </w:r>
      <w:r w:rsidRPr="00282AC9">
        <w:rPr>
          <w:rFonts w:ascii="Noor_Mitra" w:hAnsi="Noor_Mitra" w:cs="DanaFajr"/>
          <w:sz w:val="28"/>
          <w:szCs w:val="28"/>
          <w:rtl/>
        </w:rPr>
        <w:t xml:space="preserve"> محمد أبو الفضل إبراهيم </w:t>
      </w:r>
      <w:r w:rsidRPr="00282AC9">
        <w:rPr>
          <w:rFonts w:ascii="Noor_Mitra" w:hAnsi="Noor_Mitra" w:cs="DanaFajr" w:hint="cs"/>
          <w:sz w:val="28"/>
          <w:szCs w:val="28"/>
          <w:rtl/>
        </w:rPr>
        <w:t>و</w:t>
      </w:r>
      <w:r w:rsidRPr="00282AC9">
        <w:rPr>
          <w:rFonts w:ascii="Noor_Mitra" w:hAnsi="Noor_Mitra" w:cs="DanaFajr"/>
          <w:sz w:val="28"/>
          <w:szCs w:val="28"/>
          <w:rtl/>
          <w:lang w:bidi="fa-IR"/>
        </w:rPr>
        <w:t>علي</w:t>
      </w:r>
      <w:r w:rsidRPr="00282AC9">
        <w:rPr>
          <w:rFonts w:ascii="Noor_Mitra" w:hAnsi="Noor_Mitra" w:cs="DanaFajr"/>
          <w:sz w:val="28"/>
          <w:szCs w:val="28"/>
          <w:rtl/>
        </w:rPr>
        <w:t xml:space="preserve"> محمد البجاوي، المكتبة العصرية، بيروت، 1</w:t>
      </w:r>
      <w:r w:rsidRPr="00282AC9">
        <w:rPr>
          <w:rFonts w:ascii="Noor_Mitra" w:hAnsi="Noor_Mitra" w:cs="DanaFajr" w:hint="cs"/>
          <w:sz w:val="28"/>
          <w:szCs w:val="28"/>
          <w:rtl/>
        </w:rPr>
        <w:t>4</w:t>
      </w:r>
      <w:r w:rsidRPr="00282AC9">
        <w:rPr>
          <w:rFonts w:ascii="Noor_Mitra" w:hAnsi="Noor_Mitra" w:cs="DanaFajr"/>
          <w:sz w:val="28"/>
          <w:szCs w:val="28"/>
          <w:rtl/>
        </w:rPr>
        <w:t>19هـ؛ الخوارزمي، مفاتيح العلوم: 82، دار المناهل، بيروت، 1</w:t>
      </w:r>
      <w:r w:rsidRPr="00282AC9">
        <w:rPr>
          <w:rFonts w:ascii="Noor_Mitra" w:hAnsi="Noor_Mitra" w:cs="DanaFajr" w:hint="cs"/>
          <w:sz w:val="28"/>
          <w:szCs w:val="28"/>
          <w:rtl/>
        </w:rPr>
        <w:t>4</w:t>
      </w:r>
      <w:r w:rsidRPr="00282AC9">
        <w:rPr>
          <w:rFonts w:ascii="Noor_Mitra" w:hAnsi="Noor_Mitra" w:cs="DanaFajr"/>
          <w:sz w:val="28"/>
          <w:szCs w:val="28"/>
          <w:rtl/>
        </w:rPr>
        <w:t>28هـ؛ وتمثّ</w:t>
      </w:r>
      <w:r w:rsidRPr="00282AC9">
        <w:rPr>
          <w:rFonts w:ascii="Noor_Mitra" w:hAnsi="Noor_Mitra" w:cs="DanaFajr" w:hint="cs"/>
          <w:sz w:val="28"/>
          <w:szCs w:val="28"/>
          <w:rtl/>
        </w:rPr>
        <w:t>َ</w:t>
      </w:r>
      <w:r w:rsidRPr="00282AC9">
        <w:rPr>
          <w:rFonts w:ascii="Noor_Mitra" w:hAnsi="Noor_Mitra" w:cs="DanaFajr"/>
          <w:sz w:val="28"/>
          <w:szCs w:val="28"/>
          <w:rtl/>
        </w:rPr>
        <w:t xml:space="preserve">ل به </w:t>
      </w:r>
      <w:r w:rsidRPr="00282AC9">
        <w:rPr>
          <w:rFonts w:ascii="Noor_Mitra" w:hAnsi="Noor_Mitra" w:cs="DanaFajr"/>
          <w:sz w:val="28"/>
          <w:szCs w:val="28"/>
          <w:rtl/>
          <w:lang w:bidi="fa-IR"/>
        </w:rPr>
        <w:t>المعتمد بن عباد اللخمي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صاحب مدينة </w:t>
      </w:r>
      <w:r w:rsidRPr="00282AC9">
        <w:rPr>
          <w:rFonts w:ascii="Noor_Mitra" w:hAnsi="Noor_Mitra" w:cs="DanaFajr" w:hint="cs"/>
          <w:sz w:val="28"/>
          <w:szCs w:val="28"/>
          <w:rtl/>
          <w:lang w:bidi="fa-IR"/>
        </w:rPr>
        <w:t>إ</w:t>
      </w:r>
      <w:r w:rsidRPr="00282AC9">
        <w:rPr>
          <w:rFonts w:ascii="Noor_Mitra" w:hAnsi="Noor_Mitra" w:cs="DanaFajr"/>
          <w:sz w:val="28"/>
          <w:szCs w:val="28"/>
          <w:rtl/>
          <w:lang w:bidi="fa-IR"/>
        </w:rPr>
        <w:t>شبيلية من جزيرة الأندلس‏. الخزرجي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العقد الفاخر الح</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ن في طبقات أكابر أهل اليمن ‏3</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132</w:t>
      </w:r>
      <w:r w:rsidRPr="00282AC9">
        <w:rPr>
          <w:rFonts w:ascii="Noor_Mitra" w:hAnsi="Noor_Mitra" w:cs="DanaFajr" w:hint="cs"/>
          <w:sz w:val="28"/>
          <w:szCs w:val="28"/>
          <w:rtl/>
        </w:rPr>
        <w:t>6</w:t>
      </w:r>
      <w:r w:rsidRPr="00282AC9">
        <w:rPr>
          <w:rFonts w:ascii="Noor_Mitra" w:hAnsi="Noor_Mitra" w:cs="DanaFajr"/>
          <w:sz w:val="28"/>
          <w:szCs w:val="28"/>
          <w:rtl/>
          <w:lang w:bidi="fa-IR"/>
        </w:rPr>
        <w:t>، مكتبة الجيل الجديد، صنعاء،</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1</w:t>
      </w:r>
      <w:r w:rsidRPr="00282AC9">
        <w:rPr>
          <w:rFonts w:ascii="Noor_Mitra" w:hAnsi="Noor_Mitra" w:cs="DanaFajr" w:hint="cs"/>
          <w:sz w:val="28"/>
          <w:szCs w:val="28"/>
          <w:rtl/>
        </w:rPr>
        <w:t>4</w:t>
      </w:r>
      <w:r w:rsidRPr="00282AC9">
        <w:rPr>
          <w:rFonts w:ascii="Noor_Mitra" w:hAnsi="Noor_Mitra" w:cs="DanaFajr"/>
          <w:sz w:val="28"/>
          <w:szCs w:val="28"/>
          <w:rtl/>
          <w:lang w:bidi="fa-IR"/>
        </w:rPr>
        <w:t>30هـ.</w:t>
      </w:r>
    </w:p>
  </w:endnote>
  <w:endnote w:id="574">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الميداني، مجمع الأمثال ‏2: 198، العتبة الرضوية، مشهد، 13</w:t>
      </w:r>
      <w:r w:rsidRPr="00282AC9">
        <w:rPr>
          <w:rFonts w:ascii="Noor_Mitra" w:hAnsi="Noor_Mitra" w:cs="DanaFajr" w:hint="cs"/>
          <w:sz w:val="28"/>
          <w:szCs w:val="28"/>
          <w:rtl/>
        </w:rPr>
        <w:t>66</w:t>
      </w:r>
      <w:r w:rsidRPr="00282AC9">
        <w:rPr>
          <w:rFonts w:ascii="Noor_Mitra" w:hAnsi="Noor_Mitra" w:cs="DanaFajr" w:hint="cs"/>
          <w:sz w:val="28"/>
          <w:szCs w:val="28"/>
          <w:rtl/>
          <w:lang w:bidi="fa-IR"/>
        </w:rPr>
        <w:t>هـ.</w:t>
      </w:r>
      <w:r w:rsidRPr="00282AC9">
        <w:rPr>
          <w:rFonts w:ascii="Noor_Mitra" w:hAnsi="Noor_Mitra" w:cs="DanaFajr"/>
          <w:sz w:val="28"/>
          <w:szCs w:val="28"/>
          <w:rtl/>
          <w:lang w:bidi="fa-IR"/>
        </w:rPr>
        <w:t>ش؛ يوسف بن طاهر الخويي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فرائد الخرائد في الأمثال: </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88، </w:t>
      </w:r>
      <w:r w:rsidRPr="00282AC9">
        <w:rPr>
          <w:rFonts w:ascii="Noor_Mitra" w:hAnsi="Noor_Mitra" w:cs="DanaFajr" w:hint="cs"/>
          <w:sz w:val="28"/>
          <w:szCs w:val="28"/>
          <w:rtl/>
          <w:lang w:bidi="fa-IR"/>
        </w:rPr>
        <w:t xml:space="preserve">تحقيق: </w:t>
      </w:r>
      <w:r w:rsidRPr="00282AC9">
        <w:rPr>
          <w:rFonts w:ascii="Noor_Mitra" w:hAnsi="Noor_Mitra" w:cs="DanaFajr"/>
          <w:sz w:val="28"/>
          <w:szCs w:val="28"/>
          <w:rtl/>
          <w:lang w:bidi="fa-IR"/>
        </w:rPr>
        <w:t>عبد الرز</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اق حسين، دار النفائس، الأردن، 1</w:t>
      </w:r>
      <w:r w:rsidRPr="00282AC9">
        <w:rPr>
          <w:rFonts w:ascii="Noor_Mitra" w:hAnsi="Noor_Mitra" w:cs="DanaFajr" w:hint="cs"/>
          <w:sz w:val="28"/>
          <w:szCs w:val="28"/>
          <w:rtl/>
        </w:rPr>
        <w:t>4</w:t>
      </w:r>
      <w:r w:rsidRPr="00282AC9">
        <w:rPr>
          <w:rFonts w:ascii="Noor_Mitra" w:hAnsi="Noor_Mitra" w:cs="DanaFajr"/>
          <w:sz w:val="28"/>
          <w:szCs w:val="28"/>
          <w:rtl/>
          <w:lang w:bidi="fa-IR"/>
        </w:rPr>
        <w:t>1</w:t>
      </w:r>
      <w:r w:rsidRPr="00282AC9">
        <w:rPr>
          <w:rFonts w:ascii="Noor_Mitra" w:hAnsi="Noor_Mitra" w:cs="DanaFajr" w:hint="cs"/>
          <w:sz w:val="28"/>
          <w:szCs w:val="28"/>
          <w:rtl/>
        </w:rPr>
        <w:t>5</w:t>
      </w:r>
      <w:r w:rsidRPr="00282AC9">
        <w:rPr>
          <w:rFonts w:ascii="Noor_Mitra" w:hAnsi="Noor_Mitra" w:cs="DanaFajr"/>
          <w:sz w:val="28"/>
          <w:szCs w:val="28"/>
          <w:rtl/>
          <w:lang w:bidi="fa-IR"/>
        </w:rPr>
        <w:t>هـ؛ الخوارزمي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الأمثال المول</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دة: 71، المجمع الثقافي، أبوظبي، 2003م؛ ولا يدلّ عنوان </w:t>
      </w:r>
      <w:r w:rsidRPr="00282AC9">
        <w:rPr>
          <w:rFonts w:ascii="Noor_Mitra" w:hAnsi="Noor_Mitra" w:cs="AL-Mohanad"/>
          <w:sz w:val="22"/>
          <w:szCs w:val="22"/>
          <w:rtl/>
          <w:lang w:bidi="fa-IR"/>
        </w:rPr>
        <w:t>«</w:t>
      </w:r>
      <w:r w:rsidRPr="00282AC9">
        <w:rPr>
          <w:rFonts w:ascii="Noor_Mitra" w:hAnsi="Noor_Mitra" w:cs="DanaFajr"/>
          <w:sz w:val="28"/>
          <w:szCs w:val="28"/>
          <w:rtl/>
          <w:lang w:bidi="fa-IR"/>
        </w:rPr>
        <w:t>المولّدة</w:t>
      </w:r>
      <w:r w:rsidRPr="00282AC9">
        <w:rPr>
          <w:rFonts w:ascii="Noor_Mitra" w:hAnsi="Noor_Mitra" w:cs="AL-Mohanad"/>
          <w:sz w:val="22"/>
          <w:szCs w:val="22"/>
          <w:rtl/>
          <w:lang w:bidi="fa-IR"/>
        </w:rPr>
        <w:t>»</w:t>
      </w:r>
      <w:r w:rsidRPr="00282AC9">
        <w:rPr>
          <w:rFonts w:ascii="Noor_Mitra" w:hAnsi="Noor_Mitra" w:cs="DanaFajr"/>
          <w:sz w:val="28"/>
          <w:szCs w:val="28"/>
          <w:rtl/>
          <w:lang w:bidi="fa-IR"/>
        </w:rPr>
        <w:t xml:space="preserve"> في كتابه على أن هذا المثل لم يكن أصيلا</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لأن الخوارزمي يذكر كثيرا</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من أصحاب الأبيات التي صارت مثلا</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وذكر هنا أيضا</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أن البيت لخالد الهذلي. وذكره المدني الشيرازي أيضا</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في كتابه ضمن الأمثال: الطراز الأو</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ل والكناز لما عليه من لغة العرب المعو</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ل ‏8: 1</w:t>
      </w:r>
      <w:r w:rsidRPr="00282AC9">
        <w:rPr>
          <w:rFonts w:ascii="Noor_Mitra" w:hAnsi="Noor_Mitra" w:cs="DanaFajr" w:hint="cs"/>
          <w:sz w:val="28"/>
          <w:szCs w:val="28"/>
          <w:rtl/>
        </w:rPr>
        <w:t>4</w:t>
      </w:r>
      <w:r w:rsidRPr="00282AC9">
        <w:rPr>
          <w:rFonts w:ascii="Noor_Mitra" w:hAnsi="Noor_Mitra" w:cs="DanaFajr"/>
          <w:sz w:val="28"/>
          <w:szCs w:val="28"/>
          <w:rtl/>
          <w:lang w:bidi="fa-IR"/>
        </w:rPr>
        <w:t>7، مؤس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سة آل البيت</w:t>
      </w:r>
      <w:r w:rsidRPr="00282AC9">
        <w:rPr>
          <w:rFonts w:cs="Mosawi" w:hint="cs"/>
          <w:sz w:val="20"/>
          <w:szCs w:val="20"/>
          <w:rtl/>
        </w:rPr>
        <w:t>^</w:t>
      </w:r>
      <w:r w:rsidRPr="00282AC9">
        <w:rPr>
          <w:rFonts w:ascii="Noor_Mitra" w:hAnsi="Noor_Mitra" w:cs="DanaFajr"/>
          <w:sz w:val="28"/>
          <w:szCs w:val="28"/>
          <w:rtl/>
          <w:lang w:bidi="fa-IR"/>
        </w:rPr>
        <w:t xml:space="preserve"> لإحياء التراث، مشهد، ط1، 138</w:t>
      </w:r>
      <w:r w:rsidRPr="00282AC9">
        <w:rPr>
          <w:rFonts w:ascii="Noor_Mitra" w:hAnsi="Noor_Mitra" w:cs="DanaFajr" w:hint="cs"/>
          <w:sz w:val="28"/>
          <w:szCs w:val="28"/>
          <w:rtl/>
        </w:rPr>
        <w:t>4</w:t>
      </w:r>
      <w:r w:rsidRPr="00282AC9">
        <w:rPr>
          <w:rFonts w:ascii="Noor_Mitra" w:hAnsi="Noor_Mitra" w:cs="DanaFajr" w:hint="cs"/>
          <w:sz w:val="28"/>
          <w:szCs w:val="28"/>
          <w:rtl/>
          <w:lang w:bidi="fa-IR"/>
        </w:rPr>
        <w:t>هـ.</w:t>
      </w:r>
      <w:r w:rsidRPr="00282AC9">
        <w:rPr>
          <w:rFonts w:ascii="Noor_Mitra" w:hAnsi="Noor_Mitra" w:cs="DanaFajr"/>
          <w:sz w:val="28"/>
          <w:szCs w:val="28"/>
          <w:rtl/>
          <w:lang w:bidi="fa-IR"/>
        </w:rPr>
        <w:t>ش</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w:t>
      </w:r>
      <w:r w:rsidRPr="00282AC9">
        <w:rPr>
          <w:rFonts w:ascii="Noor_Mitra" w:hAnsi="Noor_Mitra" w:cs="DanaFajr"/>
          <w:sz w:val="28"/>
          <w:szCs w:val="28"/>
          <w:rtl/>
        </w:rPr>
        <w:t>وقد ات</w:t>
      </w:r>
      <w:r w:rsidRPr="00282AC9">
        <w:rPr>
          <w:rFonts w:ascii="Noor_Mitra" w:hAnsi="Noor_Mitra" w:cs="DanaFajr" w:hint="cs"/>
          <w:sz w:val="28"/>
          <w:szCs w:val="28"/>
          <w:rtl/>
        </w:rPr>
        <w:t>ّ</w:t>
      </w:r>
      <w:r w:rsidRPr="00282AC9">
        <w:rPr>
          <w:rFonts w:ascii="Noor_Mitra" w:hAnsi="Noor_Mitra" w:cs="DanaFajr"/>
          <w:sz w:val="28"/>
          <w:szCs w:val="28"/>
          <w:rtl/>
        </w:rPr>
        <w:t>ضح مما تقد</w:t>
      </w:r>
      <w:r w:rsidRPr="00282AC9">
        <w:rPr>
          <w:rFonts w:ascii="Noor_Mitra" w:hAnsi="Noor_Mitra" w:cs="DanaFajr" w:hint="cs"/>
          <w:sz w:val="28"/>
          <w:szCs w:val="28"/>
          <w:rtl/>
        </w:rPr>
        <w:t>َّ</w:t>
      </w:r>
      <w:r w:rsidRPr="00282AC9">
        <w:rPr>
          <w:rFonts w:ascii="Noor_Mitra" w:hAnsi="Noor_Mitra" w:cs="DanaFajr"/>
          <w:sz w:val="28"/>
          <w:szCs w:val="28"/>
          <w:rtl/>
        </w:rPr>
        <w:t>م أن البيت يُتمث</w:t>
      </w:r>
      <w:r w:rsidRPr="00282AC9">
        <w:rPr>
          <w:rFonts w:ascii="Noor_Mitra" w:hAnsi="Noor_Mitra" w:cs="DanaFajr" w:hint="cs"/>
          <w:sz w:val="28"/>
          <w:szCs w:val="28"/>
          <w:rtl/>
        </w:rPr>
        <w:t>َّ</w:t>
      </w:r>
      <w:r w:rsidRPr="00282AC9">
        <w:rPr>
          <w:rFonts w:ascii="Noor_Mitra" w:hAnsi="Noor_Mitra" w:cs="DanaFajr"/>
          <w:sz w:val="28"/>
          <w:szCs w:val="28"/>
          <w:rtl/>
        </w:rPr>
        <w:t>ل به في عتاب شخص</w:t>
      </w:r>
      <w:r w:rsidRPr="00282AC9">
        <w:rPr>
          <w:rFonts w:ascii="Noor_Mitra" w:hAnsi="Noor_Mitra" w:cs="DanaFajr" w:hint="cs"/>
          <w:sz w:val="28"/>
          <w:szCs w:val="28"/>
          <w:rtl/>
        </w:rPr>
        <w:t>ٍ</w:t>
      </w:r>
      <w:r w:rsidRPr="00282AC9">
        <w:rPr>
          <w:rFonts w:ascii="Noor_Mitra" w:hAnsi="Noor_Mitra" w:cs="DanaFajr"/>
          <w:sz w:val="28"/>
          <w:szCs w:val="28"/>
          <w:rtl/>
        </w:rPr>
        <w:t xml:space="preserve"> يت</w:t>
      </w:r>
      <w:r w:rsidRPr="00282AC9">
        <w:rPr>
          <w:rFonts w:ascii="Noor_Mitra" w:hAnsi="Noor_Mitra" w:cs="DanaFajr" w:hint="cs"/>
          <w:sz w:val="28"/>
          <w:szCs w:val="28"/>
          <w:rtl/>
        </w:rPr>
        <w:t>ّ</w:t>
      </w:r>
      <w:r w:rsidRPr="00282AC9">
        <w:rPr>
          <w:rFonts w:ascii="Noor_Mitra" w:hAnsi="Noor_Mitra" w:cs="DanaFajr"/>
          <w:sz w:val="28"/>
          <w:szCs w:val="28"/>
          <w:rtl/>
        </w:rPr>
        <w:t>خذ سلوكا</w:t>
      </w:r>
      <w:r w:rsidRPr="00282AC9">
        <w:rPr>
          <w:rFonts w:ascii="Noor_Mitra" w:hAnsi="Noor_Mitra" w:cs="DanaFajr" w:hint="cs"/>
          <w:sz w:val="28"/>
          <w:szCs w:val="28"/>
          <w:rtl/>
        </w:rPr>
        <w:t>ً</w:t>
      </w:r>
      <w:r w:rsidRPr="00282AC9">
        <w:rPr>
          <w:rFonts w:ascii="Noor_Mitra" w:hAnsi="Noor_Mitra" w:cs="DanaFajr"/>
          <w:sz w:val="28"/>
          <w:szCs w:val="28"/>
          <w:rtl/>
        </w:rPr>
        <w:t xml:space="preserve"> لا يحب</w:t>
      </w:r>
      <w:r w:rsidRPr="00282AC9">
        <w:rPr>
          <w:rFonts w:ascii="Noor_Mitra" w:hAnsi="Noor_Mitra" w:cs="DanaFajr" w:hint="cs"/>
          <w:sz w:val="28"/>
          <w:szCs w:val="28"/>
          <w:rtl/>
        </w:rPr>
        <w:t>ّ</w:t>
      </w:r>
      <w:r w:rsidRPr="00282AC9">
        <w:rPr>
          <w:rFonts w:ascii="Noor_Mitra" w:hAnsi="Noor_Mitra" w:cs="DanaFajr"/>
          <w:sz w:val="28"/>
          <w:szCs w:val="28"/>
          <w:rtl/>
        </w:rPr>
        <w:t>ها بنفسه من قِبَل الآخرين.</w:t>
      </w:r>
    </w:p>
  </w:endnote>
  <w:endnote w:id="575">
    <w:p w:rsidR="00C14EDE" w:rsidRPr="00282AC9" w:rsidRDefault="00C14EDE" w:rsidP="0069506A">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الثعالبي، الإعجاز والإيجاز: 138،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محمد </w:t>
      </w:r>
      <w:r w:rsidRPr="00282AC9">
        <w:rPr>
          <w:rFonts w:ascii="Noor_Mitra" w:hAnsi="Noor_Mitra" w:cs="DanaFajr" w:hint="cs"/>
          <w:sz w:val="28"/>
          <w:szCs w:val="28"/>
          <w:rtl/>
          <w:lang w:bidi="fa-IR"/>
        </w:rPr>
        <w:t>إ</w:t>
      </w:r>
      <w:r w:rsidRPr="00282AC9">
        <w:rPr>
          <w:rFonts w:ascii="Noor_Mitra" w:hAnsi="Noor_Mitra" w:cs="DanaFajr"/>
          <w:sz w:val="28"/>
          <w:szCs w:val="28"/>
          <w:rtl/>
          <w:lang w:bidi="fa-IR"/>
        </w:rPr>
        <w:t xml:space="preserve">براهيم سليم، </w:t>
      </w:r>
      <w:r w:rsidRPr="00282AC9">
        <w:rPr>
          <w:rFonts w:ascii="Noor_Mitra" w:hAnsi="Noor_Mitra" w:cs="DanaFajr"/>
          <w:sz w:val="28"/>
          <w:szCs w:val="28"/>
          <w:rtl/>
        </w:rPr>
        <w:t>مكتبة القرآن</w:t>
      </w:r>
      <w:r w:rsidRPr="00282AC9">
        <w:rPr>
          <w:rFonts w:ascii="Noor_Mitra" w:hAnsi="Noor_Mitra" w:cs="DanaFajr"/>
          <w:sz w:val="28"/>
          <w:szCs w:val="28"/>
          <w:rtl/>
          <w:lang w:bidi="fa-IR"/>
        </w:rPr>
        <w:t>، القاهرة.</w:t>
      </w:r>
    </w:p>
  </w:endnote>
  <w:endnote w:id="576">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أبو بكر السجستاني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كتاب المصاحف: 127، الفاروق الحديثة للطباعة والنشر، القاهرة، ط1، 1</w:t>
      </w:r>
      <w:r w:rsidRPr="00282AC9">
        <w:rPr>
          <w:rFonts w:ascii="Noor_Mitra" w:hAnsi="Noor_Mitra" w:cs="DanaFajr" w:hint="cs"/>
          <w:sz w:val="28"/>
          <w:szCs w:val="28"/>
          <w:rtl/>
        </w:rPr>
        <w:t>4</w:t>
      </w:r>
      <w:r w:rsidRPr="00282AC9">
        <w:rPr>
          <w:rFonts w:ascii="Noor_Mitra" w:hAnsi="Noor_Mitra" w:cs="DanaFajr"/>
          <w:sz w:val="28"/>
          <w:szCs w:val="28"/>
          <w:rtl/>
          <w:lang w:bidi="fa-IR"/>
        </w:rPr>
        <w:t>23هـ.</w:t>
      </w:r>
    </w:p>
  </w:endnote>
  <w:endnote w:id="577">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 xml:space="preserve">تفسير الطبري </w:t>
      </w:r>
      <w:r w:rsidRPr="00282AC9">
        <w:rPr>
          <w:rFonts w:ascii="Noor_Mitra" w:hAnsi="Noor_Mitra" w:cs="DanaFajr"/>
          <w:sz w:val="28"/>
          <w:szCs w:val="28"/>
          <w:rtl/>
        </w:rPr>
        <w:t>17</w:t>
      </w:r>
      <w:r w:rsidRPr="00282AC9">
        <w:rPr>
          <w:rFonts w:ascii="Noor_Mitra" w:hAnsi="Noor_Mitra" w:cs="DanaFajr"/>
          <w:sz w:val="28"/>
          <w:szCs w:val="28"/>
          <w:rtl/>
          <w:lang w:bidi="fa-IR"/>
        </w:rPr>
        <w:t>: 1</w:t>
      </w:r>
      <w:r w:rsidRPr="00282AC9">
        <w:rPr>
          <w:rFonts w:ascii="Noor_Mitra" w:hAnsi="Noor_Mitra" w:cs="DanaFajr" w:hint="cs"/>
          <w:sz w:val="28"/>
          <w:szCs w:val="28"/>
          <w:rtl/>
        </w:rPr>
        <w:t>4</w:t>
      </w:r>
      <w:r w:rsidRPr="00282AC9">
        <w:rPr>
          <w:rFonts w:ascii="Noor_Mitra" w:hAnsi="Noor_Mitra" w:cs="DanaFajr"/>
          <w:sz w:val="28"/>
          <w:szCs w:val="28"/>
          <w:rtl/>
          <w:lang w:bidi="fa-IR"/>
        </w:rPr>
        <w:t>3.</w:t>
      </w:r>
    </w:p>
  </w:endnote>
  <w:endnote w:id="578">
    <w:p w:rsidR="00C14EDE" w:rsidRPr="00282AC9" w:rsidRDefault="00C14EDE" w:rsidP="0069506A">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جمهرة اللغة ‏2: 72</w:t>
      </w:r>
      <w:r w:rsidRPr="00282AC9">
        <w:rPr>
          <w:rFonts w:ascii="Noor_Mitra" w:hAnsi="Noor_Mitra" w:cs="DanaFajr" w:hint="cs"/>
          <w:sz w:val="28"/>
          <w:szCs w:val="28"/>
          <w:rtl/>
        </w:rPr>
        <w:t>5</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w:t>
      </w:r>
      <w:r w:rsidRPr="00282AC9">
        <w:rPr>
          <w:rFonts w:ascii="Noor_Mitra" w:hAnsi="Noor_Mitra" w:cs="DanaFajr" w:hint="cs"/>
          <w:sz w:val="28"/>
          <w:szCs w:val="28"/>
          <w:rtl/>
          <w:lang w:bidi="fa-IR"/>
        </w:rPr>
        <w:t>و</w:t>
      </w:r>
      <w:r w:rsidRPr="00282AC9">
        <w:rPr>
          <w:rFonts w:ascii="Noor_Mitra" w:hAnsi="Noor_Mitra" w:cs="DanaFajr"/>
          <w:sz w:val="28"/>
          <w:szCs w:val="28"/>
          <w:rtl/>
          <w:lang w:bidi="fa-IR"/>
        </w:rPr>
        <w:t>خصوصا</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أن ابن دريد لم يذكر البيت في معنى </w:t>
      </w:r>
      <w:r w:rsidRPr="00282AC9">
        <w:rPr>
          <w:rFonts w:ascii="Noor_Mitra" w:hAnsi="Noor_Mitra" w:cs="AL-Mohanad"/>
          <w:sz w:val="22"/>
          <w:szCs w:val="22"/>
          <w:rtl/>
          <w:lang w:bidi="fa-IR"/>
        </w:rPr>
        <w:t>«</w:t>
      </w:r>
      <w:r w:rsidRPr="00282AC9">
        <w:rPr>
          <w:rFonts w:ascii="Noor_Mitra" w:hAnsi="Noor_Mitra" w:cs="DanaFajr"/>
          <w:sz w:val="28"/>
          <w:szCs w:val="28"/>
          <w:rtl/>
          <w:lang w:bidi="fa-IR"/>
        </w:rPr>
        <w:t>السن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ة</w:t>
      </w:r>
      <w:r w:rsidRPr="00282AC9">
        <w:rPr>
          <w:rFonts w:ascii="Noor_Mitra" w:hAnsi="Noor_Mitra" w:cs="AL-Mohanad"/>
          <w:sz w:val="22"/>
          <w:szCs w:val="22"/>
          <w:rtl/>
          <w:lang w:bidi="fa-IR"/>
        </w:rPr>
        <w:t>»</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فيؤي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د هذا عدمَ وجود </w:t>
      </w:r>
      <w:r w:rsidRPr="00282AC9">
        <w:rPr>
          <w:rFonts w:ascii="Noor_Mitra" w:hAnsi="Noor_Mitra" w:cs="AL-Mohanad"/>
          <w:sz w:val="22"/>
          <w:szCs w:val="22"/>
          <w:rtl/>
          <w:lang w:bidi="fa-IR"/>
        </w:rPr>
        <w:t>«</w:t>
      </w:r>
      <w:r w:rsidRPr="00282AC9">
        <w:rPr>
          <w:rFonts w:ascii="Noor_Mitra" w:hAnsi="Noor_Mitra" w:cs="DanaFajr"/>
          <w:sz w:val="28"/>
          <w:szCs w:val="28"/>
          <w:rtl/>
          <w:lang w:bidi="fa-IR"/>
        </w:rPr>
        <w:t>السن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ة</w:t>
      </w:r>
      <w:r w:rsidRPr="00282AC9">
        <w:rPr>
          <w:rFonts w:ascii="Noor_Mitra" w:hAnsi="Noor_Mitra" w:cs="AL-Mohanad"/>
          <w:sz w:val="22"/>
          <w:szCs w:val="22"/>
          <w:rtl/>
          <w:lang w:bidi="fa-IR"/>
        </w:rPr>
        <w:t>»</w:t>
      </w:r>
      <w:r w:rsidRPr="00282AC9">
        <w:rPr>
          <w:rFonts w:ascii="Noor_Mitra" w:hAnsi="Noor_Mitra" w:cs="DanaFajr"/>
          <w:sz w:val="28"/>
          <w:szCs w:val="28"/>
          <w:rtl/>
          <w:lang w:bidi="fa-IR"/>
        </w:rPr>
        <w:t xml:space="preserve"> في روايته من البيت؛ ابن جن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ي، الخصائص ‏2: 1</w:t>
      </w:r>
      <w:r w:rsidRPr="00282AC9">
        <w:rPr>
          <w:rFonts w:ascii="Noor_Mitra" w:hAnsi="Noor_Mitra" w:cs="DanaFajr" w:hint="cs"/>
          <w:sz w:val="28"/>
          <w:szCs w:val="28"/>
          <w:rtl/>
        </w:rPr>
        <w:t>6</w:t>
      </w:r>
      <w:r w:rsidRPr="00282AC9">
        <w:rPr>
          <w:rFonts w:ascii="Noor_Mitra" w:hAnsi="Noor_Mitra" w:cs="DanaFajr"/>
          <w:sz w:val="28"/>
          <w:szCs w:val="28"/>
          <w:rtl/>
          <w:lang w:bidi="fa-IR"/>
        </w:rPr>
        <w:t>،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الهنداوي، دار الكتب العلمية، بيروت، 1</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29هـ؛ </w:t>
      </w:r>
      <w:r w:rsidRPr="00282AC9">
        <w:rPr>
          <w:rFonts w:ascii="Noor_Mitra" w:eastAsiaTheme="minorHAnsi" w:hAnsi="Noor_Mitra" w:cs="DanaFajr"/>
          <w:sz w:val="28"/>
          <w:szCs w:val="28"/>
          <w:rtl/>
          <w:lang w:bidi="fa-IR"/>
        </w:rPr>
        <w:t>ابن الشيخ</w:t>
      </w:r>
      <w:r w:rsidRPr="00282AC9">
        <w:rPr>
          <w:rFonts w:ascii="Noor_Mitra" w:eastAsiaTheme="minorHAnsi" w:hAnsi="Noor_Mitra" w:cs="DanaFajr" w:hint="cs"/>
          <w:sz w:val="28"/>
          <w:szCs w:val="28"/>
          <w:rtl/>
          <w:lang w:bidi="fa-IR"/>
        </w:rPr>
        <w:t>،</w:t>
      </w:r>
      <w:r w:rsidRPr="00282AC9">
        <w:rPr>
          <w:rFonts w:ascii="Noor_Mitra" w:eastAsiaTheme="minorHAnsi" w:hAnsi="Noor_Mitra" w:cs="DanaFajr"/>
          <w:sz w:val="28"/>
          <w:szCs w:val="28"/>
          <w:rtl/>
          <w:lang w:bidi="fa-IR"/>
        </w:rPr>
        <w:t xml:space="preserve"> </w:t>
      </w:r>
      <w:r w:rsidRPr="00282AC9">
        <w:rPr>
          <w:rFonts w:ascii="Noor_Mitra" w:hAnsi="Noor_Mitra" w:cs="DanaFajr"/>
          <w:sz w:val="28"/>
          <w:szCs w:val="28"/>
          <w:rtl/>
          <w:lang w:bidi="fa-IR"/>
        </w:rPr>
        <w:t xml:space="preserve">كتاب ألف باء في أنواع الآداب ‏2: </w:t>
      </w:r>
      <w:r w:rsidRPr="00282AC9">
        <w:rPr>
          <w:rFonts w:ascii="Noor_Mitra" w:hAnsi="Noor_Mitra" w:cs="DanaFajr" w:hint="cs"/>
          <w:sz w:val="28"/>
          <w:szCs w:val="28"/>
          <w:rtl/>
        </w:rPr>
        <w:t>5</w:t>
      </w:r>
      <w:r w:rsidRPr="00282AC9">
        <w:rPr>
          <w:rFonts w:ascii="Noor_Mitra" w:hAnsi="Noor_Mitra" w:cs="DanaFajr"/>
          <w:sz w:val="28"/>
          <w:szCs w:val="28"/>
          <w:rtl/>
          <w:lang w:bidi="fa-IR"/>
        </w:rPr>
        <w:t>81؛ الخوارزمي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الأمثال المول</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دة: </w:t>
      </w:r>
      <w:r w:rsidRPr="00282AC9">
        <w:rPr>
          <w:rFonts w:ascii="Noor_Mitra" w:hAnsi="Noor_Mitra" w:cs="DanaFajr" w:hint="cs"/>
          <w:sz w:val="28"/>
          <w:szCs w:val="28"/>
          <w:rtl/>
        </w:rPr>
        <w:t>4</w:t>
      </w:r>
      <w:r w:rsidRPr="00282AC9">
        <w:rPr>
          <w:rFonts w:ascii="Noor_Mitra" w:hAnsi="Noor_Mitra" w:cs="DanaFajr"/>
          <w:sz w:val="28"/>
          <w:szCs w:val="28"/>
          <w:rtl/>
          <w:lang w:bidi="fa-IR"/>
        </w:rPr>
        <w:t>12</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لكن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هذا الكتاب حقّ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ق مع نسخة</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فريدة</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ومن جهة</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أخرى الظاهر أن الخوارزمي أخذه من أستاذه الميداني من مجمع الأمثال</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وقد ورد فيه </w:t>
      </w:r>
      <w:r w:rsidRPr="00282AC9">
        <w:rPr>
          <w:rFonts w:cs="AL-Mohanad" w:hint="eastAsia"/>
          <w:sz w:val="22"/>
          <w:szCs w:val="22"/>
          <w:rtl/>
          <w:lang w:bidi="fa-IR"/>
        </w:rPr>
        <w:t>«</w:t>
      </w:r>
      <w:r w:rsidRPr="00282AC9">
        <w:rPr>
          <w:rFonts w:ascii="Noor_Mitra" w:hAnsi="Noor_Mitra" w:cs="DanaFajr"/>
          <w:sz w:val="28"/>
          <w:szCs w:val="28"/>
          <w:rtl/>
          <w:lang w:bidi="fa-IR"/>
        </w:rPr>
        <w:t>الس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نّة</w:t>
      </w:r>
      <w:r w:rsidRPr="00282AC9">
        <w:rPr>
          <w:rFonts w:cs="AL-Mohanad" w:hint="eastAsia"/>
          <w:sz w:val="22"/>
          <w:szCs w:val="22"/>
          <w:rtl/>
        </w:rPr>
        <w:t>»</w:t>
      </w:r>
      <w:r w:rsidRPr="00282AC9">
        <w:rPr>
          <w:rFonts w:ascii="Noor_Mitra" w:hAnsi="Noor_Mitra" w:cs="DanaFajr"/>
          <w:sz w:val="28"/>
          <w:szCs w:val="28"/>
          <w:rtl/>
          <w:lang w:bidi="fa-IR"/>
        </w:rPr>
        <w:t xml:space="preserve"> بدل </w:t>
      </w:r>
      <w:r w:rsidRPr="00282AC9">
        <w:rPr>
          <w:rFonts w:cs="AL-Mohanad" w:hint="eastAsia"/>
          <w:sz w:val="22"/>
          <w:szCs w:val="22"/>
          <w:rtl/>
          <w:lang w:bidi="fa-IR"/>
        </w:rPr>
        <w:t>«</w:t>
      </w:r>
      <w:r w:rsidRPr="00282AC9">
        <w:rPr>
          <w:rFonts w:ascii="Noor_Mitra" w:hAnsi="Noor_Mitra" w:cs="DanaFajr"/>
          <w:sz w:val="28"/>
          <w:szCs w:val="28"/>
          <w:rtl/>
          <w:lang w:bidi="fa-IR"/>
        </w:rPr>
        <w:t>الس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يرة</w:t>
      </w:r>
      <w:r w:rsidRPr="00282AC9">
        <w:rPr>
          <w:rFonts w:cs="AL-Mohanad" w:hint="eastAsia"/>
          <w:sz w:val="22"/>
          <w:szCs w:val="22"/>
          <w:rtl/>
        </w:rPr>
        <w:t>»</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فيبدو أنها تصحيف</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من </w:t>
      </w:r>
      <w:r w:rsidRPr="00282AC9">
        <w:rPr>
          <w:rFonts w:cs="AL-Mohanad" w:hint="eastAsia"/>
          <w:sz w:val="22"/>
          <w:szCs w:val="22"/>
          <w:rtl/>
          <w:lang w:bidi="fa-IR"/>
        </w:rPr>
        <w:t>«</w:t>
      </w:r>
      <w:r w:rsidRPr="00282AC9">
        <w:rPr>
          <w:rFonts w:ascii="Noor_Mitra" w:hAnsi="Noor_Mitra" w:cs="DanaFajr"/>
          <w:sz w:val="28"/>
          <w:szCs w:val="28"/>
          <w:rtl/>
          <w:lang w:bidi="fa-IR"/>
        </w:rPr>
        <w:t>الس</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ن</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ة</w:t>
      </w:r>
      <w:r w:rsidRPr="00282AC9">
        <w:rPr>
          <w:rFonts w:cs="AL-Mohanad" w:hint="eastAsia"/>
          <w:sz w:val="22"/>
          <w:szCs w:val="22"/>
          <w:rtl/>
        </w:rPr>
        <w:t>»</w:t>
      </w:r>
      <w:r w:rsidRPr="00282AC9">
        <w:rPr>
          <w:rFonts w:ascii="Noor_Mitra" w:hAnsi="Noor_Mitra" w:cs="DanaFajr"/>
          <w:sz w:val="28"/>
          <w:szCs w:val="28"/>
          <w:rtl/>
          <w:lang w:bidi="fa-IR"/>
        </w:rPr>
        <w:t xml:space="preserve">. </w:t>
      </w:r>
    </w:p>
  </w:endnote>
  <w:endnote w:id="579">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أبو الفرج الإصفهاني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الأغاني ‏</w:t>
      </w:r>
      <w:r w:rsidRPr="00282AC9">
        <w:rPr>
          <w:rFonts w:ascii="Noor_Mitra" w:hAnsi="Noor_Mitra" w:cs="DanaFajr" w:hint="cs"/>
          <w:sz w:val="28"/>
          <w:szCs w:val="28"/>
          <w:rtl/>
        </w:rPr>
        <w:t>6</w:t>
      </w:r>
      <w:r w:rsidRPr="00282AC9">
        <w:rPr>
          <w:rFonts w:ascii="Noor_Mitra" w:hAnsi="Noor_Mitra" w:cs="DanaFajr"/>
          <w:sz w:val="28"/>
          <w:szCs w:val="28"/>
          <w:rtl/>
          <w:lang w:bidi="fa-IR"/>
        </w:rPr>
        <w:t xml:space="preserve">: </w:t>
      </w:r>
      <w:r w:rsidRPr="00282AC9">
        <w:rPr>
          <w:rFonts w:ascii="Noor_Mitra" w:hAnsi="Noor_Mitra" w:cs="DanaFajr" w:hint="cs"/>
          <w:sz w:val="28"/>
          <w:szCs w:val="28"/>
          <w:rtl/>
        </w:rPr>
        <w:t>4</w:t>
      </w:r>
      <w:r w:rsidRPr="00282AC9">
        <w:rPr>
          <w:rFonts w:ascii="Noor_Mitra" w:hAnsi="Noor_Mitra" w:cs="DanaFajr"/>
          <w:sz w:val="28"/>
          <w:szCs w:val="28"/>
          <w:rtl/>
          <w:lang w:bidi="fa-IR"/>
        </w:rPr>
        <w:t>78؛ التوح</w:t>
      </w:r>
      <w:r w:rsidRPr="00282AC9">
        <w:rPr>
          <w:rFonts w:ascii="Noor_Mitra" w:hAnsi="Noor_Mitra" w:cs="DanaFajr"/>
          <w:sz w:val="28"/>
          <w:szCs w:val="28"/>
          <w:rtl/>
        </w:rPr>
        <w:t>يدي</w:t>
      </w:r>
      <w:r w:rsidRPr="00282AC9">
        <w:rPr>
          <w:rFonts w:ascii="Noor_Mitra" w:hAnsi="Noor_Mitra" w:cs="DanaFajr" w:hint="cs"/>
          <w:sz w:val="28"/>
          <w:szCs w:val="28"/>
          <w:rtl/>
        </w:rPr>
        <w:t>،</w:t>
      </w:r>
      <w:r w:rsidRPr="00282AC9">
        <w:rPr>
          <w:rFonts w:ascii="Noor_Mitra" w:hAnsi="Noor_Mitra" w:cs="DanaFajr"/>
          <w:sz w:val="28"/>
          <w:szCs w:val="28"/>
          <w:rtl/>
          <w:lang w:bidi="fa-IR"/>
        </w:rPr>
        <w:t xml:space="preserve"> البصائر والذخائر</w:t>
      </w:r>
      <w:r w:rsidRPr="00282AC9">
        <w:rPr>
          <w:rFonts w:ascii="Noor_Mitra" w:hAnsi="Noor_Mitra" w:cs="DanaFajr"/>
          <w:sz w:val="28"/>
          <w:szCs w:val="28"/>
          <w:rtl/>
        </w:rPr>
        <w:t xml:space="preserve">: </w:t>
      </w:r>
      <w:r w:rsidRPr="00282AC9">
        <w:rPr>
          <w:rFonts w:ascii="Noor_Mitra" w:hAnsi="Noor_Mitra" w:cs="DanaFajr"/>
          <w:sz w:val="28"/>
          <w:szCs w:val="28"/>
          <w:rtl/>
          <w:lang w:bidi="fa-IR"/>
        </w:rPr>
        <w:t>1</w:t>
      </w:r>
      <w:r w:rsidRPr="00282AC9">
        <w:rPr>
          <w:rFonts w:ascii="Noor_Mitra" w:hAnsi="Noor_Mitra" w:cs="DanaFajr" w:hint="cs"/>
          <w:sz w:val="28"/>
          <w:szCs w:val="28"/>
          <w:rtl/>
        </w:rPr>
        <w:t>44</w:t>
      </w:r>
      <w:r w:rsidRPr="00282AC9">
        <w:rPr>
          <w:rFonts w:ascii="Noor_Mitra" w:hAnsi="Noor_Mitra" w:cs="DanaFajr"/>
          <w:sz w:val="28"/>
          <w:szCs w:val="28"/>
          <w:rtl/>
          <w:lang w:bidi="fa-IR"/>
        </w:rPr>
        <w:t>،</w:t>
      </w:r>
      <w:r w:rsidRPr="00282AC9">
        <w:rPr>
          <w:rFonts w:ascii="Noor_Mitra" w:hAnsi="Noor_Mitra" w:cs="DanaFajr"/>
          <w:sz w:val="28"/>
          <w:szCs w:val="28"/>
          <w:rtl/>
        </w:rPr>
        <w:t xml:space="preserve"> تحقيق</w:t>
      </w:r>
      <w:r w:rsidRPr="00282AC9">
        <w:rPr>
          <w:rFonts w:ascii="Noor_Mitra" w:hAnsi="Noor_Mitra" w:cs="DanaFajr" w:hint="cs"/>
          <w:sz w:val="28"/>
          <w:szCs w:val="28"/>
          <w:rtl/>
        </w:rPr>
        <w:t>:</w:t>
      </w:r>
      <w:r w:rsidRPr="00282AC9">
        <w:rPr>
          <w:rFonts w:ascii="Noor_Mitra" w:hAnsi="Noor_Mitra" w:cs="DanaFajr"/>
          <w:sz w:val="28"/>
          <w:szCs w:val="28"/>
          <w:rtl/>
        </w:rPr>
        <w:t xml:space="preserve"> وداد القاضي</w:t>
      </w:r>
      <w:r w:rsidRPr="00282AC9">
        <w:rPr>
          <w:rFonts w:ascii="Noor_Mitra" w:hAnsi="Noor_Mitra" w:cs="DanaFajr"/>
          <w:sz w:val="28"/>
          <w:szCs w:val="28"/>
          <w:rtl/>
          <w:lang w:bidi="fa-IR"/>
        </w:rPr>
        <w:t>، دار صادر</w:t>
      </w:r>
      <w:r w:rsidRPr="00282AC9">
        <w:rPr>
          <w:rFonts w:ascii="Noor_Mitra" w:hAnsi="Noor_Mitra" w:cs="DanaFajr"/>
          <w:sz w:val="28"/>
          <w:szCs w:val="28"/>
          <w:rtl/>
        </w:rPr>
        <w:t xml:space="preserve">، </w:t>
      </w:r>
      <w:r w:rsidRPr="00282AC9">
        <w:rPr>
          <w:rFonts w:ascii="Noor_Mitra" w:hAnsi="Noor_Mitra" w:cs="DanaFajr"/>
          <w:sz w:val="28"/>
          <w:szCs w:val="28"/>
          <w:rtl/>
          <w:lang w:bidi="fa-IR"/>
        </w:rPr>
        <w:t>بيروت، ط</w:t>
      </w:r>
      <w:r w:rsidRPr="00282AC9">
        <w:rPr>
          <w:rFonts w:ascii="Noor_Mitra" w:hAnsi="Noor_Mitra" w:cs="DanaFajr" w:hint="cs"/>
          <w:sz w:val="28"/>
          <w:szCs w:val="28"/>
          <w:rtl/>
        </w:rPr>
        <w:t>4</w:t>
      </w:r>
      <w:r w:rsidRPr="00282AC9">
        <w:rPr>
          <w:rFonts w:ascii="Noor_Mitra" w:hAnsi="Noor_Mitra" w:cs="DanaFajr"/>
          <w:sz w:val="28"/>
          <w:szCs w:val="28"/>
          <w:rtl/>
          <w:lang w:bidi="fa-IR"/>
        </w:rPr>
        <w:t>، 1</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19هـ؛ التذكرة الحمدونية ‏7: 212؛ شمس العلوم </w:t>
      </w:r>
      <w:r w:rsidRPr="00282AC9">
        <w:rPr>
          <w:rFonts w:ascii="Noor_Mitra" w:hAnsi="Noor_Mitra" w:cs="DanaFajr" w:hint="cs"/>
          <w:sz w:val="28"/>
          <w:szCs w:val="28"/>
          <w:rtl/>
        </w:rPr>
        <w:t>5</w:t>
      </w:r>
      <w:r w:rsidRPr="00282AC9">
        <w:rPr>
          <w:rFonts w:ascii="Noor_Mitra" w:hAnsi="Noor_Mitra" w:cs="DanaFajr"/>
          <w:sz w:val="28"/>
          <w:szCs w:val="28"/>
          <w:rtl/>
          <w:lang w:bidi="fa-IR"/>
        </w:rPr>
        <w:t>: 2903.</w:t>
      </w:r>
    </w:p>
  </w:endnote>
  <w:endnote w:id="580">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وهو ابن حمدون</w:t>
      </w:r>
      <w:r w:rsidRPr="00282AC9">
        <w:rPr>
          <w:rFonts w:ascii="Noor_Mitra" w:hAnsi="Noor_Mitra" w:cs="DanaFajr" w:hint="cs"/>
          <w:sz w:val="28"/>
          <w:szCs w:val="28"/>
          <w:rtl/>
        </w:rPr>
        <w:t>،</w:t>
      </w:r>
      <w:r w:rsidRPr="00282AC9">
        <w:rPr>
          <w:rFonts w:ascii="Noor_Mitra" w:hAnsi="Noor_Mitra" w:cs="DanaFajr"/>
          <w:sz w:val="28"/>
          <w:szCs w:val="28"/>
          <w:rtl/>
        </w:rPr>
        <w:t xml:space="preserve"> في </w:t>
      </w:r>
      <w:r w:rsidRPr="00282AC9">
        <w:rPr>
          <w:rFonts w:ascii="Noor_Mitra" w:hAnsi="Noor_Mitra" w:cs="DanaFajr"/>
          <w:sz w:val="28"/>
          <w:szCs w:val="28"/>
          <w:rtl/>
          <w:lang w:bidi="fa-IR"/>
        </w:rPr>
        <w:t>التذكرة الحمدونية ‏7: 212</w:t>
      </w:r>
      <w:r w:rsidRPr="00282AC9">
        <w:rPr>
          <w:rFonts w:ascii="Noor_Mitra" w:hAnsi="Noor_Mitra" w:cs="DanaFajr" w:hint="cs"/>
          <w:sz w:val="28"/>
          <w:szCs w:val="28"/>
          <w:rtl/>
        </w:rPr>
        <w:t>.</w:t>
      </w:r>
    </w:p>
  </w:endnote>
  <w:endnote w:id="581">
    <w:p w:rsidR="00C14EDE" w:rsidRPr="00282AC9" w:rsidRDefault="00C14EDE" w:rsidP="0069506A">
      <w:pPr>
        <w:spacing w:line="288" w:lineRule="exact"/>
        <w:ind w:firstLine="0"/>
        <w:rPr>
          <w:rFonts w:cs="DanaFajr"/>
          <w:szCs w:val="28"/>
          <w:rtl/>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szCs w:val="28"/>
        </w:rPr>
        <w:t xml:space="preserve"> </w:t>
      </w:r>
      <w:r w:rsidRPr="00282AC9">
        <w:rPr>
          <w:rFonts w:cs="DanaFajr"/>
          <w:szCs w:val="28"/>
          <w:rtl/>
        </w:rPr>
        <w:t>إلا</w:t>
      </w:r>
      <w:r w:rsidRPr="00282AC9">
        <w:rPr>
          <w:rFonts w:cs="DanaFajr" w:hint="cs"/>
          <w:szCs w:val="28"/>
          <w:rtl/>
        </w:rPr>
        <w:t>ّ</w:t>
      </w:r>
      <w:r w:rsidRPr="00282AC9">
        <w:rPr>
          <w:rFonts w:cs="DanaFajr"/>
          <w:szCs w:val="28"/>
          <w:rtl/>
        </w:rPr>
        <w:t xml:space="preserve"> ابن دريد فهو ذكر البيت ضمن معنى </w:t>
      </w:r>
      <w:r w:rsidRPr="00282AC9">
        <w:rPr>
          <w:rFonts w:hint="eastAsia"/>
          <w:sz w:val="22"/>
          <w:szCs w:val="22"/>
          <w:rtl/>
        </w:rPr>
        <w:t>«</w:t>
      </w:r>
      <w:r w:rsidRPr="00282AC9">
        <w:rPr>
          <w:rFonts w:cs="DanaFajr"/>
          <w:szCs w:val="28"/>
          <w:rtl/>
        </w:rPr>
        <w:t>سار سيرةً</w:t>
      </w:r>
      <w:r w:rsidRPr="00282AC9">
        <w:rPr>
          <w:rFonts w:hint="eastAsia"/>
          <w:sz w:val="22"/>
          <w:szCs w:val="22"/>
          <w:rtl/>
        </w:rPr>
        <w:t>»</w:t>
      </w:r>
      <w:r w:rsidRPr="00282AC9">
        <w:rPr>
          <w:rFonts w:cs="DanaFajr" w:hint="cs"/>
          <w:szCs w:val="28"/>
          <w:rtl/>
        </w:rPr>
        <w:t>.</w:t>
      </w:r>
      <w:r w:rsidRPr="00282AC9">
        <w:rPr>
          <w:rFonts w:cs="DanaFajr"/>
          <w:szCs w:val="28"/>
          <w:rtl/>
        </w:rPr>
        <w:t xml:space="preserve"> لكن</w:t>
      </w:r>
      <w:r w:rsidRPr="00282AC9">
        <w:rPr>
          <w:rFonts w:cs="DanaFajr" w:hint="cs"/>
          <w:szCs w:val="28"/>
          <w:rtl/>
        </w:rPr>
        <w:t>ْ</w:t>
      </w:r>
      <w:r w:rsidRPr="00282AC9">
        <w:rPr>
          <w:rFonts w:cs="DanaFajr"/>
          <w:szCs w:val="28"/>
          <w:rtl/>
        </w:rPr>
        <w:t xml:space="preserve"> لا يشكل أن استشهاده بهذا البيت في معنى ماد</w:t>
      </w:r>
      <w:r w:rsidRPr="00282AC9">
        <w:rPr>
          <w:rFonts w:cs="DanaFajr" w:hint="cs"/>
          <w:szCs w:val="28"/>
          <w:rtl/>
        </w:rPr>
        <w:t>ّ</w:t>
      </w:r>
      <w:r w:rsidRPr="00282AC9">
        <w:rPr>
          <w:rFonts w:cs="DanaFajr"/>
          <w:szCs w:val="28"/>
          <w:rtl/>
        </w:rPr>
        <w:t xml:space="preserve">ة </w:t>
      </w:r>
      <w:r w:rsidRPr="00282AC9">
        <w:rPr>
          <w:rFonts w:hint="eastAsia"/>
          <w:sz w:val="22"/>
          <w:szCs w:val="22"/>
          <w:rtl/>
        </w:rPr>
        <w:t>«</w:t>
      </w:r>
      <w:r w:rsidRPr="00282AC9">
        <w:rPr>
          <w:rFonts w:cs="DanaFajr"/>
          <w:szCs w:val="28"/>
          <w:rtl/>
        </w:rPr>
        <w:t>السير</w:t>
      </w:r>
      <w:r w:rsidRPr="00282AC9">
        <w:rPr>
          <w:rFonts w:hint="eastAsia"/>
          <w:sz w:val="22"/>
          <w:szCs w:val="22"/>
          <w:rtl/>
        </w:rPr>
        <w:t>»</w:t>
      </w:r>
      <w:r w:rsidRPr="00282AC9">
        <w:rPr>
          <w:rFonts w:cs="DanaFajr"/>
          <w:szCs w:val="28"/>
          <w:rtl/>
        </w:rPr>
        <w:t xml:space="preserve"> دليل على أن الموجود في روايته للشعر </w:t>
      </w:r>
      <w:r w:rsidRPr="00282AC9">
        <w:rPr>
          <w:rFonts w:hint="eastAsia"/>
          <w:sz w:val="22"/>
          <w:szCs w:val="22"/>
          <w:rtl/>
        </w:rPr>
        <w:t>«</w:t>
      </w:r>
      <w:r w:rsidRPr="00282AC9">
        <w:rPr>
          <w:rFonts w:cs="DanaFajr"/>
          <w:szCs w:val="28"/>
          <w:rtl/>
        </w:rPr>
        <w:t>الس</w:t>
      </w:r>
      <w:r w:rsidRPr="00282AC9">
        <w:rPr>
          <w:rFonts w:cs="DanaFajr" w:hint="cs"/>
          <w:szCs w:val="28"/>
          <w:rtl/>
        </w:rPr>
        <w:t>ِّ</w:t>
      </w:r>
      <w:r w:rsidRPr="00282AC9">
        <w:rPr>
          <w:rFonts w:cs="DanaFajr"/>
          <w:szCs w:val="28"/>
          <w:rtl/>
        </w:rPr>
        <w:t>يرة</w:t>
      </w:r>
      <w:r w:rsidRPr="00282AC9">
        <w:rPr>
          <w:rFonts w:hint="eastAsia"/>
          <w:sz w:val="22"/>
          <w:szCs w:val="22"/>
          <w:rtl/>
        </w:rPr>
        <w:t>»</w:t>
      </w:r>
      <w:r w:rsidRPr="00282AC9">
        <w:rPr>
          <w:rFonts w:cs="DanaFajr"/>
          <w:szCs w:val="28"/>
          <w:rtl/>
        </w:rPr>
        <w:t xml:space="preserve"> بدل </w:t>
      </w:r>
      <w:r w:rsidRPr="00282AC9">
        <w:rPr>
          <w:rFonts w:hint="eastAsia"/>
          <w:sz w:val="22"/>
          <w:szCs w:val="22"/>
          <w:rtl/>
        </w:rPr>
        <w:t>«</w:t>
      </w:r>
      <w:r w:rsidRPr="00282AC9">
        <w:rPr>
          <w:rFonts w:cs="DanaFajr"/>
          <w:szCs w:val="28"/>
          <w:rtl/>
        </w:rPr>
        <w:t>الس</w:t>
      </w:r>
      <w:r w:rsidRPr="00282AC9">
        <w:rPr>
          <w:rFonts w:cs="DanaFajr" w:hint="cs"/>
          <w:szCs w:val="28"/>
          <w:rtl/>
        </w:rPr>
        <w:t>ُّ</w:t>
      </w:r>
      <w:r w:rsidRPr="00282AC9">
        <w:rPr>
          <w:rFonts w:cs="DanaFajr"/>
          <w:szCs w:val="28"/>
          <w:rtl/>
        </w:rPr>
        <w:t>نّ</w:t>
      </w:r>
      <w:r w:rsidRPr="00282AC9">
        <w:rPr>
          <w:rFonts w:cs="DanaFajr" w:hint="cs"/>
          <w:szCs w:val="28"/>
          <w:rtl/>
        </w:rPr>
        <w:t>َ</w:t>
      </w:r>
      <w:r w:rsidRPr="00282AC9">
        <w:rPr>
          <w:rFonts w:cs="DanaFajr"/>
          <w:szCs w:val="28"/>
          <w:rtl/>
        </w:rPr>
        <w:t>ة</w:t>
      </w:r>
      <w:r w:rsidRPr="00282AC9">
        <w:rPr>
          <w:rFonts w:hint="eastAsia"/>
          <w:sz w:val="22"/>
          <w:szCs w:val="22"/>
          <w:rtl/>
        </w:rPr>
        <w:t>»</w:t>
      </w:r>
      <w:r w:rsidRPr="00282AC9">
        <w:rPr>
          <w:rFonts w:cs="DanaFajr" w:hint="cs"/>
          <w:szCs w:val="28"/>
          <w:rtl/>
        </w:rPr>
        <w:t>؛</w:t>
      </w:r>
      <w:r w:rsidRPr="00282AC9">
        <w:rPr>
          <w:rFonts w:cs="DanaFajr"/>
          <w:szCs w:val="28"/>
          <w:rtl/>
        </w:rPr>
        <w:t xml:space="preserve"> لأن </w:t>
      </w:r>
      <w:r w:rsidRPr="00282AC9">
        <w:rPr>
          <w:rFonts w:hint="eastAsia"/>
          <w:sz w:val="22"/>
          <w:szCs w:val="22"/>
          <w:rtl/>
        </w:rPr>
        <w:t>«</w:t>
      </w:r>
      <w:r w:rsidRPr="00282AC9">
        <w:rPr>
          <w:rFonts w:cs="DanaFajr"/>
          <w:szCs w:val="28"/>
          <w:rtl/>
        </w:rPr>
        <w:t>الس</w:t>
      </w:r>
      <w:r w:rsidRPr="00282AC9">
        <w:rPr>
          <w:rFonts w:cs="DanaFajr" w:hint="cs"/>
          <w:szCs w:val="28"/>
          <w:rtl/>
        </w:rPr>
        <w:t>ِّ</w:t>
      </w:r>
      <w:r w:rsidRPr="00282AC9">
        <w:rPr>
          <w:rFonts w:cs="DanaFajr"/>
          <w:szCs w:val="28"/>
          <w:rtl/>
        </w:rPr>
        <w:t>يرة</w:t>
      </w:r>
      <w:r w:rsidRPr="00282AC9">
        <w:rPr>
          <w:rFonts w:hint="eastAsia"/>
          <w:sz w:val="22"/>
          <w:szCs w:val="22"/>
          <w:rtl/>
        </w:rPr>
        <w:t>»</w:t>
      </w:r>
      <w:r w:rsidRPr="00282AC9">
        <w:rPr>
          <w:rFonts w:cs="DanaFajr"/>
          <w:szCs w:val="28"/>
          <w:rtl/>
        </w:rPr>
        <w:t xml:space="preserve"> </w:t>
      </w:r>
      <w:r w:rsidRPr="00282AC9">
        <w:rPr>
          <w:rFonts w:ascii="Times New Roman" w:hAnsi="Times New Roman" w:cs="DanaFajr" w:hint="cs"/>
          <w:szCs w:val="28"/>
          <w:rtl/>
        </w:rPr>
        <w:t xml:space="preserve">ـ </w:t>
      </w:r>
      <w:r w:rsidRPr="00282AC9">
        <w:rPr>
          <w:rFonts w:cs="DanaFajr"/>
          <w:szCs w:val="28"/>
          <w:rtl/>
        </w:rPr>
        <w:t>على فرضها وجودها ـ ليست هي الكلمة الوحيدة من ماد</w:t>
      </w:r>
      <w:r w:rsidRPr="00282AC9">
        <w:rPr>
          <w:rFonts w:cs="DanaFajr" w:hint="cs"/>
          <w:szCs w:val="28"/>
          <w:rtl/>
        </w:rPr>
        <w:t>ّ</w:t>
      </w:r>
      <w:r w:rsidRPr="00282AC9">
        <w:rPr>
          <w:rFonts w:cs="DanaFajr"/>
          <w:szCs w:val="28"/>
          <w:rtl/>
        </w:rPr>
        <w:t xml:space="preserve">ة (س </w:t>
      </w:r>
      <w:r w:rsidRPr="00282AC9">
        <w:rPr>
          <w:rFonts w:cs="DanaFajr" w:hint="cs"/>
          <w:szCs w:val="28"/>
          <w:rtl/>
        </w:rPr>
        <w:t>ي</w:t>
      </w:r>
      <w:r w:rsidRPr="00282AC9">
        <w:rPr>
          <w:rFonts w:cs="DanaFajr"/>
          <w:szCs w:val="28"/>
          <w:rtl/>
        </w:rPr>
        <w:t xml:space="preserve"> ر) في هذا البيت، فلا يبعد أن ابن دريد استشهد بـ </w:t>
      </w:r>
      <w:r w:rsidRPr="00282AC9">
        <w:rPr>
          <w:sz w:val="22"/>
          <w:szCs w:val="22"/>
          <w:rtl/>
        </w:rPr>
        <w:t>«</w:t>
      </w:r>
      <w:r w:rsidRPr="00282AC9">
        <w:rPr>
          <w:rFonts w:cs="DanaFajr"/>
          <w:szCs w:val="28"/>
          <w:rtl/>
        </w:rPr>
        <w:t>س</w:t>
      </w:r>
      <w:r w:rsidRPr="00282AC9">
        <w:rPr>
          <w:rFonts w:cs="DanaFajr" w:hint="cs"/>
          <w:szCs w:val="28"/>
          <w:rtl/>
        </w:rPr>
        <w:t>ِ</w:t>
      </w:r>
      <w:r w:rsidRPr="00282AC9">
        <w:rPr>
          <w:rFonts w:cs="DanaFajr"/>
          <w:szCs w:val="28"/>
          <w:rtl/>
        </w:rPr>
        <w:t>ر</w:t>
      </w:r>
      <w:r w:rsidRPr="00282AC9">
        <w:rPr>
          <w:rFonts w:cs="DanaFajr" w:hint="cs"/>
          <w:szCs w:val="28"/>
          <w:rtl/>
        </w:rPr>
        <w:t>ْ</w:t>
      </w:r>
      <w:r w:rsidRPr="00282AC9">
        <w:rPr>
          <w:rFonts w:cs="DanaFajr"/>
          <w:szCs w:val="28"/>
          <w:rtl/>
        </w:rPr>
        <w:t>ت</w:t>
      </w:r>
      <w:r w:rsidRPr="00282AC9">
        <w:rPr>
          <w:rFonts w:cs="DanaFajr" w:hint="cs"/>
          <w:szCs w:val="28"/>
          <w:rtl/>
        </w:rPr>
        <w:t>َ</w:t>
      </w:r>
      <w:r w:rsidRPr="00282AC9">
        <w:rPr>
          <w:rFonts w:cs="DanaFajr"/>
          <w:szCs w:val="28"/>
          <w:rtl/>
        </w:rPr>
        <w:t>ها</w:t>
      </w:r>
      <w:r w:rsidRPr="00282AC9">
        <w:rPr>
          <w:sz w:val="22"/>
          <w:szCs w:val="22"/>
          <w:rtl/>
        </w:rPr>
        <w:t>»</w:t>
      </w:r>
      <w:r w:rsidRPr="00282AC9">
        <w:rPr>
          <w:rFonts w:cs="DanaFajr"/>
          <w:szCs w:val="28"/>
          <w:rtl/>
        </w:rPr>
        <w:t xml:space="preserve"> في البيت</w:t>
      </w:r>
      <w:r w:rsidRPr="00282AC9">
        <w:rPr>
          <w:rFonts w:cs="DanaFajr" w:hint="cs"/>
          <w:szCs w:val="28"/>
          <w:rtl/>
        </w:rPr>
        <w:t>،</w:t>
      </w:r>
      <w:r w:rsidRPr="00282AC9">
        <w:rPr>
          <w:rFonts w:cs="DanaFajr"/>
          <w:szCs w:val="28"/>
          <w:rtl/>
        </w:rPr>
        <w:t xml:space="preserve"> وأن تكون </w:t>
      </w:r>
      <w:r w:rsidRPr="00282AC9">
        <w:rPr>
          <w:rFonts w:hint="eastAsia"/>
          <w:sz w:val="22"/>
          <w:szCs w:val="22"/>
          <w:rtl/>
        </w:rPr>
        <w:t>«</w:t>
      </w:r>
      <w:r w:rsidRPr="00282AC9">
        <w:rPr>
          <w:rFonts w:cs="DanaFajr"/>
          <w:szCs w:val="28"/>
          <w:rtl/>
        </w:rPr>
        <w:t>السيرة</w:t>
      </w:r>
      <w:r w:rsidRPr="00282AC9">
        <w:rPr>
          <w:rFonts w:hint="eastAsia"/>
          <w:sz w:val="22"/>
          <w:szCs w:val="22"/>
          <w:rtl/>
        </w:rPr>
        <w:t>»</w:t>
      </w:r>
      <w:r w:rsidRPr="00282AC9">
        <w:rPr>
          <w:rFonts w:cs="DanaFajr"/>
          <w:szCs w:val="28"/>
          <w:rtl/>
        </w:rPr>
        <w:t xml:space="preserve"> في كتابه تصحيفا</w:t>
      </w:r>
      <w:r w:rsidRPr="00282AC9">
        <w:rPr>
          <w:rFonts w:cs="DanaFajr" w:hint="cs"/>
          <w:szCs w:val="28"/>
          <w:rtl/>
        </w:rPr>
        <w:t>ً</w:t>
      </w:r>
      <w:r w:rsidRPr="00282AC9">
        <w:rPr>
          <w:rFonts w:cs="DanaFajr"/>
          <w:szCs w:val="28"/>
          <w:rtl/>
        </w:rPr>
        <w:t xml:space="preserve"> من </w:t>
      </w:r>
      <w:r w:rsidRPr="00282AC9">
        <w:rPr>
          <w:rFonts w:hint="eastAsia"/>
          <w:sz w:val="22"/>
          <w:szCs w:val="22"/>
          <w:rtl/>
        </w:rPr>
        <w:t>«</w:t>
      </w:r>
      <w:r w:rsidRPr="00282AC9">
        <w:rPr>
          <w:rFonts w:cs="DanaFajr"/>
          <w:szCs w:val="28"/>
          <w:rtl/>
        </w:rPr>
        <w:t>الس</w:t>
      </w:r>
      <w:r w:rsidRPr="00282AC9">
        <w:rPr>
          <w:rFonts w:cs="DanaFajr" w:hint="cs"/>
          <w:szCs w:val="28"/>
          <w:rtl/>
        </w:rPr>
        <w:t>ُّ</w:t>
      </w:r>
      <w:r w:rsidRPr="00282AC9">
        <w:rPr>
          <w:rFonts w:cs="DanaFajr"/>
          <w:szCs w:val="28"/>
          <w:rtl/>
        </w:rPr>
        <w:t>ن</w:t>
      </w:r>
      <w:r w:rsidRPr="00282AC9">
        <w:rPr>
          <w:rFonts w:cs="DanaFajr" w:hint="cs"/>
          <w:szCs w:val="28"/>
          <w:rtl/>
        </w:rPr>
        <w:t>َّ</w:t>
      </w:r>
      <w:r w:rsidRPr="00282AC9">
        <w:rPr>
          <w:rFonts w:cs="DanaFajr"/>
          <w:szCs w:val="28"/>
          <w:rtl/>
        </w:rPr>
        <w:t>ة</w:t>
      </w:r>
      <w:r w:rsidRPr="00282AC9">
        <w:rPr>
          <w:rFonts w:hint="eastAsia"/>
          <w:sz w:val="22"/>
          <w:szCs w:val="22"/>
          <w:rtl/>
        </w:rPr>
        <w:t>»</w:t>
      </w:r>
      <w:r w:rsidRPr="00282AC9">
        <w:rPr>
          <w:rFonts w:cs="DanaFajr"/>
          <w:szCs w:val="28"/>
          <w:rtl/>
        </w:rPr>
        <w:t>. أقصد أن استشهاده به في معنى الس</w:t>
      </w:r>
      <w:r w:rsidRPr="00282AC9">
        <w:rPr>
          <w:rFonts w:cs="DanaFajr" w:hint="cs"/>
          <w:szCs w:val="28"/>
          <w:rtl/>
        </w:rPr>
        <w:t>ِّ</w:t>
      </w:r>
      <w:r w:rsidRPr="00282AC9">
        <w:rPr>
          <w:rFonts w:cs="DanaFajr"/>
          <w:szCs w:val="28"/>
          <w:rtl/>
        </w:rPr>
        <w:t>يرة صحيح</w:t>
      </w:r>
      <w:r w:rsidRPr="00282AC9">
        <w:rPr>
          <w:rFonts w:cs="DanaFajr" w:hint="cs"/>
          <w:szCs w:val="28"/>
          <w:rtl/>
        </w:rPr>
        <w:t>ٌ،</w:t>
      </w:r>
      <w:r w:rsidRPr="00282AC9">
        <w:rPr>
          <w:rFonts w:cs="DanaFajr"/>
          <w:szCs w:val="28"/>
          <w:rtl/>
        </w:rPr>
        <w:t xml:space="preserve"> حت</w:t>
      </w:r>
      <w:r w:rsidRPr="00282AC9">
        <w:rPr>
          <w:rFonts w:cs="DanaFajr" w:hint="cs"/>
          <w:szCs w:val="28"/>
          <w:rtl/>
        </w:rPr>
        <w:t>ّ</w:t>
      </w:r>
      <w:r w:rsidRPr="00282AC9">
        <w:rPr>
          <w:rFonts w:cs="DanaFajr"/>
          <w:szCs w:val="28"/>
          <w:rtl/>
        </w:rPr>
        <w:t xml:space="preserve">ى مع عدم وجود </w:t>
      </w:r>
      <w:r w:rsidRPr="00282AC9">
        <w:rPr>
          <w:rFonts w:hint="eastAsia"/>
          <w:sz w:val="22"/>
          <w:szCs w:val="22"/>
          <w:rtl/>
        </w:rPr>
        <w:t>«</w:t>
      </w:r>
      <w:r w:rsidRPr="00282AC9">
        <w:rPr>
          <w:rFonts w:cs="DanaFajr"/>
          <w:szCs w:val="28"/>
          <w:rtl/>
        </w:rPr>
        <w:t>الس</w:t>
      </w:r>
      <w:r w:rsidRPr="00282AC9">
        <w:rPr>
          <w:rFonts w:cs="DanaFajr" w:hint="cs"/>
          <w:szCs w:val="28"/>
          <w:rtl/>
        </w:rPr>
        <w:t>ِّ</w:t>
      </w:r>
      <w:r w:rsidRPr="00282AC9">
        <w:rPr>
          <w:rFonts w:cs="DanaFajr"/>
          <w:szCs w:val="28"/>
          <w:rtl/>
        </w:rPr>
        <w:t>يرة</w:t>
      </w:r>
      <w:r w:rsidRPr="00282AC9">
        <w:rPr>
          <w:rFonts w:hint="eastAsia"/>
          <w:sz w:val="22"/>
          <w:szCs w:val="22"/>
          <w:rtl/>
        </w:rPr>
        <w:t>»</w:t>
      </w:r>
      <w:r w:rsidRPr="00282AC9">
        <w:rPr>
          <w:rFonts w:cs="DanaFajr"/>
          <w:szCs w:val="28"/>
          <w:rtl/>
        </w:rPr>
        <w:t xml:space="preserve"> بدل </w:t>
      </w:r>
      <w:r w:rsidRPr="00282AC9">
        <w:rPr>
          <w:rFonts w:hint="eastAsia"/>
          <w:sz w:val="22"/>
          <w:szCs w:val="22"/>
          <w:rtl/>
        </w:rPr>
        <w:t>«</w:t>
      </w:r>
      <w:r w:rsidRPr="00282AC9">
        <w:rPr>
          <w:rFonts w:cs="DanaFajr"/>
          <w:szCs w:val="28"/>
          <w:rtl/>
        </w:rPr>
        <w:t>الس</w:t>
      </w:r>
      <w:r w:rsidRPr="00282AC9">
        <w:rPr>
          <w:rFonts w:cs="DanaFajr" w:hint="cs"/>
          <w:szCs w:val="28"/>
          <w:rtl/>
        </w:rPr>
        <w:t>ُّ</w:t>
      </w:r>
      <w:r w:rsidRPr="00282AC9">
        <w:rPr>
          <w:rFonts w:cs="DanaFajr"/>
          <w:szCs w:val="28"/>
          <w:rtl/>
        </w:rPr>
        <w:t>نّ</w:t>
      </w:r>
      <w:r w:rsidRPr="00282AC9">
        <w:rPr>
          <w:rFonts w:cs="DanaFajr" w:hint="cs"/>
          <w:szCs w:val="28"/>
          <w:rtl/>
        </w:rPr>
        <w:t>َ</w:t>
      </w:r>
      <w:r w:rsidRPr="00282AC9">
        <w:rPr>
          <w:rFonts w:cs="DanaFajr"/>
          <w:szCs w:val="28"/>
          <w:rtl/>
        </w:rPr>
        <w:t>ة</w:t>
      </w:r>
      <w:r w:rsidRPr="00282AC9">
        <w:rPr>
          <w:rFonts w:hint="eastAsia"/>
          <w:sz w:val="22"/>
          <w:szCs w:val="22"/>
          <w:rtl/>
        </w:rPr>
        <w:t>»</w:t>
      </w:r>
      <w:r w:rsidRPr="00282AC9">
        <w:rPr>
          <w:rFonts w:cs="DanaFajr"/>
          <w:szCs w:val="28"/>
          <w:rtl/>
        </w:rPr>
        <w:t xml:space="preserve"> في البيت. </w:t>
      </w:r>
    </w:p>
  </w:endnote>
  <w:endnote w:id="582">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 xml:space="preserve">) </w:t>
      </w:r>
      <w:r w:rsidRPr="00282AC9">
        <w:rPr>
          <w:rFonts w:hint="eastAsia"/>
          <w:sz w:val="22"/>
          <w:szCs w:val="22"/>
          <w:rtl/>
        </w:rPr>
        <w:t>«</w:t>
      </w:r>
      <w:r w:rsidRPr="00282AC9">
        <w:rPr>
          <w:rFonts w:ascii="Noor_Mitra" w:hAnsi="Noor_Mitra" w:cs="DanaFajr"/>
          <w:sz w:val="28"/>
          <w:szCs w:val="28"/>
          <w:rtl/>
        </w:rPr>
        <w:t>سِر</w:t>
      </w:r>
      <w:r w:rsidRPr="00282AC9">
        <w:rPr>
          <w:rFonts w:ascii="Noor_Mitra" w:hAnsi="Noor_Mitra" w:cs="DanaFajr" w:hint="cs"/>
          <w:sz w:val="28"/>
          <w:szCs w:val="28"/>
          <w:rtl/>
        </w:rPr>
        <w:t>ْ</w:t>
      </w:r>
      <w:r w:rsidRPr="00282AC9">
        <w:rPr>
          <w:rFonts w:ascii="Noor_Mitra" w:hAnsi="Noor_Mitra" w:cs="DanaFajr"/>
          <w:sz w:val="28"/>
          <w:szCs w:val="28"/>
          <w:rtl/>
        </w:rPr>
        <w:t>ت</w:t>
      </w:r>
      <w:r w:rsidRPr="00282AC9">
        <w:rPr>
          <w:rFonts w:ascii="Noor_Mitra" w:hAnsi="Noor_Mitra" w:cs="DanaFajr" w:hint="cs"/>
          <w:sz w:val="28"/>
          <w:szCs w:val="28"/>
          <w:rtl/>
        </w:rPr>
        <w:t>َ</w:t>
      </w:r>
      <w:r w:rsidRPr="00282AC9">
        <w:rPr>
          <w:rFonts w:ascii="Noor_Mitra" w:hAnsi="Noor_Mitra" w:cs="DanaFajr"/>
          <w:sz w:val="28"/>
          <w:szCs w:val="28"/>
          <w:rtl/>
        </w:rPr>
        <w:t>ها</w:t>
      </w:r>
      <w:r w:rsidRPr="00282AC9">
        <w:rPr>
          <w:rFonts w:hint="eastAsia"/>
          <w:sz w:val="22"/>
          <w:szCs w:val="22"/>
          <w:rtl/>
        </w:rPr>
        <w:t>»</w:t>
      </w:r>
      <w:r w:rsidRPr="00282AC9">
        <w:rPr>
          <w:rFonts w:ascii="Noor_Mitra" w:hAnsi="Noor_Mitra" w:cs="DanaFajr"/>
          <w:sz w:val="28"/>
          <w:szCs w:val="28"/>
          <w:rtl/>
        </w:rPr>
        <w:t xml:space="preserve"> و</w:t>
      </w:r>
      <w:r w:rsidRPr="00282AC9">
        <w:rPr>
          <w:rFonts w:hint="eastAsia"/>
          <w:sz w:val="22"/>
          <w:szCs w:val="22"/>
          <w:rtl/>
        </w:rPr>
        <w:t>«</w:t>
      </w:r>
      <w:r w:rsidRPr="00282AC9">
        <w:rPr>
          <w:rFonts w:ascii="Noor_Mitra" w:hAnsi="Noor_Mitra" w:cs="DanaFajr"/>
          <w:sz w:val="28"/>
          <w:szCs w:val="28"/>
          <w:rtl/>
        </w:rPr>
        <w:t>يسيرها</w:t>
      </w:r>
      <w:r w:rsidRPr="00282AC9">
        <w:rPr>
          <w:rFonts w:hint="eastAsia"/>
          <w:sz w:val="22"/>
          <w:szCs w:val="22"/>
          <w:rtl/>
        </w:rPr>
        <w:t>»</w:t>
      </w:r>
      <w:r w:rsidRPr="00282AC9">
        <w:rPr>
          <w:rFonts w:ascii="Noor_Mitra" w:hAnsi="Noor_Mitra" w:cs="DanaFajr" w:hint="cs"/>
          <w:sz w:val="28"/>
          <w:szCs w:val="28"/>
          <w:rtl/>
        </w:rPr>
        <w:t>،</w:t>
      </w:r>
      <w:r w:rsidRPr="00282AC9">
        <w:rPr>
          <w:rFonts w:ascii="Noor_Mitra" w:hAnsi="Noor_Mitra" w:cs="DanaFajr"/>
          <w:sz w:val="28"/>
          <w:szCs w:val="28"/>
          <w:rtl/>
        </w:rPr>
        <w:t xml:space="preserve"> ور</w:t>
      </w:r>
      <w:r w:rsidRPr="00282AC9">
        <w:rPr>
          <w:rFonts w:ascii="Noor_Mitra" w:hAnsi="Noor_Mitra" w:cs="DanaFajr" w:hint="cs"/>
          <w:sz w:val="28"/>
          <w:szCs w:val="28"/>
          <w:rtl/>
        </w:rPr>
        <w:t>ُ</w:t>
      </w:r>
      <w:r w:rsidRPr="00282AC9">
        <w:rPr>
          <w:rFonts w:ascii="Noor_Mitra" w:hAnsi="Noor_Mitra" w:cs="DanaFajr"/>
          <w:sz w:val="28"/>
          <w:szCs w:val="28"/>
          <w:rtl/>
        </w:rPr>
        <w:t>ب</w:t>
      </w:r>
      <w:r w:rsidRPr="00282AC9">
        <w:rPr>
          <w:rFonts w:ascii="Noor_Mitra" w:hAnsi="Noor_Mitra" w:cs="DanaFajr" w:hint="cs"/>
          <w:sz w:val="28"/>
          <w:szCs w:val="28"/>
          <w:rtl/>
        </w:rPr>
        <w:t>َ</w:t>
      </w:r>
      <w:r w:rsidRPr="00282AC9">
        <w:rPr>
          <w:rFonts w:ascii="Noor_Mitra" w:hAnsi="Noor_Mitra" w:cs="DanaFajr"/>
          <w:sz w:val="28"/>
          <w:szCs w:val="28"/>
          <w:rtl/>
        </w:rPr>
        <w:t xml:space="preserve">ما كان </w:t>
      </w:r>
      <w:r w:rsidRPr="00282AC9">
        <w:rPr>
          <w:rFonts w:hint="eastAsia"/>
          <w:sz w:val="22"/>
          <w:szCs w:val="22"/>
          <w:rtl/>
        </w:rPr>
        <w:t>«</w:t>
      </w:r>
      <w:r w:rsidRPr="00282AC9">
        <w:rPr>
          <w:rFonts w:ascii="Noor_Mitra" w:hAnsi="Noor_Mitra" w:cs="DanaFajr"/>
          <w:sz w:val="28"/>
          <w:szCs w:val="28"/>
          <w:rtl/>
        </w:rPr>
        <w:t>من سيرةٍ</w:t>
      </w:r>
      <w:r w:rsidRPr="00282AC9">
        <w:rPr>
          <w:rFonts w:hint="eastAsia"/>
          <w:sz w:val="22"/>
          <w:szCs w:val="22"/>
          <w:rtl/>
        </w:rPr>
        <w:t>»</w:t>
      </w:r>
      <w:r w:rsidRPr="00282AC9">
        <w:rPr>
          <w:rFonts w:ascii="Noor_Mitra" w:hAnsi="Noor_Mitra" w:cs="DanaFajr"/>
          <w:sz w:val="28"/>
          <w:szCs w:val="28"/>
          <w:rtl/>
        </w:rPr>
        <w:t xml:space="preserve"> بدل </w:t>
      </w:r>
      <w:r w:rsidRPr="00282AC9">
        <w:rPr>
          <w:rFonts w:hint="eastAsia"/>
          <w:sz w:val="22"/>
          <w:szCs w:val="22"/>
          <w:rtl/>
        </w:rPr>
        <w:t>«</w:t>
      </w:r>
      <w:r w:rsidRPr="00282AC9">
        <w:rPr>
          <w:rFonts w:ascii="Noor_Mitra" w:hAnsi="Noor_Mitra" w:cs="DanaFajr"/>
          <w:sz w:val="28"/>
          <w:szCs w:val="28"/>
          <w:rtl/>
        </w:rPr>
        <w:t>من س</w:t>
      </w:r>
      <w:r w:rsidRPr="00282AC9">
        <w:rPr>
          <w:rFonts w:ascii="Noor_Mitra" w:hAnsi="Noor_Mitra" w:cs="DanaFajr" w:hint="cs"/>
          <w:sz w:val="28"/>
          <w:szCs w:val="28"/>
          <w:rtl/>
        </w:rPr>
        <w:t>ُ</w:t>
      </w:r>
      <w:r w:rsidRPr="00282AC9">
        <w:rPr>
          <w:rFonts w:ascii="Noor_Mitra" w:hAnsi="Noor_Mitra" w:cs="DanaFajr"/>
          <w:sz w:val="28"/>
          <w:szCs w:val="28"/>
          <w:rtl/>
        </w:rPr>
        <w:t>ن</w:t>
      </w:r>
      <w:r w:rsidRPr="00282AC9">
        <w:rPr>
          <w:rFonts w:ascii="Noor_Mitra" w:hAnsi="Noor_Mitra" w:cs="DanaFajr" w:hint="cs"/>
          <w:sz w:val="28"/>
          <w:szCs w:val="28"/>
          <w:rtl/>
        </w:rPr>
        <w:t>ّ</w:t>
      </w:r>
      <w:r w:rsidRPr="00282AC9">
        <w:rPr>
          <w:rFonts w:ascii="Noor_Mitra" w:hAnsi="Noor_Mitra" w:cs="DanaFajr"/>
          <w:sz w:val="28"/>
          <w:szCs w:val="28"/>
          <w:rtl/>
        </w:rPr>
        <w:t>ةٍ</w:t>
      </w:r>
      <w:r w:rsidRPr="00282AC9">
        <w:rPr>
          <w:rFonts w:hint="eastAsia"/>
          <w:sz w:val="22"/>
          <w:szCs w:val="22"/>
          <w:rtl/>
        </w:rPr>
        <w:t>»</w:t>
      </w:r>
      <w:r w:rsidRPr="00282AC9">
        <w:rPr>
          <w:rFonts w:ascii="Noor_Mitra" w:hAnsi="Noor_Mitra" w:cs="DanaFajr"/>
          <w:sz w:val="28"/>
          <w:szCs w:val="28"/>
          <w:rtl/>
        </w:rPr>
        <w:t xml:space="preserve"> في المصراع الأو</w:t>
      </w:r>
      <w:r w:rsidRPr="00282AC9">
        <w:rPr>
          <w:rFonts w:ascii="Noor_Mitra" w:hAnsi="Noor_Mitra" w:cs="DanaFajr" w:hint="cs"/>
          <w:sz w:val="28"/>
          <w:szCs w:val="28"/>
          <w:rtl/>
        </w:rPr>
        <w:t>ّ</w:t>
      </w:r>
      <w:r w:rsidRPr="00282AC9">
        <w:rPr>
          <w:rFonts w:ascii="Noor_Mitra" w:hAnsi="Noor_Mitra" w:cs="DanaFajr"/>
          <w:sz w:val="28"/>
          <w:szCs w:val="28"/>
          <w:rtl/>
        </w:rPr>
        <w:t>ل، كما ورد في بعض الروايات لهذا البيت</w:t>
      </w:r>
      <w:r w:rsidRPr="00282AC9">
        <w:rPr>
          <w:rFonts w:ascii="Noor_Mitra" w:hAnsi="Noor_Mitra" w:cs="DanaFajr" w:hint="cs"/>
          <w:sz w:val="28"/>
          <w:szCs w:val="28"/>
          <w:rtl/>
        </w:rPr>
        <w:t>.</w:t>
      </w:r>
      <w:r w:rsidRPr="00282AC9">
        <w:rPr>
          <w:rFonts w:ascii="Noor_Mitra" w:hAnsi="Noor_Mitra" w:cs="DanaFajr"/>
          <w:sz w:val="28"/>
          <w:szCs w:val="28"/>
          <w:rtl/>
        </w:rPr>
        <w:t xml:space="preserve"> فيصل رقم تكرار مادة (س ي ر) إلى ثلاث مر</w:t>
      </w:r>
      <w:r w:rsidRPr="00282AC9">
        <w:rPr>
          <w:rFonts w:ascii="Noor_Mitra" w:hAnsi="Noor_Mitra" w:cs="DanaFajr" w:hint="cs"/>
          <w:sz w:val="28"/>
          <w:szCs w:val="28"/>
          <w:rtl/>
        </w:rPr>
        <w:t>ّ</w:t>
      </w:r>
      <w:r w:rsidRPr="00282AC9">
        <w:rPr>
          <w:rFonts w:ascii="Noor_Mitra" w:hAnsi="Noor_Mitra" w:cs="DanaFajr"/>
          <w:sz w:val="28"/>
          <w:szCs w:val="28"/>
          <w:rtl/>
        </w:rPr>
        <w:t>ات</w:t>
      </w:r>
      <w:r w:rsidRPr="00282AC9">
        <w:rPr>
          <w:rFonts w:ascii="Noor_Mitra" w:hAnsi="Noor_Mitra" w:cs="DanaFajr" w:hint="cs"/>
          <w:sz w:val="28"/>
          <w:szCs w:val="28"/>
          <w:rtl/>
        </w:rPr>
        <w:t>.</w:t>
      </w:r>
      <w:r w:rsidRPr="00282AC9">
        <w:rPr>
          <w:rFonts w:ascii="Noor_Mitra" w:hAnsi="Noor_Mitra" w:cs="DanaFajr"/>
          <w:sz w:val="28"/>
          <w:szCs w:val="28"/>
          <w:rtl/>
        </w:rPr>
        <w:t xml:space="preserve"> وهذا رقم</w:t>
      </w:r>
      <w:r w:rsidRPr="00282AC9">
        <w:rPr>
          <w:rFonts w:ascii="Noor_Mitra" w:hAnsi="Noor_Mitra" w:cs="DanaFajr" w:hint="cs"/>
          <w:sz w:val="28"/>
          <w:szCs w:val="28"/>
          <w:rtl/>
        </w:rPr>
        <w:t>ٌ</w:t>
      </w:r>
      <w:r w:rsidRPr="00282AC9">
        <w:rPr>
          <w:rFonts w:ascii="Noor_Mitra" w:hAnsi="Noor_Mitra" w:cs="DanaFajr"/>
          <w:sz w:val="28"/>
          <w:szCs w:val="28"/>
          <w:rtl/>
        </w:rPr>
        <w:t xml:space="preserve"> كبير بالنسبة إلى بيت</w:t>
      </w:r>
      <w:r w:rsidRPr="00282AC9">
        <w:rPr>
          <w:rFonts w:ascii="Noor_Mitra" w:hAnsi="Noor_Mitra" w:cs="DanaFajr" w:hint="cs"/>
          <w:sz w:val="28"/>
          <w:szCs w:val="28"/>
          <w:rtl/>
        </w:rPr>
        <w:t>ٍ</w:t>
      </w:r>
      <w:r w:rsidRPr="00282AC9">
        <w:rPr>
          <w:rFonts w:ascii="Noor_Mitra" w:hAnsi="Noor_Mitra" w:cs="DanaFajr"/>
          <w:sz w:val="28"/>
          <w:szCs w:val="28"/>
          <w:rtl/>
        </w:rPr>
        <w:t xml:space="preserve"> واحد.</w:t>
      </w:r>
    </w:p>
  </w:endnote>
  <w:endnote w:id="583">
    <w:p w:rsidR="00C14EDE" w:rsidRPr="00282AC9" w:rsidRDefault="00C14EDE" w:rsidP="0069506A">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انظر على سبيل المثال: الشبيري الزنجاني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كتاب </w:t>
      </w:r>
      <w:r w:rsidRPr="00282AC9">
        <w:rPr>
          <w:rFonts w:ascii="Noor_Mitra" w:hAnsi="Noor_Mitra" w:cs="DanaFajr" w:hint="cs"/>
          <w:sz w:val="28"/>
          <w:szCs w:val="28"/>
          <w:rtl/>
          <w:lang w:bidi="fa-IR"/>
        </w:rPr>
        <w:t>ال</w:t>
      </w:r>
      <w:r w:rsidRPr="00282AC9">
        <w:rPr>
          <w:rFonts w:ascii="Noor_Mitra" w:hAnsi="Noor_Mitra" w:cs="DanaFajr"/>
          <w:sz w:val="28"/>
          <w:szCs w:val="28"/>
          <w:rtl/>
          <w:lang w:bidi="fa-IR"/>
        </w:rPr>
        <w:t>نكاح ‌</w:t>
      </w:r>
      <w:r w:rsidRPr="00282AC9">
        <w:rPr>
          <w:rFonts w:ascii="Noor_Mitra" w:hAnsi="Noor_Mitra" w:cs="DanaFajr" w:hint="cs"/>
          <w:sz w:val="28"/>
          <w:szCs w:val="28"/>
          <w:rtl/>
        </w:rPr>
        <w:t>4</w:t>
      </w:r>
      <w:r w:rsidRPr="00282AC9">
        <w:rPr>
          <w:rFonts w:ascii="Noor_Mitra" w:hAnsi="Noor_Mitra" w:cs="DanaFajr"/>
          <w:sz w:val="28"/>
          <w:szCs w:val="28"/>
          <w:rtl/>
          <w:lang w:bidi="fa-IR"/>
        </w:rPr>
        <w:t>: 1178</w:t>
      </w:r>
      <w:r w:rsidRPr="00282AC9">
        <w:rPr>
          <w:rFonts w:ascii="Noor_Mitra" w:hAnsi="Noor_Mitra" w:cs="DanaFajr"/>
          <w:sz w:val="28"/>
          <w:szCs w:val="28"/>
          <w:lang w:bidi="fa-IR"/>
        </w:rPr>
        <w:t>‌</w:t>
      </w:r>
      <w:r w:rsidRPr="00282AC9">
        <w:rPr>
          <w:rFonts w:ascii="Noor_Mitra" w:hAnsi="Noor_Mitra" w:cs="DanaFajr"/>
          <w:sz w:val="28"/>
          <w:szCs w:val="28"/>
          <w:rtl/>
          <w:lang w:bidi="fa-IR"/>
        </w:rPr>
        <w:t>، رأ</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 پرداز، قم، 1</w:t>
      </w:r>
      <w:r w:rsidRPr="00282AC9">
        <w:rPr>
          <w:rFonts w:ascii="Noor_Mitra" w:hAnsi="Noor_Mitra" w:cs="DanaFajr" w:hint="cs"/>
          <w:sz w:val="28"/>
          <w:szCs w:val="28"/>
          <w:rtl/>
        </w:rPr>
        <w:t>4</w:t>
      </w:r>
      <w:r w:rsidRPr="00282AC9">
        <w:rPr>
          <w:rFonts w:ascii="Noor_Mitra" w:hAnsi="Noor_Mitra" w:cs="DanaFajr"/>
          <w:sz w:val="28"/>
          <w:szCs w:val="28"/>
          <w:rtl/>
          <w:lang w:bidi="fa-IR"/>
        </w:rPr>
        <w:t>19هـ.</w:t>
      </w:r>
    </w:p>
  </w:endnote>
  <w:endnote w:id="584">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لقمان بن شمس بن عاد</w:t>
      </w:r>
      <w:r w:rsidRPr="00282AC9">
        <w:rPr>
          <w:rFonts w:ascii="Noor_Mitra" w:hAnsi="Noor_Mitra" w:cs="DanaFajr"/>
          <w:sz w:val="28"/>
          <w:szCs w:val="28"/>
          <w:rtl/>
        </w:rPr>
        <w:t>، رجلٌ عاشَ قبل ميلاد المسيح</w:t>
      </w:r>
      <w:r w:rsidRPr="00282AC9">
        <w:rPr>
          <w:rFonts w:cs="Mosawi" w:hint="cs"/>
          <w:rtl/>
        </w:rPr>
        <w:t>×</w:t>
      </w:r>
      <w:r w:rsidRPr="00282AC9">
        <w:rPr>
          <w:rFonts w:ascii="Noor_Mitra" w:hAnsi="Noor_Mitra" w:cs="DanaFajr"/>
          <w:sz w:val="28"/>
          <w:szCs w:val="28"/>
          <w:rtl/>
        </w:rPr>
        <w:t xml:space="preserve"> وكان طويل العمر حتى ضربت به العرب المثل في طول العمر بقولهم </w:t>
      </w:r>
      <w:r w:rsidRPr="00282AC9">
        <w:rPr>
          <w:rFonts w:hint="eastAsia"/>
          <w:sz w:val="22"/>
          <w:szCs w:val="22"/>
          <w:rtl/>
        </w:rPr>
        <w:t>«</w:t>
      </w:r>
      <w:r w:rsidRPr="00282AC9">
        <w:rPr>
          <w:rFonts w:ascii="Noor_Mitra" w:hAnsi="Noor_Mitra" w:cs="DanaFajr"/>
          <w:sz w:val="28"/>
          <w:szCs w:val="28"/>
          <w:rtl/>
        </w:rPr>
        <w:t>طال الأبد على لبد</w:t>
      </w:r>
      <w:r w:rsidRPr="00282AC9">
        <w:rPr>
          <w:rFonts w:hint="eastAsia"/>
          <w:sz w:val="22"/>
          <w:szCs w:val="22"/>
          <w:rtl/>
        </w:rPr>
        <w:t>»</w:t>
      </w:r>
      <w:r w:rsidRPr="00282AC9">
        <w:rPr>
          <w:rFonts w:ascii="Noor_Mitra" w:hAnsi="Noor_Mitra" w:cs="DanaFajr"/>
          <w:sz w:val="28"/>
          <w:szCs w:val="28"/>
          <w:rtl/>
        </w:rPr>
        <w:t>. فإن كانت هذه الكلمات عين ألفاظ لقمان بن عاد فهي شاهدةٌ على معنى الكلمة في العصور الجاهلية.</w:t>
      </w:r>
    </w:p>
  </w:endnote>
  <w:endnote w:id="585">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lang w:bidi="fa-IR"/>
        </w:rPr>
        <w:t>الهمداني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الإكليل من </w:t>
      </w:r>
      <w:r w:rsidRPr="00282AC9">
        <w:rPr>
          <w:rFonts w:ascii="Noor_Mitra" w:hAnsi="Noor_Mitra" w:cs="DanaFajr"/>
          <w:sz w:val="28"/>
          <w:szCs w:val="28"/>
          <w:rtl/>
        </w:rPr>
        <w:t>أخبار</w:t>
      </w:r>
      <w:r w:rsidRPr="00282AC9">
        <w:rPr>
          <w:rFonts w:ascii="Noor_Mitra" w:hAnsi="Noor_Mitra" w:cs="DanaFajr"/>
          <w:sz w:val="28"/>
          <w:szCs w:val="28"/>
          <w:rtl/>
          <w:lang w:bidi="fa-IR"/>
        </w:rPr>
        <w:t xml:space="preserve"> اليمن وأنساب حمير ‏8: 202، وزار</w:t>
      </w:r>
      <w:r w:rsidRPr="00282AC9">
        <w:rPr>
          <w:rFonts w:ascii="Noor_Mitra" w:hAnsi="Noor_Mitra" w:cs="DanaFajr" w:hint="cs"/>
          <w:sz w:val="28"/>
          <w:szCs w:val="28"/>
          <w:rtl/>
          <w:lang w:bidi="fa-IR"/>
        </w:rPr>
        <w:t xml:space="preserve">ة </w:t>
      </w:r>
      <w:r w:rsidRPr="00282AC9">
        <w:rPr>
          <w:rFonts w:ascii="Noor_Mitra" w:hAnsi="Noor_Mitra" w:cs="DanaFajr"/>
          <w:sz w:val="28"/>
          <w:szCs w:val="28"/>
          <w:rtl/>
          <w:lang w:bidi="fa-IR"/>
        </w:rPr>
        <w:t>الثقاف</w:t>
      </w:r>
      <w:r w:rsidRPr="00282AC9">
        <w:rPr>
          <w:rFonts w:ascii="Noor_Mitra" w:hAnsi="Noor_Mitra" w:cs="DanaFajr" w:hint="cs"/>
          <w:sz w:val="28"/>
          <w:szCs w:val="28"/>
          <w:rtl/>
          <w:lang w:bidi="fa-IR"/>
        </w:rPr>
        <w:t>ة</w:t>
      </w:r>
      <w:r w:rsidRPr="00282AC9">
        <w:rPr>
          <w:rFonts w:ascii="Noor_Mitra" w:hAnsi="Noor_Mitra" w:cs="DanaFajr"/>
          <w:sz w:val="28"/>
          <w:szCs w:val="28"/>
          <w:rtl/>
          <w:lang w:bidi="fa-IR"/>
        </w:rPr>
        <w:t xml:space="preserve"> والسياح</w:t>
      </w:r>
      <w:r w:rsidRPr="00282AC9">
        <w:rPr>
          <w:rFonts w:ascii="Noor_Mitra" w:hAnsi="Noor_Mitra" w:cs="DanaFajr" w:hint="cs"/>
          <w:sz w:val="28"/>
          <w:szCs w:val="28"/>
          <w:rtl/>
          <w:lang w:bidi="fa-IR"/>
        </w:rPr>
        <w:t>ة،</w:t>
      </w:r>
      <w:r w:rsidRPr="00282AC9">
        <w:rPr>
          <w:rFonts w:ascii="Noor_Mitra" w:hAnsi="Noor_Mitra" w:cs="DanaFajr"/>
          <w:sz w:val="28"/>
          <w:szCs w:val="28"/>
          <w:rtl/>
          <w:lang w:bidi="fa-IR"/>
        </w:rPr>
        <w:t xml:space="preserve"> صنعاء، ط1، 1</w:t>
      </w:r>
      <w:r w:rsidRPr="00282AC9">
        <w:rPr>
          <w:rFonts w:ascii="Noor_Mitra" w:hAnsi="Noor_Mitra" w:cs="DanaFajr" w:hint="cs"/>
          <w:sz w:val="28"/>
          <w:szCs w:val="28"/>
          <w:rtl/>
        </w:rPr>
        <w:t>4</w:t>
      </w:r>
      <w:r w:rsidRPr="00282AC9">
        <w:rPr>
          <w:rFonts w:ascii="Noor_Mitra" w:hAnsi="Noor_Mitra" w:cs="DanaFajr"/>
          <w:sz w:val="28"/>
          <w:szCs w:val="28"/>
          <w:rtl/>
          <w:lang w:bidi="fa-IR"/>
        </w:rPr>
        <w:t>2</w:t>
      </w:r>
      <w:r w:rsidRPr="00282AC9">
        <w:rPr>
          <w:rFonts w:ascii="Noor_Mitra" w:hAnsi="Noor_Mitra" w:cs="DanaFajr" w:hint="cs"/>
          <w:sz w:val="28"/>
          <w:szCs w:val="28"/>
          <w:rtl/>
        </w:rPr>
        <w:t>5</w:t>
      </w:r>
      <w:r w:rsidRPr="00282AC9">
        <w:rPr>
          <w:rFonts w:ascii="Noor_Mitra" w:hAnsi="Noor_Mitra" w:cs="DanaFajr"/>
          <w:sz w:val="28"/>
          <w:szCs w:val="28"/>
          <w:rtl/>
          <w:lang w:bidi="fa-IR"/>
        </w:rPr>
        <w:t>هـ.</w:t>
      </w:r>
    </w:p>
  </w:endnote>
  <w:endnote w:id="586">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الزمخشري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ربيع الأبرار ونصوص الأخيار ‏3: </w:t>
      </w:r>
      <w:r w:rsidRPr="00282AC9">
        <w:rPr>
          <w:rFonts w:ascii="Noor_Mitra" w:hAnsi="Noor_Mitra" w:cs="DanaFajr" w:hint="cs"/>
          <w:sz w:val="28"/>
          <w:szCs w:val="28"/>
          <w:rtl/>
        </w:rPr>
        <w:t>4</w:t>
      </w:r>
      <w:r w:rsidRPr="00282AC9">
        <w:rPr>
          <w:rFonts w:ascii="Noor_Mitra" w:hAnsi="Noor_Mitra" w:cs="DanaFajr"/>
          <w:sz w:val="28"/>
          <w:szCs w:val="28"/>
          <w:rtl/>
          <w:lang w:bidi="fa-IR"/>
        </w:rPr>
        <w:t xml:space="preserve">01؛ </w:t>
      </w:r>
      <w:r w:rsidRPr="00282AC9">
        <w:rPr>
          <w:rFonts w:ascii="Noor_Mitra" w:hAnsi="Noor_Mitra" w:cs="DanaFajr"/>
          <w:sz w:val="28"/>
          <w:szCs w:val="28"/>
          <w:rtl/>
        </w:rPr>
        <w:t>ابن حمدون</w:t>
      </w:r>
      <w:r w:rsidRPr="00282AC9">
        <w:rPr>
          <w:rFonts w:ascii="Noor_Mitra" w:hAnsi="Noor_Mitra" w:cs="DanaFajr" w:hint="cs"/>
          <w:sz w:val="28"/>
          <w:szCs w:val="28"/>
          <w:rtl/>
        </w:rPr>
        <w:t>،</w:t>
      </w:r>
      <w:r w:rsidRPr="00282AC9">
        <w:rPr>
          <w:rFonts w:ascii="Noor_Mitra" w:hAnsi="Noor_Mitra" w:cs="DanaFajr"/>
          <w:sz w:val="28"/>
          <w:szCs w:val="28"/>
          <w:rtl/>
        </w:rPr>
        <w:t xml:space="preserve"> التذكرة </w:t>
      </w:r>
      <w:r w:rsidRPr="00282AC9">
        <w:rPr>
          <w:rFonts w:ascii="Noor_Mitra" w:hAnsi="Noor_Mitra" w:cs="DanaFajr"/>
          <w:sz w:val="28"/>
          <w:szCs w:val="28"/>
          <w:rtl/>
          <w:lang w:bidi="fa-IR"/>
        </w:rPr>
        <w:t>الحمدون</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ة</w:t>
      </w:r>
      <w:r w:rsidRPr="00282AC9">
        <w:rPr>
          <w:rFonts w:ascii="Noor_Mitra" w:hAnsi="Noor_Mitra" w:cs="DanaFajr"/>
          <w:sz w:val="28"/>
          <w:szCs w:val="28"/>
          <w:rtl/>
        </w:rPr>
        <w:t xml:space="preserve"> </w:t>
      </w:r>
      <w:r w:rsidRPr="00282AC9">
        <w:rPr>
          <w:rFonts w:ascii="Noor_Mitra" w:hAnsi="Noor_Mitra" w:cs="DanaFajr"/>
          <w:sz w:val="28"/>
          <w:szCs w:val="28"/>
          <w:rtl/>
          <w:lang w:bidi="fa-IR"/>
        </w:rPr>
        <w:t>۸</w:t>
      </w:r>
      <w:r w:rsidRPr="00282AC9">
        <w:rPr>
          <w:rFonts w:ascii="Noor_Mitra" w:hAnsi="Noor_Mitra" w:cs="DanaFajr"/>
          <w:sz w:val="28"/>
          <w:szCs w:val="28"/>
          <w:rtl/>
        </w:rPr>
        <w:t xml:space="preserve">: </w:t>
      </w:r>
      <w:r w:rsidRPr="00282AC9">
        <w:rPr>
          <w:rFonts w:ascii="Noor_Mitra" w:hAnsi="Noor_Mitra" w:cs="DanaFajr"/>
          <w:sz w:val="28"/>
          <w:szCs w:val="28"/>
          <w:rtl/>
          <w:lang w:bidi="fa-IR"/>
        </w:rPr>
        <w:t>۱۰۲</w:t>
      </w:r>
      <w:r w:rsidRPr="00282AC9">
        <w:rPr>
          <w:rFonts w:ascii="Noor_Mitra" w:hAnsi="Noor_Mitra" w:cs="DanaFajr" w:hint="cs"/>
          <w:sz w:val="28"/>
          <w:szCs w:val="28"/>
          <w:rtl/>
        </w:rPr>
        <w:t>.</w:t>
      </w:r>
    </w:p>
  </w:endnote>
  <w:endnote w:id="587">
    <w:p w:rsidR="00C14EDE" w:rsidRPr="00282AC9" w:rsidRDefault="00C14EDE" w:rsidP="0069506A">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lang w:bidi="fa-IR"/>
        </w:rPr>
        <w:t>أبو الفرج الإصفهاني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الأغاني ‏17: 18</w:t>
      </w:r>
      <w:r w:rsidRPr="00282AC9">
        <w:rPr>
          <w:rFonts w:ascii="Noor_Mitra" w:hAnsi="Noor_Mitra" w:cs="DanaFajr" w:hint="cs"/>
          <w:sz w:val="28"/>
          <w:szCs w:val="28"/>
          <w:rtl/>
          <w:lang w:bidi="fa-IR"/>
        </w:rPr>
        <w:t>.</w:t>
      </w:r>
    </w:p>
  </w:endnote>
  <w:endnote w:id="588">
    <w:p w:rsidR="00C14EDE" w:rsidRPr="00282AC9" w:rsidRDefault="00C14EDE" w:rsidP="0069506A">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lang w:bidi="fa-IR"/>
        </w:rPr>
        <w:t>الطوسي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تهذيب الأحكام ‏</w:t>
      </w:r>
      <w:r w:rsidRPr="00282AC9">
        <w:rPr>
          <w:rFonts w:ascii="Noor_Mitra" w:hAnsi="Noor_Mitra" w:cs="DanaFajr" w:hint="cs"/>
          <w:sz w:val="28"/>
          <w:szCs w:val="28"/>
          <w:rtl/>
        </w:rPr>
        <w:t>6</w:t>
      </w:r>
      <w:r w:rsidRPr="00282AC9">
        <w:rPr>
          <w:rFonts w:ascii="Noor_Mitra" w:hAnsi="Noor_Mitra" w:cs="DanaFajr"/>
          <w:sz w:val="28"/>
          <w:szCs w:val="28"/>
          <w:rtl/>
          <w:lang w:bidi="fa-IR"/>
        </w:rPr>
        <w:t>: 13</w:t>
      </w:r>
      <w:r w:rsidRPr="00282AC9">
        <w:rPr>
          <w:rFonts w:ascii="Noor_Mitra" w:hAnsi="Noor_Mitra" w:cs="DanaFajr" w:hint="cs"/>
          <w:sz w:val="28"/>
          <w:szCs w:val="28"/>
          <w:rtl/>
        </w:rPr>
        <w:t>6</w:t>
      </w:r>
      <w:r w:rsidRPr="00282AC9">
        <w:rPr>
          <w:rFonts w:ascii="Noor_Mitra" w:hAnsi="Noor_Mitra" w:cs="DanaFajr" w:hint="cs"/>
          <w:sz w:val="28"/>
          <w:szCs w:val="28"/>
          <w:rtl/>
          <w:lang w:bidi="fa-IR"/>
        </w:rPr>
        <w:t>.</w:t>
      </w:r>
    </w:p>
  </w:endnote>
  <w:endnote w:id="589">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 xml:space="preserve">الكافي ‏7: </w:t>
      </w:r>
      <w:r w:rsidRPr="00282AC9">
        <w:rPr>
          <w:rFonts w:ascii="Noor_Mitra" w:hAnsi="Noor_Mitra" w:cs="DanaFajr" w:hint="cs"/>
          <w:sz w:val="28"/>
          <w:szCs w:val="28"/>
          <w:rtl/>
        </w:rPr>
        <w:t>5</w:t>
      </w:r>
      <w:r w:rsidRPr="00282AC9">
        <w:rPr>
          <w:rFonts w:ascii="Noor_Mitra" w:hAnsi="Noor_Mitra" w:cs="DanaFajr"/>
          <w:sz w:val="28"/>
          <w:szCs w:val="28"/>
          <w:rtl/>
          <w:lang w:bidi="fa-IR"/>
        </w:rPr>
        <w:t>92</w:t>
      </w:r>
      <w:r w:rsidRPr="00282AC9">
        <w:rPr>
          <w:rFonts w:ascii="Noor_Mitra" w:hAnsi="Noor_Mitra" w:cs="DanaFajr" w:hint="cs"/>
          <w:sz w:val="28"/>
          <w:szCs w:val="28"/>
          <w:rtl/>
        </w:rPr>
        <w:t>.</w:t>
      </w:r>
    </w:p>
  </w:endnote>
  <w:endnote w:id="590">
    <w:p w:rsidR="00C14EDE" w:rsidRPr="00282AC9" w:rsidRDefault="00C14EDE" w:rsidP="0069506A">
      <w:pPr>
        <w:pStyle w:val="af7"/>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تفسير فرات الكوفي: 13</w:t>
      </w:r>
      <w:r w:rsidRPr="00282AC9">
        <w:rPr>
          <w:rFonts w:ascii="Noor_Mitra" w:hAnsi="Noor_Mitra" w:cs="DanaFajr" w:hint="cs"/>
          <w:sz w:val="28"/>
          <w:szCs w:val="28"/>
          <w:rtl/>
        </w:rPr>
        <w:t>6</w:t>
      </w:r>
      <w:r w:rsidRPr="00282AC9">
        <w:rPr>
          <w:rFonts w:ascii="Noor_Mitra" w:hAnsi="Noor_Mitra" w:cs="DanaFajr" w:hint="cs"/>
          <w:sz w:val="28"/>
          <w:szCs w:val="28"/>
          <w:rtl/>
          <w:lang w:bidi="fa-IR"/>
        </w:rPr>
        <w:t>.</w:t>
      </w:r>
    </w:p>
  </w:endnote>
  <w:endnote w:id="591">
    <w:p w:rsidR="00C14EDE" w:rsidRPr="00282AC9" w:rsidRDefault="00C14EDE" w:rsidP="0069506A">
      <w:pPr>
        <w:pStyle w:val="afc"/>
        <w:spacing w:line="288" w:lineRule="exact"/>
        <w:ind w:firstLine="0"/>
        <w:rPr>
          <w:rFonts w:ascii="Noor_Mitra" w:eastAsiaTheme="minorHAnsi"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eastAsiaTheme="minorHAnsi" w:hAnsi="Noor_Mitra" w:cs="DanaFajr"/>
          <w:sz w:val="28"/>
          <w:szCs w:val="28"/>
          <w:rtl/>
          <w:lang w:bidi="fa-IR"/>
        </w:rPr>
        <w:t>الكافي ‏</w:t>
      </w:r>
      <w:r w:rsidRPr="00282AC9">
        <w:rPr>
          <w:rFonts w:ascii="Noor_Mitra" w:eastAsiaTheme="minorHAnsi" w:hAnsi="Noor_Mitra" w:cs="DanaFajr" w:hint="cs"/>
          <w:sz w:val="28"/>
          <w:szCs w:val="28"/>
          <w:rtl/>
          <w:lang w:bidi="fa-IR"/>
        </w:rPr>
        <w:t>7</w:t>
      </w:r>
      <w:r w:rsidRPr="00282AC9">
        <w:rPr>
          <w:rFonts w:ascii="Noor_Mitra" w:eastAsiaTheme="minorHAnsi" w:hAnsi="Noor_Mitra" w:cs="DanaFajr"/>
          <w:sz w:val="28"/>
          <w:szCs w:val="28"/>
          <w:rtl/>
          <w:lang w:bidi="fa-IR"/>
        </w:rPr>
        <w:t xml:space="preserve">: </w:t>
      </w:r>
      <w:r w:rsidRPr="00282AC9">
        <w:rPr>
          <w:rFonts w:ascii="Noor_Mitra" w:hAnsi="Noor_Mitra" w:cs="DanaFajr" w:hint="cs"/>
          <w:sz w:val="28"/>
          <w:szCs w:val="28"/>
          <w:rtl/>
        </w:rPr>
        <w:t>578</w:t>
      </w:r>
      <w:r w:rsidRPr="00282AC9">
        <w:rPr>
          <w:rFonts w:ascii="Noor_Mitra" w:eastAsiaTheme="minorHAnsi" w:hAnsi="Noor_Mitra" w:cs="DanaFajr" w:hint="cs"/>
          <w:sz w:val="28"/>
          <w:szCs w:val="28"/>
          <w:rtl/>
        </w:rPr>
        <w:t>.</w:t>
      </w:r>
    </w:p>
  </w:endnote>
  <w:endnote w:id="592">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تاريخ ‏الطبري ‏7: 238</w:t>
      </w:r>
      <w:r w:rsidRPr="00282AC9">
        <w:rPr>
          <w:rFonts w:ascii="Noor_Mitra" w:hAnsi="Noor_Mitra" w:cs="DanaFajr" w:hint="cs"/>
          <w:sz w:val="28"/>
          <w:szCs w:val="28"/>
          <w:rtl/>
        </w:rPr>
        <w:t>.</w:t>
      </w:r>
    </w:p>
  </w:endnote>
  <w:endnote w:id="593">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 xml:space="preserve">وهو </w:t>
      </w:r>
      <w:r w:rsidRPr="00282AC9">
        <w:rPr>
          <w:rFonts w:ascii="Noor_Mitra" w:hAnsi="Noor_Mitra" w:cs="DanaFajr"/>
          <w:sz w:val="28"/>
          <w:szCs w:val="28"/>
          <w:rtl/>
          <w:lang w:bidi="fa-IR"/>
        </w:rPr>
        <w:t xml:space="preserve">أبو حمزة الشاري.‏ </w:t>
      </w:r>
      <w:r w:rsidRPr="00282AC9">
        <w:rPr>
          <w:rFonts w:ascii="Noor_Mitra" w:hAnsi="Noor_Mitra" w:cs="DanaFajr"/>
          <w:sz w:val="28"/>
          <w:szCs w:val="28"/>
          <w:rtl/>
        </w:rPr>
        <w:t>وذكر الفاكه</w:t>
      </w:r>
      <w:r w:rsidRPr="00282AC9">
        <w:rPr>
          <w:rFonts w:ascii="Noor_Mitra" w:hAnsi="Noor_Mitra" w:cs="DanaFajr" w:hint="cs"/>
          <w:sz w:val="28"/>
          <w:szCs w:val="28"/>
          <w:rtl/>
        </w:rPr>
        <w:t>ي،</w:t>
      </w:r>
      <w:r w:rsidRPr="00282AC9">
        <w:rPr>
          <w:rFonts w:ascii="Noor_Mitra" w:hAnsi="Noor_Mitra" w:cs="DanaFajr"/>
          <w:sz w:val="28"/>
          <w:szCs w:val="28"/>
          <w:rtl/>
        </w:rPr>
        <w:t xml:space="preserve"> بعد ذكر خطبته هنا: </w:t>
      </w:r>
      <w:r w:rsidRPr="00282AC9">
        <w:rPr>
          <w:rFonts w:hint="eastAsia"/>
          <w:sz w:val="22"/>
          <w:szCs w:val="22"/>
          <w:rtl/>
        </w:rPr>
        <w:t>«</w:t>
      </w:r>
      <w:r w:rsidRPr="00282AC9">
        <w:rPr>
          <w:rFonts w:ascii="Noor_Mitra" w:hAnsi="Noor_Mitra" w:cs="DanaFajr"/>
          <w:sz w:val="28"/>
          <w:szCs w:val="28"/>
          <w:rtl/>
          <w:lang w:bidi="fa-IR"/>
        </w:rPr>
        <w:t>ثم</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نزل</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فما 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ؤي على منبر مك</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ة أحد</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كان أحسن خطبة</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منه</w:t>
      </w:r>
      <w:r w:rsidRPr="00282AC9">
        <w:rPr>
          <w:rFonts w:hint="eastAsia"/>
          <w:sz w:val="22"/>
          <w:szCs w:val="22"/>
          <w:rtl/>
        </w:rPr>
        <w:t>»</w:t>
      </w:r>
      <w:r w:rsidRPr="00282AC9">
        <w:rPr>
          <w:rFonts w:ascii="Noor_Mitra" w:hAnsi="Noor_Mitra" w:cs="DanaFajr"/>
          <w:sz w:val="28"/>
          <w:szCs w:val="28"/>
          <w:rtl/>
          <w:lang w:bidi="fa-IR"/>
        </w:rPr>
        <w:t>.</w:t>
      </w:r>
    </w:p>
  </w:endnote>
  <w:endnote w:id="594">
    <w:p w:rsidR="00C14EDE" w:rsidRPr="00282AC9" w:rsidRDefault="00C14EDE" w:rsidP="0069506A">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الفاكهي</w:t>
      </w:r>
      <w:r w:rsidRPr="00282AC9">
        <w:rPr>
          <w:rFonts w:ascii="Noor_Mitra" w:hAnsi="Noor_Mitra" w:cs="DanaFajr" w:hint="cs"/>
          <w:sz w:val="28"/>
          <w:szCs w:val="28"/>
          <w:rtl/>
        </w:rPr>
        <w:t>،</w:t>
      </w:r>
      <w:r w:rsidRPr="00282AC9">
        <w:rPr>
          <w:rFonts w:ascii="Noor_Mitra" w:hAnsi="Noor_Mitra" w:cs="DanaFajr"/>
          <w:sz w:val="28"/>
          <w:szCs w:val="28"/>
          <w:rtl/>
          <w:lang w:bidi="fa-IR"/>
        </w:rPr>
        <w:t xml:space="preserve"> أخبار مك</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ة ف</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 xml:space="preserve"> قديم الدهر وحديثه</w:t>
      </w:r>
      <w:r w:rsidRPr="00282AC9">
        <w:rPr>
          <w:rFonts w:ascii="Noor_Mitra" w:hAnsi="Noor_Mitra" w:cs="DanaFajr"/>
          <w:sz w:val="28"/>
          <w:szCs w:val="28"/>
          <w:rtl/>
        </w:rPr>
        <w:t xml:space="preserve"> </w:t>
      </w:r>
      <w:r w:rsidRPr="00282AC9">
        <w:rPr>
          <w:rFonts w:ascii="Noor_Mitra" w:hAnsi="Noor_Mitra" w:cs="DanaFajr"/>
          <w:sz w:val="28"/>
          <w:szCs w:val="28"/>
          <w:rtl/>
          <w:lang w:bidi="fa-IR"/>
        </w:rPr>
        <w:t>‏3: 1</w:t>
      </w:r>
      <w:r w:rsidRPr="00282AC9">
        <w:rPr>
          <w:rFonts w:ascii="Noor_Mitra" w:hAnsi="Noor_Mitra" w:cs="DanaFajr" w:hint="cs"/>
          <w:sz w:val="28"/>
          <w:szCs w:val="28"/>
          <w:rtl/>
        </w:rPr>
        <w:t>44</w:t>
      </w:r>
      <w:r w:rsidRPr="00282AC9">
        <w:rPr>
          <w:rFonts w:ascii="Noor_Mitra" w:hAnsi="Noor_Mitra" w:cs="DanaFajr"/>
          <w:sz w:val="28"/>
          <w:szCs w:val="28"/>
          <w:rtl/>
          <w:lang w:bidi="fa-IR"/>
        </w:rPr>
        <w:t>، مكتبه الأسدي، مك</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ة المكر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مة، ط</w:t>
      </w:r>
      <w:r w:rsidRPr="00282AC9">
        <w:rPr>
          <w:rFonts w:ascii="Noor_Mitra" w:hAnsi="Noor_Mitra" w:cs="DanaFajr" w:hint="cs"/>
          <w:sz w:val="28"/>
          <w:szCs w:val="28"/>
          <w:rtl/>
        </w:rPr>
        <w:t>4</w:t>
      </w:r>
      <w:r w:rsidRPr="00282AC9">
        <w:rPr>
          <w:rFonts w:ascii="Noor_Mitra" w:hAnsi="Noor_Mitra" w:cs="DanaFajr"/>
          <w:sz w:val="28"/>
          <w:szCs w:val="28"/>
          <w:rtl/>
          <w:lang w:bidi="fa-IR"/>
        </w:rPr>
        <w:t>، 1</w:t>
      </w:r>
      <w:r w:rsidRPr="00282AC9">
        <w:rPr>
          <w:rFonts w:ascii="Noor_Mitra" w:hAnsi="Noor_Mitra" w:cs="DanaFajr" w:hint="cs"/>
          <w:sz w:val="28"/>
          <w:szCs w:val="28"/>
          <w:rtl/>
        </w:rPr>
        <w:t>4</w:t>
      </w:r>
      <w:r w:rsidRPr="00282AC9">
        <w:rPr>
          <w:rFonts w:ascii="Noor_Mitra" w:hAnsi="Noor_Mitra" w:cs="DanaFajr"/>
          <w:sz w:val="28"/>
          <w:szCs w:val="28"/>
          <w:rtl/>
          <w:lang w:bidi="fa-IR"/>
        </w:rPr>
        <w:t>2</w:t>
      </w:r>
      <w:r w:rsidRPr="00282AC9">
        <w:rPr>
          <w:rFonts w:ascii="Noor_Mitra" w:hAnsi="Noor_Mitra" w:cs="DanaFajr" w:hint="cs"/>
          <w:sz w:val="28"/>
          <w:szCs w:val="28"/>
          <w:rtl/>
        </w:rPr>
        <w:t>4</w:t>
      </w:r>
      <w:r w:rsidRPr="00282AC9">
        <w:rPr>
          <w:rFonts w:ascii="Noor_Mitra" w:hAnsi="Noor_Mitra" w:cs="DanaFajr"/>
          <w:sz w:val="28"/>
          <w:szCs w:val="28"/>
          <w:rtl/>
          <w:lang w:bidi="fa-IR"/>
        </w:rPr>
        <w:t>هـ.</w:t>
      </w:r>
    </w:p>
  </w:endnote>
  <w:endnote w:id="595">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 xml:space="preserve">تاريخ ‏الطبري ‏7: </w:t>
      </w:r>
      <w:r w:rsidRPr="00282AC9">
        <w:rPr>
          <w:rFonts w:ascii="Noor_Mitra" w:hAnsi="Noor_Mitra" w:cs="DanaFajr" w:hint="cs"/>
          <w:sz w:val="28"/>
          <w:szCs w:val="28"/>
          <w:rtl/>
        </w:rPr>
        <w:t>4</w:t>
      </w:r>
      <w:r w:rsidRPr="00282AC9">
        <w:rPr>
          <w:rFonts w:ascii="Noor_Mitra" w:hAnsi="Noor_Mitra" w:cs="DanaFajr"/>
          <w:sz w:val="28"/>
          <w:szCs w:val="28"/>
          <w:rtl/>
        </w:rPr>
        <w:t>2</w:t>
      </w:r>
      <w:r w:rsidRPr="00282AC9">
        <w:rPr>
          <w:rFonts w:ascii="Noor_Mitra" w:hAnsi="Noor_Mitra" w:cs="DanaFajr" w:hint="cs"/>
          <w:sz w:val="28"/>
          <w:szCs w:val="28"/>
          <w:rtl/>
        </w:rPr>
        <w:t>5</w:t>
      </w:r>
      <w:r w:rsidRPr="00282AC9">
        <w:rPr>
          <w:rFonts w:ascii="Noor_Mitra" w:hAnsi="Noor_Mitra" w:cs="DanaFajr"/>
          <w:sz w:val="28"/>
          <w:szCs w:val="28"/>
          <w:rtl/>
        </w:rPr>
        <w:t>؛ ابن الأثير</w:t>
      </w:r>
      <w:r w:rsidRPr="00282AC9">
        <w:rPr>
          <w:rFonts w:ascii="Noor_Mitra" w:hAnsi="Noor_Mitra" w:cs="DanaFajr" w:hint="cs"/>
          <w:sz w:val="28"/>
          <w:szCs w:val="28"/>
          <w:rtl/>
        </w:rPr>
        <w:t>،</w:t>
      </w:r>
      <w:r w:rsidRPr="00282AC9">
        <w:rPr>
          <w:rFonts w:ascii="Noor_Mitra" w:hAnsi="Noor_Mitra" w:cs="DanaFajr"/>
          <w:sz w:val="28"/>
          <w:szCs w:val="28"/>
          <w:rtl/>
        </w:rPr>
        <w:t xml:space="preserve"> الكامل ‏</w:t>
      </w:r>
      <w:r w:rsidRPr="00282AC9">
        <w:rPr>
          <w:rFonts w:ascii="Noor_Mitra" w:hAnsi="Noor_Mitra" w:cs="DanaFajr" w:hint="cs"/>
          <w:sz w:val="28"/>
          <w:szCs w:val="28"/>
          <w:rtl/>
        </w:rPr>
        <w:t>5</w:t>
      </w:r>
      <w:r w:rsidRPr="00282AC9">
        <w:rPr>
          <w:rFonts w:ascii="Noor_Mitra" w:hAnsi="Noor_Mitra" w:cs="DanaFajr"/>
          <w:sz w:val="28"/>
          <w:szCs w:val="28"/>
          <w:rtl/>
        </w:rPr>
        <w:t xml:space="preserve">: </w:t>
      </w:r>
      <w:r w:rsidRPr="00282AC9">
        <w:rPr>
          <w:rFonts w:ascii="Noor_Mitra" w:hAnsi="Noor_Mitra" w:cs="DanaFajr" w:hint="cs"/>
          <w:sz w:val="28"/>
          <w:szCs w:val="28"/>
          <w:rtl/>
        </w:rPr>
        <w:t>4</w:t>
      </w:r>
      <w:r w:rsidRPr="00282AC9">
        <w:rPr>
          <w:rFonts w:ascii="Noor_Mitra" w:hAnsi="Noor_Mitra" w:cs="DanaFajr"/>
          <w:sz w:val="28"/>
          <w:szCs w:val="28"/>
          <w:rtl/>
        </w:rPr>
        <w:t>1</w:t>
      </w:r>
      <w:r w:rsidRPr="00282AC9">
        <w:rPr>
          <w:rFonts w:ascii="Noor_Mitra" w:hAnsi="Noor_Mitra" w:cs="DanaFajr" w:hint="cs"/>
          <w:sz w:val="28"/>
          <w:szCs w:val="28"/>
          <w:rtl/>
        </w:rPr>
        <w:t>4.</w:t>
      </w:r>
    </w:p>
  </w:endnote>
  <w:endnote w:id="596">
    <w:p w:rsidR="00C14EDE" w:rsidRPr="00282AC9" w:rsidRDefault="00C14EDE" w:rsidP="0069506A">
      <w:pPr>
        <w:spacing w:line="288" w:lineRule="exact"/>
        <w:ind w:firstLine="0"/>
        <w:rPr>
          <w:rFonts w:cs="DanaFajr"/>
          <w:szCs w:val="28"/>
          <w:rtl/>
          <w:lang w:bidi="fa-IR"/>
        </w:rPr>
      </w:pPr>
      <w:r w:rsidRPr="00282AC9">
        <w:rPr>
          <w:rFonts w:cs="DanaFajr"/>
          <w:szCs w:val="28"/>
          <w:rtl/>
        </w:rPr>
        <w:t>(</w:t>
      </w:r>
      <w:r w:rsidRPr="00282AC9">
        <w:rPr>
          <w:rStyle w:val="af9"/>
          <w:rFonts w:cs="DanaFajr"/>
          <w:szCs w:val="28"/>
          <w:vertAlign w:val="baseline"/>
        </w:rPr>
        <w:endnoteRef/>
      </w:r>
      <w:r w:rsidRPr="00282AC9">
        <w:rPr>
          <w:rFonts w:cs="DanaFajr"/>
          <w:szCs w:val="28"/>
          <w:rtl/>
        </w:rPr>
        <w:t>)</w:t>
      </w:r>
      <w:r w:rsidRPr="00282AC9">
        <w:rPr>
          <w:rFonts w:cs="DanaFajr" w:hint="cs"/>
          <w:szCs w:val="28"/>
          <w:rtl/>
          <w:lang w:bidi="fa-IR"/>
        </w:rPr>
        <w:t xml:space="preserve"> </w:t>
      </w:r>
      <w:r w:rsidRPr="00282AC9">
        <w:rPr>
          <w:rFonts w:cs="DanaFajr"/>
          <w:szCs w:val="28"/>
          <w:rtl/>
          <w:lang w:bidi="fa-IR"/>
        </w:rPr>
        <w:t>ابن حبيب</w:t>
      </w:r>
      <w:r w:rsidRPr="00282AC9">
        <w:rPr>
          <w:rFonts w:cs="DanaFajr" w:hint="cs"/>
          <w:szCs w:val="28"/>
          <w:rtl/>
          <w:lang w:bidi="fa-IR"/>
        </w:rPr>
        <w:t>،</w:t>
      </w:r>
      <w:r w:rsidRPr="00282AC9">
        <w:rPr>
          <w:rFonts w:cs="DanaFajr"/>
          <w:szCs w:val="28"/>
          <w:rtl/>
          <w:lang w:bidi="fa-IR"/>
        </w:rPr>
        <w:t xml:space="preserve"> المحبر: 3</w:t>
      </w:r>
      <w:r w:rsidRPr="00282AC9">
        <w:rPr>
          <w:rFonts w:cs="DanaFajr" w:hint="cs"/>
          <w:szCs w:val="28"/>
          <w:rtl/>
        </w:rPr>
        <w:t>4</w:t>
      </w:r>
      <w:r w:rsidRPr="00282AC9">
        <w:rPr>
          <w:rFonts w:cs="DanaFajr"/>
          <w:szCs w:val="28"/>
          <w:rtl/>
          <w:lang w:bidi="fa-IR"/>
        </w:rPr>
        <w:t>0، دار الآفاق الجديدة، بيروت، ط1.</w:t>
      </w:r>
    </w:p>
  </w:endnote>
  <w:endnote w:id="597">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وإن</w:t>
      </w:r>
      <w:r w:rsidRPr="00282AC9">
        <w:rPr>
          <w:rFonts w:ascii="Noor_Mitra" w:hAnsi="Noor_Mitra" w:cs="DanaFajr" w:hint="cs"/>
          <w:sz w:val="28"/>
          <w:szCs w:val="28"/>
          <w:rtl/>
        </w:rPr>
        <w:t>ْ</w:t>
      </w:r>
      <w:r w:rsidRPr="00282AC9">
        <w:rPr>
          <w:rFonts w:ascii="Noor_Mitra" w:hAnsi="Noor_Mitra" w:cs="DanaFajr"/>
          <w:sz w:val="28"/>
          <w:szCs w:val="28"/>
          <w:rtl/>
        </w:rPr>
        <w:t xml:space="preserve"> كان ما نقله عنهم هو عين عباراتهم فهذه استعمالات قبل عصر البلاذري.</w:t>
      </w:r>
    </w:p>
  </w:endnote>
  <w:endnote w:id="598">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هكذا في المصدر</w:t>
      </w:r>
      <w:r w:rsidRPr="00282AC9">
        <w:rPr>
          <w:rFonts w:ascii="Noor_Mitra" w:hAnsi="Noor_Mitra" w:cs="DanaFajr" w:hint="cs"/>
          <w:sz w:val="28"/>
          <w:szCs w:val="28"/>
          <w:rtl/>
        </w:rPr>
        <w:t>.</w:t>
      </w:r>
      <w:r w:rsidRPr="00282AC9">
        <w:rPr>
          <w:rFonts w:ascii="Noor_Mitra" w:hAnsi="Noor_Mitra" w:cs="DanaFajr"/>
          <w:sz w:val="28"/>
          <w:szCs w:val="28"/>
          <w:rtl/>
        </w:rPr>
        <w:t xml:space="preserve"> والموافق للقواعد أن يكون: </w:t>
      </w:r>
      <w:r w:rsidRPr="00282AC9">
        <w:rPr>
          <w:rFonts w:hint="eastAsia"/>
          <w:sz w:val="22"/>
          <w:szCs w:val="22"/>
          <w:rtl/>
        </w:rPr>
        <w:t>«</w:t>
      </w:r>
      <w:r w:rsidRPr="00282AC9">
        <w:rPr>
          <w:rFonts w:ascii="Noor_Mitra" w:hAnsi="Noor_Mitra" w:cs="DanaFajr"/>
          <w:sz w:val="28"/>
          <w:szCs w:val="28"/>
          <w:rtl/>
        </w:rPr>
        <w:t>عمّا</w:t>
      </w:r>
      <w:r w:rsidRPr="00282AC9">
        <w:rPr>
          <w:rFonts w:hint="eastAsia"/>
          <w:sz w:val="22"/>
          <w:szCs w:val="22"/>
          <w:rtl/>
        </w:rPr>
        <w:t>»</w:t>
      </w:r>
      <w:r w:rsidRPr="00282AC9">
        <w:rPr>
          <w:rFonts w:ascii="Noor_Mitra" w:hAnsi="Noor_Mitra" w:cs="DanaFajr"/>
          <w:sz w:val="28"/>
          <w:szCs w:val="28"/>
          <w:rtl/>
        </w:rPr>
        <w:t>.</w:t>
      </w:r>
    </w:p>
  </w:endnote>
  <w:endnote w:id="599">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 xml:space="preserve">فتوح ‏البلدان: </w:t>
      </w:r>
      <w:r w:rsidRPr="00282AC9">
        <w:rPr>
          <w:rFonts w:ascii="Noor_Mitra" w:hAnsi="Noor_Mitra" w:cs="DanaFajr" w:hint="cs"/>
          <w:sz w:val="28"/>
          <w:szCs w:val="28"/>
          <w:rtl/>
        </w:rPr>
        <w:t>4</w:t>
      </w:r>
      <w:r w:rsidRPr="00282AC9">
        <w:rPr>
          <w:rFonts w:ascii="Noor_Mitra" w:hAnsi="Noor_Mitra" w:cs="DanaFajr"/>
          <w:sz w:val="28"/>
          <w:szCs w:val="28"/>
          <w:rtl/>
        </w:rPr>
        <w:t>31</w:t>
      </w:r>
      <w:r w:rsidRPr="00282AC9">
        <w:rPr>
          <w:rFonts w:ascii="Noor_Mitra" w:hAnsi="Noor_Mitra" w:cs="DanaFajr" w:hint="cs"/>
          <w:sz w:val="28"/>
          <w:szCs w:val="28"/>
          <w:rtl/>
        </w:rPr>
        <w:t>.</w:t>
      </w:r>
    </w:p>
  </w:endnote>
  <w:endnote w:id="600">
    <w:p w:rsidR="00C14EDE" w:rsidRPr="00282AC9" w:rsidRDefault="00C14EDE" w:rsidP="0069506A">
      <w:pPr>
        <w:pStyle w:val="afc"/>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الطبري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جامع البيان في تفسير القرآن ‏1</w:t>
      </w:r>
      <w:r w:rsidRPr="00282AC9">
        <w:rPr>
          <w:rFonts w:ascii="Noor_Mitra" w:hAnsi="Noor_Mitra" w:cs="DanaFajr" w:hint="cs"/>
          <w:sz w:val="28"/>
          <w:szCs w:val="28"/>
          <w:rtl/>
        </w:rPr>
        <w:t>5</w:t>
      </w:r>
      <w:r w:rsidRPr="00282AC9">
        <w:rPr>
          <w:rFonts w:ascii="Noor_Mitra" w:hAnsi="Noor_Mitra" w:cs="DanaFajr"/>
          <w:sz w:val="28"/>
          <w:szCs w:val="28"/>
          <w:rtl/>
          <w:lang w:bidi="fa-IR"/>
        </w:rPr>
        <w:t xml:space="preserve">: </w:t>
      </w:r>
      <w:r w:rsidRPr="00282AC9">
        <w:rPr>
          <w:rFonts w:ascii="Noor_Mitra" w:hAnsi="Noor_Mitra" w:cs="DanaFajr" w:hint="cs"/>
          <w:sz w:val="28"/>
          <w:szCs w:val="28"/>
          <w:rtl/>
        </w:rPr>
        <w:t>54</w:t>
      </w:r>
      <w:r w:rsidRPr="00282AC9">
        <w:rPr>
          <w:rFonts w:ascii="Noor_Mitra" w:hAnsi="Noor_Mitra" w:cs="DanaFajr" w:hint="cs"/>
          <w:sz w:val="28"/>
          <w:szCs w:val="28"/>
          <w:rtl/>
          <w:lang w:bidi="fa-IR"/>
        </w:rPr>
        <w:t>.</w:t>
      </w:r>
    </w:p>
  </w:endnote>
  <w:endnote w:id="601">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rPr>
        <w:t xml:space="preserve">صحيح ابن خزيمة </w:t>
      </w:r>
      <w:r w:rsidRPr="00282AC9">
        <w:rPr>
          <w:rFonts w:ascii="Noor_Mitra" w:hAnsi="Noor_Mitra" w:cs="DanaFajr" w:hint="cs"/>
          <w:sz w:val="28"/>
          <w:szCs w:val="28"/>
          <w:rtl/>
        </w:rPr>
        <w:t>4</w:t>
      </w:r>
      <w:r w:rsidRPr="00282AC9">
        <w:rPr>
          <w:rFonts w:ascii="Noor_Mitra" w:hAnsi="Noor_Mitra" w:cs="DanaFajr"/>
          <w:sz w:val="28"/>
          <w:szCs w:val="28"/>
          <w:rtl/>
        </w:rPr>
        <w:t>: 2</w:t>
      </w:r>
      <w:r w:rsidRPr="00282AC9">
        <w:rPr>
          <w:rFonts w:ascii="Noor_Mitra" w:hAnsi="Noor_Mitra" w:cs="DanaFajr" w:hint="cs"/>
          <w:sz w:val="28"/>
          <w:szCs w:val="28"/>
          <w:rtl/>
        </w:rPr>
        <w:t>6</w:t>
      </w:r>
      <w:r w:rsidRPr="00282AC9">
        <w:rPr>
          <w:rFonts w:ascii="Noor_Mitra" w:hAnsi="Noor_Mitra" w:cs="DanaFajr"/>
          <w:sz w:val="28"/>
          <w:szCs w:val="28"/>
          <w:rtl/>
        </w:rPr>
        <w:t xml:space="preserve">3، </w:t>
      </w:r>
      <w:r w:rsidRPr="00282AC9">
        <w:rPr>
          <w:rFonts w:ascii="Noor_Mitra" w:hAnsi="Noor_Mitra" w:cs="DanaFajr"/>
          <w:sz w:val="28"/>
          <w:szCs w:val="28"/>
          <w:rtl/>
          <w:lang w:bidi="fa-IR"/>
        </w:rPr>
        <w:t>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محمد مصطفى الأعظمي، المكتب الإسلامي، بيروت، ط1</w:t>
      </w:r>
      <w:r w:rsidRPr="00282AC9">
        <w:rPr>
          <w:rFonts w:ascii="Noor_Mitra" w:hAnsi="Noor_Mitra" w:cs="DanaFajr"/>
          <w:sz w:val="28"/>
          <w:szCs w:val="28"/>
          <w:rtl/>
        </w:rPr>
        <w:t>.</w:t>
      </w:r>
    </w:p>
  </w:endnote>
  <w:endnote w:id="602">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الإكليل من أخبار اليمن وأنساب حمير ‏1: 112</w:t>
      </w:r>
      <w:r w:rsidRPr="00282AC9">
        <w:rPr>
          <w:rFonts w:ascii="Noor_Mitra" w:hAnsi="Noor_Mitra" w:cs="DanaFajr" w:hint="cs"/>
          <w:sz w:val="28"/>
          <w:szCs w:val="28"/>
          <w:rtl/>
        </w:rPr>
        <w:t>.</w:t>
      </w:r>
    </w:p>
  </w:endnote>
  <w:endnote w:id="603">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العقد الفر</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 xml:space="preserve">د </w:t>
      </w:r>
      <w:r w:rsidRPr="00282AC9">
        <w:rPr>
          <w:rFonts w:ascii="Noor_Mitra" w:hAnsi="Noor_Mitra" w:cs="DanaFajr" w:hint="cs"/>
          <w:sz w:val="28"/>
          <w:szCs w:val="28"/>
          <w:rtl/>
        </w:rPr>
        <w:t>4</w:t>
      </w:r>
      <w:r w:rsidRPr="00282AC9">
        <w:rPr>
          <w:rFonts w:ascii="Noor_Mitra" w:hAnsi="Noor_Mitra" w:cs="DanaFajr"/>
          <w:sz w:val="28"/>
          <w:szCs w:val="28"/>
          <w:rtl/>
          <w:lang w:bidi="fa-IR"/>
        </w:rPr>
        <w:t>: 2</w:t>
      </w:r>
      <w:r w:rsidRPr="00282AC9">
        <w:rPr>
          <w:rFonts w:ascii="Noor_Mitra" w:hAnsi="Noor_Mitra" w:cs="DanaFajr" w:hint="cs"/>
          <w:sz w:val="28"/>
          <w:szCs w:val="28"/>
          <w:rtl/>
        </w:rPr>
        <w:t>4</w:t>
      </w:r>
      <w:r w:rsidRPr="00282AC9">
        <w:rPr>
          <w:rFonts w:ascii="Noor_Mitra" w:hAnsi="Noor_Mitra" w:cs="DanaFajr"/>
          <w:sz w:val="28"/>
          <w:szCs w:val="28"/>
          <w:rtl/>
          <w:lang w:bidi="fa-IR"/>
        </w:rPr>
        <w:t>0</w:t>
      </w:r>
      <w:r w:rsidRPr="00282AC9">
        <w:rPr>
          <w:rFonts w:ascii="Noor_Mitra" w:hAnsi="Noor_Mitra" w:cs="DanaFajr" w:hint="cs"/>
          <w:sz w:val="28"/>
          <w:szCs w:val="28"/>
          <w:rtl/>
          <w:lang w:bidi="fa-IR"/>
        </w:rPr>
        <w:t>.</w:t>
      </w:r>
    </w:p>
  </w:endnote>
  <w:endnote w:id="604">
    <w:p w:rsidR="00C14EDE" w:rsidRPr="00282AC9" w:rsidRDefault="00C14EDE" w:rsidP="0069506A">
      <w:pPr>
        <w:pStyle w:val="afc"/>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eastAsiaTheme="minorHAnsi" w:hAnsi="Noor_Mitra" w:cs="DanaFajr" w:hint="cs"/>
          <w:sz w:val="28"/>
          <w:szCs w:val="28"/>
          <w:rtl/>
          <w:lang w:bidi="fa-IR"/>
        </w:rPr>
        <w:t xml:space="preserve"> </w:t>
      </w:r>
      <w:r w:rsidRPr="00282AC9">
        <w:rPr>
          <w:rFonts w:ascii="Noor_Mitra" w:eastAsiaTheme="minorHAnsi" w:hAnsi="Noor_Mitra" w:cs="DanaFajr"/>
          <w:sz w:val="28"/>
          <w:szCs w:val="28"/>
          <w:rtl/>
          <w:lang w:bidi="fa-IR"/>
        </w:rPr>
        <w:t>ابن الفقيه</w:t>
      </w:r>
      <w:r w:rsidRPr="00282AC9">
        <w:rPr>
          <w:rFonts w:ascii="Noor_Mitra" w:eastAsiaTheme="minorHAnsi" w:hAnsi="Noor_Mitra" w:cs="DanaFajr" w:hint="cs"/>
          <w:sz w:val="28"/>
          <w:szCs w:val="28"/>
          <w:rtl/>
          <w:lang w:bidi="fa-IR"/>
        </w:rPr>
        <w:t>،</w:t>
      </w:r>
      <w:r w:rsidRPr="00282AC9">
        <w:rPr>
          <w:rFonts w:ascii="Noor_Mitra" w:eastAsiaTheme="minorHAnsi" w:hAnsi="Noor_Mitra" w:cs="DanaFajr"/>
          <w:sz w:val="28"/>
          <w:szCs w:val="28"/>
          <w:rtl/>
          <w:lang w:bidi="fa-IR"/>
        </w:rPr>
        <w:t xml:space="preserve"> </w:t>
      </w:r>
      <w:r w:rsidRPr="00282AC9">
        <w:rPr>
          <w:rFonts w:ascii="Noor_Mitra" w:hAnsi="Noor_Mitra" w:cs="DanaFajr"/>
          <w:sz w:val="28"/>
          <w:szCs w:val="28"/>
          <w:rtl/>
          <w:lang w:bidi="fa-IR"/>
        </w:rPr>
        <w:t>البلدان</w:t>
      </w:r>
      <w:r w:rsidRPr="00282AC9">
        <w:rPr>
          <w:rFonts w:ascii="Noor_Mitra" w:eastAsiaTheme="minorHAnsi" w:hAnsi="Noor_Mitra" w:cs="DanaFajr" w:hint="cs"/>
          <w:sz w:val="28"/>
          <w:szCs w:val="28"/>
          <w:rtl/>
          <w:lang w:bidi="fa-IR"/>
        </w:rPr>
        <w:t xml:space="preserve"> </w:t>
      </w:r>
      <w:r w:rsidRPr="00282AC9">
        <w:rPr>
          <w:rFonts w:ascii="Noor_Mitra" w:eastAsiaTheme="minorHAnsi" w:hAnsi="Noor_Mitra" w:cs="DanaFajr"/>
          <w:sz w:val="28"/>
          <w:szCs w:val="28"/>
          <w:rtl/>
          <w:lang w:bidi="fa-IR"/>
        </w:rPr>
        <w:t xml:space="preserve">1: </w:t>
      </w:r>
      <w:r w:rsidRPr="00282AC9">
        <w:rPr>
          <w:rFonts w:ascii="Noor_Mitra" w:hAnsi="Noor_Mitra" w:cs="DanaFajr" w:hint="cs"/>
          <w:sz w:val="28"/>
          <w:szCs w:val="28"/>
          <w:rtl/>
        </w:rPr>
        <w:t>6</w:t>
      </w:r>
      <w:r w:rsidRPr="00282AC9">
        <w:rPr>
          <w:rFonts w:ascii="Noor_Mitra" w:eastAsiaTheme="minorHAnsi" w:hAnsi="Noor_Mitra" w:cs="DanaFajr"/>
          <w:sz w:val="28"/>
          <w:szCs w:val="28"/>
          <w:rtl/>
          <w:lang w:bidi="fa-IR"/>
        </w:rPr>
        <w:t xml:space="preserve">18، </w:t>
      </w:r>
      <w:r w:rsidRPr="00282AC9">
        <w:rPr>
          <w:rFonts w:ascii="Noor_Mitra" w:eastAsiaTheme="minorHAnsi" w:hAnsi="Noor_Mitra" w:cs="DanaFajr"/>
          <w:sz w:val="28"/>
          <w:szCs w:val="28"/>
          <w:rtl/>
        </w:rPr>
        <w:t>تحقيق</w:t>
      </w:r>
      <w:r w:rsidRPr="00282AC9">
        <w:rPr>
          <w:rFonts w:ascii="Noor_Mitra" w:eastAsiaTheme="minorHAnsi" w:hAnsi="Noor_Mitra" w:cs="DanaFajr" w:hint="cs"/>
          <w:sz w:val="28"/>
          <w:szCs w:val="28"/>
          <w:rtl/>
        </w:rPr>
        <w:t>:</w:t>
      </w:r>
      <w:r w:rsidRPr="00282AC9">
        <w:rPr>
          <w:rFonts w:ascii="Noor_Mitra" w:eastAsiaTheme="minorHAnsi" w:hAnsi="Noor_Mitra" w:cs="DanaFajr"/>
          <w:sz w:val="28"/>
          <w:szCs w:val="28"/>
          <w:rtl/>
        </w:rPr>
        <w:t xml:space="preserve"> يوسف الهادي، </w:t>
      </w:r>
      <w:r w:rsidRPr="00282AC9">
        <w:rPr>
          <w:rFonts w:ascii="Noor_Mitra" w:eastAsiaTheme="minorHAnsi" w:hAnsi="Noor_Mitra" w:cs="DanaFajr"/>
          <w:sz w:val="28"/>
          <w:szCs w:val="28"/>
          <w:rtl/>
          <w:lang w:bidi="fa-IR"/>
        </w:rPr>
        <w:t>عالم الكتب</w:t>
      </w:r>
      <w:r w:rsidRPr="00282AC9">
        <w:rPr>
          <w:rFonts w:ascii="Noor_Mitra" w:eastAsiaTheme="minorHAnsi" w:hAnsi="Noor_Mitra" w:cs="DanaFajr"/>
          <w:sz w:val="28"/>
          <w:szCs w:val="28"/>
          <w:rtl/>
        </w:rPr>
        <w:t>، بيروت</w:t>
      </w:r>
      <w:r w:rsidRPr="00282AC9">
        <w:rPr>
          <w:rFonts w:ascii="Noor_Mitra" w:eastAsiaTheme="minorHAnsi" w:hAnsi="Noor_Mitra" w:cs="DanaFajr"/>
          <w:sz w:val="28"/>
          <w:szCs w:val="28"/>
          <w:rtl/>
          <w:lang w:bidi="fa-IR"/>
        </w:rPr>
        <w:t>، ط1، 1</w:t>
      </w:r>
      <w:r w:rsidRPr="00282AC9">
        <w:rPr>
          <w:rFonts w:ascii="Noor_Mitra" w:hAnsi="Noor_Mitra" w:cs="DanaFajr" w:hint="cs"/>
          <w:sz w:val="28"/>
          <w:szCs w:val="28"/>
          <w:rtl/>
        </w:rPr>
        <w:t>4</w:t>
      </w:r>
      <w:r w:rsidRPr="00282AC9">
        <w:rPr>
          <w:rFonts w:ascii="Noor_Mitra" w:eastAsiaTheme="minorHAnsi" w:hAnsi="Noor_Mitra" w:cs="DanaFajr"/>
          <w:sz w:val="28"/>
          <w:szCs w:val="28"/>
          <w:rtl/>
          <w:lang w:bidi="fa-IR"/>
        </w:rPr>
        <w:t>1</w:t>
      </w:r>
      <w:r w:rsidRPr="00282AC9">
        <w:rPr>
          <w:rFonts w:ascii="Noor_Mitra" w:hAnsi="Noor_Mitra" w:cs="DanaFajr" w:hint="cs"/>
          <w:sz w:val="28"/>
          <w:szCs w:val="28"/>
          <w:rtl/>
        </w:rPr>
        <w:t>6</w:t>
      </w:r>
      <w:r w:rsidRPr="00282AC9">
        <w:rPr>
          <w:rFonts w:ascii="Noor_Mitra" w:eastAsiaTheme="minorHAnsi" w:hAnsi="Noor_Mitra" w:cs="DanaFajr" w:hint="cs"/>
          <w:sz w:val="28"/>
          <w:szCs w:val="28"/>
          <w:rtl/>
          <w:lang w:bidi="fa-IR"/>
        </w:rPr>
        <w:t>هـ.</w:t>
      </w:r>
      <w:r w:rsidRPr="00282AC9">
        <w:rPr>
          <w:rFonts w:ascii="Noor_Mitra" w:eastAsiaTheme="minorHAnsi" w:hAnsi="Noor_Mitra" w:cs="DanaFajr"/>
          <w:sz w:val="28"/>
          <w:szCs w:val="28"/>
          <w:rtl/>
          <w:lang w:bidi="fa-IR"/>
        </w:rPr>
        <w:t xml:space="preserve"> </w:t>
      </w:r>
    </w:p>
  </w:endnote>
  <w:endnote w:id="605">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lang w:bidi="fa-IR"/>
        </w:rPr>
        <w:t>ابن النديم</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الفهرست</w:t>
      </w:r>
      <w:r w:rsidRPr="00282AC9">
        <w:rPr>
          <w:rFonts w:ascii="Noor_Mitra" w:hAnsi="Noor_Mitra" w:cs="DanaFajr"/>
          <w:sz w:val="28"/>
          <w:szCs w:val="28"/>
          <w:rtl/>
        </w:rPr>
        <w:t xml:space="preserve">: </w:t>
      </w:r>
      <w:r w:rsidRPr="00282AC9">
        <w:rPr>
          <w:rFonts w:ascii="Noor_Mitra" w:hAnsi="Noor_Mitra" w:cs="DanaFajr" w:hint="cs"/>
          <w:sz w:val="28"/>
          <w:szCs w:val="28"/>
          <w:rtl/>
        </w:rPr>
        <w:t>4</w:t>
      </w:r>
      <w:r w:rsidRPr="00282AC9">
        <w:rPr>
          <w:rFonts w:ascii="Noor_Mitra" w:hAnsi="Noor_Mitra" w:cs="DanaFajr"/>
          <w:sz w:val="28"/>
          <w:szCs w:val="28"/>
          <w:rtl/>
          <w:lang w:bidi="fa-IR"/>
        </w:rPr>
        <w:t>88</w:t>
      </w:r>
      <w:r w:rsidRPr="00282AC9">
        <w:rPr>
          <w:rFonts w:ascii="Noor_Mitra" w:hAnsi="Noor_Mitra" w:cs="DanaFajr" w:hint="cs"/>
          <w:sz w:val="28"/>
          <w:szCs w:val="28"/>
          <w:rtl/>
        </w:rPr>
        <w:t>.</w:t>
      </w:r>
    </w:p>
  </w:endnote>
  <w:endnote w:id="606">
    <w:p w:rsidR="00C14EDE" w:rsidRPr="00282AC9" w:rsidRDefault="00C14EDE" w:rsidP="0069506A">
      <w:pPr>
        <w:pStyle w:val="af7"/>
        <w:spacing w:line="288" w:lineRule="exact"/>
        <w:ind w:firstLine="0"/>
        <w:rPr>
          <w:rFonts w:ascii="Noor_Mitra" w:hAnsi="Noor_Mitra" w:cs="DanaFajr"/>
          <w:sz w:val="28"/>
          <w:szCs w:val="28"/>
          <w:rtl/>
          <w:lang w:bidi="fa-IR"/>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الصولي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كتاب الأوراق ‏3: 30</w:t>
      </w:r>
      <w:r w:rsidRPr="00282AC9">
        <w:rPr>
          <w:rFonts w:ascii="Noor_Mitra" w:hAnsi="Noor_Mitra" w:cs="DanaFajr" w:hint="cs"/>
          <w:sz w:val="28"/>
          <w:szCs w:val="28"/>
          <w:rtl/>
        </w:rPr>
        <w:t>5</w:t>
      </w:r>
      <w:r w:rsidRPr="00282AC9">
        <w:rPr>
          <w:rFonts w:ascii="Noor_Mitra" w:hAnsi="Noor_Mitra" w:cs="DanaFajr"/>
          <w:sz w:val="28"/>
          <w:szCs w:val="28"/>
          <w:rtl/>
          <w:lang w:bidi="fa-IR"/>
        </w:rPr>
        <w:t>، الهيئة العامة لقصور الثقافة، القاهرة، 200</w:t>
      </w:r>
      <w:r w:rsidRPr="00282AC9">
        <w:rPr>
          <w:rFonts w:ascii="Noor_Mitra" w:hAnsi="Noor_Mitra" w:cs="DanaFajr" w:hint="cs"/>
          <w:sz w:val="28"/>
          <w:szCs w:val="28"/>
          <w:rtl/>
        </w:rPr>
        <w:t>4</w:t>
      </w:r>
      <w:r w:rsidRPr="00282AC9">
        <w:rPr>
          <w:rFonts w:ascii="Noor_Mitra" w:hAnsi="Noor_Mitra" w:cs="DanaFajr"/>
          <w:sz w:val="28"/>
          <w:szCs w:val="28"/>
          <w:rtl/>
          <w:lang w:bidi="fa-IR"/>
        </w:rPr>
        <w:t>م؛ نثر الدر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في المحاضرات 1: 30</w:t>
      </w:r>
      <w:r w:rsidRPr="00282AC9">
        <w:rPr>
          <w:rFonts w:ascii="Noor_Mitra" w:hAnsi="Noor_Mitra" w:cs="DanaFajr" w:hint="cs"/>
          <w:sz w:val="28"/>
          <w:szCs w:val="28"/>
          <w:rtl/>
        </w:rPr>
        <w:t>5</w:t>
      </w:r>
      <w:r w:rsidRPr="00282AC9">
        <w:rPr>
          <w:rFonts w:ascii="Noor_Mitra" w:hAnsi="Noor_Mitra" w:cs="DanaFajr"/>
          <w:sz w:val="28"/>
          <w:szCs w:val="28"/>
          <w:rtl/>
          <w:lang w:bidi="fa-IR"/>
        </w:rPr>
        <w:t>؛ التذكرة الحمدونية ‏2: 13</w:t>
      </w:r>
      <w:r w:rsidRPr="00282AC9">
        <w:rPr>
          <w:rFonts w:ascii="Noor_Mitra" w:hAnsi="Noor_Mitra" w:cs="DanaFajr" w:hint="cs"/>
          <w:sz w:val="28"/>
          <w:szCs w:val="28"/>
          <w:rtl/>
        </w:rPr>
        <w:t>4</w:t>
      </w:r>
      <w:r w:rsidRPr="00282AC9">
        <w:rPr>
          <w:rFonts w:ascii="Noor_Mitra" w:hAnsi="Noor_Mitra" w:cs="DanaFajr"/>
          <w:sz w:val="28"/>
          <w:szCs w:val="28"/>
          <w:rtl/>
          <w:lang w:bidi="fa-IR"/>
        </w:rPr>
        <w:t>.</w:t>
      </w:r>
    </w:p>
  </w:endnote>
  <w:endnote w:id="607">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الصولي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كتاب الأوراق ‏3: 31</w:t>
      </w:r>
      <w:r w:rsidRPr="00282AC9">
        <w:rPr>
          <w:rFonts w:ascii="Noor_Mitra" w:hAnsi="Noor_Mitra" w:cs="DanaFajr" w:hint="cs"/>
          <w:sz w:val="28"/>
          <w:szCs w:val="28"/>
          <w:rtl/>
        </w:rPr>
        <w:t>6</w:t>
      </w:r>
      <w:r w:rsidRPr="00282AC9">
        <w:rPr>
          <w:rFonts w:ascii="Noor_Mitra" w:hAnsi="Noor_Mitra" w:cs="DanaFajr" w:hint="cs"/>
          <w:sz w:val="28"/>
          <w:szCs w:val="28"/>
          <w:rtl/>
          <w:lang w:bidi="fa-IR"/>
        </w:rPr>
        <w:t>.</w:t>
      </w:r>
    </w:p>
  </w:endnote>
  <w:endnote w:id="608">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rPr>
        <w:t xml:space="preserve"> </w:t>
      </w:r>
      <w:r w:rsidRPr="00282AC9">
        <w:rPr>
          <w:rFonts w:ascii="Noor_Mitra" w:hAnsi="Noor_Mitra" w:cs="DanaFajr"/>
          <w:sz w:val="28"/>
          <w:szCs w:val="28"/>
          <w:rtl/>
        </w:rPr>
        <w:t>ابن قتيبة</w:t>
      </w:r>
      <w:r w:rsidRPr="00282AC9">
        <w:rPr>
          <w:rFonts w:ascii="Noor_Mitra" w:hAnsi="Noor_Mitra" w:cs="DanaFajr" w:hint="cs"/>
          <w:sz w:val="28"/>
          <w:szCs w:val="28"/>
          <w:rtl/>
        </w:rPr>
        <w:t>،</w:t>
      </w:r>
      <w:r w:rsidRPr="00282AC9">
        <w:rPr>
          <w:rFonts w:ascii="Noor_Mitra" w:hAnsi="Noor_Mitra" w:cs="DanaFajr"/>
          <w:sz w:val="28"/>
          <w:szCs w:val="28"/>
          <w:rtl/>
        </w:rPr>
        <w:t xml:space="preserve"> ع</w:t>
      </w:r>
      <w:r w:rsidRPr="00282AC9">
        <w:rPr>
          <w:rFonts w:ascii="Noor_Mitra" w:hAnsi="Noor_Mitra" w:cs="DanaFajr" w:hint="cs"/>
          <w:sz w:val="28"/>
          <w:szCs w:val="28"/>
          <w:rtl/>
        </w:rPr>
        <w:t>ي</w:t>
      </w:r>
      <w:r w:rsidRPr="00282AC9">
        <w:rPr>
          <w:rFonts w:ascii="Noor_Mitra" w:hAnsi="Noor_Mitra" w:cs="DanaFajr"/>
          <w:sz w:val="28"/>
          <w:szCs w:val="28"/>
          <w:rtl/>
        </w:rPr>
        <w:t xml:space="preserve">ون الأخبار </w:t>
      </w:r>
      <w:r w:rsidRPr="00282AC9">
        <w:rPr>
          <w:rFonts w:ascii="Noor_Mitra" w:hAnsi="Noor_Mitra" w:cs="DanaFajr"/>
          <w:sz w:val="28"/>
          <w:szCs w:val="28"/>
          <w:rtl/>
          <w:lang w:bidi="fa-IR"/>
        </w:rPr>
        <w:t>۳: ۱۲۳؛ أبو</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حي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ان التوحيدي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الصداقة والصد</w:t>
      </w:r>
      <w:r w:rsidRPr="00282AC9">
        <w:rPr>
          <w:rFonts w:ascii="Noor_Mitra" w:hAnsi="Noor_Mitra" w:cs="DanaFajr" w:hint="cs"/>
          <w:sz w:val="28"/>
          <w:szCs w:val="28"/>
          <w:rtl/>
          <w:lang w:bidi="fa-IR"/>
        </w:rPr>
        <w:t>ي</w:t>
      </w:r>
      <w:r w:rsidRPr="00282AC9">
        <w:rPr>
          <w:rFonts w:ascii="Noor_Mitra" w:hAnsi="Noor_Mitra" w:cs="DanaFajr"/>
          <w:sz w:val="28"/>
          <w:szCs w:val="28"/>
          <w:rtl/>
          <w:lang w:bidi="fa-IR"/>
        </w:rPr>
        <w:t>ق: ۲</w:t>
      </w:r>
      <w:r w:rsidRPr="00282AC9">
        <w:rPr>
          <w:rFonts w:ascii="Noor_Mitra" w:hAnsi="Noor_Mitra" w:cs="DanaFajr" w:hint="cs"/>
          <w:sz w:val="28"/>
          <w:szCs w:val="28"/>
          <w:rtl/>
        </w:rPr>
        <w:t>4</w:t>
      </w:r>
      <w:r w:rsidRPr="00282AC9">
        <w:rPr>
          <w:rFonts w:ascii="Noor_Mitra" w:hAnsi="Noor_Mitra" w:cs="DanaFajr"/>
          <w:sz w:val="28"/>
          <w:szCs w:val="28"/>
          <w:rtl/>
          <w:lang w:bidi="fa-IR"/>
        </w:rPr>
        <w:t>۱،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إبراهيم الكيلاني، </w:t>
      </w:r>
      <w:r w:rsidRPr="00282AC9">
        <w:rPr>
          <w:rFonts w:ascii="Noor_Mitra" w:hAnsi="Noor_Mitra" w:cs="DanaFajr"/>
          <w:sz w:val="28"/>
          <w:szCs w:val="28"/>
          <w:rtl/>
        </w:rPr>
        <w:t>دار الفكر</w:t>
      </w:r>
      <w:r w:rsidRPr="00282AC9">
        <w:rPr>
          <w:rFonts w:ascii="Noor_Mitra" w:hAnsi="Noor_Mitra" w:cs="DanaFajr"/>
          <w:sz w:val="28"/>
          <w:szCs w:val="28"/>
          <w:rtl/>
          <w:lang w:bidi="fa-IR"/>
        </w:rPr>
        <w:t>، دمشق</w:t>
      </w:r>
      <w:r w:rsidRPr="00282AC9">
        <w:rPr>
          <w:rFonts w:ascii="Noor_Mitra" w:hAnsi="Noor_Mitra" w:cs="DanaFajr"/>
          <w:sz w:val="28"/>
          <w:szCs w:val="28"/>
          <w:rtl/>
        </w:rPr>
        <w:t>، 1</w:t>
      </w:r>
      <w:r w:rsidRPr="00282AC9">
        <w:rPr>
          <w:rFonts w:ascii="Noor_Mitra" w:hAnsi="Noor_Mitra" w:cs="DanaFajr" w:hint="cs"/>
          <w:sz w:val="28"/>
          <w:szCs w:val="28"/>
          <w:rtl/>
        </w:rPr>
        <w:t>4</w:t>
      </w:r>
      <w:r w:rsidRPr="00282AC9">
        <w:rPr>
          <w:rFonts w:ascii="Noor_Mitra" w:hAnsi="Noor_Mitra" w:cs="DanaFajr"/>
          <w:sz w:val="28"/>
          <w:szCs w:val="28"/>
          <w:rtl/>
        </w:rPr>
        <w:t xml:space="preserve">21هـ؛ </w:t>
      </w:r>
      <w:r w:rsidRPr="00282AC9">
        <w:rPr>
          <w:rFonts w:ascii="Noor_Mitra" w:hAnsi="Noor_Mitra" w:cs="DanaFajr"/>
          <w:sz w:val="28"/>
          <w:szCs w:val="28"/>
          <w:rtl/>
          <w:lang w:bidi="fa-IR"/>
        </w:rPr>
        <w:t>ابن عبد البر</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بهجة المجالس وأنس المجالس ‏1: 787؛ </w:t>
      </w:r>
      <w:r w:rsidRPr="00282AC9">
        <w:rPr>
          <w:rFonts w:ascii="Noor_Mitra" w:hAnsi="Noor_Mitra" w:cs="DanaFajr"/>
          <w:sz w:val="28"/>
          <w:szCs w:val="28"/>
          <w:rtl/>
        </w:rPr>
        <w:t>الإبشيهي</w:t>
      </w:r>
      <w:r w:rsidRPr="00282AC9">
        <w:rPr>
          <w:rFonts w:ascii="Noor_Mitra" w:hAnsi="Noor_Mitra" w:cs="DanaFajr" w:hint="cs"/>
          <w:sz w:val="28"/>
          <w:szCs w:val="28"/>
          <w:rtl/>
        </w:rPr>
        <w:t>،</w:t>
      </w:r>
      <w:r w:rsidRPr="00282AC9">
        <w:rPr>
          <w:rFonts w:ascii="Noor_Mitra" w:hAnsi="Noor_Mitra" w:cs="DanaFajr"/>
          <w:sz w:val="28"/>
          <w:szCs w:val="28"/>
          <w:rtl/>
        </w:rPr>
        <w:t xml:space="preserve"> المستطرف في كل</w:t>
      </w:r>
      <w:r w:rsidRPr="00282AC9">
        <w:rPr>
          <w:rFonts w:ascii="Noor_Mitra" w:hAnsi="Noor_Mitra" w:cs="DanaFajr" w:hint="cs"/>
          <w:sz w:val="28"/>
          <w:szCs w:val="28"/>
          <w:rtl/>
        </w:rPr>
        <w:t>ّ</w:t>
      </w:r>
      <w:r w:rsidRPr="00282AC9">
        <w:rPr>
          <w:rFonts w:ascii="Noor_Mitra" w:hAnsi="Noor_Mitra" w:cs="DanaFajr"/>
          <w:sz w:val="28"/>
          <w:szCs w:val="28"/>
          <w:rtl/>
        </w:rPr>
        <w:t xml:space="preserve"> فن</w:t>
      </w:r>
      <w:r w:rsidRPr="00282AC9">
        <w:rPr>
          <w:rFonts w:ascii="Noor_Mitra" w:hAnsi="Noor_Mitra" w:cs="DanaFajr" w:hint="cs"/>
          <w:sz w:val="28"/>
          <w:szCs w:val="28"/>
          <w:rtl/>
        </w:rPr>
        <w:t>ّ</w:t>
      </w:r>
      <w:r w:rsidRPr="00282AC9">
        <w:rPr>
          <w:rFonts w:ascii="Noor_Mitra" w:hAnsi="Noor_Mitra" w:cs="DanaFajr"/>
          <w:sz w:val="28"/>
          <w:szCs w:val="28"/>
          <w:rtl/>
        </w:rPr>
        <w:t xml:space="preserve"> مستظرف: </w:t>
      </w:r>
      <w:r w:rsidRPr="00282AC9">
        <w:rPr>
          <w:rFonts w:ascii="Noor_Mitra" w:hAnsi="Noor_Mitra" w:cs="DanaFajr" w:hint="cs"/>
          <w:sz w:val="28"/>
          <w:szCs w:val="28"/>
          <w:rtl/>
        </w:rPr>
        <w:t>4</w:t>
      </w:r>
      <w:r w:rsidRPr="00282AC9">
        <w:rPr>
          <w:rFonts w:ascii="Noor_Mitra" w:hAnsi="Noor_Mitra" w:cs="DanaFajr"/>
          <w:sz w:val="28"/>
          <w:szCs w:val="28"/>
          <w:rtl/>
          <w:lang w:bidi="fa-IR"/>
        </w:rPr>
        <w:t>۰، تحقيق</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سعيد محمد اللح</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ام، عالم الكتب، بيروت، 1</w:t>
      </w:r>
      <w:r w:rsidRPr="00282AC9">
        <w:rPr>
          <w:rFonts w:ascii="Noor_Mitra" w:hAnsi="Noor_Mitra" w:cs="DanaFajr" w:hint="cs"/>
          <w:sz w:val="28"/>
          <w:szCs w:val="28"/>
          <w:rtl/>
        </w:rPr>
        <w:t>4</w:t>
      </w:r>
      <w:r w:rsidRPr="00282AC9">
        <w:rPr>
          <w:rFonts w:ascii="Noor_Mitra" w:hAnsi="Noor_Mitra" w:cs="DanaFajr"/>
          <w:sz w:val="28"/>
          <w:szCs w:val="28"/>
          <w:rtl/>
          <w:lang w:bidi="fa-IR"/>
        </w:rPr>
        <w:t>19</w:t>
      </w:r>
      <w:r w:rsidRPr="00282AC9">
        <w:rPr>
          <w:rFonts w:ascii="Noor_Mitra" w:hAnsi="Noor_Mitra" w:cs="DanaFajr" w:hint="cs"/>
          <w:sz w:val="28"/>
          <w:szCs w:val="28"/>
          <w:rtl/>
          <w:lang w:bidi="fa-IR"/>
        </w:rPr>
        <w:t>هـ.</w:t>
      </w:r>
      <w:r w:rsidRPr="00282AC9">
        <w:rPr>
          <w:rFonts w:ascii="Noor_Mitra" w:hAnsi="Noor_Mitra" w:cs="DanaFajr"/>
          <w:sz w:val="28"/>
          <w:szCs w:val="28"/>
          <w:rtl/>
          <w:lang w:bidi="fa-IR"/>
        </w:rPr>
        <w:t xml:space="preserve"> وفي بعض هذه المصادر لم ينسب البيت إلى أحد</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فلا يمكن تحديد الفترة الزمنية لهذا الشعر بالضبط.</w:t>
      </w:r>
    </w:p>
  </w:endnote>
  <w:endnote w:id="609">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أبو هلال العسكري</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 ديوان المعاني ‏1: </w:t>
      </w:r>
      <w:r w:rsidRPr="00282AC9">
        <w:rPr>
          <w:rFonts w:ascii="Noor_Mitra" w:hAnsi="Noor_Mitra" w:cs="DanaFajr" w:hint="cs"/>
          <w:sz w:val="28"/>
          <w:szCs w:val="28"/>
          <w:rtl/>
        </w:rPr>
        <w:t>4</w:t>
      </w:r>
      <w:r w:rsidRPr="00282AC9">
        <w:rPr>
          <w:rFonts w:ascii="Noor_Mitra" w:hAnsi="Noor_Mitra" w:cs="DanaFajr"/>
          <w:sz w:val="28"/>
          <w:szCs w:val="28"/>
          <w:rtl/>
          <w:lang w:bidi="fa-IR"/>
        </w:rPr>
        <w:t>28</w:t>
      </w:r>
      <w:r w:rsidRPr="00282AC9">
        <w:rPr>
          <w:rFonts w:ascii="Noor_Mitra" w:hAnsi="Noor_Mitra" w:cs="DanaFajr" w:hint="cs"/>
          <w:sz w:val="28"/>
          <w:szCs w:val="28"/>
          <w:rtl/>
        </w:rPr>
        <w:t>.</w:t>
      </w:r>
    </w:p>
  </w:endnote>
  <w:endnote w:id="610">
    <w:p w:rsidR="00C14EDE" w:rsidRPr="00282AC9" w:rsidRDefault="00C14EDE" w:rsidP="0069506A">
      <w:pPr>
        <w:pStyle w:val="af7"/>
        <w:spacing w:line="288" w:lineRule="exact"/>
        <w:ind w:firstLine="0"/>
        <w:rPr>
          <w:rFonts w:ascii="Noor_Mitra" w:hAnsi="Noor_Mitra" w:cs="DanaFajr"/>
          <w:sz w:val="28"/>
          <w:szCs w:val="28"/>
          <w:rtl/>
        </w:rPr>
      </w:pPr>
      <w:r w:rsidRPr="00282AC9">
        <w:rPr>
          <w:rFonts w:ascii="Noor_Mitra" w:hAnsi="Noor_Mitra" w:cs="DanaFajr"/>
          <w:sz w:val="28"/>
          <w:szCs w:val="28"/>
          <w:rtl/>
        </w:rPr>
        <w:t>(</w:t>
      </w:r>
      <w:r w:rsidRPr="00282AC9">
        <w:rPr>
          <w:rStyle w:val="af9"/>
          <w:rFonts w:ascii="Noor_Mitra" w:hAnsi="Noor_Mitra" w:cs="DanaFajr"/>
          <w:sz w:val="28"/>
          <w:szCs w:val="28"/>
          <w:vertAlign w:val="baseline"/>
        </w:rPr>
        <w:endnoteRef/>
      </w:r>
      <w:r w:rsidRPr="00282AC9">
        <w:rPr>
          <w:rFonts w:ascii="Noor_Mitra" w:hAnsi="Noor_Mitra" w:cs="DanaFajr"/>
          <w:sz w:val="28"/>
          <w:szCs w:val="28"/>
          <w:rtl/>
        </w:rPr>
        <w:t>)</w:t>
      </w:r>
      <w:r w:rsidRPr="00282AC9">
        <w:rPr>
          <w:rFonts w:ascii="Noor_Mitra" w:hAnsi="Noor_Mitra" w:cs="DanaFajr"/>
          <w:sz w:val="28"/>
          <w:szCs w:val="28"/>
        </w:rPr>
        <w:t xml:space="preserve"> </w:t>
      </w:r>
      <w:r w:rsidRPr="00282AC9">
        <w:rPr>
          <w:rFonts w:ascii="Noor_Mitra" w:hAnsi="Noor_Mitra" w:cs="DanaFajr"/>
          <w:sz w:val="28"/>
          <w:szCs w:val="28"/>
          <w:rtl/>
          <w:lang w:bidi="fa-IR"/>
        </w:rPr>
        <w:t>ديوان المتنب</w:t>
      </w:r>
      <w:r w:rsidRPr="00282AC9">
        <w:rPr>
          <w:rFonts w:ascii="Noor_Mitra" w:hAnsi="Noor_Mitra" w:cs="DanaFajr" w:hint="cs"/>
          <w:sz w:val="28"/>
          <w:szCs w:val="28"/>
          <w:rtl/>
          <w:lang w:bidi="fa-IR"/>
        </w:rPr>
        <w:t>ّ</w:t>
      </w:r>
      <w:r w:rsidRPr="00282AC9">
        <w:rPr>
          <w:rFonts w:ascii="Noor_Mitra" w:hAnsi="Noor_Mitra" w:cs="DanaFajr"/>
          <w:sz w:val="28"/>
          <w:szCs w:val="28"/>
          <w:rtl/>
          <w:lang w:bidi="fa-IR"/>
        </w:rPr>
        <w:t xml:space="preserve">ي: </w:t>
      </w:r>
      <w:r w:rsidRPr="00282AC9">
        <w:rPr>
          <w:rFonts w:ascii="Noor_Mitra" w:hAnsi="Noor_Mitra" w:cs="DanaFajr" w:hint="cs"/>
          <w:sz w:val="28"/>
          <w:szCs w:val="28"/>
          <w:rtl/>
        </w:rPr>
        <w:t>54</w:t>
      </w:r>
      <w:r w:rsidRPr="00282AC9">
        <w:rPr>
          <w:rFonts w:ascii="Noor_Mitra" w:hAnsi="Noor_Mitra" w:cs="DanaFajr"/>
          <w:sz w:val="28"/>
          <w:szCs w:val="28"/>
          <w:rtl/>
        </w:rPr>
        <w:t>2، دار بيروت، بيروت، 1</w:t>
      </w:r>
      <w:r w:rsidRPr="00282AC9">
        <w:rPr>
          <w:rFonts w:ascii="Noor_Mitra" w:hAnsi="Noor_Mitra" w:cs="DanaFajr" w:hint="cs"/>
          <w:sz w:val="28"/>
          <w:szCs w:val="28"/>
          <w:rtl/>
        </w:rPr>
        <w:t>4</w:t>
      </w:r>
      <w:r w:rsidRPr="00282AC9">
        <w:rPr>
          <w:rFonts w:ascii="Noor_Mitra" w:hAnsi="Noor_Mitra" w:cs="DanaFajr"/>
          <w:sz w:val="28"/>
          <w:szCs w:val="28"/>
          <w:rtl/>
        </w:rPr>
        <w:t>03هـ؛ السمعاني</w:t>
      </w:r>
      <w:r w:rsidRPr="00282AC9">
        <w:rPr>
          <w:rFonts w:ascii="Noor_Mitra" w:hAnsi="Noor_Mitra" w:cs="DanaFajr" w:hint="cs"/>
          <w:sz w:val="28"/>
          <w:szCs w:val="28"/>
          <w:rtl/>
        </w:rPr>
        <w:t>،</w:t>
      </w:r>
      <w:r w:rsidRPr="00282AC9">
        <w:rPr>
          <w:rFonts w:ascii="Noor_Mitra" w:hAnsi="Noor_Mitra" w:cs="DanaFajr"/>
          <w:sz w:val="28"/>
          <w:szCs w:val="28"/>
          <w:rtl/>
        </w:rPr>
        <w:t xml:space="preserve"> الأنساب ‏2: 3</w:t>
      </w:r>
      <w:r w:rsidRPr="00282AC9">
        <w:rPr>
          <w:rFonts w:ascii="Noor_Mitra" w:hAnsi="Noor_Mitra" w:cs="DanaFajr" w:hint="cs"/>
          <w:sz w:val="28"/>
          <w:szCs w:val="28"/>
          <w:rtl/>
        </w:rPr>
        <w:t>4</w:t>
      </w:r>
      <w:r w:rsidRPr="00282AC9">
        <w:rPr>
          <w:rFonts w:ascii="Noor_Mitra" w:hAnsi="Noor_Mitra" w:cs="DanaFajr"/>
          <w:sz w:val="28"/>
          <w:szCs w:val="28"/>
          <w:rtl/>
        </w:rPr>
        <w:t>7؛ ابن خل</w:t>
      </w:r>
      <w:r w:rsidRPr="00282AC9">
        <w:rPr>
          <w:rFonts w:ascii="Noor_Mitra" w:hAnsi="Noor_Mitra" w:cs="DanaFajr" w:hint="cs"/>
          <w:sz w:val="28"/>
          <w:szCs w:val="28"/>
          <w:rtl/>
        </w:rPr>
        <w:t>ّ</w:t>
      </w:r>
      <w:r w:rsidRPr="00282AC9">
        <w:rPr>
          <w:rFonts w:ascii="Noor_Mitra" w:hAnsi="Noor_Mitra" w:cs="DanaFajr"/>
          <w:sz w:val="28"/>
          <w:szCs w:val="28"/>
          <w:rtl/>
        </w:rPr>
        <w:t>كان</w:t>
      </w:r>
      <w:r w:rsidRPr="00282AC9">
        <w:rPr>
          <w:rFonts w:ascii="Noor_Mitra" w:hAnsi="Noor_Mitra" w:cs="DanaFajr" w:hint="cs"/>
          <w:sz w:val="28"/>
          <w:szCs w:val="28"/>
          <w:rtl/>
        </w:rPr>
        <w:t>،</w:t>
      </w:r>
      <w:r w:rsidRPr="00282AC9">
        <w:rPr>
          <w:rFonts w:ascii="Noor_Mitra" w:hAnsi="Noor_Mitra" w:cs="DanaFajr"/>
          <w:sz w:val="28"/>
          <w:szCs w:val="28"/>
          <w:rtl/>
        </w:rPr>
        <w:t xml:space="preserve"> وفيات الأعيان وأنباء أبناء الزمان ‏</w:t>
      </w:r>
      <w:r w:rsidRPr="00282AC9">
        <w:rPr>
          <w:rFonts w:ascii="Noor_Mitra" w:hAnsi="Noor_Mitra" w:cs="DanaFajr" w:hint="cs"/>
          <w:sz w:val="28"/>
          <w:szCs w:val="28"/>
          <w:rtl/>
        </w:rPr>
        <w:t>4</w:t>
      </w:r>
      <w:r w:rsidRPr="00282AC9">
        <w:rPr>
          <w:rFonts w:ascii="Noor_Mitra" w:hAnsi="Noor_Mitra" w:cs="DanaFajr"/>
          <w:sz w:val="28"/>
          <w:szCs w:val="28"/>
          <w:rtl/>
        </w:rPr>
        <w:t xml:space="preserve">: </w:t>
      </w:r>
      <w:r w:rsidRPr="00282AC9">
        <w:rPr>
          <w:rFonts w:ascii="Noor_Mitra" w:hAnsi="Noor_Mitra" w:cs="DanaFajr" w:hint="cs"/>
          <w:sz w:val="28"/>
          <w:szCs w:val="28"/>
          <w:rtl/>
        </w:rPr>
        <w:t>5</w:t>
      </w:r>
      <w:r w:rsidRPr="00282AC9">
        <w:rPr>
          <w:rFonts w:ascii="Noor_Mitra" w:hAnsi="Noor_Mitra" w:cs="DanaFajr"/>
          <w:sz w:val="28"/>
          <w:szCs w:val="28"/>
          <w:rtl/>
        </w:rPr>
        <w:t>2، تحقيق</w:t>
      </w:r>
      <w:r w:rsidRPr="00282AC9">
        <w:rPr>
          <w:rFonts w:ascii="Noor_Mitra" w:hAnsi="Noor_Mitra" w:cs="DanaFajr" w:hint="cs"/>
          <w:sz w:val="28"/>
          <w:szCs w:val="28"/>
          <w:rtl/>
        </w:rPr>
        <w:t>:</w:t>
      </w:r>
      <w:r w:rsidRPr="00282AC9">
        <w:rPr>
          <w:rFonts w:ascii="Noor_Mitra" w:hAnsi="Noor_Mitra" w:cs="DanaFajr"/>
          <w:sz w:val="28"/>
          <w:szCs w:val="28"/>
          <w:rtl/>
        </w:rPr>
        <w:t xml:space="preserve"> إحسان عب</w:t>
      </w:r>
      <w:r w:rsidRPr="00282AC9">
        <w:rPr>
          <w:rFonts w:ascii="Noor_Mitra" w:hAnsi="Noor_Mitra" w:cs="DanaFajr" w:hint="cs"/>
          <w:sz w:val="28"/>
          <w:szCs w:val="28"/>
          <w:rtl/>
        </w:rPr>
        <w:t>ّ</w:t>
      </w:r>
      <w:r w:rsidRPr="00282AC9">
        <w:rPr>
          <w:rFonts w:ascii="Noor_Mitra" w:hAnsi="Noor_Mitra" w:cs="DanaFajr"/>
          <w:sz w:val="28"/>
          <w:szCs w:val="28"/>
          <w:rtl/>
        </w:rPr>
        <w:t xml:space="preserve">اس، دار الفكر، بيروت، ط1؛ لسان العرب ‏13: </w:t>
      </w:r>
      <w:r w:rsidRPr="00282AC9">
        <w:rPr>
          <w:rFonts w:ascii="Noor_Mitra" w:hAnsi="Noor_Mitra" w:cs="DanaFajr" w:hint="cs"/>
          <w:sz w:val="28"/>
          <w:szCs w:val="28"/>
          <w:rtl/>
        </w:rPr>
        <w:t>6</w:t>
      </w:r>
      <w:r w:rsidRPr="00282AC9">
        <w:rPr>
          <w:rFonts w:ascii="Noor_Mitra" w:hAnsi="Noor_Mitra" w:cs="DanaFajr"/>
          <w:sz w:val="28"/>
          <w:szCs w:val="28"/>
          <w:rtl/>
        </w:rPr>
        <w:t>2؛ ابن بس</w:t>
      </w:r>
      <w:r w:rsidRPr="00282AC9">
        <w:rPr>
          <w:rFonts w:ascii="Noor_Mitra" w:hAnsi="Noor_Mitra" w:cs="DanaFajr" w:hint="cs"/>
          <w:sz w:val="28"/>
          <w:szCs w:val="28"/>
          <w:rtl/>
        </w:rPr>
        <w:t>ّ</w:t>
      </w:r>
      <w:r w:rsidRPr="00282AC9">
        <w:rPr>
          <w:rFonts w:ascii="Noor_Mitra" w:hAnsi="Noor_Mitra" w:cs="DanaFajr"/>
          <w:sz w:val="28"/>
          <w:szCs w:val="28"/>
          <w:rtl/>
        </w:rPr>
        <w:t>ام الشنتريني</w:t>
      </w:r>
      <w:r w:rsidRPr="00282AC9">
        <w:rPr>
          <w:rFonts w:ascii="Noor_Mitra" w:hAnsi="Noor_Mitra" w:cs="DanaFajr" w:hint="cs"/>
          <w:sz w:val="28"/>
          <w:szCs w:val="28"/>
          <w:rtl/>
        </w:rPr>
        <w:t>،</w:t>
      </w:r>
      <w:r w:rsidRPr="00282AC9">
        <w:rPr>
          <w:rFonts w:ascii="Noor_Mitra" w:hAnsi="Noor_Mitra" w:cs="DanaFajr"/>
          <w:sz w:val="28"/>
          <w:szCs w:val="28"/>
          <w:rtl/>
        </w:rPr>
        <w:t xml:space="preserve"> الذخيرة في محاسن أهل الجزير</w:t>
      </w:r>
      <w:r w:rsidRPr="00282AC9">
        <w:rPr>
          <w:rFonts w:ascii="Noor_Mitra" w:hAnsi="Noor_Mitra" w:cs="DanaFajr" w:hint="cs"/>
          <w:sz w:val="28"/>
          <w:szCs w:val="28"/>
          <w:rtl/>
        </w:rPr>
        <w:t>ة</w:t>
      </w:r>
      <w:r w:rsidRPr="00282AC9">
        <w:rPr>
          <w:rFonts w:ascii="Noor_Mitra" w:hAnsi="Noor_Mitra" w:cs="DanaFajr"/>
          <w:sz w:val="28"/>
          <w:szCs w:val="28"/>
          <w:rtl/>
        </w:rPr>
        <w:t xml:space="preserve"> ‏2: </w:t>
      </w:r>
      <w:r w:rsidRPr="00282AC9">
        <w:rPr>
          <w:rFonts w:ascii="Noor_Mitra" w:hAnsi="Noor_Mitra" w:cs="DanaFajr" w:hint="cs"/>
          <w:sz w:val="28"/>
          <w:szCs w:val="28"/>
          <w:rtl/>
        </w:rPr>
        <w:t>6</w:t>
      </w:r>
      <w:r w:rsidRPr="00282AC9">
        <w:rPr>
          <w:rFonts w:ascii="Noor_Mitra" w:hAnsi="Noor_Mitra" w:cs="DanaFajr"/>
          <w:sz w:val="28"/>
          <w:szCs w:val="28"/>
          <w:rtl/>
        </w:rPr>
        <w:t>77، دار الغرب الإسلامي، بيروت، 2000م.</w:t>
      </w:r>
    </w:p>
  </w:endnote>
  <w:endnote w:id="611">
    <w:p w:rsidR="00C14EDE" w:rsidRPr="00282AC9" w:rsidRDefault="00C14EDE" w:rsidP="0069506A">
      <w:pPr>
        <w:pStyle w:val="af7"/>
        <w:spacing w:line="288"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كانت مدّة خلافته سنتَيْن: 320 ـ 322هـ. انظر: تاريخ بغداد 1: 3</w:t>
      </w:r>
      <w:r w:rsidRPr="00282AC9">
        <w:rPr>
          <w:rFonts w:ascii="Noor_Mitra" w:hAnsi="Noor_Mitra" w:cs="DanaFajr" w:hint="cs"/>
          <w:sz w:val="28"/>
          <w:szCs w:val="28"/>
          <w:rtl/>
        </w:rPr>
        <w:t>56</w:t>
      </w:r>
      <w:r w:rsidRPr="00282AC9">
        <w:rPr>
          <w:rFonts w:cs="DanaFajr" w:hint="cs"/>
          <w:sz w:val="28"/>
          <w:szCs w:val="28"/>
          <w:rtl/>
        </w:rPr>
        <w:t xml:space="preserve">، </w:t>
      </w:r>
      <w:r w:rsidRPr="00282AC9">
        <w:rPr>
          <w:rFonts w:cs="DanaFajr"/>
          <w:sz w:val="28"/>
          <w:szCs w:val="28"/>
          <w:rtl/>
          <w:lang w:bidi="fa-IR"/>
        </w:rPr>
        <w:t>تحقيق</w:t>
      </w:r>
      <w:r w:rsidRPr="00282AC9">
        <w:rPr>
          <w:rFonts w:cs="DanaFajr" w:hint="cs"/>
          <w:sz w:val="28"/>
          <w:szCs w:val="28"/>
          <w:rtl/>
          <w:lang w:bidi="fa-IR"/>
        </w:rPr>
        <w:t>:</w:t>
      </w:r>
      <w:r w:rsidRPr="00282AC9">
        <w:rPr>
          <w:rFonts w:cs="DanaFajr"/>
          <w:sz w:val="28"/>
          <w:szCs w:val="28"/>
          <w:rtl/>
          <w:lang w:bidi="fa-IR"/>
        </w:rPr>
        <w:t xml:space="preserve"> مصطفى عبد</w:t>
      </w:r>
      <w:r w:rsidRPr="00282AC9">
        <w:rPr>
          <w:rFonts w:ascii="Noor_Mitra" w:hAnsi="Noor_Mitra" w:cs="DanaFajr" w:hint="cs"/>
          <w:sz w:val="28"/>
          <w:szCs w:val="28"/>
          <w:rtl/>
          <w:lang w:bidi="fa-IR"/>
        </w:rPr>
        <w:t xml:space="preserve"> </w:t>
      </w:r>
      <w:r w:rsidRPr="00282AC9">
        <w:rPr>
          <w:rFonts w:ascii="Noor_Mitra" w:hAnsi="Noor_Mitra" w:cs="DanaFajr"/>
          <w:sz w:val="28"/>
          <w:szCs w:val="28"/>
          <w:rtl/>
          <w:lang w:bidi="fa-IR"/>
        </w:rPr>
        <w:t>القادر عطا، دار الكتب العلمية، بيروت، 1</w:t>
      </w:r>
      <w:r w:rsidRPr="00282AC9">
        <w:rPr>
          <w:rFonts w:ascii="Noor_Mitra" w:hAnsi="Noor_Mitra" w:cs="DanaFajr" w:hint="cs"/>
          <w:sz w:val="28"/>
          <w:szCs w:val="28"/>
          <w:rtl/>
        </w:rPr>
        <w:t>4</w:t>
      </w:r>
      <w:r w:rsidRPr="00282AC9">
        <w:rPr>
          <w:rFonts w:ascii="Noor_Mitra" w:hAnsi="Noor_Mitra" w:cs="DanaFajr"/>
          <w:sz w:val="28"/>
          <w:szCs w:val="28"/>
          <w:rtl/>
          <w:lang w:bidi="fa-IR"/>
        </w:rPr>
        <w:t>17هـ.</w:t>
      </w:r>
    </w:p>
  </w:endnote>
  <w:endnote w:id="612">
    <w:p w:rsidR="00C14EDE" w:rsidRPr="00282AC9" w:rsidRDefault="00C14EDE" w:rsidP="0069506A">
      <w:pPr>
        <w:pStyle w:val="af7"/>
        <w:spacing w:line="288" w:lineRule="exact"/>
        <w:ind w:firstLine="0"/>
        <w:rPr>
          <w:rFonts w:cs="DanaFajr"/>
          <w:sz w:val="28"/>
          <w:szCs w:val="28"/>
          <w:rtl/>
          <w:lang w:bidi="fa-IR"/>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fa-IR"/>
        </w:rPr>
        <w:t xml:space="preserve"> المسعود</w:t>
      </w:r>
      <w:r w:rsidRPr="00282AC9">
        <w:rPr>
          <w:rFonts w:cs="DanaFajr" w:hint="cs"/>
          <w:sz w:val="28"/>
          <w:szCs w:val="28"/>
          <w:rtl/>
        </w:rPr>
        <w:t>ي،</w:t>
      </w:r>
      <w:r w:rsidRPr="00282AC9">
        <w:rPr>
          <w:rFonts w:cs="DanaFajr"/>
          <w:sz w:val="28"/>
          <w:szCs w:val="28"/>
          <w:rtl/>
          <w:lang w:bidi="fa-IR"/>
        </w:rPr>
        <w:t xml:space="preserve"> مروج الذهب ومعادن الجوهر</w:t>
      </w:r>
      <w:r w:rsidRPr="00282AC9">
        <w:rPr>
          <w:rFonts w:cs="DanaFajr" w:hint="cs"/>
          <w:sz w:val="28"/>
          <w:szCs w:val="28"/>
          <w:rtl/>
          <w:lang w:bidi="fa-IR"/>
        </w:rPr>
        <w:t xml:space="preserve"> </w:t>
      </w:r>
      <w:r w:rsidRPr="00282AC9">
        <w:rPr>
          <w:rFonts w:ascii="Noor_Mitra" w:hAnsi="Noor_Mitra" w:cs="DanaFajr" w:hint="cs"/>
          <w:sz w:val="28"/>
          <w:szCs w:val="28"/>
          <w:rtl/>
        </w:rPr>
        <w:t>4</w:t>
      </w:r>
      <w:r w:rsidRPr="00282AC9">
        <w:rPr>
          <w:rFonts w:cs="DanaFajr" w:hint="cs"/>
          <w:sz w:val="28"/>
          <w:szCs w:val="28"/>
          <w:rtl/>
          <w:lang w:bidi="fa-IR"/>
        </w:rPr>
        <w:t xml:space="preserve">: </w:t>
      </w:r>
      <w:r w:rsidRPr="00282AC9">
        <w:rPr>
          <w:rFonts w:cs="DanaFajr"/>
          <w:sz w:val="28"/>
          <w:szCs w:val="28"/>
          <w:rtl/>
          <w:lang w:bidi="fa-IR"/>
        </w:rPr>
        <w:t>222، تحقيق</w:t>
      </w:r>
      <w:r w:rsidRPr="00282AC9">
        <w:rPr>
          <w:rFonts w:cs="DanaFajr" w:hint="cs"/>
          <w:sz w:val="28"/>
          <w:szCs w:val="28"/>
          <w:rtl/>
          <w:lang w:bidi="fa-IR"/>
        </w:rPr>
        <w:t>:</w:t>
      </w:r>
      <w:r w:rsidRPr="00282AC9">
        <w:rPr>
          <w:rFonts w:cs="DanaFajr"/>
          <w:sz w:val="28"/>
          <w:szCs w:val="28"/>
          <w:rtl/>
          <w:lang w:bidi="fa-IR"/>
        </w:rPr>
        <w:t xml:space="preserve"> </w:t>
      </w:r>
      <w:r w:rsidRPr="00282AC9">
        <w:rPr>
          <w:rFonts w:cs="DanaFajr" w:hint="cs"/>
          <w:sz w:val="28"/>
          <w:szCs w:val="28"/>
          <w:rtl/>
          <w:lang w:bidi="fa-IR"/>
        </w:rPr>
        <w:t>أ</w:t>
      </w:r>
      <w:r w:rsidRPr="00282AC9">
        <w:rPr>
          <w:rFonts w:cs="DanaFajr"/>
          <w:sz w:val="28"/>
          <w:szCs w:val="28"/>
          <w:rtl/>
          <w:lang w:bidi="fa-IR"/>
        </w:rPr>
        <w:t>سعد داغر، دار الهجرة، قم، 1</w:t>
      </w:r>
      <w:r w:rsidRPr="00282AC9">
        <w:rPr>
          <w:rFonts w:ascii="Noor_Mitra" w:hAnsi="Noor_Mitra" w:cs="DanaFajr" w:hint="cs"/>
          <w:sz w:val="28"/>
          <w:szCs w:val="28"/>
          <w:rtl/>
        </w:rPr>
        <w:t>4</w:t>
      </w:r>
      <w:r w:rsidRPr="00282AC9">
        <w:rPr>
          <w:rFonts w:cs="DanaFajr"/>
          <w:sz w:val="28"/>
          <w:szCs w:val="28"/>
          <w:rtl/>
          <w:lang w:bidi="fa-IR"/>
        </w:rPr>
        <w:t>09هـ.</w:t>
      </w:r>
    </w:p>
  </w:endnote>
  <w:endnote w:id="613">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محمد الروحاني، منتقى الأصول 4: 438 ـ 439، تصحيح: عبد الصاحب الحكيم، مكتب السيد محمد الحسيني الروحاني، إيران ـ قم، 1413هـ.</w:t>
      </w:r>
    </w:p>
  </w:endnote>
  <w:endnote w:id="614">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المصدر السابق</w:t>
      </w:r>
      <w:r w:rsidRPr="00282AC9">
        <w:rPr>
          <w:rFonts w:cs="DanaFajr"/>
          <w:sz w:val="28"/>
          <w:szCs w:val="28"/>
          <w:rtl/>
        </w:rPr>
        <w:t xml:space="preserve"> 4: </w:t>
      </w:r>
      <w:r w:rsidRPr="00282AC9">
        <w:rPr>
          <w:rFonts w:cs="DanaFajr" w:hint="cs"/>
          <w:sz w:val="28"/>
          <w:szCs w:val="28"/>
          <w:rtl/>
        </w:rPr>
        <w:t>440.</w:t>
      </w:r>
    </w:p>
  </w:endnote>
  <w:endnote w:id="615">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المصدر نفسه.</w:t>
      </w:r>
    </w:p>
  </w:endnote>
  <w:endnote w:id="616">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المصدر السابق 4: 441.</w:t>
      </w:r>
    </w:p>
  </w:endnote>
  <w:endnote w:id="617">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المصدر نفسه.</w:t>
      </w:r>
    </w:p>
  </w:endnote>
  <w:endnote w:id="618">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المصدر نفسه.</w:t>
      </w:r>
    </w:p>
  </w:endnote>
  <w:endnote w:id="619">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المصدر نفسه.</w:t>
      </w:r>
    </w:p>
  </w:endnote>
  <w:endnote w:id="620">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محمد باقر الصدر، دروس في علم الأصول 2: 22، دار المنتظر، بيروت، 1405هـ.</w:t>
      </w:r>
    </w:p>
  </w:endnote>
  <w:endnote w:id="621">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المصدر السابق</w:t>
      </w:r>
      <w:r w:rsidRPr="00282AC9">
        <w:rPr>
          <w:rFonts w:cs="DanaFajr"/>
          <w:sz w:val="28"/>
          <w:szCs w:val="28"/>
          <w:rtl/>
        </w:rPr>
        <w:t xml:space="preserve"> </w:t>
      </w:r>
      <w:r w:rsidRPr="00282AC9">
        <w:rPr>
          <w:rFonts w:cs="DanaFajr" w:hint="cs"/>
          <w:sz w:val="28"/>
          <w:szCs w:val="28"/>
          <w:rtl/>
        </w:rPr>
        <w:t>3</w:t>
      </w:r>
      <w:r w:rsidRPr="00282AC9">
        <w:rPr>
          <w:rFonts w:cs="DanaFajr"/>
          <w:sz w:val="28"/>
          <w:szCs w:val="28"/>
          <w:rtl/>
        </w:rPr>
        <w:t xml:space="preserve">: </w:t>
      </w:r>
      <w:r w:rsidRPr="00282AC9">
        <w:rPr>
          <w:rFonts w:cs="DanaFajr" w:hint="cs"/>
          <w:sz w:val="28"/>
          <w:szCs w:val="28"/>
          <w:rtl/>
        </w:rPr>
        <w:t>35.</w:t>
      </w:r>
    </w:p>
  </w:endnote>
  <w:endnote w:id="622">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المصدر السابق</w:t>
      </w:r>
      <w:r w:rsidRPr="00282AC9">
        <w:rPr>
          <w:rFonts w:cs="DanaFajr"/>
          <w:sz w:val="28"/>
          <w:szCs w:val="28"/>
          <w:rtl/>
        </w:rPr>
        <w:t xml:space="preserve"> 2: 22</w:t>
      </w:r>
      <w:r w:rsidRPr="00282AC9">
        <w:rPr>
          <w:rFonts w:cs="DanaFajr" w:hint="cs"/>
          <w:sz w:val="28"/>
          <w:szCs w:val="28"/>
          <w:rtl/>
        </w:rPr>
        <w:t xml:space="preserve"> ـ 23.</w:t>
      </w:r>
    </w:p>
  </w:endnote>
  <w:endnote w:id="623">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المصدر السابق</w:t>
      </w:r>
      <w:r w:rsidRPr="00282AC9">
        <w:rPr>
          <w:rFonts w:cs="DanaFajr"/>
          <w:sz w:val="28"/>
          <w:szCs w:val="28"/>
          <w:rtl/>
        </w:rPr>
        <w:t xml:space="preserve"> 2: 23</w:t>
      </w:r>
      <w:r w:rsidRPr="00282AC9">
        <w:rPr>
          <w:rFonts w:cs="DanaFajr" w:hint="cs"/>
          <w:sz w:val="28"/>
          <w:szCs w:val="28"/>
          <w:rtl/>
        </w:rPr>
        <w:t>.</w:t>
      </w:r>
    </w:p>
  </w:endnote>
  <w:endnote w:id="624">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السيد محمود الهاشمي الشاهرودي</w:t>
      </w:r>
      <w:r w:rsidRPr="00282AC9">
        <w:rPr>
          <w:rFonts w:cs="DanaFajr"/>
          <w:sz w:val="28"/>
          <w:szCs w:val="28"/>
          <w:rtl/>
        </w:rPr>
        <w:t>،</w:t>
      </w:r>
      <w:r w:rsidRPr="00282AC9">
        <w:rPr>
          <w:rFonts w:cs="DanaFajr" w:hint="cs"/>
          <w:sz w:val="28"/>
          <w:szCs w:val="28"/>
          <w:rtl/>
        </w:rPr>
        <w:t xml:space="preserve"> بحوث في علم الأصول (تقريراً لأبحاث السيد الشهيد</w:t>
      </w:r>
      <w:r w:rsidRPr="00282AC9">
        <w:rPr>
          <w:rFonts w:cs="DanaFajr"/>
          <w:sz w:val="28"/>
          <w:szCs w:val="28"/>
          <w:rtl/>
        </w:rPr>
        <w:t xml:space="preserve"> محمد باقر الصدر</w:t>
      </w:r>
      <w:r w:rsidRPr="00282AC9">
        <w:rPr>
          <w:rFonts w:cs="DanaFajr" w:hint="cs"/>
          <w:sz w:val="28"/>
          <w:szCs w:val="28"/>
          <w:rtl/>
        </w:rPr>
        <w:t>) 5</w:t>
      </w:r>
      <w:r w:rsidRPr="00282AC9">
        <w:rPr>
          <w:rFonts w:cs="DanaFajr"/>
          <w:sz w:val="28"/>
          <w:szCs w:val="28"/>
          <w:rtl/>
        </w:rPr>
        <w:t>: 2</w:t>
      </w:r>
      <w:r w:rsidRPr="00282AC9">
        <w:rPr>
          <w:rFonts w:cs="DanaFajr" w:hint="cs"/>
          <w:sz w:val="28"/>
          <w:szCs w:val="28"/>
          <w:rtl/>
        </w:rPr>
        <w:t>5</w:t>
      </w:r>
      <w:r w:rsidRPr="00282AC9">
        <w:rPr>
          <w:rFonts w:cs="DanaFajr"/>
          <w:sz w:val="28"/>
          <w:szCs w:val="28"/>
          <w:rtl/>
        </w:rPr>
        <w:t>،</w:t>
      </w:r>
      <w:r w:rsidRPr="00282AC9">
        <w:rPr>
          <w:rFonts w:cs="DanaFajr" w:hint="cs"/>
          <w:sz w:val="28"/>
          <w:szCs w:val="28"/>
          <w:rtl/>
        </w:rPr>
        <w:t xml:space="preserve"> دائرة معارف الفقه الإسلامي طبقاً لمذهب أهل البيت</w:t>
      </w:r>
      <w:r w:rsidRPr="00282AC9">
        <w:rPr>
          <w:rFonts w:cs="Mosawi" w:hint="cs"/>
          <w:rtl/>
        </w:rPr>
        <w:t>^</w:t>
      </w:r>
      <w:r w:rsidRPr="00282AC9">
        <w:rPr>
          <w:rFonts w:cs="DanaFajr" w:hint="cs"/>
          <w:sz w:val="28"/>
          <w:szCs w:val="28"/>
          <w:rtl/>
        </w:rPr>
        <w:t>، مركز الغدير للدراسات الإسلامية،</w:t>
      </w:r>
      <w:r w:rsidRPr="00282AC9">
        <w:rPr>
          <w:rFonts w:cs="DanaFajr"/>
          <w:sz w:val="28"/>
          <w:szCs w:val="28"/>
          <w:rtl/>
        </w:rPr>
        <w:t xml:space="preserve"> 14</w:t>
      </w:r>
      <w:r w:rsidRPr="00282AC9">
        <w:rPr>
          <w:rFonts w:cs="DanaFajr" w:hint="cs"/>
          <w:sz w:val="28"/>
          <w:szCs w:val="28"/>
          <w:rtl/>
        </w:rPr>
        <w:t>17</w:t>
      </w:r>
      <w:r w:rsidRPr="00282AC9">
        <w:rPr>
          <w:rFonts w:cs="DanaFajr"/>
          <w:sz w:val="28"/>
          <w:szCs w:val="28"/>
          <w:rtl/>
        </w:rPr>
        <w:t>هـ.</w:t>
      </w:r>
    </w:p>
  </w:endnote>
  <w:endnote w:id="625">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الشيخ حسن عبد الساتر</w:t>
      </w:r>
      <w:r w:rsidRPr="00282AC9">
        <w:rPr>
          <w:rFonts w:cs="DanaFajr"/>
          <w:sz w:val="28"/>
          <w:szCs w:val="28"/>
          <w:rtl/>
        </w:rPr>
        <w:t xml:space="preserve">، بحوث في علم الأصول </w:t>
      </w:r>
      <w:r w:rsidRPr="00282AC9">
        <w:rPr>
          <w:rFonts w:cs="DanaFajr" w:hint="cs"/>
          <w:sz w:val="28"/>
          <w:szCs w:val="28"/>
          <w:rtl/>
        </w:rPr>
        <w:t>(تقريراً لأبحاث السيد الشهيد</w:t>
      </w:r>
      <w:r w:rsidRPr="00282AC9">
        <w:rPr>
          <w:rFonts w:cs="DanaFajr"/>
          <w:sz w:val="28"/>
          <w:szCs w:val="28"/>
          <w:rtl/>
        </w:rPr>
        <w:t xml:space="preserve"> محمد باقر الصدر</w:t>
      </w:r>
      <w:r w:rsidRPr="00282AC9">
        <w:rPr>
          <w:rFonts w:cs="DanaFajr" w:hint="cs"/>
          <w:sz w:val="28"/>
          <w:szCs w:val="28"/>
          <w:rtl/>
        </w:rPr>
        <w:t>) 11</w:t>
      </w:r>
      <w:r w:rsidRPr="00282AC9">
        <w:rPr>
          <w:rFonts w:cs="DanaFajr"/>
          <w:sz w:val="28"/>
          <w:szCs w:val="28"/>
          <w:rtl/>
        </w:rPr>
        <w:t xml:space="preserve">: </w:t>
      </w:r>
      <w:r w:rsidRPr="00282AC9">
        <w:rPr>
          <w:rFonts w:cs="DanaFajr" w:hint="cs"/>
          <w:sz w:val="28"/>
          <w:szCs w:val="28"/>
          <w:rtl/>
        </w:rPr>
        <w:t>58، الدار الإسلامية، بيروت ـ لبنان.</w:t>
      </w:r>
    </w:p>
  </w:endnote>
  <w:endnote w:id="626">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الشيخ مرتضى الأنصاري، فرائد الأصول 2: 58، تحقيق: لجنة تحقيق تراث الشيخ الأعظم، مجمع الفكر الإسلامي، قم ـ إيران، 1428هـ.</w:t>
      </w:r>
    </w:p>
  </w:endnote>
  <w:endnote w:id="627">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الشيخ حسن عبد الساتر</w:t>
      </w:r>
      <w:r w:rsidRPr="00282AC9">
        <w:rPr>
          <w:rFonts w:cs="DanaFajr"/>
          <w:sz w:val="28"/>
          <w:szCs w:val="28"/>
          <w:rtl/>
        </w:rPr>
        <w:t xml:space="preserve">، بحوث في علم الأصول </w:t>
      </w:r>
      <w:r w:rsidRPr="00282AC9">
        <w:rPr>
          <w:rFonts w:cs="DanaFajr" w:hint="cs"/>
          <w:sz w:val="28"/>
          <w:szCs w:val="28"/>
          <w:rtl/>
        </w:rPr>
        <w:t>(تقريراً لأبحاث السيد الشهيد</w:t>
      </w:r>
      <w:r w:rsidRPr="00282AC9">
        <w:rPr>
          <w:rFonts w:cs="DanaFajr"/>
          <w:sz w:val="28"/>
          <w:szCs w:val="28"/>
          <w:rtl/>
        </w:rPr>
        <w:t xml:space="preserve"> محمد باقر الصدر</w:t>
      </w:r>
      <w:r w:rsidRPr="00282AC9">
        <w:rPr>
          <w:rFonts w:cs="DanaFajr" w:hint="cs"/>
          <w:sz w:val="28"/>
          <w:szCs w:val="28"/>
          <w:rtl/>
        </w:rPr>
        <w:t>)</w:t>
      </w:r>
      <w:r w:rsidRPr="00282AC9">
        <w:rPr>
          <w:rFonts w:cs="DanaFajr"/>
          <w:sz w:val="28"/>
          <w:szCs w:val="28"/>
          <w:rtl/>
        </w:rPr>
        <w:t xml:space="preserve"> 11: 58.</w:t>
      </w:r>
    </w:p>
  </w:endnote>
  <w:endnote w:id="628">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انظر: المصدر السابق 11: 58.</w:t>
      </w:r>
    </w:p>
  </w:endnote>
  <w:endnote w:id="629">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سيتّضح أنه لم يتّم تقسيم المولوية إلاّ لقسمين فقط، وهما: المولوية الذاتيّة (الحقيقية)؛ والمولوية الجَعْلية (الاعتبارية). نعم، تنقسم المولوية الجعلية بدَوْرها إلى قسمين آخرَيْن؛ فلاحِظْ. (المعرِّب).</w:t>
      </w:r>
    </w:p>
  </w:endnote>
  <w:endnote w:id="630">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السيد محمود الهاشمي الشاهرودي</w:t>
      </w:r>
      <w:r w:rsidRPr="00282AC9">
        <w:rPr>
          <w:rFonts w:cs="DanaFajr"/>
          <w:sz w:val="28"/>
          <w:szCs w:val="28"/>
          <w:rtl/>
        </w:rPr>
        <w:t>،</w:t>
      </w:r>
      <w:r w:rsidRPr="00282AC9">
        <w:rPr>
          <w:rFonts w:cs="DanaFajr" w:hint="cs"/>
          <w:sz w:val="28"/>
          <w:szCs w:val="28"/>
          <w:rtl/>
        </w:rPr>
        <w:t xml:space="preserve"> بحوث في علم الأصول (تقريراً لأبحاث السيد الشهيد</w:t>
      </w:r>
      <w:r w:rsidRPr="00282AC9">
        <w:rPr>
          <w:rFonts w:cs="DanaFajr"/>
          <w:sz w:val="28"/>
          <w:szCs w:val="28"/>
          <w:rtl/>
        </w:rPr>
        <w:t xml:space="preserve"> محمد باقر الصدر</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4</w:t>
      </w:r>
      <w:r w:rsidRPr="00282AC9">
        <w:rPr>
          <w:rFonts w:cs="DanaFajr"/>
          <w:sz w:val="28"/>
          <w:szCs w:val="28"/>
          <w:rtl/>
        </w:rPr>
        <w:t>: 2</w:t>
      </w:r>
      <w:r w:rsidRPr="00282AC9">
        <w:rPr>
          <w:rFonts w:cs="DanaFajr" w:hint="cs"/>
          <w:sz w:val="28"/>
          <w:szCs w:val="28"/>
          <w:rtl/>
        </w:rPr>
        <w:t>8 ـ 29.</w:t>
      </w:r>
    </w:p>
  </w:endnote>
  <w:endnote w:id="631">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الشيخ حسن عبد الساتر</w:t>
      </w:r>
      <w:r w:rsidRPr="00282AC9">
        <w:rPr>
          <w:rFonts w:cs="DanaFajr"/>
          <w:sz w:val="28"/>
          <w:szCs w:val="28"/>
          <w:rtl/>
        </w:rPr>
        <w:t xml:space="preserve">، بحوث في علم الأصول </w:t>
      </w:r>
      <w:r w:rsidRPr="00282AC9">
        <w:rPr>
          <w:rFonts w:cs="DanaFajr" w:hint="cs"/>
          <w:sz w:val="28"/>
          <w:szCs w:val="28"/>
          <w:rtl/>
        </w:rPr>
        <w:t>(تقريراً لأبحاث السيد الشهيد</w:t>
      </w:r>
      <w:r w:rsidRPr="00282AC9">
        <w:rPr>
          <w:rFonts w:cs="DanaFajr"/>
          <w:sz w:val="28"/>
          <w:szCs w:val="28"/>
          <w:rtl/>
        </w:rPr>
        <w:t xml:space="preserve"> محمد باقر الصدر</w:t>
      </w:r>
      <w:r w:rsidRPr="00282AC9">
        <w:rPr>
          <w:rFonts w:cs="DanaFajr" w:hint="cs"/>
          <w:sz w:val="28"/>
          <w:szCs w:val="28"/>
          <w:rtl/>
        </w:rPr>
        <w:t>)</w:t>
      </w:r>
      <w:r w:rsidRPr="00282AC9">
        <w:rPr>
          <w:rFonts w:cs="DanaFajr"/>
          <w:sz w:val="28"/>
          <w:szCs w:val="28"/>
          <w:rtl/>
        </w:rPr>
        <w:t xml:space="preserve"> 11: 58.</w:t>
      </w:r>
    </w:p>
  </w:endnote>
  <w:endnote w:id="632">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السيد محمود الهاشمي الشاهرودي</w:t>
      </w:r>
      <w:r w:rsidRPr="00282AC9">
        <w:rPr>
          <w:rFonts w:cs="DanaFajr"/>
          <w:sz w:val="28"/>
          <w:szCs w:val="28"/>
          <w:rtl/>
        </w:rPr>
        <w:t>،</w:t>
      </w:r>
      <w:r w:rsidRPr="00282AC9">
        <w:rPr>
          <w:rFonts w:cs="DanaFajr" w:hint="cs"/>
          <w:sz w:val="28"/>
          <w:szCs w:val="28"/>
          <w:rtl/>
        </w:rPr>
        <w:t xml:space="preserve"> بحوث في علم الأصول (تقريراً لأبحاث السيد الشهيد</w:t>
      </w:r>
      <w:r w:rsidRPr="00282AC9">
        <w:rPr>
          <w:rFonts w:cs="DanaFajr"/>
          <w:sz w:val="28"/>
          <w:szCs w:val="28"/>
          <w:rtl/>
        </w:rPr>
        <w:t xml:space="preserve"> محمد باقر الصدر</w:t>
      </w:r>
      <w:r w:rsidRPr="00282AC9">
        <w:rPr>
          <w:rFonts w:cs="DanaFajr" w:hint="cs"/>
          <w:sz w:val="28"/>
          <w:szCs w:val="28"/>
          <w:rtl/>
        </w:rPr>
        <w:t>)</w:t>
      </w:r>
      <w:r w:rsidRPr="00282AC9">
        <w:rPr>
          <w:rFonts w:cs="DanaFajr"/>
          <w:sz w:val="28"/>
          <w:szCs w:val="28"/>
          <w:rtl/>
        </w:rPr>
        <w:t xml:space="preserve"> 4: 29</w:t>
      </w:r>
      <w:r w:rsidRPr="00282AC9">
        <w:rPr>
          <w:rFonts w:cs="DanaFajr" w:hint="cs"/>
          <w:sz w:val="28"/>
          <w:szCs w:val="28"/>
          <w:rtl/>
        </w:rPr>
        <w:t>.</w:t>
      </w:r>
    </w:p>
  </w:endnote>
  <w:endnote w:id="633">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hint="eastAsia"/>
          <w:sz w:val="22"/>
          <w:szCs w:val="22"/>
          <w:rtl/>
        </w:rPr>
        <w:t>«</w:t>
      </w:r>
      <w:r w:rsidRPr="00282AC9">
        <w:rPr>
          <w:rFonts w:cs="DanaFajr" w:hint="cs"/>
          <w:sz w:val="28"/>
          <w:szCs w:val="28"/>
          <w:rtl/>
        </w:rPr>
        <w:t>إن جوهر المولوية معناه حقّ الطاعة، الذي هو من مدركات العقل العملي</w:t>
      </w:r>
      <w:r w:rsidRPr="00282AC9">
        <w:rPr>
          <w:rFonts w:hint="eastAsia"/>
          <w:sz w:val="22"/>
          <w:szCs w:val="22"/>
          <w:rtl/>
        </w:rPr>
        <w:t>»</w:t>
      </w:r>
      <w:r w:rsidRPr="00282AC9">
        <w:rPr>
          <w:rFonts w:cs="DanaFajr" w:hint="cs"/>
          <w:sz w:val="28"/>
          <w:szCs w:val="28"/>
          <w:rtl/>
        </w:rPr>
        <w:t>. انظر</w:t>
      </w:r>
      <w:r w:rsidRPr="00282AC9">
        <w:rPr>
          <w:rFonts w:cs="DanaFajr"/>
          <w:sz w:val="28"/>
          <w:szCs w:val="28"/>
          <w:rtl/>
        </w:rPr>
        <w:t xml:space="preserve">: </w:t>
      </w:r>
      <w:r w:rsidRPr="00282AC9">
        <w:rPr>
          <w:rFonts w:cs="DanaFajr" w:hint="cs"/>
          <w:sz w:val="28"/>
          <w:szCs w:val="28"/>
          <w:rtl/>
        </w:rPr>
        <w:t>الشيخ حسن عبد الساتر</w:t>
      </w:r>
      <w:r w:rsidRPr="00282AC9">
        <w:rPr>
          <w:rFonts w:cs="DanaFajr"/>
          <w:sz w:val="28"/>
          <w:szCs w:val="28"/>
          <w:rtl/>
        </w:rPr>
        <w:t xml:space="preserve">، بحوث في علم الأصول </w:t>
      </w:r>
      <w:r w:rsidRPr="00282AC9">
        <w:rPr>
          <w:rFonts w:cs="DanaFajr" w:hint="cs"/>
          <w:sz w:val="28"/>
          <w:szCs w:val="28"/>
          <w:rtl/>
        </w:rPr>
        <w:t>(تقريراً لأبحاث السيد الشهيد</w:t>
      </w:r>
      <w:r w:rsidRPr="00282AC9">
        <w:rPr>
          <w:rFonts w:cs="DanaFajr"/>
          <w:sz w:val="28"/>
          <w:szCs w:val="28"/>
          <w:rtl/>
        </w:rPr>
        <w:t xml:space="preserve"> محمد باقر الصدر</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9: 10.</w:t>
      </w:r>
    </w:p>
  </w:endnote>
  <w:endnote w:id="634">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السيد محمود الهاشمي الشاهرودي</w:t>
      </w:r>
      <w:r w:rsidRPr="00282AC9">
        <w:rPr>
          <w:rFonts w:cs="DanaFajr"/>
          <w:sz w:val="28"/>
          <w:szCs w:val="28"/>
          <w:rtl/>
        </w:rPr>
        <w:t>،</w:t>
      </w:r>
      <w:r w:rsidRPr="00282AC9">
        <w:rPr>
          <w:rFonts w:cs="DanaFajr" w:hint="cs"/>
          <w:sz w:val="28"/>
          <w:szCs w:val="28"/>
          <w:rtl/>
        </w:rPr>
        <w:t xml:space="preserve"> بحوث في علم الأصول (تقريراً لأبحاث السيد الشهيد</w:t>
      </w:r>
      <w:r w:rsidRPr="00282AC9">
        <w:rPr>
          <w:rFonts w:cs="DanaFajr"/>
          <w:sz w:val="28"/>
          <w:szCs w:val="28"/>
          <w:rtl/>
        </w:rPr>
        <w:t xml:space="preserve"> محمد باقر الصدر</w:t>
      </w:r>
      <w:r w:rsidRPr="00282AC9">
        <w:rPr>
          <w:rFonts w:cs="DanaFajr" w:hint="cs"/>
          <w:sz w:val="28"/>
          <w:szCs w:val="28"/>
          <w:rtl/>
        </w:rPr>
        <w:t>)</w:t>
      </w:r>
      <w:r w:rsidRPr="00282AC9">
        <w:rPr>
          <w:rFonts w:cs="DanaFajr"/>
          <w:sz w:val="28"/>
          <w:szCs w:val="28"/>
          <w:rtl/>
        </w:rPr>
        <w:t xml:space="preserve"> 4: </w:t>
      </w:r>
      <w:r w:rsidRPr="00282AC9">
        <w:rPr>
          <w:rFonts w:cs="DanaFajr" w:hint="cs"/>
          <w:sz w:val="28"/>
          <w:szCs w:val="28"/>
          <w:rtl/>
        </w:rPr>
        <w:t>30.</w:t>
      </w:r>
    </w:p>
  </w:endnote>
  <w:endnote w:id="635">
    <w:p w:rsidR="00C14EDE" w:rsidRPr="00282AC9" w:rsidRDefault="00C14EDE" w:rsidP="00E40C58">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انظر: </w:t>
      </w:r>
      <w:r w:rsidRPr="00282AC9">
        <w:rPr>
          <w:rFonts w:cs="DanaFajr" w:hint="cs"/>
          <w:sz w:val="28"/>
          <w:szCs w:val="28"/>
          <w:rtl/>
        </w:rPr>
        <w:t>المصدر السابق</w:t>
      </w:r>
      <w:r w:rsidRPr="00282AC9">
        <w:rPr>
          <w:rFonts w:cs="DanaFajr"/>
          <w:sz w:val="28"/>
          <w:szCs w:val="28"/>
          <w:rtl/>
        </w:rPr>
        <w:t xml:space="preserve"> </w:t>
      </w:r>
      <w:r w:rsidRPr="00282AC9">
        <w:rPr>
          <w:rFonts w:cs="DanaFajr" w:hint="cs"/>
          <w:sz w:val="28"/>
          <w:szCs w:val="28"/>
          <w:rtl/>
        </w:rPr>
        <w:t>5</w:t>
      </w:r>
      <w:r w:rsidRPr="00282AC9">
        <w:rPr>
          <w:rFonts w:cs="DanaFajr"/>
          <w:sz w:val="28"/>
          <w:szCs w:val="28"/>
          <w:rtl/>
        </w:rPr>
        <w:t xml:space="preserve">: </w:t>
      </w:r>
      <w:r w:rsidRPr="00282AC9">
        <w:rPr>
          <w:rFonts w:cs="DanaFajr" w:hint="cs"/>
          <w:sz w:val="28"/>
          <w:szCs w:val="28"/>
          <w:rtl/>
        </w:rPr>
        <w:t>24.</w:t>
      </w:r>
    </w:p>
  </w:endnote>
  <w:endnote w:id="636">
    <w:p w:rsidR="00C14EDE" w:rsidRPr="00282AC9" w:rsidRDefault="00C14EDE" w:rsidP="00887323">
      <w:pPr>
        <w:spacing w:line="296" w:lineRule="exact"/>
        <w:ind w:firstLine="0"/>
        <w:rPr>
          <w:rFonts w:cs="DanaFajr"/>
          <w:rtl/>
        </w:rPr>
      </w:pPr>
      <w:r w:rsidRPr="00282AC9">
        <w:rPr>
          <w:rFonts w:cs="DanaFajr"/>
          <w:rtl/>
        </w:rPr>
        <w:t>(</w:t>
      </w:r>
      <w:r w:rsidRPr="00282AC9">
        <w:rPr>
          <w:rFonts w:cs="DanaFajr"/>
          <w:rtl/>
        </w:rPr>
        <w:endnoteRef/>
      </w:r>
      <w:r w:rsidRPr="00282AC9">
        <w:rPr>
          <w:rFonts w:cs="DanaFajr"/>
          <w:rtl/>
        </w:rPr>
        <w:t>)</w:t>
      </w:r>
      <w:r w:rsidRPr="00282AC9">
        <w:rPr>
          <w:rFonts w:cs="DanaFajr" w:hint="cs"/>
          <w:rtl/>
        </w:rPr>
        <w:t xml:space="preserve"> أتوجَّه بالشكر الجزيل إلى شيخنا الأستاذ الدكتور حيدر حبّ الله؛ حيث استفدنا من دروسه الصوتية وإرشاداته في كتابة هذا المقال.</w:t>
      </w:r>
    </w:p>
  </w:endnote>
  <w:endnote w:id="637">
    <w:p w:rsidR="00C14EDE" w:rsidRPr="00282AC9" w:rsidRDefault="00C14EDE" w:rsidP="00887323">
      <w:pPr>
        <w:pStyle w:val="af7"/>
        <w:spacing w:line="296" w:lineRule="exact"/>
        <w:ind w:firstLine="0"/>
        <w:rPr>
          <w:rFonts w:cs="DanaFajr"/>
          <w:sz w:val="28"/>
          <w:szCs w:val="28"/>
        </w:rPr>
      </w:pPr>
      <w:r w:rsidRPr="00282AC9">
        <w:rPr>
          <w:rFonts w:cs="DanaFajr" w:hint="cs"/>
          <w:sz w:val="28"/>
          <w:szCs w:val="28"/>
          <w:rtl/>
        </w:rPr>
        <w:t>(</w:t>
      </w:r>
      <w:r w:rsidRPr="00282AC9">
        <w:rPr>
          <w:rFonts w:cs="DanaFajr"/>
          <w:sz w:val="28"/>
          <w:szCs w:val="28"/>
        </w:rPr>
        <w:endnoteRef/>
      </w:r>
      <w:r w:rsidRPr="00282AC9">
        <w:rPr>
          <w:rFonts w:cs="DanaFajr" w:hint="cs"/>
          <w:sz w:val="28"/>
          <w:szCs w:val="28"/>
          <w:rtl/>
        </w:rPr>
        <w:t xml:space="preserve">) </w:t>
      </w:r>
      <w:r w:rsidRPr="00282AC9">
        <w:rPr>
          <w:rFonts w:cs="DanaFajr" w:hint="cs"/>
          <w:sz w:val="28"/>
          <w:szCs w:val="28"/>
          <w:rtl/>
          <w:lang w:bidi="fa-IR"/>
        </w:rPr>
        <w:t xml:space="preserve">انظر: النهاية في مجرّد الفقه والفتاوى: </w:t>
      </w:r>
      <w:r w:rsidRPr="00282AC9">
        <w:rPr>
          <w:rFonts w:cs="DanaFajr" w:hint="cs"/>
          <w:sz w:val="28"/>
          <w:szCs w:val="28"/>
          <w:rtl/>
        </w:rPr>
        <w:t>46</w:t>
      </w:r>
      <w:r w:rsidRPr="00282AC9">
        <w:rPr>
          <w:rFonts w:cs="DanaFajr" w:hint="cs"/>
          <w:sz w:val="28"/>
          <w:szCs w:val="28"/>
          <w:rtl/>
          <w:lang w:bidi="fa-IR"/>
        </w:rPr>
        <w:t xml:space="preserve">3؛ المختصر النافع في فقه الإمامية </w:t>
      </w:r>
      <w:r w:rsidRPr="00282AC9">
        <w:rPr>
          <w:rFonts w:ascii="Sakkal Majalla" w:hAnsi="Sakkal Majalla" w:cs="DanaFajr" w:hint="cs"/>
          <w:sz w:val="28"/>
          <w:szCs w:val="28"/>
          <w:rtl/>
          <w:lang w:bidi="fa-IR"/>
        </w:rPr>
        <w:t>‌</w:t>
      </w:r>
      <w:r w:rsidRPr="00282AC9">
        <w:rPr>
          <w:rFonts w:cs="DanaFajr" w:hint="cs"/>
          <w:sz w:val="28"/>
          <w:szCs w:val="28"/>
          <w:rtl/>
          <w:lang w:bidi="fa-IR"/>
        </w:rPr>
        <w:t xml:space="preserve">1: 171؛ </w:t>
      </w:r>
      <w:r w:rsidRPr="00282AC9">
        <w:rPr>
          <w:rFonts w:cs="DanaFajr"/>
          <w:sz w:val="28"/>
          <w:szCs w:val="28"/>
          <w:rtl/>
          <w:lang w:bidi="fa-IR"/>
        </w:rPr>
        <w:t>نزهة الناظر في الجمع بين الأشباه والنظائر: 98</w:t>
      </w:r>
      <w:r w:rsidRPr="00282AC9">
        <w:rPr>
          <w:rFonts w:cs="DanaFajr" w:hint="cs"/>
          <w:sz w:val="28"/>
          <w:szCs w:val="28"/>
          <w:rtl/>
          <w:lang w:bidi="fa-IR"/>
        </w:rPr>
        <w:t xml:space="preserve">؛ </w:t>
      </w:r>
      <w:r w:rsidRPr="00282AC9">
        <w:rPr>
          <w:rFonts w:cs="DanaFajr"/>
          <w:sz w:val="28"/>
          <w:szCs w:val="28"/>
          <w:rtl/>
          <w:lang w:bidi="fa-IR"/>
        </w:rPr>
        <w:t>تبصرة المتعل</w:t>
      </w:r>
      <w:r w:rsidRPr="00282AC9">
        <w:rPr>
          <w:rFonts w:cs="DanaFajr" w:hint="cs"/>
          <w:sz w:val="28"/>
          <w:szCs w:val="28"/>
          <w:rtl/>
          <w:lang w:bidi="fa-IR"/>
        </w:rPr>
        <w:t>ِّ</w:t>
      </w:r>
      <w:r w:rsidRPr="00282AC9">
        <w:rPr>
          <w:rFonts w:cs="DanaFajr"/>
          <w:sz w:val="28"/>
          <w:szCs w:val="28"/>
          <w:rtl/>
          <w:lang w:bidi="fa-IR"/>
        </w:rPr>
        <w:t>مين في أحكام الدين: 133</w:t>
      </w:r>
      <w:r w:rsidRPr="00282AC9">
        <w:rPr>
          <w:rFonts w:cs="DanaFajr" w:hint="cs"/>
          <w:sz w:val="28"/>
          <w:szCs w:val="28"/>
          <w:rtl/>
          <w:lang w:bidi="fa-IR"/>
        </w:rPr>
        <w:t xml:space="preserve">؛ </w:t>
      </w:r>
      <w:r w:rsidRPr="00282AC9">
        <w:rPr>
          <w:rFonts w:cs="DanaFajr"/>
          <w:sz w:val="28"/>
          <w:szCs w:val="28"/>
          <w:rtl/>
          <w:lang w:bidi="fa-IR"/>
        </w:rPr>
        <w:t xml:space="preserve">القواعد والفوائد </w:t>
      </w:r>
      <w:r w:rsidRPr="00282AC9">
        <w:rPr>
          <w:rFonts w:ascii="Sakkal Majalla" w:hAnsi="Sakkal Majalla" w:cs="DanaFajr" w:hint="cs"/>
          <w:sz w:val="28"/>
          <w:szCs w:val="28"/>
          <w:rtl/>
          <w:lang w:bidi="fa-IR"/>
        </w:rPr>
        <w:t>‌</w:t>
      </w:r>
      <w:r w:rsidRPr="00282AC9">
        <w:rPr>
          <w:rFonts w:cs="DanaFajr"/>
          <w:sz w:val="28"/>
          <w:szCs w:val="28"/>
          <w:rtl/>
          <w:lang w:bidi="fa-IR"/>
        </w:rPr>
        <w:t>1</w:t>
      </w:r>
      <w:r w:rsidRPr="00282AC9">
        <w:rPr>
          <w:rFonts w:cs="DanaFajr" w:hint="cs"/>
          <w:sz w:val="28"/>
          <w:szCs w:val="28"/>
          <w:rtl/>
          <w:lang w:bidi="fa-IR"/>
        </w:rPr>
        <w:t xml:space="preserve">: </w:t>
      </w:r>
      <w:r w:rsidRPr="00282AC9">
        <w:rPr>
          <w:rFonts w:cs="DanaFajr"/>
          <w:sz w:val="28"/>
          <w:szCs w:val="28"/>
          <w:rtl/>
          <w:lang w:bidi="fa-IR"/>
        </w:rPr>
        <w:t>381</w:t>
      </w:r>
      <w:r w:rsidRPr="00282AC9">
        <w:rPr>
          <w:rFonts w:cs="DanaFajr" w:hint="cs"/>
          <w:sz w:val="28"/>
          <w:szCs w:val="28"/>
          <w:rtl/>
          <w:lang w:bidi="fa-IR"/>
        </w:rPr>
        <w:t xml:space="preserve">؛ مسالك الأفهام إلى تنقيح شرائع الإسلام </w:t>
      </w:r>
      <w:r w:rsidRPr="00282AC9">
        <w:rPr>
          <w:rFonts w:ascii="Sakkal Majalla" w:hAnsi="Sakkal Majalla" w:cs="DanaFajr" w:hint="cs"/>
          <w:sz w:val="28"/>
          <w:szCs w:val="28"/>
          <w:rtl/>
          <w:lang w:bidi="fa-IR"/>
        </w:rPr>
        <w:t>‌</w:t>
      </w:r>
      <w:r w:rsidRPr="00282AC9">
        <w:rPr>
          <w:rFonts w:cs="DanaFajr" w:hint="cs"/>
          <w:sz w:val="28"/>
          <w:szCs w:val="28"/>
          <w:rtl/>
          <w:lang w:bidi="fa-IR"/>
        </w:rPr>
        <w:t>7: 1</w:t>
      </w:r>
      <w:r w:rsidRPr="00282AC9">
        <w:rPr>
          <w:rFonts w:cs="DanaFajr" w:hint="cs"/>
          <w:sz w:val="28"/>
          <w:szCs w:val="28"/>
          <w:rtl/>
        </w:rPr>
        <w:t>5</w:t>
      </w:r>
      <w:r w:rsidRPr="00282AC9">
        <w:rPr>
          <w:rFonts w:cs="DanaFajr" w:hint="cs"/>
          <w:sz w:val="28"/>
          <w:szCs w:val="28"/>
          <w:rtl/>
          <w:lang w:bidi="fa-IR"/>
        </w:rPr>
        <w:t xml:space="preserve">؛ والعروة الوثقى (للسيد اليزدي) </w:t>
      </w:r>
      <w:r w:rsidRPr="00282AC9">
        <w:rPr>
          <w:rFonts w:ascii="Sakkal Majalla" w:hAnsi="Sakkal Majalla" w:cs="DanaFajr" w:hint="cs"/>
          <w:sz w:val="28"/>
          <w:szCs w:val="28"/>
          <w:rtl/>
          <w:lang w:bidi="fa-IR"/>
        </w:rPr>
        <w:t>‌</w:t>
      </w:r>
      <w:r w:rsidRPr="00282AC9">
        <w:rPr>
          <w:rFonts w:cs="DanaFajr" w:hint="cs"/>
          <w:sz w:val="28"/>
          <w:szCs w:val="28"/>
          <w:rtl/>
          <w:lang w:bidi="fa-IR"/>
        </w:rPr>
        <w:t xml:space="preserve">2: 799؛ </w:t>
      </w:r>
      <w:r w:rsidRPr="00282AC9">
        <w:rPr>
          <w:rFonts w:cs="DanaFajr"/>
          <w:sz w:val="28"/>
          <w:szCs w:val="28"/>
          <w:rtl/>
          <w:lang w:bidi="fa-IR"/>
        </w:rPr>
        <w:t xml:space="preserve">منهاج الصالحين (للخوئي) </w:t>
      </w:r>
      <w:r w:rsidRPr="00282AC9">
        <w:rPr>
          <w:rFonts w:ascii="Sakkal Majalla" w:hAnsi="Sakkal Majalla" w:cs="DanaFajr" w:hint="cs"/>
          <w:sz w:val="28"/>
          <w:szCs w:val="28"/>
          <w:rtl/>
          <w:lang w:bidi="fa-IR"/>
        </w:rPr>
        <w:t>‌</w:t>
      </w:r>
      <w:r w:rsidRPr="00282AC9">
        <w:rPr>
          <w:rFonts w:cs="DanaFajr"/>
          <w:sz w:val="28"/>
          <w:szCs w:val="28"/>
          <w:rtl/>
          <w:lang w:bidi="fa-IR"/>
        </w:rPr>
        <w:t>2</w:t>
      </w:r>
      <w:r w:rsidRPr="00282AC9">
        <w:rPr>
          <w:rFonts w:cs="DanaFajr" w:hint="cs"/>
          <w:sz w:val="28"/>
          <w:szCs w:val="28"/>
          <w:rtl/>
          <w:lang w:bidi="fa-IR"/>
        </w:rPr>
        <w:t xml:space="preserve">: </w:t>
      </w:r>
      <w:r w:rsidRPr="00282AC9">
        <w:rPr>
          <w:rFonts w:cs="DanaFajr"/>
          <w:sz w:val="28"/>
          <w:szCs w:val="28"/>
          <w:rtl/>
          <w:lang w:bidi="fa-IR"/>
        </w:rPr>
        <w:t>2</w:t>
      </w:r>
      <w:r w:rsidRPr="00282AC9">
        <w:rPr>
          <w:rFonts w:cs="DanaFajr" w:hint="cs"/>
          <w:sz w:val="28"/>
          <w:szCs w:val="28"/>
          <w:rtl/>
        </w:rPr>
        <w:t>5</w:t>
      </w:r>
      <w:r w:rsidRPr="00282AC9">
        <w:rPr>
          <w:rFonts w:cs="DanaFajr"/>
          <w:sz w:val="28"/>
          <w:szCs w:val="28"/>
          <w:rtl/>
          <w:lang w:bidi="fa-IR"/>
        </w:rPr>
        <w:t>9</w:t>
      </w:r>
      <w:r w:rsidRPr="00282AC9">
        <w:rPr>
          <w:rFonts w:cs="DanaFajr" w:hint="cs"/>
          <w:sz w:val="28"/>
          <w:szCs w:val="28"/>
          <w:rtl/>
          <w:lang w:bidi="fa-IR"/>
        </w:rPr>
        <w:t xml:space="preserve">؛ </w:t>
      </w:r>
      <w:r w:rsidRPr="00282AC9">
        <w:rPr>
          <w:rFonts w:cs="DanaFajr"/>
          <w:sz w:val="28"/>
          <w:szCs w:val="28"/>
          <w:rtl/>
          <w:lang w:bidi="fa-IR"/>
        </w:rPr>
        <w:t xml:space="preserve">منهاج الصالحين (للتبريزي) </w:t>
      </w:r>
      <w:r w:rsidRPr="00282AC9">
        <w:rPr>
          <w:rFonts w:ascii="Sakkal Majalla" w:hAnsi="Sakkal Majalla" w:cs="DanaFajr" w:hint="cs"/>
          <w:sz w:val="28"/>
          <w:szCs w:val="28"/>
          <w:rtl/>
          <w:lang w:bidi="fa-IR"/>
        </w:rPr>
        <w:t>‌</w:t>
      </w:r>
      <w:r w:rsidRPr="00282AC9">
        <w:rPr>
          <w:rFonts w:cs="DanaFajr"/>
          <w:sz w:val="28"/>
          <w:szCs w:val="28"/>
          <w:rtl/>
          <w:lang w:bidi="fa-IR"/>
        </w:rPr>
        <w:t>2</w:t>
      </w:r>
      <w:r w:rsidRPr="00282AC9">
        <w:rPr>
          <w:rFonts w:cs="DanaFajr" w:hint="cs"/>
          <w:sz w:val="28"/>
          <w:szCs w:val="28"/>
          <w:rtl/>
          <w:lang w:bidi="fa-IR"/>
        </w:rPr>
        <w:t xml:space="preserve">: </w:t>
      </w:r>
      <w:r w:rsidRPr="00282AC9">
        <w:rPr>
          <w:rFonts w:cs="DanaFajr"/>
          <w:sz w:val="28"/>
          <w:szCs w:val="28"/>
          <w:rtl/>
          <w:lang w:bidi="fa-IR"/>
        </w:rPr>
        <w:t>332</w:t>
      </w:r>
      <w:r w:rsidRPr="00282AC9">
        <w:rPr>
          <w:rFonts w:cs="DanaFajr" w:hint="cs"/>
          <w:sz w:val="28"/>
          <w:szCs w:val="28"/>
          <w:rtl/>
          <w:lang w:bidi="fa-IR"/>
        </w:rPr>
        <w:t xml:space="preserve">؛ </w:t>
      </w:r>
      <w:r w:rsidRPr="00282AC9">
        <w:rPr>
          <w:rFonts w:cs="DanaFajr"/>
          <w:sz w:val="28"/>
          <w:szCs w:val="28"/>
          <w:rtl/>
          <w:lang w:bidi="fa-IR"/>
        </w:rPr>
        <w:t>منهاج الصالحين (للوحيد</w:t>
      </w:r>
      <w:r w:rsidRPr="00282AC9">
        <w:rPr>
          <w:rFonts w:cs="DanaFajr" w:hint="cs"/>
          <w:sz w:val="28"/>
          <w:szCs w:val="28"/>
          <w:rtl/>
          <w:lang w:bidi="fa-IR"/>
        </w:rPr>
        <w:t xml:space="preserve"> الخراساني</w:t>
      </w:r>
      <w:r w:rsidRPr="00282AC9">
        <w:rPr>
          <w:rFonts w:cs="DanaFajr"/>
          <w:sz w:val="28"/>
          <w:szCs w:val="28"/>
          <w:rtl/>
          <w:lang w:bidi="fa-IR"/>
        </w:rPr>
        <w:t xml:space="preserve">) </w:t>
      </w:r>
      <w:r w:rsidRPr="00282AC9">
        <w:rPr>
          <w:rFonts w:ascii="Sakkal Majalla" w:hAnsi="Sakkal Majalla" w:cs="DanaFajr" w:hint="cs"/>
          <w:sz w:val="28"/>
          <w:szCs w:val="28"/>
          <w:rtl/>
          <w:lang w:bidi="fa-IR"/>
        </w:rPr>
        <w:t>‌</w:t>
      </w:r>
      <w:r w:rsidRPr="00282AC9">
        <w:rPr>
          <w:rFonts w:cs="DanaFajr"/>
          <w:sz w:val="28"/>
          <w:szCs w:val="28"/>
          <w:rtl/>
          <w:lang w:bidi="fa-IR"/>
        </w:rPr>
        <w:t>3</w:t>
      </w:r>
      <w:r w:rsidRPr="00282AC9">
        <w:rPr>
          <w:rFonts w:cs="DanaFajr" w:hint="cs"/>
          <w:sz w:val="28"/>
          <w:szCs w:val="28"/>
          <w:rtl/>
          <w:lang w:bidi="fa-IR"/>
        </w:rPr>
        <w:t xml:space="preserve">: </w:t>
      </w:r>
      <w:r w:rsidRPr="00282AC9">
        <w:rPr>
          <w:rFonts w:cs="DanaFajr"/>
          <w:sz w:val="28"/>
          <w:szCs w:val="28"/>
          <w:rtl/>
          <w:lang w:bidi="fa-IR"/>
        </w:rPr>
        <w:t>29</w:t>
      </w:r>
      <w:r w:rsidRPr="00282AC9">
        <w:rPr>
          <w:rFonts w:cs="DanaFajr" w:hint="cs"/>
          <w:sz w:val="28"/>
          <w:szCs w:val="28"/>
          <w:rtl/>
        </w:rPr>
        <w:t>4</w:t>
      </w:r>
      <w:r w:rsidRPr="00282AC9">
        <w:rPr>
          <w:rFonts w:cs="DanaFajr" w:hint="cs"/>
          <w:sz w:val="28"/>
          <w:szCs w:val="28"/>
          <w:rtl/>
          <w:lang w:bidi="fa-IR"/>
        </w:rPr>
        <w:t>؛ وغيرها من الکتب.</w:t>
      </w:r>
    </w:p>
  </w:endnote>
  <w:endnote w:id="638">
    <w:p w:rsidR="00C14EDE" w:rsidRPr="00282AC9" w:rsidRDefault="00C14EDE" w:rsidP="00887323">
      <w:pPr>
        <w:pStyle w:val="af7"/>
        <w:spacing w:line="296" w:lineRule="exact"/>
        <w:ind w:firstLine="0"/>
        <w:rPr>
          <w:rFonts w:cs="DanaFajr"/>
          <w:sz w:val="28"/>
          <w:szCs w:val="28"/>
        </w:rPr>
      </w:pPr>
      <w:r w:rsidRPr="00282AC9">
        <w:rPr>
          <w:rFonts w:cs="DanaFajr" w:hint="cs"/>
          <w:sz w:val="28"/>
          <w:szCs w:val="28"/>
          <w:rtl/>
        </w:rPr>
        <w:t>(</w:t>
      </w:r>
      <w:r w:rsidRPr="00282AC9">
        <w:rPr>
          <w:rFonts w:cs="DanaFajr"/>
          <w:sz w:val="28"/>
          <w:szCs w:val="28"/>
        </w:rPr>
        <w:endnoteRef/>
      </w:r>
      <w:r w:rsidRPr="00282AC9">
        <w:rPr>
          <w:rFonts w:cs="DanaFajr" w:hint="cs"/>
          <w:sz w:val="28"/>
          <w:szCs w:val="28"/>
          <w:rtl/>
        </w:rPr>
        <w:t xml:space="preserve">) </w:t>
      </w:r>
      <w:r w:rsidRPr="00282AC9">
        <w:rPr>
          <w:rFonts w:cs="DanaFajr" w:hint="cs"/>
          <w:sz w:val="28"/>
          <w:szCs w:val="28"/>
          <w:rtl/>
          <w:lang w:bidi="fa-IR"/>
        </w:rPr>
        <w:t xml:space="preserve">انظر: </w:t>
      </w:r>
      <w:r w:rsidRPr="00282AC9">
        <w:rPr>
          <w:rFonts w:cs="DanaFajr"/>
          <w:sz w:val="28"/>
          <w:szCs w:val="28"/>
          <w:rtl/>
          <w:lang w:bidi="fa-IR"/>
        </w:rPr>
        <w:t>النهاية في مجر</w:t>
      </w:r>
      <w:r w:rsidRPr="00282AC9">
        <w:rPr>
          <w:rFonts w:cs="DanaFajr" w:hint="cs"/>
          <w:sz w:val="28"/>
          <w:szCs w:val="28"/>
          <w:rtl/>
          <w:lang w:bidi="fa-IR"/>
        </w:rPr>
        <w:t>ّ</w:t>
      </w:r>
      <w:r w:rsidRPr="00282AC9">
        <w:rPr>
          <w:rFonts w:cs="DanaFajr"/>
          <w:sz w:val="28"/>
          <w:szCs w:val="28"/>
          <w:rtl/>
          <w:lang w:bidi="fa-IR"/>
        </w:rPr>
        <w:t xml:space="preserve">د الفقه والفتاوى: </w:t>
      </w:r>
      <w:r w:rsidRPr="00282AC9">
        <w:rPr>
          <w:rFonts w:cs="DanaFajr" w:hint="cs"/>
          <w:sz w:val="28"/>
          <w:szCs w:val="28"/>
          <w:rtl/>
        </w:rPr>
        <w:t>46</w:t>
      </w:r>
      <w:r w:rsidRPr="00282AC9">
        <w:rPr>
          <w:rFonts w:cs="DanaFajr"/>
          <w:sz w:val="28"/>
          <w:szCs w:val="28"/>
          <w:rtl/>
          <w:lang w:bidi="fa-IR"/>
        </w:rPr>
        <w:t>3</w:t>
      </w:r>
      <w:r w:rsidRPr="00282AC9">
        <w:rPr>
          <w:rFonts w:cs="DanaFajr" w:hint="cs"/>
          <w:sz w:val="28"/>
          <w:szCs w:val="28"/>
          <w:rtl/>
          <w:lang w:bidi="fa-IR"/>
        </w:rPr>
        <w:t xml:space="preserve">؛ </w:t>
      </w:r>
      <w:r w:rsidRPr="00282AC9">
        <w:rPr>
          <w:rFonts w:cs="DanaFajr"/>
          <w:sz w:val="28"/>
          <w:szCs w:val="28"/>
          <w:rtl/>
          <w:lang w:bidi="fa-IR"/>
        </w:rPr>
        <w:t>شرائع الإسلام في مسائل الحلال والحرام</w:t>
      </w:r>
      <w:r w:rsidRPr="00282AC9">
        <w:rPr>
          <w:rFonts w:cs="DanaFajr" w:hint="cs"/>
          <w:sz w:val="28"/>
          <w:szCs w:val="28"/>
          <w:rtl/>
          <w:lang w:bidi="fa-IR"/>
        </w:rPr>
        <w:t xml:space="preserve"> </w:t>
      </w:r>
      <w:r w:rsidRPr="00282AC9">
        <w:rPr>
          <w:rFonts w:ascii="Sakkal Majalla" w:hAnsi="Sakkal Majalla" w:cs="DanaFajr" w:hint="cs"/>
          <w:sz w:val="28"/>
          <w:szCs w:val="28"/>
          <w:rtl/>
          <w:lang w:bidi="fa-IR"/>
        </w:rPr>
        <w:t>‌</w:t>
      </w:r>
      <w:r w:rsidRPr="00282AC9">
        <w:rPr>
          <w:rFonts w:cs="DanaFajr"/>
          <w:sz w:val="28"/>
          <w:szCs w:val="28"/>
          <w:rtl/>
          <w:lang w:bidi="fa-IR"/>
        </w:rPr>
        <w:t>2</w:t>
      </w:r>
      <w:r w:rsidRPr="00282AC9">
        <w:rPr>
          <w:rFonts w:cs="DanaFajr" w:hint="cs"/>
          <w:sz w:val="28"/>
          <w:szCs w:val="28"/>
          <w:rtl/>
          <w:lang w:bidi="fa-IR"/>
        </w:rPr>
        <w:t xml:space="preserve">: </w:t>
      </w:r>
      <w:r w:rsidRPr="00282AC9">
        <w:rPr>
          <w:rFonts w:cs="DanaFajr"/>
          <w:sz w:val="28"/>
          <w:szCs w:val="28"/>
          <w:rtl/>
          <w:lang w:bidi="fa-IR"/>
        </w:rPr>
        <w:t>211</w:t>
      </w:r>
      <w:r w:rsidRPr="00282AC9">
        <w:rPr>
          <w:rFonts w:ascii="Sakkal Majalla" w:hAnsi="Sakkal Majalla" w:cs="DanaFajr" w:hint="cs"/>
          <w:sz w:val="28"/>
          <w:szCs w:val="28"/>
          <w:rtl/>
          <w:lang w:bidi="fa-IR"/>
        </w:rPr>
        <w:t>‌</w:t>
      </w:r>
      <w:r w:rsidRPr="00282AC9">
        <w:rPr>
          <w:rFonts w:cs="DanaFajr" w:hint="cs"/>
          <w:sz w:val="28"/>
          <w:szCs w:val="28"/>
          <w:rtl/>
          <w:lang w:bidi="fa-IR"/>
        </w:rPr>
        <w:t xml:space="preserve">؛ </w:t>
      </w:r>
      <w:r w:rsidRPr="00282AC9">
        <w:rPr>
          <w:rFonts w:cs="DanaFajr"/>
          <w:sz w:val="28"/>
          <w:szCs w:val="28"/>
          <w:rtl/>
          <w:lang w:bidi="fa-IR"/>
        </w:rPr>
        <w:t xml:space="preserve">السرائر الحاوي لتحرير الفتاوى </w:t>
      </w:r>
      <w:r w:rsidRPr="00282AC9">
        <w:rPr>
          <w:rFonts w:ascii="Sakkal Majalla" w:hAnsi="Sakkal Majalla" w:cs="DanaFajr" w:hint="cs"/>
          <w:sz w:val="28"/>
          <w:szCs w:val="28"/>
          <w:rtl/>
          <w:lang w:bidi="fa-IR"/>
        </w:rPr>
        <w:t>‌</w:t>
      </w:r>
      <w:r w:rsidRPr="00282AC9">
        <w:rPr>
          <w:rFonts w:cs="DanaFajr"/>
          <w:sz w:val="28"/>
          <w:szCs w:val="28"/>
          <w:rtl/>
          <w:lang w:bidi="fa-IR"/>
        </w:rPr>
        <w:t>2</w:t>
      </w:r>
      <w:r w:rsidRPr="00282AC9">
        <w:rPr>
          <w:rFonts w:cs="DanaFajr" w:hint="cs"/>
          <w:sz w:val="28"/>
          <w:szCs w:val="28"/>
          <w:rtl/>
          <w:lang w:bidi="fa-IR"/>
        </w:rPr>
        <w:t xml:space="preserve">: </w:t>
      </w:r>
      <w:r w:rsidRPr="00282AC9">
        <w:rPr>
          <w:rFonts w:cs="DanaFajr" w:hint="cs"/>
          <w:sz w:val="28"/>
          <w:szCs w:val="28"/>
          <w:rtl/>
        </w:rPr>
        <w:t>56</w:t>
      </w:r>
      <w:r w:rsidRPr="00282AC9">
        <w:rPr>
          <w:rFonts w:cs="DanaFajr"/>
          <w:sz w:val="28"/>
          <w:szCs w:val="28"/>
          <w:rtl/>
          <w:lang w:bidi="fa-IR"/>
        </w:rPr>
        <w:t>0</w:t>
      </w:r>
      <w:r w:rsidRPr="00282AC9">
        <w:rPr>
          <w:rFonts w:cs="DanaFajr" w:hint="cs"/>
          <w:sz w:val="28"/>
          <w:szCs w:val="28"/>
          <w:rtl/>
          <w:lang w:bidi="fa-IR"/>
        </w:rPr>
        <w:t xml:space="preserve">؛ </w:t>
      </w:r>
      <w:r w:rsidRPr="00282AC9">
        <w:rPr>
          <w:rFonts w:cs="DanaFajr"/>
          <w:sz w:val="28"/>
          <w:szCs w:val="28"/>
          <w:rtl/>
          <w:lang w:bidi="fa-IR"/>
        </w:rPr>
        <w:t xml:space="preserve">إرشاد الأذهان إلى أحكام الإيمان </w:t>
      </w:r>
      <w:r w:rsidRPr="00282AC9">
        <w:rPr>
          <w:rFonts w:ascii="Sakkal Majalla" w:hAnsi="Sakkal Majalla" w:cs="DanaFajr" w:hint="cs"/>
          <w:sz w:val="28"/>
          <w:szCs w:val="28"/>
          <w:rtl/>
          <w:lang w:bidi="fa-IR"/>
        </w:rPr>
        <w:t>‌</w:t>
      </w:r>
      <w:r w:rsidRPr="00282AC9">
        <w:rPr>
          <w:rFonts w:cs="DanaFajr"/>
          <w:sz w:val="28"/>
          <w:szCs w:val="28"/>
          <w:rtl/>
          <w:lang w:bidi="fa-IR"/>
        </w:rPr>
        <w:t>2</w:t>
      </w:r>
      <w:r w:rsidRPr="00282AC9">
        <w:rPr>
          <w:rFonts w:cs="DanaFajr" w:hint="cs"/>
          <w:sz w:val="28"/>
          <w:szCs w:val="28"/>
          <w:rtl/>
          <w:lang w:bidi="fa-IR"/>
        </w:rPr>
        <w:t xml:space="preserve">: </w:t>
      </w:r>
      <w:r w:rsidRPr="00282AC9">
        <w:rPr>
          <w:rFonts w:cs="DanaFajr" w:hint="cs"/>
          <w:sz w:val="28"/>
          <w:szCs w:val="28"/>
          <w:rtl/>
        </w:rPr>
        <w:t>4</w:t>
      </w:r>
      <w:r w:rsidRPr="00282AC9">
        <w:rPr>
          <w:rFonts w:cs="DanaFajr" w:hint="cs"/>
          <w:sz w:val="28"/>
          <w:szCs w:val="28"/>
          <w:rtl/>
          <w:lang w:bidi="fa-IR"/>
        </w:rPr>
        <w:t xml:space="preserve">؛ </w:t>
      </w:r>
      <w:r w:rsidRPr="00282AC9">
        <w:rPr>
          <w:rFonts w:cs="DanaFajr"/>
          <w:sz w:val="28"/>
          <w:szCs w:val="28"/>
          <w:rtl/>
          <w:lang w:bidi="fa-IR"/>
        </w:rPr>
        <w:t>اللمعة الدمشقية في فقه الإمامية: 173</w:t>
      </w:r>
      <w:r w:rsidRPr="00282AC9">
        <w:rPr>
          <w:rFonts w:cs="DanaFajr" w:hint="cs"/>
          <w:sz w:val="28"/>
          <w:szCs w:val="28"/>
          <w:rtl/>
          <w:lang w:bidi="fa-IR"/>
        </w:rPr>
        <w:t xml:space="preserve">؛ </w:t>
      </w:r>
      <w:r w:rsidRPr="00282AC9">
        <w:rPr>
          <w:rFonts w:cs="DanaFajr"/>
          <w:sz w:val="28"/>
          <w:szCs w:val="28"/>
          <w:rtl/>
          <w:lang w:bidi="fa-IR"/>
        </w:rPr>
        <w:t xml:space="preserve">مسالك الأفهام إلى تنقيح شرائع الإسلام </w:t>
      </w:r>
      <w:r w:rsidRPr="00282AC9">
        <w:rPr>
          <w:rFonts w:ascii="Sakkal Majalla" w:hAnsi="Sakkal Majalla" w:cs="DanaFajr" w:hint="cs"/>
          <w:sz w:val="28"/>
          <w:szCs w:val="28"/>
          <w:rtl/>
          <w:lang w:bidi="fa-IR"/>
        </w:rPr>
        <w:t>‌</w:t>
      </w:r>
      <w:r w:rsidRPr="00282AC9">
        <w:rPr>
          <w:rFonts w:cs="DanaFajr"/>
          <w:sz w:val="28"/>
          <w:szCs w:val="28"/>
          <w:rtl/>
          <w:lang w:bidi="fa-IR"/>
        </w:rPr>
        <w:t>7</w:t>
      </w:r>
      <w:r w:rsidRPr="00282AC9">
        <w:rPr>
          <w:rFonts w:cs="DanaFajr" w:hint="cs"/>
          <w:sz w:val="28"/>
          <w:szCs w:val="28"/>
          <w:rtl/>
          <w:lang w:bidi="fa-IR"/>
        </w:rPr>
        <w:t xml:space="preserve">: </w:t>
      </w:r>
      <w:r w:rsidRPr="00282AC9">
        <w:rPr>
          <w:rFonts w:cs="DanaFajr"/>
          <w:sz w:val="28"/>
          <w:szCs w:val="28"/>
          <w:rtl/>
          <w:lang w:bidi="fa-IR"/>
        </w:rPr>
        <w:t>17</w:t>
      </w:r>
      <w:r w:rsidRPr="00282AC9">
        <w:rPr>
          <w:rFonts w:cs="DanaFajr" w:hint="cs"/>
          <w:sz w:val="28"/>
          <w:szCs w:val="28"/>
          <w:rtl/>
          <w:lang w:bidi="fa-IR"/>
        </w:rPr>
        <w:t xml:space="preserve">؛ </w:t>
      </w:r>
      <w:r w:rsidRPr="00282AC9">
        <w:rPr>
          <w:rFonts w:cs="DanaFajr"/>
          <w:sz w:val="28"/>
          <w:szCs w:val="28"/>
          <w:rtl/>
          <w:lang w:bidi="fa-IR"/>
        </w:rPr>
        <w:t xml:space="preserve">جواهر الكلام في شرح شرائع الإسلام </w:t>
      </w:r>
      <w:r w:rsidRPr="00282AC9">
        <w:rPr>
          <w:rFonts w:ascii="Sakkal Majalla" w:hAnsi="Sakkal Majalla" w:cs="DanaFajr" w:hint="cs"/>
          <w:sz w:val="28"/>
          <w:szCs w:val="28"/>
          <w:rtl/>
          <w:lang w:bidi="fa-IR"/>
        </w:rPr>
        <w:t>‌</w:t>
      </w:r>
      <w:r w:rsidRPr="00282AC9">
        <w:rPr>
          <w:rFonts w:cs="DanaFajr"/>
          <w:sz w:val="28"/>
          <w:szCs w:val="28"/>
          <w:rtl/>
          <w:lang w:bidi="fa-IR"/>
        </w:rPr>
        <w:t>29</w:t>
      </w:r>
      <w:r w:rsidRPr="00282AC9">
        <w:rPr>
          <w:rFonts w:cs="DanaFajr" w:hint="cs"/>
          <w:sz w:val="28"/>
          <w:szCs w:val="28"/>
          <w:rtl/>
          <w:lang w:bidi="fa-IR"/>
        </w:rPr>
        <w:t xml:space="preserve">: </w:t>
      </w:r>
      <w:r w:rsidRPr="00282AC9">
        <w:rPr>
          <w:rFonts w:cs="DanaFajr"/>
          <w:sz w:val="28"/>
          <w:szCs w:val="28"/>
          <w:rtl/>
          <w:lang w:bidi="fa-IR"/>
        </w:rPr>
        <w:t>38؛ كتاب النكاح (للشيخ الأنصاري): 32</w:t>
      </w:r>
      <w:r w:rsidRPr="00282AC9">
        <w:rPr>
          <w:rFonts w:cs="DanaFajr" w:hint="cs"/>
          <w:sz w:val="28"/>
          <w:szCs w:val="28"/>
          <w:rtl/>
          <w:lang w:bidi="fa-IR"/>
        </w:rPr>
        <w:t xml:space="preserve">؛ </w:t>
      </w:r>
      <w:r w:rsidRPr="00282AC9">
        <w:rPr>
          <w:rFonts w:cs="DanaFajr"/>
          <w:sz w:val="28"/>
          <w:szCs w:val="28"/>
          <w:rtl/>
          <w:lang w:bidi="fa-IR"/>
        </w:rPr>
        <w:t xml:space="preserve">العروة الوثقى (للسيد اليزدي) </w:t>
      </w:r>
      <w:r w:rsidRPr="00282AC9">
        <w:rPr>
          <w:rFonts w:ascii="Sakkal Majalla" w:hAnsi="Sakkal Majalla" w:cs="DanaFajr" w:hint="cs"/>
          <w:sz w:val="28"/>
          <w:szCs w:val="28"/>
          <w:rtl/>
          <w:lang w:bidi="fa-IR"/>
        </w:rPr>
        <w:t>‌</w:t>
      </w:r>
      <w:r w:rsidRPr="00282AC9">
        <w:rPr>
          <w:rFonts w:cs="DanaFajr"/>
          <w:sz w:val="28"/>
          <w:szCs w:val="28"/>
          <w:rtl/>
          <w:lang w:bidi="fa-IR"/>
        </w:rPr>
        <w:t>2</w:t>
      </w:r>
      <w:r w:rsidRPr="00282AC9">
        <w:rPr>
          <w:rFonts w:cs="DanaFajr" w:hint="cs"/>
          <w:sz w:val="28"/>
          <w:szCs w:val="28"/>
          <w:rtl/>
          <w:lang w:bidi="fa-IR"/>
        </w:rPr>
        <w:t xml:space="preserve">: </w:t>
      </w:r>
      <w:r w:rsidRPr="00282AC9">
        <w:rPr>
          <w:rFonts w:cs="DanaFajr"/>
          <w:sz w:val="28"/>
          <w:szCs w:val="28"/>
          <w:rtl/>
          <w:lang w:bidi="fa-IR"/>
        </w:rPr>
        <w:t>799</w:t>
      </w:r>
      <w:r w:rsidRPr="00282AC9">
        <w:rPr>
          <w:rFonts w:cs="DanaFajr" w:hint="cs"/>
          <w:sz w:val="28"/>
          <w:szCs w:val="28"/>
          <w:rtl/>
          <w:lang w:bidi="fa-IR"/>
        </w:rPr>
        <w:t xml:space="preserve">؛ </w:t>
      </w:r>
      <w:r w:rsidRPr="00282AC9">
        <w:rPr>
          <w:rFonts w:cs="DanaFajr"/>
          <w:sz w:val="28"/>
          <w:szCs w:val="28"/>
          <w:rtl/>
          <w:lang w:bidi="fa-IR"/>
        </w:rPr>
        <w:t xml:space="preserve">تحرير الوسيلة </w:t>
      </w:r>
      <w:r w:rsidRPr="00282AC9">
        <w:rPr>
          <w:rFonts w:ascii="Sakkal Majalla" w:hAnsi="Sakkal Majalla" w:cs="DanaFajr" w:hint="cs"/>
          <w:sz w:val="28"/>
          <w:szCs w:val="28"/>
          <w:rtl/>
          <w:lang w:bidi="fa-IR"/>
        </w:rPr>
        <w:t>‌</w:t>
      </w:r>
      <w:r w:rsidRPr="00282AC9">
        <w:rPr>
          <w:rFonts w:cs="DanaFajr"/>
          <w:sz w:val="28"/>
          <w:szCs w:val="28"/>
          <w:rtl/>
          <w:lang w:bidi="fa-IR"/>
        </w:rPr>
        <w:t>2</w:t>
      </w:r>
      <w:r w:rsidRPr="00282AC9">
        <w:rPr>
          <w:rFonts w:cs="DanaFajr" w:hint="cs"/>
          <w:sz w:val="28"/>
          <w:szCs w:val="28"/>
          <w:rtl/>
          <w:lang w:bidi="fa-IR"/>
        </w:rPr>
        <w:t xml:space="preserve">: </w:t>
      </w:r>
      <w:r w:rsidRPr="00282AC9">
        <w:rPr>
          <w:rFonts w:cs="DanaFajr"/>
          <w:sz w:val="28"/>
          <w:szCs w:val="28"/>
          <w:rtl/>
          <w:lang w:bidi="fa-IR"/>
        </w:rPr>
        <w:t>237</w:t>
      </w:r>
      <w:r w:rsidRPr="00282AC9">
        <w:rPr>
          <w:rFonts w:cs="DanaFajr" w:hint="cs"/>
          <w:sz w:val="28"/>
          <w:szCs w:val="28"/>
          <w:rtl/>
          <w:lang w:bidi="fa-IR"/>
        </w:rPr>
        <w:t>؛ وغيرها من الکتب.</w:t>
      </w:r>
    </w:p>
  </w:endnote>
  <w:endnote w:id="639">
    <w:p w:rsidR="00C14EDE" w:rsidRPr="00282AC9" w:rsidRDefault="00C14EDE" w:rsidP="00887323">
      <w:pPr>
        <w:pStyle w:val="af7"/>
        <w:spacing w:line="296" w:lineRule="exact"/>
        <w:ind w:firstLine="0"/>
        <w:rPr>
          <w:rFonts w:cs="DanaFajr"/>
          <w:sz w:val="28"/>
          <w:szCs w:val="28"/>
        </w:rPr>
      </w:pPr>
      <w:r w:rsidRPr="00282AC9">
        <w:rPr>
          <w:rFonts w:cs="DanaFajr" w:hint="cs"/>
          <w:sz w:val="28"/>
          <w:szCs w:val="28"/>
          <w:rtl/>
        </w:rPr>
        <w:t>(</w:t>
      </w:r>
      <w:r w:rsidRPr="00282AC9">
        <w:rPr>
          <w:rFonts w:cs="DanaFajr"/>
          <w:sz w:val="28"/>
          <w:szCs w:val="28"/>
        </w:rPr>
        <w:endnoteRef/>
      </w:r>
      <w:r w:rsidRPr="00282AC9">
        <w:rPr>
          <w:rFonts w:cs="DanaFajr" w:hint="cs"/>
          <w:sz w:val="28"/>
          <w:szCs w:val="28"/>
          <w:rtl/>
        </w:rPr>
        <w:t xml:space="preserve">) </w:t>
      </w:r>
      <w:r w:rsidRPr="00282AC9">
        <w:rPr>
          <w:rFonts w:cs="DanaFajr"/>
          <w:sz w:val="28"/>
          <w:szCs w:val="28"/>
          <w:rtl/>
        </w:rPr>
        <w:t xml:space="preserve">جامع المقاصد في شرح القواعد </w:t>
      </w:r>
      <w:r w:rsidRPr="00282AC9">
        <w:rPr>
          <w:rFonts w:ascii="Sakkal Majalla" w:hAnsi="Sakkal Majalla" w:cs="DanaFajr" w:hint="cs"/>
          <w:sz w:val="28"/>
          <w:szCs w:val="28"/>
          <w:rtl/>
        </w:rPr>
        <w:t>‌</w:t>
      </w:r>
      <w:r w:rsidRPr="00282AC9">
        <w:rPr>
          <w:rFonts w:cs="DanaFajr"/>
          <w:sz w:val="28"/>
          <w:szCs w:val="28"/>
          <w:rtl/>
        </w:rPr>
        <w:t>12</w:t>
      </w:r>
      <w:r w:rsidRPr="00282AC9">
        <w:rPr>
          <w:rFonts w:cs="DanaFajr" w:hint="cs"/>
          <w:sz w:val="28"/>
          <w:szCs w:val="28"/>
          <w:rtl/>
        </w:rPr>
        <w:t xml:space="preserve">: </w:t>
      </w:r>
      <w:r w:rsidRPr="00282AC9">
        <w:rPr>
          <w:rFonts w:cs="DanaFajr"/>
          <w:sz w:val="28"/>
          <w:szCs w:val="28"/>
          <w:rtl/>
        </w:rPr>
        <w:t>1</w:t>
      </w:r>
      <w:r w:rsidRPr="00282AC9">
        <w:rPr>
          <w:rFonts w:cs="DanaFajr" w:hint="cs"/>
          <w:sz w:val="28"/>
          <w:szCs w:val="28"/>
          <w:rtl/>
        </w:rPr>
        <w:t>3.</w:t>
      </w:r>
    </w:p>
  </w:endnote>
  <w:endnote w:id="640">
    <w:p w:rsidR="00C14EDE" w:rsidRPr="00282AC9" w:rsidRDefault="00C14EDE" w:rsidP="00887323">
      <w:pPr>
        <w:pStyle w:val="af7"/>
        <w:spacing w:line="296" w:lineRule="exact"/>
        <w:ind w:firstLine="0"/>
        <w:rPr>
          <w:rFonts w:cs="DanaFajr"/>
          <w:sz w:val="28"/>
          <w:szCs w:val="28"/>
        </w:rPr>
      </w:pPr>
      <w:r w:rsidRPr="00282AC9">
        <w:rPr>
          <w:rFonts w:cs="DanaFajr" w:hint="cs"/>
          <w:sz w:val="28"/>
          <w:szCs w:val="28"/>
          <w:rtl/>
        </w:rPr>
        <w:t>(</w:t>
      </w:r>
      <w:r w:rsidRPr="00282AC9">
        <w:rPr>
          <w:rFonts w:cs="DanaFajr"/>
          <w:sz w:val="28"/>
          <w:szCs w:val="28"/>
        </w:rPr>
        <w:endnoteRef/>
      </w:r>
      <w:r w:rsidRPr="00282AC9">
        <w:rPr>
          <w:rFonts w:cs="DanaFajr" w:hint="cs"/>
          <w:sz w:val="28"/>
          <w:szCs w:val="28"/>
          <w:rtl/>
        </w:rPr>
        <w:t xml:space="preserve">) </w:t>
      </w:r>
      <w:r w:rsidRPr="00282AC9">
        <w:rPr>
          <w:rFonts w:cs="DanaFajr"/>
          <w:sz w:val="28"/>
          <w:szCs w:val="28"/>
          <w:rtl/>
        </w:rPr>
        <w:t xml:space="preserve">جامع المدارك في شرح مختصر النافع </w:t>
      </w:r>
      <w:r w:rsidRPr="00282AC9">
        <w:rPr>
          <w:rFonts w:ascii="Sakkal Majalla" w:hAnsi="Sakkal Majalla" w:cs="DanaFajr" w:hint="cs"/>
          <w:sz w:val="28"/>
          <w:szCs w:val="28"/>
          <w:rtl/>
        </w:rPr>
        <w:t>‌</w:t>
      </w:r>
      <w:r w:rsidRPr="00282AC9">
        <w:rPr>
          <w:rFonts w:cs="DanaFajr" w:hint="cs"/>
          <w:sz w:val="28"/>
          <w:szCs w:val="28"/>
          <w:rtl/>
        </w:rPr>
        <w:t xml:space="preserve">4: </w:t>
      </w:r>
      <w:r w:rsidRPr="00282AC9">
        <w:rPr>
          <w:rFonts w:cs="DanaFajr"/>
          <w:sz w:val="28"/>
          <w:szCs w:val="28"/>
          <w:rtl/>
        </w:rPr>
        <w:t>131</w:t>
      </w:r>
      <w:r w:rsidRPr="00282AC9">
        <w:rPr>
          <w:rFonts w:cs="DanaFajr" w:hint="cs"/>
          <w:sz w:val="28"/>
          <w:szCs w:val="28"/>
          <w:rtl/>
        </w:rPr>
        <w:t xml:space="preserve">: </w:t>
      </w:r>
      <w:r w:rsidRPr="00282AC9">
        <w:rPr>
          <w:rFonts w:cs="DanaFajr"/>
          <w:sz w:val="28"/>
          <w:szCs w:val="28"/>
          <w:rtl/>
        </w:rPr>
        <w:t>أمّا كراهة تزويج العقيم فلما في الخبر الراجع إلى استحباب اختيار العفيفة المذكور</w:t>
      </w:r>
      <w:r w:rsidRPr="00282AC9">
        <w:rPr>
          <w:rFonts w:cs="DanaFajr" w:hint="cs"/>
          <w:sz w:val="28"/>
          <w:szCs w:val="28"/>
          <w:rtl/>
        </w:rPr>
        <w:t>؛</w:t>
      </w:r>
      <w:r w:rsidRPr="00282AC9">
        <w:rPr>
          <w:rFonts w:cs="DanaFajr"/>
          <w:sz w:val="28"/>
          <w:szCs w:val="28"/>
          <w:rtl/>
        </w:rPr>
        <w:t xml:space="preserve"> ولما في بعض الأخبار</w:t>
      </w:r>
      <w:r w:rsidRPr="00282AC9">
        <w:rPr>
          <w:rFonts w:cs="DanaFajr" w:hint="cs"/>
          <w:sz w:val="28"/>
          <w:szCs w:val="28"/>
          <w:rtl/>
        </w:rPr>
        <w:t>:</w:t>
      </w:r>
      <w:r w:rsidRPr="00282AC9">
        <w:rPr>
          <w:rFonts w:cs="DanaFajr"/>
          <w:sz w:val="28"/>
          <w:szCs w:val="28"/>
          <w:rtl/>
        </w:rPr>
        <w:t xml:space="preserve"> </w:t>
      </w:r>
      <w:r w:rsidRPr="00282AC9">
        <w:rPr>
          <w:sz w:val="22"/>
          <w:szCs w:val="22"/>
          <w:rtl/>
        </w:rPr>
        <w:t>«</w:t>
      </w:r>
      <w:r w:rsidRPr="00282AC9">
        <w:rPr>
          <w:rFonts w:cs="DanaFajr"/>
          <w:sz w:val="28"/>
          <w:szCs w:val="28"/>
          <w:rtl/>
        </w:rPr>
        <w:t>الحصير في ناحية البيت خير</w:t>
      </w:r>
      <w:r w:rsidRPr="00282AC9">
        <w:rPr>
          <w:rFonts w:cs="DanaFajr" w:hint="cs"/>
          <w:sz w:val="28"/>
          <w:szCs w:val="28"/>
          <w:rtl/>
        </w:rPr>
        <w:t>ٌ</w:t>
      </w:r>
      <w:r w:rsidRPr="00282AC9">
        <w:rPr>
          <w:rFonts w:cs="DanaFajr"/>
          <w:sz w:val="28"/>
          <w:szCs w:val="28"/>
          <w:rtl/>
        </w:rPr>
        <w:t xml:space="preserve"> من امرأة</w:t>
      </w:r>
      <w:r w:rsidRPr="00282AC9">
        <w:rPr>
          <w:rFonts w:cs="DanaFajr" w:hint="cs"/>
          <w:sz w:val="28"/>
          <w:szCs w:val="28"/>
          <w:rtl/>
        </w:rPr>
        <w:t>ٍ</w:t>
      </w:r>
      <w:r w:rsidRPr="00282AC9">
        <w:rPr>
          <w:rFonts w:cs="DanaFajr"/>
          <w:sz w:val="28"/>
          <w:szCs w:val="28"/>
          <w:rtl/>
        </w:rPr>
        <w:t xml:space="preserve"> لا تلد</w:t>
      </w:r>
      <w:r w:rsidRPr="00282AC9">
        <w:rPr>
          <w:sz w:val="22"/>
          <w:szCs w:val="22"/>
          <w:rtl/>
        </w:rPr>
        <w:t>»</w:t>
      </w:r>
      <w:r w:rsidRPr="00282AC9">
        <w:rPr>
          <w:rFonts w:cs="DanaFajr"/>
          <w:sz w:val="28"/>
          <w:szCs w:val="28"/>
          <w:rtl/>
        </w:rPr>
        <w:t>.</w:t>
      </w:r>
      <w:r w:rsidRPr="00282AC9">
        <w:rPr>
          <w:rFonts w:cs="DanaFajr" w:hint="cs"/>
          <w:sz w:val="28"/>
          <w:szCs w:val="28"/>
          <w:rtl/>
        </w:rPr>
        <w:t xml:space="preserve"> </w:t>
      </w:r>
      <w:r w:rsidRPr="00282AC9">
        <w:rPr>
          <w:rFonts w:cs="DanaFajr"/>
          <w:sz w:val="28"/>
          <w:szCs w:val="28"/>
          <w:rtl/>
        </w:rPr>
        <w:t>ويمكن أن ي</w:t>
      </w:r>
      <w:r w:rsidRPr="00282AC9">
        <w:rPr>
          <w:rFonts w:cs="DanaFajr" w:hint="cs"/>
          <w:sz w:val="28"/>
          <w:szCs w:val="28"/>
          <w:rtl/>
        </w:rPr>
        <w:t>ُ</w:t>
      </w:r>
      <w:r w:rsidRPr="00282AC9">
        <w:rPr>
          <w:rFonts w:cs="DanaFajr"/>
          <w:sz w:val="28"/>
          <w:szCs w:val="28"/>
          <w:rtl/>
        </w:rPr>
        <w:t>قال: استفادة الاستحباب الشرعيّ أو الكراهة لا تخلو عن الإشكال بالنسبة إلى بعض الأخبار الواردة</w:t>
      </w:r>
      <w:r w:rsidRPr="00282AC9">
        <w:rPr>
          <w:rFonts w:cs="DanaFajr" w:hint="cs"/>
          <w:sz w:val="28"/>
          <w:szCs w:val="28"/>
          <w:rtl/>
        </w:rPr>
        <w:t>،</w:t>
      </w:r>
      <w:r w:rsidRPr="00282AC9">
        <w:rPr>
          <w:rFonts w:cs="DanaFajr"/>
          <w:sz w:val="28"/>
          <w:szCs w:val="28"/>
          <w:rtl/>
        </w:rPr>
        <w:t xml:space="preserve"> بل الظاهر أنّه من قبيل</w:t>
      </w:r>
      <w:r w:rsidRPr="00282AC9">
        <w:rPr>
          <w:rFonts w:cs="DanaFajr" w:hint="cs"/>
          <w:sz w:val="28"/>
          <w:szCs w:val="28"/>
          <w:rtl/>
        </w:rPr>
        <w:t>:</w:t>
      </w:r>
      <w:r w:rsidRPr="00282AC9">
        <w:rPr>
          <w:rFonts w:cs="DanaFajr"/>
          <w:sz w:val="28"/>
          <w:szCs w:val="28"/>
          <w:rtl/>
        </w:rPr>
        <w:t xml:space="preserve"> الإرشاد</w:t>
      </w:r>
      <w:r w:rsidRPr="00282AC9">
        <w:rPr>
          <w:rFonts w:cs="DanaFajr" w:hint="cs"/>
          <w:sz w:val="28"/>
          <w:szCs w:val="28"/>
          <w:rtl/>
        </w:rPr>
        <w:t>،</w:t>
      </w:r>
      <w:r w:rsidRPr="00282AC9">
        <w:rPr>
          <w:rFonts w:cs="DanaFajr"/>
          <w:sz w:val="28"/>
          <w:szCs w:val="28"/>
          <w:rtl/>
        </w:rPr>
        <w:t xml:space="preserve"> ك</w:t>
      </w:r>
      <w:r w:rsidRPr="00282AC9">
        <w:rPr>
          <w:rFonts w:cs="DanaFajr" w:hint="cs"/>
          <w:sz w:val="28"/>
          <w:szCs w:val="28"/>
          <w:rtl/>
        </w:rPr>
        <w:t>أ</w:t>
      </w:r>
      <w:r w:rsidRPr="00282AC9">
        <w:rPr>
          <w:rFonts w:cs="DanaFajr"/>
          <w:sz w:val="28"/>
          <w:szCs w:val="28"/>
          <w:rtl/>
        </w:rPr>
        <w:t>وامر الطبيب ونواهيه.</w:t>
      </w:r>
    </w:p>
  </w:endnote>
  <w:endnote w:id="641">
    <w:p w:rsidR="00C14EDE" w:rsidRPr="00282AC9" w:rsidRDefault="00C14EDE" w:rsidP="00887323">
      <w:pPr>
        <w:spacing w:line="296" w:lineRule="exact"/>
        <w:ind w:firstLine="0"/>
        <w:rPr>
          <w:rFonts w:cs="DanaFajr"/>
        </w:rPr>
      </w:pPr>
      <w:r w:rsidRPr="00282AC9">
        <w:rPr>
          <w:rFonts w:cs="DanaFajr"/>
          <w:rtl/>
        </w:rPr>
        <w:t>(</w:t>
      </w:r>
      <w:r w:rsidRPr="00282AC9">
        <w:rPr>
          <w:rStyle w:val="af9"/>
          <w:rFonts w:cs="DanaFajr"/>
          <w:vertAlign w:val="baseline"/>
        </w:rPr>
        <w:endnoteRef/>
      </w:r>
      <w:r w:rsidRPr="00282AC9">
        <w:rPr>
          <w:rFonts w:cs="DanaFajr"/>
          <w:rtl/>
        </w:rPr>
        <w:t xml:space="preserve">) </w:t>
      </w:r>
      <w:r w:rsidRPr="00282AC9">
        <w:rPr>
          <w:rFonts w:cs="DanaFajr" w:hint="cs"/>
          <w:b/>
          <w:bCs/>
          <w:rtl/>
        </w:rPr>
        <w:t>التقوى</w:t>
      </w:r>
      <w:r w:rsidRPr="00282AC9">
        <w:rPr>
          <w:rFonts w:cs="DanaFajr" w:hint="cs"/>
          <w:rtl/>
        </w:rPr>
        <w:t xml:space="preserve">: </w:t>
      </w:r>
      <w:r w:rsidRPr="00282AC9">
        <w:rPr>
          <w:rFonts w:ascii="Mosawi" w:hAnsi="Mosawi" w:cs="Mosawi"/>
          <w:sz w:val="22"/>
          <w:szCs w:val="22"/>
          <w:rtl/>
        </w:rPr>
        <w:t>﴿</w:t>
      </w:r>
      <w:r w:rsidRPr="00282AC9">
        <w:rPr>
          <w:rFonts w:cs="DanaFajr"/>
          <w:b/>
          <w:bCs/>
          <w:rtl/>
        </w:rPr>
        <w:t>يَا أَيُّهَا النَّاسُ إِنَّا خَلَقْنَاكُمْ مِنْ ذَكَرٍ وأُنْثَى وجَعَلْنَاكُمْ شُعُوباً وقَبَائِلَ لِتَعَارَفُوا إِنَّ أَكْرَمَكُمْ عِنْدَ اللهِ أَتْقَاكُمْ إِنَّ اللهَ عَلِيمٌ خَبِيرٌ</w:t>
      </w:r>
      <w:r w:rsidRPr="00282AC9">
        <w:rPr>
          <w:rFonts w:ascii="Mosawi" w:hAnsi="Mosawi" w:cs="Mosawi"/>
          <w:sz w:val="22"/>
          <w:szCs w:val="22"/>
          <w:rtl/>
        </w:rPr>
        <w:t>﴾</w:t>
      </w:r>
      <w:r w:rsidRPr="00282AC9">
        <w:rPr>
          <w:rFonts w:cs="DanaFajr"/>
          <w:rtl/>
        </w:rPr>
        <w:t xml:space="preserve"> (الحجرات: 13)</w:t>
      </w:r>
      <w:r w:rsidRPr="00282AC9">
        <w:rPr>
          <w:rFonts w:cs="DanaFajr" w:hint="cs"/>
          <w:rtl/>
        </w:rPr>
        <w:t xml:space="preserve">؛ </w:t>
      </w:r>
      <w:r w:rsidRPr="00282AC9">
        <w:rPr>
          <w:rFonts w:cs="DanaFajr" w:hint="cs"/>
          <w:b/>
          <w:bCs/>
          <w:rtl/>
        </w:rPr>
        <w:t>الجهاد</w:t>
      </w:r>
      <w:r w:rsidRPr="00282AC9">
        <w:rPr>
          <w:rFonts w:cs="DanaFajr" w:hint="cs"/>
          <w:rtl/>
        </w:rPr>
        <w:t xml:space="preserve">: </w:t>
      </w:r>
      <w:r w:rsidRPr="00282AC9">
        <w:rPr>
          <w:rFonts w:ascii="Mosawi" w:hAnsi="Mosawi" w:cs="Mosawi"/>
          <w:sz w:val="22"/>
          <w:szCs w:val="22"/>
          <w:rtl/>
        </w:rPr>
        <w:t>﴿</w:t>
      </w:r>
      <w:r w:rsidRPr="00282AC9">
        <w:rPr>
          <w:rFonts w:cs="DanaFajr"/>
          <w:b/>
          <w:bCs/>
          <w:rtl/>
        </w:rPr>
        <w:t>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w:t>
      </w:r>
      <w:r w:rsidRPr="00282AC9">
        <w:rPr>
          <w:rFonts w:ascii="Mosawi" w:hAnsi="Mosawi" w:cs="Mosawi"/>
          <w:sz w:val="22"/>
          <w:szCs w:val="22"/>
          <w:rtl/>
        </w:rPr>
        <w:t>﴾</w:t>
      </w:r>
      <w:r w:rsidRPr="00282AC9">
        <w:rPr>
          <w:rFonts w:cs="DanaFajr" w:hint="cs"/>
          <w:rtl/>
        </w:rPr>
        <w:t xml:space="preserve"> (النساء: 95)؛ </w:t>
      </w:r>
      <w:r w:rsidRPr="00282AC9">
        <w:rPr>
          <w:rFonts w:cs="DanaFajr" w:hint="cs"/>
          <w:b/>
          <w:bCs/>
          <w:rtl/>
        </w:rPr>
        <w:t>الطيبة</w:t>
      </w:r>
      <w:r w:rsidRPr="00282AC9">
        <w:rPr>
          <w:rFonts w:cs="DanaFajr" w:hint="cs"/>
          <w:rtl/>
        </w:rPr>
        <w:t xml:space="preserve">: </w:t>
      </w:r>
      <w:r w:rsidRPr="00282AC9">
        <w:rPr>
          <w:rFonts w:ascii="Mosawi" w:hAnsi="Mosawi" w:cs="Mosawi"/>
          <w:sz w:val="22"/>
          <w:szCs w:val="22"/>
          <w:rtl/>
        </w:rPr>
        <w:t>﴿</w:t>
      </w:r>
      <w:r w:rsidRPr="00282AC9">
        <w:rPr>
          <w:rFonts w:cs="DanaFajr"/>
          <w:b/>
          <w:bCs/>
          <w:rtl/>
        </w:rPr>
        <w:t>قُلْ لاَ يَسْتَوِي الْخَبِيثُ والطَّيِّبُ ولَوْ أَعْجَبَكَ كَثْرَةُ الْخَبِيثِ فَاتَّقُوا اللهَ يَا أُولِي الأَلْبَابِ لَعَلَّكُمْ تُفْلِحُونَ</w:t>
      </w:r>
      <w:r w:rsidRPr="00282AC9">
        <w:rPr>
          <w:rFonts w:ascii="Mosawi" w:hAnsi="Mosawi" w:cs="Mosawi"/>
          <w:sz w:val="22"/>
          <w:szCs w:val="22"/>
          <w:rtl/>
        </w:rPr>
        <w:t>﴾</w:t>
      </w:r>
      <w:r w:rsidRPr="00282AC9">
        <w:rPr>
          <w:rFonts w:cs="DanaFajr" w:hint="cs"/>
          <w:rtl/>
        </w:rPr>
        <w:t xml:space="preserve"> (المائدة: 100)؛ </w:t>
      </w:r>
      <w:r w:rsidRPr="00282AC9">
        <w:rPr>
          <w:rFonts w:cs="DanaFajr" w:hint="cs"/>
          <w:b/>
          <w:bCs/>
          <w:rtl/>
        </w:rPr>
        <w:t>الأمر بالعدل والسَّيْر على صراطٍ مستقيم</w:t>
      </w:r>
      <w:r w:rsidRPr="00282AC9">
        <w:rPr>
          <w:rFonts w:cs="DanaFajr" w:hint="cs"/>
          <w:rtl/>
        </w:rPr>
        <w:t xml:space="preserve">: </w:t>
      </w:r>
      <w:r w:rsidRPr="00282AC9">
        <w:rPr>
          <w:rFonts w:ascii="Mosawi" w:hAnsi="Mosawi" w:cs="Mosawi"/>
          <w:sz w:val="22"/>
          <w:szCs w:val="22"/>
          <w:rtl/>
        </w:rPr>
        <w:t>﴿</w:t>
      </w:r>
      <w:r w:rsidRPr="00282AC9">
        <w:rPr>
          <w:rFonts w:cs="DanaFajr"/>
          <w:b/>
          <w:bCs/>
          <w:rtl/>
        </w:rPr>
        <w:t>وَضَرَبَ اللهُ مَثَلاً رَجُلَيْنِ أَحَدُهُمَا أَبْكَمُ لاَ يَقْدِرُ عَلَى شَيْ</w:t>
      </w:r>
      <w:r w:rsidRPr="00282AC9">
        <w:rPr>
          <w:rFonts w:ascii="Sakkal Majalla" w:hAnsi="Sakkal Majalla" w:cs="DanaFajr" w:hint="cs"/>
          <w:b/>
          <w:bCs/>
          <w:rtl/>
        </w:rPr>
        <w:t>‌</w:t>
      </w:r>
      <w:r w:rsidRPr="00282AC9">
        <w:rPr>
          <w:rFonts w:cs="DanaFajr" w:hint="cs"/>
          <w:b/>
          <w:bCs/>
          <w:rtl/>
        </w:rPr>
        <w:t>ءٍ</w:t>
      </w:r>
      <w:r w:rsidRPr="00282AC9">
        <w:rPr>
          <w:rFonts w:cs="DanaFajr"/>
          <w:b/>
          <w:bCs/>
          <w:rtl/>
        </w:rPr>
        <w:t xml:space="preserve"> و</w:t>
      </w:r>
      <w:r w:rsidRPr="00282AC9">
        <w:rPr>
          <w:rFonts w:cs="DanaFajr" w:hint="cs"/>
          <w:b/>
          <w:bCs/>
          <w:rtl/>
        </w:rPr>
        <w:t>هُوَ</w:t>
      </w:r>
      <w:r w:rsidRPr="00282AC9">
        <w:rPr>
          <w:rFonts w:cs="DanaFajr"/>
          <w:b/>
          <w:bCs/>
          <w:rtl/>
        </w:rPr>
        <w:t xml:space="preserve"> </w:t>
      </w:r>
      <w:r w:rsidRPr="00282AC9">
        <w:rPr>
          <w:rFonts w:cs="DanaFajr" w:hint="cs"/>
          <w:b/>
          <w:bCs/>
          <w:rtl/>
        </w:rPr>
        <w:t>كَلٌّ</w:t>
      </w:r>
      <w:r w:rsidRPr="00282AC9">
        <w:rPr>
          <w:rFonts w:cs="DanaFajr"/>
          <w:b/>
          <w:bCs/>
          <w:rtl/>
        </w:rPr>
        <w:t xml:space="preserve"> </w:t>
      </w:r>
      <w:r w:rsidRPr="00282AC9">
        <w:rPr>
          <w:rFonts w:cs="DanaFajr" w:hint="cs"/>
          <w:b/>
          <w:bCs/>
          <w:rtl/>
        </w:rPr>
        <w:t>عَلَى</w:t>
      </w:r>
      <w:r w:rsidRPr="00282AC9">
        <w:rPr>
          <w:rFonts w:cs="DanaFajr"/>
          <w:b/>
          <w:bCs/>
          <w:rtl/>
        </w:rPr>
        <w:t xml:space="preserve"> </w:t>
      </w:r>
      <w:r w:rsidRPr="00282AC9">
        <w:rPr>
          <w:rFonts w:cs="DanaFajr" w:hint="cs"/>
          <w:b/>
          <w:bCs/>
          <w:rtl/>
        </w:rPr>
        <w:t>مَوْلا</w:t>
      </w:r>
      <w:r w:rsidRPr="00282AC9">
        <w:rPr>
          <w:rFonts w:cs="DanaFajr"/>
          <w:b/>
          <w:bCs/>
          <w:rtl/>
        </w:rPr>
        <w:t>َهُ أَيْنَمَا يُوَجِّهْهُ لاَ يَأْتِ بِخَيْرٍ هَلْ يَسْتَوِي هُوَ ومَنْ يَأْمُرُ بِالْعَدْلِ وهُوَ عَلَى صِرَاطٍ مُسْتَقِيمٍ</w:t>
      </w:r>
      <w:r w:rsidRPr="00282AC9">
        <w:rPr>
          <w:rFonts w:ascii="Mosawi" w:hAnsi="Mosawi" w:cs="Mosawi"/>
          <w:sz w:val="22"/>
          <w:szCs w:val="22"/>
          <w:rtl/>
        </w:rPr>
        <w:t>﴾</w:t>
      </w:r>
      <w:r w:rsidRPr="00282AC9">
        <w:rPr>
          <w:rFonts w:cs="DanaFajr" w:hint="cs"/>
          <w:rtl/>
        </w:rPr>
        <w:t xml:space="preserve"> (النحل: 76)؛ </w:t>
      </w:r>
      <w:r w:rsidRPr="00282AC9">
        <w:rPr>
          <w:rFonts w:cs="DanaFajr" w:hint="cs"/>
          <w:b/>
          <w:bCs/>
          <w:rtl/>
        </w:rPr>
        <w:t>الحياة</w:t>
      </w:r>
      <w:r w:rsidRPr="00282AC9">
        <w:rPr>
          <w:rFonts w:cs="DanaFajr" w:hint="cs"/>
          <w:rtl/>
        </w:rPr>
        <w:t xml:space="preserve">: </w:t>
      </w:r>
      <w:r w:rsidRPr="00282AC9">
        <w:rPr>
          <w:rFonts w:ascii="Mosawi" w:hAnsi="Mosawi" w:cs="Mosawi"/>
          <w:sz w:val="22"/>
          <w:szCs w:val="22"/>
          <w:rtl/>
        </w:rPr>
        <w:t>﴿</w:t>
      </w:r>
      <w:r w:rsidRPr="00282AC9">
        <w:rPr>
          <w:rFonts w:cs="DanaFajr"/>
          <w:b/>
          <w:bCs/>
          <w:rtl/>
        </w:rPr>
        <w:t>وَمَا يَسْتَوِي الأَحْيَاءُ ولاَ الأَمْوَاتُ إِنَّ اللهَ يُسْمِعُ مَنْ يَشَاءُ ومَا أَنْتَ بِمُسْمِعٍ مَنْ فِي الْقُبُورِ</w:t>
      </w:r>
      <w:r w:rsidRPr="00282AC9">
        <w:rPr>
          <w:rFonts w:ascii="Mosawi" w:hAnsi="Mosawi" w:cs="Mosawi"/>
          <w:sz w:val="22"/>
          <w:szCs w:val="22"/>
          <w:rtl/>
        </w:rPr>
        <w:t>﴾</w:t>
      </w:r>
      <w:r w:rsidRPr="00282AC9">
        <w:rPr>
          <w:rFonts w:cs="DanaFajr" w:hint="cs"/>
          <w:rtl/>
        </w:rPr>
        <w:t xml:space="preserve"> (فاطر: 22)؛ </w:t>
      </w:r>
      <w:r w:rsidRPr="00282AC9">
        <w:rPr>
          <w:rFonts w:cs="DanaFajr" w:hint="cs"/>
          <w:b/>
          <w:bCs/>
          <w:rtl/>
        </w:rPr>
        <w:t>العلم</w:t>
      </w:r>
      <w:r w:rsidRPr="00282AC9">
        <w:rPr>
          <w:rFonts w:cs="DanaFajr" w:hint="cs"/>
          <w:rtl/>
        </w:rPr>
        <w:t xml:space="preserve">: </w:t>
      </w:r>
      <w:r w:rsidRPr="00282AC9">
        <w:rPr>
          <w:rFonts w:ascii="Mosawi" w:hAnsi="Mosawi" w:cs="Mosawi"/>
          <w:sz w:val="22"/>
          <w:szCs w:val="22"/>
          <w:rtl/>
        </w:rPr>
        <w:t>﴿</w:t>
      </w:r>
      <w:r w:rsidRPr="00282AC9">
        <w:rPr>
          <w:rFonts w:cs="DanaFajr"/>
          <w:b/>
          <w:bCs/>
          <w:rtl/>
        </w:rPr>
        <w:t>أَمَّنْ هُوَ قَانِتٌ آنَاءَ الل</w:t>
      </w:r>
      <w:r w:rsidRPr="00282AC9">
        <w:rPr>
          <w:rFonts w:cs="DanaFajr" w:hint="cs"/>
          <w:b/>
          <w:bCs/>
          <w:rtl/>
        </w:rPr>
        <w:t>َّ</w:t>
      </w:r>
      <w:r w:rsidRPr="00282AC9">
        <w:rPr>
          <w:rFonts w:cs="DanaFajr"/>
          <w:b/>
          <w:bCs/>
          <w:rtl/>
        </w:rPr>
        <w:t>يْلِ سَاجِداً و</w:t>
      </w:r>
      <w:r w:rsidRPr="00282AC9">
        <w:rPr>
          <w:rFonts w:cs="DanaFajr" w:hint="cs"/>
          <w:b/>
          <w:bCs/>
          <w:rtl/>
        </w:rPr>
        <w:t>َ</w:t>
      </w:r>
      <w:r w:rsidRPr="00282AC9">
        <w:rPr>
          <w:rFonts w:cs="DanaFajr"/>
          <w:b/>
          <w:bCs/>
          <w:rtl/>
        </w:rPr>
        <w:t>قَائِماً يَحْذَرُ الآخِرَةَ و</w:t>
      </w:r>
      <w:r w:rsidRPr="00282AC9">
        <w:rPr>
          <w:rFonts w:cs="DanaFajr" w:hint="cs"/>
          <w:b/>
          <w:bCs/>
          <w:rtl/>
        </w:rPr>
        <w:t>َ</w:t>
      </w:r>
      <w:r w:rsidRPr="00282AC9">
        <w:rPr>
          <w:rFonts w:cs="DanaFajr"/>
          <w:b/>
          <w:bCs/>
          <w:rtl/>
        </w:rPr>
        <w:t>يَرْجُو رَحْمَةَ رَبِّهِ قُلْ هَلْ يَسْتَوِ</w:t>
      </w:r>
      <w:r w:rsidRPr="00282AC9">
        <w:rPr>
          <w:rFonts w:cs="DanaFajr" w:hint="cs"/>
          <w:b/>
          <w:bCs/>
          <w:rtl/>
        </w:rPr>
        <w:t>ِ</w:t>
      </w:r>
      <w:r w:rsidRPr="00282AC9">
        <w:rPr>
          <w:rFonts w:cs="DanaFajr"/>
          <w:b/>
          <w:bCs/>
          <w:rtl/>
        </w:rPr>
        <w:t>ي الَّذِينَ يَعْلَمُونَ و</w:t>
      </w:r>
      <w:r w:rsidRPr="00282AC9">
        <w:rPr>
          <w:rFonts w:cs="DanaFajr" w:hint="cs"/>
          <w:b/>
          <w:bCs/>
          <w:rtl/>
        </w:rPr>
        <w:t>َ</w:t>
      </w:r>
      <w:r w:rsidRPr="00282AC9">
        <w:rPr>
          <w:rFonts w:cs="DanaFajr"/>
          <w:b/>
          <w:bCs/>
          <w:rtl/>
        </w:rPr>
        <w:t>الَّذِينَ لاَ يَعْلَمُونَ إِنَّمَا يَتَذَكَّرُ أُولُو الأَلْبَابِ</w:t>
      </w:r>
      <w:r w:rsidRPr="00282AC9">
        <w:rPr>
          <w:rFonts w:ascii="Mosawi" w:hAnsi="Mosawi" w:cs="Mosawi"/>
          <w:sz w:val="22"/>
          <w:szCs w:val="22"/>
          <w:rtl/>
        </w:rPr>
        <w:t>﴾</w:t>
      </w:r>
      <w:r w:rsidRPr="00282AC9">
        <w:rPr>
          <w:rFonts w:cs="DanaFajr" w:hint="cs"/>
          <w:rtl/>
        </w:rPr>
        <w:t xml:space="preserve"> (الزمر: 9)؛ </w:t>
      </w:r>
      <w:r w:rsidRPr="00282AC9">
        <w:rPr>
          <w:rFonts w:cs="DanaFajr" w:hint="cs"/>
          <w:b/>
          <w:bCs/>
          <w:rtl/>
        </w:rPr>
        <w:t>الإيمان والعمل الصالح</w:t>
      </w:r>
      <w:r w:rsidRPr="00282AC9">
        <w:rPr>
          <w:rFonts w:cs="DanaFajr" w:hint="cs"/>
          <w:rtl/>
        </w:rPr>
        <w:t xml:space="preserve">: </w:t>
      </w:r>
      <w:r w:rsidRPr="00282AC9">
        <w:rPr>
          <w:rFonts w:ascii="Mosawi" w:hAnsi="Mosawi" w:cs="Mosawi"/>
          <w:sz w:val="22"/>
          <w:szCs w:val="22"/>
          <w:rtl/>
        </w:rPr>
        <w:t>﴿</w:t>
      </w:r>
      <w:r w:rsidRPr="00282AC9">
        <w:rPr>
          <w:rFonts w:cs="DanaFajr"/>
          <w:b/>
          <w:bCs/>
          <w:rtl/>
        </w:rPr>
        <w:t>وَمَا يَسْتَوِي الأَعْمَى والْبَصِيرُ والَّذِينَ آمَنُوا وعَمِلُوا الصَّالِحَاتِ ولاَ الْمُسِي</w:t>
      </w:r>
      <w:r w:rsidRPr="00282AC9">
        <w:rPr>
          <w:rFonts w:ascii="Sakkal Majalla" w:hAnsi="Sakkal Majalla" w:cs="DanaFajr" w:hint="cs"/>
          <w:b/>
          <w:bCs/>
          <w:rtl/>
        </w:rPr>
        <w:t>‌</w:t>
      </w:r>
      <w:r w:rsidRPr="00282AC9">
        <w:rPr>
          <w:rFonts w:cs="DanaFajr" w:hint="cs"/>
          <w:b/>
          <w:bCs/>
          <w:rtl/>
        </w:rPr>
        <w:t>ءُ</w:t>
      </w:r>
      <w:r w:rsidRPr="00282AC9">
        <w:rPr>
          <w:rFonts w:cs="DanaFajr"/>
          <w:b/>
          <w:bCs/>
          <w:rtl/>
        </w:rPr>
        <w:t xml:space="preserve"> </w:t>
      </w:r>
      <w:r w:rsidRPr="00282AC9">
        <w:rPr>
          <w:rFonts w:cs="DanaFajr" w:hint="cs"/>
          <w:b/>
          <w:bCs/>
          <w:rtl/>
        </w:rPr>
        <w:t>قَلِيلاً</w:t>
      </w:r>
      <w:r w:rsidRPr="00282AC9">
        <w:rPr>
          <w:rFonts w:cs="DanaFajr"/>
          <w:b/>
          <w:bCs/>
          <w:rtl/>
        </w:rPr>
        <w:t xml:space="preserve"> </w:t>
      </w:r>
      <w:r w:rsidRPr="00282AC9">
        <w:rPr>
          <w:rFonts w:cs="DanaFajr" w:hint="cs"/>
          <w:b/>
          <w:bCs/>
          <w:rtl/>
        </w:rPr>
        <w:t>مَا</w:t>
      </w:r>
      <w:r w:rsidRPr="00282AC9">
        <w:rPr>
          <w:rFonts w:cs="DanaFajr"/>
          <w:b/>
          <w:bCs/>
          <w:rtl/>
        </w:rPr>
        <w:t xml:space="preserve"> </w:t>
      </w:r>
      <w:r w:rsidRPr="00282AC9">
        <w:rPr>
          <w:rFonts w:cs="DanaFajr" w:hint="cs"/>
          <w:b/>
          <w:bCs/>
          <w:rtl/>
        </w:rPr>
        <w:t>تَتَذَكَّرُونَ</w:t>
      </w:r>
      <w:r w:rsidRPr="00282AC9">
        <w:rPr>
          <w:rFonts w:ascii="Mosawi" w:hAnsi="Mosawi" w:cs="Mosawi"/>
          <w:sz w:val="22"/>
          <w:szCs w:val="22"/>
          <w:rtl/>
        </w:rPr>
        <w:t>﴾</w:t>
      </w:r>
      <w:r w:rsidRPr="00282AC9">
        <w:rPr>
          <w:rFonts w:cs="DanaFajr" w:hint="cs"/>
          <w:rtl/>
        </w:rPr>
        <w:t xml:space="preserve"> (غافر: 58)؛ </w:t>
      </w:r>
      <w:r w:rsidRPr="00282AC9">
        <w:rPr>
          <w:rFonts w:cs="DanaFajr" w:hint="cs"/>
          <w:b/>
          <w:bCs/>
          <w:rtl/>
        </w:rPr>
        <w:t>الإنفاق والجهاد قبل الفتح (في ظروف المحنة)</w:t>
      </w:r>
      <w:r w:rsidRPr="00282AC9">
        <w:rPr>
          <w:rFonts w:cs="DanaFajr" w:hint="cs"/>
          <w:rtl/>
        </w:rPr>
        <w:t xml:space="preserve">: </w:t>
      </w:r>
      <w:r w:rsidRPr="00282AC9">
        <w:rPr>
          <w:rFonts w:ascii="Mosawi" w:hAnsi="Mosawi" w:cs="Mosawi"/>
          <w:sz w:val="22"/>
          <w:szCs w:val="22"/>
          <w:rtl/>
        </w:rPr>
        <w:t>﴿</w:t>
      </w:r>
      <w:r w:rsidRPr="00282AC9">
        <w:rPr>
          <w:rFonts w:cs="DanaFajr" w:hint="cs"/>
          <w:b/>
          <w:bCs/>
          <w:rtl/>
        </w:rPr>
        <w:t>وَ</w:t>
      </w:r>
      <w:r w:rsidRPr="00282AC9">
        <w:rPr>
          <w:rFonts w:cs="DanaFajr"/>
          <w:b/>
          <w:bCs/>
          <w:rtl/>
        </w:rPr>
        <w:t>مَا لَكُمْ أَ</w:t>
      </w:r>
      <w:r w:rsidRPr="00282AC9">
        <w:rPr>
          <w:rFonts w:cs="DanaFajr" w:hint="cs"/>
          <w:b/>
          <w:bCs/>
          <w:rtl/>
        </w:rPr>
        <w:t xml:space="preserve">نْ </w:t>
      </w:r>
      <w:r w:rsidRPr="00282AC9">
        <w:rPr>
          <w:rFonts w:cs="DanaFajr"/>
          <w:b/>
          <w:bCs/>
          <w:rtl/>
        </w:rPr>
        <w:t>لا</w:t>
      </w:r>
      <w:r w:rsidRPr="00282AC9">
        <w:rPr>
          <w:rFonts w:cs="DanaFajr" w:hint="cs"/>
          <w:b/>
          <w:bCs/>
          <w:rtl/>
        </w:rPr>
        <w:t>َ</w:t>
      </w:r>
      <w:r w:rsidRPr="00282AC9">
        <w:rPr>
          <w:rFonts w:cs="DanaFajr"/>
          <w:b/>
          <w:bCs/>
          <w:rtl/>
        </w:rPr>
        <w:t xml:space="preserve"> تُنْفِقُوا فِي سَبِيلِ اللهِ و</w:t>
      </w:r>
      <w:r w:rsidRPr="00282AC9">
        <w:rPr>
          <w:rFonts w:cs="DanaFajr" w:hint="cs"/>
          <w:b/>
          <w:bCs/>
          <w:rtl/>
        </w:rPr>
        <w:t>َ</w:t>
      </w:r>
      <w:r w:rsidRPr="00282AC9">
        <w:rPr>
          <w:rFonts w:cs="DanaFajr"/>
          <w:b/>
          <w:bCs/>
          <w:rtl/>
        </w:rPr>
        <w:t>للهِ مِيرَاثُ السَّمَاوَاتِ و</w:t>
      </w:r>
      <w:r w:rsidRPr="00282AC9">
        <w:rPr>
          <w:rFonts w:cs="DanaFajr" w:hint="cs"/>
          <w:b/>
          <w:bCs/>
          <w:rtl/>
        </w:rPr>
        <w:t>َ</w:t>
      </w:r>
      <w:r w:rsidRPr="00282AC9">
        <w:rPr>
          <w:rFonts w:cs="DanaFajr"/>
          <w:b/>
          <w:bCs/>
          <w:rtl/>
        </w:rPr>
        <w:t>الأَرْضِ لاَ يَسْتَوِي مِنْكُمْ مَنْ أَنْفَقَ مِنْ قَبْلِ الْفَتْحِ و</w:t>
      </w:r>
      <w:r w:rsidRPr="00282AC9">
        <w:rPr>
          <w:rFonts w:cs="DanaFajr" w:hint="cs"/>
          <w:b/>
          <w:bCs/>
          <w:rtl/>
        </w:rPr>
        <w:t>َ</w:t>
      </w:r>
      <w:r w:rsidRPr="00282AC9">
        <w:rPr>
          <w:rFonts w:cs="DanaFajr"/>
          <w:b/>
          <w:bCs/>
          <w:rtl/>
        </w:rPr>
        <w:t>قَاتَلَ أُولئِكَ أَعْظَمُ دَرَجَةً مِنَ الَّذِينَ أَنْفَقُوا مِنْ بَعْدُ و</w:t>
      </w:r>
      <w:r w:rsidRPr="00282AC9">
        <w:rPr>
          <w:rFonts w:cs="DanaFajr" w:hint="cs"/>
          <w:b/>
          <w:bCs/>
          <w:rtl/>
        </w:rPr>
        <w:t>َ</w:t>
      </w:r>
      <w:r w:rsidRPr="00282AC9">
        <w:rPr>
          <w:rFonts w:cs="DanaFajr"/>
          <w:b/>
          <w:bCs/>
          <w:rtl/>
        </w:rPr>
        <w:t>قَاتَلُوا و</w:t>
      </w:r>
      <w:r w:rsidRPr="00282AC9">
        <w:rPr>
          <w:rFonts w:cs="DanaFajr" w:hint="cs"/>
          <w:b/>
          <w:bCs/>
          <w:rtl/>
        </w:rPr>
        <w:t>َ</w:t>
      </w:r>
      <w:r w:rsidRPr="00282AC9">
        <w:rPr>
          <w:rFonts w:cs="DanaFajr"/>
          <w:b/>
          <w:bCs/>
          <w:rtl/>
        </w:rPr>
        <w:t>كُلاًّ وَعَدَ اللهُ الْحُسْنَى و</w:t>
      </w:r>
      <w:r w:rsidRPr="00282AC9">
        <w:rPr>
          <w:rFonts w:cs="DanaFajr" w:hint="cs"/>
          <w:b/>
          <w:bCs/>
          <w:rtl/>
        </w:rPr>
        <w:t>َ</w:t>
      </w:r>
      <w:r w:rsidRPr="00282AC9">
        <w:rPr>
          <w:rFonts w:cs="DanaFajr"/>
          <w:b/>
          <w:bCs/>
          <w:rtl/>
        </w:rPr>
        <w:t>اللهُ بِمَا تَعْمَلُونَ خَبِيرٌ</w:t>
      </w:r>
      <w:r w:rsidRPr="00282AC9">
        <w:rPr>
          <w:rFonts w:ascii="Mosawi" w:hAnsi="Mosawi" w:cs="Mosawi"/>
          <w:sz w:val="22"/>
          <w:szCs w:val="22"/>
          <w:rtl/>
        </w:rPr>
        <w:t>﴾</w:t>
      </w:r>
      <w:r w:rsidRPr="00282AC9">
        <w:rPr>
          <w:rFonts w:cs="DanaFajr" w:hint="cs"/>
          <w:rtl/>
        </w:rPr>
        <w:t xml:space="preserve"> (الحديد: 10).</w:t>
      </w:r>
    </w:p>
  </w:endnote>
  <w:endnote w:id="642">
    <w:p w:rsidR="00C14EDE" w:rsidRPr="00282AC9" w:rsidRDefault="00C14EDE" w:rsidP="00887323">
      <w:pPr>
        <w:pStyle w:val="af7"/>
        <w:spacing w:line="296" w:lineRule="exact"/>
        <w:ind w:firstLine="0"/>
        <w:rPr>
          <w:rFonts w:cs="DanaFajr"/>
          <w:sz w:val="28"/>
          <w:szCs w:val="28"/>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الكافي ‏</w:t>
      </w:r>
      <w:r w:rsidRPr="00282AC9">
        <w:rPr>
          <w:rFonts w:cs="DanaFajr" w:hint="cs"/>
          <w:sz w:val="28"/>
          <w:szCs w:val="28"/>
          <w:rtl/>
        </w:rPr>
        <w:t>5</w:t>
      </w:r>
      <w:r w:rsidRPr="00282AC9">
        <w:rPr>
          <w:rFonts w:cs="DanaFajr" w:hint="cs"/>
          <w:sz w:val="28"/>
          <w:szCs w:val="28"/>
          <w:rtl/>
          <w:lang w:bidi="fa-IR"/>
        </w:rPr>
        <w:t>: 333، طبعة الإسلامية.</w:t>
      </w:r>
    </w:p>
  </w:endnote>
  <w:endnote w:id="643">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عبد الرزّاق الصنعاني، المصنَّف 6: 160. كذلك ورد في سنن النسائي 6: 65 ما يشبه ذلك: </w:t>
      </w:r>
      <w:r w:rsidRPr="00282AC9">
        <w:rPr>
          <w:rFonts w:cs="DanaFajr"/>
          <w:sz w:val="28"/>
          <w:szCs w:val="28"/>
          <w:rtl/>
        </w:rPr>
        <w:t>أَخْبَرَنَا عَبْدُ الرَّحْمَنِ بْنُ خَالِدٍ قَالَ: حَدَّثَنَا يَزِيدُ بْنُ هَارُونَ قَالَ: أَنْبَأَنَا الْمُسْتَلِمُ بْنُ سَعِيدٍ، عَنْ مَنْصُورِ بْنِ زَاذَانَ، عَنْ مُعَاوِيَةَ بْنِ قُرَّةَ، عَنْ مَعْقِلِ بْنِ يَسَارٍ قَالَ: جَاءَ رَجُلٌ إِلَى رَسُولِ اللهِ</w:t>
      </w:r>
      <w:r w:rsidRPr="00282AC9">
        <w:rPr>
          <w:rFonts w:ascii="Mosawi" w:hAnsi="Mosawi" w:cs="Mosawi"/>
          <w:rtl/>
        </w:rPr>
        <w:t>ﷺ</w:t>
      </w:r>
      <w:r w:rsidRPr="00282AC9">
        <w:rPr>
          <w:rFonts w:cs="DanaFajr"/>
          <w:sz w:val="28"/>
          <w:szCs w:val="28"/>
          <w:rtl/>
        </w:rPr>
        <w:t>، فَقَالَ: إِنِّي أَصَبْتُ امْرَأَةً ذَاتَ حَسَبٍ وَمَنْصِبٍ، إِلاّ</w:t>
      </w:r>
      <w:r w:rsidRPr="00282AC9">
        <w:rPr>
          <w:rFonts w:cs="DanaFajr" w:hint="cs"/>
          <w:sz w:val="28"/>
          <w:szCs w:val="28"/>
          <w:rtl/>
        </w:rPr>
        <w:t>َ</w:t>
      </w:r>
      <w:r w:rsidRPr="00282AC9">
        <w:rPr>
          <w:rFonts w:cs="DanaFajr"/>
          <w:sz w:val="28"/>
          <w:szCs w:val="28"/>
          <w:rtl/>
        </w:rPr>
        <w:t xml:space="preserve"> أَنَّهَا لا تَلِدُ، أَفَأَتَزَوَّجُهَا؟ فَنَهَاهُ، ثُمَّ أَتَاهُ الثَّانِيَةَ، فَنَهَاهُ، ثُمَّ أَتَاهُ الثَّالِثَةَ، فَنَهَاهُ، فَقَالَ: </w:t>
      </w:r>
      <w:r w:rsidRPr="00282AC9">
        <w:rPr>
          <w:sz w:val="22"/>
          <w:szCs w:val="22"/>
          <w:rtl/>
        </w:rPr>
        <w:t>«</w:t>
      </w:r>
      <w:r w:rsidRPr="00282AC9">
        <w:rPr>
          <w:rFonts w:cs="DanaFajr"/>
          <w:sz w:val="28"/>
          <w:szCs w:val="28"/>
          <w:rtl/>
        </w:rPr>
        <w:t>تَزَوَّجُوا الْوَلُودَ الْوَدُودَ</w:t>
      </w:r>
      <w:r w:rsidRPr="00282AC9">
        <w:rPr>
          <w:rFonts w:cs="DanaFajr" w:hint="cs"/>
          <w:sz w:val="28"/>
          <w:szCs w:val="28"/>
          <w:rtl/>
        </w:rPr>
        <w:t>؛</w:t>
      </w:r>
      <w:r w:rsidRPr="00282AC9">
        <w:rPr>
          <w:rFonts w:cs="DanaFajr"/>
          <w:sz w:val="28"/>
          <w:szCs w:val="28"/>
          <w:rtl/>
        </w:rPr>
        <w:t xml:space="preserve"> فَإِنِّي مُكَاثِرٌ بِكُمْ</w:t>
      </w:r>
      <w:r w:rsidRPr="00282AC9">
        <w:rPr>
          <w:sz w:val="22"/>
          <w:szCs w:val="22"/>
          <w:rtl/>
        </w:rPr>
        <w:t>»</w:t>
      </w:r>
      <w:r w:rsidRPr="00282AC9">
        <w:rPr>
          <w:rFonts w:cs="DanaFajr" w:hint="cs"/>
          <w:sz w:val="28"/>
          <w:szCs w:val="28"/>
          <w:rtl/>
        </w:rPr>
        <w:t>.</w:t>
      </w:r>
    </w:p>
  </w:endnote>
  <w:endnote w:id="644">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الكافي ‏</w:t>
      </w:r>
      <w:r w:rsidRPr="00282AC9">
        <w:rPr>
          <w:rFonts w:cs="DanaFajr" w:hint="cs"/>
          <w:sz w:val="28"/>
          <w:szCs w:val="28"/>
          <w:rtl/>
        </w:rPr>
        <w:t>5</w:t>
      </w:r>
      <w:r w:rsidRPr="00282AC9">
        <w:rPr>
          <w:rFonts w:cs="DanaFajr" w:hint="cs"/>
          <w:sz w:val="28"/>
          <w:szCs w:val="28"/>
          <w:rtl/>
          <w:lang w:bidi="fa-IR"/>
        </w:rPr>
        <w:t>: 333، طبعة الإسلامية.</w:t>
      </w:r>
    </w:p>
  </w:endnote>
  <w:endnote w:id="645">
    <w:p w:rsidR="00C14EDE" w:rsidRPr="00282AC9" w:rsidRDefault="00C14EDE" w:rsidP="00887323">
      <w:pPr>
        <w:pStyle w:val="af7"/>
        <w:spacing w:line="296" w:lineRule="exact"/>
        <w:ind w:firstLine="0"/>
        <w:rPr>
          <w:rFonts w:cs="DanaFajr"/>
          <w:sz w:val="28"/>
          <w:szCs w:val="28"/>
        </w:rPr>
      </w:pPr>
      <w:r w:rsidRPr="00282AC9">
        <w:rPr>
          <w:rFonts w:cs="DanaFajr"/>
          <w:sz w:val="28"/>
          <w:szCs w:val="28"/>
          <w:rtl/>
          <w:lang w:bidi="fa-IR"/>
        </w:rPr>
        <w:t>(</w:t>
      </w:r>
      <w:r w:rsidRPr="00282AC9">
        <w:rPr>
          <w:rStyle w:val="af9"/>
          <w:rFonts w:cs="DanaFajr"/>
          <w:sz w:val="28"/>
          <w:szCs w:val="28"/>
          <w:vertAlign w:val="baseline"/>
        </w:rPr>
        <w:endnoteRef/>
      </w:r>
      <w:r w:rsidRPr="00282AC9">
        <w:rPr>
          <w:rFonts w:cs="DanaFajr"/>
          <w:sz w:val="28"/>
          <w:szCs w:val="28"/>
          <w:rtl/>
          <w:lang w:bidi="fa-IR"/>
        </w:rPr>
        <w:t>)</w:t>
      </w:r>
      <w:r w:rsidRPr="00282AC9">
        <w:rPr>
          <w:rFonts w:cs="DanaFajr" w:hint="cs"/>
          <w:sz w:val="28"/>
          <w:szCs w:val="28"/>
          <w:rtl/>
        </w:rPr>
        <w:t xml:space="preserve"> عبد الرزاق الصنعاني، المصنَّف 6: 160. </w:t>
      </w:r>
    </w:p>
  </w:endnote>
  <w:endnote w:id="646">
    <w:p w:rsidR="00C14EDE" w:rsidRPr="00282AC9" w:rsidRDefault="00C14EDE" w:rsidP="00887323">
      <w:pPr>
        <w:pStyle w:val="af7"/>
        <w:spacing w:line="296" w:lineRule="exact"/>
        <w:ind w:firstLine="0"/>
        <w:rPr>
          <w:rFonts w:ascii="Cambria" w:hAnsi="Cambria" w:cs="DanaFajr"/>
          <w:sz w:val="28"/>
          <w:szCs w:val="28"/>
          <w:rtl/>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ascii="Cambria" w:hAnsi="Cambria" w:cs="DanaFajr" w:hint="cs"/>
          <w:sz w:val="28"/>
          <w:szCs w:val="28"/>
          <w:rtl/>
        </w:rPr>
        <w:t>رجال النجاشي: 18</w:t>
      </w:r>
      <w:r w:rsidRPr="00282AC9">
        <w:rPr>
          <w:rFonts w:cs="DanaFajr" w:hint="cs"/>
          <w:sz w:val="28"/>
          <w:szCs w:val="28"/>
          <w:rtl/>
        </w:rPr>
        <w:t>5</w:t>
      </w:r>
      <w:r w:rsidRPr="00282AC9">
        <w:rPr>
          <w:rFonts w:ascii="Cambria" w:hAnsi="Cambria" w:cs="DanaFajr" w:hint="cs"/>
          <w:sz w:val="28"/>
          <w:szCs w:val="28"/>
          <w:rtl/>
        </w:rPr>
        <w:t>.</w:t>
      </w:r>
    </w:p>
  </w:endnote>
  <w:endnote w:id="647">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الكافي ‏</w:t>
      </w:r>
      <w:r w:rsidRPr="00282AC9">
        <w:rPr>
          <w:rFonts w:cs="DanaFajr" w:hint="cs"/>
          <w:sz w:val="28"/>
          <w:szCs w:val="28"/>
          <w:rtl/>
        </w:rPr>
        <w:t>5</w:t>
      </w:r>
      <w:r w:rsidRPr="00282AC9">
        <w:rPr>
          <w:rFonts w:cs="DanaFajr" w:hint="cs"/>
          <w:sz w:val="28"/>
          <w:szCs w:val="28"/>
          <w:rtl/>
          <w:lang w:bidi="fa-IR"/>
        </w:rPr>
        <w:t>: 33</w:t>
      </w:r>
      <w:r w:rsidRPr="00282AC9">
        <w:rPr>
          <w:rFonts w:cs="DanaFajr" w:hint="cs"/>
          <w:sz w:val="28"/>
          <w:szCs w:val="28"/>
          <w:rtl/>
        </w:rPr>
        <w:t>4</w:t>
      </w:r>
      <w:r w:rsidRPr="00282AC9">
        <w:rPr>
          <w:rFonts w:cs="DanaFajr" w:hint="cs"/>
          <w:sz w:val="28"/>
          <w:szCs w:val="28"/>
          <w:rtl/>
          <w:lang w:bidi="fa-IR"/>
        </w:rPr>
        <w:t>، طبعة الإسلامية.</w:t>
      </w:r>
    </w:p>
  </w:endnote>
  <w:endnote w:id="648">
    <w:p w:rsidR="00C14EDE" w:rsidRPr="00282AC9" w:rsidRDefault="00C14EDE" w:rsidP="00887323">
      <w:pPr>
        <w:pStyle w:val="af7"/>
        <w:spacing w:line="296" w:lineRule="exact"/>
        <w:ind w:firstLine="0"/>
        <w:rPr>
          <w:rFonts w:cs="DanaFajr"/>
          <w:sz w:val="28"/>
          <w:szCs w:val="28"/>
          <w:lang w:bidi="fa-IR"/>
        </w:rPr>
      </w:pPr>
      <w:r w:rsidRPr="00282AC9">
        <w:rPr>
          <w:rFonts w:cs="DanaFajr"/>
          <w:sz w:val="28"/>
          <w:szCs w:val="28"/>
          <w:rtl/>
          <w:lang w:bidi="fa-IR"/>
        </w:rPr>
        <w:t>(</w:t>
      </w:r>
      <w:r w:rsidRPr="00282AC9">
        <w:rPr>
          <w:rFonts w:cs="DanaFajr"/>
          <w:sz w:val="28"/>
          <w:szCs w:val="28"/>
          <w:lang w:bidi="fa-IR"/>
        </w:rPr>
        <w:endnoteRef/>
      </w:r>
      <w:r w:rsidRPr="00282AC9">
        <w:rPr>
          <w:rFonts w:cs="DanaFajr"/>
          <w:sz w:val="28"/>
          <w:szCs w:val="28"/>
          <w:rtl/>
          <w:lang w:bidi="fa-IR"/>
        </w:rPr>
        <w:t>)</w:t>
      </w:r>
      <w:r w:rsidRPr="00282AC9">
        <w:rPr>
          <w:rFonts w:cs="DanaFajr" w:hint="cs"/>
          <w:sz w:val="28"/>
          <w:szCs w:val="28"/>
          <w:rtl/>
          <w:lang w:bidi="fa-IR"/>
        </w:rPr>
        <w:t xml:space="preserve"> الراوندي، النوادر: 13. </w:t>
      </w:r>
    </w:p>
  </w:endnote>
  <w:endnote w:id="649">
    <w:p w:rsidR="00C14EDE" w:rsidRPr="00282AC9" w:rsidRDefault="00C14EDE" w:rsidP="00887323">
      <w:pPr>
        <w:pStyle w:val="af7"/>
        <w:spacing w:line="296" w:lineRule="exact"/>
        <w:ind w:firstLine="0"/>
        <w:rPr>
          <w:rFonts w:cs="DanaFajr"/>
          <w:sz w:val="28"/>
          <w:szCs w:val="28"/>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مكارم الأخلاق: 202</w:t>
      </w:r>
      <w:r w:rsidRPr="00282AC9">
        <w:rPr>
          <w:rFonts w:cs="DanaFajr" w:hint="cs"/>
          <w:sz w:val="28"/>
          <w:szCs w:val="28"/>
          <w:rtl/>
          <w:lang w:bidi="fa-IR"/>
        </w:rPr>
        <w:t>.</w:t>
      </w:r>
    </w:p>
  </w:endnote>
  <w:endnote w:id="650">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hint="cs"/>
          <w:sz w:val="28"/>
          <w:szCs w:val="28"/>
          <w:rtl/>
          <w:lang w:bidi="fa-IR"/>
        </w:rPr>
        <w:t xml:space="preserve"> الكافي ‏</w:t>
      </w:r>
      <w:r w:rsidRPr="00282AC9">
        <w:rPr>
          <w:rFonts w:cs="DanaFajr" w:hint="cs"/>
          <w:sz w:val="28"/>
          <w:szCs w:val="28"/>
          <w:rtl/>
        </w:rPr>
        <w:t>5</w:t>
      </w:r>
      <w:r w:rsidRPr="00282AC9">
        <w:rPr>
          <w:rFonts w:cs="DanaFajr" w:hint="cs"/>
          <w:sz w:val="28"/>
          <w:szCs w:val="28"/>
          <w:rtl/>
          <w:lang w:bidi="fa-IR"/>
        </w:rPr>
        <w:t>: 333، طبعة الدار الإسلامية.</w:t>
      </w:r>
    </w:p>
  </w:endnote>
  <w:endnote w:id="651">
    <w:p w:rsidR="00C14EDE" w:rsidRPr="00282AC9" w:rsidRDefault="00C14EDE" w:rsidP="00887323">
      <w:pPr>
        <w:pStyle w:val="af7"/>
        <w:spacing w:line="296" w:lineRule="exact"/>
        <w:ind w:firstLine="0"/>
        <w:rPr>
          <w:rFonts w:cs="DanaFajr"/>
          <w:sz w:val="28"/>
          <w:szCs w:val="28"/>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المصدر السابق ‏</w:t>
      </w:r>
      <w:r w:rsidRPr="00282AC9">
        <w:rPr>
          <w:rFonts w:cs="DanaFajr" w:hint="cs"/>
          <w:sz w:val="28"/>
          <w:szCs w:val="28"/>
          <w:rtl/>
        </w:rPr>
        <w:t>5</w:t>
      </w:r>
      <w:r w:rsidRPr="00282AC9">
        <w:rPr>
          <w:rFonts w:cs="DanaFajr" w:hint="cs"/>
          <w:sz w:val="28"/>
          <w:szCs w:val="28"/>
          <w:rtl/>
          <w:lang w:bidi="fa-IR"/>
        </w:rPr>
        <w:t>: 32</w:t>
      </w:r>
      <w:r w:rsidRPr="00282AC9">
        <w:rPr>
          <w:rFonts w:cs="DanaFajr" w:hint="cs"/>
          <w:sz w:val="28"/>
          <w:szCs w:val="28"/>
          <w:rtl/>
        </w:rPr>
        <w:t>5</w:t>
      </w:r>
      <w:r w:rsidRPr="00282AC9">
        <w:rPr>
          <w:rFonts w:cs="DanaFajr" w:hint="cs"/>
          <w:sz w:val="28"/>
          <w:szCs w:val="28"/>
          <w:rtl/>
          <w:lang w:bidi="fa-IR"/>
        </w:rPr>
        <w:t>.</w:t>
      </w:r>
    </w:p>
  </w:endnote>
  <w:endnote w:id="652">
    <w:p w:rsidR="00C14EDE" w:rsidRPr="00282AC9" w:rsidRDefault="00C14EDE" w:rsidP="00887323">
      <w:pPr>
        <w:pStyle w:val="afc"/>
        <w:spacing w:line="296" w:lineRule="exact"/>
        <w:ind w:firstLine="0"/>
        <w:rPr>
          <w:rFonts w:cs="DanaFajr"/>
          <w:sz w:val="28"/>
          <w:szCs w:val="28"/>
          <w:lang w:bidi="fa-IR"/>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lang w:bidi="fa-IR"/>
        </w:rPr>
        <w:t xml:space="preserve">الشيخ الكليني أيضاً نقل هذه التكملة، ولكنْ في حديثٍ مستقلّ، في الكافي 2: </w:t>
      </w:r>
      <w:r w:rsidRPr="00282AC9">
        <w:rPr>
          <w:rFonts w:cs="DanaFajr" w:hint="cs"/>
          <w:sz w:val="28"/>
          <w:szCs w:val="28"/>
          <w:rtl/>
        </w:rPr>
        <w:t>5</w:t>
      </w:r>
      <w:r w:rsidRPr="00282AC9">
        <w:rPr>
          <w:rFonts w:cs="DanaFajr" w:hint="cs"/>
          <w:sz w:val="28"/>
          <w:szCs w:val="28"/>
          <w:rtl/>
          <w:lang w:bidi="fa-IR"/>
        </w:rPr>
        <w:t>7، بسنده عَنْ أَبِي حَمْزَةَ، عَنْ جَابِرِ بْنِ عَبْدِ اللهِ قَالَ: قَالَ رَسُولُ اللهِ</w:t>
      </w:r>
      <w:r w:rsidRPr="00282AC9">
        <w:rPr>
          <w:rFonts w:cs="Mosawi" w:hint="cs"/>
          <w:sz w:val="20"/>
          <w:szCs w:val="20"/>
          <w:rtl/>
        </w:rPr>
        <w:t>|</w:t>
      </w:r>
      <w:r w:rsidRPr="00282AC9">
        <w:rPr>
          <w:rFonts w:ascii="Mosawi" w:hAnsi="Mosawi" w:cs="DanaFajr" w:hint="cs"/>
          <w:sz w:val="28"/>
          <w:szCs w:val="28"/>
          <w:rtl/>
          <w:lang w:bidi="fa-IR"/>
        </w:rPr>
        <w:t>:</w:t>
      </w:r>
      <w:r w:rsidRPr="00282AC9">
        <w:rPr>
          <w:rFonts w:cs="DanaFajr" w:hint="cs"/>
          <w:sz w:val="28"/>
          <w:szCs w:val="28"/>
          <w:rtl/>
          <w:lang w:bidi="fa-IR"/>
        </w:rPr>
        <w:t xml:space="preserve"> </w:t>
      </w:r>
      <w:r w:rsidRPr="00282AC9">
        <w:rPr>
          <w:rFonts w:ascii="Mosawi" w:hAnsi="Mosawi" w:cs="AL-Mohanad"/>
          <w:sz w:val="22"/>
          <w:szCs w:val="22"/>
          <w:rtl/>
          <w:lang w:bidi="fa-IR"/>
        </w:rPr>
        <w:t>«</w:t>
      </w:r>
      <w:r w:rsidRPr="00282AC9">
        <w:rPr>
          <w:rFonts w:cs="DanaFajr" w:hint="cs"/>
          <w:sz w:val="28"/>
          <w:szCs w:val="28"/>
          <w:rtl/>
          <w:lang w:bidi="fa-IR"/>
        </w:rPr>
        <w:t>أَلا أُخْبِرُكُمْ‏ بِخَيْرِ رِجَالِكُمْ‏؟ قُلْنَا: بَلَى يَا رَسُولَ اللهِ، قَالَ: إِنَّ مِنْ خَيْرِ رِجَالِكُمُ التَّقِيَّ، النَّقِيَّ، السَّمْحَ الْكَفَّيْنِ، النَّقِيَّ الطَّرَفَيْنِ، الْبَرَّ بِوَالِدَيْهِ، وَلا يُلْجِئُ عِيَالَهُ إِلَى غَيْرِهِ‏</w:t>
      </w:r>
      <w:r w:rsidRPr="00282AC9">
        <w:rPr>
          <w:rFonts w:cs="AL-Mohanad"/>
          <w:sz w:val="22"/>
          <w:szCs w:val="22"/>
          <w:rtl/>
          <w:lang w:bidi="fa-IR"/>
        </w:rPr>
        <w:t>»</w:t>
      </w:r>
      <w:r w:rsidRPr="00282AC9">
        <w:rPr>
          <w:rFonts w:cs="DanaFajr" w:hint="cs"/>
          <w:sz w:val="28"/>
          <w:szCs w:val="28"/>
          <w:rtl/>
          <w:lang w:bidi="fa-IR"/>
        </w:rPr>
        <w:t xml:space="preserve">. </w:t>
      </w:r>
      <w:r w:rsidRPr="00282AC9">
        <w:rPr>
          <w:rFonts w:cs="DanaFajr" w:hint="cs"/>
          <w:sz w:val="28"/>
          <w:szCs w:val="28"/>
          <w:rtl/>
        </w:rPr>
        <w:t xml:space="preserve">كما نقل الكليني صدر الرواية في باب خير النساء. </w:t>
      </w:r>
      <w:r w:rsidRPr="00282AC9">
        <w:rPr>
          <w:rFonts w:cs="DanaFajr" w:hint="cs"/>
          <w:sz w:val="28"/>
          <w:szCs w:val="28"/>
          <w:rtl/>
          <w:lang w:bidi="fa-IR"/>
        </w:rPr>
        <w:t xml:space="preserve">والظاهر؛ بقرينة نقل الطوسي، ووحدة السياق، أنّها كلّها رواية واحدة، نقل لنا الطوسي بعضها إلى جانب بعضٍ. </w:t>
      </w:r>
    </w:p>
  </w:endnote>
  <w:endnote w:id="653">
    <w:p w:rsidR="00C14EDE" w:rsidRPr="00282AC9" w:rsidRDefault="00C14EDE" w:rsidP="00887323">
      <w:pPr>
        <w:pStyle w:val="afc"/>
        <w:spacing w:line="296" w:lineRule="exact"/>
        <w:ind w:firstLine="0"/>
        <w:rPr>
          <w:rFonts w:cs="DanaFajr"/>
          <w:sz w:val="28"/>
          <w:szCs w:val="28"/>
          <w:lang w:bidi="fa-IR"/>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sz w:val="28"/>
          <w:szCs w:val="28"/>
          <w:rtl/>
          <w:lang w:bidi="fa-IR"/>
        </w:rPr>
        <w:t xml:space="preserve">تهذيب الأحكام </w:t>
      </w:r>
      <w:r w:rsidRPr="00282AC9">
        <w:rPr>
          <w:rFonts w:cs="DanaFajr" w:hint="cs"/>
          <w:sz w:val="28"/>
          <w:szCs w:val="28"/>
          <w:rtl/>
          <w:lang w:bidi="fa-IR"/>
        </w:rPr>
        <w:t>‌</w:t>
      </w:r>
      <w:r w:rsidRPr="00282AC9">
        <w:rPr>
          <w:rFonts w:cs="DanaFajr"/>
          <w:sz w:val="28"/>
          <w:szCs w:val="28"/>
          <w:rtl/>
          <w:lang w:bidi="fa-IR"/>
        </w:rPr>
        <w:t xml:space="preserve">7: </w:t>
      </w:r>
      <w:r w:rsidRPr="00282AC9">
        <w:rPr>
          <w:rFonts w:cs="DanaFajr" w:hint="cs"/>
          <w:sz w:val="28"/>
          <w:szCs w:val="28"/>
          <w:rtl/>
        </w:rPr>
        <w:t>4</w:t>
      </w:r>
      <w:r w:rsidRPr="00282AC9">
        <w:rPr>
          <w:rFonts w:cs="DanaFajr"/>
          <w:sz w:val="28"/>
          <w:szCs w:val="28"/>
          <w:rtl/>
          <w:lang w:bidi="fa-IR"/>
        </w:rPr>
        <w:t>00</w:t>
      </w:r>
      <w:r w:rsidRPr="00282AC9">
        <w:rPr>
          <w:rFonts w:cs="DanaFajr"/>
          <w:sz w:val="28"/>
          <w:szCs w:val="28"/>
          <w:lang w:bidi="fa-IR"/>
        </w:rPr>
        <w:t>.</w:t>
      </w:r>
    </w:p>
  </w:endnote>
  <w:endnote w:id="654">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lang w:bidi="fa-IR"/>
        </w:rPr>
        <w:t xml:space="preserve"> الکشّي، اختيار معرفة الرجال: 201.</w:t>
      </w:r>
    </w:p>
  </w:endnote>
  <w:endnote w:id="655">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lang w:bidi="fa-IR"/>
        </w:rPr>
        <w:t>(</w:t>
      </w:r>
      <w:r w:rsidRPr="00282AC9">
        <w:rPr>
          <w:rFonts w:cs="DanaFajr"/>
          <w:sz w:val="28"/>
          <w:szCs w:val="28"/>
          <w:lang w:bidi="fa-IR"/>
        </w:rPr>
        <w:endnoteRef/>
      </w:r>
      <w:r w:rsidRPr="00282AC9">
        <w:rPr>
          <w:rFonts w:cs="DanaFajr"/>
          <w:sz w:val="28"/>
          <w:szCs w:val="28"/>
          <w:rtl/>
          <w:lang w:bidi="fa-IR"/>
        </w:rPr>
        <w:t>)</w:t>
      </w:r>
      <w:r w:rsidRPr="00282AC9">
        <w:rPr>
          <w:rFonts w:cs="DanaFajr" w:hint="cs"/>
          <w:sz w:val="28"/>
          <w:szCs w:val="28"/>
          <w:rtl/>
          <w:lang w:bidi="fa-IR"/>
        </w:rPr>
        <w:t xml:space="preserve"> الكافي ‏</w:t>
      </w:r>
      <w:r w:rsidRPr="00282AC9">
        <w:rPr>
          <w:rFonts w:cs="DanaFajr" w:hint="cs"/>
          <w:sz w:val="28"/>
          <w:szCs w:val="28"/>
          <w:rtl/>
        </w:rPr>
        <w:t>5</w:t>
      </w:r>
      <w:r w:rsidRPr="00282AC9">
        <w:rPr>
          <w:rFonts w:cs="DanaFajr" w:hint="cs"/>
          <w:sz w:val="28"/>
          <w:szCs w:val="28"/>
          <w:rtl/>
          <w:lang w:bidi="fa-IR"/>
        </w:rPr>
        <w:t>: 323، طبعة الإسلامية.</w:t>
      </w:r>
    </w:p>
  </w:endnote>
  <w:endnote w:id="656">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lang w:bidi="fa-IR"/>
        </w:rPr>
        <w:t>(</w:t>
      </w:r>
      <w:r w:rsidRPr="00282AC9">
        <w:rPr>
          <w:rFonts w:cs="DanaFajr"/>
          <w:sz w:val="28"/>
          <w:szCs w:val="28"/>
          <w:lang w:bidi="fa-IR"/>
        </w:rPr>
        <w:endnoteRef/>
      </w:r>
      <w:r w:rsidRPr="00282AC9">
        <w:rPr>
          <w:rFonts w:cs="DanaFajr"/>
          <w:sz w:val="28"/>
          <w:szCs w:val="28"/>
          <w:rtl/>
          <w:lang w:bidi="fa-IR"/>
        </w:rPr>
        <w:t xml:space="preserve">) </w:t>
      </w:r>
      <w:r w:rsidRPr="00282AC9">
        <w:rPr>
          <w:rFonts w:cs="DanaFajr" w:hint="cs"/>
          <w:sz w:val="28"/>
          <w:szCs w:val="28"/>
          <w:rtl/>
          <w:lang w:bidi="fa-IR"/>
        </w:rPr>
        <w:t>المصدر السابق ‏</w:t>
      </w:r>
      <w:r w:rsidRPr="00282AC9">
        <w:rPr>
          <w:rFonts w:cs="DanaFajr" w:hint="cs"/>
          <w:sz w:val="28"/>
          <w:szCs w:val="28"/>
          <w:rtl/>
        </w:rPr>
        <w:t>5</w:t>
      </w:r>
      <w:r w:rsidRPr="00282AC9">
        <w:rPr>
          <w:rFonts w:cs="DanaFajr" w:hint="cs"/>
          <w:sz w:val="28"/>
          <w:szCs w:val="28"/>
          <w:rtl/>
          <w:lang w:bidi="fa-IR"/>
        </w:rPr>
        <w:t>: 32</w:t>
      </w:r>
      <w:r w:rsidRPr="00282AC9">
        <w:rPr>
          <w:rFonts w:cs="DanaFajr" w:hint="cs"/>
          <w:sz w:val="28"/>
          <w:szCs w:val="28"/>
          <w:rtl/>
        </w:rPr>
        <w:t>5</w:t>
      </w:r>
      <w:r w:rsidRPr="00282AC9">
        <w:rPr>
          <w:rFonts w:cs="DanaFajr" w:hint="cs"/>
          <w:sz w:val="28"/>
          <w:szCs w:val="28"/>
          <w:rtl/>
          <w:lang w:bidi="fa-IR"/>
        </w:rPr>
        <w:t>.</w:t>
      </w:r>
    </w:p>
  </w:endnote>
  <w:endnote w:id="657">
    <w:p w:rsidR="00C14EDE" w:rsidRPr="00282AC9" w:rsidRDefault="00C14EDE" w:rsidP="00887323">
      <w:pPr>
        <w:pStyle w:val="af7"/>
        <w:spacing w:line="296" w:lineRule="exact"/>
        <w:ind w:firstLine="0"/>
        <w:rPr>
          <w:rFonts w:cs="DanaFajr"/>
          <w:sz w:val="28"/>
          <w:szCs w:val="28"/>
        </w:rPr>
      </w:pPr>
      <w:r w:rsidRPr="00282AC9">
        <w:rPr>
          <w:rFonts w:cs="DanaFajr"/>
          <w:sz w:val="28"/>
          <w:szCs w:val="28"/>
          <w:rtl/>
          <w:lang w:bidi="fa-IR"/>
        </w:rPr>
        <w:t>(</w:t>
      </w:r>
      <w:r w:rsidRPr="00282AC9">
        <w:rPr>
          <w:rStyle w:val="af9"/>
          <w:rFonts w:cs="DanaFajr"/>
          <w:sz w:val="28"/>
          <w:szCs w:val="28"/>
          <w:vertAlign w:val="baseline"/>
        </w:rPr>
        <w:endnoteRef/>
      </w:r>
      <w:r w:rsidRPr="00282AC9">
        <w:rPr>
          <w:rFonts w:cs="DanaFajr"/>
          <w:sz w:val="28"/>
          <w:szCs w:val="28"/>
          <w:rtl/>
          <w:lang w:bidi="fa-IR"/>
        </w:rPr>
        <w:t>)</w:t>
      </w:r>
      <w:r w:rsidRPr="00282AC9">
        <w:rPr>
          <w:rFonts w:cs="DanaFajr"/>
          <w:sz w:val="28"/>
          <w:szCs w:val="28"/>
          <w:rtl/>
        </w:rPr>
        <w:t xml:space="preserve"> </w:t>
      </w:r>
      <w:r w:rsidRPr="00282AC9">
        <w:rPr>
          <w:rFonts w:cs="DanaFajr" w:hint="cs"/>
          <w:sz w:val="28"/>
          <w:szCs w:val="28"/>
          <w:rtl/>
        </w:rPr>
        <w:t>الوافي 21: 61 ـ 62.</w:t>
      </w:r>
    </w:p>
  </w:endnote>
  <w:endnote w:id="658">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مرآة العقول 20: 13.</w:t>
      </w:r>
    </w:p>
  </w:endnote>
  <w:endnote w:id="659">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الكافي 10: 575، دارالحديث.</w:t>
      </w:r>
    </w:p>
  </w:endnote>
  <w:endnote w:id="660">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الكافي ‏</w:t>
      </w:r>
      <w:r w:rsidRPr="00282AC9">
        <w:rPr>
          <w:rFonts w:cs="DanaFajr" w:hint="cs"/>
          <w:sz w:val="28"/>
          <w:szCs w:val="28"/>
          <w:rtl/>
        </w:rPr>
        <w:t>5</w:t>
      </w:r>
      <w:r w:rsidRPr="00282AC9">
        <w:rPr>
          <w:rFonts w:cs="DanaFajr" w:hint="cs"/>
          <w:sz w:val="28"/>
          <w:szCs w:val="28"/>
          <w:rtl/>
          <w:lang w:bidi="fa-IR"/>
        </w:rPr>
        <w:t xml:space="preserve">: </w:t>
      </w:r>
      <w:r w:rsidRPr="00282AC9">
        <w:rPr>
          <w:rFonts w:cs="DanaFajr" w:hint="cs"/>
          <w:sz w:val="28"/>
          <w:szCs w:val="28"/>
          <w:rtl/>
        </w:rPr>
        <w:t>56</w:t>
      </w:r>
      <w:r w:rsidRPr="00282AC9">
        <w:rPr>
          <w:rFonts w:cs="DanaFajr" w:hint="cs"/>
          <w:sz w:val="28"/>
          <w:szCs w:val="28"/>
          <w:rtl/>
          <w:lang w:bidi="fa-IR"/>
        </w:rPr>
        <w:t>7، طبعة الإسلامية.</w:t>
      </w:r>
    </w:p>
  </w:endnote>
  <w:endnote w:id="661">
    <w:p w:rsidR="00C14EDE" w:rsidRPr="00282AC9" w:rsidRDefault="00C14EDE" w:rsidP="00887323">
      <w:pPr>
        <w:pStyle w:val="af7"/>
        <w:spacing w:line="296" w:lineRule="exact"/>
        <w:ind w:firstLine="0"/>
        <w:rPr>
          <w:rFonts w:cs="DanaFajr"/>
          <w:sz w:val="28"/>
          <w:szCs w:val="28"/>
        </w:rPr>
      </w:pPr>
      <w:r w:rsidRPr="00282AC9">
        <w:rPr>
          <w:rFonts w:cs="DanaFajr"/>
          <w:sz w:val="28"/>
          <w:szCs w:val="28"/>
          <w:rtl/>
          <w:lang w:bidi="fa-IR"/>
        </w:rPr>
        <w:t>(</w:t>
      </w:r>
      <w:r w:rsidRPr="00282AC9">
        <w:rPr>
          <w:rStyle w:val="af9"/>
          <w:rFonts w:cs="DanaFajr"/>
          <w:sz w:val="28"/>
          <w:szCs w:val="28"/>
          <w:vertAlign w:val="baseline"/>
        </w:rPr>
        <w:endnoteRef/>
      </w:r>
      <w:r w:rsidRPr="00282AC9">
        <w:rPr>
          <w:rFonts w:cs="DanaFajr"/>
          <w:sz w:val="28"/>
          <w:szCs w:val="28"/>
          <w:rtl/>
          <w:lang w:bidi="fa-IR"/>
        </w:rPr>
        <w:t>)</w:t>
      </w:r>
      <w:r w:rsidRPr="00282AC9">
        <w:rPr>
          <w:rFonts w:cs="DanaFajr" w:hint="cs"/>
          <w:sz w:val="28"/>
          <w:szCs w:val="28"/>
          <w:rtl/>
        </w:rPr>
        <w:t xml:space="preserve"> الطبراني، المعجم الكبير 24: 153. </w:t>
      </w:r>
    </w:p>
  </w:endnote>
  <w:endnote w:id="662">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المصباح المنير 2: 328. </w:t>
      </w:r>
    </w:p>
  </w:endnote>
  <w:endnote w:id="663">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لسان العرب 12: 314. </w:t>
      </w:r>
    </w:p>
  </w:endnote>
  <w:endnote w:id="664">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لسان العرب 12: 314 ـ 315. </w:t>
      </w:r>
    </w:p>
  </w:endnote>
  <w:endnote w:id="665">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معاني الأخبار 2: 1</w:t>
      </w:r>
      <w:r w:rsidRPr="00282AC9">
        <w:rPr>
          <w:rFonts w:cs="DanaFajr" w:hint="cs"/>
          <w:sz w:val="28"/>
          <w:szCs w:val="28"/>
          <w:rtl/>
        </w:rPr>
        <w:t>5</w:t>
      </w:r>
      <w:r w:rsidRPr="00282AC9">
        <w:rPr>
          <w:rFonts w:cs="DanaFajr" w:hint="cs"/>
          <w:sz w:val="28"/>
          <w:szCs w:val="28"/>
          <w:rtl/>
          <w:lang w:bidi="fa-IR"/>
        </w:rPr>
        <w:t>2.</w:t>
      </w:r>
    </w:p>
  </w:endnote>
  <w:endnote w:id="666">
    <w:p w:rsidR="00C14EDE" w:rsidRPr="00282AC9" w:rsidRDefault="00C14EDE" w:rsidP="00887323">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ثمّة خلافٌ في كونه إسماعيلياً أو إمامياً، ولا نريد الخوض فيه هنا. </w:t>
      </w:r>
    </w:p>
  </w:endnote>
  <w:endnote w:id="667">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مَنْ لا يحضره الفقيه ‏3: 392</w:t>
      </w:r>
    </w:p>
  </w:endnote>
  <w:endnote w:id="668">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lang w:bidi="fa-IR"/>
        </w:rPr>
        <w:t>(</w:t>
      </w:r>
      <w:r w:rsidRPr="00282AC9">
        <w:rPr>
          <w:rFonts w:cs="DanaFajr"/>
          <w:sz w:val="28"/>
          <w:szCs w:val="28"/>
          <w:lang w:bidi="fa-IR"/>
        </w:rPr>
        <w:endnoteRef/>
      </w:r>
      <w:r w:rsidRPr="00282AC9">
        <w:rPr>
          <w:rFonts w:cs="DanaFajr"/>
          <w:sz w:val="28"/>
          <w:szCs w:val="28"/>
          <w:rtl/>
          <w:lang w:bidi="fa-IR"/>
        </w:rPr>
        <w:t>)</w:t>
      </w:r>
      <w:r w:rsidRPr="00282AC9">
        <w:rPr>
          <w:rFonts w:cs="DanaFajr" w:hint="cs"/>
          <w:sz w:val="28"/>
          <w:szCs w:val="28"/>
          <w:rtl/>
          <w:lang w:bidi="fa-IR"/>
        </w:rPr>
        <w:t xml:space="preserve"> الصدوق، الأمالي: </w:t>
      </w:r>
      <w:r w:rsidRPr="00282AC9">
        <w:rPr>
          <w:rFonts w:cs="DanaFajr" w:hint="cs"/>
          <w:sz w:val="28"/>
          <w:szCs w:val="28"/>
          <w:rtl/>
        </w:rPr>
        <w:t>566</w:t>
      </w:r>
      <w:r w:rsidRPr="00282AC9">
        <w:rPr>
          <w:rFonts w:cs="DanaFajr" w:hint="cs"/>
          <w:sz w:val="28"/>
          <w:szCs w:val="28"/>
          <w:rtl/>
          <w:lang w:bidi="fa-IR"/>
        </w:rPr>
        <w:t>.</w:t>
      </w:r>
    </w:p>
  </w:endnote>
  <w:endnote w:id="669">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وهو الشيخ آصف محسني، حيث يشكِّك في نسبة كتاب الأمالي للشيخ الطوسي، مستنداً إلى أنّه لم يصِلْ إلى أحدٍ من كبار المحدِّثين المتأخِّرين بسندٍ صحيح. وكذلك كتاب الأمالي، للشيخ المفيد، حيث يقوله عنه المحسني: </w:t>
      </w:r>
      <w:r w:rsidRPr="00282AC9">
        <w:rPr>
          <w:rFonts w:ascii="Mosawi" w:hAnsi="Mosawi"/>
          <w:sz w:val="22"/>
          <w:szCs w:val="22"/>
          <w:rtl/>
        </w:rPr>
        <w:t>«</w:t>
      </w:r>
      <w:r w:rsidRPr="00282AC9">
        <w:rPr>
          <w:rFonts w:ascii="Mosawi" w:hAnsi="Mosawi" w:cs="DanaFajr" w:hint="cs"/>
          <w:sz w:val="28"/>
          <w:szCs w:val="28"/>
          <w:rtl/>
        </w:rPr>
        <w:t>في الاعتماد عنه وَجَلٌ</w:t>
      </w:r>
      <w:r w:rsidRPr="00282AC9">
        <w:rPr>
          <w:rFonts w:ascii="Mosawi" w:hAnsi="Mosawi"/>
          <w:sz w:val="22"/>
          <w:szCs w:val="22"/>
          <w:rtl/>
        </w:rPr>
        <w:t>»</w:t>
      </w:r>
      <w:r w:rsidRPr="00282AC9">
        <w:rPr>
          <w:rFonts w:cs="DanaFajr" w:hint="cs"/>
          <w:sz w:val="28"/>
          <w:szCs w:val="28"/>
          <w:rtl/>
        </w:rPr>
        <w:t>. انظر: حيدر حبّ الله، نظرية السنّة: 583، نقلاً عن مشرعة بحار الأنوار 1: 15؛ وبحوث في علم الرجال: 511.</w:t>
      </w:r>
    </w:p>
  </w:endnote>
  <w:endnote w:id="670">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على سبيل المثال: سنن أبي داوود 4: 19؛ ابن أبي الدنيا، العمر والشيب: 77. </w:t>
      </w:r>
    </w:p>
  </w:endnote>
  <w:endnote w:id="671">
    <w:p w:rsidR="00C14EDE" w:rsidRPr="00282AC9" w:rsidRDefault="00C14EDE" w:rsidP="00887323">
      <w:pPr>
        <w:pStyle w:val="af7"/>
        <w:spacing w:line="296" w:lineRule="exact"/>
        <w:ind w:firstLine="0"/>
        <w:rPr>
          <w:rFonts w:cs="DanaFajr"/>
          <w:sz w:val="28"/>
          <w:szCs w:val="28"/>
          <w:rtl/>
        </w:rPr>
      </w:pPr>
      <w:r w:rsidRPr="00282AC9">
        <w:rPr>
          <w:rFonts w:cs="DanaFajr"/>
          <w:sz w:val="28"/>
          <w:szCs w:val="28"/>
          <w:rtl/>
          <w:lang w:bidi="fa-IR"/>
        </w:rPr>
        <w:t>(</w:t>
      </w:r>
      <w:r w:rsidRPr="00282AC9">
        <w:rPr>
          <w:rStyle w:val="af9"/>
          <w:rFonts w:cs="DanaFajr"/>
          <w:sz w:val="28"/>
          <w:szCs w:val="28"/>
          <w:vertAlign w:val="baseline"/>
        </w:rPr>
        <w:endnoteRef/>
      </w:r>
      <w:r w:rsidRPr="00282AC9">
        <w:rPr>
          <w:rFonts w:cs="DanaFajr"/>
          <w:sz w:val="28"/>
          <w:szCs w:val="28"/>
          <w:rtl/>
          <w:lang w:bidi="fa-IR"/>
        </w:rPr>
        <w:t>)</w:t>
      </w:r>
      <w:r w:rsidRPr="00282AC9">
        <w:rPr>
          <w:rFonts w:cs="DanaFajr"/>
          <w:sz w:val="28"/>
          <w:szCs w:val="28"/>
          <w:rtl/>
        </w:rPr>
        <w:t xml:space="preserve"> </w:t>
      </w:r>
      <w:r w:rsidRPr="00282AC9">
        <w:rPr>
          <w:rFonts w:cs="DanaFajr" w:hint="cs"/>
          <w:sz w:val="28"/>
          <w:szCs w:val="28"/>
          <w:rtl/>
        </w:rPr>
        <w:t>أبو بكر البغدادي، تاريخ بغداد 13: 353.</w:t>
      </w:r>
    </w:p>
  </w:endnote>
  <w:endnote w:id="672">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وفي سند هذه الرواية، بالطريق الذي ذكره ابن الجوزي، نجد عبد الله بن وهب. ويذكر في حقّه: </w:t>
      </w:r>
      <w:r w:rsidRPr="00282AC9">
        <w:rPr>
          <w:rFonts w:ascii="Mosawi" w:hAnsi="Mosawi"/>
          <w:sz w:val="22"/>
          <w:szCs w:val="22"/>
          <w:rtl/>
        </w:rPr>
        <w:t>«</w:t>
      </w:r>
      <w:r w:rsidRPr="00282AC9">
        <w:rPr>
          <w:rFonts w:cs="DanaFajr"/>
          <w:sz w:val="28"/>
          <w:szCs w:val="28"/>
          <w:rtl/>
        </w:rPr>
        <w:t>كَذَا قَالَ ابْنُ حِبَّانَ</w:t>
      </w:r>
      <w:r w:rsidRPr="00282AC9">
        <w:rPr>
          <w:rFonts w:cs="DanaFajr" w:hint="cs"/>
          <w:sz w:val="28"/>
          <w:szCs w:val="28"/>
          <w:rtl/>
        </w:rPr>
        <w:t>،</w:t>
      </w:r>
      <w:r w:rsidRPr="00282AC9">
        <w:rPr>
          <w:rFonts w:cs="DanaFajr"/>
          <w:sz w:val="28"/>
          <w:szCs w:val="28"/>
          <w:rtl/>
        </w:rPr>
        <w:t xml:space="preserve"> قَالَ</w:t>
      </w:r>
      <w:r w:rsidRPr="00282AC9">
        <w:rPr>
          <w:rFonts w:cs="DanaFajr" w:hint="cs"/>
          <w:sz w:val="28"/>
          <w:szCs w:val="28"/>
          <w:rtl/>
        </w:rPr>
        <w:t>:</w:t>
      </w:r>
      <w:r w:rsidRPr="00282AC9">
        <w:rPr>
          <w:rFonts w:cs="DanaFajr"/>
          <w:sz w:val="28"/>
          <w:szCs w:val="28"/>
          <w:rtl/>
        </w:rPr>
        <w:t xml:space="preserve"> </w:t>
      </w:r>
      <w:r w:rsidRPr="00282AC9">
        <w:rPr>
          <w:rFonts w:ascii="Mosawi" w:hAnsi="Mosawi" w:cs="DanaFajr"/>
          <w:sz w:val="28"/>
          <w:szCs w:val="28"/>
          <w:rtl/>
        </w:rPr>
        <w:t>وَعبد الله بْن وَهْب شيخ</w:t>
      </w:r>
      <w:r w:rsidRPr="00282AC9">
        <w:rPr>
          <w:rFonts w:ascii="Mosawi" w:hAnsi="Mosawi" w:cs="DanaFajr" w:hint="cs"/>
          <w:sz w:val="28"/>
          <w:szCs w:val="28"/>
          <w:rtl/>
        </w:rPr>
        <w:t>ٌ</w:t>
      </w:r>
      <w:r w:rsidRPr="00282AC9">
        <w:rPr>
          <w:rFonts w:ascii="Mosawi" w:hAnsi="Mosawi" w:cs="DanaFajr"/>
          <w:sz w:val="28"/>
          <w:szCs w:val="28"/>
          <w:rtl/>
        </w:rPr>
        <w:t xml:space="preserve"> دج</w:t>
      </w:r>
      <w:r w:rsidRPr="00282AC9">
        <w:rPr>
          <w:rFonts w:ascii="Mosawi" w:hAnsi="Mosawi" w:cs="DanaFajr" w:hint="cs"/>
          <w:sz w:val="28"/>
          <w:szCs w:val="28"/>
          <w:rtl/>
        </w:rPr>
        <w:t>ّ</w:t>
      </w:r>
      <w:r w:rsidRPr="00282AC9">
        <w:rPr>
          <w:rFonts w:ascii="Mosawi" w:hAnsi="Mosawi" w:cs="DanaFajr"/>
          <w:sz w:val="28"/>
          <w:szCs w:val="28"/>
          <w:rtl/>
        </w:rPr>
        <w:t>ال</w:t>
      </w:r>
      <w:r w:rsidRPr="00282AC9">
        <w:rPr>
          <w:rFonts w:ascii="Mosawi" w:hAnsi="Mosawi" w:cs="DanaFajr" w:hint="cs"/>
          <w:sz w:val="28"/>
          <w:szCs w:val="28"/>
          <w:rtl/>
        </w:rPr>
        <w:t>،</w:t>
      </w:r>
      <w:r w:rsidRPr="00282AC9">
        <w:rPr>
          <w:rFonts w:ascii="Mosawi" w:hAnsi="Mosawi" w:cs="DanaFajr"/>
          <w:sz w:val="28"/>
          <w:szCs w:val="28"/>
          <w:rtl/>
        </w:rPr>
        <w:t xml:space="preserve"> يضع الحَدِيث على الثقا</w:t>
      </w:r>
      <w:r w:rsidRPr="00282AC9">
        <w:rPr>
          <w:rFonts w:ascii="Mosawi" w:hAnsi="Mosawi" w:cs="DanaFajr" w:hint="cs"/>
          <w:sz w:val="28"/>
          <w:szCs w:val="28"/>
          <w:rtl/>
        </w:rPr>
        <w:t xml:space="preserve">ت، </w:t>
      </w:r>
      <w:r w:rsidRPr="00282AC9">
        <w:rPr>
          <w:rFonts w:ascii="Mosawi" w:hAnsi="Mosawi" w:cs="DanaFajr"/>
          <w:sz w:val="28"/>
          <w:szCs w:val="28"/>
          <w:rtl/>
        </w:rPr>
        <w:t>لا يحل</w:t>
      </w:r>
      <w:r w:rsidRPr="00282AC9">
        <w:rPr>
          <w:rFonts w:ascii="Mosawi" w:hAnsi="Mosawi" w:cs="DanaFajr" w:hint="cs"/>
          <w:sz w:val="28"/>
          <w:szCs w:val="28"/>
          <w:rtl/>
        </w:rPr>
        <w:t>ّ</w:t>
      </w:r>
      <w:r w:rsidRPr="00282AC9">
        <w:rPr>
          <w:rFonts w:ascii="Mosawi" w:hAnsi="Mosawi" w:cs="DanaFajr"/>
          <w:sz w:val="28"/>
          <w:szCs w:val="28"/>
          <w:rtl/>
        </w:rPr>
        <w:t xml:space="preserve"> ذكره فِي الْكتب إِلا</w:t>
      </w:r>
      <w:r w:rsidRPr="00282AC9">
        <w:rPr>
          <w:rFonts w:ascii="Mosawi" w:hAnsi="Mosawi" w:cs="DanaFajr" w:hint="cs"/>
          <w:sz w:val="28"/>
          <w:szCs w:val="28"/>
          <w:rtl/>
        </w:rPr>
        <w:t>َّ</w:t>
      </w:r>
      <w:r w:rsidRPr="00282AC9">
        <w:rPr>
          <w:rFonts w:ascii="Mosawi" w:hAnsi="Mosawi" w:cs="DanaFajr"/>
          <w:sz w:val="28"/>
          <w:szCs w:val="28"/>
          <w:rtl/>
        </w:rPr>
        <w:t xml:space="preserve"> عَلَى سَبِيلِ الْجَرْحِ فِيهِ</w:t>
      </w:r>
      <w:r w:rsidRPr="00282AC9">
        <w:rPr>
          <w:rFonts w:ascii="Mosawi" w:hAnsi="Mosawi"/>
          <w:sz w:val="22"/>
          <w:szCs w:val="22"/>
          <w:rtl/>
        </w:rPr>
        <w:t>»</w:t>
      </w:r>
      <w:r w:rsidRPr="00282AC9">
        <w:rPr>
          <w:rFonts w:ascii="Mosawi" w:hAnsi="Mosawi" w:cs="DanaFajr" w:hint="cs"/>
          <w:sz w:val="28"/>
          <w:szCs w:val="28"/>
          <w:rtl/>
        </w:rPr>
        <w:t>. ابن الجوزي، الموضوعات 2: 2</w:t>
      </w:r>
      <w:r w:rsidRPr="00282AC9">
        <w:rPr>
          <w:rFonts w:cs="DanaFajr" w:hint="cs"/>
          <w:sz w:val="28"/>
          <w:szCs w:val="28"/>
          <w:rtl/>
        </w:rPr>
        <w:t>6</w:t>
      </w:r>
      <w:r w:rsidRPr="00282AC9">
        <w:rPr>
          <w:rFonts w:ascii="Mosawi" w:hAnsi="Mosawi" w:cs="DanaFajr" w:hint="cs"/>
          <w:sz w:val="28"/>
          <w:szCs w:val="28"/>
          <w:rtl/>
        </w:rPr>
        <w:t>8.</w:t>
      </w:r>
    </w:p>
  </w:endnote>
  <w:endnote w:id="673">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انظر: أبو طالب المكّي، قوت القلوب في معاملة المحبوب ووصف طريق المريد إلى مقام التوحيد 2: 403؛ الغزالي، إحياء علوم الدين 2: 26. </w:t>
      </w:r>
    </w:p>
  </w:endnote>
  <w:endnote w:id="674">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الخصال</w:t>
      </w:r>
      <w:r w:rsidRPr="00282AC9">
        <w:rPr>
          <w:rFonts w:cs="DanaFajr"/>
          <w:sz w:val="28"/>
          <w:szCs w:val="28"/>
          <w:rtl/>
          <w:lang w:bidi="fa-IR"/>
        </w:rPr>
        <w:t xml:space="preserve"> </w:t>
      </w:r>
      <w:r w:rsidRPr="00282AC9">
        <w:rPr>
          <w:rFonts w:cs="DanaFajr" w:hint="cs"/>
          <w:sz w:val="28"/>
          <w:szCs w:val="28"/>
          <w:rtl/>
          <w:lang w:bidi="fa-IR"/>
        </w:rPr>
        <w:t>‏</w:t>
      </w:r>
      <w:r w:rsidRPr="00282AC9">
        <w:rPr>
          <w:rFonts w:cs="DanaFajr"/>
          <w:sz w:val="28"/>
          <w:szCs w:val="28"/>
          <w:rtl/>
          <w:lang w:bidi="fa-IR"/>
        </w:rPr>
        <w:t xml:space="preserve">2: </w:t>
      </w:r>
      <w:r w:rsidRPr="00282AC9">
        <w:rPr>
          <w:rFonts w:cs="DanaFajr" w:hint="cs"/>
          <w:sz w:val="28"/>
          <w:szCs w:val="28"/>
          <w:rtl/>
        </w:rPr>
        <w:t>4</w:t>
      </w:r>
      <w:r w:rsidRPr="00282AC9">
        <w:rPr>
          <w:rFonts w:cs="DanaFajr"/>
          <w:sz w:val="28"/>
          <w:szCs w:val="28"/>
          <w:rtl/>
          <w:lang w:bidi="fa-IR"/>
        </w:rPr>
        <w:t>0</w:t>
      </w:r>
      <w:r w:rsidRPr="00282AC9">
        <w:rPr>
          <w:rFonts w:cs="DanaFajr" w:hint="cs"/>
          <w:sz w:val="28"/>
          <w:szCs w:val="28"/>
          <w:rtl/>
        </w:rPr>
        <w:t>4</w:t>
      </w:r>
      <w:r w:rsidRPr="00282AC9">
        <w:rPr>
          <w:rFonts w:cs="DanaFajr" w:hint="cs"/>
          <w:sz w:val="28"/>
          <w:szCs w:val="28"/>
          <w:rtl/>
          <w:lang w:bidi="fa-IR"/>
        </w:rPr>
        <w:t>.</w:t>
      </w:r>
    </w:p>
  </w:endnote>
  <w:endnote w:id="675">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لمزيدٍ من الاطلاع انظر: العيني، شرح سنن أبي داوود 1: 550؛ المظفَّر، الإفصاح عن أحوال رواة الصحاح 2: 437. </w:t>
      </w:r>
    </w:p>
  </w:endnote>
  <w:endnote w:id="676">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 xml:space="preserve">وهذا في دروسه الصوتية المنشورة في موقعه الرسمي: بحوثٌ فقهية، زواج العقيم وتنظيم الأسرة: 3. </w:t>
      </w:r>
    </w:p>
  </w:endnote>
  <w:endnote w:id="677">
    <w:p w:rsidR="00C14EDE" w:rsidRPr="00282AC9" w:rsidRDefault="00C14EDE" w:rsidP="00887323">
      <w:pPr>
        <w:pStyle w:val="af7"/>
        <w:spacing w:line="296" w:lineRule="exact"/>
        <w:ind w:firstLine="0"/>
        <w:rPr>
          <w:rFonts w:cs="DanaFajr"/>
          <w:sz w:val="28"/>
          <w:szCs w:val="28"/>
          <w:rtl/>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دعائم الإسلام ‏2: 191.</w:t>
      </w:r>
    </w:p>
  </w:endnote>
  <w:endnote w:id="678">
    <w:p w:rsidR="00C14EDE" w:rsidRPr="00282AC9" w:rsidRDefault="00C14EDE" w:rsidP="00887323">
      <w:pPr>
        <w:pStyle w:val="af7"/>
        <w:spacing w:line="296" w:lineRule="exact"/>
        <w:ind w:firstLine="0"/>
        <w:rPr>
          <w:rFonts w:cs="DanaFajr"/>
          <w:sz w:val="28"/>
          <w:szCs w:val="28"/>
          <w:lang w:bidi="fa-IR"/>
        </w:rPr>
      </w:pPr>
      <w:r w:rsidRPr="00282AC9">
        <w:rPr>
          <w:rFonts w:cs="DanaFajr"/>
          <w:sz w:val="28"/>
          <w:szCs w:val="28"/>
          <w:rtl/>
        </w:rPr>
        <w:t>(</w:t>
      </w:r>
      <w:r w:rsidRPr="00282AC9">
        <w:rPr>
          <w:rFonts w:cs="DanaFajr"/>
          <w:sz w:val="28"/>
          <w:szCs w:val="28"/>
          <w:lang w:bidi="fa-IR"/>
        </w:rPr>
        <w:endnoteRef/>
      </w:r>
      <w:r w:rsidRPr="00282AC9">
        <w:rPr>
          <w:rFonts w:cs="DanaFajr"/>
          <w:sz w:val="28"/>
          <w:szCs w:val="28"/>
          <w:rtl/>
        </w:rPr>
        <w:t>)</w:t>
      </w:r>
      <w:r w:rsidRPr="00282AC9">
        <w:rPr>
          <w:rFonts w:cs="DanaFajr"/>
          <w:sz w:val="28"/>
          <w:szCs w:val="28"/>
          <w:rtl/>
          <w:lang w:bidi="fa-IR"/>
        </w:rPr>
        <w:t xml:space="preserve"> </w:t>
      </w:r>
      <w:r w:rsidRPr="00282AC9">
        <w:rPr>
          <w:rFonts w:cs="DanaFajr" w:hint="cs"/>
          <w:sz w:val="28"/>
          <w:szCs w:val="28"/>
          <w:rtl/>
          <w:lang w:bidi="fa-IR"/>
        </w:rPr>
        <w:t>مستدرك</w:t>
      </w:r>
      <w:r w:rsidRPr="00282AC9">
        <w:rPr>
          <w:rFonts w:cs="DanaFajr"/>
          <w:sz w:val="28"/>
          <w:szCs w:val="28"/>
          <w:rtl/>
          <w:lang w:bidi="fa-IR"/>
        </w:rPr>
        <w:t xml:space="preserve"> </w:t>
      </w:r>
      <w:r w:rsidRPr="00282AC9">
        <w:rPr>
          <w:rFonts w:cs="DanaFajr" w:hint="cs"/>
          <w:sz w:val="28"/>
          <w:szCs w:val="28"/>
          <w:rtl/>
          <w:lang w:bidi="fa-IR"/>
        </w:rPr>
        <w:t>الوسائل</w:t>
      </w:r>
      <w:r w:rsidRPr="00282AC9">
        <w:rPr>
          <w:rFonts w:cs="DanaFajr"/>
          <w:sz w:val="28"/>
          <w:szCs w:val="28"/>
          <w:rtl/>
          <w:lang w:bidi="fa-IR"/>
        </w:rPr>
        <w:t xml:space="preserve"> و</w:t>
      </w:r>
      <w:r w:rsidRPr="00282AC9">
        <w:rPr>
          <w:rFonts w:cs="DanaFajr" w:hint="cs"/>
          <w:sz w:val="28"/>
          <w:szCs w:val="28"/>
          <w:rtl/>
          <w:lang w:bidi="fa-IR"/>
        </w:rPr>
        <w:t>مستنبط</w:t>
      </w:r>
      <w:r w:rsidRPr="00282AC9">
        <w:rPr>
          <w:rFonts w:cs="DanaFajr"/>
          <w:sz w:val="28"/>
          <w:szCs w:val="28"/>
          <w:rtl/>
          <w:lang w:bidi="fa-IR"/>
        </w:rPr>
        <w:t xml:space="preserve"> </w:t>
      </w:r>
      <w:r w:rsidRPr="00282AC9">
        <w:rPr>
          <w:rFonts w:cs="DanaFajr" w:hint="cs"/>
          <w:sz w:val="28"/>
          <w:szCs w:val="28"/>
          <w:rtl/>
          <w:lang w:bidi="fa-IR"/>
        </w:rPr>
        <w:t>المسائل</w:t>
      </w:r>
      <w:r w:rsidRPr="00282AC9">
        <w:rPr>
          <w:rFonts w:cs="DanaFajr"/>
          <w:sz w:val="28"/>
          <w:szCs w:val="28"/>
          <w:rtl/>
          <w:lang w:bidi="fa-IR"/>
        </w:rPr>
        <w:t xml:space="preserve"> </w:t>
      </w:r>
      <w:r w:rsidRPr="00282AC9">
        <w:rPr>
          <w:rFonts w:cs="DanaFajr" w:hint="cs"/>
          <w:sz w:val="28"/>
          <w:szCs w:val="28"/>
          <w:rtl/>
          <w:lang w:bidi="fa-IR"/>
        </w:rPr>
        <w:t>‏</w:t>
      </w:r>
      <w:r w:rsidRPr="00282AC9">
        <w:rPr>
          <w:rFonts w:cs="DanaFajr"/>
          <w:sz w:val="28"/>
          <w:szCs w:val="28"/>
          <w:rtl/>
          <w:lang w:bidi="fa-IR"/>
        </w:rPr>
        <w:t>1</w:t>
      </w:r>
      <w:r w:rsidRPr="00282AC9">
        <w:rPr>
          <w:rFonts w:cs="DanaFajr" w:hint="cs"/>
          <w:sz w:val="28"/>
          <w:szCs w:val="28"/>
          <w:rtl/>
        </w:rPr>
        <w:t>4</w:t>
      </w:r>
      <w:r w:rsidRPr="00282AC9">
        <w:rPr>
          <w:rFonts w:cs="DanaFajr"/>
          <w:sz w:val="28"/>
          <w:szCs w:val="28"/>
          <w:rtl/>
          <w:lang w:bidi="fa-IR"/>
        </w:rPr>
        <w:t>: 1</w:t>
      </w:r>
      <w:r w:rsidRPr="00282AC9">
        <w:rPr>
          <w:rFonts w:cs="DanaFajr" w:hint="cs"/>
          <w:sz w:val="28"/>
          <w:szCs w:val="28"/>
          <w:rtl/>
        </w:rPr>
        <w:t>6</w:t>
      </w:r>
      <w:r w:rsidRPr="00282AC9">
        <w:rPr>
          <w:rFonts w:cs="DanaFajr"/>
          <w:sz w:val="28"/>
          <w:szCs w:val="28"/>
          <w:rtl/>
          <w:lang w:bidi="fa-IR"/>
        </w:rPr>
        <w:t>2</w:t>
      </w:r>
    </w:p>
  </w:endnote>
  <w:endnote w:id="679">
    <w:p w:rsidR="00C14EDE" w:rsidRPr="00282AC9" w:rsidRDefault="00C14EDE" w:rsidP="00887323">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عبد الرزّاق الصنعاني، المصنَّف 6: 162؛ السيوطي، الجامع الكبير 15: 87. </w:t>
      </w:r>
    </w:p>
  </w:endnote>
  <w:endnote w:id="680">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lang w:bidi="ar-EG"/>
        </w:rPr>
        <w:t>عن جابر بن عبدالله قال: قلتُ لرسول الله</w:t>
      </w:r>
      <w:r w:rsidRPr="00282AC9">
        <w:rPr>
          <w:rFonts w:cs="Mosawi" w:hint="cs"/>
          <w:rtl/>
        </w:rPr>
        <w:t>|</w:t>
      </w:r>
      <w:r w:rsidRPr="00282AC9">
        <w:rPr>
          <w:rFonts w:cs="DanaFajr" w:hint="cs"/>
          <w:sz w:val="28"/>
          <w:szCs w:val="28"/>
          <w:rtl/>
          <w:lang w:bidi="ar-EG"/>
        </w:rPr>
        <w:t>: أوّل شيءٍ خلقه الله تعالى ما هو؟ فقال: نور نبيِّك، يا جابر، خلقه الله، ثمّ خلق منه كلّ خير. (بحار الأنوار 15: 24).</w:t>
      </w:r>
    </w:p>
  </w:endnote>
  <w:endnote w:id="681">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lang w:bidi="ar-EG"/>
        </w:rPr>
        <w:t>(</w:t>
      </w:r>
      <w:r w:rsidRPr="00282AC9">
        <w:rPr>
          <w:rStyle w:val="af9"/>
          <w:rFonts w:cs="DanaFajr"/>
          <w:sz w:val="28"/>
          <w:szCs w:val="28"/>
          <w:vertAlign w:val="baseline"/>
        </w:rPr>
        <w:endnoteRef/>
      </w:r>
      <w:r w:rsidRPr="00282AC9">
        <w:rPr>
          <w:rFonts w:cs="DanaFajr"/>
          <w:sz w:val="28"/>
          <w:szCs w:val="28"/>
          <w:rtl/>
          <w:lang w:bidi="ar-EG"/>
        </w:rPr>
        <w:t>)</w:t>
      </w:r>
      <w:r w:rsidRPr="00282AC9">
        <w:rPr>
          <w:rFonts w:cs="DanaFajr"/>
          <w:sz w:val="28"/>
          <w:szCs w:val="28"/>
        </w:rPr>
        <w:t xml:space="preserve"> </w:t>
      </w:r>
      <w:r w:rsidRPr="00282AC9">
        <w:rPr>
          <w:rFonts w:cs="DanaFajr" w:hint="cs"/>
          <w:sz w:val="28"/>
          <w:szCs w:val="28"/>
          <w:rtl/>
          <w:lang w:bidi="ar-EG"/>
        </w:rPr>
        <w:t>بحار الأنوار 1: 97.</w:t>
      </w:r>
    </w:p>
  </w:endnote>
  <w:endnote w:id="682">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lang w:bidi="ar-EG"/>
        </w:rPr>
        <w:t>(</w:t>
      </w:r>
      <w:r w:rsidRPr="00282AC9">
        <w:rPr>
          <w:rStyle w:val="af9"/>
          <w:rFonts w:cs="DanaFajr"/>
          <w:sz w:val="28"/>
          <w:szCs w:val="28"/>
          <w:vertAlign w:val="baseline"/>
        </w:rPr>
        <w:endnoteRef/>
      </w:r>
      <w:r w:rsidRPr="00282AC9">
        <w:rPr>
          <w:rFonts w:cs="DanaFajr"/>
          <w:sz w:val="28"/>
          <w:szCs w:val="28"/>
          <w:rtl/>
          <w:lang w:bidi="ar-EG"/>
        </w:rPr>
        <w:t>)</w:t>
      </w:r>
      <w:r w:rsidRPr="00282AC9">
        <w:rPr>
          <w:rFonts w:cs="DanaFajr"/>
          <w:sz w:val="28"/>
          <w:szCs w:val="28"/>
        </w:rPr>
        <w:t xml:space="preserve"> </w:t>
      </w:r>
      <w:r w:rsidRPr="00282AC9">
        <w:rPr>
          <w:rFonts w:cs="DanaFajr" w:hint="cs"/>
          <w:sz w:val="28"/>
          <w:szCs w:val="28"/>
          <w:rtl/>
          <w:lang w:bidi="ar-EG"/>
        </w:rPr>
        <w:t>بحار الأنوار 54: 309.</w:t>
      </w:r>
    </w:p>
  </w:endnote>
  <w:endnote w:id="683">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lang w:bidi="ar-EG"/>
        </w:rPr>
        <w:t>(</w:t>
      </w:r>
      <w:r w:rsidRPr="00282AC9">
        <w:rPr>
          <w:rStyle w:val="af9"/>
          <w:rFonts w:cs="DanaFajr"/>
          <w:sz w:val="28"/>
          <w:szCs w:val="28"/>
          <w:vertAlign w:val="baseline"/>
        </w:rPr>
        <w:endnoteRef/>
      </w:r>
      <w:r w:rsidRPr="00282AC9">
        <w:rPr>
          <w:rFonts w:cs="DanaFajr"/>
          <w:sz w:val="28"/>
          <w:szCs w:val="28"/>
          <w:rtl/>
          <w:lang w:bidi="ar-EG"/>
        </w:rPr>
        <w:t>)</w:t>
      </w:r>
      <w:r w:rsidRPr="00282AC9">
        <w:rPr>
          <w:rFonts w:cs="DanaFajr" w:hint="cs"/>
          <w:sz w:val="28"/>
          <w:szCs w:val="28"/>
          <w:rtl/>
          <w:lang w:bidi="ar-EG"/>
        </w:rPr>
        <w:t xml:space="preserve"> نهاية الدراية 3: 418.</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وقد صدر مثل هذا الكلام من السيد الخميني</w:t>
      </w:r>
      <w:r w:rsidRPr="00282AC9">
        <w:rPr>
          <w:rFonts w:cs="Mosawi" w:hint="cs"/>
          <w:rtl/>
          <w:lang w:bidi="ar-EG"/>
        </w:rPr>
        <w:t>&amp;</w:t>
      </w:r>
      <w:r w:rsidRPr="00282AC9">
        <w:rPr>
          <w:rFonts w:cs="DanaFajr" w:hint="cs"/>
          <w:sz w:val="28"/>
          <w:szCs w:val="28"/>
          <w:rtl/>
          <w:lang w:bidi="ar-EG"/>
        </w:rPr>
        <w:t xml:space="preserve">، في التعليقة على الفوائد الرضوية: 56 </w:t>
      </w:r>
      <w:r w:rsidRPr="00282AC9">
        <w:rPr>
          <w:rFonts w:cs="DanaFajr"/>
          <w:sz w:val="28"/>
          <w:szCs w:val="28"/>
          <w:rtl/>
          <w:lang w:bidi="ar-EG"/>
        </w:rPr>
        <w:t>ـ</w:t>
      </w:r>
      <w:r w:rsidRPr="00282AC9">
        <w:rPr>
          <w:rFonts w:cs="DanaFajr" w:hint="cs"/>
          <w:sz w:val="28"/>
          <w:szCs w:val="28"/>
          <w:rtl/>
          <w:lang w:bidi="ar-EG"/>
        </w:rPr>
        <w:t xml:space="preserve"> 57، حيث قال: </w:t>
      </w:r>
      <w:r w:rsidRPr="00282AC9">
        <w:rPr>
          <w:rFonts w:hint="eastAsia"/>
          <w:sz w:val="22"/>
          <w:szCs w:val="22"/>
          <w:rtl/>
        </w:rPr>
        <w:t>«</w:t>
      </w:r>
      <w:r w:rsidRPr="00282AC9">
        <w:rPr>
          <w:rFonts w:cs="DanaFajr" w:hint="cs"/>
          <w:sz w:val="28"/>
          <w:szCs w:val="28"/>
          <w:rtl/>
          <w:lang w:bidi="ar-EG"/>
        </w:rPr>
        <w:t>فمقام ولاية الله المطلقة مظهر اسم الله الأعظم، مفتتح سلسلة الوجود ومختتمها، وأوّلها وآخرها، فهي كنقطةٍ سيّالة في مراحل الوجود، منها البدوّ، وإليها الرجوع. وقوله</w:t>
      </w:r>
      <w:r w:rsidRPr="00282AC9">
        <w:rPr>
          <w:rFonts w:cs="Mosawi" w:hint="cs"/>
          <w:rtl/>
        </w:rPr>
        <w:t>×</w:t>
      </w:r>
      <w:r w:rsidRPr="00282AC9">
        <w:rPr>
          <w:rFonts w:cs="DanaFajr" w:hint="cs"/>
          <w:sz w:val="28"/>
          <w:szCs w:val="28"/>
          <w:rtl/>
          <w:lang w:bidi="ar-EG"/>
        </w:rPr>
        <w:t xml:space="preserve">: </w:t>
      </w:r>
      <w:r w:rsidRPr="00282AC9">
        <w:rPr>
          <w:rFonts w:hint="eastAsia"/>
          <w:sz w:val="22"/>
          <w:szCs w:val="22"/>
          <w:rtl/>
        </w:rPr>
        <w:t>«</w:t>
      </w:r>
      <w:r w:rsidRPr="00282AC9">
        <w:rPr>
          <w:rFonts w:cs="DanaFajr" w:hint="cs"/>
          <w:sz w:val="28"/>
          <w:szCs w:val="28"/>
          <w:rtl/>
          <w:lang w:bidi="ar-EG"/>
        </w:rPr>
        <w:t>نحن صنائع الله، والخلق صنائع لنا</w:t>
      </w:r>
      <w:r w:rsidRPr="00282AC9">
        <w:rPr>
          <w:rFonts w:hint="eastAsia"/>
          <w:sz w:val="22"/>
          <w:szCs w:val="22"/>
          <w:rtl/>
        </w:rPr>
        <w:t>»</w:t>
      </w:r>
      <w:r w:rsidRPr="00282AC9">
        <w:rPr>
          <w:rFonts w:cs="DanaFajr" w:hint="cs"/>
          <w:sz w:val="28"/>
          <w:szCs w:val="28"/>
          <w:rtl/>
          <w:lang w:bidi="ar-EG"/>
        </w:rPr>
        <w:t xml:space="preserve"> وإنْ كان يفيد الغاية؛ لمكان اللام، إلاّ أنّ الغاية والفاعل متّحدان، خصوصاً في الفواعل المقدّسة عن كدورة المادّة ولواحقها، كما هو المبيَّن في محلِّه، والمحقَّق عند أصحاب الحكمة المتعالية. فإذا كان لهم</w:t>
      </w:r>
      <w:r w:rsidRPr="00282AC9">
        <w:rPr>
          <w:rFonts w:cs="Mosawi" w:hint="cs"/>
          <w:rtl/>
        </w:rPr>
        <w:t>×</w:t>
      </w:r>
      <w:r w:rsidRPr="00282AC9">
        <w:rPr>
          <w:rFonts w:cs="DanaFajr" w:hint="cs"/>
          <w:sz w:val="28"/>
          <w:szCs w:val="28"/>
          <w:rtl/>
          <w:lang w:bidi="ar-EG"/>
        </w:rPr>
        <w:t xml:space="preserve"> مقام المشيئة المطلقة، وسائر الناس كتعيُّناتهم، كانت لهم القيّوميّة على الناس</w:t>
      </w:r>
      <w:r w:rsidRPr="00282AC9">
        <w:rPr>
          <w:rFonts w:hint="eastAsia"/>
          <w:sz w:val="22"/>
          <w:szCs w:val="22"/>
          <w:rtl/>
        </w:rPr>
        <w:t>»</w:t>
      </w:r>
      <w:r w:rsidRPr="00282AC9">
        <w:rPr>
          <w:rFonts w:cs="DanaFajr" w:hint="cs"/>
          <w:sz w:val="28"/>
          <w:szCs w:val="28"/>
          <w:rtl/>
          <w:lang w:bidi="ar-EG"/>
        </w:rPr>
        <w:t>.</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والسيد</w:t>
      </w:r>
      <w:r w:rsidRPr="00282AC9">
        <w:rPr>
          <w:rFonts w:cs="Mosawi" w:hint="cs"/>
          <w:rtl/>
          <w:lang w:bidi="ar-EG"/>
        </w:rPr>
        <w:t>&amp;</w:t>
      </w:r>
      <w:r w:rsidRPr="00282AC9">
        <w:rPr>
          <w:rFonts w:cs="DanaFajr" w:hint="cs"/>
          <w:sz w:val="28"/>
          <w:szCs w:val="28"/>
          <w:rtl/>
          <w:lang w:bidi="ar-EG"/>
        </w:rPr>
        <w:t xml:space="preserve"> استفاد من الرواية الشريفة الولاية المطلقة للأئمّة</w:t>
      </w:r>
      <w:r w:rsidRPr="00282AC9">
        <w:rPr>
          <w:rFonts w:cs="Mosawi" w:hint="cs"/>
          <w:rtl/>
        </w:rPr>
        <w:t>^</w:t>
      </w:r>
      <w:r w:rsidRPr="00282AC9">
        <w:rPr>
          <w:rFonts w:cs="DanaFajr" w:hint="cs"/>
          <w:sz w:val="28"/>
          <w:szCs w:val="28"/>
          <w:rtl/>
          <w:lang w:bidi="ar-EG"/>
        </w:rPr>
        <w:t xml:space="preserve"> على أساس نقطتين: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الأولى</w:t>
      </w:r>
      <w:r w:rsidRPr="00282AC9">
        <w:rPr>
          <w:rFonts w:cs="DanaFajr" w:hint="cs"/>
          <w:sz w:val="28"/>
          <w:szCs w:val="28"/>
          <w:rtl/>
          <w:lang w:bidi="ar-EG"/>
        </w:rPr>
        <w:t xml:space="preserve">: إنّ </w:t>
      </w:r>
      <w:r w:rsidRPr="00282AC9">
        <w:rPr>
          <w:rFonts w:hint="eastAsia"/>
          <w:sz w:val="22"/>
          <w:szCs w:val="22"/>
          <w:rtl/>
        </w:rPr>
        <w:t>«</w:t>
      </w:r>
      <w:r w:rsidRPr="00282AC9">
        <w:rPr>
          <w:rFonts w:cs="DanaFajr" w:hint="cs"/>
          <w:sz w:val="28"/>
          <w:szCs w:val="28"/>
          <w:rtl/>
          <w:lang w:bidi="ar-EG"/>
        </w:rPr>
        <w:t>صنائع</w:t>
      </w:r>
      <w:r w:rsidRPr="00282AC9">
        <w:rPr>
          <w:rFonts w:hint="eastAsia"/>
          <w:sz w:val="22"/>
          <w:szCs w:val="22"/>
          <w:rtl/>
        </w:rPr>
        <w:t>»</w:t>
      </w:r>
      <w:r w:rsidRPr="00282AC9">
        <w:rPr>
          <w:rFonts w:cs="DanaFajr" w:hint="cs"/>
          <w:sz w:val="28"/>
          <w:szCs w:val="28"/>
          <w:rtl/>
          <w:lang w:bidi="ar-EG"/>
        </w:rPr>
        <w:t xml:space="preserve"> جمع صنيع، وهو مصدر صنَع بمعنى عمل. وهذا المصدر يكون بالمعنى المفعولي، وهو المصنوع، وعليه يكون معنى كلام الإمام</w:t>
      </w:r>
      <w:r w:rsidRPr="00282AC9">
        <w:rPr>
          <w:rFonts w:cs="Mosawi" w:hint="cs"/>
          <w:rtl/>
        </w:rPr>
        <w:t>×</w:t>
      </w:r>
      <w:r w:rsidRPr="00282AC9">
        <w:rPr>
          <w:rFonts w:cs="DanaFajr" w:hint="cs"/>
          <w:sz w:val="28"/>
          <w:szCs w:val="28"/>
          <w:rtl/>
          <w:lang w:bidi="ar-EG"/>
        </w:rPr>
        <w:t xml:space="preserve">: نحن مصنوعون لله، والخلق ـ وهو عالم الخلق، أي عالم الشهادة </w:t>
      </w:r>
      <w:r w:rsidRPr="00282AC9">
        <w:rPr>
          <w:rFonts w:cs="DanaFajr"/>
          <w:sz w:val="28"/>
          <w:szCs w:val="28"/>
          <w:rtl/>
          <w:lang w:bidi="ar-EG"/>
        </w:rPr>
        <w:t>ـ</w:t>
      </w:r>
      <w:r w:rsidRPr="00282AC9">
        <w:rPr>
          <w:rFonts w:cs="DanaFajr" w:hint="cs"/>
          <w:sz w:val="28"/>
          <w:szCs w:val="28"/>
          <w:rtl/>
          <w:lang w:bidi="ar-EG"/>
        </w:rPr>
        <w:t xml:space="preserve"> مصنوعٌ لنا.</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الثانية</w:t>
      </w:r>
      <w:r w:rsidRPr="00282AC9">
        <w:rPr>
          <w:rFonts w:cs="DanaFajr" w:hint="cs"/>
          <w:sz w:val="28"/>
          <w:szCs w:val="28"/>
          <w:rtl/>
          <w:lang w:bidi="ar-EG"/>
        </w:rPr>
        <w:t xml:space="preserve">: إنّ </w:t>
      </w:r>
      <w:r w:rsidRPr="00282AC9">
        <w:rPr>
          <w:rFonts w:hint="eastAsia"/>
          <w:sz w:val="22"/>
          <w:szCs w:val="22"/>
          <w:rtl/>
        </w:rPr>
        <w:t>«</w:t>
      </w:r>
      <w:r w:rsidRPr="00282AC9">
        <w:rPr>
          <w:rFonts w:cs="DanaFajr" w:hint="cs"/>
          <w:sz w:val="28"/>
          <w:szCs w:val="28"/>
          <w:rtl/>
          <w:lang w:bidi="ar-EG"/>
        </w:rPr>
        <w:t>لنا</w:t>
      </w:r>
      <w:r w:rsidRPr="00282AC9">
        <w:rPr>
          <w:rFonts w:hint="eastAsia"/>
          <w:sz w:val="22"/>
          <w:szCs w:val="22"/>
          <w:rtl/>
        </w:rPr>
        <w:t>»</w:t>
      </w:r>
      <w:r w:rsidRPr="00282AC9">
        <w:rPr>
          <w:rFonts w:cs="DanaFajr" w:hint="cs"/>
          <w:sz w:val="28"/>
          <w:szCs w:val="28"/>
          <w:rtl/>
          <w:lang w:bidi="ar-EG"/>
        </w:rPr>
        <w:t>؛ لمكان اللام، تدلّ على أنّهم علّةٌ غائية للخلق، لا علّةٌ فاعلية، فلا يثبت أنّهم علّة فاعلية لعالم الخلق. فيقول السيد</w:t>
      </w:r>
      <w:r w:rsidRPr="00282AC9">
        <w:rPr>
          <w:rFonts w:cs="Mosawi" w:hint="cs"/>
          <w:rtl/>
          <w:lang w:bidi="ar-EG"/>
        </w:rPr>
        <w:t>&amp;</w:t>
      </w:r>
      <w:r w:rsidRPr="00282AC9">
        <w:rPr>
          <w:rFonts w:cs="DanaFajr" w:hint="cs"/>
          <w:sz w:val="28"/>
          <w:szCs w:val="28"/>
          <w:rtl/>
          <w:lang w:bidi="ar-EG"/>
        </w:rPr>
        <w:t>، ردّاً على هذا الكلام: إنّ العلّة الغائية هي عين العلّة الفاعلية؛ ولذلك قال صدر المتألِّهين</w:t>
      </w:r>
      <w:r w:rsidRPr="00282AC9">
        <w:rPr>
          <w:rFonts w:cs="Mosawi" w:hint="cs"/>
          <w:rtl/>
          <w:lang w:bidi="ar-EG"/>
        </w:rPr>
        <w:t>&amp;</w:t>
      </w:r>
      <w:r w:rsidRPr="00282AC9">
        <w:rPr>
          <w:rFonts w:cs="DanaFajr" w:hint="cs"/>
          <w:sz w:val="28"/>
          <w:szCs w:val="28"/>
          <w:rtl/>
          <w:lang w:bidi="ar-EG"/>
        </w:rPr>
        <w:t xml:space="preserve">: </w:t>
      </w:r>
      <w:r w:rsidRPr="00282AC9">
        <w:rPr>
          <w:rFonts w:hint="eastAsia"/>
          <w:sz w:val="22"/>
          <w:szCs w:val="22"/>
          <w:rtl/>
        </w:rPr>
        <w:t>«</w:t>
      </w:r>
      <w:r w:rsidRPr="00282AC9">
        <w:rPr>
          <w:rFonts w:cs="DanaFajr" w:hint="cs"/>
          <w:sz w:val="28"/>
          <w:szCs w:val="28"/>
          <w:rtl/>
          <w:lang w:bidi="ar-EG"/>
        </w:rPr>
        <w:t>إنّك لو نظرْتَ حقّ النظر إلى العلّة الغائية وجَدْتَها في الحقيقة عين العلّة الفاعلية دائماً، إنّما التغاير بحَسَب الاعتبار</w:t>
      </w:r>
      <w:r w:rsidRPr="00282AC9">
        <w:rPr>
          <w:rFonts w:hint="eastAsia"/>
          <w:sz w:val="22"/>
          <w:szCs w:val="22"/>
          <w:rtl/>
        </w:rPr>
        <w:t>»</w:t>
      </w:r>
      <w:r w:rsidRPr="00282AC9">
        <w:rPr>
          <w:rFonts w:cs="DanaFajr" w:hint="cs"/>
          <w:sz w:val="28"/>
          <w:szCs w:val="28"/>
          <w:rtl/>
          <w:lang w:bidi="ar-EG"/>
        </w:rPr>
        <w:t>. (الأسفار 2: 270). وبذلك استفاد السيد</w:t>
      </w:r>
      <w:r w:rsidRPr="00282AC9">
        <w:rPr>
          <w:rFonts w:cs="Mosawi" w:hint="cs"/>
          <w:rtl/>
          <w:lang w:bidi="ar-EG"/>
        </w:rPr>
        <w:t>&amp;</w:t>
      </w:r>
      <w:r w:rsidRPr="00282AC9">
        <w:rPr>
          <w:rFonts w:cs="DanaFajr" w:hint="cs"/>
          <w:sz w:val="28"/>
          <w:szCs w:val="28"/>
          <w:rtl/>
          <w:lang w:bidi="ar-EG"/>
        </w:rPr>
        <w:t xml:space="preserve"> من هذا النصّ أنّهم</w:t>
      </w:r>
      <w:r w:rsidRPr="00282AC9">
        <w:rPr>
          <w:rFonts w:cs="Mosawi" w:hint="cs"/>
          <w:rtl/>
        </w:rPr>
        <w:t>^</w:t>
      </w:r>
      <w:r w:rsidRPr="00282AC9">
        <w:rPr>
          <w:rFonts w:cs="DanaFajr" w:hint="cs"/>
          <w:sz w:val="28"/>
          <w:szCs w:val="28"/>
          <w:rtl/>
          <w:lang w:bidi="ar-EG"/>
        </w:rPr>
        <w:t xml:space="preserve"> علّةٌ فاعلية لعالم الخلق، كما أنّهم علّةٌ غائيّة له.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 xml:space="preserve">ولا يمكن قبول هذا الدليل؛ لأنّ </w:t>
      </w:r>
      <w:r w:rsidRPr="00282AC9">
        <w:rPr>
          <w:rFonts w:hint="eastAsia"/>
          <w:sz w:val="22"/>
          <w:szCs w:val="22"/>
          <w:rtl/>
        </w:rPr>
        <w:t>«</w:t>
      </w:r>
      <w:r w:rsidRPr="00282AC9">
        <w:rPr>
          <w:rFonts w:cs="DanaFajr" w:hint="cs"/>
          <w:sz w:val="28"/>
          <w:szCs w:val="28"/>
          <w:rtl/>
          <w:lang w:bidi="ar-EG"/>
        </w:rPr>
        <w:t>صنائع</w:t>
      </w:r>
      <w:r w:rsidRPr="00282AC9">
        <w:rPr>
          <w:rFonts w:hint="eastAsia"/>
          <w:sz w:val="22"/>
          <w:szCs w:val="22"/>
          <w:rtl/>
        </w:rPr>
        <w:t>»</w:t>
      </w:r>
      <w:r w:rsidRPr="00282AC9">
        <w:rPr>
          <w:rFonts w:cs="DanaFajr" w:hint="cs"/>
          <w:sz w:val="28"/>
          <w:szCs w:val="28"/>
          <w:rtl/>
          <w:lang w:bidi="ar-EG"/>
        </w:rPr>
        <w:t xml:space="preserve"> جمع صنيع أو صنيعة، والصنيع مصدر </w:t>
      </w:r>
      <w:r w:rsidRPr="00282AC9">
        <w:rPr>
          <w:rFonts w:hint="eastAsia"/>
          <w:sz w:val="22"/>
          <w:szCs w:val="22"/>
          <w:rtl/>
        </w:rPr>
        <w:t>«</w:t>
      </w:r>
      <w:r w:rsidRPr="00282AC9">
        <w:rPr>
          <w:rFonts w:cs="DanaFajr" w:hint="cs"/>
          <w:sz w:val="28"/>
          <w:szCs w:val="28"/>
          <w:rtl/>
          <w:lang w:bidi="ar-EG"/>
        </w:rPr>
        <w:t>صنع</w:t>
      </w:r>
      <w:r w:rsidRPr="00282AC9">
        <w:rPr>
          <w:rFonts w:hint="eastAsia"/>
          <w:sz w:val="22"/>
          <w:szCs w:val="22"/>
          <w:rtl/>
        </w:rPr>
        <w:t>»</w:t>
      </w:r>
      <w:r w:rsidRPr="00282AC9">
        <w:rPr>
          <w:rFonts w:cs="DanaFajr" w:hint="cs"/>
          <w:sz w:val="28"/>
          <w:szCs w:val="28"/>
          <w:rtl/>
          <w:lang w:bidi="ar-EG"/>
        </w:rPr>
        <w:t xml:space="preserve">، كما أنّ </w:t>
      </w:r>
      <w:r w:rsidRPr="00282AC9">
        <w:rPr>
          <w:rFonts w:hint="eastAsia"/>
          <w:sz w:val="22"/>
          <w:szCs w:val="22"/>
          <w:rtl/>
        </w:rPr>
        <w:t>«</w:t>
      </w:r>
      <w:r w:rsidRPr="00282AC9">
        <w:rPr>
          <w:rFonts w:cs="DanaFajr" w:hint="cs"/>
          <w:sz w:val="28"/>
          <w:szCs w:val="28"/>
          <w:rtl/>
          <w:lang w:bidi="ar-EG"/>
        </w:rPr>
        <w:t>الصُّنع</w:t>
      </w:r>
      <w:r w:rsidRPr="00282AC9">
        <w:rPr>
          <w:rFonts w:hint="eastAsia"/>
          <w:sz w:val="22"/>
          <w:szCs w:val="22"/>
          <w:rtl/>
        </w:rPr>
        <w:t>»</w:t>
      </w:r>
      <w:r w:rsidRPr="00282AC9">
        <w:rPr>
          <w:rFonts w:cs="DanaFajr" w:hint="cs"/>
          <w:sz w:val="28"/>
          <w:szCs w:val="28"/>
          <w:rtl/>
          <w:lang w:bidi="ar-EG"/>
        </w:rPr>
        <w:t xml:space="preserve"> مصدرٌ له. وكلاهما يأتيان بالمعنى المفعولي، والصُّنع بالمعنى المفعولي هو كلُّ ما خُلق من شيءٍ، كقوله تعالى: </w:t>
      </w:r>
      <w:r w:rsidRPr="00282AC9">
        <w:rPr>
          <w:rFonts w:ascii="Mosawi" w:hAnsi="Mosawi" w:cs="Mosawi"/>
          <w:sz w:val="22"/>
          <w:szCs w:val="22"/>
          <w:rtl/>
        </w:rPr>
        <w:t>﴿</w:t>
      </w:r>
      <w:r w:rsidRPr="00282AC9">
        <w:rPr>
          <w:rFonts w:cs="DanaFajr" w:hint="cs"/>
          <w:b/>
          <w:bCs/>
          <w:sz w:val="28"/>
          <w:szCs w:val="28"/>
          <w:rtl/>
          <w:lang w:bidi="ar-EG"/>
        </w:rPr>
        <w:t>صُنْعَ اللهِ الَّذِي أَتْقَنَ كُلَّ شَيْءٍ</w:t>
      </w:r>
      <w:r w:rsidRPr="00282AC9">
        <w:rPr>
          <w:rFonts w:ascii="Mosawi" w:hAnsi="Mosawi" w:cs="Mosawi"/>
          <w:sz w:val="22"/>
          <w:szCs w:val="22"/>
          <w:rtl/>
        </w:rPr>
        <w:t>﴾</w:t>
      </w:r>
      <w:r w:rsidRPr="00282AC9">
        <w:rPr>
          <w:rFonts w:cs="DanaFajr" w:hint="cs"/>
          <w:sz w:val="28"/>
          <w:szCs w:val="28"/>
          <w:rtl/>
          <w:lang w:bidi="ar-EG"/>
        </w:rPr>
        <w:t xml:space="preserve"> (النمل: 88). وهذا المعنى المفعولي لهذا المصدر يثبت دعوى السيد</w:t>
      </w:r>
      <w:r w:rsidRPr="00282AC9">
        <w:rPr>
          <w:rFonts w:cs="Mosawi" w:hint="cs"/>
          <w:rtl/>
          <w:lang w:bidi="ar-EG"/>
        </w:rPr>
        <w:t>&amp;</w:t>
      </w:r>
      <w:r w:rsidRPr="00282AC9">
        <w:rPr>
          <w:rFonts w:cs="DanaFajr" w:hint="cs"/>
          <w:sz w:val="28"/>
          <w:szCs w:val="28"/>
          <w:rtl/>
          <w:lang w:bidi="ar-EG"/>
        </w:rPr>
        <w:t xml:space="preserve">؛ لأنّه على هذا المعنى يكون مفاد الرواية: </w:t>
      </w:r>
      <w:r w:rsidRPr="00282AC9">
        <w:rPr>
          <w:rFonts w:hint="eastAsia"/>
          <w:sz w:val="22"/>
          <w:szCs w:val="22"/>
          <w:rtl/>
        </w:rPr>
        <w:t>«</w:t>
      </w:r>
      <w:r w:rsidRPr="00282AC9">
        <w:rPr>
          <w:rFonts w:cs="DanaFajr" w:hint="cs"/>
          <w:sz w:val="28"/>
          <w:szCs w:val="28"/>
          <w:rtl/>
          <w:lang w:bidi="ar-EG"/>
        </w:rPr>
        <w:t>نحن مخلوقون لله، والخلق مخلوقٌ لنا</w:t>
      </w:r>
      <w:r w:rsidRPr="00282AC9">
        <w:rPr>
          <w:rFonts w:hint="eastAsia"/>
          <w:sz w:val="22"/>
          <w:szCs w:val="22"/>
          <w:rtl/>
        </w:rPr>
        <w:t>»</w:t>
      </w:r>
      <w:r w:rsidRPr="00282AC9">
        <w:rPr>
          <w:rFonts w:cs="DanaFajr" w:hint="cs"/>
          <w:sz w:val="28"/>
          <w:szCs w:val="28"/>
          <w:rtl/>
          <w:lang w:bidi="ar-EG"/>
        </w:rPr>
        <w:t xml:space="preserve">. إلاّ أنّ جمع هذا المصدر يكون </w:t>
      </w:r>
      <w:r w:rsidRPr="00282AC9">
        <w:rPr>
          <w:rFonts w:hint="eastAsia"/>
          <w:sz w:val="22"/>
          <w:szCs w:val="22"/>
          <w:rtl/>
        </w:rPr>
        <w:t>«</w:t>
      </w:r>
      <w:r w:rsidRPr="00282AC9">
        <w:rPr>
          <w:rFonts w:cs="DanaFajr" w:hint="cs"/>
          <w:sz w:val="28"/>
          <w:szCs w:val="28"/>
          <w:rtl/>
          <w:lang w:bidi="ar-EG"/>
        </w:rPr>
        <w:t>أصناع وصُنوع</w:t>
      </w:r>
      <w:r w:rsidRPr="00282AC9">
        <w:rPr>
          <w:rFonts w:hint="eastAsia"/>
          <w:sz w:val="22"/>
          <w:szCs w:val="22"/>
          <w:rtl/>
        </w:rPr>
        <w:t>»</w:t>
      </w:r>
      <w:r w:rsidRPr="00282AC9">
        <w:rPr>
          <w:rFonts w:cs="DanaFajr" w:hint="cs"/>
          <w:sz w:val="28"/>
          <w:szCs w:val="28"/>
          <w:rtl/>
          <w:lang w:bidi="ar-EG"/>
        </w:rPr>
        <w:t xml:space="preserve">، والرواية لم تقُلْ: </w:t>
      </w:r>
      <w:r w:rsidRPr="00282AC9">
        <w:rPr>
          <w:rFonts w:hint="eastAsia"/>
          <w:sz w:val="22"/>
          <w:szCs w:val="22"/>
          <w:rtl/>
        </w:rPr>
        <w:t>«</w:t>
      </w:r>
      <w:r w:rsidRPr="00282AC9">
        <w:rPr>
          <w:rFonts w:cs="DanaFajr" w:hint="cs"/>
          <w:sz w:val="28"/>
          <w:szCs w:val="28"/>
          <w:rtl/>
          <w:lang w:bidi="ar-EG"/>
        </w:rPr>
        <w:t>نحن أصناع الله أو صنوعه</w:t>
      </w:r>
      <w:r w:rsidRPr="00282AC9">
        <w:rPr>
          <w:rFonts w:hint="eastAsia"/>
          <w:sz w:val="22"/>
          <w:szCs w:val="22"/>
          <w:rtl/>
        </w:rPr>
        <w:t>»</w:t>
      </w:r>
      <w:r w:rsidRPr="00282AC9">
        <w:rPr>
          <w:rFonts w:cs="DanaFajr" w:hint="cs"/>
          <w:sz w:val="28"/>
          <w:szCs w:val="28"/>
          <w:rtl/>
          <w:lang w:bidi="ar-EG"/>
        </w:rPr>
        <w:t xml:space="preserve">، بل قالت: </w:t>
      </w:r>
      <w:r w:rsidRPr="00282AC9">
        <w:rPr>
          <w:rFonts w:hint="eastAsia"/>
          <w:sz w:val="22"/>
          <w:szCs w:val="22"/>
          <w:rtl/>
        </w:rPr>
        <w:t>«</w:t>
      </w:r>
      <w:r w:rsidRPr="00282AC9">
        <w:rPr>
          <w:rFonts w:cs="DanaFajr" w:hint="cs"/>
          <w:sz w:val="28"/>
          <w:szCs w:val="28"/>
          <w:rtl/>
          <w:lang w:bidi="ar-EG"/>
        </w:rPr>
        <w:t>نحن صنائع الله</w:t>
      </w:r>
      <w:r w:rsidRPr="00282AC9">
        <w:rPr>
          <w:rFonts w:hint="eastAsia"/>
          <w:sz w:val="22"/>
          <w:szCs w:val="22"/>
          <w:rtl/>
        </w:rPr>
        <w:t>»</w:t>
      </w:r>
      <w:r w:rsidRPr="00282AC9">
        <w:rPr>
          <w:rFonts w:cs="DanaFajr" w:hint="cs"/>
          <w:sz w:val="28"/>
          <w:szCs w:val="28"/>
          <w:rtl/>
          <w:lang w:bidi="ar-EG"/>
        </w:rPr>
        <w:t xml:space="preserve">، وصنائع جمع صنيع، والصنيع بالمعنى المفعولي هو كلّ ما عُمل من خيرٍ وجميل، كقولك: </w:t>
      </w:r>
      <w:r w:rsidRPr="00282AC9">
        <w:rPr>
          <w:rFonts w:hint="eastAsia"/>
          <w:sz w:val="22"/>
          <w:szCs w:val="22"/>
          <w:rtl/>
        </w:rPr>
        <w:t>«</w:t>
      </w:r>
      <w:r w:rsidRPr="00282AC9">
        <w:rPr>
          <w:rFonts w:cs="DanaFajr" w:hint="cs"/>
          <w:sz w:val="28"/>
          <w:szCs w:val="28"/>
          <w:rtl/>
          <w:lang w:bidi="ar-EG"/>
        </w:rPr>
        <w:t>لا أنسى صنيعك</w:t>
      </w:r>
      <w:r w:rsidRPr="00282AC9">
        <w:rPr>
          <w:rFonts w:hint="eastAsia"/>
          <w:sz w:val="22"/>
          <w:szCs w:val="22"/>
          <w:rtl/>
        </w:rPr>
        <w:t>»</w:t>
      </w:r>
      <w:r w:rsidRPr="00282AC9">
        <w:rPr>
          <w:rFonts w:cs="DanaFajr" w:hint="cs"/>
          <w:sz w:val="28"/>
          <w:szCs w:val="28"/>
          <w:rtl/>
          <w:lang w:bidi="ar-EG"/>
        </w:rPr>
        <w:t xml:space="preserve">، أي جميلك. وهذا المعنى فيما إذا كان الشيء صنيعاً للفاعل المختار؛ وأمّا إذا كان الشخص صنيعاً للفاعل المختار فمعناه المؤدّب بأدبه، كما قال صاحب محيط المحيط: </w:t>
      </w:r>
      <w:r w:rsidRPr="00282AC9">
        <w:rPr>
          <w:rFonts w:hint="eastAsia"/>
          <w:sz w:val="22"/>
          <w:szCs w:val="22"/>
          <w:rtl/>
        </w:rPr>
        <w:t>«</w:t>
      </w:r>
      <w:r w:rsidRPr="00282AC9">
        <w:rPr>
          <w:rFonts w:cs="DanaFajr" w:hint="cs"/>
          <w:sz w:val="28"/>
          <w:szCs w:val="28"/>
          <w:rtl/>
          <w:lang w:bidi="ar-EG"/>
        </w:rPr>
        <w:t>وهو صنيعي، أي الذي اصطنعته وربيَّته وخرَّجته</w:t>
      </w:r>
      <w:r w:rsidRPr="00282AC9">
        <w:rPr>
          <w:rFonts w:hint="eastAsia"/>
          <w:sz w:val="22"/>
          <w:szCs w:val="22"/>
          <w:rtl/>
        </w:rPr>
        <w:t>»</w:t>
      </w:r>
      <w:r w:rsidRPr="00282AC9">
        <w:rPr>
          <w:rFonts w:cs="DanaFajr" w:hint="cs"/>
          <w:sz w:val="28"/>
          <w:szCs w:val="28"/>
          <w:rtl/>
          <w:lang w:bidi="ar-EG"/>
        </w:rPr>
        <w:t xml:space="preserve">، وفي موضعٍ آخر قال: </w:t>
      </w:r>
      <w:r w:rsidRPr="00282AC9">
        <w:rPr>
          <w:rFonts w:hint="eastAsia"/>
          <w:sz w:val="22"/>
          <w:szCs w:val="22"/>
          <w:rtl/>
        </w:rPr>
        <w:t>«</w:t>
      </w:r>
      <w:r w:rsidRPr="00282AC9">
        <w:rPr>
          <w:rFonts w:cs="DanaFajr" w:hint="cs"/>
          <w:sz w:val="28"/>
          <w:szCs w:val="28"/>
          <w:rtl/>
          <w:lang w:bidi="ar-EG"/>
        </w:rPr>
        <w:t>اصطنع عنده صنيعة أي أحسن إليه وأدَّبه وربَّاه وخرَّجه</w:t>
      </w:r>
      <w:r w:rsidRPr="00282AC9">
        <w:rPr>
          <w:rFonts w:hint="eastAsia"/>
          <w:sz w:val="22"/>
          <w:szCs w:val="22"/>
          <w:rtl/>
        </w:rPr>
        <w:t>»</w:t>
      </w:r>
      <w:r w:rsidRPr="00282AC9">
        <w:rPr>
          <w:rFonts w:cs="DanaFajr" w:hint="cs"/>
          <w:sz w:val="28"/>
          <w:szCs w:val="28"/>
          <w:rtl/>
          <w:lang w:bidi="ar-EG"/>
        </w:rPr>
        <w:t xml:space="preserve">. وذُكر في المعجم الوسيط: </w:t>
      </w:r>
      <w:r w:rsidRPr="00282AC9">
        <w:rPr>
          <w:rFonts w:hint="eastAsia"/>
          <w:sz w:val="22"/>
          <w:szCs w:val="22"/>
          <w:rtl/>
        </w:rPr>
        <w:t>«</w:t>
      </w:r>
      <w:r w:rsidRPr="00282AC9">
        <w:rPr>
          <w:rFonts w:cs="DanaFajr" w:hint="cs"/>
          <w:sz w:val="28"/>
          <w:szCs w:val="28"/>
          <w:rtl/>
          <w:lang w:bidi="ar-EG"/>
        </w:rPr>
        <w:t>ويُقال: فلانٌ صنيع فلانٍ: ثمرة تربيته، وربيب نعمته</w:t>
      </w:r>
      <w:r w:rsidRPr="00282AC9">
        <w:rPr>
          <w:rFonts w:hint="eastAsia"/>
          <w:sz w:val="22"/>
          <w:szCs w:val="22"/>
          <w:rtl/>
        </w:rPr>
        <w:t>»</w:t>
      </w:r>
      <w:r w:rsidRPr="00282AC9">
        <w:rPr>
          <w:rFonts w:cs="DanaFajr" w:hint="cs"/>
          <w:sz w:val="28"/>
          <w:szCs w:val="28"/>
          <w:rtl/>
          <w:lang w:bidi="ar-EG"/>
        </w:rPr>
        <w:t>. ومن هنا يظهر أنّ فلاناً صنيع فلانٍ يعني المؤدّب بأدبه، والمربّى بتربيته. وعلى ضوء هذا المعنى عندما قال الإمام</w:t>
      </w:r>
      <w:r w:rsidRPr="00282AC9">
        <w:rPr>
          <w:rFonts w:cs="Mosawi" w:hint="cs"/>
          <w:rtl/>
        </w:rPr>
        <w:t>×</w:t>
      </w:r>
      <w:r w:rsidRPr="00282AC9">
        <w:rPr>
          <w:rFonts w:cs="DanaFajr" w:hint="cs"/>
          <w:sz w:val="28"/>
          <w:szCs w:val="28"/>
          <w:rtl/>
          <w:lang w:bidi="ar-EG"/>
        </w:rPr>
        <w:t xml:space="preserve">: </w:t>
      </w:r>
      <w:r w:rsidRPr="00282AC9">
        <w:rPr>
          <w:rFonts w:hint="eastAsia"/>
          <w:sz w:val="22"/>
          <w:szCs w:val="22"/>
          <w:rtl/>
        </w:rPr>
        <w:t>«</w:t>
      </w:r>
      <w:r w:rsidRPr="00282AC9">
        <w:rPr>
          <w:rFonts w:cs="DanaFajr" w:hint="cs"/>
          <w:sz w:val="28"/>
          <w:szCs w:val="28"/>
          <w:rtl/>
          <w:lang w:bidi="ar-EG"/>
        </w:rPr>
        <w:t>نحن صنائع الله</w:t>
      </w:r>
      <w:r w:rsidRPr="00282AC9">
        <w:rPr>
          <w:rFonts w:hint="eastAsia"/>
          <w:sz w:val="22"/>
          <w:szCs w:val="22"/>
          <w:rtl/>
        </w:rPr>
        <w:t>»</w:t>
      </w:r>
      <w:r w:rsidRPr="00282AC9">
        <w:rPr>
          <w:rFonts w:cs="DanaFajr" w:hint="cs"/>
          <w:sz w:val="28"/>
          <w:szCs w:val="28"/>
          <w:rtl/>
          <w:lang w:bidi="ar-EG"/>
        </w:rPr>
        <w:t xml:space="preserve"> يقصد أنّهم مؤدّبون بأدبه تعالى، ومُربَّون بتربيته. ولذلك رُوي عن النبيّ</w:t>
      </w:r>
      <w:r w:rsidRPr="00282AC9">
        <w:rPr>
          <w:rFonts w:cs="Mosawi" w:hint="cs"/>
          <w:rtl/>
        </w:rPr>
        <w:t>|</w:t>
      </w:r>
      <w:r w:rsidRPr="00282AC9">
        <w:rPr>
          <w:rFonts w:cs="DanaFajr" w:hint="cs"/>
          <w:sz w:val="28"/>
          <w:szCs w:val="28"/>
          <w:rtl/>
          <w:lang w:bidi="ar-EG"/>
        </w:rPr>
        <w:t xml:space="preserve"> أنّه قال: </w:t>
      </w:r>
      <w:r w:rsidRPr="00282AC9">
        <w:rPr>
          <w:rFonts w:hint="eastAsia"/>
          <w:sz w:val="22"/>
          <w:szCs w:val="22"/>
          <w:rtl/>
        </w:rPr>
        <w:t>«</w:t>
      </w:r>
      <w:r w:rsidRPr="00282AC9">
        <w:rPr>
          <w:rFonts w:cs="DanaFajr" w:hint="cs"/>
          <w:sz w:val="28"/>
          <w:szCs w:val="28"/>
          <w:rtl/>
          <w:lang w:bidi="ar-EG"/>
        </w:rPr>
        <w:t>أدَّبني ربّي فأحسن تأديبي</w:t>
      </w:r>
      <w:r w:rsidRPr="00282AC9">
        <w:rPr>
          <w:rFonts w:hint="eastAsia"/>
          <w:sz w:val="22"/>
          <w:szCs w:val="22"/>
          <w:rtl/>
        </w:rPr>
        <w:t>»</w:t>
      </w:r>
      <w:r w:rsidRPr="00282AC9">
        <w:rPr>
          <w:rFonts w:cs="DanaFajr" w:hint="cs"/>
          <w:sz w:val="28"/>
          <w:szCs w:val="28"/>
          <w:rtl/>
          <w:lang w:bidi="ar-EG"/>
        </w:rPr>
        <w:t xml:space="preserve">. (بحار الأنوار 16: 212). وعندما قال: </w:t>
      </w:r>
      <w:r w:rsidRPr="00282AC9">
        <w:rPr>
          <w:rFonts w:hint="eastAsia"/>
          <w:sz w:val="22"/>
          <w:szCs w:val="22"/>
          <w:rtl/>
        </w:rPr>
        <w:t>«</w:t>
      </w:r>
      <w:r w:rsidRPr="00282AC9">
        <w:rPr>
          <w:rFonts w:cs="DanaFajr" w:hint="cs"/>
          <w:sz w:val="28"/>
          <w:szCs w:val="28"/>
          <w:rtl/>
          <w:lang w:bidi="ar-EG"/>
        </w:rPr>
        <w:t>والخلق صنائع لنا</w:t>
      </w:r>
      <w:r w:rsidRPr="00282AC9">
        <w:rPr>
          <w:rFonts w:hint="eastAsia"/>
          <w:sz w:val="22"/>
          <w:szCs w:val="22"/>
          <w:rtl/>
        </w:rPr>
        <w:t>»</w:t>
      </w:r>
      <w:r w:rsidRPr="00282AC9">
        <w:rPr>
          <w:rFonts w:cs="DanaFajr" w:hint="cs"/>
          <w:sz w:val="28"/>
          <w:szCs w:val="28"/>
          <w:rtl/>
          <w:lang w:bidi="ar-EG"/>
        </w:rPr>
        <w:t xml:space="preserve"> يقصد من الخلق الناس؛ فإنّهم مؤدَّبون بأدبهم ومربَّون بتربيتهم. والرواية بهذا المعنى لا علاقة لها بالولاية المطلقة، بحَسَب تعبير السيد الخميني</w:t>
      </w:r>
      <w:r w:rsidRPr="00282AC9">
        <w:rPr>
          <w:rFonts w:cs="Mosawi" w:hint="cs"/>
          <w:rtl/>
          <w:lang w:bidi="ar-EG"/>
        </w:rPr>
        <w:t>&amp;</w:t>
      </w:r>
      <w:r w:rsidRPr="00282AC9">
        <w:rPr>
          <w:rFonts w:cs="DanaFajr" w:hint="cs"/>
          <w:sz w:val="28"/>
          <w:szCs w:val="28"/>
          <w:rtl/>
          <w:lang w:bidi="ar-EG"/>
        </w:rPr>
        <w:t xml:space="preserve">، بل تدلّ على دَوْرهم التهذيبي للنفوس، وتربيتهم لها، وذلك بهدايتهم إلى الطريق الموصل إلى الله تبارك وتعالى. هذا هو المعنى الظاهر من النصّ فيما لو كان كما نُقل. وأمّا النصّ الموجود في نهج البلاغة فهو: </w:t>
      </w:r>
      <w:r w:rsidRPr="00282AC9">
        <w:rPr>
          <w:rFonts w:hint="eastAsia"/>
          <w:sz w:val="22"/>
          <w:szCs w:val="22"/>
          <w:rtl/>
        </w:rPr>
        <w:t>«</w:t>
      </w:r>
      <w:r w:rsidRPr="00282AC9">
        <w:rPr>
          <w:rFonts w:cs="DanaFajr" w:hint="cs"/>
          <w:sz w:val="28"/>
          <w:szCs w:val="28"/>
          <w:rtl/>
          <w:lang w:bidi="ar-EG"/>
        </w:rPr>
        <w:t>فإنّا صنائع ربّنا، والناس بعد صنائع لنا</w:t>
      </w:r>
      <w:r w:rsidRPr="00282AC9">
        <w:rPr>
          <w:rFonts w:hint="eastAsia"/>
          <w:sz w:val="22"/>
          <w:szCs w:val="22"/>
          <w:rtl/>
        </w:rPr>
        <w:t>»</w:t>
      </w:r>
      <w:r w:rsidRPr="00282AC9">
        <w:rPr>
          <w:rFonts w:cs="DanaFajr" w:hint="cs"/>
          <w:sz w:val="28"/>
          <w:szCs w:val="28"/>
          <w:rtl/>
          <w:lang w:bidi="ar-EG"/>
        </w:rPr>
        <w:t xml:space="preserve">. وفي هذا النصّ لا يُحتَمَل الولاية المطلقة؛ لأنّه لا يعقل أن تكون ذواتهم المقدّسة واسطةً في صنع الناس، دون بقية الموجودات في عالم الخلق؛ لأنّ الوساطة تكون من جهة كونهم في مرتبة العلّة لوجود هذا العالم، وهذه الجهة لا تقتصر على الناس، بل تكون بالنسبة إلى كلّ الموجودات في عالم الخلق. ومن قصر الصنائع لهم على الناس نكتشف أنّ هذه الرواية ليست بصدد إثبات كونهم عللاً فاعليّة للناس، بل بصدد بيان أمرٍ آخر يقتصر عليهم، وهو كونهم مؤدَّبين بأدبهم، فحينئذٍ لا يبقى في هذا النصّ مجالٌ للشكّ في ما استظهرناه من النصّ السابق.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 xml:space="preserve">وإضافةً إلى المعنى المتقدِّم، هناك معنىً آخر للصنيع، قد مرّ في كلام صاحب محيط المحيط: </w:t>
      </w:r>
      <w:r w:rsidRPr="00282AC9">
        <w:rPr>
          <w:rFonts w:hint="eastAsia"/>
          <w:sz w:val="22"/>
          <w:szCs w:val="22"/>
          <w:rtl/>
        </w:rPr>
        <w:t>«</w:t>
      </w:r>
      <w:r w:rsidRPr="00282AC9">
        <w:rPr>
          <w:rFonts w:cs="DanaFajr" w:hint="cs"/>
          <w:sz w:val="28"/>
          <w:szCs w:val="28"/>
          <w:rtl/>
          <w:lang w:bidi="ar-EG"/>
        </w:rPr>
        <w:t>اصطنع عنده صنيعةً أي أحسن إليه</w:t>
      </w:r>
      <w:r w:rsidRPr="00282AC9">
        <w:rPr>
          <w:rFonts w:hint="eastAsia"/>
          <w:sz w:val="22"/>
          <w:szCs w:val="22"/>
          <w:rtl/>
        </w:rPr>
        <w:t>»</w:t>
      </w:r>
      <w:r w:rsidRPr="00282AC9">
        <w:rPr>
          <w:rFonts w:cs="DanaFajr" w:hint="cs"/>
          <w:sz w:val="28"/>
          <w:szCs w:val="28"/>
          <w:rtl/>
          <w:lang w:bidi="ar-EG"/>
        </w:rPr>
        <w:t xml:space="preserve">. كما أنّ المعجم الوسيط قال: </w:t>
      </w:r>
      <w:r w:rsidRPr="00282AC9">
        <w:rPr>
          <w:rFonts w:hint="eastAsia"/>
          <w:sz w:val="22"/>
          <w:szCs w:val="22"/>
          <w:rtl/>
        </w:rPr>
        <w:t>«</w:t>
      </w:r>
      <w:r w:rsidRPr="00282AC9">
        <w:rPr>
          <w:rFonts w:cs="DanaFajr" w:hint="cs"/>
          <w:sz w:val="28"/>
          <w:szCs w:val="28"/>
          <w:rtl/>
          <w:lang w:bidi="ar-EG"/>
        </w:rPr>
        <w:t>اصطنع عند فلانٍ صنيعةً: أحسن إليه</w:t>
      </w:r>
      <w:r w:rsidRPr="00282AC9">
        <w:rPr>
          <w:rFonts w:hint="eastAsia"/>
          <w:sz w:val="22"/>
          <w:szCs w:val="22"/>
          <w:rtl/>
        </w:rPr>
        <w:t>»</w:t>
      </w:r>
      <w:r w:rsidRPr="00282AC9">
        <w:rPr>
          <w:rFonts w:cs="DanaFajr" w:hint="cs"/>
          <w:sz w:val="28"/>
          <w:szCs w:val="28"/>
          <w:rtl/>
          <w:lang w:bidi="ar-EG"/>
        </w:rPr>
        <w:t xml:space="preserve">. كما أنّ الشيخ الطريحي في مجمع البحرين قال: </w:t>
      </w:r>
      <w:r w:rsidRPr="00282AC9">
        <w:rPr>
          <w:rFonts w:hint="eastAsia"/>
          <w:sz w:val="22"/>
          <w:szCs w:val="22"/>
          <w:rtl/>
        </w:rPr>
        <w:t>«</w:t>
      </w:r>
      <w:r w:rsidRPr="00282AC9">
        <w:rPr>
          <w:rFonts w:cs="DanaFajr" w:hint="cs"/>
          <w:sz w:val="28"/>
          <w:szCs w:val="28"/>
          <w:rtl/>
          <w:lang w:bidi="ar-EG"/>
        </w:rPr>
        <w:t>واصطنعت عند فلانٍ صنيعةً: أحسنتُ إليه</w:t>
      </w:r>
      <w:r w:rsidRPr="00282AC9">
        <w:rPr>
          <w:rFonts w:hint="eastAsia"/>
          <w:sz w:val="22"/>
          <w:szCs w:val="22"/>
          <w:rtl/>
        </w:rPr>
        <w:t>»</w:t>
      </w:r>
      <w:r w:rsidRPr="00282AC9">
        <w:rPr>
          <w:rFonts w:cs="DanaFajr" w:hint="cs"/>
          <w:sz w:val="28"/>
          <w:szCs w:val="28"/>
          <w:rtl/>
          <w:lang w:bidi="ar-EG"/>
        </w:rPr>
        <w:t xml:space="preserve">. وعلى ضوء هذا المعنى يمكن استفادة معنى آخر للنصّ المتقدِّم. ويتوقَّف بيانه على عدّة أمور: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الأمر الأوّل</w:t>
      </w:r>
      <w:r w:rsidRPr="00282AC9">
        <w:rPr>
          <w:rFonts w:cs="DanaFajr" w:hint="cs"/>
          <w:sz w:val="28"/>
          <w:szCs w:val="28"/>
          <w:rtl/>
          <w:lang w:bidi="ar-EG"/>
        </w:rPr>
        <w:t xml:space="preserve">: إنّ الواسطة في الثبوت تأتي بمعنيين: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المعنى الأوّل</w:t>
      </w:r>
      <w:r w:rsidRPr="00282AC9">
        <w:rPr>
          <w:rFonts w:cs="DanaFajr" w:hint="cs"/>
          <w:sz w:val="28"/>
          <w:szCs w:val="28"/>
          <w:rtl/>
          <w:lang w:bidi="ar-EG"/>
        </w:rPr>
        <w:t xml:space="preserve">: ما هو علّة لثبوت الوصف للموصوف في الواقع، كالنار بالنسبة للحرارة؛ فإنّها علّةٌ لثبوت الحرارة للماء.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المعنى الثاني</w:t>
      </w:r>
      <w:r w:rsidRPr="00282AC9">
        <w:rPr>
          <w:rFonts w:cs="DanaFajr" w:hint="cs"/>
          <w:sz w:val="28"/>
          <w:szCs w:val="28"/>
          <w:rtl/>
          <w:lang w:bidi="ar-EG"/>
        </w:rPr>
        <w:t xml:space="preserve">: ما يتّصف بالوصف بالأصالة، وبواسطته يتّصف الشيء الآخر به بالتَّبَع، كالقدر على النار، فإنّه يتّصف بالحرارة بالأصالة، ويكون واسطةً في اتّصاف الطعام بها بالتَّبَع. والفرق بين المعنى الأوّل والثاني أنّ الوصف في المعنى الأوّل قائمٌ بالواسطة قياماً صدورياً، فتكون الواسطة علّةً له؛ بينما الوصف في المعنى الثاني قائمٌ بالواسطة قياماً حلوليّاً، كما أنّه قائمٌ بذي الواسطة قياماً حلوليّاً، غاية الأمر أنّ الواسطة تكون موصلةً الوصف إلى ذي الواسطة، فتتّصف به بالأصالة، وذو الواسطة يتّصف به بالتَّبَع.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الأمر الثاني</w:t>
      </w:r>
      <w:r w:rsidRPr="00282AC9">
        <w:rPr>
          <w:rFonts w:cs="DanaFajr" w:hint="cs"/>
          <w:sz w:val="28"/>
          <w:szCs w:val="28"/>
          <w:rtl/>
          <w:lang w:bidi="ar-EG"/>
        </w:rPr>
        <w:t>: إنّ الله ـ تبارك وتعالى ـ قال في حقّ موسى</w:t>
      </w:r>
      <w:r w:rsidRPr="00282AC9">
        <w:rPr>
          <w:rFonts w:cs="Mosawi" w:hint="cs"/>
          <w:rtl/>
        </w:rPr>
        <w:t>×</w:t>
      </w:r>
      <w:r w:rsidRPr="00282AC9">
        <w:rPr>
          <w:rFonts w:cs="DanaFajr" w:hint="cs"/>
          <w:sz w:val="28"/>
          <w:szCs w:val="28"/>
          <w:rtl/>
          <w:lang w:bidi="ar-EG"/>
        </w:rPr>
        <w:t xml:space="preserve">: </w:t>
      </w:r>
      <w:r w:rsidRPr="00282AC9">
        <w:rPr>
          <w:rFonts w:ascii="Mosawi" w:hAnsi="Mosawi" w:cs="Mosawi"/>
          <w:sz w:val="22"/>
          <w:szCs w:val="22"/>
          <w:rtl/>
        </w:rPr>
        <w:t>﴿</w:t>
      </w:r>
      <w:r w:rsidRPr="00282AC9">
        <w:rPr>
          <w:rFonts w:cs="DanaFajr" w:hint="cs"/>
          <w:b/>
          <w:bCs/>
          <w:sz w:val="28"/>
          <w:szCs w:val="28"/>
          <w:rtl/>
          <w:lang w:bidi="ar-EG"/>
        </w:rPr>
        <w:t>اصْطَنَعْتُكَ لِنَفْسِي</w:t>
      </w:r>
      <w:r w:rsidRPr="00282AC9">
        <w:rPr>
          <w:rFonts w:ascii="Mosawi" w:hAnsi="Mosawi" w:cs="Mosawi"/>
          <w:sz w:val="22"/>
          <w:szCs w:val="22"/>
          <w:rtl/>
        </w:rPr>
        <w:t>﴾</w:t>
      </w:r>
      <w:r w:rsidRPr="00282AC9">
        <w:rPr>
          <w:rFonts w:cs="DanaFajr" w:hint="cs"/>
          <w:sz w:val="28"/>
          <w:szCs w:val="28"/>
          <w:rtl/>
          <w:lang w:bidi="ar-EG"/>
        </w:rPr>
        <w:t xml:space="preserve"> (طه: 41)، أي اخترتُك لنفسي؛ للقيام بمهمّة هداية الناس.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الأمر الثالث</w:t>
      </w:r>
      <w:r w:rsidRPr="00282AC9">
        <w:rPr>
          <w:rFonts w:cs="DanaFajr" w:hint="cs"/>
          <w:sz w:val="28"/>
          <w:szCs w:val="28"/>
          <w:rtl/>
          <w:lang w:bidi="ar-EG"/>
        </w:rPr>
        <w:t xml:space="preserve">: إنّ اللام تأتي بمعنى التعليل كقولك: </w:t>
      </w:r>
      <w:r w:rsidRPr="00282AC9">
        <w:rPr>
          <w:rFonts w:hint="eastAsia"/>
          <w:sz w:val="22"/>
          <w:szCs w:val="22"/>
          <w:rtl/>
        </w:rPr>
        <w:t>«</w:t>
      </w:r>
      <w:r w:rsidRPr="00282AC9">
        <w:rPr>
          <w:rFonts w:cs="DanaFajr" w:hint="cs"/>
          <w:sz w:val="28"/>
          <w:szCs w:val="28"/>
          <w:rtl/>
          <w:lang w:bidi="ar-EG"/>
        </w:rPr>
        <w:t>اعتراني الحزن لفراقك</w:t>
      </w:r>
      <w:r w:rsidRPr="00282AC9">
        <w:rPr>
          <w:rFonts w:hint="eastAsia"/>
          <w:sz w:val="22"/>
          <w:szCs w:val="22"/>
          <w:rtl/>
        </w:rPr>
        <w:t>»</w:t>
      </w:r>
      <w:r w:rsidRPr="00282AC9">
        <w:rPr>
          <w:rFonts w:cs="DanaFajr" w:hint="cs"/>
          <w:sz w:val="28"/>
          <w:szCs w:val="28"/>
          <w:rtl/>
          <w:lang w:bidi="ar-EG"/>
        </w:rPr>
        <w:t>. وعليه، اللام في قول الإمام</w:t>
      </w:r>
      <w:r w:rsidRPr="00282AC9">
        <w:rPr>
          <w:rFonts w:cs="Mosawi" w:hint="cs"/>
          <w:rtl/>
        </w:rPr>
        <w:t>×</w:t>
      </w:r>
      <w:r w:rsidRPr="00282AC9">
        <w:rPr>
          <w:rFonts w:cs="DanaFajr" w:hint="cs"/>
          <w:sz w:val="28"/>
          <w:szCs w:val="28"/>
          <w:rtl/>
          <w:lang w:bidi="ar-EG"/>
        </w:rPr>
        <w:t xml:space="preserve">: </w:t>
      </w:r>
      <w:r w:rsidRPr="00282AC9">
        <w:rPr>
          <w:rFonts w:hint="eastAsia"/>
          <w:sz w:val="22"/>
          <w:szCs w:val="22"/>
          <w:rtl/>
        </w:rPr>
        <w:t>«</w:t>
      </w:r>
      <w:r w:rsidRPr="00282AC9">
        <w:rPr>
          <w:rFonts w:cs="DanaFajr" w:hint="cs"/>
          <w:sz w:val="28"/>
          <w:szCs w:val="28"/>
          <w:rtl/>
          <w:lang w:bidi="ar-EG"/>
        </w:rPr>
        <w:t>الناس صنائع لنا</w:t>
      </w:r>
      <w:r w:rsidRPr="00282AC9">
        <w:rPr>
          <w:rFonts w:hint="eastAsia"/>
          <w:sz w:val="22"/>
          <w:szCs w:val="22"/>
          <w:rtl/>
        </w:rPr>
        <w:t>»</w:t>
      </w:r>
      <w:r w:rsidRPr="00282AC9">
        <w:rPr>
          <w:rFonts w:cs="DanaFajr" w:hint="cs"/>
          <w:sz w:val="28"/>
          <w:szCs w:val="28"/>
          <w:rtl/>
          <w:lang w:bidi="ar-EG"/>
        </w:rPr>
        <w:t xml:space="preserve"> يعني بواسطتنا.</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 xml:space="preserve">وبعد هذه الأمور، مع الالتفات إلى المعنى اللغويّ للصنيع </w:t>
      </w:r>
      <w:r w:rsidRPr="00282AC9">
        <w:rPr>
          <w:rFonts w:cs="DanaFajr"/>
          <w:sz w:val="28"/>
          <w:szCs w:val="28"/>
          <w:rtl/>
          <w:lang w:bidi="ar-EG"/>
        </w:rPr>
        <w:t>ـ</w:t>
      </w:r>
      <w:r w:rsidRPr="00282AC9">
        <w:rPr>
          <w:rFonts w:cs="DanaFajr" w:hint="cs"/>
          <w:sz w:val="28"/>
          <w:szCs w:val="28"/>
          <w:rtl/>
          <w:lang w:bidi="ar-EG"/>
        </w:rPr>
        <w:t xml:space="preserve"> وهو مَنْ يُحسن إليه </w:t>
      </w:r>
      <w:r w:rsidRPr="00282AC9">
        <w:rPr>
          <w:rFonts w:cs="DanaFajr"/>
          <w:sz w:val="28"/>
          <w:szCs w:val="28"/>
          <w:rtl/>
          <w:lang w:bidi="ar-EG"/>
        </w:rPr>
        <w:t>ـ</w:t>
      </w:r>
      <w:r w:rsidRPr="00282AC9">
        <w:rPr>
          <w:rFonts w:cs="DanaFajr" w:hint="cs"/>
          <w:sz w:val="28"/>
          <w:szCs w:val="28"/>
          <w:rtl/>
          <w:lang w:bidi="ar-EG"/>
        </w:rPr>
        <w:t>، يظهر المعنى الآخر لقول الإمام</w:t>
      </w:r>
      <w:r w:rsidRPr="00282AC9">
        <w:rPr>
          <w:rFonts w:cs="Mosawi" w:hint="cs"/>
          <w:rtl/>
        </w:rPr>
        <w:t>×</w:t>
      </w:r>
      <w:r w:rsidRPr="00282AC9">
        <w:rPr>
          <w:rFonts w:cs="DanaFajr" w:hint="cs"/>
          <w:sz w:val="28"/>
          <w:szCs w:val="28"/>
          <w:rtl/>
          <w:lang w:bidi="ar-EG"/>
        </w:rPr>
        <w:t xml:space="preserve">: </w:t>
      </w:r>
      <w:r w:rsidRPr="00282AC9">
        <w:rPr>
          <w:rFonts w:hint="eastAsia"/>
          <w:sz w:val="22"/>
          <w:szCs w:val="22"/>
          <w:rtl/>
        </w:rPr>
        <w:t>«</w:t>
      </w:r>
      <w:r w:rsidRPr="00282AC9">
        <w:rPr>
          <w:rFonts w:cs="DanaFajr" w:hint="cs"/>
          <w:sz w:val="28"/>
          <w:szCs w:val="28"/>
          <w:rtl/>
          <w:lang w:bidi="ar-EG"/>
        </w:rPr>
        <w:t>فإنّا صنائع الله</w:t>
      </w:r>
      <w:r w:rsidRPr="00282AC9">
        <w:rPr>
          <w:rFonts w:hint="eastAsia"/>
          <w:sz w:val="22"/>
          <w:szCs w:val="22"/>
          <w:rtl/>
        </w:rPr>
        <w:t>»</w:t>
      </w:r>
      <w:r w:rsidRPr="00282AC9">
        <w:rPr>
          <w:rFonts w:cs="DanaFajr" w:hint="cs"/>
          <w:sz w:val="28"/>
          <w:szCs w:val="28"/>
          <w:rtl/>
          <w:lang w:bidi="ar-EG"/>
        </w:rPr>
        <w:t>، يعني أنّ الله اصطنعهم لنفسه لأداء الرسالة الإلهيّة، فيُحسن إليهم برفع قَدْرهم ومنـزلتهم، ويتفضَّل عليهم بالكمالات المعنوية والفضائل، و</w:t>
      </w:r>
      <w:r w:rsidRPr="00282AC9">
        <w:rPr>
          <w:rFonts w:hint="eastAsia"/>
          <w:sz w:val="22"/>
          <w:szCs w:val="22"/>
          <w:rtl/>
        </w:rPr>
        <w:t>«</w:t>
      </w:r>
      <w:r w:rsidRPr="00282AC9">
        <w:rPr>
          <w:rFonts w:cs="DanaFajr" w:hint="cs"/>
          <w:sz w:val="28"/>
          <w:szCs w:val="28"/>
          <w:rtl/>
          <w:lang w:bidi="ar-EG"/>
        </w:rPr>
        <w:t>الناس صنائع لنا</w:t>
      </w:r>
      <w:r w:rsidRPr="00282AC9">
        <w:rPr>
          <w:rFonts w:hint="eastAsia"/>
          <w:sz w:val="22"/>
          <w:szCs w:val="22"/>
          <w:rtl/>
        </w:rPr>
        <w:t>»</w:t>
      </w:r>
      <w:r w:rsidRPr="00282AC9">
        <w:rPr>
          <w:rFonts w:cs="DanaFajr" w:hint="cs"/>
          <w:sz w:val="28"/>
          <w:szCs w:val="28"/>
          <w:rtl/>
          <w:lang w:bidi="ar-EG"/>
        </w:rPr>
        <w:t>، أي إنّ الله يتفضَّل عليهم بالإحسان إليهم برفع منـزلتهم، ويتفضَّل عليهم بالكمالات والفضائل بواسطتهم؛ لأنّ الناس بواسطتهم تصل إلى الخيرات، وأنّ طاعتهم يؤول إلى فعلها. وهذا المعنى يوافق الولاية المعنوية، التي آمن بها العلاّمة الطباطبائي</w:t>
      </w:r>
      <w:r w:rsidRPr="00282AC9">
        <w:rPr>
          <w:rFonts w:cs="Mosawi" w:hint="cs"/>
          <w:rtl/>
          <w:lang w:bidi="ar-EG"/>
        </w:rPr>
        <w:t>&amp;</w:t>
      </w:r>
      <w:r w:rsidRPr="00282AC9">
        <w:rPr>
          <w:rFonts w:cs="DanaFajr" w:hint="cs"/>
          <w:sz w:val="28"/>
          <w:szCs w:val="28"/>
          <w:rtl/>
          <w:lang w:bidi="ar-EG"/>
        </w:rPr>
        <w:t>؛ إذ بحَسَب هذه الولاية للأئمّة</w:t>
      </w:r>
      <w:r w:rsidRPr="00282AC9">
        <w:rPr>
          <w:rFonts w:cs="Mosawi" w:hint="cs"/>
          <w:rtl/>
        </w:rPr>
        <w:t>×</w:t>
      </w:r>
      <w:r w:rsidRPr="00282AC9">
        <w:rPr>
          <w:rFonts w:cs="DanaFajr" w:hint="cs"/>
          <w:sz w:val="28"/>
          <w:szCs w:val="28"/>
          <w:rtl/>
          <w:lang w:bidi="ar-EG"/>
        </w:rPr>
        <w:t xml:space="preserve"> تكون لهم السلطة على الجهة المَلَكوتية في النفوس؛ من أجل اتّصالهم بعالم الأمر، فيُوصلون النفوس المستعدّة إلى غاياتها التكوينية من الدرجات المعنوية. وبالنتيجة يكون النبيّ</w:t>
      </w:r>
      <w:r w:rsidRPr="00282AC9">
        <w:rPr>
          <w:rFonts w:cs="Mosawi" w:hint="cs"/>
          <w:rtl/>
        </w:rPr>
        <w:t>|</w:t>
      </w:r>
      <w:r w:rsidRPr="00282AC9">
        <w:rPr>
          <w:rFonts w:cs="DanaFajr" w:hint="cs"/>
          <w:sz w:val="28"/>
          <w:szCs w:val="28"/>
          <w:rtl/>
          <w:lang w:bidi="ar-EG"/>
        </w:rPr>
        <w:t xml:space="preserve"> وآله الأطهار</w:t>
      </w:r>
      <w:r w:rsidRPr="00282AC9">
        <w:rPr>
          <w:rFonts w:cs="Mosawi" w:hint="cs"/>
          <w:rtl/>
        </w:rPr>
        <w:t>^</w:t>
      </w:r>
      <w:r w:rsidRPr="00282AC9">
        <w:rPr>
          <w:rFonts w:cs="DanaFajr" w:hint="cs"/>
          <w:sz w:val="28"/>
          <w:szCs w:val="28"/>
          <w:rtl/>
          <w:lang w:bidi="ar-EG"/>
        </w:rPr>
        <w:t xml:space="preserve"> واسطةً بالمعنى الثاني للواسطة في الثبوت بالنسبة إلى الكمالات والفضائل للأمّة، لا الواسطة بالمعنى الأوّل بالنسبة إلى وجود عالم الخلق، حتّى تكون ذواتهم المطهَّرة عللاً فاعليّة، وبالتالي تكون واسطة في الثبوت للفيض، كما ذهب إليها السيد</w:t>
      </w:r>
      <w:r w:rsidRPr="00282AC9">
        <w:rPr>
          <w:rFonts w:cs="Mosawi" w:hint="cs"/>
          <w:rtl/>
          <w:lang w:bidi="ar-EG"/>
        </w:rPr>
        <w:t>&amp;</w:t>
      </w:r>
      <w:r w:rsidRPr="00282AC9">
        <w:rPr>
          <w:rFonts w:cs="DanaFajr" w:hint="cs"/>
          <w:sz w:val="28"/>
          <w:szCs w:val="28"/>
          <w:rtl/>
          <w:lang w:bidi="ar-EG"/>
        </w:rPr>
        <w:t>. وعليه، فهذه المقولة لا تشير إلى وساطتهم الثبوتية لوجود هذا العالم، بل تدلّ على القدر والمنـزلة لهم عند الله، وتمتُّعهم بالكمالات المعنوية والفضائل، كما يُنبئ عن ذلك السياق؛ إذ قال</w:t>
      </w:r>
      <w:r w:rsidRPr="00282AC9">
        <w:rPr>
          <w:rFonts w:cs="Mosawi" w:hint="cs"/>
          <w:rtl/>
        </w:rPr>
        <w:t>×</w:t>
      </w:r>
      <w:r w:rsidRPr="00282AC9">
        <w:rPr>
          <w:rFonts w:cs="DanaFajr" w:hint="cs"/>
          <w:sz w:val="28"/>
          <w:szCs w:val="28"/>
          <w:rtl/>
          <w:lang w:bidi="ar-EG"/>
        </w:rPr>
        <w:t xml:space="preserve">: </w:t>
      </w:r>
      <w:r w:rsidRPr="00282AC9">
        <w:rPr>
          <w:rFonts w:hint="eastAsia"/>
          <w:sz w:val="22"/>
          <w:szCs w:val="22"/>
          <w:rtl/>
        </w:rPr>
        <w:t>«</w:t>
      </w:r>
      <w:r w:rsidRPr="00282AC9">
        <w:rPr>
          <w:rFonts w:cs="DanaFajr" w:hint="cs"/>
          <w:sz w:val="28"/>
          <w:szCs w:val="28"/>
          <w:rtl/>
          <w:lang w:bidi="ar-EG"/>
        </w:rPr>
        <w:t>ولولا ما نهى الله عنه، من تزكية المرء نفسه، لذكر ذاكرٌ فضائل جمّة، تعرفها قلوب المؤمنين</w:t>
      </w:r>
      <w:r w:rsidRPr="00282AC9">
        <w:rPr>
          <w:rFonts w:hint="eastAsia"/>
          <w:sz w:val="22"/>
          <w:szCs w:val="22"/>
          <w:rtl/>
        </w:rPr>
        <w:t>»</w:t>
      </w:r>
      <w:r w:rsidRPr="00282AC9">
        <w:rPr>
          <w:rFonts w:cs="DanaFajr" w:hint="cs"/>
          <w:sz w:val="28"/>
          <w:szCs w:val="28"/>
          <w:rtl/>
          <w:lang w:bidi="ar-EG"/>
        </w:rPr>
        <w:t>، ثمّ قال</w:t>
      </w:r>
      <w:r w:rsidRPr="00282AC9">
        <w:rPr>
          <w:rFonts w:cs="Mosawi" w:hint="cs"/>
          <w:rtl/>
        </w:rPr>
        <w:t>×</w:t>
      </w:r>
      <w:r w:rsidRPr="00282AC9">
        <w:rPr>
          <w:rFonts w:cs="DanaFajr" w:hint="cs"/>
          <w:sz w:val="28"/>
          <w:szCs w:val="28"/>
          <w:rtl/>
          <w:lang w:bidi="ar-EG"/>
        </w:rPr>
        <w:t xml:space="preserve"> هذه المقولة المشهورة.</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هذا كلامنا بالنسبة إلى النقطة الأولى من بيان السيد الخميني</w:t>
      </w:r>
      <w:r w:rsidRPr="00282AC9">
        <w:rPr>
          <w:rFonts w:cs="Mosawi" w:hint="cs"/>
          <w:rtl/>
          <w:lang w:bidi="ar-EG"/>
        </w:rPr>
        <w:t>&amp;</w:t>
      </w:r>
      <w:r w:rsidRPr="00282AC9">
        <w:rPr>
          <w:rFonts w:cs="DanaFajr" w:hint="cs"/>
          <w:sz w:val="28"/>
          <w:szCs w:val="28"/>
          <w:rtl/>
          <w:lang w:bidi="ar-EG"/>
        </w:rPr>
        <w:t>.</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وأمّا كلامنا بالنسبة للنقطة الثانية فما قاله صدر المتألِّهين</w:t>
      </w:r>
      <w:r w:rsidRPr="00282AC9">
        <w:rPr>
          <w:rFonts w:cs="Mosawi" w:hint="cs"/>
          <w:rtl/>
          <w:lang w:bidi="ar-EG"/>
        </w:rPr>
        <w:t>&amp;</w:t>
      </w:r>
      <w:r w:rsidRPr="00282AC9">
        <w:rPr>
          <w:rFonts w:cs="DanaFajr" w:hint="cs"/>
          <w:sz w:val="28"/>
          <w:szCs w:val="28"/>
          <w:rtl/>
          <w:lang w:bidi="ar-EG"/>
        </w:rPr>
        <w:t xml:space="preserve"> من عينيّة العلّة الغائيّة للعلّة الفاعليّة دائماً غيرُ صحيحٍ؛ إذ هذه العينيّة ثابتة في الفاعل غير المستكمل بفعله، وسيأتي توضيحها في الهامش اللاحق. </w:t>
      </w:r>
    </w:p>
  </w:endnote>
  <w:endnote w:id="684">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lang w:bidi="ar-EG"/>
        </w:rPr>
        <w:t>(</w:t>
      </w:r>
      <w:r w:rsidRPr="00282AC9">
        <w:rPr>
          <w:rStyle w:val="af9"/>
          <w:rFonts w:cs="DanaFajr"/>
          <w:sz w:val="28"/>
          <w:szCs w:val="28"/>
          <w:vertAlign w:val="baseline"/>
        </w:rPr>
        <w:endnoteRef/>
      </w:r>
      <w:r w:rsidRPr="00282AC9">
        <w:rPr>
          <w:rFonts w:cs="DanaFajr"/>
          <w:sz w:val="28"/>
          <w:szCs w:val="28"/>
          <w:rtl/>
          <w:lang w:bidi="ar-EG"/>
        </w:rPr>
        <w:t>)</w:t>
      </w:r>
      <w:r w:rsidRPr="00282AC9">
        <w:rPr>
          <w:rFonts w:cs="DanaFajr" w:hint="cs"/>
          <w:sz w:val="28"/>
          <w:szCs w:val="28"/>
          <w:rtl/>
          <w:lang w:bidi="ar-EG"/>
        </w:rPr>
        <w:t xml:space="preserve"> كلِّيات علم الرجال: 420. </w:t>
      </w:r>
    </w:p>
  </w:endnote>
  <w:endnote w:id="685">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lang w:bidi="ar-EG"/>
        </w:rPr>
        <w:t>لا بُدَّ من الإشارة إلى أنّ الواحد ينقسم إلى قسمين:</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القسم الأوّل</w:t>
      </w:r>
      <w:r w:rsidRPr="00282AC9">
        <w:rPr>
          <w:rFonts w:cs="DanaFajr" w:hint="cs"/>
          <w:sz w:val="28"/>
          <w:szCs w:val="28"/>
          <w:rtl/>
          <w:lang w:bidi="ar-EG"/>
        </w:rPr>
        <w:t>: الواحد الحقيقي، وهو ما اتّصف بالوحدة لذاته من دون واسطةٍ في العروض، كزيدٍ، فإنّه اتّصف بالوحدة لذاته.</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القسم الثاني</w:t>
      </w:r>
      <w:r w:rsidRPr="00282AC9">
        <w:rPr>
          <w:rFonts w:cs="DanaFajr" w:hint="cs"/>
          <w:sz w:val="28"/>
          <w:szCs w:val="28"/>
          <w:rtl/>
          <w:lang w:bidi="ar-EG"/>
        </w:rPr>
        <w:t>: الواحد غير الحقيقي، وهو ما اتّصف بالوحدة بواسطةٍ في العروض، كزيدٍ وعمرو المتحدين في الإنسان، الذي هو واحدٌ نوعيّ، وهما اتّصفا بالوحدة لأجل وحدة نوعهما، فصارا واحداً بالنوع. والوحدة في الواحد الحقيقي إمّا تكون صفةً للوجود أو صفةً للمفهوم.</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أمّا الوحدة التي هي صفة الوجود فإمّا أن تكون صفةً لوجودٍ يمتنع فرض ثانٍ له، كالواجب تعالى، فتكون وحدته وحدةً حقيقية حقّة؛ وإمّا يمكن فرض ثانٍ له كبقيّة الموجودات، فتكون وحدته وحدةً حقيقيّة عددية. والواحد بالوحدة العددية إمّا يمتنع انقسامه، بحيث لا يمكن تبدُّله إلى الكثير، كما في المجرَّدات، فيمكن تسميتها بالوحدة الحقيقية الظلِّية، في مقابل الوحدة الحقيقية الأصلية للواجب تعالى، الذي تكون وحدته وحدةً حقيقيّة حقَّة، وإنْ كانت هذه التسمية على خلاف مصطلح العرفاء؛ فإنّهم يرَوْن أنّ الوجود المنبسط هو الواحد بالوحدة الحقيقية الظلّية؛ وإمّا لا يمتنع انقسامه، بل يمكن تبدُّله إلى الكثير، كما في المادّيات، فتسمّى بالوحدة الحقيقية الاتصالية.</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وأمّا الوحدة التي هي صفةٌ للمفهوم فإمّا أن يكون المفهوم ماهويّاً، فإنْ كانت تامّةً، بحيث تمثِّل تمام الذات لأفرادها، تُسمّى بالوحدة النوعية؛ وإذا كانت غيرَ تامّةٍ، بحيث تمثِّل جزء الذات لأفرادها، تُسمى بالوحدة الجنسيّة. وأمّا الوحدة الفصلية فهي ملازمةٌ للوحدة النوعية، ولذلك لا تُعتبر قسماً برأسها. وإمّا أن يكون المفهوم عنوانياً، كمفهوم الوجود والإمكان، فتُسمّى بالوحدة العنوانية.</w:t>
      </w:r>
    </w:p>
  </w:endnote>
  <w:endnote w:id="686">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lang w:bidi="ar-EG"/>
        </w:rPr>
        <w:t>رُبَما يُقال: إنّ تلك العوالم العلوية فواعل بالتسخير، على قول المشائيين؛ وأمّا العرفاء فإنّهم يرَوْن أنّ عالم الجبروت فاعلٌ بالتجلّي. وعلى أساس هذه الرؤية ذهبوا إلى ما تقدَّم، من أنّ عالم الجبروت في بداية قوس النـزول له غاية في نهاية قوس الصعود، وهي النفس الإنسانية في مرتبة السرّ، فيتّحد ذو الغاية بالغاية عند انتهاء دائرة الوجود؛ لأنّ عالم الجبروت مجرّدٌ تامّ، ليس فاقداً لأيّ كمالٍ ممكنٍ له، فلا تُتصوَّر له غايةٌ زائدة على ذاته، فتكون الغاية عينُ ذاته؛ لأنّ الغاية الزائدة على ذات الفاعل تُتصوَّر في الفاعل المستكمل بفعله، كالنفس الناطقة المتعلِّقة بالأبدان.</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وقبل الردّ على هذه المقولة لا بُدَّ من ذكر مقدّمتين:</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المقدّمة الأولى</w:t>
      </w:r>
      <w:r w:rsidRPr="00282AC9">
        <w:rPr>
          <w:rFonts w:cs="DanaFajr" w:hint="cs"/>
          <w:sz w:val="28"/>
          <w:szCs w:val="28"/>
          <w:rtl/>
          <w:lang w:bidi="ar-EG"/>
        </w:rPr>
        <w:t>: إنّ الفعل الاختياري يصدر من الإنسان بمبادىء ثلاثة في القوى النفسانيّة، وهي: القوّة المدركة، والقوّة الباعثة، والقوّة الفاعلة.</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الأوّل</w:t>
      </w:r>
      <w:r w:rsidRPr="00282AC9">
        <w:rPr>
          <w:rFonts w:cs="DanaFajr" w:hint="cs"/>
          <w:sz w:val="28"/>
          <w:szCs w:val="28"/>
          <w:rtl/>
          <w:lang w:bidi="ar-EG"/>
        </w:rPr>
        <w:t>: المبدأ المتعلِّق بالقوّة المدركة هو العلم، من تصوُّر الفعل والتصديق بفائدته. وهذا هو المبدأ البعيد.</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الثاني</w:t>
      </w:r>
      <w:r w:rsidRPr="00282AC9">
        <w:rPr>
          <w:rFonts w:cs="DanaFajr" w:hint="cs"/>
          <w:sz w:val="28"/>
          <w:szCs w:val="28"/>
          <w:rtl/>
          <w:lang w:bidi="ar-EG"/>
        </w:rPr>
        <w:t xml:space="preserve">: المبدأ المتعلِّق بالقوّة الباعثة هو الشوق والإرادة. وهذا هو المبدأ المتوسِّط.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الثالث</w:t>
      </w:r>
      <w:r w:rsidRPr="00282AC9">
        <w:rPr>
          <w:rFonts w:cs="DanaFajr" w:hint="cs"/>
          <w:sz w:val="28"/>
          <w:szCs w:val="28"/>
          <w:rtl/>
          <w:lang w:bidi="ar-EG"/>
        </w:rPr>
        <w:t>: المبدأ المتعلِّق بالقوّة الفاعلة هو القوّة المنبثَّة في العضلات. وهذا هو المبدأ القريب.</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وإضافةً إلى هذه المبادىء الثلاثة في القوى النفسانية لا بُدَّ من فائدةٍ تترتَّب على الفعل؛ لأنّ النفس الإنسانية فاقدةٌ للكمال المتمثِّل بتلك الفائدة، فيحبّه، وبحبّه للكمال يحصل له شوقٌ إلى الفعل؛ لنيل ذلك الكمال المترتِّب عليه.</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 xml:space="preserve">وبهذا يظهر أنّ الفعل الاختياري، إضافةً إلى المبادىء الثلاثة، يتقوَّم بالغاية التي تدعو الفاعل إلى الفعل. وفي الحقيقة الغاية ليست علّةً للفعل الاختياري؛ لأنّها بوجودها الخارجي مترتِّبةٌ على الفعل، والمتأخِّر لا يمكن أن يكون علّةً للمتقدِّم؛ وبوجودها الذهنيّ تؤثِّر في الفعل على نحو الشرطيّة، لا على نحو العلّة المؤثِّرة؛ فالعلّة المؤثِّرة هي حبّ الكمال المتمثِّل بالغاية. وبالنتيجة العلّة الغائية هي حبّ الكمال. فصارت المبادىء للفعل الاختياريّ أربعة: </w:t>
      </w:r>
      <w:r w:rsidRPr="00282AC9">
        <w:rPr>
          <w:rFonts w:cs="DanaFajr" w:hint="cs"/>
          <w:b/>
          <w:bCs/>
          <w:sz w:val="28"/>
          <w:szCs w:val="28"/>
          <w:rtl/>
          <w:lang w:bidi="ar-EG"/>
        </w:rPr>
        <w:t>الأوّل</w:t>
      </w:r>
      <w:r w:rsidRPr="00282AC9">
        <w:rPr>
          <w:rFonts w:cs="DanaFajr" w:hint="cs"/>
          <w:sz w:val="28"/>
          <w:szCs w:val="28"/>
          <w:rtl/>
          <w:lang w:bidi="ar-EG"/>
        </w:rPr>
        <w:t xml:space="preserve">: العلم، </w:t>
      </w:r>
      <w:r w:rsidRPr="00282AC9">
        <w:rPr>
          <w:rFonts w:cs="DanaFajr" w:hint="cs"/>
          <w:b/>
          <w:bCs/>
          <w:sz w:val="28"/>
          <w:szCs w:val="28"/>
          <w:rtl/>
          <w:lang w:bidi="ar-EG"/>
        </w:rPr>
        <w:t>الثاني</w:t>
      </w:r>
      <w:r w:rsidRPr="00282AC9">
        <w:rPr>
          <w:rFonts w:cs="DanaFajr" w:hint="cs"/>
          <w:sz w:val="28"/>
          <w:szCs w:val="28"/>
          <w:rtl/>
          <w:lang w:bidi="ar-EG"/>
        </w:rPr>
        <w:t xml:space="preserve">: الشوق والإرادة، </w:t>
      </w:r>
      <w:r w:rsidRPr="00282AC9">
        <w:rPr>
          <w:rFonts w:cs="DanaFajr" w:hint="cs"/>
          <w:b/>
          <w:bCs/>
          <w:sz w:val="28"/>
          <w:szCs w:val="28"/>
          <w:rtl/>
          <w:lang w:bidi="ar-EG"/>
        </w:rPr>
        <w:t>الثالث</w:t>
      </w:r>
      <w:r w:rsidRPr="00282AC9">
        <w:rPr>
          <w:rFonts w:cs="DanaFajr" w:hint="cs"/>
          <w:sz w:val="28"/>
          <w:szCs w:val="28"/>
          <w:rtl/>
          <w:lang w:bidi="ar-EG"/>
        </w:rPr>
        <w:t xml:space="preserve">: القوّة، </w:t>
      </w:r>
      <w:r w:rsidRPr="00282AC9">
        <w:rPr>
          <w:rFonts w:cs="DanaFajr" w:hint="cs"/>
          <w:b/>
          <w:bCs/>
          <w:sz w:val="28"/>
          <w:szCs w:val="28"/>
          <w:rtl/>
          <w:lang w:bidi="ar-EG"/>
        </w:rPr>
        <w:t>الرابع</w:t>
      </w:r>
      <w:r w:rsidRPr="00282AC9">
        <w:rPr>
          <w:rFonts w:cs="DanaFajr" w:hint="cs"/>
          <w:sz w:val="28"/>
          <w:szCs w:val="28"/>
          <w:rtl/>
          <w:lang w:bidi="ar-EG"/>
        </w:rPr>
        <w:t>: الحبّ للكمال المتمثِّل بالغاية، الذي يسري إلى الفعل. وهذه المبادىء يفترق بعضُها عن بعضٍ، ويفترق جميعها عن الفاعل في الفاعل المستكمل بفعله، مثل: النفس الناطقة المتعلِّقة بالبدن، ويتّحد الجميع مع الفاعل في الفاعل المجرّد التامّ؛ لمكان بساطة وجوده.</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 xml:space="preserve">ولا بُدَّ من معنىً جامع لهذه المبادىء، غير ما هو موجودٌ في الفاعل المستكمل بفعله؛ حتّى تتحقَّق في الفاعل المجرّد. فالعلم هو حضور الفعل لدى الفاعل، أعمّ من أن يكون بصورته أو بنفسه. وهذا المعنى للعلم يشمل العلم الحصولي والعلم الحضوري، فيتحقَّق في الفاعل المستكمل بفعله، كالنفس الناطقة، وغير المستكمل بفعله، كالمجرّد التام. والشوق هو حبّ الفاعل لفعله، فيتحقَّق في الفاعلين. والإرادة هي اقتضاء الفاعل بما هو عالمٌ بفعله الملائم لذاته، فتتحقَّق في الفاعلين أيضاً. والقوّة هي المبدئيّة للفعل، فتتحقَّق في الفاعلين؛ إذ من الواضح أنّ أيّ فاعلٍ تكون له هذه المبدئيّة، وإلاّ لما صدر منه الفعل. وهذه المبدئية لا بُدَّ أن تكون عن إرادةٍ حتّى يكون الفعل اختياريّاً. والإرادة تتوقَّف على وصفين، هما: العلم؛ والحبّ. فالعلم في الفاعل المستكمل بفعله حصوليّ، ويكون زائداً على ذاته، وفي الفاعل غير المستكمل حضوريّ، ويكون عين ذاته. والحبّ في الفاعل الأوّل يتمثَّل بالشوق، والحبّ المتمثِّل به يكون زائداً على ذات الفاعل؛ وفي الفاعل الثاني لا يتمثَّل به، بل بنفسه يوجب اقتضاء الفاعل لفعله. والحبّ يكون عين ذاته، والإرادة في الفاعل الأوّل تتمثَّل بالشوق المؤكَّد أو القصد، والإرادة المتمثِّلة بأحدهما تكون زائدةً على ذات الفاعل؛ وفي الفاعل الثاني لا تتمثَّل بذلك، بل بنفسها توجب صدور الفعل. وهذه الإرادة تكون عين ذات الفاعل، وبذلك يكون الفاعل مريداً بالإرادة الذاتية. وبوصف العلم والحب تتمّ الإرادة </w:t>
      </w:r>
      <w:r w:rsidRPr="00282AC9">
        <w:rPr>
          <w:rFonts w:cs="DanaFajr"/>
          <w:sz w:val="28"/>
          <w:szCs w:val="28"/>
          <w:rtl/>
          <w:lang w:bidi="ar-EG"/>
        </w:rPr>
        <w:t>ـ</w:t>
      </w:r>
      <w:r w:rsidRPr="00282AC9">
        <w:rPr>
          <w:rFonts w:cs="DanaFajr" w:hint="cs"/>
          <w:sz w:val="28"/>
          <w:szCs w:val="28"/>
          <w:rtl/>
          <w:lang w:bidi="ar-EG"/>
        </w:rPr>
        <w:t xml:space="preserve"> وهي اقتضاء الفعل </w:t>
      </w:r>
      <w:r w:rsidRPr="00282AC9">
        <w:rPr>
          <w:rFonts w:cs="DanaFajr"/>
          <w:sz w:val="28"/>
          <w:szCs w:val="28"/>
          <w:rtl/>
          <w:lang w:bidi="ar-EG"/>
        </w:rPr>
        <w:t>ـ</w:t>
      </w:r>
      <w:r w:rsidRPr="00282AC9">
        <w:rPr>
          <w:rFonts w:cs="DanaFajr" w:hint="cs"/>
          <w:sz w:val="28"/>
          <w:szCs w:val="28"/>
          <w:rtl/>
          <w:lang w:bidi="ar-EG"/>
        </w:rPr>
        <w:t xml:space="preserve">، وبها يصدر الفعل. وبهذا البيان يظهر الفرق بين الفاعلين في مبادىء الاختيار.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b/>
          <w:bCs/>
          <w:sz w:val="28"/>
          <w:szCs w:val="28"/>
          <w:rtl/>
          <w:lang w:bidi="ar-EG"/>
        </w:rPr>
        <w:t>المقدمة الثانية</w:t>
      </w:r>
      <w:r w:rsidRPr="00282AC9">
        <w:rPr>
          <w:rFonts w:cs="DanaFajr" w:hint="cs"/>
          <w:sz w:val="28"/>
          <w:szCs w:val="28"/>
          <w:rtl/>
          <w:lang w:bidi="ar-EG"/>
        </w:rPr>
        <w:t>: ونتيجةً لما تقدَّم فإنّ العلّة الغائية للفعل هي حبّ الفاعل لما يراه كمالاً له، سواءٌ أكان كمالاً حاصلاً قبل الفعل، مثل: الفاعل العلمي غير المستكمل بفعله؛ فليس له غايةٌ زائدة على ذاته، والعلّة الغائية له هي حبُّه للكمال، الذي هو عين ذاته، فيحبّ الفعل بتَبَع حبّه لذاته؛ لكونه أثراً له؛ أو كان كمالاً حاصلاً بعد الفعل، مثل: الفاعل العلمي المستكمل بفعله، فإنّ له غايةً زائدةً تُعتبر كمالاً له، والذي يحصل بفعله، والعلّة الغائية هي حبُّه لذلك الكمال، ويحبّ الفعل لأجل الوصول إلى ذلك الكمال. فالفعل في الصورتين مقصودٌ بالتَّبَع، والمقصود بالذات هو كمال الفاعل.</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 xml:space="preserve">وعلى أساس هذه المقدّمة نردّ على المقولة السابقة </w:t>
      </w:r>
      <w:r w:rsidRPr="00282AC9">
        <w:rPr>
          <w:rFonts w:cs="DanaFajr"/>
          <w:sz w:val="28"/>
          <w:szCs w:val="28"/>
          <w:rtl/>
          <w:lang w:bidi="ar-EG"/>
        </w:rPr>
        <w:t>ـ</w:t>
      </w:r>
      <w:r w:rsidRPr="00282AC9">
        <w:rPr>
          <w:rFonts w:cs="DanaFajr" w:hint="cs"/>
          <w:sz w:val="28"/>
          <w:szCs w:val="28"/>
          <w:rtl/>
          <w:lang w:bidi="ar-EG"/>
        </w:rPr>
        <w:t xml:space="preserve"> بأنّ عالم الجبروت فاعلٌ بالتجلّي، فلا تكون له غايةٌ إلاّ ذاته، فلا بُدَّ أن تكون نهاية قوس الصعود هي ذات عالم الجبروت، حتّى تتّحد الغاية مع ذي الغاية </w:t>
      </w:r>
      <w:r w:rsidRPr="00282AC9">
        <w:rPr>
          <w:rFonts w:cs="DanaFajr"/>
          <w:sz w:val="28"/>
          <w:szCs w:val="28"/>
          <w:rtl/>
          <w:lang w:bidi="ar-EG"/>
        </w:rPr>
        <w:t>ـ</w:t>
      </w:r>
      <w:r w:rsidRPr="00282AC9">
        <w:rPr>
          <w:rFonts w:cs="DanaFajr" w:hint="cs"/>
          <w:sz w:val="28"/>
          <w:szCs w:val="28"/>
          <w:rtl/>
          <w:lang w:bidi="ar-EG"/>
        </w:rPr>
        <w:t xml:space="preserve">، ونقول: إنّ العلّة الغائيّة هي حبّ الكمال في المجرّد التامّ، فإنّه عندما يعقل ذاته تكون ذاته حاضرةً لديه، وليست بغائبةٍ عنه، وهذا يعني أنّه يعلم بذاته ويحبّها. وإنّ حبّ الشيء يستلزم حبّ لوازمه وآثاره، فيحب الفعل بتَبَع حبّ ذاته، وبذلك حبّه لذاته بالأصالة حبٌّ لفعله بالتَّبَع، فيقتضي صدوره من حيث كونه عالماً به ومحبّاً له، فيصدر منه. وهكذا يثبت أنّ كون الفاعل المجرّد فاعلاً لغايةٍ لا يقتضي أن تكون تلك الغاية بعد صدور الفعل، حتّى يُقال: إنّ هذه الغاية هي ذاتها بعد الحركة الاستكمالية للنفس الإنسانيّة، وبالتالي تتَّحد الغاية مع ذي الغاية؛ إذ الغاية ليست علّةً لصدور الفعل، بل حبّ الغاية هو العلّة لصدور الفعل؛ لأنّه يسري منها إلى الفعل، وهذه العلّة موجودةٌ في الفاعل غير المستكمل بالنسبة إلى فعله في مرتبة ذاته، كما أوضَحْنا. </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lang w:bidi="ar-EG"/>
        </w:rPr>
        <w:t xml:space="preserve">وبالنتيجة إمّا يكون عالم الجبروت فاعلاً بالتسخير، كما يقول به المشّاء؛ وتدلّ عليه الآيات الكريمة أيضاً، كقوله تعالى: </w:t>
      </w:r>
      <w:r w:rsidRPr="00282AC9">
        <w:rPr>
          <w:rFonts w:ascii="Mosawi" w:hAnsi="Mosawi" w:cs="Mosawi"/>
          <w:sz w:val="22"/>
          <w:szCs w:val="22"/>
          <w:rtl/>
        </w:rPr>
        <w:t>﴿</w:t>
      </w:r>
      <w:r w:rsidRPr="00282AC9">
        <w:rPr>
          <w:rFonts w:cs="DanaFajr" w:hint="cs"/>
          <w:b/>
          <w:bCs/>
          <w:sz w:val="28"/>
          <w:szCs w:val="28"/>
          <w:rtl/>
          <w:lang w:bidi="ar-EG"/>
        </w:rPr>
        <w:t>وَهُمْ بِأَمْرِهِ يَعْمَلُونَ</w:t>
      </w:r>
      <w:r w:rsidRPr="00282AC9">
        <w:rPr>
          <w:rFonts w:ascii="Mosawi" w:hAnsi="Mosawi" w:cs="Mosawi"/>
          <w:sz w:val="22"/>
          <w:szCs w:val="22"/>
          <w:rtl/>
        </w:rPr>
        <w:t>﴾</w:t>
      </w:r>
      <w:r w:rsidRPr="00282AC9">
        <w:rPr>
          <w:rFonts w:cs="DanaFajr" w:hint="cs"/>
          <w:sz w:val="28"/>
          <w:szCs w:val="28"/>
          <w:rtl/>
          <w:lang w:bidi="ar-EG"/>
        </w:rPr>
        <w:t xml:space="preserve"> (الأنبياء: 27)، وكقوله تعالى: </w:t>
      </w:r>
      <w:r w:rsidRPr="00282AC9">
        <w:rPr>
          <w:rFonts w:ascii="Mosawi" w:hAnsi="Mosawi" w:cs="Mosawi"/>
          <w:sz w:val="22"/>
          <w:szCs w:val="22"/>
          <w:rtl/>
        </w:rPr>
        <w:t>﴿</w:t>
      </w:r>
      <w:r w:rsidRPr="00282AC9">
        <w:rPr>
          <w:rFonts w:cs="DanaFajr" w:hint="cs"/>
          <w:b/>
          <w:bCs/>
          <w:sz w:val="28"/>
          <w:szCs w:val="28"/>
          <w:rtl/>
          <w:lang w:bidi="ar-EG"/>
        </w:rPr>
        <w:t>لاَ يَعْصُونَ اللهَ مَا أَمَرَهُمْ</w:t>
      </w:r>
      <w:r w:rsidRPr="00282AC9">
        <w:rPr>
          <w:rFonts w:ascii="Mosawi" w:hAnsi="Mosawi" w:cs="Mosawi"/>
          <w:sz w:val="22"/>
          <w:szCs w:val="22"/>
          <w:rtl/>
        </w:rPr>
        <w:t>﴾</w:t>
      </w:r>
      <w:r w:rsidRPr="00282AC9">
        <w:rPr>
          <w:rFonts w:cs="DanaFajr" w:hint="cs"/>
          <w:sz w:val="28"/>
          <w:szCs w:val="28"/>
          <w:rtl/>
          <w:lang w:bidi="ar-EG"/>
        </w:rPr>
        <w:t xml:space="preserve"> (التحريم: 6)، إذ يُستفاد من هاتين الآيتين أنّهم فواعل بالتسخير </w:t>
      </w:r>
      <w:r w:rsidRPr="00282AC9">
        <w:rPr>
          <w:rFonts w:cs="DanaFajr"/>
          <w:sz w:val="28"/>
          <w:szCs w:val="28"/>
          <w:rtl/>
          <w:lang w:bidi="ar-EG"/>
        </w:rPr>
        <w:t>ـ</w:t>
      </w:r>
      <w:r w:rsidRPr="00282AC9">
        <w:rPr>
          <w:rFonts w:cs="DanaFajr" w:hint="cs"/>
          <w:sz w:val="28"/>
          <w:szCs w:val="28"/>
          <w:rtl/>
          <w:lang w:bidi="ar-EG"/>
        </w:rPr>
        <w:t xml:space="preserve"> بمعنى الفاعل الذي يريد ما يريده الحقّ، ولا يمكن له مخالفته أصلاً ـ، </w:t>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vanish/>
          <w:sz w:val="28"/>
          <w:szCs w:val="28"/>
          <w:rtl/>
          <w:lang w:bidi="ar-EG"/>
        </w:rPr>
        <w:pgNum/>
      </w:r>
      <w:r w:rsidRPr="00282AC9">
        <w:rPr>
          <w:rFonts w:cs="DanaFajr" w:hint="cs"/>
          <w:sz w:val="28"/>
          <w:szCs w:val="28"/>
          <w:rtl/>
          <w:lang w:bidi="ar-EG"/>
        </w:rPr>
        <w:t>أو فاعلاً بالتجلّي، كما يقول به العرفاء. وعلى كلا الفرضين لا يتمّ ما قالوه. إضافةً إلى إشكال الاستحالة العقليّة، الذي تقدَّم.</w:t>
      </w:r>
    </w:p>
  </w:endnote>
  <w:endnote w:id="687">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الحديث المشهور في ألسنة العرفاء. مسند أحمد 2: 154.</w:t>
      </w:r>
    </w:p>
  </w:endnote>
  <w:endnote w:id="688">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lang w:bidi="ar-EG"/>
        </w:rPr>
        <w:t>(</w:t>
      </w:r>
      <w:r w:rsidRPr="00282AC9">
        <w:rPr>
          <w:rStyle w:val="af9"/>
          <w:rFonts w:cs="DanaFajr"/>
          <w:sz w:val="28"/>
          <w:szCs w:val="28"/>
          <w:vertAlign w:val="baseline"/>
        </w:rPr>
        <w:endnoteRef/>
      </w:r>
      <w:r w:rsidRPr="00282AC9">
        <w:rPr>
          <w:rFonts w:cs="DanaFajr"/>
          <w:sz w:val="28"/>
          <w:szCs w:val="28"/>
          <w:rtl/>
          <w:lang w:bidi="ar-EG"/>
        </w:rPr>
        <w:t>)</w:t>
      </w:r>
      <w:r w:rsidRPr="00282AC9">
        <w:rPr>
          <w:rFonts w:cs="DanaFajr"/>
          <w:sz w:val="28"/>
          <w:szCs w:val="28"/>
        </w:rPr>
        <w:t xml:space="preserve"> </w:t>
      </w:r>
      <w:r w:rsidRPr="00282AC9">
        <w:rPr>
          <w:rFonts w:cs="DanaFajr" w:hint="cs"/>
          <w:sz w:val="28"/>
          <w:szCs w:val="28"/>
          <w:rtl/>
        </w:rPr>
        <w:t>بحار الأنوار 18: 136.</w:t>
      </w:r>
    </w:p>
  </w:endnote>
  <w:endnote w:id="689">
    <w:p w:rsidR="00C14EDE" w:rsidRPr="00282AC9" w:rsidRDefault="00C14EDE" w:rsidP="00227413">
      <w:pPr>
        <w:pStyle w:val="af7"/>
        <w:spacing w:line="288" w:lineRule="exact"/>
        <w:ind w:firstLine="0"/>
        <w:rPr>
          <w:rFonts w:cs="DanaFajr"/>
          <w:sz w:val="28"/>
          <w:szCs w:val="28"/>
          <w:rtl/>
          <w:lang w:bidi="ar-EG"/>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lang w:bidi="ar-EG"/>
        </w:rPr>
        <w:t>وقيل: إنّها كانت تقيم في المسجد حتّى إذا حاضَتْ خرجَتْ منها، وأقامت في بيت زكريّا حتّى إذا طهُرَتْ عادَتْ إلى المسجد. فبينما هي في مشرفةٍ لها في ناحية الدار، وقد ضربَتْ بينها وبين أهلها حجاباً؛ لتغتسل، إذ دخل عليها جبرائيل في صورة شابٍّ أمرد، سويّ الخَلْق، فاستعاذَتْ بالله منه. (الميزان في تفسير القرآن 14: 35).</w:t>
      </w:r>
    </w:p>
  </w:endnote>
  <w:endnote w:id="690">
    <w:p w:rsidR="00C14EDE" w:rsidRPr="00282AC9" w:rsidRDefault="00C14EDE" w:rsidP="00227413">
      <w:pPr>
        <w:pStyle w:val="af7"/>
        <w:spacing w:line="288" w:lineRule="exact"/>
        <w:ind w:firstLine="0"/>
        <w:rPr>
          <w:rFonts w:cs="DanaFajr"/>
          <w:sz w:val="28"/>
          <w:szCs w:val="28"/>
          <w:rtl/>
        </w:rPr>
      </w:pPr>
      <w:r w:rsidRPr="00282AC9">
        <w:rPr>
          <w:rFonts w:cs="DanaFajr"/>
          <w:sz w:val="28"/>
          <w:szCs w:val="28"/>
          <w:rtl/>
          <w:lang w:bidi="ar-EG"/>
        </w:rPr>
        <w:t>(</w:t>
      </w:r>
      <w:r w:rsidRPr="00282AC9">
        <w:rPr>
          <w:rStyle w:val="af9"/>
          <w:rFonts w:cs="DanaFajr"/>
          <w:sz w:val="28"/>
          <w:szCs w:val="28"/>
          <w:vertAlign w:val="baseline"/>
        </w:rPr>
        <w:endnoteRef/>
      </w:r>
      <w:r w:rsidRPr="00282AC9">
        <w:rPr>
          <w:rFonts w:cs="DanaFajr"/>
          <w:sz w:val="28"/>
          <w:szCs w:val="28"/>
          <w:rtl/>
          <w:lang w:bidi="ar-EG"/>
        </w:rPr>
        <w:t>)</w:t>
      </w:r>
      <w:r w:rsidRPr="00282AC9">
        <w:rPr>
          <w:rFonts w:cs="DanaFajr"/>
          <w:sz w:val="28"/>
          <w:szCs w:val="28"/>
        </w:rPr>
        <w:t xml:space="preserve"> </w:t>
      </w:r>
      <w:r w:rsidRPr="00282AC9">
        <w:rPr>
          <w:rFonts w:cs="DanaFajr" w:hint="cs"/>
          <w:sz w:val="28"/>
          <w:szCs w:val="28"/>
          <w:rtl/>
        </w:rPr>
        <w:t>إنّ المعجزات الصادرة من الأنبياء</w:t>
      </w:r>
      <w:r w:rsidRPr="00282AC9">
        <w:rPr>
          <w:rFonts w:cs="Mosawi" w:hint="cs"/>
          <w:rtl/>
        </w:rPr>
        <w:t>^</w:t>
      </w:r>
      <w:r w:rsidRPr="00282AC9">
        <w:rPr>
          <w:rFonts w:cs="DanaFajr" w:hint="cs"/>
          <w:sz w:val="28"/>
          <w:szCs w:val="28"/>
          <w:rtl/>
        </w:rPr>
        <w:t xml:space="preserve"> هي من الولاية التكوينية بالمعنى المتقدِّم. وتوضيح ذلك: يتمّ من خلال مرحلتين: </w:t>
      </w:r>
    </w:p>
    <w:p w:rsidR="00C14EDE" w:rsidRPr="00282AC9" w:rsidRDefault="00C14EDE" w:rsidP="00227413">
      <w:pPr>
        <w:pStyle w:val="af7"/>
        <w:spacing w:line="288" w:lineRule="exact"/>
        <w:ind w:firstLine="0"/>
        <w:rPr>
          <w:rFonts w:cs="DanaFajr"/>
          <w:sz w:val="28"/>
          <w:szCs w:val="28"/>
          <w:rtl/>
        </w:rPr>
      </w:pPr>
      <w:r w:rsidRPr="00282AC9">
        <w:rPr>
          <w:rFonts w:cs="DanaFajr" w:hint="cs"/>
          <w:b/>
          <w:bCs/>
          <w:sz w:val="28"/>
          <w:szCs w:val="28"/>
          <w:rtl/>
        </w:rPr>
        <w:t>المرحلة الأولى</w:t>
      </w:r>
      <w:r w:rsidRPr="00282AC9">
        <w:rPr>
          <w:rFonts w:cs="DanaFajr" w:hint="cs"/>
          <w:sz w:val="28"/>
          <w:szCs w:val="28"/>
          <w:rtl/>
        </w:rPr>
        <w:t xml:space="preserve">: أنّ إذن الله هو بمعنى إرادة الله </w:t>
      </w:r>
      <w:r w:rsidRPr="00282AC9">
        <w:rPr>
          <w:rFonts w:cs="DanaFajr"/>
          <w:sz w:val="28"/>
          <w:szCs w:val="28"/>
          <w:rtl/>
        </w:rPr>
        <w:t>ـ</w:t>
      </w:r>
      <w:r w:rsidRPr="00282AC9">
        <w:rPr>
          <w:rFonts w:cs="DanaFajr" w:hint="cs"/>
          <w:sz w:val="28"/>
          <w:szCs w:val="28"/>
          <w:rtl/>
        </w:rPr>
        <w:t xml:space="preserve"> تبارك وتعالى </w:t>
      </w:r>
      <w:r w:rsidRPr="00282AC9">
        <w:rPr>
          <w:rFonts w:cs="DanaFajr"/>
          <w:sz w:val="28"/>
          <w:szCs w:val="28"/>
          <w:rtl/>
        </w:rPr>
        <w:t>ـ</w:t>
      </w:r>
      <w:r w:rsidRPr="00282AC9">
        <w:rPr>
          <w:rFonts w:cs="DanaFajr" w:hint="cs"/>
          <w:sz w:val="28"/>
          <w:szCs w:val="28"/>
          <w:rtl/>
        </w:rPr>
        <w:t xml:space="preserve">. ويثبت ذلك بعد بيان نقطتين: </w:t>
      </w:r>
    </w:p>
    <w:p w:rsidR="00C14EDE" w:rsidRPr="00282AC9" w:rsidRDefault="00C14EDE" w:rsidP="00227413">
      <w:pPr>
        <w:pStyle w:val="af7"/>
        <w:spacing w:line="288" w:lineRule="exact"/>
        <w:ind w:firstLine="0"/>
        <w:rPr>
          <w:rFonts w:cs="DanaFajr"/>
          <w:sz w:val="28"/>
          <w:szCs w:val="28"/>
          <w:rtl/>
        </w:rPr>
      </w:pPr>
      <w:r w:rsidRPr="00282AC9">
        <w:rPr>
          <w:rFonts w:cs="DanaFajr" w:hint="cs"/>
          <w:b/>
          <w:bCs/>
          <w:sz w:val="28"/>
          <w:szCs w:val="28"/>
          <w:rtl/>
        </w:rPr>
        <w:t>النقطة الأولى</w:t>
      </w:r>
      <w:r w:rsidRPr="00282AC9">
        <w:rPr>
          <w:rFonts w:cs="DanaFajr" w:hint="cs"/>
          <w:sz w:val="28"/>
          <w:szCs w:val="28"/>
          <w:rtl/>
        </w:rPr>
        <w:t>: إنّ للعلّة التامّة المركَّبة ثلاثة أجزاء:</w:t>
      </w:r>
    </w:p>
    <w:p w:rsidR="00C14EDE" w:rsidRPr="00282AC9" w:rsidRDefault="00C14EDE" w:rsidP="00227413">
      <w:pPr>
        <w:pStyle w:val="af7"/>
        <w:spacing w:line="288" w:lineRule="exact"/>
        <w:ind w:firstLine="0"/>
        <w:rPr>
          <w:rFonts w:cs="DanaFajr"/>
          <w:sz w:val="28"/>
          <w:szCs w:val="28"/>
          <w:rtl/>
        </w:rPr>
      </w:pPr>
      <w:r w:rsidRPr="00282AC9">
        <w:rPr>
          <w:rFonts w:cs="DanaFajr" w:hint="cs"/>
          <w:b/>
          <w:bCs/>
          <w:sz w:val="28"/>
          <w:szCs w:val="28"/>
          <w:rtl/>
        </w:rPr>
        <w:t>الأوّل</w:t>
      </w:r>
      <w:r w:rsidRPr="00282AC9">
        <w:rPr>
          <w:rFonts w:cs="DanaFajr" w:hint="cs"/>
          <w:sz w:val="28"/>
          <w:szCs w:val="28"/>
          <w:rtl/>
        </w:rPr>
        <w:t>: المقتضي، وهو ما يقتضي الوجود للمعلول. فمثلاً: النار مقتضٍ للإحراق؛ لأنّ الإحراق يتولَّد منها.</w:t>
      </w:r>
    </w:p>
    <w:p w:rsidR="00C14EDE" w:rsidRPr="00282AC9" w:rsidRDefault="00C14EDE" w:rsidP="00227413">
      <w:pPr>
        <w:pStyle w:val="af7"/>
        <w:spacing w:line="288" w:lineRule="exact"/>
        <w:ind w:firstLine="0"/>
        <w:rPr>
          <w:rFonts w:cs="DanaFajr"/>
          <w:sz w:val="28"/>
          <w:szCs w:val="28"/>
          <w:rtl/>
        </w:rPr>
      </w:pPr>
      <w:r w:rsidRPr="00282AC9">
        <w:rPr>
          <w:rFonts w:cs="DanaFajr" w:hint="cs"/>
          <w:b/>
          <w:bCs/>
          <w:sz w:val="28"/>
          <w:szCs w:val="28"/>
          <w:rtl/>
        </w:rPr>
        <w:t>الثاني</w:t>
      </w:r>
      <w:r w:rsidRPr="00282AC9">
        <w:rPr>
          <w:rFonts w:cs="DanaFajr" w:hint="cs"/>
          <w:sz w:val="28"/>
          <w:szCs w:val="28"/>
          <w:rtl/>
        </w:rPr>
        <w:t>: الشرط، وهو متمِّم فاعلية الفاعل، الذي هو المقتضي، كالمماسّة للنار؛ فإنّ النار لا تؤثِّر بالفعل إلاّ بالمماسّة، فتكون متمِّمةً لفاعلية النار.</w:t>
      </w:r>
    </w:p>
    <w:p w:rsidR="00C14EDE" w:rsidRPr="00282AC9" w:rsidRDefault="00C14EDE" w:rsidP="00227413">
      <w:pPr>
        <w:pStyle w:val="af7"/>
        <w:spacing w:line="288" w:lineRule="exact"/>
        <w:ind w:firstLine="0"/>
        <w:rPr>
          <w:rFonts w:cs="DanaFajr"/>
          <w:sz w:val="28"/>
          <w:szCs w:val="28"/>
          <w:rtl/>
        </w:rPr>
      </w:pPr>
      <w:r w:rsidRPr="00282AC9">
        <w:rPr>
          <w:rFonts w:cs="DanaFajr" w:hint="cs"/>
          <w:b/>
          <w:bCs/>
          <w:sz w:val="28"/>
          <w:szCs w:val="28"/>
          <w:rtl/>
        </w:rPr>
        <w:t>الثالث</w:t>
      </w:r>
      <w:r w:rsidRPr="00282AC9">
        <w:rPr>
          <w:rFonts w:cs="DanaFajr" w:hint="cs"/>
          <w:sz w:val="28"/>
          <w:szCs w:val="28"/>
          <w:rtl/>
        </w:rPr>
        <w:t>: عدم المانع، هو العدم المتمِّم لقابليّة القابل؛ إذ وجود المانع يمنع عن تأثير المقتضي في القابل. مثل: رطوبة الحطب، فالحطب وإنْ كان في حدّ ذاته قابلاً للاحتراق، إلاّ أنّ هذه القابليّة الذاتيّة لا بُدَّ أن ينضمّ إليها أمرٌ آخر؛ حتّى يتأثَّر الحطب بالفعل، ويقبل الإحراق، وهو عدم الرطوبة.</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ومن هنا يظهر أن تأثير كلّ جزءٍ من أجزاء العلّة في المعلول يختلف عن تأثير الجزء الآخر؛ فالمقتضي يفيض الوجود، ويكون فاعلاً بمعنى ما به الوجود؛ والشرط يؤثِّر في فعلية التأثير للمقتضي؛ وعدم المانع يؤثِّر في فعلية القبول. فالشرط وعدم المانع يكونان مصحِّحين لفاعليّة الفاعل، فلا بُدَّ من افتراض المقتضي في رتبةٍ سابقة؛ حتّى يكون الشرط وعدم المانع مصحِّحين لفاعليته.</w:t>
      </w:r>
    </w:p>
    <w:p w:rsidR="00C14EDE" w:rsidRPr="00282AC9" w:rsidRDefault="00C14EDE" w:rsidP="00227413">
      <w:pPr>
        <w:pStyle w:val="af7"/>
        <w:spacing w:line="288" w:lineRule="exact"/>
        <w:ind w:firstLine="0"/>
        <w:rPr>
          <w:rFonts w:cs="DanaFajr"/>
          <w:sz w:val="28"/>
          <w:szCs w:val="28"/>
          <w:rtl/>
        </w:rPr>
      </w:pPr>
      <w:r w:rsidRPr="00282AC9">
        <w:rPr>
          <w:rFonts w:cs="DanaFajr" w:hint="cs"/>
          <w:b/>
          <w:bCs/>
          <w:sz w:val="28"/>
          <w:szCs w:val="28"/>
          <w:rtl/>
        </w:rPr>
        <w:t>النقطة الثانية</w:t>
      </w:r>
      <w:r w:rsidRPr="00282AC9">
        <w:rPr>
          <w:rFonts w:cs="DanaFajr" w:hint="cs"/>
          <w:sz w:val="28"/>
          <w:szCs w:val="28"/>
          <w:rtl/>
        </w:rPr>
        <w:t xml:space="preserve">: الإذن هو الترخيص. وينقسم إلى قسمين: </w:t>
      </w:r>
    </w:p>
    <w:p w:rsidR="00C14EDE" w:rsidRPr="00282AC9" w:rsidRDefault="00C14EDE" w:rsidP="00227413">
      <w:pPr>
        <w:pStyle w:val="af7"/>
        <w:spacing w:line="288" w:lineRule="exact"/>
        <w:ind w:firstLine="0"/>
        <w:rPr>
          <w:rFonts w:cs="DanaFajr"/>
          <w:sz w:val="28"/>
          <w:szCs w:val="28"/>
          <w:rtl/>
        </w:rPr>
      </w:pPr>
      <w:r w:rsidRPr="00282AC9">
        <w:rPr>
          <w:rFonts w:cs="DanaFajr" w:hint="cs"/>
          <w:b/>
          <w:bCs/>
          <w:sz w:val="28"/>
          <w:szCs w:val="28"/>
          <w:rtl/>
        </w:rPr>
        <w:t>1ـ إذن تشريعي</w:t>
      </w:r>
      <w:r w:rsidRPr="00282AC9">
        <w:rPr>
          <w:rFonts w:cs="DanaFajr" w:hint="cs"/>
          <w:sz w:val="28"/>
          <w:szCs w:val="28"/>
          <w:rtl/>
        </w:rPr>
        <w:t>: وهو ترخيصٌ ناشئ من عدم المنع الشرعي، كإذن الشارع بشرب التتن، بمعنى أنّه رخَّص بفعله. وهذا الترخيص نشأ من عدم الحكم بحرمته. وهذا الإذن تشريعيٌّ.</w:t>
      </w:r>
    </w:p>
    <w:p w:rsidR="00C14EDE" w:rsidRPr="00282AC9" w:rsidRDefault="00C14EDE" w:rsidP="00227413">
      <w:pPr>
        <w:pStyle w:val="af7"/>
        <w:spacing w:line="288" w:lineRule="exact"/>
        <w:ind w:firstLine="0"/>
        <w:rPr>
          <w:rFonts w:cs="DanaFajr"/>
          <w:sz w:val="28"/>
          <w:szCs w:val="28"/>
          <w:rtl/>
        </w:rPr>
      </w:pPr>
      <w:r w:rsidRPr="00282AC9">
        <w:rPr>
          <w:rFonts w:cs="DanaFajr" w:hint="cs"/>
          <w:b/>
          <w:bCs/>
          <w:sz w:val="28"/>
          <w:szCs w:val="28"/>
          <w:rtl/>
        </w:rPr>
        <w:t>2ـ إذن تكويني</w:t>
      </w:r>
      <w:r w:rsidRPr="00282AC9">
        <w:rPr>
          <w:rFonts w:cs="DanaFajr" w:hint="cs"/>
          <w:sz w:val="28"/>
          <w:szCs w:val="28"/>
          <w:rtl/>
        </w:rPr>
        <w:t>: وهو ترخيص في تأثير السبب في المسبَّب، وذلك بعدم المانع التكويني، مثل: تأثير النار في الإحراق من جهة عدم المانع من تأثيرها في الإحراق. وهذا إذنٌ تكوينيّ لتأثيرها. وهذا المعنى يُستفاد من العلاّمة الطباطبائي</w:t>
      </w:r>
      <w:r w:rsidRPr="00282AC9">
        <w:rPr>
          <w:rFonts w:cs="Mosawi" w:hint="cs"/>
          <w:rtl/>
        </w:rPr>
        <w:t>&amp;</w:t>
      </w:r>
      <w:r w:rsidRPr="00282AC9">
        <w:rPr>
          <w:rFonts w:cs="DanaFajr" w:hint="cs"/>
          <w:sz w:val="28"/>
          <w:szCs w:val="28"/>
          <w:rtl/>
        </w:rPr>
        <w:t xml:space="preserve"> في (الميزان في تفسير القرآن 1: 79)، حيث قال: </w:t>
      </w:r>
      <w:r w:rsidRPr="00282AC9">
        <w:rPr>
          <w:rFonts w:hint="eastAsia"/>
          <w:sz w:val="22"/>
          <w:szCs w:val="22"/>
          <w:rtl/>
        </w:rPr>
        <w:t>«</w:t>
      </w:r>
      <w:r w:rsidRPr="00282AC9">
        <w:rPr>
          <w:rFonts w:cs="DanaFajr" w:hint="cs"/>
          <w:sz w:val="28"/>
          <w:szCs w:val="28"/>
          <w:rtl/>
        </w:rPr>
        <w:t>فالأسباب تملكت السببيّة بتمليكه تعالى، وهي غير مستقلّةٍ في عين أنّها مالكةٌ. وهذا المعنى هو الذي يعبِّر سبحانه عنه بالشفاعة والإذن. فمن المعلوم أنّ الإذن إنّما يستقيم معناه إذا كان هناك مانعٌ من تصرُّف المأذون فيه. والمانع ـ أيضاً ـ يُتصوَّر فيما كان هناك مقتضٍ موجودٌ يمنع المانع عن تأثيره، ويحول بينه وبين تصرُّفه</w:t>
      </w:r>
      <w:r w:rsidRPr="00282AC9">
        <w:rPr>
          <w:rFonts w:hint="eastAsia"/>
          <w:sz w:val="22"/>
          <w:szCs w:val="22"/>
          <w:rtl/>
        </w:rPr>
        <w:t>»</w:t>
      </w:r>
      <w:r w:rsidRPr="00282AC9">
        <w:rPr>
          <w:rFonts w:cs="DanaFajr" w:hint="cs"/>
          <w:sz w:val="28"/>
          <w:szCs w:val="28"/>
          <w:rtl/>
        </w:rPr>
        <w:t xml:space="preserve">. وتوضيح هذا الكلام: إنّ في كلّ سببٍ مبدأً مؤثِّراً يقتضي التأثير في مسبَّبه. وهذا التأثير أعطاه الله </w:t>
      </w:r>
      <w:r w:rsidRPr="00282AC9">
        <w:rPr>
          <w:rFonts w:cs="DanaFajr"/>
          <w:sz w:val="28"/>
          <w:szCs w:val="28"/>
          <w:rtl/>
        </w:rPr>
        <w:t>ـ</w:t>
      </w:r>
      <w:r w:rsidRPr="00282AC9">
        <w:rPr>
          <w:rFonts w:cs="DanaFajr" w:hint="cs"/>
          <w:sz w:val="28"/>
          <w:szCs w:val="28"/>
          <w:rtl/>
        </w:rPr>
        <w:t xml:space="preserve"> تبارك وتعالى </w:t>
      </w:r>
      <w:r w:rsidRPr="00282AC9">
        <w:rPr>
          <w:rFonts w:cs="DanaFajr"/>
          <w:sz w:val="28"/>
          <w:szCs w:val="28"/>
          <w:rtl/>
        </w:rPr>
        <w:t>ـ</w:t>
      </w:r>
      <w:r w:rsidRPr="00282AC9">
        <w:rPr>
          <w:rFonts w:cs="DanaFajr" w:hint="cs"/>
          <w:sz w:val="28"/>
          <w:szCs w:val="28"/>
          <w:rtl/>
        </w:rPr>
        <w:t xml:space="preserve"> إيّاه، ومع ذلك لا يكون مستقلاًّ في التأثير، رغم كونه مالكاً له بتمليكٍ من الله؛ إذ يتوقَّف على إذنٍ منه بعدم حصول مانعٍ يمنع عن هذا التأثير، وبالتالي يحول بين السبب وحصول المسبَّب. وعليه، المسبَّب في حصوله يحتاج إلى أمرين: </w:t>
      </w:r>
      <w:r w:rsidRPr="00282AC9">
        <w:rPr>
          <w:rFonts w:cs="DanaFajr" w:hint="cs"/>
          <w:b/>
          <w:bCs/>
          <w:sz w:val="28"/>
          <w:szCs w:val="28"/>
          <w:rtl/>
        </w:rPr>
        <w:t>أوّلاً</w:t>
      </w:r>
      <w:r w:rsidRPr="00282AC9">
        <w:rPr>
          <w:rFonts w:cs="DanaFajr" w:hint="cs"/>
          <w:sz w:val="28"/>
          <w:szCs w:val="28"/>
          <w:rtl/>
        </w:rPr>
        <w:t xml:space="preserve">: إلى إرادة الله </w:t>
      </w:r>
      <w:r w:rsidRPr="00282AC9">
        <w:rPr>
          <w:rFonts w:cs="DanaFajr"/>
          <w:sz w:val="28"/>
          <w:szCs w:val="28"/>
          <w:rtl/>
        </w:rPr>
        <w:t>ـ</w:t>
      </w:r>
      <w:r w:rsidRPr="00282AC9">
        <w:rPr>
          <w:rFonts w:cs="DanaFajr" w:hint="cs"/>
          <w:sz w:val="28"/>
          <w:szCs w:val="28"/>
          <w:rtl/>
        </w:rPr>
        <w:t xml:space="preserve"> تبارك وتعالى </w:t>
      </w:r>
      <w:r w:rsidRPr="00282AC9">
        <w:rPr>
          <w:rFonts w:cs="DanaFajr"/>
          <w:sz w:val="28"/>
          <w:szCs w:val="28"/>
          <w:rtl/>
        </w:rPr>
        <w:t>ـ</w:t>
      </w:r>
      <w:r w:rsidRPr="00282AC9">
        <w:rPr>
          <w:rFonts w:cs="DanaFajr" w:hint="cs"/>
          <w:sz w:val="28"/>
          <w:szCs w:val="28"/>
          <w:rtl/>
        </w:rPr>
        <w:t xml:space="preserve"> لتأثير السبب فيه؛ </w:t>
      </w:r>
      <w:r w:rsidRPr="00282AC9">
        <w:rPr>
          <w:rFonts w:cs="DanaFajr" w:hint="cs"/>
          <w:b/>
          <w:bCs/>
          <w:sz w:val="28"/>
          <w:szCs w:val="28"/>
          <w:rtl/>
        </w:rPr>
        <w:t>وثانياً</w:t>
      </w:r>
      <w:r w:rsidRPr="00282AC9">
        <w:rPr>
          <w:rFonts w:cs="DanaFajr" w:hint="cs"/>
          <w:sz w:val="28"/>
          <w:szCs w:val="28"/>
          <w:rtl/>
        </w:rPr>
        <w:t>: إلى الإذن في هذا التأثير. وعلى ضوء ذلك حمل العلاّمة الطباطبائي</w:t>
      </w:r>
      <w:r w:rsidRPr="00282AC9">
        <w:rPr>
          <w:rFonts w:cs="Mosawi" w:hint="cs"/>
          <w:rtl/>
        </w:rPr>
        <w:t>&amp;</w:t>
      </w:r>
      <w:r w:rsidRPr="00282AC9">
        <w:rPr>
          <w:rFonts w:cs="DanaFajr" w:hint="cs"/>
          <w:sz w:val="28"/>
          <w:szCs w:val="28"/>
          <w:rtl/>
        </w:rPr>
        <w:t xml:space="preserve"> الإذن في الآية الكريمة: </w:t>
      </w:r>
      <w:r w:rsidRPr="00282AC9">
        <w:rPr>
          <w:rFonts w:ascii="Mosawi" w:hAnsi="Mosawi" w:cs="Mosawi"/>
          <w:sz w:val="22"/>
          <w:szCs w:val="22"/>
          <w:rtl/>
        </w:rPr>
        <w:t>﴿</w:t>
      </w:r>
      <w:r w:rsidRPr="00282AC9">
        <w:rPr>
          <w:rFonts w:cs="DanaFajr" w:hint="cs"/>
          <w:b/>
          <w:bCs/>
          <w:sz w:val="28"/>
          <w:szCs w:val="28"/>
          <w:rtl/>
        </w:rPr>
        <w:t>فَأَنْفُخُ فِيهِ فَيَكُونُ طَيْراً بِإِذْنِ اللهِ وَأُبْرِئُ الأَكْمَهَ وَالأَبْرَصَ وَأُحْيِي المَوْتَى بِإِذْنِ اللهِ</w:t>
      </w:r>
      <w:r w:rsidRPr="00282AC9">
        <w:rPr>
          <w:rFonts w:ascii="Mosawi" w:hAnsi="Mosawi" w:cs="Mosawi"/>
          <w:sz w:val="22"/>
          <w:szCs w:val="22"/>
          <w:rtl/>
        </w:rPr>
        <w:t>﴾</w:t>
      </w:r>
      <w:r w:rsidRPr="00282AC9">
        <w:rPr>
          <w:rFonts w:cs="DanaFajr" w:hint="cs"/>
          <w:sz w:val="28"/>
          <w:szCs w:val="28"/>
          <w:rtl/>
        </w:rPr>
        <w:t xml:space="preserve"> على الإذن التكويني. </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 xml:space="preserve">وإنّنا لا نوافقه على هذا التفسير؛ إذ القرآن الكريم يستخدم الإذن بمعنى الإرادة في حصول الأمور التكوينية. وأذكر نماذج من الآيات الكريمة في هذا المجال، كقوله تعالى: </w:t>
      </w:r>
      <w:r w:rsidRPr="00282AC9">
        <w:rPr>
          <w:rFonts w:ascii="Mosawi" w:hAnsi="Mosawi" w:cs="Mosawi"/>
          <w:sz w:val="22"/>
          <w:szCs w:val="22"/>
          <w:rtl/>
        </w:rPr>
        <w:t>﴿</w:t>
      </w:r>
      <w:r w:rsidRPr="00282AC9">
        <w:rPr>
          <w:rFonts w:cs="DanaFajr"/>
          <w:b/>
          <w:bCs/>
          <w:sz w:val="28"/>
          <w:szCs w:val="28"/>
          <w:rtl/>
        </w:rPr>
        <w:t>وَمَا أَصَابَكُمْ يَوْمَ الْتَقَى الْجَمْعَانِ فَبِإِذْنِ اللهِ</w:t>
      </w:r>
      <w:r w:rsidRPr="00282AC9">
        <w:rPr>
          <w:rFonts w:ascii="Mosawi" w:hAnsi="Mosawi" w:cs="Mosawi"/>
          <w:sz w:val="22"/>
          <w:szCs w:val="22"/>
          <w:rtl/>
        </w:rPr>
        <w:t>﴾</w:t>
      </w:r>
      <w:r w:rsidRPr="00282AC9">
        <w:rPr>
          <w:rFonts w:cs="DanaFajr" w:hint="cs"/>
          <w:sz w:val="28"/>
          <w:szCs w:val="28"/>
          <w:rtl/>
        </w:rPr>
        <w:t xml:space="preserve"> (آل عمران: 166). وهذه الآية تتحدَّث عن إصابة المسلمين في أُحُد بإذن الله، أي بإرادته؛ وقوله تعالى: </w:t>
      </w:r>
      <w:r w:rsidRPr="00282AC9">
        <w:rPr>
          <w:rFonts w:ascii="Mosawi" w:hAnsi="Mosawi" w:cs="Mosawi"/>
          <w:sz w:val="22"/>
          <w:szCs w:val="22"/>
          <w:rtl/>
        </w:rPr>
        <w:t>﴿</w:t>
      </w:r>
      <w:r w:rsidRPr="00282AC9">
        <w:rPr>
          <w:rFonts w:cs="DanaFajr"/>
          <w:b/>
          <w:bCs/>
          <w:sz w:val="28"/>
          <w:szCs w:val="28"/>
          <w:rtl/>
        </w:rPr>
        <w:t>وَلِسُلَيْمَانَ الرِّيحَ غُدُوُّهَا شَهْرٌ وَرَوَاحُهَا شَهْرٌ وَأَسَلْنَا لَهُ عَيْنَ الْقِطْرِ وَمِنْ الْجِنِّ مَنْ يَعْمَلُ بَيْنَ يَدَيْهِ بِإِذْنِ رَبِّهِ</w:t>
      </w:r>
      <w:r w:rsidRPr="00282AC9">
        <w:rPr>
          <w:rFonts w:ascii="Mosawi" w:hAnsi="Mosawi" w:cs="Mosawi"/>
          <w:sz w:val="22"/>
          <w:szCs w:val="22"/>
          <w:rtl/>
        </w:rPr>
        <w:t>﴾</w:t>
      </w:r>
      <w:r w:rsidRPr="00282AC9">
        <w:rPr>
          <w:rFonts w:cs="DanaFajr" w:hint="cs"/>
          <w:sz w:val="28"/>
          <w:szCs w:val="28"/>
          <w:rtl/>
        </w:rPr>
        <w:t xml:space="preserve"> (سبأ: 12). هذه الآية تتحدَّث عمّا سُخِّر لسليمان بإذن ربّه، أي بإرادته؛ وقوله تعالى: </w:t>
      </w:r>
      <w:r w:rsidRPr="00282AC9">
        <w:rPr>
          <w:rFonts w:ascii="Mosawi" w:hAnsi="Mosawi" w:cs="Mosawi"/>
          <w:sz w:val="22"/>
          <w:szCs w:val="22"/>
          <w:rtl/>
        </w:rPr>
        <w:t>﴿</w:t>
      </w:r>
      <w:r w:rsidRPr="00282AC9">
        <w:rPr>
          <w:rFonts w:cs="DanaFajr"/>
          <w:b/>
          <w:bCs/>
          <w:sz w:val="28"/>
          <w:szCs w:val="28"/>
          <w:rtl/>
        </w:rPr>
        <w:t>وَمَا كَانَ لِنَفْسٍ أَنْ تَمُوتَ إِلاَّ بِإِذْنِ اللهِ</w:t>
      </w:r>
      <w:r w:rsidRPr="00282AC9">
        <w:rPr>
          <w:rFonts w:ascii="Mosawi" w:hAnsi="Mosawi" w:cs="Mosawi"/>
          <w:sz w:val="22"/>
          <w:szCs w:val="22"/>
          <w:rtl/>
        </w:rPr>
        <w:t>﴾</w:t>
      </w:r>
      <w:r w:rsidRPr="00282AC9">
        <w:rPr>
          <w:rFonts w:cs="DanaFajr" w:hint="cs"/>
          <w:sz w:val="28"/>
          <w:szCs w:val="28"/>
          <w:rtl/>
        </w:rPr>
        <w:t xml:space="preserve"> (آل عمران: 145). وهذه الآية تتحدَّث عن أنّ أيّ نفسٍ لا تموت إلاّ بإذن الله، أي بإرادته؛ وقوله تعالى: </w:t>
      </w:r>
      <w:r w:rsidRPr="00282AC9">
        <w:rPr>
          <w:rFonts w:ascii="Mosawi" w:hAnsi="Mosawi" w:cs="Mosawi"/>
          <w:sz w:val="22"/>
          <w:szCs w:val="22"/>
          <w:rtl/>
        </w:rPr>
        <w:t>﴿</w:t>
      </w:r>
      <w:r w:rsidRPr="00282AC9">
        <w:rPr>
          <w:rFonts w:cs="DanaFajr"/>
          <w:b/>
          <w:bCs/>
          <w:sz w:val="28"/>
          <w:szCs w:val="28"/>
          <w:rtl/>
        </w:rPr>
        <w:t>وَأُدْخِلَ الَّذِينَ آمَنُوا وَعَمِلُوا الصَّالِحَاتِ جَنَّاتٍ تَجْرِي مِنْ تَحْتِهَا الأَنْهَارُ خَالِدِينَ فِيهَا بِإِذْنِ رَبِّهِمْ</w:t>
      </w:r>
      <w:r w:rsidRPr="00282AC9">
        <w:rPr>
          <w:rFonts w:ascii="Mosawi" w:hAnsi="Mosawi" w:cs="Mosawi"/>
          <w:sz w:val="22"/>
          <w:szCs w:val="22"/>
          <w:rtl/>
        </w:rPr>
        <w:t>﴾</w:t>
      </w:r>
      <w:r w:rsidRPr="00282AC9">
        <w:rPr>
          <w:rFonts w:cs="DanaFajr" w:hint="cs"/>
          <w:sz w:val="28"/>
          <w:szCs w:val="28"/>
          <w:rtl/>
        </w:rPr>
        <w:t xml:space="preserve"> (إبراهيم: 23). وهذه الآية تتحدَّث عن نعيم الجنّة للصالحين بأنّه خالدٌ بإذن ربّهم، أي بإرادته.</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والآيات التي تتحدَّث عن حصول الوقائع بإذن الله كثيرةٌ. والإذن في هذه الآيات بمعنى الإرادة؛ لأنّ هذه الآيات ليست ناظرةً إلى أسباب هذه الوقائع؛ حتى يُفسَّر الإذن بالترخيص في التأثير من جهة عدم المانع التكويني.</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 xml:space="preserve">وأحياناً يُستخدم الإذن بمعنى الأمر في القرآن الكريم، كقوله تعالى: </w:t>
      </w:r>
      <w:r w:rsidRPr="00282AC9">
        <w:rPr>
          <w:rFonts w:ascii="Mosawi" w:hAnsi="Mosawi" w:cs="Mosawi"/>
          <w:sz w:val="22"/>
          <w:szCs w:val="22"/>
          <w:rtl/>
        </w:rPr>
        <w:t>﴿</w:t>
      </w:r>
      <w:r w:rsidRPr="00282AC9">
        <w:rPr>
          <w:rFonts w:cs="DanaFajr"/>
          <w:b/>
          <w:bCs/>
          <w:sz w:val="28"/>
          <w:szCs w:val="28"/>
          <w:rtl/>
        </w:rPr>
        <w:t>يَوْمَ يَقُومُ الرُّوحُ وَالْمَلاَئِكَةُ صَفّاً لاَ يَتَكَلَّمُونَ إِلاَّ مَنْ أَذِنَ لَهُ الرَّحْمَنُ وَقَالَ صَوَاباً</w:t>
      </w:r>
      <w:r w:rsidRPr="00282AC9">
        <w:rPr>
          <w:rFonts w:ascii="Mosawi" w:hAnsi="Mosawi" w:cs="Mosawi"/>
          <w:sz w:val="22"/>
          <w:szCs w:val="22"/>
          <w:rtl/>
        </w:rPr>
        <w:t>﴾</w:t>
      </w:r>
      <w:r w:rsidRPr="00282AC9">
        <w:rPr>
          <w:rFonts w:cs="DanaFajr" w:hint="cs"/>
          <w:sz w:val="28"/>
          <w:szCs w:val="28"/>
          <w:rtl/>
        </w:rPr>
        <w:t xml:space="preserve"> (النبأ: 38). وهذه الآية تتحدَّث عن الملائكة بأنّهم يقومون بطاعة أمر الله </w:t>
      </w:r>
      <w:r w:rsidRPr="00282AC9">
        <w:rPr>
          <w:rFonts w:cs="DanaFajr"/>
          <w:sz w:val="28"/>
          <w:szCs w:val="28"/>
          <w:rtl/>
        </w:rPr>
        <w:t>ـ</w:t>
      </w:r>
      <w:r w:rsidRPr="00282AC9">
        <w:rPr>
          <w:rFonts w:cs="DanaFajr" w:hint="cs"/>
          <w:sz w:val="28"/>
          <w:szCs w:val="28"/>
          <w:rtl/>
        </w:rPr>
        <w:t xml:space="preserve"> تبارك وتعالى </w:t>
      </w:r>
      <w:r w:rsidRPr="00282AC9">
        <w:rPr>
          <w:rFonts w:cs="DanaFajr"/>
          <w:sz w:val="28"/>
          <w:szCs w:val="28"/>
          <w:rtl/>
        </w:rPr>
        <w:t>ـ</w:t>
      </w:r>
      <w:r w:rsidRPr="00282AC9">
        <w:rPr>
          <w:rFonts w:cs="DanaFajr" w:hint="cs"/>
          <w:sz w:val="28"/>
          <w:szCs w:val="28"/>
          <w:rtl/>
        </w:rPr>
        <w:t>، كما هو حالهم قبل قيام القيامة، فهم بأمره يعملون. فالإذن يكون بمعنى الأمر.</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 xml:space="preserve">وأحياناً يُستخدم الإذن بمعنى الترخيص فيه، كقوله تعالى: </w:t>
      </w:r>
      <w:r w:rsidRPr="00282AC9">
        <w:rPr>
          <w:rFonts w:ascii="Mosawi" w:hAnsi="Mosawi" w:cs="Mosawi"/>
          <w:sz w:val="22"/>
          <w:szCs w:val="22"/>
          <w:rtl/>
        </w:rPr>
        <w:t>﴿</w:t>
      </w:r>
      <w:r w:rsidRPr="00282AC9">
        <w:rPr>
          <w:rFonts w:cs="DanaFajr" w:hint="eastAsia"/>
          <w:b/>
          <w:bCs/>
          <w:sz w:val="28"/>
          <w:szCs w:val="28"/>
          <w:rtl/>
        </w:rPr>
        <w:t>قُلْ</w:t>
      </w:r>
      <w:r w:rsidRPr="00282AC9">
        <w:rPr>
          <w:rFonts w:cs="DanaFajr"/>
          <w:b/>
          <w:bCs/>
          <w:sz w:val="28"/>
          <w:szCs w:val="28"/>
          <w:rtl/>
        </w:rPr>
        <w:t xml:space="preserve"> </w:t>
      </w:r>
      <w:r w:rsidRPr="00282AC9">
        <w:rPr>
          <w:rFonts w:cs="DanaFajr" w:hint="eastAsia"/>
          <w:b/>
          <w:bCs/>
          <w:sz w:val="28"/>
          <w:szCs w:val="28"/>
          <w:rtl/>
        </w:rPr>
        <w:t>أَاللهُ</w:t>
      </w:r>
      <w:r w:rsidRPr="00282AC9">
        <w:rPr>
          <w:rFonts w:cs="DanaFajr"/>
          <w:b/>
          <w:bCs/>
          <w:sz w:val="28"/>
          <w:szCs w:val="28"/>
          <w:rtl/>
        </w:rPr>
        <w:t xml:space="preserve"> </w:t>
      </w:r>
      <w:r w:rsidRPr="00282AC9">
        <w:rPr>
          <w:rFonts w:cs="DanaFajr" w:hint="eastAsia"/>
          <w:b/>
          <w:bCs/>
          <w:sz w:val="28"/>
          <w:szCs w:val="28"/>
          <w:rtl/>
        </w:rPr>
        <w:t>أَذِنَ</w:t>
      </w:r>
      <w:r w:rsidRPr="00282AC9">
        <w:rPr>
          <w:rFonts w:cs="DanaFajr"/>
          <w:b/>
          <w:bCs/>
          <w:sz w:val="28"/>
          <w:szCs w:val="28"/>
          <w:rtl/>
        </w:rPr>
        <w:t xml:space="preserve"> </w:t>
      </w:r>
      <w:r w:rsidRPr="00282AC9">
        <w:rPr>
          <w:rFonts w:cs="DanaFajr" w:hint="eastAsia"/>
          <w:b/>
          <w:bCs/>
          <w:sz w:val="28"/>
          <w:szCs w:val="28"/>
          <w:rtl/>
        </w:rPr>
        <w:t>لَكُمْ</w:t>
      </w:r>
      <w:r w:rsidRPr="00282AC9">
        <w:rPr>
          <w:rFonts w:cs="DanaFajr"/>
          <w:b/>
          <w:bCs/>
          <w:sz w:val="28"/>
          <w:szCs w:val="28"/>
          <w:rtl/>
        </w:rPr>
        <w:t xml:space="preserve"> </w:t>
      </w:r>
      <w:r w:rsidRPr="00282AC9">
        <w:rPr>
          <w:rFonts w:cs="DanaFajr" w:hint="eastAsia"/>
          <w:b/>
          <w:bCs/>
          <w:sz w:val="28"/>
          <w:szCs w:val="28"/>
          <w:rtl/>
        </w:rPr>
        <w:t>أَمْ</w:t>
      </w:r>
      <w:r w:rsidRPr="00282AC9">
        <w:rPr>
          <w:rFonts w:cs="DanaFajr"/>
          <w:b/>
          <w:bCs/>
          <w:sz w:val="28"/>
          <w:szCs w:val="28"/>
          <w:rtl/>
        </w:rPr>
        <w:t xml:space="preserve"> </w:t>
      </w:r>
      <w:r w:rsidRPr="00282AC9">
        <w:rPr>
          <w:rFonts w:cs="DanaFajr" w:hint="eastAsia"/>
          <w:b/>
          <w:bCs/>
          <w:sz w:val="28"/>
          <w:szCs w:val="28"/>
          <w:rtl/>
        </w:rPr>
        <w:t>عَلَى</w:t>
      </w:r>
      <w:r w:rsidRPr="00282AC9">
        <w:rPr>
          <w:rFonts w:cs="DanaFajr"/>
          <w:b/>
          <w:bCs/>
          <w:sz w:val="28"/>
          <w:szCs w:val="28"/>
          <w:rtl/>
        </w:rPr>
        <w:t xml:space="preserve"> </w:t>
      </w:r>
      <w:r w:rsidRPr="00282AC9">
        <w:rPr>
          <w:rFonts w:cs="DanaFajr" w:hint="eastAsia"/>
          <w:b/>
          <w:bCs/>
          <w:sz w:val="28"/>
          <w:szCs w:val="28"/>
          <w:rtl/>
        </w:rPr>
        <w:t>اللهِ</w:t>
      </w:r>
      <w:r w:rsidRPr="00282AC9">
        <w:rPr>
          <w:rFonts w:cs="DanaFajr"/>
          <w:b/>
          <w:bCs/>
          <w:sz w:val="28"/>
          <w:szCs w:val="28"/>
          <w:rtl/>
        </w:rPr>
        <w:t xml:space="preserve"> </w:t>
      </w:r>
      <w:r w:rsidRPr="00282AC9">
        <w:rPr>
          <w:rFonts w:cs="DanaFajr" w:hint="eastAsia"/>
          <w:b/>
          <w:bCs/>
          <w:sz w:val="28"/>
          <w:szCs w:val="28"/>
          <w:rtl/>
        </w:rPr>
        <w:t>تَفْتَرُونَ</w:t>
      </w:r>
      <w:r w:rsidRPr="00282AC9">
        <w:rPr>
          <w:rFonts w:ascii="Mosawi" w:hAnsi="Mosawi" w:cs="Mosawi"/>
          <w:sz w:val="22"/>
          <w:szCs w:val="22"/>
          <w:rtl/>
        </w:rPr>
        <w:t>﴾</w:t>
      </w:r>
      <w:r w:rsidRPr="00282AC9">
        <w:rPr>
          <w:rFonts w:cs="DanaFajr" w:hint="cs"/>
          <w:sz w:val="28"/>
          <w:szCs w:val="28"/>
          <w:rtl/>
        </w:rPr>
        <w:t xml:space="preserve"> (يونس: 59). وهذه الآية تتحدَّث عن التحليل والتحريم لرزق الله </w:t>
      </w:r>
      <w:r w:rsidRPr="00282AC9">
        <w:rPr>
          <w:rFonts w:cs="DanaFajr"/>
          <w:sz w:val="28"/>
          <w:szCs w:val="28"/>
          <w:rtl/>
        </w:rPr>
        <w:t>ـ</w:t>
      </w:r>
      <w:r w:rsidRPr="00282AC9">
        <w:rPr>
          <w:rFonts w:cs="DanaFajr" w:hint="cs"/>
          <w:sz w:val="28"/>
          <w:szCs w:val="28"/>
          <w:rtl/>
        </w:rPr>
        <w:t xml:space="preserve"> تبارك وتعالى </w:t>
      </w:r>
      <w:r w:rsidRPr="00282AC9">
        <w:rPr>
          <w:rFonts w:cs="DanaFajr"/>
          <w:sz w:val="28"/>
          <w:szCs w:val="28"/>
          <w:rtl/>
        </w:rPr>
        <w:t>ـ</w:t>
      </w:r>
      <w:r w:rsidRPr="00282AC9">
        <w:rPr>
          <w:rFonts w:cs="DanaFajr" w:hint="cs"/>
          <w:sz w:val="28"/>
          <w:szCs w:val="28"/>
          <w:rtl/>
        </w:rPr>
        <w:t xml:space="preserve">، أنّ الله أذن لكم بذلك ـ أي رخّصكم في التحليل والتحريم ـ، أم على الله تفترون؟ </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 xml:space="preserve">هذه هي المعاني الثلاثة للإذن في القرآن الكريم. وبعد هذه المعاني نأتي إلى الأمور التي يتحدَّث عنها القرآن باعتبار حصولها من أسبابها. وهذه الآيات كثيرةٌ، ونحن نقتصر على آيةٍ واحدة، وهي قوله تعالى: </w:t>
      </w:r>
      <w:r w:rsidRPr="00282AC9">
        <w:rPr>
          <w:rFonts w:ascii="Mosawi" w:hAnsi="Mosawi" w:cs="Mosawi"/>
          <w:sz w:val="22"/>
          <w:szCs w:val="22"/>
          <w:rtl/>
        </w:rPr>
        <w:t>﴿</w:t>
      </w:r>
      <w:r w:rsidRPr="00282AC9">
        <w:rPr>
          <w:rFonts w:cs="DanaFajr"/>
          <w:b/>
          <w:bCs/>
          <w:sz w:val="28"/>
          <w:szCs w:val="28"/>
          <w:rtl/>
        </w:rPr>
        <w:t>وَمَا هُمْ بِضَارِّينَ بِهِ مِنْ أَحَدٍ إِلاَّ بِإِذْنِ اللهِ</w:t>
      </w:r>
      <w:r w:rsidRPr="00282AC9">
        <w:rPr>
          <w:rFonts w:ascii="Mosawi" w:hAnsi="Mosawi" w:cs="Mosawi"/>
          <w:sz w:val="22"/>
          <w:szCs w:val="22"/>
          <w:rtl/>
        </w:rPr>
        <w:t>﴾</w:t>
      </w:r>
      <w:r w:rsidRPr="00282AC9">
        <w:rPr>
          <w:rFonts w:cs="DanaFajr" w:hint="cs"/>
          <w:sz w:val="28"/>
          <w:szCs w:val="28"/>
          <w:rtl/>
        </w:rPr>
        <w:t xml:space="preserve"> (البقرة: 102). وهذه الآية تقول: إنّ السحر لا يضرّ أحداً إلاّ بإذن الله. والسحر سببٌ خارق للعادة فيؤثِّر في الضَّرَر للناس؛ ولذلك المقطع السابق على هذا المقطع يتحدَّث عن تأثير السحر بقوله تعالى: </w:t>
      </w:r>
      <w:r w:rsidRPr="00282AC9">
        <w:rPr>
          <w:rFonts w:ascii="Mosawi" w:hAnsi="Mosawi" w:cs="Mosawi"/>
          <w:sz w:val="22"/>
          <w:szCs w:val="22"/>
          <w:rtl/>
        </w:rPr>
        <w:t>﴿</w:t>
      </w:r>
      <w:r w:rsidRPr="00282AC9">
        <w:rPr>
          <w:rFonts w:cs="DanaFajr"/>
          <w:b/>
          <w:bCs/>
          <w:sz w:val="28"/>
          <w:szCs w:val="28"/>
          <w:rtl/>
        </w:rPr>
        <w:t>فَيَتَعَلَّمُونَ مِنْهُمَا مَا يُفَرِّقُونَ بِهِ بَيْنَ الْمَرْءِ وَزَوْجِهِ</w:t>
      </w:r>
      <w:r w:rsidRPr="00282AC9">
        <w:rPr>
          <w:rFonts w:ascii="Mosawi" w:hAnsi="Mosawi" w:cs="Mosawi"/>
          <w:sz w:val="22"/>
          <w:szCs w:val="22"/>
          <w:rtl/>
        </w:rPr>
        <w:t>﴾</w:t>
      </w:r>
      <w:r w:rsidRPr="00282AC9">
        <w:rPr>
          <w:rFonts w:cs="DanaFajr" w:hint="cs"/>
          <w:sz w:val="28"/>
          <w:szCs w:val="28"/>
          <w:rtl/>
        </w:rPr>
        <w:t xml:space="preserve">. فإذْنُ الله في هذه الآية يمكن أن يكون باعتبار أنّ الله رخَّص في تأثير السحر في الضَّرَر؛ بعدم جَعْل مانعٍ تكويني يمنع من تأثيره، وبهذا الاعتبار يكون تأثير السحر بإذن الله </w:t>
      </w:r>
      <w:r w:rsidRPr="00282AC9">
        <w:rPr>
          <w:rFonts w:cs="DanaFajr"/>
          <w:sz w:val="28"/>
          <w:szCs w:val="28"/>
          <w:rtl/>
        </w:rPr>
        <w:t>ـ</w:t>
      </w:r>
      <w:r w:rsidRPr="00282AC9">
        <w:rPr>
          <w:rFonts w:cs="DanaFajr" w:hint="cs"/>
          <w:sz w:val="28"/>
          <w:szCs w:val="28"/>
          <w:rtl/>
        </w:rPr>
        <w:t xml:space="preserve"> تبارك وتعالى </w:t>
      </w:r>
      <w:r w:rsidRPr="00282AC9">
        <w:rPr>
          <w:rFonts w:cs="DanaFajr"/>
          <w:sz w:val="28"/>
          <w:szCs w:val="28"/>
          <w:rtl/>
        </w:rPr>
        <w:t>ـ</w:t>
      </w:r>
      <w:r w:rsidRPr="00282AC9">
        <w:rPr>
          <w:rFonts w:cs="DanaFajr" w:hint="cs"/>
          <w:sz w:val="28"/>
          <w:szCs w:val="28"/>
          <w:rtl/>
        </w:rPr>
        <w:t>. وهذا هو المعنى الذي ذكره العلاّمة الطباطبائي</w:t>
      </w:r>
      <w:r w:rsidRPr="00282AC9">
        <w:rPr>
          <w:rFonts w:cs="Mosawi" w:hint="cs"/>
          <w:rtl/>
        </w:rPr>
        <w:t>&amp;</w:t>
      </w:r>
      <w:r w:rsidRPr="00282AC9">
        <w:rPr>
          <w:rFonts w:cs="DanaFajr" w:hint="cs"/>
          <w:sz w:val="28"/>
          <w:szCs w:val="28"/>
          <w:rtl/>
        </w:rPr>
        <w:t xml:space="preserve"> في تفسير الإِذْن. ويمكن أن يكون باعتبار أنّ تأثير أيّ شيءٍ في شيءٍ لا يكون إلاّ بإرادة الله </w:t>
      </w:r>
      <w:r w:rsidRPr="00282AC9">
        <w:rPr>
          <w:rFonts w:cs="DanaFajr"/>
          <w:sz w:val="28"/>
          <w:szCs w:val="28"/>
          <w:rtl/>
        </w:rPr>
        <w:t>ـ</w:t>
      </w:r>
      <w:r w:rsidRPr="00282AC9">
        <w:rPr>
          <w:rFonts w:cs="DanaFajr" w:hint="cs"/>
          <w:sz w:val="28"/>
          <w:szCs w:val="28"/>
          <w:rtl/>
        </w:rPr>
        <w:t xml:space="preserve"> تبارك وتعالى </w:t>
      </w:r>
      <w:r w:rsidRPr="00282AC9">
        <w:rPr>
          <w:rFonts w:cs="DanaFajr"/>
          <w:sz w:val="28"/>
          <w:szCs w:val="28"/>
          <w:rtl/>
        </w:rPr>
        <w:t>ـ</w:t>
      </w:r>
      <w:r w:rsidRPr="00282AC9">
        <w:rPr>
          <w:rFonts w:cs="DanaFajr" w:hint="cs"/>
          <w:sz w:val="28"/>
          <w:szCs w:val="28"/>
          <w:rtl/>
        </w:rPr>
        <w:t xml:space="preserve">؛ لأنّ كلّ ما نراه من آثار وخواصٍ للأشياء إنّما هي لمبادىء أودَعَها الله </w:t>
      </w:r>
      <w:r w:rsidRPr="00282AC9">
        <w:rPr>
          <w:rFonts w:cs="DanaFajr"/>
          <w:sz w:val="28"/>
          <w:szCs w:val="28"/>
          <w:rtl/>
        </w:rPr>
        <w:t>ـ</w:t>
      </w:r>
      <w:r w:rsidRPr="00282AC9">
        <w:rPr>
          <w:rFonts w:cs="DanaFajr" w:hint="cs"/>
          <w:sz w:val="28"/>
          <w:szCs w:val="28"/>
          <w:rtl/>
        </w:rPr>
        <w:t xml:space="preserve"> تبارك وتعالى </w:t>
      </w:r>
      <w:r w:rsidRPr="00282AC9">
        <w:rPr>
          <w:rFonts w:cs="DanaFajr"/>
          <w:sz w:val="28"/>
          <w:szCs w:val="28"/>
          <w:rtl/>
        </w:rPr>
        <w:t>ـ</w:t>
      </w:r>
      <w:r w:rsidRPr="00282AC9">
        <w:rPr>
          <w:rFonts w:cs="DanaFajr" w:hint="cs"/>
          <w:sz w:val="28"/>
          <w:szCs w:val="28"/>
          <w:rtl/>
        </w:rPr>
        <w:t xml:space="preserve"> في باطن الأشياء، ممّا يساهم في حدوث الظواهر في حركة الوجود في الكَوْن؛ فالنار إذ تحرق إنّما تحرق بالحرارة التي أودَعَها الله فيها، والسكِّين إذ تقطع إنّما تقطع بالحِدَّة التي أودَعَها الله فيها. وهذه المبادئ تؤثِّر في المسبَّب بإرادةٍ منه </w:t>
      </w:r>
      <w:r w:rsidRPr="00282AC9">
        <w:rPr>
          <w:rFonts w:cs="DanaFajr"/>
          <w:sz w:val="28"/>
          <w:szCs w:val="28"/>
          <w:rtl/>
        </w:rPr>
        <w:t>ـ</w:t>
      </w:r>
      <w:r w:rsidRPr="00282AC9">
        <w:rPr>
          <w:rFonts w:cs="DanaFajr" w:hint="cs"/>
          <w:sz w:val="28"/>
          <w:szCs w:val="28"/>
          <w:rtl/>
        </w:rPr>
        <w:t xml:space="preserve"> تبارك وتعالى </w:t>
      </w:r>
      <w:r w:rsidRPr="00282AC9">
        <w:rPr>
          <w:rFonts w:cs="DanaFajr"/>
          <w:sz w:val="28"/>
          <w:szCs w:val="28"/>
          <w:rtl/>
        </w:rPr>
        <w:t>ـ</w:t>
      </w:r>
      <w:r w:rsidRPr="00282AC9">
        <w:rPr>
          <w:rFonts w:cs="DanaFajr" w:hint="cs"/>
          <w:sz w:val="28"/>
          <w:szCs w:val="28"/>
          <w:rtl/>
        </w:rPr>
        <w:t>. ولولا هذه الإرادة لما كانت مؤثِّرةً في المسبَّب. والشاهد على ذلك: نار إبراهيم</w:t>
      </w:r>
      <w:r w:rsidRPr="00282AC9">
        <w:rPr>
          <w:rFonts w:cs="Mosawi" w:hint="cs"/>
          <w:rtl/>
        </w:rPr>
        <w:t>×</w:t>
      </w:r>
      <w:r w:rsidRPr="00282AC9">
        <w:rPr>
          <w:rFonts w:cs="DanaFajr" w:hint="cs"/>
          <w:sz w:val="28"/>
          <w:szCs w:val="28"/>
          <w:rtl/>
        </w:rPr>
        <w:t>؛ فإنّها لم تؤثِّر في إحراقه؛ لعدم إرادة الله ذلك؛ والسكين في يده</w:t>
      </w:r>
      <w:r w:rsidRPr="00282AC9">
        <w:rPr>
          <w:rFonts w:cs="Mosawi" w:hint="cs"/>
          <w:rtl/>
        </w:rPr>
        <w:t>×</w:t>
      </w:r>
      <w:r w:rsidRPr="00282AC9">
        <w:rPr>
          <w:rFonts w:cs="DanaFajr" w:hint="cs"/>
          <w:sz w:val="28"/>
          <w:szCs w:val="28"/>
          <w:rtl/>
        </w:rPr>
        <w:t xml:space="preserve">؛ فإنّها لم تؤثِّر في القطع؛ لعدم إرادة الله ذلك. هذا بالنسبة إلى الأسباب الطبيعية الجارية على وفق العادة. ونفس الكلام يجري في الأسباب غير الطبيعية الخارجة عن العادة، سواءٌ كانت من الشرور، كالسحر والكهانة، أو من الخيرات، كالكرامات والمعجزات. ففي هذه الأسباب ـ أيضاً ـ مبدأٌ في نفوس مَنْ صدرت منهم هذه الخوارق للعادة؛ فمبدأ تأثير السحر في الشرّ يكون في نفس الساحر، ولذلك قالت الآية الكريمة: </w:t>
      </w:r>
      <w:r w:rsidRPr="00282AC9">
        <w:rPr>
          <w:rFonts w:ascii="Mosawi" w:hAnsi="Mosawi" w:cs="Mosawi"/>
          <w:sz w:val="22"/>
          <w:szCs w:val="22"/>
          <w:rtl/>
        </w:rPr>
        <w:t>﴿</w:t>
      </w:r>
      <w:r w:rsidRPr="00282AC9">
        <w:rPr>
          <w:rFonts w:cs="DanaFajr"/>
          <w:b/>
          <w:bCs/>
          <w:sz w:val="28"/>
          <w:szCs w:val="28"/>
          <w:rtl/>
        </w:rPr>
        <w:t>وَمَا هُمْ بِضَارِّينَ بِهِ مِنْ أَحَدٍ إِلاَّ بِإِذْنِ اللهِ</w:t>
      </w:r>
      <w:r w:rsidRPr="00282AC9">
        <w:rPr>
          <w:rFonts w:ascii="Mosawi" w:hAnsi="Mosawi" w:cs="Mosawi"/>
          <w:sz w:val="22"/>
          <w:szCs w:val="22"/>
          <w:rtl/>
        </w:rPr>
        <w:t>﴾</w:t>
      </w:r>
      <w:r w:rsidRPr="00282AC9">
        <w:rPr>
          <w:rFonts w:cs="DanaFajr" w:hint="cs"/>
          <w:sz w:val="28"/>
          <w:szCs w:val="28"/>
          <w:rtl/>
        </w:rPr>
        <w:t xml:space="preserve">؛ ومبدأ المعجزات والكرامات يكون في نفوس الأنبياء والأولياء. ومجمل القول: إنّ تأثير أيّ سببٍ في مسبَّبه يكون بإذن الله، أي بإرادته. ومن بين هذين الاحتمالين نحن نستظهر الاحتمال الثاني للإِذْن في الآية الكريمة؛ لأنّ الآية تنظر إلى حصول الضَّرَر من حيث تأثير السحر فيه، فيكون التأثير ملحوظاً بنظرٍ إجماليّ، لا بنظرٍ تفصيليّ، حتى يُفكَّك تأثير السبب إلى تأثير مقتضٍ لوجود المسبَّب، وإلى تأثير عدم مانعٍ في فعلية تأثير المقتضي ـ الذي اعتبر ترخيصاً لتأثيره ـ. فإذا كان النظر إلى التأثير من حيث حصول المسبَّب منه فيكون المنظور هو التأثير الفعليّ الحاصل باجتماع جميع عناصر السبب. وهذا التأثير الفعليّ يكون بإذنه تبارك وتعالى، أي بإرادته ومشيئته، وبالتالي يؤثِّر السحر في الضَّرَر بإرادة الله تبارك وتعالى، كما أنّ عمل الأنبياء يؤثِّر في حصول المعجزة بإذن الله، أي بإرادته، ولذلك يُحْمَل الإِذْن في قوله تعالى: </w:t>
      </w:r>
      <w:r w:rsidRPr="00282AC9">
        <w:rPr>
          <w:rFonts w:ascii="Mosawi" w:hAnsi="Mosawi" w:cs="Mosawi"/>
          <w:sz w:val="22"/>
          <w:szCs w:val="22"/>
          <w:rtl/>
        </w:rPr>
        <w:t>﴿</w:t>
      </w:r>
      <w:r w:rsidRPr="00282AC9">
        <w:rPr>
          <w:rFonts w:cs="DanaFajr"/>
          <w:b/>
          <w:bCs/>
          <w:sz w:val="28"/>
          <w:szCs w:val="28"/>
          <w:rtl/>
        </w:rPr>
        <w:t>وَمَا كَانَ لِرَسُولٍ أَنْ يَأْتِيَ بِآيَةٍ إِلاَّ بِإِذْنِ اللهِ</w:t>
      </w:r>
      <w:r w:rsidRPr="00282AC9">
        <w:rPr>
          <w:rFonts w:ascii="Mosawi" w:hAnsi="Mosawi" w:cs="Mosawi"/>
          <w:sz w:val="22"/>
          <w:szCs w:val="22"/>
          <w:rtl/>
        </w:rPr>
        <w:t>﴾</w:t>
      </w:r>
      <w:r w:rsidRPr="00282AC9">
        <w:rPr>
          <w:rFonts w:cs="DanaFajr" w:hint="cs"/>
          <w:sz w:val="28"/>
          <w:szCs w:val="28"/>
          <w:rtl/>
        </w:rPr>
        <w:t xml:space="preserve"> (الرعد: 38) على نفس المعنى. ويتبيَّن ذلك في المرحلة التالية. </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فتحصَّل مما تقدَّم أنّ إِذْن الله عادةً يعني إرادة الله تبارك وتعالى، سواءٌ كان بالنسبة إلى حصول الوقائع أو</w:t>
      </w:r>
      <w:r w:rsidRPr="00282AC9">
        <w:rPr>
          <w:rFonts w:cs="DanaFajr" w:hint="cs"/>
          <w:sz w:val="28"/>
          <w:szCs w:val="28"/>
          <w:rtl/>
          <w:lang w:bidi="ar-EG"/>
        </w:rPr>
        <w:t xml:space="preserve"> بالنسبة</w:t>
      </w:r>
      <w:r w:rsidRPr="00282AC9">
        <w:rPr>
          <w:rFonts w:cs="DanaFajr" w:hint="cs"/>
          <w:sz w:val="28"/>
          <w:szCs w:val="28"/>
          <w:rtl/>
        </w:rPr>
        <w:t xml:space="preserve"> إلى تأثير السبب. </w:t>
      </w:r>
    </w:p>
    <w:p w:rsidR="00C14EDE" w:rsidRPr="00282AC9" w:rsidRDefault="00C14EDE" w:rsidP="00227413">
      <w:pPr>
        <w:pStyle w:val="af7"/>
        <w:spacing w:line="288" w:lineRule="exact"/>
        <w:ind w:firstLine="0"/>
        <w:rPr>
          <w:rFonts w:cs="DanaFajr"/>
          <w:sz w:val="28"/>
          <w:szCs w:val="28"/>
          <w:rtl/>
        </w:rPr>
      </w:pPr>
      <w:r w:rsidRPr="00282AC9">
        <w:rPr>
          <w:rFonts w:cs="DanaFajr" w:hint="cs"/>
          <w:b/>
          <w:bCs/>
          <w:sz w:val="28"/>
          <w:szCs w:val="28"/>
          <w:rtl/>
        </w:rPr>
        <w:t>المرحلة الثانية</w:t>
      </w:r>
      <w:r w:rsidRPr="00282AC9">
        <w:rPr>
          <w:rFonts w:cs="DanaFajr" w:hint="cs"/>
          <w:sz w:val="28"/>
          <w:szCs w:val="28"/>
          <w:rtl/>
        </w:rPr>
        <w:t xml:space="preserve">: إنّ للأنبياء الولاية التكوينية بمعنى القدرة على التصرُّف في الأمور التكوينية؛ فإنّ الآية الكريمة قالت: </w:t>
      </w:r>
      <w:r w:rsidRPr="00282AC9">
        <w:rPr>
          <w:rFonts w:ascii="Mosawi" w:hAnsi="Mosawi" w:cs="Mosawi"/>
          <w:sz w:val="22"/>
          <w:szCs w:val="22"/>
          <w:rtl/>
        </w:rPr>
        <w:t>﴿</w:t>
      </w:r>
      <w:r w:rsidRPr="00282AC9">
        <w:rPr>
          <w:rFonts w:cs="DanaFajr"/>
          <w:b/>
          <w:bCs/>
          <w:sz w:val="28"/>
          <w:szCs w:val="28"/>
          <w:rtl/>
        </w:rPr>
        <w:t>أَنِّي أَخْلُقُ لَكُمْ مِنْ الطِّينِ كَهَيْئَةِ الطَّيْرِ فَأَنفُخُ فِيهِ فَيَكُونُ طَيْراً بِإِذْنِ اللهِ وَأُبْرِئُ الأَكْمَهَ وَالأَبْرَصَ وَأُحْيِ الْمَوْتَى بِإِذْنِ اللهِ</w:t>
      </w:r>
      <w:r w:rsidRPr="00282AC9">
        <w:rPr>
          <w:rFonts w:ascii="Mosawi" w:hAnsi="Mosawi" w:cs="Mosawi"/>
          <w:sz w:val="22"/>
          <w:szCs w:val="22"/>
          <w:rtl/>
        </w:rPr>
        <w:t>﴾</w:t>
      </w:r>
      <w:r w:rsidRPr="00282AC9">
        <w:rPr>
          <w:rFonts w:cs="DanaFajr" w:hint="cs"/>
          <w:sz w:val="28"/>
          <w:szCs w:val="28"/>
          <w:rtl/>
        </w:rPr>
        <w:t xml:space="preserve">. وقد استُعمل في هذه الآية أفعالٌ، مثل: </w:t>
      </w:r>
      <w:r w:rsidRPr="00282AC9">
        <w:rPr>
          <w:rFonts w:hint="eastAsia"/>
          <w:sz w:val="22"/>
          <w:szCs w:val="22"/>
          <w:rtl/>
        </w:rPr>
        <w:t>«</w:t>
      </w:r>
      <w:r w:rsidRPr="00282AC9">
        <w:rPr>
          <w:rFonts w:cs="DanaFajr" w:hint="cs"/>
          <w:sz w:val="28"/>
          <w:szCs w:val="28"/>
          <w:rtl/>
        </w:rPr>
        <w:t>أبرئ</w:t>
      </w:r>
      <w:r w:rsidRPr="00282AC9">
        <w:rPr>
          <w:rFonts w:hint="eastAsia"/>
          <w:sz w:val="22"/>
          <w:szCs w:val="22"/>
          <w:rtl/>
        </w:rPr>
        <w:t>»</w:t>
      </w:r>
      <w:r w:rsidRPr="00282AC9">
        <w:rPr>
          <w:rFonts w:cs="DanaFajr" w:hint="cs"/>
          <w:sz w:val="28"/>
          <w:szCs w:val="28"/>
          <w:rtl/>
        </w:rPr>
        <w:t xml:space="preserve"> و</w:t>
      </w:r>
      <w:r w:rsidRPr="00282AC9">
        <w:rPr>
          <w:rFonts w:hint="eastAsia"/>
          <w:sz w:val="22"/>
          <w:szCs w:val="22"/>
          <w:rtl/>
        </w:rPr>
        <w:t>«</w:t>
      </w:r>
      <w:r w:rsidRPr="00282AC9">
        <w:rPr>
          <w:rFonts w:cs="DanaFajr" w:hint="cs"/>
          <w:sz w:val="28"/>
          <w:szCs w:val="28"/>
          <w:rtl/>
        </w:rPr>
        <w:t>أحيي</w:t>
      </w:r>
      <w:r w:rsidRPr="00282AC9">
        <w:rPr>
          <w:rFonts w:hint="eastAsia"/>
          <w:sz w:val="22"/>
          <w:szCs w:val="22"/>
          <w:rtl/>
        </w:rPr>
        <w:t>»</w:t>
      </w:r>
      <w:r w:rsidRPr="00282AC9">
        <w:rPr>
          <w:rFonts w:cs="DanaFajr" w:hint="cs"/>
          <w:sz w:val="28"/>
          <w:szCs w:val="28"/>
          <w:rtl/>
        </w:rPr>
        <w:t xml:space="preserve">، بضمير المتكلِّم، والأفعال بضمير المتكلِّم تدلّ على أنّها من عمل الأنبياء أنفسهم. وهنا يُطرح سؤالٌ: كيف تكون تلك الأفعال الخارقة عملاً لهم؟، فقد بيَّنت الآية بمقطعها الأوّل ذلك، حيث قال: </w:t>
      </w:r>
      <w:r w:rsidRPr="00282AC9">
        <w:rPr>
          <w:rFonts w:ascii="Mosawi" w:hAnsi="Mosawi" w:cs="Mosawi"/>
          <w:sz w:val="22"/>
          <w:szCs w:val="22"/>
          <w:rtl/>
        </w:rPr>
        <w:t>﴿</w:t>
      </w:r>
      <w:r w:rsidRPr="00282AC9">
        <w:rPr>
          <w:rFonts w:cs="DanaFajr"/>
          <w:b/>
          <w:bCs/>
          <w:sz w:val="28"/>
          <w:szCs w:val="28"/>
          <w:rtl/>
        </w:rPr>
        <w:t>فَأَنفُخُ فِيهِ فَيَكُونُ طَيْراً بِإِذْنِ اللهِ</w:t>
      </w:r>
      <w:r w:rsidRPr="00282AC9">
        <w:rPr>
          <w:rFonts w:ascii="Mosawi" w:hAnsi="Mosawi" w:cs="Mosawi"/>
          <w:sz w:val="22"/>
          <w:szCs w:val="22"/>
          <w:rtl/>
        </w:rPr>
        <w:t>﴾</w:t>
      </w:r>
      <w:r w:rsidRPr="00282AC9">
        <w:rPr>
          <w:rFonts w:cs="DanaFajr" w:hint="cs"/>
          <w:sz w:val="28"/>
          <w:szCs w:val="28"/>
          <w:rtl/>
        </w:rPr>
        <w:t>. ففي هذا المقطع كون الطين طيراً ترتَّب على النفخ بقصد أن يكون طيراً، وهذا الترتُّب يدلّ على تأثير النفخ بذلك القصد في صيرورته طيراً. والكلام نفسه يجري في إبراء الأكمه، مسحُ عيسى</w:t>
      </w:r>
      <w:r w:rsidRPr="00282AC9">
        <w:rPr>
          <w:rFonts w:cs="Mosawi" w:hint="cs"/>
          <w:rtl/>
        </w:rPr>
        <w:t>×</w:t>
      </w:r>
      <w:r w:rsidRPr="00282AC9">
        <w:rPr>
          <w:rFonts w:cs="DanaFajr" w:hint="cs"/>
          <w:sz w:val="28"/>
          <w:szCs w:val="28"/>
          <w:rtl/>
        </w:rPr>
        <w:t xml:space="preserve"> يده على عينَيْ الأكمه بقصد الإبراء يُبرئ الأكمه، وترتُّب الإبراء على مسح اليد بقصده يعني أنّه مؤثِّرٌ فيه. وهكذا إبراء الأبرص، وضعُ عيسى</w:t>
      </w:r>
      <w:r w:rsidRPr="00282AC9">
        <w:rPr>
          <w:rFonts w:cs="Mosawi" w:hint="cs"/>
          <w:rtl/>
        </w:rPr>
        <w:t>×</w:t>
      </w:r>
      <w:r w:rsidRPr="00282AC9">
        <w:rPr>
          <w:rFonts w:cs="DanaFajr" w:hint="cs"/>
          <w:sz w:val="28"/>
          <w:szCs w:val="28"/>
          <w:rtl/>
        </w:rPr>
        <w:t xml:space="preserve"> يده على جلد الأبرص بقصد الإبراء يُبرئه، وترتُّب الإبراء على وضع اليد بقصده يعني أنّه مؤثِّرٌ فيه. وهكذا في قصّة إبراهيم</w:t>
      </w:r>
      <w:r w:rsidRPr="00282AC9">
        <w:rPr>
          <w:rFonts w:cs="Mosawi" w:hint="cs"/>
          <w:rtl/>
        </w:rPr>
        <w:t>×</w:t>
      </w:r>
      <w:r w:rsidRPr="00282AC9">
        <w:rPr>
          <w:rFonts w:cs="DanaFajr" w:hint="cs"/>
          <w:sz w:val="28"/>
          <w:szCs w:val="28"/>
          <w:rtl/>
        </w:rPr>
        <w:t xml:space="preserve">، فالآية الكريمة تقول: </w:t>
      </w:r>
      <w:r w:rsidRPr="00282AC9">
        <w:rPr>
          <w:rFonts w:ascii="Mosawi" w:hAnsi="Mosawi" w:cs="Mosawi"/>
          <w:sz w:val="22"/>
          <w:szCs w:val="22"/>
          <w:rtl/>
        </w:rPr>
        <w:t>﴿</w:t>
      </w:r>
      <w:r w:rsidRPr="00282AC9">
        <w:rPr>
          <w:rFonts w:cs="DanaFajr"/>
          <w:b/>
          <w:bCs/>
          <w:sz w:val="28"/>
          <w:szCs w:val="28"/>
          <w:rtl/>
        </w:rPr>
        <w:t>ثُمَّ ادْعُهُنَّ يَأْتِينَكَ سَعْياً</w:t>
      </w:r>
      <w:r w:rsidRPr="00282AC9">
        <w:rPr>
          <w:rFonts w:ascii="Mosawi" w:hAnsi="Mosawi" w:cs="Mosawi"/>
          <w:sz w:val="22"/>
          <w:szCs w:val="22"/>
          <w:rtl/>
        </w:rPr>
        <w:t>﴾</w:t>
      </w:r>
      <w:r w:rsidRPr="00282AC9">
        <w:rPr>
          <w:rFonts w:cs="DanaFajr" w:hint="cs"/>
          <w:sz w:val="28"/>
          <w:szCs w:val="28"/>
          <w:rtl/>
        </w:rPr>
        <w:t xml:space="preserve"> (البقرة: 260)، ففي هذا المقطع الإتيان سعياً ترتَّب على دعائهنّ بقصد الإحياء، وهذا يدلّ على أنّ الدعاء بهذا القصد مؤثِّرٌ في الإحياء. وباعتبار ترتُّب هذه الأفعال الخارقة للعادة على أعمالهم المقترنة بالقصود صارت تلك الخوارق عملاً لهم. </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وأمّا ما قيل في تفسير الآية السابقة بأنّ النبيّ عيسى</w:t>
      </w:r>
      <w:r w:rsidRPr="00282AC9">
        <w:rPr>
          <w:rFonts w:cs="Mosawi" w:hint="cs"/>
          <w:rtl/>
        </w:rPr>
        <w:t>×</w:t>
      </w:r>
      <w:r w:rsidRPr="00282AC9">
        <w:rPr>
          <w:rFonts w:cs="DanaFajr" w:hint="cs"/>
          <w:sz w:val="28"/>
          <w:szCs w:val="28"/>
          <w:rtl/>
        </w:rPr>
        <w:t xml:space="preserve"> استُخدم في هذه المعاجز كأداةٍ ووسيلةٍ لتنفيذ الإرادة الإلهية فغيرُ مقبولٍ؛ </w:t>
      </w:r>
      <w:r w:rsidRPr="00282AC9">
        <w:rPr>
          <w:rFonts w:cs="DanaFajr" w:hint="cs"/>
          <w:b/>
          <w:bCs/>
          <w:sz w:val="28"/>
          <w:szCs w:val="28"/>
          <w:rtl/>
        </w:rPr>
        <w:t>أوّلاً</w:t>
      </w:r>
      <w:r w:rsidRPr="00282AC9">
        <w:rPr>
          <w:rFonts w:cs="DanaFajr" w:hint="cs"/>
          <w:sz w:val="28"/>
          <w:szCs w:val="28"/>
          <w:rtl/>
        </w:rPr>
        <w:t xml:space="preserve">: لأنّه على خلاف ظاهر الآية؛ </w:t>
      </w:r>
      <w:r w:rsidRPr="00282AC9">
        <w:rPr>
          <w:rFonts w:cs="DanaFajr" w:hint="cs"/>
          <w:b/>
          <w:bCs/>
          <w:sz w:val="28"/>
          <w:szCs w:val="28"/>
          <w:rtl/>
        </w:rPr>
        <w:t>وثانياً</w:t>
      </w:r>
      <w:r w:rsidRPr="00282AC9">
        <w:rPr>
          <w:rFonts w:cs="DanaFajr" w:hint="cs"/>
          <w:sz w:val="28"/>
          <w:szCs w:val="28"/>
          <w:rtl/>
        </w:rPr>
        <w:t>: لأنّه لو كانت المعجزة حاصلةً بإرادة الله تبارك وتعالى مباشرةً، والنبيّ يكون مجرّد أداةٍ له من دون تأثيرٍ في حصولها للزم أن يكون فيه سبحانه جهةٌ وجهةٌ؛ فمن جهةٍ يكون علّةً لهذه المعجزة، ومن جهةٍ أخرى يكون علّةً لتلك المعجزة؛ للسنخية بين العلّة والمعلول، والحال أنّه تبارك وتعالى بسيطٌ، من دون تكثُّر جهةٍ، ولا تعدُّد اعتبارٍ، كما ثبت في محلّه، فراجِعْ.</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وفي المحصّلة، من خلال الآيات الكريمة عرَفْنا أنّ النفخ بقصد صيرورة الطين طيراً يؤثِّر فيها، والمسح بقصد الإبراء يؤثِّر فيه، والدعاء بقصد الإحياء يؤثِّر فيه. وبما أنّ النفس الإنسانية بتلك القصود المقترنة بالأعمال في حدّ ذاتها لم تكن مبدأً للتأثير في تلك الآثار فلا بُدَّ من القول بأنّ الله أودع في نفس عيسى</w:t>
      </w:r>
      <w:r w:rsidRPr="00282AC9">
        <w:rPr>
          <w:rFonts w:cs="Mosawi" w:hint="cs"/>
          <w:rtl/>
        </w:rPr>
        <w:t>×</w:t>
      </w:r>
      <w:r w:rsidRPr="00282AC9">
        <w:rPr>
          <w:rFonts w:cs="DanaFajr" w:hint="cs"/>
          <w:sz w:val="28"/>
          <w:szCs w:val="28"/>
          <w:rtl/>
        </w:rPr>
        <w:t xml:space="preserve"> خاصّيةً، بحيث متى نفخ في الطين بقصد أن يكون طيراً كان نفخه بهذا القصد موجباً لصيرورته طيراً؛ وهكذا متى مسح يده على عينَيْ الأكمه بقصد الإبراء كان مسحه بهذا القصد موجباً لأن يبرأ؛ وهكذا إبراهيم</w:t>
      </w:r>
      <w:r w:rsidRPr="00282AC9">
        <w:rPr>
          <w:rFonts w:cs="Mosawi" w:hint="cs"/>
          <w:rtl/>
        </w:rPr>
        <w:t>×</w:t>
      </w:r>
      <w:r w:rsidRPr="00282AC9">
        <w:rPr>
          <w:rFonts w:cs="DanaFajr" w:hint="cs"/>
          <w:sz w:val="28"/>
          <w:szCs w:val="28"/>
          <w:rtl/>
        </w:rPr>
        <w:t xml:space="preserve"> قد أودع الله في نفسه خاصّيةً، بحيث متى دعا المَيْت المقطوع بقصد الإحياء كان دعاؤه بهذا القصد موجباً لصيرورته حيّاً. وقد فُسِّرت هذه الخاصّية بالكمال الذي منحه الله تبارك وتعالى لنفوس الأنبياء</w:t>
      </w:r>
      <w:r w:rsidRPr="00282AC9">
        <w:rPr>
          <w:rFonts w:cs="Mosawi" w:hint="cs"/>
          <w:rtl/>
        </w:rPr>
        <w:t>^</w:t>
      </w:r>
      <w:r w:rsidRPr="00282AC9">
        <w:rPr>
          <w:rFonts w:cs="DanaFajr" w:hint="cs"/>
          <w:sz w:val="28"/>
          <w:szCs w:val="28"/>
          <w:rtl/>
        </w:rPr>
        <w:t>، بحيث تصدر منهم كثيرٌ من الخوارق. وهذا التفسير يُستفاد من الشهيد مطهَّري</w:t>
      </w:r>
      <w:r w:rsidRPr="00282AC9">
        <w:rPr>
          <w:rFonts w:cs="Mosawi" w:hint="cs"/>
          <w:rtl/>
        </w:rPr>
        <w:t>&amp;</w:t>
      </w:r>
      <w:r w:rsidRPr="00282AC9">
        <w:rPr>
          <w:rFonts w:cs="DanaFajr" w:hint="cs"/>
          <w:sz w:val="28"/>
          <w:szCs w:val="28"/>
          <w:rtl/>
        </w:rPr>
        <w:t xml:space="preserve"> في (ولاء وولايتها: 84). وعليه، تكون نفس النبيّ</w:t>
      </w:r>
      <w:r w:rsidRPr="00282AC9">
        <w:rPr>
          <w:rFonts w:cs="Mosawi" w:hint="cs"/>
          <w:rtl/>
        </w:rPr>
        <w:t>×</w:t>
      </w:r>
      <w:r w:rsidRPr="00282AC9">
        <w:rPr>
          <w:rFonts w:cs="DanaFajr" w:hint="cs"/>
          <w:sz w:val="28"/>
          <w:szCs w:val="28"/>
          <w:rtl/>
        </w:rPr>
        <w:t xml:space="preserve"> تتوفَّر على المقتضي </w:t>
      </w:r>
      <w:r w:rsidRPr="00282AC9">
        <w:rPr>
          <w:rFonts w:cs="DanaFajr"/>
          <w:sz w:val="28"/>
          <w:szCs w:val="28"/>
          <w:rtl/>
        </w:rPr>
        <w:t>ـ</w:t>
      </w:r>
      <w:r w:rsidRPr="00282AC9">
        <w:rPr>
          <w:rFonts w:cs="DanaFajr" w:hint="cs"/>
          <w:sz w:val="28"/>
          <w:szCs w:val="28"/>
          <w:rtl/>
        </w:rPr>
        <w:t xml:space="preserve"> وهو القدرة </w:t>
      </w:r>
      <w:r w:rsidRPr="00282AC9">
        <w:rPr>
          <w:rFonts w:cs="DanaFajr"/>
          <w:sz w:val="28"/>
          <w:szCs w:val="28"/>
          <w:rtl/>
        </w:rPr>
        <w:t>ـ</w:t>
      </w:r>
      <w:r w:rsidRPr="00282AC9">
        <w:rPr>
          <w:rFonts w:cs="DanaFajr" w:hint="cs"/>
          <w:sz w:val="28"/>
          <w:szCs w:val="28"/>
          <w:rtl/>
        </w:rPr>
        <w:t xml:space="preserve">، وعلى الشرط </w:t>
      </w:r>
      <w:r w:rsidRPr="00282AC9">
        <w:rPr>
          <w:rFonts w:cs="DanaFajr"/>
          <w:sz w:val="28"/>
          <w:szCs w:val="28"/>
          <w:rtl/>
        </w:rPr>
        <w:t>ـ</w:t>
      </w:r>
      <w:r w:rsidRPr="00282AC9">
        <w:rPr>
          <w:rFonts w:cs="DanaFajr" w:hint="cs"/>
          <w:sz w:val="28"/>
          <w:szCs w:val="28"/>
          <w:rtl/>
        </w:rPr>
        <w:t xml:space="preserve"> وهو الإرادة المقترنة ببعض الأعمال </w:t>
      </w:r>
      <w:r w:rsidRPr="00282AC9">
        <w:rPr>
          <w:rFonts w:cs="DanaFajr"/>
          <w:sz w:val="28"/>
          <w:szCs w:val="28"/>
          <w:rtl/>
        </w:rPr>
        <w:t>ـ</w:t>
      </w:r>
      <w:r w:rsidRPr="00282AC9">
        <w:rPr>
          <w:rFonts w:cs="DanaFajr" w:hint="cs"/>
          <w:sz w:val="28"/>
          <w:szCs w:val="28"/>
          <w:rtl/>
        </w:rPr>
        <w:t>، وحينئذٍ يكون صدور المعجزة منه بإذنٍ من الله بالمعنى الذي تقدَّم من العلاّمة الطباطبائي</w:t>
      </w:r>
      <w:r w:rsidRPr="00282AC9">
        <w:rPr>
          <w:rFonts w:cs="Mosawi" w:hint="cs"/>
          <w:rtl/>
        </w:rPr>
        <w:t>&amp;</w:t>
      </w:r>
      <w:r w:rsidRPr="00282AC9">
        <w:rPr>
          <w:rFonts w:cs="DanaFajr" w:hint="cs"/>
          <w:sz w:val="28"/>
          <w:szCs w:val="28"/>
          <w:rtl/>
        </w:rPr>
        <w:t>؛ إذ لا يتحصَّل له معنىً إلاّ إذا افترَضْنا أنّ الشخص المأذون يتوفَّر على المقتضي والشرط لإتيان المعجزة، ولم يبْقَ سوى الإذن الإلهيّ.</w:t>
      </w:r>
    </w:p>
    <w:p w:rsidR="00C14EDE" w:rsidRPr="00282AC9" w:rsidRDefault="00C14EDE" w:rsidP="00227413">
      <w:pPr>
        <w:pStyle w:val="af7"/>
        <w:spacing w:line="288" w:lineRule="exact"/>
        <w:ind w:firstLine="0"/>
        <w:rPr>
          <w:rFonts w:cs="DanaFajr"/>
          <w:sz w:val="28"/>
          <w:szCs w:val="28"/>
          <w:rtl/>
        </w:rPr>
      </w:pPr>
      <w:r w:rsidRPr="00282AC9">
        <w:rPr>
          <w:rFonts w:cs="DanaFajr" w:hint="cs"/>
          <w:sz w:val="28"/>
          <w:szCs w:val="28"/>
          <w:rtl/>
        </w:rPr>
        <w:t xml:space="preserve">ولكنّنا لا نوافق على هذا التفسير للخاصّية؛ </w:t>
      </w:r>
      <w:r w:rsidRPr="00282AC9">
        <w:rPr>
          <w:rFonts w:cs="DanaFajr" w:hint="cs"/>
          <w:b/>
          <w:bCs/>
          <w:sz w:val="28"/>
          <w:szCs w:val="28"/>
          <w:rtl/>
        </w:rPr>
        <w:t>أوّلاً</w:t>
      </w:r>
      <w:r w:rsidRPr="00282AC9">
        <w:rPr>
          <w:rFonts w:cs="DanaFajr" w:hint="cs"/>
          <w:sz w:val="28"/>
          <w:szCs w:val="28"/>
          <w:rtl/>
        </w:rPr>
        <w:t xml:space="preserve">: من جهة تفسير الإذن بالترخيص التكويني. وقد تقدَّم الردّ عليه آنفاً؛ </w:t>
      </w:r>
      <w:r w:rsidRPr="00282AC9">
        <w:rPr>
          <w:rFonts w:cs="DanaFajr" w:hint="cs"/>
          <w:b/>
          <w:bCs/>
          <w:sz w:val="28"/>
          <w:szCs w:val="28"/>
          <w:rtl/>
        </w:rPr>
        <w:t>وثانياً</w:t>
      </w:r>
      <w:r w:rsidRPr="00282AC9">
        <w:rPr>
          <w:rFonts w:cs="DanaFajr" w:hint="cs"/>
          <w:sz w:val="28"/>
          <w:szCs w:val="28"/>
          <w:rtl/>
        </w:rPr>
        <w:t>: إنّ المقصود من الكمال الممنوح لنفوس الأنبياء</w:t>
      </w:r>
      <w:r w:rsidRPr="00282AC9">
        <w:rPr>
          <w:rFonts w:cs="Mosawi" w:hint="cs"/>
          <w:rtl/>
        </w:rPr>
        <w:t>^</w:t>
      </w:r>
      <w:r w:rsidRPr="00282AC9">
        <w:rPr>
          <w:rFonts w:cs="DanaFajr" w:hint="cs"/>
          <w:sz w:val="28"/>
          <w:szCs w:val="28"/>
          <w:rtl/>
        </w:rPr>
        <w:t xml:space="preserve"> هو القدرة الخارقة للعادة التي وَهَبها الله تبارك وتعالى لنفوسهم، مثل أيّ شيءٍ آخر في الوجود له قدرةٌ مستمدّة من عند الله؛ فتكون مؤثِّرة في تلك الخوارق بإذنه تعالى، أي بإرادته. فحينئذٍ يَرِدُ عليه أنّ هذه الآثار الخارقة المعدودة في الآيات الكريمة لا تدلّ على أنّ الله تبارك وتعالى منحهم القدرة الخارقة، بحيث يستطيعون أن يُنْجِزوا بها ما يريدون إذا اقتضى الأمر، حتّى تثبت لهم الولاية التكوينية؛ إذ يمكن أن يُقال: إنّ الله وَهَبهم القدرة الخارقة على هذه الأمور المعدودة فقط؛ لتقوّي واقع الرسالة، كما في إحياء الموتى وإبراء الأكمه والأبرص لدى عيسى</w:t>
      </w:r>
      <w:r w:rsidRPr="00282AC9">
        <w:rPr>
          <w:rFonts w:cs="Mosawi" w:hint="cs"/>
          <w:rtl/>
        </w:rPr>
        <w:t>×</w:t>
      </w:r>
      <w:r w:rsidRPr="00282AC9">
        <w:rPr>
          <w:rFonts w:cs="DanaFajr" w:hint="cs"/>
          <w:sz w:val="28"/>
          <w:szCs w:val="28"/>
          <w:rtl/>
        </w:rPr>
        <w:t>؛ أو لتردّ كيد الكفار وتهدم كيانهم، كما في فَلْق البحر بعصا موسى</w:t>
      </w:r>
      <w:r w:rsidRPr="00282AC9">
        <w:rPr>
          <w:rFonts w:cs="Mosawi" w:hint="cs"/>
          <w:rtl/>
        </w:rPr>
        <w:t>×</w:t>
      </w:r>
      <w:r w:rsidRPr="00282AC9">
        <w:rPr>
          <w:rFonts w:cs="DanaFajr" w:hint="cs"/>
          <w:sz w:val="28"/>
          <w:szCs w:val="28"/>
          <w:rtl/>
        </w:rPr>
        <w:t>؛ أو لتؤدّي إلى الاطمئنان، كما في</w:t>
      </w:r>
      <w:r w:rsidRPr="00282AC9">
        <w:rPr>
          <w:rFonts w:cs="DanaFajr" w:hint="cs"/>
          <w:sz w:val="28"/>
          <w:szCs w:val="28"/>
          <w:rtl/>
          <w:lang w:bidi="ar-EG"/>
        </w:rPr>
        <w:t xml:space="preserve"> إحياء</w:t>
      </w:r>
      <w:r w:rsidRPr="00282AC9">
        <w:rPr>
          <w:rFonts w:cs="DanaFajr" w:hint="cs"/>
          <w:sz w:val="28"/>
          <w:szCs w:val="28"/>
          <w:rtl/>
        </w:rPr>
        <w:t xml:space="preserve"> دعاء إبراهيم</w:t>
      </w:r>
      <w:r w:rsidRPr="00282AC9">
        <w:rPr>
          <w:rFonts w:cs="Mosawi" w:hint="cs"/>
          <w:rtl/>
        </w:rPr>
        <w:t>×</w:t>
      </w:r>
      <w:r w:rsidRPr="00282AC9">
        <w:rPr>
          <w:rFonts w:cs="DanaFajr" w:hint="cs"/>
          <w:sz w:val="28"/>
          <w:szCs w:val="28"/>
          <w:rtl/>
        </w:rPr>
        <w:t xml:space="preserve"> للطيور المقطَّعة، فتنتهي القدرة إلى هذا الحدّ، فتكون بمثابة قضيّةٍ في واقعة. ومع هذا الاحتمال لا تثبت القدرة على تغيير ما يريدونه في الكون، التي هي الولاية التكوينية.</w:t>
      </w:r>
    </w:p>
    <w:p w:rsidR="00C14EDE" w:rsidRPr="00282AC9" w:rsidRDefault="00C14EDE" w:rsidP="00227413">
      <w:pPr>
        <w:pStyle w:val="af7"/>
        <w:spacing w:line="288" w:lineRule="exact"/>
        <w:ind w:firstLine="0"/>
        <w:rPr>
          <w:rFonts w:cs="DanaFajr"/>
          <w:sz w:val="28"/>
          <w:szCs w:val="28"/>
          <w:rtl/>
          <w:lang w:bidi="ar-EG"/>
        </w:rPr>
      </w:pPr>
      <w:r w:rsidRPr="00282AC9">
        <w:rPr>
          <w:rFonts w:cs="DanaFajr" w:hint="cs"/>
          <w:sz w:val="28"/>
          <w:szCs w:val="28"/>
          <w:rtl/>
        </w:rPr>
        <w:t>وأمّا من وجهة نظرنا فهذه الخاصّية في نفوس الأنبياء</w:t>
      </w:r>
      <w:r w:rsidRPr="00282AC9">
        <w:rPr>
          <w:rFonts w:cs="Mosawi" w:hint="cs"/>
          <w:rtl/>
        </w:rPr>
        <w:t>^</w:t>
      </w:r>
      <w:r w:rsidRPr="00282AC9">
        <w:rPr>
          <w:rFonts w:cs="DanaFajr" w:hint="cs"/>
          <w:sz w:val="28"/>
          <w:szCs w:val="28"/>
          <w:rtl/>
        </w:rPr>
        <w:t xml:space="preserve"> هي حالة الاتّصال بعالَم الأمر؛ فإنّ الله سبحانه وتعالى أودع في نفوس رُسُله قابليّة الاتّصال بذلك العالَم؛ والدليلُ على ذلك الآيةُ الكريمة: </w:t>
      </w:r>
      <w:r w:rsidRPr="00282AC9">
        <w:rPr>
          <w:rFonts w:ascii="Mosawi" w:hAnsi="Mosawi" w:cs="Mosawi"/>
          <w:rtl/>
        </w:rPr>
        <w:t>﴿</w:t>
      </w:r>
      <w:r w:rsidRPr="00282AC9">
        <w:rPr>
          <w:rFonts w:cs="DanaFajr"/>
          <w:b/>
          <w:bCs/>
          <w:sz w:val="28"/>
          <w:szCs w:val="28"/>
          <w:rtl/>
        </w:rPr>
        <w:t>وَقَالَ الَّذِينَ لاَ يَرْجُونَ لِقَاءَنَا لَوْلاَ أُنزِلَ عَلَيْنَا الْمَلاَئِكَةُ أَوْ نَرَى رَبَّنَا لَقَدْ اسْتَكْبَرُوا فِي أَنفُسِهِمْ وَعَتَوْا عُتُوّاً كَبِيراً</w:t>
      </w:r>
      <w:r w:rsidRPr="00282AC9">
        <w:rPr>
          <w:rFonts w:ascii="Mosawi" w:hAnsi="Mosawi" w:cs="Mosawi"/>
          <w:rtl/>
        </w:rPr>
        <w:t>﴾</w:t>
      </w:r>
      <w:r w:rsidRPr="00282AC9">
        <w:rPr>
          <w:rFonts w:cs="DanaFajr" w:hint="cs"/>
          <w:sz w:val="28"/>
          <w:szCs w:val="28"/>
          <w:rtl/>
        </w:rPr>
        <w:t xml:space="preserve"> (الفرقان: 21)؛ إذ هذه الآية تدلّ مطابقةً على أنّ المنكرين للمعاد </w:t>
      </w:r>
      <w:r w:rsidRPr="00282AC9">
        <w:rPr>
          <w:rFonts w:cs="DanaFajr"/>
          <w:sz w:val="28"/>
          <w:szCs w:val="28"/>
          <w:rtl/>
        </w:rPr>
        <w:t>ـ</w:t>
      </w:r>
      <w:r w:rsidRPr="00282AC9">
        <w:rPr>
          <w:rFonts w:cs="DanaFajr" w:hint="cs"/>
          <w:sz w:val="28"/>
          <w:szCs w:val="28"/>
          <w:rtl/>
        </w:rPr>
        <w:t xml:space="preserve"> وهم المشركون </w:t>
      </w:r>
      <w:r w:rsidRPr="00282AC9">
        <w:rPr>
          <w:rFonts w:cs="DanaFajr"/>
          <w:sz w:val="28"/>
          <w:szCs w:val="28"/>
          <w:rtl/>
        </w:rPr>
        <w:t>ـ</w:t>
      </w:r>
      <w:r w:rsidRPr="00282AC9">
        <w:rPr>
          <w:rFonts w:cs="DanaFajr" w:hint="cs"/>
          <w:sz w:val="28"/>
          <w:szCs w:val="28"/>
          <w:rtl/>
        </w:rPr>
        <w:t xml:space="preserve"> يتذرَّعون بأنّه لماذا النبيّ وحده تنـزل عليه الملائكة أو يرى الله، ولا تنـزل علينا الملائكة؛ لنراهم رأي العين؛ ليخبرونا بأنّ محمّداً</w:t>
      </w:r>
      <w:r w:rsidRPr="00282AC9">
        <w:rPr>
          <w:rFonts w:cs="Mosawi" w:hint="cs"/>
          <w:rtl/>
        </w:rPr>
        <w:t>|</w:t>
      </w:r>
      <w:r w:rsidRPr="00282AC9">
        <w:rPr>
          <w:rFonts w:cs="DanaFajr" w:hint="cs"/>
          <w:sz w:val="28"/>
          <w:szCs w:val="28"/>
          <w:rtl/>
        </w:rPr>
        <w:t xml:space="preserve"> نبيٌّ؛ أو أن نرى ربَّنا بأعيننا حتّى لا يبقى شكٌّ ولا شبهةٌ في وجوده؟ وتدل إشارةً على أنّ نزول الملائكة ورؤيتهم، أو رؤية الله تعالى بالمعنى الذي يدَّعيه الأنبياء</w:t>
      </w:r>
      <w:r w:rsidRPr="00282AC9">
        <w:rPr>
          <w:rFonts w:cs="Mosawi" w:hint="cs"/>
          <w:rtl/>
        </w:rPr>
        <w:t>^</w:t>
      </w:r>
      <w:r w:rsidRPr="00282AC9">
        <w:rPr>
          <w:rFonts w:cs="DanaFajr" w:hint="cs"/>
          <w:sz w:val="28"/>
          <w:szCs w:val="28"/>
          <w:rtl/>
        </w:rPr>
        <w:t xml:space="preserve"> </w:t>
      </w:r>
      <w:r w:rsidRPr="00282AC9">
        <w:rPr>
          <w:rFonts w:cs="DanaFajr"/>
          <w:sz w:val="28"/>
          <w:szCs w:val="28"/>
          <w:rtl/>
        </w:rPr>
        <w:t>ـ</w:t>
      </w:r>
      <w:r w:rsidRPr="00282AC9">
        <w:rPr>
          <w:rFonts w:cs="DanaFajr" w:hint="cs"/>
          <w:sz w:val="28"/>
          <w:szCs w:val="28"/>
          <w:rtl/>
        </w:rPr>
        <w:t xml:space="preserve"> وهو الرؤية القلبية التي هي الشهود ـ، لا يتأتّى إلاّ لبعض الأفراد؛ إذ النفوس ليست كلّها بمستوىً واحدٍ، بل توجد نفوسٌ خاصّة، أهّلها الله تعالى لهذه الدرجة الرفيعة، بحيث ترى الله، وتتّصل بالملائكة المقربين وعالَم الأمر، وهي نفوس الأنبياء. فثبت أنّ لهم أهليّة الاتّصال بعالَم الأمر. وهذا العالَم كما كان مصدراً للقوّة في </w:t>
      </w:r>
      <w:r w:rsidRPr="00282AC9">
        <w:rPr>
          <w:rFonts w:hint="eastAsia"/>
          <w:sz w:val="22"/>
          <w:szCs w:val="22"/>
          <w:rtl/>
        </w:rPr>
        <w:t>«</w:t>
      </w:r>
      <w:r w:rsidRPr="00282AC9">
        <w:rPr>
          <w:rFonts w:cs="DanaFajr" w:hint="cs"/>
          <w:sz w:val="28"/>
          <w:szCs w:val="28"/>
          <w:rtl/>
        </w:rPr>
        <w:t>قوّتهم المُدْرِكة</w:t>
      </w:r>
      <w:r w:rsidRPr="00282AC9">
        <w:rPr>
          <w:rFonts w:hint="eastAsia"/>
          <w:sz w:val="22"/>
          <w:szCs w:val="22"/>
          <w:rtl/>
        </w:rPr>
        <w:t>»</w:t>
      </w:r>
      <w:r w:rsidRPr="00282AC9">
        <w:rPr>
          <w:rFonts w:cs="DanaFajr" w:hint="cs"/>
          <w:sz w:val="28"/>
          <w:szCs w:val="28"/>
          <w:rtl/>
        </w:rPr>
        <w:t xml:space="preserve">، كما تقدَّم في المتن، كذلك يكون مصدراً للقوّة في </w:t>
      </w:r>
      <w:r w:rsidRPr="00282AC9">
        <w:rPr>
          <w:rFonts w:hint="eastAsia"/>
          <w:sz w:val="22"/>
          <w:szCs w:val="22"/>
          <w:rtl/>
        </w:rPr>
        <w:t>«</w:t>
      </w:r>
      <w:r w:rsidRPr="00282AC9">
        <w:rPr>
          <w:rFonts w:cs="DanaFajr" w:hint="cs"/>
          <w:sz w:val="28"/>
          <w:szCs w:val="28"/>
          <w:rtl/>
        </w:rPr>
        <w:t>قوّتهم العاملة</w:t>
      </w:r>
      <w:r w:rsidRPr="00282AC9">
        <w:rPr>
          <w:rFonts w:hint="eastAsia"/>
          <w:sz w:val="22"/>
          <w:szCs w:val="22"/>
          <w:rtl/>
        </w:rPr>
        <w:t>»</w:t>
      </w:r>
      <w:r w:rsidRPr="00282AC9">
        <w:rPr>
          <w:rFonts w:cs="DanaFajr" w:hint="cs"/>
          <w:sz w:val="28"/>
          <w:szCs w:val="28"/>
          <w:rtl/>
        </w:rPr>
        <w:t xml:space="preserve">، بحيث إذا اقتضى الأمر أن يتدخَّلوا في عالم الطبيعة يمكنهم التصرُّف فيه بأيّ نحوٍ شاؤوا، وهذا يعني الولاية التكوينية. وفي حال الاتصال قصودهم المقترنة بتلك الأعمال تُحْدِث ما يُعتَبَر خارقاً للقوانين الطبيعية، بالاستعانة بعالَم الأمر. وهذا يعني أنّ نفوسهم القُدْسيّة ليست مؤثِّرةً إلاّ بتأثيرٍ من عالَم الأمر، فتكون نفوسهم مجرى تأثير ذلك العالَم، إلا أنّ تأثيره يكون بإرادتهم المقترنة ببعض الأعمال، فيتوقَّف حصول الأمور الخارقة على إرادتهم، المقترنة ببعض الأعمال. كما أنّه يتوقَّف على قدرة عالَم الأمر. وبالنتيجة لا تكون نفوسهم القُدْسيّة بالقدرة المعطاة لهم مؤثِّرةً في الأمور الخارقة للعادة بإذنٍ من الله، كما كان على التفسير الأوّل للخاصّية، بل تؤثِّر فيها بعونٍ من عالَم الأمر، الذي هو أمر الله، بحَسَب تفسير بعضٍ كلمة (الأمر) به في قوله تعالى: </w:t>
      </w:r>
      <w:r w:rsidRPr="00282AC9">
        <w:rPr>
          <w:rFonts w:ascii="Mosawi" w:hAnsi="Mosawi" w:cs="Mosawi"/>
          <w:sz w:val="22"/>
          <w:szCs w:val="22"/>
          <w:rtl/>
        </w:rPr>
        <w:t>﴿</w:t>
      </w:r>
      <w:r w:rsidRPr="00282AC9">
        <w:rPr>
          <w:rFonts w:cs="DanaFajr"/>
          <w:b/>
          <w:bCs/>
          <w:sz w:val="28"/>
          <w:szCs w:val="28"/>
          <w:rtl/>
        </w:rPr>
        <w:t>إِنَّمَا أَمْرُهُ إِذَا أَرَادَ شَيْئاً أَنْ يَقُولَ لَهُ كُنْ فَيَكُونُ</w:t>
      </w:r>
      <w:r w:rsidRPr="00282AC9">
        <w:rPr>
          <w:rFonts w:ascii="Mosawi" w:hAnsi="Mosawi" w:cs="Mosawi"/>
          <w:sz w:val="22"/>
          <w:szCs w:val="22"/>
          <w:rtl/>
        </w:rPr>
        <w:t>﴾</w:t>
      </w:r>
      <w:r w:rsidRPr="00282AC9">
        <w:rPr>
          <w:rFonts w:cs="DanaFajr" w:hint="cs"/>
          <w:sz w:val="28"/>
          <w:szCs w:val="28"/>
          <w:rtl/>
        </w:rPr>
        <w:t xml:space="preserve"> (يس: 82). وأمره هو إرادته الفعلية. وهذا معنى قوله تعالى: </w:t>
      </w:r>
      <w:r w:rsidRPr="00282AC9">
        <w:rPr>
          <w:rFonts w:ascii="Mosawi" w:hAnsi="Mosawi" w:cs="Mosawi"/>
          <w:rtl/>
        </w:rPr>
        <w:t>﴿</w:t>
      </w:r>
      <w:r w:rsidRPr="00282AC9">
        <w:rPr>
          <w:rFonts w:cs="DanaFajr"/>
          <w:b/>
          <w:bCs/>
          <w:sz w:val="28"/>
          <w:szCs w:val="28"/>
          <w:rtl/>
        </w:rPr>
        <w:t>فَأَنفُخُ فِيهِ فَيَكُونُ طَيْراً بِإِذْنِ اللهِ</w:t>
      </w:r>
      <w:r w:rsidRPr="00282AC9">
        <w:rPr>
          <w:rFonts w:ascii="Mosawi" w:hAnsi="Mosawi" w:cs="Mosawi"/>
          <w:rtl/>
        </w:rPr>
        <w:t>﴾</w:t>
      </w:r>
      <w:r w:rsidRPr="00282AC9">
        <w:rPr>
          <w:rFonts w:cs="DanaFajr" w:hint="cs"/>
          <w:sz w:val="28"/>
          <w:szCs w:val="28"/>
          <w:rtl/>
        </w:rPr>
        <w:t xml:space="preserve">، أي بأمره وإرادته. وبذلك يمكن القول بأنّ المعجزة من عمل الأنبياء؛ لقيامها بإرادتهم المقترنة ببعض الأعمال، كما هي من عمل الله تبارك وتعالى؛ لأنّها تتمّ بأمره وإرادته الفعلية، التي هي عالَم الأمر. ومن هنا يظهر أنّ إضافة النقطة الأخيرة </w:t>
      </w:r>
      <w:r w:rsidRPr="00282AC9">
        <w:rPr>
          <w:rFonts w:cs="DanaFajr"/>
          <w:sz w:val="28"/>
          <w:szCs w:val="28"/>
          <w:rtl/>
        </w:rPr>
        <w:t>ـ</w:t>
      </w:r>
      <w:r w:rsidRPr="00282AC9">
        <w:rPr>
          <w:rFonts w:cs="DanaFajr" w:hint="cs"/>
          <w:sz w:val="28"/>
          <w:szCs w:val="28"/>
          <w:rtl/>
        </w:rPr>
        <w:t xml:space="preserve"> وهي تفسير الخاصِّية بالاتّصال ـ، على ما استفَدْناه من الآيات الكريمة، ضروريّةٌ؛ لإثبات الولاية التكوينية للأنبياء. وهذه الخاصِّية موجودةٌ في نفوس الأولياء أيضاً؛ بدليل الإنّ، وهو الكرامات الصادرة منهم. وبالنتيجة: كرامات الأولياء ومعجزات الأنبياء تكون من هذا العالَم. </w:t>
      </w:r>
    </w:p>
  </w:endnote>
  <w:endnote w:id="691">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دروس الكراسي العلمي</w:t>
      </w:r>
      <w:r w:rsidRPr="001C1BD9">
        <w:rPr>
          <w:rFonts w:cs="DanaFajr" w:hint="cs"/>
          <w:sz w:val="28"/>
          <w:szCs w:val="28"/>
          <w:rtl/>
        </w:rPr>
        <w:t>ّ</w:t>
      </w:r>
      <w:r w:rsidRPr="001C1BD9">
        <w:rPr>
          <w:rFonts w:cs="DanaFajr"/>
          <w:sz w:val="28"/>
          <w:szCs w:val="28"/>
          <w:rtl/>
        </w:rPr>
        <w:t>ة</w:t>
      </w:r>
      <w:r w:rsidRPr="001C1BD9">
        <w:rPr>
          <w:rFonts w:cs="DanaFajr" w:hint="cs"/>
          <w:sz w:val="28"/>
          <w:szCs w:val="28"/>
          <w:rtl/>
        </w:rPr>
        <w:t xml:space="preserve"> في علم أصول الفقه، ال</w:t>
      </w:r>
      <w:r w:rsidRPr="001C1BD9">
        <w:rPr>
          <w:rFonts w:cs="DanaFajr"/>
          <w:sz w:val="28"/>
          <w:szCs w:val="28"/>
          <w:rtl/>
        </w:rPr>
        <w:t>درس رقم 1</w:t>
      </w:r>
      <w:r w:rsidRPr="001C1BD9">
        <w:rPr>
          <w:rFonts w:cs="DanaFajr" w:hint="cs"/>
          <w:sz w:val="28"/>
          <w:szCs w:val="28"/>
          <w:rtl/>
        </w:rPr>
        <w:t>، بتاريخ:</w:t>
      </w:r>
      <w:r w:rsidRPr="001C1BD9">
        <w:rPr>
          <w:rFonts w:cs="DanaFajr"/>
          <w:sz w:val="28"/>
          <w:szCs w:val="28"/>
          <w:rtl/>
        </w:rPr>
        <w:t xml:space="preserve"> </w:t>
      </w:r>
      <w:r w:rsidRPr="001C1BD9">
        <w:rPr>
          <w:rFonts w:cs="DanaFajr" w:hint="cs"/>
          <w:sz w:val="28"/>
          <w:szCs w:val="28"/>
          <w:rtl/>
        </w:rPr>
        <w:t>28 ـ 06 ـ 2012: الأستاذ مصطفى بنحمزة،</w:t>
      </w:r>
      <w:r w:rsidRPr="001C1BD9">
        <w:rPr>
          <w:rFonts w:cs="DanaFajr"/>
          <w:sz w:val="28"/>
          <w:szCs w:val="28"/>
          <w:rtl/>
        </w:rPr>
        <w:t xml:space="preserve"> علم أصول الفقه</w:t>
      </w:r>
      <w:r w:rsidRPr="001C1BD9">
        <w:rPr>
          <w:rFonts w:cs="DanaFajr" w:hint="cs"/>
          <w:sz w:val="28"/>
          <w:szCs w:val="28"/>
          <w:rtl/>
        </w:rPr>
        <w:t>،</w:t>
      </w:r>
      <w:r w:rsidRPr="001C1BD9">
        <w:rPr>
          <w:rFonts w:cs="DanaFajr"/>
          <w:sz w:val="28"/>
          <w:szCs w:val="28"/>
          <w:rtl/>
        </w:rPr>
        <w:t xml:space="preserve"> الموضوع ـ الأهمية ـ الوظيفة.</w:t>
      </w:r>
    </w:p>
  </w:endnote>
  <w:endnote w:id="692">
    <w:p w:rsidR="00C14EDE" w:rsidRPr="001C1BD9" w:rsidRDefault="00C14EDE" w:rsidP="007327E2">
      <w:pPr>
        <w:pStyle w:val="af7"/>
        <w:spacing w:line="302" w:lineRule="exact"/>
        <w:ind w:firstLine="0"/>
        <w:rPr>
          <w:rFonts w:cs="DanaFajr"/>
          <w:sz w:val="28"/>
          <w:szCs w:val="28"/>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 شكري الطاوشي، المقام في البلاغة العربية، مجلّة عالم الفكر الكويتية، المجلّد 42: 182، 2013م.</w:t>
      </w:r>
    </w:p>
  </w:endnote>
  <w:endnote w:id="693">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من قبيل</w:t>
      </w:r>
      <w:r w:rsidRPr="001C1BD9">
        <w:rPr>
          <w:rFonts w:cs="DanaFajr" w:hint="cs"/>
          <w:sz w:val="28"/>
          <w:szCs w:val="28"/>
          <w:rtl/>
        </w:rPr>
        <w:t>:</w:t>
      </w:r>
      <w:r w:rsidRPr="001C1BD9">
        <w:rPr>
          <w:rFonts w:cs="DanaFajr"/>
          <w:sz w:val="28"/>
          <w:szCs w:val="28"/>
          <w:rtl/>
        </w:rPr>
        <w:t xml:space="preserve"> هذه الدراسات والبحوث: </w:t>
      </w:r>
    </w:p>
    <w:p w:rsidR="00C14EDE" w:rsidRPr="001C1BD9" w:rsidRDefault="00C14EDE" w:rsidP="007327E2">
      <w:pPr>
        <w:pStyle w:val="af7"/>
        <w:spacing w:line="302" w:lineRule="exact"/>
        <w:ind w:firstLine="0"/>
        <w:rPr>
          <w:rFonts w:cs="DanaFajr"/>
          <w:sz w:val="28"/>
          <w:szCs w:val="28"/>
          <w:rtl/>
        </w:rPr>
      </w:pPr>
      <w:r w:rsidRPr="001C1BD9">
        <w:rPr>
          <w:rFonts w:cs="DanaFajr" w:hint="cs"/>
          <w:sz w:val="28"/>
          <w:szCs w:val="28"/>
          <w:rtl/>
        </w:rPr>
        <w:t>1</w:t>
      </w:r>
      <w:r w:rsidRPr="001C1BD9">
        <w:rPr>
          <w:rFonts w:cs="DanaFajr"/>
          <w:sz w:val="28"/>
          <w:szCs w:val="28"/>
          <w:rtl/>
        </w:rPr>
        <w:t xml:space="preserve">ـ </w:t>
      </w:r>
      <w:r w:rsidRPr="001C1BD9">
        <w:rPr>
          <w:rFonts w:cs="DanaFajr" w:hint="cs"/>
          <w:sz w:val="28"/>
          <w:szCs w:val="28"/>
          <w:rtl/>
        </w:rPr>
        <w:t xml:space="preserve">محمد يونس، </w:t>
      </w:r>
      <w:r w:rsidRPr="001C1BD9">
        <w:rPr>
          <w:rFonts w:cs="DanaFajr"/>
          <w:sz w:val="28"/>
          <w:szCs w:val="28"/>
          <w:rtl/>
        </w:rPr>
        <w:t>علم التخاطب اللساني</w:t>
      </w:r>
      <w:r w:rsidRPr="001C1BD9">
        <w:rPr>
          <w:rFonts w:cs="DanaFajr" w:hint="cs"/>
          <w:sz w:val="28"/>
          <w:szCs w:val="28"/>
          <w:rtl/>
        </w:rPr>
        <w:t>،</w:t>
      </w:r>
      <w:r w:rsidRPr="001C1BD9">
        <w:rPr>
          <w:rFonts w:cs="DanaFajr"/>
          <w:sz w:val="28"/>
          <w:szCs w:val="28"/>
          <w:rtl/>
        </w:rPr>
        <w:t xml:space="preserve"> دراسة لسانية لمناهج علماء الأصول في فهم النص</w:t>
      </w:r>
      <w:r w:rsidRPr="001C1BD9">
        <w:rPr>
          <w:rFonts w:cs="DanaFajr" w:hint="cs"/>
          <w:sz w:val="28"/>
          <w:szCs w:val="28"/>
          <w:rtl/>
        </w:rPr>
        <w:t>ّ: 123، دار المدار، 2009م.</w:t>
      </w:r>
    </w:p>
    <w:p w:rsidR="00C14EDE" w:rsidRPr="001C1BD9" w:rsidRDefault="00C14EDE" w:rsidP="007327E2">
      <w:pPr>
        <w:pStyle w:val="af7"/>
        <w:spacing w:line="302" w:lineRule="exact"/>
        <w:ind w:firstLine="0"/>
        <w:rPr>
          <w:rFonts w:cs="DanaFajr"/>
          <w:sz w:val="28"/>
          <w:szCs w:val="28"/>
          <w:rtl/>
        </w:rPr>
      </w:pPr>
      <w:r w:rsidRPr="001C1BD9">
        <w:rPr>
          <w:rFonts w:cs="DanaFajr" w:hint="cs"/>
          <w:sz w:val="28"/>
          <w:szCs w:val="28"/>
          <w:rtl/>
        </w:rPr>
        <w:t>2</w:t>
      </w:r>
      <w:r w:rsidRPr="001C1BD9">
        <w:rPr>
          <w:rFonts w:cs="DanaFajr"/>
          <w:sz w:val="28"/>
          <w:szCs w:val="28"/>
          <w:rtl/>
        </w:rPr>
        <w:t xml:space="preserve">ـ </w:t>
      </w:r>
      <w:r w:rsidRPr="001C1BD9">
        <w:rPr>
          <w:rFonts w:cs="DanaFajr" w:hint="cs"/>
          <w:sz w:val="28"/>
          <w:szCs w:val="28"/>
          <w:rtl/>
        </w:rPr>
        <w:t>محمد يونس،</w:t>
      </w:r>
      <w:r w:rsidRPr="001C1BD9">
        <w:rPr>
          <w:rFonts w:cs="DanaFajr"/>
          <w:sz w:val="28"/>
          <w:szCs w:val="28"/>
          <w:rtl/>
        </w:rPr>
        <w:t xml:space="preserve"> المعنى وظلال المعنى: </w:t>
      </w:r>
      <w:r w:rsidRPr="001C1BD9">
        <w:rPr>
          <w:rFonts w:cs="DanaFajr" w:hint="cs"/>
          <w:sz w:val="28"/>
          <w:szCs w:val="28"/>
          <w:rtl/>
        </w:rPr>
        <w:t>26.</w:t>
      </w:r>
    </w:p>
    <w:p w:rsidR="00C14EDE" w:rsidRPr="001C1BD9" w:rsidRDefault="00C14EDE" w:rsidP="007327E2">
      <w:pPr>
        <w:pStyle w:val="af7"/>
        <w:spacing w:line="302" w:lineRule="exact"/>
        <w:ind w:firstLine="0"/>
        <w:rPr>
          <w:rFonts w:cs="DanaFajr"/>
          <w:sz w:val="28"/>
          <w:szCs w:val="28"/>
          <w:rtl/>
        </w:rPr>
      </w:pPr>
      <w:r w:rsidRPr="001C1BD9">
        <w:rPr>
          <w:rFonts w:cs="DanaFajr" w:hint="cs"/>
          <w:sz w:val="28"/>
          <w:szCs w:val="28"/>
          <w:rtl/>
        </w:rPr>
        <w:t>3</w:t>
      </w:r>
      <w:r w:rsidRPr="001C1BD9">
        <w:rPr>
          <w:rFonts w:cs="DanaFajr"/>
          <w:sz w:val="28"/>
          <w:szCs w:val="28"/>
          <w:rtl/>
        </w:rPr>
        <w:t xml:space="preserve">ـ </w:t>
      </w:r>
      <w:r w:rsidRPr="001C1BD9">
        <w:rPr>
          <w:rFonts w:cs="DanaFajr" w:hint="cs"/>
          <w:sz w:val="28"/>
          <w:szCs w:val="28"/>
          <w:rtl/>
        </w:rPr>
        <w:t>محمد يونس،</w:t>
      </w:r>
      <w:r w:rsidRPr="001C1BD9">
        <w:rPr>
          <w:rFonts w:cs="DanaFajr"/>
          <w:sz w:val="28"/>
          <w:szCs w:val="28"/>
          <w:rtl/>
        </w:rPr>
        <w:t xml:space="preserve"> مقد</w:t>
      </w:r>
      <w:r w:rsidRPr="001C1BD9">
        <w:rPr>
          <w:rFonts w:cs="DanaFajr" w:hint="cs"/>
          <w:sz w:val="28"/>
          <w:szCs w:val="28"/>
          <w:rtl/>
        </w:rPr>
        <w:t>ّ</w:t>
      </w:r>
      <w:r w:rsidRPr="001C1BD9">
        <w:rPr>
          <w:rFonts w:cs="DanaFajr"/>
          <w:sz w:val="28"/>
          <w:szCs w:val="28"/>
          <w:rtl/>
        </w:rPr>
        <w:t>مة في علم</w:t>
      </w:r>
      <w:r w:rsidRPr="001C1BD9">
        <w:rPr>
          <w:rFonts w:cs="DanaFajr" w:hint="cs"/>
          <w:sz w:val="28"/>
          <w:szCs w:val="28"/>
          <w:rtl/>
        </w:rPr>
        <w:t>َ</w:t>
      </w:r>
      <w:r w:rsidRPr="001C1BD9">
        <w:rPr>
          <w:rFonts w:cs="DanaFajr"/>
          <w:sz w:val="28"/>
          <w:szCs w:val="28"/>
          <w:rtl/>
        </w:rPr>
        <w:t>ي</w:t>
      </w:r>
      <w:r w:rsidRPr="001C1BD9">
        <w:rPr>
          <w:rFonts w:cs="DanaFajr" w:hint="cs"/>
          <w:sz w:val="28"/>
          <w:szCs w:val="28"/>
          <w:rtl/>
        </w:rPr>
        <w:t>ْ</w:t>
      </w:r>
      <w:r w:rsidRPr="001C1BD9">
        <w:rPr>
          <w:rFonts w:cs="DanaFajr"/>
          <w:sz w:val="28"/>
          <w:szCs w:val="28"/>
          <w:rtl/>
        </w:rPr>
        <w:t xml:space="preserve"> الدلالة والتخاطب: </w:t>
      </w:r>
      <w:r w:rsidRPr="001C1BD9">
        <w:rPr>
          <w:rFonts w:cs="DanaFajr" w:hint="cs"/>
          <w:sz w:val="28"/>
          <w:szCs w:val="28"/>
          <w:rtl/>
        </w:rPr>
        <w:t>12.</w:t>
      </w:r>
    </w:p>
    <w:p w:rsidR="00C14EDE" w:rsidRPr="001C1BD9" w:rsidRDefault="00C14EDE" w:rsidP="007327E2">
      <w:pPr>
        <w:pStyle w:val="af7"/>
        <w:spacing w:line="302" w:lineRule="exact"/>
        <w:ind w:firstLine="0"/>
        <w:rPr>
          <w:rFonts w:cs="DanaFajr"/>
          <w:sz w:val="28"/>
          <w:szCs w:val="28"/>
          <w:rtl/>
        </w:rPr>
      </w:pPr>
      <w:r w:rsidRPr="001C1BD9">
        <w:rPr>
          <w:rFonts w:cs="DanaFajr" w:hint="cs"/>
          <w:sz w:val="28"/>
          <w:szCs w:val="28"/>
          <w:rtl/>
        </w:rPr>
        <w:t>4</w:t>
      </w:r>
      <w:r w:rsidRPr="001C1BD9">
        <w:rPr>
          <w:rFonts w:cs="DanaFajr"/>
          <w:sz w:val="28"/>
          <w:szCs w:val="28"/>
          <w:rtl/>
        </w:rPr>
        <w:t xml:space="preserve">ـ </w:t>
      </w:r>
      <w:r w:rsidRPr="001C1BD9">
        <w:rPr>
          <w:rFonts w:cs="DanaFajr" w:hint="cs"/>
          <w:sz w:val="28"/>
          <w:szCs w:val="28"/>
          <w:rtl/>
        </w:rPr>
        <w:t>نعمان بوقرة،</w:t>
      </w:r>
      <w:r w:rsidRPr="001C1BD9">
        <w:rPr>
          <w:rFonts w:cs="DanaFajr"/>
          <w:sz w:val="28"/>
          <w:szCs w:val="28"/>
          <w:rtl/>
        </w:rPr>
        <w:t xml:space="preserve"> تفسير النصوص وحدود التأويل عند ابن حزم</w:t>
      </w:r>
      <w:r w:rsidRPr="001C1BD9">
        <w:rPr>
          <w:rFonts w:cs="DanaFajr" w:hint="cs"/>
          <w:sz w:val="28"/>
          <w:szCs w:val="28"/>
          <w:rtl/>
        </w:rPr>
        <w:t>،</w:t>
      </w:r>
      <w:r w:rsidRPr="001C1BD9">
        <w:rPr>
          <w:rFonts w:cs="DanaFajr"/>
          <w:sz w:val="28"/>
          <w:szCs w:val="28"/>
          <w:rtl/>
        </w:rPr>
        <w:t xml:space="preserve"> قراءة في أعراف الف</w:t>
      </w:r>
      <w:r w:rsidRPr="001C1BD9">
        <w:rPr>
          <w:rFonts w:cs="DanaFajr" w:hint="cs"/>
          <w:sz w:val="28"/>
          <w:szCs w:val="28"/>
          <w:rtl/>
        </w:rPr>
        <w:t>َ</w:t>
      </w:r>
      <w:r w:rsidRPr="001C1BD9">
        <w:rPr>
          <w:rFonts w:cs="DanaFajr"/>
          <w:sz w:val="28"/>
          <w:szCs w:val="28"/>
          <w:rtl/>
        </w:rPr>
        <w:t>ه</w:t>
      </w:r>
      <w:r w:rsidRPr="001C1BD9">
        <w:rPr>
          <w:rFonts w:cs="DanaFajr" w:hint="cs"/>
          <w:sz w:val="28"/>
          <w:szCs w:val="28"/>
          <w:rtl/>
        </w:rPr>
        <w:t>ْ</w:t>
      </w:r>
      <w:r w:rsidRPr="001C1BD9">
        <w:rPr>
          <w:rFonts w:cs="DanaFajr"/>
          <w:sz w:val="28"/>
          <w:szCs w:val="28"/>
          <w:rtl/>
        </w:rPr>
        <w:t>م الظاهري للخطاب القرآني</w:t>
      </w:r>
      <w:r w:rsidRPr="001C1BD9">
        <w:rPr>
          <w:rFonts w:cs="DanaFajr" w:hint="cs"/>
          <w:sz w:val="28"/>
          <w:szCs w:val="28"/>
          <w:rtl/>
        </w:rPr>
        <w:t>: 234.</w:t>
      </w:r>
    </w:p>
    <w:p w:rsidR="00C14EDE" w:rsidRPr="001C1BD9" w:rsidRDefault="00C14EDE" w:rsidP="007327E2">
      <w:pPr>
        <w:pStyle w:val="af7"/>
        <w:spacing w:line="302" w:lineRule="exact"/>
        <w:ind w:firstLine="0"/>
        <w:rPr>
          <w:rFonts w:cs="DanaFajr"/>
          <w:sz w:val="28"/>
          <w:szCs w:val="28"/>
          <w:rtl/>
        </w:rPr>
      </w:pPr>
      <w:r w:rsidRPr="001C1BD9">
        <w:rPr>
          <w:rFonts w:cs="DanaFajr" w:hint="cs"/>
          <w:sz w:val="28"/>
          <w:szCs w:val="28"/>
          <w:rtl/>
        </w:rPr>
        <w:t>5</w:t>
      </w:r>
      <w:r w:rsidRPr="001C1BD9">
        <w:rPr>
          <w:rFonts w:cs="DanaFajr"/>
          <w:sz w:val="28"/>
          <w:szCs w:val="28"/>
          <w:rtl/>
        </w:rPr>
        <w:t xml:space="preserve">ـ </w:t>
      </w:r>
      <w:r w:rsidRPr="001C1BD9">
        <w:rPr>
          <w:rFonts w:cs="DanaFajr" w:hint="cs"/>
          <w:sz w:val="28"/>
          <w:szCs w:val="28"/>
          <w:rtl/>
        </w:rPr>
        <w:t>نعمان بوقرة،</w:t>
      </w:r>
      <w:r w:rsidRPr="001C1BD9">
        <w:rPr>
          <w:rFonts w:cs="DanaFajr"/>
          <w:sz w:val="28"/>
          <w:szCs w:val="28"/>
          <w:rtl/>
        </w:rPr>
        <w:t xml:space="preserve"> التصو</w:t>
      </w:r>
      <w:r w:rsidRPr="001C1BD9">
        <w:rPr>
          <w:rFonts w:cs="DanaFajr" w:hint="cs"/>
          <w:sz w:val="28"/>
          <w:szCs w:val="28"/>
          <w:rtl/>
        </w:rPr>
        <w:t>ُّ</w:t>
      </w:r>
      <w:r w:rsidRPr="001C1BD9">
        <w:rPr>
          <w:rFonts w:cs="DanaFajr"/>
          <w:sz w:val="28"/>
          <w:szCs w:val="28"/>
          <w:rtl/>
        </w:rPr>
        <w:t>ر اللساني عند الغزالي في ضوء النظري</w:t>
      </w:r>
      <w:r w:rsidRPr="001C1BD9">
        <w:rPr>
          <w:rFonts w:cs="DanaFajr" w:hint="cs"/>
          <w:sz w:val="28"/>
          <w:szCs w:val="28"/>
          <w:rtl/>
        </w:rPr>
        <w:t>ّ</w:t>
      </w:r>
      <w:r w:rsidRPr="001C1BD9">
        <w:rPr>
          <w:rFonts w:cs="DanaFajr"/>
          <w:sz w:val="28"/>
          <w:szCs w:val="28"/>
          <w:rtl/>
        </w:rPr>
        <w:t xml:space="preserve">ة الأصولية: </w:t>
      </w:r>
      <w:r w:rsidRPr="001C1BD9">
        <w:rPr>
          <w:rFonts w:cs="DanaFajr" w:hint="cs"/>
          <w:sz w:val="28"/>
          <w:szCs w:val="28"/>
          <w:rtl/>
        </w:rPr>
        <w:t>11.</w:t>
      </w:r>
    </w:p>
    <w:p w:rsidR="00C14EDE" w:rsidRPr="001C1BD9" w:rsidRDefault="00C14EDE" w:rsidP="007327E2">
      <w:pPr>
        <w:pStyle w:val="af7"/>
        <w:spacing w:line="302" w:lineRule="exact"/>
        <w:ind w:firstLine="0"/>
        <w:rPr>
          <w:rFonts w:cs="DanaFajr"/>
          <w:sz w:val="28"/>
          <w:szCs w:val="28"/>
          <w:rtl/>
        </w:rPr>
      </w:pPr>
      <w:r w:rsidRPr="001C1BD9">
        <w:rPr>
          <w:rFonts w:cs="DanaFajr" w:hint="cs"/>
          <w:sz w:val="28"/>
          <w:szCs w:val="28"/>
          <w:rtl/>
        </w:rPr>
        <w:t>6</w:t>
      </w:r>
      <w:r w:rsidRPr="001C1BD9">
        <w:rPr>
          <w:rFonts w:cs="DanaFajr"/>
          <w:sz w:val="28"/>
          <w:szCs w:val="28"/>
          <w:rtl/>
        </w:rPr>
        <w:t xml:space="preserve">ـ </w:t>
      </w:r>
      <w:r w:rsidRPr="001C1BD9">
        <w:rPr>
          <w:rFonts w:cs="DanaFajr" w:hint="cs"/>
          <w:sz w:val="28"/>
          <w:szCs w:val="28"/>
          <w:rtl/>
        </w:rPr>
        <w:t>يحيى رمضان،</w:t>
      </w:r>
      <w:r w:rsidRPr="001C1BD9">
        <w:rPr>
          <w:rFonts w:cs="DanaFajr"/>
          <w:sz w:val="28"/>
          <w:szCs w:val="28"/>
          <w:rtl/>
        </w:rPr>
        <w:t xml:space="preserve"> القراءة عند الأصولي</w:t>
      </w:r>
      <w:r w:rsidRPr="001C1BD9">
        <w:rPr>
          <w:rFonts w:cs="DanaFajr" w:hint="cs"/>
          <w:sz w:val="28"/>
          <w:szCs w:val="28"/>
          <w:rtl/>
        </w:rPr>
        <w:t>ّ</w:t>
      </w:r>
      <w:r w:rsidRPr="001C1BD9">
        <w:rPr>
          <w:rFonts w:cs="DanaFajr"/>
          <w:sz w:val="28"/>
          <w:szCs w:val="28"/>
          <w:rtl/>
        </w:rPr>
        <w:t>ين</w:t>
      </w:r>
      <w:r w:rsidRPr="001C1BD9">
        <w:rPr>
          <w:rFonts w:cs="DanaFajr" w:hint="cs"/>
          <w:sz w:val="28"/>
          <w:szCs w:val="28"/>
          <w:rtl/>
        </w:rPr>
        <w:t>: 23.</w:t>
      </w:r>
    </w:p>
    <w:p w:rsidR="00C14EDE" w:rsidRPr="001C1BD9" w:rsidRDefault="00C14EDE" w:rsidP="007327E2">
      <w:pPr>
        <w:pStyle w:val="af7"/>
        <w:spacing w:line="302" w:lineRule="exact"/>
        <w:ind w:firstLine="0"/>
        <w:rPr>
          <w:rFonts w:cs="DanaFajr"/>
          <w:sz w:val="28"/>
          <w:szCs w:val="28"/>
          <w:rtl/>
        </w:rPr>
      </w:pPr>
      <w:r w:rsidRPr="001C1BD9">
        <w:rPr>
          <w:rFonts w:cs="DanaFajr" w:hint="cs"/>
          <w:sz w:val="28"/>
          <w:szCs w:val="28"/>
          <w:rtl/>
        </w:rPr>
        <w:t>7</w:t>
      </w:r>
      <w:r w:rsidRPr="001C1BD9">
        <w:rPr>
          <w:rFonts w:cs="DanaFajr"/>
          <w:sz w:val="28"/>
          <w:szCs w:val="28"/>
          <w:rtl/>
        </w:rPr>
        <w:t xml:space="preserve">ـ </w:t>
      </w:r>
      <w:r w:rsidRPr="001C1BD9">
        <w:rPr>
          <w:rFonts w:cs="DanaFajr" w:hint="cs"/>
          <w:sz w:val="28"/>
          <w:szCs w:val="28"/>
          <w:rtl/>
        </w:rPr>
        <w:t xml:space="preserve">السيد عبد الغفّار، </w:t>
      </w:r>
      <w:r w:rsidRPr="001C1BD9">
        <w:rPr>
          <w:rFonts w:cs="DanaFajr"/>
          <w:sz w:val="28"/>
          <w:szCs w:val="28"/>
          <w:rtl/>
        </w:rPr>
        <w:t>النص</w:t>
      </w:r>
      <w:r w:rsidRPr="001C1BD9">
        <w:rPr>
          <w:rFonts w:cs="DanaFajr" w:hint="cs"/>
          <w:sz w:val="28"/>
          <w:szCs w:val="28"/>
          <w:rtl/>
        </w:rPr>
        <w:t>ّ</w:t>
      </w:r>
      <w:r w:rsidRPr="001C1BD9">
        <w:rPr>
          <w:rFonts w:cs="DanaFajr"/>
          <w:sz w:val="28"/>
          <w:szCs w:val="28"/>
          <w:rtl/>
        </w:rPr>
        <w:t xml:space="preserve"> </w:t>
      </w:r>
      <w:r w:rsidRPr="001C1BD9">
        <w:rPr>
          <w:rFonts w:cs="DanaFajr" w:hint="cs"/>
          <w:sz w:val="28"/>
          <w:szCs w:val="28"/>
          <w:rtl/>
        </w:rPr>
        <w:t xml:space="preserve">القرآني </w:t>
      </w:r>
      <w:r w:rsidRPr="001C1BD9">
        <w:rPr>
          <w:rFonts w:cs="DanaFajr"/>
          <w:sz w:val="28"/>
          <w:szCs w:val="28"/>
          <w:rtl/>
        </w:rPr>
        <w:t>بين التفسير والتأوي</w:t>
      </w:r>
      <w:r w:rsidRPr="001C1BD9">
        <w:rPr>
          <w:rFonts w:cs="DanaFajr" w:hint="cs"/>
          <w:sz w:val="28"/>
          <w:szCs w:val="28"/>
          <w:rtl/>
        </w:rPr>
        <w:t xml:space="preserve">ل: 11، </w:t>
      </w:r>
      <w:r w:rsidRPr="001C1BD9">
        <w:rPr>
          <w:rFonts w:cs="DanaFajr"/>
          <w:sz w:val="28"/>
          <w:szCs w:val="28"/>
          <w:rtl/>
        </w:rPr>
        <w:t>دار النهضة العربية</w:t>
      </w:r>
      <w:r w:rsidRPr="001C1BD9">
        <w:rPr>
          <w:rFonts w:cs="DanaFajr" w:hint="cs"/>
          <w:sz w:val="28"/>
          <w:szCs w:val="28"/>
          <w:rtl/>
        </w:rPr>
        <w:t>،</w:t>
      </w:r>
      <w:r w:rsidRPr="001C1BD9">
        <w:rPr>
          <w:rFonts w:cs="DanaFajr"/>
          <w:sz w:val="28"/>
          <w:szCs w:val="28"/>
          <w:rtl/>
        </w:rPr>
        <w:t xml:space="preserve"> 2002</w:t>
      </w:r>
      <w:r w:rsidRPr="001C1BD9">
        <w:rPr>
          <w:rFonts w:cs="DanaFajr" w:hint="cs"/>
          <w:sz w:val="28"/>
          <w:szCs w:val="28"/>
          <w:rtl/>
        </w:rPr>
        <w:t>م.</w:t>
      </w:r>
    </w:p>
  </w:endnote>
  <w:endnote w:id="694">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w:t>
      </w:r>
      <w:r w:rsidRPr="001C1BD9">
        <w:rPr>
          <w:rFonts w:cs="DanaFajr"/>
          <w:sz w:val="28"/>
          <w:szCs w:val="28"/>
          <w:rtl/>
        </w:rPr>
        <w:t xml:space="preserve"> محمد وقيدي</w:t>
      </w:r>
      <w:r w:rsidRPr="001C1BD9">
        <w:rPr>
          <w:rFonts w:cs="DanaFajr" w:hint="cs"/>
          <w:sz w:val="28"/>
          <w:szCs w:val="28"/>
          <w:rtl/>
        </w:rPr>
        <w:t>،</w:t>
      </w:r>
      <w:r w:rsidRPr="001C1BD9">
        <w:rPr>
          <w:rFonts w:cs="DanaFajr"/>
          <w:sz w:val="28"/>
          <w:szCs w:val="28"/>
          <w:rtl/>
        </w:rPr>
        <w:t xml:space="preserve"> الفارابي ونسق العلوم في الثقافة الإسلامية</w:t>
      </w:r>
      <w:r w:rsidRPr="001C1BD9">
        <w:rPr>
          <w:rFonts w:cs="DanaFajr" w:hint="cs"/>
          <w:sz w:val="28"/>
          <w:szCs w:val="28"/>
          <w:rtl/>
        </w:rPr>
        <w:t>،</w:t>
      </w:r>
      <w:r w:rsidRPr="001C1BD9">
        <w:rPr>
          <w:rFonts w:cs="DanaFajr"/>
          <w:sz w:val="28"/>
          <w:szCs w:val="28"/>
          <w:rtl/>
        </w:rPr>
        <w:t xml:space="preserve"> مجل</w:t>
      </w:r>
      <w:r w:rsidRPr="001C1BD9">
        <w:rPr>
          <w:rFonts w:cs="DanaFajr" w:hint="cs"/>
          <w:sz w:val="28"/>
          <w:szCs w:val="28"/>
          <w:rtl/>
        </w:rPr>
        <w:t>ّ</w:t>
      </w:r>
      <w:r w:rsidRPr="001C1BD9">
        <w:rPr>
          <w:rFonts w:cs="DanaFajr"/>
          <w:sz w:val="28"/>
          <w:szCs w:val="28"/>
          <w:rtl/>
        </w:rPr>
        <w:t>ة دعوة الحق</w:t>
      </w:r>
      <w:r w:rsidRPr="001C1BD9">
        <w:rPr>
          <w:rFonts w:cs="DanaFajr" w:hint="cs"/>
          <w:sz w:val="28"/>
          <w:szCs w:val="28"/>
          <w:rtl/>
        </w:rPr>
        <w:t>ّ</w:t>
      </w:r>
      <w:r w:rsidRPr="001C1BD9">
        <w:rPr>
          <w:rFonts w:cs="DanaFajr"/>
          <w:sz w:val="28"/>
          <w:szCs w:val="28"/>
          <w:rtl/>
        </w:rPr>
        <w:t xml:space="preserve"> المغربية</w:t>
      </w:r>
      <w:r w:rsidRPr="001C1BD9">
        <w:rPr>
          <w:rFonts w:cs="DanaFajr" w:hint="cs"/>
          <w:sz w:val="28"/>
          <w:szCs w:val="28"/>
          <w:rtl/>
        </w:rPr>
        <w:t>،</w:t>
      </w:r>
      <w:r w:rsidRPr="001C1BD9">
        <w:rPr>
          <w:rFonts w:cs="DanaFajr"/>
          <w:sz w:val="28"/>
          <w:szCs w:val="28"/>
          <w:rtl/>
        </w:rPr>
        <w:t xml:space="preserve"> العدد 364: </w:t>
      </w:r>
      <w:r w:rsidRPr="001C1BD9">
        <w:rPr>
          <w:rFonts w:cs="DanaFajr" w:hint="cs"/>
          <w:sz w:val="28"/>
          <w:szCs w:val="28"/>
          <w:rtl/>
        </w:rPr>
        <w:t xml:space="preserve">231، </w:t>
      </w:r>
      <w:r w:rsidRPr="001C1BD9">
        <w:rPr>
          <w:rFonts w:cs="DanaFajr"/>
          <w:sz w:val="28"/>
          <w:szCs w:val="28"/>
          <w:rtl/>
        </w:rPr>
        <w:t>2002</w:t>
      </w:r>
      <w:r w:rsidRPr="001C1BD9">
        <w:rPr>
          <w:rFonts w:cs="DanaFajr" w:hint="cs"/>
          <w:sz w:val="28"/>
          <w:szCs w:val="28"/>
          <w:rtl/>
        </w:rPr>
        <w:t>م.</w:t>
      </w:r>
    </w:p>
  </w:endnote>
  <w:endnote w:id="695">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w:t>
      </w:r>
      <w:r w:rsidRPr="001C1BD9">
        <w:rPr>
          <w:rFonts w:cs="DanaFajr"/>
          <w:sz w:val="28"/>
          <w:szCs w:val="28"/>
          <w:rtl/>
        </w:rPr>
        <w:t>ابن خلدون</w:t>
      </w:r>
      <w:r w:rsidRPr="001C1BD9">
        <w:rPr>
          <w:rFonts w:cs="DanaFajr" w:hint="cs"/>
          <w:sz w:val="28"/>
          <w:szCs w:val="28"/>
          <w:rtl/>
        </w:rPr>
        <w:t>،</w:t>
      </w:r>
      <w:r w:rsidRPr="001C1BD9">
        <w:rPr>
          <w:rFonts w:cs="DanaFajr"/>
          <w:sz w:val="28"/>
          <w:szCs w:val="28"/>
          <w:rtl/>
        </w:rPr>
        <w:t xml:space="preserve"> المقد</w:t>
      </w:r>
      <w:r w:rsidRPr="001C1BD9">
        <w:rPr>
          <w:rFonts w:cs="DanaFajr" w:hint="cs"/>
          <w:sz w:val="28"/>
          <w:szCs w:val="28"/>
          <w:rtl/>
        </w:rPr>
        <w:t>ّ</w:t>
      </w:r>
      <w:r w:rsidRPr="001C1BD9">
        <w:rPr>
          <w:rFonts w:cs="DanaFajr"/>
          <w:sz w:val="28"/>
          <w:szCs w:val="28"/>
          <w:rtl/>
        </w:rPr>
        <w:t>مة: 583.</w:t>
      </w:r>
    </w:p>
  </w:endnote>
  <w:endnote w:id="696">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عبد الرزاق عكيوي، </w:t>
      </w:r>
      <w:r w:rsidRPr="001C1BD9">
        <w:rPr>
          <w:rFonts w:cs="DanaFajr"/>
          <w:sz w:val="28"/>
          <w:szCs w:val="28"/>
          <w:rtl/>
        </w:rPr>
        <w:t>نظرية الاعتبار في العلوم الإسلامية</w:t>
      </w:r>
      <w:r w:rsidRPr="001C1BD9">
        <w:rPr>
          <w:rFonts w:cs="DanaFajr" w:hint="cs"/>
          <w:sz w:val="28"/>
          <w:szCs w:val="28"/>
          <w:rtl/>
        </w:rPr>
        <w:t>: 9، منشورات المعهد العالمي للفكر الإسلامي.</w:t>
      </w:r>
    </w:p>
  </w:endnote>
  <w:endnote w:id="697">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أبو</w:t>
      </w:r>
      <w:r w:rsidRPr="001C1BD9">
        <w:rPr>
          <w:rFonts w:cs="DanaFajr"/>
          <w:sz w:val="28"/>
          <w:szCs w:val="28"/>
          <w:rtl/>
        </w:rPr>
        <w:t xml:space="preserve"> الوليد الباجي</w:t>
      </w:r>
      <w:r w:rsidRPr="001C1BD9">
        <w:rPr>
          <w:rFonts w:cs="DanaFajr" w:hint="cs"/>
          <w:sz w:val="28"/>
          <w:szCs w:val="28"/>
          <w:rtl/>
        </w:rPr>
        <w:t>، أ</w:t>
      </w:r>
      <w:r w:rsidRPr="001C1BD9">
        <w:rPr>
          <w:rFonts w:cs="DanaFajr"/>
          <w:sz w:val="28"/>
          <w:szCs w:val="28"/>
          <w:rtl/>
        </w:rPr>
        <w:t>حكم الفصول في إحكام الأصول</w:t>
      </w:r>
      <w:r w:rsidRPr="001C1BD9">
        <w:rPr>
          <w:rFonts w:cs="DanaFajr" w:hint="cs"/>
          <w:sz w:val="28"/>
          <w:szCs w:val="28"/>
          <w:rtl/>
        </w:rPr>
        <w:t>: 33 (</w:t>
      </w:r>
      <w:r w:rsidRPr="001C1BD9">
        <w:rPr>
          <w:rFonts w:cs="DanaFajr"/>
          <w:sz w:val="28"/>
          <w:szCs w:val="28"/>
          <w:rtl/>
        </w:rPr>
        <w:t>مقدمة المحق</w:t>
      </w:r>
      <w:r w:rsidRPr="001C1BD9">
        <w:rPr>
          <w:rFonts w:cs="DanaFajr" w:hint="cs"/>
          <w:sz w:val="28"/>
          <w:szCs w:val="28"/>
          <w:rtl/>
        </w:rPr>
        <w:t>ِّ</w:t>
      </w:r>
      <w:r w:rsidRPr="001C1BD9">
        <w:rPr>
          <w:rFonts w:cs="DanaFajr"/>
          <w:sz w:val="28"/>
          <w:szCs w:val="28"/>
          <w:rtl/>
        </w:rPr>
        <w:t>ق عبد المجيد تركي</w:t>
      </w:r>
      <w:r w:rsidRPr="001C1BD9">
        <w:rPr>
          <w:rFonts w:cs="DanaFajr" w:hint="cs"/>
          <w:sz w:val="28"/>
          <w:szCs w:val="28"/>
          <w:rtl/>
        </w:rPr>
        <w:t>)، دار الغرب الإسلامي.</w:t>
      </w:r>
    </w:p>
  </w:endnote>
  <w:endnote w:id="698">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طه عبد الرحمان،</w:t>
      </w:r>
      <w:r w:rsidRPr="001C1BD9">
        <w:rPr>
          <w:rFonts w:cs="DanaFajr"/>
          <w:sz w:val="28"/>
          <w:szCs w:val="28"/>
          <w:rtl/>
        </w:rPr>
        <w:t xml:space="preserve"> تجديد المنهج في تقويم التراث: 23</w:t>
      </w:r>
      <w:r w:rsidRPr="001C1BD9">
        <w:rPr>
          <w:rFonts w:cs="DanaFajr" w:hint="cs"/>
          <w:sz w:val="28"/>
          <w:szCs w:val="28"/>
          <w:rtl/>
        </w:rPr>
        <w:t>.</w:t>
      </w:r>
    </w:p>
  </w:endnote>
  <w:endnote w:id="699">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مهدي فضل الله،</w:t>
      </w:r>
      <w:r w:rsidRPr="001C1BD9">
        <w:rPr>
          <w:rFonts w:cs="DanaFajr"/>
          <w:sz w:val="28"/>
          <w:szCs w:val="28"/>
          <w:rtl/>
        </w:rPr>
        <w:t xml:space="preserve"> العقل والشريع</w:t>
      </w:r>
      <w:r w:rsidRPr="001C1BD9">
        <w:rPr>
          <w:rFonts w:cs="DanaFajr" w:hint="cs"/>
          <w:sz w:val="28"/>
          <w:szCs w:val="28"/>
          <w:rtl/>
        </w:rPr>
        <w:t>ة</w:t>
      </w:r>
      <w:r w:rsidRPr="001C1BD9">
        <w:rPr>
          <w:rFonts w:cs="DanaFajr"/>
          <w:sz w:val="28"/>
          <w:szCs w:val="28"/>
          <w:rtl/>
        </w:rPr>
        <w:t>: 13.</w:t>
      </w:r>
    </w:p>
  </w:endnote>
  <w:endnote w:id="700">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عبد الكريم مجاهد، </w:t>
      </w:r>
      <w:r w:rsidRPr="001C1BD9">
        <w:rPr>
          <w:rFonts w:cs="DanaFajr"/>
          <w:sz w:val="28"/>
          <w:szCs w:val="28"/>
          <w:rtl/>
        </w:rPr>
        <w:t>الدلالة اللغوية عند العرب: 9</w:t>
      </w:r>
      <w:r w:rsidRPr="001C1BD9">
        <w:rPr>
          <w:rFonts w:cs="DanaFajr" w:hint="cs"/>
          <w:sz w:val="28"/>
          <w:szCs w:val="28"/>
          <w:rtl/>
        </w:rPr>
        <w:t>.</w:t>
      </w:r>
    </w:p>
  </w:endnote>
  <w:endnote w:id="701">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أبو الحسين البصري، التحقيق المعتمد 1: 11 (مقدّمة د. محمد حميد لله).</w:t>
      </w:r>
    </w:p>
  </w:endnote>
  <w:endnote w:id="702">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الإمام الغزالي، </w:t>
      </w:r>
      <w:r w:rsidRPr="001C1BD9">
        <w:rPr>
          <w:rFonts w:cs="DanaFajr"/>
          <w:sz w:val="28"/>
          <w:szCs w:val="28"/>
          <w:rtl/>
        </w:rPr>
        <w:t>جواهر القر</w:t>
      </w:r>
      <w:r w:rsidRPr="001C1BD9">
        <w:rPr>
          <w:rFonts w:cs="DanaFajr" w:hint="cs"/>
          <w:sz w:val="28"/>
          <w:szCs w:val="28"/>
          <w:rtl/>
        </w:rPr>
        <w:t>آ</w:t>
      </w:r>
      <w:r w:rsidRPr="001C1BD9">
        <w:rPr>
          <w:rFonts w:cs="DanaFajr"/>
          <w:sz w:val="28"/>
          <w:szCs w:val="28"/>
          <w:rtl/>
        </w:rPr>
        <w:t>ن: 23</w:t>
      </w:r>
      <w:r w:rsidRPr="001C1BD9">
        <w:rPr>
          <w:rFonts w:cs="DanaFajr" w:hint="cs"/>
          <w:sz w:val="28"/>
          <w:szCs w:val="28"/>
          <w:rtl/>
        </w:rPr>
        <w:t>.</w:t>
      </w:r>
    </w:p>
  </w:endnote>
  <w:endnote w:id="703">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 عبد الحميد العلمي،</w:t>
      </w:r>
      <w:r w:rsidRPr="001C1BD9">
        <w:rPr>
          <w:rFonts w:cs="DanaFajr"/>
          <w:sz w:val="28"/>
          <w:szCs w:val="28"/>
          <w:rtl/>
        </w:rPr>
        <w:t xml:space="preserve"> المقاصد اللغوية بين التقصيد الدلالي وفهم الخطاب الشرعي: 67</w:t>
      </w:r>
      <w:r w:rsidRPr="001C1BD9">
        <w:rPr>
          <w:rFonts w:cs="DanaFajr" w:hint="cs"/>
          <w:sz w:val="28"/>
          <w:szCs w:val="28"/>
          <w:rtl/>
        </w:rPr>
        <w:t>.</w:t>
      </w:r>
    </w:p>
  </w:endnote>
  <w:endnote w:id="704">
    <w:p w:rsidR="00C14EDE" w:rsidRPr="001C1BD9" w:rsidRDefault="00C14EDE" w:rsidP="007327E2">
      <w:pPr>
        <w:pStyle w:val="af7"/>
        <w:spacing w:line="302" w:lineRule="exact"/>
        <w:ind w:firstLine="0"/>
        <w:rPr>
          <w:rFonts w:cs="DanaFajr"/>
          <w:sz w:val="28"/>
          <w:szCs w:val="28"/>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w:t>
      </w:r>
      <w:r w:rsidRPr="001C1BD9">
        <w:rPr>
          <w:rFonts w:cs="DanaFajr"/>
          <w:sz w:val="28"/>
          <w:szCs w:val="28"/>
          <w:rtl/>
        </w:rPr>
        <w:t>ابن جزي</w:t>
      </w:r>
      <w:r w:rsidRPr="001C1BD9">
        <w:rPr>
          <w:rFonts w:cs="DanaFajr" w:hint="cs"/>
          <w:sz w:val="28"/>
          <w:szCs w:val="28"/>
          <w:rtl/>
        </w:rPr>
        <w:t>،</w:t>
      </w:r>
      <w:r w:rsidRPr="001C1BD9">
        <w:rPr>
          <w:rFonts w:cs="DanaFajr"/>
          <w:sz w:val="28"/>
          <w:szCs w:val="28"/>
          <w:rtl/>
        </w:rPr>
        <w:t xml:space="preserve"> تفسير التسهيل لعلوم التن</w:t>
      </w:r>
      <w:r w:rsidRPr="001C1BD9">
        <w:rPr>
          <w:rFonts w:cs="DanaFajr" w:hint="cs"/>
          <w:sz w:val="28"/>
          <w:szCs w:val="28"/>
          <w:rtl/>
        </w:rPr>
        <w:t>ـ</w:t>
      </w:r>
      <w:r w:rsidRPr="001C1BD9">
        <w:rPr>
          <w:rFonts w:cs="DanaFajr"/>
          <w:sz w:val="28"/>
          <w:szCs w:val="28"/>
          <w:rtl/>
        </w:rPr>
        <w:t>زيل</w:t>
      </w:r>
      <w:r w:rsidRPr="001C1BD9">
        <w:rPr>
          <w:rFonts w:cs="DanaFajr" w:hint="cs"/>
          <w:sz w:val="28"/>
          <w:szCs w:val="28"/>
          <w:rtl/>
        </w:rPr>
        <w:t xml:space="preserve"> (ال</w:t>
      </w:r>
      <w:r w:rsidRPr="001C1BD9">
        <w:rPr>
          <w:rFonts w:cs="DanaFajr"/>
          <w:sz w:val="28"/>
          <w:szCs w:val="28"/>
          <w:rtl/>
        </w:rPr>
        <w:t>مقد</w:t>
      </w:r>
      <w:r w:rsidRPr="001C1BD9">
        <w:rPr>
          <w:rFonts w:cs="DanaFajr" w:hint="cs"/>
          <w:sz w:val="28"/>
          <w:szCs w:val="28"/>
          <w:rtl/>
        </w:rPr>
        <w:t>ّ</w:t>
      </w:r>
      <w:r w:rsidRPr="001C1BD9">
        <w:rPr>
          <w:rFonts w:cs="DanaFajr"/>
          <w:sz w:val="28"/>
          <w:szCs w:val="28"/>
          <w:rtl/>
        </w:rPr>
        <w:t>مة</w:t>
      </w:r>
      <w:r w:rsidRPr="001C1BD9">
        <w:rPr>
          <w:rFonts w:cs="DanaFajr" w:hint="cs"/>
          <w:sz w:val="28"/>
          <w:szCs w:val="28"/>
          <w:rtl/>
        </w:rPr>
        <w:t>)</w:t>
      </w:r>
      <w:r w:rsidRPr="001C1BD9">
        <w:rPr>
          <w:rFonts w:cs="DanaFajr"/>
          <w:sz w:val="28"/>
          <w:szCs w:val="28"/>
          <w:rtl/>
        </w:rPr>
        <w:t xml:space="preserve"> 1: 11</w:t>
      </w:r>
      <w:r w:rsidRPr="001C1BD9">
        <w:rPr>
          <w:rFonts w:cs="DanaFajr" w:hint="cs"/>
          <w:sz w:val="28"/>
          <w:szCs w:val="28"/>
          <w:rtl/>
        </w:rPr>
        <w:t>.</w:t>
      </w:r>
    </w:p>
  </w:endnote>
  <w:endnote w:id="705">
    <w:p w:rsidR="00C14EDE" w:rsidRPr="001C1BD9" w:rsidRDefault="00C14EDE" w:rsidP="007327E2">
      <w:pPr>
        <w:pStyle w:val="af7"/>
        <w:spacing w:line="302" w:lineRule="exact"/>
        <w:ind w:firstLine="0"/>
        <w:rPr>
          <w:rFonts w:cs="DanaFajr"/>
          <w:sz w:val="28"/>
          <w:szCs w:val="28"/>
          <w:rtl/>
        </w:rPr>
      </w:pPr>
      <w:r w:rsidRPr="001C1BD9">
        <w:rPr>
          <w:rFonts w:cs="DanaFajr" w:hint="cs"/>
          <w:sz w:val="28"/>
          <w:szCs w:val="28"/>
          <w:rtl/>
        </w:rPr>
        <w:t>(</w:t>
      </w:r>
      <w:r w:rsidRPr="001C1BD9">
        <w:endnoteRef/>
      </w:r>
      <w:r w:rsidRPr="001C1BD9">
        <w:rPr>
          <w:rFonts w:cs="DanaFajr" w:hint="cs"/>
          <w:sz w:val="28"/>
          <w:szCs w:val="28"/>
          <w:rtl/>
        </w:rPr>
        <w:t>) محمد بن زكريّا الرازي، في فقه اللغة وسنن العرب وكلامها: 16، تحقيق: أحمد صقر، دار إحياء الكتب العربيّة.</w:t>
      </w:r>
    </w:p>
  </w:endnote>
  <w:endnote w:id="706">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أبو حاتم الرازي،</w:t>
      </w:r>
      <w:r w:rsidRPr="001C1BD9">
        <w:rPr>
          <w:rFonts w:cs="DanaFajr"/>
          <w:sz w:val="28"/>
          <w:szCs w:val="28"/>
          <w:rtl/>
        </w:rPr>
        <w:t xml:space="preserve"> الزينة </w:t>
      </w:r>
      <w:r w:rsidRPr="001C1BD9">
        <w:rPr>
          <w:rFonts w:cs="DanaFajr" w:hint="cs"/>
          <w:sz w:val="28"/>
          <w:szCs w:val="28"/>
          <w:rtl/>
        </w:rPr>
        <w:t>في الألفاظ العربية الإسلامية</w:t>
      </w:r>
      <w:r w:rsidRPr="001C1BD9">
        <w:rPr>
          <w:rFonts w:cs="DanaFajr"/>
          <w:sz w:val="28"/>
          <w:szCs w:val="28"/>
          <w:rtl/>
        </w:rPr>
        <w:t xml:space="preserve"> 1: 61، القاهرة</w:t>
      </w:r>
      <w:r w:rsidRPr="001C1BD9">
        <w:rPr>
          <w:rFonts w:cs="DanaFajr" w:hint="cs"/>
          <w:sz w:val="28"/>
          <w:szCs w:val="28"/>
          <w:rtl/>
        </w:rPr>
        <w:t>،</w:t>
      </w:r>
      <w:r w:rsidRPr="001C1BD9">
        <w:rPr>
          <w:rFonts w:cs="DanaFajr"/>
          <w:sz w:val="28"/>
          <w:szCs w:val="28"/>
          <w:rtl/>
        </w:rPr>
        <w:t xml:space="preserve"> 1957م</w:t>
      </w:r>
      <w:r w:rsidRPr="001C1BD9">
        <w:rPr>
          <w:rFonts w:cs="DanaFajr" w:hint="cs"/>
          <w:sz w:val="28"/>
          <w:szCs w:val="28"/>
          <w:rtl/>
        </w:rPr>
        <w:t>.</w:t>
      </w:r>
    </w:p>
  </w:endnote>
  <w:endnote w:id="707">
    <w:p w:rsidR="00C14EDE" w:rsidRPr="001C1BD9" w:rsidRDefault="00C14EDE" w:rsidP="007327E2">
      <w:pPr>
        <w:pStyle w:val="af7"/>
        <w:spacing w:line="302"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رقية جابر العلواني، أثر العُرْف في فهم النصوص: </w:t>
      </w:r>
      <w:r w:rsidRPr="001C1BD9">
        <w:rPr>
          <w:rFonts w:cs="DanaFajr"/>
          <w:sz w:val="28"/>
          <w:szCs w:val="28"/>
          <w:rtl/>
        </w:rPr>
        <w:t>112</w:t>
      </w:r>
      <w:r w:rsidRPr="001C1BD9">
        <w:rPr>
          <w:rFonts w:cs="DanaFajr" w:hint="cs"/>
          <w:sz w:val="28"/>
          <w:szCs w:val="28"/>
          <w:rtl/>
        </w:rPr>
        <w:t>.</w:t>
      </w:r>
    </w:p>
  </w:endnote>
  <w:endnote w:id="708">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 أحمد حدادي،</w:t>
      </w:r>
      <w:r w:rsidRPr="001C1BD9">
        <w:rPr>
          <w:rFonts w:cs="DanaFajr"/>
          <w:sz w:val="28"/>
          <w:szCs w:val="28"/>
          <w:rtl/>
        </w:rPr>
        <w:t xml:space="preserve"> حاجة المفتي إلى اللغة العربية: 22</w:t>
      </w:r>
      <w:r w:rsidRPr="001C1BD9">
        <w:rPr>
          <w:rFonts w:cs="DanaFajr" w:hint="cs"/>
          <w:sz w:val="28"/>
          <w:szCs w:val="28"/>
          <w:rtl/>
        </w:rPr>
        <w:t>.</w:t>
      </w:r>
    </w:p>
  </w:endnote>
  <w:endnote w:id="709">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 xml:space="preserve">المصدر </w:t>
      </w:r>
      <w:r w:rsidRPr="001C1BD9">
        <w:rPr>
          <w:rFonts w:cs="DanaFajr"/>
          <w:sz w:val="28"/>
          <w:szCs w:val="28"/>
          <w:rtl/>
        </w:rPr>
        <w:t>نفسه</w:t>
      </w:r>
      <w:r w:rsidRPr="001C1BD9">
        <w:rPr>
          <w:rFonts w:cs="DanaFajr" w:hint="cs"/>
          <w:sz w:val="28"/>
          <w:szCs w:val="28"/>
          <w:rtl/>
        </w:rPr>
        <w:t>.</w:t>
      </w:r>
    </w:p>
  </w:endnote>
  <w:endnote w:id="710">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الإمام الشاطبي،</w:t>
      </w:r>
      <w:r w:rsidRPr="001C1BD9">
        <w:rPr>
          <w:rFonts w:cs="DanaFajr"/>
          <w:sz w:val="28"/>
          <w:szCs w:val="28"/>
          <w:rtl/>
        </w:rPr>
        <w:t xml:space="preserve"> الموافقات 3: 31</w:t>
      </w:r>
      <w:r w:rsidRPr="001C1BD9">
        <w:rPr>
          <w:rFonts w:cs="DanaFajr" w:hint="cs"/>
          <w:sz w:val="28"/>
          <w:szCs w:val="28"/>
          <w:rtl/>
        </w:rPr>
        <w:t>.</w:t>
      </w:r>
    </w:p>
  </w:endnote>
  <w:endnote w:id="711">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الغزالي، فاتحة العلوم</w:t>
      </w:r>
      <w:r w:rsidRPr="001C1BD9">
        <w:rPr>
          <w:rFonts w:cs="DanaFajr"/>
          <w:sz w:val="28"/>
          <w:szCs w:val="28"/>
          <w:rtl/>
        </w:rPr>
        <w:t xml:space="preserve"> 1: 22</w:t>
      </w:r>
      <w:r w:rsidRPr="001C1BD9">
        <w:rPr>
          <w:rFonts w:cs="DanaFajr" w:hint="cs"/>
          <w:sz w:val="28"/>
          <w:szCs w:val="28"/>
          <w:rtl/>
        </w:rPr>
        <w:t>.</w:t>
      </w:r>
    </w:p>
  </w:endnote>
  <w:endnote w:id="712">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أحمد بن محمد الشرقاوي، نحو منهجٍ أمثل لتفسير القرآن الكريم: 10، دار طيبة، 2008م.</w:t>
      </w:r>
    </w:p>
  </w:endnote>
  <w:endnote w:id="713">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الإمام الشاطبي،</w:t>
      </w:r>
      <w:r w:rsidRPr="001C1BD9">
        <w:rPr>
          <w:rFonts w:cs="DanaFajr"/>
          <w:sz w:val="28"/>
          <w:szCs w:val="28"/>
          <w:rtl/>
        </w:rPr>
        <w:t xml:space="preserve"> الموافقات 2: 62. </w:t>
      </w:r>
    </w:p>
  </w:endnote>
  <w:endnote w:id="714">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محمد عابد الجابري، بنية العقل العربي: 57.</w:t>
      </w:r>
    </w:p>
  </w:endnote>
  <w:endnote w:id="715">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الإمام الشاطبي،</w:t>
      </w:r>
      <w:r w:rsidRPr="001C1BD9">
        <w:rPr>
          <w:rFonts w:cs="DanaFajr"/>
          <w:sz w:val="28"/>
          <w:szCs w:val="28"/>
          <w:rtl/>
        </w:rPr>
        <w:t xml:space="preserve"> الموافقات 2: 62. </w:t>
      </w:r>
    </w:p>
  </w:endnote>
  <w:endnote w:id="716">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المصدر السابق</w:t>
      </w:r>
      <w:r w:rsidRPr="001C1BD9">
        <w:rPr>
          <w:rFonts w:cs="DanaFajr"/>
          <w:sz w:val="28"/>
          <w:szCs w:val="28"/>
          <w:rtl/>
        </w:rPr>
        <w:t xml:space="preserve"> 4: 117</w:t>
      </w:r>
      <w:r w:rsidRPr="001C1BD9">
        <w:rPr>
          <w:rFonts w:cs="DanaFajr" w:hint="cs"/>
          <w:sz w:val="28"/>
          <w:szCs w:val="28"/>
          <w:rtl/>
        </w:rPr>
        <w:t>.</w:t>
      </w:r>
    </w:p>
  </w:endnote>
  <w:endnote w:id="717">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أديب صالح،</w:t>
      </w:r>
      <w:r w:rsidRPr="001C1BD9">
        <w:rPr>
          <w:rFonts w:cs="DanaFajr"/>
          <w:sz w:val="28"/>
          <w:szCs w:val="28"/>
          <w:rtl/>
        </w:rPr>
        <w:t xml:space="preserve"> تفسير النصوص 1: 9. </w:t>
      </w:r>
    </w:p>
  </w:endnote>
  <w:endnote w:id="718">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 بز</w:t>
      </w:r>
      <w:r w:rsidRPr="001C1BD9">
        <w:rPr>
          <w:rFonts w:cs="DanaFajr" w:hint="eastAsia"/>
          <w:sz w:val="28"/>
          <w:szCs w:val="28"/>
          <w:rtl/>
        </w:rPr>
        <w:t>ا</w:t>
      </w:r>
      <w:r w:rsidRPr="001C1BD9">
        <w:rPr>
          <w:rFonts w:cs="DanaFajr" w:hint="cs"/>
          <w:sz w:val="28"/>
          <w:szCs w:val="28"/>
          <w:rtl/>
        </w:rPr>
        <w:t xml:space="preserve"> عبد النور،</w:t>
      </w:r>
      <w:r w:rsidRPr="001C1BD9">
        <w:rPr>
          <w:rFonts w:cs="DanaFajr"/>
          <w:sz w:val="28"/>
          <w:szCs w:val="28"/>
          <w:rtl/>
        </w:rPr>
        <w:t xml:space="preserve"> مصالح الإنسان</w:t>
      </w:r>
      <w:r w:rsidRPr="001C1BD9">
        <w:rPr>
          <w:rFonts w:cs="DanaFajr" w:hint="cs"/>
          <w:sz w:val="28"/>
          <w:szCs w:val="28"/>
          <w:rtl/>
        </w:rPr>
        <w:t>،</w:t>
      </w:r>
      <w:r w:rsidRPr="001C1BD9">
        <w:rPr>
          <w:rFonts w:cs="DanaFajr"/>
          <w:sz w:val="28"/>
          <w:szCs w:val="28"/>
          <w:rtl/>
        </w:rPr>
        <w:t xml:space="preserve"> مقاربة مقاصدية: 87</w:t>
      </w:r>
      <w:r w:rsidRPr="001C1BD9">
        <w:rPr>
          <w:rFonts w:cs="DanaFajr" w:hint="cs"/>
          <w:sz w:val="28"/>
          <w:szCs w:val="28"/>
          <w:rtl/>
        </w:rPr>
        <w:t>.</w:t>
      </w:r>
    </w:p>
  </w:endnote>
  <w:endnote w:id="719">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 مصطفى بنحمزة،</w:t>
      </w:r>
      <w:r w:rsidRPr="001C1BD9">
        <w:rPr>
          <w:rFonts w:cs="DanaFajr"/>
          <w:sz w:val="28"/>
          <w:szCs w:val="28"/>
          <w:rtl/>
        </w:rPr>
        <w:t xml:space="preserve"> إسهام الأصوليين في دراسة صلة اللفظ بالمعنى: 12.</w:t>
      </w:r>
    </w:p>
  </w:endnote>
  <w:endnote w:id="720">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w:t>
      </w:r>
      <w:r w:rsidRPr="001C1BD9">
        <w:rPr>
          <w:rFonts w:cs="DanaFajr"/>
          <w:sz w:val="28"/>
          <w:szCs w:val="28"/>
          <w:rtl/>
        </w:rPr>
        <w:t>تفسير ابن جزي الكلبي</w:t>
      </w:r>
      <w:r w:rsidRPr="001C1BD9">
        <w:rPr>
          <w:rFonts w:cs="DanaFajr" w:hint="cs"/>
          <w:sz w:val="28"/>
          <w:szCs w:val="28"/>
          <w:rtl/>
        </w:rPr>
        <w:t>ّ،</w:t>
      </w:r>
      <w:r w:rsidRPr="001C1BD9">
        <w:rPr>
          <w:rFonts w:cs="DanaFajr"/>
          <w:sz w:val="28"/>
          <w:szCs w:val="28"/>
          <w:rtl/>
        </w:rPr>
        <w:t xml:space="preserve"> المسم</w:t>
      </w:r>
      <w:r w:rsidRPr="001C1BD9">
        <w:rPr>
          <w:rFonts w:cs="DanaFajr" w:hint="cs"/>
          <w:sz w:val="28"/>
          <w:szCs w:val="28"/>
          <w:rtl/>
        </w:rPr>
        <w:t>ّ</w:t>
      </w:r>
      <w:r w:rsidRPr="001C1BD9">
        <w:rPr>
          <w:rFonts w:cs="DanaFajr"/>
          <w:sz w:val="28"/>
          <w:szCs w:val="28"/>
          <w:rtl/>
        </w:rPr>
        <w:t>ى التسهيل</w:t>
      </w:r>
      <w:r w:rsidRPr="001C1BD9">
        <w:rPr>
          <w:rFonts w:cs="DanaFajr" w:hint="cs"/>
          <w:sz w:val="28"/>
          <w:szCs w:val="28"/>
          <w:rtl/>
        </w:rPr>
        <w:t xml:space="preserve"> (ال</w:t>
      </w:r>
      <w:r w:rsidRPr="001C1BD9">
        <w:rPr>
          <w:rFonts w:cs="DanaFajr"/>
          <w:sz w:val="28"/>
          <w:szCs w:val="28"/>
          <w:rtl/>
        </w:rPr>
        <w:t>مقد</w:t>
      </w:r>
      <w:r w:rsidRPr="001C1BD9">
        <w:rPr>
          <w:rFonts w:cs="DanaFajr" w:hint="cs"/>
          <w:sz w:val="28"/>
          <w:szCs w:val="28"/>
          <w:rtl/>
        </w:rPr>
        <w:t>ّ</w:t>
      </w:r>
      <w:r w:rsidRPr="001C1BD9">
        <w:rPr>
          <w:rFonts w:cs="DanaFajr"/>
          <w:sz w:val="28"/>
          <w:szCs w:val="28"/>
          <w:rtl/>
        </w:rPr>
        <w:t>مة</w:t>
      </w:r>
      <w:r w:rsidRPr="001C1BD9">
        <w:rPr>
          <w:rFonts w:cs="DanaFajr" w:hint="cs"/>
          <w:sz w:val="28"/>
          <w:szCs w:val="28"/>
          <w:rtl/>
        </w:rPr>
        <w:t>)</w:t>
      </w:r>
      <w:r w:rsidRPr="001C1BD9">
        <w:rPr>
          <w:rFonts w:cs="DanaFajr"/>
          <w:sz w:val="28"/>
          <w:szCs w:val="28"/>
          <w:rtl/>
        </w:rPr>
        <w:t xml:space="preserve"> 1: 3</w:t>
      </w:r>
      <w:r w:rsidRPr="001C1BD9">
        <w:rPr>
          <w:rFonts w:cs="DanaFajr" w:hint="cs"/>
          <w:sz w:val="28"/>
          <w:szCs w:val="28"/>
          <w:rtl/>
        </w:rPr>
        <w:t>.</w:t>
      </w:r>
    </w:p>
  </w:endnote>
  <w:endnote w:id="721">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أبو الحسين البصري، المعتمد 2: 910، اعتنى بتحقيقه: محمد حميد الله وحسن حنفي، إصدار: المعهد العلمي الفرنسي، دمشق، 1964.</w:t>
      </w:r>
    </w:p>
  </w:endnote>
  <w:endnote w:id="722">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يراجع أطروحة </w:t>
      </w:r>
      <w:r w:rsidRPr="001C1BD9">
        <w:rPr>
          <w:rFonts w:cs="DanaFajr" w:hint="cs"/>
          <w:sz w:val="28"/>
          <w:szCs w:val="28"/>
          <w:rtl/>
        </w:rPr>
        <w:t>د.</w:t>
      </w:r>
      <w:r w:rsidRPr="001C1BD9">
        <w:rPr>
          <w:rFonts w:cs="DanaFajr"/>
          <w:sz w:val="28"/>
          <w:szCs w:val="28"/>
          <w:rtl/>
        </w:rPr>
        <w:t xml:space="preserve"> فهد الوهبي </w:t>
      </w:r>
      <w:r w:rsidRPr="001C1BD9">
        <w:rPr>
          <w:rFonts w:cs="DanaFajr" w:hint="cs"/>
          <w:sz w:val="28"/>
          <w:szCs w:val="28"/>
          <w:rtl/>
        </w:rPr>
        <w:t>(</w:t>
      </w:r>
      <w:r w:rsidRPr="001C1BD9">
        <w:rPr>
          <w:rFonts w:cs="DanaFajr"/>
          <w:sz w:val="28"/>
          <w:szCs w:val="28"/>
          <w:rtl/>
        </w:rPr>
        <w:t>المسائل المشتركة بين علوم القر</w:t>
      </w:r>
      <w:r w:rsidRPr="001C1BD9">
        <w:rPr>
          <w:rFonts w:cs="DanaFajr" w:hint="cs"/>
          <w:sz w:val="28"/>
          <w:szCs w:val="28"/>
          <w:rtl/>
        </w:rPr>
        <w:t>آ</w:t>
      </w:r>
      <w:r w:rsidRPr="001C1BD9">
        <w:rPr>
          <w:rFonts w:cs="DanaFajr"/>
          <w:sz w:val="28"/>
          <w:szCs w:val="28"/>
          <w:rtl/>
        </w:rPr>
        <w:t>ن وعلم أصول الفقه</w:t>
      </w:r>
      <w:r w:rsidRPr="001C1BD9">
        <w:rPr>
          <w:rFonts w:cs="DanaFajr" w:hint="cs"/>
          <w:sz w:val="28"/>
          <w:szCs w:val="28"/>
          <w:rtl/>
        </w:rPr>
        <w:t>)،</w:t>
      </w:r>
      <w:r w:rsidRPr="001C1BD9">
        <w:rPr>
          <w:rFonts w:cs="DanaFajr"/>
          <w:sz w:val="28"/>
          <w:szCs w:val="28"/>
          <w:rtl/>
        </w:rPr>
        <w:t xml:space="preserve"> وهي رسالة جامعية.</w:t>
      </w:r>
    </w:p>
  </w:endnote>
  <w:endnote w:id="723">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w:t>
      </w:r>
      <w:r w:rsidRPr="001C1BD9">
        <w:rPr>
          <w:rFonts w:cs="DanaFajr"/>
          <w:sz w:val="28"/>
          <w:szCs w:val="28"/>
          <w:rtl/>
        </w:rPr>
        <w:t xml:space="preserve"> محمد السيد جبريل</w:t>
      </w:r>
      <w:r w:rsidRPr="001C1BD9">
        <w:rPr>
          <w:rFonts w:cs="DanaFajr" w:hint="cs"/>
          <w:sz w:val="28"/>
          <w:szCs w:val="28"/>
          <w:rtl/>
        </w:rPr>
        <w:t>،</w:t>
      </w:r>
      <w:r w:rsidRPr="001C1BD9">
        <w:rPr>
          <w:rFonts w:cs="DanaFajr"/>
          <w:sz w:val="28"/>
          <w:szCs w:val="28"/>
          <w:rtl/>
        </w:rPr>
        <w:t xml:space="preserve"> مدخل إلى مناهج المفس</w:t>
      </w:r>
      <w:r w:rsidRPr="001C1BD9">
        <w:rPr>
          <w:rFonts w:cs="DanaFajr" w:hint="cs"/>
          <w:sz w:val="28"/>
          <w:szCs w:val="28"/>
          <w:rtl/>
        </w:rPr>
        <w:t>ِّ</w:t>
      </w:r>
      <w:r w:rsidRPr="001C1BD9">
        <w:rPr>
          <w:rFonts w:cs="DanaFajr"/>
          <w:sz w:val="28"/>
          <w:szCs w:val="28"/>
          <w:rtl/>
        </w:rPr>
        <w:t>رين: 98.</w:t>
      </w:r>
    </w:p>
  </w:endnote>
  <w:endnote w:id="724">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 xml:space="preserve">ابن حزم الأندلسي، </w:t>
      </w:r>
      <w:r w:rsidRPr="001C1BD9">
        <w:rPr>
          <w:rFonts w:cs="DanaFajr"/>
          <w:sz w:val="28"/>
          <w:szCs w:val="28"/>
          <w:rtl/>
        </w:rPr>
        <w:t>التقريب لحد</w:t>
      </w:r>
      <w:r w:rsidRPr="001C1BD9">
        <w:rPr>
          <w:rFonts w:cs="DanaFajr" w:hint="cs"/>
          <w:sz w:val="28"/>
          <w:szCs w:val="28"/>
          <w:rtl/>
        </w:rPr>
        <w:t>ّ</w:t>
      </w:r>
      <w:r w:rsidRPr="001C1BD9">
        <w:rPr>
          <w:rFonts w:cs="DanaFajr"/>
          <w:sz w:val="28"/>
          <w:szCs w:val="28"/>
          <w:rtl/>
        </w:rPr>
        <w:t xml:space="preserve"> المنطق</w:t>
      </w:r>
      <w:r w:rsidRPr="001C1BD9">
        <w:rPr>
          <w:rFonts w:cs="DanaFajr" w:hint="cs"/>
          <w:sz w:val="28"/>
          <w:szCs w:val="28"/>
          <w:rtl/>
        </w:rPr>
        <w:t xml:space="preserve">: </w:t>
      </w:r>
      <w:r w:rsidRPr="001C1BD9">
        <w:rPr>
          <w:rFonts w:cs="DanaFajr"/>
          <w:sz w:val="28"/>
          <w:szCs w:val="28"/>
          <w:rtl/>
        </w:rPr>
        <w:t>122</w:t>
      </w:r>
      <w:r w:rsidRPr="001C1BD9">
        <w:rPr>
          <w:rFonts w:cs="DanaFajr" w:hint="cs"/>
          <w:sz w:val="28"/>
          <w:szCs w:val="28"/>
          <w:rtl/>
        </w:rPr>
        <w:t>.</w:t>
      </w:r>
    </w:p>
  </w:endnote>
  <w:endnote w:id="725">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المصدر السابق: 282.</w:t>
      </w:r>
    </w:p>
  </w:endnote>
  <w:endnote w:id="726">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ابن حزم الأندلسي، الإحكام في أصول الأحكام 8: 101، تحقيق: أحمد محمد شاكر، دار الآفاق الجديدة، 1980م.</w:t>
      </w:r>
    </w:p>
  </w:endnote>
  <w:endnote w:id="727">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الخطاب الشرعي وطرق استثماره: 476. </w:t>
      </w:r>
    </w:p>
  </w:endnote>
  <w:endnote w:id="728">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 عبد الحميد العلمي،</w:t>
      </w:r>
      <w:r w:rsidRPr="001C1BD9">
        <w:rPr>
          <w:rFonts w:cs="DanaFajr"/>
          <w:sz w:val="28"/>
          <w:szCs w:val="28"/>
          <w:rtl/>
        </w:rPr>
        <w:t xml:space="preserve"> مصطلح اللفظ عند </w:t>
      </w:r>
      <w:r w:rsidRPr="001C1BD9">
        <w:rPr>
          <w:rFonts w:cs="DanaFajr" w:hint="cs"/>
          <w:sz w:val="28"/>
          <w:szCs w:val="28"/>
          <w:rtl/>
        </w:rPr>
        <w:t>الأصوليين</w:t>
      </w:r>
      <w:r w:rsidRPr="001C1BD9">
        <w:rPr>
          <w:rFonts w:cs="DanaFajr"/>
          <w:sz w:val="28"/>
          <w:szCs w:val="28"/>
          <w:rtl/>
        </w:rPr>
        <w:t>: 36</w:t>
      </w:r>
      <w:r w:rsidRPr="001C1BD9">
        <w:rPr>
          <w:rFonts w:cs="DanaFajr" w:hint="cs"/>
          <w:sz w:val="28"/>
          <w:szCs w:val="28"/>
          <w:rtl/>
        </w:rPr>
        <w:t>.</w:t>
      </w:r>
    </w:p>
  </w:endnote>
  <w:endnote w:id="729">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يراج</w:t>
      </w:r>
      <w:r w:rsidRPr="001C1BD9">
        <w:rPr>
          <w:rFonts w:cs="DanaFajr" w:hint="cs"/>
          <w:sz w:val="28"/>
          <w:szCs w:val="28"/>
          <w:rtl/>
        </w:rPr>
        <w:t>َ</w:t>
      </w:r>
      <w:r w:rsidRPr="001C1BD9">
        <w:rPr>
          <w:rFonts w:cs="DanaFajr"/>
          <w:sz w:val="28"/>
          <w:szCs w:val="28"/>
          <w:rtl/>
        </w:rPr>
        <w:t>ع</w:t>
      </w:r>
      <w:r w:rsidRPr="001C1BD9">
        <w:rPr>
          <w:rFonts w:cs="DanaFajr" w:hint="cs"/>
          <w:sz w:val="28"/>
          <w:szCs w:val="28"/>
          <w:rtl/>
        </w:rPr>
        <w:t>ْ</w:t>
      </w:r>
      <w:r w:rsidRPr="001C1BD9">
        <w:rPr>
          <w:rFonts w:cs="DanaFajr"/>
          <w:sz w:val="28"/>
          <w:szCs w:val="28"/>
          <w:rtl/>
        </w:rPr>
        <w:t>:</w:t>
      </w:r>
    </w:p>
    <w:p w:rsidR="00C14EDE" w:rsidRPr="001C1BD9" w:rsidRDefault="00C14EDE" w:rsidP="001C1BD9">
      <w:pPr>
        <w:pStyle w:val="af7"/>
        <w:spacing w:line="296" w:lineRule="exact"/>
        <w:ind w:firstLine="0"/>
        <w:rPr>
          <w:rFonts w:cs="DanaFajr"/>
          <w:sz w:val="28"/>
          <w:szCs w:val="28"/>
          <w:rtl/>
        </w:rPr>
      </w:pPr>
      <w:r w:rsidRPr="001C1BD9">
        <w:rPr>
          <w:rFonts w:cs="DanaFajr" w:hint="cs"/>
          <w:sz w:val="28"/>
          <w:szCs w:val="28"/>
          <w:rtl/>
        </w:rPr>
        <w:t>1ـ مليكة جفان،</w:t>
      </w:r>
      <w:r w:rsidRPr="001C1BD9">
        <w:rPr>
          <w:rFonts w:cs="DanaFajr"/>
          <w:sz w:val="28"/>
          <w:szCs w:val="28"/>
          <w:rtl/>
        </w:rPr>
        <w:t xml:space="preserve"> من قضايا اللفظ والمعنى بين اللغويين والبلاغيين، موقع ديوان العرب على الشبكة العنكبوتية</w:t>
      </w:r>
      <w:r w:rsidRPr="001C1BD9">
        <w:rPr>
          <w:rFonts w:cs="DanaFajr" w:hint="cs"/>
          <w:sz w:val="28"/>
          <w:szCs w:val="28"/>
          <w:rtl/>
        </w:rPr>
        <w:t>.</w:t>
      </w:r>
    </w:p>
    <w:p w:rsidR="00C14EDE" w:rsidRPr="001C1BD9" w:rsidRDefault="00C14EDE" w:rsidP="001C1BD9">
      <w:pPr>
        <w:pStyle w:val="af7"/>
        <w:spacing w:line="296" w:lineRule="exact"/>
        <w:ind w:firstLine="0"/>
        <w:rPr>
          <w:rFonts w:cs="DanaFajr"/>
          <w:sz w:val="28"/>
          <w:szCs w:val="28"/>
          <w:rtl/>
        </w:rPr>
      </w:pPr>
      <w:r w:rsidRPr="001C1BD9">
        <w:rPr>
          <w:rFonts w:cs="DanaFajr" w:hint="cs"/>
          <w:sz w:val="28"/>
          <w:szCs w:val="28"/>
          <w:rtl/>
        </w:rPr>
        <w:t>2</w:t>
      </w:r>
      <w:r w:rsidRPr="001C1BD9">
        <w:rPr>
          <w:rFonts w:cs="DanaFajr"/>
          <w:sz w:val="28"/>
          <w:szCs w:val="28"/>
          <w:rtl/>
        </w:rPr>
        <w:t>ـ مفهوم المعنى</w:t>
      </w:r>
      <w:r w:rsidRPr="001C1BD9">
        <w:rPr>
          <w:rFonts w:cs="DanaFajr" w:hint="cs"/>
          <w:sz w:val="28"/>
          <w:szCs w:val="28"/>
          <w:rtl/>
        </w:rPr>
        <w:t>،</w:t>
      </w:r>
      <w:r w:rsidRPr="001C1BD9">
        <w:rPr>
          <w:rFonts w:cs="DanaFajr"/>
          <w:sz w:val="28"/>
          <w:szCs w:val="28"/>
          <w:rtl/>
        </w:rPr>
        <w:t xml:space="preserve"> دراسة</w:t>
      </w:r>
      <w:r w:rsidRPr="001C1BD9">
        <w:rPr>
          <w:rFonts w:cs="DanaFajr" w:hint="cs"/>
          <w:sz w:val="28"/>
          <w:szCs w:val="28"/>
          <w:rtl/>
        </w:rPr>
        <w:t>ٌ</w:t>
      </w:r>
      <w:r w:rsidRPr="001C1BD9">
        <w:rPr>
          <w:rFonts w:cs="DanaFajr"/>
          <w:sz w:val="28"/>
          <w:szCs w:val="28"/>
          <w:rtl/>
        </w:rPr>
        <w:t xml:space="preserve"> تحليلية</w:t>
      </w:r>
      <w:r w:rsidRPr="001C1BD9">
        <w:rPr>
          <w:rFonts w:cs="DanaFajr" w:hint="cs"/>
          <w:sz w:val="28"/>
          <w:szCs w:val="28"/>
          <w:rtl/>
        </w:rPr>
        <w:t xml:space="preserve">: </w:t>
      </w:r>
      <w:r w:rsidRPr="001C1BD9">
        <w:rPr>
          <w:rFonts w:cs="DanaFajr"/>
          <w:sz w:val="28"/>
          <w:szCs w:val="28"/>
          <w:rtl/>
        </w:rPr>
        <w:t>29.</w:t>
      </w:r>
    </w:p>
    <w:p w:rsidR="00C14EDE" w:rsidRPr="001C1BD9" w:rsidRDefault="00C14EDE" w:rsidP="001C1BD9">
      <w:pPr>
        <w:pStyle w:val="af7"/>
        <w:spacing w:line="296" w:lineRule="exact"/>
        <w:ind w:firstLine="0"/>
        <w:rPr>
          <w:rFonts w:cs="DanaFajr"/>
          <w:sz w:val="28"/>
          <w:szCs w:val="28"/>
          <w:rtl/>
        </w:rPr>
      </w:pPr>
      <w:r w:rsidRPr="001C1BD9">
        <w:rPr>
          <w:rFonts w:cs="DanaFajr" w:hint="cs"/>
          <w:sz w:val="28"/>
          <w:szCs w:val="28"/>
          <w:rtl/>
        </w:rPr>
        <w:t>3</w:t>
      </w:r>
      <w:r w:rsidRPr="001C1BD9">
        <w:rPr>
          <w:rFonts w:cs="DanaFajr"/>
          <w:sz w:val="28"/>
          <w:szCs w:val="28"/>
          <w:rtl/>
        </w:rPr>
        <w:t>ـ دراسة المعنى عند الأصولي</w:t>
      </w:r>
      <w:r w:rsidRPr="001C1BD9">
        <w:rPr>
          <w:rFonts w:cs="DanaFajr" w:hint="cs"/>
          <w:sz w:val="28"/>
          <w:szCs w:val="28"/>
          <w:rtl/>
        </w:rPr>
        <w:t>ّ</w:t>
      </w:r>
      <w:r w:rsidRPr="001C1BD9">
        <w:rPr>
          <w:rFonts w:cs="DanaFajr"/>
          <w:sz w:val="28"/>
          <w:szCs w:val="28"/>
          <w:rtl/>
        </w:rPr>
        <w:t xml:space="preserve">ين: 87 ـ 88. </w:t>
      </w:r>
    </w:p>
  </w:endnote>
  <w:endnote w:id="730">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 محمد عابد الجابري،</w:t>
      </w:r>
      <w:r w:rsidRPr="001C1BD9">
        <w:rPr>
          <w:rFonts w:cs="DanaFajr"/>
          <w:sz w:val="28"/>
          <w:szCs w:val="28"/>
          <w:rtl/>
        </w:rPr>
        <w:t xml:space="preserve"> اللفظ والمعنى</w:t>
      </w:r>
      <w:r w:rsidRPr="001C1BD9">
        <w:rPr>
          <w:rFonts w:cs="DanaFajr" w:hint="cs"/>
          <w:sz w:val="28"/>
          <w:szCs w:val="28"/>
          <w:rtl/>
        </w:rPr>
        <w:t xml:space="preserve"> في البيان العربي: 31.</w:t>
      </w:r>
    </w:p>
  </w:endnote>
  <w:endnote w:id="731">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w:t>
      </w:r>
      <w:r w:rsidRPr="001C1BD9">
        <w:rPr>
          <w:rFonts w:cs="DanaFajr"/>
          <w:sz w:val="28"/>
          <w:szCs w:val="28"/>
          <w:rtl/>
        </w:rPr>
        <w:t>ابن حزم</w:t>
      </w:r>
      <w:r w:rsidRPr="001C1BD9">
        <w:rPr>
          <w:rFonts w:cs="DanaFajr" w:hint="cs"/>
          <w:sz w:val="28"/>
          <w:szCs w:val="28"/>
          <w:rtl/>
        </w:rPr>
        <w:t>،</w:t>
      </w:r>
      <w:r w:rsidRPr="001C1BD9">
        <w:rPr>
          <w:rFonts w:cs="DanaFajr"/>
          <w:sz w:val="28"/>
          <w:szCs w:val="28"/>
          <w:rtl/>
        </w:rPr>
        <w:t xml:space="preserve"> الإحكام في أصول الأحكام 8: 20</w:t>
      </w:r>
      <w:r w:rsidRPr="001C1BD9">
        <w:rPr>
          <w:rFonts w:cs="DanaFajr" w:hint="cs"/>
          <w:sz w:val="28"/>
          <w:szCs w:val="28"/>
          <w:rtl/>
        </w:rPr>
        <w:t>.</w:t>
      </w:r>
    </w:p>
  </w:endnote>
  <w:endnote w:id="732">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محمد عابد الجابري،</w:t>
      </w:r>
      <w:r w:rsidRPr="001C1BD9">
        <w:rPr>
          <w:rFonts w:cs="DanaFajr"/>
          <w:sz w:val="28"/>
          <w:szCs w:val="28"/>
          <w:rtl/>
        </w:rPr>
        <w:t xml:space="preserve"> بنية العقل العربي: 56</w:t>
      </w:r>
      <w:r w:rsidRPr="001C1BD9">
        <w:rPr>
          <w:rFonts w:cs="DanaFajr" w:hint="cs"/>
          <w:sz w:val="28"/>
          <w:szCs w:val="28"/>
          <w:rtl/>
        </w:rPr>
        <w:t>.</w:t>
      </w:r>
    </w:p>
  </w:endnote>
  <w:endnote w:id="733">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الإمام الشاطبي،</w:t>
      </w:r>
      <w:r w:rsidRPr="001C1BD9">
        <w:rPr>
          <w:rFonts w:cs="DanaFajr"/>
          <w:sz w:val="28"/>
          <w:szCs w:val="28"/>
          <w:rtl/>
        </w:rPr>
        <w:t xml:space="preserve"> الموافقات 4: 114. </w:t>
      </w:r>
    </w:p>
  </w:endnote>
  <w:endnote w:id="734">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إمام الحرمين،</w:t>
      </w:r>
      <w:r w:rsidRPr="001C1BD9">
        <w:rPr>
          <w:rFonts w:cs="DanaFajr"/>
          <w:sz w:val="28"/>
          <w:szCs w:val="28"/>
          <w:rtl/>
        </w:rPr>
        <w:t xml:space="preserve"> البرهان في علم أصول الفقه</w:t>
      </w:r>
      <w:r w:rsidRPr="001C1BD9">
        <w:rPr>
          <w:rFonts w:cs="DanaFajr" w:hint="cs"/>
          <w:sz w:val="28"/>
          <w:szCs w:val="28"/>
          <w:rtl/>
        </w:rPr>
        <w:t xml:space="preserve"> </w:t>
      </w:r>
      <w:r w:rsidRPr="001C1BD9">
        <w:rPr>
          <w:rFonts w:cs="DanaFajr"/>
          <w:sz w:val="28"/>
          <w:szCs w:val="28"/>
          <w:rtl/>
        </w:rPr>
        <w:t xml:space="preserve">1: 169. </w:t>
      </w:r>
    </w:p>
  </w:endnote>
  <w:endnote w:id="735">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عائشة بنت الشاطئ،</w:t>
      </w:r>
      <w:r w:rsidRPr="001C1BD9">
        <w:rPr>
          <w:rFonts w:cs="DanaFajr"/>
          <w:sz w:val="28"/>
          <w:szCs w:val="28"/>
          <w:rtl/>
        </w:rPr>
        <w:t xml:space="preserve"> مقد</w:t>
      </w:r>
      <w:r w:rsidRPr="001C1BD9">
        <w:rPr>
          <w:rFonts w:cs="DanaFajr" w:hint="cs"/>
          <w:sz w:val="28"/>
          <w:szCs w:val="28"/>
          <w:rtl/>
        </w:rPr>
        <w:t>ّ</w:t>
      </w:r>
      <w:r w:rsidRPr="001C1BD9">
        <w:rPr>
          <w:rFonts w:cs="DanaFajr"/>
          <w:sz w:val="28"/>
          <w:szCs w:val="28"/>
          <w:rtl/>
        </w:rPr>
        <w:t>مة في المنهج: 123</w:t>
      </w:r>
      <w:r w:rsidRPr="001C1BD9">
        <w:rPr>
          <w:rFonts w:cs="DanaFajr" w:hint="cs"/>
          <w:sz w:val="28"/>
          <w:szCs w:val="28"/>
          <w:rtl/>
        </w:rPr>
        <w:t>.</w:t>
      </w:r>
    </w:p>
  </w:endnote>
  <w:endnote w:id="736">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ال</w:t>
      </w:r>
      <w:r w:rsidRPr="001C1BD9">
        <w:rPr>
          <w:rFonts w:cs="DanaFajr"/>
          <w:sz w:val="28"/>
          <w:szCs w:val="28"/>
          <w:rtl/>
        </w:rPr>
        <w:t>تفسير الكبير</w:t>
      </w:r>
      <w:r w:rsidRPr="001C1BD9">
        <w:rPr>
          <w:rFonts w:cs="DanaFajr" w:hint="cs"/>
          <w:sz w:val="28"/>
          <w:szCs w:val="28"/>
          <w:rtl/>
        </w:rPr>
        <w:t xml:space="preserve"> لفحر الدين الرازي</w:t>
      </w:r>
      <w:r w:rsidRPr="001C1BD9">
        <w:rPr>
          <w:rFonts w:cs="DanaFajr"/>
          <w:sz w:val="28"/>
          <w:szCs w:val="28"/>
          <w:rtl/>
        </w:rPr>
        <w:t>: 1: 23</w:t>
      </w:r>
    </w:p>
  </w:endnote>
  <w:endnote w:id="737">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w:t>
      </w:r>
      <w:r w:rsidRPr="001C1BD9">
        <w:rPr>
          <w:rFonts w:cs="DanaFajr"/>
          <w:sz w:val="28"/>
          <w:szCs w:val="28"/>
          <w:rtl/>
        </w:rPr>
        <w:t xml:space="preserve"> حمو النقاري</w:t>
      </w:r>
      <w:r w:rsidRPr="001C1BD9">
        <w:rPr>
          <w:rFonts w:cs="DanaFajr" w:hint="cs"/>
          <w:sz w:val="28"/>
          <w:szCs w:val="28"/>
          <w:rtl/>
        </w:rPr>
        <w:t>،</w:t>
      </w:r>
      <w:r w:rsidRPr="001C1BD9">
        <w:rPr>
          <w:rFonts w:cs="DanaFajr"/>
          <w:sz w:val="28"/>
          <w:szCs w:val="28"/>
          <w:rtl/>
        </w:rPr>
        <w:t xml:space="preserve"> المنهجية الأصولية والمنطق اليوناني: 42</w:t>
      </w:r>
      <w:r w:rsidRPr="001C1BD9">
        <w:rPr>
          <w:rFonts w:cs="DanaFajr" w:hint="cs"/>
          <w:sz w:val="28"/>
          <w:szCs w:val="28"/>
          <w:rtl/>
        </w:rPr>
        <w:t>.</w:t>
      </w:r>
    </w:p>
  </w:endnote>
  <w:endnote w:id="738">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w:t>
      </w:r>
      <w:r w:rsidRPr="001C1BD9">
        <w:rPr>
          <w:rFonts w:cs="DanaFajr"/>
          <w:sz w:val="28"/>
          <w:szCs w:val="28"/>
          <w:rtl/>
        </w:rPr>
        <w:t>لغزالي</w:t>
      </w:r>
      <w:r w:rsidRPr="001C1BD9">
        <w:rPr>
          <w:rFonts w:cs="DanaFajr" w:hint="cs"/>
          <w:sz w:val="28"/>
          <w:szCs w:val="28"/>
          <w:rtl/>
        </w:rPr>
        <w:t>،</w:t>
      </w:r>
      <w:r w:rsidRPr="001C1BD9">
        <w:rPr>
          <w:rFonts w:cs="DanaFajr"/>
          <w:sz w:val="28"/>
          <w:szCs w:val="28"/>
          <w:rtl/>
        </w:rPr>
        <w:t xml:space="preserve"> المستصفى 2: 72. </w:t>
      </w:r>
    </w:p>
  </w:endnote>
  <w:endnote w:id="739">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المصدر السابق</w:t>
      </w:r>
      <w:r w:rsidRPr="001C1BD9">
        <w:rPr>
          <w:rFonts w:cs="DanaFajr"/>
          <w:sz w:val="28"/>
          <w:szCs w:val="28"/>
          <w:rtl/>
        </w:rPr>
        <w:t xml:space="preserve"> 1: 73.</w:t>
      </w:r>
    </w:p>
  </w:endnote>
  <w:endnote w:id="740">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الدرس الدلالي عند الإمام الشاطبي 1: 33</w:t>
      </w:r>
      <w:r w:rsidRPr="001C1BD9">
        <w:rPr>
          <w:rFonts w:cs="DanaFajr" w:hint="cs"/>
          <w:sz w:val="28"/>
          <w:szCs w:val="28"/>
          <w:rtl/>
        </w:rPr>
        <w:t>.</w:t>
      </w:r>
    </w:p>
  </w:endnote>
  <w:endnote w:id="741">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أبو الحسين البصري،</w:t>
      </w:r>
      <w:r w:rsidRPr="001C1BD9">
        <w:rPr>
          <w:rFonts w:cs="DanaFajr"/>
          <w:sz w:val="28"/>
          <w:szCs w:val="28"/>
          <w:rtl/>
        </w:rPr>
        <w:t xml:space="preserve"> المعتمد 2: 910</w:t>
      </w:r>
      <w:r w:rsidRPr="001C1BD9">
        <w:rPr>
          <w:rFonts w:cs="DanaFajr" w:hint="cs"/>
          <w:sz w:val="28"/>
          <w:szCs w:val="28"/>
          <w:rtl/>
        </w:rPr>
        <w:t>.</w:t>
      </w:r>
    </w:p>
  </w:endnote>
  <w:endnote w:id="742">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فتحي الدريني،</w:t>
      </w:r>
      <w:r w:rsidRPr="001C1BD9">
        <w:rPr>
          <w:rFonts w:cs="DanaFajr"/>
          <w:sz w:val="28"/>
          <w:szCs w:val="28"/>
          <w:rtl/>
        </w:rPr>
        <w:t xml:space="preserve"> المناهج الأصولية في الاجتهاد بالرأي في التشريع الإسلامي</w:t>
      </w:r>
      <w:r w:rsidRPr="001C1BD9">
        <w:rPr>
          <w:rFonts w:cs="DanaFajr" w:hint="cs"/>
          <w:sz w:val="28"/>
          <w:szCs w:val="28"/>
          <w:rtl/>
        </w:rPr>
        <w:t>ّ</w:t>
      </w:r>
      <w:r w:rsidRPr="001C1BD9">
        <w:rPr>
          <w:rFonts w:cs="DanaFajr"/>
          <w:sz w:val="28"/>
          <w:szCs w:val="28"/>
          <w:rtl/>
        </w:rPr>
        <w:t xml:space="preserve">: 268. </w:t>
      </w:r>
    </w:p>
    <w:p w:rsidR="00C14EDE" w:rsidRPr="001C1BD9" w:rsidRDefault="00C14EDE" w:rsidP="001C1BD9">
      <w:pPr>
        <w:pStyle w:val="af7"/>
        <w:spacing w:line="296" w:lineRule="exact"/>
        <w:ind w:firstLine="0"/>
        <w:rPr>
          <w:rFonts w:cs="DanaFajr"/>
          <w:sz w:val="28"/>
          <w:szCs w:val="28"/>
          <w:rtl/>
        </w:rPr>
      </w:pPr>
      <w:r w:rsidRPr="001C1BD9">
        <w:rPr>
          <w:rFonts w:cs="DanaFajr" w:hint="cs"/>
          <w:sz w:val="28"/>
          <w:szCs w:val="28"/>
          <w:rtl/>
        </w:rPr>
        <w:t>و</w:t>
      </w:r>
      <w:r w:rsidRPr="001C1BD9">
        <w:rPr>
          <w:rFonts w:cs="DanaFajr"/>
          <w:sz w:val="28"/>
          <w:szCs w:val="28"/>
          <w:rtl/>
        </w:rPr>
        <w:t>ي</w:t>
      </w:r>
      <w:r w:rsidRPr="001C1BD9">
        <w:rPr>
          <w:rFonts w:cs="DanaFajr" w:hint="cs"/>
          <w:sz w:val="28"/>
          <w:szCs w:val="28"/>
          <w:rtl/>
        </w:rPr>
        <w:t>ُ</w:t>
      </w:r>
      <w:r w:rsidRPr="001C1BD9">
        <w:rPr>
          <w:rFonts w:cs="DanaFajr"/>
          <w:sz w:val="28"/>
          <w:szCs w:val="28"/>
          <w:rtl/>
        </w:rPr>
        <w:t>راجع كذلك:</w:t>
      </w:r>
    </w:p>
    <w:p w:rsidR="00C14EDE" w:rsidRPr="001C1BD9" w:rsidRDefault="00C14EDE" w:rsidP="001C1BD9">
      <w:pPr>
        <w:pStyle w:val="af7"/>
        <w:spacing w:line="296" w:lineRule="exact"/>
        <w:ind w:firstLine="0"/>
        <w:rPr>
          <w:rFonts w:cs="DanaFajr"/>
          <w:sz w:val="28"/>
          <w:szCs w:val="28"/>
          <w:rtl/>
        </w:rPr>
      </w:pPr>
      <w:r w:rsidRPr="001C1BD9">
        <w:rPr>
          <w:rFonts w:cs="DanaFajr" w:hint="cs"/>
          <w:sz w:val="28"/>
          <w:szCs w:val="28"/>
          <w:rtl/>
        </w:rPr>
        <w:t xml:space="preserve">1ـ </w:t>
      </w:r>
      <w:r w:rsidRPr="001C1BD9">
        <w:rPr>
          <w:rFonts w:cs="DanaFajr"/>
          <w:sz w:val="28"/>
          <w:szCs w:val="28"/>
          <w:rtl/>
        </w:rPr>
        <w:t>أحمد الكبيسي</w:t>
      </w:r>
      <w:r w:rsidRPr="001C1BD9">
        <w:rPr>
          <w:rFonts w:cs="DanaFajr" w:hint="cs"/>
          <w:sz w:val="28"/>
          <w:szCs w:val="28"/>
          <w:rtl/>
        </w:rPr>
        <w:t>،</w:t>
      </w:r>
      <w:r w:rsidRPr="001C1BD9">
        <w:rPr>
          <w:rFonts w:cs="DanaFajr"/>
          <w:sz w:val="28"/>
          <w:szCs w:val="28"/>
          <w:rtl/>
        </w:rPr>
        <w:t xml:space="preserve"> الدلالة وتفسير النص</w:t>
      </w:r>
      <w:r w:rsidRPr="001C1BD9">
        <w:rPr>
          <w:rFonts w:cs="DanaFajr" w:hint="cs"/>
          <w:sz w:val="28"/>
          <w:szCs w:val="28"/>
          <w:rtl/>
        </w:rPr>
        <w:t>ّ،</w:t>
      </w:r>
      <w:r w:rsidRPr="001C1BD9">
        <w:rPr>
          <w:rFonts w:cs="DanaFajr"/>
          <w:sz w:val="28"/>
          <w:szCs w:val="28"/>
          <w:rtl/>
        </w:rPr>
        <w:t xml:space="preserve"> مجلة كل</w:t>
      </w:r>
      <w:r w:rsidRPr="001C1BD9">
        <w:rPr>
          <w:rFonts w:cs="DanaFajr" w:hint="cs"/>
          <w:sz w:val="28"/>
          <w:szCs w:val="28"/>
          <w:rtl/>
        </w:rPr>
        <w:t>ِّ</w:t>
      </w:r>
      <w:r w:rsidRPr="001C1BD9">
        <w:rPr>
          <w:rFonts w:cs="DanaFajr"/>
          <w:sz w:val="28"/>
          <w:szCs w:val="28"/>
          <w:rtl/>
        </w:rPr>
        <w:t>ية الشريعة العراقية</w:t>
      </w:r>
      <w:r w:rsidRPr="001C1BD9">
        <w:rPr>
          <w:rFonts w:cs="DanaFajr" w:hint="cs"/>
          <w:sz w:val="28"/>
          <w:szCs w:val="28"/>
          <w:rtl/>
        </w:rPr>
        <w:t>، العدد</w:t>
      </w:r>
      <w:r w:rsidRPr="001C1BD9">
        <w:rPr>
          <w:rFonts w:cs="DanaFajr"/>
          <w:sz w:val="28"/>
          <w:szCs w:val="28"/>
          <w:rtl/>
        </w:rPr>
        <w:t xml:space="preserve"> 6، 1986</w:t>
      </w:r>
      <w:r w:rsidRPr="001C1BD9">
        <w:rPr>
          <w:rFonts w:cs="DanaFajr" w:hint="cs"/>
          <w:sz w:val="28"/>
          <w:szCs w:val="28"/>
          <w:rtl/>
        </w:rPr>
        <w:t>م</w:t>
      </w:r>
      <w:r w:rsidRPr="001C1BD9">
        <w:rPr>
          <w:rFonts w:cs="DanaFajr"/>
          <w:sz w:val="28"/>
          <w:szCs w:val="28"/>
          <w:rtl/>
        </w:rPr>
        <w:t xml:space="preserve">. </w:t>
      </w:r>
    </w:p>
    <w:p w:rsidR="00C14EDE" w:rsidRPr="001C1BD9" w:rsidRDefault="00C14EDE" w:rsidP="001C1BD9">
      <w:pPr>
        <w:pStyle w:val="af7"/>
        <w:spacing w:line="296" w:lineRule="exact"/>
        <w:ind w:firstLine="0"/>
        <w:rPr>
          <w:rFonts w:cs="DanaFajr"/>
          <w:sz w:val="28"/>
          <w:szCs w:val="28"/>
          <w:rtl/>
        </w:rPr>
      </w:pPr>
      <w:r w:rsidRPr="001C1BD9">
        <w:rPr>
          <w:rFonts w:cs="DanaFajr" w:hint="cs"/>
          <w:sz w:val="28"/>
          <w:szCs w:val="28"/>
          <w:rtl/>
        </w:rPr>
        <w:t>2</w:t>
      </w:r>
      <w:r w:rsidRPr="001C1BD9">
        <w:rPr>
          <w:rFonts w:cs="DanaFajr"/>
          <w:sz w:val="28"/>
          <w:szCs w:val="28"/>
          <w:rtl/>
        </w:rPr>
        <w:t>ـ حبلص محمد يوسف</w:t>
      </w:r>
      <w:r w:rsidRPr="001C1BD9">
        <w:rPr>
          <w:rFonts w:cs="DanaFajr" w:hint="cs"/>
          <w:sz w:val="28"/>
          <w:szCs w:val="28"/>
          <w:rtl/>
        </w:rPr>
        <w:t>،</w:t>
      </w:r>
      <w:r w:rsidRPr="001C1BD9">
        <w:rPr>
          <w:rFonts w:cs="DanaFajr"/>
          <w:sz w:val="28"/>
          <w:szCs w:val="28"/>
          <w:rtl/>
        </w:rPr>
        <w:t xml:space="preserve"> البحث الدلالي عند الأصوليين، مكتبة عام الكتب، مصر</w:t>
      </w:r>
      <w:r w:rsidRPr="001C1BD9">
        <w:rPr>
          <w:rFonts w:cs="DanaFajr" w:hint="cs"/>
          <w:sz w:val="28"/>
          <w:szCs w:val="28"/>
          <w:rtl/>
        </w:rPr>
        <w:t>،</w:t>
      </w:r>
      <w:r w:rsidRPr="001C1BD9">
        <w:rPr>
          <w:rFonts w:cs="DanaFajr"/>
          <w:sz w:val="28"/>
          <w:szCs w:val="28"/>
          <w:rtl/>
        </w:rPr>
        <w:t xml:space="preserve"> 1991</w:t>
      </w:r>
      <w:r w:rsidRPr="001C1BD9">
        <w:rPr>
          <w:rFonts w:cs="DanaFajr" w:hint="cs"/>
          <w:sz w:val="28"/>
          <w:szCs w:val="28"/>
          <w:rtl/>
        </w:rPr>
        <w:t>م</w:t>
      </w:r>
      <w:r w:rsidRPr="001C1BD9">
        <w:rPr>
          <w:rFonts w:cs="DanaFajr"/>
          <w:sz w:val="28"/>
          <w:szCs w:val="28"/>
          <w:rtl/>
        </w:rPr>
        <w:t xml:space="preserve">. </w:t>
      </w:r>
    </w:p>
  </w:endnote>
  <w:endnote w:id="743">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w:t>
      </w:r>
      <w:r w:rsidRPr="001C1BD9">
        <w:rPr>
          <w:rFonts w:cs="DanaFajr"/>
          <w:sz w:val="28"/>
          <w:szCs w:val="28"/>
          <w:rtl/>
        </w:rPr>
        <w:t>محمد سالم أبو عاصي</w:t>
      </w:r>
      <w:r w:rsidRPr="001C1BD9">
        <w:rPr>
          <w:rFonts w:cs="DanaFajr" w:hint="cs"/>
          <w:sz w:val="28"/>
          <w:szCs w:val="28"/>
          <w:rtl/>
        </w:rPr>
        <w:t>،</w:t>
      </w:r>
      <w:r w:rsidRPr="001C1BD9">
        <w:rPr>
          <w:rFonts w:cs="DanaFajr"/>
          <w:sz w:val="28"/>
          <w:szCs w:val="28"/>
          <w:rtl/>
        </w:rPr>
        <w:t xml:space="preserve"> الدلالات وأثرها في تفسير القرآن، دار علي للطباعة والنشر</w:t>
      </w:r>
      <w:r w:rsidRPr="001C1BD9">
        <w:rPr>
          <w:rFonts w:cs="DanaFajr" w:hint="cs"/>
          <w:sz w:val="28"/>
          <w:szCs w:val="28"/>
          <w:rtl/>
        </w:rPr>
        <w:t>،</w:t>
      </w:r>
      <w:r w:rsidRPr="001C1BD9">
        <w:rPr>
          <w:rFonts w:cs="DanaFajr"/>
          <w:sz w:val="28"/>
          <w:szCs w:val="28"/>
          <w:rtl/>
        </w:rPr>
        <w:t xml:space="preserve"> 1997</w:t>
      </w:r>
      <w:r w:rsidRPr="001C1BD9">
        <w:rPr>
          <w:rFonts w:cs="DanaFajr" w:hint="cs"/>
          <w:sz w:val="28"/>
          <w:szCs w:val="28"/>
          <w:rtl/>
        </w:rPr>
        <w:t>م</w:t>
      </w:r>
      <w:r w:rsidRPr="001C1BD9">
        <w:rPr>
          <w:rFonts w:cs="DanaFajr"/>
          <w:sz w:val="28"/>
          <w:szCs w:val="28"/>
          <w:rtl/>
        </w:rPr>
        <w:t xml:space="preserve">. </w:t>
      </w:r>
    </w:p>
  </w:endnote>
  <w:endnote w:id="744">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 xml:space="preserve">يُراجَع: </w:t>
      </w:r>
      <w:r w:rsidRPr="001C1BD9">
        <w:rPr>
          <w:rFonts w:cs="DanaFajr"/>
          <w:sz w:val="28"/>
          <w:szCs w:val="28"/>
          <w:rtl/>
        </w:rPr>
        <w:t>عمل</w:t>
      </w:r>
      <w:r w:rsidRPr="001C1BD9">
        <w:rPr>
          <w:rFonts w:cs="DanaFajr" w:hint="cs"/>
          <w:sz w:val="28"/>
          <w:szCs w:val="28"/>
          <w:rtl/>
        </w:rPr>
        <w:t>ٌ</w:t>
      </w:r>
      <w:r w:rsidRPr="001C1BD9">
        <w:rPr>
          <w:rFonts w:cs="DanaFajr"/>
          <w:sz w:val="28"/>
          <w:szCs w:val="28"/>
          <w:rtl/>
        </w:rPr>
        <w:t xml:space="preserve"> مشترك</w:t>
      </w:r>
      <w:r w:rsidRPr="001C1BD9">
        <w:rPr>
          <w:rFonts w:cs="DanaFajr" w:hint="cs"/>
          <w:sz w:val="28"/>
          <w:szCs w:val="28"/>
          <w:rtl/>
        </w:rPr>
        <w:t xml:space="preserve">، </w:t>
      </w:r>
      <w:r w:rsidRPr="001C1BD9">
        <w:rPr>
          <w:rFonts w:cs="DanaFajr"/>
          <w:sz w:val="28"/>
          <w:szCs w:val="28"/>
          <w:rtl/>
        </w:rPr>
        <w:t>أهم</w:t>
      </w:r>
      <w:r w:rsidRPr="001C1BD9">
        <w:rPr>
          <w:rFonts w:cs="DanaFajr" w:hint="cs"/>
          <w:sz w:val="28"/>
          <w:szCs w:val="28"/>
          <w:rtl/>
        </w:rPr>
        <w:t>ّ</w:t>
      </w:r>
      <w:r w:rsidRPr="001C1BD9">
        <w:rPr>
          <w:rFonts w:cs="DanaFajr"/>
          <w:sz w:val="28"/>
          <w:szCs w:val="28"/>
          <w:rtl/>
        </w:rPr>
        <w:t>ية اعتبار السياق في المجلات التشريعية</w:t>
      </w:r>
      <w:r w:rsidRPr="001C1BD9">
        <w:rPr>
          <w:rFonts w:cs="DanaFajr" w:hint="cs"/>
          <w:sz w:val="28"/>
          <w:szCs w:val="28"/>
          <w:rtl/>
        </w:rPr>
        <w:t xml:space="preserve">، </w:t>
      </w:r>
      <w:r w:rsidRPr="001C1BD9">
        <w:rPr>
          <w:rFonts w:cs="DanaFajr"/>
          <w:sz w:val="28"/>
          <w:szCs w:val="28"/>
          <w:rtl/>
        </w:rPr>
        <w:t>إصدار</w:t>
      </w:r>
      <w:r w:rsidRPr="001C1BD9">
        <w:rPr>
          <w:rFonts w:cs="DanaFajr" w:hint="cs"/>
          <w:sz w:val="28"/>
          <w:szCs w:val="28"/>
          <w:rtl/>
        </w:rPr>
        <w:t>:</w:t>
      </w:r>
      <w:r w:rsidRPr="001C1BD9">
        <w:rPr>
          <w:rFonts w:cs="DanaFajr"/>
          <w:sz w:val="28"/>
          <w:szCs w:val="28"/>
          <w:rtl/>
        </w:rPr>
        <w:t xml:space="preserve"> الرابطة المحمدية للعلماء</w:t>
      </w:r>
      <w:r w:rsidRPr="001C1BD9">
        <w:rPr>
          <w:rFonts w:cs="DanaFajr" w:hint="cs"/>
          <w:sz w:val="28"/>
          <w:szCs w:val="28"/>
          <w:rtl/>
        </w:rPr>
        <w:t>،</w:t>
      </w:r>
      <w:r w:rsidRPr="001C1BD9">
        <w:rPr>
          <w:rFonts w:cs="DanaFajr"/>
          <w:sz w:val="28"/>
          <w:szCs w:val="28"/>
          <w:rtl/>
        </w:rPr>
        <w:t xml:space="preserve"> المغرب</w:t>
      </w:r>
      <w:r w:rsidRPr="001C1BD9">
        <w:rPr>
          <w:rFonts w:cs="DanaFajr" w:hint="cs"/>
          <w:sz w:val="28"/>
          <w:szCs w:val="28"/>
          <w:rtl/>
        </w:rPr>
        <w:t xml:space="preserve">، </w:t>
      </w:r>
      <w:r w:rsidRPr="001C1BD9">
        <w:rPr>
          <w:rFonts w:cs="DanaFajr"/>
          <w:sz w:val="28"/>
          <w:szCs w:val="28"/>
          <w:rtl/>
        </w:rPr>
        <w:t>2007.</w:t>
      </w:r>
    </w:p>
  </w:endnote>
  <w:endnote w:id="745">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الإمام الشاطبي، الموافقات 2: 62.</w:t>
      </w:r>
    </w:p>
  </w:endnote>
  <w:endnote w:id="746">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المصدر السابق 2: 67.</w:t>
      </w:r>
    </w:p>
  </w:endnote>
  <w:endnote w:id="747">
    <w:p w:rsidR="00C14EDE" w:rsidRPr="001C1BD9" w:rsidRDefault="00C14EDE" w:rsidP="001C1BD9">
      <w:pPr>
        <w:pStyle w:val="af7"/>
        <w:spacing w:line="296" w:lineRule="exact"/>
        <w:ind w:firstLine="0"/>
        <w:rPr>
          <w:rFonts w:cs="DanaFajr"/>
          <w:sz w:val="28"/>
          <w:szCs w:val="28"/>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المصدر السابق 2: 66.</w:t>
      </w:r>
    </w:p>
  </w:endnote>
  <w:endnote w:id="748">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ابن دقيق العيد، إحكام الأحكام في شرح عمدة الحكّام 2: 19.</w:t>
      </w:r>
    </w:p>
  </w:endnote>
  <w:endnote w:id="749">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للوقوف على اجتهادات ابن القيِّم في الدلالة يُراجَع: د. إدريس بن خويا، ا</w:t>
      </w:r>
      <w:r w:rsidRPr="001C1BD9">
        <w:rPr>
          <w:rFonts w:cs="DanaFajr"/>
          <w:sz w:val="28"/>
          <w:szCs w:val="28"/>
          <w:rtl/>
        </w:rPr>
        <w:t>لدلالة</w:t>
      </w:r>
      <w:r w:rsidRPr="001C1BD9">
        <w:rPr>
          <w:rFonts w:cs="DanaFajr"/>
          <w:sz w:val="28"/>
          <w:szCs w:val="28"/>
        </w:rPr>
        <w:t> </w:t>
      </w:r>
      <w:r w:rsidRPr="001C1BD9">
        <w:rPr>
          <w:rFonts w:cs="DanaFajr"/>
          <w:sz w:val="28"/>
          <w:szCs w:val="28"/>
          <w:rtl/>
        </w:rPr>
        <w:t>النحوية في مؤل</w:t>
      </w:r>
      <w:r w:rsidRPr="001C1BD9">
        <w:rPr>
          <w:rFonts w:cs="DanaFajr" w:hint="cs"/>
          <w:sz w:val="28"/>
          <w:szCs w:val="28"/>
          <w:rtl/>
        </w:rPr>
        <w:t>َّ</w:t>
      </w:r>
      <w:r w:rsidRPr="001C1BD9">
        <w:rPr>
          <w:rFonts w:cs="DanaFajr"/>
          <w:sz w:val="28"/>
          <w:szCs w:val="28"/>
          <w:rtl/>
        </w:rPr>
        <w:t>فات</w:t>
      </w:r>
      <w:r w:rsidRPr="001C1BD9">
        <w:rPr>
          <w:rFonts w:cs="DanaFajr"/>
          <w:sz w:val="28"/>
          <w:szCs w:val="28"/>
        </w:rPr>
        <w:t> </w:t>
      </w:r>
      <w:r w:rsidRPr="001C1BD9">
        <w:rPr>
          <w:rFonts w:cs="DanaFajr"/>
          <w:sz w:val="28"/>
          <w:szCs w:val="28"/>
          <w:rtl/>
        </w:rPr>
        <w:t>ابن قي</w:t>
      </w:r>
      <w:r w:rsidRPr="001C1BD9">
        <w:rPr>
          <w:rFonts w:cs="DanaFajr" w:hint="cs"/>
          <w:sz w:val="28"/>
          <w:szCs w:val="28"/>
          <w:rtl/>
        </w:rPr>
        <w:t>ِّ</w:t>
      </w:r>
      <w:r w:rsidRPr="001C1BD9">
        <w:rPr>
          <w:rFonts w:cs="DanaFajr"/>
          <w:sz w:val="28"/>
          <w:szCs w:val="28"/>
          <w:rtl/>
        </w:rPr>
        <w:t>م</w:t>
      </w:r>
      <w:r w:rsidRPr="001C1BD9">
        <w:rPr>
          <w:rFonts w:cs="DanaFajr"/>
          <w:sz w:val="28"/>
          <w:szCs w:val="28"/>
        </w:rPr>
        <w:t> </w:t>
      </w:r>
      <w:r w:rsidRPr="001C1BD9">
        <w:rPr>
          <w:rFonts w:cs="DanaFajr"/>
          <w:sz w:val="28"/>
          <w:szCs w:val="28"/>
          <w:rtl/>
        </w:rPr>
        <w:t>الجوزية</w:t>
      </w:r>
      <w:r w:rsidRPr="001C1BD9">
        <w:rPr>
          <w:rFonts w:cs="DanaFajr" w:hint="cs"/>
          <w:sz w:val="28"/>
          <w:szCs w:val="28"/>
          <w:rtl/>
        </w:rPr>
        <w:t xml:space="preserve">، </w:t>
      </w:r>
      <w:r w:rsidRPr="001C1BD9">
        <w:rPr>
          <w:rFonts w:cs="DanaFajr"/>
          <w:sz w:val="28"/>
          <w:szCs w:val="28"/>
          <w:rtl/>
        </w:rPr>
        <w:t>دار الكتاب العربي، الجزائر، ط1، 2016</w:t>
      </w:r>
      <w:r w:rsidRPr="001C1BD9">
        <w:rPr>
          <w:rFonts w:cs="DanaFajr" w:hint="cs"/>
          <w:sz w:val="28"/>
          <w:szCs w:val="28"/>
          <w:rtl/>
        </w:rPr>
        <w:t>م.</w:t>
      </w:r>
    </w:p>
  </w:endnote>
  <w:endnote w:id="750">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ابن القيِّم، إعلام الموقعين 1: 351.</w:t>
      </w:r>
    </w:p>
    <w:p w:rsidR="00C14EDE" w:rsidRPr="001C1BD9" w:rsidRDefault="00C14EDE" w:rsidP="001C1BD9">
      <w:pPr>
        <w:pStyle w:val="af7"/>
        <w:spacing w:line="296" w:lineRule="exact"/>
        <w:ind w:firstLine="0"/>
        <w:rPr>
          <w:rFonts w:cs="DanaFajr"/>
          <w:sz w:val="28"/>
          <w:szCs w:val="28"/>
          <w:rtl/>
        </w:rPr>
      </w:pPr>
      <w:r w:rsidRPr="001C1BD9">
        <w:rPr>
          <w:rFonts w:cs="DanaFajr" w:hint="cs"/>
          <w:sz w:val="28"/>
          <w:szCs w:val="28"/>
          <w:rtl/>
        </w:rPr>
        <w:t>يُراجَع: د.إدريس بن خويا، كتاب علم الدلالة في التراث العربي والدرس اللساني الحديث: 44، عالم الكتاب الحديث، الأردن، 2016م.</w:t>
      </w:r>
    </w:p>
  </w:endnote>
  <w:endnote w:id="751">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الخطاب الشرعي وطرق استثماره: 146.</w:t>
      </w:r>
    </w:p>
  </w:endnote>
  <w:endnote w:id="752">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 xml:space="preserve">الإمام الشاطبي، </w:t>
      </w:r>
      <w:r w:rsidRPr="001C1BD9">
        <w:rPr>
          <w:rFonts w:cs="DanaFajr"/>
          <w:sz w:val="28"/>
          <w:szCs w:val="28"/>
          <w:rtl/>
        </w:rPr>
        <w:t>الموافقات 3: 116</w:t>
      </w:r>
      <w:r w:rsidRPr="001C1BD9">
        <w:rPr>
          <w:rFonts w:cs="DanaFajr" w:hint="cs"/>
          <w:sz w:val="28"/>
          <w:szCs w:val="28"/>
          <w:rtl/>
        </w:rPr>
        <w:t>.</w:t>
      </w:r>
    </w:p>
  </w:endnote>
  <w:endnote w:id="753">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إحكام الأحكام في شرح عمدة الأحكام 2: 19.</w:t>
      </w:r>
    </w:p>
  </w:endnote>
  <w:endnote w:id="754">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 السياق عند الأصوليين: 120</w:t>
      </w:r>
      <w:r w:rsidRPr="001C1BD9">
        <w:rPr>
          <w:rFonts w:cs="DanaFajr" w:hint="cs"/>
          <w:sz w:val="28"/>
          <w:szCs w:val="28"/>
          <w:rtl/>
        </w:rPr>
        <w:t xml:space="preserve">، </w:t>
      </w:r>
      <w:r w:rsidRPr="001C1BD9">
        <w:rPr>
          <w:rFonts w:cs="DanaFajr"/>
          <w:sz w:val="28"/>
          <w:szCs w:val="28"/>
          <w:rtl/>
        </w:rPr>
        <w:t>مجلة الإحياء المغربي</w:t>
      </w:r>
      <w:r w:rsidRPr="001C1BD9">
        <w:rPr>
          <w:rFonts w:cs="DanaFajr" w:hint="cs"/>
          <w:sz w:val="28"/>
          <w:szCs w:val="28"/>
          <w:rtl/>
        </w:rPr>
        <w:t>ّ</w:t>
      </w:r>
      <w:r w:rsidRPr="001C1BD9">
        <w:rPr>
          <w:rFonts w:cs="DanaFajr"/>
          <w:sz w:val="28"/>
          <w:szCs w:val="28"/>
          <w:rtl/>
        </w:rPr>
        <w:t>ة</w:t>
      </w:r>
      <w:r w:rsidRPr="001C1BD9">
        <w:rPr>
          <w:rFonts w:cs="DanaFajr" w:hint="cs"/>
          <w:sz w:val="28"/>
          <w:szCs w:val="28"/>
          <w:rtl/>
        </w:rPr>
        <w:t>،</w:t>
      </w:r>
      <w:r w:rsidRPr="001C1BD9">
        <w:rPr>
          <w:rFonts w:cs="DanaFajr"/>
          <w:sz w:val="28"/>
          <w:szCs w:val="28"/>
          <w:rtl/>
        </w:rPr>
        <w:t xml:space="preserve"> العدد 26</w:t>
      </w:r>
      <w:r w:rsidRPr="001C1BD9">
        <w:rPr>
          <w:rFonts w:cs="DanaFajr" w:hint="cs"/>
          <w:sz w:val="28"/>
          <w:szCs w:val="28"/>
          <w:rtl/>
        </w:rPr>
        <w:t xml:space="preserve">، </w:t>
      </w:r>
      <w:r w:rsidRPr="001C1BD9">
        <w:rPr>
          <w:rFonts w:cs="DanaFajr"/>
          <w:sz w:val="28"/>
          <w:szCs w:val="28"/>
          <w:rtl/>
        </w:rPr>
        <w:t>2007</w:t>
      </w:r>
      <w:r w:rsidRPr="001C1BD9">
        <w:rPr>
          <w:rFonts w:cs="DanaFajr" w:hint="cs"/>
          <w:sz w:val="28"/>
          <w:szCs w:val="28"/>
          <w:rtl/>
        </w:rPr>
        <w:t>م</w:t>
      </w:r>
      <w:r w:rsidRPr="001C1BD9">
        <w:rPr>
          <w:rFonts w:cs="DanaFajr"/>
          <w:sz w:val="28"/>
          <w:szCs w:val="28"/>
          <w:rtl/>
        </w:rPr>
        <w:t>.</w:t>
      </w:r>
    </w:p>
  </w:endnote>
  <w:endnote w:id="755">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w:t>
      </w:r>
      <w:r w:rsidRPr="001C1BD9">
        <w:rPr>
          <w:rFonts w:cs="DanaFajr" w:hint="eastAsia"/>
          <w:sz w:val="28"/>
          <w:szCs w:val="28"/>
          <w:rtl/>
        </w:rPr>
        <w:t>النصّ</w:t>
      </w:r>
      <w:r w:rsidRPr="001C1BD9">
        <w:rPr>
          <w:rFonts w:cs="DanaFajr"/>
          <w:sz w:val="28"/>
          <w:szCs w:val="28"/>
          <w:rtl/>
        </w:rPr>
        <w:t xml:space="preserve"> </w:t>
      </w:r>
      <w:r w:rsidRPr="001C1BD9">
        <w:rPr>
          <w:rFonts w:cs="DanaFajr" w:hint="eastAsia"/>
          <w:sz w:val="28"/>
          <w:szCs w:val="28"/>
          <w:rtl/>
        </w:rPr>
        <w:t>القرآني</w:t>
      </w:r>
      <w:r w:rsidRPr="001C1BD9">
        <w:rPr>
          <w:rFonts w:cs="DanaFajr"/>
          <w:sz w:val="28"/>
          <w:szCs w:val="28"/>
          <w:rtl/>
        </w:rPr>
        <w:t xml:space="preserve"> </w:t>
      </w:r>
      <w:r w:rsidRPr="001C1BD9">
        <w:rPr>
          <w:rFonts w:cs="DanaFajr" w:hint="eastAsia"/>
          <w:sz w:val="28"/>
          <w:szCs w:val="28"/>
          <w:rtl/>
        </w:rPr>
        <w:t>ومنهج</w:t>
      </w:r>
      <w:r w:rsidRPr="001C1BD9">
        <w:rPr>
          <w:rFonts w:cs="DanaFajr"/>
          <w:sz w:val="28"/>
          <w:szCs w:val="28"/>
          <w:rtl/>
        </w:rPr>
        <w:t xml:space="preserve"> </w:t>
      </w:r>
      <w:r w:rsidRPr="001C1BD9">
        <w:rPr>
          <w:rFonts w:cs="DanaFajr" w:hint="eastAsia"/>
          <w:sz w:val="28"/>
          <w:szCs w:val="28"/>
          <w:rtl/>
        </w:rPr>
        <w:t>السياق</w:t>
      </w:r>
      <w:r w:rsidRPr="001C1BD9">
        <w:rPr>
          <w:rFonts w:cs="DanaFajr"/>
          <w:sz w:val="28"/>
          <w:szCs w:val="28"/>
          <w:rtl/>
        </w:rPr>
        <w:t>: 123.</w:t>
      </w:r>
    </w:p>
  </w:endnote>
  <w:endnote w:id="756">
    <w:p w:rsidR="00C14EDE" w:rsidRPr="001C1BD9" w:rsidRDefault="00C14EDE" w:rsidP="001C1BD9">
      <w:pPr>
        <w:pStyle w:val="af7"/>
        <w:spacing w:line="296" w:lineRule="exact"/>
        <w:ind w:firstLine="0"/>
        <w:rPr>
          <w:rFonts w:cs="DanaFajr"/>
          <w:sz w:val="28"/>
          <w:szCs w:val="28"/>
        </w:rPr>
      </w:pPr>
      <w:r w:rsidRPr="001C1BD9">
        <w:rPr>
          <w:rFonts w:cs="DanaFajr"/>
          <w:sz w:val="28"/>
          <w:szCs w:val="28"/>
          <w:rtl/>
        </w:rPr>
        <w:t>(</w:t>
      </w:r>
      <w:r w:rsidRPr="001C1BD9">
        <w:endnoteRef/>
      </w:r>
      <w:r w:rsidRPr="001C1BD9">
        <w:rPr>
          <w:rFonts w:cs="DanaFajr"/>
          <w:sz w:val="28"/>
          <w:szCs w:val="28"/>
          <w:rtl/>
        </w:rPr>
        <w:t>)</w:t>
      </w:r>
      <w:r w:rsidRPr="001C1BD9">
        <w:rPr>
          <w:rFonts w:hint="cs"/>
          <w:rtl/>
        </w:rPr>
        <w:t xml:space="preserve"> نجم </w:t>
      </w:r>
      <w:r w:rsidRPr="001C1BD9">
        <w:rPr>
          <w:rFonts w:cs="DanaFajr"/>
          <w:sz w:val="28"/>
          <w:szCs w:val="28"/>
          <w:rtl/>
        </w:rPr>
        <w:t>الدين قادر كريم</w:t>
      </w:r>
      <w:r w:rsidRPr="001C1BD9">
        <w:rPr>
          <w:rFonts w:cs="DanaFajr" w:hint="cs"/>
          <w:sz w:val="28"/>
          <w:szCs w:val="28"/>
          <w:rtl/>
        </w:rPr>
        <w:t xml:space="preserve">، نظرية السياق، دراسةٌ أصولية: 78، </w:t>
      </w:r>
      <w:r w:rsidRPr="001C1BD9">
        <w:rPr>
          <w:rtl/>
        </w:rPr>
        <w:t>دار الكتب العلمية</w:t>
      </w:r>
      <w:r w:rsidRPr="001C1BD9">
        <w:rPr>
          <w:rFonts w:cs="DanaFajr"/>
          <w:sz w:val="28"/>
          <w:szCs w:val="28"/>
          <w:rtl/>
        </w:rPr>
        <w:t>،</w:t>
      </w:r>
      <w:r w:rsidRPr="001C1BD9">
        <w:rPr>
          <w:rFonts w:cs="DanaFajr" w:hint="cs"/>
          <w:sz w:val="28"/>
          <w:szCs w:val="28"/>
          <w:rtl/>
        </w:rPr>
        <w:t xml:space="preserve"> 2006م.</w:t>
      </w:r>
    </w:p>
  </w:endnote>
  <w:endnote w:id="757">
    <w:p w:rsidR="00C14EDE" w:rsidRPr="001C1BD9" w:rsidRDefault="00C14EDE" w:rsidP="001C1BD9">
      <w:pPr>
        <w:pStyle w:val="af7"/>
        <w:spacing w:line="296" w:lineRule="exact"/>
        <w:ind w:firstLine="0"/>
        <w:rPr>
          <w:rFonts w:cs="DanaFajr"/>
          <w:sz w:val="28"/>
          <w:szCs w:val="28"/>
        </w:rPr>
      </w:pPr>
      <w:r w:rsidRPr="001C1BD9">
        <w:rPr>
          <w:rFonts w:cs="DanaFajr"/>
          <w:sz w:val="28"/>
          <w:szCs w:val="28"/>
          <w:rtl/>
        </w:rPr>
        <w:t>(</w:t>
      </w:r>
      <w:r w:rsidRPr="001C1BD9">
        <w:endnoteRef/>
      </w:r>
      <w:r w:rsidRPr="001C1BD9">
        <w:rPr>
          <w:rFonts w:cs="DanaFajr"/>
          <w:sz w:val="28"/>
          <w:szCs w:val="28"/>
          <w:rtl/>
        </w:rPr>
        <w:t xml:space="preserve">) </w:t>
      </w:r>
      <w:r w:rsidRPr="001C1BD9">
        <w:rPr>
          <w:rFonts w:cs="DanaFajr" w:hint="cs"/>
          <w:sz w:val="28"/>
          <w:szCs w:val="28"/>
          <w:rtl/>
        </w:rPr>
        <w:t>الإمام الشاطبي، الموافقات 4: 410.</w:t>
      </w:r>
    </w:p>
  </w:endnote>
  <w:endnote w:id="758">
    <w:p w:rsidR="00C14EDE" w:rsidRPr="001C1BD9" w:rsidRDefault="00C14EDE" w:rsidP="001C1BD9">
      <w:pPr>
        <w:pStyle w:val="af7"/>
        <w:spacing w:line="296" w:lineRule="exact"/>
        <w:ind w:firstLine="0"/>
        <w:rPr>
          <w:rFonts w:cs="DanaFajr"/>
          <w:sz w:val="28"/>
          <w:szCs w:val="28"/>
          <w:rtl/>
        </w:rPr>
      </w:pPr>
      <w:r w:rsidRPr="001C1BD9">
        <w:rPr>
          <w:rFonts w:cs="DanaFajr"/>
          <w:sz w:val="28"/>
          <w:szCs w:val="28"/>
          <w:rtl/>
        </w:rPr>
        <w:t>(</w:t>
      </w:r>
      <w:r w:rsidRPr="001C1BD9">
        <w:endnoteRef/>
      </w:r>
      <w:r w:rsidRPr="001C1BD9">
        <w:rPr>
          <w:rFonts w:cs="DanaFajr"/>
          <w:sz w:val="28"/>
          <w:szCs w:val="28"/>
          <w:rtl/>
        </w:rPr>
        <w:t>)</w:t>
      </w:r>
      <w:r w:rsidRPr="001C1BD9">
        <w:rPr>
          <w:rFonts w:cs="DanaFajr" w:hint="cs"/>
          <w:sz w:val="28"/>
          <w:szCs w:val="28"/>
          <w:rtl/>
        </w:rPr>
        <w:t xml:space="preserve"> د. حميد الكبيسي، الدلالة وتفسير النصّ، مجلة كلِّية الشريعة العراقية، العدد 8: 23، 1986م.</w:t>
      </w:r>
    </w:p>
  </w:endnote>
  <w:endnote w:id="759">
    <w:p w:rsidR="00C14EDE" w:rsidRPr="004812C6" w:rsidRDefault="00C14EDE" w:rsidP="004812C6">
      <w:pPr>
        <w:pStyle w:val="af7"/>
        <w:spacing w:line="296" w:lineRule="exact"/>
        <w:ind w:left="720" w:hanging="720"/>
        <w:rPr>
          <w:rtl/>
        </w:rPr>
      </w:pPr>
      <w:r w:rsidRPr="001C1BD9">
        <w:rPr>
          <w:rFonts w:cs="DanaFajr" w:hint="cs"/>
          <w:sz w:val="28"/>
          <w:szCs w:val="28"/>
          <w:rtl/>
        </w:rPr>
        <w:t>(</w:t>
      </w:r>
      <w:r w:rsidRPr="001C1BD9">
        <w:endnoteRef/>
      </w:r>
      <w:r w:rsidRPr="001C1BD9">
        <w:rPr>
          <w:rFonts w:cs="DanaFajr" w:hint="cs"/>
          <w:sz w:val="28"/>
          <w:szCs w:val="28"/>
          <w:rtl/>
        </w:rPr>
        <w:t xml:space="preserve">) </w:t>
      </w:r>
      <w:r w:rsidRPr="001C1BD9">
        <w:rPr>
          <w:rFonts w:cs="DanaFajr" w:hint="eastAsia"/>
          <w:sz w:val="28"/>
          <w:szCs w:val="28"/>
          <w:rtl/>
        </w:rPr>
        <w:t>السياق</w:t>
      </w:r>
      <w:r w:rsidRPr="001C1BD9">
        <w:rPr>
          <w:rFonts w:cs="DanaFajr"/>
          <w:sz w:val="28"/>
          <w:szCs w:val="28"/>
          <w:rtl/>
        </w:rPr>
        <w:t xml:space="preserve"> </w:t>
      </w:r>
      <w:r w:rsidRPr="001C1BD9">
        <w:rPr>
          <w:rFonts w:cs="DanaFajr" w:hint="eastAsia"/>
          <w:sz w:val="28"/>
          <w:szCs w:val="28"/>
          <w:rtl/>
        </w:rPr>
        <w:t>عند</w:t>
      </w:r>
      <w:r w:rsidRPr="001C1BD9">
        <w:rPr>
          <w:rFonts w:cs="DanaFajr"/>
          <w:sz w:val="28"/>
          <w:szCs w:val="28"/>
          <w:rtl/>
        </w:rPr>
        <w:t xml:space="preserve"> </w:t>
      </w:r>
      <w:r w:rsidRPr="001C1BD9">
        <w:rPr>
          <w:rFonts w:cs="DanaFajr" w:hint="eastAsia"/>
          <w:sz w:val="28"/>
          <w:szCs w:val="28"/>
          <w:rtl/>
        </w:rPr>
        <w:t>الأصوليّين</w:t>
      </w:r>
      <w:r w:rsidRPr="001C1BD9">
        <w:rPr>
          <w:rFonts w:cs="DanaFajr"/>
          <w:sz w:val="28"/>
          <w:szCs w:val="28"/>
          <w:rtl/>
        </w:rPr>
        <w:t>: 54</w:t>
      </w:r>
      <w:r w:rsidRPr="001C1BD9">
        <w:rPr>
          <w:rFonts w:cs="DanaFajr" w:hint="cs"/>
          <w:sz w:val="28"/>
          <w:szCs w:val="28"/>
          <w:rtl/>
        </w:rPr>
        <w:t>.</w:t>
      </w:r>
    </w:p>
  </w:endnote>
  <w:endnote w:id="760">
    <w:p w:rsidR="00C14EDE" w:rsidRPr="001C1BD9" w:rsidRDefault="00C14EDE" w:rsidP="004812C6">
      <w:pPr>
        <w:pStyle w:val="af7"/>
        <w:spacing w:line="296" w:lineRule="exact"/>
        <w:ind w:left="1440" w:hanging="1440"/>
        <w:rPr>
          <w:rFonts w:cs="DanaFajr"/>
          <w:sz w:val="28"/>
          <w:szCs w:val="28"/>
          <w:rtl/>
        </w:rPr>
      </w:pPr>
      <w:r w:rsidRPr="001C1BD9">
        <w:rPr>
          <w:rFonts w:cs="DanaFajr"/>
          <w:sz w:val="28"/>
          <w:szCs w:val="28"/>
          <w:rtl/>
        </w:rPr>
        <w:t>(</w:t>
      </w:r>
      <w:r w:rsidRPr="004812C6">
        <w:rPr>
          <w:rFonts w:cs="DanaFajr"/>
          <w:sz w:val="28"/>
          <w:szCs w:val="28"/>
        </w:rPr>
        <w:endnoteRef/>
      </w:r>
      <w:r w:rsidRPr="001C1BD9">
        <w:rPr>
          <w:rFonts w:cs="DanaFajr"/>
          <w:sz w:val="28"/>
          <w:szCs w:val="28"/>
          <w:rtl/>
        </w:rPr>
        <w:t xml:space="preserve">) </w:t>
      </w:r>
      <w:r w:rsidRPr="004812C6">
        <w:rPr>
          <w:rFonts w:cs="DanaFajr"/>
          <w:sz w:val="28"/>
          <w:szCs w:val="28"/>
          <w:rtl/>
        </w:rPr>
        <w:t>نظرية السياق</w:t>
      </w:r>
      <w:r w:rsidRPr="001C1BD9">
        <w:rPr>
          <w:rFonts w:cs="DanaFajr" w:hint="cs"/>
          <w:sz w:val="28"/>
          <w:szCs w:val="28"/>
          <w:rtl/>
        </w:rPr>
        <w:t xml:space="preserve">، </w:t>
      </w:r>
      <w:r w:rsidRPr="001C1BD9">
        <w:rPr>
          <w:rFonts w:cs="DanaFajr"/>
          <w:sz w:val="28"/>
          <w:szCs w:val="28"/>
          <w:rtl/>
        </w:rPr>
        <w:t>دراسة</w:t>
      </w:r>
      <w:r w:rsidRPr="001C1BD9">
        <w:rPr>
          <w:rFonts w:cs="DanaFajr" w:hint="cs"/>
          <w:sz w:val="28"/>
          <w:szCs w:val="28"/>
          <w:rtl/>
        </w:rPr>
        <w:t>ٌ</w:t>
      </w:r>
      <w:r w:rsidRPr="001C1BD9">
        <w:rPr>
          <w:rFonts w:cs="DanaFajr"/>
          <w:sz w:val="28"/>
          <w:szCs w:val="28"/>
          <w:rtl/>
        </w:rPr>
        <w:t xml:space="preserve"> أصولية: 45.</w:t>
      </w:r>
    </w:p>
  </w:endnote>
  <w:endnote w:id="761">
    <w:p w:rsidR="00C14EDE" w:rsidRPr="00282AC9" w:rsidRDefault="00C14EDE" w:rsidP="00433785">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سيد</w:t>
      </w:r>
      <w:r w:rsidRPr="00282AC9">
        <w:rPr>
          <w:rFonts w:cs="DanaFajr"/>
          <w:sz w:val="28"/>
          <w:szCs w:val="28"/>
          <w:rtl/>
        </w:rPr>
        <w:t xml:space="preserve"> </w:t>
      </w:r>
      <w:r w:rsidRPr="00282AC9">
        <w:rPr>
          <w:rFonts w:cs="DanaFajr" w:hint="cs"/>
          <w:sz w:val="28"/>
          <w:szCs w:val="28"/>
          <w:rtl/>
        </w:rPr>
        <w:t>قطب، في</w:t>
      </w:r>
      <w:r w:rsidRPr="00282AC9">
        <w:rPr>
          <w:rFonts w:cs="DanaFajr"/>
          <w:sz w:val="28"/>
          <w:szCs w:val="28"/>
          <w:rtl/>
        </w:rPr>
        <w:t xml:space="preserve"> </w:t>
      </w:r>
      <w:r w:rsidRPr="00282AC9">
        <w:rPr>
          <w:rFonts w:cs="DanaFajr" w:hint="cs"/>
          <w:sz w:val="28"/>
          <w:szCs w:val="28"/>
          <w:rtl/>
        </w:rPr>
        <w:t>ظلال</w:t>
      </w:r>
      <w:r w:rsidRPr="00282AC9">
        <w:rPr>
          <w:rFonts w:cs="DanaFajr"/>
          <w:sz w:val="28"/>
          <w:szCs w:val="28"/>
          <w:rtl/>
        </w:rPr>
        <w:t xml:space="preserve"> </w:t>
      </w:r>
      <w:r w:rsidRPr="00282AC9">
        <w:rPr>
          <w:rFonts w:cs="DanaFajr" w:hint="cs"/>
          <w:sz w:val="28"/>
          <w:szCs w:val="28"/>
          <w:rtl/>
        </w:rPr>
        <w:t>القرآن 6: 262 ـ 263، موقع</w:t>
      </w:r>
      <w:r w:rsidRPr="00282AC9">
        <w:rPr>
          <w:rFonts w:cs="DanaFajr"/>
          <w:sz w:val="28"/>
          <w:szCs w:val="28"/>
          <w:rtl/>
        </w:rPr>
        <w:t xml:space="preserve"> </w:t>
      </w:r>
      <w:r w:rsidRPr="00282AC9">
        <w:rPr>
          <w:rFonts w:cs="DanaFajr" w:hint="cs"/>
          <w:sz w:val="28"/>
          <w:szCs w:val="28"/>
          <w:rtl/>
        </w:rPr>
        <w:t>التفاسير:</w:t>
      </w:r>
    </w:p>
    <w:p w:rsidR="00C14EDE" w:rsidRPr="00282AC9" w:rsidRDefault="00C14EDE" w:rsidP="00433785">
      <w:pPr>
        <w:pStyle w:val="af7"/>
        <w:bidi w:val="0"/>
        <w:spacing w:line="302" w:lineRule="exact"/>
        <w:ind w:firstLine="0"/>
        <w:rPr>
          <w:rFonts w:asciiTheme="majorBidi" w:hAnsiTheme="majorBidi" w:cstheme="majorBidi"/>
        </w:rPr>
      </w:pPr>
      <w:r w:rsidRPr="00282AC9">
        <w:rPr>
          <w:rFonts w:asciiTheme="majorBidi" w:hAnsiTheme="majorBidi" w:cstheme="majorBidi"/>
        </w:rPr>
        <w:t>http://www.altafsir.com</w:t>
      </w:r>
    </w:p>
  </w:endnote>
  <w:endnote w:id="762">
    <w:p w:rsidR="00C14EDE" w:rsidRPr="00282AC9" w:rsidRDefault="00C14EDE" w:rsidP="00484C78">
      <w:pPr>
        <w:pStyle w:val="af7"/>
        <w:spacing w:line="30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يقول</w:t>
      </w:r>
      <w:r w:rsidRPr="00282AC9">
        <w:rPr>
          <w:rFonts w:cs="DanaFajr"/>
          <w:sz w:val="28"/>
          <w:szCs w:val="28"/>
          <w:rtl/>
        </w:rPr>
        <w:t xml:space="preserve"> </w:t>
      </w:r>
      <w:r w:rsidRPr="00282AC9">
        <w:rPr>
          <w:rFonts w:cs="DanaFajr" w:hint="cs"/>
          <w:sz w:val="28"/>
          <w:szCs w:val="28"/>
          <w:rtl/>
        </w:rPr>
        <w:t>المرحوم</w:t>
      </w:r>
      <w:r w:rsidRPr="00282AC9">
        <w:rPr>
          <w:rFonts w:cs="DanaFajr"/>
          <w:sz w:val="28"/>
          <w:szCs w:val="28"/>
          <w:rtl/>
        </w:rPr>
        <w:t xml:space="preserve"> </w:t>
      </w:r>
      <w:r w:rsidRPr="00282AC9">
        <w:rPr>
          <w:rFonts w:cs="DanaFajr" w:hint="cs"/>
          <w:sz w:val="28"/>
          <w:szCs w:val="28"/>
          <w:rtl/>
        </w:rPr>
        <w:t>الدكتور</w:t>
      </w:r>
      <w:r w:rsidRPr="00282AC9">
        <w:rPr>
          <w:rFonts w:cs="DanaFajr"/>
          <w:sz w:val="28"/>
          <w:szCs w:val="28"/>
          <w:rtl/>
        </w:rPr>
        <w:t xml:space="preserve"> </w:t>
      </w:r>
      <w:r w:rsidRPr="00282AC9">
        <w:rPr>
          <w:rFonts w:cs="DanaFajr" w:hint="cs"/>
          <w:sz w:val="28"/>
          <w:szCs w:val="28"/>
          <w:rtl/>
        </w:rPr>
        <w:t>الشيخ</w:t>
      </w:r>
      <w:r w:rsidRPr="00282AC9">
        <w:rPr>
          <w:rFonts w:cs="DanaFajr"/>
          <w:sz w:val="28"/>
          <w:szCs w:val="28"/>
          <w:rtl/>
        </w:rPr>
        <w:t xml:space="preserve"> </w:t>
      </w:r>
      <w:r w:rsidRPr="00282AC9">
        <w:rPr>
          <w:rFonts w:cs="DanaFajr" w:hint="cs"/>
          <w:sz w:val="28"/>
          <w:szCs w:val="28"/>
          <w:rtl/>
        </w:rPr>
        <w:t>أحمد</w:t>
      </w:r>
      <w:r w:rsidRPr="00282AC9">
        <w:rPr>
          <w:rFonts w:cs="DanaFajr"/>
          <w:sz w:val="28"/>
          <w:szCs w:val="28"/>
          <w:rtl/>
        </w:rPr>
        <w:t xml:space="preserve"> </w:t>
      </w:r>
      <w:r w:rsidRPr="00282AC9">
        <w:rPr>
          <w:rFonts w:cs="DanaFajr" w:hint="cs"/>
          <w:sz w:val="28"/>
          <w:szCs w:val="28"/>
          <w:rtl/>
        </w:rPr>
        <w:t>الوائلي،</w:t>
      </w:r>
      <w:r w:rsidRPr="00282AC9">
        <w:rPr>
          <w:rFonts w:cs="DanaFajr"/>
          <w:sz w:val="28"/>
          <w:szCs w:val="28"/>
          <w:rtl/>
        </w:rPr>
        <w:t xml:space="preserve"> </w:t>
      </w:r>
      <w:r w:rsidRPr="00282AC9">
        <w:rPr>
          <w:rFonts w:cs="DanaFajr" w:hint="cs"/>
          <w:sz w:val="28"/>
          <w:szCs w:val="28"/>
          <w:rtl/>
        </w:rPr>
        <w:t>مؤكِّداً على هذا الفهم:</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يوم</w:t>
            </w:r>
            <w:r w:rsidRPr="00282AC9">
              <w:rPr>
                <w:rFonts w:cs="DanaFajr"/>
                <w:szCs w:val="28"/>
                <w:rtl/>
              </w:rPr>
              <w:t xml:space="preserve"> </w:t>
            </w:r>
            <w:r w:rsidRPr="00282AC9">
              <w:rPr>
                <w:rFonts w:cs="DanaFajr" w:hint="cs"/>
                <w:szCs w:val="28"/>
                <w:rtl/>
              </w:rPr>
              <w:t>طلعت</w:t>
            </w:r>
            <w:r w:rsidRPr="00282AC9">
              <w:rPr>
                <w:rFonts w:cs="DanaFajr"/>
                <w:szCs w:val="28"/>
                <w:rtl/>
              </w:rPr>
              <w:t xml:space="preserve"> </w:t>
            </w:r>
            <w:r w:rsidRPr="00282AC9">
              <w:rPr>
                <w:rFonts w:cs="DanaFajr" w:hint="cs"/>
                <w:szCs w:val="28"/>
                <w:rtl/>
              </w:rPr>
              <w:t>على</w:t>
            </w:r>
            <w:r w:rsidRPr="00282AC9">
              <w:rPr>
                <w:rFonts w:cs="DanaFajr"/>
                <w:szCs w:val="28"/>
                <w:rtl/>
              </w:rPr>
              <w:t xml:space="preserve"> </w:t>
            </w:r>
            <w:r w:rsidRPr="00282AC9">
              <w:rPr>
                <w:rFonts w:cs="DanaFajr" w:hint="cs"/>
                <w:szCs w:val="28"/>
                <w:rtl/>
              </w:rPr>
              <w:t>الزمان</w:t>
            </w:r>
            <w:r w:rsidRPr="00282AC9">
              <w:rPr>
                <w:rFonts w:cs="DanaFajr"/>
                <w:szCs w:val="28"/>
                <w:rtl/>
              </w:rPr>
              <w:t xml:space="preserve"> </w:t>
            </w:r>
            <w:r w:rsidRPr="00282AC9">
              <w:rPr>
                <w:rFonts w:cs="DanaFajr" w:hint="cs"/>
                <w:szCs w:val="28"/>
                <w:rtl/>
              </w:rPr>
              <w:t>وليدا</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سيظل</w:t>
            </w:r>
            <w:r w:rsidRPr="00282AC9">
              <w:rPr>
                <w:rFonts w:cs="DanaFajr"/>
                <w:szCs w:val="28"/>
                <w:rtl/>
              </w:rPr>
              <w:t xml:space="preserve"> </w:t>
            </w:r>
            <w:r w:rsidRPr="00282AC9">
              <w:rPr>
                <w:rFonts w:cs="DanaFajr" w:hint="cs"/>
                <w:szCs w:val="28"/>
                <w:rtl/>
              </w:rPr>
              <w:t>ملء</w:t>
            </w:r>
            <w:r w:rsidRPr="00282AC9">
              <w:rPr>
                <w:rFonts w:cs="DanaFajr"/>
                <w:szCs w:val="28"/>
                <w:rtl/>
              </w:rPr>
              <w:t xml:space="preserve"> </w:t>
            </w:r>
            <w:r w:rsidRPr="00282AC9">
              <w:rPr>
                <w:rFonts w:cs="DanaFajr" w:hint="cs"/>
                <w:szCs w:val="28"/>
                <w:rtl/>
              </w:rPr>
              <w:t>فم</w:t>
            </w:r>
            <w:r w:rsidRPr="00282AC9">
              <w:rPr>
                <w:rFonts w:cs="DanaFajr"/>
                <w:szCs w:val="28"/>
                <w:rtl/>
              </w:rPr>
              <w:t xml:space="preserve"> </w:t>
            </w:r>
            <w:r w:rsidRPr="00282AC9">
              <w:rPr>
                <w:rFonts w:cs="DanaFajr" w:hint="cs"/>
                <w:szCs w:val="28"/>
                <w:rtl/>
              </w:rPr>
              <w:t>الزمان</w:t>
            </w:r>
            <w:r w:rsidRPr="00282AC9">
              <w:rPr>
                <w:rFonts w:cs="DanaFajr"/>
                <w:szCs w:val="28"/>
                <w:rtl/>
              </w:rPr>
              <w:t xml:space="preserve"> </w:t>
            </w:r>
            <w:r w:rsidRPr="00282AC9">
              <w:rPr>
                <w:rFonts w:cs="DanaFajr" w:hint="cs"/>
                <w:szCs w:val="28"/>
                <w:rtl/>
              </w:rPr>
              <w:t>نشيدا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يمّمت</w:t>
            </w:r>
            <w:r w:rsidRPr="00282AC9">
              <w:rPr>
                <w:rFonts w:cs="DanaFajr"/>
                <w:szCs w:val="28"/>
                <w:rtl/>
              </w:rPr>
              <w:t xml:space="preserve"> </w:t>
            </w:r>
            <w:r w:rsidRPr="00282AC9">
              <w:rPr>
                <w:rFonts w:cs="DanaFajr" w:hint="cs"/>
                <w:szCs w:val="28"/>
                <w:rtl/>
              </w:rPr>
              <w:t>يومك</w:t>
            </w:r>
            <w:r w:rsidRPr="00282AC9">
              <w:rPr>
                <w:rFonts w:cs="DanaFajr"/>
                <w:szCs w:val="28"/>
                <w:rtl/>
              </w:rPr>
              <w:t xml:space="preserve"> </w:t>
            </w:r>
            <w:r w:rsidRPr="00282AC9">
              <w:rPr>
                <w:rFonts w:cs="DanaFajr" w:hint="cs"/>
                <w:szCs w:val="28"/>
                <w:rtl/>
              </w:rPr>
              <w:t>كالظماء</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بلفحة</w:t>
            </w:r>
            <w:r w:rsidRPr="00282AC9">
              <w:rPr>
                <w:rFonts w:cs="DanaFajr"/>
                <w:szCs w:val="28"/>
                <w:rtl/>
              </w:rPr>
              <w:t xml:space="preserve"> </w:t>
            </w:r>
            <w:r w:rsidRPr="00282AC9">
              <w:rPr>
                <w:rFonts w:cs="DanaFajr" w:hint="cs"/>
                <w:szCs w:val="28"/>
                <w:rtl/>
              </w:rPr>
              <w:t>الصحراء</w:t>
            </w:r>
            <w:r w:rsidRPr="00282AC9">
              <w:rPr>
                <w:rFonts w:cs="DanaFajr"/>
                <w:szCs w:val="28"/>
                <w:rtl/>
              </w:rPr>
              <w:t xml:space="preserve"> </w:t>
            </w:r>
            <w:r w:rsidRPr="00282AC9">
              <w:rPr>
                <w:rFonts w:cs="DanaFajr" w:hint="cs"/>
                <w:szCs w:val="28"/>
                <w:rtl/>
              </w:rPr>
              <w:t>تلتمس</w:t>
            </w:r>
            <w:r w:rsidRPr="00282AC9">
              <w:rPr>
                <w:rFonts w:cs="DanaFajr"/>
                <w:szCs w:val="28"/>
                <w:rtl/>
              </w:rPr>
              <w:t xml:space="preserve"> </w:t>
            </w:r>
            <w:r w:rsidRPr="00282AC9">
              <w:rPr>
                <w:rFonts w:cs="DanaFajr" w:hint="cs"/>
                <w:szCs w:val="28"/>
                <w:rtl/>
              </w:rPr>
              <w:t>الغدير</w:t>
            </w:r>
            <w:r w:rsidRPr="00282AC9">
              <w:rPr>
                <w:rFonts w:cs="DanaFajr"/>
                <w:szCs w:val="28"/>
                <w:rtl/>
              </w:rPr>
              <w:t xml:space="preserve"> </w:t>
            </w:r>
            <w:r w:rsidRPr="00282AC9">
              <w:rPr>
                <w:rFonts w:cs="DanaFajr" w:hint="cs"/>
                <w:szCs w:val="28"/>
                <w:rtl/>
              </w:rPr>
              <w:t>ورودا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فرأيتُ</w:t>
            </w:r>
            <w:r w:rsidRPr="00282AC9">
              <w:rPr>
                <w:rFonts w:cs="DanaFajr"/>
                <w:szCs w:val="28"/>
                <w:rtl/>
              </w:rPr>
              <w:t xml:space="preserve"> </w:t>
            </w:r>
            <w:r w:rsidRPr="00282AC9">
              <w:rPr>
                <w:rFonts w:cs="DanaFajr" w:hint="cs"/>
                <w:szCs w:val="28"/>
                <w:rtl/>
              </w:rPr>
              <w:t>بين</w:t>
            </w:r>
            <w:r w:rsidRPr="00282AC9">
              <w:rPr>
                <w:rFonts w:cs="DanaFajr"/>
                <w:szCs w:val="28"/>
                <w:rtl/>
              </w:rPr>
              <w:t xml:space="preserve"> </w:t>
            </w:r>
            <w:r w:rsidRPr="00282AC9">
              <w:rPr>
                <w:rFonts w:cs="DanaFajr" w:hint="cs"/>
                <w:szCs w:val="28"/>
                <w:rtl/>
              </w:rPr>
              <w:t>شروقه</w:t>
            </w:r>
            <w:r w:rsidRPr="00282AC9">
              <w:rPr>
                <w:rFonts w:cs="DanaFajr"/>
                <w:szCs w:val="28"/>
                <w:rtl/>
              </w:rPr>
              <w:t xml:space="preserve"> </w:t>
            </w:r>
            <w:r w:rsidRPr="00282AC9">
              <w:rPr>
                <w:rFonts w:cs="DanaFajr" w:hint="cs"/>
                <w:szCs w:val="28"/>
                <w:rtl/>
              </w:rPr>
              <w:t>وغروبه</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صوراً</w:t>
            </w:r>
            <w:r w:rsidRPr="00282AC9">
              <w:rPr>
                <w:rFonts w:cs="DanaFajr"/>
                <w:szCs w:val="28"/>
                <w:rtl/>
              </w:rPr>
              <w:t xml:space="preserve"> </w:t>
            </w:r>
            <w:r w:rsidRPr="00282AC9">
              <w:rPr>
                <w:rFonts w:cs="DanaFajr" w:hint="cs"/>
                <w:szCs w:val="28"/>
                <w:rtl/>
              </w:rPr>
              <w:t>تعزّ</w:t>
            </w:r>
            <w:r w:rsidRPr="00282AC9">
              <w:rPr>
                <w:rFonts w:cs="DanaFajr"/>
                <w:szCs w:val="28"/>
                <w:rtl/>
              </w:rPr>
              <w:t xml:space="preserve"> </w:t>
            </w:r>
            <w:r w:rsidRPr="00282AC9">
              <w:rPr>
                <w:rFonts w:cs="DanaFajr" w:hint="cs"/>
                <w:szCs w:val="28"/>
                <w:rtl/>
              </w:rPr>
              <w:t>على</w:t>
            </w:r>
            <w:r w:rsidRPr="00282AC9">
              <w:rPr>
                <w:rFonts w:cs="DanaFajr"/>
                <w:szCs w:val="28"/>
                <w:rtl/>
              </w:rPr>
              <w:t xml:space="preserve"> </w:t>
            </w:r>
            <w:r w:rsidRPr="00282AC9">
              <w:rPr>
                <w:rFonts w:cs="DanaFajr" w:hint="cs"/>
                <w:szCs w:val="28"/>
                <w:rtl/>
              </w:rPr>
              <w:t>النعوت</w:t>
            </w:r>
            <w:r w:rsidRPr="00282AC9">
              <w:rPr>
                <w:rFonts w:cs="DanaFajr"/>
                <w:szCs w:val="28"/>
                <w:rtl/>
              </w:rPr>
              <w:t xml:space="preserve"> </w:t>
            </w:r>
            <w:r w:rsidRPr="00282AC9">
              <w:rPr>
                <w:rFonts w:cs="DanaFajr" w:hint="cs"/>
                <w:szCs w:val="28"/>
                <w:rtl/>
              </w:rPr>
              <w:t>حدودا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مثلت</w:t>
            </w:r>
            <w:r w:rsidRPr="00282AC9">
              <w:rPr>
                <w:rFonts w:cs="DanaFajr"/>
                <w:szCs w:val="28"/>
                <w:rtl/>
              </w:rPr>
              <w:t xml:space="preserve"> </w:t>
            </w:r>
            <w:r w:rsidRPr="00282AC9">
              <w:rPr>
                <w:rFonts w:cs="DanaFajr" w:hint="cs"/>
                <w:szCs w:val="28"/>
                <w:rtl/>
              </w:rPr>
              <w:t>خيرها</w:t>
            </w:r>
            <w:r w:rsidRPr="00282AC9">
              <w:rPr>
                <w:rFonts w:cs="DanaFajr"/>
                <w:szCs w:val="28"/>
                <w:rtl/>
              </w:rPr>
              <w:t xml:space="preserve"> </w:t>
            </w:r>
            <w:r w:rsidRPr="00282AC9">
              <w:rPr>
                <w:rFonts w:cs="DanaFajr" w:hint="cs"/>
                <w:szCs w:val="28"/>
                <w:rtl/>
              </w:rPr>
              <w:t>ومثل</w:t>
            </w:r>
            <w:r w:rsidRPr="00282AC9">
              <w:rPr>
                <w:rFonts w:cs="DanaFajr"/>
                <w:szCs w:val="28"/>
                <w:rtl/>
              </w:rPr>
              <w:t xml:space="preserve"> </w:t>
            </w:r>
            <w:r w:rsidRPr="00282AC9">
              <w:rPr>
                <w:rFonts w:cs="DanaFajr" w:hint="cs"/>
                <w:szCs w:val="28"/>
                <w:rtl/>
              </w:rPr>
              <w:t>شرّها</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D4635D">
            <w:pPr>
              <w:spacing w:line="240" w:lineRule="auto"/>
              <w:ind w:firstLine="0"/>
              <w:jc w:val="lowKashida"/>
              <w:rPr>
                <w:rFonts w:cs="DanaFajr"/>
                <w:sz w:val="2"/>
                <w:szCs w:val="2"/>
                <w:rtl/>
              </w:rPr>
            </w:pPr>
            <w:r w:rsidRPr="00282AC9">
              <w:rPr>
                <w:rFonts w:cs="DanaFajr" w:hint="cs"/>
                <w:szCs w:val="28"/>
                <w:rtl/>
              </w:rPr>
              <w:t>نفرٌ</w:t>
            </w:r>
            <w:r w:rsidRPr="00282AC9">
              <w:rPr>
                <w:rFonts w:cs="DanaFajr"/>
                <w:szCs w:val="28"/>
                <w:rtl/>
              </w:rPr>
              <w:t xml:space="preserve"> </w:t>
            </w:r>
            <w:r w:rsidRPr="00282AC9">
              <w:rPr>
                <w:rFonts w:cs="DanaFajr" w:hint="cs"/>
                <w:szCs w:val="28"/>
                <w:rtl/>
              </w:rPr>
              <w:t>فكنتَ</w:t>
            </w:r>
            <w:r w:rsidRPr="00282AC9">
              <w:rPr>
                <w:rFonts w:cs="DanaFajr"/>
                <w:szCs w:val="28"/>
                <w:rtl/>
              </w:rPr>
              <w:t xml:space="preserve"> </w:t>
            </w:r>
            <w:r w:rsidRPr="00282AC9">
              <w:rPr>
                <w:rFonts w:cs="DanaFajr" w:hint="cs"/>
                <w:szCs w:val="28"/>
                <w:rtl/>
              </w:rPr>
              <w:t>سماً</w:t>
            </w:r>
            <w:r w:rsidRPr="00282AC9">
              <w:rPr>
                <w:rFonts w:cs="DanaFajr"/>
                <w:szCs w:val="28"/>
                <w:rtl/>
              </w:rPr>
              <w:t xml:space="preserve"> </w:t>
            </w:r>
            <w:r w:rsidRPr="00282AC9">
              <w:rPr>
                <w:rFonts w:cs="DanaFajr" w:hint="cs"/>
                <w:szCs w:val="28"/>
                <w:rtl/>
              </w:rPr>
              <w:t>وكان</w:t>
            </w:r>
            <w:r w:rsidRPr="00282AC9">
              <w:rPr>
                <w:rFonts w:cs="DanaFajr"/>
                <w:szCs w:val="28"/>
                <w:rtl/>
              </w:rPr>
              <w:t xml:space="preserve"> </w:t>
            </w:r>
            <w:r w:rsidRPr="00282AC9">
              <w:rPr>
                <w:rFonts w:cs="DanaFajr" w:hint="cs"/>
                <w:szCs w:val="28"/>
                <w:rtl/>
              </w:rPr>
              <w:t>صعيدا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وإذا</w:t>
            </w:r>
            <w:r w:rsidRPr="00282AC9">
              <w:rPr>
                <w:rFonts w:cs="DanaFajr"/>
                <w:szCs w:val="28"/>
                <w:rtl/>
              </w:rPr>
              <w:t xml:space="preserve"> </w:t>
            </w:r>
            <w:r w:rsidRPr="00282AC9">
              <w:rPr>
                <w:rFonts w:cs="DanaFajr" w:hint="cs"/>
                <w:szCs w:val="28"/>
                <w:rtl/>
              </w:rPr>
              <w:t>أراق</w:t>
            </w:r>
            <w:r w:rsidRPr="00282AC9">
              <w:rPr>
                <w:rFonts w:cs="DanaFajr"/>
                <w:szCs w:val="28"/>
                <w:rtl/>
              </w:rPr>
              <w:t xml:space="preserve"> </w:t>
            </w:r>
            <w:r w:rsidRPr="00282AC9">
              <w:rPr>
                <w:rFonts w:cs="DanaFajr" w:hint="cs"/>
                <w:szCs w:val="28"/>
                <w:rtl/>
              </w:rPr>
              <w:t>اليوم</w:t>
            </w:r>
            <w:r w:rsidRPr="00282AC9">
              <w:rPr>
                <w:rFonts w:cs="DanaFajr"/>
                <w:szCs w:val="28"/>
                <w:rtl/>
              </w:rPr>
              <w:t xml:space="preserve"> </w:t>
            </w:r>
            <w:r w:rsidRPr="00282AC9">
              <w:rPr>
                <w:rFonts w:cs="DanaFajr" w:hint="cs"/>
                <w:szCs w:val="28"/>
                <w:rtl/>
              </w:rPr>
              <w:t>زاكية</w:t>
            </w:r>
            <w:r w:rsidRPr="00282AC9">
              <w:rPr>
                <w:rFonts w:cs="DanaFajr"/>
                <w:szCs w:val="28"/>
                <w:rtl/>
              </w:rPr>
              <w:t xml:space="preserve"> </w:t>
            </w:r>
            <w:r w:rsidRPr="00282AC9">
              <w:rPr>
                <w:rFonts w:cs="DanaFajr" w:hint="cs"/>
                <w:szCs w:val="28"/>
                <w:rtl/>
              </w:rPr>
              <w:t>الدما</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D4635D">
            <w:pPr>
              <w:spacing w:line="240" w:lineRule="auto"/>
              <w:ind w:firstLine="0"/>
              <w:jc w:val="lowKashida"/>
              <w:rPr>
                <w:rFonts w:cs="DanaFajr"/>
                <w:sz w:val="2"/>
                <w:szCs w:val="2"/>
                <w:rtl/>
              </w:rPr>
            </w:pPr>
            <w:r w:rsidRPr="00282AC9">
              <w:rPr>
                <w:rFonts w:cs="DanaFajr" w:hint="cs"/>
                <w:szCs w:val="28"/>
                <w:rtl/>
              </w:rPr>
              <w:t>فغداً</w:t>
            </w:r>
            <w:r w:rsidRPr="00282AC9">
              <w:rPr>
                <w:rFonts w:cs="DanaFajr"/>
                <w:szCs w:val="28"/>
                <w:rtl/>
              </w:rPr>
              <w:t xml:space="preserve"> </w:t>
            </w:r>
            <w:r w:rsidRPr="00282AC9">
              <w:rPr>
                <w:rFonts w:cs="DanaFajr" w:hint="cs"/>
                <w:szCs w:val="28"/>
                <w:rtl/>
              </w:rPr>
              <w:t>سترفعها</w:t>
            </w:r>
            <w:r w:rsidRPr="00282AC9">
              <w:rPr>
                <w:rFonts w:cs="DanaFajr"/>
                <w:szCs w:val="28"/>
                <w:rtl/>
              </w:rPr>
              <w:t xml:space="preserve"> </w:t>
            </w:r>
            <w:r w:rsidRPr="00282AC9">
              <w:rPr>
                <w:rFonts w:cs="DanaFajr" w:hint="cs"/>
                <w:szCs w:val="28"/>
                <w:rtl/>
              </w:rPr>
              <w:t>الشعوب</w:t>
            </w:r>
            <w:r w:rsidRPr="00282AC9">
              <w:rPr>
                <w:rFonts w:cs="DanaFajr"/>
                <w:szCs w:val="28"/>
                <w:rtl/>
              </w:rPr>
              <w:t xml:space="preserve"> </w:t>
            </w:r>
            <w:r w:rsidRPr="00282AC9">
              <w:rPr>
                <w:rFonts w:cs="DanaFajr" w:hint="cs"/>
                <w:szCs w:val="28"/>
                <w:rtl/>
              </w:rPr>
              <w:t>بنودا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فرأيتُكَ</w:t>
            </w:r>
            <w:r w:rsidRPr="00282AC9">
              <w:rPr>
                <w:rFonts w:cs="DanaFajr"/>
                <w:szCs w:val="28"/>
                <w:rtl/>
              </w:rPr>
              <w:t xml:space="preserve"> </w:t>
            </w:r>
            <w:r w:rsidRPr="00282AC9">
              <w:rPr>
                <w:rFonts w:cs="DanaFajr" w:hint="cs"/>
                <w:szCs w:val="28"/>
                <w:rtl/>
              </w:rPr>
              <w:t>العملاق</w:t>
            </w:r>
            <w:r w:rsidRPr="00282AC9">
              <w:rPr>
                <w:rFonts w:cs="DanaFajr"/>
                <w:szCs w:val="28"/>
                <w:rtl/>
              </w:rPr>
              <w:t xml:space="preserve"> </w:t>
            </w:r>
            <w:r w:rsidRPr="00282AC9">
              <w:rPr>
                <w:rFonts w:cs="DanaFajr" w:hint="cs"/>
                <w:szCs w:val="28"/>
                <w:rtl/>
              </w:rPr>
              <w:t>جيداً</w:t>
            </w:r>
            <w:r w:rsidRPr="00282AC9">
              <w:rPr>
                <w:rFonts w:cs="DanaFajr"/>
                <w:szCs w:val="28"/>
                <w:rtl/>
              </w:rPr>
              <w:t xml:space="preserve"> </w:t>
            </w:r>
            <w:r w:rsidRPr="00282AC9">
              <w:rPr>
                <w:rFonts w:cs="DanaFajr" w:hint="cs"/>
                <w:szCs w:val="28"/>
                <w:rtl/>
              </w:rPr>
              <w:t>متلعاً</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ينعى</w:t>
            </w:r>
            <w:r w:rsidRPr="00282AC9">
              <w:rPr>
                <w:rFonts w:cs="DanaFajr"/>
                <w:szCs w:val="28"/>
                <w:rtl/>
              </w:rPr>
              <w:t xml:space="preserve"> </w:t>
            </w:r>
            <w:r w:rsidRPr="00282AC9">
              <w:rPr>
                <w:rFonts w:cs="DanaFajr" w:hint="cs"/>
                <w:szCs w:val="28"/>
                <w:rtl/>
              </w:rPr>
              <w:t>على</w:t>
            </w:r>
            <w:r w:rsidRPr="00282AC9">
              <w:rPr>
                <w:rFonts w:cs="DanaFajr"/>
                <w:szCs w:val="28"/>
                <w:rtl/>
              </w:rPr>
              <w:t xml:space="preserve"> </w:t>
            </w:r>
            <w:r w:rsidRPr="00282AC9">
              <w:rPr>
                <w:rFonts w:cs="DanaFajr" w:hint="cs"/>
                <w:szCs w:val="28"/>
                <w:rtl/>
              </w:rPr>
              <w:t>الأقزام</w:t>
            </w:r>
            <w:r w:rsidRPr="00282AC9">
              <w:rPr>
                <w:rFonts w:cs="DanaFajr"/>
                <w:szCs w:val="28"/>
                <w:rtl/>
              </w:rPr>
              <w:t xml:space="preserve"> </w:t>
            </w:r>
            <w:r w:rsidRPr="00282AC9">
              <w:rPr>
                <w:rFonts w:cs="DanaFajr" w:hint="cs"/>
                <w:szCs w:val="28"/>
                <w:rtl/>
              </w:rPr>
              <w:t>تهطع</w:t>
            </w:r>
            <w:r w:rsidRPr="00282AC9">
              <w:rPr>
                <w:rFonts w:cs="DanaFajr"/>
                <w:szCs w:val="28"/>
                <w:rtl/>
              </w:rPr>
              <w:t xml:space="preserve"> </w:t>
            </w:r>
            <w:r w:rsidRPr="00282AC9">
              <w:rPr>
                <w:rFonts w:cs="DanaFajr" w:hint="cs"/>
                <w:szCs w:val="28"/>
                <w:rtl/>
              </w:rPr>
              <w:t>جيدا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ورأيتُكَ</w:t>
            </w:r>
            <w:r w:rsidRPr="00282AC9">
              <w:rPr>
                <w:rFonts w:cs="DanaFajr"/>
                <w:szCs w:val="28"/>
                <w:rtl/>
              </w:rPr>
              <w:t xml:space="preserve"> </w:t>
            </w:r>
            <w:r w:rsidRPr="00282AC9">
              <w:rPr>
                <w:rFonts w:cs="DanaFajr" w:hint="cs"/>
                <w:szCs w:val="28"/>
                <w:rtl/>
              </w:rPr>
              <w:t>الفكر</w:t>
            </w:r>
            <w:r w:rsidRPr="00282AC9">
              <w:rPr>
                <w:rFonts w:cs="DanaFajr"/>
                <w:szCs w:val="28"/>
                <w:rtl/>
              </w:rPr>
              <w:t xml:space="preserve"> </w:t>
            </w:r>
            <w:r w:rsidRPr="00282AC9">
              <w:rPr>
                <w:rFonts w:cs="DanaFajr" w:hint="cs"/>
                <w:szCs w:val="28"/>
                <w:rtl/>
              </w:rPr>
              <w:t>الحصيف</w:t>
            </w:r>
            <w:r w:rsidRPr="00282AC9">
              <w:rPr>
                <w:rFonts w:cs="DanaFajr"/>
                <w:szCs w:val="28"/>
                <w:rtl/>
              </w:rPr>
              <w:t xml:space="preserve"> </w:t>
            </w:r>
            <w:r w:rsidRPr="00282AC9">
              <w:rPr>
                <w:rFonts w:cs="DanaFajr" w:hint="cs"/>
                <w:szCs w:val="28"/>
                <w:rtl/>
              </w:rPr>
              <w:t>يشقّ</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أستار</w:t>
            </w:r>
            <w:r w:rsidRPr="00282AC9">
              <w:rPr>
                <w:rFonts w:cs="DanaFajr"/>
                <w:szCs w:val="28"/>
                <w:rtl/>
              </w:rPr>
              <w:t xml:space="preserve"> </w:t>
            </w:r>
            <w:r w:rsidRPr="00282AC9">
              <w:rPr>
                <w:rFonts w:cs="DanaFajr" w:hint="cs"/>
                <w:szCs w:val="28"/>
                <w:rtl/>
              </w:rPr>
              <w:t>الغيوب</w:t>
            </w:r>
            <w:r w:rsidRPr="00282AC9">
              <w:rPr>
                <w:rFonts w:cs="DanaFajr"/>
                <w:szCs w:val="28"/>
                <w:rtl/>
              </w:rPr>
              <w:t xml:space="preserve"> </w:t>
            </w:r>
            <w:r w:rsidRPr="00282AC9">
              <w:rPr>
                <w:rFonts w:cs="DanaFajr" w:hint="cs"/>
                <w:szCs w:val="28"/>
                <w:rtl/>
              </w:rPr>
              <w:t>ويستشفّ</w:t>
            </w:r>
            <w:r w:rsidRPr="00282AC9">
              <w:rPr>
                <w:rFonts w:cs="DanaFajr"/>
                <w:szCs w:val="28"/>
                <w:rtl/>
              </w:rPr>
              <w:t xml:space="preserve"> </w:t>
            </w:r>
            <w:r w:rsidRPr="00282AC9">
              <w:rPr>
                <w:rFonts w:cs="DanaFajr" w:hint="cs"/>
                <w:szCs w:val="28"/>
                <w:rtl/>
              </w:rPr>
              <w:t>بعيدا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ورأيتُكَ</w:t>
            </w:r>
            <w:r w:rsidRPr="00282AC9">
              <w:rPr>
                <w:rFonts w:cs="DanaFajr"/>
                <w:szCs w:val="28"/>
                <w:rtl/>
              </w:rPr>
              <w:t xml:space="preserve"> </w:t>
            </w:r>
            <w:r w:rsidRPr="00282AC9">
              <w:rPr>
                <w:rFonts w:cs="DanaFajr" w:hint="cs"/>
                <w:szCs w:val="28"/>
                <w:rtl/>
              </w:rPr>
              <w:t>النفس</w:t>
            </w:r>
            <w:r w:rsidRPr="00282AC9">
              <w:rPr>
                <w:rFonts w:cs="DanaFajr"/>
                <w:szCs w:val="28"/>
                <w:rtl/>
              </w:rPr>
              <w:t xml:space="preserve"> </w:t>
            </w:r>
            <w:r w:rsidRPr="00282AC9">
              <w:rPr>
                <w:rFonts w:cs="DanaFajr" w:hint="cs"/>
                <w:szCs w:val="28"/>
                <w:rtl/>
              </w:rPr>
              <w:t>الكبيرة لم</w:t>
            </w:r>
            <w:r w:rsidRPr="00282AC9">
              <w:rPr>
                <w:rFonts w:cs="DanaFajr"/>
                <w:szCs w:val="28"/>
                <w:rtl/>
              </w:rPr>
              <w:t xml:space="preserve"> </w:t>
            </w:r>
            <w:r w:rsidRPr="00282AC9">
              <w:rPr>
                <w:rFonts w:cs="DanaFajr" w:hint="cs"/>
                <w:szCs w:val="28"/>
                <w:rtl/>
              </w:rPr>
              <w:t>تكُنْ</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حتّى</w:t>
            </w:r>
            <w:r w:rsidRPr="00282AC9">
              <w:rPr>
                <w:rFonts w:cs="DanaFajr"/>
                <w:szCs w:val="28"/>
                <w:rtl/>
              </w:rPr>
              <w:t xml:space="preserve"> </w:t>
            </w:r>
            <w:r w:rsidRPr="00282AC9">
              <w:rPr>
                <w:rFonts w:cs="DanaFajr" w:hint="cs"/>
                <w:szCs w:val="28"/>
                <w:rtl/>
              </w:rPr>
              <w:t>على</w:t>
            </w:r>
            <w:r w:rsidRPr="00282AC9">
              <w:rPr>
                <w:rFonts w:cs="DanaFajr"/>
                <w:szCs w:val="28"/>
                <w:rtl/>
              </w:rPr>
              <w:t xml:space="preserve"> </w:t>
            </w:r>
            <w:r w:rsidRPr="00282AC9">
              <w:rPr>
                <w:rFonts w:cs="DanaFajr" w:hint="cs"/>
                <w:szCs w:val="28"/>
                <w:rtl/>
              </w:rPr>
              <w:t>مَنْ</w:t>
            </w:r>
            <w:r w:rsidRPr="00282AC9">
              <w:rPr>
                <w:rFonts w:cs="DanaFajr"/>
                <w:szCs w:val="28"/>
                <w:rtl/>
              </w:rPr>
              <w:t xml:space="preserve"> </w:t>
            </w:r>
            <w:r w:rsidRPr="00282AC9">
              <w:rPr>
                <w:rFonts w:cs="DanaFajr" w:hint="cs"/>
                <w:szCs w:val="28"/>
                <w:rtl/>
              </w:rPr>
              <w:t>قاتلوك</w:t>
            </w:r>
            <w:r w:rsidRPr="00282AC9">
              <w:rPr>
                <w:rFonts w:cs="DanaFajr"/>
                <w:szCs w:val="28"/>
                <w:rtl/>
              </w:rPr>
              <w:t xml:space="preserve"> </w:t>
            </w:r>
            <w:r w:rsidRPr="00282AC9">
              <w:rPr>
                <w:rFonts w:cs="DanaFajr" w:hint="cs"/>
                <w:szCs w:val="28"/>
                <w:rtl/>
              </w:rPr>
              <w:t>حقودا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فعلمْتُ</w:t>
            </w:r>
            <w:r w:rsidRPr="00282AC9">
              <w:rPr>
                <w:rFonts w:cs="DanaFajr"/>
                <w:szCs w:val="28"/>
                <w:rtl/>
              </w:rPr>
              <w:t xml:space="preserve"> </w:t>
            </w:r>
            <w:r w:rsidRPr="00282AC9">
              <w:rPr>
                <w:rFonts w:cs="DanaFajr" w:hint="cs"/>
                <w:szCs w:val="28"/>
                <w:rtl/>
              </w:rPr>
              <w:t>أنك</w:t>
            </w:r>
            <w:r w:rsidRPr="00282AC9">
              <w:rPr>
                <w:rFonts w:cs="DanaFajr"/>
                <w:szCs w:val="28"/>
                <w:rtl/>
              </w:rPr>
              <w:t xml:space="preserve"> </w:t>
            </w:r>
            <w:r w:rsidRPr="00282AC9">
              <w:rPr>
                <w:rFonts w:cs="DanaFajr" w:hint="cs"/>
                <w:szCs w:val="28"/>
                <w:rtl/>
              </w:rPr>
              <w:t>نائلٌ</w:t>
            </w:r>
            <w:r w:rsidRPr="00282AC9">
              <w:rPr>
                <w:rFonts w:cs="DanaFajr"/>
                <w:szCs w:val="28"/>
                <w:rtl/>
              </w:rPr>
              <w:t xml:space="preserve"> </w:t>
            </w:r>
            <w:r w:rsidRPr="00282AC9">
              <w:rPr>
                <w:rFonts w:cs="DanaFajr" w:hint="cs"/>
                <w:szCs w:val="28"/>
                <w:rtl/>
              </w:rPr>
              <w:t>ما</w:t>
            </w:r>
            <w:r w:rsidRPr="00282AC9">
              <w:rPr>
                <w:rFonts w:cs="DanaFajr"/>
                <w:szCs w:val="28"/>
                <w:rtl/>
              </w:rPr>
              <w:t xml:space="preserve"> </w:t>
            </w:r>
            <w:r w:rsidRPr="00282AC9">
              <w:rPr>
                <w:rFonts w:cs="DanaFajr" w:hint="cs"/>
                <w:szCs w:val="28"/>
                <w:rtl/>
              </w:rPr>
              <w:t>تبتغي</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حتماً</w:t>
            </w:r>
            <w:r w:rsidRPr="00282AC9">
              <w:rPr>
                <w:rFonts w:cs="DanaFajr"/>
                <w:szCs w:val="28"/>
                <w:rtl/>
              </w:rPr>
              <w:t xml:space="preserve"> </w:t>
            </w:r>
            <w:r w:rsidRPr="00282AC9">
              <w:rPr>
                <w:rFonts w:cs="DanaFajr" w:hint="cs"/>
                <w:szCs w:val="28"/>
                <w:rtl/>
              </w:rPr>
              <w:t>وإن</w:t>
            </w:r>
            <w:r w:rsidRPr="00282AC9">
              <w:rPr>
                <w:rFonts w:cs="DanaFajr"/>
                <w:szCs w:val="28"/>
                <w:rtl/>
              </w:rPr>
              <w:t xml:space="preserve"> </w:t>
            </w:r>
            <w:r w:rsidRPr="00282AC9">
              <w:rPr>
                <w:rFonts w:cs="DanaFajr" w:hint="cs"/>
                <w:szCs w:val="28"/>
                <w:rtl/>
              </w:rPr>
              <w:t>يك</w:t>
            </w:r>
            <w:r w:rsidRPr="00282AC9">
              <w:rPr>
                <w:rFonts w:cs="DanaFajr"/>
                <w:szCs w:val="28"/>
                <w:rtl/>
              </w:rPr>
              <w:t xml:space="preserve"> </w:t>
            </w:r>
            <w:r w:rsidRPr="00282AC9">
              <w:rPr>
                <w:rFonts w:cs="DanaFajr" w:hint="cs"/>
                <w:szCs w:val="28"/>
                <w:rtl/>
              </w:rPr>
              <w:t>شلوك</w:t>
            </w:r>
            <w:r w:rsidRPr="00282AC9">
              <w:rPr>
                <w:rFonts w:cs="DanaFajr"/>
                <w:szCs w:val="28"/>
                <w:rtl/>
              </w:rPr>
              <w:t xml:space="preserve"> </w:t>
            </w:r>
            <w:r w:rsidRPr="00282AC9">
              <w:rPr>
                <w:rFonts w:cs="DanaFajr" w:hint="cs"/>
                <w:szCs w:val="28"/>
                <w:rtl/>
              </w:rPr>
              <w:t>المقدودا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وبأن</w:t>
            </w:r>
            <w:r w:rsidRPr="00282AC9">
              <w:rPr>
                <w:rFonts w:cs="DanaFajr"/>
                <w:szCs w:val="28"/>
                <w:rtl/>
              </w:rPr>
              <w:t xml:space="preserve"> </w:t>
            </w:r>
            <w:r w:rsidRPr="00282AC9">
              <w:rPr>
                <w:rFonts w:cs="DanaFajr" w:hint="cs"/>
                <w:szCs w:val="28"/>
                <w:rtl/>
              </w:rPr>
              <w:t>مَنْ</w:t>
            </w:r>
            <w:r w:rsidRPr="00282AC9">
              <w:rPr>
                <w:rFonts w:cs="DanaFajr"/>
                <w:szCs w:val="28"/>
                <w:rtl/>
              </w:rPr>
              <w:t xml:space="preserve"> </w:t>
            </w:r>
            <w:r w:rsidRPr="00282AC9">
              <w:rPr>
                <w:rFonts w:cs="DanaFajr" w:hint="cs"/>
                <w:szCs w:val="28"/>
                <w:rtl/>
              </w:rPr>
              <w:t>قتلوك</w:t>
            </w:r>
            <w:r w:rsidRPr="00282AC9">
              <w:rPr>
                <w:rFonts w:cs="DanaFajr"/>
                <w:szCs w:val="28"/>
                <w:rtl/>
              </w:rPr>
              <w:t xml:space="preserve"> </w:t>
            </w:r>
            <w:r w:rsidRPr="00282AC9">
              <w:rPr>
                <w:rFonts w:cs="DanaFajr" w:hint="cs"/>
                <w:szCs w:val="28"/>
                <w:rtl/>
              </w:rPr>
              <w:t>ودّوا عكسَ</w:t>
            </w:r>
            <w:r w:rsidRPr="00282AC9">
              <w:rPr>
                <w:rFonts w:cs="DanaFajr"/>
                <w:szCs w:val="28"/>
                <w:rtl/>
              </w:rPr>
              <w:t xml:space="preserve"> </w:t>
            </w:r>
            <w:r w:rsidRPr="00282AC9">
              <w:rPr>
                <w:rFonts w:cs="DanaFajr" w:hint="cs"/>
                <w:szCs w:val="28"/>
                <w:rtl/>
              </w:rPr>
              <w:t>ما</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قد</w:t>
            </w:r>
            <w:r w:rsidRPr="00282AC9">
              <w:rPr>
                <w:rFonts w:cs="DanaFajr"/>
                <w:szCs w:val="28"/>
                <w:rtl/>
              </w:rPr>
              <w:t xml:space="preserve"> </w:t>
            </w:r>
            <w:r w:rsidRPr="00282AC9">
              <w:rPr>
                <w:rFonts w:cs="DanaFajr" w:hint="cs"/>
                <w:szCs w:val="28"/>
                <w:rtl/>
              </w:rPr>
              <w:t>كان</w:t>
            </w:r>
            <w:r w:rsidRPr="00282AC9">
              <w:rPr>
                <w:rFonts w:cs="DanaFajr"/>
                <w:szCs w:val="28"/>
                <w:rtl/>
              </w:rPr>
              <w:t xml:space="preserve"> </w:t>
            </w:r>
            <w:r w:rsidRPr="00282AC9">
              <w:rPr>
                <w:rFonts w:cs="DanaFajr" w:hint="cs"/>
                <w:szCs w:val="28"/>
                <w:rtl/>
              </w:rPr>
              <w:t>لو</w:t>
            </w:r>
            <w:r w:rsidRPr="00282AC9">
              <w:rPr>
                <w:rFonts w:cs="DanaFajr"/>
                <w:szCs w:val="28"/>
                <w:rtl/>
              </w:rPr>
              <w:t xml:space="preserve"> </w:t>
            </w:r>
            <w:r w:rsidRPr="00282AC9">
              <w:rPr>
                <w:rFonts w:cs="DanaFajr" w:hint="cs"/>
                <w:szCs w:val="28"/>
                <w:rtl/>
              </w:rPr>
              <w:t>علموا المَدَى المقصودا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ظنّوا</w:t>
            </w:r>
            <w:r w:rsidRPr="00282AC9">
              <w:rPr>
                <w:rFonts w:cs="DanaFajr"/>
                <w:szCs w:val="28"/>
                <w:rtl/>
              </w:rPr>
              <w:t xml:space="preserve"> </w:t>
            </w:r>
            <w:r w:rsidRPr="00282AC9">
              <w:rPr>
                <w:rFonts w:cs="DanaFajr" w:hint="cs"/>
                <w:szCs w:val="28"/>
                <w:rtl/>
              </w:rPr>
              <w:t>بأن</w:t>
            </w:r>
            <w:r w:rsidRPr="00282AC9">
              <w:rPr>
                <w:rFonts w:cs="DanaFajr"/>
                <w:szCs w:val="28"/>
                <w:rtl/>
              </w:rPr>
              <w:t xml:space="preserve"> </w:t>
            </w:r>
            <w:r w:rsidRPr="00282AC9">
              <w:rPr>
                <w:rFonts w:cs="DanaFajr" w:hint="cs"/>
                <w:szCs w:val="28"/>
                <w:rtl/>
              </w:rPr>
              <w:t>قتل</w:t>
            </w:r>
            <w:r w:rsidRPr="00282AC9">
              <w:rPr>
                <w:rFonts w:cs="DanaFajr"/>
                <w:szCs w:val="28"/>
                <w:rtl/>
              </w:rPr>
              <w:t xml:space="preserve"> </w:t>
            </w:r>
            <w:r w:rsidRPr="00282AC9">
              <w:rPr>
                <w:rFonts w:cs="DanaFajr" w:hint="cs"/>
                <w:szCs w:val="28"/>
                <w:rtl/>
              </w:rPr>
              <w:t>الحسينَ</w:t>
            </w:r>
            <w:r w:rsidRPr="00282AC9">
              <w:rPr>
                <w:rFonts w:cs="DanaFajr"/>
                <w:szCs w:val="28"/>
                <w:rtl/>
              </w:rPr>
              <w:t xml:space="preserve"> </w:t>
            </w:r>
            <w:r w:rsidRPr="00282AC9">
              <w:rPr>
                <w:rFonts w:cs="DanaFajr" w:hint="cs"/>
                <w:szCs w:val="28"/>
                <w:rtl/>
              </w:rPr>
              <w:t>يزيدُهم</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لكنّما</w:t>
            </w:r>
            <w:r w:rsidRPr="00282AC9">
              <w:rPr>
                <w:rFonts w:cs="DanaFajr"/>
                <w:szCs w:val="28"/>
                <w:rtl/>
              </w:rPr>
              <w:t xml:space="preserve"> </w:t>
            </w:r>
            <w:r w:rsidRPr="00282AC9">
              <w:rPr>
                <w:rFonts w:cs="DanaFajr" w:hint="cs"/>
                <w:szCs w:val="28"/>
                <w:rtl/>
              </w:rPr>
              <w:t>قتل</w:t>
            </w:r>
            <w:r w:rsidRPr="00282AC9">
              <w:rPr>
                <w:rFonts w:cs="DanaFajr"/>
                <w:szCs w:val="28"/>
                <w:rtl/>
              </w:rPr>
              <w:t xml:space="preserve"> </w:t>
            </w:r>
            <w:r w:rsidRPr="00282AC9">
              <w:rPr>
                <w:rFonts w:cs="DanaFajr" w:hint="cs"/>
                <w:szCs w:val="28"/>
                <w:rtl/>
              </w:rPr>
              <w:t>الحسينُ</w:t>
            </w:r>
            <w:r w:rsidRPr="00282AC9">
              <w:rPr>
                <w:rFonts w:cs="DanaFajr"/>
                <w:szCs w:val="28"/>
                <w:rtl/>
              </w:rPr>
              <w:t xml:space="preserve"> </w:t>
            </w:r>
            <w:r w:rsidRPr="00282AC9">
              <w:rPr>
                <w:rFonts w:cs="DanaFajr" w:hint="cs"/>
                <w:szCs w:val="28"/>
                <w:rtl/>
              </w:rPr>
              <w:t>يزيدا</w:t>
            </w:r>
            <w:r w:rsidRPr="00282AC9">
              <w:rPr>
                <w:rFonts w:cs="DanaFajr" w:hint="cs"/>
                <w:szCs w:val="28"/>
                <w:rtl/>
              </w:rPr>
              <w:br/>
            </w:r>
          </w:p>
        </w:tc>
      </w:tr>
    </w:tbl>
    <w:p w:rsidR="00C14EDE" w:rsidRPr="00282AC9" w:rsidRDefault="00C14EDE" w:rsidP="00DE48C1">
      <w:pPr>
        <w:pStyle w:val="af7"/>
        <w:bidi w:val="0"/>
        <w:spacing w:line="300" w:lineRule="exact"/>
        <w:ind w:firstLine="0"/>
        <w:rPr>
          <w:rFonts w:asciiTheme="majorBidi" w:hAnsiTheme="majorBidi" w:cstheme="majorBidi"/>
          <w:rtl/>
        </w:rPr>
      </w:pPr>
      <w:r w:rsidRPr="00282AC9">
        <w:rPr>
          <w:rFonts w:asciiTheme="majorBidi" w:hAnsiTheme="majorBidi" w:cstheme="majorBidi"/>
        </w:rPr>
        <w:t>https://forums.alkafeel.net/showthread.php?t=80081</w:t>
      </w:r>
    </w:p>
    <w:p w:rsidR="00C14EDE" w:rsidRPr="00282AC9" w:rsidRDefault="00C14EDE" w:rsidP="00DE48C1">
      <w:pPr>
        <w:pStyle w:val="af7"/>
        <w:spacing w:line="300" w:lineRule="exact"/>
        <w:ind w:firstLine="0"/>
        <w:rPr>
          <w:rFonts w:cs="DanaFajr"/>
          <w:sz w:val="28"/>
          <w:szCs w:val="28"/>
          <w:rtl/>
        </w:rPr>
      </w:pPr>
      <w:r w:rsidRPr="00282AC9">
        <w:rPr>
          <w:rFonts w:cs="DanaFajr" w:hint="cs"/>
          <w:sz w:val="28"/>
          <w:szCs w:val="28"/>
          <w:rtl/>
        </w:rPr>
        <w:t>وقال الأستاذ</w:t>
      </w:r>
      <w:r w:rsidRPr="00282AC9">
        <w:rPr>
          <w:rFonts w:cs="DanaFajr"/>
          <w:sz w:val="28"/>
          <w:szCs w:val="28"/>
          <w:rtl/>
        </w:rPr>
        <w:t xml:space="preserve"> </w:t>
      </w:r>
      <w:r w:rsidRPr="00282AC9">
        <w:rPr>
          <w:rFonts w:cs="DanaFajr" w:hint="cs"/>
          <w:sz w:val="28"/>
          <w:szCs w:val="28"/>
          <w:rtl/>
        </w:rPr>
        <w:t>عبد</w:t>
      </w:r>
      <w:r w:rsidRPr="00282AC9">
        <w:rPr>
          <w:rFonts w:cs="DanaFajr"/>
          <w:sz w:val="28"/>
          <w:szCs w:val="28"/>
          <w:rtl/>
        </w:rPr>
        <w:t xml:space="preserve"> </w:t>
      </w:r>
      <w:r w:rsidRPr="00282AC9">
        <w:rPr>
          <w:rFonts w:cs="DanaFajr" w:hint="cs"/>
          <w:sz w:val="28"/>
          <w:szCs w:val="28"/>
          <w:rtl/>
        </w:rPr>
        <w:t>الجليل</w:t>
      </w:r>
      <w:r w:rsidRPr="00282AC9">
        <w:rPr>
          <w:rFonts w:cs="DanaFajr"/>
          <w:sz w:val="28"/>
          <w:szCs w:val="28"/>
          <w:rtl/>
        </w:rPr>
        <w:t xml:space="preserve"> </w:t>
      </w:r>
      <w:r w:rsidRPr="00282AC9">
        <w:rPr>
          <w:rFonts w:cs="DanaFajr" w:hint="cs"/>
          <w:sz w:val="28"/>
          <w:szCs w:val="28"/>
          <w:rtl/>
        </w:rPr>
        <w:t>الرفاعي:</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ظنّوا</w:t>
            </w:r>
            <w:r w:rsidRPr="00282AC9">
              <w:rPr>
                <w:rFonts w:cs="DanaFajr"/>
                <w:szCs w:val="28"/>
                <w:rtl/>
              </w:rPr>
              <w:t xml:space="preserve"> </w:t>
            </w:r>
            <w:r w:rsidRPr="00282AC9">
              <w:rPr>
                <w:rFonts w:cs="DanaFajr" w:hint="cs"/>
                <w:szCs w:val="28"/>
                <w:rtl/>
              </w:rPr>
              <w:t>بأن</w:t>
            </w:r>
            <w:r w:rsidRPr="00282AC9">
              <w:rPr>
                <w:rFonts w:cs="DanaFajr"/>
                <w:szCs w:val="28"/>
                <w:rtl/>
              </w:rPr>
              <w:t xml:space="preserve"> </w:t>
            </w:r>
            <w:r w:rsidRPr="00282AC9">
              <w:rPr>
                <w:rFonts w:cs="DanaFajr" w:hint="cs"/>
                <w:szCs w:val="28"/>
                <w:rtl/>
              </w:rPr>
              <w:t>قتل</w:t>
            </w:r>
            <w:r w:rsidRPr="00282AC9">
              <w:rPr>
                <w:rFonts w:cs="DanaFajr"/>
                <w:szCs w:val="28"/>
                <w:rtl/>
              </w:rPr>
              <w:t xml:space="preserve"> </w:t>
            </w:r>
            <w:r w:rsidRPr="00282AC9">
              <w:rPr>
                <w:rFonts w:cs="DanaFajr" w:hint="cs"/>
                <w:szCs w:val="28"/>
                <w:rtl/>
              </w:rPr>
              <w:t>الحسينَ</w:t>
            </w:r>
            <w:r w:rsidRPr="00282AC9">
              <w:rPr>
                <w:rFonts w:cs="DanaFajr"/>
                <w:szCs w:val="28"/>
                <w:rtl/>
              </w:rPr>
              <w:t xml:space="preserve"> </w:t>
            </w:r>
            <w:r w:rsidRPr="00282AC9">
              <w:rPr>
                <w:rFonts w:cs="DanaFajr" w:hint="cs"/>
                <w:szCs w:val="28"/>
                <w:rtl/>
              </w:rPr>
              <w:t>يزيدُهم</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إن</w:t>
            </w:r>
            <w:r w:rsidRPr="00282AC9">
              <w:rPr>
                <w:rFonts w:cs="DanaFajr"/>
                <w:szCs w:val="28"/>
                <w:rtl/>
              </w:rPr>
              <w:t xml:space="preserve"> </w:t>
            </w:r>
            <w:r w:rsidRPr="00282AC9">
              <w:rPr>
                <w:rFonts w:cs="DanaFajr" w:hint="cs"/>
                <w:szCs w:val="28"/>
                <w:rtl/>
              </w:rPr>
              <w:t>ابنَ</w:t>
            </w:r>
            <w:r w:rsidRPr="00282AC9">
              <w:rPr>
                <w:rFonts w:cs="DanaFajr"/>
                <w:szCs w:val="28"/>
                <w:rtl/>
              </w:rPr>
              <w:t xml:space="preserve"> </w:t>
            </w:r>
            <w:r w:rsidRPr="00282AC9">
              <w:rPr>
                <w:rFonts w:cs="DanaFajr" w:hint="cs"/>
                <w:szCs w:val="28"/>
                <w:rtl/>
              </w:rPr>
              <w:t>آوى</w:t>
            </w:r>
            <w:r w:rsidRPr="00282AC9">
              <w:rPr>
                <w:rFonts w:cs="DanaFajr"/>
                <w:szCs w:val="28"/>
                <w:rtl/>
              </w:rPr>
              <w:t xml:space="preserve"> </w:t>
            </w:r>
            <w:r w:rsidRPr="00282AC9">
              <w:rPr>
                <w:rFonts w:cs="DanaFajr" w:hint="cs"/>
                <w:szCs w:val="28"/>
                <w:rtl/>
              </w:rPr>
              <w:t>لن</w:t>
            </w:r>
            <w:r w:rsidRPr="00282AC9">
              <w:rPr>
                <w:rFonts w:cs="DanaFajr"/>
                <w:szCs w:val="28"/>
                <w:rtl/>
              </w:rPr>
              <w:t xml:space="preserve"> </w:t>
            </w:r>
            <w:r w:rsidRPr="00282AC9">
              <w:rPr>
                <w:rFonts w:cs="DanaFajr" w:hint="cs"/>
                <w:szCs w:val="28"/>
                <w:rtl/>
              </w:rPr>
              <w:t>يكون</w:t>
            </w:r>
            <w:r w:rsidRPr="00282AC9">
              <w:rPr>
                <w:rFonts w:cs="DanaFajr"/>
                <w:szCs w:val="28"/>
                <w:rtl/>
              </w:rPr>
              <w:t xml:space="preserve"> </w:t>
            </w:r>
            <w:r w:rsidRPr="00282AC9">
              <w:rPr>
                <w:rFonts w:cs="DanaFajr" w:hint="cs"/>
                <w:szCs w:val="28"/>
                <w:rtl/>
              </w:rPr>
              <w:t>هَصُورا</w:t>
            </w:r>
            <w:r w:rsidRPr="00282AC9">
              <w:rPr>
                <w:rFonts w:cs="DanaFajr" w:hint="cs"/>
                <w:szCs w:val="28"/>
                <w:rtl/>
              </w:rPr>
              <w:br/>
            </w:r>
          </w:p>
        </w:tc>
      </w:tr>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لكنّما</w:t>
            </w:r>
            <w:r w:rsidRPr="00282AC9">
              <w:rPr>
                <w:rFonts w:cs="DanaFajr"/>
                <w:szCs w:val="28"/>
                <w:rtl/>
              </w:rPr>
              <w:t xml:space="preserve"> </w:t>
            </w:r>
            <w:r w:rsidRPr="00282AC9">
              <w:rPr>
                <w:rFonts w:cs="DanaFajr" w:hint="cs"/>
                <w:szCs w:val="28"/>
                <w:rtl/>
              </w:rPr>
              <w:t>قتل</w:t>
            </w:r>
            <w:r w:rsidRPr="00282AC9">
              <w:rPr>
                <w:rFonts w:cs="DanaFajr"/>
                <w:szCs w:val="28"/>
                <w:rtl/>
              </w:rPr>
              <w:t xml:space="preserve"> </w:t>
            </w:r>
            <w:r w:rsidRPr="00282AC9">
              <w:rPr>
                <w:rFonts w:cs="DanaFajr" w:hint="cs"/>
                <w:szCs w:val="28"/>
                <w:rtl/>
              </w:rPr>
              <w:t>الحسينُ</w:t>
            </w:r>
            <w:r w:rsidRPr="00282AC9">
              <w:rPr>
                <w:rFonts w:cs="DanaFajr"/>
                <w:szCs w:val="28"/>
                <w:rtl/>
              </w:rPr>
              <w:t xml:space="preserve"> </w:t>
            </w:r>
            <w:r w:rsidRPr="00282AC9">
              <w:rPr>
                <w:rFonts w:cs="DanaFajr" w:hint="cs"/>
                <w:szCs w:val="28"/>
                <w:rtl/>
              </w:rPr>
              <w:t>يزيدَهم</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ذِكْرُ</w:t>
            </w:r>
            <w:r w:rsidRPr="00282AC9">
              <w:rPr>
                <w:rFonts w:cs="DanaFajr"/>
                <w:szCs w:val="28"/>
                <w:rtl/>
              </w:rPr>
              <w:t xml:space="preserve"> </w:t>
            </w:r>
            <w:r w:rsidRPr="00282AC9">
              <w:rPr>
                <w:rFonts w:cs="DanaFajr" w:hint="cs"/>
                <w:szCs w:val="28"/>
                <w:rtl/>
              </w:rPr>
              <w:t>ابن</w:t>
            </w:r>
            <w:r w:rsidRPr="00282AC9">
              <w:rPr>
                <w:rFonts w:cs="DanaFajr"/>
                <w:szCs w:val="28"/>
                <w:rtl/>
              </w:rPr>
              <w:t xml:space="preserve"> </w:t>
            </w:r>
            <w:r w:rsidRPr="00282AC9">
              <w:rPr>
                <w:rFonts w:cs="DanaFajr" w:hint="cs"/>
                <w:szCs w:val="28"/>
                <w:rtl/>
              </w:rPr>
              <w:t>هندٍ</w:t>
            </w:r>
            <w:r w:rsidRPr="00282AC9">
              <w:rPr>
                <w:rFonts w:cs="DanaFajr"/>
                <w:szCs w:val="28"/>
                <w:rtl/>
              </w:rPr>
              <w:t xml:space="preserve"> </w:t>
            </w:r>
            <w:r w:rsidRPr="00282AC9">
              <w:rPr>
                <w:rFonts w:cs="DanaFajr" w:hint="cs"/>
                <w:szCs w:val="28"/>
                <w:rtl/>
              </w:rPr>
              <w:t>قد</w:t>
            </w:r>
            <w:r w:rsidRPr="00282AC9">
              <w:rPr>
                <w:rFonts w:cs="DanaFajr"/>
                <w:szCs w:val="28"/>
                <w:rtl/>
              </w:rPr>
              <w:t xml:space="preserve"> </w:t>
            </w:r>
            <w:r w:rsidRPr="00282AC9">
              <w:rPr>
                <w:rFonts w:cs="DanaFajr" w:hint="cs"/>
                <w:szCs w:val="28"/>
                <w:rtl/>
              </w:rPr>
              <w:t>غدا</w:t>
            </w:r>
            <w:r w:rsidRPr="00282AC9">
              <w:rPr>
                <w:rFonts w:cs="DanaFajr"/>
                <w:szCs w:val="28"/>
                <w:rtl/>
              </w:rPr>
              <w:t xml:space="preserve"> </w:t>
            </w:r>
            <w:r w:rsidRPr="00282AC9">
              <w:rPr>
                <w:rFonts w:cs="DanaFajr" w:hint="cs"/>
                <w:szCs w:val="28"/>
                <w:rtl/>
              </w:rPr>
              <w:t>مبتورا</w:t>
            </w:r>
            <w:r w:rsidRPr="00282AC9">
              <w:rPr>
                <w:rFonts w:cs="DanaFajr" w:hint="cs"/>
                <w:szCs w:val="28"/>
                <w:rtl/>
              </w:rPr>
              <w:br/>
            </w:r>
          </w:p>
        </w:tc>
      </w:tr>
    </w:tbl>
    <w:p w:rsidR="00C14EDE" w:rsidRPr="00282AC9" w:rsidRDefault="00487E34" w:rsidP="00DE48C1">
      <w:pPr>
        <w:pStyle w:val="af7"/>
        <w:bidi w:val="0"/>
        <w:spacing w:line="300" w:lineRule="exact"/>
        <w:ind w:firstLine="0"/>
        <w:rPr>
          <w:rFonts w:asciiTheme="majorBidi" w:hAnsiTheme="majorBidi" w:cstheme="majorBidi"/>
          <w:rtl/>
        </w:rPr>
      </w:pPr>
      <w:hyperlink r:id="rId1" w:history="1">
        <w:r w:rsidR="00C14EDE" w:rsidRPr="00282AC9">
          <w:rPr>
            <w:rStyle w:val="Hyperlink"/>
            <w:rFonts w:asciiTheme="majorBidi" w:hAnsiTheme="majorBidi" w:cstheme="majorBidi"/>
            <w:color w:val="auto"/>
            <w:u w:val="none"/>
          </w:rPr>
          <w:t>http://arabic.irib.ir/programs/item/10227</w:t>
        </w:r>
      </w:hyperlink>
    </w:p>
    <w:p w:rsidR="00C14EDE" w:rsidRPr="00282AC9" w:rsidRDefault="00C14EDE" w:rsidP="00DE48C1">
      <w:pPr>
        <w:pStyle w:val="af7"/>
        <w:spacing w:line="300" w:lineRule="exact"/>
        <w:ind w:firstLine="0"/>
        <w:rPr>
          <w:rFonts w:cs="DanaFajr"/>
          <w:sz w:val="28"/>
          <w:szCs w:val="28"/>
        </w:rPr>
      </w:pPr>
      <w:r w:rsidRPr="00282AC9">
        <w:rPr>
          <w:rFonts w:cs="DanaFajr" w:hint="cs"/>
          <w:sz w:val="28"/>
          <w:szCs w:val="28"/>
          <w:rtl/>
        </w:rPr>
        <w:t>ويقول الشاعر</w:t>
      </w:r>
      <w:r w:rsidRPr="00282AC9">
        <w:rPr>
          <w:rFonts w:cs="DanaFajr"/>
          <w:sz w:val="28"/>
          <w:szCs w:val="28"/>
          <w:rtl/>
        </w:rPr>
        <w:t xml:space="preserve"> </w:t>
      </w:r>
      <w:r w:rsidRPr="00282AC9">
        <w:rPr>
          <w:rFonts w:cs="DanaFajr" w:hint="cs"/>
          <w:sz w:val="28"/>
          <w:szCs w:val="28"/>
          <w:rtl/>
        </w:rPr>
        <w:t>المسيحي</w:t>
      </w:r>
      <w:r w:rsidRPr="00282AC9">
        <w:rPr>
          <w:rFonts w:cs="DanaFajr"/>
          <w:sz w:val="28"/>
          <w:szCs w:val="28"/>
          <w:rtl/>
        </w:rPr>
        <w:t xml:space="preserve"> </w:t>
      </w:r>
      <w:r w:rsidRPr="00282AC9">
        <w:rPr>
          <w:rFonts w:cs="DanaFajr" w:hint="cs"/>
          <w:sz w:val="28"/>
          <w:szCs w:val="28"/>
          <w:rtl/>
        </w:rPr>
        <w:t>بولس</w:t>
      </w:r>
      <w:r w:rsidRPr="00282AC9">
        <w:rPr>
          <w:rFonts w:cs="DanaFajr"/>
          <w:sz w:val="28"/>
          <w:szCs w:val="28"/>
          <w:rtl/>
        </w:rPr>
        <w:t xml:space="preserve"> </w:t>
      </w:r>
      <w:r w:rsidRPr="00282AC9">
        <w:rPr>
          <w:rFonts w:cs="DanaFajr" w:hint="cs"/>
          <w:sz w:val="28"/>
          <w:szCs w:val="28"/>
          <w:rtl/>
        </w:rPr>
        <w:t>سلامة</w:t>
      </w:r>
      <w:r w:rsidRPr="00282AC9">
        <w:rPr>
          <w:rFonts w:cs="DanaFajr"/>
          <w:sz w:val="28"/>
          <w:szCs w:val="28"/>
          <w:rtl/>
        </w:rPr>
        <w:t>:</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C14EDE" w:rsidRPr="00282AC9" w:rsidTr="00593CCA">
        <w:trPr>
          <w:jc w:val="center"/>
        </w:trPr>
        <w:tc>
          <w:tcPr>
            <w:tcW w:w="3136"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مأتم</w:t>
            </w:r>
            <w:r w:rsidRPr="00282AC9">
              <w:rPr>
                <w:rFonts w:cs="DanaFajr"/>
                <w:szCs w:val="28"/>
                <w:rtl/>
              </w:rPr>
              <w:t xml:space="preserve"> </w:t>
            </w:r>
            <w:r w:rsidRPr="00282AC9">
              <w:rPr>
                <w:rFonts w:cs="DanaFajr" w:hint="cs"/>
                <w:szCs w:val="28"/>
                <w:rtl/>
              </w:rPr>
              <w:t>القاتلين</w:t>
            </w:r>
            <w:r w:rsidRPr="00282AC9">
              <w:rPr>
                <w:rFonts w:cs="DanaFajr"/>
                <w:szCs w:val="28"/>
                <w:rtl/>
              </w:rPr>
              <w:t xml:space="preserve"> </w:t>
            </w:r>
            <w:r w:rsidRPr="00282AC9">
              <w:rPr>
                <w:rFonts w:cs="DanaFajr" w:hint="cs"/>
                <w:szCs w:val="28"/>
                <w:rtl/>
              </w:rPr>
              <w:t>لا</w:t>
            </w:r>
            <w:r w:rsidRPr="00282AC9">
              <w:rPr>
                <w:rFonts w:cs="DanaFajr"/>
                <w:szCs w:val="28"/>
                <w:rtl/>
              </w:rPr>
              <w:t xml:space="preserve"> </w:t>
            </w:r>
            <w:r w:rsidRPr="00282AC9">
              <w:rPr>
                <w:rFonts w:cs="DanaFajr" w:hint="cs"/>
                <w:szCs w:val="28"/>
                <w:rtl/>
              </w:rPr>
              <w:t>مأتم</w:t>
            </w:r>
            <w:r w:rsidRPr="00282AC9">
              <w:rPr>
                <w:rFonts w:cs="DanaFajr"/>
                <w:szCs w:val="28"/>
                <w:rtl/>
              </w:rPr>
              <w:t xml:space="preserve"> </w:t>
            </w:r>
            <w:r w:rsidRPr="00282AC9">
              <w:rPr>
                <w:rFonts w:cs="DanaFajr" w:hint="cs"/>
                <w:szCs w:val="28"/>
                <w:rtl/>
              </w:rPr>
              <w:t>الـ</w:t>
            </w:r>
            <w:r w:rsidRPr="00282AC9">
              <w:rPr>
                <w:rFonts w:cs="DanaFajr" w:hint="cs"/>
                <w:szCs w:val="28"/>
                <w:rtl/>
              </w:rPr>
              <w:br/>
            </w:r>
          </w:p>
        </w:tc>
        <w:tc>
          <w:tcPr>
            <w:tcW w:w="425" w:type="dxa"/>
          </w:tcPr>
          <w:p w:rsidR="00C14EDE" w:rsidRPr="00282AC9" w:rsidRDefault="00C14EDE" w:rsidP="00A6196F">
            <w:pPr>
              <w:spacing w:line="240" w:lineRule="auto"/>
              <w:ind w:firstLine="0"/>
              <w:jc w:val="lowKashida"/>
              <w:rPr>
                <w:rFonts w:cs="DanaFajr"/>
                <w:szCs w:val="28"/>
                <w:rtl/>
              </w:rPr>
            </w:pPr>
          </w:p>
        </w:tc>
        <w:tc>
          <w:tcPr>
            <w:tcW w:w="3052" w:type="dxa"/>
          </w:tcPr>
          <w:p w:rsidR="00C14EDE" w:rsidRPr="00282AC9" w:rsidRDefault="00C14EDE" w:rsidP="00A6196F">
            <w:pPr>
              <w:spacing w:line="240" w:lineRule="auto"/>
              <w:ind w:firstLine="0"/>
              <w:jc w:val="lowKashida"/>
              <w:rPr>
                <w:rFonts w:cs="DanaFajr"/>
                <w:sz w:val="2"/>
                <w:szCs w:val="2"/>
                <w:rtl/>
              </w:rPr>
            </w:pPr>
            <w:r w:rsidRPr="00282AC9">
              <w:rPr>
                <w:rFonts w:cs="DanaFajr" w:hint="cs"/>
                <w:szCs w:val="28"/>
                <w:rtl/>
              </w:rPr>
              <w:t>قتلى يسيرون</w:t>
            </w:r>
            <w:r w:rsidRPr="00282AC9">
              <w:rPr>
                <w:rFonts w:cs="DanaFajr"/>
                <w:szCs w:val="28"/>
                <w:rtl/>
              </w:rPr>
              <w:t xml:space="preserve"> </w:t>
            </w:r>
            <w:r w:rsidRPr="00282AC9">
              <w:rPr>
                <w:rFonts w:cs="DanaFajr" w:hint="cs"/>
                <w:szCs w:val="28"/>
                <w:rtl/>
              </w:rPr>
              <w:t>للخلود</w:t>
            </w:r>
            <w:r w:rsidRPr="00282AC9">
              <w:rPr>
                <w:rFonts w:cs="DanaFajr"/>
                <w:szCs w:val="28"/>
                <w:rtl/>
              </w:rPr>
              <w:t xml:space="preserve"> </w:t>
            </w:r>
            <w:r w:rsidRPr="00282AC9">
              <w:rPr>
                <w:rFonts w:cs="DanaFajr" w:hint="cs"/>
                <w:szCs w:val="28"/>
                <w:rtl/>
              </w:rPr>
              <w:t>عجالا</w:t>
            </w:r>
            <w:r w:rsidRPr="00282AC9">
              <w:rPr>
                <w:rFonts w:cs="DanaFajr" w:hint="cs"/>
                <w:szCs w:val="28"/>
                <w:rtl/>
              </w:rPr>
              <w:br/>
            </w:r>
          </w:p>
        </w:tc>
      </w:tr>
    </w:tbl>
    <w:p w:rsidR="00C14EDE" w:rsidRPr="00282AC9" w:rsidRDefault="00C14EDE" w:rsidP="00DE48C1">
      <w:pPr>
        <w:pStyle w:val="af7"/>
        <w:bidi w:val="0"/>
        <w:spacing w:line="302" w:lineRule="exact"/>
        <w:ind w:firstLine="0"/>
        <w:rPr>
          <w:rFonts w:asciiTheme="majorBidi" w:hAnsiTheme="majorBidi" w:cstheme="majorBidi"/>
          <w:rtl/>
        </w:rPr>
      </w:pPr>
      <w:r w:rsidRPr="00282AC9">
        <w:rPr>
          <w:rFonts w:asciiTheme="majorBidi" w:hAnsiTheme="majorBidi" w:cstheme="majorBidi"/>
        </w:rPr>
        <w:t>http://www.alwasatnews.com/news/455651.html</w:t>
      </w:r>
    </w:p>
  </w:endnote>
  <w:endnote w:id="763">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حمزة</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محمد</w:t>
      </w:r>
      <w:r w:rsidRPr="00282AC9">
        <w:rPr>
          <w:rFonts w:cs="DanaFajr"/>
          <w:sz w:val="28"/>
          <w:szCs w:val="28"/>
          <w:rtl/>
        </w:rPr>
        <w:t xml:space="preserve"> </w:t>
      </w:r>
      <w:r w:rsidRPr="00282AC9">
        <w:rPr>
          <w:rFonts w:cs="DanaFajr" w:hint="cs"/>
          <w:sz w:val="28"/>
          <w:szCs w:val="28"/>
          <w:rtl/>
        </w:rPr>
        <w:t>العلوي</w:t>
      </w:r>
      <w:r w:rsidRPr="00282AC9">
        <w:rPr>
          <w:rFonts w:cs="DanaFajr"/>
          <w:sz w:val="28"/>
          <w:szCs w:val="28"/>
          <w:rtl/>
        </w:rPr>
        <w:t xml:space="preserve"> </w:t>
      </w:r>
      <w:r w:rsidRPr="00282AC9">
        <w:rPr>
          <w:rFonts w:cs="DanaFajr" w:hint="cs"/>
          <w:sz w:val="28"/>
          <w:szCs w:val="28"/>
          <w:rtl/>
        </w:rPr>
        <w:t>(إمامي ثقة)،</w:t>
      </w:r>
      <w:r w:rsidRPr="00282AC9">
        <w:rPr>
          <w:rFonts w:cs="DanaFajr"/>
          <w:sz w:val="28"/>
          <w:szCs w:val="28"/>
          <w:rtl/>
        </w:rPr>
        <w:t xml:space="preserve"> </w:t>
      </w:r>
      <w:r w:rsidRPr="00282AC9">
        <w:rPr>
          <w:rFonts w:cs="DanaFajr" w:hint="cs"/>
          <w:sz w:val="28"/>
          <w:szCs w:val="28"/>
          <w:rtl/>
        </w:rPr>
        <w:t>عن</w:t>
      </w:r>
      <w:r w:rsidRPr="00282AC9">
        <w:rPr>
          <w:rFonts w:cs="DanaFajr"/>
          <w:sz w:val="28"/>
          <w:szCs w:val="28"/>
          <w:rtl/>
        </w:rPr>
        <w:t xml:space="preserve"> </w:t>
      </w:r>
      <w:r w:rsidRPr="00282AC9">
        <w:rPr>
          <w:rFonts w:cs="DanaFajr" w:hint="cs"/>
          <w:sz w:val="28"/>
          <w:szCs w:val="28"/>
          <w:rtl/>
        </w:rPr>
        <w:t>عليّ</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إبراهيم</w:t>
      </w:r>
      <w:r w:rsidRPr="00282AC9">
        <w:rPr>
          <w:rFonts w:cs="DanaFajr"/>
          <w:sz w:val="28"/>
          <w:szCs w:val="28"/>
          <w:rtl/>
        </w:rPr>
        <w:t xml:space="preserve"> (</w:t>
      </w:r>
      <w:r w:rsidRPr="00282AC9">
        <w:rPr>
          <w:rFonts w:cs="DanaFajr" w:hint="cs"/>
          <w:sz w:val="28"/>
          <w:szCs w:val="28"/>
          <w:rtl/>
        </w:rPr>
        <w:t>إمامي</w:t>
      </w:r>
      <w:r w:rsidRPr="00282AC9">
        <w:rPr>
          <w:rFonts w:cs="DanaFajr"/>
          <w:sz w:val="28"/>
          <w:szCs w:val="28"/>
          <w:rtl/>
        </w:rPr>
        <w:t xml:space="preserve"> </w:t>
      </w:r>
      <w:r w:rsidRPr="00282AC9">
        <w:rPr>
          <w:rFonts w:cs="DanaFajr" w:hint="cs"/>
          <w:sz w:val="28"/>
          <w:szCs w:val="28"/>
          <w:rtl/>
        </w:rPr>
        <w:t>ثقة</w:t>
      </w:r>
      <w:r w:rsidRPr="00282AC9">
        <w:rPr>
          <w:rFonts w:cs="DanaFajr"/>
          <w:sz w:val="28"/>
          <w:szCs w:val="28"/>
          <w:rtl/>
        </w:rPr>
        <w:t>)</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عن أبيه</w:t>
      </w:r>
      <w:r w:rsidRPr="00282AC9">
        <w:rPr>
          <w:rFonts w:cs="DanaFajr"/>
          <w:sz w:val="28"/>
          <w:szCs w:val="28"/>
          <w:rtl/>
        </w:rPr>
        <w:t xml:space="preserve"> (</w:t>
      </w:r>
      <w:r w:rsidRPr="00282AC9">
        <w:rPr>
          <w:rFonts w:cs="DanaFajr" w:hint="cs"/>
          <w:sz w:val="28"/>
          <w:szCs w:val="28"/>
          <w:rtl/>
        </w:rPr>
        <w:t>إمامي</w:t>
      </w:r>
      <w:r w:rsidRPr="00282AC9">
        <w:rPr>
          <w:rFonts w:cs="DanaFajr"/>
          <w:sz w:val="28"/>
          <w:szCs w:val="28"/>
          <w:rtl/>
        </w:rPr>
        <w:t xml:space="preserve"> </w:t>
      </w:r>
      <w:r w:rsidRPr="00282AC9">
        <w:rPr>
          <w:rFonts w:cs="DanaFajr" w:hint="cs"/>
          <w:sz w:val="28"/>
          <w:szCs w:val="28"/>
          <w:rtl/>
        </w:rPr>
        <w:t>ثقة</w:t>
      </w:r>
      <w:r w:rsidRPr="00282AC9">
        <w:rPr>
          <w:rFonts w:cs="DanaFajr"/>
          <w:sz w:val="28"/>
          <w:szCs w:val="28"/>
          <w:rtl/>
        </w:rPr>
        <w:t>)</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عن</w:t>
      </w:r>
      <w:r w:rsidRPr="00282AC9">
        <w:rPr>
          <w:rFonts w:cs="DanaFajr"/>
          <w:sz w:val="28"/>
          <w:szCs w:val="28"/>
          <w:rtl/>
        </w:rPr>
        <w:t xml:space="preserve"> </w:t>
      </w:r>
      <w:r w:rsidRPr="00282AC9">
        <w:rPr>
          <w:rFonts w:cs="DanaFajr" w:hint="cs"/>
          <w:sz w:val="28"/>
          <w:szCs w:val="28"/>
          <w:rtl/>
        </w:rPr>
        <w:t>محمد</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أبي</w:t>
      </w:r>
      <w:r w:rsidRPr="00282AC9">
        <w:rPr>
          <w:rFonts w:cs="DanaFajr"/>
          <w:sz w:val="28"/>
          <w:szCs w:val="28"/>
          <w:rtl/>
        </w:rPr>
        <w:t xml:space="preserve"> </w:t>
      </w:r>
      <w:r w:rsidRPr="00282AC9">
        <w:rPr>
          <w:rFonts w:cs="DanaFajr" w:hint="cs"/>
          <w:sz w:val="28"/>
          <w:szCs w:val="28"/>
          <w:rtl/>
        </w:rPr>
        <w:t>عمير</w:t>
      </w:r>
      <w:r w:rsidRPr="00282AC9">
        <w:rPr>
          <w:rFonts w:cs="DanaFajr"/>
          <w:sz w:val="28"/>
          <w:szCs w:val="28"/>
          <w:rtl/>
        </w:rPr>
        <w:t xml:space="preserve"> (</w:t>
      </w:r>
      <w:r w:rsidRPr="00282AC9">
        <w:rPr>
          <w:rFonts w:cs="DanaFajr" w:hint="cs"/>
          <w:sz w:val="28"/>
          <w:szCs w:val="28"/>
          <w:rtl/>
        </w:rPr>
        <w:t>إمامي</w:t>
      </w:r>
      <w:r w:rsidRPr="00282AC9">
        <w:rPr>
          <w:rFonts w:cs="DanaFajr"/>
          <w:sz w:val="28"/>
          <w:szCs w:val="28"/>
          <w:rtl/>
        </w:rPr>
        <w:t xml:space="preserve"> </w:t>
      </w:r>
      <w:r w:rsidRPr="00282AC9">
        <w:rPr>
          <w:rFonts w:cs="DanaFajr" w:hint="cs"/>
          <w:sz w:val="28"/>
          <w:szCs w:val="28"/>
          <w:rtl/>
        </w:rPr>
        <w:t>ثقة</w:t>
      </w:r>
      <w:r w:rsidRPr="00282AC9">
        <w:rPr>
          <w:rFonts w:cs="DanaFajr"/>
          <w:sz w:val="28"/>
          <w:szCs w:val="28"/>
          <w:rtl/>
        </w:rPr>
        <w:t>)</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عن</w:t>
      </w:r>
      <w:r w:rsidRPr="00282AC9">
        <w:rPr>
          <w:rFonts w:cs="DanaFajr"/>
          <w:sz w:val="28"/>
          <w:szCs w:val="28"/>
          <w:rtl/>
        </w:rPr>
        <w:t xml:space="preserve"> </w:t>
      </w:r>
      <w:r w:rsidRPr="00282AC9">
        <w:rPr>
          <w:rFonts w:cs="DanaFajr" w:hint="cs"/>
          <w:sz w:val="28"/>
          <w:szCs w:val="28"/>
          <w:rtl/>
        </w:rPr>
        <w:t>عتيبة</w:t>
      </w:r>
      <w:r w:rsidRPr="00282AC9">
        <w:rPr>
          <w:rFonts w:cs="DanaFajr"/>
          <w:sz w:val="28"/>
          <w:szCs w:val="28"/>
          <w:rtl/>
        </w:rPr>
        <w:t xml:space="preserve"> </w:t>
      </w:r>
      <w:r w:rsidRPr="00282AC9">
        <w:rPr>
          <w:rFonts w:cs="DanaFajr" w:hint="cs"/>
          <w:sz w:val="28"/>
          <w:szCs w:val="28"/>
          <w:rtl/>
        </w:rPr>
        <w:t>بيّاع</w:t>
      </w:r>
      <w:r w:rsidRPr="00282AC9">
        <w:rPr>
          <w:rFonts w:cs="DanaFajr"/>
          <w:sz w:val="28"/>
          <w:szCs w:val="28"/>
          <w:rtl/>
        </w:rPr>
        <w:t xml:space="preserve"> </w:t>
      </w:r>
      <w:r w:rsidRPr="00282AC9">
        <w:rPr>
          <w:rFonts w:cs="DanaFajr" w:hint="cs"/>
          <w:sz w:val="28"/>
          <w:szCs w:val="28"/>
          <w:rtl/>
        </w:rPr>
        <w:t xml:space="preserve">القصب </w:t>
      </w:r>
      <w:r w:rsidRPr="00282AC9">
        <w:rPr>
          <w:rFonts w:cs="DanaFajr"/>
          <w:sz w:val="28"/>
          <w:szCs w:val="28"/>
          <w:rtl/>
        </w:rPr>
        <w:t>(</w:t>
      </w:r>
      <w:r w:rsidRPr="00282AC9">
        <w:rPr>
          <w:rFonts w:cs="DanaFajr" w:hint="cs"/>
          <w:sz w:val="28"/>
          <w:szCs w:val="28"/>
          <w:rtl/>
        </w:rPr>
        <w:t>إمامي</w:t>
      </w:r>
      <w:r w:rsidRPr="00282AC9">
        <w:rPr>
          <w:rFonts w:cs="DanaFajr"/>
          <w:sz w:val="28"/>
          <w:szCs w:val="28"/>
          <w:rtl/>
        </w:rPr>
        <w:t xml:space="preserve"> </w:t>
      </w:r>
      <w:r w:rsidRPr="00282AC9">
        <w:rPr>
          <w:rFonts w:cs="DanaFajr" w:hint="cs"/>
          <w:sz w:val="28"/>
          <w:szCs w:val="28"/>
          <w:rtl/>
        </w:rPr>
        <w:t>ثقة</w:t>
      </w:r>
      <w:r w:rsidRPr="00282AC9">
        <w:rPr>
          <w:rFonts w:cs="DanaFajr"/>
          <w:sz w:val="28"/>
          <w:szCs w:val="28"/>
          <w:rtl/>
        </w:rPr>
        <w:t>)</w:t>
      </w:r>
      <w:r w:rsidRPr="00282AC9">
        <w:rPr>
          <w:rFonts w:cs="DanaFajr" w:hint="cs"/>
          <w:sz w:val="28"/>
          <w:szCs w:val="28"/>
          <w:rtl/>
        </w:rPr>
        <w:t>.</w:t>
      </w:r>
    </w:p>
  </w:endnote>
  <w:endnote w:id="764">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جعفر</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محمد</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قولويه، كامل</w:t>
      </w:r>
      <w:r w:rsidRPr="00282AC9">
        <w:rPr>
          <w:rFonts w:cs="DanaFajr"/>
          <w:sz w:val="28"/>
          <w:szCs w:val="28"/>
          <w:rtl/>
        </w:rPr>
        <w:t xml:space="preserve"> </w:t>
      </w:r>
      <w:r w:rsidRPr="00282AC9">
        <w:rPr>
          <w:rFonts w:cs="DanaFajr" w:hint="cs"/>
          <w:sz w:val="28"/>
          <w:szCs w:val="28"/>
          <w:rtl/>
        </w:rPr>
        <w:t>الزيارات</w:t>
      </w:r>
      <w:r w:rsidRPr="00282AC9">
        <w:rPr>
          <w:rFonts w:cs="DanaFajr"/>
          <w:sz w:val="28"/>
          <w:szCs w:val="28"/>
          <w:rtl/>
        </w:rPr>
        <w:t xml:space="preserve">: </w:t>
      </w:r>
      <w:r w:rsidRPr="00282AC9">
        <w:rPr>
          <w:rFonts w:cs="DanaFajr" w:hint="cs"/>
          <w:sz w:val="28"/>
          <w:szCs w:val="28"/>
          <w:rtl/>
        </w:rPr>
        <w:t>279</w:t>
      </w:r>
      <w:r w:rsidRPr="00282AC9">
        <w:rPr>
          <w:rFonts w:cs="DanaFajr"/>
          <w:sz w:val="28"/>
          <w:szCs w:val="28"/>
          <w:rtl/>
        </w:rPr>
        <w:t xml:space="preserve">، </w:t>
      </w:r>
      <w:r w:rsidRPr="00282AC9">
        <w:rPr>
          <w:rFonts w:cs="DanaFajr" w:hint="cs"/>
          <w:sz w:val="28"/>
          <w:szCs w:val="28"/>
          <w:rtl/>
        </w:rPr>
        <w:t>تحقيق</w:t>
      </w:r>
      <w:r w:rsidRPr="00282AC9">
        <w:rPr>
          <w:rFonts w:cs="DanaFajr"/>
          <w:sz w:val="28"/>
          <w:szCs w:val="28"/>
          <w:rtl/>
        </w:rPr>
        <w:t xml:space="preserve">: </w:t>
      </w:r>
      <w:r w:rsidRPr="00282AC9">
        <w:rPr>
          <w:rFonts w:cs="DanaFajr" w:hint="cs"/>
          <w:sz w:val="28"/>
          <w:szCs w:val="28"/>
          <w:rtl/>
        </w:rPr>
        <w:t>الشيخ</w:t>
      </w:r>
      <w:r w:rsidRPr="00282AC9">
        <w:rPr>
          <w:rFonts w:cs="DanaFajr"/>
          <w:sz w:val="28"/>
          <w:szCs w:val="28"/>
          <w:rtl/>
        </w:rPr>
        <w:t xml:space="preserve"> </w:t>
      </w:r>
      <w:r w:rsidRPr="00282AC9">
        <w:rPr>
          <w:rFonts w:cs="DanaFajr" w:hint="cs"/>
          <w:sz w:val="28"/>
          <w:szCs w:val="28"/>
          <w:rtl/>
        </w:rPr>
        <w:t>جواد</w:t>
      </w:r>
      <w:r w:rsidRPr="00282AC9">
        <w:rPr>
          <w:rFonts w:cs="DanaFajr"/>
          <w:sz w:val="28"/>
          <w:szCs w:val="28"/>
          <w:rtl/>
        </w:rPr>
        <w:t xml:space="preserve"> </w:t>
      </w:r>
      <w:r w:rsidRPr="00282AC9">
        <w:rPr>
          <w:rFonts w:cs="DanaFajr" w:hint="cs"/>
          <w:sz w:val="28"/>
          <w:szCs w:val="28"/>
          <w:rtl/>
        </w:rPr>
        <w:t>القيومي</w:t>
      </w:r>
      <w:r w:rsidRPr="00282AC9">
        <w:rPr>
          <w:rFonts w:cs="DanaFajr"/>
          <w:sz w:val="28"/>
          <w:szCs w:val="28"/>
          <w:rtl/>
        </w:rPr>
        <w:t xml:space="preserve">، </w:t>
      </w:r>
      <w:r w:rsidRPr="00282AC9">
        <w:rPr>
          <w:rFonts w:cs="DanaFajr" w:hint="cs"/>
          <w:sz w:val="28"/>
          <w:szCs w:val="28"/>
          <w:rtl/>
        </w:rPr>
        <w:t>مؤسّسة</w:t>
      </w:r>
      <w:r w:rsidRPr="00282AC9">
        <w:rPr>
          <w:rFonts w:cs="DanaFajr"/>
          <w:sz w:val="28"/>
          <w:szCs w:val="28"/>
          <w:rtl/>
        </w:rPr>
        <w:t xml:space="preserve"> </w:t>
      </w:r>
      <w:r w:rsidRPr="00282AC9">
        <w:rPr>
          <w:rFonts w:cs="DanaFajr" w:hint="cs"/>
          <w:sz w:val="28"/>
          <w:szCs w:val="28"/>
          <w:rtl/>
        </w:rPr>
        <w:t>النشر</w:t>
      </w:r>
      <w:r w:rsidRPr="00282AC9">
        <w:rPr>
          <w:rFonts w:cs="DanaFajr"/>
          <w:sz w:val="28"/>
          <w:szCs w:val="28"/>
          <w:rtl/>
        </w:rPr>
        <w:t xml:space="preserve"> </w:t>
      </w:r>
      <w:r w:rsidRPr="00282AC9">
        <w:rPr>
          <w:rFonts w:cs="DanaFajr" w:hint="cs"/>
          <w:sz w:val="28"/>
          <w:szCs w:val="28"/>
          <w:rtl/>
        </w:rPr>
        <w:t>الإسلامي ـ</w:t>
      </w:r>
      <w:r w:rsidRPr="00282AC9">
        <w:rPr>
          <w:rFonts w:cs="DanaFajr"/>
          <w:sz w:val="28"/>
          <w:szCs w:val="28"/>
          <w:rtl/>
        </w:rPr>
        <w:t xml:space="preserve"> </w:t>
      </w:r>
      <w:r w:rsidRPr="00282AC9">
        <w:rPr>
          <w:rFonts w:cs="DanaFajr" w:hint="cs"/>
          <w:sz w:val="28"/>
          <w:szCs w:val="28"/>
          <w:rtl/>
        </w:rPr>
        <w:t>مؤسّسة</w:t>
      </w:r>
      <w:r w:rsidRPr="00282AC9">
        <w:rPr>
          <w:rFonts w:cs="DanaFajr"/>
          <w:sz w:val="28"/>
          <w:szCs w:val="28"/>
          <w:rtl/>
        </w:rPr>
        <w:t xml:space="preserve"> </w:t>
      </w:r>
      <w:r w:rsidRPr="00282AC9">
        <w:rPr>
          <w:rFonts w:cs="DanaFajr" w:hint="cs"/>
          <w:sz w:val="28"/>
          <w:szCs w:val="28"/>
          <w:rtl/>
        </w:rPr>
        <w:t>نشر</w:t>
      </w:r>
      <w:r w:rsidRPr="00282AC9">
        <w:rPr>
          <w:rFonts w:cs="DanaFajr"/>
          <w:sz w:val="28"/>
          <w:szCs w:val="28"/>
          <w:rtl/>
        </w:rPr>
        <w:t xml:space="preserve"> </w:t>
      </w:r>
      <w:r w:rsidRPr="00282AC9">
        <w:rPr>
          <w:rFonts w:cs="DanaFajr" w:hint="cs"/>
          <w:sz w:val="28"/>
          <w:szCs w:val="28"/>
          <w:rtl/>
        </w:rPr>
        <w:t>الفقاهة،</w:t>
      </w:r>
      <w:r w:rsidRPr="00282AC9">
        <w:rPr>
          <w:rFonts w:cs="DanaFajr"/>
          <w:sz w:val="28"/>
          <w:szCs w:val="28"/>
          <w:rtl/>
        </w:rPr>
        <w:t xml:space="preserve"> ط1، </w:t>
      </w:r>
      <w:r w:rsidRPr="00282AC9">
        <w:rPr>
          <w:rFonts w:cs="DanaFajr" w:hint="cs"/>
          <w:sz w:val="28"/>
          <w:szCs w:val="28"/>
          <w:rtl/>
        </w:rPr>
        <w:t>عيد</w:t>
      </w:r>
      <w:r w:rsidRPr="00282AC9">
        <w:rPr>
          <w:rFonts w:cs="DanaFajr"/>
          <w:sz w:val="28"/>
          <w:szCs w:val="28"/>
          <w:rtl/>
        </w:rPr>
        <w:t xml:space="preserve"> </w:t>
      </w:r>
      <w:r w:rsidRPr="00282AC9">
        <w:rPr>
          <w:rFonts w:cs="DanaFajr" w:hint="cs"/>
          <w:sz w:val="28"/>
          <w:szCs w:val="28"/>
          <w:rtl/>
        </w:rPr>
        <w:t>الغدير</w:t>
      </w:r>
      <w:r w:rsidRPr="00282AC9">
        <w:rPr>
          <w:rFonts w:cs="DanaFajr"/>
          <w:sz w:val="28"/>
          <w:szCs w:val="28"/>
          <w:rtl/>
        </w:rPr>
        <w:t xml:space="preserve"> 1417</w:t>
      </w:r>
      <w:r w:rsidRPr="00282AC9">
        <w:rPr>
          <w:rFonts w:cs="DanaFajr" w:hint="cs"/>
          <w:sz w:val="28"/>
          <w:szCs w:val="28"/>
          <w:rtl/>
        </w:rPr>
        <w:t>هـ.</w:t>
      </w:r>
    </w:p>
  </w:endnote>
  <w:endnote w:id="765">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تفسير</w:t>
      </w:r>
      <w:r w:rsidRPr="00282AC9">
        <w:rPr>
          <w:rFonts w:cs="DanaFajr"/>
          <w:sz w:val="28"/>
          <w:szCs w:val="28"/>
          <w:rtl/>
        </w:rPr>
        <w:t xml:space="preserve"> </w:t>
      </w:r>
      <w:r w:rsidRPr="00282AC9">
        <w:rPr>
          <w:rFonts w:cs="DanaFajr" w:hint="cs"/>
          <w:sz w:val="28"/>
          <w:szCs w:val="28"/>
          <w:rtl/>
        </w:rPr>
        <w:t>عليّ</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إبراهيم</w:t>
      </w:r>
      <w:r w:rsidRPr="00282AC9">
        <w:rPr>
          <w:rFonts w:cs="DanaFajr"/>
          <w:sz w:val="28"/>
          <w:szCs w:val="28"/>
          <w:rtl/>
        </w:rPr>
        <w:t xml:space="preserve"> </w:t>
      </w:r>
      <w:r w:rsidRPr="00282AC9">
        <w:rPr>
          <w:rFonts w:cs="DanaFajr" w:hint="cs"/>
          <w:sz w:val="28"/>
          <w:szCs w:val="28"/>
          <w:rtl/>
        </w:rPr>
        <w:t xml:space="preserve">القمّي </w:t>
      </w:r>
      <w:r w:rsidRPr="00282AC9">
        <w:rPr>
          <w:rFonts w:cs="DanaFajr"/>
          <w:sz w:val="28"/>
          <w:szCs w:val="28"/>
          <w:rtl/>
        </w:rPr>
        <w:t>2</w:t>
      </w:r>
      <w:r w:rsidRPr="00282AC9">
        <w:rPr>
          <w:rFonts w:cs="DanaFajr" w:hint="cs"/>
          <w:sz w:val="28"/>
          <w:szCs w:val="28"/>
          <w:rtl/>
        </w:rPr>
        <w:t>: 259، تحقيق</w:t>
      </w:r>
      <w:r w:rsidRPr="00282AC9">
        <w:rPr>
          <w:rFonts w:cs="DanaFajr"/>
          <w:sz w:val="28"/>
          <w:szCs w:val="28"/>
          <w:rtl/>
        </w:rPr>
        <w:t xml:space="preserve"> </w:t>
      </w:r>
      <w:r w:rsidRPr="00282AC9">
        <w:rPr>
          <w:rFonts w:cs="DanaFajr" w:hint="cs"/>
          <w:sz w:val="28"/>
          <w:szCs w:val="28"/>
          <w:rtl/>
        </w:rPr>
        <w:t>وتصحيح</w:t>
      </w:r>
      <w:r w:rsidRPr="00282AC9">
        <w:rPr>
          <w:rFonts w:cs="DanaFajr"/>
          <w:sz w:val="28"/>
          <w:szCs w:val="28"/>
          <w:rtl/>
        </w:rPr>
        <w:t xml:space="preserve"> </w:t>
      </w:r>
      <w:r w:rsidRPr="00282AC9">
        <w:rPr>
          <w:rFonts w:cs="DanaFajr" w:hint="cs"/>
          <w:sz w:val="28"/>
          <w:szCs w:val="28"/>
          <w:rtl/>
        </w:rPr>
        <w:t>وتعليق</w:t>
      </w:r>
      <w:r w:rsidRPr="00282AC9">
        <w:rPr>
          <w:rFonts w:cs="DanaFajr"/>
          <w:sz w:val="28"/>
          <w:szCs w:val="28"/>
          <w:rtl/>
        </w:rPr>
        <w:t xml:space="preserve"> </w:t>
      </w:r>
      <w:r w:rsidRPr="00282AC9">
        <w:rPr>
          <w:rFonts w:cs="DanaFajr" w:hint="cs"/>
          <w:sz w:val="28"/>
          <w:szCs w:val="28"/>
          <w:rtl/>
        </w:rPr>
        <w:t>وتقديم</w:t>
      </w:r>
      <w:r w:rsidRPr="00282AC9">
        <w:rPr>
          <w:rFonts w:cs="DanaFajr"/>
          <w:sz w:val="28"/>
          <w:szCs w:val="28"/>
          <w:rtl/>
        </w:rPr>
        <w:t xml:space="preserve">: </w:t>
      </w:r>
      <w:r w:rsidRPr="00282AC9">
        <w:rPr>
          <w:rFonts w:cs="DanaFajr" w:hint="cs"/>
          <w:sz w:val="28"/>
          <w:szCs w:val="28"/>
          <w:rtl/>
        </w:rPr>
        <w:t>السيد</w:t>
      </w:r>
      <w:r w:rsidRPr="00282AC9">
        <w:rPr>
          <w:rFonts w:cs="DanaFajr"/>
          <w:sz w:val="28"/>
          <w:szCs w:val="28"/>
          <w:rtl/>
        </w:rPr>
        <w:t xml:space="preserve"> </w:t>
      </w:r>
      <w:r w:rsidRPr="00282AC9">
        <w:rPr>
          <w:rFonts w:cs="DanaFajr" w:hint="cs"/>
          <w:sz w:val="28"/>
          <w:szCs w:val="28"/>
          <w:rtl/>
        </w:rPr>
        <w:t>طيب</w:t>
      </w:r>
      <w:r w:rsidRPr="00282AC9">
        <w:rPr>
          <w:rFonts w:cs="DanaFajr"/>
          <w:sz w:val="28"/>
          <w:szCs w:val="28"/>
          <w:rtl/>
        </w:rPr>
        <w:t xml:space="preserve"> </w:t>
      </w:r>
      <w:r w:rsidRPr="00282AC9">
        <w:rPr>
          <w:rFonts w:cs="DanaFajr" w:hint="cs"/>
          <w:sz w:val="28"/>
          <w:szCs w:val="28"/>
          <w:rtl/>
        </w:rPr>
        <w:t>الموسوي</w:t>
      </w:r>
      <w:r w:rsidRPr="00282AC9">
        <w:rPr>
          <w:rFonts w:cs="DanaFajr"/>
          <w:sz w:val="28"/>
          <w:szCs w:val="28"/>
          <w:rtl/>
        </w:rPr>
        <w:t xml:space="preserve"> </w:t>
      </w:r>
      <w:r w:rsidRPr="00282AC9">
        <w:rPr>
          <w:rFonts w:cs="DanaFajr" w:hint="cs"/>
          <w:sz w:val="28"/>
          <w:szCs w:val="28"/>
          <w:rtl/>
        </w:rPr>
        <w:t>الجزائري، منشورات</w:t>
      </w:r>
      <w:r w:rsidRPr="00282AC9">
        <w:rPr>
          <w:rFonts w:cs="DanaFajr"/>
          <w:sz w:val="28"/>
          <w:szCs w:val="28"/>
          <w:rtl/>
        </w:rPr>
        <w:t xml:space="preserve"> </w:t>
      </w:r>
      <w:r w:rsidRPr="00282AC9">
        <w:rPr>
          <w:rFonts w:cs="DanaFajr" w:hint="cs"/>
          <w:sz w:val="28"/>
          <w:szCs w:val="28"/>
          <w:rtl/>
        </w:rPr>
        <w:t>مكتبة</w:t>
      </w:r>
      <w:r w:rsidRPr="00282AC9">
        <w:rPr>
          <w:rFonts w:cs="DanaFajr"/>
          <w:sz w:val="28"/>
          <w:szCs w:val="28"/>
          <w:rtl/>
        </w:rPr>
        <w:t xml:space="preserve"> </w:t>
      </w:r>
      <w:r w:rsidRPr="00282AC9">
        <w:rPr>
          <w:rFonts w:cs="DanaFajr" w:hint="cs"/>
          <w:sz w:val="28"/>
          <w:szCs w:val="28"/>
          <w:rtl/>
        </w:rPr>
        <w:t>الهدى،</w:t>
      </w:r>
      <w:r w:rsidRPr="00282AC9">
        <w:rPr>
          <w:rFonts w:cs="DanaFajr"/>
          <w:sz w:val="28"/>
          <w:szCs w:val="28"/>
          <w:rtl/>
        </w:rPr>
        <w:t xml:space="preserve"> 1387</w:t>
      </w:r>
      <w:r w:rsidRPr="00282AC9">
        <w:rPr>
          <w:rFonts w:cs="DanaFajr" w:hint="cs"/>
          <w:sz w:val="28"/>
          <w:szCs w:val="28"/>
          <w:rtl/>
        </w:rPr>
        <w:t>.</w:t>
      </w:r>
    </w:p>
  </w:endnote>
  <w:endnote w:id="766">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سعد</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عبد</w:t>
      </w:r>
      <w:r w:rsidRPr="00282AC9">
        <w:rPr>
          <w:rFonts w:cs="DanaFajr"/>
          <w:sz w:val="28"/>
          <w:szCs w:val="28"/>
          <w:rtl/>
        </w:rPr>
        <w:t xml:space="preserve"> </w:t>
      </w:r>
      <w:r w:rsidRPr="00282AC9">
        <w:rPr>
          <w:rFonts w:cs="DanaFajr" w:hint="cs"/>
          <w:sz w:val="28"/>
          <w:szCs w:val="28"/>
          <w:rtl/>
        </w:rPr>
        <w:t>الله</w:t>
      </w:r>
      <w:r w:rsidRPr="00282AC9">
        <w:rPr>
          <w:rFonts w:cs="DanaFajr"/>
          <w:sz w:val="28"/>
          <w:szCs w:val="28"/>
          <w:rtl/>
        </w:rPr>
        <w:t xml:space="preserve"> (</w:t>
      </w:r>
      <w:r w:rsidRPr="00282AC9">
        <w:rPr>
          <w:rFonts w:cs="DanaFajr" w:hint="cs"/>
          <w:sz w:val="28"/>
          <w:szCs w:val="28"/>
          <w:rtl/>
        </w:rPr>
        <w:t>إمامي</w:t>
      </w:r>
      <w:r w:rsidRPr="00282AC9">
        <w:rPr>
          <w:rFonts w:cs="DanaFajr"/>
          <w:sz w:val="28"/>
          <w:szCs w:val="28"/>
          <w:rtl/>
        </w:rPr>
        <w:t xml:space="preserve"> </w:t>
      </w:r>
      <w:r w:rsidRPr="00282AC9">
        <w:rPr>
          <w:rFonts w:cs="DanaFajr" w:hint="cs"/>
          <w:sz w:val="28"/>
          <w:szCs w:val="28"/>
          <w:rtl/>
        </w:rPr>
        <w:t>ثقة</w:t>
      </w:r>
      <w:r w:rsidRPr="00282AC9">
        <w:rPr>
          <w:rFonts w:cs="DanaFajr"/>
          <w:sz w:val="28"/>
          <w:szCs w:val="28"/>
          <w:rtl/>
        </w:rPr>
        <w:t>)</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عن</w:t>
      </w:r>
      <w:r w:rsidRPr="00282AC9">
        <w:rPr>
          <w:rFonts w:cs="DanaFajr"/>
          <w:sz w:val="28"/>
          <w:szCs w:val="28"/>
          <w:rtl/>
        </w:rPr>
        <w:t xml:space="preserve"> </w:t>
      </w:r>
      <w:r w:rsidRPr="00282AC9">
        <w:rPr>
          <w:rFonts w:cs="DanaFajr" w:hint="cs"/>
          <w:sz w:val="28"/>
          <w:szCs w:val="28"/>
          <w:rtl/>
        </w:rPr>
        <w:t>أحمد بن</w:t>
      </w:r>
      <w:r w:rsidRPr="00282AC9">
        <w:rPr>
          <w:rFonts w:cs="DanaFajr"/>
          <w:sz w:val="28"/>
          <w:szCs w:val="28"/>
          <w:rtl/>
        </w:rPr>
        <w:t xml:space="preserve"> </w:t>
      </w:r>
      <w:r w:rsidRPr="00282AC9">
        <w:rPr>
          <w:rFonts w:cs="DanaFajr" w:hint="cs"/>
          <w:sz w:val="28"/>
          <w:szCs w:val="28"/>
          <w:rtl/>
        </w:rPr>
        <w:t>محمد</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عيسى</w:t>
      </w:r>
      <w:r w:rsidRPr="00282AC9">
        <w:rPr>
          <w:rFonts w:cs="DanaFajr"/>
          <w:sz w:val="28"/>
          <w:szCs w:val="28"/>
          <w:rtl/>
        </w:rPr>
        <w:t xml:space="preserve"> (</w:t>
      </w:r>
      <w:r w:rsidRPr="00282AC9">
        <w:rPr>
          <w:rFonts w:cs="DanaFajr" w:hint="cs"/>
          <w:sz w:val="28"/>
          <w:szCs w:val="28"/>
          <w:rtl/>
        </w:rPr>
        <w:t>إمامي</w:t>
      </w:r>
      <w:r w:rsidRPr="00282AC9">
        <w:rPr>
          <w:rFonts w:cs="DanaFajr"/>
          <w:sz w:val="28"/>
          <w:szCs w:val="28"/>
          <w:rtl/>
        </w:rPr>
        <w:t xml:space="preserve"> </w:t>
      </w:r>
      <w:r w:rsidRPr="00282AC9">
        <w:rPr>
          <w:rFonts w:cs="DanaFajr" w:hint="cs"/>
          <w:sz w:val="28"/>
          <w:szCs w:val="28"/>
          <w:rtl/>
        </w:rPr>
        <w:t>ثقة</w:t>
      </w:r>
      <w:r w:rsidRPr="00282AC9">
        <w:rPr>
          <w:rFonts w:cs="DanaFajr"/>
          <w:sz w:val="28"/>
          <w:szCs w:val="28"/>
          <w:rtl/>
        </w:rPr>
        <w:t>)</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عن</w:t>
      </w:r>
      <w:r w:rsidRPr="00282AC9">
        <w:rPr>
          <w:rFonts w:cs="DanaFajr"/>
          <w:sz w:val="28"/>
          <w:szCs w:val="28"/>
          <w:rtl/>
        </w:rPr>
        <w:t xml:space="preserve"> </w:t>
      </w:r>
      <w:r w:rsidRPr="00282AC9">
        <w:rPr>
          <w:rFonts w:cs="DanaFajr" w:hint="cs"/>
          <w:sz w:val="28"/>
          <w:szCs w:val="28"/>
          <w:rtl/>
        </w:rPr>
        <w:t>محمد</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سنان</w:t>
      </w:r>
      <w:r w:rsidRPr="00282AC9">
        <w:rPr>
          <w:rFonts w:cs="DanaFajr"/>
          <w:sz w:val="28"/>
          <w:szCs w:val="28"/>
          <w:rtl/>
        </w:rPr>
        <w:t xml:space="preserve"> (</w:t>
      </w:r>
      <w:r w:rsidRPr="00282AC9">
        <w:rPr>
          <w:rFonts w:cs="DanaFajr" w:hint="cs"/>
          <w:sz w:val="28"/>
          <w:szCs w:val="28"/>
          <w:rtl/>
        </w:rPr>
        <w:t>إمامي</w:t>
      </w:r>
      <w:r w:rsidRPr="00282AC9">
        <w:rPr>
          <w:rFonts w:cs="DanaFajr"/>
          <w:sz w:val="28"/>
          <w:szCs w:val="28"/>
          <w:rtl/>
        </w:rPr>
        <w:t xml:space="preserve"> </w:t>
      </w:r>
      <w:r w:rsidRPr="00282AC9">
        <w:rPr>
          <w:rFonts w:cs="DanaFajr" w:hint="cs"/>
          <w:sz w:val="28"/>
          <w:szCs w:val="28"/>
          <w:rtl/>
        </w:rPr>
        <w:t>ثقة</w:t>
      </w:r>
      <w:r w:rsidRPr="00282AC9">
        <w:rPr>
          <w:rFonts w:cs="DanaFajr"/>
          <w:sz w:val="28"/>
          <w:szCs w:val="28"/>
          <w:rtl/>
        </w:rPr>
        <w:t>)</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عن</w:t>
      </w:r>
      <w:r w:rsidRPr="00282AC9">
        <w:rPr>
          <w:rFonts w:cs="DanaFajr"/>
          <w:sz w:val="28"/>
          <w:szCs w:val="28"/>
          <w:rtl/>
        </w:rPr>
        <w:t xml:space="preserve"> </w:t>
      </w:r>
      <w:r w:rsidRPr="00282AC9">
        <w:rPr>
          <w:rFonts w:cs="DanaFajr" w:hint="cs"/>
          <w:sz w:val="28"/>
          <w:szCs w:val="28"/>
          <w:rtl/>
        </w:rPr>
        <w:t>عليّ</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أبي</w:t>
      </w:r>
      <w:r w:rsidRPr="00282AC9">
        <w:rPr>
          <w:rFonts w:cs="DanaFajr"/>
          <w:sz w:val="28"/>
          <w:szCs w:val="28"/>
          <w:rtl/>
        </w:rPr>
        <w:t xml:space="preserve"> </w:t>
      </w:r>
      <w:r w:rsidRPr="00282AC9">
        <w:rPr>
          <w:rFonts w:cs="DanaFajr" w:hint="cs"/>
          <w:sz w:val="28"/>
          <w:szCs w:val="28"/>
          <w:rtl/>
        </w:rPr>
        <w:t>حمزة</w:t>
      </w:r>
      <w:r w:rsidRPr="00282AC9">
        <w:rPr>
          <w:rFonts w:cs="DanaFajr"/>
          <w:sz w:val="28"/>
          <w:szCs w:val="28"/>
          <w:rtl/>
        </w:rPr>
        <w:t xml:space="preserve"> (</w:t>
      </w:r>
      <w:r w:rsidRPr="00282AC9">
        <w:rPr>
          <w:rFonts w:cs="DanaFajr" w:hint="cs"/>
          <w:sz w:val="28"/>
          <w:szCs w:val="28"/>
          <w:rtl/>
        </w:rPr>
        <w:t>واقفي</w:t>
      </w:r>
      <w:r w:rsidRPr="00282AC9">
        <w:rPr>
          <w:rFonts w:cs="DanaFajr"/>
          <w:sz w:val="28"/>
          <w:szCs w:val="28"/>
          <w:rtl/>
        </w:rPr>
        <w:t xml:space="preserve"> </w:t>
      </w:r>
      <w:r w:rsidRPr="00282AC9">
        <w:rPr>
          <w:rFonts w:cs="DanaFajr" w:hint="cs"/>
          <w:sz w:val="28"/>
          <w:szCs w:val="28"/>
          <w:rtl/>
        </w:rPr>
        <w:t>ثقة</w:t>
      </w:r>
      <w:r w:rsidRPr="00282AC9">
        <w:rPr>
          <w:rFonts w:cs="DanaFajr"/>
          <w:sz w:val="28"/>
          <w:szCs w:val="28"/>
          <w:rtl/>
        </w:rPr>
        <w:t>)</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عن أبي</w:t>
      </w:r>
      <w:r w:rsidRPr="00282AC9">
        <w:rPr>
          <w:rFonts w:cs="DanaFajr"/>
          <w:sz w:val="28"/>
          <w:szCs w:val="28"/>
          <w:rtl/>
        </w:rPr>
        <w:t xml:space="preserve"> </w:t>
      </w:r>
      <w:r w:rsidRPr="00282AC9">
        <w:rPr>
          <w:rFonts w:cs="DanaFajr" w:hint="cs"/>
          <w:sz w:val="28"/>
          <w:szCs w:val="28"/>
          <w:rtl/>
        </w:rPr>
        <w:t xml:space="preserve">بصير </w:t>
      </w:r>
      <w:r w:rsidRPr="00282AC9">
        <w:rPr>
          <w:rFonts w:cs="DanaFajr"/>
          <w:sz w:val="28"/>
          <w:szCs w:val="28"/>
          <w:rtl/>
        </w:rPr>
        <w:t>(</w:t>
      </w:r>
      <w:r w:rsidRPr="00282AC9">
        <w:rPr>
          <w:rFonts w:cs="DanaFajr" w:hint="cs"/>
          <w:sz w:val="28"/>
          <w:szCs w:val="28"/>
          <w:rtl/>
        </w:rPr>
        <w:t>إمامي</w:t>
      </w:r>
      <w:r w:rsidRPr="00282AC9">
        <w:rPr>
          <w:rFonts w:cs="DanaFajr"/>
          <w:sz w:val="28"/>
          <w:szCs w:val="28"/>
          <w:rtl/>
        </w:rPr>
        <w:t xml:space="preserve"> </w:t>
      </w:r>
      <w:r w:rsidRPr="00282AC9">
        <w:rPr>
          <w:rFonts w:cs="DanaFajr" w:hint="cs"/>
          <w:sz w:val="28"/>
          <w:szCs w:val="28"/>
          <w:rtl/>
        </w:rPr>
        <w:t>ثقة</w:t>
      </w:r>
      <w:r w:rsidRPr="00282AC9">
        <w:rPr>
          <w:rFonts w:cs="DanaFajr"/>
          <w:sz w:val="28"/>
          <w:szCs w:val="28"/>
          <w:rtl/>
        </w:rPr>
        <w:t>)</w:t>
      </w:r>
      <w:r w:rsidRPr="00282AC9">
        <w:rPr>
          <w:rFonts w:cs="DanaFajr" w:hint="cs"/>
          <w:sz w:val="28"/>
          <w:szCs w:val="28"/>
          <w:rtl/>
        </w:rPr>
        <w:t>.</w:t>
      </w:r>
    </w:p>
  </w:endnote>
  <w:endnote w:id="767">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كامل</w:t>
      </w:r>
      <w:r w:rsidRPr="00282AC9">
        <w:rPr>
          <w:rFonts w:cs="DanaFajr"/>
          <w:sz w:val="28"/>
          <w:szCs w:val="28"/>
          <w:rtl/>
        </w:rPr>
        <w:t xml:space="preserve"> </w:t>
      </w:r>
      <w:r w:rsidRPr="00282AC9">
        <w:rPr>
          <w:rFonts w:cs="DanaFajr" w:hint="cs"/>
          <w:sz w:val="28"/>
          <w:szCs w:val="28"/>
          <w:rtl/>
        </w:rPr>
        <w:t>الزيارات: 134.</w:t>
      </w:r>
    </w:p>
  </w:endnote>
  <w:endnote w:id="768">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الطوسي، مصباح</w:t>
      </w:r>
      <w:r w:rsidRPr="00282AC9">
        <w:rPr>
          <w:rFonts w:cs="DanaFajr"/>
          <w:sz w:val="28"/>
          <w:szCs w:val="28"/>
          <w:rtl/>
        </w:rPr>
        <w:t xml:space="preserve"> </w:t>
      </w:r>
      <w:r w:rsidRPr="00282AC9">
        <w:rPr>
          <w:rFonts w:cs="DanaFajr" w:hint="cs"/>
          <w:sz w:val="28"/>
          <w:szCs w:val="28"/>
          <w:rtl/>
        </w:rPr>
        <w:t>المتهجِّد: 827</w:t>
      </w:r>
      <w:r w:rsidRPr="00282AC9">
        <w:rPr>
          <w:rFonts w:cs="DanaFajr"/>
          <w:sz w:val="28"/>
          <w:szCs w:val="28"/>
          <w:rtl/>
        </w:rPr>
        <w:t xml:space="preserve">، </w:t>
      </w:r>
      <w:r w:rsidRPr="00282AC9">
        <w:rPr>
          <w:rFonts w:cs="DanaFajr" w:hint="cs"/>
          <w:sz w:val="28"/>
          <w:szCs w:val="28"/>
          <w:rtl/>
        </w:rPr>
        <w:t>مؤسّسة</w:t>
      </w:r>
      <w:r w:rsidRPr="00282AC9">
        <w:rPr>
          <w:rFonts w:cs="DanaFajr"/>
          <w:sz w:val="28"/>
          <w:szCs w:val="28"/>
          <w:rtl/>
        </w:rPr>
        <w:t xml:space="preserve"> </w:t>
      </w:r>
      <w:r w:rsidRPr="00282AC9">
        <w:rPr>
          <w:rFonts w:cs="DanaFajr" w:hint="cs"/>
          <w:sz w:val="28"/>
          <w:szCs w:val="28"/>
          <w:rtl/>
        </w:rPr>
        <w:t>فقه</w:t>
      </w:r>
      <w:r w:rsidRPr="00282AC9">
        <w:rPr>
          <w:rFonts w:cs="DanaFajr"/>
          <w:sz w:val="28"/>
          <w:szCs w:val="28"/>
          <w:rtl/>
        </w:rPr>
        <w:t xml:space="preserve"> </w:t>
      </w:r>
      <w:r w:rsidRPr="00282AC9">
        <w:rPr>
          <w:rFonts w:cs="DanaFajr" w:hint="cs"/>
          <w:sz w:val="28"/>
          <w:szCs w:val="28"/>
          <w:rtl/>
        </w:rPr>
        <w:t>الشيعة،</w:t>
      </w:r>
      <w:r w:rsidRPr="00282AC9">
        <w:rPr>
          <w:rFonts w:cs="DanaFajr"/>
          <w:sz w:val="28"/>
          <w:szCs w:val="28"/>
          <w:rtl/>
        </w:rPr>
        <w:t xml:space="preserve"> </w:t>
      </w:r>
      <w:r w:rsidRPr="00282AC9">
        <w:rPr>
          <w:rFonts w:cs="DanaFajr" w:hint="cs"/>
          <w:sz w:val="28"/>
          <w:szCs w:val="28"/>
          <w:rtl/>
        </w:rPr>
        <w:t>بيروت</w:t>
      </w:r>
      <w:r w:rsidRPr="00282AC9">
        <w:rPr>
          <w:rFonts w:cs="DanaFajr"/>
          <w:sz w:val="28"/>
          <w:szCs w:val="28"/>
          <w:rtl/>
        </w:rPr>
        <w:t xml:space="preserve"> ـ </w:t>
      </w:r>
      <w:r w:rsidRPr="00282AC9">
        <w:rPr>
          <w:rFonts w:cs="DanaFajr" w:hint="cs"/>
          <w:sz w:val="28"/>
          <w:szCs w:val="28"/>
          <w:rtl/>
        </w:rPr>
        <w:t>لبنان،</w:t>
      </w:r>
      <w:r w:rsidRPr="00282AC9">
        <w:rPr>
          <w:rFonts w:cs="DanaFajr"/>
          <w:sz w:val="28"/>
          <w:szCs w:val="28"/>
          <w:rtl/>
        </w:rPr>
        <w:t xml:space="preserve"> ط1، 1411</w:t>
      </w:r>
      <w:r w:rsidRPr="00282AC9">
        <w:rPr>
          <w:rFonts w:cs="DanaFajr" w:hint="cs"/>
          <w:sz w:val="28"/>
          <w:szCs w:val="28"/>
          <w:rtl/>
        </w:rPr>
        <w:t>هـ</w:t>
      </w:r>
      <w:r w:rsidRPr="00282AC9">
        <w:rPr>
          <w:rFonts w:cs="DanaFajr"/>
          <w:sz w:val="28"/>
          <w:szCs w:val="28"/>
          <w:rtl/>
        </w:rPr>
        <w:t xml:space="preserve"> ـ 1991</w:t>
      </w:r>
      <w:r w:rsidRPr="00282AC9">
        <w:rPr>
          <w:rFonts w:cs="DanaFajr" w:hint="cs"/>
          <w:sz w:val="28"/>
          <w:szCs w:val="28"/>
          <w:rtl/>
        </w:rPr>
        <w:t>م</w:t>
      </w:r>
      <w:r w:rsidRPr="00282AC9">
        <w:rPr>
          <w:rFonts w:cs="DanaFajr"/>
          <w:sz w:val="28"/>
          <w:szCs w:val="28"/>
          <w:rtl/>
        </w:rPr>
        <w:t>.</w:t>
      </w:r>
    </w:p>
  </w:endnote>
  <w:endnote w:id="769">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محمد</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جعفر</w:t>
      </w:r>
      <w:r w:rsidRPr="00282AC9">
        <w:rPr>
          <w:rFonts w:cs="DanaFajr"/>
          <w:sz w:val="28"/>
          <w:szCs w:val="28"/>
          <w:rtl/>
        </w:rPr>
        <w:t xml:space="preserve"> </w:t>
      </w:r>
      <w:r w:rsidRPr="00282AC9">
        <w:rPr>
          <w:rFonts w:cs="DanaFajr" w:hint="cs"/>
          <w:sz w:val="28"/>
          <w:szCs w:val="28"/>
          <w:rtl/>
        </w:rPr>
        <w:t>المشهدي، المزار: 505، تحقيق</w:t>
      </w:r>
      <w:r w:rsidRPr="00282AC9">
        <w:rPr>
          <w:rFonts w:cs="DanaFajr"/>
          <w:sz w:val="28"/>
          <w:szCs w:val="28"/>
          <w:rtl/>
        </w:rPr>
        <w:t xml:space="preserve">: </w:t>
      </w:r>
      <w:r w:rsidRPr="00282AC9">
        <w:rPr>
          <w:rFonts w:cs="DanaFajr" w:hint="cs"/>
          <w:sz w:val="28"/>
          <w:szCs w:val="28"/>
          <w:rtl/>
        </w:rPr>
        <w:t>جواد</w:t>
      </w:r>
      <w:r w:rsidRPr="00282AC9">
        <w:rPr>
          <w:rFonts w:cs="DanaFajr"/>
          <w:sz w:val="28"/>
          <w:szCs w:val="28"/>
          <w:rtl/>
        </w:rPr>
        <w:t xml:space="preserve"> </w:t>
      </w:r>
      <w:r w:rsidRPr="00282AC9">
        <w:rPr>
          <w:rFonts w:cs="DanaFajr" w:hint="cs"/>
          <w:sz w:val="28"/>
          <w:szCs w:val="28"/>
          <w:rtl/>
        </w:rPr>
        <w:t>القيّومي</w:t>
      </w:r>
      <w:r w:rsidRPr="00282AC9">
        <w:rPr>
          <w:rFonts w:cs="DanaFajr"/>
          <w:sz w:val="28"/>
          <w:szCs w:val="28"/>
          <w:rtl/>
        </w:rPr>
        <w:t xml:space="preserve"> </w:t>
      </w:r>
      <w:r w:rsidRPr="00282AC9">
        <w:rPr>
          <w:rFonts w:cs="DanaFajr" w:hint="cs"/>
          <w:sz w:val="28"/>
          <w:szCs w:val="28"/>
          <w:rtl/>
        </w:rPr>
        <w:t>الإصفهاني، مؤسّسة</w:t>
      </w:r>
      <w:r w:rsidRPr="00282AC9">
        <w:rPr>
          <w:rFonts w:cs="DanaFajr"/>
          <w:sz w:val="28"/>
          <w:szCs w:val="28"/>
          <w:rtl/>
        </w:rPr>
        <w:t xml:space="preserve"> </w:t>
      </w:r>
      <w:r w:rsidRPr="00282AC9">
        <w:rPr>
          <w:rFonts w:cs="DanaFajr" w:hint="cs"/>
          <w:sz w:val="28"/>
          <w:szCs w:val="28"/>
          <w:rtl/>
        </w:rPr>
        <w:t>النشر</w:t>
      </w:r>
      <w:r w:rsidRPr="00282AC9">
        <w:rPr>
          <w:rFonts w:cs="DanaFajr"/>
          <w:sz w:val="28"/>
          <w:szCs w:val="28"/>
          <w:rtl/>
        </w:rPr>
        <w:t xml:space="preserve"> </w:t>
      </w:r>
      <w:r w:rsidRPr="00282AC9">
        <w:rPr>
          <w:rFonts w:cs="DanaFajr" w:hint="cs"/>
          <w:sz w:val="28"/>
          <w:szCs w:val="28"/>
          <w:rtl/>
        </w:rPr>
        <w:t>الإسلامي ـ نشر</w:t>
      </w:r>
      <w:r w:rsidRPr="00282AC9">
        <w:rPr>
          <w:rFonts w:cs="DanaFajr"/>
          <w:sz w:val="28"/>
          <w:szCs w:val="28"/>
          <w:rtl/>
        </w:rPr>
        <w:t xml:space="preserve"> </w:t>
      </w:r>
      <w:r w:rsidRPr="00282AC9">
        <w:rPr>
          <w:rFonts w:cs="DanaFajr" w:hint="cs"/>
          <w:sz w:val="28"/>
          <w:szCs w:val="28"/>
          <w:rtl/>
        </w:rPr>
        <w:t>القيوم،</w:t>
      </w:r>
      <w:r w:rsidRPr="00282AC9">
        <w:rPr>
          <w:rFonts w:cs="DanaFajr"/>
          <w:sz w:val="28"/>
          <w:szCs w:val="28"/>
          <w:rtl/>
        </w:rPr>
        <w:t xml:space="preserve"> </w:t>
      </w:r>
      <w:r w:rsidRPr="00282AC9">
        <w:rPr>
          <w:rFonts w:cs="DanaFajr" w:hint="cs"/>
          <w:sz w:val="28"/>
          <w:szCs w:val="28"/>
          <w:rtl/>
        </w:rPr>
        <w:t>قم</w:t>
      </w:r>
      <w:r w:rsidRPr="00282AC9">
        <w:rPr>
          <w:rFonts w:cs="DanaFajr"/>
          <w:sz w:val="28"/>
          <w:szCs w:val="28"/>
          <w:rtl/>
        </w:rPr>
        <w:t xml:space="preserve"> ـ </w:t>
      </w:r>
      <w:r w:rsidRPr="00282AC9">
        <w:rPr>
          <w:rFonts w:cs="DanaFajr" w:hint="cs"/>
          <w:sz w:val="28"/>
          <w:szCs w:val="28"/>
          <w:rtl/>
        </w:rPr>
        <w:t>إيران، ط1، رمضان</w:t>
      </w:r>
      <w:r w:rsidRPr="00282AC9">
        <w:rPr>
          <w:rFonts w:cs="DanaFajr"/>
          <w:sz w:val="28"/>
          <w:szCs w:val="28"/>
          <w:rtl/>
        </w:rPr>
        <w:t xml:space="preserve"> </w:t>
      </w:r>
      <w:r w:rsidRPr="00282AC9">
        <w:rPr>
          <w:rFonts w:cs="DanaFajr" w:hint="cs"/>
          <w:sz w:val="28"/>
          <w:szCs w:val="28"/>
          <w:rtl/>
        </w:rPr>
        <w:t>المبارك</w:t>
      </w:r>
      <w:r w:rsidRPr="00282AC9">
        <w:rPr>
          <w:rFonts w:cs="DanaFajr"/>
          <w:sz w:val="28"/>
          <w:szCs w:val="28"/>
          <w:rtl/>
        </w:rPr>
        <w:t xml:space="preserve"> 1419</w:t>
      </w:r>
      <w:r w:rsidRPr="00282AC9">
        <w:rPr>
          <w:rFonts w:cs="DanaFajr" w:hint="cs"/>
          <w:sz w:val="28"/>
          <w:szCs w:val="28"/>
          <w:rtl/>
        </w:rPr>
        <w:t>هـ.</w:t>
      </w:r>
    </w:p>
  </w:endnote>
  <w:endnote w:id="770">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ابن</w:t>
      </w:r>
      <w:r w:rsidRPr="00282AC9">
        <w:rPr>
          <w:rFonts w:cs="DanaFajr"/>
          <w:sz w:val="28"/>
          <w:szCs w:val="28"/>
          <w:rtl/>
        </w:rPr>
        <w:t xml:space="preserve"> </w:t>
      </w:r>
      <w:r w:rsidRPr="00282AC9">
        <w:rPr>
          <w:rFonts w:cs="DanaFajr" w:hint="cs"/>
          <w:sz w:val="28"/>
          <w:szCs w:val="28"/>
          <w:rtl/>
        </w:rPr>
        <w:t>أبي</w:t>
      </w:r>
      <w:r w:rsidRPr="00282AC9">
        <w:rPr>
          <w:rFonts w:cs="DanaFajr"/>
          <w:sz w:val="28"/>
          <w:szCs w:val="28"/>
          <w:rtl/>
        </w:rPr>
        <w:t xml:space="preserve"> </w:t>
      </w:r>
      <w:r w:rsidRPr="00282AC9">
        <w:rPr>
          <w:rFonts w:cs="DanaFajr" w:hint="cs"/>
          <w:sz w:val="28"/>
          <w:szCs w:val="28"/>
          <w:rtl/>
        </w:rPr>
        <w:t>زينب</w:t>
      </w:r>
      <w:r w:rsidRPr="00282AC9">
        <w:rPr>
          <w:rFonts w:cs="DanaFajr"/>
          <w:sz w:val="28"/>
          <w:szCs w:val="28"/>
          <w:rtl/>
        </w:rPr>
        <w:t xml:space="preserve"> </w:t>
      </w:r>
      <w:r w:rsidRPr="00282AC9">
        <w:rPr>
          <w:rFonts w:cs="DanaFajr" w:hint="cs"/>
          <w:sz w:val="28"/>
          <w:szCs w:val="28"/>
          <w:rtl/>
        </w:rPr>
        <w:t>النعماني، الغيبة: 146، تحقيق</w:t>
      </w:r>
      <w:r w:rsidRPr="00282AC9">
        <w:rPr>
          <w:rFonts w:cs="DanaFajr"/>
          <w:sz w:val="28"/>
          <w:szCs w:val="28"/>
          <w:rtl/>
        </w:rPr>
        <w:t xml:space="preserve">: </w:t>
      </w:r>
      <w:r w:rsidRPr="00282AC9">
        <w:rPr>
          <w:rFonts w:cs="DanaFajr" w:hint="cs"/>
          <w:sz w:val="28"/>
          <w:szCs w:val="28"/>
          <w:rtl/>
        </w:rPr>
        <w:t>فارس</w:t>
      </w:r>
      <w:r w:rsidRPr="00282AC9">
        <w:rPr>
          <w:rFonts w:cs="DanaFajr"/>
          <w:sz w:val="28"/>
          <w:szCs w:val="28"/>
          <w:rtl/>
        </w:rPr>
        <w:t xml:space="preserve"> </w:t>
      </w:r>
      <w:r w:rsidRPr="00282AC9">
        <w:rPr>
          <w:rFonts w:cs="DanaFajr" w:hint="cs"/>
          <w:sz w:val="28"/>
          <w:szCs w:val="28"/>
          <w:rtl/>
        </w:rPr>
        <w:t>حسّون</w:t>
      </w:r>
      <w:r w:rsidRPr="00282AC9">
        <w:rPr>
          <w:rFonts w:cs="DanaFajr"/>
          <w:sz w:val="28"/>
          <w:szCs w:val="28"/>
          <w:rtl/>
        </w:rPr>
        <w:t xml:space="preserve"> </w:t>
      </w:r>
      <w:r w:rsidRPr="00282AC9">
        <w:rPr>
          <w:rFonts w:cs="DanaFajr" w:hint="cs"/>
          <w:sz w:val="28"/>
          <w:szCs w:val="28"/>
          <w:rtl/>
        </w:rPr>
        <w:t>كريم، منشورات أنوار</w:t>
      </w:r>
      <w:r w:rsidRPr="00282AC9">
        <w:rPr>
          <w:rFonts w:cs="DanaFajr"/>
          <w:sz w:val="28"/>
          <w:szCs w:val="28"/>
          <w:rtl/>
        </w:rPr>
        <w:t xml:space="preserve"> </w:t>
      </w:r>
      <w:r w:rsidRPr="00282AC9">
        <w:rPr>
          <w:rFonts w:cs="DanaFajr" w:hint="cs"/>
          <w:sz w:val="28"/>
          <w:szCs w:val="28"/>
          <w:rtl/>
        </w:rPr>
        <w:t>الهدى،</w:t>
      </w:r>
      <w:r w:rsidRPr="00282AC9">
        <w:rPr>
          <w:rFonts w:cs="DanaFajr"/>
          <w:sz w:val="28"/>
          <w:szCs w:val="28"/>
          <w:rtl/>
        </w:rPr>
        <w:t xml:space="preserve"> </w:t>
      </w:r>
      <w:r w:rsidRPr="00282AC9">
        <w:rPr>
          <w:rFonts w:cs="DanaFajr" w:hint="cs"/>
          <w:sz w:val="28"/>
          <w:szCs w:val="28"/>
          <w:rtl/>
        </w:rPr>
        <w:t xml:space="preserve">قم، ط1، </w:t>
      </w:r>
      <w:r w:rsidRPr="00282AC9">
        <w:rPr>
          <w:rFonts w:cs="DanaFajr"/>
          <w:sz w:val="28"/>
          <w:szCs w:val="28"/>
          <w:rtl/>
        </w:rPr>
        <w:t>1422</w:t>
      </w:r>
      <w:r w:rsidRPr="00282AC9">
        <w:rPr>
          <w:rFonts w:cs="DanaFajr" w:hint="cs"/>
          <w:sz w:val="28"/>
          <w:szCs w:val="28"/>
          <w:rtl/>
        </w:rPr>
        <w:t>.</w:t>
      </w:r>
    </w:p>
  </w:endnote>
  <w:endnote w:id="771">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الكليني،</w:t>
      </w:r>
      <w:r w:rsidRPr="00282AC9">
        <w:rPr>
          <w:rFonts w:cs="DanaFajr"/>
          <w:sz w:val="28"/>
          <w:szCs w:val="28"/>
          <w:rtl/>
        </w:rPr>
        <w:t xml:space="preserve"> </w:t>
      </w:r>
      <w:r w:rsidRPr="00282AC9">
        <w:rPr>
          <w:rFonts w:cs="DanaFajr" w:hint="cs"/>
          <w:sz w:val="28"/>
          <w:szCs w:val="28"/>
          <w:rtl/>
        </w:rPr>
        <w:t>الكافي</w:t>
      </w:r>
      <w:r w:rsidRPr="00282AC9">
        <w:rPr>
          <w:rFonts w:cs="DanaFajr"/>
          <w:sz w:val="28"/>
          <w:szCs w:val="28"/>
          <w:rtl/>
        </w:rPr>
        <w:t xml:space="preserve"> 4: 170، </w:t>
      </w:r>
      <w:r w:rsidRPr="00282AC9">
        <w:rPr>
          <w:rFonts w:cs="DanaFajr" w:hint="cs"/>
          <w:sz w:val="28"/>
          <w:szCs w:val="28"/>
          <w:rtl/>
        </w:rPr>
        <w:t>تصحيح</w:t>
      </w:r>
      <w:r w:rsidRPr="00282AC9">
        <w:rPr>
          <w:rFonts w:cs="DanaFajr"/>
          <w:sz w:val="28"/>
          <w:szCs w:val="28"/>
          <w:rtl/>
        </w:rPr>
        <w:t xml:space="preserve"> </w:t>
      </w:r>
      <w:r w:rsidRPr="00282AC9">
        <w:rPr>
          <w:rFonts w:cs="DanaFajr" w:hint="cs"/>
          <w:sz w:val="28"/>
          <w:szCs w:val="28"/>
          <w:rtl/>
        </w:rPr>
        <w:t>وتعليق</w:t>
      </w:r>
      <w:r w:rsidRPr="00282AC9">
        <w:rPr>
          <w:rFonts w:cs="DanaFajr"/>
          <w:sz w:val="28"/>
          <w:szCs w:val="28"/>
          <w:rtl/>
        </w:rPr>
        <w:t xml:space="preserve">: </w:t>
      </w:r>
      <w:r w:rsidRPr="00282AC9">
        <w:rPr>
          <w:rFonts w:cs="DanaFajr" w:hint="cs"/>
          <w:sz w:val="28"/>
          <w:szCs w:val="28"/>
          <w:rtl/>
        </w:rPr>
        <w:t>علي</w:t>
      </w:r>
      <w:r w:rsidRPr="00282AC9">
        <w:rPr>
          <w:rFonts w:cs="DanaFajr"/>
          <w:sz w:val="28"/>
          <w:szCs w:val="28"/>
          <w:rtl/>
        </w:rPr>
        <w:t xml:space="preserve"> </w:t>
      </w:r>
      <w:r w:rsidRPr="00282AC9">
        <w:rPr>
          <w:rFonts w:cs="DanaFajr" w:hint="cs"/>
          <w:sz w:val="28"/>
          <w:szCs w:val="28"/>
          <w:rtl/>
        </w:rPr>
        <w:t>أكبر</w:t>
      </w:r>
      <w:r w:rsidRPr="00282AC9">
        <w:rPr>
          <w:rFonts w:cs="DanaFajr"/>
          <w:sz w:val="28"/>
          <w:szCs w:val="28"/>
          <w:rtl/>
        </w:rPr>
        <w:t xml:space="preserve"> </w:t>
      </w:r>
      <w:r w:rsidRPr="00282AC9">
        <w:rPr>
          <w:rFonts w:cs="DanaFajr" w:hint="cs"/>
          <w:sz w:val="28"/>
          <w:szCs w:val="28"/>
          <w:rtl/>
        </w:rPr>
        <w:t>الغفاري</w:t>
      </w:r>
      <w:r w:rsidRPr="00282AC9">
        <w:rPr>
          <w:rFonts w:cs="DanaFajr"/>
          <w:sz w:val="28"/>
          <w:szCs w:val="28"/>
          <w:rtl/>
        </w:rPr>
        <w:t xml:space="preserve">، </w:t>
      </w:r>
      <w:r w:rsidRPr="00282AC9">
        <w:rPr>
          <w:rFonts w:cs="DanaFajr" w:hint="cs"/>
          <w:sz w:val="28"/>
          <w:szCs w:val="28"/>
          <w:rtl/>
        </w:rPr>
        <w:t>دار</w:t>
      </w:r>
      <w:r w:rsidRPr="00282AC9">
        <w:rPr>
          <w:rFonts w:cs="DanaFajr"/>
          <w:sz w:val="28"/>
          <w:szCs w:val="28"/>
          <w:rtl/>
        </w:rPr>
        <w:t xml:space="preserve"> </w:t>
      </w:r>
      <w:r w:rsidRPr="00282AC9">
        <w:rPr>
          <w:rFonts w:cs="DanaFajr" w:hint="cs"/>
          <w:sz w:val="28"/>
          <w:szCs w:val="28"/>
          <w:rtl/>
        </w:rPr>
        <w:t>الكتب</w:t>
      </w:r>
      <w:r w:rsidRPr="00282AC9">
        <w:rPr>
          <w:rFonts w:cs="DanaFajr"/>
          <w:sz w:val="28"/>
          <w:szCs w:val="28"/>
          <w:rtl/>
        </w:rPr>
        <w:t xml:space="preserve"> </w:t>
      </w:r>
      <w:r w:rsidRPr="00282AC9">
        <w:rPr>
          <w:rFonts w:cs="DanaFajr" w:hint="cs"/>
          <w:sz w:val="28"/>
          <w:szCs w:val="28"/>
          <w:rtl/>
        </w:rPr>
        <w:t>الإسلامية، طهران</w:t>
      </w:r>
      <w:r w:rsidRPr="00282AC9">
        <w:rPr>
          <w:rFonts w:cs="DanaFajr"/>
          <w:sz w:val="28"/>
          <w:szCs w:val="28"/>
          <w:rtl/>
        </w:rPr>
        <w:t>، ط3، 1367</w:t>
      </w:r>
      <w:r w:rsidRPr="00282AC9">
        <w:rPr>
          <w:rFonts w:cs="DanaFajr" w:hint="cs"/>
          <w:sz w:val="28"/>
          <w:szCs w:val="28"/>
          <w:rtl/>
        </w:rPr>
        <w:t>هـ.ش</w:t>
      </w:r>
      <w:r w:rsidRPr="00282AC9">
        <w:rPr>
          <w:rFonts w:cs="DanaFajr"/>
          <w:sz w:val="28"/>
          <w:szCs w:val="28"/>
          <w:rtl/>
        </w:rPr>
        <w:t>.</w:t>
      </w:r>
    </w:p>
  </w:endnote>
  <w:endnote w:id="772">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محمد</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جرير</w:t>
      </w:r>
      <w:r w:rsidRPr="00282AC9">
        <w:rPr>
          <w:rFonts w:cs="DanaFajr"/>
          <w:sz w:val="28"/>
          <w:szCs w:val="28"/>
          <w:rtl/>
        </w:rPr>
        <w:t xml:space="preserve"> </w:t>
      </w:r>
      <w:r w:rsidRPr="00282AC9">
        <w:rPr>
          <w:rFonts w:cs="DanaFajr" w:hint="cs"/>
          <w:sz w:val="28"/>
          <w:szCs w:val="28"/>
          <w:rtl/>
        </w:rPr>
        <w:t>الطبري، تاريخ</w:t>
      </w:r>
      <w:r w:rsidRPr="00282AC9">
        <w:rPr>
          <w:rFonts w:cs="DanaFajr"/>
          <w:sz w:val="28"/>
          <w:szCs w:val="28"/>
          <w:rtl/>
        </w:rPr>
        <w:t xml:space="preserve"> </w:t>
      </w:r>
      <w:r w:rsidRPr="00282AC9">
        <w:rPr>
          <w:rFonts w:cs="DanaFajr" w:hint="cs"/>
          <w:sz w:val="28"/>
          <w:szCs w:val="28"/>
          <w:rtl/>
        </w:rPr>
        <w:t xml:space="preserve">الطبري </w:t>
      </w:r>
      <w:r w:rsidRPr="00282AC9">
        <w:rPr>
          <w:rFonts w:cs="DanaFajr"/>
          <w:sz w:val="28"/>
          <w:szCs w:val="28"/>
          <w:rtl/>
        </w:rPr>
        <w:t>4</w:t>
      </w:r>
      <w:r w:rsidRPr="00282AC9">
        <w:rPr>
          <w:rFonts w:cs="DanaFajr" w:hint="cs"/>
          <w:sz w:val="28"/>
          <w:szCs w:val="28"/>
          <w:rtl/>
        </w:rPr>
        <w:t>: 346،</w:t>
      </w:r>
      <w:r w:rsidRPr="00282AC9">
        <w:rPr>
          <w:rFonts w:cs="DanaFajr"/>
          <w:sz w:val="28"/>
          <w:szCs w:val="28"/>
          <w:rtl/>
        </w:rPr>
        <w:t xml:space="preserve"> </w:t>
      </w:r>
      <w:r w:rsidRPr="00282AC9">
        <w:rPr>
          <w:rFonts w:cs="DanaFajr" w:hint="cs"/>
          <w:sz w:val="28"/>
          <w:szCs w:val="28"/>
          <w:rtl/>
        </w:rPr>
        <w:t>مراجعة</w:t>
      </w:r>
      <w:r w:rsidRPr="00282AC9">
        <w:rPr>
          <w:rFonts w:cs="DanaFajr"/>
          <w:sz w:val="28"/>
          <w:szCs w:val="28"/>
          <w:rtl/>
        </w:rPr>
        <w:t xml:space="preserve"> </w:t>
      </w:r>
      <w:r w:rsidRPr="00282AC9">
        <w:rPr>
          <w:rFonts w:cs="DanaFajr" w:hint="cs"/>
          <w:sz w:val="28"/>
          <w:szCs w:val="28"/>
          <w:rtl/>
        </w:rPr>
        <w:t>وتصحيح</w:t>
      </w:r>
      <w:r w:rsidRPr="00282AC9">
        <w:rPr>
          <w:rFonts w:cs="DanaFajr"/>
          <w:sz w:val="28"/>
          <w:szCs w:val="28"/>
          <w:rtl/>
        </w:rPr>
        <w:t xml:space="preserve"> </w:t>
      </w:r>
      <w:r w:rsidRPr="00282AC9">
        <w:rPr>
          <w:rFonts w:cs="DanaFajr" w:hint="cs"/>
          <w:sz w:val="28"/>
          <w:szCs w:val="28"/>
          <w:rtl/>
        </w:rPr>
        <w:t>وضبط</w:t>
      </w:r>
      <w:r w:rsidRPr="00282AC9">
        <w:rPr>
          <w:rFonts w:cs="DanaFajr"/>
          <w:sz w:val="28"/>
          <w:szCs w:val="28"/>
          <w:rtl/>
        </w:rPr>
        <w:t xml:space="preserve">: </w:t>
      </w:r>
      <w:r w:rsidRPr="00282AC9">
        <w:rPr>
          <w:rFonts w:cs="DanaFajr" w:hint="cs"/>
          <w:sz w:val="28"/>
          <w:szCs w:val="28"/>
          <w:rtl/>
        </w:rPr>
        <w:t>نخبة</w:t>
      </w:r>
      <w:r w:rsidRPr="00282AC9">
        <w:rPr>
          <w:rFonts w:cs="DanaFajr"/>
          <w:sz w:val="28"/>
          <w:szCs w:val="28"/>
          <w:rtl/>
        </w:rPr>
        <w:t xml:space="preserve"> </w:t>
      </w:r>
      <w:r w:rsidRPr="00282AC9">
        <w:rPr>
          <w:rFonts w:cs="DanaFajr" w:hint="cs"/>
          <w:sz w:val="28"/>
          <w:szCs w:val="28"/>
          <w:rtl/>
        </w:rPr>
        <w:t>من</w:t>
      </w:r>
      <w:r w:rsidRPr="00282AC9">
        <w:rPr>
          <w:rFonts w:cs="DanaFajr"/>
          <w:sz w:val="28"/>
          <w:szCs w:val="28"/>
          <w:rtl/>
        </w:rPr>
        <w:t xml:space="preserve"> </w:t>
      </w:r>
      <w:r w:rsidRPr="00282AC9">
        <w:rPr>
          <w:rFonts w:cs="DanaFajr" w:hint="cs"/>
          <w:sz w:val="28"/>
          <w:szCs w:val="28"/>
          <w:rtl/>
        </w:rPr>
        <w:t>العلماء</w:t>
      </w:r>
      <w:r w:rsidRPr="00282AC9">
        <w:rPr>
          <w:rFonts w:cs="DanaFajr"/>
          <w:sz w:val="28"/>
          <w:szCs w:val="28"/>
          <w:rtl/>
        </w:rPr>
        <w:t xml:space="preserve"> </w:t>
      </w:r>
      <w:r w:rsidRPr="00282AC9">
        <w:rPr>
          <w:rFonts w:cs="DanaFajr" w:hint="cs"/>
          <w:sz w:val="28"/>
          <w:szCs w:val="28"/>
          <w:rtl/>
        </w:rPr>
        <w:t>الأجلاء، مؤسّسة</w:t>
      </w:r>
      <w:r w:rsidRPr="00282AC9">
        <w:rPr>
          <w:rFonts w:cs="DanaFajr"/>
          <w:sz w:val="28"/>
          <w:szCs w:val="28"/>
          <w:rtl/>
        </w:rPr>
        <w:t xml:space="preserve"> </w:t>
      </w:r>
      <w:r w:rsidRPr="00282AC9">
        <w:rPr>
          <w:rFonts w:cs="DanaFajr" w:hint="cs"/>
          <w:sz w:val="28"/>
          <w:szCs w:val="28"/>
          <w:rtl/>
        </w:rPr>
        <w:t>الأعلمي</w:t>
      </w:r>
      <w:r w:rsidRPr="00282AC9">
        <w:rPr>
          <w:rFonts w:cs="DanaFajr"/>
          <w:sz w:val="28"/>
          <w:szCs w:val="28"/>
          <w:rtl/>
        </w:rPr>
        <w:t xml:space="preserve"> </w:t>
      </w:r>
      <w:r w:rsidRPr="00282AC9">
        <w:rPr>
          <w:rFonts w:cs="DanaFajr" w:hint="cs"/>
          <w:sz w:val="28"/>
          <w:szCs w:val="28"/>
          <w:rtl/>
        </w:rPr>
        <w:t>للمطبوعات،</w:t>
      </w:r>
      <w:r w:rsidRPr="00282AC9">
        <w:rPr>
          <w:rFonts w:cs="DanaFajr"/>
          <w:sz w:val="28"/>
          <w:szCs w:val="28"/>
          <w:rtl/>
        </w:rPr>
        <w:t xml:space="preserve"> </w:t>
      </w:r>
      <w:r w:rsidRPr="00282AC9">
        <w:rPr>
          <w:rFonts w:cs="DanaFajr" w:hint="cs"/>
          <w:sz w:val="28"/>
          <w:szCs w:val="28"/>
          <w:rtl/>
        </w:rPr>
        <w:t>بيروت</w:t>
      </w:r>
      <w:r w:rsidRPr="00282AC9">
        <w:rPr>
          <w:rFonts w:cs="DanaFajr"/>
          <w:sz w:val="28"/>
          <w:szCs w:val="28"/>
          <w:rtl/>
        </w:rPr>
        <w:t xml:space="preserve"> ـ </w:t>
      </w:r>
      <w:r w:rsidRPr="00282AC9">
        <w:rPr>
          <w:rFonts w:cs="DanaFajr" w:hint="cs"/>
          <w:sz w:val="28"/>
          <w:szCs w:val="28"/>
          <w:rtl/>
        </w:rPr>
        <w:t>لبنان.</w:t>
      </w:r>
    </w:p>
  </w:endnote>
  <w:endnote w:id="773">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محمد</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جعفر</w:t>
      </w:r>
      <w:r w:rsidRPr="00282AC9">
        <w:rPr>
          <w:rFonts w:cs="DanaFajr"/>
          <w:sz w:val="28"/>
          <w:szCs w:val="28"/>
          <w:rtl/>
        </w:rPr>
        <w:t xml:space="preserve"> </w:t>
      </w:r>
      <w:r w:rsidRPr="00282AC9">
        <w:rPr>
          <w:rFonts w:cs="DanaFajr" w:hint="cs"/>
          <w:sz w:val="28"/>
          <w:szCs w:val="28"/>
          <w:rtl/>
        </w:rPr>
        <w:t>المشهدي، المزار</w:t>
      </w:r>
      <w:r w:rsidRPr="00282AC9">
        <w:rPr>
          <w:rFonts w:cs="DanaFajr"/>
          <w:sz w:val="28"/>
          <w:szCs w:val="28"/>
          <w:rtl/>
        </w:rPr>
        <w:t xml:space="preserve">: </w:t>
      </w:r>
      <w:r w:rsidRPr="00282AC9">
        <w:rPr>
          <w:rFonts w:cs="DanaFajr" w:hint="cs"/>
          <w:sz w:val="28"/>
          <w:szCs w:val="28"/>
          <w:rtl/>
        </w:rPr>
        <w:t>579.</w:t>
      </w:r>
    </w:p>
  </w:endnote>
  <w:endnote w:id="774">
    <w:p w:rsidR="00C14EDE" w:rsidRPr="00282AC9" w:rsidRDefault="00C14EDE" w:rsidP="00DE48C1">
      <w:pPr>
        <w:pStyle w:val="af7"/>
        <w:spacing w:line="302"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كامل</w:t>
      </w:r>
      <w:r w:rsidRPr="00282AC9">
        <w:rPr>
          <w:rFonts w:cs="DanaFajr"/>
          <w:sz w:val="28"/>
          <w:szCs w:val="28"/>
          <w:rtl/>
        </w:rPr>
        <w:t xml:space="preserve"> </w:t>
      </w:r>
      <w:r w:rsidRPr="00282AC9">
        <w:rPr>
          <w:rFonts w:cs="DanaFajr" w:hint="cs"/>
          <w:sz w:val="28"/>
          <w:szCs w:val="28"/>
          <w:rtl/>
        </w:rPr>
        <w:t>الزيارات: 444.</w:t>
      </w:r>
    </w:p>
  </w:endnote>
  <w:endnote w:id="775">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المصدر السابق: 158.</w:t>
      </w:r>
    </w:p>
  </w:endnote>
  <w:endnote w:id="776">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تفسير</w:t>
      </w:r>
      <w:r w:rsidRPr="00282AC9">
        <w:rPr>
          <w:rFonts w:cs="DanaFajr"/>
          <w:sz w:val="28"/>
          <w:szCs w:val="28"/>
          <w:rtl/>
        </w:rPr>
        <w:t xml:space="preserve"> </w:t>
      </w:r>
      <w:r w:rsidRPr="00282AC9">
        <w:rPr>
          <w:rFonts w:cs="DanaFajr" w:hint="cs"/>
          <w:sz w:val="28"/>
          <w:szCs w:val="28"/>
          <w:rtl/>
        </w:rPr>
        <w:t>القمّي 1: 15.</w:t>
      </w:r>
    </w:p>
  </w:endnote>
  <w:endnote w:id="777">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المفيد، الأمالي: 290، تحقيق</w:t>
      </w:r>
      <w:r w:rsidRPr="00282AC9">
        <w:rPr>
          <w:rFonts w:cs="DanaFajr"/>
          <w:sz w:val="28"/>
          <w:szCs w:val="28"/>
          <w:rtl/>
        </w:rPr>
        <w:t xml:space="preserve">: </w:t>
      </w:r>
      <w:r w:rsidRPr="00282AC9">
        <w:rPr>
          <w:rFonts w:cs="DanaFajr" w:hint="cs"/>
          <w:sz w:val="28"/>
          <w:szCs w:val="28"/>
          <w:rtl/>
        </w:rPr>
        <w:t>حسين</w:t>
      </w:r>
      <w:r w:rsidRPr="00282AC9">
        <w:rPr>
          <w:rFonts w:cs="DanaFajr"/>
          <w:sz w:val="28"/>
          <w:szCs w:val="28"/>
          <w:rtl/>
        </w:rPr>
        <w:t xml:space="preserve"> </w:t>
      </w:r>
      <w:r w:rsidRPr="00282AC9">
        <w:rPr>
          <w:rFonts w:cs="DanaFajr" w:hint="cs"/>
          <w:sz w:val="28"/>
          <w:szCs w:val="28"/>
          <w:rtl/>
        </w:rPr>
        <w:t>الأستاد</w:t>
      </w:r>
      <w:r w:rsidRPr="00282AC9">
        <w:rPr>
          <w:rFonts w:cs="DanaFajr"/>
          <w:sz w:val="28"/>
          <w:szCs w:val="28"/>
          <w:rtl/>
        </w:rPr>
        <w:t xml:space="preserve"> </w:t>
      </w:r>
      <w:r w:rsidRPr="00282AC9">
        <w:rPr>
          <w:rFonts w:cs="DanaFajr" w:hint="cs"/>
          <w:sz w:val="28"/>
          <w:szCs w:val="28"/>
          <w:rtl/>
        </w:rPr>
        <w:t>ولي</w:t>
      </w:r>
      <w:r w:rsidRPr="00282AC9">
        <w:rPr>
          <w:rFonts w:cs="DanaFajr"/>
          <w:sz w:val="28"/>
          <w:szCs w:val="28"/>
          <w:rtl/>
        </w:rPr>
        <w:t xml:space="preserve"> </w:t>
      </w:r>
      <w:r w:rsidRPr="00282AC9">
        <w:rPr>
          <w:rFonts w:cs="DanaFajr" w:hint="cs"/>
          <w:sz w:val="28"/>
          <w:szCs w:val="28"/>
          <w:rtl/>
        </w:rPr>
        <w:t>وعلي</w:t>
      </w:r>
      <w:r w:rsidRPr="00282AC9">
        <w:rPr>
          <w:rFonts w:cs="DanaFajr"/>
          <w:sz w:val="28"/>
          <w:szCs w:val="28"/>
          <w:rtl/>
        </w:rPr>
        <w:t xml:space="preserve"> </w:t>
      </w:r>
      <w:r w:rsidRPr="00282AC9">
        <w:rPr>
          <w:rFonts w:cs="DanaFajr" w:hint="cs"/>
          <w:sz w:val="28"/>
          <w:szCs w:val="28"/>
          <w:rtl/>
        </w:rPr>
        <w:t>أكبر</w:t>
      </w:r>
      <w:r w:rsidRPr="00282AC9">
        <w:rPr>
          <w:rFonts w:cs="DanaFajr"/>
          <w:sz w:val="28"/>
          <w:szCs w:val="28"/>
          <w:rtl/>
        </w:rPr>
        <w:t xml:space="preserve"> </w:t>
      </w:r>
      <w:r w:rsidRPr="00282AC9">
        <w:rPr>
          <w:rFonts w:cs="DanaFajr" w:hint="cs"/>
          <w:sz w:val="28"/>
          <w:szCs w:val="28"/>
          <w:rtl/>
        </w:rPr>
        <w:t>الغفاري، دار</w:t>
      </w:r>
      <w:r w:rsidRPr="00282AC9">
        <w:rPr>
          <w:rFonts w:cs="DanaFajr"/>
          <w:sz w:val="28"/>
          <w:szCs w:val="28"/>
          <w:rtl/>
        </w:rPr>
        <w:t xml:space="preserve"> </w:t>
      </w:r>
      <w:r w:rsidRPr="00282AC9">
        <w:rPr>
          <w:rFonts w:cs="DanaFajr" w:hint="cs"/>
          <w:sz w:val="28"/>
          <w:szCs w:val="28"/>
          <w:rtl/>
        </w:rPr>
        <w:t>المفيد</w:t>
      </w:r>
      <w:r w:rsidRPr="00282AC9">
        <w:rPr>
          <w:rFonts w:cs="DanaFajr"/>
          <w:sz w:val="28"/>
          <w:szCs w:val="28"/>
          <w:rtl/>
        </w:rPr>
        <w:t xml:space="preserve"> </w:t>
      </w:r>
      <w:r w:rsidRPr="00282AC9">
        <w:rPr>
          <w:rFonts w:cs="DanaFajr" w:hint="cs"/>
          <w:sz w:val="28"/>
          <w:szCs w:val="28"/>
          <w:rtl/>
        </w:rPr>
        <w:t>للطباعة</w:t>
      </w:r>
      <w:r w:rsidRPr="00282AC9">
        <w:rPr>
          <w:rFonts w:cs="DanaFajr"/>
          <w:sz w:val="28"/>
          <w:szCs w:val="28"/>
          <w:rtl/>
        </w:rPr>
        <w:t xml:space="preserve"> </w:t>
      </w:r>
      <w:r w:rsidRPr="00282AC9">
        <w:rPr>
          <w:rFonts w:cs="DanaFajr" w:hint="cs"/>
          <w:sz w:val="28"/>
          <w:szCs w:val="28"/>
          <w:rtl/>
        </w:rPr>
        <w:t>والنشر</w:t>
      </w:r>
      <w:r w:rsidRPr="00282AC9">
        <w:rPr>
          <w:rFonts w:cs="DanaFajr"/>
          <w:sz w:val="28"/>
          <w:szCs w:val="28"/>
          <w:rtl/>
        </w:rPr>
        <w:t xml:space="preserve"> </w:t>
      </w:r>
      <w:r w:rsidRPr="00282AC9">
        <w:rPr>
          <w:rFonts w:cs="DanaFajr" w:hint="cs"/>
          <w:sz w:val="28"/>
          <w:szCs w:val="28"/>
          <w:rtl/>
        </w:rPr>
        <w:t>والتوزيع،</w:t>
      </w:r>
      <w:r w:rsidRPr="00282AC9">
        <w:rPr>
          <w:rFonts w:cs="DanaFajr"/>
          <w:sz w:val="28"/>
          <w:szCs w:val="28"/>
          <w:rtl/>
        </w:rPr>
        <w:t xml:space="preserve"> </w:t>
      </w:r>
      <w:r w:rsidRPr="00282AC9">
        <w:rPr>
          <w:rFonts w:cs="DanaFajr" w:hint="cs"/>
          <w:sz w:val="28"/>
          <w:szCs w:val="28"/>
          <w:rtl/>
        </w:rPr>
        <w:t>بيروت</w:t>
      </w:r>
      <w:r w:rsidRPr="00282AC9">
        <w:rPr>
          <w:rFonts w:cs="DanaFajr"/>
          <w:sz w:val="28"/>
          <w:szCs w:val="28"/>
          <w:rtl/>
        </w:rPr>
        <w:t xml:space="preserve"> ـ </w:t>
      </w:r>
      <w:r w:rsidRPr="00282AC9">
        <w:rPr>
          <w:rFonts w:cs="DanaFajr" w:hint="cs"/>
          <w:sz w:val="28"/>
          <w:szCs w:val="28"/>
          <w:rtl/>
        </w:rPr>
        <w:t xml:space="preserve">لبنان، ط2، </w:t>
      </w:r>
      <w:r w:rsidRPr="00282AC9">
        <w:rPr>
          <w:rFonts w:cs="DanaFajr"/>
          <w:sz w:val="28"/>
          <w:szCs w:val="28"/>
          <w:rtl/>
        </w:rPr>
        <w:t>1414</w:t>
      </w:r>
      <w:r w:rsidRPr="00282AC9">
        <w:rPr>
          <w:rFonts w:cs="DanaFajr" w:hint="cs"/>
          <w:sz w:val="28"/>
          <w:szCs w:val="28"/>
          <w:rtl/>
        </w:rPr>
        <w:t>هـ</w:t>
      </w:r>
      <w:r w:rsidRPr="00282AC9">
        <w:rPr>
          <w:rFonts w:cs="DanaFajr"/>
          <w:sz w:val="28"/>
          <w:szCs w:val="28"/>
          <w:rtl/>
        </w:rPr>
        <w:t xml:space="preserve"> ـ 1993</w:t>
      </w:r>
      <w:r w:rsidRPr="00282AC9">
        <w:rPr>
          <w:rFonts w:cs="DanaFajr" w:hint="cs"/>
          <w:sz w:val="28"/>
          <w:szCs w:val="28"/>
          <w:rtl/>
        </w:rPr>
        <w:t>م،.</w:t>
      </w:r>
    </w:p>
  </w:endnote>
  <w:endnote w:id="778">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تفسير</w:t>
      </w:r>
      <w:r w:rsidRPr="00282AC9">
        <w:rPr>
          <w:rFonts w:cs="DanaFajr"/>
          <w:sz w:val="28"/>
          <w:szCs w:val="28"/>
          <w:rtl/>
        </w:rPr>
        <w:t xml:space="preserve"> </w:t>
      </w:r>
      <w:r w:rsidRPr="00282AC9">
        <w:rPr>
          <w:rFonts w:cs="DanaFajr" w:hint="cs"/>
          <w:sz w:val="28"/>
          <w:szCs w:val="28"/>
          <w:rtl/>
        </w:rPr>
        <w:t>القمّي 2: 447.</w:t>
      </w:r>
    </w:p>
  </w:endnote>
  <w:endnote w:id="779">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 xml:space="preserve">قوله تعالى: </w:t>
      </w:r>
      <w:r w:rsidRPr="00282AC9">
        <w:rPr>
          <w:rFonts w:ascii="Mosawi" w:hAnsi="Mosawi" w:cs="Mosawi"/>
          <w:sz w:val="22"/>
          <w:szCs w:val="22"/>
          <w:rtl/>
        </w:rPr>
        <w:t>﴿</w:t>
      </w:r>
      <w:r w:rsidRPr="00282AC9">
        <w:rPr>
          <w:rFonts w:cs="DanaFajr" w:hint="cs"/>
          <w:b/>
          <w:bCs/>
          <w:sz w:val="28"/>
          <w:szCs w:val="28"/>
          <w:rtl/>
        </w:rPr>
        <w:t>يَحْلِفُونَ</w:t>
      </w:r>
      <w:r w:rsidRPr="00282AC9">
        <w:rPr>
          <w:rFonts w:cs="DanaFajr"/>
          <w:b/>
          <w:bCs/>
          <w:sz w:val="28"/>
          <w:szCs w:val="28"/>
          <w:rtl/>
        </w:rPr>
        <w:t xml:space="preserve"> </w:t>
      </w:r>
      <w:r w:rsidRPr="00282AC9">
        <w:rPr>
          <w:rFonts w:cs="DanaFajr" w:hint="cs"/>
          <w:b/>
          <w:bCs/>
          <w:sz w:val="28"/>
          <w:szCs w:val="28"/>
          <w:rtl/>
        </w:rPr>
        <w:t>بِاللهِ</w:t>
      </w:r>
      <w:r w:rsidRPr="00282AC9">
        <w:rPr>
          <w:rFonts w:cs="DanaFajr"/>
          <w:b/>
          <w:bCs/>
          <w:sz w:val="28"/>
          <w:szCs w:val="28"/>
          <w:rtl/>
        </w:rPr>
        <w:t xml:space="preserve"> </w:t>
      </w:r>
      <w:r w:rsidRPr="00282AC9">
        <w:rPr>
          <w:rFonts w:cs="DanaFajr" w:hint="cs"/>
          <w:b/>
          <w:bCs/>
          <w:sz w:val="28"/>
          <w:szCs w:val="28"/>
          <w:rtl/>
        </w:rPr>
        <w:t>مَا</w:t>
      </w:r>
      <w:r w:rsidRPr="00282AC9">
        <w:rPr>
          <w:rFonts w:cs="DanaFajr"/>
          <w:b/>
          <w:bCs/>
          <w:sz w:val="28"/>
          <w:szCs w:val="28"/>
          <w:rtl/>
        </w:rPr>
        <w:t xml:space="preserve"> </w:t>
      </w:r>
      <w:r w:rsidRPr="00282AC9">
        <w:rPr>
          <w:rFonts w:cs="DanaFajr" w:hint="cs"/>
          <w:b/>
          <w:bCs/>
          <w:sz w:val="28"/>
          <w:szCs w:val="28"/>
          <w:rtl/>
        </w:rPr>
        <w:t>قَالُوا</w:t>
      </w:r>
      <w:r w:rsidRPr="00282AC9">
        <w:rPr>
          <w:rFonts w:cs="DanaFajr"/>
          <w:b/>
          <w:bCs/>
          <w:sz w:val="28"/>
          <w:szCs w:val="28"/>
          <w:rtl/>
        </w:rPr>
        <w:t xml:space="preserve"> </w:t>
      </w:r>
      <w:r w:rsidRPr="00282AC9">
        <w:rPr>
          <w:rFonts w:cs="DanaFajr" w:hint="cs"/>
          <w:b/>
          <w:bCs/>
          <w:sz w:val="28"/>
          <w:szCs w:val="28"/>
          <w:rtl/>
        </w:rPr>
        <w:t>وَلَقَدْ</w:t>
      </w:r>
      <w:r w:rsidRPr="00282AC9">
        <w:rPr>
          <w:rFonts w:cs="DanaFajr"/>
          <w:b/>
          <w:bCs/>
          <w:sz w:val="28"/>
          <w:szCs w:val="28"/>
          <w:rtl/>
        </w:rPr>
        <w:t xml:space="preserve"> </w:t>
      </w:r>
      <w:r w:rsidRPr="00282AC9">
        <w:rPr>
          <w:rFonts w:cs="DanaFajr" w:hint="cs"/>
          <w:b/>
          <w:bCs/>
          <w:sz w:val="28"/>
          <w:szCs w:val="28"/>
          <w:rtl/>
        </w:rPr>
        <w:t>قَالُوا</w:t>
      </w:r>
      <w:r w:rsidRPr="00282AC9">
        <w:rPr>
          <w:rFonts w:cs="DanaFajr"/>
          <w:b/>
          <w:bCs/>
          <w:sz w:val="28"/>
          <w:szCs w:val="28"/>
          <w:rtl/>
        </w:rPr>
        <w:t xml:space="preserve"> </w:t>
      </w:r>
      <w:r w:rsidRPr="00282AC9">
        <w:rPr>
          <w:rFonts w:cs="DanaFajr" w:hint="cs"/>
          <w:b/>
          <w:bCs/>
          <w:sz w:val="28"/>
          <w:szCs w:val="28"/>
          <w:rtl/>
        </w:rPr>
        <w:t>كَلِمَةَ</w:t>
      </w:r>
      <w:r w:rsidRPr="00282AC9">
        <w:rPr>
          <w:rFonts w:cs="DanaFajr"/>
          <w:b/>
          <w:bCs/>
          <w:sz w:val="28"/>
          <w:szCs w:val="28"/>
          <w:rtl/>
        </w:rPr>
        <w:t xml:space="preserve"> </w:t>
      </w:r>
      <w:r w:rsidRPr="00282AC9">
        <w:rPr>
          <w:rFonts w:cs="DanaFajr" w:hint="cs"/>
          <w:b/>
          <w:bCs/>
          <w:sz w:val="28"/>
          <w:szCs w:val="28"/>
          <w:rtl/>
        </w:rPr>
        <w:t>الْكُفْرِ</w:t>
      </w:r>
      <w:r w:rsidRPr="00282AC9">
        <w:rPr>
          <w:rFonts w:cs="DanaFajr"/>
          <w:b/>
          <w:bCs/>
          <w:sz w:val="28"/>
          <w:szCs w:val="28"/>
          <w:rtl/>
        </w:rPr>
        <w:t xml:space="preserve"> </w:t>
      </w:r>
      <w:r w:rsidRPr="00282AC9">
        <w:rPr>
          <w:rFonts w:cs="DanaFajr" w:hint="cs"/>
          <w:b/>
          <w:bCs/>
          <w:sz w:val="28"/>
          <w:szCs w:val="28"/>
          <w:rtl/>
        </w:rPr>
        <w:t>وَكَفَرُوا</w:t>
      </w:r>
      <w:r w:rsidRPr="00282AC9">
        <w:rPr>
          <w:rFonts w:cs="DanaFajr"/>
          <w:b/>
          <w:bCs/>
          <w:sz w:val="28"/>
          <w:szCs w:val="28"/>
          <w:rtl/>
        </w:rPr>
        <w:t xml:space="preserve"> </w:t>
      </w:r>
      <w:r w:rsidRPr="00282AC9">
        <w:rPr>
          <w:rFonts w:cs="DanaFajr" w:hint="cs"/>
          <w:b/>
          <w:bCs/>
          <w:sz w:val="28"/>
          <w:szCs w:val="28"/>
          <w:rtl/>
        </w:rPr>
        <w:t>بَعْدَ</w:t>
      </w:r>
      <w:r w:rsidRPr="00282AC9">
        <w:rPr>
          <w:rFonts w:cs="DanaFajr"/>
          <w:b/>
          <w:bCs/>
          <w:sz w:val="28"/>
          <w:szCs w:val="28"/>
          <w:rtl/>
        </w:rPr>
        <w:t xml:space="preserve"> </w:t>
      </w:r>
      <w:r w:rsidRPr="00282AC9">
        <w:rPr>
          <w:rFonts w:cs="DanaFajr" w:hint="cs"/>
          <w:b/>
          <w:bCs/>
          <w:sz w:val="28"/>
          <w:szCs w:val="28"/>
          <w:rtl/>
        </w:rPr>
        <w:t>إِسْلاَمِهِمْ</w:t>
      </w:r>
      <w:r w:rsidRPr="00282AC9">
        <w:rPr>
          <w:rFonts w:cs="DanaFajr"/>
          <w:b/>
          <w:bCs/>
          <w:sz w:val="28"/>
          <w:szCs w:val="28"/>
          <w:rtl/>
        </w:rPr>
        <w:t xml:space="preserve"> </w:t>
      </w:r>
      <w:r w:rsidRPr="00282AC9">
        <w:rPr>
          <w:rFonts w:cs="DanaFajr" w:hint="cs"/>
          <w:b/>
          <w:bCs/>
          <w:sz w:val="28"/>
          <w:szCs w:val="28"/>
          <w:rtl/>
        </w:rPr>
        <w:t>وَهَمُّوا</w:t>
      </w:r>
      <w:r w:rsidRPr="00282AC9">
        <w:rPr>
          <w:rFonts w:cs="DanaFajr"/>
          <w:b/>
          <w:bCs/>
          <w:sz w:val="28"/>
          <w:szCs w:val="28"/>
          <w:rtl/>
        </w:rPr>
        <w:t xml:space="preserve"> </w:t>
      </w:r>
      <w:r w:rsidRPr="00282AC9">
        <w:rPr>
          <w:rFonts w:cs="DanaFajr" w:hint="cs"/>
          <w:b/>
          <w:bCs/>
          <w:sz w:val="28"/>
          <w:szCs w:val="28"/>
          <w:rtl/>
        </w:rPr>
        <w:t>بِمَا</w:t>
      </w:r>
      <w:r w:rsidRPr="00282AC9">
        <w:rPr>
          <w:rFonts w:cs="DanaFajr"/>
          <w:b/>
          <w:bCs/>
          <w:sz w:val="28"/>
          <w:szCs w:val="28"/>
          <w:rtl/>
        </w:rPr>
        <w:t xml:space="preserve"> </w:t>
      </w:r>
      <w:r w:rsidRPr="00282AC9">
        <w:rPr>
          <w:rFonts w:cs="DanaFajr" w:hint="cs"/>
          <w:b/>
          <w:bCs/>
          <w:sz w:val="28"/>
          <w:szCs w:val="28"/>
          <w:rtl/>
        </w:rPr>
        <w:t>لَمْ</w:t>
      </w:r>
      <w:r w:rsidRPr="00282AC9">
        <w:rPr>
          <w:rFonts w:cs="DanaFajr"/>
          <w:b/>
          <w:bCs/>
          <w:sz w:val="28"/>
          <w:szCs w:val="28"/>
          <w:rtl/>
        </w:rPr>
        <w:t xml:space="preserve"> </w:t>
      </w:r>
      <w:r w:rsidRPr="00282AC9">
        <w:rPr>
          <w:rFonts w:cs="DanaFajr" w:hint="cs"/>
          <w:b/>
          <w:bCs/>
          <w:sz w:val="28"/>
          <w:szCs w:val="28"/>
          <w:rtl/>
        </w:rPr>
        <w:t>يَنَالُوا</w:t>
      </w:r>
      <w:r w:rsidRPr="00282AC9">
        <w:rPr>
          <w:rFonts w:cs="DanaFajr"/>
          <w:b/>
          <w:bCs/>
          <w:sz w:val="28"/>
          <w:szCs w:val="28"/>
          <w:rtl/>
        </w:rPr>
        <w:t xml:space="preserve"> </w:t>
      </w:r>
      <w:r w:rsidRPr="00282AC9">
        <w:rPr>
          <w:rFonts w:cs="DanaFajr" w:hint="cs"/>
          <w:b/>
          <w:bCs/>
          <w:sz w:val="28"/>
          <w:szCs w:val="28"/>
          <w:rtl/>
        </w:rPr>
        <w:t>وَمَا</w:t>
      </w:r>
      <w:r w:rsidRPr="00282AC9">
        <w:rPr>
          <w:rFonts w:cs="DanaFajr"/>
          <w:b/>
          <w:bCs/>
          <w:sz w:val="28"/>
          <w:szCs w:val="28"/>
          <w:rtl/>
        </w:rPr>
        <w:t xml:space="preserve"> </w:t>
      </w:r>
      <w:r w:rsidRPr="00282AC9">
        <w:rPr>
          <w:rFonts w:cs="DanaFajr" w:hint="cs"/>
          <w:b/>
          <w:bCs/>
          <w:sz w:val="28"/>
          <w:szCs w:val="28"/>
          <w:rtl/>
        </w:rPr>
        <w:t>نَقَمُوا</w:t>
      </w:r>
      <w:r w:rsidRPr="00282AC9">
        <w:rPr>
          <w:rFonts w:cs="DanaFajr"/>
          <w:b/>
          <w:bCs/>
          <w:sz w:val="28"/>
          <w:szCs w:val="28"/>
          <w:rtl/>
        </w:rPr>
        <w:t xml:space="preserve"> </w:t>
      </w:r>
      <w:r w:rsidRPr="00282AC9">
        <w:rPr>
          <w:rFonts w:cs="DanaFajr" w:hint="cs"/>
          <w:b/>
          <w:bCs/>
          <w:sz w:val="28"/>
          <w:szCs w:val="28"/>
          <w:rtl/>
        </w:rPr>
        <w:t>إِلاَّ</w:t>
      </w:r>
      <w:r w:rsidRPr="00282AC9">
        <w:rPr>
          <w:rFonts w:cs="DanaFajr"/>
          <w:b/>
          <w:bCs/>
          <w:sz w:val="28"/>
          <w:szCs w:val="28"/>
          <w:rtl/>
        </w:rPr>
        <w:t xml:space="preserve"> </w:t>
      </w:r>
      <w:r w:rsidRPr="00282AC9">
        <w:rPr>
          <w:rFonts w:cs="DanaFajr" w:hint="cs"/>
          <w:b/>
          <w:bCs/>
          <w:sz w:val="28"/>
          <w:szCs w:val="28"/>
          <w:rtl/>
        </w:rPr>
        <w:t>أَنْ</w:t>
      </w:r>
      <w:r w:rsidRPr="00282AC9">
        <w:rPr>
          <w:rFonts w:cs="DanaFajr"/>
          <w:b/>
          <w:bCs/>
          <w:sz w:val="28"/>
          <w:szCs w:val="28"/>
          <w:rtl/>
        </w:rPr>
        <w:t xml:space="preserve"> </w:t>
      </w:r>
      <w:r w:rsidRPr="00282AC9">
        <w:rPr>
          <w:rFonts w:cs="DanaFajr" w:hint="cs"/>
          <w:b/>
          <w:bCs/>
          <w:sz w:val="28"/>
          <w:szCs w:val="28"/>
          <w:rtl/>
        </w:rPr>
        <w:t>أَغْنَاهُمُ</w:t>
      </w:r>
      <w:r w:rsidRPr="00282AC9">
        <w:rPr>
          <w:rFonts w:cs="DanaFajr"/>
          <w:b/>
          <w:bCs/>
          <w:sz w:val="28"/>
          <w:szCs w:val="28"/>
          <w:rtl/>
        </w:rPr>
        <w:t xml:space="preserve"> </w:t>
      </w:r>
      <w:r w:rsidRPr="00282AC9">
        <w:rPr>
          <w:rFonts w:cs="DanaFajr" w:hint="cs"/>
          <w:b/>
          <w:bCs/>
          <w:sz w:val="28"/>
          <w:szCs w:val="28"/>
          <w:rtl/>
        </w:rPr>
        <w:t>اللهُ</w:t>
      </w:r>
      <w:r w:rsidRPr="00282AC9">
        <w:rPr>
          <w:rFonts w:cs="DanaFajr"/>
          <w:b/>
          <w:bCs/>
          <w:sz w:val="28"/>
          <w:szCs w:val="28"/>
          <w:rtl/>
        </w:rPr>
        <w:t xml:space="preserve"> </w:t>
      </w:r>
      <w:r w:rsidRPr="00282AC9">
        <w:rPr>
          <w:rFonts w:cs="DanaFajr" w:hint="cs"/>
          <w:b/>
          <w:bCs/>
          <w:sz w:val="28"/>
          <w:szCs w:val="28"/>
          <w:rtl/>
        </w:rPr>
        <w:t>وَرَسُولُهُ</w:t>
      </w:r>
      <w:r w:rsidRPr="00282AC9">
        <w:rPr>
          <w:rFonts w:cs="DanaFajr"/>
          <w:b/>
          <w:bCs/>
          <w:sz w:val="28"/>
          <w:szCs w:val="28"/>
          <w:rtl/>
        </w:rPr>
        <w:t xml:space="preserve"> </w:t>
      </w:r>
      <w:r w:rsidRPr="00282AC9">
        <w:rPr>
          <w:rFonts w:cs="DanaFajr" w:hint="cs"/>
          <w:b/>
          <w:bCs/>
          <w:sz w:val="28"/>
          <w:szCs w:val="28"/>
          <w:rtl/>
        </w:rPr>
        <w:t>مِنْ</w:t>
      </w:r>
      <w:r w:rsidRPr="00282AC9">
        <w:rPr>
          <w:rFonts w:cs="DanaFajr"/>
          <w:b/>
          <w:bCs/>
          <w:sz w:val="28"/>
          <w:szCs w:val="28"/>
          <w:rtl/>
        </w:rPr>
        <w:t xml:space="preserve"> </w:t>
      </w:r>
      <w:r w:rsidRPr="00282AC9">
        <w:rPr>
          <w:rFonts w:cs="DanaFajr" w:hint="cs"/>
          <w:b/>
          <w:bCs/>
          <w:sz w:val="28"/>
          <w:szCs w:val="28"/>
          <w:rtl/>
        </w:rPr>
        <w:t>فَضْلِهِ</w:t>
      </w:r>
      <w:r w:rsidRPr="00282AC9">
        <w:rPr>
          <w:rFonts w:cs="DanaFajr"/>
          <w:b/>
          <w:bCs/>
          <w:sz w:val="28"/>
          <w:szCs w:val="28"/>
          <w:rtl/>
        </w:rPr>
        <w:t xml:space="preserve"> </w:t>
      </w:r>
      <w:r w:rsidRPr="00282AC9">
        <w:rPr>
          <w:rFonts w:cs="DanaFajr" w:hint="cs"/>
          <w:b/>
          <w:bCs/>
          <w:sz w:val="28"/>
          <w:szCs w:val="28"/>
          <w:rtl/>
        </w:rPr>
        <w:t>فَإِنْ</w:t>
      </w:r>
      <w:r w:rsidRPr="00282AC9">
        <w:rPr>
          <w:rFonts w:cs="DanaFajr"/>
          <w:b/>
          <w:bCs/>
          <w:sz w:val="28"/>
          <w:szCs w:val="28"/>
          <w:rtl/>
        </w:rPr>
        <w:t xml:space="preserve"> </w:t>
      </w:r>
      <w:r w:rsidRPr="00282AC9">
        <w:rPr>
          <w:rFonts w:cs="DanaFajr" w:hint="cs"/>
          <w:b/>
          <w:bCs/>
          <w:sz w:val="28"/>
          <w:szCs w:val="28"/>
          <w:rtl/>
        </w:rPr>
        <w:t>يَتُوبُوا</w:t>
      </w:r>
      <w:r w:rsidRPr="00282AC9">
        <w:rPr>
          <w:rFonts w:cs="DanaFajr"/>
          <w:b/>
          <w:bCs/>
          <w:sz w:val="28"/>
          <w:szCs w:val="28"/>
          <w:rtl/>
        </w:rPr>
        <w:t xml:space="preserve"> </w:t>
      </w:r>
      <w:r w:rsidRPr="00282AC9">
        <w:rPr>
          <w:rFonts w:cs="DanaFajr" w:hint="cs"/>
          <w:b/>
          <w:bCs/>
          <w:sz w:val="28"/>
          <w:szCs w:val="28"/>
          <w:rtl/>
        </w:rPr>
        <w:t>يَكُ</w:t>
      </w:r>
      <w:r w:rsidRPr="00282AC9">
        <w:rPr>
          <w:rFonts w:cs="DanaFajr"/>
          <w:b/>
          <w:bCs/>
          <w:sz w:val="28"/>
          <w:szCs w:val="28"/>
          <w:rtl/>
        </w:rPr>
        <w:t xml:space="preserve"> </w:t>
      </w:r>
      <w:r w:rsidRPr="00282AC9">
        <w:rPr>
          <w:rFonts w:cs="DanaFajr" w:hint="cs"/>
          <w:b/>
          <w:bCs/>
          <w:sz w:val="28"/>
          <w:szCs w:val="28"/>
          <w:rtl/>
        </w:rPr>
        <w:t>خَيْراً</w:t>
      </w:r>
      <w:r w:rsidRPr="00282AC9">
        <w:rPr>
          <w:rFonts w:cs="DanaFajr"/>
          <w:b/>
          <w:bCs/>
          <w:sz w:val="28"/>
          <w:szCs w:val="28"/>
          <w:rtl/>
        </w:rPr>
        <w:t xml:space="preserve"> </w:t>
      </w:r>
      <w:r w:rsidRPr="00282AC9">
        <w:rPr>
          <w:rFonts w:cs="DanaFajr" w:hint="cs"/>
          <w:b/>
          <w:bCs/>
          <w:sz w:val="28"/>
          <w:szCs w:val="28"/>
          <w:rtl/>
        </w:rPr>
        <w:t>لَهُمْ</w:t>
      </w:r>
      <w:r w:rsidRPr="00282AC9">
        <w:rPr>
          <w:rFonts w:cs="DanaFajr"/>
          <w:b/>
          <w:bCs/>
          <w:sz w:val="28"/>
          <w:szCs w:val="28"/>
          <w:rtl/>
        </w:rPr>
        <w:t xml:space="preserve"> </w:t>
      </w:r>
      <w:r w:rsidRPr="00282AC9">
        <w:rPr>
          <w:rFonts w:cs="DanaFajr" w:hint="cs"/>
          <w:b/>
          <w:bCs/>
          <w:sz w:val="28"/>
          <w:szCs w:val="28"/>
          <w:rtl/>
        </w:rPr>
        <w:t>وَإِنْ</w:t>
      </w:r>
      <w:r w:rsidRPr="00282AC9">
        <w:rPr>
          <w:rFonts w:cs="DanaFajr"/>
          <w:b/>
          <w:bCs/>
          <w:sz w:val="28"/>
          <w:szCs w:val="28"/>
          <w:rtl/>
        </w:rPr>
        <w:t xml:space="preserve"> </w:t>
      </w:r>
      <w:r w:rsidRPr="00282AC9">
        <w:rPr>
          <w:rFonts w:cs="DanaFajr" w:hint="cs"/>
          <w:b/>
          <w:bCs/>
          <w:sz w:val="28"/>
          <w:szCs w:val="28"/>
          <w:rtl/>
        </w:rPr>
        <w:t>يَتَوَلَّوْا</w:t>
      </w:r>
      <w:r w:rsidRPr="00282AC9">
        <w:rPr>
          <w:rFonts w:cs="DanaFajr"/>
          <w:b/>
          <w:bCs/>
          <w:sz w:val="28"/>
          <w:szCs w:val="28"/>
          <w:rtl/>
        </w:rPr>
        <w:t xml:space="preserve"> </w:t>
      </w:r>
      <w:r w:rsidRPr="00282AC9">
        <w:rPr>
          <w:rFonts w:cs="DanaFajr" w:hint="cs"/>
          <w:b/>
          <w:bCs/>
          <w:sz w:val="28"/>
          <w:szCs w:val="28"/>
          <w:rtl/>
        </w:rPr>
        <w:t>يُعَذِّبْهُمُ</w:t>
      </w:r>
      <w:r w:rsidRPr="00282AC9">
        <w:rPr>
          <w:rFonts w:cs="DanaFajr"/>
          <w:b/>
          <w:bCs/>
          <w:sz w:val="28"/>
          <w:szCs w:val="28"/>
          <w:rtl/>
        </w:rPr>
        <w:t xml:space="preserve"> </w:t>
      </w:r>
      <w:r w:rsidRPr="00282AC9">
        <w:rPr>
          <w:rFonts w:cs="DanaFajr" w:hint="cs"/>
          <w:b/>
          <w:bCs/>
          <w:sz w:val="28"/>
          <w:szCs w:val="28"/>
          <w:rtl/>
        </w:rPr>
        <w:t>اللهُ</w:t>
      </w:r>
      <w:r w:rsidRPr="00282AC9">
        <w:rPr>
          <w:rFonts w:cs="DanaFajr"/>
          <w:b/>
          <w:bCs/>
          <w:sz w:val="28"/>
          <w:szCs w:val="28"/>
          <w:rtl/>
        </w:rPr>
        <w:t xml:space="preserve"> </w:t>
      </w:r>
      <w:r w:rsidRPr="00282AC9">
        <w:rPr>
          <w:rFonts w:cs="DanaFajr" w:hint="cs"/>
          <w:b/>
          <w:bCs/>
          <w:sz w:val="28"/>
          <w:szCs w:val="28"/>
          <w:rtl/>
        </w:rPr>
        <w:t>عَذَاباً</w:t>
      </w:r>
      <w:r w:rsidRPr="00282AC9">
        <w:rPr>
          <w:rFonts w:cs="DanaFajr"/>
          <w:b/>
          <w:bCs/>
          <w:sz w:val="28"/>
          <w:szCs w:val="28"/>
          <w:rtl/>
        </w:rPr>
        <w:t xml:space="preserve"> </w:t>
      </w:r>
      <w:r w:rsidRPr="00282AC9">
        <w:rPr>
          <w:rFonts w:cs="DanaFajr" w:hint="cs"/>
          <w:b/>
          <w:bCs/>
          <w:sz w:val="28"/>
          <w:szCs w:val="28"/>
          <w:rtl/>
        </w:rPr>
        <w:t>أَلِيماً</w:t>
      </w:r>
      <w:r w:rsidRPr="00282AC9">
        <w:rPr>
          <w:rFonts w:cs="DanaFajr"/>
          <w:b/>
          <w:bCs/>
          <w:sz w:val="28"/>
          <w:szCs w:val="28"/>
          <w:rtl/>
        </w:rPr>
        <w:t xml:space="preserve"> </w:t>
      </w:r>
      <w:r w:rsidRPr="00282AC9">
        <w:rPr>
          <w:rFonts w:cs="DanaFajr" w:hint="cs"/>
          <w:b/>
          <w:bCs/>
          <w:sz w:val="28"/>
          <w:szCs w:val="28"/>
          <w:rtl/>
        </w:rPr>
        <w:t>فِي</w:t>
      </w:r>
      <w:r w:rsidRPr="00282AC9">
        <w:rPr>
          <w:rFonts w:cs="DanaFajr"/>
          <w:b/>
          <w:bCs/>
          <w:sz w:val="28"/>
          <w:szCs w:val="28"/>
          <w:rtl/>
        </w:rPr>
        <w:t xml:space="preserve"> </w:t>
      </w:r>
      <w:r w:rsidRPr="00282AC9">
        <w:rPr>
          <w:rFonts w:cs="DanaFajr" w:hint="cs"/>
          <w:b/>
          <w:bCs/>
          <w:sz w:val="28"/>
          <w:szCs w:val="28"/>
          <w:rtl/>
        </w:rPr>
        <w:t>الدُّنْيَا</w:t>
      </w:r>
      <w:r w:rsidRPr="00282AC9">
        <w:rPr>
          <w:rFonts w:cs="DanaFajr"/>
          <w:b/>
          <w:bCs/>
          <w:sz w:val="28"/>
          <w:szCs w:val="28"/>
          <w:rtl/>
        </w:rPr>
        <w:t xml:space="preserve"> </w:t>
      </w:r>
      <w:r w:rsidRPr="00282AC9">
        <w:rPr>
          <w:rFonts w:cs="DanaFajr" w:hint="cs"/>
          <w:b/>
          <w:bCs/>
          <w:sz w:val="28"/>
          <w:szCs w:val="28"/>
          <w:rtl/>
        </w:rPr>
        <w:t>وَالآخِرَةِ</w:t>
      </w:r>
      <w:r w:rsidRPr="00282AC9">
        <w:rPr>
          <w:rFonts w:cs="DanaFajr"/>
          <w:b/>
          <w:bCs/>
          <w:sz w:val="28"/>
          <w:szCs w:val="28"/>
          <w:rtl/>
        </w:rPr>
        <w:t xml:space="preserve"> </w:t>
      </w:r>
      <w:r w:rsidRPr="00282AC9">
        <w:rPr>
          <w:rFonts w:cs="DanaFajr" w:hint="cs"/>
          <w:b/>
          <w:bCs/>
          <w:sz w:val="28"/>
          <w:szCs w:val="28"/>
          <w:rtl/>
        </w:rPr>
        <w:t>وَمَا</w:t>
      </w:r>
      <w:r w:rsidRPr="00282AC9">
        <w:rPr>
          <w:rFonts w:cs="DanaFajr"/>
          <w:b/>
          <w:bCs/>
          <w:sz w:val="28"/>
          <w:szCs w:val="28"/>
          <w:rtl/>
        </w:rPr>
        <w:t xml:space="preserve"> </w:t>
      </w:r>
      <w:r w:rsidRPr="00282AC9">
        <w:rPr>
          <w:rFonts w:cs="DanaFajr" w:hint="cs"/>
          <w:b/>
          <w:bCs/>
          <w:sz w:val="28"/>
          <w:szCs w:val="28"/>
          <w:rtl/>
        </w:rPr>
        <w:t>لَهُمْ</w:t>
      </w:r>
      <w:r w:rsidRPr="00282AC9">
        <w:rPr>
          <w:rFonts w:cs="DanaFajr"/>
          <w:b/>
          <w:bCs/>
          <w:sz w:val="28"/>
          <w:szCs w:val="28"/>
          <w:rtl/>
        </w:rPr>
        <w:t xml:space="preserve"> </w:t>
      </w:r>
      <w:r w:rsidRPr="00282AC9">
        <w:rPr>
          <w:rFonts w:cs="DanaFajr" w:hint="cs"/>
          <w:b/>
          <w:bCs/>
          <w:sz w:val="28"/>
          <w:szCs w:val="28"/>
          <w:rtl/>
        </w:rPr>
        <w:t>فِي</w:t>
      </w:r>
      <w:r w:rsidRPr="00282AC9">
        <w:rPr>
          <w:rFonts w:cs="DanaFajr"/>
          <w:b/>
          <w:bCs/>
          <w:sz w:val="28"/>
          <w:szCs w:val="28"/>
          <w:rtl/>
        </w:rPr>
        <w:t xml:space="preserve"> </w:t>
      </w:r>
      <w:r w:rsidRPr="00282AC9">
        <w:rPr>
          <w:rFonts w:cs="DanaFajr" w:hint="cs"/>
          <w:b/>
          <w:bCs/>
          <w:sz w:val="28"/>
          <w:szCs w:val="28"/>
          <w:rtl/>
        </w:rPr>
        <w:t>الأَرْضِ</w:t>
      </w:r>
      <w:r w:rsidRPr="00282AC9">
        <w:rPr>
          <w:rFonts w:cs="DanaFajr"/>
          <w:b/>
          <w:bCs/>
          <w:sz w:val="28"/>
          <w:szCs w:val="28"/>
          <w:rtl/>
        </w:rPr>
        <w:t xml:space="preserve"> </w:t>
      </w:r>
      <w:r w:rsidRPr="00282AC9">
        <w:rPr>
          <w:rFonts w:cs="DanaFajr" w:hint="cs"/>
          <w:b/>
          <w:bCs/>
          <w:sz w:val="28"/>
          <w:szCs w:val="28"/>
          <w:rtl/>
        </w:rPr>
        <w:t>مِنْ</w:t>
      </w:r>
      <w:r w:rsidRPr="00282AC9">
        <w:rPr>
          <w:rFonts w:cs="DanaFajr"/>
          <w:b/>
          <w:bCs/>
          <w:sz w:val="28"/>
          <w:szCs w:val="28"/>
          <w:rtl/>
        </w:rPr>
        <w:t xml:space="preserve"> </w:t>
      </w:r>
      <w:r w:rsidRPr="00282AC9">
        <w:rPr>
          <w:rFonts w:cs="DanaFajr" w:hint="cs"/>
          <w:b/>
          <w:bCs/>
          <w:sz w:val="28"/>
          <w:szCs w:val="28"/>
          <w:rtl/>
        </w:rPr>
        <w:t>وَلِيٍّ</w:t>
      </w:r>
      <w:r w:rsidRPr="00282AC9">
        <w:rPr>
          <w:rFonts w:cs="DanaFajr"/>
          <w:b/>
          <w:bCs/>
          <w:sz w:val="28"/>
          <w:szCs w:val="28"/>
          <w:rtl/>
        </w:rPr>
        <w:t xml:space="preserve"> </w:t>
      </w:r>
      <w:r w:rsidRPr="00282AC9">
        <w:rPr>
          <w:rFonts w:cs="DanaFajr" w:hint="cs"/>
          <w:b/>
          <w:bCs/>
          <w:sz w:val="28"/>
          <w:szCs w:val="28"/>
          <w:rtl/>
        </w:rPr>
        <w:t>وَلاَ</w:t>
      </w:r>
      <w:r w:rsidRPr="00282AC9">
        <w:rPr>
          <w:rFonts w:cs="DanaFajr"/>
          <w:b/>
          <w:bCs/>
          <w:sz w:val="28"/>
          <w:szCs w:val="28"/>
          <w:rtl/>
        </w:rPr>
        <w:t xml:space="preserve"> </w:t>
      </w:r>
      <w:r w:rsidRPr="00282AC9">
        <w:rPr>
          <w:rFonts w:cs="DanaFajr" w:hint="cs"/>
          <w:b/>
          <w:bCs/>
          <w:sz w:val="28"/>
          <w:szCs w:val="28"/>
          <w:rtl/>
        </w:rPr>
        <w:t>نَصِيرٍ</w:t>
      </w:r>
      <w:r w:rsidRPr="00282AC9">
        <w:rPr>
          <w:rFonts w:ascii="Mosawi" w:hAnsi="Mosawi" w:cs="Mosawi"/>
          <w:sz w:val="22"/>
          <w:szCs w:val="22"/>
          <w:rtl/>
        </w:rPr>
        <w:t>﴾</w:t>
      </w:r>
      <w:r w:rsidRPr="00282AC9">
        <w:rPr>
          <w:rFonts w:cs="DanaFajr" w:hint="cs"/>
          <w:sz w:val="28"/>
          <w:szCs w:val="28"/>
          <w:rtl/>
        </w:rPr>
        <w:t xml:space="preserve"> (التوبة: </w:t>
      </w:r>
      <w:r w:rsidRPr="00282AC9">
        <w:rPr>
          <w:rFonts w:cs="DanaFajr"/>
          <w:sz w:val="28"/>
          <w:szCs w:val="28"/>
          <w:rtl/>
        </w:rPr>
        <w:t>74</w:t>
      </w:r>
      <w:r w:rsidRPr="00282AC9">
        <w:rPr>
          <w:rFonts w:cs="DanaFajr" w:hint="cs"/>
          <w:sz w:val="28"/>
          <w:szCs w:val="28"/>
          <w:rtl/>
        </w:rPr>
        <w:t>)</w:t>
      </w:r>
      <w:r w:rsidRPr="00282AC9">
        <w:rPr>
          <w:rFonts w:cs="DanaFajr"/>
          <w:sz w:val="28"/>
          <w:szCs w:val="28"/>
          <w:rtl/>
        </w:rPr>
        <w:t>.</w:t>
      </w:r>
    </w:p>
  </w:endnote>
  <w:endnote w:id="780">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عن</w:t>
      </w:r>
      <w:r w:rsidRPr="00282AC9">
        <w:rPr>
          <w:rFonts w:cs="DanaFajr"/>
          <w:sz w:val="28"/>
          <w:szCs w:val="28"/>
          <w:rtl/>
        </w:rPr>
        <w:t xml:space="preserve"> </w:t>
      </w:r>
      <w:r w:rsidRPr="00282AC9">
        <w:rPr>
          <w:rFonts w:cs="DanaFajr" w:hint="cs"/>
          <w:sz w:val="28"/>
          <w:szCs w:val="28"/>
          <w:rtl/>
        </w:rPr>
        <w:t>مجاهد:</w:t>
      </w:r>
      <w:r w:rsidRPr="00282AC9">
        <w:rPr>
          <w:rFonts w:cs="DanaFajr"/>
          <w:sz w:val="28"/>
          <w:szCs w:val="28"/>
          <w:rtl/>
        </w:rPr>
        <w:t xml:space="preserve"> </w:t>
      </w:r>
      <w:r w:rsidRPr="00282AC9">
        <w:rPr>
          <w:rFonts w:cs="DanaFajr" w:hint="cs"/>
          <w:sz w:val="28"/>
          <w:szCs w:val="28"/>
          <w:rtl/>
        </w:rPr>
        <w:t>كلمة</w:t>
      </w:r>
      <w:r w:rsidRPr="00282AC9">
        <w:rPr>
          <w:rFonts w:cs="DanaFajr"/>
          <w:sz w:val="28"/>
          <w:szCs w:val="28"/>
          <w:rtl/>
        </w:rPr>
        <w:t xml:space="preserve"> </w:t>
      </w:r>
      <w:r w:rsidRPr="00282AC9">
        <w:rPr>
          <w:rFonts w:cs="DanaFajr" w:hint="cs"/>
          <w:sz w:val="28"/>
          <w:szCs w:val="28"/>
          <w:rtl/>
        </w:rPr>
        <w:t>الكفر</w:t>
      </w:r>
      <w:r w:rsidRPr="00282AC9">
        <w:rPr>
          <w:rFonts w:cs="DanaFajr"/>
          <w:sz w:val="28"/>
          <w:szCs w:val="28"/>
          <w:rtl/>
        </w:rPr>
        <w:t xml:space="preserve"> </w:t>
      </w:r>
      <w:r w:rsidRPr="00282AC9">
        <w:rPr>
          <w:rFonts w:cs="DanaFajr" w:hint="cs"/>
          <w:sz w:val="28"/>
          <w:szCs w:val="28"/>
          <w:rtl/>
        </w:rPr>
        <w:t>قال</w:t>
      </w:r>
      <w:r w:rsidRPr="00282AC9">
        <w:rPr>
          <w:rFonts w:cs="DanaFajr"/>
          <w:sz w:val="28"/>
          <w:szCs w:val="28"/>
          <w:rtl/>
        </w:rPr>
        <w:t xml:space="preserve"> </w:t>
      </w:r>
      <w:r w:rsidRPr="00282AC9">
        <w:rPr>
          <w:rFonts w:cs="DanaFajr" w:hint="cs"/>
          <w:sz w:val="28"/>
          <w:szCs w:val="28"/>
          <w:rtl/>
        </w:rPr>
        <w:t>أحدهم</w:t>
      </w:r>
      <w:r w:rsidRPr="00282AC9">
        <w:rPr>
          <w:rFonts w:cs="DanaFajr"/>
          <w:sz w:val="28"/>
          <w:szCs w:val="28"/>
          <w:rtl/>
        </w:rPr>
        <w:t xml:space="preserve">: </w:t>
      </w:r>
      <w:r w:rsidRPr="00282AC9">
        <w:rPr>
          <w:rFonts w:cs="DanaFajr" w:hint="cs"/>
          <w:sz w:val="28"/>
          <w:szCs w:val="28"/>
          <w:rtl/>
        </w:rPr>
        <w:t>لئن</w:t>
      </w:r>
      <w:r w:rsidRPr="00282AC9">
        <w:rPr>
          <w:rFonts w:cs="DanaFajr"/>
          <w:sz w:val="28"/>
          <w:szCs w:val="28"/>
          <w:rtl/>
        </w:rPr>
        <w:t xml:space="preserve"> </w:t>
      </w:r>
      <w:r w:rsidRPr="00282AC9">
        <w:rPr>
          <w:rFonts w:cs="DanaFajr" w:hint="cs"/>
          <w:sz w:val="28"/>
          <w:szCs w:val="28"/>
          <w:rtl/>
        </w:rPr>
        <w:t>كان</w:t>
      </w:r>
      <w:r w:rsidRPr="00282AC9">
        <w:rPr>
          <w:rFonts w:cs="DanaFajr"/>
          <w:sz w:val="28"/>
          <w:szCs w:val="28"/>
          <w:rtl/>
        </w:rPr>
        <w:t xml:space="preserve"> </w:t>
      </w:r>
      <w:r w:rsidRPr="00282AC9">
        <w:rPr>
          <w:rFonts w:cs="DanaFajr" w:hint="cs"/>
          <w:sz w:val="28"/>
          <w:szCs w:val="28"/>
          <w:rtl/>
        </w:rPr>
        <w:t>ما</w:t>
      </w:r>
      <w:r w:rsidRPr="00282AC9">
        <w:rPr>
          <w:rFonts w:cs="DanaFajr"/>
          <w:sz w:val="28"/>
          <w:szCs w:val="28"/>
          <w:rtl/>
        </w:rPr>
        <w:t xml:space="preserve"> </w:t>
      </w:r>
      <w:r w:rsidRPr="00282AC9">
        <w:rPr>
          <w:rFonts w:cs="DanaFajr" w:hint="cs"/>
          <w:sz w:val="28"/>
          <w:szCs w:val="28"/>
          <w:rtl/>
        </w:rPr>
        <w:t>يقول</w:t>
      </w:r>
      <w:r w:rsidRPr="00282AC9">
        <w:rPr>
          <w:rFonts w:cs="DanaFajr"/>
          <w:sz w:val="28"/>
          <w:szCs w:val="28"/>
          <w:rtl/>
        </w:rPr>
        <w:t xml:space="preserve"> </w:t>
      </w:r>
      <w:r w:rsidRPr="00282AC9">
        <w:rPr>
          <w:rFonts w:cs="DanaFajr" w:hint="cs"/>
          <w:sz w:val="28"/>
          <w:szCs w:val="28"/>
          <w:rtl/>
        </w:rPr>
        <w:t>محمد</w:t>
      </w:r>
      <w:r w:rsidRPr="00282AC9">
        <w:rPr>
          <w:rFonts w:cs="DanaFajr"/>
          <w:sz w:val="28"/>
          <w:szCs w:val="28"/>
          <w:rtl/>
        </w:rPr>
        <w:t xml:space="preserve"> </w:t>
      </w:r>
      <w:r w:rsidRPr="00282AC9">
        <w:rPr>
          <w:rFonts w:cs="DanaFajr" w:hint="cs"/>
          <w:sz w:val="28"/>
          <w:szCs w:val="28"/>
          <w:rtl/>
        </w:rPr>
        <w:t>حقّاً</w:t>
      </w:r>
      <w:r w:rsidRPr="00282AC9">
        <w:rPr>
          <w:rFonts w:cs="DanaFajr"/>
          <w:sz w:val="28"/>
          <w:szCs w:val="28"/>
          <w:rtl/>
        </w:rPr>
        <w:t xml:space="preserve"> </w:t>
      </w:r>
      <w:r w:rsidRPr="00282AC9">
        <w:rPr>
          <w:rFonts w:cs="DanaFajr" w:hint="cs"/>
          <w:sz w:val="28"/>
          <w:szCs w:val="28"/>
          <w:rtl/>
        </w:rPr>
        <w:t>لنحن</w:t>
      </w:r>
      <w:r w:rsidRPr="00282AC9">
        <w:rPr>
          <w:rFonts w:cs="DanaFajr"/>
          <w:sz w:val="28"/>
          <w:szCs w:val="28"/>
          <w:rtl/>
        </w:rPr>
        <w:t xml:space="preserve"> </w:t>
      </w:r>
      <w:r w:rsidRPr="00282AC9">
        <w:rPr>
          <w:rFonts w:cs="DanaFajr" w:hint="cs"/>
          <w:sz w:val="28"/>
          <w:szCs w:val="28"/>
          <w:rtl/>
        </w:rPr>
        <w:t>شرٌّ من</w:t>
      </w:r>
      <w:r w:rsidRPr="00282AC9">
        <w:rPr>
          <w:rFonts w:cs="DanaFajr"/>
          <w:sz w:val="28"/>
          <w:szCs w:val="28"/>
          <w:rtl/>
        </w:rPr>
        <w:t xml:space="preserve"> </w:t>
      </w:r>
      <w:r w:rsidRPr="00282AC9">
        <w:rPr>
          <w:rFonts w:cs="DanaFajr" w:hint="cs"/>
          <w:sz w:val="28"/>
          <w:szCs w:val="28"/>
          <w:rtl/>
        </w:rPr>
        <w:t>الحمير،</w:t>
      </w:r>
      <w:r w:rsidRPr="00282AC9">
        <w:rPr>
          <w:rFonts w:cs="DanaFajr"/>
          <w:sz w:val="28"/>
          <w:szCs w:val="28"/>
          <w:rtl/>
        </w:rPr>
        <w:t xml:space="preserve"> </w:t>
      </w:r>
      <w:r w:rsidRPr="00282AC9">
        <w:rPr>
          <w:rFonts w:cs="DanaFajr" w:hint="cs"/>
          <w:sz w:val="28"/>
          <w:szCs w:val="28"/>
          <w:rtl/>
        </w:rPr>
        <w:t>فقال</w:t>
      </w:r>
      <w:r w:rsidRPr="00282AC9">
        <w:rPr>
          <w:rFonts w:cs="DanaFajr"/>
          <w:sz w:val="28"/>
          <w:szCs w:val="28"/>
          <w:rtl/>
        </w:rPr>
        <w:t xml:space="preserve"> </w:t>
      </w:r>
      <w:r w:rsidRPr="00282AC9">
        <w:rPr>
          <w:rFonts w:cs="DanaFajr" w:hint="cs"/>
          <w:sz w:val="28"/>
          <w:szCs w:val="28"/>
          <w:rtl/>
        </w:rPr>
        <w:t>له</w:t>
      </w:r>
      <w:r w:rsidRPr="00282AC9">
        <w:rPr>
          <w:rFonts w:cs="DanaFajr"/>
          <w:sz w:val="28"/>
          <w:szCs w:val="28"/>
          <w:rtl/>
        </w:rPr>
        <w:t xml:space="preserve"> </w:t>
      </w:r>
      <w:r w:rsidRPr="00282AC9">
        <w:rPr>
          <w:rFonts w:cs="DanaFajr" w:hint="cs"/>
          <w:sz w:val="28"/>
          <w:szCs w:val="28"/>
          <w:rtl/>
        </w:rPr>
        <w:t>رجلٌ</w:t>
      </w:r>
      <w:r w:rsidRPr="00282AC9">
        <w:rPr>
          <w:rFonts w:cs="DanaFajr"/>
          <w:sz w:val="28"/>
          <w:szCs w:val="28"/>
          <w:rtl/>
        </w:rPr>
        <w:t xml:space="preserve"> </w:t>
      </w:r>
      <w:r w:rsidRPr="00282AC9">
        <w:rPr>
          <w:rFonts w:cs="DanaFajr" w:hint="cs"/>
          <w:sz w:val="28"/>
          <w:szCs w:val="28"/>
          <w:rtl/>
        </w:rPr>
        <w:t>من</w:t>
      </w:r>
      <w:r w:rsidRPr="00282AC9">
        <w:rPr>
          <w:rFonts w:cs="DanaFajr"/>
          <w:sz w:val="28"/>
          <w:szCs w:val="28"/>
          <w:rtl/>
        </w:rPr>
        <w:t xml:space="preserve"> </w:t>
      </w:r>
      <w:r w:rsidRPr="00282AC9">
        <w:rPr>
          <w:rFonts w:cs="DanaFajr" w:hint="cs"/>
          <w:sz w:val="28"/>
          <w:szCs w:val="28"/>
          <w:rtl/>
        </w:rPr>
        <w:t>المؤمنين</w:t>
      </w:r>
      <w:r w:rsidRPr="00282AC9">
        <w:rPr>
          <w:rFonts w:cs="DanaFajr"/>
          <w:sz w:val="28"/>
          <w:szCs w:val="28"/>
          <w:rtl/>
        </w:rPr>
        <w:t xml:space="preserve">: </w:t>
      </w:r>
      <w:r w:rsidRPr="00282AC9">
        <w:rPr>
          <w:rFonts w:cs="DanaFajr" w:hint="cs"/>
          <w:sz w:val="28"/>
          <w:szCs w:val="28"/>
          <w:rtl/>
        </w:rPr>
        <w:t>إن</w:t>
      </w:r>
      <w:r w:rsidRPr="00282AC9">
        <w:rPr>
          <w:rFonts w:cs="DanaFajr"/>
          <w:sz w:val="28"/>
          <w:szCs w:val="28"/>
          <w:rtl/>
        </w:rPr>
        <w:t xml:space="preserve"> </w:t>
      </w:r>
      <w:r w:rsidRPr="00282AC9">
        <w:rPr>
          <w:rFonts w:cs="DanaFajr" w:hint="cs"/>
          <w:sz w:val="28"/>
          <w:szCs w:val="28"/>
          <w:rtl/>
        </w:rPr>
        <w:t>ما</w:t>
      </w:r>
      <w:r w:rsidRPr="00282AC9">
        <w:rPr>
          <w:rFonts w:cs="DanaFajr"/>
          <w:sz w:val="28"/>
          <w:szCs w:val="28"/>
          <w:rtl/>
        </w:rPr>
        <w:t xml:space="preserve"> </w:t>
      </w:r>
      <w:r w:rsidRPr="00282AC9">
        <w:rPr>
          <w:rFonts w:cs="DanaFajr" w:hint="cs"/>
          <w:sz w:val="28"/>
          <w:szCs w:val="28"/>
          <w:rtl/>
        </w:rPr>
        <w:t>قال</w:t>
      </w:r>
      <w:r w:rsidRPr="00282AC9">
        <w:rPr>
          <w:rFonts w:cs="DanaFajr"/>
          <w:sz w:val="28"/>
          <w:szCs w:val="28"/>
          <w:rtl/>
        </w:rPr>
        <w:t xml:space="preserve"> </w:t>
      </w:r>
      <w:r w:rsidRPr="00282AC9">
        <w:rPr>
          <w:rFonts w:cs="DanaFajr" w:hint="cs"/>
          <w:sz w:val="28"/>
          <w:szCs w:val="28"/>
          <w:rtl/>
        </w:rPr>
        <w:t>لحقٌّ،</w:t>
      </w:r>
      <w:r w:rsidRPr="00282AC9">
        <w:rPr>
          <w:rFonts w:cs="DanaFajr"/>
          <w:sz w:val="28"/>
          <w:szCs w:val="28"/>
          <w:rtl/>
        </w:rPr>
        <w:t xml:space="preserve"> </w:t>
      </w:r>
      <w:r w:rsidRPr="00282AC9">
        <w:rPr>
          <w:rFonts w:cs="DanaFajr" w:hint="cs"/>
          <w:sz w:val="28"/>
          <w:szCs w:val="28"/>
          <w:rtl/>
        </w:rPr>
        <w:t>ولأنت</w:t>
      </w:r>
      <w:r w:rsidRPr="00282AC9">
        <w:rPr>
          <w:rFonts w:cs="DanaFajr"/>
          <w:sz w:val="28"/>
          <w:szCs w:val="28"/>
          <w:rtl/>
        </w:rPr>
        <w:t xml:space="preserve"> </w:t>
      </w:r>
      <w:r w:rsidRPr="00282AC9">
        <w:rPr>
          <w:rFonts w:cs="DanaFajr" w:hint="cs"/>
          <w:sz w:val="28"/>
          <w:szCs w:val="28"/>
          <w:rtl/>
        </w:rPr>
        <w:t>شرٌّ</w:t>
      </w:r>
      <w:r w:rsidRPr="00282AC9">
        <w:rPr>
          <w:rFonts w:cs="DanaFajr"/>
          <w:sz w:val="28"/>
          <w:szCs w:val="28"/>
          <w:rtl/>
        </w:rPr>
        <w:t xml:space="preserve"> </w:t>
      </w:r>
      <w:r w:rsidRPr="00282AC9">
        <w:rPr>
          <w:rFonts w:cs="DanaFajr" w:hint="cs"/>
          <w:sz w:val="28"/>
          <w:szCs w:val="28"/>
          <w:rtl/>
        </w:rPr>
        <w:t>من</w:t>
      </w:r>
      <w:r w:rsidRPr="00282AC9">
        <w:rPr>
          <w:rFonts w:cs="DanaFajr"/>
          <w:sz w:val="28"/>
          <w:szCs w:val="28"/>
          <w:rtl/>
        </w:rPr>
        <w:t xml:space="preserve"> </w:t>
      </w:r>
      <w:r w:rsidRPr="00282AC9">
        <w:rPr>
          <w:rFonts w:cs="DanaFajr" w:hint="cs"/>
          <w:sz w:val="28"/>
          <w:szCs w:val="28"/>
          <w:rtl/>
        </w:rPr>
        <w:t>حمارٍ،</w:t>
      </w:r>
      <w:r w:rsidRPr="00282AC9">
        <w:rPr>
          <w:rFonts w:cs="DanaFajr"/>
          <w:sz w:val="28"/>
          <w:szCs w:val="28"/>
          <w:rtl/>
        </w:rPr>
        <w:t xml:space="preserve"> </w:t>
      </w:r>
      <w:r w:rsidRPr="00282AC9">
        <w:rPr>
          <w:rFonts w:cs="DanaFajr" w:hint="cs"/>
          <w:sz w:val="28"/>
          <w:szCs w:val="28"/>
          <w:rtl/>
        </w:rPr>
        <w:t>قال</w:t>
      </w:r>
      <w:r w:rsidRPr="00282AC9">
        <w:rPr>
          <w:rFonts w:cs="DanaFajr"/>
          <w:sz w:val="28"/>
          <w:szCs w:val="28"/>
          <w:rtl/>
        </w:rPr>
        <w:t xml:space="preserve">: </w:t>
      </w:r>
      <w:r w:rsidRPr="00282AC9">
        <w:rPr>
          <w:rFonts w:cs="DanaFajr" w:hint="cs"/>
          <w:sz w:val="28"/>
          <w:szCs w:val="28"/>
          <w:rtl/>
        </w:rPr>
        <w:t>فهَمَّ المنافقون</w:t>
      </w:r>
      <w:r w:rsidRPr="00282AC9">
        <w:rPr>
          <w:rFonts w:cs="DanaFajr"/>
          <w:sz w:val="28"/>
          <w:szCs w:val="28"/>
          <w:rtl/>
        </w:rPr>
        <w:t xml:space="preserve"> </w:t>
      </w:r>
      <w:r w:rsidRPr="00282AC9">
        <w:rPr>
          <w:rFonts w:cs="DanaFajr" w:hint="cs"/>
          <w:sz w:val="28"/>
          <w:szCs w:val="28"/>
          <w:rtl/>
        </w:rPr>
        <w:t>بقتله</w:t>
      </w:r>
      <w:r w:rsidRPr="00282AC9">
        <w:rPr>
          <w:rFonts w:cs="DanaFajr"/>
          <w:sz w:val="28"/>
          <w:szCs w:val="28"/>
          <w:rtl/>
        </w:rPr>
        <w:t xml:space="preserve">، </w:t>
      </w:r>
      <w:r w:rsidRPr="00282AC9">
        <w:rPr>
          <w:rFonts w:cs="DanaFajr" w:hint="cs"/>
          <w:sz w:val="28"/>
          <w:szCs w:val="28"/>
          <w:rtl/>
        </w:rPr>
        <w:t>فذلك</w:t>
      </w:r>
      <w:r w:rsidRPr="00282AC9">
        <w:rPr>
          <w:rFonts w:cs="DanaFajr"/>
          <w:sz w:val="28"/>
          <w:szCs w:val="28"/>
          <w:rtl/>
        </w:rPr>
        <w:t xml:space="preserve"> </w:t>
      </w:r>
      <w:r w:rsidRPr="00282AC9">
        <w:rPr>
          <w:rFonts w:cs="DanaFajr" w:hint="cs"/>
          <w:sz w:val="28"/>
          <w:szCs w:val="28"/>
          <w:rtl/>
        </w:rPr>
        <w:t>قوله</w:t>
      </w:r>
      <w:r w:rsidRPr="00282AC9">
        <w:rPr>
          <w:rFonts w:cs="DanaFajr"/>
          <w:sz w:val="28"/>
          <w:szCs w:val="28"/>
          <w:rtl/>
        </w:rPr>
        <w:t xml:space="preserve">: </w:t>
      </w:r>
      <w:r w:rsidRPr="00282AC9">
        <w:rPr>
          <w:rFonts w:ascii="Mosawi" w:hAnsi="Mosawi" w:cs="Mosawi"/>
          <w:rtl/>
        </w:rPr>
        <w:t>﴿</w:t>
      </w:r>
      <w:r w:rsidRPr="00282AC9">
        <w:rPr>
          <w:rFonts w:cs="DanaFajr" w:hint="cs"/>
          <w:b/>
          <w:bCs/>
          <w:sz w:val="28"/>
          <w:szCs w:val="28"/>
          <w:rtl/>
        </w:rPr>
        <w:t>وَهَمُّوا</w:t>
      </w:r>
      <w:r w:rsidRPr="00282AC9">
        <w:rPr>
          <w:rFonts w:cs="DanaFajr"/>
          <w:b/>
          <w:bCs/>
          <w:sz w:val="28"/>
          <w:szCs w:val="28"/>
          <w:rtl/>
        </w:rPr>
        <w:t xml:space="preserve"> </w:t>
      </w:r>
      <w:r w:rsidRPr="00282AC9">
        <w:rPr>
          <w:rFonts w:cs="DanaFajr" w:hint="cs"/>
          <w:b/>
          <w:bCs/>
          <w:sz w:val="28"/>
          <w:szCs w:val="28"/>
          <w:rtl/>
        </w:rPr>
        <w:t>بِمَا</w:t>
      </w:r>
      <w:r w:rsidRPr="00282AC9">
        <w:rPr>
          <w:rFonts w:cs="DanaFajr"/>
          <w:b/>
          <w:bCs/>
          <w:sz w:val="28"/>
          <w:szCs w:val="28"/>
          <w:rtl/>
        </w:rPr>
        <w:t xml:space="preserve"> </w:t>
      </w:r>
      <w:r w:rsidRPr="00282AC9">
        <w:rPr>
          <w:rFonts w:cs="DanaFajr" w:hint="cs"/>
          <w:b/>
          <w:bCs/>
          <w:sz w:val="28"/>
          <w:szCs w:val="28"/>
          <w:rtl/>
        </w:rPr>
        <w:t>لَمْ</w:t>
      </w:r>
      <w:r w:rsidRPr="00282AC9">
        <w:rPr>
          <w:rFonts w:cs="DanaFajr"/>
          <w:b/>
          <w:bCs/>
          <w:sz w:val="28"/>
          <w:szCs w:val="28"/>
          <w:rtl/>
        </w:rPr>
        <w:t xml:space="preserve"> </w:t>
      </w:r>
      <w:r w:rsidRPr="00282AC9">
        <w:rPr>
          <w:rFonts w:cs="DanaFajr" w:hint="cs"/>
          <w:b/>
          <w:bCs/>
          <w:sz w:val="28"/>
          <w:szCs w:val="28"/>
          <w:rtl/>
        </w:rPr>
        <w:t>يَنَالُوا</w:t>
      </w:r>
      <w:r w:rsidRPr="00282AC9">
        <w:rPr>
          <w:rFonts w:ascii="Mosawi" w:hAnsi="Mosawi" w:cs="Mosawi"/>
          <w:rtl/>
        </w:rPr>
        <w:t>﴾</w:t>
      </w:r>
      <w:r w:rsidRPr="00282AC9">
        <w:rPr>
          <w:rFonts w:cs="DanaFajr"/>
          <w:sz w:val="28"/>
          <w:szCs w:val="28"/>
          <w:rtl/>
        </w:rPr>
        <w:t>.</w:t>
      </w:r>
      <w:r w:rsidRPr="00282AC9">
        <w:rPr>
          <w:rFonts w:cs="DanaFajr" w:hint="cs"/>
          <w:sz w:val="28"/>
          <w:szCs w:val="28"/>
          <w:rtl/>
        </w:rPr>
        <w:t xml:space="preserve"> محمد</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جرير</w:t>
      </w:r>
      <w:r w:rsidRPr="00282AC9">
        <w:rPr>
          <w:rFonts w:cs="DanaFajr"/>
          <w:sz w:val="28"/>
          <w:szCs w:val="28"/>
          <w:rtl/>
        </w:rPr>
        <w:t xml:space="preserve"> </w:t>
      </w:r>
      <w:r w:rsidRPr="00282AC9">
        <w:rPr>
          <w:rFonts w:cs="DanaFajr" w:hint="cs"/>
          <w:sz w:val="28"/>
          <w:szCs w:val="28"/>
          <w:rtl/>
        </w:rPr>
        <w:t>الطبري، جامع</w:t>
      </w:r>
      <w:r w:rsidRPr="00282AC9">
        <w:rPr>
          <w:rFonts w:cs="DanaFajr"/>
          <w:sz w:val="28"/>
          <w:szCs w:val="28"/>
          <w:rtl/>
        </w:rPr>
        <w:t xml:space="preserve"> </w:t>
      </w:r>
      <w:r w:rsidRPr="00282AC9">
        <w:rPr>
          <w:rFonts w:cs="DanaFajr" w:hint="cs"/>
          <w:sz w:val="28"/>
          <w:szCs w:val="28"/>
          <w:rtl/>
        </w:rPr>
        <w:t>البيان</w:t>
      </w:r>
      <w:r w:rsidRPr="00282AC9">
        <w:rPr>
          <w:rFonts w:cs="DanaFajr"/>
          <w:sz w:val="28"/>
          <w:szCs w:val="28"/>
          <w:rtl/>
        </w:rPr>
        <w:t xml:space="preserve"> </w:t>
      </w:r>
      <w:r w:rsidRPr="00282AC9">
        <w:rPr>
          <w:rFonts w:cs="DanaFajr" w:hint="cs"/>
          <w:sz w:val="28"/>
          <w:szCs w:val="28"/>
          <w:rtl/>
        </w:rPr>
        <w:t>عن</w:t>
      </w:r>
      <w:r w:rsidRPr="00282AC9">
        <w:rPr>
          <w:rFonts w:cs="DanaFajr"/>
          <w:sz w:val="28"/>
          <w:szCs w:val="28"/>
          <w:rtl/>
        </w:rPr>
        <w:t xml:space="preserve"> </w:t>
      </w:r>
      <w:r w:rsidRPr="00282AC9">
        <w:rPr>
          <w:rFonts w:cs="DanaFajr" w:hint="cs"/>
          <w:sz w:val="28"/>
          <w:szCs w:val="28"/>
          <w:rtl/>
        </w:rPr>
        <w:t>تأويل</w:t>
      </w:r>
      <w:r w:rsidRPr="00282AC9">
        <w:rPr>
          <w:rFonts w:cs="DanaFajr"/>
          <w:sz w:val="28"/>
          <w:szCs w:val="28"/>
          <w:rtl/>
        </w:rPr>
        <w:t xml:space="preserve"> </w:t>
      </w:r>
      <w:r w:rsidRPr="00282AC9">
        <w:rPr>
          <w:rFonts w:cs="DanaFajr" w:hint="cs"/>
          <w:sz w:val="28"/>
          <w:szCs w:val="28"/>
          <w:rtl/>
        </w:rPr>
        <w:t>آي</w:t>
      </w:r>
      <w:r w:rsidRPr="00282AC9">
        <w:rPr>
          <w:rFonts w:cs="DanaFajr"/>
          <w:sz w:val="28"/>
          <w:szCs w:val="28"/>
          <w:rtl/>
        </w:rPr>
        <w:t xml:space="preserve"> </w:t>
      </w:r>
      <w:r w:rsidRPr="00282AC9">
        <w:rPr>
          <w:rFonts w:cs="DanaFajr" w:hint="cs"/>
          <w:sz w:val="28"/>
          <w:szCs w:val="28"/>
          <w:rtl/>
        </w:rPr>
        <w:t>القرآن</w:t>
      </w:r>
      <w:r w:rsidRPr="00282AC9">
        <w:rPr>
          <w:rFonts w:cs="DanaFajr"/>
          <w:sz w:val="28"/>
          <w:szCs w:val="28"/>
          <w:rtl/>
        </w:rPr>
        <w:t xml:space="preserve"> 10</w:t>
      </w:r>
      <w:r w:rsidRPr="00282AC9">
        <w:rPr>
          <w:rFonts w:cs="DanaFajr" w:hint="cs"/>
          <w:sz w:val="28"/>
          <w:szCs w:val="28"/>
          <w:rtl/>
        </w:rPr>
        <w:t>: 236، تقديم</w:t>
      </w:r>
      <w:r w:rsidRPr="00282AC9">
        <w:rPr>
          <w:rFonts w:cs="DanaFajr"/>
          <w:sz w:val="28"/>
          <w:szCs w:val="28"/>
          <w:rtl/>
        </w:rPr>
        <w:t xml:space="preserve">: </w:t>
      </w:r>
      <w:r w:rsidRPr="00282AC9">
        <w:rPr>
          <w:rFonts w:cs="DanaFajr" w:hint="cs"/>
          <w:sz w:val="28"/>
          <w:szCs w:val="28"/>
          <w:rtl/>
        </w:rPr>
        <w:t>الشيخ</w:t>
      </w:r>
      <w:r w:rsidRPr="00282AC9">
        <w:rPr>
          <w:rFonts w:cs="DanaFajr"/>
          <w:sz w:val="28"/>
          <w:szCs w:val="28"/>
          <w:rtl/>
        </w:rPr>
        <w:t xml:space="preserve"> </w:t>
      </w:r>
      <w:r w:rsidRPr="00282AC9">
        <w:rPr>
          <w:rFonts w:cs="DanaFajr" w:hint="cs"/>
          <w:sz w:val="28"/>
          <w:szCs w:val="28"/>
          <w:rtl/>
        </w:rPr>
        <w:t>خليل</w:t>
      </w:r>
      <w:r w:rsidRPr="00282AC9">
        <w:rPr>
          <w:rFonts w:cs="DanaFajr"/>
          <w:sz w:val="28"/>
          <w:szCs w:val="28"/>
          <w:rtl/>
        </w:rPr>
        <w:t xml:space="preserve"> </w:t>
      </w:r>
      <w:r w:rsidRPr="00282AC9">
        <w:rPr>
          <w:rFonts w:cs="DanaFajr" w:hint="cs"/>
          <w:sz w:val="28"/>
          <w:szCs w:val="28"/>
          <w:rtl/>
        </w:rPr>
        <w:t>الميس،</w:t>
      </w:r>
      <w:r w:rsidRPr="00282AC9">
        <w:rPr>
          <w:rFonts w:cs="DanaFajr"/>
          <w:sz w:val="28"/>
          <w:szCs w:val="28"/>
          <w:rtl/>
        </w:rPr>
        <w:t xml:space="preserve"> </w:t>
      </w:r>
      <w:r w:rsidRPr="00282AC9">
        <w:rPr>
          <w:rFonts w:cs="DanaFajr" w:hint="cs"/>
          <w:sz w:val="28"/>
          <w:szCs w:val="28"/>
          <w:rtl/>
        </w:rPr>
        <w:t>ضبط</w:t>
      </w:r>
      <w:r w:rsidRPr="00282AC9">
        <w:rPr>
          <w:rFonts w:cs="DanaFajr"/>
          <w:sz w:val="28"/>
          <w:szCs w:val="28"/>
          <w:rtl/>
        </w:rPr>
        <w:t xml:space="preserve"> </w:t>
      </w:r>
      <w:r w:rsidRPr="00282AC9">
        <w:rPr>
          <w:rFonts w:cs="DanaFajr" w:hint="cs"/>
          <w:sz w:val="28"/>
          <w:szCs w:val="28"/>
          <w:rtl/>
        </w:rPr>
        <w:t>وتوثيق</w:t>
      </w:r>
      <w:r w:rsidRPr="00282AC9">
        <w:rPr>
          <w:rFonts w:cs="DanaFajr"/>
          <w:sz w:val="28"/>
          <w:szCs w:val="28"/>
          <w:rtl/>
        </w:rPr>
        <w:t xml:space="preserve"> </w:t>
      </w:r>
      <w:r w:rsidRPr="00282AC9">
        <w:rPr>
          <w:rFonts w:cs="DanaFajr" w:hint="cs"/>
          <w:sz w:val="28"/>
          <w:szCs w:val="28"/>
          <w:rtl/>
        </w:rPr>
        <w:t>وتخريج</w:t>
      </w:r>
      <w:r w:rsidRPr="00282AC9">
        <w:rPr>
          <w:rFonts w:cs="DanaFajr"/>
          <w:sz w:val="28"/>
          <w:szCs w:val="28"/>
          <w:rtl/>
        </w:rPr>
        <w:t xml:space="preserve">: </w:t>
      </w:r>
      <w:r w:rsidRPr="00282AC9">
        <w:rPr>
          <w:rFonts w:cs="DanaFajr" w:hint="cs"/>
          <w:sz w:val="28"/>
          <w:szCs w:val="28"/>
          <w:rtl/>
        </w:rPr>
        <w:t>صدقي</w:t>
      </w:r>
      <w:r w:rsidRPr="00282AC9">
        <w:rPr>
          <w:rFonts w:cs="DanaFajr"/>
          <w:sz w:val="28"/>
          <w:szCs w:val="28"/>
          <w:rtl/>
        </w:rPr>
        <w:t xml:space="preserve"> </w:t>
      </w:r>
      <w:r w:rsidRPr="00282AC9">
        <w:rPr>
          <w:rFonts w:cs="DanaFajr" w:hint="cs"/>
          <w:sz w:val="28"/>
          <w:szCs w:val="28"/>
          <w:rtl/>
        </w:rPr>
        <w:t>جميل</w:t>
      </w:r>
      <w:r w:rsidRPr="00282AC9">
        <w:rPr>
          <w:rFonts w:cs="DanaFajr"/>
          <w:sz w:val="28"/>
          <w:szCs w:val="28"/>
          <w:rtl/>
        </w:rPr>
        <w:t xml:space="preserve"> </w:t>
      </w:r>
      <w:r w:rsidRPr="00282AC9">
        <w:rPr>
          <w:rFonts w:cs="DanaFajr" w:hint="cs"/>
          <w:sz w:val="28"/>
          <w:szCs w:val="28"/>
          <w:rtl/>
        </w:rPr>
        <w:t>العطار، دار</w:t>
      </w:r>
      <w:r w:rsidRPr="00282AC9">
        <w:rPr>
          <w:rFonts w:cs="DanaFajr"/>
          <w:sz w:val="28"/>
          <w:szCs w:val="28"/>
          <w:rtl/>
        </w:rPr>
        <w:t xml:space="preserve"> </w:t>
      </w:r>
      <w:r w:rsidRPr="00282AC9">
        <w:rPr>
          <w:rFonts w:cs="DanaFajr" w:hint="cs"/>
          <w:sz w:val="28"/>
          <w:szCs w:val="28"/>
          <w:rtl/>
        </w:rPr>
        <w:t>الفكر</w:t>
      </w:r>
      <w:r w:rsidRPr="00282AC9">
        <w:rPr>
          <w:rFonts w:cs="DanaFajr"/>
          <w:sz w:val="28"/>
          <w:szCs w:val="28"/>
          <w:rtl/>
        </w:rPr>
        <w:t xml:space="preserve"> </w:t>
      </w:r>
      <w:r w:rsidRPr="00282AC9">
        <w:rPr>
          <w:rFonts w:cs="DanaFajr" w:hint="cs"/>
          <w:sz w:val="28"/>
          <w:szCs w:val="28"/>
          <w:rtl/>
        </w:rPr>
        <w:t>للطباعة</w:t>
      </w:r>
      <w:r w:rsidRPr="00282AC9">
        <w:rPr>
          <w:rFonts w:cs="DanaFajr"/>
          <w:sz w:val="28"/>
          <w:szCs w:val="28"/>
          <w:rtl/>
        </w:rPr>
        <w:t xml:space="preserve"> </w:t>
      </w:r>
      <w:r w:rsidRPr="00282AC9">
        <w:rPr>
          <w:rFonts w:cs="DanaFajr" w:hint="cs"/>
          <w:sz w:val="28"/>
          <w:szCs w:val="28"/>
          <w:rtl/>
        </w:rPr>
        <w:t>والنشر</w:t>
      </w:r>
      <w:r w:rsidRPr="00282AC9">
        <w:rPr>
          <w:rFonts w:cs="DanaFajr"/>
          <w:sz w:val="28"/>
          <w:szCs w:val="28"/>
          <w:rtl/>
        </w:rPr>
        <w:t xml:space="preserve"> </w:t>
      </w:r>
      <w:r w:rsidRPr="00282AC9">
        <w:rPr>
          <w:rFonts w:cs="DanaFajr" w:hint="cs"/>
          <w:sz w:val="28"/>
          <w:szCs w:val="28"/>
          <w:rtl/>
        </w:rPr>
        <w:t>والتوزيع،</w:t>
      </w:r>
      <w:r w:rsidRPr="00282AC9">
        <w:rPr>
          <w:rFonts w:cs="DanaFajr"/>
          <w:sz w:val="28"/>
          <w:szCs w:val="28"/>
          <w:rtl/>
        </w:rPr>
        <w:t xml:space="preserve"> </w:t>
      </w:r>
      <w:r w:rsidRPr="00282AC9">
        <w:rPr>
          <w:rFonts w:cs="DanaFajr" w:hint="cs"/>
          <w:sz w:val="28"/>
          <w:szCs w:val="28"/>
          <w:rtl/>
        </w:rPr>
        <w:t>بيروت</w:t>
      </w:r>
      <w:r w:rsidRPr="00282AC9">
        <w:rPr>
          <w:rFonts w:cs="DanaFajr"/>
          <w:sz w:val="28"/>
          <w:szCs w:val="28"/>
          <w:rtl/>
        </w:rPr>
        <w:t xml:space="preserve"> ـ </w:t>
      </w:r>
      <w:r w:rsidRPr="00282AC9">
        <w:rPr>
          <w:rFonts w:cs="DanaFajr" w:hint="cs"/>
          <w:sz w:val="28"/>
          <w:szCs w:val="28"/>
          <w:rtl/>
        </w:rPr>
        <w:t xml:space="preserve">لبنان، </w:t>
      </w:r>
      <w:r w:rsidRPr="00282AC9">
        <w:rPr>
          <w:rFonts w:cs="DanaFajr"/>
          <w:sz w:val="28"/>
          <w:szCs w:val="28"/>
          <w:rtl/>
        </w:rPr>
        <w:t>1415</w:t>
      </w:r>
      <w:r w:rsidRPr="00282AC9">
        <w:rPr>
          <w:rFonts w:cs="DanaFajr" w:hint="cs"/>
          <w:sz w:val="28"/>
          <w:szCs w:val="28"/>
          <w:rtl/>
        </w:rPr>
        <w:t>هـ</w:t>
      </w:r>
      <w:r w:rsidRPr="00282AC9">
        <w:rPr>
          <w:rFonts w:cs="DanaFajr"/>
          <w:sz w:val="28"/>
          <w:szCs w:val="28"/>
          <w:rtl/>
        </w:rPr>
        <w:t xml:space="preserve"> ـ 1995</w:t>
      </w:r>
      <w:r w:rsidRPr="00282AC9">
        <w:rPr>
          <w:rFonts w:cs="DanaFajr" w:hint="cs"/>
          <w:sz w:val="28"/>
          <w:szCs w:val="28"/>
          <w:rtl/>
        </w:rPr>
        <w:t>م،.</w:t>
      </w:r>
    </w:p>
  </w:endnote>
  <w:endnote w:id="781">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الكافي 8: 180.</w:t>
      </w:r>
    </w:p>
  </w:endnote>
  <w:endnote w:id="782">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حسن</w:t>
      </w:r>
      <w:r w:rsidRPr="00282AC9">
        <w:rPr>
          <w:rFonts w:cs="DanaFajr"/>
          <w:sz w:val="28"/>
          <w:szCs w:val="28"/>
          <w:rtl/>
        </w:rPr>
        <w:t xml:space="preserve"> </w:t>
      </w:r>
      <w:r w:rsidRPr="00282AC9">
        <w:rPr>
          <w:rFonts w:cs="DanaFajr" w:hint="cs"/>
          <w:sz w:val="28"/>
          <w:szCs w:val="28"/>
          <w:rtl/>
        </w:rPr>
        <w:t>بن</w:t>
      </w:r>
      <w:r w:rsidRPr="00282AC9">
        <w:rPr>
          <w:rFonts w:cs="DanaFajr"/>
          <w:sz w:val="28"/>
          <w:szCs w:val="28"/>
          <w:rtl/>
        </w:rPr>
        <w:t xml:space="preserve"> </w:t>
      </w:r>
      <w:r w:rsidRPr="00282AC9">
        <w:rPr>
          <w:rFonts w:cs="DanaFajr" w:hint="cs"/>
          <w:sz w:val="28"/>
          <w:szCs w:val="28"/>
          <w:rtl/>
        </w:rPr>
        <w:t>سليمان</w:t>
      </w:r>
      <w:r w:rsidRPr="00282AC9">
        <w:rPr>
          <w:rFonts w:cs="DanaFajr"/>
          <w:sz w:val="28"/>
          <w:szCs w:val="28"/>
          <w:rtl/>
        </w:rPr>
        <w:t xml:space="preserve"> </w:t>
      </w:r>
      <w:r w:rsidRPr="00282AC9">
        <w:rPr>
          <w:rFonts w:cs="DanaFajr" w:hint="cs"/>
          <w:sz w:val="28"/>
          <w:szCs w:val="28"/>
          <w:rtl/>
        </w:rPr>
        <w:t>الحلّي، مختصر</w:t>
      </w:r>
      <w:r w:rsidRPr="00282AC9">
        <w:rPr>
          <w:rFonts w:cs="DanaFajr"/>
          <w:sz w:val="28"/>
          <w:szCs w:val="28"/>
          <w:rtl/>
        </w:rPr>
        <w:t xml:space="preserve"> </w:t>
      </w:r>
      <w:r w:rsidRPr="00282AC9">
        <w:rPr>
          <w:rFonts w:cs="DanaFajr" w:hint="cs"/>
          <w:sz w:val="28"/>
          <w:szCs w:val="28"/>
          <w:rtl/>
        </w:rPr>
        <w:t>بصائر</w:t>
      </w:r>
      <w:r w:rsidRPr="00282AC9">
        <w:rPr>
          <w:rFonts w:cs="DanaFajr"/>
          <w:sz w:val="28"/>
          <w:szCs w:val="28"/>
          <w:rtl/>
        </w:rPr>
        <w:t xml:space="preserve"> </w:t>
      </w:r>
      <w:r w:rsidRPr="00282AC9">
        <w:rPr>
          <w:rFonts w:cs="DanaFajr" w:hint="cs"/>
          <w:sz w:val="28"/>
          <w:szCs w:val="28"/>
          <w:rtl/>
        </w:rPr>
        <w:t>الدرجات: 49، منشورات</w:t>
      </w:r>
      <w:r w:rsidRPr="00282AC9">
        <w:rPr>
          <w:rFonts w:cs="DanaFajr"/>
          <w:sz w:val="28"/>
          <w:szCs w:val="28"/>
          <w:rtl/>
        </w:rPr>
        <w:t xml:space="preserve"> </w:t>
      </w:r>
      <w:r w:rsidRPr="00282AC9">
        <w:rPr>
          <w:rFonts w:cs="DanaFajr" w:hint="cs"/>
          <w:sz w:val="28"/>
          <w:szCs w:val="28"/>
          <w:rtl/>
        </w:rPr>
        <w:t>المطبعة</w:t>
      </w:r>
      <w:r w:rsidRPr="00282AC9">
        <w:rPr>
          <w:rFonts w:cs="DanaFajr"/>
          <w:sz w:val="28"/>
          <w:szCs w:val="28"/>
          <w:rtl/>
        </w:rPr>
        <w:t xml:space="preserve"> </w:t>
      </w:r>
      <w:r w:rsidRPr="00282AC9">
        <w:rPr>
          <w:rFonts w:cs="DanaFajr" w:hint="cs"/>
          <w:sz w:val="28"/>
          <w:szCs w:val="28"/>
          <w:rtl/>
        </w:rPr>
        <w:t>الحيدرية،</w:t>
      </w:r>
      <w:r w:rsidRPr="00282AC9">
        <w:rPr>
          <w:rFonts w:cs="DanaFajr"/>
          <w:sz w:val="28"/>
          <w:szCs w:val="28"/>
          <w:rtl/>
        </w:rPr>
        <w:t xml:space="preserve"> </w:t>
      </w:r>
      <w:r w:rsidRPr="00282AC9">
        <w:rPr>
          <w:rFonts w:cs="DanaFajr" w:hint="cs"/>
          <w:sz w:val="28"/>
          <w:szCs w:val="28"/>
          <w:rtl/>
        </w:rPr>
        <w:t>النجف</w:t>
      </w:r>
      <w:r w:rsidRPr="00282AC9">
        <w:rPr>
          <w:rFonts w:cs="DanaFajr"/>
          <w:sz w:val="28"/>
          <w:szCs w:val="28"/>
          <w:rtl/>
        </w:rPr>
        <w:t xml:space="preserve"> </w:t>
      </w:r>
      <w:r w:rsidRPr="00282AC9">
        <w:rPr>
          <w:rFonts w:cs="DanaFajr" w:hint="cs"/>
          <w:sz w:val="28"/>
          <w:szCs w:val="28"/>
          <w:rtl/>
        </w:rPr>
        <w:t xml:space="preserve">الأشرف، ط1، </w:t>
      </w:r>
      <w:r w:rsidRPr="00282AC9">
        <w:rPr>
          <w:rFonts w:cs="DanaFajr"/>
          <w:sz w:val="28"/>
          <w:szCs w:val="28"/>
          <w:rtl/>
        </w:rPr>
        <w:t>1370</w:t>
      </w:r>
      <w:r w:rsidRPr="00282AC9">
        <w:rPr>
          <w:rFonts w:cs="DanaFajr" w:hint="cs"/>
          <w:sz w:val="28"/>
          <w:szCs w:val="28"/>
          <w:rtl/>
        </w:rPr>
        <w:t>هـ</w:t>
      </w:r>
      <w:r w:rsidRPr="00282AC9">
        <w:rPr>
          <w:rFonts w:cs="DanaFajr"/>
          <w:sz w:val="28"/>
          <w:szCs w:val="28"/>
          <w:rtl/>
        </w:rPr>
        <w:t xml:space="preserve"> ـ 1950</w:t>
      </w:r>
      <w:r w:rsidRPr="00282AC9">
        <w:rPr>
          <w:rFonts w:cs="DanaFajr" w:hint="cs"/>
          <w:sz w:val="28"/>
          <w:szCs w:val="28"/>
          <w:rtl/>
        </w:rPr>
        <w:t>م.</w:t>
      </w:r>
    </w:p>
  </w:endnote>
  <w:endnote w:id="783">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المفيد، الأمالي: 290.</w:t>
      </w:r>
    </w:p>
  </w:endnote>
  <w:endnote w:id="784">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w:t>
      </w:r>
      <w:r w:rsidRPr="00282AC9">
        <w:rPr>
          <w:rFonts w:cs="DanaFajr" w:hint="cs"/>
          <w:sz w:val="28"/>
          <w:szCs w:val="28"/>
          <w:rtl/>
        </w:rPr>
        <w:t xml:space="preserve"> علي</w:t>
      </w:r>
      <w:r w:rsidRPr="00282AC9">
        <w:rPr>
          <w:rFonts w:cs="DanaFajr"/>
          <w:sz w:val="28"/>
          <w:szCs w:val="28"/>
          <w:rtl/>
        </w:rPr>
        <w:t xml:space="preserve"> </w:t>
      </w:r>
      <w:r w:rsidRPr="00282AC9">
        <w:rPr>
          <w:rFonts w:cs="DanaFajr" w:hint="cs"/>
          <w:sz w:val="28"/>
          <w:szCs w:val="28"/>
          <w:rtl/>
        </w:rPr>
        <w:t>ابن</w:t>
      </w:r>
      <w:r w:rsidRPr="00282AC9">
        <w:rPr>
          <w:rFonts w:cs="DanaFajr"/>
          <w:sz w:val="28"/>
          <w:szCs w:val="28"/>
          <w:rtl/>
        </w:rPr>
        <w:t xml:space="preserve"> </w:t>
      </w:r>
      <w:r w:rsidRPr="00282AC9">
        <w:rPr>
          <w:rFonts w:cs="DanaFajr" w:hint="cs"/>
          <w:sz w:val="28"/>
          <w:szCs w:val="28"/>
          <w:rtl/>
        </w:rPr>
        <w:t>بابويه</w:t>
      </w:r>
      <w:r w:rsidRPr="00282AC9">
        <w:rPr>
          <w:rFonts w:cs="DanaFajr"/>
          <w:sz w:val="28"/>
          <w:szCs w:val="28"/>
          <w:rtl/>
        </w:rPr>
        <w:t xml:space="preserve"> </w:t>
      </w:r>
      <w:r w:rsidRPr="00282AC9">
        <w:rPr>
          <w:rFonts w:cs="DanaFajr" w:hint="cs"/>
          <w:sz w:val="28"/>
          <w:szCs w:val="28"/>
          <w:rtl/>
        </w:rPr>
        <w:t>القمّي، الإمامة</w:t>
      </w:r>
      <w:r w:rsidRPr="00282AC9">
        <w:rPr>
          <w:rFonts w:cs="DanaFajr"/>
          <w:sz w:val="28"/>
          <w:szCs w:val="28"/>
          <w:rtl/>
        </w:rPr>
        <w:t xml:space="preserve"> </w:t>
      </w:r>
      <w:r w:rsidRPr="00282AC9">
        <w:rPr>
          <w:rFonts w:cs="DanaFajr" w:hint="cs"/>
          <w:sz w:val="28"/>
          <w:szCs w:val="28"/>
          <w:rtl/>
        </w:rPr>
        <w:t>والتبصرة: 21، تحقيق ونشر</w:t>
      </w:r>
      <w:r w:rsidRPr="00282AC9">
        <w:rPr>
          <w:rFonts w:cs="DanaFajr"/>
          <w:sz w:val="28"/>
          <w:szCs w:val="28"/>
          <w:rtl/>
        </w:rPr>
        <w:t xml:space="preserve">: </w:t>
      </w:r>
      <w:r w:rsidRPr="00282AC9">
        <w:rPr>
          <w:rFonts w:cs="DanaFajr" w:hint="cs"/>
          <w:sz w:val="28"/>
          <w:szCs w:val="28"/>
          <w:rtl/>
        </w:rPr>
        <w:t>مدرسة</w:t>
      </w:r>
      <w:r w:rsidRPr="00282AC9">
        <w:rPr>
          <w:rFonts w:cs="DanaFajr"/>
          <w:sz w:val="28"/>
          <w:szCs w:val="28"/>
          <w:rtl/>
        </w:rPr>
        <w:t xml:space="preserve"> </w:t>
      </w:r>
      <w:r w:rsidRPr="00282AC9">
        <w:rPr>
          <w:rFonts w:cs="DanaFajr" w:hint="cs"/>
          <w:sz w:val="28"/>
          <w:szCs w:val="28"/>
          <w:rtl/>
        </w:rPr>
        <w:t>الإمام</w:t>
      </w:r>
      <w:r w:rsidRPr="00282AC9">
        <w:rPr>
          <w:rFonts w:cs="DanaFajr"/>
          <w:sz w:val="28"/>
          <w:szCs w:val="28"/>
          <w:rtl/>
        </w:rPr>
        <w:t xml:space="preserve"> </w:t>
      </w:r>
      <w:r w:rsidRPr="00282AC9">
        <w:rPr>
          <w:rFonts w:cs="DanaFajr" w:hint="cs"/>
          <w:sz w:val="28"/>
          <w:szCs w:val="28"/>
          <w:rtl/>
        </w:rPr>
        <w:t>المهديّ</w:t>
      </w:r>
      <w:r w:rsidRPr="00282AC9">
        <w:rPr>
          <w:rFonts w:cs="Mosawi" w:hint="cs"/>
          <w:rtl/>
        </w:rPr>
        <w:t>×</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قم</w:t>
      </w:r>
      <w:r w:rsidRPr="00282AC9">
        <w:rPr>
          <w:rFonts w:cs="DanaFajr"/>
          <w:sz w:val="28"/>
          <w:szCs w:val="28"/>
          <w:rtl/>
        </w:rPr>
        <w:t xml:space="preserve"> </w:t>
      </w:r>
      <w:r w:rsidRPr="00282AC9">
        <w:rPr>
          <w:rFonts w:cs="DanaFajr" w:hint="cs"/>
          <w:sz w:val="28"/>
          <w:szCs w:val="28"/>
          <w:rtl/>
        </w:rPr>
        <w:t xml:space="preserve">المقدّسة، ط1، </w:t>
      </w:r>
      <w:r w:rsidRPr="00282AC9">
        <w:rPr>
          <w:rFonts w:cs="DanaFajr"/>
          <w:sz w:val="28"/>
          <w:szCs w:val="28"/>
          <w:rtl/>
        </w:rPr>
        <w:t>1404</w:t>
      </w:r>
      <w:r w:rsidRPr="00282AC9">
        <w:rPr>
          <w:rFonts w:cs="DanaFajr" w:hint="cs"/>
          <w:sz w:val="28"/>
          <w:szCs w:val="28"/>
          <w:rtl/>
        </w:rPr>
        <w:t>هـ</w:t>
      </w:r>
      <w:r w:rsidRPr="00282AC9">
        <w:rPr>
          <w:rFonts w:cs="DanaFajr"/>
          <w:sz w:val="28"/>
          <w:szCs w:val="28"/>
          <w:rtl/>
        </w:rPr>
        <w:t xml:space="preserve"> ـ 1363</w:t>
      </w:r>
      <w:r w:rsidRPr="00282AC9">
        <w:rPr>
          <w:rFonts w:cs="DanaFajr" w:hint="cs"/>
          <w:sz w:val="28"/>
          <w:szCs w:val="28"/>
          <w:rtl/>
        </w:rPr>
        <w:t>هـ.ش.</w:t>
      </w:r>
    </w:p>
  </w:endnote>
  <w:endnote w:id="785">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تفسير</w:t>
      </w:r>
      <w:r w:rsidRPr="00282AC9">
        <w:rPr>
          <w:rFonts w:cs="DanaFajr"/>
          <w:sz w:val="28"/>
          <w:szCs w:val="28"/>
          <w:rtl/>
        </w:rPr>
        <w:t xml:space="preserve"> </w:t>
      </w:r>
      <w:r w:rsidRPr="00282AC9">
        <w:rPr>
          <w:rFonts w:cs="DanaFajr" w:hint="cs"/>
          <w:sz w:val="28"/>
          <w:szCs w:val="28"/>
          <w:rtl/>
        </w:rPr>
        <w:t>القمّي 2: 366.</w:t>
      </w:r>
    </w:p>
  </w:endnote>
  <w:endnote w:id="786">
    <w:p w:rsidR="00C14EDE" w:rsidRPr="00282AC9" w:rsidRDefault="00C14EDE" w:rsidP="00D4635D">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Cs w:val="28"/>
          <w:vertAlign w:val="baseline"/>
        </w:rPr>
        <w:endnoteRef/>
      </w:r>
      <w:r w:rsidRPr="00282AC9">
        <w:rPr>
          <w:rFonts w:cs="DanaFajr"/>
          <w:sz w:val="28"/>
          <w:szCs w:val="28"/>
          <w:rtl/>
        </w:rPr>
        <w:t xml:space="preserve">) </w:t>
      </w:r>
      <w:r w:rsidRPr="00282AC9">
        <w:rPr>
          <w:rFonts w:cs="DanaFajr" w:hint="cs"/>
          <w:sz w:val="28"/>
          <w:szCs w:val="28"/>
          <w:rtl/>
        </w:rPr>
        <w:t>كامل</w:t>
      </w:r>
      <w:r w:rsidRPr="00282AC9">
        <w:rPr>
          <w:rFonts w:cs="DanaFajr"/>
          <w:sz w:val="28"/>
          <w:szCs w:val="28"/>
          <w:rtl/>
        </w:rPr>
        <w:t xml:space="preserve"> </w:t>
      </w:r>
      <w:r w:rsidRPr="00282AC9">
        <w:rPr>
          <w:rFonts w:cs="DanaFajr" w:hint="cs"/>
          <w:sz w:val="28"/>
          <w:szCs w:val="28"/>
          <w:rtl/>
        </w:rPr>
        <w:t>الزيارات: 158.</w:t>
      </w:r>
    </w:p>
  </w:endnote>
  <w:endnote w:id="787">
    <w:p w:rsidR="00C14EDE" w:rsidRPr="00282AC9" w:rsidRDefault="00C14EDE" w:rsidP="0094384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Pr>
          <w:rFonts w:cs="DanaFajr" w:hint="cs"/>
          <w:sz w:val="28"/>
          <w:szCs w:val="28"/>
          <w:rtl/>
        </w:rPr>
        <w:t xml:space="preserve"> </w:t>
      </w:r>
      <w:r w:rsidRPr="00282AC9">
        <w:rPr>
          <w:rFonts w:cs="DanaFajr" w:hint="cs"/>
          <w:sz w:val="28"/>
          <w:szCs w:val="28"/>
          <w:rtl/>
        </w:rPr>
        <w:t>الشيخ</w:t>
      </w:r>
      <w:r w:rsidRPr="00282AC9">
        <w:rPr>
          <w:rFonts w:cs="DanaFajr"/>
          <w:sz w:val="28"/>
          <w:szCs w:val="28"/>
          <w:rtl/>
        </w:rPr>
        <w:t xml:space="preserve"> </w:t>
      </w:r>
      <w:r w:rsidRPr="00282AC9">
        <w:rPr>
          <w:rFonts w:cs="DanaFajr" w:hint="cs"/>
          <w:sz w:val="28"/>
          <w:szCs w:val="28"/>
          <w:rtl/>
        </w:rPr>
        <w:t>الجواهري، جواهر</w:t>
      </w:r>
      <w:r w:rsidRPr="00282AC9">
        <w:rPr>
          <w:rFonts w:cs="DanaFajr"/>
          <w:sz w:val="28"/>
          <w:szCs w:val="28"/>
          <w:rtl/>
        </w:rPr>
        <w:t xml:space="preserve"> </w:t>
      </w:r>
      <w:r w:rsidRPr="00282AC9">
        <w:rPr>
          <w:rFonts w:cs="DanaFajr" w:hint="cs"/>
          <w:sz w:val="28"/>
          <w:szCs w:val="28"/>
          <w:rtl/>
        </w:rPr>
        <w:t>الكلام</w:t>
      </w:r>
      <w:r w:rsidRPr="00282AC9">
        <w:rPr>
          <w:rFonts w:cs="DanaFajr"/>
          <w:sz w:val="28"/>
          <w:szCs w:val="28"/>
          <w:rtl/>
        </w:rPr>
        <w:t xml:space="preserve"> 29</w:t>
      </w:r>
      <w:r w:rsidRPr="00282AC9">
        <w:rPr>
          <w:rFonts w:cs="DanaFajr" w:hint="cs"/>
          <w:sz w:val="28"/>
          <w:szCs w:val="28"/>
          <w:rtl/>
        </w:rPr>
        <w:t>: 5</w:t>
      </w:r>
      <w:r>
        <w:rPr>
          <w:rFonts w:cs="DanaFajr" w:hint="cs"/>
          <w:sz w:val="28"/>
          <w:szCs w:val="28"/>
          <w:rtl/>
        </w:rPr>
        <w:t xml:space="preserve">؛ </w:t>
      </w:r>
      <w:r w:rsidRPr="00282AC9">
        <w:rPr>
          <w:rFonts w:cs="DanaFajr"/>
          <w:sz w:val="28"/>
          <w:szCs w:val="28"/>
          <w:rtl/>
        </w:rPr>
        <w:t>السيد محسن الحكيم</w:t>
      </w:r>
      <w:r w:rsidRPr="00282AC9">
        <w:rPr>
          <w:rFonts w:cs="DanaFajr" w:hint="cs"/>
          <w:sz w:val="28"/>
          <w:szCs w:val="28"/>
          <w:rtl/>
        </w:rPr>
        <w:t>،</w:t>
      </w:r>
      <w:r w:rsidRPr="00282AC9">
        <w:rPr>
          <w:rFonts w:cs="DanaFajr"/>
          <w:sz w:val="28"/>
          <w:szCs w:val="28"/>
          <w:rtl/>
        </w:rPr>
        <w:t xml:space="preserve"> مستمسك العروة</w:t>
      </w:r>
      <w:r w:rsidRPr="00282AC9">
        <w:rPr>
          <w:rFonts w:cs="DanaFajr" w:hint="cs"/>
          <w:sz w:val="28"/>
          <w:szCs w:val="28"/>
          <w:rtl/>
        </w:rPr>
        <w:t>، ج14؛</w:t>
      </w:r>
      <w:r w:rsidRPr="00282AC9">
        <w:rPr>
          <w:rFonts w:cs="DanaFajr"/>
          <w:sz w:val="28"/>
          <w:szCs w:val="28"/>
          <w:rtl/>
        </w:rPr>
        <w:t xml:space="preserve"> </w:t>
      </w:r>
      <w:r w:rsidRPr="00282AC9">
        <w:rPr>
          <w:rFonts w:cs="DanaFajr" w:hint="cs"/>
          <w:sz w:val="28"/>
          <w:szCs w:val="28"/>
          <w:rtl/>
        </w:rPr>
        <w:t>محمد تقي الخوئي، شرح</w:t>
      </w:r>
      <w:r w:rsidRPr="00282AC9">
        <w:rPr>
          <w:rFonts w:cs="DanaFajr"/>
          <w:sz w:val="28"/>
          <w:szCs w:val="28"/>
          <w:rtl/>
        </w:rPr>
        <w:t xml:space="preserve"> </w:t>
      </w:r>
      <w:r w:rsidRPr="00282AC9">
        <w:rPr>
          <w:rFonts w:cs="DanaFajr" w:hint="cs"/>
          <w:sz w:val="28"/>
          <w:szCs w:val="28"/>
          <w:rtl/>
        </w:rPr>
        <w:t>العروة</w:t>
      </w:r>
      <w:r w:rsidRPr="00282AC9">
        <w:rPr>
          <w:rFonts w:cs="DanaFajr"/>
          <w:sz w:val="28"/>
          <w:szCs w:val="28"/>
          <w:rtl/>
        </w:rPr>
        <w:t xml:space="preserve"> </w:t>
      </w:r>
      <w:r w:rsidRPr="00282AC9">
        <w:rPr>
          <w:rFonts w:cs="DanaFajr" w:hint="cs"/>
          <w:sz w:val="28"/>
          <w:szCs w:val="28"/>
          <w:rtl/>
        </w:rPr>
        <w:t>الوثقى</w:t>
      </w:r>
      <w:r w:rsidRPr="00282AC9">
        <w:rPr>
          <w:rFonts w:cs="DanaFajr"/>
          <w:sz w:val="28"/>
          <w:szCs w:val="28"/>
          <w:rtl/>
        </w:rPr>
        <w:t xml:space="preserve"> </w:t>
      </w:r>
      <w:r w:rsidRPr="00282AC9">
        <w:rPr>
          <w:rFonts w:cs="DanaFajr" w:hint="cs"/>
          <w:sz w:val="28"/>
          <w:szCs w:val="28"/>
          <w:rtl/>
        </w:rPr>
        <w:t>(النكاح) ـ تقرير بحث السيد الخوئي</w:t>
      </w:r>
      <w:r w:rsidRPr="00282AC9">
        <w:rPr>
          <w:rFonts w:cs="DanaFajr"/>
          <w:sz w:val="28"/>
          <w:szCs w:val="28"/>
          <w:rtl/>
        </w:rPr>
        <w:t xml:space="preserve"> (</w:t>
      </w:r>
      <w:r w:rsidRPr="00282AC9">
        <w:rPr>
          <w:rFonts w:cs="DanaFajr" w:hint="cs"/>
          <w:sz w:val="28"/>
          <w:szCs w:val="28"/>
          <w:rtl/>
        </w:rPr>
        <w:t>موسوعة</w:t>
      </w:r>
      <w:r w:rsidRPr="00282AC9">
        <w:rPr>
          <w:rFonts w:cs="DanaFajr"/>
          <w:sz w:val="28"/>
          <w:szCs w:val="28"/>
          <w:rtl/>
        </w:rPr>
        <w:t xml:space="preserve"> </w:t>
      </w:r>
      <w:r w:rsidRPr="00282AC9">
        <w:rPr>
          <w:rFonts w:cs="DanaFajr" w:hint="cs"/>
          <w:sz w:val="28"/>
          <w:szCs w:val="28"/>
          <w:rtl/>
        </w:rPr>
        <w:t>الإمام</w:t>
      </w:r>
      <w:r w:rsidRPr="00282AC9">
        <w:rPr>
          <w:rFonts w:cs="DanaFajr"/>
          <w:sz w:val="28"/>
          <w:szCs w:val="28"/>
          <w:rtl/>
        </w:rPr>
        <w:t xml:space="preserve"> </w:t>
      </w:r>
      <w:r w:rsidRPr="00282AC9">
        <w:rPr>
          <w:rFonts w:cs="DanaFajr" w:hint="cs"/>
          <w:sz w:val="28"/>
          <w:szCs w:val="28"/>
          <w:rtl/>
        </w:rPr>
        <w:t>الخوئي</w:t>
      </w:r>
      <w:r w:rsidRPr="00282AC9">
        <w:rPr>
          <w:rFonts w:cs="DanaFajr"/>
          <w:sz w:val="28"/>
          <w:szCs w:val="28"/>
          <w:rtl/>
        </w:rPr>
        <w:t>)</w:t>
      </w:r>
      <w:r w:rsidRPr="00282AC9">
        <w:rPr>
          <w:rFonts w:cs="DanaFajr" w:hint="cs"/>
          <w:sz w:val="28"/>
          <w:szCs w:val="28"/>
          <w:rtl/>
        </w:rPr>
        <w:t>، ج</w:t>
      </w:r>
      <w:r w:rsidRPr="00282AC9">
        <w:rPr>
          <w:rFonts w:cs="DanaFajr"/>
          <w:sz w:val="28"/>
          <w:szCs w:val="28"/>
          <w:rtl/>
        </w:rPr>
        <w:t>32</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السيد</w:t>
      </w:r>
      <w:r w:rsidRPr="00282AC9">
        <w:rPr>
          <w:rFonts w:cs="DanaFajr"/>
          <w:sz w:val="28"/>
          <w:szCs w:val="28"/>
          <w:rtl/>
        </w:rPr>
        <w:t xml:space="preserve"> </w:t>
      </w:r>
      <w:r w:rsidRPr="00282AC9">
        <w:rPr>
          <w:rFonts w:cs="DanaFajr" w:hint="cs"/>
          <w:sz w:val="28"/>
          <w:szCs w:val="28"/>
          <w:rtl/>
        </w:rPr>
        <w:t>عبد</w:t>
      </w:r>
      <w:r w:rsidRPr="00282AC9">
        <w:rPr>
          <w:rFonts w:cs="DanaFajr"/>
          <w:sz w:val="28"/>
          <w:szCs w:val="28"/>
          <w:rtl/>
        </w:rPr>
        <w:t xml:space="preserve"> </w:t>
      </w:r>
      <w:r w:rsidRPr="00282AC9">
        <w:rPr>
          <w:rFonts w:cs="DanaFajr" w:hint="cs"/>
          <w:sz w:val="28"/>
          <w:szCs w:val="28"/>
          <w:rtl/>
        </w:rPr>
        <w:t>الأعلى</w:t>
      </w:r>
      <w:r w:rsidRPr="00282AC9">
        <w:rPr>
          <w:rFonts w:cs="DanaFajr"/>
          <w:sz w:val="28"/>
          <w:szCs w:val="28"/>
          <w:rtl/>
        </w:rPr>
        <w:t xml:space="preserve"> </w:t>
      </w:r>
      <w:r w:rsidRPr="00282AC9">
        <w:rPr>
          <w:rFonts w:cs="DanaFajr" w:hint="cs"/>
          <w:sz w:val="28"/>
          <w:szCs w:val="28"/>
          <w:rtl/>
        </w:rPr>
        <w:t>السبزواري، مهذّب</w:t>
      </w:r>
      <w:r w:rsidRPr="00282AC9">
        <w:rPr>
          <w:rFonts w:cs="DanaFajr"/>
          <w:sz w:val="28"/>
          <w:szCs w:val="28"/>
          <w:rtl/>
        </w:rPr>
        <w:t xml:space="preserve"> </w:t>
      </w:r>
      <w:r w:rsidRPr="00282AC9">
        <w:rPr>
          <w:rFonts w:cs="DanaFajr" w:hint="cs"/>
          <w:sz w:val="28"/>
          <w:szCs w:val="28"/>
          <w:rtl/>
        </w:rPr>
        <w:t>الأحكام</w:t>
      </w:r>
      <w:r w:rsidRPr="00282AC9">
        <w:rPr>
          <w:rFonts w:cs="DanaFajr"/>
          <w:sz w:val="28"/>
          <w:szCs w:val="28"/>
          <w:rtl/>
        </w:rPr>
        <w:t xml:space="preserve"> </w:t>
      </w:r>
      <w:r w:rsidRPr="00282AC9">
        <w:rPr>
          <w:rFonts w:cs="DanaFajr" w:hint="cs"/>
          <w:sz w:val="28"/>
          <w:szCs w:val="28"/>
          <w:rtl/>
        </w:rPr>
        <w:t>في</w:t>
      </w:r>
      <w:r w:rsidRPr="00282AC9">
        <w:rPr>
          <w:rFonts w:cs="DanaFajr"/>
          <w:sz w:val="28"/>
          <w:szCs w:val="28"/>
          <w:rtl/>
        </w:rPr>
        <w:t xml:space="preserve"> </w:t>
      </w:r>
      <w:r w:rsidRPr="00282AC9">
        <w:rPr>
          <w:rFonts w:cs="DanaFajr" w:hint="cs"/>
          <w:sz w:val="28"/>
          <w:szCs w:val="28"/>
          <w:rtl/>
        </w:rPr>
        <w:t>بيان</w:t>
      </w:r>
      <w:r w:rsidRPr="00282AC9">
        <w:rPr>
          <w:rFonts w:cs="DanaFajr"/>
          <w:sz w:val="28"/>
          <w:szCs w:val="28"/>
          <w:rtl/>
        </w:rPr>
        <w:t xml:space="preserve"> </w:t>
      </w:r>
      <w:r w:rsidRPr="00282AC9">
        <w:rPr>
          <w:rFonts w:cs="DanaFajr" w:hint="cs"/>
          <w:sz w:val="28"/>
          <w:szCs w:val="28"/>
          <w:rtl/>
        </w:rPr>
        <w:t>الحلال</w:t>
      </w:r>
      <w:r w:rsidRPr="00282AC9">
        <w:rPr>
          <w:rFonts w:cs="DanaFajr"/>
          <w:sz w:val="28"/>
          <w:szCs w:val="28"/>
          <w:rtl/>
        </w:rPr>
        <w:t xml:space="preserve"> </w:t>
      </w:r>
      <w:r w:rsidRPr="00282AC9">
        <w:rPr>
          <w:rFonts w:cs="DanaFajr" w:hint="cs"/>
          <w:sz w:val="28"/>
          <w:szCs w:val="28"/>
          <w:rtl/>
        </w:rPr>
        <w:t xml:space="preserve">والحرام </w:t>
      </w:r>
      <w:r w:rsidRPr="00282AC9">
        <w:rPr>
          <w:rFonts w:cs="DanaFajr"/>
          <w:sz w:val="28"/>
          <w:szCs w:val="28"/>
          <w:rtl/>
        </w:rPr>
        <w:t>24</w:t>
      </w:r>
      <w:r w:rsidRPr="00282AC9">
        <w:rPr>
          <w:rFonts w:cs="DanaFajr" w:hint="cs"/>
          <w:sz w:val="28"/>
          <w:szCs w:val="28"/>
          <w:rtl/>
        </w:rPr>
        <w:t xml:space="preserve">: </w:t>
      </w:r>
      <w:r>
        <w:rPr>
          <w:rFonts w:cs="DanaFajr" w:hint="cs"/>
          <w:sz w:val="28"/>
          <w:szCs w:val="28"/>
          <w:rtl/>
        </w:rPr>
        <w:t>9</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السيد</w:t>
      </w:r>
      <w:r w:rsidRPr="00282AC9">
        <w:rPr>
          <w:rFonts w:cs="DanaFajr"/>
          <w:sz w:val="28"/>
          <w:szCs w:val="28"/>
          <w:rtl/>
        </w:rPr>
        <w:t xml:space="preserve"> </w:t>
      </w:r>
      <w:r w:rsidRPr="00282AC9">
        <w:rPr>
          <w:rFonts w:cs="DanaFajr" w:hint="cs"/>
          <w:sz w:val="28"/>
          <w:szCs w:val="28"/>
          <w:rtl/>
        </w:rPr>
        <w:t>محمد</w:t>
      </w:r>
      <w:r w:rsidRPr="00282AC9">
        <w:rPr>
          <w:rFonts w:cs="DanaFajr"/>
          <w:sz w:val="28"/>
          <w:szCs w:val="28"/>
          <w:rtl/>
        </w:rPr>
        <w:t xml:space="preserve"> </w:t>
      </w:r>
      <w:r w:rsidRPr="00282AC9">
        <w:rPr>
          <w:rFonts w:cs="DanaFajr" w:hint="cs"/>
          <w:sz w:val="28"/>
          <w:szCs w:val="28"/>
          <w:rtl/>
        </w:rPr>
        <w:t>صادق</w:t>
      </w:r>
      <w:r w:rsidRPr="00282AC9">
        <w:rPr>
          <w:rFonts w:cs="DanaFajr"/>
          <w:sz w:val="28"/>
          <w:szCs w:val="28"/>
          <w:rtl/>
        </w:rPr>
        <w:t xml:space="preserve"> </w:t>
      </w:r>
      <w:r w:rsidRPr="00282AC9">
        <w:rPr>
          <w:rFonts w:cs="DanaFajr" w:hint="cs"/>
          <w:sz w:val="28"/>
          <w:szCs w:val="28"/>
          <w:rtl/>
        </w:rPr>
        <w:t>الروحاني، العروة</w:t>
      </w:r>
      <w:r w:rsidRPr="00282AC9">
        <w:rPr>
          <w:rFonts w:cs="DanaFajr"/>
          <w:sz w:val="28"/>
          <w:szCs w:val="28"/>
          <w:rtl/>
        </w:rPr>
        <w:t xml:space="preserve"> </w:t>
      </w:r>
      <w:r w:rsidRPr="00282AC9">
        <w:rPr>
          <w:rFonts w:cs="DanaFajr" w:hint="cs"/>
          <w:sz w:val="28"/>
          <w:szCs w:val="28"/>
          <w:rtl/>
        </w:rPr>
        <w:t>الوثقى</w:t>
      </w:r>
      <w:r w:rsidRPr="00282AC9">
        <w:rPr>
          <w:rFonts w:cs="DanaFajr"/>
          <w:sz w:val="28"/>
          <w:szCs w:val="28"/>
          <w:rtl/>
        </w:rPr>
        <w:t xml:space="preserve"> 2</w:t>
      </w:r>
      <w:r w:rsidRPr="00282AC9">
        <w:rPr>
          <w:rFonts w:cs="DanaFajr" w:hint="cs"/>
          <w:sz w:val="28"/>
          <w:szCs w:val="28"/>
          <w:rtl/>
        </w:rPr>
        <w:t>: 456.</w:t>
      </w:r>
    </w:p>
  </w:endnote>
  <w:endnote w:id="788">
    <w:p w:rsidR="00C14EDE" w:rsidRPr="00282AC9" w:rsidRDefault="00C14EDE" w:rsidP="00DA38E9">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Pr>
          <w:rFonts w:cs="DanaFajr" w:hint="cs"/>
          <w:sz w:val="28"/>
          <w:szCs w:val="28"/>
          <w:rtl/>
        </w:rPr>
        <w:t xml:space="preserve"> </w:t>
      </w:r>
      <w:r w:rsidRPr="00282AC9">
        <w:rPr>
          <w:rFonts w:cs="DanaFajr" w:hint="cs"/>
          <w:sz w:val="28"/>
          <w:szCs w:val="28"/>
          <w:rtl/>
        </w:rPr>
        <w:t>اليزدي، العروة الوثقى 2: 750، دار ال</w:t>
      </w:r>
      <w:r>
        <w:rPr>
          <w:rFonts w:cs="DanaFajr" w:hint="cs"/>
          <w:sz w:val="28"/>
          <w:szCs w:val="28"/>
          <w:rtl/>
        </w:rPr>
        <w:t>أعلمي؛ 2: 670، الدار الإسلامية</w:t>
      </w:r>
      <w:r w:rsidRPr="00282AC9">
        <w:rPr>
          <w:rFonts w:cs="DanaFajr" w:hint="cs"/>
          <w:sz w:val="28"/>
          <w:szCs w:val="28"/>
          <w:rtl/>
        </w:rPr>
        <w:t>.</w:t>
      </w:r>
    </w:p>
  </w:endnote>
  <w:endnote w:id="789">
    <w:p w:rsidR="00C14EDE" w:rsidRPr="00282AC9" w:rsidRDefault="00C14EDE" w:rsidP="005C545C">
      <w:pPr>
        <w:pStyle w:val="af7"/>
        <w:spacing w:line="296" w:lineRule="exact"/>
        <w:ind w:firstLine="0"/>
        <w:rPr>
          <w:rFonts w:cs="DanaFajr"/>
          <w:sz w:val="28"/>
          <w:szCs w:val="28"/>
          <w:rtl/>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sz w:val="28"/>
          <w:szCs w:val="28"/>
          <w:rtl/>
        </w:rPr>
        <w:t>توضيح مكتب حفظ ونشر آثار الإمام الخامنئي بشأن قضيّة تعد</w:t>
      </w:r>
      <w:r w:rsidRPr="00282AC9">
        <w:rPr>
          <w:rFonts w:cs="DanaFajr" w:hint="cs"/>
          <w:sz w:val="28"/>
          <w:szCs w:val="28"/>
          <w:rtl/>
        </w:rPr>
        <w:t>ُّ</w:t>
      </w:r>
      <w:r w:rsidRPr="00282AC9">
        <w:rPr>
          <w:rFonts w:cs="DanaFajr"/>
          <w:sz w:val="28"/>
          <w:szCs w:val="28"/>
          <w:rtl/>
        </w:rPr>
        <w:t>د الزوجات</w:t>
      </w:r>
      <w:r w:rsidRPr="00282AC9">
        <w:rPr>
          <w:rFonts w:cs="DanaFajr" w:hint="cs"/>
          <w:sz w:val="28"/>
          <w:szCs w:val="28"/>
          <w:rtl/>
        </w:rPr>
        <w:t>، بتاريخ 13 ـ 3 ـ 2020، في موقع الاجتهاد:</w:t>
      </w:r>
    </w:p>
    <w:p w:rsidR="00C14EDE" w:rsidRPr="00282AC9" w:rsidRDefault="00C14EDE" w:rsidP="005C545C">
      <w:pPr>
        <w:pStyle w:val="af7"/>
        <w:bidi w:val="0"/>
        <w:spacing w:line="296" w:lineRule="exact"/>
        <w:ind w:firstLine="0"/>
        <w:rPr>
          <w:rFonts w:asciiTheme="majorBidi" w:hAnsiTheme="majorBidi" w:cstheme="majorBidi"/>
        </w:rPr>
      </w:pPr>
      <w:r w:rsidRPr="00282AC9">
        <w:rPr>
          <w:rFonts w:asciiTheme="majorBidi" w:hAnsiTheme="majorBidi" w:cstheme="majorBidi"/>
        </w:rPr>
        <w:t>http://ijtihadnet.net</w:t>
      </w:r>
      <w:r w:rsidRPr="00282AC9">
        <w:rPr>
          <w:rFonts w:asciiTheme="majorBidi" w:hAnsiTheme="majorBidi" w:cstheme="majorBidi"/>
          <w:rtl/>
        </w:rPr>
        <w:t xml:space="preserve">/ </w:t>
      </w:r>
    </w:p>
  </w:endnote>
  <w:endnote w:id="790">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hint="cs"/>
          <w:sz w:val="28"/>
          <w:szCs w:val="28"/>
          <w:rtl/>
          <w:lang w:bidi="ar-LB"/>
        </w:rPr>
        <w:t>الشيخ الجواهري وغيره.</w:t>
      </w:r>
    </w:p>
  </w:endnote>
  <w:endnote w:id="791">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 xml:space="preserve">الشيخ الطوسي، المبسوط 6: 4. </w:t>
      </w:r>
    </w:p>
  </w:endnote>
  <w:endnote w:id="792">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الشيخ</w:t>
      </w:r>
      <w:r w:rsidRPr="00282AC9">
        <w:rPr>
          <w:rFonts w:cs="DanaFajr"/>
          <w:sz w:val="28"/>
          <w:szCs w:val="28"/>
          <w:rtl/>
        </w:rPr>
        <w:t xml:space="preserve"> </w:t>
      </w:r>
      <w:r w:rsidRPr="00282AC9">
        <w:rPr>
          <w:rFonts w:cs="DanaFajr" w:hint="cs"/>
          <w:sz w:val="28"/>
          <w:szCs w:val="28"/>
          <w:rtl/>
        </w:rPr>
        <w:t>علي</w:t>
      </w:r>
      <w:r w:rsidRPr="00282AC9">
        <w:rPr>
          <w:rFonts w:cs="DanaFajr"/>
          <w:sz w:val="28"/>
          <w:szCs w:val="28"/>
          <w:rtl/>
        </w:rPr>
        <w:t xml:space="preserve"> </w:t>
      </w:r>
      <w:r w:rsidRPr="00282AC9">
        <w:rPr>
          <w:rFonts w:cs="DanaFajr" w:hint="cs"/>
          <w:sz w:val="28"/>
          <w:szCs w:val="28"/>
          <w:rtl/>
        </w:rPr>
        <w:t>پناه</w:t>
      </w:r>
      <w:r w:rsidRPr="00282AC9">
        <w:rPr>
          <w:rFonts w:cs="DanaFajr"/>
          <w:sz w:val="28"/>
          <w:szCs w:val="28"/>
          <w:rtl/>
        </w:rPr>
        <w:t xml:space="preserve"> </w:t>
      </w:r>
      <w:r w:rsidRPr="00282AC9">
        <w:rPr>
          <w:rFonts w:cs="DanaFajr" w:hint="cs"/>
          <w:sz w:val="28"/>
          <w:szCs w:val="28"/>
          <w:rtl/>
        </w:rPr>
        <w:t>الإشتهاردي، مدارك</w:t>
      </w:r>
      <w:r w:rsidRPr="00282AC9">
        <w:rPr>
          <w:rFonts w:cs="DanaFajr"/>
          <w:sz w:val="28"/>
          <w:szCs w:val="28"/>
          <w:rtl/>
        </w:rPr>
        <w:t xml:space="preserve"> </w:t>
      </w:r>
      <w:r w:rsidRPr="00282AC9">
        <w:rPr>
          <w:rFonts w:cs="DanaFajr" w:hint="cs"/>
          <w:sz w:val="28"/>
          <w:szCs w:val="28"/>
          <w:rtl/>
        </w:rPr>
        <w:t>العروة 29: 19.</w:t>
      </w:r>
      <w:r w:rsidRPr="00282AC9">
        <w:rPr>
          <w:rFonts w:cs="DanaFajr"/>
          <w:sz w:val="28"/>
          <w:szCs w:val="28"/>
          <w:rtl/>
        </w:rPr>
        <w:t xml:space="preserve"> </w:t>
      </w:r>
    </w:p>
  </w:endnote>
  <w:endnote w:id="793">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hint="cs"/>
          <w:sz w:val="28"/>
          <w:szCs w:val="28"/>
          <w:rtl/>
        </w:rPr>
        <w:t>مختصر</w:t>
      </w:r>
      <w:r w:rsidRPr="00282AC9">
        <w:rPr>
          <w:rFonts w:cs="DanaFajr"/>
          <w:sz w:val="28"/>
          <w:szCs w:val="28"/>
          <w:rtl/>
        </w:rPr>
        <w:t xml:space="preserve"> </w:t>
      </w:r>
      <w:r w:rsidRPr="00282AC9">
        <w:rPr>
          <w:rFonts w:cs="DanaFajr" w:hint="cs"/>
          <w:sz w:val="28"/>
          <w:szCs w:val="28"/>
          <w:rtl/>
        </w:rPr>
        <w:t>المزني</w:t>
      </w:r>
      <w:r w:rsidRPr="00282AC9">
        <w:rPr>
          <w:rFonts w:cs="DanaFajr"/>
          <w:sz w:val="28"/>
          <w:szCs w:val="28"/>
          <w:rtl/>
        </w:rPr>
        <w:t>: 230</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والمجموع</w:t>
      </w:r>
      <w:r w:rsidRPr="00282AC9">
        <w:rPr>
          <w:rFonts w:cs="DanaFajr"/>
          <w:sz w:val="28"/>
          <w:szCs w:val="28"/>
          <w:rtl/>
        </w:rPr>
        <w:t xml:space="preserve"> 16: 137</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والجامع</w:t>
      </w:r>
      <w:r w:rsidRPr="00282AC9">
        <w:rPr>
          <w:rFonts w:cs="DanaFajr"/>
          <w:sz w:val="28"/>
          <w:szCs w:val="28"/>
          <w:rtl/>
        </w:rPr>
        <w:t xml:space="preserve"> </w:t>
      </w:r>
      <w:r w:rsidRPr="00282AC9">
        <w:rPr>
          <w:rFonts w:cs="DanaFajr" w:hint="cs"/>
          <w:sz w:val="28"/>
          <w:szCs w:val="28"/>
          <w:rtl/>
        </w:rPr>
        <w:t>لأحكام</w:t>
      </w:r>
      <w:r w:rsidRPr="00282AC9">
        <w:rPr>
          <w:rFonts w:cs="DanaFajr"/>
          <w:sz w:val="28"/>
          <w:szCs w:val="28"/>
          <w:rtl/>
        </w:rPr>
        <w:t xml:space="preserve"> </w:t>
      </w:r>
      <w:r w:rsidRPr="00282AC9">
        <w:rPr>
          <w:rFonts w:cs="DanaFajr" w:hint="cs"/>
          <w:sz w:val="28"/>
          <w:szCs w:val="28"/>
          <w:rtl/>
        </w:rPr>
        <w:t>القرآن</w:t>
      </w:r>
      <w:r w:rsidRPr="00282AC9">
        <w:rPr>
          <w:rFonts w:cs="DanaFajr"/>
          <w:sz w:val="28"/>
          <w:szCs w:val="28"/>
          <w:rtl/>
        </w:rPr>
        <w:t xml:space="preserve"> 5: 20</w:t>
      </w:r>
      <w:r w:rsidRPr="00282AC9">
        <w:rPr>
          <w:rFonts w:cs="DanaFajr" w:hint="cs"/>
          <w:sz w:val="28"/>
          <w:szCs w:val="28"/>
          <w:rtl/>
        </w:rPr>
        <w:t>، نقلاً عن الشيخ الطوسي، الخلاف 5: 111</w:t>
      </w:r>
      <w:r w:rsidRPr="00282AC9">
        <w:rPr>
          <w:rFonts w:cs="DanaFajr" w:hint="cs"/>
          <w:sz w:val="28"/>
          <w:szCs w:val="28"/>
          <w:rtl/>
          <w:lang w:bidi="ar-LB"/>
        </w:rPr>
        <w:t>.</w:t>
      </w:r>
    </w:p>
  </w:endnote>
  <w:endnote w:id="794">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hint="cs"/>
          <w:sz w:val="28"/>
          <w:szCs w:val="28"/>
          <w:rtl/>
        </w:rPr>
        <w:t xml:space="preserve">الشيخ الطوسي، المبسوط 6: 4. </w:t>
      </w:r>
    </w:p>
  </w:endnote>
  <w:endnote w:id="795">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القاضي</w:t>
      </w:r>
      <w:r w:rsidRPr="00282AC9">
        <w:rPr>
          <w:rFonts w:cs="DanaFajr"/>
          <w:sz w:val="28"/>
          <w:szCs w:val="28"/>
          <w:rtl/>
        </w:rPr>
        <w:t xml:space="preserve"> </w:t>
      </w:r>
      <w:r w:rsidRPr="00282AC9">
        <w:rPr>
          <w:rFonts w:cs="DanaFajr" w:hint="cs"/>
          <w:sz w:val="28"/>
          <w:szCs w:val="28"/>
          <w:rtl/>
        </w:rPr>
        <w:t>ابن</w:t>
      </w:r>
      <w:r w:rsidRPr="00282AC9">
        <w:rPr>
          <w:rFonts w:cs="DanaFajr"/>
          <w:sz w:val="28"/>
          <w:szCs w:val="28"/>
          <w:rtl/>
        </w:rPr>
        <w:t xml:space="preserve"> </w:t>
      </w:r>
      <w:r w:rsidRPr="00282AC9">
        <w:rPr>
          <w:rFonts w:cs="DanaFajr" w:hint="cs"/>
          <w:sz w:val="28"/>
          <w:szCs w:val="28"/>
          <w:rtl/>
        </w:rPr>
        <w:t>البرّاج، المهذَّب</w:t>
      </w:r>
      <w:r w:rsidRPr="00282AC9">
        <w:rPr>
          <w:rFonts w:cs="DanaFajr"/>
          <w:sz w:val="28"/>
          <w:szCs w:val="28"/>
          <w:rtl/>
        </w:rPr>
        <w:t xml:space="preserve"> 2</w:t>
      </w:r>
      <w:r w:rsidRPr="00282AC9">
        <w:rPr>
          <w:rFonts w:cs="DanaFajr" w:hint="cs"/>
          <w:sz w:val="28"/>
          <w:szCs w:val="28"/>
          <w:rtl/>
          <w:lang w:bidi="ar-LB"/>
        </w:rPr>
        <w:t>: 342.</w:t>
      </w:r>
      <w:r w:rsidRPr="00282AC9">
        <w:rPr>
          <w:rFonts w:cs="DanaFajr"/>
          <w:sz w:val="28"/>
          <w:szCs w:val="28"/>
          <w:rtl/>
          <w:lang w:bidi="ar-LB"/>
        </w:rPr>
        <w:t xml:space="preserve"> </w:t>
      </w:r>
    </w:p>
  </w:endnote>
  <w:endnote w:id="796">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w:t>
      </w:r>
      <w:r w:rsidRPr="00282AC9">
        <w:rPr>
          <w:rFonts w:cs="DanaFajr" w:hint="cs"/>
          <w:sz w:val="28"/>
          <w:szCs w:val="28"/>
          <w:rtl/>
          <w:lang w:bidi="ar-LB"/>
        </w:rPr>
        <w:t>أسئلة وردود، شبكة رافد للتنمية الثقافية (تمَّت مراجعته بتاريخ 13 ـ 3 ـ 2020):</w:t>
      </w:r>
    </w:p>
    <w:p w:rsidR="00C14EDE" w:rsidRPr="00282AC9" w:rsidRDefault="00C14EDE" w:rsidP="005C545C">
      <w:pPr>
        <w:pStyle w:val="af7"/>
        <w:bidi w:val="0"/>
        <w:spacing w:line="296" w:lineRule="exact"/>
        <w:ind w:firstLine="0"/>
        <w:rPr>
          <w:rFonts w:asciiTheme="majorBidi" w:hAnsiTheme="majorBidi" w:cstheme="majorBidi"/>
          <w:u w:val="single"/>
          <w:rtl/>
          <w:lang w:bidi="ar-LB"/>
        </w:rPr>
      </w:pPr>
      <w:r w:rsidRPr="00282AC9">
        <w:rPr>
          <w:rFonts w:asciiTheme="majorBidi" w:hAnsiTheme="majorBidi" w:cstheme="majorBidi"/>
          <w:lang w:bidi="ar-LB"/>
        </w:rPr>
        <w:t>https://research.rafed.net/</w:t>
      </w:r>
    </w:p>
    <w:p w:rsidR="00C14EDE" w:rsidRPr="00282AC9" w:rsidRDefault="00C14EDE" w:rsidP="005C545C">
      <w:pPr>
        <w:pStyle w:val="af7"/>
        <w:spacing w:line="296" w:lineRule="exact"/>
        <w:ind w:firstLine="0"/>
        <w:rPr>
          <w:rFonts w:cs="DanaFajr"/>
          <w:sz w:val="28"/>
          <w:szCs w:val="28"/>
          <w:lang w:bidi="ar-LB"/>
        </w:rPr>
      </w:pPr>
      <w:r w:rsidRPr="00282AC9">
        <w:rPr>
          <w:rFonts w:cs="DanaFajr"/>
          <w:sz w:val="28"/>
          <w:szCs w:val="28"/>
          <w:rtl/>
        </w:rPr>
        <w:t>ورد سؤال للسيّد السيستاني:</w:t>
      </w:r>
    </w:p>
    <w:p w:rsidR="00C14EDE" w:rsidRPr="00282AC9" w:rsidRDefault="00C14EDE" w:rsidP="005C545C">
      <w:pPr>
        <w:pStyle w:val="af7"/>
        <w:spacing w:line="296" w:lineRule="exact"/>
        <w:ind w:firstLine="0"/>
        <w:rPr>
          <w:rFonts w:cs="DanaFajr"/>
          <w:sz w:val="28"/>
          <w:szCs w:val="28"/>
          <w:rtl/>
        </w:rPr>
      </w:pPr>
      <w:r w:rsidRPr="00282AC9">
        <w:rPr>
          <w:rFonts w:cs="DanaFajr"/>
          <w:b/>
          <w:bCs/>
          <w:sz w:val="28"/>
          <w:szCs w:val="28"/>
          <w:rtl/>
        </w:rPr>
        <w:t>السؤال</w:t>
      </w:r>
      <w:r w:rsidRPr="00282AC9">
        <w:rPr>
          <w:rFonts w:cs="DanaFajr"/>
          <w:sz w:val="28"/>
          <w:szCs w:val="28"/>
          <w:rtl/>
        </w:rPr>
        <w:t>: هل يجوز الزواج لمتزوّج</w:t>
      </w:r>
      <w:r w:rsidRPr="00282AC9">
        <w:rPr>
          <w:rFonts w:cs="DanaFajr" w:hint="cs"/>
          <w:sz w:val="28"/>
          <w:szCs w:val="28"/>
          <w:rtl/>
        </w:rPr>
        <w:t>ٍ</w:t>
      </w:r>
      <w:r w:rsidRPr="00282AC9">
        <w:rPr>
          <w:rFonts w:cs="DanaFajr"/>
          <w:sz w:val="28"/>
          <w:szCs w:val="28"/>
          <w:rtl/>
        </w:rPr>
        <w:t xml:space="preserve"> يريد الزواج مرّة</w:t>
      </w:r>
      <w:r w:rsidRPr="00282AC9">
        <w:rPr>
          <w:rFonts w:cs="DanaFajr" w:hint="cs"/>
          <w:sz w:val="28"/>
          <w:szCs w:val="28"/>
          <w:rtl/>
        </w:rPr>
        <w:t>ً</w:t>
      </w:r>
      <w:r w:rsidRPr="00282AC9">
        <w:rPr>
          <w:rFonts w:cs="DanaFajr"/>
          <w:sz w:val="28"/>
          <w:szCs w:val="28"/>
          <w:rtl/>
        </w:rPr>
        <w:t xml:space="preserve"> أخری بدون علّة</w:t>
      </w:r>
      <w:r w:rsidRPr="00282AC9">
        <w:rPr>
          <w:rFonts w:cs="DanaFajr" w:hint="cs"/>
          <w:sz w:val="28"/>
          <w:szCs w:val="28"/>
          <w:rtl/>
        </w:rPr>
        <w:t>ٍ</w:t>
      </w:r>
      <w:r w:rsidRPr="00282AC9">
        <w:rPr>
          <w:rFonts w:cs="DanaFajr"/>
          <w:sz w:val="28"/>
          <w:szCs w:val="28"/>
          <w:rtl/>
        </w:rPr>
        <w:t xml:space="preserve"> أو سبب</w:t>
      </w:r>
      <w:r w:rsidRPr="00282AC9">
        <w:rPr>
          <w:rFonts w:cs="DanaFajr" w:hint="cs"/>
          <w:sz w:val="28"/>
          <w:szCs w:val="28"/>
          <w:rtl/>
        </w:rPr>
        <w:t>ٍ</w:t>
      </w:r>
      <w:r w:rsidRPr="00282AC9">
        <w:rPr>
          <w:rFonts w:cs="DanaFajr"/>
          <w:sz w:val="28"/>
          <w:szCs w:val="28"/>
          <w:rtl/>
        </w:rPr>
        <w:t>؟</w:t>
      </w:r>
    </w:p>
    <w:p w:rsidR="00C14EDE" w:rsidRPr="00282AC9" w:rsidRDefault="00C14EDE" w:rsidP="005C545C">
      <w:pPr>
        <w:pStyle w:val="af7"/>
        <w:spacing w:line="296" w:lineRule="exact"/>
        <w:ind w:firstLine="0"/>
        <w:rPr>
          <w:rFonts w:cs="DanaFajr"/>
          <w:sz w:val="28"/>
          <w:szCs w:val="28"/>
          <w:rtl/>
        </w:rPr>
      </w:pPr>
      <w:r w:rsidRPr="00282AC9">
        <w:rPr>
          <w:rFonts w:cs="DanaFajr"/>
          <w:b/>
          <w:bCs/>
          <w:sz w:val="28"/>
          <w:szCs w:val="28"/>
          <w:rtl/>
        </w:rPr>
        <w:t>الجواب</w:t>
      </w:r>
      <w:r w:rsidRPr="00282AC9">
        <w:rPr>
          <w:rFonts w:cs="DanaFajr"/>
          <w:sz w:val="28"/>
          <w:szCs w:val="28"/>
          <w:rtl/>
        </w:rPr>
        <w:t>: لا مانع منه</w:t>
      </w:r>
      <w:r w:rsidRPr="00282AC9">
        <w:rPr>
          <w:rFonts w:cs="DanaFajr" w:hint="cs"/>
          <w:sz w:val="28"/>
          <w:szCs w:val="28"/>
          <w:rtl/>
        </w:rPr>
        <w:t>،</w:t>
      </w:r>
      <w:r w:rsidRPr="00282AC9">
        <w:rPr>
          <w:rFonts w:cs="DanaFajr"/>
          <w:sz w:val="28"/>
          <w:szCs w:val="28"/>
          <w:rtl/>
        </w:rPr>
        <w:t xml:space="preserve"> وإن</w:t>
      </w:r>
      <w:r w:rsidRPr="00282AC9">
        <w:rPr>
          <w:rFonts w:cs="DanaFajr" w:hint="cs"/>
          <w:sz w:val="28"/>
          <w:szCs w:val="28"/>
          <w:rtl/>
        </w:rPr>
        <w:t>ْ</w:t>
      </w:r>
      <w:r w:rsidRPr="00282AC9">
        <w:rPr>
          <w:rFonts w:cs="DanaFajr"/>
          <w:sz w:val="28"/>
          <w:szCs w:val="28"/>
          <w:rtl/>
        </w:rPr>
        <w:t xml:space="preserve"> كان الأنسب رعاية مشاعر الزوجة والأطفال.</w:t>
      </w:r>
    </w:p>
    <w:p w:rsidR="00C14EDE" w:rsidRPr="00282AC9" w:rsidRDefault="00C14EDE" w:rsidP="005C545C">
      <w:pPr>
        <w:pStyle w:val="af7"/>
        <w:spacing w:line="296" w:lineRule="exact"/>
        <w:ind w:firstLine="0"/>
        <w:rPr>
          <w:rFonts w:cs="DanaFajr"/>
          <w:sz w:val="28"/>
          <w:szCs w:val="28"/>
          <w:rtl/>
        </w:rPr>
      </w:pPr>
      <w:r w:rsidRPr="00282AC9">
        <w:rPr>
          <w:rFonts w:cs="DanaFajr"/>
          <w:sz w:val="28"/>
          <w:szCs w:val="28"/>
          <w:rtl/>
        </w:rPr>
        <w:t>وفسّ</w:t>
      </w:r>
      <w:r w:rsidRPr="00282AC9">
        <w:rPr>
          <w:rFonts w:cs="DanaFajr" w:hint="cs"/>
          <w:sz w:val="28"/>
          <w:szCs w:val="28"/>
          <w:rtl/>
        </w:rPr>
        <w:t>َ</w:t>
      </w:r>
      <w:r w:rsidRPr="00282AC9">
        <w:rPr>
          <w:rFonts w:cs="DanaFajr"/>
          <w:sz w:val="28"/>
          <w:szCs w:val="28"/>
          <w:rtl/>
        </w:rPr>
        <w:t>ر أحد الخطباء معنى قول السيّد أنّه يقصد الأنسب ترك الزواج والتعدّ</w:t>
      </w:r>
      <w:r w:rsidRPr="00282AC9">
        <w:rPr>
          <w:rFonts w:cs="DanaFajr" w:hint="cs"/>
          <w:sz w:val="28"/>
          <w:szCs w:val="28"/>
          <w:rtl/>
        </w:rPr>
        <w:t>ُ</w:t>
      </w:r>
      <w:r w:rsidRPr="00282AC9">
        <w:rPr>
          <w:rFonts w:cs="DanaFajr"/>
          <w:sz w:val="28"/>
          <w:szCs w:val="28"/>
          <w:rtl/>
        </w:rPr>
        <w:t>د مراعاة للزوجة والأولاد، وأضاف في قوله</w:t>
      </w:r>
      <w:r w:rsidRPr="00282AC9">
        <w:rPr>
          <w:rFonts w:cs="DanaFajr" w:hint="cs"/>
          <w:sz w:val="28"/>
          <w:szCs w:val="28"/>
          <w:rtl/>
        </w:rPr>
        <w:t>،</w:t>
      </w:r>
      <w:r w:rsidRPr="00282AC9">
        <w:rPr>
          <w:rFonts w:cs="DanaFajr"/>
          <w:sz w:val="28"/>
          <w:szCs w:val="28"/>
          <w:rtl/>
        </w:rPr>
        <w:t xml:space="preserve"> أمام الآلاف</w:t>
      </w:r>
      <w:r w:rsidRPr="00282AC9">
        <w:rPr>
          <w:rFonts w:cs="DanaFajr" w:hint="cs"/>
          <w:sz w:val="28"/>
          <w:szCs w:val="28"/>
          <w:rtl/>
        </w:rPr>
        <w:t>،</w:t>
      </w:r>
      <w:r w:rsidRPr="00282AC9">
        <w:rPr>
          <w:rFonts w:cs="DanaFajr"/>
          <w:sz w:val="28"/>
          <w:szCs w:val="28"/>
          <w:rtl/>
        </w:rPr>
        <w:t xml:space="preserve"> أنّ السيّد يقصد عدم التعدّ</w:t>
      </w:r>
      <w:r w:rsidRPr="00282AC9">
        <w:rPr>
          <w:rFonts w:cs="DanaFajr" w:hint="cs"/>
          <w:sz w:val="28"/>
          <w:szCs w:val="28"/>
          <w:rtl/>
        </w:rPr>
        <w:t>ُ</w:t>
      </w:r>
      <w:r w:rsidRPr="00282AC9">
        <w:rPr>
          <w:rFonts w:cs="DanaFajr"/>
          <w:sz w:val="28"/>
          <w:szCs w:val="28"/>
          <w:rtl/>
        </w:rPr>
        <w:t>د في حال عدم الداعي إليه</w:t>
      </w:r>
      <w:r w:rsidRPr="00282AC9">
        <w:rPr>
          <w:rFonts w:cs="DanaFajr" w:hint="cs"/>
          <w:sz w:val="28"/>
          <w:szCs w:val="28"/>
          <w:rtl/>
        </w:rPr>
        <w:t>،</w:t>
      </w:r>
      <w:r w:rsidRPr="00282AC9">
        <w:rPr>
          <w:rFonts w:cs="DanaFajr"/>
          <w:sz w:val="28"/>
          <w:szCs w:val="28"/>
          <w:rtl/>
        </w:rPr>
        <w:t xml:space="preserve"> كما في الفتوى.</w:t>
      </w:r>
    </w:p>
    <w:p w:rsidR="00C14EDE" w:rsidRPr="00282AC9" w:rsidRDefault="00C14EDE" w:rsidP="005C545C">
      <w:pPr>
        <w:pStyle w:val="af7"/>
        <w:spacing w:line="296" w:lineRule="exact"/>
        <w:ind w:firstLine="0"/>
        <w:rPr>
          <w:rFonts w:cs="DanaFajr"/>
          <w:sz w:val="28"/>
          <w:szCs w:val="28"/>
          <w:rtl/>
        </w:rPr>
      </w:pPr>
      <w:r w:rsidRPr="00282AC9">
        <w:rPr>
          <w:rFonts w:cs="DanaFajr"/>
          <w:sz w:val="28"/>
          <w:szCs w:val="28"/>
          <w:rtl/>
        </w:rPr>
        <w:t>فهل تفسير هذا الخطيب صحيح</w:t>
      </w:r>
      <w:r w:rsidRPr="00282AC9">
        <w:rPr>
          <w:rFonts w:cs="DanaFajr" w:hint="cs"/>
          <w:sz w:val="28"/>
          <w:szCs w:val="28"/>
          <w:rtl/>
        </w:rPr>
        <w:t>ٌ</w:t>
      </w:r>
      <w:r w:rsidRPr="00282AC9">
        <w:rPr>
          <w:rFonts w:cs="DanaFajr"/>
          <w:sz w:val="28"/>
          <w:szCs w:val="28"/>
          <w:rtl/>
        </w:rPr>
        <w:t>؟</w:t>
      </w:r>
      <w:r w:rsidRPr="00282AC9">
        <w:rPr>
          <w:rFonts w:cs="DanaFajr" w:hint="cs"/>
          <w:sz w:val="28"/>
          <w:szCs w:val="28"/>
          <w:rtl/>
        </w:rPr>
        <w:t>!</w:t>
      </w:r>
      <w:r w:rsidRPr="00282AC9">
        <w:rPr>
          <w:rFonts w:cs="DanaFajr"/>
          <w:sz w:val="28"/>
          <w:szCs w:val="28"/>
          <w:rtl/>
        </w:rPr>
        <w:t xml:space="preserve"> وإن</w:t>
      </w:r>
      <w:r w:rsidRPr="00282AC9">
        <w:rPr>
          <w:rFonts w:cs="DanaFajr" w:hint="cs"/>
          <w:sz w:val="28"/>
          <w:szCs w:val="28"/>
          <w:rtl/>
        </w:rPr>
        <w:t>ْ</w:t>
      </w:r>
      <w:r w:rsidRPr="00282AC9">
        <w:rPr>
          <w:rFonts w:cs="DanaFajr"/>
          <w:sz w:val="28"/>
          <w:szCs w:val="28"/>
          <w:rtl/>
        </w:rPr>
        <w:t xml:space="preserve"> كان صحيحاً فكيف يترك مستحبّ</w:t>
      </w:r>
      <w:r w:rsidRPr="00282AC9">
        <w:rPr>
          <w:rFonts w:cs="DanaFajr" w:hint="cs"/>
          <w:sz w:val="28"/>
          <w:szCs w:val="28"/>
          <w:rtl/>
        </w:rPr>
        <w:t>ٌ</w:t>
      </w:r>
      <w:r w:rsidRPr="00282AC9">
        <w:rPr>
          <w:rFonts w:cs="DanaFajr"/>
          <w:sz w:val="28"/>
          <w:szCs w:val="28"/>
          <w:rtl/>
        </w:rPr>
        <w:t xml:space="preserve"> لأجل غيرة الزوجة؟</w:t>
      </w:r>
      <w:r w:rsidRPr="00282AC9">
        <w:rPr>
          <w:rFonts w:cs="DanaFajr" w:hint="cs"/>
          <w:sz w:val="28"/>
          <w:szCs w:val="28"/>
          <w:rtl/>
        </w:rPr>
        <w:t>!</w:t>
      </w:r>
      <w:r w:rsidRPr="00282AC9">
        <w:rPr>
          <w:rFonts w:cs="DanaFajr"/>
          <w:sz w:val="28"/>
          <w:szCs w:val="28"/>
          <w:rtl/>
        </w:rPr>
        <w:t xml:space="preserve"> وهذه الغيرة التي تمنع الزوج من التعدّد وصفها السيّد في أحد فتاو</w:t>
      </w:r>
      <w:r w:rsidRPr="00282AC9">
        <w:rPr>
          <w:rFonts w:cs="DanaFajr" w:hint="cs"/>
          <w:sz w:val="28"/>
          <w:szCs w:val="28"/>
          <w:rtl/>
        </w:rPr>
        <w:t>ا</w:t>
      </w:r>
      <w:r w:rsidRPr="00282AC9">
        <w:rPr>
          <w:rFonts w:cs="DanaFajr"/>
          <w:sz w:val="28"/>
          <w:szCs w:val="28"/>
          <w:rtl/>
        </w:rPr>
        <w:t>ه بأنّها لا تجوز</w:t>
      </w:r>
      <w:r w:rsidRPr="00282AC9">
        <w:rPr>
          <w:rFonts w:cs="DanaFajr" w:hint="cs"/>
          <w:sz w:val="28"/>
          <w:szCs w:val="28"/>
          <w:rtl/>
        </w:rPr>
        <w:t>!</w:t>
      </w:r>
    </w:p>
    <w:p w:rsidR="00C14EDE" w:rsidRPr="00282AC9" w:rsidRDefault="00C14EDE" w:rsidP="005C545C">
      <w:pPr>
        <w:pStyle w:val="af7"/>
        <w:spacing w:line="296" w:lineRule="exact"/>
        <w:ind w:firstLine="0"/>
        <w:rPr>
          <w:rFonts w:cs="DanaFajr"/>
          <w:sz w:val="28"/>
          <w:szCs w:val="28"/>
          <w:rtl/>
        </w:rPr>
      </w:pPr>
      <w:r w:rsidRPr="00282AC9">
        <w:rPr>
          <w:rFonts w:cs="DanaFajr"/>
          <w:b/>
          <w:bCs/>
          <w:sz w:val="28"/>
          <w:szCs w:val="28"/>
          <w:rtl/>
        </w:rPr>
        <w:t>السؤال</w:t>
      </w:r>
      <w:r w:rsidRPr="00282AC9">
        <w:rPr>
          <w:rFonts w:cs="DanaFajr"/>
          <w:sz w:val="28"/>
          <w:szCs w:val="28"/>
          <w:rtl/>
        </w:rPr>
        <w:t>: ما حكم غيرة المرأة على زوجها؟ وما حكم غيرة الرجل على زوجته؟</w:t>
      </w:r>
    </w:p>
    <w:p w:rsidR="00C14EDE" w:rsidRPr="00282AC9" w:rsidRDefault="00C14EDE" w:rsidP="005C545C">
      <w:pPr>
        <w:pStyle w:val="af7"/>
        <w:spacing w:line="296" w:lineRule="exact"/>
        <w:ind w:firstLine="0"/>
        <w:rPr>
          <w:rFonts w:cs="DanaFajr"/>
          <w:sz w:val="28"/>
          <w:szCs w:val="28"/>
          <w:rtl/>
        </w:rPr>
      </w:pPr>
      <w:r w:rsidRPr="00282AC9">
        <w:rPr>
          <w:rFonts w:cs="DanaFajr"/>
          <w:b/>
          <w:bCs/>
          <w:sz w:val="28"/>
          <w:szCs w:val="28"/>
          <w:rtl/>
        </w:rPr>
        <w:t>الجواب</w:t>
      </w:r>
      <w:r w:rsidRPr="00282AC9">
        <w:rPr>
          <w:rFonts w:cs="DanaFajr"/>
          <w:sz w:val="28"/>
          <w:szCs w:val="28"/>
          <w:rtl/>
        </w:rPr>
        <w:t>: الأولى لا تجوز</w:t>
      </w:r>
      <w:r w:rsidRPr="00282AC9">
        <w:rPr>
          <w:rFonts w:cs="DanaFajr" w:hint="cs"/>
          <w:sz w:val="28"/>
          <w:szCs w:val="28"/>
          <w:rtl/>
        </w:rPr>
        <w:t>،</w:t>
      </w:r>
      <w:r w:rsidRPr="00282AC9">
        <w:rPr>
          <w:rFonts w:cs="DanaFajr"/>
          <w:sz w:val="28"/>
          <w:szCs w:val="28"/>
          <w:rtl/>
        </w:rPr>
        <w:t xml:space="preserve"> إذا كانت غيرتها في ما يحلّ له</w:t>
      </w:r>
      <w:r w:rsidRPr="00282AC9">
        <w:rPr>
          <w:rFonts w:cs="DanaFajr" w:hint="cs"/>
          <w:sz w:val="28"/>
          <w:szCs w:val="28"/>
          <w:rtl/>
        </w:rPr>
        <w:t>،</w:t>
      </w:r>
      <w:r w:rsidRPr="00282AC9">
        <w:rPr>
          <w:rFonts w:cs="DanaFajr"/>
          <w:sz w:val="28"/>
          <w:szCs w:val="28"/>
          <w:rtl/>
        </w:rPr>
        <w:t xml:space="preserve"> كزواجه بغيرها</w:t>
      </w:r>
      <w:r w:rsidRPr="00282AC9">
        <w:rPr>
          <w:rFonts w:cs="DanaFajr" w:hint="cs"/>
          <w:sz w:val="28"/>
          <w:szCs w:val="28"/>
          <w:rtl/>
        </w:rPr>
        <w:t>.</w:t>
      </w:r>
      <w:r w:rsidRPr="00282AC9">
        <w:rPr>
          <w:rFonts w:cs="DanaFajr"/>
          <w:sz w:val="28"/>
          <w:szCs w:val="28"/>
          <w:rtl/>
        </w:rPr>
        <w:t xml:space="preserve"> والثانية تجوز</w:t>
      </w:r>
      <w:r w:rsidRPr="00282AC9">
        <w:rPr>
          <w:rFonts w:cs="DanaFajr" w:hint="cs"/>
          <w:sz w:val="28"/>
          <w:szCs w:val="28"/>
          <w:rtl/>
        </w:rPr>
        <w:t>،</w:t>
      </w:r>
      <w:r w:rsidRPr="00282AC9">
        <w:rPr>
          <w:rFonts w:cs="DanaFajr"/>
          <w:sz w:val="28"/>
          <w:szCs w:val="28"/>
          <w:rtl/>
        </w:rPr>
        <w:t xml:space="preserve"> إذا كانت في موضعها المشروع، كما إذا منعها من الأمور التي يخاف عليها من الابتلاء بالحرام فيها، أو من نظر الأجانب إليها نظر شهوة وريبة</w:t>
      </w:r>
      <w:r w:rsidRPr="00282AC9">
        <w:rPr>
          <w:rFonts w:ascii="Simplified Arabic" w:hAnsi="Simplified Arabic"/>
          <w:sz w:val="22"/>
          <w:szCs w:val="22"/>
          <w:rtl/>
          <w:lang w:bidi="ar-LB"/>
        </w:rPr>
        <w:t>»</w:t>
      </w:r>
      <w:r w:rsidRPr="00282AC9">
        <w:rPr>
          <w:rFonts w:cs="DanaFajr"/>
          <w:sz w:val="28"/>
          <w:szCs w:val="28"/>
          <w:rtl/>
        </w:rPr>
        <w:t>.</w:t>
      </w:r>
    </w:p>
    <w:p w:rsidR="00C14EDE" w:rsidRPr="00282AC9" w:rsidRDefault="00C14EDE" w:rsidP="005C545C">
      <w:pPr>
        <w:pStyle w:val="af7"/>
        <w:spacing w:line="296" w:lineRule="exact"/>
        <w:ind w:firstLine="0"/>
        <w:rPr>
          <w:rFonts w:cs="DanaFajr"/>
          <w:sz w:val="28"/>
          <w:szCs w:val="28"/>
          <w:rtl/>
        </w:rPr>
      </w:pPr>
      <w:r w:rsidRPr="00282AC9">
        <w:rPr>
          <w:rFonts w:cs="DanaFajr"/>
          <w:sz w:val="28"/>
          <w:szCs w:val="28"/>
          <w:rtl/>
        </w:rPr>
        <w:t>كيف يترك مستحبّ لأجل فعل</w:t>
      </w:r>
      <w:r w:rsidRPr="00282AC9">
        <w:rPr>
          <w:rFonts w:cs="DanaFajr" w:hint="cs"/>
          <w:sz w:val="28"/>
          <w:szCs w:val="28"/>
          <w:rtl/>
        </w:rPr>
        <w:t>ٍ</w:t>
      </w:r>
      <w:r w:rsidRPr="00282AC9">
        <w:rPr>
          <w:rFonts w:cs="DanaFajr"/>
          <w:sz w:val="28"/>
          <w:szCs w:val="28"/>
          <w:rtl/>
        </w:rPr>
        <w:t xml:space="preserve"> غير جائز؟</w:t>
      </w:r>
      <w:r w:rsidRPr="00282AC9">
        <w:rPr>
          <w:rFonts w:cs="DanaFajr" w:hint="cs"/>
          <w:sz w:val="28"/>
          <w:szCs w:val="28"/>
          <w:rtl/>
        </w:rPr>
        <w:t>!</w:t>
      </w:r>
      <w:r w:rsidRPr="00282AC9">
        <w:rPr>
          <w:rFonts w:cs="DanaFajr"/>
          <w:sz w:val="28"/>
          <w:szCs w:val="28"/>
          <w:rtl/>
        </w:rPr>
        <w:t xml:space="preserve"> كما أنّه في كثير من فتاوى السيّد يذكر الأ</w:t>
      </w:r>
      <w:r w:rsidRPr="00282AC9">
        <w:rPr>
          <w:rFonts w:cs="DanaFajr" w:hint="cs"/>
          <w:sz w:val="28"/>
          <w:szCs w:val="28"/>
          <w:rtl/>
        </w:rPr>
        <w:t>َ</w:t>
      </w:r>
      <w:r w:rsidRPr="00282AC9">
        <w:rPr>
          <w:rFonts w:cs="DanaFajr"/>
          <w:sz w:val="28"/>
          <w:szCs w:val="28"/>
          <w:rtl/>
        </w:rPr>
        <w:t>و</w:t>
      </w:r>
      <w:r w:rsidRPr="00282AC9">
        <w:rPr>
          <w:rFonts w:cs="DanaFajr" w:hint="cs"/>
          <w:sz w:val="28"/>
          <w:szCs w:val="28"/>
          <w:rtl/>
        </w:rPr>
        <w:t>ْ</w:t>
      </w:r>
      <w:r w:rsidRPr="00282AC9">
        <w:rPr>
          <w:rFonts w:cs="DanaFajr"/>
          <w:sz w:val="28"/>
          <w:szCs w:val="28"/>
          <w:rtl/>
        </w:rPr>
        <w:t>لى الترك، وهنا ذكر الأ</w:t>
      </w:r>
      <w:r w:rsidRPr="00282AC9">
        <w:rPr>
          <w:rFonts w:cs="DanaFajr" w:hint="cs"/>
          <w:sz w:val="28"/>
          <w:szCs w:val="28"/>
          <w:rtl/>
        </w:rPr>
        <w:t>َ</w:t>
      </w:r>
      <w:r w:rsidRPr="00282AC9">
        <w:rPr>
          <w:rFonts w:cs="DanaFajr"/>
          <w:sz w:val="28"/>
          <w:szCs w:val="28"/>
          <w:rtl/>
        </w:rPr>
        <w:t>و</w:t>
      </w:r>
      <w:r w:rsidRPr="00282AC9">
        <w:rPr>
          <w:rFonts w:cs="DanaFajr" w:hint="cs"/>
          <w:sz w:val="28"/>
          <w:szCs w:val="28"/>
          <w:rtl/>
        </w:rPr>
        <w:t>ْ</w:t>
      </w:r>
      <w:r w:rsidRPr="00282AC9">
        <w:rPr>
          <w:rFonts w:cs="DanaFajr"/>
          <w:sz w:val="28"/>
          <w:szCs w:val="28"/>
          <w:rtl/>
        </w:rPr>
        <w:t>لى مراعاة، فلماذا لم يذكر الأ</w:t>
      </w:r>
      <w:r w:rsidRPr="00282AC9">
        <w:rPr>
          <w:rFonts w:cs="DanaFajr" w:hint="cs"/>
          <w:sz w:val="28"/>
          <w:szCs w:val="28"/>
          <w:rtl/>
        </w:rPr>
        <w:t>َ</w:t>
      </w:r>
      <w:r w:rsidRPr="00282AC9">
        <w:rPr>
          <w:rFonts w:cs="DanaFajr"/>
          <w:sz w:val="28"/>
          <w:szCs w:val="28"/>
          <w:rtl/>
        </w:rPr>
        <w:t>و</w:t>
      </w:r>
      <w:r w:rsidRPr="00282AC9">
        <w:rPr>
          <w:rFonts w:cs="DanaFajr" w:hint="cs"/>
          <w:sz w:val="28"/>
          <w:szCs w:val="28"/>
          <w:rtl/>
        </w:rPr>
        <w:t>ْ</w:t>
      </w:r>
      <w:r w:rsidRPr="00282AC9">
        <w:rPr>
          <w:rFonts w:cs="DanaFajr"/>
          <w:sz w:val="28"/>
          <w:szCs w:val="28"/>
          <w:rtl/>
        </w:rPr>
        <w:t>لى الترك؟</w:t>
      </w:r>
      <w:r w:rsidRPr="00282AC9">
        <w:rPr>
          <w:rFonts w:cs="DanaFajr" w:hint="cs"/>
          <w:sz w:val="28"/>
          <w:szCs w:val="28"/>
          <w:rtl/>
        </w:rPr>
        <w:t>!</w:t>
      </w:r>
    </w:p>
    <w:p w:rsidR="00C14EDE" w:rsidRPr="00282AC9" w:rsidRDefault="00C14EDE" w:rsidP="005C545C">
      <w:pPr>
        <w:pStyle w:val="af7"/>
        <w:spacing w:line="296" w:lineRule="exact"/>
        <w:ind w:firstLine="0"/>
        <w:rPr>
          <w:rFonts w:cs="DanaFajr"/>
          <w:sz w:val="28"/>
          <w:szCs w:val="28"/>
          <w:rtl/>
        </w:rPr>
      </w:pPr>
      <w:r w:rsidRPr="00282AC9">
        <w:rPr>
          <w:rFonts w:cs="DanaFajr"/>
          <w:b/>
          <w:bCs/>
          <w:sz w:val="28"/>
          <w:szCs w:val="28"/>
          <w:rtl/>
        </w:rPr>
        <w:t>الجواب</w:t>
      </w:r>
      <w:r w:rsidRPr="00282AC9">
        <w:rPr>
          <w:rFonts w:cs="DanaFajr"/>
          <w:sz w:val="28"/>
          <w:szCs w:val="28"/>
          <w:rtl/>
          <w:lang w:bidi="ar-LB"/>
        </w:rPr>
        <w:t>:</w:t>
      </w:r>
    </w:p>
    <w:p w:rsidR="00C14EDE" w:rsidRPr="00282AC9" w:rsidRDefault="00C14EDE" w:rsidP="005C545C">
      <w:pPr>
        <w:pStyle w:val="af7"/>
        <w:spacing w:line="296" w:lineRule="exact"/>
        <w:ind w:firstLine="0"/>
        <w:rPr>
          <w:rFonts w:cs="DanaFajr"/>
          <w:sz w:val="28"/>
          <w:szCs w:val="28"/>
          <w:lang w:bidi="ar-LB"/>
        </w:rPr>
      </w:pPr>
      <w:r w:rsidRPr="00282AC9">
        <w:rPr>
          <w:rFonts w:cs="DanaFajr"/>
          <w:b/>
          <w:bCs/>
          <w:sz w:val="28"/>
          <w:szCs w:val="28"/>
          <w:rtl/>
        </w:rPr>
        <w:t>أوّلاً</w:t>
      </w:r>
      <w:r w:rsidRPr="00282AC9">
        <w:rPr>
          <w:rFonts w:cs="DanaFajr"/>
          <w:sz w:val="28"/>
          <w:szCs w:val="28"/>
          <w:rtl/>
        </w:rPr>
        <w:t>: لم يثبت استحباب تعدّ</w:t>
      </w:r>
      <w:r w:rsidRPr="00282AC9">
        <w:rPr>
          <w:rFonts w:cs="DanaFajr" w:hint="cs"/>
          <w:sz w:val="28"/>
          <w:szCs w:val="28"/>
          <w:rtl/>
        </w:rPr>
        <w:t>ُ</w:t>
      </w:r>
      <w:r w:rsidRPr="00282AC9">
        <w:rPr>
          <w:rFonts w:cs="DanaFajr"/>
          <w:sz w:val="28"/>
          <w:szCs w:val="28"/>
          <w:rtl/>
        </w:rPr>
        <w:t>د الزواج، بل أصل الزواج من المستحبّات الأكيدة.</w:t>
      </w:r>
    </w:p>
    <w:p w:rsidR="00C14EDE" w:rsidRPr="00282AC9" w:rsidRDefault="00C14EDE" w:rsidP="005C545C">
      <w:pPr>
        <w:pStyle w:val="af7"/>
        <w:spacing w:line="296" w:lineRule="exact"/>
        <w:ind w:firstLine="0"/>
        <w:rPr>
          <w:rFonts w:cs="DanaFajr"/>
          <w:sz w:val="28"/>
          <w:szCs w:val="28"/>
          <w:rtl/>
        </w:rPr>
      </w:pPr>
      <w:r w:rsidRPr="00282AC9">
        <w:rPr>
          <w:rFonts w:cs="DanaFajr"/>
          <w:b/>
          <w:bCs/>
          <w:sz w:val="28"/>
          <w:szCs w:val="28"/>
          <w:rtl/>
        </w:rPr>
        <w:t>ثانياً</w:t>
      </w:r>
      <w:r w:rsidRPr="00282AC9">
        <w:rPr>
          <w:rFonts w:cs="DanaFajr"/>
          <w:sz w:val="28"/>
          <w:szCs w:val="28"/>
          <w:rtl/>
        </w:rPr>
        <w:t>: هناك عناوين أخرى مستحبّة قد تكون أهمّ من استحباب الزواج الثاني ـ على تقدير استحبابه ـ</w:t>
      </w:r>
      <w:r w:rsidRPr="00282AC9">
        <w:rPr>
          <w:rFonts w:cs="DanaFajr" w:hint="cs"/>
          <w:sz w:val="28"/>
          <w:szCs w:val="28"/>
          <w:rtl/>
        </w:rPr>
        <w:t>،</w:t>
      </w:r>
      <w:r w:rsidRPr="00282AC9">
        <w:rPr>
          <w:rFonts w:cs="DanaFajr"/>
          <w:sz w:val="28"/>
          <w:szCs w:val="28"/>
          <w:rtl/>
        </w:rPr>
        <w:t xml:space="preserve"> وهو المعاشرة بالمعروف مع الزوجة والأولاد</w:t>
      </w:r>
      <w:r w:rsidRPr="00282AC9">
        <w:rPr>
          <w:rFonts w:cs="DanaFajr" w:hint="cs"/>
          <w:sz w:val="28"/>
          <w:szCs w:val="28"/>
          <w:rtl/>
        </w:rPr>
        <w:t>؛</w:t>
      </w:r>
      <w:r w:rsidRPr="00282AC9">
        <w:rPr>
          <w:rFonts w:cs="DanaFajr"/>
          <w:sz w:val="28"/>
          <w:szCs w:val="28"/>
          <w:rtl/>
        </w:rPr>
        <w:t xml:space="preserve"> فإنّ هذا العنوان مستحبّ</w:t>
      </w:r>
      <w:r w:rsidRPr="00282AC9">
        <w:rPr>
          <w:rFonts w:cs="DanaFajr" w:hint="cs"/>
          <w:sz w:val="28"/>
          <w:szCs w:val="28"/>
          <w:rtl/>
        </w:rPr>
        <w:t>ٌ</w:t>
      </w:r>
      <w:r w:rsidRPr="00282AC9">
        <w:rPr>
          <w:rFonts w:cs="DanaFajr"/>
          <w:sz w:val="28"/>
          <w:szCs w:val="28"/>
          <w:rtl/>
        </w:rPr>
        <w:t xml:space="preserve"> من ق</w:t>
      </w:r>
      <w:r w:rsidRPr="00282AC9">
        <w:rPr>
          <w:rFonts w:cs="DanaFajr" w:hint="cs"/>
          <w:sz w:val="28"/>
          <w:szCs w:val="28"/>
          <w:rtl/>
        </w:rPr>
        <w:t>ِ</w:t>
      </w:r>
      <w:r w:rsidRPr="00282AC9">
        <w:rPr>
          <w:rFonts w:cs="DanaFajr"/>
          <w:sz w:val="28"/>
          <w:szCs w:val="28"/>
          <w:rtl/>
        </w:rPr>
        <w:t>ب</w:t>
      </w:r>
      <w:r w:rsidRPr="00282AC9">
        <w:rPr>
          <w:rFonts w:cs="DanaFajr" w:hint="cs"/>
          <w:sz w:val="28"/>
          <w:szCs w:val="28"/>
          <w:rtl/>
        </w:rPr>
        <w:t>َ</w:t>
      </w:r>
      <w:r w:rsidRPr="00282AC9">
        <w:rPr>
          <w:rFonts w:cs="DanaFajr"/>
          <w:sz w:val="28"/>
          <w:szCs w:val="28"/>
          <w:rtl/>
        </w:rPr>
        <w:t>ل الزوج، وإن</w:t>
      </w:r>
      <w:r w:rsidRPr="00282AC9">
        <w:rPr>
          <w:rFonts w:cs="DanaFajr" w:hint="cs"/>
          <w:sz w:val="28"/>
          <w:szCs w:val="28"/>
          <w:rtl/>
        </w:rPr>
        <w:t>ْ</w:t>
      </w:r>
      <w:r w:rsidRPr="00282AC9">
        <w:rPr>
          <w:rFonts w:cs="DanaFajr"/>
          <w:sz w:val="28"/>
          <w:szCs w:val="28"/>
          <w:rtl/>
        </w:rPr>
        <w:t xml:space="preserve"> كان يكره أو يحرم على الزوجة الغيرة، وإظهارها.</w:t>
      </w:r>
    </w:p>
    <w:p w:rsidR="00C14EDE" w:rsidRPr="00282AC9" w:rsidRDefault="00C14EDE" w:rsidP="005C545C">
      <w:pPr>
        <w:pStyle w:val="af7"/>
        <w:spacing w:line="296" w:lineRule="exact"/>
        <w:ind w:firstLine="0"/>
        <w:rPr>
          <w:rFonts w:cs="DanaFajr"/>
          <w:sz w:val="28"/>
          <w:szCs w:val="28"/>
          <w:rtl/>
        </w:rPr>
      </w:pPr>
      <w:r w:rsidRPr="00282AC9">
        <w:rPr>
          <w:rFonts w:cs="DanaFajr"/>
          <w:sz w:val="28"/>
          <w:szCs w:val="28"/>
          <w:rtl/>
        </w:rPr>
        <w:t>ولا ينبغي الخلط بين وظيفة الزوجة ووظيفة الزوج.</w:t>
      </w:r>
    </w:p>
    <w:p w:rsidR="00C14EDE" w:rsidRPr="00282AC9" w:rsidRDefault="00C14EDE" w:rsidP="005C545C">
      <w:pPr>
        <w:pStyle w:val="af7"/>
        <w:spacing w:line="296" w:lineRule="exact"/>
        <w:ind w:firstLine="0"/>
        <w:rPr>
          <w:rFonts w:cs="DanaFajr"/>
          <w:sz w:val="28"/>
          <w:szCs w:val="28"/>
          <w:rtl/>
        </w:rPr>
      </w:pPr>
      <w:r w:rsidRPr="00282AC9">
        <w:rPr>
          <w:rFonts w:cs="DanaFajr"/>
          <w:b/>
          <w:bCs/>
          <w:sz w:val="28"/>
          <w:szCs w:val="28"/>
          <w:rtl/>
        </w:rPr>
        <w:t>وثالثاً</w:t>
      </w:r>
      <w:r w:rsidRPr="00282AC9">
        <w:rPr>
          <w:rFonts w:cs="DanaFajr"/>
          <w:sz w:val="28"/>
          <w:szCs w:val="28"/>
          <w:rtl/>
        </w:rPr>
        <w:t xml:space="preserve">: ذكر السيّد حفظه الله </w:t>
      </w:r>
      <w:r w:rsidRPr="00282AC9">
        <w:rPr>
          <w:rFonts w:cs="DanaFajr" w:hint="cs"/>
          <w:sz w:val="28"/>
          <w:szCs w:val="28"/>
          <w:rtl/>
        </w:rPr>
        <w:t>أ</w:t>
      </w:r>
      <w:r w:rsidRPr="00282AC9">
        <w:rPr>
          <w:rFonts w:cs="DanaFajr"/>
          <w:sz w:val="28"/>
          <w:szCs w:val="28"/>
          <w:rtl/>
        </w:rPr>
        <w:t>نّ الأنسب مراعاة مشاعر الزوجة، وليس معنى ذلك الاستحباب الشرعي</w:t>
      </w:r>
      <w:r w:rsidRPr="00282AC9">
        <w:rPr>
          <w:rFonts w:cs="DanaFajr" w:hint="cs"/>
          <w:sz w:val="28"/>
          <w:szCs w:val="28"/>
          <w:rtl/>
        </w:rPr>
        <w:t>ّ،</w:t>
      </w:r>
      <w:r w:rsidRPr="00282AC9">
        <w:rPr>
          <w:rFonts w:cs="DanaFajr"/>
          <w:sz w:val="28"/>
          <w:szCs w:val="28"/>
          <w:rtl/>
        </w:rPr>
        <w:t xml:space="preserve"> بل هو مستحسن</w:t>
      </w:r>
      <w:r w:rsidRPr="00282AC9">
        <w:rPr>
          <w:rFonts w:cs="DanaFajr" w:hint="cs"/>
          <w:sz w:val="28"/>
          <w:szCs w:val="28"/>
          <w:rtl/>
        </w:rPr>
        <w:t>ٌ</w:t>
      </w:r>
      <w:r w:rsidRPr="00282AC9">
        <w:rPr>
          <w:rFonts w:cs="DanaFajr"/>
          <w:sz w:val="28"/>
          <w:szCs w:val="28"/>
          <w:rtl/>
        </w:rPr>
        <w:t xml:space="preserve"> أخلاقاً وع</w:t>
      </w:r>
      <w:r w:rsidRPr="00282AC9">
        <w:rPr>
          <w:rFonts w:cs="DanaFajr" w:hint="cs"/>
          <w:sz w:val="28"/>
          <w:szCs w:val="28"/>
          <w:rtl/>
        </w:rPr>
        <w:t>ُ</w:t>
      </w:r>
      <w:r w:rsidRPr="00282AC9">
        <w:rPr>
          <w:rFonts w:cs="DanaFajr"/>
          <w:sz w:val="28"/>
          <w:szCs w:val="28"/>
          <w:rtl/>
        </w:rPr>
        <w:t>ر</w:t>
      </w:r>
      <w:r w:rsidRPr="00282AC9">
        <w:rPr>
          <w:rFonts w:cs="DanaFajr" w:hint="cs"/>
          <w:sz w:val="28"/>
          <w:szCs w:val="28"/>
          <w:rtl/>
        </w:rPr>
        <w:t>ْ</w:t>
      </w:r>
      <w:r w:rsidRPr="00282AC9">
        <w:rPr>
          <w:rFonts w:cs="DanaFajr"/>
          <w:sz w:val="28"/>
          <w:szCs w:val="28"/>
          <w:rtl/>
        </w:rPr>
        <w:t>فاً وع</w:t>
      </w:r>
      <w:r w:rsidRPr="00282AC9">
        <w:rPr>
          <w:rFonts w:cs="DanaFajr" w:hint="cs"/>
          <w:sz w:val="28"/>
          <w:szCs w:val="28"/>
          <w:rtl/>
        </w:rPr>
        <w:t>َ</w:t>
      </w:r>
      <w:r w:rsidRPr="00282AC9">
        <w:rPr>
          <w:rFonts w:cs="DanaFajr"/>
          <w:sz w:val="28"/>
          <w:szCs w:val="28"/>
          <w:rtl/>
        </w:rPr>
        <w:t>ق</w:t>
      </w:r>
      <w:r w:rsidRPr="00282AC9">
        <w:rPr>
          <w:rFonts w:cs="DanaFajr" w:hint="cs"/>
          <w:sz w:val="28"/>
          <w:szCs w:val="28"/>
          <w:rtl/>
        </w:rPr>
        <w:t>ْ</w:t>
      </w:r>
      <w:r w:rsidRPr="00282AC9">
        <w:rPr>
          <w:rFonts w:cs="DanaFajr"/>
          <w:sz w:val="28"/>
          <w:szCs w:val="28"/>
          <w:rtl/>
        </w:rPr>
        <w:t>لاً.</w:t>
      </w:r>
    </w:p>
    <w:p w:rsidR="00C14EDE" w:rsidRPr="00282AC9" w:rsidRDefault="00C14EDE" w:rsidP="005C545C">
      <w:pPr>
        <w:pStyle w:val="af7"/>
        <w:spacing w:line="296" w:lineRule="exact"/>
        <w:ind w:firstLine="0"/>
        <w:rPr>
          <w:rFonts w:cs="DanaFajr"/>
          <w:sz w:val="28"/>
          <w:szCs w:val="28"/>
          <w:rtl/>
        </w:rPr>
      </w:pPr>
      <w:r w:rsidRPr="00282AC9">
        <w:rPr>
          <w:rFonts w:cs="DanaFajr"/>
          <w:sz w:val="28"/>
          <w:szCs w:val="28"/>
          <w:rtl/>
        </w:rPr>
        <w:t>ظهر وجه التعبير بالمناسب</w:t>
      </w:r>
      <w:r w:rsidRPr="00282AC9">
        <w:rPr>
          <w:rFonts w:cs="DanaFajr" w:hint="cs"/>
          <w:sz w:val="28"/>
          <w:szCs w:val="28"/>
          <w:rtl/>
        </w:rPr>
        <w:t>،</w:t>
      </w:r>
      <w:r w:rsidRPr="00282AC9">
        <w:rPr>
          <w:rFonts w:cs="DanaFajr"/>
          <w:sz w:val="28"/>
          <w:szCs w:val="28"/>
          <w:rtl/>
        </w:rPr>
        <w:t xml:space="preserve"> حيث إنّ هذا اللفظ لا يعني الاستحباب الشرعيّ</w:t>
      </w:r>
      <w:r w:rsidRPr="00282AC9">
        <w:rPr>
          <w:rFonts w:cs="DanaFajr" w:hint="cs"/>
          <w:sz w:val="28"/>
          <w:szCs w:val="28"/>
          <w:rtl/>
        </w:rPr>
        <w:t>،</w:t>
      </w:r>
      <w:r w:rsidRPr="00282AC9">
        <w:rPr>
          <w:rFonts w:cs="DanaFajr"/>
          <w:sz w:val="28"/>
          <w:szCs w:val="28"/>
          <w:rtl/>
        </w:rPr>
        <w:t xml:space="preserve"> والأولويّة الشرعيّة، بل يدلّ على الح</w:t>
      </w:r>
      <w:r w:rsidRPr="00282AC9">
        <w:rPr>
          <w:rFonts w:cs="DanaFajr" w:hint="cs"/>
          <w:sz w:val="28"/>
          <w:szCs w:val="28"/>
          <w:rtl/>
        </w:rPr>
        <w:t>ُ</w:t>
      </w:r>
      <w:r w:rsidRPr="00282AC9">
        <w:rPr>
          <w:rFonts w:cs="DanaFajr"/>
          <w:sz w:val="28"/>
          <w:szCs w:val="28"/>
          <w:rtl/>
        </w:rPr>
        <w:t>س</w:t>
      </w:r>
      <w:r w:rsidRPr="00282AC9">
        <w:rPr>
          <w:rFonts w:cs="DanaFajr" w:hint="cs"/>
          <w:sz w:val="28"/>
          <w:szCs w:val="28"/>
          <w:rtl/>
        </w:rPr>
        <w:t>ْ</w:t>
      </w:r>
      <w:r w:rsidRPr="00282AC9">
        <w:rPr>
          <w:rFonts w:cs="DanaFajr"/>
          <w:sz w:val="28"/>
          <w:szCs w:val="28"/>
          <w:rtl/>
        </w:rPr>
        <w:t>ن العقلي أو الع</w:t>
      </w:r>
      <w:r w:rsidRPr="00282AC9">
        <w:rPr>
          <w:rFonts w:cs="DanaFajr" w:hint="cs"/>
          <w:sz w:val="28"/>
          <w:szCs w:val="28"/>
          <w:rtl/>
        </w:rPr>
        <w:t>ُ</w:t>
      </w:r>
      <w:r w:rsidRPr="00282AC9">
        <w:rPr>
          <w:rFonts w:cs="DanaFajr"/>
          <w:sz w:val="28"/>
          <w:szCs w:val="28"/>
          <w:rtl/>
        </w:rPr>
        <w:t>ر</w:t>
      </w:r>
      <w:r w:rsidRPr="00282AC9">
        <w:rPr>
          <w:rFonts w:cs="DanaFajr" w:hint="cs"/>
          <w:sz w:val="28"/>
          <w:szCs w:val="28"/>
          <w:rtl/>
        </w:rPr>
        <w:t>ْ</w:t>
      </w:r>
      <w:r w:rsidRPr="00282AC9">
        <w:rPr>
          <w:rFonts w:cs="DanaFajr"/>
          <w:sz w:val="28"/>
          <w:szCs w:val="28"/>
          <w:rtl/>
        </w:rPr>
        <w:t>في</w:t>
      </w:r>
      <w:r w:rsidRPr="00282AC9">
        <w:rPr>
          <w:rFonts w:cs="DanaFajr" w:hint="cs"/>
          <w:sz w:val="28"/>
          <w:szCs w:val="28"/>
          <w:rtl/>
        </w:rPr>
        <w:t>.</w:t>
      </w:r>
      <w:r w:rsidRPr="00282AC9">
        <w:rPr>
          <w:rFonts w:cs="DanaFajr"/>
          <w:sz w:val="28"/>
          <w:szCs w:val="28"/>
          <w:rtl/>
        </w:rPr>
        <w:t xml:space="preserve"> فإذا أراد أن يعيش حياة</w:t>
      </w:r>
      <w:r w:rsidRPr="00282AC9">
        <w:rPr>
          <w:rFonts w:cs="DanaFajr" w:hint="cs"/>
          <w:sz w:val="28"/>
          <w:szCs w:val="28"/>
          <w:rtl/>
        </w:rPr>
        <w:t>ً</w:t>
      </w:r>
      <w:r w:rsidRPr="00282AC9">
        <w:rPr>
          <w:rFonts w:cs="DanaFajr"/>
          <w:sz w:val="28"/>
          <w:szCs w:val="28"/>
          <w:rtl/>
        </w:rPr>
        <w:t xml:space="preserve"> رغيدة</w:t>
      </w:r>
      <w:r w:rsidRPr="00282AC9">
        <w:rPr>
          <w:rFonts w:cs="DanaFajr" w:hint="cs"/>
          <w:sz w:val="28"/>
          <w:szCs w:val="28"/>
          <w:rtl/>
        </w:rPr>
        <w:t>،</w:t>
      </w:r>
      <w:r w:rsidRPr="00282AC9">
        <w:rPr>
          <w:rFonts w:cs="DanaFajr"/>
          <w:sz w:val="28"/>
          <w:szCs w:val="28"/>
          <w:rtl/>
        </w:rPr>
        <w:t xml:space="preserve"> لا إزعاج فيها</w:t>
      </w:r>
      <w:r w:rsidRPr="00282AC9">
        <w:rPr>
          <w:rFonts w:cs="DanaFajr" w:hint="cs"/>
          <w:sz w:val="28"/>
          <w:szCs w:val="28"/>
          <w:rtl/>
        </w:rPr>
        <w:t>،</w:t>
      </w:r>
      <w:r w:rsidRPr="00282AC9">
        <w:rPr>
          <w:rFonts w:cs="DanaFajr"/>
          <w:sz w:val="28"/>
          <w:szCs w:val="28"/>
          <w:rtl/>
        </w:rPr>
        <w:t xml:space="preserve"> فلي</w:t>
      </w:r>
      <w:r w:rsidRPr="00282AC9">
        <w:rPr>
          <w:rFonts w:cs="DanaFajr" w:hint="cs"/>
          <w:sz w:val="28"/>
          <w:szCs w:val="28"/>
          <w:rtl/>
        </w:rPr>
        <w:t>ُ</w:t>
      </w:r>
      <w:r w:rsidRPr="00282AC9">
        <w:rPr>
          <w:rFonts w:cs="DanaFajr"/>
          <w:sz w:val="28"/>
          <w:szCs w:val="28"/>
          <w:rtl/>
        </w:rPr>
        <w:t>راع</w:t>
      </w:r>
      <w:r w:rsidRPr="00282AC9">
        <w:rPr>
          <w:rFonts w:cs="DanaFajr" w:hint="cs"/>
          <w:sz w:val="28"/>
          <w:szCs w:val="28"/>
          <w:rtl/>
        </w:rPr>
        <w:t>ِ</w:t>
      </w:r>
      <w:r w:rsidRPr="00282AC9">
        <w:rPr>
          <w:rFonts w:cs="DanaFajr"/>
          <w:sz w:val="28"/>
          <w:szCs w:val="28"/>
          <w:rtl/>
        </w:rPr>
        <w:t xml:space="preserve"> مشاعر الزوجة الأولى والأولاد</w:t>
      </w:r>
      <w:r w:rsidRPr="00282AC9">
        <w:rPr>
          <w:rFonts w:cs="DanaFajr" w:hint="cs"/>
          <w:sz w:val="28"/>
          <w:szCs w:val="28"/>
          <w:rtl/>
        </w:rPr>
        <w:t>.</w:t>
      </w:r>
      <w:r w:rsidRPr="00282AC9">
        <w:rPr>
          <w:rFonts w:cs="DanaFajr"/>
          <w:sz w:val="28"/>
          <w:szCs w:val="28"/>
          <w:rtl/>
        </w:rPr>
        <w:t xml:space="preserve"> ومن المعلوم أن فعل المستحبّ ليس واجباً وضروريّاً</w:t>
      </w:r>
      <w:r w:rsidRPr="00282AC9">
        <w:rPr>
          <w:rFonts w:cs="DanaFajr" w:hint="cs"/>
          <w:sz w:val="28"/>
          <w:szCs w:val="28"/>
          <w:rtl/>
        </w:rPr>
        <w:t>،</w:t>
      </w:r>
      <w:r w:rsidRPr="00282AC9">
        <w:rPr>
          <w:rFonts w:cs="DanaFajr"/>
          <w:sz w:val="28"/>
          <w:szCs w:val="28"/>
          <w:rtl/>
        </w:rPr>
        <w:t xml:space="preserve"> على تقدير استحبابه.</w:t>
      </w:r>
    </w:p>
  </w:endnote>
  <w:endnote w:id="797">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الطوسي، الخلاف</w:t>
      </w:r>
      <w:r w:rsidRPr="00282AC9">
        <w:rPr>
          <w:rFonts w:cs="DanaFajr"/>
          <w:sz w:val="28"/>
          <w:szCs w:val="28"/>
          <w:rtl/>
        </w:rPr>
        <w:t xml:space="preserve"> 4</w:t>
      </w:r>
      <w:r w:rsidRPr="00282AC9">
        <w:rPr>
          <w:rFonts w:cs="DanaFajr" w:hint="cs"/>
          <w:sz w:val="28"/>
          <w:szCs w:val="28"/>
          <w:rtl/>
        </w:rPr>
        <w:t>: 246</w:t>
      </w:r>
      <w:r w:rsidRPr="00282AC9">
        <w:rPr>
          <w:rFonts w:cs="DanaFajr" w:hint="cs"/>
          <w:sz w:val="28"/>
          <w:szCs w:val="28"/>
          <w:rtl/>
          <w:lang w:bidi="ar-LB"/>
        </w:rPr>
        <w:t>.</w:t>
      </w:r>
    </w:p>
  </w:endnote>
  <w:endnote w:id="798">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السيد</w:t>
      </w:r>
      <w:r w:rsidRPr="00282AC9">
        <w:rPr>
          <w:rFonts w:cs="DanaFajr"/>
          <w:sz w:val="28"/>
          <w:szCs w:val="28"/>
          <w:rtl/>
        </w:rPr>
        <w:t xml:space="preserve"> </w:t>
      </w:r>
      <w:r w:rsidRPr="00282AC9">
        <w:rPr>
          <w:rFonts w:cs="DanaFajr" w:hint="cs"/>
          <w:sz w:val="28"/>
          <w:szCs w:val="28"/>
          <w:rtl/>
        </w:rPr>
        <w:t>محسن</w:t>
      </w:r>
      <w:r w:rsidRPr="00282AC9">
        <w:rPr>
          <w:rFonts w:cs="DanaFajr"/>
          <w:sz w:val="28"/>
          <w:szCs w:val="28"/>
          <w:rtl/>
        </w:rPr>
        <w:t xml:space="preserve"> </w:t>
      </w:r>
      <w:r w:rsidRPr="00282AC9">
        <w:rPr>
          <w:rFonts w:cs="DanaFajr" w:hint="cs"/>
          <w:sz w:val="28"/>
          <w:szCs w:val="28"/>
          <w:rtl/>
        </w:rPr>
        <w:t>الحكيم، مستمسك</w:t>
      </w:r>
      <w:r w:rsidRPr="00282AC9">
        <w:rPr>
          <w:rFonts w:cs="DanaFajr"/>
          <w:sz w:val="28"/>
          <w:szCs w:val="28"/>
          <w:rtl/>
        </w:rPr>
        <w:t xml:space="preserve"> </w:t>
      </w:r>
      <w:r w:rsidRPr="00282AC9">
        <w:rPr>
          <w:rFonts w:cs="DanaFajr" w:hint="cs"/>
          <w:sz w:val="28"/>
          <w:szCs w:val="28"/>
          <w:rtl/>
        </w:rPr>
        <w:t>العروة</w:t>
      </w:r>
      <w:r w:rsidRPr="00282AC9">
        <w:rPr>
          <w:rFonts w:cs="DanaFajr"/>
          <w:sz w:val="28"/>
          <w:szCs w:val="28"/>
          <w:rtl/>
        </w:rPr>
        <w:t xml:space="preserve"> 14</w:t>
      </w:r>
      <w:r w:rsidRPr="00282AC9">
        <w:rPr>
          <w:rFonts w:cs="DanaFajr" w:hint="cs"/>
          <w:sz w:val="28"/>
          <w:szCs w:val="28"/>
          <w:rtl/>
        </w:rPr>
        <w:t>: 5.</w:t>
      </w:r>
    </w:p>
  </w:endnote>
  <w:endnote w:id="799">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السيد</w:t>
      </w:r>
      <w:r w:rsidRPr="00282AC9">
        <w:rPr>
          <w:rFonts w:cs="DanaFajr"/>
          <w:sz w:val="28"/>
          <w:szCs w:val="28"/>
          <w:rtl/>
        </w:rPr>
        <w:t xml:space="preserve"> </w:t>
      </w:r>
      <w:r w:rsidRPr="00282AC9">
        <w:rPr>
          <w:rFonts w:cs="DanaFajr" w:hint="cs"/>
          <w:sz w:val="28"/>
          <w:szCs w:val="28"/>
          <w:rtl/>
        </w:rPr>
        <w:t>اليزدي (مع تعليقات عدد من الفقهاء)، العروة</w:t>
      </w:r>
      <w:r w:rsidRPr="00282AC9">
        <w:rPr>
          <w:rFonts w:cs="DanaFajr"/>
          <w:sz w:val="28"/>
          <w:szCs w:val="28"/>
          <w:rtl/>
        </w:rPr>
        <w:t xml:space="preserve"> </w:t>
      </w:r>
      <w:r w:rsidRPr="00282AC9">
        <w:rPr>
          <w:rFonts w:cs="DanaFajr" w:hint="cs"/>
          <w:sz w:val="28"/>
          <w:szCs w:val="28"/>
          <w:rtl/>
        </w:rPr>
        <w:t xml:space="preserve">الوثقى </w:t>
      </w:r>
      <w:r w:rsidRPr="00282AC9">
        <w:rPr>
          <w:rFonts w:cs="DanaFajr"/>
          <w:sz w:val="28"/>
          <w:szCs w:val="28"/>
          <w:rtl/>
        </w:rPr>
        <w:t>5</w:t>
      </w:r>
      <w:r w:rsidRPr="00282AC9">
        <w:rPr>
          <w:rFonts w:cs="DanaFajr" w:hint="cs"/>
          <w:sz w:val="28"/>
          <w:szCs w:val="28"/>
          <w:rtl/>
        </w:rPr>
        <w:t>: 475</w:t>
      </w:r>
      <w:r w:rsidRPr="00282AC9">
        <w:rPr>
          <w:rFonts w:cs="DanaFajr" w:hint="cs"/>
          <w:sz w:val="28"/>
          <w:szCs w:val="28"/>
          <w:rtl/>
          <w:lang w:bidi="ar-LB"/>
        </w:rPr>
        <w:t>.</w:t>
      </w:r>
    </w:p>
  </w:endnote>
  <w:endnote w:id="800">
    <w:p w:rsidR="00C14EDE" w:rsidRPr="00282AC9" w:rsidRDefault="00C14EDE" w:rsidP="005C545C">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محمد</w:t>
      </w:r>
      <w:r w:rsidRPr="00282AC9">
        <w:rPr>
          <w:rFonts w:cs="DanaFajr"/>
          <w:sz w:val="28"/>
          <w:szCs w:val="28"/>
          <w:rtl/>
        </w:rPr>
        <w:t xml:space="preserve"> </w:t>
      </w:r>
      <w:r w:rsidRPr="00282AC9">
        <w:rPr>
          <w:rFonts w:cs="DanaFajr" w:hint="cs"/>
          <w:sz w:val="28"/>
          <w:szCs w:val="28"/>
          <w:rtl/>
        </w:rPr>
        <w:t>تقي</w:t>
      </w:r>
      <w:r w:rsidRPr="00282AC9">
        <w:rPr>
          <w:rFonts w:cs="DanaFajr"/>
          <w:sz w:val="28"/>
          <w:szCs w:val="28"/>
          <w:rtl/>
        </w:rPr>
        <w:t xml:space="preserve"> </w:t>
      </w:r>
      <w:r w:rsidRPr="00282AC9">
        <w:rPr>
          <w:rFonts w:cs="DanaFajr" w:hint="cs"/>
          <w:sz w:val="28"/>
          <w:szCs w:val="28"/>
          <w:rtl/>
        </w:rPr>
        <w:t>الخوئي، شرح</w:t>
      </w:r>
      <w:r w:rsidRPr="00282AC9">
        <w:rPr>
          <w:rFonts w:cs="DanaFajr"/>
          <w:sz w:val="28"/>
          <w:szCs w:val="28"/>
          <w:rtl/>
        </w:rPr>
        <w:t xml:space="preserve"> </w:t>
      </w:r>
      <w:r w:rsidRPr="00282AC9">
        <w:rPr>
          <w:rFonts w:cs="DanaFajr" w:hint="cs"/>
          <w:sz w:val="28"/>
          <w:szCs w:val="28"/>
          <w:rtl/>
        </w:rPr>
        <w:t>العروة</w:t>
      </w:r>
      <w:r w:rsidRPr="00282AC9">
        <w:rPr>
          <w:rFonts w:cs="DanaFajr"/>
          <w:sz w:val="28"/>
          <w:szCs w:val="28"/>
          <w:rtl/>
        </w:rPr>
        <w:t xml:space="preserve"> </w:t>
      </w:r>
      <w:r w:rsidRPr="00282AC9">
        <w:rPr>
          <w:rFonts w:cs="DanaFajr" w:hint="cs"/>
          <w:sz w:val="28"/>
          <w:szCs w:val="28"/>
          <w:rtl/>
        </w:rPr>
        <w:t>الوثقى (النكاح) ـ تقرير</w:t>
      </w:r>
      <w:r w:rsidRPr="00282AC9">
        <w:rPr>
          <w:rFonts w:cs="DanaFajr"/>
          <w:sz w:val="28"/>
          <w:szCs w:val="28"/>
          <w:rtl/>
        </w:rPr>
        <w:t xml:space="preserve"> </w:t>
      </w:r>
      <w:r w:rsidRPr="00282AC9">
        <w:rPr>
          <w:rFonts w:cs="DanaFajr" w:hint="cs"/>
          <w:sz w:val="28"/>
          <w:szCs w:val="28"/>
          <w:rtl/>
        </w:rPr>
        <w:t>بحث</w:t>
      </w:r>
      <w:r w:rsidRPr="00282AC9">
        <w:rPr>
          <w:rFonts w:cs="DanaFajr"/>
          <w:sz w:val="28"/>
          <w:szCs w:val="28"/>
          <w:rtl/>
        </w:rPr>
        <w:t xml:space="preserve"> </w:t>
      </w:r>
      <w:r w:rsidRPr="00282AC9">
        <w:rPr>
          <w:rFonts w:cs="DanaFajr" w:hint="cs"/>
          <w:sz w:val="28"/>
          <w:szCs w:val="28"/>
          <w:rtl/>
        </w:rPr>
        <w:t>السيد</w:t>
      </w:r>
      <w:r w:rsidRPr="00282AC9">
        <w:rPr>
          <w:rFonts w:cs="DanaFajr"/>
          <w:sz w:val="28"/>
          <w:szCs w:val="28"/>
          <w:rtl/>
        </w:rPr>
        <w:t xml:space="preserve"> </w:t>
      </w:r>
      <w:r w:rsidRPr="00282AC9">
        <w:rPr>
          <w:rFonts w:cs="DanaFajr" w:hint="cs"/>
          <w:sz w:val="28"/>
          <w:szCs w:val="28"/>
          <w:rtl/>
        </w:rPr>
        <w:t>الخوئي</w:t>
      </w:r>
      <w:r w:rsidRPr="00282AC9">
        <w:rPr>
          <w:rFonts w:cs="DanaFajr"/>
          <w:sz w:val="28"/>
          <w:szCs w:val="28"/>
          <w:rtl/>
        </w:rPr>
        <w:t xml:space="preserve"> (</w:t>
      </w:r>
      <w:r w:rsidRPr="00282AC9">
        <w:rPr>
          <w:rFonts w:cs="DanaFajr" w:hint="cs"/>
          <w:sz w:val="28"/>
          <w:szCs w:val="28"/>
          <w:rtl/>
        </w:rPr>
        <w:t>موسوعة</w:t>
      </w:r>
      <w:r w:rsidRPr="00282AC9">
        <w:rPr>
          <w:rFonts w:cs="DanaFajr"/>
          <w:sz w:val="28"/>
          <w:szCs w:val="28"/>
          <w:rtl/>
        </w:rPr>
        <w:t xml:space="preserve"> </w:t>
      </w:r>
      <w:r w:rsidRPr="00282AC9">
        <w:rPr>
          <w:rFonts w:cs="DanaFajr" w:hint="cs"/>
          <w:sz w:val="28"/>
          <w:szCs w:val="28"/>
          <w:rtl/>
        </w:rPr>
        <w:t>الإمام</w:t>
      </w:r>
      <w:r w:rsidRPr="00282AC9">
        <w:rPr>
          <w:rFonts w:cs="DanaFajr"/>
          <w:sz w:val="28"/>
          <w:szCs w:val="28"/>
          <w:rtl/>
        </w:rPr>
        <w:t xml:space="preserve"> </w:t>
      </w:r>
      <w:r w:rsidRPr="00282AC9">
        <w:rPr>
          <w:rFonts w:cs="DanaFajr" w:hint="cs"/>
          <w:sz w:val="28"/>
          <w:szCs w:val="28"/>
          <w:rtl/>
        </w:rPr>
        <w:t>الخوئي</w:t>
      </w:r>
      <w:r w:rsidRPr="00282AC9">
        <w:rPr>
          <w:rFonts w:cs="DanaFajr"/>
          <w:sz w:val="28"/>
          <w:szCs w:val="28"/>
          <w:rtl/>
        </w:rPr>
        <w:t xml:space="preserve">)، </w:t>
      </w:r>
      <w:r w:rsidRPr="00282AC9">
        <w:rPr>
          <w:rFonts w:cs="DanaFajr" w:hint="cs"/>
          <w:sz w:val="28"/>
          <w:szCs w:val="28"/>
          <w:rtl/>
        </w:rPr>
        <w:t>ج</w:t>
      </w:r>
      <w:r w:rsidRPr="00282AC9">
        <w:rPr>
          <w:rFonts w:cs="DanaFajr"/>
          <w:sz w:val="28"/>
          <w:szCs w:val="28"/>
          <w:rtl/>
        </w:rPr>
        <w:t>32</w:t>
      </w:r>
      <w:r w:rsidRPr="00282AC9">
        <w:rPr>
          <w:rFonts w:cs="DanaFajr" w:hint="cs"/>
          <w:sz w:val="28"/>
          <w:szCs w:val="28"/>
          <w:rtl/>
        </w:rPr>
        <w:t>.</w:t>
      </w:r>
      <w:r w:rsidRPr="00282AC9">
        <w:rPr>
          <w:rFonts w:cs="DanaFajr"/>
          <w:sz w:val="28"/>
          <w:szCs w:val="28"/>
          <w:rtl/>
        </w:rPr>
        <w:t xml:space="preserve"> </w:t>
      </w:r>
    </w:p>
  </w:endnote>
  <w:endnote w:id="801">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الجواهري، جواهر</w:t>
      </w:r>
      <w:r w:rsidRPr="00282AC9">
        <w:rPr>
          <w:rFonts w:cs="DanaFajr"/>
          <w:sz w:val="28"/>
          <w:szCs w:val="28"/>
          <w:rtl/>
        </w:rPr>
        <w:t xml:space="preserve"> </w:t>
      </w:r>
      <w:r w:rsidRPr="00282AC9">
        <w:rPr>
          <w:rFonts w:cs="DanaFajr" w:hint="cs"/>
          <w:sz w:val="28"/>
          <w:szCs w:val="28"/>
          <w:rtl/>
        </w:rPr>
        <w:t>الكلام</w:t>
      </w:r>
      <w:r w:rsidRPr="00282AC9">
        <w:rPr>
          <w:rFonts w:cs="DanaFajr"/>
          <w:sz w:val="28"/>
          <w:szCs w:val="28"/>
          <w:rtl/>
        </w:rPr>
        <w:t xml:space="preserve"> 29</w:t>
      </w:r>
      <w:r w:rsidRPr="00282AC9">
        <w:rPr>
          <w:rFonts w:cs="DanaFajr" w:hint="cs"/>
          <w:sz w:val="28"/>
          <w:szCs w:val="28"/>
          <w:rtl/>
        </w:rPr>
        <w:t>: 10.</w:t>
      </w:r>
      <w:r w:rsidRPr="00282AC9">
        <w:rPr>
          <w:rFonts w:cs="DanaFajr"/>
          <w:sz w:val="28"/>
          <w:szCs w:val="28"/>
          <w:rtl/>
        </w:rPr>
        <w:t xml:space="preserve"> </w:t>
      </w:r>
    </w:p>
  </w:endnote>
  <w:endnote w:id="802">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hint="cs"/>
          <w:sz w:val="28"/>
          <w:szCs w:val="28"/>
          <w:rtl/>
        </w:rPr>
        <w:t>المصدر السابق</w:t>
      </w:r>
      <w:r w:rsidRPr="00282AC9">
        <w:rPr>
          <w:rFonts w:cs="DanaFajr"/>
          <w:sz w:val="28"/>
          <w:szCs w:val="28"/>
          <w:rtl/>
        </w:rPr>
        <w:t xml:space="preserve"> 30</w:t>
      </w:r>
      <w:r w:rsidRPr="00282AC9">
        <w:rPr>
          <w:rFonts w:cs="DanaFajr" w:hint="cs"/>
          <w:sz w:val="28"/>
          <w:szCs w:val="28"/>
          <w:rtl/>
        </w:rPr>
        <w:t>: 7.</w:t>
      </w:r>
      <w:r w:rsidRPr="00282AC9">
        <w:rPr>
          <w:rFonts w:cs="DanaFajr"/>
          <w:sz w:val="28"/>
          <w:szCs w:val="28"/>
          <w:rtl/>
        </w:rPr>
        <w:t xml:space="preserve"> </w:t>
      </w:r>
    </w:p>
  </w:endnote>
  <w:endnote w:id="803">
    <w:p w:rsidR="00C14EDE" w:rsidRPr="00282AC9" w:rsidRDefault="00C14EDE" w:rsidP="005C545C">
      <w:pPr>
        <w:pStyle w:val="af7"/>
        <w:spacing w:line="296" w:lineRule="exact"/>
        <w:ind w:firstLine="0"/>
        <w:rPr>
          <w:rFonts w:cs="DanaFajr"/>
          <w:sz w:val="28"/>
          <w:szCs w:val="28"/>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hint="cs"/>
          <w:sz w:val="28"/>
          <w:szCs w:val="28"/>
          <w:rtl/>
        </w:rPr>
        <w:t xml:space="preserve">الحُرّ العاملي، وسائل الشيعة </w:t>
      </w:r>
      <w:r w:rsidRPr="00282AC9">
        <w:rPr>
          <w:rFonts w:cs="DanaFajr"/>
          <w:sz w:val="28"/>
          <w:szCs w:val="28"/>
          <w:rtl/>
        </w:rPr>
        <w:t>(</w:t>
      </w:r>
      <w:r w:rsidRPr="00282AC9">
        <w:rPr>
          <w:rFonts w:cs="DanaFajr" w:hint="cs"/>
          <w:sz w:val="28"/>
          <w:szCs w:val="28"/>
          <w:rtl/>
        </w:rPr>
        <w:t>طبعة آل</w:t>
      </w:r>
      <w:r w:rsidRPr="00282AC9">
        <w:rPr>
          <w:rFonts w:cs="DanaFajr"/>
          <w:sz w:val="28"/>
          <w:szCs w:val="28"/>
          <w:rtl/>
        </w:rPr>
        <w:t xml:space="preserve"> </w:t>
      </w:r>
      <w:r w:rsidRPr="00282AC9">
        <w:rPr>
          <w:rFonts w:cs="DanaFajr" w:hint="cs"/>
          <w:sz w:val="28"/>
          <w:szCs w:val="28"/>
          <w:rtl/>
        </w:rPr>
        <w:t>البيت</w:t>
      </w:r>
      <w:r w:rsidRPr="00282AC9">
        <w:rPr>
          <w:rFonts w:cs="DanaFajr"/>
          <w:sz w:val="28"/>
          <w:szCs w:val="28"/>
          <w:rtl/>
        </w:rPr>
        <w:t xml:space="preserve">)، </w:t>
      </w:r>
      <w:r w:rsidRPr="00282AC9">
        <w:rPr>
          <w:rFonts w:cs="DanaFajr" w:hint="cs"/>
          <w:sz w:val="28"/>
          <w:szCs w:val="28"/>
          <w:rtl/>
        </w:rPr>
        <w:t>ج</w:t>
      </w:r>
      <w:r w:rsidRPr="00282AC9">
        <w:rPr>
          <w:rFonts w:cs="DanaFajr"/>
          <w:sz w:val="28"/>
          <w:szCs w:val="28"/>
          <w:rtl/>
        </w:rPr>
        <w:t>20</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كتاب</w:t>
      </w:r>
      <w:r w:rsidRPr="00282AC9">
        <w:rPr>
          <w:rFonts w:cs="DanaFajr"/>
          <w:sz w:val="28"/>
          <w:szCs w:val="28"/>
          <w:rtl/>
        </w:rPr>
        <w:t xml:space="preserve"> </w:t>
      </w:r>
      <w:r w:rsidRPr="00282AC9">
        <w:rPr>
          <w:rFonts w:cs="DanaFajr" w:hint="cs"/>
          <w:sz w:val="28"/>
          <w:szCs w:val="28"/>
          <w:rtl/>
        </w:rPr>
        <w:t>النكاح</w:t>
      </w:r>
      <w:r w:rsidRPr="00282AC9">
        <w:rPr>
          <w:rFonts w:cs="DanaFajr"/>
          <w:sz w:val="28"/>
          <w:szCs w:val="28"/>
          <w:rtl/>
        </w:rPr>
        <w:t xml:space="preserve">، </w:t>
      </w:r>
      <w:r w:rsidRPr="00282AC9">
        <w:rPr>
          <w:rFonts w:cs="DanaFajr" w:hint="cs"/>
          <w:sz w:val="28"/>
          <w:szCs w:val="28"/>
          <w:rtl/>
        </w:rPr>
        <w:t>باب</w:t>
      </w:r>
      <w:r w:rsidRPr="00282AC9">
        <w:rPr>
          <w:rFonts w:cs="DanaFajr"/>
          <w:sz w:val="28"/>
          <w:szCs w:val="28"/>
          <w:rtl/>
        </w:rPr>
        <w:t xml:space="preserve"> 3</w:t>
      </w:r>
      <w:r w:rsidRPr="00282AC9">
        <w:rPr>
          <w:rFonts w:cs="DanaFajr" w:hint="cs"/>
          <w:sz w:val="28"/>
          <w:szCs w:val="28"/>
          <w:rtl/>
        </w:rPr>
        <w:t xml:space="preserve"> من أبواب</w:t>
      </w:r>
      <w:r w:rsidRPr="00282AC9">
        <w:rPr>
          <w:rFonts w:cs="DanaFajr"/>
          <w:sz w:val="28"/>
          <w:szCs w:val="28"/>
          <w:rtl/>
        </w:rPr>
        <w:t xml:space="preserve"> </w:t>
      </w:r>
      <w:r w:rsidRPr="00282AC9">
        <w:rPr>
          <w:rFonts w:cs="DanaFajr" w:hint="cs"/>
          <w:sz w:val="28"/>
          <w:szCs w:val="28"/>
          <w:rtl/>
        </w:rPr>
        <w:t>مقدّمات</w:t>
      </w:r>
      <w:r w:rsidRPr="00282AC9">
        <w:rPr>
          <w:rFonts w:cs="DanaFajr"/>
          <w:sz w:val="28"/>
          <w:szCs w:val="28"/>
          <w:rtl/>
        </w:rPr>
        <w:t xml:space="preserve"> </w:t>
      </w:r>
      <w:r w:rsidRPr="00282AC9">
        <w:rPr>
          <w:rFonts w:cs="DanaFajr" w:hint="cs"/>
          <w:sz w:val="28"/>
          <w:szCs w:val="28"/>
          <w:rtl/>
        </w:rPr>
        <w:t>النكاح</w:t>
      </w:r>
      <w:r w:rsidRPr="00282AC9">
        <w:rPr>
          <w:rFonts w:cs="DanaFajr"/>
          <w:sz w:val="28"/>
          <w:szCs w:val="28"/>
          <w:rtl/>
        </w:rPr>
        <w:t xml:space="preserve">، </w:t>
      </w:r>
      <w:r w:rsidRPr="00282AC9">
        <w:rPr>
          <w:rFonts w:cs="DanaFajr" w:hint="cs"/>
          <w:sz w:val="28"/>
          <w:szCs w:val="28"/>
          <w:rtl/>
        </w:rPr>
        <w:t>ح</w:t>
      </w:r>
      <w:r w:rsidRPr="00282AC9">
        <w:rPr>
          <w:rFonts w:cs="DanaFajr"/>
          <w:sz w:val="28"/>
          <w:szCs w:val="28"/>
          <w:rtl/>
        </w:rPr>
        <w:t>2.</w:t>
      </w:r>
    </w:p>
  </w:endnote>
  <w:endnote w:id="804">
    <w:p w:rsidR="00C14EDE" w:rsidRPr="00282AC9" w:rsidRDefault="00C14EDE" w:rsidP="005C545C">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المصدر نفسه، ح1</w:t>
      </w:r>
      <w:r w:rsidRPr="00282AC9">
        <w:rPr>
          <w:rFonts w:cs="DanaFajr"/>
          <w:sz w:val="28"/>
          <w:szCs w:val="28"/>
          <w:rtl/>
        </w:rPr>
        <w:t>.</w:t>
      </w:r>
    </w:p>
  </w:endnote>
  <w:endnote w:id="805">
    <w:p w:rsidR="00C14EDE" w:rsidRPr="00282AC9" w:rsidRDefault="00C14EDE" w:rsidP="005C545C">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المصدر نفسه، باب 1 من أبواب مقدّمات النكاح، ح8</w:t>
      </w:r>
      <w:r w:rsidRPr="00282AC9">
        <w:rPr>
          <w:rFonts w:cs="DanaFajr"/>
          <w:sz w:val="28"/>
          <w:szCs w:val="28"/>
          <w:rtl/>
        </w:rPr>
        <w:t>.</w:t>
      </w:r>
    </w:p>
  </w:endnote>
  <w:endnote w:id="806">
    <w:p w:rsidR="00C14EDE" w:rsidRPr="00282AC9" w:rsidRDefault="00C14EDE" w:rsidP="005C545C">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المصدر السابق،</w:t>
      </w:r>
      <w:r w:rsidRPr="00282AC9">
        <w:rPr>
          <w:rFonts w:cs="DanaFajr"/>
          <w:sz w:val="28"/>
          <w:szCs w:val="28"/>
          <w:rtl/>
        </w:rPr>
        <w:t xml:space="preserve"> </w:t>
      </w:r>
      <w:r w:rsidRPr="00282AC9">
        <w:rPr>
          <w:rFonts w:cs="DanaFajr" w:hint="cs"/>
          <w:sz w:val="28"/>
          <w:szCs w:val="28"/>
          <w:rtl/>
        </w:rPr>
        <w:t>كتاب</w:t>
      </w:r>
      <w:r w:rsidRPr="00282AC9">
        <w:rPr>
          <w:rFonts w:cs="DanaFajr"/>
          <w:sz w:val="28"/>
          <w:szCs w:val="28"/>
          <w:rtl/>
        </w:rPr>
        <w:t xml:space="preserve"> </w:t>
      </w:r>
      <w:r w:rsidRPr="00282AC9">
        <w:rPr>
          <w:rFonts w:cs="DanaFajr" w:hint="cs"/>
          <w:sz w:val="28"/>
          <w:szCs w:val="28"/>
          <w:rtl/>
        </w:rPr>
        <w:t>النكاح</w:t>
      </w:r>
      <w:r w:rsidRPr="00282AC9">
        <w:rPr>
          <w:rFonts w:cs="DanaFajr"/>
          <w:sz w:val="28"/>
          <w:szCs w:val="28"/>
          <w:rtl/>
        </w:rPr>
        <w:t xml:space="preserve">، </w:t>
      </w:r>
      <w:r w:rsidRPr="00282AC9">
        <w:rPr>
          <w:rFonts w:cs="DanaFajr" w:hint="cs"/>
          <w:sz w:val="28"/>
          <w:szCs w:val="28"/>
          <w:rtl/>
        </w:rPr>
        <w:t>باب 3 من أبواب</w:t>
      </w:r>
      <w:r w:rsidRPr="00282AC9">
        <w:rPr>
          <w:rFonts w:cs="DanaFajr"/>
          <w:sz w:val="28"/>
          <w:szCs w:val="28"/>
          <w:rtl/>
        </w:rPr>
        <w:t xml:space="preserve"> </w:t>
      </w:r>
      <w:r w:rsidRPr="00282AC9">
        <w:rPr>
          <w:rFonts w:cs="DanaFajr" w:hint="cs"/>
          <w:sz w:val="28"/>
          <w:szCs w:val="28"/>
          <w:rtl/>
        </w:rPr>
        <w:t>مقدّمات</w:t>
      </w:r>
      <w:r w:rsidRPr="00282AC9">
        <w:rPr>
          <w:rFonts w:cs="DanaFajr"/>
          <w:sz w:val="28"/>
          <w:szCs w:val="28"/>
          <w:rtl/>
        </w:rPr>
        <w:t xml:space="preserve"> </w:t>
      </w:r>
      <w:r w:rsidRPr="00282AC9">
        <w:rPr>
          <w:rFonts w:cs="DanaFajr" w:hint="cs"/>
          <w:sz w:val="28"/>
          <w:szCs w:val="28"/>
          <w:rtl/>
        </w:rPr>
        <w:t>النكاح</w:t>
      </w:r>
      <w:r w:rsidRPr="00282AC9">
        <w:rPr>
          <w:rFonts w:cs="DanaFajr"/>
          <w:sz w:val="28"/>
          <w:szCs w:val="28"/>
          <w:rtl/>
        </w:rPr>
        <w:t xml:space="preserve">، </w:t>
      </w:r>
      <w:r w:rsidRPr="00282AC9">
        <w:rPr>
          <w:rFonts w:cs="DanaFajr" w:hint="cs"/>
          <w:sz w:val="28"/>
          <w:szCs w:val="28"/>
          <w:rtl/>
        </w:rPr>
        <w:t>ح4.</w:t>
      </w:r>
    </w:p>
  </w:endnote>
  <w:endnote w:id="807">
    <w:p w:rsidR="00C14EDE" w:rsidRPr="00282AC9" w:rsidRDefault="00C14EDE" w:rsidP="005C545C">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sz w:val="28"/>
          <w:szCs w:val="28"/>
          <w:rtl/>
        </w:rPr>
        <w:t>المصدر نفسه، ح5.</w:t>
      </w:r>
    </w:p>
  </w:endnote>
  <w:endnote w:id="808">
    <w:p w:rsidR="00C14EDE" w:rsidRPr="00282AC9" w:rsidRDefault="00C14EDE" w:rsidP="005C545C">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المصدر نفسه، ح6.</w:t>
      </w:r>
    </w:p>
  </w:endnote>
  <w:endnote w:id="809">
    <w:p w:rsidR="00C14EDE" w:rsidRPr="00282AC9" w:rsidRDefault="00C14EDE" w:rsidP="005C545C">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المصدر نفسه، ح7.</w:t>
      </w:r>
    </w:p>
  </w:endnote>
  <w:endnote w:id="810">
    <w:p w:rsidR="00C14EDE" w:rsidRPr="00282AC9" w:rsidRDefault="00C14EDE" w:rsidP="005C545C">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المصدر نفسه، ح8.</w:t>
      </w:r>
    </w:p>
  </w:endnote>
  <w:endnote w:id="811">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علي</w:t>
      </w:r>
      <w:r w:rsidRPr="00282AC9">
        <w:rPr>
          <w:rFonts w:cs="DanaFajr"/>
          <w:sz w:val="28"/>
          <w:szCs w:val="28"/>
          <w:rtl/>
        </w:rPr>
        <w:t xml:space="preserve"> </w:t>
      </w:r>
      <w:r w:rsidRPr="00282AC9">
        <w:rPr>
          <w:rFonts w:cs="DanaFajr" w:hint="cs"/>
          <w:sz w:val="28"/>
          <w:szCs w:val="28"/>
          <w:rtl/>
        </w:rPr>
        <w:t>پناه</w:t>
      </w:r>
      <w:r w:rsidRPr="00282AC9">
        <w:rPr>
          <w:rFonts w:cs="DanaFajr"/>
          <w:sz w:val="28"/>
          <w:szCs w:val="28"/>
          <w:rtl/>
        </w:rPr>
        <w:t xml:space="preserve"> </w:t>
      </w:r>
      <w:r w:rsidRPr="00282AC9">
        <w:rPr>
          <w:rFonts w:cs="DanaFajr" w:hint="cs"/>
          <w:sz w:val="28"/>
          <w:szCs w:val="28"/>
          <w:rtl/>
        </w:rPr>
        <w:t>الإشتهاردي، مدارك</w:t>
      </w:r>
      <w:r w:rsidRPr="00282AC9">
        <w:rPr>
          <w:rFonts w:cs="DanaFajr"/>
          <w:sz w:val="28"/>
          <w:szCs w:val="28"/>
          <w:rtl/>
        </w:rPr>
        <w:t xml:space="preserve"> </w:t>
      </w:r>
      <w:r w:rsidRPr="00282AC9">
        <w:rPr>
          <w:rFonts w:cs="DanaFajr" w:hint="cs"/>
          <w:sz w:val="28"/>
          <w:szCs w:val="28"/>
          <w:rtl/>
        </w:rPr>
        <w:t>العروة 29: 17.</w:t>
      </w:r>
    </w:p>
  </w:endnote>
  <w:endnote w:id="812">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الحرّ</w:t>
      </w:r>
      <w:r w:rsidRPr="00282AC9">
        <w:rPr>
          <w:rFonts w:cs="DanaFajr"/>
          <w:sz w:val="28"/>
          <w:szCs w:val="28"/>
          <w:rtl/>
        </w:rPr>
        <w:t xml:space="preserve"> </w:t>
      </w:r>
      <w:r w:rsidRPr="00282AC9">
        <w:rPr>
          <w:rFonts w:cs="DanaFajr" w:hint="cs"/>
          <w:sz w:val="28"/>
          <w:szCs w:val="28"/>
          <w:rtl/>
        </w:rPr>
        <w:t>العاملي، وسائل</w:t>
      </w:r>
      <w:r w:rsidRPr="00282AC9">
        <w:rPr>
          <w:rFonts w:cs="DanaFajr"/>
          <w:sz w:val="28"/>
          <w:szCs w:val="28"/>
          <w:rtl/>
        </w:rPr>
        <w:t xml:space="preserve"> </w:t>
      </w:r>
      <w:r w:rsidRPr="00282AC9">
        <w:rPr>
          <w:rFonts w:cs="DanaFajr" w:hint="cs"/>
          <w:sz w:val="28"/>
          <w:szCs w:val="28"/>
          <w:rtl/>
        </w:rPr>
        <w:t>الشيعة</w:t>
      </w:r>
      <w:r w:rsidRPr="00282AC9">
        <w:rPr>
          <w:rFonts w:cs="DanaFajr"/>
          <w:sz w:val="28"/>
          <w:szCs w:val="28"/>
          <w:rtl/>
        </w:rPr>
        <w:t xml:space="preserve"> 2</w:t>
      </w:r>
      <w:r w:rsidRPr="00282AC9">
        <w:rPr>
          <w:rFonts w:cs="DanaFajr" w:hint="cs"/>
          <w:sz w:val="28"/>
          <w:szCs w:val="28"/>
          <w:rtl/>
        </w:rPr>
        <w:t>: 103.</w:t>
      </w:r>
      <w:r w:rsidRPr="00282AC9">
        <w:rPr>
          <w:rFonts w:cs="DanaFajr"/>
          <w:sz w:val="28"/>
          <w:szCs w:val="28"/>
          <w:rtl/>
        </w:rPr>
        <w:t xml:space="preserve"> </w:t>
      </w:r>
    </w:p>
  </w:endnote>
  <w:endnote w:id="813">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hint="cs"/>
          <w:sz w:val="28"/>
          <w:szCs w:val="28"/>
          <w:rtl/>
        </w:rPr>
        <w:t>المصدر السابق 20: 15.</w:t>
      </w:r>
      <w:r w:rsidRPr="00282AC9">
        <w:rPr>
          <w:rFonts w:cs="DanaFajr"/>
          <w:sz w:val="28"/>
          <w:szCs w:val="28"/>
          <w:rtl/>
        </w:rPr>
        <w:t xml:space="preserve"> </w:t>
      </w:r>
    </w:p>
  </w:endnote>
  <w:endnote w:id="814">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lang w:bidi="ar-LB"/>
        </w:rPr>
        <w:t xml:space="preserve"> </w:t>
      </w:r>
      <w:r w:rsidRPr="00282AC9">
        <w:rPr>
          <w:rFonts w:cs="DanaFajr" w:hint="cs"/>
          <w:sz w:val="28"/>
          <w:szCs w:val="28"/>
          <w:rtl/>
        </w:rPr>
        <w:t>المصدر السابق 4: 110.</w:t>
      </w:r>
      <w:r w:rsidRPr="00282AC9">
        <w:rPr>
          <w:rFonts w:cs="DanaFajr"/>
          <w:sz w:val="28"/>
          <w:szCs w:val="28"/>
          <w:rtl/>
        </w:rPr>
        <w:t xml:space="preserve"> </w:t>
      </w:r>
    </w:p>
  </w:endnote>
  <w:endnote w:id="815">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المصدر السابق 11: 524.</w:t>
      </w:r>
    </w:p>
  </w:endnote>
  <w:endnote w:id="816">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المصدر السابق 20: 15</w:t>
      </w:r>
      <w:r w:rsidRPr="00282AC9">
        <w:rPr>
          <w:rFonts w:cs="DanaFajr" w:hint="cs"/>
          <w:sz w:val="28"/>
          <w:szCs w:val="28"/>
          <w:rtl/>
          <w:lang w:bidi="ar-LB"/>
        </w:rPr>
        <w:t>.</w:t>
      </w:r>
      <w:r w:rsidRPr="00282AC9">
        <w:rPr>
          <w:rFonts w:cs="DanaFajr"/>
          <w:sz w:val="28"/>
          <w:szCs w:val="28"/>
          <w:rtl/>
          <w:lang w:bidi="ar-LB"/>
        </w:rPr>
        <w:t xml:space="preserve"> </w:t>
      </w:r>
    </w:p>
  </w:endnote>
  <w:endnote w:id="817">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المصدر السابق 20: 246.</w:t>
      </w:r>
      <w:r w:rsidRPr="00282AC9">
        <w:rPr>
          <w:rFonts w:cs="DanaFajr"/>
          <w:sz w:val="28"/>
          <w:szCs w:val="28"/>
          <w:rtl/>
        </w:rPr>
        <w:t xml:space="preserve"> </w:t>
      </w:r>
    </w:p>
  </w:endnote>
  <w:endnote w:id="818">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ياسين</w:t>
      </w:r>
      <w:r w:rsidRPr="00282AC9">
        <w:rPr>
          <w:rFonts w:cs="DanaFajr"/>
          <w:sz w:val="28"/>
          <w:szCs w:val="28"/>
          <w:rtl/>
        </w:rPr>
        <w:t xml:space="preserve"> </w:t>
      </w:r>
      <w:r w:rsidRPr="00282AC9">
        <w:rPr>
          <w:rFonts w:cs="DanaFajr" w:hint="cs"/>
          <w:sz w:val="28"/>
          <w:szCs w:val="28"/>
          <w:rtl/>
        </w:rPr>
        <w:t>عيسى</w:t>
      </w:r>
      <w:r w:rsidRPr="00282AC9">
        <w:rPr>
          <w:rFonts w:cs="DanaFajr"/>
          <w:sz w:val="28"/>
          <w:szCs w:val="28"/>
          <w:rtl/>
        </w:rPr>
        <w:t xml:space="preserve"> </w:t>
      </w:r>
      <w:r w:rsidRPr="00282AC9">
        <w:rPr>
          <w:rFonts w:cs="DanaFajr" w:hint="cs"/>
          <w:sz w:val="28"/>
          <w:szCs w:val="28"/>
          <w:rtl/>
        </w:rPr>
        <w:t>العاملي، الاصطلاحات</w:t>
      </w:r>
      <w:r w:rsidRPr="00282AC9">
        <w:rPr>
          <w:rFonts w:cs="DanaFajr"/>
          <w:sz w:val="28"/>
          <w:szCs w:val="28"/>
          <w:rtl/>
        </w:rPr>
        <w:t xml:space="preserve"> </w:t>
      </w:r>
      <w:r w:rsidRPr="00282AC9">
        <w:rPr>
          <w:rFonts w:cs="DanaFajr" w:hint="cs"/>
          <w:sz w:val="28"/>
          <w:szCs w:val="28"/>
          <w:rtl/>
        </w:rPr>
        <w:t>الفقية</w:t>
      </w:r>
      <w:r w:rsidRPr="00282AC9">
        <w:rPr>
          <w:rFonts w:cs="DanaFajr"/>
          <w:sz w:val="28"/>
          <w:szCs w:val="28"/>
          <w:rtl/>
        </w:rPr>
        <w:t xml:space="preserve"> </w:t>
      </w:r>
      <w:r w:rsidRPr="00282AC9">
        <w:rPr>
          <w:rFonts w:cs="DanaFajr" w:hint="cs"/>
          <w:sz w:val="28"/>
          <w:szCs w:val="28"/>
          <w:rtl/>
        </w:rPr>
        <w:t>في</w:t>
      </w:r>
      <w:r w:rsidRPr="00282AC9">
        <w:rPr>
          <w:rFonts w:cs="DanaFajr"/>
          <w:sz w:val="28"/>
          <w:szCs w:val="28"/>
          <w:rtl/>
        </w:rPr>
        <w:t xml:space="preserve"> </w:t>
      </w:r>
      <w:r w:rsidRPr="00282AC9">
        <w:rPr>
          <w:rFonts w:cs="DanaFajr" w:hint="cs"/>
          <w:sz w:val="28"/>
          <w:szCs w:val="28"/>
          <w:rtl/>
        </w:rPr>
        <w:t>الرسائل</w:t>
      </w:r>
      <w:r w:rsidRPr="00282AC9">
        <w:rPr>
          <w:rFonts w:cs="DanaFajr"/>
          <w:sz w:val="28"/>
          <w:szCs w:val="28"/>
          <w:rtl/>
        </w:rPr>
        <w:t xml:space="preserve"> </w:t>
      </w:r>
      <w:r w:rsidRPr="00282AC9">
        <w:rPr>
          <w:rFonts w:cs="DanaFajr" w:hint="cs"/>
          <w:sz w:val="28"/>
          <w:szCs w:val="28"/>
          <w:rtl/>
        </w:rPr>
        <w:t>العملية: 130.</w:t>
      </w:r>
    </w:p>
  </w:endnote>
  <w:endnote w:id="819">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lang w:bidi="ar-LB"/>
        </w:rPr>
        <w:t xml:space="preserve"> محمد تقي المجلسي، روضة المتقين في شرح مَنْ لا يحضره الفقيه 1: 337؛ السيد</w:t>
      </w:r>
      <w:r w:rsidRPr="00282AC9">
        <w:rPr>
          <w:rFonts w:cs="DanaFajr"/>
          <w:sz w:val="28"/>
          <w:szCs w:val="28"/>
          <w:rtl/>
          <w:lang w:bidi="ar-LB"/>
        </w:rPr>
        <w:t xml:space="preserve"> </w:t>
      </w:r>
      <w:r w:rsidRPr="00282AC9">
        <w:rPr>
          <w:rFonts w:cs="DanaFajr" w:hint="cs"/>
          <w:sz w:val="28"/>
          <w:szCs w:val="28"/>
          <w:rtl/>
          <w:lang w:bidi="ar-LB"/>
        </w:rPr>
        <w:t>أحمد</w:t>
      </w:r>
      <w:r w:rsidRPr="00282AC9">
        <w:rPr>
          <w:rFonts w:cs="DanaFajr"/>
          <w:sz w:val="28"/>
          <w:szCs w:val="28"/>
          <w:rtl/>
          <w:lang w:bidi="ar-LB"/>
        </w:rPr>
        <w:t xml:space="preserve"> </w:t>
      </w:r>
      <w:r w:rsidRPr="00282AC9">
        <w:rPr>
          <w:rFonts w:cs="DanaFajr" w:hint="cs"/>
          <w:sz w:val="28"/>
          <w:szCs w:val="28"/>
          <w:rtl/>
          <w:lang w:bidi="ar-LB"/>
        </w:rPr>
        <w:t>بن</w:t>
      </w:r>
      <w:r w:rsidRPr="00282AC9">
        <w:rPr>
          <w:rFonts w:cs="DanaFajr"/>
          <w:sz w:val="28"/>
          <w:szCs w:val="28"/>
          <w:rtl/>
          <w:lang w:bidi="ar-LB"/>
        </w:rPr>
        <w:t xml:space="preserve"> </w:t>
      </w:r>
      <w:r w:rsidRPr="00282AC9">
        <w:rPr>
          <w:rFonts w:cs="DanaFajr" w:hint="cs"/>
          <w:sz w:val="28"/>
          <w:szCs w:val="28"/>
          <w:rtl/>
          <w:lang w:bidi="ar-LB"/>
        </w:rPr>
        <w:t>زين</w:t>
      </w:r>
      <w:r w:rsidRPr="00282AC9">
        <w:rPr>
          <w:rFonts w:cs="DanaFajr"/>
          <w:sz w:val="28"/>
          <w:szCs w:val="28"/>
          <w:rtl/>
          <w:lang w:bidi="ar-LB"/>
        </w:rPr>
        <w:t xml:space="preserve"> </w:t>
      </w:r>
      <w:r w:rsidRPr="00282AC9">
        <w:rPr>
          <w:rFonts w:cs="DanaFajr" w:hint="cs"/>
          <w:sz w:val="28"/>
          <w:szCs w:val="28"/>
          <w:rtl/>
          <w:lang w:bidi="ar-LB"/>
        </w:rPr>
        <w:t>العابدين</w:t>
      </w:r>
      <w:r w:rsidRPr="00282AC9">
        <w:rPr>
          <w:rFonts w:cs="DanaFajr"/>
          <w:sz w:val="28"/>
          <w:szCs w:val="28"/>
          <w:rtl/>
          <w:lang w:bidi="ar-LB"/>
        </w:rPr>
        <w:t xml:space="preserve"> </w:t>
      </w:r>
      <w:r w:rsidRPr="00282AC9">
        <w:rPr>
          <w:rFonts w:cs="DanaFajr" w:hint="cs"/>
          <w:sz w:val="28"/>
          <w:szCs w:val="28"/>
          <w:rtl/>
          <w:lang w:bidi="ar-LB"/>
        </w:rPr>
        <w:t>العلوي</w:t>
      </w:r>
      <w:r w:rsidRPr="00282AC9">
        <w:rPr>
          <w:rFonts w:cs="DanaFajr"/>
          <w:sz w:val="28"/>
          <w:szCs w:val="28"/>
          <w:rtl/>
          <w:lang w:bidi="ar-LB"/>
        </w:rPr>
        <w:t xml:space="preserve"> </w:t>
      </w:r>
      <w:r w:rsidRPr="00282AC9">
        <w:rPr>
          <w:rFonts w:cs="DanaFajr" w:hint="cs"/>
          <w:sz w:val="28"/>
          <w:szCs w:val="28"/>
          <w:rtl/>
          <w:lang w:bidi="ar-LB"/>
        </w:rPr>
        <w:t>العاملي، مناهج</w:t>
      </w:r>
      <w:r w:rsidRPr="00282AC9">
        <w:rPr>
          <w:rFonts w:cs="DanaFajr"/>
          <w:sz w:val="28"/>
          <w:szCs w:val="28"/>
          <w:rtl/>
          <w:lang w:bidi="ar-LB"/>
        </w:rPr>
        <w:t xml:space="preserve"> </w:t>
      </w:r>
      <w:r w:rsidRPr="00282AC9">
        <w:rPr>
          <w:rFonts w:cs="DanaFajr" w:hint="cs"/>
          <w:sz w:val="28"/>
          <w:szCs w:val="28"/>
          <w:rtl/>
          <w:lang w:bidi="ar-LB"/>
        </w:rPr>
        <w:t>الأخيار</w:t>
      </w:r>
      <w:r w:rsidRPr="00282AC9">
        <w:rPr>
          <w:rFonts w:cs="DanaFajr"/>
          <w:sz w:val="28"/>
          <w:szCs w:val="28"/>
          <w:rtl/>
          <w:lang w:bidi="ar-LB"/>
        </w:rPr>
        <w:t xml:space="preserve"> </w:t>
      </w:r>
      <w:r w:rsidRPr="00282AC9">
        <w:rPr>
          <w:rFonts w:cs="DanaFajr" w:hint="cs"/>
          <w:sz w:val="28"/>
          <w:szCs w:val="28"/>
          <w:rtl/>
          <w:lang w:bidi="ar-LB"/>
        </w:rPr>
        <w:t>في</w:t>
      </w:r>
      <w:r w:rsidRPr="00282AC9">
        <w:rPr>
          <w:rFonts w:cs="DanaFajr"/>
          <w:sz w:val="28"/>
          <w:szCs w:val="28"/>
          <w:rtl/>
          <w:lang w:bidi="ar-LB"/>
        </w:rPr>
        <w:t xml:space="preserve"> </w:t>
      </w:r>
      <w:r w:rsidRPr="00282AC9">
        <w:rPr>
          <w:rFonts w:cs="DanaFajr" w:hint="cs"/>
          <w:sz w:val="28"/>
          <w:szCs w:val="28"/>
          <w:rtl/>
          <w:lang w:bidi="ar-LB"/>
        </w:rPr>
        <w:t>شرح</w:t>
      </w:r>
      <w:r w:rsidRPr="00282AC9">
        <w:rPr>
          <w:rFonts w:cs="DanaFajr"/>
          <w:sz w:val="28"/>
          <w:szCs w:val="28"/>
          <w:rtl/>
          <w:lang w:bidi="ar-LB"/>
        </w:rPr>
        <w:t xml:space="preserve"> </w:t>
      </w:r>
      <w:r w:rsidRPr="00282AC9">
        <w:rPr>
          <w:rFonts w:cs="DanaFajr" w:hint="cs"/>
          <w:sz w:val="28"/>
          <w:szCs w:val="28"/>
          <w:rtl/>
          <w:lang w:bidi="ar-LB"/>
        </w:rPr>
        <w:t>الاستبصار</w:t>
      </w:r>
      <w:r w:rsidRPr="00282AC9">
        <w:rPr>
          <w:rFonts w:cs="DanaFajr"/>
          <w:sz w:val="28"/>
          <w:szCs w:val="28"/>
          <w:rtl/>
          <w:lang w:bidi="ar-LB"/>
        </w:rPr>
        <w:t xml:space="preserve"> 2</w:t>
      </w:r>
      <w:r w:rsidRPr="00282AC9">
        <w:rPr>
          <w:rFonts w:cs="DanaFajr" w:hint="cs"/>
          <w:sz w:val="28"/>
          <w:szCs w:val="28"/>
          <w:rtl/>
          <w:lang w:bidi="ar-LB"/>
        </w:rPr>
        <w:t>: 37؛ الشيخ</w:t>
      </w:r>
      <w:r w:rsidRPr="00282AC9">
        <w:rPr>
          <w:rFonts w:cs="DanaFajr"/>
          <w:sz w:val="28"/>
          <w:szCs w:val="28"/>
          <w:rtl/>
          <w:lang w:bidi="ar-LB"/>
        </w:rPr>
        <w:t xml:space="preserve"> </w:t>
      </w:r>
      <w:r w:rsidRPr="00282AC9">
        <w:rPr>
          <w:rFonts w:cs="DanaFajr" w:hint="cs"/>
          <w:sz w:val="28"/>
          <w:szCs w:val="28"/>
          <w:rtl/>
          <w:lang w:bidi="ar-LB"/>
        </w:rPr>
        <w:t>علي</w:t>
      </w:r>
      <w:r w:rsidRPr="00282AC9">
        <w:rPr>
          <w:rFonts w:cs="DanaFajr"/>
          <w:sz w:val="28"/>
          <w:szCs w:val="28"/>
          <w:rtl/>
          <w:lang w:bidi="ar-LB"/>
        </w:rPr>
        <w:t xml:space="preserve"> </w:t>
      </w:r>
      <w:r w:rsidRPr="00282AC9">
        <w:rPr>
          <w:rFonts w:cs="DanaFajr" w:hint="cs"/>
          <w:sz w:val="28"/>
          <w:szCs w:val="28"/>
          <w:rtl/>
          <w:lang w:bidi="ar-LB"/>
        </w:rPr>
        <w:t>پناه</w:t>
      </w:r>
      <w:r w:rsidRPr="00282AC9">
        <w:rPr>
          <w:rFonts w:cs="DanaFajr"/>
          <w:sz w:val="28"/>
          <w:szCs w:val="28"/>
          <w:rtl/>
          <w:lang w:bidi="ar-LB"/>
        </w:rPr>
        <w:t xml:space="preserve"> </w:t>
      </w:r>
      <w:r w:rsidRPr="00282AC9">
        <w:rPr>
          <w:rFonts w:cs="DanaFajr" w:hint="cs"/>
          <w:sz w:val="28"/>
          <w:szCs w:val="28"/>
          <w:rtl/>
          <w:lang w:bidi="ar-LB"/>
        </w:rPr>
        <w:t>الإشتهاردي، مدارك</w:t>
      </w:r>
      <w:r w:rsidRPr="00282AC9">
        <w:rPr>
          <w:rFonts w:cs="DanaFajr"/>
          <w:sz w:val="28"/>
          <w:szCs w:val="28"/>
          <w:rtl/>
          <w:lang w:bidi="ar-LB"/>
        </w:rPr>
        <w:t xml:space="preserve"> </w:t>
      </w:r>
      <w:r w:rsidRPr="00282AC9">
        <w:rPr>
          <w:rFonts w:cs="DanaFajr" w:hint="cs"/>
          <w:sz w:val="28"/>
          <w:szCs w:val="28"/>
          <w:rtl/>
          <w:lang w:bidi="ar-LB"/>
        </w:rPr>
        <w:t>العروة</w:t>
      </w:r>
      <w:r w:rsidRPr="00282AC9">
        <w:rPr>
          <w:rFonts w:cs="DanaFajr"/>
          <w:sz w:val="28"/>
          <w:szCs w:val="28"/>
          <w:rtl/>
          <w:lang w:bidi="ar-LB"/>
        </w:rPr>
        <w:t xml:space="preserve"> 29</w:t>
      </w:r>
      <w:r w:rsidRPr="00282AC9">
        <w:rPr>
          <w:rFonts w:cs="DanaFajr" w:hint="cs"/>
          <w:sz w:val="28"/>
          <w:szCs w:val="28"/>
          <w:rtl/>
          <w:lang w:bidi="ar-LB"/>
        </w:rPr>
        <w:t>: 57.</w:t>
      </w:r>
    </w:p>
  </w:endnote>
  <w:endnote w:id="820">
    <w:p w:rsidR="00C14EDE" w:rsidRPr="00282AC9" w:rsidRDefault="00C14EDE" w:rsidP="005C545C">
      <w:pPr>
        <w:pStyle w:val="af7"/>
        <w:spacing w:line="296" w:lineRule="exact"/>
        <w:ind w:firstLine="0"/>
        <w:rPr>
          <w:rFonts w:cs="DanaFajr"/>
          <w:sz w:val="28"/>
          <w:szCs w:val="28"/>
          <w:rtl/>
          <w:lang w:bidi="ar-LB"/>
        </w:rPr>
      </w:pPr>
      <w:r w:rsidRPr="00282AC9">
        <w:rPr>
          <w:rFonts w:cs="DanaFajr" w:hint="cs"/>
          <w:sz w:val="28"/>
          <w:szCs w:val="28"/>
          <w:rtl/>
        </w:rPr>
        <w:t xml:space="preserve"> </w:t>
      </w: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الشهيد</w:t>
      </w:r>
      <w:r w:rsidRPr="00282AC9">
        <w:rPr>
          <w:rFonts w:cs="DanaFajr"/>
          <w:sz w:val="28"/>
          <w:szCs w:val="28"/>
          <w:rtl/>
        </w:rPr>
        <w:t xml:space="preserve"> </w:t>
      </w:r>
      <w:r w:rsidRPr="00282AC9">
        <w:rPr>
          <w:rFonts w:cs="DanaFajr" w:hint="cs"/>
          <w:sz w:val="28"/>
          <w:szCs w:val="28"/>
          <w:rtl/>
        </w:rPr>
        <w:t>الثاني، حاشية</w:t>
      </w:r>
      <w:r w:rsidRPr="00282AC9">
        <w:rPr>
          <w:rFonts w:cs="DanaFajr"/>
          <w:sz w:val="28"/>
          <w:szCs w:val="28"/>
          <w:rtl/>
        </w:rPr>
        <w:t xml:space="preserve"> </w:t>
      </w:r>
      <w:r w:rsidRPr="00282AC9">
        <w:rPr>
          <w:rFonts w:cs="DanaFajr" w:hint="cs"/>
          <w:sz w:val="28"/>
          <w:szCs w:val="28"/>
          <w:rtl/>
        </w:rPr>
        <w:t>المختصر</w:t>
      </w:r>
      <w:r w:rsidRPr="00282AC9">
        <w:rPr>
          <w:rFonts w:cs="DanaFajr"/>
          <w:sz w:val="28"/>
          <w:szCs w:val="28"/>
          <w:rtl/>
        </w:rPr>
        <w:t xml:space="preserve"> </w:t>
      </w:r>
      <w:r w:rsidRPr="00282AC9">
        <w:rPr>
          <w:rFonts w:cs="DanaFajr" w:hint="cs"/>
          <w:sz w:val="28"/>
          <w:szCs w:val="28"/>
          <w:rtl/>
        </w:rPr>
        <w:t>النافع: 711</w:t>
      </w:r>
      <w:r w:rsidRPr="00282AC9">
        <w:rPr>
          <w:rFonts w:cs="DanaFajr" w:hint="cs"/>
          <w:sz w:val="28"/>
          <w:szCs w:val="28"/>
          <w:rtl/>
          <w:lang w:bidi="ar-LB"/>
        </w:rPr>
        <w:t>.</w:t>
      </w:r>
    </w:p>
  </w:endnote>
  <w:endnote w:id="821">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الفيض</w:t>
      </w:r>
      <w:r w:rsidRPr="00282AC9">
        <w:rPr>
          <w:rFonts w:cs="DanaFajr"/>
          <w:sz w:val="28"/>
          <w:szCs w:val="28"/>
          <w:rtl/>
        </w:rPr>
        <w:t xml:space="preserve"> </w:t>
      </w:r>
      <w:r w:rsidRPr="00282AC9">
        <w:rPr>
          <w:rFonts w:cs="DanaFajr" w:hint="cs"/>
          <w:sz w:val="28"/>
          <w:szCs w:val="28"/>
          <w:rtl/>
        </w:rPr>
        <w:t>الكاشاني، الوافي</w:t>
      </w:r>
      <w:r w:rsidRPr="00282AC9">
        <w:rPr>
          <w:rFonts w:cs="DanaFajr"/>
          <w:sz w:val="28"/>
          <w:szCs w:val="28"/>
          <w:rtl/>
        </w:rPr>
        <w:t xml:space="preserve"> 22</w:t>
      </w:r>
      <w:r w:rsidRPr="00282AC9">
        <w:rPr>
          <w:rFonts w:cs="DanaFajr" w:hint="cs"/>
          <w:sz w:val="28"/>
          <w:szCs w:val="28"/>
          <w:rtl/>
        </w:rPr>
        <w:t>: 871.</w:t>
      </w:r>
      <w:r w:rsidRPr="00282AC9">
        <w:rPr>
          <w:rFonts w:cs="DanaFajr"/>
          <w:sz w:val="28"/>
          <w:szCs w:val="28"/>
          <w:rtl/>
        </w:rPr>
        <w:t xml:space="preserve"> </w:t>
      </w:r>
    </w:p>
  </w:endnote>
  <w:endnote w:id="822">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ابن</w:t>
      </w:r>
      <w:r w:rsidRPr="00282AC9">
        <w:rPr>
          <w:rFonts w:cs="DanaFajr"/>
          <w:sz w:val="28"/>
          <w:szCs w:val="28"/>
          <w:rtl/>
        </w:rPr>
        <w:t xml:space="preserve"> </w:t>
      </w:r>
      <w:r w:rsidRPr="00282AC9">
        <w:rPr>
          <w:rFonts w:cs="DanaFajr" w:hint="cs"/>
          <w:sz w:val="28"/>
          <w:szCs w:val="28"/>
          <w:rtl/>
        </w:rPr>
        <w:t>فهد</w:t>
      </w:r>
      <w:r w:rsidRPr="00282AC9">
        <w:rPr>
          <w:rFonts w:cs="DanaFajr"/>
          <w:sz w:val="28"/>
          <w:szCs w:val="28"/>
          <w:rtl/>
        </w:rPr>
        <w:t xml:space="preserve"> </w:t>
      </w:r>
      <w:r w:rsidRPr="00282AC9">
        <w:rPr>
          <w:rFonts w:cs="DanaFajr" w:hint="cs"/>
          <w:sz w:val="28"/>
          <w:szCs w:val="28"/>
          <w:rtl/>
        </w:rPr>
        <w:t>الحلّي المهذَّب</w:t>
      </w:r>
      <w:r w:rsidRPr="00282AC9">
        <w:rPr>
          <w:rFonts w:cs="DanaFajr"/>
          <w:sz w:val="28"/>
          <w:szCs w:val="28"/>
          <w:rtl/>
        </w:rPr>
        <w:t xml:space="preserve"> </w:t>
      </w:r>
      <w:r w:rsidRPr="00282AC9">
        <w:rPr>
          <w:rFonts w:cs="DanaFajr" w:hint="cs"/>
          <w:sz w:val="28"/>
          <w:szCs w:val="28"/>
          <w:rtl/>
        </w:rPr>
        <w:t>البارع</w:t>
      </w:r>
      <w:r w:rsidRPr="00282AC9">
        <w:rPr>
          <w:rFonts w:cs="DanaFajr"/>
          <w:sz w:val="28"/>
          <w:szCs w:val="28"/>
          <w:rtl/>
        </w:rPr>
        <w:t xml:space="preserve"> 3</w:t>
      </w:r>
      <w:r w:rsidRPr="00282AC9">
        <w:rPr>
          <w:rFonts w:cs="DanaFajr" w:hint="cs"/>
          <w:sz w:val="28"/>
          <w:szCs w:val="28"/>
          <w:rtl/>
        </w:rPr>
        <w:t>: 147؛</w:t>
      </w:r>
      <w:r w:rsidRPr="00282AC9">
        <w:rPr>
          <w:rFonts w:cs="DanaFajr"/>
          <w:sz w:val="28"/>
          <w:szCs w:val="28"/>
          <w:rtl/>
        </w:rPr>
        <w:t xml:space="preserve"> </w:t>
      </w:r>
      <w:r w:rsidRPr="00282AC9">
        <w:rPr>
          <w:rFonts w:cs="DanaFajr" w:hint="cs"/>
          <w:sz w:val="28"/>
          <w:szCs w:val="28"/>
          <w:rtl/>
        </w:rPr>
        <w:t>الشيخ</w:t>
      </w:r>
      <w:r w:rsidRPr="00282AC9">
        <w:rPr>
          <w:rFonts w:cs="DanaFajr"/>
          <w:sz w:val="28"/>
          <w:szCs w:val="28"/>
          <w:rtl/>
        </w:rPr>
        <w:t xml:space="preserve"> </w:t>
      </w:r>
      <w:r w:rsidRPr="00282AC9">
        <w:rPr>
          <w:rFonts w:cs="DanaFajr" w:hint="cs"/>
          <w:sz w:val="28"/>
          <w:szCs w:val="28"/>
          <w:rtl/>
        </w:rPr>
        <w:t>الجواهري، جواهر</w:t>
      </w:r>
      <w:r w:rsidRPr="00282AC9">
        <w:rPr>
          <w:rFonts w:cs="DanaFajr"/>
          <w:sz w:val="28"/>
          <w:szCs w:val="28"/>
          <w:rtl/>
        </w:rPr>
        <w:t xml:space="preserve"> </w:t>
      </w:r>
      <w:r w:rsidRPr="00282AC9">
        <w:rPr>
          <w:rFonts w:cs="DanaFajr" w:hint="cs"/>
          <w:sz w:val="28"/>
          <w:szCs w:val="28"/>
          <w:rtl/>
        </w:rPr>
        <w:t>الكلام</w:t>
      </w:r>
      <w:r w:rsidRPr="00282AC9">
        <w:rPr>
          <w:rFonts w:cs="DanaFajr"/>
          <w:sz w:val="28"/>
          <w:szCs w:val="28"/>
          <w:rtl/>
        </w:rPr>
        <w:t xml:space="preserve"> 15</w:t>
      </w:r>
      <w:r w:rsidRPr="00282AC9">
        <w:rPr>
          <w:rFonts w:cs="DanaFajr" w:hint="cs"/>
          <w:sz w:val="28"/>
          <w:szCs w:val="28"/>
          <w:rtl/>
        </w:rPr>
        <w:t>: 123.</w:t>
      </w:r>
    </w:p>
  </w:endnote>
  <w:endnote w:id="823">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العلاّمة</w:t>
      </w:r>
      <w:r w:rsidRPr="00282AC9">
        <w:rPr>
          <w:rFonts w:cs="DanaFajr"/>
          <w:sz w:val="28"/>
          <w:szCs w:val="28"/>
          <w:rtl/>
        </w:rPr>
        <w:t xml:space="preserve"> </w:t>
      </w:r>
      <w:r w:rsidRPr="00282AC9">
        <w:rPr>
          <w:rFonts w:cs="DanaFajr" w:hint="cs"/>
          <w:sz w:val="28"/>
          <w:szCs w:val="28"/>
          <w:rtl/>
        </w:rPr>
        <w:t>المجلسي، بحار</w:t>
      </w:r>
      <w:r w:rsidRPr="00282AC9">
        <w:rPr>
          <w:rFonts w:cs="DanaFajr"/>
          <w:sz w:val="28"/>
          <w:szCs w:val="28"/>
          <w:rtl/>
        </w:rPr>
        <w:t xml:space="preserve"> </w:t>
      </w:r>
      <w:r w:rsidRPr="00282AC9">
        <w:rPr>
          <w:rFonts w:cs="DanaFajr" w:hint="cs"/>
          <w:sz w:val="28"/>
          <w:szCs w:val="28"/>
          <w:rtl/>
        </w:rPr>
        <w:t xml:space="preserve">الأنوار </w:t>
      </w:r>
      <w:r w:rsidRPr="00282AC9">
        <w:rPr>
          <w:rFonts w:cs="DanaFajr"/>
          <w:sz w:val="28"/>
          <w:szCs w:val="28"/>
          <w:rtl/>
        </w:rPr>
        <w:t>80</w:t>
      </w:r>
      <w:r w:rsidRPr="00282AC9">
        <w:rPr>
          <w:rFonts w:cs="DanaFajr" w:hint="cs"/>
          <w:sz w:val="28"/>
          <w:szCs w:val="28"/>
          <w:rtl/>
        </w:rPr>
        <w:t>: 23.</w:t>
      </w:r>
    </w:p>
  </w:endnote>
  <w:endnote w:id="824">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فاضل</w:t>
      </w:r>
      <w:r w:rsidRPr="00282AC9">
        <w:rPr>
          <w:rFonts w:cs="DanaFajr"/>
          <w:sz w:val="28"/>
          <w:szCs w:val="28"/>
          <w:rtl/>
        </w:rPr>
        <w:t xml:space="preserve"> </w:t>
      </w:r>
      <w:r w:rsidRPr="00282AC9">
        <w:rPr>
          <w:rFonts w:cs="DanaFajr" w:hint="cs"/>
          <w:sz w:val="28"/>
          <w:szCs w:val="28"/>
          <w:rtl/>
        </w:rPr>
        <w:t>اللنكراني، تفصيل</w:t>
      </w:r>
      <w:r w:rsidRPr="00282AC9">
        <w:rPr>
          <w:rFonts w:cs="DanaFajr"/>
          <w:sz w:val="28"/>
          <w:szCs w:val="28"/>
          <w:rtl/>
        </w:rPr>
        <w:t xml:space="preserve"> </w:t>
      </w:r>
      <w:r w:rsidRPr="00282AC9">
        <w:rPr>
          <w:rFonts w:cs="DanaFajr" w:hint="cs"/>
          <w:sz w:val="28"/>
          <w:szCs w:val="28"/>
          <w:rtl/>
        </w:rPr>
        <w:t>الشريعة</w:t>
      </w:r>
      <w:r w:rsidRPr="00282AC9">
        <w:rPr>
          <w:rFonts w:cs="DanaFajr"/>
          <w:sz w:val="28"/>
          <w:szCs w:val="28"/>
          <w:rtl/>
        </w:rPr>
        <w:t xml:space="preserve"> </w:t>
      </w:r>
      <w:r w:rsidRPr="00282AC9">
        <w:rPr>
          <w:rFonts w:cs="DanaFajr" w:hint="cs"/>
          <w:sz w:val="28"/>
          <w:szCs w:val="28"/>
          <w:rtl/>
        </w:rPr>
        <w:t>في</w:t>
      </w:r>
      <w:r w:rsidRPr="00282AC9">
        <w:rPr>
          <w:rFonts w:cs="DanaFajr"/>
          <w:sz w:val="28"/>
          <w:szCs w:val="28"/>
          <w:rtl/>
        </w:rPr>
        <w:t xml:space="preserve"> </w:t>
      </w:r>
      <w:r w:rsidRPr="00282AC9">
        <w:rPr>
          <w:rFonts w:cs="DanaFajr" w:hint="cs"/>
          <w:sz w:val="28"/>
          <w:szCs w:val="28"/>
          <w:rtl/>
        </w:rPr>
        <w:t>شرح</w:t>
      </w:r>
      <w:r w:rsidRPr="00282AC9">
        <w:rPr>
          <w:rFonts w:cs="DanaFajr"/>
          <w:sz w:val="28"/>
          <w:szCs w:val="28"/>
          <w:rtl/>
        </w:rPr>
        <w:t xml:space="preserve"> </w:t>
      </w:r>
      <w:r w:rsidRPr="00282AC9">
        <w:rPr>
          <w:rFonts w:cs="DanaFajr" w:hint="cs"/>
          <w:sz w:val="28"/>
          <w:szCs w:val="28"/>
          <w:rtl/>
        </w:rPr>
        <w:t>تحرير</w:t>
      </w:r>
      <w:r w:rsidRPr="00282AC9">
        <w:rPr>
          <w:rFonts w:cs="DanaFajr"/>
          <w:sz w:val="28"/>
          <w:szCs w:val="28"/>
          <w:rtl/>
        </w:rPr>
        <w:t xml:space="preserve"> </w:t>
      </w:r>
      <w:r w:rsidRPr="00282AC9">
        <w:rPr>
          <w:rFonts w:cs="DanaFajr" w:hint="cs"/>
          <w:sz w:val="28"/>
          <w:szCs w:val="28"/>
          <w:rtl/>
        </w:rPr>
        <w:t>الوسيلة</w:t>
      </w:r>
      <w:r w:rsidRPr="00282AC9">
        <w:rPr>
          <w:rFonts w:cs="DanaFajr"/>
          <w:sz w:val="28"/>
          <w:szCs w:val="28"/>
          <w:rtl/>
        </w:rPr>
        <w:t xml:space="preserve"> (</w:t>
      </w:r>
      <w:r w:rsidRPr="00282AC9">
        <w:rPr>
          <w:rFonts w:cs="DanaFajr" w:hint="cs"/>
          <w:sz w:val="28"/>
          <w:szCs w:val="28"/>
          <w:rtl/>
        </w:rPr>
        <w:t>كتاب</w:t>
      </w:r>
      <w:r w:rsidRPr="00282AC9">
        <w:rPr>
          <w:rFonts w:cs="DanaFajr"/>
          <w:sz w:val="28"/>
          <w:szCs w:val="28"/>
          <w:rtl/>
        </w:rPr>
        <w:t xml:space="preserve"> </w:t>
      </w:r>
      <w:r w:rsidRPr="00282AC9">
        <w:rPr>
          <w:rFonts w:cs="DanaFajr" w:hint="cs"/>
          <w:sz w:val="28"/>
          <w:szCs w:val="28"/>
          <w:rtl/>
        </w:rPr>
        <w:t>الديات</w:t>
      </w:r>
      <w:r w:rsidRPr="00282AC9">
        <w:rPr>
          <w:rFonts w:cs="DanaFajr"/>
          <w:sz w:val="28"/>
          <w:szCs w:val="28"/>
          <w:rtl/>
        </w:rPr>
        <w:t>)</w:t>
      </w:r>
      <w:r w:rsidRPr="00282AC9">
        <w:rPr>
          <w:rFonts w:cs="DanaFajr" w:hint="cs"/>
          <w:sz w:val="28"/>
          <w:szCs w:val="28"/>
          <w:rtl/>
        </w:rPr>
        <w:t>: 27؛ السيد</w:t>
      </w:r>
      <w:r w:rsidRPr="00282AC9">
        <w:rPr>
          <w:rFonts w:cs="DanaFajr"/>
          <w:sz w:val="28"/>
          <w:szCs w:val="28"/>
          <w:rtl/>
        </w:rPr>
        <w:t xml:space="preserve"> </w:t>
      </w:r>
      <w:r w:rsidRPr="00282AC9">
        <w:rPr>
          <w:rFonts w:cs="DanaFajr" w:hint="cs"/>
          <w:sz w:val="28"/>
          <w:szCs w:val="28"/>
          <w:rtl/>
        </w:rPr>
        <w:t>عبد</w:t>
      </w:r>
      <w:r w:rsidRPr="00282AC9">
        <w:rPr>
          <w:rFonts w:cs="DanaFajr"/>
          <w:sz w:val="28"/>
          <w:szCs w:val="28"/>
          <w:rtl/>
        </w:rPr>
        <w:t xml:space="preserve"> </w:t>
      </w:r>
      <w:r w:rsidRPr="00282AC9">
        <w:rPr>
          <w:rFonts w:cs="DanaFajr" w:hint="cs"/>
          <w:sz w:val="28"/>
          <w:szCs w:val="28"/>
          <w:rtl/>
        </w:rPr>
        <w:t>الأعلى</w:t>
      </w:r>
      <w:r w:rsidRPr="00282AC9">
        <w:rPr>
          <w:rFonts w:cs="DanaFajr"/>
          <w:sz w:val="28"/>
          <w:szCs w:val="28"/>
          <w:rtl/>
        </w:rPr>
        <w:t xml:space="preserve"> </w:t>
      </w:r>
      <w:r w:rsidRPr="00282AC9">
        <w:rPr>
          <w:rFonts w:cs="DanaFajr" w:hint="cs"/>
          <w:sz w:val="28"/>
          <w:szCs w:val="28"/>
          <w:rtl/>
        </w:rPr>
        <w:t>السبزواري، مهذَّب</w:t>
      </w:r>
      <w:r w:rsidRPr="00282AC9">
        <w:rPr>
          <w:rFonts w:cs="DanaFajr"/>
          <w:sz w:val="28"/>
          <w:szCs w:val="28"/>
          <w:rtl/>
        </w:rPr>
        <w:t xml:space="preserve"> </w:t>
      </w:r>
      <w:r w:rsidRPr="00282AC9">
        <w:rPr>
          <w:rFonts w:cs="DanaFajr" w:hint="cs"/>
          <w:sz w:val="28"/>
          <w:szCs w:val="28"/>
          <w:rtl/>
        </w:rPr>
        <w:t>الأحكام</w:t>
      </w:r>
      <w:r w:rsidRPr="00282AC9">
        <w:rPr>
          <w:rFonts w:cs="DanaFajr"/>
          <w:sz w:val="28"/>
          <w:szCs w:val="28"/>
          <w:rtl/>
        </w:rPr>
        <w:t xml:space="preserve"> </w:t>
      </w:r>
      <w:r w:rsidRPr="00282AC9">
        <w:rPr>
          <w:rFonts w:cs="DanaFajr" w:hint="cs"/>
          <w:sz w:val="28"/>
          <w:szCs w:val="28"/>
          <w:rtl/>
        </w:rPr>
        <w:t>في</w:t>
      </w:r>
      <w:r w:rsidRPr="00282AC9">
        <w:rPr>
          <w:rFonts w:cs="DanaFajr"/>
          <w:sz w:val="28"/>
          <w:szCs w:val="28"/>
          <w:rtl/>
        </w:rPr>
        <w:t xml:space="preserve"> </w:t>
      </w:r>
      <w:r w:rsidRPr="00282AC9">
        <w:rPr>
          <w:rFonts w:cs="DanaFajr" w:hint="cs"/>
          <w:sz w:val="28"/>
          <w:szCs w:val="28"/>
          <w:rtl/>
        </w:rPr>
        <w:t>بيان</w:t>
      </w:r>
      <w:r w:rsidRPr="00282AC9">
        <w:rPr>
          <w:rFonts w:cs="DanaFajr"/>
          <w:sz w:val="28"/>
          <w:szCs w:val="28"/>
          <w:rtl/>
        </w:rPr>
        <w:t xml:space="preserve"> </w:t>
      </w:r>
      <w:r w:rsidRPr="00282AC9">
        <w:rPr>
          <w:rFonts w:cs="DanaFajr" w:hint="cs"/>
          <w:sz w:val="28"/>
          <w:szCs w:val="28"/>
          <w:rtl/>
        </w:rPr>
        <w:t>الحلال</w:t>
      </w:r>
      <w:r w:rsidRPr="00282AC9">
        <w:rPr>
          <w:rFonts w:cs="DanaFajr"/>
          <w:sz w:val="28"/>
          <w:szCs w:val="28"/>
          <w:rtl/>
        </w:rPr>
        <w:t xml:space="preserve"> </w:t>
      </w:r>
      <w:r w:rsidRPr="00282AC9">
        <w:rPr>
          <w:rFonts w:cs="DanaFajr" w:hint="cs"/>
          <w:sz w:val="28"/>
          <w:szCs w:val="28"/>
          <w:rtl/>
        </w:rPr>
        <w:t>والحرام</w:t>
      </w:r>
      <w:r w:rsidRPr="00282AC9">
        <w:rPr>
          <w:rFonts w:cs="DanaFajr"/>
          <w:sz w:val="28"/>
          <w:szCs w:val="28"/>
          <w:rtl/>
        </w:rPr>
        <w:t xml:space="preserve"> 2</w:t>
      </w:r>
      <w:r w:rsidRPr="00282AC9">
        <w:rPr>
          <w:rFonts w:cs="DanaFajr" w:hint="cs"/>
          <w:sz w:val="28"/>
          <w:szCs w:val="28"/>
          <w:rtl/>
        </w:rPr>
        <w:t>9: 83</w:t>
      </w:r>
      <w:r w:rsidRPr="00282AC9">
        <w:rPr>
          <w:rFonts w:cs="DanaFajr" w:hint="cs"/>
          <w:sz w:val="28"/>
          <w:szCs w:val="28"/>
          <w:rtl/>
          <w:lang w:bidi="ar-LB"/>
        </w:rPr>
        <w:t>.</w:t>
      </w:r>
    </w:p>
  </w:endnote>
  <w:endnote w:id="825">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lang w:bidi="ar-LB"/>
        </w:rPr>
        <w:t xml:space="preserve"> </w:t>
      </w:r>
      <w:r w:rsidRPr="00282AC9">
        <w:rPr>
          <w:rFonts w:cs="DanaFajr" w:hint="cs"/>
          <w:sz w:val="28"/>
          <w:szCs w:val="28"/>
          <w:rtl/>
        </w:rPr>
        <w:t>السيد</w:t>
      </w:r>
      <w:r w:rsidRPr="00282AC9">
        <w:rPr>
          <w:rFonts w:cs="DanaFajr"/>
          <w:sz w:val="28"/>
          <w:szCs w:val="28"/>
          <w:rtl/>
        </w:rPr>
        <w:t xml:space="preserve"> </w:t>
      </w:r>
      <w:r w:rsidRPr="00282AC9">
        <w:rPr>
          <w:rFonts w:cs="DanaFajr" w:hint="cs"/>
          <w:sz w:val="28"/>
          <w:szCs w:val="28"/>
          <w:rtl/>
        </w:rPr>
        <w:t>الخميني، تحرير</w:t>
      </w:r>
      <w:r w:rsidRPr="00282AC9">
        <w:rPr>
          <w:rFonts w:cs="DanaFajr"/>
          <w:sz w:val="28"/>
          <w:szCs w:val="28"/>
          <w:rtl/>
        </w:rPr>
        <w:t xml:space="preserve"> </w:t>
      </w:r>
      <w:r w:rsidRPr="00282AC9">
        <w:rPr>
          <w:rFonts w:cs="DanaFajr" w:hint="cs"/>
          <w:sz w:val="28"/>
          <w:szCs w:val="28"/>
          <w:rtl/>
        </w:rPr>
        <w:t xml:space="preserve">الوسيلة </w:t>
      </w:r>
      <w:r w:rsidRPr="00282AC9">
        <w:rPr>
          <w:rFonts w:cs="DanaFajr"/>
          <w:sz w:val="28"/>
          <w:szCs w:val="28"/>
          <w:rtl/>
        </w:rPr>
        <w:t>2</w:t>
      </w:r>
      <w:r w:rsidRPr="00282AC9">
        <w:rPr>
          <w:rFonts w:cs="DanaFajr" w:hint="cs"/>
          <w:sz w:val="28"/>
          <w:szCs w:val="28"/>
          <w:rtl/>
        </w:rPr>
        <w:t>: 557</w:t>
      </w:r>
      <w:r w:rsidRPr="00282AC9">
        <w:rPr>
          <w:rFonts w:cs="DanaFajr" w:hint="cs"/>
          <w:sz w:val="28"/>
          <w:szCs w:val="28"/>
          <w:rtl/>
          <w:lang w:bidi="ar-LB"/>
        </w:rPr>
        <w:t>.</w:t>
      </w:r>
    </w:p>
  </w:endnote>
  <w:endnote w:id="826">
    <w:p w:rsidR="00C14EDE" w:rsidRPr="00282AC9" w:rsidRDefault="00C14EDE" w:rsidP="005C545C">
      <w:pPr>
        <w:pStyle w:val="af7"/>
        <w:spacing w:line="296" w:lineRule="exact"/>
        <w:ind w:firstLine="0"/>
        <w:rPr>
          <w:rFonts w:cs="DanaFajr"/>
          <w:sz w:val="28"/>
          <w:szCs w:val="28"/>
          <w:rtl/>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الراغب الأصفهاني، المفردات في غريب القرآن: 518.</w:t>
      </w:r>
    </w:p>
  </w:endnote>
  <w:endnote w:id="827">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الجوهري، الصحاح:</w:t>
      </w:r>
      <w:r w:rsidRPr="00282AC9">
        <w:rPr>
          <w:rFonts w:cs="DanaFajr"/>
          <w:sz w:val="28"/>
          <w:szCs w:val="28"/>
          <w:rtl/>
        </w:rPr>
        <w:t xml:space="preserve"> 4</w:t>
      </w:r>
      <w:r w:rsidRPr="00282AC9">
        <w:rPr>
          <w:rFonts w:cs="DanaFajr" w:hint="cs"/>
          <w:sz w:val="28"/>
          <w:szCs w:val="28"/>
          <w:rtl/>
        </w:rPr>
        <w:t>.</w:t>
      </w:r>
      <w:r w:rsidRPr="00282AC9">
        <w:rPr>
          <w:rFonts w:cs="DanaFajr"/>
          <w:sz w:val="28"/>
          <w:szCs w:val="28"/>
          <w:rtl/>
        </w:rPr>
        <w:t xml:space="preserve"> </w:t>
      </w:r>
    </w:p>
  </w:endnote>
  <w:endnote w:id="828">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الخليل</w:t>
      </w:r>
      <w:r w:rsidRPr="00282AC9">
        <w:rPr>
          <w:rFonts w:cs="DanaFajr"/>
          <w:sz w:val="28"/>
          <w:szCs w:val="28"/>
          <w:rtl/>
        </w:rPr>
        <w:t xml:space="preserve"> </w:t>
      </w:r>
      <w:r w:rsidRPr="00282AC9">
        <w:rPr>
          <w:rFonts w:cs="DanaFajr" w:hint="cs"/>
          <w:sz w:val="28"/>
          <w:szCs w:val="28"/>
          <w:rtl/>
        </w:rPr>
        <w:t>الفراهيدي، العين</w:t>
      </w:r>
      <w:r w:rsidRPr="00282AC9">
        <w:rPr>
          <w:rFonts w:cs="DanaFajr"/>
          <w:sz w:val="28"/>
          <w:szCs w:val="28"/>
          <w:rtl/>
        </w:rPr>
        <w:t xml:space="preserve"> 5</w:t>
      </w:r>
      <w:r w:rsidRPr="00282AC9">
        <w:rPr>
          <w:rFonts w:cs="DanaFajr" w:hint="cs"/>
          <w:sz w:val="28"/>
          <w:szCs w:val="28"/>
          <w:rtl/>
        </w:rPr>
        <w:t>: 98.</w:t>
      </w:r>
    </w:p>
  </w:endnote>
  <w:endnote w:id="829">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الفيروزآبادي، القاموس</w:t>
      </w:r>
      <w:r w:rsidRPr="00282AC9">
        <w:rPr>
          <w:rFonts w:cs="DanaFajr"/>
          <w:sz w:val="28"/>
          <w:szCs w:val="28"/>
          <w:rtl/>
        </w:rPr>
        <w:t xml:space="preserve"> </w:t>
      </w:r>
      <w:r w:rsidRPr="00282AC9">
        <w:rPr>
          <w:rFonts w:cs="DanaFajr" w:hint="cs"/>
          <w:sz w:val="28"/>
          <w:szCs w:val="28"/>
          <w:rtl/>
        </w:rPr>
        <w:t>المحيط</w:t>
      </w:r>
      <w:r w:rsidRPr="00282AC9">
        <w:rPr>
          <w:rFonts w:cs="DanaFajr"/>
          <w:sz w:val="28"/>
          <w:szCs w:val="28"/>
          <w:rtl/>
        </w:rPr>
        <w:t xml:space="preserve"> 3</w:t>
      </w:r>
      <w:r w:rsidRPr="00282AC9">
        <w:rPr>
          <w:rFonts w:cs="DanaFajr" w:hint="cs"/>
          <w:sz w:val="28"/>
          <w:szCs w:val="28"/>
          <w:rtl/>
        </w:rPr>
        <w:t>: 757.</w:t>
      </w:r>
      <w:r w:rsidRPr="00282AC9">
        <w:rPr>
          <w:rFonts w:cs="DanaFajr"/>
          <w:sz w:val="28"/>
          <w:szCs w:val="28"/>
          <w:rtl/>
        </w:rPr>
        <w:t xml:space="preserve"> </w:t>
      </w:r>
    </w:p>
  </w:endnote>
  <w:endnote w:id="830">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sz w:val="28"/>
          <w:szCs w:val="28"/>
          <w:rtl/>
        </w:rPr>
        <w:t>أب</w:t>
      </w:r>
      <w:r w:rsidRPr="00282AC9">
        <w:rPr>
          <w:rFonts w:cs="DanaFajr" w:hint="cs"/>
          <w:sz w:val="28"/>
          <w:szCs w:val="28"/>
          <w:rtl/>
        </w:rPr>
        <w:t>و</w:t>
      </w:r>
      <w:r w:rsidRPr="00282AC9">
        <w:rPr>
          <w:rFonts w:cs="DanaFajr"/>
          <w:sz w:val="28"/>
          <w:szCs w:val="28"/>
          <w:rtl/>
        </w:rPr>
        <w:t xml:space="preserve"> الحسين أحمد بن فارس بن زك</w:t>
      </w:r>
      <w:r w:rsidRPr="00282AC9">
        <w:rPr>
          <w:rFonts w:cs="DanaFajr" w:hint="cs"/>
          <w:sz w:val="28"/>
          <w:szCs w:val="28"/>
          <w:rtl/>
        </w:rPr>
        <w:t xml:space="preserve">ريا، </w:t>
      </w:r>
      <w:r w:rsidRPr="00282AC9">
        <w:rPr>
          <w:rFonts w:cs="DanaFajr"/>
          <w:sz w:val="28"/>
          <w:szCs w:val="28"/>
          <w:rtl/>
        </w:rPr>
        <w:t>معجم مقاييس اللغة ٣</w:t>
      </w:r>
      <w:r w:rsidRPr="00282AC9">
        <w:rPr>
          <w:rFonts w:cs="DanaFajr" w:hint="cs"/>
          <w:sz w:val="28"/>
          <w:szCs w:val="28"/>
          <w:rtl/>
        </w:rPr>
        <w:t>: 451.</w:t>
      </w:r>
    </w:p>
  </w:endnote>
  <w:endnote w:id="831">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hint="cs"/>
          <w:sz w:val="28"/>
          <w:szCs w:val="28"/>
          <w:rtl/>
          <w:lang w:bidi="ar-LB"/>
        </w:rPr>
        <w:t>الكافي</w:t>
      </w:r>
      <w:r w:rsidRPr="00282AC9">
        <w:rPr>
          <w:rFonts w:cs="DanaFajr"/>
          <w:sz w:val="28"/>
          <w:szCs w:val="28"/>
          <w:rtl/>
          <w:lang w:bidi="ar-LB"/>
        </w:rPr>
        <w:t xml:space="preserve"> 5: 567</w:t>
      </w:r>
      <w:r w:rsidRPr="00282AC9">
        <w:rPr>
          <w:rFonts w:cs="DanaFajr" w:hint="cs"/>
          <w:sz w:val="28"/>
          <w:szCs w:val="28"/>
          <w:rtl/>
          <w:lang w:bidi="ar-LB"/>
        </w:rPr>
        <w:t>.</w:t>
      </w:r>
    </w:p>
  </w:endnote>
  <w:endnote w:id="832">
    <w:p w:rsidR="00C14EDE" w:rsidRPr="00282AC9" w:rsidRDefault="00C14EDE" w:rsidP="005C545C">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cs="DanaFajr" w:hint="cs"/>
          <w:sz w:val="28"/>
          <w:szCs w:val="28"/>
          <w:rtl/>
        </w:rPr>
        <w:t>بحار</w:t>
      </w:r>
      <w:r w:rsidRPr="00282AC9">
        <w:rPr>
          <w:rFonts w:cs="DanaFajr"/>
          <w:sz w:val="28"/>
          <w:szCs w:val="28"/>
          <w:rtl/>
        </w:rPr>
        <w:t xml:space="preserve"> </w:t>
      </w:r>
      <w:r w:rsidRPr="00282AC9">
        <w:rPr>
          <w:rFonts w:cs="DanaFajr" w:hint="cs"/>
          <w:sz w:val="28"/>
          <w:szCs w:val="28"/>
          <w:rtl/>
        </w:rPr>
        <w:t>الأنوار</w:t>
      </w:r>
      <w:r w:rsidRPr="00282AC9">
        <w:rPr>
          <w:rFonts w:cs="DanaFajr"/>
          <w:sz w:val="28"/>
          <w:szCs w:val="28"/>
          <w:rtl/>
        </w:rPr>
        <w:t xml:space="preserve"> 103</w:t>
      </w:r>
      <w:r w:rsidRPr="00282AC9">
        <w:rPr>
          <w:rFonts w:cs="DanaFajr" w:hint="cs"/>
          <w:sz w:val="28"/>
          <w:szCs w:val="28"/>
          <w:rtl/>
        </w:rPr>
        <w:t>:</w:t>
      </w:r>
      <w:r w:rsidRPr="00282AC9">
        <w:rPr>
          <w:rFonts w:cs="DanaFajr"/>
          <w:sz w:val="28"/>
          <w:szCs w:val="28"/>
          <w:rtl/>
        </w:rPr>
        <w:t xml:space="preserve"> 306</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وسائل الشيعة</w:t>
      </w:r>
      <w:r w:rsidRPr="00282AC9">
        <w:rPr>
          <w:rFonts w:cs="DanaFajr"/>
          <w:sz w:val="28"/>
          <w:szCs w:val="28"/>
          <w:rtl/>
        </w:rPr>
        <w:t xml:space="preserve"> 21</w:t>
      </w:r>
      <w:r w:rsidRPr="00282AC9">
        <w:rPr>
          <w:rFonts w:cs="DanaFajr" w:hint="cs"/>
          <w:sz w:val="28"/>
          <w:szCs w:val="28"/>
          <w:rtl/>
        </w:rPr>
        <w:t>:</w:t>
      </w:r>
      <w:r w:rsidRPr="00282AC9">
        <w:rPr>
          <w:rFonts w:cs="DanaFajr"/>
          <w:sz w:val="28"/>
          <w:szCs w:val="28"/>
          <w:rtl/>
        </w:rPr>
        <w:t xml:space="preserve"> 15 </w:t>
      </w:r>
      <w:r w:rsidRPr="00282AC9">
        <w:rPr>
          <w:rFonts w:cs="DanaFajr" w:hint="cs"/>
          <w:sz w:val="28"/>
          <w:szCs w:val="28"/>
          <w:rtl/>
        </w:rPr>
        <w:t>ح</w:t>
      </w:r>
      <w:r w:rsidRPr="00282AC9">
        <w:rPr>
          <w:rFonts w:cs="DanaFajr"/>
          <w:sz w:val="28"/>
          <w:szCs w:val="28"/>
          <w:rtl/>
        </w:rPr>
        <w:t xml:space="preserve">26400، </w:t>
      </w:r>
      <w:r w:rsidRPr="00282AC9">
        <w:rPr>
          <w:rFonts w:cs="DanaFajr" w:hint="cs"/>
          <w:sz w:val="28"/>
          <w:szCs w:val="28"/>
          <w:rtl/>
        </w:rPr>
        <w:t>مستدرك</w:t>
      </w:r>
      <w:r w:rsidRPr="00282AC9">
        <w:rPr>
          <w:rFonts w:cs="DanaFajr"/>
          <w:sz w:val="28"/>
          <w:szCs w:val="28"/>
          <w:rtl/>
        </w:rPr>
        <w:t xml:space="preserve"> </w:t>
      </w:r>
      <w:r w:rsidRPr="00282AC9">
        <w:rPr>
          <w:rFonts w:cs="DanaFajr" w:hint="cs"/>
          <w:sz w:val="28"/>
          <w:szCs w:val="28"/>
          <w:rtl/>
        </w:rPr>
        <w:t>الوسائل 14: 452،</w:t>
      </w:r>
      <w:r w:rsidRPr="00282AC9">
        <w:rPr>
          <w:rFonts w:cs="DanaFajr"/>
          <w:sz w:val="28"/>
          <w:szCs w:val="28"/>
          <w:rtl/>
        </w:rPr>
        <w:t xml:space="preserve"> </w:t>
      </w:r>
      <w:r w:rsidRPr="00282AC9">
        <w:rPr>
          <w:rFonts w:cs="DanaFajr" w:hint="cs"/>
          <w:sz w:val="28"/>
          <w:szCs w:val="28"/>
          <w:rtl/>
        </w:rPr>
        <w:t>نقلاً</w:t>
      </w:r>
      <w:r w:rsidRPr="00282AC9">
        <w:rPr>
          <w:rFonts w:cs="DanaFajr"/>
          <w:sz w:val="28"/>
          <w:szCs w:val="28"/>
          <w:rtl/>
        </w:rPr>
        <w:t xml:space="preserve"> </w:t>
      </w:r>
      <w:r w:rsidRPr="00282AC9">
        <w:rPr>
          <w:rFonts w:cs="DanaFajr" w:hint="cs"/>
          <w:sz w:val="28"/>
          <w:szCs w:val="28"/>
          <w:rtl/>
        </w:rPr>
        <w:t>عن</w:t>
      </w:r>
      <w:r w:rsidRPr="00282AC9">
        <w:rPr>
          <w:rFonts w:cs="DanaFajr"/>
          <w:sz w:val="28"/>
          <w:szCs w:val="28"/>
          <w:rtl/>
        </w:rPr>
        <w:t xml:space="preserve"> </w:t>
      </w:r>
      <w:r w:rsidRPr="00282AC9">
        <w:rPr>
          <w:rFonts w:cs="DanaFajr" w:hint="cs"/>
          <w:sz w:val="28"/>
          <w:szCs w:val="28"/>
          <w:rtl/>
        </w:rPr>
        <w:t>رسالة</w:t>
      </w:r>
      <w:r w:rsidRPr="00282AC9">
        <w:rPr>
          <w:rFonts w:cs="DanaFajr"/>
          <w:sz w:val="28"/>
          <w:szCs w:val="28"/>
          <w:rtl/>
        </w:rPr>
        <w:t xml:space="preserve"> </w:t>
      </w:r>
      <w:r w:rsidRPr="00282AC9">
        <w:rPr>
          <w:rFonts w:cs="DanaFajr" w:hint="cs"/>
          <w:sz w:val="28"/>
          <w:szCs w:val="28"/>
          <w:rtl/>
        </w:rPr>
        <w:t>المتعة</w:t>
      </w:r>
      <w:r w:rsidRPr="00282AC9">
        <w:rPr>
          <w:rFonts w:cs="DanaFajr"/>
          <w:sz w:val="28"/>
          <w:szCs w:val="28"/>
          <w:rtl/>
        </w:rPr>
        <w:t xml:space="preserve"> </w:t>
      </w:r>
      <w:r w:rsidRPr="00282AC9">
        <w:rPr>
          <w:rFonts w:cs="DanaFajr" w:hint="cs"/>
          <w:sz w:val="28"/>
          <w:szCs w:val="28"/>
          <w:rtl/>
        </w:rPr>
        <w:t>للمفيد</w:t>
      </w:r>
      <w:r w:rsidRPr="00282AC9">
        <w:rPr>
          <w:rFonts w:cs="DanaFajr"/>
          <w:sz w:val="28"/>
          <w:szCs w:val="28"/>
          <w:rtl/>
        </w:rPr>
        <w:t>.</w:t>
      </w:r>
    </w:p>
  </w:endnote>
  <w:endnote w:id="833">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sz w:val="28"/>
          <w:szCs w:val="28"/>
        </w:rPr>
        <w:t xml:space="preserve"> </w:t>
      </w:r>
      <w:r w:rsidRPr="00282AC9">
        <w:rPr>
          <w:rFonts w:cs="DanaFajr" w:hint="cs"/>
          <w:b/>
          <w:bCs/>
          <w:sz w:val="28"/>
          <w:szCs w:val="28"/>
          <w:rtl/>
          <w:lang w:bidi="ar-LB"/>
        </w:rPr>
        <w:t>وقد</w:t>
      </w:r>
      <w:r w:rsidRPr="00282AC9">
        <w:rPr>
          <w:rFonts w:cs="DanaFajr"/>
          <w:b/>
          <w:bCs/>
          <w:sz w:val="28"/>
          <w:szCs w:val="28"/>
          <w:rtl/>
          <w:lang w:bidi="ar-LB"/>
        </w:rPr>
        <w:t xml:space="preserve"> </w:t>
      </w:r>
      <w:r w:rsidRPr="00282AC9">
        <w:rPr>
          <w:rFonts w:cs="DanaFajr" w:hint="cs"/>
          <w:b/>
          <w:bCs/>
          <w:sz w:val="28"/>
          <w:szCs w:val="28"/>
          <w:rtl/>
          <w:lang w:bidi="ar-LB"/>
        </w:rPr>
        <w:t>قيل</w:t>
      </w:r>
      <w:r w:rsidRPr="00282AC9">
        <w:rPr>
          <w:rFonts w:cs="DanaFajr"/>
          <w:sz w:val="28"/>
          <w:szCs w:val="28"/>
          <w:rtl/>
          <w:lang w:bidi="ar-LB"/>
        </w:rPr>
        <w:t xml:space="preserve">: </w:t>
      </w:r>
      <w:r w:rsidRPr="00282AC9">
        <w:rPr>
          <w:rFonts w:cs="DanaFajr" w:hint="cs"/>
          <w:sz w:val="28"/>
          <w:szCs w:val="28"/>
          <w:rtl/>
          <w:lang w:bidi="ar-LB"/>
        </w:rPr>
        <w:t>إن</w:t>
      </w:r>
      <w:r w:rsidRPr="00282AC9">
        <w:rPr>
          <w:rFonts w:cs="DanaFajr"/>
          <w:sz w:val="28"/>
          <w:szCs w:val="28"/>
          <w:rtl/>
          <w:lang w:bidi="ar-LB"/>
        </w:rPr>
        <w:t xml:space="preserve"> </w:t>
      </w:r>
      <w:r w:rsidRPr="00282AC9">
        <w:rPr>
          <w:rFonts w:cs="DanaFajr" w:hint="cs"/>
          <w:sz w:val="28"/>
          <w:szCs w:val="28"/>
          <w:rtl/>
          <w:lang w:bidi="ar-LB"/>
        </w:rPr>
        <w:t>النكاح</w:t>
      </w:r>
      <w:r w:rsidRPr="00282AC9">
        <w:rPr>
          <w:rFonts w:cs="DanaFajr"/>
          <w:sz w:val="28"/>
          <w:szCs w:val="28"/>
          <w:rtl/>
          <w:lang w:bidi="ar-LB"/>
        </w:rPr>
        <w:t xml:space="preserve"> </w:t>
      </w:r>
      <w:r w:rsidRPr="00282AC9">
        <w:rPr>
          <w:rFonts w:cs="DanaFajr" w:hint="cs"/>
          <w:sz w:val="28"/>
          <w:szCs w:val="28"/>
          <w:rtl/>
          <w:lang w:bidi="ar-LB"/>
        </w:rPr>
        <w:t>المحكوم</w:t>
      </w:r>
      <w:r w:rsidRPr="00282AC9">
        <w:rPr>
          <w:rFonts w:cs="DanaFajr"/>
          <w:sz w:val="28"/>
          <w:szCs w:val="28"/>
          <w:rtl/>
          <w:lang w:bidi="ar-LB"/>
        </w:rPr>
        <w:t xml:space="preserve"> </w:t>
      </w:r>
      <w:r w:rsidRPr="00282AC9">
        <w:rPr>
          <w:rFonts w:cs="DanaFajr" w:hint="cs"/>
          <w:sz w:val="28"/>
          <w:szCs w:val="28"/>
          <w:rtl/>
          <w:lang w:bidi="ar-LB"/>
        </w:rPr>
        <w:t>عليه</w:t>
      </w:r>
      <w:r w:rsidRPr="00282AC9">
        <w:rPr>
          <w:rFonts w:cs="DanaFajr"/>
          <w:sz w:val="28"/>
          <w:szCs w:val="28"/>
          <w:rtl/>
          <w:lang w:bidi="ar-LB"/>
        </w:rPr>
        <w:t xml:space="preserve"> </w:t>
      </w:r>
      <w:r w:rsidRPr="00282AC9">
        <w:rPr>
          <w:rFonts w:cs="DanaFajr" w:hint="cs"/>
          <w:sz w:val="28"/>
          <w:szCs w:val="28"/>
          <w:rtl/>
          <w:lang w:bidi="ar-LB"/>
        </w:rPr>
        <w:t>بالاستحباب</w:t>
      </w:r>
      <w:r w:rsidRPr="00282AC9">
        <w:rPr>
          <w:rFonts w:cs="DanaFajr"/>
          <w:sz w:val="28"/>
          <w:szCs w:val="28"/>
          <w:rtl/>
          <w:lang w:bidi="ar-LB"/>
        </w:rPr>
        <w:t xml:space="preserve"> </w:t>
      </w:r>
      <w:r w:rsidRPr="00282AC9">
        <w:rPr>
          <w:rFonts w:cs="DanaFajr" w:hint="cs"/>
          <w:sz w:val="28"/>
          <w:szCs w:val="28"/>
          <w:rtl/>
          <w:lang w:bidi="ar-LB"/>
        </w:rPr>
        <w:t>هو</w:t>
      </w:r>
      <w:r w:rsidRPr="00282AC9">
        <w:rPr>
          <w:rFonts w:cs="DanaFajr"/>
          <w:sz w:val="28"/>
          <w:szCs w:val="28"/>
          <w:rtl/>
          <w:lang w:bidi="ar-LB"/>
        </w:rPr>
        <w:t xml:space="preserve"> </w:t>
      </w:r>
      <w:r w:rsidRPr="00282AC9">
        <w:rPr>
          <w:rFonts w:cs="DanaFajr" w:hint="cs"/>
          <w:sz w:val="28"/>
          <w:szCs w:val="28"/>
          <w:rtl/>
          <w:lang w:bidi="ar-LB"/>
        </w:rPr>
        <w:t>العقد</w:t>
      </w:r>
      <w:r w:rsidRPr="00282AC9">
        <w:rPr>
          <w:rFonts w:cs="DanaFajr"/>
          <w:sz w:val="28"/>
          <w:szCs w:val="28"/>
          <w:rtl/>
          <w:lang w:bidi="ar-LB"/>
        </w:rPr>
        <w:t xml:space="preserve"> </w:t>
      </w:r>
      <w:r w:rsidRPr="00282AC9">
        <w:rPr>
          <w:rFonts w:cs="DanaFajr" w:hint="cs"/>
          <w:sz w:val="28"/>
          <w:szCs w:val="28"/>
          <w:rtl/>
          <w:lang w:bidi="ar-LB"/>
        </w:rPr>
        <w:t>المحلِّل</w:t>
      </w:r>
      <w:r w:rsidRPr="00282AC9">
        <w:rPr>
          <w:rFonts w:cs="DanaFajr"/>
          <w:sz w:val="28"/>
          <w:szCs w:val="28"/>
          <w:rtl/>
          <w:lang w:bidi="ar-LB"/>
        </w:rPr>
        <w:t xml:space="preserve"> </w:t>
      </w:r>
      <w:r w:rsidRPr="00282AC9">
        <w:rPr>
          <w:rFonts w:cs="DanaFajr" w:hint="cs"/>
          <w:sz w:val="28"/>
          <w:szCs w:val="28"/>
          <w:rtl/>
          <w:lang w:bidi="ar-LB"/>
        </w:rPr>
        <w:t>للوطء؛</w:t>
      </w:r>
      <w:r w:rsidRPr="00282AC9">
        <w:rPr>
          <w:rFonts w:cs="DanaFajr"/>
          <w:sz w:val="28"/>
          <w:szCs w:val="28"/>
          <w:rtl/>
          <w:lang w:bidi="ar-LB"/>
        </w:rPr>
        <w:t xml:space="preserve"> </w:t>
      </w:r>
      <w:r w:rsidRPr="00282AC9">
        <w:rPr>
          <w:rFonts w:cs="DanaFajr" w:hint="cs"/>
          <w:sz w:val="28"/>
          <w:szCs w:val="28"/>
          <w:rtl/>
          <w:lang w:bidi="ar-LB"/>
        </w:rPr>
        <w:t>لأن لفظ</w:t>
      </w:r>
      <w:r w:rsidRPr="00282AC9">
        <w:rPr>
          <w:rFonts w:cs="DanaFajr"/>
          <w:sz w:val="28"/>
          <w:szCs w:val="28"/>
          <w:rtl/>
          <w:lang w:bidi="ar-LB"/>
        </w:rPr>
        <w:t xml:space="preserve"> </w:t>
      </w:r>
      <w:r w:rsidRPr="00282AC9">
        <w:rPr>
          <w:rFonts w:cs="DanaFajr" w:hint="cs"/>
          <w:sz w:val="28"/>
          <w:szCs w:val="28"/>
          <w:rtl/>
          <w:lang w:bidi="ar-LB"/>
        </w:rPr>
        <w:t>النكاح</w:t>
      </w:r>
      <w:r w:rsidRPr="00282AC9">
        <w:rPr>
          <w:rFonts w:cs="DanaFajr"/>
          <w:sz w:val="28"/>
          <w:szCs w:val="28"/>
          <w:rtl/>
          <w:lang w:bidi="ar-LB"/>
        </w:rPr>
        <w:t xml:space="preserve"> </w:t>
      </w:r>
      <w:r w:rsidRPr="00282AC9">
        <w:rPr>
          <w:rFonts w:cs="DanaFajr" w:hint="cs"/>
          <w:sz w:val="28"/>
          <w:szCs w:val="28"/>
          <w:rtl/>
          <w:lang w:bidi="ar-LB"/>
        </w:rPr>
        <w:t>حقيقة</w:t>
      </w:r>
      <w:r w:rsidRPr="00282AC9">
        <w:rPr>
          <w:rFonts w:cs="DanaFajr"/>
          <w:sz w:val="28"/>
          <w:szCs w:val="28"/>
          <w:rtl/>
          <w:lang w:bidi="ar-LB"/>
        </w:rPr>
        <w:t xml:space="preserve"> </w:t>
      </w:r>
      <w:r w:rsidRPr="00282AC9">
        <w:rPr>
          <w:rFonts w:cs="DanaFajr" w:hint="cs"/>
          <w:sz w:val="28"/>
          <w:szCs w:val="28"/>
          <w:rtl/>
          <w:lang w:bidi="ar-LB"/>
        </w:rPr>
        <w:t>فيه.</w:t>
      </w:r>
    </w:p>
    <w:p w:rsidR="00C14EDE" w:rsidRPr="00282AC9" w:rsidRDefault="00C14EDE" w:rsidP="005C545C">
      <w:pPr>
        <w:pStyle w:val="af7"/>
        <w:spacing w:line="296" w:lineRule="exact"/>
        <w:ind w:firstLine="0"/>
        <w:rPr>
          <w:rFonts w:cs="DanaFajr"/>
          <w:sz w:val="28"/>
          <w:szCs w:val="28"/>
          <w:rtl/>
          <w:lang w:bidi="ar-LB"/>
        </w:rPr>
      </w:pPr>
      <w:r w:rsidRPr="00282AC9">
        <w:rPr>
          <w:rFonts w:cs="DanaFajr" w:hint="cs"/>
          <w:b/>
          <w:bCs/>
          <w:sz w:val="28"/>
          <w:szCs w:val="28"/>
          <w:rtl/>
          <w:lang w:bidi="ar-LB"/>
        </w:rPr>
        <w:t>قلتُ</w:t>
      </w:r>
      <w:r w:rsidRPr="00282AC9">
        <w:rPr>
          <w:rFonts w:cs="DanaFajr"/>
          <w:sz w:val="28"/>
          <w:szCs w:val="28"/>
          <w:rtl/>
          <w:lang w:bidi="ar-LB"/>
        </w:rPr>
        <w:t xml:space="preserve">: </w:t>
      </w:r>
      <w:r w:rsidRPr="00282AC9">
        <w:rPr>
          <w:rFonts w:cs="DanaFajr" w:hint="cs"/>
          <w:sz w:val="28"/>
          <w:szCs w:val="28"/>
          <w:rtl/>
          <w:lang w:bidi="ar-LB"/>
        </w:rPr>
        <w:t>قد</w:t>
      </w:r>
      <w:r w:rsidRPr="00282AC9">
        <w:rPr>
          <w:rFonts w:cs="DanaFajr"/>
          <w:sz w:val="28"/>
          <w:szCs w:val="28"/>
          <w:rtl/>
          <w:lang w:bidi="ar-LB"/>
        </w:rPr>
        <w:t xml:space="preserve"> </w:t>
      </w:r>
      <w:r w:rsidRPr="00282AC9">
        <w:rPr>
          <w:rFonts w:cs="DanaFajr" w:hint="cs"/>
          <w:sz w:val="28"/>
          <w:szCs w:val="28"/>
          <w:rtl/>
          <w:lang w:bidi="ar-LB"/>
        </w:rPr>
        <w:t>يحتمل</w:t>
      </w:r>
      <w:r w:rsidRPr="00282AC9">
        <w:rPr>
          <w:rFonts w:cs="DanaFajr"/>
          <w:sz w:val="28"/>
          <w:szCs w:val="28"/>
          <w:rtl/>
          <w:lang w:bidi="ar-LB"/>
        </w:rPr>
        <w:t xml:space="preserve"> </w:t>
      </w:r>
      <w:r w:rsidRPr="00282AC9">
        <w:rPr>
          <w:rFonts w:cs="DanaFajr" w:hint="cs"/>
          <w:sz w:val="28"/>
          <w:szCs w:val="28"/>
          <w:rtl/>
          <w:lang w:bidi="ar-LB"/>
        </w:rPr>
        <w:t>قويّاً</w:t>
      </w:r>
      <w:r w:rsidRPr="00282AC9">
        <w:rPr>
          <w:rFonts w:cs="DanaFajr"/>
          <w:sz w:val="28"/>
          <w:szCs w:val="28"/>
          <w:rtl/>
          <w:lang w:bidi="ar-LB"/>
        </w:rPr>
        <w:t xml:space="preserve"> </w:t>
      </w:r>
      <w:r w:rsidRPr="00282AC9">
        <w:rPr>
          <w:rFonts w:cs="DanaFajr" w:hint="cs"/>
          <w:sz w:val="28"/>
          <w:szCs w:val="28"/>
          <w:rtl/>
          <w:lang w:bidi="ar-LB"/>
        </w:rPr>
        <w:t>كون</w:t>
      </w:r>
      <w:r w:rsidRPr="00282AC9">
        <w:rPr>
          <w:rFonts w:cs="DanaFajr"/>
          <w:sz w:val="28"/>
          <w:szCs w:val="28"/>
          <w:rtl/>
          <w:lang w:bidi="ar-LB"/>
        </w:rPr>
        <w:t xml:space="preserve"> </w:t>
      </w:r>
      <w:r w:rsidRPr="00282AC9">
        <w:rPr>
          <w:rFonts w:cs="DanaFajr" w:hint="cs"/>
          <w:sz w:val="28"/>
          <w:szCs w:val="28"/>
          <w:rtl/>
          <w:lang w:bidi="ar-LB"/>
        </w:rPr>
        <w:t>المراد</w:t>
      </w:r>
      <w:r w:rsidRPr="00282AC9">
        <w:rPr>
          <w:rFonts w:cs="DanaFajr"/>
          <w:sz w:val="28"/>
          <w:szCs w:val="28"/>
          <w:rtl/>
          <w:lang w:bidi="ar-LB"/>
        </w:rPr>
        <w:t xml:space="preserve"> </w:t>
      </w:r>
      <w:r w:rsidRPr="00282AC9">
        <w:rPr>
          <w:rFonts w:cs="DanaFajr" w:hint="cs"/>
          <w:sz w:val="28"/>
          <w:szCs w:val="28"/>
          <w:rtl/>
          <w:lang w:bidi="ar-LB"/>
        </w:rPr>
        <w:t>منه</w:t>
      </w:r>
      <w:r w:rsidRPr="00282AC9">
        <w:rPr>
          <w:rFonts w:cs="DanaFajr"/>
          <w:sz w:val="28"/>
          <w:szCs w:val="28"/>
          <w:rtl/>
          <w:lang w:bidi="ar-LB"/>
        </w:rPr>
        <w:t xml:space="preserve"> </w:t>
      </w:r>
      <w:r w:rsidRPr="00282AC9">
        <w:rPr>
          <w:rFonts w:cs="DanaFajr" w:hint="cs"/>
          <w:sz w:val="28"/>
          <w:szCs w:val="28"/>
          <w:rtl/>
          <w:lang w:bidi="ar-LB"/>
        </w:rPr>
        <w:t>ما</w:t>
      </w:r>
      <w:r w:rsidRPr="00282AC9">
        <w:rPr>
          <w:rFonts w:cs="DanaFajr"/>
          <w:sz w:val="28"/>
          <w:szCs w:val="28"/>
          <w:rtl/>
          <w:lang w:bidi="ar-LB"/>
        </w:rPr>
        <w:t xml:space="preserve"> </w:t>
      </w:r>
      <w:r w:rsidRPr="00282AC9">
        <w:rPr>
          <w:rFonts w:cs="DanaFajr" w:hint="cs"/>
          <w:sz w:val="28"/>
          <w:szCs w:val="28"/>
          <w:rtl/>
          <w:lang w:bidi="ar-LB"/>
        </w:rPr>
        <w:t>يتناوله</w:t>
      </w:r>
      <w:r w:rsidRPr="00282AC9">
        <w:rPr>
          <w:rFonts w:cs="DanaFajr"/>
          <w:sz w:val="28"/>
          <w:szCs w:val="28"/>
          <w:rtl/>
          <w:lang w:bidi="ar-LB"/>
        </w:rPr>
        <w:t xml:space="preserve"> </w:t>
      </w:r>
      <w:r w:rsidRPr="00282AC9">
        <w:rPr>
          <w:rFonts w:cs="DanaFajr" w:hint="cs"/>
          <w:sz w:val="28"/>
          <w:szCs w:val="28"/>
          <w:rtl/>
          <w:lang w:bidi="ar-LB"/>
        </w:rPr>
        <w:t>والتسرّي؛ لوقوع</w:t>
      </w:r>
      <w:r w:rsidRPr="00282AC9">
        <w:rPr>
          <w:rFonts w:cs="DanaFajr"/>
          <w:sz w:val="28"/>
          <w:szCs w:val="28"/>
          <w:rtl/>
          <w:lang w:bidi="ar-LB"/>
        </w:rPr>
        <w:t xml:space="preserve"> </w:t>
      </w:r>
      <w:r w:rsidRPr="00282AC9">
        <w:rPr>
          <w:rFonts w:cs="DanaFajr" w:hint="cs"/>
          <w:sz w:val="28"/>
          <w:szCs w:val="28"/>
          <w:rtl/>
          <w:lang w:bidi="ar-LB"/>
        </w:rPr>
        <w:t>التعليل</w:t>
      </w:r>
      <w:r w:rsidRPr="00282AC9">
        <w:rPr>
          <w:rFonts w:cs="DanaFajr"/>
          <w:sz w:val="28"/>
          <w:szCs w:val="28"/>
          <w:rtl/>
          <w:lang w:bidi="ar-LB"/>
        </w:rPr>
        <w:t xml:space="preserve"> </w:t>
      </w:r>
      <w:r w:rsidRPr="00282AC9">
        <w:rPr>
          <w:rFonts w:cs="DanaFajr" w:hint="cs"/>
          <w:sz w:val="28"/>
          <w:szCs w:val="28"/>
          <w:rtl/>
          <w:lang w:bidi="ar-LB"/>
        </w:rPr>
        <w:t>في</w:t>
      </w:r>
      <w:r w:rsidRPr="00282AC9">
        <w:rPr>
          <w:rFonts w:cs="DanaFajr"/>
          <w:sz w:val="28"/>
          <w:szCs w:val="28"/>
          <w:rtl/>
          <w:lang w:bidi="ar-LB"/>
        </w:rPr>
        <w:t xml:space="preserve"> </w:t>
      </w:r>
      <w:r w:rsidRPr="00282AC9">
        <w:rPr>
          <w:rFonts w:cs="DanaFajr" w:hint="cs"/>
          <w:sz w:val="28"/>
          <w:szCs w:val="28"/>
          <w:rtl/>
          <w:lang w:bidi="ar-LB"/>
        </w:rPr>
        <w:t>كثيرٍ</w:t>
      </w:r>
      <w:r w:rsidRPr="00282AC9">
        <w:rPr>
          <w:rFonts w:cs="DanaFajr"/>
          <w:sz w:val="28"/>
          <w:szCs w:val="28"/>
          <w:rtl/>
          <w:lang w:bidi="ar-LB"/>
        </w:rPr>
        <w:t xml:space="preserve"> </w:t>
      </w:r>
      <w:r w:rsidRPr="00282AC9">
        <w:rPr>
          <w:rFonts w:cs="DanaFajr" w:hint="cs"/>
          <w:sz w:val="28"/>
          <w:szCs w:val="28"/>
          <w:rtl/>
          <w:lang w:bidi="ar-LB"/>
        </w:rPr>
        <w:t>من</w:t>
      </w:r>
      <w:r w:rsidRPr="00282AC9">
        <w:rPr>
          <w:rFonts w:cs="DanaFajr"/>
          <w:sz w:val="28"/>
          <w:szCs w:val="28"/>
          <w:rtl/>
          <w:lang w:bidi="ar-LB"/>
        </w:rPr>
        <w:t xml:space="preserve"> </w:t>
      </w:r>
      <w:r w:rsidRPr="00282AC9">
        <w:rPr>
          <w:rFonts w:cs="DanaFajr" w:hint="cs"/>
          <w:sz w:val="28"/>
          <w:szCs w:val="28"/>
          <w:rtl/>
          <w:lang w:bidi="ar-LB"/>
        </w:rPr>
        <w:t>النصوص</w:t>
      </w:r>
      <w:r w:rsidRPr="00282AC9">
        <w:rPr>
          <w:rFonts w:cs="DanaFajr"/>
          <w:sz w:val="28"/>
          <w:szCs w:val="28"/>
          <w:rtl/>
          <w:lang w:bidi="ar-LB"/>
        </w:rPr>
        <w:t xml:space="preserve"> </w:t>
      </w:r>
      <w:r w:rsidRPr="00282AC9">
        <w:rPr>
          <w:rFonts w:cs="DanaFajr" w:hint="cs"/>
          <w:sz w:val="28"/>
          <w:szCs w:val="28"/>
          <w:rtl/>
          <w:lang w:bidi="ar-LB"/>
        </w:rPr>
        <w:t>بالوجوه</w:t>
      </w:r>
      <w:r w:rsidRPr="00282AC9">
        <w:rPr>
          <w:rFonts w:cs="DanaFajr"/>
          <w:sz w:val="28"/>
          <w:szCs w:val="28"/>
          <w:rtl/>
          <w:lang w:bidi="ar-LB"/>
        </w:rPr>
        <w:t xml:space="preserve"> </w:t>
      </w:r>
      <w:r w:rsidRPr="00282AC9">
        <w:rPr>
          <w:rFonts w:cs="DanaFajr" w:hint="cs"/>
          <w:sz w:val="28"/>
          <w:szCs w:val="28"/>
          <w:rtl/>
          <w:lang w:bidi="ar-LB"/>
        </w:rPr>
        <w:t>المشتركة</w:t>
      </w:r>
      <w:r w:rsidRPr="00282AC9">
        <w:rPr>
          <w:rFonts w:cs="DanaFajr"/>
          <w:sz w:val="28"/>
          <w:szCs w:val="28"/>
          <w:rtl/>
          <w:lang w:bidi="ar-LB"/>
        </w:rPr>
        <w:t xml:space="preserve"> </w:t>
      </w:r>
      <w:r w:rsidRPr="00282AC9">
        <w:rPr>
          <w:rFonts w:cs="DanaFajr" w:hint="cs"/>
          <w:sz w:val="28"/>
          <w:szCs w:val="28"/>
          <w:rtl/>
          <w:lang w:bidi="ar-LB"/>
        </w:rPr>
        <w:t>بينه</w:t>
      </w:r>
      <w:r w:rsidRPr="00282AC9">
        <w:rPr>
          <w:rFonts w:cs="DanaFajr"/>
          <w:sz w:val="28"/>
          <w:szCs w:val="28"/>
          <w:rtl/>
          <w:lang w:bidi="ar-LB"/>
        </w:rPr>
        <w:t xml:space="preserve"> </w:t>
      </w:r>
      <w:r w:rsidRPr="00282AC9">
        <w:rPr>
          <w:rFonts w:cs="DanaFajr" w:hint="cs"/>
          <w:sz w:val="28"/>
          <w:szCs w:val="28"/>
          <w:rtl/>
          <w:lang w:bidi="ar-LB"/>
        </w:rPr>
        <w:t>وبين</w:t>
      </w:r>
      <w:r w:rsidRPr="00282AC9">
        <w:rPr>
          <w:rFonts w:cs="DanaFajr"/>
          <w:sz w:val="28"/>
          <w:szCs w:val="28"/>
          <w:rtl/>
          <w:lang w:bidi="ar-LB"/>
        </w:rPr>
        <w:t xml:space="preserve"> </w:t>
      </w:r>
      <w:r w:rsidRPr="00282AC9">
        <w:rPr>
          <w:rFonts w:cs="DanaFajr" w:hint="cs"/>
          <w:sz w:val="28"/>
          <w:szCs w:val="28"/>
          <w:rtl/>
          <w:lang w:bidi="ar-LB"/>
        </w:rPr>
        <w:t>التزويج</w:t>
      </w:r>
      <w:r w:rsidRPr="00282AC9">
        <w:rPr>
          <w:rFonts w:cs="DanaFajr"/>
          <w:sz w:val="28"/>
          <w:szCs w:val="28"/>
          <w:rtl/>
          <w:lang w:bidi="ar-LB"/>
        </w:rPr>
        <w:t xml:space="preserve">، </w:t>
      </w:r>
      <w:r w:rsidRPr="00282AC9">
        <w:rPr>
          <w:rFonts w:cs="DanaFajr" w:hint="cs"/>
          <w:sz w:val="28"/>
          <w:szCs w:val="28"/>
          <w:rtl/>
          <w:lang w:bidi="ar-LB"/>
        </w:rPr>
        <w:t>كحصول النسل،</w:t>
      </w:r>
      <w:r w:rsidRPr="00282AC9">
        <w:rPr>
          <w:rFonts w:cs="DanaFajr"/>
          <w:sz w:val="28"/>
          <w:szCs w:val="28"/>
          <w:rtl/>
          <w:lang w:bidi="ar-LB"/>
        </w:rPr>
        <w:t xml:space="preserve"> </w:t>
      </w:r>
      <w:r w:rsidRPr="00282AC9">
        <w:rPr>
          <w:rFonts w:cs="DanaFajr" w:hint="cs"/>
          <w:sz w:val="28"/>
          <w:szCs w:val="28"/>
          <w:rtl/>
          <w:lang w:bidi="ar-LB"/>
        </w:rPr>
        <w:t>وتكثير</w:t>
      </w:r>
      <w:r w:rsidRPr="00282AC9">
        <w:rPr>
          <w:rFonts w:cs="DanaFajr"/>
          <w:sz w:val="28"/>
          <w:szCs w:val="28"/>
          <w:rtl/>
          <w:lang w:bidi="ar-LB"/>
        </w:rPr>
        <w:t xml:space="preserve"> </w:t>
      </w:r>
      <w:r w:rsidRPr="00282AC9">
        <w:rPr>
          <w:rFonts w:cs="DanaFajr" w:hint="cs"/>
          <w:sz w:val="28"/>
          <w:szCs w:val="28"/>
          <w:rtl/>
          <w:lang w:bidi="ar-LB"/>
        </w:rPr>
        <w:t>الأمّة،</w:t>
      </w:r>
      <w:r w:rsidRPr="00282AC9">
        <w:rPr>
          <w:rFonts w:cs="DanaFajr"/>
          <w:sz w:val="28"/>
          <w:szCs w:val="28"/>
          <w:rtl/>
          <w:lang w:bidi="ar-LB"/>
        </w:rPr>
        <w:t xml:space="preserve"> </w:t>
      </w:r>
      <w:r w:rsidRPr="00282AC9">
        <w:rPr>
          <w:rFonts w:cs="DanaFajr" w:hint="cs"/>
          <w:sz w:val="28"/>
          <w:szCs w:val="28"/>
          <w:rtl/>
          <w:lang w:bidi="ar-LB"/>
        </w:rPr>
        <w:t>وإبقاء</w:t>
      </w:r>
      <w:r w:rsidRPr="00282AC9">
        <w:rPr>
          <w:rFonts w:cs="DanaFajr"/>
          <w:sz w:val="28"/>
          <w:szCs w:val="28"/>
          <w:rtl/>
          <w:lang w:bidi="ar-LB"/>
        </w:rPr>
        <w:t xml:space="preserve"> </w:t>
      </w:r>
      <w:r w:rsidRPr="00282AC9">
        <w:rPr>
          <w:rFonts w:cs="DanaFajr" w:hint="cs"/>
          <w:sz w:val="28"/>
          <w:szCs w:val="28"/>
          <w:rtl/>
          <w:lang w:bidi="ar-LB"/>
        </w:rPr>
        <w:t>النوع،</w:t>
      </w:r>
      <w:r w:rsidRPr="00282AC9">
        <w:rPr>
          <w:rFonts w:cs="DanaFajr"/>
          <w:sz w:val="28"/>
          <w:szCs w:val="28"/>
          <w:rtl/>
          <w:lang w:bidi="ar-LB"/>
        </w:rPr>
        <w:t xml:space="preserve"> </w:t>
      </w:r>
      <w:r w:rsidRPr="00282AC9">
        <w:rPr>
          <w:rFonts w:cs="DanaFajr" w:hint="cs"/>
          <w:sz w:val="28"/>
          <w:szCs w:val="28"/>
          <w:rtl/>
          <w:lang w:bidi="ar-LB"/>
        </w:rPr>
        <w:t>والخلاص</w:t>
      </w:r>
      <w:r w:rsidRPr="00282AC9">
        <w:rPr>
          <w:rFonts w:cs="DanaFajr"/>
          <w:sz w:val="28"/>
          <w:szCs w:val="28"/>
          <w:rtl/>
          <w:lang w:bidi="ar-LB"/>
        </w:rPr>
        <w:t xml:space="preserve"> </w:t>
      </w:r>
      <w:r w:rsidRPr="00282AC9">
        <w:rPr>
          <w:rFonts w:cs="DanaFajr" w:hint="cs"/>
          <w:sz w:val="28"/>
          <w:szCs w:val="28"/>
          <w:rtl/>
          <w:lang w:bidi="ar-LB"/>
        </w:rPr>
        <w:t>من</w:t>
      </w:r>
      <w:r w:rsidRPr="00282AC9">
        <w:rPr>
          <w:rFonts w:cs="DanaFajr"/>
          <w:sz w:val="28"/>
          <w:szCs w:val="28"/>
          <w:rtl/>
          <w:lang w:bidi="ar-LB"/>
        </w:rPr>
        <w:t xml:space="preserve"> </w:t>
      </w:r>
      <w:r w:rsidRPr="00282AC9">
        <w:rPr>
          <w:rFonts w:cs="DanaFajr" w:hint="cs"/>
          <w:sz w:val="28"/>
          <w:szCs w:val="28"/>
          <w:rtl/>
          <w:lang w:bidi="ar-LB"/>
        </w:rPr>
        <w:t>الوحدة،</w:t>
      </w:r>
      <w:r w:rsidRPr="00282AC9">
        <w:rPr>
          <w:rFonts w:cs="DanaFajr"/>
          <w:sz w:val="28"/>
          <w:szCs w:val="28"/>
          <w:rtl/>
          <w:lang w:bidi="ar-LB"/>
        </w:rPr>
        <w:t xml:space="preserve"> </w:t>
      </w:r>
      <w:r w:rsidRPr="00282AC9">
        <w:rPr>
          <w:rFonts w:cs="DanaFajr" w:hint="cs"/>
          <w:sz w:val="28"/>
          <w:szCs w:val="28"/>
          <w:rtl/>
          <w:lang w:bidi="ar-LB"/>
        </w:rPr>
        <w:t>وطلب</w:t>
      </w:r>
      <w:r w:rsidRPr="00282AC9">
        <w:rPr>
          <w:rFonts w:cs="DanaFajr"/>
          <w:sz w:val="28"/>
          <w:szCs w:val="28"/>
          <w:rtl/>
          <w:lang w:bidi="ar-LB"/>
        </w:rPr>
        <w:t xml:space="preserve"> </w:t>
      </w:r>
      <w:r w:rsidRPr="00282AC9">
        <w:rPr>
          <w:rFonts w:cs="DanaFajr" w:hint="cs"/>
          <w:sz w:val="28"/>
          <w:szCs w:val="28"/>
          <w:rtl/>
          <w:lang w:bidi="ar-LB"/>
        </w:rPr>
        <w:t>الرزق</w:t>
      </w:r>
      <w:r w:rsidRPr="00282AC9">
        <w:rPr>
          <w:rFonts w:cs="DanaFajr"/>
          <w:sz w:val="28"/>
          <w:szCs w:val="28"/>
          <w:rtl/>
          <w:lang w:bidi="ar-LB"/>
        </w:rPr>
        <w:t xml:space="preserve"> </w:t>
      </w:r>
      <w:r w:rsidRPr="00282AC9">
        <w:rPr>
          <w:rFonts w:cs="DanaFajr" w:hint="cs"/>
          <w:sz w:val="28"/>
          <w:szCs w:val="28"/>
          <w:rtl/>
          <w:lang w:bidi="ar-LB"/>
        </w:rPr>
        <w:t>والولد الصالح،</w:t>
      </w:r>
      <w:r w:rsidRPr="00282AC9">
        <w:rPr>
          <w:rFonts w:cs="DanaFajr"/>
          <w:sz w:val="28"/>
          <w:szCs w:val="28"/>
          <w:rtl/>
          <w:lang w:bidi="ar-LB"/>
        </w:rPr>
        <w:t xml:space="preserve"> </w:t>
      </w:r>
      <w:r w:rsidRPr="00282AC9">
        <w:rPr>
          <w:rFonts w:cs="DanaFajr" w:hint="cs"/>
          <w:sz w:val="28"/>
          <w:szCs w:val="28"/>
          <w:rtl/>
          <w:lang w:bidi="ar-LB"/>
        </w:rPr>
        <w:t>فيكون</w:t>
      </w:r>
      <w:r w:rsidRPr="00282AC9">
        <w:rPr>
          <w:rFonts w:cs="DanaFajr"/>
          <w:sz w:val="28"/>
          <w:szCs w:val="28"/>
          <w:rtl/>
          <w:lang w:bidi="ar-LB"/>
        </w:rPr>
        <w:t xml:space="preserve"> </w:t>
      </w:r>
      <w:r w:rsidRPr="00282AC9">
        <w:rPr>
          <w:rFonts w:cs="DanaFajr" w:hint="cs"/>
          <w:sz w:val="28"/>
          <w:szCs w:val="28"/>
          <w:rtl/>
          <w:lang w:bidi="ar-LB"/>
        </w:rPr>
        <w:t>الأمر</w:t>
      </w:r>
      <w:r w:rsidRPr="00282AC9">
        <w:rPr>
          <w:rFonts w:cs="DanaFajr"/>
          <w:sz w:val="28"/>
          <w:szCs w:val="28"/>
          <w:rtl/>
          <w:lang w:bidi="ar-LB"/>
        </w:rPr>
        <w:t xml:space="preserve"> </w:t>
      </w:r>
      <w:r w:rsidRPr="00282AC9">
        <w:rPr>
          <w:rFonts w:cs="DanaFajr" w:hint="cs"/>
          <w:sz w:val="28"/>
          <w:szCs w:val="28"/>
          <w:rtl/>
          <w:lang w:bidi="ar-LB"/>
        </w:rPr>
        <w:t>بالتزويج</w:t>
      </w:r>
      <w:r w:rsidRPr="00282AC9">
        <w:rPr>
          <w:rFonts w:cs="DanaFajr"/>
          <w:sz w:val="28"/>
          <w:szCs w:val="28"/>
          <w:rtl/>
          <w:lang w:bidi="ar-LB"/>
        </w:rPr>
        <w:t xml:space="preserve"> </w:t>
      </w:r>
      <w:r w:rsidRPr="00282AC9">
        <w:rPr>
          <w:rFonts w:cs="DanaFajr" w:hint="cs"/>
          <w:sz w:val="28"/>
          <w:szCs w:val="28"/>
          <w:rtl/>
          <w:lang w:bidi="ar-LB"/>
        </w:rPr>
        <w:t>في</w:t>
      </w:r>
      <w:r w:rsidRPr="00282AC9">
        <w:rPr>
          <w:rFonts w:cs="DanaFajr"/>
          <w:sz w:val="28"/>
          <w:szCs w:val="28"/>
          <w:rtl/>
          <w:lang w:bidi="ar-LB"/>
        </w:rPr>
        <w:t xml:space="preserve"> </w:t>
      </w:r>
      <w:r w:rsidRPr="00282AC9">
        <w:rPr>
          <w:rFonts w:cs="DanaFajr" w:hint="cs"/>
          <w:sz w:val="28"/>
          <w:szCs w:val="28"/>
          <w:rtl/>
          <w:lang w:bidi="ar-LB"/>
        </w:rPr>
        <w:t>الآيات</w:t>
      </w:r>
      <w:r w:rsidRPr="00282AC9">
        <w:rPr>
          <w:rFonts w:cs="DanaFajr"/>
          <w:sz w:val="28"/>
          <w:szCs w:val="28"/>
          <w:rtl/>
          <w:lang w:bidi="ar-LB"/>
        </w:rPr>
        <w:t xml:space="preserve"> </w:t>
      </w:r>
      <w:r w:rsidRPr="00282AC9">
        <w:rPr>
          <w:rFonts w:cs="DanaFajr" w:hint="cs"/>
          <w:sz w:val="28"/>
          <w:szCs w:val="28"/>
          <w:rtl/>
          <w:lang w:bidi="ar-LB"/>
        </w:rPr>
        <w:t>والأخبار</w:t>
      </w:r>
      <w:r w:rsidRPr="00282AC9">
        <w:rPr>
          <w:rFonts w:cs="DanaFajr"/>
          <w:sz w:val="28"/>
          <w:szCs w:val="28"/>
          <w:rtl/>
          <w:lang w:bidi="ar-LB"/>
        </w:rPr>
        <w:t xml:space="preserve"> </w:t>
      </w:r>
      <w:r w:rsidRPr="00282AC9">
        <w:rPr>
          <w:rFonts w:cs="DanaFajr" w:hint="cs"/>
          <w:sz w:val="28"/>
          <w:szCs w:val="28"/>
          <w:rtl/>
          <w:lang w:bidi="ar-LB"/>
        </w:rPr>
        <w:t>لكونه</w:t>
      </w:r>
      <w:r w:rsidRPr="00282AC9">
        <w:rPr>
          <w:rFonts w:cs="DanaFajr"/>
          <w:sz w:val="28"/>
          <w:szCs w:val="28"/>
          <w:rtl/>
          <w:lang w:bidi="ar-LB"/>
        </w:rPr>
        <w:t xml:space="preserve"> </w:t>
      </w:r>
      <w:r w:rsidRPr="00282AC9">
        <w:rPr>
          <w:rFonts w:cs="DanaFajr" w:hint="cs"/>
          <w:sz w:val="28"/>
          <w:szCs w:val="28"/>
          <w:rtl/>
          <w:lang w:bidi="ar-LB"/>
        </w:rPr>
        <w:t>أحد</w:t>
      </w:r>
      <w:r w:rsidRPr="00282AC9">
        <w:rPr>
          <w:rFonts w:cs="DanaFajr"/>
          <w:sz w:val="28"/>
          <w:szCs w:val="28"/>
          <w:rtl/>
          <w:lang w:bidi="ar-LB"/>
        </w:rPr>
        <w:t xml:space="preserve"> </w:t>
      </w:r>
      <w:r w:rsidRPr="00282AC9">
        <w:rPr>
          <w:rFonts w:cs="DanaFajr" w:hint="cs"/>
          <w:sz w:val="28"/>
          <w:szCs w:val="28"/>
          <w:rtl/>
          <w:lang w:bidi="ar-LB"/>
        </w:rPr>
        <w:t>الفردَيْن</w:t>
      </w:r>
      <w:r w:rsidRPr="00282AC9">
        <w:rPr>
          <w:rFonts w:cs="DanaFajr"/>
          <w:sz w:val="28"/>
          <w:szCs w:val="28"/>
          <w:rtl/>
          <w:lang w:bidi="ar-LB"/>
        </w:rPr>
        <w:t xml:space="preserve"> </w:t>
      </w:r>
      <w:r w:rsidRPr="00282AC9">
        <w:rPr>
          <w:rFonts w:cs="DanaFajr" w:hint="cs"/>
          <w:sz w:val="28"/>
          <w:szCs w:val="28"/>
          <w:rtl/>
          <w:lang w:bidi="ar-LB"/>
        </w:rPr>
        <w:t>اللذين يتأتّى</w:t>
      </w:r>
      <w:r w:rsidRPr="00282AC9">
        <w:rPr>
          <w:rFonts w:cs="DanaFajr"/>
          <w:sz w:val="28"/>
          <w:szCs w:val="28"/>
          <w:rtl/>
          <w:lang w:bidi="ar-LB"/>
        </w:rPr>
        <w:t xml:space="preserve"> </w:t>
      </w:r>
      <w:r w:rsidRPr="00282AC9">
        <w:rPr>
          <w:rFonts w:cs="DanaFajr" w:hint="cs"/>
          <w:sz w:val="28"/>
          <w:szCs w:val="28"/>
          <w:rtl/>
          <w:lang w:bidi="ar-LB"/>
        </w:rPr>
        <w:t>بهما</w:t>
      </w:r>
      <w:r w:rsidRPr="00282AC9">
        <w:rPr>
          <w:rFonts w:cs="DanaFajr"/>
          <w:sz w:val="28"/>
          <w:szCs w:val="28"/>
          <w:rtl/>
          <w:lang w:bidi="ar-LB"/>
        </w:rPr>
        <w:t xml:space="preserve"> </w:t>
      </w:r>
      <w:r w:rsidRPr="00282AC9">
        <w:rPr>
          <w:rFonts w:cs="DanaFajr" w:hint="cs"/>
          <w:sz w:val="28"/>
          <w:szCs w:val="28"/>
          <w:rtl/>
          <w:lang w:bidi="ar-LB"/>
        </w:rPr>
        <w:t>الاستحباب</w:t>
      </w:r>
      <w:r w:rsidRPr="00282AC9">
        <w:rPr>
          <w:rFonts w:cs="DanaFajr"/>
          <w:sz w:val="28"/>
          <w:szCs w:val="28"/>
          <w:rtl/>
          <w:lang w:bidi="ar-LB"/>
        </w:rPr>
        <w:t xml:space="preserve">، </w:t>
      </w:r>
      <w:r w:rsidRPr="00282AC9">
        <w:rPr>
          <w:rFonts w:cs="DanaFajr" w:hint="cs"/>
          <w:sz w:val="28"/>
          <w:szCs w:val="28"/>
          <w:rtl/>
          <w:lang w:bidi="ar-LB"/>
        </w:rPr>
        <w:t>لا</w:t>
      </w:r>
      <w:r w:rsidRPr="00282AC9">
        <w:rPr>
          <w:rFonts w:cs="DanaFajr"/>
          <w:sz w:val="28"/>
          <w:szCs w:val="28"/>
          <w:rtl/>
          <w:lang w:bidi="ar-LB"/>
        </w:rPr>
        <w:t xml:space="preserve"> </w:t>
      </w:r>
      <w:r w:rsidRPr="00282AC9">
        <w:rPr>
          <w:rFonts w:cs="DanaFajr" w:hint="cs"/>
          <w:sz w:val="28"/>
          <w:szCs w:val="28"/>
          <w:rtl/>
          <w:lang w:bidi="ar-LB"/>
        </w:rPr>
        <w:t>لأنه</w:t>
      </w:r>
      <w:r w:rsidRPr="00282AC9">
        <w:rPr>
          <w:rFonts w:cs="DanaFajr"/>
          <w:sz w:val="28"/>
          <w:szCs w:val="28"/>
          <w:rtl/>
          <w:lang w:bidi="ar-LB"/>
        </w:rPr>
        <w:t xml:space="preserve"> </w:t>
      </w:r>
      <w:r w:rsidRPr="00282AC9">
        <w:rPr>
          <w:rFonts w:cs="DanaFajr" w:hint="cs"/>
          <w:sz w:val="28"/>
          <w:szCs w:val="28"/>
          <w:rtl/>
          <w:lang w:bidi="ar-LB"/>
        </w:rPr>
        <w:t>مرادٌ</w:t>
      </w:r>
      <w:r w:rsidRPr="00282AC9">
        <w:rPr>
          <w:rFonts w:cs="DanaFajr"/>
          <w:sz w:val="28"/>
          <w:szCs w:val="28"/>
          <w:rtl/>
          <w:lang w:bidi="ar-LB"/>
        </w:rPr>
        <w:t xml:space="preserve"> </w:t>
      </w:r>
      <w:r w:rsidRPr="00282AC9">
        <w:rPr>
          <w:rFonts w:cs="DanaFajr" w:hint="cs"/>
          <w:sz w:val="28"/>
          <w:szCs w:val="28"/>
          <w:rtl/>
          <w:lang w:bidi="ar-LB"/>
        </w:rPr>
        <w:t>ومطلوبٌ</w:t>
      </w:r>
      <w:r w:rsidRPr="00282AC9">
        <w:rPr>
          <w:rFonts w:cs="DanaFajr"/>
          <w:sz w:val="28"/>
          <w:szCs w:val="28"/>
          <w:rtl/>
          <w:lang w:bidi="ar-LB"/>
        </w:rPr>
        <w:t xml:space="preserve"> </w:t>
      </w:r>
      <w:r w:rsidRPr="00282AC9">
        <w:rPr>
          <w:rFonts w:cs="DanaFajr" w:hint="cs"/>
          <w:sz w:val="28"/>
          <w:szCs w:val="28"/>
          <w:rtl/>
          <w:lang w:bidi="ar-LB"/>
        </w:rPr>
        <w:t>بخصوصه.</w:t>
      </w:r>
      <w:r w:rsidRPr="00282AC9">
        <w:rPr>
          <w:rFonts w:cs="DanaFajr"/>
          <w:sz w:val="28"/>
          <w:szCs w:val="28"/>
          <w:rtl/>
          <w:lang w:bidi="ar-LB"/>
        </w:rPr>
        <w:t xml:space="preserve"> </w:t>
      </w:r>
      <w:r w:rsidRPr="00282AC9">
        <w:rPr>
          <w:rFonts w:cs="DanaFajr" w:hint="cs"/>
          <w:sz w:val="28"/>
          <w:szCs w:val="28"/>
          <w:rtl/>
          <w:lang w:bidi="ar-LB"/>
        </w:rPr>
        <w:t>ويؤيِّده</w:t>
      </w:r>
      <w:r w:rsidRPr="00282AC9">
        <w:rPr>
          <w:rFonts w:cs="DanaFajr"/>
          <w:sz w:val="28"/>
          <w:szCs w:val="28"/>
          <w:rtl/>
          <w:lang w:bidi="ar-LB"/>
        </w:rPr>
        <w:t xml:space="preserve"> </w:t>
      </w:r>
      <w:r w:rsidRPr="00282AC9">
        <w:rPr>
          <w:rFonts w:cs="DanaFajr" w:hint="cs"/>
          <w:sz w:val="28"/>
          <w:szCs w:val="28"/>
          <w:rtl/>
          <w:lang w:bidi="ar-LB"/>
        </w:rPr>
        <w:t>خبر</w:t>
      </w:r>
      <w:r w:rsidRPr="00282AC9">
        <w:rPr>
          <w:rFonts w:cs="DanaFajr"/>
          <w:sz w:val="28"/>
          <w:szCs w:val="28"/>
          <w:rtl/>
          <w:lang w:bidi="ar-LB"/>
        </w:rPr>
        <w:t xml:space="preserve"> </w:t>
      </w:r>
      <w:r w:rsidRPr="00282AC9">
        <w:rPr>
          <w:rFonts w:cs="DanaFajr" w:hint="cs"/>
          <w:sz w:val="28"/>
          <w:szCs w:val="28"/>
          <w:rtl/>
          <w:lang w:bidi="ar-LB"/>
        </w:rPr>
        <w:t>عبد</w:t>
      </w:r>
      <w:r w:rsidRPr="00282AC9">
        <w:rPr>
          <w:rFonts w:cs="DanaFajr"/>
          <w:sz w:val="28"/>
          <w:szCs w:val="28"/>
          <w:rtl/>
          <w:lang w:bidi="ar-LB"/>
        </w:rPr>
        <w:t xml:space="preserve"> </w:t>
      </w:r>
      <w:r w:rsidRPr="00282AC9">
        <w:rPr>
          <w:rFonts w:cs="DanaFajr" w:hint="cs"/>
          <w:sz w:val="28"/>
          <w:szCs w:val="28"/>
          <w:rtl/>
          <w:lang w:bidi="ar-LB"/>
        </w:rPr>
        <w:t>الله</w:t>
      </w:r>
      <w:r w:rsidRPr="00282AC9">
        <w:rPr>
          <w:rFonts w:cs="DanaFajr"/>
          <w:sz w:val="28"/>
          <w:szCs w:val="28"/>
          <w:rtl/>
          <w:lang w:bidi="ar-LB"/>
        </w:rPr>
        <w:t xml:space="preserve"> </w:t>
      </w:r>
      <w:r w:rsidRPr="00282AC9">
        <w:rPr>
          <w:rFonts w:cs="DanaFajr" w:hint="cs"/>
          <w:sz w:val="28"/>
          <w:szCs w:val="28"/>
          <w:rtl/>
          <w:lang w:bidi="ar-LB"/>
        </w:rPr>
        <w:t>بن المغيرة،</w:t>
      </w:r>
      <w:r w:rsidRPr="00282AC9">
        <w:rPr>
          <w:rFonts w:cs="DanaFajr"/>
          <w:sz w:val="28"/>
          <w:szCs w:val="28"/>
          <w:rtl/>
          <w:lang w:bidi="ar-LB"/>
        </w:rPr>
        <w:t xml:space="preserve"> </w:t>
      </w:r>
      <w:r w:rsidRPr="00282AC9">
        <w:rPr>
          <w:rFonts w:cs="DanaFajr" w:hint="cs"/>
          <w:sz w:val="28"/>
          <w:szCs w:val="28"/>
          <w:rtl/>
          <w:lang w:bidi="ar-LB"/>
        </w:rPr>
        <w:t>عن</w:t>
      </w:r>
      <w:r w:rsidRPr="00282AC9">
        <w:rPr>
          <w:rFonts w:cs="DanaFajr"/>
          <w:sz w:val="28"/>
          <w:szCs w:val="28"/>
          <w:rtl/>
          <w:lang w:bidi="ar-LB"/>
        </w:rPr>
        <w:t xml:space="preserve"> </w:t>
      </w:r>
      <w:r w:rsidRPr="00282AC9">
        <w:rPr>
          <w:rFonts w:cs="DanaFajr" w:hint="cs"/>
          <w:sz w:val="28"/>
          <w:szCs w:val="28"/>
          <w:rtl/>
          <w:lang w:bidi="ar-LB"/>
        </w:rPr>
        <w:t>أبي</w:t>
      </w:r>
      <w:r w:rsidRPr="00282AC9">
        <w:rPr>
          <w:rFonts w:cs="DanaFajr"/>
          <w:sz w:val="28"/>
          <w:szCs w:val="28"/>
          <w:rtl/>
          <w:lang w:bidi="ar-LB"/>
        </w:rPr>
        <w:t xml:space="preserve"> </w:t>
      </w:r>
      <w:r w:rsidRPr="00282AC9">
        <w:rPr>
          <w:rFonts w:cs="DanaFajr" w:hint="cs"/>
          <w:sz w:val="28"/>
          <w:szCs w:val="28"/>
          <w:rtl/>
          <w:lang w:bidi="ar-LB"/>
        </w:rPr>
        <w:t>الحسن</w:t>
      </w:r>
      <w:r w:rsidRPr="00282AC9">
        <w:rPr>
          <w:rFonts w:cs="Mosawi" w:hint="cs"/>
          <w:rtl/>
        </w:rPr>
        <w:t>×</w:t>
      </w:r>
      <w:r w:rsidRPr="00282AC9">
        <w:rPr>
          <w:rFonts w:cs="DanaFajr" w:hint="cs"/>
          <w:sz w:val="28"/>
          <w:szCs w:val="28"/>
          <w:rtl/>
          <w:lang w:bidi="ar-LB"/>
        </w:rPr>
        <w:t>:</w:t>
      </w:r>
      <w:r w:rsidRPr="00282AC9">
        <w:rPr>
          <w:rFonts w:cs="DanaFajr"/>
          <w:sz w:val="28"/>
          <w:szCs w:val="28"/>
          <w:rtl/>
          <w:lang w:bidi="ar-LB"/>
        </w:rPr>
        <w:t xml:space="preserve"> </w:t>
      </w:r>
      <w:r w:rsidRPr="00282AC9">
        <w:rPr>
          <w:rFonts w:ascii="Simplified Arabic" w:hAnsi="Simplified Arabic"/>
          <w:sz w:val="22"/>
          <w:szCs w:val="22"/>
          <w:rtl/>
          <w:lang w:bidi="ar-LB"/>
        </w:rPr>
        <w:t>«</w:t>
      </w:r>
      <w:r w:rsidRPr="00282AC9">
        <w:rPr>
          <w:rFonts w:cs="DanaFajr" w:hint="cs"/>
          <w:sz w:val="28"/>
          <w:szCs w:val="28"/>
          <w:rtl/>
          <w:lang w:bidi="ar-LB"/>
        </w:rPr>
        <w:t>إنه</w:t>
      </w:r>
      <w:r w:rsidRPr="00282AC9">
        <w:rPr>
          <w:rFonts w:cs="DanaFajr"/>
          <w:sz w:val="28"/>
          <w:szCs w:val="28"/>
          <w:rtl/>
          <w:lang w:bidi="ar-LB"/>
        </w:rPr>
        <w:t xml:space="preserve"> </w:t>
      </w:r>
      <w:r w:rsidRPr="00282AC9">
        <w:rPr>
          <w:rFonts w:cs="DanaFajr" w:hint="cs"/>
          <w:sz w:val="28"/>
          <w:szCs w:val="28"/>
          <w:rtl/>
          <w:lang w:bidi="ar-LB"/>
        </w:rPr>
        <w:t>جاء</w:t>
      </w:r>
      <w:r w:rsidRPr="00282AC9">
        <w:rPr>
          <w:rFonts w:cs="DanaFajr"/>
          <w:sz w:val="28"/>
          <w:szCs w:val="28"/>
          <w:rtl/>
          <w:lang w:bidi="ar-LB"/>
        </w:rPr>
        <w:t xml:space="preserve"> </w:t>
      </w:r>
      <w:r w:rsidRPr="00282AC9">
        <w:rPr>
          <w:rFonts w:cs="DanaFajr" w:hint="cs"/>
          <w:sz w:val="28"/>
          <w:szCs w:val="28"/>
          <w:rtl/>
          <w:lang w:bidi="ar-LB"/>
        </w:rPr>
        <w:t>رجلٌ</w:t>
      </w:r>
      <w:r w:rsidRPr="00282AC9">
        <w:rPr>
          <w:rFonts w:cs="DanaFajr"/>
          <w:sz w:val="28"/>
          <w:szCs w:val="28"/>
          <w:rtl/>
          <w:lang w:bidi="ar-LB"/>
        </w:rPr>
        <w:t xml:space="preserve"> </w:t>
      </w:r>
      <w:r w:rsidRPr="00282AC9">
        <w:rPr>
          <w:rFonts w:cs="DanaFajr" w:hint="cs"/>
          <w:sz w:val="28"/>
          <w:szCs w:val="28"/>
          <w:rtl/>
          <w:lang w:bidi="ar-LB"/>
        </w:rPr>
        <w:t>إلى</w:t>
      </w:r>
      <w:r w:rsidRPr="00282AC9">
        <w:rPr>
          <w:rFonts w:cs="DanaFajr"/>
          <w:sz w:val="28"/>
          <w:szCs w:val="28"/>
          <w:rtl/>
          <w:lang w:bidi="ar-LB"/>
        </w:rPr>
        <w:t xml:space="preserve"> </w:t>
      </w:r>
      <w:r w:rsidRPr="00282AC9">
        <w:rPr>
          <w:rFonts w:cs="DanaFajr" w:hint="cs"/>
          <w:sz w:val="28"/>
          <w:szCs w:val="28"/>
          <w:rtl/>
          <w:lang w:bidi="ar-LB"/>
        </w:rPr>
        <w:t>أبي</w:t>
      </w:r>
      <w:r w:rsidRPr="00282AC9">
        <w:rPr>
          <w:rFonts w:cs="DanaFajr"/>
          <w:sz w:val="28"/>
          <w:szCs w:val="28"/>
          <w:rtl/>
          <w:lang w:bidi="ar-LB"/>
        </w:rPr>
        <w:t xml:space="preserve"> </w:t>
      </w:r>
      <w:r w:rsidRPr="00282AC9">
        <w:rPr>
          <w:rFonts w:cs="DanaFajr" w:hint="cs"/>
          <w:sz w:val="28"/>
          <w:szCs w:val="28"/>
          <w:rtl/>
          <w:lang w:bidi="ar-LB"/>
        </w:rPr>
        <w:t>عبد</w:t>
      </w:r>
      <w:r w:rsidRPr="00282AC9">
        <w:rPr>
          <w:rFonts w:cs="DanaFajr"/>
          <w:sz w:val="28"/>
          <w:szCs w:val="28"/>
          <w:rtl/>
          <w:lang w:bidi="ar-LB"/>
        </w:rPr>
        <w:t xml:space="preserve"> </w:t>
      </w:r>
      <w:r w:rsidRPr="00282AC9">
        <w:rPr>
          <w:rFonts w:cs="DanaFajr" w:hint="cs"/>
          <w:sz w:val="28"/>
          <w:szCs w:val="28"/>
          <w:rtl/>
          <w:lang w:bidi="ar-LB"/>
        </w:rPr>
        <w:t>الله</w:t>
      </w:r>
      <w:r w:rsidRPr="00282AC9">
        <w:rPr>
          <w:rFonts w:cs="Mosawi" w:hint="cs"/>
          <w:rtl/>
        </w:rPr>
        <w:t>×</w:t>
      </w:r>
      <w:r w:rsidRPr="00282AC9">
        <w:rPr>
          <w:rFonts w:cs="DanaFajr" w:hint="cs"/>
          <w:sz w:val="28"/>
          <w:szCs w:val="28"/>
          <w:rtl/>
          <w:lang w:bidi="ar-LB"/>
        </w:rPr>
        <w:t>،</w:t>
      </w:r>
      <w:r w:rsidRPr="00282AC9">
        <w:rPr>
          <w:rFonts w:cs="DanaFajr"/>
          <w:sz w:val="28"/>
          <w:szCs w:val="28"/>
          <w:rtl/>
          <w:lang w:bidi="ar-LB"/>
        </w:rPr>
        <w:t xml:space="preserve"> </w:t>
      </w:r>
      <w:r w:rsidRPr="00282AC9">
        <w:rPr>
          <w:rFonts w:cs="DanaFajr" w:hint="cs"/>
          <w:sz w:val="28"/>
          <w:szCs w:val="28"/>
          <w:rtl/>
          <w:lang w:bidi="ar-LB"/>
        </w:rPr>
        <w:t>فقال</w:t>
      </w:r>
      <w:r w:rsidRPr="00282AC9">
        <w:rPr>
          <w:rFonts w:cs="DanaFajr"/>
          <w:sz w:val="28"/>
          <w:szCs w:val="28"/>
          <w:rtl/>
          <w:lang w:bidi="ar-LB"/>
        </w:rPr>
        <w:t xml:space="preserve">: </w:t>
      </w:r>
      <w:r w:rsidRPr="00282AC9">
        <w:rPr>
          <w:rFonts w:cs="DanaFajr" w:hint="cs"/>
          <w:sz w:val="28"/>
          <w:szCs w:val="28"/>
          <w:rtl/>
          <w:lang w:bidi="ar-LB"/>
        </w:rPr>
        <w:t>هل لك</w:t>
      </w:r>
      <w:r w:rsidRPr="00282AC9">
        <w:rPr>
          <w:rFonts w:cs="DanaFajr"/>
          <w:sz w:val="28"/>
          <w:szCs w:val="28"/>
          <w:rtl/>
          <w:lang w:bidi="ar-LB"/>
        </w:rPr>
        <w:t xml:space="preserve"> </w:t>
      </w:r>
      <w:r w:rsidRPr="00282AC9">
        <w:rPr>
          <w:rFonts w:cs="DanaFajr" w:hint="cs"/>
          <w:sz w:val="28"/>
          <w:szCs w:val="28"/>
          <w:rtl/>
          <w:lang w:bidi="ar-LB"/>
        </w:rPr>
        <w:t>من</w:t>
      </w:r>
      <w:r w:rsidRPr="00282AC9">
        <w:rPr>
          <w:rFonts w:cs="DanaFajr"/>
          <w:sz w:val="28"/>
          <w:szCs w:val="28"/>
          <w:rtl/>
          <w:lang w:bidi="ar-LB"/>
        </w:rPr>
        <w:t xml:space="preserve"> </w:t>
      </w:r>
      <w:r w:rsidRPr="00282AC9">
        <w:rPr>
          <w:rFonts w:cs="DanaFajr" w:hint="cs"/>
          <w:sz w:val="28"/>
          <w:szCs w:val="28"/>
          <w:rtl/>
          <w:lang w:bidi="ar-LB"/>
        </w:rPr>
        <w:t>زوجةٍ</w:t>
      </w:r>
      <w:r w:rsidRPr="00282AC9">
        <w:rPr>
          <w:rFonts w:cs="DanaFajr"/>
          <w:sz w:val="28"/>
          <w:szCs w:val="28"/>
          <w:rtl/>
          <w:lang w:bidi="ar-LB"/>
        </w:rPr>
        <w:t xml:space="preserve">؟ </w:t>
      </w:r>
      <w:r w:rsidRPr="00282AC9">
        <w:rPr>
          <w:rFonts w:cs="DanaFajr" w:hint="cs"/>
          <w:sz w:val="28"/>
          <w:szCs w:val="28"/>
          <w:rtl/>
          <w:lang w:bidi="ar-LB"/>
        </w:rPr>
        <w:t>فقال</w:t>
      </w:r>
      <w:r w:rsidRPr="00282AC9">
        <w:rPr>
          <w:rFonts w:cs="DanaFajr"/>
          <w:sz w:val="28"/>
          <w:szCs w:val="28"/>
          <w:rtl/>
          <w:lang w:bidi="ar-LB"/>
        </w:rPr>
        <w:t xml:space="preserve">: </w:t>
      </w:r>
      <w:r w:rsidRPr="00282AC9">
        <w:rPr>
          <w:rFonts w:cs="DanaFajr" w:hint="cs"/>
          <w:sz w:val="28"/>
          <w:szCs w:val="28"/>
          <w:rtl/>
          <w:lang w:bidi="ar-LB"/>
        </w:rPr>
        <w:t>لا،</w:t>
      </w:r>
      <w:r w:rsidRPr="00282AC9">
        <w:rPr>
          <w:rFonts w:cs="DanaFajr"/>
          <w:sz w:val="28"/>
          <w:szCs w:val="28"/>
          <w:rtl/>
          <w:lang w:bidi="ar-LB"/>
        </w:rPr>
        <w:t xml:space="preserve"> </w:t>
      </w:r>
      <w:r w:rsidRPr="00282AC9">
        <w:rPr>
          <w:rFonts w:cs="DanaFajr" w:hint="cs"/>
          <w:sz w:val="28"/>
          <w:szCs w:val="28"/>
          <w:rtl/>
          <w:lang w:bidi="ar-LB"/>
        </w:rPr>
        <w:t>فقال</w:t>
      </w:r>
      <w:r w:rsidRPr="00282AC9">
        <w:rPr>
          <w:rFonts w:cs="DanaFajr"/>
          <w:sz w:val="28"/>
          <w:szCs w:val="28"/>
          <w:rtl/>
          <w:lang w:bidi="ar-LB"/>
        </w:rPr>
        <w:t xml:space="preserve">: </w:t>
      </w:r>
      <w:r w:rsidRPr="00282AC9">
        <w:rPr>
          <w:rFonts w:cs="DanaFajr" w:hint="cs"/>
          <w:sz w:val="28"/>
          <w:szCs w:val="28"/>
          <w:rtl/>
          <w:lang w:bidi="ar-LB"/>
        </w:rPr>
        <w:t>إنّي</w:t>
      </w:r>
      <w:r w:rsidRPr="00282AC9">
        <w:rPr>
          <w:rFonts w:cs="DanaFajr"/>
          <w:sz w:val="28"/>
          <w:szCs w:val="28"/>
          <w:rtl/>
          <w:lang w:bidi="ar-LB"/>
        </w:rPr>
        <w:t xml:space="preserve"> </w:t>
      </w:r>
      <w:r w:rsidRPr="00282AC9">
        <w:rPr>
          <w:rFonts w:cs="DanaFajr" w:hint="cs"/>
          <w:sz w:val="28"/>
          <w:szCs w:val="28"/>
          <w:rtl/>
          <w:lang w:bidi="ar-LB"/>
        </w:rPr>
        <w:t>ما</w:t>
      </w:r>
      <w:r w:rsidRPr="00282AC9">
        <w:rPr>
          <w:rFonts w:cs="DanaFajr"/>
          <w:sz w:val="28"/>
          <w:szCs w:val="28"/>
          <w:rtl/>
          <w:lang w:bidi="ar-LB"/>
        </w:rPr>
        <w:t xml:space="preserve"> </w:t>
      </w:r>
      <w:r w:rsidRPr="00282AC9">
        <w:rPr>
          <w:rFonts w:cs="DanaFajr" w:hint="cs"/>
          <w:sz w:val="28"/>
          <w:szCs w:val="28"/>
          <w:rtl/>
          <w:lang w:bidi="ar-LB"/>
        </w:rPr>
        <w:t>أحبّ</w:t>
      </w:r>
      <w:r w:rsidRPr="00282AC9">
        <w:rPr>
          <w:rFonts w:cs="DanaFajr"/>
          <w:sz w:val="28"/>
          <w:szCs w:val="28"/>
          <w:rtl/>
          <w:lang w:bidi="ar-LB"/>
        </w:rPr>
        <w:t xml:space="preserve"> </w:t>
      </w:r>
      <w:r w:rsidRPr="00282AC9">
        <w:rPr>
          <w:rFonts w:cs="DanaFajr" w:hint="cs"/>
          <w:sz w:val="28"/>
          <w:szCs w:val="28"/>
          <w:rtl/>
          <w:lang w:bidi="ar-LB"/>
        </w:rPr>
        <w:t>أن</w:t>
      </w:r>
      <w:r w:rsidRPr="00282AC9">
        <w:rPr>
          <w:rFonts w:cs="DanaFajr"/>
          <w:sz w:val="28"/>
          <w:szCs w:val="28"/>
          <w:rtl/>
          <w:lang w:bidi="ar-LB"/>
        </w:rPr>
        <w:t xml:space="preserve"> </w:t>
      </w:r>
      <w:r w:rsidRPr="00282AC9">
        <w:rPr>
          <w:rFonts w:cs="DanaFajr" w:hint="cs"/>
          <w:sz w:val="28"/>
          <w:szCs w:val="28"/>
          <w:rtl/>
          <w:lang w:bidi="ar-LB"/>
        </w:rPr>
        <w:t>لي</w:t>
      </w:r>
      <w:r w:rsidRPr="00282AC9">
        <w:rPr>
          <w:rFonts w:cs="DanaFajr"/>
          <w:sz w:val="28"/>
          <w:szCs w:val="28"/>
          <w:rtl/>
          <w:lang w:bidi="ar-LB"/>
        </w:rPr>
        <w:t xml:space="preserve"> </w:t>
      </w:r>
      <w:r w:rsidRPr="00282AC9">
        <w:rPr>
          <w:rFonts w:cs="DanaFajr" w:hint="cs"/>
          <w:sz w:val="28"/>
          <w:szCs w:val="28"/>
          <w:rtl/>
          <w:lang w:bidi="ar-LB"/>
        </w:rPr>
        <w:t>الدنيا</w:t>
      </w:r>
      <w:r w:rsidRPr="00282AC9">
        <w:rPr>
          <w:rFonts w:cs="DanaFajr"/>
          <w:sz w:val="28"/>
          <w:szCs w:val="28"/>
          <w:rtl/>
          <w:lang w:bidi="ar-LB"/>
        </w:rPr>
        <w:t xml:space="preserve"> </w:t>
      </w:r>
      <w:r w:rsidRPr="00282AC9">
        <w:rPr>
          <w:rFonts w:cs="DanaFajr" w:hint="cs"/>
          <w:sz w:val="28"/>
          <w:szCs w:val="28"/>
          <w:rtl/>
          <w:lang w:bidi="ar-LB"/>
        </w:rPr>
        <w:t>وما</w:t>
      </w:r>
      <w:r w:rsidRPr="00282AC9">
        <w:rPr>
          <w:rFonts w:cs="DanaFajr"/>
          <w:sz w:val="28"/>
          <w:szCs w:val="28"/>
          <w:rtl/>
          <w:lang w:bidi="ar-LB"/>
        </w:rPr>
        <w:t xml:space="preserve"> </w:t>
      </w:r>
      <w:r w:rsidRPr="00282AC9">
        <w:rPr>
          <w:rFonts w:cs="DanaFajr" w:hint="cs"/>
          <w:sz w:val="28"/>
          <w:szCs w:val="28"/>
          <w:rtl/>
          <w:lang w:bidi="ar-LB"/>
        </w:rPr>
        <w:t>فيها</w:t>
      </w:r>
      <w:r w:rsidRPr="00282AC9">
        <w:rPr>
          <w:rFonts w:cs="DanaFajr"/>
          <w:sz w:val="28"/>
          <w:szCs w:val="28"/>
          <w:rtl/>
          <w:lang w:bidi="ar-LB"/>
        </w:rPr>
        <w:t xml:space="preserve"> </w:t>
      </w:r>
      <w:r w:rsidRPr="00282AC9">
        <w:rPr>
          <w:rFonts w:cs="DanaFajr" w:hint="cs"/>
          <w:sz w:val="28"/>
          <w:szCs w:val="28"/>
          <w:rtl/>
          <w:lang w:bidi="ar-LB"/>
        </w:rPr>
        <w:t>وأني</w:t>
      </w:r>
      <w:r w:rsidRPr="00282AC9">
        <w:rPr>
          <w:rFonts w:cs="DanaFajr"/>
          <w:sz w:val="28"/>
          <w:szCs w:val="28"/>
          <w:rtl/>
          <w:lang w:bidi="ar-LB"/>
        </w:rPr>
        <w:t xml:space="preserve"> </w:t>
      </w:r>
      <w:r w:rsidRPr="00282AC9">
        <w:rPr>
          <w:rFonts w:cs="DanaFajr" w:hint="cs"/>
          <w:sz w:val="28"/>
          <w:szCs w:val="28"/>
          <w:rtl/>
          <w:lang w:bidi="ar-LB"/>
        </w:rPr>
        <w:t>بِتُّ</w:t>
      </w:r>
      <w:r w:rsidRPr="00282AC9">
        <w:rPr>
          <w:rFonts w:cs="DanaFajr"/>
          <w:sz w:val="28"/>
          <w:szCs w:val="28"/>
          <w:rtl/>
          <w:lang w:bidi="ar-LB"/>
        </w:rPr>
        <w:t xml:space="preserve"> </w:t>
      </w:r>
      <w:r w:rsidRPr="00282AC9">
        <w:rPr>
          <w:rFonts w:cs="DanaFajr" w:hint="cs"/>
          <w:sz w:val="28"/>
          <w:szCs w:val="28"/>
          <w:rtl/>
          <w:lang w:bidi="ar-LB"/>
        </w:rPr>
        <w:t>ليلةً وليسَتْ</w:t>
      </w:r>
      <w:r w:rsidRPr="00282AC9">
        <w:rPr>
          <w:rFonts w:cs="DanaFajr"/>
          <w:sz w:val="28"/>
          <w:szCs w:val="28"/>
          <w:rtl/>
          <w:lang w:bidi="ar-LB"/>
        </w:rPr>
        <w:t xml:space="preserve"> </w:t>
      </w:r>
      <w:r w:rsidRPr="00282AC9">
        <w:rPr>
          <w:rFonts w:cs="DanaFajr" w:hint="cs"/>
          <w:sz w:val="28"/>
          <w:szCs w:val="28"/>
          <w:rtl/>
          <w:lang w:bidi="ar-LB"/>
        </w:rPr>
        <w:t>لي</w:t>
      </w:r>
      <w:r w:rsidRPr="00282AC9">
        <w:rPr>
          <w:rFonts w:cs="DanaFajr"/>
          <w:sz w:val="28"/>
          <w:szCs w:val="28"/>
          <w:rtl/>
          <w:lang w:bidi="ar-LB"/>
        </w:rPr>
        <w:t xml:space="preserve"> </w:t>
      </w:r>
      <w:r w:rsidRPr="00282AC9">
        <w:rPr>
          <w:rFonts w:cs="DanaFajr" w:hint="cs"/>
          <w:sz w:val="28"/>
          <w:szCs w:val="28"/>
          <w:rtl/>
          <w:lang w:bidi="ar-LB"/>
        </w:rPr>
        <w:t>زوجة</w:t>
      </w:r>
      <w:r w:rsidRPr="00282AC9">
        <w:rPr>
          <w:rFonts w:cs="DanaFajr"/>
          <w:sz w:val="28"/>
          <w:szCs w:val="28"/>
          <w:rtl/>
          <w:lang w:bidi="ar-LB"/>
        </w:rPr>
        <w:t xml:space="preserve">، </w:t>
      </w:r>
      <w:r w:rsidRPr="00282AC9">
        <w:rPr>
          <w:rFonts w:cs="DanaFajr" w:hint="cs"/>
          <w:sz w:val="28"/>
          <w:szCs w:val="28"/>
          <w:rtl/>
          <w:lang w:bidi="ar-LB"/>
        </w:rPr>
        <w:t>ثمّ</w:t>
      </w:r>
      <w:r w:rsidRPr="00282AC9">
        <w:rPr>
          <w:rFonts w:cs="DanaFajr"/>
          <w:sz w:val="28"/>
          <w:szCs w:val="28"/>
          <w:rtl/>
          <w:lang w:bidi="ar-LB"/>
        </w:rPr>
        <w:t xml:space="preserve"> </w:t>
      </w:r>
      <w:r w:rsidRPr="00282AC9">
        <w:rPr>
          <w:rFonts w:cs="DanaFajr" w:hint="cs"/>
          <w:sz w:val="28"/>
          <w:szCs w:val="28"/>
          <w:rtl/>
          <w:lang w:bidi="ar-LB"/>
        </w:rPr>
        <w:t>قال</w:t>
      </w:r>
      <w:r w:rsidRPr="00282AC9">
        <w:rPr>
          <w:rFonts w:cs="DanaFajr"/>
          <w:sz w:val="28"/>
          <w:szCs w:val="28"/>
          <w:rtl/>
          <w:lang w:bidi="ar-LB"/>
        </w:rPr>
        <w:t xml:space="preserve">: </w:t>
      </w:r>
      <w:r w:rsidRPr="00282AC9">
        <w:rPr>
          <w:rFonts w:cs="DanaFajr" w:hint="cs"/>
          <w:sz w:val="28"/>
          <w:szCs w:val="28"/>
          <w:rtl/>
          <w:lang w:bidi="ar-LB"/>
        </w:rPr>
        <w:t>الركعتان</w:t>
      </w:r>
      <w:r w:rsidRPr="00282AC9">
        <w:rPr>
          <w:rFonts w:cs="DanaFajr"/>
          <w:sz w:val="28"/>
          <w:szCs w:val="28"/>
          <w:rtl/>
          <w:lang w:bidi="ar-LB"/>
        </w:rPr>
        <w:t xml:space="preserve"> </w:t>
      </w:r>
      <w:r w:rsidRPr="00282AC9">
        <w:rPr>
          <w:rFonts w:cs="DanaFajr" w:hint="cs"/>
          <w:sz w:val="28"/>
          <w:szCs w:val="28"/>
          <w:rtl/>
          <w:lang w:bidi="ar-LB"/>
        </w:rPr>
        <w:t>يصلِّيهما</w:t>
      </w:r>
      <w:r w:rsidRPr="00282AC9">
        <w:rPr>
          <w:rFonts w:cs="DanaFajr"/>
          <w:sz w:val="28"/>
          <w:szCs w:val="28"/>
          <w:rtl/>
          <w:lang w:bidi="ar-LB"/>
        </w:rPr>
        <w:t xml:space="preserve"> </w:t>
      </w:r>
      <w:r w:rsidRPr="00282AC9">
        <w:rPr>
          <w:rFonts w:cs="DanaFajr" w:hint="cs"/>
          <w:sz w:val="28"/>
          <w:szCs w:val="28"/>
          <w:rtl/>
          <w:lang w:bidi="ar-LB"/>
        </w:rPr>
        <w:t>رجلٌ</w:t>
      </w:r>
      <w:r w:rsidRPr="00282AC9">
        <w:rPr>
          <w:rFonts w:cs="DanaFajr"/>
          <w:sz w:val="28"/>
          <w:szCs w:val="28"/>
          <w:rtl/>
          <w:lang w:bidi="ar-LB"/>
        </w:rPr>
        <w:t xml:space="preserve"> </w:t>
      </w:r>
      <w:r w:rsidRPr="00282AC9">
        <w:rPr>
          <w:rFonts w:cs="DanaFajr" w:hint="cs"/>
          <w:sz w:val="28"/>
          <w:szCs w:val="28"/>
          <w:rtl/>
          <w:lang w:bidi="ar-LB"/>
        </w:rPr>
        <w:t>متزوِّجٌ</w:t>
      </w:r>
      <w:r w:rsidRPr="00282AC9">
        <w:rPr>
          <w:rFonts w:cs="DanaFajr"/>
          <w:sz w:val="28"/>
          <w:szCs w:val="28"/>
          <w:rtl/>
          <w:lang w:bidi="ar-LB"/>
        </w:rPr>
        <w:t xml:space="preserve"> </w:t>
      </w:r>
      <w:r w:rsidRPr="00282AC9">
        <w:rPr>
          <w:rFonts w:cs="DanaFajr" w:hint="cs"/>
          <w:sz w:val="28"/>
          <w:szCs w:val="28"/>
          <w:rtl/>
          <w:lang w:bidi="ar-LB"/>
        </w:rPr>
        <w:t>أفضل</w:t>
      </w:r>
      <w:r w:rsidRPr="00282AC9">
        <w:rPr>
          <w:rFonts w:cs="DanaFajr"/>
          <w:sz w:val="28"/>
          <w:szCs w:val="28"/>
          <w:rtl/>
          <w:lang w:bidi="ar-LB"/>
        </w:rPr>
        <w:t xml:space="preserve"> </w:t>
      </w:r>
      <w:r w:rsidRPr="00282AC9">
        <w:rPr>
          <w:rFonts w:cs="DanaFajr" w:hint="cs"/>
          <w:sz w:val="28"/>
          <w:szCs w:val="28"/>
          <w:rtl/>
          <w:lang w:bidi="ar-LB"/>
        </w:rPr>
        <w:t>من</w:t>
      </w:r>
      <w:r w:rsidRPr="00282AC9">
        <w:rPr>
          <w:rFonts w:cs="DanaFajr"/>
          <w:sz w:val="28"/>
          <w:szCs w:val="28"/>
          <w:rtl/>
          <w:lang w:bidi="ar-LB"/>
        </w:rPr>
        <w:t xml:space="preserve"> </w:t>
      </w:r>
      <w:r w:rsidRPr="00282AC9">
        <w:rPr>
          <w:rFonts w:cs="DanaFajr" w:hint="cs"/>
          <w:sz w:val="28"/>
          <w:szCs w:val="28"/>
          <w:rtl/>
          <w:lang w:bidi="ar-LB"/>
        </w:rPr>
        <w:t>رجل</w:t>
      </w:r>
      <w:r w:rsidRPr="00282AC9">
        <w:rPr>
          <w:rFonts w:cs="DanaFajr"/>
          <w:sz w:val="28"/>
          <w:szCs w:val="28"/>
          <w:rtl/>
          <w:lang w:bidi="ar-LB"/>
        </w:rPr>
        <w:t xml:space="preserve"> </w:t>
      </w:r>
      <w:r w:rsidRPr="00282AC9">
        <w:rPr>
          <w:rFonts w:cs="DanaFajr" w:hint="cs"/>
          <w:sz w:val="28"/>
          <w:szCs w:val="28"/>
          <w:rtl/>
          <w:lang w:bidi="ar-LB"/>
        </w:rPr>
        <w:t>أعزب يقوم</w:t>
      </w:r>
      <w:r w:rsidRPr="00282AC9">
        <w:rPr>
          <w:rFonts w:cs="DanaFajr"/>
          <w:sz w:val="28"/>
          <w:szCs w:val="28"/>
          <w:rtl/>
          <w:lang w:bidi="ar-LB"/>
        </w:rPr>
        <w:t xml:space="preserve"> </w:t>
      </w:r>
      <w:r w:rsidRPr="00282AC9">
        <w:rPr>
          <w:rFonts w:cs="DanaFajr" w:hint="cs"/>
          <w:sz w:val="28"/>
          <w:szCs w:val="28"/>
          <w:rtl/>
          <w:lang w:bidi="ar-LB"/>
        </w:rPr>
        <w:t>ليله</w:t>
      </w:r>
      <w:r w:rsidRPr="00282AC9">
        <w:rPr>
          <w:rFonts w:cs="DanaFajr"/>
          <w:sz w:val="28"/>
          <w:szCs w:val="28"/>
          <w:rtl/>
          <w:lang w:bidi="ar-LB"/>
        </w:rPr>
        <w:t xml:space="preserve"> </w:t>
      </w:r>
      <w:r w:rsidRPr="00282AC9">
        <w:rPr>
          <w:rFonts w:cs="DanaFajr" w:hint="cs"/>
          <w:sz w:val="28"/>
          <w:szCs w:val="28"/>
          <w:rtl/>
          <w:lang w:bidi="ar-LB"/>
        </w:rPr>
        <w:t>ويصوم</w:t>
      </w:r>
      <w:r w:rsidRPr="00282AC9">
        <w:rPr>
          <w:rFonts w:cs="DanaFajr"/>
          <w:sz w:val="28"/>
          <w:szCs w:val="28"/>
          <w:rtl/>
          <w:lang w:bidi="ar-LB"/>
        </w:rPr>
        <w:t xml:space="preserve"> </w:t>
      </w:r>
      <w:r w:rsidRPr="00282AC9">
        <w:rPr>
          <w:rFonts w:cs="DanaFajr" w:hint="cs"/>
          <w:sz w:val="28"/>
          <w:szCs w:val="28"/>
          <w:rtl/>
          <w:lang w:bidi="ar-LB"/>
        </w:rPr>
        <w:t>نهاره</w:t>
      </w:r>
      <w:r w:rsidRPr="00282AC9">
        <w:rPr>
          <w:rFonts w:cs="DanaFajr"/>
          <w:sz w:val="28"/>
          <w:szCs w:val="28"/>
          <w:rtl/>
          <w:lang w:bidi="ar-LB"/>
        </w:rPr>
        <w:t xml:space="preserve">، </w:t>
      </w:r>
      <w:r w:rsidRPr="00282AC9">
        <w:rPr>
          <w:rFonts w:cs="DanaFajr" w:hint="cs"/>
          <w:sz w:val="28"/>
          <w:szCs w:val="28"/>
          <w:rtl/>
          <w:lang w:bidi="ar-LB"/>
        </w:rPr>
        <w:t>فقال</w:t>
      </w:r>
      <w:r w:rsidRPr="00282AC9">
        <w:rPr>
          <w:rFonts w:cs="DanaFajr"/>
          <w:sz w:val="28"/>
          <w:szCs w:val="28"/>
          <w:rtl/>
          <w:lang w:bidi="ar-LB"/>
        </w:rPr>
        <w:t xml:space="preserve"> </w:t>
      </w:r>
      <w:r w:rsidRPr="00282AC9">
        <w:rPr>
          <w:rFonts w:cs="DanaFajr" w:hint="cs"/>
          <w:sz w:val="28"/>
          <w:szCs w:val="28"/>
          <w:rtl/>
          <w:lang w:bidi="ar-LB"/>
        </w:rPr>
        <w:t>محمد</w:t>
      </w:r>
      <w:r w:rsidRPr="00282AC9">
        <w:rPr>
          <w:rFonts w:cs="DanaFajr"/>
          <w:sz w:val="28"/>
          <w:szCs w:val="28"/>
          <w:rtl/>
          <w:lang w:bidi="ar-LB"/>
        </w:rPr>
        <w:t xml:space="preserve"> </w:t>
      </w:r>
      <w:r w:rsidRPr="00282AC9">
        <w:rPr>
          <w:rFonts w:cs="DanaFajr" w:hint="cs"/>
          <w:sz w:val="28"/>
          <w:szCs w:val="28"/>
          <w:rtl/>
          <w:lang w:bidi="ar-LB"/>
        </w:rPr>
        <w:t>بن</w:t>
      </w:r>
      <w:r w:rsidRPr="00282AC9">
        <w:rPr>
          <w:rFonts w:cs="DanaFajr"/>
          <w:sz w:val="28"/>
          <w:szCs w:val="28"/>
          <w:rtl/>
          <w:lang w:bidi="ar-LB"/>
        </w:rPr>
        <w:t xml:space="preserve"> </w:t>
      </w:r>
      <w:r w:rsidRPr="00282AC9">
        <w:rPr>
          <w:rFonts w:cs="DanaFajr" w:hint="cs"/>
          <w:sz w:val="28"/>
          <w:szCs w:val="28"/>
          <w:rtl/>
          <w:lang w:bidi="ar-LB"/>
        </w:rPr>
        <w:t>عبيد</w:t>
      </w:r>
      <w:r w:rsidRPr="00282AC9">
        <w:rPr>
          <w:rFonts w:cs="DanaFajr"/>
          <w:sz w:val="28"/>
          <w:szCs w:val="28"/>
          <w:rtl/>
          <w:lang w:bidi="ar-LB"/>
        </w:rPr>
        <w:t xml:space="preserve">: </w:t>
      </w:r>
      <w:r w:rsidRPr="00282AC9">
        <w:rPr>
          <w:rFonts w:cs="DanaFajr" w:hint="cs"/>
          <w:sz w:val="28"/>
          <w:szCs w:val="28"/>
          <w:rtl/>
          <w:lang w:bidi="ar-LB"/>
        </w:rPr>
        <w:t>جُعلتُ</w:t>
      </w:r>
      <w:r w:rsidRPr="00282AC9">
        <w:rPr>
          <w:rFonts w:cs="DanaFajr"/>
          <w:sz w:val="28"/>
          <w:szCs w:val="28"/>
          <w:rtl/>
          <w:lang w:bidi="ar-LB"/>
        </w:rPr>
        <w:t xml:space="preserve"> </w:t>
      </w:r>
      <w:r w:rsidRPr="00282AC9">
        <w:rPr>
          <w:rFonts w:cs="DanaFajr" w:hint="cs"/>
          <w:sz w:val="28"/>
          <w:szCs w:val="28"/>
          <w:rtl/>
          <w:lang w:bidi="ar-LB"/>
        </w:rPr>
        <w:t>فداك،</w:t>
      </w:r>
      <w:r w:rsidRPr="00282AC9">
        <w:rPr>
          <w:rFonts w:cs="DanaFajr"/>
          <w:sz w:val="28"/>
          <w:szCs w:val="28"/>
          <w:rtl/>
          <w:lang w:bidi="ar-LB"/>
        </w:rPr>
        <w:t xml:space="preserve"> </w:t>
      </w:r>
      <w:r w:rsidRPr="00282AC9">
        <w:rPr>
          <w:rFonts w:cs="DanaFajr" w:hint="cs"/>
          <w:sz w:val="28"/>
          <w:szCs w:val="28"/>
          <w:rtl/>
          <w:lang w:bidi="ar-LB"/>
        </w:rPr>
        <w:t>فأنا</w:t>
      </w:r>
      <w:r w:rsidRPr="00282AC9">
        <w:rPr>
          <w:rFonts w:cs="DanaFajr"/>
          <w:sz w:val="28"/>
          <w:szCs w:val="28"/>
          <w:rtl/>
          <w:lang w:bidi="ar-LB"/>
        </w:rPr>
        <w:t xml:space="preserve"> </w:t>
      </w:r>
      <w:r w:rsidRPr="00282AC9">
        <w:rPr>
          <w:rFonts w:cs="DanaFajr" w:hint="cs"/>
          <w:sz w:val="28"/>
          <w:szCs w:val="28"/>
          <w:rtl/>
          <w:lang w:bidi="ar-LB"/>
        </w:rPr>
        <w:t>ليس</w:t>
      </w:r>
      <w:r w:rsidRPr="00282AC9">
        <w:rPr>
          <w:rFonts w:cs="DanaFajr"/>
          <w:sz w:val="28"/>
          <w:szCs w:val="28"/>
          <w:rtl/>
          <w:lang w:bidi="ar-LB"/>
        </w:rPr>
        <w:t xml:space="preserve"> </w:t>
      </w:r>
      <w:r w:rsidRPr="00282AC9">
        <w:rPr>
          <w:rFonts w:cs="DanaFajr" w:hint="cs"/>
          <w:sz w:val="28"/>
          <w:szCs w:val="28"/>
          <w:rtl/>
          <w:lang w:bidi="ar-LB"/>
        </w:rPr>
        <w:t>لي</w:t>
      </w:r>
      <w:r w:rsidRPr="00282AC9">
        <w:rPr>
          <w:rFonts w:cs="DanaFajr"/>
          <w:sz w:val="28"/>
          <w:szCs w:val="28"/>
          <w:rtl/>
          <w:lang w:bidi="ar-LB"/>
        </w:rPr>
        <w:t xml:space="preserve"> </w:t>
      </w:r>
      <w:r w:rsidRPr="00282AC9">
        <w:rPr>
          <w:rFonts w:cs="DanaFajr" w:hint="cs"/>
          <w:sz w:val="28"/>
          <w:szCs w:val="28"/>
          <w:rtl/>
          <w:lang w:bidi="ar-LB"/>
        </w:rPr>
        <w:t>أهلٌ</w:t>
      </w:r>
      <w:r w:rsidRPr="00282AC9">
        <w:rPr>
          <w:rFonts w:cs="DanaFajr"/>
          <w:sz w:val="28"/>
          <w:szCs w:val="28"/>
          <w:rtl/>
          <w:lang w:bidi="ar-LB"/>
        </w:rPr>
        <w:t xml:space="preserve">، </w:t>
      </w:r>
      <w:r w:rsidRPr="00282AC9">
        <w:rPr>
          <w:rFonts w:cs="DanaFajr" w:hint="cs"/>
          <w:sz w:val="28"/>
          <w:szCs w:val="28"/>
          <w:rtl/>
          <w:lang w:bidi="ar-LB"/>
        </w:rPr>
        <w:t>فقال</w:t>
      </w:r>
      <w:r w:rsidRPr="00282AC9">
        <w:rPr>
          <w:rFonts w:cs="DanaFajr"/>
          <w:sz w:val="28"/>
          <w:szCs w:val="28"/>
          <w:rtl/>
        </w:rPr>
        <w:t>:</w:t>
      </w:r>
      <w:r w:rsidRPr="00282AC9">
        <w:rPr>
          <w:rFonts w:cs="DanaFajr" w:hint="cs"/>
          <w:sz w:val="28"/>
          <w:szCs w:val="28"/>
          <w:rtl/>
          <w:lang w:bidi="ar-LB"/>
        </w:rPr>
        <w:t xml:space="preserve"> أليس</w:t>
      </w:r>
      <w:r w:rsidRPr="00282AC9">
        <w:rPr>
          <w:rFonts w:cs="DanaFajr"/>
          <w:sz w:val="28"/>
          <w:szCs w:val="28"/>
          <w:rtl/>
          <w:lang w:bidi="ar-LB"/>
        </w:rPr>
        <w:t xml:space="preserve"> </w:t>
      </w:r>
      <w:r w:rsidRPr="00282AC9">
        <w:rPr>
          <w:rFonts w:cs="DanaFajr" w:hint="cs"/>
          <w:sz w:val="28"/>
          <w:szCs w:val="28"/>
          <w:rtl/>
          <w:lang w:bidi="ar-LB"/>
        </w:rPr>
        <w:t>لك</w:t>
      </w:r>
      <w:r w:rsidRPr="00282AC9">
        <w:rPr>
          <w:rFonts w:cs="DanaFajr"/>
          <w:sz w:val="28"/>
          <w:szCs w:val="28"/>
          <w:rtl/>
          <w:lang w:bidi="ar-LB"/>
        </w:rPr>
        <w:t xml:space="preserve"> </w:t>
      </w:r>
      <w:r w:rsidRPr="00282AC9">
        <w:rPr>
          <w:rFonts w:cs="DanaFajr" w:hint="cs"/>
          <w:sz w:val="28"/>
          <w:szCs w:val="28"/>
          <w:rtl/>
          <w:lang w:bidi="ar-LB"/>
        </w:rPr>
        <w:t>جواري،</w:t>
      </w:r>
      <w:r w:rsidRPr="00282AC9">
        <w:rPr>
          <w:rFonts w:cs="DanaFajr"/>
          <w:sz w:val="28"/>
          <w:szCs w:val="28"/>
          <w:rtl/>
          <w:lang w:bidi="ar-LB"/>
        </w:rPr>
        <w:t xml:space="preserve"> </w:t>
      </w:r>
      <w:r w:rsidRPr="00282AC9">
        <w:rPr>
          <w:rFonts w:cs="DanaFajr" w:hint="cs"/>
          <w:sz w:val="28"/>
          <w:szCs w:val="28"/>
          <w:rtl/>
          <w:lang w:bidi="ar-LB"/>
        </w:rPr>
        <w:t>أو</w:t>
      </w:r>
      <w:r w:rsidRPr="00282AC9">
        <w:rPr>
          <w:rFonts w:cs="DanaFajr"/>
          <w:sz w:val="28"/>
          <w:szCs w:val="28"/>
          <w:rtl/>
          <w:lang w:bidi="ar-LB"/>
        </w:rPr>
        <w:t xml:space="preserve"> </w:t>
      </w:r>
      <w:r w:rsidRPr="00282AC9">
        <w:rPr>
          <w:rFonts w:cs="DanaFajr" w:hint="cs"/>
          <w:sz w:val="28"/>
          <w:szCs w:val="28"/>
          <w:rtl/>
          <w:lang w:bidi="ar-LB"/>
        </w:rPr>
        <w:t>قال</w:t>
      </w:r>
      <w:r w:rsidRPr="00282AC9">
        <w:rPr>
          <w:rFonts w:cs="DanaFajr"/>
          <w:sz w:val="28"/>
          <w:szCs w:val="28"/>
          <w:rtl/>
          <w:lang w:bidi="ar-LB"/>
        </w:rPr>
        <w:t xml:space="preserve">: </w:t>
      </w:r>
      <w:r w:rsidRPr="00282AC9">
        <w:rPr>
          <w:rFonts w:cs="DanaFajr" w:hint="cs"/>
          <w:sz w:val="28"/>
          <w:szCs w:val="28"/>
          <w:rtl/>
          <w:lang w:bidi="ar-LB"/>
        </w:rPr>
        <w:t>أمّهات</w:t>
      </w:r>
      <w:r w:rsidRPr="00282AC9">
        <w:rPr>
          <w:rFonts w:cs="DanaFajr"/>
          <w:sz w:val="28"/>
          <w:szCs w:val="28"/>
          <w:rtl/>
          <w:lang w:bidi="ar-LB"/>
        </w:rPr>
        <w:t xml:space="preserve"> </w:t>
      </w:r>
      <w:r w:rsidRPr="00282AC9">
        <w:rPr>
          <w:rFonts w:cs="DanaFajr" w:hint="cs"/>
          <w:sz w:val="28"/>
          <w:szCs w:val="28"/>
          <w:rtl/>
          <w:lang w:bidi="ar-LB"/>
        </w:rPr>
        <w:t>أولاد</w:t>
      </w:r>
      <w:r w:rsidRPr="00282AC9">
        <w:rPr>
          <w:rFonts w:cs="DanaFajr"/>
          <w:sz w:val="28"/>
          <w:szCs w:val="28"/>
          <w:rtl/>
          <w:lang w:bidi="ar-LB"/>
        </w:rPr>
        <w:t xml:space="preserve">؟ </w:t>
      </w:r>
      <w:r w:rsidRPr="00282AC9">
        <w:rPr>
          <w:rFonts w:cs="DanaFajr" w:hint="cs"/>
          <w:sz w:val="28"/>
          <w:szCs w:val="28"/>
          <w:rtl/>
          <w:lang w:bidi="ar-LB"/>
        </w:rPr>
        <w:t>قال</w:t>
      </w:r>
      <w:r w:rsidRPr="00282AC9">
        <w:rPr>
          <w:rFonts w:cs="DanaFajr"/>
          <w:sz w:val="28"/>
          <w:szCs w:val="28"/>
          <w:rtl/>
          <w:lang w:bidi="ar-LB"/>
        </w:rPr>
        <w:t xml:space="preserve">: </w:t>
      </w:r>
      <w:r w:rsidRPr="00282AC9">
        <w:rPr>
          <w:rFonts w:cs="DanaFajr" w:hint="cs"/>
          <w:sz w:val="28"/>
          <w:szCs w:val="28"/>
          <w:rtl/>
          <w:lang w:bidi="ar-LB"/>
        </w:rPr>
        <w:t>نعم</w:t>
      </w:r>
      <w:r w:rsidRPr="00282AC9">
        <w:rPr>
          <w:rFonts w:cs="DanaFajr"/>
          <w:sz w:val="28"/>
          <w:szCs w:val="28"/>
          <w:rtl/>
          <w:lang w:bidi="ar-LB"/>
        </w:rPr>
        <w:t xml:space="preserve">، </w:t>
      </w:r>
      <w:r w:rsidRPr="00282AC9">
        <w:rPr>
          <w:rFonts w:cs="DanaFajr" w:hint="cs"/>
          <w:sz w:val="28"/>
          <w:szCs w:val="28"/>
          <w:rtl/>
          <w:lang w:bidi="ar-LB"/>
        </w:rPr>
        <w:t>قال</w:t>
      </w:r>
      <w:r w:rsidRPr="00282AC9">
        <w:rPr>
          <w:rFonts w:cs="DanaFajr"/>
          <w:sz w:val="28"/>
          <w:szCs w:val="28"/>
          <w:rtl/>
          <w:lang w:bidi="ar-LB"/>
        </w:rPr>
        <w:t xml:space="preserve">: </w:t>
      </w:r>
      <w:r w:rsidRPr="00282AC9">
        <w:rPr>
          <w:rFonts w:cs="DanaFajr" w:hint="cs"/>
          <w:sz w:val="28"/>
          <w:szCs w:val="28"/>
          <w:rtl/>
          <w:lang w:bidi="ar-LB"/>
        </w:rPr>
        <w:t>فأنت</w:t>
      </w:r>
      <w:r w:rsidRPr="00282AC9">
        <w:rPr>
          <w:rFonts w:cs="DanaFajr"/>
          <w:sz w:val="28"/>
          <w:szCs w:val="28"/>
          <w:rtl/>
          <w:lang w:bidi="ar-LB"/>
        </w:rPr>
        <w:t xml:space="preserve"> </w:t>
      </w:r>
      <w:r w:rsidRPr="00282AC9">
        <w:rPr>
          <w:rFonts w:cs="DanaFajr" w:hint="cs"/>
          <w:sz w:val="28"/>
          <w:szCs w:val="28"/>
          <w:rtl/>
          <w:lang w:bidi="ar-LB"/>
        </w:rPr>
        <w:t>لست</w:t>
      </w:r>
      <w:r w:rsidRPr="00282AC9">
        <w:rPr>
          <w:rFonts w:cs="DanaFajr"/>
          <w:sz w:val="28"/>
          <w:szCs w:val="28"/>
          <w:rtl/>
          <w:lang w:bidi="ar-LB"/>
        </w:rPr>
        <w:t xml:space="preserve"> </w:t>
      </w:r>
      <w:r w:rsidRPr="00282AC9">
        <w:rPr>
          <w:rFonts w:cs="DanaFajr" w:hint="cs"/>
          <w:sz w:val="28"/>
          <w:szCs w:val="28"/>
          <w:rtl/>
          <w:lang w:bidi="ar-LB"/>
        </w:rPr>
        <w:t>بعزبٍ</w:t>
      </w:r>
      <w:r w:rsidRPr="00282AC9">
        <w:rPr>
          <w:rFonts w:hint="eastAsia"/>
          <w:rtl/>
        </w:rPr>
        <w:t>»</w:t>
      </w:r>
      <w:r w:rsidRPr="00282AC9">
        <w:rPr>
          <w:rFonts w:cs="DanaFajr" w:hint="cs"/>
          <w:sz w:val="28"/>
          <w:szCs w:val="28"/>
          <w:rtl/>
          <w:lang w:bidi="ar-LB"/>
        </w:rPr>
        <w:t>. والله</w:t>
      </w:r>
      <w:r w:rsidRPr="00282AC9">
        <w:rPr>
          <w:rFonts w:cs="DanaFajr"/>
          <w:sz w:val="28"/>
          <w:szCs w:val="28"/>
          <w:rtl/>
          <w:lang w:bidi="ar-LB"/>
        </w:rPr>
        <w:t xml:space="preserve"> </w:t>
      </w:r>
      <w:r w:rsidRPr="00282AC9">
        <w:rPr>
          <w:rFonts w:cs="DanaFajr" w:hint="cs"/>
          <w:sz w:val="28"/>
          <w:szCs w:val="28"/>
          <w:rtl/>
          <w:lang w:bidi="ar-LB"/>
        </w:rPr>
        <w:t>العالم.</w:t>
      </w:r>
    </w:p>
    <w:p w:rsidR="00C14EDE" w:rsidRPr="00282AC9" w:rsidRDefault="00C14EDE" w:rsidP="005C545C">
      <w:pPr>
        <w:pStyle w:val="af7"/>
        <w:spacing w:line="296" w:lineRule="exact"/>
        <w:ind w:firstLine="0"/>
        <w:rPr>
          <w:rFonts w:cs="DanaFajr"/>
          <w:sz w:val="28"/>
          <w:szCs w:val="28"/>
          <w:rtl/>
          <w:lang w:bidi="ar-LB"/>
        </w:rPr>
      </w:pPr>
      <w:r w:rsidRPr="00282AC9">
        <w:rPr>
          <w:rFonts w:cs="DanaFajr" w:hint="cs"/>
          <w:sz w:val="28"/>
          <w:szCs w:val="28"/>
          <w:rtl/>
          <w:lang w:bidi="ar-LB"/>
        </w:rPr>
        <w:t>إلاّ أن هذا الكلام لا يفيد في المقام؛ باعتباراتٍ عدّة.</w:t>
      </w:r>
    </w:p>
  </w:endnote>
  <w:endnote w:id="834">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الحرّ</w:t>
      </w:r>
      <w:r w:rsidRPr="00282AC9">
        <w:rPr>
          <w:rFonts w:cs="DanaFajr"/>
          <w:sz w:val="28"/>
          <w:szCs w:val="28"/>
          <w:rtl/>
        </w:rPr>
        <w:t xml:space="preserve"> </w:t>
      </w:r>
      <w:r w:rsidRPr="00282AC9">
        <w:rPr>
          <w:rFonts w:cs="DanaFajr" w:hint="cs"/>
          <w:sz w:val="28"/>
          <w:szCs w:val="28"/>
          <w:rtl/>
        </w:rPr>
        <w:t>العاملي، وسائل</w:t>
      </w:r>
      <w:r w:rsidRPr="00282AC9">
        <w:rPr>
          <w:rFonts w:cs="DanaFajr"/>
          <w:sz w:val="28"/>
          <w:szCs w:val="28"/>
          <w:rtl/>
        </w:rPr>
        <w:t xml:space="preserve"> </w:t>
      </w:r>
      <w:r w:rsidRPr="00282AC9">
        <w:rPr>
          <w:rFonts w:cs="DanaFajr" w:hint="cs"/>
          <w:sz w:val="28"/>
          <w:szCs w:val="28"/>
          <w:rtl/>
        </w:rPr>
        <w:t>الشيعة</w:t>
      </w:r>
      <w:r w:rsidRPr="00282AC9">
        <w:rPr>
          <w:rFonts w:cs="DanaFajr"/>
          <w:sz w:val="28"/>
          <w:szCs w:val="28"/>
          <w:rtl/>
        </w:rPr>
        <w:t xml:space="preserve"> (</w:t>
      </w:r>
      <w:r w:rsidRPr="00282AC9">
        <w:rPr>
          <w:rFonts w:cs="DanaFajr" w:hint="cs"/>
          <w:sz w:val="28"/>
          <w:szCs w:val="28"/>
          <w:rtl/>
        </w:rPr>
        <w:t>طبعة الدار الإسلامية</w:t>
      </w:r>
      <w:r w:rsidRPr="00282AC9">
        <w:rPr>
          <w:rFonts w:cs="DanaFajr"/>
          <w:sz w:val="28"/>
          <w:szCs w:val="28"/>
          <w:rtl/>
        </w:rPr>
        <w:t xml:space="preserve">) </w:t>
      </w:r>
      <w:r w:rsidRPr="00282AC9">
        <w:rPr>
          <w:rFonts w:cs="DanaFajr"/>
          <w:sz w:val="28"/>
          <w:szCs w:val="28"/>
          <w:rtl/>
          <w:lang w:bidi="ar-LB"/>
        </w:rPr>
        <w:t>14</w:t>
      </w:r>
      <w:r w:rsidRPr="00282AC9">
        <w:rPr>
          <w:rFonts w:cs="DanaFajr" w:hint="cs"/>
          <w:sz w:val="28"/>
          <w:szCs w:val="28"/>
          <w:rtl/>
          <w:lang w:bidi="ar-LB"/>
        </w:rPr>
        <w:t>:</w:t>
      </w:r>
      <w:r w:rsidRPr="00282AC9">
        <w:rPr>
          <w:rFonts w:cs="DanaFajr"/>
          <w:sz w:val="28"/>
          <w:szCs w:val="28"/>
          <w:rtl/>
          <w:lang w:bidi="ar-LB"/>
        </w:rPr>
        <w:t xml:space="preserve"> 179</w:t>
      </w:r>
      <w:r w:rsidRPr="00282AC9">
        <w:rPr>
          <w:rFonts w:cs="DanaFajr" w:hint="cs"/>
          <w:sz w:val="28"/>
          <w:szCs w:val="28"/>
          <w:rtl/>
          <w:lang w:bidi="ar-LB"/>
        </w:rPr>
        <w:t>،</w:t>
      </w:r>
      <w:r w:rsidRPr="00282AC9">
        <w:rPr>
          <w:rFonts w:cs="DanaFajr"/>
          <w:sz w:val="28"/>
          <w:szCs w:val="28"/>
          <w:rtl/>
          <w:lang w:bidi="ar-LB"/>
        </w:rPr>
        <w:t xml:space="preserve"> </w:t>
      </w:r>
      <w:r w:rsidRPr="00282AC9">
        <w:rPr>
          <w:rFonts w:cs="DanaFajr" w:hint="cs"/>
          <w:sz w:val="28"/>
          <w:szCs w:val="28"/>
          <w:rtl/>
          <w:lang w:bidi="ar-LB"/>
        </w:rPr>
        <w:t>باب</w:t>
      </w:r>
      <w:r w:rsidRPr="00282AC9">
        <w:rPr>
          <w:rFonts w:cs="DanaFajr"/>
          <w:sz w:val="28"/>
          <w:szCs w:val="28"/>
          <w:rtl/>
          <w:lang w:bidi="ar-LB"/>
        </w:rPr>
        <w:t xml:space="preserve"> 140</w:t>
      </w:r>
      <w:r w:rsidRPr="00282AC9">
        <w:rPr>
          <w:rFonts w:cs="DanaFajr" w:hint="cs"/>
          <w:sz w:val="28"/>
          <w:szCs w:val="28"/>
          <w:rtl/>
        </w:rPr>
        <w:t>.</w:t>
      </w:r>
      <w:r w:rsidRPr="00282AC9">
        <w:rPr>
          <w:rFonts w:cs="DanaFajr"/>
          <w:sz w:val="28"/>
          <w:szCs w:val="28"/>
          <w:rtl/>
        </w:rPr>
        <w:t xml:space="preserve"> </w:t>
      </w:r>
    </w:p>
  </w:endnote>
  <w:endnote w:id="835">
    <w:p w:rsidR="00C14EDE" w:rsidRPr="00282AC9" w:rsidRDefault="00C14EDE" w:rsidP="005C545C">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cs="DanaFajr"/>
          <w:sz w:val="28"/>
          <w:szCs w:val="28"/>
          <w:rtl/>
        </w:rPr>
        <w:t xml:space="preserve">قال الكليني: </w:t>
      </w:r>
      <w:r w:rsidRPr="00282AC9">
        <w:rPr>
          <w:rFonts w:ascii="Simplified Arabic" w:hAnsi="Simplified Arabic"/>
          <w:sz w:val="22"/>
          <w:szCs w:val="22"/>
          <w:rtl/>
          <w:lang w:bidi="ar-LB"/>
        </w:rPr>
        <w:t>«</w:t>
      </w:r>
      <w:r w:rsidRPr="00282AC9">
        <w:rPr>
          <w:rFonts w:cs="DanaFajr"/>
          <w:sz w:val="28"/>
          <w:szCs w:val="28"/>
          <w:rtl/>
        </w:rPr>
        <w:t>وعن عد</w:t>
      </w:r>
      <w:r w:rsidRPr="00282AC9">
        <w:rPr>
          <w:rFonts w:cs="DanaFajr" w:hint="cs"/>
          <w:sz w:val="28"/>
          <w:szCs w:val="28"/>
          <w:rtl/>
        </w:rPr>
        <w:t>ّ</w:t>
      </w:r>
      <w:r w:rsidRPr="00282AC9">
        <w:rPr>
          <w:rFonts w:cs="DanaFajr"/>
          <w:sz w:val="28"/>
          <w:szCs w:val="28"/>
          <w:rtl/>
        </w:rPr>
        <w:t>ة</w:t>
      </w:r>
      <w:r w:rsidRPr="00282AC9">
        <w:rPr>
          <w:rFonts w:cs="DanaFajr" w:hint="cs"/>
          <w:sz w:val="28"/>
          <w:szCs w:val="28"/>
          <w:rtl/>
        </w:rPr>
        <w:t>ٍ</w:t>
      </w:r>
      <w:r w:rsidRPr="00282AC9">
        <w:rPr>
          <w:rFonts w:cs="DanaFajr"/>
          <w:sz w:val="28"/>
          <w:szCs w:val="28"/>
          <w:rtl/>
        </w:rPr>
        <w:t xml:space="preserve"> من أصحابنا، عن سهل بن زياد، عن</w:t>
      </w:r>
      <w:r w:rsidRPr="00282AC9">
        <w:rPr>
          <w:rFonts w:cs="DanaFajr"/>
          <w:sz w:val="28"/>
          <w:szCs w:val="28"/>
        </w:rPr>
        <w:t> </w:t>
      </w:r>
      <w:r w:rsidRPr="00282AC9">
        <w:rPr>
          <w:rFonts w:cs="DanaFajr"/>
          <w:sz w:val="28"/>
          <w:szCs w:val="28"/>
          <w:rtl/>
        </w:rPr>
        <w:t>محمد بن عيسى، عن</w:t>
      </w:r>
      <w:r w:rsidRPr="00282AC9">
        <w:rPr>
          <w:rFonts w:cs="DanaFajr"/>
          <w:sz w:val="28"/>
          <w:szCs w:val="28"/>
        </w:rPr>
        <w:t> </w:t>
      </w:r>
      <w:r w:rsidRPr="00282AC9">
        <w:rPr>
          <w:rFonts w:cs="DanaFajr"/>
          <w:sz w:val="28"/>
          <w:szCs w:val="28"/>
          <w:rtl/>
        </w:rPr>
        <w:t>زكريا المؤمن، رفعه، قال: ما أنفقت في الط</w:t>
      </w:r>
      <w:r w:rsidRPr="00282AC9">
        <w:rPr>
          <w:rFonts w:cs="DanaFajr" w:hint="cs"/>
          <w:sz w:val="28"/>
          <w:szCs w:val="28"/>
          <w:rtl/>
        </w:rPr>
        <w:t>ِّ</w:t>
      </w:r>
      <w:r w:rsidRPr="00282AC9">
        <w:rPr>
          <w:rFonts w:cs="DanaFajr"/>
          <w:sz w:val="28"/>
          <w:szCs w:val="28"/>
          <w:rtl/>
        </w:rPr>
        <w:t>يب فليس بسرف</w:t>
      </w:r>
      <w:r w:rsidRPr="00282AC9">
        <w:rPr>
          <w:rFonts w:cs="DanaFajr" w:hint="cs"/>
          <w:sz w:val="28"/>
          <w:szCs w:val="28"/>
          <w:rtl/>
        </w:rPr>
        <w:t>ٍ</w:t>
      </w:r>
      <w:r w:rsidRPr="00282AC9">
        <w:rPr>
          <w:rFonts w:hint="eastAsia"/>
          <w:rtl/>
        </w:rPr>
        <w:t>»</w:t>
      </w:r>
      <w:r w:rsidRPr="00282AC9">
        <w:rPr>
          <w:rFonts w:cs="DanaFajr" w:hint="cs"/>
          <w:sz w:val="28"/>
          <w:szCs w:val="28"/>
          <w:rtl/>
        </w:rPr>
        <w:t xml:space="preserve">. </w:t>
      </w:r>
      <w:r w:rsidRPr="00282AC9">
        <w:rPr>
          <w:rFonts w:cs="DanaFajr"/>
          <w:sz w:val="28"/>
          <w:szCs w:val="28"/>
          <w:rtl/>
        </w:rPr>
        <w:t>الكافي ٦</w:t>
      </w:r>
      <w:r w:rsidRPr="00282AC9">
        <w:rPr>
          <w:rFonts w:cs="DanaFajr"/>
          <w:sz w:val="28"/>
          <w:szCs w:val="28"/>
        </w:rPr>
        <w:t>:</w:t>
      </w:r>
      <w:r w:rsidRPr="00282AC9">
        <w:rPr>
          <w:rFonts w:cs="DanaFajr" w:hint="cs"/>
          <w:sz w:val="28"/>
          <w:szCs w:val="28"/>
          <w:rtl/>
        </w:rPr>
        <w:t xml:space="preserve"> </w:t>
      </w:r>
      <w:r w:rsidRPr="00282AC9">
        <w:rPr>
          <w:rFonts w:cs="DanaFajr"/>
          <w:sz w:val="28"/>
          <w:szCs w:val="28"/>
          <w:rtl/>
        </w:rPr>
        <w:t xml:space="preserve">٥١٢، </w:t>
      </w:r>
      <w:r w:rsidRPr="00282AC9">
        <w:rPr>
          <w:rFonts w:cs="DanaFajr" w:hint="cs"/>
          <w:sz w:val="28"/>
          <w:szCs w:val="28"/>
          <w:rtl/>
        </w:rPr>
        <w:t>ح</w:t>
      </w:r>
      <w:r w:rsidRPr="00282AC9">
        <w:rPr>
          <w:rFonts w:cs="DanaFajr"/>
          <w:sz w:val="28"/>
          <w:szCs w:val="28"/>
          <w:rtl/>
        </w:rPr>
        <w:t>16</w:t>
      </w:r>
      <w:r w:rsidRPr="00282AC9">
        <w:rPr>
          <w:rFonts w:cs="DanaFajr" w:hint="cs"/>
          <w:sz w:val="28"/>
          <w:szCs w:val="28"/>
          <w:rtl/>
        </w:rPr>
        <w:t>.</w:t>
      </w:r>
    </w:p>
  </w:endnote>
  <w:endnote w:id="836">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الشيخ</w:t>
      </w:r>
      <w:r w:rsidRPr="00282AC9">
        <w:rPr>
          <w:rFonts w:cs="DanaFajr"/>
          <w:sz w:val="28"/>
          <w:szCs w:val="28"/>
          <w:rtl/>
        </w:rPr>
        <w:t xml:space="preserve"> </w:t>
      </w:r>
      <w:r w:rsidRPr="00282AC9">
        <w:rPr>
          <w:rFonts w:cs="DanaFajr" w:hint="cs"/>
          <w:sz w:val="28"/>
          <w:szCs w:val="28"/>
          <w:rtl/>
        </w:rPr>
        <w:t>علي</w:t>
      </w:r>
      <w:r w:rsidRPr="00282AC9">
        <w:rPr>
          <w:rFonts w:cs="DanaFajr"/>
          <w:sz w:val="28"/>
          <w:szCs w:val="28"/>
          <w:rtl/>
        </w:rPr>
        <w:t xml:space="preserve"> </w:t>
      </w:r>
      <w:r w:rsidRPr="00282AC9">
        <w:rPr>
          <w:rFonts w:cs="DanaFajr" w:hint="cs"/>
          <w:sz w:val="28"/>
          <w:szCs w:val="28"/>
          <w:rtl/>
        </w:rPr>
        <w:t>پناه</w:t>
      </w:r>
      <w:r w:rsidRPr="00282AC9">
        <w:rPr>
          <w:rFonts w:cs="DanaFajr"/>
          <w:sz w:val="28"/>
          <w:szCs w:val="28"/>
          <w:rtl/>
        </w:rPr>
        <w:t xml:space="preserve"> </w:t>
      </w:r>
      <w:r w:rsidRPr="00282AC9">
        <w:rPr>
          <w:rFonts w:cs="DanaFajr" w:hint="cs"/>
          <w:sz w:val="28"/>
          <w:szCs w:val="28"/>
          <w:rtl/>
        </w:rPr>
        <w:t>الإشتهاردي، مدارك</w:t>
      </w:r>
      <w:r w:rsidRPr="00282AC9">
        <w:rPr>
          <w:rFonts w:cs="DanaFajr"/>
          <w:sz w:val="28"/>
          <w:szCs w:val="28"/>
          <w:rtl/>
        </w:rPr>
        <w:t xml:space="preserve"> </w:t>
      </w:r>
      <w:r w:rsidRPr="00282AC9">
        <w:rPr>
          <w:rFonts w:cs="DanaFajr" w:hint="cs"/>
          <w:sz w:val="28"/>
          <w:szCs w:val="28"/>
          <w:rtl/>
        </w:rPr>
        <w:t>العروة 29: 21.</w:t>
      </w:r>
      <w:r w:rsidRPr="00282AC9">
        <w:rPr>
          <w:rFonts w:cs="DanaFajr"/>
          <w:sz w:val="28"/>
          <w:szCs w:val="28"/>
          <w:rtl/>
        </w:rPr>
        <w:t xml:space="preserve"> </w:t>
      </w:r>
    </w:p>
  </w:endnote>
  <w:endnote w:id="837">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tl/>
        </w:rPr>
        <w:t xml:space="preserve"> قال الكليني: </w:t>
      </w:r>
      <w:r w:rsidRPr="00282AC9">
        <w:rPr>
          <w:rFonts w:ascii="Simplified Arabic" w:hAnsi="Simplified Arabic"/>
          <w:sz w:val="22"/>
          <w:szCs w:val="22"/>
          <w:rtl/>
          <w:lang w:bidi="ar-LB"/>
        </w:rPr>
        <w:t>«</w:t>
      </w:r>
      <w:r w:rsidRPr="00282AC9">
        <w:rPr>
          <w:rFonts w:cs="DanaFajr"/>
          <w:sz w:val="28"/>
          <w:szCs w:val="28"/>
          <w:rtl/>
        </w:rPr>
        <w:t>وعن عد</w:t>
      </w:r>
      <w:r w:rsidRPr="00282AC9">
        <w:rPr>
          <w:rFonts w:cs="DanaFajr" w:hint="cs"/>
          <w:sz w:val="28"/>
          <w:szCs w:val="28"/>
          <w:rtl/>
        </w:rPr>
        <w:t>ّ</w:t>
      </w:r>
      <w:r w:rsidRPr="00282AC9">
        <w:rPr>
          <w:rFonts w:cs="DanaFajr"/>
          <w:sz w:val="28"/>
          <w:szCs w:val="28"/>
          <w:rtl/>
        </w:rPr>
        <w:t>ة</w:t>
      </w:r>
      <w:r w:rsidRPr="00282AC9">
        <w:rPr>
          <w:rFonts w:cs="DanaFajr" w:hint="cs"/>
          <w:sz w:val="28"/>
          <w:szCs w:val="28"/>
          <w:rtl/>
        </w:rPr>
        <w:t>ٍ</w:t>
      </w:r>
      <w:r w:rsidRPr="00282AC9">
        <w:rPr>
          <w:rFonts w:cs="DanaFajr"/>
          <w:sz w:val="28"/>
          <w:szCs w:val="28"/>
          <w:rtl/>
        </w:rPr>
        <w:t xml:space="preserve"> من أصحابنا، عن سهل بن زياد، عن محمد بن عيسى، عن زكريا المؤمن، رفعه، قال: ما أنفقت في الط</w:t>
      </w:r>
      <w:r w:rsidRPr="00282AC9">
        <w:rPr>
          <w:rFonts w:cs="DanaFajr" w:hint="cs"/>
          <w:sz w:val="28"/>
          <w:szCs w:val="28"/>
          <w:rtl/>
        </w:rPr>
        <w:t>ِّ</w:t>
      </w:r>
      <w:r w:rsidRPr="00282AC9">
        <w:rPr>
          <w:rFonts w:cs="DanaFajr"/>
          <w:sz w:val="28"/>
          <w:szCs w:val="28"/>
          <w:rtl/>
        </w:rPr>
        <w:t>يب فليس بسرف</w:t>
      </w:r>
      <w:r w:rsidRPr="00282AC9">
        <w:rPr>
          <w:rFonts w:cs="DanaFajr" w:hint="cs"/>
          <w:sz w:val="28"/>
          <w:szCs w:val="28"/>
          <w:rtl/>
        </w:rPr>
        <w:t>ٍ</w:t>
      </w:r>
      <w:r w:rsidRPr="00282AC9">
        <w:rPr>
          <w:rFonts w:hint="eastAsia"/>
          <w:rtl/>
        </w:rPr>
        <w:t>»</w:t>
      </w:r>
      <w:r w:rsidRPr="00282AC9">
        <w:rPr>
          <w:rFonts w:cs="DanaFajr"/>
          <w:sz w:val="28"/>
          <w:szCs w:val="28"/>
          <w:rtl/>
        </w:rPr>
        <w:t xml:space="preserve">. الكافي ٦: ٥١٢، </w:t>
      </w:r>
      <w:r w:rsidRPr="00282AC9">
        <w:rPr>
          <w:rFonts w:cs="DanaFajr" w:hint="cs"/>
          <w:sz w:val="28"/>
          <w:szCs w:val="28"/>
          <w:rtl/>
        </w:rPr>
        <w:t>ح</w:t>
      </w:r>
      <w:r w:rsidRPr="00282AC9">
        <w:rPr>
          <w:rFonts w:cs="DanaFajr"/>
          <w:sz w:val="28"/>
          <w:szCs w:val="28"/>
          <w:rtl/>
        </w:rPr>
        <w:t>16.</w:t>
      </w:r>
    </w:p>
  </w:endnote>
  <w:endnote w:id="838">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sz w:val="28"/>
          <w:szCs w:val="28"/>
        </w:rPr>
        <w:t xml:space="preserve"> </w:t>
      </w:r>
      <w:r w:rsidRPr="00282AC9">
        <w:rPr>
          <w:rFonts w:cs="DanaFajr" w:hint="cs"/>
          <w:sz w:val="28"/>
          <w:szCs w:val="28"/>
          <w:rtl/>
          <w:lang w:bidi="ar-LB"/>
        </w:rPr>
        <w:t>أحمد بن محمد مهدي النراقي،</w:t>
      </w:r>
      <w:r w:rsidRPr="00282AC9">
        <w:rPr>
          <w:rFonts w:cs="DanaFajr"/>
          <w:sz w:val="28"/>
          <w:szCs w:val="28"/>
        </w:rPr>
        <w:t xml:space="preserve"> </w:t>
      </w:r>
      <w:r w:rsidRPr="00282AC9">
        <w:rPr>
          <w:rFonts w:cs="DanaFajr"/>
          <w:sz w:val="28"/>
          <w:szCs w:val="28"/>
          <w:rtl/>
        </w:rPr>
        <w:t>عوائد الأيام: ٦٣٦</w:t>
      </w:r>
      <w:r w:rsidRPr="00282AC9">
        <w:rPr>
          <w:rFonts w:cs="DanaFajr"/>
          <w:sz w:val="28"/>
          <w:szCs w:val="28"/>
          <w:rtl/>
          <w:lang w:bidi="ar-LB"/>
        </w:rPr>
        <w:t xml:space="preserve"> ـ </w:t>
      </w:r>
      <w:r w:rsidRPr="00282AC9">
        <w:rPr>
          <w:rFonts w:cs="DanaFajr"/>
          <w:sz w:val="28"/>
          <w:szCs w:val="28"/>
          <w:rtl/>
        </w:rPr>
        <w:t>٦٣٧</w:t>
      </w:r>
      <w:r w:rsidRPr="00282AC9">
        <w:rPr>
          <w:rFonts w:cs="DanaFajr"/>
          <w:sz w:val="28"/>
          <w:szCs w:val="28"/>
          <w:rtl/>
          <w:lang w:bidi="ar-LB"/>
        </w:rPr>
        <w:t>.</w:t>
      </w:r>
      <w:r w:rsidRPr="00282AC9">
        <w:rPr>
          <w:rFonts w:cs="DanaFajr" w:hint="cs"/>
          <w:sz w:val="28"/>
          <w:szCs w:val="28"/>
          <w:rtl/>
          <w:lang w:bidi="ar-LB"/>
        </w:rPr>
        <w:t xml:space="preserve"> </w:t>
      </w:r>
    </w:p>
  </w:endnote>
  <w:endnote w:id="839">
    <w:p w:rsidR="00C14EDE" w:rsidRPr="00282AC9" w:rsidRDefault="00C14EDE" w:rsidP="005C545C">
      <w:pPr>
        <w:pStyle w:val="af7"/>
        <w:spacing w:line="296" w:lineRule="exact"/>
        <w:ind w:firstLine="0"/>
        <w:rPr>
          <w:rFonts w:cs="DanaFajr"/>
          <w:sz w:val="28"/>
          <w:szCs w:val="28"/>
          <w:rtl/>
          <w:lang w:bidi="ar-LB"/>
        </w:rPr>
      </w:pPr>
      <w:r w:rsidRPr="00282AC9">
        <w:rPr>
          <w:rFonts w:cs="DanaFajr"/>
          <w:sz w:val="28"/>
          <w:szCs w:val="28"/>
          <w:rtl/>
          <w:lang w:bidi="ar-LB"/>
        </w:rPr>
        <w:t>(</w:t>
      </w:r>
      <w:r w:rsidRPr="00282AC9">
        <w:rPr>
          <w:rStyle w:val="af9"/>
          <w:rFonts w:cs="DanaFajr"/>
          <w:sz w:val="28"/>
          <w:szCs w:val="28"/>
          <w:vertAlign w:val="baseline"/>
        </w:rPr>
        <w:endnoteRef/>
      </w:r>
      <w:r w:rsidRPr="00282AC9">
        <w:rPr>
          <w:rFonts w:cs="DanaFajr"/>
          <w:sz w:val="28"/>
          <w:szCs w:val="28"/>
          <w:rtl/>
          <w:lang w:bidi="ar-LB"/>
        </w:rPr>
        <w:t>)</w:t>
      </w:r>
      <w:r w:rsidRPr="00282AC9">
        <w:rPr>
          <w:rFonts w:cs="DanaFajr" w:hint="cs"/>
          <w:sz w:val="28"/>
          <w:szCs w:val="28"/>
          <w:rtl/>
        </w:rPr>
        <w:t xml:space="preserve"> الكليني، الكافي</w:t>
      </w:r>
      <w:r w:rsidRPr="00282AC9">
        <w:rPr>
          <w:rFonts w:cs="DanaFajr"/>
          <w:sz w:val="28"/>
          <w:szCs w:val="28"/>
          <w:rtl/>
        </w:rPr>
        <w:t xml:space="preserve"> 5</w:t>
      </w:r>
      <w:r w:rsidRPr="00282AC9">
        <w:rPr>
          <w:rFonts w:cs="DanaFajr" w:hint="cs"/>
          <w:sz w:val="28"/>
          <w:szCs w:val="28"/>
          <w:rtl/>
        </w:rPr>
        <w:t>: 330</w:t>
      </w:r>
      <w:r w:rsidRPr="00282AC9">
        <w:rPr>
          <w:rFonts w:cs="DanaFajr" w:hint="cs"/>
          <w:sz w:val="28"/>
          <w:szCs w:val="28"/>
          <w:rtl/>
          <w:lang w:bidi="ar-LB"/>
        </w:rPr>
        <w:t>.</w:t>
      </w:r>
    </w:p>
  </w:endnote>
  <w:endnote w:id="840">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ascii="Sakkal Majalla" w:hAnsi="Sakkal Majalla" w:cs="DanaFajr" w:hint="cs"/>
          <w:sz w:val="28"/>
          <w:szCs w:val="28"/>
          <w:rtl/>
        </w:rPr>
        <w:t xml:space="preserve">السيد المرتضى، </w:t>
      </w:r>
      <w:r w:rsidRPr="00282AC9">
        <w:rPr>
          <w:rFonts w:ascii="Sakkal Majalla" w:hAnsi="Sakkal Majalla" w:cs="DanaFajr"/>
          <w:sz w:val="28"/>
          <w:szCs w:val="28"/>
          <w:rtl/>
        </w:rPr>
        <w:t>الذخيرة</w:t>
      </w:r>
      <w:r w:rsidRPr="00282AC9">
        <w:rPr>
          <w:rFonts w:ascii="Sakkal Majalla" w:hAnsi="Sakkal Majalla" w:cs="DanaFajr" w:hint="cs"/>
          <w:sz w:val="28"/>
          <w:szCs w:val="28"/>
          <w:rtl/>
        </w:rPr>
        <w:t>: 364</w:t>
      </w:r>
      <w:r w:rsidRPr="00282AC9">
        <w:rPr>
          <w:rFonts w:cs="DanaFajr" w:hint="cs"/>
          <w:sz w:val="28"/>
          <w:szCs w:val="28"/>
          <w:rtl/>
        </w:rPr>
        <w:t>.</w:t>
      </w:r>
    </w:p>
  </w:endnote>
  <w:endnote w:id="841">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ascii="Sakkal Majalla" w:hAnsi="Sakkal Majalla" w:cs="DanaFajr" w:hint="cs"/>
          <w:sz w:val="28"/>
          <w:szCs w:val="28"/>
          <w:rtl/>
        </w:rPr>
        <w:t xml:space="preserve">السيوطي، </w:t>
      </w:r>
      <w:r w:rsidRPr="00282AC9">
        <w:rPr>
          <w:rFonts w:ascii="Sakkal Majalla" w:hAnsi="Sakkal Majalla" w:cs="DanaFajr"/>
          <w:sz w:val="28"/>
          <w:szCs w:val="28"/>
          <w:rtl/>
        </w:rPr>
        <w:t>ال</w:t>
      </w:r>
      <w:r w:rsidRPr="00282AC9">
        <w:rPr>
          <w:rFonts w:ascii="Sakkal Majalla" w:hAnsi="Sakkal Majalla" w:cs="DanaFajr" w:hint="cs"/>
          <w:sz w:val="28"/>
          <w:szCs w:val="28"/>
          <w:rtl/>
        </w:rPr>
        <w:t>إ</w:t>
      </w:r>
      <w:r w:rsidRPr="00282AC9">
        <w:rPr>
          <w:rFonts w:ascii="Sakkal Majalla" w:hAnsi="Sakkal Majalla" w:cs="DanaFajr"/>
          <w:sz w:val="28"/>
          <w:szCs w:val="28"/>
          <w:rtl/>
        </w:rPr>
        <w:t>تقان</w:t>
      </w:r>
      <w:r w:rsidRPr="00282AC9">
        <w:rPr>
          <w:rFonts w:ascii="Sakkal Majalla" w:hAnsi="Sakkal Majalla" w:cs="DanaFajr" w:hint="cs"/>
          <w:sz w:val="28"/>
          <w:szCs w:val="28"/>
          <w:rtl/>
        </w:rPr>
        <w:t xml:space="preserve"> في علوم القرآن 1: 214</w:t>
      </w:r>
      <w:r w:rsidRPr="00282AC9">
        <w:rPr>
          <w:rFonts w:cs="DanaFajr" w:hint="cs"/>
          <w:sz w:val="28"/>
          <w:szCs w:val="28"/>
          <w:rtl/>
        </w:rPr>
        <w:t>، دار الكتب العربي، بيروت، 1421هـ.</w:t>
      </w:r>
    </w:p>
  </w:endnote>
  <w:endnote w:id="842">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ascii="Sakkal Majalla" w:hAnsi="Sakkal Majalla" w:cs="DanaFajr" w:hint="cs"/>
          <w:sz w:val="28"/>
          <w:szCs w:val="28"/>
          <w:rtl/>
        </w:rPr>
        <w:t xml:space="preserve">الطباطبائي، </w:t>
      </w:r>
      <w:r w:rsidRPr="00282AC9">
        <w:rPr>
          <w:rFonts w:ascii="Sakkal Majalla" w:hAnsi="Sakkal Majalla" w:cs="DanaFajr"/>
          <w:sz w:val="28"/>
          <w:szCs w:val="28"/>
          <w:rtl/>
        </w:rPr>
        <w:t>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hint="cs"/>
          <w:sz w:val="28"/>
          <w:szCs w:val="28"/>
          <w:rtl/>
        </w:rPr>
        <w:t xml:space="preserve"> 12: 125</w:t>
      </w:r>
      <w:r w:rsidRPr="00282AC9">
        <w:rPr>
          <w:rFonts w:cs="DanaFajr" w:hint="cs"/>
          <w:sz w:val="28"/>
          <w:szCs w:val="28"/>
          <w:rtl/>
        </w:rPr>
        <w:t xml:space="preserve">، مؤسّسة النشر الإسلامي، قم، 1417هـ. </w:t>
      </w:r>
    </w:p>
  </w:endnote>
  <w:endnote w:id="843">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w:t>
      </w:r>
      <w:r w:rsidRPr="00282AC9">
        <w:rPr>
          <w:rFonts w:ascii="Sakkal Majalla" w:hAnsi="Sakkal Majalla" w:cs="DanaFajr" w:hint="cs"/>
          <w:sz w:val="28"/>
          <w:szCs w:val="28"/>
          <w:rtl/>
        </w:rPr>
        <w:t>في</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الجزء</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من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الميزان</w:t>
      </w:r>
      <w:r w:rsidRPr="00282AC9">
        <w:rPr>
          <w:rFonts w:cs="DanaFajr" w:hint="cs"/>
          <w:sz w:val="28"/>
          <w:szCs w:val="28"/>
          <w:rtl/>
        </w:rPr>
        <w:t>.</w:t>
      </w:r>
    </w:p>
  </w:endnote>
  <w:endnote w:id="844">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تاريخ اليعقوبي، </w:t>
      </w:r>
      <w:r w:rsidRPr="00282AC9">
        <w:rPr>
          <w:rFonts w:ascii="Sakkal Majalla" w:hAnsi="Sakkal Majalla" w:cs="DanaFajr" w:hint="cs"/>
          <w:sz w:val="28"/>
          <w:szCs w:val="28"/>
          <w:rtl/>
        </w:rPr>
        <w:t>2: 135، المكتبة الحيدرية، قم، 1425هـ؛</w:t>
      </w:r>
      <w:r w:rsidRPr="00282AC9">
        <w:rPr>
          <w:rFonts w:ascii="Sakkal Majalla" w:hAnsi="Sakkal Majalla" w:cs="DanaFajr"/>
          <w:sz w:val="28"/>
          <w:szCs w:val="28"/>
          <w:rtl/>
        </w:rPr>
        <w:t xml:space="preserve"> 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118.</w:t>
      </w:r>
    </w:p>
  </w:endnote>
  <w:endnote w:id="845">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تاريخ </w:t>
      </w:r>
      <w:r w:rsidRPr="00282AC9">
        <w:rPr>
          <w:rFonts w:ascii="Sakkal Majalla" w:hAnsi="Sakkal Majalla" w:cs="DanaFajr" w:hint="cs"/>
          <w:sz w:val="28"/>
          <w:szCs w:val="28"/>
          <w:rtl/>
        </w:rPr>
        <w:t>أ</w:t>
      </w:r>
      <w:r w:rsidRPr="00282AC9">
        <w:rPr>
          <w:rFonts w:ascii="Sakkal Majalla" w:hAnsi="Sakkal Majalla" w:cs="DanaFajr"/>
          <w:sz w:val="28"/>
          <w:szCs w:val="28"/>
          <w:rtl/>
        </w:rPr>
        <w:t xml:space="preserve">بي الفداء </w:t>
      </w:r>
      <w:r w:rsidRPr="00282AC9">
        <w:rPr>
          <w:rFonts w:ascii="Sakkal Majalla" w:hAnsi="Sakkal Majalla" w:cs="DanaFajr" w:hint="cs"/>
          <w:sz w:val="28"/>
          <w:szCs w:val="28"/>
          <w:rtl/>
        </w:rPr>
        <w:t>1: 157؛</w:t>
      </w:r>
      <w:r w:rsidRPr="00282AC9">
        <w:rPr>
          <w:rFonts w:ascii="Sakkal Majalla" w:hAnsi="Sakkal Majalla" w:cs="DanaFajr"/>
          <w:sz w:val="28"/>
          <w:szCs w:val="28"/>
          <w:rtl/>
        </w:rPr>
        <w:t xml:space="preserve"> 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118.</w:t>
      </w:r>
    </w:p>
  </w:endnote>
  <w:endnote w:id="846">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w:t>
      </w:r>
      <w:r w:rsidRPr="00282AC9">
        <w:rPr>
          <w:rFonts w:ascii="Sakkal Majalla" w:hAnsi="Sakkal Majalla" w:cs="DanaFajr"/>
          <w:sz w:val="28"/>
          <w:szCs w:val="28"/>
          <w:rtl/>
        </w:rPr>
        <w:t>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119.</w:t>
      </w:r>
    </w:p>
  </w:endnote>
  <w:endnote w:id="847">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المصدر نفسه.</w:t>
      </w:r>
    </w:p>
  </w:endnote>
  <w:endnote w:id="848">
    <w:p w:rsidR="00C14EDE" w:rsidRPr="00282AC9" w:rsidRDefault="00C14EDE" w:rsidP="00DC72FB">
      <w:pPr>
        <w:pStyle w:val="af7"/>
        <w:spacing w:line="296" w:lineRule="exact"/>
        <w:ind w:firstLine="0"/>
        <w:rPr>
          <w:rFonts w:cs="DanaFajr"/>
          <w:sz w:val="28"/>
          <w:szCs w:val="28"/>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ال</w:t>
      </w:r>
      <w:r w:rsidRPr="00282AC9">
        <w:rPr>
          <w:rFonts w:ascii="Sakkal Majalla" w:hAnsi="Sakkal Majalla" w:cs="DanaFajr" w:hint="cs"/>
          <w:sz w:val="28"/>
          <w:szCs w:val="28"/>
          <w:rtl/>
        </w:rPr>
        <w:t>إ</w:t>
      </w:r>
      <w:r w:rsidRPr="00282AC9">
        <w:rPr>
          <w:rFonts w:ascii="Sakkal Majalla" w:hAnsi="Sakkal Majalla" w:cs="DanaFajr"/>
          <w:sz w:val="28"/>
          <w:szCs w:val="28"/>
          <w:rtl/>
        </w:rPr>
        <w:t>تقان</w:t>
      </w:r>
      <w:r w:rsidRPr="00282AC9">
        <w:rPr>
          <w:rFonts w:ascii="Sakkal Majalla" w:hAnsi="Sakkal Majalla" w:cs="DanaFajr" w:hint="cs"/>
          <w:sz w:val="28"/>
          <w:szCs w:val="28"/>
          <w:rtl/>
        </w:rPr>
        <w:t xml:space="preserve"> في علوم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 210؛</w:t>
      </w:r>
      <w:r w:rsidRPr="00282AC9">
        <w:rPr>
          <w:rFonts w:ascii="Sakkal Majalla" w:hAnsi="Sakkal Majalla" w:cs="DanaFajr"/>
          <w:sz w:val="28"/>
          <w:szCs w:val="28"/>
          <w:rtl/>
        </w:rPr>
        <w:t xml:space="preserve"> 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119</w:t>
      </w:r>
      <w:r w:rsidRPr="00282AC9">
        <w:rPr>
          <w:rFonts w:cs="DanaFajr" w:hint="cs"/>
          <w:sz w:val="28"/>
          <w:szCs w:val="28"/>
          <w:rtl/>
        </w:rPr>
        <w:t>.</w:t>
      </w:r>
    </w:p>
  </w:endnote>
  <w:endnote w:id="849">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المسند </w:t>
      </w:r>
      <w:r w:rsidRPr="00282AC9">
        <w:rPr>
          <w:rFonts w:ascii="Sakkal Majalla" w:hAnsi="Sakkal Majalla" w:cs="DanaFajr" w:hint="cs"/>
          <w:sz w:val="28"/>
          <w:szCs w:val="28"/>
          <w:rtl/>
        </w:rPr>
        <w:t>3: 240؛</w:t>
      </w:r>
      <w:r w:rsidRPr="00282AC9">
        <w:rPr>
          <w:rFonts w:ascii="Sakkal Majalla" w:hAnsi="Sakkal Majalla" w:cs="DanaFajr"/>
          <w:sz w:val="28"/>
          <w:szCs w:val="28"/>
          <w:rtl/>
        </w:rPr>
        <w:t xml:space="preserve"> 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120.</w:t>
      </w:r>
    </w:p>
  </w:endnote>
  <w:endnote w:id="850">
    <w:p w:rsidR="00C14EDE" w:rsidRPr="00282AC9" w:rsidRDefault="00C14EDE" w:rsidP="00DC72FB">
      <w:pPr>
        <w:pStyle w:val="af7"/>
        <w:spacing w:line="296" w:lineRule="exact"/>
        <w:ind w:firstLine="0"/>
        <w:rPr>
          <w:rFonts w:ascii="Sakkal Majalla" w:hAnsi="Sakkal Majalla" w:cs="DanaFajr"/>
          <w:sz w:val="28"/>
          <w:szCs w:val="28"/>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w:t>
      </w:r>
      <w:r w:rsidRPr="00282AC9">
        <w:rPr>
          <w:rFonts w:ascii="Sakkal Majalla" w:hAnsi="Sakkal Majalla" w:cs="DanaFajr"/>
          <w:sz w:val="28"/>
          <w:szCs w:val="28"/>
          <w:rtl/>
        </w:rPr>
        <w:t>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118.</w:t>
      </w:r>
    </w:p>
  </w:endnote>
  <w:endnote w:id="851">
    <w:p w:rsidR="00C14EDE" w:rsidRPr="00282AC9" w:rsidRDefault="00C14EDE" w:rsidP="00DC72FB">
      <w:pPr>
        <w:pStyle w:val="af7"/>
        <w:spacing w:line="296" w:lineRule="exact"/>
        <w:ind w:firstLine="0"/>
        <w:rPr>
          <w:rFonts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cs="DanaFajr" w:hint="cs"/>
          <w:sz w:val="28"/>
          <w:szCs w:val="28"/>
          <w:rtl/>
        </w:rPr>
        <w:t xml:space="preserve"> الخوئي، البيان 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245</w:t>
      </w:r>
      <w:r w:rsidRPr="00282AC9">
        <w:rPr>
          <w:rFonts w:cs="DanaFajr" w:hint="cs"/>
          <w:sz w:val="28"/>
          <w:szCs w:val="28"/>
          <w:rtl/>
        </w:rPr>
        <w:t xml:space="preserve">، مؤسّسة إحياء آثار الإمام الخوئي، بيروت، 1422هـ.   </w:t>
      </w:r>
    </w:p>
  </w:endnote>
  <w:endnote w:id="852">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النووي، </w:t>
      </w:r>
      <w:r w:rsidRPr="00282AC9">
        <w:rPr>
          <w:rFonts w:ascii="Sakkal Majalla" w:hAnsi="Sakkal Majalla" w:cs="DanaFajr"/>
          <w:sz w:val="28"/>
          <w:szCs w:val="28"/>
          <w:rtl/>
        </w:rPr>
        <w:t>فتح الباري في شرح صحيح الب</w:t>
      </w:r>
      <w:r w:rsidRPr="00282AC9">
        <w:rPr>
          <w:rFonts w:ascii="Sakkal Majalla" w:hAnsi="Sakkal Majalla" w:cs="DanaFajr" w:hint="cs"/>
          <w:sz w:val="28"/>
          <w:szCs w:val="28"/>
          <w:rtl/>
        </w:rPr>
        <w:t>خ</w:t>
      </w:r>
      <w:r w:rsidRPr="00282AC9">
        <w:rPr>
          <w:rFonts w:ascii="Sakkal Majalla" w:hAnsi="Sakkal Majalla" w:cs="DanaFajr"/>
          <w:sz w:val="28"/>
          <w:szCs w:val="28"/>
          <w:rtl/>
        </w:rPr>
        <w:t xml:space="preserve">اري </w:t>
      </w:r>
      <w:r w:rsidRPr="00282AC9">
        <w:rPr>
          <w:rFonts w:ascii="Sakkal Majalla" w:hAnsi="Sakkal Majalla" w:cs="DanaFajr" w:hint="cs"/>
          <w:sz w:val="28"/>
          <w:szCs w:val="28"/>
          <w:rtl/>
        </w:rPr>
        <w:t>8: 226.</w:t>
      </w:r>
      <w:r w:rsidRPr="00282AC9">
        <w:rPr>
          <w:rFonts w:ascii="Sakkal Majalla" w:hAnsi="Sakkal Majalla" w:hint="cs"/>
          <w:sz w:val="10"/>
          <w:szCs w:val="10"/>
          <w:rtl/>
        </w:rPr>
        <w:t xml:space="preserve"> </w:t>
      </w:r>
      <w:r w:rsidRPr="00282AC9">
        <w:rPr>
          <w:rFonts w:ascii="Sakkal Majalla" w:hAnsi="Sakkal Majalla" w:cs="DanaFajr" w:hint="cs"/>
          <w:sz w:val="28"/>
          <w:szCs w:val="28"/>
          <w:rtl/>
        </w:rPr>
        <w:t>فتح الباري في شرح صحيح البخاري، دار الريان، بيروت، 1407هـ.</w:t>
      </w:r>
    </w:p>
  </w:endnote>
  <w:endnote w:id="853">
    <w:p w:rsidR="00C14EDE" w:rsidRPr="00282AC9" w:rsidRDefault="00C14EDE" w:rsidP="00DC72FB">
      <w:pPr>
        <w:pStyle w:val="afc"/>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w:t>
      </w:r>
      <w:r w:rsidRPr="00282AC9">
        <w:rPr>
          <w:rFonts w:ascii="Sakkal Majalla" w:hAnsi="Sakkal Majalla" w:cs="DanaFajr"/>
          <w:sz w:val="28"/>
          <w:szCs w:val="28"/>
          <w:rtl/>
        </w:rPr>
        <w:t>المتق</w:t>
      </w:r>
      <w:r w:rsidRPr="00282AC9">
        <w:rPr>
          <w:rFonts w:ascii="Sakkal Majalla" w:hAnsi="Sakkal Majalla" w:cs="DanaFajr" w:hint="cs"/>
          <w:sz w:val="28"/>
          <w:szCs w:val="28"/>
          <w:rtl/>
        </w:rPr>
        <w:t>ي</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الهندي،</w:t>
      </w:r>
      <w:r w:rsidRPr="00282AC9">
        <w:rPr>
          <w:rFonts w:ascii="Sakkal Majalla" w:hAnsi="Sakkal Majalla" w:cs="DanaFajr"/>
          <w:sz w:val="28"/>
          <w:szCs w:val="28"/>
          <w:rtl/>
        </w:rPr>
        <w:t xml:space="preserve"> كن</w:t>
      </w:r>
      <w:r w:rsidRPr="00282AC9">
        <w:rPr>
          <w:rFonts w:ascii="Sakkal Majalla" w:hAnsi="Sakkal Majalla" w:cs="DanaFajr" w:hint="cs"/>
          <w:sz w:val="28"/>
          <w:szCs w:val="28"/>
          <w:rtl/>
        </w:rPr>
        <w:t>ـ</w:t>
      </w:r>
      <w:r w:rsidRPr="00282AC9">
        <w:rPr>
          <w:rFonts w:ascii="Sakkal Majalla" w:hAnsi="Sakkal Majalla" w:cs="DanaFajr"/>
          <w:sz w:val="28"/>
          <w:szCs w:val="28"/>
          <w:rtl/>
        </w:rPr>
        <w:t>ز العمال</w:t>
      </w:r>
      <w:r w:rsidRPr="00282AC9">
        <w:rPr>
          <w:rFonts w:ascii="Sakkal Majalla" w:hAnsi="Sakkal Majalla" w:cs="DanaFajr" w:hint="cs"/>
          <w:sz w:val="28"/>
          <w:szCs w:val="28"/>
          <w:rtl/>
        </w:rPr>
        <w:t xml:space="preserve"> 2: 364،</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مؤسّسة</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الرسالة،</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بيروت،</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1401هـ.</w:t>
      </w:r>
    </w:p>
  </w:endnote>
  <w:endnote w:id="854">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cs="DanaFajr" w:hint="cs"/>
          <w:sz w:val="28"/>
          <w:szCs w:val="28"/>
          <w:rtl/>
        </w:rPr>
        <w:t xml:space="preserve"> البيان 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245.</w:t>
      </w:r>
    </w:p>
  </w:endnote>
  <w:endnote w:id="855">
    <w:p w:rsidR="00C14EDE" w:rsidRPr="00282AC9" w:rsidRDefault="00C14EDE" w:rsidP="00DC72FB">
      <w:pPr>
        <w:autoSpaceDE w:val="0"/>
        <w:autoSpaceDN w:val="0"/>
        <w:adjustRightInd w:val="0"/>
        <w:spacing w:line="296" w:lineRule="exact"/>
        <w:ind w:firstLine="0"/>
        <w:rPr>
          <w:rFonts w:ascii="Sakkal Majalla" w:hAnsi="Sakkal Majalla" w:cs="DanaFajr"/>
          <w:szCs w:val="28"/>
        </w:rPr>
      </w:pPr>
      <w:r w:rsidRPr="00282AC9">
        <w:rPr>
          <w:rFonts w:ascii="Sakkal Majalla" w:hAnsi="Sakkal Majalla" w:cs="DanaFajr"/>
          <w:szCs w:val="28"/>
          <w:rtl/>
        </w:rPr>
        <w:t>(</w:t>
      </w:r>
      <w:r w:rsidRPr="00282AC9">
        <w:rPr>
          <w:rStyle w:val="af9"/>
          <w:rFonts w:ascii="Sakkal Majalla" w:hAnsi="Sakkal Majalla" w:cs="DanaFajr"/>
          <w:szCs w:val="28"/>
          <w:vertAlign w:val="baseline"/>
        </w:rPr>
        <w:endnoteRef/>
      </w:r>
      <w:r w:rsidRPr="00282AC9">
        <w:rPr>
          <w:rFonts w:ascii="Sakkal Majalla" w:hAnsi="Sakkal Majalla" w:cs="DanaFajr"/>
          <w:szCs w:val="28"/>
          <w:rtl/>
        </w:rPr>
        <w:t>) تفسير علي</w:t>
      </w:r>
      <w:r w:rsidRPr="00282AC9">
        <w:rPr>
          <w:rFonts w:ascii="Sakkal Majalla" w:hAnsi="Sakkal Majalla" w:cs="DanaFajr" w:hint="cs"/>
          <w:szCs w:val="28"/>
          <w:rtl/>
        </w:rPr>
        <w:t>ّ</w:t>
      </w:r>
      <w:r w:rsidRPr="00282AC9">
        <w:rPr>
          <w:rFonts w:ascii="Sakkal Majalla" w:hAnsi="Sakkal Majalla" w:cs="DanaFajr"/>
          <w:szCs w:val="28"/>
          <w:rtl/>
        </w:rPr>
        <w:t xml:space="preserve"> بن إبراهيم </w:t>
      </w:r>
      <w:r w:rsidRPr="00282AC9">
        <w:rPr>
          <w:rFonts w:ascii="Sakkal Majalla" w:hAnsi="Sakkal Majalla" w:cs="DanaFajr" w:hint="cs"/>
          <w:szCs w:val="28"/>
          <w:rtl/>
        </w:rPr>
        <w:t>القمّي 2: 451، دار الكتاب، قم، 1404هـ.</w:t>
      </w:r>
    </w:p>
  </w:endnote>
  <w:endnote w:id="856">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مناقب آل أبي طالب </w:t>
      </w:r>
      <w:r w:rsidRPr="00282AC9">
        <w:rPr>
          <w:rFonts w:ascii="Sakkal Majalla" w:hAnsi="Sakkal Majalla" w:cs="DanaFajr" w:hint="cs"/>
          <w:sz w:val="28"/>
          <w:szCs w:val="28"/>
          <w:rtl/>
        </w:rPr>
        <w:t>2: 41.</w:t>
      </w:r>
    </w:p>
  </w:endnote>
  <w:endnote w:id="857">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سنن الترمذي </w:t>
      </w:r>
      <w:r w:rsidRPr="00282AC9">
        <w:rPr>
          <w:rFonts w:ascii="Sakkal Majalla" w:hAnsi="Sakkal Majalla" w:cs="DanaFajr" w:hint="cs"/>
          <w:sz w:val="28"/>
          <w:szCs w:val="28"/>
          <w:rtl/>
        </w:rPr>
        <w:t>5: 735؛</w:t>
      </w:r>
      <w:r w:rsidRPr="00282AC9">
        <w:rPr>
          <w:rFonts w:ascii="Sakkal Majalla" w:hAnsi="Sakkal Majalla" w:cs="DanaFajr"/>
          <w:sz w:val="28"/>
          <w:szCs w:val="28"/>
          <w:rtl/>
        </w:rPr>
        <w:t xml:space="preserve"> المسند </w:t>
      </w:r>
      <w:r w:rsidRPr="00282AC9">
        <w:rPr>
          <w:rFonts w:ascii="Sakkal Majalla" w:hAnsi="Sakkal Majalla" w:cs="DanaFajr" w:hint="cs"/>
          <w:sz w:val="28"/>
          <w:szCs w:val="28"/>
          <w:rtl/>
        </w:rPr>
        <w:t>8: 144.</w:t>
      </w:r>
    </w:p>
  </w:endnote>
  <w:endnote w:id="858">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أديب العلاّف، البرهان في علوم القرآن 1: 119، مكتبة الفارابي، دمشق، 1422هـ.</w:t>
      </w:r>
    </w:p>
  </w:endnote>
  <w:endnote w:id="859">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علي الكوراني،</w:t>
      </w:r>
      <w:r w:rsidRPr="00282AC9">
        <w:rPr>
          <w:rFonts w:ascii="Sakkal Majalla" w:hAnsi="Sakkal Majalla" w:cs="DanaFajr"/>
          <w:sz w:val="28"/>
          <w:szCs w:val="28"/>
          <w:rtl/>
        </w:rPr>
        <w:t xml:space="preserve"> تدوين القرآن: </w:t>
      </w:r>
      <w:r w:rsidRPr="00282AC9">
        <w:rPr>
          <w:rFonts w:ascii="Sakkal Majalla" w:hAnsi="Sakkal Majalla" w:cs="DanaFajr" w:hint="cs"/>
          <w:sz w:val="28"/>
          <w:szCs w:val="28"/>
          <w:rtl/>
        </w:rPr>
        <w:t>238، دار القرآن، قم، 1418هـ.</w:t>
      </w:r>
    </w:p>
  </w:endnote>
  <w:endnote w:id="860">
    <w:p w:rsidR="00C14EDE" w:rsidRPr="00282AC9" w:rsidRDefault="00C14EDE" w:rsidP="00DC72FB">
      <w:pPr>
        <w:pStyle w:val="af7"/>
        <w:spacing w:line="296" w:lineRule="exact"/>
        <w:ind w:firstLine="0"/>
        <w:rPr>
          <w:rFonts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المعجم الكبير </w:t>
      </w:r>
      <w:r w:rsidRPr="00282AC9">
        <w:rPr>
          <w:rFonts w:ascii="Sakkal Majalla" w:hAnsi="Sakkal Majalla" w:cs="DanaFajr" w:hint="cs"/>
          <w:sz w:val="28"/>
          <w:szCs w:val="28"/>
          <w:rtl/>
        </w:rPr>
        <w:t>5: 142</w:t>
      </w:r>
      <w:r w:rsidRPr="00282AC9">
        <w:rPr>
          <w:rFonts w:cs="DanaFajr" w:hint="cs"/>
          <w:sz w:val="28"/>
          <w:szCs w:val="28"/>
          <w:rtl/>
        </w:rPr>
        <w:t>.</w:t>
      </w:r>
    </w:p>
  </w:endnote>
  <w:endnote w:id="861">
    <w:p w:rsidR="00C14EDE" w:rsidRPr="00282AC9" w:rsidRDefault="00C14EDE" w:rsidP="00DC72FB">
      <w:pPr>
        <w:pStyle w:val="afc"/>
        <w:spacing w:line="296" w:lineRule="exact"/>
        <w:ind w:firstLine="0"/>
        <w:rPr>
          <w:rFonts w:ascii="Sakkal Majalla" w:hAnsi="Sakkal Majalla" w:cs="DanaFajr"/>
          <w:sz w:val="28"/>
          <w:szCs w:val="28"/>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علوم القرآن: </w:t>
      </w:r>
      <w:r w:rsidRPr="00282AC9">
        <w:rPr>
          <w:rFonts w:ascii="Sakkal Majalla" w:hAnsi="Sakkal Majalla" w:cs="DanaFajr" w:hint="cs"/>
          <w:sz w:val="28"/>
          <w:szCs w:val="28"/>
          <w:rtl/>
        </w:rPr>
        <w:t>175.</w:t>
      </w:r>
    </w:p>
  </w:endnote>
  <w:endnote w:id="862">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ال</w:t>
      </w:r>
      <w:r w:rsidRPr="00282AC9">
        <w:rPr>
          <w:rFonts w:ascii="Sakkal Majalla" w:hAnsi="Sakkal Majalla" w:cs="DanaFajr" w:hint="cs"/>
          <w:sz w:val="28"/>
          <w:szCs w:val="28"/>
          <w:rtl/>
        </w:rPr>
        <w:t>إ</w:t>
      </w:r>
      <w:r w:rsidRPr="00282AC9">
        <w:rPr>
          <w:rFonts w:ascii="Sakkal Majalla" w:hAnsi="Sakkal Majalla" w:cs="DanaFajr"/>
          <w:sz w:val="28"/>
          <w:szCs w:val="28"/>
          <w:rtl/>
        </w:rPr>
        <w:t>تقان</w:t>
      </w:r>
      <w:r w:rsidRPr="00282AC9">
        <w:rPr>
          <w:rFonts w:ascii="Sakkal Majalla" w:hAnsi="Sakkal Majalla" w:cs="DanaFajr" w:hint="cs"/>
          <w:sz w:val="28"/>
          <w:szCs w:val="28"/>
          <w:rtl/>
        </w:rPr>
        <w:t xml:space="preserve"> في علوم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 210.</w:t>
      </w:r>
    </w:p>
  </w:endnote>
  <w:endnote w:id="863">
    <w:p w:rsidR="00C14EDE" w:rsidRPr="00282AC9" w:rsidRDefault="00C14EDE" w:rsidP="00DC72FB">
      <w:pPr>
        <w:pStyle w:val="af7"/>
        <w:spacing w:line="296" w:lineRule="exact"/>
        <w:ind w:firstLine="0"/>
        <w:rPr>
          <w:rFonts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البيان</w:t>
      </w:r>
      <w:r w:rsidRPr="00282AC9">
        <w:rPr>
          <w:rFonts w:ascii="Sakkal Majalla" w:hAnsi="Sakkal Majalla" w:cs="DanaFajr" w:hint="cs"/>
          <w:sz w:val="28"/>
          <w:szCs w:val="28"/>
          <w:rtl/>
        </w:rPr>
        <w:t xml:space="preserve"> 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254</w:t>
      </w:r>
      <w:r w:rsidRPr="00282AC9">
        <w:rPr>
          <w:rFonts w:cs="DanaFajr" w:hint="cs"/>
          <w:sz w:val="28"/>
          <w:szCs w:val="28"/>
          <w:rtl/>
        </w:rPr>
        <w:t>.</w:t>
      </w:r>
    </w:p>
  </w:endnote>
  <w:endnote w:id="864">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w:t>
      </w:r>
      <w:r w:rsidRPr="00282AC9">
        <w:rPr>
          <w:rFonts w:ascii="Sakkal Majalla" w:hAnsi="Sakkal Majalla" w:cs="DanaFajr"/>
          <w:sz w:val="28"/>
          <w:szCs w:val="28"/>
          <w:rtl/>
        </w:rPr>
        <w:t>ال</w:t>
      </w:r>
      <w:r w:rsidRPr="00282AC9">
        <w:rPr>
          <w:rFonts w:ascii="Sakkal Majalla" w:hAnsi="Sakkal Majalla" w:cs="DanaFajr" w:hint="cs"/>
          <w:sz w:val="28"/>
          <w:szCs w:val="28"/>
          <w:rtl/>
        </w:rPr>
        <w:t>إ</w:t>
      </w:r>
      <w:r w:rsidRPr="00282AC9">
        <w:rPr>
          <w:rFonts w:ascii="Sakkal Majalla" w:hAnsi="Sakkal Majalla" w:cs="DanaFajr"/>
          <w:sz w:val="28"/>
          <w:szCs w:val="28"/>
          <w:rtl/>
        </w:rPr>
        <w:t>تقان</w:t>
      </w:r>
      <w:r w:rsidRPr="00282AC9">
        <w:rPr>
          <w:rFonts w:ascii="Sakkal Majalla" w:hAnsi="Sakkal Majalla" w:cs="DanaFajr" w:hint="cs"/>
          <w:sz w:val="28"/>
          <w:szCs w:val="28"/>
          <w:rtl/>
        </w:rPr>
        <w:t xml:space="preserve"> في علوم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 72.</w:t>
      </w:r>
    </w:p>
  </w:endnote>
  <w:endnote w:id="865">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ا</w:t>
      </w:r>
      <w:r w:rsidRPr="00282AC9">
        <w:rPr>
          <w:rFonts w:ascii="Sakkal Majalla" w:hAnsi="Sakkal Majalla" w:cs="DanaFajr"/>
          <w:sz w:val="28"/>
          <w:szCs w:val="28"/>
          <w:rtl/>
        </w:rPr>
        <w:t>لنسائي</w:t>
      </w:r>
      <w:r w:rsidRPr="00282AC9">
        <w:rPr>
          <w:rFonts w:ascii="Sakkal Majalla" w:hAnsi="Sakkal Majalla" w:cs="DanaFajr" w:hint="cs"/>
          <w:sz w:val="28"/>
          <w:szCs w:val="28"/>
          <w:rtl/>
        </w:rPr>
        <w:t>،</w:t>
      </w:r>
      <w:r w:rsidRPr="00282AC9">
        <w:rPr>
          <w:rFonts w:ascii="Sakkal Majalla" w:hAnsi="Sakkal Majalla" w:cs="DanaFajr"/>
          <w:sz w:val="28"/>
          <w:szCs w:val="28"/>
          <w:rtl/>
        </w:rPr>
        <w:t xml:space="preserve"> السنن الكبر</w:t>
      </w:r>
      <w:r w:rsidRPr="00282AC9">
        <w:rPr>
          <w:rFonts w:ascii="Sakkal Majalla" w:hAnsi="Sakkal Majalla" w:cs="DanaFajr" w:hint="cs"/>
          <w:sz w:val="28"/>
          <w:szCs w:val="28"/>
          <w:rtl/>
        </w:rPr>
        <w:t>ى</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4: 214.</w:t>
      </w:r>
    </w:p>
  </w:endnote>
  <w:endnote w:id="866">
    <w:p w:rsidR="00C14EDE" w:rsidRPr="00282AC9" w:rsidRDefault="00C14EDE" w:rsidP="00DC72FB">
      <w:pPr>
        <w:pStyle w:val="af7"/>
        <w:spacing w:line="296" w:lineRule="exact"/>
        <w:ind w:firstLine="0"/>
        <w:rPr>
          <w:rFonts w:ascii="Sakkal Majalla" w:hAnsi="Sakkal Majalla" w:cs="DanaFajr"/>
          <w:sz w:val="28"/>
          <w:szCs w:val="28"/>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كن</w:t>
      </w:r>
      <w:r w:rsidRPr="00282AC9">
        <w:rPr>
          <w:rFonts w:ascii="Sakkal Majalla" w:hAnsi="Sakkal Majalla" w:cs="DanaFajr" w:hint="cs"/>
          <w:sz w:val="28"/>
          <w:szCs w:val="28"/>
          <w:rtl/>
        </w:rPr>
        <w:t>ـ</w:t>
      </w:r>
      <w:r w:rsidRPr="00282AC9">
        <w:rPr>
          <w:rFonts w:ascii="Sakkal Majalla" w:hAnsi="Sakkal Majalla" w:cs="DanaFajr"/>
          <w:sz w:val="28"/>
          <w:szCs w:val="28"/>
          <w:rtl/>
        </w:rPr>
        <w:t xml:space="preserve">ز العمال </w:t>
      </w:r>
      <w:r w:rsidRPr="00282AC9">
        <w:rPr>
          <w:rFonts w:ascii="Sakkal Majalla" w:hAnsi="Sakkal Majalla" w:cs="DanaFajr" w:hint="cs"/>
          <w:sz w:val="28"/>
          <w:szCs w:val="28"/>
          <w:rtl/>
        </w:rPr>
        <w:t>2: 364.</w:t>
      </w:r>
    </w:p>
  </w:endnote>
  <w:endnote w:id="867">
    <w:p w:rsidR="00C14EDE" w:rsidRPr="00282AC9" w:rsidRDefault="00C14EDE" w:rsidP="00DC72FB">
      <w:pPr>
        <w:pStyle w:val="af7"/>
        <w:spacing w:line="296" w:lineRule="exact"/>
        <w:ind w:firstLine="0"/>
        <w:rPr>
          <w:rFonts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ال</w:t>
      </w:r>
      <w:r w:rsidRPr="00282AC9">
        <w:rPr>
          <w:rFonts w:ascii="Sakkal Majalla" w:hAnsi="Sakkal Majalla" w:cs="DanaFajr" w:hint="cs"/>
          <w:sz w:val="28"/>
          <w:szCs w:val="28"/>
          <w:rtl/>
        </w:rPr>
        <w:t>إ</w:t>
      </w:r>
      <w:r w:rsidRPr="00282AC9">
        <w:rPr>
          <w:rFonts w:ascii="Sakkal Majalla" w:hAnsi="Sakkal Majalla" w:cs="DanaFajr"/>
          <w:sz w:val="28"/>
          <w:szCs w:val="28"/>
          <w:rtl/>
        </w:rPr>
        <w:t>تقان</w:t>
      </w:r>
      <w:r w:rsidRPr="00282AC9">
        <w:rPr>
          <w:rFonts w:ascii="Sakkal Majalla" w:hAnsi="Sakkal Majalla" w:cs="DanaFajr" w:hint="cs"/>
          <w:sz w:val="28"/>
          <w:szCs w:val="28"/>
          <w:rtl/>
        </w:rPr>
        <w:t xml:space="preserve"> في علوم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2: 122</w:t>
      </w:r>
      <w:r w:rsidRPr="00282AC9">
        <w:rPr>
          <w:rFonts w:cs="DanaFajr" w:hint="cs"/>
          <w:sz w:val="28"/>
          <w:szCs w:val="28"/>
          <w:rtl/>
        </w:rPr>
        <w:t>.</w:t>
      </w:r>
    </w:p>
  </w:endnote>
  <w:endnote w:id="868">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محاضرات الأدباء </w:t>
      </w:r>
      <w:r w:rsidRPr="00282AC9">
        <w:rPr>
          <w:rFonts w:ascii="Sakkal Majalla" w:hAnsi="Sakkal Majalla" w:cs="DanaFajr" w:hint="cs"/>
          <w:sz w:val="28"/>
          <w:szCs w:val="28"/>
          <w:rtl/>
        </w:rPr>
        <w:t>4: 438.</w:t>
      </w:r>
    </w:p>
  </w:endnote>
  <w:endnote w:id="869">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جعفر مرتضى العاملي، </w:t>
      </w:r>
      <w:r w:rsidRPr="00282AC9">
        <w:rPr>
          <w:rFonts w:ascii="Sakkal Majalla" w:hAnsi="Sakkal Majalla" w:cs="DanaFajr"/>
          <w:sz w:val="28"/>
          <w:szCs w:val="28"/>
          <w:rtl/>
        </w:rPr>
        <w:t xml:space="preserve">حقائق هامّة حول القرآن الكريم: </w:t>
      </w:r>
      <w:r w:rsidRPr="00282AC9">
        <w:rPr>
          <w:rFonts w:ascii="Sakkal Majalla" w:hAnsi="Sakkal Majalla" w:cs="DanaFajr" w:hint="cs"/>
          <w:sz w:val="28"/>
          <w:szCs w:val="28"/>
          <w:rtl/>
        </w:rPr>
        <w:t>42</w:t>
      </w:r>
      <w:r w:rsidRPr="00282AC9">
        <w:rPr>
          <w:rFonts w:ascii="Sakkal Majalla" w:hAnsi="Sakkal Majalla" w:hint="cs"/>
          <w:sz w:val="10"/>
          <w:szCs w:val="10"/>
          <w:rtl/>
        </w:rPr>
        <w:t xml:space="preserve"> </w:t>
      </w:r>
      <w:r w:rsidRPr="00282AC9">
        <w:rPr>
          <w:rFonts w:ascii="Sakkal Majalla" w:hAnsi="Sakkal Majalla" w:cs="DanaFajr" w:hint="cs"/>
          <w:sz w:val="28"/>
          <w:szCs w:val="28"/>
          <w:rtl/>
        </w:rPr>
        <w:t>، مؤسّسة النشر الإسلامي، قم، 1407هـ.</w:t>
      </w:r>
    </w:p>
  </w:endnote>
  <w:endnote w:id="870">
    <w:p w:rsidR="00C14EDE" w:rsidRPr="00282AC9" w:rsidRDefault="00C14EDE" w:rsidP="00DC72FB">
      <w:pPr>
        <w:spacing w:line="296" w:lineRule="exact"/>
        <w:ind w:firstLine="0"/>
        <w:rPr>
          <w:rFonts w:ascii="Sakkal Majalla" w:hAnsi="Sakkal Majalla" w:cs="DanaFajr"/>
          <w:szCs w:val="28"/>
        </w:rPr>
      </w:pPr>
      <w:r w:rsidRPr="00282AC9">
        <w:rPr>
          <w:rFonts w:ascii="Sakkal Majalla" w:hAnsi="Sakkal Majalla" w:cs="DanaFajr"/>
          <w:szCs w:val="28"/>
          <w:rtl/>
        </w:rPr>
        <w:t>(</w:t>
      </w:r>
      <w:r w:rsidRPr="00282AC9">
        <w:rPr>
          <w:rStyle w:val="af9"/>
          <w:rFonts w:ascii="Sakkal Majalla" w:hAnsi="Sakkal Majalla" w:cs="DanaFajr"/>
          <w:szCs w:val="28"/>
          <w:vertAlign w:val="baseline"/>
        </w:rPr>
        <w:endnoteRef/>
      </w:r>
      <w:r w:rsidRPr="00282AC9">
        <w:rPr>
          <w:rFonts w:ascii="Sakkal Majalla" w:hAnsi="Sakkal Majalla" w:cs="DanaFajr"/>
          <w:szCs w:val="28"/>
          <w:rtl/>
        </w:rPr>
        <w:t>)</w:t>
      </w:r>
      <w:r w:rsidRPr="00282AC9">
        <w:rPr>
          <w:rFonts w:ascii="Sakkal Majalla" w:hAnsi="Sakkal Majalla" w:cs="DanaFajr" w:hint="cs"/>
          <w:szCs w:val="28"/>
          <w:rtl/>
        </w:rPr>
        <w:t xml:space="preserve"> </w:t>
      </w:r>
      <w:r w:rsidRPr="00282AC9">
        <w:rPr>
          <w:rFonts w:ascii="Sakkal Majalla" w:hAnsi="Sakkal Majalla" w:cs="DanaFajr"/>
          <w:szCs w:val="28"/>
          <w:rtl/>
        </w:rPr>
        <w:t>الواحد</w:t>
      </w:r>
      <w:r w:rsidRPr="00282AC9">
        <w:rPr>
          <w:rFonts w:ascii="Sakkal Majalla" w:hAnsi="Sakkal Majalla" w:cs="DanaFajr" w:hint="cs"/>
          <w:szCs w:val="28"/>
          <w:rtl/>
        </w:rPr>
        <w:t>ي، أ</w:t>
      </w:r>
      <w:r w:rsidRPr="00282AC9">
        <w:rPr>
          <w:rFonts w:ascii="Sakkal Majalla" w:hAnsi="Sakkal Majalla" w:cs="DanaFajr"/>
          <w:szCs w:val="28"/>
          <w:rtl/>
        </w:rPr>
        <w:t xml:space="preserve">سباب نزول القرآن: </w:t>
      </w:r>
      <w:r w:rsidRPr="00282AC9">
        <w:rPr>
          <w:rFonts w:ascii="Sakkal Majalla" w:hAnsi="Sakkal Majalla" w:cs="DanaFajr" w:hint="cs"/>
          <w:szCs w:val="28"/>
          <w:rtl/>
        </w:rPr>
        <w:t>17،</w:t>
      </w:r>
      <w:r w:rsidRPr="00282AC9">
        <w:rPr>
          <w:rFonts w:ascii="Sakkal Majalla" w:hAnsi="Sakkal Majalla" w:cs="DanaFajr"/>
          <w:szCs w:val="28"/>
          <w:rtl/>
        </w:rPr>
        <w:t xml:space="preserve"> </w:t>
      </w:r>
      <w:r w:rsidRPr="00282AC9">
        <w:rPr>
          <w:rFonts w:ascii="Sakkal Majalla" w:hAnsi="Sakkal Majalla" w:cs="DanaFajr" w:hint="cs"/>
          <w:szCs w:val="28"/>
          <w:rtl/>
        </w:rPr>
        <w:t>دار</w:t>
      </w:r>
      <w:r w:rsidRPr="00282AC9">
        <w:rPr>
          <w:rFonts w:ascii="Sakkal Majalla" w:hAnsi="Sakkal Majalla" w:cs="DanaFajr"/>
          <w:szCs w:val="28"/>
          <w:rtl/>
        </w:rPr>
        <w:t xml:space="preserve"> </w:t>
      </w:r>
      <w:r w:rsidRPr="00282AC9">
        <w:rPr>
          <w:rFonts w:ascii="Sakkal Majalla" w:hAnsi="Sakkal Majalla" w:cs="DanaFajr" w:hint="cs"/>
          <w:szCs w:val="28"/>
          <w:rtl/>
        </w:rPr>
        <w:t>الكتب</w:t>
      </w:r>
      <w:r w:rsidRPr="00282AC9">
        <w:rPr>
          <w:rFonts w:ascii="Sakkal Majalla" w:hAnsi="Sakkal Majalla" w:cs="DanaFajr"/>
          <w:szCs w:val="28"/>
          <w:rtl/>
        </w:rPr>
        <w:t xml:space="preserve"> </w:t>
      </w:r>
      <w:r w:rsidRPr="00282AC9">
        <w:rPr>
          <w:rFonts w:ascii="Sakkal Majalla" w:hAnsi="Sakkal Majalla" w:cs="DanaFajr" w:hint="cs"/>
          <w:szCs w:val="28"/>
          <w:rtl/>
        </w:rPr>
        <w:t>العلمية،</w:t>
      </w:r>
      <w:r w:rsidRPr="00282AC9">
        <w:rPr>
          <w:rFonts w:ascii="Sakkal Majalla" w:hAnsi="Sakkal Majalla" w:cs="DanaFajr"/>
          <w:szCs w:val="28"/>
          <w:rtl/>
        </w:rPr>
        <w:t xml:space="preserve"> </w:t>
      </w:r>
      <w:r w:rsidRPr="00282AC9">
        <w:rPr>
          <w:rFonts w:ascii="Sakkal Majalla" w:hAnsi="Sakkal Majalla" w:cs="DanaFajr" w:hint="cs"/>
          <w:szCs w:val="28"/>
          <w:rtl/>
        </w:rPr>
        <w:t>بيروت،</w:t>
      </w:r>
      <w:r w:rsidRPr="00282AC9">
        <w:rPr>
          <w:rFonts w:ascii="Sakkal Majalla" w:hAnsi="Sakkal Majalla" w:cs="DanaFajr"/>
          <w:szCs w:val="28"/>
          <w:rtl/>
        </w:rPr>
        <w:t xml:space="preserve"> </w:t>
      </w:r>
      <w:r w:rsidRPr="00282AC9">
        <w:rPr>
          <w:rFonts w:ascii="Sakkal Majalla" w:hAnsi="Sakkal Majalla" w:cs="DanaFajr" w:hint="cs"/>
          <w:szCs w:val="28"/>
          <w:rtl/>
        </w:rPr>
        <w:t>1411هـ؛</w:t>
      </w:r>
      <w:r w:rsidRPr="00282AC9">
        <w:rPr>
          <w:rFonts w:ascii="Sakkal Majalla" w:hAnsi="Sakkal Majalla" w:cs="DanaFajr"/>
          <w:szCs w:val="28"/>
          <w:rtl/>
        </w:rPr>
        <w:t xml:space="preserve"> </w:t>
      </w:r>
      <w:r w:rsidRPr="00282AC9">
        <w:rPr>
          <w:rFonts w:ascii="Sakkal Majalla" w:hAnsi="Sakkal Majalla" w:cs="DanaFajr" w:hint="cs"/>
          <w:szCs w:val="28"/>
          <w:rtl/>
        </w:rPr>
        <w:t xml:space="preserve">الحاكم النيسابوري، </w:t>
      </w:r>
      <w:r w:rsidRPr="00282AC9">
        <w:rPr>
          <w:rFonts w:ascii="Sakkal Majalla" w:hAnsi="Sakkal Majalla" w:cs="DanaFajr"/>
          <w:szCs w:val="28"/>
          <w:rtl/>
        </w:rPr>
        <w:t>المستدرك عل</w:t>
      </w:r>
      <w:r w:rsidRPr="00282AC9">
        <w:rPr>
          <w:rFonts w:ascii="Sakkal Majalla" w:hAnsi="Sakkal Majalla" w:cs="DanaFajr" w:hint="cs"/>
          <w:szCs w:val="28"/>
          <w:rtl/>
        </w:rPr>
        <w:t>ى</w:t>
      </w:r>
      <w:r w:rsidRPr="00282AC9">
        <w:rPr>
          <w:rFonts w:ascii="Sakkal Majalla" w:hAnsi="Sakkal Majalla" w:cs="DanaFajr"/>
          <w:szCs w:val="28"/>
          <w:rtl/>
        </w:rPr>
        <w:t xml:space="preserve"> الصحيحين </w:t>
      </w:r>
      <w:r w:rsidRPr="00282AC9">
        <w:rPr>
          <w:rFonts w:ascii="Sakkal Majalla" w:hAnsi="Sakkal Majalla" w:cs="DanaFajr" w:hint="cs"/>
          <w:szCs w:val="28"/>
          <w:rtl/>
        </w:rPr>
        <w:t>1: 231؛</w:t>
      </w:r>
      <w:r w:rsidRPr="00282AC9">
        <w:rPr>
          <w:rFonts w:ascii="Sakkal Majalla" w:hAnsi="Sakkal Majalla" w:cs="DanaFajr"/>
          <w:szCs w:val="28"/>
          <w:rtl/>
        </w:rPr>
        <w:t xml:space="preserve"> الميزان</w:t>
      </w:r>
      <w:r w:rsidRPr="00282AC9">
        <w:rPr>
          <w:rFonts w:ascii="Sakkal Majalla" w:hAnsi="Sakkal Majalla" w:cs="DanaFajr" w:hint="cs"/>
          <w:szCs w:val="28"/>
          <w:rtl/>
        </w:rPr>
        <w:t xml:space="preserve"> </w:t>
      </w:r>
      <w:r w:rsidRPr="00282AC9">
        <w:rPr>
          <w:rFonts w:cs="DanaFajr" w:hint="cs"/>
          <w:szCs w:val="28"/>
          <w:rtl/>
        </w:rPr>
        <w:t>في تفسير القرآن</w:t>
      </w:r>
      <w:r w:rsidRPr="00282AC9">
        <w:rPr>
          <w:rFonts w:ascii="Sakkal Majalla" w:hAnsi="Sakkal Majalla" w:cs="DanaFajr"/>
          <w:szCs w:val="28"/>
          <w:rtl/>
        </w:rPr>
        <w:t xml:space="preserve"> </w:t>
      </w:r>
      <w:r w:rsidRPr="00282AC9">
        <w:rPr>
          <w:rFonts w:ascii="Sakkal Majalla" w:hAnsi="Sakkal Majalla" w:cs="DanaFajr" w:hint="cs"/>
          <w:szCs w:val="28"/>
          <w:rtl/>
        </w:rPr>
        <w:t>12: 127.</w:t>
      </w:r>
    </w:p>
  </w:endnote>
  <w:endnote w:id="871">
    <w:p w:rsidR="00C14EDE" w:rsidRPr="00282AC9" w:rsidRDefault="00C14EDE" w:rsidP="00DC72FB">
      <w:pPr>
        <w:pStyle w:val="af7"/>
        <w:spacing w:line="296" w:lineRule="exact"/>
        <w:ind w:firstLine="0"/>
        <w:rPr>
          <w:rFonts w:ascii="Sakkal Majalla" w:hAnsi="Sakkal Majalla" w:cs="DanaFajr"/>
          <w:sz w:val="28"/>
          <w:szCs w:val="28"/>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المستدرك عل</w:t>
      </w:r>
      <w:r w:rsidRPr="00282AC9">
        <w:rPr>
          <w:rFonts w:ascii="Sakkal Majalla" w:hAnsi="Sakkal Majalla" w:cs="DanaFajr" w:hint="cs"/>
          <w:sz w:val="28"/>
          <w:szCs w:val="28"/>
          <w:rtl/>
        </w:rPr>
        <w:t>ى</w:t>
      </w:r>
      <w:r w:rsidRPr="00282AC9">
        <w:rPr>
          <w:rFonts w:ascii="Sakkal Majalla" w:hAnsi="Sakkal Majalla" w:cs="DanaFajr"/>
          <w:sz w:val="28"/>
          <w:szCs w:val="28"/>
          <w:rtl/>
        </w:rPr>
        <w:t xml:space="preserve"> الصحيحين </w:t>
      </w:r>
      <w:r w:rsidRPr="00282AC9">
        <w:rPr>
          <w:rFonts w:ascii="Sakkal Majalla" w:hAnsi="Sakkal Majalla" w:cs="DanaFajr" w:hint="cs"/>
          <w:sz w:val="28"/>
          <w:szCs w:val="28"/>
          <w:rtl/>
        </w:rPr>
        <w:t>1: 231؛</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ا</w:t>
      </w:r>
      <w:r w:rsidRPr="00282AC9">
        <w:rPr>
          <w:rFonts w:ascii="Sakkal Majalla" w:hAnsi="Sakkal Majalla" w:cs="DanaFajr"/>
          <w:sz w:val="28"/>
          <w:szCs w:val="28"/>
          <w:rtl/>
        </w:rPr>
        <w:t>لنسائي</w:t>
      </w:r>
      <w:r w:rsidRPr="00282AC9">
        <w:rPr>
          <w:rFonts w:ascii="Sakkal Majalla" w:hAnsi="Sakkal Majalla" w:cs="DanaFajr" w:hint="cs"/>
          <w:sz w:val="28"/>
          <w:szCs w:val="28"/>
          <w:rtl/>
        </w:rPr>
        <w:t>،</w:t>
      </w:r>
      <w:r w:rsidRPr="00282AC9">
        <w:rPr>
          <w:rFonts w:ascii="Sakkal Majalla" w:hAnsi="Sakkal Majalla" w:cs="DanaFajr"/>
          <w:sz w:val="28"/>
          <w:szCs w:val="28"/>
          <w:rtl/>
        </w:rPr>
        <w:t xml:space="preserve"> السنن الكبر</w:t>
      </w:r>
      <w:r w:rsidRPr="00282AC9">
        <w:rPr>
          <w:rFonts w:ascii="Sakkal Majalla" w:hAnsi="Sakkal Majalla" w:cs="DanaFajr" w:hint="cs"/>
          <w:sz w:val="28"/>
          <w:szCs w:val="28"/>
          <w:rtl/>
        </w:rPr>
        <w:t>ى</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2: 42، مؤسّسة</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الرسالة،</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بيروت،</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1421هـ؛</w:t>
      </w:r>
      <w:r w:rsidRPr="00282AC9">
        <w:rPr>
          <w:rFonts w:ascii="Sakkal Majalla" w:hAnsi="Sakkal Majalla" w:cs="DanaFajr"/>
          <w:sz w:val="28"/>
          <w:szCs w:val="28"/>
          <w:rtl/>
        </w:rPr>
        <w:t xml:space="preserve"> 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127.</w:t>
      </w:r>
    </w:p>
  </w:endnote>
  <w:endnote w:id="872">
    <w:p w:rsidR="00C14EDE" w:rsidRPr="00282AC9" w:rsidRDefault="00C14EDE" w:rsidP="00DC72FB">
      <w:pPr>
        <w:pStyle w:val="af7"/>
        <w:spacing w:line="296" w:lineRule="exact"/>
        <w:ind w:firstLine="0"/>
        <w:rPr>
          <w:rFonts w:ascii="Sakkal Majalla" w:hAnsi="Sakkal Majalla" w:cs="DanaFajr"/>
          <w:sz w:val="28"/>
          <w:szCs w:val="28"/>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تفسير القرآن العظيم </w:t>
      </w:r>
      <w:r w:rsidRPr="00282AC9">
        <w:rPr>
          <w:rFonts w:ascii="Sakkal Majalla" w:hAnsi="Sakkal Majalla" w:cs="DanaFajr" w:hint="cs"/>
          <w:sz w:val="28"/>
          <w:szCs w:val="28"/>
          <w:rtl/>
        </w:rPr>
        <w:t>1: 16؛</w:t>
      </w:r>
      <w:r w:rsidRPr="00282AC9">
        <w:rPr>
          <w:rFonts w:ascii="Sakkal Majalla" w:hAnsi="Sakkal Majalla" w:cs="DanaFajr"/>
          <w:sz w:val="28"/>
          <w:szCs w:val="28"/>
          <w:rtl/>
        </w:rPr>
        <w:t xml:space="preserve"> أسباب نزول القرآن: </w:t>
      </w:r>
      <w:r w:rsidRPr="00282AC9">
        <w:rPr>
          <w:rFonts w:ascii="Sakkal Majalla" w:hAnsi="Sakkal Majalla" w:cs="DanaFajr" w:hint="cs"/>
          <w:sz w:val="28"/>
          <w:szCs w:val="28"/>
          <w:rtl/>
        </w:rPr>
        <w:t>17؛</w:t>
      </w:r>
      <w:r w:rsidRPr="00282AC9">
        <w:rPr>
          <w:rFonts w:ascii="Sakkal Majalla" w:hAnsi="Sakkal Majalla" w:cs="DanaFajr"/>
          <w:sz w:val="28"/>
          <w:szCs w:val="28"/>
          <w:rtl/>
        </w:rPr>
        <w:t xml:space="preserve"> المستدرك عل</w:t>
      </w:r>
      <w:r w:rsidRPr="00282AC9">
        <w:rPr>
          <w:rFonts w:ascii="Sakkal Majalla" w:hAnsi="Sakkal Majalla" w:cs="DanaFajr" w:hint="cs"/>
          <w:sz w:val="28"/>
          <w:szCs w:val="28"/>
          <w:rtl/>
        </w:rPr>
        <w:t>ى</w:t>
      </w:r>
      <w:r w:rsidRPr="00282AC9">
        <w:rPr>
          <w:rFonts w:ascii="Sakkal Majalla" w:hAnsi="Sakkal Majalla" w:cs="DanaFajr"/>
          <w:sz w:val="28"/>
          <w:szCs w:val="28"/>
          <w:rtl/>
        </w:rPr>
        <w:t xml:space="preserve"> الصحيحين </w:t>
      </w:r>
      <w:r w:rsidRPr="00282AC9">
        <w:rPr>
          <w:rFonts w:ascii="Sakkal Majalla" w:hAnsi="Sakkal Majalla" w:cs="DanaFajr" w:hint="cs"/>
          <w:sz w:val="28"/>
          <w:szCs w:val="28"/>
          <w:rtl/>
        </w:rPr>
        <w:t>1: 231؛</w:t>
      </w:r>
      <w:r w:rsidRPr="00282AC9">
        <w:rPr>
          <w:rFonts w:ascii="Sakkal Majalla" w:hAnsi="Sakkal Majalla" w:cs="DanaFajr"/>
          <w:sz w:val="28"/>
          <w:szCs w:val="28"/>
          <w:rtl/>
        </w:rPr>
        <w:t xml:space="preserve"> 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128.</w:t>
      </w:r>
    </w:p>
  </w:endnote>
  <w:endnote w:id="873">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مرتضى</w:t>
      </w:r>
      <w:r w:rsidRPr="00282AC9">
        <w:rPr>
          <w:rFonts w:ascii="Sakkal Majalla" w:hAnsi="Sakkal Majalla" w:hint="cs"/>
          <w:sz w:val="10"/>
          <w:szCs w:val="10"/>
          <w:rtl/>
        </w:rPr>
        <w:t xml:space="preserve"> </w:t>
      </w:r>
      <w:r w:rsidRPr="00282AC9">
        <w:rPr>
          <w:rFonts w:ascii="Sakkal Majalla" w:hAnsi="Sakkal Majalla" w:cs="DanaFajr" w:hint="cs"/>
          <w:sz w:val="28"/>
          <w:szCs w:val="28"/>
          <w:rtl/>
        </w:rPr>
        <w:t xml:space="preserve">العسكري، </w:t>
      </w:r>
      <w:r w:rsidRPr="00282AC9">
        <w:rPr>
          <w:rFonts w:ascii="Sakkal Majalla" w:hAnsi="Sakkal Majalla" w:cs="DanaFajr"/>
          <w:sz w:val="28"/>
          <w:szCs w:val="28"/>
          <w:rtl/>
        </w:rPr>
        <w:t xml:space="preserve">القرآن وروايات المدرستين </w:t>
      </w:r>
      <w:r w:rsidRPr="00282AC9">
        <w:rPr>
          <w:rFonts w:ascii="Sakkal Majalla" w:hAnsi="Sakkal Majalla" w:cs="DanaFajr" w:hint="cs"/>
          <w:sz w:val="28"/>
          <w:szCs w:val="28"/>
          <w:rtl/>
        </w:rPr>
        <w:t>1: 211، المجمع العلمي الإسلامي، طهران، 1416هـ.</w:t>
      </w:r>
    </w:p>
  </w:endnote>
  <w:endnote w:id="874">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سنن </w:t>
      </w:r>
      <w:r w:rsidRPr="00282AC9">
        <w:rPr>
          <w:rFonts w:ascii="Sakkal Majalla" w:hAnsi="Sakkal Majalla" w:cs="DanaFajr" w:hint="cs"/>
          <w:sz w:val="28"/>
          <w:szCs w:val="28"/>
          <w:rtl/>
        </w:rPr>
        <w:t>أ</w:t>
      </w:r>
      <w:r w:rsidRPr="00282AC9">
        <w:rPr>
          <w:rFonts w:ascii="Sakkal Majalla" w:hAnsi="Sakkal Majalla" w:cs="DanaFajr"/>
          <w:sz w:val="28"/>
          <w:szCs w:val="28"/>
          <w:rtl/>
        </w:rPr>
        <w:t>بي داو</w:t>
      </w:r>
      <w:r w:rsidRPr="00282AC9">
        <w:rPr>
          <w:rFonts w:ascii="Sakkal Majalla" w:hAnsi="Sakkal Majalla" w:cs="DanaFajr" w:hint="cs"/>
          <w:sz w:val="28"/>
          <w:szCs w:val="28"/>
          <w:rtl/>
        </w:rPr>
        <w:t>و</w:t>
      </w:r>
      <w:r w:rsidRPr="00282AC9">
        <w:rPr>
          <w:rFonts w:ascii="Sakkal Majalla" w:hAnsi="Sakkal Majalla" w:cs="DanaFajr"/>
          <w:sz w:val="28"/>
          <w:szCs w:val="28"/>
          <w:rtl/>
        </w:rPr>
        <w:t xml:space="preserve">د </w:t>
      </w:r>
      <w:r w:rsidRPr="00282AC9">
        <w:rPr>
          <w:rFonts w:ascii="Sakkal Majalla" w:hAnsi="Sakkal Majalla" w:cs="DanaFajr" w:hint="cs"/>
          <w:sz w:val="28"/>
          <w:szCs w:val="28"/>
          <w:rtl/>
        </w:rPr>
        <w:t>1: 354؛</w:t>
      </w:r>
      <w:r w:rsidRPr="00282AC9">
        <w:rPr>
          <w:rFonts w:ascii="Sakkal Majalla" w:hAnsi="Sakkal Majalla" w:cs="DanaFajr"/>
          <w:sz w:val="28"/>
          <w:szCs w:val="28"/>
          <w:rtl/>
        </w:rPr>
        <w:t xml:space="preserve"> المستدرك عل</w:t>
      </w:r>
      <w:r w:rsidRPr="00282AC9">
        <w:rPr>
          <w:rFonts w:ascii="Sakkal Majalla" w:hAnsi="Sakkal Majalla" w:cs="DanaFajr" w:hint="cs"/>
          <w:sz w:val="28"/>
          <w:szCs w:val="28"/>
          <w:rtl/>
        </w:rPr>
        <w:t>ى</w:t>
      </w:r>
      <w:r w:rsidRPr="00282AC9">
        <w:rPr>
          <w:rFonts w:ascii="Sakkal Majalla" w:hAnsi="Sakkal Majalla" w:cs="DanaFajr"/>
          <w:sz w:val="28"/>
          <w:szCs w:val="28"/>
          <w:rtl/>
        </w:rPr>
        <w:t xml:space="preserve"> الصحيحين </w:t>
      </w:r>
      <w:r w:rsidRPr="00282AC9">
        <w:rPr>
          <w:rFonts w:ascii="Sakkal Majalla" w:hAnsi="Sakkal Majalla" w:cs="DanaFajr" w:hint="cs"/>
          <w:sz w:val="28"/>
          <w:szCs w:val="28"/>
          <w:rtl/>
        </w:rPr>
        <w:t>2: 221</w:t>
      </w:r>
      <w:r w:rsidRPr="00282AC9">
        <w:rPr>
          <w:rFonts w:ascii="Sakkal Majalla" w:hAnsi="Sakkal Majalla" w:cs="DanaFajr"/>
          <w:sz w:val="28"/>
          <w:szCs w:val="28"/>
          <w:rtl/>
        </w:rPr>
        <w:t>.</w:t>
      </w:r>
    </w:p>
  </w:endnote>
  <w:endnote w:id="875">
    <w:p w:rsidR="00C14EDE" w:rsidRPr="00282AC9" w:rsidRDefault="00C14EDE" w:rsidP="00DC72FB">
      <w:pPr>
        <w:pStyle w:val="af7"/>
        <w:spacing w:line="296" w:lineRule="exact"/>
        <w:ind w:firstLine="0"/>
        <w:rPr>
          <w:rFonts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الميزان</w:t>
      </w:r>
      <w:r w:rsidRPr="00282AC9">
        <w:rPr>
          <w:rFonts w:ascii="Sakkal Majalla" w:hAnsi="Sakkal Majalla" w:cs="DanaFajr" w:hint="cs"/>
          <w:sz w:val="28"/>
          <w:szCs w:val="28"/>
          <w:rtl/>
        </w:rPr>
        <w:t xml:space="preserve"> 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127</w:t>
      </w:r>
      <w:r w:rsidRPr="00282AC9">
        <w:rPr>
          <w:rFonts w:cs="DanaFajr" w:hint="cs"/>
          <w:sz w:val="28"/>
          <w:szCs w:val="28"/>
          <w:rtl/>
        </w:rPr>
        <w:t>.</w:t>
      </w:r>
    </w:p>
  </w:endnote>
  <w:endnote w:id="876">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القرطبي، </w:t>
      </w:r>
      <w:r w:rsidRPr="00282AC9">
        <w:rPr>
          <w:rFonts w:ascii="Sakkal Majalla" w:hAnsi="Sakkal Majalla" w:cs="DanaFajr" w:hint="cs"/>
          <w:sz w:val="28"/>
          <w:szCs w:val="28"/>
          <w:rtl/>
        </w:rPr>
        <w:t>الجامع لأحكام القرآن 1: 60</w:t>
      </w:r>
      <w:r w:rsidRPr="00282AC9">
        <w:rPr>
          <w:rFonts w:cs="DanaFajr" w:hint="cs"/>
          <w:sz w:val="28"/>
          <w:szCs w:val="28"/>
          <w:rtl/>
        </w:rPr>
        <w:t>، انتشارات ناصر خسرو، طهران، 1364هـ.</w:t>
      </w:r>
    </w:p>
  </w:endnote>
  <w:endnote w:id="877">
    <w:p w:rsidR="00C14EDE" w:rsidRPr="00282AC9" w:rsidRDefault="00C14EDE" w:rsidP="00DC72FB">
      <w:pPr>
        <w:pStyle w:val="afc"/>
        <w:spacing w:line="296" w:lineRule="exact"/>
        <w:ind w:firstLine="0"/>
        <w:rPr>
          <w:rFonts w:ascii="Sakkal Majalla" w:hAnsi="Sakkal Majalla"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ascii="Sakkal Majalla" w:hAnsi="Sakkal Majalla" w:cs="DanaFajr" w:hint="cs"/>
          <w:sz w:val="28"/>
          <w:szCs w:val="28"/>
          <w:rtl/>
        </w:rPr>
        <w:t>تاريخ اليعقوبي 2: 34.</w:t>
      </w:r>
    </w:p>
  </w:endnote>
  <w:endnote w:id="878">
    <w:p w:rsidR="00C14EDE" w:rsidRPr="00282AC9" w:rsidRDefault="00C14EDE" w:rsidP="00DC72FB">
      <w:pPr>
        <w:pStyle w:val="af7"/>
        <w:spacing w:line="296" w:lineRule="exact"/>
        <w:ind w:firstLine="0"/>
        <w:rPr>
          <w:rFonts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كتاب س</w:t>
      </w:r>
      <w:r w:rsidRPr="00282AC9">
        <w:rPr>
          <w:rFonts w:ascii="Sakkal Majalla" w:hAnsi="Sakkal Majalla" w:cs="DanaFajr" w:hint="cs"/>
          <w:sz w:val="28"/>
          <w:szCs w:val="28"/>
          <w:rtl/>
        </w:rPr>
        <w:t>ُ</w:t>
      </w:r>
      <w:r w:rsidRPr="00282AC9">
        <w:rPr>
          <w:rFonts w:ascii="Sakkal Majalla" w:hAnsi="Sakkal Majalla" w:cs="DanaFajr"/>
          <w:sz w:val="28"/>
          <w:szCs w:val="28"/>
          <w:rtl/>
        </w:rPr>
        <w:t>ل</w:t>
      </w:r>
      <w:r w:rsidRPr="00282AC9">
        <w:rPr>
          <w:rFonts w:ascii="Sakkal Majalla" w:hAnsi="Sakkal Majalla" w:cs="DanaFajr" w:hint="cs"/>
          <w:sz w:val="28"/>
          <w:szCs w:val="28"/>
          <w:rtl/>
        </w:rPr>
        <w:t>َ</w:t>
      </w:r>
      <w:r w:rsidRPr="00282AC9">
        <w:rPr>
          <w:rFonts w:ascii="Sakkal Majalla" w:hAnsi="Sakkal Majalla" w:cs="DanaFajr"/>
          <w:sz w:val="28"/>
          <w:szCs w:val="28"/>
          <w:rtl/>
        </w:rPr>
        <w:t>ي</w:t>
      </w:r>
      <w:r w:rsidRPr="00282AC9">
        <w:rPr>
          <w:rFonts w:ascii="Sakkal Majalla" w:hAnsi="Sakkal Majalla" w:cs="DanaFajr" w:hint="cs"/>
          <w:sz w:val="28"/>
          <w:szCs w:val="28"/>
          <w:rtl/>
        </w:rPr>
        <w:t>ْ</w:t>
      </w:r>
      <w:r w:rsidRPr="00282AC9">
        <w:rPr>
          <w:rFonts w:ascii="Sakkal Majalla" w:hAnsi="Sakkal Majalla" w:cs="DanaFajr"/>
          <w:sz w:val="28"/>
          <w:szCs w:val="28"/>
          <w:rtl/>
        </w:rPr>
        <w:t>م بن قي</w:t>
      </w:r>
      <w:r w:rsidRPr="00282AC9">
        <w:rPr>
          <w:rFonts w:ascii="Sakkal Majalla" w:hAnsi="Sakkal Majalla" w:cs="DanaFajr" w:hint="cs"/>
          <w:sz w:val="28"/>
          <w:szCs w:val="28"/>
          <w:rtl/>
        </w:rPr>
        <w:t>س الهلالي: 72</w:t>
      </w:r>
      <w:r w:rsidRPr="00282AC9">
        <w:rPr>
          <w:rFonts w:ascii="Sakkal Majalla" w:hAnsi="Sakkal Majalla" w:cs="DanaFajr" w:hint="cs"/>
          <w:szCs w:val="28"/>
          <w:rtl/>
        </w:rPr>
        <w:t>، منشورات الهادي،</w:t>
      </w:r>
      <w:r w:rsidRPr="00282AC9">
        <w:rPr>
          <w:rFonts w:ascii="Sakkal Majalla" w:hAnsi="Sakkal Majalla" w:cs="DanaFajr"/>
          <w:szCs w:val="28"/>
          <w:rtl/>
        </w:rPr>
        <w:t xml:space="preserve"> </w:t>
      </w:r>
      <w:r w:rsidRPr="00282AC9">
        <w:rPr>
          <w:rFonts w:ascii="Sakkal Majalla" w:hAnsi="Sakkal Majalla" w:cs="DanaFajr" w:hint="cs"/>
          <w:szCs w:val="28"/>
          <w:rtl/>
        </w:rPr>
        <w:t>قم،</w:t>
      </w:r>
      <w:r w:rsidRPr="00282AC9">
        <w:rPr>
          <w:rFonts w:ascii="Sakkal Majalla" w:hAnsi="Sakkal Majalla" w:cs="DanaFajr"/>
          <w:szCs w:val="28"/>
          <w:rtl/>
        </w:rPr>
        <w:t xml:space="preserve"> </w:t>
      </w:r>
      <w:r w:rsidRPr="00282AC9">
        <w:rPr>
          <w:rFonts w:ascii="Sakkal Majalla" w:hAnsi="Sakkal Majalla" w:cs="DanaFajr" w:hint="cs"/>
          <w:szCs w:val="28"/>
          <w:rtl/>
        </w:rPr>
        <w:t>1405هـ</w:t>
      </w:r>
      <w:r w:rsidRPr="00282AC9">
        <w:rPr>
          <w:rFonts w:cs="DanaFajr" w:hint="cs"/>
          <w:sz w:val="28"/>
          <w:szCs w:val="28"/>
          <w:rtl/>
        </w:rPr>
        <w:t>.</w:t>
      </w:r>
    </w:p>
  </w:endnote>
  <w:endnote w:id="879">
    <w:p w:rsidR="00C14EDE" w:rsidRPr="00282AC9" w:rsidRDefault="00C14EDE" w:rsidP="00DC72FB">
      <w:pPr>
        <w:pStyle w:val="af7"/>
        <w:spacing w:line="296" w:lineRule="exact"/>
        <w:ind w:firstLine="0"/>
        <w:rPr>
          <w:rFonts w:ascii="Sakkal Majalla" w:hAnsi="Sakkal Majalla" w:cs="DanaFajr"/>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Cs w:val="28"/>
          <w:rtl/>
        </w:rPr>
        <w:t xml:space="preserve"> ابن شهرآشوب،</w:t>
      </w:r>
      <w:r w:rsidRPr="00282AC9">
        <w:rPr>
          <w:rFonts w:ascii="Sakkal Majalla" w:hAnsi="Sakkal Majalla" w:cs="DanaFajr" w:hint="cs"/>
          <w:sz w:val="28"/>
          <w:szCs w:val="28"/>
          <w:rtl/>
        </w:rPr>
        <w:t xml:space="preserve"> </w:t>
      </w:r>
      <w:r w:rsidRPr="00282AC9">
        <w:rPr>
          <w:rFonts w:ascii="Sakkal Majalla" w:hAnsi="Sakkal Majalla" w:cs="DanaFajr"/>
          <w:sz w:val="28"/>
          <w:szCs w:val="28"/>
          <w:rtl/>
        </w:rPr>
        <w:t xml:space="preserve">مناقب آل أبي طالب </w:t>
      </w:r>
      <w:r w:rsidRPr="00282AC9">
        <w:rPr>
          <w:rFonts w:ascii="Sakkal Majalla" w:hAnsi="Sakkal Majalla" w:cs="DanaFajr" w:hint="cs"/>
          <w:sz w:val="28"/>
          <w:szCs w:val="28"/>
          <w:rtl/>
        </w:rPr>
        <w:t>2: 50</w:t>
      </w:r>
      <w:r w:rsidRPr="00282AC9">
        <w:rPr>
          <w:rFonts w:ascii="Sakkal Majalla" w:hAnsi="Sakkal Majalla" w:cs="DanaFajr" w:hint="cs"/>
          <w:szCs w:val="28"/>
          <w:rtl/>
        </w:rPr>
        <w:t>، انتشارات ذوي القربى، قم ، 1427هـ.</w:t>
      </w:r>
    </w:p>
  </w:endnote>
  <w:endnote w:id="880">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 xml:space="preserve">ابن النديم، </w:t>
      </w:r>
      <w:r w:rsidRPr="00282AC9">
        <w:rPr>
          <w:rFonts w:ascii="Sakkal Majalla" w:hAnsi="Sakkal Majalla" w:cs="DanaFajr"/>
          <w:sz w:val="28"/>
          <w:szCs w:val="28"/>
          <w:rtl/>
        </w:rPr>
        <w:t xml:space="preserve">الفهرست: </w:t>
      </w:r>
      <w:r w:rsidRPr="00282AC9">
        <w:rPr>
          <w:rFonts w:ascii="Sakkal Majalla" w:hAnsi="Sakkal Majalla" w:cs="DanaFajr" w:hint="cs"/>
          <w:sz w:val="28"/>
          <w:szCs w:val="28"/>
          <w:rtl/>
        </w:rPr>
        <w:t>48.</w:t>
      </w:r>
    </w:p>
  </w:endnote>
  <w:endnote w:id="881">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 xml:space="preserve">المجلسي، </w:t>
      </w:r>
      <w:r w:rsidRPr="00282AC9">
        <w:rPr>
          <w:rFonts w:ascii="Sakkal Majalla" w:hAnsi="Sakkal Majalla" w:cs="DanaFajr"/>
          <w:sz w:val="28"/>
          <w:szCs w:val="28"/>
          <w:rtl/>
        </w:rPr>
        <w:t>بحار الأنوار</w:t>
      </w:r>
      <w:r w:rsidRPr="00282AC9">
        <w:rPr>
          <w:rFonts w:ascii="Sakkal Majalla" w:hAnsi="Sakkal Majalla" w:cs="DanaFajr" w:hint="cs"/>
          <w:sz w:val="28"/>
          <w:szCs w:val="28"/>
          <w:rtl/>
        </w:rPr>
        <w:t xml:space="preserve"> 92: 88، مؤسّسة الوفاء، بيروت، 1404هـ.</w:t>
      </w:r>
    </w:p>
  </w:endnote>
  <w:endnote w:id="882">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 xml:space="preserve">الكليني، </w:t>
      </w:r>
      <w:r w:rsidRPr="00282AC9">
        <w:rPr>
          <w:rFonts w:ascii="Sakkal Majalla" w:hAnsi="Sakkal Majalla" w:cs="DanaFajr"/>
          <w:sz w:val="28"/>
          <w:szCs w:val="28"/>
          <w:rtl/>
        </w:rPr>
        <w:t xml:space="preserve">الكافي </w:t>
      </w:r>
      <w:r w:rsidRPr="00282AC9">
        <w:rPr>
          <w:rFonts w:ascii="Sakkal Majalla" w:hAnsi="Sakkal Majalla" w:cs="DanaFajr" w:hint="cs"/>
          <w:sz w:val="28"/>
          <w:szCs w:val="28"/>
          <w:rtl/>
        </w:rPr>
        <w:t>1: 64، دار الكتب العلمية، طهران، 1407هـ.</w:t>
      </w:r>
    </w:p>
  </w:endnote>
  <w:endnote w:id="883">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w:t>
      </w:r>
      <w:r w:rsidRPr="00282AC9">
        <w:rPr>
          <w:rFonts w:ascii="Sakkal Majalla" w:hAnsi="Sakkal Majalla" w:cs="DanaFajr"/>
          <w:sz w:val="28"/>
          <w:szCs w:val="28"/>
          <w:rtl/>
        </w:rPr>
        <w:t>الميزان</w:t>
      </w:r>
      <w:r w:rsidRPr="00282AC9">
        <w:rPr>
          <w:rFonts w:ascii="Sakkal Majalla" w:hAnsi="Sakkal Majalla" w:cs="DanaFajr" w:hint="cs"/>
          <w:sz w:val="28"/>
          <w:szCs w:val="28"/>
          <w:rtl/>
        </w:rPr>
        <w:t xml:space="preserve"> </w:t>
      </w:r>
      <w:r w:rsidRPr="00282AC9">
        <w:rPr>
          <w:rFonts w:cs="DanaFajr" w:hint="cs"/>
          <w:sz w:val="28"/>
          <w:szCs w:val="28"/>
          <w:rtl/>
        </w:rPr>
        <w:t>في تفسير القرآن</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12: 128.</w:t>
      </w:r>
    </w:p>
  </w:endnote>
  <w:endnote w:id="884">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ascii="Sakkal Majalla" w:hAnsi="Sakkal Majalla" w:cs="DanaFajr" w:hint="cs"/>
          <w:sz w:val="28"/>
          <w:szCs w:val="28"/>
          <w:rtl/>
        </w:rPr>
        <w:t>مناقب آل أبي طالب 2: 51</w:t>
      </w:r>
      <w:r w:rsidRPr="00282AC9">
        <w:rPr>
          <w:rFonts w:cs="DanaFajr" w:hint="cs"/>
          <w:sz w:val="28"/>
          <w:szCs w:val="28"/>
          <w:rtl/>
        </w:rPr>
        <w:t>.</w:t>
      </w:r>
    </w:p>
  </w:endnote>
  <w:endnote w:id="885">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ascii="Sakkal Majalla" w:hAnsi="Sakkal Majalla" w:cs="DanaFajr" w:hint="cs"/>
          <w:sz w:val="28"/>
          <w:szCs w:val="28"/>
          <w:rtl/>
        </w:rPr>
        <w:t>الفهرست: 47 ـ 48</w:t>
      </w:r>
      <w:r w:rsidRPr="00282AC9">
        <w:rPr>
          <w:rFonts w:cs="DanaFajr" w:hint="cs"/>
          <w:sz w:val="28"/>
          <w:szCs w:val="28"/>
          <w:rtl/>
        </w:rPr>
        <w:t>.</w:t>
      </w:r>
    </w:p>
  </w:endnote>
  <w:endnote w:id="886">
    <w:p w:rsidR="00C14EDE" w:rsidRPr="00282AC9" w:rsidRDefault="00C14EDE" w:rsidP="00DC72FB">
      <w:pPr>
        <w:pStyle w:val="afc"/>
        <w:spacing w:line="296" w:lineRule="exact"/>
        <w:ind w:firstLine="0"/>
        <w:rPr>
          <w:rFonts w:ascii="Sakkal Majalla" w:hAnsi="Sakkal Majalla"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ascii="Sakkal Majalla" w:hAnsi="Sakkal Majalla" w:cs="DanaFajr" w:hint="cs"/>
          <w:sz w:val="28"/>
          <w:szCs w:val="28"/>
          <w:rtl/>
        </w:rPr>
        <w:t>الكافي 1: 64.</w:t>
      </w:r>
    </w:p>
  </w:endnote>
  <w:endnote w:id="887">
    <w:p w:rsidR="00C14EDE" w:rsidRPr="00282AC9" w:rsidRDefault="00C14EDE" w:rsidP="00DC72FB">
      <w:pPr>
        <w:pStyle w:val="afc"/>
        <w:spacing w:line="296" w:lineRule="exact"/>
        <w:ind w:firstLine="0"/>
        <w:rPr>
          <w:rFonts w:ascii="Sakkal Majalla" w:hAnsi="Sakkal Majalla"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Cs w:val="28"/>
          <w:rtl/>
        </w:rPr>
        <w:t xml:space="preserve"> هاشم</w:t>
      </w:r>
      <w:r w:rsidRPr="00282AC9">
        <w:rPr>
          <w:rFonts w:ascii="Sakkal Majalla" w:hAnsi="Sakkal Majalla" w:cs="DanaFajr" w:hint="cs"/>
          <w:sz w:val="28"/>
          <w:szCs w:val="28"/>
          <w:rtl/>
        </w:rPr>
        <w:t xml:space="preserve"> </w:t>
      </w:r>
      <w:r w:rsidRPr="00282AC9">
        <w:rPr>
          <w:rFonts w:cs="DanaFajr" w:hint="cs"/>
          <w:szCs w:val="28"/>
          <w:rtl/>
        </w:rPr>
        <w:t>البحراني،</w:t>
      </w:r>
      <w:r w:rsidRPr="00282AC9">
        <w:rPr>
          <w:rFonts w:ascii="Sakkal Majalla" w:hAnsi="Sakkal Majalla" w:cs="DanaFajr" w:hint="cs"/>
          <w:sz w:val="28"/>
          <w:szCs w:val="28"/>
          <w:rtl/>
        </w:rPr>
        <w:t xml:space="preserve"> </w:t>
      </w:r>
      <w:r w:rsidRPr="00282AC9">
        <w:rPr>
          <w:rFonts w:cs="DanaFajr" w:hint="cs"/>
          <w:szCs w:val="28"/>
          <w:rtl/>
        </w:rPr>
        <w:t>البرهان في تفسير القرآن</w:t>
      </w:r>
      <w:r w:rsidRPr="00282AC9">
        <w:rPr>
          <w:rFonts w:ascii="Sakkal Majalla" w:hAnsi="Sakkal Majalla" w:cs="DanaFajr" w:hint="cs"/>
          <w:sz w:val="28"/>
          <w:szCs w:val="28"/>
          <w:rtl/>
        </w:rPr>
        <w:t xml:space="preserve"> 1: 38</w:t>
      </w:r>
      <w:r w:rsidRPr="00282AC9">
        <w:rPr>
          <w:rFonts w:cs="DanaFajr" w:hint="cs"/>
          <w:szCs w:val="28"/>
          <w:rtl/>
        </w:rPr>
        <w:t>، مؤسّسة البعثة</w:t>
      </w:r>
      <w:r w:rsidRPr="00282AC9">
        <w:rPr>
          <w:rFonts w:ascii="Sakkal Majalla" w:hAnsi="Sakkal Majalla" w:cs="DanaFajr" w:hint="cs"/>
          <w:sz w:val="28"/>
          <w:szCs w:val="28"/>
          <w:rtl/>
        </w:rPr>
        <w:t xml:space="preserve">، </w:t>
      </w:r>
      <w:r w:rsidRPr="00282AC9">
        <w:rPr>
          <w:rFonts w:cs="DanaFajr" w:hint="cs"/>
          <w:szCs w:val="28"/>
          <w:rtl/>
        </w:rPr>
        <w:t>طهران، 1416</w:t>
      </w:r>
      <w:r w:rsidRPr="00282AC9">
        <w:rPr>
          <w:rFonts w:ascii="Sakkal Majalla" w:hAnsi="Sakkal Majalla" w:cs="DanaFajr" w:hint="cs"/>
          <w:sz w:val="28"/>
          <w:szCs w:val="28"/>
          <w:rtl/>
        </w:rPr>
        <w:t>هـ؛ الطبرسي</w:t>
      </w:r>
      <w:r w:rsidRPr="00282AC9">
        <w:rPr>
          <w:rFonts w:cs="DanaFajr" w:hint="cs"/>
          <w:szCs w:val="28"/>
          <w:rtl/>
        </w:rPr>
        <w:t>، الاحتجاج</w:t>
      </w:r>
      <w:r w:rsidRPr="00282AC9">
        <w:rPr>
          <w:rFonts w:ascii="Sakkal Majalla" w:hAnsi="Sakkal Majalla" w:cs="DanaFajr" w:hint="cs"/>
          <w:sz w:val="28"/>
          <w:szCs w:val="28"/>
          <w:rtl/>
        </w:rPr>
        <w:t xml:space="preserve"> 1:</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153</w:t>
      </w:r>
      <w:r w:rsidRPr="00282AC9">
        <w:rPr>
          <w:rFonts w:cs="DanaFajr" w:hint="cs"/>
          <w:szCs w:val="28"/>
          <w:rtl/>
        </w:rPr>
        <w:t>، نشر المرتضى، مشهد، 1403هـ</w:t>
      </w:r>
      <w:r w:rsidRPr="00282AC9">
        <w:rPr>
          <w:rFonts w:ascii="Sakkal Majalla" w:hAnsi="Sakkal Majalla" w:cs="DanaFajr" w:hint="cs"/>
          <w:sz w:val="28"/>
          <w:szCs w:val="28"/>
          <w:rtl/>
        </w:rPr>
        <w:t>.</w:t>
      </w:r>
    </w:p>
  </w:endnote>
  <w:endnote w:id="888">
    <w:p w:rsidR="00C14EDE" w:rsidRPr="00282AC9" w:rsidRDefault="00C14EDE" w:rsidP="00DC72FB">
      <w:pPr>
        <w:pStyle w:val="af7"/>
        <w:spacing w:line="296" w:lineRule="exact"/>
        <w:ind w:firstLine="0"/>
        <w:rPr>
          <w:rFonts w:cs="DanaFajr"/>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Cs w:val="28"/>
          <w:rtl/>
        </w:rPr>
        <w:t xml:space="preserve"> محمد علي مهدوي راد، </w:t>
      </w:r>
      <w:r w:rsidRPr="00282AC9">
        <w:rPr>
          <w:rFonts w:ascii="Sakkal Majalla" w:hAnsi="Sakkal Majalla" w:cs="DanaFajr" w:hint="cs"/>
          <w:sz w:val="28"/>
          <w:szCs w:val="28"/>
          <w:rtl/>
        </w:rPr>
        <w:t>آفاق تفسير: 102</w:t>
      </w:r>
      <w:r w:rsidRPr="00282AC9">
        <w:rPr>
          <w:rFonts w:cs="DanaFajr" w:hint="cs"/>
          <w:szCs w:val="28"/>
          <w:rtl/>
        </w:rPr>
        <w:t xml:space="preserve">، هستي نما، طهران، 1382هـ.ش. </w:t>
      </w:r>
    </w:p>
  </w:endnote>
  <w:endnote w:id="889">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 xml:space="preserve">) </w:t>
      </w:r>
      <w:r w:rsidRPr="00282AC9">
        <w:rPr>
          <w:rFonts w:ascii="Sakkal Majalla" w:hAnsi="Sakkal Majalla" w:cs="DanaFajr" w:hint="cs"/>
          <w:sz w:val="28"/>
          <w:szCs w:val="28"/>
          <w:rtl/>
        </w:rPr>
        <w:t>الكافي 1: 228</w:t>
      </w:r>
      <w:r w:rsidRPr="00282AC9">
        <w:rPr>
          <w:rFonts w:cs="DanaFajr" w:hint="cs"/>
          <w:sz w:val="28"/>
          <w:szCs w:val="28"/>
          <w:rtl/>
        </w:rPr>
        <w:t>.</w:t>
      </w:r>
    </w:p>
  </w:endnote>
  <w:endnote w:id="890">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ascii="Sakkal Majalla" w:hAnsi="Sakkal Majalla" w:cs="DanaFajr" w:hint="cs"/>
          <w:sz w:val="28"/>
          <w:szCs w:val="28"/>
          <w:rtl/>
        </w:rPr>
        <w:t xml:space="preserve"> الصفّار، مختصر بصائر الدرجات 1: 143، مكتبة المرعشي النجفي، قم، 1404هـ</w:t>
      </w:r>
      <w:r w:rsidRPr="00282AC9">
        <w:rPr>
          <w:rFonts w:cs="DanaFajr" w:hint="cs"/>
          <w:sz w:val="28"/>
          <w:szCs w:val="28"/>
          <w:rtl/>
        </w:rPr>
        <w:t>.</w:t>
      </w:r>
    </w:p>
  </w:endnote>
  <w:endnote w:id="891">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w:t>
      </w:r>
      <w:r w:rsidRPr="00282AC9">
        <w:rPr>
          <w:rFonts w:ascii="Sakkal Majalla" w:hAnsi="Sakkal Majalla" w:cs="DanaFajr" w:hint="cs"/>
          <w:sz w:val="28"/>
          <w:szCs w:val="28"/>
          <w:rtl/>
        </w:rPr>
        <w:t xml:space="preserve"> المفيد،</w:t>
      </w:r>
      <w:r w:rsidRPr="00282AC9">
        <w:rPr>
          <w:rFonts w:ascii="Sakkal Majalla" w:hAnsi="Sakkal Majalla" w:cs="DanaFajr"/>
          <w:sz w:val="28"/>
          <w:szCs w:val="28"/>
          <w:rtl/>
        </w:rPr>
        <w:t xml:space="preserve">المسائل السروية </w:t>
      </w:r>
      <w:r w:rsidRPr="00282AC9">
        <w:rPr>
          <w:rFonts w:ascii="Sakkal Majalla" w:hAnsi="Sakkal Majalla" w:cs="DanaFajr" w:hint="cs"/>
          <w:sz w:val="28"/>
          <w:szCs w:val="28"/>
          <w:rtl/>
        </w:rPr>
        <w:t>7</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79</w:t>
      </w:r>
      <w:r w:rsidRPr="00282AC9">
        <w:rPr>
          <w:rFonts w:ascii="Sakkal Majalla" w:hAnsi="Sakkal Majalla" w:hint="cs"/>
          <w:sz w:val="10"/>
          <w:szCs w:val="10"/>
          <w:rtl/>
        </w:rPr>
        <w:t xml:space="preserve"> </w:t>
      </w:r>
      <w:r w:rsidRPr="00282AC9">
        <w:rPr>
          <w:rFonts w:ascii="Sakkal Majalla" w:hAnsi="Sakkal Majalla" w:cs="DanaFajr" w:hint="cs"/>
          <w:sz w:val="28"/>
          <w:szCs w:val="28"/>
          <w:rtl/>
        </w:rPr>
        <w:t>، المؤتمر العالمي لألفيّة الشيخ المفيد، قم، 1413هـ.</w:t>
      </w:r>
    </w:p>
  </w:endnote>
  <w:endnote w:id="892">
    <w:p w:rsidR="00C14EDE" w:rsidRPr="00282AC9" w:rsidRDefault="00C14EDE" w:rsidP="00DC72FB">
      <w:pPr>
        <w:pStyle w:val="af7"/>
        <w:spacing w:line="296" w:lineRule="exact"/>
        <w:ind w:firstLine="0"/>
        <w:rPr>
          <w:rFonts w:ascii="Sakkal Majalla" w:hAnsi="Sakkal Majalla" w:cs="DanaFajr"/>
          <w:sz w:val="28"/>
          <w:szCs w:val="28"/>
          <w:rtl/>
        </w:rPr>
      </w:pPr>
      <w:r w:rsidRPr="00282AC9">
        <w:rPr>
          <w:rFonts w:ascii="Sakkal Majalla" w:hAnsi="Sakkal Majalla" w:cs="DanaFajr"/>
          <w:sz w:val="28"/>
          <w:szCs w:val="28"/>
          <w:rtl/>
        </w:rPr>
        <w:t>(</w:t>
      </w:r>
      <w:r w:rsidRPr="00282AC9">
        <w:rPr>
          <w:rStyle w:val="af9"/>
          <w:rFonts w:ascii="Sakkal Majalla" w:hAnsi="Sakkal Majalla" w:cs="DanaFajr"/>
          <w:sz w:val="28"/>
          <w:szCs w:val="28"/>
          <w:vertAlign w:val="baseline"/>
        </w:rPr>
        <w:endnoteRef/>
      </w:r>
      <w:r w:rsidRPr="00282AC9">
        <w:rPr>
          <w:rFonts w:ascii="Sakkal Majalla" w:hAnsi="Sakkal Majalla" w:cs="DanaFajr"/>
          <w:sz w:val="28"/>
          <w:szCs w:val="28"/>
          <w:rtl/>
        </w:rPr>
        <w:t>) تفسير العي</w:t>
      </w:r>
      <w:r w:rsidRPr="00282AC9">
        <w:rPr>
          <w:rFonts w:ascii="Sakkal Majalla" w:hAnsi="Sakkal Majalla" w:cs="DanaFajr" w:hint="cs"/>
          <w:sz w:val="28"/>
          <w:szCs w:val="28"/>
          <w:rtl/>
        </w:rPr>
        <w:t>ّ</w:t>
      </w:r>
      <w:r w:rsidRPr="00282AC9">
        <w:rPr>
          <w:rFonts w:ascii="Sakkal Majalla" w:hAnsi="Sakkal Majalla" w:cs="DanaFajr"/>
          <w:sz w:val="28"/>
          <w:szCs w:val="28"/>
          <w:rtl/>
        </w:rPr>
        <w:t xml:space="preserve">اشي </w:t>
      </w:r>
      <w:r w:rsidRPr="00282AC9">
        <w:rPr>
          <w:rFonts w:ascii="Sakkal Majalla" w:hAnsi="Sakkal Majalla" w:cs="DanaFajr" w:hint="cs"/>
          <w:sz w:val="28"/>
          <w:szCs w:val="28"/>
          <w:rtl/>
        </w:rPr>
        <w:t>1</w:t>
      </w:r>
      <w:r w:rsidRPr="00282AC9">
        <w:rPr>
          <w:rFonts w:ascii="Sakkal Majalla" w:hAnsi="Sakkal Majalla" w:cs="DanaFajr"/>
          <w:sz w:val="28"/>
          <w:szCs w:val="28"/>
          <w:rtl/>
        </w:rPr>
        <w:t xml:space="preserve">: </w:t>
      </w:r>
      <w:r w:rsidRPr="00282AC9">
        <w:rPr>
          <w:rFonts w:ascii="Sakkal Majalla" w:hAnsi="Sakkal Majalla" w:cs="DanaFajr" w:hint="cs"/>
          <w:sz w:val="28"/>
          <w:szCs w:val="28"/>
          <w:rtl/>
        </w:rPr>
        <w:t>24، المطبعة العلمية، طهران، 1380هـ.ش.</w:t>
      </w:r>
    </w:p>
  </w:endnote>
  <w:endnote w:id="893">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Cs w:val="28"/>
          <w:rtl/>
        </w:rPr>
        <w:t xml:space="preserve"> حسن المصطفوي، </w:t>
      </w:r>
      <w:r w:rsidRPr="00282AC9">
        <w:rPr>
          <w:rFonts w:ascii="Sakkal Majalla" w:hAnsi="Sakkal Majalla" w:cs="DanaFajr" w:hint="cs"/>
          <w:sz w:val="28"/>
          <w:szCs w:val="28"/>
          <w:rtl/>
        </w:rPr>
        <w:t>التحقيق في كلمات القرآن الكريم 4: 46</w:t>
      </w:r>
      <w:r w:rsidRPr="00282AC9">
        <w:rPr>
          <w:rFonts w:cs="DanaFajr" w:hint="cs"/>
          <w:szCs w:val="28"/>
          <w:rtl/>
        </w:rPr>
        <w:t xml:space="preserve"> وزارة الثقافة والإرشاد الإسلامي، تهران، 1368هـ.ش.</w:t>
      </w:r>
    </w:p>
  </w:endnote>
  <w:endnote w:id="894">
    <w:p w:rsidR="00C14EDE" w:rsidRPr="00282AC9" w:rsidRDefault="00C14EDE" w:rsidP="00DC72FB">
      <w:pPr>
        <w:pStyle w:val="af7"/>
        <w:spacing w:line="296" w:lineRule="exact"/>
        <w:ind w:firstLine="0"/>
        <w:rPr>
          <w:rFonts w:cs="DanaFajr"/>
          <w:sz w:val="28"/>
          <w:szCs w:val="28"/>
          <w:rtl/>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الزمخشري،</w:t>
      </w:r>
      <w:r w:rsidRPr="00282AC9">
        <w:rPr>
          <w:rFonts w:ascii="Sakkal Majalla" w:hAnsi="Sakkal Majalla" w:cs="DanaFajr" w:hint="cs"/>
          <w:sz w:val="28"/>
          <w:szCs w:val="28"/>
          <w:rtl/>
        </w:rPr>
        <w:t xml:space="preserve"> الكشّاف: 220</w:t>
      </w:r>
      <w:r w:rsidRPr="00282AC9">
        <w:rPr>
          <w:rFonts w:ascii="Sakkal Majalla" w:hAnsi="Sakkal Majalla" w:hint="cs"/>
          <w:sz w:val="10"/>
          <w:szCs w:val="10"/>
          <w:rtl/>
        </w:rPr>
        <w:t xml:space="preserve"> </w:t>
      </w:r>
      <w:r w:rsidRPr="00282AC9">
        <w:rPr>
          <w:rFonts w:cs="DanaFajr" w:hint="cs"/>
          <w:sz w:val="28"/>
          <w:szCs w:val="28"/>
          <w:rtl/>
        </w:rPr>
        <w:t>، دار صادر، بيروت، 1979م.</w:t>
      </w:r>
    </w:p>
  </w:endnote>
  <w:endnote w:id="895">
    <w:p w:rsidR="00C14EDE" w:rsidRPr="00282AC9" w:rsidRDefault="00C14EDE" w:rsidP="00DC72FB">
      <w:pPr>
        <w:pStyle w:val="af7"/>
        <w:spacing w:line="296" w:lineRule="exact"/>
        <w:ind w:firstLine="0"/>
        <w:rPr>
          <w:rFonts w:cs="DanaFajr"/>
          <w:sz w:val="28"/>
          <w:szCs w:val="28"/>
        </w:rPr>
      </w:pPr>
      <w:r w:rsidRPr="00282AC9">
        <w:rPr>
          <w:rFonts w:cs="DanaFajr"/>
          <w:sz w:val="28"/>
          <w:szCs w:val="28"/>
          <w:rtl/>
        </w:rPr>
        <w:t>(</w:t>
      </w:r>
      <w:r w:rsidRPr="00282AC9">
        <w:rPr>
          <w:rStyle w:val="af9"/>
          <w:rFonts w:cs="DanaFajr"/>
          <w:sz w:val="28"/>
          <w:szCs w:val="28"/>
          <w:vertAlign w:val="baseline"/>
        </w:rPr>
        <w:endnoteRef/>
      </w:r>
      <w:r w:rsidRPr="00282AC9">
        <w:rPr>
          <w:rFonts w:cs="DanaFajr"/>
          <w:sz w:val="28"/>
          <w:szCs w:val="28"/>
          <w:rtl/>
        </w:rPr>
        <w:t>)</w:t>
      </w:r>
      <w:r w:rsidRPr="00282AC9">
        <w:rPr>
          <w:rFonts w:cs="DanaFajr" w:hint="cs"/>
          <w:sz w:val="28"/>
          <w:szCs w:val="28"/>
          <w:rtl/>
        </w:rPr>
        <w:t xml:space="preserve"> الفيومي، </w:t>
      </w:r>
      <w:r w:rsidRPr="00282AC9">
        <w:rPr>
          <w:rFonts w:ascii="Sakkal Majalla" w:hAnsi="Sakkal Majalla" w:cs="DanaFajr" w:hint="cs"/>
          <w:sz w:val="28"/>
          <w:szCs w:val="28"/>
          <w:rtl/>
        </w:rPr>
        <w:t>المصباح المنير 2: 295</w:t>
      </w:r>
      <w:r w:rsidRPr="00282AC9">
        <w:rPr>
          <w:rFonts w:cs="DanaFajr" w:hint="cs"/>
          <w:sz w:val="28"/>
          <w:szCs w:val="28"/>
          <w:rtl/>
        </w:rPr>
        <w:t>، مؤسّسة دار الهجرة، قم، 1414هـ</w:t>
      </w:r>
      <w:r w:rsidRPr="00282AC9">
        <w:rPr>
          <w:rFonts w:ascii="Sakkal Majalla" w:hAnsi="Sakkal Majalla" w:cs="DanaFajr" w:hint="cs"/>
          <w:sz w:val="28"/>
          <w:szCs w:val="28"/>
          <w:rtl/>
        </w:rPr>
        <w:t>؛ المصطفوي، التحقيق في كلمات القرآن الكريم 5: 358</w:t>
      </w:r>
      <w:r w:rsidRPr="00282AC9">
        <w:rPr>
          <w:rFonts w:cs="DanaFajr" w:hint="cs"/>
          <w:sz w:val="28"/>
          <w:szCs w:val="28"/>
          <w:rtl/>
        </w:rPr>
        <w:t>.</w:t>
      </w:r>
    </w:p>
  </w:endnote>
  <w:endnote w:id="896">
    <w:p w:rsidR="00C14EDE" w:rsidRPr="00282AC9" w:rsidRDefault="00C14EDE" w:rsidP="00142A7C">
      <w:pPr>
        <w:pStyle w:val="18"/>
        <w:widowControl w:val="0"/>
        <w:spacing w:line="296" w:lineRule="exact"/>
        <w:ind w:left="0" w:firstLine="0"/>
        <w:jc w:val="both"/>
        <w:outlineLvl w:val="9"/>
        <w:rPr>
          <w:rFonts w:ascii="Simplified Arabic" w:hAnsi="Simplified Arabic" w:cs="DanaFajr"/>
          <w:b/>
          <w:bCs w:val="0"/>
          <w:color w:val="auto"/>
          <w:sz w:val="28"/>
        </w:rPr>
      </w:pPr>
      <w:r w:rsidRPr="00282AC9">
        <w:rPr>
          <w:rFonts w:ascii="Simplified Arabic" w:hAnsi="Simplified Arabic" w:cs="DanaFajr"/>
          <w:bCs w:val="0"/>
          <w:color w:val="auto"/>
          <w:sz w:val="28"/>
          <w:rtl/>
        </w:rPr>
        <w:t>(</w:t>
      </w:r>
      <w:r w:rsidRPr="00282AC9">
        <w:rPr>
          <w:rStyle w:val="af9"/>
          <w:rFonts w:ascii="Simplified Arabic" w:hAnsi="Simplified Arabic" w:cs="DanaFajr"/>
          <w:bCs w:val="0"/>
          <w:color w:val="auto"/>
          <w:sz w:val="28"/>
          <w:vertAlign w:val="baseline"/>
        </w:rPr>
        <w:endnoteRef/>
      </w:r>
      <w:r w:rsidRPr="00282AC9">
        <w:rPr>
          <w:rFonts w:ascii="Simplified Arabic" w:hAnsi="Simplified Arabic" w:cs="DanaFajr"/>
          <w:bCs w:val="0"/>
          <w:color w:val="auto"/>
          <w:sz w:val="28"/>
          <w:rtl/>
        </w:rPr>
        <w:t>) ما نقصده من التراث التاريخي للأم</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ة هنا هو كل</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الرأسمال الرمزي لها</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كل</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ما أنتجته من ثقافة عام</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ة في الدين والفكر والفلسفة والفقه والتفسير والتأويل والأدب والشعر والفن</w:t>
      </w:r>
      <w:r w:rsidRPr="00282AC9">
        <w:rPr>
          <w:rFonts w:ascii="Simplified Arabic" w:hAnsi="Simplified Arabic" w:cs="DanaFajr" w:hint="cs"/>
          <w:bCs w:val="0"/>
          <w:color w:val="auto"/>
          <w:sz w:val="28"/>
          <w:rtl/>
        </w:rPr>
        <w:t>ّ...، إ</w:t>
      </w:r>
      <w:r w:rsidRPr="00282AC9">
        <w:rPr>
          <w:rFonts w:ascii="Simplified Arabic" w:hAnsi="Simplified Arabic" w:cs="DanaFajr"/>
          <w:bCs w:val="0"/>
          <w:color w:val="auto"/>
          <w:sz w:val="28"/>
          <w:rtl/>
        </w:rPr>
        <w:t>لخ</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هذا هو التراث بكل</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ما فيه من قصور</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وإبداع</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ولكن</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في</w:t>
      </w:r>
      <w:r w:rsidRPr="00282AC9">
        <w:rPr>
          <w:rFonts w:ascii="Simplified Arabic" w:hAnsi="Simplified Arabic" w:cs="DanaFajr" w:hint="cs"/>
          <w:bCs w:val="0"/>
          <w:color w:val="auto"/>
          <w:sz w:val="28"/>
          <w:rtl/>
        </w:rPr>
        <w:t xml:space="preserve"> </w:t>
      </w:r>
      <w:r w:rsidRPr="00282AC9">
        <w:rPr>
          <w:rFonts w:ascii="Simplified Arabic" w:hAnsi="Simplified Arabic" w:cs="DanaFajr"/>
          <w:bCs w:val="0"/>
          <w:color w:val="auto"/>
          <w:sz w:val="28"/>
          <w:rtl/>
        </w:rPr>
        <w:t>ما يخص التراث الديني بالذات نجد أن فيه الغث</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والس</w:t>
      </w:r>
      <w:r w:rsidRPr="00282AC9">
        <w:rPr>
          <w:rFonts w:ascii="Simplified Arabic" w:hAnsi="Simplified Arabic" w:cs="DanaFajr" w:hint="cs"/>
          <w:bCs w:val="0"/>
          <w:color w:val="auto"/>
          <w:sz w:val="28"/>
          <w:rtl/>
        </w:rPr>
        <w:t>مين</w:t>
      </w:r>
      <w:r w:rsidRPr="00282AC9">
        <w:rPr>
          <w:rFonts w:ascii="Simplified Arabic" w:hAnsi="Simplified Arabic" w:cs="DanaFajr"/>
          <w:bCs w:val="0"/>
          <w:color w:val="auto"/>
          <w:sz w:val="28"/>
          <w:rtl/>
        </w:rPr>
        <w:t>، وفيه الس</w:t>
      </w:r>
      <w:r w:rsidRPr="00282AC9">
        <w:rPr>
          <w:rFonts w:ascii="Simplified Arabic" w:hAnsi="Simplified Arabic" w:cs="DanaFajr" w:hint="cs"/>
          <w:bCs w:val="0"/>
          <w:color w:val="auto"/>
          <w:sz w:val="28"/>
          <w:rtl/>
        </w:rPr>
        <w:t>يّئ</w:t>
      </w:r>
      <w:r w:rsidRPr="00282AC9">
        <w:rPr>
          <w:rFonts w:ascii="Simplified Arabic" w:hAnsi="Simplified Arabic" w:cs="DanaFajr"/>
          <w:bCs w:val="0"/>
          <w:color w:val="auto"/>
          <w:sz w:val="28"/>
          <w:rtl/>
        </w:rPr>
        <w:t xml:space="preserve"> والجي</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د</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حيث </w:t>
      </w:r>
      <w:r w:rsidRPr="00282AC9">
        <w:rPr>
          <w:rFonts w:ascii="Simplified Arabic" w:hAnsi="Simplified Arabic" w:cs="DanaFajr" w:hint="cs"/>
          <w:bCs w:val="0"/>
          <w:color w:val="auto"/>
          <w:sz w:val="28"/>
          <w:rtl/>
        </w:rPr>
        <w:t>إ</w:t>
      </w:r>
      <w:r w:rsidRPr="00282AC9">
        <w:rPr>
          <w:rFonts w:ascii="Simplified Arabic" w:hAnsi="Simplified Arabic" w:cs="DanaFajr"/>
          <w:bCs w:val="0"/>
          <w:color w:val="auto"/>
          <w:sz w:val="28"/>
          <w:rtl/>
        </w:rPr>
        <w:t>ن الشروحات ضخّ</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مت هذا التراث، وبات</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ت</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أكبر من نصوصه الأولى، بل جعلت الشرح متناً</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للأسف.</w:t>
      </w:r>
    </w:p>
  </w:endnote>
  <w:endnote w:id="897">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xml:space="preserve">) راجع: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 xml:space="preserve">لشيخ باقر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لقرشي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حياة الإمام الرضا</w:t>
      </w:r>
      <w:r w:rsidRPr="00282AC9">
        <w:rPr>
          <w:rFonts w:cs="Mosawi" w:hint="cs"/>
          <w:rtl/>
        </w:rPr>
        <w:t>×</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2: 181</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عصر المأمون 1: 330 وما بعدها</w:t>
      </w:r>
      <w:r w:rsidRPr="00282AC9">
        <w:rPr>
          <w:rFonts w:ascii="Simplified Arabic" w:hAnsi="Simplified Arabic" w:cs="DanaFajr" w:hint="cs"/>
          <w:sz w:val="28"/>
          <w:szCs w:val="28"/>
          <w:rtl/>
        </w:rPr>
        <w:t>.</w:t>
      </w:r>
    </w:p>
  </w:endnote>
  <w:endnote w:id="898">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أنشئت في بغداد وحدها حوالي ثلاثين مدرسة، كان من أكثرها شهرة المدرسة النظامية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ذاع صيتها في الآفاق.</w:t>
      </w:r>
    </w:p>
  </w:endnote>
  <w:endnote w:id="899">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كان من أبرزها مكتبة بيت الحكمة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قيل بأن هارون الرشيد أمر بنقل مكتبته الخاص</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إليها.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لقرشي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حياة الإمام الرضا</w:t>
      </w:r>
      <w:r w:rsidRPr="00282AC9">
        <w:rPr>
          <w:rFonts w:cs="Mosawi" w:hint="cs"/>
          <w:rtl/>
        </w:rPr>
        <w:t>×</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 xml:space="preserve">2: 182؛ رحلة ابن جبير: 208؛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لقرشي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حياة الإمام ال</w:t>
      </w:r>
      <w:r w:rsidRPr="00282AC9">
        <w:rPr>
          <w:rFonts w:ascii="Simplified Arabic" w:hAnsi="Simplified Arabic" w:cs="DanaFajr" w:hint="cs"/>
          <w:sz w:val="28"/>
          <w:szCs w:val="28"/>
          <w:rtl/>
        </w:rPr>
        <w:t>جواد</w:t>
      </w:r>
      <w:r w:rsidRPr="00282AC9">
        <w:rPr>
          <w:rFonts w:cs="Mosawi" w:hint="cs"/>
          <w:rtl/>
        </w:rPr>
        <w:t>×</w:t>
      </w:r>
      <w:r w:rsidRPr="00282AC9">
        <w:rPr>
          <w:rFonts w:ascii="Simplified Arabic" w:hAnsi="Simplified Arabic" w:cs="DanaFajr"/>
          <w:sz w:val="28"/>
          <w:szCs w:val="28"/>
          <w:rtl/>
        </w:rPr>
        <w:t>: 197).</w:t>
      </w:r>
    </w:p>
  </w:endnote>
  <w:endnote w:id="900">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انظر كتاب الفهرست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لابن النديم</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الذي يذكر فيه أسماء كثيرة من الكتب والمصن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فات المترجمة عن اللغات المختلفة.</w:t>
      </w:r>
    </w:p>
  </w:endnote>
  <w:endnote w:id="901">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تاريخ الفلسفة في الإسلام: 329.</w:t>
      </w:r>
    </w:p>
  </w:endnote>
  <w:endnote w:id="902">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لقد كان لهذه العلوم مراكز أساسية للانطلاق والانتشار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نذكر منها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بغداد والكوفة والبصرة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كانت مدرسة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هام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 عل</w:t>
      </w:r>
      <w:r w:rsidRPr="00282AC9">
        <w:rPr>
          <w:rFonts w:ascii="Simplified Arabic" w:hAnsi="Simplified Arabic" w:cs="DanaFajr" w:hint="cs"/>
          <w:sz w:val="28"/>
          <w:szCs w:val="28"/>
          <w:rtl/>
        </w:rPr>
        <w:t>م</w:t>
      </w:r>
      <w:r w:rsidRPr="00282AC9">
        <w:rPr>
          <w:rFonts w:ascii="Simplified Arabic" w:hAnsi="Simplified Arabic" w:cs="DanaFajr"/>
          <w:sz w:val="28"/>
          <w:szCs w:val="28"/>
          <w:rtl/>
        </w:rPr>
        <w:t xml:space="preserve"> النحو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الذي أنشأه أبو الأسود الدؤلي (تلميذ أمير المؤمنين الإمام علي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w:t>
      </w:r>
    </w:p>
  </w:endnote>
  <w:endnote w:id="903">
    <w:p w:rsidR="00C14EDE" w:rsidRPr="00282AC9" w:rsidRDefault="00C14EDE" w:rsidP="00142A7C">
      <w:pPr>
        <w:pStyle w:val="af7"/>
        <w:spacing w:line="296" w:lineRule="exact"/>
        <w:ind w:firstLine="0"/>
        <w:rPr>
          <w:rFonts w:ascii="Simplified Arabic" w:hAnsi="Simplified Arabic" w:cs="DanaFajr"/>
          <w:sz w:val="28"/>
          <w:szCs w:val="28"/>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عصر المأمون</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 xml:space="preserve">1: 375. </w:t>
      </w:r>
    </w:p>
  </w:endnote>
  <w:endnote w:id="904">
    <w:p w:rsidR="00C14EDE" w:rsidRPr="00282AC9" w:rsidRDefault="00C14EDE" w:rsidP="00142A7C">
      <w:pPr>
        <w:spacing w:line="296" w:lineRule="exact"/>
        <w:ind w:firstLine="0"/>
        <w:rPr>
          <w:rFonts w:ascii="Simplified Arabic" w:hAnsi="Simplified Arabic" w:cs="DanaFajr"/>
          <w:szCs w:val="28"/>
          <w:lang w:bidi="ar-SY"/>
        </w:rPr>
      </w:pPr>
      <w:r w:rsidRPr="00282AC9">
        <w:rPr>
          <w:rFonts w:ascii="Simplified Arabic" w:hAnsi="Simplified Arabic" w:cs="DanaFajr"/>
          <w:szCs w:val="28"/>
          <w:rtl/>
        </w:rPr>
        <w:t>(</w:t>
      </w:r>
      <w:r w:rsidRPr="00282AC9">
        <w:rPr>
          <w:rStyle w:val="af9"/>
          <w:rFonts w:ascii="Simplified Arabic" w:hAnsi="Simplified Arabic" w:cs="DanaFajr"/>
          <w:szCs w:val="28"/>
          <w:vertAlign w:val="baseline"/>
        </w:rPr>
        <w:endnoteRef/>
      </w:r>
      <w:r w:rsidRPr="00282AC9">
        <w:rPr>
          <w:rFonts w:ascii="Simplified Arabic" w:hAnsi="Simplified Arabic" w:cs="DanaFajr"/>
          <w:szCs w:val="28"/>
          <w:rtl/>
        </w:rPr>
        <w:t>) قُد</w:t>
      </w:r>
      <w:r w:rsidRPr="00282AC9">
        <w:rPr>
          <w:rFonts w:ascii="Simplified Arabic" w:hAnsi="Simplified Arabic" w:cs="DanaFajr" w:hint="cs"/>
          <w:szCs w:val="28"/>
          <w:rtl/>
        </w:rPr>
        <w:t>ِّ</w:t>
      </w:r>
      <w:r w:rsidRPr="00282AC9">
        <w:rPr>
          <w:rFonts w:ascii="Simplified Arabic" w:hAnsi="Simplified Arabic" w:cs="DanaFajr"/>
          <w:szCs w:val="28"/>
          <w:rtl/>
        </w:rPr>
        <w:t>رت واردات الدولة في عهد الإمام الرضا</w:t>
      </w:r>
      <w:r w:rsidRPr="00282AC9">
        <w:rPr>
          <w:rFonts w:cs="Mosawi" w:hint="cs"/>
          <w:sz w:val="20"/>
          <w:szCs w:val="20"/>
          <w:rtl/>
        </w:rPr>
        <w:t>×</w:t>
      </w:r>
      <w:r w:rsidRPr="00282AC9">
        <w:rPr>
          <w:rFonts w:ascii="Simplified Arabic" w:hAnsi="Simplified Arabic" w:cs="DanaFajr"/>
          <w:szCs w:val="28"/>
          <w:rtl/>
        </w:rPr>
        <w:t xml:space="preserve"> من الخراج وحده بحوالي 400 مليون درهم. (راج</w:t>
      </w:r>
      <w:r w:rsidRPr="00282AC9">
        <w:rPr>
          <w:rFonts w:ascii="Simplified Arabic" w:hAnsi="Simplified Arabic" w:cs="DanaFajr" w:hint="cs"/>
          <w:szCs w:val="28"/>
          <w:rtl/>
        </w:rPr>
        <w:t>ِ</w:t>
      </w:r>
      <w:r w:rsidRPr="00282AC9">
        <w:rPr>
          <w:rFonts w:ascii="Simplified Arabic" w:hAnsi="Simplified Arabic" w:cs="DanaFajr"/>
          <w:szCs w:val="28"/>
          <w:rtl/>
        </w:rPr>
        <w:t>ع</w:t>
      </w:r>
      <w:r w:rsidRPr="00282AC9">
        <w:rPr>
          <w:rFonts w:ascii="Simplified Arabic" w:hAnsi="Simplified Arabic" w:cs="DanaFajr" w:hint="cs"/>
          <w:szCs w:val="28"/>
          <w:rtl/>
        </w:rPr>
        <w:t>ْ</w:t>
      </w:r>
      <w:r w:rsidRPr="00282AC9">
        <w:rPr>
          <w:rFonts w:ascii="Simplified Arabic" w:hAnsi="Simplified Arabic" w:cs="DanaFajr"/>
          <w:szCs w:val="28"/>
          <w:rtl/>
        </w:rPr>
        <w:t xml:space="preserve">: </w:t>
      </w:r>
      <w:r w:rsidRPr="00282AC9">
        <w:rPr>
          <w:rFonts w:ascii="Simplified Arabic" w:hAnsi="Simplified Arabic" w:cs="DanaFajr" w:hint="cs"/>
          <w:szCs w:val="28"/>
          <w:rtl/>
        </w:rPr>
        <w:t>ا</w:t>
      </w:r>
      <w:r w:rsidRPr="00282AC9">
        <w:rPr>
          <w:rFonts w:ascii="Simplified Arabic" w:hAnsi="Simplified Arabic" w:cs="DanaFajr"/>
          <w:szCs w:val="28"/>
          <w:rtl/>
        </w:rPr>
        <w:t>لقرشي</w:t>
      </w:r>
      <w:r w:rsidRPr="00282AC9">
        <w:rPr>
          <w:rFonts w:ascii="Simplified Arabic" w:hAnsi="Simplified Arabic" w:cs="DanaFajr" w:hint="cs"/>
          <w:szCs w:val="28"/>
          <w:rtl/>
        </w:rPr>
        <w:t>،</w:t>
      </w:r>
      <w:r w:rsidRPr="00282AC9">
        <w:rPr>
          <w:rFonts w:ascii="Simplified Arabic" w:hAnsi="Simplified Arabic" w:cs="DanaFajr"/>
          <w:szCs w:val="28"/>
          <w:rtl/>
        </w:rPr>
        <w:t xml:space="preserve"> حياة الإمام الرضا</w:t>
      </w:r>
      <w:r w:rsidRPr="00282AC9">
        <w:rPr>
          <w:rFonts w:cs="Mosawi" w:hint="cs"/>
          <w:sz w:val="20"/>
          <w:szCs w:val="20"/>
          <w:rtl/>
        </w:rPr>
        <w:t>×</w:t>
      </w:r>
      <w:r w:rsidRPr="00282AC9">
        <w:rPr>
          <w:rFonts w:ascii="Simplified Arabic" w:hAnsi="Simplified Arabic" w:cs="DanaFajr" w:hint="cs"/>
          <w:szCs w:val="28"/>
          <w:rtl/>
        </w:rPr>
        <w:t xml:space="preserve"> 2</w:t>
      </w:r>
      <w:r w:rsidRPr="00282AC9">
        <w:rPr>
          <w:rFonts w:ascii="Simplified Arabic" w:hAnsi="Simplified Arabic" w:cs="DanaFajr"/>
          <w:szCs w:val="28"/>
          <w:rtl/>
        </w:rPr>
        <w:t xml:space="preserve">: 179 ـ 180). والرقم 400 مليون درهم ذكره </w:t>
      </w:r>
      <w:r w:rsidRPr="00282AC9">
        <w:rPr>
          <w:rFonts w:ascii="Simplified Arabic" w:hAnsi="Simplified Arabic" w:cs="DanaFajr"/>
          <w:szCs w:val="28"/>
          <w:rtl/>
          <w:lang w:bidi="ar-SY"/>
        </w:rPr>
        <w:t>ابن خلدون في مقد</w:t>
      </w:r>
      <w:r w:rsidRPr="00282AC9">
        <w:rPr>
          <w:rFonts w:ascii="Simplified Arabic" w:hAnsi="Simplified Arabic" w:cs="DanaFajr" w:hint="cs"/>
          <w:szCs w:val="28"/>
          <w:rtl/>
          <w:lang w:bidi="ar-SY"/>
        </w:rPr>
        <w:t>ّ</w:t>
      </w:r>
      <w:r w:rsidRPr="00282AC9">
        <w:rPr>
          <w:rFonts w:ascii="Simplified Arabic" w:hAnsi="Simplified Arabic" w:cs="DanaFajr"/>
          <w:szCs w:val="28"/>
          <w:rtl/>
          <w:lang w:bidi="ar-SY"/>
        </w:rPr>
        <w:t>مته: 180</w:t>
      </w:r>
      <w:r w:rsidRPr="00282AC9">
        <w:rPr>
          <w:rFonts w:ascii="Simplified Arabic" w:hAnsi="Simplified Arabic" w:cs="DanaFajr" w:hint="cs"/>
          <w:szCs w:val="28"/>
          <w:rtl/>
          <w:lang w:bidi="ar-SY"/>
        </w:rPr>
        <w:t>.</w:t>
      </w:r>
    </w:p>
  </w:endnote>
  <w:endnote w:id="905">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w:t>
      </w:r>
      <w:r w:rsidRPr="00282AC9">
        <w:rPr>
          <w:rFonts w:ascii="Simplified Arabic" w:hAnsi="Simplified Arabic" w:cs="DanaFajr"/>
          <w:sz w:val="28"/>
          <w:szCs w:val="28"/>
          <w:rtl/>
        </w:rPr>
        <w:t>لقرشي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حياة الإمام الرضا</w:t>
      </w:r>
      <w:r w:rsidRPr="00282AC9">
        <w:rPr>
          <w:rFonts w:cs="Mosawi" w:hint="cs"/>
          <w:rtl/>
        </w:rPr>
        <w:t>×</w:t>
      </w:r>
      <w:r w:rsidRPr="00282AC9">
        <w:rPr>
          <w:rFonts w:ascii="Simplified Arabic" w:hAnsi="Simplified Arabic" w:cs="DanaFajr" w:hint="cs"/>
          <w:sz w:val="28"/>
          <w:szCs w:val="28"/>
          <w:rtl/>
        </w:rPr>
        <w:t xml:space="preserve"> 2: </w:t>
      </w:r>
      <w:r w:rsidRPr="00282AC9">
        <w:rPr>
          <w:rFonts w:ascii="Simplified Arabic" w:hAnsi="Simplified Arabic" w:cs="DanaFajr"/>
          <w:sz w:val="28"/>
          <w:szCs w:val="28"/>
          <w:rtl/>
        </w:rPr>
        <w:t>190.</w:t>
      </w:r>
    </w:p>
  </w:endnote>
  <w:endnote w:id="906">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يذكر ابن الأثير في تاريخه 6: 434</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أن المأمون كان في دمشق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فأصابته ضائقة مادية اقتصادية فحملت إليه كمية من الماء قدرت بحوالي ثلاثين مليون درهم من مال الخراج، فأمر المأمون بإنفاق 24 مليون درهم منها على أصحابه، والباقي أنفقه على جنده.</w:t>
      </w:r>
    </w:p>
  </w:endnote>
  <w:endnote w:id="907">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كان الإسراف والتبذير ظاهرة طبيعية سائدة عند ملوك بني العب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اس. فقد بنى المهدي منتزهاً أنفق عليه 50 مليون درهم، وصرف المتوك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 على قصره المعروف بالماحوزة 50 مليون درهم، وعلى قصره المعروف بالعروس 30 مليون، وعلى الب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و 25 مليون درهم. ومن الألوان والأشكال الأخرى للبذخ والإسراف الكبير الذي تفن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 فيه حكام الدولة العباسية، والمذكور في بطون الكتب التاريخية، قصة زواج المأمون ببوران، حيث بلغت تكاليف ونفقات هذا العرس أكثر من 48 مليون درهم. وقد قيل في ذلك الشيء الكثير</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 xml:space="preserve">(راجع: تاريخ ابن الأثير </w:t>
      </w:r>
      <w:r w:rsidRPr="00282AC9">
        <w:rPr>
          <w:rFonts w:ascii="Simplified Arabic" w:hAnsi="Simplified Arabic" w:cs="DanaFajr" w:hint="cs"/>
          <w:sz w:val="28"/>
          <w:szCs w:val="28"/>
          <w:rtl/>
        </w:rPr>
        <w:t xml:space="preserve">6: </w:t>
      </w:r>
      <w:r w:rsidRPr="00282AC9">
        <w:rPr>
          <w:rFonts w:ascii="Simplified Arabic" w:hAnsi="Simplified Arabic" w:cs="DanaFajr"/>
          <w:sz w:val="28"/>
          <w:szCs w:val="28"/>
          <w:rtl/>
        </w:rPr>
        <w:t>364</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 xml:space="preserve">ابن الساعي البغدادي، </w:t>
      </w:r>
      <w:r w:rsidRPr="00282AC9">
        <w:rPr>
          <w:rFonts w:ascii="Simplified Arabic" w:hAnsi="Simplified Arabic" w:cs="DanaFajr"/>
          <w:sz w:val="28"/>
          <w:szCs w:val="28"/>
          <w:rtl/>
        </w:rPr>
        <w:t>نساء الخلفاء</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68</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 xml:space="preserve">حميد بن احمد المحلي، </w:t>
      </w:r>
      <w:r w:rsidRPr="00282AC9">
        <w:rPr>
          <w:rFonts w:ascii="Simplified Arabic" w:hAnsi="Simplified Arabic" w:cs="DanaFajr"/>
          <w:sz w:val="28"/>
          <w:szCs w:val="28"/>
          <w:rtl/>
        </w:rPr>
        <w:t>الحدائق الوردية 2: 220</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 xml:space="preserve">داوود بن عمر الأنطاكي، </w:t>
      </w:r>
      <w:r w:rsidRPr="00282AC9">
        <w:rPr>
          <w:rFonts w:ascii="Simplified Arabic" w:hAnsi="Simplified Arabic" w:cs="DanaFajr"/>
          <w:sz w:val="28"/>
          <w:szCs w:val="28"/>
          <w:rtl/>
        </w:rPr>
        <w:t>تزيين الأسواق</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3 ـ 17). ويبدو أن هذا الإسراف والهدر الكبير الذي جرى في ثروات الأمة ومقدراتها ومواردها الجبارة والهائلة من 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 فئة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مفسدة وظالمة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 الحكام والفراعنة والحواشي والتابعين لهم ما زال يجري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ويفعل فعله تمزيقاً وتفتيتاً في طاقات أم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تنا العربية الإسلامية حت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ى يومنا هذا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إذ لا يكاد يمر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يوم إلا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ونسمع فيه ـ في إعلامنا المقروء والمسموع والإلكتروني ـ عن قضايا وفضائح الفساد والاختلاس والنهب والسرقة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وبأرقام تصل إلى 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الخيال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يقوم بها مسؤولو هذه الدولة العربية أو تلك، حت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ى وصلت المسألة إلى مرحلة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أصبحت فيها أخبار الفساد والإفساد التزوير والبذخ والإسراف الموثقة جد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 أموراً طبيعي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للغاية. وكل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ذلك يجري للأسف على مرأى و</w:t>
      </w:r>
      <w:r w:rsidRPr="00282AC9">
        <w:rPr>
          <w:rFonts w:ascii="Simplified Arabic" w:hAnsi="Simplified Arabic" w:cs="DanaFajr" w:hint="cs"/>
          <w:sz w:val="28"/>
          <w:szCs w:val="28"/>
          <w:rtl/>
        </w:rPr>
        <w:t>م</w:t>
      </w:r>
      <w:r w:rsidRPr="00282AC9">
        <w:rPr>
          <w:rFonts w:ascii="Simplified Arabic" w:hAnsi="Simplified Arabic" w:cs="DanaFajr"/>
          <w:sz w:val="28"/>
          <w:szCs w:val="28"/>
          <w:rtl/>
        </w:rPr>
        <w:t>سمع الشعب 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ومرأى ومسمع وزارات العدل والداخلية والشرطة وهيئات الرقابة والتفتيش العربية وغيرها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وإذا كان المأمون قد صرف على نفسه 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هذا المبلغ الضخم من المال فإن الكثير من حك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امنا ورؤسائنا وحواشيهم (وم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لف</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لف</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هم) من أصحاب الجلالة والفخامة والسيادة فاقوا وبز</w:t>
      </w:r>
      <w:r w:rsidRPr="00282AC9">
        <w:rPr>
          <w:rFonts w:ascii="Simplified Arabic" w:hAnsi="Simplified Arabic" w:cs="DanaFajr" w:hint="cs"/>
          <w:sz w:val="28"/>
          <w:szCs w:val="28"/>
          <w:rtl/>
        </w:rPr>
        <w:t>ّ</w:t>
      </w:r>
      <w:r w:rsidRPr="00282AC9">
        <w:rPr>
          <w:rFonts w:ascii="Simplified Arabic" w:hAnsi="Simplified Arabic" w:cs="DanaFajr"/>
          <w:sz w:val="28"/>
          <w:szCs w:val="28"/>
          <w:rtl/>
        </w:rPr>
        <w:t>وا المأمون بزّاً في هذه المسألة الإفسادية. وإذا كانت أرقام المأمون ـ وغيره من حك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ام البيت العباسي ـ قد وصل إلى الحد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المليوني فقط فإن أرقام هؤلاء قد تجاوزت المئات من المليارات بكثير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دوها وأنفقوها على شراء الضمائر والذ</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 ومواقع النفوذ والتأثير، أو وهبوها للمطربين والمغن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ين على طريق الأهواء والشهوات والعبث بمقدرات البلاد والعباد، أو سل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موها </w:t>
      </w:r>
      <w:r w:rsidRPr="00282AC9">
        <w:rPr>
          <w:rFonts w:ascii="Simplified Arabic" w:hAnsi="Simplified Arabic" w:cs="DanaFajr" w:hint="cs"/>
          <w:sz w:val="28"/>
          <w:szCs w:val="28"/>
          <w:rtl/>
        </w:rPr>
        <w:t>إلى ا</w:t>
      </w:r>
      <w:r w:rsidRPr="00282AC9">
        <w:rPr>
          <w:rFonts w:ascii="Simplified Arabic" w:hAnsi="Simplified Arabic" w:cs="DanaFajr"/>
          <w:sz w:val="28"/>
          <w:szCs w:val="28"/>
          <w:rtl/>
        </w:rPr>
        <w:t>لمستعمرين الج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حفاظاً على كراسيهم وعروشهم ونهبهم لبلدانهم.</w:t>
      </w:r>
    </w:p>
  </w:endnote>
  <w:endnote w:id="908">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تضخّمت الثروات الهائلة عند بعض الناس</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خصوصاً في بغداد عاصمة العالم الإسلامي آنذاك، فقد وجد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فيها طبقة غنية ومترفة في غناها كانت تملك الملايين</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وكذلك البصرة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فقد ضمّ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 طبقة كبيرة من أهل الثراء العريض والفاحش، وكانت البصرة ث</w:t>
      </w:r>
      <w:r w:rsidRPr="00282AC9">
        <w:rPr>
          <w:rFonts w:ascii="Simplified Arabic" w:hAnsi="Simplified Arabic" w:cs="DanaFajr" w:hint="cs"/>
          <w:sz w:val="28"/>
          <w:szCs w:val="28"/>
          <w:rtl/>
        </w:rPr>
        <w:t>َ</w:t>
      </w:r>
      <w:r w:rsidRPr="00282AC9">
        <w:rPr>
          <w:rFonts w:ascii="Simplified Arabic" w:hAnsi="Simplified Arabic" w:cs="DanaFajr"/>
          <w:sz w:val="28"/>
          <w:szCs w:val="28"/>
          <w:rtl/>
        </w:rPr>
        <w:t>غ</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 العراق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والمركز التجاري الخطير الذي يصل بين الشرق والغرب، وتستقبل متاجر الهند، وجزر البحار الشرقية، ومن أجل ذلك س</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يت البصرة أرض الهند و</w:t>
      </w:r>
      <w:r w:rsidRPr="00282AC9">
        <w:rPr>
          <w:rFonts w:ascii="Simplified Arabic" w:hAnsi="Simplified Arabic" w:cs="DanaFajr" w:hint="cs"/>
          <w:sz w:val="28"/>
          <w:szCs w:val="28"/>
          <w:rtl/>
        </w:rPr>
        <w:t>أ</w:t>
      </w:r>
      <w:r w:rsidRPr="00282AC9">
        <w:rPr>
          <w:rFonts w:ascii="Simplified Arabic" w:hAnsi="Simplified Arabic" w:cs="DanaFajr"/>
          <w:sz w:val="28"/>
          <w:szCs w:val="28"/>
          <w:rtl/>
        </w:rPr>
        <w:t>مّ العراق</w:t>
      </w:r>
      <w:r w:rsidRPr="00282AC9">
        <w:rPr>
          <w:rFonts w:ascii="Simplified Arabic" w:hAnsi="Simplified Arabic" w:cs="DanaFajr" w:hint="cs"/>
          <w:sz w:val="28"/>
          <w:szCs w:val="28"/>
          <w:rtl/>
        </w:rPr>
        <w:t>.</w:t>
      </w:r>
    </w:p>
  </w:endnote>
  <w:endnote w:id="909">
    <w:p w:rsidR="00C14EDE" w:rsidRPr="00282AC9" w:rsidRDefault="00C14EDE" w:rsidP="00495D24">
      <w:pPr>
        <w:pStyle w:val="af7"/>
        <w:spacing w:line="294"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وث</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 المؤر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خون وقائع وحوادث كثيرة من هذه المظالم، نذكر منها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ما فرضه هؤلاء الحكام من ضرائب باهظة حت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ى على تركة الأموات. وقيل في ذلك شعر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لابن المعتز</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يصور فيه معاناة الناس من جر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اء ذلك. (راجع كتاب: الحضارة الإسلامية 1: 199). أما بالنسبة للقسوة في أخذ الخراج ـ وما تركه ملوك العباسيين من أموال طائلة اختلسوها من الشعوب (المسلمة)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وأخذوها بقوة الحديد والنار ـ فحد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ث</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عنه ولا ح</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ج. (راجع: الخراج: 116 ـ 118؛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لمسعودي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مروج الذهب 3: 318؛ البدء والتاريخ</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6: 92</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وغيرها).</w:t>
      </w:r>
    </w:p>
  </w:endnote>
  <w:endnote w:id="910">
    <w:p w:rsidR="00C14EDE" w:rsidRPr="00282AC9" w:rsidRDefault="00C14EDE" w:rsidP="00495D24">
      <w:pPr>
        <w:pStyle w:val="af7"/>
        <w:spacing w:line="294"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أر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خ كثير من شعراء العصر العباسي لهذه المرحلة التاريخية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فها هو أبو العتاهية يحد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ثنا ـ شاكياً باكياً ـ عم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 كانت عليه العام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من البؤس والشقاء، يقول:</w:t>
      </w:r>
    </w:p>
    <w:tbl>
      <w:tblPr>
        <w:tblStyle w:val="1f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1"/>
        <w:gridCol w:w="567"/>
        <w:gridCol w:w="2551"/>
      </w:tblGrid>
      <w:tr w:rsidR="00C14EDE" w:rsidRPr="00282AC9" w:rsidTr="00715FC8">
        <w:trPr>
          <w:jc w:val="center"/>
        </w:trPr>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م</w:t>
            </w:r>
            <w:r w:rsidRPr="00282AC9">
              <w:rPr>
                <w:rFonts w:ascii="Simplified Arabic" w:hAnsi="Simplified Arabic" w:cs="DanaFajr" w:hint="cs"/>
                <w:szCs w:val="28"/>
                <w:rtl/>
              </w:rPr>
              <w:t>َ</w:t>
            </w:r>
            <w:r w:rsidRPr="00282AC9">
              <w:rPr>
                <w:rFonts w:ascii="Simplified Arabic" w:hAnsi="Simplified Arabic" w:cs="DanaFajr"/>
                <w:szCs w:val="28"/>
                <w:rtl/>
              </w:rPr>
              <w:t>ن</w:t>
            </w:r>
            <w:r w:rsidRPr="00282AC9">
              <w:rPr>
                <w:rFonts w:ascii="Simplified Arabic" w:hAnsi="Simplified Arabic" w:cs="DanaFajr" w:hint="cs"/>
                <w:szCs w:val="28"/>
                <w:rtl/>
              </w:rPr>
              <w:t>ْ</w:t>
            </w:r>
            <w:r w:rsidRPr="00282AC9">
              <w:rPr>
                <w:rFonts w:ascii="Simplified Arabic" w:hAnsi="Simplified Arabic" w:cs="DanaFajr"/>
                <w:szCs w:val="28"/>
                <w:rtl/>
              </w:rPr>
              <w:t xml:space="preserve"> مبلغ</w:t>
            </w:r>
            <w:r w:rsidRPr="00282AC9">
              <w:rPr>
                <w:rFonts w:ascii="Simplified Arabic" w:hAnsi="Simplified Arabic" w:cs="DanaFajr" w:hint="cs"/>
                <w:szCs w:val="28"/>
                <w:rtl/>
              </w:rPr>
              <w:t>ٌ</w:t>
            </w:r>
            <w:r w:rsidRPr="00282AC9">
              <w:rPr>
                <w:rFonts w:ascii="Simplified Arabic" w:hAnsi="Simplified Arabic" w:cs="DanaFajr"/>
                <w:szCs w:val="28"/>
                <w:rtl/>
              </w:rPr>
              <w:t xml:space="preserve"> عن</w:t>
            </w:r>
            <w:r w:rsidRPr="00282AC9">
              <w:rPr>
                <w:rFonts w:ascii="Simplified Arabic" w:hAnsi="Simplified Arabic" w:cs="DanaFajr" w:hint="cs"/>
                <w:szCs w:val="28"/>
                <w:rtl/>
              </w:rPr>
              <w:t>ّ</w:t>
            </w:r>
            <w:r w:rsidRPr="00282AC9">
              <w:rPr>
                <w:rFonts w:ascii="Simplified Arabic" w:hAnsi="Simplified Arabic" w:cs="DanaFajr"/>
                <w:szCs w:val="28"/>
                <w:rtl/>
              </w:rPr>
              <w:t>ي ال</w:t>
            </w:r>
            <w:r w:rsidRPr="00282AC9">
              <w:rPr>
                <w:rFonts w:ascii="Simplified Arabic" w:hAnsi="Simplified Arabic" w:cs="DanaFajr" w:hint="cs"/>
                <w:szCs w:val="28"/>
                <w:rtl/>
              </w:rPr>
              <w:t>ـ</w:t>
            </w:r>
            <w:r w:rsidRPr="00282AC9">
              <w:rPr>
                <w:rFonts w:cs="DanaFajr" w:hint="cs"/>
                <w:szCs w:val="28"/>
                <w:rtl/>
              </w:rPr>
              <w:br/>
            </w:r>
          </w:p>
        </w:tc>
        <w:tc>
          <w:tcPr>
            <w:tcW w:w="567" w:type="dxa"/>
          </w:tcPr>
          <w:p w:rsidR="00C14EDE" w:rsidRPr="00282AC9" w:rsidRDefault="00C14EDE" w:rsidP="00715FC8">
            <w:pPr>
              <w:spacing w:line="240" w:lineRule="auto"/>
              <w:ind w:firstLine="0"/>
              <w:jc w:val="mediumKashida"/>
              <w:rPr>
                <w:rFonts w:cs="DanaFajr"/>
                <w:szCs w:val="28"/>
                <w:rtl/>
              </w:rPr>
            </w:pPr>
          </w:p>
        </w:tc>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إمام نصائح متوالي</w:t>
            </w:r>
            <w:r w:rsidRPr="00282AC9">
              <w:rPr>
                <w:rFonts w:ascii="Simplified Arabic" w:hAnsi="Simplified Arabic" w:cs="DanaFajr" w:hint="cs"/>
                <w:szCs w:val="28"/>
                <w:rtl/>
              </w:rPr>
              <w:t>ه</w:t>
            </w:r>
            <w:r w:rsidRPr="00282AC9">
              <w:rPr>
                <w:rFonts w:cs="DanaFajr" w:hint="cs"/>
                <w:szCs w:val="28"/>
                <w:rtl/>
              </w:rPr>
              <w:br/>
            </w:r>
          </w:p>
        </w:tc>
      </w:tr>
      <w:tr w:rsidR="00C14EDE" w:rsidRPr="00282AC9" w:rsidTr="00715FC8">
        <w:trPr>
          <w:jc w:val="center"/>
        </w:trPr>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إن</w:t>
            </w:r>
            <w:r w:rsidRPr="00282AC9">
              <w:rPr>
                <w:rFonts w:ascii="Simplified Arabic" w:hAnsi="Simplified Arabic" w:cs="DanaFajr" w:hint="cs"/>
                <w:szCs w:val="28"/>
                <w:rtl/>
              </w:rPr>
              <w:t>ّ</w:t>
            </w:r>
            <w:r w:rsidRPr="00282AC9">
              <w:rPr>
                <w:rFonts w:ascii="Simplified Arabic" w:hAnsi="Simplified Arabic" w:cs="DanaFajr"/>
                <w:szCs w:val="28"/>
                <w:rtl/>
              </w:rPr>
              <w:t>ي أرى الأسعار</w:t>
            </w:r>
            <w:r w:rsidRPr="00282AC9">
              <w:rPr>
                <w:rFonts w:cs="DanaFajr" w:hint="cs"/>
                <w:szCs w:val="28"/>
                <w:rtl/>
              </w:rPr>
              <w:br/>
            </w:r>
          </w:p>
        </w:tc>
        <w:tc>
          <w:tcPr>
            <w:tcW w:w="567" w:type="dxa"/>
          </w:tcPr>
          <w:p w:rsidR="00C14EDE" w:rsidRPr="00282AC9" w:rsidRDefault="00C14EDE" w:rsidP="00715FC8">
            <w:pPr>
              <w:spacing w:line="240" w:lineRule="auto"/>
              <w:ind w:firstLine="0"/>
              <w:jc w:val="mediumKashida"/>
              <w:rPr>
                <w:rFonts w:cs="DanaFajr"/>
                <w:szCs w:val="28"/>
                <w:rtl/>
              </w:rPr>
            </w:pPr>
          </w:p>
        </w:tc>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أسعار الرعي</w:t>
            </w:r>
            <w:r w:rsidRPr="00282AC9">
              <w:rPr>
                <w:rFonts w:ascii="Simplified Arabic" w:hAnsi="Simplified Arabic" w:cs="DanaFajr" w:hint="cs"/>
                <w:szCs w:val="28"/>
                <w:rtl/>
              </w:rPr>
              <w:t>ّ</w:t>
            </w:r>
            <w:r w:rsidRPr="00282AC9">
              <w:rPr>
                <w:rFonts w:ascii="Simplified Arabic" w:hAnsi="Simplified Arabic" w:cs="DanaFajr"/>
                <w:szCs w:val="28"/>
                <w:rtl/>
              </w:rPr>
              <w:t>ة غالي</w:t>
            </w:r>
            <w:r w:rsidRPr="00282AC9">
              <w:rPr>
                <w:rFonts w:ascii="Simplified Arabic" w:hAnsi="Simplified Arabic" w:cs="DanaFajr" w:hint="cs"/>
                <w:szCs w:val="28"/>
                <w:rtl/>
              </w:rPr>
              <w:t>ه</w:t>
            </w:r>
            <w:r w:rsidRPr="00282AC9">
              <w:rPr>
                <w:rFonts w:cs="DanaFajr" w:hint="cs"/>
                <w:szCs w:val="28"/>
                <w:rtl/>
              </w:rPr>
              <w:br/>
            </w:r>
          </w:p>
        </w:tc>
      </w:tr>
      <w:tr w:rsidR="00C14EDE" w:rsidRPr="00282AC9" w:rsidTr="00715FC8">
        <w:trPr>
          <w:jc w:val="center"/>
        </w:trPr>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وأرى المكاسب نزرة</w:t>
            </w:r>
            <w:r w:rsidRPr="00282AC9">
              <w:rPr>
                <w:rFonts w:cs="DanaFajr" w:hint="cs"/>
                <w:szCs w:val="28"/>
                <w:rtl/>
              </w:rPr>
              <w:br/>
            </w:r>
          </w:p>
        </w:tc>
        <w:tc>
          <w:tcPr>
            <w:tcW w:w="567" w:type="dxa"/>
          </w:tcPr>
          <w:p w:rsidR="00C14EDE" w:rsidRPr="00282AC9" w:rsidRDefault="00C14EDE" w:rsidP="00715FC8">
            <w:pPr>
              <w:spacing w:line="240" w:lineRule="auto"/>
              <w:ind w:firstLine="0"/>
              <w:jc w:val="mediumKashida"/>
              <w:rPr>
                <w:rFonts w:cs="DanaFajr"/>
                <w:szCs w:val="28"/>
                <w:rtl/>
              </w:rPr>
            </w:pPr>
          </w:p>
        </w:tc>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وأرى الضرورة فاشيه</w:t>
            </w:r>
            <w:r w:rsidRPr="00282AC9">
              <w:rPr>
                <w:rFonts w:cs="DanaFajr" w:hint="cs"/>
                <w:szCs w:val="28"/>
                <w:rtl/>
              </w:rPr>
              <w:br/>
            </w:r>
          </w:p>
        </w:tc>
      </w:tr>
      <w:tr w:rsidR="00C14EDE" w:rsidRPr="00282AC9" w:rsidTr="00715FC8">
        <w:trPr>
          <w:jc w:val="center"/>
        </w:trPr>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وأرى هموم الدهر</w:t>
            </w:r>
            <w:r w:rsidRPr="00282AC9">
              <w:rPr>
                <w:rFonts w:cs="DanaFajr" w:hint="cs"/>
                <w:szCs w:val="28"/>
                <w:rtl/>
              </w:rPr>
              <w:br/>
            </w:r>
          </w:p>
        </w:tc>
        <w:tc>
          <w:tcPr>
            <w:tcW w:w="567" w:type="dxa"/>
          </w:tcPr>
          <w:p w:rsidR="00C14EDE" w:rsidRPr="00282AC9" w:rsidRDefault="00C14EDE" w:rsidP="00715FC8">
            <w:pPr>
              <w:spacing w:line="240" w:lineRule="auto"/>
              <w:ind w:firstLine="0"/>
              <w:jc w:val="mediumKashida"/>
              <w:rPr>
                <w:rFonts w:cs="DanaFajr"/>
                <w:szCs w:val="28"/>
                <w:rtl/>
              </w:rPr>
            </w:pPr>
          </w:p>
        </w:tc>
        <w:tc>
          <w:tcPr>
            <w:tcW w:w="2551" w:type="dxa"/>
          </w:tcPr>
          <w:p w:rsidR="00C14EDE" w:rsidRPr="00282AC9" w:rsidRDefault="00C14EDE" w:rsidP="00145119">
            <w:pPr>
              <w:spacing w:line="240" w:lineRule="auto"/>
              <w:ind w:firstLine="0"/>
              <w:jc w:val="mediumKashida"/>
              <w:rPr>
                <w:rFonts w:cs="DanaFajr"/>
                <w:sz w:val="2"/>
                <w:szCs w:val="2"/>
                <w:rtl/>
              </w:rPr>
            </w:pPr>
            <w:r w:rsidRPr="00282AC9">
              <w:rPr>
                <w:rFonts w:ascii="Simplified Arabic" w:hAnsi="Simplified Arabic" w:cs="DanaFajr"/>
                <w:szCs w:val="28"/>
                <w:rtl/>
              </w:rPr>
              <w:t>را</w:t>
            </w:r>
            <w:r w:rsidRPr="00282AC9">
              <w:rPr>
                <w:rFonts w:ascii="Simplified Arabic" w:hAnsi="Simplified Arabic" w:cs="DanaFajr" w:hint="cs"/>
                <w:szCs w:val="28"/>
                <w:rtl/>
              </w:rPr>
              <w:t>ئ</w:t>
            </w:r>
            <w:r w:rsidRPr="00282AC9">
              <w:rPr>
                <w:rFonts w:ascii="Simplified Arabic" w:hAnsi="Simplified Arabic" w:cs="DanaFajr"/>
                <w:szCs w:val="28"/>
                <w:rtl/>
              </w:rPr>
              <w:t>حة تمر</w:t>
            </w:r>
            <w:r w:rsidRPr="00282AC9">
              <w:rPr>
                <w:rFonts w:ascii="Simplified Arabic" w:hAnsi="Simplified Arabic" w:cs="DanaFajr" w:hint="cs"/>
                <w:szCs w:val="28"/>
                <w:rtl/>
              </w:rPr>
              <w:t>ّ</w:t>
            </w:r>
            <w:r w:rsidRPr="00282AC9">
              <w:rPr>
                <w:rFonts w:ascii="Simplified Arabic" w:hAnsi="Simplified Arabic" w:cs="DanaFajr"/>
                <w:szCs w:val="28"/>
                <w:rtl/>
              </w:rPr>
              <w:t xml:space="preserve"> وغاديه</w:t>
            </w:r>
            <w:r w:rsidRPr="00282AC9">
              <w:rPr>
                <w:rFonts w:cs="DanaFajr" w:hint="cs"/>
                <w:szCs w:val="28"/>
                <w:rtl/>
              </w:rPr>
              <w:br/>
            </w:r>
          </w:p>
        </w:tc>
      </w:tr>
      <w:tr w:rsidR="00C14EDE" w:rsidRPr="00282AC9" w:rsidTr="00715FC8">
        <w:trPr>
          <w:jc w:val="center"/>
        </w:trPr>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ومصيبات الجوع إذ</w:t>
            </w:r>
            <w:r w:rsidRPr="00282AC9">
              <w:rPr>
                <w:rFonts w:cs="DanaFajr" w:hint="cs"/>
                <w:szCs w:val="28"/>
                <w:rtl/>
              </w:rPr>
              <w:br/>
            </w:r>
          </w:p>
        </w:tc>
        <w:tc>
          <w:tcPr>
            <w:tcW w:w="567" w:type="dxa"/>
          </w:tcPr>
          <w:p w:rsidR="00C14EDE" w:rsidRPr="00282AC9" w:rsidRDefault="00C14EDE" w:rsidP="00715FC8">
            <w:pPr>
              <w:spacing w:line="240" w:lineRule="auto"/>
              <w:ind w:firstLine="0"/>
              <w:jc w:val="mediumKashida"/>
              <w:rPr>
                <w:rFonts w:cs="DanaFajr"/>
                <w:szCs w:val="28"/>
                <w:rtl/>
              </w:rPr>
            </w:pPr>
          </w:p>
        </w:tc>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تمسي وتصبح طاويه</w:t>
            </w:r>
            <w:r w:rsidRPr="00282AC9">
              <w:rPr>
                <w:rFonts w:cs="DanaFajr" w:hint="cs"/>
                <w:szCs w:val="28"/>
                <w:rtl/>
              </w:rPr>
              <w:br/>
            </w:r>
          </w:p>
        </w:tc>
      </w:tr>
      <w:tr w:rsidR="00C14EDE" w:rsidRPr="00282AC9" w:rsidTr="00715FC8">
        <w:trPr>
          <w:jc w:val="center"/>
        </w:trPr>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مَنْ للبطون الجائعا</w:t>
            </w:r>
            <w:r w:rsidRPr="00282AC9">
              <w:rPr>
                <w:rFonts w:cs="DanaFajr" w:hint="cs"/>
                <w:szCs w:val="28"/>
                <w:rtl/>
              </w:rPr>
              <w:br/>
            </w:r>
          </w:p>
        </w:tc>
        <w:tc>
          <w:tcPr>
            <w:tcW w:w="567" w:type="dxa"/>
          </w:tcPr>
          <w:p w:rsidR="00C14EDE" w:rsidRPr="00282AC9" w:rsidRDefault="00C14EDE" w:rsidP="00715FC8">
            <w:pPr>
              <w:spacing w:line="240" w:lineRule="auto"/>
              <w:ind w:firstLine="0"/>
              <w:jc w:val="mediumKashida"/>
              <w:rPr>
                <w:rFonts w:cs="DanaFajr"/>
                <w:szCs w:val="28"/>
                <w:rtl/>
              </w:rPr>
            </w:pPr>
          </w:p>
        </w:tc>
        <w:tc>
          <w:tcPr>
            <w:tcW w:w="2551" w:type="dxa"/>
          </w:tcPr>
          <w:p w:rsidR="00C14EDE" w:rsidRPr="00282AC9" w:rsidRDefault="00C14EDE" w:rsidP="00715FC8">
            <w:pPr>
              <w:spacing w:line="240" w:lineRule="auto"/>
              <w:ind w:firstLine="0"/>
              <w:jc w:val="mediumKashida"/>
              <w:rPr>
                <w:rFonts w:cs="DanaFajr"/>
                <w:sz w:val="2"/>
                <w:szCs w:val="2"/>
                <w:rtl/>
              </w:rPr>
            </w:pPr>
            <w:r w:rsidRPr="00282AC9">
              <w:rPr>
                <w:rFonts w:ascii="Simplified Arabic" w:hAnsi="Simplified Arabic" w:cs="DanaFajr"/>
                <w:szCs w:val="28"/>
                <w:rtl/>
              </w:rPr>
              <w:t>ت</w:t>
            </w:r>
            <w:r w:rsidRPr="00282AC9">
              <w:rPr>
                <w:rFonts w:ascii="Simplified Arabic" w:hAnsi="Simplified Arabic" w:cs="DanaFajr" w:hint="cs"/>
                <w:szCs w:val="28"/>
                <w:rtl/>
              </w:rPr>
              <w:t>ِ</w:t>
            </w:r>
            <w:r w:rsidRPr="00282AC9">
              <w:rPr>
                <w:rFonts w:ascii="Simplified Arabic" w:hAnsi="Simplified Arabic" w:cs="DanaFajr"/>
                <w:szCs w:val="28"/>
                <w:rtl/>
              </w:rPr>
              <w:t xml:space="preserve"> وللجسوم العاريه</w:t>
            </w:r>
            <w:r w:rsidRPr="00282AC9">
              <w:rPr>
                <w:rFonts w:cs="DanaFajr" w:hint="cs"/>
                <w:szCs w:val="28"/>
                <w:rtl/>
              </w:rPr>
              <w:br/>
            </w:r>
          </w:p>
        </w:tc>
      </w:tr>
    </w:tbl>
    <w:p w:rsidR="00C14EDE" w:rsidRPr="00282AC9" w:rsidRDefault="00C14EDE" w:rsidP="005C5C75">
      <w:pPr>
        <w:pStyle w:val="af7"/>
        <w:spacing w:line="20" w:lineRule="exact"/>
        <w:ind w:firstLine="0"/>
        <w:rPr>
          <w:rFonts w:ascii="Simplified Arabic" w:hAnsi="Simplified Arabic" w:cs="DanaFajr"/>
          <w:sz w:val="2"/>
          <w:szCs w:val="2"/>
        </w:rPr>
      </w:pPr>
    </w:p>
  </w:endnote>
  <w:endnote w:id="911">
    <w:p w:rsidR="00C14EDE" w:rsidRPr="00282AC9" w:rsidRDefault="00C14EDE" w:rsidP="00495D24">
      <w:pPr>
        <w:pStyle w:val="af7"/>
        <w:spacing w:line="294"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يحد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ثنا الدكتور أحمد صبحي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 كتابه نظرية الإمامة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هذا الأمر قائلاً: </w:t>
      </w:r>
      <w:r w:rsidRPr="00282AC9">
        <w:rPr>
          <w:rFonts w:hint="eastAsia"/>
          <w:sz w:val="22"/>
          <w:szCs w:val="22"/>
          <w:rtl/>
        </w:rPr>
        <w:t>«</w:t>
      </w:r>
      <w:r w:rsidRPr="00282AC9">
        <w:rPr>
          <w:rFonts w:ascii="Simplified Arabic" w:hAnsi="Simplified Arabic" w:cs="DanaFajr"/>
          <w:sz w:val="28"/>
          <w:szCs w:val="28"/>
          <w:rtl/>
        </w:rPr>
        <w:t>ولكن ذلك المثل الأعلى للعدالة والمساواة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الذي انتظره الناس من العب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اسيين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قد أصبح 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ماً من الأوهام، فشراسة المنصور والرشيد وجشعهم، وج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 أولاد علي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بن عيسى وع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ثهم بأموال المسلمين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يذك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رنا بالحجاج وهشام ويوسف بن عمرو الثقفي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إلخ</w:t>
      </w:r>
      <w:r w:rsidRPr="00282AC9">
        <w:rPr>
          <w:rFonts w:hint="eastAsia"/>
          <w:sz w:val="22"/>
          <w:szCs w:val="22"/>
          <w:rtl/>
        </w:rPr>
        <w:t>»</w:t>
      </w:r>
      <w:r w:rsidRPr="00282AC9">
        <w:rPr>
          <w:rFonts w:ascii="Simplified Arabic" w:hAnsi="Simplified Arabic" w:cs="DanaFajr"/>
          <w:sz w:val="28"/>
          <w:szCs w:val="28"/>
          <w:rtl/>
        </w:rPr>
        <w:t>.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نظرية الإمامة: 38).</w:t>
      </w:r>
    </w:p>
  </w:endnote>
  <w:endnote w:id="912">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انفجرت خلال هذه المرحلة ثورات وانتفاضات شعبية مسلّ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حة كثيرة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كان من أبرزها ـ في عهد الإمام الرضا</w:t>
      </w:r>
      <w:r w:rsidRPr="00282AC9">
        <w:rPr>
          <w:rFonts w:cs="Mosawi" w:hint="cs"/>
          <w:rtl/>
        </w:rPr>
        <w:t>×</w:t>
      </w:r>
      <w:r w:rsidRPr="00282AC9">
        <w:rPr>
          <w:rFonts w:ascii="Simplified Arabic" w:hAnsi="Simplified Arabic" w:cs="DanaFajr"/>
          <w:sz w:val="28"/>
          <w:szCs w:val="28"/>
          <w:rtl/>
        </w:rPr>
        <w:t xml:space="preserve"> ـ</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ثورة ابن طباطبا في عام 199هــ</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وقد سم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ى البعض هذه الثورة باسم قائدها العسكري أبي السرايا.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مقاتل الطالبي</w:t>
      </w:r>
      <w:r w:rsidRPr="00282AC9">
        <w:rPr>
          <w:rFonts w:ascii="Simplified Arabic" w:hAnsi="Simplified Arabic" w:cs="DanaFajr" w:hint="cs"/>
          <w:sz w:val="28"/>
          <w:szCs w:val="28"/>
          <w:rtl/>
        </w:rPr>
        <w:t>ي</w:t>
      </w:r>
      <w:r w:rsidRPr="00282AC9">
        <w:rPr>
          <w:rFonts w:ascii="Simplified Arabic" w:hAnsi="Simplified Arabic" w:cs="DanaFajr"/>
          <w:sz w:val="28"/>
          <w:szCs w:val="28"/>
          <w:rtl/>
        </w:rPr>
        <w:t>ن: 540).</w:t>
      </w:r>
    </w:p>
  </w:endnote>
  <w:endnote w:id="913">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نحن نعتقد أن الحكم الذي يقيم بنيانه النفسي والسلوكي والثقافي على قاعدة الحديد والنار ليست له 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شرعية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بالمعنى الديني والأخلاقي والوجودي الإنساني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لأنّ صفة الشرعي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لا تكون صلبة (في هذا المجال)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إلا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عندما يرتكز النظام ـ 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نظام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ـ على شرعي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الناس، أي على القو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الجماهيرية والشعبية في الجانب العملي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وعلى عناصر التكوين الثقافي في الجانب النظري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وأما على مستوى النظرية الإسلامية في الحكم والممارسة فإننا نعتقد أن الشرعية تقوم على قاعدة الفكر الإسلامي الأصيل (نظري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 والقو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الشعبية عملي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أي الحكومة الإسلامية المنت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خ</w:t>
      </w:r>
      <w:r w:rsidRPr="00282AC9">
        <w:rPr>
          <w:rFonts w:ascii="Simplified Arabic" w:hAnsi="Simplified Arabic" w:cs="DanaFajr" w:hint="cs"/>
          <w:sz w:val="28"/>
          <w:szCs w:val="28"/>
          <w:rtl/>
        </w:rPr>
        <w:t>َ</w:t>
      </w:r>
      <w:r w:rsidRPr="00282AC9">
        <w:rPr>
          <w:rFonts w:ascii="Simplified Arabic" w:hAnsi="Simplified Arabic" w:cs="DanaFajr"/>
          <w:sz w:val="28"/>
          <w:szCs w:val="28"/>
          <w:rtl/>
        </w:rPr>
        <w:t>بة بطريقة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شعبي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ح</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p>
  </w:endnote>
  <w:endnote w:id="914">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w:t>
      </w:r>
      <w:r w:rsidRPr="00282AC9">
        <w:rPr>
          <w:rFonts w:ascii="Simplified Arabic" w:hAnsi="Simplified Arabic" w:cs="DanaFajr"/>
          <w:sz w:val="28"/>
          <w:szCs w:val="28"/>
          <w:rtl/>
        </w:rPr>
        <w:t>لدينوري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الإمامة والسياسة 2: 145.</w:t>
      </w:r>
    </w:p>
  </w:endnote>
  <w:endnote w:id="915">
    <w:p w:rsidR="00C14EDE" w:rsidRPr="00282AC9" w:rsidRDefault="00C14EDE" w:rsidP="00142A7C">
      <w:pPr>
        <w:pStyle w:val="af7"/>
        <w:spacing w:line="296" w:lineRule="exact"/>
        <w:ind w:firstLine="0"/>
        <w:rPr>
          <w:rFonts w:ascii="Simplified Arabic" w:hAnsi="Simplified Arabic" w:cs="DanaFajr"/>
          <w:sz w:val="28"/>
          <w:szCs w:val="28"/>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تاريخ الطبري 6: 331.</w:t>
      </w:r>
    </w:p>
  </w:endnote>
  <w:endnote w:id="916">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xml:space="preserve">) ابن الأثير، الكامل في التاريخ 6: 173. </w:t>
      </w:r>
    </w:p>
  </w:endnote>
  <w:endnote w:id="917">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عرف عن المأمون دهاؤه وحنكته السياسية، وقدرته على التلو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 والمجاملة. جاء في كتاب العقد الفريد لابن عبد رب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 1</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 xml:space="preserve">123: </w:t>
      </w:r>
      <w:r w:rsidRPr="00282AC9">
        <w:rPr>
          <w:rFonts w:hint="eastAsia"/>
          <w:sz w:val="22"/>
          <w:szCs w:val="22"/>
          <w:rtl/>
        </w:rPr>
        <w:t>«</w:t>
      </w:r>
      <w:r w:rsidRPr="00282AC9">
        <w:rPr>
          <w:rFonts w:ascii="Simplified Arabic" w:hAnsi="Simplified Arabic" w:cs="DanaFajr"/>
          <w:sz w:val="28"/>
          <w:szCs w:val="28"/>
          <w:rtl/>
        </w:rPr>
        <w:t>بيّ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 المأمون للفضل بن سهل أن أخاه الأمين كان يستطيع أن ينتصر عليه</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لو أنه أرسل إلى أهل البلاد التي يحكمها يخبرهم أنه قد رفع عنهم الخراج إلى سنة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فحينئذ</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لم يقبل المأمون قامت الدنيا ضد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 وإن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قبل لم يج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ما يعطي الجند، فيقومون ضد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وفي كل</w:t>
      </w:r>
      <w:r w:rsidRPr="00282AC9">
        <w:rPr>
          <w:rFonts w:ascii="Simplified Arabic" w:hAnsi="Simplified Arabic" w:cs="DanaFajr" w:hint="cs"/>
          <w:sz w:val="28"/>
          <w:szCs w:val="28"/>
          <w:rtl/>
        </w:rPr>
        <w:t>ت</w:t>
      </w:r>
      <w:r w:rsidRPr="00282AC9">
        <w:rPr>
          <w:rFonts w:ascii="Simplified Arabic" w:hAnsi="Simplified Arabic" w:cs="DanaFajr"/>
          <w:sz w:val="28"/>
          <w:szCs w:val="28"/>
          <w:rtl/>
        </w:rPr>
        <w:t>ا الحالتين يكون النصر للأمين، لو وقع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بينهم الحرب. فحمد الفضل رب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 على أنه لم يه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لأمين وأتباعه إلى هذا الرأي</w:t>
      </w:r>
      <w:r w:rsidRPr="00282AC9">
        <w:rPr>
          <w:rFonts w:hint="eastAsia"/>
          <w:sz w:val="22"/>
          <w:szCs w:val="22"/>
          <w:rtl/>
        </w:rPr>
        <w:t>»</w:t>
      </w:r>
      <w:r w:rsidRPr="00282AC9">
        <w:rPr>
          <w:rFonts w:ascii="Simplified Arabic" w:hAnsi="Simplified Arabic" w:cs="DanaFajr"/>
          <w:sz w:val="28"/>
          <w:szCs w:val="28"/>
          <w:rtl/>
        </w:rPr>
        <w:t xml:space="preserve">. </w:t>
      </w:r>
    </w:p>
  </w:endnote>
  <w:endnote w:id="918">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نحن لا نريد أن ننظر إلى الأمور من زاوية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خاصة أو من معيار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ومنظار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واحد، بل من زوايا ومعايير متعد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فالمأمون كانت لديه (إلى جانب امتلاكه لتلك الصفات السلبية) مواصفات إيجابي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منها: العزم، والعلم، والحنكة، وحسن التدبير، وظّ</w:t>
      </w:r>
      <w:r w:rsidRPr="00282AC9">
        <w:rPr>
          <w:rFonts w:ascii="Simplified Arabic" w:hAnsi="Simplified Arabic" w:cs="DanaFajr" w:hint="cs"/>
          <w:sz w:val="28"/>
          <w:szCs w:val="28"/>
          <w:rtl/>
        </w:rPr>
        <w:t>َ</w:t>
      </w:r>
      <w:r w:rsidRPr="00282AC9">
        <w:rPr>
          <w:rFonts w:ascii="Simplified Arabic" w:hAnsi="Simplified Arabic" w:cs="DanaFajr"/>
          <w:sz w:val="28"/>
          <w:szCs w:val="28"/>
          <w:rtl/>
        </w:rPr>
        <w:t>فها 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ها ـ للأسف ـ في اتجاه تكريس زعامته وسلطته الدنيوية.</w:t>
      </w:r>
    </w:p>
  </w:endnote>
  <w:endnote w:id="919">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أوكلَ المأمون أمر تنفيذ هذه المهم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إلى جلاوزته وجلا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ديه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الذين أمعنوا قتلاً وتشريداً وتنكيلاً بالسادة العلوي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ين.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بهذا الخصوص: الرسالة التي بعثها الخوارزمي إلى أهالي نيشابور، والتي تحد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ث فيها باستفاضة عن ضروب الم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ح</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 والبلايا والشرور التي ألحق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ها الإدارة العب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اسية بالعلويين. ويمكن متابعة نص</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هذه الرسالة في الكتب التالية: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لقرشي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حياة </w:t>
      </w:r>
      <w:r w:rsidRPr="00282AC9">
        <w:rPr>
          <w:rFonts w:ascii="Simplified Arabic" w:hAnsi="Simplified Arabic" w:cs="DanaFajr" w:hint="cs"/>
          <w:sz w:val="28"/>
          <w:szCs w:val="28"/>
          <w:rtl/>
        </w:rPr>
        <w:t xml:space="preserve">الإمام </w:t>
      </w:r>
      <w:r w:rsidRPr="00282AC9">
        <w:rPr>
          <w:rFonts w:ascii="Simplified Arabic" w:hAnsi="Simplified Arabic" w:cs="DanaFajr"/>
          <w:sz w:val="28"/>
          <w:szCs w:val="28"/>
          <w:rtl/>
        </w:rPr>
        <w:t>الرضا</w:t>
      </w:r>
      <w:r w:rsidRPr="00282AC9">
        <w:rPr>
          <w:rFonts w:cs="Mosawi" w:hint="cs"/>
          <w:rtl/>
        </w:rPr>
        <w:t>×</w:t>
      </w:r>
      <w:r w:rsidRPr="00282AC9">
        <w:rPr>
          <w:rFonts w:ascii="Simplified Arabic" w:hAnsi="Simplified Arabic" w:cs="DanaFajr"/>
          <w:sz w:val="28"/>
          <w:szCs w:val="28"/>
          <w:rtl/>
        </w:rPr>
        <w:t xml:space="preserve"> 2: 209؛ البداية والنهاية 10: 244؛ تاريخ اليعقوبي</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 xml:space="preserve">3: 173 ـ 174؛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لمسعودي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مروج الذهب 3: 432 ـ 440. </w:t>
      </w:r>
    </w:p>
  </w:endnote>
  <w:endnote w:id="920">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ما يستغرب الكثيرون هذا الحديث السلبي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المأمون) الذي يأتي هنا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بعد أن تحد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ثنا في مواضع سابقة عن ازدهار الحركة العلمية، وتطو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 النشاط الثقافي والانفتاح الفكري والحضاري في عهده، وتوس</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 حركة الترجمة والتعريب والنقل عن باقي الأمم والحضارات. ولإيضاح ذلك يمكننا أن نقول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إ</w:t>
      </w:r>
      <w:r w:rsidRPr="00282AC9">
        <w:rPr>
          <w:rFonts w:ascii="Simplified Arabic" w:hAnsi="Simplified Arabic" w:cs="DanaFajr"/>
          <w:sz w:val="28"/>
          <w:szCs w:val="28"/>
          <w:rtl/>
        </w:rPr>
        <w:t>ن أحد أسباب هذا الاستغراب يمكن أن يعود إلى طبيعة التأثيرات السلبية للأجواء النفسية والطبائع الفكرية والتاريخية الضاغطة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قد تجبرنا ـ في أحايين كثيرة ـ على أن نفك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 بالطريقة الحد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ية التقليدية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تجعلنا نقي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 الأحداث والأفكار والق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 والأشخاص والتاريخ من خلال اللونين الأبيض والأسود فقط</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(إما نعم بالمطلق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أو لا بالمطلق). فالمأمون كان حاكماً مفروضاً على صدر الأمة الإسلامية بقو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الغلبة وسيف القهر والغصب التاريخي اللاشرعي. وقد انطلق إلى الواقع الإسلامي، وحر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ك الكثير من مفاصله السياسية والعلمية والفكرية ضمن الخطوط والتوج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هات التي رسمها لنفسه (أو رسمت له) في هذا الجانب أو ذاك. لذلك كان من الطبيعي جد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اً أن تكون لحركته تلك ثمار عملية ونتائج ميدانية كثيرة وواسعة على </w:t>
      </w:r>
      <w:r w:rsidRPr="00282AC9">
        <w:rPr>
          <w:rFonts w:ascii="Simplified Arabic" w:hAnsi="Simplified Arabic" w:cs="DanaFajr" w:hint="cs"/>
          <w:sz w:val="28"/>
          <w:szCs w:val="28"/>
          <w:rtl/>
        </w:rPr>
        <w:t>النحوَيْن:</w:t>
      </w:r>
      <w:r w:rsidRPr="00282AC9">
        <w:rPr>
          <w:rFonts w:ascii="Simplified Arabic" w:hAnsi="Simplified Arabic" w:cs="DanaFajr"/>
          <w:sz w:val="28"/>
          <w:szCs w:val="28"/>
          <w:rtl/>
        </w:rPr>
        <w:t xml:space="preserve"> الإيجابي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والسلبي. من هنا أرى ضرورة أن نتعامل مع تاريخنا ـ كما ذك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نا</w:t>
      </w:r>
      <w:r w:rsidRPr="00282AC9">
        <w:rPr>
          <w:rFonts w:ascii="Simplified Arabic" w:hAnsi="Simplified Arabic" w:cs="DanaFajr"/>
          <w:sz w:val="28"/>
          <w:szCs w:val="28"/>
          <w:rtl/>
          <w:lang w:bidi="ar-SY"/>
        </w:rPr>
        <w:t xml:space="preserve"> ـ </w:t>
      </w:r>
      <w:r w:rsidRPr="00282AC9">
        <w:rPr>
          <w:rFonts w:ascii="Simplified Arabic" w:hAnsi="Simplified Arabic" w:cs="DanaFajr"/>
          <w:sz w:val="28"/>
          <w:szCs w:val="28"/>
          <w:rtl/>
        </w:rPr>
        <w:t>بشيء</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 العقلية المتدب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رة الواعية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تفك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 بطريقة الدوائر الفعلية المنتجة، وأن لا نختنق في الدهاليز الضي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 خلال تفكيرنا بطريقة الزوايا الحاد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أو الخطوط المنحنية والمنكسرة. أي يجب علينا أن نحاول دائماً ـ بكل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صدق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ومسؤولي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ـ التخل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ص من أساليب التفكير القديمة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تعتبر أن التاريخ مقد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س</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وإيجابي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بالمطلق.</w:t>
      </w:r>
    </w:p>
  </w:endnote>
  <w:endnote w:id="921">
    <w:p w:rsidR="00C14EDE" w:rsidRPr="00282AC9" w:rsidRDefault="00C14EDE" w:rsidP="00142A7C">
      <w:pPr>
        <w:pStyle w:val="aff"/>
        <w:spacing w:line="296" w:lineRule="exact"/>
        <w:jc w:val="both"/>
        <w:rPr>
          <w:rFonts w:ascii="Simplified Arabic" w:hAnsi="Simplified Arabic" w:cs="DanaFajr"/>
          <w:b w:val="0"/>
          <w:bCs w:val="0"/>
          <w:sz w:val="28"/>
          <w:szCs w:val="28"/>
        </w:rPr>
      </w:pPr>
      <w:r w:rsidRPr="00282AC9">
        <w:rPr>
          <w:rFonts w:ascii="Simplified Arabic" w:hAnsi="Simplified Arabic" w:cs="DanaFajr"/>
          <w:b w:val="0"/>
          <w:bCs w:val="0"/>
          <w:sz w:val="28"/>
          <w:szCs w:val="28"/>
          <w:rtl/>
        </w:rPr>
        <w:t>(</w:t>
      </w:r>
      <w:r w:rsidRPr="00282AC9">
        <w:rPr>
          <w:rStyle w:val="af9"/>
          <w:rFonts w:ascii="Simplified Arabic" w:hAnsi="Simplified Arabic" w:cs="DanaFajr"/>
          <w:b w:val="0"/>
          <w:bCs w:val="0"/>
          <w:sz w:val="28"/>
          <w:szCs w:val="28"/>
          <w:vertAlign w:val="baseline"/>
        </w:rPr>
        <w:endnoteRef/>
      </w:r>
      <w:r w:rsidRPr="00282AC9">
        <w:rPr>
          <w:rFonts w:ascii="Simplified Arabic" w:hAnsi="Simplified Arabic" w:cs="DanaFajr"/>
          <w:b w:val="0"/>
          <w:bCs w:val="0"/>
          <w:sz w:val="28"/>
          <w:szCs w:val="28"/>
          <w:rtl/>
        </w:rPr>
        <w:t>) لقد كانت علاقة الإمام الرضا</w:t>
      </w:r>
      <w:r w:rsidRPr="00282AC9">
        <w:rPr>
          <w:rFonts w:cs="Mosawi" w:hint="cs"/>
          <w:sz w:val="20"/>
          <w:szCs w:val="20"/>
          <w:rtl/>
        </w:rPr>
        <w:t>×</w:t>
      </w:r>
      <w:r w:rsidRPr="00282AC9">
        <w:rPr>
          <w:rFonts w:ascii="Simplified Arabic" w:hAnsi="Simplified Arabic" w:cs="DanaFajr"/>
          <w:b w:val="0"/>
          <w:bCs w:val="0"/>
          <w:sz w:val="28"/>
          <w:szCs w:val="28"/>
          <w:rtl/>
        </w:rPr>
        <w:t xml:space="preserve"> بالمأمون ـ قبل وأثناء ولاية العهد، وح</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تى استشهاده ـ متوت</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رة</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باستمرار</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وكانت تتقل</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ب ما بين مد</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وج</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ز</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ر</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بالرغم من محاولات المأمون إظهار محب</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ته له وللأئم</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ة</w:t>
      </w:r>
      <w:r w:rsidRPr="00282AC9">
        <w:rPr>
          <w:rFonts w:cs="Mosawi" w:hint="cs"/>
          <w:sz w:val="20"/>
          <w:szCs w:val="20"/>
          <w:rtl/>
        </w:rPr>
        <w:t>^</w:t>
      </w:r>
      <w:r w:rsidRPr="00282AC9">
        <w:rPr>
          <w:rFonts w:ascii="Simplified Arabic" w:hAnsi="Simplified Arabic" w:cs="DanaFajr"/>
          <w:b w:val="0"/>
          <w:bCs w:val="0"/>
          <w:sz w:val="28"/>
          <w:szCs w:val="28"/>
          <w:rtl/>
        </w:rPr>
        <w:t>، وس</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ع</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يه باتجاه عقد مجلس النظر والحوار التي كان يجمع فيها (المأمون) المخالفين لأهل البيت</w:t>
      </w:r>
      <w:r w:rsidRPr="00282AC9">
        <w:rPr>
          <w:rFonts w:cs="Mosawi" w:hint="cs"/>
          <w:sz w:val="20"/>
          <w:szCs w:val="20"/>
          <w:rtl/>
        </w:rPr>
        <w:t>^</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ليكل</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مهم عن فضائل الإمام علي</w:t>
      </w:r>
      <w:r w:rsidRPr="00282AC9">
        <w:rPr>
          <w:rFonts w:ascii="Simplified Arabic" w:hAnsi="Simplified Arabic" w:cs="DanaFajr" w:hint="cs"/>
          <w:b w:val="0"/>
          <w:bCs w:val="0"/>
          <w:sz w:val="28"/>
          <w:szCs w:val="28"/>
          <w:rtl/>
        </w:rPr>
        <w:t>ّ</w:t>
      </w:r>
      <w:r w:rsidRPr="00282AC9">
        <w:rPr>
          <w:rFonts w:cs="Mosawi" w:hint="cs"/>
          <w:sz w:val="20"/>
          <w:szCs w:val="20"/>
          <w:rtl/>
        </w:rPr>
        <w:t>×</w:t>
      </w:r>
      <w:r w:rsidRPr="00282AC9">
        <w:rPr>
          <w:rFonts w:ascii="Simplified Arabic" w:hAnsi="Simplified Arabic" w:cs="DanaFajr"/>
          <w:b w:val="0"/>
          <w:bCs w:val="0"/>
          <w:sz w:val="28"/>
          <w:szCs w:val="28"/>
          <w:rtl/>
        </w:rPr>
        <w:t>، مستدلا</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على أحق</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يته بالخلافة، وأفضلي</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ته بالحكم والقيادة.</w:t>
      </w:r>
    </w:p>
  </w:endnote>
  <w:endnote w:id="922">
    <w:p w:rsidR="00C14EDE" w:rsidRPr="00282AC9" w:rsidRDefault="00C14EDE" w:rsidP="00142A7C">
      <w:pPr>
        <w:pStyle w:val="18"/>
        <w:widowControl w:val="0"/>
        <w:spacing w:line="296" w:lineRule="exact"/>
        <w:ind w:left="0" w:firstLine="0"/>
        <w:jc w:val="both"/>
        <w:outlineLvl w:val="9"/>
        <w:rPr>
          <w:rFonts w:ascii="Simplified Arabic" w:hAnsi="Simplified Arabic" w:cs="DanaFajr"/>
          <w:b/>
          <w:bCs w:val="0"/>
          <w:color w:val="auto"/>
          <w:sz w:val="28"/>
        </w:rPr>
      </w:pPr>
      <w:r w:rsidRPr="00282AC9">
        <w:rPr>
          <w:rFonts w:ascii="Simplified Arabic" w:hAnsi="Simplified Arabic" w:cs="DanaFajr"/>
          <w:bCs w:val="0"/>
          <w:color w:val="auto"/>
          <w:sz w:val="28"/>
          <w:rtl/>
        </w:rPr>
        <w:t>(</w:t>
      </w:r>
      <w:r w:rsidRPr="00282AC9">
        <w:rPr>
          <w:rStyle w:val="af9"/>
          <w:rFonts w:ascii="Simplified Arabic" w:hAnsi="Simplified Arabic" w:cs="DanaFajr"/>
          <w:bCs w:val="0"/>
          <w:color w:val="auto"/>
          <w:sz w:val="28"/>
          <w:vertAlign w:val="baseline"/>
        </w:rPr>
        <w:endnoteRef/>
      </w:r>
      <w:r w:rsidRPr="00282AC9">
        <w:rPr>
          <w:rFonts w:ascii="Simplified Arabic" w:hAnsi="Simplified Arabic" w:cs="DanaFajr"/>
          <w:bCs w:val="0"/>
          <w:color w:val="auto"/>
          <w:sz w:val="28"/>
          <w:rtl/>
        </w:rPr>
        <w:t>) راج</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ع</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جرجي زيدان</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 xml:space="preserve"> تاريخ التمد</w:t>
      </w:r>
      <w:r w:rsidRPr="00282AC9">
        <w:rPr>
          <w:rFonts w:ascii="Simplified Arabic" w:hAnsi="Simplified Arabic" w:cs="DanaFajr" w:hint="cs"/>
          <w:bCs w:val="0"/>
          <w:color w:val="auto"/>
          <w:sz w:val="28"/>
          <w:rtl/>
        </w:rPr>
        <w:t>ُّ</w:t>
      </w:r>
      <w:r w:rsidRPr="00282AC9">
        <w:rPr>
          <w:rFonts w:ascii="Simplified Arabic" w:hAnsi="Simplified Arabic" w:cs="DanaFajr"/>
          <w:bCs w:val="0"/>
          <w:color w:val="auto"/>
          <w:sz w:val="28"/>
          <w:rtl/>
        </w:rPr>
        <w:t>ن الإسلامي 4</w:t>
      </w:r>
      <w:r w:rsidRPr="00282AC9">
        <w:rPr>
          <w:rFonts w:ascii="Simplified Arabic" w:hAnsi="Simplified Arabic" w:cs="DanaFajr" w:hint="cs"/>
          <w:bCs w:val="0"/>
          <w:color w:val="auto"/>
          <w:sz w:val="28"/>
          <w:rtl/>
        </w:rPr>
        <w:t xml:space="preserve">: </w:t>
      </w:r>
      <w:r w:rsidRPr="00282AC9">
        <w:rPr>
          <w:rFonts w:ascii="Simplified Arabic" w:hAnsi="Simplified Arabic" w:cs="DanaFajr"/>
          <w:bCs w:val="0"/>
          <w:color w:val="auto"/>
          <w:sz w:val="28"/>
          <w:rtl/>
        </w:rPr>
        <w:t>261.</w:t>
      </w:r>
    </w:p>
  </w:endnote>
  <w:endnote w:id="923">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نقلت خلال هذه الفترة ـ والفترة التي سبقتها ـ كتب الفلسفة والمنطق وأصول التفكير والمعتقدات المختلفة عن الحضارتين اليونانية والفارسية إلى اللغة العربية. ونشأت إثر ذلك حركة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علمية وفكرية دؤوبة ونشيطة، ترافق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 مع ظهور اندفاعات عقائدية قشرية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حاولت التست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 بالمنطق والفلسفة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توخ</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ياً لتحقيق مصالحها في تعميق روح التشكيك والإلحاد في المجتمع الإسلامي.</w:t>
      </w:r>
    </w:p>
  </w:endnote>
  <w:endnote w:id="924">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تمظه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 الأقوال والأفكار التي دع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إليها ومارستها تلك المذاهب والف</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 المنحرفة في حركة الواقع من خلال الأمور التالية:</w:t>
      </w:r>
    </w:p>
    <w:p w:rsidR="00C14EDE" w:rsidRPr="00282AC9" w:rsidRDefault="00C14EDE" w:rsidP="00142A7C">
      <w:pPr>
        <w:pStyle w:val="af7"/>
        <w:widowControl/>
        <w:spacing w:line="296" w:lineRule="exact"/>
        <w:ind w:firstLine="0"/>
        <w:rPr>
          <w:rFonts w:ascii="Simplified Arabic" w:hAnsi="Simplified Arabic" w:cs="DanaFajr"/>
          <w:sz w:val="28"/>
          <w:szCs w:val="28"/>
          <w:rtl/>
        </w:rPr>
      </w:pPr>
      <w:r w:rsidRPr="00282AC9">
        <w:rPr>
          <w:rFonts w:ascii="Simplified Arabic" w:hAnsi="Simplified Arabic" w:cs="DanaFajr" w:hint="cs"/>
          <w:sz w:val="28"/>
          <w:szCs w:val="28"/>
          <w:rtl/>
        </w:rPr>
        <w:t xml:space="preserve">1ـ </w:t>
      </w:r>
      <w:r w:rsidRPr="00282AC9">
        <w:rPr>
          <w:rFonts w:ascii="Simplified Arabic" w:hAnsi="Simplified Arabic" w:cs="DanaFajr"/>
          <w:sz w:val="28"/>
          <w:szCs w:val="28"/>
          <w:rtl/>
        </w:rPr>
        <w:t>انتشار الزندقة والتشكيك في العقائد الإسلامية.</w:t>
      </w:r>
    </w:p>
    <w:p w:rsidR="00C14EDE" w:rsidRPr="00282AC9" w:rsidRDefault="00C14EDE" w:rsidP="00142A7C">
      <w:pPr>
        <w:pStyle w:val="af7"/>
        <w:widowControl/>
        <w:spacing w:line="296" w:lineRule="exact"/>
        <w:ind w:firstLine="0"/>
        <w:rPr>
          <w:rFonts w:ascii="Simplified Arabic" w:hAnsi="Simplified Arabic" w:cs="DanaFajr"/>
          <w:sz w:val="28"/>
          <w:szCs w:val="28"/>
          <w:rtl/>
        </w:rPr>
      </w:pPr>
      <w:r w:rsidRPr="00282AC9">
        <w:rPr>
          <w:rFonts w:ascii="Simplified Arabic" w:hAnsi="Simplified Arabic" w:cs="DanaFajr" w:hint="cs"/>
          <w:sz w:val="28"/>
          <w:szCs w:val="28"/>
          <w:rtl/>
        </w:rPr>
        <w:t xml:space="preserve">2ـ </w:t>
      </w:r>
      <w:r w:rsidRPr="00282AC9">
        <w:rPr>
          <w:rFonts w:ascii="Simplified Arabic" w:hAnsi="Simplified Arabic" w:cs="DanaFajr"/>
          <w:sz w:val="28"/>
          <w:szCs w:val="28"/>
          <w:rtl/>
        </w:rPr>
        <w:t>الدعوة إلى تبني عقائد الجبر والتفويض، وفكرة التشبيه والتجسيم والغلو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(وتأليه أئم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أهل</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البيت).</w:t>
      </w:r>
    </w:p>
    <w:p w:rsidR="00C14EDE" w:rsidRPr="00282AC9" w:rsidRDefault="00C14EDE" w:rsidP="00142A7C">
      <w:pPr>
        <w:pStyle w:val="af7"/>
        <w:widowControl/>
        <w:spacing w:line="296" w:lineRule="exact"/>
        <w:ind w:firstLine="0"/>
        <w:rPr>
          <w:rFonts w:ascii="Simplified Arabic" w:hAnsi="Simplified Arabic" w:cs="DanaFajr"/>
          <w:sz w:val="28"/>
          <w:szCs w:val="28"/>
          <w:rtl/>
        </w:rPr>
      </w:pPr>
      <w:r w:rsidRPr="00282AC9">
        <w:rPr>
          <w:rFonts w:ascii="Simplified Arabic" w:hAnsi="Simplified Arabic" w:cs="DanaFajr" w:hint="cs"/>
          <w:sz w:val="28"/>
          <w:szCs w:val="28"/>
          <w:rtl/>
        </w:rPr>
        <w:t xml:space="preserve">3ـ </w:t>
      </w:r>
      <w:r w:rsidRPr="00282AC9">
        <w:rPr>
          <w:rFonts w:ascii="Simplified Arabic" w:hAnsi="Simplified Arabic" w:cs="DanaFajr"/>
          <w:sz w:val="28"/>
          <w:szCs w:val="28"/>
          <w:rtl/>
        </w:rPr>
        <w:t>ات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ساع نطاق ظاهرة التحل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 من الواجبات الشرعية.</w:t>
      </w:r>
    </w:p>
    <w:p w:rsidR="00C14EDE" w:rsidRPr="00282AC9" w:rsidRDefault="00C14EDE" w:rsidP="00142A7C">
      <w:pPr>
        <w:pStyle w:val="af7"/>
        <w:widowControl/>
        <w:spacing w:line="296" w:lineRule="exact"/>
        <w:ind w:firstLine="0"/>
        <w:rPr>
          <w:rFonts w:ascii="Simplified Arabic" w:hAnsi="Simplified Arabic" w:cs="DanaFajr"/>
          <w:sz w:val="28"/>
          <w:szCs w:val="28"/>
          <w:rtl/>
        </w:rPr>
      </w:pPr>
      <w:r w:rsidRPr="00282AC9">
        <w:rPr>
          <w:rFonts w:ascii="Simplified Arabic" w:hAnsi="Simplified Arabic" w:cs="DanaFajr" w:hint="cs"/>
          <w:sz w:val="28"/>
          <w:szCs w:val="28"/>
          <w:rtl/>
        </w:rPr>
        <w:t xml:space="preserve">4ـ </w:t>
      </w:r>
      <w:r w:rsidRPr="00282AC9">
        <w:rPr>
          <w:rFonts w:ascii="Simplified Arabic" w:hAnsi="Simplified Arabic" w:cs="DanaFajr"/>
          <w:sz w:val="28"/>
          <w:szCs w:val="28"/>
          <w:rtl/>
        </w:rPr>
        <w:t>توظيف النصوص المقد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سة لخدمة غايات سياسية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ومصالح وأجندات مرحلي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ضي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قة خاص</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p>
    <w:p w:rsidR="00C14EDE" w:rsidRPr="00282AC9" w:rsidRDefault="00C14EDE" w:rsidP="00142A7C">
      <w:pPr>
        <w:pStyle w:val="af7"/>
        <w:widowControl/>
        <w:spacing w:line="296" w:lineRule="exact"/>
        <w:ind w:firstLine="0"/>
        <w:rPr>
          <w:rFonts w:ascii="Simplified Arabic" w:hAnsi="Simplified Arabic" w:cs="DanaFajr"/>
          <w:sz w:val="28"/>
          <w:szCs w:val="28"/>
          <w:rtl/>
        </w:rPr>
      </w:pPr>
      <w:r w:rsidRPr="00282AC9">
        <w:rPr>
          <w:rFonts w:ascii="Simplified Arabic" w:hAnsi="Simplified Arabic" w:cs="DanaFajr" w:hint="cs"/>
          <w:sz w:val="28"/>
          <w:szCs w:val="28"/>
          <w:rtl/>
        </w:rPr>
        <w:t xml:space="preserve">5ـ </w:t>
      </w:r>
      <w:r w:rsidRPr="00282AC9">
        <w:rPr>
          <w:rFonts w:ascii="Simplified Arabic" w:hAnsi="Simplified Arabic" w:cs="DanaFajr"/>
          <w:sz w:val="28"/>
          <w:szCs w:val="28"/>
          <w:rtl/>
        </w:rPr>
        <w:t>ات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ساع ظاهرة الوضع والدس</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 التاريخ الإسلامي</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ومنها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ظاهرة اختلاق أحاديث، وشخصيات، وروايات غير موجودة أصلاً.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الكتب التالية: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لأميني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الغدير 5: 290؛ مؤتمر الإمام الصادق</w:t>
      </w:r>
      <w:r w:rsidRPr="00282AC9">
        <w:rPr>
          <w:rFonts w:cs="Mosawi" w:hint="cs"/>
          <w:rtl/>
        </w:rPr>
        <w:t>×</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282؛ الإمام موسى الكاظم</w:t>
      </w:r>
      <w:r w:rsidRPr="00282AC9">
        <w:rPr>
          <w:rFonts w:cs="Mosawi" w:hint="cs"/>
          <w:rtl/>
        </w:rPr>
        <w:t>×</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ألق الفكر وأصالة الانتماء: 40 ـ 42. </w:t>
      </w:r>
    </w:p>
  </w:endnote>
  <w:endnote w:id="925">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شاع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 عصر الإمام الرضا</w:t>
      </w:r>
      <w:r w:rsidRPr="00282AC9">
        <w:rPr>
          <w:rFonts w:cs="Mosawi" w:hint="cs"/>
          <w:rtl/>
        </w:rPr>
        <w:t>×</w:t>
      </w:r>
      <w:r w:rsidRPr="00282AC9">
        <w:rPr>
          <w:rFonts w:ascii="Simplified Arabic" w:hAnsi="Simplified Arabic" w:cs="DanaFajr"/>
          <w:sz w:val="28"/>
          <w:szCs w:val="28"/>
          <w:rtl/>
        </w:rPr>
        <w:t xml:space="preserve"> أجواء الحوار المعرفي، والسجال الفكري والمحاججات الثقافية بين مختلف التيارات الفكرية والفلسفية، وذلك في كثير من المواضيع العقائدية والبحوث الكلامية والفلسفية. ويمكن لم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يريد متابعة هذا الموضوع الرجوع إلى العديد من الكتب الخاص</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بذلك العصر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للوقوف أمام مظاهر التنو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 والحوار التي ات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سم بها ذلك العصر. </w:t>
      </w:r>
    </w:p>
  </w:endnote>
  <w:endnote w:id="926">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يروي المؤر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خون والرواة أن الإمام الرضا</w:t>
      </w:r>
      <w:r w:rsidRPr="00282AC9">
        <w:rPr>
          <w:rFonts w:cs="Mosawi" w:hint="cs"/>
          <w:rtl/>
        </w:rPr>
        <w:t>×</w:t>
      </w:r>
      <w:r w:rsidRPr="00282AC9">
        <w:rPr>
          <w:rFonts w:ascii="Simplified Arabic" w:hAnsi="Simplified Arabic" w:cs="DanaFajr"/>
          <w:sz w:val="28"/>
          <w:szCs w:val="28"/>
          <w:rtl/>
        </w:rPr>
        <w:t xml:space="preserve"> كان يكثر ليلاً من تلاوة القرآن، حت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ى وهو في فراشه، فإذا مرّ بآية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فيها ذكر الجنة أو النار بكى، وسأل الله الجن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وتعو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ذ به من النار.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عيون أخبار الرضا</w:t>
      </w:r>
      <w:r w:rsidRPr="00282AC9">
        <w:rPr>
          <w:rFonts w:cs="Mosawi" w:hint="cs"/>
          <w:rtl/>
        </w:rPr>
        <w:t>×</w:t>
      </w:r>
      <w:r w:rsidRPr="00282AC9">
        <w:rPr>
          <w:rFonts w:ascii="Simplified Arabic" w:hAnsi="Simplified Arabic" w:cs="DanaFajr"/>
          <w:sz w:val="28"/>
          <w:szCs w:val="28"/>
          <w:rtl/>
        </w:rPr>
        <w:t xml:space="preserve"> 2: 180.</w:t>
      </w:r>
    </w:p>
  </w:endnote>
  <w:endnote w:id="927">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مسند الإمام الرضا</w:t>
      </w:r>
      <w:r w:rsidRPr="00282AC9">
        <w:rPr>
          <w:rFonts w:cs="Mosawi" w:hint="cs"/>
          <w:rtl/>
        </w:rPr>
        <w:t>×</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1</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 xml:space="preserve">309؛ عيون </w:t>
      </w:r>
      <w:r w:rsidRPr="00282AC9">
        <w:rPr>
          <w:rFonts w:ascii="Simplified Arabic" w:hAnsi="Simplified Arabic" w:cs="DanaFajr" w:hint="cs"/>
          <w:sz w:val="28"/>
          <w:szCs w:val="28"/>
          <w:rtl/>
        </w:rPr>
        <w:t xml:space="preserve">أخبار </w:t>
      </w:r>
      <w:r w:rsidRPr="00282AC9">
        <w:rPr>
          <w:rFonts w:ascii="Simplified Arabic" w:hAnsi="Simplified Arabic" w:cs="DanaFajr"/>
          <w:sz w:val="28"/>
          <w:szCs w:val="28"/>
          <w:rtl/>
        </w:rPr>
        <w:t>الرضا</w:t>
      </w:r>
      <w:r w:rsidRPr="00282AC9">
        <w:rPr>
          <w:rFonts w:cs="Mosawi" w:hint="cs"/>
          <w:rtl/>
        </w:rPr>
        <w:t>×</w:t>
      </w:r>
      <w:r w:rsidRPr="00282AC9">
        <w:rPr>
          <w:rFonts w:ascii="Simplified Arabic" w:hAnsi="Simplified Arabic" w:cs="DanaFajr"/>
          <w:sz w:val="28"/>
          <w:szCs w:val="28"/>
          <w:rtl/>
        </w:rPr>
        <w:t xml:space="preserve"> 2: 130. </w:t>
      </w:r>
    </w:p>
  </w:endnote>
  <w:endnote w:id="928">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امتلك أهل البيت</w:t>
      </w:r>
      <w:r w:rsidRPr="00282AC9">
        <w:rPr>
          <w:rFonts w:cs="Mosawi" w:hint="cs"/>
          <w:rtl/>
        </w:rPr>
        <w:t>^</w:t>
      </w:r>
      <w:r w:rsidRPr="00282AC9">
        <w:rPr>
          <w:rFonts w:ascii="Simplified Arabic" w:hAnsi="Simplified Arabic" w:cs="DanaFajr"/>
          <w:sz w:val="28"/>
          <w:szCs w:val="28"/>
          <w:rtl/>
        </w:rPr>
        <w:t xml:space="preserve"> خصوصي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مميزة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تختلف عن 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خصوصية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يمكن أن تظهر في 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شخصي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إسلامية أخرى</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وهي خصوصي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هذا الارتباط العضوي المعنوي والمفاهيمي المتجد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 بين القرآن الكريم وبينهم</w:t>
      </w:r>
      <w:r w:rsidRPr="00282AC9">
        <w:rPr>
          <w:rFonts w:cs="Mosawi" w:hint="cs"/>
          <w:rtl/>
        </w:rPr>
        <w:t>^</w:t>
      </w:r>
      <w:r w:rsidRPr="00282AC9">
        <w:rPr>
          <w:rFonts w:ascii="Simplified Arabic" w:hAnsi="Simplified Arabic" w:cs="DanaFajr"/>
          <w:sz w:val="28"/>
          <w:szCs w:val="28"/>
          <w:rtl/>
        </w:rPr>
        <w:t>. وفي ذلك يقول الرسول</w:t>
      </w:r>
      <w:r w:rsidRPr="00282AC9">
        <w:rPr>
          <w:rFonts w:cs="Mosawi" w:hint="cs"/>
          <w:rtl/>
        </w:rPr>
        <w:t>|</w:t>
      </w:r>
      <w:r w:rsidRPr="00282AC9">
        <w:rPr>
          <w:rFonts w:ascii="Simplified Arabic" w:hAnsi="Simplified Arabic" w:cs="DanaFajr"/>
          <w:sz w:val="28"/>
          <w:szCs w:val="28"/>
          <w:rtl/>
        </w:rPr>
        <w:t xml:space="preserve">: </w:t>
      </w:r>
      <w:r w:rsidRPr="00282AC9">
        <w:rPr>
          <w:rFonts w:hint="eastAsia"/>
          <w:sz w:val="22"/>
          <w:szCs w:val="22"/>
          <w:rtl/>
        </w:rPr>
        <w:t>«</w:t>
      </w:r>
      <w:r w:rsidRPr="00282AC9">
        <w:rPr>
          <w:rFonts w:ascii="Simplified Arabic" w:hAnsi="Simplified Arabic" w:cs="DanaFajr"/>
          <w:sz w:val="28"/>
          <w:szCs w:val="28"/>
          <w:rtl/>
        </w:rPr>
        <w:t>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ها الناس</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إني تركتم فيكم ما </w:t>
      </w:r>
      <w:r w:rsidRPr="00282AC9">
        <w:rPr>
          <w:rFonts w:ascii="Simplified Arabic" w:hAnsi="Simplified Arabic" w:cs="DanaFajr" w:hint="cs"/>
          <w:sz w:val="28"/>
          <w:szCs w:val="28"/>
          <w:rtl/>
        </w:rPr>
        <w:t>إ</w:t>
      </w:r>
      <w:r w:rsidRPr="00282AC9">
        <w:rPr>
          <w:rFonts w:ascii="Simplified Arabic" w:hAnsi="Simplified Arabic" w:cs="DanaFajr"/>
          <w:sz w:val="28"/>
          <w:szCs w:val="28"/>
          <w:rtl/>
        </w:rPr>
        <w:t>ن تمس</w:t>
      </w:r>
      <w:r w:rsidRPr="00282AC9">
        <w:rPr>
          <w:rFonts w:ascii="Simplified Arabic" w:hAnsi="Simplified Arabic" w:cs="DanaFajr" w:hint="cs"/>
          <w:sz w:val="28"/>
          <w:szCs w:val="28"/>
          <w:rtl/>
        </w:rPr>
        <w:t>ّ</w:t>
      </w:r>
      <w:r w:rsidRPr="00282AC9">
        <w:rPr>
          <w:rFonts w:ascii="Simplified Arabic" w:hAnsi="Simplified Arabic" w:cs="DanaFajr"/>
          <w:sz w:val="28"/>
          <w:szCs w:val="28"/>
          <w:rtl/>
        </w:rPr>
        <w:t>كتم به لن تضلوا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كتاب الله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وعترتي أهل بيتي</w:t>
      </w:r>
      <w:r w:rsidRPr="00282AC9">
        <w:rPr>
          <w:rFonts w:hint="eastAsia"/>
          <w:sz w:val="22"/>
          <w:szCs w:val="22"/>
          <w:rtl/>
        </w:rPr>
        <w:t>»</w:t>
      </w:r>
      <w:r w:rsidRPr="00282AC9">
        <w:rPr>
          <w:rFonts w:ascii="Simplified Arabic" w:hAnsi="Simplified Arabic" w:cs="DanaFajr"/>
          <w:sz w:val="28"/>
          <w:szCs w:val="28"/>
          <w:rtl/>
        </w:rPr>
        <w:t>. بحار الأنوار 23: 118؛ كن</w:t>
      </w:r>
      <w:r w:rsidRPr="00282AC9">
        <w:rPr>
          <w:rFonts w:ascii="Simplified Arabic" w:hAnsi="Simplified Arabic" w:cs="DanaFajr" w:hint="cs"/>
          <w:sz w:val="28"/>
          <w:szCs w:val="28"/>
          <w:rtl/>
        </w:rPr>
        <w:t>ـ</w:t>
      </w:r>
      <w:r w:rsidRPr="00282AC9">
        <w:rPr>
          <w:rFonts w:ascii="Simplified Arabic" w:hAnsi="Simplified Arabic" w:cs="DanaFajr"/>
          <w:sz w:val="28"/>
          <w:szCs w:val="28"/>
          <w:rtl/>
        </w:rPr>
        <w:t>ز العم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ال في سنن الأقوال والأفعال </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قسم الأقوال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106.</w:t>
      </w:r>
    </w:p>
  </w:endnote>
  <w:endnote w:id="929">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السيد محمد حسين</w:t>
      </w:r>
      <w:r w:rsidRPr="00282AC9">
        <w:rPr>
          <w:rFonts w:ascii="Simplified Arabic" w:hAnsi="Simplified Arabic" w:cs="DanaFajr"/>
          <w:sz w:val="28"/>
          <w:szCs w:val="28"/>
          <w:rtl/>
          <w:lang w:bidi="ar-SY"/>
        </w:rPr>
        <w:t xml:space="preserve"> فضل الله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 رحاب أهل البيت</w:t>
      </w:r>
      <w:r w:rsidRPr="00282AC9">
        <w:rPr>
          <w:rFonts w:cs="Mosawi" w:hint="cs"/>
          <w:rtl/>
        </w:rPr>
        <w:t>^</w:t>
      </w:r>
      <w:r w:rsidRPr="00282AC9">
        <w:rPr>
          <w:rFonts w:ascii="Simplified Arabic" w:hAnsi="Simplified Arabic" w:cs="DanaFajr"/>
          <w:sz w:val="28"/>
          <w:szCs w:val="28"/>
          <w:rtl/>
        </w:rPr>
        <w:t>: 63.</w:t>
      </w:r>
    </w:p>
  </w:endnote>
  <w:endnote w:id="930">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عيون أخبار الرضا</w:t>
      </w:r>
      <w:r w:rsidRPr="00282AC9">
        <w:rPr>
          <w:rFonts w:cs="Mosawi" w:hint="cs"/>
          <w:rtl/>
        </w:rPr>
        <w:t>×</w:t>
      </w:r>
      <w:r w:rsidRPr="00282AC9">
        <w:rPr>
          <w:rFonts w:ascii="Simplified Arabic" w:hAnsi="Simplified Arabic" w:cs="DanaFajr"/>
          <w:sz w:val="28"/>
          <w:szCs w:val="28"/>
          <w:rtl/>
        </w:rPr>
        <w:t xml:space="preserve"> 2: 130.</w:t>
      </w:r>
    </w:p>
  </w:endnote>
  <w:endnote w:id="931">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من خلال أنه إذا نزل القرآنُ في واقعة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معي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نة ومحصورة بزمن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 فهذا لا يعني أن الواقعة ذاتها تمث</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 معنى الآية، بل تكون هذه (الآية) النموذج الذي يشير إلى 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النماذج المماثلة والمشابهة عبر 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التاريخ. وكذلك إذا نزل القرآن في شخص</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أو رمز</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معين فإن الشخص لا يمث</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 دلالة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موضوعية للآية فقط، ولكن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 يمث</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 العنوان والإطار العام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الذي يمكن أن ينفتح على 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العناوين في حركة الحياة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w:t>
      </w:r>
      <w:r w:rsidRPr="00282AC9">
        <w:rPr>
          <w:rFonts w:ascii="Simplified Arabic" w:hAnsi="Simplified Arabic" w:cs="DanaFajr" w:hint="cs"/>
          <w:sz w:val="28"/>
          <w:szCs w:val="28"/>
          <w:rtl/>
        </w:rPr>
        <w:t>أ</w:t>
      </w:r>
      <w:r w:rsidRPr="00282AC9">
        <w:rPr>
          <w:rFonts w:ascii="Simplified Arabic" w:hAnsi="Simplified Arabic" w:cs="DanaFajr"/>
          <w:sz w:val="28"/>
          <w:szCs w:val="28"/>
          <w:rtl/>
        </w:rPr>
        <w:t xml:space="preserve">ن القرآن كما قال </w:t>
      </w:r>
      <w:r w:rsidRPr="00282AC9">
        <w:rPr>
          <w:rFonts w:ascii="Simplified Arabic" w:hAnsi="Simplified Arabic" w:cs="DanaFajr" w:hint="cs"/>
          <w:sz w:val="28"/>
          <w:szCs w:val="28"/>
          <w:rtl/>
        </w:rPr>
        <w:t xml:space="preserve">الإمام </w:t>
      </w:r>
      <w:r w:rsidRPr="00282AC9">
        <w:rPr>
          <w:rFonts w:ascii="Simplified Arabic" w:hAnsi="Simplified Arabic" w:cs="DanaFajr"/>
          <w:sz w:val="28"/>
          <w:szCs w:val="28"/>
          <w:rtl/>
        </w:rPr>
        <w:t>الرضا</w:t>
      </w:r>
      <w:r w:rsidRPr="00282AC9">
        <w:rPr>
          <w:rFonts w:cs="Mosawi" w:hint="cs"/>
          <w:rtl/>
        </w:rPr>
        <w:t>×</w:t>
      </w:r>
      <w:r w:rsidRPr="00282AC9">
        <w:rPr>
          <w:rFonts w:ascii="Simplified Arabic" w:hAnsi="Simplified Arabic" w:cs="DanaFajr"/>
          <w:sz w:val="28"/>
          <w:szCs w:val="28"/>
          <w:rtl/>
        </w:rPr>
        <w:t xml:space="preserve">: </w:t>
      </w:r>
      <w:r w:rsidRPr="00282AC9">
        <w:rPr>
          <w:rFonts w:hint="eastAsia"/>
          <w:sz w:val="22"/>
          <w:szCs w:val="22"/>
          <w:rtl/>
        </w:rPr>
        <w:t>«</w:t>
      </w:r>
      <w:r w:rsidRPr="00282AC9">
        <w:rPr>
          <w:rFonts w:ascii="Simplified Arabic" w:hAnsi="Simplified Arabic" w:cs="DanaFajr"/>
          <w:sz w:val="28"/>
          <w:szCs w:val="28"/>
          <w:rtl/>
        </w:rPr>
        <w:t>لم ين</w:t>
      </w:r>
      <w:r w:rsidRPr="00282AC9">
        <w:rPr>
          <w:rFonts w:ascii="Simplified Arabic" w:hAnsi="Simplified Arabic" w:cs="DanaFajr" w:hint="cs"/>
          <w:sz w:val="28"/>
          <w:szCs w:val="28"/>
          <w:rtl/>
        </w:rPr>
        <w:t>ـ</w:t>
      </w:r>
      <w:r w:rsidRPr="00282AC9">
        <w:rPr>
          <w:rFonts w:ascii="Simplified Arabic" w:hAnsi="Simplified Arabic" w:cs="DanaFajr"/>
          <w:sz w:val="28"/>
          <w:szCs w:val="28"/>
          <w:rtl/>
        </w:rPr>
        <w:t>زله الله لزمان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دون زمان، ولا لناس</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دون ناس</w:t>
      </w:r>
      <w:r w:rsidRPr="00282AC9">
        <w:rPr>
          <w:rFonts w:hint="eastAsia"/>
          <w:sz w:val="22"/>
          <w:szCs w:val="22"/>
          <w:rtl/>
        </w:rPr>
        <w:t>»</w:t>
      </w:r>
      <w:r w:rsidRPr="00282AC9">
        <w:rPr>
          <w:rFonts w:ascii="Simplified Arabic" w:hAnsi="Simplified Arabic" w:cs="DanaFajr"/>
          <w:sz w:val="28"/>
          <w:szCs w:val="28"/>
          <w:rtl/>
        </w:rPr>
        <w:t xml:space="preserve">. وقد خاطب القرآن الناس جميعاً: </w:t>
      </w:r>
      <w:r w:rsidRPr="00282AC9">
        <w:rPr>
          <w:rFonts w:ascii="Mosawi" w:hAnsi="Mosawi" w:cs="Mosawi"/>
          <w:sz w:val="22"/>
          <w:szCs w:val="22"/>
          <w:rtl/>
        </w:rPr>
        <w:t>﴿</w:t>
      </w:r>
      <w:r w:rsidRPr="00282AC9">
        <w:rPr>
          <w:rFonts w:ascii="Simplified Arabic" w:hAnsi="Simplified Arabic" w:cs="DanaFajr"/>
          <w:b/>
          <w:bCs/>
          <w:sz w:val="28"/>
          <w:szCs w:val="28"/>
          <w:rtl/>
        </w:rPr>
        <w:t>ي</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ا أ</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ي</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ه</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ا الن</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اس</w:t>
      </w:r>
      <w:r w:rsidRPr="00282AC9">
        <w:rPr>
          <w:rFonts w:ascii="Simplified Arabic" w:hAnsi="Simplified Arabic" w:cs="DanaFajr" w:hint="cs"/>
          <w:b/>
          <w:bCs/>
          <w:sz w:val="28"/>
          <w:szCs w:val="28"/>
          <w:rtl/>
        </w:rPr>
        <w:t>ُ</w:t>
      </w:r>
      <w:r w:rsidRPr="00282AC9">
        <w:rPr>
          <w:rFonts w:ascii="Simplified Arabic" w:hAnsi="Simplified Arabic" w:cs="DanaFajr" w:hint="cs"/>
          <w:sz w:val="28"/>
          <w:szCs w:val="28"/>
          <w:rtl/>
        </w:rPr>
        <w:t>.</w:t>
      </w:r>
      <w:r w:rsidRPr="00282AC9">
        <w:rPr>
          <w:rFonts w:ascii="Simplified Arabic" w:hAnsi="Simplified Arabic" w:cs="DanaFajr"/>
          <w:sz w:val="28"/>
          <w:szCs w:val="28"/>
          <w:rtl/>
        </w:rPr>
        <w:t>..</w:t>
      </w:r>
      <w:r w:rsidRPr="00282AC9">
        <w:rPr>
          <w:rFonts w:ascii="Mosawi" w:hAnsi="Mosawi" w:cs="Mosawi"/>
          <w:sz w:val="22"/>
          <w:szCs w:val="22"/>
          <w:rtl/>
        </w:rPr>
        <w:t>﴾</w:t>
      </w:r>
      <w:r w:rsidRPr="00282AC9">
        <w:rPr>
          <w:rFonts w:ascii="Simplified Arabic" w:hAnsi="Simplified Arabic" w:cs="DanaFajr"/>
          <w:sz w:val="28"/>
          <w:szCs w:val="28"/>
          <w:rtl/>
        </w:rPr>
        <w:t>، وخاطب المؤمنين في 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زمان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ومكان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Mosawi" w:hAnsi="Mosawi" w:cs="Mosawi"/>
          <w:sz w:val="22"/>
          <w:szCs w:val="22"/>
          <w:rtl/>
        </w:rPr>
        <w:t>﴿</w:t>
      </w:r>
      <w:r w:rsidRPr="00282AC9">
        <w:rPr>
          <w:rFonts w:ascii="Simplified Arabic" w:hAnsi="Simplified Arabic" w:cs="DanaFajr"/>
          <w:b/>
          <w:bCs/>
          <w:sz w:val="28"/>
          <w:szCs w:val="28"/>
          <w:rtl/>
        </w:rPr>
        <w:t>ي</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ا أ</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ي</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ه</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ا ال</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ذ</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ين</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 xml:space="preserve"> آم</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ن</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وا</w:t>
      </w:r>
      <w:r w:rsidRPr="00282AC9">
        <w:rPr>
          <w:rFonts w:ascii="Simplified Arabic" w:hAnsi="Simplified Arabic" w:cs="DanaFajr"/>
          <w:sz w:val="28"/>
          <w:szCs w:val="28"/>
          <w:rtl/>
        </w:rPr>
        <w:t>.</w:t>
      </w:r>
      <w:r w:rsidRPr="00282AC9">
        <w:rPr>
          <w:rFonts w:ascii="Simplified Arabic" w:hAnsi="Simplified Arabic" w:cs="DanaFajr" w:hint="cs"/>
          <w:sz w:val="28"/>
          <w:szCs w:val="28"/>
          <w:rtl/>
        </w:rPr>
        <w:t>.</w:t>
      </w:r>
      <w:r w:rsidRPr="00282AC9">
        <w:rPr>
          <w:rFonts w:ascii="Simplified Arabic" w:hAnsi="Simplified Arabic" w:cs="DanaFajr"/>
          <w:sz w:val="28"/>
          <w:szCs w:val="28"/>
          <w:rtl/>
        </w:rPr>
        <w:t>.</w:t>
      </w:r>
      <w:r w:rsidRPr="00282AC9">
        <w:rPr>
          <w:rFonts w:ascii="Mosawi" w:hAnsi="Mosawi" w:cs="Mosawi"/>
          <w:sz w:val="22"/>
          <w:szCs w:val="22"/>
          <w:rtl/>
        </w:rPr>
        <w:t>﴾</w:t>
      </w:r>
      <w:r w:rsidRPr="00282AC9">
        <w:rPr>
          <w:rFonts w:ascii="Simplified Arabic" w:hAnsi="Simplified Arabic" w:cs="DanaFajr"/>
          <w:sz w:val="28"/>
          <w:szCs w:val="28"/>
          <w:rtl/>
        </w:rPr>
        <w:t>.</w:t>
      </w:r>
    </w:p>
  </w:endnote>
  <w:endnote w:id="932">
    <w:p w:rsidR="00C14EDE" w:rsidRPr="00282AC9" w:rsidRDefault="00C14EDE" w:rsidP="00142A7C">
      <w:pPr>
        <w:pStyle w:val="af7"/>
        <w:spacing w:line="296" w:lineRule="exact"/>
        <w:ind w:firstLine="0"/>
        <w:rPr>
          <w:rFonts w:ascii="Simplified Arabic" w:hAnsi="Simplified Arabic" w:cs="DanaFajr"/>
          <w:sz w:val="28"/>
          <w:szCs w:val="28"/>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م</w:t>
      </w:r>
      <w:r w:rsidRPr="00282AC9">
        <w:rPr>
          <w:rFonts w:ascii="Simplified Arabic" w:hAnsi="Simplified Arabic" w:cs="DanaFajr" w:hint="cs"/>
          <w:sz w:val="28"/>
          <w:szCs w:val="28"/>
          <w:rtl/>
        </w:rPr>
        <w:t>سند</w:t>
      </w:r>
      <w:r w:rsidRPr="00282AC9">
        <w:rPr>
          <w:rFonts w:ascii="Simplified Arabic" w:hAnsi="Simplified Arabic" w:cs="DanaFajr"/>
          <w:sz w:val="28"/>
          <w:szCs w:val="28"/>
          <w:rtl/>
        </w:rPr>
        <w:t xml:space="preserve"> الإمام الرضا</w:t>
      </w:r>
      <w:r w:rsidRPr="00282AC9">
        <w:rPr>
          <w:rFonts w:cs="Mosawi" w:hint="cs"/>
          <w:rtl/>
        </w:rPr>
        <w:t>×</w:t>
      </w:r>
      <w:r w:rsidRPr="00282AC9">
        <w:rPr>
          <w:rFonts w:ascii="Simplified Arabic" w:hAnsi="Simplified Arabic" w:cs="DanaFajr" w:hint="cs"/>
          <w:sz w:val="28"/>
          <w:szCs w:val="28"/>
          <w:rtl/>
        </w:rPr>
        <w:t xml:space="preserve"> 1: 309.</w:t>
      </w:r>
    </w:p>
  </w:endnote>
  <w:endnote w:id="933">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w:t>
      </w:r>
      <w:r w:rsidRPr="00282AC9">
        <w:rPr>
          <w:rFonts w:ascii="Simplified Arabic" w:hAnsi="Simplified Arabic" w:cs="DanaFajr"/>
          <w:sz w:val="28"/>
          <w:szCs w:val="28"/>
          <w:rtl/>
        </w:rPr>
        <w:t xml:space="preserve">لسيد </w:t>
      </w:r>
      <w:r w:rsidRPr="00282AC9">
        <w:rPr>
          <w:rFonts w:ascii="Simplified Arabic" w:hAnsi="Simplified Arabic" w:cs="DanaFajr" w:hint="cs"/>
          <w:sz w:val="28"/>
          <w:szCs w:val="28"/>
          <w:rtl/>
        </w:rPr>
        <w:t xml:space="preserve">محمد حسين </w:t>
      </w:r>
      <w:r w:rsidRPr="00282AC9">
        <w:rPr>
          <w:rFonts w:ascii="Simplified Arabic" w:hAnsi="Simplified Arabic" w:cs="DanaFajr"/>
          <w:sz w:val="28"/>
          <w:szCs w:val="28"/>
          <w:rtl/>
        </w:rPr>
        <w:t>فضل الله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كتاب الندوة 4: 198.</w:t>
      </w:r>
    </w:p>
  </w:endnote>
  <w:endnote w:id="934">
    <w:p w:rsidR="00C14EDE" w:rsidRPr="00282AC9" w:rsidRDefault="00C14EDE" w:rsidP="00142A7C">
      <w:pPr>
        <w:pStyle w:val="af7"/>
        <w:spacing w:line="296" w:lineRule="exact"/>
        <w:ind w:firstLine="0"/>
        <w:rPr>
          <w:rFonts w:ascii="Simplified Arabic" w:hAnsi="Simplified Arabic" w:cs="DanaFajr"/>
          <w:sz w:val="28"/>
          <w:szCs w:val="28"/>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w:t>
      </w:r>
      <w:r w:rsidRPr="00282AC9">
        <w:rPr>
          <w:rFonts w:ascii="Simplified Arabic" w:hAnsi="Simplified Arabic" w:cs="DanaFajr"/>
          <w:sz w:val="28"/>
          <w:szCs w:val="28"/>
          <w:rtl/>
        </w:rPr>
        <w:t>لشيخ الصدوق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عيون أخبار الرضا</w:t>
      </w:r>
      <w:r w:rsidRPr="00282AC9">
        <w:rPr>
          <w:rFonts w:cs="Mosawi" w:hint="cs"/>
          <w:rtl/>
        </w:rPr>
        <w:t>×</w:t>
      </w:r>
      <w:r w:rsidRPr="00282AC9">
        <w:rPr>
          <w:rFonts w:ascii="Simplified Arabic" w:hAnsi="Simplified Arabic" w:cs="DanaFajr"/>
          <w:sz w:val="28"/>
          <w:szCs w:val="28"/>
          <w:rtl/>
        </w:rPr>
        <w:t xml:space="preserve"> 2: 121.</w:t>
      </w:r>
    </w:p>
  </w:endnote>
  <w:endnote w:id="935">
    <w:p w:rsidR="00C14EDE" w:rsidRPr="00282AC9" w:rsidRDefault="00C14EDE" w:rsidP="00142A7C">
      <w:pPr>
        <w:pStyle w:val="af7"/>
        <w:spacing w:line="296" w:lineRule="exact"/>
        <w:ind w:firstLine="0"/>
        <w:rPr>
          <w:rFonts w:ascii="Simplified Arabic" w:hAnsi="Simplified Arabic" w:cs="DanaFajr"/>
          <w:sz w:val="28"/>
          <w:szCs w:val="28"/>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المصدر السابق</w:t>
      </w:r>
      <w:r w:rsidRPr="00282AC9">
        <w:rPr>
          <w:rFonts w:ascii="Simplified Arabic" w:hAnsi="Simplified Arabic" w:cs="DanaFajr"/>
          <w:sz w:val="28"/>
          <w:szCs w:val="28"/>
          <w:rtl/>
        </w:rPr>
        <w:t xml:space="preserve"> 1: 123. </w:t>
      </w:r>
    </w:p>
  </w:endnote>
  <w:endnote w:id="936">
    <w:p w:rsidR="00C14EDE" w:rsidRPr="00282AC9" w:rsidRDefault="00C14EDE" w:rsidP="00142A7C">
      <w:pPr>
        <w:pStyle w:val="af7"/>
        <w:spacing w:line="296" w:lineRule="exact"/>
        <w:ind w:firstLine="0"/>
        <w:rPr>
          <w:rFonts w:ascii="Simplified Arabic" w:hAnsi="Simplified Arabic" w:cs="DanaFajr"/>
          <w:sz w:val="28"/>
          <w:szCs w:val="28"/>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lang w:bidi="ar-SY"/>
        </w:rPr>
        <w:t>المصدر السابق</w:t>
      </w:r>
      <w:r w:rsidRPr="00282AC9">
        <w:rPr>
          <w:rFonts w:ascii="Simplified Arabic" w:hAnsi="Simplified Arabic" w:cs="DanaFajr"/>
          <w:sz w:val="28"/>
          <w:szCs w:val="28"/>
          <w:rtl/>
          <w:lang w:bidi="ar-SY"/>
        </w:rPr>
        <w:t xml:space="preserve"> 1: 114.</w:t>
      </w:r>
    </w:p>
  </w:endnote>
  <w:endnote w:id="937">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الصدوق، عيون أخبار الرضا</w:t>
      </w:r>
      <w:r w:rsidRPr="00282AC9">
        <w:rPr>
          <w:rFonts w:cs="Mosawi" w:hint="cs"/>
          <w:rtl/>
        </w:rPr>
        <w:t>×</w:t>
      </w:r>
      <w:r w:rsidRPr="00282AC9">
        <w:rPr>
          <w:rFonts w:ascii="Simplified Arabic" w:hAnsi="Simplified Arabic" w:cs="DanaFajr"/>
          <w:sz w:val="28"/>
          <w:szCs w:val="28"/>
          <w:rtl/>
        </w:rPr>
        <w:t xml:space="preserve"> 1: 144. </w:t>
      </w:r>
    </w:p>
  </w:endnote>
  <w:endnote w:id="938">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يمكن مراجعة الكثير من المصادر التاريخية التي استفاض</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 الحديث عن أجوبة الإمام الرضا</w:t>
      </w:r>
      <w:r w:rsidRPr="00282AC9">
        <w:rPr>
          <w:rFonts w:cs="Mosawi" w:hint="cs"/>
          <w:rtl/>
        </w:rPr>
        <w:t>×</w:t>
      </w:r>
      <w:r w:rsidRPr="00282AC9">
        <w:rPr>
          <w:rFonts w:ascii="Simplified Arabic" w:hAnsi="Simplified Arabic" w:cs="DanaFajr"/>
          <w:sz w:val="28"/>
          <w:szCs w:val="28"/>
          <w:rtl/>
        </w:rPr>
        <w:t xml:space="preserve"> ومناظراته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 مجالات المعرفة الإنسانية المختلفة (القرآن، التاريخ، الفلسفة، المنطق، علم الكلام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إلخ)</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 xml:space="preserve">القرشي، حياة </w:t>
      </w:r>
      <w:r w:rsidRPr="00282AC9">
        <w:rPr>
          <w:rFonts w:ascii="Simplified Arabic" w:hAnsi="Simplified Arabic" w:cs="DanaFajr"/>
          <w:sz w:val="28"/>
          <w:szCs w:val="28"/>
          <w:rtl/>
        </w:rPr>
        <w:t>الإمام الرضا</w:t>
      </w:r>
      <w:r w:rsidRPr="00282AC9">
        <w:rPr>
          <w:rFonts w:cs="Mosawi" w:hint="cs"/>
          <w:rtl/>
        </w:rPr>
        <w:t>×</w:t>
      </w:r>
      <w:r w:rsidRPr="00282AC9">
        <w:rPr>
          <w:rFonts w:ascii="Simplified Arabic" w:hAnsi="Simplified Arabic" w:cs="DanaFajr"/>
          <w:sz w:val="28"/>
          <w:szCs w:val="28"/>
          <w:rtl/>
        </w:rPr>
        <w:t xml:space="preserve"> 1: 102؛ عيون أخبار الرضا</w:t>
      </w:r>
      <w:r w:rsidRPr="00282AC9">
        <w:rPr>
          <w:rFonts w:cs="Mosawi" w:hint="cs"/>
          <w:rtl/>
        </w:rPr>
        <w:t>×</w:t>
      </w:r>
      <w:r w:rsidRPr="00282AC9">
        <w:rPr>
          <w:rFonts w:ascii="Simplified Arabic" w:hAnsi="Simplified Arabic" w:cs="DanaFajr"/>
          <w:sz w:val="28"/>
          <w:szCs w:val="28"/>
          <w:rtl/>
        </w:rPr>
        <w:t xml:space="preserve"> 2: 100</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وغيرها.</w:t>
      </w:r>
    </w:p>
  </w:endnote>
  <w:endnote w:id="939">
    <w:p w:rsidR="00C14EDE" w:rsidRPr="00282AC9" w:rsidRDefault="00C14EDE" w:rsidP="00142A7C">
      <w:pPr>
        <w:pStyle w:val="aff"/>
        <w:spacing w:line="296" w:lineRule="exact"/>
        <w:jc w:val="both"/>
        <w:rPr>
          <w:rFonts w:ascii="Simplified Arabic" w:hAnsi="Simplified Arabic" w:cs="DanaFajr"/>
          <w:b w:val="0"/>
          <w:bCs w:val="0"/>
          <w:sz w:val="28"/>
          <w:szCs w:val="28"/>
        </w:rPr>
      </w:pPr>
      <w:r w:rsidRPr="00282AC9">
        <w:rPr>
          <w:rFonts w:ascii="Simplified Arabic" w:hAnsi="Simplified Arabic" w:cs="DanaFajr"/>
          <w:b w:val="0"/>
          <w:bCs w:val="0"/>
          <w:sz w:val="28"/>
          <w:szCs w:val="28"/>
          <w:rtl/>
        </w:rPr>
        <w:t>(</w:t>
      </w:r>
      <w:r w:rsidRPr="00282AC9">
        <w:rPr>
          <w:rStyle w:val="af9"/>
          <w:rFonts w:ascii="Simplified Arabic" w:hAnsi="Simplified Arabic" w:cs="DanaFajr"/>
          <w:b w:val="0"/>
          <w:bCs w:val="0"/>
          <w:sz w:val="28"/>
          <w:szCs w:val="28"/>
          <w:vertAlign w:val="baseline"/>
        </w:rPr>
        <w:endnoteRef/>
      </w:r>
      <w:r w:rsidRPr="00282AC9">
        <w:rPr>
          <w:rFonts w:ascii="Simplified Arabic" w:hAnsi="Simplified Arabic" w:cs="DanaFajr"/>
          <w:b w:val="0"/>
          <w:bCs w:val="0"/>
          <w:sz w:val="28"/>
          <w:szCs w:val="28"/>
          <w:rtl/>
        </w:rPr>
        <w:t>) ولا يخفى على أحد أنه كانت للمأمون ـ من وراء عقد تلك الندوات والمناظرات الفكرية بين كبار العلماء والفقهاء والمثقفين ـ أهداف</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سياسية مبي</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ت</w:t>
      </w:r>
      <w:r w:rsidRPr="00282AC9">
        <w:rPr>
          <w:rFonts w:ascii="Simplified Arabic" w:hAnsi="Simplified Arabic" w:cs="DanaFajr" w:hint="cs"/>
          <w:b w:val="0"/>
          <w:bCs w:val="0"/>
          <w:sz w:val="28"/>
          <w:szCs w:val="28"/>
          <w:rtl/>
        </w:rPr>
        <w:t>ة؛</w:t>
      </w:r>
      <w:r w:rsidRPr="00282AC9">
        <w:rPr>
          <w:rFonts w:ascii="Simplified Arabic" w:hAnsi="Simplified Arabic" w:cs="DanaFajr"/>
          <w:b w:val="0"/>
          <w:bCs w:val="0"/>
          <w:sz w:val="28"/>
          <w:szCs w:val="28"/>
          <w:rtl/>
        </w:rPr>
        <w:t xml:space="preserve"> فقد أراد أن يظهر حب</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ه للعلم والعلماء</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ليمي</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ز نفسه عن سائر خلفاء العباسيين</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وفي الوقت نفسه كان يعمل دائماً على الإيقاع بالإمام الرضا</w:t>
      </w:r>
      <w:r w:rsidRPr="00282AC9">
        <w:rPr>
          <w:rFonts w:cs="Mosawi" w:hint="cs"/>
          <w:sz w:val="20"/>
          <w:szCs w:val="20"/>
          <w:rtl/>
        </w:rPr>
        <w:t>×</w:t>
      </w:r>
      <w:r w:rsidRPr="00282AC9">
        <w:rPr>
          <w:rFonts w:ascii="Simplified Arabic" w:hAnsi="Simplified Arabic" w:cs="DanaFajr"/>
          <w:b w:val="0"/>
          <w:bCs w:val="0"/>
          <w:sz w:val="28"/>
          <w:szCs w:val="28"/>
          <w:rtl/>
        </w:rPr>
        <w:t>، وحشره في هكذا مناظرات</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من أجل أن يزيل تلك المن</w:t>
      </w:r>
      <w:r w:rsidRPr="00282AC9">
        <w:rPr>
          <w:rFonts w:ascii="Simplified Arabic" w:hAnsi="Simplified Arabic" w:cs="DanaFajr" w:hint="cs"/>
          <w:b w:val="0"/>
          <w:bCs w:val="0"/>
          <w:sz w:val="28"/>
          <w:szCs w:val="28"/>
          <w:rtl/>
        </w:rPr>
        <w:t>ـ</w:t>
      </w:r>
      <w:r w:rsidRPr="00282AC9">
        <w:rPr>
          <w:rFonts w:ascii="Simplified Arabic" w:hAnsi="Simplified Arabic" w:cs="DanaFajr"/>
          <w:b w:val="0"/>
          <w:bCs w:val="0"/>
          <w:sz w:val="28"/>
          <w:szCs w:val="28"/>
          <w:rtl/>
        </w:rPr>
        <w:t xml:space="preserve">زلة الرفيعة، والنظرة العالية التي كان الناس </w:t>
      </w:r>
      <w:r w:rsidRPr="00282AC9">
        <w:rPr>
          <w:rFonts w:ascii="Simplified Arabic" w:hAnsi="Simplified Arabic" w:cs="DanaFajr" w:hint="cs"/>
          <w:b w:val="0"/>
          <w:bCs w:val="0"/>
          <w:sz w:val="28"/>
          <w:szCs w:val="28"/>
          <w:rtl/>
        </w:rPr>
        <w:t>ينظرون بها</w:t>
      </w:r>
      <w:r w:rsidRPr="00282AC9">
        <w:rPr>
          <w:rFonts w:ascii="Simplified Arabic" w:hAnsi="Simplified Arabic" w:cs="DanaFajr"/>
          <w:b w:val="0"/>
          <w:bCs w:val="0"/>
          <w:sz w:val="28"/>
          <w:szCs w:val="28"/>
          <w:rtl/>
        </w:rPr>
        <w:t xml:space="preserve"> </w:t>
      </w:r>
      <w:r w:rsidRPr="00282AC9">
        <w:rPr>
          <w:rFonts w:ascii="Simplified Arabic" w:hAnsi="Simplified Arabic" w:cs="DanaFajr" w:hint="cs"/>
          <w:b w:val="0"/>
          <w:bCs w:val="0"/>
          <w:sz w:val="28"/>
          <w:szCs w:val="28"/>
          <w:rtl/>
        </w:rPr>
        <w:t>ل</w:t>
      </w:r>
      <w:r w:rsidRPr="00282AC9">
        <w:rPr>
          <w:rFonts w:ascii="Simplified Arabic" w:hAnsi="Simplified Arabic" w:cs="DanaFajr"/>
          <w:b w:val="0"/>
          <w:bCs w:val="0"/>
          <w:sz w:val="28"/>
          <w:szCs w:val="28"/>
          <w:rtl/>
        </w:rPr>
        <w:t>أهل البيت</w:t>
      </w:r>
      <w:r w:rsidRPr="00282AC9">
        <w:rPr>
          <w:rFonts w:cs="Mosawi" w:hint="cs"/>
          <w:sz w:val="20"/>
          <w:szCs w:val="20"/>
          <w:rtl/>
        </w:rPr>
        <w:t>^</w:t>
      </w:r>
      <w:r w:rsidRPr="00282AC9">
        <w:rPr>
          <w:rFonts w:ascii="Simplified Arabic" w:hAnsi="Simplified Arabic" w:cs="DanaFajr"/>
          <w:b w:val="0"/>
          <w:bCs w:val="0"/>
          <w:sz w:val="28"/>
          <w:szCs w:val="28"/>
          <w:rtl/>
        </w:rPr>
        <w:t xml:space="preserve">، بشأن امتلاكهم للعلم، والمعرفة المنفتحة. وفي هذا الصدد يقول الشيخ الصدوق: </w:t>
      </w:r>
      <w:r w:rsidRPr="00282AC9">
        <w:rPr>
          <w:rFonts w:cs="AL-Mohanad" w:hint="eastAsia"/>
          <w:b w:val="0"/>
          <w:bCs w:val="0"/>
          <w:sz w:val="22"/>
          <w:szCs w:val="22"/>
          <w:rtl/>
        </w:rPr>
        <w:t>«</w:t>
      </w:r>
      <w:r w:rsidRPr="00282AC9">
        <w:rPr>
          <w:rFonts w:ascii="Simplified Arabic" w:hAnsi="Simplified Arabic" w:cs="DanaFajr"/>
          <w:b w:val="0"/>
          <w:bCs w:val="0"/>
          <w:sz w:val="28"/>
          <w:szCs w:val="28"/>
          <w:rtl/>
        </w:rPr>
        <w:t>كان المأمون يجمع للإمام الرضا</w:t>
      </w:r>
      <w:r w:rsidRPr="00282AC9">
        <w:rPr>
          <w:rFonts w:cs="Mosawi" w:hint="cs"/>
          <w:sz w:val="20"/>
          <w:szCs w:val="20"/>
          <w:rtl/>
        </w:rPr>
        <w:t>×</w:t>
      </w:r>
      <w:r w:rsidRPr="00282AC9">
        <w:rPr>
          <w:rFonts w:ascii="Simplified Arabic" w:hAnsi="Simplified Arabic" w:cs="DanaFajr"/>
          <w:b w:val="0"/>
          <w:bCs w:val="0"/>
          <w:sz w:val="28"/>
          <w:szCs w:val="28"/>
          <w:rtl/>
        </w:rPr>
        <w:t xml:space="preserve"> أهل المقالات</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من أهل الإسلام والديانات</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من اليهود والنصارى والمجوس والصابئين</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عسى أن يعجز عن الإجابة ع</w:t>
      </w:r>
      <w:r w:rsidRPr="00282AC9">
        <w:rPr>
          <w:rFonts w:ascii="Simplified Arabic" w:hAnsi="Simplified Arabic" w:cs="DanaFajr" w:hint="cs"/>
          <w:b w:val="0"/>
          <w:bCs w:val="0"/>
          <w:sz w:val="28"/>
          <w:szCs w:val="28"/>
          <w:rtl/>
        </w:rPr>
        <w:t>ن</w:t>
      </w:r>
      <w:r w:rsidRPr="00282AC9">
        <w:rPr>
          <w:rFonts w:ascii="Simplified Arabic" w:hAnsi="Simplified Arabic" w:cs="DanaFajr"/>
          <w:b w:val="0"/>
          <w:bCs w:val="0"/>
          <w:sz w:val="28"/>
          <w:szCs w:val="28"/>
          <w:rtl/>
        </w:rPr>
        <w:t xml:space="preserve"> أحد أسئلتهم</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فيحط</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من قدره في أعينهم</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ح</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س</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داً منه للإمام ومن</w:t>
      </w:r>
      <w:r w:rsidRPr="00282AC9">
        <w:rPr>
          <w:rFonts w:ascii="Simplified Arabic" w:hAnsi="Simplified Arabic" w:cs="DanaFajr" w:hint="cs"/>
          <w:b w:val="0"/>
          <w:bCs w:val="0"/>
          <w:sz w:val="28"/>
          <w:szCs w:val="28"/>
          <w:rtl/>
        </w:rPr>
        <w:t>ـ</w:t>
      </w:r>
      <w:r w:rsidRPr="00282AC9">
        <w:rPr>
          <w:rFonts w:ascii="Simplified Arabic" w:hAnsi="Simplified Arabic" w:cs="DanaFajr"/>
          <w:b w:val="0"/>
          <w:bCs w:val="0"/>
          <w:sz w:val="28"/>
          <w:szCs w:val="28"/>
          <w:rtl/>
        </w:rPr>
        <w:t>زلته الاجتماعية</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ولكن</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لم يق</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م</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منهم أحد</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إلا</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وقد ألزمه حج</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ة</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xml:space="preserve"> كأن</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ه ألقم حجراً</w:t>
      </w:r>
      <w:r w:rsidRPr="00282AC9">
        <w:rPr>
          <w:rFonts w:cs="AL-Mohanad" w:hint="eastAsia"/>
          <w:b w:val="0"/>
          <w:bCs w:val="0"/>
          <w:sz w:val="22"/>
          <w:szCs w:val="22"/>
          <w:rtl/>
        </w:rPr>
        <w:t>»</w:t>
      </w:r>
      <w:r w:rsidRPr="00282AC9">
        <w:rPr>
          <w:rFonts w:ascii="Simplified Arabic" w:hAnsi="Simplified Arabic" w:cs="DanaFajr"/>
          <w:b w:val="0"/>
          <w:bCs w:val="0"/>
          <w:sz w:val="28"/>
          <w:szCs w:val="28"/>
          <w:rtl/>
        </w:rPr>
        <w:t>. راج</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ع</w:t>
      </w:r>
      <w:r w:rsidRPr="00282AC9">
        <w:rPr>
          <w:rFonts w:ascii="Simplified Arabic" w:hAnsi="Simplified Arabic" w:cs="DanaFajr" w:hint="cs"/>
          <w:b w:val="0"/>
          <w:bCs w:val="0"/>
          <w:sz w:val="28"/>
          <w:szCs w:val="28"/>
          <w:rtl/>
        </w:rPr>
        <w:t>ْ</w:t>
      </w:r>
      <w:r w:rsidRPr="00282AC9">
        <w:rPr>
          <w:rFonts w:ascii="Simplified Arabic" w:hAnsi="Simplified Arabic" w:cs="DanaFajr"/>
          <w:b w:val="0"/>
          <w:bCs w:val="0"/>
          <w:sz w:val="28"/>
          <w:szCs w:val="28"/>
          <w:rtl/>
        </w:rPr>
        <w:t>: عيون أخبار الرضا</w:t>
      </w:r>
      <w:r w:rsidRPr="00282AC9">
        <w:rPr>
          <w:rFonts w:cs="Mosawi" w:hint="cs"/>
          <w:sz w:val="20"/>
          <w:szCs w:val="20"/>
          <w:rtl/>
        </w:rPr>
        <w:t>×</w:t>
      </w:r>
      <w:r w:rsidRPr="00282AC9">
        <w:rPr>
          <w:rFonts w:ascii="Simplified Arabic" w:hAnsi="Simplified Arabic" w:cs="DanaFajr"/>
          <w:b w:val="0"/>
          <w:bCs w:val="0"/>
          <w:sz w:val="28"/>
          <w:szCs w:val="28"/>
          <w:rtl/>
        </w:rPr>
        <w:t xml:space="preserve"> 1: 152. </w:t>
      </w:r>
    </w:p>
  </w:endnote>
  <w:endnote w:id="940">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نتمن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ى من القارئ الكريم أن يعذرنا لعدم إمكانية سرد بعض هذه المناظرات والحوارات القي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توخياً لعدم إطالة البحث</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 قد يعر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ضه للخلل المنهجي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والفن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ويمكن بهذا الشأن مراجعة المصادر الأساسية الم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شار إليها سابقاً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تحد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ث</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تلك المناظرات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وهي كثيرة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ومتداولة ومعروفة على نطاق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واسع.</w:t>
      </w:r>
    </w:p>
  </w:endnote>
  <w:endnote w:id="941">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عامر الكفيشي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منهج أهل البيت وخط</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تهم في حفظ السنة النبوية الشريفة، مجلة المنهاج، العدد</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11: 106.</w:t>
      </w:r>
    </w:p>
  </w:endnote>
  <w:endnote w:id="942">
    <w:p w:rsidR="00C14EDE" w:rsidRPr="00282AC9" w:rsidRDefault="00C14EDE" w:rsidP="00142A7C">
      <w:pPr>
        <w:pStyle w:val="af7"/>
        <w:spacing w:line="296" w:lineRule="exact"/>
        <w:ind w:firstLine="0"/>
        <w:rPr>
          <w:rFonts w:ascii="Simplified Arabic" w:hAnsi="Simplified Arabic" w:cs="DanaFajr"/>
          <w:sz w:val="28"/>
          <w:szCs w:val="28"/>
          <w:rtl/>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w:t>
      </w:r>
      <w:r w:rsidRPr="00282AC9">
        <w:rPr>
          <w:rFonts w:ascii="Simplified Arabic" w:hAnsi="Simplified Arabic" w:cs="DanaFajr"/>
          <w:sz w:val="28"/>
          <w:szCs w:val="28"/>
          <w:rtl/>
        </w:rPr>
        <w:t>لطبرسي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الاحتجاج 2: 410.</w:t>
      </w:r>
    </w:p>
  </w:endnote>
  <w:endnote w:id="943">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المصدر السابق</w:t>
      </w:r>
      <w:r w:rsidRPr="00282AC9">
        <w:rPr>
          <w:rFonts w:ascii="Simplified Arabic" w:hAnsi="Simplified Arabic" w:cs="DanaFajr"/>
          <w:sz w:val="28"/>
          <w:szCs w:val="28"/>
          <w:rtl/>
        </w:rPr>
        <w:t xml:space="preserve"> 3: 241؛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لسيد محمد جواد فضل الله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حياة الرضا</w:t>
      </w:r>
      <w:r w:rsidRPr="00282AC9">
        <w:rPr>
          <w:rFonts w:cs="Mosawi" w:hint="cs"/>
          <w:rtl/>
        </w:rPr>
        <w:t>×</w:t>
      </w:r>
      <w:r w:rsidRPr="00282AC9">
        <w:rPr>
          <w:rFonts w:ascii="Simplified Arabic" w:hAnsi="Simplified Arabic" w:cs="DanaFajr"/>
          <w:sz w:val="28"/>
          <w:szCs w:val="28"/>
          <w:rtl/>
        </w:rPr>
        <w:t>: 222.</w:t>
      </w:r>
    </w:p>
  </w:endnote>
  <w:endnote w:id="944">
    <w:p w:rsidR="00C14EDE" w:rsidRPr="00282AC9" w:rsidRDefault="00C14EDE" w:rsidP="00142A7C">
      <w:pPr>
        <w:pStyle w:val="af7"/>
        <w:spacing w:line="296" w:lineRule="exact"/>
        <w:ind w:firstLine="0"/>
        <w:rPr>
          <w:rFonts w:ascii="Simplified Arabic" w:hAnsi="Simplified Arabic" w:cs="DanaFajr"/>
          <w:sz w:val="28"/>
          <w:szCs w:val="28"/>
          <w:rtl/>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 xml:space="preserve">الطبرسي، </w:t>
      </w:r>
      <w:r w:rsidRPr="00282AC9">
        <w:rPr>
          <w:rFonts w:ascii="Simplified Arabic" w:hAnsi="Simplified Arabic" w:cs="DanaFajr"/>
          <w:sz w:val="28"/>
          <w:szCs w:val="28"/>
          <w:rtl/>
        </w:rPr>
        <w:t>الاحتجاج: 410.</w:t>
      </w:r>
    </w:p>
  </w:endnote>
  <w:endnote w:id="945">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يقصد الإمام أنه لو كان الأمر كما يذهب إليه الزنادقة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 إنكار وجود الله تعالى، فما الذي يضر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الموح</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دين من صلاتهم وصومهم. وإذا انكشف الأمر لهم (للزنادقة) ـ من وجود الخالق العظيم المدب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 لهذه الأكوان ـ فقد هلك الملحدون، وباؤوا بالخ</w:t>
      </w:r>
      <w:r w:rsidRPr="00282AC9">
        <w:rPr>
          <w:rFonts w:ascii="Simplified Arabic" w:hAnsi="Simplified Arabic" w:cs="DanaFajr" w:hint="cs"/>
          <w:sz w:val="28"/>
          <w:szCs w:val="28"/>
          <w:rtl/>
        </w:rPr>
        <w:t>ِ</w:t>
      </w:r>
      <w:r w:rsidRPr="00282AC9">
        <w:rPr>
          <w:rFonts w:ascii="Simplified Arabic" w:hAnsi="Simplified Arabic" w:cs="DanaFajr"/>
          <w:sz w:val="28"/>
          <w:szCs w:val="28"/>
          <w:rtl/>
        </w:rPr>
        <w:t>ز</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 والعذاب الأليم، وفاز المؤمنون والمت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قون.</w:t>
      </w:r>
    </w:p>
  </w:endnote>
  <w:endnote w:id="946">
    <w:p w:rsidR="00C14EDE" w:rsidRPr="00282AC9" w:rsidRDefault="00C14EDE" w:rsidP="00142A7C">
      <w:pPr>
        <w:pStyle w:val="af7"/>
        <w:spacing w:line="296" w:lineRule="exact"/>
        <w:ind w:firstLine="0"/>
        <w:rPr>
          <w:rFonts w:ascii="Simplified Arabic" w:hAnsi="Simplified Arabic" w:cs="DanaFajr"/>
          <w:sz w:val="28"/>
          <w:szCs w:val="28"/>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السحماء: السوداء.</w:t>
      </w:r>
    </w:p>
  </w:endnote>
  <w:endnote w:id="947">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xml:space="preserve">) القرشي، </w:t>
      </w:r>
      <w:r w:rsidRPr="00282AC9">
        <w:rPr>
          <w:rFonts w:ascii="Simplified Arabic" w:hAnsi="Simplified Arabic" w:cs="DanaFajr" w:hint="cs"/>
          <w:sz w:val="28"/>
          <w:szCs w:val="28"/>
          <w:rtl/>
        </w:rPr>
        <w:t>حياة الإمام الرضا</w:t>
      </w:r>
      <w:r w:rsidRPr="00282AC9">
        <w:rPr>
          <w:rFonts w:cs="Mosawi" w:hint="cs"/>
          <w:rtl/>
        </w:rPr>
        <w:t>×</w:t>
      </w:r>
      <w:r w:rsidRPr="00282AC9">
        <w:rPr>
          <w:rFonts w:ascii="Simplified Arabic" w:hAnsi="Simplified Arabic" w:cs="DanaFajr"/>
          <w:sz w:val="28"/>
          <w:szCs w:val="28"/>
          <w:rtl/>
        </w:rPr>
        <w:t xml:space="preserve"> 1: 125.</w:t>
      </w:r>
    </w:p>
  </w:endnote>
  <w:endnote w:id="948">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لا يخفى على أحدٍ أنّ الإمام الرضا</w:t>
      </w:r>
      <w:r w:rsidRPr="00282AC9">
        <w:rPr>
          <w:rFonts w:cs="Mosawi" w:hint="cs"/>
          <w:rtl/>
        </w:rPr>
        <w:t>×</w:t>
      </w:r>
      <w:r w:rsidRPr="00282AC9">
        <w:rPr>
          <w:rFonts w:ascii="Simplified Arabic" w:hAnsi="Simplified Arabic" w:cs="DanaFajr"/>
          <w:sz w:val="28"/>
          <w:szCs w:val="28"/>
          <w:rtl/>
        </w:rPr>
        <w:t xml:space="preserve"> واجه في حياته ف</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قاً كلامية وعقائدية باطلة ومزيفة كثيرة، اد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الانتساب إلى أهل البيت</w:t>
      </w:r>
      <w:r w:rsidRPr="00282AC9">
        <w:rPr>
          <w:rFonts w:cs="Mosawi" w:hint="cs"/>
          <w:rtl/>
        </w:rPr>
        <w:t>^</w:t>
      </w:r>
      <w:r w:rsidRPr="00282AC9">
        <w:rPr>
          <w:rFonts w:ascii="Simplified Arabic" w:hAnsi="Simplified Arabic" w:cs="DanaFajr"/>
          <w:sz w:val="28"/>
          <w:szCs w:val="28"/>
          <w:rtl/>
        </w:rPr>
        <w:t>، وصد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 بعض</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دعواها، واستغل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الذين في قلوبهم مرض هذه الأفكار والمفاهيم المنحرفة، وراحوا ينشرونها في طول البلاد وعرضها، ويشو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هون وجه وحقيقة المنهج الذي سار عليه أهل البيت</w:t>
      </w:r>
      <w:r w:rsidRPr="00282AC9">
        <w:rPr>
          <w:rFonts w:cs="Mosawi" w:hint="cs"/>
          <w:rtl/>
        </w:rPr>
        <w:t>^</w:t>
      </w:r>
      <w:r w:rsidRPr="00282AC9">
        <w:rPr>
          <w:rFonts w:ascii="Simplified Arabic" w:hAnsi="Simplified Arabic" w:cs="DanaFajr"/>
          <w:sz w:val="28"/>
          <w:szCs w:val="28"/>
          <w:rtl/>
        </w:rPr>
        <w:t>، مد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عين أن هذه العقائد والأفكار هي مبادئ من أهل البيت وأتباعهم المخلصين. ويبدو أن ذلك قد انطلى على الكثيرين من الناس إلى يومنا هذا. لكن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الذي يدرس ويراجع بو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وعمق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تاريخ هذه الف</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وظروف (ودوافع) نشأتها وتكوينها في تاريخنا الإسلامي ـ ويحل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 تكوينها الفكري والمعرفي العقائدي ـ</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يمكن أن يكتشف بسهولة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ووضوح</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تامّين عنصر الكذب والنفاق والتضليل والزيف والبهتان في داخلها، ويعر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 الدوافع السياسية المخفية وراءها، ويشخ</w:t>
      </w:r>
      <w:r w:rsidRPr="00282AC9">
        <w:rPr>
          <w:rFonts w:ascii="Simplified Arabic" w:hAnsi="Simplified Arabic" w:cs="DanaFajr" w:hint="cs"/>
          <w:sz w:val="28"/>
          <w:szCs w:val="28"/>
          <w:rtl/>
        </w:rPr>
        <w:t>ِّ</w:t>
      </w:r>
      <w:r w:rsidRPr="00282AC9">
        <w:rPr>
          <w:rFonts w:ascii="Simplified Arabic" w:hAnsi="Simplified Arabic" w:cs="DanaFajr"/>
          <w:sz w:val="28"/>
          <w:szCs w:val="28"/>
          <w:rtl/>
        </w:rPr>
        <w:t>ص مدى الفارق بينها وبين تعاليم وق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 أهل البيت</w:t>
      </w:r>
      <w:r w:rsidRPr="00282AC9">
        <w:rPr>
          <w:rFonts w:cs="Mosawi" w:hint="cs"/>
          <w:rtl/>
        </w:rPr>
        <w:t>^</w:t>
      </w:r>
      <w:r w:rsidRPr="00282AC9">
        <w:rPr>
          <w:rFonts w:ascii="Simplified Arabic" w:hAnsi="Simplified Arabic" w:cs="DanaFajr"/>
          <w:sz w:val="28"/>
          <w:szCs w:val="28"/>
          <w:rtl/>
        </w:rPr>
        <w:t>، ومدى 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دها عن خط</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هم ونهجهم الأصيل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الذي هو نهج الإسلام ذاته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في دعوته للحق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والخير والمحب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والسلام الاجتماعي.</w:t>
      </w:r>
    </w:p>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ويت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ضح لنا الموقف الصريح والحقيقي لإمامنا الرضا</w:t>
      </w:r>
      <w:r w:rsidRPr="00282AC9">
        <w:rPr>
          <w:rFonts w:cs="Mosawi" w:hint="cs"/>
          <w:rtl/>
        </w:rPr>
        <w:t>×</w:t>
      </w:r>
      <w:r w:rsidRPr="00282AC9">
        <w:rPr>
          <w:rFonts w:ascii="Simplified Arabic" w:hAnsi="Simplified Arabic" w:cs="DanaFajr"/>
          <w:sz w:val="28"/>
          <w:szCs w:val="28"/>
          <w:rtl/>
        </w:rPr>
        <w:t xml:space="preserve"> ـ كما كان موقف الإمامين الكاظم والصادق</w:t>
      </w:r>
      <w:r w:rsidRPr="00282AC9">
        <w:rPr>
          <w:rFonts w:ascii="Simplified Arabic" w:hAnsi="Simplified Arabic" w:cs="Mosawi"/>
          <w:rtl/>
        </w:rPr>
        <w:t>’</w:t>
      </w:r>
      <w:r w:rsidRPr="00282AC9">
        <w:rPr>
          <w:rFonts w:ascii="Simplified Arabic" w:hAnsi="Simplified Arabic" w:cs="DanaFajr"/>
          <w:sz w:val="28"/>
          <w:szCs w:val="28"/>
          <w:rtl/>
        </w:rPr>
        <w:t xml:space="preserve"> من قبل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ـ بقوله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حين سئل عن التفويض والغلو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hint="eastAsia"/>
          <w:sz w:val="22"/>
          <w:szCs w:val="22"/>
          <w:rtl/>
        </w:rPr>
        <w:t>«</w:t>
      </w:r>
      <w:r w:rsidRPr="00282AC9">
        <w:rPr>
          <w:rFonts w:ascii="Simplified Arabic" w:hAnsi="Simplified Arabic" w:cs="DanaFajr"/>
          <w:sz w:val="28"/>
          <w:szCs w:val="28"/>
          <w:rtl/>
        </w:rPr>
        <w:t>إن الله تعالى فو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ض إلى نبيه</w:t>
      </w:r>
      <w:r w:rsidRPr="00282AC9">
        <w:rPr>
          <w:rFonts w:cs="Mosawi" w:hint="cs"/>
          <w:rtl/>
        </w:rPr>
        <w:t>|</w:t>
      </w:r>
      <w:r w:rsidRPr="00282AC9">
        <w:rPr>
          <w:rFonts w:ascii="Simplified Arabic" w:hAnsi="Simplified Arabic" w:cs="DanaFajr"/>
          <w:sz w:val="28"/>
          <w:szCs w:val="28"/>
          <w:rtl/>
        </w:rPr>
        <w:t xml:space="preserve"> أمر دينه، فقال: </w:t>
      </w:r>
      <w:r w:rsidRPr="00282AC9">
        <w:rPr>
          <w:rFonts w:ascii="Mosawi" w:hAnsi="Mosawi" w:cs="Mosawi"/>
          <w:sz w:val="22"/>
          <w:szCs w:val="22"/>
          <w:rtl/>
        </w:rPr>
        <w:t>﴿</w:t>
      </w:r>
      <w:r w:rsidRPr="00282AC9">
        <w:rPr>
          <w:rFonts w:ascii="Simplified Arabic" w:hAnsi="Simplified Arabic" w:cs="DanaFajr"/>
          <w:b/>
          <w:bCs/>
          <w:sz w:val="28"/>
          <w:szCs w:val="28"/>
          <w:rtl/>
        </w:rPr>
        <w:t>وَمَا آتَاكُمْ الرَّسُولُ فَخُذُوهُ وَمَا نَهَاكُمْ عَنْهُ فَانْتَهُوا</w:t>
      </w:r>
      <w:r w:rsidRPr="00282AC9">
        <w:rPr>
          <w:rFonts w:ascii="Mosawi" w:hAnsi="Mosawi" w:cs="Mosawi"/>
          <w:sz w:val="22"/>
          <w:szCs w:val="22"/>
          <w:rtl/>
        </w:rPr>
        <w:t>﴾</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(الحشر</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7)، فأما الخلق والرزق فلا</w:t>
      </w:r>
      <w:r w:rsidRPr="00282AC9">
        <w:rPr>
          <w:rFonts w:hint="eastAsia"/>
          <w:sz w:val="22"/>
          <w:szCs w:val="22"/>
          <w:rtl/>
        </w:rPr>
        <w:t>»</w:t>
      </w:r>
      <w:r w:rsidRPr="00282AC9">
        <w:rPr>
          <w:rFonts w:ascii="Simplified Arabic" w:hAnsi="Simplified Arabic" w:cs="DanaFajr"/>
          <w:sz w:val="28"/>
          <w:szCs w:val="28"/>
          <w:rtl/>
        </w:rPr>
        <w:t>. ثم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قال: </w:t>
      </w:r>
      <w:r w:rsidRPr="00282AC9">
        <w:rPr>
          <w:rFonts w:hint="eastAsia"/>
          <w:sz w:val="22"/>
          <w:szCs w:val="22"/>
          <w:rtl/>
        </w:rPr>
        <w:t>«</w:t>
      </w:r>
      <w:r w:rsidRPr="00282AC9">
        <w:rPr>
          <w:rFonts w:ascii="Simplified Arabic" w:hAnsi="Simplified Arabic" w:cs="DanaFajr"/>
          <w:sz w:val="28"/>
          <w:szCs w:val="28"/>
          <w:rtl/>
        </w:rPr>
        <w:t>إن الله عز</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وجل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يقول: </w:t>
      </w:r>
      <w:r w:rsidRPr="00282AC9">
        <w:rPr>
          <w:rFonts w:ascii="Mosawi" w:hAnsi="Mosawi" w:cs="Mosawi"/>
          <w:sz w:val="22"/>
          <w:szCs w:val="22"/>
          <w:rtl/>
        </w:rPr>
        <w:t>﴿</w:t>
      </w:r>
      <w:r w:rsidRPr="00282AC9">
        <w:rPr>
          <w:rFonts w:ascii="Simplified Arabic" w:hAnsi="Simplified Arabic" w:cs="DanaFajr"/>
          <w:b/>
          <w:bCs/>
          <w:sz w:val="28"/>
          <w:szCs w:val="28"/>
          <w:rtl/>
        </w:rPr>
        <w:t>الله</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 xml:space="preserve"> خ</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ال</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ق</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 xml:space="preserve"> ك</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ل</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 xml:space="preserve"> ش</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ي</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ء</w:t>
      </w:r>
      <w:r w:rsidRPr="00282AC9">
        <w:rPr>
          <w:rFonts w:ascii="Simplified Arabic" w:hAnsi="Simplified Arabic" w:cs="DanaFajr" w:hint="cs"/>
          <w:b/>
          <w:bCs/>
          <w:sz w:val="28"/>
          <w:szCs w:val="28"/>
          <w:rtl/>
        </w:rPr>
        <w:t>ٍ</w:t>
      </w:r>
      <w:r w:rsidRPr="00282AC9">
        <w:rPr>
          <w:rFonts w:ascii="Mosawi" w:hAnsi="Mosawi" w:cs="Mosawi"/>
          <w:sz w:val="22"/>
          <w:szCs w:val="22"/>
          <w:rtl/>
        </w:rPr>
        <w:t>﴾</w:t>
      </w:r>
      <w:r w:rsidRPr="00282AC9">
        <w:rPr>
          <w:rFonts w:ascii="Mosawi" w:hAnsi="Mosawi" w:cs="Mosawi" w:hint="cs"/>
          <w:sz w:val="22"/>
          <w:szCs w:val="22"/>
          <w:rtl/>
        </w:rPr>
        <w:t xml:space="preserve"> </w:t>
      </w:r>
      <w:r w:rsidRPr="00282AC9">
        <w:rPr>
          <w:rFonts w:ascii="Simplified Arabic" w:hAnsi="Simplified Arabic" w:cs="DanaFajr"/>
          <w:sz w:val="28"/>
          <w:szCs w:val="28"/>
          <w:rtl/>
        </w:rPr>
        <w:t>(الرعد</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 xml:space="preserve">16)، وهو يقول: </w:t>
      </w:r>
      <w:r w:rsidRPr="00282AC9">
        <w:rPr>
          <w:rFonts w:ascii="Mosawi" w:hAnsi="Mosawi" w:cs="Mosawi"/>
          <w:sz w:val="22"/>
          <w:szCs w:val="22"/>
          <w:rtl/>
        </w:rPr>
        <w:t>﴿</w:t>
      </w:r>
      <w:r w:rsidRPr="00282AC9">
        <w:rPr>
          <w:rFonts w:ascii="Simplified Arabic" w:hAnsi="Simplified Arabic" w:cs="DanaFajr"/>
          <w:b/>
          <w:bCs/>
          <w:sz w:val="28"/>
          <w:szCs w:val="28"/>
          <w:rtl/>
        </w:rPr>
        <w:t>اللهُ الَّذِي خَلَقَكُمْ ثُمَّ رَزَقَكُمْ ثُمَّ يُمِيتُكُمْ ثُمَّ يُحْيِيكُمْ هَلْ مِنْ شُرَكَائِكُمْ مَنْ يَفْعَلُ مِنْ ذَلِكُمْ مِنْ شَيْءٍ سُبْحَانَهُ وَتَعَالَى عَمَّا يُشْرِكُونَ</w:t>
      </w:r>
      <w:r w:rsidRPr="00282AC9">
        <w:rPr>
          <w:rFonts w:ascii="Mosawi" w:hAnsi="Mosawi" w:cs="Mosawi"/>
          <w:sz w:val="22"/>
          <w:szCs w:val="22"/>
          <w:rtl/>
        </w:rPr>
        <w:t>﴾</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(الروم</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40)</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والغلاة كف</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والمفو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ضة مشركون. 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جالسهم، أو خالطهم، أو آكلهم، أو شاربهم، أو واصلهم، أو زو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جهم، أو آمنهم، أو ائتمنهم على أمانة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أو صد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 حديثهم، أو أعانهم بشطر كلمة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خرج من ولاية الله عز</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وجل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وولاية رسول الله</w:t>
      </w:r>
      <w:r w:rsidRPr="00282AC9">
        <w:rPr>
          <w:rFonts w:cs="Mosawi" w:hint="cs"/>
          <w:rtl/>
        </w:rPr>
        <w:t>|</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وولاية أهل البيت</w:t>
      </w:r>
      <w:r w:rsidRPr="00282AC9">
        <w:rPr>
          <w:rFonts w:cs="Mosawi" w:hint="cs"/>
          <w:rtl/>
        </w:rPr>
        <w:t>^</w:t>
      </w:r>
      <w:r w:rsidRPr="00282AC9">
        <w:rPr>
          <w:rFonts w:hint="eastAsia"/>
          <w:sz w:val="22"/>
          <w:szCs w:val="22"/>
          <w:rtl/>
        </w:rPr>
        <w:t>»</w:t>
      </w:r>
      <w:r w:rsidRPr="00282AC9">
        <w:rPr>
          <w:rFonts w:ascii="Simplified Arabic" w:hAnsi="Simplified Arabic" w:cs="DanaFajr"/>
          <w:sz w:val="28"/>
          <w:szCs w:val="28"/>
          <w:rtl/>
        </w:rPr>
        <w:t>.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عيون أخبار الرضا</w:t>
      </w:r>
      <w:r w:rsidRPr="00282AC9">
        <w:rPr>
          <w:rFonts w:cs="Mosawi" w:hint="cs"/>
          <w:rtl/>
        </w:rPr>
        <w:t>×</w:t>
      </w:r>
      <w:r w:rsidRPr="00282AC9">
        <w:rPr>
          <w:rFonts w:ascii="Simplified Arabic" w:hAnsi="Simplified Arabic" w:cs="DanaFajr"/>
          <w:sz w:val="28"/>
          <w:szCs w:val="28"/>
          <w:rtl/>
        </w:rPr>
        <w:t xml:space="preserve"> 1: 202 ـ 203.</w:t>
      </w:r>
    </w:p>
  </w:endnote>
  <w:endnote w:id="949">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يمكن الوقوف على تفاصيل دقيقة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ووافية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هذه الف</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قة في كتاب الواقفية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للشيخ رياض الناصري، طبعة قم</w:t>
      </w:r>
      <w:r w:rsidRPr="00282AC9">
        <w:rPr>
          <w:rFonts w:ascii="Simplified Arabic" w:hAnsi="Simplified Arabic" w:cs="DanaFajr" w:hint="cs"/>
          <w:sz w:val="28"/>
          <w:szCs w:val="28"/>
          <w:rtl/>
        </w:rPr>
        <w:t xml:space="preserve"> ـ </w:t>
      </w:r>
      <w:r w:rsidRPr="00282AC9">
        <w:rPr>
          <w:rFonts w:ascii="Simplified Arabic" w:hAnsi="Simplified Arabic" w:cs="DanaFajr"/>
          <w:sz w:val="28"/>
          <w:szCs w:val="28"/>
          <w:rtl/>
        </w:rPr>
        <w:t>إيران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1988م.</w:t>
      </w:r>
    </w:p>
  </w:endnote>
  <w:endnote w:id="950">
    <w:p w:rsidR="00C14EDE" w:rsidRPr="00282AC9" w:rsidRDefault="00C14EDE" w:rsidP="00142A7C">
      <w:pPr>
        <w:pStyle w:val="af7"/>
        <w:spacing w:line="296" w:lineRule="exact"/>
        <w:ind w:firstLine="0"/>
        <w:rPr>
          <w:rFonts w:ascii="Simplified Arabic" w:hAnsi="Simplified Arabic" w:cs="DanaFajr"/>
          <w:sz w:val="28"/>
          <w:szCs w:val="28"/>
          <w:lang w:bidi="ar-SY"/>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 xml:space="preserve">الصدوق، </w:t>
      </w:r>
      <w:r w:rsidRPr="00282AC9">
        <w:rPr>
          <w:rFonts w:ascii="Simplified Arabic" w:hAnsi="Simplified Arabic" w:cs="DanaFajr"/>
          <w:sz w:val="28"/>
          <w:szCs w:val="28"/>
          <w:rtl/>
        </w:rPr>
        <w:t xml:space="preserve">عيون </w:t>
      </w:r>
      <w:r w:rsidRPr="00282AC9">
        <w:rPr>
          <w:rFonts w:ascii="Simplified Arabic" w:hAnsi="Simplified Arabic" w:cs="DanaFajr" w:hint="cs"/>
          <w:sz w:val="28"/>
          <w:szCs w:val="28"/>
          <w:rtl/>
        </w:rPr>
        <w:t>أخبار الرضا</w:t>
      </w:r>
      <w:r w:rsidRPr="00282AC9">
        <w:rPr>
          <w:rFonts w:cs="Mosawi" w:hint="cs"/>
          <w:rtl/>
        </w:rPr>
        <w:t>×</w:t>
      </w:r>
      <w:r w:rsidRPr="00282AC9">
        <w:rPr>
          <w:rFonts w:ascii="Simplified Arabic" w:hAnsi="Simplified Arabic" w:cs="DanaFajr"/>
          <w:sz w:val="28"/>
          <w:szCs w:val="28"/>
          <w:rtl/>
        </w:rPr>
        <w:t xml:space="preserve"> 1: 113 ـ 114.</w:t>
      </w:r>
    </w:p>
  </w:endnote>
  <w:endnote w:id="951">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w:t>
      </w:r>
      <w:r w:rsidRPr="00282AC9">
        <w:rPr>
          <w:rFonts w:ascii="Simplified Arabic" w:hAnsi="Simplified Arabic" w:cs="DanaFajr"/>
          <w:sz w:val="28"/>
          <w:szCs w:val="28"/>
          <w:rtl/>
        </w:rPr>
        <w:t>لشيخ الطوسي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كتاب الغ</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بة: 45.</w:t>
      </w:r>
    </w:p>
  </w:endnote>
  <w:endnote w:id="952">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المصدر السابق</w:t>
      </w:r>
      <w:r w:rsidRPr="00282AC9">
        <w:rPr>
          <w:rFonts w:ascii="Simplified Arabic" w:hAnsi="Simplified Arabic" w:cs="DanaFajr"/>
          <w:sz w:val="28"/>
          <w:szCs w:val="28"/>
          <w:rtl/>
        </w:rPr>
        <w:t>: 45. وراج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أيضاً: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لخطيب البغدادي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تاريخ بغداد 7</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252، والذي ذكر فيه المؤلف رواية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مهم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توض</w:t>
      </w:r>
      <w:r w:rsidRPr="00282AC9">
        <w:rPr>
          <w:rFonts w:ascii="Simplified Arabic" w:hAnsi="Simplified Arabic" w:cs="DanaFajr" w:hint="cs"/>
          <w:sz w:val="28"/>
          <w:szCs w:val="28"/>
          <w:rtl/>
        </w:rPr>
        <w:t>ِّ</w:t>
      </w:r>
      <w:r w:rsidRPr="00282AC9">
        <w:rPr>
          <w:rFonts w:ascii="Simplified Arabic" w:hAnsi="Simplified Arabic" w:cs="DanaFajr"/>
          <w:sz w:val="28"/>
          <w:szCs w:val="28"/>
          <w:rtl/>
        </w:rPr>
        <w:t>ح بعض الصفات النفسية والشخصية السي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ئة لهذا الرجل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الذي 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رف بالغدر والخيانة في الأموال.</w:t>
      </w:r>
    </w:p>
  </w:endnote>
  <w:endnote w:id="953">
    <w:p w:rsidR="00C14EDE" w:rsidRPr="00282AC9" w:rsidRDefault="00C14EDE" w:rsidP="00142A7C">
      <w:pPr>
        <w:pStyle w:val="af7"/>
        <w:spacing w:line="296" w:lineRule="exact"/>
        <w:ind w:firstLine="0"/>
        <w:rPr>
          <w:rFonts w:ascii="Simplified Arabic" w:hAnsi="Simplified Arabic" w:cs="DanaFajr"/>
          <w:sz w:val="28"/>
          <w:szCs w:val="28"/>
        </w:rPr>
      </w:pPr>
      <w:r w:rsidRPr="00282AC9">
        <w:rPr>
          <w:rFonts w:ascii="Simplified Arabic" w:hAnsi="Simplified Arabic" w:cs="DanaFajr"/>
          <w:sz w:val="28"/>
          <w:szCs w:val="28"/>
          <w:rtl/>
        </w:rPr>
        <w:t>(</w:t>
      </w:r>
      <w:r w:rsidRPr="00282AC9">
        <w:rPr>
          <w:rStyle w:val="af9"/>
          <w:rFonts w:ascii="Simplified Arabic" w:hAnsi="Simplified Arabic" w:cs="DanaFajr"/>
          <w:sz w:val="28"/>
          <w:szCs w:val="28"/>
          <w:vertAlign w:val="baseline"/>
        </w:rPr>
        <w:endnoteRef/>
      </w:r>
      <w:r w:rsidRPr="00282AC9">
        <w:rPr>
          <w:rFonts w:ascii="Simplified Arabic" w:hAnsi="Simplified Arabic" w:cs="DanaFajr"/>
          <w:sz w:val="28"/>
          <w:szCs w:val="28"/>
          <w:rtl/>
        </w:rPr>
        <w:t>) ذكرت الروايات أن الإمام الكاظم</w:t>
      </w:r>
      <w:r w:rsidRPr="00282AC9">
        <w:rPr>
          <w:rFonts w:cs="Mosawi" w:hint="cs"/>
          <w:rtl/>
        </w:rPr>
        <w:t>×</w:t>
      </w:r>
      <w:r w:rsidRPr="00282AC9">
        <w:rPr>
          <w:rFonts w:ascii="Simplified Arabic" w:hAnsi="Simplified Arabic" w:cs="DanaFajr"/>
          <w:sz w:val="28"/>
          <w:szCs w:val="28"/>
          <w:rtl/>
        </w:rPr>
        <w:t xml:space="preserve"> كانت تأتيه الأموال من أتباعه وأنصاره ومحب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يه، وكان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بسبب المطاردة والمراقبة والملاحقة والتفتيش</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يد</w:t>
      </w:r>
      <w:r w:rsidRPr="00282AC9">
        <w:rPr>
          <w:rFonts w:ascii="Simplified Arabic" w:hAnsi="Simplified Arabic" w:cs="DanaFajr" w:hint="cs"/>
          <w:sz w:val="28"/>
          <w:szCs w:val="28"/>
          <w:rtl/>
        </w:rPr>
        <w:t>َّخ</w:t>
      </w:r>
      <w:r w:rsidRPr="00282AC9">
        <w:rPr>
          <w:rFonts w:ascii="Simplified Arabic" w:hAnsi="Simplified Arabic" w:cs="DanaFajr"/>
          <w:sz w:val="28"/>
          <w:szCs w:val="28"/>
          <w:rtl/>
        </w:rPr>
        <w:t>رها عند بعض أصحابه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لنشر الدعوة وإدارة شؤون عمله ونشاطه الإسلامي. لكن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بعضهم</w:t>
      </w:r>
      <w:r w:rsidRPr="00282AC9">
        <w:rPr>
          <w:rFonts w:ascii="Simplified Arabic" w:hAnsi="Simplified Arabic" w:cs="DanaFajr"/>
          <w:sz w:val="28"/>
          <w:szCs w:val="28"/>
          <w:rtl/>
        </w:rPr>
        <w:t xml:space="preserve"> أراد ـ بعد استشهاده</w:t>
      </w:r>
      <w:r w:rsidRPr="00282AC9">
        <w:rPr>
          <w:rFonts w:cs="Mosawi" w:hint="cs"/>
          <w:rtl/>
        </w:rPr>
        <w:t>×</w:t>
      </w:r>
      <w:r w:rsidRPr="00282AC9">
        <w:rPr>
          <w:rFonts w:ascii="Simplified Arabic" w:hAnsi="Simplified Arabic" w:cs="DanaFajr"/>
          <w:sz w:val="28"/>
          <w:szCs w:val="28"/>
          <w:rtl/>
        </w:rPr>
        <w:t xml:space="preserve"> ـ أن يحتفظ لنفسه بهذا المال، فاد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عى أن الإمام موسى</w:t>
      </w:r>
      <w:r w:rsidRPr="00282AC9">
        <w:rPr>
          <w:rFonts w:cs="Mosawi" w:hint="cs"/>
          <w:rtl/>
        </w:rPr>
        <w:t>×</w:t>
      </w:r>
      <w:r w:rsidRPr="00282AC9">
        <w:rPr>
          <w:rFonts w:ascii="Simplified Arabic" w:hAnsi="Simplified Arabic" w:cs="DanaFajr"/>
          <w:sz w:val="28"/>
          <w:szCs w:val="28"/>
          <w:rtl/>
        </w:rPr>
        <w:t xml:space="preserve"> لم يم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وأنه حي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ش</w:t>
      </w:r>
      <w:r w:rsidRPr="00282AC9">
        <w:rPr>
          <w:rFonts w:ascii="Simplified Arabic" w:hAnsi="Simplified Arabic" w:cs="DanaFajr" w:hint="cs"/>
          <w:sz w:val="28"/>
          <w:szCs w:val="28"/>
          <w:rtl/>
        </w:rPr>
        <w:t>ُ</w:t>
      </w:r>
      <w:r w:rsidRPr="00282AC9">
        <w:rPr>
          <w:rFonts w:ascii="Simplified Arabic" w:hAnsi="Simplified Arabic" w:cs="DanaFajr"/>
          <w:sz w:val="28"/>
          <w:szCs w:val="28"/>
          <w:rtl/>
        </w:rPr>
        <w:t>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 للناس موته، وأنه هو المرشد.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تعليقة الشيخ الصدوق على هذه الأحداث، وتفسيره لها</w:t>
      </w:r>
      <w:r w:rsidRPr="00282AC9">
        <w:rPr>
          <w:rFonts w:ascii="Simplified Arabic" w:hAnsi="Simplified Arabic" w:cs="DanaFajr" w:hint="cs"/>
          <w:sz w:val="28"/>
          <w:szCs w:val="28"/>
          <w:rtl/>
        </w:rPr>
        <w:t>، في</w:t>
      </w:r>
      <w:r w:rsidRPr="00282AC9">
        <w:rPr>
          <w:rFonts w:ascii="Simplified Arabic" w:hAnsi="Simplified Arabic" w:cs="DanaFajr"/>
          <w:sz w:val="28"/>
          <w:szCs w:val="28"/>
          <w:rtl/>
        </w:rPr>
        <w:t xml:space="preserve"> عيون الأخبار</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1</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114</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ورجال الكش</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 488 ـ 494.</w:t>
      </w:r>
    </w:p>
  </w:endnote>
  <w:endnote w:id="954">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جاء في كتاب نثر الدرر أن المأمون قال للرضا</w:t>
      </w:r>
      <w:r w:rsidRPr="00282AC9">
        <w:rPr>
          <w:rFonts w:cs="Mosawi" w:hint="cs"/>
          <w:rtl/>
        </w:rPr>
        <w:t>×</w:t>
      </w:r>
      <w:r w:rsidRPr="00282AC9">
        <w:rPr>
          <w:rFonts w:ascii="Simplified Arabic" w:hAnsi="Simplified Arabic" w:cs="DanaFajr"/>
          <w:sz w:val="28"/>
          <w:szCs w:val="28"/>
          <w:rtl/>
        </w:rPr>
        <w:t>: يا أبا الحسن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أخبرني عن جد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ك علي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بن أبي طالب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وجه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هو قسيم الجن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والنار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فقال الرضا</w:t>
      </w:r>
      <w:r w:rsidRPr="00282AC9">
        <w:rPr>
          <w:rFonts w:cs="Mosawi" w:hint="cs"/>
          <w:rtl/>
        </w:rPr>
        <w:t>×</w:t>
      </w:r>
      <w:r w:rsidRPr="00282AC9">
        <w:rPr>
          <w:rFonts w:ascii="Simplified Arabic" w:hAnsi="Simplified Arabic" w:cs="DanaFajr"/>
          <w:sz w:val="28"/>
          <w:szCs w:val="28"/>
          <w:rtl/>
        </w:rPr>
        <w:t xml:space="preserve">: </w:t>
      </w:r>
      <w:r w:rsidRPr="00282AC9">
        <w:rPr>
          <w:rFonts w:hint="eastAsia"/>
          <w:sz w:val="22"/>
          <w:szCs w:val="22"/>
          <w:rtl/>
        </w:rPr>
        <w:t>«</w:t>
      </w:r>
      <w:r w:rsidRPr="00282AC9">
        <w:rPr>
          <w:rFonts w:ascii="Simplified Arabic" w:hAnsi="Simplified Arabic" w:cs="DanaFajr"/>
          <w:sz w:val="28"/>
          <w:szCs w:val="28"/>
          <w:rtl/>
        </w:rPr>
        <w:t>يا أمير المؤمنين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ألم 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أبيك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آبائه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عبد الله بن عب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اس أنه قال: </w:t>
      </w:r>
      <w:r w:rsidRPr="00282AC9">
        <w:rPr>
          <w:rFonts w:hint="eastAsia"/>
          <w:sz w:val="22"/>
          <w:szCs w:val="22"/>
          <w:rtl/>
        </w:rPr>
        <w:t>«</w:t>
      </w:r>
      <w:r w:rsidRPr="00282AC9">
        <w:rPr>
          <w:rFonts w:ascii="Simplified Arabic" w:hAnsi="Simplified Arabic" w:cs="DanaFajr"/>
          <w:sz w:val="28"/>
          <w:szCs w:val="28"/>
          <w:rtl/>
        </w:rPr>
        <w:t>سمعت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رسول الله</w:t>
      </w:r>
      <w:r w:rsidRPr="00282AC9">
        <w:rPr>
          <w:rFonts w:cs="Mosawi" w:hint="cs"/>
          <w:rtl/>
        </w:rPr>
        <w:t>|</w:t>
      </w:r>
      <w:r w:rsidRPr="00282AC9">
        <w:rPr>
          <w:rFonts w:ascii="Simplified Arabic" w:hAnsi="Simplified Arabic" w:cs="DanaFajr"/>
          <w:sz w:val="28"/>
          <w:szCs w:val="28"/>
          <w:rtl/>
        </w:rPr>
        <w:t xml:space="preserve"> يقول: </w:t>
      </w:r>
      <w:r w:rsidRPr="00282AC9">
        <w:rPr>
          <w:rFonts w:hint="eastAsia"/>
          <w:sz w:val="22"/>
          <w:szCs w:val="22"/>
          <w:rtl/>
        </w:rPr>
        <w:t>«</w:t>
      </w:r>
      <w:r w:rsidRPr="00282AC9">
        <w:rPr>
          <w:rFonts w:ascii="Simplified Arabic" w:hAnsi="Simplified Arabic" w:cs="DanaFajr"/>
          <w:sz w:val="28"/>
          <w:szCs w:val="28"/>
          <w:rtl/>
        </w:rPr>
        <w:t>حب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إيمان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وبغضه كفر</w:t>
      </w:r>
      <w:r w:rsidRPr="00282AC9">
        <w:rPr>
          <w:rFonts w:ascii="Simplified Arabic" w:hAnsi="Simplified Arabic" w:cs="DanaFajr" w:hint="cs"/>
          <w:sz w:val="28"/>
          <w:szCs w:val="28"/>
          <w:rtl/>
        </w:rPr>
        <w:t>ٌ</w:t>
      </w:r>
      <w:r w:rsidRPr="00282AC9">
        <w:rPr>
          <w:rFonts w:hint="eastAsia"/>
          <w:sz w:val="22"/>
          <w:szCs w:val="22"/>
          <w:rtl/>
        </w:rPr>
        <w:t>»</w:t>
      </w:r>
      <w:r w:rsidRPr="00282AC9">
        <w:rPr>
          <w:rFonts w:ascii="Simplified Arabic" w:hAnsi="Simplified Arabic" w:cs="DanaFajr"/>
          <w:sz w:val="28"/>
          <w:szCs w:val="28"/>
          <w:rtl/>
        </w:rPr>
        <w:t>، قال: بل</w:t>
      </w:r>
      <w:r w:rsidRPr="00282AC9">
        <w:rPr>
          <w:rFonts w:ascii="Simplified Arabic" w:hAnsi="Simplified Arabic" w:cs="DanaFajr" w:hint="cs"/>
          <w:sz w:val="28"/>
          <w:szCs w:val="28"/>
          <w:rtl/>
        </w:rPr>
        <w:t>ى</w:t>
      </w:r>
      <w:r w:rsidRPr="00282AC9">
        <w:rPr>
          <w:rFonts w:ascii="Simplified Arabic" w:hAnsi="Simplified Arabic" w:cs="DanaFajr"/>
          <w:sz w:val="28"/>
          <w:szCs w:val="28"/>
          <w:rtl/>
        </w:rPr>
        <w:t>، قال الرضا</w:t>
      </w:r>
      <w:r w:rsidRPr="00282AC9">
        <w:rPr>
          <w:rFonts w:cs="Mosawi" w:hint="cs"/>
          <w:rtl/>
        </w:rPr>
        <w:t>×</w:t>
      </w:r>
      <w:r w:rsidRPr="00282AC9">
        <w:rPr>
          <w:rFonts w:ascii="Simplified Arabic" w:hAnsi="Simplified Arabic" w:cs="DanaFajr"/>
          <w:sz w:val="28"/>
          <w:szCs w:val="28"/>
          <w:rtl/>
        </w:rPr>
        <w:t xml:space="preserve">: </w:t>
      </w:r>
      <w:r w:rsidRPr="00282AC9">
        <w:rPr>
          <w:rFonts w:hint="eastAsia"/>
          <w:sz w:val="22"/>
          <w:szCs w:val="22"/>
          <w:rtl/>
        </w:rPr>
        <w:t>«</w:t>
      </w:r>
      <w:r w:rsidRPr="00282AC9">
        <w:rPr>
          <w:rFonts w:ascii="Simplified Arabic" w:hAnsi="Simplified Arabic" w:cs="DanaFajr"/>
          <w:sz w:val="28"/>
          <w:szCs w:val="28"/>
          <w:rtl/>
        </w:rPr>
        <w:t>بذلك كان قسيم الجن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والنار</w:t>
      </w:r>
      <w:r w:rsidRPr="00282AC9">
        <w:rPr>
          <w:rFonts w:hint="eastAsia"/>
          <w:sz w:val="22"/>
          <w:szCs w:val="22"/>
          <w:rtl/>
        </w:rPr>
        <w:t>»</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قال له المأمون: لا أبقاني الله بعدك يا أبا الحسن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أشهد أنك وارث علم رسول الله</w:t>
      </w:r>
      <w:r w:rsidRPr="00282AC9">
        <w:rPr>
          <w:rFonts w:cs="Mosawi" w:hint="cs"/>
          <w:rtl/>
        </w:rPr>
        <w:t>|</w:t>
      </w:r>
      <w:r w:rsidRPr="00282AC9">
        <w:rPr>
          <w:rFonts w:ascii="Simplified Arabic" w:hAnsi="Simplified Arabic" w:cs="DanaFajr"/>
          <w:sz w:val="28"/>
          <w:szCs w:val="28"/>
          <w:rtl/>
        </w:rPr>
        <w:t>.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هاشم معروف الحسني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سيرة الأئم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r w:rsidRPr="00282AC9">
        <w:rPr>
          <w:rFonts w:ascii="Simplified Arabic" w:hAnsi="Simplified Arabic" w:cs="DanaFajr" w:hint="cs"/>
          <w:sz w:val="28"/>
          <w:szCs w:val="28"/>
          <w:rtl/>
        </w:rPr>
        <w:t xml:space="preserve"> الاثني عشر</w:t>
      </w:r>
      <w:r w:rsidRPr="00282AC9">
        <w:rPr>
          <w:rFonts w:ascii="Simplified Arabic" w:hAnsi="Simplified Arabic" w:cs="DanaFajr"/>
          <w:sz w:val="28"/>
          <w:szCs w:val="28"/>
          <w:rtl/>
        </w:rPr>
        <w:t xml:space="preserve"> 2</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402.</w:t>
      </w:r>
    </w:p>
  </w:endnote>
  <w:endnote w:id="955">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xml:space="preserve">) نحن لا نقصد من خلال استخدامنا هنا لكلمة </w:t>
      </w:r>
      <w:r w:rsidRPr="00282AC9">
        <w:rPr>
          <w:rFonts w:hint="eastAsia"/>
          <w:sz w:val="22"/>
          <w:szCs w:val="22"/>
          <w:rtl/>
        </w:rPr>
        <w:t>«</w:t>
      </w:r>
      <w:r w:rsidRPr="00282AC9">
        <w:rPr>
          <w:rFonts w:ascii="Simplified Arabic" w:hAnsi="Simplified Arabic" w:cs="DanaFajr"/>
          <w:sz w:val="28"/>
          <w:szCs w:val="28"/>
          <w:rtl/>
        </w:rPr>
        <w:t>الشخصي</w:t>
      </w:r>
      <w:r w:rsidRPr="00282AC9">
        <w:rPr>
          <w:rFonts w:ascii="Simplified Arabic" w:hAnsi="Simplified Arabic" w:cs="DanaFajr" w:hint="cs"/>
          <w:sz w:val="28"/>
          <w:szCs w:val="28"/>
          <w:rtl/>
        </w:rPr>
        <w:t>ّ</w:t>
      </w:r>
      <w:r w:rsidRPr="00282AC9">
        <w:rPr>
          <w:rFonts w:hint="eastAsia"/>
          <w:sz w:val="22"/>
          <w:szCs w:val="22"/>
          <w:rtl/>
        </w:rPr>
        <w:t>»</w:t>
      </w:r>
      <w:r w:rsidRPr="00282AC9">
        <w:rPr>
          <w:rFonts w:ascii="Simplified Arabic" w:hAnsi="Simplified Arabic" w:cs="DanaFajr"/>
          <w:sz w:val="28"/>
          <w:szCs w:val="28"/>
          <w:rtl/>
        </w:rPr>
        <w:t xml:space="preserve"> أن الإمام الرضا</w:t>
      </w:r>
      <w:r w:rsidRPr="00282AC9">
        <w:rPr>
          <w:rFonts w:cs="Mosawi" w:hint="cs"/>
          <w:rtl/>
        </w:rPr>
        <w:t>×</w:t>
      </w:r>
      <w:r w:rsidRPr="00282AC9">
        <w:rPr>
          <w:rFonts w:ascii="Simplified Arabic" w:hAnsi="Simplified Arabic" w:cs="DanaFajr"/>
          <w:sz w:val="28"/>
          <w:szCs w:val="28"/>
          <w:rtl/>
        </w:rPr>
        <w:t xml:space="preserve"> كان يهدف من وراء عمله العلمي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إلى بناء مجد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شخصي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على حساب الإسلام والمسلمين، ولكن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نريد بذلك أن نؤك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 أن هذه المناظرات والندوات ـ التي كانت تعقد باستمرار خلال ولايته للعهد 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ام المأمون ـ قد قد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مته</w:t>
      </w:r>
      <w:r w:rsidRPr="00282AC9">
        <w:rPr>
          <w:rFonts w:cs="Mosawi" w:hint="cs"/>
          <w:rtl/>
        </w:rPr>
        <w:t>×</w:t>
      </w:r>
      <w:r w:rsidRPr="00282AC9">
        <w:rPr>
          <w:rFonts w:ascii="Simplified Arabic" w:hAnsi="Simplified Arabic" w:cs="DanaFajr"/>
          <w:sz w:val="28"/>
          <w:szCs w:val="28"/>
          <w:rtl/>
        </w:rPr>
        <w:t xml:space="preserve"> بصفة صاحب مشروع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ونهج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علمي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وثقافي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كبير، يرتكز على مبادئ وقواعد الإيمان الديني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الإسلامي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وأبرز</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 كقائد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رسالي فذ</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استطاع أن ينفع الناس بالإسلام (أكثر مما انتفع هو)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 خلال وجوده الشخصي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كولي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للعهد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بالرغم من رفضه المطلق لهذه الولاية (الشكلية). لكن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الأمر الذي يبقى يلاحقنا باستمرار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ـ نحن أبناء هذا العصر ـ هو أن الإمام الرضا</w:t>
      </w:r>
      <w:r w:rsidRPr="00282AC9">
        <w:rPr>
          <w:rFonts w:cs="Mosawi" w:hint="cs"/>
          <w:rtl/>
        </w:rPr>
        <w:t>×</w:t>
      </w:r>
      <w:r w:rsidRPr="00282AC9">
        <w:rPr>
          <w:rFonts w:ascii="Simplified Arabic" w:hAnsi="Simplified Arabic" w:cs="DanaFajr"/>
          <w:sz w:val="28"/>
          <w:szCs w:val="28"/>
          <w:rtl/>
        </w:rPr>
        <w:t xml:space="preserve"> قد طرح على نفسه أكثر من سؤال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ووضع له أكثر من جواب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ودعا إلى الإسلام الصحيح، وأص</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 ثوابته وأركانه في ذهني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الأمة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بالرغم من وجود أزمات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سياسية واجتماعية عاشها الرضا</w:t>
      </w:r>
      <w:r w:rsidRPr="00282AC9">
        <w:rPr>
          <w:rFonts w:cs="Mosawi" w:hint="cs"/>
          <w:rtl/>
        </w:rPr>
        <w:t>×</w:t>
      </w:r>
      <w:r w:rsidRPr="00282AC9">
        <w:rPr>
          <w:rFonts w:ascii="Simplified Arabic" w:hAnsi="Simplified Arabic" w:cs="DanaFajr"/>
          <w:sz w:val="28"/>
          <w:szCs w:val="28"/>
          <w:rtl/>
        </w:rPr>
        <w:t xml:space="preserve"> آنذاك. ونحن نعيش هنا في ظل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واقع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آخر جديد يفرض نفسه علينا بقو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ويطلب منا باستمرار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أن نستجيب لتحد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ياته ومتغي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راته ومختلف تعقيداته، لذلك علينا أن نطرح على أنفسنا الكثير من الأسئلة العملي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الواعية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لنحد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 من خلالها حجم مشكلاتنا ومصاعبنا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بما يساعدنا على اختيار المناهج (والإجابات) الأفضل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تساعدنا على تحقيق وجودنا وذاتنا الحضارية الإسلامية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ربطوها بالعنف والقتل والتطر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ف والإرهاب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بمساعدة كثير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 مواقع وأبناء هذه الأم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للأسف الشديد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p>
  </w:endnote>
  <w:endnote w:id="956">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لحسني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سيرة الأئم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r w:rsidRPr="00282AC9">
        <w:rPr>
          <w:rFonts w:ascii="Simplified Arabic" w:hAnsi="Simplified Arabic" w:cs="DanaFajr" w:hint="cs"/>
          <w:sz w:val="28"/>
          <w:szCs w:val="28"/>
          <w:rtl/>
        </w:rPr>
        <w:t xml:space="preserve"> الاثني عشر</w:t>
      </w:r>
      <w:r w:rsidRPr="00282AC9">
        <w:rPr>
          <w:rFonts w:ascii="Simplified Arabic" w:hAnsi="Simplified Arabic" w:cs="DanaFajr"/>
          <w:sz w:val="28"/>
          <w:szCs w:val="28"/>
          <w:rtl/>
        </w:rPr>
        <w:t xml:space="preserve"> 2: 460.</w:t>
      </w:r>
    </w:p>
  </w:endnote>
  <w:endnote w:id="957">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هذا المنطق ـ الرافض بالمطلق إعطاء 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شرعية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لأنظمة الاستبداد والظلم في 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زمان ومكان ـ لم يكن يعني بالضرورة عدم وجود استثناءات أو بدائل واقعي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لكيفي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التعامل مع أولئك الظلمة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بما يضمن المحافظة على الخطوط الإسلامية الأساسية.</w:t>
      </w:r>
    </w:p>
  </w:endnote>
  <w:endnote w:id="958">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w:t>
      </w:r>
      <w:r w:rsidRPr="00282AC9">
        <w:rPr>
          <w:rFonts w:ascii="Simplified Arabic" w:hAnsi="Simplified Arabic" w:cs="DanaFajr"/>
          <w:sz w:val="28"/>
          <w:szCs w:val="28"/>
          <w:rtl/>
        </w:rPr>
        <w:t>لح</w:t>
      </w:r>
      <w:r w:rsidRPr="00282AC9">
        <w:rPr>
          <w:rFonts w:ascii="Simplified Arabic" w:hAnsi="Simplified Arabic" w:cs="DanaFajr" w:hint="cs"/>
          <w:sz w:val="28"/>
          <w:szCs w:val="28"/>
          <w:rtl/>
        </w:rPr>
        <w:t>ُ</w:t>
      </w:r>
      <w:r w:rsidRPr="00282AC9">
        <w:rPr>
          <w:rFonts w:ascii="Simplified Arabic" w:hAnsi="Simplified Arabic" w:cs="DanaFajr"/>
          <w:sz w:val="28"/>
          <w:szCs w:val="28"/>
          <w:rtl/>
        </w:rPr>
        <w:t>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العاملي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وسائل الشيعة 6: 138. </w:t>
      </w:r>
    </w:p>
  </w:endnote>
  <w:endnote w:id="959">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xml:space="preserve">) انظر: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لطوسي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الاستبصار 6</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 xml:space="preserve">333. والذي يجدر ذكره هنا هو أن هذا الحديث نفسه ينسب </w:t>
      </w:r>
      <w:r w:rsidRPr="00282AC9">
        <w:rPr>
          <w:rFonts w:ascii="Simplified Arabic" w:hAnsi="Simplified Arabic" w:cs="DanaFajr" w:hint="cs"/>
          <w:sz w:val="28"/>
          <w:szCs w:val="28"/>
          <w:rtl/>
        </w:rPr>
        <w:t>إلى ا</w:t>
      </w:r>
      <w:r w:rsidRPr="00282AC9">
        <w:rPr>
          <w:rFonts w:ascii="Simplified Arabic" w:hAnsi="Simplified Arabic" w:cs="DanaFajr"/>
          <w:sz w:val="28"/>
          <w:szCs w:val="28"/>
          <w:rtl/>
        </w:rPr>
        <w:t>لإمام الكاظم</w:t>
      </w:r>
      <w:r w:rsidRPr="00282AC9">
        <w:rPr>
          <w:rFonts w:cs="Mosawi" w:hint="cs"/>
          <w:rtl/>
        </w:rPr>
        <w:t>×</w:t>
      </w:r>
      <w:r w:rsidRPr="00282AC9">
        <w:rPr>
          <w:rFonts w:ascii="Simplified Arabic" w:hAnsi="Simplified Arabic" w:cs="DanaFajr"/>
          <w:sz w:val="28"/>
          <w:szCs w:val="28"/>
          <w:rtl/>
        </w:rPr>
        <w:t>.</w:t>
      </w:r>
    </w:p>
  </w:endnote>
  <w:endnote w:id="960">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xml:space="preserve">) عيون الأخبار 2: 66. </w:t>
      </w:r>
    </w:p>
  </w:endnote>
  <w:endnote w:id="961">
    <w:p w:rsidR="00C14EDE" w:rsidRPr="00282AC9" w:rsidRDefault="00C14EDE" w:rsidP="00142A7C">
      <w:pPr>
        <w:pStyle w:val="af7"/>
        <w:tabs>
          <w:tab w:val="left" w:pos="2342"/>
        </w:tabs>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جاء في رواية العيون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محمد بن يزيد النحوي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أبيه أنه قال: إن المأمون وهب جرم زيد بن موسى إلى أخيه الرضا</w:t>
      </w:r>
      <w:r w:rsidRPr="00282AC9">
        <w:rPr>
          <w:rFonts w:cs="Mosawi" w:hint="cs"/>
          <w:rtl/>
        </w:rPr>
        <w:t>×</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وقال له: يا أبا الحسن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w:t>
      </w:r>
      <w:r w:rsidRPr="00282AC9">
        <w:rPr>
          <w:rFonts w:ascii="Simplified Arabic" w:hAnsi="Simplified Arabic" w:cs="DanaFajr" w:hint="cs"/>
          <w:sz w:val="28"/>
          <w:szCs w:val="28"/>
          <w:rtl/>
        </w:rPr>
        <w:t>ئ</w:t>
      </w:r>
      <w:r w:rsidRPr="00282AC9">
        <w:rPr>
          <w:rFonts w:ascii="Simplified Arabic" w:hAnsi="Simplified Arabic" w:cs="DanaFajr"/>
          <w:sz w:val="28"/>
          <w:szCs w:val="28"/>
          <w:rtl/>
        </w:rPr>
        <w:t>ن خرج أخوك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وفعل ما فعل، فلقد خرج قبله زيد بن علي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وقتل، ولولا مكانك من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 لقتلتك، فليس ما أتاه بصغير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فقال الإمام الرضا</w:t>
      </w:r>
      <w:r w:rsidRPr="00282AC9">
        <w:rPr>
          <w:rFonts w:cs="Mosawi" w:hint="cs"/>
          <w:rtl/>
        </w:rPr>
        <w:t>×</w:t>
      </w:r>
      <w:r w:rsidRPr="00282AC9">
        <w:rPr>
          <w:rFonts w:ascii="Simplified Arabic" w:hAnsi="Simplified Arabic" w:cs="DanaFajr"/>
          <w:sz w:val="28"/>
          <w:szCs w:val="28"/>
          <w:rtl/>
        </w:rPr>
        <w:t xml:space="preserve">: </w:t>
      </w:r>
      <w:r w:rsidRPr="00282AC9">
        <w:rPr>
          <w:rFonts w:hint="eastAsia"/>
          <w:sz w:val="22"/>
          <w:szCs w:val="22"/>
          <w:rtl/>
        </w:rPr>
        <w:t>«</w:t>
      </w:r>
      <w:r w:rsidRPr="00282AC9">
        <w:rPr>
          <w:rFonts w:ascii="Simplified Arabic" w:hAnsi="Simplified Arabic" w:cs="DanaFajr"/>
          <w:sz w:val="28"/>
          <w:szCs w:val="28"/>
          <w:rtl/>
        </w:rPr>
        <w:t>يا أمير المؤمنين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لا تق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سْ أخي زيداً إلى زيد بن علي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بن الحسين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فإنه من علماء آل محمد</w:t>
      </w:r>
      <w:r w:rsidRPr="00282AC9">
        <w:rPr>
          <w:rFonts w:cs="Mosawi" w:hint="cs"/>
          <w:rtl/>
        </w:rPr>
        <w:t>|</w:t>
      </w:r>
      <w:r w:rsidRPr="00282AC9">
        <w:rPr>
          <w:rFonts w:ascii="Simplified Arabic" w:hAnsi="Simplified Arabic" w:cs="DanaFajr"/>
          <w:sz w:val="28"/>
          <w:szCs w:val="28"/>
          <w:rtl/>
        </w:rPr>
        <w:t>، غضب لله عز</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وجل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فجاهد أعدا</w:t>
      </w:r>
      <w:r w:rsidRPr="00282AC9">
        <w:rPr>
          <w:rFonts w:ascii="Simplified Arabic" w:hAnsi="Simplified Arabic" w:cs="DanaFajr" w:hint="cs"/>
          <w:sz w:val="28"/>
          <w:szCs w:val="28"/>
          <w:rtl/>
        </w:rPr>
        <w:t>ء</w:t>
      </w:r>
      <w:r w:rsidRPr="00282AC9">
        <w:rPr>
          <w:rFonts w:ascii="Simplified Arabic" w:hAnsi="Simplified Arabic" w:cs="DanaFajr"/>
          <w:sz w:val="28"/>
          <w:szCs w:val="28"/>
          <w:rtl/>
        </w:rPr>
        <w:t>ه حت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ى </w:t>
      </w:r>
      <w:r w:rsidRPr="00282AC9">
        <w:rPr>
          <w:rFonts w:ascii="Simplified Arabic" w:hAnsi="Simplified Arabic" w:cs="DanaFajr" w:hint="cs"/>
          <w:sz w:val="28"/>
          <w:szCs w:val="28"/>
          <w:rtl/>
        </w:rPr>
        <w:t>ق</w:t>
      </w:r>
      <w:r w:rsidRPr="00282AC9">
        <w:rPr>
          <w:rFonts w:ascii="Simplified Arabic" w:hAnsi="Simplified Arabic" w:cs="DanaFajr"/>
          <w:sz w:val="28"/>
          <w:szCs w:val="28"/>
          <w:rtl/>
        </w:rPr>
        <w:t>تل في سبيله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ولقد حد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ثني أبي موسى بن جعفر أنه سمع أباه جعفر بن محمد يقول: </w:t>
      </w:r>
      <w:r w:rsidRPr="00282AC9">
        <w:rPr>
          <w:rFonts w:hint="eastAsia"/>
          <w:sz w:val="22"/>
          <w:szCs w:val="22"/>
          <w:rtl/>
        </w:rPr>
        <w:t>«</w:t>
      </w:r>
      <w:r w:rsidRPr="00282AC9">
        <w:rPr>
          <w:rFonts w:ascii="Simplified Arabic" w:hAnsi="Simplified Arabic" w:cs="DanaFajr"/>
          <w:sz w:val="28"/>
          <w:szCs w:val="28"/>
          <w:rtl/>
        </w:rPr>
        <w:t>رحم الله عم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ي زيداً، </w:t>
      </w:r>
      <w:r w:rsidRPr="00282AC9">
        <w:rPr>
          <w:rFonts w:ascii="Simplified Arabic" w:hAnsi="Simplified Arabic" w:cs="DanaFajr" w:hint="cs"/>
          <w:sz w:val="28"/>
          <w:szCs w:val="28"/>
          <w:rtl/>
        </w:rPr>
        <w:t>إ</w:t>
      </w:r>
      <w:r w:rsidRPr="00282AC9">
        <w:rPr>
          <w:rFonts w:ascii="Simplified Arabic" w:hAnsi="Simplified Arabic" w:cs="DanaFajr"/>
          <w:sz w:val="28"/>
          <w:szCs w:val="28"/>
          <w:rtl/>
        </w:rPr>
        <w:t>نه دعا إلى الرضا من آل محمد، ولو ظفر لوفى بما دعا إليه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ولقد استشارني في خروجه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فقلت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له: يا عم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إ</w:t>
      </w:r>
      <w:r w:rsidRPr="00282AC9">
        <w:rPr>
          <w:rFonts w:ascii="Simplified Arabic" w:hAnsi="Simplified Arabic" w:cs="DanaFajr"/>
          <w:sz w:val="28"/>
          <w:szCs w:val="28"/>
          <w:rtl/>
        </w:rPr>
        <w:t>ن رضيت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أن تكون المقتول بالكناسة فشأنك، فلما ولي قال جعفر بن محمد: ويل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سمع داعيته فلم 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w:t>
      </w:r>
      <w:r w:rsidRPr="00282AC9">
        <w:rPr>
          <w:rFonts w:hint="eastAsia"/>
          <w:sz w:val="22"/>
          <w:szCs w:val="22"/>
          <w:rtl/>
        </w:rPr>
        <w:t>»</w:t>
      </w:r>
      <w:r w:rsidRPr="00282AC9">
        <w:rPr>
          <w:rFonts w:ascii="Simplified Arabic" w:hAnsi="Simplified Arabic" w:cs="DanaFajr"/>
          <w:sz w:val="28"/>
          <w:szCs w:val="28"/>
          <w:rtl/>
        </w:rPr>
        <w:t>، فقال له المأمون: يا أبا الحسن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أليس قد جاء فيم</w:t>
      </w:r>
      <w:r w:rsidRPr="00282AC9">
        <w:rPr>
          <w:rFonts w:ascii="Simplified Arabic" w:hAnsi="Simplified Arabic" w:cs="DanaFajr" w:hint="cs"/>
          <w:sz w:val="28"/>
          <w:szCs w:val="28"/>
          <w:rtl/>
        </w:rPr>
        <w:t>َنْ</w:t>
      </w:r>
      <w:r w:rsidRPr="00282AC9">
        <w:rPr>
          <w:rFonts w:ascii="Simplified Arabic" w:hAnsi="Simplified Arabic" w:cs="DanaFajr"/>
          <w:sz w:val="28"/>
          <w:szCs w:val="28"/>
          <w:rtl/>
        </w:rPr>
        <w:t xml:space="preserve"> اد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عى الإمامة بغير حق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ها ما جاء، فقال الإمام الرضا</w:t>
      </w:r>
      <w:r w:rsidRPr="00282AC9">
        <w:rPr>
          <w:rFonts w:cs="Mosawi" w:hint="cs"/>
          <w:rtl/>
        </w:rPr>
        <w:t>×</w:t>
      </w:r>
      <w:r w:rsidRPr="00282AC9">
        <w:rPr>
          <w:rFonts w:ascii="Simplified Arabic" w:hAnsi="Simplified Arabic" w:cs="DanaFajr"/>
          <w:sz w:val="28"/>
          <w:szCs w:val="28"/>
          <w:rtl/>
        </w:rPr>
        <w:t xml:space="preserve">: </w:t>
      </w:r>
      <w:r w:rsidRPr="00282AC9">
        <w:rPr>
          <w:rFonts w:hint="eastAsia"/>
          <w:sz w:val="22"/>
          <w:szCs w:val="22"/>
          <w:rtl/>
        </w:rPr>
        <w:t>«</w:t>
      </w:r>
      <w:r w:rsidRPr="00282AC9">
        <w:rPr>
          <w:rFonts w:ascii="Simplified Arabic" w:hAnsi="Simplified Arabic" w:cs="DanaFajr"/>
          <w:sz w:val="28"/>
          <w:szCs w:val="28"/>
          <w:rtl/>
        </w:rPr>
        <w:t>إن زيد بن علي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لم يد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ما ليس له بحق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وأنه كان أتقى لله من ذلك، إنه قال: </w:t>
      </w:r>
      <w:r w:rsidRPr="00282AC9">
        <w:rPr>
          <w:rFonts w:hint="eastAsia"/>
          <w:sz w:val="22"/>
          <w:szCs w:val="22"/>
          <w:rtl/>
        </w:rPr>
        <w:t>«</w:t>
      </w:r>
      <w:r w:rsidRPr="00282AC9">
        <w:rPr>
          <w:rFonts w:ascii="Simplified Arabic" w:hAnsi="Simplified Arabic" w:cs="DanaFajr"/>
          <w:sz w:val="28"/>
          <w:szCs w:val="28"/>
          <w:rtl/>
        </w:rPr>
        <w:t>أدعوكم إلى الضامن من آل محمد، وكان زيد والله مم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ن خطب بهذه الآية: </w:t>
      </w:r>
      <w:r w:rsidRPr="00282AC9">
        <w:rPr>
          <w:rFonts w:ascii="Mosawi" w:hAnsi="Mosawi" w:cs="Mosawi"/>
          <w:sz w:val="22"/>
          <w:szCs w:val="22"/>
          <w:rtl/>
        </w:rPr>
        <w:t>﴿</w:t>
      </w:r>
      <w:r w:rsidRPr="00282AC9">
        <w:rPr>
          <w:rFonts w:ascii="Simplified Arabic" w:hAnsi="Simplified Arabic" w:cs="DanaFajr"/>
          <w:b/>
          <w:bCs/>
          <w:sz w:val="28"/>
          <w:szCs w:val="28"/>
          <w:rtl/>
        </w:rPr>
        <w:t>و</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ج</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اه</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د</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وا ف</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ي س</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ب</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يل</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 xml:space="preserve"> </w:t>
      </w:r>
      <w:r w:rsidRPr="00282AC9">
        <w:rPr>
          <w:rFonts w:ascii="Simplified Arabic" w:hAnsi="Simplified Arabic" w:cs="DanaFajr" w:hint="cs"/>
          <w:b/>
          <w:bCs/>
          <w:sz w:val="28"/>
          <w:szCs w:val="28"/>
          <w:rtl/>
        </w:rPr>
        <w:t xml:space="preserve">اللهِ </w:t>
      </w:r>
      <w:r w:rsidRPr="00282AC9">
        <w:rPr>
          <w:rFonts w:ascii="Simplified Arabic" w:hAnsi="Simplified Arabic" w:cs="DanaFajr"/>
          <w:b/>
          <w:bCs/>
          <w:sz w:val="28"/>
          <w:szCs w:val="28"/>
          <w:rtl/>
        </w:rPr>
        <w:t>ح</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ق</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 xml:space="preserve"> ج</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ه</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اد</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ه</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 xml:space="preserve"> ه</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و</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 xml:space="preserve"> اج</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ت</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ب</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اك</w:t>
      </w:r>
      <w:r w:rsidRPr="00282AC9">
        <w:rPr>
          <w:rFonts w:ascii="Simplified Arabic" w:hAnsi="Simplified Arabic" w:cs="DanaFajr" w:hint="cs"/>
          <w:b/>
          <w:bCs/>
          <w:sz w:val="28"/>
          <w:szCs w:val="28"/>
          <w:rtl/>
        </w:rPr>
        <w:t>ُ</w:t>
      </w:r>
      <w:r w:rsidRPr="00282AC9">
        <w:rPr>
          <w:rFonts w:ascii="Simplified Arabic" w:hAnsi="Simplified Arabic" w:cs="DanaFajr"/>
          <w:b/>
          <w:bCs/>
          <w:sz w:val="28"/>
          <w:szCs w:val="28"/>
          <w:rtl/>
        </w:rPr>
        <w:t>م</w:t>
      </w:r>
      <w:r w:rsidRPr="00282AC9">
        <w:rPr>
          <w:rFonts w:ascii="Simplified Arabic" w:hAnsi="Simplified Arabic" w:cs="DanaFajr" w:hint="cs"/>
          <w:b/>
          <w:bCs/>
          <w:sz w:val="28"/>
          <w:szCs w:val="28"/>
          <w:rtl/>
        </w:rPr>
        <w:t>ْ</w:t>
      </w:r>
      <w:r w:rsidRPr="00282AC9">
        <w:rPr>
          <w:rFonts w:ascii="Mosawi" w:hAnsi="Mosawi" w:cs="Mosawi"/>
          <w:sz w:val="22"/>
          <w:szCs w:val="22"/>
          <w:rtl/>
        </w:rPr>
        <w:t>﴾</w:t>
      </w:r>
      <w:r w:rsidRPr="00282AC9">
        <w:rPr>
          <w:rFonts w:hint="eastAsia"/>
          <w:sz w:val="22"/>
          <w:szCs w:val="22"/>
          <w:rtl/>
        </w:rPr>
        <w:t>»</w:t>
      </w:r>
      <w:r w:rsidRPr="00282AC9">
        <w:rPr>
          <w:rFonts w:ascii="Simplified Arabic" w:hAnsi="Simplified Arabic" w:cs="DanaFajr"/>
          <w:sz w:val="28"/>
          <w:szCs w:val="28"/>
          <w:rtl/>
        </w:rPr>
        <w:t>.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 xml:space="preserve">الحسني، </w:t>
      </w:r>
      <w:r w:rsidRPr="00282AC9">
        <w:rPr>
          <w:rFonts w:ascii="Simplified Arabic" w:hAnsi="Simplified Arabic" w:cs="DanaFajr"/>
          <w:sz w:val="28"/>
          <w:szCs w:val="28"/>
          <w:rtl/>
        </w:rPr>
        <w:t>سيرة الأئم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ة </w:t>
      </w:r>
      <w:r w:rsidRPr="00282AC9">
        <w:rPr>
          <w:rFonts w:ascii="Simplified Arabic" w:hAnsi="Simplified Arabic" w:cs="DanaFajr" w:hint="cs"/>
          <w:sz w:val="28"/>
          <w:szCs w:val="28"/>
          <w:rtl/>
        </w:rPr>
        <w:t>الاثني عشر</w:t>
      </w:r>
      <w:r w:rsidRPr="00282AC9">
        <w:rPr>
          <w:rFonts w:ascii="Simplified Arabic" w:hAnsi="Simplified Arabic" w:cs="DanaFajr"/>
          <w:sz w:val="28"/>
          <w:szCs w:val="28"/>
          <w:rtl/>
        </w:rPr>
        <w:t xml:space="preserve"> 2</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401). ونلاحظ بعد دراسة هذه الرواية أن الإمام الرضا</w:t>
      </w:r>
      <w:r w:rsidRPr="00282AC9">
        <w:rPr>
          <w:rFonts w:cs="Mosawi" w:hint="cs"/>
          <w:rtl/>
        </w:rPr>
        <w:t>×</w:t>
      </w:r>
      <w:r w:rsidRPr="00282AC9">
        <w:rPr>
          <w:rFonts w:ascii="Simplified Arabic" w:hAnsi="Simplified Arabic" w:cs="DanaFajr"/>
          <w:sz w:val="28"/>
          <w:szCs w:val="28"/>
          <w:rtl/>
        </w:rPr>
        <w:t xml:space="preserve"> يرك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ز على معنى الثورة الواعية المستنيرة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التي تقوم على أساس وجود أهداف رسالية إسلامية واضحة، وتمارس أعمالاً شرعي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منظمة (نموذج ثورة زيد بن علي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ويدافع</w:t>
      </w:r>
      <w:r w:rsidRPr="00282AC9">
        <w:rPr>
          <w:rFonts w:cs="Mosawi" w:hint="cs"/>
          <w:rtl/>
        </w:rPr>
        <w:t>×</w:t>
      </w:r>
      <w:r w:rsidRPr="00282AC9">
        <w:rPr>
          <w:rFonts w:ascii="Simplified Arabic" w:hAnsi="Simplified Arabic" w:cs="DanaFajr"/>
          <w:sz w:val="28"/>
          <w:szCs w:val="28"/>
          <w:rtl/>
        </w:rPr>
        <w:t xml:space="preserve"> عنها بقو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ويعتبرها ثورة تقوى لله. </w:t>
      </w:r>
    </w:p>
  </w:endnote>
  <w:endnote w:id="962">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w:t>
      </w:r>
      <w:r w:rsidRPr="00282AC9">
        <w:rPr>
          <w:rFonts w:ascii="Simplified Arabic" w:hAnsi="Simplified Arabic" w:cs="DanaFajr"/>
          <w:sz w:val="28"/>
          <w:szCs w:val="28"/>
          <w:rtl/>
        </w:rPr>
        <w:t>لحسني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سيرة الأئم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r w:rsidRPr="00282AC9">
        <w:rPr>
          <w:rFonts w:ascii="Simplified Arabic" w:hAnsi="Simplified Arabic" w:cs="DanaFajr" w:hint="cs"/>
          <w:sz w:val="28"/>
          <w:szCs w:val="28"/>
          <w:rtl/>
        </w:rPr>
        <w:t xml:space="preserve"> الاثني عشر</w:t>
      </w:r>
      <w:r w:rsidRPr="00282AC9">
        <w:rPr>
          <w:rFonts w:ascii="Simplified Arabic" w:hAnsi="Simplified Arabic" w:cs="DanaFajr"/>
          <w:sz w:val="28"/>
          <w:szCs w:val="28"/>
          <w:rtl/>
        </w:rPr>
        <w:t xml:space="preserve"> 2: 398. </w:t>
      </w:r>
    </w:p>
  </w:endnote>
  <w:endnote w:id="963">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لقد كانت معظم تلك الثورات انفعالية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ساذجة، ومليئة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بالتناقضات الذاتية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حت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ى من قبل قواعدها الشعبية الملتزمة بها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ولذلك كانت النتائج التي أد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إليها هذه الثورات سلبي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وأحياناً كارثية، ولم تقد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 أي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خدمة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للمجتمع. وبطبيعة الحال يعود سبب إخفاق معظم تلك الثورات ـ في 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يها وسلوكها ـ إلى انعدام الإدراك الكامل والو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 الموضوعي الواقعي بأهداف وغايات الدولة الإسلامية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والإيمان بواقعي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تها وأهم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يتها التاريخية.</w:t>
      </w:r>
    </w:p>
  </w:endnote>
  <w:endnote w:id="964">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يمكن مراجعة بعض أعماله وتجاوزاته، وروايات أخرى عنه، في كتب كثيرة، منها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كتاب سيرة الأئم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ة </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للحسني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2</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396.</w:t>
      </w:r>
    </w:p>
  </w:endnote>
  <w:endnote w:id="965">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قلنا بأن أئم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أهل البيت</w:t>
      </w:r>
      <w:r w:rsidRPr="00282AC9">
        <w:rPr>
          <w:rFonts w:cs="Mosawi" w:hint="cs"/>
          <w:rtl/>
        </w:rPr>
        <w:t>^</w:t>
      </w:r>
      <w:r w:rsidRPr="00282AC9">
        <w:rPr>
          <w:rFonts w:ascii="Simplified Arabic" w:hAnsi="Simplified Arabic" w:cs="DanaFajr"/>
          <w:sz w:val="28"/>
          <w:szCs w:val="28"/>
          <w:rtl/>
        </w:rPr>
        <w:t xml:space="preserve"> كانوا ـ من جهة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أولى ـ ينه</w:t>
      </w:r>
      <w:r w:rsidRPr="00282AC9">
        <w:rPr>
          <w:rFonts w:ascii="Simplified Arabic" w:hAnsi="Simplified Arabic" w:cs="DanaFajr" w:hint="cs"/>
          <w:sz w:val="28"/>
          <w:szCs w:val="28"/>
          <w:rtl/>
        </w:rPr>
        <w:t>َ</w:t>
      </w:r>
      <w:r w:rsidRPr="00282AC9">
        <w:rPr>
          <w:rFonts w:ascii="Simplified Arabic" w:hAnsi="Simplified Arabic" w:cs="DanaFajr"/>
          <w:sz w:val="28"/>
          <w:szCs w:val="28"/>
          <w:rtl/>
        </w:rPr>
        <w:t>و</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 بشدّة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عن التعاون والتقارب مع الجهاز السياسي (وغير السياسي) الحاكم لبني أمي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وبني العب</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اس</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بينما كانوا ـ من جهة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ثانية ـ يعطون 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خ</w:t>
      </w:r>
      <w:r w:rsidRPr="00282AC9">
        <w:rPr>
          <w:rFonts w:ascii="Simplified Arabic" w:hAnsi="Simplified Arabic" w:cs="DanaFajr" w:hint="cs"/>
          <w:sz w:val="28"/>
          <w:szCs w:val="28"/>
          <w:rtl/>
        </w:rPr>
        <w:t>َ</w:t>
      </w:r>
      <w:r w:rsidRPr="00282AC9">
        <w:rPr>
          <w:rFonts w:ascii="Simplified Arabic" w:hAnsi="Simplified Arabic" w:cs="DanaFajr"/>
          <w:sz w:val="28"/>
          <w:szCs w:val="28"/>
          <w:rtl/>
        </w:rPr>
        <w:t>صاً شرعية لبعض الأفراد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تقضي بالإمضاء والموافقة على انخراطهم في جهاز هذه الدولة أو تلك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 أجل تحقيق بعض المصالح والأهداف الإسلامية العليا المت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صلة بمصير وجود الأم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ومحاولة تخفيف بعض المظالم والشرور عن كاهل المجتمع الإسلامي. ونذكر هنا</w:t>
      </w:r>
      <w:r w:rsidRPr="00282AC9">
        <w:rPr>
          <w:rFonts w:ascii="Simplified Arabic" w:hAnsi="Simplified Arabic" w:cs="DanaFajr" w:hint="cs"/>
          <w:sz w:val="28"/>
          <w:szCs w:val="28"/>
          <w:rtl/>
        </w:rPr>
        <w:t xml:space="preserve"> ـ</w:t>
      </w:r>
      <w:r w:rsidRPr="00282AC9">
        <w:rPr>
          <w:rFonts w:ascii="Simplified Arabic" w:hAnsi="Simplified Arabic" w:cs="DanaFajr"/>
          <w:sz w:val="28"/>
          <w:szCs w:val="28"/>
          <w:rtl/>
        </w:rPr>
        <w:t xml:space="preserve"> على سبيل المثال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لا الحصر</w:t>
      </w:r>
      <w:r w:rsidRPr="00282AC9">
        <w:rPr>
          <w:rFonts w:ascii="Simplified Arabic" w:hAnsi="Simplified Arabic" w:cs="DanaFajr" w:hint="cs"/>
          <w:sz w:val="28"/>
          <w:szCs w:val="28"/>
          <w:rtl/>
        </w:rPr>
        <w:t xml:space="preserve"> ـ</w:t>
      </w:r>
      <w:r w:rsidRPr="00282AC9">
        <w:rPr>
          <w:rFonts w:ascii="Simplified Arabic" w:hAnsi="Simplified Arabic" w:cs="DanaFajr"/>
          <w:sz w:val="28"/>
          <w:szCs w:val="28"/>
          <w:rtl/>
        </w:rPr>
        <w:t xml:space="preserve"> علي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بن يقطين، أو إسماعيل بن بزيع</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حيث توجد روايات وأقوال كثيرة تثني وتمدح هذين العاملين في خط</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الله، وأمثالهما</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 قبيل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إ</w:t>
      </w:r>
      <w:r w:rsidRPr="00282AC9">
        <w:rPr>
          <w:rFonts w:ascii="Simplified Arabic" w:hAnsi="Simplified Arabic" w:cs="DanaFajr"/>
          <w:sz w:val="28"/>
          <w:szCs w:val="28"/>
          <w:rtl/>
        </w:rPr>
        <w:t xml:space="preserve">ن هؤلاء </w:t>
      </w:r>
      <w:r w:rsidRPr="00282AC9">
        <w:rPr>
          <w:rFonts w:hint="eastAsia"/>
          <w:sz w:val="22"/>
          <w:szCs w:val="22"/>
          <w:rtl/>
        </w:rPr>
        <w:t>«</w:t>
      </w:r>
      <w:r w:rsidRPr="00282AC9">
        <w:rPr>
          <w:rFonts w:ascii="Simplified Arabic" w:hAnsi="Simplified Arabic" w:cs="DanaFajr"/>
          <w:sz w:val="28"/>
          <w:szCs w:val="28"/>
          <w:rtl/>
        </w:rPr>
        <w:t>من أولياء الله الأول</w:t>
      </w:r>
      <w:r w:rsidRPr="00282AC9">
        <w:rPr>
          <w:rFonts w:hint="eastAsia"/>
          <w:sz w:val="22"/>
          <w:szCs w:val="22"/>
          <w:rtl/>
        </w:rPr>
        <w:t>»</w:t>
      </w:r>
      <w:r w:rsidRPr="00282AC9">
        <w:rPr>
          <w:rFonts w:ascii="Simplified Arabic" w:hAnsi="Simplified Arabic" w:cs="DanaFajr"/>
          <w:sz w:val="28"/>
          <w:szCs w:val="28"/>
          <w:rtl/>
        </w:rPr>
        <w:t>. لزيادة الاط</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لاع على موضوعة </w:t>
      </w:r>
      <w:r w:rsidRPr="00282AC9">
        <w:rPr>
          <w:rFonts w:hint="eastAsia"/>
          <w:sz w:val="22"/>
          <w:szCs w:val="22"/>
          <w:rtl/>
        </w:rPr>
        <w:t>«</w:t>
      </w:r>
      <w:r w:rsidRPr="00282AC9">
        <w:rPr>
          <w:rFonts w:ascii="Simplified Arabic" w:hAnsi="Simplified Arabic" w:cs="DanaFajr"/>
          <w:sz w:val="28"/>
          <w:szCs w:val="28"/>
          <w:rtl/>
        </w:rPr>
        <w:t>ولاية الجائر</w:t>
      </w:r>
      <w:r w:rsidRPr="00282AC9">
        <w:rPr>
          <w:rFonts w:hint="eastAsia"/>
          <w:sz w:val="22"/>
          <w:szCs w:val="22"/>
          <w:rtl/>
        </w:rPr>
        <w:t>»</w:t>
      </w:r>
      <w:r w:rsidRPr="00282AC9">
        <w:rPr>
          <w:rFonts w:ascii="Simplified Arabic" w:hAnsi="Simplified Arabic" w:cs="DanaFajr"/>
          <w:sz w:val="28"/>
          <w:szCs w:val="28"/>
          <w:rtl/>
        </w:rPr>
        <w:t xml:space="preserve"> يمكن مراجعة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ا</w:t>
      </w:r>
      <w:r w:rsidRPr="00282AC9">
        <w:rPr>
          <w:rFonts w:ascii="Simplified Arabic" w:hAnsi="Simplified Arabic" w:cs="DanaFajr"/>
          <w:sz w:val="28"/>
          <w:szCs w:val="28"/>
          <w:rtl/>
        </w:rPr>
        <w:t>لأنصاري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كتاب المكاسب.</w:t>
      </w:r>
    </w:p>
  </w:endnote>
  <w:endnote w:id="966">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w:t>
      </w:r>
      <w:r w:rsidRPr="00282AC9">
        <w:rPr>
          <w:rFonts w:ascii="Simplified Arabic" w:hAnsi="Simplified Arabic" w:cs="DanaFajr" w:hint="cs"/>
          <w:sz w:val="28"/>
          <w:szCs w:val="28"/>
          <w:rtl/>
        </w:rPr>
        <w:t xml:space="preserve"> ا</w:t>
      </w:r>
      <w:r w:rsidRPr="00282AC9">
        <w:rPr>
          <w:rFonts w:ascii="Simplified Arabic" w:hAnsi="Simplified Arabic" w:cs="DanaFajr"/>
          <w:sz w:val="28"/>
          <w:szCs w:val="28"/>
          <w:rtl/>
        </w:rPr>
        <w:t>لشهيد مرتضى مطهري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سيرة الأئم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ة: 187. </w:t>
      </w:r>
    </w:p>
  </w:endnote>
  <w:endnote w:id="967">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إننا نعتقد أنه من الضروري والمفيد جد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اً لحركي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الإسلام أن ينفتح الفقيه المسلم على شؤون المجتمع 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 ويت</w:t>
      </w:r>
      <w:r w:rsidRPr="00282AC9">
        <w:rPr>
          <w:rFonts w:ascii="Simplified Arabic" w:hAnsi="Simplified Arabic" w:cs="DanaFajr" w:hint="cs"/>
          <w:sz w:val="28"/>
          <w:szCs w:val="28"/>
          <w:rtl/>
        </w:rPr>
        <w:t>ّ</w:t>
      </w:r>
      <w:r w:rsidRPr="00282AC9">
        <w:rPr>
          <w:rFonts w:ascii="Simplified Arabic" w:hAnsi="Simplified Arabic" w:cs="DanaFajr"/>
          <w:sz w:val="28"/>
          <w:szCs w:val="28"/>
          <w:rtl/>
        </w:rPr>
        <w:t>صل بكل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قضاياه الخاصة والعامة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لأن ذلك هو الذي يمكن له أن يحمي المبادئ والقضايا الأساسية العام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من الذاتية والتفر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 ويعطي للفقيه مساحة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واسعة، ورؤية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شاملة للواقع، ويحميه من الوقوع في الخطأ. كما أنه يحمل الأم</w:t>
      </w:r>
      <w:r w:rsidRPr="00282AC9">
        <w:rPr>
          <w:rFonts w:ascii="Simplified Arabic" w:hAnsi="Simplified Arabic" w:cs="DanaFajr" w:hint="cs"/>
          <w:sz w:val="28"/>
          <w:szCs w:val="28"/>
          <w:rtl/>
        </w:rPr>
        <w:t>ّ</w:t>
      </w:r>
      <w:r w:rsidRPr="00282AC9">
        <w:rPr>
          <w:rFonts w:ascii="Simplified Arabic" w:hAnsi="Simplified Arabic" w:cs="DanaFajr"/>
          <w:sz w:val="28"/>
          <w:szCs w:val="28"/>
          <w:rtl/>
        </w:rPr>
        <w:t>ة مسؤولية قراراتها المرتبطة بالفقيه والمرجع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من خلال مشاركتها معه في صنع هذه القرارات.</w:t>
      </w:r>
    </w:p>
  </w:endnote>
  <w:endnote w:id="968">
    <w:p w:rsidR="00C14EDE" w:rsidRPr="00282AC9" w:rsidRDefault="00C14EDE" w:rsidP="00142A7C">
      <w:pPr>
        <w:pStyle w:val="af7"/>
        <w:spacing w:line="296" w:lineRule="exact"/>
        <w:ind w:firstLine="0"/>
        <w:rPr>
          <w:rFonts w:ascii="Simplified Arabic" w:hAnsi="Simplified Arabic" w:cs="DanaFajr"/>
          <w:sz w:val="28"/>
          <w:szCs w:val="28"/>
          <w:rtl/>
        </w:rPr>
      </w:pPr>
      <w:r w:rsidRPr="00282AC9">
        <w:rPr>
          <w:rFonts w:ascii="Simplified Arabic" w:hAnsi="Simplified Arabic" w:cs="DanaFajr"/>
          <w:sz w:val="28"/>
          <w:szCs w:val="28"/>
          <w:rtl/>
        </w:rPr>
        <w:t>(</w:t>
      </w:r>
      <w:r w:rsidRPr="00282AC9">
        <w:rPr>
          <w:rFonts w:ascii="Simplified Arabic" w:hAnsi="Simplified Arabic" w:cs="DanaFajr"/>
          <w:sz w:val="28"/>
          <w:szCs w:val="28"/>
          <w:rtl/>
        </w:rPr>
        <w:endnoteRef/>
      </w:r>
      <w:r w:rsidRPr="00282AC9">
        <w:rPr>
          <w:rFonts w:ascii="Simplified Arabic" w:hAnsi="Simplified Arabic" w:cs="DanaFajr"/>
          <w:sz w:val="28"/>
          <w:szCs w:val="28"/>
          <w:rtl/>
        </w:rPr>
        <w:t>) راج</w:t>
      </w:r>
      <w:r w:rsidRPr="00282AC9">
        <w:rPr>
          <w:rFonts w:ascii="Simplified Arabic" w:hAnsi="Simplified Arabic" w:cs="DanaFajr" w:hint="cs"/>
          <w:sz w:val="28"/>
          <w:szCs w:val="28"/>
          <w:rtl/>
        </w:rPr>
        <w:t>ِ</w:t>
      </w:r>
      <w:r w:rsidRPr="00282AC9">
        <w:rPr>
          <w:rFonts w:ascii="Simplified Arabic" w:hAnsi="Simplified Arabic" w:cs="DanaFajr"/>
          <w:sz w:val="28"/>
          <w:szCs w:val="28"/>
          <w:rtl/>
        </w:rPr>
        <w:t>ع</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أصول الكافي 2</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203</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w:t>
      </w:r>
      <w:r w:rsidRPr="00282AC9">
        <w:rPr>
          <w:rFonts w:ascii="Simplified Arabic" w:hAnsi="Simplified Arabic" w:cs="DanaFajr" w:hint="cs"/>
          <w:sz w:val="28"/>
          <w:szCs w:val="28"/>
          <w:rtl/>
        </w:rPr>
        <w:t>وا</w:t>
      </w:r>
      <w:r w:rsidRPr="00282AC9">
        <w:rPr>
          <w:rFonts w:ascii="Simplified Arabic" w:hAnsi="Simplified Arabic" w:cs="DanaFajr"/>
          <w:sz w:val="28"/>
          <w:szCs w:val="28"/>
          <w:rtl/>
        </w:rPr>
        <w:t>لشيخ المفيد</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 xml:space="preserve">الاختصاص: 51، </w:t>
      </w:r>
      <w:r w:rsidRPr="00282AC9">
        <w:rPr>
          <w:rFonts w:ascii="Simplified Arabic" w:hAnsi="Simplified Arabic" w:cs="DanaFajr" w:hint="cs"/>
          <w:sz w:val="28"/>
          <w:szCs w:val="28"/>
          <w:rtl/>
        </w:rPr>
        <w:t>ال</w:t>
      </w:r>
      <w:r w:rsidRPr="00282AC9">
        <w:rPr>
          <w:rFonts w:ascii="Simplified Arabic" w:hAnsi="Simplified Arabic" w:cs="DanaFajr"/>
          <w:sz w:val="28"/>
          <w:szCs w:val="28"/>
          <w:rtl/>
        </w:rPr>
        <w:t>باب 4. قد يظن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بعض</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أن هذا الحديث مختص</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بالجانب العاطفي الو</w:t>
      </w:r>
      <w:r w:rsidRPr="00282AC9">
        <w:rPr>
          <w:rFonts w:ascii="Simplified Arabic" w:hAnsi="Simplified Arabic" w:cs="DanaFajr" w:hint="cs"/>
          <w:sz w:val="28"/>
          <w:szCs w:val="28"/>
          <w:rtl/>
        </w:rPr>
        <w:t>ج</w:t>
      </w:r>
      <w:r w:rsidRPr="00282AC9">
        <w:rPr>
          <w:rFonts w:ascii="Simplified Arabic" w:hAnsi="Simplified Arabic" w:cs="DanaFajr"/>
          <w:sz w:val="28"/>
          <w:szCs w:val="28"/>
          <w:rtl/>
        </w:rPr>
        <w:t>داني (النفسي) من حياة الإنسان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لأنه يحض</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 على التزام النقد والمحاسبة على صعيده الذاتي فقط، ولكن</w:t>
      </w:r>
      <w:r w:rsidRPr="00282AC9">
        <w:rPr>
          <w:rFonts w:ascii="Simplified Arabic" w:hAnsi="Simplified Arabic" w:cs="DanaFajr" w:hint="cs"/>
          <w:sz w:val="28"/>
          <w:szCs w:val="28"/>
          <w:rtl/>
        </w:rPr>
        <w:t>ّ</w:t>
      </w:r>
      <w:r w:rsidRPr="00282AC9">
        <w:rPr>
          <w:rFonts w:ascii="Simplified Arabic" w:hAnsi="Simplified Arabic" w:cs="DanaFajr"/>
          <w:sz w:val="28"/>
          <w:szCs w:val="28"/>
          <w:rtl/>
        </w:rPr>
        <w:t>نا نؤك</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w:t>
      </w:r>
      <w:r w:rsidRPr="00282AC9">
        <w:rPr>
          <w:rFonts w:ascii="Simplified Arabic" w:hAnsi="Simplified Arabic" w:cs="DanaFajr" w:hint="cs"/>
          <w:sz w:val="28"/>
          <w:szCs w:val="28"/>
          <w:rtl/>
        </w:rPr>
        <w:t xml:space="preserve"> ـ </w:t>
      </w:r>
      <w:r w:rsidRPr="00282AC9">
        <w:rPr>
          <w:rFonts w:ascii="Simplified Arabic" w:hAnsi="Simplified Arabic" w:cs="DanaFajr"/>
          <w:sz w:val="28"/>
          <w:szCs w:val="28"/>
          <w:rtl/>
        </w:rPr>
        <w:t xml:space="preserve">بالرغم من اعتقادنا </w:t>
      </w:r>
      <w:r w:rsidRPr="00282AC9">
        <w:rPr>
          <w:rFonts w:ascii="Simplified Arabic" w:hAnsi="Simplified Arabic" w:cs="DanaFajr" w:hint="cs"/>
          <w:sz w:val="28"/>
          <w:szCs w:val="28"/>
          <w:rtl/>
        </w:rPr>
        <w:t xml:space="preserve">بعدم صحّة الاستنتاج القائل بأن </w:t>
      </w:r>
      <w:r w:rsidRPr="00282AC9">
        <w:rPr>
          <w:rFonts w:ascii="Simplified Arabic" w:hAnsi="Simplified Arabic" w:cs="DanaFajr"/>
          <w:sz w:val="28"/>
          <w:szCs w:val="28"/>
          <w:rtl/>
        </w:rPr>
        <w:t xml:space="preserve">الدين </w:t>
      </w:r>
      <w:r w:rsidRPr="00282AC9">
        <w:rPr>
          <w:rFonts w:ascii="Simplified Arabic" w:hAnsi="Simplified Arabic" w:cs="DanaFajr" w:hint="cs"/>
          <w:sz w:val="28"/>
          <w:szCs w:val="28"/>
          <w:rtl/>
        </w:rPr>
        <w:t>الإسلامي</w:t>
      </w:r>
      <w:r w:rsidRPr="00282AC9">
        <w:rPr>
          <w:rFonts w:ascii="Simplified Arabic" w:hAnsi="Simplified Arabic" w:cs="DanaFajr"/>
          <w:sz w:val="28"/>
          <w:szCs w:val="28"/>
          <w:rtl/>
        </w:rPr>
        <w:t xml:space="preserve"> هو مجر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د علاقة روحية بين العبد وخالقه، ولا علاقة له بالحياة والواقع</w:t>
      </w:r>
      <w:r w:rsidRPr="00282AC9">
        <w:rPr>
          <w:rFonts w:ascii="Simplified Arabic" w:hAnsi="Simplified Arabic" w:cs="DanaFajr" w:hint="cs"/>
          <w:sz w:val="28"/>
          <w:szCs w:val="28"/>
          <w:rtl/>
        </w:rPr>
        <w:t xml:space="preserve"> ـ </w:t>
      </w:r>
      <w:r w:rsidRPr="00282AC9">
        <w:rPr>
          <w:rFonts w:ascii="Simplified Arabic" w:hAnsi="Simplified Arabic" w:cs="DanaFajr"/>
          <w:sz w:val="28"/>
          <w:szCs w:val="28"/>
          <w:rtl/>
        </w:rPr>
        <w:t>على أن المراد منه أيضاً</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ممارسة الإعداد الروحي والبناء الأخلاقي الإسلامي المتين،</w:t>
      </w:r>
      <w:r w:rsidRPr="00282AC9">
        <w:rPr>
          <w:rFonts w:ascii="Simplified Arabic" w:hAnsi="Simplified Arabic" w:cs="DanaFajr" w:hint="cs"/>
          <w:sz w:val="28"/>
          <w:szCs w:val="28"/>
          <w:rtl/>
        </w:rPr>
        <w:t xml:space="preserve"> </w:t>
      </w:r>
      <w:r w:rsidRPr="00282AC9">
        <w:rPr>
          <w:rFonts w:ascii="Simplified Arabic" w:hAnsi="Simplified Arabic" w:cs="DanaFajr"/>
          <w:sz w:val="28"/>
          <w:szCs w:val="28"/>
          <w:rtl/>
        </w:rPr>
        <w:t>وتوعية الإنسان المسلم، كجزء</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أساس من مسيرته التكاملية نحو تمث</w:t>
      </w:r>
      <w:r w:rsidRPr="00282AC9">
        <w:rPr>
          <w:rFonts w:ascii="Simplified Arabic" w:hAnsi="Simplified Arabic" w:cs="DanaFajr" w:hint="cs"/>
          <w:sz w:val="28"/>
          <w:szCs w:val="28"/>
          <w:rtl/>
        </w:rPr>
        <w:t>ُّ</w:t>
      </w:r>
      <w:r w:rsidRPr="00282AC9">
        <w:rPr>
          <w:rFonts w:ascii="Simplified Arabic" w:hAnsi="Simplified Arabic" w:cs="DanaFajr"/>
          <w:sz w:val="28"/>
          <w:szCs w:val="28"/>
          <w:rtl/>
        </w:rPr>
        <w:t>ل 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 الإسلام العادل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وتحقيق تشريعاته ومبادئه في الحياة كل</w:t>
      </w:r>
      <w:r w:rsidRPr="00282AC9">
        <w:rPr>
          <w:rFonts w:ascii="Simplified Arabic" w:hAnsi="Simplified Arabic" w:cs="DanaFajr" w:hint="cs"/>
          <w:sz w:val="28"/>
          <w:szCs w:val="28"/>
          <w:rtl/>
        </w:rPr>
        <w:t>ِّ</w:t>
      </w:r>
      <w:r w:rsidRPr="00282AC9">
        <w:rPr>
          <w:rFonts w:ascii="Simplified Arabic" w:hAnsi="Simplified Arabic" w:cs="DanaFajr"/>
          <w:sz w:val="28"/>
          <w:szCs w:val="28"/>
          <w:rtl/>
        </w:rPr>
        <w:t>ها، في السياسة والاجتماع والاقتصاد</w:t>
      </w:r>
      <w:r w:rsidRPr="00282AC9">
        <w:rPr>
          <w:rFonts w:ascii="Simplified Arabic" w:hAnsi="Simplified Arabic" w:cs="DanaFajr" w:hint="cs"/>
          <w:sz w:val="28"/>
          <w:szCs w:val="28"/>
          <w:rtl/>
        </w:rPr>
        <w:t>...، إ</w:t>
      </w:r>
      <w:r w:rsidRPr="00282AC9">
        <w:rPr>
          <w:rFonts w:ascii="Simplified Arabic" w:hAnsi="Simplified Arabic" w:cs="DanaFajr"/>
          <w:sz w:val="28"/>
          <w:szCs w:val="28"/>
          <w:rtl/>
        </w:rPr>
        <w:t>لخ</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فبناء النفس وتنمية الروح (والأخلاق المعنوية الذاتية) هو أساس بناء وتنمية الواقع الخارجي</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ليكون بالتالي تغيير ما بالنفس هو الأساس لتغيير ما بالواقع. من هنا جاء تركيز الإسلام على ضرورة تعميق منهج وخط</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الإعداد الروحي عند الإنسان المسلم (الجهاد الأكبر)</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ليكون ذلك مقد</w:t>
      </w:r>
      <w:r w:rsidRPr="00282AC9">
        <w:rPr>
          <w:rFonts w:ascii="Simplified Arabic" w:hAnsi="Simplified Arabic" w:cs="DanaFajr" w:hint="cs"/>
          <w:sz w:val="28"/>
          <w:szCs w:val="28"/>
          <w:rtl/>
        </w:rPr>
        <w:t>ّ</w:t>
      </w:r>
      <w:r w:rsidRPr="00282AC9">
        <w:rPr>
          <w:rFonts w:ascii="Simplified Arabic" w:hAnsi="Simplified Arabic" w:cs="DanaFajr"/>
          <w:sz w:val="28"/>
          <w:szCs w:val="28"/>
          <w:rtl/>
        </w:rPr>
        <w:t>مة</w:t>
      </w:r>
      <w:r w:rsidRPr="00282AC9">
        <w:rPr>
          <w:rFonts w:ascii="Simplified Arabic" w:hAnsi="Simplified Arabic" w:cs="DanaFajr" w:hint="cs"/>
          <w:sz w:val="28"/>
          <w:szCs w:val="28"/>
          <w:rtl/>
        </w:rPr>
        <w:t>ً</w:t>
      </w:r>
      <w:r w:rsidRPr="00282AC9">
        <w:rPr>
          <w:rFonts w:ascii="Simplified Arabic" w:hAnsi="Simplified Arabic" w:cs="DanaFajr"/>
          <w:sz w:val="28"/>
          <w:szCs w:val="28"/>
          <w:rtl/>
        </w:rPr>
        <w:t xml:space="preserve"> لازمة حيوية لتغيير الحياة والواقع في الاتجاه الذي يحق</w:t>
      </w:r>
      <w:r w:rsidRPr="00282AC9">
        <w:rPr>
          <w:rFonts w:ascii="Simplified Arabic" w:hAnsi="Simplified Arabic" w:cs="DanaFajr" w:hint="cs"/>
          <w:sz w:val="28"/>
          <w:szCs w:val="28"/>
          <w:rtl/>
        </w:rPr>
        <w:t>ِّ</w:t>
      </w:r>
      <w:r w:rsidRPr="00282AC9">
        <w:rPr>
          <w:rFonts w:ascii="Simplified Arabic" w:hAnsi="Simplified Arabic" w:cs="DanaFajr"/>
          <w:sz w:val="28"/>
          <w:szCs w:val="28"/>
          <w:rtl/>
        </w:rPr>
        <w:t>ق كرامة الإنسان وعدالة الوجود.</w:t>
      </w:r>
    </w:p>
  </w:endnote>
  <w:endnote w:id="969">
    <w:p w:rsidR="00C14EDE" w:rsidRPr="00282AC9" w:rsidRDefault="00C14EDE" w:rsidP="00AD5AC7">
      <w:pPr>
        <w:pStyle w:val="af7"/>
        <w:spacing w:line="272" w:lineRule="exact"/>
        <w:ind w:firstLine="0"/>
        <w:rPr>
          <w:rFonts w:cs="DanaFajr"/>
          <w:sz w:val="28"/>
          <w:szCs w:val="28"/>
          <w:rtl/>
          <w:lang w:bidi="ar-IQ"/>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سيأتي البحث حول مِلْكيّة الإنسان لنفسه وأعماله في مقالٍ مستقلّ.</w:t>
      </w:r>
      <w:r w:rsidRPr="00282AC9">
        <w:rPr>
          <w:rFonts w:cs="DanaFajr" w:hint="cs"/>
          <w:sz w:val="28"/>
          <w:szCs w:val="28"/>
          <w:rtl/>
          <w:lang w:bidi="ar-IQ"/>
        </w:rPr>
        <w:t xml:space="preserve"> </w:t>
      </w:r>
    </w:p>
  </w:endnote>
  <w:endnote w:id="970">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cs="DanaFajr" w:hint="cs"/>
          <w:sz w:val="28"/>
          <w:szCs w:val="28"/>
          <w:rtl/>
          <w:lang w:val="en-GB"/>
        </w:rPr>
        <w:t xml:space="preserve"> الميرزا علي</w:t>
      </w:r>
      <w:r w:rsidRPr="00282AC9">
        <w:rPr>
          <w:rFonts w:cs="DanaFajr" w:hint="cs"/>
          <w:sz w:val="28"/>
          <w:szCs w:val="28"/>
          <w:rtl/>
        </w:rPr>
        <w:t xml:space="preserve"> الإيرواني</w:t>
      </w:r>
      <w:r w:rsidRPr="00282AC9">
        <w:rPr>
          <w:rFonts w:cs="DanaFajr" w:hint="cs"/>
          <w:sz w:val="28"/>
          <w:szCs w:val="28"/>
          <w:rtl/>
          <w:lang w:val="en-GB"/>
        </w:rPr>
        <w:t>،</w:t>
      </w:r>
      <w:r w:rsidRPr="00282AC9">
        <w:rPr>
          <w:rFonts w:cs="DanaFajr" w:hint="cs"/>
          <w:sz w:val="28"/>
          <w:szCs w:val="28"/>
          <w:rtl/>
        </w:rPr>
        <w:t xml:space="preserve"> حاشية كتاب المكاسب 2: 20.</w:t>
      </w:r>
    </w:p>
  </w:endnote>
  <w:endnote w:id="971">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الإيرواني،</w:t>
      </w:r>
      <w:r w:rsidRPr="00282AC9">
        <w:rPr>
          <w:rFonts w:cs="DanaFajr" w:hint="cs"/>
          <w:sz w:val="28"/>
          <w:szCs w:val="28"/>
          <w:rtl/>
          <w:lang w:val="en-GB"/>
        </w:rPr>
        <w:t xml:space="preserve"> </w:t>
      </w:r>
      <w:r w:rsidRPr="00282AC9">
        <w:rPr>
          <w:rFonts w:cs="DanaFajr" w:hint="cs"/>
          <w:sz w:val="28"/>
          <w:szCs w:val="28"/>
          <w:rtl/>
        </w:rPr>
        <w:t>حاشية كتاب المكاسب 2: 20.</w:t>
      </w:r>
    </w:p>
  </w:endnote>
  <w:endnote w:id="972">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الطوسي، المبسوط في فقه الإمامية 4: 271؛ ابن إدريس الحلّي، السرائر 2: 575 ـ 576؛ العلاّمة الحلّي، تحرير الأحكام الشرعية 3: 545 ـ 546.</w:t>
      </w:r>
    </w:p>
  </w:endnote>
  <w:endnote w:id="973">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فخر المحقّقين، إيضاح الفوائد 3: 196؛ وانظر أيضاً: 234؛ وانظر كذلك: الشهيد الثاني، مسالك الأفهام 8: 187؛ أحمد الأردبيلي، زبدة البيان: 644 ـ 646؛ بهاء الدين محمّد بن الحسن الفاضل الإصبهاني، كشف اللثام 7: 473.</w:t>
      </w:r>
    </w:p>
  </w:endnote>
  <w:endnote w:id="974">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المقداد بن عبد الله السيوري، التنقيح الرائع لمختصر الشرائع 1: 314؛ المحقِّق الكركي، جامع المقاصد 13: 203 ـ 204.</w:t>
      </w:r>
    </w:p>
  </w:endnote>
  <w:endnote w:id="975">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الطوسي، المبسوط في فقه الإمامية 3: 307.</w:t>
      </w:r>
    </w:p>
  </w:endnote>
  <w:endnote w:id="976">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الشهيد الثاني، مسالك الأفهام 8: 187.</w:t>
      </w:r>
    </w:p>
  </w:endnote>
  <w:endnote w:id="977">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المصدر نفسه.</w:t>
      </w:r>
    </w:p>
  </w:endnote>
  <w:endnote w:id="978">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الفاضل الإصبهاني، كشف اللثام 7: 473.</w:t>
      </w:r>
    </w:p>
  </w:endnote>
  <w:endnote w:id="979">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الطوسي، المبسوط في فقه الإمامية 3: 307.</w:t>
      </w:r>
    </w:p>
  </w:endnote>
  <w:endnote w:id="980">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الإيرواني،</w:t>
      </w:r>
      <w:r w:rsidRPr="00282AC9">
        <w:rPr>
          <w:rFonts w:cs="DanaFajr" w:hint="cs"/>
          <w:sz w:val="28"/>
          <w:szCs w:val="28"/>
          <w:rtl/>
          <w:lang w:val="en-GB"/>
        </w:rPr>
        <w:t xml:space="preserve"> </w:t>
      </w:r>
      <w:r w:rsidRPr="00282AC9">
        <w:rPr>
          <w:rFonts w:cs="DanaFajr" w:hint="cs"/>
          <w:sz w:val="28"/>
          <w:szCs w:val="28"/>
          <w:rtl/>
        </w:rPr>
        <w:t>حاشية كتاب المكاسب 2: 16.</w:t>
      </w:r>
    </w:p>
  </w:endnote>
  <w:endnote w:id="981">
    <w:p w:rsidR="00C14EDE" w:rsidRPr="00282AC9" w:rsidRDefault="00C14EDE" w:rsidP="00AD5AC7">
      <w:pPr>
        <w:pStyle w:val="af7"/>
        <w:spacing w:line="272" w:lineRule="exact"/>
        <w:ind w:firstLine="0"/>
        <w:rPr>
          <w:rFonts w:cs="DanaFajr"/>
          <w:sz w:val="28"/>
          <w:szCs w:val="28"/>
          <w:rtl/>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عبَّر بعض الفقهاء: إنّ النكاح فيه شائبة المعاوضة. انظر: المحقِّق الكركي، جامع المقاصد 9: 212؛ 11: 116؛ 13: 143، 204؛ الشهيد الثاني، مسالك الأفهام 8: 57؛ الأردبيلي، مجمع الفائدة والبرهان 9: 262.</w:t>
      </w:r>
    </w:p>
    <w:p w:rsidR="00C14EDE" w:rsidRPr="00282AC9" w:rsidRDefault="00C14EDE" w:rsidP="00AD5AC7">
      <w:pPr>
        <w:pStyle w:val="af7"/>
        <w:spacing w:line="272" w:lineRule="exact"/>
        <w:ind w:firstLine="0"/>
        <w:rPr>
          <w:rFonts w:cs="DanaFajr"/>
          <w:sz w:val="28"/>
          <w:szCs w:val="28"/>
          <w:rtl/>
          <w:lang w:bidi="fa-IR"/>
        </w:rPr>
      </w:pPr>
      <w:r w:rsidRPr="00282AC9">
        <w:rPr>
          <w:rFonts w:cs="DanaFajr" w:hint="cs"/>
          <w:sz w:val="28"/>
          <w:szCs w:val="28"/>
          <w:rtl/>
        </w:rPr>
        <w:t>وعبَّر آخرون: إنّه في معنى المعاوضة. انظر: المحقِّق الكركي، 4: 303؛ الشهيد الثاني، غاية المراد 3: 115؛ الشهيد الثاني، الروضة البهية 5: 369.</w:t>
      </w:r>
    </w:p>
  </w:endnote>
  <w:endnote w:id="982">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محمّد باقر الصدر، محاضرات تأسيسية (ضمن موسوعة الإمام الشهيد السعيد محمد باقر الصدر) 21: 215.</w:t>
      </w:r>
    </w:p>
  </w:endnote>
  <w:endnote w:id="983">
    <w:p w:rsidR="00C14EDE" w:rsidRPr="00282AC9" w:rsidRDefault="00C14EDE" w:rsidP="00AD5AC7">
      <w:pPr>
        <w:pStyle w:val="12"/>
        <w:spacing w:line="272" w:lineRule="exact"/>
        <w:ind w:right="0" w:firstLine="0"/>
        <w:rPr>
          <w:rFonts w:cs="DanaFajr"/>
          <w:sz w:val="28"/>
        </w:rPr>
      </w:pPr>
      <w:r w:rsidRPr="00282AC9">
        <w:rPr>
          <w:rFonts w:cs="DanaFajr"/>
          <w:sz w:val="28"/>
          <w:rtl/>
        </w:rPr>
        <w:t>(</w:t>
      </w:r>
      <w:r w:rsidRPr="00282AC9">
        <w:rPr>
          <w:rFonts w:cs="DanaFajr"/>
          <w:sz w:val="28"/>
        </w:rPr>
        <w:endnoteRef/>
      </w:r>
      <w:r w:rsidRPr="00282AC9">
        <w:rPr>
          <w:rFonts w:cs="DanaFajr"/>
          <w:sz w:val="28"/>
          <w:rtl/>
        </w:rPr>
        <w:t>) انظر</w:t>
      </w:r>
      <w:r w:rsidRPr="00282AC9">
        <w:rPr>
          <w:rFonts w:cs="DanaFajr" w:hint="cs"/>
          <w:sz w:val="28"/>
          <w:rtl/>
        </w:rPr>
        <w:t>: المصدر السابق: 211.</w:t>
      </w:r>
    </w:p>
  </w:endnote>
  <w:endnote w:id="984">
    <w:p w:rsidR="00C14EDE" w:rsidRPr="00282AC9" w:rsidRDefault="00C14EDE" w:rsidP="00AD5AC7">
      <w:pPr>
        <w:pStyle w:val="12"/>
        <w:spacing w:line="272" w:lineRule="exact"/>
        <w:ind w:right="0" w:firstLine="0"/>
        <w:rPr>
          <w:rFonts w:cs="DanaFajr"/>
          <w:sz w:val="28"/>
        </w:rPr>
      </w:pPr>
      <w:r w:rsidRPr="00282AC9">
        <w:rPr>
          <w:rFonts w:cs="DanaFajr"/>
          <w:sz w:val="28"/>
          <w:rtl/>
        </w:rPr>
        <w:t>(</w:t>
      </w:r>
      <w:r w:rsidRPr="00282AC9">
        <w:rPr>
          <w:rFonts w:cs="DanaFajr"/>
          <w:sz w:val="28"/>
        </w:rPr>
        <w:endnoteRef/>
      </w:r>
      <w:r w:rsidRPr="00282AC9">
        <w:rPr>
          <w:rFonts w:cs="DanaFajr"/>
          <w:sz w:val="28"/>
          <w:rtl/>
        </w:rPr>
        <w:t>) انظر</w:t>
      </w:r>
      <w:r w:rsidRPr="00282AC9">
        <w:rPr>
          <w:rFonts w:cs="DanaFajr" w:hint="cs"/>
          <w:sz w:val="28"/>
          <w:rtl/>
        </w:rPr>
        <w:t>: المصدر السابق: 212.</w:t>
      </w:r>
    </w:p>
  </w:endnote>
  <w:endnote w:id="985">
    <w:p w:rsidR="00C14EDE" w:rsidRPr="00282AC9" w:rsidRDefault="00C14EDE" w:rsidP="00AD5AC7">
      <w:pPr>
        <w:pStyle w:val="12"/>
        <w:spacing w:line="272" w:lineRule="exact"/>
        <w:ind w:right="0" w:firstLine="0"/>
        <w:rPr>
          <w:rFonts w:cs="DanaFajr"/>
          <w:sz w:val="28"/>
        </w:rPr>
      </w:pPr>
      <w:r w:rsidRPr="00282AC9">
        <w:rPr>
          <w:rFonts w:cs="DanaFajr"/>
          <w:sz w:val="28"/>
          <w:rtl/>
        </w:rPr>
        <w:t>(</w:t>
      </w:r>
      <w:r w:rsidRPr="00282AC9">
        <w:rPr>
          <w:rFonts w:cs="DanaFajr"/>
          <w:sz w:val="28"/>
        </w:rPr>
        <w:endnoteRef/>
      </w:r>
      <w:r w:rsidRPr="00282AC9">
        <w:rPr>
          <w:rFonts w:cs="DanaFajr"/>
          <w:sz w:val="28"/>
          <w:rtl/>
        </w:rPr>
        <w:t>) انظر</w:t>
      </w:r>
      <w:r w:rsidRPr="00282AC9">
        <w:rPr>
          <w:rFonts w:cs="DanaFajr" w:hint="cs"/>
          <w:sz w:val="28"/>
          <w:rtl/>
        </w:rPr>
        <w:t>: الإيرواني، حاشية كتاب المكاسب 2: 20، 21.</w:t>
      </w:r>
    </w:p>
  </w:endnote>
  <w:endnote w:id="986">
    <w:p w:rsidR="00C14EDE" w:rsidRPr="00282AC9" w:rsidRDefault="00C14EDE" w:rsidP="00AD5AC7">
      <w:pPr>
        <w:pStyle w:val="12"/>
        <w:spacing w:line="272" w:lineRule="exact"/>
        <w:ind w:right="0" w:firstLine="0"/>
        <w:rPr>
          <w:rFonts w:cs="DanaFajr"/>
          <w:sz w:val="28"/>
          <w:rtl/>
        </w:rPr>
      </w:pPr>
      <w:r w:rsidRPr="00282AC9">
        <w:rPr>
          <w:rFonts w:cs="DanaFajr"/>
          <w:sz w:val="28"/>
          <w:rtl/>
        </w:rPr>
        <w:t>(</w:t>
      </w:r>
      <w:r w:rsidRPr="00282AC9">
        <w:rPr>
          <w:rFonts w:cs="DanaFajr"/>
          <w:sz w:val="28"/>
        </w:rPr>
        <w:endnoteRef/>
      </w:r>
      <w:r w:rsidRPr="00282AC9">
        <w:rPr>
          <w:rFonts w:cs="DanaFajr"/>
          <w:sz w:val="28"/>
          <w:rtl/>
        </w:rPr>
        <w:t>) انظر</w:t>
      </w:r>
      <w:r w:rsidRPr="00282AC9">
        <w:rPr>
          <w:rFonts w:cs="DanaFajr" w:hint="cs"/>
          <w:sz w:val="28"/>
          <w:rtl/>
        </w:rPr>
        <w:t>: الصدر، محاضرات تأسيسية (ضمن موسوعة الإمام الشهيد السعيد محمّد باقر الصدر) 21: 212.</w:t>
      </w:r>
    </w:p>
    <w:p w:rsidR="00C14EDE" w:rsidRPr="00282AC9" w:rsidRDefault="00C14EDE" w:rsidP="00AD5AC7">
      <w:pPr>
        <w:pStyle w:val="12"/>
        <w:spacing w:line="272" w:lineRule="exact"/>
        <w:ind w:right="0" w:firstLine="0"/>
        <w:rPr>
          <w:rFonts w:cs="DanaFajr"/>
          <w:sz w:val="28"/>
        </w:rPr>
      </w:pPr>
      <w:r w:rsidRPr="00282AC9">
        <w:rPr>
          <w:rFonts w:cs="DanaFajr" w:hint="cs"/>
          <w:b/>
          <w:bCs/>
          <w:sz w:val="28"/>
          <w:rtl/>
        </w:rPr>
        <w:t>أقول</w:t>
      </w:r>
      <w:r w:rsidRPr="00282AC9">
        <w:rPr>
          <w:rFonts w:cs="DanaFajr" w:hint="cs"/>
          <w:sz w:val="28"/>
          <w:rtl/>
        </w:rPr>
        <w:t>: إنّ الإشكالين السابع والثامن وردا في عبارة الشهيد بصورة إشكالٍ واحد، ونحن فكَّكناه إلى إشكالين اثنين، مع تصرُّفٍ في المضمون أيضاً.</w:t>
      </w:r>
    </w:p>
  </w:endnote>
  <w:endnote w:id="987">
    <w:p w:rsidR="00C14EDE" w:rsidRPr="00282AC9" w:rsidRDefault="00C14EDE" w:rsidP="00AD5AC7">
      <w:pPr>
        <w:pStyle w:val="12"/>
        <w:spacing w:line="272" w:lineRule="exact"/>
        <w:ind w:right="0" w:firstLine="0"/>
        <w:rPr>
          <w:rFonts w:cs="DanaFajr"/>
          <w:sz w:val="28"/>
        </w:rPr>
      </w:pPr>
      <w:r w:rsidRPr="00282AC9">
        <w:rPr>
          <w:rFonts w:cs="DanaFajr"/>
          <w:sz w:val="28"/>
          <w:rtl/>
        </w:rPr>
        <w:t>(</w:t>
      </w:r>
      <w:r w:rsidRPr="00282AC9">
        <w:rPr>
          <w:rStyle w:val="af9"/>
          <w:rFonts w:cs="DanaFajr"/>
          <w:sz w:val="28"/>
          <w:vertAlign w:val="baseline"/>
        </w:rPr>
        <w:endnoteRef/>
      </w:r>
      <w:r w:rsidRPr="00282AC9">
        <w:rPr>
          <w:rFonts w:cs="DanaFajr"/>
          <w:sz w:val="28"/>
          <w:rtl/>
        </w:rPr>
        <w:t>) انظر</w:t>
      </w:r>
      <w:r w:rsidRPr="00282AC9">
        <w:rPr>
          <w:rFonts w:cs="DanaFajr" w:hint="cs"/>
          <w:sz w:val="28"/>
          <w:rtl/>
        </w:rPr>
        <w:t>: المصدر السابق: 211 ـ 212.</w:t>
      </w:r>
    </w:p>
  </w:endnote>
  <w:endnote w:id="988">
    <w:p w:rsidR="00C14EDE" w:rsidRPr="00282AC9" w:rsidRDefault="00C14EDE" w:rsidP="00AD5AC7">
      <w:pPr>
        <w:pStyle w:val="12"/>
        <w:spacing w:line="272" w:lineRule="exact"/>
        <w:ind w:right="0" w:firstLine="0"/>
        <w:rPr>
          <w:rFonts w:cs="DanaFajr"/>
          <w:sz w:val="28"/>
        </w:rPr>
      </w:pPr>
      <w:r w:rsidRPr="00282AC9">
        <w:rPr>
          <w:rFonts w:cs="DanaFajr"/>
          <w:sz w:val="28"/>
          <w:rtl/>
        </w:rPr>
        <w:t>(</w:t>
      </w:r>
      <w:r w:rsidRPr="00282AC9">
        <w:rPr>
          <w:rStyle w:val="af9"/>
          <w:rFonts w:cs="DanaFajr"/>
          <w:sz w:val="28"/>
          <w:vertAlign w:val="baseline"/>
        </w:rPr>
        <w:endnoteRef/>
      </w:r>
      <w:r w:rsidRPr="00282AC9">
        <w:rPr>
          <w:rFonts w:cs="DanaFajr"/>
          <w:sz w:val="28"/>
          <w:rtl/>
        </w:rPr>
        <w:t xml:space="preserve">) </w:t>
      </w:r>
      <w:r w:rsidRPr="00282AC9">
        <w:rPr>
          <w:rFonts w:cs="DanaFajr" w:hint="cs"/>
          <w:sz w:val="28"/>
          <w:rtl/>
        </w:rPr>
        <w:t>المصدر السابق: 212.</w:t>
      </w:r>
    </w:p>
  </w:endnote>
  <w:endnote w:id="989">
    <w:p w:rsidR="00C14EDE" w:rsidRPr="00282AC9" w:rsidRDefault="00C14EDE" w:rsidP="00AD5AC7">
      <w:pPr>
        <w:pStyle w:val="12"/>
        <w:spacing w:line="272" w:lineRule="exact"/>
        <w:ind w:right="0" w:firstLine="0"/>
        <w:rPr>
          <w:rFonts w:cs="DanaFajr"/>
          <w:sz w:val="28"/>
        </w:rPr>
      </w:pPr>
      <w:r w:rsidRPr="00282AC9">
        <w:rPr>
          <w:rFonts w:cs="DanaFajr"/>
          <w:sz w:val="28"/>
          <w:rtl/>
        </w:rPr>
        <w:t>(</w:t>
      </w:r>
      <w:r w:rsidRPr="00282AC9">
        <w:rPr>
          <w:rStyle w:val="af9"/>
          <w:rFonts w:cs="DanaFajr"/>
          <w:sz w:val="28"/>
          <w:vertAlign w:val="baseline"/>
        </w:rPr>
        <w:endnoteRef/>
      </w:r>
      <w:r w:rsidRPr="00282AC9">
        <w:rPr>
          <w:rFonts w:cs="DanaFajr"/>
          <w:sz w:val="28"/>
          <w:rtl/>
        </w:rPr>
        <w:t>) انظر</w:t>
      </w:r>
      <w:r w:rsidRPr="00282AC9">
        <w:rPr>
          <w:rFonts w:cs="DanaFajr" w:hint="cs"/>
          <w:sz w:val="28"/>
          <w:rtl/>
        </w:rPr>
        <w:t>: المصدر السابق: 213.</w:t>
      </w:r>
    </w:p>
  </w:endnote>
  <w:endnote w:id="990">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الإيرواني،</w:t>
      </w:r>
      <w:r w:rsidRPr="00282AC9">
        <w:rPr>
          <w:rFonts w:cs="DanaFajr" w:hint="cs"/>
          <w:sz w:val="28"/>
          <w:szCs w:val="28"/>
          <w:rtl/>
          <w:lang w:val="en-GB"/>
        </w:rPr>
        <w:t xml:space="preserve"> </w:t>
      </w:r>
      <w:r w:rsidRPr="00282AC9">
        <w:rPr>
          <w:rFonts w:cs="DanaFajr" w:hint="cs"/>
          <w:sz w:val="28"/>
          <w:szCs w:val="28"/>
          <w:rtl/>
        </w:rPr>
        <w:t>حاشية كتاب المكاسب 2: 13.</w:t>
      </w:r>
    </w:p>
  </w:endnote>
  <w:endnote w:id="991">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المصدر السابق 2: 13.</w:t>
      </w:r>
    </w:p>
  </w:endnote>
  <w:endnote w:id="992">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المصدر السابق 2: 16.</w:t>
      </w:r>
    </w:p>
  </w:endnote>
  <w:endnote w:id="993">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w:t>
      </w:r>
      <w:r w:rsidRPr="00282AC9">
        <w:rPr>
          <w:rFonts w:cs="DanaFajr" w:hint="cs"/>
          <w:sz w:val="28"/>
          <w:szCs w:val="28"/>
          <w:rtl/>
          <w:lang w:val="en-GB"/>
        </w:rPr>
        <w:t xml:space="preserve"> سليم رستم بار</w:t>
      </w:r>
      <w:r w:rsidRPr="00282AC9">
        <w:rPr>
          <w:rFonts w:cs="DanaFajr" w:hint="cs"/>
          <w:sz w:val="28"/>
          <w:szCs w:val="28"/>
          <w:rtl/>
        </w:rPr>
        <w:t xml:space="preserve"> اللبناني</w:t>
      </w:r>
      <w:r w:rsidRPr="00282AC9">
        <w:rPr>
          <w:rFonts w:cs="DanaFajr" w:hint="cs"/>
          <w:sz w:val="28"/>
          <w:szCs w:val="28"/>
          <w:rtl/>
          <w:lang w:val="en-GB"/>
        </w:rPr>
        <w:t>،</w:t>
      </w:r>
      <w:r w:rsidRPr="00282AC9">
        <w:rPr>
          <w:rFonts w:cs="DanaFajr" w:hint="cs"/>
          <w:sz w:val="28"/>
          <w:szCs w:val="28"/>
          <w:rtl/>
        </w:rPr>
        <w:t xml:space="preserve"> شرح المجلّة: 679، الكتاب العاشر، الباب الرابع، الفصل الثاني، المادّة 1248.</w:t>
      </w:r>
    </w:p>
  </w:endnote>
  <w:endnote w:id="994">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 xml:space="preserve">لقد عبَّر في المجلّة العدلية في بيانه للشركة بأنّ شركة الملك قسمان: اختياري؛ وجبري. انظر: </w:t>
      </w:r>
      <w:r w:rsidRPr="00282AC9">
        <w:rPr>
          <w:rFonts w:cs="DanaFajr" w:hint="cs"/>
          <w:sz w:val="28"/>
          <w:szCs w:val="28"/>
          <w:rtl/>
          <w:lang w:val="en-GB"/>
        </w:rPr>
        <w:t>سليم رستم بار</w:t>
      </w:r>
      <w:r w:rsidRPr="00282AC9">
        <w:rPr>
          <w:rFonts w:cs="DanaFajr" w:hint="cs"/>
          <w:sz w:val="28"/>
          <w:szCs w:val="28"/>
          <w:rtl/>
        </w:rPr>
        <w:t xml:space="preserve"> اللبناني</w:t>
      </w:r>
      <w:r w:rsidRPr="00282AC9">
        <w:rPr>
          <w:rFonts w:cs="DanaFajr" w:hint="cs"/>
          <w:sz w:val="28"/>
          <w:szCs w:val="28"/>
          <w:rtl/>
          <w:lang w:val="en-GB"/>
        </w:rPr>
        <w:t>،</w:t>
      </w:r>
      <w:r w:rsidRPr="00282AC9">
        <w:rPr>
          <w:rFonts w:cs="DanaFajr" w:hint="cs"/>
          <w:sz w:val="28"/>
          <w:szCs w:val="28"/>
          <w:rtl/>
        </w:rPr>
        <w:t xml:space="preserve"> شرح المجلّة: 598، الكتاب العاشر، الباب الأوّل، الفصل الأوّل، المادّة 1062.</w:t>
      </w:r>
    </w:p>
  </w:endnote>
  <w:endnote w:id="995">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أقول: الظاهر أنّ مُراده بـ (الاتّفاقية) التوافقية، أي ما يحصل بتوافق الطرفين أو الأطراف.</w:t>
      </w:r>
    </w:p>
  </w:endnote>
  <w:endnote w:id="996">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محمد حسين كاشف الغطاء، تحرير المجلّة 3: 323 وما بعدها، وانظر أيضاً: 432.</w:t>
      </w:r>
    </w:p>
  </w:endnote>
  <w:endnote w:id="997">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أقول: إنْ أُريد استفادة الأسباب من هذا التنويع فسوف يكون ما ذُكِر من مناقشات وارداً عليه، وإلاّ فلا يَرِدُ عليه بعضها.</w:t>
      </w:r>
    </w:p>
  </w:endnote>
  <w:endnote w:id="998">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محمد تقي الآملي، المكاسب والبيع 1: 101 ـ 102.</w:t>
      </w:r>
    </w:p>
  </w:endnote>
  <w:endnote w:id="999">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الصدر، محاضرات تأسيسية (ضمن موسوعة الإمام الشهيد السعيد محمّد باقر الصدر) 21: 194.</w:t>
      </w:r>
    </w:p>
  </w:endnote>
  <w:endnote w:id="1000">
    <w:p w:rsidR="00C14EDE" w:rsidRPr="00282AC9" w:rsidRDefault="00C14EDE" w:rsidP="00AD5AC7">
      <w:pPr>
        <w:pStyle w:val="af7"/>
        <w:spacing w:line="272"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محمد علي التوحيدي، مصباح الفقاهة 2: 7، 20؛ 4: 124؛ 6: 110، 207؛ علي الغروي، موسوعة الإمام الخوئي، التنقيح في شرح المكاسب 36: 27 ـ 28؛ وانظر أيضاً: محمد حسين الإصفهاني، حاشية المكاسب 1: 40.</w:t>
      </w:r>
    </w:p>
  </w:endnote>
  <w:endnote w:id="1001">
    <w:p w:rsidR="00C14EDE" w:rsidRPr="00282AC9" w:rsidRDefault="00C14EDE" w:rsidP="00AD5AC7">
      <w:pPr>
        <w:pStyle w:val="af7"/>
        <w:spacing w:line="272"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الغروي، موسوعة الإمام الخوئي، التنقيح في شرح المكاسب 36: 4.</w:t>
      </w:r>
    </w:p>
  </w:endnote>
  <w:endnote w:id="1002">
    <w:p w:rsidR="00C14EDE" w:rsidRPr="00282AC9" w:rsidRDefault="00C14EDE" w:rsidP="00AD5AC7">
      <w:pPr>
        <w:pStyle w:val="af7"/>
        <w:spacing w:line="272"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التوحيدي، مصباح الفقاهة 2: 8 ـ 9؛ الغروي، موسوعة الإمام الخوئي، التنقيح في شرح المكاسب 36: 4؛ علي الحسيني الشاهرودي، محاضرات في الفقه الجعفري 3: 10.</w:t>
      </w:r>
    </w:p>
  </w:endnote>
  <w:endnote w:id="1003">
    <w:p w:rsidR="00C14EDE" w:rsidRPr="00282AC9" w:rsidRDefault="00C14EDE" w:rsidP="00AD5AC7">
      <w:pPr>
        <w:pStyle w:val="af7"/>
        <w:spacing w:line="272"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المصدر السابق 2: 6 ـ 9؛ الغروي، موسوعة الإمام الخوئي، التنقيح في شرح المكاسب 36: 4 ـ 6؛ الحسيني الشاهرودي، محاضرات في الفقه الجعفري 3: 9 ـ 10.</w:t>
      </w:r>
    </w:p>
  </w:endnote>
  <w:endnote w:id="1004">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كاظم الحائري، فقه العقود 1: 30.</w:t>
      </w:r>
    </w:p>
  </w:endnote>
  <w:endnote w:id="1005">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المصدر نفسه.</w:t>
      </w:r>
    </w:p>
  </w:endnote>
  <w:endnote w:id="1006">
    <w:p w:rsidR="00C14EDE" w:rsidRPr="00282AC9" w:rsidRDefault="00C14EDE" w:rsidP="00AD5AC7">
      <w:pPr>
        <w:pStyle w:val="af7"/>
        <w:spacing w:line="272"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التوحيدي، مصباح الفقاهة 2: 5 ـ 6.</w:t>
      </w:r>
    </w:p>
  </w:endnote>
  <w:endnote w:id="1007">
    <w:p w:rsidR="00C14EDE" w:rsidRPr="00282AC9" w:rsidRDefault="00C14EDE" w:rsidP="00AD5AC7">
      <w:pPr>
        <w:pStyle w:val="af7"/>
        <w:spacing w:line="272" w:lineRule="exact"/>
        <w:ind w:firstLine="0"/>
        <w:rPr>
          <w:rFonts w:cs="DanaFajr"/>
          <w:sz w:val="28"/>
          <w:szCs w:val="28"/>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الطباطبائي اليزدي، محمّد كاظم، العروة الوثقى 6: 279.</w:t>
      </w:r>
    </w:p>
  </w:endnote>
  <w:endnote w:id="1008">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 xml:space="preserve">انظر: الصدر، محاضرات تأسيسية (ضمن موسوعة الإمام الشهيد السعيد محمّد باقر الصدر) 21: 195. </w:t>
      </w:r>
    </w:p>
  </w:endnote>
  <w:endnote w:id="1009">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xml:space="preserve">) </w:t>
      </w:r>
      <w:r w:rsidRPr="00282AC9">
        <w:rPr>
          <w:rFonts w:cs="DanaFajr" w:hint="cs"/>
          <w:sz w:val="28"/>
          <w:szCs w:val="28"/>
          <w:rtl/>
        </w:rPr>
        <w:t>انظر: الحائري، فقه العقود 1: 40؛ وانظر: الصدر، محاضرات تأسيسية (ضمن موسوعة الإمام الشهيد السعيد محمّد باقر الصدر) 21: 199 ـ 200.</w:t>
      </w:r>
    </w:p>
  </w:endnote>
  <w:endnote w:id="1010">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الصدر، محاضرات تأسيسية (ضمن موسوعة الإمام الشهيد السعيد محمّد باقر الصدر</w:t>
      </w:r>
      <w:r w:rsidRPr="00282AC9">
        <w:rPr>
          <w:rFonts w:cs="DanaFajr" w:hint="cs"/>
          <w:sz w:val="28"/>
          <w:szCs w:val="28"/>
          <w:rtl/>
        </w:rPr>
        <w:t>)</w:t>
      </w:r>
      <w:r w:rsidRPr="00282AC9">
        <w:rPr>
          <w:rFonts w:cs="DanaFajr"/>
          <w:sz w:val="28"/>
          <w:szCs w:val="28"/>
          <w:rtl/>
        </w:rPr>
        <w:t xml:space="preserve"> </w:t>
      </w:r>
      <w:r w:rsidRPr="00282AC9">
        <w:rPr>
          <w:rFonts w:cs="DanaFajr" w:hint="cs"/>
          <w:sz w:val="28"/>
          <w:szCs w:val="28"/>
          <w:rtl/>
        </w:rPr>
        <w:t>21:</w:t>
      </w:r>
      <w:r w:rsidRPr="00282AC9">
        <w:rPr>
          <w:rFonts w:cs="DanaFajr"/>
          <w:sz w:val="28"/>
          <w:szCs w:val="28"/>
          <w:rtl/>
        </w:rPr>
        <w:t xml:space="preserve"> </w:t>
      </w:r>
      <w:r w:rsidRPr="00282AC9">
        <w:rPr>
          <w:rFonts w:cs="DanaFajr" w:hint="cs"/>
          <w:sz w:val="28"/>
          <w:szCs w:val="28"/>
          <w:rtl/>
        </w:rPr>
        <w:t>196</w:t>
      </w:r>
      <w:r w:rsidRPr="00282AC9">
        <w:rPr>
          <w:rFonts w:cs="DanaFajr"/>
          <w:sz w:val="28"/>
          <w:szCs w:val="28"/>
          <w:rtl/>
        </w:rPr>
        <w:t xml:space="preserve"> ـ </w:t>
      </w:r>
      <w:r w:rsidRPr="00282AC9">
        <w:rPr>
          <w:rFonts w:cs="DanaFajr" w:hint="cs"/>
          <w:sz w:val="28"/>
          <w:szCs w:val="28"/>
          <w:rtl/>
        </w:rPr>
        <w:t xml:space="preserve">201. </w:t>
      </w:r>
    </w:p>
  </w:endnote>
  <w:endnote w:id="1011">
    <w:p w:rsidR="00C14EDE" w:rsidRPr="00282AC9" w:rsidRDefault="00C14EDE" w:rsidP="00AD5AC7">
      <w:pPr>
        <w:pStyle w:val="af7"/>
        <w:spacing w:line="272" w:lineRule="exact"/>
        <w:ind w:firstLine="0"/>
        <w:rPr>
          <w:rFonts w:cs="DanaFajr"/>
          <w:sz w:val="28"/>
          <w:szCs w:val="28"/>
          <w:rtl/>
          <w:lang w:bidi="fa-IR"/>
        </w:rPr>
      </w:pPr>
      <w:r w:rsidRPr="00282AC9">
        <w:rPr>
          <w:rFonts w:cs="DanaFajr"/>
          <w:sz w:val="28"/>
          <w:szCs w:val="28"/>
          <w:rtl/>
        </w:rPr>
        <w:t>(</w:t>
      </w:r>
      <w:r w:rsidRPr="00282AC9">
        <w:rPr>
          <w:rFonts w:cs="DanaFajr"/>
          <w:sz w:val="28"/>
          <w:szCs w:val="28"/>
        </w:rPr>
        <w:endnoteRef/>
      </w:r>
      <w:r w:rsidRPr="00282AC9">
        <w:rPr>
          <w:rFonts w:cs="DanaFajr"/>
          <w:sz w:val="28"/>
          <w:szCs w:val="28"/>
          <w:rtl/>
        </w:rPr>
        <w:t>) راج</w:t>
      </w:r>
      <w:r w:rsidRPr="00282AC9">
        <w:rPr>
          <w:rFonts w:cs="DanaFajr" w:hint="cs"/>
          <w:sz w:val="28"/>
          <w:szCs w:val="28"/>
          <w:rtl/>
        </w:rPr>
        <w:t>ِ</w:t>
      </w:r>
      <w:r w:rsidRPr="00282AC9">
        <w:rPr>
          <w:rFonts w:cs="DanaFajr"/>
          <w:sz w:val="28"/>
          <w:szCs w:val="28"/>
          <w:rtl/>
        </w:rPr>
        <w:t>ع</w:t>
      </w:r>
      <w:r w:rsidRPr="00282AC9">
        <w:rPr>
          <w:rFonts w:cs="DanaFajr" w:hint="cs"/>
          <w:sz w:val="28"/>
          <w:szCs w:val="28"/>
          <w:rtl/>
        </w:rPr>
        <w:t>ْ</w:t>
      </w:r>
      <w:r w:rsidRPr="00282AC9">
        <w:rPr>
          <w:rFonts w:cs="DanaFajr"/>
          <w:sz w:val="28"/>
          <w:szCs w:val="28"/>
          <w:rtl/>
        </w:rPr>
        <w:t xml:space="preserve"> مقال</w:t>
      </w:r>
      <w:r w:rsidRPr="00282AC9">
        <w:rPr>
          <w:rFonts w:cs="DanaFajr" w:hint="cs"/>
          <w:sz w:val="28"/>
          <w:szCs w:val="28"/>
          <w:rtl/>
        </w:rPr>
        <w:t>اً</w:t>
      </w:r>
      <w:r w:rsidRPr="00282AC9">
        <w:rPr>
          <w:rFonts w:cs="DanaFajr"/>
          <w:sz w:val="28"/>
          <w:szCs w:val="28"/>
          <w:rtl/>
        </w:rPr>
        <w:t xml:space="preserve"> تحت عنوان: نظرية التوسّ</w:t>
      </w:r>
      <w:r w:rsidRPr="00282AC9">
        <w:rPr>
          <w:rFonts w:cs="DanaFajr" w:hint="cs"/>
          <w:sz w:val="28"/>
          <w:szCs w:val="28"/>
          <w:rtl/>
        </w:rPr>
        <w:t>ُ</w:t>
      </w:r>
      <w:r w:rsidRPr="00282AC9">
        <w:rPr>
          <w:rFonts w:cs="DanaFajr"/>
          <w:sz w:val="28"/>
          <w:szCs w:val="28"/>
          <w:rtl/>
        </w:rPr>
        <w:t>ع العقلائي في الحيازة عند الشهيد محمد باقر الصدر تحليل ونقد</w:t>
      </w:r>
      <w:r w:rsidRPr="00282AC9">
        <w:rPr>
          <w:rFonts w:cs="DanaFajr" w:hint="cs"/>
          <w:sz w:val="28"/>
          <w:szCs w:val="28"/>
          <w:rtl/>
        </w:rPr>
        <w:t xml:space="preserve">، </w:t>
      </w:r>
      <w:r w:rsidRPr="00282AC9">
        <w:rPr>
          <w:rFonts w:cs="DanaFajr"/>
          <w:sz w:val="28"/>
          <w:szCs w:val="28"/>
          <w:rtl/>
        </w:rPr>
        <w:t xml:space="preserve">مجلّة الاستنباط، العدد </w:t>
      </w:r>
      <w:r w:rsidRPr="00282AC9">
        <w:rPr>
          <w:rFonts w:cs="DanaFajr" w:hint="cs"/>
          <w:sz w:val="28"/>
          <w:szCs w:val="28"/>
          <w:rtl/>
        </w:rPr>
        <w:t>1،</w:t>
      </w:r>
      <w:r w:rsidRPr="00282AC9">
        <w:rPr>
          <w:rFonts w:cs="DanaFajr"/>
          <w:sz w:val="28"/>
          <w:szCs w:val="28"/>
          <w:rtl/>
        </w:rPr>
        <w:t xml:space="preserve"> </w:t>
      </w:r>
      <w:r w:rsidRPr="00282AC9">
        <w:rPr>
          <w:rFonts w:cs="DanaFajr" w:hint="cs"/>
          <w:sz w:val="28"/>
          <w:szCs w:val="28"/>
          <w:rtl/>
        </w:rPr>
        <w:t>1439</w:t>
      </w:r>
      <w:r w:rsidRPr="00282AC9">
        <w:rPr>
          <w:rFonts w:cs="DanaFajr"/>
          <w:sz w:val="28"/>
          <w:szCs w:val="28"/>
          <w:rtl/>
        </w:rPr>
        <w:t xml:space="preserve">هـ </w:t>
      </w:r>
      <w:r w:rsidRPr="00282AC9">
        <w:rPr>
          <w:rFonts w:cs="DanaFajr" w:hint="cs"/>
          <w:sz w:val="28"/>
          <w:szCs w:val="28"/>
          <w:rtl/>
        </w:rPr>
        <w:t>ـ</w:t>
      </w:r>
      <w:r w:rsidRPr="00282AC9">
        <w:rPr>
          <w:rFonts w:cs="DanaFajr"/>
          <w:sz w:val="28"/>
          <w:szCs w:val="28"/>
          <w:rtl/>
        </w:rPr>
        <w:t xml:space="preserve"> </w:t>
      </w:r>
      <w:r w:rsidRPr="00282AC9">
        <w:rPr>
          <w:rFonts w:cs="DanaFajr" w:hint="cs"/>
          <w:sz w:val="28"/>
          <w:szCs w:val="28"/>
          <w:rtl/>
        </w:rPr>
        <w:t>2018</w:t>
      </w:r>
      <w:r w:rsidRPr="00282AC9">
        <w:rPr>
          <w:rFonts w:cs="DanaFajr"/>
          <w:sz w:val="28"/>
          <w:szCs w:val="28"/>
          <w:rtl/>
        </w:rPr>
        <w:t>م</w:t>
      </w:r>
      <w:r w:rsidRPr="00282AC9">
        <w:rPr>
          <w:rFonts w:cs="DanaFajr" w:hint="cs"/>
          <w:sz w:val="28"/>
          <w:szCs w:val="28"/>
          <w:rtl/>
        </w:rPr>
        <w:t xml:space="preserve">؛ وراجِعْ أيضاً مقالاً تحت عنوان: رؤية الشهيد الصدر حول حقيقة العقود، عَرْضٌ ونقدٌ وتقويم، </w:t>
      </w:r>
      <w:r w:rsidRPr="00282AC9">
        <w:rPr>
          <w:rFonts w:cs="DanaFajr"/>
          <w:sz w:val="28"/>
          <w:szCs w:val="28"/>
          <w:rtl/>
        </w:rPr>
        <w:t xml:space="preserve">مجلّة الاستنباط، العدد </w:t>
      </w:r>
      <w:r w:rsidRPr="00282AC9">
        <w:rPr>
          <w:rFonts w:cs="DanaFajr" w:hint="cs"/>
          <w:sz w:val="28"/>
          <w:szCs w:val="28"/>
          <w:rtl/>
        </w:rPr>
        <w:t>2</w:t>
      </w:r>
      <w:r w:rsidRPr="00282AC9">
        <w:rPr>
          <w:rFonts w:cs="DanaFajr"/>
          <w:sz w:val="28"/>
          <w:szCs w:val="28"/>
          <w:rtl/>
        </w:rPr>
        <w:t xml:space="preserve">: </w:t>
      </w:r>
      <w:r w:rsidRPr="00282AC9">
        <w:rPr>
          <w:rFonts w:cs="DanaFajr" w:hint="cs"/>
          <w:sz w:val="28"/>
          <w:szCs w:val="28"/>
          <w:rtl/>
        </w:rPr>
        <w:t>1439</w:t>
      </w:r>
      <w:r w:rsidRPr="00282AC9">
        <w:rPr>
          <w:rFonts w:cs="DanaFajr"/>
          <w:sz w:val="28"/>
          <w:szCs w:val="28"/>
          <w:rtl/>
        </w:rPr>
        <w:t xml:space="preserve">هـ </w:t>
      </w:r>
      <w:r w:rsidRPr="00282AC9">
        <w:rPr>
          <w:rFonts w:cs="DanaFajr" w:hint="cs"/>
          <w:sz w:val="28"/>
          <w:szCs w:val="28"/>
          <w:rtl/>
        </w:rPr>
        <w:t>ـ</w:t>
      </w:r>
      <w:r w:rsidRPr="00282AC9">
        <w:rPr>
          <w:rFonts w:cs="DanaFajr"/>
          <w:sz w:val="28"/>
          <w:szCs w:val="28"/>
          <w:rtl/>
        </w:rPr>
        <w:t xml:space="preserve"> </w:t>
      </w:r>
      <w:r w:rsidRPr="00282AC9">
        <w:rPr>
          <w:rFonts w:cs="DanaFajr" w:hint="cs"/>
          <w:sz w:val="28"/>
          <w:szCs w:val="28"/>
          <w:rtl/>
        </w:rPr>
        <w:t>2018</w:t>
      </w:r>
      <w:r w:rsidRPr="00282AC9">
        <w:rPr>
          <w:rFonts w:cs="DanaFajr"/>
          <w:sz w:val="28"/>
          <w:szCs w:val="28"/>
          <w:rtl/>
        </w:rPr>
        <w:t>م</w:t>
      </w:r>
      <w:r w:rsidRPr="00282AC9">
        <w:rPr>
          <w:rFonts w:cs="DanaFajr" w:hint="cs"/>
          <w:sz w:val="28"/>
          <w:szCs w:val="28"/>
          <w:rtl/>
        </w:rPr>
        <w:t xml:space="preserve">. </w:t>
      </w:r>
    </w:p>
  </w:endnote>
  <w:endnote w:id="1012">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أحمد أبو زيد العاملي، </w:t>
      </w:r>
      <w:r w:rsidRPr="00282AC9">
        <w:rPr>
          <w:rFonts w:cs="DanaFajr"/>
          <w:sz w:val="28"/>
          <w:szCs w:val="28"/>
          <w:rtl/>
        </w:rPr>
        <w:t>السيرة والمسيرة 2: 436.</w:t>
      </w:r>
    </w:p>
  </w:endnote>
  <w:endnote w:id="1013">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عمّار أبو رغيف، </w:t>
      </w:r>
      <w:r w:rsidRPr="00282AC9">
        <w:rPr>
          <w:rFonts w:cs="DanaFajr"/>
          <w:sz w:val="28"/>
          <w:szCs w:val="28"/>
          <w:rtl/>
        </w:rPr>
        <w:t>منطق الاستقراء: 7.</w:t>
      </w:r>
    </w:p>
  </w:endnote>
  <w:endnote w:id="1014">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أيمن عبد الخالق، دستور الحكماء في شرح برهان الشفاء :</w:t>
      </w:r>
      <w:r w:rsidRPr="00282AC9">
        <w:rPr>
          <w:rFonts w:cs="DanaFajr"/>
          <w:sz w:val="28"/>
          <w:szCs w:val="28"/>
          <w:rtl/>
        </w:rPr>
        <w:t xml:space="preserve"> 468 </w:t>
      </w:r>
      <w:r w:rsidRPr="00282AC9">
        <w:rPr>
          <w:rFonts w:cs="DanaFajr" w:hint="cs"/>
          <w:sz w:val="28"/>
          <w:szCs w:val="28"/>
          <w:rtl/>
        </w:rPr>
        <w:t>ـ</w:t>
      </w:r>
      <w:r w:rsidRPr="00282AC9">
        <w:rPr>
          <w:rFonts w:cs="DanaFajr"/>
          <w:sz w:val="28"/>
          <w:szCs w:val="28"/>
          <w:rtl/>
        </w:rPr>
        <w:t xml:space="preserve"> 479.</w:t>
      </w:r>
    </w:p>
  </w:endnote>
  <w:endnote w:id="1015">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أيمن عبد الخالق، أصول المعرفة والمنهج العقليّ</w:t>
      </w:r>
      <w:r w:rsidRPr="00282AC9">
        <w:rPr>
          <w:rFonts w:cs="DanaFajr"/>
          <w:sz w:val="28"/>
          <w:szCs w:val="28"/>
          <w:rtl/>
        </w:rPr>
        <w:t xml:space="preserve"> 2</w:t>
      </w:r>
      <w:r w:rsidRPr="00282AC9">
        <w:rPr>
          <w:rFonts w:cs="DanaFajr" w:hint="cs"/>
          <w:sz w:val="28"/>
          <w:szCs w:val="28"/>
          <w:rtl/>
        </w:rPr>
        <w:t>:</w:t>
      </w:r>
      <w:r w:rsidRPr="00282AC9">
        <w:rPr>
          <w:rFonts w:cs="DanaFajr"/>
          <w:sz w:val="28"/>
          <w:szCs w:val="28"/>
          <w:rtl/>
        </w:rPr>
        <w:t xml:space="preserve"> 232 </w:t>
      </w:r>
      <w:r w:rsidRPr="00282AC9">
        <w:rPr>
          <w:rFonts w:cs="DanaFajr" w:hint="cs"/>
          <w:sz w:val="28"/>
          <w:szCs w:val="28"/>
          <w:rtl/>
        </w:rPr>
        <w:t>ـ</w:t>
      </w:r>
      <w:r w:rsidRPr="00282AC9">
        <w:rPr>
          <w:rFonts w:cs="DanaFajr"/>
          <w:sz w:val="28"/>
          <w:szCs w:val="28"/>
          <w:rtl/>
        </w:rPr>
        <w:t xml:space="preserve"> 240</w:t>
      </w:r>
      <w:r w:rsidRPr="00282AC9">
        <w:rPr>
          <w:rFonts w:cs="DanaFajr" w:hint="cs"/>
          <w:sz w:val="28"/>
          <w:szCs w:val="28"/>
          <w:rtl/>
        </w:rPr>
        <w:t>.</w:t>
      </w:r>
    </w:p>
  </w:endnote>
  <w:endnote w:id="1016">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أيمن عبد الخالق، أنفع التقريرات في شرح الإشارات والتنبيهات:</w:t>
      </w:r>
      <w:r w:rsidRPr="00282AC9">
        <w:rPr>
          <w:rFonts w:cs="DanaFajr"/>
          <w:sz w:val="28"/>
          <w:szCs w:val="28"/>
          <w:rtl/>
        </w:rPr>
        <w:t xml:space="preserve"> 63 </w:t>
      </w:r>
      <w:r w:rsidRPr="00282AC9">
        <w:rPr>
          <w:rFonts w:cs="DanaFajr" w:hint="cs"/>
          <w:sz w:val="28"/>
          <w:szCs w:val="28"/>
          <w:rtl/>
        </w:rPr>
        <w:t>ـ</w:t>
      </w:r>
      <w:r w:rsidRPr="00282AC9">
        <w:rPr>
          <w:rFonts w:cs="DanaFajr"/>
          <w:sz w:val="28"/>
          <w:szCs w:val="28"/>
          <w:rtl/>
        </w:rPr>
        <w:t xml:space="preserve"> 67.</w:t>
      </w:r>
    </w:p>
  </w:endnote>
  <w:endnote w:id="1017">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في كتبه المذكورة أعلاه يصرّ</w:t>
      </w:r>
      <w:r w:rsidRPr="00282AC9">
        <w:rPr>
          <w:rFonts w:cs="DanaFajr" w:hint="cs"/>
          <w:sz w:val="28"/>
          <w:szCs w:val="28"/>
          <w:rtl/>
        </w:rPr>
        <w:t>ِ</w:t>
      </w:r>
      <w:r w:rsidRPr="00282AC9">
        <w:rPr>
          <w:rFonts w:cs="DanaFajr"/>
          <w:sz w:val="28"/>
          <w:szCs w:val="28"/>
          <w:rtl/>
        </w:rPr>
        <w:t>ح باسم السي</w:t>
      </w:r>
      <w:r w:rsidRPr="00282AC9">
        <w:rPr>
          <w:rFonts w:cs="DanaFajr" w:hint="cs"/>
          <w:sz w:val="28"/>
          <w:szCs w:val="28"/>
          <w:rtl/>
        </w:rPr>
        <w:t>ّ</w:t>
      </w:r>
      <w:r w:rsidRPr="00282AC9">
        <w:rPr>
          <w:rFonts w:cs="DanaFajr"/>
          <w:sz w:val="28"/>
          <w:szCs w:val="28"/>
          <w:rtl/>
        </w:rPr>
        <w:t>د الشهيد محمد باقر الص</w:t>
      </w:r>
      <w:r w:rsidRPr="00282AC9">
        <w:rPr>
          <w:rFonts w:cs="DanaFajr" w:hint="cs"/>
          <w:sz w:val="28"/>
          <w:szCs w:val="28"/>
          <w:rtl/>
        </w:rPr>
        <w:t>ّ</w:t>
      </w:r>
      <w:r w:rsidRPr="00282AC9">
        <w:rPr>
          <w:rFonts w:cs="DanaFajr"/>
          <w:sz w:val="28"/>
          <w:szCs w:val="28"/>
          <w:rtl/>
        </w:rPr>
        <w:t>در.</w:t>
      </w:r>
    </w:p>
  </w:endnote>
  <w:endnote w:id="1018">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أيمن عبد الخالق، منتهى المراد في علم أصول الاعتقاد:  43 ـ 44.</w:t>
      </w:r>
    </w:p>
  </w:endnote>
  <w:endnote w:id="1019">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bookmarkStart w:id="118" w:name="_Hlk39762518"/>
      <w:r w:rsidRPr="00282AC9">
        <w:rPr>
          <w:rFonts w:cs="DanaFajr" w:hint="cs"/>
          <w:sz w:val="28"/>
          <w:szCs w:val="28"/>
          <w:rtl/>
        </w:rPr>
        <w:t xml:space="preserve">الشيخ الرئيس ابن سينا، الإشارات والتنبيهات (مع شرحَيْ الطوسي والقطب الرازي) 1: </w:t>
      </w:r>
      <w:bookmarkEnd w:id="118"/>
      <w:r w:rsidRPr="00282AC9">
        <w:rPr>
          <w:rFonts w:cs="DanaFajr" w:hint="cs"/>
          <w:sz w:val="28"/>
          <w:szCs w:val="28"/>
          <w:rtl/>
        </w:rPr>
        <w:t>204؛ محمد رضا المظفَّر، المنطق: 229.</w:t>
      </w:r>
    </w:p>
  </w:endnote>
  <w:endnote w:id="1020">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محمد باقر الصّدر، الأسس المنطقيّة للاستقراء:  56 ـ 57.</w:t>
      </w:r>
    </w:p>
  </w:endnote>
  <w:endnote w:id="1021">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المصدر السابق: 57 ـ 58.</w:t>
      </w:r>
    </w:p>
  </w:endnote>
  <w:endnote w:id="1022">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المصدر السابق:  62.</w:t>
      </w:r>
    </w:p>
  </w:endnote>
  <w:endnote w:id="1023">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المصدر السابق: 312 وما بعدها، التطبيق الأوّل من التطبيقات الأربعة.</w:t>
      </w:r>
    </w:p>
  </w:endnote>
  <w:endnote w:id="1024">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المصدر السابق:  403.</w:t>
      </w:r>
    </w:p>
  </w:endnote>
  <w:endnote w:id="1025">
    <w:p w:rsidR="00C14EDE" w:rsidRPr="00282AC9" w:rsidRDefault="00C14EDE" w:rsidP="00A6730E">
      <w:pPr>
        <w:pStyle w:val="af7"/>
        <w:spacing w:line="296" w:lineRule="exact"/>
        <w:ind w:firstLine="0"/>
        <w:rPr>
          <w:rFonts w:cs="DanaFajr"/>
          <w:sz w:val="28"/>
          <w:szCs w:val="28"/>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أيمن عبد الخالق، أنفع التقريرات في شرح الإشارات والتنبيهات:  239، بقلم: الشيخ محمد العلي.</w:t>
      </w:r>
    </w:p>
  </w:endnote>
  <w:endnote w:id="1026">
    <w:p w:rsidR="00C14EDE" w:rsidRPr="00282AC9" w:rsidRDefault="00C14EDE" w:rsidP="00A6730E">
      <w:pPr>
        <w:pStyle w:val="af7"/>
        <w:spacing w:line="296" w:lineRule="exact"/>
        <w:ind w:firstLine="0"/>
        <w:rPr>
          <w:rFonts w:cs="DanaFajr"/>
          <w:sz w:val="28"/>
          <w:szCs w:val="28"/>
          <w:rtl/>
        </w:rPr>
      </w:pPr>
      <w:r w:rsidRPr="00282AC9">
        <w:rPr>
          <w:rFonts w:cs="DanaFajr" w:hint="cs"/>
          <w:sz w:val="28"/>
          <w:szCs w:val="28"/>
          <w:rtl/>
        </w:rPr>
        <w:t>(</w:t>
      </w:r>
      <w:r w:rsidRPr="00282AC9">
        <w:rPr>
          <w:rStyle w:val="af9"/>
          <w:rFonts w:cs="DanaFajr"/>
          <w:sz w:val="28"/>
          <w:szCs w:val="28"/>
          <w:vertAlign w:val="baseline"/>
        </w:rPr>
        <w:endnoteRef/>
      </w:r>
      <w:r w:rsidRPr="00282AC9">
        <w:rPr>
          <w:rFonts w:cs="DanaFajr" w:hint="cs"/>
          <w:sz w:val="28"/>
          <w:szCs w:val="28"/>
          <w:rtl/>
        </w:rPr>
        <w:t xml:space="preserve">) </w:t>
      </w:r>
      <w:r w:rsidRPr="00282AC9">
        <w:rPr>
          <w:rFonts w:cs="DanaFajr"/>
          <w:sz w:val="28"/>
          <w:szCs w:val="28"/>
          <w:rtl/>
        </w:rPr>
        <w:t xml:space="preserve">الشيخ الرئيس ابن سينا، الإشارات والتنبيهات </w:t>
      </w:r>
      <w:r w:rsidRPr="00282AC9">
        <w:rPr>
          <w:rFonts w:cs="DanaFajr" w:hint="cs"/>
          <w:sz w:val="28"/>
          <w:szCs w:val="28"/>
          <w:rtl/>
        </w:rPr>
        <w:t>(</w:t>
      </w:r>
      <w:r w:rsidRPr="00282AC9">
        <w:rPr>
          <w:rFonts w:cs="DanaFajr"/>
          <w:sz w:val="28"/>
          <w:szCs w:val="28"/>
          <w:rtl/>
        </w:rPr>
        <w:t xml:space="preserve">مع </w:t>
      </w:r>
      <w:r w:rsidRPr="00282AC9">
        <w:rPr>
          <w:rFonts w:cs="DanaFajr" w:hint="cs"/>
          <w:sz w:val="28"/>
          <w:szCs w:val="28"/>
          <w:rtl/>
        </w:rPr>
        <w:t>شرحَيْ الطوسي والقطب الرازي)</w:t>
      </w:r>
      <w:r w:rsidRPr="00282AC9">
        <w:rPr>
          <w:rFonts w:cs="DanaFajr"/>
          <w:sz w:val="28"/>
          <w:szCs w:val="28"/>
          <w:rtl/>
        </w:rPr>
        <w:t xml:space="preserve">: </w:t>
      </w:r>
      <w:r w:rsidRPr="00282AC9">
        <w:rPr>
          <w:rFonts w:cs="DanaFajr" w:hint="cs"/>
          <w:sz w:val="28"/>
          <w:szCs w:val="28"/>
          <w:rtl/>
        </w:rPr>
        <w:t>218، محمد رضا المظفَّر، المنطق: 274.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Ya-Ali">
    <w:altName w:val="Times New Roman"/>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panose1 w:val="00000400000000000000"/>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altName w:val="Times New Roman"/>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jk-kawthar3 normal-simplifid">
    <w:altName w:val="Times New Roman"/>
    <w:charset w:val="00"/>
    <w:family w:val="auto"/>
    <w:pitch w:val="variable"/>
    <w:sig w:usb0="00006007" w:usb1="80000000" w:usb2="00000008" w:usb3="00000000" w:csb0="00000043" w:csb1="00000000"/>
  </w:font>
  <w:font w:name="AMUNA">
    <w:altName w:val="Times New Roman"/>
    <w:charset w:val="B2"/>
    <w:family w:val="auto"/>
    <w:pitch w:val="variable"/>
    <w:sig w:usb0="00002001" w:usb1="00000000" w:usb2="00000000" w:usb3="00000000" w:csb0="00000040" w:csb1="00000000"/>
  </w:font>
  <w:font w:name="ajk-mohsen">
    <w:altName w:val="Courier New"/>
    <w:charset w:val="B2"/>
    <w:family w:val="auto"/>
    <w:pitch w:val="variable"/>
    <w:sig w:usb0="00006001" w:usb1="00000000" w:usb2="00000000" w:usb3="00000000" w:csb0="00000040" w:csb1="00000000"/>
  </w:font>
  <w:font w:name="ALMUNA">
    <w:altName w:val="Times New Roman"/>
    <w:charset w:val="B2"/>
    <w:family w:val="auto"/>
    <w:pitch w:val="variable"/>
    <w:sig w:usb0="00002000" w:usb1="00000000" w:usb2="00000000" w:usb3="00000000" w:csb0="00000040" w:csb1="00000000"/>
  </w:font>
  <w:font w:name="Rateb lotusb2011">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Lotus Linotype Light">
    <w:altName w:val="Times New Roman"/>
    <w:panose1 w:val="00000000000000000000"/>
    <w:charset w:val="B2"/>
    <w:family w:val="auto"/>
    <w:notTrueType/>
    <w:pitch w:val="default"/>
    <w:sig w:usb0="00002000" w:usb1="00000000" w:usb2="00000000" w:usb3="00000000" w:csb0="00000040" w:csb1="00000000"/>
  </w:font>
  <w:font w:name="AXtManalBLack">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l-Ghadeer Bold">
    <w:panose1 w:val="00000000000000000000"/>
    <w:charset w:val="B2"/>
    <w:family w:val="auto"/>
    <w:pitch w:val="variable"/>
    <w:sig w:usb0="00002001" w:usb1="00000000" w:usb2="00000000" w:usb3="00000000" w:csb0="00000040" w:csb1="00000000"/>
  </w:font>
  <w:font w:name="Sultan bold">
    <w:altName w:val="Times New Roman"/>
    <w:charset w:val="B2"/>
    <w:family w:val="auto"/>
    <w:pitch w:val="variable"/>
    <w:sig w:usb0="00002000"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bz-2 (Badr)">
    <w:panose1 w:val="000004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PMingLiU">
    <w:altName w:val="新細明體"/>
    <w:panose1 w:val="02020300000000000000"/>
    <w:charset w:val="88"/>
    <w:family w:val="roman"/>
    <w:pitch w:val="variable"/>
    <w:sig w:usb0="00000003" w:usb1="080E0000" w:usb2="00000016" w:usb3="00000000" w:csb0="00100001"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Arabic11 BT">
    <w:panose1 w:val="00000000000000000000"/>
    <w:charset w:val="B2"/>
    <w:family w:val="auto"/>
    <w:notTrueType/>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FS_Kofi_Ahram">
    <w:panose1 w:val="00000000000000000000"/>
    <w:charset w:val="B2"/>
    <w:family w:val="auto"/>
    <w:pitch w:val="variable"/>
    <w:sig w:usb0="00002001" w:usb1="00000000" w:usb2="00000000" w:usb3="00000000" w:csb0="00000040" w:csb1="00000000"/>
  </w:font>
  <w:font w:name="2  Badr">
    <w:panose1 w:val="00000400000000000000"/>
    <w:charset w:val="B2"/>
    <w:family w:val="auto"/>
    <w:pitch w:val="variable"/>
    <w:sig w:usb0="00002001" w:usb1="80000000" w:usb2="00000008" w:usb3="00000000" w:csb0="00000040" w:csb1="00000000"/>
  </w:font>
  <w:font w:name="AAA GoldenLotus">
    <w:altName w:val="Times New Roman"/>
    <w:charset w:val="00"/>
    <w:family w:val="auto"/>
    <w:pitch w:val="variable"/>
    <w:sig w:usb0="00000000" w:usb1="80000000" w:usb2="00000008" w:usb3="00000000" w:csb0="00000043" w:csb1="00000000"/>
  </w:font>
  <w:font w:name="Noor_Mitra">
    <w:altName w:val="Segoe UI Semilight"/>
    <w:charset w:val="00"/>
    <w:family w:val="auto"/>
    <w:pitch w:val="variable"/>
    <w:sig w:usb0="00000000" w:usb1="80002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Noor_Lotus">
    <w:altName w:val="Segoe UI Semilight"/>
    <w:charset w:val="00"/>
    <w:family w:val="auto"/>
    <w:pitch w:val="variable"/>
    <w:sig w:usb0="00000000" w:usb1="80002000" w:usb2="00000008" w:usb3="00000000" w:csb0="00000043" w:csb1="00000000"/>
  </w:font>
  <w:font w:name="B Titr">
    <w:panose1 w:val="00000700000000000000"/>
    <w:charset w:val="B2"/>
    <w:family w:val="auto"/>
    <w:pitch w:val="variable"/>
    <w:sig w:usb0="00002001" w:usb1="80000000" w:usb2="00000008" w:usb3="00000000" w:csb0="00000040" w:csb1="00000000"/>
  </w:font>
  <w:font w:name="UthmanTN1">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55DC1" w:rsidRDefault="00C14EDE" w:rsidP="00255DC1">
    <w:pPr>
      <w:pStyle w:val="af5"/>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394A8A" w:rsidRDefault="00C14EDE" w:rsidP="00394A8A">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38</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39</w:t>
    </w:r>
    <w:r w:rsidRPr="005F2EF4">
      <w:rPr>
        <w:rFonts w:cs="Simplified Arabic"/>
        <w:b/>
        <w:bCs/>
        <w:position w:val="-4"/>
        <w:sz w:val="26"/>
        <w:szCs w:val="26"/>
        <w:rt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394A8A" w:rsidRDefault="00C14EDE" w:rsidP="00394A8A">
    <w:pPr>
      <w:pStyle w:val="af5"/>
      <w:rPr>
        <w:szCs w:val="28"/>
        <w:rtl/>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72</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71</w:t>
    </w:r>
    <w:r w:rsidRPr="005F2EF4">
      <w:rPr>
        <w:rFonts w:cs="Simplified Arabic"/>
        <w:b/>
        <w:bCs/>
        <w:position w:val="-4"/>
        <w:sz w:val="26"/>
        <w:szCs w:val="26"/>
        <w:rt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A54D8E" w:rsidRDefault="00C14EDE" w:rsidP="00A54D8E">
    <w:pPr>
      <w:pStyle w:val="af5"/>
      <w:rPr>
        <w:szCs w:val="28"/>
        <w:rtl/>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100</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101</w:t>
    </w:r>
    <w:r w:rsidRPr="005F2EF4">
      <w:rPr>
        <w:rFonts w:cs="Simplified Arabic"/>
        <w:b/>
        <w:bCs/>
        <w:position w:val="-4"/>
        <w:sz w:val="26"/>
        <w:szCs w:val="26"/>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E45196" w:rsidRDefault="00C14EDE" w:rsidP="00E45196">
    <w:pPr>
      <w:pStyle w:val="af5"/>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9676CA" w:rsidRDefault="00C14EDE" w:rsidP="009676CA">
    <w:pPr>
      <w:pStyle w:val="af5"/>
      <w:rPr>
        <w:szCs w:val="28"/>
        <w:rtl/>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124</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125</w:t>
    </w:r>
    <w:r w:rsidRPr="005F2EF4">
      <w:rPr>
        <w:rFonts w:cs="Simplified Arabic"/>
        <w:b/>
        <w:bCs/>
        <w:position w:val="-4"/>
        <w:sz w:val="26"/>
        <w:szCs w:val="26"/>
        <w:rtl/>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973B2" w:rsidRDefault="00C14EDE" w:rsidP="002973B2">
    <w:pPr>
      <w:pStyle w:val="af5"/>
      <w:rPr>
        <w:szCs w:val="28"/>
        <w:rtl/>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150</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151</w:t>
    </w:r>
    <w:r w:rsidRPr="005F2EF4">
      <w:rPr>
        <w:rFonts w:cs="Simplified Arabic"/>
        <w:b/>
        <w:bCs/>
        <w:position w:val="-4"/>
        <w:sz w:val="26"/>
        <w:szCs w:val="26"/>
        <w:rtl/>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041FA0">
    <w:pPr>
      <w:pStyle w:val="af4"/>
      <w:spacing w:line="400"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9676CA" w:rsidRDefault="00C14EDE" w:rsidP="00041FA0">
    <w:pPr>
      <w:pStyle w:val="af5"/>
      <w:spacing w:line="400" w:lineRule="exact"/>
      <w:rPr>
        <w:szCs w:val="28"/>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682BA9" w:rsidRDefault="00C14EDE" w:rsidP="00DE28A4">
    <w:pPr>
      <w:pStyle w:val="af5"/>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184</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183</w:t>
    </w:r>
    <w:r w:rsidRPr="005F2EF4">
      <w:rPr>
        <w:rFonts w:cs="Simplified Arabic"/>
        <w:b/>
        <w:bCs/>
        <w:position w:val="-4"/>
        <w:sz w:val="26"/>
        <w:szCs w:val="26"/>
        <w:rtl/>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A54D8E" w:rsidRDefault="00C14EDE" w:rsidP="00A54D8E">
    <w:pPr>
      <w:pStyle w:val="af5"/>
      <w:rPr>
        <w:szCs w:val="28"/>
        <w:rtl/>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220</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219</w:t>
    </w:r>
    <w:r w:rsidRPr="005F2EF4">
      <w:rPr>
        <w:rFonts w:cs="Simplified Arabic"/>
        <w:b/>
        <w:bCs/>
        <w:position w:val="-4"/>
        <w:sz w:val="26"/>
        <w:szCs w:val="26"/>
        <w:rtl/>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973B2" w:rsidRDefault="00C14EDE" w:rsidP="002973B2">
    <w:pPr>
      <w:pStyle w:val="af5"/>
      <w:rPr>
        <w:szCs w:val="28"/>
        <w:rtl/>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560BD" w:rsidRDefault="00C14EDE" w:rsidP="000560BD">
    <w:pPr>
      <w:tabs>
        <w:tab w:val="right" w:pos="7030"/>
      </w:tabs>
      <w:ind w:firstLine="0"/>
      <w:rPr>
        <w:sz w:val="34"/>
        <w:szCs w:val="20"/>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242</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560BD" w:rsidRDefault="00C14EDE" w:rsidP="000560BD">
    <w:pPr>
      <w:tabs>
        <w:tab w:val="right" w:pos="7030"/>
      </w:tabs>
      <w:ind w:firstLine="0"/>
      <w:rPr>
        <w:sz w:val="34"/>
        <w:szCs w:val="20"/>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241</w:t>
    </w:r>
    <w:r w:rsidRPr="005F2EF4">
      <w:rPr>
        <w:rFonts w:cs="Simplified Arabic"/>
        <w:b/>
        <w:bCs/>
        <w:position w:val="-4"/>
        <w:sz w:val="26"/>
        <w:szCs w:val="26"/>
        <w:rt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B55D8B" w:rsidRDefault="00C14EDE" w:rsidP="00EB4B77">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12</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A54D8E" w:rsidRDefault="00C14EDE" w:rsidP="00A54D8E">
    <w:pPr>
      <w:pStyle w:val="af5"/>
      <w:rPr>
        <w:szCs w:val="28"/>
        <w:rtl/>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258</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259</w:t>
    </w:r>
    <w:r w:rsidRPr="005F2EF4">
      <w:rPr>
        <w:rFonts w:cs="Simplified Arabic"/>
        <w:b/>
        <w:bCs/>
        <w:position w:val="-4"/>
        <w:sz w:val="26"/>
        <w:szCs w:val="26"/>
        <w:rtl/>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973B2" w:rsidRDefault="00C14EDE" w:rsidP="002973B2">
    <w:pPr>
      <w:pStyle w:val="af5"/>
      <w:rPr>
        <w:szCs w:val="28"/>
        <w:rtl/>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292</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293</w:t>
    </w:r>
    <w:r w:rsidRPr="005F2EF4">
      <w:rPr>
        <w:rFonts w:cs="Simplified Arabic"/>
        <w:b/>
        <w:bCs/>
        <w:position w:val="-4"/>
        <w:sz w:val="26"/>
        <w:szCs w:val="26"/>
        <w:rtl/>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A54D8E" w:rsidRDefault="00C14EDE" w:rsidP="00A54D8E">
    <w:pPr>
      <w:pStyle w:val="af5"/>
      <w:rPr>
        <w:szCs w:val="28"/>
        <w:rtl/>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B55D8B" w:rsidRDefault="00C14EDE" w:rsidP="00EB4B77">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11</w:t>
    </w:r>
    <w:r w:rsidRPr="005F2EF4">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316</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317</w:t>
    </w:r>
    <w:r w:rsidRPr="005F2EF4">
      <w:rPr>
        <w:rFonts w:cs="Simplified Arabic"/>
        <w:b/>
        <w:bCs/>
        <w:position w:val="-4"/>
        <w:sz w:val="26"/>
        <w:szCs w:val="26"/>
        <w:rtl/>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186B9F" w:rsidRDefault="00C14EDE" w:rsidP="00186B9F">
    <w:pPr>
      <w:pStyle w:val="af5"/>
      <w:rPr>
        <w:szCs w:val="28"/>
        <w:rtl/>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06118F" w:rsidRDefault="00C14EDE" w:rsidP="0006118F">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338</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337</w:t>
    </w:r>
    <w:r w:rsidRPr="005F2EF4">
      <w:rPr>
        <w:rFonts w:cs="Simplified Arabic"/>
        <w:b/>
        <w:bCs/>
        <w:position w:val="-4"/>
        <w:sz w:val="26"/>
        <w:szCs w:val="26"/>
        <w:rtl/>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901CCB" w:rsidRDefault="00C14EDE"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352</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353</w:t>
    </w:r>
    <w:r w:rsidRPr="005F2EF4">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186B9F" w:rsidRDefault="00C14EDE" w:rsidP="00186B9F">
    <w:pPr>
      <w:pStyle w:val="af5"/>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5F2EF4" w:rsidRDefault="00C14EDE" w:rsidP="005F2EF4">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10</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901CCB" w:rsidRDefault="00C14EDE"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370</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371</w:t>
    </w:r>
    <w:r w:rsidRPr="005F2EF4">
      <w:rPr>
        <w:rFonts w:cs="Simplified Arabic"/>
        <w:b/>
        <w:bCs/>
        <w:position w:val="-4"/>
        <w:sz w:val="26"/>
        <w:szCs w:val="26"/>
        <w:rtl/>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A54D8E" w:rsidRDefault="00C14EDE" w:rsidP="00A54D8E">
    <w:pPr>
      <w:pStyle w:val="af5"/>
      <w:rPr>
        <w:szCs w:val="28"/>
        <w:rtl/>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901CCB" w:rsidRDefault="00C14EDE"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392</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393</w:t>
    </w:r>
    <w:r w:rsidRPr="005F2EF4">
      <w:rPr>
        <w:rFonts w:cs="Simplified Arabic"/>
        <w:b/>
        <w:bCs/>
        <w:position w:val="-4"/>
        <w:sz w:val="26"/>
        <w:szCs w:val="26"/>
        <w:rtl/>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345FD6" w:rsidRDefault="00C14EDE" w:rsidP="00345FD6">
    <w:pPr>
      <w:pStyle w:val="af5"/>
      <w:rPr>
        <w:szCs w:val="28"/>
        <w:rtl/>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901CCB" w:rsidRDefault="00C14EDE"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426</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425</w:t>
    </w:r>
    <w:r w:rsidRPr="005F2EF4">
      <w:rPr>
        <w:rFonts w:cs="Simplified Arabic"/>
        <w:b/>
        <w:bCs/>
        <w:position w:val="-4"/>
        <w:sz w:val="26"/>
        <w:szCs w:val="26"/>
        <w:rt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5F2EF4" w:rsidRDefault="00C14EDE" w:rsidP="005F2EF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Pr>
        <w:rFonts w:cs="Simplified Arabic"/>
        <w:b/>
        <w:bCs/>
        <w:noProof/>
        <w:position w:val="-4"/>
        <w:sz w:val="26"/>
        <w:szCs w:val="26"/>
        <w:rtl/>
      </w:rPr>
      <w:t>9</w:t>
    </w:r>
    <w:r w:rsidRPr="005F2EF4">
      <w:rPr>
        <w:rFonts w:cs="Simplified Arabic"/>
        <w:b/>
        <w:bCs/>
        <w:position w:val="-4"/>
        <w:sz w:val="26"/>
        <w:szCs w:val="26"/>
        <w:rtl/>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A54D8E" w:rsidRDefault="00C14EDE" w:rsidP="00A54D8E">
    <w:pPr>
      <w:pStyle w:val="af5"/>
      <w:rPr>
        <w:szCs w:val="28"/>
        <w:rtl/>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901CCB" w:rsidRDefault="00C14EDE"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444</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445</w:t>
    </w:r>
    <w:r w:rsidRPr="005F2EF4">
      <w:rPr>
        <w:rFonts w:cs="Simplified Arabic"/>
        <w:b/>
        <w:bCs/>
        <w:position w:val="-4"/>
        <w:sz w:val="26"/>
        <w:szCs w:val="26"/>
        <w:rtl/>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345FD6" w:rsidRDefault="00C14EDE" w:rsidP="00345FD6">
    <w:pPr>
      <w:pStyle w:val="af5"/>
      <w:rPr>
        <w:szCs w:val="28"/>
        <w:rtl/>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901CCB" w:rsidRDefault="00C14EDE" w:rsidP="00901CCB">
    <w:pPr>
      <w:tabs>
        <w:tab w:val="right" w:pos="7030"/>
      </w:tabs>
      <w:ind w:firstLine="0"/>
      <w:rPr>
        <w:sz w:val="34"/>
        <w:szCs w:val="20"/>
        <w:rtl/>
      </w:rPr>
    </w:pP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454</w:t>
    </w:r>
    <w:r w:rsidRPr="005F2EF4">
      <w:rPr>
        <w:rFonts w:cs="Simplified Arabic"/>
        <w:b/>
        <w:bCs/>
        <w:position w:val="-4"/>
        <w:sz w:val="26"/>
        <w:szCs w:val="26"/>
        <w:rtl/>
      </w:rPr>
      <w:fldChar w:fldCharType="end"/>
    </w:r>
    <w:r w:rsidRPr="005F2EF4">
      <w:rPr>
        <w:rFonts w:cs="FS_Kofi_Ahram" w:hint="cs"/>
        <w:sz w:val="22"/>
        <w:szCs w:val="22"/>
        <w:rtl/>
      </w:rPr>
      <w:tab/>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w:t>
    </w:r>
    <w:r w:rsidRPr="005F2EF4">
      <w:rPr>
        <w:rFonts w:cs="Abz-2 (Badr)" w:hint="cs"/>
        <w:b/>
        <w:bCs/>
        <w:sz w:val="22"/>
        <w:szCs w:val="22"/>
        <w:rtl/>
      </w:rPr>
      <w:t>نة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70D64" w:rsidRDefault="00C14EDE" w:rsidP="00DB6544">
    <w:pPr>
      <w:tabs>
        <w:tab w:val="right" w:pos="7030"/>
      </w:tabs>
      <w:ind w:firstLine="0"/>
      <w:rPr>
        <w:sz w:val="34"/>
        <w:szCs w:val="20"/>
        <w:rtl/>
      </w:rPr>
    </w:pPr>
    <w:r w:rsidRPr="005F2EF4">
      <w:rPr>
        <w:rFonts w:cs="FS_Kofi_Ahram" w:hint="cs"/>
        <w:sz w:val="22"/>
        <w:szCs w:val="22"/>
        <w:rtl/>
      </w:rPr>
      <w:t>الاجتهاد والتجديد</w:t>
    </w:r>
    <w:r w:rsidRPr="005F2EF4">
      <w:rPr>
        <w:rFonts w:cs="Abz-2 (Badr)" w:hint="cs"/>
        <w:b/>
        <w:bCs/>
        <w:sz w:val="14"/>
        <w:szCs w:val="14"/>
        <w:rtl/>
      </w:rPr>
      <w:t xml:space="preserve"> </w:t>
    </w:r>
    <w:r w:rsidRPr="005F2EF4">
      <w:rPr>
        <w:rFonts w:cs="Abz-2 (Badr)" w:hint="cs"/>
        <w:b/>
        <w:bCs/>
        <w:sz w:val="22"/>
        <w:szCs w:val="22"/>
        <w:rtl/>
      </w:rPr>
      <w:t xml:space="preserve">ـ </w:t>
    </w:r>
    <w:r w:rsidRPr="005F2EF4">
      <w:rPr>
        <w:rFonts w:cs="Abz-2 (Badr)"/>
        <w:b/>
        <w:bCs/>
        <w:sz w:val="22"/>
        <w:szCs w:val="22"/>
        <w:rtl/>
      </w:rPr>
      <w:t>العـدد</w:t>
    </w:r>
    <w:r w:rsidRPr="005F2EF4">
      <w:rPr>
        <w:rFonts w:cs="Abz-2 (Badr)" w:hint="cs"/>
        <w:b/>
        <w:bCs/>
        <w:sz w:val="22"/>
        <w:szCs w:val="22"/>
        <w:rtl/>
      </w:rPr>
      <w:t>ان 57 ـ 58</w:t>
    </w:r>
    <w:r w:rsidRPr="005F2EF4">
      <w:rPr>
        <w:rFonts w:cs="Abz-2 (Badr)"/>
        <w:b/>
        <w:bCs/>
        <w:sz w:val="22"/>
        <w:szCs w:val="22"/>
        <w:rtl/>
      </w:rPr>
      <w:t>، السـن</w:t>
    </w:r>
    <w:r w:rsidRPr="005F2EF4">
      <w:rPr>
        <w:rFonts w:cs="Abz-2 (Badr)" w:hint="cs"/>
        <w:b/>
        <w:bCs/>
        <w:sz w:val="22"/>
        <w:szCs w:val="22"/>
        <w:rtl/>
      </w:rPr>
      <w:t>ة الخامسة عشرة</w:t>
    </w:r>
    <w:r w:rsidRPr="005F2EF4">
      <w:rPr>
        <w:rFonts w:cs="Abz-2 (Badr)"/>
        <w:b/>
        <w:bCs/>
        <w:sz w:val="22"/>
        <w:szCs w:val="22"/>
        <w:rtl/>
      </w:rPr>
      <w:t xml:space="preserve">، </w:t>
    </w:r>
    <w:r w:rsidRPr="005F2EF4">
      <w:rPr>
        <w:rFonts w:cs="Abz-2 (Badr)" w:hint="cs"/>
        <w:b/>
        <w:bCs/>
        <w:sz w:val="22"/>
        <w:szCs w:val="22"/>
        <w:rtl/>
      </w:rPr>
      <w:t>شتاء وربيع 2021م ـ 1442هـ</w:t>
    </w:r>
    <w:r w:rsidRPr="005F2EF4">
      <w:rPr>
        <w:rFonts w:cs="Simplified Arabic" w:hint="cs"/>
        <w:b/>
        <w:bCs/>
        <w:rtl/>
      </w:rPr>
      <w:tab/>
    </w:r>
    <w:r w:rsidRPr="005F2EF4">
      <w:rPr>
        <w:rFonts w:cs="Simplified Arabic"/>
        <w:b/>
        <w:bCs/>
        <w:position w:val="-4"/>
        <w:sz w:val="26"/>
        <w:szCs w:val="26"/>
        <w:rtl/>
      </w:rPr>
      <w:fldChar w:fldCharType="begin"/>
    </w:r>
    <w:r w:rsidRPr="005F2EF4">
      <w:rPr>
        <w:rFonts w:cs="Simplified Arabic"/>
        <w:b/>
        <w:bCs/>
        <w:position w:val="-4"/>
        <w:sz w:val="26"/>
        <w:szCs w:val="26"/>
        <w:rtl/>
      </w:rPr>
      <w:instrText xml:space="preserve"> </w:instrText>
    </w:r>
    <w:r w:rsidRPr="005F2EF4">
      <w:rPr>
        <w:rFonts w:cs="Simplified Arabic"/>
        <w:b/>
        <w:bCs/>
        <w:position w:val="-4"/>
        <w:sz w:val="26"/>
        <w:szCs w:val="26"/>
      </w:rPr>
      <w:instrText>PAGE</w:instrText>
    </w:r>
    <w:r w:rsidRPr="005F2EF4">
      <w:rPr>
        <w:rFonts w:cs="Simplified Arabic"/>
        <w:b/>
        <w:bCs/>
        <w:position w:val="-4"/>
        <w:sz w:val="26"/>
        <w:szCs w:val="26"/>
        <w:rtl/>
      </w:rPr>
      <w:instrText xml:space="preserve"> </w:instrText>
    </w:r>
    <w:r w:rsidRPr="005F2EF4">
      <w:rPr>
        <w:rFonts w:cs="Simplified Arabic"/>
        <w:b/>
        <w:bCs/>
        <w:position w:val="-4"/>
        <w:sz w:val="26"/>
        <w:szCs w:val="26"/>
        <w:rtl/>
      </w:rPr>
      <w:fldChar w:fldCharType="separate"/>
    </w:r>
    <w:r w:rsidR="008E71FA">
      <w:rPr>
        <w:rFonts w:cs="Simplified Arabic"/>
        <w:b/>
        <w:bCs/>
        <w:noProof/>
        <w:position w:val="-4"/>
        <w:sz w:val="26"/>
        <w:szCs w:val="26"/>
        <w:rtl/>
      </w:rPr>
      <w:t>453</w:t>
    </w:r>
    <w:r w:rsidRPr="005F2EF4">
      <w:rPr>
        <w:rFonts w:cs="Simplified Arabic"/>
        <w:b/>
        <w:bCs/>
        <w:position w:val="-4"/>
        <w:sz w:val="26"/>
        <w:szCs w:val="26"/>
        <w:rtl/>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A54D8E" w:rsidRDefault="00C14EDE" w:rsidP="00A54D8E">
    <w:pPr>
      <w:pStyle w:val="af5"/>
      <w:rPr>
        <w:szCs w:val="28"/>
        <w:rtl/>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A54D8E" w:rsidRDefault="00C14EDE" w:rsidP="00A54D8E">
    <w:pPr>
      <w:pStyle w:val="af5"/>
      <w:rPr>
        <w:szCs w:val="28"/>
        <w:rtl/>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8A46D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E34" w:rsidRDefault="00487E34" w:rsidP="00B41146">
      <w:pPr>
        <w:spacing w:line="240" w:lineRule="auto"/>
        <w:ind w:firstLine="0"/>
      </w:pPr>
      <w:r>
        <w:separator/>
      </w:r>
    </w:p>
  </w:footnote>
  <w:footnote w:type="continuationSeparator" w:id="0">
    <w:p w:rsidR="00487E34" w:rsidRDefault="00487E34" w:rsidP="00B41146">
      <w:pPr>
        <w:spacing w:line="240" w:lineRule="auto"/>
        <w:ind w:firstLine="0"/>
      </w:pPr>
      <w:r>
        <w:continuationSeparator/>
      </w:r>
    </w:p>
  </w:footnote>
  <w:footnote w:id="1">
    <w:p w:rsidR="00C14EDE" w:rsidRPr="00527634" w:rsidRDefault="00C14EDE" w:rsidP="005B5255">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AF4F80">
        <w:rPr>
          <w:rFonts w:cs="DanaFajr" w:hint="cs"/>
          <w:rtl/>
        </w:rPr>
        <w:t>أحد الفقهاء البارزين، ومن أبرز أساتذة الفكر والفلسفة</w:t>
      </w:r>
      <w:r>
        <w:rPr>
          <w:rFonts w:cs="DanaFajr" w:hint="cs"/>
          <w:rtl/>
        </w:rPr>
        <w:t>.</w:t>
      </w:r>
      <w:r w:rsidRPr="00AF4F80">
        <w:rPr>
          <w:rFonts w:cs="DanaFajr" w:hint="cs"/>
          <w:rtl/>
        </w:rPr>
        <w:t xml:space="preserve"> رئيس </w:t>
      </w:r>
      <w:r>
        <w:rPr>
          <w:rFonts w:cs="DanaFajr" w:hint="cs"/>
          <w:rtl/>
        </w:rPr>
        <w:t>مجمع تشخيص مصلحة النظام</w:t>
      </w:r>
      <w:r w:rsidRPr="00AF4F80">
        <w:rPr>
          <w:rFonts w:cs="DanaFajr" w:hint="cs"/>
          <w:rtl/>
        </w:rPr>
        <w:t xml:space="preserve"> في إيران. ي</w:t>
      </w:r>
      <w:r>
        <w:rPr>
          <w:rFonts w:cs="DanaFajr" w:hint="cs"/>
          <w:rtl/>
        </w:rPr>
        <w:t>ُ</w:t>
      </w:r>
      <w:r w:rsidRPr="00AF4F80">
        <w:rPr>
          <w:rFonts w:cs="DanaFajr" w:hint="cs"/>
          <w:rtl/>
        </w:rPr>
        <w:t>ع</w:t>
      </w:r>
      <w:r>
        <w:rPr>
          <w:rFonts w:cs="DanaFajr" w:hint="cs"/>
          <w:rtl/>
        </w:rPr>
        <w:t>َ</w:t>
      </w:r>
      <w:r w:rsidRPr="00AF4F80">
        <w:rPr>
          <w:rFonts w:cs="DanaFajr" w:hint="cs"/>
          <w:rtl/>
        </w:rPr>
        <w:t>دّ أحد أبرز نق</w:t>
      </w:r>
      <w:r>
        <w:rPr>
          <w:rFonts w:cs="DanaFajr" w:hint="cs"/>
          <w:rtl/>
        </w:rPr>
        <w:t>ّ</w:t>
      </w:r>
      <w:r w:rsidRPr="00AF4F80">
        <w:rPr>
          <w:rFonts w:cs="DanaFajr" w:hint="cs"/>
          <w:rtl/>
        </w:rPr>
        <w:t>اد بعض التي</w:t>
      </w:r>
      <w:r>
        <w:rPr>
          <w:rFonts w:cs="DanaFajr" w:hint="cs"/>
          <w:rtl/>
        </w:rPr>
        <w:t>ّ</w:t>
      </w:r>
      <w:r w:rsidRPr="00AF4F80">
        <w:rPr>
          <w:rFonts w:cs="DanaFajr" w:hint="cs"/>
          <w:rtl/>
        </w:rPr>
        <w:t>ارات الإصلاحي</w:t>
      </w:r>
      <w:r>
        <w:rPr>
          <w:rFonts w:cs="DanaFajr" w:hint="cs"/>
          <w:rtl/>
        </w:rPr>
        <w:t>ّ</w:t>
      </w:r>
      <w:r w:rsidRPr="00AF4F80">
        <w:rPr>
          <w:rFonts w:cs="DanaFajr" w:hint="cs"/>
          <w:rtl/>
        </w:rPr>
        <w:t>ة</w:t>
      </w:r>
      <w:r w:rsidRPr="00527634">
        <w:rPr>
          <w:rFonts w:cs="DanaFajr" w:hint="cs"/>
          <w:rtl/>
        </w:rPr>
        <w:t>.</w:t>
      </w:r>
    </w:p>
  </w:footnote>
  <w:footnote w:id="2">
    <w:p w:rsidR="00C14EDE" w:rsidRPr="00527634" w:rsidRDefault="00C14EDE" w:rsidP="000C3310">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F3D2E">
        <w:rPr>
          <w:rFonts w:cs="DanaFajr" w:hint="cs"/>
          <w:rtl/>
        </w:rPr>
        <w:t>أستاذٌ في ا</w:t>
      </w:r>
      <w:r>
        <w:rPr>
          <w:rFonts w:cs="DanaFajr" w:hint="cs"/>
          <w:rtl/>
        </w:rPr>
        <w:t>لحوزة العلميّة في قم، وأستاذٌ مس</w:t>
      </w:r>
      <w:r w:rsidRPr="00CF3D2E">
        <w:rPr>
          <w:rFonts w:cs="DanaFajr" w:hint="cs"/>
          <w:rtl/>
        </w:rPr>
        <w:t>اعِدٌ ومدير قسم الفقه والأصول في جامعة المصطفى</w:t>
      </w:r>
      <w:r w:rsidRPr="00B17BE3">
        <w:rPr>
          <w:rFonts w:cs="Mosawi"/>
          <w:color w:val="000000"/>
          <w:sz w:val="20"/>
          <w:szCs w:val="20"/>
          <w:rtl/>
        </w:rPr>
        <w:t>|</w:t>
      </w:r>
      <w:r w:rsidRPr="00CF3D2E">
        <w:rPr>
          <w:rFonts w:cs="DanaFajr" w:hint="cs"/>
          <w:rtl/>
        </w:rPr>
        <w:t xml:space="preserve"> العالميّة</w:t>
      </w:r>
      <w:r>
        <w:rPr>
          <w:rFonts w:cs="DanaFajr" w:hint="cs"/>
          <w:rtl/>
        </w:rPr>
        <w:t xml:space="preserve"> في إيران</w:t>
      </w:r>
      <w:r w:rsidRPr="00527634">
        <w:rPr>
          <w:rFonts w:cs="DanaFajr" w:hint="cs"/>
          <w:rtl/>
        </w:rPr>
        <w:t>.</w:t>
      </w:r>
    </w:p>
  </w:footnote>
  <w:footnote w:id="3">
    <w:p w:rsidR="00C14EDE" w:rsidRPr="00527634" w:rsidRDefault="00C14EDE" w:rsidP="00CF3D2E">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F3D2E">
        <w:rPr>
          <w:rFonts w:cs="DanaFajr" w:hint="cs"/>
          <w:rtl/>
        </w:rPr>
        <w:t>باحثٌ إسلاميّ، وأستاذ الدراسات العليا في الحوزة العلميّة. له أعمالٌ متعدِّدة. من لبنان</w:t>
      </w:r>
      <w:r w:rsidRPr="00527634">
        <w:rPr>
          <w:rFonts w:cs="DanaFajr" w:hint="cs"/>
          <w:rtl/>
        </w:rPr>
        <w:t>.</w:t>
      </w:r>
    </w:p>
  </w:footnote>
  <w:footnote w:id="4">
    <w:p w:rsidR="00C14EDE" w:rsidRPr="00527634" w:rsidRDefault="00C14EDE" w:rsidP="00CF3D2E">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CF3D2E">
        <w:rPr>
          <w:rFonts w:cs="DanaFajr" w:hint="cs"/>
          <w:rtl/>
        </w:rPr>
        <w:t>كاتبٌ وباحث، ومن أبرز الشخصيات الإسلاميّة في المملكة العربية السعوديّة، ومن الشخصيات الناشطة في مجال التوعية الدينيّة، وعلى صعيد التقريب بين المذاهب الإسلاميّة</w:t>
      </w:r>
      <w:r w:rsidRPr="00527634">
        <w:rPr>
          <w:rFonts w:cs="DanaFajr" w:hint="cs"/>
          <w:rtl/>
        </w:rPr>
        <w:t>.</w:t>
      </w:r>
    </w:p>
  </w:footnote>
  <w:footnote w:id="5">
    <w:p w:rsidR="00C14EDE" w:rsidRPr="00527634" w:rsidRDefault="00C14EDE" w:rsidP="00A748E5">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A748E5">
        <w:rPr>
          <w:rFonts w:cs="DanaFajr" w:hint="cs"/>
          <w:rtl/>
        </w:rPr>
        <w:t xml:space="preserve"> باحثٌ وأكاديميّ، حائزٌ على دكتوراه في الحقوق والعقوبات والجرائم من جامعة طهران </w:t>
      </w:r>
      <w:r>
        <w:rPr>
          <w:rFonts w:cs="DanaFajr" w:hint="cs"/>
          <w:rtl/>
        </w:rPr>
        <w:t>ـ</w:t>
      </w:r>
      <w:r w:rsidRPr="00A748E5">
        <w:rPr>
          <w:rFonts w:cs="DanaFajr" w:hint="cs"/>
          <w:rtl/>
        </w:rPr>
        <w:t xml:space="preserve"> پرديس فارابي</w:t>
      </w:r>
      <w:r>
        <w:rPr>
          <w:rFonts w:cs="DanaFajr" w:hint="cs"/>
          <w:rtl/>
        </w:rPr>
        <w:t>، من إيران</w:t>
      </w:r>
      <w:r w:rsidRPr="00A748E5">
        <w:rPr>
          <w:rFonts w:cs="DanaFajr" w:hint="cs"/>
          <w:rtl/>
        </w:rPr>
        <w:t>.</w:t>
      </w:r>
    </w:p>
  </w:footnote>
  <w:footnote w:id="6">
    <w:p w:rsidR="00C14EDE" w:rsidRPr="00527634" w:rsidRDefault="00C14EDE" w:rsidP="00C32BB1">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C32BB1">
        <w:rPr>
          <w:rFonts w:cs="DanaFajr" w:hint="cs"/>
          <w:rtl/>
        </w:rPr>
        <w:t>أستاذةٌ وباحثةٌ في الحوزة العلميّة في قم. من لبنان</w:t>
      </w:r>
      <w:r w:rsidRPr="00527634">
        <w:rPr>
          <w:rFonts w:cs="DanaFajr" w:hint="cs"/>
          <w:rtl/>
        </w:rPr>
        <w:t>.</w:t>
      </w:r>
    </w:p>
  </w:footnote>
  <w:footnote w:id="7">
    <w:p w:rsidR="00C14EDE" w:rsidRPr="00527634" w:rsidRDefault="00C14EDE" w:rsidP="00994763">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994763">
        <w:rPr>
          <w:rFonts w:cs="DanaFajr" w:hint="cs"/>
          <w:rtl/>
        </w:rPr>
        <w:t>باحثٌ مهتمٌّ بالفكر العربيّ الإسلاميّ. من سلطنة عُمَان</w:t>
      </w:r>
      <w:r w:rsidRPr="00527634">
        <w:rPr>
          <w:rFonts w:cs="DanaFajr" w:hint="cs"/>
          <w:rtl/>
        </w:rPr>
        <w:t>.</w:t>
      </w:r>
    </w:p>
  </w:footnote>
  <w:footnote w:id="8">
    <w:p w:rsidR="00C14EDE" w:rsidRPr="00527634" w:rsidRDefault="00C14EDE" w:rsidP="000A19EB">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fa-IR"/>
        </w:rPr>
        <w:t xml:space="preserve"> </w:t>
      </w:r>
      <w:r w:rsidRPr="00994763">
        <w:rPr>
          <w:rFonts w:cs="DanaFajr"/>
          <w:rtl/>
          <w:lang w:bidi="fa-IR"/>
        </w:rPr>
        <w:t>باحث</w:t>
      </w:r>
      <w:r w:rsidRPr="00994763">
        <w:rPr>
          <w:rFonts w:cs="DanaFajr" w:hint="cs"/>
          <w:rtl/>
          <w:lang w:bidi="fa-IR"/>
        </w:rPr>
        <w:t>ٌ</w:t>
      </w:r>
      <w:r w:rsidRPr="00994763">
        <w:rPr>
          <w:rFonts w:cs="DanaFajr"/>
          <w:rtl/>
          <w:lang w:bidi="fa-IR"/>
        </w:rPr>
        <w:t xml:space="preserve"> في حوزة قم العلمي</w:t>
      </w:r>
      <w:r w:rsidRPr="00994763">
        <w:rPr>
          <w:rFonts w:cs="DanaFajr" w:hint="cs"/>
          <w:rtl/>
          <w:lang w:bidi="fa-IR"/>
        </w:rPr>
        <w:t>ّ</w:t>
      </w:r>
      <w:r w:rsidRPr="00994763">
        <w:rPr>
          <w:rFonts w:cs="DanaFajr"/>
          <w:rtl/>
          <w:lang w:bidi="fa-IR"/>
        </w:rPr>
        <w:t>ة</w:t>
      </w:r>
      <w:r w:rsidRPr="00994763">
        <w:rPr>
          <w:rFonts w:cs="DanaFajr" w:hint="cs"/>
          <w:rtl/>
          <w:lang w:bidi="fa-IR"/>
        </w:rPr>
        <w:t>، متخصِّصٌ</w:t>
      </w:r>
      <w:r w:rsidRPr="00994763">
        <w:rPr>
          <w:rFonts w:cs="DanaFajr"/>
          <w:rtl/>
          <w:lang w:bidi="fa-IR"/>
        </w:rPr>
        <w:t xml:space="preserve"> في مجال علوم الحديث والتراث. له تحقيق </w:t>
      </w:r>
      <w:r w:rsidRPr="00994763">
        <w:rPr>
          <w:rFonts w:cs="DanaFajr" w:hint="cs"/>
          <w:rtl/>
          <w:lang w:bidi="fa-IR"/>
        </w:rPr>
        <w:t>(</w:t>
      </w:r>
      <w:r w:rsidRPr="00994763">
        <w:rPr>
          <w:rFonts w:cs="DanaFajr"/>
          <w:rtl/>
          <w:lang w:bidi="fa-IR"/>
        </w:rPr>
        <w:t>أحاديث أميرالمؤمنين</w:t>
      </w:r>
      <w:r w:rsidRPr="00E23B10">
        <w:rPr>
          <w:rFonts w:ascii="Mosawi" w:hAnsi="Mosawi" w:cs="Mosawi"/>
          <w:sz w:val="20"/>
          <w:szCs w:val="20"/>
          <w:rtl/>
        </w:rPr>
        <w:t>×</w:t>
      </w:r>
      <w:r w:rsidRPr="00994763">
        <w:rPr>
          <w:rFonts w:cs="DanaFajr" w:hint="cs"/>
          <w:rtl/>
          <w:lang w:bidi="fa-IR"/>
        </w:rPr>
        <w:t xml:space="preserve">، </w:t>
      </w:r>
      <w:r w:rsidRPr="00994763">
        <w:rPr>
          <w:rFonts w:cs="DanaFajr"/>
          <w:rtl/>
          <w:lang w:bidi="fa-IR"/>
        </w:rPr>
        <w:t>برواية السيد عبد</w:t>
      </w:r>
      <w:r w:rsidRPr="00994763">
        <w:rPr>
          <w:rFonts w:cs="DanaFajr" w:hint="cs"/>
          <w:rtl/>
          <w:lang w:bidi="fa-IR"/>
        </w:rPr>
        <w:t xml:space="preserve"> </w:t>
      </w:r>
      <w:r w:rsidRPr="00994763">
        <w:rPr>
          <w:rFonts w:cs="DanaFajr"/>
          <w:rtl/>
          <w:lang w:bidi="fa-IR"/>
        </w:rPr>
        <w:t>العظيم الحسن</w:t>
      </w:r>
      <w:r w:rsidRPr="00994763">
        <w:rPr>
          <w:rFonts w:cs="DanaFajr" w:hint="cs"/>
          <w:rtl/>
          <w:lang w:bidi="fa-IR"/>
        </w:rPr>
        <w:t xml:space="preserve">ي، </w:t>
      </w:r>
      <w:r w:rsidRPr="00994763">
        <w:rPr>
          <w:rFonts w:cs="DanaFajr"/>
          <w:rtl/>
          <w:lang w:bidi="fa-IR"/>
        </w:rPr>
        <w:t>وإملاء القاض</w:t>
      </w:r>
      <w:r w:rsidRPr="00994763">
        <w:rPr>
          <w:rFonts w:cs="DanaFajr" w:hint="cs"/>
          <w:rtl/>
          <w:lang w:bidi="fa-IR"/>
        </w:rPr>
        <w:t>ي</w:t>
      </w:r>
      <w:r w:rsidRPr="00994763">
        <w:rPr>
          <w:rFonts w:cs="DanaFajr"/>
          <w:rtl/>
          <w:lang w:bidi="fa-IR"/>
        </w:rPr>
        <w:t xml:space="preserve"> جعفر البهلول</w:t>
      </w:r>
      <w:r w:rsidRPr="00994763">
        <w:rPr>
          <w:rFonts w:cs="DanaFajr" w:hint="cs"/>
          <w:rtl/>
          <w:lang w:bidi="fa-IR"/>
        </w:rPr>
        <w:t>ي)،</w:t>
      </w:r>
      <w:r w:rsidRPr="00994763">
        <w:rPr>
          <w:rFonts w:cs="DanaFajr"/>
          <w:rtl/>
          <w:lang w:bidi="fa-IR"/>
        </w:rPr>
        <w:t xml:space="preserve"> من مخطوطات الزيدية</w:t>
      </w:r>
      <w:r w:rsidRPr="00994763">
        <w:rPr>
          <w:rFonts w:cs="DanaFajr" w:hint="cs"/>
          <w:rtl/>
        </w:rPr>
        <w:t>. من مدينة بيرجند ـ إيران</w:t>
      </w:r>
      <w:r w:rsidRPr="00527634">
        <w:rPr>
          <w:rFonts w:cs="DanaFajr" w:hint="cs"/>
          <w:rtl/>
        </w:rPr>
        <w:t>.</w:t>
      </w:r>
    </w:p>
  </w:footnote>
  <w:footnote w:id="9">
    <w:p w:rsidR="00C14EDE" w:rsidRPr="00527634" w:rsidRDefault="00C14EDE" w:rsidP="00AA439B">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 xml:space="preserve">) </w:t>
      </w:r>
      <w:r>
        <w:rPr>
          <w:rFonts w:cs="DanaFajr" w:hint="cs"/>
          <w:rtl/>
        </w:rPr>
        <w:t>أ</w:t>
      </w:r>
      <w:r w:rsidRPr="00B913D2">
        <w:rPr>
          <w:rFonts w:cs="DanaFajr" w:hint="cs"/>
          <w:rtl/>
        </w:rPr>
        <w:t>ستاذ</w:t>
      </w:r>
      <w:r>
        <w:rPr>
          <w:rFonts w:cs="DanaFajr" w:hint="cs"/>
          <w:rtl/>
        </w:rPr>
        <w:t>ُ</w:t>
      </w:r>
      <w:r w:rsidRPr="00B913D2">
        <w:rPr>
          <w:rFonts w:cs="DanaFajr" w:hint="cs"/>
          <w:rtl/>
        </w:rPr>
        <w:t xml:space="preserve"> </w:t>
      </w:r>
      <w:r>
        <w:rPr>
          <w:rFonts w:cs="DanaFajr" w:hint="cs"/>
          <w:rtl/>
        </w:rPr>
        <w:t>الدراسات العليا</w:t>
      </w:r>
      <w:r w:rsidRPr="00B913D2">
        <w:rPr>
          <w:rFonts w:cs="DanaFajr" w:hint="cs"/>
          <w:rtl/>
        </w:rPr>
        <w:t xml:space="preserve"> ف</w:t>
      </w:r>
      <w:r>
        <w:rPr>
          <w:rFonts w:cs="DanaFajr" w:hint="cs"/>
          <w:rtl/>
        </w:rPr>
        <w:t>ي</w:t>
      </w:r>
      <w:r w:rsidRPr="00B913D2">
        <w:rPr>
          <w:rFonts w:cs="DanaFajr" w:hint="cs"/>
          <w:rtl/>
        </w:rPr>
        <w:t xml:space="preserve"> الحوز</w:t>
      </w:r>
      <w:r>
        <w:rPr>
          <w:rFonts w:cs="DanaFajr" w:hint="cs"/>
          <w:rtl/>
        </w:rPr>
        <w:t>ة</w:t>
      </w:r>
      <w:r w:rsidRPr="00B913D2">
        <w:rPr>
          <w:rFonts w:cs="DanaFajr" w:hint="cs"/>
          <w:rtl/>
        </w:rPr>
        <w:t xml:space="preserve"> العلمية ف</w:t>
      </w:r>
      <w:r>
        <w:rPr>
          <w:rFonts w:cs="DanaFajr" w:hint="cs"/>
          <w:rtl/>
        </w:rPr>
        <w:t>ي</w:t>
      </w:r>
      <w:r w:rsidRPr="00B913D2">
        <w:rPr>
          <w:rFonts w:cs="DanaFajr" w:hint="cs"/>
          <w:rtl/>
        </w:rPr>
        <w:t xml:space="preserve"> </w:t>
      </w:r>
      <w:r>
        <w:rPr>
          <w:rFonts w:cs="DanaFajr" w:hint="cs"/>
          <w:rtl/>
        </w:rPr>
        <w:t>قم، وأستاذٌ مساعد في قسم الفقه ومبادئ الشريعة الإسلامية في جامعة الإمام الصادق</w:t>
      </w:r>
      <w:r w:rsidRPr="00AA439B">
        <w:rPr>
          <w:rFonts w:ascii="Mosawi" w:hAnsi="Mosawi" w:cs="Mosawi"/>
          <w:sz w:val="20"/>
          <w:szCs w:val="20"/>
          <w:rtl/>
        </w:rPr>
        <w:t>×</w:t>
      </w:r>
      <w:r>
        <w:rPr>
          <w:rFonts w:cs="DanaFajr" w:hint="cs"/>
          <w:rtl/>
        </w:rPr>
        <w:t xml:space="preserve"> في طهران.</w:t>
      </w:r>
    </w:p>
  </w:footnote>
  <w:footnote w:id="10">
    <w:p w:rsidR="00C14EDE" w:rsidRPr="00527634" w:rsidRDefault="00C14EDE" w:rsidP="00AA439B">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w:t>
      </w:r>
      <w:r w:rsidRPr="00CF0C8B">
        <w:rPr>
          <w:rFonts w:cs="DanaFajr" w:hint="cs"/>
          <w:rtl/>
        </w:rPr>
        <w:t>أستاذٌ في جامعة الإمام الصادق</w:t>
      </w:r>
      <w:r w:rsidRPr="00AA439B">
        <w:rPr>
          <w:rFonts w:ascii="Mosawi" w:hAnsi="Mosawi" w:cs="Mosawi"/>
          <w:sz w:val="20"/>
          <w:szCs w:val="20"/>
          <w:rtl/>
        </w:rPr>
        <w:t>×</w:t>
      </w:r>
      <w:r w:rsidRPr="00CF0C8B">
        <w:rPr>
          <w:rFonts w:cs="DanaFajr" w:hint="cs"/>
          <w:rtl/>
        </w:rPr>
        <w:t xml:space="preserve"> في طهران، متخصِّصٌ في الفقه والقانون</w:t>
      </w:r>
      <w:r w:rsidRPr="00527634">
        <w:rPr>
          <w:rFonts w:cs="DanaFajr" w:hint="cs"/>
          <w:rtl/>
        </w:rPr>
        <w:t>.</w:t>
      </w:r>
    </w:p>
  </w:footnote>
  <w:footnote w:id="11">
    <w:p w:rsidR="00C14EDE" w:rsidRPr="00527634" w:rsidRDefault="00C14EDE" w:rsidP="00AA439B">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باحثٌ في الحوزة العلمية في قم، و</w:t>
      </w:r>
      <w:r w:rsidRPr="00B913D2">
        <w:rPr>
          <w:rFonts w:cs="DanaFajr" w:hint="cs"/>
          <w:rtl/>
        </w:rPr>
        <w:t>طالب</w:t>
      </w:r>
      <w:r>
        <w:rPr>
          <w:rFonts w:cs="DanaFajr" w:hint="cs"/>
          <w:rtl/>
        </w:rPr>
        <w:t>ٌ في مرحلة الماجستير في</w:t>
      </w:r>
      <w:r w:rsidRPr="00B913D2">
        <w:rPr>
          <w:rFonts w:cs="DanaFajr" w:hint="cs"/>
          <w:rtl/>
        </w:rPr>
        <w:t xml:space="preserve"> جامعة ال</w:t>
      </w:r>
      <w:r>
        <w:rPr>
          <w:rFonts w:cs="DanaFajr" w:hint="cs"/>
          <w:rtl/>
        </w:rPr>
        <w:t>إ</w:t>
      </w:r>
      <w:r w:rsidRPr="00B913D2">
        <w:rPr>
          <w:rFonts w:cs="DanaFajr" w:hint="cs"/>
          <w:rtl/>
        </w:rPr>
        <w:t>مام الصادق</w:t>
      </w:r>
      <w:r w:rsidRPr="00AA439B">
        <w:rPr>
          <w:rFonts w:ascii="Mosawi" w:hAnsi="Mosawi" w:cs="Mosawi"/>
          <w:sz w:val="20"/>
          <w:szCs w:val="20"/>
          <w:rtl/>
        </w:rPr>
        <w:t>×</w:t>
      </w:r>
      <w:r>
        <w:rPr>
          <w:rFonts w:cs="DanaFajr" w:hint="cs"/>
          <w:rtl/>
        </w:rPr>
        <w:t xml:space="preserve"> في طهران</w:t>
      </w:r>
      <w:r w:rsidRPr="00527634">
        <w:rPr>
          <w:rFonts w:cs="DanaFajr" w:hint="cs"/>
          <w:rtl/>
        </w:rPr>
        <w:t>.</w:t>
      </w:r>
    </w:p>
  </w:footnote>
  <w:footnote w:id="12">
    <w:p w:rsidR="00C14EDE" w:rsidRPr="00527634" w:rsidRDefault="00C14EDE" w:rsidP="00C376F5">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C376F5">
        <w:rPr>
          <w:rFonts w:cs="DanaFajr" w:hint="cs"/>
          <w:rtl/>
        </w:rPr>
        <w:t xml:space="preserve">باحثٌ في الحوزة العلميّة في قم، وطالبٌ في مرحلة الدكتوراه في قسم </w:t>
      </w:r>
      <w:r w:rsidRPr="00C376F5">
        <w:rPr>
          <w:rFonts w:cs="AL-Mohanad"/>
          <w:sz w:val="24"/>
          <w:szCs w:val="24"/>
          <w:rtl/>
        </w:rPr>
        <w:t>«</w:t>
      </w:r>
      <w:r w:rsidRPr="00C376F5">
        <w:rPr>
          <w:rFonts w:cs="DanaFajr" w:hint="cs"/>
          <w:rtl/>
        </w:rPr>
        <w:t>الكلام الإمامي</w:t>
      </w:r>
      <w:r w:rsidRPr="00C376F5">
        <w:rPr>
          <w:rFonts w:cs="AL-Mohanad"/>
          <w:sz w:val="24"/>
          <w:szCs w:val="24"/>
          <w:rtl/>
        </w:rPr>
        <w:t>»</w:t>
      </w:r>
      <w:r w:rsidRPr="00C376F5">
        <w:rPr>
          <w:rFonts w:cs="DanaFajr" w:hint="cs"/>
          <w:rtl/>
        </w:rPr>
        <w:t xml:space="preserve"> في جامعة طهران ـ پرديس فارابي</w:t>
      </w:r>
      <w:r w:rsidRPr="00527634">
        <w:rPr>
          <w:rFonts w:cs="DanaFajr" w:hint="cs"/>
          <w:rtl/>
        </w:rPr>
        <w:t>.</w:t>
      </w:r>
    </w:p>
  </w:footnote>
  <w:footnote w:id="13">
    <w:p w:rsidR="00C14EDE" w:rsidRPr="00527634" w:rsidRDefault="00C14EDE" w:rsidP="00C33340">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md_ameli" w:hint="cs"/>
          <w:sz w:val="22"/>
          <w:szCs w:val="22"/>
          <w:rtl/>
        </w:rPr>
        <w:t xml:space="preserve"> </w:t>
      </w:r>
      <w:r w:rsidRPr="00C376F5">
        <w:rPr>
          <w:rFonts w:cs="DanaFajr" w:hint="cs"/>
          <w:rtl/>
        </w:rPr>
        <w:t xml:space="preserve">باحثٌ في الحوزة العلميّة في قم، وطالبٌ في مرحلة الدكتوراه في قسم </w:t>
      </w:r>
      <w:r w:rsidRPr="00C376F5">
        <w:rPr>
          <w:rFonts w:cs="AL-Mohanad"/>
          <w:sz w:val="24"/>
          <w:szCs w:val="24"/>
          <w:rtl/>
        </w:rPr>
        <w:t>«</w:t>
      </w:r>
      <w:r>
        <w:rPr>
          <w:rFonts w:cs="DanaFajr" w:hint="cs"/>
          <w:rtl/>
        </w:rPr>
        <w:t>العلوم الاجتماعية</w:t>
      </w:r>
      <w:r w:rsidRPr="00C376F5">
        <w:rPr>
          <w:rFonts w:cs="AL-Mohanad"/>
          <w:sz w:val="24"/>
          <w:szCs w:val="24"/>
          <w:rtl/>
        </w:rPr>
        <w:t>»</w:t>
      </w:r>
      <w:r w:rsidRPr="00C376F5">
        <w:rPr>
          <w:rFonts w:cs="DanaFajr" w:hint="cs"/>
          <w:rtl/>
        </w:rPr>
        <w:t xml:space="preserve"> في جامعة طهران ـ پرديس فارابي</w:t>
      </w:r>
      <w:r w:rsidRPr="00527634">
        <w:rPr>
          <w:rFonts w:cs="DanaFajr" w:hint="cs"/>
          <w:rtl/>
        </w:rPr>
        <w:t>.</w:t>
      </w:r>
    </w:p>
  </w:footnote>
  <w:footnote w:id="14">
    <w:p w:rsidR="00C14EDE" w:rsidRPr="00527634" w:rsidRDefault="00C14EDE" w:rsidP="00E43555">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527634">
        <w:rPr>
          <w:rFonts w:cs="DanaFajr" w:hint="cs"/>
          <w:rtl/>
        </w:rPr>
        <w:t xml:space="preserve"> </w:t>
      </w:r>
      <w:r>
        <w:rPr>
          <w:rFonts w:cs="DanaFajr" w:hint="cs"/>
          <w:rtl/>
        </w:rPr>
        <w:t>أستاذ الدراسات العليا في الحوزة العلمية في لبنان (المعهد الشرعي الإسلامي). من أفغانستان</w:t>
      </w:r>
      <w:r w:rsidRPr="00527634">
        <w:rPr>
          <w:rFonts w:cs="DanaFajr" w:hint="cs"/>
          <w:rtl/>
        </w:rPr>
        <w:t>.</w:t>
      </w:r>
    </w:p>
  </w:footnote>
  <w:footnote w:id="15">
    <w:p w:rsidR="00C14EDE" w:rsidRPr="00BF20B7" w:rsidRDefault="00C14EDE" w:rsidP="000B76A8">
      <w:pPr>
        <w:pStyle w:val="afff0"/>
        <w:spacing w:line="300" w:lineRule="exact"/>
        <w:ind w:left="0" w:right="0"/>
        <w:rPr>
          <w:rFonts w:cs="DanaFajr"/>
          <w:rtl/>
          <w:lang w:bidi="ar-MA"/>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lang w:bidi="ar-MA"/>
        </w:rPr>
        <w:t xml:space="preserve"> باحثٌ في الفكر الإسلاميّ، وحائزٌ على دكتوراه في علم أصول الفقه، وأستاذٌ مساعِدٌ </w:t>
      </w:r>
      <w:r>
        <w:rPr>
          <w:rFonts w:cs="DanaFajr" w:hint="cs"/>
          <w:rtl/>
        </w:rPr>
        <w:t>في كلِّية الآداب في وجدة ـ المغرب</w:t>
      </w:r>
      <w:r w:rsidRPr="00527634">
        <w:rPr>
          <w:rFonts w:cs="DanaFajr" w:hint="cs"/>
          <w:rtl/>
        </w:rPr>
        <w:t>.</w:t>
      </w:r>
    </w:p>
  </w:footnote>
  <w:footnote w:id="16">
    <w:p w:rsidR="00C14EDE" w:rsidRPr="00527634" w:rsidRDefault="00C14EDE" w:rsidP="000B76A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B76A8">
        <w:rPr>
          <w:rFonts w:cs="DanaFajr" w:hint="cs"/>
          <w:rtl/>
        </w:rPr>
        <w:t>أستاذُ التاريخ في مجمع الإمام الخمينيّ للدراسات العليا في قم. من العراق</w:t>
      </w:r>
      <w:r w:rsidRPr="00527634">
        <w:rPr>
          <w:rFonts w:cs="DanaFajr" w:hint="cs"/>
          <w:rtl/>
        </w:rPr>
        <w:t>.</w:t>
      </w:r>
    </w:p>
  </w:footnote>
  <w:footnote w:id="17">
    <w:p w:rsidR="00C14EDE" w:rsidRPr="00527634" w:rsidRDefault="00C14EDE" w:rsidP="000B76A8">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0B76A8">
        <w:rPr>
          <w:rFonts w:cs="DanaFajr" w:hint="cs"/>
          <w:rtl/>
        </w:rPr>
        <w:t>باحثٌ وأستاذٌ في الحوزة العلميّة. من لبنان</w:t>
      </w:r>
      <w:r w:rsidRPr="00527634">
        <w:rPr>
          <w:rFonts w:cs="DanaFajr" w:hint="cs"/>
          <w:rtl/>
        </w:rPr>
        <w:t>.</w:t>
      </w:r>
    </w:p>
  </w:footnote>
  <w:footnote w:id="18">
    <w:p w:rsidR="00C14EDE" w:rsidRPr="00527634" w:rsidRDefault="00C14EDE" w:rsidP="00A02CA0">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83372D">
        <w:rPr>
          <w:rFonts w:cs="DanaFajr" w:hint="cs"/>
          <w:rtl/>
        </w:rPr>
        <w:t>باحث</w:t>
      </w:r>
      <w:r>
        <w:rPr>
          <w:rFonts w:cs="DanaFajr" w:hint="cs"/>
          <w:rtl/>
        </w:rPr>
        <w:t xml:space="preserve">ٌ </w:t>
      </w:r>
      <w:r w:rsidRPr="0083372D">
        <w:rPr>
          <w:rFonts w:cs="DanaFajr" w:hint="cs"/>
          <w:rtl/>
        </w:rPr>
        <w:t xml:space="preserve">في الحوزة </w:t>
      </w:r>
      <w:r>
        <w:rPr>
          <w:rFonts w:cs="DanaFajr" w:hint="cs"/>
          <w:rtl/>
        </w:rPr>
        <w:t xml:space="preserve">العلميّة، وحائزٌ على الماجستير في علوم القرآن والحديث </w:t>
      </w:r>
      <w:r w:rsidRPr="00954A9E">
        <w:rPr>
          <w:rFonts w:cs="DanaFajr"/>
          <w:rtl/>
        </w:rPr>
        <w:t>في جامعة المعارف ال</w:t>
      </w:r>
      <w:r>
        <w:rPr>
          <w:rFonts w:cs="DanaFajr" w:hint="cs"/>
          <w:rtl/>
        </w:rPr>
        <w:t>إ</w:t>
      </w:r>
      <w:r w:rsidRPr="00954A9E">
        <w:rPr>
          <w:rFonts w:cs="DanaFajr"/>
          <w:rtl/>
        </w:rPr>
        <w:t>سلامية</w:t>
      </w:r>
      <w:r>
        <w:rPr>
          <w:rFonts w:cs="DanaFajr" w:hint="cs"/>
          <w:rtl/>
        </w:rPr>
        <w:t>، في قم. من إيران</w:t>
      </w:r>
      <w:r w:rsidRPr="00527634">
        <w:rPr>
          <w:rFonts w:cs="DanaFajr" w:hint="cs"/>
          <w:rtl/>
        </w:rPr>
        <w:t>.</w:t>
      </w:r>
    </w:p>
  </w:footnote>
  <w:footnote w:id="19">
    <w:p w:rsidR="00C14EDE" w:rsidRPr="00527634" w:rsidRDefault="00C14EDE" w:rsidP="008460FC">
      <w:pPr>
        <w:pStyle w:val="afff0"/>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954A9E">
        <w:rPr>
          <w:rFonts w:cs="DanaFajr" w:hint="cs"/>
          <w:rtl/>
        </w:rPr>
        <w:t>أ</w:t>
      </w:r>
      <w:r w:rsidRPr="00954A9E">
        <w:rPr>
          <w:rFonts w:cs="DanaFajr"/>
          <w:rtl/>
        </w:rPr>
        <w:t>ستاذ</w:t>
      </w:r>
      <w:r>
        <w:rPr>
          <w:rFonts w:cs="DanaFajr" w:hint="cs"/>
          <w:rtl/>
        </w:rPr>
        <w:t>ٌ</w:t>
      </w:r>
      <w:r w:rsidRPr="00954A9E">
        <w:rPr>
          <w:rFonts w:cs="DanaFajr"/>
          <w:rtl/>
        </w:rPr>
        <w:t xml:space="preserve"> </w:t>
      </w:r>
      <w:r>
        <w:rPr>
          <w:rFonts w:cs="DanaFajr" w:hint="cs"/>
          <w:rtl/>
        </w:rPr>
        <w:t xml:space="preserve">مساعِدٌ </w:t>
      </w:r>
      <w:r w:rsidRPr="00954A9E">
        <w:rPr>
          <w:rFonts w:cs="DanaFajr"/>
          <w:rtl/>
        </w:rPr>
        <w:t xml:space="preserve">في </w:t>
      </w:r>
      <w:r>
        <w:rPr>
          <w:rFonts w:cs="DanaFajr" w:hint="cs"/>
          <w:rtl/>
        </w:rPr>
        <w:t>قسم</w:t>
      </w:r>
      <w:r w:rsidRPr="00954A9E">
        <w:rPr>
          <w:rFonts w:cs="DanaFajr"/>
          <w:rtl/>
        </w:rPr>
        <w:t xml:space="preserve"> علوم القرآن والحديث</w:t>
      </w:r>
      <w:r>
        <w:rPr>
          <w:rFonts w:cs="DanaFajr" w:hint="cs"/>
          <w:rtl/>
        </w:rPr>
        <w:t>، وعضو</w:t>
      </w:r>
      <w:r w:rsidRPr="00954A9E">
        <w:rPr>
          <w:rFonts w:cs="DanaFajr"/>
          <w:rtl/>
        </w:rPr>
        <w:t xml:space="preserve"> </w:t>
      </w:r>
      <w:r>
        <w:rPr>
          <w:rFonts w:cs="DanaFajr" w:hint="cs"/>
          <w:rtl/>
        </w:rPr>
        <w:t>الهيئة</w:t>
      </w:r>
      <w:r w:rsidRPr="00954A9E">
        <w:rPr>
          <w:rFonts w:cs="DanaFajr"/>
          <w:rtl/>
        </w:rPr>
        <w:t xml:space="preserve"> العلمي</w:t>
      </w:r>
      <w:r>
        <w:rPr>
          <w:rFonts w:cs="DanaFajr" w:hint="cs"/>
          <w:rtl/>
        </w:rPr>
        <w:t>ّ</w:t>
      </w:r>
      <w:r w:rsidRPr="00954A9E">
        <w:rPr>
          <w:rFonts w:cs="DanaFajr"/>
          <w:rtl/>
        </w:rPr>
        <w:t>ة</w:t>
      </w:r>
      <w:r>
        <w:rPr>
          <w:rFonts w:cs="DanaFajr" w:hint="cs"/>
          <w:rtl/>
        </w:rPr>
        <w:t>،</w:t>
      </w:r>
      <w:r w:rsidRPr="00954A9E">
        <w:rPr>
          <w:rFonts w:cs="DanaFajr"/>
          <w:rtl/>
        </w:rPr>
        <w:t xml:space="preserve"> في جامعة المعارف ال</w:t>
      </w:r>
      <w:r>
        <w:rPr>
          <w:rFonts w:cs="DanaFajr" w:hint="cs"/>
          <w:rtl/>
        </w:rPr>
        <w:t>إ</w:t>
      </w:r>
      <w:r w:rsidRPr="00954A9E">
        <w:rPr>
          <w:rFonts w:cs="DanaFajr"/>
          <w:rtl/>
        </w:rPr>
        <w:t>سلامية ف</w:t>
      </w:r>
      <w:r>
        <w:rPr>
          <w:rFonts w:cs="DanaFajr" w:hint="cs"/>
          <w:rtl/>
        </w:rPr>
        <w:t>ي</w:t>
      </w:r>
      <w:r w:rsidRPr="00954A9E">
        <w:rPr>
          <w:rFonts w:cs="DanaFajr"/>
          <w:rtl/>
        </w:rPr>
        <w:t xml:space="preserve"> قم</w:t>
      </w:r>
      <w:r>
        <w:rPr>
          <w:rFonts w:cs="DanaFajr" w:hint="cs"/>
          <w:rtl/>
        </w:rPr>
        <w:t>. من إيران</w:t>
      </w:r>
      <w:r w:rsidRPr="00527634">
        <w:rPr>
          <w:rFonts w:cs="DanaFajr" w:hint="cs"/>
          <w:rtl/>
        </w:rPr>
        <w:t>.</w:t>
      </w:r>
    </w:p>
  </w:footnote>
  <w:footnote w:id="20">
    <w:p w:rsidR="00C14EDE" w:rsidRPr="00527634" w:rsidRDefault="00C14EDE" w:rsidP="004A11F5">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4A11F5">
        <w:rPr>
          <w:rFonts w:cs="DanaFajr"/>
          <w:rtl/>
        </w:rPr>
        <w:t>باحث</w:t>
      </w:r>
      <w:r w:rsidRPr="004A11F5">
        <w:rPr>
          <w:rFonts w:cs="DanaFajr" w:hint="cs"/>
          <w:rtl/>
        </w:rPr>
        <w:t>ٌ</w:t>
      </w:r>
      <w:r w:rsidRPr="004A11F5">
        <w:rPr>
          <w:rFonts w:cs="DanaFajr"/>
          <w:rtl/>
        </w:rPr>
        <w:t xml:space="preserve"> وكاتب</w:t>
      </w:r>
      <w:r w:rsidRPr="004A11F5">
        <w:rPr>
          <w:rFonts w:cs="DanaFajr" w:hint="cs"/>
          <w:rtl/>
        </w:rPr>
        <w:t>ٌ</w:t>
      </w:r>
      <w:r w:rsidRPr="004A11F5">
        <w:rPr>
          <w:rFonts w:cs="DanaFajr"/>
          <w:rtl/>
        </w:rPr>
        <w:t xml:space="preserve"> </w:t>
      </w:r>
      <w:r w:rsidRPr="004A11F5">
        <w:rPr>
          <w:rFonts w:cs="DanaFajr" w:hint="cs"/>
          <w:rtl/>
        </w:rPr>
        <w:t>في الفكر العربيّ والإسلاميّ. من سوريا</w:t>
      </w:r>
      <w:r w:rsidRPr="00527634">
        <w:rPr>
          <w:rFonts w:cs="DanaFajr" w:hint="cs"/>
          <w:rtl/>
        </w:rPr>
        <w:t>.</w:t>
      </w:r>
    </w:p>
  </w:footnote>
  <w:footnote w:id="21">
    <w:p w:rsidR="00C14EDE" w:rsidRPr="00527634" w:rsidRDefault="00C14EDE" w:rsidP="00E81559">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rPr>
        <w:t xml:space="preserve"> </w:t>
      </w:r>
      <w:r w:rsidRPr="004A11F5">
        <w:rPr>
          <w:rFonts w:cs="DanaFajr" w:hint="cs"/>
          <w:b/>
          <w:rtl/>
        </w:rPr>
        <w:t>أستاذٌ في الحوزة العلميّة، وعضو الهيئة العلميّة في جامعة المصطفى</w:t>
      </w:r>
      <w:r w:rsidRPr="00E81559">
        <w:rPr>
          <w:rFonts w:cs="Mosawi" w:hint="cs"/>
          <w:sz w:val="20"/>
          <w:szCs w:val="20"/>
          <w:rtl/>
        </w:rPr>
        <w:t>|</w:t>
      </w:r>
      <w:r w:rsidRPr="004A11F5">
        <w:rPr>
          <w:rFonts w:cs="DanaFajr" w:hint="cs"/>
          <w:b/>
          <w:rtl/>
        </w:rPr>
        <w:t xml:space="preserve"> العالميّة، ومدير تحرير مجلّة الاستنباط. من العراق</w:t>
      </w:r>
      <w:r w:rsidRPr="00527634">
        <w:rPr>
          <w:rFonts w:cs="DanaFajr" w:hint="cs"/>
          <w:rtl/>
        </w:rPr>
        <w:t>.</w:t>
      </w:r>
    </w:p>
  </w:footnote>
  <w:footnote w:id="22">
    <w:p w:rsidR="00C14EDE" w:rsidRPr="00527634" w:rsidRDefault="00C14EDE" w:rsidP="005562D2">
      <w:pPr>
        <w:pStyle w:val="afff0"/>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5562D2">
        <w:rPr>
          <w:rFonts w:cs="DanaFajr" w:hint="cs"/>
          <w:rtl/>
        </w:rPr>
        <w:t>باحثٌ وكاتبٌ في الحوزة العلميّة. من العراق</w:t>
      </w:r>
      <w:r w:rsidRPr="00527634">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DE28A4">
    <w:pPr>
      <w:pStyle w:val="af4"/>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4D1780" w:rsidRDefault="00C14EDE" w:rsidP="00D1080C">
    <w:pPr>
      <w:pStyle w:val="af5"/>
      <w:spacing w:after="240" w:line="200" w:lineRule="exact"/>
      <w:ind w:firstLine="0"/>
      <w:jc w:val="right"/>
      <w:rPr>
        <w:rFonts w:cs="Ya-Ali"/>
        <w:i/>
        <w:iCs/>
        <w:sz w:val="22"/>
        <w:szCs w:val="22"/>
        <w:rtl/>
      </w:rPr>
    </w:pPr>
    <w:r w:rsidRPr="004D1780">
      <w:rPr>
        <w:rFonts w:cs="Ya-Ali"/>
        <w:sz w:val="22"/>
        <w:szCs w:val="22"/>
        <w:rtl/>
      </w:rPr>
      <w:t>•</w:t>
    </w:r>
    <w:r w:rsidRPr="004D1780">
      <w:rPr>
        <w:rFonts w:cs="Ya-Ali" w:hint="cs"/>
        <w:sz w:val="22"/>
        <w:szCs w:val="22"/>
        <w:rtl/>
      </w:rPr>
      <w:t xml:space="preserve"> </w:t>
    </w:r>
    <w:r w:rsidRPr="004D1780">
      <w:rPr>
        <w:rFonts w:cs="Ya-Ali" w:hint="cs"/>
        <w:i/>
        <w:iCs/>
        <w:sz w:val="22"/>
        <w:szCs w:val="22"/>
        <w:rtl/>
      </w:rPr>
      <w:t xml:space="preserve">قاعدة نفي </w:t>
    </w:r>
    <w:r w:rsidRPr="004D1780">
      <w:rPr>
        <w:rFonts w:cs="Ya-Ali" w:hint="cs"/>
        <w:i/>
        <w:iCs/>
        <w:sz w:val="22"/>
        <w:szCs w:val="22"/>
        <w:rtl/>
        <w:lang w:bidi="ar-LB"/>
      </w:rPr>
      <w:t>خلوّ الوقائع من الحكم الشرعي</w:t>
    </w:r>
    <w:r>
      <w:rPr>
        <w:rFonts w:cs="Ya-Ali" w:hint="cs"/>
        <w:i/>
        <w:iCs/>
        <w:sz w:val="22"/>
        <w:szCs w:val="22"/>
        <w:rtl/>
      </w:rPr>
      <w:t xml:space="preserve">ّ، </w:t>
    </w:r>
    <w:r w:rsidRPr="004D1780">
      <w:rPr>
        <w:rFonts w:cs="Ya-Ali" w:hint="cs"/>
        <w:i/>
        <w:iCs/>
        <w:sz w:val="22"/>
        <w:szCs w:val="22"/>
        <w:rtl/>
        <w:lang w:bidi="ar-LB"/>
      </w:rPr>
      <w:t>وأثرها في علم أصول الفقه</w:t>
    </w:r>
    <w:r w:rsidRPr="004D1780">
      <w:rPr>
        <w:rFonts w:cs="Ya-Ali" w:hint="cs"/>
        <w:i/>
        <w:iCs/>
        <w:sz w:val="22"/>
        <w:szCs w:val="22"/>
        <w:rtl/>
      </w:rPr>
      <w:t xml:space="preserve"> / القسم الأول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الشيخ محمد رحماني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4336CE">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E36B18">
      <w:rPr>
        <w:rFonts w:cs="Ya-Ali" w:hint="cs"/>
        <w:i/>
        <w:iCs/>
        <w:sz w:val="20"/>
        <w:szCs w:val="22"/>
        <w:rtl/>
      </w:rPr>
      <w:t>منطقة الفرا</w:t>
    </w:r>
    <w:r>
      <w:rPr>
        <w:rFonts w:cs="Ya-Ali" w:hint="cs"/>
        <w:i/>
        <w:iCs/>
        <w:sz w:val="20"/>
        <w:szCs w:val="22"/>
        <w:rtl/>
      </w:rPr>
      <w:t xml:space="preserve">غ بين النفي والإثبات، </w:t>
    </w:r>
    <w:r w:rsidRPr="004336CE">
      <w:rPr>
        <w:rFonts w:cs="Ya-Ali" w:hint="cs"/>
        <w:i/>
        <w:iCs/>
        <w:sz w:val="20"/>
        <w:szCs w:val="22"/>
        <w:rtl/>
      </w:rPr>
      <w:t>دراسة مقارنة بين النظرية والنموذج</w:t>
    </w:r>
    <w:r>
      <w:rPr>
        <w:rFonts w:cs="Ya-Ali" w:hint="cs"/>
        <w:i/>
        <w:iCs/>
        <w:sz w:val="20"/>
        <w:szCs w:val="22"/>
        <w:rtl/>
      </w:rPr>
      <w:t xml:space="preserve"> العملي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الشيخ حسين الخشن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8A537D" w:rsidRDefault="00C14EDE" w:rsidP="008A537D">
    <w:pPr>
      <w:pStyle w:val="af4"/>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0F4DC6">
    <w:pPr>
      <w:pStyle w:val="af5"/>
      <w:spacing w:after="240" w:line="200" w:lineRule="exact"/>
      <w:ind w:firstLine="0"/>
      <w:jc w:val="right"/>
      <w:rPr>
        <w:rFonts w:cs="Ya-Ali"/>
        <w:i/>
        <w:iCs/>
        <w:rtl/>
        <w:lang w:bidi="ar-LB"/>
      </w:rPr>
    </w:pPr>
    <w:r w:rsidRPr="00E52AD4">
      <w:rPr>
        <w:rFonts w:cs="Ya-Ali"/>
        <w:sz w:val="22"/>
        <w:szCs w:val="22"/>
        <w:rtl/>
      </w:rPr>
      <w:t>•</w:t>
    </w:r>
    <w:r w:rsidRPr="00E52AD4">
      <w:rPr>
        <w:rFonts w:cs="Ya-Ali" w:hint="cs"/>
        <w:sz w:val="22"/>
        <w:szCs w:val="22"/>
        <w:rtl/>
      </w:rPr>
      <w:t xml:space="preserve"> </w:t>
    </w:r>
    <w:r w:rsidRPr="000F4DC6">
      <w:rPr>
        <w:rFonts w:cs="Ya-Ali" w:hint="cs"/>
        <w:i/>
        <w:iCs/>
        <w:sz w:val="20"/>
        <w:szCs w:val="22"/>
        <w:rtl/>
        <w:lang w:bidi="ar-LB"/>
      </w:rPr>
      <w:t>قاعدة التسامح في أدلة السنن، و</w:t>
    </w:r>
    <w:r>
      <w:rPr>
        <w:rFonts w:cs="Ya-Ali" w:hint="cs"/>
        <w:i/>
        <w:iCs/>
        <w:sz w:val="20"/>
        <w:szCs w:val="22"/>
        <w:rtl/>
        <w:lang w:bidi="ar-LB"/>
      </w:rPr>
      <w:t>دوْرها في تسر</w:t>
    </w:r>
    <w:r w:rsidRPr="000F4DC6">
      <w:rPr>
        <w:rFonts w:cs="Ya-Ali" w:hint="cs"/>
        <w:i/>
        <w:iCs/>
        <w:sz w:val="20"/>
        <w:szCs w:val="22"/>
        <w:rtl/>
        <w:lang w:bidi="ar-LB"/>
      </w:rPr>
      <w:t>ب الموضوعات / القسم الأول</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حسن الصفار</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B37544">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B37544">
      <w:rPr>
        <w:rFonts w:cs="Ya-Ali"/>
        <w:i/>
        <w:iCs/>
        <w:sz w:val="20"/>
        <w:szCs w:val="22"/>
        <w:rtl/>
      </w:rPr>
      <w:t>الهيمنة الذكورية</w:t>
    </w:r>
    <w:r w:rsidRPr="00B37544">
      <w:rPr>
        <w:rFonts w:cs="Ya-Ali" w:hint="cs"/>
        <w:i/>
        <w:iCs/>
        <w:sz w:val="20"/>
        <w:szCs w:val="22"/>
        <w:rtl/>
      </w:rPr>
      <w:t>،</w:t>
    </w:r>
    <w:r w:rsidRPr="00B37544">
      <w:rPr>
        <w:rFonts w:cs="Ya-Ali"/>
        <w:i/>
        <w:iCs/>
        <w:sz w:val="20"/>
        <w:szCs w:val="22"/>
        <w:rtl/>
      </w:rPr>
      <w:t xml:space="preserve"> بين التشريع الديني والأعراف الاجتماعية</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د. إبراهيم زارع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AC0AE5" w:rsidRDefault="00C14EDE" w:rsidP="00DE28A4">
    <w:pPr>
      <w:pStyle w:val="af5"/>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محمد عباس دهيني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A748E5">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توبة المرتد الفطري، قراءة فقهي</w:t>
    </w:r>
    <w:r w:rsidRPr="00AA149D">
      <w:rPr>
        <w:rFonts w:cs="Ya-Ali" w:hint="cs"/>
        <w:i/>
        <w:iCs/>
        <w:sz w:val="20"/>
        <w:szCs w:val="22"/>
        <w:rtl/>
      </w:rPr>
      <w:t>ة جديدة</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041FA0">
    <w:pPr>
      <w:pStyle w:val="af4"/>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041FA0">
    <w:pPr>
      <w:pStyle w:val="af4"/>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041FA0">
    <w:pPr>
      <w:pStyle w:val="af4"/>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أ. شروق فقيه</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C32BB1">
    <w:pPr>
      <w:pStyle w:val="af5"/>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C32BB1">
      <w:rPr>
        <w:rFonts w:cs="Ya-Ali"/>
        <w:i/>
        <w:iCs/>
        <w:sz w:val="20"/>
        <w:szCs w:val="22"/>
        <w:rtl/>
      </w:rPr>
      <w:t>قاعدة اشتراك</w:t>
    </w:r>
    <w:r w:rsidRPr="00C32BB1">
      <w:rPr>
        <w:rFonts w:cs="Ya-Ali" w:hint="cs"/>
        <w:i/>
        <w:iCs/>
        <w:sz w:val="20"/>
        <w:szCs w:val="22"/>
        <w:rtl/>
      </w:rPr>
      <w:t xml:space="preserve"> الرجال والنساء في الأحكام الشرعية، المفاد والأدلّة عند المذاهب الإسلامية</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Pr>
        <w:rFonts w:cs="Ya-Ali" w:hint="cs"/>
        <w:sz w:val="24"/>
        <w:szCs w:val="24"/>
        <w:rtl/>
      </w:rPr>
      <w:t xml:space="preserve"> </w:t>
    </w:r>
    <w:r>
      <w:rPr>
        <w:rFonts w:cs="Ya-Ali" w:hint="cs"/>
        <w:i/>
        <w:iCs/>
        <w:sz w:val="24"/>
        <w:szCs w:val="24"/>
        <w:rtl/>
      </w:rPr>
      <w:t>أ. مشتاق بن موسى اللواتي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5B2140" w:rsidRDefault="00C14EDE" w:rsidP="00EB4B77">
    <w:pPr>
      <w:pStyle w:val="af5"/>
      <w:spacing w:after="240" w:line="200" w:lineRule="exact"/>
      <w:ind w:firstLine="0"/>
      <w:jc w:val="right"/>
      <w:rPr>
        <w:rFonts w:cs="Ya-Ali"/>
        <w:i/>
        <w:iCs/>
        <w:sz w:val="22"/>
        <w:szCs w:val="22"/>
        <w:rtl/>
      </w:rPr>
    </w:pPr>
    <w:r w:rsidRPr="005B2140">
      <w:rPr>
        <w:rFonts w:cs="Ya-Ali"/>
        <w:sz w:val="22"/>
        <w:szCs w:val="22"/>
        <w:rtl/>
      </w:rPr>
      <w:t>•</w:t>
    </w:r>
    <w:r w:rsidRPr="005B2140">
      <w:rPr>
        <w:rFonts w:cs="Ya-Ali" w:hint="cs"/>
        <w:sz w:val="22"/>
        <w:szCs w:val="22"/>
        <w:rtl/>
      </w:rPr>
      <w:t xml:space="preserve"> </w:t>
    </w:r>
    <w:r w:rsidRPr="00EB4B77">
      <w:rPr>
        <w:rFonts w:cs="Ya-Ali" w:hint="cs"/>
        <w:b/>
        <w:i/>
        <w:iCs/>
        <w:sz w:val="22"/>
        <w:szCs w:val="22"/>
        <w:rtl/>
        <w:lang w:bidi="ar-LB"/>
      </w:rPr>
      <w:t>الأحكام الشرعية بين مسؤوليتين</w:t>
    </w:r>
    <w:r w:rsidRPr="00EB4B77">
      <w:rPr>
        <w:rFonts w:cs="Ya-Ali" w:hint="cs"/>
        <w:b/>
        <w:i/>
        <w:iCs/>
        <w:sz w:val="22"/>
        <w:szCs w:val="22"/>
        <w:rtl/>
      </w:rPr>
      <w:t>، إثارة معرفية من وحي الواقع</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667C32">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667C32">
      <w:rPr>
        <w:rFonts w:cs="Ya-Ali"/>
        <w:i/>
        <w:iCs/>
        <w:sz w:val="20"/>
        <w:szCs w:val="22"/>
        <w:rtl/>
      </w:rPr>
      <w:t>مفهوم الغنيمة في التراث الفكري</w:t>
    </w:r>
    <w:r>
      <w:rPr>
        <w:rFonts w:cs="Ya-Ali"/>
        <w:i/>
        <w:iCs/>
        <w:sz w:val="20"/>
        <w:szCs w:val="22"/>
        <w:rtl/>
      </w:rPr>
      <w:t xml:space="preserve"> للمسلمي</w:t>
    </w:r>
    <w:r>
      <w:rPr>
        <w:rFonts w:cs="Ya-Ali" w:hint="cs"/>
        <w:i/>
        <w:iCs/>
        <w:sz w:val="20"/>
        <w:szCs w:val="22"/>
        <w:rtl/>
      </w:rPr>
      <w:t>ن، عرض وتحليل</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FD1375">
    <w:pPr>
      <w:pStyle w:val="af5"/>
      <w:spacing w:after="240" w:line="200" w:lineRule="exact"/>
      <w:ind w:firstLine="0"/>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محمد عافي الخراساني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FD1375" w:rsidRDefault="00C14EDE" w:rsidP="00FD1375">
    <w:pPr>
      <w:pStyle w:val="af5"/>
      <w:spacing w:after="240" w:line="200" w:lineRule="exact"/>
      <w:ind w:firstLine="0"/>
      <w:jc w:val="right"/>
      <w:rPr>
        <w:rFonts w:cs="Ya-Ali"/>
        <w:i/>
        <w:iCs/>
        <w:lang w:bidi="fa-IR"/>
      </w:rPr>
    </w:pPr>
    <w:r w:rsidRPr="002766BB">
      <w:rPr>
        <w:rFonts w:cs="Ya-Ali"/>
        <w:sz w:val="22"/>
        <w:szCs w:val="22"/>
        <w:rtl/>
      </w:rPr>
      <w:t>•</w:t>
    </w:r>
    <w:r w:rsidRPr="002766BB">
      <w:rPr>
        <w:rFonts w:cs="Ya-Ali" w:hint="cs"/>
        <w:sz w:val="22"/>
        <w:szCs w:val="22"/>
        <w:rtl/>
      </w:rPr>
      <w:t xml:space="preserve"> </w:t>
    </w:r>
    <w:r w:rsidRPr="000E20BC">
      <w:rPr>
        <w:rFonts w:cs="Ya-Ali" w:hint="eastAsia"/>
        <w:i/>
        <w:iCs/>
        <w:sz w:val="22"/>
        <w:szCs w:val="22"/>
        <w:rtl/>
        <w:lang w:bidi="fa-IR"/>
      </w:rPr>
      <w:t>«</w:t>
    </w:r>
    <w:r>
      <w:rPr>
        <w:rFonts w:cs="Ya-Ali" w:hint="cs"/>
        <w:i/>
        <w:iCs/>
        <w:sz w:val="22"/>
        <w:szCs w:val="22"/>
        <w:rtl/>
        <w:lang w:bidi="fa-IR"/>
      </w:rPr>
      <w:t>السن</w:t>
    </w:r>
    <w:r w:rsidRPr="000E20BC">
      <w:rPr>
        <w:rFonts w:cs="Ya-Ali" w:hint="cs"/>
        <w:i/>
        <w:iCs/>
        <w:sz w:val="22"/>
        <w:szCs w:val="22"/>
        <w:rtl/>
        <w:lang w:bidi="fa-IR"/>
      </w:rPr>
      <w:t>ة</w:t>
    </w:r>
    <w:r w:rsidRPr="000E20BC">
      <w:rPr>
        <w:rFonts w:cs="Ya-Ali" w:hint="eastAsia"/>
        <w:i/>
        <w:iCs/>
        <w:sz w:val="22"/>
        <w:szCs w:val="22"/>
        <w:rtl/>
      </w:rPr>
      <w:t>»</w:t>
    </w:r>
    <w:r w:rsidRPr="000E20BC">
      <w:rPr>
        <w:rFonts w:cs="Ya-Ali"/>
        <w:i/>
        <w:iCs/>
        <w:sz w:val="22"/>
        <w:szCs w:val="22"/>
        <w:rtl/>
        <w:lang w:bidi="fa-IR"/>
      </w:rPr>
      <w:t xml:space="preserve"> </w:t>
    </w:r>
    <w:r w:rsidRPr="000E20BC">
      <w:rPr>
        <w:rFonts w:cs="Ya-Ali" w:hint="cs"/>
        <w:i/>
        <w:iCs/>
        <w:sz w:val="22"/>
        <w:szCs w:val="22"/>
        <w:rtl/>
      </w:rPr>
      <w:t>ودلالاتها في التراثين الديني والأدبي في القرون الهجرية الأولى</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CC79D2">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BD3176">
      <w:rPr>
        <w:rFonts w:cs="Ya-Ali" w:hint="cs"/>
        <w:i/>
        <w:iCs/>
        <w:sz w:val="24"/>
        <w:szCs w:val="24"/>
        <w:rtl/>
      </w:rPr>
      <w:t xml:space="preserve">الشيخ محمد حسن </w:t>
    </w:r>
    <w:r w:rsidRPr="00055BDD">
      <w:rPr>
        <w:rFonts w:cs="Ya-Ali" w:hint="cs"/>
        <w:i/>
        <w:iCs/>
        <w:sz w:val="24"/>
        <w:szCs w:val="24"/>
        <w:rtl/>
      </w:rPr>
      <w:t xml:space="preserve">گُلي </w:t>
    </w:r>
    <w:r>
      <w:rPr>
        <w:rFonts w:cs="Ya-Ali" w:hint="cs"/>
        <w:i/>
        <w:iCs/>
        <w:sz w:val="24"/>
        <w:szCs w:val="24"/>
        <w:rtl/>
      </w:rPr>
      <w:t xml:space="preserve">شير دار / </w:t>
    </w:r>
    <w:r w:rsidRPr="00BD3176">
      <w:rPr>
        <w:rFonts w:cs="Ya-Ali" w:hint="cs"/>
        <w:i/>
        <w:iCs/>
        <w:sz w:val="24"/>
        <w:szCs w:val="24"/>
        <w:rtl/>
      </w:rPr>
      <w:t>أ. علي محمدي هويه</w:t>
    </w:r>
    <w:r>
      <w:rPr>
        <w:rFonts w:cs="Ya-Ali" w:hint="cs"/>
        <w:i/>
        <w:iCs/>
        <w:sz w:val="24"/>
        <w:szCs w:val="24"/>
        <w:rtl/>
      </w:rPr>
      <w:t xml:space="preserve"> </w:t>
    </w:r>
    <w:r w:rsidRPr="00BD3176">
      <w:rPr>
        <w:rFonts w:cs="Ya-Ali" w:hint="cs"/>
        <w:i/>
        <w:iCs/>
        <w:sz w:val="24"/>
        <w:szCs w:val="24"/>
        <w:rtl/>
      </w:rPr>
      <w:t xml:space="preserve">/ </w:t>
    </w:r>
    <w:r>
      <w:rPr>
        <w:rFonts w:cs="Ya-Ali" w:hint="cs"/>
        <w:i/>
        <w:iCs/>
        <w:sz w:val="24"/>
        <w:szCs w:val="24"/>
        <w:rtl/>
      </w:rPr>
      <w:t>الشيخ</w:t>
    </w:r>
    <w:r w:rsidRPr="00BD3176">
      <w:rPr>
        <w:rFonts w:cs="Ya-Ali" w:hint="cs"/>
        <w:i/>
        <w:iCs/>
        <w:sz w:val="24"/>
        <w:szCs w:val="24"/>
        <w:rtl/>
      </w:rPr>
      <w:t xml:space="preserve"> </w:t>
    </w:r>
    <w:r w:rsidRPr="00055BDD">
      <w:rPr>
        <w:rFonts w:cs="Ya-Ali" w:hint="cs"/>
        <w:i/>
        <w:iCs/>
        <w:sz w:val="24"/>
        <w:szCs w:val="24"/>
        <w:rtl/>
      </w:rPr>
      <w:t>سپهر</w:t>
    </w:r>
    <w:r w:rsidRPr="00BD3176">
      <w:rPr>
        <w:rFonts w:cs="Ya-Ali" w:hint="cs"/>
        <w:i/>
        <w:iCs/>
        <w:sz w:val="24"/>
        <w:szCs w:val="24"/>
        <w:rtl/>
      </w:rPr>
      <w:t xml:space="preserve"> كرد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DE28A4">
    <w:pPr>
      <w:pStyle w:val="af4"/>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B913D2">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B913D2">
      <w:rPr>
        <w:rFonts w:cs="Ya-Ali" w:hint="cs"/>
        <w:i/>
        <w:iCs/>
        <w:sz w:val="20"/>
        <w:szCs w:val="22"/>
        <w:rtl/>
      </w:rPr>
      <w:t>إنكار قاعدة قبح العقاب بلا</w:t>
    </w:r>
    <w:r>
      <w:rPr>
        <w:rFonts w:cs="Ya-Ali" w:hint="cs"/>
        <w:i/>
        <w:iCs/>
        <w:sz w:val="20"/>
        <w:szCs w:val="22"/>
        <w:rtl/>
      </w:rPr>
      <w:t xml:space="preserve"> بيان، دراسة مقارنة بين نظريت</w:t>
    </w:r>
    <w:r w:rsidRPr="00B913D2">
      <w:rPr>
        <w:rFonts w:cs="Ya-Ali" w:hint="cs"/>
        <w:i/>
        <w:iCs/>
        <w:sz w:val="20"/>
        <w:szCs w:val="22"/>
        <w:rtl/>
      </w:rPr>
      <w:t>يْ الروحاني والصدر</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9D1874">
      <w:rPr>
        <w:rFonts w:cs="Ya-Ali"/>
        <w:i/>
        <w:iCs/>
        <w:sz w:val="24"/>
        <w:szCs w:val="24"/>
        <w:rtl/>
      </w:rPr>
      <w:t>الشيخ سعيد نورا</w:t>
    </w:r>
    <w:r w:rsidRPr="009D1874">
      <w:rPr>
        <w:rFonts w:cs="Ya-Ali" w:hint="cs"/>
        <w:i/>
        <w:iCs/>
        <w:sz w:val="24"/>
        <w:szCs w:val="24"/>
        <w:rtl/>
      </w:rPr>
      <w:t xml:space="preserve"> / </w:t>
    </w:r>
    <w:r w:rsidRPr="009D1874">
      <w:rPr>
        <w:rFonts w:cs="Ya-Ali"/>
        <w:i/>
        <w:iCs/>
        <w:sz w:val="24"/>
        <w:szCs w:val="24"/>
        <w:rtl/>
      </w:rPr>
      <w:t>الشيخ مهدي قاسمي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D0017E">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D0017E">
      <w:rPr>
        <w:rFonts w:cs="Ya-Ali" w:hint="cs"/>
        <w:i/>
        <w:iCs/>
        <w:sz w:val="22"/>
        <w:szCs w:val="22"/>
        <w:rtl/>
      </w:rPr>
      <w:t>نظرة الإسلام إلى</w:t>
    </w:r>
    <w:r w:rsidRPr="00D0017E">
      <w:rPr>
        <w:rFonts w:cs="Ya-Ali"/>
        <w:i/>
        <w:iCs/>
        <w:sz w:val="22"/>
        <w:szCs w:val="22"/>
        <w:rtl/>
      </w:rPr>
      <w:t xml:space="preserve"> المرأة العقيم</w:t>
    </w:r>
    <w:r w:rsidRPr="00D0017E">
      <w:rPr>
        <w:rFonts w:cs="Ya-Ali" w:hint="cs"/>
        <w:i/>
        <w:iCs/>
        <w:sz w:val="22"/>
        <w:szCs w:val="22"/>
        <w:rtl/>
      </w:rPr>
      <w:t>، قراءة</w:t>
    </w:r>
    <w:r>
      <w:rPr>
        <w:rFonts w:cs="Ya-Ali" w:hint="cs"/>
        <w:i/>
        <w:iCs/>
        <w:sz w:val="22"/>
        <w:szCs w:val="22"/>
        <w:rtl/>
      </w:rPr>
      <w:t xml:space="preserve"> نقدي</w:t>
    </w:r>
    <w:r w:rsidRPr="00D0017E">
      <w:rPr>
        <w:rFonts w:cs="Ya-Ali" w:hint="cs"/>
        <w:i/>
        <w:iCs/>
        <w:sz w:val="22"/>
        <w:szCs w:val="22"/>
        <w:rtl/>
      </w:rPr>
      <w:t xml:space="preserve">ة في </w:t>
    </w:r>
    <w:r>
      <w:rPr>
        <w:rFonts w:cs="Ya-Ali" w:hint="cs"/>
        <w:i/>
        <w:iCs/>
        <w:sz w:val="22"/>
        <w:szCs w:val="22"/>
        <w:rtl/>
      </w:rPr>
      <w:t>النصوص الديني</w:t>
    </w:r>
    <w:r w:rsidRPr="00D0017E">
      <w:rPr>
        <w:rFonts w:cs="Ya-Ali" w:hint="cs"/>
        <w:i/>
        <w:iCs/>
        <w:sz w:val="22"/>
        <w:szCs w:val="22"/>
        <w:rtl/>
      </w:rPr>
      <w:t>ة</w:t>
    </w:r>
    <w:r>
      <w:rPr>
        <w:rFonts w:cs="Ya-Ali" w:hint="cs"/>
        <w:i/>
        <w:iCs/>
        <w:sz w:val="22"/>
        <w:szCs w:val="22"/>
        <w:rtl/>
      </w:rPr>
      <w:t xml:space="preserve"> (</w:t>
    </w:r>
    <w:r w:rsidRPr="00D0017E">
      <w:rPr>
        <w:rFonts w:cs="Ya-Ali" w:hint="cs"/>
        <w:i/>
        <w:iCs/>
        <w:sz w:val="22"/>
        <w:szCs w:val="22"/>
        <w:rtl/>
      </w:rPr>
      <w:t>الزواج والتشنيع نموذجاً)</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D722E4">
      <w:rPr>
        <w:rFonts w:cs="Ya-Ali" w:hint="cs"/>
        <w:i/>
        <w:iCs/>
        <w:sz w:val="24"/>
        <w:szCs w:val="24"/>
        <w:rtl/>
      </w:rPr>
      <w:t>الشيخ محمد رضا الأحمدي البهسودي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E36B46">
    <w:pPr>
      <w:pStyle w:val="af4"/>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78785B">
    <w:pPr>
      <w:pStyle w:val="af5"/>
      <w:spacing w:after="240" w:line="200" w:lineRule="exact"/>
      <w:ind w:firstLine="0"/>
      <w:jc w:val="right"/>
      <w:rPr>
        <w:rFonts w:cs="Ya-Ali"/>
        <w:i/>
        <w:iCs/>
        <w:rtl/>
        <w:lang w:bidi="ar-EG"/>
      </w:rPr>
    </w:pPr>
    <w:r w:rsidRPr="002766BB">
      <w:rPr>
        <w:rFonts w:cs="Ya-Ali"/>
        <w:sz w:val="22"/>
        <w:szCs w:val="22"/>
        <w:rtl/>
      </w:rPr>
      <w:t>•</w:t>
    </w:r>
    <w:r w:rsidRPr="002766BB">
      <w:rPr>
        <w:rFonts w:cs="Ya-Ali" w:hint="cs"/>
        <w:sz w:val="22"/>
        <w:szCs w:val="22"/>
        <w:rtl/>
      </w:rPr>
      <w:t xml:space="preserve"> </w:t>
    </w:r>
    <w:r>
      <w:rPr>
        <w:rFonts w:cs="Ya-Ali" w:hint="cs"/>
        <w:i/>
        <w:iCs/>
        <w:sz w:val="20"/>
        <w:szCs w:val="22"/>
        <w:rtl/>
        <w:lang w:bidi="ar-EG"/>
      </w:rPr>
      <w:t>الولاية التكوينية للنبي</w:t>
    </w:r>
    <w:r w:rsidRPr="00D722E4">
      <w:rPr>
        <w:rFonts w:cs="Ya-Ali" w:hint="cs"/>
        <w:i/>
        <w:iCs/>
        <w:sz w:val="20"/>
        <w:szCs w:val="22"/>
        <w:rtl/>
        <w:lang w:bidi="ar-EG"/>
      </w:rPr>
      <w:t xml:space="preserve"> و</w:t>
    </w:r>
    <w:r>
      <w:rPr>
        <w:rFonts w:cs="Ya-Ali" w:hint="cs"/>
        <w:i/>
        <w:iCs/>
        <w:sz w:val="20"/>
        <w:szCs w:val="22"/>
        <w:rtl/>
        <w:lang w:bidi="ar-EG"/>
      </w:rPr>
      <w:t>أه</w:t>
    </w:r>
    <w:r w:rsidRPr="00D722E4">
      <w:rPr>
        <w:rFonts w:cs="Ya-Ali" w:hint="cs"/>
        <w:i/>
        <w:iCs/>
        <w:sz w:val="20"/>
        <w:szCs w:val="22"/>
        <w:rtl/>
        <w:lang w:bidi="ar-EG"/>
      </w:rPr>
      <w:t xml:space="preserve">ل </w:t>
    </w:r>
    <w:r w:rsidRPr="00DE3C80">
      <w:rPr>
        <w:rFonts w:cs="Ya-Ali" w:hint="cs"/>
        <w:i/>
        <w:iCs/>
        <w:sz w:val="22"/>
        <w:szCs w:val="22"/>
        <w:rtl/>
        <w:lang w:bidi="ar-EG"/>
      </w:rPr>
      <w:t>البيت</w:t>
    </w:r>
    <w:r w:rsidRPr="00E43555">
      <w:rPr>
        <w:rFonts w:cs="Mosawi" w:hint="cs"/>
        <w:sz w:val="16"/>
        <w:szCs w:val="16"/>
        <w:rtl/>
      </w:rPr>
      <w:t>^</w:t>
    </w:r>
    <w:r w:rsidRPr="00DE3C80">
      <w:rPr>
        <w:rFonts w:cs="Ya-Ali" w:hint="cs"/>
        <w:i/>
        <w:iCs/>
        <w:sz w:val="22"/>
        <w:szCs w:val="22"/>
        <w:rtl/>
        <w:lang w:bidi="ar-EG"/>
      </w:rPr>
      <w:t xml:space="preserve">، </w:t>
    </w:r>
    <w:r>
      <w:rPr>
        <w:rFonts w:cs="Ya-Ali" w:hint="cs"/>
        <w:i/>
        <w:iCs/>
        <w:sz w:val="22"/>
        <w:szCs w:val="22"/>
        <w:rtl/>
      </w:rPr>
      <w:t>محاولة</w:t>
    </w:r>
    <w:r w:rsidRPr="00DE3C80">
      <w:rPr>
        <w:rFonts w:cs="Ya-Ali" w:hint="cs"/>
        <w:i/>
        <w:iCs/>
        <w:sz w:val="22"/>
        <w:szCs w:val="22"/>
        <w:rtl/>
      </w:rPr>
      <w:t xml:space="preserve"> للتوفيق بين النفي والإثبات</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محمد بنعمر</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BF20B7">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BF20B7">
      <w:rPr>
        <w:rFonts w:cs="Ya-Ali"/>
        <w:i/>
        <w:iCs/>
        <w:sz w:val="20"/>
        <w:szCs w:val="22"/>
        <w:rtl/>
        <w:lang w:bidi="ar-MA"/>
      </w:rPr>
      <w:t>المع</w:t>
    </w:r>
    <w:r w:rsidRPr="00BF20B7">
      <w:rPr>
        <w:rFonts w:cs="Ya-Ali" w:hint="cs"/>
        <w:i/>
        <w:iCs/>
        <w:sz w:val="20"/>
        <w:szCs w:val="22"/>
        <w:rtl/>
        <w:lang w:bidi="ar-MA"/>
      </w:rPr>
      <w:t>نى ومستوياته في</w:t>
    </w:r>
    <w:r w:rsidRPr="00BF20B7">
      <w:rPr>
        <w:rFonts w:cs="Ya-Ali"/>
        <w:i/>
        <w:iCs/>
        <w:sz w:val="20"/>
        <w:szCs w:val="22"/>
        <w:rtl/>
        <w:lang w:bidi="ar-MA"/>
      </w:rPr>
      <w:t xml:space="preserve"> </w:t>
    </w:r>
    <w:r w:rsidRPr="00BF20B7">
      <w:rPr>
        <w:rFonts w:cs="Ya-Ali" w:hint="cs"/>
        <w:i/>
        <w:iCs/>
        <w:sz w:val="20"/>
        <w:szCs w:val="22"/>
        <w:rtl/>
        <w:lang w:bidi="ar-MA"/>
      </w:rPr>
      <w:t>علم أصول الفق</w:t>
    </w:r>
    <w:r w:rsidRPr="00BF20B7">
      <w:rPr>
        <w:rFonts w:cs="Ya-Ali" w:hint="cs"/>
        <w:i/>
        <w:iCs/>
        <w:sz w:val="20"/>
        <w:szCs w:val="22"/>
        <w:rtl/>
      </w:rPr>
      <w:t>ه</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الشيخ عصري الباني</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314F12">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314F12">
      <w:rPr>
        <w:rFonts w:cs="Ya-Ali" w:hint="cs"/>
        <w:i/>
        <w:iCs/>
        <w:sz w:val="22"/>
        <w:szCs w:val="22"/>
        <w:rtl/>
      </w:rPr>
      <w:t>(انتصار الدم على السيف)، قراءة نقدية في المفهوم</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rsidP="001F2CB3">
    <w:pPr>
      <w:pStyle w:val="af4"/>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علي نذر</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1D72ED">
    <w:pPr>
      <w:pStyle w:val="af5"/>
      <w:spacing w:after="240" w:line="200" w:lineRule="exact"/>
      <w:ind w:firstLine="0"/>
      <w:jc w:val="right"/>
      <w:rPr>
        <w:rFonts w:cs="Ya-Ali"/>
        <w:i/>
        <w:iCs/>
        <w:rtl/>
        <w:lang w:bidi="ar-LB"/>
      </w:rPr>
    </w:pPr>
    <w:r w:rsidRPr="002766BB">
      <w:rPr>
        <w:rFonts w:cs="Ya-Ali"/>
        <w:sz w:val="22"/>
        <w:szCs w:val="22"/>
        <w:rtl/>
      </w:rPr>
      <w:t>•</w:t>
    </w:r>
    <w:r w:rsidRPr="002766BB">
      <w:rPr>
        <w:rFonts w:cs="Ya-Ali" w:hint="cs"/>
        <w:sz w:val="22"/>
        <w:szCs w:val="22"/>
        <w:rtl/>
      </w:rPr>
      <w:t xml:space="preserve"> </w:t>
    </w:r>
    <w:r>
      <w:rPr>
        <w:rFonts w:cs="Ya-Ali"/>
        <w:i/>
        <w:iCs/>
        <w:sz w:val="20"/>
        <w:szCs w:val="22"/>
        <w:rtl/>
        <w:lang w:bidi="ar-LB"/>
      </w:rPr>
      <w:t>تعد</w:t>
    </w:r>
    <w:r w:rsidRPr="00C73F02">
      <w:rPr>
        <w:rFonts w:cs="Ya-Ali"/>
        <w:i/>
        <w:iCs/>
        <w:sz w:val="20"/>
        <w:szCs w:val="22"/>
        <w:rtl/>
        <w:lang w:bidi="ar-LB"/>
      </w:rPr>
      <w:t>د الزوجات في الإسلام بين الر</w:t>
    </w:r>
    <w:r>
      <w:rPr>
        <w:rFonts w:cs="Ya-Ali" w:hint="cs"/>
        <w:i/>
        <w:iCs/>
        <w:sz w:val="20"/>
        <w:szCs w:val="22"/>
        <w:rtl/>
        <w:lang w:bidi="ar-LB"/>
      </w:rPr>
      <w:t>اجح</w:t>
    </w:r>
    <w:r w:rsidRPr="00C73F02">
      <w:rPr>
        <w:rFonts w:cs="Ya-Ali"/>
        <w:i/>
        <w:iCs/>
        <w:sz w:val="20"/>
        <w:szCs w:val="22"/>
        <w:rtl/>
        <w:lang w:bidi="ar-LB"/>
      </w:rPr>
      <w:t xml:space="preserve"> والمرجوح، دراسة</w:t>
    </w:r>
    <w:r>
      <w:rPr>
        <w:rFonts w:cs="Ya-Ali"/>
        <w:i/>
        <w:iCs/>
        <w:sz w:val="20"/>
        <w:szCs w:val="22"/>
        <w:rtl/>
        <w:lang w:bidi="ar-LB"/>
      </w:rPr>
      <w:t xml:space="preserve"> فقهية استدلال</w:t>
    </w:r>
    <w:r>
      <w:rPr>
        <w:rFonts w:cs="Ya-Ali" w:hint="cs"/>
        <w:i/>
        <w:iCs/>
        <w:sz w:val="20"/>
        <w:szCs w:val="22"/>
        <w:rtl/>
        <w:lang w:bidi="ar-LB"/>
      </w:rPr>
      <w:t>ي</w:t>
    </w:r>
    <w:r w:rsidRPr="00C73F02">
      <w:rPr>
        <w:rFonts w:cs="Ya-Ali"/>
        <w:i/>
        <w:iCs/>
        <w:sz w:val="20"/>
        <w:szCs w:val="22"/>
        <w:rtl/>
        <w:lang w:bidi="ar-LB"/>
      </w:rPr>
      <w:t>ة</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 xml:space="preserve">الشيخ عيسى محسني / </w:t>
    </w:r>
    <w:r w:rsidRPr="00954A9E">
      <w:rPr>
        <w:rFonts w:cs="Ya-Ali" w:hint="cs"/>
        <w:i/>
        <w:iCs/>
        <w:sz w:val="24"/>
        <w:szCs w:val="24"/>
        <w:rtl/>
      </w:rPr>
      <w:t xml:space="preserve">د. </w:t>
    </w:r>
    <w:r w:rsidRPr="00954A9E">
      <w:rPr>
        <w:rFonts w:cs="Ya-Ali"/>
        <w:i/>
        <w:iCs/>
        <w:sz w:val="24"/>
        <w:szCs w:val="24"/>
        <w:rtl/>
      </w:rPr>
      <w:t>الشيخ محمد هادي المنصوري</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DC57D5">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DC57D5">
      <w:rPr>
        <w:rFonts w:cs="Ya-Ali" w:hint="cs"/>
        <w:i/>
        <w:iCs/>
        <w:sz w:val="22"/>
        <w:szCs w:val="22"/>
        <w:rtl/>
      </w:rPr>
      <w:t>التوقيفية في ترتيب الآيات القرآنية، قراءة نقدية في نظرية الطباطبائي</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Default="00C14EDE">
    <w:pPr>
      <w:pStyle w:val="af4"/>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Pr>
        <w:rFonts w:cs="Ya-Ali" w:hint="cs"/>
        <w:sz w:val="24"/>
        <w:szCs w:val="24"/>
        <w:rtl/>
      </w:rPr>
      <w:t xml:space="preserve"> </w:t>
    </w:r>
    <w:r w:rsidRPr="002766BB">
      <w:rPr>
        <w:rFonts w:cs="Ya-Ali" w:hint="cs"/>
        <w:sz w:val="24"/>
        <w:szCs w:val="24"/>
        <w:rtl/>
      </w:rPr>
      <w:t xml:space="preserve"> </w:t>
    </w:r>
    <w:r>
      <w:rPr>
        <w:rFonts w:cs="Ya-Ali" w:hint="cs"/>
        <w:i/>
        <w:iCs/>
        <w:sz w:val="24"/>
        <w:szCs w:val="24"/>
        <w:rtl/>
      </w:rPr>
      <w:t>أ. نبيل علي صالح</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60627D">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DE5F16">
      <w:rPr>
        <w:rFonts w:cs="Ya-Ali"/>
        <w:i/>
        <w:iCs/>
        <w:sz w:val="20"/>
        <w:szCs w:val="20"/>
        <w:rtl/>
      </w:rPr>
      <w:t>الجانب العلمي والتربوي</w:t>
    </w:r>
    <w:r w:rsidRPr="00DE5F16">
      <w:rPr>
        <w:rFonts w:cs="Ya-Ali" w:hint="cs"/>
        <w:i/>
        <w:iCs/>
        <w:sz w:val="20"/>
        <w:szCs w:val="20"/>
        <w:rtl/>
      </w:rPr>
      <w:t xml:space="preserve"> </w:t>
    </w:r>
    <w:r w:rsidRPr="00DE5F16">
      <w:rPr>
        <w:rFonts w:cs="Ya-Ali"/>
        <w:i/>
        <w:iCs/>
        <w:sz w:val="20"/>
        <w:szCs w:val="20"/>
        <w:rtl/>
      </w:rPr>
      <w:t>في حياة الإمام</w:t>
    </w:r>
    <w:r w:rsidRPr="00DE5F16">
      <w:rPr>
        <w:rFonts w:cs="Ya-Ali" w:hint="cs"/>
        <w:i/>
        <w:iCs/>
        <w:sz w:val="20"/>
        <w:szCs w:val="20"/>
        <w:rtl/>
      </w:rPr>
      <w:t xml:space="preserve"> علي بن موسى</w:t>
    </w:r>
    <w:r w:rsidRPr="00DE5F16">
      <w:rPr>
        <w:rFonts w:cs="Ya-Ali"/>
        <w:i/>
        <w:iCs/>
        <w:sz w:val="20"/>
        <w:szCs w:val="20"/>
        <w:rtl/>
      </w:rPr>
      <w:t xml:space="preserve"> الرضا</w:t>
    </w:r>
    <w:r w:rsidRPr="0060627D">
      <w:rPr>
        <w:rFonts w:ascii="Simplified Arabic" w:hAnsi="Simplified Arabic" w:cs="Mosawi"/>
        <w:bCs/>
        <w:i/>
        <w:iCs/>
        <w:sz w:val="14"/>
        <w:szCs w:val="14"/>
        <w:rtl/>
      </w:rPr>
      <w:t>×</w:t>
    </w:r>
    <w:r w:rsidRPr="00DE5F16">
      <w:rPr>
        <w:rFonts w:cs="Ya-Ali" w:hint="cs"/>
        <w:i/>
        <w:iCs/>
        <w:sz w:val="20"/>
        <w:szCs w:val="20"/>
        <w:rtl/>
      </w:rPr>
      <w:t>، مقاربة فكرية في التاريخ والمعاصرة</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الشيخ خالد الغفوري الحسني</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A92545">
    <w:pPr>
      <w:pStyle w:val="af5"/>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A92545">
      <w:rPr>
        <w:rFonts w:cs="Ya-Ali" w:hint="cs"/>
        <w:i/>
        <w:iCs/>
        <w:sz w:val="20"/>
        <w:szCs w:val="22"/>
        <w:rtl/>
      </w:rPr>
      <w:t>الملكيّة</w:t>
    </w:r>
    <w:r w:rsidRPr="00A92545">
      <w:rPr>
        <w:rFonts w:cs="Ya-Ali" w:hint="cs"/>
        <w:i/>
        <w:iCs/>
        <w:sz w:val="20"/>
        <w:szCs w:val="22"/>
        <w:rtl/>
        <w:lang w:bidi="ar-IQ"/>
      </w:rPr>
      <w:t xml:space="preserve"> وأسبابها </w:t>
    </w:r>
    <w:r w:rsidRPr="00A92545">
      <w:rPr>
        <w:rFonts w:cs="Ya-Ali" w:hint="cs"/>
        <w:i/>
        <w:iCs/>
        <w:sz w:val="20"/>
        <w:szCs w:val="22"/>
        <w:rtl/>
      </w:rPr>
      <w:t xml:space="preserve">في الفقه الإسلاميّ، </w:t>
    </w:r>
    <w:r w:rsidRPr="00A92545">
      <w:rPr>
        <w:rFonts w:cs="Ya-Ali" w:hint="cs"/>
        <w:i/>
        <w:iCs/>
        <w:sz w:val="20"/>
        <w:szCs w:val="22"/>
        <w:rtl/>
        <w:lang w:bidi="ar-IQ"/>
      </w:rPr>
      <w:t xml:space="preserve">عرْضٌ وتحليل </w:t>
    </w:r>
    <w:r w:rsidRPr="00A92545">
      <w:rPr>
        <w:rFonts w:cs="Ya-Ali" w:hint="cs"/>
        <w:i/>
        <w:iCs/>
        <w:sz w:val="20"/>
        <w:szCs w:val="22"/>
        <w:rtl/>
      </w:rPr>
      <w:t>/ القسم الثاني</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5"/>
      <w:spacing w:after="240" w:line="200" w:lineRule="exact"/>
      <w:ind w:firstLine="0"/>
      <w:rPr>
        <w:rtl/>
      </w:rPr>
    </w:pPr>
    <w:r w:rsidRPr="00E52AD4">
      <w:rPr>
        <w:rFonts w:cs="Ya-Ali"/>
        <w:sz w:val="24"/>
        <w:szCs w:val="24"/>
        <w:rtl/>
      </w:rPr>
      <w:t>•</w:t>
    </w:r>
    <w:r w:rsidRPr="00DC6248">
      <w:rPr>
        <w:rFonts w:cs="Ya-Ali" w:hint="cs"/>
        <w:sz w:val="24"/>
        <w:szCs w:val="24"/>
        <w:rtl/>
      </w:rPr>
      <w:t xml:space="preserve"> </w:t>
    </w:r>
    <w:r w:rsidRPr="00292BB8">
      <w:rPr>
        <w:rFonts w:cs="Ya-Ali" w:hint="cs"/>
        <w:i/>
        <w:iCs/>
        <w:sz w:val="24"/>
        <w:szCs w:val="24"/>
        <w:rtl/>
      </w:rPr>
      <w:t xml:space="preserve">الشيخ صادق </w:t>
    </w:r>
    <w:r>
      <w:rPr>
        <w:rFonts w:cs="Ya-Ali" w:hint="cs"/>
        <w:i/>
        <w:iCs/>
        <w:sz w:val="24"/>
        <w:szCs w:val="24"/>
        <w:rtl/>
      </w:rPr>
      <w:t>ال</w:t>
    </w:r>
    <w:r w:rsidRPr="00292BB8">
      <w:rPr>
        <w:rFonts w:cs="Ya-Ali" w:hint="cs"/>
        <w:i/>
        <w:iCs/>
        <w:sz w:val="24"/>
        <w:szCs w:val="24"/>
        <w:rtl/>
      </w:rPr>
      <w:t xml:space="preserve">لاريجاني، بقلم: </w:t>
    </w:r>
    <w:r>
      <w:rPr>
        <w:rFonts w:cs="Ya-Ali" w:hint="cs"/>
        <w:i/>
        <w:iCs/>
        <w:sz w:val="24"/>
        <w:szCs w:val="24"/>
        <w:rtl/>
      </w:rPr>
      <w:t>الشيخ محمد حسن القمي</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B36040">
    <w:pPr>
      <w:pStyle w:val="af5"/>
      <w:spacing w:after="240" w:line="200" w:lineRule="exact"/>
      <w:ind w:firstLine="0"/>
      <w:rPr>
        <w:rtl/>
      </w:rPr>
    </w:pPr>
    <w:r w:rsidRPr="002766BB">
      <w:rPr>
        <w:rFonts w:cs="Ya-Ali"/>
        <w:sz w:val="24"/>
        <w:szCs w:val="24"/>
        <w:rtl/>
      </w:rPr>
      <w:t>•</w:t>
    </w:r>
    <w:r>
      <w:rPr>
        <w:rFonts w:cs="Ya-Ali" w:hint="cs"/>
        <w:sz w:val="24"/>
        <w:szCs w:val="24"/>
        <w:rtl/>
      </w:rPr>
      <w:t xml:space="preserve"> </w:t>
    </w:r>
    <w:r w:rsidRPr="002766BB">
      <w:rPr>
        <w:rFonts w:cs="Ya-Ali" w:hint="cs"/>
        <w:sz w:val="24"/>
        <w:szCs w:val="24"/>
        <w:rtl/>
      </w:rPr>
      <w:t xml:space="preserve"> </w:t>
    </w:r>
    <w:r>
      <w:rPr>
        <w:rFonts w:cs="Ya-Ali" w:hint="cs"/>
        <w:i/>
        <w:iCs/>
        <w:sz w:val="24"/>
        <w:szCs w:val="24"/>
        <w:rtl/>
      </w:rPr>
      <w:t>أ. حسين هشام يعقوب</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2647C9" w:rsidRDefault="00C14EDE" w:rsidP="00B16272">
    <w:pPr>
      <w:pStyle w:val="af5"/>
      <w:spacing w:after="240" w:line="200" w:lineRule="exact"/>
      <w:ind w:firstLine="0"/>
      <w:jc w:val="right"/>
      <w:rPr>
        <w:rFonts w:cs="Ya-Ali"/>
        <w:i/>
        <w:iCs/>
        <w:rtl/>
      </w:rPr>
    </w:pPr>
    <w:r w:rsidRPr="002766BB">
      <w:rPr>
        <w:rFonts w:cs="Ya-Ali"/>
        <w:sz w:val="22"/>
        <w:szCs w:val="22"/>
        <w:rtl/>
      </w:rPr>
      <w:t>•</w:t>
    </w:r>
    <w:r>
      <w:rPr>
        <w:rFonts w:cs="Ya-Ali" w:hint="cs"/>
        <w:sz w:val="22"/>
        <w:szCs w:val="22"/>
        <w:rtl/>
      </w:rPr>
      <w:t xml:space="preserve"> </w:t>
    </w:r>
    <w:r w:rsidRPr="001327B4">
      <w:rPr>
        <w:rFonts w:cs="Ya-Ali" w:hint="cs"/>
        <w:i/>
        <w:iCs/>
        <w:sz w:val="22"/>
        <w:szCs w:val="22"/>
        <w:rtl/>
      </w:rPr>
      <w:t>(</w:t>
    </w:r>
    <w:r>
      <w:rPr>
        <w:rFonts w:cs="Ya-Ali" w:hint="cs"/>
        <w:i/>
        <w:iCs/>
        <w:sz w:val="22"/>
        <w:szCs w:val="22"/>
        <w:rtl/>
      </w:rPr>
      <w:t>الأسس المنطقي</w:t>
    </w:r>
    <w:r w:rsidRPr="001327B4">
      <w:rPr>
        <w:rFonts w:cs="Ya-Ali" w:hint="cs"/>
        <w:i/>
        <w:iCs/>
        <w:sz w:val="22"/>
        <w:szCs w:val="22"/>
        <w:rtl/>
      </w:rPr>
      <w:t xml:space="preserve">ة للاستقراء) في الميزان، </w:t>
    </w:r>
    <w:r>
      <w:rPr>
        <w:rFonts w:cs="Ya-Ali" w:hint="cs"/>
        <w:i/>
        <w:iCs/>
        <w:sz w:val="22"/>
        <w:szCs w:val="22"/>
        <w:rtl/>
      </w:rPr>
      <w:t>عرض ومناقشة</w:t>
    </w:r>
    <w:r w:rsidRPr="001327B4">
      <w:rPr>
        <w:rFonts w:cs="Ya-Ali" w:hint="cs"/>
        <w:i/>
        <w:iCs/>
        <w:sz w:val="22"/>
        <w:szCs w:val="22"/>
        <w:rtl/>
      </w:rPr>
      <w:t xml:space="preserve"> لنقد الشيخ أيمن المصري</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DE" w:rsidRPr="00D1080C" w:rsidRDefault="00C14EDE" w:rsidP="00D1080C">
    <w:pPr>
      <w:pStyle w:val="af4"/>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017050FF"/>
    <w:multiLevelType w:val="singleLevel"/>
    <w:tmpl w:val="1A7C4B66"/>
    <w:lvl w:ilvl="0">
      <w:start w:val="1"/>
      <w:numFmt w:val="bullet"/>
      <w:lvlText w:val=""/>
      <w:lvlJc w:val="left"/>
      <w:pPr>
        <w:tabs>
          <w:tab w:val="num" w:pos="360"/>
        </w:tabs>
        <w:ind w:left="360" w:right="360" w:hanging="360"/>
      </w:pPr>
      <w:rPr>
        <w:rFonts w:ascii="Symbol" w:hAnsi="Symbol" w:hint="default"/>
        <w:b w:val="0"/>
        <w:sz w:val="28"/>
      </w:rPr>
    </w:lvl>
  </w:abstractNum>
  <w:abstractNum w:abstractNumId="10">
    <w:nsid w:val="13D44DF3"/>
    <w:multiLevelType w:val="multilevel"/>
    <w:tmpl w:val="4A82B29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right="1440" w:hanging="360"/>
      </w:pPr>
      <w:rPr>
        <w:rFonts w:ascii="Courier New" w:hAnsi="Courier New" w:hint="default"/>
      </w:rPr>
    </w:lvl>
    <w:lvl w:ilvl="2" w:tentative="1">
      <w:start w:val="1"/>
      <w:numFmt w:val="bullet"/>
      <w:lvlText w:val=""/>
      <w:lvlJc w:val="left"/>
      <w:pPr>
        <w:tabs>
          <w:tab w:val="num" w:pos="2160"/>
        </w:tabs>
        <w:ind w:left="2160" w:right="2160" w:hanging="360"/>
      </w:pPr>
      <w:rPr>
        <w:rFonts w:ascii="Wingdings" w:hAnsi="Wingdings" w:hint="default"/>
      </w:rPr>
    </w:lvl>
    <w:lvl w:ilvl="3" w:tentative="1">
      <w:start w:val="1"/>
      <w:numFmt w:val="bullet"/>
      <w:lvlText w:val=""/>
      <w:lvlJc w:val="left"/>
      <w:pPr>
        <w:tabs>
          <w:tab w:val="num" w:pos="2880"/>
        </w:tabs>
        <w:ind w:left="2880" w:right="2880" w:hanging="360"/>
      </w:pPr>
      <w:rPr>
        <w:rFonts w:ascii="Symbol" w:hAnsi="Symbol" w:hint="default"/>
      </w:rPr>
    </w:lvl>
    <w:lvl w:ilvl="4" w:tentative="1">
      <w:start w:val="1"/>
      <w:numFmt w:val="bullet"/>
      <w:lvlText w:val="o"/>
      <w:lvlJc w:val="left"/>
      <w:pPr>
        <w:tabs>
          <w:tab w:val="num" w:pos="3600"/>
        </w:tabs>
        <w:ind w:left="3600" w:right="3600" w:hanging="360"/>
      </w:pPr>
      <w:rPr>
        <w:rFonts w:ascii="Courier New" w:hAnsi="Courier New" w:hint="default"/>
      </w:rPr>
    </w:lvl>
    <w:lvl w:ilvl="5" w:tentative="1">
      <w:start w:val="1"/>
      <w:numFmt w:val="bullet"/>
      <w:lvlText w:val=""/>
      <w:lvlJc w:val="left"/>
      <w:pPr>
        <w:tabs>
          <w:tab w:val="num" w:pos="4320"/>
        </w:tabs>
        <w:ind w:left="4320" w:right="4320" w:hanging="360"/>
      </w:pPr>
      <w:rPr>
        <w:rFonts w:ascii="Wingdings" w:hAnsi="Wingdings" w:hint="default"/>
      </w:rPr>
    </w:lvl>
    <w:lvl w:ilvl="6" w:tentative="1">
      <w:start w:val="1"/>
      <w:numFmt w:val="bullet"/>
      <w:lvlText w:val=""/>
      <w:lvlJc w:val="left"/>
      <w:pPr>
        <w:tabs>
          <w:tab w:val="num" w:pos="5040"/>
        </w:tabs>
        <w:ind w:left="5040" w:right="5040" w:hanging="360"/>
      </w:pPr>
      <w:rPr>
        <w:rFonts w:ascii="Symbol" w:hAnsi="Symbol" w:hint="default"/>
      </w:rPr>
    </w:lvl>
    <w:lvl w:ilvl="7" w:tentative="1">
      <w:start w:val="1"/>
      <w:numFmt w:val="bullet"/>
      <w:lvlText w:val="o"/>
      <w:lvlJc w:val="left"/>
      <w:pPr>
        <w:tabs>
          <w:tab w:val="num" w:pos="5760"/>
        </w:tabs>
        <w:ind w:left="5760" w:right="5760" w:hanging="360"/>
      </w:pPr>
      <w:rPr>
        <w:rFonts w:ascii="Courier New" w:hAnsi="Courier New" w:hint="default"/>
      </w:rPr>
    </w:lvl>
    <w:lvl w:ilvl="8" w:tentative="1">
      <w:start w:val="1"/>
      <w:numFmt w:val="bullet"/>
      <w:lvlText w:val=""/>
      <w:lvlJc w:val="left"/>
      <w:pPr>
        <w:tabs>
          <w:tab w:val="num" w:pos="6480"/>
        </w:tabs>
        <w:ind w:left="6480" w:right="6480" w:hanging="360"/>
      </w:pPr>
      <w:rPr>
        <w:rFonts w:ascii="Wingdings" w:hAnsi="Wingdings" w:hint="default"/>
      </w:rPr>
    </w:lvl>
  </w:abstractNum>
  <w:abstractNum w:abstractNumId="11">
    <w:nsid w:val="1A3A654C"/>
    <w:multiLevelType w:val="multilevel"/>
    <w:tmpl w:val="9134E892"/>
    <w:styleLink w:val="fgdsgfdfd"/>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2">
    <w:nsid w:val="20F04948"/>
    <w:multiLevelType w:val="multilevel"/>
    <w:tmpl w:val="5CF484C2"/>
    <w:styleLink w:val="a1"/>
    <w:lvl w:ilvl="0">
      <w:start w:val="1"/>
      <w:numFmt w:val="arabicAbjad"/>
      <w:lvlText w:val="%1)"/>
      <w:lvlJc w:val="center"/>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3">
    <w:nsid w:val="29BE2643"/>
    <w:multiLevelType w:val="hybridMultilevel"/>
    <w:tmpl w:val="20746854"/>
    <w:lvl w:ilvl="0" w:tplc="5CB63C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A524F2"/>
    <w:multiLevelType w:val="multilevel"/>
    <w:tmpl w:val="2CFC3300"/>
    <w:styleLink w:val="ggsdfkfgsdgg"/>
    <w:lvl w:ilvl="0">
      <w:start w:val="1"/>
      <w:numFmt w:val="bullet"/>
      <w:lvlText w:val=""/>
      <w:lvlJc w:val="left"/>
      <w:pPr>
        <w:ind w:left="851" w:hanging="369"/>
      </w:pPr>
      <w:rPr>
        <w:rFonts w:ascii="Symbol" w:hAnsi="Symbol"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5">
    <w:nsid w:val="2CC944B4"/>
    <w:multiLevelType w:val="multilevel"/>
    <w:tmpl w:val="15166276"/>
    <w:styleLink w:val="ArticleSection1"/>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6">
    <w:nsid w:val="2D392F24"/>
    <w:multiLevelType w:val="multilevel"/>
    <w:tmpl w:val="E88E3DB6"/>
    <w:styleLink w:val="a2"/>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7">
    <w:nsid w:val="2EFE767B"/>
    <w:multiLevelType w:val="hybridMultilevel"/>
    <w:tmpl w:val="F8884120"/>
    <w:lvl w:ilvl="0" w:tplc="DDDCE970">
      <w:numFmt w:val="none"/>
      <w:pStyle w:val="a3"/>
      <w:lvlText w:val=""/>
      <w:lvlJc w:val="left"/>
      <w:pPr>
        <w:tabs>
          <w:tab w:val="num" w:pos="360"/>
        </w:tabs>
      </w:pPr>
    </w:lvl>
    <w:lvl w:ilvl="1" w:tplc="054811FE">
      <w:start w:val="1"/>
      <w:numFmt w:val="lowerLetter"/>
      <w:lvlText w:val="%2."/>
      <w:lvlJc w:val="left"/>
      <w:pPr>
        <w:ind w:left="1724" w:hanging="360"/>
      </w:pPr>
      <w:rPr>
        <w:rFonts w:cs="Times New Roman"/>
      </w:rPr>
    </w:lvl>
    <w:lvl w:ilvl="2" w:tplc="BD1EC614">
      <w:start w:val="1"/>
      <w:numFmt w:val="lowerRoman"/>
      <w:lvlText w:val="%3."/>
      <w:lvlJc w:val="right"/>
      <w:pPr>
        <w:ind w:left="2444" w:hanging="180"/>
      </w:pPr>
      <w:rPr>
        <w:rFonts w:cs="Times New Roman"/>
      </w:rPr>
    </w:lvl>
    <w:lvl w:ilvl="3" w:tplc="885EE5DA">
      <w:start w:val="1"/>
      <w:numFmt w:val="decimal"/>
      <w:lvlText w:val="%4."/>
      <w:lvlJc w:val="left"/>
      <w:pPr>
        <w:ind w:left="3164" w:hanging="360"/>
      </w:pPr>
      <w:rPr>
        <w:rFonts w:cs="Times New Roman"/>
      </w:rPr>
    </w:lvl>
    <w:lvl w:ilvl="4" w:tplc="9EA6B4E2">
      <w:start w:val="1"/>
      <w:numFmt w:val="lowerLetter"/>
      <w:lvlText w:val="%5."/>
      <w:lvlJc w:val="left"/>
      <w:pPr>
        <w:ind w:left="3884" w:hanging="360"/>
      </w:pPr>
      <w:rPr>
        <w:rFonts w:cs="Times New Roman"/>
      </w:rPr>
    </w:lvl>
    <w:lvl w:ilvl="5" w:tplc="F1ECB2F0">
      <w:start w:val="1"/>
      <w:numFmt w:val="lowerRoman"/>
      <w:lvlText w:val="%6."/>
      <w:lvlJc w:val="right"/>
      <w:pPr>
        <w:ind w:left="4604" w:hanging="180"/>
      </w:pPr>
      <w:rPr>
        <w:rFonts w:cs="Times New Roman"/>
      </w:rPr>
    </w:lvl>
    <w:lvl w:ilvl="6" w:tplc="32E60E6C">
      <w:start w:val="1"/>
      <w:numFmt w:val="decimal"/>
      <w:lvlText w:val="%7."/>
      <w:lvlJc w:val="left"/>
      <w:pPr>
        <w:ind w:left="5324" w:hanging="360"/>
      </w:pPr>
      <w:rPr>
        <w:rFonts w:cs="Times New Roman"/>
      </w:rPr>
    </w:lvl>
    <w:lvl w:ilvl="7" w:tplc="BD4A44C4">
      <w:start w:val="1"/>
      <w:numFmt w:val="lowerLetter"/>
      <w:lvlText w:val="%8."/>
      <w:lvlJc w:val="left"/>
      <w:pPr>
        <w:ind w:left="6044" w:hanging="360"/>
      </w:pPr>
      <w:rPr>
        <w:rFonts w:cs="Times New Roman"/>
      </w:rPr>
    </w:lvl>
    <w:lvl w:ilvl="8" w:tplc="A84874C4">
      <w:start w:val="1"/>
      <w:numFmt w:val="lowerRoman"/>
      <w:lvlText w:val="%9."/>
      <w:lvlJc w:val="right"/>
      <w:pPr>
        <w:ind w:left="6764" w:hanging="180"/>
      </w:pPr>
      <w:rPr>
        <w:rFonts w:cs="Times New Roman"/>
      </w:rPr>
    </w:lvl>
  </w:abstractNum>
  <w:abstractNum w:abstractNumId="18">
    <w:nsid w:val="31FA0D8A"/>
    <w:multiLevelType w:val="hybridMultilevel"/>
    <w:tmpl w:val="C8B44F50"/>
    <w:lvl w:ilvl="0" w:tplc="9F366944">
      <w:start w:val="1"/>
      <w:numFmt w:val="bullet"/>
      <w:pStyle w:val="1"/>
      <w:lvlText w:val=""/>
      <w:lvlJc w:val="left"/>
      <w:pPr>
        <w:ind w:left="36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002E36"/>
    <w:multiLevelType w:val="multilevel"/>
    <w:tmpl w:val="04090023"/>
    <w:styleLink w:val="a4"/>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0">
    <w:nsid w:val="39A76D46"/>
    <w:multiLevelType w:val="multilevel"/>
    <w:tmpl w:val="BDE45AA2"/>
    <w:styleLink w:val="a5"/>
    <w:lvl w:ilvl="0">
      <w:start w:val="1"/>
      <w:numFmt w:val="bullet"/>
      <w:lvlText w:val=""/>
      <w:lvlJc w:val="left"/>
      <w:pPr>
        <w:ind w:left="851" w:hanging="284"/>
      </w:pPr>
      <w:rPr>
        <w:rFonts w:ascii="Wingdings" w:hAnsi="Wingdings"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21">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2">
    <w:nsid w:val="44AB0669"/>
    <w:multiLevelType w:val="multilevel"/>
    <w:tmpl w:val="8684D71E"/>
    <w:styleLink w:val="a6"/>
    <w:lvl w:ilvl="0">
      <w:start w:val="1"/>
      <w:numFmt w:val="bullet"/>
      <w:lvlText w:val=""/>
      <w:lvlJc w:val="left"/>
      <w:pPr>
        <w:ind w:left="624" w:hanging="454"/>
      </w:pPr>
      <w:rPr>
        <w:rFonts w:ascii="Symbol" w:hAnsi="Symbol" w:hint="default"/>
        <w:color w:val="auto"/>
        <w:sz w:val="28"/>
      </w:rPr>
    </w:lvl>
    <w:lvl w:ilvl="1">
      <w:start w:val="1"/>
      <w:numFmt w:val="lowerLetter"/>
      <w:lvlText w:val="%2)"/>
      <w:lvlJc w:val="left"/>
      <w:pPr>
        <w:ind w:left="1248" w:hanging="454"/>
      </w:pPr>
      <w:rPr>
        <w:rFonts w:cs="Times New Roman" w:hint="default"/>
      </w:rPr>
    </w:lvl>
    <w:lvl w:ilvl="2">
      <w:start w:val="1"/>
      <w:numFmt w:val="lowerRoman"/>
      <w:lvlText w:val="%3)"/>
      <w:lvlJc w:val="left"/>
      <w:pPr>
        <w:ind w:left="1872" w:hanging="454"/>
      </w:pPr>
      <w:rPr>
        <w:rFonts w:cs="Times New Roman" w:hint="default"/>
      </w:rPr>
    </w:lvl>
    <w:lvl w:ilvl="3">
      <w:start w:val="1"/>
      <w:numFmt w:val="decimal"/>
      <w:lvlText w:val="(%4)"/>
      <w:lvlJc w:val="left"/>
      <w:pPr>
        <w:ind w:left="2496" w:hanging="454"/>
      </w:pPr>
      <w:rPr>
        <w:rFonts w:cs="Times New Roman" w:hint="default"/>
      </w:rPr>
    </w:lvl>
    <w:lvl w:ilvl="4">
      <w:start w:val="1"/>
      <w:numFmt w:val="lowerLetter"/>
      <w:lvlText w:val="(%5)"/>
      <w:lvlJc w:val="left"/>
      <w:pPr>
        <w:ind w:left="3120" w:hanging="454"/>
      </w:pPr>
      <w:rPr>
        <w:rFonts w:cs="Times New Roman" w:hint="default"/>
      </w:rPr>
    </w:lvl>
    <w:lvl w:ilvl="5">
      <w:start w:val="1"/>
      <w:numFmt w:val="lowerRoman"/>
      <w:lvlText w:val="(%6)"/>
      <w:lvlJc w:val="left"/>
      <w:pPr>
        <w:ind w:left="3744" w:hanging="454"/>
      </w:pPr>
      <w:rPr>
        <w:rFonts w:cs="Times New Roman" w:hint="default"/>
      </w:rPr>
    </w:lvl>
    <w:lvl w:ilvl="6">
      <w:start w:val="1"/>
      <w:numFmt w:val="decimal"/>
      <w:lvlText w:val="%7."/>
      <w:lvlJc w:val="left"/>
      <w:pPr>
        <w:ind w:left="4368" w:hanging="454"/>
      </w:pPr>
      <w:rPr>
        <w:rFonts w:cs="Times New Roman" w:hint="default"/>
      </w:rPr>
    </w:lvl>
    <w:lvl w:ilvl="7">
      <w:start w:val="1"/>
      <w:numFmt w:val="lowerLetter"/>
      <w:lvlText w:val="%8."/>
      <w:lvlJc w:val="left"/>
      <w:pPr>
        <w:ind w:left="4992" w:hanging="454"/>
      </w:pPr>
      <w:rPr>
        <w:rFonts w:cs="Times New Roman" w:hint="default"/>
      </w:rPr>
    </w:lvl>
    <w:lvl w:ilvl="8">
      <w:start w:val="1"/>
      <w:numFmt w:val="lowerRoman"/>
      <w:lvlText w:val="%9."/>
      <w:lvlJc w:val="left"/>
      <w:pPr>
        <w:ind w:left="5616" w:hanging="454"/>
      </w:pPr>
      <w:rPr>
        <w:rFonts w:cs="Times New Roman" w:hint="default"/>
      </w:rPr>
    </w:lvl>
  </w:abstractNum>
  <w:abstractNum w:abstractNumId="23">
    <w:nsid w:val="45870606"/>
    <w:multiLevelType w:val="singleLevel"/>
    <w:tmpl w:val="8DB4C7EE"/>
    <w:lvl w:ilvl="0">
      <w:start w:val="2"/>
      <w:numFmt w:val="chosung"/>
      <w:lvlText w:val="-"/>
      <w:lvlJc w:val="left"/>
      <w:pPr>
        <w:tabs>
          <w:tab w:val="num" w:pos="360"/>
        </w:tabs>
        <w:ind w:left="360" w:right="360" w:hanging="360"/>
      </w:pPr>
      <w:rPr>
        <w:rFonts w:cs="Times New Roman" w:hint="default"/>
        <w:sz w:val="24"/>
      </w:rPr>
    </w:lvl>
  </w:abstractNum>
  <w:abstractNum w:abstractNumId="24">
    <w:nsid w:val="46CA653D"/>
    <w:multiLevelType w:val="multilevel"/>
    <w:tmpl w:val="C4244776"/>
    <w:styleLink w:val="a7"/>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5">
    <w:nsid w:val="542C6D34"/>
    <w:multiLevelType w:val="multilevel"/>
    <w:tmpl w:val="659CAFB8"/>
    <w:styleLink w:val="a8"/>
    <w:lvl w:ilvl="0">
      <w:start w:val="1"/>
      <w:numFmt w:val="arabicAbjad"/>
      <w:lvlText w:val="%1)"/>
      <w:lvlJc w:val="center"/>
      <w:pPr>
        <w:ind w:left="851" w:hanging="284"/>
      </w:pPr>
      <w:rPr>
        <w:rFonts w:cs="Times New Roman" w:hint="default"/>
        <w:szCs w:val="30"/>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26">
    <w:nsid w:val="57EC43DC"/>
    <w:multiLevelType w:val="multilevel"/>
    <w:tmpl w:val="0420BC82"/>
    <w:styleLink w:val="a9"/>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7">
    <w:nsid w:val="5A634BA6"/>
    <w:multiLevelType w:val="multilevel"/>
    <w:tmpl w:val="84484D08"/>
    <w:styleLink w:val="aa"/>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8">
    <w:nsid w:val="5A6B7C94"/>
    <w:multiLevelType w:val="multilevel"/>
    <w:tmpl w:val="90209216"/>
    <w:styleLink w:val="ab"/>
    <w:lvl w:ilvl="0">
      <w:start w:val="1"/>
      <w:numFmt w:val="bullet"/>
      <w:lvlText w:val=""/>
      <w:lvlJc w:val="left"/>
      <w:pPr>
        <w:ind w:left="624" w:hanging="340"/>
      </w:pPr>
      <w:rPr>
        <w:rFonts w:ascii="Wingdings" w:hAnsi="Wingdings"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9">
    <w:nsid w:val="61B82427"/>
    <w:multiLevelType w:val="multilevel"/>
    <w:tmpl w:val="CD3CF1C8"/>
    <w:styleLink w:val="ghf"/>
    <w:lvl w:ilvl="0">
      <w:start w:val="1"/>
      <w:numFmt w:val="bullet"/>
      <w:lvlText w:val=""/>
      <w:lvlJc w:val="left"/>
      <w:pPr>
        <w:ind w:left="624" w:hanging="426"/>
      </w:pPr>
      <w:rPr>
        <w:rFonts w:ascii="Wingdings" w:hAnsi="Wingdings"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abstractNum w:abstractNumId="30">
    <w:nsid w:val="62E94DDF"/>
    <w:multiLevelType w:val="hybridMultilevel"/>
    <w:tmpl w:val="4C723CB2"/>
    <w:lvl w:ilvl="0" w:tplc="853E246A">
      <w:numFmt w:val="bullet"/>
      <w:pStyle w:val="1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1">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1970683"/>
    <w:multiLevelType w:val="multilevel"/>
    <w:tmpl w:val="670213B2"/>
    <w:styleLink w:val="ac"/>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3">
    <w:nsid w:val="73636E8E"/>
    <w:multiLevelType w:val="multilevel"/>
    <w:tmpl w:val="FD4E40EC"/>
    <w:styleLink w:val="ad"/>
    <w:lvl w:ilvl="0">
      <w:start w:val="1"/>
      <w:numFmt w:val="bullet"/>
      <w:lvlText w:val=""/>
      <w:lvlJc w:val="left"/>
      <w:pPr>
        <w:ind w:left="851" w:hanging="284"/>
      </w:pPr>
      <w:rPr>
        <w:rFonts w:ascii="Symbol" w:hAnsi="Symbol"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4">
    <w:nsid w:val="774868AF"/>
    <w:multiLevelType w:val="multilevel"/>
    <w:tmpl w:val="18F4B74C"/>
    <w:styleLink w:val="jdhgdfjkghkdll"/>
    <w:lvl w:ilvl="0">
      <w:numFmt w:val="none"/>
      <w:lvlText w:val=""/>
      <w:lvlJc w:val="left"/>
      <w:pPr>
        <w:tabs>
          <w:tab w:val="num" w:pos="360"/>
        </w:tabs>
      </w:p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5">
    <w:nsid w:val="77D17205"/>
    <w:multiLevelType w:val="multilevel"/>
    <w:tmpl w:val="54DCF7B8"/>
    <w:styleLink w:val="gfdjkhjl"/>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36">
    <w:nsid w:val="79783D2A"/>
    <w:multiLevelType w:val="multilevel"/>
    <w:tmpl w:val="BA606B90"/>
    <w:styleLink w:val="hgfghfgkfj"/>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7">
    <w:nsid w:val="7F552A73"/>
    <w:multiLevelType w:val="multilevel"/>
    <w:tmpl w:val="0DE670A6"/>
    <w:styleLink w:val="ae"/>
    <w:lvl w:ilvl="0">
      <w:start w:val="1"/>
      <w:numFmt w:val="bullet"/>
      <w:lvlText w:val=""/>
      <w:lvlJc w:val="left"/>
      <w:pPr>
        <w:ind w:left="624" w:hanging="426"/>
      </w:pPr>
      <w:rPr>
        <w:rFonts w:ascii="Symbol" w:hAnsi="Symbol"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num w:numId="1">
    <w:abstractNumId w:val="21"/>
  </w:num>
  <w:num w:numId="2">
    <w:abstractNumId w:val="31"/>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9"/>
  </w:num>
  <w:num w:numId="13">
    <w:abstractNumId w:val="30"/>
  </w:num>
  <w:num w:numId="14">
    <w:abstractNumId w:val="32"/>
  </w:num>
  <w:num w:numId="15">
    <w:abstractNumId w:val="25"/>
  </w:num>
  <w:num w:numId="16">
    <w:abstractNumId w:val="12"/>
  </w:num>
  <w:num w:numId="17">
    <w:abstractNumId w:val="16"/>
  </w:num>
  <w:num w:numId="18">
    <w:abstractNumId w:val="34"/>
  </w:num>
  <w:num w:numId="19">
    <w:abstractNumId w:val="36"/>
  </w:num>
  <w:num w:numId="20">
    <w:abstractNumId w:val="22"/>
  </w:num>
  <w:num w:numId="21">
    <w:abstractNumId w:val="37"/>
  </w:num>
  <w:num w:numId="22">
    <w:abstractNumId w:val="14"/>
  </w:num>
  <w:num w:numId="23">
    <w:abstractNumId w:val="29"/>
  </w:num>
  <w:num w:numId="24">
    <w:abstractNumId w:val="35"/>
  </w:num>
  <w:num w:numId="25">
    <w:abstractNumId w:val="11"/>
  </w:num>
  <w:num w:numId="26">
    <w:abstractNumId w:val="26"/>
  </w:num>
  <w:num w:numId="27">
    <w:abstractNumId w:val="24"/>
  </w:num>
  <w:num w:numId="28">
    <w:abstractNumId w:val="28"/>
  </w:num>
  <w:num w:numId="29">
    <w:abstractNumId w:val="20"/>
  </w:num>
  <w:num w:numId="30">
    <w:abstractNumId w:val="27"/>
  </w:num>
  <w:num w:numId="31">
    <w:abstractNumId w:val="33"/>
  </w:num>
  <w:num w:numId="32">
    <w:abstractNumId w:val="15"/>
  </w:num>
  <w:num w:numId="33">
    <w:abstractNumId w:val="17"/>
  </w:num>
  <w:num w:numId="34">
    <w:abstractNumId w:val="13"/>
  </w:num>
  <w:num w:numId="35">
    <w:abstractNumId w:val="23"/>
  </w:num>
  <w:num w:numId="36">
    <w:abstractNumId w:val="9"/>
  </w:num>
  <w:num w:numId="37">
    <w:abstractNumId w:val="10"/>
  </w:num>
  <w:num w:numId="38">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179"/>
    <w:rsid w:val="00000866"/>
    <w:rsid w:val="00000A48"/>
    <w:rsid w:val="000017A6"/>
    <w:rsid w:val="00002BB6"/>
    <w:rsid w:val="00002FF3"/>
    <w:rsid w:val="00003919"/>
    <w:rsid w:val="00004100"/>
    <w:rsid w:val="000041B3"/>
    <w:rsid w:val="000046B7"/>
    <w:rsid w:val="00004A27"/>
    <w:rsid w:val="000058D5"/>
    <w:rsid w:val="00005DF7"/>
    <w:rsid w:val="000064AD"/>
    <w:rsid w:val="00006A7D"/>
    <w:rsid w:val="00007288"/>
    <w:rsid w:val="00007408"/>
    <w:rsid w:val="00007590"/>
    <w:rsid w:val="000100A3"/>
    <w:rsid w:val="000109A8"/>
    <w:rsid w:val="000133D6"/>
    <w:rsid w:val="00013475"/>
    <w:rsid w:val="0001388A"/>
    <w:rsid w:val="000138B0"/>
    <w:rsid w:val="00013D8D"/>
    <w:rsid w:val="00013F03"/>
    <w:rsid w:val="00014491"/>
    <w:rsid w:val="00014997"/>
    <w:rsid w:val="00015392"/>
    <w:rsid w:val="0001578E"/>
    <w:rsid w:val="00016D67"/>
    <w:rsid w:val="00020641"/>
    <w:rsid w:val="0002097C"/>
    <w:rsid w:val="0002200C"/>
    <w:rsid w:val="00022B07"/>
    <w:rsid w:val="0002343A"/>
    <w:rsid w:val="00023809"/>
    <w:rsid w:val="00024397"/>
    <w:rsid w:val="00024534"/>
    <w:rsid w:val="00025C66"/>
    <w:rsid w:val="00026357"/>
    <w:rsid w:val="00026413"/>
    <w:rsid w:val="000324CA"/>
    <w:rsid w:val="0003330A"/>
    <w:rsid w:val="000334F4"/>
    <w:rsid w:val="00033691"/>
    <w:rsid w:val="00034170"/>
    <w:rsid w:val="000349F9"/>
    <w:rsid w:val="00035A69"/>
    <w:rsid w:val="00035B24"/>
    <w:rsid w:val="00035DC8"/>
    <w:rsid w:val="00035FFF"/>
    <w:rsid w:val="000374A4"/>
    <w:rsid w:val="000378A2"/>
    <w:rsid w:val="000400A8"/>
    <w:rsid w:val="00040811"/>
    <w:rsid w:val="00040C6C"/>
    <w:rsid w:val="0004198E"/>
    <w:rsid w:val="00041FA0"/>
    <w:rsid w:val="00042C44"/>
    <w:rsid w:val="00043D46"/>
    <w:rsid w:val="00043E75"/>
    <w:rsid w:val="00044604"/>
    <w:rsid w:val="00044FEF"/>
    <w:rsid w:val="00045185"/>
    <w:rsid w:val="00046546"/>
    <w:rsid w:val="000468E6"/>
    <w:rsid w:val="00046EC1"/>
    <w:rsid w:val="000470CE"/>
    <w:rsid w:val="0005017E"/>
    <w:rsid w:val="00050510"/>
    <w:rsid w:val="00050B83"/>
    <w:rsid w:val="000510C9"/>
    <w:rsid w:val="00052797"/>
    <w:rsid w:val="00052A5D"/>
    <w:rsid w:val="00052B81"/>
    <w:rsid w:val="00053147"/>
    <w:rsid w:val="00053810"/>
    <w:rsid w:val="00053DD7"/>
    <w:rsid w:val="000543AE"/>
    <w:rsid w:val="000543E6"/>
    <w:rsid w:val="0005454B"/>
    <w:rsid w:val="0005574C"/>
    <w:rsid w:val="000557F6"/>
    <w:rsid w:val="00055868"/>
    <w:rsid w:val="00055BDD"/>
    <w:rsid w:val="00055BF6"/>
    <w:rsid w:val="00055DC4"/>
    <w:rsid w:val="000560BD"/>
    <w:rsid w:val="00056BFC"/>
    <w:rsid w:val="00057C9C"/>
    <w:rsid w:val="00060C41"/>
    <w:rsid w:val="0006118F"/>
    <w:rsid w:val="00062AE2"/>
    <w:rsid w:val="00062CA0"/>
    <w:rsid w:val="0006307E"/>
    <w:rsid w:val="000634D2"/>
    <w:rsid w:val="00064DBC"/>
    <w:rsid w:val="000651A7"/>
    <w:rsid w:val="0006689B"/>
    <w:rsid w:val="00066F31"/>
    <w:rsid w:val="00067953"/>
    <w:rsid w:val="000714FA"/>
    <w:rsid w:val="00071750"/>
    <w:rsid w:val="00072C15"/>
    <w:rsid w:val="00073B5B"/>
    <w:rsid w:val="000758B0"/>
    <w:rsid w:val="00075DE8"/>
    <w:rsid w:val="00076263"/>
    <w:rsid w:val="00076289"/>
    <w:rsid w:val="000764F7"/>
    <w:rsid w:val="00080373"/>
    <w:rsid w:val="0008289A"/>
    <w:rsid w:val="000828DA"/>
    <w:rsid w:val="00082D5E"/>
    <w:rsid w:val="00082D72"/>
    <w:rsid w:val="000832F9"/>
    <w:rsid w:val="000835AE"/>
    <w:rsid w:val="00083A9C"/>
    <w:rsid w:val="00084AB3"/>
    <w:rsid w:val="0008532C"/>
    <w:rsid w:val="00086003"/>
    <w:rsid w:val="00086CDA"/>
    <w:rsid w:val="00087603"/>
    <w:rsid w:val="0008790A"/>
    <w:rsid w:val="00087A80"/>
    <w:rsid w:val="00087CE0"/>
    <w:rsid w:val="00091240"/>
    <w:rsid w:val="00092C98"/>
    <w:rsid w:val="0009334C"/>
    <w:rsid w:val="000935CD"/>
    <w:rsid w:val="00093980"/>
    <w:rsid w:val="000950CE"/>
    <w:rsid w:val="00095501"/>
    <w:rsid w:val="00095A5D"/>
    <w:rsid w:val="00095C2D"/>
    <w:rsid w:val="00095F3A"/>
    <w:rsid w:val="00096D40"/>
    <w:rsid w:val="00096E20"/>
    <w:rsid w:val="000A03C7"/>
    <w:rsid w:val="000A06AB"/>
    <w:rsid w:val="000A06F3"/>
    <w:rsid w:val="000A0A1F"/>
    <w:rsid w:val="000A0DE2"/>
    <w:rsid w:val="000A1448"/>
    <w:rsid w:val="000A19EB"/>
    <w:rsid w:val="000A2FC7"/>
    <w:rsid w:val="000A4C35"/>
    <w:rsid w:val="000A5710"/>
    <w:rsid w:val="000A61C1"/>
    <w:rsid w:val="000A6656"/>
    <w:rsid w:val="000A6FA0"/>
    <w:rsid w:val="000A7133"/>
    <w:rsid w:val="000A7981"/>
    <w:rsid w:val="000B0CF9"/>
    <w:rsid w:val="000B16E4"/>
    <w:rsid w:val="000B2E3E"/>
    <w:rsid w:val="000B421F"/>
    <w:rsid w:val="000B4C57"/>
    <w:rsid w:val="000B50B2"/>
    <w:rsid w:val="000B5510"/>
    <w:rsid w:val="000B55A2"/>
    <w:rsid w:val="000B5897"/>
    <w:rsid w:val="000B5DA9"/>
    <w:rsid w:val="000B701D"/>
    <w:rsid w:val="000B73D5"/>
    <w:rsid w:val="000B7645"/>
    <w:rsid w:val="000B76A8"/>
    <w:rsid w:val="000C020E"/>
    <w:rsid w:val="000C1A22"/>
    <w:rsid w:val="000C1E30"/>
    <w:rsid w:val="000C21B6"/>
    <w:rsid w:val="000C3310"/>
    <w:rsid w:val="000C3B4F"/>
    <w:rsid w:val="000C3FCE"/>
    <w:rsid w:val="000C4638"/>
    <w:rsid w:val="000C51CA"/>
    <w:rsid w:val="000C7BF7"/>
    <w:rsid w:val="000C7E87"/>
    <w:rsid w:val="000D0123"/>
    <w:rsid w:val="000D11B4"/>
    <w:rsid w:val="000D1249"/>
    <w:rsid w:val="000D420E"/>
    <w:rsid w:val="000D4241"/>
    <w:rsid w:val="000D4A60"/>
    <w:rsid w:val="000D625E"/>
    <w:rsid w:val="000D6F79"/>
    <w:rsid w:val="000D728E"/>
    <w:rsid w:val="000D787F"/>
    <w:rsid w:val="000E00E7"/>
    <w:rsid w:val="000E05FC"/>
    <w:rsid w:val="000E1713"/>
    <w:rsid w:val="000E175D"/>
    <w:rsid w:val="000E1BA2"/>
    <w:rsid w:val="000E1D24"/>
    <w:rsid w:val="000E1FEB"/>
    <w:rsid w:val="000E20BC"/>
    <w:rsid w:val="000E2541"/>
    <w:rsid w:val="000E2D17"/>
    <w:rsid w:val="000E410E"/>
    <w:rsid w:val="000E53EB"/>
    <w:rsid w:val="000E604A"/>
    <w:rsid w:val="000E6564"/>
    <w:rsid w:val="000E77AF"/>
    <w:rsid w:val="000E7FCD"/>
    <w:rsid w:val="000F042F"/>
    <w:rsid w:val="000F0847"/>
    <w:rsid w:val="000F0A15"/>
    <w:rsid w:val="000F0B20"/>
    <w:rsid w:val="000F1961"/>
    <w:rsid w:val="000F2108"/>
    <w:rsid w:val="000F2F38"/>
    <w:rsid w:val="000F4DC6"/>
    <w:rsid w:val="000F7492"/>
    <w:rsid w:val="00101FE3"/>
    <w:rsid w:val="00103874"/>
    <w:rsid w:val="0010434A"/>
    <w:rsid w:val="001054E3"/>
    <w:rsid w:val="00106AA7"/>
    <w:rsid w:val="00107A4E"/>
    <w:rsid w:val="001100B1"/>
    <w:rsid w:val="001101BC"/>
    <w:rsid w:val="00110377"/>
    <w:rsid w:val="001112B1"/>
    <w:rsid w:val="00111400"/>
    <w:rsid w:val="00112558"/>
    <w:rsid w:val="001128F7"/>
    <w:rsid w:val="0011292D"/>
    <w:rsid w:val="0011464B"/>
    <w:rsid w:val="00115185"/>
    <w:rsid w:val="001153F1"/>
    <w:rsid w:val="00116444"/>
    <w:rsid w:val="001177DE"/>
    <w:rsid w:val="00117AF3"/>
    <w:rsid w:val="00117B42"/>
    <w:rsid w:val="00120A7A"/>
    <w:rsid w:val="00121520"/>
    <w:rsid w:val="00121725"/>
    <w:rsid w:val="00121E4C"/>
    <w:rsid w:val="00122316"/>
    <w:rsid w:val="0012299F"/>
    <w:rsid w:val="001229FB"/>
    <w:rsid w:val="001231FD"/>
    <w:rsid w:val="00123D7D"/>
    <w:rsid w:val="00123F98"/>
    <w:rsid w:val="0012503B"/>
    <w:rsid w:val="001253CF"/>
    <w:rsid w:val="00125994"/>
    <w:rsid w:val="0012599D"/>
    <w:rsid w:val="00125E50"/>
    <w:rsid w:val="00126133"/>
    <w:rsid w:val="00126D71"/>
    <w:rsid w:val="001272A6"/>
    <w:rsid w:val="0013098F"/>
    <w:rsid w:val="00131C42"/>
    <w:rsid w:val="00131F5B"/>
    <w:rsid w:val="00131FAE"/>
    <w:rsid w:val="00132016"/>
    <w:rsid w:val="0013218A"/>
    <w:rsid w:val="001327B4"/>
    <w:rsid w:val="001332DF"/>
    <w:rsid w:val="00133927"/>
    <w:rsid w:val="00134D60"/>
    <w:rsid w:val="0013503C"/>
    <w:rsid w:val="0013541F"/>
    <w:rsid w:val="001357F4"/>
    <w:rsid w:val="00136BCB"/>
    <w:rsid w:val="00142A7C"/>
    <w:rsid w:val="00142B32"/>
    <w:rsid w:val="00144C71"/>
    <w:rsid w:val="00145119"/>
    <w:rsid w:val="00145190"/>
    <w:rsid w:val="001455E8"/>
    <w:rsid w:val="00145807"/>
    <w:rsid w:val="00145E21"/>
    <w:rsid w:val="00146D9A"/>
    <w:rsid w:val="001475EA"/>
    <w:rsid w:val="00151142"/>
    <w:rsid w:val="00151781"/>
    <w:rsid w:val="001529EF"/>
    <w:rsid w:val="001537F4"/>
    <w:rsid w:val="00153954"/>
    <w:rsid w:val="00153C0A"/>
    <w:rsid w:val="00153FDD"/>
    <w:rsid w:val="00155324"/>
    <w:rsid w:val="0015540A"/>
    <w:rsid w:val="001567C2"/>
    <w:rsid w:val="00156EFE"/>
    <w:rsid w:val="00157154"/>
    <w:rsid w:val="00157703"/>
    <w:rsid w:val="00157A99"/>
    <w:rsid w:val="0016056E"/>
    <w:rsid w:val="00160A26"/>
    <w:rsid w:val="00163D5C"/>
    <w:rsid w:val="00163FD5"/>
    <w:rsid w:val="0016440C"/>
    <w:rsid w:val="001649C2"/>
    <w:rsid w:val="00164C9C"/>
    <w:rsid w:val="0016519B"/>
    <w:rsid w:val="00166165"/>
    <w:rsid w:val="001669DF"/>
    <w:rsid w:val="00167C39"/>
    <w:rsid w:val="00167C73"/>
    <w:rsid w:val="00170713"/>
    <w:rsid w:val="00170905"/>
    <w:rsid w:val="00170B86"/>
    <w:rsid w:val="0017156C"/>
    <w:rsid w:val="00171984"/>
    <w:rsid w:val="001731CA"/>
    <w:rsid w:val="00173495"/>
    <w:rsid w:val="00173765"/>
    <w:rsid w:val="00173FB4"/>
    <w:rsid w:val="001743CC"/>
    <w:rsid w:val="001743EF"/>
    <w:rsid w:val="0017456E"/>
    <w:rsid w:val="00176198"/>
    <w:rsid w:val="001775BC"/>
    <w:rsid w:val="001816E6"/>
    <w:rsid w:val="00181DBC"/>
    <w:rsid w:val="0018233D"/>
    <w:rsid w:val="0018253C"/>
    <w:rsid w:val="00182BC9"/>
    <w:rsid w:val="001835A7"/>
    <w:rsid w:val="00183CD0"/>
    <w:rsid w:val="001846EC"/>
    <w:rsid w:val="0018532F"/>
    <w:rsid w:val="00186251"/>
    <w:rsid w:val="00186B9F"/>
    <w:rsid w:val="00187207"/>
    <w:rsid w:val="001910FC"/>
    <w:rsid w:val="0019188A"/>
    <w:rsid w:val="00192740"/>
    <w:rsid w:val="00192C86"/>
    <w:rsid w:val="00193C5F"/>
    <w:rsid w:val="00194AB7"/>
    <w:rsid w:val="00195687"/>
    <w:rsid w:val="00195826"/>
    <w:rsid w:val="00195CF5"/>
    <w:rsid w:val="001A01E2"/>
    <w:rsid w:val="001A0AA4"/>
    <w:rsid w:val="001A159F"/>
    <w:rsid w:val="001A2D88"/>
    <w:rsid w:val="001A3D17"/>
    <w:rsid w:val="001A400E"/>
    <w:rsid w:val="001A427F"/>
    <w:rsid w:val="001A5C4B"/>
    <w:rsid w:val="001A61B4"/>
    <w:rsid w:val="001A6AB7"/>
    <w:rsid w:val="001A6BCF"/>
    <w:rsid w:val="001A72AA"/>
    <w:rsid w:val="001A7462"/>
    <w:rsid w:val="001A75E9"/>
    <w:rsid w:val="001A7BAC"/>
    <w:rsid w:val="001B033F"/>
    <w:rsid w:val="001B0857"/>
    <w:rsid w:val="001B22A6"/>
    <w:rsid w:val="001B2516"/>
    <w:rsid w:val="001B2E7A"/>
    <w:rsid w:val="001B34FC"/>
    <w:rsid w:val="001B38E0"/>
    <w:rsid w:val="001B3CEE"/>
    <w:rsid w:val="001B4093"/>
    <w:rsid w:val="001B4793"/>
    <w:rsid w:val="001B5082"/>
    <w:rsid w:val="001B574D"/>
    <w:rsid w:val="001B6070"/>
    <w:rsid w:val="001B658C"/>
    <w:rsid w:val="001B6F02"/>
    <w:rsid w:val="001B70B5"/>
    <w:rsid w:val="001B75D5"/>
    <w:rsid w:val="001B791E"/>
    <w:rsid w:val="001B79F7"/>
    <w:rsid w:val="001B7B9E"/>
    <w:rsid w:val="001C0831"/>
    <w:rsid w:val="001C1BD9"/>
    <w:rsid w:val="001C2EFD"/>
    <w:rsid w:val="001C2F1B"/>
    <w:rsid w:val="001C31B1"/>
    <w:rsid w:val="001C5184"/>
    <w:rsid w:val="001C7270"/>
    <w:rsid w:val="001C7D7E"/>
    <w:rsid w:val="001D1A88"/>
    <w:rsid w:val="001D2732"/>
    <w:rsid w:val="001D31C3"/>
    <w:rsid w:val="001D342C"/>
    <w:rsid w:val="001D4349"/>
    <w:rsid w:val="001D44EF"/>
    <w:rsid w:val="001D5788"/>
    <w:rsid w:val="001D5DAE"/>
    <w:rsid w:val="001D6BE3"/>
    <w:rsid w:val="001D72ED"/>
    <w:rsid w:val="001D7ADE"/>
    <w:rsid w:val="001D7E22"/>
    <w:rsid w:val="001E070D"/>
    <w:rsid w:val="001E0938"/>
    <w:rsid w:val="001E10F2"/>
    <w:rsid w:val="001E16D1"/>
    <w:rsid w:val="001E1961"/>
    <w:rsid w:val="001E1D5B"/>
    <w:rsid w:val="001E1F66"/>
    <w:rsid w:val="001E2155"/>
    <w:rsid w:val="001E264E"/>
    <w:rsid w:val="001E2B3C"/>
    <w:rsid w:val="001E3566"/>
    <w:rsid w:val="001E3F3A"/>
    <w:rsid w:val="001E43DB"/>
    <w:rsid w:val="001E59CA"/>
    <w:rsid w:val="001E5EE2"/>
    <w:rsid w:val="001E6772"/>
    <w:rsid w:val="001E6BD2"/>
    <w:rsid w:val="001E7359"/>
    <w:rsid w:val="001E791B"/>
    <w:rsid w:val="001F0276"/>
    <w:rsid w:val="001F07EA"/>
    <w:rsid w:val="001F1670"/>
    <w:rsid w:val="001F1F88"/>
    <w:rsid w:val="001F2848"/>
    <w:rsid w:val="001F2CB3"/>
    <w:rsid w:val="001F3703"/>
    <w:rsid w:val="001F47FE"/>
    <w:rsid w:val="001F50B8"/>
    <w:rsid w:val="001F548B"/>
    <w:rsid w:val="001F5BCE"/>
    <w:rsid w:val="001F631F"/>
    <w:rsid w:val="001F633C"/>
    <w:rsid w:val="001F6A7F"/>
    <w:rsid w:val="001F6C7E"/>
    <w:rsid w:val="001F6DD6"/>
    <w:rsid w:val="001F70A5"/>
    <w:rsid w:val="001F77A1"/>
    <w:rsid w:val="00200783"/>
    <w:rsid w:val="002008AD"/>
    <w:rsid w:val="00200DD0"/>
    <w:rsid w:val="00201736"/>
    <w:rsid w:val="00201813"/>
    <w:rsid w:val="00201D5B"/>
    <w:rsid w:val="002024FA"/>
    <w:rsid w:val="00202727"/>
    <w:rsid w:val="0020288C"/>
    <w:rsid w:val="00202DB8"/>
    <w:rsid w:val="00203A57"/>
    <w:rsid w:val="00204049"/>
    <w:rsid w:val="0020481A"/>
    <w:rsid w:val="00204D6E"/>
    <w:rsid w:val="00205E78"/>
    <w:rsid w:val="002063A2"/>
    <w:rsid w:val="00206C3B"/>
    <w:rsid w:val="0021031B"/>
    <w:rsid w:val="00210AAE"/>
    <w:rsid w:val="00211A6E"/>
    <w:rsid w:val="00213120"/>
    <w:rsid w:val="0021326E"/>
    <w:rsid w:val="002135E2"/>
    <w:rsid w:val="00213D3E"/>
    <w:rsid w:val="00213EF7"/>
    <w:rsid w:val="0021566B"/>
    <w:rsid w:val="00216144"/>
    <w:rsid w:val="00216752"/>
    <w:rsid w:val="00216A10"/>
    <w:rsid w:val="00216FF4"/>
    <w:rsid w:val="00217A2A"/>
    <w:rsid w:val="00220DC8"/>
    <w:rsid w:val="00220E25"/>
    <w:rsid w:val="0022361D"/>
    <w:rsid w:val="0022362A"/>
    <w:rsid w:val="0022527D"/>
    <w:rsid w:val="0022528D"/>
    <w:rsid w:val="002252F8"/>
    <w:rsid w:val="002257F8"/>
    <w:rsid w:val="00225A33"/>
    <w:rsid w:val="00225F4A"/>
    <w:rsid w:val="00226179"/>
    <w:rsid w:val="0022719E"/>
    <w:rsid w:val="00227413"/>
    <w:rsid w:val="00230C23"/>
    <w:rsid w:val="00230CBD"/>
    <w:rsid w:val="00231870"/>
    <w:rsid w:val="00231F0A"/>
    <w:rsid w:val="00232815"/>
    <w:rsid w:val="00232FFD"/>
    <w:rsid w:val="00233095"/>
    <w:rsid w:val="002355A9"/>
    <w:rsid w:val="00235615"/>
    <w:rsid w:val="00235851"/>
    <w:rsid w:val="002361D0"/>
    <w:rsid w:val="002372D0"/>
    <w:rsid w:val="0023744A"/>
    <w:rsid w:val="00237CF0"/>
    <w:rsid w:val="00243115"/>
    <w:rsid w:val="002437AB"/>
    <w:rsid w:val="002439AF"/>
    <w:rsid w:val="00243A31"/>
    <w:rsid w:val="00243F58"/>
    <w:rsid w:val="00244D7B"/>
    <w:rsid w:val="00245E6C"/>
    <w:rsid w:val="00245FFE"/>
    <w:rsid w:val="0025019B"/>
    <w:rsid w:val="00250ED4"/>
    <w:rsid w:val="00250EF6"/>
    <w:rsid w:val="0025128B"/>
    <w:rsid w:val="00251E3A"/>
    <w:rsid w:val="0025281C"/>
    <w:rsid w:val="00252C4D"/>
    <w:rsid w:val="00252E59"/>
    <w:rsid w:val="002548A4"/>
    <w:rsid w:val="00254BD1"/>
    <w:rsid w:val="00254E2F"/>
    <w:rsid w:val="00254F20"/>
    <w:rsid w:val="00255DC1"/>
    <w:rsid w:val="00256A30"/>
    <w:rsid w:val="002578B1"/>
    <w:rsid w:val="0026008F"/>
    <w:rsid w:val="00261E06"/>
    <w:rsid w:val="00262302"/>
    <w:rsid w:val="00262C6F"/>
    <w:rsid w:val="00263D5D"/>
    <w:rsid w:val="002648C1"/>
    <w:rsid w:val="002649D2"/>
    <w:rsid w:val="00264EB5"/>
    <w:rsid w:val="0026559E"/>
    <w:rsid w:val="00265EBA"/>
    <w:rsid w:val="00266739"/>
    <w:rsid w:val="00266DCE"/>
    <w:rsid w:val="002673EC"/>
    <w:rsid w:val="00267BA4"/>
    <w:rsid w:val="00270243"/>
    <w:rsid w:val="00270680"/>
    <w:rsid w:val="002711EE"/>
    <w:rsid w:val="002714C1"/>
    <w:rsid w:val="00271F31"/>
    <w:rsid w:val="002722B6"/>
    <w:rsid w:val="00272982"/>
    <w:rsid w:val="0027371C"/>
    <w:rsid w:val="002748DB"/>
    <w:rsid w:val="002766BB"/>
    <w:rsid w:val="00281D88"/>
    <w:rsid w:val="00282AC9"/>
    <w:rsid w:val="00282D56"/>
    <w:rsid w:val="00283511"/>
    <w:rsid w:val="00285AAA"/>
    <w:rsid w:val="00286861"/>
    <w:rsid w:val="00286877"/>
    <w:rsid w:val="00286ACE"/>
    <w:rsid w:val="00286E74"/>
    <w:rsid w:val="00287F15"/>
    <w:rsid w:val="00290415"/>
    <w:rsid w:val="00290D44"/>
    <w:rsid w:val="0029115E"/>
    <w:rsid w:val="00292BB8"/>
    <w:rsid w:val="0029492D"/>
    <w:rsid w:val="002954C3"/>
    <w:rsid w:val="00295BD6"/>
    <w:rsid w:val="00295D6A"/>
    <w:rsid w:val="002965D5"/>
    <w:rsid w:val="00296C67"/>
    <w:rsid w:val="002971A0"/>
    <w:rsid w:val="00297258"/>
    <w:rsid w:val="002973B2"/>
    <w:rsid w:val="002A07C4"/>
    <w:rsid w:val="002A096D"/>
    <w:rsid w:val="002A0E69"/>
    <w:rsid w:val="002A17E7"/>
    <w:rsid w:val="002A2730"/>
    <w:rsid w:val="002A3074"/>
    <w:rsid w:val="002A3B21"/>
    <w:rsid w:val="002A3BCA"/>
    <w:rsid w:val="002A400B"/>
    <w:rsid w:val="002A5FC0"/>
    <w:rsid w:val="002A6BE7"/>
    <w:rsid w:val="002A7456"/>
    <w:rsid w:val="002A7AA0"/>
    <w:rsid w:val="002A7FE2"/>
    <w:rsid w:val="002B0A02"/>
    <w:rsid w:val="002B12F5"/>
    <w:rsid w:val="002B21BB"/>
    <w:rsid w:val="002B2423"/>
    <w:rsid w:val="002B3B64"/>
    <w:rsid w:val="002B424C"/>
    <w:rsid w:val="002B4F90"/>
    <w:rsid w:val="002B5BFE"/>
    <w:rsid w:val="002B5C87"/>
    <w:rsid w:val="002B5CCE"/>
    <w:rsid w:val="002B5F55"/>
    <w:rsid w:val="002B6078"/>
    <w:rsid w:val="002B6127"/>
    <w:rsid w:val="002B65CB"/>
    <w:rsid w:val="002B6910"/>
    <w:rsid w:val="002C0019"/>
    <w:rsid w:val="002C0586"/>
    <w:rsid w:val="002C097B"/>
    <w:rsid w:val="002C0B5D"/>
    <w:rsid w:val="002C162C"/>
    <w:rsid w:val="002C1BC1"/>
    <w:rsid w:val="002C1D33"/>
    <w:rsid w:val="002C21C6"/>
    <w:rsid w:val="002C2238"/>
    <w:rsid w:val="002C24E3"/>
    <w:rsid w:val="002C2AE9"/>
    <w:rsid w:val="002C318D"/>
    <w:rsid w:val="002C4D78"/>
    <w:rsid w:val="002C536F"/>
    <w:rsid w:val="002C572E"/>
    <w:rsid w:val="002C5801"/>
    <w:rsid w:val="002C5C67"/>
    <w:rsid w:val="002C6212"/>
    <w:rsid w:val="002D0335"/>
    <w:rsid w:val="002D16EC"/>
    <w:rsid w:val="002D267E"/>
    <w:rsid w:val="002D30BF"/>
    <w:rsid w:val="002D3257"/>
    <w:rsid w:val="002D3260"/>
    <w:rsid w:val="002D4F70"/>
    <w:rsid w:val="002D583F"/>
    <w:rsid w:val="002D588A"/>
    <w:rsid w:val="002D6C89"/>
    <w:rsid w:val="002D6CDD"/>
    <w:rsid w:val="002D71A3"/>
    <w:rsid w:val="002E0F41"/>
    <w:rsid w:val="002E11B2"/>
    <w:rsid w:val="002E15A9"/>
    <w:rsid w:val="002E3342"/>
    <w:rsid w:val="002E3354"/>
    <w:rsid w:val="002E3972"/>
    <w:rsid w:val="002E3A37"/>
    <w:rsid w:val="002E3C5E"/>
    <w:rsid w:val="002E4215"/>
    <w:rsid w:val="002E4819"/>
    <w:rsid w:val="002E4EB0"/>
    <w:rsid w:val="002E50C9"/>
    <w:rsid w:val="002E5FFD"/>
    <w:rsid w:val="002E7BB2"/>
    <w:rsid w:val="002F04C8"/>
    <w:rsid w:val="002F066C"/>
    <w:rsid w:val="002F0FE8"/>
    <w:rsid w:val="002F128F"/>
    <w:rsid w:val="002F2279"/>
    <w:rsid w:val="002F241A"/>
    <w:rsid w:val="002F3099"/>
    <w:rsid w:val="002F3ED9"/>
    <w:rsid w:val="002F4C7F"/>
    <w:rsid w:val="002F4D13"/>
    <w:rsid w:val="002F5241"/>
    <w:rsid w:val="002F54D1"/>
    <w:rsid w:val="002F5628"/>
    <w:rsid w:val="002F6418"/>
    <w:rsid w:val="002F6A27"/>
    <w:rsid w:val="002F6C70"/>
    <w:rsid w:val="002F713F"/>
    <w:rsid w:val="002F7288"/>
    <w:rsid w:val="002F78AA"/>
    <w:rsid w:val="002F7939"/>
    <w:rsid w:val="0030178D"/>
    <w:rsid w:val="00303859"/>
    <w:rsid w:val="00303C4E"/>
    <w:rsid w:val="003062B7"/>
    <w:rsid w:val="00306B3C"/>
    <w:rsid w:val="00307133"/>
    <w:rsid w:val="00307E9D"/>
    <w:rsid w:val="003103EF"/>
    <w:rsid w:val="0031088B"/>
    <w:rsid w:val="0031261D"/>
    <w:rsid w:val="00312F63"/>
    <w:rsid w:val="00313735"/>
    <w:rsid w:val="003141B5"/>
    <w:rsid w:val="00314F12"/>
    <w:rsid w:val="0031596C"/>
    <w:rsid w:val="00317376"/>
    <w:rsid w:val="00317E76"/>
    <w:rsid w:val="00317F6E"/>
    <w:rsid w:val="003220E3"/>
    <w:rsid w:val="0032297A"/>
    <w:rsid w:val="00322DF7"/>
    <w:rsid w:val="0032309E"/>
    <w:rsid w:val="0032349D"/>
    <w:rsid w:val="00323BF4"/>
    <w:rsid w:val="00324219"/>
    <w:rsid w:val="00325113"/>
    <w:rsid w:val="00325D2F"/>
    <w:rsid w:val="00327AF5"/>
    <w:rsid w:val="00327C72"/>
    <w:rsid w:val="00330CE6"/>
    <w:rsid w:val="00330DD5"/>
    <w:rsid w:val="003310C7"/>
    <w:rsid w:val="0033249F"/>
    <w:rsid w:val="00332FAC"/>
    <w:rsid w:val="00333980"/>
    <w:rsid w:val="00333AA2"/>
    <w:rsid w:val="00333FCA"/>
    <w:rsid w:val="00334B4D"/>
    <w:rsid w:val="003352DF"/>
    <w:rsid w:val="00335AF3"/>
    <w:rsid w:val="00335B89"/>
    <w:rsid w:val="00335EDD"/>
    <w:rsid w:val="00336016"/>
    <w:rsid w:val="00336207"/>
    <w:rsid w:val="0033651C"/>
    <w:rsid w:val="00336732"/>
    <w:rsid w:val="00336A8D"/>
    <w:rsid w:val="003401F9"/>
    <w:rsid w:val="003408CA"/>
    <w:rsid w:val="00340D12"/>
    <w:rsid w:val="00343117"/>
    <w:rsid w:val="00343486"/>
    <w:rsid w:val="003436C8"/>
    <w:rsid w:val="00344B85"/>
    <w:rsid w:val="00344D5A"/>
    <w:rsid w:val="00345FD6"/>
    <w:rsid w:val="00346A0F"/>
    <w:rsid w:val="00346FBE"/>
    <w:rsid w:val="00347236"/>
    <w:rsid w:val="003473CD"/>
    <w:rsid w:val="003478BA"/>
    <w:rsid w:val="00347CD2"/>
    <w:rsid w:val="0035001A"/>
    <w:rsid w:val="0035027E"/>
    <w:rsid w:val="00350989"/>
    <w:rsid w:val="00350F79"/>
    <w:rsid w:val="0035162A"/>
    <w:rsid w:val="003518D9"/>
    <w:rsid w:val="00352B83"/>
    <w:rsid w:val="00352F62"/>
    <w:rsid w:val="003555EC"/>
    <w:rsid w:val="00355685"/>
    <w:rsid w:val="003568B3"/>
    <w:rsid w:val="00356CDE"/>
    <w:rsid w:val="003570DF"/>
    <w:rsid w:val="00360D1D"/>
    <w:rsid w:val="003616B3"/>
    <w:rsid w:val="00361F29"/>
    <w:rsid w:val="00362363"/>
    <w:rsid w:val="00363106"/>
    <w:rsid w:val="003635FB"/>
    <w:rsid w:val="00363D29"/>
    <w:rsid w:val="003641B8"/>
    <w:rsid w:val="0036509B"/>
    <w:rsid w:val="00365329"/>
    <w:rsid w:val="00365D41"/>
    <w:rsid w:val="00366441"/>
    <w:rsid w:val="0036663A"/>
    <w:rsid w:val="0036675D"/>
    <w:rsid w:val="00367220"/>
    <w:rsid w:val="00367C53"/>
    <w:rsid w:val="0037059F"/>
    <w:rsid w:val="00370BA1"/>
    <w:rsid w:val="00370FB1"/>
    <w:rsid w:val="00371132"/>
    <w:rsid w:val="00371163"/>
    <w:rsid w:val="00371188"/>
    <w:rsid w:val="00372386"/>
    <w:rsid w:val="00372438"/>
    <w:rsid w:val="003732C0"/>
    <w:rsid w:val="00373913"/>
    <w:rsid w:val="00373981"/>
    <w:rsid w:val="003742B8"/>
    <w:rsid w:val="00374801"/>
    <w:rsid w:val="00376D03"/>
    <w:rsid w:val="00376F6C"/>
    <w:rsid w:val="00377616"/>
    <w:rsid w:val="00377AFF"/>
    <w:rsid w:val="00377C05"/>
    <w:rsid w:val="00377C09"/>
    <w:rsid w:val="00380CCC"/>
    <w:rsid w:val="003813F5"/>
    <w:rsid w:val="0038167D"/>
    <w:rsid w:val="003825A1"/>
    <w:rsid w:val="0038317C"/>
    <w:rsid w:val="00384728"/>
    <w:rsid w:val="003853A4"/>
    <w:rsid w:val="00387B00"/>
    <w:rsid w:val="00390C39"/>
    <w:rsid w:val="00390D96"/>
    <w:rsid w:val="00392A75"/>
    <w:rsid w:val="00393D34"/>
    <w:rsid w:val="00393E85"/>
    <w:rsid w:val="00394837"/>
    <w:rsid w:val="00394A8A"/>
    <w:rsid w:val="00395263"/>
    <w:rsid w:val="0039762F"/>
    <w:rsid w:val="00397BA4"/>
    <w:rsid w:val="003A180B"/>
    <w:rsid w:val="003A1F8E"/>
    <w:rsid w:val="003A2530"/>
    <w:rsid w:val="003A4422"/>
    <w:rsid w:val="003A4694"/>
    <w:rsid w:val="003A4ED5"/>
    <w:rsid w:val="003A557C"/>
    <w:rsid w:val="003A582A"/>
    <w:rsid w:val="003A5E1D"/>
    <w:rsid w:val="003A66E5"/>
    <w:rsid w:val="003A7E33"/>
    <w:rsid w:val="003B0EBD"/>
    <w:rsid w:val="003B1081"/>
    <w:rsid w:val="003B1D0B"/>
    <w:rsid w:val="003B1E5D"/>
    <w:rsid w:val="003B2BFA"/>
    <w:rsid w:val="003B40B3"/>
    <w:rsid w:val="003B45D7"/>
    <w:rsid w:val="003B588B"/>
    <w:rsid w:val="003B5B28"/>
    <w:rsid w:val="003B5D87"/>
    <w:rsid w:val="003B7018"/>
    <w:rsid w:val="003B76C7"/>
    <w:rsid w:val="003B7B9A"/>
    <w:rsid w:val="003C00A3"/>
    <w:rsid w:val="003C0639"/>
    <w:rsid w:val="003C0666"/>
    <w:rsid w:val="003C11D1"/>
    <w:rsid w:val="003C16EA"/>
    <w:rsid w:val="003C3267"/>
    <w:rsid w:val="003C3D93"/>
    <w:rsid w:val="003C3DB3"/>
    <w:rsid w:val="003C3EA7"/>
    <w:rsid w:val="003C40D2"/>
    <w:rsid w:val="003C487F"/>
    <w:rsid w:val="003C493E"/>
    <w:rsid w:val="003C533C"/>
    <w:rsid w:val="003C7790"/>
    <w:rsid w:val="003C7812"/>
    <w:rsid w:val="003C7A62"/>
    <w:rsid w:val="003D07B1"/>
    <w:rsid w:val="003D081F"/>
    <w:rsid w:val="003D0F74"/>
    <w:rsid w:val="003D24AC"/>
    <w:rsid w:val="003D298C"/>
    <w:rsid w:val="003D338D"/>
    <w:rsid w:val="003D3C4C"/>
    <w:rsid w:val="003D4608"/>
    <w:rsid w:val="003D4789"/>
    <w:rsid w:val="003D47D3"/>
    <w:rsid w:val="003D54E9"/>
    <w:rsid w:val="003D59BC"/>
    <w:rsid w:val="003D6BF1"/>
    <w:rsid w:val="003D6CD5"/>
    <w:rsid w:val="003D75A7"/>
    <w:rsid w:val="003D7E6D"/>
    <w:rsid w:val="003E125E"/>
    <w:rsid w:val="003E18E6"/>
    <w:rsid w:val="003E218F"/>
    <w:rsid w:val="003E2DC1"/>
    <w:rsid w:val="003E30AC"/>
    <w:rsid w:val="003E3B7C"/>
    <w:rsid w:val="003E499F"/>
    <w:rsid w:val="003E5E44"/>
    <w:rsid w:val="003F12CE"/>
    <w:rsid w:val="003F179F"/>
    <w:rsid w:val="003F41BC"/>
    <w:rsid w:val="003F4B68"/>
    <w:rsid w:val="003F67BB"/>
    <w:rsid w:val="003F693F"/>
    <w:rsid w:val="003F6968"/>
    <w:rsid w:val="003F6BC2"/>
    <w:rsid w:val="003F6C40"/>
    <w:rsid w:val="003F7564"/>
    <w:rsid w:val="003F7ECC"/>
    <w:rsid w:val="004003D1"/>
    <w:rsid w:val="00400B46"/>
    <w:rsid w:val="00400F06"/>
    <w:rsid w:val="0040192F"/>
    <w:rsid w:val="00401B7C"/>
    <w:rsid w:val="00401F73"/>
    <w:rsid w:val="00402074"/>
    <w:rsid w:val="00402140"/>
    <w:rsid w:val="004029EF"/>
    <w:rsid w:val="004036C5"/>
    <w:rsid w:val="0040377F"/>
    <w:rsid w:val="00403970"/>
    <w:rsid w:val="004046D3"/>
    <w:rsid w:val="00406BD5"/>
    <w:rsid w:val="00406DEB"/>
    <w:rsid w:val="00406EAF"/>
    <w:rsid w:val="00407671"/>
    <w:rsid w:val="0040772E"/>
    <w:rsid w:val="00407A45"/>
    <w:rsid w:val="004104FE"/>
    <w:rsid w:val="00411551"/>
    <w:rsid w:val="004128D2"/>
    <w:rsid w:val="004133B2"/>
    <w:rsid w:val="00413454"/>
    <w:rsid w:val="004138E3"/>
    <w:rsid w:val="00413C8C"/>
    <w:rsid w:val="00414928"/>
    <w:rsid w:val="00415A05"/>
    <w:rsid w:val="00415BC7"/>
    <w:rsid w:val="0041628F"/>
    <w:rsid w:val="00416560"/>
    <w:rsid w:val="00416806"/>
    <w:rsid w:val="00417917"/>
    <w:rsid w:val="00417930"/>
    <w:rsid w:val="00417A4E"/>
    <w:rsid w:val="00417A7A"/>
    <w:rsid w:val="00422A85"/>
    <w:rsid w:val="004239BE"/>
    <w:rsid w:val="00424A98"/>
    <w:rsid w:val="00424F8B"/>
    <w:rsid w:val="00425157"/>
    <w:rsid w:val="004252C9"/>
    <w:rsid w:val="00425851"/>
    <w:rsid w:val="004259D9"/>
    <w:rsid w:val="00425D99"/>
    <w:rsid w:val="004265C0"/>
    <w:rsid w:val="00426A93"/>
    <w:rsid w:val="0042708F"/>
    <w:rsid w:val="00427EFA"/>
    <w:rsid w:val="00430156"/>
    <w:rsid w:val="00431162"/>
    <w:rsid w:val="00431A5B"/>
    <w:rsid w:val="00431FA4"/>
    <w:rsid w:val="004325D7"/>
    <w:rsid w:val="00432AFF"/>
    <w:rsid w:val="004336CE"/>
    <w:rsid w:val="00433785"/>
    <w:rsid w:val="00435085"/>
    <w:rsid w:val="0043514B"/>
    <w:rsid w:val="0043536C"/>
    <w:rsid w:val="00435D7A"/>
    <w:rsid w:val="0043602F"/>
    <w:rsid w:val="00436076"/>
    <w:rsid w:val="004362B4"/>
    <w:rsid w:val="004365EB"/>
    <w:rsid w:val="00437AC1"/>
    <w:rsid w:val="0044010E"/>
    <w:rsid w:val="004418EA"/>
    <w:rsid w:val="00441932"/>
    <w:rsid w:val="004449C3"/>
    <w:rsid w:val="00445054"/>
    <w:rsid w:val="00445387"/>
    <w:rsid w:val="0044555F"/>
    <w:rsid w:val="00446290"/>
    <w:rsid w:val="0044652C"/>
    <w:rsid w:val="00447A89"/>
    <w:rsid w:val="00447ED4"/>
    <w:rsid w:val="00450022"/>
    <w:rsid w:val="004505E9"/>
    <w:rsid w:val="00450D9F"/>
    <w:rsid w:val="00451BBE"/>
    <w:rsid w:val="00452663"/>
    <w:rsid w:val="0045444F"/>
    <w:rsid w:val="00454509"/>
    <w:rsid w:val="00454CDD"/>
    <w:rsid w:val="004563EE"/>
    <w:rsid w:val="00456429"/>
    <w:rsid w:val="00456C21"/>
    <w:rsid w:val="00456EE8"/>
    <w:rsid w:val="00456F79"/>
    <w:rsid w:val="004573FA"/>
    <w:rsid w:val="00460336"/>
    <w:rsid w:val="00460CE8"/>
    <w:rsid w:val="00462128"/>
    <w:rsid w:val="0046291B"/>
    <w:rsid w:val="0046295D"/>
    <w:rsid w:val="00462B40"/>
    <w:rsid w:val="00463288"/>
    <w:rsid w:val="00463463"/>
    <w:rsid w:val="00463EC9"/>
    <w:rsid w:val="00464852"/>
    <w:rsid w:val="00464B39"/>
    <w:rsid w:val="0046539E"/>
    <w:rsid w:val="00467741"/>
    <w:rsid w:val="00470A29"/>
    <w:rsid w:val="00470DFC"/>
    <w:rsid w:val="00471237"/>
    <w:rsid w:val="00472238"/>
    <w:rsid w:val="00473383"/>
    <w:rsid w:val="00473D65"/>
    <w:rsid w:val="004749BD"/>
    <w:rsid w:val="00475173"/>
    <w:rsid w:val="00476ED1"/>
    <w:rsid w:val="0047724C"/>
    <w:rsid w:val="00477CD7"/>
    <w:rsid w:val="004803AB"/>
    <w:rsid w:val="004812C6"/>
    <w:rsid w:val="00482AE3"/>
    <w:rsid w:val="00484745"/>
    <w:rsid w:val="00484C78"/>
    <w:rsid w:val="00486141"/>
    <w:rsid w:val="004865D6"/>
    <w:rsid w:val="00487983"/>
    <w:rsid w:val="00487E34"/>
    <w:rsid w:val="00490480"/>
    <w:rsid w:val="004915ED"/>
    <w:rsid w:val="00491D56"/>
    <w:rsid w:val="00491DAC"/>
    <w:rsid w:val="0049390E"/>
    <w:rsid w:val="00493C64"/>
    <w:rsid w:val="00495188"/>
    <w:rsid w:val="004952FE"/>
    <w:rsid w:val="00495B12"/>
    <w:rsid w:val="00495D24"/>
    <w:rsid w:val="00495DD6"/>
    <w:rsid w:val="00497212"/>
    <w:rsid w:val="00497697"/>
    <w:rsid w:val="00497804"/>
    <w:rsid w:val="004A08A4"/>
    <w:rsid w:val="004A1038"/>
    <w:rsid w:val="004A11F5"/>
    <w:rsid w:val="004A1939"/>
    <w:rsid w:val="004A19F8"/>
    <w:rsid w:val="004A1B18"/>
    <w:rsid w:val="004A1E5C"/>
    <w:rsid w:val="004A28B4"/>
    <w:rsid w:val="004A2C4A"/>
    <w:rsid w:val="004A2F47"/>
    <w:rsid w:val="004A369D"/>
    <w:rsid w:val="004A3F07"/>
    <w:rsid w:val="004A5663"/>
    <w:rsid w:val="004A5A5A"/>
    <w:rsid w:val="004A671A"/>
    <w:rsid w:val="004A6C42"/>
    <w:rsid w:val="004A6FAD"/>
    <w:rsid w:val="004A7369"/>
    <w:rsid w:val="004A7828"/>
    <w:rsid w:val="004B033E"/>
    <w:rsid w:val="004B04B7"/>
    <w:rsid w:val="004B0530"/>
    <w:rsid w:val="004B0A2C"/>
    <w:rsid w:val="004B0C8B"/>
    <w:rsid w:val="004B1317"/>
    <w:rsid w:val="004B190F"/>
    <w:rsid w:val="004B326B"/>
    <w:rsid w:val="004B36D5"/>
    <w:rsid w:val="004B426B"/>
    <w:rsid w:val="004B430D"/>
    <w:rsid w:val="004B56DA"/>
    <w:rsid w:val="004B686F"/>
    <w:rsid w:val="004B78C2"/>
    <w:rsid w:val="004B7EA8"/>
    <w:rsid w:val="004C1762"/>
    <w:rsid w:val="004C1DEA"/>
    <w:rsid w:val="004C20F4"/>
    <w:rsid w:val="004C2449"/>
    <w:rsid w:val="004C50A3"/>
    <w:rsid w:val="004C5440"/>
    <w:rsid w:val="004C546C"/>
    <w:rsid w:val="004C5E1E"/>
    <w:rsid w:val="004C5F3C"/>
    <w:rsid w:val="004C62AF"/>
    <w:rsid w:val="004C6A90"/>
    <w:rsid w:val="004C6FB6"/>
    <w:rsid w:val="004C712D"/>
    <w:rsid w:val="004C7449"/>
    <w:rsid w:val="004D1291"/>
    <w:rsid w:val="004D13FB"/>
    <w:rsid w:val="004D1560"/>
    <w:rsid w:val="004D1780"/>
    <w:rsid w:val="004D1EE7"/>
    <w:rsid w:val="004D22CE"/>
    <w:rsid w:val="004D2772"/>
    <w:rsid w:val="004D2786"/>
    <w:rsid w:val="004D29A3"/>
    <w:rsid w:val="004D2EB3"/>
    <w:rsid w:val="004D365B"/>
    <w:rsid w:val="004D37E9"/>
    <w:rsid w:val="004D390A"/>
    <w:rsid w:val="004D3BC7"/>
    <w:rsid w:val="004D44DD"/>
    <w:rsid w:val="004D47C7"/>
    <w:rsid w:val="004D4A3A"/>
    <w:rsid w:val="004D4B50"/>
    <w:rsid w:val="004D5A4A"/>
    <w:rsid w:val="004E0282"/>
    <w:rsid w:val="004E0CD1"/>
    <w:rsid w:val="004E0F74"/>
    <w:rsid w:val="004E1AE1"/>
    <w:rsid w:val="004E1D32"/>
    <w:rsid w:val="004E2810"/>
    <w:rsid w:val="004E3BF3"/>
    <w:rsid w:val="004E4019"/>
    <w:rsid w:val="004E4CD9"/>
    <w:rsid w:val="004E518E"/>
    <w:rsid w:val="004E55FC"/>
    <w:rsid w:val="004E5952"/>
    <w:rsid w:val="004E5F3C"/>
    <w:rsid w:val="004E626D"/>
    <w:rsid w:val="004E6928"/>
    <w:rsid w:val="004E698F"/>
    <w:rsid w:val="004E6EF4"/>
    <w:rsid w:val="004E70D2"/>
    <w:rsid w:val="004E76F4"/>
    <w:rsid w:val="004F01A0"/>
    <w:rsid w:val="004F0555"/>
    <w:rsid w:val="004F097E"/>
    <w:rsid w:val="004F0BDE"/>
    <w:rsid w:val="004F197C"/>
    <w:rsid w:val="004F387E"/>
    <w:rsid w:val="004F5866"/>
    <w:rsid w:val="004F71AA"/>
    <w:rsid w:val="00500064"/>
    <w:rsid w:val="00500163"/>
    <w:rsid w:val="0050065F"/>
    <w:rsid w:val="005015E2"/>
    <w:rsid w:val="00502333"/>
    <w:rsid w:val="0050245E"/>
    <w:rsid w:val="00502DC8"/>
    <w:rsid w:val="005037D9"/>
    <w:rsid w:val="00504D15"/>
    <w:rsid w:val="005053B3"/>
    <w:rsid w:val="0050561E"/>
    <w:rsid w:val="00506056"/>
    <w:rsid w:val="0050758E"/>
    <w:rsid w:val="0050764D"/>
    <w:rsid w:val="00507963"/>
    <w:rsid w:val="00511151"/>
    <w:rsid w:val="00512232"/>
    <w:rsid w:val="00512376"/>
    <w:rsid w:val="00512F96"/>
    <w:rsid w:val="005133BD"/>
    <w:rsid w:val="00514CA0"/>
    <w:rsid w:val="00514E0E"/>
    <w:rsid w:val="00514E38"/>
    <w:rsid w:val="00515B3A"/>
    <w:rsid w:val="00515EE9"/>
    <w:rsid w:val="005173FB"/>
    <w:rsid w:val="005200F3"/>
    <w:rsid w:val="00520258"/>
    <w:rsid w:val="00520FF5"/>
    <w:rsid w:val="005211CC"/>
    <w:rsid w:val="00521635"/>
    <w:rsid w:val="005231EC"/>
    <w:rsid w:val="0052329E"/>
    <w:rsid w:val="00523328"/>
    <w:rsid w:val="005234FE"/>
    <w:rsid w:val="005241D6"/>
    <w:rsid w:val="005244B8"/>
    <w:rsid w:val="005245C7"/>
    <w:rsid w:val="00525C75"/>
    <w:rsid w:val="00525F25"/>
    <w:rsid w:val="00525F7B"/>
    <w:rsid w:val="005261C8"/>
    <w:rsid w:val="00526DC0"/>
    <w:rsid w:val="005272F8"/>
    <w:rsid w:val="00527634"/>
    <w:rsid w:val="005278A5"/>
    <w:rsid w:val="00527D20"/>
    <w:rsid w:val="00527DEE"/>
    <w:rsid w:val="00527FA2"/>
    <w:rsid w:val="00530393"/>
    <w:rsid w:val="00530976"/>
    <w:rsid w:val="005310A6"/>
    <w:rsid w:val="00531121"/>
    <w:rsid w:val="00533829"/>
    <w:rsid w:val="0053406A"/>
    <w:rsid w:val="005341A3"/>
    <w:rsid w:val="00535478"/>
    <w:rsid w:val="00537EF3"/>
    <w:rsid w:val="00540AA5"/>
    <w:rsid w:val="00540F89"/>
    <w:rsid w:val="005413BC"/>
    <w:rsid w:val="00541869"/>
    <w:rsid w:val="00541EA4"/>
    <w:rsid w:val="0054264C"/>
    <w:rsid w:val="00542E9A"/>
    <w:rsid w:val="0054315C"/>
    <w:rsid w:val="005454CD"/>
    <w:rsid w:val="00545515"/>
    <w:rsid w:val="00546F8D"/>
    <w:rsid w:val="00550BF4"/>
    <w:rsid w:val="00550FFA"/>
    <w:rsid w:val="00552758"/>
    <w:rsid w:val="005527B4"/>
    <w:rsid w:val="00552888"/>
    <w:rsid w:val="00554CAF"/>
    <w:rsid w:val="00554CCB"/>
    <w:rsid w:val="00554D93"/>
    <w:rsid w:val="00555A33"/>
    <w:rsid w:val="005562D2"/>
    <w:rsid w:val="00556608"/>
    <w:rsid w:val="00556C32"/>
    <w:rsid w:val="00557C97"/>
    <w:rsid w:val="00557CF8"/>
    <w:rsid w:val="0056035A"/>
    <w:rsid w:val="00560909"/>
    <w:rsid w:val="00563B6E"/>
    <w:rsid w:val="00564DE4"/>
    <w:rsid w:val="005656A0"/>
    <w:rsid w:val="0056633B"/>
    <w:rsid w:val="005666D8"/>
    <w:rsid w:val="0056733F"/>
    <w:rsid w:val="00567747"/>
    <w:rsid w:val="00567DA3"/>
    <w:rsid w:val="00570889"/>
    <w:rsid w:val="00570A51"/>
    <w:rsid w:val="00570AB2"/>
    <w:rsid w:val="005719F3"/>
    <w:rsid w:val="00571CD3"/>
    <w:rsid w:val="00572008"/>
    <w:rsid w:val="00572781"/>
    <w:rsid w:val="00572E99"/>
    <w:rsid w:val="0057303A"/>
    <w:rsid w:val="00573077"/>
    <w:rsid w:val="00573182"/>
    <w:rsid w:val="00573203"/>
    <w:rsid w:val="00573307"/>
    <w:rsid w:val="00573AAD"/>
    <w:rsid w:val="00573AD2"/>
    <w:rsid w:val="00573F11"/>
    <w:rsid w:val="00573F35"/>
    <w:rsid w:val="0057425B"/>
    <w:rsid w:val="00574B6C"/>
    <w:rsid w:val="00574EE9"/>
    <w:rsid w:val="0057609F"/>
    <w:rsid w:val="005762EC"/>
    <w:rsid w:val="00576F4A"/>
    <w:rsid w:val="0057772A"/>
    <w:rsid w:val="0058124C"/>
    <w:rsid w:val="00582ED1"/>
    <w:rsid w:val="00583384"/>
    <w:rsid w:val="00583493"/>
    <w:rsid w:val="00583CBC"/>
    <w:rsid w:val="005843F4"/>
    <w:rsid w:val="00584800"/>
    <w:rsid w:val="005853F7"/>
    <w:rsid w:val="00585BCA"/>
    <w:rsid w:val="005867D3"/>
    <w:rsid w:val="005873C7"/>
    <w:rsid w:val="00587A2F"/>
    <w:rsid w:val="0059194D"/>
    <w:rsid w:val="00591DBF"/>
    <w:rsid w:val="00592569"/>
    <w:rsid w:val="00593CCA"/>
    <w:rsid w:val="005957FC"/>
    <w:rsid w:val="00595B15"/>
    <w:rsid w:val="00595D14"/>
    <w:rsid w:val="00597598"/>
    <w:rsid w:val="00597C5A"/>
    <w:rsid w:val="005A0BC3"/>
    <w:rsid w:val="005A0D39"/>
    <w:rsid w:val="005A1697"/>
    <w:rsid w:val="005A1750"/>
    <w:rsid w:val="005A1AFC"/>
    <w:rsid w:val="005A1BD7"/>
    <w:rsid w:val="005A1E7F"/>
    <w:rsid w:val="005A32C3"/>
    <w:rsid w:val="005A34AE"/>
    <w:rsid w:val="005A3AE3"/>
    <w:rsid w:val="005A4320"/>
    <w:rsid w:val="005A485D"/>
    <w:rsid w:val="005A4E69"/>
    <w:rsid w:val="005A5A84"/>
    <w:rsid w:val="005A5DB6"/>
    <w:rsid w:val="005A6A54"/>
    <w:rsid w:val="005A7DE7"/>
    <w:rsid w:val="005B054F"/>
    <w:rsid w:val="005B0BCC"/>
    <w:rsid w:val="005B1F7D"/>
    <w:rsid w:val="005B48B9"/>
    <w:rsid w:val="005B5255"/>
    <w:rsid w:val="005B5AB6"/>
    <w:rsid w:val="005B6D69"/>
    <w:rsid w:val="005B721E"/>
    <w:rsid w:val="005B7936"/>
    <w:rsid w:val="005C0A7B"/>
    <w:rsid w:val="005C1648"/>
    <w:rsid w:val="005C17CA"/>
    <w:rsid w:val="005C299F"/>
    <w:rsid w:val="005C2ABE"/>
    <w:rsid w:val="005C38DA"/>
    <w:rsid w:val="005C39AC"/>
    <w:rsid w:val="005C3EDA"/>
    <w:rsid w:val="005C405E"/>
    <w:rsid w:val="005C545C"/>
    <w:rsid w:val="005C5B00"/>
    <w:rsid w:val="005C5C75"/>
    <w:rsid w:val="005C6AB1"/>
    <w:rsid w:val="005C6B0E"/>
    <w:rsid w:val="005C75BB"/>
    <w:rsid w:val="005D10BD"/>
    <w:rsid w:val="005D294E"/>
    <w:rsid w:val="005D2ED0"/>
    <w:rsid w:val="005D3045"/>
    <w:rsid w:val="005D35E9"/>
    <w:rsid w:val="005D627A"/>
    <w:rsid w:val="005D6709"/>
    <w:rsid w:val="005D6F9F"/>
    <w:rsid w:val="005D77B0"/>
    <w:rsid w:val="005D7B6D"/>
    <w:rsid w:val="005D7FE6"/>
    <w:rsid w:val="005E082B"/>
    <w:rsid w:val="005E09C3"/>
    <w:rsid w:val="005E11A2"/>
    <w:rsid w:val="005E14F0"/>
    <w:rsid w:val="005E33B8"/>
    <w:rsid w:val="005E3BB1"/>
    <w:rsid w:val="005E4209"/>
    <w:rsid w:val="005E44E6"/>
    <w:rsid w:val="005E494A"/>
    <w:rsid w:val="005E4999"/>
    <w:rsid w:val="005E49F4"/>
    <w:rsid w:val="005E5EE7"/>
    <w:rsid w:val="005E6624"/>
    <w:rsid w:val="005E7BF9"/>
    <w:rsid w:val="005F01BA"/>
    <w:rsid w:val="005F2AEE"/>
    <w:rsid w:val="005F2EF4"/>
    <w:rsid w:val="005F3D84"/>
    <w:rsid w:val="005F3F79"/>
    <w:rsid w:val="005F62BB"/>
    <w:rsid w:val="005F6DE1"/>
    <w:rsid w:val="005F6EE0"/>
    <w:rsid w:val="005F732E"/>
    <w:rsid w:val="005F7837"/>
    <w:rsid w:val="005F79BD"/>
    <w:rsid w:val="005F7A0F"/>
    <w:rsid w:val="005F7C3D"/>
    <w:rsid w:val="00600173"/>
    <w:rsid w:val="00600D62"/>
    <w:rsid w:val="00603539"/>
    <w:rsid w:val="00603AF0"/>
    <w:rsid w:val="00603C97"/>
    <w:rsid w:val="00604231"/>
    <w:rsid w:val="00604441"/>
    <w:rsid w:val="0060462C"/>
    <w:rsid w:val="00605226"/>
    <w:rsid w:val="006052D6"/>
    <w:rsid w:val="0060614C"/>
    <w:rsid w:val="0060627D"/>
    <w:rsid w:val="00606986"/>
    <w:rsid w:val="00607EE4"/>
    <w:rsid w:val="006100BF"/>
    <w:rsid w:val="00611CCC"/>
    <w:rsid w:val="00611D4F"/>
    <w:rsid w:val="0061260E"/>
    <w:rsid w:val="00612994"/>
    <w:rsid w:val="00612CE0"/>
    <w:rsid w:val="00613A65"/>
    <w:rsid w:val="006140F4"/>
    <w:rsid w:val="006144E4"/>
    <w:rsid w:val="00615998"/>
    <w:rsid w:val="00615E76"/>
    <w:rsid w:val="006163F1"/>
    <w:rsid w:val="006166F5"/>
    <w:rsid w:val="006169FF"/>
    <w:rsid w:val="00616A18"/>
    <w:rsid w:val="00617B63"/>
    <w:rsid w:val="006208D1"/>
    <w:rsid w:val="00621EA0"/>
    <w:rsid w:val="00623040"/>
    <w:rsid w:val="0062395A"/>
    <w:rsid w:val="00625122"/>
    <w:rsid w:val="00625CA8"/>
    <w:rsid w:val="00625F47"/>
    <w:rsid w:val="00626941"/>
    <w:rsid w:val="00626BEA"/>
    <w:rsid w:val="00627014"/>
    <w:rsid w:val="006273C2"/>
    <w:rsid w:val="00630266"/>
    <w:rsid w:val="006306EF"/>
    <w:rsid w:val="00630A65"/>
    <w:rsid w:val="006314C8"/>
    <w:rsid w:val="00631691"/>
    <w:rsid w:val="006318E6"/>
    <w:rsid w:val="00632E9E"/>
    <w:rsid w:val="006331DD"/>
    <w:rsid w:val="00633B96"/>
    <w:rsid w:val="00634452"/>
    <w:rsid w:val="00634C1A"/>
    <w:rsid w:val="00634F56"/>
    <w:rsid w:val="006355F9"/>
    <w:rsid w:val="006358EB"/>
    <w:rsid w:val="006363F6"/>
    <w:rsid w:val="00636AAC"/>
    <w:rsid w:val="00636BF0"/>
    <w:rsid w:val="00637696"/>
    <w:rsid w:val="00637C1A"/>
    <w:rsid w:val="00637D31"/>
    <w:rsid w:val="00637F45"/>
    <w:rsid w:val="00640B20"/>
    <w:rsid w:val="00641451"/>
    <w:rsid w:val="00641ACF"/>
    <w:rsid w:val="0064200B"/>
    <w:rsid w:val="00642296"/>
    <w:rsid w:val="00643154"/>
    <w:rsid w:val="00643322"/>
    <w:rsid w:val="00643D70"/>
    <w:rsid w:val="006443B7"/>
    <w:rsid w:val="00644614"/>
    <w:rsid w:val="00645425"/>
    <w:rsid w:val="00645680"/>
    <w:rsid w:val="00645B06"/>
    <w:rsid w:val="00645E07"/>
    <w:rsid w:val="00646901"/>
    <w:rsid w:val="00646AB3"/>
    <w:rsid w:val="006470F1"/>
    <w:rsid w:val="00647CF6"/>
    <w:rsid w:val="00647E6C"/>
    <w:rsid w:val="00647FB7"/>
    <w:rsid w:val="00652020"/>
    <w:rsid w:val="006521D5"/>
    <w:rsid w:val="00652501"/>
    <w:rsid w:val="0065276B"/>
    <w:rsid w:val="00652CBE"/>
    <w:rsid w:val="00652E3E"/>
    <w:rsid w:val="006534DE"/>
    <w:rsid w:val="0065351F"/>
    <w:rsid w:val="00653CB3"/>
    <w:rsid w:val="00654CA0"/>
    <w:rsid w:val="00654F77"/>
    <w:rsid w:val="00655A5F"/>
    <w:rsid w:val="00656750"/>
    <w:rsid w:val="00656969"/>
    <w:rsid w:val="00657A22"/>
    <w:rsid w:val="006600D4"/>
    <w:rsid w:val="0066049A"/>
    <w:rsid w:val="00660898"/>
    <w:rsid w:val="00661231"/>
    <w:rsid w:val="00661847"/>
    <w:rsid w:val="00661F65"/>
    <w:rsid w:val="0066242A"/>
    <w:rsid w:val="006630B4"/>
    <w:rsid w:val="00663300"/>
    <w:rsid w:val="00663E38"/>
    <w:rsid w:val="00663FCA"/>
    <w:rsid w:val="00664490"/>
    <w:rsid w:val="006647B3"/>
    <w:rsid w:val="00665838"/>
    <w:rsid w:val="00665950"/>
    <w:rsid w:val="00665AB8"/>
    <w:rsid w:val="00665F4E"/>
    <w:rsid w:val="00666D68"/>
    <w:rsid w:val="00667223"/>
    <w:rsid w:val="00667C32"/>
    <w:rsid w:val="00672306"/>
    <w:rsid w:val="00673C12"/>
    <w:rsid w:val="00673EBD"/>
    <w:rsid w:val="00674EF5"/>
    <w:rsid w:val="0067545D"/>
    <w:rsid w:val="00677A6E"/>
    <w:rsid w:val="0068033C"/>
    <w:rsid w:val="00680847"/>
    <w:rsid w:val="00681147"/>
    <w:rsid w:val="00683787"/>
    <w:rsid w:val="00683A73"/>
    <w:rsid w:val="006841A5"/>
    <w:rsid w:val="00684A64"/>
    <w:rsid w:val="0068546D"/>
    <w:rsid w:val="0068565A"/>
    <w:rsid w:val="00685CA2"/>
    <w:rsid w:val="00686423"/>
    <w:rsid w:val="00686A92"/>
    <w:rsid w:val="006876C5"/>
    <w:rsid w:val="00690240"/>
    <w:rsid w:val="00690B69"/>
    <w:rsid w:val="00690F51"/>
    <w:rsid w:val="0069189D"/>
    <w:rsid w:val="0069438D"/>
    <w:rsid w:val="006944EC"/>
    <w:rsid w:val="00694DAE"/>
    <w:rsid w:val="00694FDE"/>
    <w:rsid w:val="0069506A"/>
    <w:rsid w:val="00695B68"/>
    <w:rsid w:val="00695DF3"/>
    <w:rsid w:val="006966A3"/>
    <w:rsid w:val="00696C93"/>
    <w:rsid w:val="00696E7F"/>
    <w:rsid w:val="0069727F"/>
    <w:rsid w:val="00697584"/>
    <w:rsid w:val="006A0DD0"/>
    <w:rsid w:val="006A12BC"/>
    <w:rsid w:val="006A33EA"/>
    <w:rsid w:val="006A39B9"/>
    <w:rsid w:val="006A3CED"/>
    <w:rsid w:val="006A5D91"/>
    <w:rsid w:val="006A5F7A"/>
    <w:rsid w:val="006A5FA8"/>
    <w:rsid w:val="006A624F"/>
    <w:rsid w:val="006A673D"/>
    <w:rsid w:val="006A7508"/>
    <w:rsid w:val="006A7688"/>
    <w:rsid w:val="006A7813"/>
    <w:rsid w:val="006A7DD6"/>
    <w:rsid w:val="006B159D"/>
    <w:rsid w:val="006B1884"/>
    <w:rsid w:val="006B275A"/>
    <w:rsid w:val="006B33CD"/>
    <w:rsid w:val="006B3F45"/>
    <w:rsid w:val="006B436A"/>
    <w:rsid w:val="006B4F9E"/>
    <w:rsid w:val="006B5676"/>
    <w:rsid w:val="006B6678"/>
    <w:rsid w:val="006B7636"/>
    <w:rsid w:val="006B7E56"/>
    <w:rsid w:val="006C019D"/>
    <w:rsid w:val="006C01A4"/>
    <w:rsid w:val="006C0580"/>
    <w:rsid w:val="006C05ED"/>
    <w:rsid w:val="006C0655"/>
    <w:rsid w:val="006C0ACE"/>
    <w:rsid w:val="006C415F"/>
    <w:rsid w:val="006C68B5"/>
    <w:rsid w:val="006C6ACD"/>
    <w:rsid w:val="006C6ADC"/>
    <w:rsid w:val="006C6AE8"/>
    <w:rsid w:val="006C757E"/>
    <w:rsid w:val="006C7D7D"/>
    <w:rsid w:val="006D058C"/>
    <w:rsid w:val="006D0709"/>
    <w:rsid w:val="006D07DF"/>
    <w:rsid w:val="006D152C"/>
    <w:rsid w:val="006D25A5"/>
    <w:rsid w:val="006D28AF"/>
    <w:rsid w:val="006D2DAB"/>
    <w:rsid w:val="006D2DEC"/>
    <w:rsid w:val="006D3078"/>
    <w:rsid w:val="006D32A4"/>
    <w:rsid w:val="006D38E2"/>
    <w:rsid w:val="006D3DD0"/>
    <w:rsid w:val="006D4A24"/>
    <w:rsid w:val="006D51A0"/>
    <w:rsid w:val="006D5A48"/>
    <w:rsid w:val="006D7429"/>
    <w:rsid w:val="006E02D7"/>
    <w:rsid w:val="006E1807"/>
    <w:rsid w:val="006E2B08"/>
    <w:rsid w:val="006E3372"/>
    <w:rsid w:val="006E39A8"/>
    <w:rsid w:val="006E4190"/>
    <w:rsid w:val="006E44D4"/>
    <w:rsid w:val="006E48D6"/>
    <w:rsid w:val="006E6D9F"/>
    <w:rsid w:val="006E7381"/>
    <w:rsid w:val="006E7437"/>
    <w:rsid w:val="006E7585"/>
    <w:rsid w:val="006E7D69"/>
    <w:rsid w:val="006E7EDE"/>
    <w:rsid w:val="006F07B7"/>
    <w:rsid w:val="006F08FE"/>
    <w:rsid w:val="006F0D47"/>
    <w:rsid w:val="006F160E"/>
    <w:rsid w:val="006F1C6F"/>
    <w:rsid w:val="006F2573"/>
    <w:rsid w:val="006F46A5"/>
    <w:rsid w:val="006F49E8"/>
    <w:rsid w:val="006F4E0E"/>
    <w:rsid w:val="006F5CAB"/>
    <w:rsid w:val="00700AB5"/>
    <w:rsid w:val="007027E4"/>
    <w:rsid w:val="0070321F"/>
    <w:rsid w:val="00703D64"/>
    <w:rsid w:val="00703E67"/>
    <w:rsid w:val="00704997"/>
    <w:rsid w:val="007051D6"/>
    <w:rsid w:val="0070620E"/>
    <w:rsid w:val="00706F44"/>
    <w:rsid w:val="0070791B"/>
    <w:rsid w:val="00711115"/>
    <w:rsid w:val="00711146"/>
    <w:rsid w:val="0071141A"/>
    <w:rsid w:val="00711522"/>
    <w:rsid w:val="00711BBB"/>
    <w:rsid w:val="0071241D"/>
    <w:rsid w:val="00712E30"/>
    <w:rsid w:val="00713EA8"/>
    <w:rsid w:val="0071422C"/>
    <w:rsid w:val="00715291"/>
    <w:rsid w:val="00715DC3"/>
    <w:rsid w:val="00715FC8"/>
    <w:rsid w:val="0071661B"/>
    <w:rsid w:val="00716928"/>
    <w:rsid w:val="00717CC2"/>
    <w:rsid w:val="00720F5F"/>
    <w:rsid w:val="007216C2"/>
    <w:rsid w:val="00722495"/>
    <w:rsid w:val="007227DC"/>
    <w:rsid w:val="00723077"/>
    <w:rsid w:val="0072341B"/>
    <w:rsid w:val="007242BB"/>
    <w:rsid w:val="00725B55"/>
    <w:rsid w:val="00730978"/>
    <w:rsid w:val="007327E2"/>
    <w:rsid w:val="00733628"/>
    <w:rsid w:val="00735509"/>
    <w:rsid w:val="007357E3"/>
    <w:rsid w:val="007359AA"/>
    <w:rsid w:val="00735B57"/>
    <w:rsid w:val="0073600A"/>
    <w:rsid w:val="00736344"/>
    <w:rsid w:val="007373F4"/>
    <w:rsid w:val="00737CF1"/>
    <w:rsid w:val="007402B1"/>
    <w:rsid w:val="00740A7B"/>
    <w:rsid w:val="00740B2D"/>
    <w:rsid w:val="00740BE3"/>
    <w:rsid w:val="00740C00"/>
    <w:rsid w:val="00741AE6"/>
    <w:rsid w:val="00743444"/>
    <w:rsid w:val="007440D3"/>
    <w:rsid w:val="007440DD"/>
    <w:rsid w:val="007441EF"/>
    <w:rsid w:val="00745B88"/>
    <w:rsid w:val="007466F6"/>
    <w:rsid w:val="00746748"/>
    <w:rsid w:val="00751052"/>
    <w:rsid w:val="00751696"/>
    <w:rsid w:val="0075199E"/>
    <w:rsid w:val="00751F90"/>
    <w:rsid w:val="00752181"/>
    <w:rsid w:val="0075275A"/>
    <w:rsid w:val="007535DF"/>
    <w:rsid w:val="007539FD"/>
    <w:rsid w:val="00753FE5"/>
    <w:rsid w:val="00754DE4"/>
    <w:rsid w:val="00757855"/>
    <w:rsid w:val="007603F7"/>
    <w:rsid w:val="00760819"/>
    <w:rsid w:val="00760D07"/>
    <w:rsid w:val="00760F5B"/>
    <w:rsid w:val="007634E7"/>
    <w:rsid w:val="00764051"/>
    <w:rsid w:val="007648AC"/>
    <w:rsid w:val="00765276"/>
    <w:rsid w:val="00765803"/>
    <w:rsid w:val="00767232"/>
    <w:rsid w:val="00770A4B"/>
    <w:rsid w:val="00770EA6"/>
    <w:rsid w:val="00772794"/>
    <w:rsid w:val="00773D29"/>
    <w:rsid w:val="0077440B"/>
    <w:rsid w:val="00774A16"/>
    <w:rsid w:val="007773A9"/>
    <w:rsid w:val="007778CF"/>
    <w:rsid w:val="007779F5"/>
    <w:rsid w:val="00780429"/>
    <w:rsid w:val="007807F6"/>
    <w:rsid w:val="00780916"/>
    <w:rsid w:val="007812BD"/>
    <w:rsid w:val="007818E0"/>
    <w:rsid w:val="007821CC"/>
    <w:rsid w:val="00782265"/>
    <w:rsid w:val="00782A98"/>
    <w:rsid w:val="00782C80"/>
    <w:rsid w:val="00783617"/>
    <w:rsid w:val="00783C70"/>
    <w:rsid w:val="00783D51"/>
    <w:rsid w:val="00783FE0"/>
    <w:rsid w:val="007841B6"/>
    <w:rsid w:val="00784644"/>
    <w:rsid w:val="00784924"/>
    <w:rsid w:val="00784B8C"/>
    <w:rsid w:val="007862FB"/>
    <w:rsid w:val="00786436"/>
    <w:rsid w:val="007867B0"/>
    <w:rsid w:val="007868E3"/>
    <w:rsid w:val="00787081"/>
    <w:rsid w:val="00787664"/>
    <w:rsid w:val="00787813"/>
    <w:rsid w:val="0078785B"/>
    <w:rsid w:val="00790898"/>
    <w:rsid w:val="00791828"/>
    <w:rsid w:val="007918AE"/>
    <w:rsid w:val="00791DB0"/>
    <w:rsid w:val="00791EE4"/>
    <w:rsid w:val="00792268"/>
    <w:rsid w:val="00792A85"/>
    <w:rsid w:val="00793469"/>
    <w:rsid w:val="00794C22"/>
    <w:rsid w:val="00795605"/>
    <w:rsid w:val="007956F7"/>
    <w:rsid w:val="00795EAD"/>
    <w:rsid w:val="00796C83"/>
    <w:rsid w:val="00796DA2"/>
    <w:rsid w:val="00797A39"/>
    <w:rsid w:val="00797FEA"/>
    <w:rsid w:val="007A0E30"/>
    <w:rsid w:val="007A1AA4"/>
    <w:rsid w:val="007A1F50"/>
    <w:rsid w:val="007A2408"/>
    <w:rsid w:val="007A251F"/>
    <w:rsid w:val="007A273C"/>
    <w:rsid w:val="007A3509"/>
    <w:rsid w:val="007A4332"/>
    <w:rsid w:val="007A43F0"/>
    <w:rsid w:val="007A5E0C"/>
    <w:rsid w:val="007A5E3D"/>
    <w:rsid w:val="007A5FDB"/>
    <w:rsid w:val="007A690E"/>
    <w:rsid w:val="007A6ADD"/>
    <w:rsid w:val="007A796E"/>
    <w:rsid w:val="007A79BC"/>
    <w:rsid w:val="007A79FE"/>
    <w:rsid w:val="007A7A81"/>
    <w:rsid w:val="007B03E3"/>
    <w:rsid w:val="007B0C6F"/>
    <w:rsid w:val="007B135D"/>
    <w:rsid w:val="007B1710"/>
    <w:rsid w:val="007B1900"/>
    <w:rsid w:val="007B2970"/>
    <w:rsid w:val="007B4927"/>
    <w:rsid w:val="007B50F0"/>
    <w:rsid w:val="007B66E3"/>
    <w:rsid w:val="007B68BF"/>
    <w:rsid w:val="007B6C50"/>
    <w:rsid w:val="007B75D0"/>
    <w:rsid w:val="007B7A48"/>
    <w:rsid w:val="007C1669"/>
    <w:rsid w:val="007C16BC"/>
    <w:rsid w:val="007C1CAC"/>
    <w:rsid w:val="007C27E0"/>
    <w:rsid w:val="007C2A22"/>
    <w:rsid w:val="007C3609"/>
    <w:rsid w:val="007C3EF7"/>
    <w:rsid w:val="007C4FFB"/>
    <w:rsid w:val="007C69AD"/>
    <w:rsid w:val="007D08F4"/>
    <w:rsid w:val="007D0B79"/>
    <w:rsid w:val="007D12D4"/>
    <w:rsid w:val="007D1924"/>
    <w:rsid w:val="007D245B"/>
    <w:rsid w:val="007D28C6"/>
    <w:rsid w:val="007D3D69"/>
    <w:rsid w:val="007D4212"/>
    <w:rsid w:val="007D5433"/>
    <w:rsid w:val="007D56C2"/>
    <w:rsid w:val="007D6490"/>
    <w:rsid w:val="007D6A9D"/>
    <w:rsid w:val="007D7367"/>
    <w:rsid w:val="007D74CF"/>
    <w:rsid w:val="007D7AAA"/>
    <w:rsid w:val="007E0D31"/>
    <w:rsid w:val="007E1A72"/>
    <w:rsid w:val="007E1C19"/>
    <w:rsid w:val="007E2BBF"/>
    <w:rsid w:val="007E2DD9"/>
    <w:rsid w:val="007E3451"/>
    <w:rsid w:val="007E36FB"/>
    <w:rsid w:val="007E3B32"/>
    <w:rsid w:val="007E3B9C"/>
    <w:rsid w:val="007E3BD7"/>
    <w:rsid w:val="007E3E4C"/>
    <w:rsid w:val="007E4CD7"/>
    <w:rsid w:val="007E4CF5"/>
    <w:rsid w:val="007E5094"/>
    <w:rsid w:val="007E520A"/>
    <w:rsid w:val="007E52EA"/>
    <w:rsid w:val="007E5857"/>
    <w:rsid w:val="007E5DE7"/>
    <w:rsid w:val="007E6952"/>
    <w:rsid w:val="007E6C2A"/>
    <w:rsid w:val="007E6FCD"/>
    <w:rsid w:val="007E7ADA"/>
    <w:rsid w:val="007F03B5"/>
    <w:rsid w:val="007F0460"/>
    <w:rsid w:val="007F0993"/>
    <w:rsid w:val="007F1C7D"/>
    <w:rsid w:val="007F206D"/>
    <w:rsid w:val="007F2186"/>
    <w:rsid w:val="007F2F75"/>
    <w:rsid w:val="007F3258"/>
    <w:rsid w:val="007F36B2"/>
    <w:rsid w:val="007F3824"/>
    <w:rsid w:val="007F3860"/>
    <w:rsid w:val="007F3B20"/>
    <w:rsid w:val="007F424D"/>
    <w:rsid w:val="007F446A"/>
    <w:rsid w:val="007F4DD6"/>
    <w:rsid w:val="007F607B"/>
    <w:rsid w:val="007F6213"/>
    <w:rsid w:val="007F6D59"/>
    <w:rsid w:val="00800F0B"/>
    <w:rsid w:val="0080179C"/>
    <w:rsid w:val="008019BE"/>
    <w:rsid w:val="00801BDE"/>
    <w:rsid w:val="00802209"/>
    <w:rsid w:val="008025BC"/>
    <w:rsid w:val="008028AF"/>
    <w:rsid w:val="0080292A"/>
    <w:rsid w:val="00802B61"/>
    <w:rsid w:val="0080421B"/>
    <w:rsid w:val="00805391"/>
    <w:rsid w:val="00805824"/>
    <w:rsid w:val="00805B95"/>
    <w:rsid w:val="00805D81"/>
    <w:rsid w:val="00805DA5"/>
    <w:rsid w:val="00806992"/>
    <w:rsid w:val="00806B69"/>
    <w:rsid w:val="00810107"/>
    <w:rsid w:val="00812484"/>
    <w:rsid w:val="008141D7"/>
    <w:rsid w:val="00814A45"/>
    <w:rsid w:val="00814E9E"/>
    <w:rsid w:val="00815685"/>
    <w:rsid w:val="00815946"/>
    <w:rsid w:val="00817A03"/>
    <w:rsid w:val="00817C27"/>
    <w:rsid w:val="00820645"/>
    <w:rsid w:val="008211F6"/>
    <w:rsid w:val="0082161D"/>
    <w:rsid w:val="00821CCC"/>
    <w:rsid w:val="00822100"/>
    <w:rsid w:val="00822272"/>
    <w:rsid w:val="00822319"/>
    <w:rsid w:val="008223AD"/>
    <w:rsid w:val="0082298B"/>
    <w:rsid w:val="00822D16"/>
    <w:rsid w:val="00822E71"/>
    <w:rsid w:val="00823F24"/>
    <w:rsid w:val="0082447D"/>
    <w:rsid w:val="00824DFC"/>
    <w:rsid w:val="0082505E"/>
    <w:rsid w:val="008250D7"/>
    <w:rsid w:val="00825755"/>
    <w:rsid w:val="00825A58"/>
    <w:rsid w:val="00825D3A"/>
    <w:rsid w:val="0082636A"/>
    <w:rsid w:val="008263C7"/>
    <w:rsid w:val="008275A7"/>
    <w:rsid w:val="00827AC3"/>
    <w:rsid w:val="0083028D"/>
    <w:rsid w:val="008307FA"/>
    <w:rsid w:val="00831154"/>
    <w:rsid w:val="00831CC9"/>
    <w:rsid w:val="0083221A"/>
    <w:rsid w:val="00832415"/>
    <w:rsid w:val="008332FC"/>
    <w:rsid w:val="0083372D"/>
    <w:rsid w:val="00833872"/>
    <w:rsid w:val="00833D92"/>
    <w:rsid w:val="0083591F"/>
    <w:rsid w:val="00835B30"/>
    <w:rsid w:val="00835E9E"/>
    <w:rsid w:val="00836BA0"/>
    <w:rsid w:val="00836FAF"/>
    <w:rsid w:val="008373B6"/>
    <w:rsid w:val="008400F2"/>
    <w:rsid w:val="0084055E"/>
    <w:rsid w:val="0084188F"/>
    <w:rsid w:val="00843900"/>
    <w:rsid w:val="00844871"/>
    <w:rsid w:val="00844BE3"/>
    <w:rsid w:val="00845356"/>
    <w:rsid w:val="00845D85"/>
    <w:rsid w:val="00845DCA"/>
    <w:rsid w:val="00845FA2"/>
    <w:rsid w:val="008460FC"/>
    <w:rsid w:val="008475DA"/>
    <w:rsid w:val="00847DB8"/>
    <w:rsid w:val="0085018A"/>
    <w:rsid w:val="0085076D"/>
    <w:rsid w:val="008521CA"/>
    <w:rsid w:val="00854A6A"/>
    <w:rsid w:val="00854BCF"/>
    <w:rsid w:val="0085510A"/>
    <w:rsid w:val="008555B7"/>
    <w:rsid w:val="00855774"/>
    <w:rsid w:val="00855A22"/>
    <w:rsid w:val="00856F28"/>
    <w:rsid w:val="008573BF"/>
    <w:rsid w:val="0085759D"/>
    <w:rsid w:val="008605F4"/>
    <w:rsid w:val="00860C5D"/>
    <w:rsid w:val="00860D6A"/>
    <w:rsid w:val="00860E73"/>
    <w:rsid w:val="0086148A"/>
    <w:rsid w:val="00861690"/>
    <w:rsid w:val="0086192D"/>
    <w:rsid w:val="00861959"/>
    <w:rsid w:val="00861D1F"/>
    <w:rsid w:val="00862840"/>
    <w:rsid w:val="00863390"/>
    <w:rsid w:val="0086395B"/>
    <w:rsid w:val="00863C47"/>
    <w:rsid w:val="00863CCF"/>
    <w:rsid w:val="00864287"/>
    <w:rsid w:val="00864C15"/>
    <w:rsid w:val="0086500A"/>
    <w:rsid w:val="008650C3"/>
    <w:rsid w:val="00866EEE"/>
    <w:rsid w:val="00867357"/>
    <w:rsid w:val="008675AE"/>
    <w:rsid w:val="008711CA"/>
    <w:rsid w:val="00871AD4"/>
    <w:rsid w:val="008727F4"/>
    <w:rsid w:val="00872B9A"/>
    <w:rsid w:val="008734A3"/>
    <w:rsid w:val="00873637"/>
    <w:rsid w:val="0087392B"/>
    <w:rsid w:val="00874501"/>
    <w:rsid w:val="00874645"/>
    <w:rsid w:val="008752D2"/>
    <w:rsid w:val="0087538A"/>
    <w:rsid w:val="00875A16"/>
    <w:rsid w:val="008764D5"/>
    <w:rsid w:val="00876ECA"/>
    <w:rsid w:val="00877DEF"/>
    <w:rsid w:val="008805C5"/>
    <w:rsid w:val="0088149A"/>
    <w:rsid w:val="00881761"/>
    <w:rsid w:val="00881822"/>
    <w:rsid w:val="00881F8A"/>
    <w:rsid w:val="008821F5"/>
    <w:rsid w:val="00883314"/>
    <w:rsid w:val="00883826"/>
    <w:rsid w:val="00883A22"/>
    <w:rsid w:val="00883A3D"/>
    <w:rsid w:val="008843D9"/>
    <w:rsid w:val="0088514C"/>
    <w:rsid w:val="00885501"/>
    <w:rsid w:val="008857C1"/>
    <w:rsid w:val="00885B42"/>
    <w:rsid w:val="00885B73"/>
    <w:rsid w:val="00885F7C"/>
    <w:rsid w:val="00886050"/>
    <w:rsid w:val="008869BD"/>
    <w:rsid w:val="00887323"/>
    <w:rsid w:val="0089211B"/>
    <w:rsid w:val="00892CCF"/>
    <w:rsid w:val="008932D4"/>
    <w:rsid w:val="00893346"/>
    <w:rsid w:val="00893651"/>
    <w:rsid w:val="0089384D"/>
    <w:rsid w:val="00893A01"/>
    <w:rsid w:val="008944DE"/>
    <w:rsid w:val="00895849"/>
    <w:rsid w:val="008958AC"/>
    <w:rsid w:val="00895A89"/>
    <w:rsid w:val="00896019"/>
    <w:rsid w:val="008960E1"/>
    <w:rsid w:val="008965D5"/>
    <w:rsid w:val="00897054"/>
    <w:rsid w:val="00897B1C"/>
    <w:rsid w:val="00897FAF"/>
    <w:rsid w:val="008A0D7C"/>
    <w:rsid w:val="008A1DF3"/>
    <w:rsid w:val="008A23F5"/>
    <w:rsid w:val="008A3AA2"/>
    <w:rsid w:val="008A46D1"/>
    <w:rsid w:val="008A4877"/>
    <w:rsid w:val="008A4AB8"/>
    <w:rsid w:val="008A4BBA"/>
    <w:rsid w:val="008A4E37"/>
    <w:rsid w:val="008A4FAB"/>
    <w:rsid w:val="008A5262"/>
    <w:rsid w:val="008A537D"/>
    <w:rsid w:val="008A64EE"/>
    <w:rsid w:val="008A6FFF"/>
    <w:rsid w:val="008A775D"/>
    <w:rsid w:val="008B0257"/>
    <w:rsid w:val="008B09AF"/>
    <w:rsid w:val="008B09C0"/>
    <w:rsid w:val="008B1035"/>
    <w:rsid w:val="008B13D9"/>
    <w:rsid w:val="008B1413"/>
    <w:rsid w:val="008B278E"/>
    <w:rsid w:val="008B2920"/>
    <w:rsid w:val="008B2A1D"/>
    <w:rsid w:val="008B3196"/>
    <w:rsid w:val="008B3F42"/>
    <w:rsid w:val="008B40BC"/>
    <w:rsid w:val="008B46C8"/>
    <w:rsid w:val="008B4A08"/>
    <w:rsid w:val="008B612A"/>
    <w:rsid w:val="008B6299"/>
    <w:rsid w:val="008B7650"/>
    <w:rsid w:val="008C00EC"/>
    <w:rsid w:val="008C04A8"/>
    <w:rsid w:val="008C0B22"/>
    <w:rsid w:val="008C1BD5"/>
    <w:rsid w:val="008C1E75"/>
    <w:rsid w:val="008C270F"/>
    <w:rsid w:val="008C2F6F"/>
    <w:rsid w:val="008C3633"/>
    <w:rsid w:val="008C3BBA"/>
    <w:rsid w:val="008C4666"/>
    <w:rsid w:val="008C595B"/>
    <w:rsid w:val="008C5DEC"/>
    <w:rsid w:val="008C68B9"/>
    <w:rsid w:val="008C7263"/>
    <w:rsid w:val="008C731F"/>
    <w:rsid w:val="008C7443"/>
    <w:rsid w:val="008C75CD"/>
    <w:rsid w:val="008D0736"/>
    <w:rsid w:val="008D146C"/>
    <w:rsid w:val="008D16A9"/>
    <w:rsid w:val="008D1884"/>
    <w:rsid w:val="008D1A87"/>
    <w:rsid w:val="008D2362"/>
    <w:rsid w:val="008D25F0"/>
    <w:rsid w:val="008D2C21"/>
    <w:rsid w:val="008D2F7D"/>
    <w:rsid w:val="008D33A6"/>
    <w:rsid w:val="008D387C"/>
    <w:rsid w:val="008D3E70"/>
    <w:rsid w:val="008D4B3B"/>
    <w:rsid w:val="008D55CB"/>
    <w:rsid w:val="008D5BEE"/>
    <w:rsid w:val="008D6D4F"/>
    <w:rsid w:val="008D7501"/>
    <w:rsid w:val="008E05D3"/>
    <w:rsid w:val="008E0D6A"/>
    <w:rsid w:val="008E0DBB"/>
    <w:rsid w:val="008E1DD2"/>
    <w:rsid w:val="008E2036"/>
    <w:rsid w:val="008E2495"/>
    <w:rsid w:val="008E2B68"/>
    <w:rsid w:val="008E36D9"/>
    <w:rsid w:val="008E3D79"/>
    <w:rsid w:val="008E528A"/>
    <w:rsid w:val="008E529A"/>
    <w:rsid w:val="008E5626"/>
    <w:rsid w:val="008E6A32"/>
    <w:rsid w:val="008E71FA"/>
    <w:rsid w:val="008E7C8D"/>
    <w:rsid w:val="008F042E"/>
    <w:rsid w:val="008F055A"/>
    <w:rsid w:val="008F285E"/>
    <w:rsid w:val="008F38F2"/>
    <w:rsid w:val="008F467F"/>
    <w:rsid w:val="008F48D2"/>
    <w:rsid w:val="008F4F93"/>
    <w:rsid w:val="008F5321"/>
    <w:rsid w:val="008F6735"/>
    <w:rsid w:val="008F6C42"/>
    <w:rsid w:val="008F76AE"/>
    <w:rsid w:val="008F7712"/>
    <w:rsid w:val="008F77F4"/>
    <w:rsid w:val="009005DB"/>
    <w:rsid w:val="00900D7D"/>
    <w:rsid w:val="00900E71"/>
    <w:rsid w:val="0090160F"/>
    <w:rsid w:val="00901881"/>
    <w:rsid w:val="00901CCA"/>
    <w:rsid w:val="00901CCB"/>
    <w:rsid w:val="00901E5B"/>
    <w:rsid w:val="00902665"/>
    <w:rsid w:val="00903138"/>
    <w:rsid w:val="009034D6"/>
    <w:rsid w:val="00903A11"/>
    <w:rsid w:val="00904707"/>
    <w:rsid w:val="0090533D"/>
    <w:rsid w:val="00905C19"/>
    <w:rsid w:val="009078CA"/>
    <w:rsid w:val="00907E37"/>
    <w:rsid w:val="0091042D"/>
    <w:rsid w:val="00910522"/>
    <w:rsid w:val="009106FB"/>
    <w:rsid w:val="00910BC9"/>
    <w:rsid w:val="0091196D"/>
    <w:rsid w:val="0091199F"/>
    <w:rsid w:val="00911EBE"/>
    <w:rsid w:val="009124AB"/>
    <w:rsid w:val="00912748"/>
    <w:rsid w:val="00912951"/>
    <w:rsid w:val="00912B0F"/>
    <w:rsid w:val="00913291"/>
    <w:rsid w:val="00913984"/>
    <w:rsid w:val="00913C71"/>
    <w:rsid w:val="009140CF"/>
    <w:rsid w:val="0091424A"/>
    <w:rsid w:val="00914C99"/>
    <w:rsid w:val="00914DFA"/>
    <w:rsid w:val="0091583A"/>
    <w:rsid w:val="00916852"/>
    <w:rsid w:val="00916AED"/>
    <w:rsid w:val="00916C06"/>
    <w:rsid w:val="009201D4"/>
    <w:rsid w:val="00921696"/>
    <w:rsid w:val="00921991"/>
    <w:rsid w:val="00922165"/>
    <w:rsid w:val="00922A65"/>
    <w:rsid w:val="00922B8E"/>
    <w:rsid w:val="009235F7"/>
    <w:rsid w:val="00923A26"/>
    <w:rsid w:val="00923E88"/>
    <w:rsid w:val="00924DC6"/>
    <w:rsid w:val="009255DA"/>
    <w:rsid w:val="0092690A"/>
    <w:rsid w:val="00926C28"/>
    <w:rsid w:val="00926CFD"/>
    <w:rsid w:val="00927527"/>
    <w:rsid w:val="00927649"/>
    <w:rsid w:val="009302AA"/>
    <w:rsid w:val="00930599"/>
    <w:rsid w:val="00930AB7"/>
    <w:rsid w:val="009335FF"/>
    <w:rsid w:val="0093397B"/>
    <w:rsid w:val="00933A3D"/>
    <w:rsid w:val="00933E17"/>
    <w:rsid w:val="00933EC1"/>
    <w:rsid w:val="009345AC"/>
    <w:rsid w:val="0093531F"/>
    <w:rsid w:val="00935323"/>
    <w:rsid w:val="00936529"/>
    <w:rsid w:val="00936C45"/>
    <w:rsid w:val="00936F94"/>
    <w:rsid w:val="009370B8"/>
    <w:rsid w:val="00941BC7"/>
    <w:rsid w:val="00941D55"/>
    <w:rsid w:val="00941FCF"/>
    <w:rsid w:val="009421D9"/>
    <w:rsid w:val="00942EFD"/>
    <w:rsid w:val="0094384B"/>
    <w:rsid w:val="00943B9B"/>
    <w:rsid w:val="00943EC8"/>
    <w:rsid w:val="00944852"/>
    <w:rsid w:val="009449C8"/>
    <w:rsid w:val="00944E84"/>
    <w:rsid w:val="00945145"/>
    <w:rsid w:val="00945CD5"/>
    <w:rsid w:val="009469E4"/>
    <w:rsid w:val="00946A76"/>
    <w:rsid w:val="00947D38"/>
    <w:rsid w:val="00950C76"/>
    <w:rsid w:val="00950D9F"/>
    <w:rsid w:val="009528FE"/>
    <w:rsid w:val="00952C6C"/>
    <w:rsid w:val="009548EE"/>
    <w:rsid w:val="00954A9E"/>
    <w:rsid w:val="00955A2F"/>
    <w:rsid w:val="00955AA9"/>
    <w:rsid w:val="009563AA"/>
    <w:rsid w:val="00956724"/>
    <w:rsid w:val="0095676B"/>
    <w:rsid w:val="009567B7"/>
    <w:rsid w:val="0095793B"/>
    <w:rsid w:val="009600BF"/>
    <w:rsid w:val="009608AC"/>
    <w:rsid w:val="00960FAA"/>
    <w:rsid w:val="00961A4F"/>
    <w:rsid w:val="00961D0E"/>
    <w:rsid w:val="009630B2"/>
    <w:rsid w:val="0096350B"/>
    <w:rsid w:val="009651F7"/>
    <w:rsid w:val="00965E08"/>
    <w:rsid w:val="009661FA"/>
    <w:rsid w:val="0096626E"/>
    <w:rsid w:val="00966DD1"/>
    <w:rsid w:val="00967401"/>
    <w:rsid w:val="009676CA"/>
    <w:rsid w:val="00970837"/>
    <w:rsid w:val="00970D15"/>
    <w:rsid w:val="009722E7"/>
    <w:rsid w:val="00972AD1"/>
    <w:rsid w:val="00972C53"/>
    <w:rsid w:val="00972E45"/>
    <w:rsid w:val="009741BF"/>
    <w:rsid w:val="00974460"/>
    <w:rsid w:val="00975EA0"/>
    <w:rsid w:val="0097653E"/>
    <w:rsid w:val="009773B7"/>
    <w:rsid w:val="009776B0"/>
    <w:rsid w:val="0098044F"/>
    <w:rsid w:val="00980526"/>
    <w:rsid w:val="00980552"/>
    <w:rsid w:val="00981362"/>
    <w:rsid w:val="00981610"/>
    <w:rsid w:val="0098355F"/>
    <w:rsid w:val="009836B6"/>
    <w:rsid w:val="00983729"/>
    <w:rsid w:val="009837E9"/>
    <w:rsid w:val="0098453C"/>
    <w:rsid w:val="00984A90"/>
    <w:rsid w:val="0098597F"/>
    <w:rsid w:val="00985AFA"/>
    <w:rsid w:val="009862C0"/>
    <w:rsid w:val="009866AE"/>
    <w:rsid w:val="00986BC7"/>
    <w:rsid w:val="00987150"/>
    <w:rsid w:val="00990541"/>
    <w:rsid w:val="009916FB"/>
    <w:rsid w:val="0099248D"/>
    <w:rsid w:val="00993245"/>
    <w:rsid w:val="00993BFC"/>
    <w:rsid w:val="00993EB3"/>
    <w:rsid w:val="00994100"/>
    <w:rsid w:val="00994763"/>
    <w:rsid w:val="0099519F"/>
    <w:rsid w:val="009962D5"/>
    <w:rsid w:val="00996E20"/>
    <w:rsid w:val="0099716A"/>
    <w:rsid w:val="009976A4"/>
    <w:rsid w:val="009977BD"/>
    <w:rsid w:val="009A0908"/>
    <w:rsid w:val="009A0C4A"/>
    <w:rsid w:val="009A2A04"/>
    <w:rsid w:val="009A39DD"/>
    <w:rsid w:val="009A3EA7"/>
    <w:rsid w:val="009A4485"/>
    <w:rsid w:val="009A5C80"/>
    <w:rsid w:val="009A682A"/>
    <w:rsid w:val="009A6B8E"/>
    <w:rsid w:val="009B06A8"/>
    <w:rsid w:val="009B08F5"/>
    <w:rsid w:val="009B1EBE"/>
    <w:rsid w:val="009B28B5"/>
    <w:rsid w:val="009B36E9"/>
    <w:rsid w:val="009B39EC"/>
    <w:rsid w:val="009B3CCC"/>
    <w:rsid w:val="009B4883"/>
    <w:rsid w:val="009B4A16"/>
    <w:rsid w:val="009B5261"/>
    <w:rsid w:val="009B5E6C"/>
    <w:rsid w:val="009B6009"/>
    <w:rsid w:val="009B624B"/>
    <w:rsid w:val="009B6301"/>
    <w:rsid w:val="009B7EAD"/>
    <w:rsid w:val="009C013C"/>
    <w:rsid w:val="009C1202"/>
    <w:rsid w:val="009C15C6"/>
    <w:rsid w:val="009C16F2"/>
    <w:rsid w:val="009C1879"/>
    <w:rsid w:val="009C19C7"/>
    <w:rsid w:val="009C2483"/>
    <w:rsid w:val="009C2515"/>
    <w:rsid w:val="009C287D"/>
    <w:rsid w:val="009C2A73"/>
    <w:rsid w:val="009C2D28"/>
    <w:rsid w:val="009C32E9"/>
    <w:rsid w:val="009C35EB"/>
    <w:rsid w:val="009C3E5C"/>
    <w:rsid w:val="009C4EB9"/>
    <w:rsid w:val="009C5084"/>
    <w:rsid w:val="009C5404"/>
    <w:rsid w:val="009C5C2D"/>
    <w:rsid w:val="009C6785"/>
    <w:rsid w:val="009C6A22"/>
    <w:rsid w:val="009D0278"/>
    <w:rsid w:val="009D067E"/>
    <w:rsid w:val="009D1874"/>
    <w:rsid w:val="009D1902"/>
    <w:rsid w:val="009D19B8"/>
    <w:rsid w:val="009D1DE0"/>
    <w:rsid w:val="009D2A4F"/>
    <w:rsid w:val="009D3F78"/>
    <w:rsid w:val="009D5057"/>
    <w:rsid w:val="009D51C6"/>
    <w:rsid w:val="009D54E6"/>
    <w:rsid w:val="009D55AC"/>
    <w:rsid w:val="009D5ED8"/>
    <w:rsid w:val="009D65E9"/>
    <w:rsid w:val="009D7359"/>
    <w:rsid w:val="009D7AC0"/>
    <w:rsid w:val="009E1D42"/>
    <w:rsid w:val="009E1D77"/>
    <w:rsid w:val="009E2103"/>
    <w:rsid w:val="009E2644"/>
    <w:rsid w:val="009E36F1"/>
    <w:rsid w:val="009E4255"/>
    <w:rsid w:val="009E5220"/>
    <w:rsid w:val="009E5418"/>
    <w:rsid w:val="009E5643"/>
    <w:rsid w:val="009E5979"/>
    <w:rsid w:val="009E5BCB"/>
    <w:rsid w:val="009E6006"/>
    <w:rsid w:val="009E6E51"/>
    <w:rsid w:val="009E778A"/>
    <w:rsid w:val="009E7915"/>
    <w:rsid w:val="009E7A60"/>
    <w:rsid w:val="009F02C7"/>
    <w:rsid w:val="009F13C6"/>
    <w:rsid w:val="009F1FD1"/>
    <w:rsid w:val="009F20E5"/>
    <w:rsid w:val="009F21F3"/>
    <w:rsid w:val="009F2829"/>
    <w:rsid w:val="009F2E04"/>
    <w:rsid w:val="009F2F7E"/>
    <w:rsid w:val="009F3DA9"/>
    <w:rsid w:val="009F4058"/>
    <w:rsid w:val="009F4284"/>
    <w:rsid w:val="009F4956"/>
    <w:rsid w:val="009F5201"/>
    <w:rsid w:val="009F595F"/>
    <w:rsid w:val="009F5CB8"/>
    <w:rsid w:val="009F6344"/>
    <w:rsid w:val="009F66B9"/>
    <w:rsid w:val="009F6CDE"/>
    <w:rsid w:val="009F7746"/>
    <w:rsid w:val="009F79BB"/>
    <w:rsid w:val="00A025D1"/>
    <w:rsid w:val="00A02CA0"/>
    <w:rsid w:val="00A04270"/>
    <w:rsid w:val="00A04A61"/>
    <w:rsid w:val="00A04B60"/>
    <w:rsid w:val="00A04CA6"/>
    <w:rsid w:val="00A061BC"/>
    <w:rsid w:val="00A065E1"/>
    <w:rsid w:val="00A06E78"/>
    <w:rsid w:val="00A070F8"/>
    <w:rsid w:val="00A07843"/>
    <w:rsid w:val="00A10F70"/>
    <w:rsid w:val="00A12F7B"/>
    <w:rsid w:val="00A1336E"/>
    <w:rsid w:val="00A13E1D"/>
    <w:rsid w:val="00A14133"/>
    <w:rsid w:val="00A14CCE"/>
    <w:rsid w:val="00A15799"/>
    <w:rsid w:val="00A15DDE"/>
    <w:rsid w:val="00A16401"/>
    <w:rsid w:val="00A20690"/>
    <w:rsid w:val="00A20AF7"/>
    <w:rsid w:val="00A22945"/>
    <w:rsid w:val="00A23B74"/>
    <w:rsid w:val="00A23CFF"/>
    <w:rsid w:val="00A24922"/>
    <w:rsid w:val="00A25784"/>
    <w:rsid w:val="00A257B7"/>
    <w:rsid w:val="00A25A21"/>
    <w:rsid w:val="00A262EF"/>
    <w:rsid w:val="00A26584"/>
    <w:rsid w:val="00A3060F"/>
    <w:rsid w:val="00A31A09"/>
    <w:rsid w:val="00A32839"/>
    <w:rsid w:val="00A32A52"/>
    <w:rsid w:val="00A32F16"/>
    <w:rsid w:val="00A34723"/>
    <w:rsid w:val="00A3594A"/>
    <w:rsid w:val="00A36F51"/>
    <w:rsid w:val="00A3759C"/>
    <w:rsid w:val="00A37DA7"/>
    <w:rsid w:val="00A40022"/>
    <w:rsid w:val="00A40D19"/>
    <w:rsid w:val="00A416E2"/>
    <w:rsid w:val="00A41B05"/>
    <w:rsid w:val="00A42D28"/>
    <w:rsid w:val="00A4310F"/>
    <w:rsid w:val="00A43895"/>
    <w:rsid w:val="00A43BE7"/>
    <w:rsid w:val="00A43F4E"/>
    <w:rsid w:val="00A43F89"/>
    <w:rsid w:val="00A45497"/>
    <w:rsid w:val="00A4569D"/>
    <w:rsid w:val="00A45AA9"/>
    <w:rsid w:val="00A45C42"/>
    <w:rsid w:val="00A45E94"/>
    <w:rsid w:val="00A4619B"/>
    <w:rsid w:val="00A46BB1"/>
    <w:rsid w:val="00A47631"/>
    <w:rsid w:val="00A50052"/>
    <w:rsid w:val="00A50BA3"/>
    <w:rsid w:val="00A50DC6"/>
    <w:rsid w:val="00A544C8"/>
    <w:rsid w:val="00A54D8E"/>
    <w:rsid w:val="00A55697"/>
    <w:rsid w:val="00A55EDF"/>
    <w:rsid w:val="00A562C0"/>
    <w:rsid w:val="00A56750"/>
    <w:rsid w:val="00A56762"/>
    <w:rsid w:val="00A57BD9"/>
    <w:rsid w:val="00A57CC3"/>
    <w:rsid w:val="00A6070E"/>
    <w:rsid w:val="00A61763"/>
    <w:rsid w:val="00A6196F"/>
    <w:rsid w:val="00A619F9"/>
    <w:rsid w:val="00A6298B"/>
    <w:rsid w:val="00A64D1D"/>
    <w:rsid w:val="00A652E6"/>
    <w:rsid w:val="00A6730E"/>
    <w:rsid w:val="00A71112"/>
    <w:rsid w:val="00A716AC"/>
    <w:rsid w:val="00A718AC"/>
    <w:rsid w:val="00A725D6"/>
    <w:rsid w:val="00A72C40"/>
    <w:rsid w:val="00A72FBA"/>
    <w:rsid w:val="00A736D7"/>
    <w:rsid w:val="00A73910"/>
    <w:rsid w:val="00A73CCC"/>
    <w:rsid w:val="00A73DFA"/>
    <w:rsid w:val="00A743BC"/>
    <w:rsid w:val="00A748E5"/>
    <w:rsid w:val="00A75A43"/>
    <w:rsid w:val="00A75D3C"/>
    <w:rsid w:val="00A75F27"/>
    <w:rsid w:val="00A76C38"/>
    <w:rsid w:val="00A773B2"/>
    <w:rsid w:val="00A804E3"/>
    <w:rsid w:val="00A805C7"/>
    <w:rsid w:val="00A80666"/>
    <w:rsid w:val="00A80F6C"/>
    <w:rsid w:val="00A81DD7"/>
    <w:rsid w:val="00A82576"/>
    <w:rsid w:val="00A82989"/>
    <w:rsid w:val="00A82AB5"/>
    <w:rsid w:val="00A82DA2"/>
    <w:rsid w:val="00A8334E"/>
    <w:rsid w:val="00A83B8F"/>
    <w:rsid w:val="00A847D2"/>
    <w:rsid w:val="00A85168"/>
    <w:rsid w:val="00A853DE"/>
    <w:rsid w:val="00A86086"/>
    <w:rsid w:val="00A871FC"/>
    <w:rsid w:val="00A87919"/>
    <w:rsid w:val="00A9019A"/>
    <w:rsid w:val="00A91038"/>
    <w:rsid w:val="00A92545"/>
    <w:rsid w:val="00A92AFA"/>
    <w:rsid w:val="00A935B6"/>
    <w:rsid w:val="00A94AF7"/>
    <w:rsid w:val="00A95A7B"/>
    <w:rsid w:val="00A96026"/>
    <w:rsid w:val="00A9773B"/>
    <w:rsid w:val="00A978D3"/>
    <w:rsid w:val="00A9793A"/>
    <w:rsid w:val="00A97974"/>
    <w:rsid w:val="00A979B3"/>
    <w:rsid w:val="00AA08EC"/>
    <w:rsid w:val="00AA0B2E"/>
    <w:rsid w:val="00AA0C53"/>
    <w:rsid w:val="00AA11FF"/>
    <w:rsid w:val="00AA149D"/>
    <w:rsid w:val="00AA2177"/>
    <w:rsid w:val="00AA2276"/>
    <w:rsid w:val="00AA439B"/>
    <w:rsid w:val="00AA4F39"/>
    <w:rsid w:val="00AA552E"/>
    <w:rsid w:val="00AA67AA"/>
    <w:rsid w:val="00AA757B"/>
    <w:rsid w:val="00AB02C6"/>
    <w:rsid w:val="00AB0373"/>
    <w:rsid w:val="00AB0FA5"/>
    <w:rsid w:val="00AB20E0"/>
    <w:rsid w:val="00AB220E"/>
    <w:rsid w:val="00AB28AD"/>
    <w:rsid w:val="00AB3438"/>
    <w:rsid w:val="00AB4281"/>
    <w:rsid w:val="00AB491A"/>
    <w:rsid w:val="00AB4A62"/>
    <w:rsid w:val="00AB5459"/>
    <w:rsid w:val="00AB5D5B"/>
    <w:rsid w:val="00AB7728"/>
    <w:rsid w:val="00AB7984"/>
    <w:rsid w:val="00AB7F49"/>
    <w:rsid w:val="00AC05A1"/>
    <w:rsid w:val="00AC150C"/>
    <w:rsid w:val="00AC3658"/>
    <w:rsid w:val="00AC4389"/>
    <w:rsid w:val="00AC44B6"/>
    <w:rsid w:val="00AC45DB"/>
    <w:rsid w:val="00AC52C0"/>
    <w:rsid w:val="00AC5B0C"/>
    <w:rsid w:val="00AC5B8F"/>
    <w:rsid w:val="00AC5B92"/>
    <w:rsid w:val="00AC630C"/>
    <w:rsid w:val="00AC63E5"/>
    <w:rsid w:val="00AD00B1"/>
    <w:rsid w:val="00AD00EE"/>
    <w:rsid w:val="00AD290D"/>
    <w:rsid w:val="00AD2DD0"/>
    <w:rsid w:val="00AD3C31"/>
    <w:rsid w:val="00AD4D16"/>
    <w:rsid w:val="00AD5175"/>
    <w:rsid w:val="00AD5AC7"/>
    <w:rsid w:val="00AD5BC8"/>
    <w:rsid w:val="00AD5FF6"/>
    <w:rsid w:val="00AD6E36"/>
    <w:rsid w:val="00AD6E47"/>
    <w:rsid w:val="00AD7DF0"/>
    <w:rsid w:val="00AE047E"/>
    <w:rsid w:val="00AE07AF"/>
    <w:rsid w:val="00AE1050"/>
    <w:rsid w:val="00AE1353"/>
    <w:rsid w:val="00AE1A5F"/>
    <w:rsid w:val="00AE297B"/>
    <w:rsid w:val="00AE2AD7"/>
    <w:rsid w:val="00AE2FB4"/>
    <w:rsid w:val="00AE382A"/>
    <w:rsid w:val="00AE40BC"/>
    <w:rsid w:val="00AE4BE0"/>
    <w:rsid w:val="00AE54C9"/>
    <w:rsid w:val="00AE54DB"/>
    <w:rsid w:val="00AF000D"/>
    <w:rsid w:val="00AF03C2"/>
    <w:rsid w:val="00AF04F5"/>
    <w:rsid w:val="00AF0A6A"/>
    <w:rsid w:val="00AF0C86"/>
    <w:rsid w:val="00AF1313"/>
    <w:rsid w:val="00AF14DF"/>
    <w:rsid w:val="00AF27E7"/>
    <w:rsid w:val="00AF27FD"/>
    <w:rsid w:val="00AF2E45"/>
    <w:rsid w:val="00AF31C2"/>
    <w:rsid w:val="00AF3EF3"/>
    <w:rsid w:val="00AF42D1"/>
    <w:rsid w:val="00AF4532"/>
    <w:rsid w:val="00AF4778"/>
    <w:rsid w:val="00AF4E6B"/>
    <w:rsid w:val="00AF4F80"/>
    <w:rsid w:val="00AF58B0"/>
    <w:rsid w:val="00AF5B79"/>
    <w:rsid w:val="00AF5E10"/>
    <w:rsid w:val="00AF6BBA"/>
    <w:rsid w:val="00AF76DB"/>
    <w:rsid w:val="00AF7C48"/>
    <w:rsid w:val="00AF7D1F"/>
    <w:rsid w:val="00B00464"/>
    <w:rsid w:val="00B0093D"/>
    <w:rsid w:val="00B00CDE"/>
    <w:rsid w:val="00B02F46"/>
    <w:rsid w:val="00B04866"/>
    <w:rsid w:val="00B051B0"/>
    <w:rsid w:val="00B05437"/>
    <w:rsid w:val="00B066F5"/>
    <w:rsid w:val="00B0775C"/>
    <w:rsid w:val="00B1056C"/>
    <w:rsid w:val="00B11BEB"/>
    <w:rsid w:val="00B1271E"/>
    <w:rsid w:val="00B12F84"/>
    <w:rsid w:val="00B13422"/>
    <w:rsid w:val="00B135ED"/>
    <w:rsid w:val="00B13DB5"/>
    <w:rsid w:val="00B13FCB"/>
    <w:rsid w:val="00B13FF2"/>
    <w:rsid w:val="00B1455E"/>
    <w:rsid w:val="00B158E6"/>
    <w:rsid w:val="00B15BA2"/>
    <w:rsid w:val="00B16064"/>
    <w:rsid w:val="00B16272"/>
    <w:rsid w:val="00B2003D"/>
    <w:rsid w:val="00B20417"/>
    <w:rsid w:val="00B20482"/>
    <w:rsid w:val="00B208D5"/>
    <w:rsid w:val="00B20E6D"/>
    <w:rsid w:val="00B2104C"/>
    <w:rsid w:val="00B21A51"/>
    <w:rsid w:val="00B24583"/>
    <w:rsid w:val="00B253BD"/>
    <w:rsid w:val="00B261D1"/>
    <w:rsid w:val="00B26F1F"/>
    <w:rsid w:val="00B2701D"/>
    <w:rsid w:val="00B277F2"/>
    <w:rsid w:val="00B2796F"/>
    <w:rsid w:val="00B30F9E"/>
    <w:rsid w:val="00B310E7"/>
    <w:rsid w:val="00B31397"/>
    <w:rsid w:val="00B33337"/>
    <w:rsid w:val="00B33451"/>
    <w:rsid w:val="00B35845"/>
    <w:rsid w:val="00B36040"/>
    <w:rsid w:val="00B36D77"/>
    <w:rsid w:val="00B36FB6"/>
    <w:rsid w:val="00B37544"/>
    <w:rsid w:val="00B37889"/>
    <w:rsid w:val="00B37996"/>
    <w:rsid w:val="00B37AA6"/>
    <w:rsid w:val="00B37E3D"/>
    <w:rsid w:val="00B40784"/>
    <w:rsid w:val="00B41146"/>
    <w:rsid w:val="00B413C9"/>
    <w:rsid w:val="00B41E3E"/>
    <w:rsid w:val="00B41F00"/>
    <w:rsid w:val="00B4202F"/>
    <w:rsid w:val="00B421CF"/>
    <w:rsid w:val="00B42309"/>
    <w:rsid w:val="00B43D80"/>
    <w:rsid w:val="00B43FD3"/>
    <w:rsid w:val="00B44717"/>
    <w:rsid w:val="00B44EE2"/>
    <w:rsid w:val="00B4645B"/>
    <w:rsid w:val="00B46C5F"/>
    <w:rsid w:val="00B4715E"/>
    <w:rsid w:val="00B51549"/>
    <w:rsid w:val="00B51A84"/>
    <w:rsid w:val="00B5380E"/>
    <w:rsid w:val="00B55E95"/>
    <w:rsid w:val="00B566FC"/>
    <w:rsid w:val="00B571C3"/>
    <w:rsid w:val="00B572CE"/>
    <w:rsid w:val="00B620A1"/>
    <w:rsid w:val="00B63B3B"/>
    <w:rsid w:val="00B63FCC"/>
    <w:rsid w:val="00B64A04"/>
    <w:rsid w:val="00B65A5B"/>
    <w:rsid w:val="00B66320"/>
    <w:rsid w:val="00B66582"/>
    <w:rsid w:val="00B666A9"/>
    <w:rsid w:val="00B6680E"/>
    <w:rsid w:val="00B66A9C"/>
    <w:rsid w:val="00B67630"/>
    <w:rsid w:val="00B676EF"/>
    <w:rsid w:val="00B7006B"/>
    <w:rsid w:val="00B704B7"/>
    <w:rsid w:val="00B707F2"/>
    <w:rsid w:val="00B70D78"/>
    <w:rsid w:val="00B70E1F"/>
    <w:rsid w:val="00B72073"/>
    <w:rsid w:val="00B725CB"/>
    <w:rsid w:val="00B72883"/>
    <w:rsid w:val="00B72AF5"/>
    <w:rsid w:val="00B73060"/>
    <w:rsid w:val="00B75C8B"/>
    <w:rsid w:val="00B77CEF"/>
    <w:rsid w:val="00B77DB5"/>
    <w:rsid w:val="00B77DC5"/>
    <w:rsid w:val="00B807B0"/>
    <w:rsid w:val="00B8081D"/>
    <w:rsid w:val="00B818D3"/>
    <w:rsid w:val="00B8317B"/>
    <w:rsid w:val="00B8326B"/>
    <w:rsid w:val="00B83F41"/>
    <w:rsid w:val="00B86705"/>
    <w:rsid w:val="00B874B3"/>
    <w:rsid w:val="00B87775"/>
    <w:rsid w:val="00B87EE8"/>
    <w:rsid w:val="00B91185"/>
    <w:rsid w:val="00B913D2"/>
    <w:rsid w:val="00B92546"/>
    <w:rsid w:val="00B93621"/>
    <w:rsid w:val="00B94880"/>
    <w:rsid w:val="00B94CCA"/>
    <w:rsid w:val="00B94D9F"/>
    <w:rsid w:val="00B95158"/>
    <w:rsid w:val="00B9518D"/>
    <w:rsid w:val="00B95AC8"/>
    <w:rsid w:val="00B962AA"/>
    <w:rsid w:val="00B965FA"/>
    <w:rsid w:val="00BA0661"/>
    <w:rsid w:val="00BA067E"/>
    <w:rsid w:val="00BA0999"/>
    <w:rsid w:val="00BA0BE8"/>
    <w:rsid w:val="00BA175C"/>
    <w:rsid w:val="00BA1D70"/>
    <w:rsid w:val="00BA1F43"/>
    <w:rsid w:val="00BA2A5C"/>
    <w:rsid w:val="00BA30B8"/>
    <w:rsid w:val="00BA392F"/>
    <w:rsid w:val="00BA3D0F"/>
    <w:rsid w:val="00BA6E05"/>
    <w:rsid w:val="00BB066E"/>
    <w:rsid w:val="00BB0BDD"/>
    <w:rsid w:val="00BB0F2A"/>
    <w:rsid w:val="00BB12D4"/>
    <w:rsid w:val="00BB1C93"/>
    <w:rsid w:val="00BB1F71"/>
    <w:rsid w:val="00BB3228"/>
    <w:rsid w:val="00BB3D56"/>
    <w:rsid w:val="00BB4E79"/>
    <w:rsid w:val="00BB5A3F"/>
    <w:rsid w:val="00BB6282"/>
    <w:rsid w:val="00BB6B03"/>
    <w:rsid w:val="00BB6D9D"/>
    <w:rsid w:val="00BB75E8"/>
    <w:rsid w:val="00BC014D"/>
    <w:rsid w:val="00BC0925"/>
    <w:rsid w:val="00BC0C1D"/>
    <w:rsid w:val="00BC1B53"/>
    <w:rsid w:val="00BC1B90"/>
    <w:rsid w:val="00BC244E"/>
    <w:rsid w:val="00BC3A70"/>
    <w:rsid w:val="00BC4117"/>
    <w:rsid w:val="00BC4C18"/>
    <w:rsid w:val="00BC4D37"/>
    <w:rsid w:val="00BC5E40"/>
    <w:rsid w:val="00BC652F"/>
    <w:rsid w:val="00BC7B8A"/>
    <w:rsid w:val="00BD0807"/>
    <w:rsid w:val="00BD0A15"/>
    <w:rsid w:val="00BD0DA9"/>
    <w:rsid w:val="00BD1CE9"/>
    <w:rsid w:val="00BD3176"/>
    <w:rsid w:val="00BD4300"/>
    <w:rsid w:val="00BD4587"/>
    <w:rsid w:val="00BD4596"/>
    <w:rsid w:val="00BD50B3"/>
    <w:rsid w:val="00BE027A"/>
    <w:rsid w:val="00BE0726"/>
    <w:rsid w:val="00BE1E18"/>
    <w:rsid w:val="00BE26DE"/>
    <w:rsid w:val="00BE4103"/>
    <w:rsid w:val="00BE4CF9"/>
    <w:rsid w:val="00BE5265"/>
    <w:rsid w:val="00BE5302"/>
    <w:rsid w:val="00BE5D6C"/>
    <w:rsid w:val="00BE6BFA"/>
    <w:rsid w:val="00BE6CE3"/>
    <w:rsid w:val="00BE783E"/>
    <w:rsid w:val="00BF0AF1"/>
    <w:rsid w:val="00BF1808"/>
    <w:rsid w:val="00BF1956"/>
    <w:rsid w:val="00BF20B7"/>
    <w:rsid w:val="00BF2461"/>
    <w:rsid w:val="00BF272C"/>
    <w:rsid w:val="00BF27A5"/>
    <w:rsid w:val="00BF34AE"/>
    <w:rsid w:val="00BF4C27"/>
    <w:rsid w:val="00BF7317"/>
    <w:rsid w:val="00BF748C"/>
    <w:rsid w:val="00C0112B"/>
    <w:rsid w:val="00C012AE"/>
    <w:rsid w:val="00C0198A"/>
    <w:rsid w:val="00C01AEB"/>
    <w:rsid w:val="00C01C75"/>
    <w:rsid w:val="00C02317"/>
    <w:rsid w:val="00C023C0"/>
    <w:rsid w:val="00C02764"/>
    <w:rsid w:val="00C0346F"/>
    <w:rsid w:val="00C047A5"/>
    <w:rsid w:val="00C04B94"/>
    <w:rsid w:val="00C056DA"/>
    <w:rsid w:val="00C0659F"/>
    <w:rsid w:val="00C066D2"/>
    <w:rsid w:val="00C06BE6"/>
    <w:rsid w:val="00C07171"/>
    <w:rsid w:val="00C0727A"/>
    <w:rsid w:val="00C0745A"/>
    <w:rsid w:val="00C07FC0"/>
    <w:rsid w:val="00C10B0D"/>
    <w:rsid w:val="00C1161C"/>
    <w:rsid w:val="00C117AF"/>
    <w:rsid w:val="00C1181D"/>
    <w:rsid w:val="00C12FFC"/>
    <w:rsid w:val="00C13488"/>
    <w:rsid w:val="00C13D0C"/>
    <w:rsid w:val="00C14D8D"/>
    <w:rsid w:val="00C14ED9"/>
    <w:rsid w:val="00C14EDE"/>
    <w:rsid w:val="00C15AC1"/>
    <w:rsid w:val="00C161D4"/>
    <w:rsid w:val="00C16C77"/>
    <w:rsid w:val="00C16E21"/>
    <w:rsid w:val="00C16F4A"/>
    <w:rsid w:val="00C17853"/>
    <w:rsid w:val="00C20C4F"/>
    <w:rsid w:val="00C20DE3"/>
    <w:rsid w:val="00C21183"/>
    <w:rsid w:val="00C214F3"/>
    <w:rsid w:val="00C2246A"/>
    <w:rsid w:val="00C22739"/>
    <w:rsid w:val="00C23009"/>
    <w:rsid w:val="00C23301"/>
    <w:rsid w:val="00C23B62"/>
    <w:rsid w:val="00C23B64"/>
    <w:rsid w:val="00C25B01"/>
    <w:rsid w:val="00C25C52"/>
    <w:rsid w:val="00C25E5A"/>
    <w:rsid w:val="00C25FBB"/>
    <w:rsid w:val="00C2698D"/>
    <w:rsid w:val="00C26D69"/>
    <w:rsid w:val="00C2745F"/>
    <w:rsid w:val="00C27482"/>
    <w:rsid w:val="00C27D97"/>
    <w:rsid w:val="00C27E46"/>
    <w:rsid w:val="00C3031C"/>
    <w:rsid w:val="00C311BA"/>
    <w:rsid w:val="00C316EE"/>
    <w:rsid w:val="00C31A3E"/>
    <w:rsid w:val="00C31B3F"/>
    <w:rsid w:val="00C31C27"/>
    <w:rsid w:val="00C31F7D"/>
    <w:rsid w:val="00C329DC"/>
    <w:rsid w:val="00C32B4A"/>
    <w:rsid w:val="00C32BB1"/>
    <w:rsid w:val="00C32C4B"/>
    <w:rsid w:val="00C32E0C"/>
    <w:rsid w:val="00C33059"/>
    <w:rsid w:val="00C33340"/>
    <w:rsid w:val="00C33F70"/>
    <w:rsid w:val="00C34CEF"/>
    <w:rsid w:val="00C34D60"/>
    <w:rsid w:val="00C34D84"/>
    <w:rsid w:val="00C35040"/>
    <w:rsid w:val="00C35239"/>
    <w:rsid w:val="00C3589B"/>
    <w:rsid w:val="00C35FEB"/>
    <w:rsid w:val="00C36EC9"/>
    <w:rsid w:val="00C376F5"/>
    <w:rsid w:val="00C37942"/>
    <w:rsid w:val="00C37D1D"/>
    <w:rsid w:val="00C40782"/>
    <w:rsid w:val="00C4112C"/>
    <w:rsid w:val="00C42E60"/>
    <w:rsid w:val="00C45A82"/>
    <w:rsid w:val="00C460D4"/>
    <w:rsid w:val="00C463E1"/>
    <w:rsid w:val="00C46666"/>
    <w:rsid w:val="00C46DF4"/>
    <w:rsid w:val="00C4766F"/>
    <w:rsid w:val="00C5189D"/>
    <w:rsid w:val="00C51D3D"/>
    <w:rsid w:val="00C523D8"/>
    <w:rsid w:val="00C5291F"/>
    <w:rsid w:val="00C529BB"/>
    <w:rsid w:val="00C52E31"/>
    <w:rsid w:val="00C53E11"/>
    <w:rsid w:val="00C5482F"/>
    <w:rsid w:val="00C5532B"/>
    <w:rsid w:val="00C5554C"/>
    <w:rsid w:val="00C56790"/>
    <w:rsid w:val="00C56985"/>
    <w:rsid w:val="00C56F74"/>
    <w:rsid w:val="00C570F1"/>
    <w:rsid w:val="00C57334"/>
    <w:rsid w:val="00C57B75"/>
    <w:rsid w:val="00C6094D"/>
    <w:rsid w:val="00C60A31"/>
    <w:rsid w:val="00C61160"/>
    <w:rsid w:val="00C61A47"/>
    <w:rsid w:val="00C61C4F"/>
    <w:rsid w:val="00C61F1E"/>
    <w:rsid w:val="00C62296"/>
    <w:rsid w:val="00C622BD"/>
    <w:rsid w:val="00C622D9"/>
    <w:rsid w:val="00C62749"/>
    <w:rsid w:val="00C62AAF"/>
    <w:rsid w:val="00C63541"/>
    <w:rsid w:val="00C64470"/>
    <w:rsid w:val="00C64EF2"/>
    <w:rsid w:val="00C65A78"/>
    <w:rsid w:val="00C65AF6"/>
    <w:rsid w:val="00C665B0"/>
    <w:rsid w:val="00C66905"/>
    <w:rsid w:val="00C67857"/>
    <w:rsid w:val="00C73F02"/>
    <w:rsid w:val="00C7536F"/>
    <w:rsid w:val="00C75E73"/>
    <w:rsid w:val="00C772AF"/>
    <w:rsid w:val="00C77CF1"/>
    <w:rsid w:val="00C80335"/>
    <w:rsid w:val="00C8115C"/>
    <w:rsid w:val="00C81658"/>
    <w:rsid w:val="00C81EF1"/>
    <w:rsid w:val="00C827F8"/>
    <w:rsid w:val="00C82E43"/>
    <w:rsid w:val="00C83198"/>
    <w:rsid w:val="00C84B44"/>
    <w:rsid w:val="00C84F23"/>
    <w:rsid w:val="00C86108"/>
    <w:rsid w:val="00C8628B"/>
    <w:rsid w:val="00C8673B"/>
    <w:rsid w:val="00C86EE9"/>
    <w:rsid w:val="00C875A1"/>
    <w:rsid w:val="00C877B9"/>
    <w:rsid w:val="00C8785D"/>
    <w:rsid w:val="00C878D3"/>
    <w:rsid w:val="00C90115"/>
    <w:rsid w:val="00C91243"/>
    <w:rsid w:val="00C91A62"/>
    <w:rsid w:val="00C93ED6"/>
    <w:rsid w:val="00C9403B"/>
    <w:rsid w:val="00C94D8A"/>
    <w:rsid w:val="00C953AD"/>
    <w:rsid w:val="00C964B9"/>
    <w:rsid w:val="00C96623"/>
    <w:rsid w:val="00C96DC0"/>
    <w:rsid w:val="00C97151"/>
    <w:rsid w:val="00C9785D"/>
    <w:rsid w:val="00C97A36"/>
    <w:rsid w:val="00CA016F"/>
    <w:rsid w:val="00CA022C"/>
    <w:rsid w:val="00CA0597"/>
    <w:rsid w:val="00CA0E2F"/>
    <w:rsid w:val="00CA2928"/>
    <w:rsid w:val="00CA4935"/>
    <w:rsid w:val="00CA51D0"/>
    <w:rsid w:val="00CA5BC2"/>
    <w:rsid w:val="00CA5C5C"/>
    <w:rsid w:val="00CA6E3A"/>
    <w:rsid w:val="00CA7959"/>
    <w:rsid w:val="00CB0406"/>
    <w:rsid w:val="00CB0DCA"/>
    <w:rsid w:val="00CB1E41"/>
    <w:rsid w:val="00CB2194"/>
    <w:rsid w:val="00CB36EE"/>
    <w:rsid w:val="00CB433F"/>
    <w:rsid w:val="00CB44B1"/>
    <w:rsid w:val="00CB5630"/>
    <w:rsid w:val="00CB578C"/>
    <w:rsid w:val="00CB6304"/>
    <w:rsid w:val="00CB64CB"/>
    <w:rsid w:val="00CB6E23"/>
    <w:rsid w:val="00CB724D"/>
    <w:rsid w:val="00CC0484"/>
    <w:rsid w:val="00CC15A7"/>
    <w:rsid w:val="00CC24AB"/>
    <w:rsid w:val="00CC3597"/>
    <w:rsid w:val="00CC35F4"/>
    <w:rsid w:val="00CC45EB"/>
    <w:rsid w:val="00CC6436"/>
    <w:rsid w:val="00CC766C"/>
    <w:rsid w:val="00CC79D2"/>
    <w:rsid w:val="00CD01E8"/>
    <w:rsid w:val="00CD09A8"/>
    <w:rsid w:val="00CD159D"/>
    <w:rsid w:val="00CD164D"/>
    <w:rsid w:val="00CD19D0"/>
    <w:rsid w:val="00CD22DC"/>
    <w:rsid w:val="00CD2646"/>
    <w:rsid w:val="00CD478E"/>
    <w:rsid w:val="00CD5FED"/>
    <w:rsid w:val="00CD6E97"/>
    <w:rsid w:val="00CD708F"/>
    <w:rsid w:val="00CD7186"/>
    <w:rsid w:val="00CE0C19"/>
    <w:rsid w:val="00CE178D"/>
    <w:rsid w:val="00CE1A09"/>
    <w:rsid w:val="00CE21E9"/>
    <w:rsid w:val="00CE2264"/>
    <w:rsid w:val="00CE3161"/>
    <w:rsid w:val="00CE354D"/>
    <w:rsid w:val="00CE4742"/>
    <w:rsid w:val="00CE77E3"/>
    <w:rsid w:val="00CE7DC4"/>
    <w:rsid w:val="00CF0028"/>
    <w:rsid w:val="00CF034B"/>
    <w:rsid w:val="00CF09F5"/>
    <w:rsid w:val="00CF0C8B"/>
    <w:rsid w:val="00CF0D88"/>
    <w:rsid w:val="00CF0EB4"/>
    <w:rsid w:val="00CF1D3D"/>
    <w:rsid w:val="00CF2486"/>
    <w:rsid w:val="00CF2697"/>
    <w:rsid w:val="00CF29E5"/>
    <w:rsid w:val="00CF2FEC"/>
    <w:rsid w:val="00CF39FF"/>
    <w:rsid w:val="00CF3A2B"/>
    <w:rsid w:val="00CF3D2E"/>
    <w:rsid w:val="00CF4851"/>
    <w:rsid w:val="00CF4A82"/>
    <w:rsid w:val="00CF532A"/>
    <w:rsid w:val="00CF5BAA"/>
    <w:rsid w:val="00CF6FA6"/>
    <w:rsid w:val="00CF71B8"/>
    <w:rsid w:val="00CF729D"/>
    <w:rsid w:val="00CF7496"/>
    <w:rsid w:val="00CF74C9"/>
    <w:rsid w:val="00CF7961"/>
    <w:rsid w:val="00D0017E"/>
    <w:rsid w:val="00D006B6"/>
    <w:rsid w:val="00D007CB"/>
    <w:rsid w:val="00D00B4F"/>
    <w:rsid w:val="00D010B8"/>
    <w:rsid w:val="00D012D6"/>
    <w:rsid w:val="00D01BF3"/>
    <w:rsid w:val="00D02B53"/>
    <w:rsid w:val="00D037EC"/>
    <w:rsid w:val="00D055A4"/>
    <w:rsid w:val="00D05AEC"/>
    <w:rsid w:val="00D10635"/>
    <w:rsid w:val="00D1080C"/>
    <w:rsid w:val="00D11384"/>
    <w:rsid w:val="00D13591"/>
    <w:rsid w:val="00D13615"/>
    <w:rsid w:val="00D1415C"/>
    <w:rsid w:val="00D15500"/>
    <w:rsid w:val="00D15B41"/>
    <w:rsid w:val="00D1600B"/>
    <w:rsid w:val="00D167F3"/>
    <w:rsid w:val="00D207D2"/>
    <w:rsid w:val="00D207D9"/>
    <w:rsid w:val="00D21988"/>
    <w:rsid w:val="00D21F2B"/>
    <w:rsid w:val="00D221C9"/>
    <w:rsid w:val="00D226E8"/>
    <w:rsid w:val="00D22A2C"/>
    <w:rsid w:val="00D22AFE"/>
    <w:rsid w:val="00D23C52"/>
    <w:rsid w:val="00D245C4"/>
    <w:rsid w:val="00D25595"/>
    <w:rsid w:val="00D255DD"/>
    <w:rsid w:val="00D2607A"/>
    <w:rsid w:val="00D2690D"/>
    <w:rsid w:val="00D269FC"/>
    <w:rsid w:val="00D26C9A"/>
    <w:rsid w:val="00D27788"/>
    <w:rsid w:val="00D27DDB"/>
    <w:rsid w:val="00D30535"/>
    <w:rsid w:val="00D30AC1"/>
    <w:rsid w:val="00D310C9"/>
    <w:rsid w:val="00D31901"/>
    <w:rsid w:val="00D31C3C"/>
    <w:rsid w:val="00D31D7F"/>
    <w:rsid w:val="00D320C8"/>
    <w:rsid w:val="00D324AE"/>
    <w:rsid w:val="00D337F2"/>
    <w:rsid w:val="00D33832"/>
    <w:rsid w:val="00D33F05"/>
    <w:rsid w:val="00D342FC"/>
    <w:rsid w:val="00D343A6"/>
    <w:rsid w:val="00D34663"/>
    <w:rsid w:val="00D3472B"/>
    <w:rsid w:val="00D35986"/>
    <w:rsid w:val="00D361C7"/>
    <w:rsid w:val="00D36C2F"/>
    <w:rsid w:val="00D370BE"/>
    <w:rsid w:val="00D37898"/>
    <w:rsid w:val="00D37D2C"/>
    <w:rsid w:val="00D4172D"/>
    <w:rsid w:val="00D42457"/>
    <w:rsid w:val="00D42BAA"/>
    <w:rsid w:val="00D43662"/>
    <w:rsid w:val="00D437DB"/>
    <w:rsid w:val="00D4421E"/>
    <w:rsid w:val="00D451A7"/>
    <w:rsid w:val="00D45D6B"/>
    <w:rsid w:val="00D45F0B"/>
    <w:rsid w:val="00D4635D"/>
    <w:rsid w:val="00D465C8"/>
    <w:rsid w:val="00D47AC9"/>
    <w:rsid w:val="00D47E7C"/>
    <w:rsid w:val="00D5007A"/>
    <w:rsid w:val="00D5051C"/>
    <w:rsid w:val="00D51E81"/>
    <w:rsid w:val="00D5225C"/>
    <w:rsid w:val="00D54428"/>
    <w:rsid w:val="00D54B4C"/>
    <w:rsid w:val="00D54D0F"/>
    <w:rsid w:val="00D55334"/>
    <w:rsid w:val="00D55D0B"/>
    <w:rsid w:val="00D55D80"/>
    <w:rsid w:val="00D56669"/>
    <w:rsid w:val="00D567D8"/>
    <w:rsid w:val="00D56B01"/>
    <w:rsid w:val="00D56E89"/>
    <w:rsid w:val="00D573C1"/>
    <w:rsid w:val="00D57A76"/>
    <w:rsid w:val="00D57CF5"/>
    <w:rsid w:val="00D606E9"/>
    <w:rsid w:val="00D6112D"/>
    <w:rsid w:val="00D61614"/>
    <w:rsid w:val="00D6288C"/>
    <w:rsid w:val="00D62E1C"/>
    <w:rsid w:val="00D65552"/>
    <w:rsid w:val="00D6561F"/>
    <w:rsid w:val="00D65627"/>
    <w:rsid w:val="00D6639C"/>
    <w:rsid w:val="00D66AFB"/>
    <w:rsid w:val="00D66D1D"/>
    <w:rsid w:val="00D67D4C"/>
    <w:rsid w:val="00D70026"/>
    <w:rsid w:val="00D70F49"/>
    <w:rsid w:val="00D7104B"/>
    <w:rsid w:val="00D7215B"/>
    <w:rsid w:val="00D722E4"/>
    <w:rsid w:val="00D723AF"/>
    <w:rsid w:val="00D72B55"/>
    <w:rsid w:val="00D73FAF"/>
    <w:rsid w:val="00D73FC9"/>
    <w:rsid w:val="00D741F5"/>
    <w:rsid w:val="00D746C6"/>
    <w:rsid w:val="00D7509C"/>
    <w:rsid w:val="00D75831"/>
    <w:rsid w:val="00D766C3"/>
    <w:rsid w:val="00D76C0B"/>
    <w:rsid w:val="00D77DBD"/>
    <w:rsid w:val="00D8019C"/>
    <w:rsid w:val="00D80202"/>
    <w:rsid w:val="00D80417"/>
    <w:rsid w:val="00D810BA"/>
    <w:rsid w:val="00D811C1"/>
    <w:rsid w:val="00D8142F"/>
    <w:rsid w:val="00D81A37"/>
    <w:rsid w:val="00D82339"/>
    <w:rsid w:val="00D825FC"/>
    <w:rsid w:val="00D82E73"/>
    <w:rsid w:val="00D83057"/>
    <w:rsid w:val="00D830BC"/>
    <w:rsid w:val="00D84336"/>
    <w:rsid w:val="00D845EE"/>
    <w:rsid w:val="00D85801"/>
    <w:rsid w:val="00D86020"/>
    <w:rsid w:val="00D860C0"/>
    <w:rsid w:val="00D861BC"/>
    <w:rsid w:val="00D86ABC"/>
    <w:rsid w:val="00D86DE6"/>
    <w:rsid w:val="00D86EA5"/>
    <w:rsid w:val="00D874BD"/>
    <w:rsid w:val="00D87709"/>
    <w:rsid w:val="00D909D7"/>
    <w:rsid w:val="00D90B89"/>
    <w:rsid w:val="00D91056"/>
    <w:rsid w:val="00D91C7E"/>
    <w:rsid w:val="00D91ECE"/>
    <w:rsid w:val="00D9259A"/>
    <w:rsid w:val="00D933FD"/>
    <w:rsid w:val="00D936ED"/>
    <w:rsid w:val="00D9393B"/>
    <w:rsid w:val="00D95A85"/>
    <w:rsid w:val="00D96332"/>
    <w:rsid w:val="00D9708B"/>
    <w:rsid w:val="00D979F7"/>
    <w:rsid w:val="00D97AC1"/>
    <w:rsid w:val="00D97AF1"/>
    <w:rsid w:val="00DA014E"/>
    <w:rsid w:val="00DA1139"/>
    <w:rsid w:val="00DA138D"/>
    <w:rsid w:val="00DA2026"/>
    <w:rsid w:val="00DA2F6D"/>
    <w:rsid w:val="00DA2F9F"/>
    <w:rsid w:val="00DA38E9"/>
    <w:rsid w:val="00DA3D36"/>
    <w:rsid w:val="00DA46E3"/>
    <w:rsid w:val="00DA4BC5"/>
    <w:rsid w:val="00DA4EE7"/>
    <w:rsid w:val="00DA51DC"/>
    <w:rsid w:val="00DA5C16"/>
    <w:rsid w:val="00DA60A0"/>
    <w:rsid w:val="00DA67E5"/>
    <w:rsid w:val="00DA6FB6"/>
    <w:rsid w:val="00DA7DA3"/>
    <w:rsid w:val="00DA7E98"/>
    <w:rsid w:val="00DB04BE"/>
    <w:rsid w:val="00DB0733"/>
    <w:rsid w:val="00DB0F6F"/>
    <w:rsid w:val="00DB2B76"/>
    <w:rsid w:val="00DB2CD5"/>
    <w:rsid w:val="00DB3F27"/>
    <w:rsid w:val="00DB4587"/>
    <w:rsid w:val="00DB531E"/>
    <w:rsid w:val="00DB5C72"/>
    <w:rsid w:val="00DB6544"/>
    <w:rsid w:val="00DB6754"/>
    <w:rsid w:val="00DB77FA"/>
    <w:rsid w:val="00DB7D84"/>
    <w:rsid w:val="00DC08CE"/>
    <w:rsid w:val="00DC164D"/>
    <w:rsid w:val="00DC2191"/>
    <w:rsid w:val="00DC441C"/>
    <w:rsid w:val="00DC57D5"/>
    <w:rsid w:val="00DC5B81"/>
    <w:rsid w:val="00DC5EC4"/>
    <w:rsid w:val="00DC6248"/>
    <w:rsid w:val="00DC64B4"/>
    <w:rsid w:val="00DC6CB2"/>
    <w:rsid w:val="00DC6DD4"/>
    <w:rsid w:val="00DC72FB"/>
    <w:rsid w:val="00DC7472"/>
    <w:rsid w:val="00DC7525"/>
    <w:rsid w:val="00DD0F7C"/>
    <w:rsid w:val="00DD150E"/>
    <w:rsid w:val="00DD1FDF"/>
    <w:rsid w:val="00DD2BD7"/>
    <w:rsid w:val="00DD2FAC"/>
    <w:rsid w:val="00DD3490"/>
    <w:rsid w:val="00DD3CAB"/>
    <w:rsid w:val="00DD3DB4"/>
    <w:rsid w:val="00DD3F8D"/>
    <w:rsid w:val="00DD3FAF"/>
    <w:rsid w:val="00DD42F0"/>
    <w:rsid w:val="00DD4FB4"/>
    <w:rsid w:val="00DE05AA"/>
    <w:rsid w:val="00DE121F"/>
    <w:rsid w:val="00DE12CC"/>
    <w:rsid w:val="00DE1A41"/>
    <w:rsid w:val="00DE28A4"/>
    <w:rsid w:val="00DE3C80"/>
    <w:rsid w:val="00DE41A3"/>
    <w:rsid w:val="00DE449B"/>
    <w:rsid w:val="00DE45AC"/>
    <w:rsid w:val="00DE483A"/>
    <w:rsid w:val="00DE48C1"/>
    <w:rsid w:val="00DE5984"/>
    <w:rsid w:val="00DE5E17"/>
    <w:rsid w:val="00DE5F16"/>
    <w:rsid w:val="00DE70EC"/>
    <w:rsid w:val="00DE765A"/>
    <w:rsid w:val="00DE78D5"/>
    <w:rsid w:val="00DE7A31"/>
    <w:rsid w:val="00DE7ED1"/>
    <w:rsid w:val="00DF100F"/>
    <w:rsid w:val="00DF1430"/>
    <w:rsid w:val="00DF1616"/>
    <w:rsid w:val="00DF2190"/>
    <w:rsid w:val="00DF30B2"/>
    <w:rsid w:val="00DF448C"/>
    <w:rsid w:val="00DF4C40"/>
    <w:rsid w:val="00DF52BB"/>
    <w:rsid w:val="00E00038"/>
    <w:rsid w:val="00E02B89"/>
    <w:rsid w:val="00E02DC2"/>
    <w:rsid w:val="00E02F7B"/>
    <w:rsid w:val="00E03275"/>
    <w:rsid w:val="00E03BF6"/>
    <w:rsid w:val="00E03C94"/>
    <w:rsid w:val="00E03EA3"/>
    <w:rsid w:val="00E040BE"/>
    <w:rsid w:val="00E04830"/>
    <w:rsid w:val="00E0558C"/>
    <w:rsid w:val="00E0574F"/>
    <w:rsid w:val="00E058FC"/>
    <w:rsid w:val="00E05CFD"/>
    <w:rsid w:val="00E0712B"/>
    <w:rsid w:val="00E07404"/>
    <w:rsid w:val="00E0764D"/>
    <w:rsid w:val="00E0765B"/>
    <w:rsid w:val="00E10120"/>
    <w:rsid w:val="00E108B7"/>
    <w:rsid w:val="00E108C7"/>
    <w:rsid w:val="00E114B4"/>
    <w:rsid w:val="00E1202F"/>
    <w:rsid w:val="00E1280F"/>
    <w:rsid w:val="00E1293B"/>
    <w:rsid w:val="00E13463"/>
    <w:rsid w:val="00E13AFD"/>
    <w:rsid w:val="00E1408F"/>
    <w:rsid w:val="00E14238"/>
    <w:rsid w:val="00E14740"/>
    <w:rsid w:val="00E14788"/>
    <w:rsid w:val="00E14854"/>
    <w:rsid w:val="00E14FEF"/>
    <w:rsid w:val="00E150A4"/>
    <w:rsid w:val="00E15B27"/>
    <w:rsid w:val="00E15FDC"/>
    <w:rsid w:val="00E16069"/>
    <w:rsid w:val="00E16AC9"/>
    <w:rsid w:val="00E174AB"/>
    <w:rsid w:val="00E202B5"/>
    <w:rsid w:val="00E20861"/>
    <w:rsid w:val="00E21C75"/>
    <w:rsid w:val="00E23237"/>
    <w:rsid w:val="00E23C30"/>
    <w:rsid w:val="00E2453D"/>
    <w:rsid w:val="00E25957"/>
    <w:rsid w:val="00E2619D"/>
    <w:rsid w:val="00E2694A"/>
    <w:rsid w:val="00E270EE"/>
    <w:rsid w:val="00E27225"/>
    <w:rsid w:val="00E27263"/>
    <w:rsid w:val="00E31173"/>
    <w:rsid w:val="00E31D02"/>
    <w:rsid w:val="00E320D8"/>
    <w:rsid w:val="00E32753"/>
    <w:rsid w:val="00E327D7"/>
    <w:rsid w:val="00E328F0"/>
    <w:rsid w:val="00E334D1"/>
    <w:rsid w:val="00E3391F"/>
    <w:rsid w:val="00E34502"/>
    <w:rsid w:val="00E3461B"/>
    <w:rsid w:val="00E348D1"/>
    <w:rsid w:val="00E355F2"/>
    <w:rsid w:val="00E36937"/>
    <w:rsid w:val="00E36B18"/>
    <w:rsid w:val="00E36B46"/>
    <w:rsid w:val="00E40198"/>
    <w:rsid w:val="00E409E1"/>
    <w:rsid w:val="00E40C58"/>
    <w:rsid w:val="00E41397"/>
    <w:rsid w:val="00E41665"/>
    <w:rsid w:val="00E42EB4"/>
    <w:rsid w:val="00E43555"/>
    <w:rsid w:val="00E440AD"/>
    <w:rsid w:val="00E445CC"/>
    <w:rsid w:val="00E45196"/>
    <w:rsid w:val="00E45F8D"/>
    <w:rsid w:val="00E4700C"/>
    <w:rsid w:val="00E473D1"/>
    <w:rsid w:val="00E47C72"/>
    <w:rsid w:val="00E51FF7"/>
    <w:rsid w:val="00E52141"/>
    <w:rsid w:val="00E522B5"/>
    <w:rsid w:val="00E52378"/>
    <w:rsid w:val="00E5246D"/>
    <w:rsid w:val="00E52833"/>
    <w:rsid w:val="00E52AD4"/>
    <w:rsid w:val="00E533C9"/>
    <w:rsid w:val="00E5494D"/>
    <w:rsid w:val="00E55574"/>
    <w:rsid w:val="00E557AD"/>
    <w:rsid w:val="00E55A62"/>
    <w:rsid w:val="00E55AF7"/>
    <w:rsid w:val="00E570CF"/>
    <w:rsid w:val="00E57186"/>
    <w:rsid w:val="00E57DD8"/>
    <w:rsid w:val="00E57E5E"/>
    <w:rsid w:val="00E61588"/>
    <w:rsid w:val="00E6191B"/>
    <w:rsid w:val="00E61A94"/>
    <w:rsid w:val="00E62865"/>
    <w:rsid w:val="00E63D8A"/>
    <w:rsid w:val="00E63E02"/>
    <w:rsid w:val="00E6631B"/>
    <w:rsid w:val="00E66DEA"/>
    <w:rsid w:val="00E6706B"/>
    <w:rsid w:val="00E72301"/>
    <w:rsid w:val="00E72E51"/>
    <w:rsid w:val="00E73CC4"/>
    <w:rsid w:val="00E75291"/>
    <w:rsid w:val="00E756EE"/>
    <w:rsid w:val="00E75F06"/>
    <w:rsid w:val="00E76108"/>
    <w:rsid w:val="00E764A7"/>
    <w:rsid w:val="00E773F2"/>
    <w:rsid w:val="00E77BFD"/>
    <w:rsid w:val="00E8040E"/>
    <w:rsid w:val="00E80429"/>
    <w:rsid w:val="00E80517"/>
    <w:rsid w:val="00E80538"/>
    <w:rsid w:val="00E807A8"/>
    <w:rsid w:val="00E81559"/>
    <w:rsid w:val="00E8228E"/>
    <w:rsid w:val="00E82C4D"/>
    <w:rsid w:val="00E82D05"/>
    <w:rsid w:val="00E83247"/>
    <w:rsid w:val="00E83C22"/>
    <w:rsid w:val="00E83C6D"/>
    <w:rsid w:val="00E83F57"/>
    <w:rsid w:val="00E848FD"/>
    <w:rsid w:val="00E85587"/>
    <w:rsid w:val="00E85DBE"/>
    <w:rsid w:val="00E86A87"/>
    <w:rsid w:val="00E86FA5"/>
    <w:rsid w:val="00E8779F"/>
    <w:rsid w:val="00E879E4"/>
    <w:rsid w:val="00E90AE2"/>
    <w:rsid w:val="00E910E9"/>
    <w:rsid w:val="00E91A3F"/>
    <w:rsid w:val="00E924D9"/>
    <w:rsid w:val="00E92C5D"/>
    <w:rsid w:val="00E92D97"/>
    <w:rsid w:val="00E92EFB"/>
    <w:rsid w:val="00E930A3"/>
    <w:rsid w:val="00E934FA"/>
    <w:rsid w:val="00E93D3C"/>
    <w:rsid w:val="00E93EB4"/>
    <w:rsid w:val="00E947C4"/>
    <w:rsid w:val="00E94E45"/>
    <w:rsid w:val="00E95EA1"/>
    <w:rsid w:val="00E96658"/>
    <w:rsid w:val="00E9698D"/>
    <w:rsid w:val="00E96D31"/>
    <w:rsid w:val="00E9723E"/>
    <w:rsid w:val="00E97589"/>
    <w:rsid w:val="00EA06B4"/>
    <w:rsid w:val="00EA0738"/>
    <w:rsid w:val="00EA0F2E"/>
    <w:rsid w:val="00EA1236"/>
    <w:rsid w:val="00EA1601"/>
    <w:rsid w:val="00EA1DB7"/>
    <w:rsid w:val="00EA31CE"/>
    <w:rsid w:val="00EA3CC5"/>
    <w:rsid w:val="00EA4F35"/>
    <w:rsid w:val="00EA507A"/>
    <w:rsid w:val="00EA51F2"/>
    <w:rsid w:val="00EA5ADB"/>
    <w:rsid w:val="00EA666A"/>
    <w:rsid w:val="00EA7F89"/>
    <w:rsid w:val="00EB1044"/>
    <w:rsid w:val="00EB1216"/>
    <w:rsid w:val="00EB1C52"/>
    <w:rsid w:val="00EB382C"/>
    <w:rsid w:val="00EB3923"/>
    <w:rsid w:val="00EB4887"/>
    <w:rsid w:val="00EB4B77"/>
    <w:rsid w:val="00EB4DC2"/>
    <w:rsid w:val="00EB4E73"/>
    <w:rsid w:val="00EB5428"/>
    <w:rsid w:val="00EB6AE2"/>
    <w:rsid w:val="00EB6E85"/>
    <w:rsid w:val="00EB776D"/>
    <w:rsid w:val="00EB7A9B"/>
    <w:rsid w:val="00EC02F5"/>
    <w:rsid w:val="00EC174F"/>
    <w:rsid w:val="00EC30C9"/>
    <w:rsid w:val="00EC3694"/>
    <w:rsid w:val="00EC41FF"/>
    <w:rsid w:val="00EC43D5"/>
    <w:rsid w:val="00EC4550"/>
    <w:rsid w:val="00EC63EA"/>
    <w:rsid w:val="00EC6999"/>
    <w:rsid w:val="00EC7A1E"/>
    <w:rsid w:val="00ED0B02"/>
    <w:rsid w:val="00ED0B2F"/>
    <w:rsid w:val="00ED0F45"/>
    <w:rsid w:val="00ED101C"/>
    <w:rsid w:val="00ED16E2"/>
    <w:rsid w:val="00ED351D"/>
    <w:rsid w:val="00ED357A"/>
    <w:rsid w:val="00ED360D"/>
    <w:rsid w:val="00ED363E"/>
    <w:rsid w:val="00ED407D"/>
    <w:rsid w:val="00ED45C4"/>
    <w:rsid w:val="00ED4758"/>
    <w:rsid w:val="00ED5AB8"/>
    <w:rsid w:val="00ED5F1F"/>
    <w:rsid w:val="00ED6E94"/>
    <w:rsid w:val="00ED76A5"/>
    <w:rsid w:val="00ED76BB"/>
    <w:rsid w:val="00ED7C20"/>
    <w:rsid w:val="00EE05D7"/>
    <w:rsid w:val="00EE092B"/>
    <w:rsid w:val="00EE0C5E"/>
    <w:rsid w:val="00EE12E6"/>
    <w:rsid w:val="00EE13F1"/>
    <w:rsid w:val="00EE48AD"/>
    <w:rsid w:val="00EE4C70"/>
    <w:rsid w:val="00EE4D95"/>
    <w:rsid w:val="00EE5DBB"/>
    <w:rsid w:val="00EE61EE"/>
    <w:rsid w:val="00EE62B8"/>
    <w:rsid w:val="00EE661A"/>
    <w:rsid w:val="00EE6AE5"/>
    <w:rsid w:val="00EE6DBA"/>
    <w:rsid w:val="00EE6F56"/>
    <w:rsid w:val="00EE763C"/>
    <w:rsid w:val="00EE7CD1"/>
    <w:rsid w:val="00EF04AD"/>
    <w:rsid w:val="00EF0C22"/>
    <w:rsid w:val="00EF268B"/>
    <w:rsid w:val="00EF2816"/>
    <w:rsid w:val="00EF2C71"/>
    <w:rsid w:val="00EF2CC1"/>
    <w:rsid w:val="00EF2DB4"/>
    <w:rsid w:val="00EF326C"/>
    <w:rsid w:val="00EF3E9C"/>
    <w:rsid w:val="00EF4274"/>
    <w:rsid w:val="00EF427F"/>
    <w:rsid w:val="00EF4A35"/>
    <w:rsid w:val="00EF524A"/>
    <w:rsid w:val="00EF541F"/>
    <w:rsid w:val="00EF6B63"/>
    <w:rsid w:val="00EF7362"/>
    <w:rsid w:val="00EF7651"/>
    <w:rsid w:val="00EF7951"/>
    <w:rsid w:val="00EF7A3B"/>
    <w:rsid w:val="00EF7C91"/>
    <w:rsid w:val="00F006BA"/>
    <w:rsid w:val="00F009A3"/>
    <w:rsid w:val="00F00E2B"/>
    <w:rsid w:val="00F0123C"/>
    <w:rsid w:val="00F014BC"/>
    <w:rsid w:val="00F023C0"/>
    <w:rsid w:val="00F02CB5"/>
    <w:rsid w:val="00F038FE"/>
    <w:rsid w:val="00F03D60"/>
    <w:rsid w:val="00F044D6"/>
    <w:rsid w:val="00F04597"/>
    <w:rsid w:val="00F066C8"/>
    <w:rsid w:val="00F07AD0"/>
    <w:rsid w:val="00F11442"/>
    <w:rsid w:val="00F1271B"/>
    <w:rsid w:val="00F12C39"/>
    <w:rsid w:val="00F13372"/>
    <w:rsid w:val="00F13D55"/>
    <w:rsid w:val="00F14EEC"/>
    <w:rsid w:val="00F14EF9"/>
    <w:rsid w:val="00F15538"/>
    <w:rsid w:val="00F15D70"/>
    <w:rsid w:val="00F161CF"/>
    <w:rsid w:val="00F175DA"/>
    <w:rsid w:val="00F17882"/>
    <w:rsid w:val="00F200F4"/>
    <w:rsid w:val="00F20389"/>
    <w:rsid w:val="00F2054E"/>
    <w:rsid w:val="00F20C11"/>
    <w:rsid w:val="00F2171F"/>
    <w:rsid w:val="00F21EF0"/>
    <w:rsid w:val="00F220D3"/>
    <w:rsid w:val="00F23540"/>
    <w:rsid w:val="00F23B49"/>
    <w:rsid w:val="00F245B2"/>
    <w:rsid w:val="00F25A6C"/>
    <w:rsid w:val="00F2623F"/>
    <w:rsid w:val="00F26462"/>
    <w:rsid w:val="00F27583"/>
    <w:rsid w:val="00F27C97"/>
    <w:rsid w:val="00F30153"/>
    <w:rsid w:val="00F30EFE"/>
    <w:rsid w:val="00F312D6"/>
    <w:rsid w:val="00F31864"/>
    <w:rsid w:val="00F3187B"/>
    <w:rsid w:val="00F322AF"/>
    <w:rsid w:val="00F32C98"/>
    <w:rsid w:val="00F32E54"/>
    <w:rsid w:val="00F33557"/>
    <w:rsid w:val="00F33ED6"/>
    <w:rsid w:val="00F33F0D"/>
    <w:rsid w:val="00F34421"/>
    <w:rsid w:val="00F34664"/>
    <w:rsid w:val="00F35121"/>
    <w:rsid w:val="00F355CA"/>
    <w:rsid w:val="00F3587B"/>
    <w:rsid w:val="00F3591D"/>
    <w:rsid w:val="00F36FF9"/>
    <w:rsid w:val="00F374DA"/>
    <w:rsid w:val="00F4015F"/>
    <w:rsid w:val="00F40555"/>
    <w:rsid w:val="00F4069A"/>
    <w:rsid w:val="00F408CE"/>
    <w:rsid w:val="00F40C5B"/>
    <w:rsid w:val="00F40CB6"/>
    <w:rsid w:val="00F41633"/>
    <w:rsid w:val="00F4357B"/>
    <w:rsid w:val="00F43F07"/>
    <w:rsid w:val="00F445D7"/>
    <w:rsid w:val="00F4475D"/>
    <w:rsid w:val="00F4477A"/>
    <w:rsid w:val="00F44932"/>
    <w:rsid w:val="00F449D7"/>
    <w:rsid w:val="00F44A9E"/>
    <w:rsid w:val="00F44F55"/>
    <w:rsid w:val="00F454A2"/>
    <w:rsid w:val="00F454B1"/>
    <w:rsid w:val="00F45BE3"/>
    <w:rsid w:val="00F45E12"/>
    <w:rsid w:val="00F45FCF"/>
    <w:rsid w:val="00F4623C"/>
    <w:rsid w:val="00F462A7"/>
    <w:rsid w:val="00F471E6"/>
    <w:rsid w:val="00F51D42"/>
    <w:rsid w:val="00F52458"/>
    <w:rsid w:val="00F52D1E"/>
    <w:rsid w:val="00F53411"/>
    <w:rsid w:val="00F5350B"/>
    <w:rsid w:val="00F53C29"/>
    <w:rsid w:val="00F53DC2"/>
    <w:rsid w:val="00F54BB0"/>
    <w:rsid w:val="00F558A6"/>
    <w:rsid w:val="00F55E10"/>
    <w:rsid w:val="00F564BF"/>
    <w:rsid w:val="00F56E0A"/>
    <w:rsid w:val="00F574F1"/>
    <w:rsid w:val="00F5766E"/>
    <w:rsid w:val="00F6024C"/>
    <w:rsid w:val="00F63374"/>
    <w:rsid w:val="00F63471"/>
    <w:rsid w:val="00F63F65"/>
    <w:rsid w:val="00F6644A"/>
    <w:rsid w:val="00F666BD"/>
    <w:rsid w:val="00F67FE6"/>
    <w:rsid w:val="00F7022D"/>
    <w:rsid w:val="00F7065F"/>
    <w:rsid w:val="00F71285"/>
    <w:rsid w:val="00F71514"/>
    <w:rsid w:val="00F716AF"/>
    <w:rsid w:val="00F72CAB"/>
    <w:rsid w:val="00F73315"/>
    <w:rsid w:val="00F73477"/>
    <w:rsid w:val="00F734DE"/>
    <w:rsid w:val="00F73556"/>
    <w:rsid w:val="00F73902"/>
    <w:rsid w:val="00F73E62"/>
    <w:rsid w:val="00F73F8A"/>
    <w:rsid w:val="00F76709"/>
    <w:rsid w:val="00F772E1"/>
    <w:rsid w:val="00F77A07"/>
    <w:rsid w:val="00F77F58"/>
    <w:rsid w:val="00F77FC5"/>
    <w:rsid w:val="00F8035C"/>
    <w:rsid w:val="00F80ACB"/>
    <w:rsid w:val="00F80B9B"/>
    <w:rsid w:val="00F811F4"/>
    <w:rsid w:val="00F81235"/>
    <w:rsid w:val="00F82296"/>
    <w:rsid w:val="00F82B0B"/>
    <w:rsid w:val="00F8418B"/>
    <w:rsid w:val="00F84E40"/>
    <w:rsid w:val="00F85063"/>
    <w:rsid w:val="00F85521"/>
    <w:rsid w:val="00F85D17"/>
    <w:rsid w:val="00F86973"/>
    <w:rsid w:val="00F86F52"/>
    <w:rsid w:val="00F901C7"/>
    <w:rsid w:val="00F908C6"/>
    <w:rsid w:val="00F9110D"/>
    <w:rsid w:val="00F92FF4"/>
    <w:rsid w:val="00F936B8"/>
    <w:rsid w:val="00F93923"/>
    <w:rsid w:val="00F939B0"/>
    <w:rsid w:val="00F93C6E"/>
    <w:rsid w:val="00F93DDD"/>
    <w:rsid w:val="00F93ED3"/>
    <w:rsid w:val="00F943B4"/>
    <w:rsid w:val="00F94E1A"/>
    <w:rsid w:val="00F9594E"/>
    <w:rsid w:val="00F95CD1"/>
    <w:rsid w:val="00F95DD9"/>
    <w:rsid w:val="00F97018"/>
    <w:rsid w:val="00F97372"/>
    <w:rsid w:val="00F97770"/>
    <w:rsid w:val="00F97BBD"/>
    <w:rsid w:val="00FA0507"/>
    <w:rsid w:val="00FA070B"/>
    <w:rsid w:val="00FA0DAF"/>
    <w:rsid w:val="00FA1760"/>
    <w:rsid w:val="00FA1F2A"/>
    <w:rsid w:val="00FA2023"/>
    <w:rsid w:val="00FA22B0"/>
    <w:rsid w:val="00FA2336"/>
    <w:rsid w:val="00FA2626"/>
    <w:rsid w:val="00FA2961"/>
    <w:rsid w:val="00FA2B80"/>
    <w:rsid w:val="00FA41B8"/>
    <w:rsid w:val="00FA4577"/>
    <w:rsid w:val="00FA4ABD"/>
    <w:rsid w:val="00FA5662"/>
    <w:rsid w:val="00FA5A28"/>
    <w:rsid w:val="00FA5EA9"/>
    <w:rsid w:val="00FA6F72"/>
    <w:rsid w:val="00FA745A"/>
    <w:rsid w:val="00FA78EB"/>
    <w:rsid w:val="00FA7DE2"/>
    <w:rsid w:val="00FB0768"/>
    <w:rsid w:val="00FB0A6C"/>
    <w:rsid w:val="00FB0F91"/>
    <w:rsid w:val="00FB1FCC"/>
    <w:rsid w:val="00FB34EF"/>
    <w:rsid w:val="00FB361A"/>
    <w:rsid w:val="00FB422D"/>
    <w:rsid w:val="00FB45F9"/>
    <w:rsid w:val="00FB47AB"/>
    <w:rsid w:val="00FB4906"/>
    <w:rsid w:val="00FB4B0E"/>
    <w:rsid w:val="00FB4CEC"/>
    <w:rsid w:val="00FB55CC"/>
    <w:rsid w:val="00FB56E4"/>
    <w:rsid w:val="00FB58E9"/>
    <w:rsid w:val="00FB5916"/>
    <w:rsid w:val="00FB5D58"/>
    <w:rsid w:val="00FB5FC6"/>
    <w:rsid w:val="00FB6A23"/>
    <w:rsid w:val="00FB6E16"/>
    <w:rsid w:val="00FB73A2"/>
    <w:rsid w:val="00FC0731"/>
    <w:rsid w:val="00FC0AD1"/>
    <w:rsid w:val="00FC1B2C"/>
    <w:rsid w:val="00FC1BEC"/>
    <w:rsid w:val="00FC29BC"/>
    <w:rsid w:val="00FC3E1C"/>
    <w:rsid w:val="00FC407D"/>
    <w:rsid w:val="00FC47A0"/>
    <w:rsid w:val="00FC52FD"/>
    <w:rsid w:val="00FC68FF"/>
    <w:rsid w:val="00FC6985"/>
    <w:rsid w:val="00FC74D6"/>
    <w:rsid w:val="00FC796F"/>
    <w:rsid w:val="00FD0E17"/>
    <w:rsid w:val="00FD1375"/>
    <w:rsid w:val="00FD21EE"/>
    <w:rsid w:val="00FD414C"/>
    <w:rsid w:val="00FD5560"/>
    <w:rsid w:val="00FD646E"/>
    <w:rsid w:val="00FD6797"/>
    <w:rsid w:val="00FD67A3"/>
    <w:rsid w:val="00FD69C8"/>
    <w:rsid w:val="00FD6B92"/>
    <w:rsid w:val="00FD6C76"/>
    <w:rsid w:val="00FD742E"/>
    <w:rsid w:val="00FD76BF"/>
    <w:rsid w:val="00FE0019"/>
    <w:rsid w:val="00FE0BB0"/>
    <w:rsid w:val="00FE2891"/>
    <w:rsid w:val="00FE4294"/>
    <w:rsid w:val="00FE540B"/>
    <w:rsid w:val="00FE6052"/>
    <w:rsid w:val="00FE689D"/>
    <w:rsid w:val="00FE7166"/>
    <w:rsid w:val="00FE72C9"/>
    <w:rsid w:val="00FF0544"/>
    <w:rsid w:val="00FF174E"/>
    <w:rsid w:val="00FF1AAE"/>
    <w:rsid w:val="00FF200A"/>
    <w:rsid w:val="00FF2696"/>
    <w:rsid w:val="00FF3766"/>
    <w:rsid w:val="00FF3E04"/>
    <w:rsid w:val="00FF654F"/>
    <w:rsid w:val="00FF6D7F"/>
    <w:rsid w:val="00FF7EF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A736D7"/>
    <w:pPr>
      <w:widowControl w:val="0"/>
      <w:bidi/>
      <w:spacing w:line="400" w:lineRule="exact"/>
      <w:ind w:firstLine="567"/>
      <w:jc w:val="both"/>
    </w:pPr>
    <w:rPr>
      <w:rFonts w:ascii="Times" w:hAnsi="Times" w:cs="AL-Mohanad"/>
      <w:sz w:val="28"/>
      <w:szCs w:val="27"/>
    </w:rPr>
  </w:style>
  <w:style w:type="paragraph" w:styleId="11">
    <w:name w:val="heading 1"/>
    <w:aliases w:val="Heading 2 Char1,Char Char Char Char,شعر,1-المباحث,normal"/>
    <w:basedOn w:val="af"/>
    <w:next w:val="af"/>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f"/>
    <w:next w:val="af"/>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f"/>
    <w:next w:val="af"/>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f"/>
    <w:next w:val="af"/>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f"/>
    <w:next w:val="af"/>
    <w:link w:val="5Char"/>
    <w:uiPriority w:val="9"/>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f"/>
    <w:next w:val="af"/>
    <w:link w:val="6Char"/>
    <w:uiPriority w:val="9"/>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f"/>
    <w:next w:val="af"/>
    <w:link w:val="7Char"/>
    <w:uiPriority w:val="9"/>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f"/>
    <w:next w:val="af"/>
    <w:link w:val="8Char"/>
    <w:uiPriority w:val="9"/>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f"/>
    <w:next w:val="af"/>
    <w:link w:val="9Char"/>
    <w:uiPriority w:val="9"/>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Heading 2 Char1 Char,Char Char Char Char Char,شعر Char,1-المباحث Char,normal Char"/>
    <w:link w:val="11"/>
    <w:uiPriority w:val="9"/>
    <w:rsid w:val="002647C9"/>
    <w:rPr>
      <w:rFonts w:ascii="Times" w:eastAsia="Times New Roman" w:hAnsi="Times" w:cs="AL-Mateen"/>
      <w:b/>
      <w:sz w:val="32"/>
      <w:szCs w:val="48"/>
    </w:rPr>
  </w:style>
  <w:style w:type="character" w:customStyle="1" w:styleId="2Char">
    <w:name w:val="عنوان 2 Char"/>
    <w:aliases w:val="2-المبحث Char"/>
    <w:link w:val="20"/>
    <w:uiPriority w:val="9"/>
    <w:rsid w:val="002647C9"/>
    <w:rPr>
      <w:rFonts w:ascii="Times" w:eastAsia="Times New Roman" w:hAnsi="Times" w:cs="AL-Mateen"/>
      <w:color w:val="000000"/>
      <w:sz w:val="28"/>
      <w:szCs w:val="32"/>
    </w:rPr>
  </w:style>
  <w:style w:type="character" w:customStyle="1" w:styleId="3Char">
    <w:name w:val="عنوان 3 Char"/>
    <w:aliases w:val="3-البحث Char"/>
    <w:link w:val="31"/>
    <w:uiPriority w:val="9"/>
    <w:rsid w:val="00EB28AD"/>
    <w:rPr>
      <w:rFonts w:ascii="Times" w:eastAsia="Times New Roman" w:hAnsi="Times" w:cs="Abz-3 (Yagut)"/>
      <w:bCs/>
      <w:color w:val="000000"/>
      <w:sz w:val="28"/>
      <w:szCs w:val="26"/>
    </w:rPr>
  </w:style>
  <w:style w:type="paragraph" w:customStyle="1" w:styleId="Author">
    <w:name w:val="Author"/>
    <w:basedOn w:val="af"/>
    <w:qFormat/>
    <w:rsid w:val="002647C9"/>
    <w:pPr>
      <w:spacing w:line="192" w:lineRule="auto"/>
      <w:ind w:firstLine="0"/>
      <w:jc w:val="right"/>
    </w:pPr>
    <w:rPr>
      <w:rFonts w:cs="Ya-Ali"/>
      <w:szCs w:val="30"/>
    </w:rPr>
  </w:style>
  <w:style w:type="character" w:styleId="af3">
    <w:name w:val="Strong"/>
    <w:uiPriority w:val="22"/>
    <w:qFormat/>
    <w:rsid w:val="003878B2"/>
    <w:rPr>
      <w:rFonts w:ascii="Times" w:hAnsi="Times" w:cs="Mosawi"/>
      <w:b/>
      <w:bCs w:val="0"/>
      <w:i w:val="0"/>
      <w:iCs w:val="0"/>
      <w:sz w:val="24"/>
      <w:szCs w:val="27"/>
    </w:rPr>
  </w:style>
  <w:style w:type="paragraph" w:styleId="af4">
    <w:name w:val="header"/>
    <w:basedOn w:val="af"/>
    <w:link w:val="Char"/>
    <w:uiPriority w:val="99"/>
    <w:unhideWhenUsed/>
    <w:rsid w:val="00E63D8A"/>
    <w:pPr>
      <w:tabs>
        <w:tab w:val="center" w:pos="4680"/>
        <w:tab w:val="right" w:pos="9360"/>
      </w:tabs>
      <w:spacing w:line="240" w:lineRule="auto"/>
    </w:pPr>
  </w:style>
  <w:style w:type="character" w:customStyle="1" w:styleId="Char">
    <w:name w:val="رأس الصفحة Char"/>
    <w:link w:val="af4"/>
    <w:uiPriority w:val="99"/>
    <w:rsid w:val="00E63D8A"/>
    <w:rPr>
      <w:rFonts w:ascii="Times" w:hAnsi="Times" w:cs="Mosawi"/>
      <w:sz w:val="28"/>
      <w:szCs w:val="30"/>
    </w:rPr>
  </w:style>
  <w:style w:type="paragraph" w:styleId="af5">
    <w:name w:val="footer"/>
    <w:basedOn w:val="af"/>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f5"/>
    <w:uiPriority w:val="99"/>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16440C"/>
    <w:pPr>
      <w:spacing w:line="240" w:lineRule="auto"/>
    </w:pPr>
    <w:rPr>
      <w:sz w:val="20"/>
      <w:szCs w:val="20"/>
    </w:rPr>
  </w:style>
  <w:style w:type="character" w:customStyle="1" w:styleId="Char2">
    <w:name w:val="نص تعليق ختامي Char"/>
    <w:link w:val="af7"/>
    <w:uiPriority w:val="99"/>
    <w:rsid w:val="0016440C"/>
    <w:rPr>
      <w:rFonts w:ascii="Times" w:hAnsi="Times" w:cs="Mosawi"/>
      <w:sz w:val="20"/>
      <w:szCs w:val="20"/>
    </w:rPr>
  </w:style>
  <w:style w:type="character" w:styleId="af8">
    <w:name w:val="footnote reference"/>
    <w:aliases w:val="حاشية سفلية,Footnote Reference1,Footnote Reference2,Footnote Reference11,Footnote Reference21,Footnote Reference12,Footnote Reference22,Footnote Reference13,Footnote Reference23,Footnote Reference111,Footnote Reference211"/>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3"/>
    <w:unhideWhenUsed/>
    <w:rsid w:val="00564F6B"/>
    <w:pPr>
      <w:spacing w:line="240" w:lineRule="auto"/>
    </w:pPr>
    <w:rPr>
      <w:rFonts w:ascii="Consolas" w:hAnsi="Consolas"/>
      <w:sz w:val="21"/>
      <w:szCs w:val="21"/>
    </w:rPr>
  </w:style>
  <w:style w:type="character" w:customStyle="1" w:styleId="Char3">
    <w:name w:val="نص عادي Char"/>
    <w:link w:val="afd"/>
    <w:rsid w:val="00564F6B"/>
    <w:rPr>
      <w:rFonts w:ascii="Consolas" w:hAnsi="Consolas" w:cs="AL-Mohanad"/>
      <w:sz w:val="21"/>
      <w:szCs w:val="21"/>
    </w:rPr>
  </w:style>
  <w:style w:type="paragraph" w:styleId="afe">
    <w:name w:val="List Paragraph"/>
    <w:aliases w:val="5-موسع"/>
    <w:basedOn w:val="af"/>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uiPriority w:val="9"/>
    <w:rsid w:val="00801478"/>
    <w:rPr>
      <w:rFonts w:ascii="Times New Roman" w:eastAsia="Times New Roman" w:hAnsi="Times New Roman" w:cs="Traditional Arabic"/>
      <w:sz w:val="30"/>
      <w:szCs w:val="2"/>
    </w:rPr>
  </w:style>
  <w:style w:type="character" w:customStyle="1" w:styleId="8Char">
    <w:name w:val="عنوان 8 Char"/>
    <w:link w:val="8"/>
    <w:uiPriority w:val="9"/>
    <w:rsid w:val="00801478"/>
    <w:rPr>
      <w:rFonts w:ascii="Times New Roman" w:eastAsia="Times New Roman" w:hAnsi="Times New Roman" w:cs="Simplified Arabic"/>
      <w:b/>
      <w:bCs/>
      <w:sz w:val="28"/>
      <w:szCs w:val="28"/>
    </w:rPr>
  </w:style>
  <w:style w:type="character" w:customStyle="1" w:styleId="9Char">
    <w:name w:val="عنوان 9 Char"/>
    <w:link w:val="9"/>
    <w:uiPriority w:val="9"/>
    <w:rsid w:val="00801478"/>
    <w:rPr>
      <w:rFonts w:ascii="Times New Roman" w:eastAsia="Times New Roman" w:hAnsi="Times New Roman" w:cs="Simplified Arabic"/>
      <w:b/>
      <w:bCs/>
      <w:sz w:val="28"/>
      <w:szCs w:val="28"/>
    </w:rPr>
  </w:style>
  <w:style w:type="paragraph" w:styleId="aff">
    <w:name w:val="Title"/>
    <w:aliases w:val="Author Name,سلطان بولد14,شاه کلیدها"/>
    <w:basedOn w:val="af"/>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سلطان بولد14 Char,شاه کلیدها Char"/>
    <w:link w:val="aff"/>
    <w:rsid w:val="00801478"/>
    <w:rPr>
      <w:rFonts w:ascii="Times New Roman" w:eastAsia="Times New Roman" w:hAnsi="Times New Roman" w:cs="PT Bold Broken"/>
      <w:b/>
      <w:bCs/>
      <w:sz w:val="40"/>
      <w:szCs w:val="40"/>
      <w:lang w:eastAsia="ar-SA"/>
    </w:rPr>
  </w:style>
  <w:style w:type="paragraph" w:styleId="aff0">
    <w:name w:val="Body Text"/>
    <w:basedOn w:val="af"/>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2"/>
    <w:rsid w:val="00801478"/>
    <w:rPr>
      <w:rFonts w:ascii="Times New Roman" w:eastAsia="Times New Roman" w:hAnsi="Times New Roman" w:cs="Times New Roman"/>
      <w:bCs/>
      <w:sz w:val="24"/>
      <w:szCs w:val="28"/>
      <w:lang w:eastAsia="ar-SA"/>
    </w:rPr>
  </w:style>
  <w:style w:type="paragraph" w:customStyle="1" w:styleId="12">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2"/>
    <w:rsid w:val="00801478"/>
    <w:rPr>
      <w:rFonts w:ascii="Times New Roman" w:eastAsia="Times New Roman" w:hAnsi="Times New Roman" w:cs="Times New Roman"/>
      <w:sz w:val="24"/>
      <w:szCs w:val="28"/>
      <w:lang w:eastAsia="ar-SA"/>
    </w:rPr>
  </w:style>
  <w:style w:type="paragraph" w:styleId="aff3">
    <w:name w:val="Subtitle"/>
    <w:aliases w:val="الروایة"/>
    <w:basedOn w:val="af"/>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aliases w:val="الروایة Char"/>
    <w:link w:val="aff3"/>
    <w:uiPriority w:val="11"/>
    <w:rsid w:val="00801478"/>
    <w:rPr>
      <w:rFonts w:ascii="Times New Roman" w:eastAsia="Times New Roman" w:hAnsi="Times New Roman" w:cs="Traditional Arabic"/>
      <w:sz w:val="44"/>
      <w:szCs w:val="44"/>
      <w:lang w:eastAsia="ar-SA"/>
    </w:rPr>
  </w:style>
  <w:style w:type="paragraph" w:styleId="aff4">
    <w:name w:val="Balloon Text"/>
    <w:basedOn w:val="af"/>
    <w:link w:val="Char8"/>
    <w:uiPriority w:val="99"/>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f4"/>
    <w:uiPriority w:val="99"/>
    <w:rsid w:val="00801478"/>
    <w:rPr>
      <w:rFonts w:ascii="Tahoma" w:eastAsia="Times New Roman" w:hAnsi="Tahoma" w:cs="Tahoma"/>
      <w:sz w:val="16"/>
      <w:szCs w:val="16"/>
      <w:lang w:eastAsia="ar-SA"/>
    </w:rPr>
  </w:style>
  <w:style w:type="character" w:styleId="aff5">
    <w:name w:val="annotation reference"/>
    <w:uiPriority w:val="99"/>
    <w:rsid w:val="00801478"/>
    <w:rPr>
      <w:sz w:val="16"/>
      <w:szCs w:val="16"/>
    </w:rPr>
  </w:style>
  <w:style w:type="paragraph" w:styleId="aff6">
    <w:name w:val="annotation text"/>
    <w:basedOn w:val="af"/>
    <w:link w:val="Char9"/>
    <w:uiPriority w:val="9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f6"/>
    <w:uiPriority w:val="99"/>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a"/>
    <w:uiPriority w:val="99"/>
    <w:rsid w:val="00801478"/>
    <w:rPr>
      <w:b/>
      <w:bCs/>
    </w:rPr>
  </w:style>
  <w:style w:type="character" w:customStyle="1" w:styleId="Chara">
    <w:name w:val="موضوع تعليق Char"/>
    <w:link w:val="aff7"/>
    <w:uiPriority w:val="99"/>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8"/>
    <w:autoRedefine/>
    <w:rsid w:val="00801478"/>
    <w:pPr>
      <w:jc w:val="left"/>
    </w:pPr>
    <w:rPr>
      <w:sz w:val="32"/>
      <w:szCs w:val="24"/>
    </w:rPr>
  </w:style>
  <w:style w:type="paragraph" w:customStyle="1" w:styleId="aff9">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3">
    <w:name w:val="العنوان الجانبي1"/>
    <w:basedOn w:val="af"/>
    <w:link w:val="1Char1"/>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3"/>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3"/>
    <w:link w:val="Charb"/>
    <w:rsid w:val="00801478"/>
    <w:pPr>
      <w:spacing w:before="60"/>
    </w:pPr>
  </w:style>
  <w:style w:type="character" w:customStyle="1" w:styleId="Charb">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c"/>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d"/>
    <w:rsid w:val="00801478"/>
    <w:pPr>
      <w:spacing w:before="120"/>
    </w:pPr>
    <w:rPr>
      <w:lang w:eastAsia="en-US"/>
    </w:rPr>
  </w:style>
  <w:style w:type="character" w:customStyle="1" w:styleId="Chard">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e">
    <w:name w:val="عنوان المقال Char"/>
    <w:basedOn w:val="aff"/>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
    <w:next w:val="af"/>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
    <w:name w:val="toc 1"/>
    <w:basedOn w:val="af"/>
    <w:next w:val="af"/>
    <w:autoRedefine/>
    <w:uiPriority w:val="39"/>
    <w:qFormat/>
    <w:rsid w:val="003B2BFA"/>
    <w:pPr>
      <w:widowControl/>
      <w:numPr>
        <w:numId w:val="38"/>
      </w:numPr>
      <w:tabs>
        <w:tab w:val="right" w:leader="dot" w:pos="7020"/>
      </w:tabs>
      <w:spacing w:before="120" w:line="240" w:lineRule="auto"/>
      <w:ind w:left="357" w:hanging="357"/>
      <w:contextualSpacing/>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d"/>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f"/>
    <w:rsid w:val="00801478"/>
    <w:rPr>
      <w:rFonts w:ascii="Times New Roman" w:eastAsia="Times New Roman" w:hAnsi="Times New Roman" w:cs="Times New Roman"/>
      <w:color w:val="800000"/>
      <w:sz w:val="28"/>
      <w:szCs w:val="28"/>
    </w:rPr>
  </w:style>
  <w:style w:type="paragraph" w:styleId="22">
    <w:name w:val="Body Text Indent 2"/>
    <w:basedOn w:val="af"/>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
    <w:link w:val="2Char1"/>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uiPriority w:val="99"/>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qFormat/>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szCs w:val="30"/>
      <w:lang w:eastAsia="ar-SA"/>
    </w:rPr>
  </w:style>
  <w:style w:type="paragraph" w:styleId="afff2">
    <w:name w:val="Document Map"/>
    <w:basedOn w:val="af"/>
    <w:link w:val="Charf0"/>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
    <w:next w:val="af"/>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e"/>
    <w:link w:val="Charf1"/>
    <w:rsid w:val="00801478"/>
    <w:pPr>
      <w:spacing w:line="418" w:lineRule="exact"/>
      <w:ind w:right="539"/>
    </w:pPr>
  </w:style>
  <w:style w:type="character" w:customStyle="1" w:styleId="Charf1">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f7">
    <w:name w:val="الآية"/>
    <w:basedOn w:val="aff2"/>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4"/>
    <w:rsid w:val="00801478"/>
    <w:rPr>
      <w:sz w:val="24"/>
      <w:szCs w:val="28"/>
    </w:rPr>
  </w:style>
  <w:style w:type="character" w:customStyle="1" w:styleId="Charf4">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1"/>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d"/>
    <w:rsid w:val="00801478"/>
    <w:rPr>
      <w:rFonts w:ascii="Calibri" w:eastAsia="Calibri" w:hAnsi="Calibri" w:cs="md_ameli"/>
      <w:sz w:val="24"/>
    </w:rPr>
  </w:style>
  <w:style w:type="paragraph" w:customStyle="1" w:styleId="afffe">
    <w:name w:val="خط الحاشية"/>
    <w:basedOn w:val="af6"/>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f"/>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link w:val="28"/>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a"/>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b"/>
    <w:rsid w:val="00801478"/>
  </w:style>
  <w:style w:type="character" w:customStyle="1" w:styleId="Charfb">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c"/>
    <w:rsid w:val="00801478"/>
    <w:pPr>
      <w:jc w:val="right"/>
    </w:pPr>
  </w:style>
  <w:style w:type="character" w:customStyle="1" w:styleId="Charfc">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f7"/>
    <w:rsid w:val="00801478"/>
    <w:rPr>
      <w:rFonts w:ascii="Times New Roman" w:eastAsia="Times New Roman" w:hAnsi="Times New Roman" w:cs="SKR HEAD1"/>
      <w:sz w:val="6"/>
      <w:szCs w:val="32"/>
    </w:rPr>
  </w:style>
  <w:style w:type="character" w:customStyle="1" w:styleId="Charff">
    <w:name w:val="نص حاشية سفلية Char"/>
    <w:uiPriority w:val="99"/>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0"/>
    <w:rsid w:val="00801478"/>
    <w:rPr>
      <w:rFonts w:cs="Sultan Medium"/>
      <w:lang w:bidi="ar-IQ"/>
    </w:rPr>
  </w:style>
  <w:style w:type="character" w:customStyle="1" w:styleId="Charff0">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e"/>
    <w:link w:val="Charff1"/>
    <w:rsid w:val="00801478"/>
    <w:pPr>
      <w:spacing w:line="600" w:lineRule="exact"/>
      <w:jc w:val="center"/>
    </w:pPr>
    <w:rPr>
      <w:rFonts w:cs="SKR HEAD1"/>
      <w:noProof/>
      <w:spacing w:val="-4"/>
      <w:szCs w:val="48"/>
    </w:rPr>
  </w:style>
  <w:style w:type="paragraph" w:customStyle="1" w:styleId="afffff">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1"/>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
    <w:next w:val="af"/>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f2">
    <w:name w:val="line number"/>
    <w:basedOn w:val="af0"/>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aliases w:val="علائم"/>
    <w:uiPriority w:val="20"/>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f5">
    <w:name w:val="List Bullet 2"/>
    <w:basedOn w:val="af"/>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2"/>
      </w:numPr>
    </w:pPr>
  </w:style>
  <w:style w:type="paragraph" w:styleId="affffffe">
    <w:name w:val="Body Text First Indent"/>
    <w:basedOn w:val="aff0"/>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d"/>
    <w:rsid w:val="00801478"/>
    <w:pPr>
      <w:widowControl/>
      <w:spacing w:before="240" w:after="120"/>
      <w:ind w:firstLine="0"/>
      <w:jc w:val="lowKashida"/>
    </w:pPr>
    <w:rPr>
      <w:rFonts w:ascii="Times New Roman" w:hAnsi="Times New Roman" w:cs="Ya-Ali"/>
      <w:sz w:val="36"/>
      <w:szCs w:val="36"/>
    </w:rPr>
  </w:style>
  <w:style w:type="paragraph" w:customStyle="1" w:styleId="afffffff4">
    <w:name w:val="متن أساسي مهم"/>
    <w:basedOn w:val="af"/>
    <w:link w:val="Charffe"/>
    <w:rsid w:val="00801478"/>
    <w:pPr>
      <w:ind w:firstLine="288"/>
      <w:jc w:val="lowKashida"/>
    </w:pPr>
    <w:rPr>
      <w:rFonts w:ascii="Times New Roman" w:hAnsi="Times New Roman" w:cs="Abz-3 (Yagut)"/>
      <w:szCs w:val="28"/>
    </w:rPr>
  </w:style>
  <w:style w:type="character" w:customStyle="1" w:styleId="Charffd">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
    <w:rsid w:val="00801478"/>
    <w:pPr>
      <w:ind w:firstLine="288"/>
      <w:jc w:val="lowKashida"/>
    </w:pPr>
    <w:rPr>
      <w:rFonts w:cs="A Lotus"/>
    </w:rPr>
  </w:style>
  <w:style w:type="character" w:customStyle="1" w:styleId="Charfff">
    <w:name w:val="سبيسلبسبيببيس Char"/>
    <w:link w:val="afffffff5"/>
    <w:rsid w:val="00801478"/>
    <w:rPr>
      <w:rFonts w:ascii="Times New Roman" w:eastAsia="Times New Roman" w:hAnsi="Times New Roman" w:cs="A Lotus"/>
      <w:sz w:val="28"/>
      <w:szCs w:val="28"/>
    </w:rPr>
  </w:style>
  <w:style w:type="character" w:customStyle="1" w:styleId="Charffe">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0"/>
    <w:rsid w:val="00801478"/>
    <w:rPr>
      <w:sz w:val="26"/>
      <w:szCs w:val="24"/>
    </w:rPr>
  </w:style>
  <w:style w:type="paragraph" w:customStyle="1" w:styleId="afffffff7">
    <w:name w:val="لوتوس اسود"/>
    <w:basedOn w:val="af"/>
    <w:link w:val="Charfff1"/>
    <w:rsid w:val="00801478"/>
    <w:pPr>
      <w:spacing w:line="240" w:lineRule="auto"/>
      <w:ind w:firstLine="432"/>
    </w:pPr>
    <w:rPr>
      <w:rFonts w:ascii="Yagut-s" w:hAnsi="Yagut-s" w:cs="لوتوس"/>
      <w:b/>
      <w:bCs/>
      <w:sz w:val="32"/>
      <w:szCs w:val="30"/>
    </w:rPr>
  </w:style>
  <w:style w:type="character" w:customStyle="1" w:styleId="Charfff1">
    <w:name w:val="لوتوس اسود Char"/>
    <w:link w:val="afffffff7"/>
    <w:rsid w:val="00801478"/>
    <w:rPr>
      <w:rFonts w:ascii="Yagut-s" w:eastAsia="Times New Roman" w:hAnsi="Yagut-s" w:cs="لوتوس"/>
      <w:b/>
      <w:bCs/>
      <w:sz w:val="32"/>
      <w:szCs w:val="30"/>
    </w:rPr>
  </w:style>
  <w:style w:type="character" w:customStyle="1" w:styleId="Charfff0">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6"/>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B Nazanin"/>
      <w:sz w:val="24"/>
      <w:szCs w:val="24"/>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e">
    <w:name w:val="تيتر"/>
    <w:basedOn w:val="1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2">
    <w:name w:val="عنوان Char"/>
    <w:basedOn w:val="af"/>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2"/>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3"/>
    <w:link w:val="2CharCharCharCharChar"/>
    <w:uiPriority w:val="99"/>
    <w:rsid w:val="008E1DD2"/>
    <w:pPr>
      <w:spacing w:before="180" w:after="120"/>
      <w:ind w:firstLine="0"/>
    </w:pPr>
    <w:rPr>
      <w:rFonts w:cs="AL-Mohanad"/>
      <w:szCs w:val="26"/>
    </w:rPr>
  </w:style>
  <w:style w:type="paragraph" w:customStyle="1" w:styleId="Charfff3">
    <w:name w:val="النص Char"/>
    <w:basedOn w:val="af"/>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2"/>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f"/>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
    <w:next w:val="af"/>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3"/>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f">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8"/>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d"/>
    <w:uiPriority w:val="99"/>
    <w:rsid w:val="008E1DD2"/>
    <w:pPr>
      <w:spacing w:before="80"/>
      <w:ind w:firstLine="454"/>
      <w:jc w:val="lowKashida"/>
    </w:pPr>
    <w:rPr>
      <w:rFonts w:ascii="JALAL" w:hAnsi="JALAL" w:cs="Al-Sadiq Bold"/>
      <w:sz w:val="32"/>
      <w:szCs w:val="28"/>
    </w:rPr>
  </w:style>
  <w:style w:type="paragraph" w:customStyle="1" w:styleId="a00">
    <w:name w:val="a0"/>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f0">
    <w:name w:val="a"/>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f"/>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f"/>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affffffff1">
    <w:name w:val="الشعر"/>
    <w:basedOn w:val="af"/>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f"/>
    <w:link w:val="Style1Ch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f0"/>
    <w:rsid w:val="008E1DD2"/>
  </w:style>
  <w:style w:type="paragraph" w:customStyle="1" w:styleId="ecxecxecxecxmsonormal">
    <w:name w:val="ecxecxecxecxmsonormal"/>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f0"/>
    <w:rsid w:val="008E1DD2"/>
  </w:style>
  <w:style w:type="paragraph" w:customStyle="1" w:styleId="10">
    <w:name w:val="عنوان فرعي1"/>
    <w:basedOn w:val="af"/>
    <w:rsid w:val="008E1DD2"/>
    <w:pPr>
      <w:widowControl/>
      <w:numPr>
        <w:numId w:val="13"/>
      </w:numPr>
      <w:spacing w:line="240" w:lineRule="auto"/>
      <w:jc w:val="lowKashida"/>
    </w:pPr>
    <w:rPr>
      <w:rFonts w:ascii="Times New Roman" w:hAnsi="Times New Roman" w:cs="Simplified Arabic"/>
      <w:bCs/>
      <w:sz w:val="24"/>
      <w:szCs w:val="32"/>
    </w:rPr>
  </w:style>
  <w:style w:type="paragraph" w:customStyle="1" w:styleId="Heading21">
    <w:name w:val="Heading 21"/>
    <w:basedOn w:val="af"/>
    <w:next w:val="af"/>
    <w:uiPriority w:val="9"/>
    <w:unhideWhenUsed/>
    <w:qFormat/>
    <w:rsid w:val="0098597F"/>
    <w:pPr>
      <w:keepNext/>
      <w:keepLines/>
      <w:widowControl/>
      <w:spacing w:before="40" w:line="276" w:lineRule="auto"/>
      <w:ind w:firstLine="0"/>
      <w:jc w:val="left"/>
      <w:outlineLvl w:val="1"/>
    </w:pPr>
    <w:rPr>
      <w:rFonts w:ascii="Calibri Light" w:hAnsi="Calibri Light" w:cs="Times New Roman"/>
      <w:color w:val="2E74B5"/>
      <w:sz w:val="26"/>
      <w:szCs w:val="26"/>
    </w:rPr>
  </w:style>
  <w:style w:type="numbering" w:customStyle="1" w:styleId="NoList1">
    <w:name w:val="No List1"/>
    <w:next w:val="af2"/>
    <w:uiPriority w:val="99"/>
    <w:semiHidden/>
    <w:unhideWhenUsed/>
    <w:rsid w:val="0098597F"/>
  </w:style>
  <w:style w:type="paragraph" w:customStyle="1" w:styleId="NoSpacing1">
    <w:name w:val="No Spacing1"/>
    <w:next w:val="affffffff2"/>
    <w:link w:val="NoSpacingChar"/>
    <w:uiPriority w:val="1"/>
    <w:qFormat/>
    <w:rsid w:val="0098597F"/>
    <w:rPr>
      <w:rFonts w:asciiTheme="minorHAnsi" w:hAnsiTheme="minorHAnsi" w:cstheme="minorBidi"/>
      <w:sz w:val="22"/>
      <w:szCs w:val="22"/>
    </w:rPr>
  </w:style>
  <w:style w:type="character" w:customStyle="1" w:styleId="NoSpacingChar">
    <w:name w:val="No Spacing Char"/>
    <w:basedOn w:val="af0"/>
    <w:link w:val="NoSpacing1"/>
    <w:uiPriority w:val="1"/>
    <w:rsid w:val="0098597F"/>
    <w:rPr>
      <w:rFonts w:asciiTheme="minorHAnsi" w:hAnsiTheme="minorHAnsi" w:cstheme="minorBidi"/>
      <w:sz w:val="22"/>
      <w:szCs w:val="22"/>
    </w:rPr>
  </w:style>
  <w:style w:type="paragraph" w:customStyle="1" w:styleId="Charfff4">
    <w:name w:val="النصص Char"/>
    <w:basedOn w:val="af"/>
    <w:link w:val="CharChar4"/>
    <w:rsid w:val="0098597F"/>
    <w:pPr>
      <w:spacing w:line="204" w:lineRule="auto"/>
      <w:ind w:firstLine="454"/>
      <w:jc w:val="lowKashida"/>
    </w:pPr>
    <w:rPr>
      <w:rFonts w:ascii="Arial" w:eastAsia="MS Mincho" w:hAnsi="Arial" w:cs="ajk-kawthar3 normal-simplifid"/>
      <w:color w:val="000000"/>
      <w:szCs w:val="29"/>
    </w:rPr>
  </w:style>
  <w:style w:type="character" w:customStyle="1" w:styleId="CharChar4">
    <w:name w:val="النصص Char Char"/>
    <w:link w:val="Charfff4"/>
    <w:rsid w:val="0098597F"/>
    <w:rPr>
      <w:rFonts w:ascii="Arial" w:eastAsia="MS Mincho" w:hAnsi="Arial" w:cs="ajk-kawthar3 normal-simplifid"/>
      <w:color w:val="000000"/>
      <w:sz w:val="28"/>
      <w:szCs w:val="29"/>
    </w:rPr>
  </w:style>
  <w:style w:type="paragraph" w:customStyle="1" w:styleId="02Char">
    <w:name w:val="02 Char"/>
    <w:basedOn w:val="af"/>
    <w:link w:val="02CharChar"/>
    <w:rsid w:val="0098597F"/>
    <w:pPr>
      <w:keepNext/>
      <w:spacing w:before="160" w:after="40" w:line="216" w:lineRule="auto"/>
      <w:ind w:firstLine="0"/>
      <w:jc w:val="left"/>
    </w:pPr>
    <w:rPr>
      <w:rFonts w:ascii="Arial" w:eastAsia="MS Mincho" w:hAnsi="Arial" w:cs="AMUNA"/>
      <w:color w:val="000000"/>
      <w:sz w:val="30"/>
      <w:szCs w:val="35"/>
    </w:rPr>
  </w:style>
  <w:style w:type="character" w:customStyle="1" w:styleId="02CharChar">
    <w:name w:val="02 Char Char"/>
    <w:link w:val="02Char"/>
    <w:rsid w:val="0098597F"/>
    <w:rPr>
      <w:rFonts w:ascii="Arial" w:eastAsia="MS Mincho" w:hAnsi="Arial" w:cs="AMUNA"/>
      <w:color w:val="000000"/>
      <w:sz w:val="30"/>
      <w:szCs w:val="35"/>
    </w:rPr>
  </w:style>
  <w:style w:type="paragraph" w:customStyle="1" w:styleId="0000">
    <w:name w:val="0000"/>
    <w:basedOn w:val="af"/>
    <w:rsid w:val="0098597F"/>
    <w:pPr>
      <w:spacing w:line="240" w:lineRule="auto"/>
      <w:ind w:firstLine="0"/>
      <w:jc w:val="center"/>
    </w:pPr>
    <w:rPr>
      <w:rFonts w:ascii="Arial" w:eastAsia="MS Mincho" w:hAnsi="Arial" w:cs="ajk-mohsen"/>
      <w:bCs/>
      <w:color w:val="000000"/>
      <w:sz w:val="38"/>
      <w:szCs w:val="38"/>
      <w:lang w:bidi="ar-LB"/>
    </w:rPr>
  </w:style>
  <w:style w:type="paragraph" w:customStyle="1" w:styleId="affffffff3">
    <w:name w:val="ححاشية"/>
    <w:basedOn w:val="af"/>
    <w:rsid w:val="0098597F"/>
    <w:pPr>
      <w:spacing w:line="216" w:lineRule="auto"/>
      <w:ind w:left="340" w:hanging="340"/>
      <w:jc w:val="lowKashida"/>
    </w:pPr>
    <w:rPr>
      <w:rFonts w:ascii="Arial" w:eastAsia="MS Mincho" w:hAnsi="Arial" w:cs="ALMUNA"/>
      <w:sz w:val="18"/>
      <w:szCs w:val="24"/>
    </w:rPr>
  </w:style>
  <w:style w:type="numbering" w:customStyle="1" w:styleId="1f9">
    <w:name w:val="بلا قائمة1"/>
    <w:next w:val="af2"/>
    <w:uiPriority w:val="99"/>
    <w:semiHidden/>
    <w:unhideWhenUsed/>
    <w:rsid w:val="0098597F"/>
  </w:style>
  <w:style w:type="paragraph" w:customStyle="1" w:styleId="1fa">
    <w:name w:val="عادي 1"/>
    <w:basedOn w:val="af"/>
    <w:link w:val="1Char5"/>
    <w:rsid w:val="0098597F"/>
    <w:pPr>
      <w:widowControl/>
      <w:spacing w:before="120" w:line="460" w:lineRule="exact"/>
      <w:jc w:val="lowKashida"/>
    </w:pPr>
    <w:rPr>
      <w:rFonts w:ascii="Times New Roman" w:hAnsi="Times New Roman" w:cs="Rateb lotusb2011"/>
      <w:sz w:val="32"/>
      <w:szCs w:val="30"/>
      <w:lang w:val="fr-FR"/>
    </w:rPr>
  </w:style>
  <w:style w:type="paragraph" w:customStyle="1" w:styleId="1-ctrl">
    <w:name w:val="عنوان فرعي1-ctrlذ"/>
    <w:basedOn w:val="af"/>
    <w:link w:val="1-ctrlChar"/>
    <w:rsid w:val="0098597F"/>
    <w:pPr>
      <w:widowControl/>
      <w:spacing w:before="240" w:after="40" w:line="460" w:lineRule="exact"/>
      <w:ind w:firstLine="0"/>
      <w:jc w:val="lowKashida"/>
    </w:pPr>
    <w:rPr>
      <w:rFonts w:ascii="JALAL" w:hAnsi="JALAL" w:cs="Monotype Koufi"/>
      <w:b/>
      <w:bCs/>
      <w:color w:val="000000"/>
      <w:sz w:val="32"/>
      <w:szCs w:val="32"/>
    </w:rPr>
  </w:style>
  <w:style w:type="character" w:customStyle="1" w:styleId="1-ctrlChar">
    <w:name w:val="عنوان فرعي1-ctrlذ Char"/>
    <w:basedOn w:val="af0"/>
    <w:link w:val="1-ctrl"/>
    <w:rsid w:val="0098597F"/>
    <w:rPr>
      <w:rFonts w:ascii="JALAL" w:hAnsi="JALAL" w:cs="Monotype Koufi"/>
      <w:b/>
      <w:bCs/>
      <w:color w:val="000000"/>
      <w:sz w:val="32"/>
      <w:szCs w:val="32"/>
    </w:rPr>
  </w:style>
  <w:style w:type="paragraph" w:customStyle="1" w:styleId="4b">
    <w:name w:val="نص بعد العنوان الفرعي 4"/>
    <w:basedOn w:val="af"/>
    <w:link w:val="4Char2"/>
    <w:rsid w:val="0098597F"/>
    <w:pPr>
      <w:spacing w:before="20" w:line="460" w:lineRule="exact"/>
      <w:jc w:val="lowKashida"/>
    </w:pPr>
    <w:rPr>
      <w:rFonts w:ascii="Times New Roman" w:hAnsi="Times New Roman" w:cs="Rateb lotusb2011"/>
      <w:szCs w:val="30"/>
    </w:rPr>
  </w:style>
  <w:style w:type="character" w:customStyle="1" w:styleId="4Char2">
    <w:name w:val="نص بعد العنوان الفرعي 4 Char"/>
    <w:basedOn w:val="af0"/>
    <w:link w:val="4b"/>
    <w:rsid w:val="0098597F"/>
    <w:rPr>
      <w:rFonts w:ascii="Times New Roman" w:hAnsi="Times New Roman" w:cs="Rateb lotusb2011"/>
      <w:sz w:val="28"/>
      <w:szCs w:val="30"/>
    </w:rPr>
  </w:style>
  <w:style w:type="character" w:customStyle="1" w:styleId="1Char5">
    <w:name w:val="عادي 1 Char"/>
    <w:basedOn w:val="af0"/>
    <w:link w:val="1fa"/>
    <w:rsid w:val="0098597F"/>
    <w:rPr>
      <w:rFonts w:ascii="Times New Roman" w:hAnsi="Times New Roman" w:cs="Rateb lotusb2011"/>
      <w:sz w:val="32"/>
      <w:szCs w:val="30"/>
      <w:lang w:val="fr-FR"/>
    </w:rPr>
  </w:style>
  <w:style w:type="character" w:customStyle="1" w:styleId="Hyperlink1">
    <w:name w:val="Hyperlink1"/>
    <w:basedOn w:val="af0"/>
    <w:unhideWhenUsed/>
    <w:rsid w:val="0098597F"/>
    <w:rPr>
      <w:color w:val="0563C1"/>
      <w:u w:val="single"/>
    </w:rPr>
  </w:style>
  <w:style w:type="character" w:customStyle="1" w:styleId="apple-converted-space">
    <w:name w:val="apple-converted-space"/>
    <w:basedOn w:val="af0"/>
    <w:rsid w:val="0098597F"/>
  </w:style>
  <w:style w:type="character" w:customStyle="1" w:styleId="textexposedshow">
    <w:name w:val="text_exposed_show"/>
    <w:basedOn w:val="af0"/>
    <w:rsid w:val="0098597F"/>
  </w:style>
  <w:style w:type="paragraph" w:customStyle="1" w:styleId="FooterTextFooter">
    <w:name w:val="Footer_Text (Footer)"/>
    <w:basedOn w:val="af"/>
    <w:uiPriority w:val="99"/>
    <w:rsid w:val="0098597F"/>
    <w:pPr>
      <w:widowControl/>
      <w:autoSpaceDE w:val="0"/>
      <w:autoSpaceDN w:val="0"/>
      <w:adjustRightInd w:val="0"/>
      <w:spacing w:line="300" w:lineRule="atLeast"/>
      <w:ind w:left="283" w:hanging="283"/>
      <w:textAlignment w:val="center"/>
    </w:pPr>
    <w:rPr>
      <w:rFonts w:ascii="Lotus Linotype Light" w:eastAsiaTheme="minorHAnsi" w:hAnsiTheme="minorHAnsi" w:cs="Lotus Linotype Light"/>
      <w:color w:val="000000"/>
      <w:sz w:val="22"/>
      <w:szCs w:val="22"/>
      <w:lang w:bidi="ar-YE"/>
    </w:rPr>
  </w:style>
  <w:style w:type="character" w:customStyle="1" w:styleId="reference-text">
    <w:name w:val="reference-text"/>
    <w:basedOn w:val="af0"/>
    <w:rsid w:val="0098597F"/>
  </w:style>
  <w:style w:type="character" w:customStyle="1" w:styleId="apple-tab-span">
    <w:name w:val="apple-tab-span"/>
    <w:basedOn w:val="af0"/>
    <w:rsid w:val="0098597F"/>
  </w:style>
  <w:style w:type="numbering" w:customStyle="1" w:styleId="2f9">
    <w:name w:val="بلا قائمة2"/>
    <w:next w:val="af2"/>
    <w:uiPriority w:val="99"/>
    <w:semiHidden/>
    <w:unhideWhenUsed/>
    <w:rsid w:val="0098597F"/>
  </w:style>
  <w:style w:type="character" w:customStyle="1" w:styleId="HeaderChar1">
    <w:name w:val="Header Char1"/>
    <w:basedOn w:val="af0"/>
    <w:uiPriority w:val="99"/>
    <w:semiHidden/>
    <w:rsid w:val="0098597F"/>
    <w:rPr>
      <w:rFonts w:ascii="Calibri" w:eastAsia="Calibri" w:hAnsi="Calibri" w:cs="Arial"/>
    </w:rPr>
  </w:style>
  <w:style w:type="paragraph" w:customStyle="1" w:styleId="1Char6">
    <w:name w:val="نص 1 Char"/>
    <w:basedOn w:val="af"/>
    <w:rsid w:val="0098597F"/>
    <w:pPr>
      <w:spacing w:before="120" w:line="460" w:lineRule="exact"/>
      <w:jc w:val="lowKashida"/>
    </w:pPr>
    <w:rPr>
      <w:rFonts w:ascii="Times New Roman" w:hAnsi="Times New Roman" w:cs="Rateb lotusb2011"/>
      <w:sz w:val="30"/>
      <w:szCs w:val="30"/>
      <w:lang w:val="en-GB" w:eastAsia="en-GB"/>
    </w:rPr>
  </w:style>
  <w:style w:type="character" w:customStyle="1" w:styleId="Heading1Char10">
    <w:name w:val="Heading 1 Char1"/>
    <w:aliases w:val="شعر Char1,1-المباحث Char1"/>
    <w:basedOn w:val="af0"/>
    <w:uiPriority w:val="9"/>
    <w:rsid w:val="0098597F"/>
    <w:rPr>
      <w:rFonts w:asciiTheme="majorHAnsi" w:eastAsiaTheme="majorEastAsia" w:hAnsiTheme="majorHAnsi" w:cstheme="majorBidi"/>
      <w:color w:val="365F91" w:themeColor="accent1" w:themeShade="BF"/>
      <w:sz w:val="32"/>
      <w:szCs w:val="32"/>
    </w:rPr>
  </w:style>
  <w:style w:type="paragraph" w:styleId="affffffff2">
    <w:name w:val="No Spacing"/>
    <w:aliases w:val="سلطان ميديم15,مباحث"/>
    <w:uiPriority w:val="1"/>
    <w:qFormat/>
    <w:rsid w:val="0098597F"/>
    <w:rPr>
      <w:rFonts w:asciiTheme="minorHAnsi" w:eastAsiaTheme="minorHAnsi" w:hAnsiTheme="minorHAnsi" w:cstheme="minorBidi"/>
      <w:sz w:val="22"/>
      <w:szCs w:val="22"/>
    </w:rPr>
  </w:style>
  <w:style w:type="paragraph" w:customStyle="1" w:styleId="affffffff4">
    <w:name w:val="النص الأساسي"/>
    <w:basedOn w:val="af"/>
    <w:uiPriority w:val="99"/>
    <w:rsid w:val="009C6A22"/>
    <w:pPr>
      <w:widowControl/>
      <w:autoSpaceDE w:val="0"/>
      <w:autoSpaceDN w:val="0"/>
      <w:adjustRightInd w:val="0"/>
      <w:spacing w:before="57" w:after="57" w:line="450" w:lineRule="atLeast"/>
      <w:ind w:firstLine="340"/>
      <w:textAlignment w:val="center"/>
    </w:pPr>
    <w:rPr>
      <w:rFonts w:ascii="Lotus Linotype" w:eastAsiaTheme="minorHAnsi" w:hAnsi="Lotus Linotype" w:cs="Lotus Linotype"/>
      <w:color w:val="000000"/>
      <w:sz w:val="31"/>
      <w:szCs w:val="31"/>
      <w:lang w:bidi="ar-YE"/>
    </w:rPr>
  </w:style>
  <w:style w:type="paragraph" w:customStyle="1" w:styleId="affffffff5">
    <w:name w:val="عنوان جانبي"/>
    <w:basedOn w:val="af"/>
    <w:uiPriority w:val="99"/>
    <w:rsid w:val="009C6A22"/>
    <w:pPr>
      <w:keepNext/>
      <w:widowControl/>
      <w:autoSpaceDE w:val="0"/>
      <w:autoSpaceDN w:val="0"/>
      <w:adjustRightInd w:val="0"/>
      <w:spacing w:before="113" w:after="57" w:line="288" w:lineRule="auto"/>
      <w:ind w:firstLine="0"/>
      <w:textAlignment w:val="center"/>
    </w:pPr>
    <w:rPr>
      <w:rFonts w:ascii="AXtManalBLack" w:eastAsiaTheme="minorHAnsi" w:hAnsi="AXtManalBLack" w:cs="AXtManalBLack"/>
      <w:color w:val="000000"/>
      <w:sz w:val="34"/>
      <w:szCs w:val="34"/>
    </w:rPr>
  </w:style>
  <w:style w:type="paragraph" w:customStyle="1" w:styleId="normal87">
    <w:name w:val="normal87"/>
    <w:basedOn w:val="af"/>
    <w:qFormat/>
    <w:rsid w:val="001153F1"/>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1153F1"/>
    <w:pPr>
      <w:spacing w:line="216" w:lineRule="auto"/>
    </w:pPr>
    <w:rPr>
      <w:szCs w:val="29"/>
    </w:rPr>
  </w:style>
  <w:style w:type="paragraph" w:customStyle="1" w:styleId="normal93">
    <w:name w:val="normal93"/>
    <w:basedOn w:val="normal9"/>
    <w:qFormat/>
    <w:rsid w:val="001153F1"/>
    <w:pPr>
      <w:spacing w:line="223" w:lineRule="auto"/>
    </w:pPr>
  </w:style>
  <w:style w:type="paragraph" w:customStyle="1" w:styleId="heading4">
    <w:name w:val="heading4"/>
    <w:basedOn w:val="af"/>
    <w:next w:val="af"/>
    <w:qFormat/>
    <w:rsid w:val="001153F1"/>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1153F1"/>
    <w:pPr>
      <w:widowControl/>
      <w:spacing w:before="360" w:line="216" w:lineRule="auto"/>
      <w:ind w:firstLine="0"/>
    </w:pPr>
    <w:rPr>
      <w:rFonts w:ascii="Arial" w:hAnsi="Arial" w:cs="AL-Mateen"/>
      <w:sz w:val="26"/>
      <w:szCs w:val="28"/>
    </w:rPr>
  </w:style>
  <w:style w:type="character" w:customStyle="1" w:styleId="Char20">
    <w:name w:val="رأس الصفحة Char2"/>
    <w:uiPriority w:val="99"/>
    <w:rsid w:val="001153F1"/>
    <w:rPr>
      <w:rFonts w:ascii="Mosawi" w:hAnsi="Mosawi" w:cs="Mosawi"/>
      <w:sz w:val="30"/>
      <w:szCs w:val="30"/>
    </w:rPr>
  </w:style>
  <w:style w:type="character" w:customStyle="1" w:styleId="Char21">
    <w:name w:val="تذييل الصفحة Char2"/>
    <w:uiPriority w:val="99"/>
    <w:rsid w:val="001153F1"/>
    <w:rPr>
      <w:rFonts w:ascii="Mosawi" w:hAnsi="Mosawi" w:cs="Mosawi"/>
      <w:sz w:val="30"/>
      <w:szCs w:val="30"/>
    </w:rPr>
  </w:style>
  <w:style w:type="character" w:customStyle="1" w:styleId="4Char20">
    <w:name w:val="عنوان 4 Char2"/>
    <w:aliases w:val="سلطان بولد15.5 Char,4-عام Char"/>
    <w:uiPriority w:val="9"/>
    <w:rsid w:val="001153F1"/>
    <w:rPr>
      <w:rFonts w:ascii="Century Gothic" w:eastAsia="Calibri" w:hAnsi="Century Gothic" w:cs="AL-Mateen"/>
      <w:b/>
      <w:i/>
      <w:color w:val="000000"/>
      <w:sz w:val="28"/>
      <w:szCs w:val="34"/>
    </w:rPr>
  </w:style>
  <w:style w:type="paragraph" w:customStyle="1" w:styleId="1fb">
    <w:name w:val="بلا تباعد1"/>
    <w:rsid w:val="001153F1"/>
    <w:pPr>
      <w:bidi/>
      <w:ind w:firstLine="284"/>
      <w:jc w:val="both"/>
    </w:pPr>
    <w:rPr>
      <w:rFonts w:ascii="Tahoma" w:hAnsi="Tahoma" w:cs="Mosawi"/>
      <w:sz w:val="28"/>
      <w:szCs w:val="32"/>
    </w:rPr>
  </w:style>
  <w:style w:type="paragraph" w:customStyle="1" w:styleId="matin">
    <w:name w:val="matin"/>
    <w:basedOn w:val="af"/>
    <w:link w:val="matinChar"/>
    <w:rsid w:val="001153F1"/>
    <w:pPr>
      <w:spacing w:line="216" w:lineRule="auto"/>
      <w:ind w:firstLine="284"/>
    </w:pPr>
    <w:rPr>
      <w:rFonts w:ascii="Times New Roman" w:hAnsi="Times New Roman" w:cs="Mosawi"/>
      <w:sz w:val="32"/>
      <w:szCs w:val="32"/>
    </w:rPr>
  </w:style>
  <w:style w:type="character" w:customStyle="1" w:styleId="matinChar">
    <w:name w:val="matin Char"/>
    <w:link w:val="matin"/>
    <w:rsid w:val="001153F1"/>
    <w:rPr>
      <w:rFonts w:ascii="Times New Roman" w:hAnsi="Times New Roman" w:cs="Mosawi"/>
      <w:sz w:val="32"/>
      <w:szCs w:val="32"/>
    </w:rPr>
  </w:style>
  <w:style w:type="paragraph" w:customStyle="1" w:styleId="sher">
    <w:name w:val="sher"/>
    <w:basedOn w:val="20"/>
    <w:qFormat/>
    <w:rsid w:val="001153F1"/>
    <w:pPr>
      <w:spacing w:before="240"/>
      <w:jc w:val="lowKashida"/>
    </w:pPr>
    <w:rPr>
      <w:rFonts w:ascii="Taher" w:eastAsia="Calibri" w:hAnsi="Taher" w:cs="Mosawi"/>
      <w:bCs/>
      <w:color w:val="000099"/>
      <w:sz w:val="26"/>
      <w:szCs w:val="36"/>
    </w:rPr>
  </w:style>
  <w:style w:type="paragraph" w:customStyle="1" w:styleId="foot1">
    <w:name w:val="foot1"/>
    <w:basedOn w:val="af"/>
    <w:uiPriority w:val="99"/>
    <w:rsid w:val="001153F1"/>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1153F1"/>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1153F1"/>
    <w:rPr>
      <w:rFonts w:ascii="Times New Roman" w:hAnsi="Times New Roman" w:cs="Times New Roman"/>
      <w:color w:val="0000FF"/>
      <w:sz w:val="28"/>
      <w:szCs w:val="28"/>
    </w:rPr>
  </w:style>
  <w:style w:type="character" w:customStyle="1" w:styleId="ufyag141">
    <w:name w:val="uf_yag141"/>
    <w:rsid w:val="001153F1"/>
    <w:rPr>
      <w:rFonts w:cs="Simplified Arabic"/>
      <w:b/>
      <w:bCs/>
      <w:sz w:val="26"/>
      <w:szCs w:val="26"/>
      <w:lang w:bidi="ar-SA"/>
    </w:rPr>
  </w:style>
  <w:style w:type="character" w:customStyle="1" w:styleId="uflts41">
    <w:name w:val="uf_lts41"/>
    <w:rsid w:val="001153F1"/>
    <w:rPr>
      <w:rFonts w:cs="Simplified Arabic"/>
      <w:b/>
      <w:bCs/>
      <w:sz w:val="28"/>
      <w:szCs w:val="28"/>
      <w:lang w:bidi="ar-SA"/>
    </w:rPr>
  </w:style>
  <w:style w:type="character" w:customStyle="1" w:styleId="ufalaem91">
    <w:name w:val="uf_alaem91"/>
    <w:rsid w:val="001153F1"/>
    <w:rPr>
      <w:rFonts w:ascii="Times New Roman" w:hAnsi="Times New Roman" w:cs="Times New Roman"/>
      <w:sz w:val="22"/>
      <w:szCs w:val="22"/>
    </w:rPr>
  </w:style>
  <w:style w:type="character" w:customStyle="1" w:styleId="ufalaem341">
    <w:name w:val="uf_alaem341"/>
    <w:rsid w:val="001153F1"/>
    <w:rPr>
      <w:rFonts w:ascii="Times New Roman" w:hAnsi="Times New Roman" w:cs="Times New Roman"/>
      <w:sz w:val="36"/>
      <w:szCs w:val="36"/>
    </w:rPr>
  </w:style>
  <w:style w:type="character" w:customStyle="1" w:styleId="footnumup">
    <w:name w:val="footnumup"/>
    <w:rsid w:val="001153F1"/>
    <w:rPr>
      <w:rFonts w:ascii="Times New Roman" w:hAnsi="Times New Roman" w:cs="Times New Roman"/>
      <w:position w:val="11"/>
      <w:sz w:val="28"/>
      <w:szCs w:val="28"/>
    </w:rPr>
  </w:style>
  <w:style w:type="character" w:customStyle="1" w:styleId="ufbdr81">
    <w:name w:val="uf_bdr81"/>
    <w:rsid w:val="001153F1"/>
    <w:rPr>
      <w:rFonts w:cs="Simplified Arabic"/>
      <w:b/>
      <w:bCs/>
      <w:sz w:val="28"/>
      <w:szCs w:val="28"/>
      <w:lang w:bidi="ar-SA"/>
    </w:rPr>
  </w:style>
  <w:style w:type="character" w:customStyle="1" w:styleId="ufbdr71">
    <w:name w:val="uf_bdr71"/>
    <w:rsid w:val="001153F1"/>
    <w:rPr>
      <w:rFonts w:cs="Simplified Arabic"/>
      <w:b/>
      <w:bCs/>
      <w:sz w:val="28"/>
      <w:szCs w:val="28"/>
      <w:lang w:bidi="ar-SA"/>
    </w:rPr>
  </w:style>
  <w:style w:type="character" w:customStyle="1" w:styleId="ufesy321">
    <w:name w:val="uf_esy321"/>
    <w:rsid w:val="001153F1"/>
    <w:rPr>
      <w:rFonts w:ascii="Times New Roman" w:hAnsi="Times New Roman" w:cs="Times New Roman"/>
      <w:sz w:val="48"/>
      <w:szCs w:val="48"/>
    </w:rPr>
  </w:style>
  <w:style w:type="character" w:customStyle="1" w:styleId="ufnzn181">
    <w:name w:val="uf_nzn181"/>
    <w:rsid w:val="001153F1"/>
    <w:rPr>
      <w:rFonts w:ascii="Times New Roman" w:hAnsi="Times New Roman" w:cs="Times New Roman"/>
      <w:b/>
      <w:bCs/>
      <w:sz w:val="26"/>
      <w:szCs w:val="26"/>
    </w:rPr>
  </w:style>
  <w:style w:type="character" w:customStyle="1" w:styleId="uflts71">
    <w:name w:val="uf_lts71"/>
    <w:rsid w:val="001153F1"/>
    <w:rPr>
      <w:rFonts w:cs="Simplified Arabic"/>
      <w:b/>
      <w:bCs/>
      <w:sz w:val="28"/>
      <w:szCs w:val="28"/>
      <w:lang w:bidi="ar-SA"/>
    </w:rPr>
  </w:style>
  <w:style w:type="character" w:customStyle="1" w:styleId="ufbdr111">
    <w:name w:val="uf_bdr111"/>
    <w:rsid w:val="001153F1"/>
    <w:rPr>
      <w:rFonts w:cs="Simplified Arabic"/>
      <w:b/>
      <w:bCs/>
      <w:sz w:val="28"/>
      <w:szCs w:val="28"/>
      <w:lang w:bidi="ar-SA"/>
    </w:rPr>
  </w:style>
  <w:style w:type="character" w:customStyle="1" w:styleId="ufesy101">
    <w:name w:val="uf_esy101"/>
    <w:rsid w:val="001153F1"/>
    <w:rPr>
      <w:rFonts w:ascii="Times New Roman" w:hAnsi="Times New Roman" w:cs="Times New Roman"/>
      <w:sz w:val="32"/>
      <w:szCs w:val="32"/>
    </w:rPr>
  </w:style>
  <w:style w:type="character" w:customStyle="1" w:styleId="ufbdr131">
    <w:name w:val="uf_bdr131"/>
    <w:rsid w:val="001153F1"/>
    <w:rPr>
      <w:rFonts w:cs="Simplified Arabic"/>
      <w:sz w:val="32"/>
      <w:szCs w:val="32"/>
      <w:lang w:bidi="ar-SA"/>
    </w:rPr>
  </w:style>
  <w:style w:type="character" w:customStyle="1" w:styleId="ufyag241">
    <w:name w:val="uf_yag241"/>
    <w:rsid w:val="001153F1"/>
    <w:rPr>
      <w:rFonts w:cs="Simplified Arabic"/>
      <w:b/>
      <w:bCs/>
      <w:sz w:val="20"/>
      <w:szCs w:val="20"/>
      <w:lang w:bidi="ar-SA"/>
    </w:rPr>
  </w:style>
  <w:style w:type="paragraph" w:customStyle="1" w:styleId="uflts7">
    <w:name w:val="uf_lts7"/>
    <w:basedOn w:val="af"/>
    <w:uiPriority w:val="99"/>
    <w:semiHidden/>
    <w:rsid w:val="001153F1"/>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1153F1"/>
    <w:rPr>
      <w:rFonts w:ascii="Times New Roman" w:hAnsi="Times New Roman" w:cs="Times New Roman"/>
      <w:sz w:val="22"/>
      <w:szCs w:val="22"/>
    </w:rPr>
  </w:style>
  <w:style w:type="character" w:customStyle="1" w:styleId="ufyag121">
    <w:name w:val="uf_yag121"/>
    <w:rsid w:val="001153F1"/>
    <w:rPr>
      <w:rFonts w:cs="Simplified Arabic"/>
      <w:b/>
      <w:bCs/>
      <w:sz w:val="24"/>
      <w:szCs w:val="24"/>
      <w:lang w:bidi="ar-SA"/>
    </w:rPr>
  </w:style>
  <w:style w:type="character" w:customStyle="1" w:styleId="ufbdr391">
    <w:name w:val="uf_bdr391"/>
    <w:rsid w:val="001153F1"/>
    <w:rPr>
      <w:rFonts w:cs="Simplified Arabic"/>
      <w:sz w:val="34"/>
      <w:szCs w:val="34"/>
      <w:lang w:bidi="ar-SA"/>
    </w:rPr>
  </w:style>
  <w:style w:type="character" w:customStyle="1" w:styleId="ufyag181">
    <w:name w:val="uf_yag181"/>
    <w:rsid w:val="001153F1"/>
    <w:rPr>
      <w:rFonts w:cs="Simplified Arabic"/>
      <w:b/>
      <w:bCs/>
      <w:sz w:val="25"/>
      <w:szCs w:val="25"/>
      <w:lang w:bidi="ar-SA"/>
    </w:rPr>
  </w:style>
  <w:style w:type="character" w:customStyle="1" w:styleId="ufalaem61">
    <w:name w:val="uf_alaem61"/>
    <w:rsid w:val="001153F1"/>
    <w:rPr>
      <w:rFonts w:ascii="Times New Roman" w:hAnsi="Times New Roman" w:cs="Times New Roman"/>
      <w:sz w:val="22"/>
      <w:szCs w:val="22"/>
    </w:rPr>
  </w:style>
  <w:style w:type="character" w:customStyle="1" w:styleId="uflts22">
    <w:name w:val="uf_lts22"/>
    <w:rsid w:val="001153F1"/>
    <w:rPr>
      <w:rFonts w:cs="Simplified Arabic"/>
      <w:b/>
      <w:bCs/>
      <w:sz w:val="29"/>
      <w:szCs w:val="29"/>
      <w:lang w:bidi="ar-SA"/>
    </w:rPr>
  </w:style>
  <w:style w:type="character" w:customStyle="1" w:styleId="ufbdr181">
    <w:name w:val="uf_bdr181"/>
    <w:rsid w:val="001153F1"/>
    <w:rPr>
      <w:rFonts w:cs="Simplified Arabic"/>
      <w:b/>
      <w:bCs/>
      <w:sz w:val="28"/>
      <w:szCs w:val="28"/>
      <w:lang w:bidi="ar-SA"/>
    </w:rPr>
  </w:style>
  <w:style w:type="character" w:customStyle="1" w:styleId="ufalaem41">
    <w:name w:val="uf_alaem41"/>
    <w:rsid w:val="001153F1"/>
    <w:rPr>
      <w:rFonts w:ascii="Times New Roman" w:hAnsi="Times New Roman" w:cs="Times New Roman"/>
      <w:sz w:val="22"/>
      <w:szCs w:val="22"/>
    </w:rPr>
  </w:style>
  <w:style w:type="character" w:customStyle="1" w:styleId="ufalaem610">
    <w:name w:val="ufalaem61"/>
    <w:rsid w:val="001153F1"/>
    <w:rPr>
      <w:rFonts w:cs="Times New Roman"/>
    </w:rPr>
  </w:style>
  <w:style w:type="character" w:customStyle="1" w:styleId="uflts220">
    <w:name w:val="uflts22"/>
    <w:rsid w:val="001153F1"/>
    <w:rPr>
      <w:rFonts w:cs="Times New Roman"/>
    </w:rPr>
  </w:style>
  <w:style w:type="character" w:customStyle="1" w:styleId="ufyag201">
    <w:name w:val="ufyag201"/>
    <w:rsid w:val="001153F1"/>
    <w:rPr>
      <w:rFonts w:cs="Times New Roman"/>
    </w:rPr>
  </w:style>
  <w:style w:type="character" w:customStyle="1" w:styleId="ufesy11">
    <w:name w:val="ufesy11"/>
    <w:rsid w:val="001153F1"/>
    <w:rPr>
      <w:rFonts w:cs="Times New Roman"/>
    </w:rPr>
  </w:style>
  <w:style w:type="character" w:customStyle="1" w:styleId="ufyag101">
    <w:name w:val="ufyag101"/>
    <w:rsid w:val="001153F1"/>
    <w:rPr>
      <w:rFonts w:cs="Times New Roman"/>
    </w:rPr>
  </w:style>
  <w:style w:type="paragraph" w:customStyle="1" w:styleId="1fc">
    <w:name w:val="عنوان جدول المحتويات1"/>
    <w:basedOn w:val="11"/>
    <w:next w:val="af"/>
    <w:semiHidden/>
    <w:rsid w:val="001153F1"/>
    <w:pPr>
      <w:spacing w:before="480" w:line="276" w:lineRule="auto"/>
      <w:jc w:val="left"/>
      <w:outlineLvl w:val="9"/>
    </w:pPr>
    <w:rPr>
      <w:rFonts w:ascii="Cambria" w:eastAsia="Calibri" w:hAnsi="Cambria" w:cs="Times New Roman"/>
      <w:bCs/>
      <w:color w:val="365F91"/>
      <w:sz w:val="28"/>
      <w:szCs w:val="28"/>
    </w:rPr>
  </w:style>
  <w:style w:type="character" w:customStyle="1" w:styleId="ufalaem111">
    <w:name w:val="uf_alaem111"/>
    <w:rsid w:val="001153F1"/>
    <w:rPr>
      <w:rFonts w:ascii="Times New Roman" w:hAnsi="Times New Roman" w:cs="Times New Roman"/>
      <w:sz w:val="22"/>
      <w:szCs w:val="22"/>
    </w:rPr>
  </w:style>
  <w:style w:type="character" w:customStyle="1" w:styleId="ufesy61">
    <w:name w:val="uf_esy61"/>
    <w:rsid w:val="001153F1"/>
    <w:rPr>
      <w:rFonts w:ascii="Times New Roman" w:hAnsi="Times New Roman" w:cs="Times New Roman"/>
      <w:sz w:val="32"/>
      <w:szCs w:val="32"/>
    </w:rPr>
  </w:style>
  <w:style w:type="paragraph" w:customStyle="1" w:styleId="1fd">
    <w:name w:val="المراجعة1"/>
    <w:hidden/>
    <w:semiHidden/>
    <w:rsid w:val="001153F1"/>
    <w:rPr>
      <w:rFonts w:ascii="Tahoma" w:hAnsi="Tahoma" w:cs="Mosawi"/>
      <w:sz w:val="28"/>
      <w:szCs w:val="30"/>
    </w:rPr>
  </w:style>
  <w:style w:type="character" w:customStyle="1" w:styleId="ufesy71">
    <w:name w:val="uf_esy71"/>
    <w:rsid w:val="001153F1"/>
    <w:rPr>
      <w:rFonts w:ascii="Times New Roman" w:hAnsi="Times New Roman" w:cs="Times New Roman"/>
      <w:sz w:val="32"/>
      <w:szCs w:val="32"/>
    </w:rPr>
  </w:style>
  <w:style w:type="character" w:customStyle="1" w:styleId="ufbdr171">
    <w:name w:val="uf_bdr171"/>
    <w:rsid w:val="001153F1"/>
    <w:rPr>
      <w:rFonts w:cs="Simplified Arabic"/>
      <w:sz w:val="24"/>
      <w:szCs w:val="24"/>
      <w:lang w:bidi="ar-SA"/>
    </w:rPr>
  </w:style>
  <w:style w:type="character" w:customStyle="1" w:styleId="ufalaem21">
    <w:name w:val="uf_alaem21"/>
    <w:rsid w:val="001153F1"/>
    <w:rPr>
      <w:rFonts w:ascii="Times New Roman" w:hAnsi="Times New Roman" w:cs="Times New Roman"/>
      <w:sz w:val="22"/>
      <w:szCs w:val="22"/>
    </w:rPr>
  </w:style>
  <w:style w:type="character" w:customStyle="1" w:styleId="ufyag131">
    <w:name w:val="uf_yag131"/>
    <w:rsid w:val="001153F1"/>
    <w:rPr>
      <w:rFonts w:cs="Simplified Arabic"/>
      <w:b/>
      <w:bCs/>
      <w:sz w:val="22"/>
      <w:szCs w:val="22"/>
      <w:lang w:bidi="ar-SA"/>
    </w:rPr>
  </w:style>
  <w:style w:type="character" w:customStyle="1" w:styleId="ufyag251">
    <w:name w:val="uf_yag251"/>
    <w:rsid w:val="001153F1"/>
    <w:rPr>
      <w:rFonts w:cs="Simplified Arabic"/>
      <w:sz w:val="26"/>
      <w:szCs w:val="26"/>
      <w:lang w:bidi="ar-SA"/>
    </w:rPr>
  </w:style>
  <w:style w:type="character" w:customStyle="1" w:styleId="uflts31">
    <w:name w:val="uf_lts31"/>
    <w:rsid w:val="001153F1"/>
    <w:rPr>
      <w:rFonts w:cs="Simplified Arabic"/>
      <w:b/>
      <w:bCs/>
      <w:sz w:val="29"/>
      <w:szCs w:val="29"/>
      <w:lang w:bidi="ar-SA"/>
    </w:rPr>
  </w:style>
  <w:style w:type="character" w:customStyle="1" w:styleId="ufyag231">
    <w:name w:val="uf_yag231"/>
    <w:rsid w:val="001153F1"/>
    <w:rPr>
      <w:rFonts w:cs="Simplified Arabic"/>
      <w:b/>
      <w:bCs/>
      <w:sz w:val="22"/>
      <w:szCs w:val="22"/>
      <w:lang w:bidi="ar-SA"/>
    </w:rPr>
  </w:style>
  <w:style w:type="character" w:customStyle="1" w:styleId="ufalaem2">
    <w:name w:val="uf_alaem2"/>
    <w:rsid w:val="001153F1"/>
    <w:rPr>
      <w:rFonts w:cs="Times New Roman"/>
    </w:rPr>
  </w:style>
  <w:style w:type="character" w:customStyle="1" w:styleId="uflts151">
    <w:name w:val="uflts151"/>
    <w:rsid w:val="001153F1"/>
    <w:rPr>
      <w:rFonts w:cs="Times New Roman"/>
    </w:rPr>
  </w:style>
  <w:style w:type="character" w:customStyle="1" w:styleId="ufyag1410">
    <w:name w:val="ufyag141"/>
    <w:rsid w:val="001153F1"/>
    <w:rPr>
      <w:rFonts w:cs="Times New Roman"/>
    </w:rPr>
  </w:style>
  <w:style w:type="character" w:customStyle="1" w:styleId="uflts410">
    <w:name w:val="uflts41"/>
    <w:rsid w:val="001153F1"/>
    <w:rPr>
      <w:rFonts w:cs="Times New Roman"/>
    </w:rPr>
  </w:style>
  <w:style w:type="character" w:customStyle="1" w:styleId="uflts61">
    <w:name w:val="uflts61"/>
    <w:rsid w:val="001153F1"/>
    <w:rPr>
      <w:rFonts w:cs="Times New Roman"/>
    </w:rPr>
  </w:style>
  <w:style w:type="character" w:customStyle="1" w:styleId="ufyag161">
    <w:name w:val="ufyag161"/>
    <w:rsid w:val="001153F1"/>
    <w:rPr>
      <w:rFonts w:cs="Times New Roman"/>
    </w:rPr>
  </w:style>
  <w:style w:type="character" w:customStyle="1" w:styleId="1fe">
    <w:name w:val="نص العنصر النائب1"/>
    <w:semiHidden/>
    <w:rsid w:val="001153F1"/>
    <w:rPr>
      <w:rFonts w:cs="Times New Roman"/>
      <w:color w:val="808080"/>
    </w:rPr>
  </w:style>
  <w:style w:type="character" w:customStyle="1" w:styleId="uflts1510">
    <w:name w:val="uf_lts151"/>
    <w:rsid w:val="001153F1"/>
    <w:rPr>
      <w:rFonts w:cs="Simplified Arabic"/>
      <w:b/>
      <w:bCs/>
      <w:sz w:val="28"/>
      <w:szCs w:val="28"/>
      <w:lang w:bidi="ar-SA"/>
    </w:rPr>
  </w:style>
  <w:style w:type="character" w:customStyle="1" w:styleId="ufyag171">
    <w:name w:val="uf_yag171"/>
    <w:rsid w:val="001153F1"/>
    <w:rPr>
      <w:b/>
      <w:sz w:val="22"/>
    </w:rPr>
  </w:style>
  <w:style w:type="character" w:customStyle="1" w:styleId="ufesy291">
    <w:name w:val="uf_esy291"/>
    <w:rsid w:val="001153F1"/>
    <w:rPr>
      <w:rFonts w:ascii="Times New Roman" w:hAnsi="Times New Roman"/>
      <w:sz w:val="38"/>
    </w:rPr>
  </w:style>
  <w:style w:type="character" w:customStyle="1" w:styleId="ufesy51">
    <w:name w:val="uf_esy51"/>
    <w:rsid w:val="001153F1"/>
    <w:rPr>
      <w:rFonts w:ascii="Times New Roman" w:hAnsi="Times New Roman"/>
      <w:sz w:val="32"/>
    </w:rPr>
  </w:style>
  <w:style w:type="paragraph" w:customStyle="1" w:styleId="heading1-waeli">
    <w:name w:val="heading 1 - waeli"/>
    <w:basedOn w:val="matin"/>
    <w:next w:val="matin"/>
    <w:rsid w:val="001153F1"/>
    <w:pPr>
      <w:spacing w:line="240" w:lineRule="auto"/>
      <w:ind w:firstLine="0"/>
      <w:jc w:val="center"/>
    </w:pPr>
    <w:rPr>
      <w:rFonts w:cs="AL-Mateen"/>
      <w:sz w:val="36"/>
      <w:szCs w:val="44"/>
    </w:rPr>
  </w:style>
  <w:style w:type="paragraph" w:customStyle="1" w:styleId="affffffff6">
    <w:name w:val="وائلي عنوان جانبي"/>
    <w:basedOn w:val="matin"/>
    <w:next w:val="matin"/>
    <w:link w:val="Charfff5"/>
    <w:rsid w:val="001153F1"/>
    <w:pPr>
      <w:spacing w:before="200" w:after="80" w:line="204" w:lineRule="auto"/>
    </w:pPr>
    <w:rPr>
      <w:rFonts w:cs="AL-Mateen"/>
      <w:sz w:val="36"/>
      <w:szCs w:val="36"/>
    </w:rPr>
  </w:style>
  <w:style w:type="character" w:customStyle="1" w:styleId="Charfff5">
    <w:name w:val="وائلي عنوان جانبي Char"/>
    <w:link w:val="affffffff6"/>
    <w:rsid w:val="001153F1"/>
    <w:rPr>
      <w:rFonts w:ascii="Times New Roman" w:hAnsi="Times New Roman" w:cs="AL-Mateen"/>
      <w:sz w:val="36"/>
      <w:szCs w:val="36"/>
    </w:rPr>
  </w:style>
  <w:style w:type="character" w:customStyle="1" w:styleId="2Char4">
    <w:name w:val="وائلي فرعي2 Char"/>
    <w:link w:val="2fa"/>
    <w:rsid w:val="001153F1"/>
    <w:rPr>
      <w:rFonts w:cs="Al-Ghadeer Bold"/>
      <w:sz w:val="26"/>
      <w:szCs w:val="26"/>
    </w:rPr>
  </w:style>
  <w:style w:type="paragraph" w:customStyle="1" w:styleId="2fa">
    <w:name w:val="وائلي فرعي2"/>
    <w:basedOn w:val="matin"/>
    <w:link w:val="2Char4"/>
    <w:rsid w:val="001153F1"/>
    <w:pPr>
      <w:spacing w:before="40" w:after="40" w:line="240" w:lineRule="auto"/>
    </w:pPr>
    <w:rPr>
      <w:rFonts w:ascii="Calibri" w:hAnsi="Calibri" w:cs="Al-Ghadeer Bold"/>
      <w:sz w:val="26"/>
      <w:szCs w:val="26"/>
    </w:rPr>
  </w:style>
  <w:style w:type="paragraph" w:customStyle="1" w:styleId="affffffff7">
    <w:name w:val="وائلي عنوان فرعي"/>
    <w:basedOn w:val="matin"/>
    <w:link w:val="Charfff6"/>
    <w:rsid w:val="001153F1"/>
    <w:pPr>
      <w:spacing w:before="200" w:after="100"/>
    </w:pPr>
    <w:rPr>
      <w:rFonts w:cs="Sultan bold"/>
      <w:sz w:val="30"/>
      <w:szCs w:val="31"/>
    </w:rPr>
  </w:style>
  <w:style w:type="character" w:customStyle="1" w:styleId="Charfff6">
    <w:name w:val="وائلي عنوان فرعي Char"/>
    <w:link w:val="affffffff7"/>
    <w:rsid w:val="001153F1"/>
    <w:rPr>
      <w:rFonts w:ascii="Times New Roman" w:hAnsi="Times New Roman" w:cs="Sultan bold"/>
      <w:sz w:val="30"/>
      <w:szCs w:val="31"/>
    </w:rPr>
  </w:style>
  <w:style w:type="paragraph" w:customStyle="1" w:styleId="affffffff8">
    <w:name w:val="وائلي شعر"/>
    <w:basedOn w:val="matin"/>
    <w:link w:val="Charfff7"/>
    <w:rsid w:val="001153F1"/>
    <w:pPr>
      <w:ind w:firstLine="0"/>
      <w:jc w:val="lowKashida"/>
    </w:pPr>
    <w:rPr>
      <w:rFonts w:cs="Taher"/>
      <w:bCs/>
      <w:spacing w:val="-4"/>
      <w:w w:val="95"/>
      <w:sz w:val="28"/>
      <w:szCs w:val="28"/>
    </w:rPr>
  </w:style>
  <w:style w:type="character" w:customStyle="1" w:styleId="Charfff7">
    <w:name w:val="وائلي شعر Char"/>
    <w:link w:val="affffffff8"/>
    <w:rsid w:val="001153F1"/>
    <w:rPr>
      <w:rFonts w:ascii="Times New Roman" w:hAnsi="Times New Roman" w:cs="Taher"/>
      <w:bCs/>
      <w:spacing w:val="-4"/>
      <w:w w:val="95"/>
      <w:sz w:val="28"/>
      <w:szCs w:val="28"/>
    </w:rPr>
  </w:style>
  <w:style w:type="character" w:customStyle="1" w:styleId="affffffff9">
    <w:name w:val="متن آيات"/>
    <w:rsid w:val="001153F1"/>
    <w:rPr>
      <w:rFonts w:ascii="Times New Roman" w:hAnsi="Times New Roman" w:cs="KFGQPC Uthman Taha Naskh"/>
      <w:b/>
      <w:bCs/>
      <w:dstrike w:val="0"/>
      <w:color w:val="auto"/>
      <w:sz w:val="27"/>
      <w:szCs w:val="27"/>
      <w:u w:val="none"/>
      <w:vertAlign w:val="baseline"/>
    </w:rPr>
  </w:style>
  <w:style w:type="paragraph" w:customStyle="1" w:styleId="affffffffa">
    <w:name w:val="وائلي نص الحواشي"/>
    <w:uiPriority w:val="99"/>
    <w:rsid w:val="001153F1"/>
    <w:pPr>
      <w:spacing w:line="199" w:lineRule="auto"/>
      <w:ind w:left="170" w:hanging="170"/>
      <w:jc w:val="lowKashida"/>
    </w:pPr>
    <w:rPr>
      <w:rFonts w:ascii="Times New Roman" w:hAnsi="Times New Roman" w:cs="Mosawi"/>
      <w:sz w:val="24"/>
      <w:szCs w:val="26"/>
    </w:rPr>
  </w:style>
  <w:style w:type="character" w:customStyle="1" w:styleId="ufbdr11">
    <w:name w:val="uf_bdr11"/>
    <w:rsid w:val="001153F1"/>
    <w:rPr>
      <w:rFonts w:cs="Simplified Arabic" w:hint="cs"/>
      <w:sz w:val="32"/>
      <w:szCs w:val="32"/>
    </w:rPr>
  </w:style>
  <w:style w:type="paragraph" w:customStyle="1" w:styleId="normal84">
    <w:name w:val="normal .84"/>
    <w:basedOn w:val="af"/>
    <w:qFormat/>
    <w:rsid w:val="001153F1"/>
    <w:pPr>
      <w:spacing w:line="202" w:lineRule="auto"/>
      <w:ind w:firstLine="284"/>
    </w:pPr>
    <w:rPr>
      <w:rFonts w:ascii="Tahoma" w:hAnsi="Tahoma" w:cs="Mosawi"/>
      <w:sz w:val="26"/>
      <w:szCs w:val="28"/>
    </w:rPr>
  </w:style>
  <w:style w:type="paragraph" w:customStyle="1" w:styleId="normal870">
    <w:name w:val="normal .87"/>
    <w:basedOn w:val="af"/>
    <w:qFormat/>
    <w:rsid w:val="001153F1"/>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1153F1"/>
    <w:pPr>
      <w:widowControl/>
      <w:spacing w:line="223" w:lineRule="auto"/>
      <w:ind w:firstLine="284"/>
    </w:pPr>
    <w:rPr>
      <w:rFonts w:ascii="Times New Roman" w:hAnsi="Times New Roman" w:cs="Mosawi"/>
      <w:sz w:val="26"/>
      <w:szCs w:val="28"/>
    </w:rPr>
  </w:style>
  <w:style w:type="paragraph" w:customStyle="1" w:styleId="affffffffb">
    <w:name w:val="وائلي متن"/>
    <w:basedOn w:val="af"/>
    <w:link w:val="Charfff8"/>
    <w:rsid w:val="001153F1"/>
    <w:pPr>
      <w:spacing w:line="209" w:lineRule="auto"/>
      <w:ind w:firstLine="284"/>
    </w:pPr>
    <w:rPr>
      <w:rFonts w:ascii="Times New Roman" w:hAnsi="Times New Roman" w:cs="Mosawi"/>
      <w:sz w:val="32"/>
      <w:szCs w:val="34"/>
    </w:rPr>
  </w:style>
  <w:style w:type="character" w:customStyle="1" w:styleId="Charfff8">
    <w:name w:val="وائلي متن Char"/>
    <w:link w:val="affffffffb"/>
    <w:rsid w:val="001153F1"/>
    <w:rPr>
      <w:rFonts w:ascii="Times New Roman" w:hAnsi="Times New Roman" w:cs="Mosawi"/>
      <w:sz w:val="32"/>
      <w:szCs w:val="34"/>
    </w:rPr>
  </w:style>
  <w:style w:type="paragraph" w:customStyle="1" w:styleId="affffffffc">
    <w:name w:val="وائلي عنوان محاضرة"/>
    <w:basedOn w:val="affffffffb"/>
    <w:next w:val="affffffffb"/>
    <w:rsid w:val="001153F1"/>
    <w:pPr>
      <w:spacing w:before="240" w:after="240" w:line="240" w:lineRule="auto"/>
      <w:ind w:firstLine="0"/>
      <w:jc w:val="center"/>
    </w:pPr>
    <w:rPr>
      <w:rFonts w:cs="Sultan Medium"/>
      <w:sz w:val="36"/>
      <w:szCs w:val="36"/>
    </w:rPr>
  </w:style>
  <w:style w:type="character" w:customStyle="1" w:styleId="ufbdr311">
    <w:name w:val="uf_bdr311"/>
    <w:rsid w:val="001153F1"/>
    <w:rPr>
      <w:rFonts w:cs="Simplified Arabic" w:hint="cs"/>
      <w:sz w:val="34"/>
      <w:szCs w:val="34"/>
    </w:rPr>
  </w:style>
  <w:style w:type="character" w:customStyle="1" w:styleId="ufyag1010">
    <w:name w:val="uf_yag101"/>
    <w:rsid w:val="001153F1"/>
    <w:rPr>
      <w:rFonts w:cs="Simplified Arabic" w:hint="cs"/>
      <w:b/>
      <w:bCs/>
      <w:sz w:val="30"/>
      <w:szCs w:val="30"/>
    </w:rPr>
  </w:style>
  <w:style w:type="paragraph" w:customStyle="1" w:styleId="uflts12">
    <w:name w:val="uf_lts12"/>
    <w:basedOn w:val="af"/>
    <w:rsid w:val="001153F1"/>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1153F1"/>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f"/>
    <w:rsid w:val="001153F1"/>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1153F1"/>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1153F1"/>
    <w:rPr>
      <w:rFonts w:cs="Simplified Arabic" w:hint="cs"/>
      <w:b/>
      <w:bCs/>
      <w:sz w:val="25"/>
      <w:szCs w:val="25"/>
    </w:rPr>
  </w:style>
  <w:style w:type="paragraph" w:customStyle="1" w:styleId="ufyag17">
    <w:name w:val="uf_yag17"/>
    <w:basedOn w:val="af"/>
    <w:rsid w:val="001153F1"/>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f"/>
    <w:rsid w:val="001153F1"/>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1153F1"/>
    <w:rPr>
      <w:rFonts w:cs="Simplified Arabic" w:hint="cs"/>
      <w:b/>
      <w:bCs/>
      <w:sz w:val="28"/>
      <w:szCs w:val="28"/>
    </w:rPr>
  </w:style>
  <w:style w:type="character" w:customStyle="1" w:styleId="1Char10">
    <w:name w:val="عنوان 1 Char1"/>
    <w:aliases w:val="عنوان Char1"/>
    <w:rsid w:val="001153F1"/>
    <w:rPr>
      <w:rFonts w:ascii="Cambria" w:eastAsia="Times New Roman" w:hAnsi="Cambria" w:cs="Times New Roman"/>
      <w:b/>
      <w:bCs/>
      <w:color w:val="365F91"/>
      <w:sz w:val="28"/>
      <w:szCs w:val="28"/>
    </w:rPr>
  </w:style>
  <w:style w:type="paragraph" w:customStyle="1" w:styleId="ufdgb9">
    <w:name w:val="uf_dgb9"/>
    <w:basedOn w:val="af"/>
    <w:uiPriority w:val="99"/>
    <w:rsid w:val="001153F1"/>
    <w:pPr>
      <w:bidi w:val="0"/>
      <w:spacing w:line="480" w:lineRule="atLeast"/>
      <w:ind w:firstLine="284"/>
    </w:pPr>
    <w:rPr>
      <w:rFonts w:ascii="Times New Roman" w:hAnsi="Times New Roman" w:cs="Times New Roman"/>
      <w:sz w:val="24"/>
      <w:szCs w:val="24"/>
    </w:rPr>
  </w:style>
  <w:style w:type="character" w:customStyle="1" w:styleId="ufbdr141">
    <w:name w:val="uf_bdr141"/>
    <w:rsid w:val="001153F1"/>
    <w:rPr>
      <w:rFonts w:cs="Simplified Arabic" w:hint="cs"/>
      <w:b/>
      <w:bCs/>
      <w:sz w:val="28"/>
      <w:szCs w:val="28"/>
    </w:rPr>
  </w:style>
  <w:style w:type="character" w:customStyle="1" w:styleId="ufalaem51">
    <w:name w:val="uf_alaem51"/>
    <w:rsid w:val="001153F1"/>
    <w:rPr>
      <w:rFonts w:ascii="Times New Roman" w:hAnsi="Times New Roman" w:cs="Times New Roman" w:hint="default"/>
      <w:sz w:val="22"/>
      <w:szCs w:val="22"/>
    </w:rPr>
  </w:style>
  <w:style w:type="paragraph" w:customStyle="1" w:styleId="st12">
    <w:name w:val="st12"/>
    <w:basedOn w:val="af"/>
    <w:uiPriority w:val="99"/>
    <w:rsid w:val="001153F1"/>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1153F1"/>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1153F1"/>
    <w:rPr>
      <w:rFonts w:cs="Simplified Arabic" w:hint="cs"/>
      <w:b/>
      <w:bCs/>
      <w:sz w:val="26"/>
      <w:szCs w:val="26"/>
    </w:rPr>
  </w:style>
  <w:style w:type="character" w:styleId="affffffffd">
    <w:name w:val="Book Title"/>
    <w:aliases w:val="الرئيسة"/>
    <w:uiPriority w:val="33"/>
    <w:qFormat/>
    <w:rsid w:val="001153F1"/>
    <w:rPr>
      <w:rFonts w:cs="Sultan bold"/>
      <w:b/>
      <w:bCs/>
      <w:smallCaps/>
      <w:spacing w:val="5"/>
      <w:szCs w:val="31"/>
    </w:rPr>
  </w:style>
  <w:style w:type="paragraph" w:customStyle="1" w:styleId="affffffffe">
    <w:name w:val="واظ"/>
    <w:basedOn w:val="af"/>
    <w:qFormat/>
    <w:rsid w:val="001153F1"/>
    <w:pPr>
      <w:spacing w:line="216" w:lineRule="auto"/>
      <w:ind w:right="280" w:firstLine="284"/>
      <w:jc w:val="highKashida"/>
    </w:pPr>
    <w:rPr>
      <w:rFonts w:ascii="Tahoma" w:hAnsi="Tahoma" w:cs="Abz-3 (Yagut)"/>
      <w:sz w:val="33"/>
      <w:szCs w:val="33"/>
    </w:rPr>
  </w:style>
  <w:style w:type="character" w:customStyle="1" w:styleId="ufyag11">
    <w:name w:val="uf_yag11"/>
    <w:rsid w:val="001153F1"/>
    <w:rPr>
      <w:rFonts w:cs="Simplified Arabic" w:hint="cs"/>
      <w:b/>
      <w:bCs/>
      <w:sz w:val="24"/>
      <w:szCs w:val="24"/>
    </w:rPr>
  </w:style>
  <w:style w:type="paragraph" w:customStyle="1" w:styleId="Style2">
    <w:name w:val="Style2"/>
    <w:basedOn w:val="Style1"/>
    <w:qFormat/>
    <w:rsid w:val="001153F1"/>
    <w:pPr>
      <w:widowControl w:val="0"/>
      <w:spacing w:line="206" w:lineRule="auto"/>
      <w:ind w:left="2268" w:firstLine="0"/>
      <w:jc w:val="highKashida"/>
    </w:pPr>
    <w:rPr>
      <w:rFonts w:eastAsia="Calibri" w:cs="Taher"/>
      <w:b/>
      <w:sz w:val="26"/>
      <w:szCs w:val="28"/>
    </w:rPr>
  </w:style>
  <w:style w:type="paragraph" w:customStyle="1" w:styleId="afffffffff">
    <w:name w:val="العناوين كلها"/>
    <w:basedOn w:val="af"/>
    <w:next w:val="af"/>
    <w:qFormat/>
    <w:rsid w:val="001153F1"/>
    <w:pPr>
      <w:widowControl/>
      <w:spacing w:line="216" w:lineRule="auto"/>
      <w:ind w:firstLine="0"/>
    </w:pPr>
    <w:rPr>
      <w:rFonts w:ascii="Taher" w:eastAsia="Calibri" w:hAnsi="Taher" w:cs="Mosawi"/>
      <w:b/>
      <w:bCs/>
      <w:color w:val="1F497D"/>
      <w:szCs w:val="24"/>
    </w:rPr>
  </w:style>
  <w:style w:type="paragraph" w:customStyle="1" w:styleId="ufbdr10">
    <w:name w:val="uf_bdr10"/>
    <w:basedOn w:val="af"/>
    <w:uiPriority w:val="99"/>
    <w:semiHidden/>
    <w:rsid w:val="001153F1"/>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1153F1"/>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1153F1"/>
    <w:rPr>
      <w:rFonts w:ascii="Times New Roman" w:hAnsi="Times New Roman" w:cs="Times New Roman" w:hint="default"/>
      <w:sz w:val="28"/>
      <w:szCs w:val="28"/>
    </w:rPr>
  </w:style>
  <w:style w:type="table" w:customStyle="1" w:styleId="TableNormal1">
    <w:name w:val="Table Normal1"/>
    <w:uiPriority w:val="99"/>
    <w:semiHidden/>
    <w:qFormat/>
    <w:rsid w:val="001153F1"/>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1153F1"/>
    <w:rPr>
      <w:rFonts w:ascii="Simplified Arabic" w:hAnsi="Simplified Arabic" w:cs="Simplified Arabic" w:hint="default"/>
      <w:b/>
      <w:bCs/>
      <w:sz w:val="32"/>
      <w:szCs w:val="32"/>
    </w:rPr>
  </w:style>
  <w:style w:type="character" w:customStyle="1" w:styleId="st">
    <w:name w:val="st"/>
    <w:rsid w:val="001153F1"/>
  </w:style>
  <w:style w:type="character" w:customStyle="1" w:styleId="ufyag191">
    <w:name w:val="uf_yag191"/>
    <w:rsid w:val="001153F1"/>
    <w:rPr>
      <w:rFonts w:ascii="Simplified Arabic" w:hAnsi="Simplified Arabic" w:cs="Simplified Arabic" w:hint="default"/>
      <w:b/>
      <w:bCs/>
      <w:sz w:val="23"/>
      <w:szCs w:val="23"/>
    </w:rPr>
  </w:style>
  <w:style w:type="character" w:customStyle="1" w:styleId="Char10">
    <w:name w:val="رأس الصفحة Char1"/>
    <w:uiPriority w:val="99"/>
    <w:rsid w:val="001153F1"/>
    <w:rPr>
      <w:rFonts w:cs="Mosawi"/>
      <w:szCs w:val="30"/>
    </w:rPr>
  </w:style>
  <w:style w:type="character" w:customStyle="1" w:styleId="Char11">
    <w:name w:val="تذييل الصفحة Char1"/>
    <w:uiPriority w:val="99"/>
    <w:rsid w:val="001153F1"/>
    <w:rPr>
      <w:rFonts w:cs="Mosawi"/>
      <w:szCs w:val="30"/>
    </w:rPr>
  </w:style>
  <w:style w:type="character" w:customStyle="1" w:styleId="ufyag331">
    <w:name w:val="uf_yag331"/>
    <w:rsid w:val="001153F1"/>
    <w:rPr>
      <w:rFonts w:ascii="Simplified Arabic" w:hAnsi="Simplified Arabic" w:cs="Simplified Arabic" w:hint="default"/>
      <w:b/>
      <w:bCs/>
      <w:sz w:val="60"/>
      <w:szCs w:val="60"/>
    </w:rPr>
  </w:style>
  <w:style w:type="character" w:customStyle="1" w:styleId="ufalaem191">
    <w:name w:val="uf_alaem191"/>
    <w:rsid w:val="001153F1"/>
    <w:rPr>
      <w:rFonts w:ascii="Times New Roman" w:hAnsi="Times New Roman" w:cs="Times New Roman" w:hint="default"/>
      <w:sz w:val="36"/>
      <w:szCs w:val="36"/>
    </w:rPr>
  </w:style>
  <w:style w:type="character" w:customStyle="1" w:styleId="ufnzn191">
    <w:name w:val="uf_nzn191"/>
    <w:rsid w:val="001153F1"/>
    <w:rPr>
      <w:rFonts w:ascii="Times New Roman" w:hAnsi="Times New Roman" w:cs="Times New Roman" w:hint="default"/>
      <w:b/>
      <w:bCs/>
      <w:sz w:val="26"/>
      <w:szCs w:val="26"/>
    </w:rPr>
  </w:style>
  <w:style w:type="character" w:customStyle="1" w:styleId="ufesy161">
    <w:name w:val="uf_esy161"/>
    <w:rsid w:val="001153F1"/>
    <w:rPr>
      <w:rFonts w:ascii="Times New Roman" w:hAnsi="Times New Roman" w:cs="Times New Roman" w:hint="default"/>
      <w:sz w:val="28"/>
      <w:szCs w:val="28"/>
    </w:rPr>
  </w:style>
  <w:style w:type="character" w:customStyle="1" w:styleId="ufesy281">
    <w:name w:val="uf_esy281"/>
    <w:rsid w:val="001153F1"/>
    <w:rPr>
      <w:rFonts w:ascii="Times New Roman" w:hAnsi="Times New Roman" w:cs="Times New Roman" w:hint="default"/>
      <w:sz w:val="48"/>
      <w:szCs w:val="48"/>
    </w:rPr>
  </w:style>
  <w:style w:type="paragraph" w:customStyle="1" w:styleId="ufalaem3">
    <w:name w:val="uf_alaem3"/>
    <w:basedOn w:val="af"/>
    <w:rsid w:val="001153F1"/>
    <w:pPr>
      <w:widowControl/>
      <w:bidi w:val="0"/>
      <w:spacing w:line="480" w:lineRule="atLeast"/>
      <w:ind w:firstLine="284"/>
    </w:pPr>
    <w:rPr>
      <w:rFonts w:ascii="Times New Roman" w:hAnsi="Times New Roman" w:cs="Times New Roman"/>
      <w:szCs w:val="28"/>
    </w:rPr>
  </w:style>
  <w:style w:type="character" w:customStyle="1" w:styleId="ufyag81">
    <w:name w:val="uf_yag81"/>
    <w:rsid w:val="001153F1"/>
    <w:rPr>
      <w:rFonts w:ascii="Simplified Arabic" w:hAnsi="Simplified Arabic" w:cs="Simplified Arabic" w:hint="default"/>
      <w:b/>
      <w:bCs/>
      <w:sz w:val="24"/>
      <w:szCs w:val="24"/>
    </w:rPr>
  </w:style>
  <w:style w:type="character" w:customStyle="1" w:styleId="ufjad251">
    <w:name w:val="uf_jad251"/>
    <w:rsid w:val="001153F1"/>
    <w:rPr>
      <w:rFonts w:ascii="Simplified Arabic" w:hAnsi="Simplified Arabic" w:cs="Simplified Arabic" w:hint="default"/>
      <w:b/>
      <w:bCs/>
      <w:sz w:val="28"/>
      <w:szCs w:val="28"/>
    </w:rPr>
  </w:style>
  <w:style w:type="paragraph" w:customStyle="1" w:styleId="st16">
    <w:name w:val="st16"/>
    <w:basedOn w:val="af"/>
    <w:rsid w:val="001153F1"/>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f"/>
    <w:rsid w:val="001153F1"/>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1153F1"/>
    <w:rPr>
      <w:rFonts w:ascii="Times New Roman" w:hAnsi="Times New Roman" w:cs="Times New Roman" w:hint="default"/>
      <w:sz w:val="22"/>
      <w:szCs w:val="22"/>
    </w:rPr>
  </w:style>
  <w:style w:type="character" w:customStyle="1" w:styleId="ufyas261">
    <w:name w:val="uf_yas261"/>
    <w:rsid w:val="001153F1"/>
    <w:rPr>
      <w:rFonts w:ascii="Times New Roman" w:hAnsi="Times New Roman" w:cs="Times New Roman" w:hint="default"/>
      <w:b/>
      <w:bCs/>
      <w:sz w:val="72"/>
      <w:szCs w:val="72"/>
    </w:rPr>
  </w:style>
  <w:style w:type="character" w:customStyle="1" w:styleId="fnote2">
    <w:name w:val="fnote2"/>
    <w:rsid w:val="001153F1"/>
    <w:rPr>
      <w:rFonts w:ascii="Tahoma" w:hAnsi="Tahoma" w:cs="Tahoma" w:hint="default"/>
      <w:color w:val="B8860B"/>
      <w:sz w:val="20"/>
      <w:szCs w:val="20"/>
    </w:rPr>
  </w:style>
  <w:style w:type="character" w:customStyle="1" w:styleId="afffffffff0">
    <w:name w:val="شهاب آيات"/>
    <w:rsid w:val="001153F1"/>
    <w:rPr>
      <w:rFonts w:ascii="Times New Roman" w:hAnsi="Times New Roman" w:cs="Mosawi" w:hint="default"/>
      <w:b/>
      <w:bCs/>
      <w:strike w:val="0"/>
      <w:dstrike w:val="0"/>
      <w:color w:val="auto"/>
      <w:sz w:val="30"/>
      <w:szCs w:val="30"/>
      <w:u w:val="none"/>
      <w:effect w:val="none"/>
      <w:vertAlign w:val="baseline"/>
    </w:rPr>
  </w:style>
  <w:style w:type="character" w:styleId="afffffffff1">
    <w:name w:val="Intense Emphasis"/>
    <w:aliases w:val="شاه کلید بحث (مهم )"/>
    <w:uiPriority w:val="21"/>
    <w:qFormat/>
    <w:rsid w:val="001153F1"/>
    <w:rPr>
      <w:b/>
      <w:bCs/>
      <w:i/>
      <w:iCs/>
      <w:color w:val="4F81BD"/>
    </w:rPr>
  </w:style>
  <w:style w:type="character" w:customStyle="1" w:styleId="uflts141">
    <w:name w:val="uf_lts141"/>
    <w:rsid w:val="001153F1"/>
    <w:rPr>
      <w:rFonts w:ascii="Simplified Arabic" w:hAnsi="Simplified Arabic" w:cs="Simplified Arabic" w:hint="cs"/>
      <w:b/>
      <w:bCs/>
      <w:sz w:val="30"/>
      <w:szCs w:val="30"/>
    </w:rPr>
  </w:style>
  <w:style w:type="character" w:customStyle="1" w:styleId="currentbookname">
    <w:name w:val="current_book_name"/>
    <w:rsid w:val="001153F1"/>
  </w:style>
  <w:style w:type="character" w:customStyle="1" w:styleId="currentbookpage">
    <w:name w:val="current_book_page"/>
    <w:rsid w:val="001153F1"/>
  </w:style>
  <w:style w:type="paragraph" w:styleId="afffffffff2">
    <w:name w:val="caption"/>
    <w:basedOn w:val="af"/>
    <w:next w:val="af"/>
    <w:uiPriority w:val="35"/>
    <w:semiHidden/>
    <w:unhideWhenUsed/>
    <w:qFormat/>
    <w:rsid w:val="001153F1"/>
    <w:pPr>
      <w:widowControl/>
      <w:spacing w:after="200" w:line="240" w:lineRule="auto"/>
      <w:ind w:firstLine="284"/>
    </w:pPr>
    <w:rPr>
      <w:rFonts w:ascii="Times New Roman" w:eastAsia="Calibri" w:hAnsi="Times New Roman" w:cs="Mosawi"/>
      <w:b/>
      <w:bCs/>
      <w:color w:val="4F81BD"/>
      <w:sz w:val="18"/>
      <w:szCs w:val="18"/>
    </w:rPr>
  </w:style>
  <w:style w:type="paragraph" w:customStyle="1" w:styleId="ufyag27">
    <w:name w:val="uf_yag27"/>
    <w:basedOn w:val="af"/>
    <w:uiPriority w:val="99"/>
    <w:semiHidden/>
    <w:rsid w:val="001153F1"/>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1153F1"/>
    <w:rPr>
      <w:rFonts w:ascii="Times New Roman" w:hAnsi="Times New Roman" w:cs="Times New Roman" w:hint="default"/>
      <w:sz w:val="28"/>
      <w:szCs w:val="28"/>
    </w:rPr>
  </w:style>
  <w:style w:type="character" w:customStyle="1" w:styleId="usercontentsecondary">
    <w:name w:val="usercontentsecondary"/>
    <w:rsid w:val="001153F1"/>
  </w:style>
  <w:style w:type="character" w:customStyle="1" w:styleId="red">
    <w:name w:val="red"/>
    <w:rsid w:val="001153F1"/>
  </w:style>
  <w:style w:type="character" w:customStyle="1" w:styleId="ufesy41">
    <w:name w:val="uf_esy41"/>
    <w:rsid w:val="001153F1"/>
    <w:rPr>
      <w:rFonts w:ascii="Times New Roman" w:hAnsi="Times New Roman" w:cs="Times New Roman" w:hint="default"/>
      <w:sz w:val="32"/>
      <w:szCs w:val="32"/>
    </w:rPr>
  </w:style>
  <w:style w:type="character" w:customStyle="1" w:styleId="fn">
    <w:name w:val="fn"/>
    <w:rsid w:val="001153F1"/>
  </w:style>
  <w:style w:type="character" w:customStyle="1" w:styleId="fnote">
    <w:name w:val="fnote"/>
    <w:rsid w:val="001153F1"/>
  </w:style>
  <w:style w:type="character" w:customStyle="1" w:styleId="uflts341">
    <w:name w:val="uflts341"/>
    <w:rsid w:val="001153F1"/>
  </w:style>
  <w:style w:type="character" w:customStyle="1" w:styleId="ufalaem231">
    <w:name w:val="ufalaem231"/>
    <w:rsid w:val="001153F1"/>
  </w:style>
  <w:style w:type="character" w:customStyle="1" w:styleId="2-Char1">
    <w:name w:val="2-المبحث Char1"/>
    <w:aliases w:val="عنوان 2 Char1"/>
    <w:uiPriority w:val="9"/>
    <w:semiHidden/>
    <w:rsid w:val="001153F1"/>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1153F1"/>
    <w:rPr>
      <w:rFonts w:ascii="Cambria" w:eastAsia="Times New Roman" w:hAnsi="Cambria" w:cs="Times New Roman"/>
      <w:color w:val="243F60"/>
      <w:sz w:val="24"/>
      <w:szCs w:val="24"/>
    </w:rPr>
  </w:style>
  <w:style w:type="character" w:customStyle="1" w:styleId="FootnoteTextChar1">
    <w:name w:val="Footnote Text Char1"/>
    <w:aliases w:val="پا ورقي Char1,هامش Char1,نص حاشية سفلية Char Char Char Char1,نص حاشية سفلية1 Char Char2,نص حاشية سفلية1 Char Char Char2,نص حاشية سفلية1 Char Char Char Char1,هامش سفلي Char1,Char1 Char1,Char Char Char Char1,Char Char Char1 Char1"/>
    <w:semiHidden/>
    <w:rsid w:val="001153F1"/>
    <w:rPr>
      <w:rFonts w:ascii="Tahoma" w:eastAsia="Times New Roman" w:hAnsi="Tahoma" w:cs="Mosawi"/>
    </w:rPr>
  </w:style>
  <w:style w:type="character" w:customStyle="1" w:styleId="TitleChar1">
    <w:name w:val="Title Char1"/>
    <w:aliases w:val="Author Name Char1,سلطان بولد14 Char1,العنوان Char1,شاه کلیدها Char1"/>
    <w:uiPriority w:val="10"/>
    <w:rsid w:val="001153F1"/>
    <w:rPr>
      <w:rFonts w:ascii="Cambria" w:eastAsia="Times New Roman" w:hAnsi="Cambria" w:cs="Times New Roman"/>
      <w:spacing w:val="-10"/>
      <w:kern w:val="28"/>
      <w:sz w:val="56"/>
      <w:szCs w:val="56"/>
    </w:rPr>
  </w:style>
  <w:style w:type="paragraph" w:customStyle="1" w:styleId="style10">
    <w:name w:val="style1"/>
    <w:basedOn w:val="af"/>
    <w:qFormat/>
    <w:rsid w:val="001153F1"/>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1153F1"/>
    <w:pPr>
      <w:ind w:left="2268" w:right="0"/>
    </w:pPr>
  </w:style>
  <w:style w:type="numbering" w:customStyle="1" w:styleId="3f1">
    <w:name w:val="بلا قائمة3"/>
    <w:next w:val="af2"/>
    <w:uiPriority w:val="99"/>
    <w:semiHidden/>
    <w:unhideWhenUsed/>
    <w:rsid w:val="001153F1"/>
  </w:style>
  <w:style w:type="character" w:customStyle="1" w:styleId="ufbdr291">
    <w:name w:val="uf_bdr291"/>
    <w:rsid w:val="001153F1"/>
    <w:rPr>
      <w:rFonts w:ascii="Simplified Arabic" w:hAnsi="Simplified Arabic" w:cs="Simplified Arabic" w:hint="cs"/>
      <w:b/>
      <w:bCs/>
      <w:sz w:val="18"/>
      <w:szCs w:val="18"/>
    </w:rPr>
  </w:style>
  <w:style w:type="character" w:customStyle="1" w:styleId="uftms221">
    <w:name w:val="uf_tms221"/>
    <w:rsid w:val="001153F1"/>
    <w:rPr>
      <w:rFonts w:ascii="Times New Roman" w:hAnsi="Times New Roman" w:cs="Times New Roman" w:hint="default"/>
      <w:sz w:val="16"/>
      <w:szCs w:val="16"/>
    </w:rPr>
  </w:style>
  <w:style w:type="numbering" w:customStyle="1" w:styleId="4c">
    <w:name w:val="بلا قائمة4"/>
    <w:next w:val="af2"/>
    <w:uiPriority w:val="99"/>
    <w:semiHidden/>
    <w:unhideWhenUsed/>
    <w:rsid w:val="001153F1"/>
  </w:style>
  <w:style w:type="character" w:customStyle="1" w:styleId="EndnoteTextChar1">
    <w:name w:val="Endnote Text Char1"/>
    <w:rsid w:val="001153F1"/>
    <w:rPr>
      <w:rFonts w:ascii="Tahoma" w:eastAsia="Times New Roman" w:hAnsi="Tahoma" w:cs="Mosawi"/>
    </w:rPr>
  </w:style>
  <w:style w:type="character" w:customStyle="1" w:styleId="Char12">
    <w:name w:val="نص تعليق ختامي Char1"/>
    <w:uiPriority w:val="99"/>
    <w:semiHidden/>
    <w:rsid w:val="001153F1"/>
    <w:rPr>
      <w:rFonts w:ascii="Times New Roman" w:hAnsi="Times New Roman" w:cs="Mosawi"/>
      <w:sz w:val="20"/>
      <w:szCs w:val="20"/>
    </w:rPr>
  </w:style>
  <w:style w:type="character" w:customStyle="1" w:styleId="uflts710">
    <w:name w:val="uflts71"/>
    <w:rsid w:val="001153F1"/>
  </w:style>
  <w:style w:type="character" w:customStyle="1" w:styleId="ufyag2310">
    <w:name w:val="ufyag231"/>
    <w:rsid w:val="001153F1"/>
  </w:style>
  <w:style w:type="character" w:customStyle="1" w:styleId="ufalaem910">
    <w:name w:val="ufalaem91"/>
    <w:rsid w:val="001153F1"/>
  </w:style>
  <w:style w:type="character" w:customStyle="1" w:styleId="ufyag2510">
    <w:name w:val="ufyag251"/>
    <w:rsid w:val="001153F1"/>
  </w:style>
  <w:style w:type="numbering" w:customStyle="1" w:styleId="110">
    <w:name w:val="بلا قائمة11"/>
    <w:next w:val="af2"/>
    <w:uiPriority w:val="99"/>
    <w:semiHidden/>
    <w:unhideWhenUsed/>
    <w:rsid w:val="001153F1"/>
  </w:style>
  <w:style w:type="character" w:customStyle="1" w:styleId="uflts131">
    <w:name w:val="uf_lts131"/>
    <w:rsid w:val="001153F1"/>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1153F1"/>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1153F1"/>
    <w:rPr>
      <w:rFonts w:ascii="Cambria" w:eastAsia="Times New Roman" w:hAnsi="Cambria" w:cs="Times New Roman"/>
      <w:i/>
      <w:iCs/>
      <w:color w:val="243F60"/>
      <w:sz w:val="28"/>
      <w:szCs w:val="32"/>
    </w:rPr>
  </w:style>
  <w:style w:type="paragraph" w:customStyle="1" w:styleId="uftms23">
    <w:name w:val="uf_tms23"/>
    <w:basedOn w:val="af"/>
    <w:uiPriority w:val="99"/>
    <w:semiHidden/>
    <w:rsid w:val="001153F1"/>
    <w:pPr>
      <w:widowControl/>
      <w:bidi w:val="0"/>
      <w:spacing w:line="490" w:lineRule="atLeast"/>
      <w:ind w:firstLine="284"/>
    </w:pPr>
    <w:rPr>
      <w:rFonts w:ascii="Times New Roman" w:hAnsi="Times New Roman" w:cs="Times New Roman"/>
      <w:szCs w:val="28"/>
    </w:rPr>
  </w:style>
  <w:style w:type="character" w:customStyle="1" w:styleId="ufbdr91">
    <w:name w:val="uf_bdr91"/>
    <w:rsid w:val="001153F1"/>
    <w:rPr>
      <w:rFonts w:ascii="Simplified Arabic" w:hAnsi="Simplified Arabic" w:cs="Simplified Arabic" w:hint="default"/>
      <w:b/>
      <w:bCs/>
      <w:sz w:val="24"/>
      <w:szCs w:val="24"/>
    </w:rPr>
  </w:style>
  <w:style w:type="table" w:customStyle="1" w:styleId="TableGrid1">
    <w:name w:val="Table Grid1"/>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1153F1"/>
    <w:rPr>
      <w:rFonts w:ascii="Simplified Arabic" w:hAnsi="Simplified Arabic" w:cs="Simplified Arabic" w:hint="cs"/>
      <w:b/>
      <w:bCs/>
      <w:sz w:val="18"/>
      <w:szCs w:val="18"/>
    </w:rPr>
  </w:style>
  <w:style w:type="character" w:customStyle="1" w:styleId="ufbdr251">
    <w:name w:val="uf_bdr251"/>
    <w:rsid w:val="001153F1"/>
    <w:rPr>
      <w:rFonts w:ascii="Simplified Arabic" w:hAnsi="Simplified Arabic" w:cs="Simplified Arabic" w:hint="cs"/>
      <w:sz w:val="27"/>
      <w:szCs w:val="27"/>
    </w:rPr>
  </w:style>
  <w:style w:type="paragraph" w:customStyle="1" w:styleId="Normal2">
    <w:name w:val="Normal2"/>
    <w:basedOn w:val="af"/>
    <w:qFormat/>
    <w:rsid w:val="001153F1"/>
    <w:pPr>
      <w:spacing w:line="216" w:lineRule="auto"/>
      <w:ind w:firstLine="284"/>
    </w:pPr>
    <w:rPr>
      <w:rFonts w:ascii="Times New Roman" w:hAnsi="Times New Roman" w:cs="Mosawi"/>
      <w:sz w:val="32"/>
      <w:szCs w:val="32"/>
    </w:rPr>
  </w:style>
  <w:style w:type="paragraph" w:customStyle="1" w:styleId="Normal4">
    <w:name w:val="Normal4"/>
    <w:basedOn w:val="af"/>
    <w:qFormat/>
    <w:rsid w:val="001153F1"/>
    <w:pPr>
      <w:spacing w:line="223" w:lineRule="auto"/>
      <w:ind w:firstLine="284"/>
    </w:pPr>
    <w:rPr>
      <w:rFonts w:ascii="Tahoma" w:hAnsi="Tahoma" w:cs="Mosawi"/>
      <w:szCs w:val="32"/>
    </w:rPr>
  </w:style>
  <w:style w:type="table" w:customStyle="1" w:styleId="TableNormal2">
    <w:name w:val="Table Normal2"/>
    <w:uiPriority w:val="99"/>
    <w:semiHidden/>
    <w:qFormat/>
    <w:rsid w:val="001153F1"/>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1153F1"/>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1153F1"/>
  </w:style>
  <w:style w:type="character" w:customStyle="1" w:styleId="ufbdr161">
    <w:name w:val="ufbdr161"/>
    <w:rsid w:val="001153F1"/>
  </w:style>
  <w:style w:type="paragraph" w:customStyle="1" w:styleId="Space">
    <w:name w:val="Space"/>
    <w:basedOn w:val="af"/>
    <w:qFormat/>
    <w:rsid w:val="001153F1"/>
    <w:pPr>
      <w:spacing w:line="202" w:lineRule="auto"/>
      <w:ind w:firstLine="284"/>
    </w:pPr>
    <w:rPr>
      <w:rFonts w:cs="Mosawi"/>
      <w:sz w:val="26"/>
      <w:szCs w:val="28"/>
    </w:rPr>
  </w:style>
  <w:style w:type="paragraph" w:customStyle="1" w:styleId="Space3">
    <w:name w:val="Space3"/>
    <w:basedOn w:val="af"/>
    <w:qFormat/>
    <w:rsid w:val="001153F1"/>
    <w:pPr>
      <w:spacing w:line="216" w:lineRule="auto"/>
      <w:ind w:firstLine="284"/>
    </w:pPr>
    <w:rPr>
      <w:rFonts w:cs="Mosawi"/>
      <w:sz w:val="26"/>
      <w:szCs w:val="28"/>
    </w:rPr>
  </w:style>
  <w:style w:type="paragraph" w:customStyle="1" w:styleId="afffffffff3">
    <w:name w:val="المتن (كتب)"/>
    <w:basedOn w:val="af"/>
    <w:link w:val="Charfff9"/>
    <w:qFormat/>
    <w:rsid w:val="001153F1"/>
    <w:pPr>
      <w:spacing w:line="206" w:lineRule="auto"/>
      <w:ind w:firstLine="284"/>
    </w:pPr>
    <w:rPr>
      <w:rFonts w:ascii="Arno Pro Display" w:eastAsia="Batang" w:hAnsi="Arno Pro Display" w:cs="Mosawi"/>
      <w:szCs w:val="28"/>
    </w:rPr>
  </w:style>
  <w:style w:type="character" w:customStyle="1" w:styleId="Charfff9">
    <w:name w:val="المتن (كتب) Char"/>
    <w:link w:val="afffffffff3"/>
    <w:rsid w:val="001153F1"/>
    <w:rPr>
      <w:rFonts w:ascii="Arno Pro Display" w:eastAsia="Batang" w:hAnsi="Arno Pro Display" w:cs="Mosawi"/>
      <w:sz w:val="28"/>
      <w:szCs w:val="28"/>
    </w:rPr>
  </w:style>
  <w:style w:type="paragraph" w:customStyle="1" w:styleId="afffffffff4">
    <w:name w:val="العنوان الأساسي"/>
    <w:basedOn w:val="af"/>
    <w:rsid w:val="001153F1"/>
    <w:pPr>
      <w:spacing w:line="240" w:lineRule="auto"/>
      <w:ind w:firstLine="0"/>
      <w:jc w:val="center"/>
    </w:pPr>
    <w:rPr>
      <w:rFonts w:ascii="AL-Mateen" w:eastAsia="Batang" w:hAnsi="AL-Mateen" w:cs="AL-Mateen"/>
      <w:sz w:val="32"/>
      <w:szCs w:val="50"/>
    </w:rPr>
  </w:style>
  <w:style w:type="paragraph" w:customStyle="1" w:styleId="1ff">
    <w:name w:val="عنوان(1) ـ المتن"/>
    <w:basedOn w:val="11"/>
    <w:qFormat/>
    <w:rsid w:val="001153F1"/>
    <w:pPr>
      <w:keepNext w:val="0"/>
      <w:keepLines w:val="0"/>
      <w:spacing w:before="240"/>
      <w:contextualSpacing/>
      <w:jc w:val="both"/>
    </w:pPr>
    <w:rPr>
      <w:rFonts w:ascii="Times New Roman" w:eastAsia="Batang" w:hAnsi="Times New Roman"/>
      <w:kern w:val="32"/>
      <w:sz w:val="28"/>
      <w:szCs w:val="38"/>
    </w:rPr>
  </w:style>
  <w:style w:type="paragraph" w:customStyle="1" w:styleId="space2">
    <w:name w:val="space2"/>
    <w:basedOn w:val="af"/>
    <w:rsid w:val="001153F1"/>
    <w:pPr>
      <w:spacing w:line="206" w:lineRule="auto"/>
      <w:ind w:firstLine="284"/>
    </w:pPr>
    <w:rPr>
      <w:rFonts w:cs="Mosawi"/>
      <w:szCs w:val="30"/>
    </w:rPr>
  </w:style>
  <w:style w:type="paragraph" w:customStyle="1" w:styleId="space30">
    <w:name w:val="space3"/>
    <w:basedOn w:val="af"/>
    <w:rsid w:val="001153F1"/>
    <w:pPr>
      <w:spacing w:line="221" w:lineRule="auto"/>
      <w:ind w:firstLine="284"/>
    </w:pPr>
    <w:rPr>
      <w:rFonts w:cs="Mosawi"/>
      <w:szCs w:val="30"/>
    </w:rPr>
  </w:style>
  <w:style w:type="paragraph" w:customStyle="1" w:styleId="afffffffff5">
    <w:name w:val="المثال"/>
    <w:basedOn w:val="af"/>
    <w:link w:val="Charfffa"/>
    <w:rsid w:val="001153F1"/>
    <w:pPr>
      <w:widowControl/>
      <w:spacing w:before="100" w:beforeAutospacing="1" w:line="240" w:lineRule="auto"/>
    </w:pPr>
    <w:rPr>
      <w:rFonts w:ascii="Times New Roman" w:hAnsi="Times New Roman" w:cs="Abz-2 (Badr)"/>
      <w:bCs/>
      <w:sz w:val="24"/>
      <w:szCs w:val="32"/>
    </w:rPr>
  </w:style>
  <w:style w:type="character" w:customStyle="1" w:styleId="Charfffa">
    <w:name w:val="المثال Char"/>
    <w:link w:val="afffffffff5"/>
    <w:rsid w:val="001153F1"/>
    <w:rPr>
      <w:rFonts w:ascii="Times New Roman" w:hAnsi="Times New Roman" w:cs="Abz-2 (Badr)"/>
      <w:bCs/>
      <w:sz w:val="24"/>
      <w:szCs w:val="32"/>
    </w:rPr>
  </w:style>
  <w:style w:type="paragraph" w:customStyle="1" w:styleId="afffffffff6">
    <w:name w:val="الدرس"/>
    <w:basedOn w:val="af"/>
    <w:link w:val="Charfffb"/>
    <w:rsid w:val="001153F1"/>
    <w:pPr>
      <w:widowControl/>
      <w:spacing w:line="240" w:lineRule="auto"/>
    </w:pPr>
    <w:rPr>
      <w:rFonts w:ascii="Times New Roman" w:hAnsi="Times New Roman" w:cs="Abz-1 (Lotus)"/>
      <w:bCs/>
      <w:sz w:val="24"/>
      <w:szCs w:val="32"/>
    </w:rPr>
  </w:style>
  <w:style w:type="character" w:customStyle="1" w:styleId="Charfffb">
    <w:name w:val="الدرس Char"/>
    <w:link w:val="afffffffff6"/>
    <w:rsid w:val="001153F1"/>
    <w:rPr>
      <w:rFonts w:ascii="Times New Roman" w:hAnsi="Times New Roman" w:cs="Abz-1 (Lotus)"/>
      <w:bCs/>
      <w:sz w:val="24"/>
      <w:szCs w:val="32"/>
    </w:rPr>
  </w:style>
  <w:style w:type="paragraph" w:customStyle="1" w:styleId="59">
    <w:name w:val="ع 5"/>
    <w:basedOn w:val="af"/>
    <w:link w:val="5CharChar"/>
    <w:rsid w:val="001153F1"/>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1153F1"/>
    <w:rPr>
      <w:rFonts w:ascii="Times New Roman" w:hAnsi="Times New Roman"/>
      <w:bCs/>
      <w:sz w:val="24"/>
      <w:szCs w:val="26"/>
    </w:rPr>
  </w:style>
  <w:style w:type="paragraph" w:customStyle="1" w:styleId="65">
    <w:name w:val="ع 6"/>
    <w:basedOn w:val="af"/>
    <w:next w:val="af"/>
    <w:rsid w:val="001153F1"/>
    <w:pPr>
      <w:widowControl/>
      <w:spacing w:line="240" w:lineRule="auto"/>
      <w:ind w:firstLine="284"/>
      <w:jc w:val="lowKashida"/>
    </w:pPr>
    <w:rPr>
      <w:rFonts w:ascii="Times New Roman" w:hAnsi="Times New Roman" w:cs="Arabic Transparent"/>
      <w:bCs/>
      <w:sz w:val="24"/>
      <w:szCs w:val="25"/>
    </w:rPr>
  </w:style>
  <w:style w:type="paragraph" w:customStyle="1" w:styleId="afffffffff7">
    <w:name w:val="الفائدة"/>
    <w:basedOn w:val="af"/>
    <w:next w:val="af"/>
    <w:link w:val="CharChar5"/>
    <w:rsid w:val="001153F1"/>
    <w:pPr>
      <w:widowControl/>
      <w:spacing w:before="100" w:beforeAutospacing="1" w:line="240" w:lineRule="auto"/>
    </w:pPr>
    <w:rPr>
      <w:rFonts w:ascii="Times New Roman" w:hAnsi="Times New Roman" w:cs="Abz-1 (Lotus)"/>
      <w:bCs/>
      <w:sz w:val="24"/>
      <w:szCs w:val="32"/>
    </w:rPr>
  </w:style>
  <w:style w:type="character" w:customStyle="1" w:styleId="CharChar5">
    <w:name w:val="الفائدة Char Char"/>
    <w:link w:val="afffffffff7"/>
    <w:rsid w:val="001153F1"/>
    <w:rPr>
      <w:rFonts w:ascii="Times New Roman" w:hAnsi="Times New Roman" w:cs="Abz-1 (Lotus)"/>
      <w:bCs/>
      <w:sz w:val="24"/>
      <w:szCs w:val="32"/>
    </w:rPr>
  </w:style>
  <w:style w:type="paragraph" w:customStyle="1" w:styleId="74">
    <w:name w:val="ع 7"/>
    <w:basedOn w:val="af"/>
    <w:link w:val="7CharChar"/>
    <w:rsid w:val="001153F1"/>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1153F1"/>
    <w:rPr>
      <w:rFonts w:ascii="Times New Roman" w:hAnsi="Times New Roman" w:cs="Akhbar MT"/>
      <w:sz w:val="24"/>
      <w:szCs w:val="32"/>
    </w:rPr>
  </w:style>
  <w:style w:type="paragraph" w:customStyle="1" w:styleId="afffffffff8">
    <w:name w:val="الملاحظة"/>
    <w:basedOn w:val="af"/>
    <w:link w:val="Charfffc"/>
    <w:rsid w:val="001153F1"/>
    <w:pPr>
      <w:widowControl/>
      <w:spacing w:line="240" w:lineRule="auto"/>
    </w:pPr>
    <w:rPr>
      <w:rFonts w:ascii="Times New Roman" w:hAnsi="Times New Roman" w:cs="Abz-2 (Badr)"/>
      <w:bCs/>
      <w:sz w:val="24"/>
      <w:szCs w:val="32"/>
    </w:rPr>
  </w:style>
  <w:style w:type="character" w:customStyle="1" w:styleId="Charfffc">
    <w:name w:val="الملاحظة Char"/>
    <w:link w:val="afffffffff8"/>
    <w:rsid w:val="001153F1"/>
    <w:rPr>
      <w:rFonts w:ascii="Times New Roman" w:hAnsi="Times New Roman" w:cs="Abz-2 (Badr)"/>
      <w:bCs/>
      <w:sz w:val="24"/>
      <w:szCs w:val="32"/>
    </w:rPr>
  </w:style>
  <w:style w:type="paragraph" w:customStyle="1" w:styleId="afffffffff9">
    <w:name w:val="التاريخ"/>
    <w:basedOn w:val="af"/>
    <w:link w:val="Charfffd"/>
    <w:rsid w:val="001153F1"/>
    <w:pPr>
      <w:widowControl/>
      <w:spacing w:line="240" w:lineRule="auto"/>
    </w:pPr>
    <w:rPr>
      <w:rFonts w:ascii="Times New Roman" w:hAnsi="Times New Roman" w:cs="Al-Najaf95"/>
      <w:bCs/>
      <w:sz w:val="24"/>
      <w:szCs w:val="32"/>
    </w:rPr>
  </w:style>
  <w:style w:type="character" w:customStyle="1" w:styleId="Charfffd">
    <w:name w:val="التاريخ Char"/>
    <w:link w:val="afffffffff9"/>
    <w:rsid w:val="001153F1"/>
    <w:rPr>
      <w:rFonts w:ascii="Times New Roman" w:hAnsi="Times New Roman" w:cs="Al-Najaf95"/>
      <w:bCs/>
      <w:sz w:val="24"/>
      <w:szCs w:val="32"/>
    </w:rPr>
  </w:style>
  <w:style w:type="paragraph" w:customStyle="1" w:styleId="afffffffffa">
    <w:name w:val="اليوم"/>
    <w:basedOn w:val="af"/>
    <w:link w:val="Charfffe"/>
    <w:rsid w:val="001153F1"/>
    <w:pPr>
      <w:widowControl/>
      <w:spacing w:before="100" w:beforeAutospacing="1" w:line="240" w:lineRule="auto"/>
    </w:pPr>
    <w:rPr>
      <w:rFonts w:ascii="Times New Roman" w:hAnsi="Times New Roman" w:cs="Al-Najaf95"/>
      <w:b/>
      <w:bCs/>
      <w:sz w:val="32"/>
      <w:szCs w:val="32"/>
    </w:rPr>
  </w:style>
  <w:style w:type="character" w:customStyle="1" w:styleId="Charfffe">
    <w:name w:val="اليوم Char"/>
    <w:link w:val="afffffffffa"/>
    <w:rsid w:val="001153F1"/>
    <w:rPr>
      <w:rFonts w:ascii="Times New Roman" w:hAnsi="Times New Roman" w:cs="Al-Najaf95"/>
      <w:b/>
      <w:bCs/>
      <w:sz w:val="32"/>
      <w:szCs w:val="32"/>
    </w:rPr>
  </w:style>
  <w:style w:type="paragraph" w:customStyle="1" w:styleId="92">
    <w:name w:val="عنوان9"/>
    <w:basedOn w:val="af"/>
    <w:link w:val="9Char0"/>
    <w:rsid w:val="001153F1"/>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1153F1"/>
    <w:rPr>
      <w:rFonts w:ascii="Times New Roman" w:hAnsi="Times New Roman" w:cs="Abz-2 (Badr)"/>
      <w:bCs/>
      <w:sz w:val="28"/>
      <w:szCs w:val="32"/>
    </w:rPr>
  </w:style>
  <w:style w:type="paragraph" w:customStyle="1" w:styleId="Space1">
    <w:name w:val="Space1"/>
    <w:basedOn w:val="Space"/>
    <w:qFormat/>
    <w:rsid w:val="001153F1"/>
    <w:pPr>
      <w:spacing w:line="209" w:lineRule="auto"/>
    </w:pPr>
  </w:style>
  <w:style w:type="paragraph" w:customStyle="1" w:styleId="Space20">
    <w:name w:val="Space2"/>
    <w:basedOn w:val="Space1"/>
    <w:qFormat/>
    <w:rsid w:val="001153F1"/>
    <w:pPr>
      <w:spacing w:line="221" w:lineRule="auto"/>
    </w:pPr>
  </w:style>
  <w:style w:type="character" w:customStyle="1" w:styleId="bold">
    <w:name w:val="bold"/>
    <w:rsid w:val="001153F1"/>
    <w:rPr>
      <w:rFonts w:ascii="Mosawi" w:hAnsi="Mosawi" w:cs="Mosawi"/>
      <w:b/>
      <w:bCs/>
      <w:sz w:val="28"/>
      <w:szCs w:val="28"/>
    </w:rPr>
  </w:style>
  <w:style w:type="paragraph" w:customStyle="1" w:styleId="Heading110">
    <w:name w:val="Heading 1_1"/>
    <w:basedOn w:val="11"/>
    <w:link w:val="Heading11Char"/>
    <w:qFormat/>
    <w:rsid w:val="001153F1"/>
    <w:pPr>
      <w:keepNext w:val="0"/>
      <w:keepLines w:val="0"/>
      <w:jc w:val="left"/>
    </w:pPr>
    <w:rPr>
      <w:rFonts w:ascii="AL-Mateen" w:hAnsi="AL-Mateen"/>
      <w:b w:val="0"/>
      <w:kern w:val="32"/>
      <w:sz w:val="38"/>
      <w:szCs w:val="38"/>
    </w:rPr>
  </w:style>
  <w:style w:type="character" w:customStyle="1" w:styleId="Heading11Char">
    <w:name w:val="Heading 1_1 Char"/>
    <w:basedOn w:val="af0"/>
    <w:link w:val="Heading110"/>
    <w:rsid w:val="001153F1"/>
    <w:rPr>
      <w:rFonts w:ascii="AL-Mateen" w:hAnsi="AL-Mateen" w:cs="AL-Mateen"/>
      <w:kern w:val="32"/>
      <w:sz w:val="38"/>
      <w:szCs w:val="38"/>
    </w:rPr>
  </w:style>
  <w:style w:type="paragraph" w:customStyle="1" w:styleId="space10">
    <w:name w:val="space1"/>
    <w:basedOn w:val="af"/>
    <w:rsid w:val="001153F1"/>
    <w:pPr>
      <w:spacing w:line="202" w:lineRule="auto"/>
      <w:ind w:firstLine="284"/>
    </w:pPr>
    <w:rPr>
      <w:rFonts w:cs="Mosawi"/>
      <w:szCs w:val="30"/>
    </w:rPr>
  </w:style>
  <w:style w:type="character" w:customStyle="1" w:styleId="Style1Char">
    <w:name w:val="Style1 Char"/>
    <w:link w:val="Style1"/>
    <w:locked/>
    <w:rsid w:val="001153F1"/>
    <w:rPr>
      <w:rFonts w:ascii="Times New Roman" w:hAnsi="Times New Roman" w:cs="Traditional Arabic"/>
      <w:bCs/>
      <w:sz w:val="24"/>
      <w:szCs w:val="40"/>
    </w:rPr>
  </w:style>
  <w:style w:type="paragraph" w:customStyle="1" w:styleId="afffffffffb">
    <w:name w:val="خط الفهرس"/>
    <w:basedOn w:val="af"/>
    <w:rsid w:val="001153F1"/>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b">
    <w:name w:val="عنوان(2) ـ المتن"/>
    <w:basedOn w:val="20"/>
    <w:rsid w:val="001153F1"/>
    <w:pPr>
      <w:keepNext/>
      <w:spacing w:before="240" w:after="60" w:line="216" w:lineRule="auto"/>
      <w:jc w:val="both"/>
    </w:pPr>
    <w:rPr>
      <w:rFonts w:ascii="Cambria" w:eastAsia="Batang" w:hAnsi="Cambria" w:cs="Times New Roman"/>
      <w:b/>
      <w:bCs/>
      <w:i/>
      <w:iCs/>
      <w:color w:val="auto"/>
      <w:szCs w:val="28"/>
    </w:rPr>
  </w:style>
  <w:style w:type="paragraph" w:customStyle="1" w:styleId="3f2">
    <w:name w:val="عنوان(3) ـ المتن"/>
    <w:basedOn w:val="31"/>
    <w:rsid w:val="001153F1"/>
    <w:pPr>
      <w:keepNext/>
      <w:spacing w:before="240" w:after="60" w:line="216" w:lineRule="auto"/>
      <w:ind w:left="720" w:hanging="432"/>
    </w:pPr>
    <w:rPr>
      <w:rFonts w:ascii="Cambria" w:eastAsia="Batang" w:hAnsi="Cambria" w:cs="Times New Roman"/>
      <w:b/>
      <w:color w:val="auto"/>
      <w:sz w:val="26"/>
    </w:rPr>
  </w:style>
  <w:style w:type="paragraph" w:customStyle="1" w:styleId="4d">
    <w:name w:val="عنوان(4) ـ المتن"/>
    <w:basedOn w:val="41"/>
    <w:rsid w:val="001153F1"/>
    <w:pPr>
      <w:tabs>
        <w:tab w:val="clear" w:pos="1800"/>
      </w:tabs>
      <w:ind w:left="0" w:firstLine="0"/>
      <w:jc w:val="both"/>
    </w:pPr>
    <w:rPr>
      <w:rFonts w:ascii="Calibri" w:eastAsia="Batang" w:hAnsi="Calibri" w:cs="AL-Mateen"/>
      <w:b/>
      <w:bCs/>
      <w:color w:val="auto"/>
    </w:rPr>
  </w:style>
  <w:style w:type="character" w:customStyle="1" w:styleId="5a">
    <w:name w:val="عنوان(5) ـ المتن"/>
    <w:rsid w:val="001153F1"/>
    <w:rPr>
      <w:rFonts w:ascii="Times New Roman" w:hAnsi="Times New Roman" w:cs="Mosawi"/>
      <w:b/>
      <w:bCs/>
      <w:sz w:val="28"/>
      <w:szCs w:val="28"/>
    </w:rPr>
  </w:style>
  <w:style w:type="paragraph" w:customStyle="1" w:styleId="afffffffffc">
    <w:name w:val="متن الهامش"/>
    <w:basedOn w:val="af"/>
    <w:link w:val="Charffff"/>
    <w:rsid w:val="001153F1"/>
    <w:pPr>
      <w:spacing w:line="180" w:lineRule="auto"/>
      <w:ind w:left="170" w:hanging="170"/>
    </w:pPr>
    <w:rPr>
      <w:rFonts w:ascii="Times New Roman" w:eastAsia="Batang" w:hAnsi="Times New Roman" w:cs="Mosawi"/>
      <w:sz w:val="20"/>
      <w:szCs w:val="26"/>
    </w:rPr>
  </w:style>
  <w:style w:type="paragraph" w:customStyle="1" w:styleId="1ff0">
    <w:name w:val="رأس الصفحة1"/>
    <w:basedOn w:val="af"/>
    <w:rsid w:val="001153F1"/>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1"/>
    <w:rsid w:val="001153F1"/>
    <w:pPr>
      <w:keepLines w:val="0"/>
    </w:pPr>
    <w:rPr>
      <w:rFonts w:ascii="Times New Roman" w:eastAsia="Batang" w:hAnsi="Times New Roman" w:cs="Abz-3 (Yagut)"/>
      <w:bCs/>
      <w:kern w:val="32"/>
      <w:sz w:val="28"/>
      <w:szCs w:val="36"/>
    </w:rPr>
  </w:style>
  <w:style w:type="character" w:customStyle="1" w:styleId="CharChar40">
    <w:name w:val="Char Char4"/>
    <w:rsid w:val="001153F1"/>
    <w:rPr>
      <w:rFonts w:cs="Simplified Arabic"/>
      <w:color w:val="000000"/>
      <w:sz w:val="28"/>
      <w:szCs w:val="28"/>
      <w:lang w:val="en-US" w:eastAsia="en-US" w:bidi="ar-SA"/>
    </w:rPr>
  </w:style>
  <w:style w:type="character" w:customStyle="1" w:styleId="afffffffffd">
    <w:name w:val="أرقام الهامش ـ المتن"/>
    <w:rsid w:val="001153F1"/>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1153F1"/>
    <w:pPr>
      <w:keepLines/>
      <w:tabs>
        <w:tab w:val="clear" w:pos="1800"/>
      </w:tabs>
      <w:spacing w:before="200" w:line="216" w:lineRule="auto"/>
      <w:ind w:left="1296" w:hanging="288"/>
      <w:jc w:val="both"/>
    </w:pPr>
    <w:rPr>
      <w:rFonts w:ascii="Cambria" w:hAnsi="Cambria" w:cs="Mosawi"/>
      <w:i/>
      <w:iCs/>
      <w:color w:val="404040"/>
      <w:sz w:val="24"/>
      <w:szCs w:val="28"/>
    </w:rPr>
  </w:style>
  <w:style w:type="character" w:customStyle="1" w:styleId="7Char0">
    <w:name w:val="نمط عنوان 7 + (مركب) غامق Char"/>
    <w:link w:val="75"/>
    <w:locked/>
    <w:rsid w:val="001153F1"/>
    <w:rPr>
      <w:rFonts w:ascii="Cambria" w:hAnsi="Cambria" w:cs="Mosawi"/>
      <w:i/>
      <w:iCs/>
      <w:color w:val="404040"/>
      <w:sz w:val="24"/>
      <w:szCs w:val="28"/>
    </w:rPr>
  </w:style>
  <w:style w:type="character" w:customStyle="1" w:styleId="afffffffffe">
    <w:name w:val="آيات القرآن الكريم"/>
    <w:rsid w:val="001153F1"/>
    <w:rPr>
      <w:rFonts w:cs="md_ameli"/>
      <w:bCs/>
      <w:lang w:bidi="ar-SA"/>
    </w:rPr>
  </w:style>
  <w:style w:type="character" w:customStyle="1" w:styleId="affffffffff">
    <w:name w:val="الآيات القرآنية"/>
    <w:rsid w:val="001153F1"/>
    <w:rPr>
      <w:rFonts w:cs="md_ameli"/>
      <w:bCs/>
      <w:sz w:val="28"/>
      <w:szCs w:val="28"/>
      <w:lang w:bidi="ar-SA"/>
    </w:rPr>
  </w:style>
  <w:style w:type="character" w:customStyle="1" w:styleId="Charffff">
    <w:name w:val="متن الهامش Char"/>
    <w:link w:val="afffffffffc"/>
    <w:locked/>
    <w:rsid w:val="001153F1"/>
    <w:rPr>
      <w:rFonts w:ascii="Times New Roman" w:eastAsia="Batang" w:hAnsi="Times New Roman" w:cs="Mosawi"/>
      <w:szCs w:val="26"/>
    </w:rPr>
  </w:style>
  <w:style w:type="paragraph" w:customStyle="1" w:styleId="affffffffff0">
    <w:name w:val="اسم الدرس ـ فوق الفهرس"/>
    <w:basedOn w:val="af"/>
    <w:rsid w:val="001153F1"/>
    <w:pPr>
      <w:spacing w:line="240" w:lineRule="auto"/>
      <w:ind w:firstLine="0"/>
      <w:jc w:val="center"/>
    </w:pPr>
    <w:rPr>
      <w:rFonts w:ascii="Times New Roman" w:eastAsia="Batang" w:hAnsi="Times New Roman" w:cs="Al-Ghadeer Bold"/>
      <w:b/>
      <w:sz w:val="24"/>
      <w:szCs w:val="56"/>
    </w:rPr>
  </w:style>
  <w:style w:type="paragraph" w:customStyle="1" w:styleId="affffffffff1">
    <w:name w:val="رقم الدرس ـ فوق الفهرس"/>
    <w:basedOn w:val="af"/>
    <w:rsid w:val="001153F1"/>
    <w:pPr>
      <w:spacing w:line="216" w:lineRule="auto"/>
      <w:ind w:firstLine="0"/>
      <w:jc w:val="center"/>
    </w:pPr>
    <w:rPr>
      <w:rFonts w:ascii="Times New Roman" w:eastAsia="Batang" w:hAnsi="Times New Roman" w:cs="Mosawi"/>
      <w:b/>
      <w:bCs/>
      <w:szCs w:val="32"/>
    </w:rPr>
  </w:style>
  <w:style w:type="paragraph" w:customStyle="1" w:styleId="affffffffff2">
    <w:name w:val="موضوع الدرس ـ فوق الفهرس"/>
    <w:basedOn w:val="af"/>
    <w:rsid w:val="001153F1"/>
    <w:pPr>
      <w:spacing w:line="216" w:lineRule="auto"/>
      <w:ind w:firstLine="0"/>
      <w:jc w:val="center"/>
    </w:pPr>
    <w:rPr>
      <w:rFonts w:ascii="Times New Roman" w:eastAsia="Batang" w:hAnsi="Times New Roman" w:cs="Mosawi"/>
      <w:b/>
      <w:bCs/>
      <w:sz w:val="32"/>
      <w:szCs w:val="36"/>
    </w:rPr>
  </w:style>
  <w:style w:type="paragraph" w:customStyle="1" w:styleId="affffffffff3">
    <w:name w:val="الملاحق ـ المتن"/>
    <w:basedOn w:val="11"/>
    <w:rsid w:val="001153F1"/>
    <w:pPr>
      <w:keepLines w:val="0"/>
    </w:pPr>
    <w:rPr>
      <w:rFonts w:ascii="Times New Roman" w:eastAsia="Batang" w:hAnsi="Times New Roman" w:cs="Abz-3 (Yagut)"/>
      <w:bCs/>
      <w:kern w:val="32"/>
      <w:sz w:val="28"/>
      <w:szCs w:val="36"/>
    </w:rPr>
  </w:style>
  <w:style w:type="character" w:customStyle="1" w:styleId="affffffffff4">
    <w:name w:val="الجواب"/>
    <w:rsid w:val="001153F1"/>
    <w:rPr>
      <w:rFonts w:ascii="Times New Roman" w:hAnsi="Times New Roman" w:cs="Mosawi"/>
      <w:color w:val="FF0000"/>
      <w:sz w:val="28"/>
      <w:szCs w:val="28"/>
      <w:vertAlign w:val="baseline"/>
    </w:rPr>
  </w:style>
  <w:style w:type="paragraph" w:customStyle="1" w:styleId="affffffffff5">
    <w:name w:val="أجوبة الأسئلة النهائية"/>
    <w:basedOn w:val="af"/>
    <w:rsid w:val="001153F1"/>
    <w:pPr>
      <w:spacing w:line="216" w:lineRule="auto"/>
      <w:ind w:left="567" w:firstLine="0"/>
    </w:pPr>
    <w:rPr>
      <w:rFonts w:ascii="Times New Roman" w:eastAsia="Batang" w:hAnsi="Times New Roman" w:cs="Mosawi"/>
      <w:color w:val="FF0000"/>
      <w:sz w:val="24"/>
      <w:szCs w:val="28"/>
    </w:rPr>
  </w:style>
  <w:style w:type="paragraph" w:customStyle="1" w:styleId="1ff1">
    <w:name w:val="المتن مع فاصلة 1 سم"/>
    <w:basedOn w:val="af"/>
    <w:rsid w:val="001153F1"/>
    <w:pPr>
      <w:spacing w:line="216" w:lineRule="auto"/>
      <w:ind w:left="624" w:firstLine="0"/>
    </w:pPr>
    <w:rPr>
      <w:rFonts w:ascii="Times New Roman" w:eastAsia="Batang" w:hAnsi="Times New Roman" w:cs="Mosawi"/>
      <w:sz w:val="24"/>
      <w:szCs w:val="28"/>
    </w:rPr>
  </w:style>
  <w:style w:type="character" w:customStyle="1" w:styleId="affffffffff6">
    <w:name w:val="اسم الكتاب ـ المتن"/>
    <w:rsid w:val="001153F1"/>
    <w:rPr>
      <w:rFonts w:ascii="Times New Roman" w:hAnsi="Times New Roman" w:cs="Mosawi"/>
      <w:i/>
      <w:iCs/>
      <w:sz w:val="28"/>
      <w:szCs w:val="28"/>
    </w:rPr>
  </w:style>
  <w:style w:type="character" w:customStyle="1" w:styleId="affffffffff7">
    <w:name w:val="اسم الكتاب ـ الهامش"/>
    <w:rsid w:val="001153F1"/>
    <w:rPr>
      <w:rFonts w:ascii="Times New Roman" w:hAnsi="Times New Roman" w:cs="Mosawi"/>
      <w:i/>
      <w:iCs/>
      <w:sz w:val="24"/>
      <w:szCs w:val="24"/>
    </w:rPr>
  </w:style>
  <w:style w:type="character" w:customStyle="1" w:styleId="affffffffff8">
    <w:name w:val="أقوال المعصومين"/>
    <w:rsid w:val="001153F1"/>
    <w:rPr>
      <w:rFonts w:ascii="Times New Roman" w:hAnsi="Times New Roman" w:cs="Mosawi"/>
      <w:b/>
      <w:bCs/>
      <w:sz w:val="28"/>
      <w:szCs w:val="28"/>
    </w:rPr>
  </w:style>
  <w:style w:type="paragraph" w:customStyle="1" w:styleId="affffffffff9">
    <w:name w:val="الترقيم الحرفي"/>
    <w:basedOn w:val="af"/>
    <w:rsid w:val="001153F1"/>
    <w:pPr>
      <w:spacing w:line="216" w:lineRule="auto"/>
      <w:ind w:left="624" w:hanging="340"/>
    </w:pPr>
    <w:rPr>
      <w:rFonts w:ascii="Times New Roman" w:eastAsia="Batang" w:hAnsi="Times New Roman" w:cs="Mosawi"/>
      <w:sz w:val="24"/>
      <w:szCs w:val="28"/>
    </w:rPr>
  </w:style>
  <w:style w:type="paragraph" w:customStyle="1" w:styleId="affffffffffa">
    <w:name w:val="الترقيم الحرفي الضمني"/>
    <w:basedOn w:val="af"/>
    <w:rsid w:val="001153F1"/>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1153F1"/>
    <w:pPr>
      <w:numPr>
        <w:numId w:val="33"/>
      </w:numPr>
      <w:spacing w:line="216" w:lineRule="auto"/>
      <w:ind w:left="681" w:hanging="397"/>
    </w:pPr>
    <w:rPr>
      <w:rFonts w:ascii="Times New Roman" w:eastAsia="Batang" w:hAnsi="Times New Roman" w:cs="Mosawi"/>
      <w:sz w:val="24"/>
      <w:szCs w:val="28"/>
    </w:rPr>
  </w:style>
  <w:style w:type="paragraph" w:customStyle="1" w:styleId="affffffffffb">
    <w:name w:val="الترقيم العددي الضمني"/>
    <w:basedOn w:val="af"/>
    <w:rsid w:val="001153F1"/>
    <w:pPr>
      <w:spacing w:line="216" w:lineRule="auto"/>
      <w:ind w:left="851" w:hanging="284"/>
    </w:pPr>
    <w:rPr>
      <w:rFonts w:ascii="Times New Roman" w:eastAsia="Batang" w:hAnsi="Times New Roman" w:cs="Mosawi"/>
      <w:sz w:val="24"/>
      <w:szCs w:val="28"/>
    </w:rPr>
  </w:style>
  <w:style w:type="paragraph" w:customStyle="1" w:styleId="affffffffffc">
    <w:name w:val="الترقيم (علامة دائرة)"/>
    <w:basedOn w:val="af"/>
    <w:rsid w:val="001153F1"/>
    <w:pPr>
      <w:spacing w:line="216" w:lineRule="auto"/>
      <w:ind w:left="624" w:hanging="340"/>
    </w:pPr>
    <w:rPr>
      <w:rFonts w:ascii="Times New Roman" w:eastAsia="Batang" w:hAnsi="Times New Roman" w:cs="Mosawi"/>
      <w:sz w:val="24"/>
      <w:szCs w:val="28"/>
    </w:rPr>
  </w:style>
  <w:style w:type="paragraph" w:customStyle="1" w:styleId="affffffffffd">
    <w:name w:val="الترقيم (علامة دائرة) الضمني"/>
    <w:basedOn w:val="af"/>
    <w:rsid w:val="001153F1"/>
    <w:pPr>
      <w:spacing w:line="216" w:lineRule="auto"/>
      <w:ind w:left="851" w:hanging="284"/>
    </w:pPr>
    <w:rPr>
      <w:rFonts w:ascii="Times New Roman" w:eastAsia="Batang" w:hAnsi="Times New Roman" w:cs="Mosawi"/>
      <w:sz w:val="24"/>
      <w:szCs w:val="28"/>
    </w:rPr>
  </w:style>
  <w:style w:type="paragraph" w:customStyle="1" w:styleId="affffffffffe">
    <w:name w:val="الترقيم (علامة صح)"/>
    <w:basedOn w:val="af"/>
    <w:rsid w:val="001153F1"/>
    <w:pPr>
      <w:spacing w:line="216" w:lineRule="auto"/>
      <w:ind w:left="624" w:hanging="340"/>
    </w:pPr>
    <w:rPr>
      <w:rFonts w:ascii="Times New Roman" w:eastAsia="Batang" w:hAnsi="Times New Roman" w:cs="Mosawi"/>
      <w:sz w:val="24"/>
      <w:szCs w:val="28"/>
    </w:rPr>
  </w:style>
  <w:style w:type="paragraph" w:customStyle="1" w:styleId="afffffffffff">
    <w:name w:val="الترقيم (علامة صح) الضمني"/>
    <w:basedOn w:val="af"/>
    <w:rsid w:val="001153F1"/>
    <w:pPr>
      <w:spacing w:line="216" w:lineRule="auto"/>
      <w:ind w:left="851" w:hanging="284"/>
    </w:pPr>
    <w:rPr>
      <w:rFonts w:ascii="Times New Roman" w:eastAsia="Batang" w:hAnsi="Times New Roman" w:cs="Mosawi"/>
      <w:sz w:val="24"/>
      <w:szCs w:val="28"/>
    </w:rPr>
  </w:style>
  <w:style w:type="paragraph" w:customStyle="1" w:styleId="afffffffffff0">
    <w:name w:val="بسم الله"/>
    <w:basedOn w:val="af"/>
    <w:rsid w:val="001153F1"/>
    <w:pPr>
      <w:spacing w:line="216" w:lineRule="auto"/>
      <w:ind w:firstLine="0"/>
      <w:jc w:val="center"/>
    </w:pPr>
    <w:rPr>
      <w:rFonts w:ascii="Times New Roman" w:eastAsia="Batang" w:hAnsi="Times New Roman" w:cs="Mosawi"/>
      <w:sz w:val="24"/>
      <w:szCs w:val="28"/>
    </w:rPr>
  </w:style>
  <w:style w:type="paragraph" w:customStyle="1" w:styleId="3f3">
    <w:name w:val="العنوان (3) ـ المطالعة"/>
    <w:basedOn w:val="afffffffff3"/>
    <w:qFormat/>
    <w:rsid w:val="001153F1"/>
    <w:pPr>
      <w:spacing w:line="216" w:lineRule="auto"/>
    </w:pPr>
    <w:rPr>
      <w:szCs w:val="30"/>
    </w:rPr>
  </w:style>
  <w:style w:type="paragraph" w:customStyle="1" w:styleId="4e">
    <w:name w:val="العنوان (4) ـ المطالعة"/>
    <w:basedOn w:val="afffffffff3"/>
    <w:rsid w:val="001153F1"/>
    <w:pPr>
      <w:spacing w:line="216" w:lineRule="auto"/>
    </w:pPr>
    <w:rPr>
      <w:szCs w:val="30"/>
    </w:rPr>
  </w:style>
  <w:style w:type="character" w:customStyle="1" w:styleId="5b">
    <w:name w:val="العنوان (5) ـ المطالعة"/>
    <w:rsid w:val="001153F1"/>
    <w:rPr>
      <w:rFonts w:ascii="Times New Roman" w:hAnsi="Times New Roman" w:cs="Mosawi"/>
      <w:b/>
      <w:bCs/>
      <w:sz w:val="28"/>
      <w:szCs w:val="28"/>
    </w:rPr>
  </w:style>
  <w:style w:type="paragraph" w:customStyle="1" w:styleId="3f4">
    <w:name w:val="عنوان3"/>
    <w:basedOn w:val="31"/>
    <w:rsid w:val="001153F1"/>
    <w:pPr>
      <w:keepNext/>
      <w:spacing w:before="240" w:after="60" w:line="216" w:lineRule="auto"/>
      <w:ind w:left="720" w:hanging="432"/>
    </w:pPr>
    <w:rPr>
      <w:rFonts w:ascii="Cambria" w:eastAsia="Batang" w:hAnsi="Cambria" w:cs="Times New Roman"/>
      <w:b/>
      <w:color w:val="auto"/>
      <w:sz w:val="26"/>
    </w:rPr>
  </w:style>
  <w:style w:type="paragraph" w:customStyle="1" w:styleId="afffffffffff1">
    <w:name w:val="متن الهاش"/>
    <w:basedOn w:val="afffb"/>
    <w:qFormat/>
    <w:rsid w:val="001153F1"/>
    <w:pPr>
      <w:spacing w:line="240" w:lineRule="auto"/>
      <w:ind w:left="0" w:firstLine="284"/>
      <w:jc w:val="both"/>
      <w:outlineLvl w:val="0"/>
    </w:pPr>
    <w:rPr>
      <w:rFonts w:eastAsia="Batang" w:cs="Mosawi"/>
      <w:position w:val="0"/>
      <w:sz w:val="20"/>
      <w:szCs w:val="20"/>
      <w:lang w:eastAsia="en-US"/>
    </w:rPr>
  </w:style>
  <w:style w:type="paragraph" w:customStyle="1" w:styleId="afffffffffff2">
    <w:name w:val="بسم الله الرحمن الرحيم"/>
    <w:basedOn w:val="af"/>
    <w:rsid w:val="001153F1"/>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f3">
    <w:name w:val="كلمة المجلة"/>
    <w:basedOn w:val="af"/>
    <w:rsid w:val="001153F1"/>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1153F1"/>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1153F1"/>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c">
    <w:name w:val="نمط نمط2 + أبيض"/>
    <w:basedOn w:val="26"/>
    <w:rsid w:val="001153F1"/>
    <w:rPr>
      <w:rFonts w:eastAsia="Batang"/>
      <w:color w:val="FFFFFF"/>
    </w:rPr>
  </w:style>
  <w:style w:type="paragraph" w:customStyle="1" w:styleId="611952">
    <w:name w:val="نمط نمط عنوان 6 + السطر الأول:  1 سم تباعد الأسطر:  تام 19.5 نقطة...2"/>
    <w:basedOn w:val="61195"/>
    <w:rsid w:val="001153F1"/>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1153F1"/>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1153F1"/>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1153F1"/>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1153F1"/>
    <w:rPr>
      <w:rFonts w:cs="Abz-3 (Yagut)"/>
      <w:bCs/>
      <w:color w:val="000000"/>
      <w:spacing w:val="0"/>
      <w:sz w:val="26"/>
      <w:szCs w:val="26"/>
      <w:lang w:bidi="ar-SA"/>
    </w:rPr>
  </w:style>
  <w:style w:type="paragraph" w:customStyle="1" w:styleId="afffffffffff4">
    <w:name w:val="تحت الرئيسي"/>
    <w:basedOn w:val="400"/>
    <w:link w:val="Charffff0"/>
    <w:rsid w:val="001153F1"/>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ff0">
    <w:name w:val="تحت الرئيسي Char"/>
    <w:link w:val="afffffffffff4"/>
    <w:locked/>
    <w:rsid w:val="001153F1"/>
    <w:rPr>
      <w:rFonts w:eastAsia="Batang" w:cs="SKR HEAD1"/>
      <w:color w:val="000000"/>
      <w:spacing w:val="-4"/>
      <w:sz w:val="36"/>
      <w:szCs w:val="36"/>
    </w:rPr>
  </w:style>
  <w:style w:type="paragraph" w:customStyle="1" w:styleId="1ff2">
    <w:name w:val="عنوان داخل المتن 1"/>
    <w:basedOn w:val="afff8"/>
    <w:link w:val="1Char7"/>
    <w:rsid w:val="001153F1"/>
    <w:pPr>
      <w:autoSpaceDE/>
      <w:autoSpaceDN/>
      <w:spacing w:line="400" w:lineRule="exact"/>
      <w:jc w:val="left"/>
      <w:outlineLvl w:val="0"/>
    </w:pPr>
    <w:rPr>
      <w:rFonts w:eastAsia="SimSun" w:cs="Abz-3 (Yagut)"/>
      <w:bCs/>
      <w:color w:val="000000"/>
      <w:sz w:val="26"/>
      <w:szCs w:val="26"/>
    </w:rPr>
  </w:style>
  <w:style w:type="character" w:customStyle="1" w:styleId="1Char7">
    <w:name w:val="عنوان داخل المتن 1 Char"/>
    <w:link w:val="1ff2"/>
    <w:locked/>
    <w:rsid w:val="001153F1"/>
    <w:rPr>
      <w:rFonts w:ascii="Times New Roman" w:eastAsia="SimSun" w:hAnsi="Times New Roman" w:cs="Abz-3 (Yagut)"/>
      <w:bCs/>
      <w:color w:val="000000"/>
      <w:sz w:val="26"/>
      <w:szCs w:val="26"/>
      <w:lang w:eastAsia="ar-SA"/>
    </w:rPr>
  </w:style>
  <w:style w:type="character" w:customStyle="1" w:styleId="CharChar50">
    <w:name w:val="Char Char5"/>
    <w:rsid w:val="001153F1"/>
    <w:rPr>
      <w:rFonts w:cs="SKR HEAD1"/>
      <w:color w:val="000000"/>
      <w:spacing w:val="-4"/>
      <w:sz w:val="48"/>
      <w:szCs w:val="48"/>
      <w:lang w:val="en-US" w:eastAsia="en-US" w:bidi="ar-SA"/>
    </w:rPr>
  </w:style>
  <w:style w:type="character" w:customStyle="1" w:styleId="CharChar30">
    <w:name w:val="Char Char3"/>
    <w:rsid w:val="001153F1"/>
    <w:rPr>
      <w:rFonts w:cs="Arial"/>
      <w:bCs/>
      <w:sz w:val="28"/>
      <w:szCs w:val="28"/>
      <w:lang w:val="en-US" w:eastAsia="en-US" w:bidi="ar-SA"/>
    </w:rPr>
  </w:style>
  <w:style w:type="paragraph" w:customStyle="1" w:styleId="1ff3">
    <w:name w:val="موضوع تعليق1"/>
    <w:basedOn w:val="aff6"/>
    <w:next w:val="aff6"/>
    <w:semiHidden/>
    <w:rsid w:val="001153F1"/>
    <w:pPr>
      <w:widowControl w:val="0"/>
      <w:spacing w:before="100" w:line="400" w:lineRule="exact"/>
      <w:jc w:val="lowKashida"/>
    </w:pPr>
    <w:rPr>
      <w:rFonts w:eastAsia="Batang" w:cs="md_ameli"/>
      <w:b/>
      <w:bCs/>
      <w:spacing w:val="-4"/>
      <w:sz w:val="24"/>
      <w:lang w:eastAsia="en-US"/>
    </w:rPr>
  </w:style>
  <w:style w:type="paragraph" w:customStyle="1" w:styleId="1ff4">
    <w:name w:val="نص في بالون1"/>
    <w:basedOn w:val="af"/>
    <w:semiHidden/>
    <w:rsid w:val="001153F1"/>
    <w:pPr>
      <w:widowControl/>
      <w:spacing w:line="240" w:lineRule="auto"/>
      <w:ind w:firstLine="0"/>
    </w:pPr>
    <w:rPr>
      <w:rFonts w:ascii="Tahoma" w:eastAsia="Batang" w:hAnsi="Tahoma" w:cs="Tahoma"/>
      <w:sz w:val="16"/>
      <w:szCs w:val="16"/>
    </w:rPr>
  </w:style>
  <w:style w:type="character" w:customStyle="1" w:styleId="afffffffffff5">
    <w:name w:val="هامش فوق"/>
    <w:uiPriority w:val="1"/>
    <w:qFormat/>
    <w:rsid w:val="001153F1"/>
    <w:rPr>
      <w:rFonts w:ascii="Taher" w:hAnsi="Taher" w:cs="Taher"/>
      <w:sz w:val="30"/>
      <w:szCs w:val="30"/>
      <w:vertAlign w:val="superscript"/>
      <w:lang w:bidi="ar-SA"/>
    </w:rPr>
  </w:style>
  <w:style w:type="paragraph" w:customStyle="1" w:styleId="afffffffffff6">
    <w:name w:val="متن (كتب)"/>
    <w:basedOn w:val="af"/>
    <w:rsid w:val="001153F1"/>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1153F1"/>
    <w:rPr>
      <w:rFonts w:cs="Arabic Transparent"/>
      <w:sz w:val="28"/>
      <w:szCs w:val="28"/>
      <w:lang w:val="en-US" w:eastAsia="ar-SA" w:bidi="ar-SA"/>
    </w:rPr>
  </w:style>
  <w:style w:type="character" w:customStyle="1" w:styleId="CharChar8">
    <w:name w:val="Char Char8"/>
    <w:rsid w:val="001153F1"/>
    <w:rPr>
      <w:rFonts w:cs="Arabic Transparent"/>
      <w:b/>
      <w:bCs/>
      <w:sz w:val="28"/>
      <w:szCs w:val="28"/>
      <w:lang w:val="en-US" w:eastAsia="ar-SA" w:bidi="ar-SA"/>
    </w:rPr>
  </w:style>
  <w:style w:type="character" w:customStyle="1" w:styleId="CharChar7">
    <w:name w:val="Char Char7"/>
    <w:rsid w:val="001153F1"/>
    <w:rPr>
      <w:rFonts w:ascii="Arial" w:hAnsi="Arial" w:cs="Arial"/>
      <w:b/>
      <w:bCs/>
      <w:sz w:val="26"/>
      <w:szCs w:val="26"/>
      <w:lang w:val="en-US" w:eastAsia="ar-SA" w:bidi="ar-SA"/>
    </w:rPr>
  </w:style>
  <w:style w:type="character" w:customStyle="1" w:styleId="CharChar6">
    <w:name w:val="Char Char6"/>
    <w:rsid w:val="001153F1"/>
    <w:rPr>
      <w:rFonts w:cs="ALAWI-3-62"/>
      <w:color w:val="008000"/>
      <w:sz w:val="28"/>
      <w:szCs w:val="28"/>
      <w:lang w:val="en-US" w:eastAsia="en-US" w:bidi="ar-SA"/>
    </w:rPr>
  </w:style>
  <w:style w:type="character" w:customStyle="1" w:styleId="Charffff1">
    <w:name w:val="هوامش Char"/>
    <w:rsid w:val="001153F1"/>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1153F1"/>
    <w:rPr>
      <w:rFonts w:ascii="Times New Roman" w:eastAsia="SimSun" w:hAnsi="Times New Roman" w:cs="K Sina"/>
      <w:b/>
      <w:bCs/>
      <w:sz w:val="20"/>
      <w:szCs w:val="20"/>
      <w:lang w:val="en-US" w:eastAsia="ar-SA" w:bidi="ar-SA"/>
    </w:rPr>
  </w:style>
  <w:style w:type="paragraph" w:customStyle="1" w:styleId="3f5">
    <w:name w:val="نمط3"/>
    <w:basedOn w:val="afffb"/>
    <w:rsid w:val="001153F1"/>
    <w:pPr>
      <w:spacing w:line="380" w:lineRule="exact"/>
      <w:jc w:val="both"/>
    </w:pPr>
    <w:rPr>
      <w:rFonts w:eastAsia="SimSun"/>
    </w:rPr>
  </w:style>
  <w:style w:type="paragraph" w:customStyle="1" w:styleId="afffffffffff7">
    <w:name w:val="حاشية ملسي يساكمنلتسيمنت"/>
    <w:basedOn w:val="afffb"/>
    <w:rsid w:val="001153F1"/>
    <w:pPr>
      <w:spacing w:line="380" w:lineRule="exact"/>
      <w:jc w:val="both"/>
    </w:pPr>
    <w:rPr>
      <w:rFonts w:eastAsia="SimSun"/>
    </w:rPr>
  </w:style>
  <w:style w:type="character" w:customStyle="1" w:styleId="Charffff2">
    <w:name w:val="تعداد فرعي Char"/>
    <w:rsid w:val="001153F1"/>
    <w:rPr>
      <w:rFonts w:ascii="Times New Roman" w:eastAsia="SimSun" w:hAnsi="Times New Roman" w:cs="AL-Mohanad"/>
      <w:bCs/>
      <w:sz w:val="27"/>
      <w:szCs w:val="27"/>
      <w:lang w:val="en-US" w:eastAsia="ar-SA" w:bidi="ar-SA"/>
    </w:rPr>
  </w:style>
  <w:style w:type="character" w:customStyle="1" w:styleId="Charffff3">
    <w:name w:val="الحاشية Char"/>
    <w:rsid w:val="001153F1"/>
    <w:rPr>
      <w:rFonts w:cs="md_ameli"/>
      <w:noProof/>
      <w:spacing w:val="-6"/>
      <w:sz w:val="22"/>
      <w:szCs w:val="22"/>
      <w:lang w:val="en-US" w:eastAsia="ar-SA" w:bidi="ar-SA"/>
    </w:rPr>
  </w:style>
  <w:style w:type="character" w:customStyle="1" w:styleId="CharChara">
    <w:name w:val="پا ورقي Char Char"/>
    <w:semiHidden/>
    <w:rsid w:val="001153F1"/>
    <w:rPr>
      <w:rFonts w:cs="Times New Roman"/>
      <w:lang w:val="en-US" w:eastAsia="ar-SA" w:bidi="ar-SA"/>
    </w:rPr>
  </w:style>
  <w:style w:type="paragraph" w:customStyle="1" w:styleId="1ff5">
    <w:name w:val="عادي1"/>
    <w:semiHidden/>
    <w:rsid w:val="001153F1"/>
    <w:pPr>
      <w:spacing w:line="400" w:lineRule="exact"/>
    </w:pPr>
    <w:rPr>
      <w:rFonts w:ascii="Times New Roman" w:hAnsi="Times New Roman" w:cs="md_ameli"/>
      <w:noProof/>
      <w:spacing w:val="-4"/>
      <w:sz w:val="26"/>
      <w:szCs w:val="26"/>
      <w:lang w:eastAsia="ar-SA"/>
    </w:rPr>
  </w:style>
  <w:style w:type="character" w:customStyle="1" w:styleId="Charffc">
    <w:name w:val="عنوان في المتن Char"/>
    <w:link w:val="afffffff2"/>
    <w:locked/>
    <w:rsid w:val="001153F1"/>
    <w:rPr>
      <w:rFonts w:ascii="Times New Roman" w:hAnsi="Times New Roman" w:cs="Abz-3 (Yagut)"/>
      <w:bCs/>
      <w:color w:val="000000"/>
      <w:sz w:val="26"/>
      <w:szCs w:val="26"/>
    </w:rPr>
  </w:style>
  <w:style w:type="character" w:customStyle="1" w:styleId="CharChar24">
    <w:name w:val="Char Char24"/>
    <w:rsid w:val="001153F1"/>
    <w:rPr>
      <w:rFonts w:cs="Simplified Arabic"/>
      <w:bCs/>
      <w:sz w:val="28"/>
      <w:szCs w:val="28"/>
      <w:lang w:val="en-US" w:eastAsia="en-US" w:bidi="ar-SA"/>
    </w:rPr>
  </w:style>
  <w:style w:type="paragraph" w:customStyle="1" w:styleId="4f">
    <w:name w:val="سرد الفقرات4"/>
    <w:basedOn w:val="af"/>
    <w:rsid w:val="001153F1"/>
    <w:pPr>
      <w:widowControl/>
      <w:spacing w:after="200" w:line="276" w:lineRule="auto"/>
      <w:ind w:left="720" w:firstLine="0"/>
      <w:jc w:val="left"/>
    </w:pPr>
    <w:rPr>
      <w:rFonts w:ascii="Calibri" w:hAnsi="Calibri" w:cs="Arial"/>
      <w:sz w:val="22"/>
      <w:szCs w:val="22"/>
    </w:rPr>
  </w:style>
  <w:style w:type="paragraph" w:customStyle="1" w:styleId="newsb">
    <w:name w:val="newsb"/>
    <w:basedOn w:val="af"/>
    <w:rsid w:val="001153F1"/>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Taher">
    <w:name w:val="نمط (العربية وغيرها) Taher"/>
    <w:rsid w:val="001153F1"/>
    <w:rPr>
      <w:rFonts w:ascii="Arial" w:hAnsi="Arial" w:cs="Taher"/>
      <w:lang w:bidi="ar-SA"/>
    </w:rPr>
  </w:style>
  <w:style w:type="character" w:customStyle="1" w:styleId="28">
    <w:name w:val="تيتر2 نویسه"/>
    <w:link w:val="27"/>
    <w:locked/>
    <w:rsid w:val="001153F1"/>
    <w:rPr>
      <w:rFonts w:ascii="Times New Roman" w:hAnsi="Times New Roman" w:cs="Times New Roman"/>
      <w:b/>
      <w:bCs/>
      <w:sz w:val="24"/>
      <w:szCs w:val="28"/>
      <w:lang w:eastAsia="ar-SA"/>
    </w:rPr>
  </w:style>
  <w:style w:type="character" w:customStyle="1" w:styleId="CharChar23">
    <w:name w:val="Char Char23"/>
    <w:rsid w:val="001153F1"/>
    <w:rPr>
      <w:rFonts w:eastAsia="PMingLiU" w:cs="DanaFajr"/>
      <w:sz w:val="28"/>
      <w:szCs w:val="28"/>
      <w:lang w:val="en-US" w:eastAsia="ar-SA" w:bidi="ar-SA"/>
    </w:rPr>
  </w:style>
  <w:style w:type="paragraph" w:customStyle="1" w:styleId="afffffffffff8">
    <w:name w:val="المتن كتب"/>
    <w:basedOn w:val="af"/>
    <w:rsid w:val="001153F1"/>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1153F1"/>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1153F1"/>
    <w:rPr>
      <w:sz w:val="28"/>
      <w:lang w:val="en-US" w:eastAsia="en-US"/>
    </w:rPr>
  </w:style>
  <w:style w:type="character" w:customStyle="1" w:styleId="CharChar42">
    <w:name w:val="Char Char42"/>
    <w:rsid w:val="001153F1"/>
    <w:rPr>
      <w:color w:val="000000"/>
      <w:sz w:val="28"/>
      <w:lang w:val="en-US" w:eastAsia="en-US"/>
    </w:rPr>
  </w:style>
  <w:style w:type="character" w:customStyle="1" w:styleId="CharChar51">
    <w:name w:val="Char Char51"/>
    <w:rsid w:val="001153F1"/>
    <w:rPr>
      <w:b/>
      <w:color w:val="000000"/>
      <w:sz w:val="40"/>
      <w:lang w:val="en-US" w:eastAsia="en-US"/>
    </w:rPr>
  </w:style>
  <w:style w:type="character" w:customStyle="1" w:styleId="CharChar31">
    <w:name w:val="Char Char31"/>
    <w:rsid w:val="001153F1"/>
    <w:rPr>
      <w:b/>
      <w:sz w:val="40"/>
      <w:lang w:val="en-US" w:eastAsia="ar-SA" w:bidi="ar-SA"/>
    </w:rPr>
  </w:style>
  <w:style w:type="character" w:customStyle="1" w:styleId="CharChar21">
    <w:name w:val="Char Char21"/>
    <w:semiHidden/>
    <w:rsid w:val="001153F1"/>
    <w:rPr>
      <w:sz w:val="28"/>
      <w:lang w:val="x-none" w:eastAsia="ar-SA" w:bidi="ar-SA"/>
    </w:rPr>
  </w:style>
  <w:style w:type="character" w:customStyle="1" w:styleId="CharChar11">
    <w:name w:val="Char Char11"/>
    <w:rsid w:val="001153F1"/>
    <w:rPr>
      <w:lang w:val="en-US" w:eastAsia="ar-SA" w:bidi="ar-SA"/>
    </w:rPr>
  </w:style>
  <w:style w:type="character" w:customStyle="1" w:styleId="CharChar100">
    <w:name w:val="Char Char10"/>
    <w:semiHidden/>
    <w:rsid w:val="001153F1"/>
    <w:rPr>
      <w:color w:val="800000"/>
      <w:sz w:val="28"/>
    </w:rPr>
  </w:style>
  <w:style w:type="character" w:customStyle="1" w:styleId="CharChar41">
    <w:name w:val="Char Char41"/>
    <w:rsid w:val="001153F1"/>
    <w:rPr>
      <w:color w:val="000000"/>
      <w:sz w:val="28"/>
      <w:lang w:val="en-US" w:eastAsia="en-US"/>
    </w:rPr>
  </w:style>
  <w:style w:type="paragraph" w:customStyle="1" w:styleId="124">
    <w:name w:val="نمط عنوان 1 + تباعد الأسطر:  تام 24 نقطة"/>
    <w:basedOn w:val="11"/>
    <w:link w:val="124Char"/>
    <w:rsid w:val="001153F1"/>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1153F1"/>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1153F1"/>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e"/>
    <w:rsid w:val="001153F1"/>
    <w:pPr>
      <w:spacing w:line="450" w:lineRule="exact"/>
      <w:jc w:val="center"/>
    </w:pPr>
    <w:rPr>
      <w:rFonts w:eastAsia="Batang" w:cs="Mosawi"/>
      <w:b/>
      <w:sz w:val="50"/>
      <w:szCs w:val="40"/>
    </w:rPr>
  </w:style>
  <w:style w:type="paragraph" w:customStyle="1" w:styleId="afffffffffff9">
    <w:name w:val="الايسر"/>
    <w:basedOn w:val="KSina13"/>
    <w:rsid w:val="001153F1"/>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1153F1"/>
    <w:pPr>
      <w:spacing w:line="240" w:lineRule="auto"/>
    </w:pPr>
  </w:style>
  <w:style w:type="paragraph" w:customStyle="1" w:styleId="220">
    <w:name w:val="نمط الايسر + تباعد الأسطر:  تام 22 نقطة"/>
    <w:basedOn w:val="afffffffffff9"/>
    <w:rsid w:val="001153F1"/>
    <w:pPr>
      <w:spacing w:line="240" w:lineRule="auto"/>
    </w:pPr>
  </w:style>
  <w:style w:type="paragraph" w:customStyle="1" w:styleId="1302">
    <w:name w:val="نمط نمط نمط العنوان الجانبي اساس + (لاتيني) ‏13 نقطة قبل:  0 نقطة..."/>
    <w:basedOn w:val="1301"/>
    <w:link w:val="130Char1"/>
    <w:rsid w:val="001153F1"/>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1153F1"/>
    <w:rPr>
      <w:rFonts w:ascii="Times New Roman" w:eastAsia="Batang" w:hAnsi="Times New Roman" w:cs="Times New Roman"/>
      <w:color w:val="000000"/>
      <w:sz w:val="28"/>
      <w:lang w:eastAsia="ar-SA"/>
    </w:rPr>
  </w:style>
  <w:style w:type="paragraph" w:customStyle="1" w:styleId="3f6">
    <w:name w:val="3"/>
    <w:basedOn w:val="af"/>
    <w:semiHidden/>
    <w:rsid w:val="001153F1"/>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1153F1"/>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1153F1"/>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1153F1"/>
    <w:rPr>
      <w:rFonts w:ascii="Cambria" w:eastAsia="Batang" w:hAnsi="Cambria" w:cs="Times New Roman"/>
      <w:b/>
      <w:bCs/>
      <w:sz w:val="26"/>
      <w:szCs w:val="26"/>
    </w:rPr>
  </w:style>
  <w:style w:type="paragraph" w:customStyle="1" w:styleId="93">
    <w:name w:val="نمط عنوان 9 + (مركب) غامق"/>
    <w:basedOn w:val="9"/>
    <w:rsid w:val="001153F1"/>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1153F1"/>
  </w:style>
  <w:style w:type="paragraph" w:customStyle="1" w:styleId="afffffffffffa">
    <w:name w:val="الفاصلة بين العنوان"/>
    <w:basedOn w:val="afffffffffff6"/>
    <w:rsid w:val="001153F1"/>
    <w:pPr>
      <w:spacing w:line="240" w:lineRule="auto"/>
    </w:pPr>
    <w:rPr>
      <w:rFonts w:cs="Mosawi"/>
      <w:szCs w:val="24"/>
    </w:rPr>
  </w:style>
  <w:style w:type="paragraph" w:customStyle="1" w:styleId="1ff6">
    <w:name w:val="عنوان البحث 1"/>
    <w:basedOn w:val="af"/>
    <w:rsid w:val="001153F1"/>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b">
    <w:name w:val="المدخل"/>
    <w:basedOn w:val="af"/>
    <w:rsid w:val="001153F1"/>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1153F1"/>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7">
    <w:name w:val="عنوان الكتاب1"/>
    <w:basedOn w:val="af"/>
    <w:rsid w:val="001153F1"/>
    <w:pPr>
      <w:spacing w:line="240" w:lineRule="auto"/>
      <w:ind w:firstLine="0"/>
      <w:jc w:val="center"/>
    </w:pPr>
    <w:rPr>
      <w:rFonts w:ascii="Times New Roman" w:eastAsia="Batang" w:hAnsi="Times New Roman" w:cs="Bader"/>
      <w:sz w:val="76"/>
      <w:szCs w:val="71"/>
      <w:lang w:eastAsia="ar-SA"/>
    </w:rPr>
  </w:style>
  <w:style w:type="paragraph" w:customStyle="1" w:styleId="afffffffffffc">
    <w:name w:val="اسم المؤلف"/>
    <w:basedOn w:val="af"/>
    <w:rsid w:val="001153F1"/>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d">
    <w:name w:val="عنوان المقال"/>
    <w:basedOn w:val="aff"/>
    <w:rsid w:val="001153F1"/>
    <w:pPr>
      <w:widowControl w:val="0"/>
      <w:spacing w:line="480" w:lineRule="exact"/>
      <w:jc w:val="left"/>
    </w:pPr>
    <w:rPr>
      <w:rFonts w:eastAsia="Batang" w:cs="HeshamNormal"/>
      <w:b w:val="0"/>
      <w:bCs w:val="0"/>
      <w:sz w:val="26"/>
      <w:szCs w:val="50"/>
    </w:rPr>
  </w:style>
  <w:style w:type="paragraph" w:customStyle="1" w:styleId="afffffffffffe">
    <w:name w:val="تحت البحث"/>
    <w:basedOn w:val="124"/>
    <w:link w:val="Charffff4"/>
    <w:rsid w:val="001153F1"/>
  </w:style>
  <w:style w:type="paragraph" w:customStyle="1" w:styleId="1ff8">
    <w:name w:val="اسم المؤلف1"/>
    <w:basedOn w:val="KSina130"/>
    <w:link w:val="1Char8"/>
    <w:rsid w:val="001153F1"/>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1153F1"/>
    <w:rPr>
      <w:rFonts w:ascii="Times New Roman" w:eastAsia="Batang" w:hAnsi="Times New Roman" w:cs="Times New Roman"/>
      <w:b/>
      <w:bCs/>
      <w:kern w:val="32"/>
      <w:sz w:val="28"/>
      <w:szCs w:val="36"/>
    </w:rPr>
  </w:style>
  <w:style w:type="character" w:customStyle="1" w:styleId="Charffff4">
    <w:name w:val="تحت البحث Char"/>
    <w:link w:val="afffffffffffe"/>
    <w:locked/>
    <w:rsid w:val="001153F1"/>
    <w:rPr>
      <w:rFonts w:ascii="Times New Roman" w:eastAsia="Batang" w:hAnsi="Times New Roman" w:cs="Times New Roman"/>
      <w:b/>
      <w:bCs/>
      <w:kern w:val="32"/>
      <w:sz w:val="28"/>
      <w:szCs w:val="36"/>
    </w:rPr>
  </w:style>
  <w:style w:type="paragraph" w:customStyle="1" w:styleId="affffffffffff">
    <w:name w:val="متن اسود"/>
    <w:basedOn w:val="afffffffff3"/>
    <w:link w:val="Charffff5"/>
    <w:rsid w:val="001153F1"/>
    <w:pPr>
      <w:spacing w:before="80" w:line="420" w:lineRule="exact"/>
      <w:ind w:firstLine="539"/>
    </w:pPr>
    <w:rPr>
      <w:rFonts w:cs="Abz-3 (Yagut)"/>
      <w:b/>
      <w:bCs/>
      <w:sz w:val="25"/>
      <w:szCs w:val="23"/>
      <w:lang w:eastAsia="ar-SA"/>
    </w:rPr>
  </w:style>
  <w:style w:type="character" w:customStyle="1" w:styleId="1Char8">
    <w:name w:val="اسم المؤلف1 Char"/>
    <w:link w:val="1ff8"/>
    <w:locked/>
    <w:rsid w:val="001153F1"/>
    <w:rPr>
      <w:rFonts w:ascii="Times New Roman" w:eastAsia="SimSun" w:hAnsi="Times New Roman" w:cs="K Sina"/>
      <w:lang w:eastAsia="ar-SA"/>
    </w:rPr>
  </w:style>
  <w:style w:type="character" w:customStyle="1" w:styleId="Charffff5">
    <w:name w:val="متن اسود Char"/>
    <w:link w:val="affffffffffff"/>
    <w:locked/>
    <w:rsid w:val="001153F1"/>
    <w:rPr>
      <w:rFonts w:ascii="Arno Pro Display" w:eastAsia="Batang" w:hAnsi="Arno Pro Display" w:cs="Abz-3 (Yagut)"/>
      <w:b/>
      <w:bCs/>
      <w:sz w:val="25"/>
      <w:szCs w:val="23"/>
      <w:lang w:eastAsia="ar-SA"/>
    </w:rPr>
  </w:style>
  <w:style w:type="paragraph" w:customStyle="1" w:styleId="affffffffffff0">
    <w:name w:val="تعداد"/>
    <w:basedOn w:val="afffffff2"/>
    <w:rsid w:val="001153F1"/>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6"/>
    <w:semiHidden/>
    <w:rsid w:val="001153F1"/>
  </w:style>
  <w:style w:type="paragraph" w:customStyle="1" w:styleId="Anmat2">
    <w:name w:val="Anmat2"/>
    <w:basedOn w:val="1ff6"/>
    <w:semiHidden/>
    <w:rsid w:val="001153F1"/>
    <w:rPr>
      <w:rFonts w:cs="Ya-Ali"/>
      <w:b/>
      <w:bCs w:val="0"/>
      <w:sz w:val="32"/>
      <w:szCs w:val="32"/>
    </w:rPr>
  </w:style>
  <w:style w:type="paragraph" w:customStyle="1" w:styleId="affffffffffff1">
    <w:name w:val="عناوين فرعية"/>
    <w:basedOn w:val="affffffffffff0"/>
    <w:rsid w:val="001153F1"/>
    <w:pPr>
      <w:spacing w:before="140" w:line="440" w:lineRule="exact"/>
    </w:pPr>
    <w:rPr>
      <w:sz w:val="28"/>
      <w:szCs w:val="27"/>
    </w:rPr>
  </w:style>
  <w:style w:type="character" w:customStyle="1" w:styleId="Charffff6">
    <w:name w:val="رابع Char"/>
    <w:link w:val="affffffffffff2"/>
    <w:locked/>
    <w:rsid w:val="001153F1"/>
    <w:rPr>
      <w:rFonts w:cs="K Farnaz"/>
      <w:b/>
      <w:sz w:val="24"/>
      <w:szCs w:val="24"/>
    </w:rPr>
  </w:style>
  <w:style w:type="paragraph" w:customStyle="1" w:styleId="affffffffffff2">
    <w:name w:val="رابع"/>
    <w:basedOn w:val="af"/>
    <w:link w:val="Charffff6"/>
    <w:rsid w:val="001153F1"/>
    <w:pPr>
      <w:widowControl/>
      <w:spacing w:before="60" w:line="240" w:lineRule="auto"/>
      <w:ind w:firstLine="397"/>
      <w:jc w:val="lowKashida"/>
    </w:pPr>
    <w:rPr>
      <w:rFonts w:ascii="Calibri" w:hAnsi="Calibri" w:cs="K Farnaz"/>
      <w:b/>
      <w:sz w:val="24"/>
      <w:szCs w:val="24"/>
    </w:rPr>
  </w:style>
  <w:style w:type="character" w:customStyle="1" w:styleId="affffffffffff3">
    <w:name w:val="ثالث"/>
    <w:rsid w:val="001153F1"/>
    <w:rPr>
      <w:rFonts w:cs="SKR HEAD1"/>
      <w:b/>
      <w:sz w:val="28"/>
      <w:szCs w:val="28"/>
      <w:lang w:bidi="ar-SA"/>
    </w:rPr>
  </w:style>
  <w:style w:type="character" w:customStyle="1" w:styleId="CharChar19">
    <w:name w:val="Char Char19"/>
    <w:rsid w:val="001153F1"/>
    <w:rPr>
      <w:rFonts w:cs="Simplified Arabic"/>
      <w:bCs/>
      <w:sz w:val="28"/>
      <w:szCs w:val="28"/>
      <w:lang w:val="en-US" w:eastAsia="en-US" w:bidi="ar-SA"/>
    </w:rPr>
  </w:style>
  <w:style w:type="character" w:customStyle="1" w:styleId="CharChar18">
    <w:name w:val="Char Char18"/>
    <w:rsid w:val="001153F1"/>
    <w:rPr>
      <w:rFonts w:cs="Simplified Arabic"/>
      <w:bCs/>
      <w:sz w:val="28"/>
      <w:szCs w:val="28"/>
      <w:lang w:val="en-US" w:eastAsia="en-US" w:bidi="ar-SA"/>
    </w:rPr>
  </w:style>
  <w:style w:type="paragraph" w:customStyle="1" w:styleId="3f7">
    <w:name w:val="سرد الفقرات3"/>
    <w:basedOn w:val="af"/>
    <w:rsid w:val="001153F1"/>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1153F1"/>
    <w:rPr>
      <w:rFonts w:cs="Simplified Arabic"/>
      <w:bCs/>
      <w:sz w:val="28"/>
      <w:szCs w:val="28"/>
      <w:lang w:val="en-US" w:eastAsia="en-US" w:bidi="ar-SA"/>
    </w:rPr>
  </w:style>
  <w:style w:type="paragraph" w:customStyle="1" w:styleId="2fd">
    <w:name w:val="سرد الفقرات2"/>
    <w:basedOn w:val="af"/>
    <w:rsid w:val="001153F1"/>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af"/>
    <w:semiHidden/>
    <w:rsid w:val="001153F1"/>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1153F1"/>
    <w:rPr>
      <w:sz w:val="28"/>
      <w:lang w:val="en-US" w:eastAsia="en-US"/>
    </w:rPr>
  </w:style>
  <w:style w:type="character" w:customStyle="1" w:styleId="CharChar91">
    <w:name w:val="Char Char91"/>
    <w:rsid w:val="001153F1"/>
    <w:rPr>
      <w:rFonts w:cs="Arabic Transparent"/>
      <w:sz w:val="28"/>
      <w:szCs w:val="28"/>
      <w:lang w:val="en-US" w:eastAsia="ar-SA" w:bidi="ar-SA"/>
    </w:rPr>
  </w:style>
  <w:style w:type="character" w:customStyle="1" w:styleId="CharChar81">
    <w:name w:val="Char Char81"/>
    <w:rsid w:val="001153F1"/>
    <w:rPr>
      <w:rFonts w:cs="Arabic Transparent"/>
      <w:b/>
      <w:bCs/>
      <w:sz w:val="28"/>
      <w:szCs w:val="28"/>
      <w:lang w:val="en-US" w:eastAsia="ar-SA" w:bidi="ar-SA"/>
    </w:rPr>
  </w:style>
  <w:style w:type="character" w:customStyle="1" w:styleId="CharChar71">
    <w:name w:val="Char Char71"/>
    <w:rsid w:val="001153F1"/>
    <w:rPr>
      <w:rFonts w:ascii="Arial" w:hAnsi="Arial" w:cs="Arial"/>
      <w:b/>
      <w:bCs/>
      <w:sz w:val="26"/>
      <w:szCs w:val="26"/>
      <w:lang w:val="en-US" w:eastAsia="ar-SA" w:bidi="ar-SA"/>
    </w:rPr>
  </w:style>
  <w:style w:type="character" w:customStyle="1" w:styleId="CharChar61">
    <w:name w:val="Char Char61"/>
    <w:rsid w:val="001153F1"/>
    <w:rPr>
      <w:rFonts w:cs="ALAWI-3-62"/>
      <w:color w:val="008000"/>
      <w:sz w:val="28"/>
      <w:szCs w:val="28"/>
      <w:lang w:val="en-US" w:eastAsia="en-US" w:bidi="ar-SA"/>
    </w:rPr>
  </w:style>
  <w:style w:type="character" w:customStyle="1" w:styleId="CharChar52">
    <w:name w:val="Char Char52"/>
    <w:rsid w:val="001153F1"/>
    <w:rPr>
      <w:rFonts w:cs="AL-Mohanad"/>
      <w:b/>
      <w:bCs/>
      <w:color w:val="000000"/>
      <w:sz w:val="40"/>
      <w:szCs w:val="40"/>
      <w:lang w:val="en-US" w:eastAsia="en-US" w:bidi="ar-SA"/>
    </w:rPr>
  </w:style>
  <w:style w:type="character" w:customStyle="1" w:styleId="CharChar32">
    <w:name w:val="Char Char32"/>
    <w:rsid w:val="001153F1"/>
    <w:rPr>
      <w:rFonts w:cs="PT Bold Broken"/>
      <w:b/>
      <w:bCs/>
      <w:sz w:val="40"/>
      <w:szCs w:val="40"/>
      <w:lang w:val="en-US" w:eastAsia="ar-SA" w:bidi="ar-SA"/>
    </w:rPr>
  </w:style>
  <w:style w:type="character" w:customStyle="1" w:styleId="CharChar22">
    <w:name w:val="Char Char22"/>
    <w:semiHidden/>
    <w:rsid w:val="001153F1"/>
    <w:rPr>
      <w:rFonts w:cs="Arabic Transparent"/>
      <w:sz w:val="28"/>
      <w:szCs w:val="28"/>
      <w:lang w:val="x-none" w:eastAsia="ar-SA" w:bidi="ar-SA"/>
    </w:rPr>
  </w:style>
  <w:style w:type="character" w:customStyle="1" w:styleId="CharChar15">
    <w:name w:val="Char Char15"/>
    <w:rsid w:val="001153F1"/>
    <w:rPr>
      <w:rFonts w:cs="Times New Roman"/>
      <w:lang w:val="en-US" w:eastAsia="ar-SA" w:bidi="ar-SA"/>
    </w:rPr>
  </w:style>
  <w:style w:type="character" w:customStyle="1" w:styleId="CharChar14">
    <w:name w:val="Char Char14"/>
    <w:semiHidden/>
    <w:rsid w:val="001153F1"/>
    <w:rPr>
      <w:rFonts w:cs="Times New Roman"/>
      <w:color w:val="800000"/>
      <w:sz w:val="28"/>
      <w:szCs w:val="28"/>
      <w:lang w:bidi="ar-SA"/>
    </w:rPr>
  </w:style>
  <w:style w:type="paragraph" w:customStyle="1" w:styleId="Heading14">
    <w:name w:val="Heading 14"/>
    <w:basedOn w:val="af"/>
    <w:semiHidden/>
    <w:rsid w:val="001153F1"/>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1153F1"/>
    <w:rPr>
      <w:rFonts w:cs="Simplified Arabic"/>
      <w:color w:val="000000"/>
      <w:sz w:val="28"/>
      <w:szCs w:val="28"/>
      <w:lang w:val="en-US" w:eastAsia="en-US" w:bidi="ar-SA"/>
    </w:rPr>
  </w:style>
  <w:style w:type="character" w:customStyle="1" w:styleId="1ff9">
    <w:name w:val="رفرنس1 نویÓå"/>
    <w:locked/>
    <w:rsid w:val="001153F1"/>
    <w:rPr>
      <w:rFonts w:ascii="Times" w:hAnsi="Times"/>
      <w:sz w:val="18"/>
      <w:szCs w:val="18"/>
    </w:rPr>
  </w:style>
  <w:style w:type="character" w:customStyle="1" w:styleId="affffffffffff4">
    <w:name w:val="ترجمه نویÓå"/>
    <w:locked/>
    <w:rsid w:val="001153F1"/>
    <w:rPr>
      <w:rFonts w:ascii="Times" w:hAnsi="Times"/>
      <w:sz w:val="24"/>
      <w:szCs w:val="24"/>
    </w:rPr>
  </w:style>
  <w:style w:type="character" w:customStyle="1" w:styleId="1ffa">
    <w:name w:val="تيتر1 نویÓå"/>
    <w:locked/>
    <w:rsid w:val="001153F1"/>
    <w:rPr>
      <w:rFonts w:eastAsia="Batang"/>
      <w:bCs/>
      <w:sz w:val="18"/>
      <w:szCs w:val="32"/>
      <w:lang w:eastAsia="ar-SA"/>
    </w:rPr>
  </w:style>
  <w:style w:type="paragraph" w:customStyle="1" w:styleId="TimesNewRomanPTBoldHeading">
    <w:name w:val="نمط (لاتيني) Times New Roman (العربية وغيرها) PT Bold Heading (..."/>
    <w:basedOn w:val="af"/>
    <w:rsid w:val="001153F1"/>
    <w:pPr>
      <w:widowControl/>
      <w:bidi w:val="0"/>
      <w:spacing w:line="240" w:lineRule="auto"/>
      <w:ind w:firstLine="0"/>
      <w:jc w:val="center"/>
    </w:pPr>
    <w:rPr>
      <w:rFonts w:ascii="Times New Roman" w:hAnsi="Times New Roman" w:cs="PT Bold Heading"/>
      <w:bCs/>
      <w:noProof/>
      <w:sz w:val="54"/>
      <w:szCs w:val="56"/>
      <w:lang w:eastAsia="ar-SA"/>
    </w:rPr>
  </w:style>
  <w:style w:type="paragraph" w:customStyle="1" w:styleId="affffffffffff5">
    <w:name w:val="قرآن"/>
    <w:basedOn w:val="af"/>
    <w:link w:val="Charffff7"/>
    <w:rsid w:val="001153F1"/>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7">
    <w:name w:val="قرآن Char"/>
    <w:link w:val="affffffffffff5"/>
    <w:locked/>
    <w:rsid w:val="001153F1"/>
    <w:rPr>
      <w:rFonts w:ascii="Times New Roman" w:hAnsi="Times New Roman" w:cs="md_ameli"/>
      <w:b/>
      <w:bCs/>
      <w:sz w:val="30"/>
      <w:szCs w:val="32"/>
    </w:rPr>
  </w:style>
  <w:style w:type="character" w:customStyle="1" w:styleId="affffffffffff6">
    <w:name w:val="سياه عربي"/>
    <w:rsid w:val="001153F1"/>
    <w:rPr>
      <w:rFonts w:cs="Arabic11 BT"/>
      <w:bCs/>
      <w:sz w:val="32"/>
      <w:szCs w:val="32"/>
      <w:lang w:bidi="ar-SA"/>
    </w:rPr>
  </w:style>
  <w:style w:type="character" w:customStyle="1" w:styleId="affffffffffff7">
    <w:name w:val="حروف عربي در فارسي"/>
    <w:rsid w:val="001153F1"/>
    <w:rPr>
      <w:rFonts w:cs="md_ameli"/>
      <w:sz w:val="28"/>
      <w:szCs w:val="28"/>
      <w:lang w:bidi="ar-SA"/>
    </w:rPr>
  </w:style>
  <w:style w:type="paragraph" w:customStyle="1" w:styleId="affffffffffff8">
    <w:name w:val="نقل قول فارسي"/>
    <w:basedOn w:val="af"/>
    <w:link w:val="Charffff8"/>
    <w:rsid w:val="001153F1"/>
    <w:pPr>
      <w:spacing w:after="200" w:line="320" w:lineRule="exact"/>
      <w:ind w:left="851" w:firstLine="0"/>
      <w:jc w:val="lowKashida"/>
    </w:pPr>
    <w:rPr>
      <w:rFonts w:ascii="Times New Roman" w:hAnsi="Times New Roman" w:cs="B Yagut"/>
      <w:kern w:val="2050"/>
      <w:sz w:val="22"/>
      <w:szCs w:val="22"/>
    </w:rPr>
  </w:style>
  <w:style w:type="character" w:customStyle="1" w:styleId="Charffff8">
    <w:name w:val="نقل قول فارسي Char"/>
    <w:link w:val="affffffffffff8"/>
    <w:locked/>
    <w:rsid w:val="001153F1"/>
    <w:rPr>
      <w:rFonts w:ascii="Times New Roman" w:hAnsi="Times New Roman" w:cs="B Yagut"/>
      <w:kern w:val="2050"/>
      <w:sz w:val="22"/>
      <w:szCs w:val="22"/>
    </w:rPr>
  </w:style>
  <w:style w:type="paragraph" w:customStyle="1" w:styleId="affffffffffff9">
    <w:name w:val="نقل قول عربي"/>
    <w:basedOn w:val="af"/>
    <w:link w:val="affffffffffffa"/>
    <w:rsid w:val="001153F1"/>
    <w:pPr>
      <w:spacing w:line="500" w:lineRule="exact"/>
      <w:ind w:left="851" w:firstLine="0"/>
      <w:jc w:val="lowKashida"/>
    </w:pPr>
    <w:rPr>
      <w:rFonts w:ascii="Tahoma" w:hAnsi="Tahoma" w:cs="Abz-2 (Badr)"/>
      <w:b/>
      <w:bCs/>
      <w:kern w:val="2050"/>
      <w:sz w:val="30"/>
      <w:szCs w:val="30"/>
    </w:rPr>
  </w:style>
  <w:style w:type="character" w:customStyle="1" w:styleId="affffffffffffa">
    <w:name w:val="نقل قول عربي نویسه"/>
    <w:link w:val="affffffffffff9"/>
    <w:locked/>
    <w:rsid w:val="001153F1"/>
    <w:rPr>
      <w:rFonts w:ascii="Tahoma" w:hAnsi="Tahoma" w:cs="Abz-2 (Badr)"/>
      <w:b/>
      <w:bCs/>
      <w:kern w:val="2050"/>
      <w:sz w:val="30"/>
      <w:szCs w:val="30"/>
    </w:rPr>
  </w:style>
  <w:style w:type="character" w:customStyle="1" w:styleId="affffffffffffb">
    <w:name w:val="سياه فارسي"/>
    <w:rsid w:val="001153F1"/>
    <w:rPr>
      <w:rFonts w:cs="md_ameli"/>
      <w:bCs/>
      <w:sz w:val="27"/>
      <w:szCs w:val="27"/>
      <w:lang w:bidi="ar-SA"/>
    </w:rPr>
  </w:style>
  <w:style w:type="paragraph" w:customStyle="1" w:styleId="affffffffffffc">
    <w:name w:val="نام مقالات"/>
    <w:basedOn w:val="14"/>
    <w:link w:val="Charffff9"/>
    <w:rsid w:val="001153F1"/>
    <w:pPr>
      <w:widowControl w:val="0"/>
      <w:autoSpaceDE/>
      <w:autoSpaceDN/>
      <w:spacing w:line="240" w:lineRule="auto"/>
      <w:ind w:firstLine="454"/>
      <w:jc w:val="center"/>
    </w:pPr>
    <w:rPr>
      <w:rFonts w:cs="Arabic Transparent"/>
      <w:sz w:val="22"/>
      <w:szCs w:val="40"/>
      <w:lang w:eastAsia="en-US"/>
    </w:rPr>
  </w:style>
  <w:style w:type="character" w:customStyle="1" w:styleId="Charffff9">
    <w:name w:val="نام مقالات Char"/>
    <w:link w:val="affffffffffffc"/>
    <w:locked/>
    <w:rsid w:val="001153F1"/>
    <w:rPr>
      <w:rFonts w:ascii="Times New Roman" w:hAnsi="Times New Roman" w:cs="Arabic Transparent"/>
      <w:bCs/>
      <w:sz w:val="22"/>
      <w:szCs w:val="40"/>
    </w:rPr>
  </w:style>
  <w:style w:type="paragraph" w:customStyle="1" w:styleId="affffffffffffd">
    <w:name w:val="فصلها"/>
    <w:basedOn w:val="affffffffffffc"/>
    <w:link w:val="Charffffa"/>
    <w:rsid w:val="001153F1"/>
    <w:pPr>
      <w:spacing w:line="480" w:lineRule="auto"/>
      <w:ind w:firstLine="0"/>
    </w:pPr>
    <w:rPr>
      <w:rFonts w:cs="Abz-2 (Badr)"/>
      <w:szCs w:val="56"/>
      <w:lang w:bidi="fa-IR"/>
    </w:rPr>
  </w:style>
  <w:style w:type="character" w:customStyle="1" w:styleId="Charffffa">
    <w:name w:val="فصلها Char"/>
    <w:link w:val="affffffffffffd"/>
    <w:locked/>
    <w:rsid w:val="001153F1"/>
    <w:rPr>
      <w:rFonts w:ascii="Times New Roman" w:hAnsi="Times New Roman" w:cs="Abz-2 (Badr)"/>
      <w:bCs/>
      <w:sz w:val="22"/>
      <w:szCs w:val="56"/>
      <w:lang w:bidi="fa-IR"/>
    </w:rPr>
  </w:style>
  <w:style w:type="character" w:customStyle="1" w:styleId="affffffffffffe">
    <w:name w:val="سياه حروف عربي در پاروقي فارسي"/>
    <w:rsid w:val="001153F1"/>
    <w:rPr>
      <w:rFonts w:cs="md_ameli"/>
      <w:bCs/>
      <w:sz w:val="20"/>
      <w:szCs w:val="20"/>
      <w:lang w:bidi="ar-SA"/>
    </w:rPr>
  </w:style>
  <w:style w:type="paragraph" w:customStyle="1" w:styleId="afffffffffffff">
    <w:name w:val="مقدمه"/>
    <w:basedOn w:val="af"/>
    <w:rsid w:val="001153F1"/>
    <w:pPr>
      <w:spacing w:line="240" w:lineRule="auto"/>
      <w:ind w:left="1418" w:firstLine="0"/>
      <w:jc w:val="lowKashida"/>
    </w:pPr>
    <w:rPr>
      <w:rFonts w:ascii="Times New Roman" w:hAnsi="Times New Roman" w:cs="Abz-2 (Badr)"/>
      <w:bCs/>
      <w:iCs/>
      <w:sz w:val="26"/>
      <w:szCs w:val="26"/>
    </w:rPr>
  </w:style>
  <w:style w:type="paragraph" w:customStyle="1" w:styleId="afffffffffffff0">
    <w:name w:val="مؤلفين"/>
    <w:basedOn w:val="af"/>
    <w:link w:val="Charffffb"/>
    <w:rsid w:val="001153F1"/>
    <w:pPr>
      <w:spacing w:line="240" w:lineRule="auto"/>
      <w:ind w:firstLine="0"/>
      <w:jc w:val="right"/>
    </w:pPr>
    <w:rPr>
      <w:rFonts w:ascii="Times New Roman" w:hAnsi="Times New Roman" w:cs="Abz-2 (Badr)"/>
      <w:bCs/>
      <w:szCs w:val="32"/>
    </w:rPr>
  </w:style>
  <w:style w:type="character" w:customStyle="1" w:styleId="Charffffb">
    <w:name w:val="مؤلفين Char"/>
    <w:link w:val="afffffffffffff0"/>
    <w:locked/>
    <w:rsid w:val="001153F1"/>
    <w:rPr>
      <w:rFonts w:ascii="Times New Roman" w:hAnsi="Times New Roman" w:cs="Abz-2 (Badr)"/>
      <w:bCs/>
      <w:sz w:val="28"/>
      <w:szCs w:val="32"/>
    </w:rPr>
  </w:style>
  <w:style w:type="character" w:customStyle="1" w:styleId="afffffffffffff1">
    <w:name w:val="حروف عربي در پاورقي فارسي"/>
    <w:rsid w:val="001153F1"/>
    <w:rPr>
      <w:rFonts w:ascii="Times New Roman" w:hAnsi="Times New Roman" w:cs="md_ameli"/>
      <w:bCs/>
      <w:sz w:val="20"/>
      <w:szCs w:val="20"/>
      <w:lang w:bidi="ar-SA"/>
    </w:rPr>
  </w:style>
  <w:style w:type="paragraph" w:customStyle="1" w:styleId="afffffffffffff2">
    <w:name w:val="انگليسي"/>
    <w:basedOn w:val="af"/>
    <w:rsid w:val="001153F1"/>
    <w:pPr>
      <w:spacing w:line="240" w:lineRule="auto"/>
      <w:ind w:firstLine="454"/>
      <w:jc w:val="right"/>
    </w:pPr>
    <w:rPr>
      <w:rFonts w:ascii="Times New Roman" w:hAnsi="Times New Roman" w:cs="Abz-2 (Badr)"/>
      <w:sz w:val="26"/>
      <w:szCs w:val="32"/>
      <w:lang w:bidi="fa-IR"/>
    </w:rPr>
  </w:style>
  <w:style w:type="paragraph" w:customStyle="1" w:styleId="afffffffffffff3">
    <w:name w:val="نقل فارسى"/>
    <w:link w:val="afffffffffffff4"/>
    <w:semiHidden/>
    <w:rsid w:val="001153F1"/>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4">
    <w:name w:val="نقل فارسى نویسه"/>
    <w:link w:val="afffffffffffff3"/>
    <w:semiHidden/>
    <w:locked/>
    <w:rsid w:val="001153F1"/>
    <w:rPr>
      <w:rFonts w:ascii="Times New Roman" w:hAnsi="Times New Roman" w:cs="Times New Roman"/>
      <w:bCs/>
      <w:sz w:val="24"/>
      <w:szCs w:val="28"/>
    </w:rPr>
  </w:style>
  <w:style w:type="paragraph" w:customStyle="1" w:styleId="afffffffffffff5">
    <w:name w:val="سوال"/>
    <w:basedOn w:val="af"/>
    <w:link w:val="Charffffc"/>
    <w:rsid w:val="001153F1"/>
    <w:pPr>
      <w:spacing w:line="240" w:lineRule="auto"/>
      <w:ind w:left="1134" w:firstLine="0"/>
      <w:jc w:val="lowKashida"/>
    </w:pPr>
    <w:rPr>
      <w:rFonts w:ascii="Times New Roman" w:hAnsi="Times New Roman" w:cs="B Nazanin"/>
      <w:bCs/>
      <w:sz w:val="22"/>
      <w:szCs w:val="25"/>
    </w:rPr>
  </w:style>
  <w:style w:type="character" w:customStyle="1" w:styleId="Charffffc">
    <w:name w:val="سوال Char"/>
    <w:link w:val="afffffffffffff5"/>
    <w:locked/>
    <w:rsid w:val="001153F1"/>
    <w:rPr>
      <w:rFonts w:ascii="Times New Roman" w:hAnsi="Times New Roman" w:cs="B Nazanin"/>
      <w:bCs/>
      <w:sz w:val="22"/>
      <w:szCs w:val="25"/>
    </w:rPr>
  </w:style>
  <w:style w:type="paragraph" w:customStyle="1" w:styleId="afffffffffffff6">
    <w:name w:val="مخفي"/>
    <w:basedOn w:val="affffffffffffd"/>
    <w:rsid w:val="001153F1"/>
    <w:rPr>
      <w:vanish/>
    </w:rPr>
  </w:style>
  <w:style w:type="paragraph" w:customStyle="1" w:styleId="afffffffffffff7">
    <w:name w:val="شماره فصل"/>
    <w:basedOn w:val="affffffffffffd"/>
    <w:rsid w:val="001153F1"/>
    <w:pPr>
      <w:ind w:firstLine="720"/>
      <w:jc w:val="left"/>
    </w:pPr>
    <w:rPr>
      <w:rFonts w:cs="B Esfehan"/>
      <w:szCs w:val="32"/>
    </w:rPr>
  </w:style>
  <w:style w:type="paragraph" w:customStyle="1" w:styleId="afffffffffffff8">
    <w:name w:val="پـاصـفحه"/>
    <w:rsid w:val="001153F1"/>
    <w:pPr>
      <w:autoSpaceDE w:val="0"/>
      <w:autoSpaceDN w:val="0"/>
      <w:bidi/>
      <w:spacing w:line="168" w:lineRule="atLeast"/>
      <w:ind w:right="452"/>
      <w:jc w:val="both"/>
    </w:pPr>
    <w:rPr>
      <w:rFonts w:ascii="Times New Roman" w:hAnsi="Times New Roman" w:cs="Times New Roman"/>
      <w:sz w:val="24"/>
      <w:szCs w:val="22"/>
    </w:rPr>
  </w:style>
  <w:style w:type="paragraph" w:customStyle="1" w:styleId="1ffb">
    <w:name w:val="العنوان1"/>
    <w:rsid w:val="001153F1"/>
    <w:pPr>
      <w:autoSpaceDE w:val="0"/>
      <w:autoSpaceDN w:val="0"/>
      <w:bidi/>
      <w:spacing w:line="433" w:lineRule="atLeast"/>
      <w:jc w:val="center"/>
    </w:pPr>
    <w:rPr>
      <w:rFonts w:ascii="Times New Roman" w:hAnsi="Times New Roman" w:cs="Abz-2 (Badr)"/>
      <w:bCs/>
      <w:sz w:val="24"/>
      <w:szCs w:val="22"/>
    </w:rPr>
  </w:style>
  <w:style w:type="paragraph" w:customStyle="1" w:styleId="afffffffffffff9">
    <w:name w:val="پاورقى"/>
    <w:rsid w:val="001153F1"/>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1153F1"/>
    <w:rPr>
      <w:rFonts w:cs="Times New Roman"/>
    </w:rPr>
  </w:style>
  <w:style w:type="numbering" w:customStyle="1" w:styleId="fgdsgfdfd">
    <w:name w:val="fgdsgfdfd"/>
    <w:rsid w:val="001153F1"/>
    <w:pPr>
      <w:numPr>
        <w:numId w:val="25"/>
      </w:numPr>
    </w:pPr>
  </w:style>
  <w:style w:type="numbering" w:customStyle="1" w:styleId="a1">
    <w:name w:val="الترقيم الحـــرفي"/>
    <w:rsid w:val="001153F1"/>
    <w:pPr>
      <w:numPr>
        <w:numId w:val="16"/>
      </w:numPr>
    </w:pPr>
  </w:style>
  <w:style w:type="numbering" w:customStyle="1" w:styleId="ggsdfkfgsdgg">
    <w:name w:val="ggsdfkfgsdgg"/>
    <w:rsid w:val="001153F1"/>
    <w:pPr>
      <w:numPr>
        <w:numId w:val="22"/>
      </w:numPr>
    </w:pPr>
  </w:style>
  <w:style w:type="numbering" w:customStyle="1" w:styleId="dgjhg">
    <w:name w:val="dgjhg"/>
    <w:rsid w:val="001153F1"/>
  </w:style>
  <w:style w:type="numbering" w:customStyle="1" w:styleId="a2">
    <w:name w:val="التررررقيم العددي"/>
    <w:rsid w:val="001153F1"/>
    <w:pPr>
      <w:numPr>
        <w:numId w:val="17"/>
      </w:numPr>
    </w:pPr>
  </w:style>
  <w:style w:type="numbering" w:customStyle="1" w:styleId="ArticleSection1">
    <w:name w:val="Article / Section1"/>
    <w:rsid w:val="001153F1"/>
    <w:pPr>
      <w:numPr>
        <w:numId w:val="32"/>
      </w:numPr>
    </w:pPr>
  </w:style>
  <w:style w:type="numbering" w:customStyle="1" w:styleId="a5">
    <w:name w:val="بسي"/>
    <w:rsid w:val="001153F1"/>
    <w:pPr>
      <w:numPr>
        <w:numId w:val="29"/>
      </w:numPr>
    </w:pPr>
  </w:style>
  <w:style w:type="numbering" w:customStyle="1" w:styleId="a6">
    <w:name w:val="ليباتليبت"/>
    <w:rsid w:val="001153F1"/>
    <w:pPr>
      <w:numPr>
        <w:numId w:val="20"/>
      </w:numPr>
    </w:pPr>
  </w:style>
  <w:style w:type="numbering" w:customStyle="1" w:styleId="a7">
    <w:name w:val="بسيب"/>
    <w:rsid w:val="001153F1"/>
    <w:pPr>
      <w:numPr>
        <w:numId w:val="27"/>
      </w:numPr>
    </w:pPr>
  </w:style>
  <w:style w:type="numbering" w:customStyle="1" w:styleId="a8">
    <w:name w:val="الترقيم الحرفي الضـمني"/>
    <w:rsid w:val="001153F1"/>
    <w:pPr>
      <w:numPr>
        <w:numId w:val="15"/>
      </w:numPr>
    </w:pPr>
  </w:style>
  <w:style w:type="numbering" w:customStyle="1" w:styleId="a9">
    <w:name w:val="لاالبتنمبلتن"/>
    <w:rsid w:val="001153F1"/>
    <w:pPr>
      <w:numPr>
        <w:numId w:val="26"/>
      </w:numPr>
    </w:pPr>
  </w:style>
  <w:style w:type="numbering" w:customStyle="1" w:styleId="aa">
    <w:name w:val="بيسي"/>
    <w:rsid w:val="001153F1"/>
    <w:pPr>
      <w:numPr>
        <w:numId w:val="30"/>
      </w:numPr>
    </w:pPr>
  </w:style>
  <w:style w:type="numbering" w:customStyle="1" w:styleId="ab">
    <w:name w:val="ب"/>
    <w:rsid w:val="001153F1"/>
    <w:pPr>
      <w:numPr>
        <w:numId w:val="28"/>
      </w:numPr>
    </w:pPr>
  </w:style>
  <w:style w:type="numbering" w:customStyle="1" w:styleId="ghf">
    <w:name w:val="ghf"/>
    <w:rsid w:val="001153F1"/>
    <w:pPr>
      <w:numPr>
        <w:numId w:val="23"/>
      </w:numPr>
    </w:pPr>
  </w:style>
  <w:style w:type="numbering" w:customStyle="1" w:styleId="ac">
    <w:name w:val="الترقيم الحرفـي"/>
    <w:rsid w:val="001153F1"/>
    <w:pPr>
      <w:numPr>
        <w:numId w:val="14"/>
      </w:numPr>
    </w:pPr>
  </w:style>
  <w:style w:type="numbering" w:customStyle="1" w:styleId="ad">
    <w:name w:val="بيشسيب"/>
    <w:rsid w:val="001153F1"/>
    <w:pPr>
      <w:numPr>
        <w:numId w:val="31"/>
      </w:numPr>
    </w:pPr>
  </w:style>
  <w:style w:type="numbering" w:customStyle="1" w:styleId="jdhgdfjkghkdll">
    <w:name w:val="jdhgdfjkghkdll"/>
    <w:rsid w:val="001153F1"/>
    <w:pPr>
      <w:numPr>
        <w:numId w:val="18"/>
      </w:numPr>
    </w:pPr>
  </w:style>
  <w:style w:type="numbering" w:customStyle="1" w:styleId="gfdjkhjl">
    <w:name w:val="gfdjkhjl"/>
    <w:rsid w:val="001153F1"/>
    <w:pPr>
      <w:numPr>
        <w:numId w:val="24"/>
      </w:numPr>
    </w:pPr>
  </w:style>
  <w:style w:type="numbering" w:customStyle="1" w:styleId="hgfghfgkfj">
    <w:name w:val="hgfghfgkfj"/>
    <w:rsid w:val="001153F1"/>
    <w:pPr>
      <w:numPr>
        <w:numId w:val="19"/>
      </w:numPr>
    </w:pPr>
  </w:style>
  <w:style w:type="numbering" w:customStyle="1" w:styleId="ae">
    <w:name w:val="التلعتالتنم"/>
    <w:rsid w:val="001153F1"/>
    <w:pPr>
      <w:numPr>
        <w:numId w:val="21"/>
      </w:numPr>
    </w:pPr>
  </w:style>
  <w:style w:type="paragraph" w:customStyle="1" w:styleId="Question0">
    <w:name w:val="Question"/>
    <w:basedOn w:val="af"/>
    <w:qFormat/>
    <w:rsid w:val="001153F1"/>
    <w:pPr>
      <w:spacing w:line="216" w:lineRule="auto"/>
      <w:ind w:firstLine="0"/>
    </w:pPr>
    <w:rPr>
      <w:rFonts w:ascii="Arial" w:hAnsi="Arial" w:cs="Mosawi"/>
      <w:bCs/>
      <w:color w:val="000000"/>
      <w:sz w:val="26"/>
      <w:szCs w:val="30"/>
    </w:rPr>
  </w:style>
  <w:style w:type="character" w:customStyle="1" w:styleId="SubtitleChar1">
    <w:name w:val="Subtitle Char1"/>
    <w:aliases w:val="الروایة Char1"/>
    <w:basedOn w:val="af0"/>
    <w:uiPriority w:val="11"/>
    <w:rsid w:val="001153F1"/>
    <w:rPr>
      <w:rFonts w:asciiTheme="minorHAnsi" w:eastAsiaTheme="minorEastAsia" w:hAnsiTheme="minorHAnsi" w:cstheme="minorBidi"/>
      <w:color w:val="5A5A5A" w:themeColor="text1" w:themeTint="A5"/>
      <w:spacing w:val="15"/>
      <w:sz w:val="22"/>
      <w:szCs w:val="22"/>
    </w:rPr>
  </w:style>
  <w:style w:type="paragraph" w:customStyle="1" w:styleId="Space084">
    <w:name w:val="Space 0.84"/>
    <w:basedOn w:val="af"/>
    <w:qFormat/>
    <w:rsid w:val="001153F1"/>
    <w:pPr>
      <w:spacing w:line="202" w:lineRule="auto"/>
      <w:ind w:firstLine="284"/>
    </w:pPr>
    <w:rPr>
      <w:rFonts w:cs="Mosawi"/>
      <w:szCs w:val="30"/>
    </w:rPr>
  </w:style>
  <w:style w:type="table" w:customStyle="1" w:styleId="1ffc">
    <w:name w:val="شبكة جدول1"/>
    <w:basedOn w:val="af1"/>
    <w:next w:val="afa"/>
    <w:rsid w:val="00703D64"/>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A736D7"/>
    <w:pPr>
      <w:widowControl w:val="0"/>
      <w:bidi/>
      <w:spacing w:line="400" w:lineRule="exact"/>
      <w:ind w:firstLine="567"/>
      <w:jc w:val="both"/>
    </w:pPr>
    <w:rPr>
      <w:rFonts w:ascii="Times" w:hAnsi="Times" w:cs="AL-Mohanad"/>
      <w:sz w:val="28"/>
      <w:szCs w:val="27"/>
    </w:rPr>
  </w:style>
  <w:style w:type="paragraph" w:styleId="11">
    <w:name w:val="heading 1"/>
    <w:aliases w:val="Heading 2 Char1,Char Char Char Char,شعر,1-المباحث,normal"/>
    <w:basedOn w:val="af"/>
    <w:next w:val="af"/>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f"/>
    <w:next w:val="af"/>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aliases w:val="3-البحث"/>
    <w:basedOn w:val="af"/>
    <w:next w:val="af"/>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aliases w:val="سلطان بولد15.5,4-عام"/>
    <w:basedOn w:val="af"/>
    <w:next w:val="af"/>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aliases w:val="عنوان 99,99-موسع"/>
    <w:basedOn w:val="af"/>
    <w:next w:val="af"/>
    <w:link w:val="5Char"/>
    <w:uiPriority w:val="9"/>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aliases w:val="5_موسع"/>
    <w:basedOn w:val="af"/>
    <w:next w:val="af"/>
    <w:link w:val="6Char"/>
    <w:uiPriority w:val="9"/>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f"/>
    <w:next w:val="af"/>
    <w:link w:val="7Char"/>
    <w:uiPriority w:val="9"/>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f"/>
    <w:next w:val="af"/>
    <w:link w:val="8Char"/>
    <w:uiPriority w:val="9"/>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f"/>
    <w:next w:val="af"/>
    <w:link w:val="9Char"/>
    <w:uiPriority w:val="9"/>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Heading 2 Char1 Char,Char Char Char Char Char,شعر Char,1-المباحث Char,normal Char"/>
    <w:link w:val="11"/>
    <w:uiPriority w:val="9"/>
    <w:rsid w:val="002647C9"/>
    <w:rPr>
      <w:rFonts w:ascii="Times" w:eastAsia="Times New Roman" w:hAnsi="Times" w:cs="AL-Mateen"/>
      <w:b/>
      <w:sz w:val="32"/>
      <w:szCs w:val="48"/>
    </w:rPr>
  </w:style>
  <w:style w:type="character" w:customStyle="1" w:styleId="2Char">
    <w:name w:val="عنوان 2 Char"/>
    <w:aliases w:val="2-المبحث Char"/>
    <w:link w:val="20"/>
    <w:uiPriority w:val="9"/>
    <w:rsid w:val="002647C9"/>
    <w:rPr>
      <w:rFonts w:ascii="Times" w:eastAsia="Times New Roman" w:hAnsi="Times" w:cs="AL-Mateen"/>
      <w:color w:val="000000"/>
      <w:sz w:val="28"/>
      <w:szCs w:val="32"/>
    </w:rPr>
  </w:style>
  <w:style w:type="character" w:customStyle="1" w:styleId="3Char">
    <w:name w:val="عنوان 3 Char"/>
    <w:aliases w:val="3-البحث Char"/>
    <w:link w:val="31"/>
    <w:uiPriority w:val="9"/>
    <w:rsid w:val="00EB28AD"/>
    <w:rPr>
      <w:rFonts w:ascii="Times" w:eastAsia="Times New Roman" w:hAnsi="Times" w:cs="Abz-3 (Yagut)"/>
      <w:bCs/>
      <w:color w:val="000000"/>
      <w:sz w:val="28"/>
      <w:szCs w:val="26"/>
    </w:rPr>
  </w:style>
  <w:style w:type="paragraph" w:customStyle="1" w:styleId="Author">
    <w:name w:val="Author"/>
    <w:basedOn w:val="af"/>
    <w:qFormat/>
    <w:rsid w:val="002647C9"/>
    <w:pPr>
      <w:spacing w:line="192" w:lineRule="auto"/>
      <w:ind w:firstLine="0"/>
      <w:jc w:val="right"/>
    </w:pPr>
    <w:rPr>
      <w:rFonts w:cs="Ya-Ali"/>
      <w:szCs w:val="30"/>
    </w:rPr>
  </w:style>
  <w:style w:type="character" w:styleId="af3">
    <w:name w:val="Strong"/>
    <w:uiPriority w:val="22"/>
    <w:qFormat/>
    <w:rsid w:val="003878B2"/>
    <w:rPr>
      <w:rFonts w:ascii="Times" w:hAnsi="Times" w:cs="Mosawi"/>
      <w:b/>
      <w:bCs w:val="0"/>
      <w:i w:val="0"/>
      <w:iCs w:val="0"/>
      <w:sz w:val="24"/>
      <w:szCs w:val="27"/>
    </w:rPr>
  </w:style>
  <w:style w:type="paragraph" w:styleId="af4">
    <w:name w:val="header"/>
    <w:basedOn w:val="af"/>
    <w:link w:val="Char"/>
    <w:uiPriority w:val="99"/>
    <w:unhideWhenUsed/>
    <w:rsid w:val="00E63D8A"/>
    <w:pPr>
      <w:tabs>
        <w:tab w:val="center" w:pos="4680"/>
        <w:tab w:val="right" w:pos="9360"/>
      </w:tabs>
      <w:spacing w:line="240" w:lineRule="auto"/>
    </w:pPr>
  </w:style>
  <w:style w:type="character" w:customStyle="1" w:styleId="Char">
    <w:name w:val="رأس الصفحة Char"/>
    <w:link w:val="af4"/>
    <w:uiPriority w:val="99"/>
    <w:rsid w:val="00E63D8A"/>
    <w:rPr>
      <w:rFonts w:ascii="Times" w:hAnsi="Times" w:cs="Mosawi"/>
      <w:sz w:val="28"/>
      <w:szCs w:val="30"/>
    </w:rPr>
  </w:style>
  <w:style w:type="paragraph" w:styleId="af5">
    <w:name w:val="footer"/>
    <w:basedOn w:val="af"/>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f5"/>
    <w:uiPriority w:val="99"/>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16440C"/>
    <w:pPr>
      <w:spacing w:line="240" w:lineRule="auto"/>
    </w:pPr>
    <w:rPr>
      <w:sz w:val="20"/>
      <w:szCs w:val="20"/>
    </w:rPr>
  </w:style>
  <w:style w:type="character" w:customStyle="1" w:styleId="Char2">
    <w:name w:val="نص تعليق ختامي Char"/>
    <w:link w:val="af7"/>
    <w:uiPriority w:val="99"/>
    <w:rsid w:val="0016440C"/>
    <w:rPr>
      <w:rFonts w:ascii="Times" w:hAnsi="Times" w:cs="Mosawi"/>
      <w:sz w:val="20"/>
      <w:szCs w:val="20"/>
    </w:rPr>
  </w:style>
  <w:style w:type="character" w:styleId="af8">
    <w:name w:val="footnote reference"/>
    <w:aliases w:val="حاشية سفلية,Footnote Reference1,Footnote Reference2,Footnote Reference11,Footnote Reference21,Footnote Reference12,Footnote Reference22,Footnote Reference13,Footnote Reference23,Footnote Reference111,Footnote Reference211"/>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3"/>
    <w:unhideWhenUsed/>
    <w:rsid w:val="00564F6B"/>
    <w:pPr>
      <w:spacing w:line="240" w:lineRule="auto"/>
    </w:pPr>
    <w:rPr>
      <w:rFonts w:ascii="Consolas" w:hAnsi="Consolas"/>
      <w:sz w:val="21"/>
      <w:szCs w:val="21"/>
    </w:rPr>
  </w:style>
  <w:style w:type="character" w:customStyle="1" w:styleId="Char3">
    <w:name w:val="نص عادي Char"/>
    <w:link w:val="afd"/>
    <w:rsid w:val="00564F6B"/>
    <w:rPr>
      <w:rFonts w:ascii="Consolas" w:hAnsi="Consolas" w:cs="AL-Mohanad"/>
      <w:sz w:val="21"/>
      <w:szCs w:val="21"/>
    </w:rPr>
  </w:style>
  <w:style w:type="paragraph" w:styleId="afe">
    <w:name w:val="List Paragraph"/>
    <w:aliases w:val="5-موسع"/>
    <w:basedOn w:val="af"/>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aliases w:val="سلطان بولد15.5 Char1,4-عام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uiPriority w:val="9"/>
    <w:rsid w:val="00801478"/>
    <w:rPr>
      <w:rFonts w:ascii="Times New Roman" w:eastAsia="Times New Roman" w:hAnsi="Times New Roman" w:cs="Traditional Arabic"/>
      <w:sz w:val="30"/>
      <w:szCs w:val="2"/>
    </w:rPr>
  </w:style>
  <w:style w:type="character" w:customStyle="1" w:styleId="8Char">
    <w:name w:val="عنوان 8 Char"/>
    <w:link w:val="8"/>
    <w:uiPriority w:val="9"/>
    <w:rsid w:val="00801478"/>
    <w:rPr>
      <w:rFonts w:ascii="Times New Roman" w:eastAsia="Times New Roman" w:hAnsi="Times New Roman" w:cs="Simplified Arabic"/>
      <w:b/>
      <w:bCs/>
      <w:sz w:val="28"/>
      <w:szCs w:val="28"/>
    </w:rPr>
  </w:style>
  <w:style w:type="character" w:customStyle="1" w:styleId="9Char">
    <w:name w:val="عنوان 9 Char"/>
    <w:link w:val="9"/>
    <w:uiPriority w:val="9"/>
    <w:rsid w:val="00801478"/>
    <w:rPr>
      <w:rFonts w:ascii="Times New Roman" w:eastAsia="Times New Roman" w:hAnsi="Times New Roman" w:cs="Simplified Arabic"/>
      <w:b/>
      <w:bCs/>
      <w:sz w:val="28"/>
      <w:szCs w:val="28"/>
    </w:rPr>
  </w:style>
  <w:style w:type="paragraph" w:styleId="aff">
    <w:name w:val="Title"/>
    <w:aliases w:val="Author Name,سلطان بولد14,شاه کلیدها"/>
    <w:basedOn w:val="af"/>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سلطان بولد14 Char,شاه کلیدها Char"/>
    <w:link w:val="aff"/>
    <w:rsid w:val="00801478"/>
    <w:rPr>
      <w:rFonts w:ascii="Times New Roman" w:eastAsia="Times New Roman" w:hAnsi="Times New Roman" w:cs="PT Bold Broken"/>
      <w:b/>
      <w:bCs/>
      <w:sz w:val="40"/>
      <w:szCs w:val="40"/>
      <w:lang w:eastAsia="ar-SA"/>
    </w:rPr>
  </w:style>
  <w:style w:type="paragraph" w:styleId="aff0">
    <w:name w:val="Body Text"/>
    <w:basedOn w:val="af"/>
    <w:link w:val="Char5"/>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2"/>
    <w:rsid w:val="00801478"/>
    <w:rPr>
      <w:rFonts w:ascii="Times New Roman" w:eastAsia="Times New Roman" w:hAnsi="Times New Roman" w:cs="Times New Roman"/>
      <w:bCs/>
      <w:sz w:val="24"/>
      <w:szCs w:val="28"/>
      <w:lang w:eastAsia="ar-SA"/>
    </w:rPr>
  </w:style>
  <w:style w:type="paragraph" w:customStyle="1" w:styleId="12">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2"/>
    <w:rsid w:val="00801478"/>
    <w:rPr>
      <w:rFonts w:ascii="Times New Roman" w:eastAsia="Times New Roman" w:hAnsi="Times New Roman" w:cs="Times New Roman"/>
      <w:sz w:val="24"/>
      <w:szCs w:val="28"/>
      <w:lang w:eastAsia="ar-SA"/>
    </w:rPr>
  </w:style>
  <w:style w:type="paragraph" w:styleId="aff3">
    <w:name w:val="Subtitle"/>
    <w:aliases w:val="الروایة"/>
    <w:basedOn w:val="af"/>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aliases w:val="الروایة Char"/>
    <w:link w:val="aff3"/>
    <w:uiPriority w:val="11"/>
    <w:rsid w:val="00801478"/>
    <w:rPr>
      <w:rFonts w:ascii="Times New Roman" w:eastAsia="Times New Roman" w:hAnsi="Times New Roman" w:cs="Traditional Arabic"/>
      <w:sz w:val="44"/>
      <w:szCs w:val="44"/>
      <w:lang w:eastAsia="ar-SA"/>
    </w:rPr>
  </w:style>
  <w:style w:type="paragraph" w:styleId="aff4">
    <w:name w:val="Balloon Text"/>
    <w:basedOn w:val="af"/>
    <w:link w:val="Char8"/>
    <w:uiPriority w:val="99"/>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f4"/>
    <w:uiPriority w:val="99"/>
    <w:rsid w:val="00801478"/>
    <w:rPr>
      <w:rFonts w:ascii="Tahoma" w:eastAsia="Times New Roman" w:hAnsi="Tahoma" w:cs="Tahoma"/>
      <w:sz w:val="16"/>
      <w:szCs w:val="16"/>
      <w:lang w:eastAsia="ar-SA"/>
    </w:rPr>
  </w:style>
  <w:style w:type="character" w:styleId="aff5">
    <w:name w:val="annotation reference"/>
    <w:uiPriority w:val="99"/>
    <w:rsid w:val="00801478"/>
    <w:rPr>
      <w:sz w:val="16"/>
      <w:szCs w:val="16"/>
    </w:rPr>
  </w:style>
  <w:style w:type="paragraph" w:styleId="aff6">
    <w:name w:val="annotation text"/>
    <w:basedOn w:val="af"/>
    <w:link w:val="Char9"/>
    <w:uiPriority w:val="9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f6"/>
    <w:uiPriority w:val="99"/>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a"/>
    <w:uiPriority w:val="99"/>
    <w:rsid w:val="00801478"/>
    <w:rPr>
      <w:b/>
      <w:bCs/>
    </w:rPr>
  </w:style>
  <w:style w:type="character" w:customStyle="1" w:styleId="Chara">
    <w:name w:val="موضوع تعليق Char"/>
    <w:link w:val="aff7"/>
    <w:uiPriority w:val="99"/>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f8"/>
    <w:autoRedefine/>
    <w:rsid w:val="00801478"/>
    <w:pPr>
      <w:jc w:val="left"/>
    </w:pPr>
    <w:rPr>
      <w:sz w:val="32"/>
      <w:szCs w:val="24"/>
    </w:rPr>
  </w:style>
  <w:style w:type="paragraph" w:customStyle="1" w:styleId="aff9">
    <w:name w:val="العنوان الجانبي"/>
    <w:basedOn w:val="20"/>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3">
    <w:name w:val="العنوان الجانبي1"/>
    <w:basedOn w:val="af"/>
    <w:link w:val="1Char1"/>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3"/>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3"/>
    <w:link w:val="Charb"/>
    <w:rsid w:val="00801478"/>
    <w:pPr>
      <w:spacing w:before="60"/>
    </w:pPr>
  </w:style>
  <w:style w:type="character" w:customStyle="1" w:styleId="Charb">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c"/>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d"/>
    <w:rsid w:val="00801478"/>
    <w:pPr>
      <w:spacing w:before="120"/>
    </w:pPr>
    <w:rPr>
      <w:lang w:eastAsia="en-US"/>
    </w:rPr>
  </w:style>
  <w:style w:type="character" w:customStyle="1" w:styleId="Chard">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e">
    <w:name w:val="عنوان المقال Char"/>
    <w:basedOn w:val="aff"/>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
    <w:next w:val="af"/>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
    <w:name w:val="toc 1"/>
    <w:basedOn w:val="af"/>
    <w:next w:val="af"/>
    <w:autoRedefine/>
    <w:uiPriority w:val="39"/>
    <w:qFormat/>
    <w:rsid w:val="003B2BFA"/>
    <w:pPr>
      <w:widowControl/>
      <w:numPr>
        <w:numId w:val="38"/>
      </w:numPr>
      <w:tabs>
        <w:tab w:val="right" w:leader="dot" w:pos="7020"/>
      </w:tabs>
      <w:spacing w:before="120" w:line="240" w:lineRule="auto"/>
      <w:ind w:left="357" w:hanging="357"/>
      <w:contextualSpacing/>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0"/>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1"/>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d"/>
    <w:autoRedefine/>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rsid w:val="00801478"/>
    <w:rPr>
      <w:szCs w:val="24"/>
    </w:rPr>
  </w:style>
  <w:style w:type="character" w:customStyle="1" w:styleId="13Char1">
    <w:name w:val="نمط نمط العنوان الجانبي الأساس + (لاتيني) ‏13 نقطة مضبوطة + (العر... Char"/>
    <w:link w:val="133"/>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4">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4"/>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f"/>
    <w:rsid w:val="00801478"/>
    <w:rPr>
      <w:rFonts w:ascii="Times New Roman" w:eastAsia="Times New Roman" w:hAnsi="Times New Roman" w:cs="Times New Roman"/>
      <w:color w:val="800000"/>
      <w:sz w:val="28"/>
      <w:szCs w:val="28"/>
    </w:rPr>
  </w:style>
  <w:style w:type="paragraph" w:styleId="22">
    <w:name w:val="Body Text Indent 2"/>
    <w:basedOn w:val="af"/>
    <w:link w:val="2Char0"/>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rsid w:val="00801478"/>
    <w:rPr>
      <w:rFonts w:ascii="Times New Roman" w:eastAsia="Times New Roman" w:hAnsi="Times New Roman" w:cs="Simplified Arabic"/>
      <w:b/>
      <w:bCs/>
      <w:color w:val="800000"/>
      <w:sz w:val="20"/>
      <w:szCs w:val="28"/>
    </w:rPr>
  </w:style>
  <w:style w:type="paragraph" w:styleId="23">
    <w:name w:val="Body Text 2"/>
    <w:basedOn w:val="af"/>
    <w:link w:val="2Char1"/>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uiPriority w:val="99"/>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qFormat/>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4">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szCs w:val="30"/>
      <w:lang w:eastAsia="ar-SA"/>
    </w:rPr>
  </w:style>
  <w:style w:type="paragraph" w:styleId="afff2">
    <w:name w:val="Document Map"/>
    <w:basedOn w:val="af"/>
    <w:link w:val="Charf0"/>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f2"/>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5">
    <w:name w:val="toc 2"/>
    <w:basedOn w:val="af"/>
    <w:next w:val="af"/>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e"/>
    <w:link w:val="Charf1"/>
    <w:rsid w:val="00801478"/>
    <w:pPr>
      <w:spacing w:line="418" w:lineRule="exact"/>
      <w:ind w:right="539"/>
    </w:pPr>
  </w:style>
  <w:style w:type="character" w:customStyle="1" w:styleId="Charf1">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f7">
    <w:name w:val="الآية"/>
    <w:basedOn w:val="aff2"/>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4"/>
    <w:rsid w:val="00801478"/>
    <w:rPr>
      <w:sz w:val="24"/>
      <w:szCs w:val="28"/>
    </w:rPr>
  </w:style>
  <w:style w:type="character" w:customStyle="1" w:styleId="Charf4">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f"/>
    <w:link w:val="2Char2"/>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1"/>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d"/>
    <w:rsid w:val="00801478"/>
    <w:rPr>
      <w:rFonts w:ascii="Calibri" w:eastAsia="Calibri" w:hAnsi="Calibri" w:cs="md_ameli"/>
      <w:sz w:val="24"/>
    </w:rPr>
  </w:style>
  <w:style w:type="paragraph" w:customStyle="1" w:styleId="afffe">
    <w:name w:val="خط الحاشية"/>
    <w:basedOn w:val="af6"/>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f"/>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2"/>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link w:val="28"/>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a"/>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b"/>
    <w:rsid w:val="00801478"/>
  </w:style>
  <w:style w:type="character" w:customStyle="1" w:styleId="Charfb">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c"/>
    <w:rsid w:val="00801478"/>
    <w:pPr>
      <w:jc w:val="right"/>
    </w:pPr>
  </w:style>
  <w:style w:type="character" w:customStyle="1" w:styleId="Charfc">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f7"/>
    <w:rsid w:val="00801478"/>
    <w:rPr>
      <w:rFonts w:ascii="Times New Roman" w:eastAsia="Times New Roman" w:hAnsi="Times New Roman" w:cs="SKR HEAD1"/>
      <w:sz w:val="6"/>
      <w:szCs w:val="32"/>
    </w:rPr>
  </w:style>
  <w:style w:type="character" w:customStyle="1" w:styleId="Charff">
    <w:name w:val="نص حاشية سفلية Char"/>
    <w:uiPriority w:val="99"/>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0"/>
    <w:rsid w:val="00801478"/>
    <w:rPr>
      <w:rFonts w:cs="Sultan Medium"/>
      <w:lang w:bidi="ar-IQ"/>
    </w:rPr>
  </w:style>
  <w:style w:type="character" w:customStyle="1" w:styleId="Charff0">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e"/>
    <w:link w:val="Charff1"/>
    <w:rsid w:val="00801478"/>
    <w:pPr>
      <w:spacing w:line="600" w:lineRule="exact"/>
      <w:jc w:val="center"/>
    </w:pPr>
    <w:rPr>
      <w:rFonts w:cs="SKR HEAD1"/>
      <w:noProof/>
      <w:spacing w:val="-4"/>
      <w:szCs w:val="48"/>
    </w:rPr>
  </w:style>
  <w:style w:type="paragraph" w:customStyle="1" w:styleId="afffff">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1"/>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f"/>
    <w:next w:val="af"/>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f2">
    <w:name w:val="line number"/>
    <w:basedOn w:val="af0"/>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rsid w:val="00801478"/>
    <w:rPr>
      <w:rFonts w:cs="Arial"/>
      <w:bCs/>
      <w:color w:val="000000"/>
      <w:szCs w:val="28"/>
    </w:rPr>
  </w:style>
  <w:style w:type="character" w:styleId="afffff5">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aliases w:val="علائم"/>
    <w:uiPriority w:val="20"/>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f5">
    <w:name w:val="List Bullet 2"/>
    <w:basedOn w:val="af"/>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2"/>
      </w:numPr>
    </w:pPr>
  </w:style>
  <w:style w:type="paragraph" w:styleId="affffffe">
    <w:name w:val="Body Text First Indent"/>
    <w:basedOn w:val="aff0"/>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d"/>
    <w:rsid w:val="00801478"/>
    <w:pPr>
      <w:widowControl/>
      <w:spacing w:before="240" w:after="120"/>
      <w:ind w:firstLine="0"/>
      <w:jc w:val="lowKashida"/>
    </w:pPr>
    <w:rPr>
      <w:rFonts w:ascii="Times New Roman" w:hAnsi="Times New Roman" w:cs="Ya-Ali"/>
      <w:sz w:val="36"/>
      <w:szCs w:val="36"/>
    </w:rPr>
  </w:style>
  <w:style w:type="paragraph" w:customStyle="1" w:styleId="afffffff4">
    <w:name w:val="متن أساسي مهم"/>
    <w:basedOn w:val="af"/>
    <w:link w:val="Charffe"/>
    <w:rsid w:val="00801478"/>
    <w:pPr>
      <w:ind w:firstLine="288"/>
      <w:jc w:val="lowKashida"/>
    </w:pPr>
    <w:rPr>
      <w:rFonts w:ascii="Times New Roman" w:hAnsi="Times New Roman" w:cs="Abz-3 (Yagut)"/>
      <w:szCs w:val="28"/>
    </w:rPr>
  </w:style>
  <w:style w:type="character" w:customStyle="1" w:styleId="Charffd">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
    <w:rsid w:val="00801478"/>
    <w:pPr>
      <w:ind w:firstLine="288"/>
      <w:jc w:val="lowKashida"/>
    </w:pPr>
    <w:rPr>
      <w:rFonts w:cs="A Lotus"/>
    </w:rPr>
  </w:style>
  <w:style w:type="character" w:customStyle="1" w:styleId="Charfff">
    <w:name w:val="سبيسلبسبيببيس Char"/>
    <w:link w:val="afffffff5"/>
    <w:rsid w:val="00801478"/>
    <w:rPr>
      <w:rFonts w:ascii="Times New Roman" w:eastAsia="Times New Roman" w:hAnsi="Times New Roman" w:cs="A Lotus"/>
      <w:sz w:val="28"/>
      <w:szCs w:val="28"/>
    </w:rPr>
  </w:style>
  <w:style w:type="character" w:customStyle="1" w:styleId="Charffe">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0"/>
    <w:rsid w:val="00801478"/>
    <w:rPr>
      <w:sz w:val="26"/>
      <w:szCs w:val="24"/>
    </w:rPr>
  </w:style>
  <w:style w:type="paragraph" w:customStyle="1" w:styleId="afffffff7">
    <w:name w:val="لوتوس اسود"/>
    <w:basedOn w:val="af"/>
    <w:link w:val="Charfff1"/>
    <w:rsid w:val="00801478"/>
    <w:pPr>
      <w:spacing w:line="240" w:lineRule="auto"/>
      <w:ind w:firstLine="432"/>
    </w:pPr>
    <w:rPr>
      <w:rFonts w:ascii="Yagut-s" w:hAnsi="Yagut-s" w:cs="لوتوس"/>
      <w:b/>
      <w:bCs/>
      <w:sz w:val="32"/>
      <w:szCs w:val="30"/>
    </w:rPr>
  </w:style>
  <w:style w:type="character" w:customStyle="1" w:styleId="Charfff1">
    <w:name w:val="لوتوس اسود Char"/>
    <w:link w:val="afffffff7"/>
    <w:rsid w:val="00801478"/>
    <w:rPr>
      <w:rFonts w:ascii="Yagut-s" w:eastAsia="Times New Roman" w:hAnsi="Yagut-s" w:cs="لوتوس"/>
      <w:b/>
      <w:bCs/>
      <w:sz w:val="32"/>
      <w:szCs w:val="30"/>
    </w:rPr>
  </w:style>
  <w:style w:type="character" w:customStyle="1" w:styleId="Charfff0">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f6"/>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B Nazanin"/>
      <w:sz w:val="24"/>
      <w:szCs w:val="24"/>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e">
    <w:name w:val="تيتر"/>
    <w:basedOn w:val="1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f"/>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f"/>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2">
    <w:name w:val="عنوان Char"/>
    <w:basedOn w:val="af"/>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2"/>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f"/>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3"/>
    <w:link w:val="2CharCharCharCharChar"/>
    <w:uiPriority w:val="99"/>
    <w:rsid w:val="008E1DD2"/>
    <w:pPr>
      <w:spacing w:before="180" w:after="120"/>
      <w:ind w:firstLine="0"/>
    </w:pPr>
    <w:rPr>
      <w:rFonts w:cs="AL-Mohanad"/>
      <w:szCs w:val="26"/>
    </w:rPr>
  </w:style>
  <w:style w:type="paragraph" w:customStyle="1" w:styleId="Charfff3">
    <w:name w:val="النص Char"/>
    <w:basedOn w:val="af"/>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f"/>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2"/>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f"/>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f"/>
    <w:next w:val="af"/>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3"/>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f"/>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f">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f8"/>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d"/>
    <w:uiPriority w:val="99"/>
    <w:rsid w:val="008E1DD2"/>
    <w:pPr>
      <w:spacing w:before="80"/>
      <w:ind w:firstLine="454"/>
      <w:jc w:val="lowKashida"/>
    </w:pPr>
    <w:rPr>
      <w:rFonts w:ascii="JALAL" w:hAnsi="JALAL" w:cs="Al-Sadiq Bold"/>
      <w:sz w:val="32"/>
      <w:szCs w:val="28"/>
    </w:rPr>
  </w:style>
  <w:style w:type="paragraph" w:customStyle="1" w:styleId="a00">
    <w:name w:val="a0"/>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f0">
    <w:name w:val="a"/>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f"/>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f"/>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f"/>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f"/>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f"/>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f"/>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f"/>
    <w:rsid w:val="008E1DD2"/>
    <w:pPr>
      <w:widowControl/>
      <w:spacing w:line="240" w:lineRule="auto"/>
      <w:ind w:firstLine="0"/>
      <w:jc w:val="left"/>
    </w:pPr>
    <w:rPr>
      <w:rFonts w:ascii="Times New Roman" w:hAnsi="Times New Roman" w:cs="Times New Roman"/>
      <w:sz w:val="20"/>
      <w:szCs w:val="20"/>
    </w:rPr>
  </w:style>
  <w:style w:type="paragraph" w:customStyle="1" w:styleId="affffffff1">
    <w:name w:val="الشعر"/>
    <w:basedOn w:val="af"/>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f"/>
    <w:link w:val="Style1Char"/>
    <w:qFormat/>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f0"/>
    <w:rsid w:val="008E1DD2"/>
  </w:style>
  <w:style w:type="paragraph" w:customStyle="1" w:styleId="ecxecxecxecxmsonormal">
    <w:name w:val="ecxecxecxecxmsonormal"/>
    <w:basedOn w:val="af"/>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f0"/>
    <w:rsid w:val="008E1DD2"/>
  </w:style>
  <w:style w:type="paragraph" w:customStyle="1" w:styleId="10">
    <w:name w:val="عنوان فرعي1"/>
    <w:basedOn w:val="af"/>
    <w:rsid w:val="008E1DD2"/>
    <w:pPr>
      <w:widowControl/>
      <w:numPr>
        <w:numId w:val="13"/>
      </w:numPr>
      <w:spacing w:line="240" w:lineRule="auto"/>
      <w:jc w:val="lowKashida"/>
    </w:pPr>
    <w:rPr>
      <w:rFonts w:ascii="Times New Roman" w:hAnsi="Times New Roman" w:cs="Simplified Arabic"/>
      <w:bCs/>
      <w:sz w:val="24"/>
      <w:szCs w:val="32"/>
    </w:rPr>
  </w:style>
  <w:style w:type="paragraph" w:customStyle="1" w:styleId="Heading21">
    <w:name w:val="Heading 21"/>
    <w:basedOn w:val="af"/>
    <w:next w:val="af"/>
    <w:uiPriority w:val="9"/>
    <w:unhideWhenUsed/>
    <w:qFormat/>
    <w:rsid w:val="0098597F"/>
    <w:pPr>
      <w:keepNext/>
      <w:keepLines/>
      <w:widowControl/>
      <w:spacing w:before="40" w:line="276" w:lineRule="auto"/>
      <w:ind w:firstLine="0"/>
      <w:jc w:val="left"/>
      <w:outlineLvl w:val="1"/>
    </w:pPr>
    <w:rPr>
      <w:rFonts w:ascii="Calibri Light" w:hAnsi="Calibri Light" w:cs="Times New Roman"/>
      <w:color w:val="2E74B5"/>
      <w:sz w:val="26"/>
      <w:szCs w:val="26"/>
    </w:rPr>
  </w:style>
  <w:style w:type="numbering" w:customStyle="1" w:styleId="NoList1">
    <w:name w:val="No List1"/>
    <w:next w:val="af2"/>
    <w:uiPriority w:val="99"/>
    <w:semiHidden/>
    <w:unhideWhenUsed/>
    <w:rsid w:val="0098597F"/>
  </w:style>
  <w:style w:type="paragraph" w:customStyle="1" w:styleId="NoSpacing1">
    <w:name w:val="No Spacing1"/>
    <w:next w:val="affffffff2"/>
    <w:link w:val="NoSpacingChar"/>
    <w:uiPriority w:val="1"/>
    <w:qFormat/>
    <w:rsid w:val="0098597F"/>
    <w:rPr>
      <w:rFonts w:asciiTheme="minorHAnsi" w:hAnsiTheme="minorHAnsi" w:cstheme="minorBidi"/>
      <w:sz w:val="22"/>
      <w:szCs w:val="22"/>
    </w:rPr>
  </w:style>
  <w:style w:type="character" w:customStyle="1" w:styleId="NoSpacingChar">
    <w:name w:val="No Spacing Char"/>
    <w:basedOn w:val="af0"/>
    <w:link w:val="NoSpacing1"/>
    <w:uiPriority w:val="1"/>
    <w:rsid w:val="0098597F"/>
    <w:rPr>
      <w:rFonts w:asciiTheme="minorHAnsi" w:hAnsiTheme="minorHAnsi" w:cstheme="minorBidi"/>
      <w:sz w:val="22"/>
      <w:szCs w:val="22"/>
    </w:rPr>
  </w:style>
  <w:style w:type="paragraph" w:customStyle="1" w:styleId="Charfff4">
    <w:name w:val="النصص Char"/>
    <w:basedOn w:val="af"/>
    <w:link w:val="CharChar4"/>
    <w:rsid w:val="0098597F"/>
    <w:pPr>
      <w:spacing w:line="204" w:lineRule="auto"/>
      <w:ind w:firstLine="454"/>
      <w:jc w:val="lowKashida"/>
    </w:pPr>
    <w:rPr>
      <w:rFonts w:ascii="Arial" w:eastAsia="MS Mincho" w:hAnsi="Arial" w:cs="ajk-kawthar3 normal-simplifid"/>
      <w:color w:val="000000"/>
      <w:szCs w:val="29"/>
    </w:rPr>
  </w:style>
  <w:style w:type="character" w:customStyle="1" w:styleId="CharChar4">
    <w:name w:val="النصص Char Char"/>
    <w:link w:val="Charfff4"/>
    <w:rsid w:val="0098597F"/>
    <w:rPr>
      <w:rFonts w:ascii="Arial" w:eastAsia="MS Mincho" w:hAnsi="Arial" w:cs="ajk-kawthar3 normal-simplifid"/>
      <w:color w:val="000000"/>
      <w:sz w:val="28"/>
      <w:szCs w:val="29"/>
    </w:rPr>
  </w:style>
  <w:style w:type="paragraph" w:customStyle="1" w:styleId="02Char">
    <w:name w:val="02 Char"/>
    <w:basedOn w:val="af"/>
    <w:link w:val="02CharChar"/>
    <w:rsid w:val="0098597F"/>
    <w:pPr>
      <w:keepNext/>
      <w:spacing w:before="160" w:after="40" w:line="216" w:lineRule="auto"/>
      <w:ind w:firstLine="0"/>
      <w:jc w:val="left"/>
    </w:pPr>
    <w:rPr>
      <w:rFonts w:ascii="Arial" w:eastAsia="MS Mincho" w:hAnsi="Arial" w:cs="AMUNA"/>
      <w:color w:val="000000"/>
      <w:sz w:val="30"/>
      <w:szCs w:val="35"/>
    </w:rPr>
  </w:style>
  <w:style w:type="character" w:customStyle="1" w:styleId="02CharChar">
    <w:name w:val="02 Char Char"/>
    <w:link w:val="02Char"/>
    <w:rsid w:val="0098597F"/>
    <w:rPr>
      <w:rFonts w:ascii="Arial" w:eastAsia="MS Mincho" w:hAnsi="Arial" w:cs="AMUNA"/>
      <w:color w:val="000000"/>
      <w:sz w:val="30"/>
      <w:szCs w:val="35"/>
    </w:rPr>
  </w:style>
  <w:style w:type="paragraph" w:customStyle="1" w:styleId="0000">
    <w:name w:val="0000"/>
    <w:basedOn w:val="af"/>
    <w:rsid w:val="0098597F"/>
    <w:pPr>
      <w:spacing w:line="240" w:lineRule="auto"/>
      <w:ind w:firstLine="0"/>
      <w:jc w:val="center"/>
    </w:pPr>
    <w:rPr>
      <w:rFonts w:ascii="Arial" w:eastAsia="MS Mincho" w:hAnsi="Arial" w:cs="ajk-mohsen"/>
      <w:bCs/>
      <w:color w:val="000000"/>
      <w:sz w:val="38"/>
      <w:szCs w:val="38"/>
      <w:lang w:bidi="ar-LB"/>
    </w:rPr>
  </w:style>
  <w:style w:type="paragraph" w:customStyle="1" w:styleId="affffffff3">
    <w:name w:val="ححاشية"/>
    <w:basedOn w:val="af"/>
    <w:rsid w:val="0098597F"/>
    <w:pPr>
      <w:spacing w:line="216" w:lineRule="auto"/>
      <w:ind w:left="340" w:hanging="340"/>
      <w:jc w:val="lowKashida"/>
    </w:pPr>
    <w:rPr>
      <w:rFonts w:ascii="Arial" w:eastAsia="MS Mincho" w:hAnsi="Arial" w:cs="ALMUNA"/>
      <w:sz w:val="18"/>
      <w:szCs w:val="24"/>
    </w:rPr>
  </w:style>
  <w:style w:type="numbering" w:customStyle="1" w:styleId="1f9">
    <w:name w:val="بلا قائمة1"/>
    <w:next w:val="af2"/>
    <w:uiPriority w:val="99"/>
    <w:semiHidden/>
    <w:unhideWhenUsed/>
    <w:rsid w:val="0098597F"/>
  </w:style>
  <w:style w:type="paragraph" w:customStyle="1" w:styleId="1fa">
    <w:name w:val="عادي 1"/>
    <w:basedOn w:val="af"/>
    <w:link w:val="1Char5"/>
    <w:rsid w:val="0098597F"/>
    <w:pPr>
      <w:widowControl/>
      <w:spacing w:before="120" w:line="460" w:lineRule="exact"/>
      <w:jc w:val="lowKashida"/>
    </w:pPr>
    <w:rPr>
      <w:rFonts w:ascii="Times New Roman" w:hAnsi="Times New Roman" w:cs="Rateb lotusb2011"/>
      <w:sz w:val="32"/>
      <w:szCs w:val="30"/>
      <w:lang w:val="fr-FR"/>
    </w:rPr>
  </w:style>
  <w:style w:type="paragraph" w:customStyle="1" w:styleId="1-ctrl">
    <w:name w:val="عنوان فرعي1-ctrlذ"/>
    <w:basedOn w:val="af"/>
    <w:link w:val="1-ctrlChar"/>
    <w:rsid w:val="0098597F"/>
    <w:pPr>
      <w:widowControl/>
      <w:spacing w:before="240" w:after="40" w:line="460" w:lineRule="exact"/>
      <w:ind w:firstLine="0"/>
      <w:jc w:val="lowKashida"/>
    </w:pPr>
    <w:rPr>
      <w:rFonts w:ascii="JALAL" w:hAnsi="JALAL" w:cs="Monotype Koufi"/>
      <w:b/>
      <w:bCs/>
      <w:color w:val="000000"/>
      <w:sz w:val="32"/>
      <w:szCs w:val="32"/>
    </w:rPr>
  </w:style>
  <w:style w:type="character" w:customStyle="1" w:styleId="1-ctrlChar">
    <w:name w:val="عنوان فرعي1-ctrlذ Char"/>
    <w:basedOn w:val="af0"/>
    <w:link w:val="1-ctrl"/>
    <w:rsid w:val="0098597F"/>
    <w:rPr>
      <w:rFonts w:ascii="JALAL" w:hAnsi="JALAL" w:cs="Monotype Koufi"/>
      <w:b/>
      <w:bCs/>
      <w:color w:val="000000"/>
      <w:sz w:val="32"/>
      <w:szCs w:val="32"/>
    </w:rPr>
  </w:style>
  <w:style w:type="paragraph" w:customStyle="1" w:styleId="4b">
    <w:name w:val="نص بعد العنوان الفرعي 4"/>
    <w:basedOn w:val="af"/>
    <w:link w:val="4Char2"/>
    <w:rsid w:val="0098597F"/>
    <w:pPr>
      <w:spacing w:before="20" w:line="460" w:lineRule="exact"/>
      <w:jc w:val="lowKashida"/>
    </w:pPr>
    <w:rPr>
      <w:rFonts w:ascii="Times New Roman" w:hAnsi="Times New Roman" w:cs="Rateb lotusb2011"/>
      <w:szCs w:val="30"/>
    </w:rPr>
  </w:style>
  <w:style w:type="character" w:customStyle="1" w:styleId="4Char2">
    <w:name w:val="نص بعد العنوان الفرعي 4 Char"/>
    <w:basedOn w:val="af0"/>
    <w:link w:val="4b"/>
    <w:rsid w:val="0098597F"/>
    <w:rPr>
      <w:rFonts w:ascii="Times New Roman" w:hAnsi="Times New Roman" w:cs="Rateb lotusb2011"/>
      <w:sz w:val="28"/>
      <w:szCs w:val="30"/>
    </w:rPr>
  </w:style>
  <w:style w:type="character" w:customStyle="1" w:styleId="1Char5">
    <w:name w:val="عادي 1 Char"/>
    <w:basedOn w:val="af0"/>
    <w:link w:val="1fa"/>
    <w:rsid w:val="0098597F"/>
    <w:rPr>
      <w:rFonts w:ascii="Times New Roman" w:hAnsi="Times New Roman" w:cs="Rateb lotusb2011"/>
      <w:sz w:val="32"/>
      <w:szCs w:val="30"/>
      <w:lang w:val="fr-FR"/>
    </w:rPr>
  </w:style>
  <w:style w:type="character" w:customStyle="1" w:styleId="Hyperlink1">
    <w:name w:val="Hyperlink1"/>
    <w:basedOn w:val="af0"/>
    <w:unhideWhenUsed/>
    <w:rsid w:val="0098597F"/>
    <w:rPr>
      <w:color w:val="0563C1"/>
      <w:u w:val="single"/>
    </w:rPr>
  </w:style>
  <w:style w:type="character" w:customStyle="1" w:styleId="apple-converted-space">
    <w:name w:val="apple-converted-space"/>
    <w:basedOn w:val="af0"/>
    <w:rsid w:val="0098597F"/>
  </w:style>
  <w:style w:type="character" w:customStyle="1" w:styleId="textexposedshow">
    <w:name w:val="text_exposed_show"/>
    <w:basedOn w:val="af0"/>
    <w:rsid w:val="0098597F"/>
  </w:style>
  <w:style w:type="paragraph" w:customStyle="1" w:styleId="FooterTextFooter">
    <w:name w:val="Footer_Text (Footer)"/>
    <w:basedOn w:val="af"/>
    <w:uiPriority w:val="99"/>
    <w:rsid w:val="0098597F"/>
    <w:pPr>
      <w:widowControl/>
      <w:autoSpaceDE w:val="0"/>
      <w:autoSpaceDN w:val="0"/>
      <w:adjustRightInd w:val="0"/>
      <w:spacing w:line="300" w:lineRule="atLeast"/>
      <w:ind w:left="283" w:hanging="283"/>
      <w:textAlignment w:val="center"/>
    </w:pPr>
    <w:rPr>
      <w:rFonts w:ascii="Lotus Linotype Light" w:eastAsiaTheme="minorHAnsi" w:hAnsiTheme="minorHAnsi" w:cs="Lotus Linotype Light"/>
      <w:color w:val="000000"/>
      <w:sz w:val="22"/>
      <w:szCs w:val="22"/>
      <w:lang w:bidi="ar-YE"/>
    </w:rPr>
  </w:style>
  <w:style w:type="character" w:customStyle="1" w:styleId="reference-text">
    <w:name w:val="reference-text"/>
    <w:basedOn w:val="af0"/>
    <w:rsid w:val="0098597F"/>
  </w:style>
  <w:style w:type="character" w:customStyle="1" w:styleId="apple-tab-span">
    <w:name w:val="apple-tab-span"/>
    <w:basedOn w:val="af0"/>
    <w:rsid w:val="0098597F"/>
  </w:style>
  <w:style w:type="numbering" w:customStyle="1" w:styleId="2f9">
    <w:name w:val="بلا قائمة2"/>
    <w:next w:val="af2"/>
    <w:uiPriority w:val="99"/>
    <w:semiHidden/>
    <w:unhideWhenUsed/>
    <w:rsid w:val="0098597F"/>
  </w:style>
  <w:style w:type="character" w:customStyle="1" w:styleId="HeaderChar1">
    <w:name w:val="Header Char1"/>
    <w:basedOn w:val="af0"/>
    <w:uiPriority w:val="99"/>
    <w:semiHidden/>
    <w:rsid w:val="0098597F"/>
    <w:rPr>
      <w:rFonts w:ascii="Calibri" w:eastAsia="Calibri" w:hAnsi="Calibri" w:cs="Arial"/>
    </w:rPr>
  </w:style>
  <w:style w:type="paragraph" w:customStyle="1" w:styleId="1Char6">
    <w:name w:val="نص 1 Char"/>
    <w:basedOn w:val="af"/>
    <w:rsid w:val="0098597F"/>
    <w:pPr>
      <w:spacing w:before="120" w:line="460" w:lineRule="exact"/>
      <w:jc w:val="lowKashida"/>
    </w:pPr>
    <w:rPr>
      <w:rFonts w:ascii="Times New Roman" w:hAnsi="Times New Roman" w:cs="Rateb lotusb2011"/>
      <w:sz w:val="30"/>
      <w:szCs w:val="30"/>
      <w:lang w:val="en-GB" w:eastAsia="en-GB"/>
    </w:rPr>
  </w:style>
  <w:style w:type="character" w:customStyle="1" w:styleId="Heading1Char10">
    <w:name w:val="Heading 1 Char1"/>
    <w:aliases w:val="شعر Char1,1-المباحث Char1"/>
    <w:basedOn w:val="af0"/>
    <w:uiPriority w:val="9"/>
    <w:rsid w:val="0098597F"/>
    <w:rPr>
      <w:rFonts w:asciiTheme="majorHAnsi" w:eastAsiaTheme="majorEastAsia" w:hAnsiTheme="majorHAnsi" w:cstheme="majorBidi"/>
      <w:color w:val="365F91" w:themeColor="accent1" w:themeShade="BF"/>
      <w:sz w:val="32"/>
      <w:szCs w:val="32"/>
    </w:rPr>
  </w:style>
  <w:style w:type="paragraph" w:styleId="affffffff2">
    <w:name w:val="No Spacing"/>
    <w:aliases w:val="سلطان ميديم15,مباحث"/>
    <w:uiPriority w:val="1"/>
    <w:qFormat/>
    <w:rsid w:val="0098597F"/>
    <w:rPr>
      <w:rFonts w:asciiTheme="minorHAnsi" w:eastAsiaTheme="minorHAnsi" w:hAnsiTheme="minorHAnsi" w:cstheme="minorBidi"/>
      <w:sz w:val="22"/>
      <w:szCs w:val="22"/>
    </w:rPr>
  </w:style>
  <w:style w:type="paragraph" w:customStyle="1" w:styleId="affffffff4">
    <w:name w:val="النص الأساسي"/>
    <w:basedOn w:val="af"/>
    <w:uiPriority w:val="99"/>
    <w:rsid w:val="009C6A22"/>
    <w:pPr>
      <w:widowControl/>
      <w:autoSpaceDE w:val="0"/>
      <w:autoSpaceDN w:val="0"/>
      <w:adjustRightInd w:val="0"/>
      <w:spacing w:before="57" w:after="57" w:line="450" w:lineRule="atLeast"/>
      <w:ind w:firstLine="340"/>
      <w:textAlignment w:val="center"/>
    </w:pPr>
    <w:rPr>
      <w:rFonts w:ascii="Lotus Linotype" w:eastAsiaTheme="minorHAnsi" w:hAnsi="Lotus Linotype" w:cs="Lotus Linotype"/>
      <w:color w:val="000000"/>
      <w:sz w:val="31"/>
      <w:szCs w:val="31"/>
      <w:lang w:bidi="ar-YE"/>
    </w:rPr>
  </w:style>
  <w:style w:type="paragraph" w:customStyle="1" w:styleId="affffffff5">
    <w:name w:val="عنوان جانبي"/>
    <w:basedOn w:val="af"/>
    <w:uiPriority w:val="99"/>
    <w:rsid w:val="009C6A22"/>
    <w:pPr>
      <w:keepNext/>
      <w:widowControl/>
      <w:autoSpaceDE w:val="0"/>
      <w:autoSpaceDN w:val="0"/>
      <w:adjustRightInd w:val="0"/>
      <w:spacing w:before="113" w:after="57" w:line="288" w:lineRule="auto"/>
      <w:ind w:firstLine="0"/>
      <w:textAlignment w:val="center"/>
    </w:pPr>
    <w:rPr>
      <w:rFonts w:ascii="AXtManalBLack" w:eastAsiaTheme="minorHAnsi" w:hAnsi="AXtManalBLack" w:cs="AXtManalBLack"/>
      <w:color w:val="000000"/>
      <w:sz w:val="34"/>
      <w:szCs w:val="34"/>
    </w:rPr>
  </w:style>
  <w:style w:type="paragraph" w:customStyle="1" w:styleId="normal87">
    <w:name w:val="normal87"/>
    <w:basedOn w:val="af"/>
    <w:qFormat/>
    <w:rsid w:val="001153F1"/>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1153F1"/>
    <w:pPr>
      <w:spacing w:line="216" w:lineRule="auto"/>
    </w:pPr>
    <w:rPr>
      <w:szCs w:val="29"/>
    </w:rPr>
  </w:style>
  <w:style w:type="paragraph" w:customStyle="1" w:styleId="normal93">
    <w:name w:val="normal93"/>
    <w:basedOn w:val="normal9"/>
    <w:qFormat/>
    <w:rsid w:val="001153F1"/>
    <w:pPr>
      <w:spacing w:line="223" w:lineRule="auto"/>
    </w:pPr>
  </w:style>
  <w:style w:type="paragraph" w:customStyle="1" w:styleId="heading4">
    <w:name w:val="heading4"/>
    <w:basedOn w:val="af"/>
    <w:next w:val="af"/>
    <w:qFormat/>
    <w:rsid w:val="001153F1"/>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1153F1"/>
    <w:pPr>
      <w:widowControl/>
      <w:spacing w:before="360" w:line="216" w:lineRule="auto"/>
      <w:ind w:firstLine="0"/>
    </w:pPr>
    <w:rPr>
      <w:rFonts w:ascii="Arial" w:hAnsi="Arial" w:cs="AL-Mateen"/>
      <w:sz w:val="26"/>
      <w:szCs w:val="28"/>
    </w:rPr>
  </w:style>
  <w:style w:type="character" w:customStyle="1" w:styleId="Char20">
    <w:name w:val="رأس الصفحة Char2"/>
    <w:uiPriority w:val="99"/>
    <w:rsid w:val="001153F1"/>
    <w:rPr>
      <w:rFonts w:ascii="Mosawi" w:hAnsi="Mosawi" w:cs="Mosawi"/>
      <w:sz w:val="30"/>
      <w:szCs w:val="30"/>
    </w:rPr>
  </w:style>
  <w:style w:type="character" w:customStyle="1" w:styleId="Char21">
    <w:name w:val="تذييل الصفحة Char2"/>
    <w:uiPriority w:val="99"/>
    <w:rsid w:val="001153F1"/>
    <w:rPr>
      <w:rFonts w:ascii="Mosawi" w:hAnsi="Mosawi" w:cs="Mosawi"/>
      <w:sz w:val="30"/>
      <w:szCs w:val="30"/>
    </w:rPr>
  </w:style>
  <w:style w:type="character" w:customStyle="1" w:styleId="4Char20">
    <w:name w:val="عنوان 4 Char2"/>
    <w:aliases w:val="سلطان بولد15.5 Char,4-عام Char"/>
    <w:uiPriority w:val="9"/>
    <w:rsid w:val="001153F1"/>
    <w:rPr>
      <w:rFonts w:ascii="Century Gothic" w:eastAsia="Calibri" w:hAnsi="Century Gothic" w:cs="AL-Mateen"/>
      <w:b/>
      <w:i/>
      <w:color w:val="000000"/>
      <w:sz w:val="28"/>
      <w:szCs w:val="34"/>
    </w:rPr>
  </w:style>
  <w:style w:type="paragraph" w:customStyle="1" w:styleId="1fb">
    <w:name w:val="بلا تباعد1"/>
    <w:rsid w:val="001153F1"/>
    <w:pPr>
      <w:bidi/>
      <w:ind w:firstLine="284"/>
      <w:jc w:val="both"/>
    </w:pPr>
    <w:rPr>
      <w:rFonts w:ascii="Tahoma" w:hAnsi="Tahoma" w:cs="Mosawi"/>
      <w:sz w:val="28"/>
      <w:szCs w:val="32"/>
    </w:rPr>
  </w:style>
  <w:style w:type="paragraph" w:customStyle="1" w:styleId="matin">
    <w:name w:val="matin"/>
    <w:basedOn w:val="af"/>
    <w:link w:val="matinChar"/>
    <w:rsid w:val="001153F1"/>
    <w:pPr>
      <w:spacing w:line="216" w:lineRule="auto"/>
      <w:ind w:firstLine="284"/>
    </w:pPr>
    <w:rPr>
      <w:rFonts w:ascii="Times New Roman" w:hAnsi="Times New Roman" w:cs="Mosawi"/>
      <w:sz w:val="32"/>
      <w:szCs w:val="32"/>
    </w:rPr>
  </w:style>
  <w:style w:type="character" w:customStyle="1" w:styleId="matinChar">
    <w:name w:val="matin Char"/>
    <w:link w:val="matin"/>
    <w:rsid w:val="001153F1"/>
    <w:rPr>
      <w:rFonts w:ascii="Times New Roman" w:hAnsi="Times New Roman" w:cs="Mosawi"/>
      <w:sz w:val="32"/>
      <w:szCs w:val="32"/>
    </w:rPr>
  </w:style>
  <w:style w:type="paragraph" w:customStyle="1" w:styleId="sher">
    <w:name w:val="sher"/>
    <w:basedOn w:val="20"/>
    <w:qFormat/>
    <w:rsid w:val="001153F1"/>
    <w:pPr>
      <w:spacing w:before="240"/>
      <w:jc w:val="lowKashida"/>
    </w:pPr>
    <w:rPr>
      <w:rFonts w:ascii="Taher" w:eastAsia="Calibri" w:hAnsi="Taher" w:cs="Mosawi"/>
      <w:bCs/>
      <w:color w:val="000099"/>
      <w:sz w:val="26"/>
      <w:szCs w:val="36"/>
    </w:rPr>
  </w:style>
  <w:style w:type="paragraph" w:customStyle="1" w:styleId="foot1">
    <w:name w:val="foot1"/>
    <w:basedOn w:val="af"/>
    <w:uiPriority w:val="99"/>
    <w:rsid w:val="001153F1"/>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1153F1"/>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1153F1"/>
    <w:rPr>
      <w:rFonts w:ascii="Times New Roman" w:hAnsi="Times New Roman" w:cs="Times New Roman"/>
      <w:color w:val="0000FF"/>
      <w:sz w:val="28"/>
      <w:szCs w:val="28"/>
    </w:rPr>
  </w:style>
  <w:style w:type="character" w:customStyle="1" w:styleId="ufyag141">
    <w:name w:val="uf_yag141"/>
    <w:rsid w:val="001153F1"/>
    <w:rPr>
      <w:rFonts w:cs="Simplified Arabic"/>
      <w:b/>
      <w:bCs/>
      <w:sz w:val="26"/>
      <w:szCs w:val="26"/>
      <w:lang w:bidi="ar-SA"/>
    </w:rPr>
  </w:style>
  <w:style w:type="character" w:customStyle="1" w:styleId="uflts41">
    <w:name w:val="uf_lts41"/>
    <w:rsid w:val="001153F1"/>
    <w:rPr>
      <w:rFonts w:cs="Simplified Arabic"/>
      <w:b/>
      <w:bCs/>
      <w:sz w:val="28"/>
      <w:szCs w:val="28"/>
      <w:lang w:bidi="ar-SA"/>
    </w:rPr>
  </w:style>
  <w:style w:type="character" w:customStyle="1" w:styleId="ufalaem91">
    <w:name w:val="uf_alaem91"/>
    <w:rsid w:val="001153F1"/>
    <w:rPr>
      <w:rFonts w:ascii="Times New Roman" w:hAnsi="Times New Roman" w:cs="Times New Roman"/>
      <w:sz w:val="22"/>
      <w:szCs w:val="22"/>
    </w:rPr>
  </w:style>
  <w:style w:type="character" w:customStyle="1" w:styleId="ufalaem341">
    <w:name w:val="uf_alaem341"/>
    <w:rsid w:val="001153F1"/>
    <w:rPr>
      <w:rFonts w:ascii="Times New Roman" w:hAnsi="Times New Roman" w:cs="Times New Roman"/>
      <w:sz w:val="36"/>
      <w:szCs w:val="36"/>
    </w:rPr>
  </w:style>
  <w:style w:type="character" w:customStyle="1" w:styleId="footnumup">
    <w:name w:val="footnumup"/>
    <w:rsid w:val="001153F1"/>
    <w:rPr>
      <w:rFonts w:ascii="Times New Roman" w:hAnsi="Times New Roman" w:cs="Times New Roman"/>
      <w:position w:val="11"/>
      <w:sz w:val="28"/>
      <w:szCs w:val="28"/>
    </w:rPr>
  </w:style>
  <w:style w:type="character" w:customStyle="1" w:styleId="ufbdr81">
    <w:name w:val="uf_bdr81"/>
    <w:rsid w:val="001153F1"/>
    <w:rPr>
      <w:rFonts w:cs="Simplified Arabic"/>
      <w:b/>
      <w:bCs/>
      <w:sz w:val="28"/>
      <w:szCs w:val="28"/>
      <w:lang w:bidi="ar-SA"/>
    </w:rPr>
  </w:style>
  <w:style w:type="character" w:customStyle="1" w:styleId="ufbdr71">
    <w:name w:val="uf_bdr71"/>
    <w:rsid w:val="001153F1"/>
    <w:rPr>
      <w:rFonts w:cs="Simplified Arabic"/>
      <w:b/>
      <w:bCs/>
      <w:sz w:val="28"/>
      <w:szCs w:val="28"/>
      <w:lang w:bidi="ar-SA"/>
    </w:rPr>
  </w:style>
  <w:style w:type="character" w:customStyle="1" w:styleId="ufesy321">
    <w:name w:val="uf_esy321"/>
    <w:rsid w:val="001153F1"/>
    <w:rPr>
      <w:rFonts w:ascii="Times New Roman" w:hAnsi="Times New Roman" w:cs="Times New Roman"/>
      <w:sz w:val="48"/>
      <w:szCs w:val="48"/>
    </w:rPr>
  </w:style>
  <w:style w:type="character" w:customStyle="1" w:styleId="ufnzn181">
    <w:name w:val="uf_nzn181"/>
    <w:rsid w:val="001153F1"/>
    <w:rPr>
      <w:rFonts w:ascii="Times New Roman" w:hAnsi="Times New Roman" w:cs="Times New Roman"/>
      <w:b/>
      <w:bCs/>
      <w:sz w:val="26"/>
      <w:szCs w:val="26"/>
    </w:rPr>
  </w:style>
  <w:style w:type="character" w:customStyle="1" w:styleId="uflts71">
    <w:name w:val="uf_lts71"/>
    <w:rsid w:val="001153F1"/>
    <w:rPr>
      <w:rFonts w:cs="Simplified Arabic"/>
      <w:b/>
      <w:bCs/>
      <w:sz w:val="28"/>
      <w:szCs w:val="28"/>
      <w:lang w:bidi="ar-SA"/>
    </w:rPr>
  </w:style>
  <w:style w:type="character" w:customStyle="1" w:styleId="ufbdr111">
    <w:name w:val="uf_bdr111"/>
    <w:rsid w:val="001153F1"/>
    <w:rPr>
      <w:rFonts w:cs="Simplified Arabic"/>
      <w:b/>
      <w:bCs/>
      <w:sz w:val="28"/>
      <w:szCs w:val="28"/>
      <w:lang w:bidi="ar-SA"/>
    </w:rPr>
  </w:style>
  <w:style w:type="character" w:customStyle="1" w:styleId="ufesy101">
    <w:name w:val="uf_esy101"/>
    <w:rsid w:val="001153F1"/>
    <w:rPr>
      <w:rFonts w:ascii="Times New Roman" w:hAnsi="Times New Roman" w:cs="Times New Roman"/>
      <w:sz w:val="32"/>
      <w:szCs w:val="32"/>
    </w:rPr>
  </w:style>
  <w:style w:type="character" w:customStyle="1" w:styleId="ufbdr131">
    <w:name w:val="uf_bdr131"/>
    <w:rsid w:val="001153F1"/>
    <w:rPr>
      <w:rFonts w:cs="Simplified Arabic"/>
      <w:sz w:val="32"/>
      <w:szCs w:val="32"/>
      <w:lang w:bidi="ar-SA"/>
    </w:rPr>
  </w:style>
  <w:style w:type="character" w:customStyle="1" w:styleId="ufyag241">
    <w:name w:val="uf_yag241"/>
    <w:rsid w:val="001153F1"/>
    <w:rPr>
      <w:rFonts w:cs="Simplified Arabic"/>
      <w:b/>
      <w:bCs/>
      <w:sz w:val="20"/>
      <w:szCs w:val="20"/>
      <w:lang w:bidi="ar-SA"/>
    </w:rPr>
  </w:style>
  <w:style w:type="paragraph" w:customStyle="1" w:styleId="uflts7">
    <w:name w:val="uf_lts7"/>
    <w:basedOn w:val="af"/>
    <w:uiPriority w:val="99"/>
    <w:semiHidden/>
    <w:rsid w:val="001153F1"/>
    <w:pPr>
      <w:bidi w:val="0"/>
      <w:spacing w:line="480" w:lineRule="atLeast"/>
      <w:ind w:firstLine="284"/>
    </w:pPr>
    <w:rPr>
      <w:rFonts w:ascii="Times New Roman" w:eastAsia="Calibri" w:hAnsi="Times New Roman" w:cs="Simplified Arabic"/>
      <w:b/>
      <w:bCs/>
      <w:szCs w:val="28"/>
    </w:rPr>
  </w:style>
  <w:style w:type="character" w:customStyle="1" w:styleId="ufalaem101">
    <w:name w:val="uf_alaem101"/>
    <w:rsid w:val="001153F1"/>
    <w:rPr>
      <w:rFonts w:ascii="Times New Roman" w:hAnsi="Times New Roman" w:cs="Times New Roman"/>
      <w:sz w:val="22"/>
      <w:szCs w:val="22"/>
    </w:rPr>
  </w:style>
  <w:style w:type="character" w:customStyle="1" w:styleId="ufyag121">
    <w:name w:val="uf_yag121"/>
    <w:rsid w:val="001153F1"/>
    <w:rPr>
      <w:rFonts w:cs="Simplified Arabic"/>
      <w:b/>
      <w:bCs/>
      <w:sz w:val="24"/>
      <w:szCs w:val="24"/>
      <w:lang w:bidi="ar-SA"/>
    </w:rPr>
  </w:style>
  <w:style w:type="character" w:customStyle="1" w:styleId="ufbdr391">
    <w:name w:val="uf_bdr391"/>
    <w:rsid w:val="001153F1"/>
    <w:rPr>
      <w:rFonts w:cs="Simplified Arabic"/>
      <w:sz w:val="34"/>
      <w:szCs w:val="34"/>
      <w:lang w:bidi="ar-SA"/>
    </w:rPr>
  </w:style>
  <w:style w:type="character" w:customStyle="1" w:styleId="ufyag181">
    <w:name w:val="uf_yag181"/>
    <w:rsid w:val="001153F1"/>
    <w:rPr>
      <w:rFonts w:cs="Simplified Arabic"/>
      <w:b/>
      <w:bCs/>
      <w:sz w:val="25"/>
      <w:szCs w:val="25"/>
      <w:lang w:bidi="ar-SA"/>
    </w:rPr>
  </w:style>
  <w:style w:type="character" w:customStyle="1" w:styleId="ufalaem61">
    <w:name w:val="uf_alaem61"/>
    <w:rsid w:val="001153F1"/>
    <w:rPr>
      <w:rFonts w:ascii="Times New Roman" w:hAnsi="Times New Roman" w:cs="Times New Roman"/>
      <w:sz w:val="22"/>
      <w:szCs w:val="22"/>
    </w:rPr>
  </w:style>
  <w:style w:type="character" w:customStyle="1" w:styleId="uflts22">
    <w:name w:val="uf_lts22"/>
    <w:rsid w:val="001153F1"/>
    <w:rPr>
      <w:rFonts w:cs="Simplified Arabic"/>
      <w:b/>
      <w:bCs/>
      <w:sz w:val="29"/>
      <w:szCs w:val="29"/>
      <w:lang w:bidi="ar-SA"/>
    </w:rPr>
  </w:style>
  <w:style w:type="character" w:customStyle="1" w:styleId="ufbdr181">
    <w:name w:val="uf_bdr181"/>
    <w:rsid w:val="001153F1"/>
    <w:rPr>
      <w:rFonts w:cs="Simplified Arabic"/>
      <w:b/>
      <w:bCs/>
      <w:sz w:val="28"/>
      <w:szCs w:val="28"/>
      <w:lang w:bidi="ar-SA"/>
    </w:rPr>
  </w:style>
  <w:style w:type="character" w:customStyle="1" w:styleId="ufalaem41">
    <w:name w:val="uf_alaem41"/>
    <w:rsid w:val="001153F1"/>
    <w:rPr>
      <w:rFonts w:ascii="Times New Roman" w:hAnsi="Times New Roman" w:cs="Times New Roman"/>
      <w:sz w:val="22"/>
      <w:szCs w:val="22"/>
    </w:rPr>
  </w:style>
  <w:style w:type="character" w:customStyle="1" w:styleId="ufalaem610">
    <w:name w:val="ufalaem61"/>
    <w:rsid w:val="001153F1"/>
    <w:rPr>
      <w:rFonts w:cs="Times New Roman"/>
    </w:rPr>
  </w:style>
  <w:style w:type="character" w:customStyle="1" w:styleId="uflts220">
    <w:name w:val="uflts22"/>
    <w:rsid w:val="001153F1"/>
    <w:rPr>
      <w:rFonts w:cs="Times New Roman"/>
    </w:rPr>
  </w:style>
  <w:style w:type="character" w:customStyle="1" w:styleId="ufyag201">
    <w:name w:val="ufyag201"/>
    <w:rsid w:val="001153F1"/>
    <w:rPr>
      <w:rFonts w:cs="Times New Roman"/>
    </w:rPr>
  </w:style>
  <w:style w:type="character" w:customStyle="1" w:styleId="ufesy11">
    <w:name w:val="ufesy11"/>
    <w:rsid w:val="001153F1"/>
    <w:rPr>
      <w:rFonts w:cs="Times New Roman"/>
    </w:rPr>
  </w:style>
  <w:style w:type="character" w:customStyle="1" w:styleId="ufyag101">
    <w:name w:val="ufyag101"/>
    <w:rsid w:val="001153F1"/>
    <w:rPr>
      <w:rFonts w:cs="Times New Roman"/>
    </w:rPr>
  </w:style>
  <w:style w:type="paragraph" w:customStyle="1" w:styleId="1fc">
    <w:name w:val="عنوان جدول المحتويات1"/>
    <w:basedOn w:val="11"/>
    <w:next w:val="af"/>
    <w:semiHidden/>
    <w:rsid w:val="001153F1"/>
    <w:pPr>
      <w:spacing w:before="480" w:line="276" w:lineRule="auto"/>
      <w:jc w:val="left"/>
      <w:outlineLvl w:val="9"/>
    </w:pPr>
    <w:rPr>
      <w:rFonts w:ascii="Cambria" w:eastAsia="Calibri" w:hAnsi="Cambria" w:cs="Times New Roman"/>
      <w:bCs/>
      <w:color w:val="365F91"/>
      <w:sz w:val="28"/>
      <w:szCs w:val="28"/>
    </w:rPr>
  </w:style>
  <w:style w:type="character" w:customStyle="1" w:styleId="ufalaem111">
    <w:name w:val="uf_alaem111"/>
    <w:rsid w:val="001153F1"/>
    <w:rPr>
      <w:rFonts w:ascii="Times New Roman" w:hAnsi="Times New Roman" w:cs="Times New Roman"/>
      <w:sz w:val="22"/>
      <w:szCs w:val="22"/>
    </w:rPr>
  </w:style>
  <w:style w:type="character" w:customStyle="1" w:styleId="ufesy61">
    <w:name w:val="uf_esy61"/>
    <w:rsid w:val="001153F1"/>
    <w:rPr>
      <w:rFonts w:ascii="Times New Roman" w:hAnsi="Times New Roman" w:cs="Times New Roman"/>
      <w:sz w:val="32"/>
      <w:szCs w:val="32"/>
    </w:rPr>
  </w:style>
  <w:style w:type="paragraph" w:customStyle="1" w:styleId="1fd">
    <w:name w:val="المراجعة1"/>
    <w:hidden/>
    <w:semiHidden/>
    <w:rsid w:val="001153F1"/>
    <w:rPr>
      <w:rFonts w:ascii="Tahoma" w:hAnsi="Tahoma" w:cs="Mosawi"/>
      <w:sz w:val="28"/>
      <w:szCs w:val="30"/>
    </w:rPr>
  </w:style>
  <w:style w:type="character" w:customStyle="1" w:styleId="ufesy71">
    <w:name w:val="uf_esy71"/>
    <w:rsid w:val="001153F1"/>
    <w:rPr>
      <w:rFonts w:ascii="Times New Roman" w:hAnsi="Times New Roman" w:cs="Times New Roman"/>
      <w:sz w:val="32"/>
      <w:szCs w:val="32"/>
    </w:rPr>
  </w:style>
  <w:style w:type="character" w:customStyle="1" w:styleId="ufbdr171">
    <w:name w:val="uf_bdr171"/>
    <w:rsid w:val="001153F1"/>
    <w:rPr>
      <w:rFonts w:cs="Simplified Arabic"/>
      <w:sz w:val="24"/>
      <w:szCs w:val="24"/>
      <w:lang w:bidi="ar-SA"/>
    </w:rPr>
  </w:style>
  <w:style w:type="character" w:customStyle="1" w:styleId="ufalaem21">
    <w:name w:val="uf_alaem21"/>
    <w:rsid w:val="001153F1"/>
    <w:rPr>
      <w:rFonts w:ascii="Times New Roman" w:hAnsi="Times New Roman" w:cs="Times New Roman"/>
      <w:sz w:val="22"/>
      <w:szCs w:val="22"/>
    </w:rPr>
  </w:style>
  <w:style w:type="character" w:customStyle="1" w:styleId="ufyag131">
    <w:name w:val="uf_yag131"/>
    <w:rsid w:val="001153F1"/>
    <w:rPr>
      <w:rFonts w:cs="Simplified Arabic"/>
      <w:b/>
      <w:bCs/>
      <w:sz w:val="22"/>
      <w:szCs w:val="22"/>
      <w:lang w:bidi="ar-SA"/>
    </w:rPr>
  </w:style>
  <w:style w:type="character" w:customStyle="1" w:styleId="ufyag251">
    <w:name w:val="uf_yag251"/>
    <w:rsid w:val="001153F1"/>
    <w:rPr>
      <w:rFonts w:cs="Simplified Arabic"/>
      <w:sz w:val="26"/>
      <w:szCs w:val="26"/>
      <w:lang w:bidi="ar-SA"/>
    </w:rPr>
  </w:style>
  <w:style w:type="character" w:customStyle="1" w:styleId="uflts31">
    <w:name w:val="uf_lts31"/>
    <w:rsid w:val="001153F1"/>
    <w:rPr>
      <w:rFonts w:cs="Simplified Arabic"/>
      <w:b/>
      <w:bCs/>
      <w:sz w:val="29"/>
      <w:szCs w:val="29"/>
      <w:lang w:bidi="ar-SA"/>
    </w:rPr>
  </w:style>
  <w:style w:type="character" w:customStyle="1" w:styleId="ufyag231">
    <w:name w:val="uf_yag231"/>
    <w:rsid w:val="001153F1"/>
    <w:rPr>
      <w:rFonts w:cs="Simplified Arabic"/>
      <w:b/>
      <w:bCs/>
      <w:sz w:val="22"/>
      <w:szCs w:val="22"/>
      <w:lang w:bidi="ar-SA"/>
    </w:rPr>
  </w:style>
  <w:style w:type="character" w:customStyle="1" w:styleId="ufalaem2">
    <w:name w:val="uf_alaem2"/>
    <w:rsid w:val="001153F1"/>
    <w:rPr>
      <w:rFonts w:cs="Times New Roman"/>
    </w:rPr>
  </w:style>
  <w:style w:type="character" w:customStyle="1" w:styleId="uflts151">
    <w:name w:val="uflts151"/>
    <w:rsid w:val="001153F1"/>
    <w:rPr>
      <w:rFonts w:cs="Times New Roman"/>
    </w:rPr>
  </w:style>
  <w:style w:type="character" w:customStyle="1" w:styleId="ufyag1410">
    <w:name w:val="ufyag141"/>
    <w:rsid w:val="001153F1"/>
    <w:rPr>
      <w:rFonts w:cs="Times New Roman"/>
    </w:rPr>
  </w:style>
  <w:style w:type="character" w:customStyle="1" w:styleId="uflts410">
    <w:name w:val="uflts41"/>
    <w:rsid w:val="001153F1"/>
    <w:rPr>
      <w:rFonts w:cs="Times New Roman"/>
    </w:rPr>
  </w:style>
  <w:style w:type="character" w:customStyle="1" w:styleId="uflts61">
    <w:name w:val="uflts61"/>
    <w:rsid w:val="001153F1"/>
    <w:rPr>
      <w:rFonts w:cs="Times New Roman"/>
    </w:rPr>
  </w:style>
  <w:style w:type="character" w:customStyle="1" w:styleId="ufyag161">
    <w:name w:val="ufyag161"/>
    <w:rsid w:val="001153F1"/>
    <w:rPr>
      <w:rFonts w:cs="Times New Roman"/>
    </w:rPr>
  </w:style>
  <w:style w:type="character" w:customStyle="1" w:styleId="1fe">
    <w:name w:val="نص العنصر النائب1"/>
    <w:semiHidden/>
    <w:rsid w:val="001153F1"/>
    <w:rPr>
      <w:rFonts w:cs="Times New Roman"/>
      <w:color w:val="808080"/>
    </w:rPr>
  </w:style>
  <w:style w:type="character" w:customStyle="1" w:styleId="uflts1510">
    <w:name w:val="uf_lts151"/>
    <w:rsid w:val="001153F1"/>
    <w:rPr>
      <w:rFonts w:cs="Simplified Arabic"/>
      <w:b/>
      <w:bCs/>
      <w:sz w:val="28"/>
      <w:szCs w:val="28"/>
      <w:lang w:bidi="ar-SA"/>
    </w:rPr>
  </w:style>
  <w:style w:type="character" w:customStyle="1" w:styleId="ufyag171">
    <w:name w:val="uf_yag171"/>
    <w:rsid w:val="001153F1"/>
    <w:rPr>
      <w:b/>
      <w:sz w:val="22"/>
    </w:rPr>
  </w:style>
  <w:style w:type="character" w:customStyle="1" w:styleId="ufesy291">
    <w:name w:val="uf_esy291"/>
    <w:rsid w:val="001153F1"/>
    <w:rPr>
      <w:rFonts w:ascii="Times New Roman" w:hAnsi="Times New Roman"/>
      <w:sz w:val="38"/>
    </w:rPr>
  </w:style>
  <w:style w:type="character" w:customStyle="1" w:styleId="ufesy51">
    <w:name w:val="uf_esy51"/>
    <w:rsid w:val="001153F1"/>
    <w:rPr>
      <w:rFonts w:ascii="Times New Roman" w:hAnsi="Times New Roman"/>
      <w:sz w:val="32"/>
    </w:rPr>
  </w:style>
  <w:style w:type="paragraph" w:customStyle="1" w:styleId="heading1-waeli">
    <w:name w:val="heading 1 - waeli"/>
    <w:basedOn w:val="matin"/>
    <w:next w:val="matin"/>
    <w:rsid w:val="001153F1"/>
    <w:pPr>
      <w:spacing w:line="240" w:lineRule="auto"/>
      <w:ind w:firstLine="0"/>
      <w:jc w:val="center"/>
    </w:pPr>
    <w:rPr>
      <w:rFonts w:cs="AL-Mateen"/>
      <w:sz w:val="36"/>
      <w:szCs w:val="44"/>
    </w:rPr>
  </w:style>
  <w:style w:type="paragraph" w:customStyle="1" w:styleId="affffffff6">
    <w:name w:val="وائلي عنوان جانبي"/>
    <w:basedOn w:val="matin"/>
    <w:next w:val="matin"/>
    <w:link w:val="Charfff5"/>
    <w:rsid w:val="001153F1"/>
    <w:pPr>
      <w:spacing w:before="200" w:after="80" w:line="204" w:lineRule="auto"/>
    </w:pPr>
    <w:rPr>
      <w:rFonts w:cs="AL-Mateen"/>
      <w:sz w:val="36"/>
      <w:szCs w:val="36"/>
    </w:rPr>
  </w:style>
  <w:style w:type="character" w:customStyle="1" w:styleId="Charfff5">
    <w:name w:val="وائلي عنوان جانبي Char"/>
    <w:link w:val="affffffff6"/>
    <w:rsid w:val="001153F1"/>
    <w:rPr>
      <w:rFonts w:ascii="Times New Roman" w:hAnsi="Times New Roman" w:cs="AL-Mateen"/>
      <w:sz w:val="36"/>
      <w:szCs w:val="36"/>
    </w:rPr>
  </w:style>
  <w:style w:type="character" w:customStyle="1" w:styleId="2Char4">
    <w:name w:val="وائلي فرعي2 Char"/>
    <w:link w:val="2fa"/>
    <w:rsid w:val="001153F1"/>
    <w:rPr>
      <w:rFonts w:cs="Al-Ghadeer Bold"/>
      <w:sz w:val="26"/>
      <w:szCs w:val="26"/>
    </w:rPr>
  </w:style>
  <w:style w:type="paragraph" w:customStyle="1" w:styleId="2fa">
    <w:name w:val="وائلي فرعي2"/>
    <w:basedOn w:val="matin"/>
    <w:link w:val="2Char4"/>
    <w:rsid w:val="001153F1"/>
    <w:pPr>
      <w:spacing w:before="40" w:after="40" w:line="240" w:lineRule="auto"/>
    </w:pPr>
    <w:rPr>
      <w:rFonts w:ascii="Calibri" w:hAnsi="Calibri" w:cs="Al-Ghadeer Bold"/>
      <w:sz w:val="26"/>
      <w:szCs w:val="26"/>
    </w:rPr>
  </w:style>
  <w:style w:type="paragraph" w:customStyle="1" w:styleId="affffffff7">
    <w:name w:val="وائلي عنوان فرعي"/>
    <w:basedOn w:val="matin"/>
    <w:link w:val="Charfff6"/>
    <w:rsid w:val="001153F1"/>
    <w:pPr>
      <w:spacing w:before="200" w:after="100"/>
    </w:pPr>
    <w:rPr>
      <w:rFonts w:cs="Sultan bold"/>
      <w:sz w:val="30"/>
      <w:szCs w:val="31"/>
    </w:rPr>
  </w:style>
  <w:style w:type="character" w:customStyle="1" w:styleId="Charfff6">
    <w:name w:val="وائلي عنوان فرعي Char"/>
    <w:link w:val="affffffff7"/>
    <w:rsid w:val="001153F1"/>
    <w:rPr>
      <w:rFonts w:ascii="Times New Roman" w:hAnsi="Times New Roman" w:cs="Sultan bold"/>
      <w:sz w:val="30"/>
      <w:szCs w:val="31"/>
    </w:rPr>
  </w:style>
  <w:style w:type="paragraph" w:customStyle="1" w:styleId="affffffff8">
    <w:name w:val="وائلي شعر"/>
    <w:basedOn w:val="matin"/>
    <w:link w:val="Charfff7"/>
    <w:rsid w:val="001153F1"/>
    <w:pPr>
      <w:ind w:firstLine="0"/>
      <w:jc w:val="lowKashida"/>
    </w:pPr>
    <w:rPr>
      <w:rFonts w:cs="Taher"/>
      <w:bCs/>
      <w:spacing w:val="-4"/>
      <w:w w:val="95"/>
      <w:sz w:val="28"/>
      <w:szCs w:val="28"/>
    </w:rPr>
  </w:style>
  <w:style w:type="character" w:customStyle="1" w:styleId="Charfff7">
    <w:name w:val="وائلي شعر Char"/>
    <w:link w:val="affffffff8"/>
    <w:rsid w:val="001153F1"/>
    <w:rPr>
      <w:rFonts w:ascii="Times New Roman" w:hAnsi="Times New Roman" w:cs="Taher"/>
      <w:bCs/>
      <w:spacing w:val="-4"/>
      <w:w w:val="95"/>
      <w:sz w:val="28"/>
      <w:szCs w:val="28"/>
    </w:rPr>
  </w:style>
  <w:style w:type="character" w:customStyle="1" w:styleId="affffffff9">
    <w:name w:val="متن آيات"/>
    <w:rsid w:val="001153F1"/>
    <w:rPr>
      <w:rFonts w:ascii="Times New Roman" w:hAnsi="Times New Roman" w:cs="KFGQPC Uthman Taha Naskh"/>
      <w:b/>
      <w:bCs/>
      <w:dstrike w:val="0"/>
      <w:color w:val="auto"/>
      <w:sz w:val="27"/>
      <w:szCs w:val="27"/>
      <w:u w:val="none"/>
      <w:vertAlign w:val="baseline"/>
    </w:rPr>
  </w:style>
  <w:style w:type="paragraph" w:customStyle="1" w:styleId="affffffffa">
    <w:name w:val="وائلي نص الحواشي"/>
    <w:uiPriority w:val="99"/>
    <w:rsid w:val="001153F1"/>
    <w:pPr>
      <w:spacing w:line="199" w:lineRule="auto"/>
      <w:ind w:left="170" w:hanging="170"/>
      <w:jc w:val="lowKashida"/>
    </w:pPr>
    <w:rPr>
      <w:rFonts w:ascii="Times New Roman" w:hAnsi="Times New Roman" w:cs="Mosawi"/>
      <w:sz w:val="24"/>
      <w:szCs w:val="26"/>
    </w:rPr>
  </w:style>
  <w:style w:type="character" w:customStyle="1" w:styleId="ufbdr11">
    <w:name w:val="uf_bdr11"/>
    <w:rsid w:val="001153F1"/>
    <w:rPr>
      <w:rFonts w:cs="Simplified Arabic" w:hint="cs"/>
      <w:sz w:val="32"/>
      <w:szCs w:val="32"/>
    </w:rPr>
  </w:style>
  <w:style w:type="paragraph" w:customStyle="1" w:styleId="normal84">
    <w:name w:val="normal .84"/>
    <w:basedOn w:val="af"/>
    <w:qFormat/>
    <w:rsid w:val="001153F1"/>
    <w:pPr>
      <w:spacing w:line="202" w:lineRule="auto"/>
      <w:ind w:firstLine="284"/>
    </w:pPr>
    <w:rPr>
      <w:rFonts w:ascii="Tahoma" w:hAnsi="Tahoma" w:cs="Mosawi"/>
      <w:sz w:val="26"/>
      <w:szCs w:val="28"/>
    </w:rPr>
  </w:style>
  <w:style w:type="paragraph" w:customStyle="1" w:styleId="normal870">
    <w:name w:val="normal .87"/>
    <w:basedOn w:val="af"/>
    <w:qFormat/>
    <w:rsid w:val="001153F1"/>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1153F1"/>
    <w:pPr>
      <w:widowControl/>
      <w:spacing w:line="223" w:lineRule="auto"/>
      <w:ind w:firstLine="284"/>
    </w:pPr>
    <w:rPr>
      <w:rFonts w:ascii="Times New Roman" w:hAnsi="Times New Roman" w:cs="Mosawi"/>
      <w:sz w:val="26"/>
      <w:szCs w:val="28"/>
    </w:rPr>
  </w:style>
  <w:style w:type="paragraph" w:customStyle="1" w:styleId="affffffffb">
    <w:name w:val="وائلي متن"/>
    <w:basedOn w:val="af"/>
    <w:link w:val="Charfff8"/>
    <w:rsid w:val="001153F1"/>
    <w:pPr>
      <w:spacing w:line="209" w:lineRule="auto"/>
      <w:ind w:firstLine="284"/>
    </w:pPr>
    <w:rPr>
      <w:rFonts w:ascii="Times New Roman" w:hAnsi="Times New Roman" w:cs="Mosawi"/>
      <w:sz w:val="32"/>
      <w:szCs w:val="34"/>
    </w:rPr>
  </w:style>
  <w:style w:type="character" w:customStyle="1" w:styleId="Charfff8">
    <w:name w:val="وائلي متن Char"/>
    <w:link w:val="affffffffb"/>
    <w:rsid w:val="001153F1"/>
    <w:rPr>
      <w:rFonts w:ascii="Times New Roman" w:hAnsi="Times New Roman" w:cs="Mosawi"/>
      <w:sz w:val="32"/>
      <w:szCs w:val="34"/>
    </w:rPr>
  </w:style>
  <w:style w:type="paragraph" w:customStyle="1" w:styleId="affffffffc">
    <w:name w:val="وائلي عنوان محاضرة"/>
    <w:basedOn w:val="affffffffb"/>
    <w:next w:val="affffffffb"/>
    <w:rsid w:val="001153F1"/>
    <w:pPr>
      <w:spacing w:before="240" w:after="240" w:line="240" w:lineRule="auto"/>
      <w:ind w:firstLine="0"/>
      <w:jc w:val="center"/>
    </w:pPr>
    <w:rPr>
      <w:rFonts w:cs="Sultan Medium"/>
      <w:sz w:val="36"/>
      <w:szCs w:val="36"/>
    </w:rPr>
  </w:style>
  <w:style w:type="character" w:customStyle="1" w:styleId="ufbdr311">
    <w:name w:val="uf_bdr311"/>
    <w:rsid w:val="001153F1"/>
    <w:rPr>
      <w:rFonts w:cs="Simplified Arabic" w:hint="cs"/>
      <w:sz w:val="34"/>
      <w:szCs w:val="34"/>
    </w:rPr>
  </w:style>
  <w:style w:type="character" w:customStyle="1" w:styleId="ufyag1010">
    <w:name w:val="uf_yag101"/>
    <w:rsid w:val="001153F1"/>
    <w:rPr>
      <w:rFonts w:cs="Simplified Arabic" w:hint="cs"/>
      <w:b/>
      <w:bCs/>
      <w:sz w:val="30"/>
      <w:szCs w:val="30"/>
    </w:rPr>
  </w:style>
  <w:style w:type="paragraph" w:customStyle="1" w:styleId="uflts12">
    <w:name w:val="uf_lts12"/>
    <w:basedOn w:val="af"/>
    <w:rsid w:val="001153F1"/>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1153F1"/>
    <w:pPr>
      <w:bidi w:val="0"/>
      <w:spacing w:line="480" w:lineRule="atLeast"/>
      <w:ind w:firstLine="284"/>
    </w:pPr>
    <w:rPr>
      <w:rFonts w:ascii="Times New Roman" w:eastAsia="Mosawi" w:hAnsi="Times New Roman" w:cs="Simplified Arabic"/>
      <w:b/>
      <w:bCs/>
      <w:szCs w:val="28"/>
    </w:rPr>
  </w:style>
  <w:style w:type="paragraph" w:customStyle="1" w:styleId="ufroy22">
    <w:name w:val="uf_roy22"/>
    <w:basedOn w:val="af"/>
    <w:rsid w:val="001153F1"/>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1153F1"/>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1153F1"/>
    <w:rPr>
      <w:rFonts w:cs="Simplified Arabic" w:hint="cs"/>
      <w:b/>
      <w:bCs/>
      <w:sz w:val="25"/>
      <w:szCs w:val="25"/>
    </w:rPr>
  </w:style>
  <w:style w:type="paragraph" w:customStyle="1" w:styleId="ufyag17">
    <w:name w:val="uf_yag17"/>
    <w:basedOn w:val="af"/>
    <w:rsid w:val="001153F1"/>
    <w:pPr>
      <w:bidi w:val="0"/>
      <w:spacing w:line="480" w:lineRule="atLeast"/>
      <w:ind w:firstLine="284"/>
    </w:pPr>
    <w:rPr>
      <w:rFonts w:ascii="Times New Roman" w:eastAsia="Mosawi" w:hAnsi="Times New Roman" w:cs="Simplified Arabic"/>
      <w:b/>
      <w:bCs/>
      <w:sz w:val="22"/>
      <w:szCs w:val="22"/>
    </w:rPr>
  </w:style>
  <w:style w:type="paragraph" w:customStyle="1" w:styleId="ufyas24">
    <w:name w:val="uf_yas24"/>
    <w:basedOn w:val="af"/>
    <w:rsid w:val="001153F1"/>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1153F1"/>
    <w:rPr>
      <w:rFonts w:cs="Simplified Arabic" w:hint="cs"/>
      <w:b/>
      <w:bCs/>
      <w:sz w:val="28"/>
      <w:szCs w:val="28"/>
    </w:rPr>
  </w:style>
  <w:style w:type="character" w:customStyle="1" w:styleId="1Char10">
    <w:name w:val="عنوان 1 Char1"/>
    <w:aliases w:val="عنوان Char1"/>
    <w:rsid w:val="001153F1"/>
    <w:rPr>
      <w:rFonts w:ascii="Cambria" w:eastAsia="Times New Roman" w:hAnsi="Cambria" w:cs="Times New Roman"/>
      <w:b/>
      <w:bCs/>
      <w:color w:val="365F91"/>
      <w:sz w:val="28"/>
      <w:szCs w:val="28"/>
    </w:rPr>
  </w:style>
  <w:style w:type="paragraph" w:customStyle="1" w:styleId="ufdgb9">
    <w:name w:val="uf_dgb9"/>
    <w:basedOn w:val="af"/>
    <w:uiPriority w:val="99"/>
    <w:rsid w:val="001153F1"/>
    <w:pPr>
      <w:bidi w:val="0"/>
      <w:spacing w:line="480" w:lineRule="atLeast"/>
      <w:ind w:firstLine="284"/>
    </w:pPr>
    <w:rPr>
      <w:rFonts w:ascii="Times New Roman" w:hAnsi="Times New Roman" w:cs="Times New Roman"/>
      <w:sz w:val="24"/>
      <w:szCs w:val="24"/>
    </w:rPr>
  </w:style>
  <w:style w:type="character" w:customStyle="1" w:styleId="ufbdr141">
    <w:name w:val="uf_bdr141"/>
    <w:rsid w:val="001153F1"/>
    <w:rPr>
      <w:rFonts w:cs="Simplified Arabic" w:hint="cs"/>
      <w:b/>
      <w:bCs/>
      <w:sz w:val="28"/>
      <w:szCs w:val="28"/>
    </w:rPr>
  </w:style>
  <w:style w:type="character" w:customStyle="1" w:styleId="ufalaem51">
    <w:name w:val="uf_alaem51"/>
    <w:rsid w:val="001153F1"/>
    <w:rPr>
      <w:rFonts w:ascii="Times New Roman" w:hAnsi="Times New Roman" w:cs="Times New Roman" w:hint="default"/>
      <w:sz w:val="22"/>
      <w:szCs w:val="22"/>
    </w:rPr>
  </w:style>
  <w:style w:type="paragraph" w:customStyle="1" w:styleId="st12">
    <w:name w:val="st12"/>
    <w:basedOn w:val="af"/>
    <w:uiPriority w:val="99"/>
    <w:rsid w:val="001153F1"/>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1153F1"/>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1153F1"/>
    <w:rPr>
      <w:rFonts w:cs="Simplified Arabic" w:hint="cs"/>
      <w:b/>
      <w:bCs/>
      <w:sz w:val="26"/>
      <w:szCs w:val="26"/>
    </w:rPr>
  </w:style>
  <w:style w:type="character" w:styleId="affffffffd">
    <w:name w:val="Book Title"/>
    <w:aliases w:val="الرئيسة"/>
    <w:uiPriority w:val="33"/>
    <w:qFormat/>
    <w:rsid w:val="001153F1"/>
    <w:rPr>
      <w:rFonts w:cs="Sultan bold"/>
      <w:b/>
      <w:bCs/>
      <w:smallCaps/>
      <w:spacing w:val="5"/>
      <w:szCs w:val="31"/>
    </w:rPr>
  </w:style>
  <w:style w:type="paragraph" w:customStyle="1" w:styleId="affffffffe">
    <w:name w:val="واظ"/>
    <w:basedOn w:val="af"/>
    <w:qFormat/>
    <w:rsid w:val="001153F1"/>
    <w:pPr>
      <w:spacing w:line="216" w:lineRule="auto"/>
      <w:ind w:right="280" w:firstLine="284"/>
      <w:jc w:val="highKashida"/>
    </w:pPr>
    <w:rPr>
      <w:rFonts w:ascii="Tahoma" w:hAnsi="Tahoma" w:cs="Abz-3 (Yagut)"/>
      <w:sz w:val="33"/>
      <w:szCs w:val="33"/>
    </w:rPr>
  </w:style>
  <w:style w:type="character" w:customStyle="1" w:styleId="ufyag11">
    <w:name w:val="uf_yag11"/>
    <w:rsid w:val="001153F1"/>
    <w:rPr>
      <w:rFonts w:cs="Simplified Arabic" w:hint="cs"/>
      <w:b/>
      <w:bCs/>
      <w:sz w:val="24"/>
      <w:szCs w:val="24"/>
    </w:rPr>
  </w:style>
  <w:style w:type="paragraph" w:customStyle="1" w:styleId="Style2">
    <w:name w:val="Style2"/>
    <w:basedOn w:val="Style1"/>
    <w:qFormat/>
    <w:rsid w:val="001153F1"/>
    <w:pPr>
      <w:widowControl w:val="0"/>
      <w:spacing w:line="206" w:lineRule="auto"/>
      <w:ind w:left="2268" w:firstLine="0"/>
      <w:jc w:val="highKashida"/>
    </w:pPr>
    <w:rPr>
      <w:rFonts w:eastAsia="Calibri" w:cs="Taher"/>
      <w:b/>
      <w:sz w:val="26"/>
      <w:szCs w:val="28"/>
    </w:rPr>
  </w:style>
  <w:style w:type="paragraph" w:customStyle="1" w:styleId="afffffffff">
    <w:name w:val="العناوين كلها"/>
    <w:basedOn w:val="af"/>
    <w:next w:val="af"/>
    <w:qFormat/>
    <w:rsid w:val="001153F1"/>
    <w:pPr>
      <w:widowControl/>
      <w:spacing w:line="216" w:lineRule="auto"/>
      <w:ind w:firstLine="0"/>
    </w:pPr>
    <w:rPr>
      <w:rFonts w:ascii="Taher" w:eastAsia="Calibri" w:hAnsi="Taher" w:cs="Mosawi"/>
      <w:b/>
      <w:bCs/>
      <w:color w:val="1F497D"/>
      <w:szCs w:val="24"/>
    </w:rPr>
  </w:style>
  <w:style w:type="paragraph" w:customStyle="1" w:styleId="ufbdr10">
    <w:name w:val="uf_bdr10"/>
    <w:basedOn w:val="af"/>
    <w:uiPriority w:val="99"/>
    <w:semiHidden/>
    <w:rsid w:val="001153F1"/>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1153F1"/>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1153F1"/>
    <w:rPr>
      <w:rFonts w:ascii="Times New Roman" w:hAnsi="Times New Roman" w:cs="Times New Roman" w:hint="default"/>
      <w:sz w:val="28"/>
      <w:szCs w:val="28"/>
    </w:rPr>
  </w:style>
  <w:style w:type="table" w:customStyle="1" w:styleId="TableNormal1">
    <w:name w:val="Table Normal1"/>
    <w:uiPriority w:val="99"/>
    <w:semiHidden/>
    <w:qFormat/>
    <w:rsid w:val="001153F1"/>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1153F1"/>
    <w:rPr>
      <w:rFonts w:ascii="Simplified Arabic" w:hAnsi="Simplified Arabic" w:cs="Simplified Arabic" w:hint="default"/>
      <w:b/>
      <w:bCs/>
      <w:sz w:val="32"/>
      <w:szCs w:val="32"/>
    </w:rPr>
  </w:style>
  <w:style w:type="character" w:customStyle="1" w:styleId="st">
    <w:name w:val="st"/>
    <w:rsid w:val="001153F1"/>
  </w:style>
  <w:style w:type="character" w:customStyle="1" w:styleId="ufyag191">
    <w:name w:val="uf_yag191"/>
    <w:rsid w:val="001153F1"/>
    <w:rPr>
      <w:rFonts w:ascii="Simplified Arabic" w:hAnsi="Simplified Arabic" w:cs="Simplified Arabic" w:hint="default"/>
      <w:b/>
      <w:bCs/>
      <w:sz w:val="23"/>
      <w:szCs w:val="23"/>
    </w:rPr>
  </w:style>
  <w:style w:type="character" w:customStyle="1" w:styleId="Char10">
    <w:name w:val="رأس الصفحة Char1"/>
    <w:uiPriority w:val="99"/>
    <w:rsid w:val="001153F1"/>
    <w:rPr>
      <w:rFonts w:cs="Mosawi"/>
      <w:szCs w:val="30"/>
    </w:rPr>
  </w:style>
  <w:style w:type="character" w:customStyle="1" w:styleId="Char11">
    <w:name w:val="تذييل الصفحة Char1"/>
    <w:uiPriority w:val="99"/>
    <w:rsid w:val="001153F1"/>
    <w:rPr>
      <w:rFonts w:cs="Mosawi"/>
      <w:szCs w:val="30"/>
    </w:rPr>
  </w:style>
  <w:style w:type="character" w:customStyle="1" w:styleId="ufyag331">
    <w:name w:val="uf_yag331"/>
    <w:rsid w:val="001153F1"/>
    <w:rPr>
      <w:rFonts w:ascii="Simplified Arabic" w:hAnsi="Simplified Arabic" w:cs="Simplified Arabic" w:hint="default"/>
      <w:b/>
      <w:bCs/>
      <w:sz w:val="60"/>
      <w:szCs w:val="60"/>
    </w:rPr>
  </w:style>
  <w:style w:type="character" w:customStyle="1" w:styleId="ufalaem191">
    <w:name w:val="uf_alaem191"/>
    <w:rsid w:val="001153F1"/>
    <w:rPr>
      <w:rFonts w:ascii="Times New Roman" w:hAnsi="Times New Roman" w:cs="Times New Roman" w:hint="default"/>
      <w:sz w:val="36"/>
      <w:szCs w:val="36"/>
    </w:rPr>
  </w:style>
  <w:style w:type="character" w:customStyle="1" w:styleId="ufnzn191">
    <w:name w:val="uf_nzn191"/>
    <w:rsid w:val="001153F1"/>
    <w:rPr>
      <w:rFonts w:ascii="Times New Roman" w:hAnsi="Times New Roman" w:cs="Times New Roman" w:hint="default"/>
      <w:b/>
      <w:bCs/>
      <w:sz w:val="26"/>
      <w:szCs w:val="26"/>
    </w:rPr>
  </w:style>
  <w:style w:type="character" w:customStyle="1" w:styleId="ufesy161">
    <w:name w:val="uf_esy161"/>
    <w:rsid w:val="001153F1"/>
    <w:rPr>
      <w:rFonts w:ascii="Times New Roman" w:hAnsi="Times New Roman" w:cs="Times New Roman" w:hint="default"/>
      <w:sz w:val="28"/>
      <w:szCs w:val="28"/>
    </w:rPr>
  </w:style>
  <w:style w:type="character" w:customStyle="1" w:styleId="ufesy281">
    <w:name w:val="uf_esy281"/>
    <w:rsid w:val="001153F1"/>
    <w:rPr>
      <w:rFonts w:ascii="Times New Roman" w:hAnsi="Times New Roman" w:cs="Times New Roman" w:hint="default"/>
      <w:sz w:val="48"/>
      <w:szCs w:val="48"/>
    </w:rPr>
  </w:style>
  <w:style w:type="paragraph" w:customStyle="1" w:styleId="ufalaem3">
    <w:name w:val="uf_alaem3"/>
    <w:basedOn w:val="af"/>
    <w:rsid w:val="001153F1"/>
    <w:pPr>
      <w:widowControl/>
      <w:bidi w:val="0"/>
      <w:spacing w:line="480" w:lineRule="atLeast"/>
      <w:ind w:firstLine="284"/>
    </w:pPr>
    <w:rPr>
      <w:rFonts w:ascii="Times New Roman" w:hAnsi="Times New Roman" w:cs="Times New Roman"/>
      <w:szCs w:val="28"/>
    </w:rPr>
  </w:style>
  <w:style w:type="character" w:customStyle="1" w:styleId="ufyag81">
    <w:name w:val="uf_yag81"/>
    <w:rsid w:val="001153F1"/>
    <w:rPr>
      <w:rFonts w:ascii="Simplified Arabic" w:hAnsi="Simplified Arabic" w:cs="Simplified Arabic" w:hint="default"/>
      <w:b/>
      <w:bCs/>
      <w:sz w:val="24"/>
      <w:szCs w:val="24"/>
    </w:rPr>
  </w:style>
  <w:style w:type="character" w:customStyle="1" w:styleId="ufjad251">
    <w:name w:val="uf_jad251"/>
    <w:rsid w:val="001153F1"/>
    <w:rPr>
      <w:rFonts w:ascii="Simplified Arabic" w:hAnsi="Simplified Arabic" w:cs="Simplified Arabic" w:hint="default"/>
      <w:b/>
      <w:bCs/>
      <w:sz w:val="28"/>
      <w:szCs w:val="28"/>
    </w:rPr>
  </w:style>
  <w:style w:type="paragraph" w:customStyle="1" w:styleId="st16">
    <w:name w:val="st16"/>
    <w:basedOn w:val="af"/>
    <w:rsid w:val="001153F1"/>
    <w:pPr>
      <w:widowControl/>
      <w:bidi w:val="0"/>
      <w:spacing w:before="142" w:after="57" w:line="500" w:lineRule="atLeast"/>
      <w:ind w:firstLine="284"/>
    </w:pPr>
    <w:rPr>
      <w:rFonts w:ascii="Simplified Arabic" w:hAnsi="Simplified Arabic" w:cs="Simplified Arabic"/>
      <w:b/>
      <w:bCs/>
      <w:szCs w:val="28"/>
    </w:rPr>
  </w:style>
  <w:style w:type="paragraph" w:customStyle="1" w:styleId="st19">
    <w:name w:val="st19"/>
    <w:basedOn w:val="af"/>
    <w:rsid w:val="001153F1"/>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1153F1"/>
    <w:rPr>
      <w:rFonts w:ascii="Times New Roman" w:hAnsi="Times New Roman" w:cs="Times New Roman" w:hint="default"/>
      <w:sz w:val="22"/>
      <w:szCs w:val="22"/>
    </w:rPr>
  </w:style>
  <w:style w:type="character" w:customStyle="1" w:styleId="ufyas261">
    <w:name w:val="uf_yas261"/>
    <w:rsid w:val="001153F1"/>
    <w:rPr>
      <w:rFonts w:ascii="Times New Roman" w:hAnsi="Times New Roman" w:cs="Times New Roman" w:hint="default"/>
      <w:b/>
      <w:bCs/>
      <w:sz w:val="72"/>
      <w:szCs w:val="72"/>
    </w:rPr>
  </w:style>
  <w:style w:type="character" w:customStyle="1" w:styleId="fnote2">
    <w:name w:val="fnote2"/>
    <w:rsid w:val="001153F1"/>
    <w:rPr>
      <w:rFonts w:ascii="Tahoma" w:hAnsi="Tahoma" w:cs="Tahoma" w:hint="default"/>
      <w:color w:val="B8860B"/>
      <w:sz w:val="20"/>
      <w:szCs w:val="20"/>
    </w:rPr>
  </w:style>
  <w:style w:type="character" w:customStyle="1" w:styleId="afffffffff0">
    <w:name w:val="شهاب آيات"/>
    <w:rsid w:val="001153F1"/>
    <w:rPr>
      <w:rFonts w:ascii="Times New Roman" w:hAnsi="Times New Roman" w:cs="Mosawi" w:hint="default"/>
      <w:b/>
      <w:bCs/>
      <w:strike w:val="0"/>
      <w:dstrike w:val="0"/>
      <w:color w:val="auto"/>
      <w:sz w:val="30"/>
      <w:szCs w:val="30"/>
      <w:u w:val="none"/>
      <w:effect w:val="none"/>
      <w:vertAlign w:val="baseline"/>
    </w:rPr>
  </w:style>
  <w:style w:type="character" w:styleId="afffffffff1">
    <w:name w:val="Intense Emphasis"/>
    <w:aliases w:val="شاه کلید بحث (مهم )"/>
    <w:uiPriority w:val="21"/>
    <w:qFormat/>
    <w:rsid w:val="001153F1"/>
    <w:rPr>
      <w:b/>
      <w:bCs/>
      <w:i/>
      <w:iCs/>
      <w:color w:val="4F81BD"/>
    </w:rPr>
  </w:style>
  <w:style w:type="character" w:customStyle="1" w:styleId="uflts141">
    <w:name w:val="uf_lts141"/>
    <w:rsid w:val="001153F1"/>
    <w:rPr>
      <w:rFonts w:ascii="Simplified Arabic" w:hAnsi="Simplified Arabic" w:cs="Simplified Arabic" w:hint="cs"/>
      <w:b/>
      <w:bCs/>
      <w:sz w:val="30"/>
      <w:szCs w:val="30"/>
    </w:rPr>
  </w:style>
  <w:style w:type="character" w:customStyle="1" w:styleId="currentbookname">
    <w:name w:val="current_book_name"/>
    <w:rsid w:val="001153F1"/>
  </w:style>
  <w:style w:type="character" w:customStyle="1" w:styleId="currentbookpage">
    <w:name w:val="current_book_page"/>
    <w:rsid w:val="001153F1"/>
  </w:style>
  <w:style w:type="paragraph" w:styleId="afffffffff2">
    <w:name w:val="caption"/>
    <w:basedOn w:val="af"/>
    <w:next w:val="af"/>
    <w:uiPriority w:val="35"/>
    <w:semiHidden/>
    <w:unhideWhenUsed/>
    <w:qFormat/>
    <w:rsid w:val="001153F1"/>
    <w:pPr>
      <w:widowControl/>
      <w:spacing w:after="200" w:line="240" w:lineRule="auto"/>
      <w:ind w:firstLine="284"/>
    </w:pPr>
    <w:rPr>
      <w:rFonts w:ascii="Times New Roman" w:eastAsia="Calibri" w:hAnsi="Times New Roman" w:cs="Mosawi"/>
      <w:b/>
      <w:bCs/>
      <w:color w:val="4F81BD"/>
      <w:sz w:val="18"/>
      <w:szCs w:val="18"/>
    </w:rPr>
  </w:style>
  <w:style w:type="paragraph" w:customStyle="1" w:styleId="ufyag27">
    <w:name w:val="uf_yag27"/>
    <w:basedOn w:val="af"/>
    <w:uiPriority w:val="99"/>
    <w:semiHidden/>
    <w:rsid w:val="001153F1"/>
    <w:pPr>
      <w:widowControl/>
      <w:bidi w:val="0"/>
      <w:spacing w:line="480" w:lineRule="atLeast"/>
      <w:ind w:firstLine="284"/>
    </w:pPr>
    <w:rPr>
      <w:rFonts w:ascii="Times New Roman" w:hAnsi="Times New Roman" w:cs="Simplified Arabic"/>
      <w:sz w:val="26"/>
      <w:szCs w:val="26"/>
    </w:rPr>
  </w:style>
  <w:style w:type="character" w:customStyle="1" w:styleId="ufesy181">
    <w:name w:val="uf_esy181"/>
    <w:rsid w:val="001153F1"/>
    <w:rPr>
      <w:rFonts w:ascii="Times New Roman" w:hAnsi="Times New Roman" w:cs="Times New Roman" w:hint="default"/>
      <w:sz w:val="28"/>
      <w:szCs w:val="28"/>
    </w:rPr>
  </w:style>
  <w:style w:type="character" w:customStyle="1" w:styleId="usercontentsecondary">
    <w:name w:val="usercontentsecondary"/>
    <w:rsid w:val="001153F1"/>
  </w:style>
  <w:style w:type="character" w:customStyle="1" w:styleId="red">
    <w:name w:val="red"/>
    <w:rsid w:val="001153F1"/>
  </w:style>
  <w:style w:type="character" w:customStyle="1" w:styleId="ufesy41">
    <w:name w:val="uf_esy41"/>
    <w:rsid w:val="001153F1"/>
    <w:rPr>
      <w:rFonts w:ascii="Times New Roman" w:hAnsi="Times New Roman" w:cs="Times New Roman" w:hint="default"/>
      <w:sz w:val="32"/>
      <w:szCs w:val="32"/>
    </w:rPr>
  </w:style>
  <w:style w:type="character" w:customStyle="1" w:styleId="fn">
    <w:name w:val="fn"/>
    <w:rsid w:val="001153F1"/>
  </w:style>
  <w:style w:type="character" w:customStyle="1" w:styleId="fnote">
    <w:name w:val="fnote"/>
    <w:rsid w:val="001153F1"/>
  </w:style>
  <w:style w:type="character" w:customStyle="1" w:styleId="uflts341">
    <w:name w:val="uflts341"/>
    <w:rsid w:val="001153F1"/>
  </w:style>
  <w:style w:type="character" w:customStyle="1" w:styleId="ufalaem231">
    <w:name w:val="ufalaem231"/>
    <w:rsid w:val="001153F1"/>
  </w:style>
  <w:style w:type="character" w:customStyle="1" w:styleId="2-Char1">
    <w:name w:val="2-المبحث Char1"/>
    <w:aliases w:val="عنوان 2 Char1"/>
    <w:uiPriority w:val="9"/>
    <w:semiHidden/>
    <w:rsid w:val="001153F1"/>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1153F1"/>
    <w:rPr>
      <w:rFonts w:ascii="Cambria" w:eastAsia="Times New Roman" w:hAnsi="Cambria" w:cs="Times New Roman"/>
      <w:color w:val="243F60"/>
      <w:sz w:val="24"/>
      <w:szCs w:val="24"/>
    </w:rPr>
  </w:style>
  <w:style w:type="character" w:customStyle="1" w:styleId="FootnoteTextChar1">
    <w:name w:val="Footnote Text Char1"/>
    <w:aliases w:val="پا ورقي Char1,هامش Char1,نص حاشية سفلية Char Char Char Char1,نص حاشية سفلية1 Char Char2,نص حاشية سفلية1 Char Char Char2,نص حاشية سفلية1 Char Char Char Char1,هامش سفلي Char1,Char1 Char1,Char Char Char Char1,Char Char Char1 Char1"/>
    <w:semiHidden/>
    <w:rsid w:val="001153F1"/>
    <w:rPr>
      <w:rFonts w:ascii="Tahoma" w:eastAsia="Times New Roman" w:hAnsi="Tahoma" w:cs="Mosawi"/>
    </w:rPr>
  </w:style>
  <w:style w:type="character" w:customStyle="1" w:styleId="TitleChar1">
    <w:name w:val="Title Char1"/>
    <w:aliases w:val="Author Name Char1,سلطان بولد14 Char1,العنوان Char1,شاه کلیدها Char1"/>
    <w:uiPriority w:val="10"/>
    <w:rsid w:val="001153F1"/>
    <w:rPr>
      <w:rFonts w:ascii="Cambria" w:eastAsia="Times New Roman" w:hAnsi="Cambria" w:cs="Times New Roman"/>
      <w:spacing w:val="-10"/>
      <w:kern w:val="28"/>
      <w:sz w:val="56"/>
      <w:szCs w:val="56"/>
    </w:rPr>
  </w:style>
  <w:style w:type="paragraph" w:customStyle="1" w:styleId="style10">
    <w:name w:val="style1"/>
    <w:basedOn w:val="af"/>
    <w:qFormat/>
    <w:rsid w:val="001153F1"/>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1153F1"/>
    <w:pPr>
      <w:ind w:left="2268" w:right="0"/>
    </w:pPr>
  </w:style>
  <w:style w:type="numbering" w:customStyle="1" w:styleId="3f1">
    <w:name w:val="بلا قائمة3"/>
    <w:next w:val="af2"/>
    <w:uiPriority w:val="99"/>
    <w:semiHidden/>
    <w:unhideWhenUsed/>
    <w:rsid w:val="001153F1"/>
  </w:style>
  <w:style w:type="character" w:customStyle="1" w:styleId="ufbdr291">
    <w:name w:val="uf_bdr291"/>
    <w:rsid w:val="001153F1"/>
    <w:rPr>
      <w:rFonts w:ascii="Simplified Arabic" w:hAnsi="Simplified Arabic" w:cs="Simplified Arabic" w:hint="cs"/>
      <w:b/>
      <w:bCs/>
      <w:sz w:val="18"/>
      <w:szCs w:val="18"/>
    </w:rPr>
  </w:style>
  <w:style w:type="character" w:customStyle="1" w:styleId="uftms221">
    <w:name w:val="uf_tms221"/>
    <w:rsid w:val="001153F1"/>
    <w:rPr>
      <w:rFonts w:ascii="Times New Roman" w:hAnsi="Times New Roman" w:cs="Times New Roman" w:hint="default"/>
      <w:sz w:val="16"/>
      <w:szCs w:val="16"/>
    </w:rPr>
  </w:style>
  <w:style w:type="numbering" w:customStyle="1" w:styleId="4c">
    <w:name w:val="بلا قائمة4"/>
    <w:next w:val="af2"/>
    <w:uiPriority w:val="99"/>
    <w:semiHidden/>
    <w:unhideWhenUsed/>
    <w:rsid w:val="001153F1"/>
  </w:style>
  <w:style w:type="character" w:customStyle="1" w:styleId="EndnoteTextChar1">
    <w:name w:val="Endnote Text Char1"/>
    <w:rsid w:val="001153F1"/>
    <w:rPr>
      <w:rFonts w:ascii="Tahoma" w:eastAsia="Times New Roman" w:hAnsi="Tahoma" w:cs="Mosawi"/>
    </w:rPr>
  </w:style>
  <w:style w:type="character" w:customStyle="1" w:styleId="Char12">
    <w:name w:val="نص تعليق ختامي Char1"/>
    <w:uiPriority w:val="99"/>
    <w:semiHidden/>
    <w:rsid w:val="001153F1"/>
    <w:rPr>
      <w:rFonts w:ascii="Times New Roman" w:hAnsi="Times New Roman" w:cs="Mosawi"/>
      <w:sz w:val="20"/>
      <w:szCs w:val="20"/>
    </w:rPr>
  </w:style>
  <w:style w:type="character" w:customStyle="1" w:styleId="uflts710">
    <w:name w:val="uflts71"/>
    <w:rsid w:val="001153F1"/>
  </w:style>
  <w:style w:type="character" w:customStyle="1" w:styleId="ufyag2310">
    <w:name w:val="ufyag231"/>
    <w:rsid w:val="001153F1"/>
  </w:style>
  <w:style w:type="character" w:customStyle="1" w:styleId="ufalaem910">
    <w:name w:val="ufalaem91"/>
    <w:rsid w:val="001153F1"/>
  </w:style>
  <w:style w:type="character" w:customStyle="1" w:styleId="ufyag2510">
    <w:name w:val="ufyag251"/>
    <w:rsid w:val="001153F1"/>
  </w:style>
  <w:style w:type="numbering" w:customStyle="1" w:styleId="110">
    <w:name w:val="بلا قائمة11"/>
    <w:next w:val="af2"/>
    <w:uiPriority w:val="99"/>
    <w:semiHidden/>
    <w:unhideWhenUsed/>
    <w:rsid w:val="001153F1"/>
  </w:style>
  <w:style w:type="character" w:customStyle="1" w:styleId="uflts131">
    <w:name w:val="uf_lts131"/>
    <w:rsid w:val="001153F1"/>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1153F1"/>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1153F1"/>
    <w:rPr>
      <w:rFonts w:ascii="Cambria" w:eastAsia="Times New Roman" w:hAnsi="Cambria" w:cs="Times New Roman"/>
      <w:i/>
      <w:iCs/>
      <w:color w:val="243F60"/>
      <w:sz w:val="28"/>
      <w:szCs w:val="32"/>
    </w:rPr>
  </w:style>
  <w:style w:type="paragraph" w:customStyle="1" w:styleId="uftms23">
    <w:name w:val="uf_tms23"/>
    <w:basedOn w:val="af"/>
    <w:uiPriority w:val="99"/>
    <w:semiHidden/>
    <w:rsid w:val="001153F1"/>
    <w:pPr>
      <w:widowControl/>
      <w:bidi w:val="0"/>
      <w:spacing w:line="490" w:lineRule="atLeast"/>
      <w:ind w:firstLine="284"/>
    </w:pPr>
    <w:rPr>
      <w:rFonts w:ascii="Times New Roman" w:hAnsi="Times New Roman" w:cs="Times New Roman"/>
      <w:szCs w:val="28"/>
    </w:rPr>
  </w:style>
  <w:style w:type="character" w:customStyle="1" w:styleId="ufbdr91">
    <w:name w:val="uf_bdr91"/>
    <w:rsid w:val="001153F1"/>
    <w:rPr>
      <w:rFonts w:ascii="Simplified Arabic" w:hAnsi="Simplified Arabic" w:cs="Simplified Arabic" w:hint="default"/>
      <w:b/>
      <w:bCs/>
      <w:sz w:val="24"/>
      <w:szCs w:val="24"/>
    </w:rPr>
  </w:style>
  <w:style w:type="table" w:customStyle="1" w:styleId="TableGrid1">
    <w:name w:val="Table Grid1"/>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1153F1"/>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1153F1"/>
    <w:rPr>
      <w:rFonts w:ascii="Simplified Arabic" w:hAnsi="Simplified Arabic" w:cs="Simplified Arabic" w:hint="cs"/>
      <w:b/>
      <w:bCs/>
      <w:sz w:val="18"/>
      <w:szCs w:val="18"/>
    </w:rPr>
  </w:style>
  <w:style w:type="character" w:customStyle="1" w:styleId="ufbdr251">
    <w:name w:val="uf_bdr251"/>
    <w:rsid w:val="001153F1"/>
    <w:rPr>
      <w:rFonts w:ascii="Simplified Arabic" w:hAnsi="Simplified Arabic" w:cs="Simplified Arabic" w:hint="cs"/>
      <w:sz w:val="27"/>
      <w:szCs w:val="27"/>
    </w:rPr>
  </w:style>
  <w:style w:type="paragraph" w:customStyle="1" w:styleId="Normal2">
    <w:name w:val="Normal2"/>
    <w:basedOn w:val="af"/>
    <w:qFormat/>
    <w:rsid w:val="001153F1"/>
    <w:pPr>
      <w:spacing w:line="216" w:lineRule="auto"/>
      <w:ind w:firstLine="284"/>
    </w:pPr>
    <w:rPr>
      <w:rFonts w:ascii="Times New Roman" w:hAnsi="Times New Roman" w:cs="Mosawi"/>
      <w:sz w:val="32"/>
      <w:szCs w:val="32"/>
    </w:rPr>
  </w:style>
  <w:style w:type="paragraph" w:customStyle="1" w:styleId="Normal4">
    <w:name w:val="Normal4"/>
    <w:basedOn w:val="af"/>
    <w:qFormat/>
    <w:rsid w:val="001153F1"/>
    <w:pPr>
      <w:spacing w:line="223" w:lineRule="auto"/>
      <w:ind w:firstLine="284"/>
    </w:pPr>
    <w:rPr>
      <w:rFonts w:ascii="Tahoma" w:hAnsi="Tahoma" w:cs="Mosawi"/>
      <w:szCs w:val="32"/>
    </w:rPr>
  </w:style>
  <w:style w:type="table" w:customStyle="1" w:styleId="TableNormal2">
    <w:name w:val="Table Normal2"/>
    <w:uiPriority w:val="99"/>
    <w:semiHidden/>
    <w:qFormat/>
    <w:rsid w:val="001153F1"/>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1153F1"/>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1153F1"/>
  </w:style>
  <w:style w:type="character" w:customStyle="1" w:styleId="ufbdr161">
    <w:name w:val="ufbdr161"/>
    <w:rsid w:val="001153F1"/>
  </w:style>
  <w:style w:type="paragraph" w:customStyle="1" w:styleId="Space">
    <w:name w:val="Space"/>
    <w:basedOn w:val="af"/>
    <w:qFormat/>
    <w:rsid w:val="001153F1"/>
    <w:pPr>
      <w:spacing w:line="202" w:lineRule="auto"/>
      <w:ind w:firstLine="284"/>
    </w:pPr>
    <w:rPr>
      <w:rFonts w:cs="Mosawi"/>
      <w:sz w:val="26"/>
      <w:szCs w:val="28"/>
    </w:rPr>
  </w:style>
  <w:style w:type="paragraph" w:customStyle="1" w:styleId="Space3">
    <w:name w:val="Space3"/>
    <w:basedOn w:val="af"/>
    <w:qFormat/>
    <w:rsid w:val="001153F1"/>
    <w:pPr>
      <w:spacing w:line="216" w:lineRule="auto"/>
      <w:ind w:firstLine="284"/>
    </w:pPr>
    <w:rPr>
      <w:rFonts w:cs="Mosawi"/>
      <w:sz w:val="26"/>
      <w:szCs w:val="28"/>
    </w:rPr>
  </w:style>
  <w:style w:type="paragraph" w:customStyle="1" w:styleId="afffffffff3">
    <w:name w:val="المتن (كتب)"/>
    <w:basedOn w:val="af"/>
    <w:link w:val="Charfff9"/>
    <w:qFormat/>
    <w:rsid w:val="001153F1"/>
    <w:pPr>
      <w:spacing w:line="206" w:lineRule="auto"/>
      <w:ind w:firstLine="284"/>
    </w:pPr>
    <w:rPr>
      <w:rFonts w:ascii="Arno Pro Display" w:eastAsia="Batang" w:hAnsi="Arno Pro Display" w:cs="Mosawi"/>
      <w:szCs w:val="28"/>
    </w:rPr>
  </w:style>
  <w:style w:type="character" w:customStyle="1" w:styleId="Charfff9">
    <w:name w:val="المتن (كتب) Char"/>
    <w:link w:val="afffffffff3"/>
    <w:rsid w:val="001153F1"/>
    <w:rPr>
      <w:rFonts w:ascii="Arno Pro Display" w:eastAsia="Batang" w:hAnsi="Arno Pro Display" w:cs="Mosawi"/>
      <w:sz w:val="28"/>
      <w:szCs w:val="28"/>
    </w:rPr>
  </w:style>
  <w:style w:type="paragraph" w:customStyle="1" w:styleId="afffffffff4">
    <w:name w:val="العنوان الأساسي"/>
    <w:basedOn w:val="af"/>
    <w:rsid w:val="001153F1"/>
    <w:pPr>
      <w:spacing w:line="240" w:lineRule="auto"/>
      <w:ind w:firstLine="0"/>
      <w:jc w:val="center"/>
    </w:pPr>
    <w:rPr>
      <w:rFonts w:ascii="AL-Mateen" w:eastAsia="Batang" w:hAnsi="AL-Mateen" w:cs="AL-Mateen"/>
      <w:sz w:val="32"/>
      <w:szCs w:val="50"/>
    </w:rPr>
  </w:style>
  <w:style w:type="paragraph" w:customStyle="1" w:styleId="1ff">
    <w:name w:val="عنوان(1) ـ المتن"/>
    <w:basedOn w:val="11"/>
    <w:qFormat/>
    <w:rsid w:val="001153F1"/>
    <w:pPr>
      <w:keepNext w:val="0"/>
      <w:keepLines w:val="0"/>
      <w:spacing w:before="240"/>
      <w:contextualSpacing/>
      <w:jc w:val="both"/>
    </w:pPr>
    <w:rPr>
      <w:rFonts w:ascii="Times New Roman" w:eastAsia="Batang" w:hAnsi="Times New Roman"/>
      <w:kern w:val="32"/>
      <w:sz w:val="28"/>
      <w:szCs w:val="38"/>
    </w:rPr>
  </w:style>
  <w:style w:type="paragraph" w:customStyle="1" w:styleId="space2">
    <w:name w:val="space2"/>
    <w:basedOn w:val="af"/>
    <w:rsid w:val="001153F1"/>
    <w:pPr>
      <w:spacing w:line="206" w:lineRule="auto"/>
      <w:ind w:firstLine="284"/>
    </w:pPr>
    <w:rPr>
      <w:rFonts w:cs="Mosawi"/>
      <w:szCs w:val="30"/>
    </w:rPr>
  </w:style>
  <w:style w:type="paragraph" w:customStyle="1" w:styleId="space30">
    <w:name w:val="space3"/>
    <w:basedOn w:val="af"/>
    <w:rsid w:val="001153F1"/>
    <w:pPr>
      <w:spacing w:line="221" w:lineRule="auto"/>
      <w:ind w:firstLine="284"/>
    </w:pPr>
    <w:rPr>
      <w:rFonts w:cs="Mosawi"/>
      <w:szCs w:val="30"/>
    </w:rPr>
  </w:style>
  <w:style w:type="paragraph" w:customStyle="1" w:styleId="afffffffff5">
    <w:name w:val="المثال"/>
    <w:basedOn w:val="af"/>
    <w:link w:val="Charfffa"/>
    <w:rsid w:val="001153F1"/>
    <w:pPr>
      <w:widowControl/>
      <w:spacing w:before="100" w:beforeAutospacing="1" w:line="240" w:lineRule="auto"/>
    </w:pPr>
    <w:rPr>
      <w:rFonts w:ascii="Times New Roman" w:hAnsi="Times New Roman" w:cs="Abz-2 (Badr)"/>
      <w:bCs/>
      <w:sz w:val="24"/>
      <w:szCs w:val="32"/>
    </w:rPr>
  </w:style>
  <w:style w:type="character" w:customStyle="1" w:styleId="Charfffa">
    <w:name w:val="المثال Char"/>
    <w:link w:val="afffffffff5"/>
    <w:rsid w:val="001153F1"/>
    <w:rPr>
      <w:rFonts w:ascii="Times New Roman" w:hAnsi="Times New Roman" w:cs="Abz-2 (Badr)"/>
      <w:bCs/>
      <w:sz w:val="24"/>
      <w:szCs w:val="32"/>
    </w:rPr>
  </w:style>
  <w:style w:type="paragraph" w:customStyle="1" w:styleId="afffffffff6">
    <w:name w:val="الدرس"/>
    <w:basedOn w:val="af"/>
    <w:link w:val="Charfffb"/>
    <w:rsid w:val="001153F1"/>
    <w:pPr>
      <w:widowControl/>
      <w:spacing w:line="240" w:lineRule="auto"/>
    </w:pPr>
    <w:rPr>
      <w:rFonts w:ascii="Times New Roman" w:hAnsi="Times New Roman" w:cs="Abz-1 (Lotus)"/>
      <w:bCs/>
      <w:sz w:val="24"/>
      <w:szCs w:val="32"/>
    </w:rPr>
  </w:style>
  <w:style w:type="character" w:customStyle="1" w:styleId="Charfffb">
    <w:name w:val="الدرس Char"/>
    <w:link w:val="afffffffff6"/>
    <w:rsid w:val="001153F1"/>
    <w:rPr>
      <w:rFonts w:ascii="Times New Roman" w:hAnsi="Times New Roman" w:cs="Abz-1 (Lotus)"/>
      <w:bCs/>
      <w:sz w:val="24"/>
      <w:szCs w:val="32"/>
    </w:rPr>
  </w:style>
  <w:style w:type="paragraph" w:customStyle="1" w:styleId="59">
    <w:name w:val="ع 5"/>
    <w:basedOn w:val="af"/>
    <w:link w:val="5CharChar"/>
    <w:rsid w:val="001153F1"/>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1153F1"/>
    <w:rPr>
      <w:rFonts w:ascii="Times New Roman" w:hAnsi="Times New Roman"/>
      <w:bCs/>
      <w:sz w:val="24"/>
      <w:szCs w:val="26"/>
    </w:rPr>
  </w:style>
  <w:style w:type="paragraph" w:customStyle="1" w:styleId="65">
    <w:name w:val="ع 6"/>
    <w:basedOn w:val="af"/>
    <w:next w:val="af"/>
    <w:rsid w:val="001153F1"/>
    <w:pPr>
      <w:widowControl/>
      <w:spacing w:line="240" w:lineRule="auto"/>
      <w:ind w:firstLine="284"/>
      <w:jc w:val="lowKashida"/>
    </w:pPr>
    <w:rPr>
      <w:rFonts w:ascii="Times New Roman" w:hAnsi="Times New Roman" w:cs="Arabic Transparent"/>
      <w:bCs/>
      <w:sz w:val="24"/>
      <w:szCs w:val="25"/>
    </w:rPr>
  </w:style>
  <w:style w:type="paragraph" w:customStyle="1" w:styleId="afffffffff7">
    <w:name w:val="الفائدة"/>
    <w:basedOn w:val="af"/>
    <w:next w:val="af"/>
    <w:link w:val="CharChar5"/>
    <w:rsid w:val="001153F1"/>
    <w:pPr>
      <w:widowControl/>
      <w:spacing w:before="100" w:beforeAutospacing="1" w:line="240" w:lineRule="auto"/>
    </w:pPr>
    <w:rPr>
      <w:rFonts w:ascii="Times New Roman" w:hAnsi="Times New Roman" w:cs="Abz-1 (Lotus)"/>
      <w:bCs/>
      <w:sz w:val="24"/>
      <w:szCs w:val="32"/>
    </w:rPr>
  </w:style>
  <w:style w:type="character" w:customStyle="1" w:styleId="CharChar5">
    <w:name w:val="الفائدة Char Char"/>
    <w:link w:val="afffffffff7"/>
    <w:rsid w:val="001153F1"/>
    <w:rPr>
      <w:rFonts w:ascii="Times New Roman" w:hAnsi="Times New Roman" w:cs="Abz-1 (Lotus)"/>
      <w:bCs/>
      <w:sz w:val="24"/>
      <w:szCs w:val="32"/>
    </w:rPr>
  </w:style>
  <w:style w:type="paragraph" w:customStyle="1" w:styleId="74">
    <w:name w:val="ع 7"/>
    <w:basedOn w:val="af"/>
    <w:link w:val="7CharChar"/>
    <w:rsid w:val="001153F1"/>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1153F1"/>
    <w:rPr>
      <w:rFonts w:ascii="Times New Roman" w:hAnsi="Times New Roman" w:cs="Akhbar MT"/>
      <w:sz w:val="24"/>
      <w:szCs w:val="32"/>
    </w:rPr>
  </w:style>
  <w:style w:type="paragraph" w:customStyle="1" w:styleId="afffffffff8">
    <w:name w:val="الملاحظة"/>
    <w:basedOn w:val="af"/>
    <w:link w:val="Charfffc"/>
    <w:rsid w:val="001153F1"/>
    <w:pPr>
      <w:widowControl/>
      <w:spacing w:line="240" w:lineRule="auto"/>
    </w:pPr>
    <w:rPr>
      <w:rFonts w:ascii="Times New Roman" w:hAnsi="Times New Roman" w:cs="Abz-2 (Badr)"/>
      <w:bCs/>
      <w:sz w:val="24"/>
      <w:szCs w:val="32"/>
    </w:rPr>
  </w:style>
  <w:style w:type="character" w:customStyle="1" w:styleId="Charfffc">
    <w:name w:val="الملاحظة Char"/>
    <w:link w:val="afffffffff8"/>
    <w:rsid w:val="001153F1"/>
    <w:rPr>
      <w:rFonts w:ascii="Times New Roman" w:hAnsi="Times New Roman" w:cs="Abz-2 (Badr)"/>
      <w:bCs/>
      <w:sz w:val="24"/>
      <w:szCs w:val="32"/>
    </w:rPr>
  </w:style>
  <w:style w:type="paragraph" w:customStyle="1" w:styleId="afffffffff9">
    <w:name w:val="التاريخ"/>
    <w:basedOn w:val="af"/>
    <w:link w:val="Charfffd"/>
    <w:rsid w:val="001153F1"/>
    <w:pPr>
      <w:widowControl/>
      <w:spacing w:line="240" w:lineRule="auto"/>
    </w:pPr>
    <w:rPr>
      <w:rFonts w:ascii="Times New Roman" w:hAnsi="Times New Roman" w:cs="Al-Najaf95"/>
      <w:bCs/>
      <w:sz w:val="24"/>
      <w:szCs w:val="32"/>
    </w:rPr>
  </w:style>
  <w:style w:type="character" w:customStyle="1" w:styleId="Charfffd">
    <w:name w:val="التاريخ Char"/>
    <w:link w:val="afffffffff9"/>
    <w:rsid w:val="001153F1"/>
    <w:rPr>
      <w:rFonts w:ascii="Times New Roman" w:hAnsi="Times New Roman" w:cs="Al-Najaf95"/>
      <w:bCs/>
      <w:sz w:val="24"/>
      <w:szCs w:val="32"/>
    </w:rPr>
  </w:style>
  <w:style w:type="paragraph" w:customStyle="1" w:styleId="afffffffffa">
    <w:name w:val="اليوم"/>
    <w:basedOn w:val="af"/>
    <w:link w:val="Charfffe"/>
    <w:rsid w:val="001153F1"/>
    <w:pPr>
      <w:widowControl/>
      <w:spacing w:before="100" w:beforeAutospacing="1" w:line="240" w:lineRule="auto"/>
    </w:pPr>
    <w:rPr>
      <w:rFonts w:ascii="Times New Roman" w:hAnsi="Times New Roman" w:cs="Al-Najaf95"/>
      <w:b/>
      <w:bCs/>
      <w:sz w:val="32"/>
      <w:szCs w:val="32"/>
    </w:rPr>
  </w:style>
  <w:style w:type="character" w:customStyle="1" w:styleId="Charfffe">
    <w:name w:val="اليوم Char"/>
    <w:link w:val="afffffffffa"/>
    <w:rsid w:val="001153F1"/>
    <w:rPr>
      <w:rFonts w:ascii="Times New Roman" w:hAnsi="Times New Roman" w:cs="Al-Najaf95"/>
      <w:b/>
      <w:bCs/>
      <w:sz w:val="32"/>
      <w:szCs w:val="32"/>
    </w:rPr>
  </w:style>
  <w:style w:type="paragraph" w:customStyle="1" w:styleId="92">
    <w:name w:val="عنوان9"/>
    <w:basedOn w:val="af"/>
    <w:link w:val="9Char0"/>
    <w:rsid w:val="001153F1"/>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1153F1"/>
    <w:rPr>
      <w:rFonts w:ascii="Times New Roman" w:hAnsi="Times New Roman" w:cs="Abz-2 (Badr)"/>
      <w:bCs/>
      <w:sz w:val="28"/>
      <w:szCs w:val="32"/>
    </w:rPr>
  </w:style>
  <w:style w:type="paragraph" w:customStyle="1" w:styleId="Space1">
    <w:name w:val="Space1"/>
    <w:basedOn w:val="Space"/>
    <w:qFormat/>
    <w:rsid w:val="001153F1"/>
    <w:pPr>
      <w:spacing w:line="209" w:lineRule="auto"/>
    </w:pPr>
  </w:style>
  <w:style w:type="paragraph" w:customStyle="1" w:styleId="Space20">
    <w:name w:val="Space2"/>
    <w:basedOn w:val="Space1"/>
    <w:qFormat/>
    <w:rsid w:val="001153F1"/>
    <w:pPr>
      <w:spacing w:line="221" w:lineRule="auto"/>
    </w:pPr>
  </w:style>
  <w:style w:type="character" w:customStyle="1" w:styleId="bold">
    <w:name w:val="bold"/>
    <w:rsid w:val="001153F1"/>
    <w:rPr>
      <w:rFonts w:ascii="Mosawi" w:hAnsi="Mosawi" w:cs="Mosawi"/>
      <w:b/>
      <w:bCs/>
      <w:sz w:val="28"/>
      <w:szCs w:val="28"/>
    </w:rPr>
  </w:style>
  <w:style w:type="paragraph" w:customStyle="1" w:styleId="Heading110">
    <w:name w:val="Heading 1_1"/>
    <w:basedOn w:val="11"/>
    <w:link w:val="Heading11Char"/>
    <w:qFormat/>
    <w:rsid w:val="001153F1"/>
    <w:pPr>
      <w:keepNext w:val="0"/>
      <w:keepLines w:val="0"/>
      <w:jc w:val="left"/>
    </w:pPr>
    <w:rPr>
      <w:rFonts w:ascii="AL-Mateen" w:hAnsi="AL-Mateen"/>
      <w:b w:val="0"/>
      <w:kern w:val="32"/>
      <w:sz w:val="38"/>
      <w:szCs w:val="38"/>
    </w:rPr>
  </w:style>
  <w:style w:type="character" w:customStyle="1" w:styleId="Heading11Char">
    <w:name w:val="Heading 1_1 Char"/>
    <w:basedOn w:val="af0"/>
    <w:link w:val="Heading110"/>
    <w:rsid w:val="001153F1"/>
    <w:rPr>
      <w:rFonts w:ascii="AL-Mateen" w:hAnsi="AL-Mateen" w:cs="AL-Mateen"/>
      <w:kern w:val="32"/>
      <w:sz w:val="38"/>
      <w:szCs w:val="38"/>
    </w:rPr>
  </w:style>
  <w:style w:type="paragraph" w:customStyle="1" w:styleId="space10">
    <w:name w:val="space1"/>
    <w:basedOn w:val="af"/>
    <w:rsid w:val="001153F1"/>
    <w:pPr>
      <w:spacing w:line="202" w:lineRule="auto"/>
      <w:ind w:firstLine="284"/>
    </w:pPr>
    <w:rPr>
      <w:rFonts w:cs="Mosawi"/>
      <w:szCs w:val="30"/>
    </w:rPr>
  </w:style>
  <w:style w:type="character" w:customStyle="1" w:styleId="Style1Char">
    <w:name w:val="Style1 Char"/>
    <w:link w:val="Style1"/>
    <w:locked/>
    <w:rsid w:val="001153F1"/>
    <w:rPr>
      <w:rFonts w:ascii="Times New Roman" w:hAnsi="Times New Roman" w:cs="Traditional Arabic"/>
      <w:bCs/>
      <w:sz w:val="24"/>
      <w:szCs w:val="40"/>
    </w:rPr>
  </w:style>
  <w:style w:type="paragraph" w:customStyle="1" w:styleId="afffffffffb">
    <w:name w:val="خط الفهرس"/>
    <w:basedOn w:val="af"/>
    <w:rsid w:val="001153F1"/>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b">
    <w:name w:val="عنوان(2) ـ المتن"/>
    <w:basedOn w:val="20"/>
    <w:rsid w:val="001153F1"/>
    <w:pPr>
      <w:keepNext/>
      <w:spacing w:before="240" w:after="60" w:line="216" w:lineRule="auto"/>
      <w:jc w:val="both"/>
    </w:pPr>
    <w:rPr>
      <w:rFonts w:ascii="Cambria" w:eastAsia="Batang" w:hAnsi="Cambria" w:cs="Times New Roman"/>
      <w:b/>
      <w:bCs/>
      <w:i/>
      <w:iCs/>
      <w:color w:val="auto"/>
      <w:szCs w:val="28"/>
    </w:rPr>
  </w:style>
  <w:style w:type="paragraph" w:customStyle="1" w:styleId="3f2">
    <w:name w:val="عنوان(3) ـ المتن"/>
    <w:basedOn w:val="31"/>
    <w:rsid w:val="001153F1"/>
    <w:pPr>
      <w:keepNext/>
      <w:spacing w:before="240" w:after="60" w:line="216" w:lineRule="auto"/>
      <w:ind w:left="720" w:hanging="432"/>
    </w:pPr>
    <w:rPr>
      <w:rFonts w:ascii="Cambria" w:eastAsia="Batang" w:hAnsi="Cambria" w:cs="Times New Roman"/>
      <w:b/>
      <w:color w:val="auto"/>
      <w:sz w:val="26"/>
    </w:rPr>
  </w:style>
  <w:style w:type="paragraph" w:customStyle="1" w:styleId="4d">
    <w:name w:val="عنوان(4) ـ المتن"/>
    <w:basedOn w:val="41"/>
    <w:rsid w:val="001153F1"/>
    <w:pPr>
      <w:tabs>
        <w:tab w:val="clear" w:pos="1800"/>
      </w:tabs>
      <w:ind w:left="0" w:firstLine="0"/>
      <w:jc w:val="both"/>
    </w:pPr>
    <w:rPr>
      <w:rFonts w:ascii="Calibri" w:eastAsia="Batang" w:hAnsi="Calibri" w:cs="AL-Mateen"/>
      <w:b/>
      <w:bCs/>
      <w:color w:val="auto"/>
    </w:rPr>
  </w:style>
  <w:style w:type="character" w:customStyle="1" w:styleId="5a">
    <w:name w:val="عنوان(5) ـ المتن"/>
    <w:rsid w:val="001153F1"/>
    <w:rPr>
      <w:rFonts w:ascii="Times New Roman" w:hAnsi="Times New Roman" w:cs="Mosawi"/>
      <w:b/>
      <w:bCs/>
      <w:sz w:val="28"/>
      <w:szCs w:val="28"/>
    </w:rPr>
  </w:style>
  <w:style w:type="paragraph" w:customStyle="1" w:styleId="afffffffffc">
    <w:name w:val="متن الهامش"/>
    <w:basedOn w:val="af"/>
    <w:link w:val="Charffff"/>
    <w:rsid w:val="001153F1"/>
    <w:pPr>
      <w:spacing w:line="180" w:lineRule="auto"/>
      <w:ind w:left="170" w:hanging="170"/>
    </w:pPr>
    <w:rPr>
      <w:rFonts w:ascii="Times New Roman" w:eastAsia="Batang" w:hAnsi="Times New Roman" w:cs="Mosawi"/>
      <w:sz w:val="20"/>
      <w:szCs w:val="26"/>
    </w:rPr>
  </w:style>
  <w:style w:type="paragraph" w:customStyle="1" w:styleId="1ff0">
    <w:name w:val="رأس الصفحة1"/>
    <w:basedOn w:val="af"/>
    <w:rsid w:val="001153F1"/>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1"/>
    <w:rsid w:val="001153F1"/>
    <w:pPr>
      <w:keepLines w:val="0"/>
    </w:pPr>
    <w:rPr>
      <w:rFonts w:ascii="Times New Roman" w:eastAsia="Batang" w:hAnsi="Times New Roman" w:cs="Abz-3 (Yagut)"/>
      <w:bCs/>
      <w:kern w:val="32"/>
      <w:sz w:val="28"/>
      <w:szCs w:val="36"/>
    </w:rPr>
  </w:style>
  <w:style w:type="character" w:customStyle="1" w:styleId="CharChar40">
    <w:name w:val="Char Char4"/>
    <w:rsid w:val="001153F1"/>
    <w:rPr>
      <w:rFonts w:cs="Simplified Arabic"/>
      <w:color w:val="000000"/>
      <w:sz w:val="28"/>
      <w:szCs w:val="28"/>
      <w:lang w:val="en-US" w:eastAsia="en-US" w:bidi="ar-SA"/>
    </w:rPr>
  </w:style>
  <w:style w:type="character" w:customStyle="1" w:styleId="afffffffffd">
    <w:name w:val="أرقام الهامش ـ المتن"/>
    <w:rsid w:val="001153F1"/>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1153F1"/>
    <w:pPr>
      <w:keepLines/>
      <w:tabs>
        <w:tab w:val="clear" w:pos="1800"/>
      </w:tabs>
      <w:spacing w:before="200" w:line="216" w:lineRule="auto"/>
      <w:ind w:left="1296" w:hanging="288"/>
      <w:jc w:val="both"/>
    </w:pPr>
    <w:rPr>
      <w:rFonts w:ascii="Cambria" w:hAnsi="Cambria" w:cs="Mosawi"/>
      <w:i/>
      <w:iCs/>
      <w:color w:val="404040"/>
      <w:sz w:val="24"/>
      <w:szCs w:val="28"/>
    </w:rPr>
  </w:style>
  <w:style w:type="character" w:customStyle="1" w:styleId="7Char0">
    <w:name w:val="نمط عنوان 7 + (مركب) غامق Char"/>
    <w:link w:val="75"/>
    <w:locked/>
    <w:rsid w:val="001153F1"/>
    <w:rPr>
      <w:rFonts w:ascii="Cambria" w:hAnsi="Cambria" w:cs="Mosawi"/>
      <w:i/>
      <w:iCs/>
      <w:color w:val="404040"/>
      <w:sz w:val="24"/>
      <w:szCs w:val="28"/>
    </w:rPr>
  </w:style>
  <w:style w:type="character" w:customStyle="1" w:styleId="afffffffffe">
    <w:name w:val="آيات القرآن الكريم"/>
    <w:rsid w:val="001153F1"/>
    <w:rPr>
      <w:rFonts w:cs="md_ameli"/>
      <w:bCs/>
      <w:lang w:bidi="ar-SA"/>
    </w:rPr>
  </w:style>
  <w:style w:type="character" w:customStyle="1" w:styleId="affffffffff">
    <w:name w:val="الآيات القرآنية"/>
    <w:rsid w:val="001153F1"/>
    <w:rPr>
      <w:rFonts w:cs="md_ameli"/>
      <w:bCs/>
      <w:sz w:val="28"/>
      <w:szCs w:val="28"/>
      <w:lang w:bidi="ar-SA"/>
    </w:rPr>
  </w:style>
  <w:style w:type="character" w:customStyle="1" w:styleId="Charffff">
    <w:name w:val="متن الهامش Char"/>
    <w:link w:val="afffffffffc"/>
    <w:locked/>
    <w:rsid w:val="001153F1"/>
    <w:rPr>
      <w:rFonts w:ascii="Times New Roman" w:eastAsia="Batang" w:hAnsi="Times New Roman" w:cs="Mosawi"/>
      <w:szCs w:val="26"/>
    </w:rPr>
  </w:style>
  <w:style w:type="paragraph" w:customStyle="1" w:styleId="affffffffff0">
    <w:name w:val="اسم الدرس ـ فوق الفهرس"/>
    <w:basedOn w:val="af"/>
    <w:rsid w:val="001153F1"/>
    <w:pPr>
      <w:spacing w:line="240" w:lineRule="auto"/>
      <w:ind w:firstLine="0"/>
      <w:jc w:val="center"/>
    </w:pPr>
    <w:rPr>
      <w:rFonts w:ascii="Times New Roman" w:eastAsia="Batang" w:hAnsi="Times New Roman" w:cs="Al-Ghadeer Bold"/>
      <w:b/>
      <w:sz w:val="24"/>
      <w:szCs w:val="56"/>
    </w:rPr>
  </w:style>
  <w:style w:type="paragraph" w:customStyle="1" w:styleId="affffffffff1">
    <w:name w:val="رقم الدرس ـ فوق الفهرس"/>
    <w:basedOn w:val="af"/>
    <w:rsid w:val="001153F1"/>
    <w:pPr>
      <w:spacing w:line="216" w:lineRule="auto"/>
      <w:ind w:firstLine="0"/>
      <w:jc w:val="center"/>
    </w:pPr>
    <w:rPr>
      <w:rFonts w:ascii="Times New Roman" w:eastAsia="Batang" w:hAnsi="Times New Roman" w:cs="Mosawi"/>
      <w:b/>
      <w:bCs/>
      <w:szCs w:val="32"/>
    </w:rPr>
  </w:style>
  <w:style w:type="paragraph" w:customStyle="1" w:styleId="affffffffff2">
    <w:name w:val="موضوع الدرس ـ فوق الفهرس"/>
    <w:basedOn w:val="af"/>
    <w:rsid w:val="001153F1"/>
    <w:pPr>
      <w:spacing w:line="216" w:lineRule="auto"/>
      <w:ind w:firstLine="0"/>
      <w:jc w:val="center"/>
    </w:pPr>
    <w:rPr>
      <w:rFonts w:ascii="Times New Roman" w:eastAsia="Batang" w:hAnsi="Times New Roman" w:cs="Mosawi"/>
      <w:b/>
      <w:bCs/>
      <w:sz w:val="32"/>
      <w:szCs w:val="36"/>
    </w:rPr>
  </w:style>
  <w:style w:type="paragraph" w:customStyle="1" w:styleId="affffffffff3">
    <w:name w:val="الملاحق ـ المتن"/>
    <w:basedOn w:val="11"/>
    <w:rsid w:val="001153F1"/>
    <w:pPr>
      <w:keepLines w:val="0"/>
    </w:pPr>
    <w:rPr>
      <w:rFonts w:ascii="Times New Roman" w:eastAsia="Batang" w:hAnsi="Times New Roman" w:cs="Abz-3 (Yagut)"/>
      <w:bCs/>
      <w:kern w:val="32"/>
      <w:sz w:val="28"/>
      <w:szCs w:val="36"/>
    </w:rPr>
  </w:style>
  <w:style w:type="character" w:customStyle="1" w:styleId="affffffffff4">
    <w:name w:val="الجواب"/>
    <w:rsid w:val="001153F1"/>
    <w:rPr>
      <w:rFonts w:ascii="Times New Roman" w:hAnsi="Times New Roman" w:cs="Mosawi"/>
      <w:color w:val="FF0000"/>
      <w:sz w:val="28"/>
      <w:szCs w:val="28"/>
      <w:vertAlign w:val="baseline"/>
    </w:rPr>
  </w:style>
  <w:style w:type="paragraph" w:customStyle="1" w:styleId="affffffffff5">
    <w:name w:val="أجوبة الأسئلة النهائية"/>
    <w:basedOn w:val="af"/>
    <w:rsid w:val="001153F1"/>
    <w:pPr>
      <w:spacing w:line="216" w:lineRule="auto"/>
      <w:ind w:left="567" w:firstLine="0"/>
    </w:pPr>
    <w:rPr>
      <w:rFonts w:ascii="Times New Roman" w:eastAsia="Batang" w:hAnsi="Times New Roman" w:cs="Mosawi"/>
      <w:color w:val="FF0000"/>
      <w:sz w:val="24"/>
      <w:szCs w:val="28"/>
    </w:rPr>
  </w:style>
  <w:style w:type="paragraph" w:customStyle="1" w:styleId="1ff1">
    <w:name w:val="المتن مع فاصلة 1 سم"/>
    <w:basedOn w:val="af"/>
    <w:rsid w:val="001153F1"/>
    <w:pPr>
      <w:spacing w:line="216" w:lineRule="auto"/>
      <w:ind w:left="624" w:firstLine="0"/>
    </w:pPr>
    <w:rPr>
      <w:rFonts w:ascii="Times New Roman" w:eastAsia="Batang" w:hAnsi="Times New Roman" w:cs="Mosawi"/>
      <w:sz w:val="24"/>
      <w:szCs w:val="28"/>
    </w:rPr>
  </w:style>
  <w:style w:type="character" w:customStyle="1" w:styleId="affffffffff6">
    <w:name w:val="اسم الكتاب ـ المتن"/>
    <w:rsid w:val="001153F1"/>
    <w:rPr>
      <w:rFonts w:ascii="Times New Roman" w:hAnsi="Times New Roman" w:cs="Mosawi"/>
      <w:i/>
      <w:iCs/>
      <w:sz w:val="28"/>
      <w:szCs w:val="28"/>
    </w:rPr>
  </w:style>
  <w:style w:type="character" w:customStyle="1" w:styleId="affffffffff7">
    <w:name w:val="اسم الكتاب ـ الهامش"/>
    <w:rsid w:val="001153F1"/>
    <w:rPr>
      <w:rFonts w:ascii="Times New Roman" w:hAnsi="Times New Roman" w:cs="Mosawi"/>
      <w:i/>
      <w:iCs/>
      <w:sz w:val="24"/>
      <w:szCs w:val="24"/>
    </w:rPr>
  </w:style>
  <w:style w:type="character" w:customStyle="1" w:styleId="affffffffff8">
    <w:name w:val="أقوال المعصومين"/>
    <w:rsid w:val="001153F1"/>
    <w:rPr>
      <w:rFonts w:ascii="Times New Roman" w:hAnsi="Times New Roman" w:cs="Mosawi"/>
      <w:b/>
      <w:bCs/>
      <w:sz w:val="28"/>
      <w:szCs w:val="28"/>
    </w:rPr>
  </w:style>
  <w:style w:type="paragraph" w:customStyle="1" w:styleId="affffffffff9">
    <w:name w:val="الترقيم الحرفي"/>
    <w:basedOn w:val="af"/>
    <w:rsid w:val="001153F1"/>
    <w:pPr>
      <w:spacing w:line="216" w:lineRule="auto"/>
      <w:ind w:left="624" w:hanging="340"/>
    </w:pPr>
    <w:rPr>
      <w:rFonts w:ascii="Times New Roman" w:eastAsia="Batang" w:hAnsi="Times New Roman" w:cs="Mosawi"/>
      <w:sz w:val="24"/>
      <w:szCs w:val="28"/>
    </w:rPr>
  </w:style>
  <w:style w:type="paragraph" w:customStyle="1" w:styleId="affffffffffa">
    <w:name w:val="الترقيم الحرفي الضمني"/>
    <w:basedOn w:val="af"/>
    <w:rsid w:val="001153F1"/>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1153F1"/>
    <w:pPr>
      <w:numPr>
        <w:numId w:val="33"/>
      </w:numPr>
      <w:spacing w:line="216" w:lineRule="auto"/>
      <w:ind w:left="681" w:hanging="397"/>
    </w:pPr>
    <w:rPr>
      <w:rFonts w:ascii="Times New Roman" w:eastAsia="Batang" w:hAnsi="Times New Roman" w:cs="Mosawi"/>
      <w:sz w:val="24"/>
      <w:szCs w:val="28"/>
    </w:rPr>
  </w:style>
  <w:style w:type="paragraph" w:customStyle="1" w:styleId="affffffffffb">
    <w:name w:val="الترقيم العددي الضمني"/>
    <w:basedOn w:val="af"/>
    <w:rsid w:val="001153F1"/>
    <w:pPr>
      <w:spacing w:line="216" w:lineRule="auto"/>
      <w:ind w:left="851" w:hanging="284"/>
    </w:pPr>
    <w:rPr>
      <w:rFonts w:ascii="Times New Roman" w:eastAsia="Batang" w:hAnsi="Times New Roman" w:cs="Mosawi"/>
      <w:sz w:val="24"/>
      <w:szCs w:val="28"/>
    </w:rPr>
  </w:style>
  <w:style w:type="paragraph" w:customStyle="1" w:styleId="affffffffffc">
    <w:name w:val="الترقيم (علامة دائرة)"/>
    <w:basedOn w:val="af"/>
    <w:rsid w:val="001153F1"/>
    <w:pPr>
      <w:spacing w:line="216" w:lineRule="auto"/>
      <w:ind w:left="624" w:hanging="340"/>
    </w:pPr>
    <w:rPr>
      <w:rFonts w:ascii="Times New Roman" w:eastAsia="Batang" w:hAnsi="Times New Roman" w:cs="Mosawi"/>
      <w:sz w:val="24"/>
      <w:szCs w:val="28"/>
    </w:rPr>
  </w:style>
  <w:style w:type="paragraph" w:customStyle="1" w:styleId="affffffffffd">
    <w:name w:val="الترقيم (علامة دائرة) الضمني"/>
    <w:basedOn w:val="af"/>
    <w:rsid w:val="001153F1"/>
    <w:pPr>
      <w:spacing w:line="216" w:lineRule="auto"/>
      <w:ind w:left="851" w:hanging="284"/>
    </w:pPr>
    <w:rPr>
      <w:rFonts w:ascii="Times New Roman" w:eastAsia="Batang" w:hAnsi="Times New Roman" w:cs="Mosawi"/>
      <w:sz w:val="24"/>
      <w:szCs w:val="28"/>
    </w:rPr>
  </w:style>
  <w:style w:type="paragraph" w:customStyle="1" w:styleId="affffffffffe">
    <w:name w:val="الترقيم (علامة صح)"/>
    <w:basedOn w:val="af"/>
    <w:rsid w:val="001153F1"/>
    <w:pPr>
      <w:spacing w:line="216" w:lineRule="auto"/>
      <w:ind w:left="624" w:hanging="340"/>
    </w:pPr>
    <w:rPr>
      <w:rFonts w:ascii="Times New Roman" w:eastAsia="Batang" w:hAnsi="Times New Roman" w:cs="Mosawi"/>
      <w:sz w:val="24"/>
      <w:szCs w:val="28"/>
    </w:rPr>
  </w:style>
  <w:style w:type="paragraph" w:customStyle="1" w:styleId="afffffffffff">
    <w:name w:val="الترقيم (علامة صح) الضمني"/>
    <w:basedOn w:val="af"/>
    <w:rsid w:val="001153F1"/>
    <w:pPr>
      <w:spacing w:line="216" w:lineRule="auto"/>
      <w:ind w:left="851" w:hanging="284"/>
    </w:pPr>
    <w:rPr>
      <w:rFonts w:ascii="Times New Roman" w:eastAsia="Batang" w:hAnsi="Times New Roman" w:cs="Mosawi"/>
      <w:sz w:val="24"/>
      <w:szCs w:val="28"/>
    </w:rPr>
  </w:style>
  <w:style w:type="paragraph" w:customStyle="1" w:styleId="afffffffffff0">
    <w:name w:val="بسم الله"/>
    <w:basedOn w:val="af"/>
    <w:rsid w:val="001153F1"/>
    <w:pPr>
      <w:spacing w:line="216" w:lineRule="auto"/>
      <w:ind w:firstLine="0"/>
      <w:jc w:val="center"/>
    </w:pPr>
    <w:rPr>
      <w:rFonts w:ascii="Times New Roman" w:eastAsia="Batang" w:hAnsi="Times New Roman" w:cs="Mosawi"/>
      <w:sz w:val="24"/>
      <w:szCs w:val="28"/>
    </w:rPr>
  </w:style>
  <w:style w:type="paragraph" w:customStyle="1" w:styleId="3f3">
    <w:name w:val="العنوان (3) ـ المطالعة"/>
    <w:basedOn w:val="afffffffff3"/>
    <w:qFormat/>
    <w:rsid w:val="001153F1"/>
    <w:pPr>
      <w:spacing w:line="216" w:lineRule="auto"/>
    </w:pPr>
    <w:rPr>
      <w:szCs w:val="30"/>
    </w:rPr>
  </w:style>
  <w:style w:type="paragraph" w:customStyle="1" w:styleId="4e">
    <w:name w:val="العنوان (4) ـ المطالعة"/>
    <w:basedOn w:val="afffffffff3"/>
    <w:rsid w:val="001153F1"/>
    <w:pPr>
      <w:spacing w:line="216" w:lineRule="auto"/>
    </w:pPr>
    <w:rPr>
      <w:szCs w:val="30"/>
    </w:rPr>
  </w:style>
  <w:style w:type="character" w:customStyle="1" w:styleId="5b">
    <w:name w:val="العنوان (5) ـ المطالعة"/>
    <w:rsid w:val="001153F1"/>
    <w:rPr>
      <w:rFonts w:ascii="Times New Roman" w:hAnsi="Times New Roman" w:cs="Mosawi"/>
      <w:b/>
      <w:bCs/>
      <w:sz w:val="28"/>
      <w:szCs w:val="28"/>
    </w:rPr>
  </w:style>
  <w:style w:type="paragraph" w:customStyle="1" w:styleId="3f4">
    <w:name w:val="عنوان3"/>
    <w:basedOn w:val="31"/>
    <w:rsid w:val="001153F1"/>
    <w:pPr>
      <w:keepNext/>
      <w:spacing w:before="240" w:after="60" w:line="216" w:lineRule="auto"/>
      <w:ind w:left="720" w:hanging="432"/>
    </w:pPr>
    <w:rPr>
      <w:rFonts w:ascii="Cambria" w:eastAsia="Batang" w:hAnsi="Cambria" w:cs="Times New Roman"/>
      <w:b/>
      <w:color w:val="auto"/>
      <w:sz w:val="26"/>
    </w:rPr>
  </w:style>
  <w:style w:type="paragraph" w:customStyle="1" w:styleId="afffffffffff1">
    <w:name w:val="متن الهاش"/>
    <w:basedOn w:val="afffb"/>
    <w:qFormat/>
    <w:rsid w:val="001153F1"/>
    <w:pPr>
      <w:spacing w:line="240" w:lineRule="auto"/>
      <w:ind w:left="0" w:firstLine="284"/>
      <w:jc w:val="both"/>
      <w:outlineLvl w:val="0"/>
    </w:pPr>
    <w:rPr>
      <w:rFonts w:eastAsia="Batang" w:cs="Mosawi"/>
      <w:position w:val="0"/>
      <w:sz w:val="20"/>
      <w:szCs w:val="20"/>
      <w:lang w:eastAsia="en-US"/>
    </w:rPr>
  </w:style>
  <w:style w:type="paragraph" w:customStyle="1" w:styleId="afffffffffff2">
    <w:name w:val="بسم الله الرحمن الرحيم"/>
    <w:basedOn w:val="af"/>
    <w:rsid w:val="001153F1"/>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f3">
    <w:name w:val="كلمة المجلة"/>
    <w:basedOn w:val="af"/>
    <w:rsid w:val="001153F1"/>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1153F1"/>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1153F1"/>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fc">
    <w:name w:val="نمط نمط2 + أبيض"/>
    <w:basedOn w:val="26"/>
    <w:rsid w:val="001153F1"/>
    <w:rPr>
      <w:rFonts w:eastAsia="Batang"/>
      <w:color w:val="FFFFFF"/>
    </w:rPr>
  </w:style>
  <w:style w:type="paragraph" w:customStyle="1" w:styleId="611952">
    <w:name w:val="نمط نمط عنوان 6 + السطر الأول:  1 سم تباعد الأسطر:  تام 19.5 نقطة...2"/>
    <w:basedOn w:val="61195"/>
    <w:rsid w:val="001153F1"/>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1153F1"/>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1153F1"/>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1153F1"/>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1153F1"/>
    <w:rPr>
      <w:rFonts w:cs="Abz-3 (Yagut)"/>
      <w:bCs/>
      <w:color w:val="000000"/>
      <w:spacing w:val="0"/>
      <w:sz w:val="26"/>
      <w:szCs w:val="26"/>
      <w:lang w:bidi="ar-SA"/>
    </w:rPr>
  </w:style>
  <w:style w:type="paragraph" w:customStyle="1" w:styleId="afffffffffff4">
    <w:name w:val="تحت الرئيسي"/>
    <w:basedOn w:val="400"/>
    <w:link w:val="Charffff0"/>
    <w:rsid w:val="001153F1"/>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ff0">
    <w:name w:val="تحت الرئيسي Char"/>
    <w:link w:val="afffffffffff4"/>
    <w:locked/>
    <w:rsid w:val="001153F1"/>
    <w:rPr>
      <w:rFonts w:eastAsia="Batang" w:cs="SKR HEAD1"/>
      <w:color w:val="000000"/>
      <w:spacing w:val="-4"/>
      <w:sz w:val="36"/>
      <w:szCs w:val="36"/>
    </w:rPr>
  </w:style>
  <w:style w:type="paragraph" w:customStyle="1" w:styleId="1ff2">
    <w:name w:val="عنوان داخل المتن 1"/>
    <w:basedOn w:val="afff8"/>
    <w:link w:val="1Char7"/>
    <w:rsid w:val="001153F1"/>
    <w:pPr>
      <w:autoSpaceDE/>
      <w:autoSpaceDN/>
      <w:spacing w:line="400" w:lineRule="exact"/>
      <w:jc w:val="left"/>
      <w:outlineLvl w:val="0"/>
    </w:pPr>
    <w:rPr>
      <w:rFonts w:eastAsia="SimSun" w:cs="Abz-3 (Yagut)"/>
      <w:bCs/>
      <w:color w:val="000000"/>
      <w:sz w:val="26"/>
      <w:szCs w:val="26"/>
    </w:rPr>
  </w:style>
  <w:style w:type="character" w:customStyle="1" w:styleId="1Char7">
    <w:name w:val="عنوان داخل المتن 1 Char"/>
    <w:link w:val="1ff2"/>
    <w:locked/>
    <w:rsid w:val="001153F1"/>
    <w:rPr>
      <w:rFonts w:ascii="Times New Roman" w:eastAsia="SimSun" w:hAnsi="Times New Roman" w:cs="Abz-3 (Yagut)"/>
      <w:bCs/>
      <w:color w:val="000000"/>
      <w:sz w:val="26"/>
      <w:szCs w:val="26"/>
      <w:lang w:eastAsia="ar-SA"/>
    </w:rPr>
  </w:style>
  <w:style w:type="character" w:customStyle="1" w:styleId="CharChar50">
    <w:name w:val="Char Char5"/>
    <w:rsid w:val="001153F1"/>
    <w:rPr>
      <w:rFonts w:cs="SKR HEAD1"/>
      <w:color w:val="000000"/>
      <w:spacing w:val="-4"/>
      <w:sz w:val="48"/>
      <w:szCs w:val="48"/>
      <w:lang w:val="en-US" w:eastAsia="en-US" w:bidi="ar-SA"/>
    </w:rPr>
  </w:style>
  <w:style w:type="character" w:customStyle="1" w:styleId="CharChar30">
    <w:name w:val="Char Char3"/>
    <w:rsid w:val="001153F1"/>
    <w:rPr>
      <w:rFonts w:cs="Arial"/>
      <w:bCs/>
      <w:sz w:val="28"/>
      <w:szCs w:val="28"/>
      <w:lang w:val="en-US" w:eastAsia="en-US" w:bidi="ar-SA"/>
    </w:rPr>
  </w:style>
  <w:style w:type="paragraph" w:customStyle="1" w:styleId="1ff3">
    <w:name w:val="موضوع تعليق1"/>
    <w:basedOn w:val="aff6"/>
    <w:next w:val="aff6"/>
    <w:semiHidden/>
    <w:rsid w:val="001153F1"/>
    <w:pPr>
      <w:widowControl w:val="0"/>
      <w:spacing w:before="100" w:line="400" w:lineRule="exact"/>
      <w:jc w:val="lowKashida"/>
    </w:pPr>
    <w:rPr>
      <w:rFonts w:eastAsia="Batang" w:cs="md_ameli"/>
      <w:b/>
      <w:bCs/>
      <w:spacing w:val="-4"/>
      <w:sz w:val="24"/>
      <w:lang w:eastAsia="en-US"/>
    </w:rPr>
  </w:style>
  <w:style w:type="paragraph" w:customStyle="1" w:styleId="1ff4">
    <w:name w:val="نص في بالون1"/>
    <w:basedOn w:val="af"/>
    <w:semiHidden/>
    <w:rsid w:val="001153F1"/>
    <w:pPr>
      <w:widowControl/>
      <w:spacing w:line="240" w:lineRule="auto"/>
      <w:ind w:firstLine="0"/>
    </w:pPr>
    <w:rPr>
      <w:rFonts w:ascii="Tahoma" w:eastAsia="Batang" w:hAnsi="Tahoma" w:cs="Tahoma"/>
      <w:sz w:val="16"/>
      <w:szCs w:val="16"/>
    </w:rPr>
  </w:style>
  <w:style w:type="character" w:customStyle="1" w:styleId="afffffffffff5">
    <w:name w:val="هامش فوق"/>
    <w:uiPriority w:val="1"/>
    <w:qFormat/>
    <w:rsid w:val="001153F1"/>
    <w:rPr>
      <w:rFonts w:ascii="Taher" w:hAnsi="Taher" w:cs="Taher"/>
      <w:sz w:val="30"/>
      <w:szCs w:val="30"/>
      <w:vertAlign w:val="superscript"/>
      <w:lang w:bidi="ar-SA"/>
    </w:rPr>
  </w:style>
  <w:style w:type="paragraph" w:customStyle="1" w:styleId="afffffffffff6">
    <w:name w:val="متن (كتب)"/>
    <w:basedOn w:val="af"/>
    <w:rsid w:val="001153F1"/>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1153F1"/>
    <w:rPr>
      <w:rFonts w:cs="Arabic Transparent"/>
      <w:sz w:val="28"/>
      <w:szCs w:val="28"/>
      <w:lang w:val="en-US" w:eastAsia="ar-SA" w:bidi="ar-SA"/>
    </w:rPr>
  </w:style>
  <w:style w:type="character" w:customStyle="1" w:styleId="CharChar8">
    <w:name w:val="Char Char8"/>
    <w:rsid w:val="001153F1"/>
    <w:rPr>
      <w:rFonts w:cs="Arabic Transparent"/>
      <w:b/>
      <w:bCs/>
      <w:sz w:val="28"/>
      <w:szCs w:val="28"/>
      <w:lang w:val="en-US" w:eastAsia="ar-SA" w:bidi="ar-SA"/>
    </w:rPr>
  </w:style>
  <w:style w:type="character" w:customStyle="1" w:styleId="CharChar7">
    <w:name w:val="Char Char7"/>
    <w:rsid w:val="001153F1"/>
    <w:rPr>
      <w:rFonts w:ascii="Arial" w:hAnsi="Arial" w:cs="Arial"/>
      <w:b/>
      <w:bCs/>
      <w:sz w:val="26"/>
      <w:szCs w:val="26"/>
      <w:lang w:val="en-US" w:eastAsia="ar-SA" w:bidi="ar-SA"/>
    </w:rPr>
  </w:style>
  <w:style w:type="character" w:customStyle="1" w:styleId="CharChar6">
    <w:name w:val="Char Char6"/>
    <w:rsid w:val="001153F1"/>
    <w:rPr>
      <w:rFonts w:cs="ALAWI-3-62"/>
      <w:color w:val="008000"/>
      <w:sz w:val="28"/>
      <w:szCs w:val="28"/>
      <w:lang w:val="en-US" w:eastAsia="en-US" w:bidi="ar-SA"/>
    </w:rPr>
  </w:style>
  <w:style w:type="character" w:customStyle="1" w:styleId="Charffff1">
    <w:name w:val="هوامش Char"/>
    <w:rsid w:val="001153F1"/>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1153F1"/>
    <w:rPr>
      <w:rFonts w:ascii="Times New Roman" w:eastAsia="SimSun" w:hAnsi="Times New Roman" w:cs="K Sina"/>
      <w:b/>
      <w:bCs/>
      <w:sz w:val="20"/>
      <w:szCs w:val="20"/>
      <w:lang w:val="en-US" w:eastAsia="ar-SA" w:bidi="ar-SA"/>
    </w:rPr>
  </w:style>
  <w:style w:type="paragraph" w:customStyle="1" w:styleId="3f5">
    <w:name w:val="نمط3"/>
    <w:basedOn w:val="afffb"/>
    <w:rsid w:val="001153F1"/>
    <w:pPr>
      <w:spacing w:line="380" w:lineRule="exact"/>
      <w:jc w:val="both"/>
    </w:pPr>
    <w:rPr>
      <w:rFonts w:eastAsia="SimSun"/>
    </w:rPr>
  </w:style>
  <w:style w:type="paragraph" w:customStyle="1" w:styleId="afffffffffff7">
    <w:name w:val="حاشية ملسي يساكمنلتسيمنت"/>
    <w:basedOn w:val="afffb"/>
    <w:rsid w:val="001153F1"/>
    <w:pPr>
      <w:spacing w:line="380" w:lineRule="exact"/>
      <w:jc w:val="both"/>
    </w:pPr>
    <w:rPr>
      <w:rFonts w:eastAsia="SimSun"/>
    </w:rPr>
  </w:style>
  <w:style w:type="character" w:customStyle="1" w:styleId="Charffff2">
    <w:name w:val="تعداد فرعي Char"/>
    <w:rsid w:val="001153F1"/>
    <w:rPr>
      <w:rFonts w:ascii="Times New Roman" w:eastAsia="SimSun" w:hAnsi="Times New Roman" w:cs="AL-Mohanad"/>
      <w:bCs/>
      <w:sz w:val="27"/>
      <w:szCs w:val="27"/>
      <w:lang w:val="en-US" w:eastAsia="ar-SA" w:bidi="ar-SA"/>
    </w:rPr>
  </w:style>
  <w:style w:type="character" w:customStyle="1" w:styleId="Charffff3">
    <w:name w:val="الحاشية Char"/>
    <w:rsid w:val="001153F1"/>
    <w:rPr>
      <w:rFonts w:cs="md_ameli"/>
      <w:noProof/>
      <w:spacing w:val="-6"/>
      <w:sz w:val="22"/>
      <w:szCs w:val="22"/>
      <w:lang w:val="en-US" w:eastAsia="ar-SA" w:bidi="ar-SA"/>
    </w:rPr>
  </w:style>
  <w:style w:type="character" w:customStyle="1" w:styleId="CharChara">
    <w:name w:val="پا ورقي Char Char"/>
    <w:semiHidden/>
    <w:rsid w:val="001153F1"/>
    <w:rPr>
      <w:rFonts w:cs="Times New Roman"/>
      <w:lang w:val="en-US" w:eastAsia="ar-SA" w:bidi="ar-SA"/>
    </w:rPr>
  </w:style>
  <w:style w:type="paragraph" w:customStyle="1" w:styleId="1ff5">
    <w:name w:val="عادي1"/>
    <w:semiHidden/>
    <w:rsid w:val="001153F1"/>
    <w:pPr>
      <w:spacing w:line="400" w:lineRule="exact"/>
    </w:pPr>
    <w:rPr>
      <w:rFonts w:ascii="Times New Roman" w:hAnsi="Times New Roman" w:cs="md_ameli"/>
      <w:noProof/>
      <w:spacing w:val="-4"/>
      <w:sz w:val="26"/>
      <w:szCs w:val="26"/>
      <w:lang w:eastAsia="ar-SA"/>
    </w:rPr>
  </w:style>
  <w:style w:type="character" w:customStyle="1" w:styleId="Charffc">
    <w:name w:val="عنوان في المتن Char"/>
    <w:link w:val="afffffff2"/>
    <w:locked/>
    <w:rsid w:val="001153F1"/>
    <w:rPr>
      <w:rFonts w:ascii="Times New Roman" w:hAnsi="Times New Roman" w:cs="Abz-3 (Yagut)"/>
      <w:bCs/>
      <w:color w:val="000000"/>
      <w:sz w:val="26"/>
      <w:szCs w:val="26"/>
    </w:rPr>
  </w:style>
  <w:style w:type="character" w:customStyle="1" w:styleId="CharChar24">
    <w:name w:val="Char Char24"/>
    <w:rsid w:val="001153F1"/>
    <w:rPr>
      <w:rFonts w:cs="Simplified Arabic"/>
      <w:bCs/>
      <w:sz w:val="28"/>
      <w:szCs w:val="28"/>
      <w:lang w:val="en-US" w:eastAsia="en-US" w:bidi="ar-SA"/>
    </w:rPr>
  </w:style>
  <w:style w:type="paragraph" w:customStyle="1" w:styleId="4f">
    <w:name w:val="سرد الفقرات4"/>
    <w:basedOn w:val="af"/>
    <w:rsid w:val="001153F1"/>
    <w:pPr>
      <w:widowControl/>
      <w:spacing w:after="200" w:line="276" w:lineRule="auto"/>
      <w:ind w:left="720" w:firstLine="0"/>
      <w:jc w:val="left"/>
    </w:pPr>
    <w:rPr>
      <w:rFonts w:ascii="Calibri" w:hAnsi="Calibri" w:cs="Arial"/>
      <w:sz w:val="22"/>
      <w:szCs w:val="22"/>
    </w:rPr>
  </w:style>
  <w:style w:type="paragraph" w:customStyle="1" w:styleId="newsb">
    <w:name w:val="newsb"/>
    <w:basedOn w:val="af"/>
    <w:rsid w:val="001153F1"/>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Taher">
    <w:name w:val="نمط (العربية وغيرها) Taher"/>
    <w:rsid w:val="001153F1"/>
    <w:rPr>
      <w:rFonts w:ascii="Arial" w:hAnsi="Arial" w:cs="Taher"/>
      <w:lang w:bidi="ar-SA"/>
    </w:rPr>
  </w:style>
  <w:style w:type="character" w:customStyle="1" w:styleId="28">
    <w:name w:val="تيتر2 نویسه"/>
    <w:link w:val="27"/>
    <w:locked/>
    <w:rsid w:val="001153F1"/>
    <w:rPr>
      <w:rFonts w:ascii="Times New Roman" w:hAnsi="Times New Roman" w:cs="Times New Roman"/>
      <w:b/>
      <w:bCs/>
      <w:sz w:val="24"/>
      <w:szCs w:val="28"/>
      <w:lang w:eastAsia="ar-SA"/>
    </w:rPr>
  </w:style>
  <w:style w:type="character" w:customStyle="1" w:styleId="CharChar23">
    <w:name w:val="Char Char23"/>
    <w:rsid w:val="001153F1"/>
    <w:rPr>
      <w:rFonts w:eastAsia="PMingLiU" w:cs="DanaFajr"/>
      <w:sz w:val="28"/>
      <w:szCs w:val="28"/>
      <w:lang w:val="en-US" w:eastAsia="ar-SA" w:bidi="ar-SA"/>
    </w:rPr>
  </w:style>
  <w:style w:type="paragraph" w:customStyle="1" w:styleId="afffffffffff8">
    <w:name w:val="المتن كتب"/>
    <w:basedOn w:val="af"/>
    <w:rsid w:val="001153F1"/>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1153F1"/>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1153F1"/>
    <w:rPr>
      <w:sz w:val="28"/>
      <w:lang w:val="en-US" w:eastAsia="en-US"/>
    </w:rPr>
  </w:style>
  <w:style w:type="character" w:customStyle="1" w:styleId="CharChar42">
    <w:name w:val="Char Char42"/>
    <w:rsid w:val="001153F1"/>
    <w:rPr>
      <w:color w:val="000000"/>
      <w:sz w:val="28"/>
      <w:lang w:val="en-US" w:eastAsia="en-US"/>
    </w:rPr>
  </w:style>
  <w:style w:type="character" w:customStyle="1" w:styleId="CharChar51">
    <w:name w:val="Char Char51"/>
    <w:rsid w:val="001153F1"/>
    <w:rPr>
      <w:b/>
      <w:color w:val="000000"/>
      <w:sz w:val="40"/>
      <w:lang w:val="en-US" w:eastAsia="en-US"/>
    </w:rPr>
  </w:style>
  <w:style w:type="character" w:customStyle="1" w:styleId="CharChar31">
    <w:name w:val="Char Char31"/>
    <w:rsid w:val="001153F1"/>
    <w:rPr>
      <w:b/>
      <w:sz w:val="40"/>
      <w:lang w:val="en-US" w:eastAsia="ar-SA" w:bidi="ar-SA"/>
    </w:rPr>
  </w:style>
  <w:style w:type="character" w:customStyle="1" w:styleId="CharChar21">
    <w:name w:val="Char Char21"/>
    <w:semiHidden/>
    <w:rsid w:val="001153F1"/>
    <w:rPr>
      <w:sz w:val="28"/>
      <w:lang w:val="x-none" w:eastAsia="ar-SA" w:bidi="ar-SA"/>
    </w:rPr>
  </w:style>
  <w:style w:type="character" w:customStyle="1" w:styleId="CharChar11">
    <w:name w:val="Char Char11"/>
    <w:rsid w:val="001153F1"/>
    <w:rPr>
      <w:lang w:val="en-US" w:eastAsia="ar-SA" w:bidi="ar-SA"/>
    </w:rPr>
  </w:style>
  <w:style w:type="character" w:customStyle="1" w:styleId="CharChar100">
    <w:name w:val="Char Char10"/>
    <w:semiHidden/>
    <w:rsid w:val="001153F1"/>
    <w:rPr>
      <w:color w:val="800000"/>
      <w:sz w:val="28"/>
    </w:rPr>
  </w:style>
  <w:style w:type="character" w:customStyle="1" w:styleId="CharChar41">
    <w:name w:val="Char Char41"/>
    <w:rsid w:val="001153F1"/>
    <w:rPr>
      <w:color w:val="000000"/>
      <w:sz w:val="28"/>
      <w:lang w:val="en-US" w:eastAsia="en-US"/>
    </w:rPr>
  </w:style>
  <w:style w:type="paragraph" w:customStyle="1" w:styleId="124">
    <w:name w:val="نمط عنوان 1 + تباعد الأسطر:  تام 24 نقطة"/>
    <w:basedOn w:val="11"/>
    <w:link w:val="124Char"/>
    <w:rsid w:val="001153F1"/>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1153F1"/>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1153F1"/>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e"/>
    <w:rsid w:val="001153F1"/>
    <w:pPr>
      <w:spacing w:line="450" w:lineRule="exact"/>
      <w:jc w:val="center"/>
    </w:pPr>
    <w:rPr>
      <w:rFonts w:eastAsia="Batang" w:cs="Mosawi"/>
      <w:b/>
      <w:sz w:val="50"/>
      <w:szCs w:val="40"/>
    </w:rPr>
  </w:style>
  <w:style w:type="paragraph" w:customStyle="1" w:styleId="afffffffffff9">
    <w:name w:val="الايسر"/>
    <w:basedOn w:val="KSina13"/>
    <w:rsid w:val="001153F1"/>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1153F1"/>
    <w:pPr>
      <w:spacing w:line="240" w:lineRule="auto"/>
    </w:pPr>
  </w:style>
  <w:style w:type="paragraph" w:customStyle="1" w:styleId="220">
    <w:name w:val="نمط الايسر + تباعد الأسطر:  تام 22 نقطة"/>
    <w:basedOn w:val="afffffffffff9"/>
    <w:rsid w:val="001153F1"/>
    <w:pPr>
      <w:spacing w:line="240" w:lineRule="auto"/>
    </w:pPr>
  </w:style>
  <w:style w:type="paragraph" w:customStyle="1" w:styleId="1302">
    <w:name w:val="نمط نمط نمط العنوان الجانبي اساس + (لاتيني) ‏13 نقطة قبل:  0 نقطة..."/>
    <w:basedOn w:val="1301"/>
    <w:link w:val="130Char1"/>
    <w:rsid w:val="001153F1"/>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1153F1"/>
    <w:rPr>
      <w:rFonts w:ascii="Times New Roman" w:eastAsia="Batang" w:hAnsi="Times New Roman" w:cs="Times New Roman"/>
      <w:color w:val="000000"/>
      <w:sz w:val="28"/>
      <w:lang w:eastAsia="ar-SA"/>
    </w:rPr>
  </w:style>
  <w:style w:type="paragraph" w:customStyle="1" w:styleId="3f6">
    <w:name w:val="3"/>
    <w:basedOn w:val="af"/>
    <w:semiHidden/>
    <w:rsid w:val="001153F1"/>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1153F1"/>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1153F1"/>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1153F1"/>
    <w:rPr>
      <w:rFonts w:ascii="Cambria" w:eastAsia="Batang" w:hAnsi="Cambria" w:cs="Times New Roman"/>
      <w:b/>
      <w:bCs/>
      <w:sz w:val="26"/>
      <w:szCs w:val="26"/>
    </w:rPr>
  </w:style>
  <w:style w:type="paragraph" w:customStyle="1" w:styleId="93">
    <w:name w:val="نمط عنوان 9 + (مركب) غامق"/>
    <w:basedOn w:val="9"/>
    <w:rsid w:val="001153F1"/>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1153F1"/>
  </w:style>
  <w:style w:type="paragraph" w:customStyle="1" w:styleId="afffffffffffa">
    <w:name w:val="الفاصلة بين العنوان"/>
    <w:basedOn w:val="afffffffffff6"/>
    <w:rsid w:val="001153F1"/>
    <w:pPr>
      <w:spacing w:line="240" w:lineRule="auto"/>
    </w:pPr>
    <w:rPr>
      <w:rFonts w:cs="Mosawi"/>
      <w:szCs w:val="24"/>
    </w:rPr>
  </w:style>
  <w:style w:type="paragraph" w:customStyle="1" w:styleId="1ff6">
    <w:name w:val="عنوان البحث 1"/>
    <w:basedOn w:val="af"/>
    <w:rsid w:val="001153F1"/>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b">
    <w:name w:val="المدخل"/>
    <w:basedOn w:val="af"/>
    <w:rsid w:val="001153F1"/>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1153F1"/>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7">
    <w:name w:val="عنوان الكتاب1"/>
    <w:basedOn w:val="af"/>
    <w:rsid w:val="001153F1"/>
    <w:pPr>
      <w:spacing w:line="240" w:lineRule="auto"/>
      <w:ind w:firstLine="0"/>
      <w:jc w:val="center"/>
    </w:pPr>
    <w:rPr>
      <w:rFonts w:ascii="Times New Roman" w:eastAsia="Batang" w:hAnsi="Times New Roman" w:cs="Bader"/>
      <w:sz w:val="76"/>
      <w:szCs w:val="71"/>
      <w:lang w:eastAsia="ar-SA"/>
    </w:rPr>
  </w:style>
  <w:style w:type="paragraph" w:customStyle="1" w:styleId="afffffffffffc">
    <w:name w:val="اسم المؤلف"/>
    <w:basedOn w:val="af"/>
    <w:rsid w:val="001153F1"/>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d">
    <w:name w:val="عنوان المقال"/>
    <w:basedOn w:val="aff"/>
    <w:rsid w:val="001153F1"/>
    <w:pPr>
      <w:widowControl w:val="0"/>
      <w:spacing w:line="480" w:lineRule="exact"/>
      <w:jc w:val="left"/>
    </w:pPr>
    <w:rPr>
      <w:rFonts w:eastAsia="Batang" w:cs="HeshamNormal"/>
      <w:b w:val="0"/>
      <w:bCs w:val="0"/>
      <w:sz w:val="26"/>
      <w:szCs w:val="50"/>
    </w:rPr>
  </w:style>
  <w:style w:type="paragraph" w:customStyle="1" w:styleId="afffffffffffe">
    <w:name w:val="تحت البحث"/>
    <w:basedOn w:val="124"/>
    <w:link w:val="Charffff4"/>
    <w:rsid w:val="001153F1"/>
  </w:style>
  <w:style w:type="paragraph" w:customStyle="1" w:styleId="1ff8">
    <w:name w:val="اسم المؤلف1"/>
    <w:basedOn w:val="KSina130"/>
    <w:link w:val="1Char8"/>
    <w:rsid w:val="001153F1"/>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1153F1"/>
    <w:rPr>
      <w:rFonts w:ascii="Times New Roman" w:eastAsia="Batang" w:hAnsi="Times New Roman" w:cs="Times New Roman"/>
      <w:b/>
      <w:bCs/>
      <w:kern w:val="32"/>
      <w:sz w:val="28"/>
      <w:szCs w:val="36"/>
    </w:rPr>
  </w:style>
  <w:style w:type="character" w:customStyle="1" w:styleId="Charffff4">
    <w:name w:val="تحت البحث Char"/>
    <w:link w:val="afffffffffffe"/>
    <w:locked/>
    <w:rsid w:val="001153F1"/>
    <w:rPr>
      <w:rFonts w:ascii="Times New Roman" w:eastAsia="Batang" w:hAnsi="Times New Roman" w:cs="Times New Roman"/>
      <w:b/>
      <w:bCs/>
      <w:kern w:val="32"/>
      <w:sz w:val="28"/>
      <w:szCs w:val="36"/>
    </w:rPr>
  </w:style>
  <w:style w:type="paragraph" w:customStyle="1" w:styleId="affffffffffff">
    <w:name w:val="متن اسود"/>
    <w:basedOn w:val="afffffffff3"/>
    <w:link w:val="Charffff5"/>
    <w:rsid w:val="001153F1"/>
    <w:pPr>
      <w:spacing w:before="80" w:line="420" w:lineRule="exact"/>
      <w:ind w:firstLine="539"/>
    </w:pPr>
    <w:rPr>
      <w:rFonts w:cs="Abz-3 (Yagut)"/>
      <w:b/>
      <w:bCs/>
      <w:sz w:val="25"/>
      <w:szCs w:val="23"/>
      <w:lang w:eastAsia="ar-SA"/>
    </w:rPr>
  </w:style>
  <w:style w:type="character" w:customStyle="1" w:styleId="1Char8">
    <w:name w:val="اسم المؤلف1 Char"/>
    <w:link w:val="1ff8"/>
    <w:locked/>
    <w:rsid w:val="001153F1"/>
    <w:rPr>
      <w:rFonts w:ascii="Times New Roman" w:eastAsia="SimSun" w:hAnsi="Times New Roman" w:cs="K Sina"/>
      <w:lang w:eastAsia="ar-SA"/>
    </w:rPr>
  </w:style>
  <w:style w:type="character" w:customStyle="1" w:styleId="Charffff5">
    <w:name w:val="متن اسود Char"/>
    <w:link w:val="affffffffffff"/>
    <w:locked/>
    <w:rsid w:val="001153F1"/>
    <w:rPr>
      <w:rFonts w:ascii="Arno Pro Display" w:eastAsia="Batang" w:hAnsi="Arno Pro Display" w:cs="Abz-3 (Yagut)"/>
      <w:b/>
      <w:bCs/>
      <w:sz w:val="25"/>
      <w:szCs w:val="23"/>
      <w:lang w:eastAsia="ar-SA"/>
    </w:rPr>
  </w:style>
  <w:style w:type="paragraph" w:customStyle="1" w:styleId="affffffffffff0">
    <w:name w:val="تعداد"/>
    <w:basedOn w:val="afffffff2"/>
    <w:rsid w:val="001153F1"/>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6"/>
    <w:semiHidden/>
    <w:rsid w:val="001153F1"/>
  </w:style>
  <w:style w:type="paragraph" w:customStyle="1" w:styleId="Anmat2">
    <w:name w:val="Anmat2"/>
    <w:basedOn w:val="1ff6"/>
    <w:semiHidden/>
    <w:rsid w:val="001153F1"/>
    <w:rPr>
      <w:rFonts w:cs="Ya-Ali"/>
      <w:b/>
      <w:bCs w:val="0"/>
      <w:sz w:val="32"/>
      <w:szCs w:val="32"/>
    </w:rPr>
  </w:style>
  <w:style w:type="paragraph" w:customStyle="1" w:styleId="affffffffffff1">
    <w:name w:val="عناوين فرعية"/>
    <w:basedOn w:val="affffffffffff0"/>
    <w:rsid w:val="001153F1"/>
    <w:pPr>
      <w:spacing w:before="140" w:line="440" w:lineRule="exact"/>
    </w:pPr>
    <w:rPr>
      <w:sz w:val="28"/>
      <w:szCs w:val="27"/>
    </w:rPr>
  </w:style>
  <w:style w:type="character" w:customStyle="1" w:styleId="Charffff6">
    <w:name w:val="رابع Char"/>
    <w:link w:val="affffffffffff2"/>
    <w:locked/>
    <w:rsid w:val="001153F1"/>
    <w:rPr>
      <w:rFonts w:cs="K Farnaz"/>
      <w:b/>
      <w:sz w:val="24"/>
      <w:szCs w:val="24"/>
    </w:rPr>
  </w:style>
  <w:style w:type="paragraph" w:customStyle="1" w:styleId="affffffffffff2">
    <w:name w:val="رابع"/>
    <w:basedOn w:val="af"/>
    <w:link w:val="Charffff6"/>
    <w:rsid w:val="001153F1"/>
    <w:pPr>
      <w:widowControl/>
      <w:spacing w:before="60" w:line="240" w:lineRule="auto"/>
      <w:ind w:firstLine="397"/>
      <w:jc w:val="lowKashida"/>
    </w:pPr>
    <w:rPr>
      <w:rFonts w:ascii="Calibri" w:hAnsi="Calibri" w:cs="K Farnaz"/>
      <w:b/>
      <w:sz w:val="24"/>
      <w:szCs w:val="24"/>
    </w:rPr>
  </w:style>
  <w:style w:type="character" w:customStyle="1" w:styleId="affffffffffff3">
    <w:name w:val="ثالث"/>
    <w:rsid w:val="001153F1"/>
    <w:rPr>
      <w:rFonts w:cs="SKR HEAD1"/>
      <w:b/>
      <w:sz w:val="28"/>
      <w:szCs w:val="28"/>
      <w:lang w:bidi="ar-SA"/>
    </w:rPr>
  </w:style>
  <w:style w:type="character" w:customStyle="1" w:styleId="CharChar19">
    <w:name w:val="Char Char19"/>
    <w:rsid w:val="001153F1"/>
    <w:rPr>
      <w:rFonts w:cs="Simplified Arabic"/>
      <w:bCs/>
      <w:sz w:val="28"/>
      <w:szCs w:val="28"/>
      <w:lang w:val="en-US" w:eastAsia="en-US" w:bidi="ar-SA"/>
    </w:rPr>
  </w:style>
  <w:style w:type="character" w:customStyle="1" w:styleId="CharChar18">
    <w:name w:val="Char Char18"/>
    <w:rsid w:val="001153F1"/>
    <w:rPr>
      <w:rFonts w:cs="Simplified Arabic"/>
      <w:bCs/>
      <w:sz w:val="28"/>
      <w:szCs w:val="28"/>
      <w:lang w:val="en-US" w:eastAsia="en-US" w:bidi="ar-SA"/>
    </w:rPr>
  </w:style>
  <w:style w:type="paragraph" w:customStyle="1" w:styleId="3f7">
    <w:name w:val="سرد الفقرات3"/>
    <w:basedOn w:val="af"/>
    <w:rsid w:val="001153F1"/>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1153F1"/>
    <w:rPr>
      <w:rFonts w:cs="Simplified Arabic"/>
      <w:bCs/>
      <w:sz w:val="28"/>
      <w:szCs w:val="28"/>
      <w:lang w:val="en-US" w:eastAsia="en-US" w:bidi="ar-SA"/>
    </w:rPr>
  </w:style>
  <w:style w:type="paragraph" w:customStyle="1" w:styleId="2fd">
    <w:name w:val="سرد الفقرات2"/>
    <w:basedOn w:val="af"/>
    <w:rsid w:val="001153F1"/>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af"/>
    <w:semiHidden/>
    <w:rsid w:val="001153F1"/>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1153F1"/>
    <w:rPr>
      <w:sz w:val="28"/>
      <w:lang w:val="en-US" w:eastAsia="en-US"/>
    </w:rPr>
  </w:style>
  <w:style w:type="character" w:customStyle="1" w:styleId="CharChar91">
    <w:name w:val="Char Char91"/>
    <w:rsid w:val="001153F1"/>
    <w:rPr>
      <w:rFonts w:cs="Arabic Transparent"/>
      <w:sz w:val="28"/>
      <w:szCs w:val="28"/>
      <w:lang w:val="en-US" w:eastAsia="ar-SA" w:bidi="ar-SA"/>
    </w:rPr>
  </w:style>
  <w:style w:type="character" w:customStyle="1" w:styleId="CharChar81">
    <w:name w:val="Char Char81"/>
    <w:rsid w:val="001153F1"/>
    <w:rPr>
      <w:rFonts w:cs="Arabic Transparent"/>
      <w:b/>
      <w:bCs/>
      <w:sz w:val="28"/>
      <w:szCs w:val="28"/>
      <w:lang w:val="en-US" w:eastAsia="ar-SA" w:bidi="ar-SA"/>
    </w:rPr>
  </w:style>
  <w:style w:type="character" w:customStyle="1" w:styleId="CharChar71">
    <w:name w:val="Char Char71"/>
    <w:rsid w:val="001153F1"/>
    <w:rPr>
      <w:rFonts w:ascii="Arial" w:hAnsi="Arial" w:cs="Arial"/>
      <w:b/>
      <w:bCs/>
      <w:sz w:val="26"/>
      <w:szCs w:val="26"/>
      <w:lang w:val="en-US" w:eastAsia="ar-SA" w:bidi="ar-SA"/>
    </w:rPr>
  </w:style>
  <w:style w:type="character" w:customStyle="1" w:styleId="CharChar61">
    <w:name w:val="Char Char61"/>
    <w:rsid w:val="001153F1"/>
    <w:rPr>
      <w:rFonts w:cs="ALAWI-3-62"/>
      <w:color w:val="008000"/>
      <w:sz w:val="28"/>
      <w:szCs w:val="28"/>
      <w:lang w:val="en-US" w:eastAsia="en-US" w:bidi="ar-SA"/>
    </w:rPr>
  </w:style>
  <w:style w:type="character" w:customStyle="1" w:styleId="CharChar52">
    <w:name w:val="Char Char52"/>
    <w:rsid w:val="001153F1"/>
    <w:rPr>
      <w:rFonts w:cs="AL-Mohanad"/>
      <w:b/>
      <w:bCs/>
      <w:color w:val="000000"/>
      <w:sz w:val="40"/>
      <w:szCs w:val="40"/>
      <w:lang w:val="en-US" w:eastAsia="en-US" w:bidi="ar-SA"/>
    </w:rPr>
  </w:style>
  <w:style w:type="character" w:customStyle="1" w:styleId="CharChar32">
    <w:name w:val="Char Char32"/>
    <w:rsid w:val="001153F1"/>
    <w:rPr>
      <w:rFonts w:cs="PT Bold Broken"/>
      <w:b/>
      <w:bCs/>
      <w:sz w:val="40"/>
      <w:szCs w:val="40"/>
      <w:lang w:val="en-US" w:eastAsia="ar-SA" w:bidi="ar-SA"/>
    </w:rPr>
  </w:style>
  <w:style w:type="character" w:customStyle="1" w:styleId="CharChar22">
    <w:name w:val="Char Char22"/>
    <w:semiHidden/>
    <w:rsid w:val="001153F1"/>
    <w:rPr>
      <w:rFonts w:cs="Arabic Transparent"/>
      <w:sz w:val="28"/>
      <w:szCs w:val="28"/>
      <w:lang w:val="x-none" w:eastAsia="ar-SA" w:bidi="ar-SA"/>
    </w:rPr>
  </w:style>
  <w:style w:type="character" w:customStyle="1" w:styleId="CharChar15">
    <w:name w:val="Char Char15"/>
    <w:rsid w:val="001153F1"/>
    <w:rPr>
      <w:rFonts w:cs="Times New Roman"/>
      <w:lang w:val="en-US" w:eastAsia="ar-SA" w:bidi="ar-SA"/>
    </w:rPr>
  </w:style>
  <w:style w:type="character" w:customStyle="1" w:styleId="CharChar14">
    <w:name w:val="Char Char14"/>
    <w:semiHidden/>
    <w:rsid w:val="001153F1"/>
    <w:rPr>
      <w:rFonts w:cs="Times New Roman"/>
      <w:color w:val="800000"/>
      <w:sz w:val="28"/>
      <w:szCs w:val="28"/>
      <w:lang w:bidi="ar-SA"/>
    </w:rPr>
  </w:style>
  <w:style w:type="paragraph" w:customStyle="1" w:styleId="Heading14">
    <w:name w:val="Heading 14"/>
    <w:basedOn w:val="af"/>
    <w:semiHidden/>
    <w:rsid w:val="001153F1"/>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1153F1"/>
    <w:rPr>
      <w:rFonts w:cs="Simplified Arabic"/>
      <w:color w:val="000000"/>
      <w:sz w:val="28"/>
      <w:szCs w:val="28"/>
      <w:lang w:val="en-US" w:eastAsia="en-US" w:bidi="ar-SA"/>
    </w:rPr>
  </w:style>
  <w:style w:type="character" w:customStyle="1" w:styleId="1ff9">
    <w:name w:val="رفرنس1 نویÓå"/>
    <w:locked/>
    <w:rsid w:val="001153F1"/>
    <w:rPr>
      <w:rFonts w:ascii="Times" w:hAnsi="Times"/>
      <w:sz w:val="18"/>
      <w:szCs w:val="18"/>
    </w:rPr>
  </w:style>
  <w:style w:type="character" w:customStyle="1" w:styleId="affffffffffff4">
    <w:name w:val="ترجمه نویÓå"/>
    <w:locked/>
    <w:rsid w:val="001153F1"/>
    <w:rPr>
      <w:rFonts w:ascii="Times" w:hAnsi="Times"/>
      <w:sz w:val="24"/>
      <w:szCs w:val="24"/>
    </w:rPr>
  </w:style>
  <w:style w:type="character" w:customStyle="1" w:styleId="1ffa">
    <w:name w:val="تيتر1 نویÓå"/>
    <w:locked/>
    <w:rsid w:val="001153F1"/>
    <w:rPr>
      <w:rFonts w:eastAsia="Batang"/>
      <w:bCs/>
      <w:sz w:val="18"/>
      <w:szCs w:val="32"/>
      <w:lang w:eastAsia="ar-SA"/>
    </w:rPr>
  </w:style>
  <w:style w:type="paragraph" w:customStyle="1" w:styleId="TimesNewRomanPTBoldHeading">
    <w:name w:val="نمط (لاتيني) Times New Roman (العربية وغيرها) PT Bold Heading (..."/>
    <w:basedOn w:val="af"/>
    <w:rsid w:val="001153F1"/>
    <w:pPr>
      <w:widowControl/>
      <w:bidi w:val="0"/>
      <w:spacing w:line="240" w:lineRule="auto"/>
      <w:ind w:firstLine="0"/>
      <w:jc w:val="center"/>
    </w:pPr>
    <w:rPr>
      <w:rFonts w:ascii="Times New Roman" w:hAnsi="Times New Roman" w:cs="PT Bold Heading"/>
      <w:bCs/>
      <w:noProof/>
      <w:sz w:val="54"/>
      <w:szCs w:val="56"/>
      <w:lang w:eastAsia="ar-SA"/>
    </w:rPr>
  </w:style>
  <w:style w:type="paragraph" w:customStyle="1" w:styleId="affffffffffff5">
    <w:name w:val="قرآن"/>
    <w:basedOn w:val="af"/>
    <w:link w:val="Charffff7"/>
    <w:rsid w:val="001153F1"/>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7">
    <w:name w:val="قرآن Char"/>
    <w:link w:val="affffffffffff5"/>
    <w:locked/>
    <w:rsid w:val="001153F1"/>
    <w:rPr>
      <w:rFonts w:ascii="Times New Roman" w:hAnsi="Times New Roman" w:cs="md_ameli"/>
      <w:b/>
      <w:bCs/>
      <w:sz w:val="30"/>
      <w:szCs w:val="32"/>
    </w:rPr>
  </w:style>
  <w:style w:type="character" w:customStyle="1" w:styleId="affffffffffff6">
    <w:name w:val="سياه عربي"/>
    <w:rsid w:val="001153F1"/>
    <w:rPr>
      <w:rFonts w:cs="Arabic11 BT"/>
      <w:bCs/>
      <w:sz w:val="32"/>
      <w:szCs w:val="32"/>
      <w:lang w:bidi="ar-SA"/>
    </w:rPr>
  </w:style>
  <w:style w:type="character" w:customStyle="1" w:styleId="affffffffffff7">
    <w:name w:val="حروف عربي در فارسي"/>
    <w:rsid w:val="001153F1"/>
    <w:rPr>
      <w:rFonts w:cs="md_ameli"/>
      <w:sz w:val="28"/>
      <w:szCs w:val="28"/>
      <w:lang w:bidi="ar-SA"/>
    </w:rPr>
  </w:style>
  <w:style w:type="paragraph" w:customStyle="1" w:styleId="affffffffffff8">
    <w:name w:val="نقل قول فارسي"/>
    <w:basedOn w:val="af"/>
    <w:link w:val="Charffff8"/>
    <w:rsid w:val="001153F1"/>
    <w:pPr>
      <w:spacing w:after="200" w:line="320" w:lineRule="exact"/>
      <w:ind w:left="851" w:firstLine="0"/>
      <w:jc w:val="lowKashida"/>
    </w:pPr>
    <w:rPr>
      <w:rFonts w:ascii="Times New Roman" w:hAnsi="Times New Roman" w:cs="B Yagut"/>
      <w:kern w:val="2050"/>
      <w:sz w:val="22"/>
      <w:szCs w:val="22"/>
    </w:rPr>
  </w:style>
  <w:style w:type="character" w:customStyle="1" w:styleId="Charffff8">
    <w:name w:val="نقل قول فارسي Char"/>
    <w:link w:val="affffffffffff8"/>
    <w:locked/>
    <w:rsid w:val="001153F1"/>
    <w:rPr>
      <w:rFonts w:ascii="Times New Roman" w:hAnsi="Times New Roman" w:cs="B Yagut"/>
      <w:kern w:val="2050"/>
      <w:sz w:val="22"/>
      <w:szCs w:val="22"/>
    </w:rPr>
  </w:style>
  <w:style w:type="paragraph" w:customStyle="1" w:styleId="affffffffffff9">
    <w:name w:val="نقل قول عربي"/>
    <w:basedOn w:val="af"/>
    <w:link w:val="affffffffffffa"/>
    <w:rsid w:val="001153F1"/>
    <w:pPr>
      <w:spacing w:line="500" w:lineRule="exact"/>
      <w:ind w:left="851" w:firstLine="0"/>
      <w:jc w:val="lowKashida"/>
    </w:pPr>
    <w:rPr>
      <w:rFonts w:ascii="Tahoma" w:hAnsi="Tahoma" w:cs="Abz-2 (Badr)"/>
      <w:b/>
      <w:bCs/>
      <w:kern w:val="2050"/>
      <w:sz w:val="30"/>
      <w:szCs w:val="30"/>
    </w:rPr>
  </w:style>
  <w:style w:type="character" w:customStyle="1" w:styleId="affffffffffffa">
    <w:name w:val="نقل قول عربي نویسه"/>
    <w:link w:val="affffffffffff9"/>
    <w:locked/>
    <w:rsid w:val="001153F1"/>
    <w:rPr>
      <w:rFonts w:ascii="Tahoma" w:hAnsi="Tahoma" w:cs="Abz-2 (Badr)"/>
      <w:b/>
      <w:bCs/>
      <w:kern w:val="2050"/>
      <w:sz w:val="30"/>
      <w:szCs w:val="30"/>
    </w:rPr>
  </w:style>
  <w:style w:type="character" w:customStyle="1" w:styleId="affffffffffffb">
    <w:name w:val="سياه فارسي"/>
    <w:rsid w:val="001153F1"/>
    <w:rPr>
      <w:rFonts w:cs="md_ameli"/>
      <w:bCs/>
      <w:sz w:val="27"/>
      <w:szCs w:val="27"/>
      <w:lang w:bidi="ar-SA"/>
    </w:rPr>
  </w:style>
  <w:style w:type="paragraph" w:customStyle="1" w:styleId="affffffffffffc">
    <w:name w:val="نام مقالات"/>
    <w:basedOn w:val="14"/>
    <w:link w:val="Charffff9"/>
    <w:rsid w:val="001153F1"/>
    <w:pPr>
      <w:widowControl w:val="0"/>
      <w:autoSpaceDE/>
      <w:autoSpaceDN/>
      <w:spacing w:line="240" w:lineRule="auto"/>
      <w:ind w:firstLine="454"/>
      <w:jc w:val="center"/>
    </w:pPr>
    <w:rPr>
      <w:rFonts w:cs="Arabic Transparent"/>
      <w:sz w:val="22"/>
      <w:szCs w:val="40"/>
      <w:lang w:eastAsia="en-US"/>
    </w:rPr>
  </w:style>
  <w:style w:type="character" w:customStyle="1" w:styleId="Charffff9">
    <w:name w:val="نام مقالات Char"/>
    <w:link w:val="affffffffffffc"/>
    <w:locked/>
    <w:rsid w:val="001153F1"/>
    <w:rPr>
      <w:rFonts w:ascii="Times New Roman" w:hAnsi="Times New Roman" w:cs="Arabic Transparent"/>
      <w:bCs/>
      <w:sz w:val="22"/>
      <w:szCs w:val="40"/>
    </w:rPr>
  </w:style>
  <w:style w:type="paragraph" w:customStyle="1" w:styleId="affffffffffffd">
    <w:name w:val="فصلها"/>
    <w:basedOn w:val="affffffffffffc"/>
    <w:link w:val="Charffffa"/>
    <w:rsid w:val="001153F1"/>
    <w:pPr>
      <w:spacing w:line="480" w:lineRule="auto"/>
      <w:ind w:firstLine="0"/>
    </w:pPr>
    <w:rPr>
      <w:rFonts w:cs="Abz-2 (Badr)"/>
      <w:szCs w:val="56"/>
      <w:lang w:bidi="fa-IR"/>
    </w:rPr>
  </w:style>
  <w:style w:type="character" w:customStyle="1" w:styleId="Charffffa">
    <w:name w:val="فصلها Char"/>
    <w:link w:val="affffffffffffd"/>
    <w:locked/>
    <w:rsid w:val="001153F1"/>
    <w:rPr>
      <w:rFonts w:ascii="Times New Roman" w:hAnsi="Times New Roman" w:cs="Abz-2 (Badr)"/>
      <w:bCs/>
      <w:sz w:val="22"/>
      <w:szCs w:val="56"/>
      <w:lang w:bidi="fa-IR"/>
    </w:rPr>
  </w:style>
  <w:style w:type="character" w:customStyle="1" w:styleId="affffffffffffe">
    <w:name w:val="سياه حروف عربي در پاروقي فارسي"/>
    <w:rsid w:val="001153F1"/>
    <w:rPr>
      <w:rFonts w:cs="md_ameli"/>
      <w:bCs/>
      <w:sz w:val="20"/>
      <w:szCs w:val="20"/>
      <w:lang w:bidi="ar-SA"/>
    </w:rPr>
  </w:style>
  <w:style w:type="paragraph" w:customStyle="1" w:styleId="afffffffffffff">
    <w:name w:val="مقدمه"/>
    <w:basedOn w:val="af"/>
    <w:rsid w:val="001153F1"/>
    <w:pPr>
      <w:spacing w:line="240" w:lineRule="auto"/>
      <w:ind w:left="1418" w:firstLine="0"/>
      <w:jc w:val="lowKashida"/>
    </w:pPr>
    <w:rPr>
      <w:rFonts w:ascii="Times New Roman" w:hAnsi="Times New Roman" w:cs="Abz-2 (Badr)"/>
      <w:bCs/>
      <w:iCs/>
      <w:sz w:val="26"/>
      <w:szCs w:val="26"/>
    </w:rPr>
  </w:style>
  <w:style w:type="paragraph" w:customStyle="1" w:styleId="afffffffffffff0">
    <w:name w:val="مؤلفين"/>
    <w:basedOn w:val="af"/>
    <w:link w:val="Charffffb"/>
    <w:rsid w:val="001153F1"/>
    <w:pPr>
      <w:spacing w:line="240" w:lineRule="auto"/>
      <w:ind w:firstLine="0"/>
      <w:jc w:val="right"/>
    </w:pPr>
    <w:rPr>
      <w:rFonts w:ascii="Times New Roman" w:hAnsi="Times New Roman" w:cs="Abz-2 (Badr)"/>
      <w:bCs/>
      <w:szCs w:val="32"/>
    </w:rPr>
  </w:style>
  <w:style w:type="character" w:customStyle="1" w:styleId="Charffffb">
    <w:name w:val="مؤلفين Char"/>
    <w:link w:val="afffffffffffff0"/>
    <w:locked/>
    <w:rsid w:val="001153F1"/>
    <w:rPr>
      <w:rFonts w:ascii="Times New Roman" w:hAnsi="Times New Roman" w:cs="Abz-2 (Badr)"/>
      <w:bCs/>
      <w:sz w:val="28"/>
      <w:szCs w:val="32"/>
    </w:rPr>
  </w:style>
  <w:style w:type="character" w:customStyle="1" w:styleId="afffffffffffff1">
    <w:name w:val="حروف عربي در پاورقي فارسي"/>
    <w:rsid w:val="001153F1"/>
    <w:rPr>
      <w:rFonts w:ascii="Times New Roman" w:hAnsi="Times New Roman" w:cs="md_ameli"/>
      <w:bCs/>
      <w:sz w:val="20"/>
      <w:szCs w:val="20"/>
      <w:lang w:bidi="ar-SA"/>
    </w:rPr>
  </w:style>
  <w:style w:type="paragraph" w:customStyle="1" w:styleId="afffffffffffff2">
    <w:name w:val="انگليسي"/>
    <w:basedOn w:val="af"/>
    <w:rsid w:val="001153F1"/>
    <w:pPr>
      <w:spacing w:line="240" w:lineRule="auto"/>
      <w:ind w:firstLine="454"/>
      <w:jc w:val="right"/>
    </w:pPr>
    <w:rPr>
      <w:rFonts w:ascii="Times New Roman" w:hAnsi="Times New Roman" w:cs="Abz-2 (Badr)"/>
      <w:sz w:val="26"/>
      <w:szCs w:val="32"/>
      <w:lang w:bidi="fa-IR"/>
    </w:rPr>
  </w:style>
  <w:style w:type="paragraph" w:customStyle="1" w:styleId="afffffffffffff3">
    <w:name w:val="نقل فارسى"/>
    <w:link w:val="afffffffffffff4"/>
    <w:semiHidden/>
    <w:rsid w:val="001153F1"/>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4">
    <w:name w:val="نقل فارسى نویسه"/>
    <w:link w:val="afffffffffffff3"/>
    <w:semiHidden/>
    <w:locked/>
    <w:rsid w:val="001153F1"/>
    <w:rPr>
      <w:rFonts w:ascii="Times New Roman" w:hAnsi="Times New Roman" w:cs="Times New Roman"/>
      <w:bCs/>
      <w:sz w:val="24"/>
      <w:szCs w:val="28"/>
    </w:rPr>
  </w:style>
  <w:style w:type="paragraph" w:customStyle="1" w:styleId="afffffffffffff5">
    <w:name w:val="سوال"/>
    <w:basedOn w:val="af"/>
    <w:link w:val="Charffffc"/>
    <w:rsid w:val="001153F1"/>
    <w:pPr>
      <w:spacing w:line="240" w:lineRule="auto"/>
      <w:ind w:left="1134" w:firstLine="0"/>
      <w:jc w:val="lowKashida"/>
    </w:pPr>
    <w:rPr>
      <w:rFonts w:ascii="Times New Roman" w:hAnsi="Times New Roman" w:cs="B Nazanin"/>
      <w:bCs/>
      <w:sz w:val="22"/>
      <w:szCs w:val="25"/>
    </w:rPr>
  </w:style>
  <w:style w:type="character" w:customStyle="1" w:styleId="Charffffc">
    <w:name w:val="سوال Char"/>
    <w:link w:val="afffffffffffff5"/>
    <w:locked/>
    <w:rsid w:val="001153F1"/>
    <w:rPr>
      <w:rFonts w:ascii="Times New Roman" w:hAnsi="Times New Roman" w:cs="B Nazanin"/>
      <w:bCs/>
      <w:sz w:val="22"/>
      <w:szCs w:val="25"/>
    </w:rPr>
  </w:style>
  <w:style w:type="paragraph" w:customStyle="1" w:styleId="afffffffffffff6">
    <w:name w:val="مخفي"/>
    <w:basedOn w:val="affffffffffffd"/>
    <w:rsid w:val="001153F1"/>
    <w:rPr>
      <w:vanish/>
    </w:rPr>
  </w:style>
  <w:style w:type="paragraph" w:customStyle="1" w:styleId="afffffffffffff7">
    <w:name w:val="شماره فصل"/>
    <w:basedOn w:val="affffffffffffd"/>
    <w:rsid w:val="001153F1"/>
    <w:pPr>
      <w:ind w:firstLine="720"/>
      <w:jc w:val="left"/>
    </w:pPr>
    <w:rPr>
      <w:rFonts w:cs="B Esfehan"/>
      <w:szCs w:val="32"/>
    </w:rPr>
  </w:style>
  <w:style w:type="paragraph" w:customStyle="1" w:styleId="afffffffffffff8">
    <w:name w:val="پـاصـفحه"/>
    <w:rsid w:val="001153F1"/>
    <w:pPr>
      <w:autoSpaceDE w:val="0"/>
      <w:autoSpaceDN w:val="0"/>
      <w:bidi/>
      <w:spacing w:line="168" w:lineRule="atLeast"/>
      <w:ind w:right="452"/>
      <w:jc w:val="both"/>
    </w:pPr>
    <w:rPr>
      <w:rFonts w:ascii="Times New Roman" w:hAnsi="Times New Roman" w:cs="Times New Roman"/>
      <w:sz w:val="24"/>
      <w:szCs w:val="22"/>
    </w:rPr>
  </w:style>
  <w:style w:type="paragraph" w:customStyle="1" w:styleId="1ffb">
    <w:name w:val="العنوان1"/>
    <w:rsid w:val="001153F1"/>
    <w:pPr>
      <w:autoSpaceDE w:val="0"/>
      <w:autoSpaceDN w:val="0"/>
      <w:bidi/>
      <w:spacing w:line="433" w:lineRule="atLeast"/>
      <w:jc w:val="center"/>
    </w:pPr>
    <w:rPr>
      <w:rFonts w:ascii="Times New Roman" w:hAnsi="Times New Roman" w:cs="Abz-2 (Badr)"/>
      <w:bCs/>
      <w:sz w:val="24"/>
      <w:szCs w:val="22"/>
    </w:rPr>
  </w:style>
  <w:style w:type="paragraph" w:customStyle="1" w:styleId="afffffffffffff9">
    <w:name w:val="پاورقى"/>
    <w:rsid w:val="001153F1"/>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1153F1"/>
    <w:rPr>
      <w:rFonts w:cs="Times New Roman"/>
    </w:rPr>
  </w:style>
  <w:style w:type="numbering" w:customStyle="1" w:styleId="fgdsgfdfd">
    <w:name w:val="fgdsgfdfd"/>
    <w:rsid w:val="001153F1"/>
    <w:pPr>
      <w:numPr>
        <w:numId w:val="25"/>
      </w:numPr>
    </w:pPr>
  </w:style>
  <w:style w:type="numbering" w:customStyle="1" w:styleId="a1">
    <w:name w:val="الترقيم الحـــرفي"/>
    <w:rsid w:val="001153F1"/>
    <w:pPr>
      <w:numPr>
        <w:numId w:val="16"/>
      </w:numPr>
    </w:pPr>
  </w:style>
  <w:style w:type="numbering" w:customStyle="1" w:styleId="ggsdfkfgsdgg">
    <w:name w:val="ggsdfkfgsdgg"/>
    <w:rsid w:val="001153F1"/>
    <w:pPr>
      <w:numPr>
        <w:numId w:val="22"/>
      </w:numPr>
    </w:pPr>
  </w:style>
  <w:style w:type="numbering" w:customStyle="1" w:styleId="dgjhg">
    <w:name w:val="dgjhg"/>
    <w:rsid w:val="001153F1"/>
  </w:style>
  <w:style w:type="numbering" w:customStyle="1" w:styleId="a2">
    <w:name w:val="التررررقيم العددي"/>
    <w:rsid w:val="001153F1"/>
    <w:pPr>
      <w:numPr>
        <w:numId w:val="17"/>
      </w:numPr>
    </w:pPr>
  </w:style>
  <w:style w:type="numbering" w:customStyle="1" w:styleId="ArticleSection1">
    <w:name w:val="Article / Section1"/>
    <w:rsid w:val="001153F1"/>
    <w:pPr>
      <w:numPr>
        <w:numId w:val="32"/>
      </w:numPr>
    </w:pPr>
  </w:style>
  <w:style w:type="numbering" w:customStyle="1" w:styleId="a5">
    <w:name w:val="بسي"/>
    <w:rsid w:val="001153F1"/>
    <w:pPr>
      <w:numPr>
        <w:numId w:val="29"/>
      </w:numPr>
    </w:pPr>
  </w:style>
  <w:style w:type="numbering" w:customStyle="1" w:styleId="a6">
    <w:name w:val="ليباتليبت"/>
    <w:rsid w:val="001153F1"/>
    <w:pPr>
      <w:numPr>
        <w:numId w:val="20"/>
      </w:numPr>
    </w:pPr>
  </w:style>
  <w:style w:type="numbering" w:customStyle="1" w:styleId="a7">
    <w:name w:val="بسيب"/>
    <w:rsid w:val="001153F1"/>
    <w:pPr>
      <w:numPr>
        <w:numId w:val="27"/>
      </w:numPr>
    </w:pPr>
  </w:style>
  <w:style w:type="numbering" w:customStyle="1" w:styleId="a8">
    <w:name w:val="الترقيم الحرفي الضـمني"/>
    <w:rsid w:val="001153F1"/>
    <w:pPr>
      <w:numPr>
        <w:numId w:val="15"/>
      </w:numPr>
    </w:pPr>
  </w:style>
  <w:style w:type="numbering" w:customStyle="1" w:styleId="a9">
    <w:name w:val="لاالبتنمبلتن"/>
    <w:rsid w:val="001153F1"/>
    <w:pPr>
      <w:numPr>
        <w:numId w:val="26"/>
      </w:numPr>
    </w:pPr>
  </w:style>
  <w:style w:type="numbering" w:customStyle="1" w:styleId="aa">
    <w:name w:val="بيسي"/>
    <w:rsid w:val="001153F1"/>
    <w:pPr>
      <w:numPr>
        <w:numId w:val="30"/>
      </w:numPr>
    </w:pPr>
  </w:style>
  <w:style w:type="numbering" w:customStyle="1" w:styleId="ab">
    <w:name w:val="ب"/>
    <w:rsid w:val="001153F1"/>
    <w:pPr>
      <w:numPr>
        <w:numId w:val="28"/>
      </w:numPr>
    </w:pPr>
  </w:style>
  <w:style w:type="numbering" w:customStyle="1" w:styleId="ghf">
    <w:name w:val="ghf"/>
    <w:rsid w:val="001153F1"/>
    <w:pPr>
      <w:numPr>
        <w:numId w:val="23"/>
      </w:numPr>
    </w:pPr>
  </w:style>
  <w:style w:type="numbering" w:customStyle="1" w:styleId="ac">
    <w:name w:val="الترقيم الحرفـي"/>
    <w:rsid w:val="001153F1"/>
    <w:pPr>
      <w:numPr>
        <w:numId w:val="14"/>
      </w:numPr>
    </w:pPr>
  </w:style>
  <w:style w:type="numbering" w:customStyle="1" w:styleId="ad">
    <w:name w:val="بيشسيب"/>
    <w:rsid w:val="001153F1"/>
    <w:pPr>
      <w:numPr>
        <w:numId w:val="31"/>
      </w:numPr>
    </w:pPr>
  </w:style>
  <w:style w:type="numbering" w:customStyle="1" w:styleId="jdhgdfjkghkdll">
    <w:name w:val="jdhgdfjkghkdll"/>
    <w:rsid w:val="001153F1"/>
    <w:pPr>
      <w:numPr>
        <w:numId w:val="18"/>
      </w:numPr>
    </w:pPr>
  </w:style>
  <w:style w:type="numbering" w:customStyle="1" w:styleId="gfdjkhjl">
    <w:name w:val="gfdjkhjl"/>
    <w:rsid w:val="001153F1"/>
    <w:pPr>
      <w:numPr>
        <w:numId w:val="24"/>
      </w:numPr>
    </w:pPr>
  </w:style>
  <w:style w:type="numbering" w:customStyle="1" w:styleId="hgfghfgkfj">
    <w:name w:val="hgfghfgkfj"/>
    <w:rsid w:val="001153F1"/>
    <w:pPr>
      <w:numPr>
        <w:numId w:val="19"/>
      </w:numPr>
    </w:pPr>
  </w:style>
  <w:style w:type="numbering" w:customStyle="1" w:styleId="ae">
    <w:name w:val="التلعتالتنم"/>
    <w:rsid w:val="001153F1"/>
    <w:pPr>
      <w:numPr>
        <w:numId w:val="21"/>
      </w:numPr>
    </w:pPr>
  </w:style>
  <w:style w:type="paragraph" w:customStyle="1" w:styleId="Question0">
    <w:name w:val="Question"/>
    <w:basedOn w:val="af"/>
    <w:qFormat/>
    <w:rsid w:val="001153F1"/>
    <w:pPr>
      <w:spacing w:line="216" w:lineRule="auto"/>
      <w:ind w:firstLine="0"/>
    </w:pPr>
    <w:rPr>
      <w:rFonts w:ascii="Arial" w:hAnsi="Arial" w:cs="Mosawi"/>
      <w:bCs/>
      <w:color w:val="000000"/>
      <w:sz w:val="26"/>
      <w:szCs w:val="30"/>
    </w:rPr>
  </w:style>
  <w:style w:type="character" w:customStyle="1" w:styleId="SubtitleChar1">
    <w:name w:val="Subtitle Char1"/>
    <w:aliases w:val="الروایة Char1"/>
    <w:basedOn w:val="af0"/>
    <w:uiPriority w:val="11"/>
    <w:rsid w:val="001153F1"/>
    <w:rPr>
      <w:rFonts w:asciiTheme="minorHAnsi" w:eastAsiaTheme="minorEastAsia" w:hAnsiTheme="minorHAnsi" w:cstheme="minorBidi"/>
      <w:color w:val="5A5A5A" w:themeColor="text1" w:themeTint="A5"/>
      <w:spacing w:val="15"/>
      <w:sz w:val="22"/>
      <w:szCs w:val="22"/>
    </w:rPr>
  </w:style>
  <w:style w:type="paragraph" w:customStyle="1" w:styleId="Space084">
    <w:name w:val="Space 0.84"/>
    <w:basedOn w:val="af"/>
    <w:qFormat/>
    <w:rsid w:val="001153F1"/>
    <w:pPr>
      <w:spacing w:line="202" w:lineRule="auto"/>
      <w:ind w:firstLine="284"/>
    </w:pPr>
    <w:rPr>
      <w:rFonts w:cs="Mosawi"/>
      <w:szCs w:val="30"/>
    </w:rPr>
  </w:style>
  <w:style w:type="table" w:customStyle="1" w:styleId="1ffc">
    <w:name w:val="شبكة جدول1"/>
    <w:basedOn w:val="af1"/>
    <w:next w:val="afa"/>
    <w:rsid w:val="00703D64"/>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58.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4.xml"/><Relationship Id="rId89" Type="http://schemas.openxmlformats.org/officeDocument/2006/relationships/footer" Target="footer37.xml"/><Relationship Id="rId112" Type="http://schemas.openxmlformats.org/officeDocument/2006/relationships/footer" Target="footer47.xml"/><Relationship Id="rId133" Type="http://schemas.openxmlformats.org/officeDocument/2006/relationships/footer" Target="footer56.xml"/><Relationship Id="rId138" Type="http://schemas.openxmlformats.org/officeDocument/2006/relationships/footer" Target="footer59.xml"/><Relationship Id="rId154" Type="http://schemas.openxmlformats.org/officeDocument/2006/relationships/header" Target="header79.xml"/><Relationship Id="rId159" Type="http://schemas.openxmlformats.org/officeDocument/2006/relationships/header" Target="header82.xml"/><Relationship Id="rId175" Type="http://schemas.openxmlformats.org/officeDocument/2006/relationships/header" Target="header90.xml"/><Relationship Id="rId170" Type="http://schemas.openxmlformats.org/officeDocument/2006/relationships/footer" Target="footer73.xml"/><Relationship Id="rId16" Type="http://schemas.openxmlformats.org/officeDocument/2006/relationships/header" Target="header4.xml"/><Relationship Id="rId107" Type="http://schemas.openxmlformats.org/officeDocument/2006/relationships/footer" Target="footer45.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footer" Target="footer23.xml"/><Relationship Id="rId74" Type="http://schemas.openxmlformats.org/officeDocument/2006/relationships/header" Target="header35.xml"/><Relationship Id="rId79" Type="http://schemas.openxmlformats.org/officeDocument/2006/relationships/footer" Target="footer32.xml"/><Relationship Id="rId102" Type="http://schemas.openxmlformats.org/officeDocument/2006/relationships/footer" Target="footer42.xml"/><Relationship Id="rId123" Type="http://schemas.openxmlformats.org/officeDocument/2006/relationships/header" Target="header62.xml"/><Relationship Id="rId128" Type="http://schemas.openxmlformats.org/officeDocument/2006/relationships/header" Target="header65.xml"/><Relationship Id="rId144" Type="http://schemas.openxmlformats.org/officeDocument/2006/relationships/header" Target="header73.xml"/><Relationship Id="rId149" Type="http://schemas.openxmlformats.org/officeDocument/2006/relationships/header" Target="header76.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160" Type="http://schemas.openxmlformats.org/officeDocument/2006/relationships/footer" Target="footer68.xml"/><Relationship Id="rId165" Type="http://schemas.openxmlformats.org/officeDocument/2006/relationships/footer" Target="footer71.xml"/><Relationship Id="rId181" Type="http://schemas.openxmlformats.org/officeDocument/2006/relationships/header" Target="header94.xml"/><Relationship Id="rId186" Type="http://schemas.openxmlformats.org/officeDocument/2006/relationships/header" Target="header97.xml"/><Relationship Id="rId22" Type="http://schemas.openxmlformats.org/officeDocument/2006/relationships/footer" Target="footer7.xml"/><Relationship Id="rId27" Type="http://schemas.openxmlformats.org/officeDocument/2006/relationships/header" Target="header8.xml"/><Relationship Id="rId43" Type="http://schemas.openxmlformats.org/officeDocument/2006/relationships/footer" Target="footer16.xml"/><Relationship Id="rId48" Type="http://schemas.openxmlformats.org/officeDocument/2006/relationships/footer" Target="footer18.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7.xml"/><Relationship Id="rId139" Type="http://schemas.openxmlformats.org/officeDocument/2006/relationships/header" Target="header70.xml"/><Relationship Id="rId80" Type="http://schemas.openxmlformats.org/officeDocument/2006/relationships/footer" Target="footer33.xml"/><Relationship Id="rId85" Type="http://schemas.openxmlformats.org/officeDocument/2006/relationships/footer" Target="footer35.xml"/><Relationship Id="rId150" Type="http://schemas.openxmlformats.org/officeDocument/2006/relationships/header" Target="header77.xml"/><Relationship Id="rId155" Type="http://schemas.openxmlformats.org/officeDocument/2006/relationships/footer" Target="footer66.xml"/><Relationship Id="rId171" Type="http://schemas.openxmlformats.org/officeDocument/2006/relationships/header" Target="header88.xml"/><Relationship Id="rId176" Type="http://schemas.openxmlformats.org/officeDocument/2006/relationships/header" Target="header91.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3.xml"/><Relationship Id="rId108" Type="http://schemas.openxmlformats.org/officeDocument/2006/relationships/header" Target="header53.xml"/><Relationship Id="rId124" Type="http://schemas.openxmlformats.org/officeDocument/2006/relationships/footer" Target="footer52.xml"/><Relationship Id="rId129" Type="http://schemas.openxmlformats.org/officeDocument/2006/relationships/footer" Target="footer54.xml"/><Relationship Id="rId54" Type="http://schemas.openxmlformats.org/officeDocument/2006/relationships/header" Target="header23.xml"/><Relationship Id="rId70" Type="http://schemas.openxmlformats.org/officeDocument/2006/relationships/footer" Target="footer28.xml"/><Relationship Id="rId75" Type="http://schemas.openxmlformats.org/officeDocument/2006/relationships/footer" Target="footer30.xml"/><Relationship Id="rId91" Type="http://schemas.openxmlformats.org/officeDocument/2006/relationships/header" Target="header44.xml"/><Relationship Id="rId96" Type="http://schemas.openxmlformats.org/officeDocument/2006/relationships/header" Target="header47.xml"/><Relationship Id="rId140" Type="http://schemas.openxmlformats.org/officeDocument/2006/relationships/header" Target="header71.xml"/><Relationship Id="rId145" Type="http://schemas.openxmlformats.org/officeDocument/2006/relationships/header" Target="header74.xml"/><Relationship Id="rId161" Type="http://schemas.openxmlformats.org/officeDocument/2006/relationships/footer" Target="footer69.xml"/><Relationship Id="rId166" Type="http://schemas.openxmlformats.org/officeDocument/2006/relationships/header" Target="header85.xml"/><Relationship Id="rId182" Type="http://schemas.openxmlformats.org/officeDocument/2006/relationships/footer" Target="footer78.xml"/><Relationship Id="rId187" Type="http://schemas.openxmlformats.org/officeDocument/2006/relationships/footer" Target="footer8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6.xml"/><Relationship Id="rId28" Type="http://schemas.openxmlformats.org/officeDocument/2006/relationships/header" Target="header9.xml"/><Relationship Id="rId49" Type="http://schemas.openxmlformats.org/officeDocument/2006/relationships/footer" Target="footer19.xml"/><Relationship Id="rId114" Type="http://schemas.openxmlformats.org/officeDocument/2006/relationships/header" Target="header57.xml"/><Relationship Id="rId119" Type="http://schemas.openxmlformats.org/officeDocument/2006/relationships/header" Target="header60.xml"/><Relationship Id="rId44" Type="http://schemas.openxmlformats.org/officeDocument/2006/relationships/footer" Target="footer17.xml"/><Relationship Id="rId60" Type="http://schemas.openxmlformats.org/officeDocument/2006/relationships/header" Target="header27.xml"/><Relationship Id="rId65" Type="http://schemas.openxmlformats.org/officeDocument/2006/relationships/header" Target="header30.xml"/><Relationship Id="rId81" Type="http://schemas.openxmlformats.org/officeDocument/2006/relationships/header" Target="header38.xml"/><Relationship Id="rId86" Type="http://schemas.openxmlformats.org/officeDocument/2006/relationships/header" Target="header41.xml"/><Relationship Id="rId130" Type="http://schemas.openxmlformats.org/officeDocument/2006/relationships/footer" Target="footer55.xml"/><Relationship Id="rId135" Type="http://schemas.openxmlformats.org/officeDocument/2006/relationships/header" Target="header68.xml"/><Relationship Id="rId151" Type="http://schemas.openxmlformats.org/officeDocument/2006/relationships/footer" Target="footer64.xml"/><Relationship Id="rId156" Type="http://schemas.openxmlformats.org/officeDocument/2006/relationships/footer" Target="footer67.xml"/><Relationship Id="rId177" Type="http://schemas.openxmlformats.org/officeDocument/2006/relationships/header" Target="header92.xml"/><Relationship Id="rId172" Type="http://schemas.openxmlformats.org/officeDocument/2006/relationships/header" Target="header89.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4.xml"/><Relationship Id="rId109" Type="http://schemas.openxmlformats.org/officeDocument/2006/relationships/header" Target="header54.xml"/><Relationship Id="rId34" Type="http://schemas.openxmlformats.org/officeDocument/2006/relationships/footer" Target="footer12.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31.xml"/><Relationship Id="rId97" Type="http://schemas.openxmlformats.org/officeDocument/2006/relationships/footer" Target="footer40.xml"/><Relationship Id="rId104" Type="http://schemas.openxmlformats.org/officeDocument/2006/relationships/header" Target="header51.xml"/><Relationship Id="rId120" Type="http://schemas.openxmlformats.org/officeDocument/2006/relationships/footer" Target="footer50.xml"/><Relationship Id="rId125" Type="http://schemas.openxmlformats.org/officeDocument/2006/relationships/footer" Target="footer53.xml"/><Relationship Id="rId141" Type="http://schemas.openxmlformats.org/officeDocument/2006/relationships/header" Target="header72.xml"/><Relationship Id="rId146" Type="http://schemas.openxmlformats.org/officeDocument/2006/relationships/footer" Target="footer62.xml"/><Relationship Id="rId167" Type="http://schemas.openxmlformats.org/officeDocument/2006/relationships/header" Target="header86.xml"/><Relationship Id="rId188" Type="http://schemas.openxmlformats.org/officeDocument/2006/relationships/header" Target="header98.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header" Target="header45.xml"/><Relationship Id="rId162" Type="http://schemas.openxmlformats.org/officeDocument/2006/relationships/header" Target="header83.xml"/><Relationship Id="rId183" Type="http://schemas.openxmlformats.org/officeDocument/2006/relationships/footer" Target="footer79.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6.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footer" Target="footer48.xml"/><Relationship Id="rId131" Type="http://schemas.openxmlformats.org/officeDocument/2006/relationships/header" Target="header66.xml"/><Relationship Id="rId136" Type="http://schemas.openxmlformats.org/officeDocument/2006/relationships/header" Target="header69.xml"/><Relationship Id="rId157" Type="http://schemas.openxmlformats.org/officeDocument/2006/relationships/header" Target="header80.xml"/><Relationship Id="rId178" Type="http://schemas.openxmlformats.org/officeDocument/2006/relationships/footer" Target="footer76.xml"/><Relationship Id="rId61" Type="http://schemas.openxmlformats.org/officeDocument/2006/relationships/footer" Target="footer24.xml"/><Relationship Id="rId82" Type="http://schemas.openxmlformats.org/officeDocument/2006/relationships/header" Target="header39.xml"/><Relationship Id="rId152" Type="http://schemas.openxmlformats.org/officeDocument/2006/relationships/footer" Target="footer65.xml"/><Relationship Id="rId173" Type="http://schemas.openxmlformats.org/officeDocument/2006/relationships/footer" Target="footer7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footer" Target="footer13.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 Id="rId147" Type="http://schemas.openxmlformats.org/officeDocument/2006/relationships/footer" Target="footer63.xml"/><Relationship Id="rId168" Type="http://schemas.openxmlformats.org/officeDocument/2006/relationships/header" Target="header87.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8.xml"/><Relationship Id="rId98" Type="http://schemas.openxmlformats.org/officeDocument/2006/relationships/footer" Target="footer41.xml"/><Relationship Id="rId121" Type="http://schemas.openxmlformats.org/officeDocument/2006/relationships/footer" Target="footer51.xml"/><Relationship Id="rId142" Type="http://schemas.openxmlformats.org/officeDocument/2006/relationships/footer" Target="footer60.xml"/><Relationship Id="rId163" Type="http://schemas.openxmlformats.org/officeDocument/2006/relationships/header" Target="header84.xml"/><Relationship Id="rId184" Type="http://schemas.openxmlformats.org/officeDocument/2006/relationships/header" Target="header95.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7.xml"/><Relationship Id="rId116" Type="http://schemas.openxmlformats.org/officeDocument/2006/relationships/footer" Target="footer49.xml"/><Relationship Id="rId137" Type="http://schemas.openxmlformats.org/officeDocument/2006/relationships/footer" Target="footer58.xml"/><Relationship Id="rId158" Type="http://schemas.openxmlformats.org/officeDocument/2006/relationships/header" Target="header81.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5.xml"/><Relationship Id="rId83" Type="http://schemas.openxmlformats.org/officeDocument/2006/relationships/header" Target="header40.xml"/><Relationship Id="rId88" Type="http://schemas.openxmlformats.org/officeDocument/2006/relationships/footer" Target="footer36.xml"/><Relationship Id="rId111" Type="http://schemas.openxmlformats.org/officeDocument/2006/relationships/footer" Target="footer46.xml"/><Relationship Id="rId132" Type="http://schemas.openxmlformats.org/officeDocument/2006/relationships/header" Target="header67.xml"/><Relationship Id="rId153" Type="http://schemas.openxmlformats.org/officeDocument/2006/relationships/header" Target="header78.xml"/><Relationship Id="rId174" Type="http://schemas.openxmlformats.org/officeDocument/2006/relationships/footer" Target="footer75.xml"/><Relationship Id="rId179" Type="http://schemas.openxmlformats.org/officeDocument/2006/relationships/footer" Target="footer77.xml"/><Relationship Id="rId190"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footer" Target="footer22.xml"/><Relationship Id="rId106" Type="http://schemas.openxmlformats.org/officeDocument/2006/relationships/footer" Target="footer44.xml"/><Relationship Id="rId127" Type="http://schemas.openxmlformats.org/officeDocument/2006/relationships/header" Target="header64.xml"/><Relationship Id="rId10" Type="http://schemas.openxmlformats.org/officeDocument/2006/relationships/image" Target="media/image2.png"/><Relationship Id="rId31" Type="http://schemas.openxmlformats.org/officeDocument/2006/relationships/footer" Target="footer11.xml"/><Relationship Id="rId52" Type="http://schemas.openxmlformats.org/officeDocument/2006/relationships/footer" Target="footer20.xml"/><Relationship Id="rId73" Type="http://schemas.openxmlformats.org/officeDocument/2006/relationships/header" Target="header34.xml"/><Relationship Id="rId78" Type="http://schemas.openxmlformats.org/officeDocument/2006/relationships/header" Target="header37.xml"/><Relationship Id="rId94" Type="http://schemas.openxmlformats.org/officeDocument/2006/relationships/footer" Target="footer39.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header" Target="header61.xml"/><Relationship Id="rId143" Type="http://schemas.openxmlformats.org/officeDocument/2006/relationships/footer" Target="footer61.xml"/><Relationship Id="rId148" Type="http://schemas.openxmlformats.org/officeDocument/2006/relationships/header" Target="header75.xml"/><Relationship Id="rId164" Type="http://schemas.openxmlformats.org/officeDocument/2006/relationships/footer" Target="footer70.xml"/><Relationship Id="rId169" Type="http://schemas.openxmlformats.org/officeDocument/2006/relationships/footer" Target="footer72.xml"/><Relationship Id="rId185" Type="http://schemas.openxmlformats.org/officeDocument/2006/relationships/header" Target="header96.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93.xml"/></Relationships>
</file>

<file path=word/_rels/endnotes.xml.rels><?xml version="1.0" encoding="UTF-8" standalone="yes"?>
<Relationships xmlns="http://schemas.openxmlformats.org/package/2006/relationships"><Relationship Id="rId1" Type="http://schemas.openxmlformats.org/officeDocument/2006/relationships/hyperlink" Target="http://arabic.irib.ir/programs/item/102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B37E6-2E23-4F28-9B6A-4EEBC0320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580</TotalTime>
  <Pages>456</Pages>
  <Words>94934</Words>
  <Characters>541127</Characters>
  <Application>Microsoft Office Word</Application>
  <DocSecurity>0</DocSecurity>
  <Lines>4509</Lines>
  <Paragraphs>1269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634792</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 Windows</dc:creator>
  <cp:lastModifiedBy>Maher Fattouh</cp:lastModifiedBy>
  <cp:revision>108</cp:revision>
  <cp:lastPrinted>2021-12-23T09:56:00Z</cp:lastPrinted>
  <dcterms:created xsi:type="dcterms:W3CDTF">2021-11-26T12:03:00Z</dcterms:created>
  <dcterms:modified xsi:type="dcterms:W3CDTF">2021-12-25T14:17:00Z</dcterms:modified>
</cp:coreProperties>
</file>